
<file path=[Content_Types].xml><?xml version="1.0" encoding="utf-8"?>
<Types xmlns="http://schemas.openxmlformats.org/package/2006/content-types">
  <Default Extension="png" ContentType="image/png"/>
  <Default Extension="vsd" ContentType="application/vnd.visio"/>
  <Default Extension="bin" ContentType="application/vnd.openxmlformats-officedocument.oleObject"/>
  <Default Extension="jpeg" ContentType="image/jpeg"/>
  <Default Extension="emf" ContentType="image/x-emf"/>
  <Default Extension="wmf" ContentType="image/x-wmf"/>
  <Default Extension="xls" ContentType="application/vnd.ms-excel"/>
  <Default Extension="rels" ContentType="application/vnd.openxmlformats-package.relationships+xml"/>
  <Default Extension="xml" ContentType="application/xml"/>
  <Default Extension="vsdx" ContentType="application/vnd.ms-visio.drawing"/>
  <Default Extension="docx" ContentType="application/vnd.openxmlformats-officedocument.wordprocessingml.docume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header5.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82C4387" w14:textId="5AB3F870" w:rsidR="00AE0CFA" w:rsidRDefault="00590491" w:rsidP="00AE0CFA">
      <w:pPr>
        <w:jc w:val="center"/>
        <w:rPr>
          <w:rFonts w:ascii="Arial" w:hAnsi="Arial" w:cs="Arial"/>
          <w:sz w:val="24"/>
          <w:szCs w:val="24"/>
        </w:rPr>
      </w:pPr>
      <w:bookmarkStart w:id="0" w:name="_GoBack"/>
      <w:r>
        <w:rPr>
          <w:noProof/>
        </w:rPr>
        <w:pict w14:anchorId="27253D7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591" type="#_x0000_t75" style="position:absolute;left:0;text-align:left;margin-left:-85.05pt;margin-top:-283.5pt;width:595.3pt;height:840.85pt;z-index:251659264;mso-position-horizontal-relative:margin;mso-position-vertical-relative:margin;mso-width-relative:page;mso-height-relative:page">
            <v:imagedata r:id="rId8" o:title="nz-greenhouse-gas-inventory-2019"/>
            <w10:wrap type="square" anchorx="margin" anchory="margin"/>
          </v:shape>
        </w:pict>
      </w:r>
      <w:bookmarkEnd w:id="0"/>
    </w:p>
    <w:p w14:paraId="15276571" w14:textId="77777777" w:rsidR="00AE0CFA" w:rsidRPr="00256982" w:rsidRDefault="00AE0CFA" w:rsidP="00AE0CFA">
      <w:pPr>
        <w:jc w:val="center"/>
        <w:sectPr w:rsidR="00AE0CFA" w:rsidRPr="00256982" w:rsidSect="00C55A30">
          <w:headerReference w:type="default" r:id="rId9"/>
          <w:footerReference w:type="default" r:id="rId10"/>
          <w:pgSz w:w="11907" w:h="16840" w:code="9"/>
          <w:pgMar w:top="5670" w:right="1701" w:bottom="1701" w:left="1701" w:header="567" w:footer="567" w:gutter="0"/>
          <w:cols w:space="720"/>
        </w:sectPr>
      </w:pPr>
    </w:p>
    <w:p w14:paraId="351CC38B" w14:textId="2DE559E2" w:rsidR="00DE64BC" w:rsidRPr="00256982" w:rsidRDefault="00DE64BC" w:rsidP="000674C9">
      <w:pPr>
        <w:pStyle w:val="Imprint"/>
        <w:spacing w:before="240"/>
        <w:jc w:val="left"/>
      </w:pPr>
      <w:r w:rsidRPr="00256982">
        <w:rPr>
          <w:rFonts w:cs="Arial"/>
          <w:szCs w:val="22"/>
        </w:rPr>
        <w:lastRenderedPageBreak/>
        <w:t xml:space="preserve">Submitted to the United Nations </w:t>
      </w:r>
      <w:r w:rsidRPr="00256982">
        <w:rPr>
          <w:rFonts w:cs="Arial"/>
          <w:szCs w:val="22"/>
        </w:rPr>
        <w:br/>
        <w:t>Framework Convention on Climate Change</w:t>
      </w:r>
      <w:r w:rsidRPr="00256982">
        <w:rPr>
          <w:rFonts w:cs="Arial"/>
          <w:szCs w:val="22"/>
        </w:rPr>
        <w:br/>
      </w:r>
      <w:r w:rsidR="00F4717A">
        <w:rPr>
          <w:rFonts w:cs="Arial"/>
          <w:szCs w:val="22"/>
        </w:rPr>
        <w:t>April</w:t>
      </w:r>
      <w:r w:rsidRPr="00256982">
        <w:rPr>
          <w:rFonts w:cs="Arial"/>
          <w:szCs w:val="22"/>
        </w:rPr>
        <w:t xml:space="preserve"> 2019</w:t>
      </w:r>
    </w:p>
    <w:p w14:paraId="2B867082" w14:textId="77777777" w:rsidR="00DE64BC" w:rsidRPr="00256982" w:rsidRDefault="00DE64BC" w:rsidP="0096512C">
      <w:pPr>
        <w:pStyle w:val="Imprint"/>
        <w:jc w:val="left"/>
        <w:rPr>
          <w:rFonts w:cs="Arial"/>
          <w:szCs w:val="22"/>
        </w:rPr>
      </w:pPr>
      <w:r w:rsidRPr="00256982">
        <w:rPr>
          <w:rFonts w:cs="Arial"/>
          <w:szCs w:val="22"/>
        </w:rPr>
        <w:t xml:space="preserve">Ministry for the Environment </w:t>
      </w:r>
      <w:r w:rsidRPr="00256982">
        <w:rPr>
          <w:rFonts w:cs="Arial"/>
          <w:szCs w:val="22"/>
        </w:rPr>
        <w:br/>
        <w:t>Manatū Mō Te Taiao</w:t>
      </w:r>
      <w:r w:rsidRPr="00256982">
        <w:rPr>
          <w:rFonts w:cs="Arial"/>
          <w:szCs w:val="22"/>
        </w:rPr>
        <w:br/>
        <w:t>PO Box 10-362, Wellington, New Zealand</w:t>
      </w:r>
    </w:p>
    <w:p w14:paraId="5F96E9DD" w14:textId="4865EBD4" w:rsidR="00DE64BC" w:rsidRDefault="00DE64BC" w:rsidP="00F4717A">
      <w:pPr>
        <w:pStyle w:val="Imprint"/>
        <w:tabs>
          <w:tab w:val="left" w:pos="709"/>
        </w:tabs>
        <w:spacing w:after="120"/>
        <w:jc w:val="left"/>
      </w:pPr>
      <w:r w:rsidRPr="00256982">
        <w:t>IS</w:t>
      </w:r>
      <w:r w:rsidR="00F4717A">
        <w:t>S</w:t>
      </w:r>
      <w:r w:rsidRPr="00256982">
        <w:t>N:</w:t>
      </w:r>
      <w:r w:rsidRPr="00256982">
        <w:tab/>
      </w:r>
      <w:r w:rsidR="00F4717A">
        <w:t xml:space="preserve">1179-223X </w:t>
      </w:r>
      <w:r w:rsidRPr="00256982">
        <w:t>(electronic)</w:t>
      </w:r>
    </w:p>
    <w:p w14:paraId="3B96BDCB" w14:textId="73CD3438" w:rsidR="00DE64BC" w:rsidRDefault="00DE64BC" w:rsidP="00A808C7">
      <w:pPr>
        <w:pStyle w:val="Imprint"/>
        <w:jc w:val="left"/>
      </w:pPr>
      <w:r w:rsidRPr="00256982">
        <w:t xml:space="preserve">Publication number: </w:t>
      </w:r>
      <w:r w:rsidR="00F4717A" w:rsidRPr="00F4717A">
        <w:t>1411</w:t>
      </w:r>
    </w:p>
    <w:p w14:paraId="28437530" w14:textId="1D935169" w:rsidR="00F34E8C" w:rsidRPr="00F34E8C" w:rsidRDefault="00590491" w:rsidP="00F34E8C">
      <w:r>
        <w:pict w14:anchorId="3EF379C5">
          <v:shape id="_x0000_i1025" type="#_x0000_t75" style="width:201.75pt;height:87pt" wrapcoords="-79 0 -79 21414 21600 21414 21600 0 -79 0" o:allowoverlap="f">
            <v:imagedata r:id="rId11" o:title="MfE Purpose lockup maori stacked positive" croptop="12478f" cropbottom="13188f" cropleft="6864f" cropright="7032f"/>
          </v:shape>
        </w:pict>
      </w:r>
    </w:p>
    <w:p w14:paraId="20FBEDEA" w14:textId="047068D9" w:rsidR="00DE64BC" w:rsidRPr="00256982" w:rsidRDefault="00DE64BC" w:rsidP="00AD184B">
      <w:pPr>
        <w:jc w:val="left"/>
      </w:pPr>
    </w:p>
    <w:p w14:paraId="7BE2E353" w14:textId="77777777" w:rsidR="00DE64BC" w:rsidRPr="00256982" w:rsidRDefault="00DE64BC" w:rsidP="006E0A2C">
      <w:pPr>
        <w:sectPr w:rsidR="00DE64BC" w:rsidRPr="00256982" w:rsidSect="000674C9">
          <w:headerReference w:type="default" r:id="rId12"/>
          <w:footerReference w:type="default" r:id="rId13"/>
          <w:pgSz w:w="11907" w:h="16840" w:code="9"/>
          <w:pgMar w:top="9639" w:right="1701" w:bottom="1701" w:left="1701" w:header="567" w:footer="567" w:gutter="0"/>
          <w:pgNumType w:fmt="lowerRoman"/>
          <w:cols w:space="720"/>
        </w:sectPr>
      </w:pPr>
    </w:p>
    <w:p w14:paraId="4A37E5A2" w14:textId="77777777" w:rsidR="00DE64BC" w:rsidRPr="00256982" w:rsidRDefault="00DE64BC" w:rsidP="00A808C7">
      <w:pPr>
        <w:pStyle w:val="Heading1"/>
        <w:spacing w:after="360"/>
      </w:pPr>
      <w:bookmarkStart w:id="1" w:name="_Toc451345933"/>
      <w:bookmarkStart w:id="2" w:name="_Toc482790670"/>
      <w:bookmarkStart w:id="3" w:name="_Toc511116554"/>
      <w:bookmarkStart w:id="4" w:name="_Toc5269316"/>
      <w:r w:rsidRPr="00256982">
        <w:lastRenderedPageBreak/>
        <w:t>Acknowledgements</w:t>
      </w:r>
      <w:bookmarkEnd w:id="1"/>
      <w:bookmarkEnd w:id="2"/>
      <w:bookmarkEnd w:id="3"/>
      <w:bookmarkEnd w:id="4"/>
      <w:r w:rsidRPr="00256982">
        <w:t xml:space="preserve"> </w:t>
      </w:r>
    </w:p>
    <w:p w14:paraId="4FC0537C" w14:textId="72EED9F7" w:rsidR="00F34E8C" w:rsidRPr="00A93041" w:rsidRDefault="00F34E8C" w:rsidP="00F34E8C">
      <w:pPr>
        <w:pStyle w:val="Heading6"/>
      </w:pPr>
      <w:r w:rsidRPr="00A93041">
        <w:t>Key contributors</w:t>
      </w:r>
    </w:p>
    <w:p w14:paraId="663605D2" w14:textId="77777777" w:rsidR="00E62DDC" w:rsidRPr="00E62DDC" w:rsidRDefault="00E62DDC" w:rsidP="00E62DDC">
      <w:pPr>
        <w:spacing w:before="80"/>
        <w:jc w:val="left"/>
        <w:rPr>
          <w:sz w:val="20"/>
        </w:rPr>
      </w:pPr>
      <w:r w:rsidRPr="00E62DDC">
        <w:rPr>
          <w:sz w:val="20"/>
        </w:rPr>
        <w:t>Olia Glade (National Inventory Compilation, National Inventory Focal Point; cross-sectoral analyses; QA/QC – CRF)</w:t>
      </w:r>
    </w:p>
    <w:p w14:paraId="418A345D" w14:textId="5A3520D8" w:rsidR="00E62DDC" w:rsidRPr="00E62DDC" w:rsidRDefault="00E62DDC" w:rsidP="00E62DDC">
      <w:pPr>
        <w:spacing w:before="80"/>
        <w:jc w:val="left"/>
        <w:rPr>
          <w:sz w:val="20"/>
        </w:rPr>
      </w:pPr>
      <w:r w:rsidRPr="00E62DDC">
        <w:rPr>
          <w:sz w:val="20"/>
        </w:rPr>
        <w:t xml:space="preserve">Andrea Brandon, Daniel Lawrence (Land Use, Land Use Change and Forestry </w:t>
      </w:r>
      <w:r w:rsidR="00205099" w:rsidRPr="00E62DDC">
        <w:rPr>
          <w:sz w:val="20"/>
        </w:rPr>
        <w:t>(LULUCF)</w:t>
      </w:r>
      <w:r w:rsidR="00205099">
        <w:rPr>
          <w:sz w:val="20"/>
        </w:rPr>
        <w:t xml:space="preserve"> </w:t>
      </w:r>
      <w:r w:rsidRPr="00E62DDC">
        <w:rPr>
          <w:sz w:val="20"/>
        </w:rPr>
        <w:t>sector and Kyoto Protocol (KP</w:t>
      </w:r>
      <w:r w:rsidR="009722C7">
        <w:rPr>
          <w:sz w:val="20"/>
        </w:rPr>
        <w:t>-</w:t>
      </w:r>
      <w:r w:rsidRPr="00E62DDC">
        <w:rPr>
          <w:sz w:val="20"/>
        </w:rPr>
        <w:t>LULUCF)</w:t>
      </w:r>
    </w:p>
    <w:p w14:paraId="6E079CEA" w14:textId="77777777" w:rsidR="00E62DDC" w:rsidRPr="00E62DDC" w:rsidRDefault="00E62DDC" w:rsidP="00E62DDC">
      <w:pPr>
        <w:spacing w:before="80"/>
        <w:jc w:val="left"/>
        <w:rPr>
          <w:b/>
          <w:sz w:val="20"/>
        </w:rPr>
      </w:pPr>
      <w:r w:rsidRPr="00E62DDC">
        <w:rPr>
          <w:sz w:val="20"/>
        </w:rPr>
        <w:t>Ted Jamieson</w:t>
      </w:r>
      <w:r w:rsidRPr="00E62DDC">
        <w:rPr>
          <w:i/>
          <w:sz w:val="20"/>
        </w:rPr>
        <w:t xml:space="preserve"> </w:t>
      </w:r>
      <w:r w:rsidRPr="00E62DDC">
        <w:rPr>
          <w:sz w:val="20"/>
        </w:rPr>
        <w:t>(Industrial Processes and Product Use (IPPU))</w:t>
      </w:r>
    </w:p>
    <w:p w14:paraId="351BA1A3" w14:textId="77777777" w:rsidR="00E62DDC" w:rsidRPr="00E62DDC" w:rsidRDefault="00E62DDC" w:rsidP="00E62DDC">
      <w:pPr>
        <w:spacing w:before="80"/>
        <w:jc w:val="left"/>
        <w:rPr>
          <w:sz w:val="20"/>
        </w:rPr>
      </w:pPr>
      <w:r w:rsidRPr="00E62DDC">
        <w:rPr>
          <w:sz w:val="20"/>
        </w:rPr>
        <w:t>Chris Bean (Waste, chapter 10, overall QA/QC, cross-sectoral analyses)</w:t>
      </w:r>
    </w:p>
    <w:p w14:paraId="0014C1F6" w14:textId="77777777" w:rsidR="00E62DDC" w:rsidRPr="00E62DDC" w:rsidRDefault="00E62DDC" w:rsidP="00E62DDC">
      <w:pPr>
        <w:spacing w:before="80"/>
        <w:jc w:val="left"/>
        <w:rPr>
          <w:sz w:val="20"/>
        </w:rPr>
      </w:pPr>
      <w:r w:rsidRPr="00E62DDC">
        <w:rPr>
          <w:sz w:val="20"/>
        </w:rPr>
        <w:t>Helen Plume (QA/QC: cross-sectoral analyses, general advice and guidance)</w:t>
      </w:r>
    </w:p>
    <w:p w14:paraId="3761A261" w14:textId="77777777" w:rsidR="00E62DDC" w:rsidRPr="00E62DDC" w:rsidRDefault="00E62DDC" w:rsidP="00E62DDC">
      <w:pPr>
        <w:spacing w:before="80"/>
        <w:jc w:val="left"/>
        <w:rPr>
          <w:sz w:val="20"/>
        </w:rPr>
      </w:pPr>
      <w:r w:rsidRPr="00E62DDC">
        <w:rPr>
          <w:sz w:val="20"/>
        </w:rPr>
        <w:t>Zavia Hands–Smith (QA/QC: NIR; IPPU, Waste and Tokelau sector data)</w:t>
      </w:r>
    </w:p>
    <w:p w14:paraId="379F3CEE" w14:textId="77777777" w:rsidR="00E62DDC" w:rsidRPr="00E62DDC" w:rsidRDefault="00E62DDC" w:rsidP="00E62DDC">
      <w:pPr>
        <w:spacing w:before="80"/>
        <w:jc w:val="left"/>
        <w:rPr>
          <w:sz w:val="20"/>
        </w:rPr>
      </w:pPr>
      <w:r w:rsidRPr="00E62DDC">
        <w:rPr>
          <w:sz w:val="20"/>
        </w:rPr>
        <w:t>Dylan Muggeridge, Janine Smith, Bridget Fraser (general advice and guidance)</w:t>
      </w:r>
    </w:p>
    <w:p w14:paraId="72F147D5" w14:textId="77777777" w:rsidR="00E62DDC" w:rsidRPr="00E62DDC" w:rsidRDefault="00E62DDC" w:rsidP="00E62DDC">
      <w:pPr>
        <w:spacing w:before="200"/>
        <w:jc w:val="left"/>
        <w:rPr>
          <w:b/>
          <w:i/>
          <w:sz w:val="20"/>
        </w:rPr>
      </w:pPr>
      <w:r w:rsidRPr="00E62DDC">
        <w:rPr>
          <w:b/>
          <w:i/>
          <w:sz w:val="20"/>
        </w:rPr>
        <w:t>Ministry for Primary Industries</w:t>
      </w:r>
    </w:p>
    <w:p w14:paraId="2D5D9A43" w14:textId="77777777" w:rsidR="00E62DDC" w:rsidRPr="005D07DB" w:rsidRDefault="00E62DDC" w:rsidP="00E62DDC">
      <w:pPr>
        <w:spacing w:before="80"/>
        <w:jc w:val="left"/>
        <w:rPr>
          <w:i/>
          <w:sz w:val="20"/>
        </w:rPr>
      </w:pPr>
      <w:r w:rsidRPr="005D07DB">
        <w:rPr>
          <w:sz w:val="20"/>
        </w:rPr>
        <w:t>Jamie Ash, Joel Gibbs and Hazelle Tomlin (Agriculture)</w:t>
      </w:r>
    </w:p>
    <w:p w14:paraId="7AF3B4C2" w14:textId="77777777" w:rsidR="00E62DDC" w:rsidRPr="00E62DDC" w:rsidRDefault="00E62DDC" w:rsidP="00E62DDC">
      <w:pPr>
        <w:spacing w:before="200"/>
        <w:jc w:val="left"/>
        <w:rPr>
          <w:b/>
          <w:i/>
          <w:sz w:val="20"/>
        </w:rPr>
      </w:pPr>
      <w:r w:rsidRPr="00E62DDC">
        <w:rPr>
          <w:b/>
          <w:i/>
          <w:sz w:val="20"/>
        </w:rPr>
        <w:t>Ministry for Business, Innovation and Employment</w:t>
      </w:r>
    </w:p>
    <w:p w14:paraId="726A6E0F" w14:textId="77777777" w:rsidR="00E62DDC" w:rsidRPr="00E62DDC" w:rsidRDefault="00E62DDC" w:rsidP="00E62DDC">
      <w:pPr>
        <w:spacing w:before="80"/>
        <w:jc w:val="left"/>
        <w:rPr>
          <w:sz w:val="20"/>
        </w:rPr>
      </w:pPr>
      <w:r w:rsidRPr="00E62DDC">
        <w:rPr>
          <w:sz w:val="20"/>
        </w:rPr>
        <w:t>Michael Smith, Jan-Ives Ruzicka (Energy; IPPU – CO</w:t>
      </w:r>
      <w:r w:rsidRPr="00E62DDC">
        <w:rPr>
          <w:sz w:val="20"/>
          <w:vertAlign w:val="subscript"/>
        </w:rPr>
        <w:t>2</w:t>
      </w:r>
      <w:r w:rsidRPr="00E62DDC">
        <w:rPr>
          <w:sz w:val="20"/>
        </w:rPr>
        <w:t>)</w:t>
      </w:r>
    </w:p>
    <w:p w14:paraId="780D31C1" w14:textId="1FC42280" w:rsidR="00E62DDC" w:rsidRPr="00E62DDC" w:rsidRDefault="00E62DDC" w:rsidP="00E62DDC">
      <w:pPr>
        <w:spacing w:before="80"/>
        <w:jc w:val="left"/>
        <w:rPr>
          <w:sz w:val="20"/>
        </w:rPr>
      </w:pPr>
      <w:r w:rsidRPr="00E62DDC">
        <w:rPr>
          <w:sz w:val="20"/>
        </w:rPr>
        <w:t xml:space="preserve">Bryan Field (QA/QC </w:t>
      </w:r>
      <w:r w:rsidR="009722C7">
        <w:rPr>
          <w:sz w:val="20"/>
        </w:rPr>
        <w:t>–</w:t>
      </w:r>
      <w:r w:rsidRPr="00E62DDC">
        <w:rPr>
          <w:sz w:val="20"/>
        </w:rPr>
        <w:t xml:space="preserve"> Energy)</w:t>
      </w:r>
    </w:p>
    <w:p w14:paraId="2D3AA024" w14:textId="77777777" w:rsidR="00E62DDC" w:rsidRPr="00E62DDC" w:rsidRDefault="00E62DDC" w:rsidP="00E62DDC">
      <w:pPr>
        <w:spacing w:before="200"/>
        <w:jc w:val="left"/>
        <w:rPr>
          <w:b/>
          <w:i/>
          <w:sz w:val="20"/>
        </w:rPr>
      </w:pPr>
      <w:r w:rsidRPr="00E62DDC">
        <w:rPr>
          <w:b/>
          <w:i/>
          <w:sz w:val="20"/>
        </w:rPr>
        <w:t>Environmental Protection Authority</w:t>
      </w:r>
    </w:p>
    <w:p w14:paraId="3D1E55A0" w14:textId="77777777" w:rsidR="00E62DDC" w:rsidRPr="00E62DDC" w:rsidRDefault="00E62DDC" w:rsidP="00E62DDC">
      <w:pPr>
        <w:spacing w:before="80"/>
        <w:jc w:val="left"/>
        <w:rPr>
          <w:sz w:val="20"/>
        </w:rPr>
      </w:pPr>
      <w:r w:rsidRPr="00E62DDC">
        <w:rPr>
          <w:sz w:val="20"/>
        </w:rPr>
        <w:t>Dave Stuart (National Registry)</w:t>
      </w:r>
    </w:p>
    <w:p w14:paraId="4FC7BF14" w14:textId="77777777" w:rsidR="00E62DDC" w:rsidRPr="00E62DDC" w:rsidRDefault="00E62DDC" w:rsidP="00E62DDC">
      <w:pPr>
        <w:spacing w:before="80"/>
        <w:jc w:val="left"/>
        <w:rPr>
          <w:sz w:val="20"/>
        </w:rPr>
      </w:pPr>
      <w:r w:rsidRPr="00E62DDC">
        <w:rPr>
          <w:sz w:val="20"/>
        </w:rPr>
        <w:t>Dave Hodson (National registry, QA/QC: IPPU)</w:t>
      </w:r>
    </w:p>
    <w:p w14:paraId="3CFA47F2" w14:textId="77777777" w:rsidR="00E62DDC" w:rsidRPr="00E62DDC" w:rsidRDefault="00E62DDC" w:rsidP="00E62DDC">
      <w:pPr>
        <w:spacing w:before="200"/>
        <w:jc w:val="left"/>
        <w:rPr>
          <w:b/>
          <w:i/>
          <w:sz w:val="20"/>
        </w:rPr>
      </w:pPr>
      <w:r w:rsidRPr="00E62DDC">
        <w:rPr>
          <w:b/>
          <w:i/>
          <w:sz w:val="20"/>
        </w:rPr>
        <w:t>Ministry for Foreign Affairs and Trade</w:t>
      </w:r>
    </w:p>
    <w:p w14:paraId="68A6D50B" w14:textId="09F0AFC9" w:rsidR="00E62DDC" w:rsidRPr="00E62DDC" w:rsidRDefault="00E62DDC" w:rsidP="00E62DDC">
      <w:pPr>
        <w:spacing w:before="80"/>
        <w:jc w:val="left"/>
        <w:rPr>
          <w:sz w:val="20"/>
        </w:rPr>
      </w:pPr>
      <w:r w:rsidRPr="00E62DDC">
        <w:rPr>
          <w:sz w:val="20"/>
        </w:rPr>
        <w:t>Alysha Bagasra, Alison Carlin, Martin Garrood, Brett Longley (Information on Minimisation of Adverse</w:t>
      </w:r>
      <w:r w:rsidR="00205099">
        <w:rPr>
          <w:sz w:val="20"/>
        </w:rPr>
        <w:t> </w:t>
      </w:r>
      <w:r w:rsidRPr="00E62DDC">
        <w:rPr>
          <w:sz w:val="20"/>
        </w:rPr>
        <w:t>Impacts)</w:t>
      </w:r>
    </w:p>
    <w:p w14:paraId="634807CC" w14:textId="77777777" w:rsidR="00E62DDC" w:rsidRPr="00E62DDC" w:rsidRDefault="00E62DDC" w:rsidP="00E62DDC">
      <w:pPr>
        <w:spacing w:before="80"/>
        <w:jc w:val="left"/>
        <w:rPr>
          <w:sz w:val="20"/>
        </w:rPr>
      </w:pPr>
      <w:r w:rsidRPr="00E62DDC">
        <w:rPr>
          <w:sz w:val="20"/>
        </w:rPr>
        <w:t>Anna Broadhurst (QA/QC: Information on Minimisation of Adverse Impacts)</w:t>
      </w:r>
    </w:p>
    <w:p w14:paraId="5D60002A" w14:textId="77777777" w:rsidR="00E62DDC" w:rsidRPr="00E62DDC" w:rsidRDefault="00E62DDC" w:rsidP="00E62DDC">
      <w:pPr>
        <w:spacing w:before="200"/>
        <w:jc w:val="left"/>
        <w:rPr>
          <w:b/>
          <w:i/>
          <w:sz w:val="20"/>
        </w:rPr>
      </w:pPr>
      <w:r w:rsidRPr="00E62DDC">
        <w:rPr>
          <w:b/>
          <w:i/>
          <w:sz w:val="20"/>
        </w:rPr>
        <w:t>Tokelau</w:t>
      </w:r>
    </w:p>
    <w:p w14:paraId="46F32A0B" w14:textId="77777777" w:rsidR="00E62DDC" w:rsidRPr="00E62DDC" w:rsidRDefault="00E62DDC" w:rsidP="00E62DDC">
      <w:pPr>
        <w:spacing w:before="80"/>
        <w:jc w:val="left"/>
        <w:rPr>
          <w:sz w:val="20"/>
        </w:rPr>
      </w:pPr>
      <w:r w:rsidRPr="00E62DDC">
        <w:rPr>
          <w:sz w:val="20"/>
        </w:rPr>
        <w:t>Dr JA Jasperse, Tokelau National Statistics Office, Apia (Tokelau – all sectors)</w:t>
      </w:r>
    </w:p>
    <w:p w14:paraId="79A0B937" w14:textId="77777777" w:rsidR="00E62DDC" w:rsidRPr="00E62DDC" w:rsidRDefault="00E62DDC" w:rsidP="00E62DDC">
      <w:pPr>
        <w:spacing w:before="80"/>
        <w:jc w:val="left"/>
        <w:rPr>
          <w:sz w:val="20"/>
        </w:rPr>
      </w:pPr>
      <w:r w:rsidRPr="00E62DDC">
        <w:rPr>
          <w:sz w:val="20"/>
        </w:rPr>
        <w:t>Ms Paula Faiva, Tokelau Ministry for Climate, Oceans and Resilience (national coordinator for Tokelau, peer-review and process coordination, general advice and guidance)</w:t>
      </w:r>
    </w:p>
    <w:p w14:paraId="25EE6F4A" w14:textId="77777777" w:rsidR="00E62DDC" w:rsidRPr="00E62DDC" w:rsidRDefault="00E62DDC" w:rsidP="00E62DDC">
      <w:pPr>
        <w:spacing w:before="80"/>
        <w:jc w:val="left"/>
      </w:pPr>
      <w:r w:rsidRPr="00E62DDC">
        <w:rPr>
          <w:sz w:val="20"/>
        </w:rPr>
        <w:t>Penehuro Lefale, Director/International Climate Analyst, LeA International (peer-review, general advice and guidance)</w:t>
      </w:r>
    </w:p>
    <w:p w14:paraId="47302A8C" w14:textId="77777777" w:rsidR="00E62DDC" w:rsidRPr="00E62DDC" w:rsidRDefault="00E62DDC" w:rsidP="00205099">
      <w:pPr>
        <w:keepNext/>
        <w:spacing w:before="240" w:after="120"/>
        <w:jc w:val="left"/>
        <w:outlineLvl w:val="5"/>
        <w:rPr>
          <w:b/>
          <w:iCs/>
          <w:szCs w:val="22"/>
        </w:rPr>
      </w:pPr>
      <w:r w:rsidRPr="00E62DDC">
        <w:rPr>
          <w:b/>
          <w:iCs/>
          <w:szCs w:val="22"/>
        </w:rPr>
        <w:t>Technical contributors and contracted specialists</w:t>
      </w:r>
    </w:p>
    <w:p w14:paraId="445552DD" w14:textId="77777777" w:rsidR="00E62DDC" w:rsidRPr="00E62DDC" w:rsidRDefault="00E62DDC" w:rsidP="00E62DDC">
      <w:pPr>
        <w:jc w:val="left"/>
        <w:rPr>
          <w:b/>
          <w:i/>
          <w:sz w:val="20"/>
        </w:rPr>
      </w:pPr>
      <w:r w:rsidRPr="00E62DDC">
        <w:rPr>
          <w:b/>
          <w:i/>
          <w:sz w:val="20"/>
        </w:rPr>
        <w:t>Tokelau</w:t>
      </w:r>
    </w:p>
    <w:p w14:paraId="1858D216" w14:textId="77777777" w:rsidR="00E62DDC" w:rsidRPr="00E62DDC" w:rsidRDefault="00E62DDC" w:rsidP="00205099">
      <w:pPr>
        <w:spacing w:before="80"/>
        <w:jc w:val="left"/>
        <w:rPr>
          <w:b/>
          <w:i/>
          <w:sz w:val="20"/>
        </w:rPr>
      </w:pPr>
      <w:r w:rsidRPr="00E62DDC">
        <w:rPr>
          <w:sz w:val="20"/>
        </w:rPr>
        <w:t>Robin Pene (Director of Energy in the Tokelau government), Alan Shaw (Acting Finance Director in Tokelau government), Celine Iose (Tokelau National Statistics Office), Himona Mei (Director of Transport in Tokelau government)</w:t>
      </w:r>
    </w:p>
    <w:p w14:paraId="22805BC1" w14:textId="77777777" w:rsidR="00E62DDC" w:rsidRPr="00E62DDC" w:rsidRDefault="00E62DDC" w:rsidP="00205099">
      <w:pPr>
        <w:spacing w:before="200"/>
        <w:jc w:val="left"/>
        <w:rPr>
          <w:b/>
          <w:i/>
          <w:sz w:val="20"/>
        </w:rPr>
      </w:pPr>
      <w:r w:rsidRPr="00E62DDC">
        <w:rPr>
          <w:b/>
          <w:i/>
          <w:sz w:val="20"/>
        </w:rPr>
        <w:t>Land Use, Land Use Change and Forestry sector (LULUCF) and Kyoto Protocol – LULUCF</w:t>
      </w:r>
    </w:p>
    <w:p w14:paraId="314CB2B6" w14:textId="696DB65E" w:rsidR="00E62DDC" w:rsidRPr="00E62DDC" w:rsidRDefault="00E62DDC" w:rsidP="00205099">
      <w:pPr>
        <w:spacing w:before="80"/>
        <w:jc w:val="left"/>
        <w:rPr>
          <w:rFonts w:eastAsia="Calibri"/>
          <w:sz w:val="20"/>
        </w:rPr>
      </w:pPr>
      <w:r w:rsidRPr="00E62DDC">
        <w:rPr>
          <w:rFonts w:eastAsia="Calibri"/>
          <w:sz w:val="20"/>
        </w:rPr>
        <w:t>Deborah Burgess, Asher Cook, Michael Cooper, Rachel Innes, Heather Martindale, Ben Nistor and Nigel</w:t>
      </w:r>
      <w:r w:rsidR="00205099">
        <w:rPr>
          <w:rFonts w:eastAsia="Calibri"/>
          <w:sz w:val="20"/>
        </w:rPr>
        <w:t> </w:t>
      </w:r>
      <w:r w:rsidRPr="00E62DDC">
        <w:rPr>
          <w:rFonts w:eastAsia="Calibri"/>
          <w:sz w:val="20"/>
        </w:rPr>
        <w:t>Searles (Ministry for the Environment)</w:t>
      </w:r>
    </w:p>
    <w:p w14:paraId="6670C16A" w14:textId="77777777" w:rsidR="00E62DDC" w:rsidRPr="00E62DDC" w:rsidRDefault="00E62DDC" w:rsidP="00E62DDC">
      <w:pPr>
        <w:spacing w:before="80"/>
        <w:jc w:val="left"/>
        <w:rPr>
          <w:rFonts w:eastAsia="Calibri"/>
          <w:i/>
          <w:sz w:val="20"/>
        </w:rPr>
      </w:pPr>
      <w:r w:rsidRPr="00E62DDC">
        <w:rPr>
          <w:rFonts w:eastAsia="Calibri"/>
          <w:sz w:val="20"/>
        </w:rPr>
        <w:t>Peer reviewer: Craig Elvidge, Ministry for Primary Industries</w:t>
      </w:r>
    </w:p>
    <w:p w14:paraId="0EB8DC6C" w14:textId="77777777" w:rsidR="00E62DDC" w:rsidRPr="00E62DDC" w:rsidRDefault="00E62DDC" w:rsidP="00205099">
      <w:pPr>
        <w:keepNext/>
        <w:spacing w:before="200"/>
        <w:jc w:val="left"/>
        <w:rPr>
          <w:b/>
          <w:bCs/>
          <w:i/>
          <w:iCs/>
          <w:sz w:val="20"/>
        </w:rPr>
      </w:pPr>
      <w:r w:rsidRPr="00E62DDC">
        <w:rPr>
          <w:b/>
          <w:i/>
          <w:sz w:val="20"/>
        </w:rPr>
        <w:lastRenderedPageBreak/>
        <w:t xml:space="preserve">Agriculture sector </w:t>
      </w:r>
    </w:p>
    <w:p w14:paraId="64ECD7B3" w14:textId="5D18066E" w:rsidR="00E62DDC" w:rsidRPr="00E62DDC" w:rsidRDefault="00E62DDC" w:rsidP="00205099">
      <w:pPr>
        <w:keepNext/>
        <w:keepLines/>
        <w:spacing w:before="80"/>
        <w:jc w:val="left"/>
        <w:rPr>
          <w:rFonts w:eastAsia="Calibri"/>
          <w:sz w:val="20"/>
        </w:rPr>
      </w:pPr>
      <w:r w:rsidRPr="00E62DDC">
        <w:rPr>
          <w:rFonts w:eastAsia="Calibri"/>
          <w:sz w:val="20"/>
        </w:rPr>
        <w:t xml:space="preserve">The Agriculture Inventory Advisory Panel: Gerald Rys (Ministry for Primary Industries), Harry Clark (New Zealand Agricultural Greenhouse Gas Research Centre), Surinder Saggar (Manaaki Whenua </w:t>
      </w:r>
      <w:r w:rsidR="00205099">
        <w:rPr>
          <w:rFonts w:eastAsia="Calibri"/>
          <w:sz w:val="20"/>
        </w:rPr>
        <w:t>–</w:t>
      </w:r>
      <w:r w:rsidRPr="00E62DDC">
        <w:rPr>
          <w:rFonts w:eastAsia="Calibri"/>
          <w:sz w:val="20"/>
        </w:rPr>
        <w:t xml:space="preserve"> Landcare Research), Andy Reisinger (New Zealand Agricultural Greenhouse Gas Research Centre), Cecile de Klein (AgResearch), Andrea Brandon (Ministry for the Environment) and Keith Lassey (Lassey</w:t>
      </w:r>
      <w:r w:rsidR="009722C7">
        <w:rPr>
          <w:rFonts w:eastAsia="Calibri"/>
          <w:sz w:val="20"/>
        </w:rPr>
        <w:t> </w:t>
      </w:r>
      <w:r w:rsidRPr="00E62DDC">
        <w:rPr>
          <w:rFonts w:eastAsia="Calibri"/>
          <w:sz w:val="20"/>
        </w:rPr>
        <w:t>Research and Education Ltd)</w:t>
      </w:r>
    </w:p>
    <w:p w14:paraId="6D1BDE44" w14:textId="77777777" w:rsidR="00E62DDC" w:rsidRPr="00E62DDC" w:rsidRDefault="00E62DDC" w:rsidP="00205099">
      <w:pPr>
        <w:spacing w:before="80"/>
        <w:jc w:val="left"/>
        <w:rPr>
          <w:rFonts w:eastAsia="Calibri"/>
          <w:sz w:val="20"/>
        </w:rPr>
      </w:pPr>
      <w:r w:rsidRPr="00E62DDC">
        <w:rPr>
          <w:rFonts w:eastAsia="Calibri"/>
          <w:sz w:val="20"/>
        </w:rPr>
        <w:t>Programming support: Mike Rollo (AgResearch)</w:t>
      </w:r>
    </w:p>
    <w:p w14:paraId="612ADAA6" w14:textId="4D9617EE" w:rsidR="00E62DDC" w:rsidRPr="00E62DDC" w:rsidRDefault="00E62DDC" w:rsidP="00205099">
      <w:pPr>
        <w:spacing w:before="80"/>
        <w:jc w:val="left"/>
        <w:rPr>
          <w:rFonts w:eastAsia="Calibri"/>
          <w:sz w:val="20"/>
        </w:rPr>
      </w:pPr>
      <w:r w:rsidRPr="00E62DDC">
        <w:rPr>
          <w:rFonts w:eastAsia="Calibri"/>
          <w:sz w:val="20"/>
        </w:rPr>
        <w:t>Peer-reviewers: Gerald Rys, Victoria Hatton, Ben Richards, Elloise Kidd, Hayden Montgomery and Philip Wiles (M</w:t>
      </w:r>
      <w:r w:rsidR="00205099">
        <w:rPr>
          <w:rFonts w:eastAsia="Calibri"/>
          <w:sz w:val="20"/>
        </w:rPr>
        <w:t>inistry for Primary Industries)</w:t>
      </w:r>
    </w:p>
    <w:p w14:paraId="44130D90" w14:textId="77777777" w:rsidR="00E62DDC" w:rsidRPr="00E62DDC" w:rsidRDefault="00E62DDC" w:rsidP="00205099">
      <w:pPr>
        <w:spacing w:before="200"/>
        <w:jc w:val="left"/>
        <w:rPr>
          <w:b/>
          <w:i/>
          <w:sz w:val="20"/>
        </w:rPr>
      </w:pPr>
      <w:r w:rsidRPr="00E62DDC">
        <w:rPr>
          <w:b/>
          <w:i/>
          <w:sz w:val="20"/>
        </w:rPr>
        <w:t>Industrial Processes and Product Use</w:t>
      </w:r>
    </w:p>
    <w:p w14:paraId="29FC1F70" w14:textId="77777777" w:rsidR="00E62DDC" w:rsidRPr="00E62DDC" w:rsidRDefault="00E62DDC" w:rsidP="00205099">
      <w:pPr>
        <w:spacing w:before="80"/>
        <w:jc w:val="left"/>
        <w:rPr>
          <w:sz w:val="20"/>
        </w:rPr>
      </w:pPr>
      <w:r w:rsidRPr="00E62DDC">
        <w:rPr>
          <w:sz w:val="20"/>
        </w:rPr>
        <w:t>Wayne Hennessy (Fluorinated gases)</w:t>
      </w:r>
    </w:p>
    <w:p w14:paraId="484EC229" w14:textId="77777777" w:rsidR="00E62DDC" w:rsidRPr="00E62DDC" w:rsidRDefault="00E62DDC" w:rsidP="00E62DDC">
      <w:pPr>
        <w:jc w:val="left"/>
        <w:rPr>
          <w:sz w:val="20"/>
        </w:rPr>
      </w:pPr>
    </w:p>
    <w:p w14:paraId="107B7AC3" w14:textId="77777777" w:rsidR="00E62DDC" w:rsidRPr="00E62DDC" w:rsidRDefault="00E62DDC" w:rsidP="00E62DDC">
      <w:pPr>
        <w:spacing w:before="120"/>
        <w:jc w:val="left"/>
      </w:pPr>
      <w:r w:rsidRPr="00E62DDC">
        <w:rPr>
          <w:b/>
          <w:sz w:val="20"/>
          <w:szCs w:val="24"/>
        </w:rPr>
        <w:t>The Ministry for the Environment acknowledges the many valuable contributions provided by experts from industry, central and local government, and science organisations in the development of this inventory.</w:t>
      </w:r>
    </w:p>
    <w:p w14:paraId="4FDC8689" w14:textId="1283D2AE" w:rsidR="00F34E8C" w:rsidRPr="00A93041" w:rsidRDefault="00F34E8C" w:rsidP="00F34E8C">
      <w:pPr>
        <w:spacing w:before="120"/>
        <w:jc w:val="left"/>
      </w:pPr>
    </w:p>
    <w:p w14:paraId="5D18DED6" w14:textId="77777777" w:rsidR="00DE64BC" w:rsidRPr="00256982" w:rsidRDefault="00DE64BC" w:rsidP="00A808C7">
      <w:pPr>
        <w:pStyle w:val="BodyText"/>
      </w:pPr>
    </w:p>
    <w:p w14:paraId="1E29A3B7" w14:textId="77777777" w:rsidR="00DE64BC" w:rsidRPr="00256982" w:rsidRDefault="00DE64BC" w:rsidP="00A808C7">
      <w:pPr>
        <w:pStyle w:val="ContentsHeading"/>
      </w:pPr>
      <w:r w:rsidRPr="00256982">
        <w:br w:type="page"/>
      </w:r>
      <w:r w:rsidRPr="00256982">
        <w:lastRenderedPageBreak/>
        <w:t>Contents</w:t>
      </w:r>
    </w:p>
    <w:p w14:paraId="575D0777" w14:textId="77777777" w:rsidR="00C97BE6" w:rsidRPr="002D354C" w:rsidRDefault="00850057">
      <w:pPr>
        <w:pStyle w:val="TOC1"/>
        <w:rPr>
          <w:rFonts w:ascii="Calibri" w:hAnsi="Calibri"/>
          <w:noProof/>
          <w:sz w:val="22"/>
          <w:szCs w:val="22"/>
          <w:lang w:eastAsia="en-NZ"/>
        </w:rPr>
      </w:pPr>
      <w:r w:rsidRPr="00256982">
        <w:fldChar w:fldCharType="begin"/>
      </w:r>
      <w:r w:rsidRPr="00256982">
        <w:instrText xml:space="preserve"> TOC \h \z \t "Heading 1,1,Heading 2,2" </w:instrText>
      </w:r>
      <w:r w:rsidRPr="00256982">
        <w:fldChar w:fldCharType="separate"/>
      </w:r>
      <w:hyperlink w:anchor="_Toc5269316" w:history="1">
        <w:r w:rsidR="00C97BE6" w:rsidRPr="001864CF">
          <w:rPr>
            <w:rStyle w:val="Hyperlink"/>
            <w:noProof/>
          </w:rPr>
          <w:t>Acknowledgements</w:t>
        </w:r>
        <w:r w:rsidR="00C97BE6">
          <w:rPr>
            <w:noProof/>
            <w:webHidden/>
          </w:rPr>
          <w:tab/>
        </w:r>
        <w:r w:rsidR="00C97BE6">
          <w:rPr>
            <w:noProof/>
            <w:webHidden/>
          </w:rPr>
          <w:fldChar w:fldCharType="begin"/>
        </w:r>
        <w:r w:rsidR="00C97BE6">
          <w:rPr>
            <w:noProof/>
            <w:webHidden/>
          </w:rPr>
          <w:instrText xml:space="preserve"> PAGEREF _Toc5269316 \h </w:instrText>
        </w:r>
        <w:r w:rsidR="00C97BE6">
          <w:rPr>
            <w:noProof/>
            <w:webHidden/>
          </w:rPr>
        </w:r>
        <w:r w:rsidR="00C97BE6">
          <w:rPr>
            <w:noProof/>
            <w:webHidden/>
          </w:rPr>
          <w:fldChar w:fldCharType="separate"/>
        </w:r>
        <w:r w:rsidR="00D0418C">
          <w:rPr>
            <w:noProof/>
            <w:webHidden/>
          </w:rPr>
          <w:t>iii</w:t>
        </w:r>
        <w:r w:rsidR="00C97BE6">
          <w:rPr>
            <w:noProof/>
            <w:webHidden/>
          </w:rPr>
          <w:fldChar w:fldCharType="end"/>
        </w:r>
      </w:hyperlink>
    </w:p>
    <w:p w14:paraId="26F43846" w14:textId="77777777" w:rsidR="00C97BE6" w:rsidRPr="002D354C" w:rsidRDefault="00590491">
      <w:pPr>
        <w:pStyle w:val="TOC1"/>
        <w:rPr>
          <w:rFonts w:ascii="Calibri" w:hAnsi="Calibri"/>
          <w:noProof/>
          <w:sz w:val="22"/>
          <w:szCs w:val="22"/>
          <w:lang w:eastAsia="en-NZ"/>
        </w:rPr>
      </w:pPr>
      <w:hyperlink w:anchor="_Toc5269317" w:history="1">
        <w:r w:rsidR="00C97BE6" w:rsidRPr="001864CF">
          <w:rPr>
            <w:rStyle w:val="Hyperlink"/>
            <w:noProof/>
          </w:rPr>
          <w:t>Abbreviations</w:t>
        </w:r>
        <w:r w:rsidR="00C97BE6">
          <w:rPr>
            <w:noProof/>
            <w:webHidden/>
          </w:rPr>
          <w:tab/>
        </w:r>
        <w:r w:rsidR="00C97BE6">
          <w:rPr>
            <w:noProof/>
            <w:webHidden/>
          </w:rPr>
          <w:fldChar w:fldCharType="begin"/>
        </w:r>
        <w:r w:rsidR="00C97BE6">
          <w:rPr>
            <w:noProof/>
            <w:webHidden/>
          </w:rPr>
          <w:instrText xml:space="preserve"> PAGEREF _Toc5269317 \h </w:instrText>
        </w:r>
        <w:r w:rsidR="00C97BE6">
          <w:rPr>
            <w:noProof/>
            <w:webHidden/>
          </w:rPr>
        </w:r>
        <w:r w:rsidR="00C97BE6">
          <w:rPr>
            <w:noProof/>
            <w:webHidden/>
          </w:rPr>
          <w:fldChar w:fldCharType="separate"/>
        </w:r>
        <w:r w:rsidR="00D0418C">
          <w:rPr>
            <w:noProof/>
            <w:webHidden/>
          </w:rPr>
          <w:t>xix</w:t>
        </w:r>
        <w:r w:rsidR="00C97BE6">
          <w:rPr>
            <w:noProof/>
            <w:webHidden/>
          </w:rPr>
          <w:fldChar w:fldCharType="end"/>
        </w:r>
      </w:hyperlink>
    </w:p>
    <w:p w14:paraId="021F9952" w14:textId="77777777" w:rsidR="00C97BE6" w:rsidRPr="002D354C" w:rsidRDefault="00590491">
      <w:pPr>
        <w:pStyle w:val="TOC1"/>
        <w:rPr>
          <w:rFonts w:ascii="Calibri" w:hAnsi="Calibri"/>
          <w:noProof/>
          <w:sz w:val="22"/>
          <w:szCs w:val="22"/>
          <w:lang w:eastAsia="en-NZ"/>
        </w:rPr>
      </w:pPr>
      <w:hyperlink w:anchor="_Toc5269318" w:history="1">
        <w:r w:rsidR="00C97BE6" w:rsidRPr="001864CF">
          <w:rPr>
            <w:rStyle w:val="Hyperlink"/>
            <w:noProof/>
          </w:rPr>
          <w:t>Executive summary</w:t>
        </w:r>
        <w:r w:rsidR="00C97BE6">
          <w:rPr>
            <w:noProof/>
            <w:webHidden/>
          </w:rPr>
          <w:tab/>
        </w:r>
        <w:r w:rsidR="00C97BE6">
          <w:rPr>
            <w:noProof/>
            <w:webHidden/>
          </w:rPr>
          <w:fldChar w:fldCharType="begin"/>
        </w:r>
        <w:r w:rsidR="00C97BE6">
          <w:rPr>
            <w:noProof/>
            <w:webHidden/>
          </w:rPr>
          <w:instrText xml:space="preserve"> PAGEREF _Toc5269318 \h </w:instrText>
        </w:r>
        <w:r w:rsidR="00C97BE6">
          <w:rPr>
            <w:noProof/>
            <w:webHidden/>
          </w:rPr>
        </w:r>
        <w:r w:rsidR="00C97BE6">
          <w:rPr>
            <w:noProof/>
            <w:webHidden/>
          </w:rPr>
          <w:fldChar w:fldCharType="separate"/>
        </w:r>
        <w:r w:rsidR="00D0418C">
          <w:rPr>
            <w:noProof/>
            <w:webHidden/>
          </w:rPr>
          <w:t>1</w:t>
        </w:r>
        <w:r w:rsidR="00C97BE6">
          <w:rPr>
            <w:noProof/>
            <w:webHidden/>
          </w:rPr>
          <w:fldChar w:fldCharType="end"/>
        </w:r>
      </w:hyperlink>
    </w:p>
    <w:p w14:paraId="114981A2" w14:textId="77777777" w:rsidR="00C97BE6" w:rsidRPr="002D354C" w:rsidRDefault="00590491">
      <w:pPr>
        <w:pStyle w:val="TOC2"/>
        <w:rPr>
          <w:rFonts w:ascii="Calibri" w:hAnsi="Calibri"/>
          <w:sz w:val="22"/>
          <w:szCs w:val="22"/>
          <w:lang w:eastAsia="en-NZ"/>
        </w:rPr>
      </w:pPr>
      <w:hyperlink w:anchor="_Toc5269319" w:history="1">
        <w:r w:rsidR="00C97BE6" w:rsidRPr="001864CF">
          <w:rPr>
            <w:rStyle w:val="Hyperlink"/>
          </w:rPr>
          <w:t>ES.1</w:t>
        </w:r>
        <w:r w:rsidR="00C97BE6" w:rsidRPr="002D354C">
          <w:rPr>
            <w:rFonts w:ascii="Calibri" w:hAnsi="Calibri"/>
            <w:sz w:val="22"/>
            <w:szCs w:val="22"/>
            <w:lang w:eastAsia="en-NZ"/>
          </w:rPr>
          <w:tab/>
        </w:r>
        <w:r w:rsidR="00C97BE6" w:rsidRPr="001864CF">
          <w:rPr>
            <w:rStyle w:val="Hyperlink"/>
          </w:rPr>
          <w:t>Background</w:t>
        </w:r>
        <w:r w:rsidR="00C97BE6">
          <w:rPr>
            <w:webHidden/>
          </w:rPr>
          <w:tab/>
        </w:r>
        <w:r w:rsidR="00C97BE6">
          <w:rPr>
            <w:webHidden/>
          </w:rPr>
          <w:fldChar w:fldCharType="begin"/>
        </w:r>
        <w:r w:rsidR="00C97BE6">
          <w:rPr>
            <w:webHidden/>
          </w:rPr>
          <w:instrText xml:space="preserve"> PAGEREF _Toc5269319 \h </w:instrText>
        </w:r>
        <w:r w:rsidR="00C97BE6">
          <w:rPr>
            <w:webHidden/>
          </w:rPr>
        </w:r>
        <w:r w:rsidR="00C97BE6">
          <w:rPr>
            <w:webHidden/>
          </w:rPr>
          <w:fldChar w:fldCharType="separate"/>
        </w:r>
        <w:r w:rsidR="00D0418C">
          <w:rPr>
            <w:webHidden/>
          </w:rPr>
          <w:t>2</w:t>
        </w:r>
        <w:r w:rsidR="00C97BE6">
          <w:rPr>
            <w:webHidden/>
          </w:rPr>
          <w:fldChar w:fldCharType="end"/>
        </w:r>
      </w:hyperlink>
    </w:p>
    <w:p w14:paraId="4BFEE916" w14:textId="77777777" w:rsidR="00C97BE6" w:rsidRPr="002D354C" w:rsidRDefault="00590491">
      <w:pPr>
        <w:pStyle w:val="TOC2"/>
        <w:rPr>
          <w:rFonts w:ascii="Calibri" w:hAnsi="Calibri"/>
          <w:sz w:val="22"/>
          <w:szCs w:val="22"/>
          <w:lang w:eastAsia="en-NZ"/>
        </w:rPr>
      </w:pPr>
      <w:hyperlink w:anchor="_Toc5269320" w:history="1">
        <w:r w:rsidR="00C97BE6" w:rsidRPr="001864CF">
          <w:rPr>
            <w:rStyle w:val="Hyperlink"/>
          </w:rPr>
          <w:t>ES.2</w:t>
        </w:r>
        <w:r w:rsidR="00C97BE6" w:rsidRPr="002D354C">
          <w:rPr>
            <w:rFonts w:ascii="Calibri" w:hAnsi="Calibri"/>
            <w:sz w:val="22"/>
            <w:szCs w:val="22"/>
            <w:lang w:eastAsia="en-NZ"/>
          </w:rPr>
          <w:tab/>
        </w:r>
        <w:r w:rsidR="00C97BE6" w:rsidRPr="001864CF">
          <w:rPr>
            <w:rStyle w:val="Hyperlink"/>
          </w:rPr>
          <w:t>National trends</w:t>
        </w:r>
        <w:r w:rsidR="00C97BE6">
          <w:rPr>
            <w:webHidden/>
          </w:rPr>
          <w:tab/>
        </w:r>
        <w:r w:rsidR="00C97BE6">
          <w:rPr>
            <w:webHidden/>
          </w:rPr>
          <w:fldChar w:fldCharType="begin"/>
        </w:r>
        <w:r w:rsidR="00C97BE6">
          <w:rPr>
            <w:webHidden/>
          </w:rPr>
          <w:instrText xml:space="preserve"> PAGEREF _Toc5269320 \h </w:instrText>
        </w:r>
        <w:r w:rsidR="00C97BE6">
          <w:rPr>
            <w:webHidden/>
          </w:rPr>
        </w:r>
        <w:r w:rsidR="00C97BE6">
          <w:rPr>
            <w:webHidden/>
          </w:rPr>
          <w:fldChar w:fldCharType="separate"/>
        </w:r>
        <w:r w:rsidR="00D0418C">
          <w:rPr>
            <w:webHidden/>
          </w:rPr>
          <w:t>2</w:t>
        </w:r>
        <w:r w:rsidR="00C97BE6">
          <w:rPr>
            <w:webHidden/>
          </w:rPr>
          <w:fldChar w:fldCharType="end"/>
        </w:r>
      </w:hyperlink>
    </w:p>
    <w:p w14:paraId="0D40DB8B" w14:textId="77777777" w:rsidR="00C97BE6" w:rsidRPr="002D354C" w:rsidRDefault="00590491">
      <w:pPr>
        <w:pStyle w:val="TOC2"/>
        <w:rPr>
          <w:rFonts w:ascii="Calibri" w:hAnsi="Calibri"/>
          <w:sz w:val="22"/>
          <w:szCs w:val="22"/>
          <w:lang w:eastAsia="en-NZ"/>
        </w:rPr>
      </w:pPr>
      <w:hyperlink w:anchor="_Toc5269321" w:history="1">
        <w:r w:rsidR="00C97BE6" w:rsidRPr="001864CF">
          <w:rPr>
            <w:rStyle w:val="Hyperlink"/>
          </w:rPr>
          <w:t>ES.3</w:t>
        </w:r>
        <w:r w:rsidR="00C97BE6" w:rsidRPr="002D354C">
          <w:rPr>
            <w:rFonts w:ascii="Calibri" w:hAnsi="Calibri"/>
            <w:sz w:val="22"/>
            <w:szCs w:val="22"/>
            <w:lang w:eastAsia="en-NZ"/>
          </w:rPr>
          <w:tab/>
        </w:r>
        <w:r w:rsidR="00C97BE6" w:rsidRPr="001864CF">
          <w:rPr>
            <w:rStyle w:val="Hyperlink"/>
          </w:rPr>
          <w:t>Greenhouse gas trends</w:t>
        </w:r>
        <w:r w:rsidR="00C97BE6">
          <w:rPr>
            <w:webHidden/>
          </w:rPr>
          <w:tab/>
        </w:r>
        <w:r w:rsidR="00C97BE6">
          <w:rPr>
            <w:webHidden/>
          </w:rPr>
          <w:fldChar w:fldCharType="begin"/>
        </w:r>
        <w:r w:rsidR="00C97BE6">
          <w:rPr>
            <w:webHidden/>
          </w:rPr>
          <w:instrText xml:space="preserve"> PAGEREF _Toc5269321 \h </w:instrText>
        </w:r>
        <w:r w:rsidR="00C97BE6">
          <w:rPr>
            <w:webHidden/>
          </w:rPr>
        </w:r>
        <w:r w:rsidR="00C97BE6">
          <w:rPr>
            <w:webHidden/>
          </w:rPr>
          <w:fldChar w:fldCharType="separate"/>
        </w:r>
        <w:r w:rsidR="00D0418C">
          <w:rPr>
            <w:webHidden/>
          </w:rPr>
          <w:t>4</w:t>
        </w:r>
        <w:r w:rsidR="00C97BE6">
          <w:rPr>
            <w:webHidden/>
          </w:rPr>
          <w:fldChar w:fldCharType="end"/>
        </w:r>
      </w:hyperlink>
    </w:p>
    <w:p w14:paraId="0C332237" w14:textId="77777777" w:rsidR="00C97BE6" w:rsidRPr="002D354C" w:rsidRDefault="00590491">
      <w:pPr>
        <w:pStyle w:val="TOC2"/>
        <w:rPr>
          <w:rFonts w:ascii="Calibri" w:hAnsi="Calibri"/>
          <w:sz w:val="22"/>
          <w:szCs w:val="22"/>
          <w:lang w:eastAsia="en-NZ"/>
        </w:rPr>
      </w:pPr>
      <w:hyperlink w:anchor="_Toc5269322" w:history="1">
        <w:r w:rsidR="00C97BE6" w:rsidRPr="001864CF">
          <w:rPr>
            <w:rStyle w:val="Hyperlink"/>
          </w:rPr>
          <w:t>ES.4</w:t>
        </w:r>
        <w:r w:rsidR="00C97BE6" w:rsidRPr="002D354C">
          <w:rPr>
            <w:rFonts w:ascii="Calibri" w:hAnsi="Calibri"/>
            <w:sz w:val="22"/>
            <w:szCs w:val="22"/>
            <w:lang w:eastAsia="en-NZ"/>
          </w:rPr>
          <w:tab/>
        </w:r>
        <w:r w:rsidR="00C97BE6" w:rsidRPr="001864CF">
          <w:rPr>
            <w:rStyle w:val="Hyperlink"/>
          </w:rPr>
          <w:t>Sector trends</w:t>
        </w:r>
        <w:r w:rsidR="00C97BE6">
          <w:rPr>
            <w:webHidden/>
          </w:rPr>
          <w:tab/>
        </w:r>
        <w:r w:rsidR="00C97BE6">
          <w:rPr>
            <w:webHidden/>
          </w:rPr>
          <w:fldChar w:fldCharType="begin"/>
        </w:r>
        <w:r w:rsidR="00C97BE6">
          <w:rPr>
            <w:webHidden/>
          </w:rPr>
          <w:instrText xml:space="preserve"> PAGEREF _Toc5269322 \h </w:instrText>
        </w:r>
        <w:r w:rsidR="00C97BE6">
          <w:rPr>
            <w:webHidden/>
          </w:rPr>
        </w:r>
        <w:r w:rsidR="00C97BE6">
          <w:rPr>
            <w:webHidden/>
          </w:rPr>
          <w:fldChar w:fldCharType="separate"/>
        </w:r>
        <w:r w:rsidR="00D0418C">
          <w:rPr>
            <w:webHidden/>
          </w:rPr>
          <w:t>6</w:t>
        </w:r>
        <w:r w:rsidR="00C97BE6">
          <w:rPr>
            <w:webHidden/>
          </w:rPr>
          <w:fldChar w:fldCharType="end"/>
        </w:r>
      </w:hyperlink>
    </w:p>
    <w:p w14:paraId="20B44CBB" w14:textId="77777777" w:rsidR="00C97BE6" w:rsidRPr="002D354C" w:rsidRDefault="00590491">
      <w:pPr>
        <w:pStyle w:val="TOC2"/>
        <w:rPr>
          <w:rFonts w:ascii="Calibri" w:hAnsi="Calibri"/>
          <w:sz w:val="22"/>
          <w:szCs w:val="22"/>
          <w:lang w:eastAsia="en-NZ"/>
        </w:rPr>
      </w:pPr>
      <w:hyperlink w:anchor="_Toc5269323" w:history="1">
        <w:r w:rsidR="00C97BE6" w:rsidRPr="001864CF">
          <w:rPr>
            <w:rStyle w:val="Hyperlink"/>
          </w:rPr>
          <w:t xml:space="preserve">ES.5 </w:t>
        </w:r>
        <w:r w:rsidR="00C97BE6" w:rsidRPr="002D354C">
          <w:rPr>
            <w:rFonts w:ascii="Calibri" w:hAnsi="Calibri"/>
            <w:sz w:val="22"/>
            <w:szCs w:val="22"/>
            <w:lang w:eastAsia="en-NZ"/>
          </w:rPr>
          <w:tab/>
        </w:r>
        <w:r w:rsidR="00C97BE6" w:rsidRPr="001864CF">
          <w:rPr>
            <w:rStyle w:val="Hyperlink"/>
          </w:rPr>
          <w:t>Activities under Article 3.3 and Article 3.4 of the Kyoto Protocol (chapter 11)</w:t>
        </w:r>
        <w:r w:rsidR="00C97BE6">
          <w:rPr>
            <w:webHidden/>
          </w:rPr>
          <w:tab/>
        </w:r>
        <w:r w:rsidR="00C97BE6">
          <w:rPr>
            <w:webHidden/>
          </w:rPr>
          <w:fldChar w:fldCharType="begin"/>
        </w:r>
        <w:r w:rsidR="00C97BE6">
          <w:rPr>
            <w:webHidden/>
          </w:rPr>
          <w:instrText xml:space="preserve"> PAGEREF _Toc5269323 \h </w:instrText>
        </w:r>
        <w:r w:rsidR="00C97BE6">
          <w:rPr>
            <w:webHidden/>
          </w:rPr>
        </w:r>
        <w:r w:rsidR="00C97BE6">
          <w:rPr>
            <w:webHidden/>
          </w:rPr>
          <w:fldChar w:fldCharType="separate"/>
        </w:r>
        <w:r w:rsidR="00D0418C">
          <w:rPr>
            <w:webHidden/>
          </w:rPr>
          <w:t>13</w:t>
        </w:r>
        <w:r w:rsidR="00C97BE6">
          <w:rPr>
            <w:webHidden/>
          </w:rPr>
          <w:fldChar w:fldCharType="end"/>
        </w:r>
      </w:hyperlink>
    </w:p>
    <w:p w14:paraId="3FF076FA" w14:textId="77777777" w:rsidR="00C97BE6" w:rsidRPr="002D354C" w:rsidRDefault="00590491">
      <w:pPr>
        <w:pStyle w:val="TOC2"/>
        <w:rPr>
          <w:rFonts w:ascii="Calibri" w:hAnsi="Calibri"/>
          <w:sz w:val="22"/>
          <w:szCs w:val="22"/>
          <w:lang w:eastAsia="en-NZ"/>
        </w:rPr>
      </w:pPr>
      <w:hyperlink w:anchor="_Toc5269324" w:history="1">
        <w:r w:rsidR="00C97BE6" w:rsidRPr="001864CF">
          <w:rPr>
            <w:rStyle w:val="Hyperlink"/>
          </w:rPr>
          <w:t>ES.6</w:t>
        </w:r>
        <w:r w:rsidR="00C97BE6" w:rsidRPr="002D354C">
          <w:rPr>
            <w:rFonts w:ascii="Calibri" w:hAnsi="Calibri"/>
            <w:sz w:val="22"/>
            <w:szCs w:val="22"/>
            <w:lang w:eastAsia="en-NZ"/>
          </w:rPr>
          <w:tab/>
        </w:r>
        <w:r w:rsidR="00C97BE6" w:rsidRPr="001864CF">
          <w:rPr>
            <w:rStyle w:val="Hyperlink"/>
          </w:rPr>
          <w:t>Improvements introduced</w:t>
        </w:r>
        <w:r w:rsidR="00C97BE6">
          <w:rPr>
            <w:webHidden/>
          </w:rPr>
          <w:tab/>
        </w:r>
        <w:r w:rsidR="00C97BE6">
          <w:rPr>
            <w:webHidden/>
          </w:rPr>
          <w:fldChar w:fldCharType="begin"/>
        </w:r>
        <w:r w:rsidR="00C97BE6">
          <w:rPr>
            <w:webHidden/>
          </w:rPr>
          <w:instrText xml:space="preserve"> PAGEREF _Toc5269324 \h </w:instrText>
        </w:r>
        <w:r w:rsidR="00C97BE6">
          <w:rPr>
            <w:webHidden/>
          </w:rPr>
        </w:r>
        <w:r w:rsidR="00C97BE6">
          <w:rPr>
            <w:webHidden/>
          </w:rPr>
          <w:fldChar w:fldCharType="separate"/>
        </w:r>
        <w:r w:rsidR="00D0418C">
          <w:rPr>
            <w:webHidden/>
          </w:rPr>
          <w:t>15</w:t>
        </w:r>
        <w:r w:rsidR="00C97BE6">
          <w:rPr>
            <w:webHidden/>
          </w:rPr>
          <w:fldChar w:fldCharType="end"/>
        </w:r>
      </w:hyperlink>
    </w:p>
    <w:p w14:paraId="071134E2" w14:textId="77777777" w:rsidR="00C97BE6" w:rsidRPr="002D354C" w:rsidRDefault="00590491">
      <w:pPr>
        <w:pStyle w:val="TOC2"/>
        <w:rPr>
          <w:rFonts w:ascii="Calibri" w:hAnsi="Calibri"/>
          <w:sz w:val="22"/>
          <w:szCs w:val="22"/>
          <w:lang w:eastAsia="en-NZ"/>
        </w:rPr>
      </w:pPr>
      <w:hyperlink w:anchor="_Toc5269325" w:history="1">
        <w:r w:rsidR="00C97BE6" w:rsidRPr="001864CF">
          <w:rPr>
            <w:rStyle w:val="Hyperlink"/>
          </w:rPr>
          <w:t>ES.7</w:t>
        </w:r>
        <w:r w:rsidR="00C97BE6" w:rsidRPr="002D354C">
          <w:rPr>
            <w:rFonts w:ascii="Calibri" w:hAnsi="Calibri"/>
            <w:sz w:val="22"/>
            <w:szCs w:val="22"/>
            <w:lang w:eastAsia="en-NZ"/>
          </w:rPr>
          <w:tab/>
        </w:r>
        <w:r w:rsidR="00C97BE6" w:rsidRPr="001864CF">
          <w:rPr>
            <w:rStyle w:val="Hyperlink"/>
          </w:rPr>
          <w:t>National registry (chapters 12 and 14)</w:t>
        </w:r>
        <w:r w:rsidR="00C97BE6">
          <w:rPr>
            <w:webHidden/>
          </w:rPr>
          <w:tab/>
        </w:r>
        <w:r w:rsidR="00C97BE6">
          <w:rPr>
            <w:webHidden/>
          </w:rPr>
          <w:fldChar w:fldCharType="begin"/>
        </w:r>
        <w:r w:rsidR="00C97BE6">
          <w:rPr>
            <w:webHidden/>
          </w:rPr>
          <w:instrText xml:space="preserve"> PAGEREF _Toc5269325 \h </w:instrText>
        </w:r>
        <w:r w:rsidR="00C97BE6">
          <w:rPr>
            <w:webHidden/>
          </w:rPr>
        </w:r>
        <w:r w:rsidR="00C97BE6">
          <w:rPr>
            <w:webHidden/>
          </w:rPr>
          <w:fldChar w:fldCharType="separate"/>
        </w:r>
        <w:r w:rsidR="00D0418C">
          <w:rPr>
            <w:webHidden/>
          </w:rPr>
          <w:t>17</w:t>
        </w:r>
        <w:r w:rsidR="00C97BE6">
          <w:rPr>
            <w:webHidden/>
          </w:rPr>
          <w:fldChar w:fldCharType="end"/>
        </w:r>
      </w:hyperlink>
    </w:p>
    <w:p w14:paraId="3A267055" w14:textId="77777777" w:rsidR="00C97BE6" w:rsidRPr="002D354C" w:rsidRDefault="00590491">
      <w:pPr>
        <w:pStyle w:val="TOC2"/>
        <w:rPr>
          <w:rFonts w:ascii="Calibri" w:hAnsi="Calibri"/>
          <w:sz w:val="22"/>
          <w:szCs w:val="22"/>
          <w:lang w:eastAsia="en-NZ"/>
        </w:rPr>
      </w:pPr>
      <w:hyperlink w:anchor="_Toc5269326" w:history="1">
        <w:r w:rsidR="00C97BE6" w:rsidRPr="001864CF">
          <w:rPr>
            <w:rStyle w:val="Hyperlink"/>
          </w:rPr>
          <w:t>Executive summary: References</w:t>
        </w:r>
        <w:r w:rsidR="00C97BE6">
          <w:rPr>
            <w:webHidden/>
          </w:rPr>
          <w:tab/>
        </w:r>
        <w:r w:rsidR="00C97BE6">
          <w:rPr>
            <w:webHidden/>
          </w:rPr>
          <w:fldChar w:fldCharType="begin"/>
        </w:r>
        <w:r w:rsidR="00C97BE6">
          <w:rPr>
            <w:webHidden/>
          </w:rPr>
          <w:instrText xml:space="preserve"> PAGEREF _Toc5269326 \h </w:instrText>
        </w:r>
        <w:r w:rsidR="00C97BE6">
          <w:rPr>
            <w:webHidden/>
          </w:rPr>
        </w:r>
        <w:r w:rsidR="00C97BE6">
          <w:rPr>
            <w:webHidden/>
          </w:rPr>
          <w:fldChar w:fldCharType="separate"/>
        </w:r>
        <w:r w:rsidR="00D0418C">
          <w:rPr>
            <w:webHidden/>
          </w:rPr>
          <w:t>18</w:t>
        </w:r>
        <w:r w:rsidR="00C97BE6">
          <w:rPr>
            <w:webHidden/>
          </w:rPr>
          <w:fldChar w:fldCharType="end"/>
        </w:r>
      </w:hyperlink>
    </w:p>
    <w:p w14:paraId="6FB0497D" w14:textId="77777777" w:rsidR="00C97BE6" w:rsidRPr="002D354C" w:rsidRDefault="00590491">
      <w:pPr>
        <w:pStyle w:val="TOC1"/>
        <w:rPr>
          <w:rFonts w:ascii="Calibri" w:hAnsi="Calibri"/>
          <w:noProof/>
          <w:sz w:val="22"/>
          <w:szCs w:val="22"/>
          <w:lang w:eastAsia="en-NZ"/>
        </w:rPr>
      </w:pPr>
      <w:hyperlink w:anchor="_Toc5269327" w:history="1">
        <w:r w:rsidR="00C97BE6" w:rsidRPr="001864CF">
          <w:rPr>
            <w:rStyle w:val="Hyperlink"/>
            <w:noProof/>
          </w:rPr>
          <w:t>Chapter 1: Introduction</w:t>
        </w:r>
        <w:r w:rsidR="00C97BE6">
          <w:rPr>
            <w:noProof/>
            <w:webHidden/>
          </w:rPr>
          <w:tab/>
        </w:r>
        <w:r w:rsidR="00C97BE6">
          <w:rPr>
            <w:noProof/>
            <w:webHidden/>
          </w:rPr>
          <w:fldChar w:fldCharType="begin"/>
        </w:r>
        <w:r w:rsidR="00C97BE6">
          <w:rPr>
            <w:noProof/>
            <w:webHidden/>
          </w:rPr>
          <w:instrText xml:space="preserve"> PAGEREF _Toc5269327 \h </w:instrText>
        </w:r>
        <w:r w:rsidR="00C97BE6">
          <w:rPr>
            <w:noProof/>
            <w:webHidden/>
          </w:rPr>
        </w:r>
        <w:r w:rsidR="00C97BE6">
          <w:rPr>
            <w:noProof/>
            <w:webHidden/>
          </w:rPr>
          <w:fldChar w:fldCharType="separate"/>
        </w:r>
        <w:r w:rsidR="00D0418C">
          <w:rPr>
            <w:noProof/>
            <w:webHidden/>
          </w:rPr>
          <w:t>19</w:t>
        </w:r>
        <w:r w:rsidR="00C97BE6">
          <w:rPr>
            <w:noProof/>
            <w:webHidden/>
          </w:rPr>
          <w:fldChar w:fldCharType="end"/>
        </w:r>
      </w:hyperlink>
    </w:p>
    <w:p w14:paraId="59002DBB" w14:textId="77777777" w:rsidR="00C97BE6" w:rsidRPr="002D354C" w:rsidRDefault="00590491">
      <w:pPr>
        <w:pStyle w:val="TOC2"/>
        <w:rPr>
          <w:rFonts w:ascii="Calibri" w:hAnsi="Calibri"/>
          <w:sz w:val="22"/>
          <w:szCs w:val="22"/>
          <w:lang w:eastAsia="en-NZ"/>
        </w:rPr>
      </w:pPr>
      <w:hyperlink w:anchor="_Toc5269328" w:history="1">
        <w:r w:rsidR="00C97BE6" w:rsidRPr="001864CF">
          <w:rPr>
            <w:rStyle w:val="Hyperlink"/>
          </w:rPr>
          <w:t>1.1</w:t>
        </w:r>
        <w:r w:rsidR="00C97BE6" w:rsidRPr="002D354C">
          <w:rPr>
            <w:rFonts w:ascii="Calibri" w:hAnsi="Calibri"/>
            <w:sz w:val="22"/>
            <w:szCs w:val="22"/>
            <w:lang w:eastAsia="en-NZ"/>
          </w:rPr>
          <w:tab/>
        </w:r>
        <w:r w:rsidR="00C97BE6" w:rsidRPr="001864CF">
          <w:rPr>
            <w:rStyle w:val="Hyperlink"/>
          </w:rPr>
          <w:t>Background</w:t>
        </w:r>
        <w:r w:rsidR="00C97BE6">
          <w:rPr>
            <w:webHidden/>
          </w:rPr>
          <w:tab/>
        </w:r>
        <w:r w:rsidR="00C97BE6">
          <w:rPr>
            <w:webHidden/>
          </w:rPr>
          <w:fldChar w:fldCharType="begin"/>
        </w:r>
        <w:r w:rsidR="00C97BE6">
          <w:rPr>
            <w:webHidden/>
          </w:rPr>
          <w:instrText xml:space="preserve"> PAGEREF _Toc5269328 \h </w:instrText>
        </w:r>
        <w:r w:rsidR="00C97BE6">
          <w:rPr>
            <w:webHidden/>
          </w:rPr>
        </w:r>
        <w:r w:rsidR="00C97BE6">
          <w:rPr>
            <w:webHidden/>
          </w:rPr>
          <w:fldChar w:fldCharType="separate"/>
        </w:r>
        <w:r w:rsidR="00D0418C">
          <w:rPr>
            <w:webHidden/>
          </w:rPr>
          <w:t>19</w:t>
        </w:r>
        <w:r w:rsidR="00C97BE6">
          <w:rPr>
            <w:webHidden/>
          </w:rPr>
          <w:fldChar w:fldCharType="end"/>
        </w:r>
      </w:hyperlink>
    </w:p>
    <w:p w14:paraId="76E7395E" w14:textId="77777777" w:rsidR="00C97BE6" w:rsidRPr="002D354C" w:rsidRDefault="00590491">
      <w:pPr>
        <w:pStyle w:val="TOC2"/>
        <w:rPr>
          <w:rFonts w:ascii="Calibri" w:hAnsi="Calibri"/>
          <w:sz w:val="22"/>
          <w:szCs w:val="22"/>
          <w:lang w:eastAsia="en-NZ"/>
        </w:rPr>
      </w:pPr>
      <w:hyperlink w:anchor="_Toc5269329" w:history="1">
        <w:r w:rsidR="00C97BE6" w:rsidRPr="001864CF">
          <w:rPr>
            <w:rStyle w:val="Hyperlink"/>
          </w:rPr>
          <w:t>1.2</w:t>
        </w:r>
        <w:r w:rsidR="00C97BE6" w:rsidRPr="002D354C">
          <w:rPr>
            <w:rFonts w:ascii="Calibri" w:hAnsi="Calibri"/>
            <w:sz w:val="22"/>
            <w:szCs w:val="22"/>
            <w:lang w:eastAsia="en-NZ"/>
          </w:rPr>
          <w:tab/>
        </w:r>
        <w:r w:rsidR="00C97BE6" w:rsidRPr="001864CF">
          <w:rPr>
            <w:rStyle w:val="Hyperlink"/>
          </w:rPr>
          <w:t>Description of the national inventory arrangements</w:t>
        </w:r>
        <w:r w:rsidR="00C97BE6">
          <w:rPr>
            <w:webHidden/>
          </w:rPr>
          <w:tab/>
        </w:r>
        <w:r w:rsidR="00C97BE6">
          <w:rPr>
            <w:webHidden/>
          </w:rPr>
          <w:fldChar w:fldCharType="begin"/>
        </w:r>
        <w:r w:rsidR="00C97BE6">
          <w:rPr>
            <w:webHidden/>
          </w:rPr>
          <w:instrText xml:space="preserve"> PAGEREF _Toc5269329 \h </w:instrText>
        </w:r>
        <w:r w:rsidR="00C97BE6">
          <w:rPr>
            <w:webHidden/>
          </w:rPr>
        </w:r>
        <w:r w:rsidR="00C97BE6">
          <w:rPr>
            <w:webHidden/>
          </w:rPr>
          <w:fldChar w:fldCharType="separate"/>
        </w:r>
        <w:r w:rsidR="00D0418C">
          <w:rPr>
            <w:webHidden/>
          </w:rPr>
          <w:t>22</w:t>
        </w:r>
        <w:r w:rsidR="00C97BE6">
          <w:rPr>
            <w:webHidden/>
          </w:rPr>
          <w:fldChar w:fldCharType="end"/>
        </w:r>
      </w:hyperlink>
    </w:p>
    <w:p w14:paraId="1F90D492" w14:textId="77777777" w:rsidR="00C97BE6" w:rsidRPr="002D354C" w:rsidRDefault="00590491">
      <w:pPr>
        <w:pStyle w:val="TOC2"/>
        <w:rPr>
          <w:rFonts w:ascii="Calibri" w:hAnsi="Calibri"/>
          <w:sz w:val="22"/>
          <w:szCs w:val="22"/>
          <w:lang w:eastAsia="en-NZ"/>
        </w:rPr>
      </w:pPr>
      <w:hyperlink w:anchor="_Toc5269330" w:history="1">
        <w:r w:rsidR="00C97BE6" w:rsidRPr="001864CF">
          <w:rPr>
            <w:rStyle w:val="Hyperlink"/>
          </w:rPr>
          <w:t>1.3</w:t>
        </w:r>
        <w:r w:rsidR="00C97BE6" w:rsidRPr="002D354C">
          <w:rPr>
            <w:rFonts w:ascii="Calibri" w:hAnsi="Calibri"/>
            <w:sz w:val="22"/>
            <w:szCs w:val="22"/>
            <w:lang w:eastAsia="en-NZ"/>
          </w:rPr>
          <w:tab/>
        </w:r>
        <w:r w:rsidR="00C97BE6" w:rsidRPr="001864CF">
          <w:rPr>
            <w:rStyle w:val="Hyperlink"/>
          </w:rPr>
          <w:t>Inventory preparation: data collection, processing and storage</w:t>
        </w:r>
        <w:r w:rsidR="00C97BE6">
          <w:rPr>
            <w:webHidden/>
          </w:rPr>
          <w:tab/>
        </w:r>
        <w:r w:rsidR="00C97BE6">
          <w:rPr>
            <w:webHidden/>
          </w:rPr>
          <w:fldChar w:fldCharType="begin"/>
        </w:r>
        <w:r w:rsidR="00C97BE6">
          <w:rPr>
            <w:webHidden/>
          </w:rPr>
          <w:instrText xml:space="preserve"> PAGEREF _Toc5269330 \h </w:instrText>
        </w:r>
        <w:r w:rsidR="00C97BE6">
          <w:rPr>
            <w:webHidden/>
          </w:rPr>
        </w:r>
        <w:r w:rsidR="00C97BE6">
          <w:rPr>
            <w:webHidden/>
          </w:rPr>
          <w:fldChar w:fldCharType="separate"/>
        </w:r>
        <w:r w:rsidR="00D0418C">
          <w:rPr>
            <w:webHidden/>
          </w:rPr>
          <w:t>32</w:t>
        </w:r>
        <w:r w:rsidR="00C97BE6">
          <w:rPr>
            <w:webHidden/>
          </w:rPr>
          <w:fldChar w:fldCharType="end"/>
        </w:r>
      </w:hyperlink>
    </w:p>
    <w:p w14:paraId="12379D9D" w14:textId="77777777" w:rsidR="00C97BE6" w:rsidRPr="002D354C" w:rsidRDefault="00590491">
      <w:pPr>
        <w:pStyle w:val="TOC2"/>
        <w:rPr>
          <w:rFonts w:ascii="Calibri" w:hAnsi="Calibri"/>
          <w:sz w:val="22"/>
          <w:szCs w:val="22"/>
          <w:lang w:eastAsia="en-NZ"/>
        </w:rPr>
      </w:pPr>
      <w:hyperlink w:anchor="_Toc5269331" w:history="1">
        <w:r w:rsidR="00C97BE6" w:rsidRPr="001864CF">
          <w:rPr>
            <w:rStyle w:val="Hyperlink"/>
          </w:rPr>
          <w:t>1.4</w:t>
        </w:r>
        <w:r w:rsidR="00C97BE6" w:rsidRPr="002D354C">
          <w:rPr>
            <w:rFonts w:ascii="Calibri" w:hAnsi="Calibri"/>
            <w:sz w:val="22"/>
            <w:szCs w:val="22"/>
            <w:lang w:eastAsia="en-NZ"/>
          </w:rPr>
          <w:tab/>
        </w:r>
        <w:r w:rsidR="00C97BE6" w:rsidRPr="001864CF">
          <w:rPr>
            <w:rStyle w:val="Hyperlink"/>
          </w:rPr>
          <w:t>Methodologies and data sources used</w:t>
        </w:r>
        <w:r w:rsidR="00C97BE6">
          <w:rPr>
            <w:webHidden/>
          </w:rPr>
          <w:tab/>
        </w:r>
        <w:r w:rsidR="00C97BE6">
          <w:rPr>
            <w:webHidden/>
          </w:rPr>
          <w:fldChar w:fldCharType="begin"/>
        </w:r>
        <w:r w:rsidR="00C97BE6">
          <w:rPr>
            <w:webHidden/>
          </w:rPr>
          <w:instrText xml:space="preserve"> PAGEREF _Toc5269331 \h </w:instrText>
        </w:r>
        <w:r w:rsidR="00C97BE6">
          <w:rPr>
            <w:webHidden/>
          </w:rPr>
        </w:r>
        <w:r w:rsidR="00C97BE6">
          <w:rPr>
            <w:webHidden/>
          </w:rPr>
          <w:fldChar w:fldCharType="separate"/>
        </w:r>
        <w:r w:rsidR="00D0418C">
          <w:rPr>
            <w:webHidden/>
          </w:rPr>
          <w:t>33</w:t>
        </w:r>
        <w:r w:rsidR="00C97BE6">
          <w:rPr>
            <w:webHidden/>
          </w:rPr>
          <w:fldChar w:fldCharType="end"/>
        </w:r>
      </w:hyperlink>
    </w:p>
    <w:p w14:paraId="7AA648D4" w14:textId="77777777" w:rsidR="00C97BE6" w:rsidRPr="002D354C" w:rsidRDefault="00590491">
      <w:pPr>
        <w:pStyle w:val="TOC2"/>
        <w:rPr>
          <w:rFonts w:ascii="Calibri" w:hAnsi="Calibri"/>
          <w:sz w:val="22"/>
          <w:szCs w:val="22"/>
          <w:lang w:eastAsia="en-NZ"/>
        </w:rPr>
      </w:pPr>
      <w:hyperlink w:anchor="_Toc5269332" w:history="1">
        <w:r w:rsidR="00C97BE6" w:rsidRPr="001864CF">
          <w:rPr>
            <w:rStyle w:val="Hyperlink"/>
          </w:rPr>
          <w:t>1.5</w:t>
        </w:r>
        <w:r w:rsidR="00C97BE6" w:rsidRPr="002D354C">
          <w:rPr>
            <w:rFonts w:ascii="Calibri" w:hAnsi="Calibri"/>
            <w:sz w:val="22"/>
            <w:szCs w:val="22"/>
            <w:lang w:eastAsia="en-NZ"/>
          </w:rPr>
          <w:tab/>
        </w:r>
        <w:r w:rsidR="00C97BE6" w:rsidRPr="001864CF">
          <w:rPr>
            <w:rStyle w:val="Hyperlink"/>
          </w:rPr>
          <w:t>Key categories</w:t>
        </w:r>
        <w:r w:rsidR="00C97BE6">
          <w:rPr>
            <w:webHidden/>
          </w:rPr>
          <w:tab/>
        </w:r>
        <w:r w:rsidR="00C97BE6">
          <w:rPr>
            <w:webHidden/>
          </w:rPr>
          <w:fldChar w:fldCharType="begin"/>
        </w:r>
        <w:r w:rsidR="00C97BE6">
          <w:rPr>
            <w:webHidden/>
          </w:rPr>
          <w:instrText xml:space="preserve"> PAGEREF _Toc5269332 \h </w:instrText>
        </w:r>
        <w:r w:rsidR="00C97BE6">
          <w:rPr>
            <w:webHidden/>
          </w:rPr>
        </w:r>
        <w:r w:rsidR="00C97BE6">
          <w:rPr>
            <w:webHidden/>
          </w:rPr>
          <w:fldChar w:fldCharType="separate"/>
        </w:r>
        <w:r w:rsidR="00D0418C">
          <w:rPr>
            <w:webHidden/>
          </w:rPr>
          <w:t>36</w:t>
        </w:r>
        <w:r w:rsidR="00C97BE6">
          <w:rPr>
            <w:webHidden/>
          </w:rPr>
          <w:fldChar w:fldCharType="end"/>
        </w:r>
      </w:hyperlink>
    </w:p>
    <w:p w14:paraId="5844E114" w14:textId="77777777" w:rsidR="00C97BE6" w:rsidRPr="002D354C" w:rsidRDefault="00590491">
      <w:pPr>
        <w:pStyle w:val="TOC2"/>
        <w:rPr>
          <w:rFonts w:ascii="Calibri" w:hAnsi="Calibri"/>
          <w:sz w:val="22"/>
          <w:szCs w:val="22"/>
          <w:lang w:eastAsia="en-NZ"/>
        </w:rPr>
      </w:pPr>
      <w:hyperlink w:anchor="_Toc5269333" w:history="1">
        <w:r w:rsidR="00C97BE6" w:rsidRPr="001864CF">
          <w:rPr>
            <w:rStyle w:val="Hyperlink"/>
          </w:rPr>
          <w:t>1.6</w:t>
        </w:r>
        <w:r w:rsidR="00C97BE6" w:rsidRPr="002D354C">
          <w:rPr>
            <w:rFonts w:ascii="Calibri" w:hAnsi="Calibri"/>
            <w:sz w:val="22"/>
            <w:szCs w:val="22"/>
            <w:lang w:eastAsia="en-NZ"/>
          </w:rPr>
          <w:tab/>
        </w:r>
        <w:r w:rsidR="00C97BE6" w:rsidRPr="001864CF">
          <w:rPr>
            <w:rStyle w:val="Hyperlink"/>
          </w:rPr>
          <w:t>Inventory uncertainty</w:t>
        </w:r>
        <w:r w:rsidR="00C97BE6">
          <w:rPr>
            <w:webHidden/>
          </w:rPr>
          <w:tab/>
        </w:r>
        <w:r w:rsidR="00C97BE6">
          <w:rPr>
            <w:webHidden/>
          </w:rPr>
          <w:fldChar w:fldCharType="begin"/>
        </w:r>
        <w:r w:rsidR="00C97BE6">
          <w:rPr>
            <w:webHidden/>
          </w:rPr>
          <w:instrText xml:space="preserve"> PAGEREF _Toc5269333 \h </w:instrText>
        </w:r>
        <w:r w:rsidR="00C97BE6">
          <w:rPr>
            <w:webHidden/>
          </w:rPr>
        </w:r>
        <w:r w:rsidR="00C97BE6">
          <w:rPr>
            <w:webHidden/>
          </w:rPr>
          <w:fldChar w:fldCharType="separate"/>
        </w:r>
        <w:r w:rsidR="00D0418C">
          <w:rPr>
            <w:webHidden/>
          </w:rPr>
          <w:t>46</w:t>
        </w:r>
        <w:r w:rsidR="00C97BE6">
          <w:rPr>
            <w:webHidden/>
          </w:rPr>
          <w:fldChar w:fldCharType="end"/>
        </w:r>
      </w:hyperlink>
    </w:p>
    <w:p w14:paraId="657BA40A" w14:textId="77777777" w:rsidR="00C97BE6" w:rsidRPr="002D354C" w:rsidRDefault="00590491">
      <w:pPr>
        <w:pStyle w:val="TOC2"/>
        <w:rPr>
          <w:rFonts w:ascii="Calibri" w:hAnsi="Calibri"/>
          <w:sz w:val="22"/>
          <w:szCs w:val="22"/>
          <w:lang w:eastAsia="en-NZ"/>
        </w:rPr>
      </w:pPr>
      <w:hyperlink w:anchor="_Toc5269334" w:history="1">
        <w:r w:rsidR="00C97BE6" w:rsidRPr="001864CF">
          <w:rPr>
            <w:rStyle w:val="Hyperlink"/>
          </w:rPr>
          <w:t>1.7</w:t>
        </w:r>
        <w:r w:rsidR="00C97BE6" w:rsidRPr="002D354C">
          <w:rPr>
            <w:rFonts w:ascii="Calibri" w:hAnsi="Calibri"/>
            <w:sz w:val="22"/>
            <w:szCs w:val="22"/>
            <w:lang w:eastAsia="en-NZ"/>
          </w:rPr>
          <w:tab/>
        </w:r>
        <w:r w:rsidR="00C97BE6" w:rsidRPr="001864CF">
          <w:rPr>
            <w:rStyle w:val="Hyperlink"/>
          </w:rPr>
          <w:t>Inventory completeness</w:t>
        </w:r>
        <w:r w:rsidR="00C97BE6">
          <w:rPr>
            <w:webHidden/>
          </w:rPr>
          <w:tab/>
        </w:r>
        <w:r w:rsidR="00C97BE6">
          <w:rPr>
            <w:webHidden/>
          </w:rPr>
          <w:fldChar w:fldCharType="begin"/>
        </w:r>
        <w:r w:rsidR="00C97BE6">
          <w:rPr>
            <w:webHidden/>
          </w:rPr>
          <w:instrText xml:space="preserve"> PAGEREF _Toc5269334 \h </w:instrText>
        </w:r>
        <w:r w:rsidR="00C97BE6">
          <w:rPr>
            <w:webHidden/>
          </w:rPr>
        </w:r>
        <w:r w:rsidR="00C97BE6">
          <w:rPr>
            <w:webHidden/>
          </w:rPr>
          <w:fldChar w:fldCharType="separate"/>
        </w:r>
        <w:r w:rsidR="00D0418C">
          <w:rPr>
            <w:webHidden/>
          </w:rPr>
          <w:t>48</w:t>
        </w:r>
        <w:r w:rsidR="00C97BE6">
          <w:rPr>
            <w:webHidden/>
          </w:rPr>
          <w:fldChar w:fldCharType="end"/>
        </w:r>
      </w:hyperlink>
    </w:p>
    <w:p w14:paraId="5351036D" w14:textId="77777777" w:rsidR="00C97BE6" w:rsidRPr="002D354C" w:rsidRDefault="00590491">
      <w:pPr>
        <w:pStyle w:val="TOC2"/>
        <w:rPr>
          <w:rFonts w:ascii="Calibri" w:hAnsi="Calibri"/>
          <w:sz w:val="22"/>
          <w:szCs w:val="22"/>
          <w:lang w:eastAsia="en-NZ"/>
        </w:rPr>
      </w:pPr>
      <w:hyperlink w:anchor="_Toc5269335" w:history="1">
        <w:r w:rsidR="00C97BE6" w:rsidRPr="001864CF">
          <w:rPr>
            <w:rStyle w:val="Hyperlink"/>
          </w:rPr>
          <w:t>1.8</w:t>
        </w:r>
        <w:r w:rsidR="00C97BE6" w:rsidRPr="002D354C">
          <w:rPr>
            <w:rFonts w:ascii="Calibri" w:hAnsi="Calibri"/>
            <w:sz w:val="22"/>
            <w:szCs w:val="22"/>
            <w:lang w:eastAsia="en-NZ"/>
          </w:rPr>
          <w:tab/>
        </w:r>
        <w:r w:rsidR="00C97BE6" w:rsidRPr="001864CF">
          <w:rPr>
            <w:rStyle w:val="Hyperlink"/>
          </w:rPr>
          <w:t>National registry</w:t>
        </w:r>
        <w:r w:rsidR="00C97BE6">
          <w:rPr>
            <w:webHidden/>
          </w:rPr>
          <w:tab/>
        </w:r>
        <w:r w:rsidR="00C97BE6">
          <w:rPr>
            <w:webHidden/>
          </w:rPr>
          <w:fldChar w:fldCharType="begin"/>
        </w:r>
        <w:r w:rsidR="00C97BE6">
          <w:rPr>
            <w:webHidden/>
          </w:rPr>
          <w:instrText xml:space="preserve"> PAGEREF _Toc5269335 \h </w:instrText>
        </w:r>
        <w:r w:rsidR="00C97BE6">
          <w:rPr>
            <w:webHidden/>
          </w:rPr>
        </w:r>
        <w:r w:rsidR="00C97BE6">
          <w:rPr>
            <w:webHidden/>
          </w:rPr>
          <w:fldChar w:fldCharType="separate"/>
        </w:r>
        <w:r w:rsidR="00D0418C">
          <w:rPr>
            <w:webHidden/>
          </w:rPr>
          <w:t>48</w:t>
        </w:r>
        <w:r w:rsidR="00C97BE6">
          <w:rPr>
            <w:webHidden/>
          </w:rPr>
          <w:fldChar w:fldCharType="end"/>
        </w:r>
      </w:hyperlink>
    </w:p>
    <w:p w14:paraId="65FD46BC" w14:textId="77777777" w:rsidR="00C97BE6" w:rsidRPr="002D354C" w:rsidRDefault="00590491">
      <w:pPr>
        <w:pStyle w:val="TOC2"/>
        <w:rPr>
          <w:rFonts w:ascii="Calibri" w:hAnsi="Calibri"/>
          <w:sz w:val="22"/>
          <w:szCs w:val="22"/>
          <w:lang w:eastAsia="en-NZ"/>
        </w:rPr>
      </w:pPr>
      <w:hyperlink w:anchor="_Toc5269336" w:history="1">
        <w:r w:rsidR="00C97BE6" w:rsidRPr="001864CF">
          <w:rPr>
            <w:rStyle w:val="Hyperlink"/>
          </w:rPr>
          <w:t xml:space="preserve">1.9 </w:t>
        </w:r>
        <w:r w:rsidR="00C97BE6" w:rsidRPr="002D354C">
          <w:rPr>
            <w:rFonts w:ascii="Calibri" w:hAnsi="Calibri"/>
            <w:sz w:val="22"/>
            <w:szCs w:val="22"/>
            <w:lang w:eastAsia="en-NZ"/>
          </w:rPr>
          <w:tab/>
        </w:r>
        <w:r w:rsidR="00C97BE6" w:rsidRPr="001864CF">
          <w:rPr>
            <w:rStyle w:val="Hyperlink"/>
          </w:rPr>
          <w:t>New Zealand’s Emissions Trading Scheme</w:t>
        </w:r>
        <w:r w:rsidR="00C97BE6">
          <w:rPr>
            <w:webHidden/>
          </w:rPr>
          <w:tab/>
        </w:r>
        <w:r w:rsidR="00C97BE6">
          <w:rPr>
            <w:webHidden/>
          </w:rPr>
          <w:fldChar w:fldCharType="begin"/>
        </w:r>
        <w:r w:rsidR="00C97BE6">
          <w:rPr>
            <w:webHidden/>
          </w:rPr>
          <w:instrText xml:space="preserve"> PAGEREF _Toc5269336 \h </w:instrText>
        </w:r>
        <w:r w:rsidR="00C97BE6">
          <w:rPr>
            <w:webHidden/>
          </w:rPr>
        </w:r>
        <w:r w:rsidR="00C97BE6">
          <w:rPr>
            <w:webHidden/>
          </w:rPr>
          <w:fldChar w:fldCharType="separate"/>
        </w:r>
        <w:r w:rsidR="00D0418C">
          <w:rPr>
            <w:webHidden/>
          </w:rPr>
          <w:t>49</w:t>
        </w:r>
        <w:r w:rsidR="00C97BE6">
          <w:rPr>
            <w:webHidden/>
          </w:rPr>
          <w:fldChar w:fldCharType="end"/>
        </w:r>
      </w:hyperlink>
    </w:p>
    <w:p w14:paraId="408F87D8" w14:textId="77777777" w:rsidR="00C97BE6" w:rsidRPr="002D354C" w:rsidRDefault="00590491">
      <w:pPr>
        <w:pStyle w:val="TOC2"/>
        <w:rPr>
          <w:rFonts w:ascii="Calibri" w:hAnsi="Calibri"/>
          <w:sz w:val="22"/>
          <w:szCs w:val="22"/>
          <w:lang w:eastAsia="en-NZ"/>
        </w:rPr>
      </w:pPr>
      <w:hyperlink w:anchor="_Toc5269337" w:history="1">
        <w:r w:rsidR="00C97BE6" w:rsidRPr="001864CF">
          <w:rPr>
            <w:rStyle w:val="Hyperlink"/>
          </w:rPr>
          <w:t xml:space="preserve">1.10 </w:t>
        </w:r>
        <w:r w:rsidR="00C97BE6" w:rsidRPr="002D354C">
          <w:rPr>
            <w:rFonts w:ascii="Calibri" w:hAnsi="Calibri"/>
            <w:sz w:val="22"/>
            <w:szCs w:val="22"/>
            <w:lang w:eastAsia="en-NZ"/>
          </w:rPr>
          <w:tab/>
        </w:r>
        <w:r w:rsidR="00C97BE6" w:rsidRPr="001864CF">
          <w:rPr>
            <w:rStyle w:val="Hyperlink"/>
          </w:rPr>
          <w:t>Improvements introduced</w:t>
        </w:r>
        <w:r w:rsidR="00C97BE6">
          <w:rPr>
            <w:webHidden/>
          </w:rPr>
          <w:tab/>
        </w:r>
        <w:r w:rsidR="00C97BE6">
          <w:rPr>
            <w:webHidden/>
          </w:rPr>
          <w:fldChar w:fldCharType="begin"/>
        </w:r>
        <w:r w:rsidR="00C97BE6">
          <w:rPr>
            <w:webHidden/>
          </w:rPr>
          <w:instrText xml:space="preserve"> PAGEREF _Toc5269337 \h </w:instrText>
        </w:r>
        <w:r w:rsidR="00C97BE6">
          <w:rPr>
            <w:webHidden/>
          </w:rPr>
        </w:r>
        <w:r w:rsidR="00C97BE6">
          <w:rPr>
            <w:webHidden/>
          </w:rPr>
          <w:fldChar w:fldCharType="separate"/>
        </w:r>
        <w:r w:rsidR="00D0418C">
          <w:rPr>
            <w:webHidden/>
          </w:rPr>
          <w:t>50</w:t>
        </w:r>
        <w:r w:rsidR="00C97BE6">
          <w:rPr>
            <w:webHidden/>
          </w:rPr>
          <w:fldChar w:fldCharType="end"/>
        </w:r>
      </w:hyperlink>
    </w:p>
    <w:p w14:paraId="5D5B325F" w14:textId="77777777" w:rsidR="00C97BE6" w:rsidRPr="002D354C" w:rsidRDefault="00590491">
      <w:pPr>
        <w:pStyle w:val="TOC2"/>
        <w:rPr>
          <w:rFonts w:ascii="Calibri" w:hAnsi="Calibri"/>
          <w:sz w:val="22"/>
          <w:szCs w:val="22"/>
          <w:lang w:eastAsia="en-NZ"/>
        </w:rPr>
      </w:pPr>
      <w:hyperlink w:anchor="_Toc5269338" w:history="1">
        <w:r w:rsidR="00C97BE6" w:rsidRPr="001864CF">
          <w:rPr>
            <w:rStyle w:val="Hyperlink"/>
          </w:rPr>
          <w:t>Chapter 1: References</w:t>
        </w:r>
        <w:r w:rsidR="00C97BE6">
          <w:rPr>
            <w:webHidden/>
          </w:rPr>
          <w:tab/>
        </w:r>
        <w:r w:rsidR="00C97BE6">
          <w:rPr>
            <w:webHidden/>
          </w:rPr>
          <w:fldChar w:fldCharType="begin"/>
        </w:r>
        <w:r w:rsidR="00C97BE6">
          <w:rPr>
            <w:webHidden/>
          </w:rPr>
          <w:instrText xml:space="preserve"> PAGEREF _Toc5269338 \h </w:instrText>
        </w:r>
        <w:r w:rsidR="00C97BE6">
          <w:rPr>
            <w:webHidden/>
          </w:rPr>
        </w:r>
        <w:r w:rsidR="00C97BE6">
          <w:rPr>
            <w:webHidden/>
          </w:rPr>
          <w:fldChar w:fldCharType="separate"/>
        </w:r>
        <w:r w:rsidR="00D0418C">
          <w:rPr>
            <w:webHidden/>
          </w:rPr>
          <w:t>53</w:t>
        </w:r>
        <w:r w:rsidR="00C97BE6">
          <w:rPr>
            <w:webHidden/>
          </w:rPr>
          <w:fldChar w:fldCharType="end"/>
        </w:r>
      </w:hyperlink>
    </w:p>
    <w:p w14:paraId="0EA85C9A" w14:textId="77777777" w:rsidR="00C97BE6" w:rsidRPr="002D354C" w:rsidRDefault="00590491">
      <w:pPr>
        <w:pStyle w:val="TOC1"/>
        <w:rPr>
          <w:rFonts w:ascii="Calibri" w:hAnsi="Calibri"/>
          <w:noProof/>
          <w:sz w:val="22"/>
          <w:szCs w:val="22"/>
          <w:lang w:eastAsia="en-NZ"/>
        </w:rPr>
      </w:pPr>
      <w:hyperlink w:anchor="_Toc5269339" w:history="1">
        <w:r w:rsidR="00C97BE6" w:rsidRPr="001864CF">
          <w:rPr>
            <w:rStyle w:val="Hyperlink"/>
            <w:noProof/>
          </w:rPr>
          <w:t>Chapter 2: Trends in greenhouse gas emissions</w:t>
        </w:r>
        <w:r w:rsidR="00C97BE6">
          <w:rPr>
            <w:noProof/>
            <w:webHidden/>
          </w:rPr>
          <w:tab/>
        </w:r>
        <w:r w:rsidR="00C97BE6">
          <w:rPr>
            <w:noProof/>
            <w:webHidden/>
          </w:rPr>
          <w:fldChar w:fldCharType="begin"/>
        </w:r>
        <w:r w:rsidR="00C97BE6">
          <w:rPr>
            <w:noProof/>
            <w:webHidden/>
          </w:rPr>
          <w:instrText xml:space="preserve"> PAGEREF _Toc5269339 \h </w:instrText>
        </w:r>
        <w:r w:rsidR="00C97BE6">
          <w:rPr>
            <w:noProof/>
            <w:webHidden/>
          </w:rPr>
        </w:r>
        <w:r w:rsidR="00C97BE6">
          <w:rPr>
            <w:noProof/>
            <w:webHidden/>
          </w:rPr>
          <w:fldChar w:fldCharType="separate"/>
        </w:r>
        <w:r w:rsidR="00D0418C">
          <w:rPr>
            <w:noProof/>
            <w:webHidden/>
          </w:rPr>
          <w:t>55</w:t>
        </w:r>
        <w:r w:rsidR="00C97BE6">
          <w:rPr>
            <w:noProof/>
            <w:webHidden/>
          </w:rPr>
          <w:fldChar w:fldCharType="end"/>
        </w:r>
      </w:hyperlink>
    </w:p>
    <w:p w14:paraId="6BF53D9C" w14:textId="77777777" w:rsidR="00C97BE6" w:rsidRPr="002D354C" w:rsidRDefault="00590491">
      <w:pPr>
        <w:pStyle w:val="TOC2"/>
        <w:rPr>
          <w:rFonts w:ascii="Calibri" w:hAnsi="Calibri"/>
          <w:sz w:val="22"/>
          <w:szCs w:val="22"/>
          <w:lang w:eastAsia="en-NZ"/>
        </w:rPr>
      </w:pPr>
      <w:hyperlink w:anchor="_Toc5269340" w:history="1">
        <w:r w:rsidR="00C97BE6" w:rsidRPr="001864CF">
          <w:rPr>
            <w:rStyle w:val="Hyperlink"/>
          </w:rPr>
          <w:t>2.1</w:t>
        </w:r>
        <w:r w:rsidR="00C97BE6" w:rsidRPr="002D354C">
          <w:rPr>
            <w:rFonts w:ascii="Calibri" w:hAnsi="Calibri"/>
            <w:sz w:val="22"/>
            <w:szCs w:val="22"/>
            <w:lang w:eastAsia="en-NZ"/>
          </w:rPr>
          <w:tab/>
        </w:r>
        <w:r w:rsidR="00C97BE6" w:rsidRPr="001864CF">
          <w:rPr>
            <w:rStyle w:val="Hyperlink"/>
          </w:rPr>
          <w:t>Emission trends for aggregated greenhouse gas emissions</w:t>
        </w:r>
        <w:r w:rsidR="00C97BE6">
          <w:rPr>
            <w:webHidden/>
          </w:rPr>
          <w:tab/>
        </w:r>
        <w:r w:rsidR="00C97BE6">
          <w:rPr>
            <w:webHidden/>
          </w:rPr>
          <w:fldChar w:fldCharType="begin"/>
        </w:r>
        <w:r w:rsidR="00C97BE6">
          <w:rPr>
            <w:webHidden/>
          </w:rPr>
          <w:instrText xml:space="preserve"> PAGEREF _Toc5269340 \h </w:instrText>
        </w:r>
        <w:r w:rsidR="00C97BE6">
          <w:rPr>
            <w:webHidden/>
          </w:rPr>
        </w:r>
        <w:r w:rsidR="00C97BE6">
          <w:rPr>
            <w:webHidden/>
          </w:rPr>
          <w:fldChar w:fldCharType="separate"/>
        </w:r>
        <w:r w:rsidR="00D0418C">
          <w:rPr>
            <w:webHidden/>
          </w:rPr>
          <w:t>55</w:t>
        </w:r>
        <w:r w:rsidR="00C97BE6">
          <w:rPr>
            <w:webHidden/>
          </w:rPr>
          <w:fldChar w:fldCharType="end"/>
        </w:r>
      </w:hyperlink>
    </w:p>
    <w:p w14:paraId="3A497652" w14:textId="77777777" w:rsidR="00C97BE6" w:rsidRPr="002D354C" w:rsidRDefault="00590491">
      <w:pPr>
        <w:pStyle w:val="TOC2"/>
        <w:rPr>
          <w:rFonts w:ascii="Calibri" w:hAnsi="Calibri"/>
          <w:sz w:val="22"/>
          <w:szCs w:val="22"/>
          <w:lang w:eastAsia="en-NZ"/>
        </w:rPr>
      </w:pPr>
      <w:hyperlink w:anchor="_Toc5269341" w:history="1">
        <w:r w:rsidR="00C97BE6" w:rsidRPr="001864CF">
          <w:rPr>
            <w:rStyle w:val="Hyperlink"/>
          </w:rPr>
          <w:t>2.2</w:t>
        </w:r>
        <w:r w:rsidR="00C97BE6" w:rsidRPr="002D354C">
          <w:rPr>
            <w:rFonts w:ascii="Calibri" w:hAnsi="Calibri"/>
            <w:sz w:val="22"/>
            <w:szCs w:val="22"/>
            <w:lang w:eastAsia="en-NZ"/>
          </w:rPr>
          <w:tab/>
        </w:r>
        <w:r w:rsidR="00C97BE6" w:rsidRPr="001864CF">
          <w:rPr>
            <w:rStyle w:val="Hyperlink"/>
          </w:rPr>
          <w:t>Emission trends by sector</w:t>
        </w:r>
        <w:r w:rsidR="00C97BE6">
          <w:rPr>
            <w:webHidden/>
          </w:rPr>
          <w:tab/>
        </w:r>
        <w:r w:rsidR="00C97BE6">
          <w:rPr>
            <w:webHidden/>
          </w:rPr>
          <w:fldChar w:fldCharType="begin"/>
        </w:r>
        <w:r w:rsidR="00C97BE6">
          <w:rPr>
            <w:webHidden/>
          </w:rPr>
          <w:instrText xml:space="preserve"> PAGEREF _Toc5269341 \h </w:instrText>
        </w:r>
        <w:r w:rsidR="00C97BE6">
          <w:rPr>
            <w:webHidden/>
          </w:rPr>
        </w:r>
        <w:r w:rsidR="00C97BE6">
          <w:rPr>
            <w:webHidden/>
          </w:rPr>
          <w:fldChar w:fldCharType="separate"/>
        </w:r>
        <w:r w:rsidR="00D0418C">
          <w:rPr>
            <w:webHidden/>
          </w:rPr>
          <w:t>57</w:t>
        </w:r>
        <w:r w:rsidR="00C97BE6">
          <w:rPr>
            <w:webHidden/>
          </w:rPr>
          <w:fldChar w:fldCharType="end"/>
        </w:r>
      </w:hyperlink>
    </w:p>
    <w:p w14:paraId="2F4CE9F4" w14:textId="77777777" w:rsidR="00C97BE6" w:rsidRPr="002D354C" w:rsidRDefault="00590491">
      <w:pPr>
        <w:pStyle w:val="TOC2"/>
        <w:rPr>
          <w:rFonts w:ascii="Calibri" w:hAnsi="Calibri"/>
          <w:sz w:val="22"/>
          <w:szCs w:val="22"/>
          <w:lang w:eastAsia="en-NZ"/>
        </w:rPr>
      </w:pPr>
      <w:hyperlink w:anchor="_Toc5269342" w:history="1">
        <w:r w:rsidR="00C97BE6" w:rsidRPr="001864CF">
          <w:rPr>
            <w:rStyle w:val="Hyperlink"/>
          </w:rPr>
          <w:t xml:space="preserve">2.3 </w:t>
        </w:r>
        <w:r w:rsidR="00C97BE6" w:rsidRPr="002D354C">
          <w:rPr>
            <w:rFonts w:ascii="Calibri" w:hAnsi="Calibri"/>
            <w:sz w:val="22"/>
            <w:szCs w:val="22"/>
            <w:lang w:eastAsia="en-NZ"/>
          </w:rPr>
          <w:tab/>
        </w:r>
        <w:r w:rsidR="00C97BE6" w:rsidRPr="001864CF">
          <w:rPr>
            <w:rStyle w:val="Hyperlink"/>
          </w:rPr>
          <w:t>Activities under Article 3.3 and Article 3.4 of the Kyoto Protocol</w:t>
        </w:r>
        <w:r w:rsidR="00C97BE6">
          <w:rPr>
            <w:webHidden/>
          </w:rPr>
          <w:tab/>
        </w:r>
        <w:r w:rsidR="00C97BE6">
          <w:rPr>
            <w:webHidden/>
          </w:rPr>
          <w:fldChar w:fldCharType="begin"/>
        </w:r>
        <w:r w:rsidR="00C97BE6">
          <w:rPr>
            <w:webHidden/>
          </w:rPr>
          <w:instrText xml:space="preserve"> PAGEREF _Toc5269342 \h </w:instrText>
        </w:r>
        <w:r w:rsidR="00C97BE6">
          <w:rPr>
            <w:webHidden/>
          </w:rPr>
        </w:r>
        <w:r w:rsidR="00C97BE6">
          <w:rPr>
            <w:webHidden/>
          </w:rPr>
          <w:fldChar w:fldCharType="separate"/>
        </w:r>
        <w:r w:rsidR="00D0418C">
          <w:rPr>
            <w:webHidden/>
          </w:rPr>
          <w:t>67</w:t>
        </w:r>
        <w:r w:rsidR="00C97BE6">
          <w:rPr>
            <w:webHidden/>
          </w:rPr>
          <w:fldChar w:fldCharType="end"/>
        </w:r>
      </w:hyperlink>
    </w:p>
    <w:p w14:paraId="34B7F807" w14:textId="77777777" w:rsidR="00C97BE6" w:rsidRPr="002D354C" w:rsidRDefault="00590491">
      <w:pPr>
        <w:pStyle w:val="TOC2"/>
        <w:rPr>
          <w:rFonts w:ascii="Calibri" w:hAnsi="Calibri"/>
          <w:sz w:val="22"/>
          <w:szCs w:val="22"/>
          <w:lang w:eastAsia="en-NZ"/>
        </w:rPr>
      </w:pPr>
      <w:hyperlink w:anchor="_Toc5269343" w:history="1">
        <w:r w:rsidR="00C97BE6" w:rsidRPr="001864CF">
          <w:rPr>
            <w:rStyle w:val="Hyperlink"/>
          </w:rPr>
          <w:t>Chapter 2: References</w:t>
        </w:r>
        <w:r w:rsidR="00C97BE6">
          <w:rPr>
            <w:webHidden/>
          </w:rPr>
          <w:tab/>
        </w:r>
        <w:r w:rsidR="00C97BE6">
          <w:rPr>
            <w:webHidden/>
          </w:rPr>
          <w:fldChar w:fldCharType="begin"/>
        </w:r>
        <w:r w:rsidR="00C97BE6">
          <w:rPr>
            <w:webHidden/>
          </w:rPr>
          <w:instrText xml:space="preserve"> PAGEREF _Toc5269343 \h </w:instrText>
        </w:r>
        <w:r w:rsidR="00C97BE6">
          <w:rPr>
            <w:webHidden/>
          </w:rPr>
        </w:r>
        <w:r w:rsidR="00C97BE6">
          <w:rPr>
            <w:webHidden/>
          </w:rPr>
          <w:fldChar w:fldCharType="separate"/>
        </w:r>
        <w:r w:rsidR="00D0418C">
          <w:rPr>
            <w:webHidden/>
          </w:rPr>
          <w:t>71</w:t>
        </w:r>
        <w:r w:rsidR="00C97BE6">
          <w:rPr>
            <w:webHidden/>
          </w:rPr>
          <w:fldChar w:fldCharType="end"/>
        </w:r>
      </w:hyperlink>
    </w:p>
    <w:p w14:paraId="10B2FBD6" w14:textId="77777777" w:rsidR="00C97BE6" w:rsidRPr="002D354C" w:rsidRDefault="00590491">
      <w:pPr>
        <w:pStyle w:val="TOC1"/>
        <w:rPr>
          <w:rFonts w:ascii="Calibri" w:hAnsi="Calibri"/>
          <w:noProof/>
          <w:sz w:val="22"/>
          <w:szCs w:val="22"/>
          <w:lang w:eastAsia="en-NZ"/>
        </w:rPr>
      </w:pPr>
      <w:hyperlink w:anchor="_Toc5269344" w:history="1">
        <w:r w:rsidR="00C97BE6" w:rsidRPr="001864CF">
          <w:rPr>
            <w:rStyle w:val="Hyperlink"/>
            <w:noProof/>
          </w:rPr>
          <w:t>Chapter 3: Energy</w:t>
        </w:r>
        <w:r w:rsidR="00C97BE6">
          <w:rPr>
            <w:noProof/>
            <w:webHidden/>
          </w:rPr>
          <w:tab/>
        </w:r>
        <w:r w:rsidR="00C97BE6">
          <w:rPr>
            <w:noProof/>
            <w:webHidden/>
          </w:rPr>
          <w:fldChar w:fldCharType="begin"/>
        </w:r>
        <w:r w:rsidR="00C97BE6">
          <w:rPr>
            <w:noProof/>
            <w:webHidden/>
          </w:rPr>
          <w:instrText xml:space="preserve"> PAGEREF _Toc5269344 \h </w:instrText>
        </w:r>
        <w:r w:rsidR="00C97BE6">
          <w:rPr>
            <w:noProof/>
            <w:webHidden/>
          </w:rPr>
        </w:r>
        <w:r w:rsidR="00C97BE6">
          <w:rPr>
            <w:noProof/>
            <w:webHidden/>
          </w:rPr>
          <w:fldChar w:fldCharType="separate"/>
        </w:r>
        <w:r w:rsidR="00D0418C">
          <w:rPr>
            <w:noProof/>
            <w:webHidden/>
          </w:rPr>
          <w:t>72</w:t>
        </w:r>
        <w:r w:rsidR="00C97BE6">
          <w:rPr>
            <w:noProof/>
            <w:webHidden/>
          </w:rPr>
          <w:fldChar w:fldCharType="end"/>
        </w:r>
      </w:hyperlink>
    </w:p>
    <w:p w14:paraId="3D740BAC" w14:textId="77777777" w:rsidR="00C97BE6" w:rsidRPr="002D354C" w:rsidRDefault="00590491">
      <w:pPr>
        <w:pStyle w:val="TOC2"/>
        <w:rPr>
          <w:rFonts w:ascii="Calibri" w:hAnsi="Calibri"/>
          <w:sz w:val="22"/>
          <w:szCs w:val="22"/>
          <w:lang w:eastAsia="en-NZ"/>
        </w:rPr>
      </w:pPr>
      <w:hyperlink w:anchor="_Toc5269345" w:history="1">
        <w:r w:rsidR="00C97BE6" w:rsidRPr="001864CF">
          <w:rPr>
            <w:rStyle w:val="Hyperlink"/>
          </w:rPr>
          <w:t>3.1</w:t>
        </w:r>
        <w:r w:rsidR="00C97BE6" w:rsidRPr="002D354C">
          <w:rPr>
            <w:rFonts w:ascii="Calibri" w:hAnsi="Calibri"/>
            <w:sz w:val="22"/>
            <w:szCs w:val="22"/>
            <w:lang w:eastAsia="en-NZ"/>
          </w:rPr>
          <w:tab/>
        </w:r>
        <w:r w:rsidR="00C97BE6" w:rsidRPr="001864CF">
          <w:rPr>
            <w:rStyle w:val="Hyperlink"/>
          </w:rPr>
          <w:t>Sector overview</w:t>
        </w:r>
        <w:r w:rsidR="00C97BE6">
          <w:rPr>
            <w:webHidden/>
          </w:rPr>
          <w:tab/>
        </w:r>
        <w:r w:rsidR="00C97BE6">
          <w:rPr>
            <w:webHidden/>
          </w:rPr>
          <w:fldChar w:fldCharType="begin"/>
        </w:r>
        <w:r w:rsidR="00C97BE6">
          <w:rPr>
            <w:webHidden/>
          </w:rPr>
          <w:instrText xml:space="preserve"> PAGEREF _Toc5269345 \h </w:instrText>
        </w:r>
        <w:r w:rsidR="00C97BE6">
          <w:rPr>
            <w:webHidden/>
          </w:rPr>
        </w:r>
        <w:r w:rsidR="00C97BE6">
          <w:rPr>
            <w:webHidden/>
          </w:rPr>
          <w:fldChar w:fldCharType="separate"/>
        </w:r>
        <w:r w:rsidR="00D0418C">
          <w:rPr>
            <w:webHidden/>
          </w:rPr>
          <w:t>72</w:t>
        </w:r>
        <w:r w:rsidR="00C97BE6">
          <w:rPr>
            <w:webHidden/>
          </w:rPr>
          <w:fldChar w:fldCharType="end"/>
        </w:r>
      </w:hyperlink>
    </w:p>
    <w:p w14:paraId="27F0918A" w14:textId="77777777" w:rsidR="00C97BE6" w:rsidRPr="002D354C" w:rsidRDefault="00590491">
      <w:pPr>
        <w:pStyle w:val="TOC2"/>
        <w:rPr>
          <w:rFonts w:ascii="Calibri" w:hAnsi="Calibri"/>
          <w:sz w:val="22"/>
          <w:szCs w:val="22"/>
          <w:lang w:eastAsia="en-NZ"/>
        </w:rPr>
      </w:pPr>
      <w:hyperlink w:anchor="_Toc5269346" w:history="1">
        <w:r w:rsidR="00C97BE6" w:rsidRPr="001864CF">
          <w:rPr>
            <w:rStyle w:val="Hyperlink"/>
          </w:rPr>
          <w:t>3.2</w:t>
        </w:r>
        <w:r w:rsidR="00C97BE6" w:rsidRPr="002D354C">
          <w:rPr>
            <w:rFonts w:ascii="Calibri" w:hAnsi="Calibri"/>
            <w:sz w:val="22"/>
            <w:szCs w:val="22"/>
            <w:lang w:eastAsia="en-NZ"/>
          </w:rPr>
          <w:tab/>
        </w:r>
        <w:r w:rsidR="00C97BE6" w:rsidRPr="001864CF">
          <w:rPr>
            <w:rStyle w:val="Hyperlink"/>
          </w:rPr>
          <w:t>Background information</w:t>
        </w:r>
        <w:r w:rsidR="00C97BE6">
          <w:rPr>
            <w:webHidden/>
          </w:rPr>
          <w:tab/>
        </w:r>
        <w:r w:rsidR="00C97BE6">
          <w:rPr>
            <w:webHidden/>
          </w:rPr>
          <w:fldChar w:fldCharType="begin"/>
        </w:r>
        <w:r w:rsidR="00C97BE6">
          <w:rPr>
            <w:webHidden/>
          </w:rPr>
          <w:instrText xml:space="preserve"> PAGEREF _Toc5269346 \h </w:instrText>
        </w:r>
        <w:r w:rsidR="00C97BE6">
          <w:rPr>
            <w:webHidden/>
          </w:rPr>
        </w:r>
        <w:r w:rsidR="00C97BE6">
          <w:rPr>
            <w:webHidden/>
          </w:rPr>
          <w:fldChar w:fldCharType="separate"/>
        </w:r>
        <w:r w:rsidR="00D0418C">
          <w:rPr>
            <w:webHidden/>
          </w:rPr>
          <w:t>75</w:t>
        </w:r>
        <w:r w:rsidR="00C97BE6">
          <w:rPr>
            <w:webHidden/>
          </w:rPr>
          <w:fldChar w:fldCharType="end"/>
        </w:r>
      </w:hyperlink>
    </w:p>
    <w:p w14:paraId="530C1C9F" w14:textId="77777777" w:rsidR="00C97BE6" w:rsidRPr="002D354C" w:rsidRDefault="00590491">
      <w:pPr>
        <w:pStyle w:val="TOC2"/>
        <w:rPr>
          <w:rFonts w:ascii="Calibri" w:hAnsi="Calibri"/>
          <w:sz w:val="22"/>
          <w:szCs w:val="22"/>
          <w:lang w:eastAsia="en-NZ"/>
        </w:rPr>
      </w:pPr>
      <w:hyperlink w:anchor="_Toc5269347" w:history="1">
        <w:r w:rsidR="00C97BE6" w:rsidRPr="001864CF">
          <w:rPr>
            <w:rStyle w:val="Hyperlink"/>
          </w:rPr>
          <w:t>3.3</w:t>
        </w:r>
        <w:r w:rsidR="00C97BE6" w:rsidRPr="002D354C">
          <w:rPr>
            <w:rFonts w:ascii="Calibri" w:hAnsi="Calibri"/>
            <w:sz w:val="22"/>
            <w:szCs w:val="22"/>
            <w:lang w:eastAsia="en-NZ"/>
          </w:rPr>
          <w:tab/>
        </w:r>
        <w:r w:rsidR="00C97BE6" w:rsidRPr="001864CF">
          <w:rPr>
            <w:rStyle w:val="Hyperlink"/>
          </w:rPr>
          <w:t>Fuel combustion (CRF 1.A)</w:t>
        </w:r>
        <w:r w:rsidR="00C97BE6">
          <w:rPr>
            <w:webHidden/>
          </w:rPr>
          <w:tab/>
        </w:r>
        <w:r w:rsidR="00C97BE6">
          <w:rPr>
            <w:webHidden/>
          </w:rPr>
          <w:fldChar w:fldCharType="begin"/>
        </w:r>
        <w:r w:rsidR="00C97BE6">
          <w:rPr>
            <w:webHidden/>
          </w:rPr>
          <w:instrText xml:space="preserve"> PAGEREF _Toc5269347 \h </w:instrText>
        </w:r>
        <w:r w:rsidR="00C97BE6">
          <w:rPr>
            <w:webHidden/>
          </w:rPr>
        </w:r>
        <w:r w:rsidR="00C97BE6">
          <w:rPr>
            <w:webHidden/>
          </w:rPr>
          <w:fldChar w:fldCharType="separate"/>
        </w:r>
        <w:r w:rsidR="00D0418C">
          <w:rPr>
            <w:webHidden/>
          </w:rPr>
          <w:t>78</w:t>
        </w:r>
        <w:r w:rsidR="00C97BE6">
          <w:rPr>
            <w:webHidden/>
          </w:rPr>
          <w:fldChar w:fldCharType="end"/>
        </w:r>
      </w:hyperlink>
    </w:p>
    <w:p w14:paraId="12B2D02A" w14:textId="77777777" w:rsidR="00C97BE6" w:rsidRPr="002D354C" w:rsidRDefault="00590491">
      <w:pPr>
        <w:pStyle w:val="TOC2"/>
        <w:rPr>
          <w:rFonts w:ascii="Calibri" w:hAnsi="Calibri"/>
          <w:sz w:val="22"/>
          <w:szCs w:val="22"/>
          <w:lang w:eastAsia="en-NZ"/>
        </w:rPr>
      </w:pPr>
      <w:hyperlink w:anchor="_Toc5269348" w:history="1">
        <w:r w:rsidR="00C97BE6" w:rsidRPr="001864CF">
          <w:rPr>
            <w:rStyle w:val="Hyperlink"/>
          </w:rPr>
          <w:t>3.4</w:t>
        </w:r>
        <w:r w:rsidR="00C97BE6" w:rsidRPr="002D354C">
          <w:rPr>
            <w:rFonts w:ascii="Calibri" w:hAnsi="Calibri"/>
            <w:sz w:val="22"/>
            <w:szCs w:val="22"/>
            <w:lang w:eastAsia="en-NZ"/>
          </w:rPr>
          <w:tab/>
        </w:r>
        <w:r w:rsidR="00C97BE6" w:rsidRPr="001864CF">
          <w:rPr>
            <w:rStyle w:val="Hyperlink"/>
          </w:rPr>
          <w:t>Fugitive emissions from fuels (CRF 1.B)</w:t>
        </w:r>
        <w:r w:rsidR="00C97BE6">
          <w:rPr>
            <w:webHidden/>
          </w:rPr>
          <w:tab/>
        </w:r>
        <w:r w:rsidR="00C97BE6">
          <w:rPr>
            <w:webHidden/>
          </w:rPr>
          <w:fldChar w:fldCharType="begin"/>
        </w:r>
        <w:r w:rsidR="00C97BE6">
          <w:rPr>
            <w:webHidden/>
          </w:rPr>
          <w:instrText xml:space="preserve"> PAGEREF _Toc5269348 \h </w:instrText>
        </w:r>
        <w:r w:rsidR="00C97BE6">
          <w:rPr>
            <w:webHidden/>
          </w:rPr>
        </w:r>
        <w:r w:rsidR="00C97BE6">
          <w:rPr>
            <w:webHidden/>
          </w:rPr>
          <w:fldChar w:fldCharType="separate"/>
        </w:r>
        <w:r w:rsidR="00D0418C">
          <w:rPr>
            <w:webHidden/>
          </w:rPr>
          <w:t>105</w:t>
        </w:r>
        <w:r w:rsidR="00C97BE6">
          <w:rPr>
            <w:webHidden/>
          </w:rPr>
          <w:fldChar w:fldCharType="end"/>
        </w:r>
      </w:hyperlink>
    </w:p>
    <w:p w14:paraId="70E88AE9" w14:textId="77777777" w:rsidR="00C97BE6" w:rsidRPr="002D354C" w:rsidRDefault="00590491">
      <w:pPr>
        <w:pStyle w:val="TOC2"/>
        <w:rPr>
          <w:rFonts w:ascii="Calibri" w:hAnsi="Calibri"/>
          <w:sz w:val="22"/>
          <w:szCs w:val="22"/>
          <w:lang w:eastAsia="en-NZ"/>
        </w:rPr>
      </w:pPr>
      <w:hyperlink w:anchor="_Toc5269349" w:history="1">
        <w:r w:rsidR="00C97BE6" w:rsidRPr="001864CF">
          <w:rPr>
            <w:rStyle w:val="Hyperlink"/>
          </w:rPr>
          <w:t>Chapter 3: References</w:t>
        </w:r>
        <w:r w:rsidR="00C97BE6">
          <w:rPr>
            <w:webHidden/>
          </w:rPr>
          <w:tab/>
        </w:r>
        <w:r w:rsidR="00C97BE6">
          <w:rPr>
            <w:webHidden/>
          </w:rPr>
          <w:fldChar w:fldCharType="begin"/>
        </w:r>
        <w:r w:rsidR="00C97BE6">
          <w:rPr>
            <w:webHidden/>
          </w:rPr>
          <w:instrText xml:space="preserve"> PAGEREF _Toc5269349 \h </w:instrText>
        </w:r>
        <w:r w:rsidR="00C97BE6">
          <w:rPr>
            <w:webHidden/>
          </w:rPr>
        </w:r>
        <w:r w:rsidR="00C97BE6">
          <w:rPr>
            <w:webHidden/>
          </w:rPr>
          <w:fldChar w:fldCharType="separate"/>
        </w:r>
        <w:r w:rsidR="00D0418C">
          <w:rPr>
            <w:webHidden/>
          </w:rPr>
          <w:t>113</w:t>
        </w:r>
        <w:r w:rsidR="00C97BE6">
          <w:rPr>
            <w:webHidden/>
          </w:rPr>
          <w:fldChar w:fldCharType="end"/>
        </w:r>
      </w:hyperlink>
    </w:p>
    <w:p w14:paraId="2425FA91" w14:textId="77777777" w:rsidR="00C97BE6" w:rsidRPr="002D354C" w:rsidRDefault="00590491">
      <w:pPr>
        <w:pStyle w:val="TOC1"/>
        <w:rPr>
          <w:rFonts w:ascii="Calibri" w:hAnsi="Calibri"/>
          <w:noProof/>
          <w:sz w:val="22"/>
          <w:szCs w:val="22"/>
          <w:lang w:eastAsia="en-NZ"/>
        </w:rPr>
      </w:pPr>
      <w:hyperlink w:anchor="_Toc5269350" w:history="1">
        <w:r w:rsidR="00C97BE6" w:rsidRPr="001864CF">
          <w:rPr>
            <w:rStyle w:val="Hyperlink"/>
            <w:noProof/>
          </w:rPr>
          <w:t>Chapter 4: Industrial Processes and Product Use (IPPU)</w:t>
        </w:r>
        <w:r w:rsidR="00C97BE6">
          <w:rPr>
            <w:noProof/>
            <w:webHidden/>
          </w:rPr>
          <w:tab/>
        </w:r>
        <w:r w:rsidR="00C97BE6">
          <w:rPr>
            <w:noProof/>
            <w:webHidden/>
          </w:rPr>
          <w:fldChar w:fldCharType="begin"/>
        </w:r>
        <w:r w:rsidR="00C97BE6">
          <w:rPr>
            <w:noProof/>
            <w:webHidden/>
          </w:rPr>
          <w:instrText xml:space="preserve"> PAGEREF _Toc5269350 \h </w:instrText>
        </w:r>
        <w:r w:rsidR="00C97BE6">
          <w:rPr>
            <w:noProof/>
            <w:webHidden/>
          </w:rPr>
        </w:r>
        <w:r w:rsidR="00C97BE6">
          <w:rPr>
            <w:noProof/>
            <w:webHidden/>
          </w:rPr>
          <w:fldChar w:fldCharType="separate"/>
        </w:r>
        <w:r w:rsidR="00D0418C">
          <w:rPr>
            <w:noProof/>
            <w:webHidden/>
          </w:rPr>
          <w:t>115</w:t>
        </w:r>
        <w:r w:rsidR="00C97BE6">
          <w:rPr>
            <w:noProof/>
            <w:webHidden/>
          </w:rPr>
          <w:fldChar w:fldCharType="end"/>
        </w:r>
      </w:hyperlink>
    </w:p>
    <w:p w14:paraId="600A5222" w14:textId="77777777" w:rsidR="00C97BE6" w:rsidRPr="002D354C" w:rsidRDefault="00590491">
      <w:pPr>
        <w:pStyle w:val="TOC2"/>
        <w:rPr>
          <w:rFonts w:ascii="Calibri" w:hAnsi="Calibri"/>
          <w:sz w:val="22"/>
          <w:szCs w:val="22"/>
          <w:lang w:eastAsia="en-NZ"/>
        </w:rPr>
      </w:pPr>
      <w:hyperlink w:anchor="_Toc5269351" w:history="1">
        <w:r w:rsidR="00C97BE6" w:rsidRPr="001864CF">
          <w:rPr>
            <w:rStyle w:val="Hyperlink"/>
          </w:rPr>
          <w:t xml:space="preserve">4.1 </w:t>
        </w:r>
        <w:r w:rsidR="00C97BE6" w:rsidRPr="002D354C">
          <w:rPr>
            <w:rFonts w:ascii="Calibri" w:hAnsi="Calibri"/>
            <w:sz w:val="22"/>
            <w:szCs w:val="22"/>
            <w:lang w:eastAsia="en-NZ"/>
          </w:rPr>
          <w:tab/>
        </w:r>
        <w:r w:rsidR="00C97BE6" w:rsidRPr="001864CF">
          <w:rPr>
            <w:rStyle w:val="Hyperlink"/>
          </w:rPr>
          <w:t>Sector overview</w:t>
        </w:r>
        <w:r w:rsidR="00C97BE6">
          <w:rPr>
            <w:webHidden/>
          </w:rPr>
          <w:tab/>
        </w:r>
        <w:r w:rsidR="00C97BE6">
          <w:rPr>
            <w:webHidden/>
          </w:rPr>
          <w:fldChar w:fldCharType="begin"/>
        </w:r>
        <w:r w:rsidR="00C97BE6">
          <w:rPr>
            <w:webHidden/>
          </w:rPr>
          <w:instrText xml:space="preserve"> PAGEREF _Toc5269351 \h </w:instrText>
        </w:r>
        <w:r w:rsidR="00C97BE6">
          <w:rPr>
            <w:webHidden/>
          </w:rPr>
        </w:r>
        <w:r w:rsidR="00C97BE6">
          <w:rPr>
            <w:webHidden/>
          </w:rPr>
          <w:fldChar w:fldCharType="separate"/>
        </w:r>
        <w:r w:rsidR="00D0418C">
          <w:rPr>
            <w:webHidden/>
          </w:rPr>
          <w:t>115</w:t>
        </w:r>
        <w:r w:rsidR="00C97BE6">
          <w:rPr>
            <w:webHidden/>
          </w:rPr>
          <w:fldChar w:fldCharType="end"/>
        </w:r>
      </w:hyperlink>
    </w:p>
    <w:p w14:paraId="06FDCACE" w14:textId="77777777" w:rsidR="00C97BE6" w:rsidRPr="002D354C" w:rsidRDefault="00590491">
      <w:pPr>
        <w:pStyle w:val="TOC2"/>
        <w:rPr>
          <w:rFonts w:ascii="Calibri" w:hAnsi="Calibri"/>
          <w:sz w:val="22"/>
          <w:szCs w:val="22"/>
          <w:lang w:eastAsia="en-NZ"/>
        </w:rPr>
      </w:pPr>
      <w:hyperlink w:anchor="_Toc5269352" w:history="1">
        <w:r w:rsidR="00C97BE6" w:rsidRPr="001864CF">
          <w:rPr>
            <w:rStyle w:val="Hyperlink"/>
          </w:rPr>
          <w:t>4.2</w:t>
        </w:r>
        <w:r w:rsidR="00C97BE6" w:rsidRPr="002D354C">
          <w:rPr>
            <w:rFonts w:ascii="Calibri" w:hAnsi="Calibri"/>
            <w:sz w:val="22"/>
            <w:szCs w:val="22"/>
            <w:lang w:eastAsia="en-NZ"/>
          </w:rPr>
          <w:tab/>
        </w:r>
        <w:r w:rsidR="00C97BE6" w:rsidRPr="001864CF">
          <w:rPr>
            <w:rStyle w:val="Hyperlink"/>
          </w:rPr>
          <w:t>Mineral industry (2.A)</w:t>
        </w:r>
        <w:r w:rsidR="00C97BE6">
          <w:rPr>
            <w:webHidden/>
          </w:rPr>
          <w:tab/>
        </w:r>
        <w:r w:rsidR="00C97BE6">
          <w:rPr>
            <w:webHidden/>
          </w:rPr>
          <w:fldChar w:fldCharType="begin"/>
        </w:r>
        <w:r w:rsidR="00C97BE6">
          <w:rPr>
            <w:webHidden/>
          </w:rPr>
          <w:instrText xml:space="preserve"> PAGEREF _Toc5269352 \h </w:instrText>
        </w:r>
        <w:r w:rsidR="00C97BE6">
          <w:rPr>
            <w:webHidden/>
          </w:rPr>
        </w:r>
        <w:r w:rsidR="00C97BE6">
          <w:rPr>
            <w:webHidden/>
          </w:rPr>
          <w:fldChar w:fldCharType="separate"/>
        </w:r>
        <w:r w:rsidR="00D0418C">
          <w:rPr>
            <w:webHidden/>
          </w:rPr>
          <w:t>120</w:t>
        </w:r>
        <w:r w:rsidR="00C97BE6">
          <w:rPr>
            <w:webHidden/>
          </w:rPr>
          <w:fldChar w:fldCharType="end"/>
        </w:r>
      </w:hyperlink>
    </w:p>
    <w:p w14:paraId="5159FC41" w14:textId="77777777" w:rsidR="00C97BE6" w:rsidRPr="002D354C" w:rsidRDefault="00590491">
      <w:pPr>
        <w:pStyle w:val="TOC2"/>
        <w:rPr>
          <w:rFonts w:ascii="Calibri" w:hAnsi="Calibri"/>
          <w:sz w:val="22"/>
          <w:szCs w:val="22"/>
          <w:lang w:eastAsia="en-NZ"/>
        </w:rPr>
      </w:pPr>
      <w:hyperlink w:anchor="_Toc5269353" w:history="1">
        <w:r w:rsidR="00C97BE6" w:rsidRPr="001864CF">
          <w:rPr>
            <w:rStyle w:val="Hyperlink"/>
          </w:rPr>
          <w:t>4.3</w:t>
        </w:r>
        <w:r w:rsidR="00C97BE6" w:rsidRPr="002D354C">
          <w:rPr>
            <w:rFonts w:ascii="Calibri" w:hAnsi="Calibri"/>
            <w:sz w:val="22"/>
            <w:szCs w:val="22"/>
            <w:lang w:eastAsia="en-NZ"/>
          </w:rPr>
          <w:tab/>
        </w:r>
        <w:r w:rsidR="00C97BE6" w:rsidRPr="001864CF">
          <w:rPr>
            <w:rStyle w:val="Hyperlink"/>
          </w:rPr>
          <w:t>Chemical industry (2.B)</w:t>
        </w:r>
        <w:r w:rsidR="00C97BE6">
          <w:rPr>
            <w:webHidden/>
          </w:rPr>
          <w:tab/>
        </w:r>
        <w:r w:rsidR="00C97BE6">
          <w:rPr>
            <w:webHidden/>
          </w:rPr>
          <w:fldChar w:fldCharType="begin"/>
        </w:r>
        <w:r w:rsidR="00C97BE6">
          <w:rPr>
            <w:webHidden/>
          </w:rPr>
          <w:instrText xml:space="preserve"> PAGEREF _Toc5269353 \h </w:instrText>
        </w:r>
        <w:r w:rsidR="00C97BE6">
          <w:rPr>
            <w:webHidden/>
          </w:rPr>
        </w:r>
        <w:r w:rsidR="00C97BE6">
          <w:rPr>
            <w:webHidden/>
          </w:rPr>
          <w:fldChar w:fldCharType="separate"/>
        </w:r>
        <w:r w:rsidR="00D0418C">
          <w:rPr>
            <w:webHidden/>
          </w:rPr>
          <w:t>125</w:t>
        </w:r>
        <w:r w:rsidR="00C97BE6">
          <w:rPr>
            <w:webHidden/>
          </w:rPr>
          <w:fldChar w:fldCharType="end"/>
        </w:r>
      </w:hyperlink>
    </w:p>
    <w:p w14:paraId="042F2508" w14:textId="77777777" w:rsidR="00C97BE6" w:rsidRPr="002D354C" w:rsidRDefault="00590491">
      <w:pPr>
        <w:pStyle w:val="TOC2"/>
        <w:rPr>
          <w:rFonts w:ascii="Calibri" w:hAnsi="Calibri"/>
          <w:sz w:val="22"/>
          <w:szCs w:val="22"/>
          <w:lang w:eastAsia="en-NZ"/>
        </w:rPr>
      </w:pPr>
      <w:hyperlink w:anchor="_Toc5269354" w:history="1">
        <w:r w:rsidR="00C97BE6" w:rsidRPr="001864CF">
          <w:rPr>
            <w:rStyle w:val="Hyperlink"/>
          </w:rPr>
          <w:t>4.4</w:t>
        </w:r>
        <w:r w:rsidR="00C97BE6" w:rsidRPr="002D354C">
          <w:rPr>
            <w:rFonts w:ascii="Calibri" w:hAnsi="Calibri"/>
            <w:sz w:val="22"/>
            <w:szCs w:val="22"/>
            <w:lang w:eastAsia="en-NZ"/>
          </w:rPr>
          <w:tab/>
        </w:r>
        <w:r w:rsidR="00C97BE6" w:rsidRPr="001864CF">
          <w:rPr>
            <w:rStyle w:val="Hyperlink"/>
          </w:rPr>
          <w:t>Metal industry (2.C)</w:t>
        </w:r>
        <w:r w:rsidR="00C97BE6">
          <w:rPr>
            <w:webHidden/>
          </w:rPr>
          <w:tab/>
        </w:r>
        <w:r w:rsidR="00C97BE6">
          <w:rPr>
            <w:webHidden/>
          </w:rPr>
          <w:fldChar w:fldCharType="begin"/>
        </w:r>
        <w:r w:rsidR="00C97BE6">
          <w:rPr>
            <w:webHidden/>
          </w:rPr>
          <w:instrText xml:space="preserve"> PAGEREF _Toc5269354 \h </w:instrText>
        </w:r>
        <w:r w:rsidR="00C97BE6">
          <w:rPr>
            <w:webHidden/>
          </w:rPr>
        </w:r>
        <w:r w:rsidR="00C97BE6">
          <w:rPr>
            <w:webHidden/>
          </w:rPr>
          <w:fldChar w:fldCharType="separate"/>
        </w:r>
        <w:r w:rsidR="00D0418C">
          <w:rPr>
            <w:webHidden/>
          </w:rPr>
          <w:t>129</w:t>
        </w:r>
        <w:r w:rsidR="00C97BE6">
          <w:rPr>
            <w:webHidden/>
          </w:rPr>
          <w:fldChar w:fldCharType="end"/>
        </w:r>
      </w:hyperlink>
    </w:p>
    <w:p w14:paraId="1FAC4819" w14:textId="77777777" w:rsidR="00C97BE6" w:rsidRPr="002D354C" w:rsidRDefault="00590491">
      <w:pPr>
        <w:pStyle w:val="TOC2"/>
        <w:rPr>
          <w:rFonts w:ascii="Calibri" w:hAnsi="Calibri"/>
          <w:sz w:val="22"/>
          <w:szCs w:val="22"/>
          <w:lang w:eastAsia="en-NZ"/>
        </w:rPr>
      </w:pPr>
      <w:hyperlink w:anchor="_Toc5269355" w:history="1">
        <w:r w:rsidR="00C97BE6" w:rsidRPr="001864CF">
          <w:rPr>
            <w:rStyle w:val="Hyperlink"/>
          </w:rPr>
          <w:t>4.5</w:t>
        </w:r>
        <w:r w:rsidR="00C97BE6" w:rsidRPr="002D354C">
          <w:rPr>
            <w:rFonts w:ascii="Calibri" w:hAnsi="Calibri"/>
            <w:sz w:val="22"/>
            <w:szCs w:val="22"/>
            <w:lang w:eastAsia="en-NZ"/>
          </w:rPr>
          <w:tab/>
        </w:r>
        <w:r w:rsidR="00C97BE6" w:rsidRPr="001864CF">
          <w:rPr>
            <w:rStyle w:val="Hyperlink"/>
          </w:rPr>
          <w:t>Non-energy products from fuels and solvent use (2.D)</w:t>
        </w:r>
        <w:r w:rsidR="00C97BE6">
          <w:rPr>
            <w:webHidden/>
          </w:rPr>
          <w:tab/>
        </w:r>
        <w:r w:rsidR="00C97BE6">
          <w:rPr>
            <w:webHidden/>
          </w:rPr>
          <w:fldChar w:fldCharType="begin"/>
        </w:r>
        <w:r w:rsidR="00C97BE6">
          <w:rPr>
            <w:webHidden/>
          </w:rPr>
          <w:instrText xml:space="preserve"> PAGEREF _Toc5269355 \h </w:instrText>
        </w:r>
        <w:r w:rsidR="00C97BE6">
          <w:rPr>
            <w:webHidden/>
          </w:rPr>
        </w:r>
        <w:r w:rsidR="00C97BE6">
          <w:rPr>
            <w:webHidden/>
          </w:rPr>
          <w:fldChar w:fldCharType="separate"/>
        </w:r>
        <w:r w:rsidR="00D0418C">
          <w:rPr>
            <w:webHidden/>
          </w:rPr>
          <w:t>134</w:t>
        </w:r>
        <w:r w:rsidR="00C97BE6">
          <w:rPr>
            <w:webHidden/>
          </w:rPr>
          <w:fldChar w:fldCharType="end"/>
        </w:r>
      </w:hyperlink>
    </w:p>
    <w:p w14:paraId="2F56B6A8" w14:textId="77777777" w:rsidR="00C97BE6" w:rsidRPr="002D354C" w:rsidRDefault="00590491">
      <w:pPr>
        <w:pStyle w:val="TOC2"/>
        <w:rPr>
          <w:rFonts w:ascii="Calibri" w:hAnsi="Calibri"/>
          <w:sz w:val="22"/>
          <w:szCs w:val="22"/>
          <w:lang w:eastAsia="en-NZ"/>
        </w:rPr>
      </w:pPr>
      <w:hyperlink w:anchor="_Toc5269356" w:history="1">
        <w:r w:rsidR="00C97BE6" w:rsidRPr="001864CF">
          <w:rPr>
            <w:rStyle w:val="Hyperlink"/>
          </w:rPr>
          <w:t>4.6</w:t>
        </w:r>
        <w:r w:rsidR="00C97BE6" w:rsidRPr="002D354C">
          <w:rPr>
            <w:rFonts w:ascii="Calibri" w:hAnsi="Calibri"/>
            <w:sz w:val="22"/>
            <w:szCs w:val="22"/>
            <w:lang w:eastAsia="en-NZ"/>
          </w:rPr>
          <w:tab/>
        </w:r>
        <w:r w:rsidR="00C97BE6" w:rsidRPr="001864CF">
          <w:rPr>
            <w:rStyle w:val="Hyperlink"/>
          </w:rPr>
          <w:t>Electronics industry (2.E)</w:t>
        </w:r>
        <w:r w:rsidR="00C97BE6">
          <w:rPr>
            <w:webHidden/>
          </w:rPr>
          <w:tab/>
        </w:r>
        <w:r w:rsidR="00C97BE6">
          <w:rPr>
            <w:webHidden/>
          </w:rPr>
          <w:fldChar w:fldCharType="begin"/>
        </w:r>
        <w:r w:rsidR="00C97BE6">
          <w:rPr>
            <w:webHidden/>
          </w:rPr>
          <w:instrText xml:space="preserve"> PAGEREF _Toc5269356 \h </w:instrText>
        </w:r>
        <w:r w:rsidR="00C97BE6">
          <w:rPr>
            <w:webHidden/>
          </w:rPr>
        </w:r>
        <w:r w:rsidR="00C97BE6">
          <w:rPr>
            <w:webHidden/>
          </w:rPr>
          <w:fldChar w:fldCharType="separate"/>
        </w:r>
        <w:r w:rsidR="00D0418C">
          <w:rPr>
            <w:webHidden/>
          </w:rPr>
          <w:t>137</w:t>
        </w:r>
        <w:r w:rsidR="00C97BE6">
          <w:rPr>
            <w:webHidden/>
          </w:rPr>
          <w:fldChar w:fldCharType="end"/>
        </w:r>
      </w:hyperlink>
    </w:p>
    <w:p w14:paraId="2CAA2120" w14:textId="77777777" w:rsidR="00C97BE6" w:rsidRPr="002D354C" w:rsidRDefault="00590491">
      <w:pPr>
        <w:pStyle w:val="TOC2"/>
        <w:rPr>
          <w:rFonts w:ascii="Calibri" w:hAnsi="Calibri"/>
          <w:sz w:val="22"/>
          <w:szCs w:val="22"/>
          <w:lang w:eastAsia="en-NZ"/>
        </w:rPr>
      </w:pPr>
      <w:hyperlink w:anchor="_Toc5269357" w:history="1">
        <w:r w:rsidR="00C97BE6" w:rsidRPr="001864CF">
          <w:rPr>
            <w:rStyle w:val="Hyperlink"/>
          </w:rPr>
          <w:t>4.7</w:t>
        </w:r>
        <w:r w:rsidR="00C97BE6" w:rsidRPr="002D354C">
          <w:rPr>
            <w:rFonts w:ascii="Calibri" w:hAnsi="Calibri"/>
            <w:sz w:val="22"/>
            <w:szCs w:val="22"/>
            <w:lang w:eastAsia="en-NZ"/>
          </w:rPr>
          <w:tab/>
        </w:r>
        <w:r w:rsidR="00C97BE6" w:rsidRPr="001864CF">
          <w:rPr>
            <w:rStyle w:val="Hyperlink"/>
          </w:rPr>
          <w:t>Product uses as substitutes for ODS (2.F)</w:t>
        </w:r>
        <w:r w:rsidR="00C97BE6">
          <w:rPr>
            <w:webHidden/>
          </w:rPr>
          <w:tab/>
        </w:r>
        <w:r w:rsidR="00C97BE6">
          <w:rPr>
            <w:webHidden/>
          </w:rPr>
          <w:fldChar w:fldCharType="begin"/>
        </w:r>
        <w:r w:rsidR="00C97BE6">
          <w:rPr>
            <w:webHidden/>
          </w:rPr>
          <w:instrText xml:space="preserve"> PAGEREF _Toc5269357 \h </w:instrText>
        </w:r>
        <w:r w:rsidR="00C97BE6">
          <w:rPr>
            <w:webHidden/>
          </w:rPr>
        </w:r>
        <w:r w:rsidR="00C97BE6">
          <w:rPr>
            <w:webHidden/>
          </w:rPr>
          <w:fldChar w:fldCharType="separate"/>
        </w:r>
        <w:r w:rsidR="00D0418C">
          <w:rPr>
            <w:webHidden/>
          </w:rPr>
          <w:t>137</w:t>
        </w:r>
        <w:r w:rsidR="00C97BE6">
          <w:rPr>
            <w:webHidden/>
          </w:rPr>
          <w:fldChar w:fldCharType="end"/>
        </w:r>
      </w:hyperlink>
    </w:p>
    <w:p w14:paraId="15C59727" w14:textId="77777777" w:rsidR="00C97BE6" w:rsidRPr="002D354C" w:rsidRDefault="00590491">
      <w:pPr>
        <w:pStyle w:val="TOC2"/>
        <w:rPr>
          <w:rFonts w:ascii="Calibri" w:hAnsi="Calibri"/>
          <w:sz w:val="22"/>
          <w:szCs w:val="22"/>
          <w:lang w:eastAsia="en-NZ"/>
        </w:rPr>
      </w:pPr>
      <w:hyperlink w:anchor="_Toc5269358" w:history="1">
        <w:r w:rsidR="00C97BE6" w:rsidRPr="001864CF">
          <w:rPr>
            <w:rStyle w:val="Hyperlink"/>
          </w:rPr>
          <w:t>4.8</w:t>
        </w:r>
        <w:r w:rsidR="00C97BE6" w:rsidRPr="002D354C">
          <w:rPr>
            <w:rFonts w:ascii="Calibri" w:hAnsi="Calibri"/>
            <w:sz w:val="22"/>
            <w:szCs w:val="22"/>
            <w:lang w:eastAsia="en-NZ"/>
          </w:rPr>
          <w:tab/>
        </w:r>
        <w:r w:rsidR="00C97BE6" w:rsidRPr="001864CF">
          <w:rPr>
            <w:rStyle w:val="Hyperlink"/>
          </w:rPr>
          <w:t>Other product manufacture and use (2.G)</w:t>
        </w:r>
        <w:r w:rsidR="00C97BE6">
          <w:rPr>
            <w:webHidden/>
          </w:rPr>
          <w:tab/>
        </w:r>
        <w:r w:rsidR="00C97BE6">
          <w:rPr>
            <w:webHidden/>
          </w:rPr>
          <w:fldChar w:fldCharType="begin"/>
        </w:r>
        <w:r w:rsidR="00C97BE6">
          <w:rPr>
            <w:webHidden/>
          </w:rPr>
          <w:instrText xml:space="preserve"> PAGEREF _Toc5269358 \h </w:instrText>
        </w:r>
        <w:r w:rsidR="00C97BE6">
          <w:rPr>
            <w:webHidden/>
          </w:rPr>
        </w:r>
        <w:r w:rsidR="00C97BE6">
          <w:rPr>
            <w:webHidden/>
          </w:rPr>
          <w:fldChar w:fldCharType="separate"/>
        </w:r>
        <w:r w:rsidR="00D0418C">
          <w:rPr>
            <w:webHidden/>
          </w:rPr>
          <w:t>143</w:t>
        </w:r>
        <w:r w:rsidR="00C97BE6">
          <w:rPr>
            <w:webHidden/>
          </w:rPr>
          <w:fldChar w:fldCharType="end"/>
        </w:r>
      </w:hyperlink>
    </w:p>
    <w:p w14:paraId="5844746E" w14:textId="77777777" w:rsidR="00C97BE6" w:rsidRPr="002D354C" w:rsidRDefault="00590491">
      <w:pPr>
        <w:pStyle w:val="TOC2"/>
        <w:rPr>
          <w:rFonts w:ascii="Calibri" w:hAnsi="Calibri"/>
          <w:sz w:val="22"/>
          <w:szCs w:val="22"/>
          <w:lang w:eastAsia="en-NZ"/>
        </w:rPr>
      </w:pPr>
      <w:hyperlink w:anchor="_Toc5269359" w:history="1">
        <w:r w:rsidR="00C97BE6" w:rsidRPr="001864CF">
          <w:rPr>
            <w:rStyle w:val="Hyperlink"/>
          </w:rPr>
          <w:t>Chapter 4: References</w:t>
        </w:r>
        <w:r w:rsidR="00C97BE6">
          <w:rPr>
            <w:webHidden/>
          </w:rPr>
          <w:tab/>
        </w:r>
        <w:r w:rsidR="00C97BE6">
          <w:rPr>
            <w:webHidden/>
          </w:rPr>
          <w:fldChar w:fldCharType="begin"/>
        </w:r>
        <w:r w:rsidR="00C97BE6">
          <w:rPr>
            <w:webHidden/>
          </w:rPr>
          <w:instrText xml:space="preserve"> PAGEREF _Toc5269359 \h </w:instrText>
        </w:r>
        <w:r w:rsidR="00C97BE6">
          <w:rPr>
            <w:webHidden/>
          </w:rPr>
        </w:r>
        <w:r w:rsidR="00C97BE6">
          <w:rPr>
            <w:webHidden/>
          </w:rPr>
          <w:fldChar w:fldCharType="separate"/>
        </w:r>
        <w:r w:rsidR="00D0418C">
          <w:rPr>
            <w:webHidden/>
          </w:rPr>
          <w:t>147</w:t>
        </w:r>
        <w:r w:rsidR="00C97BE6">
          <w:rPr>
            <w:webHidden/>
          </w:rPr>
          <w:fldChar w:fldCharType="end"/>
        </w:r>
      </w:hyperlink>
    </w:p>
    <w:p w14:paraId="553381D1" w14:textId="77777777" w:rsidR="00C97BE6" w:rsidRPr="002D354C" w:rsidRDefault="00590491">
      <w:pPr>
        <w:pStyle w:val="TOC1"/>
        <w:rPr>
          <w:rFonts w:ascii="Calibri" w:hAnsi="Calibri"/>
          <w:noProof/>
          <w:sz w:val="22"/>
          <w:szCs w:val="22"/>
          <w:lang w:eastAsia="en-NZ"/>
        </w:rPr>
      </w:pPr>
      <w:hyperlink w:anchor="_Toc5269360" w:history="1">
        <w:r w:rsidR="00C97BE6" w:rsidRPr="001864CF">
          <w:rPr>
            <w:rStyle w:val="Hyperlink"/>
            <w:noProof/>
          </w:rPr>
          <w:t>Chapter 5: Agriculture</w:t>
        </w:r>
        <w:r w:rsidR="00C97BE6">
          <w:rPr>
            <w:noProof/>
            <w:webHidden/>
          </w:rPr>
          <w:tab/>
        </w:r>
        <w:r w:rsidR="00C97BE6">
          <w:rPr>
            <w:noProof/>
            <w:webHidden/>
          </w:rPr>
          <w:fldChar w:fldCharType="begin"/>
        </w:r>
        <w:r w:rsidR="00C97BE6">
          <w:rPr>
            <w:noProof/>
            <w:webHidden/>
          </w:rPr>
          <w:instrText xml:space="preserve"> PAGEREF _Toc5269360 \h </w:instrText>
        </w:r>
        <w:r w:rsidR="00C97BE6">
          <w:rPr>
            <w:noProof/>
            <w:webHidden/>
          </w:rPr>
        </w:r>
        <w:r w:rsidR="00C97BE6">
          <w:rPr>
            <w:noProof/>
            <w:webHidden/>
          </w:rPr>
          <w:fldChar w:fldCharType="separate"/>
        </w:r>
        <w:r w:rsidR="00D0418C">
          <w:rPr>
            <w:noProof/>
            <w:webHidden/>
          </w:rPr>
          <w:t>148</w:t>
        </w:r>
        <w:r w:rsidR="00C97BE6">
          <w:rPr>
            <w:noProof/>
            <w:webHidden/>
          </w:rPr>
          <w:fldChar w:fldCharType="end"/>
        </w:r>
      </w:hyperlink>
    </w:p>
    <w:p w14:paraId="3408114F" w14:textId="77777777" w:rsidR="00C97BE6" w:rsidRPr="002D354C" w:rsidRDefault="00590491">
      <w:pPr>
        <w:pStyle w:val="TOC2"/>
        <w:rPr>
          <w:rFonts w:ascii="Calibri" w:hAnsi="Calibri"/>
          <w:sz w:val="22"/>
          <w:szCs w:val="22"/>
          <w:lang w:eastAsia="en-NZ"/>
        </w:rPr>
      </w:pPr>
      <w:hyperlink w:anchor="_Toc5269361" w:history="1">
        <w:r w:rsidR="00C97BE6" w:rsidRPr="001864CF">
          <w:rPr>
            <w:rStyle w:val="Hyperlink"/>
          </w:rPr>
          <w:t xml:space="preserve">5.1 </w:t>
        </w:r>
        <w:r w:rsidR="00C97BE6" w:rsidRPr="002D354C">
          <w:rPr>
            <w:rFonts w:ascii="Calibri" w:hAnsi="Calibri"/>
            <w:sz w:val="22"/>
            <w:szCs w:val="22"/>
            <w:lang w:eastAsia="en-NZ"/>
          </w:rPr>
          <w:tab/>
        </w:r>
        <w:r w:rsidR="00C97BE6" w:rsidRPr="001864CF">
          <w:rPr>
            <w:rStyle w:val="Hyperlink"/>
          </w:rPr>
          <w:t>Sector overview</w:t>
        </w:r>
        <w:r w:rsidR="00C97BE6">
          <w:rPr>
            <w:webHidden/>
          </w:rPr>
          <w:tab/>
        </w:r>
        <w:r w:rsidR="00C97BE6">
          <w:rPr>
            <w:webHidden/>
          </w:rPr>
          <w:fldChar w:fldCharType="begin"/>
        </w:r>
        <w:r w:rsidR="00C97BE6">
          <w:rPr>
            <w:webHidden/>
          </w:rPr>
          <w:instrText xml:space="preserve"> PAGEREF _Toc5269361 \h </w:instrText>
        </w:r>
        <w:r w:rsidR="00C97BE6">
          <w:rPr>
            <w:webHidden/>
          </w:rPr>
        </w:r>
        <w:r w:rsidR="00C97BE6">
          <w:rPr>
            <w:webHidden/>
          </w:rPr>
          <w:fldChar w:fldCharType="separate"/>
        </w:r>
        <w:r w:rsidR="00D0418C">
          <w:rPr>
            <w:webHidden/>
          </w:rPr>
          <w:t>148</w:t>
        </w:r>
        <w:r w:rsidR="00C97BE6">
          <w:rPr>
            <w:webHidden/>
          </w:rPr>
          <w:fldChar w:fldCharType="end"/>
        </w:r>
      </w:hyperlink>
    </w:p>
    <w:p w14:paraId="348CCA22" w14:textId="77777777" w:rsidR="00C97BE6" w:rsidRPr="002D354C" w:rsidRDefault="00590491">
      <w:pPr>
        <w:pStyle w:val="TOC2"/>
        <w:rPr>
          <w:rFonts w:ascii="Calibri" w:hAnsi="Calibri"/>
          <w:sz w:val="22"/>
          <w:szCs w:val="22"/>
          <w:lang w:eastAsia="en-NZ"/>
        </w:rPr>
      </w:pPr>
      <w:hyperlink w:anchor="_Toc5269362" w:history="1">
        <w:r w:rsidR="00C97BE6" w:rsidRPr="001864CF">
          <w:rPr>
            <w:rStyle w:val="Hyperlink"/>
          </w:rPr>
          <w:t>5.2</w:t>
        </w:r>
        <w:r w:rsidR="00C97BE6" w:rsidRPr="002D354C">
          <w:rPr>
            <w:rFonts w:ascii="Calibri" w:hAnsi="Calibri"/>
            <w:sz w:val="22"/>
            <w:szCs w:val="22"/>
            <w:lang w:eastAsia="en-NZ"/>
          </w:rPr>
          <w:tab/>
        </w:r>
        <w:r w:rsidR="00C97BE6" w:rsidRPr="001864CF">
          <w:rPr>
            <w:rStyle w:val="Hyperlink"/>
          </w:rPr>
          <w:t>Enteric fermentation (CRF 3.A)</w:t>
        </w:r>
        <w:r w:rsidR="00C97BE6">
          <w:rPr>
            <w:webHidden/>
          </w:rPr>
          <w:tab/>
        </w:r>
        <w:r w:rsidR="00C97BE6">
          <w:rPr>
            <w:webHidden/>
          </w:rPr>
          <w:fldChar w:fldCharType="begin"/>
        </w:r>
        <w:r w:rsidR="00C97BE6">
          <w:rPr>
            <w:webHidden/>
          </w:rPr>
          <w:instrText xml:space="preserve"> PAGEREF _Toc5269362 \h </w:instrText>
        </w:r>
        <w:r w:rsidR="00C97BE6">
          <w:rPr>
            <w:webHidden/>
          </w:rPr>
        </w:r>
        <w:r w:rsidR="00C97BE6">
          <w:rPr>
            <w:webHidden/>
          </w:rPr>
          <w:fldChar w:fldCharType="separate"/>
        </w:r>
        <w:r w:rsidR="00D0418C">
          <w:rPr>
            <w:webHidden/>
          </w:rPr>
          <w:t>170</w:t>
        </w:r>
        <w:r w:rsidR="00C97BE6">
          <w:rPr>
            <w:webHidden/>
          </w:rPr>
          <w:fldChar w:fldCharType="end"/>
        </w:r>
      </w:hyperlink>
    </w:p>
    <w:p w14:paraId="18334A4E" w14:textId="77777777" w:rsidR="00C97BE6" w:rsidRPr="002D354C" w:rsidRDefault="00590491">
      <w:pPr>
        <w:pStyle w:val="TOC2"/>
        <w:rPr>
          <w:rFonts w:ascii="Calibri" w:hAnsi="Calibri"/>
          <w:sz w:val="22"/>
          <w:szCs w:val="22"/>
          <w:lang w:eastAsia="en-NZ"/>
        </w:rPr>
      </w:pPr>
      <w:hyperlink w:anchor="_Toc5269363" w:history="1">
        <w:r w:rsidR="00C97BE6" w:rsidRPr="001864CF">
          <w:rPr>
            <w:rStyle w:val="Hyperlink"/>
          </w:rPr>
          <w:t>5.3</w:t>
        </w:r>
        <w:r w:rsidR="00C97BE6" w:rsidRPr="002D354C">
          <w:rPr>
            <w:rFonts w:ascii="Calibri" w:hAnsi="Calibri"/>
            <w:sz w:val="22"/>
            <w:szCs w:val="22"/>
            <w:lang w:eastAsia="en-NZ"/>
          </w:rPr>
          <w:tab/>
        </w:r>
        <w:r w:rsidR="00C97BE6" w:rsidRPr="001864CF">
          <w:rPr>
            <w:rStyle w:val="Hyperlink"/>
          </w:rPr>
          <w:t>Manure management (CRF 3.B)</w:t>
        </w:r>
        <w:r w:rsidR="00C97BE6">
          <w:rPr>
            <w:webHidden/>
          </w:rPr>
          <w:tab/>
        </w:r>
        <w:r w:rsidR="00C97BE6">
          <w:rPr>
            <w:webHidden/>
          </w:rPr>
          <w:fldChar w:fldCharType="begin"/>
        </w:r>
        <w:r w:rsidR="00C97BE6">
          <w:rPr>
            <w:webHidden/>
          </w:rPr>
          <w:instrText xml:space="preserve"> PAGEREF _Toc5269363 \h </w:instrText>
        </w:r>
        <w:r w:rsidR="00C97BE6">
          <w:rPr>
            <w:webHidden/>
          </w:rPr>
        </w:r>
        <w:r w:rsidR="00C97BE6">
          <w:rPr>
            <w:webHidden/>
          </w:rPr>
          <w:fldChar w:fldCharType="separate"/>
        </w:r>
        <w:r w:rsidR="00D0418C">
          <w:rPr>
            <w:webHidden/>
          </w:rPr>
          <w:t>178</w:t>
        </w:r>
        <w:r w:rsidR="00C97BE6">
          <w:rPr>
            <w:webHidden/>
          </w:rPr>
          <w:fldChar w:fldCharType="end"/>
        </w:r>
      </w:hyperlink>
    </w:p>
    <w:p w14:paraId="02B63E8C" w14:textId="77777777" w:rsidR="00C97BE6" w:rsidRPr="002D354C" w:rsidRDefault="00590491">
      <w:pPr>
        <w:pStyle w:val="TOC2"/>
        <w:rPr>
          <w:rFonts w:ascii="Calibri" w:hAnsi="Calibri"/>
          <w:sz w:val="22"/>
          <w:szCs w:val="22"/>
          <w:lang w:eastAsia="en-NZ"/>
        </w:rPr>
      </w:pPr>
      <w:hyperlink w:anchor="_Toc5269364" w:history="1">
        <w:r w:rsidR="00C97BE6" w:rsidRPr="001864CF">
          <w:rPr>
            <w:rStyle w:val="Hyperlink"/>
          </w:rPr>
          <w:t>5.4</w:t>
        </w:r>
        <w:r w:rsidR="00C97BE6" w:rsidRPr="002D354C">
          <w:rPr>
            <w:rFonts w:ascii="Calibri" w:hAnsi="Calibri"/>
            <w:sz w:val="22"/>
            <w:szCs w:val="22"/>
            <w:lang w:eastAsia="en-NZ"/>
          </w:rPr>
          <w:tab/>
        </w:r>
        <w:r w:rsidR="00C97BE6" w:rsidRPr="001864CF">
          <w:rPr>
            <w:rStyle w:val="Hyperlink"/>
          </w:rPr>
          <w:t>Rice cultivation (CRF 3.C)</w:t>
        </w:r>
        <w:r w:rsidR="00C97BE6">
          <w:rPr>
            <w:webHidden/>
          </w:rPr>
          <w:tab/>
        </w:r>
        <w:r w:rsidR="00C97BE6">
          <w:rPr>
            <w:webHidden/>
          </w:rPr>
          <w:fldChar w:fldCharType="begin"/>
        </w:r>
        <w:r w:rsidR="00C97BE6">
          <w:rPr>
            <w:webHidden/>
          </w:rPr>
          <w:instrText xml:space="preserve"> PAGEREF _Toc5269364 \h </w:instrText>
        </w:r>
        <w:r w:rsidR="00C97BE6">
          <w:rPr>
            <w:webHidden/>
          </w:rPr>
        </w:r>
        <w:r w:rsidR="00C97BE6">
          <w:rPr>
            <w:webHidden/>
          </w:rPr>
          <w:fldChar w:fldCharType="separate"/>
        </w:r>
        <w:r w:rsidR="00D0418C">
          <w:rPr>
            <w:webHidden/>
          </w:rPr>
          <w:t>190</w:t>
        </w:r>
        <w:r w:rsidR="00C97BE6">
          <w:rPr>
            <w:webHidden/>
          </w:rPr>
          <w:fldChar w:fldCharType="end"/>
        </w:r>
      </w:hyperlink>
    </w:p>
    <w:p w14:paraId="248A3AC8" w14:textId="77777777" w:rsidR="00C97BE6" w:rsidRPr="002D354C" w:rsidRDefault="00590491">
      <w:pPr>
        <w:pStyle w:val="TOC2"/>
        <w:rPr>
          <w:rFonts w:ascii="Calibri" w:hAnsi="Calibri"/>
          <w:sz w:val="22"/>
          <w:szCs w:val="22"/>
          <w:lang w:eastAsia="en-NZ"/>
        </w:rPr>
      </w:pPr>
      <w:hyperlink w:anchor="_Toc5269365" w:history="1">
        <w:r w:rsidR="00C97BE6" w:rsidRPr="001864CF">
          <w:rPr>
            <w:rStyle w:val="Hyperlink"/>
          </w:rPr>
          <w:t>5.5</w:t>
        </w:r>
        <w:r w:rsidR="00C97BE6" w:rsidRPr="002D354C">
          <w:rPr>
            <w:rFonts w:ascii="Calibri" w:hAnsi="Calibri"/>
            <w:sz w:val="22"/>
            <w:szCs w:val="22"/>
            <w:lang w:eastAsia="en-NZ"/>
          </w:rPr>
          <w:tab/>
        </w:r>
        <w:r w:rsidR="00C97BE6" w:rsidRPr="001864CF">
          <w:rPr>
            <w:rStyle w:val="Hyperlink"/>
          </w:rPr>
          <w:t>Agricultural soils (CRF 3.D)</w:t>
        </w:r>
        <w:r w:rsidR="00C97BE6">
          <w:rPr>
            <w:webHidden/>
          </w:rPr>
          <w:tab/>
        </w:r>
        <w:r w:rsidR="00C97BE6">
          <w:rPr>
            <w:webHidden/>
          </w:rPr>
          <w:fldChar w:fldCharType="begin"/>
        </w:r>
        <w:r w:rsidR="00C97BE6">
          <w:rPr>
            <w:webHidden/>
          </w:rPr>
          <w:instrText xml:space="preserve"> PAGEREF _Toc5269365 \h </w:instrText>
        </w:r>
        <w:r w:rsidR="00C97BE6">
          <w:rPr>
            <w:webHidden/>
          </w:rPr>
        </w:r>
        <w:r w:rsidR="00C97BE6">
          <w:rPr>
            <w:webHidden/>
          </w:rPr>
          <w:fldChar w:fldCharType="separate"/>
        </w:r>
        <w:r w:rsidR="00D0418C">
          <w:rPr>
            <w:webHidden/>
          </w:rPr>
          <w:t>190</w:t>
        </w:r>
        <w:r w:rsidR="00C97BE6">
          <w:rPr>
            <w:webHidden/>
          </w:rPr>
          <w:fldChar w:fldCharType="end"/>
        </w:r>
      </w:hyperlink>
    </w:p>
    <w:p w14:paraId="65FDCDCB" w14:textId="77777777" w:rsidR="00C97BE6" w:rsidRPr="002D354C" w:rsidRDefault="00590491">
      <w:pPr>
        <w:pStyle w:val="TOC2"/>
        <w:rPr>
          <w:rFonts w:ascii="Calibri" w:hAnsi="Calibri"/>
          <w:sz w:val="22"/>
          <w:szCs w:val="22"/>
          <w:lang w:eastAsia="en-NZ"/>
        </w:rPr>
      </w:pPr>
      <w:hyperlink w:anchor="_Toc5269366" w:history="1">
        <w:r w:rsidR="00C97BE6" w:rsidRPr="001864CF">
          <w:rPr>
            <w:rStyle w:val="Hyperlink"/>
          </w:rPr>
          <w:t>5.6</w:t>
        </w:r>
        <w:r w:rsidR="00C97BE6" w:rsidRPr="002D354C">
          <w:rPr>
            <w:rFonts w:ascii="Calibri" w:hAnsi="Calibri"/>
            <w:sz w:val="22"/>
            <w:szCs w:val="22"/>
            <w:lang w:eastAsia="en-NZ"/>
          </w:rPr>
          <w:tab/>
        </w:r>
        <w:r w:rsidR="00C97BE6" w:rsidRPr="001864CF">
          <w:rPr>
            <w:rStyle w:val="Hyperlink"/>
          </w:rPr>
          <w:t>Prescribed burning of savanna (CRF 3.E)</w:t>
        </w:r>
        <w:r w:rsidR="00C97BE6">
          <w:rPr>
            <w:webHidden/>
          </w:rPr>
          <w:tab/>
        </w:r>
        <w:r w:rsidR="00C97BE6">
          <w:rPr>
            <w:webHidden/>
          </w:rPr>
          <w:fldChar w:fldCharType="begin"/>
        </w:r>
        <w:r w:rsidR="00C97BE6">
          <w:rPr>
            <w:webHidden/>
          </w:rPr>
          <w:instrText xml:space="preserve"> PAGEREF _Toc5269366 \h </w:instrText>
        </w:r>
        <w:r w:rsidR="00C97BE6">
          <w:rPr>
            <w:webHidden/>
          </w:rPr>
        </w:r>
        <w:r w:rsidR="00C97BE6">
          <w:rPr>
            <w:webHidden/>
          </w:rPr>
          <w:fldChar w:fldCharType="separate"/>
        </w:r>
        <w:r w:rsidR="00D0418C">
          <w:rPr>
            <w:webHidden/>
          </w:rPr>
          <w:t>211</w:t>
        </w:r>
        <w:r w:rsidR="00C97BE6">
          <w:rPr>
            <w:webHidden/>
          </w:rPr>
          <w:fldChar w:fldCharType="end"/>
        </w:r>
      </w:hyperlink>
    </w:p>
    <w:p w14:paraId="54CCCBFF" w14:textId="77777777" w:rsidR="00C97BE6" w:rsidRPr="002D354C" w:rsidRDefault="00590491">
      <w:pPr>
        <w:pStyle w:val="TOC2"/>
        <w:rPr>
          <w:rFonts w:ascii="Calibri" w:hAnsi="Calibri"/>
          <w:sz w:val="22"/>
          <w:szCs w:val="22"/>
          <w:lang w:eastAsia="en-NZ"/>
        </w:rPr>
      </w:pPr>
      <w:hyperlink w:anchor="_Toc5269367" w:history="1">
        <w:r w:rsidR="00C97BE6" w:rsidRPr="001864CF">
          <w:rPr>
            <w:rStyle w:val="Hyperlink"/>
          </w:rPr>
          <w:t>5.7</w:t>
        </w:r>
        <w:r w:rsidR="00C97BE6" w:rsidRPr="002D354C">
          <w:rPr>
            <w:rFonts w:ascii="Calibri" w:hAnsi="Calibri"/>
            <w:sz w:val="22"/>
            <w:szCs w:val="22"/>
            <w:lang w:eastAsia="en-NZ"/>
          </w:rPr>
          <w:tab/>
        </w:r>
        <w:r w:rsidR="00C97BE6" w:rsidRPr="001864CF">
          <w:rPr>
            <w:rStyle w:val="Hyperlink"/>
          </w:rPr>
          <w:t>Field burning of agricultural residues (CRF 3.F)</w:t>
        </w:r>
        <w:r w:rsidR="00C97BE6">
          <w:rPr>
            <w:webHidden/>
          </w:rPr>
          <w:tab/>
        </w:r>
        <w:r w:rsidR="00C97BE6">
          <w:rPr>
            <w:webHidden/>
          </w:rPr>
          <w:fldChar w:fldCharType="begin"/>
        </w:r>
        <w:r w:rsidR="00C97BE6">
          <w:rPr>
            <w:webHidden/>
          </w:rPr>
          <w:instrText xml:space="preserve"> PAGEREF _Toc5269367 \h </w:instrText>
        </w:r>
        <w:r w:rsidR="00C97BE6">
          <w:rPr>
            <w:webHidden/>
          </w:rPr>
        </w:r>
        <w:r w:rsidR="00C97BE6">
          <w:rPr>
            <w:webHidden/>
          </w:rPr>
          <w:fldChar w:fldCharType="separate"/>
        </w:r>
        <w:r w:rsidR="00D0418C">
          <w:rPr>
            <w:webHidden/>
          </w:rPr>
          <w:t>211</w:t>
        </w:r>
        <w:r w:rsidR="00C97BE6">
          <w:rPr>
            <w:webHidden/>
          </w:rPr>
          <w:fldChar w:fldCharType="end"/>
        </w:r>
      </w:hyperlink>
    </w:p>
    <w:p w14:paraId="4FBADB04" w14:textId="77777777" w:rsidR="00C97BE6" w:rsidRPr="002D354C" w:rsidRDefault="00590491">
      <w:pPr>
        <w:pStyle w:val="TOC2"/>
        <w:rPr>
          <w:rFonts w:ascii="Calibri" w:hAnsi="Calibri"/>
          <w:sz w:val="22"/>
          <w:szCs w:val="22"/>
          <w:lang w:eastAsia="en-NZ"/>
        </w:rPr>
      </w:pPr>
      <w:hyperlink w:anchor="_Toc5269368" w:history="1">
        <w:r w:rsidR="00C97BE6" w:rsidRPr="001864CF">
          <w:rPr>
            <w:rStyle w:val="Hyperlink"/>
          </w:rPr>
          <w:t>5.8</w:t>
        </w:r>
        <w:r w:rsidR="00C97BE6" w:rsidRPr="002D354C">
          <w:rPr>
            <w:rFonts w:ascii="Calibri" w:hAnsi="Calibri"/>
            <w:sz w:val="22"/>
            <w:szCs w:val="22"/>
            <w:lang w:eastAsia="en-NZ"/>
          </w:rPr>
          <w:tab/>
        </w:r>
        <w:r w:rsidR="00C97BE6" w:rsidRPr="001864CF">
          <w:rPr>
            <w:rStyle w:val="Hyperlink"/>
          </w:rPr>
          <w:t>Liming (CRF 3.G)</w:t>
        </w:r>
        <w:r w:rsidR="00C97BE6">
          <w:rPr>
            <w:webHidden/>
          </w:rPr>
          <w:tab/>
        </w:r>
        <w:r w:rsidR="00C97BE6">
          <w:rPr>
            <w:webHidden/>
          </w:rPr>
          <w:fldChar w:fldCharType="begin"/>
        </w:r>
        <w:r w:rsidR="00C97BE6">
          <w:rPr>
            <w:webHidden/>
          </w:rPr>
          <w:instrText xml:space="preserve"> PAGEREF _Toc5269368 \h </w:instrText>
        </w:r>
        <w:r w:rsidR="00C97BE6">
          <w:rPr>
            <w:webHidden/>
          </w:rPr>
        </w:r>
        <w:r w:rsidR="00C97BE6">
          <w:rPr>
            <w:webHidden/>
          </w:rPr>
          <w:fldChar w:fldCharType="separate"/>
        </w:r>
        <w:r w:rsidR="00D0418C">
          <w:rPr>
            <w:webHidden/>
          </w:rPr>
          <w:t>215</w:t>
        </w:r>
        <w:r w:rsidR="00C97BE6">
          <w:rPr>
            <w:webHidden/>
          </w:rPr>
          <w:fldChar w:fldCharType="end"/>
        </w:r>
      </w:hyperlink>
    </w:p>
    <w:p w14:paraId="4E70F913" w14:textId="77777777" w:rsidR="00C97BE6" w:rsidRPr="002D354C" w:rsidRDefault="00590491">
      <w:pPr>
        <w:pStyle w:val="TOC2"/>
        <w:rPr>
          <w:rFonts w:ascii="Calibri" w:hAnsi="Calibri"/>
          <w:sz w:val="22"/>
          <w:szCs w:val="22"/>
          <w:lang w:eastAsia="en-NZ"/>
        </w:rPr>
      </w:pPr>
      <w:hyperlink w:anchor="_Toc5269369" w:history="1">
        <w:r w:rsidR="00C97BE6" w:rsidRPr="001864CF">
          <w:rPr>
            <w:rStyle w:val="Hyperlink"/>
          </w:rPr>
          <w:t>5.9</w:t>
        </w:r>
        <w:r w:rsidR="00C97BE6" w:rsidRPr="002D354C">
          <w:rPr>
            <w:rFonts w:ascii="Calibri" w:hAnsi="Calibri"/>
            <w:sz w:val="22"/>
            <w:szCs w:val="22"/>
            <w:lang w:eastAsia="en-NZ"/>
          </w:rPr>
          <w:tab/>
        </w:r>
        <w:r w:rsidR="00C97BE6" w:rsidRPr="001864CF">
          <w:rPr>
            <w:rStyle w:val="Hyperlink"/>
          </w:rPr>
          <w:t>Urea application (CRF 3.H)</w:t>
        </w:r>
        <w:r w:rsidR="00C97BE6">
          <w:rPr>
            <w:webHidden/>
          </w:rPr>
          <w:tab/>
        </w:r>
        <w:r w:rsidR="00C97BE6">
          <w:rPr>
            <w:webHidden/>
          </w:rPr>
          <w:fldChar w:fldCharType="begin"/>
        </w:r>
        <w:r w:rsidR="00C97BE6">
          <w:rPr>
            <w:webHidden/>
          </w:rPr>
          <w:instrText xml:space="preserve"> PAGEREF _Toc5269369 \h </w:instrText>
        </w:r>
        <w:r w:rsidR="00C97BE6">
          <w:rPr>
            <w:webHidden/>
          </w:rPr>
        </w:r>
        <w:r w:rsidR="00C97BE6">
          <w:rPr>
            <w:webHidden/>
          </w:rPr>
          <w:fldChar w:fldCharType="separate"/>
        </w:r>
        <w:r w:rsidR="00D0418C">
          <w:rPr>
            <w:webHidden/>
          </w:rPr>
          <w:t>217</w:t>
        </w:r>
        <w:r w:rsidR="00C97BE6">
          <w:rPr>
            <w:webHidden/>
          </w:rPr>
          <w:fldChar w:fldCharType="end"/>
        </w:r>
      </w:hyperlink>
    </w:p>
    <w:p w14:paraId="5F1038D3" w14:textId="77777777" w:rsidR="00C97BE6" w:rsidRPr="002D354C" w:rsidRDefault="00590491">
      <w:pPr>
        <w:pStyle w:val="TOC2"/>
        <w:rPr>
          <w:rFonts w:ascii="Calibri" w:hAnsi="Calibri"/>
          <w:sz w:val="22"/>
          <w:szCs w:val="22"/>
          <w:lang w:eastAsia="en-NZ"/>
        </w:rPr>
      </w:pPr>
      <w:hyperlink w:anchor="_Toc5269370" w:history="1">
        <w:r w:rsidR="00C97BE6" w:rsidRPr="001864CF">
          <w:rPr>
            <w:rStyle w:val="Hyperlink"/>
          </w:rPr>
          <w:t xml:space="preserve">5.10 </w:t>
        </w:r>
        <w:r w:rsidR="00C97BE6" w:rsidRPr="002D354C">
          <w:rPr>
            <w:rFonts w:ascii="Calibri" w:hAnsi="Calibri"/>
            <w:sz w:val="22"/>
            <w:szCs w:val="22"/>
            <w:lang w:eastAsia="en-NZ"/>
          </w:rPr>
          <w:tab/>
        </w:r>
        <w:r w:rsidR="00C97BE6" w:rsidRPr="001864CF">
          <w:rPr>
            <w:rStyle w:val="Hyperlink"/>
          </w:rPr>
          <w:t>Other carbon-containing fertilisers (CRF 3.I)</w:t>
        </w:r>
        <w:r w:rsidR="00C97BE6">
          <w:rPr>
            <w:webHidden/>
          </w:rPr>
          <w:tab/>
        </w:r>
        <w:r w:rsidR="00C97BE6">
          <w:rPr>
            <w:webHidden/>
          </w:rPr>
          <w:fldChar w:fldCharType="begin"/>
        </w:r>
        <w:r w:rsidR="00C97BE6">
          <w:rPr>
            <w:webHidden/>
          </w:rPr>
          <w:instrText xml:space="preserve"> PAGEREF _Toc5269370 \h </w:instrText>
        </w:r>
        <w:r w:rsidR="00C97BE6">
          <w:rPr>
            <w:webHidden/>
          </w:rPr>
        </w:r>
        <w:r w:rsidR="00C97BE6">
          <w:rPr>
            <w:webHidden/>
          </w:rPr>
          <w:fldChar w:fldCharType="separate"/>
        </w:r>
        <w:r w:rsidR="00D0418C">
          <w:rPr>
            <w:webHidden/>
          </w:rPr>
          <w:t>218</w:t>
        </w:r>
        <w:r w:rsidR="00C97BE6">
          <w:rPr>
            <w:webHidden/>
          </w:rPr>
          <w:fldChar w:fldCharType="end"/>
        </w:r>
      </w:hyperlink>
    </w:p>
    <w:p w14:paraId="0C60D836" w14:textId="77777777" w:rsidR="00C97BE6" w:rsidRPr="002D354C" w:rsidRDefault="00590491">
      <w:pPr>
        <w:pStyle w:val="TOC2"/>
        <w:rPr>
          <w:rFonts w:ascii="Calibri" w:hAnsi="Calibri"/>
          <w:sz w:val="22"/>
          <w:szCs w:val="22"/>
          <w:lang w:eastAsia="en-NZ"/>
        </w:rPr>
      </w:pPr>
      <w:hyperlink w:anchor="_Toc5269371" w:history="1">
        <w:r w:rsidR="00C97BE6" w:rsidRPr="001864CF">
          <w:rPr>
            <w:rStyle w:val="Hyperlink"/>
          </w:rPr>
          <w:t>Chapter 5: References</w:t>
        </w:r>
        <w:r w:rsidR="00C97BE6">
          <w:rPr>
            <w:webHidden/>
          </w:rPr>
          <w:tab/>
        </w:r>
        <w:r w:rsidR="00C97BE6">
          <w:rPr>
            <w:webHidden/>
          </w:rPr>
          <w:fldChar w:fldCharType="begin"/>
        </w:r>
        <w:r w:rsidR="00C97BE6">
          <w:rPr>
            <w:webHidden/>
          </w:rPr>
          <w:instrText xml:space="preserve"> PAGEREF _Toc5269371 \h </w:instrText>
        </w:r>
        <w:r w:rsidR="00C97BE6">
          <w:rPr>
            <w:webHidden/>
          </w:rPr>
        </w:r>
        <w:r w:rsidR="00C97BE6">
          <w:rPr>
            <w:webHidden/>
          </w:rPr>
          <w:fldChar w:fldCharType="separate"/>
        </w:r>
        <w:r w:rsidR="00D0418C">
          <w:rPr>
            <w:webHidden/>
          </w:rPr>
          <w:t>219</w:t>
        </w:r>
        <w:r w:rsidR="00C97BE6">
          <w:rPr>
            <w:webHidden/>
          </w:rPr>
          <w:fldChar w:fldCharType="end"/>
        </w:r>
      </w:hyperlink>
    </w:p>
    <w:p w14:paraId="7A53561F" w14:textId="77777777" w:rsidR="00C97BE6" w:rsidRPr="002D354C" w:rsidRDefault="00590491">
      <w:pPr>
        <w:pStyle w:val="TOC1"/>
        <w:rPr>
          <w:rFonts w:ascii="Calibri" w:hAnsi="Calibri"/>
          <w:noProof/>
          <w:sz w:val="22"/>
          <w:szCs w:val="22"/>
          <w:lang w:eastAsia="en-NZ"/>
        </w:rPr>
      </w:pPr>
      <w:hyperlink w:anchor="_Toc5269372" w:history="1">
        <w:r w:rsidR="00C97BE6" w:rsidRPr="001864CF">
          <w:rPr>
            <w:rStyle w:val="Hyperlink"/>
            <w:noProof/>
          </w:rPr>
          <w:t>Chapter 6: Land Use, Land-Use Change and Forestry (LULUCF)</w:t>
        </w:r>
        <w:r w:rsidR="00C97BE6">
          <w:rPr>
            <w:noProof/>
            <w:webHidden/>
          </w:rPr>
          <w:tab/>
        </w:r>
        <w:r w:rsidR="00C97BE6">
          <w:rPr>
            <w:noProof/>
            <w:webHidden/>
          </w:rPr>
          <w:fldChar w:fldCharType="begin"/>
        </w:r>
        <w:r w:rsidR="00C97BE6">
          <w:rPr>
            <w:noProof/>
            <w:webHidden/>
          </w:rPr>
          <w:instrText xml:space="preserve"> PAGEREF _Toc5269372 \h </w:instrText>
        </w:r>
        <w:r w:rsidR="00C97BE6">
          <w:rPr>
            <w:noProof/>
            <w:webHidden/>
          </w:rPr>
        </w:r>
        <w:r w:rsidR="00C97BE6">
          <w:rPr>
            <w:noProof/>
            <w:webHidden/>
          </w:rPr>
          <w:fldChar w:fldCharType="separate"/>
        </w:r>
        <w:r w:rsidR="00D0418C">
          <w:rPr>
            <w:noProof/>
            <w:webHidden/>
          </w:rPr>
          <w:t>224</w:t>
        </w:r>
        <w:r w:rsidR="00C97BE6">
          <w:rPr>
            <w:noProof/>
            <w:webHidden/>
          </w:rPr>
          <w:fldChar w:fldCharType="end"/>
        </w:r>
      </w:hyperlink>
    </w:p>
    <w:p w14:paraId="6A1BE08A" w14:textId="77777777" w:rsidR="00C97BE6" w:rsidRPr="002D354C" w:rsidRDefault="00590491">
      <w:pPr>
        <w:pStyle w:val="TOC2"/>
        <w:rPr>
          <w:rFonts w:ascii="Calibri" w:hAnsi="Calibri"/>
          <w:sz w:val="22"/>
          <w:szCs w:val="22"/>
          <w:lang w:eastAsia="en-NZ"/>
        </w:rPr>
      </w:pPr>
      <w:hyperlink w:anchor="_Toc5269373" w:history="1">
        <w:r w:rsidR="00C97BE6" w:rsidRPr="001864CF">
          <w:rPr>
            <w:rStyle w:val="Hyperlink"/>
          </w:rPr>
          <w:t>6.1</w:t>
        </w:r>
        <w:r w:rsidR="00C97BE6" w:rsidRPr="002D354C">
          <w:rPr>
            <w:rFonts w:ascii="Calibri" w:hAnsi="Calibri"/>
            <w:sz w:val="22"/>
            <w:szCs w:val="22"/>
            <w:lang w:eastAsia="en-NZ"/>
          </w:rPr>
          <w:tab/>
        </w:r>
        <w:r w:rsidR="00C97BE6" w:rsidRPr="001864CF">
          <w:rPr>
            <w:rStyle w:val="Hyperlink"/>
          </w:rPr>
          <w:t>Sector overview</w:t>
        </w:r>
        <w:r w:rsidR="00C97BE6">
          <w:rPr>
            <w:webHidden/>
          </w:rPr>
          <w:tab/>
        </w:r>
        <w:r w:rsidR="00C97BE6">
          <w:rPr>
            <w:webHidden/>
          </w:rPr>
          <w:fldChar w:fldCharType="begin"/>
        </w:r>
        <w:r w:rsidR="00C97BE6">
          <w:rPr>
            <w:webHidden/>
          </w:rPr>
          <w:instrText xml:space="preserve"> PAGEREF _Toc5269373 \h </w:instrText>
        </w:r>
        <w:r w:rsidR="00C97BE6">
          <w:rPr>
            <w:webHidden/>
          </w:rPr>
        </w:r>
        <w:r w:rsidR="00C97BE6">
          <w:rPr>
            <w:webHidden/>
          </w:rPr>
          <w:fldChar w:fldCharType="separate"/>
        </w:r>
        <w:r w:rsidR="00D0418C">
          <w:rPr>
            <w:webHidden/>
          </w:rPr>
          <w:t>224</w:t>
        </w:r>
        <w:r w:rsidR="00C97BE6">
          <w:rPr>
            <w:webHidden/>
          </w:rPr>
          <w:fldChar w:fldCharType="end"/>
        </w:r>
      </w:hyperlink>
    </w:p>
    <w:p w14:paraId="4A8202F2" w14:textId="77777777" w:rsidR="00C97BE6" w:rsidRPr="002D354C" w:rsidRDefault="00590491">
      <w:pPr>
        <w:pStyle w:val="TOC2"/>
        <w:rPr>
          <w:rFonts w:ascii="Calibri" w:hAnsi="Calibri"/>
          <w:sz w:val="22"/>
          <w:szCs w:val="22"/>
          <w:lang w:eastAsia="en-NZ"/>
        </w:rPr>
      </w:pPr>
      <w:hyperlink w:anchor="_Toc5269374" w:history="1">
        <w:r w:rsidR="00C97BE6" w:rsidRPr="001864CF">
          <w:rPr>
            <w:rStyle w:val="Hyperlink"/>
          </w:rPr>
          <w:t>6.2</w:t>
        </w:r>
        <w:r w:rsidR="00C97BE6" w:rsidRPr="002D354C">
          <w:rPr>
            <w:rFonts w:ascii="Calibri" w:hAnsi="Calibri"/>
            <w:sz w:val="22"/>
            <w:szCs w:val="22"/>
            <w:lang w:eastAsia="en-NZ"/>
          </w:rPr>
          <w:tab/>
        </w:r>
        <w:r w:rsidR="00C97BE6" w:rsidRPr="001864CF">
          <w:rPr>
            <w:rStyle w:val="Hyperlink"/>
          </w:rPr>
          <w:t>Representation of land areas</w:t>
        </w:r>
        <w:r w:rsidR="00C97BE6">
          <w:rPr>
            <w:webHidden/>
          </w:rPr>
          <w:tab/>
        </w:r>
        <w:r w:rsidR="00C97BE6">
          <w:rPr>
            <w:webHidden/>
          </w:rPr>
          <w:fldChar w:fldCharType="begin"/>
        </w:r>
        <w:r w:rsidR="00C97BE6">
          <w:rPr>
            <w:webHidden/>
          </w:rPr>
          <w:instrText xml:space="preserve"> PAGEREF _Toc5269374 \h </w:instrText>
        </w:r>
        <w:r w:rsidR="00C97BE6">
          <w:rPr>
            <w:webHidden/>
          </w:rPr>
        </w:r>
        <w:r w:rsidR="00C97BE6">
          <w:rPr>
            <w:webHidden/>
          </w:rPr>
          <w:fldChar w:fldCharType="separate"/>
        </w:r>
        <w:r w:rsidR="00D0418C">
          <w:rPr>
            <w:webHidden/>
          </w:rPr>
          <w:t>235</w:t>
        </w:r>
        <w:r w:rsidR="00C97BE6">
          <w:rPr>
            <w:webHidden/>
          </w:rPr>
          <w:fldChar w:fldCharType="end"/>
        </w:r>
      </w:hyperlink>
    </w:p>
    <w:p w14:paraId="78B7DE92" w14:textId="77777777" w:rsidR="00C97BE6" w:rsidRPr="002D354C" w:rsidRDefault="00590491">
      <w:pPr>
        <w:pStyle w:val="TOC2"/>
        <w:rPr>
          <w:rFonts w:ascii="Calibri" w:hAnsi="Calibri"/>
          <w:sz w:val="22"/>
          <w:szCs w:val="22"/>
          <w:lang w:eastAsia="en-NZ"/>
        </w:rPr>
      </w:pPr>
      <w:hyperlink w:anchor="_Toc5269375" w:history="1">
        <w:r w:rsidR="00C97BE6" w:rsidRPr="001864CF">
          <w:rPr>
            <w:rStyle w:val="Hyperlink"/>
          </w:rPr>
          <w:t>6.3</w:t>
        </w:r>
        <w:r w:rsidR="00C97BE6" w:rsidRPr="002D354C">
          <w:rPr>
            <w:rFonts w:ascii="Calibri" w:hAnsi="Calibri"/>
            <w:sz w:val="22"/>
            <w:szCs w:val="22"/>
            <w:lang w:eastAsia="en-NZ"/>
          </w:rPr>
          <w:tab/>
        </w:r>
        <w:r w:rsidR="00C97BE6" w:rsidRPr="001864CF">
          <w:rPr>
            <w:rStyle w:val="Hyperlink"/>
          </w:rPr>
          <w:t>Soils</w:t>
        </w:r>
        <w:r w:rsidR="00C97BE6">
          <w:rPr>
            <w:webHidden/>
          </w:rPr>
          <w:tab/>
        </w:r>
        <w:r w:rsidR="00C97BE6">
          <w:rPr>
            <w:webHidden/>
          </w:rPr>
          <w:fldChar w:fldCharType="begin"/>
        </w:r>
        <w:r w:rsidR="00C97BE6">
          <w:rPr>
            <w:webHidden/>
          </w:rPr>
          <w:instrText xml:space="preserve"> PAGEREF _Toc5269375 \h </w:instrText>
        </w:r>
        <w:r w:rsidR="00C97BE6">
          <w:rPr>
            <w:webHidden/>
          </w:rPr>
        </w:r>
        <w:r w:rsidR="00C97BE6">
          <w:rPr>
            <w:webHidden/>
          </w:rPr>
          <w:fldChar w:fldCharType="separate"/>
        </w:r>
        <w:r w:rsidR="00D0418C">
          <w:rPr>
            <w:webHidden/>
          </w:rPr>
          <w:t>256</w:t>
        </w:r>
        <w:r w:rsidR="00C97BE6">
          <w:rPr>
            <w:webHidden/>
          </w:rPr>
          <w:fldChar w:fldCharType="end"/>
        </w:r>
      </w:hyperlink>
    </w:p>
    <w:p w14:paraId="40E26D04" w14:textId="77777777" w:rsidR="00C97BE6" w:rsidRPr="002D354C" w:rsidRDefault="00590491">
      <w:pPr>
        <w:pStyle w:val="TOC2"/>
        <w:rPr>
          <w:rFonts w:ascii="Calibri" w:hAnsi="Calibri"/>
          <w:sz w:val="22"/>
          <w:szCs w:val="22"/>
          <w:lang w:eastAsia="en-NZ"/>
        </w:rPr>
      </w:pPr>
      <w:hyperlink w:anchor="_Toc5269376" w:history="1">
        <w:r w:rsidR="00C97BE6" w:rsidRPr="001864CF">
          <w:rPr>
            <w:rStyle w:val="Hyperlink"/>
          </w:rPr>
          <w:t>6.4</w:t>
        </w:r>
        <w:r w:rsidR="00C97BE6" w:rsidRPr="002D354C">
          <w:rPr>
            <w:rFonts w:ascii="Calibri" w:hAnsi="Calibri"/>
            <w:sz w:val="22"/>
            <w:szCs w:val="22"/>
            <w:lang w:eastAsia="en-NZ"/>
          </w:rPr>
          <w:tab/>
        </w:r>
        <w:r w:rsidR="00C97BE6" w:rsidRPr="001864CF">
          <w:rPr>
            <w:rStyle w:val="Hyperlink"/>
          </w:rPr>
          <w:t>Forest land (CRF 4A)</w:t>
        </w:r>
        <w:r w:rsidR="00C97BE6">
          <w:rPr>
            <w:webHidden/>
          </w:rPr>
          <w:tab/>
        </w:r>
        <w:r w:rsidR="00C97BE6">
          <w:rPr>
            <w:webHidden/>
          </w:rPr>
          <w:fldChar w:fldCharType="begin"/>
        </w:r>
        <w:r w:rsidR="00C97BE6">
          <w:rPr>
            <w:webHidden/>
          </w:rPr>
          <w:instrText xml:space="preserve"> PAGEREF _Toc5269376 \h </w:instrText>
        </w:r>
        <w:r w:rsidR="00C97BE6">
          <w:rPr>
            <w:webHidden/>
          </w:rPr>
        </w:r>
        <w:r w:rsidR="00C97BE6">
          <w:rPr>
            <w:webHidden/>
          </w:rPr>
          <w:fldChar w:fldCharType="separate"/>
        </w:r>
        <w:r w:rsidR="00D0418C">
          <w:rPr>
            <w:webHidden/>
          </w:rPr>
          <w:t>266</w:t>
        </w:r>
        <w:r w:rsidR="00C97BE6">
          <w:rPr>
            <w:webHidden/>
          </w:rPr>
          <w:fldChar w:fldCharType="end"/>
        </w:r>
      </w:hyperlink>
    </w:p>
    <w:p w14:paraId="497D1489" w14:textId="77777777" w:rsidR="00C97BE6" w:rsidRPr="002D354C" w:rsidRDefault="00590491">
      <w:pPr>
        <w:pStyle w:val="TOC2"/>
        <w:rPr>
          <w:rFonts w:ascii="Calibri" w:hAnsi="Calibri"/>
          <w:sz w:val="22"/>
          <w:szCs w:val="22"/>
          <w:lang w:eastAsia="en-NZ"/>
        </w:rPr>
      </w:pPr>
      <w:hyperlink w:anchor="_Toc5269377" w:history="1">
        <w:r w:rsidR="00C97BE6" w:rsidRPr="001864CF">
          <w:rPr>
            <w:rStyle w:val="Hyperlink"/>
          </w:rPr>
          <w:t>6.5</w:t>
        </w:r>
        <w:r w:rsidR="00C97BE6" w:rsidRPr="002D354C">
          <w:rPr>
            <w:rFonts w:ascii="Calibri" w:hAnsi="Calibri"/>
            <w:sz w:val="22"/>
            <w:szCs w:val="22"/>
            <w:lang w:eastAsia="en-NZ"/>
          </w:rPr>
          <w:tab/>
        </w:r>
        <w:r w:rsidR="00C97BE6" w:rsidRPr="001864CF">
          <w:rPr>
            <w:rStyle w:val="Hyperlink"/>
          </w:rPr>
          <w:t>Cropland (CRF 4B)</w:t>
        </w:r>
        <w:r w:rsidR="00C97BE6">
          <w:rPr>
            <w:webHidden/>
          </w:rPr>
          <w:tab/>
        </w:r>
        <w:r w:rsidR="00C97BE6">
          <w:rPr>
            <w:webHidden/>
          </w:rPr>
          <w:fldChar w:fldCharType="begin"/>
        </w:r>
        <w:r w:rsidR="00C97BE6">
          <w:rPr>
            <w:webHidden/>
          </w:rPr>
          <w:instrText xml:space="preserve"> PAGEREF _Toc5269377 \h </w:instrText>
        </w:r>
        <w:r w:rsidR="00C97BE6">
          <w:rPr>
            <w:webHidden/>
          </w:rPr>
        </w:r>
        <w:r w:rsidR="00C97BE6">
          <w:rPr>
            <w:webHidden/>
          </w:rPr>
          <w:fldChar w:fldCharType="separate"/>
        </w:r>
        <w:r w:rsidR="00D0418C">
          <w:rPr>
            <w:webHidden/>
          </w:rPr>
          <w:t>289</w:t>
        </w:r>
        <w:r w:rsidR="00C97BE6">
          <w:rPr>
            <w:webHidden/>
          </w:rPr>
          <w:fldChar w:fldCharType="end"/>
        </w:r>
      </w:hyperlink>
    </w:p>
    <w:p w14:paraId="5E899CB1" w14:textId="77777777" w:rsidR="00C97BE6" w:rsidRPr="002D354C" w:rsidRDefault="00590491">
      <w:pPr>
        <w:pStyle w:val="TOC2"/>
        <w:rPr>
          <w:rFonts w:ascii="Calibri" w:hAnsi="Calibri"/>
          <w:sz w:val="22"/>
          <w:szCs w:val="22"/>
          <w:lang w:eastAsia="en-NZ"/>
        </w:rPr>
      </w:pPr>
      <w:hyperlink w:anchor="_Toc5269378" w:history="1">
        <w:r w:rsidR="00C97BE6" w:rsidRPr="001864CF">
          <w:rPr>
            <w:rStyle w:val="Hyperlink"/>
          </w:rPr>
          <w:t>6.6</w:t>
        </w:r>
        <w:r w:rsidR="00C97BE6" w:rsidRPr="002D354C">
          <w:rPr>
            <w:rFonts w:ascii="Calibri" w:hAnsi="Calibri"/>
            <w:sz w:val="22"/>
            <w:szCs w:val="22"/>
            <w:lang w:eastAsia="en-NZ"/>
          </w:rPr>
          <w:tab/>
        </w:r>
        <w:r w:rsidR="00C97BE6" w:rsidRPr="001864CF">
          <w:rPr>
            <w:rStyle w:val="Hyperlink"/>
          </w:rPr>
          <w:t>Grassland (CRF 4C)</w:t>
        </w:r>
        <w:r w:rsidR="00C97BE6">
          <w:rPr>
            <w:webHidden/>
          </w:rPr>
          <w:tab/>
        </w:r>
        <w:r w:rsidR="00C97BE6">
          <w:rPr>
            <w:webHidden/>
          </w:rPr>
          <w:fldChar w:fldCharType="begin"/>
        </w:r>
        <w:r w:rsidR="00C97BE6">
          <w:rPr>
            <w:webHidden/>
          </w:rPr>
          <w:instrText xml:space="preserve"> PAGEREF _Toc5269378 \h </w:instrText>
        </w:r>
        <w:r w:rsidR="00C97BE6">
          <w:rPr>
            <w:webHidden/>
          </w:rPr>
        </w:r>
        <w:r w:rsidR="00C97BE6">
          <w:rPr>
            <w:webHidden/>
          </w:rPr>
          <w:fldChar w:fldCharType="separate"/>
        </w:r>
        <w:r w:rsidR="00D0418C">
          <w:rPr>
            <w:webHidden/>
          </w:rPr>
          <w:t>295</w:t>
        </w:r>
        <w:r w:rsidR="00C97BE6">
          <w:rPr>
            <w:webHidden/>
          </w:rPr>
          <w:fldChar w:fldCharType="end"/>
        </w:r>
      </w:hyperlink>
    </w:p>
    <w:p w14:paraId="604D12BB" w14:textId="77777777" w:rsidR="00C97BE6" w:rsidRPr="002D354C" w:rsidRDefault="00590491">
      <w:pPr>
        <w:pStyle w:val="TOC2"/>
        <w:rPr>
          <w:rFonts w:ascii="Calibri" w:hAnsi="Calibri"/>
          <w:sz w:val="22"/>
          <w:szCs w:val="22"/>
          <w:lang w:eastAsia="en-NZ"/>
        </w:rPr>
      </w:pPr>
      <w:hyperlink w:anchor="_Toc5269379" w:history="1">
        <w:r w:rsidR="00C97BE6" w:rsidRPr="001864CF">
          <w:rPr>
            <w:rStyle w:val="Hyperlink"/>
          </w:rPr>
          <w:t>6.7</w:t>
        </w:r>
        <w:r w:rsidR="00C97BE6" w:rsidRPr="002D354C">
          <w:rPr>
            <w:rFonts w:ascii="Calibri" w:hAnsi="Calibri"/>
            <w:sz w:val="22"/>
            <w:szCs w:val="22"/>
            <w:lang w:eastAsia="en-NZ"/>
          </w:rPr>
          <w:tab/>
        </w:r>
        <w:r w:rsidR="00C97BE6" w:rsidRPr="001864CF">
          <w:rPr>
            <w:rStyle w:val="Hyperlink"/>
          </w:rPr>
          <w:t>Wetlands (CRF 4D)</w:t>
        </w:r>
        <w:r w:rsidR="00C97BE6">
          <w:rPr>
            <w:webHidden/>
          </w:rPr>
          <w:tab/>
        </w:r>
        <w:r w:rsidR="00C97BE6">
          <w:rPr>
            <w:webHidden/>
          </w:rPr>
          <w:fldChar w:fldCharType="begin"/>
        </w:r>
        <w:r w:rsidR="00C97BE6">
          <w:rPr>
            <w:webHidden/>
          </w:rPr>
          <w:instrText xml:space="preserve"> PAGEREF _Toc5269379 \h </w:instrText>
        </w:r>
        <w:r w:rsidR="00C97BE6">
          <w:rPr>
            <w:webHidden/>
          </w:rPr>
        </w:r>
        <w:r w:rsidR="00C97BE6">
          <w:rPr>
            <w:webHidden/>
          </w:rPr>
          <w:fldChar w:fldCharType="separate"/>
        </w:r>
        <w:r w:rsidR="00D0418C">
          <w:rPr>
            <w:webHidden/>
          </w:rPr>
          <w:t>301</w:t>
        </w:r>
        <w:r w:rsidR="00C97BE6">
          <w:rPr>
            <w:webHidden/>
          </w:rPr>
          <w:fldChar w:fldCharType="end"/>
        </w:r>
      </w:hyperlink>
    </w:p>
    <w:p w14:paraId="07D4875F" w14:textId="77777777" w:rsidR="00C97BE6" w:rsidRPr="002D354C" w:rsidRDefault="00590491">
      <w:pPr>
        <w:pStyle w:val="TOC2"/>
        <w:rPr>
          <w:rFonts w:ascii="Calibri" w:hAnsi="Calibri"/>
          <w:sz w:val="22"/>
          <w:szCs w:val="22"/>
          <w:lang w:eastAsia="en-NZ"/>
        </w:rPr>
      </w:pPr>
      <w:hyperlink w:anchor="_Toc5269380" w:history="1">
        <w:r w:rsidR="00C97BE6" w:rsidRPr="001864CF">
          <w:rPr>
            <w:rStyle w:val="Hyperlink"/>
          </w:rPr>
          <w:t>6.8</w:t>
        </w:r>
        <w:r w:rsidR="00C97BE6" w:rsidRPr="002D354C">
          <w:rPr>
            <w:rFonts w:ascii="Calibri" w:hAnsi="Calibri"/>
            <w:sz w:val="22"/>
            <w:szCs w:val="22"/>
            <w:lang w:eastAsia="en-NZ"/>
          </w:rPr>
          <w:tab/>
        </w:r>
        <w:r w:rsidR="00C97BE6" w:rsidRPr="001864CF">
          <w:rPr>
            <w:rStyle w:val="Hyperlink"/>
          </w:rPr>
          <w:t>Settlements (CRF 4E)</w:t>
        </w:r>
        <w:r w:rsidR="00C97BE6">
          <w:rPr>
            <w:webHidden/>
          </w:rPr>
          <w:tab/>
        </w:r>
        <w:r w:rsidR="00C97BE6">
          <w:rPr>
            <w:webHidden/>
          </w:rPr>
          <w:fldChar w:fldCharType="begin"/>
        </w:r>
        <w:r w:rsidR="00C97BE6">
          <w:rPr>
            <w:webHidden/>
          </w:rPr>
          <w:instrText xml:space="preserve"> PAGEREF _Toc5269380 \h </w:instrText>
        </w:r>
        <w:r w:rsidR="00C97BE6">
          <w:rPr>
            <w:webHidden/>
          </w:rPr>
        </w:r>
        <w:r w:rsidR="00C97BE6">
          <w:rPr>
            <w:webHidden/>
          </w:rPr>
          <w:fldChar w:fldCharType="separate"/>
        </w:r>
        <w:r w:rsidR="00D0418C">
          <w:rPr>
            <w:webHidden/>
          </w:rPr>
          <w:t>305</w:t>
        </w:r>
        <w:r w:rsidR="00C97BE6">
          <w:rPr>
            <w:webHidden/>
          </w:rPr>
          <w:fldChar w:fldCharType="end"/>
        </w:r>
      </w:hyperlink>
    </w:p>
    <w:p w14:paraId="7F5A0F84" w14:textId="77777777" w:rsidR="00C97BE6" w:rsidRPr="002D354C" w:rsidRDefault="00590491">
      <w:pPr>
        <w:pStyle w:val="TOC2"/>
        <w:rPr>
          <w:rFonts w:ascii="Calibri" w:hAnsi="Calibri"/>
          <w:sz w:val="22"/>
          <w:szCs w:val="22"/>
          <w:lang w:eastAsia="en-NZ"/>
        </w:rPr>
      </w:pPr>
      <w:hyperlink w:anchor="_Toc5269381" w:history="1">
        <w:r w:rsidR="00C97BE6" w:rsidRPr="001864CF">
          <w:rPr>
            <w:rStyle w:val="Hyperlink"/>
          </w:rPr>
          <w:t>6.9</w:t>
        </w:r>
        <w:r w:rsidR="00C97BE6" w:rsidRPr="002D354C">
          <w:rPr>
            <w:rFonts w:ascii="Calibri" w:hAnsi="Calibri"/>
            <w:sz w:val="22"/>
            <w:szCs w:val="22"/>
            <w:lang w:eastAsia="en-NZ"/>
          </w:rPr>
          <w:tab/>
        </w:r>
        <w:r w:rsidR="00C97BE6" w:rsidRPr="001864CF">
          <w:rPr>
            <w:rStyle w:val="Hyperlink"/>
          </w:rPr>
          <w:t>Other land (CRF 4F)</w:t>
        </w:r>
        <w:r w:rsidR="00C97BE6">
          <w:rPr>
            <w:webHidden/>
          </w:rPr>
          <w:tab/>
        </w:r>
        <w:r w:rsidR="00C97BE6">
          <w:rPr>
            <w:webHidden/>
          </w:rPr>
          <w:fldChar w:fldCharType="begin"/>
        </w:r>
        <w:r w:rsidR="00C97BE6">
          <w:rPr>
            <w:webHidden/>
          </w:rPr>
          <w:instrText xml:space="preserve"> PAGEREF _Toc5269381 \h </w:instrText>
        </w:r>
        <w:r w:rsidR="00C97BE6">
          <w:rPr>
            <w:webHidden/>
          </w:rPr>
        </w:r>
        <w:r w:rsidR="00C97BE6">
          <w:rPr>
            <w:webHidden/>
          </w:rPr>
          <w:fldChar w:fldCharType="separate"/>
        </w:r>
        <w:r w:rsidR="00D0418C">
          <w:rPr>
            <w:webHidden/>
          </w:rPr>
          <w:t>307</w:t>
        </w:r>
        <w:r w:rsidR="00C97BE6">
          <w:rPr>
            <w:webHidden/>
          </w:rPr>
          <w:fldChar w:fldCharType="end"/>
        </w:r>
      </w:hyperlink>
    </w:p>
    <w:p w14:paraId="3D122A26" w14:textId="77777777" w:rsidR="00C97BE6" w:rsidRPr="002D354C" w:rsidRDefault="00590491">
      <w:pPr>
        <w:pStyle w:val="TOC2"/>
        <w:rPr>
          <w:rFonts w:ascii="Calibri" w:hAnsi="Calibri"/>
          <w:sz w:val="22"/>
          <w:szCs w:val="22"/>
          <w:lang w:eastAsia="en-NZ"/>
        </w:rPr>
      </w:pPr>
      <w:hyperlink w:anchor="_Toc5269382" w:history="1">
        <w:r w:rsidR="00C97BE6" w:rsidRPr="001864CF">
          <w:rPr>
            <w:rStyle w:val="Hyperlink"/>
          </w:rPr>
          <w:t>6.10</w:t>
        </w:r>
        <w:r w:rsidR="00C97BE6" w:rsidRPr="002D354C">
          <w:rPr>
            <w:rFonts w:ascii="Calibri" w:hAnsi="Calibri"/>
            <w:sz w:val="22"/>
            <w:szCs w:val="22"/>
            <w:lang w:eastAsia="en-NZ"/>
          </w:rPr>
          <w:tab/>
        </w:r>
        <w:r w:rsidR="00C97BE6" w:rsidRPr="001864CF">
          <w:rPr>
            <w:rStyle w:val="Hyperlink"/>
          </w:rPr>
          <w:t>Harvested wood products (CRF 4G)</w:t>
        </w:r>
        <w:r w:rsidR="00C97BE6">
          <w:rPr>
            <w:webHidden/>
          </w:rPr>
          <w:tab/>
        </w:r>
        <w:r w:rsidR="00C97BE6">
          <w:rPr>
            <w:webHidden/>
          </w:rPr>
          <w:fldChar w:fldCharType="begin"/>
        </w:r>
        <w:r w:rsidR="00C97BE6">
          <w:rPr>
            <w:webHidden/>
          </w:rPr>
          <w:instrText xml:space="preserve"> PAGEREF _Toc5269382 \h </w:instrText>
        </w:r>
        <w:r w:rsidR="00C97BE6">
          <w:rPr>
            <w:webHidden/>
          </w:rPr>
        </w:r>
        <w:r w:rsidR="00C97BE6">
          <w:rPr>
            <w:webHidden/>
          </w:rPr>
          <w:fldChar w:fldCharType="separate"/>
        </w:r>
        <w:r w:rsidR="00D0418C">
          <w:rPr>
            <w:webHidden/>
          </w:rPr>
          <w:t>310</w:t>
        </w:r>
        <w:r w:rsidR="00C97BE6">
          <w:rPr>
            <w:webHidden/>
          </w:rPr>
          <w:fldChar w:fldCharType="end"/>
        </w:r>
      </w:hyperlink>
    </w:p>
    <w:p w14:paraId="7CE7BC8F" w14:textId="77777777" w:rsidR="00C97BE6" w:rsidRPr="002D354C" w:rsidRDefault="00590491">
      <w:pPr>
        <w:pStyle w:val="TOC2"/>
        <w:rPr>
          <w:rFonts w:ascii="Calibri" w:hAnsi="Calibri"/>
          <w:sz w:val="22"/>
          <w:szCs w:val="22"/>
          <w:lang w:eastAsia="en-NZ"/>
        </w:rPr>
      </w:pPr>
      <w:hyperlink w:anchor="_Toc5269383" w:history="1">
        <w:r w:rsidR="00C97BE6" w:rsidRPr="001864CF">
          <w:rPr>
            <w:rStyle w:val="Hyperlink"/>
          </w:rPr>
          <w:t>6.11</w:t>
        </w:r>
        <w:r w:rsidR="00C97BE6" w:rsidRPr="002D354C">
          <w:rPr>
            <w:rFonts w:ascii="Calibri" w:hAnsi="Calibri"/>
            <w:sz w:val="22"/>
            <w:szCs w:val="22"/>
            <w:lang w:eastAsia="en-NZ"/>
          </w:rPr>
          <w:tab/>
        </w:r>
        <w:r w:rsidR="00C97BE6" w:rsidRPr="001864CF">
          <w:rPr>
            <w:rStyle w:val="Hyperlink"/>
          </w:rPr>
          <w:t>Non-CO</w:t>
        </w:r>
        <w:r w:rsidR="00C97BE6" w:rsidRPr="001864CF">
          <w:rPr>
            <w:rStyle w:val="Hyperlink"/>
            <w:rFonts w:ascii="Arial Bold" w:hAnsi="Arial Bold"/>
            <w:vertAlign w:val="subscript"/>
          </w:rPr>
          <w:t>2</w:t>
        </w:r>
        <w:r w:rsidR="00C97BE6" w:rsidRPr="001864CF">
          <w:rPr>
            <w:rStyle w:val="Hyperlink"/>
          </w:rPr>
          <w:t xml:space="preserve"> emissions (CRF 4(I–V))</w:t>
        </w:r>
        <w:r w:rsidR="00C97BE6">
          <w:rPr>
            <w:webHidden/>
          </w:rPr>
          <w:tab/>
        </w:r>
        <w:r w:rsidR="00C97BE6">
          <w:rPr>
            <w:webHidden/>
          </w:rPr>
          <w:fldChar w:fldCharType="begin"/>
        </w:r>
        <w:r w:rsidR="00C97BE6">
          <w:rPr>
            <w:webHidden/>
          </w:rPr>
          <w:instrText xml:space="preserve"> PAGEREF _Toc5269383 \h </w:instrText>
        </w:r>
        <w:r w:rsidR="00C97BE6">
          <w:rPr>
            <w:webHidden/>
          </w:rPr>
        </w:r>
        <w:r w:rsidR="00C97BE6">
          <w:rPr>
            <w:webHidden/>
          </w:rPr>
          <w:fldChar w:fldCharType="separate"/>
        </w:r>
        <w:r w:rsidR="00D0418C">
          <w:rPr>
            <w:webHidden/>
          </w:rPr>
          <w:t>313</w:t>
        </w:r>
        <w:r w:rsidR="00C97BE6">
          <w:rPr>
            <w:webHidden/>
          </w:rPr>
          <w:fldChar w:fldCharType="end"/>
        </w:r>
      </w:hyperlink>
    </w:p>
    <w:p w14:paraId="6139A219" w14:textId="77777777" w:rsidR="00C97BE6" w:rsidRPr="002D354C" w:rsidRDefault="00590491">
      <w:pPr>
        <w:pStyle w:val="TOC2"/>
        <w:rPr>
          <w:rFonts w:ascii="Calibri" w:hAnsi="Calibri"/>
          <w:sz w:val="22"/>
          <w:szCs w:val="22"/>
          <w:lang w:eastAsia="en-NZ"/>
        </w:rPr>
      </w:pPr>
      <w:hyperlink w:anchor="_Toc5269384" w:history="1">
        <w:r w:rsidR="00C97BE6" w:rsidRPr="001864CF">
          <w:rPr>
            <w:rStyle w:val="Hyperlink"/>
          </w:rPr>
          <w:t>Chapter 6: References</w:t>
        </w:r>
        <w:r w:rsidR="00C97BE6">
          <w:rPr>
            <w:webHidden/>
          </w:rPr>
          <w:tab/>
        </w:r>
        <w:r w:rsidR="00C97BE6">
          <w:rPr>
            <w:webHidden/>
          </w:rPr>
          <w:fldChar w:fldCharType="begin"/>
        </w:r>
        <w:r w:rsidR="00C97BE6">
          <w:rPr>
            <w:webHidden/>
          </w:rPr>
          <w:instrText xml:space="preserve"> PAGEREF _Toc5269384 \h </w:instrText>
        </w:r>
        <w:r w:rsidR="00C97BE6">
          <w:rPr>
            <w:webHidden/>
          </w:rPr>
        </w:r>
        <w:r w:rsidR="00C97BE6">
          <w:rPr>
            <w:webHidden/>
          </w:rPr>
          <w:fldChar w:fldCharType="separate"/>
        </w:r>
        <w:r w:rsidR="00D0418C">
          <w:rPr>
            <w:webHidden/>
          </w:rPr>
          <w:t>320</w:t>
        </w:r>
        <w:r w:rsidR="00C97BE6">
          <w:rPr>
            <w:webHidden/>
          </w:rPr>
          <w:fldChar w:fldCharType="end"/>
        </w:r>
      </w:hyperlink>
    </w:p>
    <w:p w14:paraId="7B0C8580" w14:textId="77777777" w:rsidR="00C97BE6" w:rsidRPr="002D354C" w:rsidRDefault="00590491">
      <w:pPr>
        <w:pStyle w:val="TOC1"/>
        <w:rPr>
          <w:rFonts w:ascii="Calibri" w:hAnsi="Calibri"/>
          <w:noProof/>
          <w:sz w:val="22"/>
          <w:szCs w:val="22"/>
          <w:lang w:eastAsia="en-NZ"/>
        </w:rPr>
      </w:pPr>
      <w:hyperlink w:anchor="_Toc5269385" w:history="1">
        <w:r w:rsidR="00C97BE6" w:rsidRPr="001864CF">
          <w:rPr>
            <w:rStyle w:val="Hyperlink"/>
            <w:noProof/>
          </w:rPr>
          <w:t>Chapter 7: Waste</w:t>
        </w:r>
        <w:r w:rsidR="00C97BE6">
          <w:rPr>
            <w:noProof/>
            <w:webHidden/>
          </w:rPr>
          <w:tab/>
        </w:r>
        <w:r w:rsidR="00C97BE6">
          <w:rPr>
            <w:noProof/>
            <w:webHidden/>
          </w:rPr>
          <w:fldChar w:fldCharType="begin"/>
        </w:r>
        <w:r w:rsidR="00C97BE6">
          <w:rPr>
            <w:noProof/>
            <w:webHidden/>
          </w:rPr>
          <w:instrText xml:space="preserve"> PAGEREF _Toc5269385 \h </w:instrText>
        </w:r>
        <w:r w:rsidR="00C97BE6">
          <w:rPr>
            <w:noProof/>
            <w:webHidden/>
          </w:rPr>
        </w:r>
        <w:r w:rsidR="00C97BE6">
          <w:rPr>
            <w:noProof/>
            <w:webHidden/>
          </w:rPr>
          <w:fldChar w:fldCharType="separate"/>
        </w:r>
        <w:r w:rsidR="00D0418C">
          <w:rPr>
            <w:noProof/>
            <w:webHidden/>
          </w:rPr>
          <w:t>328</w:t>
        </w:r>
        <w:r w:rsidR="00C97BE6">
          <w:rPr>
            <w:noProof/>
            <w:webHidden/>
          </w:rPr>
          <w:fldChar w:fldCharType="end"/>
        </w:r>
      </w:hyperlink>
    </w:p>
    <w:p w14:paraId="2A6A7956" w14:textId="77777777" w:rsidR="00C97BE6" w:rsidRPr="002D354C" w:rsidRDefault="00590491">
      <w:pPr>
        <w:pStyle w:val="TOC2"/>
        <w:rPr>
          <w:rFonts w:ascii="Calibri" w:hAnsi="Calibri"/>
          <w:sz w:val="22"/>
          <w:szCs w:val="22"/>
          <w:lang w:eastAsia="en-NZ"/>
        </w:rPr>
      </w:pPr>
      <w:hyperlink w:anchor="_Toc5269386" w:history="1">
        <w:r w:rsidR="00C97BE6" w:rsidRPr="001864CF">
          <w:rPr>
            <w:rStyle w:val="Hyperlink"/>
          </w:rPr>
          <w:t>7.1</w:t>
        </w:r>
        <w:r w:rsidR="00C97BE6" w:rsidRPr="002D354C">
          <w:rPr>
            <w:rFonts w:ascii="Calibri" w:hAnsi="Calibri"/>
            <w:sz w:val="22"/>
            <w:szCs w:val="22"/>
            <w:lang w:eastAsia="en-NZ"/>
          </w:rPr>
          <w:tab/>
        </w:r>
        <w:r w:rsidR="00C97BE6" w:rsidRPr="001864CF">
          <w:rPr>
            <w:rStyle w:val="Hyperlink"/>
          </w:rPr>
          <w:t>Sector overview</w:t>
        </w:r>
        <w:r w:rsidR="00C97BE6">
          <w:rPr>
            <w:webHidden/>
          </w:rPr>
          <w:tab/>
        </w:r>
        <w:r w:rsidR="00C97BE6">
          <w:rPr>
            <w:webHidden/>
          </w:rPr>
          <w:fldChar w:fldCharType="begin"/>
        </w:r>
        <w:r w:rsidR="00C97BE6">
          <w:rPr>
            <w:webHidden/>
          </w:rPr>
          <w:instrText xml:space="preserve"> PAGEREF _Toc5269386 \h </w:instrText>
        </w:r>
        <w:r w:rsidR="00C97BE6">
          <w:rPr>
            <w:webHidden/>
          </w:rPr>
        </w:r>
        <w:r w:rsidR="00C97BE6">
          <w:rPr>
            <w:webHidden/>
          </w:rPr>
          <w:fldChar w:fldCharType="separate"/>
        </w:r>
        <w:r w:rsidR="00D0418C">
          <w:rPr>
            <w:webHidden/>
          </w:rPr>
          <w:t>328</w:t>
        </w:r>
        <w:r w:rsidR="00C97BE6">
          <w:rPr>
            <w:webHidden/>
          </w:rPr>
          <w:fldChar w:fldCharType="end"/>
        </w:r>
      </w:hyperlink>
    </w:p>
    <w:p w14:paraId="51BD9934" w14:textId="77777777" w:rsidR="00C97BE6" w:rsidRPr="002D354C" w:rsidRDefault="00590491">
      <w:pPr>
        <w:pStyle w:val="TOC2"/>
        <w:rPr>
          <w:rFonts w:ascii="Calibri" w:hAnsi="Calibri"/>
          <w:sz w:val="22"/>
          <w:szCs w:val="22"/>
          <w:lang w:eastAsia="en-NZ"/>
        </w:rPr>
      </w:pPr>
      <w:hyperlink w:anchor="_Toc5269387" w:history="1">
        <w:r w:rsidR="00C97BE6" w:rsidRPr="001864CF">
          <w:rPr>
            <w:rStyle w:val="Hyperlink"/>
          </w:rPr>
          <w:t>7.2</w:t>
        </w:r>
        <w:r w:rsidR="00C97BE6" w:rsidRPr="002D354C">
          <w:rPr>
            <w:rFonts w:ascii="Calibri" w:hAnsi="Calibri"/>
            <w:sz w:val="22"/>
            <w:szCs w:val="22"/>
            <w:lang w:eastAsia="en-NZ"/>
          </w:rPr>
          <w:tab/>
        </w:r>
        <w:r w:rsidR="00C97BE6" w:rsidRPr="001864CF">
          <w:rPr>
            <w:rStyle w:val="Hyperlink"/>
          </w:rPr>
          <w:t>Solid waste disposal (5.A)</w:t>
        </w:r>
        <w:r w:rsidR="00C97BE6">
          <w:rPr>
            <w:webHidden/>
          </w:rPr>
          <w:tab/>
        </w:r>
        <w:r w:rsidR="00C97BE6">
          <w:rPr>
            <w:webHidden/>
          </w:rPr>
          <w:fldChar w:fldCharType="begin"/>
        </w:r>
        <w:r w:rsidR="00C97BE6">
          <w:rPr>
            <w:webHidden/>
          </w:rPr>
          <w:instrText xml:space="preserve"> PAGEREF _Toc5269387 \h </w:instrText>
        </w:r>
        <w:r w:rsidR="00C97BE6">
          <w:rPr>
            <w:webHidden/>
          </w:rPr>
        </w:r>
        <w:r w:rsidR="00C97BE6">
          <w:rPr>
            <w:webHidden/>
          </w:rPr>
          <w:fldChar w:fldCharType="separate"/>
        </w:r>
        <w:r w:rsidR="00D0418C">
          <w:rPr>
            <w:webHidden/>
          </w:rPr>
          <w:t>332</w:t>
        </w:r>
        <w:r w:rsidR="00C97BE6">
          <w:rPr>
            <w:webHidden/>
          </w:rPr>
          <w:fldChar w:fldCharType="end"/>
        </w:r>
      </w:hyperlink>
    </w:p>
    <w:p w14:paraId="71AB4C3C" w14:textId="77777777" w:rsidR="00C97BE6" w:rsidRPr="002D354C" w:rsidRDefault="00590491">
      <w:pPr>
        <w:pStyle w:val="TOC2"/>
        <w:rPr>
          <w:rFonts w:ascii="Calibri" w:hAnsi="Calibri"/>
          <w:sz w:val="22"/>
          <w:szCs w:val="22"/>
          <w:lang w:eastAsia="en-NZ"/>
        </w:rPr>
      </w:pPr>
      <w:hyperlink w:anchor="_Toc5269388" w:history="1">
        <w:r w:rsidR="00C97BE6" w:rsidRPr="001864CF">
          <w:rPr>
            <w:rStyle w:val="Hyperlink"/>
          </w:rPr>
          <w:t>7.3</w:t>
        </w:r>
        <w:r w:rsidR="00C97BE6" w:rsidRPr="002D354C">
          <w:rPr>
            <w:rFonts w:ascii="Calibri" w:hAnsi="Calibri"/>
            <w:sz w:val="22"/>
            <w:szCs w:val="22"/>
            <w:lang w:eastAsia="en-NZ"/>
          </w:rPr>
          <w:tab/>
        </w:r>
        <w:r w:rsidR="00C97BE6" w:rsidRPr="001864CF">
          <w:rPr>
            <w:rStyle w:val="Hyperlink"/>
          </w:rPr>
          <w:t>Biological treatment of solid waste (5.B)</w:t>
        </w:r>
        <w:r w:rsidR="00C97BE6">
          <w:rPr>
            <w:webHidden/>
          </w:rPr>
          <w:tab/>
        </w:r>
        <w:r w:rsidR="00C97BE6">
          <w:rPr>
            <w:webHidden/>
          </w:rPr>
          <w:fldChar w:fldCharType="begin"/>
        </w:r>
        <w:r w:rsidR="00C97BE6">
          <w:rPr>
            <w:webHidden/>
          </w:rPr>
          <w:instrText xml:space="preserve"> PAGEREF _Toc5269388 \h </w:instrText>
        </w:r>
        <w:r w:rsidR="00C97BE6">
          <w:rPr>
            <w:webHidden/>
          </w:rPr>
        </w:r>
        <w:r w:rsidR="00C97BE6">
          <w:rPr>
            <w:webHidden/>
          </w:rPr>
          <w:fldChar w:fldCharType="separate"/>
        </w:r>
        <w:r w:rsidR="00D0418C">
          <w:rPr>
            <w:webHidden/>
          </w:rPr>
          <w:t>347</w:t>
        </w:r>
        <w:r w:rsidR="00C97BE6">
          <w:rPr>
            <w:webHidden/>
          </w:rPr>
          <w:fldChar w:fldCharType="end"/>
        </w:r>
      </w:hyperlink>
    </w:p>
    <w:p w14:paraId="53988CA9" w14:textId="77777777" w:rsidR="00C97BE6" w:rsidRPr="002D354C" w:rsidRDefault="00590491">
      <w:pPr>
        <w:pStyle w:val="TOC2"/>
        <w:rPr>
          <w:rFonts w:ascii="Calibri" w:hAnsi="Calibri"/>
          <w:sz w:val="22"/>
          <w:szCs w:val="22"/>
          <w:lang w:eastAsia="en-NZ"/>
        </w:rPr>
      </w:pPr>
      <w:hyperlink w:anchor="_Toc5269389" w:history="1">
        <w:r w:rsidR="00C97BE6" w:rsidRPr="001864CF">
          <w:rPr>
            <w:rStyle w:val="Hyperlink"/>
          </w:rPr>
          <w:t>7.4</w:t>
        </w:r>
        <w:r w:rsidR="00C97BE6" w:rsidRPr="002D354C">
          <w:rPr>
            <w:rFonts w:ascii="Calibri" w:hAnsi="Calibri"/>
            <w:sz w:val="22"/>
            <w:szCs w:val="22"/>
            <w:lang w:eastAsia="en-NZ"/>
          </w:rPr>
          <w:tab/>
        </w:r>
        <w:r w:rsidR="00C97BE6" w:rsidRPr="001864CF">
          <w:rPr>
            <w:rStyle w:val="Hyperlink"/>
          </w:rPr>
          <w:t>Incineration and open burning of waste (5.C)</w:t>
        </w:r>
        <w:r w:rsidR="00C97BE6">
          <w:rPr>
            <w:webHidden/>
          </w:rPr>
          <w:tab/>
        </w:r>
        <w:r w:rsidR="00C97BE6">
          <w:rPr>
            <w:webHidden/>
          </w:rPr>
          <w:fldChar w:fldCharType="begin"/>
        </w:r>
        <w:r w:rsidR="00C97BE6">
          <w:rPr>
            <w:webHidden/>
          </w:rPr>
          <w:instrText xml:space="preserve"> PAGEREF _Toc5269389 \h </w:instrText>
        </w:r>
        <w:r w:rsidR="00C97BE6">
          <w:rPr>
            <w:webHidden/>
          </w:rPr>
        </w:r>
        <w:r w:rsidR="00C97BE6">
          <w:rPr>
            <w:webHidden/>
          </w:rPr>
          <w:fldChar w:fldCharType="separate"/>
        </w:r>
        <w:r w:rsidR="00D0418C">
          <w:rPr>
            <w:webHidden/>
          </w:rPr>
          <w:t>349</w:t>
        </w:r>
        <w:r w:rsidR="00C97BE6">
          <w:rPr>
            <w:webHidden/>
          </w:rPr>
          <w:fldChar w:fldCharType="end"/>
        </w:r>
      </w:hyperlink>
    </w:p>
    <w:p w14:paraId="1E591AC5" w14:textId="77777777" w:rsidR="00C97BE6" w:rsidRPr="002D354C" w:rsidRDefault="00590491">
      <w:pPr>
        <w:pStyle w:val="TOC2"/>
        <w:rPr>
          <w:rFonts w:ascii="Calibri" w:hAnsi="Calibri"/>
          <w:sz w:val="22"/>
          <w:szCs w:val="22"/>
          <w:lang w:eastAsia="en-NZ"/>
        </w:rPr>
      </w:pPr>
      <w:hyperlink w:anchor="_Toc5269390" w:history="1">
        <w:r w:rsidR="00C97BE6" w:rsidRPr="001864CF">
          <w:rPr>
            <w:rStyle w:val="Hyperlink"/>
            <w:lang w:eastAsia="en-NZ"/>
          </w:rPr>
          <w:t xml:space="preserve">7.5 </w:t>
        </w:r>
        <w:r w:rsidR="00C97BE6" w:rsidRPr="002D354C">
          <w:rPr>
            <w:rFonts w:ascii="Calibri" w:hAnsi="Calibri"/>
            <w:sz w:val="22"/>
            <w:szCs w:val="22"/>
            <w:lang w:eastAsia="en-NZ"/>
          </w:rPr>
          <w:tab/>
        </w:r>
        <w:r w:rsidR="00C97BE6" w:rsidRPr="001864CF">
          <w:rPr>
            <w:rStyle w:val="Hyperlink"/>
            <w:lang w:eastAsia="en-NZ"/>
          </w:rPr>
          <w:t>Wastewater treatment and discharge (5.D)</w:t>
        </w:r>
        <w:r w:rsidR="00C97BE6">
          <w:rPr>
            <w:webHidden/>
          </w:rPr>
          <w:tab/>
        </w:r>
        <w:r w:rsidR="00C97BE6">
          <w:rPr>
            <w:webHidden/>
          </w:rPr>
          <w:fldChar w:fldCharType="begin"/>
        </w:r>
        <w:r w:rsidR="00C97BE6">
          <w:rPr>
            <w:webHidden/>
          </w:rPr>
          <w:instrText xml:space="preserve"> PAGEREF _Toc5269390 \h </w:instrText>
        </w:r>
        <w:r w:rsidR="00C97BE6">
          <w:rPr>
            <w:webHidden/>
          </w:rPr>
        </w:r>
        <w:r w:rsidR="00C97BE6">
          <w:rPr>
            <w:webHidden/>
          </w:rPr>
          <w:fldChar w:fldCharType="separate"/>
        </w:r>
        <w:r w:rsidR="00D0418C">
          <w:rPr>
            <w:webHidden/>
          </w:rPr>
          <w:t>354</w:t>
        </w:r>
        <w:r w:rsidR="00C97BE6">
          <w:rPr>
            <w:webHidden/>
          </w:rPr>
          <w:fldChar w:fldCharType="end"/>
        </w:r>
      </w:hyperlink>
    </w:p>
    <w:p w14:paraId="5B64B635" w14:textId="77777777" w:rsidR="00C97BE6" w:rsidRPr="002D354C" w:rsidRDefault="00590491">
      <w:pPr>
        <w:pStyle w:val="TOC2"/>
        <w:rPr>
          <w:rFonts w:ascii="Calibri" w:hAnsi="Calibri"/>
          <w:sz w:val="22"/>
          <w:szCs w:val="22"/>
          <w:lang w:eastAsia="en-NZ"/>
        </w:rPr>
      </w:pPr>
      <w:hyperlink w:anchor="_Toc5269391" w:history="1">
        <w:r w:rsidR="00C97BE6" w:rsidRPr="001864CF">
          <w:rPr>
            <w:rStyle w:val="Hyperlink"/>
          </w:rPr>
          <w:t>Chapter 7: References</w:t>
        </w:r>
        <w:r w:rsidR="00C97BE6">
          <w:rPr>
            <w:webHidden/>
          </w:rPr>
          <w:tab/>
        </w:r>
        <w:r w:rsidR="00C97BE6">
          <w:rPr>
            <w:webHidden/>
          </w:rPr>
          <w:fldChar w:fldCharType="begin"/>
        </w:r>
        <w:r w:rsidR="00C97BE6">
          <w:rPr>
            <w:webHidden/>
          </w:rPr>
          <w:instrText xml:space="preserve"> PAGEREF _Toc5269391 \h </w:instrText>
        </w:r>
        <w:r w:rsidR="00C97BE6">
          <w:rPr>
            <w:webHidden/>
          </w:rPr>
        </w:r>
        <w:r w:rsidR="00C97BE6">
          <w:rPr>
            <w:webHidden/>
          </w:rPr>
          <w:fldChar w:fldCharType="separate"/>
        </w:r>
        <w:r w:rsidR="00D0418C">
          <w:rPr>
            <w:webHidden/>
          </w:rPr>
          <w:t>367</w:t>
        </w:r>
        <w:r w:rsidR="00C97BE6">
          <w:rPr>
            <w:webHidden/>
          </w:rPr>
          <w:fldChar w:fldCharType="end"/>
        </w:r>
      </w:hyperlink>
    </w:p>
    <w:p w14:paraId="41AEE366" w14:textId="77777777" w:rsidR="00C97BE6" w:rsidRPr="002D354C" w:rsidRDefault="00590491">
      <w:pPr>
        <w:pStyle w:val="TOC1"/>
        <w:rPr>
          <w:rFonts w:ascii="Calibri" w:hAnsi="Calibri"/>
          <w:noProof/>
          <w:sz w:val="22"/>
          <w:szCs w:val="22"/>
          <w:lang w:eastAsia="en-NZ"/>
        </w:rPr>
      </w:pPr>
      <w:hyperlink w:anchor="_Toc5269392" w:history="1">
        <w:r w:rsidR="00C97BE6" w:rsidRPr="001864CF">
          <w:rPr>
            <w:rStyle w:val="Hyperlink"/>
            <w:noProof/>
          </w:rPr>
          <w:t>Chapter 8: Tokelau</w:t>
        </w:r>
        <w:r w:rsidR="00C97BE6">
          <w:rPr>
            <w:noProof/>
            <w:webHidden/>
          </w:rPr>
          <w:tab/>
        </w:r>
        <w:r w:rsidR="00C97BE6">
          <w:rPr>
            <w:noProof/>
            <w:webHidden/>
          </w:rPr>
          <w:fldChar w:fldCharType="begin"/>
        </w:r>
        <w:r w:rsidR="00C97BE6">
          <w:rPr>
            <w:noProof/>
            <w:webHidden/>
          </w:rPr>
          <w:instrText xml:space="preserve"> PAGEREF _Toc5269392 \h </w:instrText>
        </w:r>
        <w:r w:rsidR="00C97BE6">
          <w:rPr>
            <w:noProof/>
            <w:webHidden/>
          </w:rPr>
        </w:r>
        <w:r w:rsidR="00C97BE6">
          <w:rPr>
            <w:noProof/>
            <w:webHidden/>
          </w:rPr>
          <w:fldChar w:fldCharType="separate"/>
        </w:r>
        <w:r w:rsidR="00D0418C">
          <w:rPr>
            <w:noProof/>
            <w:webHidden/>
          </w:rPr>
          <w:t>369</w:t>
        </w:r>
        <w:r w:rsidR="00C97BE6">
          <w:rPr>
            <w:noProof/>
            <w:webHidden/>
          </w:rPr>
          <w:fldChar w:fldCharType="end"/>
        </w:r>
      </w:hyperlink>
    </w:p>
    <w:p w14:paraId="6D569938" w14:textId="77777777" w:rsidR="00C97BE6" w:rsidRPr="002D354C" w:rsidRDefault="00590491">
      <w:pPr>
        <w:pStyle w:val="TOC2"/>
        <w:rPr>
          <w:rFonts w:ascii="Calibri" w:hAnsi="Calibri"/>
          <w:sz w:val="22"/>
          <w:szCs w:val="22"/>
          <w:lang w:eastAsia="en-NZ"/>
        </w:rPr>
      </w:pPr>
      <w:hyperlink w:anchor="_Toc5269393" w:history="1">
        <w:r w:rsidR="00C97BE6" w:rsidRPr="001864CF">
          <w:rPr>
            <w:rStyle w:val="Hyperlink"/>
          </w:rPr>
          <w:t xml:space="preserve">8.1 </w:t>
        </w:r>
        <w:r w:rsidR="00C97BE6" w:rsidRPr="002D354C">
          <w:rPr>
            <w:rFonts w:ascii="Calibri" w:hAnsi="Calibri"/>
            <w:sz w:val="22"/>
            <w:szCs w:val="22"/>
            <w:lang w:eastAsia="en-NZ"/>
          </w:rPr>
          <w:tab/>
        </w:r>
        <w:r w:rsidR="00C97BE6" w:rsidRPr="001864CF">
          <w:rPr>
            <w:rStyle w:val="Hyperlink"/>
          </w:rPr>
          <w:t>Tokelau overview</w:t>
        </w:r>
        <w:r w:rsidR="00C97BE6">
          <w:rPr>
            <w:webHidden/>
          </w:rPr>
          <w:tab/>
        </w:r>
        <w:r w:rsidR="00C97BE6">
          <w:rPr>
            <w:webHidden/>
          </w:rPr>
          <w:fldChar w:fldCharType="begin"/>
        </w:r>
        <w:r w:rsidR="00C97BE6">
          <w:rPr>
            <w:webHidden/>
          </w:rPr>
          <w:instrText xml:space="preserve"> PAGEREF _Toc5269393 \h </w:instrText>
        </w:r>
        <w:r w:rsidR="00C97BE6">
          <w:rPr>
            <w:webHidden/>
          </w:rPr>
        </w:r>
        <w:r w:rsidR="00C97BE6">
          <w:rPr>
            <w:webHidden/>
          </w:rPr>
          <w:fldChar w:fldCharType="separate"/>
        </w:r>
        <w:r w:rsidR="00D0418C">
          <w:rPr>
            <w:webHidden/>
          </w:rPr>
          <w:t>369</w:t>
        </w:r>
        <w:r w:rsidR="00C97BE6">
          <w:rPr>
            <w:webHidden/>
          </w:rPr>
          <w:fldChar w:fldCharType="end"/>
        </w:r>
      </w:hyperlink>
    </w:p>
    <w:p w14:paraId="2E40D907" w14:textId="079B3AA2" w:rsidR="00C97BE6" w:rsidRPr="002D354C" w:rsidRDefault="00590491">
      <w:pPr>
        <w:pStyle w:val="TOC2"/>
        <w:rPr>
          <w:rFonts w:ascii="Calibri" w:hAnsi="Calibri"/>
          <w:sz w:val="22"/>
          <w:szCs w:val="22"/>
          <w:lang w:eastAsia="en-NZ"/>
        </w:rPr>
      </w:pPr>
      <w:hyperlink w:anchor="_Toc5269394" w:history="1">
        <w:r w:rsidR="00C97BE6" w:rsidRPr="001864CF">
          <w:rPr>
            <w:rStyle w:val="Hyperlink"/>
          </w:rPr>
          <w:t xml:space="preserve">8.2 </w:t>
        </w:r>
        <w:r w:rsidR="00C97BE6" w:rsidRPr="002D354C">
          <w:rPr>
            <w:rFonts w:ascii="Calibri" w:hAnsi="Calibri"/>
            <w:sz w:val="22"/>
            <w:szCs w:val="22"/>
            <w:lang w:eastAsia="en-NZ"/>
          </w:rPr>
          <w:tab/>
        </w:r>
        <w:r w:rsidR="00C97BE6" w:rsidRPr="001864CF">
          <w:rPr>
            <w:rStyle w:val="Hyperlink"/>
          </w:rPr>
          <w:t>Energy emissions from Tokelau</w:t>
        </w:r>
        <w:r w:rsidR="00A00EA1">
          <w:rPr>
            <w:rStyle w:val="Hyperlink"/>
          </w:rPr>
          <w:t xml:space="preserve"> </w:t>
        </w:r>
        <w:r w:rsidR="00C97BE6" w:rsidRPr="001864CF">
          <w:rPr>
            <w:rStyle w:val="Hyperlink"/>
          </w:rPr>
          <w:t>(CRF 6. Tokelau_1)</w:t>
        </w:r>
        <w:r w:rsidR="00C97BE6">
          <w:rPr>
            <w:webHidden/>
          </w:rPr>
          <w:tab/>
        </w:r>
        <w:r w:rsidR="00C97BE6">
          <w:rPr>
            <w:webHidden/>
          </w:rPr>
          <w:fldChar w:fldCharType="begin"/>
        </w:r>
        <w:r w:rsidR="00C97BE6">
          <w:rPr>
            <w:webHidden/>
          </w:rPr>
          <w:instrText xml:space="preserve"> PAGEREF _Toc5269394 \h </w:instrText>
        </w:r>
        <w:r w:rsidR="00C97BE6">
          <w:rPr>
            <w:webHidden/>
          </w:rPr>
        </w:r>
        <w:r w:rsidR="00C97BE6">
          <w:rPr>
            <w:webHidden/>
          </w:rPr>
          <w:fldChar w:fldCharType="separate"/>
        </w:r>
        <w:r w:rsidR="00D0418C">
          <w:rPr>
            <w:webHidden/>
          </w:rPr>
          <w:t>374</w:t>
        </w:r>
        <w:r w:rsidR="00C97BE6">
          <w:rPr>
            <w:webHidden/>
          </w:rPr>
          <w:fldChar w:fldCharType="end"/>
        </w:r>
      </w:hyperlink>
    </w:p>
    <w:p w14:paraId="08D2B9BD" w14:textId="77777777" w:rsidR="00C97BE6" w:rsidRPr="002D354C" w:rsidRDefault="00590491">
      <w:pPr>
        <w:pStyle w:val="TOC2"/>
        <w:rPr>
          <w:rFonts w:ascii="Calibri" w:hAnsi="Calibri"/>
          <w:sz w:val="22"/>
          <w:szCs w:val="22"/>
          <w:lang w:eastAsia="en-NZ"/>
        </w:rPr>
      </w:pPr>
      <w:hyperlink w:anchor="_Toc5269395" w:history="1">
        <w:r w:rsidR="00C97BE6" w:rsidRPr="001864CF">
          <w:rPr>
            <w:rStyle w:val="Hyperlink"/>
          </w:rPr>
          <w:t xml:space="preserve">8.3 </w:t>
        </w:r>
        <w:r w:rsidR="00C97BE6" w:rsidRPr="002D354C">
          <w:rPr>
            <w:rFonts w:ascii="Calibri" w:hAnsi="Calibri"/>
            <w:sz w:val="22"/>
            <w:szCs w:val="22"/>
            <w:lang w:eastAsia="en-NZ"/>
          </w:rPr>
          <w:tab/>
        </w:r>
        <w:r w:rsidR="00C97BE6" w:rsidRPr="001864CF">
          <w:rPr>
            <w:rStyle w:val="Hyperlink"/>
          </w:rPr>
          <w:t>Emissions from Industrial Processes and Product Use in Tokelau (CRF 6. Tokelau_2)</w:t>
        </w:r>
        <w:r w:rsidR="00C97BE6">
          <w:rPr>
            <w:webHidden/>
          </w:rPr>
          <w:tab/>
        </w:r>
        <w:r w:rsidR="00C97BE6">
          <w:rPr>
            <w:webHidden/>
          </w:rPr>
          <w:fldChar w:fldCharType="begin"/>
        </w:r>
        <w:r w:rsidR="00C97BE6">
          <w:rPr>
            <w:webHidden/>
          </w:rPr>
          <w:instrText xml:space="preserve"> PAGEREF _Toc5269395 \h </w:instrText>
        </w:r>
        <w:r w:rsidR="00C97BE6">
          <w:rPr>
            <w:webHidden/>
          </w:rPr>
        </w:r>
        <w:r w:rsidR="00C97BE6">
          <w:rPr>
            <w:webHidden/>
          </w:rPr>
          <w:fldChar w:fldCharType="separate"/>
        </w:r>
        <w:r w:rsidR="00D0418C">
          <w:rPr>
            <w:webHidden/>
          </w:rPr>
          <w:t>381</w:t>
        </w:r>
        <w:r w:rsidR="00C97BE6">
          <w:rPr>
            <w:webHidden/>
          </w:rPr>
          <w:fldChar w:fldCharType="end"/>
        </w:r>
      </w:hyperlink>
    </w:p>
    <w:p w14:paraId="172C331F" w14:textId="77777777" w:rsidR="00C97BE6" w:rsidRPr="002D354C" w:rsidRDefault="00590491">
      <w:pPr>
        <w:pStyle w:val="TOC2"/>
        <w:rPr>
          <w:rFonts w:ascii="Calibri" w:hAnsi="Calibri"/>
          <w:sz w:val="22"/>
          <w:szCs w:val="22"/>
          <w:lang w:eastAsia="en-NZ"/>
        </w:rPr>
      </w:pPr>
      <w:hyperlink w:anchor="_Toc5269396" w:history="1">
        <w:r w:rsidR="00C97BE6" w:rsidRPr="001864CF">
          <w:rPr>
            <w:rStyle w:val="Hyperlink"/>
          </w:rPr>
          <w:t>8.4</w:t>
        </w:r>
        <w:r w:rsidR="00C97BE6" w:rsidRPr="002D354C">
          <w:rPr>
            <w:rFonts w:ascii="Calibri" w:hAnsi="Calibri"/>
            <w:sz w:val="22"/>
            <w:szCs w:val="22"/>
            <w:lang w:eastAsia="en-NZ"/>
          </w:rPr>
          <w:tab/>
        </w:r>
        <w:r w:rsidR="00C97BE6" w:rsidRPr="001864CF">
          <w:rPr>
            <w:rStyle w:val="Hyperlink"/>
          </w:rPr>
          <w:t>Emissions from the Agriculture sector in Tokelau (CRF 6. Tokelau_3)</w:t>
        </w:r>
        <w:r w:rsidR="00C97BE6">
          <w:rPr>
            <w:webHidden/>
          </w:rPr>
          <w:tab/>
        </w:r>
        <w:r w:rsidR="00C97BE6">
          <w:rPr>
            <w:webHidden/>
          </w:rPr>
          <w:fldChar w:fldCharType="begin"/>
        </w:r>
        <w:r w:rsidR="00C97BE6">
          <w:rPr>
            <w:webHidden/>
          </w:rPr>
          <w:instrText xml:space="preserve"> PAGEREF _Toc5269396 \h </w:instrText>
        </w:r>
        <w:r w:rsidR="00C97BE6">
          <w:rPr>
            <w:webHidden/>
          </w:rPr>
        </w:r>
        <w:r w:rsidR="00C97BE6">
          <w:rPr>
            <w:webHidden/>
          </w:rPr>
          <w:fldChar w:fldCharType="separate"/>
        </w:r>
        <w:r w:rsidR="00D0418C">
          <w:rPr>
            <w:webHidden/>
          </w:rPr>
          <w:t>385</w:t>
        </w:r>
        <w:r w:rsidR="00C97BE6">
          <w:rPr>
            <w:webHidden/>
          </w:rPr>
          <w:fldChar w:fldCharType="end"/>
        </w:r>
      </w:hyperlink>
    </w:p>
    <w:p w14:paraId="15B1ED3A" w14:textId="77777777" w:rsidR="00C97BE6" w:rsidRPr="002D354C" w:rsidRDefault="00590491">
      <w:pPr>
        <w:pStyle w:val="TOC2"/>
        <w:rPr>
          <w:rFonts w:ascii="Calibri" w:hAnsi="Calibri"/>
          <w:sz w:val="22"/>
          <w:szCs w:val="22"/>
          <w:lang w:eastAsia="en-NZ"/>
        </w:rPr>
      </w:pPr>
      <w:hyperlink w:anchor="_Toc5269397" w:history="1">
        <w:r w:rsidR="00C97BE6" w:rsidRPr="001864CF">
          <w:rPr>
            <w:rStyle w:val="Hyperlink"/>
          </w:rPr>
          <w:t xml:space="preserve">8.5 </w:t>
        </w:r>
        <w:r w:rsidR="00C97BE6" w:rsidRPr="002D354C">
          <w:rPr>
            <w:rFonts w:ascii="Calibri" w:hAnsi="Calibri"/>
            <w:sz w:val="22"/>
            <w:szCs w:val="22"/>
            <w:lang w:eastAsia="en-NZ"/>
          </w:rPr>
          <w:tab/>
        </w:r>
        <w:r w:rsidR="00C97BE6" w:rsidRPr="001864CF">
          <w:rPr>
            <w:rStyle w:val="Hyperlink"/>
          </w:rPr>
          <w:t>Emissions from the Waste sector in Tokelau (CRF 6 Tokelau_5)</w:t>
        </w:r>
        <w:r w:rsidR="00C97BE6">
          <w:rPr>
            <w:webHidden/>
          </w:rPr>
          <w:tab/>
        </w:r>
        <w:r w:rsidR="00C97BE6">
          <w:rPr>
            <w:webHidden/>
          </w:rPr>
          <w:fldChar w:fldCharType="begin"/>
        </w:r>
        <w:r w:rsidR="00C97BE6">
          <w:rPr>
            <w:webHidden/>
          </w:rPr>
          <w:instrText xml:space="preserve"> PAGEREF _Toc5269397 \h </w:instrText>
        </w:r>
        <w:r w:rsidR="00C97BE6">
          <w:rPr>
            <w:webHidden/>
          </w:rPr>
        </w:r>
        <w:r w:rsidR="00C97BE6">
          <w:rPr>
            <w:webHidden/>
          </w:rPr>
          <w:fldChar w:fldCharType="separate"/>
        </w:r>
        <w:r w:rsidR="00D0418C">
          <w:rPr>
            <w:webHidden/>
          </w:rPr>
          <w:t>387</w:t>
        </w:r>
        <w:r w:rsidR="00C97BE6">
          <w:rPr>
            <w:webHidden/>
          </w:rPr>
          <w:fldChar w:fldCharType="end"/>
        </w:r>
      </w:hyperlink>
    </w:p>
    <w:p w14:paraId="65E6900D" w14:textId="77777777" w:rsidR="00C97BE6" w:rsidRPr="002D354C" w:rsidRDefault="00590491">
      <w:pPr>
        <w:pStyle w:val="TOC2"/>
        <w:rPr>
          <w:rFonts w:ascii="Calibri" w:hAnsi="Calibri"/>
          <w:sz w:val="22"/>
          <w:szCs w:val="22"/>
          <w:lang w:eastAsia="en-NZ"/>
        </w:rPr>
      </w:pPr>
      <w:hyperlink w:anchor="_Toc5269398" w:history="1">
        <w:r w:rsidR="00C97BE6" w:rsidRPr="001864CF">
          <w:rPr>
            <w:rStyle w:val="Hyperlink"/>
          </w:rPr>
          <w:t>Chapter 8: References</w:t>
        </w:r>
        <w:r w:rsidR="00C97BE6">
          <w:rPr>
            <w:webHidden/>
          </w:rPr>
          <w:tab/>
        </w:r>
        <w:r w:rsidR="00C97BE6">
          <w:rPr>
            <w:webHidden/>
          </w:rPr>
          <w:fldChar w:fldCharType="begin"/>
        </w:r>
        <w:r w:rsidR="00C97BE6">
          <w:rPr>
            <w:webHidden/>
          </w:rPr>
          <w:instrText xml:space="preserve"> PAGEREF _Toc5269398 \h </w:instrText>
        </w:r>
        <w:r w:rsidR="00C97BE6">
          <w:rPr>
            <w:webHidden/>
          </w:rPr>
        </w:r>
        <w:r w:rsidR="00C97BE6">
          <w:rPr>
            <w:webHidden/>
          </w:rPr>
          <w:fldChar w:fldCharType="separate"/>
        </w:r>
        <w:r w:rsidR="00D0418C">
          <w:rPr>
            <w:webHidden/>
          </w:rPr>
          <w:t>394</w:t>
        </w:r>
        <w:r w:rsidR="00C97BE6">
          <w:rPr>
            <w:webHidden/>
          </w:rPr>
          <w:fldChar w:fldCharType="end"/>
        </w:r>
      </w:hyperlink>
    </w:p>
    <w:p w14:paraId="59313596" w14:textId="77777777" w:rsidR="00C97BE6" w:rsidRPr="002D354C" w:rsidRDefault="00590491">
      <w:pPr>
        <w:pStyle w:val="TOC1"/>
        <w:rPr>
          <w:rFonts w:ascii="Calibri" w:hAnsi="Calibri"/>
          <w:noProof/>
          <w:sz w:val="22"/>
          <w:szCs w:val="22"/>
          <w:lang w:eastAsia="en-NZ"/>
        </w:rPr>
      </w:pPr>
      <w:hyperlink w:anchor="_Toc5269399" w:history="1">
        <w:r w:rsidR="00C97BE6" w:rsidRPr="001864CF">
          <w:rPr>
            <w:rStyle w:val="Hyperlink"/>
            <w:noProof/>
          </w:rPr>
          <w:t>Chapter 9: Indirect carbon dioxide and nitrous oxide emissions</w:t>
        </w:r>
        <w:r w:rsidR="00C97BE6">
          <w:rPr>
            <w:noProof/>
            <w:webHidden/>
          </w:rPr>
          <w:tab/>
        </w:r>
        <w:r w:rsidR="00C97BE6">
          <w:rPr>
            <w:noProof/>
            <w:webHidden/>
          </w:rPr>
          <w:fldChar w:fldCharType="begin"/>
        </w:r>
        <w:r w:rsidR="00C97BE6">
          <w:rPr>
            <w:noProof/>
            <w:webHidden/>
          </w:rPr>
          <w:instrText xml:space="preserve"> PAGEREF _Toc5269399 \h </w:instrText>
        </w:r>
        <w:r w:rsidR="00C97BE6">
          <w:rPr>
            <w:noProof/>
            <w:webHidden/>
          </w:rPr>
        </w:r>
        <w:r w:rsidR="00C97BE6">
          <w:rPr>
            <w:noProof/>
            <w:webHidden/>
          </w:rPr>
          <w:fldChar w:fldCharType="separate"/>
        </w:r>
        <w:r w:rsidR="00D0418C">
          <w:rPr>
            <w:noProof/>
            <w:webHidden/>
          </w:rPr>
          <w:t>395</w:t>
        </w:r>
        <w:r w:rsidR="00C97BE6">
          <w:rPr>
            <w:noProof/>
            <w:webHidden/>
          </w:rPr>
          <w:fldChar w:fldCharType="end"/>
        </w:r>
      </w:hyperlink>
    </w:p>
    <w:p w14:paraId="4FE1A6CA" w14:textId="77777777" w:rsidR="00C97BE6" w:rsidRPr="002D354C" w:rsidRDefault="00590491">
      <w:pPr>
        <w:pStyle w:val="TOC1"/>
        <w:rPr>
          <w:rFonts w:ascii="Calibri" w:hAnsi="Calibri"/>
          <w:noProof/>
          <w:sz w:val="22"/>
          <w:szCs w:val="22"/>
          <w:lang w:eastAsia="en-NZ"/>
        </w:rPr>
      </w:pPr>
      <w:hyperlink w:anchor="_Toc5269400" w:history="1">
        <w:r w:rsidR="00C97BE6" w:rsidRPr="001864CF">
          <w:rPr>
            <w:rStyle w:val="Hyperlink"/>
            <w:noProof/>
          </w:rPr>
          <w:t>Chapter 10: Recalculations and improvements</w:t>
        </w:r>
        <w:r w:rsidR="00C97BE6">
          <w:rPr>
            <w:noProof/>
            <w:webHidden/>
          </w:rPr>
          <w:tab/>
        </w:r>
        <w:r w:rsidR="00C97BE6">
          <w:rPr>
            <w:noProof/>
            <w:webHidden/>
          </w:rPr>
          <w:fldChar w:fldCharType="begin"/>
        </w:r>
        <w:r w:rsidR="00C97BE6">
          <w:rPr>
            <w:noProof/>
            <w:webHidden/>
          </w:rPr>
          <w:instrText xml:space="preserve"> PAGEREF _Toc5269400 \h </w:instrText>
        </w:r>
        <w:r w:rsidR="00C97BE6">
          <w:rPr>
            <w:noProof/>
            <w:webHidden/>
          </w:rPr>
        </w:r>
        <w:r w:rsidR="00C97BE6">
          <w:rPr>
            <w:noProof/>
            <w:webHidden/>
          </w:rPr>
          <w:fldChar w:fldCharType="separate"/>
        </w:r>
        <w:r w:rsidR="00D0418C">
          <w:rPr>
            <w:noProof/>
            <w:webHidden/>
          </w:rPr>
          <w:t>396</w:t>
        </w:r>
        <w:r w:rsidR="00C97BE6">
          <w:rPr>
            <w:noProof/>
            <w:webHidden/>
          </w:rPr>
          <w:fldChar w:fldCharType="end"/>
        </w:r>
      </w:hyperlink>
    </w:p>
    <w:p w14:paraId="1EC8716C" w14:textId="77777777" w:rsidR="00C97BE6" w:rsidRPr="002D354C" w:rsidRDefault="00590491">
      <w:pPr>
        <w:pStyle w:val="TOC2"/>
        <w:rPr>
          <w:rFonts w:ascii="Calibri" w:hAnsi="Calibri"/>
          <w:sz w:val="22"/>
          <w:szCs w:val="22"/>
          <w:lang w:eastAsia="en-NZ"/>
        </w:rPr>
      </w:pPr>
      <w:hyperlink w:anchor="_Toc5269401" w:history="1">
        <w:r w:rsidR="00C97BE6" w:rsidRPr="001864CF">
          <w:rPr>
            <w:rStyle w:val="Hyperlink"/>
          </w:rPr>
          <w:t>10.1</w:t>
        </w:r>
        <w:r w:rsidR="00C97BE6" w:rsidRPr="002D354C">
          <w:rPr>
            <w:rFonts w:ascii="Calibri" w:hAnsi="Calibri"/>
            <w:sz w:val="22"/>
            <w:szCs w:val="22"/>
            <w:lang w:eastAsia="en-NZ"/>
          </w:rPr>
          <w:tab/>
        </w:r>
        <w:r w:rsidR="00C97BE6" w:rsidRPr="001864CF">
          <w:rPr>
            <w:rStyle w:val="Hyperlink"/>
          </w:rPr>
          <w:t>Implications and justifications</w:t>
        </w:r>
        <w:r w:rsidR="00C97BE6">
          <w:rPr>
            <w:webHidden/>
          </w:rPr>
          <w:tab/>
        </w:r>
        <w:r w:rsidR="00C97BE6">
          <w:rPr>
            <w:webHidden/>
          </w:rPr>
          <w:fldChar w:fldCharType="begin"/>
        </w:r>
        <w:r w:rsidR="00C97BE6">
          <w:rPr>
            <w:webHidden/>
          </w:rPr>
          <w:instrText xml:space="preserve"> PAGEREF _Toc5269401 \h </w:instrText>
        </w:r>
        <w:r w:rsidR="00C97BE6">
          <w:rPr>
            <w:webHidden/>
          </w:rPr>
        </w:r>
        <w:r w:rsidR="00C97BE6">
          <w:rPr>
            <w:webHidden/>
          </w:rPr>
          <w:fldChar w:fldCharType="separate"/>
        </w:r>
        <w:r w:rsidR="00D0418C">
          <w:rPr>
            <w:webHidden/>
          </w:rPr>
          <w:t>396</w:t>
        </w:r>
        <w:r w:rsidR="00C97BE6">
          <w:rPr>
            <w:webHidden/>
          </w:rPr>
          <w:fldChar w:fldCharType="end"/>
        </w:r>
      </w:hyperlink>
    </w:p>
    <w:p w14:paraId="0AB3EE24" w14:textId="77777777" w:rsidR="00C97BE6" w:rsidRPr="002D354C" w:rsidRDefault="00590491">
      <w:pPr>
        <w:pStyle w:val="TOC2"/>
        <w:rPr>
          <w:rFonts w:ascii="Calibri" w:hAnsi="Calibri"/>
          <w:sz w:val="22"/>
          <w:szCs w:val="22"/>
          <w:lang w:eastAsia="en-NZ"/>
        </w:rPr>
      </w:pPr>
      <w:hyperlink w:anchor="_Toc5269402" w:history="1">
        <w:r w:rsidR="00C97BE6" w:rsidRPr="001864CF">
          <w:rPr>
            <w:rStyle w:val="Hyperlink"/>
          </w:rPr>
          <w:t>10.2</w:t>
        </w:r>
        <w:r w:rsidR="00C97BE6" w:rsidRPr="002D354C">
          <w:rPr>
            <w:rFonts w:ascii="Calibri" w:hAnsi="Calibri"/>
            <w:sz w:val="22"/>
            <w:szCs w:val="22"/>
            <w:lang w:eastAsia="en-NZ"/>
          </w:rPr>
          <w:tab/>
        </w:r>
        <w:r w:rsidR="00C97BE6" w:rsidRPr="001864CF">
          <w:rPr>
            <w:rStyle w:val="Hyperlink"/>
          </w:rPr>
          <w:t>Recalculations and planned improvements in response to the review process</w:t>
        </w:r>
        <w:r w:rsidR="00C97BE6">
          <w:rPr>
            <w:webHidden/>
          </w:rPr>
          <w:tab/>
        </w:r>
        <w:r w:rsidR="00C97BE6">
          <w:rPr>
            <w:webHidden/>
          </w:rPr>
          <w:fldChar w:fldCharType="begin"/>
        </w:r>
        <w:r w:rsidR="00C97BE6">
          <w:rPr>
            <w:webHidden/>
          </w:rPr>
          <w:instrText xml:space="preserve"> PAGEREF _Toc5269402 \h </w:instrText>
        </w:r>
        <w:r w:rsidR="00C97BE6">
          <w:rPr>
            <w:webHidden/>
          </w:rPr>
        </w:r>
        <w:r w:rsidR="00C97BE6">
          <w:rPr>
            <w:webHidden/>
          </w:rPr>
          <w:fldChar w:fldCharType="separate"/>
        </w:r>
        <w:r w:rsidR="00D0418C">
          <w:rPr>
            <w:webHidden/>
          </w:rPr>
          <w:t>407</w:t>
        </w:r>
        <w:r w:rsidR="00C97BE6">
          <w:rPr>
            <w:webHidden/>
          </w:rPr>
          <w:fldChar w:fldCharType="end"/>
        </w:r>
      </w:hyperlink>
    </w:p>
    <w:p w14:paraId="33C38D82" w14:textId="77777777" w:rsidR="00C97BE6" w:rsidRPr="002D354C" w:rsidRDefault="00590491">
      <w:pPr>
        <w:pStyle w:val="TOC2"/>
        <w:rPr>
          <w:rFonts w:ascii="Calibri" w:hAnsi="Calibri"/>
          <w:sz w:val="22"/>
          <w:szCs w:val="22"/>
          <w:lang w:eastAsia="en-NZ"/>
        </w:rPr>
      </w:pPr>
      <w:hyperlink w:anchor="_Toc5269403" w:history="1">
        <w:r w:rsidR="00C97BE6" w:rsidRPr="001864CF">
          <w:rPr>
            <w:rStyle w:val="Hyperlink"/>
          </w:rPr>
          <w:t>Chapter 10: References</w:t>
        </w:r>
        <w:r w:rsidR="00C97BE6">
          <w:rPr>
            <w:webHidden/>
          </w:rPr>
          <w:tab/>
        </w:r>
        <w:r w:rsidR="00C97BE6">
          <w:rPr>
            <w:webHidden/>
          </w:rPr>
          <w:fldChar w:fldCharType="begin"/>
        </w:r>
        <w:r w:rsidR="00C97BE6">
          <w:rPr>
            <w:webHidden/>
          </w:rPr>
          <w:instrText xml:space="preserve"> PAGEREF _Toc5269403 \h </w:instrText>
        </w:r>
        <w:r w:rsidR="00C97BE6">
          <w:rPr>
            <w:webHidden/>
          </w:rPr>
        </w:r>
        <w:r w:rsidR="00C97BE6">
          <w:rPr>
            <w:webHidden/>
          </w:rPr>
          <w:fldChar w:fldCharType="separate"/>
        </w:r>
        <w:r w:rsidR="00D0418C">
          <w:rPr>
            <w:webHidden/>
          </w:rPr>
          <w:t>418</w:t>
        </w:r>
        <w:r w:rsidR="00C97BE6">
          <w:rPr>
            <w:webHidden/>
          </w:rPr>
          <w:fldChar w:fldCharType="end"/>
        </w:r>
      </w:hyperlink>
    </w:p>
    <w:p w14:paraId="70187111" w14:textId="77777777" w:rsidR="00C97BE6" w:rsidRPr="002D354C" w:rsidRDefault="00590491">
      <w:pPr>
        <w:pStyle w:val="TOC1"/>
        <w:rPr>
          <w:rFonts w:ascii="Calibri" w:hAnsi="Calibri"/>
          <w:noProof/>
          <w:sz w:val="22"/>
          <w:szCs w:val="22"/>
          <w:lang w:eastAsia="en-NZ"/>
        </w:rPr>
      </w:pPr>
      <w:hyperlink w:anchor="_Toc5269404" w:history="1">
        <w:r w:rsidR="00C97BE6" w:rsidRPr="001864CF">
          <w:rPr>
            <w:rStyle w:val="Hyperlink"/>
            <w:noProof/>
          </w:rPr>
          <w:t>Chapter 11: KP-LULUCF</w:t>
        </w:r>
        <w:r w:rsidR="00C97BE6">
          <w:rPr>
            <w:noProof/>
            <w:webHidden/>
          </w:rPr>
          <w:tab/>
        </w:r>
        <w:r w:rsidR="00C97BE6">
          <w:rPr>
            <w:noProof/>
            <w:webHidden/>
          </w:rPr>
          <w:fldChar w:fldCharType="begin"/>
        </w:r>
        <w:r w:rsidR="00C97BE6">
          <w:rPr>
            <w:noProof/>
            <w:webHidden/>
          </w:rPr>
          <w:instrText xml:space="preserve"> PAGEREF _Toc5269404 \h </w:instrText>
        </w:r>
        <w:r w:rsidR="00C97BE6">
          <w:rPr>
            <w:noProof/>
            <w:webHidden/>
          </w:rPr>
        </w:r>
        <w:r w:rsidR="00C97BE6">
          <w:rPr>
            <w:noProof/>
            <w:webHidden/>
          </w:rPr>
          <w:fldChar w:fldCharType="separate"/>
        </w:r>
        <w:r w:rsidR="00D0418C">
          <w:rPr>
            <w:noProof/>
            <w:webHidden/>
          </w:rPr>
          <w:t>419</w:t>
        </w:r>
        <w:r w:rsidR="00C97BE6">
          <w:rPr>
            <w:noProof/>
            <w:webHidden/>
          </w:rPr>
          <w:fldChar w:fldCharType="end"/>
        </w:r>
      </w:hyperlink>
    </w:p>
    <w:p w14:paraId="74B685E5" w14:textId="77777777" w:rsidR="00C97BE6" w:rsidRPr="002D354C" w:rsidRDefault="00590491">
      <w:pPr>
        <w:pStyle w:val="TOC2"/>
        <w:rPr>
          <w:rFonts w:ascii="Calibri" w:hAnsi="Calibri"/>
          <w:sz w:val="22"/>
          <w:szCs w:val="22"/>
          <w:lang w:eastAsia="en-NZ"/>
        </w:rPr>
      </w:pPr>
      <w:hyperlink w:anchor="_Toc5269405" w:history="1">
        <w:r w:rsidR="00C97BE6" w:rsidRPr="001864CF">
          <w:rPr>
            <w:rStyle w:val="Hyperlink"/>
          </w:rPr>
          <w:t xml:space="preserve">11.1 </w:t>
        </w:r>
        <w:r w:rsidR="00C97BE6" w:rsidRPr="002D354C">
          <w:rPr>
            <w:rFonts w:ascii="Calibri" w:hAnsi="Calibri"/>
            <w:sz w:val="22"/>
            <w:szCs w:val="22"/>
            <w:lang w:eastAsia="en-NZ"/>
          </w:rPr>
          <w:tab/>
        </w:r>
        <w:r w:rsidR="00C97BE6" w:rsidRPr="001864CF">
          <w:rPr>
            <w:rStyle w:val="Hyperlink"/>
          </w:rPr>
          <w:t>General information</w:t>
        </w:r>
        <w:r w:rsidR="00C97BE6">
          <w:rPr>
            <w:webHidden/>
          </w:rPr>
          <w:tab/>
        </w:r>
        <w:r w:rsidR="00C97BE6">
          <w:rPr>
            <w:webHidden/>
          </w:rPr>
          <w:fldChar w:fldCharType="begin"/>
        </w:r>
        <w:r w:rsidR="00C97BE6">
          <w:rPr>
            <w:webHidden/>
          </w:rPr>
          <w:instrText xml:space="preserve"> PAGEREF _Toc5269405 \h </w:instrText>
        </w:r>
        <w:r w:rsidR="00C97BE6">
          <w:rPr>
            <w:webHidden/>
          </w:rPr>
        </w:r>
        <w:r w:rsidR="00C97BE6">
          <w:rPr>
            <w:webHidden/>
          </w:rPr>
          <w:fldChar w:fldCharType="separate"/>
        </w:r>
        <w:r w:rsidR="00D0418C">
          <w:rPr>
            <w:webHidden/>
          </w:rPr>
          <w:t>419</w:t>
        </w:r>
        <w:r w:rsidR="00C97BE6">
          <w:rPr>
            <w:webHidden/>
          </w:rPr>
          <w:fldChar w:fldCharType="end"/>
        </w:r>
      </w:hyperlink>
    </w:p>
    <w:p w14:paraId="193B919D" w14:textId="77777777" w:rsidR="00C97BE6" w:rsidRPr="002D354C" w:rsidRDefault="00590491">
      <w:pPr>
        <w:pStyle w:val="TOC2"/>
        <w:rPr>
          <w:rFonts w:ascii="Calibri" w:hAnsi="Calibri"/>
          <w:sz w:val="22"/>
          <w:szCs w:val="22"/>
          <w:lang w:eastAsia="en-NZ"/>
        </w:rPr>
      </w:pPr>
      <w:hyperlink w:anchor="_Toc5269406" w:history="1">
        <w:r w:rsidR="00C97BE6" w:rsidRPr="001864CF">
          <w:rPr>
            <w:rStyle w:val="Hyperlink"/>
          </w:rPr>
          <w:t>11.2</w:t>
        </w:r>
        <w:r w:rsidR="00C97BE6" w:rsidRPr="002D354C">
          <w:rPr>
            <w:rFonts w:ascii="Calibri" w:hAnsi="Calibri"/>
            <w:sz w:val="22"/>
            <w:szCs w:val="22"/>
            <w:lang w:eastAsia="en-NZ"/>
          </w:rPr>
          <w:tab/>
        </w:r>
        <w:r w:rsidR="00C97BE6" w:rsidRPr="001864CF">
          <w:rPr>
            <w:rStyle w:val="Hyperlink"/>
          </w:rPr>
          <w:t>Land-related information</w:t>
        </w:r>
        <w:r w:rsidR="00C97BE6">
          <w:rPr>
            <w:webHidden/>
          </w:rPr>
          <w:tab/>
        </w:r>
        <w:r w:rsidR="00C97BE6">
          <w:rPr>
            <w:webHidden/>
          </w:rPr>
          <w:fldChar w:fldCharType="begin"/>
        </w:r>
        <w:r w:rsidR="00C97BE6">
          <w:rPr>
            <w:webHidden/>
          </w:rPr>
          <w:instrText xml:space="preserve"> PAGEREF _Toc5269406 \h </w:instrText>
        </w:r>
        <w:r w:rsidR="00C97BE6">
          <w:rPr>
            <w:webHidden/>
          </w:rPr>
        </w:r>
        <w:r w:rsidR="00C97BE6">
          <w:rPr>
            <w:webHidden/>
          </w:rPr>
          <w:fldChar w:fldCharType="separate"/>
        </w:r>
        <w:r w:rsidR="00D0418C">
          <w:rPr>
            <w:webHidden/>
          </w:rPr>
          <w:t>422</w:t>
        </w:r>
        <w:r w:rsidR="00C97BE6">
          <w:rPr>
            <w:webHidden/>
          </w:rPr>
          <w:fldChar w:fldCharType="end"/>
        </w:r>
      </w:hyperlink>
    </w:p>
    <w:p w14:paraId="1D4DEB69" w14:textId="77777777" w:rsidR="00C97BE6" w:rsidRPr="002D354C" w:rsidRDefault="00590491">
      <w:pPr>
        <w:pStyle w:val="TOC2"/>
        <w:rPr>
          <w:rFonts w:ascii="Calibri" w:hAnsi="Calibri"/>
          <w:sz w:val="22"/>
          <w:szCs w:val="22"/>
          <w:lang w:eastAsia="en-NZ"/>
        </w:rPr>
      </w:pPr>
      <w:hyperlink w:anchor="_Toc5269407" w:history="1">
        <w:r w:rsidR="00C97BE6" w:rsidRPr="001864CF">
          <w:rPr>
            <w:rStyle w:val="Hyperlink"/>
          </w:rPr>
          <w:t>11.3</w:t>
        </w:r>
        <w:r w:rsidR="00C97BE6" w:rsidRPr="002D354C">
          <w:rPr>
            <w:rFonts w:ascii="Calibri" w:hAnsi="Calibri"/>
            <w:sz w:val="22"/>
            <w:szCs w:val="22"/>
            <w:lang w:eastAsia="en-NZ"/>
          </w:rPr>
          <w:tab/>
        </w:r>
        <w:r w:rsidR="00C97BE6" w:rsidRPr="001864CF">
          <w:rPr>
            <w:rStyle w:val="Hyperlink"/>
          </w:rPr>
          <w:t>Activity-specific information</w:t>
        </w:r>
        <w:r w:rsidR="00C97BE6">
          <w:rPr>
            <w:webHidden/>
          </w:rPr>
          <w:tab/>
        </w:r>
        <w:r w:rsidR="00C97BE6">
          <w:rPr>
            <w:webHidden/>
          </w:rPr>
          <w:fldChar w:fldCharType="begin"/>
        </w:r>
        <w:r w:rsidR="00C97BE6">
          <w:rPr>
            <w:webHidden/>
          </w:rPr>
          <w:instrText xml:space="preserve"> PAGEREF _Toc5269407 \h </w:instrText>
        </w:r>
        <w:r w:rsidR="00C97BE6">
          <w:rPr>
            <w:webHidden/>
          </w:rPr>
        </w:r>
        <w:r w:rsidR="00C97BE6">
          <w:rPr>
            <w:webHidden/>
          </w:rPr>
          <w:fldChar w:fldCharType="separate"/>
        </w:r>
        <w:r w:rsidR="00D0418C">
          <w:rPr>
            <w:webHidden/>
          </w:rPr>
          <w:t>424</w:t>
        </w:r>
        <w:r w:rsidR="00C97BE6">
          <w:rPr>
            <w:webHidden/>
          </w:rPr>
          <w:fldChar w:fldCharType="end"/>
        </w:r>
      </w:hyperlink>
    </w:p>
    <w:p w14:paraId="514CD789" w14:textId="77777777" w:rsidR="00C97BE6" w:rsidRPr="002D354C" w:rsidRDefault="00590491">
      <w:pPr>
        <w:pStyle w:val="TOC2"/>
        <w:rPr>
          <w:rFonts w:ascii="Calibri" w:hAnsi="Calibri"/>
          <w:sz w:val="22"/>
          <w:szCs w:val="22"/>
          <w:lang w:eastAsia="en-NZ"/>
        </w:rPr>
      </w:pPr>
      <w:hyperlink w:anchor="_Toc5269408" w:history="1">
        <w:r w:rsidR="00C97BE6" w:rsidRPr="001864CF">
          <w:rPr>
            <w:rStyle w:val="Hyperlink"/>
          </w:rPr>
          <w:t>11.4</w:t>
        </w:r>
        <w:r w:rsidR="00C97BE6" w:rsidRPr="002D354C">
          <w:rPr>
            <w:rFonts w:ascii="Calibri" w:hAnsi="Calibri"/>
            <w:sz w:val="22"/>
            <w:szCs w:val="22"/>
            <w:lang w:eastAsia="en-NZ"/>
          </w:rPr>
          <w:tab/>
        </w:r>
        <w:r w:rsidR="00C97BE6" w:rsidRPr="001864CF">
          <w:rPr>
            <w:rStyle w:val="Hyperlink"/>
          </w:rPr>
          <w:t>Other methodological issues</w:t>
        </w:r>
        <w:r w:rsidR="00C97BE6">
          <w:rPr>
            <w:webHidden/>
          </w:rPr>
          <w:tab/>
        </w:r>
        <w:r w:rsidR="00C97BE6">
          <w:rPr>
            <w:webHidden/>
          </w:rPr>
          <w:fldChar w:fldCharType="begin"/>
        </w:r>
        <w:r w:rsidR="00C97BE6">
          <w:rPr>
            <w:webHidden/>
          </w:rPr>
          <w:instrText xml:space="preserve"> PAGEREF _Toc5269408 \h </w:instrText>
        </w:r>
        <w:r w:rsidR="00C97BE6">
          <w:rPr>
            <w:webHidden/>
          </w:rPr>
        </w:r>
        <w:r w:rsidR="00C97BE6">
          <w:rPr>
            <w:webHidden/>
          </w:rPr>
          <w:fldChar w:fldCharType="separate"/>
        </w:r>
        <w:r w:rsidR="00D0418C">
          <w:rPr>
            <w:webHidden/>
          </w:rPr>
          <w:t>434</w:t>
        </w:r>
        <w:r w:rsidR="00C97BE6">
          <w:rPr>
            <w:webHidden/>
          </w:rPr>
          <w:fldChar w:fldCharType="end"/>
        </w:r>
      </w:hyperlink>
    </w:p>
    <w:p w14:paraId="0BF58C0C" w14:textId="77777777" w:rsidR="00C97BE6" w:rsidRPr="002D354C" w:rsidRDefault="00590491">
      <w:pPr>
        <w:pStyle w:val="TOC2"/>
        <w:rPr>
          <w:rFonts w:ascii="Calibri" w:hAnsi="Calibri"/>
          <w:sz w:val="22"/>
          <w:szCs w:val="22"/>
          <w:lang w:eastAsia="en-NZ"/>
        </w:rPr>
      </w:pPr>
      <w:hyperlink w:anchor="_Toc5269409" w:history="1">
        <w:r w:rsidR="00C97BE6" w:rsidRPr="001864CF">
          <w:rPr>
            <w:rStyle w:val="Hyperlink"/>
          </w:rPr>
          <w:t xml:space="preserve">11.5 </w:t>
        </w:r>
        <w:r w:rsidR="00C97BE6" w:rsidRPr="002D354C">
          <w:rPr>
            <w:rFonts w:ascii="Calibri" w:hAnsi="Calibri"/>
            <w:sz w:val="22"/>
            <w:szCs w:val="22"/>
            <w:lang w:eastAsia="en-NZ"/>
          </w:rPr>
          <w:tab/>
        </w:r>
        <w:r w:rsidR="00C97BE6" w:rsidRPr="001864CF">
          <w:rPr>
            <w:rStyle w:val="Hyperlink"/>
          </w:rPr>
          <w:t>Demonstration that activities apply</w:t>
        </w:r>
        <w:r w:rsidR="00C97BE6">
          <w:rPr>
            <w:webHidden/>
          </w:rPr>
          <w:tab/>
        </w:r>
        <w:r w:rsidR="00C97BE6">
          <w:rPr>
            <w:webHidden/>
          </w:rPr>
          <w:fldChar w:fldCharType="begin"/>
        </w:r>
        <w:r w:rsidR="00C97BE6">
          <w:rPr>
            <w:webHidden/>
          </w:rPr>
          <w:instrText xml:space="preserve"> PAGEREF _Toc5269409 \h </w:instrText>
        </w:r>
        <w:r w:rsidR="00C97BE6">
          <w:rPr>
            <w:webHidden/>
          </w:rPr>
        </w:r>
        <w:r w:rsidR="00C97BE6">
          <w:rPr>
            <w:webHidden/>
          </w:rPr>
          <w:fldChar w:fldCharType="separate"/>
        </w:r>
        <w:r w:rsidR="00D0418C">
          <w:rPr>
            <w:webHidden/>
          </w:rPr>
          <w:t>437</w:t>
        </w:r>
        <w:r w:rsidR="00C97BE6">
          <w:rPr>
            <w:webHidden/>
          </w:rPr>
          <w:fldChar w:fldCharType="end"/>
        </w:r>
      </w:hyperlink>
    </w:p>
    <w:p w14:paraId="660A63B3" w14:textId="77777777" w:rsidR="00C97BE6" w:rsidRPr="002D354C" w:rsidRDefault="00590491">
      <w:pPr>
        <w:pStyle w:val="TOC2"/>
        <w:rPr>
          <w:rFonts w:ascii="Calibri" w:hAnsi="Calibri"/>
          <w:sz w:val="22"/>
          <w:szCs w:val="22"/>
          <w:lang w:eastAsia="en-NZ"/>
        </w:rPr>
      </w:pPr>
      <w:hyperlink w:anchor="_Toc5269410" w:history="1">
        <w:r w:rsidR="00C97BE6" w:rsidRPr="001864CF">
          <w:rPr>
            <w:rStyle w:val="Hyperlink"/>
          </w:rPr>
          <w:t>11.6</w:t>
        </w:r>
        <w:r w:rsidR="00C97BE6" w:rsidRPr="002D354C">
          <w:rPr>
            <w:rFonts w:ascii="Calibri" w:hAnsi="Calibri"/>
            <w:sz w:val="22"/>
            <w:szCs w:val="22"/>
            <w:lang w:eastAsia="en-NZ"/>
          </w:rPr>
          <w:tab/>
        </w:r>
        <w:r w:rsidR="00C97BE6" w:rsidRPr="001864CF">
          <w:rPr>
            <w:rStyle w:val="Hyperlink"/>
          </w:rPr>
          <w:t>Other information</w:t>
        </w:r>
        <w:r w:rsidR="00C97BE6">
          <w:rPr>
            <w:webHidden/>
          </w:rPr>
          <w:tab/>
        </w:r>
        <w:r w:rsidR="00C97BE6">
          <w:rPr>
            <w:webHidden/>
          </w:rPr>
          <w:fldChar w:fldCharType="begin"/>
        </w:r>
        <w:r w:rsidR="00C97BE6">
          <w:rPr>
            <w:webHidden/>
          </w:rPr>
          <w:instrText xml:space="preserve"> PAGEREF _Toc5269410 \h </w:instrText>
        </w:r>
        <w:r w:rsidR="00C97BE6">
          <w:rPr>
            <w:webHidden/>
          </w:rPr>
        </w:r>
        <w:r w:rsidR="00C97BE6">
          <w:rPr>
            <w:webHidden/>
          </w:rPr>
          <w:fldChar w:fldCharType="separate"/>
        </w:r>
        <w:r w:rsidR="00D0418C">
          <w:rPr>
            <w:webHidden/>
          </w:rPr>
          <w:t>440</w:t>
        </w:r>
        <w:r w:rsidR="00C97BE6">
          <w:rPr>
            <w:webHidden/>
          </w:rPr>
          <w:fldChar w:fldCharType="end"/>
        </w:r>
      </w:hyperlink>
    </w:p>
    <w:p w14:paraId="379FC4D6" w14:textId="77777777" w:rsidR="00C97BE6" w:rsidRPr="002D354C" w:rsidRDefault="00590491">
      <w:pPr>
        <w:pStyle w:val="TOC2"/>
        <w:rPr>
          <w:rFonts w:ascii="Calibri" w:hAnsi="Calibri"/>
          <w:sz w:val="22"/>
          <w:szCs w:val="22"/>
          <w:lang w:eastAsia="en-NZ"/>
        </w:rPr>
      </w:pPr>
      <w:hyperlink w:anchor="_Toc5269411" w:history="1">
        <w:r w:rsidR="00C97BE6" w:rsidRPr="001864CF">
          <w:rPr>
            <w:rStyle w:val="Hyperlink"/>
          </w:rPr>
          <w:t>11.7</w:t>
        </w:r>
        <w:r w:rsidR="00C97BE6" w:rsidRPr="002D354C">
          <w:rPr>
            <w:rFonts w:ascii="Calibri" w:hAnsi="Calibri"/>
            <w:sz w:val="22"/>
            <w:szCs w:val="22"/>
            <w:lang w:eastAsia="en-NZ"/>
          </w:rPr>
          <w:tab/>
        </w:r>
        <w:r w:rsidR="00C97BE6" w:rsidRPr="001864CF">
          <w:rPr>
            <w:rStyle w:val="Hyperlink"/>
          </w:rPr>
          <w:t>Information relating to Article 6</w:t>
        </w:r>
        <w:r w:rsidR="00C97BE6">
          <w:rPr>
            <w:webHidden/>
          </w:rPr>
          <w:tab/>
        </w:r>
        <w:r w:rsidR="00C97BE6">
          <w:rPr>
            <w:webHidden/>
          </w:rPr>
          <w:fldChar w:fldCharType="begin"/>
        </w:r>
        <w:r w:rsidR="00C97BE6">
          <w:rPr>
            <w:webHidden/>
          </w:rPr>
          <w:instrText xml:space="preserve"> PAGEREF _Toc5269411 \h </w:instrText>
        </w:r>
        <w:r w:rsidR="00C97BE6">
          <w:rPr>
            <w:webHidden/>
          </w:rPr>
        </w:r>
        <w:r w:rsidR="00C97BE6">
          <w:rPr>
            <w:webHidden/>
          </w:rPr>
          <w:fldChar w:fldCharType="separate"/>
        </w:r>
        <w:r w:rsidR="00D0418C">
          <w:rPr>
            <w:webHidden/>
          </w:rPr>
          <w:t>440</w:t>
        </w:r>
        <w:r w:rsidR="00C97BE6">
          <w:rPr>
            <w:webHidden/>
          </w:rPr>
          <w:fldChar w:fldCharType="end"/>
        </w:r>
      </w:hyperlink>
    </w:p>
    <w:p w14:paraId="074F146C" w14:textId="77777777" w:rsidR="00C97BE6" w:rsidRPr="002D354C" w:rsidRDefault="00590491">
      <w:pPr>
        <w:pStyle w:val="TOC2"/>
        <w:rPr>
          <w:rFonts w:ascii="Calibri" w:hAnsi="Calibri"/>
          <w:sz w:val="22"/>
          <w:szCs w:val="22"/>
          <w:lang w:eastAsia="en-NZ"/>
        </w:rPr>
      </w:pPr>
      <w:hyperlink w:anchor="_Toc5269412" w:history="1">
        <w:r w:rsidR="00C97BE6" w:rsidRPr="001864CF">
          <w:rPr>
            <w:rStyle w:val="Hyperlink"/>
          </w:rPr>
          <w:t>Chapter 11: References</w:t>
        </w:r>
        <w:r w:rsidR="00C97BE6">
          <w:rPr>
            <w:webHidden/>
          </w:rPr>
          <w:tab/>
        </w:r>
        <w:r w:rsidR="00C97BE6">
          <w:rPr>
            <w:webHidden/>
          </w:rPr>
          <w:fldChar w:fldCharType="begin"/>
        </w:r>
        <w:r w:rsidR="00C97BE6">
          <w:rPr>
            <w:webHidden/>
          </w:rPr>
          <w:instrText xml:space="preserve"> PAGEREF _Toc5269412 \h </w:instrText>
        </w:r>
        <w:r w:rsidR="00C97BE6">
          <w:rPr>
            <w:webHidden/>
          </w:rPr>
        </w:r>
        <w:r w:rsidR="00C97BE6">
          <w:rPr>
            <w:webHidden/>
          </w:rPr>
          <w:fldChar w:fldCharType="separate"/>
        </w:r>
        <w:r w:rsidR="00D0418C">
          <w:rPr>
            <w:webHidden/>
          </w:rPr>
          <w:t>441</w:t>
        </w:r>
        <w:r w:rsidR="00C97BE6">
          <w:rPr>
            <w:webHidden/>
          </w:rPr>
          <w:fldChar w:fldCharType="end"/>
        </w:r>
      </w:hyperlink>
    </w:p>
    <w:p w14:paraId="7FCF1C11" w14:textId="77777777" w:rsidR="00C97BE6" w:rsidRPr="002D354C" w:rsidRDefault="00590491">
      <w:pPr>
        <w:pStyle w:val="TOC1"/>
        <w:rPr>
          <w:rFonts w:ascii="Calibri" w:hAnsi="Calibri"/>
          <w:noProof/>
          <w:sz w:val="22"/>
          <w:szCs w:val="22"/>
          <w:lang w:eastAsia="en-NZ"/>
        </w:rPr>
      </w:pPr>
      <w:hyperlink w:anchor="_Toc5269413" w:history="1">
        <w:r w:rsidR="00C97BE6" w:rsidRPr="001864CF">
          <w:rPr>
            <w:rStyle w:val="Hyperlink"/>
            <w:noProof/>
          </w:rPr>
          <w:t>Chapter 12: Information on accounting of the Kyoto Protocol units</w:t>
        </w:r>
        <w:r w:rsidR="00C97BE6">
          <w:rPr>
            <w:noProof/>
            <w:webHidden/>
          </w:rPr>
          <w:tab/>
        </w:r>
        <w:r w:rsidR="00C97BE6">
          <w:rPr>
            <w:noProof/>
            <w:webHidden/>
          </w:rPr>
          <w:fldChar w:fldCharType="begin"/>
        </w:r>
        <w:r w:rsidR="00C97BE6">
          <w:rPr>
            <w:noProof/>
            <w:webHidden/>
          </w:rPr>
          <w:instrText xml:space="preserve"> PAGEREF _Toc5269413 \h </w:instrText>
        </w:r>
        <w:r w:rsidR="00C97BE6">
          <w:rPr>
            <w:noProof/>
            <w:webHidden/>
          </w:rPr>
        </w:r>
        <w:r w:rsidR="00C97BE6">
          <w:rPr>
            <w:noProof/>
            <w:webHidden/>
          </w:rPr>
          <w:fldChar w:fldCharType="separate"/>
        </w:r>
        <w:r w:rsidR="00D0418C">
          <w:rPr>
            <w:noProof/>
            <w:webHidden/>
          </w:rPr>
          <w:t>443</w:t>
        </w:r>
        <w:r w:rsidR="00C97BE6">
          <w:rPr>
            <w:noProof/>
            <w:webHidden/>
          </w:rPr>
          <w:fldChar w:fldCharType="end"/>
        </w:r>
      </w:hyperlink>
    </w:p>
    <w:p w14:paraId="4774B827" w14:textId="77777777" w:rsidR="00C97BE6" w:rsidRPr="002D354C" w:rsidRDefault="00590491">
      <w:pPr>
        <w:pStyle w:val="TOC2"/>
        <w:rPr>
          <w:rFonts w:ascii="Calibri" w:hAnsi="Calibri"/>
          <w:sz w:val="22"/>
          <w:szCs w:val="22"/>
          <w:lang w:eastAsia="en-NZ"/>
        </w:rPr>
      </w:pPr>
      <w:hyperlink w:anchor="_Toc5269414" w:history="1">
        <w:r w:rsidR="00C97BE6" w:rsidRPr="001864CF">
          <w:rPr>
            <w:rStyle w:val="Hyperlink"/>
          </w:rPr>
          <w:t>12.1</w:t>
        </w:r>
        <w:r w:rsidR="00C97BE6" w:rsidRPr="002D354C">
          <w:rPr>
            <w:rFonts w:ascii="Calibri" w:hAnsi="Calibri"/>
            <w:sz w:val="22"/>
            <w:szCs w:val="22"/>
            <w:lang w:eastAsia="en-NZ"/>
          </w:rPr>
          <w:tab/>
        </w:r>
        <w:r w:rsidR="00C97BE6" w:rsidRPr="001864CF">
          <w:rPr>
            <w:rStyle w:val="Hyperlink"/>
          </w:rPr>
          <w:t>Background information</w:t>
        </w:r>
        <w:r w:rsidR="00C97BE6">
          <w:rPr>
            <w:webHidden/>
          </w:rPr>
          <w:tab/>
        </w:r>
        <w:r w:rsidR="00C97BE6">
          <w:rPr>
            <w:webHidden/>
          </w:rPr>
          <w:fldChar w:fldCharType="begin"/>
        </w:r>
        <w:r w:rsidR="00C97BE6">
          <w:rPr>
            <w:webHidden/>
          </w:rPr>
          <w:instrText xml:space="preserve"> PAGEREF _Toc5269414 \h </w:instrText>
        </w:r>
        <w:r w:rsidR="00C97BE6">
          <w:rPr>
            <w:webHidden/>
          </w:rPr>
        </w:r>
        <w:r w:rsidR="00C97BE6">
          <w:rPr>
            <w:webHidden/>
          </w:rPr>
          <w:fldChar w:fldCharType="separate"/>
        </w:r>
        <w:r w:rsidR="00D0418C">
          <w:rPr>
            <w:webHidden/>
          </w:rPr>
          <w:t>443</w:t>
        </w:r>
        <w:r w:rsidR="00C97BE6">
          <w:rPr>
            <w:webHidden/>
          </w:rPr>
          <w:fldChar w:fldCharType="end"/>
        </w:r>
      </w:hyperlink>
    </w:p>
    <w:p w14:paraId="63C9934C" w14:textId="77777777" w:rsidR="00C97BE6" w:rsidRPr="002D354C" w:rsidRDefault="00590491">
      <w:pPr>
        <w:pStyle w:val="TOC2"/>
        <w:rPr>
          <w:rFonts w:ascii="Calibri" w:hAnsi="Calibri"/>
          <w:sz w:val="22"/>
          <w:szCs w:val="22"/>
          <w:lang w:eastAsia="en-NZ"/>
        </w:rPr>
      </w:pPr>
      <w:hyperlink w:anchor="_Toc5269415" w:history="1">
        <w:r w:rsidR="00C97BE6" w:rsidRPr="001864CF">
          <w:rPr>
            <w:rStyle w:val="Hyperlink"/>
          </w:rPr>
          <w:t>12.2</w:t>
        </w:r>
        <w:r w:rsidR="00C97BE6" w:rsidRPr="002D354C">
          <w:rPr>
            <w:rFonts w:ascii="Calibri" w:hAnsi="Calibri"/>
            <w:sz w:val="22"/>
            <w:szCs w:val="22"/>
            <w:lang w:eastAsia="en-NZ"/>
          </w:rPr>
          <w:tab/>
        </w:r>
        <w:r w:rsidR="00C97BE6" w:rsidRPr="001864CF">
          <w:rPr>
            <w:rStyle w:val="Hyperlink"/>
          </w:rPr>
          <w:t>Summary of the standard electronic format tables for reporting Kyoto Protocol units</w:t>
        </w:r>
        <w:r w:rsidR="00C97BE6">
          <w:rPr>
            <w:webHidden/>
          </w:rPr>
          <w:tab/>
        </w:r>
        <w:r w:rsidR="00C97BE6">
          <w:rPr>
            <w:webHidden/>
          </w:rPr>
          <w:fldChar w:fldCharType="begin"/>
        </w:r>
        <w:r w:rsidR="00C97BE6">
          <w:rPr>
            <w:webHidden/>
          </w:rPr>
          <w:instrText xml:space="preserve"> PAGEREF _Toc5269415 \h </w:instrText>
        </w:r>
        <w:r w:rsidR="00C97BE6">
          <w:rPr>
            <w:webHidden/>
          </w:rPr>
        </w:r>
        <w:r w:rsidR="00C97BE6">
          <w:rPr>
            <w:webHidden/>
          </w:rPr>
          <w:fldChar w:fldCharType="separate"/>
        </w:r>
        <w:r w:rsidR="00D0418C">
          <w:rPr>
            <w:webHidden/>
          </w:rPr>
          <w:t>443</w:t>
        </w:r>
        <w:r w:rsidR="00C97BE6">
          <w:rPr>
            <w:webHidden/>
          </w:rPr>
          <w:fldChar w:fldCharType="end"/>
        </w:r>
      </w:hyperlink>
    </w:p>
    <w:p w14:paraId="4724B05D" w14:textId="77777777" w:rsidR="00C97BE6" w:rsidRPr="002D354C" w:rsidRDefault="00590491">
      <w:pPr>
        <w:pStyle w:val="TOC2"/>
        <w:rPr>
          <w:rFonts w:ascii="Calibri" w:hAnsi="Calibri"/>
          <w:sz w:val="22"/>
          <w:szCs w:val="22"/>
          <w:lang w:eastAsia="en-NZ"/>
        </w:rPr>
      </w:pPr>
      <w:hyperlink w:anchor="_Toc5269416" w:history="1">
        <w:r w:rsidR="00C97BE6" w:rsidRPr="001864CF">
          <w:rPr>
            <w:rStyle w:val="Hyperlink"/>
          </w:rPr>
          <w:t>12.3</w:t>
        </w:r>
        <w:r w:rsidR="00C97BE6" w:rsidRPr="002D354C">
          <w:rPr>
            <w:rFonts w:ascii="Calibri" w:hAnsi="Calibri"/>
            <w:sz w:val="22"/>
            <w:szCs w:val="22"/>
            <w:lang w:eastAsia="en-NZ"/>
          </w:rPr>
          <w:tab/>
        </w:r>
        <w:r w:rsidR="00C97BE6" w:rsidRPr="001864CF">
          <w:rPr>
            <w:rStyle w:val="Hyperlink"/>
          </w:rPr>
          <w:t>Discrepancies and notifications</w:t>
        </w:r>
        <w:r w:rsidR="00C97BE6">
          <w:rPr>
            <w:webHidden/>
          </w:rPr>
          <w:tab/>
        </w:r>
        <w:r w:rsidR="00C97BE6">
          <w:rPr>
            <w:webHidden/>
          </w:rPr>
          <w:fldChar w:fldCharType="begin"/>
        </w:r>
        <w:r w:rsidR="00C97BE6">
          <w:rPr>
            <w:webHidden/>
          </w:rPr>
          <w:instrText xml:space="preserve"> PAGEREF _Toc5269416 \h </w:instrText>
        </w:r>
        <w:r w:rsidR="00C97BE6">
          <w:rPr>
            <w:webHidden/>
          </w:rPr>
        </w:r>
        <w:r w:rsidR="00C97BE6">
          <w:rPr>
            <w:webHidden/>
          </w:rPr>
          <w:fldChar w:fldCharType="separate"/>
        </w:r>
        <w:r w:rsidR="00D0418C">
          <w:rPr>
            <w:webHidden/>
          </w:rPr>
          <w:t>444</w:t>
        </w:r>
        <w:r w:rsidR="00C97BE6">
          <w:rPr>
            <w:webHidden/>
          </w:rPr>
          <w:fldChar w:fldCharType="end"/>
        </w:r>
      </w:hyperlink>
    </w:p>
    <w:p w14:paraId="658EACE2" w14:textId="77777777" w:rsidR="00C97BE6" w:rsidRPr="002D354C" w:rsidRDefault="00590491">
      <w:pPr>
        <w:pStyle w:val="TOC2"/>
        <w:rPr>
          <w:rFonts w:ascii="Calibri" w:hAnsi="Calibri"/>
          <w:sz w:val="22"/>
          <w:szCs w:val="22"/>
          <w:lang w:eastAsia="en-NZ"/>
        </w:rPr>
      </w:pPr>
      <w:hyperlink w:anchor="_Toc5269417" w:history="1">
        <w:r w:rsidR="00C97BE6" w:rsidRPr="001864CF">
          <w:rPr>
            <w:rStyle w:val="Hyperlink"/>
          </w:rPr>
          <w:t>12.4</w:t>
        </w:r>
        <w:r w:rsidR="00C97BE6" w:rsidRPr="002D354C">
          <w:rPr>
            <w:rFonts w:ascii="Calibri" w:hAnsi="Calibri"/>
            <w:sz w:val="22"/>
            <w:szCs w:val="22"/>
            <w:lang w:eastAsia="en-NZ"/>
          </w:rPr>
          <w:tab/>
        </w:r>
        <w:r w:rsidR="00C97BE6" w:rsidRPr="001864CF">
          <w:rPr>
            <w:rStyle w:val="Hyperlink"/>
          </w:rPr>
          <w:t>Publicly accessible information</w:t>
        </w:r>
        <w:r w:rsidR="00C97BE6">
          <w:rPr>
            <w:webHidden/>
          </w:rPr>
          <w:tab/>
        </w:r>
        <w:r w:rsidR="00C97BE6">
          <w:rPr>
            <w:webHidden/>
          </w:rPr>
          <w:fldChar w:fldCharType="begin"/>
        </w:r>
        <w:r w:rsidR="00C97BE6">
          <w:rPr>
            <w:webHidden/>
          </w:rPr>
          <w:instrText xml:space="preserve"> PAGEREF _Toc5269417 \h </w:instrText>
        </w:r>
        <w:r w:rsidR="00C97BE6">
          <w:rPr>
            <w:webHidden/>
          </w:rPr>
        </w:r>
        <w:r w:rsidR="00C97BE6">
          <w:rPr>
            <w:webHidden/>
          </w:rPr>
          <w:fldChar w:fldCharType="separate"/>
        </w:r>
        <w:r w:rsidR="00D0418C">
          <w:rPr>
            <w:webHidden/>
          </w:rPr>
          <w:t>444</w:t>
        </w:r>
        <w:r w:rsidR="00C97BE6">
          <w:rPr>
            <w:webHidden/>
          </w:rPr>
          <w:fldChar w:fldCharType="end"/>
        </w:r>
      </w:hyperlink>
    </w:p>
    <w:p w14:paraId="2D8B56C9" w14:textId="77777777" w:rsidR="00C97BE6" w:rsidRPr="002D354C" w:rsidRDefault="00590491">
      <w:pPr>
        <w:pStyle w:val="TOC2"/>
        <w:rPr>
          <w:rFonts w:ascii="Calibri" w:hAnsi="Calibri"/>
          <w:sz w:val="22"/>
          <w:szCs w:val="22"/>
          <w:lang w:eastAsia="en-NZ"/>
        </w:rPr>
      </w:pPr>
      <w:hyperlink w:anchor="_Toc5269418" w:history="1">
        <w:r w:rsidR="00C97BE6" w:rsidRPr="001864CF">
          <w:rPr>
            <w:rStyle w:val="Hyperlink"/>
          </w:rPr>
          <w:t>12.5</w:t>
        </w:r>
        <w:r w:rsidR="00C97BE6" w:rsidRPr="002D354C">
          <w:rPr>
            <w:rFonts w:ascii="Calibri" w:hAnsi="Calibri"/>
            <w:sz w:val="22"/>
            <w:szCs w:val="22"/>
            <w:lang w:eastAsia="en-NZ"/>
          </w:rPr>
          <w:tab/>
        </w:r>
        <w:r w:rsidR="00C97BE6" w:rsidRPr="001864CF">
          <w:rPr>
            <w:rStyle w:val="Hyperlink"/>
          </w:rPr>
          <w:t>Calculation of the commitment period reserve</w:t>
        </w:r>
        <w:r w:rsidR="00C97BE6">
          <w:rPr>
            <w:webHidden/>
          </w:rPr>
          <w:tab/>
        </w:r>
        <w:r w:rsidR="00C97BE6">
          <w:rPr>
            <w:webHidden/>
          </w:rPr>
          <w:fldChar w:fldCharType="begin"/>
        </w:r>
        <w:r w:rsidR="00C97BE6">
          <w:rPr>
            <w:webHidden/>
          </w:rPr>
          <w:instrText xml:space="preserve"> PAGEREF _Toc5269418 \h </w:instrText>
        </w:r>
        <w:r w:rsidR="00C97BE6">
          <w:rPr>
            <w:webHidden/>
          </w:rPr>
        </w:r>
        <w:r w:rsidR="00C97BE6">
          <w:rPr>
            <w:webHidden/>
          </w:rPr>
          <w:fldChar w:fldCharType="separate"/>
        </w:r>
        <w:r w:rsidR="00D0418C">
          <w:rPr>
            <w:webHidden/>
          </w:rPr>
          <w:t>449</w:t>
        </w:r>
        <w:r w:rsidR="00C97BE6">
          <w:rPr>
            <w:webHidden/>
          </w:rPr>
          <w:fldChar w:fldCharType="end"/>
        </w:r>
      </w:hyperlink>
    </w:p>
    <w:p w14:paraId="558D1A16" w14:textId="77777777" w:rsidR="00C97BE6" w:rsidRPr="002D354C" w:rsidRDefault="00590491">
      <w:pPr>
        <w:pStyle w:val="TOC2"/>
        <w:rPr>
          <w:rFonts w:ascii="Calibri" w:hAnsi="Calibri"/>
          <w:sz w:val="22"/>
          <w:szCs w:val="22"/>
          <w:lang w:eastAsia="en-NZ"/>
        </w:rPr>
      </w:pPr>
      <w:hyperlink w:anchor="_Toc5269419" w:history="1">
        <w:r w:rsidR="00C97BE6" w:rsidRPr="001864CF">
          <w:rPr>
            <w:rStyle w:val="Hyperlink"/>
            <w:lang w:eastAsia="en-NZ"/>
          </w:rPr>
          <w:t>Chapter 12: Reference</w:t>
        </w:r>
        <w:r w:rsidR="00C97BE6">
          <w:rPr>
            <w:webHidden/>
          </w:rPr>
          <w:tab/>
        </w:r>
        <w:r w:rsidR="00C97BE6">
          <w:rPr>
            <w:webHidden/>
          </w:rPr>
          <w:fldChar w:fldCharType="begin"/>
        </w:r>
        <w:r w:rsidR="00C97BE6">
          <w:rPr>
            <w:webHidden/>
          </w:rPr>
          <w:instrText xml:space="preserve"> PAGEREF _Toc5269419 \h </w:instrText>
        </w:r>
        <w:r w:rsidR="00C97BE6">
          <w:rPr>
            <w:webHidden/>
          </w:rPr>
        </w:r>
        <w:r w:rsidR="00C97BE6">
          <w:rPr>
            <w:webHidden/>
          </w:rPr>
          <w:fldChar w:fldCharType="separate"/>
        </w:r>
        <w:r w:rsidR="00D0418C">
          <w:rPr>
            <w:webHidden/>
          </w:rPr>
          <w:t>450</w:t>
        </w:r>
        <w:r w:rsidR="00C97BE6">
          <w:rPr>
            <w:webHidden/>
          </w:rPr>
          <w:fldChar w:fldCharType="end"/>
        </w:r>
      </w:hyperlink>
    </w:p>
    <w:p w14:paraId="212E9942" w14:textId="77777777" w:rsidR="00C97BE6" w:rsidRPr="002D354C" w:rsidRDefault="00590491">
      <w:pPr>
        <w:pStyle w:val="TOC1"/>
        <w:rPr>
          <w:rFonts w:ascii="Calibri" w:hAnsi="Calibri"/>
          <w:noProof/>
          <w:sz w:val="22"/>
          <w:szCs w:val="22"/>
          <w:lang w:eastAsia="en-NZ"/>
        </w:rPr>
      </w:pPr>
      <w:hyperlink w:anchor="_Toc5269420" w:history="1">
        <w:r w:rsidR="00C97BE6" w:rsidRPr="001864CF">
          <w:rPr>
            <w:rStyle w:val="Hyperlink"/>
            <w:noProof/>
          </w:rPr>
          <w:t>Chapter 13: Information on changes to the National Inventory System</w:t>
        </w:r>
        <w:r w:rsidR="00C97BE6">
          <w:rPr>
            <w:noProof/>
            <w:webHidden/>
          </w:rPr>
          <w:tab/>
        </w:r>
        <w:r w:rsidR="00C97BE6">
          <w:rPr>
            <w:noProof/>
            <w:webHidden/>
          </w:rPr>
          <w:fldChar w:fldCharType="begin"/>
        </w:r>
        <w:r w:rsidR="00C97BE6">
          <w:rPr>
            <w:noProof/>
            <w:webHidden/>
          </w:rPr>
          <w:instrText xml:space="preserve"> PAGEREF _Toc5269420 \h </w:instrText>
        </w:r>
        <w:r w:rsidR="00C97BE6">
          <w:rPr>
            <w:noProof/>
            <w:webHidden/>
          </w:rPr>
        </w:r>
        <w:r w:rsidR="00C97BE6">
          <w:rPr>
            <w:noProof/>
            <w:webHidden/>
          </w:rPr>
          <w:fldChar w:fldCharType="separate"/>
        </w:r>
        <w:r w:rsidR="00D0418C">
          <w:rPr>
            <w:noProof/>
            <w:webHidden/>
          </w:rPr>
          <w:t>451</w:t>
        </w:r>
        <w:r w:rsidR="00C97BE6">
          <w:rPr>
            <w:noProof/>
            <w:webHidden/>
          </w:rPr>
          <w:fldChar w:fldCharType="end"/>
        </w:r>
      </w:hyperlink>
    </w:p>
    <w:p w14:paraId="13BA3599" w14:textId="77777777" w:rsidR="00C97BE6" w:rsidRPr="002D354C" w:rsidRDefault="00590491">
      <w:pPr>
        <w:pStyle w:val="TOC1"/>
        <w:rPr>
          <w:rFonts w:ascii="Calibri" w:hAnsi="Calibri"/>
          <w:noProof/>
          <w:sz w:val="22"/>
          <w:szCs w:val="22"/>
          <w:lang w:eastAsia="en-NZ"/>
        </w:rPr>
      </w:pPr>
      <w:hyperlink w:anchor="_Toc5269421" w:history="1">
        <w:r w:rsidR="00C97BE6" w:rsidRPr="001864CF">
          <w:rPr>
            <w:rStyle w:val="Hyperlink"/>
            <w:noProof/>
          </w:rPr>
          <w:t>Chapter 14: Information on changes to the national registry</w:t>
        </w:r>
        <w:r w:rsidR="00C97BE6">
          <w:rPr>
            <w:noProof/>
            <w:webHidden/>
          </w:rPr>
          <w:tab/>
        </w:r>
        <w:r w:rsidR="00C97BE6">
          <w:rPr>
            <w:noProof/>
            <w:webHidden/>
          </w:rPr>
          <w:fldChar w:fldCharType="begin"/>
        </w:r>
        <w:r w:rsidR="00C97BE6">
          <w:rPr>
            <w:noProof/>
            <w:webHidden/>
          </w:rPr>
          <w:instrText xml:space="preserve"> PAGEREF _Toc5269421 \h </w:instrText>
        </w:r>
        <w:r w:rsidR="00C97BE6">
          <w:rPr>
            <w:noProof/>
            <w:webHidden/>
          </w:rPr>
        </w:r>
        <w:r w:rsidR="00C97BE6">
          <w:rPr>
            <w:noProof/>
            <w:webHidden/>
          </w:rPr>
          <w:fldChar w:fldCharType="separate"/>
        </w:r>
        <w:r w:rsidR="00D0418C">
          <w:rPr>
            <w:noProof/>
            <w:webHidden/>
          </w:rPr>
          <w:t>453</w:t>
        </w:r>
        <w:r w:rsidR="00C97BE6">
          <w:rPr>
            <w:noProof/>
            <w:webHidden/>
          </w:rPr>
          <w:fldChar w:fldCharType="end"/>
        </w:r>
      </w:hyperlink>
    </w:p>
    <w:p w14:paraId="69A6E008" w14:textId="77777777" w:rsidR="00C97BE6" w:rsidRPr="002D354C" w:rsidRDefault="00590491">
      <w:pPr>
        <w:pStyle w:val="TOC1"/>
        <w:rPr>
          <w:rFonts w:ascii="Calibri" w:hAnsi="Calibri"/>
          <w:noProof/>
          <w:sz w:val="22"/>
          <w:szCs w:val="22"/>
          <w:lang w:eastAsia="en-NZ"/>
        </w:rPr>
      </w:pPr>
      <w:hyperlink w:anchor="_Toc5269422" w:history="1">
        <w:r w:rsidR="00C97BE6" w:rsidRPr="001864CF">
          <w:rPr>
            <w:rStyle w:val="Hyperlink"/>
            <w:noProof/>
          </w:rPr>
          <w:t>Chapter 15: Information on minimisation of adverse impacts</w:t>
        </w:r>
        <w:r w:rsidR="00C97BE6">
          <w:rPr>
            <w:noProof/>
            <w:webHidden/>
          </w:rPr>
          <w:tab/>
        </w:r>
        <w:r w:rsidR="00C97BE6">
          <w:rPr>
            <w:noProof/>
            <w:webHidden/>
          </w:rPr>
          <w:fldChar w:fldCharType="begin"/>
        </w:r>
        <w:r w:rsidR="00C97BE6">
          <w:rPr>
            <w:noProof/>
            <w:webHidden/>
          </w:rPr>
          <w:instrText xml:space="preserve"> PAGEREF _Toc5269422 \h </w:instrText>
        </w:r>
        <w:r w:rsidR="00C97BE6">
          <w:rPr>
            <w:noProof/>
            <w:webHidden/>
          </w:rPr>
        </w:r>
        <w:r w:rsidR="00C97BE6">
          <w:rPr>
            <w:noProof/>
            <w:webHidden/>
          </w:rPr>
          <w:fldChar w:fldCharType="separate"/>
        </w:r>
        <w:r w:rsidR="00D0418C">
          <w:rPr>
            <w:noProof/>
            <w:webHidden/>
          </w:rPr>
          <w:t>455</w:t>
        </w:r>
        <w:r w:rsidR="00C97BE6">
          <w:rPr>
            <w:noProof/>
            <w:webHidden/>
          </w:rPr>
          <w:fldChar w:fldCharType="end"/>
        </w:r>
      </w:hyperlink>
    </w:p>
    <w:p w14:paraId="41ED8E9D" w14:textId="77777777" w:rsidR="00C97BE6" w:rsidRPr="002D354C" w:rsidRDefault="00590491">
      <w:pPr>
        <w:pStyle w:val="TOC2"/>
        <w:rPr>
          <w:rFonts w:ascii="Calibri" w:hAnsi="Calibri"/>
          <w:sz w:val="22"/>
          <w:szCs w:val="22"/>
          <w:lang w:eastAsia="en-NZ"/>
        </w:rPr>
      </w:pPr>
      <w:hyperlink w:anchor="_Toc5269423" w:history="1">
        <w:r w:rsidR="00C97BE6" w:rsidRPr="001864CF">
          <w:rPr>
            <w:rStyle w:val="Hyperlink"/>
          </w:rPr>
          <w:t xml:space="preserve">15.1 </w:t>
        </w:r>
        <w:r w:rsidR="00C97BE6" w:rsidRPr="002D354C">
          <w:rPr>
            <w:rFonts w:ascii="Calibri" w:hAnsi="Calibri"/>
            <w:sz w:val="22"/>
            <w:szCs w:val="22"/>
            <w:lang w:eastAsia="en-NZ"/>
          </w:rPr>
          <w:tab/>
        </w:r>
        <w:r w:rsidR="00C97BE6" w:rsidRPr="001864CF">
          <w:rPr>
            <w:rStyle w:val="Hyperlink"/>
          </w:rPr>
          <w:t>Overview</w:t>
        </w:r>
        <w:r w:rsidR="00C97BE6">
          <w:rPr>
            <w:webHidden/>
          </w:rPr>
          <w:tab/>
        </w:r>
        <w:r w:rsidR="00C97BE6">
          <w:rPr>
            <w:webHidden/>
          </w:rPr>
          <w:fldChar w:fldCharType="begin"/>
        </w:r>
        <w:r w:rsidR="00C97BE6">
          <w:rPr>
            <w:webHidden/>
          </w:rPr>
          <w:instrText xml:space="preserve"> PAGEREF _Toc5269423 \h </w:instrText>
        </w:r>
        <w:r w:rsidR="00C97BE6">
          <w:rPr>
            <w:webHidden/>
          </w:rPr>
        </w:r>
        <w:r w:rsidR="00C97BE6">
          <w:rPr>
            <w:webHidden/>
          </w:rPr>
          <w:fldChar w:fldCharType="separate"/>
        </w:r>
        <w:r w:rsidR="00D0418C">
          <w:rPr>
            <w:webHidden/>
          </w:rPr>
          <w:t>455</w:t>
        </w:r>
        <w:r w:rsidR="00C97BE6">
          <w:rPr>
            <w:webHidden/>
          </w:rPr>
          <w:fldChar w:fldCharType="end"/>
        </w:r>
      </w:hyperlink>
    </w:p>
    <w:p w14:paraId="5184F29A" w14:textId="77777777" w:rsidR="00C97BE6" w:rsidRPr="002D354C" w:rsidRDefault="00590491">
      <w:pPr>
        <w:pStyle w:val="TOC2"/>
        <w:rPr>
          <w:rFonts w:ascii="Calibri" w:hAnsi="Calibri"/>
          <w:sz w:val="22"/>
          <w:szCs w:val="22"/>
          <w:lang w:eastAsia="en-NZ"/>
        </w:rPr>
      </w:pPr>
      <w:hyperlink w:anchor="_Toc5269424" w:history="1">
        <w:r w:rsidR="00C97BE6" w:rsidRPr="001864CF">
          <w:rPr>
            <w:rStyle w:val="Hyperlink"/>
          </w:rPr>
          <w:t xml:space="preserve">15.2 </w:t>
        </w:r>
        <w:r w:rsidR="00C97BE6" w:rsidRPr="002D354C">
          <w:rPr>
            <w:rFonts w:ascii="Calibri" w:hAnsi="Calibri"/>
            <w:sz w:val="22"/>
            <w:szCs w:val="22"/>
            <w:lang w:eastAsia="en-NZ"/>
          </w:rPr>
          <w:tab/>
        </w:r>
        <w:r w:rsidR="00C97BE6" w:rsidRPr="001864CF">
          <w:rPr>
            <w:rStyle w:val="Hyperlink"/>
          </w:rPr>
          <w:t>Market imperfections, fiscal incentives, tax and duty exemptions and subsidies</w:t>
        </w:r>
        <w:r w:rsidR="00C97BE6">
          <w:rPr>
            <w:webHidden/>
          </w:rPr>
          <w:tab/>
        </w:r>
        <w:r w:rsidR="00C97BE6">
          <w:rPr>
            <w:webHidden/>
          </w:rPr>
          <w:fldChar w:fldCharType="begin"/>
        </w:r>
        <w:r w:rsidR="00C97BE6">
          <w:rPr>
            <w:webHidden/>
          </w:rPr>
          <w:instrText xml:space="preserve"> PAGEREF _Toc5269424 \h </w:instrText>
        </w:r>
        <w:r w:rsidR="00C97BE6">
          <w:rPr>
            <w:webHidden/>
          </w:rPr>
        </w:r>
        <w:r w:rsidR="00C97BE6">
          <w:rPr>
            <w:webHidden/>
          </w:rPr>
          <w:fldChar w:fldCharType="separate"/>
        </w:r>
        <w:r w:rsidR="00D0418C">
          <w:rPr>
            <w:webHidden/>
          </w:rPr>
          <w:t>456</w:t>
        </w:r>
        <w:r w:rsidR="00C97BE6">
          <w:rPr>
            <w:webHidden/>
          </w:rPr>
          <w:fldChar w:fldCharType="end"/>
        </w:r>
      </w:hyperlink>
    </w:p>
    <w:p w14:paraId="745BE86A" w14:textId="77777777" w:rsidR="00C97BE6" w:rsidRPr="002D354C" w:rsidRDefault="00590491">
      <w:pPr>
        <w:pStyle w:val="TOC2"/>
        <w:rPr>
          <w:rFonts w:ascii="Calibri" w:hAnsi="Calibri"/>
          <w:sz w:val="22"/>
          <w:szCs w:val="22"/>
          <w:lang w:eastAsia="en-NZ"/>
        </w:rPr>
      </w:pPr>
      <w:hyperlink w:anchor="_Toc5269425" w:history="1">
        <w:r w:rsidR="00C97BE6" w:rsidRPr="001864CF">
          <w:rPr>
            <w:rStyle w:val="Hyperlink"/>
          </w:rPr>
          <w:t xml:space="preserve">15.3 </w:t>
        </w:r>
        <w:r w:rsidR="00C97BE6" w:rsidRPr="002D354C">
          <w:rPr>
            <w:rFonts w:ascii="Calibri" w:hAnsi="Calibri"/>
            <w:sz w:val="22"/>
            <w:szCs w:val="22"/>
            <w:lang w:eastAsia="en-NZ"/>
          </w:rPr>
          <w:tab/>
        </w:r>
        <w:r w:rsidR="00C97BE6" w:rsidRPr="001864CF">
          <w:rPr>
            <w:rStyle w:val="Hyperlink"/>
          </w:rPr>
          <w:t>Removal of subsidies</w:t>
        </w:r>
        <w:r w:rsidR="00C97BE6">
          <w:rPr>
            <w:webHidden/>
          </w:rPr>
          <w:tab/>
        </w:r>
        <w:r w:rsidR="00C97BE6">
          <w:rPr>
            <w:webHidden/>
          </w:rPr>
          <w:fldChar w:fldCharType="begin"/>
        </w:r>
        <w:r w:rsidR="00C97BE6">
          <w:rPr>
            <w:webHidden/>
          </w:rPr>
          <w:instrText xml:space="preserve"> PAGEREF _Toc5269425 \h </w:instrText>
        </w:r>
        <w:r w:rsidR="00C97BE6">
          <w:rPr>
            <w:webHidden/>
          </w:rPr>
        </w:r>
        <w:r w:rsidR="00C97BE6">
          <w:rPr>
            <w:webHidden/>
          </w:rPr>
          <w:fldChar w:fldCharType="separate"/>
        </w:r>
        <w:r w:rsidR="00D0418C">
          <w:rPr>
            <w:webHidden/>
          </w:rPr>
          <w:t>456</w:t>
        </w:r>
        <w:r w:rsidR="00C97BE6">
          <w:rPr>
            <w:webHidden/>
          </w:rPr>
          <w:fldChar w:fldCharType="end"/>
        </w:r>
      </w:hyperlink>
    </w:p>
    <w:p w14:paraId="04F02EFC" w14:textId="77777777" w:rsidR="00C97BE6" w:rsidRPr="002D354C" w:rsidRDefault="00590491">
      <w:pPr>
        <w:pStyle w:val="TOC2"/>
        <w:rPr>
          <w:rFonts w:ascii="Calibri" w:hAnsi="Calibri"/>
          <w:sz w:val="22"/>
          <w:szCs w:val="22"/>
          <w:lang w:eastAsia="en-NZ"/>
        </w:rPr>
      </w:pPr>
      <w:hyperlink w:anchor="_Toc5269426" w:history="1">
        <w:r w:rsidR="00C97BE6" w:rsidRPr="001864CF">
          <w:rPr>
            <w:rStyle w:val="Hyperlink"/>
          </w:rPr>
          <w:t xml:space="preserve">15.4 </w:t>
        </w:r>
        <w:r w:rsidR="00C97BE6" w:rsidRPr="002D354C">
          <w:rPr>
            <w:rFonts w:ascii="Calibri" w:hAnsi="Calibri"/>
            <w:sz w:val="22"/>
            <w:szCs w:val="22"/>
            <w:lang w:eastAsia="en-NZ"/>
          </w:rPr>
          <w:tab/>
        </w:r>
        <w:r w:rsidR="00C97BE6" w:rsidRPr="001864CF">
          <w:rPr>
            <w:rStyle w:val="Hyperlink"/>
          </w:rPr>
          <w:t>Technological development of non-energy uses of fossil fuels</w:t>
        </w:r>
        <w:r w:rsidR="00C97BE6">
          <w:rPr>
            <w:webHidden/>
          </w:rPr>
          <w:tab/>
        </w:r>
        <w:r w:rsidR="00C97BE6">
          <w:rPr>
            <w:webHidden/>
          </w:rPr>
          <w:fldChar w:fldCharType="begin"/>
        </w:r>
        <w:r w:rsidR="00C97BE6">
          <w:rPr>
            <w:webHidden/>
          </w:rPr>
          <w:instrText xml:space="preserve"> PAGEREF _Toc5269426 \h </w:instrText>
        </w:r>
        <w:r w:rsidR="00C97BE6">
          <w:rPr>
            <w:webHidden/>
          </w:rPr>
        </w:r>
        <w:r w:rsidR="00C97BE6">
          <w:rPr>
            <w:webHidden/>
          </w:rPr>
          <w:fldChar w:fldCharType="separate"/>
        </w:r>
        <w:r w:rsidR="00D0418C">
          <w:rPr>
            <w:webHidden/>
          </w:rPr>
          <w:t>457</w:t>
        </w:r>
        <w:r w:rsidR="00C97BE6">
          <w:rPr>
            <w:webHidden/>
          </w:rPr>
          <w:fldChar w:fldCharType="end"/>
        </w:r>
      </w:hyperlink>
    </w:p>
    <w:p w14:paraId="0D47326C" w14:textId="77777777" w:rsidR="00C97BE6" w:rsidRPr="002D354C" w:rsidRDefault="00590491">
      <w:pPr>
        <w:pStyle w:val="TOC2"/>
        <w:rPr>
          <w:rFonts w:ascii="Calibri" w:hAnsi="Calibri"/>
          <w:sz w:val="22"/>
          <w:szCs w:val="22"/>
          <w:lang w:eastAsia="en-NZ"/>
        </w:rPr>
      </w:pPr>
      <w:hyperlink w:anchor="_Toc5269427" w:history="1">
        <w:r w:rsidR="00C97BE6" w:rsidRPr="001864CF">
          <w:rPr>
            <w:rStyle w:val="Hyperlink"/>
          </w:rPr>
          <w:t xml:space="preserve">15.5 </w:t>
        </w:r>
        <w:r w:rsidR="00C97BE6" w:rsidRPr="002D354C">
          <w:rPr>
            <w:rFonts w:ascii="Calibri" w:hAnsi="Calibri"/>
            <w:sz w:val="22"/>
            <w:szCs w:val="22"/>
            <w:lang w:eastAsia="en-NZ"/>
          </w:rPr>
          <w:tab/>
        </w:r>
        <w:r w:rsidR="00C97BE6" w:rsidRPr="001864CF">
          <w:rPr>
            <w:rStyle w:val="Hyperlink"/>
          </w:rPr>
          <w:t>Carbon capture and storage technology development</w:t>
        </w:r>
        <w:r w:rsidR="00C97BE6">
          <w:rPr>
            <w:webHidden/>
          </w:rPr>
          <w:tab/>
        </w:r>
        <w:r w:rsidR="00C97BE6">
          <w:rPr>
            <w:webHidden/>
          </w:rPr>
          <w:fldChar w:fldCharType="begin"/>
        </w:r>
        <w:r w:rsidR="00C97BE6">
          <w:rPr>
            <w:webHidden/>
          </w:rPr>
          <w:instrText xml:space="preserve"> PAGEREF _Toc5269427 \h </w:instrText>
        </w:r>
        <w:r w:rsidR="00C97BE6">
          <w:rPr>
            <w:webHidden/>
          </w:rPr>
        </w:r>
        <w:r w:rsidR="00C97BE6">
          <w:rPr>
            <w:webHidden/>
          </w:rPr>
          <w:fldChar w:fldCharType="separate"/>
        </w:r>
        <w:r w:rsidR="00D0418C">
          <w:rPr>
            <w:webHidden/>
          </w:rPr>
          <w:t>457</w:t>
        </w:r>
        <w:r w:rsidR="00C97BE6">
          <w:rPr>
            <w:webHidden/>
          </w:rPr>
          <w:fldChar w:fldCharType="end"/>
        </w:r>
      </w:hyperlink>
    </w:p>
    <w:p w14:paraId="7F660789" w14:textId="77777777" w:rsidR="00C97BE6" w:rsidRPr="002D354C" w:rsidRDefault="00590491">
      <w:pPr>
        <w:pStyle w:val="TOC2"/>
        <w:rPr>
          <w:rFonts w:ascii="Calibri" w:hAnsi="Calibri"/>
          <w:sz w:val="22"/>
          <w:szCs w:val="22"/>
          <w:lang w:eastAsia="en-NZ"/>
        </w:rPr>
      </w:pPr>
      <w:hyperlink w:anchor="_Toc5269428" w:history="1">
        <w:r w:rsidR="00C97BE6" w:rsidRPr="001864CF">
          <w:rPr>
            <w:rStyle w:val="Hyperlink"/>
          </w:rPr>
          <w:t xml:space="preserve">15.6 </w:t>
        </w:r>
        <w:r w:rsidR="00C97BE6" w:rsidRPr="002D354C">
          <w:rPr>
            <w:rFonts w:ascii="Calibri" w:hAnsi="Calibri"/>
            <w:sz w:val="22"/>
            <w:szCs w:val="22"/>
            <w:lang w:eastAsia="en-NZ"/>
          </w:rPr>
          <w:tab/>
        </w:r>
        <w:r w:rsidR="00C97BE6" w:rsidRPr="001864CF">
          <w:rPr>
            <w:rStyle w:val="Hyperlink"/>
          </w:rPr>
          <w:t>Improvements in fossil fuel efficiencies</w:t>
        </w:r>
        <w:r w:rsidR="00C97BE6">
          <w:rPr>
            <w:webHidden/>
          </w:rPr>
          <w:tab/>
        </w:r>
        <w:r w:rsidR="00C97BE6">
          <w:rPr>
            <w:webHidden/>
          </w:rPr>
          <w:fldChar w:fldCharType="begin"/>
        </w:r>
        <w:r w:rsidR="00C97BE6">
          <w:rPr>
            <w:webHidden/>
          </w:rPr>
          <w:instrText xml:space="preserve"> PAGEREF _Toc5269428 \h </w:instrText>
        </w:r>
        <w:r w:rsidR="00C97BE6">
          <w:rPr>
            <w:webHidden/>
          </w:rPr>
        </w:r>
        <w:r w:rsidR="00C97BE6">
          <w:rPr>
            <w:webHidden/>
          </w:rPr>
          <w:fldChar w:fldCharType="separate"/>
        </w:r>
        <w:r w:rsidR="00D0418C">
          <w:rPr>
            <w:webHidden/>
          </w:rPr>
          <w:t>457</w:t>
        </w:r>
        <w:r w:rsidR="00C97BE6">
          <w:rPr>
            <w:webHidden/>
          </w:rPr>
          <w:fldChar w:fldCharType="end"/>
        </w:r>
      </w:hyperlink>
    </w:p>
    <w:p w14:paraId="083C1CB7" w14:textId="77777777" w:rsidR="00C97BE6" w:rsidRPr="002D354C" w:rsidRDefault="00590491">
      <w:pPr>
        <w:pStyle w:val="TOC2"/>
        <w:rPr>
          <w:rFonts w:ascii="Calibri" w:hAnsi="Calibri"/>
          <w:sz w:val="22"/>
          <w:szCs w:val="22"/>
          <w:lang w:eastAsia="en-NZ"/>
        </w:rPr>
      </w:pPr>
      <w:hyperlink w:anchor="_Toc5269429" w:history="1">
        <w:r w:rsidR="00C97BE6" w:rsidRPr="001864CF">
          <w:rPr>
            <w:rStyle w:val="Hyperlink"/>
          </w:rPr>
          <w:t xml:space="preserve">15.7 </w:t>
        </w:r>
        <w:r w:rsidR="00C97BE6" w:rsidRPr="002D354C">
          <w:rPr>
            <w:rFonts w:ascii="Calibri" w:hAnsi="Calibri"/>
            <w:sz w:val="22"/>
            <w:szCs w:val="22"/>
            <w:lang w:eastAsia="en-NZ"/>
          </w:rPr>
          <w:tab/>
        </w:r>
        <w:r w:rsidR="00C97BE6" w:rsidRPr="001864CF">
          <w:rPr>
            <w:rStyle w:val="Hyperlink"/>
          </w:rPr>
          <w:t>Assistance to non-Annex I Parties dependent on the export and consumption of fossil fuels for diversifying their economies</w:t>
        </w:r>
        <w:r w:rsidR="00C97BE6">
          <w:rPr>
            <w:webHidden/>
          </w:rPr>
          <w:tab/>
        </w:r>
        <w:r w:rsidR="00C97BE6">
          <w:rPr>
            <w:webHidden/>
          </w:rPr>
          <w:fldChar w:fldCharType="begin"/>
        </w:r>
        <w:r w:rsidR="00C97BE6">
          <w:rPr>
            <w:webHidden/>
          </w:rPr>
          <w:instrText xml:space="preserve"> PAGEREF _Toc5269429 \h </w:instrText>
        </w:r>
        <w:r w:rsidR="00C97BE6">
          <w:rPr>
            <w:webHidden/>
          </w:rPr>
        </w:r>
        <w:r w:rsidR="00C97BE6">
          <w:rPr>
            <w:webHidden/>
          </w:rPr>
          <w:fldChar w:fldCharType="separate"/>
        </w:r>
        <w:r w:rsidR="00D0418C">
          <w:rPr>
            <w:webHidden/>
          </w:rPr>
          <w:t>458</w:t>
        </w:r>
        <w:r w:rsidR="00C97BE6">
          <w:rPr>
            <w:webHidden/>
          </w:rPr>
          <w:fldChar w:fldCharType="end"/>
        </w:r>
      </w:hyperlink>
    </w:p>
    <w:p w14:paraId="05265B65" w14:textId="77777777" w:rsidR="00C97BE6" w:rsidRPr="002D354C" w:rsidRDefault="00590491">
      <w:pPr>
        <w:pStyle w:val="TOC2"/>
        <w:rPr>
          <w:rFonts w:ascii="Calibri" w:hAnsi="Calibri"/>
          <w:sz w:val="22"/>
          <w:szCs w:val="22"/>
          <w:lang w:eastAsia="en-NZ"/>
        </w:rPr>
      </w:pPr>
      <w:hyperlink w:anchor="_Toc5269430" w:history="1">
        <w:r w:rsidR="00C97BE6" w:rsidRPr="001864CF">
          <w:rPr>
            <w:rStyle w:val="Hyperlink"/>
          </w:rPr>
          <w:t>Chapter 15: Reference</w:t>
        </w:r>
        <w:r w:rsidR="00C97BE6">
          <w:rPr>
            <w:webHidden/>
          </w:rPr>
          <w:tab/>
        </w:r>
        <w:r w:rsidR="00C97BE6">
          <w:rPr>
            <w:webHidden/>
          </w:rPr>
          <w:fldChar w:fldCharType="begin"/>
        </w:r>
        <w:r w:rsidR="00C97BE6">
          <w:rPr>
            <w:webHidden/>
          </w:rPr>
          <w:instrText xml:space="preserve"> PAGEREF _Toc5269430 \h </w:instrText>
        </w:r>
        <w:r w:rsidR="00C97BE6">
          <w:rPr>
            <w:webHidden/>
          </w:rPr>
        </w:r>
        <w:r w:rsidR="00C97BE6">
          <w:rPr>
            <w:webHidden/>
          </w:rPr>
          <w:fldChar w:fldCharType="separate"/>
        </w:r>
        <w:r w:rsidR="00D0418C">
          <w:rPr>
            <w:webHidden/>
          </w:rPr>
          <w:t>459</w:t>
        </w:r>
        <w:r w:rsidR="00C97BE6">
          <w:rPr>
            <w:webHidden/>
          </w:rPr>
          <w:fldChar w:fldCharType="end"/>
        </w:r>
      </w:hyperlink>
    </w:p>
    <w:p w14:paraId="1C9D4C77" w14:textId="4A173958" w:rsidR="005C5169" w:rsidRPr="00256982" w:rsidRDefault="00850057" w:rsidP="005C5169">
      <w:pPr>
        <w:pStyle w:val="BodyText"/>
      </w:pPr>
      <w:r w:rsidRPr="00256982">
        <w:fldChar w:fldCharType="end"/>
      </w:r>
    </w:p>
    <w:p w14:paraId="7B3AA2DD" w14:textId="77FFC074" w:rsidR="005C5169" w:rsidRPr="00256982" w:rsidRDefault="005C5169" w:rsidP="005C5169">
      <w:pPr>
        <w:pStyle w:val="BodyText"/>
        <w:rPr>
          <w:rFonts w:ascii="Arial" w:hAnsi="Arial" w:cs="Arial"/>
          <w:b/>
        </w:rPr>
      </w:pPr>
      <w:r w:rsidRPr="00256982">
        <w:rPr>
          <w:rFonts w:ascii="Arial" w:hAnsi="Arial" w:cs="Arial"/>
          <w:b/>
        </w:rPr>
        <w:t>See separate file for the national inventory report annexes.</w:t>
      </w:r>
    </w:p>
    <w:p w14:paraId="3302B3CA" w14:textId="77777777" w:rsidR="00DE64BC" w:rsidRPr="00256982" w:rsidRDefault="00DE64BC" w:rsidP="00ED2C42">
      <w:pPr>
        <w:pStyle w:val="Heading"/>
      </w:pPr>
      <w:r w:rsidRPr="00256982">
        <w:br w:type="page"/>
      </w:r>
      <w:r w:rsidRPr="00256982">
        <w:lastRenderedPageBreak/>
        <w:t>Tables</w:t>
      </w:r>
    </w:p>
    <w:p w14:paraId="23664AE2" w14:textId="77777777" w:rsidR="00C97BE6" w:rsidRPr="002D354C" w:rsidRDefault="00850057">
      <w:pPr>
        <w:pStyle w:val="TableofFigures"/>
        <w:rPr>
          <w:rFonts w:ascii="Calibri" w:hAnsi="Calibri"/>
          <w:sz w:val="22"/>
          <w:szCs w:val="22"/>
          <w:lang w:eastAsia="en-NZ"/>
        </w:rPr>
      </w:pPr>
      <w:r w:rsidRPr="00256982">
        <w:rPr>
          <w:noProof w:val="0"/>
        </w:rPr>
        <w:fldChar w:fldCharType="begin"/>
      </w:r>
      <w:r w:rsidRPr="00256982">
        <w:rPr>
          <w:noProof w:val="0"/>
        </w:rPr>
        <w:instrText xml:space="preserve"> TOC \h \z \t "Table" \c </w:instrText>
      </w:r>
      <w:r w:rsidRPr="00256982">
        <w:rPr>
          <w:noProof w:val="0"/>
        </w:rPr>
        <w:fldChar w:fldCharType="separate"/>
      </w:r>
      <w:hyperlink w:anchor="_Toc5269431" w:history="1">
        <w:r w:rsidR="00C97BE6" w:rsidRPr="009B03B5">
          <w:rPr>
            <w:rStyle w:val="Hyperlink"/>
          </w:rPr>
          <w:t xml:space="preserve">Table ES 3.1 </w:t>
        </w:r>
        <w:r w:rsidR="00C97BE6" w:rsidRPr="002D354C">
          <w:rPr>
            <w:rFonts w:ascii="Calibri" w:hAnsi="Calibri"/>
            <w:sz w:val="22"/>
            <w:szCs w:val="22"/>
            <w:lang w:eastAsia="en-NZ"/>
          </w:rPr>
          <w:tab/>
        </w:r>
        <w:r w:rsidR="00C97BE6" w:rsidRPr="009B03B5">
          <w:rPr>
            <w:rStyle w:val="Hyperlink"/>
          </w:rPr>
          <w:t>New Zealand’s gross emissions by gas in 1990 and 2017</w:t>
        </w:r>
        <w:r w:rsidR="00C97BE6">
          <w:rPr>
            <w:webHidden/>
          </w:rPr>
          <w:tab/>
        </w:r>
        <w:r w:rsidR="00C97BE6">
          <w:rPr>
            <w:webHidden/>
          </w:rPr>
          <w:fldChar w:fldCharType="begin"/>
        </w:r>
        <w:r w:rsidR="00C97BE6">
          <w:rPr>
            <w:webHidden/>
          </w:rPr>
          <w:instrText xml:space="preserve"> PAGEREF _Toc5269431 \h </w:instrText>
        </w:r>
        <w:r w:rsidR="00C97BE6">
          <w:rPr>
            <w:webHidden/>
          </w:rPr>
        </w:r>
        <w:r w:rsidR="00C97BE6">
          <w:rPr>
            <w:webHidden/>
          </w:rPr>
          <w:fldChar w:fldCharType="separate"/>
        </w:r>
        <w:r w:rsidR="00D0418C">
          <w:rPr>
            <w:webHidden/>
          </w:rPr>
          <w:t>5</w:t>
        </w:r>
        <w:r w:rsidR="00C97BE6">
          <w:rPr>
            <w:webHidden/>
          </w:rPr>
          <w:fldChar w:fldCharType="end"/>
        </w:r>
      </w:hyperlink>
    </w:p>
    <w:p w14:paraId="26538F61" w14:textId="77777777" w:rsidR="00C97BE6" w:rsidRPr="002D354C" w:rsidRDefault="00590491">
      <w:pPr>
        <w:pStyle w:val="TableofFigures"/>
        <w:rPr>
          <w:rFonts w:ascii="Calibri" w:hAnsi="Calibri"/>
          <w:sz w:val="22"/>
          <w:szCs w:val="22"/>
          <w:lang w:eastAsia="en-NZ"/>
        </w:rPr>
      </w:pPr>
      <w:hyperlink w:anchor="_Toc5269432" w:history="1">
        <w:r w:rsidR="00C97BE6" w:rsidRPr="009B03B5">
          <w:rPr>
            <w:rStyle w:val="Hyperlink"/>
          </w:rPr>
          <w:t xml:space="preserve">Table ES 3.2 </w:t>
        </w:r>
        <w:r w:rsidR="00C97BE6" w:rsidRPr="002D354C">
          <w:rPr>
            <w:rFonts w:ascii="Calibri" w:hAnsi="Calibri"/>
            <w:sz w:val="22"/>
            <w:szCs w:val="22"/>
            <w:lang w:eastAsia="en-NZ"/>
          </w:rPr>
          <w:tab/>
        </w:r>
        <w:r w:rsidR="00C97BE6" w:rsidRPr="009B03B5">
          <w:rPr>
            <w:rStyle w:val="Hyperlink"/>
          </w:rPr>
          <w:t>New Zealand’s indirect greenhouse gas emissions (excluding LULUCF) in 1990 and 2017</w:t>
        </w:r>
        <w:r w:rsidR="00C97BE6">
          <w:rPr>
            <w:webHidden/>
          </w:rPr>
          <w:tab/>
        </w:r>
        <w:r w:rsidR="00C97BE6">
          <w:rPr>
            <w:webHidden/>
          </w:rPr>
          <w:fldChar w:fldCharType="begin"/>
        </w:r>
        <w:r w:rsidR="00C97BE6">
          <w:rPr>
            <w:webHidden/>
          </w:rPr>
          <w:instrText xml:space="preserve"> PAGEREF _Toc5269432 \h </w:instrText>
        </w:r>
        <w:r w:rsidR="00C97BE6">
          <w:rPr>
            <w:webHidden/>
          </w:rPr>
        </w:r>
        <w:r w:rsidR="00C97BE6">
          <w:rPr>
            <w:webHidden/>
          </w:rPr>
          <w:fldChar w:fldCharType="separate"/>
        </w:r>
        <w:r w:rsidR="00D0418C">
          <w:rPr>
            <w:webHidden/>
          </w:rPr>
          <w:t>6</w:t>
        </w:r>
        <w:r w:rsidR="00C97BE6">
          <w:rPr>
            <w:webHidden/>
          </w:rPr>
          <w:fldChar w:fldCharType="end"/>
        </w:r>
      </w:hyperlink>
    </w:p>
    <w:p w14:paraId="6EB03674" w14:textId="77777777" w:rsidR="00C97BE6" w:rsidRPr="002D354C" w:rsidRDefault="00590491">
      <w:pPr>
        <w:pStyle w:val="TableofFigures"/>
        <w:rPr>
          <w:rFonts w:ascii="Calibri" w:hAnsi="Calibri"/>
          <w:sz w:val="22"/>
          <w:szCs w:val="22"/>
          <w:lang w:eastAsia="en-NZ"/>
        </w:rPr>
      </w:pPr>
      <w:hyperlink w:anchor="_Toc5269433" w:history="1">
        <w:r w:rsidR="00C97BE6" w:rsidRPr="009B03B5">
          <w:rPr>
            <w:rStyle w:val="Hyperlink"/>
          </w:rPr>
          <w:t xml:space="preserve">Table ES 4.1 </w:t>
        </w:r>
        <w:r w:rsidR="00C97BE6" w:rsidRPr="002D354C">
          <w:rPr>
            <w:rFonts w:ascii="Calibri" w:hAnsi="Calibri"/>
            <w:sz w:val="22"/>
            <w:szCs w:val="22"/>
            <w:lang w:eastAsia="en-NZ"/>
          </w:rPr>
          <w:tab/>
        </w:r>
        <w:r w:rsidR="00C97BE6" w:rsidRPr="009B03B5">
          <w:rPr>
            <w:rStyle w:val="Hyperlink"/>
          </w:rPr>
          <w:t>New Zealand’s gross emissions by sector in 1990 and 2017</w:t>
        </w:r>
        <w:r w:rsidR="00C97BE6">
          <w:rPr>
            <w:webHidden/>
          </w:rPr>
          <w:tab/>
        </w:r>
        <w:r w:rsidR="00C97BE6">
          <w:rPr>
            <w:webHidden/>
          </w:rPr>
          <w:fldChar w:fldCharType="begin"/>
        </w:r>
        <w:r w:rsidR="00C97BE6">
          <w:rPr>
            <w:webHidden/>
          </w:rPr>
          <w:instrText xml:space="preserve"> PAGEREF _Toc5269433 \h </w:instrText>
        </w:r>
        <w:r w:rsidR="00C97BE6">
          <w:rPr>
            <w:webHidden/>
          </w:rPr>
        </w:r>
        <w:r w:rsidR="00C97BE6">
          <w:rPr>
            <w:webHidden/>
          </w:rPr>
          <w:fldChar w:fldCharType="separate"/>
        </w:r>
        <w:r w:rsidR="00D0418C">
          <w:rPr>
            <w:webHidden/>
          </w:rPr>
          <w:t>7</w:t>
        </w:r>
        <w:r w:rsidR="00C97BE6">
          <w:rPr>
            <w:webHidden/>
          </w:rPr>
          <w:fldChar w:fldCharType="end"/>
        </w:r>
      </w:hyperlink>
    </w:p>
    <w:p w14:paraId="79260583" w14:textId="77777777" w:rsidR="00C97BE6" w:rsidRPr="002D354C" w:rsidRDefault="00590491">
      <w:pPr>
        <w:pStyle w:val="TableofFigures"/>
        <w:rPr>
          <w:rFonts w:ascii="Calibri" w:hAnsi="Calibri"/>
          <w:sz w:val="22"/>
          <w:szCs w:val="22"/>
          <w:lang w:eastAsia="en-NZ"/>
        </w:rPr>
      </w:pPr>
      <w:hyperlink w:anchor="_Toc5269434" w:history="1">
        <w:r w:rsidR="00C97BE6" w:rsidRPr="009B03B5">
          <w:rPr>
            <w:rStyle w:val="Hyperlink"/>
          </w:rPr>
          <w:t>Table ES 5.1(a)</w:t>
        </w:r>
        <w:r w:rsidR="00C97BE6" w:rsidRPr="002D354C">
          <w:rPr>
            <w:rFonts w:ascii="Calibri" w:hAnsi="Calibri"/>
            <w:sz w:val="22"/>
            <w:szCs w:val="22"/>
            <w:lang w:eastAsia="en-NZ"/>
          </w:rPr>
          <w:tab/>
        </w:r>
        <w:r w:rsidR="00C97BE6" w:rsidRPr="009B03B5">
          <w:rPr>
            <w:rStyle w:val="Hyperlink"/>
          </w:rPr>
          <w:t>New Zealand’s land use areas for Afforestation and reforestation, Deforestation and Forest management</w:t>
        </w:r>
        <w:r w:rsidR="00C97BE6">
          <w:rPr>
            <w:webHidden/>
          </w:rPr>
          <w:tab/>
        </w:r>
        <w:r w:rsidR="00C97BE6">
          <w:rPr>
            <w:webHidden/>
          </w:rPr>
          <w:fldChar w:fldCharType="begin"/>
        </w:r>
        <w:r w:rsidR="00C97BE6">
          <w:rPr>
            <w:webHidden/>
          </w:rPr>
          <w:instrText xml:space="preserve"> PAGEREF _Toc5269434 \h </w:instrText>
        </w:r>
        <w:r w:rsidR="00C97BE6">
          <w:rPr>
            <w:webHidden/>
          </w:rPr>
        </w:r>
        <w:r w:rsidR="00C97BE6">
          <w:rPr>
            <w:webHidden/>
          </w:rPr>
          <w:fldChar w:fldCharType="separate"/>
        </w:r>
        <w:r w:rsidR="00D0418C">
          <w:rPr>
            <w:webHidden/>
          </w:rPr>
          <w:t>14</w:t>
        </w:r>
        <w:r w:rsidR="00C97BE6">
          <w:rPr>
            <w:webHidden/>
          </w:rPr>
          <w:fldChar w:fldCharType="end"/>
        </w:r>
      </w:hyperlink>
    </w:p>
    <w:p w14:paraId="42AE58B8" w14:textId="77777777" w:rsidR="00C97BE6" w:rsidRPr="002D354C" w:rsidRDefault="00590491">
      <w:pPr>
        <w:pStyle w:val="TableofFigures"/>
        <w:rPr>
          <w:rFonts w:ascii="Calibri" w:hAnsi="Calibri"/>
          <w:sz w:val="22"/>
          <w:szCs w:val="22"/>
          <w:lang w:eastAsia="en-NZ"/>
        </w:rPr>
      </w:pPr>
      <w:hyperlink w:anchor="_Toc5269435" w:history="1">
        <w:r w:rsidR="00C97BE6" w:rsidRPr="009B03B5">
          <w:rPr>
            <w:rStyle w:val="Hyperlink"/>
          </w:rPr>
          <w:t>Table ES 5.1(b)</w:t>
        </w:r>
        <w:r w:rsidR="00C97BE6" w:rsidRPr="002D354C">
          <w:rPr>
            <w:rFonts w:ascii="Calibri" w:hAnsi="Calibri"/>
            <w:sz w:val="22"/>
            <w:szCs w:val="22"/>
            <w:lang w:eastAsia="en-NZ"/>
          </w:rPr>
          <w:tab/>
        </w:r>
        <w:r w:rsidR="00C97BE6" w:rsidRPr="009B03B5">
          <w:rPr>
            <w:rStyle w:val="Hyperlink"/>
          </w:rPr>
          <w:t>New Zealand’s net emissions and accounting quantity by year for Afforestation and reforestation, Deforestation and Forest management</w:t>
        </w:r>
        <w:r w:rsidR="00C97BE6">
          <w:rPr>
            <w:webHidden/>
          </w:rPr>
          <w:tab/>
        </w:r>
        <w:r w:rsidR="00C97BE6">
          <w:rPr>
            <w:webHidden/>
          </w:rPr>
          <w:fldChar w:fldCharType="begin"/>
        </w:r>
        <w:r w:rsidR="00C97BE6">
          <w:rPr>
            <w:webHidden/>
          </w:rPr>
          <w:instrText xml:space="preserve"> PAGEREF _Toc5269435 \h </w:instrText>
        </w:r>
        <w:r w:rsidR="00C97BE6">
          <w:rPr>
            <w:webHidden/>
          </w:rPr>
        </w:r>
        <w:r w:rsidR="00C97BE6">
          <w:rPr>
            <w:webHidden/>
          </w:rPr>
          <w:fldChar w:fldCharType="separate"/>
        </w:r>
        <w:r w:rsidR="00D0418C">
          <w:rPr>
            <w:webHidden/>
          </w:rPr>
          <w:t>15</w:t>
        </w:r>
        <w:r w:rsidR="00C97BE6">
          <w:rPr>
            <w:webHidden/>
          </w:rPr>
          <w:fldChar w:fldCharType="end"/>
        </w:r>
      </w:hyperlink>
    </w:p>
    <w:p w14:paraId="358E5480" w14:textId="77777777" w:rsidR="00C97BE6" w:rsidRPr="002D354C" w:rsidRDefault="00590491">
      <w:pPr>
        <w:pStyle w:val="TableofFigures"/>
        <w:rPr>
          <w:rFonts w:ascii="Calibri" w:hAnsi="Calibri"/>
          <w:sz w:val="22"/>
          <w:szCs w:val="22"/>
          <w:lang w:eastAsia="en-NZ"/>
        </w:rPr>
      </w:pPr>
      <w:hyperlink w:anchor="_Toc5269436" w:history="1">
        <w:r w:rsidR="00C97BE6" w:rsidRPr="009B03B5">
          <w:rPr>
            <w:rStyle w:val="Hyperlink"/>
          </w:rPr>
          <w:t xml:space="preserve">Table 1.5.1 </w:t>
        </w:r>
        <w:r w:rsidR="00C97BE6" w:rsidRPr="002D354C">
          <w:rPr>
            <w:rFonts w:ascii="Calibri" w:hAnsi="Calibri"/>
            <w:sz w:val="22"/>
            <w:szCs w:val="22"/>
            <w:lang w:eastAsia="en-NZ"/>
          </w:rPr>
          <w:tab/>
        </w:r>
        <w:r w:rsidR="00C97BE6" w:rsidRPr="009B03B5">
          <w:rPr>
            <w:rStyle w:val="Hyperlink"/>
          </w:rPr>
          <w:t>Summary of New Zealand’s key categories for the 2017 level assessment and the trend assessment for 1990 to 2017 (including and excluding LULUCF activities)</w:t>
        </w:r>
        <w:r w:rsidR="00C97BE6">
          <w:rPr>
            <w:webHidden/>
          </w:rPr>
          <w:tab/>
        </w:r>
        <w:r w:rsidR="00C97BE6">
          <w:rPr>
            <w:webHidden/>
          </w:rPr>
          <w:fldChar w:fldCharType="begin"/>
        </w:r>
        <w:r w:rsidR="00C97BE6">
          <w:rPr>
            <w:webHidden/>
          </w:rPr>
          <w:instrText xml:space="preserve"> PAGEREF _Toc5269436 \h </w:instrText>
        </w:r>
        <w:r w:rsidR="00C97BE6">
          <w:rPr>
            <w:webHidden/>
          </w:rPr>
        </w:r>
        <w:r w:rsidR="00C97BE6">
          <w:rPr>
            <w:webHidden/>
          </w:rPr>
          <w:fldChar w:fldCharType="separate"/>
        </w:r>
        <w:r w:rsidR="00D0418C">
          <w:rPr>
            <w:webHidden/>
          </w:rPr>
          <w:t>37</w:t>
        </w:r>
        <w:r w:rsidR="00C97BE6">
          <w:rPr>
            <w:webHidden/>
          </w:rPr>
          <w:fldChar w:fldCharType="end"/>
        </w:r>
      </w:hyperlink>
    </w:p>
    <w:p w14:paraId="304C7B2F" w14:textId="77777777" w:rsidR="00C97BE6" w:rsidRPr="002D354C" w:rsidRDefault="00590491">
      <w:pPr>
        <w:pStyle w:val="TableofFigures"/>
        <w:rPr>
          <w:rFonts w:ascii="Calibri" w:hAnsi="Calibri"/>
          <w:sz w:val="22"/>
          <w:szCs w:val="22"/>
          <w:lang w:eastAsia="en-NZ"/>
        </w:rPr>
      </w:pPr>
      <w:hyperlink w:anchor="_Toc5269437" w:history="1">
        <w:r w:rsidR="00C97BE6" w:rsidRPr="009B03B5">
          <w:rPr>
            <w:rStyle w:val="Hyperlink"/>
          </w:rPr>
          <w:t>Table 1.5.2(a &amp; b)</w:t>
        </w:r>
        <w:r w:rsidR="00C97BE6" w:rsidRPr="002D354C">
          <w:rPr>
            <w:rFonts w:ascii="Calibri" w:hAnsi="Calibri"/>
            <w:sz w:val="22"/>
            <w:szCs w:val="22"/>
            <w:lang w:eastAsia="en-NZ"/>
          </w:rPr>
          <w:tab/>
        </w:r>
        <w:r w:rsidR="00C97BE6" w:rsidRPr="009B03B5">
          <w:rPr>
            <w:rStyle w:val="Hyperlink"/>
          </w:rPr>
          <w:t>2017 level assessment for New Zealand’s key category analysis including LULUCF (a) and excluding LULUCF (b)</w:t>
        </w:r>
        <w:r w:rsidR="00C97BE6">
          <w:rPr>
            <w:webHidden/>
          </w:rPr>
          <w:tab/>
        </w:r>
        <w:r w:rsidR="00C97BE6">
          <w:rPr>
            <w:webHidden/>
          </w:rPr>
          <w:fldChar w:fldCharType="begin"/>
        </w:r>
        <w:r w:rsidR="00C97BE6">
          <w:rPr>
            <w:webHidden/>
          </w:rPr>
          <w:instrText xml:space="preserve"> PAGEREF _Toc5269437 \h </w:instrText>
        </w:r>
        <w:r w:rsidR="00C97BE6">
          <w:rPr>
            <w:webHidden/>
          </w:rPr>
        </w:r>
        <w:r w:rsidR="00C97BE6">
          <w:rPr>
            <w:webHidden/>
          </w:rPr>
          <w:fldChar w:fldCharType="separate"/>
        </w:r>
        <w:r w:rsidR="00D0418C">
          <w:rPr>
            <w:webHidden/>
          </w:rPr>
          <w:t>39</w:t>
        </w:r>
        <w:r w:rsidR="00C97BE6">
          <w:rPr>
            <w:webHidden/>
          </w:rPr>
          <w:fldChar w:fldCharType="end"/>
        </w:r>
      </w:hyperlink>
    </w:p>
    <w:p w14:paraId="011E74E6" w14:textId="77777777" w:rsidR="00C97BE6" w:rsidRPr="002D354C" w:rsidRDefault="00590491">
      <w:pPr>
        <w:pStyle w:val="TableofFigures"/>
        <w:rPr>
          <w:rFonts w:ascii="Calibri" w:hAnsi="Calibri"/>
          <w:sz w:val="22"/>
          <w:szCs w:val="22"/>
          <w:lang w:eastAsia="en-NZ"/>
        </w:rPr>
      </w:pPr>
      <w:hyperlink w:anchor="_Toc5269438" w:history="1">
        <w:r w:rsidR="00C97BE6" w:rsidRPr="009B03B5">
          <w:rPr>
            <w:rStyle w:val="Hyperlink"/>
          </w:rPr>
          <w:t>Table 1.5.3(a &amp; b)</w:t>
        </w:r>
        <w:r w:rsidR="00C97BE6" w:rsidRPr="002D354C">
          <w:rPr>
            <w:rFonts w:ascii="Calibri" w:hAnsi="Calibri"/>
            <w:sz w:val="22"/>
            <w:szCs w:val="22"/>
            <w:lang w:eastAsia="en-NZ"/>
          </w:rPr>
          <w:tab/>
        </w:r>
        <w:r w:rsidR="00C97BE6" w:rsidRPr="009B03B5">
          <w:rPr>
            <w:rStyle w:val="Hyperlink"/>
          </w:rPr>
          <w:t>1990–2017 trend assessment for New Zealand’s key category analysis including LULUCF (a) and excluding LULUCF (b)</w:t>
        </w:r>
        <w:r w:rsidR="00C97BE6">
          <w:rPr>
            <w:webHidden/>
          </w:rPr>
          <w:tab/>
        </w:r>
        <w:r w:rsidR="00C97BE6">
          <w:rPr>
            <w:webHidden/>
          </w:rPr>
          <w:fldChar w:fldCharType="begin"/>
        </w:r>
        <w:r w:rsidR="00C97BE6">
          <w:rPr>
            <w:webHidden/>
          </w:rPr>
          <w:instrText xml:space="preserve"> PAGEREF _Toc5269438 \h </w:instrText>
        </w:r>
        <w:r w:rsidR="00C97BE6">
          <w:rPr>
            <w:webHidden/>
          </w:rPr>
        </w:r>
        <w:r w:rsidR="00C97BE6">
          <w:rPr>
            <w:webHidden/>
          </w:rPr>
          <w:fldChar w:fldCharType="separate"/>
        </w:r>
        <w:r w:rsidR="00D0418C">
          <w:rPr>
            <w:webHidden/>
          </w:rPr>
          <w:t>42</w:t>
        </w:r>
        <w:r w:rsidR="00C97BE6">
          <w:rPr>
            <w:webHidden/>
          </w:rPr>
          <w:fldChar w:fldCharType="end"/>
        </w:r>
      </w:hyperlink>
    </w:p>
    <w:p w14:paraId="08773F39" w14:textId="77777777" w:rsidR="00C97BE6" w:rsidRPr="002D354C" w:rsidRDefault="00590491">
      <w:pPr>
        <w:pStyle w:val="TableofFigures"/>
        <w:rPr>
          <w:rFonts w:ascii="Calibri" w:hAnsi="Calibri"/>
          <w:sz w:val="22"/>
          <w:szCs w:val="22"/>
          <w:lang w:eastAsia="en-NZ"/>
        </w:rPr>
      </w:pPr>
      <w:hyperlink w:anchor="_Toc5269439" w:history="1">
        <w:r w:rsidR="00C97BE6" w:rsidRPr="009B03B5">
          <w:rPr>
            <w:rStyle w:val="Hyperlink"/>
          </w:rPr>
          <w:t xml:space="preserve">Table 1.5.4 </w:t>
        </w:r>
        <w:r w:rsidR="00C97BE6" w:rsidRPr="002D354C">
          <w:rPr>
            <w:rFonts w:ascii="Calibri" w:hAnsi="Calibri"/>
            <w:sz w:val="22"/>
            <w:szCs w:val="22"/>
            <w:lang w:eastAsia="en-NZ"/>
          </w:rPr>
          <w:tab/>
        </w:r>
        <w:r w:rsidR="00C97BE6" w:rsidRPr="009B03B5">
          <w:rPr>
            <w:rStyle w:val="Hyperlink"/>
          </w:rPr>
          <w:t>Key categories under the Kyoto Protocol and corresponding categories under the Convention</w:t>
        </w:r>
        <w:r w:rsidR="00C97BE6">
          <w:rPr>
            <w:webHidden/>
          </w:rPr>
          <w:tab/>
        </w:r>
        <w:r w:rsidR="00C97BE6">
          <w:rPr>
            <w:webHidden/>
          </w:rPr>
          <w:fldChar w:fldCharType="begin"/>
        </w:r>
        <w:r w:rsidR="00C97BE6">
          <w:rPr>
            <w:webHidden/>
          </w:rPr>
          <w:instrText xml:space="preserve"> PAGEREF _Toc5269439 \h </w:instrText>
        </w:r>
        <w:r w:rsidR="00C97BE6">
          <w:rPr>
            <w:webHidden/>
          </w:rPr>
        </w:r>
        <w:r w:rsidR="00C97BE6">
          <w:rPr>
            <w:webHidden/>
          </w:rPr>
          <w:fldChar w:fldCharType="separate"/>
        </w:r>
        <w:r w:rsidR="00D0418C">
          <w:rPr>
            <w:webHidden/>
          </w:rPr>
          <w:t>45</w:t>
        </w:r>
        <w:r w:rsidR="00C97BE6">
          <w:rPr>
            <w:webHidden/>
          </w:rPr>
          <w:fldChar w:fldCharType="end"/>
        </w:r>
      </w:hyperlink>
    </w:p>
    <w:p w14:paraId="61C132DE" w14:textId="77777777" w:rsidR="00C97BE6" w:rsidRPr="002D354C" w:rsidRDefault="00590491">
      <w:pPr>
        <w:pStyle w:val="TableofFigures"/>
        <w:rPr>
          <w:rFonts w:ascii="Calibri" w:hAnsi="Calibri"/>
          <w:sz w:val="22"/>
          <w:szCs w:val="22"/>
          <w:lang w:eastAsia="en-NZ"/>
        </w:rPr>
      </w:pPr>
      <w:hyperlink w:anchor="_Toc5269440" w:history="1">
        <w:r w:rsidR="00C97BE6" w:rsidRPr="009B03B5">
          <w:rPr>
            <w:rStyle w:val="Hyperlink"/>
            <w:lang w:eastAsia="en-NZ"/>
          </w:rPr>
          <w:t xml:space="preserve">Table 1.9.1 </w:t>
        </w:r>
        <w:r w:rsidR="00C97BE6" w:rsidRPr="002D354C">
          <w:rPr>
            <w:rFonts w:ascii="Calibri" w:hAnsi="Calibri"/>
            <w:sz w:val="22"/>
            <w:szCs w:val="22"/>
            <w:lang w:eastAsia="en-NZ"/>
          </w:rPr>
          <w:tab/>
        </w:r>
        <w:r w:rsidR="00C97BE6" w:rsidRPr="009B03B5">
          <w:rPr>
            <w:rStyle w:val="Hyperlink"/>
            <w:lang w:eastAsia="en-NZ"/>
          </w:rPr>
          <w:t>Dates for sector entry into the New Zealand Emissions Trading Scheme</w:t>
        </w:r>
        <w:r w:rsidR="00C97BE6">
          <w:rPr>
            <w:webHidden/>
          </w:rPr>
          <w:tab/>
        </w:r>
        <w:r w:rsidR="00C97BE6">
          <w:rPr>
            <w:webHidden/>
          </w:rPr>
          <w:fldChar w:fldCharType="begin"/>
        </w:r>
        <w:r w:rsidR="00C97BE6">
          <w:rPr>
            <w:webHidden/>
          </w:rPr>
          <w:instrText xml:space="preserve"> PAGEREF _Toc5269440 \h </w:instrText>
        </w:r>
        <w:r w:rsidR="00C97BE6">
          <w:rPr>
            <w:webHidden/>
          </w:rPr>
        </w:r>
        <w:r w:rsidR="00C97BE6">
          <w:rPr>
            <w:webHidden/>
          </w:rPr>
          <w:fldChar w:fldCharType="separate"/>
        </w:r>
        <w:r w:rsidR="00D0418C">
          <w:rPr>
            <w:webHidden/>
          </w:rPr>
          <w:t>50</w:t>
        </w:r>
        <w:r w:rsidR="00C97BE6">
          <w:rPr>
            <w:webHidden/>
          </w:rPr>
          <w:fldChar w:fldCharType="end"/>
        </w:r>
      </w:hyperlink>
    </w:p>
    <w:p w14:paraId="4BC946BA" w14:textId="77777777" w:rsidR="00C97BE6" w:rsidRPr="002D354C" w:rsidRDefault="00590491">
      <w:pPr>
        <w:pStyle w:val="TableofFigures"/>
        <w:rPr>
          <w:rFonts w:ascii="Calibri" w:hAnsi="Calibri"/>
          <w:sz w:val="22"/>
          <w:szCs w:val="22"/>
          <w:lang w:eastAsia="en-NZ"/>
        </w:rPr>
      </w:pPr>
      <w:hyperlink w:anchor="_Toc5269441" w:history="1">
        <w:r w:rsidR="00C97BE6" w:rsidRPr="009B03B5">
          <w:rPr>
            <w:rStyle w:val="Hyperlink"/>
          </w:rPr>
          <w:t xml:space="preserve">Table 2.1.1 </w:t>
        </w:r>
        <w:r w:rsidR="00C97BE6" w:rsidRPr="002D354C">
          <w:rPr>
            <w:rFonts w:ascii="Calibri" w:hAnsi="Calibri"/>
            <w:sz w:val="22"/>
            <w:szCs w:val="22"/>
            <w:lang w:eastAsia="en-NZ"/>
          </w:rPr>
          <w:tab/>
        </w:r>
        <w:r w:rsidR="00C97BE6" w:rsidRPr="009B03B5">
          <w:rPr>
            <w:rStyle w:val="Hyperlink"/>
          </w:rPr>
          <w:t>Emissions from Tokelau</w:t>
        </w:r>
        <w:r w:rsidR="00C97BE6">
          <w:rPr>
            <w:webHidden/>
          </w:rPr>
          <w:tab/>
        </w:r>
        <w:r w:rsidR="00C97BE6">
          <w:rPr>
            <w:webHidden/>
          </w:rPr>
          <w:fldChar w:fldCharType="begin"/>
        </w:r>
        <w:r w:rsidR="00C97BE6">
          <w:rPr>
            <w:webHidden/>
          </w:rPr>
          <w:instrText xml:space="preserve"> PAGEREF _Toc5269441 \h </w:instrText>
        </w:r>
        <w:r w:rsidR="00C97BE6">
          <w:rPr>
            <w:webHidden/>
          </w:rPr>
        </w:r>
        <w:r w:rsidR="00C97BE6">
          <w:rPr>
            <w:webHidden/>
          </w:rPr>
          <w:fldChar w:fldCharType="separate"/>
        </w:r>
        <w:r w:rsidR="00D0418C">
          <w:rPr>
            <w:webHidden/>
          </w:rPr>
          <w:t>57</w:t>
        </w:r>
        <w:r w:rsidR="00C97BE6">
          <w:rPr>
            <w:webHidden/>
          </w:rPr>
          <w:fldChar w:fldCharType="end"/>
        </w:r>
      </w:hyperlink>
    </w:p>
    <w:p w14:paraId="03AB2816" w14:textId="77777777" w:rsidR="00C97BE6" w:rsidRPr="002D354C" w:rsidRDefault="00590491">
      <w:pPr>
        <w:pStyle w:val="TableofFigures"/>
        <w:rPr>
          <w:rFonts w:ascii="Calibri" w:hAnsi="Calibri"/>
          <w:sz w:val="22"/>
          <w:szCs w:val="22"/>
          <w:lang w:eastAsia="en-NZ"/>
        </w:rPr>
      </w:pPr>
      <w:hyperlink w:anchor="_Toc5269442" w:history="1">
        <w:r w:rsidR="00C97BE6" w:rsidRPr="009B03B5">
          <w:rPr>
            <w:rStyle w:val="Hyperlink"/>
          </w:rPr>
          <w:t xml:space="preserve">Table 2.2.1 </w:t>
        </w:r>
        <w:r w:rsidR="00C97BE6" w:rsidRPr="002D354C">
          <w:rPr>
            <w:rFonts w:ascii="Calibri" w:hAnsi="Calibri"/>
            <w:sz w:val="22"/>
            <w:szCs w:val="22"/>
            <w:lang w:eastAsia="en-NZ"/>
          </w:rPr>
          <w:tab/>
        </w:r>
        <w:r w:rsidR="00C97BE6" w:rsidRPr="009B03B5">
          <w:rPr>
            <w:rStyle w:val="Hyperlink"/>
          </w:rPr>
          <w:t>New Zealand’s emissions by sector between 1990 and 2017</w:t>
        </w:r>
        <w:r w:rsidR="00C97BE6">
          <w:rPr>
            <w:webHidden/>
          </w:rPr>
          <w:tab/>
        </w:r>
        <w:r w:rsidR="00C97BE6">
          <w:rPr>
            <w:webHidden/>
          </w:rPr>
          <w:fldChar w:fldCharType="begin"/>
        </w:r>
        <w:r w:rsidR="00C97BE6">
          <w:rPr>
            <w:webHidden/>
          </w:rPr>
          <w:instrText xml:space="preserve"> PAGEREF _Toc5269442 \h </w:instrText>
        </w:r>
        <w:r w:rsidR="00C97BE6">
          <w:rPr>
            <w:webHidden/>
          </w:rPr>
        </w:r>
        <w:r w:rsidR="00C97BE6">
          <w:rPr>
            <w:webHidden/>
          </w:rPr>
          <w:fldChar w:fldCharType="separate"/>
        </w:r>
        <w:r w:rsidR="00D0418C">
          <w:rPr>
            <w:webHidden/>
          </w:rPr>
          <w:t>60</w:t>
        </w:r>
        <w:r w:rsidR="00C97BE6">
          <w:rPr>
            <w:webHidden/>
          </w:rPr>
          <w:fldChar w:fldCharType="end"/>
        </w:r>
      </w:hyperlink>
    </w:p>
    <w:p w14:paraId="582D97A7" w14:textId="77777777" w:rsidR="00C97BE6" w:rsidRPr="002D354C" w:rsidRDefault="00590491">
      <w:pPr>
        <w:pStyle w:val="TableofFigures"/>
        <w:rPr>
          <w:rFonts w:ascii="Calibri" w:hAnsi="Calibri"/>
          <w:sz w:val="22"/>
          <w:szCs w:val="22"/>
          <w:lang w:eastAsia="en-NZ"/>
        </w:rPr>
      </w:pPr>
      <w:hyperlink w:anchor="_Toc5269443" w:history="1">
        <w:r w:rsidR="00C97BE6" w:rsidRPr="009B03B5">
          <w:rPr>
            <w:rStyle w:val="Hyperlink"/>
          </w:rPr>
          <w:t>Table 2.3.1</w:t>
        </w:r>
        <w:r w:rsidR="00C97BE6" w:rsidRPr="002D354C">
          <w:rPr>
            <w:rFonts w:ascii="Calibri" w:hAnsi="Calibri"/>
            <w:sz w:val="22"/>
            <w:szCs w:val="22"/>
            <w:lang w:eastAsia="en-NZ"/>
          </w:rPr>
          <w:tab/>
        </w:r>
        <w:r w:rsidR="00C97BE6" w:rsidRPr="009B03B5">
          <w:rPr>
            <w:rStyle w:val="Hyperlink"/>
          </w:rPr>
          <w:t>New Zealand’s net emissions and removals from land subject to activities under Article 3.3 and Forest management under Article 3.4 of the Kyoto Protocol</w:t>
        </w:r>
        <w:r w:rsidR="00C97BE6">
          <w:rPr>
            <w:webHidden/>
          </w:rPr>
          <w:tab/>
        </w:r>
        <w:r w:rsidR="00C97BE6">
          <w:rPr>
            <w:webHidden/>
          </w:rPr>
          <w:fldChar w:fldCharType="begin"/>
        </w:r>
        <w:r w:rsidR="00C97BE6">
          <w:rPr>
            <w:webHidden/>
          </w:rPr>
          <w:instrText xml:space="preserve"> PAGEREF _Toc5269443 \h </w:instrText>
        </w:r>
        <w:r w:rsidR="00C97BE6">
          <w:rPr>
            <w:webHidden/>
          </w:rPr>
        </w:r>
        <w:r w:rsidR="00C97BE6">
          <w:rPr>
            <w:webHidden/>
          </w:rPr>
          <w:fldChar w:fldCharType="separate"/>
        </w:r>
        <w:r w:rsidR="00D0418C">
          <w:rPr>
            <w:webHidden/>
          </w:rPr>
          <w:t>69</w:t>
        </w:r>
        <w:r w:rsidR="00C97BE6">
          <w:rPr>
            <w:webHidden/>
          </w:rPr>
          <w:fldChar w:fldCharType="end"/>
        </w:r>
      </w:hyperlink>
    </w:p>
    <w:p w14:paraId="681FBC54" w14:textId="77777777" w:rsidR="00C97BE6" w:rsidRPr="002D354C" w:rsidRDefault="00590491">
      <w:pPr>
        <w:pStyle w:val="TableofFigures"/>
        <w:rPr>
          <w:rFonts w:ascii="Calibri" w:hAnsi="Calibri"/>
          <w:sz w:val="22"/>
          <w:szCs w:val="22"/>
          <w:lang w:eastAsia="en-NZ"/>
        </w:rPr>
      </w:pPr>
      <w:hyperlink w:anchor="_Toc5269444" w:history="1">
        <w:r w:rsidR="00C97BE6" w:rsidRPr="009B03B5">
          <w:rPr>
            <w:rStyle w:val="Hyperlink"/>
          </w:rPr>
          <w:t xml:space="preserve">Table 3.1.1 </w:t>
        </w:r>
        <w:r w:rsidR="00C97BE6" w:rsidRPr="002D354C">
          <w:rPr>
            <w:rFonts w:ascii="Calibri" w:hAnsi="Calibri"/>
            <w:sz w:val="22"/>
            <w:szCs w:val="22"/>
            <w:lang w:eastAsia="en-NZ"/>
          </w:rPr>
          <w:tab/>
        </w:r>
        <w:r w:rsidR="00C97BE6" w:rsidRPr="009B03B5">
          <w:rPr>
            <w:rStyle w:val="Hyperlink"/>
          </w:rPr>
          <w:t>Key categories in the Energy sector</w:t>
        </w:r>
        <w:r w:rsidR="00C97BE6">
          <w:rPr>
            <w:webHidden/>
          </w:rPr>
          <w:tab/>
        </w:r>
        <w:r w:rsidR="00C97BE6">
          <w:rPr>
            <w:webHidden/>
          </w:rPr>
          <w:fldChar w:fldCharType="begin"/>
        </w:r>
        <w:r w:rsidR="00C97BE6">
          <w:rPr>
            <w:webHidden/>
          </w:rPr>
          <w:instrText xml:space="preserve"> PAGEREF _Toc5269444 \h </w:instrText>
        </w:r>
        <w:r w:rsidR="00C97BE6">
          <w:rPr>
            <w:webHidden/>
          </w:rPr>
        </w:r>
        <w:r w:rsidR="00C97BE6">
          <w:rPr>
            <w:webHidden/>
          </w:rPr>
          <w:fldChar w:fldCharType="separate"/>
        </w:r>
        <w:r w:rsidR="00D0418C">
          <w:rPr>
            <w:webHidden/>
          </w:rPr>
          <w:t>74</w:t>
        </w:r>
        <w:r w:rsidR="00C97BE6">
          <w:rPr>
            <w:webHidden/>
          </w:rPr>
          <w:fldChar w:fldCharType="end"/>
        </w:r>
      </w:hyperlink>
    </w:p>
    <w:p w14:paraId="2488DA7A" w14:textId="77777777" w:rsidR="00C97BE6" w:rsidRPr="002D354C" w:rsidRDefault="00590491">
      <w:pPr>
        <w:pStyle w:val="TableofFigures"/>
        <w:rPr>
          <w:rFonts w:ascii="Calibri" w:hAnsi="Calibri"/>
          <w:sz w:val="22"/>
          <w:szCs w:val="22"/>
          <w:lang w:eastAsia="en-NZ"/>
        </w:rPr>
      </w:pPr>
      <w:hyperlink w:anchor="_Toc5269445" w:history="1">
        <w:r w:rsidR="00C97BE6" w:rsidRPr="009B03B5">
          <w:rPr>
            <w:rStyle w:val="Hyperlink"/>
          </w:rPr>
          <w:t xml:space="preserve">Table 3.2.1 </w:t>
        </w:r>
        <w:r w:rsidR="00C97BE6" w:rsidRPr="002D354C">
          <w:rPr>
            <w:rFonts w:ascii="Calibri" w:hAnsi="Calibri"/>
            <w:sz w:val="22"/>
            <w:szCs w:val="22"/>
            <w:lang w:eastAsia="en-NZ"/>
          </w:rPr>
          <w:tab/>
        </w:r>
        <w:r w:rsidR="00C97BE6" w:rsidRPr="009B03B5">
          <w:rPr>
            <w:rStyle w:val="Hyperlink"/>
          </w:rPr>
          <w:t>Use of natural gas as a feedstock in New Zealand</w:t>
        </w:r>
        <w:r w:rsidR="00C97BE6">
          <w:rPr>
            <w:webHidden/>
          </w:rPr>
          <w:tab/>
        </w:r>
        <w:r w:rsidR="00C97BE6">
          <w:rPr>
            <w:webHidden/>
          </w:rPr>
          <w:fldChar w:fldCharType="begin"/>
        </w:r>
        <w:r w:rsidR="00C97BE6">
          <w:rPr>
            <w:webHidden/>
          </w:rPr>
          <w:instrText xml:space="preserve"> PAGEREF _Toc5269445 \h </w:instrText>
        </w:r>
        <w:r w:rsidR="00C97BE6">
          <w:rPr>
            <w:webHidden/>
          </w:rPr>
        </w:r>
        <w:r w:rsidR="00C97BE6">
          <w:rPr>
            <w:webHidden/>
          </w:rPr>
          <w:fldChar w:fldCharType="separate"/>
        </w:r>
        <w:r w:rsidR="00D0418C">
          <w:rPr>
            <w:webHidden/>
          </w:rPr>
          <w:t>76</w:t>
        </w:r>
        <w:r w:rsidR="00C97BE6">
          <w:rPr>
            <w:webHidden/>
          </w:rPr>
          <w:fldChar w:fldCharType="end"/>
        </w:r>
      </w:hyperlink>
    </w:p>
    <w:p w14:paraId="31324CBE" w14:textId="77777777" w:rsidR="00C97BE6" w:rsidRPr="002D354C" w:rsidRDefault="00590491">
      <w:pPr>
        <w:pStyle w:val="TableofFigures"/>
        <w:rPr>
          <w:rFonts w:ascii="Calibri" w:hAnsi="Calibri"/>
          <w:sz w:val="22"/>
          <w:szCs w:val="22"/>
          <w:lang w:eastAsia="en-NZ"/>
        </w:rPr>
      </w:pPr>
      <w:hyperlink w:anchor="_Toc5269446" w:history="1">
        <w:r w:rsidR="00C97BE6" w:rsidRPr="009B03B5">
          <w:rPr>
            <w:rStyle w:val="Hyperlink"/>
          </w:rPr>
          <w:t>Table 3.3.1</w:t>
        </w:r>
        <w:r w:rsidR="00C97BE6" w:rsidRPr="002D354C">
          <w:rPr>
            <w:rFonts w:ascii="Calibri" w:hAnsi="Calibri"/>
            <w:sz w:val="22"/>
            <w:szCs w:val="22"/>
            <w:lang w:eastAsia="en-NZ"/>
          </w:rPr>
          <w:tab/>
        </w:r>
        <w:r w:rsidR="00C97BE6" w:rsidRPr="009B03B5">
          <w:rPr>
            <w:rStyle w:val="Hyperlink"/>
          </w:rPr>
          <w:t>Uncertainty for New Zealand’s Energy sector emission estimates</w:t>
        </w:r>
        <w:r w:rsidR="00C97BE6">
          <w:rPr>
            <w:webHidden/>
          </w:rPr>
          <w:tab/>
        </w:r>
        <w:r w:rsidR="00C97BE6">
          <w:rPr>
            <w:webHidden/>
          </w:rPr>
          <w:fldChar w:fldCharType="begin"/>
        </w:r>
        <w:r w:rsidR="00C97BE6">
          <w:rPr>
            <w:webHidden/>
          </w:rPr>
          <w:instrText xml:space="preserve"> PAGEREF _Toc5269446 \h </w:instrText>
        </w:r>
        <w:r w:rsidR="00C97BE6">
          <w:rPr>
            <w:webHidden/>
          </w:rPr>
        </w:r>
        <w:r w:rsidR="00C97BE6">
          <w:rPr>
            <w:webHidden/>
          </w:rPr>
          <w:fldChar w:fldCharType="separate"/>
        </w:r>
        <w:r w:rsidR="00D0418C">
          <w:rPr>
            <w:webHidden/>
          </w:rPr>
          <w:t>86</w:t>
        </w:r>
        <w:r w:rsidR="00C97BE6">
          <w:rPr>
            <w:webHidden/>
          </w:rPr>
          <w:fldChar w:fldCharType="end"/>
        </w:r>
      </w:hyperlink>
    </w:p>
    <w:p w14:paraId="71B6E75E" w14:textId="77777777" w:rsidR="00C97BE6" w:rsidRPr="002D354C" w:rsidRDefault="00590491">
      <w:pPr>
        <w:pStyle w:val="TableofFigures"/>
        <w:rPr>
          <w:rFonts w:ascii="Calibri" w:hAnsi="Calibri"/>
          <w:sz w:val="22"/>
          <w:szCs w:val="22"/>
          <w:lang w:eastAsia="en-NZ"/>
        </w:rPr>
      </w:pPr>
      <w:hyperlink w:anchor="_Toc5269447" w:history="1">
        <w:r w:rsidR="00C97BE6" w:rsidRPr="009B03B5">
          <w:rPr>
            <w:rStyle w:val="Hyperlink"/>
          </w:rPr>
          <w:t>Table 3.3.2</w:t>
        </w:r>
        <w:r w:rsidR="00C97BE6" w:rsidRPr="002D354C">
          <w:rPr>
            <w:rFonts w:ascii="Calibri" w:hAnsi="Calibri"/>
            <w:sz w:val="22"/>
            <w:szCs w:val="22"/>
            <w:lang w:eastAsia="en-NZ"/>
          </w:rPr>
          <w:tab/>
        </w:r>
        <w:r w:rsidR="00C97BE6" w:rsidRPr="009B03B5">
          <w:rPr>
            <w:rStyle w:val="Hyperlink"/>
          </w:rPr>
          <w:t>Key categories for 1.A.1 Energy industries</w:t>
        </w:r>
        <w:r w:rsidR="00C97BE6">
          <w:rPr>
            <w:webHidden/>
          </w:rPr>
          <w:tab/>
        </w:r>
        <w:r w:rsidR="00C97BE6">
          <w:rPr>
            <w:webHidden/>
          </w:rPr>
          <w:fldChar w:fldCharType="begin"/>
        </w:r>
        <w:r w:rsidR="00C97BE6">
          <w:rPr>
            <w:webHidden/>
          </w:rPr>
          <w:instrText xml:space="preserve"> PAGEREF _Toc5269447 \h </w:instrText>
        </w:r>
        <w:r w:rsidR="00C97BE6">
          <w:rPr>
            <w:webHidden/>
          </w:rPr>
        </w:r>
        <w:r w:rsidR="00C97BE6">
          <w:rPr>
            <w:webHidden/>
          </w:rPr>
          <w:fldChar w:fldCharType="separate"/>
        </w:r>
        <w:r w:rsidR="00D0418C">
          <w:rPr>
            <w:webHidden/>
          </w:rPr>
          <w:t>87</w:t>
        </w:r>
        <w:r w:rsidR="00C97BE6">
          <w:rPr>
            <w:webHidden/>
          </w:rPr>
          <w:fldChar w:fldCharType="end"/>
        </w:r>
      </w:hyperlink>
    </w:p>
    <w:p w14:paraId="10D6F2E5" w14:textId="77777777" w:rsidR="00C97BE6" w:rsidRPr="002D354C" w:rsidRDefault="00590491">
      <w:pPr>
        <w:pStyle w:val="TableofFigures"/>
        <w:rPr>
          <w:rFonts w:ascii="Calibri" w:hAnsi="Calibri"/>
          <w:sz w:val="22"/>
          <w:szCs w:val="22"/>
          <w:lang w:eastAsia="en-NZ"/>
        </w:rPr>
      </w:pPr>
      <w:hyperlink w:anchor="_Toc5269448" w:history="1">
        <w:r w:rsidR="00C97BE6" w:rsidRPr="009B03B5">
          <w:rPr>
            <w:rStyle w:val="Hyperlink"/>
          </w:rPr>
          <w:t>Table 3.3.3</w:t>
        </w:r>
        <w:r w:rsidR="00C97BE6" w:rsidRPr="002D354C">
          <w:rPr>
            <w:rFonts w:ascii="Calibri" w:hAnsi="Calibri"/>
            <w:sz w:val="22"/>
            <w:szCs w:val="22"/>
            <w:lang w:eastAsia="en-NZ"/>
          </w:rPr>
          <w:tab/>
        </w:r>
        <w:r w:rsidR="00C97BE6" w:rsidRPr="009B03B5">
          <w:rPr>
            <w:rStyle w:val="Hyperlink"/>
          </w:rPr>
          <w:t>Key categories for 1.A.2 Manufacturing industries and construction</w:t>
        </w:r>
        <w:r w:rsidR="00C97BE6">
          <w:rPr>
            <w:webHidden/>
          </w:rPr>
          <w:tab/>
        </w:r>
        <w:r w:rsidR="00C97BE6">
          <w:rPr>
            <w:webHidden/>
          </w:rPr>
          <w:fldChar w:fldCharType="begin"/>
        </w:r>
        <w:r w:rsidR="00C97BE6">
          <w:rPr>
            <w:webHidden/>
          </w:rPr>
          <w:instrText xml:space="preserve"> PAGEREF _Toc5269448 \h </w:instrText>
        </w:r>
        <w:r w:rsidR="00C97BE6">
          <w:rPr>
            <w:webHidden/>
          </w:rPr>
        </w:r>
        <w:r w:rsidR="00C97BE6">
          <w:rPr>
            <w:webHidden/>
          </w:rPr>
          <w:fldChar w:fldCharType="separate"/>
        </w:r>
        <w:r w:rsidR="00D0418C">
          <w:rPr>
            <w:webHidden/>
          </w:rPr>
          <w:t>91</w:t>
        </w:r>
        <w:r w:rsidR="00C97BE6">
          <w:rPr>
            <w:webHidden/>
          </w:rPr>
          <w:fldChar w:fldCharType="end"/>
        </w:r>
      </w:hyperlink>
    </w:p>
    <w:p w14:paraId="2130E47B" w14:textId="77777777" w:rsidR="00C97BE6" w:rsidRPr="002D354C" w:rsidRDefault="00590491">
      <w:pPr>
        <w:pStyle w:val="TableofFigures"/>
        <w:rPr>
          <w:rFonts w:ascii="Calibri" w:hAnsi="Calibri"/>
          <w:sz w:val="22"/>
          <w:szCs w:val="22"/>
          <w:lang w:eastAsia="en-NZ"/>
        </w:rPr>
      </w:pPr>
      <w:hyperlink w:anchor="_Toc5269449" w:history="1">
        <w:r w:rsidR="00C97BE6" w:rsidRPr="009B03B5">
          <w:rPr>
            <w:rStyle w:val="Hyperlink"/>
          </w:rPr>
          <w:t xml:space="preserve">Table 3.3.4 </w:t>
        </w:r>
        <w:r w:rsidR="00C97BE6" w:rsidRPr="002D354C">
          <w:rPr>
            <w:rFonts w:ascii="Calibri" w:hAnsi="Calibri"/>
            <w:sz w:val="22"/>
            <w:szCs w:val="22"/>
            <w:lang w:eastAsia="en-NZ"/>
          </w:rPr>
          <w:tab/>
        </w:r>
        <w:r w:rsidR="00C97BE6" w:rsidRPr="009B03B5">
          <w:rPr>
            <w:rStyle w:val="Hyperlink"/>
          </w:rPr>
          <w:t>Solid biomass splits for 2006 that were used to disaggregate the Manufacturing industries and construction category between 1990 and 2017</w:t>
        </w:r>
        <w:r w:rsidR="00C97BE6">
          <w:rPr>
            <w:webHidden/>
          </w:rPr>
          <w:tab/>
        </w:r>
        <w:r w:rsidR="00C97BE6">
          <w:rPr>
            <w:webHidden/>
          </w:rPr>
          <w:fldChar w:fldCharType="begin"/>
        </w:r>
        <w:r w:rsidR="00C97BE6">
          <w:rPr>
            <w:webHidden/>
          </w:rPr>
          <w:instrText xml:space="preserve"> PAGEREF _Toc5269449 \h </w:instrText>
        </w:r>
        <w:r w:rsidR="00C97BE6">
          <w:rPr>
            <w:webHidden/>
          </w:rPr>
        </w:r>
        <w:r w:rsidR="00C97BE6">
          <w:rPr>
            <w:webHidden/>
          </w:rPr>
          <w:fldChar w:fldCharType="separate"/>
        </w:r>
        <w:r w:rsidR="00D0418C">
          <w:rPr>
            <w:webHidden/>
          </w:rPr>
          <w:t>92</w:t>
        </w:r>
        <w:r w:rsidR="00C97BE6">
          <w:rPr>
            <w:webHidden/>
          </w:rPr>
          <w:fldChar w:fldCharType="end"/>
        </w:r>
      </w:hyperlink>
    </w:p>
    <w:p w14:paraId="6BB9F961" w14:textId="77777777" w:rsidR="00C97BE6" w:rsidRPr="002D354C" w:rsidRDefault="00590491">
      <w:pPr>
        <w:pStyle w:val="TableofFigures"/>
        <w:rPr>
          <w:rFonts w:ascii="Calibri" w:hAnsi="Calibri"/>
          <w:sz w:val="22"/>
          <w:szCs w:val="22"/>
          <w:lang w:eastAsia="en-NZ"/>
        </w:rPr>
      </w:pPr>
      <w:hyperlink w:anchor="_Toc5269450" w:history="1">
        <w:r w:rsidR="00C97BE6" w:rsidRPr="009B03B5">
          <w:rPr>
            <w:rStyle w:val="Hyperlink"/>
          </w:rPr>
          <w:t>Table 3.3.5</w:t>
        </w:r>
        <w:r w:rsidR="00C97BE6" w:rsidRPr="002D354C">
          <w:rPr>
            <w:rFonts w:ascii="Calibri" w:hAnsi="Calibri"/>
            <w:sz w:val="22"/>
            <w:szCs w:val="22"/>
            <w:lang w:eastAsia="en-NZ"/>
          </w:rPr>
          <w:tab/>
        </w:r>
        <w:r w:rsidR="00C97BE6" w:rsidRPr="009B03B5">
          <w:rPr>
            <w:rStyle w:val="Hyperlink"/>
          </w:rPr>
          <w:t>Key categories for 1.A.3 Transport</w:t>
        </w:r>
        <w:r w:rsidR="00C97BE6">
          <w:rPr>
            <w:webHidden/>
          </w:rPr>
          <w:tab/>
        </w:r>
        <w:r w:rsidR="00C97BE6">
          <w:rPr>
            <w:webHidden/>
          </w:rPr>
          <w:fldChar w:fldCharType="begin"/>
        </w:r>
        <w:r w:rsidR="00C97BE6">
          <w:rPr>
            <w:webHidden/>
          </w:rPr>
          <w:instrText xml:space="preserve"> PAGEREF _Toc5269450 \h </w:instrText>
        </w:r>
        <w:r w:rsidR="00C97BE6">
          <w:rPr>
            <w:webHidden/>
          </w:rPr>
        </w:r>
        <w:r w:rsidR="00C97BE6">
          <w:rPr>
            <w:webHidden/>
          </w:rPr>
          <w:fldChar w:fldCharType="separate"/>
        </w:r>
        <w:r w:rsidR="00D0418C">
          <w:rPr>
            <w:webHidden/>
          </w:rPr>
          <w:t>96</w:t>
        </w:r>
        <w:r w:rsidR="00C97BE6">
          <w:rPr>
            <w:webHidden/>
          </w:rPr>
          <w:fldChar w:fldCharType="end"/>
        </w:r>
      </w:hyperlink>
    </w:p>
    <w:p w14:paraId="58A0EF01" w14:textId="509C37B0" w:rsidR="00C97BE6" w:rsidRPr="002D354C" w:rsidRDefault="00590491">
      <w:pPr>
        <w:pStyle w:val="TableofFigures"/>
        <w:rPr>
          <w:rFonts w:ascii="Calibri" w:hAnsi="Calibri"/>
          <w:sz w:val="22"/>
          <w:szCs w:val="22"/>
          <w:lang w:eastAsia="en-NZ"/>
        </w:rPr>
      </w:pPr>
      <w:hyperlink w:anchor="_Toc5269451" w:history="1">
        <w:r w:rsidR="00C97BE6" w:rsidRPr="009B03B5">
          <w:rPr>
            <w:rStyle w:val="Hyperlink"/>
          </w:rPr>
          <w:t>Table 3.3.6</w:t>
        </w:r>
        <w:r w:rsidR="00C97BE6" w:rsidRPr="002D354C">
          <w:rPr>
            <w:rFonts w:ascii="Calibri" w:hAnsi="Calibri"/>
            <w:sz w:val="22"/>
            <w:szCs w:val="22"/>
            <w:lang w:eastAsia="en-NZ"/>
          </w:rPr>
          <w:tab/>
        </w:r>
        <w:r w:rsidR="00C97BE6" w:rsidRPr="009B03B5">
          <w:rPr>
            <w:rStyle w:val="Hyperlink"/>
          </w:rPr>
          <w:t>Key categories for 1.A.4</w:t>
        </w:r>
        <w:r w:rsidR="007F7F59">
          <w:rPr>
            <w:rStyle w:val="Hyperlink"/>
          </w:rPr>
          <w:t xml:space="preserve"> </w:t>
        </w:r>
        <w:r w:rsidR="00C97BE6" w:rsidRPr="009B03B5">
          <w:rPr>
            <w:rStyle w:val="Hyperlink"/>
            <w:lang w:eastAsia="en-GB"/>
          </w:rPr>
          <w:t>Other sectors</w:t>
        </w:r>
        <w:r w:rsidR="00C97BE6">
          <w:rPr>
            <w:webHidden/>
          </w:rPr>
          <w:tab/>
        </w:r>
        <w:r w:rsidR="00C97BE6">
          <w:rPr>
            <w:webHidden/>
          </w:rPr>
          <w:fldChar w:fldCharType="begin"/>
        </w:r>
        <w:r w:rsidR="00C97BE6">
          <w:rPr>
            <w:webHidden/>
          </w:rPr>
          <w:instrText xml:space="preserve"> PAGEREF _Toc5269451 \h </w:instrText>
        </w:r>
        <w:r w:rsidR="00C97BE6">
          <w:rPr>
            <w:webHidden/>
          </w:rPr>
        </w:r>
        <w:r w:rsidR="00C97BE6">
          <w:rPr>
            <w:webHidden/>
          </w:rPr>
          <w:fldChar w:fldCharType="separate"/>
        </w:r>
        <w:r w:rsidR="00D0418C">
          <w:rPr>
            <w:webHidden/>
          </w:rPr>
          <w:t>103</w:t>
        </w:r>
        <w:r w:rsidR="00C97BE6">
          <w:rPr>
            <w:webHidden/>
          </w:rPr>
          <w:fldChar w:fldCharType="end"/>
        </w:r>
      </w:hyperlink>
    </w:p>
    <w:p w14:paraId="30FDE171" w14:textId="77777777" w:rsidR="00C97BE6" w:rsidRPr="002D354C" w:rsidRDefault="00590491">
      <w:pPr>
        <w:pStyle w:val="TableofFigures"/>
        <w:rPr>
          <w:rFonts w:ascii="Calibri" w:hAnsi="Calibri"/>
          <w:sz w:val="22"/>
          <w:szCs w:val="22"/>
          <w:lang w:eastAsia="en-NZ"/>
        </w:rPr>
      </w:pPr>
      <w:hyperlink w:anchor="_Toc5269452" w:history="1">
        <w:r w:rsidR="00C97BE6" w:rsidRPr="009B03B5">
          <w:rPr>
            <w:rStyle w:val="Hyperlink"/>
          </w:rPr>
          <w:t xml:space="preserve">Table 3.3.7 </w:t>
        </w:r>
        <w:r w:rsidR="00C97BE6" w:rsidRPr="002D354C">
          <w:rPr>
            <w:rFonts w:ascii="Calibri" w:hAnsi="Calibri"/>
            <w:sz w:val="22"/>
            <w:szCs w:val="22"/>
            <w:lang w:eastAsia="en-NZ"/>
          </w:rPr>
          <w:tab/>
        </w:r>
        <w:r w:rsidR="00C97BE6" w:rsidRPr="009B03B5">
          <w:rPr>
            <w:rStyle w:val="Hyperlink"/>
          </w:rPr>
          <w:t>Split of fuel oil activity for ‘other primary industry’</w:t>
        </w:r>
        <w:r w:rsidR="00C97BE6">
          <w:rPr>
            <w:webHidden/>
          </w:rPr>
          <w:tab/>
        </w:r>
        <w:r w:rsidR="00C97BE6">
          <w:rPr>
            <w:webHidden/>
          </w:rPr>
          <w:fldChar w:fldCharType="begin"/>
        </w:r>
        <w:r w:rsidR="00C97BE6">
          <w:rPr>
            <w:webHidden/>
          </w:rPr>
          <w:instrText xml:space="preserve"> PAGEREF _Toc5269452 \h </w:instrText>
        </w:r>
        <w:r w:rsidR="00C97BE6">
          <w:rPr>
            <w:webHidden/>
          </w:rPr>
        </w:r>
        <w:r w:rsidR="00C97BE6">
          <w:rPr>
            <w:webHidden/>
          </w:rPr>
          <w:fldChar w:fldCharType="separate"/>
        </w:r>
        <w:r w:rsidR="00D0418C">
          <w:rPr>
            <w:webHidden/>
          </w:rPr>
          <w:t>104</w:t>
        </w:r>
        <w:r w:rsidR="00C97BE6">
          <w:rPr>
            <w:webHidden/>
          </w:rPr>
          <w:fldChar w:fldCharType="end"/>
        </w:r>
      </w:hyperlink>
    </w:p>
    <w:p w14:paraId="16BE6AFE" w14:textId="77777777" w:rsidR="00C97BE6" w:rsidRPr="002D354C" w:rsidRDefault="00590491">
      <w:pPr>
        <w:pStyle w:val="TableofFigures"/>
        <w:rPr>
          <w:rFonts w:ascii="Calibri" w:hAnsi="Calibri"/>
          <w:sz w:val="22"/>
          <w:szCs w:val="22"/>
          <w:lang w:eastAsia="en-NZ"/>
        </w:rPr>
      </w:pPr>
      <w:hyperlink w:anchor="_Toc5269453" w:history="1">
        <w:r w:rsidR="00C97BE6" w:rsidRPr="009B03B5">
          <w:rPr>
            <w:rStyle w:val="Hyperlink"/>
          </w:rPr>
          <w:t>Table 3.4.1</w:t>
        </w:r>
        <w:r w:rsidR="00C97BE6" w:rsidRPr="002D354C">
          <w:rPr>
            <w:rFonts w:ascii="Calibri" w:hAnsi="Calibri"/>
            <w:sz w:val="22"/>
            <w:szCs w:val="22"/>
            <w:lang w:eastAsia="en-NZ"/>
          </w:rPr>
          <w:tab/>
        </w:r>
        <w:r w:rsidR="00C97BE6" w:rsidRPr="009B03B5">
          <w:rPr>
            <w:rStyle w:val="Hyperlink"/>
          </w:rPr>
          <w:t>Key categories for 1.B.1 Fugitive emissions</w:t>
        </w:r>
        <w:r w:rsidR="00C97BE6">
          <w:rPr>
            <w:webHidden/>
          </w:rPr>
          <w:tab/>
        </w:r>
        <w:r w:rsidR="00C97BE6">
          <w:rPr>
            <w:webHidden/>
          </w:rPr>
          <w:fldChar w:fldCharType="begin"/>
        </w:r>
        <w:r w:rsidR="00C97BE6">
          <w:rPr>
            <w:webHidden/>
          </w:rPr>
          <w:instrText xml:space="preserve"> PAGEREF _Toc5269453 \h </w:instrText>
        </w:r>
        <w:r w:rsidR="00C97BE6">
          <w:rPr>
            <w:webHidden/>
          </w:rPr>
        </w:r>
        <w:r w:rsidR="00C97BE6">
          <w:rPr>
            <w:webHidden/>
          </w:rPr>
          <w:fldChar w:fldCharType="separate"/>
        </w:r>
        <w:r w:rsidR="00D0418C">
          <w:rPr>
            <w:webHidden/>
          </w:rPr>
          <w:t>105</w:t>
        </w:r>
        <w:r w:rsidR="00C97BE6">
          <w:rPr>
            <w:webHidden/>
          </w:rPr>
          <w:fldChar w:fldCharType="end"/>
        </w:r>
      </w:hyperlink>
    </w:p>
    <w:p w14:paraId="221B5BEE" w14:textId="77777777" w:rsidR="00C97BE6" w:rsidRPr="002D354C" w:rsidRDefault="00590491">
      <w:pPr>
        <w:pStyle w:val="TableofFigures"/>
        <w:rPr>
          <w:rFonts w:ascii="Calibri" w:hAnsi="Calibri"/>
          <w:sz w:val="22"/>
          <w:szCs w:val="22"/>
          <w:lang w:eastAsia="en-NZ"/>
        </w:rPr>
      </w:pPr>
      <w:hyperlink w:anchor="_Toc5269454" w:history="1">
        <w:r w:rsidR="00C97BE6" w:rsidRPr="009B03B5">
          <w:rPr>
            <w:rStyle w:val="Hyperlink"/>
          </w:rPr>
          <w:t xml:space="preserve">Table 3.4.2 </w:t>
        </w:r>
        <w:r w:rsidR="00C97BE6" w:rsidRPr="002D354C">
          <w:rPr>
            <w:rFonts w:ascii="Calibri" w:hAnsi="Calibri"/>
            <w:sz w:val="22"/>
            <w:szCs w:val="22"/>
            <w:lang w:eastAsia="en-NZ"/>
          </w:rPr>
          <w:tab/>
        </w:r>
        <w:r w:rsidR="00C97BE6" w:rsidRPr="009B03B5">
          <w:rPr>
            <w:rStyle w:val="Hyperlink"/>
          </w:rPr>
          <w:t>Details of abandoned underground mines in the North Island</w:t>
        </w:r>
        <w:r w:rsidR="00C97BE6">
          <w:rPr>
            <w:webHidden/>
          </w:rPr>
          <w:tab/>
        </w:r>
        <w:r w:rsidR="00C97BE6">
          <w:rPr>
            <w:webHidden/>
          </w:rPr>
          <w:fldChar w:fldCharType="begin"/>
        </w:r>
        <w:r w:rsidR="00C97BE6">
          <w:rPr>
            <w:webHidden/>
          </w:rPr>
          <w:instrText xml:space="preserve"> PAGEREF _Toc5269454 \h </w:instrText>
        </w:r>
        <w:r w:rsidR="00C97BE6">
          <w:rPr>
            <w:webHidden/>
          </w:rPr>
        </w:r>
        <w:r w:rsidR="00C97BE6">
          <w:rPr>
            <w:webHidden/>
          </w:rPr>
          <w:fldChar w:fldCharType="separate"/>
        </w:r>
        <w:r w:rsidR="00D0418C">
          <w:rPr>
            <w:webHidden/>
          </w:rPr>
          <w:t>107</w:t>
        </w:r>
        <w:r w:rsidR="00C97BE6">
          <w:rPr>
            <w:webHidden/>
          </w:rPr>
          <w:fldChar w:fldCharType="end"/>
        </w:r>
      </w:hyperlink>
    </w:p>
    <w:p w14:paraId="0EA28225" w14:textId="77777777" w:rsidR="00C97BE6" w:rsidRPr="002D354C" w:rsidRDefault="00590491">
      <w:pPr>
        <w:pStyle w:val="TableofFigures"/>
        <w:rPr>
          <w:rFonts w:ascii="Calibri" w:hAnsi="Calibri"/>
          <w:sz w:val="22"/>
          <w:szCs w:val="22"/>
          <w:lang w:eastAsia="en-NZ"/>
        </w:rPr>
      </w:pPr>
      <w:hyperlink w:anchor="_Toc5269455" w:history="1">
        <w:r w:rsidR="00C97BE6" w:rsidRPr="009B03B5">
          <w:rPr>
            <w:rStyle w:val="Hyperlink"/>
          </w:rPr>
          <w:t xml:space="preserve">Table 4.1.1 </w:t>
        </w:r>
        <w:r w:rsidR="00C97BE6" w:rsidRPr="002D354C">
          <w:rPr>
            <w:rFonts w:ascii="Calibri" w:hAnsi="Calibri"/>
            <w:sz w:val="22"/>
            <w:szCs w:val="22"/>
            <w:lang w:eastAsia="en-NZ"/>
          </w:rPr>
          <w:tab/>
        </w:r>
        <w:r w:rsidR="00C97BE6" w:rsidRPr="009B03B5">
          <w:rPr>
            <w:rStyle w:val="Hyperlink"/>
          </w:rPr>
          <w:t>New Zealand’s greenhouse gas emissions for the IPPU sector by source category in 1990 and 2017</w:t>
        </w:r>
        <w:r w:rsidR="00C97BE6">
          <w:rPr>
            <w:webHidden/>
          </w:rPr>
          <w:tab/>
        </w:r>
        <w:r w:rsidR="00C97BE6">
          <w:rPr>
            <w:webHidden/>
          </w:rPr>
          <w:fldChar w:fldCharType="begin"/>
        </w:r>
        <w:r w:rsidR="00C97BE6">
          <w:rPr>
            <w:webHidden/>
          </w:rPr>
          <w:instrText xml:space="preserve"> PAGEREF _Toc5269455 \h </w:instrText>
        </w:r>
        <w:r w:rsidR="00C97BE6">
          <w:rPr>
            <w:webHidden/>
          </w:rPr>
        </w:r>
        <w:r w:rsidR="00C97BE6">
          <w:rPr>
            <w:webHidden/>
          </w:rPr>
          <w:fldChar w:fldCharType="separate"/>
        </w:r>
        <w:r w:rsidR="00D0418C">
          <w:rPr>
            <w:webHidden/>
          </w:rPr>
          <w:t>116</w:t>
        </w:r>
        <w:r w:rsidR="00C97BE6">
          <w:rPr>
            <w:webHidden/>
          </w:rPr>
          <w:fldChar w:fldCharType="end"/>
        </w:r>
      </w:hyperlink>
    </w:p>
    <w:p w14:paraId="0B678043" w14:textId="77777777" w:rsidR="00C97BE6" w:rsidRPr="002D354C" w:rsidRDefault="00590491">
      <w:pPr>
        <w:pStyle w:val="TableofFigures"/>
        <w:rPr>
          <w:rFonts w:ascii="Calibri" w:hAnsi="Calibri"/>
          <w:sz w:val="22"/>
          <w:szCs w:val="22"/>
          <w:lang w:eastAsia="en-NZ"/>
        </w:rPr>
      </w:pPr>
      <w:hyperlink w:anchor="_Toc5269456" w:history="1">
        <w:r w:rsidR="00C97BE6" w:rsidRPr="009B03B5">
          <w:rPr>
            <w:rStyle w:val="Hyperlink"/>
          </w:rPr>
          <w:t xml:space="preserve">Table 4.1.2 </w:t>
        </w:r>
        <w:r w:rsidR="00C97BE6" w:rsidRPr="002D354C">
          <w:rPr>
            <w:rFonts w:ascii="Calibri" w:hAnsi="Calibri"/>
            <w:sz w:val="22"/>
            <w:szCs w:val="22"/>
            <w:lang w:eastAsia="en-NZ"/>
          </w:rPr>
          <w:tab/>
        </w:r>
        <w:r w:rsidR="00C97BE6" w:rsidRPr="009B03B5">
          <w:rPr>
            <w:rStyle w:val="Hyperlink"/>
          </w:rPr>
          <w:t>Key categories in the IPPU sector</w:t>
        </w:r>
        <w:r w:rsidR="00C97BE6">
          <w:rPr>
            <w:webHidden/>
          </w:rPr>
          <w:tab/>
        </w:r>
        <w:r w:rsidR="00C97BE6">
          <w:rPr>
            <w:webHidden/>
          </w:rPr>
          <w:fldChar w:fldCharType="begin"/>
        </w:r>
        <w:r w:rsidR="00C97BE6">
          <w:rPr>
            <w:webHidden/>
          </w:rPr>
          <w:instrText xml:space="preserve"> PAGEREF _Toc5269456 \h </w:instrText>
        </w:r>
        <w:r w:rsidR="00C97BE6">
          <w:rPr>
            <w:webHidden/>
          </w:rPr>
        </w:r>
        <w:r w:rsidR="00C97BE6">
          <w:rPr>
            <w:webHidden/>
          </w:rPr>
          <w:fldChar w:fldCharType="separate"/>
        </w:r>
        <w:r w:rsidR="00D0418C">
          <w:rPr>
            <w:webHidden/>
          </w:rPr>
          <w:t>117</w:t>
        </w:r>
        <w:r w:rsidR="00C97BE6">
          <w:rPr>
            <w:webHidden/>
          </w:rPr>
          <w:fldChar w:fldCharType="end"/>
        </w:r>
      </w:hyperlink>
    </w:p>
    <w:p w14:paraId="1CB0545F" w14:textId="77777777" w:rsidR="00C97BE6" w:rsidRPr="002D354C" w:rsidRDefault="00590491">
      <w:pPr>
        <w:pStyle w:val="TableofFigures"/>
        <w:rPr>
          <w:rFonts w:ascii="Calibri" w:hAnsi="Calibri"/>
          <w:sz w:val="22"/>
          <w:szCs w:val="22"/>
          <w:lang w:eastAsia="en-NZ"/>
        </w:rPr>
      </w:pPr>
      <w:hyperlink w:anchor="_Toc5269457" w:history="1">
        <w:r w:rsidR="00C97BE6" w:rsidRPr="009B03B5">
          <w:rPr>
            <w:rStyle w:val="Hyperlink"/>
          </w:rPr>
          <w:t>Table 4.2.1</w:t>
        </w:r>
        <w:r w:rsidR="00C97BE6" w:rsidRPr="002D354C">
          <w:rPr>
            <w:rFonts w:ascii="Calibri" w:hAnsi="Calibri"/>
            <w:sz w:val="22"/>
            <w:szCs w:val="22"/>
            <w:lang w:eastAsia="en-NZ"/>
          </w:rPr>
          <w:tab/>
        </w:r>
        <w:r w:rsidR="00C97BE6" w:rsidRPr="009B03B5">
          <w:rPr>
            <w:rStyle w:val="Hyperlink"/>
          </w:rPr>
          <w:t>Uncertainty in emissions from mineral products</w:t>
        </w:r>
        <w:r w:rsidR="00C97BE6">
          <w:rPr>
            <w:webHidden/>
          </w:rPr>
          <w:tab/>
        </w:r>
        <w:r w:rsidR="00C97BE6">
          <w:rPr>
            <w:webHidden/>
          </w:rPr>
          <w:fldChar w:fldCharType="begin"/>
        </w:r>
        <w:r w:rsidR="00C97BE6">
          <w:rPr>
            <w:webHidden/>
          </w:rPr>
          <w:instrText xml:space="preserve"> PAGEREF _Toc5269457 \h </w:instrText>
        </w:r>
        <w:r w:rsidR="00C97BE6">
          <w:rPr>
            <w:webHidden/>
          </w:rPr>
        </w:r>
        <w:r w:rsidR="00C97BE6">
          <w:rPr>
            <w:webHidden/>
          </w:rPr>
          <w:fldChar w:fldCharType="separate"/>
        </w:r>
        <w:r w:rsidR="00D0418C">
          <w:rPr>
            <w:webHidden/>
          </w:rPr>
          <w:t>124</w:t>
        </w:r>
        <w:r w:rsidR="00C97BE6">
          <w:rPr>
            <w:webHidden/>
          </w:rPr>
          <w:fldChar w:fldCharType="end"/>
        </w:r>
      </w:hyperlink>
    </w:p>
    <w:p w14:paraId="33A185AC" w14:textId="77777777" w:rsidR="00C97BE6" w:rsidRPr="002D354C" w:rsidRDefault="00590491">
      <w:pPr>
        <w:pStyle w:val="TableofFigures"/>
        <w:rPr>
          <w:rFonts w:ascii="Calibri" w:hAnsi="Calibri"/>
          <w:sz w:val="22"/>
          <w:szCs w:val="22"/>
          <w:lang w:eastAsia="en-NZ"/>
        </w:rPr>
      </w:pPr>
      <w:hyperlink w:anchor="_Toc5269458" w:history="1">
        <w:r w:rsidR="00C97BE6" w:rsidRPr="009B03B5">
          <w:rPr>
            <w:rStyle w:val="Hyperlink"/>
          </w:rPr>
          <w:t>Table 4.3.1</w:t>
        </w:r>
        <w:r w:rsidR="00C97BE6" w:rsidRPr="002D354C">
          <w:rPr>
            <w:rFonts w:ascii="Calibri" w:hAnsi="Calibri"/>
            <w:sz w:val="22"/>
            <w:szCs w:val="22"/>
            <w:lang w:eastAsia="en-NZ"/>
          </w:rPr>
          <w:tab/>
        </w:r>
        <w:r w:rsidR="00C97BE6" w:rsidRPr="009B03B5">
          <w:rPr>
            <w:rStyle w:val="Hyperlink"/>
          </w:rPr>
          <w:t>Country-specific emission factors for indirect emissions</w:t>
        </w:r>
        <w:r w:rsidR="00C97BE6">
          <w:rPr>
            <w:webHidden/>
          </w:rPr>
          <w:tab/>
        </w:r>
        <w:r w:rsidR="00C97BE6">
          <w:rPr>
            <w:webHidden/>
          </w:rPr>
          <w:fldChar w:fldCharType="begin"/>
        </w:r>
        <w:r w:rsidR="00C97BE6">
          <w:rPr>
            <w:webHidden/>
          </w:rPr>
          <w:instrText xml:space="preserve"> PAGEREF _Toc5269458 \h </w:instrText>
        </w:r>
        <w:r w:rsidR="00C97BE6">
          <w:rPr>
            <w:webHidden/>
          </w:rPr>
        </w:r>
        <w:r w:rsidR="00C97BE6">
          <w:rPr>
            <w:webHidden/>
          </w:rPr>
          <w:fldChar w:fldCharType="separate"/>
        </w:r>
        <w:r w:rsidR="00D0418C">
          <w:rPr>
            <w:webHidden/>
          </w:rPr>
          <w:t>127</w:t>
        </w:r>
        <w:r w:rsidR="00C97BE6">
          <w:rPr>
            <w:webHidden/>
          </w:rPr>
          <w:fldChar w:fldCharType="end"/>
        </w:r>
      </w:hyperlink>
    </w:p>
    <w:p w14:paraId="5691E40F" w14:textId="77777777" w:rsidR="00C97BE6" w:rsidRPr="002D354C" w:rsidRDefault="00590491">
      <w:pPr>
        <w:pStyle w:val="TableofFigures"/>
        <w:rPr>
          <w:rFonts w:ascii="Calibri" w:hAnsi="Calibri"/>
          <w:sz w:val="22"/>
          <w:szCs w:val="22"/>
          <w:lang w:eastAsia="en-NZ"/>
        </w:rPr>
      </w:pPr>
      <w:hyperlink w:anchor="_Toc5269459" w:history="1">
        <w:r w:rsidR="00C97BE6" w:rsidRPr="009B03B5">
          <w:rPr>
            <w:rStyle w:val="Hyperlink"/>
          </w:rPr>
          <w:t>Table 4.3.2</w:t>
        </w:r>
        <w:r w:rsidR="00C97BE6" w:rsidRPr="002D354C">
          <w:rPr>
            <w:rFonts w:ascii="Calibri" w:hAnsi="Calibri"/>
            <w:sz w:val="22"/>
            <w:szCs w:val="22"/>
            <w:lang w:eastAsia="en-NZ"/>
          </w:rPr>
          <w:tab/>
        </w:r>
        <w:r w:rsidR="00C97BE6" w:rsidRPr="009B03B5">
          <w:rPr>
            <w:rStyle w:val="Hyperlink"/>
          </w:rPr>
          <w:t xml:space="preserve">Uncertainty in emissions from the </w:t>
        </w:r>
        <w:r w:rsidR="00C97BE6" w:rsidRPr="009B03B5">
          <w:rPr>
            <w:rStyle w:val="Hyperlink"/>
            <w:i/>
          </w:rPr>
          <w:t>Chemical industry</w:t>
        </w:r>
        <w:r w:rsidR="00C97BE6" w:rsidRPr="009B03B5">
          <w:rPr>
            <w:rStyle w:val="Hyperlink"/>
          </w:rPr>
          <w:t xml:space="preserve"> source category</w:t>
        </w:r>
        <w:r w:rsidR="00C97BE6">
          <w:rPr>
            <w:webHidden/>
          </w:rPr>
          <w:tab/>
        </w:r>
        <w:r w:rsidR="00C97BE6">
          <w:rPr>
            <w:webHidden/>
          </w:rPr>
          <w:fldChar w:fldCharType="begin"/>
        </w:r>
        <w:r w:rsidR="00C97BE6">
          <w:rPr>
            <w:webHidden/>
          </w:rPr>
          <w:instrText xml:space="preserve"> PAGEREF _Toc5269459 \h </w:instrText>
        </w:r>
        <w:r w:rsidR="00C97BE6">
          <w:rPr>
            <w:webHidden/>
          </w:rPr>
        </w:r>
        <w:r w:rsidR="00C97BE6">
          <w:rPr>
            <w:webHidden/>
          </w:rPr>
          <w:fldChar w:fldCharType="separate"/>
        </w:r>
        <w:r w:rsidR="00D0418C">
          <w:rPr>
            <w:webHidden/>
          </w:rPr>
          <w:t>128</w:t>
        </w:r>
        <w:r w:rsidR="00C97BE6">
          <w:rPr>
            <w:webHidden/>
          </w:rPr>
          <w:fldChar w:fldCharType="end"/>
        </w:r>
      </w:hyperlink>
    </w:p>
    <w:p w14:paraId="35E705B7" w14:textId="77777777" w:rsidR="00C97BE6" w:rsidRPr="002D354C" w:rsidRDefault="00590491">
      <w:pPr>
        <w:pStyle w:val="TableofFigures"/>
        <w:rPr>
          <w:rFonts w:ascii="Calibri" w:hAnsi="Calibri"/>
          <w:sz w:val="22"/>
          <w:szCs w:val="22"/>
          <w:lang w:eastAsia="en-NZ"/>
        </w:rPr>
      </w:pPr>
      <w:hyperlink w:anchor="_Toc5269460" w:history="1">
        <w:r w:rsidR="00C97BE6" w:rsidRPr="009B03B5">
          <w:rPr>
            <w:rStyle w:val="Hyperlink"/>
          </w:rPr>
          <w:t>Table 4.4.1</w:t>
        </w:r>
        <w:r w:rsidR="00C97BE6" w:rsidRPr="002D354C">
          <w:rPr>
            <w:rFonts w:ascii="Calibri" w:hAnsi="Calibri"/>
            <w:sz w:val="22"/>
            <w:szCs w:val="22"/>
            <w:lang w:eastAsia="en-NZ"/>
          </w:rPr>
          <w:tab/>
        </w:r>
        <w:r w:rsidR="00C97BE6" w:rsidRPr="009B03B5">
          <w:rPr>
            <w:rStyle w:val="Hyperlink"/>
          </w:rPr>
          <w:t>Typical analysis from New Zealand Steel Limited of the primary concentrate (provided by New Zealand Steel Limited)</w:t>
        </w:r>
        <w:r w:rsidR="00C97BE6">
          <w:rPr>
            <w:webHidden/>
          </w:rPr>
          <w:tab/>
        </w:r>
        <w:r w:rsidR="00C97BE6">
          <w:rPr>
            <w:webHidden/>
          </w:rPr>
          <w:fldChar w:fldCharType="begin"/>
        </w:r>
        <w:r w:rsidR="00C97BE6">
          <w:rPr>
            <w:webHidden/>
          </w:rPr>
          <w:instrText xml:space="preserve"> PAGEREF _Toc5269460 \h </w:instrText>
        </w:r>
        <w:r w:rsidR="00C97BE6">
          <w:rPr>
            <w:webHidden/>
          </w:rPr>
        </w:r>
        <w:r w:rsidR="00C97BE6">
          <w:rPr>
            <w:webHidden/>
          </w:rPr>
          <w:fldChar w:fldCharType="separate"/>
        </w:r>
        <w:r w:rsidR="00D0418C">
          <w:rPr>
            <w:webHidden/>
          </w:rPr>
          <w:t>130</w:t>
        </w:r>
        <w:r w:rsidR="00C97BE6">
          <w:rPr>
            <w:webHidden/>
          </w:rPr>
          <w:fldChar w:fldCharType="end"/>
        </w:r>
      </w:hyperlink>
    </w:p>
    <w:p w14:paraId="7AD31764" w14:textId="77777777" w:rsidR="00C97BE6" w:rsidRPr="002D354C" w:rsidRDefault="00590491">
      <w:pPr>
        <w:pStyle w:val="TableofFigures"/>
        <w:rPr>
          <w:rFonts w:ascii="Calibri" w:hAnsi="Calibri"/>
          <w:sz w:val="22"/>
          <w:szCs w:val="22"/>
          <w:lang w:eastAsia="en-NZ"/>
        </w:rPr>
      </w:pPr>
      <w:hyperlink w:anchor="_Toc5269461" w:history="1">
        <w:r w:rsidR="00C97BE6" w:rsidRPr="009B03B5">
          <w:rPr>
            <w:rStyle w:val="Hyperlink"/>
          </w:rPr>
          <w:t>Table 4.4.2</w:t>
        </w:r>
        <w:r w:rsidR="00C97BE6" w:rsidRPr="002D354C">
          <w:rPr>
            <w:rFonts w:ascii="Calibri" w:hAnsi="Calibri"/>
            <w:sz w:val="22"/>
            <w:szCs w:val="22"/>
            <w:lang w:eastAsia="en-NZ"/>
          </w:rPr>
          <w:tab/>
        </w:r>
        <w:r w:rsidR="00C97BE6" w:rsidRPr="009B03B5">
          <w:rPr>
            <w:rStyle w:val="Hyperlink"/>
          </w:rPr>
          <w:t>Uncertainty in emissions from the metal industry</w:t>
        </w:r>
        <w:r w:rsidR="00C97BE6">
          <w:rPr>
            <w:webHidden/>
          </w:rPr>
          <w:tab/>
        </w:r>
        <w:r w:rsidR="00C97BE6">
          <w:rPr>
            <w:webHidden/>
          </w:rPr>
          <w:fldChar w:fldCharType="begin"/>
        </w:r>
        <w:r w:rsidR="00C97BE6">
          <w:rPr>
            <w:webHidden/>
          </w:rPr>
          <w:instrText xml:space="preserve"> PAGEREF _Toc5269461 \h </w:instrText>
        </w:r>
        <w:r w:rsidR="00C97BE6">
          <w:rPr>
            <w:webHidden/>
          </w:rPr>
        </w:r>
        <w:r w:rsidR="00C97BE6">
          <w:rPr>
            <w:webHidden/>
          </w:rPr>
          <w:fldChar w:fldCharType="separate"/>
        </w:r>
        <w:r w:rsidR="00D0418C">
          <w:rPr>
            <w:webHidden/>
          </w:rPr>
          <w:t>133</w:t>
        </w:r>
        <w:r w:rsidR="00C97BE6">
          <w:rPr>
            <w:webHidden/>
          </w:rPr>
          <w:fldChar w:fldCharType="end"/>
        </w:r>
      </w:hyperlink>
    </w:p>
    <w:p w14:paraId="0F355656" w14:textId="77777777" w:rsidR="00C97BE6" w:rsidRPr="002D354C" w:rsidRDefault="00590491">
      <w:pPr>
        <w:pStyle w:val="TableofFigures"/>
        <w:rPr>
          <w:rFonts w:ascii="Calibri" w:hAnsi="Calibri"/>
          <w:sz w:val="22"/>
          <w:szCs w:val="22"/>
          <w:lang w:eastAsia="en-NZ"/>
        </w:rPr>
      </w:pPr>
      <w:hyperlink w:anchor="_Toc5269462" w:history="1">
        <w:r w:rsidR="00C97BE6" w:rsidRPr="009B03B5">
          <w:rPr>
            <w:rStyle w:val="Hyperlink"/>
          </w:rPr>
          <w:t>Table 4.4.3</w:t>
        </w:r>
        <w:r w:rsidR="00C97BE6" w:rsidRPr="002D354C">
          <w:rPr>
            <w:rFonts w:ascii="Calibri" w:hAnsi="Calibri"/>
            <w:sz w:val="22"/>
            <w:szCs w:val="22"/>
            <w:lang w:eastAsia="en-NZ"/>
          </w:rPr>
          <w:tab/>
        </w:r>
        <w:r w:rsidR="00C97BE6" w:rsidRPr="009B03B5">
          <w:rPr>
            <w:rStyle w:val="Hyperlink"/>
          </w:rPr>
          <w:t>Explanation of variations in New Zealand’s aluminium emissions</w:t>
        </w:r>
        <w:r w:rsidR="00C97BE6">
          <w:rPr>
            <w:webHidden/>
          </w:rPr>
          <w:tab/>
        </w:r>
        <w:r w:rsidR="00C97BE6">
          <w:rPr>
            <w:webHidden/>
          </w:rPr>
          <w:fldChar w:fldCharType="begin"/>
        </w:r>
        <w:r w:rsidR="00C97BE6">
          <w:rPr>
            <w:webHidden/>
          </w:rPr>
          <w:instrText xml:space="preserve"> PAGEREF _Toc5269462 \h </w:instrText>
        </w:r>
        <w:r w:rsidR="00C97BE6">
          <w:rPr>
            <w:webHidden/>
          </w:rPr>
        </w:r>
        <w:r w:rsidR="00C97BE6">
          <w:rPr>
            <w:webHidden/>
          </w:rPr>
          <w:fldChar w:fldCharType="separate"/>
        </w:r>
        <w:r w:rsidR="00D0418C">
          <w:rPr>
            <w:webHidden/>
          </w:rPr>
          <w:t>133</w:t>
        </w:r>
        <w:r w:rsidR="00C97BE6">
          <w:rPr>
            <w:webHidden/>
          </w:rPr>
          <w:fldChar w:fldCharType="end"/>
        </w:r>
      </w:hyperlink>
    </w:p>
    <w:p w14:paraId="0C3DD03A" w14:textId="77777777" w:rsidR="00C97BE6" w:rsidRPr="002D354C" w:rsidRDefault="00590491">
      <w:pPr>
        <w:pStyle w:val="TableofFigures"/>
        <w:rPr>
          <w:rFonts w:ascii="Calibri" w:hAnsi="Calibri"/>
          <w:sz w:val="22"/>
          <w:szCs w:val="22"/>
          <w:lang w:eastAsia="en-NZ"/>
        </w:rPr>
      </w:pPr>
      <w:hyperlink w:anchor="_Toc5269463" w:history="1">
        <w:r w:rsidR="00C97BE6" w:rsidRPr="009B03B5">
          <w:rPr>
            <w:rStyle w:val="Hyperlink"/>
          </w:rPr>
          <w:t xml:space="preserve">Table 4.5.1 </w:t>
        </w:r>
        <w:r w:rsidR="00C97BE6" w:rsidRPr="002D354C">
          <w:rPr>
            <w:rFonts w:ascii="Calibri" w:hAnsi="Calibri"/>
            <w:sz w:val="22"/>
            <w:szCs w:val="22"/>
            <w:lang w:eastAsia="en-NZ"/>
          </w:rPr>
          <w:tab/>
        </w:r>
        <w:r w:rsidR="00C97BE6" w:rsidRPr="009B03B5">
          <w:rPr>
            <w:rStyle w:val="Hyperlink"/>
          </w:rPr>
          <w:t>Calculation of NMVOC emissions from road paving</w:t>
        </w:r>
        <w:r w:rsidR="00C97BE6">
          <w:rPr>
            <w:webHidden/>
          </w:rPr>
          <w:tab/>
        </w:r>
        <w:r w:rsidR="00C97BE6">
          <w:rPr>
            <w:webHidden/>
          </w:rPr>
          <w:fldChar w:fldCharType="begin"/>
        </w:r>
        <w:r w:rsidR="00C97BE6">
          <w:rPr>
            <w:webHidden/>
          </w:rPr>
          <w:instrText xml:space="preserve"> PAGEREF _Toc5269463 \h </w:instrText>
        </w:r>
        <w:r w:rsidR="00C97BE6">
          <w:rPr>
            <w:webHidden/>
          </w:rPr>
        </w:r>
        <w:r w:rsidR="00C97BE6">
          <w:rPr>
            <w:webHidden/>
          </w:rPr>
          <w:fldChar w:fldCharType="separate"/>
        </w:r>
        <w:r w:rsidR="00D0418C">
          <w:rPr>
            <w:webHidden/>
          </w:rPr>
          <w:t>136</w:t>
        </w:r>
        <w:r w:rsidR="00C97BE6">
          <w:rPr>
            <w:webHidden/>
          </w:rPr>
          <w:fldChar w:fldCharType="end"/>
        </w:r>
      </w:hyperlink>
    </w:p>
    <w:p w14:paraId="3A69F047" w14:textId="77777777" w:rsidR="00C97BE6" w:rsidRPr="002D354C" w:rsidRDefault="00590491">
      <w:pPr>
        <w:pStyle w:val="TableofFigures"/>
        <w:rPr>
          <w:rFonts w:ascii="Calibri" w:hAnsi="Calibri"/>
          <w:sz w:val="22"/>
          <w:szCs w:val="22"/>
          <w:lang w:eastAsia="en-NZ"/>
        </w:rPr>
      </w:pPr>
      <w:hyperlink w:anchor="_Toc5269464" w:history="1">
        <w:r w:rsidR="00C97BE6" w:rsidRPr="009B03B5">
          <w:rPr>
            <w:rStyle w:val="Hyperlink"/>
          </w:rPr>
          <w:t xml:space="preserve">Table 4.5.2 </w:t>
        </w:r>
        <w:r w:rsidR="00C97BE6" w:rsidRPr="002D354C">
          <w:rPr>
            <w:rFonts w:ascii="Calibri" w:hAnsi="Calibri"/>
            <w:sz w:val="22"/>
            <w:szCs w:val="22"/>
            <w:lang w:eastAsia="en-NZ"/>
          </w:rPr>
          <w:tab/>
        </w:r>
        <w:r w:rsidR="00C97BE6" w:rsidRPr="009B03B5">
          <w:rPr>
            <w:rStyle w:val="Hyperlink"/>
          </w:rPr>
          <w:t>Fraction of bitumen in road paving material</w:t>
        </w:r>
        <w:r w:rsidR="00C97BE6">
          <w:rPr>
            <w:webHidden/>
          </w:rPr>
          <w:tab/>
        </w:r>
        <w:r w:rsidR="00C97BE6">
          <w:rPr>
            <w:webHidden/>
          </w:rPr>
          <w:fldChar w:fldCharType="begin"/>
        </w:r>
        <w:r w:rsidR="00C97BE6">
          <w:rPr>
            <w:webHidden/>
          </w:rPr>
          <w:instrText xml:space="preserve"> PAGEREF _Toc5269464 \h </w:instrText>
        </w:r>
        <w:r w:rsidR="00C97BE6">
          <w:rPr>
            <w:webHidden/>
          </w:rPr>
        </w:r>
        <w:r w:rsidR="00C97BE6">
          <w:rPr>
            <w:webHidden/>
          </w:rPr>
          <w:fldChar w:fldCharType="separate"/>
        </w:r>
        <w:r w:rsidR="00D0418C">
          <w:rPr>
            <w:webHidden/>
          </w:rPr>
          <w:t>136</w:t>
        </w:r>
        <w:r w:rsidR="00C97BE6">
          <w:rPr>
            <w:webHidden/>
          </w:rPr>
          <w:fldChar w:fldCharType="end"/>
        </w:r>
      </w:hyperlink>
    </w:p>
    <w:p w14:paraId="0D3397E8" w14:textId="77777777" w:rsidR="00C97BE6" w:rsidRPr="002D354C" w:rsidRDefault="00590491">
      <w:pPr>
        <w:pStyle w:val="TableofFigures"/>
        <w:rPr>
          <w:rFonts w:ascii="Calibri" w:hAnsi="Calibri"/>
          <w:sz w:val="22"/>
          <w:szCs w:val="22"/>
          <w:lang w:eastAsia="en-NZ"/>
        </w:rPr>
      </w:pPr>
      <w:hyperlink w:anchor="_Toc5269465" w:history="1">
        <w:r w:rsidR="00C97BE6" w:rsidRPr="009B03B5">
          <w:rPr>
            <w:rStyle w:val="Hyperlink"/>
          </w:rPr>
          <w:t>Table 4.5.3</w:t>
        </w:r>
        <w:r w:rsidR="00C97BE6" w:rsidRPr="002D354C">
          <w:rPr>
            <w:rFonts w:ascii="Calibri" w:hAnsi="Calibri"/>
            <w:sz w:val="22"/>
            <w:szCs w:val="22"/>
            <w:lang w:eastAsia="en-NZ"/>
          </w:rPr>
          <w:tab/>
        </w:r>
        <w:r w:rsidR="00C97BE6" w:rsidRPr="009B03B5">
          <w:rPr>
            <w:rStyle w:val="Hyperlink"/>
          </w:rPr>
          <w:t>Uncertainty in emissions in non-energy products from fuels and solvent use</w:t>
        </w:r>
        <w:r w:rsidR="00C97BE6">
          <w:rPr>
            <w:webHidden/>
          </w:rPr>
          <w:tab/>
        </w:r>
        <w:r w:rsidR="00C97BE6">
          <w:rPr>
            <w:webHidden/>
          </w:rPr>
          <w:fldChar w:fldCharType="begin"/>
        </w:r>
        <w:r w:rsidR="00C97BE6">
          <w:rPr>
            <w:webHidden/>
          </w:rPr>
          <w:instrText xml:space="preserve"> PAGEREF _Toc5269465 \h </w:instrText>
        </w:r>
        <w:r w:rsidR="00C97BE6">
          <w:rPr>
            <w:webHidden/>
          </w:rPr>
        </w:r>
        <w:r w:rsidR="00C97BE6">
          <w:rPr>
            <w:webHidden/>
          </w:rPr>
          <w:fldChar w:fldCharType="separate"/>
        </w:r>
        <w:r w:rsidR="00D0418C">
          <w:rPr>
            <w:webHidden/>
          </w:rPr>
          <w:t>136</w:t>
        </w:r>
        <w:r w:rsidR="00C97BE6">
          <w:rPr>
            <w:webHidden/>
          </w:rPr>
          <w:fldChar w:fldCharType="end"/>
        </w:r>
      </w:hyperlink>
    </w:p>
    <w:p w14:paraId="0F575708" w14:textId="77777777" w:rsidR="00C97BE6" w:rsidRPr="002D354C" w:rsidRDefault="00590491">
      <w:pPr>
        <w:pStyle w:val="TableofFigures"/>
        <w:rPr>
          <w:rFonts w:ascii="Calibri" w:hAnsi="Calibri"/>
          <w:sz w:val="22"/>
          <w:szCs w:val="22"/>
          <w:lang w:eastAsia="en-NZ"/>
        </w:rPr>
      </w:pPr>
      <w:hyperlink w:anchor="_Toc5269466" w:history="1">
        <w:r w:rsidR="00C97BE6" w:rsidRPr="009B03B5">
          <w:rPr>
            <w:rStyle w:val="Hyperlink"/>
          </w:rPr>
          <w:t>Table 4.7.1</w:t>
        </w:r>
        <w:r w:rsidR="00C97BE6" w:rsidRPr="002D354C">
          <w:rPr>
            <w:rFonts w:ascii="Calibri" w:hAnsi="Calibri"/>
            <w:sz w:val="22"/>
            <w:szCs w:val="22"/>
            <w:lang w:eastAsia="en-NZ"/>
          </w:rPr>
          <w:tab/>
        </w:r>
        <w:r w:rsidR="00C97BE6" w:rsidRPr="009B03B5">
          <w:rPr>
            <w:rStyle w:val="Hyperlink"/>
          </w:rPr>
          <w:t>Average charge of HFC-134a in mobile air conditioners, 2009</w:t>
        </w:r>
        <w:r w:rsidR="00C97BE6">
          <w:rPr>
            <w:webHidden/>
          </w:rPr>
          <w:tab/>
        </w:r>
        <w:r w:rsidR="00C97BE6">
          <w:rPr>
            <w:webHidden/>
          </w:rPr>
          <w:fldChar w:fldCharType="begin"/>
        </w:r>
        <w:r w:rsidR="00C97BE6">
          <w:rPr>
            <w:webHidden/>
          </w:rPr>
          <w:instrText xml:space="preserve"> PAGEREF _Toc5269466 \h </w:instrText>
        </w:r>
        <w:r w:rsidR="00C97BE6">
          <w:rPr>
            <w:webHidden/>
          </w:rPr>
        </w:r>
        <w:r w:rsidR="00C97BE6">
          <w:rPr>
            <w:webHidden/>
          </w:rPr>
          <w:fldChar w:fldCharType="separate"/>
        </w:r>
        <w:r w:rsidR="00D0418C">
          <w:rPr>
            <w:webHidden/>
          </w:rPr>
          <w:t>139</w:t>
        </w:r>
        <w:r w:rsidR="00C97BE6">
          <w:rPr>
            <w:webHidden/>
          </w:rPr>
          <w:fldChar w:fldCharType="end"/>
        </w:r>
      </w:hyperlink>
    </w:p>
    <w:p w14:paraId="24B286C7" w14:textId="77777777" w:rsidR="00C97BE6" w:rsidRPr="002D354C" w:rsidRDefault="00590491">
      <w:pPr>
        <w:pStyle w:val="TableofFigures"/>
        <w:rPr>
          <w:rFonts w:ascii="Calibri" w:hAnsi="Calibri"/>
          <w:sz w:val="22"/>
          <w:szCs w:val="22"/>
          <w:lang w:eastAsia="en-NZ"/>
        </w:rPr>
      </w:pPr>
      <w:hyperlink w:anchor="_Toc5269467" w:history="1">
        <w:r w:rsidR="00C97BE6" w:rsidRPr="009B03B5">
          <w:rPr>
            <w:rStyle w:val="Hyperlink"/>
          </w:rPr>
          <w:t>Table 4.7.2</w:t>
        </w:r>
        <w:r w:rsidR="00C97BE6" w:rsidRPr="002D354C">
          <w:rPr>
            <w:rFonts w:ascii="Calibri" w:hAnsi="Calibri"/>
            <w:sz w:val="22"/>
            <w:szCs w:val="22"/>
            <w:lang w:eastAsia="en-NZ"/>
          </w:rPr>
          <w:tab/>
        </w:r>
        <w:r w:rsidR="00C97BE6" w:rsidRPr="009B03B5">
          <w:rPr>
            <w:rStyle w:val="Hyperlink"/>
          </w:rPr>
          <w:t>Emission factors for mobile air conditioning</w:t>
        </w:r>
        <w:r w:rsidR="00C97BE6">
          <w:rPr>
            <w:webHidden/>
          </w:rPr>
          <w:tab/>
        </w:r>
        <w:r w:rsidR="00C97BE6">
          <w:rPr>
            <w:webHidden/>
          </w:rPr>
          <w:fldChar w:fldCharType="begin"/>
        </w:r>
        <w:r w:rsidR="00C97BE6">
          <w:rPr>
            <w:webHidden/>
          </w:rPr>
          <w:instrText xml:space="preserve"> PAGEREF _Toc5269467 \h </w:instrText>
        </w:r>
        <w:r w:rsidR="00C97BE6">
          <w:rPr>
            <w:webHidden/>
          </w:rPr>
        </w:r>
        <w:r w:rsidR="00C97BE6">
          <w:rPr>
            <w:webHidden/>
          </w:rPr>
          <w:fldChar w:fldCharType="separate"/>
        </w:r>
        <w:r w:rsidR="00D0418C">
          <w:rPr>
            <w:webHidden/>
          </w:rPr>
          <w:t>141</w:t>
        </w:r>
        <w:r w:rsidR="00C97BE6">
          <w:rPr>
            <w:webHidden/>
          </w:rPr>
          <w:fldChar w:fldCharType="end"/>
        </w:r>
      </w:hyperlink>
    </w:p>
    <w:p w14:paraId="6FE954F6" w14:textId="77777777" w:rsidR="00C97BE6" w:rsidRPr="002D354C" w:rsidRDefault="00590491">
      <w:pPr>
        <w:pStyle w:val="TableofFigures"/>
        <w:rPr>
          <w:rFonts w:ascii="Calibri" w:hAnsi="Calibri"/>
          <w:sz w:val="22"/>
          <w:szCs w:val="22"/>
          <w:lang w:eastAsia="en-NZ"/>
        </w:rPr>
      </w:pPr>
      <w:hyperlink w:anchor="_Toc5269468" w:history="1">
        <w:r w:rsidR="00C97BE6" w:rsidRPr="009B03B5">
          <w:rPr>
            <w:rStyle w:val="Hyperlink"/>
          </w:rPr>
          <w:t xml:space="preserve">Table 4.7.3 </w:t>
        </w:r>
        <w:r w:rsidR="00C97BE6" w:rsidRPr="002D354C">
          <w:rPr>
            <w:rFonts w:ascii="Calibri" w:hAnsi="Calibri"/>
            <w:sz w:val="22"/>
            <w:szCs w:val="22"/>
            <w:lang w:eastAsia="en-NZ"/>
          </w:rPr>
          <w:tab/>
        </w:r>
        <w:r w:rsidR="00C97BE6" w:rsidRPr="009B03B5">
          <w:rPr>
            <w:rStyle w:val="Hyperlink"/>
          </w:rPr>
          <w:t>New Zealand’s uncertainties in product uses as substitutes for ODS</w:t>
        </w:r>
        <w:r w:rsidR="00C97BE6">
          <w:rPr>
            <w:webHidden/>
          </w:rPr>
          <w:tab/>
        </w:r>
        <w:r w:rsidR="00C97BE6">
          <w:rPr>
            <w:webHidden/>
          </w:rPr>
          <w:fldChar w:fldCharType="begin"/>
        </w:r>
        <w:r w:rsidR="00C97BE6">
          <w:rPr>
            <w:webHidden/>
          </w:rPr>
          <w:instrText xml:space="preserve"> PAGEREF _Toc5269468 \h </w:instrText>
        </w:r>
        <w:r w:rsidR="00C97BE6">
          <w:rPr>
            <w:webHidden/>
          </w:rPr>
        </w:r>
        <w:r w:rsidR="00C97BE6">
          <w:rPr>
            <w:webHidden/>
          </w:rPr>
          <w:fldChar w:fldCharType="separate"/>
        </w:r>
        <w:r w:rsidR="00D0418C">
          <w:rPr>
            <w:webHidden/>
          </w:rPr>
          <w:t>142</w:t>
        </w:r>
        <w:r w:rsidR="00C97BE6">
          <w:rPr>
            <w:webHidden/>
          </w:rPr>
          <w:fldChar w:fldCharType="end"/>
        </w:r>
      </w:hyperlink>
    </w:p>
    <w:p w14:paraId="656D44F2" w14:textId="77777777" w:rsidR="00C97BE6" w:rsidRPr="002D354C" w:rsidRDefault="00590491">
      <w:pPr>
        <w:pStyle w:val="TableofFigures"/>
        <w:rPr>
          <w:rFonts w:ascii="Calibri" w:hAnsi="Calibri"/>
          <w:sz w:val="22"/>
          <w:szCs w:val="22"/>
          <w:lang w:eastAsia="en-NZ"/>
        </w:rPr>
      </w:pPr>
      <w:hyperlink w:anchor="_Toc5269469" w:history="1">
        <w:r w:rsidR="00C97BE6" w:rsidRPr="009B03B5">
          <w:rPr>
            <w:rStyle w:val="Hyperlink"/>
          </w:rPr>
          <w:t>Table 4.8.1</w:t>
        </w:r>
        <w:r w:rsidR="00C97BE6" w:rsidRPr="002D354C">
          <w:rPr>
            <w:rFonts w:ascii="Calibri" w:hAnsi="Calibri"/>
            <w:sz w:val="22"/>
            <w:szCs w:val="22"/>
            <w:lang w:eastAsia="en-NZ"/>
          </w:rPr>
          <w:tab/>
        </w:r>
        <w:r w:rsidR="00C97BE6" w:rsidRPr="009B03B5">
          <w:rPr>
            <w:rStyle w:val="Hyperlink"/>
          </w:rPr>
          <w:t>Uncertainty in emissions from other product manufacture and use</w:t>
        </w:r>
        <w:r w:rsidR="00C97BE6">
          <w:rPr>
            <w:webHidden/>
          </w:rPr>
          <w:tab/>
        </w:r>
        <w:r w:rsidR="00C97BE6">
          <w:rPr>
            <w:webHidden/>
          </w:rPr>
          <w:fldChar w:fldCharType="begin"/>
        </w:r>
        <w:r w:rsidR="00C97BE6">
          <w:rPr>
            <w:webHidden/>
          </w:rPr>
          <w:instrText xml:space="preserve"> PAGEREF _Toc5269469 \h </w:instrText>
        </w:r>
        <w:r w:rsidR="00C97BE6">
          <w:rPr>
            <w:webHidden/>
          </w:rPr>
        </w:r>
        <w:r w:rsidR="00C97BE6">
          <w:rPr>
            <w:webHidden/>
          </w:rPr>
          <w:fldChar w:fldCharType="separate"/>
        </w:r>
        <w:r w:rsidR="00D0418C">
          <w:rPr>
            <w:webHidden/>
          </w:rPr>
          <w:t>145</w:t>
        </w:r>
        <w:r w:rsidR="00C97BE6">
          <w:rPr>
            <w:webHidden/>
          </w:rPr>
          <w:fldChar w:fldCharType="end"/>
        </w:r>
      </w:hyperlink>
    </w:p>
    <w:p w14:paraId="2BFAE131" w14:textId="77777777" w:rsidR="00C97BE6" w:rsidRPr="002D354C" w:rsidRDefault="00590491">
      <w:pPr>
        <w:pStyle w:val="TableofFigures"/>
        <w:rPr>
          <w:rFonts w:ascii="Calibri" w:hAnsi="Calibri"/>
          <w:sz w:val="22"/>
          <w:szCs w:val="22"/>
          <w:lang w:eastAsia="en-NZ"/>
        </w:rPr>
      </w:pPr>
      <w:hyperlink w:anchor="_Toc5269470" w:history="1">
        <w:r w:rsidR="00C97BE6" w:rsidRPr="009B03B5">
          <w:rPr>
            <w:rStyle w:val="Hyperlink"/>
          </w:rPr>
          <w:t xml:space="preserve">Table 5.1.1 </w:t>
        </w:r>
        <w:r w:rsidR="00C97BE6" w:rsidRPr="002D354C">
          <w:rPr>
            <w:rFonts w:ascii="Calibri" w:hAnsi="Calibri"/>
            <w:sz w:val="22"/>
            <w:szCs w:val="22"/>
            <w:lang w:eastAsia="en-NZ"/>
          </w:rPr>
          <w:tab/>
        </w:r>
        <w:r w:rsidR="00C97BE6" w:rsidRPr="009B03B5">
          <w:rPr>
            <w:rStyle w:val="Hyperlink"/>
          </w:rPr>
          <w:t>Trends and relative contribution of New Zealand’s agricultural greenhouse gas emissions by category between 1990 and 2017</w:t>
        </w:r>
        <w:r w:rsidR="00C97BE6">
          <w:rPr>
            <w:webHidden/>
          </w:rPr>
          <w:tab/>
        </w:r>
        <w:r w:rsidR="00C97BE6">
          <w:rPr>
            <w:webHidden/>
          </w:rPr>
          <w:fldChar w:fldCharType="begin"/>
        </w:r>
        <w:r w:rsidR="00C97BE6">
          <w:rPr>
            <w:webHidden/>
          </w:rPr>
          <w:instrText xml:space="preserve"> PAGEREF _Toc5269470 \h </w:instrText>
        </w:r>
        <w:r w:rsidR="00C97BE6">
          <w:rPr>
            <w:webHidden/>
          </w:rPr>
        </w:r>
        <w:r w:rsidR="00C97BE6">
          <w:rPr>
            <w:webHidden/>
          </w:rPr>
          <w:fldChar w:fldCharType="separate"/>
        </w:r>
        <w:r w:rsidR="00D0418C">
          <w:rPr>
            <w:webHidden/>
          </w:rPr>
          <w:t>149</w:t>
        </w:r>
        <w:r w:rsidR="00C97BE6">
          <w:rPr>
            <w:webHidden/>
          </w:rPr>
          <w:fldChar w:fldCharType="end"/>
        </w:r>
      </w:hyperlink>
    </w:p>
    <w:p w14:paraId="529DD025" w14:textId="77777777" w:rsidR="00C97BE6" w:rsidRPr="002D354C" w:rsidRDefault="00590491">
      <w:pPr>
        <w:pStyle w:val="TableofFigures"/>
        <w:rPr>
          <w:rFonts w:ascii="Calibri" w:hAnsi="Calibri"/>
          <w:sz w:val="22"/>
          <w:szCs w:val="22"/>
          <w:lang w:eastAsia="en-NZ"/>
        </w:rPr>
      </w:pPr>
      <w:hyperlink w:anchor="_Toc5269471" w:history="1">
        <w:r w:rsidR="00C97BE6" w:rsidRPr="009B03B5">
          <w:rPr>
            <w:rStyle w:val="Hyperlink"/>
          </w:rPr>
          <w:t xml:space="preserve">Table 5.1.2 </w:t>
        </w:r>
        <w:r w:rsidR="00C97BE6" w:rsidRPr="002D354C">
          <w:rPr>
            <w:rFonts w:ascii="Calibri" w:hAnsi="Calibri"/>
            <w:sz w:val="22"/>
            <w:szCs w:val="22"/>
            <w:lang w:eastAsia="en-NZ"/>
          </w:rPr>
          <w:tab/>
        </w:r>
        <w:r w:rsidR="00C97BE6" w:rsidRPr="009B03B5">
          <w:rPr>
            <w:rStyle w:val="Hyperlink"/>
          </w:rPr>
          <w:t>Key categories in the Agriculture sector</w:t>
        </w:r>
        <w:r w:rsidR="00C97BE6">
          <w:rPr>
            <w:webHidden/>
          </w:rPr>
          <w:tab/>
        </w:r>
        <w:r w:rsidR="00C97BE6">
          <w:rPr>
            <w:webHidden/>
          </w:rPr>
          <w:fldChar w:fldCharType="begin"/>
        </w:r>
        <w:r w:rsidR="00C97BE6">
          <w:rPr>
            <w:webHidden/>
          </w:rPr>
          <w:instrText xml:space="preserve"> PAGEREF _Toc5269471 \h </w:instrText>
        </w:r>
        <w:r w:rsidR="00C97BE6">
          <w:rPr>
            <w:webHidden/>
          </w:rPr>
        </w:r>
        <w:r w:rsidR="00C97BE6">
          <w:rPr>
            <w:webHidden/>
          </w:rPr>
          <w:fldChar w:fldCharType="separate"/>
        </w:r>
        <w:r w:rsidR="00D0418C">
          <w:rPr>
            <w:webHidden/>
          </w:rPr>
          <w:t>154</w:t>
        </w:r>
        <w:r w:rsidR="00C97BE6">
          <w:rPr>
            <w:webHidden/>
          </w:rPr>
          <w:fldChar w:fldCharType="end"/>
        </w:r>
      </w:hyperlink>
    </w:p>
    <w:p w14:paraId="0B46EFE4" w14:textId="77777777" w:rsidR="00C97BE6" w:rsidRPr="002D354C" w:rsidRDefault="00590491">
      <w:pPr>
        <w:pStyle w:val="TableofFigures"/>
        <w:rPr>
          <w:rFonts w:ascii="Calibri" w:hAnsi="Calibri"/>
          <w:sz w:val="22"/>
          <w:szCs w:val="22"/>
          <w:lang w:eastAsia="en-NZ"/>
        </w:rPr>
      </w:pPr>
      <w:hyperlink w:anchor="_Toc5269472" w:history="1">
        <w:r w:rsidR="00C97BE6" w:rsidRPr="009B03B5">
          <w:rPr>
            <w:rStyle w:val="Hyperlink"/>
          </w:rPr>
          <w:t>Table 5.2.1</w:t>
        </w:r>
        <w:r w:rsidR="00C97BE6" w:rsidRPr="002D354C">
          <w:rPr>
            <w:rFonts w:ascii="Calibri" w:hAnsi="Calibri"/>
            <w:sz w:val="22"/>
            <w:szCs w:val="22"/>
            <w:lang w:eastAsia="en-NZ"/>
          </w:rPr>
          <w:tab/>
        </w:r>
        <w:r w:rsidR="00C97BE6" w:rsidRPr="009B03B5">
          <w:rPr>
            <w:rStyle w:val="Hyperlink"/>
          </w:rPr>
          <w:t>Trends and relative contribution of enteric fermentation from livestock categories between 1990 and 2017</w:t>
        </w:r>
        <w:r w:rsidR="00C97BE6">
          <w:rPr>
            <w:webHidden/>
          </w:rPr>
          <w:tab/>
        </w:r>
        <w:r w:rsidR="00C97BE6">
          <w:rPr>
            <w:webHidden/>
          </w:rPr>
          <w:fldChar w:fldCharType="begin"/>
        </w:r>
        <w:r w:rsidR="00C97BE6">
          <w:rPr>
            <w:webHidden/>
          </w:rPr>
          <w:instrText xml:space="preserve"> PAGEREF _Toc5269472 \h </w:instrText>
        </w:r>
        <w:r w:rsidR="00C97BE6">
          <w:rPr>
            <w:webHidden/>
          </w:rPr>
        </w:r>
        <w:r w:rsidR="00C97BE6">
          <w:rPr>
            <w:webHidden/>
          </w:rPr>
          <w:fldChar w:fldCharType="separate"/>
        </w:r>
        <w:r w:rsidR="00D0418C">
          <w:rPr>
            <w:webHidden/>
          </w:rPr>
          <w:t>170</w:t>
        </w:r>
        <w:r w:rsidR="00C97BE6">
          <w:rPr>
            <w:webHidden/>
          </w:rPr>
          <w:fldChar w:fldCharType="end"/>
        </w:r>
      </w:hyperlink>
    </w:p>
    <w:p w14:paraId="3B6DA624" w14:textId="77777777" w:rsidR="00C97BE6" w:rsidRPr="002D354C" w:rsidRDefault="00590491">
      <w:pPr>
        <w:pStyle w:val="TableofFigures"/>
        <w:rPr>
          <w:rFonts w:ascii="Calibri" w:hAnsi="Calibri"/>
          <w:sz w:val="22"/>
          <w:szCs w:val="22"/>
          <w:lang w:eastAsia="en-NZ"/>
        </w:rPr>
      </w:pPr>
      <w:hyperlink w:anchor="_Toc5269473" w:history="1">
        <w:r w:rsidR="00C97BE6" w:rsidRPr="009B03B5">
          <w:rPr>
            <w:rStyle w:val="Hyperlink"/>
          </w:rPr>
          <w:t>Table 5.2.2</w:t>
        </w:r>
        <w:r w:rsidR="00C97BE6" w:rsidRPr="002D354C">
          <w:rPr>
            <w:rFonts w:ascii="Calibri" w:hAnsi="Calibri"/>
            <w:sz w:val="22"/>
            <w:szCs w:val="22"/>
            <w:lang w:eastAsia="en-NZ"/>
          </w:rPr>
          <w:tab/>
        </w:r>
        <w:r w:rsidR="00C97BE6" w:rsidRPr="009B03B5">
          <w:rPr>
            <w:rStyle w:val="Hyperlink"/>
          </w:rPr>
          <w:t>Methane (CH</w:t>
        </w:r>
        <w:r w:rsidR="00C97BE6" w:rsidRPr="009B03B5">
          <w:rPr>
            <w:rStyle w:val="Hyperlink"/>
            <w:vertAlign w:val="subscript"/>
          </w:rPr>
          <w:t>4</w:t>
        </w:r>
        <w:r w:rsidR="00C97BE6" w:rsidRPr="009B03B5">
          <w:rPr>
            <w:rStyle w:val="Hyperlink"/>
          </w:rPr>
          <w:t>) emissions and gross energy intake (GEI) from New Zealand measurements and IPCC (2006) default values</w:t>
        </w:r>
        <w:r w:rsidR="00C97BE6">
          <w:rPr>
            <w:webHidden/>
          </w:rPr>
          <w:tab/>
        </w:r>
        <w:r w:rsidR="00C97BE6">
          <w:rPr>
            <w:webHidden/>
          </w:rPr>
          <w:fldChar w:fldCharType="begin"/>
        </w:r>
        <w:r w:rsidR="00C97BE6">
          <w:rPr>
            <w:webHidden/>
          </w:rPr>
          <w:instrText xml:space="preserve"> PAGEREF _Toc5269473 \h </w:instrText>
        </w:r>
        <w:r w:rsidR="00C97BE6">
          <w:rPr>
            <w:webHidden/>
          </w:rPr>
        </w:r>
        <w:r w:rsidR="00C97BE6">
          <w:rPr>
            <w:webHidden/>
          </w:rPr>
          <w:fldChar w:fldCharType="separate"/>
        </w:r>
        <w:r w:rsidR="00D0418C">
          <w:rPr>
            <w:webHidden/>
          </w:rPr>
          <w:t>173</w:t>
        </w:r>
        <w:r w:rsidR="00C97BE6">
          <w:rPr>
            <w:webHidden/>
          </w:rPr>
          <w:fldChar w:fldCharType="end"/>
        </w:r>
      </w:hyperlink>
    </w:p>
    <w:p w14:paraId="788B8246" w14:textId="77777777" w:rsidR="00C97BE6" w:rsidRPr="002D354C" w:rsidRDefault="00590491">
      <w:pPr>
        <w:pStyle w:val="TableofFigures"/>
        <w:rPr>
          <w:rFonts w:ascii="Calibri" w:hAnsi="Calibri"/>
          <w:sz w:val="22"/>
          <w:szCs w:val="22"/>
          <w:lang w:eastAsia="en-NZ"/>
        </w:rPr>
      </w:pPr>
      <w:hyperlink w:anchor="_Toc5269474" w:history="1">
        <w:r w:rsidR="00C97BE6" w:rsidRPr="009B03B5">
          <w:rPr>
            <w:rStyle w:val="Hyperlink"/>
          </w:rPr>
          <w:t>Table 5.2.3</w:t>
        </w:r>
        <w:r w:rsidR="00C97BE6" w:rsidRPr="002D354C">
          <w:rPr>
            <w:rFonts w:ascii="Calibri" w:hAnsi="Calibri"/>
            <w:sz w:val="22"/>
            <w:szCs w:val="22"/>
            <w:lang w:eastAsia="en-NZ"/>
          </w:rPr>
          <w:tab/>
        </w:r>
        <w:r w:rsidR="00C97BE6" w:rsidRPr="009B03B5">
          <w:rPr>
            <w:rStyle w:val="Hyperlink"/>
          </w:rPr>
          <w:t>New Zealand’s implied emission factors for enteric fermentation from 1990 to 2017</w:t>
        </w:r>
        <w:r w:rsidR="00C97BE6">
          <w:rPr>
            <w:webHidden/>
          </w:rPr>
          <w:tab/>
        </w:r>
        <w:r w:rsidR="00C97BE6">
          <w:rPr>
            <w:webHidden/>
          </w:rPr>
          <w:fldChar w:fldCharType="begin"/>
        </w:r>
        <w:r w:rsidR="00C97BE6">
          <w:rPr>
            <w:webHidden/>
          </w:rPr>
          <w:instrText xml:space="preserve"> PAGEREF _Toc5269474 \h </w:instrText>
        </w:r>
        <w:r w:rsidR="00C97BE6">
          <w:rPr>
            <w:webHidden/>
          </w:rPr>
        </w:r>
        <w:r w:rsidR="00C97BE6">
          <w:rPr>
            <w:webHidden/>
          </w:rPr>
          <w:fldChar w:fldCharType="separate"/>
        </w:r>
        <w:r w:rsidR="00D0418C">
          <w:rPr>
            <w:webHidden/>
          </w:rPr>
          <w:t>173</w:t>
        </w:r>
        <w:r w:rsidR="00C97BE6">
          <w:rPr>
            <w:webHidden/>
          </w:rPr>
          <w:fldChar w:fldCharType="end"/>
        </w:r>
      </w:hyperlink>
    </w:p>
    <w:p w14:paraId="1B11B769" w14:textId="77777777" w:rsidR="00C97BE6" w:rsidRPr="002D354C" w:rsidRDefault="00590491">
      <w:pPr>
        <w:pStyle w:val="TableofFigures"/>
        <w:rPr>
          <w:rFonts w:ascii="Calibri" w:hAnsi="Calibri"/>
          <w:sz w:val="22"/>
          <w:szCs w:val="22"/>
          <w:lang w:eastAsia="en-NZ"/>
        </w:rPr>
      </w:pPr>
      <w:hyperlink w:anchor="_Toc5269475" w:history="1">
        <w:r w:rsidR="00C97BE6" w:rsidRPr="009B03B5">
          <w:rPr>
            <w:rStyle w:val="Hyperlink"/>
          </w:rPr>
          <w:t>Table 5.2.4</w:t>
        </w:r>
        <w:r w:rsidR="00C97BE6" w:rsidRPr="002D354C">
          <w:rPr>
            <w:rFonts w:ascii="Calibri" w:hAnsi="Calibri"/>
            <w:sz w:val="22"/>
            <w:szCs w:val="22"/>
            <w:lang w:eastAsia="en-NZ"/>
          </w:rPr>
          <w:tab/>
        </w:r>
        <w:r w:rsidR="00C97BE6" w:rsidRPr="009B03B5">
          <w:rPr>
            <w:rStyle w:val="Hyperlink"/>
          </w:rPr>
          <w:t>New Zealand’s uncertainty in the annual estimate of enteric fermentation emissions for 1990 and 2017, estimated using the 95 per cent confidence interval (±16 per cent)</w:t>
        </w:r>
        <w:r w:rsidR="00C97BE6">
          <w:rPr>
            <w:webHidden/>
          </w:rPr>
          <w:tab/>
        </w:r>
        <w:r w:rsidR="00C97BE6">
          <w:rPr>
            <w:webHidden/>
          </w:rPr>
          <w:fldChar w:fldCharType="begin"/>
        </w:r>
        <w:r w:rsidR="00C97BE6">
          <w:rPr>
            <w:webHidden/>
          </w:rPr>
          <w:instrText xml:space="preserve"> PAGEREF _Toc5269475 \h </w:instrText>
        </w:r>
        <w:r w:rsidR="00C97BE6">
          <w:rPr>
            <w:webHidden/>
          </w:rPr>
        </w:r>
        <w:r w:rsidR="00C97BE6">
          <w:rPr>
            <w:webHidden/>
          </w:rPr>
          <w:fldChar w:fldCharType="separate"/>
        </w:r>
        <w:r w:rsidR="00D0418C">
          <w:rPr>
            <w:webHidden/>
          </w:rPr>
          <w:t>176</w:t>
        </w:r>
        <w:r w:rsidR="00C97BE6">
          <w:rPr>
            <w:webHidden/>
          </w:rPr>
          <w:fldChar w:fldCharType="end"/>
        </w:r>
      </w:hyperlink>
    </w:p>
    <w:p w14:paraId="11B5F3EA" w14:textId="77777777" w:rsidR="00C97BE6" w:rsidRPr="002D354C" w:rsidRDefault="00590491">
      <w:pPr>
        <w:pStyle w:val="TableofFigures"/>
        <w:rPr>
          <w:rFonts w:ascii="Calibri" w:hAnsi="Calibri"/>
          <w:sz w:val="22"/>
          <w:szCs w:val="22"/>
          <w:lang w:eastAsia="en-NZ"/>
        </w:rPr>
      </w:pPr>
      <w:hyperlink w:anchor="_Toc5269476" w:history="1">
        <w:r w:rsidR="00C97BE6" w:rsidRPr="009B03B5">
          <w:rPr>
            <w:rStyle w:val="Hyperlink"/>
          </w:rPr>
          <w:t>Table 5.2.5</w:t>
        </w:r>
        <w:r w:rsidR="00C97BE6" w:rsidRPr="002D354C">
          <w:rPr>
            <w:rFonts w:ascii="Calibri" w:hAnsi="Calibri"/>
            <w:sz w:val="22"/>
            <w:szCs w:val="22"/>
            <w:lang w:eastAsia="en-NZ"/>
          </w:rPr>
          <w:tab/>
        </w:r>
        <w:r w:rsidR="00C97BE6" w:rsidRPr="009B03B5">
          <w:rPr>
            <w:rStyle w:val="Hyperlink"/>
          </w:rPr>
          <w:t>Comparison of the IPCC (2006) default emission factor and country-specific implied emission factors (IEFs) for methane (CH</w:t>
        </w:r>
        <w:r w:rsidR="00C97BE6" w:rsidRPr="009B03B5">
          <w:rPr>
            <w:rStyle w:val="Hyperlink"/>
            <w:vertAlign w:val="subscript"/>
          </w:rPr>
          <w:t>4</w:t>
        </w:r>
        <w:r w:rsidR="00C97BE6" w:rsidRPr="009B03B5">
          <w:rPr>
            <w:rStyle w:val="Hyperlink"/>
          </w:rPr>
          <w:t>) from enteric fermentation for dairy cattle, non</w:t>
        </w:r>
        <w:r w:rsidR="00C97BE6" w:rsidRPr="009B03B5">
          <w:rPr>
            <w:rStyle w:val="Hyperlink"/>
          </w:rPr>
          <w:noBreakHyphen/>
          <w:t>dairy cattle and sheep</w:t>
        </w:r>
        <w:r w:rsidR="00C97BE6">
          <w:rPr>
            <w:webHidden/>
          </w:rPr>
          <w:tab/>
        </w:r>
        <w:r w:rsidR="00C97BE6">
          <w:rPr>
            <w:webHidden/>
          </w:rPr>
          <w:fldChar w:fldCharType="begin"/>
        </w:r>
        <w:r w:rsidR="00C97BE6">
          <w:rPr>
            <w:webHidden/>
          </w:rPr>
          <w:instrText xml:space="preserve"> PAGEREF _Toc5269476 \h </w:instrText>
        </w:r>
        <w:r w:rsidR="00C97BE6">
          <w:rPr>
            <w:webHidden/>
          </w:rPr>
        </w:r>
        <w:r w:rsidR="00C97BE6">
          <w:rPr>
            <w:webHidden/>
          </w:rPr>
          <w:fldChar w:fldCharType="separate"/>
        </w:r>
        <w:r w:rsidR="00D0418C">
          <w:rPr>
            <w:webHidden/>
          </w:rPr>
          <w:t>177</w:t>
        </w:r>
        <w:r w:rsidR="00C97BE6">
          <w:rPr>
            <w:webHidden/>
          </w:rPr>
          <w:fldChar w:fldCharType="end"/>
        </w:r>
      </w:hyperlink>
    </w:p>
    <w:p w14:paraId="0C5B1767" w14:textId="03485932" w:rsidR="00C97BE6" w:rsidRPr="002D354C" w:rsidRDefault="00590491">
      <w:pPr>
        <w:pStyle w:val="TableofFigures"/>
        <w:rPr>
          <w:rFonts w:ascii="Calibri" w:hAnsi="Calibri"/>
          <w:sz w:val="22"/>
          <w:szCs w:val="22"/>
          <w:lang w:eastAsia="en-NZ"/>
        </w:rPr>
      </w:pPr>
      <w:hyperlink w:anchor="_Toc5269477" w:history="1">
        <w:r w:rsidR="00C97BE6" w:rsidRPr="009B03B5">
          <w:rPr>
            <w:rStyle w:val="Hyperlink"/>
          </w:rPr>
          <w:t>Table 5.3.1</w:t>
        </w:r>
        <w:r w:rsidR="00C97BE6" w:rsidRPr="002D354C">
          <w:rPr>
            <w:rFonts w:ascii="Calibri" w:hAnsi="Calibri"/>
            <w:sz w:val="22"/>
            <w:szCs w:val="22"/>
            <w:lang w:eastAsia="en-NZ"/>
          </w:rPr>
          <w:tab/>
        </w:r>
        <w:r w:rsidR="00C97BE6" w:rsidRPr="009B03B5">
          <w:rPr>
            <w:rStyle w:val="Hyperlink"/>
          </w:rPr>
          <w:t xml:space="preserve">Trends and relative contribution of methane and nitrous oxide </w:t>
        </w:r>
        <w:r w:rsidR="006C0ECC">
          <w:rPr>
            <w:rStyle w:val="Hyperlink"/>
          </w:rPr>
          <w:t>emissions under the m</w:t>
        </w:r>
        <w:r w:rsidR="00C97BE6" w:rsidRPr="009B03B5">
          <w:rPr>
            <w:rStyle w:val="Hyperlink"/>
          </w:rPr>
          <w:t>anure management category between 1990 and 2017</w:t>
        </w:r>
        <w:r w:rsidR="00C97BE6">
          <w:rPr>
            <w:webHidden/>
          </w:rPr>
          <w:tab/>
        </w:r>
        <w:r w:rsidR="00C97BE6">
          <w:rPr>
            <w:webHidden/>
          </w:rPr>
          <w:fldChar w:fldCharType="begin"/>
        </w:r>
        <w:r w:rsidR="00C97BE6">
          <w:rPr>
            <w:webHidden/>
          </w:rPr>
          <w:instrText xml:space="preserve"> PAGEREF _Toc5269477 \h </w:instrText>
        </w:r>
        <w:r w:rsidR="00C97BE6">
          <w:rPr>
            <w:webHidden/>
          </w:rPr>
        </w:r>
        <w:r w:rsidR="00C97BE6">
          <w:rPr>
            <w:webHidden/>
          </w:rPr>
          <w:fldChar w:fldCharType="separate"/>
        </w:r>
        <w:r w:rsidR="00D0418C">
          <w:rPr>
            <w:webHidden/>
          </w:rPr>
          <w:t>179</w:t>
        </w:r>
        <w:r w:rsidR="00C97BE6">
          <w:rPr>
            <w:webHidden/>
          </w:rPr>
          <w:fldChar w:fldCharType="end"/>
        </w:r>
      </w:hyperlink>
    </w:p>
    <w:p w14:paraId="1D9D7129" w14:textId="77777777" w:rsidR="00C97BE6" w:rsidRPr="002D354C" w:rsidRDefault="00590491">
      <w:pPr>
        <w:pStyle w:val="TableofFigures"/>
        <w:rPr>
          <w:rFonts w:ascii="Calibri" w:hAnsi="Calibri"/>
          <w:sz w:val="22"/>
          <w:szCs w:val="22"/>
          <w:lang w:eastAsia="en-NZ"/>
        </w:rPr>
      </w:pPr>
      <w:hyperlink w:anchor="_Toc5269478" w:history="1">
        <w:r w:rsidR="00C97BE6" w:rsidRPr="009B03B5">
          <w:rPr>
            <w:rStyle w:val="Hyperlink"/>
          </w:rPr>
          <w:t>Table 5.3.2</w:t>
        </w:r>
        <w:r w:rsidR="00C97BE6" w:rsidRPr="002D354C">
          <w:rPr>
            <w:rFonts w:ascii="Calibri" w:hAnsi="Calibri"/>
            <w:sz w:val="22"/>
            <w:szCs w:val="22"/>
            <w:lang w:eastAsia="en-NZ"/>
          </w:rPr>
          <w:tab/>
        </w:r>
        <w:r w:rsidR="00C97BE6" w:rsidRPr="009B03B5">
          <w:rPr>
            <w:rStyle w:val="Hyperlink"/>
          </w:rPr>
          <w:t>Distribution of livestock waste across animal waste management systems in New Zealand</w:t>
        </w:r>
        <w:r w:rsidR="00C97BE6">
          <w:rPr>
            <w:webHidden/>
          </w:rPr>
          <w:tab/>
        </w:r>
        <w:r w:rsidR="00C97BE6">
          <w:rPr>
            <w:webHidden/>
          </w:rPr>
          <w:fldChar w:fldCharType="begin"/>
        </w:r>
        <w:r w:rsidR="00C97BE6">
          <w:rPr>
            <w:webHidden/>
          </w:rPr>
          <w:instrText xml:space="preserve"> PAGEREF _Toc5269478 \h </w:instrText>
        </w:r>
        <w:r w:rsidR="00C97BE6">
          <w:rPr>
            <w:webHidden/>
          </w:rPr>
        </w:r>
        <w:r w:rsidR="00C97BE6">
          <w:rPr>
            <w:webHidden/>
          </w:rPr>
          <w:fldChar w:fldCharType="separate"/>
        </w:r>
        <w:r w:rsidR="00D0418C">
          <w:rPr>
            <w:webHidden/>
          </w:rPr>
          <w:t>180</w:t>
        </w:r>
        <w:r w:rsidR="00C97BE6">
          <w:rPr>
            <w:webHidden/>
          </w:rPr>
          <w:fldChar w:fldCharType="end"/>
        </w:r>
      </w:hyperlink>
    </w:p>
    <w:p w14:paraId="3C0AE1D9" w14:textId="77777777" w:rsidR="00C97BE6" w:rsidRPr="002D354C" w:rsidRDefault="00590491">
      <w:pPr>
        <w:pStyle w:val="TableofFigures"/>
        <w:rPr>
          <w:rFonts w:ascii="Calibri" w:hAnsi="Calibri"/>
          <w:sz w:val="22"/>
          <w:szCs w:val="22"/>
          <w:lang w:eastAsia="en-NZ"/>
        </w:rPr>
      </w:pPr>
      <w:hyperlink w:anchor="_Toc5269479" w:history="1">
        <w:r w:rsidR="00C97BE6" w:rsidRPr="009B03B5">
          <w:rPr>
            <w:rStyle w:val="Hyperlink"/>
          </w:rPr>
          <w:t>Table 5.3.3</w:t>
        </w:r>
        <w:r w:rsidR="00C97BE6" w:rsidRPr="002D354C">
          <w:rPr>
            <w:rFonts w:ascii="Calibri" w:hAnsi="Calibri"/>
            <w:sz w:val="22"/>
            <w:szCs w:val="22"/>
            <w:lang w:eastAsia="en-NZ"/>
          </w:rPr>
          <w:tab/>
        </w:r>
        <w:r w:rsidR="00C97BE6" w:rsidRPr="009B03B5">
          <w:rPr>
            <w:rStyle w:val="Hyperlink"/>
          </w:rPr>
          <w:t>Nitrogen excretion rates (N</w:t>
        </w:r>
        <w:r w:rsidR="00C97BE6" w:rsidRPr="009B03B5">
          <w:rPr>
            <w:rStyle w:val="Hyperlink"/>
            <w:vertAlign w:val="subscript"/>
          </w:rPr>
          <w:t>ex</w:t>
        </w:r>
        <w:r w:rsidR="00C97BE6" w:rsidRPr="009B03B5">
          <w:rPr>
            <w:rStyle w:val="Hyperlink"/>
          </w:rPr>
          <w:t>) for New Zealand’s major livestock categories from 1990 to 2017</w:t>
        </w:r>
        <w:r w:rsidR="00C97BE6">
          <w:rPr>
            <w:webHidden/>
          </w:rPr>
          <w:tab/>
        </w:r>
        <w:r w:rsidR="00C97BE6">
          <w:rPr>
            <w:webHidden/>
          </w:rPr>
          <w:fldChar w:fldCharType="begin"/>
        </w:r>
        <w:r w:rsidR="00C97BE6">
          <w:rPr>
            <w:webHidden/>
          </w:rPr>
          <w:instrText xml:space="preserve"> PAGEREF _Toc5269479 \h </w:instrText>
        </w:r>
        <w:r w:rsidR="00C97BE6">
          <w:rPr>
            <w:webHidden/>
          </w:rPr>
        </w:r>
        <w:r w:rsidR="00C97BE6">
          <w:rPr>
            <w:webHidden/>
          </w:rPr>
          <w:fldChar w:fldCharType="separate"/>
        </w:r>
        <w:r w:rsidR="00D0418C">
          <w:rPr>
            <w:webHidden/>
          </w:rPr>
          <w:t>183</w:t>
        </w:r>
        <w:r w:rsidR="00C97BE6">
          <w:rPr>
            <w:webHidden/>
          </w:rPr>
          <w:fldChar w:fldCharType="end"/>
        </w:r>
      </w:hyperlink>
    </w:p>
    <w:p w14:paraId="08872544" w14:textId="77777777" w:rsidR="00C97BE6" w:rsidRPr="002D354C" w:rsidRDefault="00590491">
      <w:pPr>
        <w:pStyle w:val="TableofFigures"/>
        <w:rPr>
          <w:rFonts w:ascii="Calibri" w:hAnsi="Calibri"/>
          <w:sz w:val="22"/>
          <w:szCs w:val="22"/>
          <w:lang w:eastAsia="en-NZ"/>
        </w:rPr>
      </w:pPr>
      <w:hyperlink w:anchor="_Toc5269480" w:history="1">
        <w:r w:rsidR="00C97BE6" w:rsidRPr="009B03B5">
          <w:rPr>
            <w:rStyle w:val="Hyperlink"/>
          </w:rPr>
          <w:t>Table 5.3.4</w:t>
        </w:r>
        <w:r w:rsidR="00C97BE6" w:rsidRPr="002D354C">
          <w:rPr>
            <w:rFonts w:ascii="Calibri" w:hAnsi="Calibri"/>
            <w:sz w:val="22"/>
            <w:szCs w:val="22"/>
            <w:lang w:eastAsia="en-NZ"/>
          </w:rPr>
          <w:tab/>
        </w:r>
        <w:r w:rsidR="00C97BE6" w:rsidRPr="009B03B5">
          <w:rPr>
            <w:rStyle w:val="Hyperlink"/>
          </w:rPr>
          <w:t>Nitrogen excretion (N</w:t>
        </w:r>
        <w:r w:rsidR="00C97BE6" w:rsidRPr="009B03B5">
          <w:rPr>
            <w:rStyle w:val="Hyperlink"/>
            <w:vertAlign w:val="subscript"/>
          </w:rPr>
          <w:t>ex</w:t>
        </w:r>
        <w:r w:rsidR="00C97BE6" w:rsidRPr="009B03B5">
          <w:rPr>
            <w:rStyle w:val="Hyperlink"/>
          </w:rPr>
          <w:t>) rates for New Zealand’s swine and goats from 1990 to 2017</w:t>
        </w:r>
        <w:r w:rsidR="00C97BE6">
          <w:rPr>
            <w:webHidden/>
          </w:rPr>
          <w:tab/>
        </w:r>
        <w:r w:rsidR="00C97BE6">
          <w:rPr>
            <w:webHidden/>
          </w:rPr>
          <w:fldChar w:fldCharType="begin"/>
        </w:r>
        <w:r w:rsidR="00C97BE6">
          <w:rPr>
            <w:webHidden/>
          </w:rPr>
          <w:instrText xml:space="preserve"> PAGEREF _Toc5269480 \h </w:instrText>
        </w:r>
        <w:r w:rsidR="00C97BE6">
          <w:rPr>
            <w:webHidden/>
          </w:rPr>
        </w:r>
        <w:r w:rsidR="00C97BE6">
          <w:rPr>
            <w:webHidden/>
          </w:rPr>
          <w:fldChar w:fldCharType="separate"/>
        </w:r>
        <w:r w:rsidR="00D0418C">
          <w:rPr>
            <w:webHidden/>
          </w:rPr>
          <w:t>185</w:t>
        </w:r>
        <w:r w:rsidR="00C97BE6">
          <w:rPr>
            <w:webHidden/>
          </w:rPr>
          <w:fldChar w:fldCharType="end"/>
        </w:r>
      </w:hyperlink>
    </w:p>
    <w:p w14:paraId="43AD569A" w14:textId="77777777" w:rsidR="00C97BE6" w:rsidRPr="002D354C" w:rsidRDefault="00590491">
      <w:pPr>
        <w:pStyle w:val="TableofFigures"/>
        <w:rPr>
          <w:rFonts w:ascii="Calibri" w:hAnsi="Calibri"/>
          <w:sz w:val="22"/>
          <w:szCs w:val="22"/>
          <w:lang w:eastAsia="en-NZ"/>
        </w:rPr>
      </w:pPr>
      <w:hyperlink w:anchor="_Toc5269481" w:history="1">
        <w:r w:rsidR="00C97BE6" w:rsidRPr="009B03B5">
          <w:rPr>
            <w:rStyle w:val="Hyperlink"/>
          </w:rPr>
          <w:t>Table 5.3.5</w:t>
        </w:r>
        <w:r w:rsidR="00C97BE6" w:rsidRPr="002D354C">
          <w:rPr>
            <w:rFonts w:ascii="Calibri" w:hAnsi="Calibri"/>
            <w:sz w:val="22"/>
            <w:szCs w:val="22"/>
            <w:lang w:eastAsia="en-NZ"/>
          </w:rPr>
          <w:tab/>
        </w:r>
        <w:r w:rsidR="00C97BE6" w:rsidRPr="009B03B5">
          <w:rPr>
            <w:rStyle w:val="Hyperlink"/>
          </w:rPr>
          <w:t>IPCC default values for the fraction of managed manure nitrogen that volatilises as ammonia and oxides of nitrogen (Frac</w:t>
        </w:r>
        <w:r w:rsidR="00C97BE6" w:rsidRPr="009B03B5">
          <w:rPr>
            <w:rStyle w:val="Hyperlink"/>
            <w:vertAlign w:val="subscript"/>
          </w:rPr>
          <w:t>GasMS</w:t>
        </w:r>
        <w:r w:rsidR="00C97BE6" w:rsidRPr="009B03B5">
          <w:rPr>
            <w:rStyle w:val="Hyperlink"/>
          </w:rPr>
          <w:t>/100) for livestock categories per manure management system in New Zealand</w:t>
        </w:r>
        <w:r w:rsidR="00C97BE6">
          <w:rPr>
            <w:webHidden/>
          </w:rPr>
          <w:tab/>
        </w:r>
        <w:r w:rsidR="00C97BE6">
          <w:rPr>
            <w:webHidden/>
          </w:rPr>
          <w:fldChar w:fldCharType="begin"/>
        </w:r>
        <w:r w:rsidR="00C97BE6">
          <w:rPr>
            <w:webHidden/>
          </w:rPr>
          <w:instrText xml:space="preserve"> PAGEREF _Toc5269481 \h </w:instrText>
        </w:r>
        <w:r w:rsidR="00C97BE6">
          <w:rPr>
            <w:webHidden/>
          </w:rPr>
        </w:r>
        <w:r w:rsidR="00C97BE6">
          <w:rPr>
            <w:webHidden/>
          </w:rPr>
          <w:fldChar w:fldCharType="separate"/>
        </w:r>
        <w:r w:rsidR="00D0418C">
          <w:rPr>
            <w:webHidden/>
          </w:rPr>
          <w:t>186</w:t>
        </w:r>
        <w:r w:rsidR="00C97BE6">
          <w:rPr>
            <w:webHidden/>
          </w:rPr>
          <w:fldChar w:fldCharType="end"/>
        </w:r>
      </w:hyperlink>
    </w:p>
    <w:p w14:paraId="6BE034EC" w14:textId="77777777" w:rsidR="00C97BE6" w:rsidRPr="002D354C" w:rsidRDefault="00590491">
      <w:pPr>
        <w:pStyle w:val="TableofFigures"/>
        <w:rPr>
          <w:rFonts w:ascii="Calibri" w:hAnsi="Calibri"/>
          <w:sz w:val="22"/>
          <w:szCs w:val="22"/>
          <w:lang w:eastAsia="en-NZ"/>
        </w:rPr>
      </w:pPr>
      <w:hyperlink w:anchor="_Toc5269482" w:history="1">
        <w:r w:rsidR="00C97BE6" w:rsidRPr="009B03B5">
          <w:rPr>
            <w:rStyle w:val="Hyperlink"/>
          </w:rPr>
          <w:t>Table 5.3.6</w:t>
        </w:r>
        <w:r w:rsidR="00C97BE6" w:rsidRPr="002D354C">
          <w:rPr>
            <w:rFonts w:ascii="Calibri" w:hAnsi="Calibri"/>
            <w:sz w:val="22"/>
            <w:szCs w:val="22"/>
            <w:lang w:eastAsia="en-NZ"/>
          </w:rPr>
          <w:tab/>
        </w:r>
        <w:r w:rsidR="00C97BE6" w:rsidRPr="009B03B5">
          <w:rPr>
            <w:rStyle w:val="Hyperlink"/>
          </w:rPr>
          <w:t>Comparison of IPCC (2006) default emission factors and country-specific implied emission factors (IEFs) for methane (CH</w:t>
        </w:r>
        <w:r w:rsidR="00C97BE6" w:rsidRPr="009B03B5">
          <w:rPr>
            <w:rStyle w:val="Hyperlink"/>
            <w:vertAlign w:val="subscript"/>
          </w:rPr>
          <w:t>4</w:t>
        </w:r>
        <w:r w:rsidR="00C97BE6" w:rsidRPr="009B03B5">
          <w:rPr>
            <w:rStyle w:val="Hyperlink"/>
          </w:rPr>
          <w:t>) from manure management</w:t>
        </w:r>
        <w:r w:rsidR="00C97BE6">
          <w:rPr>
            <w:webHidden/>
          </w:rPr>
          <w:tab/>
        </w:r>
        <w:r w:rsidR="00C97BE6">
          <w:rPr>
            <w:webHidden/>
          </w:rPr>
          <w:fldChar w:fldCharType="begin"/>
        </w:r>
        <w:r w:rsidR="00C97BE6">
          <w:rPr>
            <w:webHidden/>
          </w:rPr>
          <w:instrText xml:space="preserve"> PAGEREF _Toc5269482 \h </w:instrText>
        </w:r>
        <w:r w:rsidR="00C97BE6">
          <w:rPr>
            <w:webHidden/>
          </w:rPr>
        </w:r>
        <w:r w:rsidR="00C97BE6">
          <w:rPr>
            <w:webHidden/>
          </w:rPr>
          <w:fldChar w:fldCharType="separate"/>
        </w:r>
        <w:r w:rsidR="00D0418C">
          <w:rPr>
            <w:webHidden/>
          </w:rPr>
          <w:t>188</w:t>
        </w:r>
        <w:r w:rsidR="00C97BE6">
          <w:rPr>
            <w:webHidden/>
          </w:rPr>
          <w:fldChar w:fldCharType="end"/>
        </w:r>
      </w:hyperlink>
    </w:p>
    <w:p w14:paraId="135B3FEB" w14:textId="77777777" w:rsidR="00C97BE6" w:rsidRPr="002D354C" w:rsidRDefault="00590491">
      <w:pPr>
        <w:pStyle w:val="TableofFigures"/>
        <w:rPr>
          <w:rFonts w:ascii="Calibri" w:hAnsi="Calibri"/>
          <w:sz w:val="22"/>
          <w:szCs w:val="22"/>
          <w:lang w:eastAsia="en-NZ"/>
        </w:rPr>
      </w:pPr>
      <w:hyperlink w:anchor="_Toc5269483" w:history="1">
        <w:r w:rsidR="00C97BE6" w:rsidRPr="009B03B5">
          <w:rPr>
            <w:rStyle w:val="Hyperlink"/>
          </w:rPr>
          <w:t>Table 5.3.7</w:t>
        </w:r>
        <w:r w:rsidR="00C97BE6" w:rsidRPr="002D354C">
          <w:rPr>
            <w:rFonts w:ascii="Calibri" w:hAnsi="Calibri"/>
            <w:sz w:val="22"/>
            <w:szCs w:val="22"/>
            <w:lang w:eastAsia="en-NZ"/>
          </w:rPr>
          <w:tab/>
        </w:r>
        <w:r w:rsidR="00C97BE6" w:rsidRPr="009B03B5">
          <w:rPr>
            <w:rStyle w:val="Hyperlink"/>
          </w:rPr>
          <w:t>Proportion of dairy excreta entering anaerobic lagoons and applied to pasture 1990 to 2017</w:t>
        </w:r>
        <w:r w:rsidR="00C97BE6">
          <w:rPr>
            <w:webHidden/>
          </w:rPr>
          <w:tab/>
        </w:r>
        <w:r w:rsidR="00C97BE6">
          <w:rPr>
            <w:webHidden/>
          </w:rPr>
          <w:fldChar w:fldCharType="begin"/>
        </w:r>
        <w:r w:rsidR="00C97BE6">
          <w:rPr>
            <w:webHidden/>
          </w:rPr>
          <w:instrText xml:space="preserve"> PAGEREF _Toc5269483 \h </w:instrText>
        </w:r>
        <w:r w:rsidR="00C97BE6">
          <w:rPr>
            <w:webHidden/>
          </w:rPr>
        </w:r>
        <w:r w:rsidR="00C97BE6">
          <w:rPr>
            <w:webHidden/>
          </w:rPr>
          <w:fldChar w:fldCharType="separate"/>
        </w:r>
        <w:r w:rsidR="00D0418C">
          <w:rPr>
            <w:webHidden/>
          </w:rPr>
          <w:t>189</w:t>
        </w:r>
        <w:r w:rsidR="00C97BE6">
          <w:rPr>
            <w:webHidden/>
          </w:rPr>
          <w:fldChar w:fldCharType="end"/>
        </w:r>
      </w:hyperlink>
    </w:p>
    <w:p w14:paraId="2EAFC95A" w14:textId="3BCC7EB9" w:rsidR="00C97BE6" w:rsidRPr="002D354C" w:rsidRDefault="00590491">
      <w:pPr>
        <w:pStyle w:val="TableofFigures"/>
        <w:rPr>
          <w:rFonts w:ascii="Calibri" w:hAnsi="Calibri"/>
          <w:sz w:val="22"/>
          <w:szCs w:val="22"/>
          <w:lang w:eastAsia="en-NZ"/>
        </w:rPr>
      </w:pPr>
      <w:hyperlink w:anchor="_Toc5269484" w:history="1">
        <w:r w:rsidR="00C97BE6" w:rsidRPr="009B03B5">
          <w:rPr>
            <w:rStyle w:val="Hyperlink"/>
          </w:rPr>
          <w:t>Table 5.3.8</w:t>
        </w:r>
        <w:r w:rsidR="00C97BE6" w:rsidRPr="002D354C">
          <w:rPr>
            <w:rFonts w:ascii="Calibri" w:hAnsi="Calibri"/>
            <w:sz w:val="22"/>
            <w:szCs w:val="22"/>
            <w:lang w:eastAsia="en-NZ"/>
          </w:rPr>
          <w:tab/>
        </w:r>
        <w:r w:rsidR="00C97BE6" w:rsidRPr="009B03B5">
          <w:rPr>
            <w:rStyle w:val="Hyperlink"/>
          </w:rPr>
          <w:t>Trends and relative contribution of methane and nit</w:t>
        </w:r>
        <w:r w:rsidR="007F7F59">
          <w:rPr>
            <w:rStyle w:val="Hyperlink"/>
          </w:rPr>
          <w:t>rous oxide emissions under the m</w:t>
        </w:r>
        <w:r w:rsidR="00C97BE6" w:rsidRPr="009B03B5">
          <w:rPr>
            <w:rStyle w:val="Hyperlink"/>
          </w:rPr>
          <w:t>anure management category between 1990 and 2017</w:t>
        </w:r>
        <w:r w:rsidR="00C97BE6">
          <w:rPr>
            <w:webHidden/>
          </w:rPr>
          <w:tab/>
        </w:r>
        <w:r w:rsidR="00C97BE6">
          <w:rPr>
            <w:webHidden/>
          </w:rPr>
          <w:fldChar w:fldCharType="begin"/>
        </w:r>
        <w:r w:rsidR="00C97BE6">
          <w:rPr>
            <w:webHidden/>
          </w:rPr>
          <w:instrText xml:space="preserve"> PAGEREF _Toc5269484 \h </w:instrText>
        </w:r>
        <w:r w:rsidR="00C97BE6">
          <w:rPr>
            <w:webHidden/>
          </w:rPr>
        </w:r>
        <w:r w:rsidR="00C97BE6">
          <w:rPr>
            <w:webHidden/>
          </w:rPr>
          <w:fldChar w:fldCharType="separate"/>
        </w:r>
        <w:r w:rsidR="00D0418C">
          <w:rPr>
            <w:webHidden/>
          </w:rPr>
          <w:t>189</w:t>
        </w:r>
        <w:r w:rsidR="00C97BE6">
          <w:rPr>
            <w:webHidden/>
          </w:rPr>
          <w:fldChar w:fldCharType="end"/>
        </w:r>
      </w:hyperlink>
    </w:p>
    <w:p w14:paraId="28CC5744" w14:textId="77777777" w:rsidR="00C97BE6" w:rsidRPr="002D354C" w:rsidRDefault="00590491">
      <w:pPr>
        <w:pStyle w:val="TableofFigures"/>
        <w:rPr>
          <w:rFonts w:ascii="Calibri" w:hAnsi="Calibri"/>
          <w:sz w:val="22"/>
          <w:szCs w:val="22"/>
          <w:lang w:eastAsia="en-NZ"/>
        </w:rPr>
      </w:pPr>
      <w:hyperlink w:anchor="_Toc5269485" w:history="1">
        <w:r w:rsidR="00C97BE6" w:rsidRPr="009B03B5">
          <w:rPr>
            <w:rStyle w:val="Hyperlink"/>
          </w:rPr>
          <w:t>Table 5.5.1</w:t>
        </w:r>
        <w:r w:rsidR="00C97BE6" w:rsidRPr="002D354C">
          <w:rPr>
            <w:rFonts w:ascii="Calibri" w:hAnsi="Calibri"/>
            <w:sz w:val="22"/>
            <w:szCs w:val="22"/>
            <w:lang w:eastAsia="en-NZ"/>
          </w:rPr>
          <w:tab/>
        </w:r>
        <w:r w:rsidR="00C97BE6" w:rsidRPr="009B03B5">
          <w:rPr>
            <w:rStyle w:val="Hyperlink"/>
          </w:rPr>
          <w:t>Trends and relative contribution of nitrous oxide emissions from Agricultural soils categories between 1990 and 2017</w:t>
        </w:r>
        <w:r w:rsidR="00C97BE6">
          <w:rPr>
            <w:webHidden/>
          </w:rPr>
          <w:tab/>
        </w:r>
        <w:r w:rsidR="00C97BE6">
          <w:rPr>
            <w:webHidden/>
          </w:rPr>
          <w:fldChar w:fldCharType="begin"/>
        </w:r>
        <w:r w:rsidR="00C97BE6">
          <w:rPr>
            <w:webHidden/>
          </w:rPr>
          <w:instrText xml:space="preserve"> PAGEREF _Toc5269485 \h </w:instrText>
        </w:r>
        <w:r w:rsidR="00C97BE6">
          <w:rPr>
            <w:webHidden/>
          </w:rPr>
        </w:r>
        <w:r w:rsidR="00C97BE6">
          <w:rPr>
            <w:webHidden/>
          </w:rPr>
          <w:fldChar w:fldCharType="separate"/>
        </w:r>
        <w:r w:rsidR="00D0418C">
          <w:rPr>
            <w:webHidden/>
          </w:rPr>
          <w:t>192</w:t>
        </w:r>
        <w:r w:rsidR="00C97BE6">
          <w:rPr>
            <w:webHidden/>
          </w:rPr>
          <w:fldChar w:fldCharType="end"/>
        </w:r>
      </w:hyperlink>
    </w:p>
    <w:p w14:paraId="423C8FD0" w14:textId="77777777" w:rsidR="00C97BE6" w:rsidRPr="002D354C" w:rsidRDefault="00590491">
      <w:pPr>
        <w:pStyle w:val="TableofFigures"/>
        <w:rPr>
          <w:rFonts w:ascii="Calibri" w:hAnsi="Calibri"/>
          <w:sz w:val="22"/>
          <w:szCs w:val="22"/>
          <w:lang w:eastAsia="en-NZ"/>
        </w:rPr>
      </w:pPr>
      <w:hyperlink w:anchor="_Toc5269486" w:history="1">
        <w:r w:rsidR="00C97BE6" w:rsidRPr="009B03B5">
          <w:rPr>
            <w:rStyle w:val="Hyperlink"/>
          </w:rPr>
          <w:t>Table 5.5.2</w:t>
        </w:r>
        <w:r w:rsidR="00C97BE6" w:rsidRPr="002D354C">
          <w:rPr>
            <w:rFonts w:ascii="Calibri" w:hAnsi="Calibri"/>
            <w:sz w:val="22"/>
            <w:szCs w:val="22"/>
            <w:lang w:eastAsia="en-NZ"/>
          </w:rPr>
          <w:tab/>
        </w:r>
        <w:r w:rsidR="00C97BE6" w:rsidRPr="009B03B5">
          <w:rPr>
            <w:rStyle w:val="Hyperlink"/>
          </w:rPr>
          <w:t>Nitrous oxide (N</w:t>
        </w:r>
        <w:r w:rsidR="00C97BE6" w:rsidRPr="009B03B5">
          <w:rPr>
            <w:rStyle w:val="Hyperlink"/>
            <w:vertAlign w:val="subscript"/>
          </w:rPr>
          <w:t>2</w:t>
        </w:r>
        <w:r w:rsidR="00C97BE6" w:rsidRPr="009B03B5">
          <w:rPr>
            <w:rStyle w:val="Hyperlink"/>
          </w:rPr>
          <w:t>O) emission factors for Agricultural soils in New Zealand</w:t>
        </w:r>
        <w:r w:rsidR="00C97BE6">
          <w:rPr>
            <w:webHidden/>
          </w:rPr>
          <w:tab/>
        </w:r>
        <w:r w:rsidR="00C97BE6">
          <w:rPr>
            <w:webHidden/>
          </w:rPr>
          <w:fldChar w:fldCharType="begin"/>
        </w:r>
        <w:r w:rsidR="00C97BE6">
          <w:rPr>
            <w:webHidden/>
          </w:rPr>
          <w:instrText xml:space="preserve"> PAGEREF _Toc5269486 \h </w:instrText>
        </w:r>
        <w:r w:rsidR="00C97BE6">
          <w:rPr>
            <w:webHidden/>
          </w:rPr>
        </w:r>
        <w:r w:rsidR="00C97BE6">
          <w:rPr>
            <w:webHidden/>
          </w:rPr>
          <w:fldChar w:fldCharType="separate"/>
        </w:r>
        <w:r w:rsidR="00D0418C">
          <w:rPr>
            <w:webHidden/>
          </w:rPr>
          <w:t>193</w:t>
        </w:r>
        <w:r w:rsidR="00C97BE6">
          <w:rPr>
            <w:webHidden/>
          </w:rPr>
          <w:fldChar w:fldCharType="end"/>
        </w:r>
      </w:hyperlink>
    </w:p>
    <w:p w14:paraId="2865FCAD" w14:textId="77777777" w:rsidR="00C97BE6" w:rsidRPr="002D354C" w:rsidRDefault="00590491">
      <w:pPr>
        <w:pStyle w:val="TableofFigures"/>
        <w:rPr>
          <w:rFonts w:ascii="Calibri" w:hAnsi="Calibri"/>
          <w:sz w:val="22"/>
          <w:szCs w:val="22"/>
          <w:lang w:eastAsia="en-NZ"/>
        </w:rPr>
      </w:pPr>
      <w:hyperlink w:anchor="_Toc5269487" w:history="1">
        <w:r w:rsidR="00C97BE6" w:rsidRPr="009B03B5">
          <w:rPr>
            <w:rStyle w:val="Hyperlink"/>
          </w:rPr>
          <w:t>Table 5.5.3</w:t>
        </w:r>
        <w:r w:rsidR="00C97BE6" w:rsidRPr="002D354C">
          <w:rPr>
            <w:rFonts w:ascii="Calibri" w:hAnsi="Calibri"/>
            <w:sz w:val="22"/>
            <w:szCs w:val="22"/>
            <w:lang w:eastAsia="en-NZ"/>
          </w:rPr>
          <w:tab/>
        </w:r>
        <w:r w:rsidR="00C97BE6" w:rsidRPr="009B03B5">
          <w:rPr>
            <w:rStyle w:val="Hyperlink"/>
          </w:rPr>
          <w:t>Parameters for indirect nitrous oxide (N</w:t>
        </w:r>
        <w:r w:rsidR="00C97BE6" w:rsidRPr="009B03B5">
          <w:rPr>
            <w:rStyle w:val="Hyperlink"/>
            <w:vertAlign w:val="subscript"/>
          </w:rPr>
          <w:t>2</w:t>
        </w:r>
        <w:r w:rsidR="00C97BE6" w:rsidRPr="009B03B5">
          <w:rPr>
            <w:rStyle w:val="Hyperlink"/>
          </w:rPr>
          <w:t>O) emissions from agricultural soils in New Zealand</w:t>
        </w:r>
        <w:r w:rsidR="00C97BE6">
          <w:rPr>
            <w:webHidden/>
          </w:rPr>
          <w:tab/>
        </w:r>
        <w:r w:rsidR="00C97BE6">
          <w:rPr>
            <w:webHidden/>
          </w:rPr>
          <w:fldChar w:fldCharType="begin"/>
        </w:r>
        <w:r w:rsidR="00C97BE6">
          <w:rPr>
            <w:webHidden/>
          </w:rPr>
          <w:instrText xml:space="preserve"> PAGEREF _Toc5269487 \h </w:instrText>
        </w:r>
        <w:r w:rsidR="00C97BE6">
          <w:rPr>
            <w:webHidden/>
          </w:rPr>
        </w:r>
        <w:r w:rsidR="00C97BE6">
          <w:rPr>
            <w:webHidden/>
          </w:rPr>
          <w:fldChar w:fldCharType="separate"/>
        </w:r>
        <w:r w:rsidR="00D0418C">
          <w:rPr>
            <w:webHidden/>
          </w:rPr>
          <w:t>193</w:t>
        </w:r>
        <w:r w:rsidR="00C97BE6">
          <w:rPr>
            <w:webHidden/>
          </w:rPr>
          <w:fldChar w:fldCharType="end"/>
        </w:r>
      </w:hyperlink>
    </w:p>
    <w:p w14:paraId="6B9B31B7" w14:textId="77777777" w:rsidR="00C97BE6" w:rsidRPr="002D354C" w:rsidRDefault="00590491">
      <w:pPr>
        <w:pStyle w:val="TableofFigures"/>
        <w:rPr>
          <w:rFonts w:ascii="Calibri" w:hAnsi="Calibri"/>
          <w:sz w:val="22"/>
          <w:szCs w:val="22"/>
          <w:lang w:eastAsia="en-NZ"/>
        </w:rPr>
      </w:pPr>
      <w:hyperlink w:anchor="_Toc5269488" w:history="1">
        <w:r w:rsidR="00C97BE6" w:rsidRPr="009B03B5">
          <w:rPr>
            <w:rStyle w:val="Hyperlink"/>
          </w:rPr>
          <w:t>Table 5.5.4</w:t>
        </w:r>
        <w:r w:rsidR="00C97BE6" w:rsidRPr="002D354C">
          <w:rPr>
            <w:rFonts w:ascii="Calibri" w:hAnsi="Calibri"/>
            <w:sz w:val="22"/>
            <w:szCs w:val="22"/>
            <w:lang w:eastAsia="en-NZ"/>
          </w:rPr>
          <w:tab/>
        </w:r>
        <w:r w:rsidR="00C97BE6" w:rsidRPr="009B03B5">
          <w:rPr>
            <w:rStyle w:val="Hyperlink"/>
          </w:rPr>
          <w:t>Emission factors and parameter values for use of mitigation technologies</w:t>
        </w:r>
        <w:r w:rsidR="00C97BE6">
          <w:rPr>
            <w:webHidden/>
          </w:rPr>
          <w:tab/>
        </w:r>
        <w:r w:rsidR="00C97BE6">
          <w:rPr>
            <w:webHidden/>
          </w:rPr>
          <w:fldChar w:fldCharType="begin"/>
        </w:r>
        <w:r w:rsidR="00C97BE6">
          <w:rPr>
            <w:webHidden/>
          </w:rPr>
          <w:instrText xml:space="preserve"> PAGEREF _Toc5269488 \h </w:instrText>
        </w:r>
        <w:r w:rsidR="00C97BE6">
          <w:rPr>
            <w:webHidden/>
          </w:rPr>
        </w:r>
        <w:r w:rsidR="00C97BE6">
          <w:rPr>
            <w:webHidden/>
          </w:rPr>
          <w:fldChar w:fldCharType="separate"/>
        </w:r>
        <w:r w:rsidR="00D0418C">
          <w:rPr>
            <w:webHidden/>
          </w:rPr>
          <w:t>194</w:t>
        </w:r>
        <w:r w:rsidR="00C97BE6">
          <w:rPr>
            <w:webHidden/>
          </w:rPr>
          <w:fldChar w:fldCharType="end"/>
        </w:r>
      </w:hyperlink>
    </w:p>
    <w:p w14:paraId="3BCF3483" w14:textId="77777777" w:rsidR="00C97BE6" w:rsidRPr="002D354C" w:rsidRDefault="00590491">
      <w:pPr>
        <w:pStyle w:val="TableofFigures"/>
        <w:rPr>
          <w:rFonts w:ascii="Calibri" w:hAnsi="Calibri"/>
          <w:sz w:val="22"/>
          <w:szCs w:val="22"/>
          <w:lang w:eastAsia="en-NZ"/>
        </w:rPr>
      </w:pPr>
      <w:hyperlink w:anchor="_Toc5269489" w:history="1">
        <w:r w:rsidR="00C97BE6" w:rsidRPr="009B03B5">
          <w:rPr>
            <w:rStyle w:val="Hyperlink"/>
          </w:rPr>
          <w:t>Table 5.5.5</w:t>
        </w:r>
        <w:r w:rsidR="00C97BE6" w:rsidRPr="002D354C">
          <w:rPr>
            <w:rFonts w:ascii="Calibri" w:hAnsi="Calibri"/>
            <w:sz w:val="22"/>
            <w:szCs w:val="22"/>
            <w:lang w:eastAsia="en-NZ"/>
          </w:rPr>
          <w:tab/>
        </w:r>
        <w:r w:rsidR="00C97BE6" w:rsidRPr="009B03B5">
          <w:rPr>
            <w:rStyle w:val="Hyperlink"/>
          </w:rPr>
          <w:t>Trends and relative contribution of direct nitrous oxide emissions from urine and dung deposited by grazing animals per livestock category between 1990 and 2017</w:t>
        </w:r>
        <w:r w:rsidR="00C97BE6">
          <w:rPr>
            <w:webHidden/>
          </w:rPr>
          <w:tab/>
        </w:r>
        <w:r w:rsidR="00C97BE6">
          <w:rPr>
            <w:webHidden/>
          </w:rPr>
          <w:fldChar w:fldCharType="begin"/>
        </w:r>
        <w:r w:rsidR="00C97BE6">
          <w:rPr>
            <w:webHidden/>
          </w:rPr>
          <w:instrText xml:space="preserve"> PAGEREF _Toc5269489 \h </w:instrText>
        </w:r>
        <w:r w:rsidR="00C97BE6">
          <w:rPr>
            <w:webHidden/>
          </w:rPr>
        </w:r>
        <w:r w:rsidR="00C97BE6">
          <w:rPr>
            <w:webHidden/>
          </w:rPr>
          <w:fldChar w:fldCharType="separate"/>
        </w:r>
        <w:r w:rsidR="00D0418C">
          <w:rPr>
            <w:webHidden/>
          </w:rPr>
          <w:t>199</w:t>
        </w:r>
        <w:r w:rsidR="00C97BE6">
          <w:rPr>
            <w:webHidden/>
          </w:rPr>
          <w:fldChar w:fldCharType="end"/>
        </w:r>
      </w:hyperlink>
    </w:p>
    <w:p w14:paraId="171E6952" w14:textId="77777777" w:rsidR="00C97BE6" w:rsidRPr="002D354C" w:rsidRDefault="00590491">
      <w:pPr>
        <w:pStyle w:val="TableofFigures"/>
        <w:rPr>
          <w:rFonts w:ascii="Calibri" w:hAnsi="Calibri"/>
          <w:sz w:val="22"/>
          <w:szCs w:val="22"/>
          <w:lang w:eastAsia="en-NZ"/>
        </w:rPr>
      </w:pPr>
      <w:hyperlink w:anchor="_Toc5269490" w:history="1">
        <w:r w:rsidR="00C97BE6" w:rsidRPr="009B03B5">
          <w:rPr>
            <w:rStyle w:val="Hyperlink"/>
          </w:rPr>
          <w:t>Table 5.5.6</w:t>
        </w:r>
        <w:r w:rsidR="00C97BE6" w:rsidRPr="002D354C">
          <w:rPr>
            <w:rFonts w:ascii="Calibri" w:hAnsi="Calibri"/>
            <w:sz w:val="22"/>
            <w:szCs w:val="22"/>
            <w:lang w:eastAsia="en-NZ"/>
          </w:rPr>
          <w:tab/>
        </w:r>
        <w:r w:rsidR="00C97BE6" w:rsidRPr="009B03B5">
          <w:rPr>
            <w:rStyle w:val="Hyperlink"/>
          </w:rPr>
          <w:t>Mitigation impact of urease inhibitors on nitrous oxide emissions from volatilisation, from 2001 to 2017</w:t>
        </w:r>
        <w:r w:rsidR="00C97BE6">
          <w:rPr>
            <w:webHidden/>
          </w:rPr>
          <w:tab/>
        </w:r>
        <w:r w:rsidR="00C97BE6">
          <w:rPr>
            <w:webHidden/>
          </w:rPr>
          <w:fldChar w:fldCharType="begin"/>
        </w:r>
        <w:r w:rsidR="00C97BE6">
          <w:rPr>
            <w:webHidden/>
          </w:rPr>
          <w:instrText xml:space="preserve"> PAGEREF _Toc5269490 \h </w:instrText>
        </w:r>
        <w:r w:rsidR="00C97BE6">
          <w:rPr>
            <w:webHidden/>
          </w:rPr>
        </w:r>
        <w:r w:rsidR="00C97BE6">
          <w:rPr>
            <w:webHidden/>
          </w:rPr>
          <w:fldChar w:fldCharType="separate"/>
        </w:r>
        <w:r w:rsidR="00D0418C">
          <w:rPr>
            <w:webHidden/>
          </w:rPr>
          <w:t>205</w:t>
        </w:r>
        <w:r w:rsidR="00C97BE6">
          <w:rPr>
            <w:webHidden/>
          </w:rPr>
          <w:fldChar w:fldCharType="end"/>
        </w:r>
      </w:hyperlink>
    </w:p>
    <w:p w14:paraId="04BB3F91" w14:textId="77777777" w:rsidR="00C97BE6" w:rsidRPr="002D354C" w:rsidRDefault="00590491">
      <w:pPr>
        <w:pStyle w:val="TableofFigures"/>
        <w:rPr>
          <w:rFonts w:ascii="Calibri" w:hAnsi="Calibri"/>
          <w:sz w:val="22"/>
          <w:szCs w:val="22"/>
          <w:lang w:eastAsia="en-NZ"/>
        </w:rPr>
      </w:pPr>
      <w:hyperlink w:anchor="_Toc5269491" w:history="1">
        <w:r w:rsidR="00C97BE6" w:rsidRPr="009B03B5">
          <w:rPr>
            <w:rStyle w:val="Hyperlink"/>
          </w:rPr>
          <w:t>Table 5.5.7</w:t>
        </w:r>
        <w:r w:rsidR="00C97BE6" w:rsidRPr="002D354C">
          <w:rPr>
            <w:rFonts w:ascii="Calibri" w:hAnsi="Calibri"/>
            <w:sz w:val="22"/>
            <w:szCs w:val="22"/>
            <w:lang w:eastAsia="en-NZ"/>
          </w:rPr>
          <w:tab/>
        </w:r>
        <w:r w:rsidR="00C97BE6" w:rsidRPr="009B03B5">
          <w:rPr>
            <w:rStyle w:val="Hyperlink"/>
          </w:rPr>
          <w:t>Emission factors, parameters and mitigation for New Zealand’s DCD inhibitor calculations from 2007 to 2012</w:t>
        </w:r>
        <w:r w:rsidR="00C97BE6">
          <w:rPr>
            <w:webHidden/>
          </w:rPr>
          <w:tab/>
        </w:r>
        <w:r w:rsidR="00C97BE6">
          <w:rPr>
            <w:webHidden/>
          </w:rPr>
          <w:fldChar w:fldCharType="begin"/>
        </w:r>
        <w:r w:rsidR="00C97BE6">
          <w:rPr>
            <w:webHidden/>
          </w:rPr>
          <w:instrText xml:space="preserve"> PAGEREF _Toc5269491 \h </w:instrText>
        </w:r>
        <w:r w:rsidR="00C97BE6">
          <w:rPr>
            <w:webHidden/>
          </w:rPr>
        </w:r>
        <w:r w:rsidR="00C97BE6">
          <w:rPr>
            <w:webHidden/>
          </w:rPr>
          <w:fldChar w:fldCharType="separate"/>
        </w:r>
        <w:r w:rsidR="00D0418C">
          <w:rPr>
            <w:webHidden/>
          </w:rPr>
          <w:t>206</w:t>
        </w:r>
        <w:r w:rsidR="00C97BE6">
          <w:rPr>
            <w:webHidden/>
          </w:rPr>
          <w:fldChar w:fldCharType="end"/>
        </w:r>
      </w:hyperlink>
    </w:p>
    <w:p w14:paraId="1E8249D0" w14:textId="77777777" w:rsidR="00C97BE6" w:rsidRPr="002D354C" w:rsidRDefault="00590491">
      <w:pPr>
        <w:pStyle w:val="TableofFigures"/>
        <w:rPr>
          <w:rFonts w:ascii="Calibri" w:hAnsi="Calibri"/>
          <w:sz w:val="22"/>
          <w:szCs w:val="22"/>
          <w:lang w:eastAsia="en-NZ"/>
        </w:rPr>
      </w:pPr>
      <w:hyperlink w:anchor="_Toc5269492" w:history="1">
        <w:r w:rsidR="00C97BE6" w:rsidRPr="009B03B5">
          <w:rPr>
            <w:rStyle w:val="Hyperlink"/>
          </w:rPr>
          <w:t>Table 5.5.8</w:t>
        </w:r>
        <w:r w:rsidR="00C97BE6" w:rsidRPr="002D354C">
          <w:rPr>
            <w:rFonts w:ascii="Calibri" w:hAnsi="Calibri"/>
            <w:sz w:val="22"/>
            <w:szCs w:val="22"/>
            <w:lang w:eastAsia="en-NZ"/>
          </w:rPr>
          <w:tab/>
        </w:r>
        <w:r w:rsidR="00C97BE6" w:rsidRPr="009B03B5">
          <w:rPr>
            <w:rStyle w:val="Hyperlink"/>
          </w:rPr>
          <w:t xml:space="preserve">New Zealand’s uncertainties in </w:t>
        </w:r>
        <w:r w:rsidR="00C97BE6" w:rsidRPr="009B03B5">
          <w:rPr>
            <w:rStyle w:val="Hyperlink"/>
            <w:spacing w:val="-2"/>
          </w:rPr>
          <w:t>nitrous oxide</w:t>
        </w:r>
        <w:r w:rsidR="00C97BE6" w:rsidRPr="009B03B5">
          <w:rPr>
            <w:rStyle w:val="Hyperlink"/>
          </w:rPr>
          <w:t xml:space="preserve"> (N</w:t>
        </w:r>
        <w:r w:rsidR="00C97BE6" w:rsidRPr="009B03B5">
          <w:rPr>
            <w:rStyle w:val="Hyperlink"/>
            <w:vertAlign w:val="subscript"/>
          </w:rPr>
          <w:t>2</w:t>
        </w:r>
        <w:r w:rsidR="00C97BE6" w:rsidRPr="009B03B5">
          <w:rPr>
            <w:rStyle w:val="Hyperlink"/>
          </w:rPr>
          <w:t>O) emissions from Agricultural soils for 1990, 2002, 2012 and 2016 estimated using Monte Carlo simulation (1990, 2002), the 95 per cent confidence interval (2012) and the analytical method (2016)</w:t>
        </w:r>
        <w:r w:rsidR="00C97BE6">
          <w:rPr>
            <w:webHidden/>
          </w:rPr>
          <w:tab/>
        </w:r>
        <w:r w:rsidR="00C97BE6">
          <w:rPr>
            <w:webHidden/>
          </w:rPr>
          <w:fldChar w:fldCharType="begin"/>
        </w:r>
        <w:r w:rsidR="00C97BE6">
          <w:rPr>
            <w:webHidden/>
          </w:rPr>
          <w:instrText xml:space="preserve"> PAGEREF _Toc5269492 \h </w:instrText>
        </w:r>
        <w:r w:rsidR="00C97BE6">
          <w:rPr>
            <w:webHidden/>
          </w:rPr>
        </w:r>
        <w:r w:rsidR="00C97BE6">
          <w:rPr>
            <w:webHidden/>
          </w:rPr>
          <w:fldChar w:fldCharType="separate"/>
        </w:r>
        <w:r w:rsidR="00D0418C">
          <w:rPr>
            <w:webHidden/>
          </w:rPr>
          <w:t>207</w:t>
        </w:r>
        <w:r w:rsidR="00C97BE6">
          <w:rPr>
            <w:webHidden/>
          </w:rPr>
          <w:fldChar w:fldCharType="end"/>
        </w:r>
      </w:hyperlink>
    </w:p>
    <w:p w14:paraId="07566384" w14:textId="77777777" w:rsidR="00C97BE6" w:rsidRPr="002D354C" w:rsidRDefault="00590491">
      <w:pPr>
        <w:pStyle w:val="TableofFigures"/>
        <w:rPr>
          <w:rFonts w:ascii="Calibri" w:hAnsi="Calibri"/>
          <w:sz w:val="22"/>
          <w:szCs w:val="22"/>
          <w:lang w:eastAsia="en-NZ"/>
        </w:rPr>
      </w:pPr>
      <w:hyperlink w:anchor="_Toc5269493" w:history="1">
        <w:r w:rsidR="00C97BE6" w:rsidRPr="009B03B5">
          <w:rPr>
            <w:rStyle w:val="Hyperlink"/>
          </w:rPr>
          <w:t>Table 5.5.9</w:t>
        </w:r>
        <w:r w:rsidR="00C97BE6" w:rsidRPr="002D354C">
          <w:rPr>
            <w:rFonts w:ascii="Calibri" w:hAnsi="Calibri"/>
            <w:sz w:val="22"/>
            <w:szCs w:val="22"/>
            <w:lang w:eastAsia="en-NZ"/>
          </w:rPr>
          <w:tab/>
        </w:r>
        <w:r w:rsidR="00C97BE6" w:rsidRPr="009B03B5">
          <w:rPr>
            <w:rStyle w:val="Hyperlink"/>
          </w:rPr>
          <w:t>Comparison of New Zealand’s implied emission factors (IEFs) for EF</w:t>
        </w:r>
        <w:r w:rsidR="00C97BE6" w:rsidRPr="009B03B5">
          <w:rPr>
            <w:rStyle w:val="Hyperlink"/>
            <w:vertAlign w:val="subscript"/>
          </w:rPr>
          <w:t>1</w:t>
        </w:r>
        <w:r w:rsidR="00C97BE6" w:rsidRPr="009B03B5">
          <w:rPr>
            <w:rStyle w:val="Hyperlink"/>
          </w:rPr>
          <w:t xml:space="preserve"> (synthetic nitrogen fertiliser) and EF</w:t>
        </w:r>
        <w:r w:rsidR="00C97BE6" w:rsidRPr="009B03B5">
          <w:rPr>
            <w:rStyle w:val="Hyperlink"/>
            <w:vertAlign w:val="subscript"/>
          </w:rPr>
          <w:t>3(PRP)</w:t>
        </w:r>
        <w:r w:rsidR="00C97BE6" w:rsidRPr="009B03B5">
          <w:rPr>
            <w:rStyle w:val="Hyperlink"/>
          </w:rPr>
          <w:t xml:space="preserve"> (grazing manure) with the IPCC default and the Australian-specific value</w:t>
        </w:r>
        <w:r w:rsidR="00C97BE6">
          <w:rPr>
            <w:webHidden/>
          </w:rPr>
          <w:tab/>
        </w:r>
        <w:r w:rsidR="00C97BE6">
          <w:rPr>
            <w:webHidden/>
          </w:rPr>
          <w:fldChar w:fldCharType="begin"/>
        </w:r>
        <w:r w:rsidR="00C97BE6">
          <w:rPr>
            <w:webHidden/>
          </w:rPr>
          <w:instrText xml:space="preserve"> PAGEREF _Toc5269493 \h </w:instrText>
        </w:r>
        <w:r w:rsidR="00C97BE6">
          <w:rPr>
            <w:webHidden/>
          </w:rPr>
        </w:r>
        <w:r w:rsidR="00C97BE6">
          <w:rPr>
            <w:webHidden/>
          </w:rPr>
          <w:fldChar w:fldCharType="separate"/>
        </w:r>
        <w:r w:rsidR="00D0418C">
          <w:rPr>
            <w:webHidden/>
          </w:rPr>
          <w:t>208</w:t>
        </w:r>
        <w:r w:rsidR="00C97BE6">
          <w:rPr>
            <w:webHidden/>
          </w:rPr>
          <w:fldChar w:fldCharType="end"/>
        </w:r>
      </w:hyperlink>
    </w:p>
    <w:p w14:paraId="18348636" w14:textId="77777777" w:rsidR="00C97BE6" w:rsidRPr="002D354C" w:rsidRDefault="00590491">
      <w:pPr>
        <w:pStyle w:val="TableofFigures"/>
        <w:rPr>
          <w:rFonts w:ascii="Calibri" w:hAnsi="Calibri"/>
          <w:sz w:val="22"/>
          <w:szCs w:val="22"/>
          <w:lang w:eastAsia="en-NZ"/>
        </w:rPr>
      </w:pPr>
      <w:hyperlink w:anchor="_Toc5269494" w:history="1">
        <w:r w:rsidR="00C97BE6" w:rsidRPr="009B03B5">
          <w:rPr>
            <w:rStyle w:val="Hyperlink"/>
          </w:rPr>
          <w:t>Table 5.5.10</w:t>
        </w:r>
        <w:r w:rsidR="00C97BE6" w:rsidRPr="002D354C">
          <w:rPr>
            <w:rFonts w:ascii="Calibri" w:hAnsi="Calibri"/>
            <w:sz w:val="22"/>
            <w:szCs w:val="22"/>
            <w:lang w:eastAsia="en-NZ"/>
          </w:rPr>
          <w:tab/>
        </w:r>
        <w:r w:rsidR="00C97BE6" w:rsidRPr="009B03B5">
          <w:rPr>
            <w:rStyle w:val="Hyperlink"/>
          </w:rPr>
          <w:t>Comparison of New Zealand’s country-specific factors for volatilisation (Frac</w:t>
        </w:r>
        <w:r w:rsidR="00C97BE6" w:rsidRPr="009B03B5">
          <w:rPr>
            <w:rStyle w:val="Hyperlink"/>
            <w:vertAlign w:val="subscript"/>
          </w:rPr>
          <w:t>GASF</w:t>
        </w:r>
        <w:r w:rsidR="00C97BE6" w:rsidRPr="009B03B5">
          <w:rPr>
            <w:rStyle w:val="Hyperlink"/>
          </w:rPr>
          <w:t>, Frac</w:t>
        </w:r>
        <w:r w:rsidR="00C97BE6" w:rsidRPr="009B03B5">
          <w:rPr>
            <w:rStyle w:val="Hyperlink"/>
            <w:vertAlign w:val="subscript"/>
          </w:rPr>
          <w:t>GASM</w:t>
        </w:r>
        <w:r w:rsidR="00C97BE6" w:rsidRPr="009B03B5">
          <w:rPr>
            <w:rStyle w:val="Hyperlink"/>
          </w:rPr>
          <w:t>) and leaching and runoff (Frac</w:t>
        </w:r>
        <w:r w:rsidR="00C97BE6" w:rsidRPr="009B03B5">
          <w:rPr>
            <w:rStyle w:val="Hyperlink"/>
            <w:vertAlign w:val="subscript"/>
          </w:rPr>
          <w:t>LEACH-(H)</w:t>
        </w:r>
        <w:r w:rsidR="00C97BE6" w:rsidRPr="009B03B5">
          <w:rPr>
            <w:rStyle w:val="Hyperlink"/>
          </w:rPr>
          <w:t>) with the IPCC default value and the Australian implied emission factor (IEF)</w:t>
        </w:r>
        <w:r w:rsidR="00C97BE6">
          <w:rPr>
            <w:webHidden/>
          </w:rPr>
          <w:tab/>
        </w:r>
        <w:r w:rsidR="00C97BE6">
          <w:rPr>
            <w:webHidden/>
          </w:rPr>
          <w:fldChar w:fldCharType="begin"/>
        </w:r>
        <w:r w:rsidR="00C97BE6">
          <w:rPr>
            <w:webHidden/>
          </w:rPr>
          <w:instrText xml:space="preserve"> PAGEREF _Toc5269494 \h </w:instrText>
        </w:r>
        <w:r w:rsidR="00C97BE6">
          <w:rPr>
            <w:webHidden/>
          </w:rPr>
        </w:r>
        <w:r w:rsidR="00C97BE6">
          <w:rPr>
            <w:webHidden/>
          </w:rPr>
          <w:fldChar w:fldCharType="separate"/>
        </w:r>
        <w:r w:rsidR="00D0418C">
          <w:rPr>
            <w:webHidden/>
          </w:rPr>
          <w:t>209</w:t>
        </w:r>
        <w:r w:rsidR="00C97BE6">
          <w:rPr>
            <w:webHidden/>
          </w:rPr>
          <w:fldChar w:fldCharType="end"/>
        </w:r>
      </w:hyperlink>
    </w:p>
    <w:p w14:paraId="320D957E" w14:textId="77777777" w:rsidR="00C97BE6" w:rsidRPr="002D354C" w:rsidRDefault="00590491">
      <w:pPr>
        <w:pStyle w:val="TableofFigures"/>
        <w:rPr>
          <w:rFonts w:ascii="Calibri" w:hAnsi="Calibri"/>
          <w:sz w:val="22"/>
          <w:szCs w:val="22"/>
          <w:lang w:eastAsia="en-NZ"/>
        </w:rPr>
      </w:pPr>
      <w:hyperlink w:anchor="_Toc5269495" w:history="1">
        <w:r w:rsidR="00C97BE6" w:rsidRPr="009B03B5">
          <w:rPr>
            <w:rStyle w:val="Hyperlink"/>
          </w:rPr>
          <w:t>Table 5.5.11</w:t>
        </w:r>
        <w:r w:rsidR="00C97BE6" w:rsidRPr="002D354C">
          <w:rPr>
            <w:rFonts w:ascii="Calibri" w:hAnsi="Calibri"/>
            <w:sz w:val="22"/>
            <w:szCs w:val="22"/>
            <w:lang w:eastAsia="en-NZ"/>
          </w:rPr>
          <w:tab/>
        </w:r>
        <w:r w:rsidR="00C97BE6" w:rsidRPr="009B03B5">
          <w:rPr>
            <w:rStyle w:val="Hyperlink"/>
          </w:rPr>
          <w:t>Comparison of current and previous emissions estimates before and after change in nitrogen excretion partitioning methodology, 1990 to 2017</w:t>
        </w:r>
        <w:r w:rsidR="00C97BE6">
          <w:rPr>
            <w:webHidden/>
          </w:rPr>
          <w:tab/>
        </w:r>
        <w:r w:rsidR="00C97BE6">
          <w:rPr>
            <w:webHidden/>
          </w:rPr>
          <w:fldChar w:fldCharType="begin"/>
        </w:r>
        <w:r w:rsidR="00C97BE6">
          <w:rPr>
            <w:webHidden/>
          </w:rPr>
          <w:instrText xml:space="preserve"> PAGEREF _Toc5269495 \h </w:instrText>
        </w:r>
        <w:r w:rsidR="00C97BE6">
          <w:rPr>
            <w:webHidden/>
          </w:rPr>
        </w:r>
        <w:r w:rsidR="00C97BE6">
          <w:rPr>
            <w:webHidden/>
          </w:rPr>
          <w:fldChar w:fldCharType="separate"/>
        </w:r>
        <w:r w:rsidR="00D0418C">
          <w:rPr>
            <w:webHidden/>
          </w:rPr>
          <w:t>210</w:t>
        </w:r>
        <w:r w:rsidR="00C97BE6">
          <w:rPr>
            <w:webHidden/>
          </w:rPr>
          <w:fldChar w:fldCharType="end"/>
        </w:r>
      </w:hyperlink>
    </w:p>
    <w:p w14:paraId="4E2CCE60" w14:textId="77777777" w:rsidR="00C97BE6" w:rsidRPr="002D354C" w:rsidRDefault="00590491">
      <w:pPr>
        <w:pStyle w:val="TableofFigures"/>
        <w:rPr>
          <w:rFonts w:ascii="Calibri" w:hAnsi="Calibri"/>
          <w:sz w:val="22"/>
          <w:szCs w:val="22"/>
          <w:lang w:eastAsia="en-NZ"/>
        </w:rPr>
      </w:pPr>
      <w:hyperlink w:anchor="_Toc5269496" w:history="1">
        <w:r w:rsidR="00C97BE6" w:rsidRPr="009B03B5">
          <w:rPr>
            <w:rStyle w:val="Hyperlink"/>
          </w:rPr>
          <w:t>Table 5.7.1</w:t>
        </w:r>
        <w:r w:rsidR="00C97BE6" w:rsidRPr="002D354C">
          <w:rPr>
            <w:rFonts w:ascii="Calibri" w:hAnsi="Calibri"/>
            <w:sz w:val="22"/>
            <w:szCs w:val="22"/>
            <w:lang w:eastAsia="en-NZ"/>
          </w:rPr>
          <w:tab/>
        </w:r>
        <w:r w:rsidR="00C97BE6" w:rsidRPr="009B03B5">
          <w:rPr>
            <w:rStyle w:val="Hyperlink"/>
          </w:rPr>
          <w:t>Emission ratios for agricultural residue burning</w:t>
        </w:r>
        <w:r w:rsidR="00C97BE6">
          <w:rPr>
            <w:webHidden/>
          </w:rPr>
          <w:tab/>
        </w:r>
        <w:r w:rsidR="00C97BE6">
          <w:rPr>
            <w:webHidden/>
          </w:rPr>
          <w:fldChar w:fldCharType="begin"/>
        </w:r>
        <w:r w:rsidR="00C97BE6">
          <w:rPr>
            <w:webHidden/>
          </w:rPr>
          <w:instrText xml:space="preserve"> PAGEREF _Toc5269496 \h </w:instrText>
        </w:r>
        <w:r w:rsidR="00C97BE6">
          <w:rPr>
            <w:webHidden/>
          </w:rPr>
        </w:r>
        <w:r w:rsidR="00C97BE6">
          <w:rPr>
            <w:webHidden/>
          </w:rPr>
          <w:fldChar w:fldCharType="separate"/>
        </w:r>
        <w:r w:rsidR="00D0418C">
          <w:rPr>
            <w:webHidden/>
          </w:rPr>
          <w:t>212</w:t>
        </w:r>
        <w:r w:rsidR="00C97BE6">
          <w:rPr>
            <w:webHidden/>
          </w:rPr>
          <w:fldChar w:fldCharType="end"/>
        </w:r>
      </w:hyperlink>
    </w:p>
    <w:p w14:paraId="27F61D48" w14:textId="77777777" w:rsidR="00C97BE6" w:rsidRPr="002D354C" w:rsidRDefault="00590491">
      <w:pPr>
        <w:pStyle w:val="TableofFigures"/>
        <w:rPr>
          <w:rFonts w:ascii="Calibri" w:hAnsi="Calibri"/>
          <w:sz w:val="22"/>
          <w:szCs w:val="22"/>
          <w:lang w:eastAsia="en-NZ"/>
        </w:rPr>
      </w:pPr>
      <w:hyperlink w:anchor="_Toc5269497" w:history="1">
        <w:r w:rsidR="00C97BE6" w:rsidRPr="009B03B5">
          <w:rPr>
            <w:rStyle w:val="Hyperlink"/>
          </w:rPr>
          <w:t xml:space="preserve">Table 5.7.2 </w:t>
        </w:r>
        <w:r w:rsidR="00C97BE6" w:rsidRPr="002D354C">
          <w:rPr>
            <w:rFonts w:ascii="Calibri" w:hAnsi="Calibri"/>
            <w:sz w:val="22"/>
            <w:szCs w:val="22"/>
            <w:lang w:eastAsia="en-NZ"/>
          </w:rPr>
          <w:tab/>
        </w:r>
        <w:r w:rsidR="00C97BE6" w:rsidRPr="009B03B5">
          <w:rPr>
            <w:rStyle w:val="Hyperlink"/>
          </w:rPr>
          <w:t>Values used to calculate New Zealand emissions from burning of agricultural residues</w:t>
        </w:r>
        <w:r w:rsidR="00C97BE6">
          <w:rPr>
            <w:webHidden/>
          </w:rPr>
          <w:tab/>
        </w:r>
        <w:r w:rsidR="00C97BE6">
          <w:rPr>
            <w:webHidden/>
          </w:rPr>
          <w:fldChar w:fldCharType="begin"/>
        </w:r>
        <w:r w:rsidR="00C97BE6">
          <w:rPr>
            <w:webHidden/>
          </w:rPr>
          <w:instrText xml:space="preserve"> PAGEREF _Toc5269497 \h </w:instrText>
        </w:r>
        <w:r w:rsidR="00C97BE6">
          <w:rPr>
            <w:webHidden/>
          </w:rPr>
        </w:r>
        <w:r w:rsidR="00C97BE6">
          <w:rPr>
            <w:webHidden/>
          </w:rPr>
          <w:fldChar w:fldCharType="separate"/>
        </w:r>
        <w:r w:rsidR="00D0418C">
          <w:rPr>
            <w:webHidden/>
          </w:rPr>
          <w:t>213</w:t>
        </w:r>
        <w:r w:rsidR="00C97BE6">
          <w:rPr>
            <w:webHidden/>
          </w:rPr>
          <w:fldChar w:fldCharType="end"/>
        </w:r>
      </w:hyperlink>
    </w:p>
    <w:p w14:paraId="27CE15EB" w14:textId="77777777" w:rsidR="00C97BE6" w:rsidRPr="002D354C" w:rsidRDefault="00590491">
      <w:pPr>
        <w:pStyle w:val="TableofFigures"/>
        <w:rPr>
          <w:rFonts w:ascii="Calibri" w:hAnsi="Calibri"/>
          <w:sz w:val="22"/>
          <w:szCs w:val="22"/>
          <w:lang w:eastAsia="en-NZ"/>
        </w:rPr>
      </w:pPr>
      <w:hyperlink w:anchor="_Toc5269498" w:history="1">
        <w:r w:rsidR="00C97BE6" w:rsidRPr="009B03B5">
          <w:rPr>
            <w:rStyle w:val="Hyperlink"/>
          </w:rPr>
          <w:t xml:space="preserve">Table 6.1.1 </w:t>
        </w:r>
        <w:r w:rsidR="00C97BE6" w:rsidRPr="002D354C">
          <w:rPr>
            <w:rFonts w:ascii="Calibri" w:hAnsi="Calibri"/>
            <w:sz w:val="22"/>
            <w:szCs w:val="22"/>
            <w:lang w:eastAsia="en-NZ"/>
          </w:rPr>
          <w:tab/>
        </w:r>
        <w:r w:rsidR="00C97BE6" w:rsidRPr="009B03B5">
          <w:rPr>
            <w:rStyle w:val="Hyperlink"/>
          </w:rPr>
          <w:t>New Zealand’s greenhouse gas emissions for the LULUCF sector by land use category in 1990 and 2017</w:t>
        </w:r>
        <w:r w:rsidR="00C97BE6">
          <w:rPr>
            <w:webHidden/>
          </w:rPr>
          <w:tab/>
        </w:r>
        <w:r w:rsidR="00C97BE6">
          <w:rPr>
            <w:webHidden/>
          </w:rPr>
          <w:fldChar w:fldCharType="begin"/>
        </w:r>
        <w:r w:rsidR="00C97BE6">
          <w:rPr>
            <w:webHidden/>
          </w:rPr>
          <w:instrText xml:space="preserve"> PAGEREF _Toc5269498 \h </w:instrText>
        </w:r>
        <w:r w:rsidR="00C97BE6">
          <w:rPr>
            <w:webHidden/>
          </w:rPr>
        </w:r>
        <w:r w:rsidR="00C97BE6">
          <w:rPr>
            <w:webHidden/>
          </w:rPr>
          <w:fldChar w:fldCharType="separate"/>
        </w:r>
        <w:r w:rsidR="00D0418C">
          <w:rPr>
            <w:webHidden/>
          </w:rPr>
          <w:t>224</w:t>
        </w:r>
        <w:r w:rsidR="00C97BE6">
          <w:rPr>
            <w:webHidden/>
          </w:rPr>
          <w:fldChar w:fldCharType="end"/>
        </w:r>
      </w:hyperlink>
    </w:p>
    <w:p w14:paraId="282BAC25" w14:textId="77777777" w:rsidR="00C97BE6" w:rsidRPr="002D354C" w:rsidRDefault="00590491">
      <w:pPr>
        <w:pStyle w:val="TableofFigures"/>
        <w:rPr>
          <w:rFonts w:ascii="Calibri" w:hAnsi="Calibri"/>
          <w:sz w:val="22"/>
          <w:szCs w:val="22"/>
          <w:lang w:eastAsia="en-NZ"/>
        </w:rPr>
      </w:pPr>
      <w:hyperlink w:anchor="_Toc5269499" w:history="1">
        <w:r w:rsidR="00C97BE6" w:rsidRPr="009B03B5">
          <w:rPr>
            <w:rStyle w:val="Hyperlink"/>
          </w:rPr>
          <w:t xml:space="preserve">Table 6.1.2 </w:t>
        </w:r>
        <w:r w:rsidR="00C97BE6" w:rsidRPr="002D354C">
          <w:rPr>
            <w:rFonts w:ascii="Calibri" w:hAnsi="Calibri"/>
            <w:sz w:val="22"/>
            <w:szCs w:val="22"/>
            <w:lang w:eastAsia="en-NZ"/>
          </w:rPr>
          <w:tab/>
        </w:r>
        <w:r w:rsidR="00C97BE6" w:rsidRPr="009B03B5">
          <w:rPr>
            <w:rStyle w:val="Hyperlink"/>
          </w:rPr>
          <w:t>Land use in New Zealand in 2017</w:t>
        </w:r>
        <w:r w:rsidR="00C97BE6">
          <w:rPr>
            <w:webHidden/>
          </w:rPr>
          <w:tab/>
        </w:r>
        <w:r w:rsidR="00C97BE6">
          <w:rPr>
            <w:webHidden/>
          </w:rPr>
          <w:fldChar w:fldCharType="begin"/>
        </w:r>
        <w:r w:rsidR="00C97BE6">
          <w:rPr>
            <w:webHidden/>
          </w:rPr>
          <w:instrText xml:space="preserve"> PAGEREF _Toc5269499 \h </w:instrText>
        </w:r>
        <w:r w:rsidR="00C97BE6">
          <w:rPr>
            <w:webHidden/>
          </w:rPr>
        </w:r>
        <w:r w:rsidR="00C97BE6">
          <w:rPr>
            <w:webHidden/>
          </w:rPr>
          <w:fldChar w:fldCharType="separate"/>
        </w:r>
        <w:r w:rsidR="00D0418C">
          <w:rPr>
            <w:webHidden/>
          </w:rPr>
          <w:t>226</w:t>
        </w:r>
        <w:r w:rsidR="00C97BE6">
          <w:rPr>
            <w:webHidden/>
          </w:rPr>
          <w:fldChar w:fldCharType="end"/>
        </w:r>
      </w:hyperlink>
    </w:p>
    <w:p w14:paraId="2E77BDC4" w14:textId="77777777" w:rsidR="00C97BE6" w:rsidRPr="002D354C" w:rsidRDefault="00590491">
      <w:pPr>
        <w:pStyle w:val="TableofFigures"/>
        <w:rPr>
          <w:rFonts w:ascii="Calibri" w:hAnsi="Calibri"/>
          <w:sz w:val="22"/>
          <w:szCs w:val="22"/>
          <w:lang w:eastAsia="en-NZ"/>
        </w:rPr>
      </w:pPr>
      <w:hyperlink w:anchor="_Toc5269500" w:history="1">
        <w:r w:rsidR="00C97BE6" w:rsidRPr="009B03B5">
          <w:rPr>
            <w:rStyle w:val="Hyperlink"/>
          </w:rPr>
          <w:t>Table 6.1.3</w:t>
        </w:r>
        <w:r w:rsidR="00C97BE6" w:rsidRPr="002D354C">
          <w:rPr>
            <w:rFonts w:ascii="Calibri" w:hAnsi="Calibri"/>
            <w:sz w:val="22"/>
            <w:szCs w:val="22"/>
            <w:lang w:eastAsia="en-NZ"/>
          </w:rPr>
          <w:tab/>
        </w:r>
        <w:r w:rsidR="00C97BE6" w:rsidRPr="009B03B5">
          <w:rPr>
            <w:rStyle w:val="Hyperlink"/>
          </w:rPr>
          <w:t>New Zealand’s biomass carbon stock emission factors in land use before conversion</w:t>
        </w:r>
        <w:r w:rsidR="00C97BE6">
          <w:rPr>
            <w:webHidden/>
          </w:rPr>
          <w:tab/>
        </w:r>
        <w:r w:rsidR="00C97BE6">
          <w:rPr>
            <w:webHidden/>
          </w:rPr>
          <w:fldChar w:fldCharType="begin"/>
        </w:r>
        <w:r w:rsidR="00C97BE6">
          <w:rPr>
            <w:webHidden/>
          </w:rPr>
          <w:instrText xml:space="preserve"> PAGEREF _Toc5269500 \h </w:instrText>
        </w:r>
        <w:r w:rsidR="00C97BE6">
          <w:rPr>
            <w:webHidden/>
          </w:rPr>
        </w:r>
        <w:r w:rsidR="00C97BE6">
          <w:rPr>
            <w:webHidden/>
          </w:rPr>
          <w:fldChar w:fldCharType="separate"/>
        </w:r>
        <w:r w:rsidR="00D0418C">
          <w:rPr>
            <w:webHidden/>
          </w:rPr>
          <w:t>228</w:t>
        </w:r>
        <w:r w:rsidR="00C97BE6">
          <w:rPr>
            <w:webHidden/>
          </w:rPr>
          <w:fldChar w:fldCharType="end"/>
        </w:r>
      </w:hyperlink>
    </w:p>
    <w:p w14:paraId="42B7D621" w14:textId="77777777" w:rsidR="00C97BE6" w:rsidRPr="002D354C" w:rsidRDefault="00590491">
      <w:pPr>
        <w:pStyle w:val="TableofFigures"/>
        <w:rPr>
          <w:rFonts w:ascii="Calibri" w:hAnsi="Calibri"/>
          <w:sz w:val="22"/>
          <w:szCs w:val="22"/>
          <w:lang w:eastAsia="en-NZ"/>
        </w:rPr>
      </w:pPr>
      <w:hyperlink w:anchor="_Toc5269501" w:history="1">
        <w:r w:rsidR="00C97BE6" w:rsidRPr="009B03B5">
          <w:rPr>
            <w:rStyle w:val="Hyperlink"/>
          </w:rPr>
          <w:t>Table 6.1.4</w:t>
        </w:r>
        <w:r w:rsidR="00C97BE6" w:rsidRPr="002D354C">
          <w:rPr>
            <w:rFonts w:ascii="Calibri" w:hAnsi="Calibri"/>
            <w:sz w:val="22"/>
            <w:szCs w:val="22"/>
            <w:lang w:eastAsia="en-NZ"/>
          </w:rPr>
          <w:tab/>
        </w:r>
        <w:r w:rsidR="00C97BE6" w:rsidRPr="009B03B5">
          <w:rPr>
            <w:rStyle w:val="Hyperlink"/>
          </w:rPr>
          <w:t>New Zealand’s emission factors for annual growth in biomass carbon stock in land after conversion</w:t>
        </w:r>
        <w:r w:rsidR="00C97BE6">
          <w:rPr>
            <w:webHidden/>
          </w:rPr>
          <w:tab/>
        </w:r>
        <w:r w:rsidR="00C97BE6">
          <w:rPr>
            <w:webHidden/>
          </w:rPr>
          <w:fldChar w:fldCharType="begin"/>
        </w:r>
        <w:r w:rsidR="00C97BE6">
          <w:rPr>
            <w:webHidden/>
          </w:rPr>
          <w:instrText xml:space="preserve"> PAGEREF _Toc5269501 \h </w:instrText>
        </w:r>
        <w:r w:rsidR="00C97BE6">
          <w:rPr>
            <w:webHidden/>
          </w:rPr>
        </w:r>
        <w:r w:rsidR="00C97BE6">
          <w:rPr>
            <w:webHidden/>
          </w:rPr>
          <w:fldChar w:fldCharType="separate"/>
        </w:r>
        <w:r w:rsidR="00D0418C">
          <w:rPr>
            <w:webHidden/>
          </w:rPr>
          <w:t>229</w:t>
        </w:r>
        <w:r w:rsidR="00C97BE6">
          <w:rPr>
            <w:webHidden/>
          </w:rPr>
          <w:fldChar w:fldCharType="end"/>
        </w:r>
      </w:hyperlink>
    </w:p>
    <w:p w14:paraId="219E863C" w14:textId="77777777" w:rsidR="00C97BE6" w:rsidRPr="002D354C" w:rsidRDefault="00590491">
      <w:pPr>
        <w:pStyle w:val="TableofFigures"/>
        <w:rPr>
          <w:rFonts w:ascii="Calibri" w:hAnsi="Calibri"/>
          <w:sz w:val="22"/>
          <w:szCs w:val="22"/>
          <w:lang w:eastAsia="en-NZ"/>
        </w:rPr>
      </w:pPr>
      <w:hyperlink w:anchor="_Toc5269502" w:history="1">
        <w:r w:rsidR="00C97BE6" w:rsidRPr="009B03B5">
          <w:rPr>
            <w:rStyle w:val="Hyperlink"/>
          </w:rPr>
          <w:t>Table 6.1.5</w:t>
        </w:r>
        <w:r w:rsidR="00C97BE6" w:rsidRPr="002D354C">
          <w:rPr>
            <w:rFonts w:ascii="Calibri" w:hAnsi="Calibri"/>
            <w:sz w:val="22"/>
            <w:szCs w:val="22"/>
            <w:lang w:eastAsia="en-NZ"/>
          </w:rPr>
          <w:tab/>
        </w:r>
        <w:r w:rsidR="00C97BE6" w:rsidRPr="009B03B5">
          <w:rPr>
            <w:rStyle w:val="Hyperlink"/>
          </w:rPr>
          <w:t>Relationships between land-use, carbon pool and method of calculation used by New Zealand</w:t>
        </w:r>
        <w:r w:rsidR="00C97BE6">
          <w:rPr>
            <w:webHidden/>
          </w:rPr>
          <w:tab/>
        </w:r>
        <w:r w:rsidR="00C97BE6">
          <w:rPr>
            <w:webHidden/>
          </w:rPr>
          <w:fldChar w:fldCharType="begin"/>
        </w:r>
        <w:r w:rsidR="00C97BE6">
          <w:rPr>
            <w:webHidden/>
          </w:rPr>
          <w:instrText xml:space="preserve"> PAGEREF _Toc5269502 \h </w:instrText>
        </w:r>
        <w:r w:rsidR="00C97BE6">
          <w:rPr>
            <w:webHidden/>
          </w:rPr>
        </w:r>
        <w:r w:rsidR="00C97BE6">
          <w:rPr>
            <w:webHidden/>
          </w:rPr>
          <w:fldChar w:fldCharType="separate"/>
        </w:r>
        <w:r w:rsidR="00D0418C">
          <w:rPr>
            <w:webHidden/>
          </w:rPr>
          <w:t>230</w:t>
        </w:r>
        <w:r w:rsidR="00C97BE6">
          <w:rPr>
            <w:webHidden/>
          </w:rPr>
          <w:fldChar w:fldCharType="end"/>
        </w:r>
      </w:hyperlink>
    </w:p>
    <w:p w14:paraId="599061E5" w14:textId="77777777" w:rsidR="00C97BE6" w:rsidRPr="002D354C" w:rsidRDefault="00590491">
      <w:pPr>
        <w:pStyle w:val="TableofFigures"/>
        <w:rPr>
          <w:rFonts w:ascii="Calibri" w:hAnsi="Calibri"/>
          <w:sz w:val="22"/>
          <w:szCs w:val="22"/>
          <w:lang w:eastAsia="en-NZ"/>
        </w:rPr>
      </w:pPr>
      <w:hyperlink w:anchor="_Toc5269503" w:history="1">
        <w:r w:rsidR="00C97BE6" w:rsidRPr="009B03B5">
          <w:rPr>
            <w:rStyle w:val="Hyperlink"/>
          </w:rPr>
          <w:t>Table 6.1.6</w:t>
        </w:r>
        <w:r w:rsidR="00C97BE6" w:rsidRPr="002D354C">
          <w:rPr>
            <w:rFonts w:ascii="Calibri" w:hAnsi="Calibri"/>
            <w:sz w:val="22"/>
            <w:szCs w:val="22"/>
            <w:lang w:eastAsia="en-NZ"/>
          </w:rPr>
          <w:tab/>
        </w:r>
        <w:r w:rsidR="00C97BE6" w:rsidRPr="009B03B5">
          <w:rPr>
            <w:rStyle w:val="Hyperlink"/>
          </w:rPr>
          <w:t>New Zealand’s areas of pre-1990 natural forest deforestation estimated by type from 1990 to 2017</w:t>
        </w:r>
        <w:r w:rsidR="00C97BE6">
          <w:rPr>
            <w:webHidden/>
          </w:rPr>
          <w:tab/>
        </w:r>
        <w:r w:rsidR="00C97BE6">
          <w:rPr>
            <w:webHidden/>
          </w:rPr>
          <w:fldChar w:fldCharType="begin"/>
        </w:r>
        <w:r w:rsidR="00C97BE6">
          <w:rPr>
            <w:webHidden/>
          </w:rPr>
          <w:instrText xml:space="preserve"> PAGEREF _Toc5269503 \h </w:instrText>
        </w:r>
        <w:r w:rsidR="00C97BE6">
          <w:rPr>
            <w:webHidden/>
          </w:rPr>
        </w:r>
        <w:r w:rsidR="00C97BE6">
          <w:rPr>
            <w:webHidden/>
          </w:rPr>
          <w:fldChar w:fldCharType="separate"/>
        </w:r>
        <w:r w:rsidR="00D0418C">
          <w:rPr>
            <w:webHidden/>
          </w:rPr>
          <w:t>231</w:t>
        </w:r>
        <w:r w:rsidR="00C97BE6">
          <w:rPr>
            <w:webHidden/>
          </w:rPr>
          <w:fldChar w:fldCharType="end"/>
        </w:r>
      </w:hyperlink>
    </w:p>
    <w:p w14:paraId="13086D94" w14:textId="77777777" w:rsidR="00C97BE6" w:rsidRPr="002D354C" w:rsidRDefault="00590491">
      <w:pPr>
        <w:pStyle w:val="TableofFigures"/>
        <w:rPr>
          <w:rFonts w:ascii="Calibri" w:hAnsi="Calibri"/>
          <w:sz w:val="22"/>
          <w:szCs w:val="22"/>
          <w:lang w:eastAsia="en-NZ"/>
        </w:rPr>
      </w:pPr>
      <w:hyperlink w:anchor="_Toc5269504" w:history="1">
        <w:r w:rsidR="00C97BE6" w:rsidRPr="009B03B5">
          <w:rPr>
            <w:rStyle w:val="Hyperlink"/>
          </w:rPr>
          <w:t>Table 6.1.7</w:t>
        </w:r>
        <w:r w:rsidR="00C97BE6" w:rsidRPr="002D354C">
          <w:rPr>
            <w:rFonts w:ascii="Calibri" w:hAnsi="Calibri"/>
            <w:sz w:val="22"/>
            <w:szCs w:val="22"/>
            <w:lang w:eastAsia="en-NZ"/>
          </w:rPr>
          <w:tab/>
        </w:r>
        <w:r w:rsidR="00C97BE6" w:rsidRPr="009B03B5">
          <w:rPr>
            <w:rStyle w:val="Hyperlink"/>
          </w:rPr>
          <w:t>Land use categories making the greatest contribution to uncertainty in the LULUCF sector</w:t>
        </w:r>
        <w:r w:rsidR="00C97BE6">
          <w:rPr>
            <w:webHidden/>
          </w:rPr>
          <w:tab/>
        </w:r>
        <w:r w:rsidR="00C97BE6">
          <w:rPr>
            <w:webHidden/>
          </w:rPr>
          <w:fldChar w:fldCharType="begin"/>
        </w:r>
        <w:r w:rsidR="00C97BE6">
          <w:rPr>
            <w:webHidden/>
          </w:rPr>
          <w:instrText xml:space="preserve"> PAGEREF _Toc5269504 \h </w:instrText>
        </w:r>
        <w:r w:rsidR="00C97BE6">
          <w:rPr>
            <w:webHidden/>
          </w:rPr>
        </w:r>
        <w:r w:rsidR="00C97BE6">
          <w:rPr>
            <w:webHidden/>
          </w:rPr>
          <w:fldChar w:fldCharType="separate"/>
        </w:r>
        <w:r w:rsidR="00D0418C">
          <w:rPr>
            <w:webHidden/>
          </w:rPr>
          <w:t>233</w:t>
        </w:r>
        <w:r w:rsidR="00C97BE6">
          <w:rPr>
            <w:webHidden/>
          </w:rPr>
          <w:fldChar w:fldCharType="end"/>
        </w:r>
      </w:hyperlink>
    </w:p>
    <w:p w14:paraId="45608302" w14:textId="77777777" w:rsidR="00C97BE6" w:rsidRPr="002D354C" w:rsidRDefault="00590491">
      <w:pPr>
        <w:pStyle w:val="TableofFigures"/>
        <w:rPr>
          <w:rFonts w:ascii="Calibri" w:hAnsi="Calibri"/>
          <w:sz w:val="22"/>
          <w:szCs w:val="22"/>
          <w:lang w:eastAsia="en-NZ"/>
        </w:rPr>
      </w:pPr>
      <w:hyperlink w:anchor="_Toc5269505" w:history="1">
        <w:r w:rsidR="00C97BE6" w:rsidRPr="009B03B5">
          <w:rPr>
            <w:rStyle w:val="Hyperlink"/>
          </w:rPr>
          <w:t>Table 6.1.8</w:t>
        </w:r>
        <w:r w:rsidR="00C97BE6" w:rsidRPr="002D354C">
          <w:rPr>
            <w:rFonts w:ascii="Calibri" w:hAnsi="Calibri"/>
            <w:sz w:val="22"/>
            <w:szCs w:val="22"/>
            <w:lang w:eastAsia="en-NZ"/>
          </w:rPr>
          <w:tab/>
        </w:r>
        <w:r w:rsidR="00C97BE6" w:rsidRPr="009B03B5">
          <w:rPr>
            <w:rStyle w:val="Hyperlink"/>
          </w:rPr>
          <w:t>Recalculations to New Zealand’s total net LULUCF emissions for 1990 and 2016</w:t>
        </w:r>
        <w:r w:rsidR="00C97BE6">
          <w:rPr>
            <w:webHidden/>
          </w:rPr>
          <w:tab/>
        </w:r>
        <w:r w:rsidR="00C97BE6">
          <w:rPr>
            <w:webHidden/>
          </w:rPr>
          <w:fldChar w:fldCharType="begin"/>
        </w:r>
        <w:r w:rsidR="00C97BE6">
          <w:rPr>
            <w:webHidden/>
          </w:rPr>
          <w:instrText xml:space="preserve"> PAGEREF _Toc5269505 \h </w:instrText>
        </w:r>
        <w:r w:rsidR="00C97BE6">
          <w:rPr>
            <w:webHidden/>
          </w:rPr>
        </w:r>
        <w:r w:rsidR="00C97BE6">
          <w:rPr>
            <w:webHidden/>
          </w:rPr>
          <w:fldChar w:fldCharType="separate"/>
        </w:r>
        <w:r w:rsidR="00D0418C">
          <w:rPr>
            <w:webHidden/>
          </w:rPr>
          <w:t>233</w:t>
        </w:r>
        <w:r w:rsidR="00C97BE6">
          <w:rPr>
            <w:webHidden/>
          </w:rPr>
          <w:fldChar w:fldCharType="end"/>
        </w:r>
      </w:hyperlink>
    </w:p>
    <w:p w14:paraId="228EBF11" w14:textId="77777777" w:rsidR="00C97BE6" w:rsidRPr="002D354C" w:rsidRDefault="00590491">
      <w:pPr>
        <w:pStyle w:val="TableofFigures"/>
        <w:rPr>
          <w:rFonts w:ascii="Calibri" w:hAnsi="Calibri"/>
          <w:sz w:val="22"/>
          <w:szCs w:val="22"/>
          <w:lang w:eastAsia="en-NZ"/>
        </w:rPr>
      </w:pPr>
      <w:hyperlink w:anchor="_Toc5269506" w:history="1">
        <w:r w:rsidR="00C97BE6" w:rsidRPr="009B03B5">
          <w:rPr>
            <w:rStyle w:val="Hyperlink"/>
          </w:rPr>
          <w:t>Table 6.1.9</w:t>
        </w:r>
        <w:r w:rsidR="00C97BE6" w:rsidRPr="002D354C">
          <w:rPr>
            <w:rFonts w:ascii="Calibri" w:hAnsi="Calibri"/>
            <w:sz w:val="22"/>
            <w:szCs w:val="22"/>
            <w:lang w:eastAsia="en-NZ"/>
          </w:rPr>
          <w:tab/>
        </w:r>
        <w:r w:rsidR="00C97BE6" w:rsidRPr="009B03B5">
          <w:rPr>
            <w:rStyle w:val="Hyperlink"/>
          </w:rPr>
          <w:t>Recalculations to New Zealand’s net LULUCF emissions for 1990 and 2016 by category</w:t>
        </w:r>
        <w:r w:rsidR="00C97BE6">
          <w:rPr>
            <w:webHidden/>
          </w:rPr>
          <w:tab/>
        </w:r>
        <w:r w:rsidR="00C97BE6">
          <w:rPr>
            <w:webHidden/>
          </w:rPr>
          <w:fldChar w:fldCharType="begin"/>
        </w:r>
        <w:r w:rsidR="00C97BE6">
          <w:rPr>
            <w:webHidden/>
          </w:rPr>
          <w:instrText xml:space="preserve"> PAGEREF _Toc5269506 \h </w:instrText>
        </w:r>
        <w:r w:rsidR="00C97BE6">
          <w:rPr>
            <w:webHidden/>
          </w:rPr>
        </w:r>
        <w:r w:rsidR="00C97BE6">
          <w:rPr>
            <w:webHidden/>
          </w:rPr>
          <w:fldChar w:fldCharType="separate"/>
        </w:r>
        <w:r w:rsidR="00D0418C">
          <w:rPr>
            <w:webHidden/>
          </w:rPr>
          <w:t>234</w:t>
        </w:r>
        <w:r w:rsidR="00C97BE6">
          <w:rPr>
            <w:webHidden/>
          </w:rPr>
          <w:fldChar w:fldCharType="end"/>
        </w:r>
      </w:hyperlink>
    </w:p>
    <w:p w14:paraId="5944B2C3" w14:textId="77777777" w:rsidR="00C97BE6" w:rsidRPr="002D354C" w:rsidRDefault="00590491">
      <w:pPr>
        <w:pStyle w:val="TableofFigures"/>
        <w:rPr>
          <w:rFonts w:ascii="Calibri" w:hAnsi="Calibri"/>
          <w:sz w:val="22"/>
          <w:szCs w:val="22"/>
          <w:lang w:eastAsia="en-NZ"/>
        </w:rPr>
      </w:pPr>
      <w:hyperlink w:anchor="_Toc5269507" w:history="1">
        <w:r w:rsidR="00C97BE6" w:rsidRPr="009B03B5">
          <w:rPr>
            <w:rStyle w:val="Hyperlink"/>
          </w:rPr>
          <w:t>Table 6.2.1</w:t>
        </w:r>
        <w:r w:rsidR="00C97BE6" w:rsidRPr="002D354C">
          <w:rPr>
            <w:rFonts w:ascii="Calibri" w:hAnsi="Calibri"/>
            <w:sz w:val="22"/>
            <w:szCs w:val="22"/>
            <w:lang w:eastAsia="en-NZ"/>
          </w:rPr>
          <w:tab/>
        </w:r>
        <w:r w:rsidR="00C97BE6" w:rsidRPr="009B03B5">
          <w:rPr>
            <w:rStyle w:val="Hyperlink"/>
          </w:rPr>
          <w:t>New Zealand’s land use categories and land uses</w:t>
        </w:r>
        <w:r w:rsidR="00C97BE6">
          <w:rPr>
            <w:webHidden/>
          </w:rPr>
          <w:tab/>
        </w:r>
        <w:r w:rsidR="00C97BE6">
          <w:rPr>
            <w:webHidden/>
          </w:rPr>
          <w:fldChar w:fldCharType="begin"/>
        </w:r>
        <w:r w:rsidR="00C97BE6">
          <w:rPr>
            <w:webHidden/>
          </w:rPr>
          <w:instrText xml:space="preserve"> PAGEREF _Toc5269507 \h </w:instrText>
        </w:r>
        <w:r w:rsidR="00C97BE6">
          <w:rPr>
            <w:webHidden/>
          </w:rPr>
        </w:r>
        <w:r w:rsidR="00C97BE6">
          <w:rPr>
            <w:webHidden/>
          </w:rPr>
          <w:fldChar w:fldCharType="separate"/>
        </w:r>
        <w:r w:rsidR="00D0418C">
          <w:rPr>
            <w:webHidden/>
          </w:rPr>
          <w:t>235</w:t>
        </w:r>
        <w:r w:rsidR="00C97BE6">
          <w:rPr>
            <w:webHidden/>
          </w:rPr>
          <w:fldChar w:fldCharType="end"/>
        </w:r>
      </w:hyperlink>
    </w:p>
    <w:p w14:paraId="3B8AB689" w14:textId="77777777" w:rsidR="00C97BE6" w:rsidRPr="002D354C" w:rsidRDefault="00590491">
      <w:pPr>
        <w:pStyle w:val="TableofFigures"/>
        <w:rPr>
          <w:rFonts w:ascii="Calibri" w:hAnsi="Calibri"/>
          <w:sz w:val="22"/>
          <w:szCs w:val="22"/>
          <w:lang w:eastAsia="en-NZ"/>
        </w:rPr>
      </w:pPr>
      <w:hyperlink w:anchor="_Toc5269508" w:history="1">
        <w:r w:rsidR="00C97BE6" w:rsidRPr="009B03B5">
          <w:rPr>
            <w:rStyle w:val="Hyperlink"/>
          </w:rPr>
          <w:t>Table 6.2.2</w:t>
        </w:r>
        <w:r w:rsidR="00C97BE6" w:rsidRPr="002D354C">
          <w:rPr>
            <w:rFonts w:ascii="Calibri" w:hAnsi="Calibri"/>
            <w:sz w:val="22"/>
            <w:szCs w:val="22"/>
            <w:lang w:eastAsia="en-NZ"/>
          </w:rPr>
          <w:tab/>
        </w:r>
        <w:r w:rsidR="00C97BE6" w:rsidRPr="009B03B5">
          <w:rPr>
            <w:rStyle w:val="Hyperlink"/>
          </w:rPr>
          <w:t>New Zealand’s mapping definitions for each land use</w:t>
        </w:r>
        <w:r w:rsidR="00C97BE6">
          <w:rPr>
            <w:webHidden/>
          </w:rPr>
          <w:tab/>
        </w:r>
        <w:r w:rsidR="00C97BE6">
          <w:rPr>
            <w:webHidden/>
          </w:rPr>
          <w:fldChar w:fldCharType="begin"/>
        </w:r>
        <w:r w:rsidR="00C97BE6">
          <w:rPr>
            <w:webHidden/>
          </w:rPr>
          <w:instrText xml:space="preserve"> PAGEREF _Toc5269508 \h </w:instrText>
        </w:r>
        <w:r w:rsidR="00C97BE6">
          <w:rPr>
            <w:webHidden/>
          </w:rPr>
        </w:r>
        <w:r w:rsidR="00C97BE6">
          <w:rPr>
            <w:webHidden/>
          </w:rPr>
          <w:fldChar w:fldCharType="separate"/>
        </w:r>
        <w:r w:rsidR="00D0418C">
          <w:rPr>
            <w:webHidden/>
          </w:rPr>
          <w:t>236</w:t>
        </w:r>
        <w:r w:rsidR="00C97BE6">
          <w:rPr>
            <w:webHidden/>
          </w:rPr>
          <w:fldChar w:fldCharType="end"/>
        </w:r>
      </w:hyperlink>
    </w:p>
    <w:p w14:paraId="53897B7D" w14:textId="77777777" w:rsidR="00C97BE6" w:rsidRPr="002D354C" w:rsidRDefault="00590491">
      <w:pPr>
        <w:pStyle w:val="TableofFigures"/>
        <w:rPr>
          <w:rFonts w:ascii="Calibri" w:hAnsi="Calibri"/>
          <w:sz w:val="22"/>
          <w:szCs w:val="22"/>
          <w:lang w:eastAsia="en-NZ"/>
        </w:rPr>
      </w:pPr>
      <w:hyperlink w:anchor="_Toc5269509" w:history="1">
        <w:r w:rsidR="00C97BE6" w:rsidRPr="009B03B5">
          <w:rPr>
            <w:rStyle w:val="Hyperlink"/>
          </w:rPr>
          <w:t>Table 6.2.3</w:t>
        </w:r>
        <w:r w:rsidR="00C97BE6" w:rsidRPr="002D354C">
          <w:rPr>
            <w:rFonts w:ascii="Calibri" w:hAnsi="Calibri"/>
            <w:sz w:val="22"/>
            <w:szCs w:val="22"/>
            <w:lang w:eastAsia="en-NZ"/>
          </w:rPr>
          <w:tab/>
        </w:r>
        <w:r w:rsidR="00C97BE6" w:rsidRPr="009B03B5">
          <w:rPr>
            <w:rStyle w:val="Hyperlink"/>
          </w:rPr>
          <w:t>Satellite imagery used for land use mapping in 1990, 2008 and 2012</w:t>
        </w:r>
        <w:r w:rsidR="00C97BE6">
          <w:rPr>
            <w:webHidden/>
          </w:rPr>
          <w:tab/>
        </w:r>
        <w:r w:rsidR="00C97BE6">
          <w:rPr>
            <w:webHidden/>
          </w:rPr>
          <w:fldChar w:fldCharType="begin"/>
        </w:r>
        <w:r w:rsidR="00C97BE6">
          <w:rPr>
            <w:webHidden/>
          </w:rPr>
          <w:instrText xml:space="preserve"> PAGEREF _Toc5269509 \h </w:instrText>
        </w:r>
        <w:r w:rsidR="00C97BE6">
          <w:rPr>
            <w:webHidden/>
          </w:rPr>
        </w:r>
        <w:r w:rsidR="00C97BE6">
          <w:rPr>
            <w:webHidden/>
          </w:rPr>
          <w:fldChar w:fldCharType="separate"/>
        </w:r>
        <w:r w:rsidR="00D0418C">
          <w:rPr>
            <w:webHidden/>
          </w:rPr>
          <w:t>238</w:t>
        </w:r>
        <w:r w:rsidR="00C97BE6">
          <w:rPr>
            <w:webHidden/>
          </w:rPr>
          <w:fldChar w:fldCharType="end"/>
        </w:r>
      </w:hyperlink>
    </w:p>
    <w:p w14:paraId="5C533C75" w14:textId="77777777" w:rsidR="00C97BE6" w:rsidRPr="002D354C" w:rsidRDefault="00590491">
      <w:pPr>
        <w:pStyle w:val="TableofFigures"/>
        <w:rPr>
          <w:rFonts w:ascii="Calibri" w:hAnsi="Calibri"/>
          <w:sz w:val="22"/>
          <w:szCs w:val="22"/>
          <w:lang w:eastAsia="en-NZ"/>
        </w:rPr>
      </w:pPr>
      <w:hyperlink w:anchor="_Toc5269510" w:history="1">
        <w:r w:rsidR="00C97BE6" w:rsidRPr="009B03B5">
          <w:rPr>
            <w:rStyle w:val="Hyperlink"/>
          </w:rPr>
          <w:t>Table 6.2.4</w:t>
        </w:r>
        <w:r w:rsidR="00C97BE6" w:rsidRPr="002D354C">
          <w:rPr>
            <w:rFonts w:ascii="Calibri" w:hAnsi="Calibri"/>
            <w:sz w:val="22"/>
            <w:szCs w:val="22"/>
            <w:lang w:eastAsia="en-NZ"/>
          </w:rPr>
          <w:tab/>
        </w:r>
        <w:r w:rsidR="00C97BE6" w:rsidRPr="009B03B5">
          <w:rPr>
            <w:rStyle w:val="Hyperlink"/>
          </w:rPr>
          <w:t>Ancillary mosaicked imagery data sets used in land use mapping</w:t>
        </w:r>
        <w:r w:rsidR="00C97BE6">
          <w:rPr>
            <w:webHidden/>
          </w:rPr>
          <w:tab/>
        </w:r>
        <w:r w:rsidR="00C97BE6">
          <w:rPr>
            <w:webHidden/>
          </w:rPr>
          <w:fldChar w:fldCharType="begin"/>
        </w:r>
        <w:r w:rsidR="00C97BE6">
          <w:rPr>
            <w:webHidden/>
          </w:rPr>
          <w:instrText xml:space="preserve"> PAGEREF _Toc5269510 \h </w:instrText>
        </w:r>
        <w:r w:rsidR="00C97BE6">
          <w:rPr>
            <w:webHidden/>
          </w:rPr>
        </w:r>
        <w:r w:rsidR="00C97BE6">
          <w:rPr>
            <w:webHidden/>
          </w:rPr>
          <w:fldChar w:fldCharType="separate"/>
        </w:r>
        <w:r w:rsidR="00D0418C">
          <w:rPr>
            <w:webHidden/>
          </w:rPr>
          <w:t>244</w:t>
        </w:r>
        <w:r w:rsidR="00C97BE6">
          <w:rPr>
            <w:webHidden/>
          </w:rPr>
          <w:fldChar w:fldCharType="end"/>
        </w:r>
      </w:hyperlink>
    </w:p>
    <w:p w14:paraId="00432A60" w14:textId="77777777" w:rsidR="00C97BE6" w:rsidRPr="002D354C" w:rsidRDefault="00590491">
      <w:pPr>
        <w:pStyle w:val="TableofFigures"/>
        <w:rPr>
          <w:rFonts w:ascii="Calibri" w:hAnsi="Calibri"/>
          <w:sz w:val="22"/>
          <w:szCs w:val="22"/>
          <w:lang w:eastAsia="en-NZ"/>
        </w:rPr>
      </w:pPr>
      <w:hyperlink w:anchor="_Toc5269511" w:history="1">
        <w:r w:rsidR="00C97BE6" w:rsidRPr="009B03B5">
          <w:rPr>
            <w:rStyle w:val="Hyperlink"/>
          </w:rPr>
          <w:t>Table 6.2.5</w:t>
        </w:r>
        <w:r w:rsidR="00C97BE6" w:rsidRPr="002D354C">
          <w:rPr>
            <w:rFonts w:ascii="Calibri" w:hAnsi="Calibri"/>
            <w:sz w:val="22"/>
            <w:szCs w:val="22"/>
            <w:lang w:eastAsia="en-NZ"/>
          </w:rPr>
          <w:tab/>
        </w:r>
        <w:r w:rsidR="00C97BE6" w:rsidRPr="009B03B5">
          <w:rPr>
            <w:rStyle w:val="Hyperlink"/>
          </w:rPr>
          <w:t>New Zealand’s land-use change matrix from 1962 to 1989</w:t>
        </w:r>
        <w:r w:rsidR="00C97BE6">
          <w:rPr>
            <w:webHidden/>
          </w:rPr>
          <w:tab/>
        </w:r>
        <w:r w:rsidR="00C97BE6">
          <w:rPr>
            <w:webHidden/>
          </w:rPr>
          <w:fldChar w:fldCharType="begin"/>
        </w:r>
        <w:r w:rsidR="00C97BE6">
          <w:rPr>
            <w:webHidden/>
          </w:rPr>
          <w:instrText xml:space="preserve"> PAGEREF _Toc5269511 \h </w:instrText>
        </w:r>
        <w:r w:rsidR="00C97BE6">
          <w:rPr>
            <w:webHidden/>
          </w:rPr>
        </w:r>
        <w:r w:rsidR="00C97BE6">
          <w:rPr>
            <w:webHidden/>
          </w:rPr>
          <w:fldChar w:fldCharType="separate"/>
        </w:r>
        <w:r w:rsidR="00D0418C">
          <w:rPr>
            <w:webHidden/>
          </w:rPr>
          <w:t>251</w:t>
        </w:r>
        <w:r w:rsidR="00C97BE6">
          <w:rPr>
            <w:webHidden/>
          </w:rPr>
          <w:fldChar w:fldCharType="end"/>
        </w:r>
      </w:hyperlink>
    </w:p>
    <w:p w14:paraId="2BBD5E7F" w14:textId="77777777" w:rsidR="00C97BE6" w:rsidRPr="002D354C" w:rsidRDefault="00590491">
      <w:pPr>
        <w:pStyle w:val="TableofFigures"/>
        <w:rPr>
          <w:rFonts w:ascii="Calibri" w:hAnsi="Calibri"/>
          <w:sz w:val="22"/>
          <w:szCs w:val="22"/>
          <w:lang w:eastAsia="en-NZ"/>
        </w:rPr>
      </w:pPr>
      <w:hyperlink w:anchor="_Toc5269512" w:history="1">
        <w:r w:rsidR="00C97BE6" w:rsidRPr="009B03B5">
          <w:rPr>
            <w:rStyle w:val="Hyperlink"/>
          </w:rPr>
          <w:t>Table 6.2.6</w:t>
        </w:r>
        <w:r w:rsidR="00C97BE6" w:rsidRPr="002D354C">
          <w:rPr>
            <w:rFonts w:ascii="Calibri" w:hAnsi="Calibri"/>
            <w:sz w:val="22"/>
            <w:szCs w:val="22"/>
            <w:lang w:eastAsia="en-NZ"/>
          </w:rPr>
          <w:tab/>
        </w:r>
        <w:r w:rsidR="00C97BE6" w:rsidRPr="009B03B5">
          <w:rPr>
            <w:rStyle w:val="Hyperlink"/>
          </w:rPr>
          <w:t>New Zealand’s land-use change matrix from 2016 to 2017</w:t>
        </w:r>
        <w:r w:rsidR="00C97BE6">
          <w:rPr>
            <w:webHidden/>
          </w:rPr>
          <w:tab/>
        </w:r>
        <w:r w:rsidR="00C97BE6">
          <w:rPr>
            <w:webHidden/>
          </w:rPr>
          <w:fldChar w:fldCharType="begin"/>
        </w:r>
        <w:r w:rsidR="00C97BE6">
          <w:rPr>
            <w:webHidden/>
          </w:rPr>
          <w:instrText xml:space="preserve"> PAGEREF _Toc5269512 \h </w:instrText>
        </w:r>
        <w:r w:rsidR="00C97BE6">
          <w:rPr>
            <w:webHidden/>
          </w:rPr>
        </w:r>
        <w:r w:rsidR="00C97BE6">
          <w:rPr>
            <w:webHidden/>
          </w:rPr>
          <w:fldChar w:fldCharType="separate"/>
        </w:r>
        <w:r w:rsidR="00D0418C">
          <w:rPr>
            <w:webHidden/>
          </w:rPr>
          <w:t>252</w:t>
        </w:r>
        <w:r w:rsidR="00C97BE6">
          <w:rPr>
            <w:webHidden/>
          </w:rPr>
          <w:fldChar w:fldCharType="end"/>
        </w:r>
      </w:hyperlink>
    </w:p>
    <w:p w14:paraId="1ADEFBC4" w14:textId="77777777" w:rsidR="00C97BE6" w:rsidRPr="002D354C" w:rsidRDefault="00590491">
      <w:pPr>
        <w:pStyle w:val="TableofFigures"/>
        <w:rPr>
          <w:rFonts w:ascii="Calibri" w:hAnsi="Calibri"/>
          <w:sz w:val="22"/>
          <w:szCs w:val="22"/>
          <w:lang w:eastAsia="en-NZ"/>
        </w:rPr>
      </w:pPr>
      <w:hyperlink w:anchor="_Toc5269513" w:history="1">
        <w:r w:rsidR="00C97BE6" w:rsidRPr="009B03B5">
          <w:rPr>
            <w:rStyle w:val="Hyperlink"/>
          </w:rPr>
          <w:t>Table 6.2.7</w:t>
        </w:r>
        <w:r w:rsidR="00C97BE6" w:rsidRPr="002D354C">
          <w:rPr>
            <w:rFonts w:ascii="Calibri" w:hAnsi="Calibri"/>
            <w:sz w:val="22"/>
            <w:szCs w:val="22"/>
            <w:lang w:eastAsia="en-NZ"/>
          </w:rPr>
          <w:tab/>
        </w:r>
        <w:r w:rsidR="00C97BE6" w:rsidRPr="009B03B5">
          <w:rPr>
            <w:rStyle w:val="Hyperlink"/>
          </w:rPr>
          <w:t>New Zealand’s land-use change matrix from 1990 to 2017</w:t>
        </w:r>
        <w:r w:rsidR="00C97BE6">
          <w:rPr>
            <w:webHidden/>
          </w:rPr>
          <w:tab/>
        </w:r>
        <w:r w:rsidR="00C97BE6">
          <w:rPr>
            <w:webHidden/>
          </w:rPr>
          <w:fldChar w:fldCharType="begin"/>
        </w:r>
        <w:r w:rsidR="00C97BE6">
          <w:rPr>
            <w:webHidden/>
          </w:rPr>
          <w:instrText xml:space="preserve"> PAGEREF _Toc5269513 \h </w:instrText>
        </w:r>
        <w:r w:rsidR="00C97BE6">
          <w:rPr>
            <w:webHidden/>
          </w:rPr>
        </w:r>
        <w:r w:rsidR="00C97BE6">
          <w:rPr>
            <w:webHidden/>
          </w:rPr>
          <w:fldChar w:fldCharType="separate"/>
        </w:r>
        <w:r w:rsidR="00D0418C">
          <w:rPr>
            <w:webHidden/>
          </w:rPr>
          <w:t>253</w:t>
        </w:r>
        <w:r w:rsidR="00C97BE6">
          <w:rPr>
            <w:webHidden/>
          </w:rPr>
          <w:fldChar w:fldCharType="end"/>
        </w:r>
      </w:hyperlink>
    </w:p>
    <w:p w14:paraId="776D56F5" w14:textId="77777777" w:rsidR="00C97BE6" w:rsidRPr="002D354C" w:rsidRDefault="00590491">
      <w:pPr>
        <w:pStyle w:val="TableofFigures"/>
        <w:rPr>
          <w:rFonts w:ascii="Calibri" w:hAnsi="Calibri"/>
          <w:sz w:val="22"/>
          <w:szCs w:val="22"/>
          <w:lang w:eastAsia="en-NZ"/>
        </w:rPr>
      </w:pPr>
      <w:hyperlink w:anchor="_Toc5269514" w:history="1">
        <w:r w:rsidR="00C97BE6" w:rsidRPr="009B03B5">
          <w:rPr>
            <w:rStyle w:val="Hyperlink"/>
          </w:rPr>
          <w:t>Table 6.3.1</w:t>
        </w:r>
        <w:r w:rsidR="00C97BE6" w:rsidRPr="002D354C">
          <w:rPr>
            <w:rFonts w:ascii="Calibri" w:hAnsi="Calibri"/>
            <w:sz w:val="22"/>
            <w:szCs w:val="22"/>
            <w:lang w:eastAsia="en-NZ"/>
          </w:rPr>
          <w:tab/>
        </w:r>
        <w:r w:rsidR="00C97BE6" w:rsidRPr="009B03B5">
          <w:rPr>
            <w:rStyle w:val="Hyperlink"/>
          </w:rPr>
          <w:t xml:space="preserve">Land use effect coefficients with standard errors, </w:t>
        </w:r>
        <w:r w:rsidR="00C97BE6" w:rsidRPr="009B03B5">
          <w:rPr>
            <w:rStyle w:val="Hyperlink"/>
            <w:i/>
          </w:rPr>
          <w:t>t</w:t>
        </w:r>
        <w:r w:rsidR="00C97BE6" w:rsidRPr="009B03B5">
          <w:rPr>
            <w:rStyle w:val="Hyperlink"/>
          </w:rPr>
          <w:t xml:space="preserve">-values, and corresponding </w:t>
        </w:r>
        <w:r w:rsidR="00C97BE6" w:rsidRPr="009B03B5">
          <w:rPr>
            <w:rStyle w:val="Hyperlink"/>
            <w:i/>
          </w:rPr>
          <w:t>p</w:t>
        </w:r>
        <w:r w:rsidR="00C97BE6" w:rsidRPr="009B03B5">
          <w:rPr>
            <w:rStyle w:val="Hyperlink"/>
          </w:rPr>
          <w:t>-value significance estimates, extracted from full model results</w:t>
        </w:r>
        <w:r w:rsidR="00C97BE6">
          <w:rPr>
            <w:webHidden/>
          </w:rPr>
          <w:tab/>
        </w:r>
        <w:r w:rsidR="00C97BE6">
          <w:rPr>
            <w:webHidden/>
          </w:rPr>
          <w:fldChar w:fldCharType="begin"/>
        </w:r>
        <w:r w:rsidR="00C97BE6">
          <w:rPr>
            <w:webHidden/>
          </w:rPr>
          <w:instrText xml:space="preserve"> PAGEREF _Toc5269514 \h </w:instrText>
        </w:r>
        <w:r w:rsidR="00C97BE6">
          <w:rPr>
            <w:webHidden/>
          </w:rPr>
        </w:r>
        <w:r w:rsidR="00C97BE6">
          <w:rPr>
            <w:webHidden/>
          </w:rPr>
          <w:fldChar w:fldCharType="separate"/>
        </w:r>
        <w:r w:rsidR="00D0418C">
          <w:rPr>
            <w:webHidden/>
          </w:rPr>
          <w:t>260</w:t>
        </w:r>
        <w:r w:rsidR="00C97BE6">
          <w:rPr>
            <w:webHidden/>
          </w:rPr>
          <w:fldChar w:fldCharType="end"/>
        </w:r>
      </w:hyperlink>
    </w:p>
    <w:p w14:paraId="38ADDD28" w14:textId="77777777" w:rsidR="00C97BE6" w:rsidRPr="002D354C" w:rsidRDefault="00590491">
      <w:pPr>
        <w:pStyle w:val="TableofFigures"/>
        <w:rPr>
          <w:rFonts w:ascii="Calibri" w:hAnsi="Calibri"/>
          <w:sz w:val="22"/>
          <w:szCs w:val="22"/>
          <w:lang w:eastAsia="en-NZ"/>
        </w:rPr>
      </w:pPr>
      <w:hyperlink w:anchor="_Toc5269515" w:history="1">
        <w:r w:rsidR="00C97BE6" w:rsidRPr="009B03B5">
          <w:rPr>
            <w:rStyle w:val="Hyperlink"/>
          </w:rPr>
          <w:t>Table 6.3.2</w:t>
        </w:r>
        <w:r w:rsidR="00C97BE6" w:rsidRPr="002D354C">
          <w:rPr>
            <w:rFonts w:ascii="Calibri" w:hAnsi="Calibri"/>
            <w:sz w:val="22"/>
            <w:szCs w:val="22"/>
            <w:lang w:eastAsia="en-NZ"/>
          </w:rPr>
          <w:tab/>
        </w:r>
        <w:r w:rsidR="00C97BE6" w:rsidRPr="009B03B5">
          <w:rPr>
            <w:rStyle w:val="Hyperlink"/>
          </w:rPr>
          <w:t>Steady state soil organic carbon stocks, with 95 per cent confidence intervals, calculated from Soil CMS model</w:t>
        </w:r>
        <w:r w:rsidR="00C97BE6">
          <w:rPr>
            <w:webHidden/>
          </w:rPr>
          <w:tab/>
        </w:r>
        <w:r w:rsidR="00C97BE6">
          <w:rPr>
            <w:webHidden/>
          </w:rPr>
          <w:fldChar w:fldCharType="begin"/>
        </w:r>
        <w:r w:rsidR="00C97BE6">
          <w:rPr>
            <w:webHidden/>
          </w:rPr>
          <w:instrText xml:space="preserve"> PAGEREF _Toc5269515 \h </w:instrText>
        </w:r>
        <w:r w:rsidR="00C97BE6">
          <w:rPr>
            <w:webHidden/>
          </w:rPr>
        </w:r>
        <w:r w:rsidR="00C97BE6">
          <w:rPr>
            <w:webHidden/>
          </w:rPr>
          <w:fldChar w:fldCharType="separate"/>
        </w:r>
        <w:r w:rsidR="00D0418C">
          <w:rPr>
            <w:webHidden/>
          </w:rPr>
          <w:t>261</w:t>
        </w:r>
        <w:r w:rsidR="00C97BE6">
          <w:rPr>
            <w:webHidden/>
          </w:rPr>
          <w:fldChar w:fldCharType="end"/>
        </w:r>
      </w:hyperlink>
    </w:p>
    <w:p w14:paraId="010A0D98" w14:textId="77777777" w:rsidR="00C97BE6" w:rsidRPr="002D354C" w:rsidRDefault="00590491">
      <w:pPr>
        <w:pStyle w:val="TableofFigures"/>
        <w:rPr>
          <w:rFonts w:ascii="Calibri" w:hAnsi="Calibri"/>
          <w:sz w:val="22"/>
          <w:szCs w:val="22"/>
          <w:lang w:eastAsia="en-NZ"/>
        </w:rPr>
      </w:pPr>
      <w:hyperlink w:anchor="_Toc5269516" w:history="1">
        <w:r w:rsidR="00C97BE6" w:rsidRPr="009B03B5">
          <w:rPr>
            <w:rStyle w:val="Hyperlink"/>
          </w:rPr>
          <w:t>Table 6.3.3</w:t>
        </w:r>
        <w:r w:rsidR="00C97BE6" w:rsidRPr="002D354C">
          <w:rPr>
            <w:rFonts w:ascii="Calibri" w:hAnsi="Calibri"/>
            <w:sz w:val="22"/>
            <w:szCs w:val="22"/>
            <w:lang w:eastAsia="en-NZ"/>
          </w:rPr>
          <w:tab/>
        </w:r>
        <w:r w:rsidR="00C97BE6" w:rsidRPr="009B03B5">
          <w:rPr>
            <w:rStyle w:val="Hyperlink"/>
          </w:rPr>
          <w:t>New Zealand emission factors for organic soils</w:t>
        </w:r>
        <w:r w:rsidR="00C97BE6">
          <w:rPr>
            <w:webHidden/>
          </w:rPr>
          <w:tab/>
        </w:r>
        <w:r w:rsidR="00C97BE6">
          <w:rPr>
            <w:webHidden/>
          </w:rPr>
          <w:fldChar w:fldCharType="begin"/>
        </w:r>
        <w:r w:rsidR="00C97BE6">
          <w:rPr>
            <w:webHidden/>
          </w:rPr>
          <w:instrText xml:space="preserve"> PAGEREF _Toc5269516 \h </w:instrText>
        </w:r>
        <w:r w:rsidR="00C97BE6">
          <w:rPr>
            <w:webHidden/>
          </w:rPr>
        </w:r>
        <w:r w:rsidR="00C97BE6">
          <w:rPr>
            <w:webHidden/>
          </w:rPr>
          <w:fldChar w:fldCharType="separate"/>
        </w:r>
        <w:r w:rsidR="00D0418C">
          <w:rPr>
            <w:webHidden/>
          </w:rPr>
          <w:t>263</w:t>
        </w:r>
        <w:r w:rsidR="00C97BE6">
          <w:rPr>
            <w:webHidden/>
          </w:rPr>
          <w:fldChar w:fldCharType="end"/>
        </w:r>
      </w:hyperlink>
    </w:p>
    <w:p w14:paraId="79B82D53" w14:textId="77777777" w:rsidR="00C97BE6" w:rsidRPr="002D354C" w:rsidRDefault="00590491">
      <w:pPr>
        <w:pStyle w:val="TableofFigures"/>
        <w:rPr>
          <w:rFonts w:ascii="Calibri" w:hAnsi="Calibri"/>
          <w:sz w:val="22"/>
          <w:szCs w:val="22"/>
          <w:lang w:eastAsia="en-NZ"/>
        </w:rPr>
      </w:pPr>
      <w:hyperlink w:anchor="_Toc5269517" w:history="1">
        <w:r w:rsidR="00C97BE6" w:rsidRPr="009B03B5">
          <w:rPr>
            <w:rStyle w:val="Hyperlink"/>
          </w:rPr>
          <w:t>Table 6.4.1</w:t>
        </w:r>
        <w:r w:rsidR="00C97BE6" w:rsidRPr="002D354C">
          <w:rPr>
            <w:rFonts w:ascii="Calibri" w:hAnsi="Calibri"/>
            <w:sz w:val="22"/>
            <w:szCs w:val="22"/>
            <w:lang w:eastAsia="en-NZ"/>
          </w:rPr>
          <w:tab/>
        </w:r>
        <w:r w:rsidR="00C97BE6" w:rsidRPr="009B03B5">
          <w:rPr>
            <w:rStyle w:val="Hyperlink"/>
          </w:rPr>
          <w:t>New Zealand’s land-use change for the Forest land category, and associated CO</w:t>
        </w:r>
        <w:r w:rsidR="00C97BE6" w:rsidRPr="009B03B5">
          <w:rPr>
            <w:rStyle w:val="Hyperlink"/>
            <w:vertAlign w:val="subscript"/>
          </w:rPr>
          <w:t>2</w:t>
        </w:r>
        <w:r w:rsidR="00C97BE6" w:rsidRPr="009B03B5">
          <w:rPr>
            <w:rStyle w:val="Hyperlink"/>
          </w:rPr>
          <w:t>-e emissions, in 1990 and 2017</w:t>
        </w:r>
        <w:r w:rsidR="00C97BE6">
          <w:rPr>
            <w:webHidden/>
          </w:rPr>
          <w:tab/>
        </w:r>
        <w:r w:rsidR="00C97BE6">
          <w:rPr>
            <w:webHidden/>
          </w:rPr>
          <w:fldChar w:fldCharType="begin"/>
        </w:r>
        <w:r w:rsidR="00C97BE6">
          <w:rPr>
            <w:webHidden/>
          </w:rPr>
          <w:instrText xml:space="preserve"> PAGEREF _Toc5269517 \h </w:instrText>
        </w:r>
        <w:r w:rsidR="00C97BE6">
          <w:rPr>
            <w:webHidden/>
          </w:rPr>
        </w:r>
        <w:r w:rsidR="00C97BE6">
          <w:rPr>
            <w:webHidden/>
          </w:rPr>
          <w:fldChar w:fldCharType="separate"/>
        </w:r>
        <w:r w:rsidR="00D0418C">
          <w:rPr>
            <w:webHidden/>
          </w:rPr>
          <w:t>266</w:t>
        </w:r>
        <w:r w:rsidR="00C97BE6">
          <w:rPr>
            <w:webHidden/>
          </w:rPr>
          <w:fldChar w:fldCharType="end"/>
        </w:r>
      </w:hyperlink>
    </w:p>
    <w:p w14:paraId="29AFB055" w14:textId="77777777" w:rsidR="00C97BE6" w:rsidRPr="002D354C" w:rsidRDefault="00590491">
      <w:pPr>
        <w:pStyle w:val="TableofFigures"/>
        <w:rPr>
          <w:rFonts w:ascii="Calibri" w:hAnsi="Calibri"/>
          <w:sz w:val="22"/>
          <w:szCs w:val="22"/>
          <w:lang w:eastAsia="en-NZ"/>
        </w:rPr>
      </w:pPr>
      <w:hyperlink w:anchor="_Toc5269518" w:history="1">
        <w:r w:rsidR="00C97BE6" w:rsidRPr="009B03B5">
          <w:rPr>
            <w:rStyle w:val="Hyperlink"/>
          </w:rPr>
          <w:t>Table 6.4.2</w:t>
        </w:r>
        <w:r w:rsidR="00C97BE6" w:rsidRPr="002D354C">
          <w:rPr>
            <w:rFonts w:ascii="Calibri" w:hAnsi="Calibri"/>
            <w:sz w:val="22"/>
            <w:szCs w:val="22"/>
            <w:lang w:eastAsia="en-NZ"/>
          </w:rPr>
          <w:tab/>
        </w:r>
        <w:r w:rsidR="00C97BE6" w:rsidRPr="009B03B5">
          <w:rPr>
            <w:rStyle w:val="Hyperlink"/>
          </w:rPr>
          <w:t>Change in land area and associated CO</w:t>
        </w:r>
        <w:r w:rsidR="00C97BE6" w:rsidRPr="009B03B5">
          <w:rPr>
            <w:rStyle w:val="Hyperlink"/>
            <w:vertAlign w:val="subscript"/>
          </w:rPr>
          <w:t>2</w:t>
        </w:r>
        <w:r w:rsidR="00C97BE6" w:rsidRPr="009B03B5">
          <w:rPr>
            <w:rStyle w:val="Hyperlink"/>
          </w:rPr>
          <w:t xml:space="preserve"> emissions from carbon stock change between 1990 and 2017 for New Zealand’s Forest land</w:t>
        </w:r>
        <w:r w:rsidR="00C97BE6">
          <w:rPr>
            <w:webHidden/>
          </w:rPr>
          <w:tab/>
        </w:r>
        <w:r w:rsidR="00C97BE6">
          <w:rPr>
            <w:webHidden/>
          </w:rPr>
          <w:fldChar w:fldCharType="begin"/>
        </w:r>
        <w:r w:rsidR="00C97BE6">
          <w:rPr>
            <w:webHidden/>
          </w:rPr>
          <w:instrText xml:space="preserve"> PAGEREF _Toc5269518 \h </w:instrText>
        </w:r>
        <w:r w:rsidR="00C97BE6">
          <w:rPr>
            <w:webHidden/>
          </w:rPr>
        </w:r>
        <w:r w:rsidR="00C97BE6">
          <w:rPr>
            <w:webHidden/>
          </w:rPr>
          <w:fldChar w:fldCharType="separate"/>
        </w:r>
        <w:r w:rsidR="00D0418C">
          <w:rPr>
            <w:webHidden/>
          </w:rPr>
          <w:t>267</w:t>
        </w:r>
        <w:r w:rsidR="00C97BE6">
          <w:rPr>
            <w:webHidden/>
          </w:rPr>
          <w:fldChar w:fldCharType="end"/>
        </w:r>
      </w:hyperlink>
    </w:p>
    <w:p w14:paraId="540C708A" w14:textId="77777777" w:rsidR="00C97BE6" w:rsidRPr="002D354C" w:rsidRDefault="00590491">
      <w:pPr>
        <w:pStyle w:val="TableofFigures"/>
        <w:rPr>
          <w:rFonts w:ascii="Calibri" w:hAnsi="Calibri"/>
          <w:sz w:val="22"/>
          <w:szCs w:val="22"/>
          <w:lang w:eastAsia="en-NZ"/>
        </w:rPr>
      </w:pPr>
      <w:hyperlink w:anchor="_Toc5269519" w:history="1">
        <w:r w:rsidR="00C97BE6" w:rsidRPr="009B03B5">
          <w:rPr>
            <w:rStyle w:val="Hyperlink"/>
          </w:rPr>
          <w:t>Table 6.4.3</w:t>
        </w:r>
        <w:r w:rsidR="00C97BE6" w:rsidRPr="002D354C">
          <w:rPr>
            <w:rFonts w:ascii="Calibri" w:hAnsi="Calibri"/>
            <w:sz w:val="22"/>
            <w:szCs w:val="22"/>
            <w:lang w:eastAsia="en-NZ"/>
          </w:rPr>
          <w:tab/>
        </w:r>
        <w:r w:rsidR="00C97BE6" w:rsidRPr="009B03B5">
          <w:rPr>
            <w:rStyle w:val="Hyperlink"/>
          </w:rPr>
          <w:t>New Zealand’s net carbon stock change by carbon pool for the</w:t>
        </w:r>
        <w:r w:rsidR="00C97BE6" w:rsidRPr="009B03B5">
          <w:rPr>
            <w:rStyle w:val="Hyperlink"/>
            <w:rFonts w:cs="Arial"/>
          </w:rPr>
          <w:t xml:space="preserve"> Forest</w:t>
        </w:r>
        <w:r w:rsidR="00C97BE6" w:rsidRPr="009B03B5">
          <w:rPr>
            <w:rStyle w:val="Hyperlink"/>
          </w:rPr>
          <w:t xml:space="preserve"> land category from 1990 to 2017</w:t>
        </w:r>
        <w:r w:rsidR="00C97BE6">
          <w:rPr>
            <w:webHidden/>
          </w:rPr>
          <w:tab/>
        </w:r>
        <w:r w:rsidR="00C97BE6">
          <w:rPr>
            <w:webHidden/>
          </w:rPr>
          <w:fldChar w:fldCharType="begin"/>
        </w:r>
        <w:r w:rsidR="00C97BE6">
          <w:rPr>
            <w:webHidden/>
          </w:rPr>
          <w:instrText xml:space="preserve"> PAGEREF _Toc5269519 \h </w:instrText>
        </w:r>
        <w:r w:rsidR="00C97BE6">
          <w:rPr>
            <w:webHidden/>
          </w:rPr>
        </w:r>
        <w:r w:rsidR="00C97BE6">
          <w:rPr>
            <w:webHidden/>
          </w:rPr>
          <w:fldChar w:fldCharType="separate"/>
        </w:r>
        <w:r w:rsidR="00D0418C">
          <w:rPr>
            <w:webHidden/>
          </w:rPr>
          <w:t>267</w:t>
        </w:r>
        <w:r w:rsidR="00C97BE6">
          <w:rPr>
            <w:webHidden/>
          </w:rPr>
          <w:fldChar w:fldCharType="end"/>
        </w:r>
      </w:hyperlink>
    </w:p>
    <w:p w14:paraId="7C4638CB" w14:textId="77777777" w:rsidR="00C97BE6" w:rsidRPr="002D354C" w:rsidRDefault="00590491">
      <w:pPr>
        <w:pStyle w:val="TableofFigures"/>
        <w:rPr>
          <w:rFonts w:ascii="Calibri" w:hAnsi="Calibri"/>
          <w:sz w:val="22"/>
          <w:szCs w:val="22"/>
          <w:lang w:eastAsia="en-NZ"/>
        </w:rPr>
      </w:pPr>
      <w:hyperlink w:anchor="_Toc5269520" w:history="1">
        <w:r w:rsidR="00C97BE6" w:rsidRPr="009B03B5">
          <w:rPr>
            <w:rStyle w:val="Hyperlink"/>
          </w:rPr>
          <w:t>Table 6.4.4</w:t>
        </w:r>
        <w:r w:rsidR="00C97BE6" w:rsidRPr="002D354C">
          <w:rPr>
            <w:rFonts w:ascii="Calibri" w:hAnsi="Calibri"/>
            <w:sz w:val="22"/>
            <w:szCs w:val="22"/>
            <w:lang w:eastAsia="en-NZ"/>
          </w:rPr>
          <w:tab/>
        </w:r>
        <w:r w:rsidR="00C97BE6" w:rsidRPr="009B03B5">
          <w:rPr>
            <w:rStyle w:val="Hyperlink"/>
          </w:rPr>
          <w:t>New Zealand’s Forest land subject to deforestation, 1990 and 2017</w:t>
        </w:r>
        <w:r w:rsidR="00C97BE6">
          <w:rPr>
            <w:webHidden/>
          </w:rPr>
          <w:tab/>
        </w:r>
        <w:r w:rsidR="00C97BE6">
          <w:rPr>
            <w:webHidden/>
          </w:rPr>
          <w:fldChar w:fldCharType="begin"/>
        </w:r>
        <w:r w:rsidR="00C97BE6">
          <w:rPr>
            <w:webHidden/>
          </w:rPr>
          <w:instrText xml:space="preserve"> PAGEREF _Toc5269520 \h </w:instrText>
        </w:r>
        <w:r w:rsidR="00C97BE6">
          <w:rPr>
            <w:webHidden/>
          </w:rPr>
        </w:r>
        <w:r w:rsidR="00C97BE6">
          <w:rPr>
            <w:webHidden/>
          </w:rPr>
          <w:fldChar w:fldCharType="separate"/>
        </w:r>
        <w:r w:rsidR="00D0418C">
          <w:rPr>
            <w:webHidden/>
          </w:rPr>
          <w:t>270</w:t>
        </w:r>
        <w:r w:rsidR="00C97BE6">
          <w:rPr>
            <w:webHidden/>
          </w:rPr>
          <w:fldChar w:fldCharType="end"/>
        </w:r>
      </w:hyperlink>
    </w:p>
    <w:p w14:paraId="2CFDBBB5" w14:textId="77777777" w:rsidR="00C97BE6" w:rsidRPr="002D354C" w:rsidRDefault="00590491">
      <w:pPr>
        <w:pStyle w:val="TableofFigures"/>
        <w:rPr>
          <w:rFonts w:ascii="Calibri" w:hAnsi="Calibri"/>
          <w:sz w:val="22"/>
          <w:szCs w:val="22"/>
          <w:lang w:eastAsia="en-NZ"/>
        </w:rPr>
      </w:pPr>
      <w:hyperlink w:anchor="_Toc5269521" w:history="1">
        <w:r w:rsidR="00C97BE6" w:rsidRPr="009B03B5">
          <w:rPr>
            <w:rStyle w:val="Hyperlink"/>
          </w:rPr>
          <w:t>Table 6.4.5</w:t>
        </w:r>
        <w:r w:rsidR="00C97BE6" w:rsidRPr="002D354C">
          <w:rPr>
            <w:rFonts w:ascii="Calibri" w:hAnsi="Calibri"/>
            <w:sz w:val="22"/>
            <w:szCs w:val="22"/>
            <w:lang w:eastAsia="en-NZ"/>
          </w:rPr>
          <w:tab/>
        </w:r>
        <w:r w:rsidR="00C97BE6" w:rsidRPr="009B03B5">
          <w:rPr>
            <w:rStyle w:val="Hyperlink"/>
          </w:rPr>
          <w:t>Summary of methods used to calculate New Zealand’s natural forest biomass carbon stock from plot data</w:t>
        </w:r>
        <w:r w:rsidR="00C97BE6">
          <w:rPr>
            <w:webHidden/>
          </w:rPr>
          <w:tab/>
        </w:r>
        <w:r w:rsidR="00C97BE6">
          <w:rPr>
            <w:webHidden/>
          </w:rPr>
          <w:fldChar w:fldCharType="begin"/>
        </w:r>
        <w:r w:rsidR="00C97BE6">
          <w:rPr>
            <w:webHidden/>
          </w:rPr>
          <w:instrText xml:space="preserve"> PAGEREF _Toc5269521 \h </w:instrText>
        </w:r>
        <w:r w:rsidR="00C97BE6">
          <w:rPr>
            <w:webHidden/>
          </w:rPr>
        </w:r>
        <w:r w:rsidR="00C97BE6">
          <w:rPr>
            <w:webHidden/>
          </w:rPr>
          <w:fldChar w:fldCharType="separate"/>
        </w:r>
        <w:r w:rsidR="00D0418C">
          <w:rPr>
            <w:webHidden/>
          </w:rPr>
          <w:t>275</w:t>
        </w:r>
        <w:r w:rsidR="00C97BE6">
          <w:rPr>
            <w:webHidden/>
          </w:rPr>
          <w:fldChar w:fldCharType="end"/>
        </w:r>
      </w:hyperlink>
    </w:p>
    <w:p w14:paraId="1D16E141" w14:textId="77777777" w:rsidR="00C97BE6" w:rsidRPr="002D354C" w:rsidRDefault="00590491">
      <w:pPr>
        <w:pStyle w:val="TableofFigures"/>
        <w:rPr>
          <w:rFonts w:ascii="Calibri" w:hAnsi="Calibri"/>
          <w:sz w:val="22"/>
          <w:szCs w:val="22"/>
          <w:lang w:eastAsia="en-NZ"/>
        </w:rPr>
      </w:pPr>
      <w:hyperlink w:anchor="_Toc5269522" w:history="1">
        <w:r w:rsidR="00C97BE6" w:rsidRPr="009B03B5">
          <w:rPr>
            <w:rStyle w:val="Hyperlink"/>
          </w:rPr>
          <w:t xml:space="preserve">Table 6.4.6 </w:t>
        </w:r>
        <w:r w:rsidR="00C97BE6" w:rsidRPr="002D354C">
          <w:rPr>
            <w:rFonts w:ascii="Calibri" w:hAnsi="Calibri"/>
            <w:sz w:val="22"/>
            <w:szCs w:val="22"/>
            <w:lang w:eastAsia="en-NZ"/>
          </w:rPr>
          <w:tab/>
        </w:r>
        <w:r w:rsidR="00C97BE6" w:rsidRPr="009B03B5">
          <w:rPr>
            <w:rStyle w:val="Hyperlink"/>
          </w:rPr>
          <w:t>Influence of individual site and management factors on predicted wood density for New Zealand planted forest</w:t>
        </w:r>
        <w:r w:rsidR="00C97BE6">
          <w:rPr>
            <w:webHidden/>
          </w:rPr>
          <w:tab/>
        </w:r>
        <w:r w:rsidR="00C97BE6">
          <w:rPr>
            <w:webHidden/>
          </w:rPr>
          <w:fldChar w:fldCharType="begin"/>
        </w:r>
        <w:r w:rsidR="00C97BE6">
          <w:rPr>
            <w:webHidden/>
          </w:rPr>
          <w:instrText xml:space="preserve"> PAGEREF _Toc5269522 \h </w:instrText>
        </w:r>
        <w:r w:rsidR="00C97BE6">
          <w:rPr>
            <w:webHidden/>
          </w:rPr>
        </w:r>
        <w:r w:rsidR="00C97BE6">
          <w:rPr>
            <w:webHidden/>
          </w:rPr>
          <w:fldChar w:fldCharType="separate"/>
        </w:r>
        <w:r w:rsidR="00D0418C">
          <w:rPr>
            <w:webHidden/>
          </w:rPr>
          <w:t>278</w:t>
        </w:r>
        <w:r w:rsidR="00C97BE6">
          <w:rPr>
            <w:webHidden/>
          </w:rPr>
          <w:fldChar w:fldCharType="end"/>
        </w:r>
      </w:hyperlink>
    </w:p>
    <w:p w14:paraId="11CC2D91" w14:textId="77777777" w:rsidR="00C97BE6" w:rsidRPr="002D354C" w:rsidRDefault="00590491">
      <w:pPr>
        <w:pStyle w:val="TableofFigures"/>
        <w:rPr>
          <w:rFonts w:ascii="Calibri" w:hAnsi="Calibri"/>
          <w:sz w:val="22"/>
          <w:szCs w:val="22"/>
          <w:lang w:eastAsia="en-NZ"/>
        </w:rPr>
      </w:pPr>
      <w:hyperlink w:anchor="_Toc5269523" w:history="1">
        <w:r w:rsidR="00C97BE6" w:rsidRPr="009B03B5">
          <w:rPr>
            <w:rStyle w:val="Hyperlink"/>
          </w:rPr>
          <w:t xml:space="preserve">Table 6.4.7 </w:t>
        </w:r>
        <w:r w:rsidR="00C97BE6" w:rsidRPr="002D354C">
          <w:rPr>
            <w:rFonts w:ascii="Calibri" w:hAnsi="Calibri"/>
            <w:sz w:val="22"/>
            <w:szCs w:val="22"/>
            <w:lang w:eastAsia="en-NZ"/>
          </w:rPr>
          <w:tab/>
        </w:r>
        <w:r w:rsidR="00C97BE6" w:rsidRPr="009B03B5">
          <w:rPr>
            <w:rStyle w:val="Hyperlink"/>
          </w:rPr>
          <w:t>Uncertainty in New Zealand’s 2017 estimates from pre-1990 natural forest (including land in transition)</w:t>
        </w:r>
        <w:r w:rsidR="00C97BE6">
          <w:rPr>
            <w:webHidden/>
          </w:rPr>
          <w:tab/>
        </w:r>
        <w:r w:rsidR="00C97BE6">
          <w:rPr>
            <w:webHidden/>
          </w:rPr>
          <w:fldChar w:fldCharType="begin"/>
        </w:r>
        <w:r w:rsidR="00C97BE6">
          <w:rPr>
            <w:webHidden/>
          </w:rPr>
          <w:instrText xml:space="preserve"> PAGEREF _Toc5269523 \h </w:instrText>
        </w:r>
        <w:r w:rsidR="00C97BE6">
          <w:rPr>
            <w:webHidden/>
          </w:rPr>
        </w:r>
        <w:r w:rsidR="00C97BE6">
          <w:rPr>
            <w:webHidden/>
          </w:rPr>
          <w:fldChar w:fldCharType="separate"/>
        </w:r>
        <w:r w:rsidR="00D0418C">
          <w:rPr>
            <w:webHidden/>
          </w:rPr>
          <w:t>285</w:t>
        </w:r>
        <w:r w:rsidR="00C97BE6">
          <w:rPr>
            <w:webHidden/>
          </w:rPr>
          <w:fldChar w:fldCharType="end"/>
        </w:r>
      </w:hyperlink>
    </w:p>
    <w:p w14:paraId="60FCDAEE" w14:textId="77777777" w:rsidR="00C97BE6" w:rsidRPr="002D354C" w:rsidRDefault="00590491">
      <w:pPr>
        <w:pStyle w:val="TableofFigures"/>
        <w:rPr>
          <w:rFonts w:ascii="Calibri" w:hAnsi="Calibri"/>
          <w:sz w:val="22"/>
          <w:szCs w:val="22"/>
          <w:lang w:eastAsia="en-NZ"/>
        </w:rPr>
      </w:pPr>
      <w:hyperlink w:anchor="_Toc5269524" w:history="1">
        <w:r w:rsidR="00C97BE6" w:rsidRPr="009B03B5">
          <w:rPr>
            <w:rStyle w:val="Hyperlink"/>
          </w:rPr>
          <w:t>Table 6.4.8</w:t>
        </w:r>
        <w:r w:rsidR="00C97BE6" w:rsidRPr="002D354C">
          <w:rPr>
            <w:rFonts w:ascii="Calibri" w:hAnsi="Calibri"/>
            <w:sz w:val="22"/>
            <w:szCs w:val="22"/>
            <w:lang w:eastAsia="en-NZ"/>
          </w:rPr>
          <w:tab/>
        </w:r>
        <w:r w:rsidR="00C97BE6" w:rsidRPr="009B03B5">
          <w:rPr>
            <w:rStyle w:val="Hyperlink"/>
          </w:rPr>
          <w:t xml:space="preserve">Uncertainty in New Zealand’s 2017 estimates from </w:t>
        </w:r>
        <w:r w:rsidR="00C97BE6" w:rsidRPr="009B03B5">
          <w:rPr>
            <w:rStyle w:val="Hyperlink"/>
            <w:rFonts w:cs="Arial"/>
          </w:rPr>
          <w:t>pre-1990 planted forest (including land in transition)</w:t>
        </w:r>
        <w:r w:rsidR="00C97BE6">
          <w:rPr>
            <w:webHidden/>
          </w:rPr>
          <w:tab/>
        </w:r>
        <w:r w:rsidR="00C97BE6">
          <w:rPr>
            <w:webHidden/>
          </w:rPr>
          <w:fldChar w:fldCharType="begin"/>
        </w:r>
        <w:r w:rsidR="00C97BE6">
          <w:rPr>
            <w:webHidden/>
          </w:rPr>
          <w:instrText xml:space="preserve"> PAGEREF _Toc5269524 \h </w:instrText>
        </w:r>
        <w:r w:rsidR="00C97BE6">
          <w:rPr>
            <w:webHidden/>
          </w:rPr>
        </w:r>
        <w:r w:rsidR="00C97BE6">
          <w:rPr>
            <w:webHidden/>
          </w:rPr>
          <w:fldChar w:fldCharType="separate"/>
        </w:r>
        <w:r w:rsidR="00D0418C">
          <w:rPr>
            <w:webHidden/>
          </w:rPr>
          <w:t>285</w:t>
        </w:r>
        <w:r w:rsidR="00C97BE6">
          <w:rPr>
            <w:webHidden/>
          </w:rPr>
          <w:fldChar w:fldCharType="end"/>
        </w:r>
      </w:hyperlink>
    </w:p>
    <w:p w14:paraId="5F67D2B2" w14:textId="77777777" w:rsidR="00C97BE6" w:rsidRPr="002D354C" w:rsidRDefault="00590491">
      <w:pPr>
        <w:pStyle w:val="TableofFigures"/>
        <w:rPr>
          <w:rFonts w:ascii="Calibri" w:hAnsi="Calibri"/>
          <w:sz w:val="22"/>
          <w:szCs w:val="22"/>
          <w:lang w:eastAsia="en-NZ"/>
        </w:rPr>
      </w:pPr>
      <w:hyperlink w:anchor="_Toc5269525" w:history="1">
        <w:r w:rsidR="00C97BE6" w:rsidRPr="009B03B5">
          <w:rPr>
            <w:rStyle w:val="Hyperlink"/>
          </w:rPr>
          <w:t xml:space="preserve">Table 6.4.9 </w:t>
        </w:r>
        <w:r w:rsidR="00C97BE6" w:rsidRPr="002D354C">
          <w:rPr>
            <w:rFonts w:ascii="Calibri" w:hAnsi="Calibri"/>
            <w:sz w:val="22"/>
            <w:szCs w:val="22"/>
            <w:lang w:eastAsia="en-NZ"/>
          </w:rPr>
          <w:tab/>
        </w:r>
        <w:r w:rsidR="00C97BE6" w:rsidRPr="009B03B5">
          <w:rPr>
            <w:rStyle w:val="Hyperlink"/>
          </w:rPr>
          <w:t>Uncertainty in New Zealand’s 2017 estimates from post-1989 forest (including land in transition)</w:t>
        </w:r>
        <w:r w:rsidR="00C97BE6">
          <w:rPr>
            <w:webHidden/>
          </w:rPr>
          <w:tab/>
        </w:r>
        <w:r w:rsidR="00C97BE6">
          <w:rPr>
            <w:webHidden/>
          </w:rPr>
          <w:fldChar w:fldCharType="begin"/>
        </w:r>
        <w:r w:rsidR="00C97BE6">
          <w:rPr>
            <w:webHidden/>
          </w:rPr>
          <w:instrText xml:space="preserve"> PAGEREF _Toc5269525 \h </w:instrText>
        </w:r>
        <w:r w:rsidR="00C97BE6">
          <w:rPr>
            <w:webHidden/>
          </w:rPr>
        </w:r>
        <w:r w:rsidR="00C97BE6">
          <w:rPr>
            <w:webHidden/>
          </w:rPr>
          <w:fldChar w:fldCharType="separate"/>
        </w:r>
        <w:r w:rsidR="00D0418C">
          <w:rPr>
            <w:webHidden/>
          </w:rPr>
          <w:t>286</w:t>
        </w:r>
        <w:r w:rsidR="00C97BE6">
          <w:rPr>
            <w:webHidden/>
          </w:rPr>
          <w:fldChar w:fldCharType="end"/>
        </w:r>
      </w:hyperlink>
    </w:p>
    <w:p w14:paraId="2D0AE8A2" w14:textId="77777777" w:rsidR="00C97BE6" w:rsidRPr="002D354C" w:rsidRDefault="00590491">
      <w:pPr>
        <w:pStyle w:val="TableofFigures"/>
        <w:rPr>
          <w:rFonts w:ascii="Calibri" w:hAnsi="Calibri"/>
          <w:sz w:val="22"/>
          <w:szCs w:val="22"/>
          <w:lang w:eastAsia="en-NZ"/>
        </w:rPr>
      </w:pPr>
      <w:hyperlink w:anchor="_Toc5269526" w:history="1">
        <w:r w:rsidR="00C97BE6" w:rsidRPr="009B03B5">
          <w:rPr>
            <w:rStyle w:val="Hyperlink"/>
          </w:rPr>
          <w:t xml:space="preserve">Table 6.4.10 </w:t>
        </w:r>
        <w:r w:rsidR="00C97BE6" w:rsidRPr="002D354C">
          <w:rPr>
            <w:rFonts w:ascii="Calibri" w:hAnsi="Calibri"/>
            <w:sz w:val="22"/>
            <w:szCs w:val="22"/>
            <w:lang w:eastAsia="en-NZ"/>
          </w:rPr>
          <w:tab/>
        </w:r>
        <w:r w:rsidR="00C97BE6" w:rsidRPr="009B03B5">
          <w:rPr>
            <w:rStyle w:val="Hyperlink"/>
          </w:rPr>
          <w:t>Recalculations of New Zealand’s estimates for the Forest land category in 1990 and 2016</w:t>
        </w:r>
        <w:r w:rsidR="00C97BE6">
          <w:rPr>
            <w:webHidden/>
          </w:rPr>
          <w:tab/>
        </w:r>
        <w:r w:rsidR="00C97BE6">
          <w:rPr>
            <w:webHidden/>
          </w:rPr>
          <w:fldChar w:fldCharType="begin"/>
        </w:r>
        <w:r w:rsidR="00C97BE6">
          <w:rPr>
            <w:webHidden/>
          </w:rPr>
          <w:instrText xml:space="preserve"> PAGEREF _Toc5269526 \h </w:instrText>
        </w:r>
        <w:r w:rsidR="00C97BE6">
          <w:rPr>
            <w:webHidden/>
          </w:rPr>
        </w:r>
        <w:r w:rsidR="00C97BE6">
          <w:rPr>
            <w:webHidden/>
          </w:rPr>
          <w:fldChar w:fldCharType="separate"/>
        </w:r>
        <w:r w:rsidR="00D0418C">
          <w:rPr>
            <w:webHidden/>
          </w:rPr>
          <w:t>288</w:t>
        </w:r>
        <w:r w:rsidR="00C97BE6">
          <w:rPr>
            <w:webHidden/>
          </w:rPr>
          <w:fldChar w:fldCharType="end"/>
        </w:r>
      </w:hyperlink>
    </w:p>
    <w:p w14:paraId="168B4CE5" w14:textId="4ED7F2DB" w:rsidR="00C97BE6" w:rsidRPr="002D354C" w:rsidRDefault="00590491">
      <w:pPr>
        <w:pStyle w:val="TableofFigures"/>
        <w:rPr>
          <w:rFonts w:ascii="Calibri" w:hAnsi="Calibri"/>
          <w:sz w:val="22"/>
          <w:szCs w:val="22"/>
          <w:lang w:eastAsia="en-NZ"/>
        </w:rPr>
      </w:pPr>
      <w:hyperlink w:anchor="_Toc5269527" w:history="1">
        <w:r w:rsidR="00C97BE6" w:rsidRPr="009B03B5">
          <w:rPr>
            <w:rStyle w:val="Hyperlink"/>
          </w:rPr>
          <w:t>Table 6.5.1</w:t>
        </w:r>
        <w:r w:rsidR="00C97BE6" w:rsidRPr="002D354C">
          <w:rPr>
            <w:rFonts w:ascii="Calibri" w:hAnsi="Calibri"/>
            <w:sz w:val="22"/>
            <w:szCs w:val="22"/>
            <w:lang w:eastAsia="en-NZ"/>
          </w:rPr>
          <w:tab/>
        </w:r>
        <w:r w:rsidR="00C97BE6" w:rsidRPr="009B03B5">
          <w:rPr>
            <w:rStyle w:val="Hyperlink"/>
          </w:rPr>
          <w:t>New Zealand’s land-use change by Cropland category, and associated</w:t>
        </w:r>
        <w:r w:rsidR="00A00EA1">
          <w:rPr>
            <w:rStyle w:val="Hyperlink"/>
          </w:rPr>
          <w:t xml:space="preserve"> </w:t>
        </w:r>
        <w:r w:rsidR="00C97BE6" w:rsidRPr="009B03B5">
          <w:rPr>
            <w:rStyle w:val="Hyperlink"/>
          </w:rPr>
          <w:t>CO</w:t>
        </w:r>
        <w:r w:rsidR="00C97BE6" w:rsidRPr="009B03B5">
          <w:rPr>
            <w:rStyle w:val="Hyperlink"/>
            <w:vertAlign w:val="subscript"/>
          </w:rPr>
          <w:t>2</w:t>
        </w:r>
        <w:r w:rsidR="00C97BE6" w:rsidRPr="009B03B5">
          <w:rPr>
            <w:rStyle w:val="Hyperlink"/>
          </w:rPr>
          <w:t>-e emissions, 1990 and 2017</w:t>
        </w:r>
        <w:r w:rsidR="00C97BE6">
          <w:rPr>
            <w:webHidden/>
          </w:rPr>
          <w:tab/>
        </w:r>
        <w:r w:rsidR="00C97BE6">
          <w:rPr>
            <w:webHidden/>
          </w:rPr>
          <w:fldChar w:fldCharType="begin"/>
        </w:r>
        <w:r w:rsidR="00C97BE6">
          <w:rPr>
            <w:webHidden/>
          </w:rPr>
          <w:instrText xml:space="preserve"> PAGEREF _Toc5269527 \h </w:instrText>
        </w:r>
        <w:r w:rsidR="00C97BE6">
          <w:rPr>
            <w:webHidden/>
          </w:rPr>
        </w:r>
        <w:r w:rsidR="00C97BE6">
          <w:rPr>
            <w:webHidden/>
          </w:rPr>
          <w:fldChar w:fldCharType="separate"/>
        </w:r>
        <w:r w:rsidR="00D0418C">
          <w:rPr>
            <w:webHidden/>
          </w:rPr>
          <w:t>290</w:t>
        </w:r>
        <w:r w:rsidR="00C97BE6">
          <w:rPr>
            <w:webHidden/>
          </w:rPr>
          <w:fldChar w:fldCharType="end"/>
        </w:r>
      </w:hyperlink>
    </w:p>
    <w:p w14:paraId="7911AFF3" w14:textId="77777777" w:rsidR="00C97BE6" w:rsidRPr="002D354C" w:rsidRDefault="00590491">
      <w:pPr>
        <w:pStyle w:val="TableofFigures"/>
        <w:rPr>
          <w:rFonts w:ascii="Calibri" w:hAnsi="Calibri"/>
          <w:sz w:val="22"/>
          <w:szCs w:val="22"/>
          <w:lang w:eastAsia="en-NZ"/>
        </w:rPr>
      </w:pPr>
      <w:hyperlink w:anchor="_Toc5269528" w:history="1">
        <w:r w:rsidR="00C97BE6" w:rsidRPr="009B03B5">
          <w:rPr>
            <w:rStyle w:val="Hyperlink"/>
          </w:rPr>
          <w:t>Table 6.5.2</w:t>
        </w:r>
        <w:r w:rsidR="00C97BE6" w:rsidRPr="002D354C">
          <w:rPr>
            <w:rFonts w:ascii="Calibri" w:hAnsi="Calibri"/>
            <w:sz w:val="22"/>
            <w:szCs w:val="22"/>
            <w:lang w:eastAsia="en-NZ"/>
          </w:rPr>
          <w:tab/>
        </w:r>
        <w:r w:rsidR="00C97BE6" w:rsidRPr="009B03B5">
          <w:rPr>
            <w:rStyle w:val="Hyperlink"/>
          </w:rPr>
          <w:t>New Zealand’s carbon stock change by carbon pool for the</w:t>
        </w:r>
        <w:r w:rsidR="00C97BE6" w:rsidRPr="009B03B5">
          <w:rPr>
            <w:rStyle w:val="Hyperlink"/>
            <w:rFonts w:cs="Arial"/>
          </w:rPr>
          <w:t xml:space="preserve"> Crop</w:t>
        </w:r>
        <w:r w:rsidR="00C97BE6" w:rsidRPr="009B03B5">
          <w:rPr>
            <w:rStyle w:val="Hyperlink"/>
          </w:rPr>
          <w:t>land category from 1990 to 2017</w:t>
        </w:r>
        <w:r w:rsidR="00C97BE6">
          <w:rPr>
            <w:webHidden/>
          </w:rPr>
          <w:tab/>
        </w:r>
        <w:r w:rsidR="00C97BE6">
          <w:rPr>
            <w:webHidden/>
          </w:rPr>
          <w:fldChar w:fldCharType="begin"/>
        </w:r>
        <w:r w:rsidR="00C97BE6">
          <w:rPr>
            <w:webHidden/>
          </w:rPr>
          <w:instrText xml:space="preserve"> PAGEREF _Toc5269528 \h </w:instrText>
        </w:r>
        <w:r w:rsidR="00C97BE6">
          <w:rPr>
            <w:webHidden/>
          </w:rPr>
        </w:r>
        <w:r w:rsidR="00C97BE6">
          <w:rPr>
            <w:webHidden/>
          </w:rPr>
          <w:fldChar w:fldCharType="separate"/>
        </w:r>
        <w:r w:rsidR="00D0418C">
          <w:rPr>
            <w:webHidden/>
          </w:rPr>
          <w:t>290</w:t>
        </w:r>
        <w:r w:rsidR="00C97BE6">
          <w:rPr>
            <w:webHidden/>
          </w:rPr>
          <w:fldChar w:fldCharType="end"/>
        </w:r>
      </w:hyperlink>
    </w:p>
    <w:p w14:paraId="3697F769" w14:textId="77777777" w:rsidR="00C97BE6" w:rsidRPr="002D354C" w:rsidRDefault="00590491">
      <w:pPr>
        <w:pStyle w:val="TableofFigures"/>
        <w:rPr>
          <w:rFonts w:ascii="Calibri" w:hAnsi="Calibri"/>
          <w:sz w:val="22"/>
          <w:szCs w:val="22"/>
          <w:lang w:eastAsia="en-NZ"/>
        </w:rPr>
      </w:pPr>
      <w:hyperlink w:anchor="_Toc5269529" w:history="1">
        <w:r w:rsidR="00C97BE6" w:rsidRPr="009B03B5">
          <w:rPr>
            <w:rStyle w:val="Hyperlink"/>
          </w:rPr>
          <w:t>Table 6.5.3</w:t>
        </w:r>
        <w:r w:rsidR="00C97BE6" w:rsidRPr="002D354C">
          <w:rPr>
            <w:rFonts w:ascii="Calibri" w:hAnsi="Calibri"/>
            <w:sz w:val="22"/>
            <w:szCs w:val="22"/>
            <w:lang w:eastAsia="en-NZ"/>
          </w:rPr>
          <w:tab/>
        </w:r>
        <w:r w:rsidR="00C97BE6" w:rsidRPr="009B03B5">
          <w:rPr>
            <w:rStyle w:val="Hyperlink"/>
          </w:rPr>
          <w:t>New Zealand’s land-use change by Cropland land use, and associated CO</w:t>
        </w:r>
        <w:r w:rsidR="00C97BE6" w:rsidRPr="009B03B5">
          <w:rPr>
            <w:rStyle w:val="Hyperlink"/>
            <w:vertAlign w:val="subscript"/>
          </w:rPr>
          <w:t>2</w:t>
        </w:r>
        <w:r w:rsidR="00C97BE6" w:rsidRPr="009B03B5">
          <w:rPr>
            <w:rStyle w:val="Hyperlink"/>
          </w:rPr>
          <w:t xml:space="preserve"> emissions from carbon stock change, from 1990 to 2017</w:t>
        </w:r>
        <w:r w:rsidR="00C97BE6">
          <w:rPr>
            <w:webHidden/>
          </w:rPr>
          <w:tab/>
        </w:r>
        <w:r w:rsidR="00C97BE6">
          <w:rPr>
            <w:webHidden/>
          </w:rPr>
          <w:fldChar w:fldCharType="begin"/>
        </w:r>
        <w:r w:rsidR="00C97BE6">
          <w:rPr>
            <w:webHidden/>
          </w:rPr>
          <w:instrText xml:space="preserve"> PAGEREF _Toc5269529 \h </w:instrText>
        </w:r>
        <w:r w:rsidR="00C97BE6">
          <w:rPr>
            <w:webHidden/>
          </w:rPr>
        </w:r>
        <w:r w:rsidR="00C97BE6">
          <w:rPr>
            <w:webHidden/>
          </w:rPr>
          <w:fldChar w:fldCharType="separate"/>
        </w:r>
        <w:r w:rsidR="00D0418C">
          <w:rPr>
            <w:webHidden/>
          </w:rPr>
          <w:t>290</w:t>
        </w:r>
        <w:r w:rsidR="00C97BE6">
          <w:rPr>
            <w:webHidden/>
          </w:rPr>
          <w:fldChar w:fldCharType="end"/>
        </w:r>
      </w:hyperlink>
    </w:p>
    <w:p w14:paraId="7EFB53FA" w14:textId="77777777" w:rsidR="00C97BE6" w:rsidRPr="002D354C" w:rsidRDefault="00590491">
      <w:pPr>
        <w:pStyle w:val="TableofFigures"/>
        <w:rPr>
          <w:rFonts w:ascii="Calibri" w:hAnsi="Calibri"/>
          <w:sz w:val="22"/>
          <w:szCs w:val="22"/>
          <w:lang w:eastAsia="en-NZ"/>
        </w:rPr>
      </w:pPr>
      <w:hyperlink w:anchor="_Toc5269530" w:history="1">
        <w:r w:rsidR="00C97BE6" w:rsidRPr="009B03B5">
          <w:rPr>
            <w:rStyle w:val="Hyperlink"/>
          </w:rPr>
          <w:t>Table 6.5.4</w:t>
        </w:r>
        <w:r w:rsidR="00C97BE6" w:rsidRPr="002D354C">
          <w:rPr>
            <w:rFonts w:ascii="Calibri" w:hAnsi="Calibri"/>
            <w:sz w:val="22"/>
            <w:szCs w:val="22"/>
            <w:lang w:eastAsia="en-NZ"/>
          </w:rPr>
          <w:tab/>
        </w:r>
        <w:r w:rsidR="00C97BE6" w:rsidRPr="009B03B5">
          <w:rPr>
            <w:rStyle w:val="Hyperlink"/>
          </w:rPr>
          <w:t>New Zealand’s land-use change for the Cropland category from 1990 to 2017</w:t>
        </w:r>
        <w:r w:rsidR="00C97BE6">
          <w:rPr>
            <w:webHidden/>
          </w:rPr>
          <w:tab/>
        </w:r>
        <w:r w:rsidR="00C97BE6">
          <w:rPr>
            <w:webHidden/>
          </w:rPr>
          <w:fldChar w:fldCharType="begin"/>
        </w:r>
        <w:r w:rsidR="00C97BE6">
          <w:rPr>
            <w:webHidden/>
          </w:rPr>
          <w:instrText xml:space="preserve"> PAGEREF _Toc5269530 \h </w:instrText>
        </w:r>
        <w:r w:rsidR="00C97BE6">
          <w:rPr>
            <w:webHidden/>
          </w:rPr>
        </w:r>
        <w:r w:rsidR="00C97BE6">
          <w:rPr>
            <w:webHidden/>
          </w:rPr>
          <w:fldChar w:fldCharType="separate"/>
        </w:r>
        <w:r w:rsidR="00D0418C">
          <w:rPr>
            <w:webHidden/>
          </w:rPr>
          <w:t>291</w:t>
        </w:r>
        <w:r w:rsidR="00C97BE6">
          <w:rPr>
            <w:webHidden/>
          </w:rPr>
          <w:fldChar w:fldCharType="end"/>
        </w:r>
      </w:hyperlink>
    </w:p>
    <w:p w14:paraId="0AD1A00D" w14:textId="77777777" w:rsidR="00C97BE6" w:rsidRPr="002D354C" w:rsidRDefault="00590491">
      <w:pPr>
        <w:pStyle w:val="TableofFigures"/>
        <w:rPr>
          <w:rFonts w:ascii="Calibri" w:hAnsi="Calibri"/>
          <w:sz w:val="22"/>
          <w:szCs w:val="22"/>
          <w:lang w:eastAsia="en-NZ"/>
        </w:rPr>
      </w:pPr>
      <w:hyperlink w:anchor="_Toc5269531" w:history="1">
        <w:r w:rsidR="00C97BE6" w:rsidRPr="009B03B5">
          <w:rPr>
            <w:rStyle w:val="Hyperlink"/>
          </w:rPr>
          <w:t>Table 6.5.5</w:t>
        </w:r>
        <w:r w:rsidR="00C97BE6" w:rsidRPr="002D354C">
          <w:rPr>
            <w:rFonts w:ascii="Calibri" w:hAnsi="Calibri"/>
            <w:sz w:val="22"/>
            <w:szCs w:val="22"/>
            <w:lang w:eastAsia="en-NZ"/>
          </w:rPr>
          <w:tab/>
        </w:r>
        <w:r w:rsidR="00C97BE6" w:rsidRPr="009B03B5">
          <w:rPr>
            <w:rStyle w:val="Hyperlink"/>
          </w:rPr>
          <w:t>Summary of New Zealand’s carbon stock change emission factors for Cropland</w:t>
        </w:r>
        <w:r w:rsidR="00C97BE6">
          <w:rPr>
            <w:webHidden/>
          </w:rPr>
          <w:tab/>
        </w:r>
        <w:r w:rsidR="00C97BE6">
          <w:rPr>
            <w:webHidden/>
          </w:rPr>
          <w:fldChar w:fldCharType="begin"/>
        </w:r>
        <w:r w:rsidR="00C97BE6">
          <w:rPr>
            <w:webHidden/>
          </w:rPr>
          <w:instrText xml:space="preserve"> PAGEREF _Toc5269531 \h </w:instrText>
        </w:r>
        <w:r w:rsidR="00C97BE6">
          <w:rPr>
            <w:webHidden/>
          </w:rPr>
        </w:r>
        <w:r w:rsidR="00C97BE6">
          <w:rPr>
            <w:webHidden/>
          </w:rPr>
          <w:fldChar w:fldCharType="separate"/>
        </w:r>
        <w:r w:rsidR="00D0418C">
          <w:rPr>
            <w:webHidden/>
          </w:rPr>
          <w:t>291</w:t>
        </w:r>
        <w:r w:rsidR="00C97BE6">
          <w:rPr>
            <w:webHidden/>
          </w:rPr>
          <w:fldChar w:fldCharType="end"/>
        </w:r>
      </w:hyperlink>
    </w:p>
    <w:p w14:paraId="26F5BA83" w14:textId="77777777" w:rsidR="00C97BE6" w:rsidRPr="002D354C" w:rsidRDefault="00590491">
      <w:pPr>
        <w:pStyle w:val="TableofFigures"/>
        <w:rPr>
          <w:rFonts w:ascii="Calibri" w:hAnsi="Calibri"/>
          <w:sz w:val="22"/>
          <w:szCs w:val="22"/>
          <w:lang w:eastAsia="en-NZ"/>
        </w:rPr>
      </w:pPr>
      <w:hyperlink w:anchor="_Toc5269532" w:history="1">
        <w:r w:rsidR="00C97BE6" w:rsidRPr="009B03B5">
          <w:rPr>
            <w:rStyle w:val="Hyperlink"/>
          </w:rPr>
          <w:t>Table 6.5.6</w:t>
        </w:r>
        <w:r w:rsidR="00C97BE6" w:rsidRPr="002D354C">
          <w:rPr>
            <w:rFonts w:ascii="Calibri" w:hAnsi="Calibri"/>
            <w:sz w:val="22"/>
            <w:szCs w:val="22"/>
            <w:lang w:eastAsia="en-NZ"/>
          </w:rPr>
          <w:tab/>
        </w:r>
        <w:r w:rsidR="00C97BE6" w:rsidRPr="009B03B5">
          <w:rPr>
            <w:rStyle w:val="Hyperlink"/>
          </w:rPr>
          <w:t>Uncertainty in New Zealand’s 2017 Cropland estimates (including land in transition)</w:t>
        </w:r>
        <w:r w:rsidR="00C97BE6">
          <w:rPr>
            <w:webHidden/>
          </w:rPr>
          <w:tab/>
        </w:r>
        <w:r w:rsidR="00C97BE6">
          <w:rPr>
            <w:webHidden/>
          </w:rPr>
          <w:fldChar w:fldCharType="begin"/>
        </w:r>
        <w:r w:rsidR="00C97BE6">
          <w:rPr>
            <w:webHidden/>
          </w:rPr>
          <w:instrText xml:space="preserve"> PAGEREF _Toc5269532 \h </w:instrText>
        </w:r>
        <w:r w:rsidR="00C97BE6">
          <w:rPr>
            <w:webHidden/>
          </w:rPr>
        </w:r>
        <w:r w:rsidR="00C97BE6">
          <w:rPr>
            <w:webHidden/>
          </w:rPr>
          <w:fldChar w:fldCharType="separate"/>
        </w:r>
        <w:r w:rsidR="00D0418C">
          <w:rPr>
            <w:webHidden/>
          </w:rPr>
          <w:t>294</w:t>
        </w:r>
        <w:r w:rsidR="00C97BE6">
          <w:rPr>
            <w:webHidden/>
          </w:rPr>
          <w:fldChar w:fldCharType="end"/>
        </w:r>
      </w:hyperlink>
    </w:p>
    <w:p w14:paraId="3C00F860" w14:textId="77777777" w:rsidR="00C97BE6" w:rsidRPr="002D354C" w:rsidRDefault="00590491">
      <w:pPr>
        <w:pStyle w:val="TableofFigures"/>
        <w:rPr>
          <w:rFonts w:ascii="Calibri" w:hAnsi="Calibri"/>
          <w:sz w:val="22"/>
          <w:szCs w:val="22"/>
          <w:lang w:eastAsia="en-NZ"/>
        </w:rPr>
      </w:pPr>
      <w:hyperlink w:anchor="_Toc5269533" w:history="1">
        <w:r w:rsidR="00C97BE6" w:rsidRPr="009B03B5">
          <w:rPr>
            <w:rStyle w:val="Hyperlink"/>
          </w:rPr>
          <w:t>Table 6.5.7</w:t>
        </w:r>
        <w:r w:rsidR="00C97BE6" w:rsidRPr="002D354C">
          <w:rPr>
            <w:rFonts w:ascii="Calibri" w:hAnsi="Calibri"/>
            <w:sz w:val="22"/>
            <w:szCs w:val="22"/>
            <w:lang w:eastAsia="en-NZ"/>
          </w:rPr>
          <w:tab/>
        </w:r>
        <w:r w:rsidR="00C97BE6" w:rsidRPr="009B03B5">
          <w:rPr>
            <w:rStyle w:val="Hyperlink"/>
          </w:rPr>
          <w:t>Recalculations of New Zealand’s net emissions from the Cropland category in 1990 and 2016</w:t>
        </w:r>
        <w:r w:rsidR="00C97BE6">
          <w:rPr>
            <w:webHidden/>
          </w:rPr>
          <w:tab/>
        </w:r>
        <w:r w:rsidR="00C97BE6">
          <w:rPr>
            <w:webHidden/>
          </w:rPr>
          <w:fldChar w:fldCharType="begin"/>
        </w:r>
        <w:r w:rsidR="00C97BE6">
          <w:rPr>
            <w:webHidden/>
          </w:rPr>
          <w:instrText xml:space="preserve"> PAGEREF _Toc5269533 \h </w:instrText>
        </w:r>
        <w:r w:rsidR="00C97BE6">
          <w:rPr>
            <w:webHidden/>
          </w:rPr>
        </w:r>
        <w:r w:rsidR="00C97BE6">
          <w:rPr>
            <w:webHidden/>
          </w:rPr>
          <w:fldChar w:fldCharType="separate"/>
        </w:r>
        <w:r w:rsidR="00D0418C">
          <w:rPr>
            <w:webHidden/>
          </w:rPr>
          <w:t>295</w:t>
        </w:r>
        <w:r w:rsidR="00C97BE6">
          <w:rPr>
            <w:webHidden/>
          </w:rPr>
          <w:fldChar w:fldCharType="end"/>
        </w:r>
      </w:hyperlink>
    </w:p>
    <w:p w14:paraId="0C454AFA" w14:textId="77777777" w:rsidR="00C97BE6" w:rsidRPr="002D354C" w:rsidRDefault="00590491">
      <w:pPr>
        <w:pStyle w:val="TableofFigures"/>
        <w:rPr>
          <w:rFonts w:ascii="Calibri" w:hAnsi="Calibri"/>
          <w:sz w:val="22"/>
          <w:szCs w:val="22"/>
          <w:lang w:eastAsia="en-NZ"/>
        </w:rPr>
      </w:pPr>
      <w:hyperlink w:anchor="_Toc5269534" w:history="1">
        <w:r w:rsidR="00C97BE6" w:rsidRPr="009B03B5">
          <w:rPr>
            <w:rStyle w:val="Hyperlink"/>
          </w:rPr>
          <w:t>Table 6.6.1</w:t>
        </w:r>
        <w:r w:rsidR="00C97BE6" w:rsidRPr="002D354C">
          <w:rPr>
            <w:rFonts w:ascii="Calibri" w:hAnsi="Calibri"/>
            <w:sz w:val="22"/>
            <w:szCs w:val="22"/>
            <w:lang w:eastAsia="en-NZ"/>
          </w:rPr>
          <w:tab/>
        </w:r>
        <w:r w:rsidR="00C97BE6" w:rsidRPr="009B03B5">
          <w:rPr>
            <w:rStyle w:val="Hyperlink"/>
          </w:rPr>
          <w:t>New Zealand’s land-use change for the Grassland category, and associated CO</w:t>
        </w:r>
        <w:r w:rsidR="00C97BE6" w:rsidRPr="009B03B5">
          <w:rPr>
            <w:rStyle w:val="Hyperlink"/>
            <w:vertAlign w:val="subscript"/>
          </w:rPr>
          <w:t>2</w:t>
        </w:r>
        <w:r w:rsidR="00C97BE6" w:rsidRPr="009B03B5">
          <w:rPr>
            <w:rStyle w:val="Hyperlink"/>
          </w:rPr>
          <w:noBreakHyphen/>
          <w:t>e emissions, from 1990 to 2017</w:t>
        </w:r>
        <w:r w:rsidR="00C97BE6">
          <w:rPr>
            <w:webHidden/>
          </w:rPr>
          <w:tab/>
        </w:r>
        <w:r w:rsidR="00C97BE6">
          <w:rPr>
            <w:webHidden/>
          </w:rPr>
          <w:fldChar w:fldCharType="begin"/>
        </w:r>
        <w:r w:rsidR="00C97BE6">
          <w:rPr>
            <w:webHidden/>
          </w:rPr>
          <w:instrText xml:space="preserve"> PAGEREF _Toc5269534 \h </w:instrText>
        </w:r>
        <w:r w:rsidR="00C97BE6">
          <w:rPr>
            <w:webHidden/>
          </w:rPr>
        </w:r>
        <w:r w:rsidR="00C97BE6">
          <w:rPr>
            <w:webHidden/>
          </w:rPr>
          <w:fldChar w:fldCharType="separate"/>
        </w:r>
        <w:r w:rsidR="00D0418C">
          <w:rPr>
            <w:webHidden/>
          </w:rPr>
          <w:t>296</w:t>
        </w:r>
        <w:r w:rsidR="00C97BE6">
          <w:rPr>
            <w:webHidden/>
          </w:rPr>
          <w:fldChar w:fldCharType="end"/>
        </w:r>
      </w:hyperlink>
    </w:p>
    <w:p w14:paraId="595A12F7" w14:textId="77777777" w:rsidR="00C97BE6" w:rsidRPr="002D354C" w:rsidRDefault="00590491">
      <w:pPr>
        <w:pStyle w:val="TableofFigures"/>
        <w:rPr>
          <w:rFonts w:ascii="Calibri" w:hAnsi="Calibri"/>
          <w:sz w:val="22"/>
          <w:szCs w:val="22"/>
          <w:lang w:eastAsia="en-NZ"/>
        </w:rPr>
      </w:pPr>
      <w:hyperlink w:anchor="_Toc5269535" w:history="1">
        <w:r w:rsidR="00C97BE6" w:rsidRPr="009B03B5">
          <w:rPr>
            <w:rStyle w:val="Hyperlink"/>
          </w:rPr>
          <w:t>Table 6.6.2</w:t>
        </w:r>
        <w:r w:rsidR="00C97BE6" w:rsidRPr="002D354C">
          <w:rPr>
            <w:rFonts w:ascii="Calibri" w:hAnsi="Calibri"/>
            <w:sz w:val="22"/>
            <w:szCs w:val="22"/>
            <w:lang w:eastAsia="en-NZ"/>
          </w:rPr>
          <w:tab/>
        </w:r>
        <w:r w:rsidR="00C97BE6" w:rsidRPr="009B03B5">
          <w:rPr>
            <w:rStyle w:val="Hyperlink"/>
          </w:rPr>
          <w:t>New Zealand’s carbon stock change by carbon pool for the</w:t>
        </w:r>
        <w:r w:rsidR="00C97BE6" w:rsidRPr="009B03B5">
          <w:rPr>
            <w:rStyle w:val="Hyperlink"/>
            <w:rFonts w:cs="Arial"/>
          </w:rPr>
          <w:t xml:space="preserve"> Grassland</w:t>
        </w:r>
        <w:r w:rsidR="00C97BE6" w:rsidRPr="009B03B5">
          <w:rPr>
            <w:rStyle w:val="Hyperlink"/>
          </w:rPr>
          <w:t xml:space="preserve"> category from 1990 to 2017</w:t>
        </w:r>
        <w:r w:rsidR="00C97BE6">
          <w:rPr>
            <w:webHidden/>
          </w:rPr>
          <w:tab/>
        </w:r>
        <w:r w:rsidR="00C97BE6">
          <w:rPr>
            <w:webHidden/>
          </w:rPr>
          <w:fldChar w:fldCharType="begin"/>
        </w:r>
        <w:r w:rsidR="00C97BE6">
          <w:rPr>
            <w:webHidden/>
          </w:rPr>
          <w:instrText xml:space="preserve"> PAGEREF _Toc5269535 \h </w:instrText>
        </w:r>
        <w:r w:rsidR="00C97BE6">
          <w:rPr>
            <w:webHidden/>
          </w:rPr>
        </w:r>
        <w:r w:rsidR="00C97BE6">
          <w:rPr>
            <w:webHidden/>
          </w:rPr>
          <w:fldChar w:fldCharType="separate"/>
        </w:r>
        <w:r w:rsidR="00D0418C">
          <w:rPr>
            <w:webHidden/>
          </w:rPr>
          <w:t>296</w:t>
        </w:r>
        <w:r w:rsidR="00C97BE6">
          <w:rPr>
            <w:webHidden/>
          </w:rPr>
          <w:fldChar w:fldCharType="end"/>
        </w:r>
      </w:hyperlink>
    </w:p>
    <w:p w14:paraId="6F9665C5" w14:textId="77777777" w:rsidR="00C97BE6" w:rsidRPr="002D354C" w:rsidRDefault="00590491">
      <w:pPr>
        <w:pStyle w:val="TableofFigures"/>
        <w:rPr>
          <w:rFonts w:ascii="Calibri" w:hAnsi="Calibri"/>
          <w:sz w:val="22"/>
          <w:szCs w:val="22"/>
          <w:lang w:eastAsia="en-NZ"/>
        </w:rPr>
      </w:pPr>
      <w:hyperlink w:anchor="_Toc5269536" w:history="1">
        <w:r w:rsidR="00C97BE6" w:rsidRPr="009B03B5">
          <w:rPr>
            <w:rStyle w:val="Hyperlink"/>
          </w:rPr>
          <w:t>Table 6.6.3</w:t>
        </w:r>
        <w:r w:rsidR="00C97BE6" w:rsidRPr="002D354C">
          <w:rPr>
            <w:rFonts w:ascii="Calibri" w:hAnsi="Calibri"/>
            <w:sz w:val="22"/>
            <w:szCs w:val="22"/>
            <w:lang w:eastAsia="en-NZ"/>
          </w:rPr>
          <w:tab/>
        </w:r>
        <w:r w:rsidR="00C97BE6" w:rsidRPr="009B03B5">
          <w:rPr>
            <w:rStyle w:val="Hyperlink"/>
          </w:rPr>
          <w:t>Summary of New Zealand’s biomass emission factors for Grassland</w:t>
        </w:r>
        <w:r w:rsidR="00C97BE6">
          <w:rPr>
            <w:webHidden/>
          </w:rPr>
          <w:tab/>
        </w:r>
        <w:r w:rsidR="00C97BE6">
          <w:rPr>
            <w:webHidden/>
          </w:rPr>
          <w:fldChar w:fldCharType="begin"/>
        </w:r>
        <w:r w:rsidR="00C97BE6">
          <w:rPr>
            <w:webHidden/>
          </w:rPr>
          <w:instrText xml:space="preserve"> PAGEREF _Toc5269536 \h </w:instrText>
        </w:r>
        <w:r w:rsidR="00C97BE6">
          <w:rPr>
            <w:webHidden/>
          </w:rPr>
        </w:r>
        <w:r w:rsidR="00C97BE6">
          <w:rPr>
            <w:webHidden/>
          </w:rPr>
          <w:fldChar w:fldCharType="separate"/>
        </w:r>
        <w:r w:rsidR="00D0418C">
          <w:rPr>
            <w:webHidden/>
          </w:rPr>
          <w:t>297</w:t>
        </w:r>
        <w:r w:rsidR="00C97BE6">
          <w:rPr>
            <w:webHidden/>
          </w:rPr>
          <w:fldChar w:fldCharType="end"/>
        </w:r>
      </w:hyperlink>
    </w:p>
    <w:p w14:paraId="77CB20D0" w14:textId="77777777" w:rsidR="00C97BE6" w:rsidRPr="002D354C" w:rsidRDefault="00590491">
      <w:pPr>
        <w:pStyle w:val="TableofFigures"/>
        <w:rPr>
          <w:rFonts w:ascii="Calibri" w:hAnsi="Calibri"/>
          <w:sz w:val="22"/>
          <w:szCs w:val="22"/>
          <w:lang w:eastAsia="en-NZ"/>
        </w:rPr>
      </w:pPr>
      <w:hyperlink w:anchor="_Toc5269537" w:history="1">
        <w:r w:rsidR="00C97BE6" w:rsidRPr="009B03B5">
          <w:rPr>
            <w:rStyle w:val="Hyperlink"/>
          </w:rPr>
          <w:t>Table 6.6.4</w:t>
        </w:r>
        <w:r w:rsidR="00C97BE6" w:rsidRPr="002D354C">
          <w:rPr>
            <w:rFonts w:ascii="Calibri" w:hAnsi="Calibri"/>
            <w:sz w:val="22"/>
            <w:szCs w:val="22"/>
            <w:lang w:eastAsia="en-NZ"/>
          </w:rPr>
          <w:tab/>
        </w:r>
        <w:r w:rsidR="00C97BE6" w:rsidRPr="009B03B5">
          <w:rPr>
            <w:rStyle w:val="Hyperlink"/>
          </w:rPr>
          <w:t>New Zealand’s soil carbon stock values by Grassland type: from table 6.3.2</w:t>
        </w:r>
        <w:r w:rsidR="00C97BE6">
          <w:rPr>
            <w:webHidden/>
          </w:rPr>
          <w:tab/>
        </w:r>
        <w:r w:rsidR="00C97BE6">
          <w:rPr>
            <w:webHidden/>
          </w:rPr>
          <w:fldChar w:fldCharType="begin"/>
        </w:r>
        <w:r w:rsidR="00C97BE6">
          <w:rPr>
            <w:webHidden/>
          </w:rPr>
          <w:instrText xml:space="preserve"> PAGEREF _Toc5269537 \h </w:instrText>
        </w:r>
        <w:r w:rsidR="00C97BE6">
          <w:rPr>
            <w:webHidden/>
          </w:rPr>
        </w:r>
        <w:r w:rsidR="00C97BE6">
          <w:rPr>
            <w:webHidden/>
          </w:rPr>
          <w:fldChar w:fldCharType="separate"/>
        </w:r>
        <w:r w:rsidR="00D0418C">
          <w:rPr>
            <w:webHidden/>
          </w:rPr>
          <w:t>299</w:t>
        </w:r>
        <w:r w:rsidR="00C97BE6">
          <w:rPr>
            <w:webHidden/>
          </w:rPr>
          <w:fldChar w:fldCharType="end"/>
        </w:r>
      </w:hyperlink>
    </w:p>
    <w:p w14:paraId="46B6BB48" w14:textId="77777777" w:rsidR="00C97BE6" w:rsidRPr="002D354C" w:rsidRDefault="00590491">
      <w:pPr>
        <w:pStyle w:val="TableofFigures"/>
        <w:rPr>
          <w:rFonts w:ascii="Calibri" w:hAnsi="Calibri"/>
          <w:sz w:val="22"/>
          <w:szCs w:val="22"/>
          <w:lang w:eastAsia="en-NZ"/>
        </w:rPr>
      </w:pPr>
      <w:hyperlink w:anchor="_Toc5269538" w:history="1">
        <w:r w:rsidR="00C97BE6" w:rsidRPr="009B03B5">
          <w:rPr>
            <w:rStyle w:val="Hyperlink"/>
          </w:rPr>
          <w:t>Table 6.6.5</w:t>
        </w:r>
        <w:r w:rsidR="00C97BE6" w:rsidRPr="002D354C">
          <w:rPr>
            <w:rFonts w:ascii="Calibri" w:hAnsi="Calibri"/>
            <w:sz w:val="22"/>
            <w:szCs w:val="22"/>
            <w:lang w:eastAsia="en-NZ"/>
          </w:rPr>
          <w:tab/>
        </w:r>
        <w:r w:rsidR="00C97BE6" w:rsidRPr="009B03B5">
          <w:rPr>
            <w:rStyle w:val="Hyperlink"/>
          </w:rPr>
          <w:t>Uncertainty in New Zealand’s 2017 estimates for the Grassland category (including land in transition)</w:t>
        </w:r>
        <w:r w:rsidR="00C97BE6">
          <w:rPr>
            <w:webHidden/>
          </w:rPr>
          <w:tab/>
        </w:r>
        <w:r w:rsidR="00C97BE6">
          <w:rPr>
            <w:webHidden/>
          </w:rPr>
          <w:fldChar w:fldCharType="begin"/>
        </w:r>
        <w:r w:rsidR="00C97BE6">
          <w:rPr>
            <w:webHidden/>
          </w:rPr>
          <w:instrText xml:space="preserve"> PAGEREF _Toc5269538 \h </w:instrText>
        </w:r>
        <w:r w:rsidR="00C97BE6">
          <w:rPr>
            <w:webHidden/>
          </w:rPr>
        </w:r>
        <w:r w:rsidR="00C97BE6">
          <w:rPr>
            <w:webHidden/>
          </w:rPr>
          <w:fldChar w:fldCharType="separate"/>
        </w:r>
        <w:r w:rsidR="00D0418C">
          <w:rPr>
            <w:webHidden/>
          </w:rPr>
          <w:t>300</w:t>
        </w:r>
        <w:r w:rsidR="00C97BE6">
          <w:rPr>
            <w:webHidden/>
          </w:rPr>
          <w:fldChar w:fldCharType="end"/>
        </w:r>
      </w:hyperlink>
    </w:p>
    <w:p w14:paraId="6B3B8C66" w14:textId="77777777" w:rsidR="00C97BE6" w:rsidRPr="002D354C" w:rsidRDefault="00590491">
      <w:pPr>
        <w:pStyle w:val="TableofFigures"/>
        <w:rPr>
          <w:rFonts w:ascii="Calibri" w:hAnsi="Calibri"/>
          <w:sz w:val="22"/>
          <w:szCs w:val="22"/>
          <w:lang w:eastAsia="en-NZ"/>
        </w:rPr>
      </w:pPr>
      <w:hyperlink w:anchor="_Toc5269539" w:history="1">
        <w:r w:rsidR="00C97BE6" w:rsidRPr="009B03B5">
          <w:rPr>
            <w:rStyle w:val="Hyperlink"/>
          </w:rPr>
          <w:t>Table 6.6.6</w:t>
        </w:r>
        <w:r w:rsidR="00C97BE6" w:rsidRPr="002D354C">
          <w:rPr>
            <w:rFonts w:ascii="Calibri" w:hAnsi="Calibri"/>
            <w:sz w:val="22"/>
            <w:szCs w:val="22"/>
            <w:lang w:eastAsia="en-NZ"/>
          </w:rPr>
          <w:tab/>
        </w:r>
        <w:r w:rsidR="00C97BE6" w:rsidRPr="009B03B5">
          <w:rPr>
            <w:rStyle w:val="Hyperlink"/>
          </w:rPr>
          <w:t>Recalculations of New Zealand’s net emissions from the Grassland category in 1990 and 2016</w:t>
        </w:r>
        <w:r w:rsidR="00C97BE6">
          <w:rPr>
            <w:webHidden/>
          </w:rPr>
          <w:tab/>
        </w:r>
        <w:r w:rsidR="00C97BE6">
          <w:rPr>
            <w:webHidden/>
          </w:rPr>
          <w:fldChar w:fldCharType="begin"/>
        </w:r>
        <w:r w:rsidR="00C97BE6">
          <w:rPr>
            <w:webHidden/>
          </w:rPr>
          <w:instrText xml:space="preserve"> PAGEREF _Toc5269539 \h </w:instrText>
        </w:r>
        <w:r w:rsidR="00C97BE6">
          <w:rPr>
            <w:webHidden/>
          </w:rPr>
        </w:r>
        <w:r w:rsidR="00C97BE6">
          <w:rPr>
            <w:webHidden/>
          </w:rPr>
          <w:fldChar w:fldCharType="separate"/>
        </w:r>
        <w:r w:rsidR="00D0418C">
          <w:rPr>
            <w:webHidden/>
          </w:rPr>
          <w:t>300</w:t>
        </w:r>
        <w:r w:rsidR="00C97BE6">
          <w:rPr>
            <w:webHidden/>
          </w:rPr>
          <w:fldChar w:fldCharType="end"/>
        </w:r>
      </w:hyperlink>
    </w:p>
    <w:p w14:paraId="66861DB0" w14:textId="77777777" w:rsidR="00C97BE6" w:rsidRPr="002D354C" w:rsidRDefault="00590491">
      <w:pPr>
        <w:pStyle w:val="TableofFigures"/>
        <w:rPr>
          <w:rFonts w:ascii="Calibri" w:hAnsi="Calibri"/>
          <w:sz w:val="22"/>
          <w:szCs w:val="22"/>
          <w:lang w:eastAsia="en-NZ"/>
        </w:rPr>
      </w:pPr>
      <w:hyperlink w:anchor="_Toc5269540" w:history="1">
        <w:r w:rsidR="00C97BE6" w:rsidRPr="009B03B5">
          <w:rPr>
            <w:rStyle w:val="Hyperlink"/>
          </w:rPr>
          <w:t>Table 6.7.1</w:t>
        </w:r>
        <w:r w:rsidR="00C97BE6" w:rsidRPr="002D354C">
          <w:rPr>
            <w:rFonts w:ascii="Calibri" w:hAnsi="Calibri"/>
            <w:sz w:val="22"/>
            <w:szCs w:val="22"/>
            <w:lang w:eastAsia="en-NZ"/>
          </w:rPr>
          <w:tab/>
        </w:r>
        <w:r w:rsidR="00C97BE6" w:rsidRPr="009B03B5">
          <w:rPr>
            <w:rStyle w:val="Hyperlink"/>
          </w:rPr>
          <w:t>New Zealand’s land-use change for the Wetlands category, and associated CO</w:t>
        </w:r>
        <w:r w:rsidR="00C97BE6" w:rsidRPr="009B03B5">
          <w:rPr>
            <w:rStyle w:val="Hyperlink"/>
            <w:vertAlign w:val="subscript"/>
          </w:rPr>
          <w:t>2</w:t>
        </w:r>
        <w:r w:rsidR="00C97BE6" w:rsidRPr="009B03B5">
          <w:rPr>
            <w:rStyle w:val="Hyperlink"/>
          </w:rPr>
          <w:t>-e emissions, in 1990 and 2017</w:t>
        </w:r>
        <w:r w:rsidR="00C97BE6">
          <w:rPr>
            <w:webHidden/>
          </w:rPr>
          <w:tab/>
        </w:r>
        <w:r w:rsidR="00C97BE6">
          <w:rPr>
            <w:webHidden/>
          </w:rPr>
          <w:fldChar w:fldCharType="begin"/>
        </w:r>
        <w:r w:rsidR="00C97BE6">
          <w:rPr>
            <w:webHidden/>
          </w:rPr>
          <w:instrText xml:space="preserve"> PAGEREF _Toc5269540 \h </w:instrText>
        </w:r>
        <w:r w:rsidR="00C97BE6">
          <w:rPr>
            <w:webHidden/>
          </w:rPr>
        </w:r>
        <w:r w:rsidR="00C97BE6">
          <w:rPr>
            <w:webHidden/>
          </w:rPr>
          <w:fldChar w:fldCharType="separate"/>
        </w:r>
        <w:r w:rsidR="00D0418C">
          <w:rPr>
            <w:webHidden/>
          </w:rPr>
          <w:t>302</w:t>
        </w:r>
        <w:r w:rsidR="00C97BE6">
          <w:rPr>
            <w:webHidden/>
          </w:rPr>
          <w:fldChar w:fldCharType="end"/>
        </w:r>
      </w:hyperlink>
    </w:p>
    <w:p w14:paraId="422DD3DC" w14:textId="77777777" w:rsidR="00C97BE6" w:rsidRPr="002D354C" w:rsidRDefault="00590491">
      <w:pPr>
        <w:pStyle w:val="TableofFigures"/>
        <w:rPr>
          <w:rFonts w:ascii="Calibri" w:hAnsi="Calibri"/>
          <w:sz w:val="22"/>
          <w:szCs w:val="22"/>
          <w:lang w:eastAsia="en-NZ"/>
        </w:rPr>
      </w:pPr>
      <w:hyperlink w:anchor="_Toc5269541" w:history="1">
        <w:r w:rsidR="00C97BE6" w:rsidRPr="009B03B5">
          <w:rPr>
            <w:rStyle w:val="Hyperlink"/>
          </w:rPr>
          <w:t>Table 6.7.2</w:t>
        </w:r>
        <w:r w:rsidR="00C97BE6" w:rsidRPr="002D354C">
          <w:rPr>
            <w:rFonts w:ascii="Calibri" w:hAnsi="Calibri"/>
            <w:sz w:val="22"/>
            <w:szCs w:val="22"/>
            <w:lang w:eastAsia="en-NZ"/>
          </w:rPr>
          <w:tab/>
        </w:r>
        <w:r w:rsidR="00C97BE6" w:rsidRPr="009B03B5">
          <w:rPr>
            <w:rStyle w:val="Hyperlink"/>
          </w:rPr>
          <w:t>New Zealand’s carbon stock change by carbon pool for the Wetlands category from 1990 to 2017</w:t>
        </w:r>
        <w:r w:rsidR="00C97BE6">
          <w:rPr>
            <w:webHidden/>
          </w:rPr>
          <w:tab/>
        </w:r>
        <w:r w:rsidR="00C97BE6">
          <w:rPr>
            <w:webHidden/>
          </w:rPr>
          <w:fldChar w:fldCharType="begin"/>
        </w:r>
        <w:r w:rsidR="00C97BE6">
          <w:rPr>
            <w:webHidden/>
          </w:rPr>
          <w:instrText xml:space="preserve"> PAGEREF _Toc5269541 \h </w:instrText>
        </w:r>
        <w:r w:rsidR="00C97BE6">
          <w:rPr>
            <w:webHidden/>
          </w:rPr>
        </w:r>
        <w:r w:rsidR="00C97BE6">
          <w:rPr>
            <w:webHidden/>
          </w:rPr>
          <w:fldChar w:fldCharType="separate"/>
        </w:r>
        <w:r w:rsidR="00D0418C">
          <w:rPr>
            <w:webHidden/>
          </w:rPr>
          <w:t>302</w:t>
        </w:r>
        <w:r w:rsidR="00C97BE6">
          <w:rPr>
            <w:webHidden/>
          </w:rPr>
          <w:fldChar w:fldCharType="end"/>
        </w:r>
      </w:hyperlink>
    </w:p>
    <w:p w14:paraId="7325807A" w14:textId="77777777" w:rsidR="00C97BE6" w:rsidRPr="002D354C" w:rsidRDefault="00590491">
      <w:pPr>
        <w:pStyle w:val="TableofFigures"/>
        <w:rPr>
          <w:rFonts w:ascii="Calibri" w:hAnsi="Calibri"/>
          <w:sz w:val="22"/>
          <w:szCs w:val="22"/>
          <w:lang w:eastAsia="en-NZ"/>
        </w:rPr>
      </w:pPr>
      <w:hyperlink w:anchor="_Toc5269542" w:history="1">
        <w:r w:rsidR="00C97BE6" w:rsidRPr="009B03B5">
          <w:rPr>
            <w:rStyle w:val="Hyperlink"/>
          </w:rPr>
          <w:t>Table 6.7.3</w:t>
        </w:r>
        <w:r w:rsidR="00C97BE6" w:rsidRPr="002D354C">
          <w:rPr>
            <w:rFonts w:ascii="Calibri" w:hAnsi="Calibri"/>
            <w:sz w:val="22"/>
            <w:szCs w:val="22"/>
            <w:lang w:eastAsia="en-NZ"/>
          </w:rPr>
          <w:tab/>
        </w:r>
        <w:r w:rsidR="00C97BE6" w:rsidRPr="009B03B5">
          <w:rPr>
            <w:rStyle w:val="Hyperlink"/>
          </w:rPr>
          <w:t>Uncertainty in New Zealand’s 2017 estimates for the Wetlands category (including land in transition)</w:t>
        </w:r>
        <w:r w:rsidR="00C97BE6">
          <w:rPr>
            <w:webHidden/>
          </w:rPr>
          <w:tab/>
        </w:r>
        <w:r w:rsidR="00C97BE6">
          <w:rPr>
            <w:webHidden/>
          </w:rPr>
          <w:fldChar w:fldCharType="begin"/>
        </w:r>
        <w:r w:rsidR="00C97BE6">
          <w:rPr>
            <w:webHidden/>
          </w:rPr>
          <w:instrText xml:space="preserve"> PAGEREF _Toc5269542 \h </w:instrText>
        </w:r>
        <w:r w:rsidR="00C97BE6">
          <w:rPr>
            <w:webHidden/>
          </w:rPr>
        </w:r>
        <w:r w:rsidR="00C97BE6">
          <w:rPr>
            <w:webHidden/>
          </w:rPr>
          <w:fldChar w:fldCharType="separate"/>
        </w:r>
        <w:r w:rsidR="00D0418C">
          <w:rPr>
            <w:webHidden/>
          </w:rPr>
          <w:t>304</w:t>
        </w:r>
        <w:r w:rsidR="00C97BE6">
          <w:rPr>
            <w:webHidden/>
          </w:rPr>
          <w:fldChar w:fldCharType="end"/>
        </w:r>
      </w:hyperlink>
    </w:p>
    <w:p w14:paraId="00BEB532" w14:textId="77777777" w:rsidR="00C97BE6" w:rsidRPr="002D354C" w:rsidRDefault="00590491">
      <w:pPr>
        <w:pStyle w:val="TableofFigures"/>
        <w:rPr>
          <w:rFonts w:ascii="Calibri" w:hAnsi="Calibri"/>
          <w:sz w:val="22"/>
          <w:szCs w:val="22"/>
          <w:lang w:eastAsia="en-NZ"/>
        </w:rPr>
      </w:pPr>
      <w:hyperlink w:anchor="_Toc5269543" w:history="1">
        <w:r w:rsidR="00C97BE6" w:rsidRPr="009B03B5">
          <w:rPr>
            <w:rStyle w:val="Hyperlink"/>
          </w:rPr>
          <w:t>Table 6.7.4</w:t>
        </w:r>
        <w:r w:rsidR="00C97BE6" w:rsidRPr="002D354C">
          <w:rPr>
            <w:rFonts w:ascii="Calibri" w:hAnsi="Calibri"/>
            <w:sz w:val="22"/>
            <w:szCs w:val="22"/>
            <w:lang w:eastAsia="en-NZ"/>
          </w:rPr>
          <w:tab/>
        </w:r>
        <w:r w:rsidR="00C97BE6" w:rsidRPr="009B03B5">
          <w:rPr>
            <w:rStyle w:val="Hyperlink"/>
          </w:rPr>
          <w:t>Recalculations for New Zealand’s net emissions from the Wetlands category in 1990 and 2016</w:t>
        </w:r>
        <w:r w:rsidR="00C97BE6">
          <w:rPr>
            <w:webHidden/>
          </w:rPr>
          <w:tab/>
        </w:r>
        <w:r w:rsidR="00C97BE6">
          <w:rPr>
            <w:webHidden/>
          </w:rPr>
          <w:fldChar w:fldCharType="begin"/>
        </w:r>
        <w:r w:rsidR="00C97BE6">
          <w:rPr>
            <w:webHidden/>
          </w:rPr>
          <w:instrText xml:space="preserve"> PAGEREF _Toc5269543 \h </w:instrText>
        </w:r>
        <w:r w:rsidR="00C97BE6">
          <w:rPr>
            <w:webHidden/>
          </w:rPr>
        </w:r>
        <w:r w:rsidR="00C97BE6">
          <w:rPr>
            <w:webHidden/>
          </w:rPr>
          <w:fldChar w:fldCharType="separate"/>
        </w:r>
        <w:r w:rsidR="00D0418C">
          <w:rPr>
            <w:webHidden/>
          </w:rPr>
          <w:t>304</w:t>
        </w:r>
        <w:r w:rsidR="00C97BE6">
          <w:rPr>
            <w:webHidden/>
          </w:rPr>
          <w:fldChar w:fldCharType="end"/>
        </w:r>
      </w:hyperlink>
    </w:p>
    <w:p w14:paraId="2F39EFCB" w14:textId="77777777" w:rsidR="00C97BE6" w:rsidRPr="002D354C" w:rsidRDefault="00590491">
      <w:pPr>
        <w:pStyle w:val="TableofFigures"/>
        <w:rPr>
          <w:rFonts w:ascii="Calibri" w:hAnsi="Calibri"/>
          <w:sz w:val="22"/>
          <w:szCs w:val="22"/>
          <w:lang w:eastAsia="en-NZ"/>
        </w:rPr>
      </w:pPr>
      <w:hyperlink w:anchor="_Toc5269544" w:history="1">
        <w:r w:rsidR="00C97BE6" w:rsidRPr="009B03B5">
          <w:rPr>
            <w:rStyle w:val="Hyperlink"/>
          </w:rPr>
          <w:t>Table 6.8.1</w:t>
        </w:r>
        <w:r w:rsidR="00C97BE6" w:rsidRPr="002D354C">
          <w:rPr>
            <w:rFonts w:ascii="Calibri" w:hAnsi="Calibri"/>
            <w:sz w:val="22"/>
            <w:szCs w:val="22"/>
            <w:lang w:eastAsia="en-NZ"/>
          </w:rPr>
          <w:tab/>
        </w:r>
        <w:r w:rsidR="00C97BE6" w:rsidRPr="009B03B5">
          <w:rPr>
            <w:rStyle w:val="Hyperlink"/>
          </w:rPr>
          <w:t>New Zealand’s land-use change for the Settlements category, and associated CO</w:t>
        </w:r>
        <w:r w:rsidR="00C97BE6" w:rsidRPr="009B03B5">
          <w:rPr>
            <w:rStyle w:val="Hyperlink"/>
            <w:vertAlign w:val="subscript"/>
          </w:rPr>
          <w:t>2</w:t>
        </w:r>
        <w:r w:rsidR="00C97BE6" w:rsidRPr="009B03B5">
          <w:rPr>
            <w:rStyle w:val="Hyperlink"/>
          </w:rPr>
          <w:noBreakHyphen/>
          <w:t>e emissions, from 1990 to 2017</w:t>
        </w:r>
        <w:r w:rsidR="00C97BE6">
          <w:rPr>
            <w:webHidden/>
          </w:rPr>
          <w:tab/>
        </w:r>
        <w:r w:rsidR="00C97BE6">
          <w:rPr>
            <w:webHidden/>
          </w:rPr>
          <w:fldChar w:fldCharType="begin"/>
        </w:r>
        <w:r w:rsidR="00C97BE6">
          <w:rPr>
            <w:webHidden/>
          </w:rPr>
          <w:instrText xml:space="preserve"> PAGEREF _Toc5269544 \h </w:instrText>
        </w:r>
        <w:r w:rsidR="00C97BE6">
          <w:rPr>
            <w:webHidden/>
          </w:rPr>
        </w:r>
        <w:r w:rsidR="00C97BE6">
          <w:rPr>
            <w:webHidden/>
          </w:rPr>
          <w:fldChar w:fldCharType="separate"/>
        </w:r>
        <w:r w:rsidR="00D0418C">
          <w:rPr>
            <w:webHidden/>
          </w:rPr>
          <w:t>305</w:t>
        </w:r>
        <w:r w:rsidR="00C97BE6">
          <w:rPr>
            <w:webHidden/>
          </w:rPr>
          <w:fldChar w:fldCharType="end"/>
        </w:r>
      </w:hyperlink>
    </w:p>
    <w:p w14:paraId="5CB1142A" w14:textId="77777777" w:rsidR="00C97BE6" w:rsidRPr="002D354C" w:rsidRDefault="00590491">
      <w:pPr>
        <w:pStyle w:val="TableofFigures"/>
        <w:rPr>
          <w:rFonts w:ascii="Calibri" w:hAnsi="Calibri"/>
          <w:sz w:val="22"/>
          <w:szCs w:val="22"/>
          <w:lang w:eastAsia="en-NZ"/>
        </w:rPr>
      </w:pPr>
      <w:hyperlink w:anchor="_Toc5269545" w:history="1">
        <w:r w:rsidR="00C97BE6" w:rsidRPr="009B03B5">
          <w:rPr>
            <w:rStyle w:val="Hyperlink"/>
          </w:rPr>
          <w:t>Table 6.8.2</w:t>
        </w:r>
        <w:r w:rsidR="00C97BE6" w:rsidRPr="002D354C">
          <w:rPr>
            <w:rFonts w:ascii="Calibri" w:hAnsi="Calibri"/>
            <w:sz w:val="22"/>
            <w:szCs w:val="22"/>
            <w:lang w:eastAsia="en-NZ"/>
          </w:rPr>
          <w:tab/>
        </w:r>
        <w:r w:rsidR="00C97BE6" w:rsidRPr="009B03B5">
          <w:rPr>
            <w:rStyle w:val="Hyperlink"/>
          </w:rPr>
          <w:t>New Zealand’s carbon stock change by carbon pool for the Settlements category from 1990 to 2017</w:t>
        </w:r>
        <w:r w:rsidR="00C97BE6">
          <w:rPr>
            <w:webHidden/>
          </w:rPr>
          <w:tab/>
        </w:r>
        <w:r w:rsidR="00C97BE6">
          <w:rPr>
            <w:webHidden/>
          </w:rPr>
          <w:fldChar w:fldCharType="begin"/>
        </w:r>
        <w:r w:rsidR="00C97BE6">
          <w:rPr>
            <w:webHidden/>
          </w:rPr>
          <w:instrText xml:space="preserve"> PAGEREF _Toc5269545 \h </w:instrText>
        </w:r>
        <w:r w:rsidR="00C97BE6">
          <w:rPr>
            <w:webHidden/>
          </w:rPr>
        </w:r>
        <w:r w:rsidR="00C97BE6">
          <w:rPr>
            <w:webHidden/>
          </w:rPr>
          <w:fldChar w:fldCharType="separate"/>
        </w:r>
        <w:r w:rsidR="00D0418C">
          <w:rPr>
            <w:webHidden/>
          </w:rPr>
          <w:t>306</w:t>
        </w:r>
        <w:r w:rsidR="00C97BE6">
          <w:rPr>
            <w:webHidden/>
          </w:rPr>
          <w:fldChar w:fldCharType="end"/>
        </w:r>
      </w:hyperlink>
    </w:p>
    <w:p w14:paraId="105F774D" w14:textId="77777777" w:rsidR="00C97BE6" w:rsidRPr="002D354C" w:rsidRDefault="00590491">
      <w:pPr>
        <w:pStyle w:val="TableofFigures"/>
        <w:rPr>
          <w:rFonts w:ascii="Calibri" w:hAnsi="Calibri"/>
          <w:sz w:val="22"/>
          <w:szCs w:val="22"/>
          <w:lang w:eastAsia="en-NZ"/>
        </w:rPr>
      </w:pPr>
      <w:hyperlink w:anchor="_Toc5269546" w:history="1">
        <w:r w:rsidR="00C97BE6" w:rsidRPr="009B03B5">
          <w:rPr>
            <w:rStyle w:val="Hyperlink"/>
          </w:rPr>
          <w:t>Table 6.8.3</w:t>
        </w:r>
        <w:r w:rsidR="00C97BE6" w:rsidRPr="002D354C">
          <w:rPr>
            <w:rFonts w:ascii="Calibri" w:hAnsi="Calibri"/>
            <w:sz w:val="22"/>
            <w:szCs w:val="22"/>
            <w:lang w:eastAsia="en-NZ"/>
          </w:rPr>
          <w:tab/>
        </w:r>
        <w:r w:rsidR="00C97BE6" w:rsidRPr="009B03B5">
          <w:rPr>
            <w:rStyle w:val="Hyperlink"/>
          </w:rPr>
          <w:t>Uncertainty in New Zealand’s 2017 estimates for the Settlements category (including land in transition)</w:t>
        </w:r>
        <w:r w:rsidR="00C97BE6">
          <w:rPr>
            <w:webHidden/>
          </w:rPr>
          <w:tab/>
        </w:r>
        <w:r w:rsidR="00C97BE6">
          <w:rPr>
            <w:webHidden/>
          </w:rPr>
          <w:fldChar w:fldCharType="begin"/>
        </w:r>
        <w:r w:rsidR="00C97BE6">
          <w:rPr>
            <w:webHidden/>
          </w:rPr>
          <w:instrText xml:space="preserve"> PAGEREF _Toc5269546 \h </w:instrText>
        </w:r>
        <w:r w:rsidR="00C97BE6">
          <w:rPr>
            <w:webHidden/>
          </w:rPr>
        </w:r>
        <w:r w:rsidR="00C97BE6">
          <w:rPr>
            <w:webHidden/>
          </w:rPr>
          <w:fldChar w:fldCharType="separate"/>
        </w:r>
        <w:r w:rsidR="00D0418C">
          <w:rPr>
            <w:webHidden/>
          </w:rPr>
          <w:t>307</w:t>
        </w:r>
        <w:r w:rsidR="00C97BE6">
          <w:rPr>
            <w:webHidden/>
          </w:rPr>
          <w:fldChar w:fldCharType="end"/>
        </w:r>
      </w:hyperlink>
    </w:p>
    <w:p w14:paraId="39706D49" w14:textId="77777777" w:rsidR="00C97BE6" w:rsidRPr="002D354C" w:rsidRDefault="00590491">
      <w:pPr>
        <w:pStyle w:val="TableofFigures"/>
        <w:rPr>
          <w:rFonts w:ascii="Calibri" w:hAnsi="Calibri"/>
          <w:sz w:val="22"/>
          <w:szCs w:val="22"/>
          <w:lang w:eastAsia="en-NZ"/>
        </w:rPr>
      </w:pPr>
      <w:hyperlink w:anchor="_Toc5269547" w:history="1">
        <w:r w:rsidR="00C97BE6" w:rsidRPr="009B03B5">
          <w:rPr>
            <w:rStyle w:val="Hyperlink"/>
          </w:rPr>
          <w:t>Table 6.8.4</w:t>
        </w:r>
        <w:r w:rsidR="00C97BE6" w:rsidRPr="002D354C">
          <w:rPr>
            <w:rFonts w:ascii="Calibri" w:hAnsi="Calibri"/>
            <w:sz w:val="22"/>
            <w:szCs w:val="22"/>
            <w:lang w:eastAsia="en-NZ"/>
          </w:rPr>
          <w:tab/>
        </w:r>
        <w:r w:rsidR="00C97BE6" w:rsidRPr="009B03B5">
          <w:rPr>
            <w:rStyle w:val="Hyperlink"/>
          </w:rPr>
          <w:t>Recalculations for New Zealand’s net emissions from the Settlements category in 1990 and 2016</w:t>
        </w:r>
        <w:r w:rsidR="00C97BE6">
          <w:rPr>
            <w:webHidden/>
          </w:rPr>
          <w:tab/>
        </w:r>
        <w:r w:rsidR="00C97BE6">
          <w:rPr>
            <w:webHidden/>
          </w:rPr>
          <w:fldChar w:fldCharType="begin"/>
        </w:r>
        <w:r w:rsidR="00C97BE6">
          <w:rPr>
            <w:webHidden/>
          </w:rPr>
          <w:instrText xml:space="preserve"> PAGEREF _Toc5269547 \h </w:instrText>
        </w:r>
        <w:r w:rsidR="00C97BE6">
          <w:rPr>
            <w:webHidden/>
          </w:rPr>
        </w:r>
        <w:r w:rsidR="00C97BE6">
          <w:rPr>
            <w:webHidden/>
          </w:rPr>
          <w:fldChar w:fldCharType="separate"/>
        </w:r>
        <w:r w:rsidR="00D0418C">
          <w:rPr>
            <w:webHidden/>
          </w:rPr>
          <w:t>307</w:t>
        </w:r>
        <w:r w:rsidR="00C97BE6">
          <w:rPr>
            <w:webHidden/>
          </w:rPr>
          <w:fldChar w:fldCharType="end"/>
        </w:r>
      </w:hyperlink>
    </w:p>
    <w:p w14:paraId="291D58B8" w14:textId="77777777" w:rsidR="00C97BE6" w:rsidRPr="002D354C" w:rsidRDefault="00590491">
      <w:pPr>
        <w:pStyle w:val="TableofFigures"/>
        <w:rPr>
          <w:rFonts w:ascii="Calibri" w:hAnsi="Calibri"/>
          <w:sz w:val="22"/>
          <w:szCs w:val="22"/>
          <w:lang w:eastAsia="en-NZ"/>
        </w:rPr>
      </w:pPr>
      <w:hyperlink w:anchor="_Toc5269548" w:history="1">
        <w:r w:rsidR="00C97BE6" w:rsidRPr="009B03B5">
          <w:rPr>
            <w:rStyle w:val="Hyperlink"/>
          </w:rPr>
          <w:t>Table 6.9.1</w:t>
        </w:r>
        <w:r w:rsidR="00C97BE6" w:rsidRPr="002D354C">
          <w:rPr>
            <w:rFonts w:ascii="Calibri" w:hAnsi="Calibri"/>
            <w:sz w:val="22"/>
            <w:szCs w:val="22"/>
            <w:lang w:eastAsia="en-NZ"/>
          </w:rPr>
          <w:tab/>
        </w:r>
        <w:r w:rsidR="00C97BE6" w:rsidRPr="009B03B5">
          <w:rPr>
            <w:rStyle w:val="Hyperlink"/>
          </w:rPr>
          <w:t>New Zealand’s land-use change for the land use category Other land from 1990 to 2017</w:t>
        </w:r>
        <w:r w:rsidR="00C97BE6">
          <w:rPr>
            <w:webHidden/>
          </w:rPr>
          <w:tab/>
        </w:r>
        <w:r w:rsidR="00C97BE6">
          <w:rPr>
            <w:webHidden/>
          </w:rPr>
          <w:fldChar w:fldCharType="begin"/>
        </w:r>
        <w:r w:rsidR="00C97BE6">
          <w:rPr>
            <w:webHidden/>
          </w:rPr>
          <w:instrText xml:space="preserve"> PAGEREF _Toc5269548 \h </w:instrText>
        </w:r>
        <w:r w:rsidR="00C97BE6">
          <w:rPr>
            <w:webHidden/>
          </w:rPr>
        </w:r>
        <w:r w:rsidR="00C97BE6">
          <w:rPr>
            <w:webHidden/>
          </w:rPr>
          <w:fldChar w:fldCharType="separate"/>
        </w:r>
        <w:r w:rsidR="00D0418C">
          <w:rPr>
            <w:webHidden/>
          </w:rPr>
          <w:t>308</w:t>
        </w:r>
        <w:r w:rsidR="00C97BE6">
          <w:rPr>
            <w:webHidden/>
          </w:rPr>
          <w:fldChar w:fldCharType="end"/>
        </w:r>
      </w:hyperlink>
    </w:p>
    <w:p w14:paraId="65E16475" w14:textId="77777777" w:rsidR="00C97BE6" w:rsidRPr="002D354C" w:rsidRDefault="00590491">
      <w:pPr>
        <w:pStyle w:val="TableofFigures"/>
        <w:rPr>
          <w:rFonts w:ascii="Calibri" w:hAnsi="Calibri"/>
          <w:sz w:val="22"/>
          <w:szCs w:val="22"/>
          <w:lang w:eastAsia="en-NZ"/>
        </w:rPr>
      </w:pPr>
      <w:hyperlink w:anchor="_Toc5269549" w:history="1">
        <w:r w:rsidR="00C97BE6" w:rsidRPr="009B03B5">
          <w:rPr>
            <w:rStyle w:val="Hyperlink"/>
          </w:rPr>
          <w:t>Table 6.9.2</w:t>
        </w:r>
        <w:r w:rsidR="00C97BE6" w:rsidRPr="002D354C">
          <w:rPr>
            <w:rFonts w:ascii="Calibri" w:hAnsi="Calibri"/>
            <w:sz w:val="22"/>
            <w:szCs w:val="22"/>
            <w:lang w:eastAsia="en-NZ"/>
          </w:rPr>
          <w:tab/>
        </w:r>
        <w:r w:rsidR="00C97BE6" w:rsidRPr="009B03B5">
          <w:rPr>
            <w:rStyle w:val="Hyperlink"/>
          </w:rPr>
          <w:t>Summary of New Zealand emission factors for the land use category Other land</w:t>
        </w:r>
        <w:r w:rsidR="00C97BE6">
          <w:rPr>
            <w:webHidden/>
          </w:rPr>
          <w:tab/>
        </w:r>
        <w:r w:rsidR="00C97BE6">
          <w:rPr>
            <w:webHidden/>
          </w:rPr>
          <w:fldChar w:fldCharType="begin"/>
        </w:r>
        <w:r w:rsidR="00C97BE6">
          <w:rPr>
            <w:webHidden/>
          </w:rPr>
          <w:instrText xml:space="preserve"> PAGEREF _Toc5269549 \h </w:instrText>
        </w:r>
        <w:r w:rsidR="00C97BE6">
          <w:rPr>
            <w:webHidden/>
          </w:rPr>
        </w:r>
        <w:r w:rsidR="00C97BE6">
          <w:rPr>
            <w:webHidden/>
          </w:rPr>
          <w:fldChar w:fldCharType="separate"/>
        </w:r>
        <w:r w:rsidR="00D0418C">
          <w:rPr>
            <w:webHidden/>
          </w:rPr>
          <w:t>308</w:t>
        </w:r>
        <w:r w:rsidR="00C97BE6">
          <w:rPr>
            <w:webHidden/>
          </w:rPr>
          <w:fldChar w:fldCharType="end"/>
        </w:r>
      </w:hyperlink>
    </w:p>
    <w:p w14:paraId="12D7BFA3" w14:textId="77777777" w:rsidR="00C97BE6" w:rsidRPr="002D354C" w:rsidRDefault="00590491">
      <w:pPr>
        <w:pStyle w:val="TableofFigures"/>
        <w:rPr>
          <w:rFonts w:ascii="Calibri" w:hAnsi="Calibri"/>
          <w:sz w:val="22"/>
          <w:szCs w:val="22"/>
          <w:lang w:eastAsia="en-NZ"/>
        </w:rPr>
      </w:pPr>
      <w:hyperlink w:anchor="_Toc5269550" w:history="1">
        <w:r w:rsidR="00C97BE6" w:rsidRPr="009B03B5">
          <w:rPr>
            <w:rStyle w:val="Hyperlink"/>
          </w:rPr>
          <w:t>Table 6.9.3</w:t>
        </w:r>
        <w:r w:rsidR="00C97BE6" w:rsidRPr="002D354C">
          <w:rPr>
            <w:rFonts w:ascii="Calibri" w:hAnsi="Calibri"/>
            <w:sz w:val="22"/>
            <w:szCs w:val="22"/>
            <w:lang w:eastAsia="en-NZ"/>
          </w:rPr>
          <w:tab/>
        </w:r>
        <w:r w:rsidR="00C97BE6" w:rsidRPr="009B03B5">
          <w:rPr>
            <w:rStyle w:val="Hyperlink"/>
          </w:rPr>
          <w:t>Uncertainty in New Zealand’s 2017 estimates for the land use category Other land (including land in transition)</w:t>
        </w:r>
        <w:r w:rsidR="00C97BE6">
          <w:rPr>
            <w:webHidden/>
          </w:rPr>
          <w:tab/>
        </w:r>
        <w:r w:rsidR="00C97BE6">
          <w:rPr>
            <w:webHidden/>
          </w:rPr>
          <w:fldChar w:fldCharType="begin"/>
        </w:r>
        <w:r w:rsidR="00C97BE6">
          <w:rPr>
            <w:webHidden/>
          </w:rPr>
          <w:instrText xml:space="preserve"> PAGEREF _Toc5269550 \h </w:instrText>
        </w:r>
        <w:r w:rsidR="00C97BE6">
          <w:rPr>
            <w:webHidden/>
          </w:rPr>
        </w:r>
        <w:r w:rsidR="00C97BE6">
          <w:rPr>
            <w:webHidden/>
          </w:rPr>
          <w:fldChar w:fldCharType="separate"/>
        </w:r>
        <w:r w:rsidR="00D0418C">
          <w:rPr>
            <w:webHidden/>
          </w:rPr>
          <w:t>309</w:t>
        </w:r>
        <w:r w:rsidR="00C97BE6">
          <w:rPr>
            <w:webHidden/>
          </w:rPr>
          <w:fldChar w:fldCharType="end"/>
        </w:r>
      </w:hyperlink>
    </w:p>
    <w:p w14:paraId="79DF8F9A" w14:textId="77777777" w:rsidR="00C97BE6" w:rsidRPr="002D354C" w:rsidRDefault="00590491">
      <w:pPr>
        <w:pStyle w:val="TableofFigures"/>
        <w:rPr>
          <w:rFonts w:ascii="Calibri" w:hAnsi="Calibri"/>
          <w:sz w:val="22"/>
          <w:szCs w:val="22"/>
          <w:lang w:eastAsia="en-NZ"/>
        </w:rPr>
      </w:pPr>
      <w:hyperlink w:anchor="_Toc5269551" w:history="1">
        <w:r w:rsidR="00C97BE6" w:rsidRPr="009B03B5">
          <w:rPr>
            <w:rStyle w:val="Hyperlink"/>
          </w:rPr>
          <w:t>Table 6.9.4</w:t>
        </w:r>
        <w:r w:rsidR="00C97BE6" w:rsidRPr="002D354C">
          <w:rPr>
            <w:rFonts w:ascii="Calibri" w:hAnsi="Calibri"/>
            <w:sz w:val="22"/>
            <w:szCs w:val="22"/>
            <w:lang w:eastAsia="en-NZ"/>
          </w:rPr>
          <w:tab/>
        </w:r>
        <w:r w:rsidR="00C97BE6" w:rsidRPr="009B03B5">
          <w:rPr>
            <w:rStyle w:val="Hyperlink"/>
          </w:rPr>
          <w:t>Recalculations for New Zealand’s net emissions from the Other land category in 1990 and 2016</w:t>
        </w:r>
        <w:r w:rsidR="00C97BE6">
          <w:rPr>
            <w:webHidden/>
          </w:rPr>
          <w:tab/>
        </w:r>
        <w:r w:rsidR="00C97BE6">
          <w:rPr>
            <w:webHidden/>
          </w:rPr>
          <w:fldChar w:fldCharType="begin"/>
        </w:r>
        <w:r w:rsidR="00C97BE6">
          <w:rPr>
            <w:webHidden/>
          </w:rPr>
          <w:instrText xml:space="preserve"> PAGEREF _Toc5269551 \h </w:instrText>
        </w:r>
        <w:r w:rsidR="00C97BE6">
          <w:rPr>
            <w:webHidden/>
          </w:rPr>
        </w:r>
        <w:r w:rsidR="00C97BE6">
          <w:rPr>
            <w:webHidden/>
          </w:rPr>
          <w:fldChar w:fldCharType="separate"/>
        </w:r>
        <w:r w:rsidR="00D0418C">
          <w:rPr>
            <w:webHidden/>
          </w:rPr>
          <w:t>310</w:t>
        </w:r>
        <w:r w:rsidR="00C97BE6">
          <w:rPr>
            <w:webHidden/>
          </w:rPr>
          <w:fldChar w:fldCharType="end"/>
        </w:r>
      </w:hyperlink>
    </w:p>
    <w:p w14:paraId="1094FA6A" w14:textId="77777777" w:rsidR="00C97BE6" w:rsidRPr="002D354C" w:rsidRDefault="00590491">
      <w:pPr>
        <w:pStyle w:val="TableofFigures"/>
        <w:rPr>
          <w:rFonts w:ascii="Calibri" w:hAnsi="Calibri"/>
          <w:sz w:val="22"/>
          <w:szCs w:val="22"/>
          <w:lang w:eastAsia="en-NZ"/>
        </w:rPr>
      </w:pPr>
      <w:hyperlink w:anchor="_Toc5269552" w:history="1">
        <w:r w:rsidR="00C97BE6" w:rsidRPr="009B03B5">
          <w:rPr>
            <w:rStyle w:val="Hyperlink"/>
          </w:rPr>
          <w:t>Table 6.10.1</w:t>
        </w:r>
        <w:r w:rsidR="00C97BE6" w:rsidRPr="002D354C">
          <w:rPr>
            <w:rFonts w:ascii="Calibri" w:hAnsi="Calibri"/>
            <w:sz w:val="22"/>
            <w:szCs w:val="22"/>
            <w:lang w:eastAsia="en-NZ"/>
          </w:rPr>
          <w:tab/>
        </w:r>
        <w:r w:rsidR="00C97BE6" w:rsidRPr="009B03B5">
          <w:rPr>
            <w:rStyle w:val="Hyperlink"/>
          </w:rPr>
          <w:t>Country-specific conversion factors for Harvested wood products produced from New Zealand wood</w:t>
        </w:r>
        <w:r w:rsidR="00C97BE6">
          <w:rPr>
            <w:webHidden/>
          </w:rPr>
          <w:tab/>
        </w:r>
        <w:r w:rsidR="00C97BE6">
          <w:rPr>
            <w:webHidden/>
          </w:rPr>
          <w:fldChar w:fldCharType="begin"/>
        </w:r>
        <w:r w:rsidR="00C97BE6">
          <w:rPr>
            <w:webHidden/>
          </w:rPr>
          <w:instrText xml:space="preserve"> PAGEREF _Toc5269552 \h </w:instrText>
        </w:r>
        <w:r w:rsidR="00C97BE6">
          <w:rPr>
            <w:webHidden/>
          </w:rPr>
        </w:r>
        <w:r w:rsidR="00C97BE6">
          <w:rPr>
            <w:webHidden/>
          </w:rPr>
          <w:fldChar w:fldCharType="separate"/>
        </w:r>
        <w:r w:rsidR="00D0418C">
          <w:rPr>
            <w:webHidden/>
          </w:rPr>
          <w:t>311</w:t>
        </w:r>
        <w:r w:rsidR="00C97BE6">
          <w:rPr>
            <w:webHidden/>
          </w:rPr>
          <w:fldChar w:fldCharType="end"/>
        </w:r>
      </w:hyperlink>
    </w:p>
    <w:p w14:paraId="3E57648A" w14:textId="77777777" w:rsidR="00C97BE6" w:rsidRPr="002D354C" w:rsidRDefault="00590491">
      <w:pPr>
        <w:pStyle w:val="TableofFigures"/>
        <w:rPr>
          <w:rFonts w:ascii="Calibri" w:hAnsi="Calibri"/>
          <w:sz w:val="22"/>
          <w:szCs w:val="22"/>
          <w:lang w:eastAsia="en-NZ"/>
        </w:rPr>
      </w:pPr>
      <w:hyperlink w:anchor="_Toc5269553" w:history="1">
        <w:r w:rsidR="00C97BE6" w:rsidRPr="009B03B5">
          <w:rPr>
            <w:rStyle w:val="Hyperlink"/>
          </w:rPr>
          <w:t>Table 6.10.2</w:t>
        </w:r>
        <w:r w:rsidR="00C97BE6" w:rsidRPr="002D354C">
          <w:rPr>
            <w:rFonts w:ascii="Calibri" w:hAnsi="Calibri"/>
            <w:sz w:val="22"/>
            <w:szCs w:val="22"/>
            <w:lang w:eastAsia="en-NZ"/>
          </w:rPr>
          <w:tab/>
        </w:r>
        <w:r w:rsidR="00C97BE6" w:rsidRPr="009B03B5">
          <w:rPr>
            <w:rStyle w:val="Hyperlink"/>
          </w:rPr>
          <w:t>Uncertainty in Harvested wood products data and parameters</w:t>
        </w:r>
        <w:r w:rsidR="00C97BE6">
          <w:rPr>
            <w:webHidden/>
          </w:rPr>
          <w:tab/>
        </w:r>
        <w:r w:rsidR="00C97BE6">
          <w:rPr>
            <w:webHidden/>
          </w:rPr>
          <w:fldChar w:fldCharType="begin"/>
        </w:r>
        <w:r w:rsidR="00C97BE6">
          <w:rPr>
            <w:webHidden/>
          </w:rPr>
          <w:instrText xml:space="preserve"> PAGEREF _Toc5269553 \h </w:instrText>
        </w:r>
        <w:r w:rsidR="00C97BE6">
          <w:rPr>
            <w:webHidden/>
          </w:rPr>
        </w:r>
        <w:r w:rsidR="00C97BE6">
          <w:rPr>
            <w:webHidden/>
          </w:rPr>
          <w:fldChar w:fldCharType="separate"/>
        </w:r>
        <w:r w:rsidR="00D0418C">
          <w:rPr>
            <w:webHidden/>
          </w:rPr>
          <w:t>312</w:t>
        </w:r>
        <w:r w:rsidR="00C97BE6">
          <w:rPr>
            <w:webHidden/>
          </w:rPr>
          <w:fldChar w:fldCharType="end"/>
        </w:r>
      </w:hyperlink>
    </w:p>
    <w:p w14:paraId="39B8C62B" w14:textId="77777777" w:rsidR="00C97BE6" w:rsidRPr="002D354C" w:rsidRDefault="00590491">
      <w:pPr>
        <w:pStyle w:val="TableofFigures"/>
        <w:rPr>
          <w:rFonts w:ascii="Calibri" w:hAnsi="Calibri"/>
          <w:sz w:val="22"/>
          <w:szCs w:val="22"/>
          <w:lang w:eastAsia="en-NZ"/>
        </w:rPr>
      </w:pPr>
      <w:hyperlink w:anchor="_Toc5269554" w:history="1">
        <w:r w:rsidR="00C97BE6" w:rsidRPr="009B03B5">
          <w:rPr>
            <w:rStyle w:val="Hyperlink"/>
          </w:rPr>
          <w:t>Table 6.10.3</w:t>
        </w:r>
        <w:r w:rsidR="00C97BE6" w:rsidRPr="002D354C">
          <w:rPr>
            <w:rFonts w:ascii="Calibri" w:hAnsi="Calibri"/>
            <w:sz w:val="22"/>
            <w:szCs w:val="22"/>
            <w:lang w:eastAsia="en-NZ"/>
          </w:rPr>
          <w:tab/>
        </w:r>
        <w:r w:rsidR="00C97BE6" w:rsidRPr="009B03B5">
          <w:rPr>
            <w:rStyle w:val="Hyperlink"/>
          </w:rPr>
          <w:t>Uncertainty in New Zealand’s 2017 estimates from emissions associated with Harvested wood products</w:t>
        </w:r>
        <w:r w:rsidR="00C97BE6">
          <w:rPr>
            <w:webHidden/>
          </w:rPr>
          <w:tab/>
        </w:r>
        <w:r w:rsidR="00C97BE6">
          <w:rPr>
            <w:webHidden/>
          </w:rPr>
          <w:fldChar w:fldCharType="begin"/>
        </w:r>
        <w:r w:rsidR="00C97BE6">
          <w:rPr>
            <w:webHidden/>
          </w:rPr>
          <w:instrText xml:space="preserve"> PAGEREF _Toc5269554 \h </w:instrText>
        </w:r>
        <w:r w:rsidR="00C97BE6">
          <w:rPr>
            <w:webHidden/>
          </w:rPr>
        </w:r>
        <w:r w:rsidR="00C97BE6">
          <w:rPr>
            <w:webHidden/>
          </w:rPr>
          <w:fldChar w:fldCharType="separate"/>
        </w:r>
        <w:r w:rsidR="00D0418C">
          <w:rPr>
            <w:webHidden/>
          </w:rPr>
          <w:t>313</w:t>
        </w:r>
        <w:r w:rsidR="00C97BE6">
          <w:rPr>
            <w:webHidden/>
          </w:rPr>
          <w:fldChar w:fldCharType="end"/>
        </w:r>
      </w:hyperlink>
    </w:p>
    <w:p w14:paraId="009736C4" w14:textId="77777777" w:rsidR="00C97BE6" w:rsidRPr="002D354C" w:rsidRDefault="00590491">
      <w:pPr>
        <w:pStyle w:val="TableofFigures"/>
        <w:rPr>
          <w:rFonts w:ascii="Calibri" w:hAnsi="Calibri"/>
          <w:sz w:val="22"/>
          <w:szCs w:val="22"/>
          <w:lang w:eastAsia="en-NZ"/>
        </w:rPr>
      </w:pPr>
      <w:hyperlink w:anchor="_Toc5269555" w:history="1">
        <w:r w:rsidR="00C97BE6" w:rsidRPr="009B03B5">
          <w:rPr>
            <w:rStyle w:val="Hyperlink"/>
          </w:rPr>
          <w:t>Table 6.10.4</w:t>
        </w:r>
        <w:r w:rsidR="00C97BE6" w:rsidRPr="002D354C">
          <w:rPr>
            <w:rFonts w:ascii="Calibri" w:hAnsi="Calibri"/>
            <w:sz w:val="22"/>
            <w:szCs w:val="22"/>
            <w:lang w:eastAsia="en-NZ"/>
          </w:rPr>
          <w:tab/>
        </w:r>
        <w:r w:rsidR="00C97BE6" w:rsidRPr="009B03B5">
          <w:rPr>
            <w:rStyle w:val="Hyperlink"/>
          </w:rPr>
          <w:t>Recalculations for New Zealand’s net emissions from the Harvested wood products category in 1990 and 2016</w:t>
        </w:r>
        <w:r w:rsidR="00C97BE6">
          <w:rPr>
            <w:webHidden/>
          </w:rPr>
          <w:tab/>
        </w:r>
        <w:r w:rsidR="00C97BE6">
          <w:rPr>
            <w:webHidden/>
          </w:rPr>
          <w:fldChar w:fldCharType="begin"/>
        </w:r>
        <w:r w:rsidR="00C97BE6">
          <w:rPr>
            <w:webHidden/>
          </w:rPr>
          <w:instrText xml:space="preserve"> PAGEREF _Toc5269555 \h </w:instrText>
        </w:r>
        <w:r w:rsidR="00C97BE6">
          <w:rPr>
            <w:webHidden/>
          </w:rPr>
        </w:r>
        <w:r w:rsidR="00C97BE6">
          <w:rPr>
            <w:webHidden/>
          </w:rPr>
          <w:fldChar w:fldCharType="separate"/>
        </w:r>
        <w:r w:rsidR="00D0418C">
          <w:rPr>
            <w:webHidden/>
          </w:rPr>
          <w:t>313</w:t>
        </w:r>
        <w:r w:rsidR="00C97BE6">
          <w:rPr>
            <w:webHidden/>
          </w:rPr>
          <w:fldChar w:fldCharType="end"/>
        </w:r>
      </w:hyperlink>
    </w:p>
    <w:p w14:paraId="441CBA32" w14:textId="77777777" w:rsidR="00C97BE6" w:rsidRPr="002D354C" w:rsidRDefault="00590491">
      <w:pPr>
        <w:pStyle w:val="TableofFigures"/>
        <w:rPr>
          <w:rFonts w:ascii="Calibri" w:hAnsi="Calibri"/>
          <w:sz w:val="22"/>
          <w:szCs w:val="22"/>
          <w:lang w:eastAsia="en-NZ"/>
        </w:rPr>
      </w:pPr>
      <w:hyperlink w:anchor="_Toc5269556" w:history="1">
        <w:r w:rsidR="00C97BE6" w:rsidRPr="009B03B5">
          <w:rPr>
            <w:rStyle w:val="Hyperlink"/>
          </w:rPr>
          <w:t>Table 6.11.1</w:t>
        </w:r>
        <w:r w:rsidR="00C97BE6" w:rsidRPr="002D354C">
          <w:rPr>
            <w:rFonts w:ascii="Calibri" w:hAnsi="Calibri"/>
            <w:sz w:val="22"/>
            <w:szCs w:val="22"/>
            <w:lang w:eastAsia="en-NZ"/>
          </w:rPr>
          <w:tab/>
        </w:r>
        <w:r w:rsidR="00C97BE6" w:rsidRPr="009B03B5">
          <w:rPr>
            <w:rStyle w:val="Hyperlink"/>
          </w:rPr>
          <w:t>Uncertainty in New Zealand’s 2017 estimates for N</w:t>
        </w:r>
        <w:r w:rsidR="00C97BE6" w:rsidRPr="009B03B5">
          <w:rPr>
            <w:rStyle w:val="Hyperlink"/>
            <w:vertAlign w:val="subscript"/>
          </w:rPr>
          <w:t>2</w:t>
        </w:r>
        <w:r w:rsidR="00C97BE6" w:rsidRPr="009B03B5">
          <w:rPr>
            <w:rStyle w:val="Hyperlink"/>
          </w:rPr>
          <w:t>O emissions from land-use change</w:t>
        </w:r>
        <w:r w:rsidR="00C97BE6">
          <w:rPr>
            <w:webHidden/>
          </w:rPr>
          <w:tab/>
        </w:r>
        <w:r w:rsidR="00C97BE6">
          <w:rPr>
            <w:webHidden/>
          </w:rPr>
          <w:fldChar w:fldCharType="begin"/>
        </w:r>
        <w:r w:rsidR="00C97BE6">
          <w:rPr>
            <w:webHidden/>
          </w:rPr>
          <w:instrText xml:space="preserve"> PAGEREF _Toc5269556 \h </w:instrText>
        </w:r>
        <w:r w:rsidR="00C97BE6">
          <w:rPr>
            <w:webHidden/>
          </w:rPr>
        </w:r>
        <w:r w:rsidR="00C97BE6">
          <w:rPr>
            <w:webHidden/>
          </w:rPr>
          <w:fldChar w:fldCharType="separate"/>
        </w:r>
        <w:r w:rsidR="00D0418C">
          <w:rPr>
            <w:webHidden/>
          </w:rPr>
          <w:t>314</w:t>
        </w:r>
        <w:r w:rsidR="00C97BE6">
          <w:rPr>
            <w:webHidden/>
          </w:rPr>
          <w:fldChar w:fldCharType="end"/>
        </w:r>
      </w:hyperlink>
    </w:p>
    <w:p w14:paraId="1D1FE476" w14:textId="77777777" w:rsidR="00C97BE6" w:rsidRPr="002D354C" w:rsidRDefault="00590491">
      <w:pPr>
        <w:pStyle w:val="TableofFigures"/>
        <w:rPr>
          <w:rFonts w:ascii="Calibri" w:hAnsi="Calibri"/>
          <w:sz w:val="22"/>
          <w:szCs w:val="22"/>
          <w:lang w:eastAsia="en-NZ"/>
        </w:rPr>
      </w:pPr>
      <w:hyperlink w:anchor="_Toc5269557" w:history="1">
        <w:r w:rsidR="00C97BE6" w:rsidRPr="009B03B5">
          <w:rPr>
            <w:rStyle w:val="Hyperlink"/>
          </w:rPr>
          <w:t>Table 6.11.2</w:t>
        </w:r>
        <w:r w:rsidR="00C97BE6" w:rsidRPr="002D354C">
          <w:rPr>
            <w:rFonts w:ascii="Calibri" w:hAnsi="Calibri"/>
            <w:sz w:val="22"/>
            <w:szCs w:val="22"/>
            <w:lang w:eastAsia="en-NZ"/>
          </w:rPr>
          <w:tab/>
        </w:r>
        <w:r w:rsidR="00C97BE6" w:rsidRPr="009B03B5">
          <w:rPr>
            <w:rStyle w:val="Hyperlink"/>
          </w:rPr>
          <w:t>Non-CO</w:t>
        </w:r>
        <w:r w:rsidR="00C97BE6" w:rsidRPr="009B03B5">
          <w:rPr>
            <w:rStyle w:val="Hyperlink"/>
            <w:vertAlign w:val="subscript"/>
          </w:rPr>
          <w:t>2</w:t>
        </w:r>
        <w:r w:rsidR="00C97BE6" w:rsidRPr="009B03B5">
          <w:rPr>
            <w:rStyle w:val="Hyperlink"/>
          </w:rPr>
          <w:t xml:space="preserve"> emissions from Biomass burning</w:t>
        </w:r>
        <w:r w:rsidR="00C97BE6">
          <w:rPr>
            <w:webHidden/>
          </w:rPr>
          <w:tab/>
        </w:r>
        <w:r w:rsidR="00C97BE6">
          <w:rPr>
            <w:webHidden/>
          </w:rPr>
          <w:fldChar w:fldCharType="begin"/>
        </w:r>
        <w:r w:rsidR="00C97BE6">
          <w:rPr>
            <w:webHidden/>
          </w:rPr>
          <w:instrText xml:space="preserve"> PAGEREF _Toc5269557 \h </w:instrText>
        </w:r>
        <w:r w:rsidR="00C97BE6">
          <w:rPr>
            <w:webHidden/>
          </w:rPr>
        </w:r>
        <w:r w:rsidR="00C97BE6">
          <w:rPr>
            <w:webHidden/>
          </w:rPr>
          <w:fldChar w:fldCharType="separate"/>
        </w:r>
        <w:r w:rsidR="00D0418C">
          <w:rPr>
            <w:webHidden/>
          </w:rPr>
          <w:t>315</w:t>
        </w:r>
        <w:r w:rsidR="00C97BE6">
          <w:rPr>
            <w:webHidden/>
          </w:rPr>
          <w:fldChar w:fldCharType="end"/>
        </w:r>
      </w:hyperlink>
    </w:p>
    <w:p w14:paraId="6B8C4F11" w14:textId="77777777" w:rsidR="00C97BE6" w:rsidRPr="002D354C" w:rsidRDefault="00590491">
      <w:pPr>
        <w:pStyle w:val="TableofFigures"/>
        <w:rPr>
          <w:rFonts w:ascii="Calibri" w:hAnsi="Calibri"/>
          <w:sz w:val="22"/>
          <w:szCs w:val="22"/>
          <w:lang w:eastAsia="en-NZ"/>
        </w:rPr>
      </w:pPr>
      <w:hyperlink w:anchor="_Toc5269558" w:history="1">
        <w:r w:rsidR="00C97BE6" w:rsidRPr="009B03B5">
          <w:rPr>
            <w:rStyle w:val="Hyperlink"/>
          </w:rPr>
          <w:t>Table 6.11.3</w:t>
        </w:r>
        <w:r w:rsidR="00C97BE6" w:rsidRPr="002D354C">
          <w:rPr>
            <w:rFonts w:ascii="Calibri" w:hAnsi="Calibri"/>
            <w:sz w:val="22"/>
            <w:szCs w:val="22"/>
            <w:lang w:eastAsia="en-NZ"/>
          </w:rPr>
          <w:tab/>
        </w:r>
        <w:r w:rsidR="00C97BE6" w:rsidRPr="009B03B5">
          <w:rPr>
            <w:rStyle w:val="Hyperlink"/>
          </w:rPr>
          <w:t>Uncertainty in New Zealand’s 2016 estimates for CH</w:t>
        </w:r>
        <w:r w:rsidR="00C97BE6" w:rsidRPr="009B03B5">
          <w:rPr>
            <w:rStyle w:val="Hyperlink"/>
            <w:vertAlign w:val="subscript"/>
          </w:rPr>
          <w:t>4</w:t>
        </w:r>
        <w:r w:rsidR="00C97BE6" w:rsidRPr="009B03B5">
          <w:rPr>
            <w:rStyle w:val="Hyperlink"/>
          </w:rPr>
          <w:t xml:space="preserve"> and N</w:t>
        </w:r>
        <w:r w:rsidR="00C97BE6" w:rsidRPr="009B03B5">
          <w:rPr>
            <w:rStyle w:val="Hyperlink"/>
            <w:vertAlign w:val="subscript"/>
          </w:rPr>
          <w:t>2</w:t>
        </w:r>
        <w:r w:rsidR="00C97BE6" w:rsidRPr="009B03B5">
          <w:rPr>
            <w:rStyle w:val="Hyperlink"/>
          </w:rPr>
          <w:t>O emissions from Biomass burning</w:t>
        </w:r>
        <w:r w:rsidR="00C97BE6">
          <w:rPr>
            <w:webHidden/>
          </w:rPr>
          <w:tab/>
        </w:r>
        <w:r w:rsidR="00C97BE6">
          <w:rPr>
            <w:webHidden/>
          </w:rPr>
          <w:fldChar w:fldCharType="begin"/>
        </w:r>
        <w:r w:rsidR="00C97BE6">
          <w:rPr>
            <w:webHidden/>
          </w:rPr>
          <w:instrText xml:space="preserve"> PAGEREF _Toc5269558 \h </w:instrText>
        </w:r>
        <w:r w:rsidR="00C97BE6">
          <w:rPr>
            <w:webHidden/>
          </w:rPr>
        </w:r>
        <w:r w:rsidR="00C97BE6">
          <w:rPr>
            <w:webHidden/>
          </w:rPr>
          <w:fldChar w:fldCharType="separate"/>
        </w:r>
        <w:r w:rsidR="00D0418C">
          <w:rPr>
            <w:webHidden/>
          </w:rPr>
          <w:t>318</w:t>
        </w:r>
        <w:r w:rsidR="00C97BE6">
          <w:rPr>
            <w:webHidden/>
          </w:rPr>
          <w:fldChar w:fldCharType="end"/>
        </w:r>
      </w:hyperlink>
    </w:p>
    <w:p w14:paraId="00C234F8" w14:textId="28B6146A" w:rsidR="00C97BE6" w:rsidRPr="002D354C" w:rsidRDefault="00590491">
      <w:pPr>
        <w:pStyle w:val="TableofFigures"/>
        <w:rPr>
          <w:rFonts w:ascii="Calibri" w:hAnsi="Calibri"/>
          <w:sz w:val="22"/>
          <w:szCs w:val="22"/>
          <w:lang w:eastAsia="en-NZ"/>
        </w:rPr>
      </w:pPr>
      <w:hyperlink w:anchor="_Toc5269559" w:history="1">
        <w:r w:rsidR="00C97BE6" w:rsidRPr="009B03B5">
          <w:rPr>
            <w:rStyle w:val="Hyperlink"/>
          </w:rPr>
          <w:t xml:space="preserve">Table 7.1.1 </w:t>
        </w:r>
        <w:r w:rsidR="00C97BE6" w:rsidRPr="002D354C">
          <w:rPr>
            <w:rFonts w:ascii="Calibri" w:hAnsi="Calibri"/>
            <w:sz w:val="22"/>
            <w:szCs w:val="22"/>
            <w:lang w:eastAsia="en-NZ"/>
          </w:rPr>
          <w:tab/>
        </w:r>
        <w:r w:rsidR="00C97BE6" w:rsidRPr="009B03B5">
          <w:rPr>
            <w:rStyle w:val="Hyperlink"/>
          </w:rPr>
          <w:t>New Zealand’s greenhouse gas emissions for the Waste sector</w:t>
        </w:r>
        <w:r w:rsidR="00A00EA1">
          <w:rPr>
            <w:rStyle w:val="Hyperlink"/>
          </w:rPr>
          <w:t xml:space="preserve"> </w:t>
        </w:r>
        <w:r w:rsidR="00C97BE6" w:rsidRPr="009B03B5">
          <w:rPr>
            <w:rStyle w:val="Hyperlink"/>
          </w:rPr>
          <w:t>by source category 1990 and 2017</w:t>
        </w:r>
        <w:r w:rsidR="00C97BE6">
          <w:rPr>
            <w:webHidden/>
          </w:rPr>
          <w:tab/>
        </w:r>
        <w:r w:rsidR="00C97BE6">
          <w:rPr>
            <w:webHidden/>
          </w:rPr>
          <w:fldChar w:fldCharType="begin"/>
        </w:r>
        <w:r w:rsidR="00C97BE6">
          <w:rPr>
            <w:webHidden/>
          </w:rPr>
          <w:instrText xml:space="preserve"> PAGEREF _Toc5269559 \h </w:instrText>
        </w:r>
        <w:r w:rsidR="00C97BE6">
          <w:rPr>
            <w:webHidden/>
          </w:rPr>
        </w:r>
        <w:r w:rsidR="00C97BE6">
          <w:rPr>
            <w:webHidden/>
          </w:rPr>
          <w:fldChar w:fldCharType="separate"/>
        </w:r>
        <w:r w:rsidR="00D0418C">
          <w:rPr>
            <w:webHidden/>
          </w:rPr>
          <w:t>329</w:t>
        </w:r>
        <w:r w:rsidR="00C97BE6">
          <w:rPr>
            <w:webHidden/>
          </w:rPr>
          <w:fldChar w:fldCharType="end"/>
        </w:r>
      </w:hyperlink>
    </w:p>
    <w:p w14:paraId="3576AFE3" w14:textId="77777777" w:rsidR="00C97BE6" w:rsidRPr="002D354C" w:rsidRDefault="00590491">
      <w:pPr>
        <w:pStyle w:val="TableofFigures"/>
        <w:rPr>
          <w:rFonts w:ascii="Calibri" w:hAnsi="Calibri"/>
          <w:sz w:val="22"/>
          <w:szCs w:val="22"/>
          <w:lang w:eastAsia="en-NZ"/>
        </w:rPr>
      </w:pPr>
      <w:hyperlink w:anchor="_Toc5269560" w:history="1">
        <w:r w:rsidR="00C97BE6" w:rsidRPr="009B03B5">
          <w:rPr>
            <w:rStyle w:val="Hyperlink"/>
          </w:rPr>
          <w:t xml:space="preserve">Table 7.1.2 </w:t>
        </w:r>
        <w:r w:rsidR="00C97BE6" w:rsidRPr="002D354C">
          <w:rPr>
            <w:rFonts w:ascii="Calibri" w:hAnsi="Calibri"/>
            <w:sz w:val="22"/>
            <w:szCs w:val="22"/>
            <w:lang w:eastAsia="en-NZ"/>
          </w:rPr>
          <w:tab/>
        </w:r>
        <w:r w:rsidR="00C97BE6" w:rsidRPr="009B03B5">
          <w:rPr>
            <w:rStyle w:val="Hyperlink"/>
          </w:rPr>
          <w:t>Key categories in the Waste sector</w:t>
        </w:r>
        <w:r w:rsidR="00C97BE6">
          <w:rPr>
            <w:webHidden/>
          </w:rPr>
          <w:tab/>
        </w:r>
        <w:r w:rsidR="00C97BE6">
          <w:rPr>
            <w:webHidden/>
          </w:rPr>
          <w:fldChar w:fldCharType="begin"/>
        </w:r>
        <w:r w:rsidR="00C97BE6">
          <w:rPr>
            <w:webHidden/>
          </w:rPr>
          <w:instrText xml:space="preserve"> PAGEREF _Toc5269560 \h </w:instrText>
        </w:r>
        <w:r w:rsidR="00C97BE6">
          <w:rPr>
            <w:webHidden/>
          </w:rPr>
        </w:r>
        <w:r w:rsidR="00C97BE6">
          <w:rPr>
            <w:webHidden/>
          </w:rPr>
          <w:fldChar w:fldCharType="separate"/>
        </w:r>
        <w:r w:rsidR="00D0418C">
          <w:rPr>
            <w:webHidden/>
          </w:rPr>
          <w:t>330</w:t>
        </w:r>
        <w:r w:rsidR="00C97BE6">
          <w:rPr>
            <w:webHidden/>
          </w:rPr>
          <w:fldChar w:fldCharType="end"/>
        </w:r>
      </w:hyperlink>
    </w:p>
    <w:p w14:paraId="25466E3C" w14:textId="77777777" w:rsidR="00C97BE6" w:rsidRPr="002D354C" w:rsidRDefault="00590491">
      <w:pPr>
        <w:pStyle w:val="TableofFigures"/>
        <w:rPr>
          <w:rFonts w:ascii="Calibri" w:hAnsi="Calibri"/>
          <w:sz w:val="22"/>
          <w:szCs w:val="22"/>
          <w:lang w:eastAsia="en-NZ"/>
        </w:rPr>
      </w:pPr>
      <w:hyperlink w:anchor="_Toc5269561" w:history="1">
        <w:r w:rsidR="00C97BE6" w:rsidRPr="009B03B5">
          <w:rPr>
            <w:rStyle w:val="Hyperlink"/>
          </w:rPr>
          <w:t xml:space="preserve">Table 7.2.1 </w:t>
        </w:r>
        <w:r w:rsidR="00C97BE6" w:rsidRPr="002D354C">
          <w:rPr>
            <w:rFonts w:ascii="Calibri" w:hAnsi="Calibri"/>
            <w:sz w:val="22"/>
            <w:szCs w:val="22"/>
            <w:lang w:eastAsia="en-NZ"/>
          </w:rPr>
          <w:tab/>
        </w:r>
        <w:r w:rsidR="00C97BE6" w:rsidRPr="009B03B5">
          <w:rPr>
            <w:rStyle w:val="Hyperlink"/>
          </w:rPr>
          <w:t>Landfill emissions in the common reporting format table</w:t>
        </w:r>
        <w:r w:rsidR="00C97BE6">
          <w:rPr>
            <w:webHidden/>
          </w:rPr>
          <w:tab/>
        </w:r>
        <w:r w:rsidR="00C97BE6">
          <w:rPr>
            <w:webHidden/>
          </w:rPr>
          <w:fldChar w:fldCharType="begin"/>
        </w:r>
        <w:r w:rsidR="00C97BE6">
          <w:rPr>
            <w:webHidden/>
          </w:rPr>
          <w:instrText xml:space="preserve"> PAGEREF _Toc5269561 \h </w:instrText>
        </w:r>
        <w:r w:rsidR="00C97BE6">
          <w:rPr>
            <w:webHidden/>
          </w:rPr>
        </w:r>
        <w:r w:rsidR="00C97BE6">
          <w:rPr>
            <w:webHidden/>
          </w:rPr>
          <w:fldChar w:fldCharType="separate"/>
        </w:r>
        <w:r w:rsidR="00D0418C">
          <w:rPr>
            <w:webHidden/>
          </w:rPr>
          <w:t>333</w:t>
        </w:r>
        <w:r w:rsidR="00C97BE6">
          <w:rPr>
            <w:webHidden/>
          </w:rPr>
          <w:fldChar w:fldCharType="end"/>
        </w:r>
      </w:hyperlink>
    </w:p>
    <w:p w14:paraId="19FFBFC7" w14:textId="77777777" w:rsidR="00C97BE6" w:rsidRPr="002D354C" w:rsidRDefault="00590491">
      <w:pPr>
        <w:pStyle w:val="TableofFigures"/>
        <w:rPr>
          <w:rFonts w:ascii="Calibri" w:hAnsi="Calibri"/>
          <w:sz w:val="22"/>
          <w:szCs w:val="22"/>
          <w:lang w:eastAsia="en-NZ"/>
        </w:rPr>
      </w:pPr>
      <w:hyperlink w:anchor="_Toc5269562" w:history="1">
        <w:r w:rsidR="00C97BE6" w:rsidRPr="009B03B5">
          <w:rPr>
            <w:rStyle w:val="Hyperlink"/>
          </w:rPr>
          <w:t xml:space="preserve">Table 7.2.2 </w:t>
        </w:r>
        <w:r w:rsidR="00C97BE6" w:rsidRPr="002D354C">
          <w:rPr>
            <w:rFonts w:ascii="Calibri" w:hAnsi="Calibri"/>
            <w:sz w:val="22"/>
            <w:szCs w:val="22"/>
            <w:lang w:eastAsia="en-NZ"/>
          </w:rPr>
          <w:tab/>
        </w:r>
        <w:r w:rsidR="00C97BE6" w:rsidRPr="009B03B5">
          <w:rPr>
            <w:rStyle w:val="Hyperlink"/>
          </w:rPr>
          <w:t>Solid waste deposited to municipal and uncategorised landfills from 1950 to 2017</w:t>
        </w:r>
        <w:r w:rsidR="00C97BE6">
          <w:rPr>
            <w:webHidden/>
          </w:rPr>
          <w:tab/>
        </w:r>
        <w:r w:rsidR="00C97BE6">
          <w:rPr>
            <w:webHidden/>
          </w:rPr>
          <w:fldChar w:fldCharType="begin"/>
        </w:r>
        <w:r w:rsidR="00C97BE6">
          <w:rPr>
            <w:webHidden/>
          </w:rPr>
          <w:instrText xml:space="preserve"> PAGEREF _Toc5269562 \h </w:instrText>
        </w:r>
        <w:r w:rsidR="00C97BE6">
          <w:rPr>
            <w:webHidden/>
          </w:rPr>
        </w:r>
        <w:r w:rsidR="00C97BE6">
          <w:rPr>
            <w:webHidden/>
          </w:rPr>
          <w:fldChar w:fldCharType="separate"/>
        </w:r>
        <w:r w:rsidR="00D0418C">
          <w:rPr>
            <w:webHidden/>
          </w:rPr>
          <w:t>334</w:t>
        </w:r>
        <w:r w:rsidR="00C97BE6">
          <w:rPr>
            <w:webHidden/>
          </w:rPr>
          <w:fldChar w:fldCharType="end"/>
        </w:r>
      </w:hyperlink>
    </w:p>
    <w:p w14:paraId="036CEFD1" w14:textId="77777777" w:rsidR="00C97BE6" w:rsidRPr="002D354C" w:rsidRDefault="00590491">
      <w:pPr>
        <w:pStyle w:val="TableofFigures"/>
        <w:rPr>
          <w:rFonts w:ascii="Calibri" w:hAnsi="Calibri"/>
          <w:sz w:val="22"/>
          <w:szCs w:val="22"/>
          <w:lang w:eastAsia="en-NZ"/>
        </w:rPr>
      </w:pPr>
      <w:hyperlink w:anchor="_Toc5269563" w:history="1">
        <w:r w:rsidR="00C97BE6" w:rsidRPr="009B03B5">
          <w:rPr>
            <w:rStyle w:val="Hyperlink"/>
          </w:rPr>
          <w:t xml:space="preserve">Table 7.2.3 </w:t>
        </w:r>
        <w:r w:rsidR="00C97BE6" w:rsidRPr="002D354C">
          <w:rPr>
            <w:rFonts w:ascii="Calibri" w:hAnsi="Calibri"/>
            <w:sz w:val="22"/>
            <w:szCs w:val="22"/>
            <w:lang w:eastAsia="en-NZ"/>
          </w:rPr>
          <w:tab/>
        </w:r>
        <w:r w:rsidR="00C97BE6" w:rsidRPr="009B03B5">
          <w:rPr>
            <w:rStyle w:val="Hyperlink"/>
          </w:rPr>
          <w:t>Solid waste deposited to unmanaged landfills from 1950 to 2017</w:t>
        </w:r>
        <w:r w:rsidR="00C97BE6">
          <w:rPr>
            <w:webHidden/>
          </w:rPr>
          <w:tab/>
        </w:r>
        <w:r w:rsidR="00C97BE6">
          <w:rPr>
            <w:webHidden/>
          </w:rPr>
          <w:fldChar w:fldCharType="begin"/>
        </w:r>
        <w:r w:rsidR="00C97BE6">
          <w:rPr>
            <w:webHidden/>
          </w:rPr>
          <w:instrText xml:space="preserve"> PAGEREF _Toc5269563 \h </w:instrText>
        </w:r>
        <w:r w:rsidR="00C97BE6">
          <w:rPr>
            <w:webHidden/>
          </w:rPr>
        </w:r>
        <w:r w:rsidR="00C97BE6">
          <w:rPr>
            <w:webHidden/>
          </w:rPr>
          <w:fldChar w:fldCharType="separate"/>
        </w:r>
        <w:r w:rsidR="00D0418C">
          <w:rPr>
            <w:webHidden/>
          </w:rPr>
          <w:t>337</w:t>
        </w:r>
        <w:r w:rsidR="00C97BE6">
          <w:rPr>
            <w:webHidden/>
          </w:rPr>
          <w:fldChar w:fldCharType="end"/>
        </w:r>
      </w:hyperlink>
    </w:p>
    <w:p w14:paraId="0538D316" w14:textId="77777777" w:rsidR="00C97BE6" w:rsidRPr="002D354C" w:rsidRDefault="00590491">
      <w:pPr>
        <w:pStyle w:val="TableofFigures"/>
        <w:rPr>
          <w:rFonts w:ascii="Calibri" w:hAnsi="Calibri"/>
          <w:sz w:val="22"/>
          <w:szCs w:val="22"/>
          <w:lang w:eastAsia="en-NZ"/>
        </w:rPr>
      </w:pPr>
      <w:hyperlink w:anchor="_Toc5269564" w:history="1">
        <w:r w:rsidR="00C97BE6" w:rsidRPr="009B03B5">
          <w:rPr>
            <w:rStyle w:val="Hyperlink"/>
          </w:rPr>
          <w:t xml:space="preserve">Table 7.2.4 </w:t>
        </w:r>
        <w:r w:rsidR="00C97BE6" w:rsidRPr="002D354C">
          <w:rPr>
            <w:rFonts w:ascii="Calibri" w:hAnsi="Calibri"/>
            <w:sz w:val="22"/>
            <w:szCs w:val="22"/>
            <w:lang w:eastAsia="en-NZ"/>
          </w:rPr>
          <w:tab/>
        </w:r>
        <w:r w:rsidR="00C97BE6" w:rsidRPr="009B03B5">
          <w:rPr>
            <w:rStyle w:val="Hyperlink"/>
          </w:rPr>
          <w:t>Estimated composition of waste to municipal landfills from 1950 to 2017</w:t>
        </w:r>
        <w:r w:rsidR="00C97BE6">
          <w:rPr>
            <w:webHidden/>
          </w:rPr>
          <w:tab/>
        </w:r>
        <w:r w:rsidR="00C97BE6">
          <w:rPr>
            <w:webHidden/>
          </w:rPr>
          <w:fldChar w:fldCharType="begin"/>
        </w:r>
        <w:r w:rsidR="00C97BE6">
          <w:rPr>
            <w:webHidden/>
          </w:rPr>
          <w:instrText xml:space="preserve"> PAGEREF _Toc5269564 \h </w:instrText>
        </w:r>
        <w:r w:rsidR="00C97BE6">
          <w:rPr>
            <w:webHidden/>
          </w:rPr>
        </w:r>
        <w:r w:rsidR="00C97BE6">
          <w:rPr>
            <w:webHidden/>
          </w:rPr>
          <w:fldChar w:fldCharType="separate"/>
        </w:r>
        <w:r w:rsidR="00D0418C">
          <w:rPr>
            <w:webHidden/>
          </w:rPr>
          <w:t>339</w:t>
        </w:r>
        <w:r w:rsidR="00C97BE6">
          <w:rPr>
            <w:webHidden/>
          </w:rPr>
          <w:fldChar w:fldCharType="end"/>
        </w:r>
      </w:hyperlink>
    </w:p>
    <w:p w14:paraId="7006A245" w14:textId="77777777" w:rsidR="00C97BE6" w:rsidRPr="002D354C" w:rsidRDefault="00590491">
      <w:pPr>
        <w:pStyle w:val="TableofFigures"/>
        <w:rPr>
          <w:rFonts w:ascii="Calibri" w:hAnsi="Calibri"/>
          <w:sz w:val="22"/>
          <w:szCs w:val="22"/>
          <w:lang w:eastAsia="en-NZ"/>
        </w:rPr>
      </w:pPr>
      <w:hyperlink w:anchor="_Toc5269565" w:history="1">
        <w:r w:rsidR="00C97BE6" w:rsidRPr="009B03B5">
          <w:rPr>
            <w:rStyle w:val="Hyperlink"/>
          </w:rPr>
          <w:t>Table 7.2.5</w:t>
        </w:r>
        <w:r w:rsidR="00C97BE6" w:rsidRPr="002D354C">
          <w:rPr>
            <w:rFonts w:ascii="Calibri" w:hAnsi="Calibri"/>
            <w:sz w:val="22"/>
            <w:szCs w:val="22"/>
            <w:lang w:eastAsia="en-NZ"/>
          </w:rPr>
          <w:tab/>
        </w:r>
        <w:r w:rsidR="00C97BE6" w:rsidRPr="009B03B5">
          <w:rPr>
            <w:rStyle w:val="Hyperlink"/>
          </w:rPr>
          <w:t>Methane generation rates used for landfills with landfill gas recovery, 1990 and 2017</w:t>
        </w:r>
        <w:r w:rsidR="00C97BE6">
          <w:rPr>
            <w:webHidden/>
          </w:rPr>
          <w:tab/>
        </w:r>
        <w:r w:rsidR="00C97BE6">
          <w:rPr>
            <w:webHidden/>
          </w:rPr>
          <w:fldChar w:fldCharType="begin"/>
        </w:r>
        <w:r w:rsidR="00C97BE6">
          <w:rPr>
            <w:webHidden/>
          </w:rPr>
          <w:instrText xml:space="preserve"> PAGEREF _Toc5269565 \h </w:instrText>
        </w:r>
        <w:r w:rsidR="00C97BE6">
          <w:rPr>
            <w:webHidden/>
          </w:rPr>
        </w:r>
        <w:r w:rsidR="00C97BE6">
          <w:rPr>
            <w:webHidden/>
          </w:rPr>
          <w:fldChar w:fldCharType="separate"/>
        </w:r>
        <w:r w:rsidR="00D0418C">
          <w:rPr>
            <w:webHidden/>
          </w:rPr>
          <w:t>341</w:t>
        </w:r>
        <w:r w:rsidR="00C97BE6">
          <w:rPr>
            <w:webHidden/>
          </w:rPr>
          <w:fldChar w:fldCharType="end"/>
        </w:r>
      </w:hyperlink>
    </w:p>
    <w:p w14:paraId="498C2282" w14:textId="77777777" w:rsidR="00C97BE6" w:rsidRPr="002D354C" w:rsidRDefault="00590491">
      <w:pPr>
        <w:pStyle w:val="TableofFigures"/>
        <w:rPr>
          <w:rFonts w:ascii="Calibri" w:hAnsi="Calibri"/>
          <w:sz w:val="22"/>
          <w:szCs w:val="22"/>
          <w:lang w:eastAsia="en-NZ"/>
        </w:rPr>
      </w:pPr>
      <w:hyperlink w:anchor="_Toc5269566" w:history="1">
        <w:r w:rsidR="00C97BE6" w:rsidRPr="009B03B5">
          <w:rPr>
            <w:rStyle w:val="Hyperlink"/>
          </w:rPr>
          <w:t>Table 7.2.6</w:t>
        </w:r>
        <w:r w:rsidR="00C97BE6" w:rsidRPr="002D354C">
          <w:rPr>
            <w:rFonts w:ascii="Calibri" w:hAnsi="Calibri"/>
            <w:sz w:val="22"/>
            <w:szCs w:val="22"/>
            <w:lang w:eastAsia="en-NZ"/>
          </w:rPr>
          <w:tab/>
        </w:r>
        <w:r w:rsidR="00C97BE6" w:rsidRPr="009B03B5">
          <w:rPr>
            <w:rStyle w:val="Hyperlink"/>
          </w:rPr>
          <w:t>Methane recovery rates and amounts for landfill sites with landfill gas recovery 2017</w:t>
        </w:r>
        <w:r w:rsidR="00C97BE6">
          <w:rPr>
            <w:webHidden/>
          </w:rPr>
          <w:tab/>
        </w:r>
        <w:r w:rsidR="00C97BE6">
          <w:rPr>
            <w:webHidden/>
          </w:rPr>
          <w:fldChar w:fldCharType="begin"/>
        </w:r>
        <w:r w:rsidR="00C97BE6">
          <w:rPr>
            <w:webHidden/>
          </w:rPr>
          <w:instrText xml:space="preserve"> PAGEREF _Toc5269566 \h </w:instrText>
        </w:r>
        <w:r w:rsidR="00C97BE6">
          <w:rPr>
            <w:webHidden/>
          </w:rPr>
        </w:r>
        <w:r w:rsidR="00C97BE6">
          <w:rPr>
            <w:webHidden/>
          </w:rPr>
          <w:fldChar w:fldCharType="separate"/>
        </w:r>
        <w:r w:rsidR="00D0418C">
          <w:rPr>
            <w:webHidden/>
          </w:rPr>
          <w:t>342</w:t>
        </w:r>
        <w:r w:rsidR="00C97BE6">
          <w:rPr>
            <w:webHidden/>
          </w:rPr>
          <w:fldChar w:fldCharType="end"/>
        </w:r>
      </w:hyperlink>
    </w:p>
    <w:p w14:paraId="2014AF5E" w14:textId="77777777" w:rsidR="00C97BE6" w:rsidRPr="002D354C" w:rsidRDefault="00590491">
      <w:pPr>
        <w:pStyle w:val="TableofFigures"/>
        <w:rPr>
          <w:rFonts w:ascii="Calibri" w:hAnsi="Calibri"/>
          <w:sz w:val="22"/>
          <w:szCs w:val="22"/>
          <w:lang w:eastAsia="en-NZ"/>
        </w:rPr>
      </w:pPr>
      <w:hyperlink w:anchor="_Toc5269567" w:history="1">
        <w:r w:rsidR="00C97BE6" w:rsidRPr="009B03B5">
          <w:rPr>
            <w:rStyle w:val="Hyperlink"/>
          </w:rPr>
          <w:t xml:space="preserve">Table 7.2.7 </w:t>
        </w:r>
        <w:r w:rsidR="00C97BE6" w:rsidRPr="002D354C">
          <w:rPr>
            <w:rFonts w:ascii="Calibri" w:hAnsi="Calibri"/>
            <w:sz w:val="22"/>
            <w:szCs w:val="22"/>
            <w:lang w:eastAsia="en-NZ"/>
          </w:rPr>
          <w:tab/>
        </w:r>
        <w:r w:rsidR="00C97BE6" w:rsidRPr="009B03B5">
          <w:rPr>
            <w:rStyle w:val="Hyperlink"/>
          </w:rPr>
          <w:t>Summary of parameters for municipal landfills</w:t>
        </w:r>
        <w:r w:rsidR="00C97BE6">
          <w:rPr>
            <w:webHidden/>
          </w:rPr>
          <w:tab/>
        </w:r>
        <w:r w:rsidR="00C97BE6">
          <w:rPr>
            <w:webHidden/>
          </w:rPr>
          <w:fldChar w:fldCharType="begin"/>
        </w:r>
        <w:r w:rsidR="00C97BE6">
          <w:rPr>
            <w:webHidden/>
          </w:rPr>
          <w:instrText xml:space="preserve"> PAGEREF _Toc5269567 \h </w:instrText>
        </w:r>
        <w:r w:rsidR="00C97BE6">
          <w:rPr>
            <w:webHidden/>
          </w:rPr>
        </w:r>
        <w:r w:rsidR="00C97BE6">
          <w:rPr>
            <w:webHidden/>
          </w:rPr>
          <w:fldChar w:fldCharType="separate"/>
        </w:r>
        <w:r w:rsidR="00D0418C">
          <w:rPr>
            <w:webHidden/>
          </w:rPr>
          <w:t>344</w:t>
        </w:r>
        <w:r w:rsidR="00C97BE6">
          <w:rPr>
            <w:webHidden/>
          </w:rPr>
          <w:fldChar w:fldCharType="end"/>
        </w:r>
      </w:hyperlink>
    </w:p>
    <w:p w14:paraId="54987054" w14:textId="77777777" w:rsidR="00C97BE6" w:rsidRPr="002D354C" w:rsidRDefault="00590491">
      <w:pPr>
        <w:pStyle w:val="TableofFigures"/>
        <w:rPr>
          <w:rFonts w:ascii="Calibri" w:hAnsi="Calibri"/>
          <w:sz w:val="22"/>
          <w:szCs w:val="22"/>
          <w:lang w:eastAsia="en-NZ"/>
        </w:rPr>
      </w:pPr>
      <w:hyperlink w:anchor="_Toc5269568" w:history="1">
        <w:r w:rsidR="00C97BE6" w:rsidRPr="009B03B5">
          <w:rPr>
            <w:rStyle w:val="Hyperlink"/>
          </w:rPr>
          <w:t xml:space="preserve">Table 7.2.8 </w:t>
        </w:r>
        <w:r w:rsidR="00C97BE6" w:rsidRPr="002D354C">
          <w:rPr>
            <w:rFonts w:ascii="Calibri" w:hAnsi="Calibri"/>
            <w:sz w:val="22"/>
            <w:szCs w:val="22"/>
            <w:lang w:eastAsia="en-NZ"/>
          </w:rPr>
          <w:tab/>
        </w:r>
        <w:r w:rsidR="00C97BE6" w:rsidRPr="009B03B5">
          <w:rPr>
            <w:rStyle w:val="Hyperlink"/>
          </w:rPr>
          <w:t>Summary of parameters for non-municipal landfills and farm fills</w:t>
        </w:r>
        <w:r w:rsidR="00C97BE6">
          <w:rPr>
            <w:webHidden/>
          </w:rPr>
          <w:tab/>
        </w:r>
        <w:r w:rsidR="00C97BE6">
          <w:rPr>
            <w:webHidden/>
          </w:rPr>
          <w:fldChar w:fldCharType="begin"/>
        </w:r>
        <w:r w:rsidR="00C97BE6">
          <w:rPr>
            <w:webHidden/>
          </w:rPr>
          <w:instrText xml:space="preserve"> PAGEREF _Toc5269568 \h </w:instrText>
        </w:r>
        <w:r w:rsidR="00C97BE6">
          <w:rPr>
            <w:webHidden/>
          </w:rPr>
        </w:r>
        <w:r w:rsidR="00C97BE6">
          <w:rPr>
            <w:webHidden/>
          </w:rPr>
          <w:fldChar w:fldCharType="separate"/>
        </w:r>
        <w:r w:rsidR="00D0418C">
          <w:rPr>
            <w:webHidden/>
          </w:rPr>
          <w:t>345</w:t>
        </w:r>
        <w:r w:rsidR="00C97BE6">
          <w:rPr>
            <w:webHidden/>
          </w:rPr>
          <w:fldChar w:fldCharType="end"/>
        </w:r>
      </w:hyperlink>
    </w:p>
    <w:p w14:paraId="771A35C8" w14:textId="77777777" w:rsidR="00C97BE6" w:rsidRPr="002D354C" w:rsidRDefault="00590491">
      <w:pPr>
        <w:pStyle w:val="TableofFigures"/>
        <w:rPr>
          <w:rFonts w:ascii="Calibri" w:hAnsi="Calibri"/>
          <w:sz w:val="22"/>
          <w:szCs w:val="22"/>
          <w:lang w:eastAsia="en-NZ"/>
        </w:rPr>
      </w:pPr>
      <w:hyperlink w:anchor="_Toc5269569" w:history="1">
        <w:r w:rsidR="00C97BE6" w:rsidRPr="009B03B5">
          <w:rPr>
            <w:rStyle w:val="Hyperlink"/>
          </w:rPr>
          <w:t>Table 7.2.9</w:t>
        </w:r>
        <w:r w:rsidR="00C97BE6" w:rsidRPr="002D354C">
          <w:rPr>
            <w:rFonts w:ascii="Calibri" w:hAnsi="Calibri"/>
            <w:sz w:val="22"/>
            <w:szCs w:val="22"/>
            <w:lang w:eastAsia="en-NZ"/>
          </w:rPr>
          <w:tab/>
        </w:r>
        <w:r w:rsidR="00C97BE6" w:rsidRPr="009B03B5">
          <w:rPr>
            <w:rStyle w:val="Hyperlink"/>
          </w:rPr>
          <w:t>Uncertainty in emissions from Solid waste disposal</w:t>
        </w:r>
        <w:r w:rsidR="00C97BE6">
          <w:rPr>
            <w:webHidden/>
          </w:rPr>
          <w:tab/>
        </w:r>
        <w:r w:rsidR="00C97BE6">
          <w:rPr>
            <w:webHidden/>
          </w:rPr>
          <w:fldChar w:fldCharType="begin"/>
        </w:r>
        <w:r w:rsidR="00C97BE6">
          <w:rPr>
            <w:webHidden/>
          </w:rPr>
          <w:instrText xml:space="preserve"> PAGEREF _Toc5269569 \h </w:instrText>
        </w:r>
        <w:r w:rsidR="00C97BE6">
          <w:rPr>
            <w:webHidden/>
          </w:rPr>
        </w:r>
        <w:r w:rsidR="00C97BE6">
          <w:rPr>
            <w:webHidden/>
          </w:rPr>
          <w:fldChar w:fldCharType="separate"/>
        </w:r>
        <w:r w:rsidR="00D0418C">
          <w:rPr>
            <w:webHidden/>
          </w:rPr>
          <w:t>346</w:t>
        </w:r>
        <w:r w:rsidR="00C97BE6">
          <w:rPr>
            <w:webHidden/>
          </w:rPr>
          <w:fldChar w:fldCharType="end"/>
        </w:r>
      </w:hyperlink>
    </w:p>
    <w:p w14:paraId="438E2FBE" w14:textId="77777777" w:rsidR="00C97BE6" w:rsidRPr="002D354C" w:rsidRDefault="00590491">
      <w:pPr>
        <w:pStyle w:val="TableofFigures"/>
        <w:rPr>
          <w:rFonts w:ascii="Calibri" w:hAnsi="Calibri"/>
          <w:sz w:val="22"/>
          <w:szCs w:val="22"/>
          <w:lang w:eastAsia="en-NZ"/>
        </w:rPr>
      </w:pPr>
      <w:hyperlink w:anchor="_Toc5269570" w:history="1">
        <w:r w:rsidR="00C97BE6" w:rsidRPr="009B03B5">
          <w:rPr>
            <w:rStyle w:val="Hyperlink"/>
          </w:rPr>
          <w:t xml:space="preserve">Table 7.3.1 </w:t>
        </w:r>
        <w:r w:rsidR="00C97BE6" w:rsidRPr="002D354C">
          <w:rPr>
            <w:rFonts w:ascii="Calibri" w:hAnsi="Calibri"/>
            <w:sz w:val="22"/>
            <w:szCs w:val="22"/>
            <w:lang w:eastAsia="en-NZ"/>
          </w:rPr>
          <w:tab/>
        </w:r>
        <w:r w:rsidR="00C97BE6" w:rsidRPr="009B03B5">
          <w:rPr>
            <w:rStyle w:val="Hyperlink"/>
          </w:rPr>
          <w:t>Emission factors applied to estimate emissions from composting</w:t>
        </w:r>
        <w:r w:rsidR="00C97BE6">
          <w:rPr>
            <w:webHidden/>
          </w:rPr>
          <w:tab/>
        </w:r>
        <w:r w:rsidR="00C97BE6">
          <w:rPr>
            <w:webHidden/>
          </w:rPr>
          <w:fldChar w:fldCharType="begin"/>
        </w:r>
        <w:r w:rsidR="00C97BE6">
          <w:rPr>
            <w:webHidden/>
          </w:rPr>
          <w:instrText xml:space="preserve"> PAGEREF _Toc5269570 \h </w:instrText>
        </w:r>
        <w:r w:rsidR="00C97BE6">
          <w:rPr>
            <w:webHidden/>
          </w:rPr>
        </w:r>
        <w:r w:rsidR="00C97BE6">
          <w:rPr>
            <w:webHidden/>
          </w:rPr>
          <w:fldChar w:fldCharType="separate"/>
        </w:r>
        <w:r w:rsidR="00D0418C">
          <w:rPr>
            <w:webHidden/>
          </w:rPr>
          <w:t>348</w:t>
        </w:r>
        <w:r w:rsidR="00C97BE6">
          <w:rPr>
            <w:webHidden/>
          </w:rPr>
          <w:fldChar w:fldCharType="end"/>
        </w:r>
      </w:hyperlink>
    </w:p>
    <w:p w14:paraId="40CA700E" w14:textId="77777777" w:rsidR="00C97BE6" w:rsidRPr="002D354C" w:rsidRDefault="00590491">
      <w:pPr>
        <w:pStyle w:val="TableofFigures"/>
        <w:rPr>
          <w:rFonts w:ascii="Calibri" w:hAnsi="Calibri"/>
          <w:sz w:val="22"/>
          <w:szCs w:val="22"/>
          <w:lang w:eastAsia="en-NZ"/>
        </w:rPr>
      </w:pPr>
      <w:hyperlink w:anchor="_Toc5269571" w:history="1">
        <w:r w:rsidR="00C97BE6" w:rsidRPr="009B03B5">
          <w:rPr>
            <w:rStyle w:val="Hyperlink"/>
          </w:rPr>
          <w:t>Table 7.3.2</w:t>
        </w:r>
        <w:r w:rsidR="00C97BE6" w:rsidRPr="002D354C">
          <w:rPr>
            <w:rFonts w:ascii="Calibri" w:hAnsi="Calibri"/>
            <w:sz w:val="22"/>
            <w:szCs w:val="22"/>
            <w:lang w:eastAsia="en-NZ"/>
          </w:rPr>
          <w:tab/>
        </w:r>
        <w:r w:rsidR="00C97BE6" w:rsidRPr="009B03B5">
          <w:rPr>
            <w:rStyle w:val="Hyperlink"/>
          </w:rPr>
          <w:t>Uncertainty in emissions from compost</w:t>
        </w:r>
        <w:r w:rsidR="00C97BE6">
          <w:rPr>
            <w:webHidden/>
          </w:rPr>
          <w:tab/>
        </w:r>
        <w:r w:rsidR="00C97BE6">
          <w:rPr>
            <w:webHidden/>
          </w:rPr>
          <w:fldChar w:fldCharType="begin"/>
        </w:r>
        <w:r w:rsidR="00C97BE6">
          <w:rPr>
            <w:webHidden/>
          </w:rPr>
          <w:instrText xml:space="preserve"> PAGEREF _Toc5269571 \h </w:instrText>
        </w:r>
        <w:r w:rsidR="00C97BE6">
          <w:rPr>
            <w:webHidden/>
          </w:rPr>
        </w:r>
        <w:r w:rsidR="00C97BE6">
          <w:rPr>
            <w:webHidden/>
          </w:rPr>
          <w:fldChar w:fldCharType="separate"/>
        </w:r>
        <w:r w:rsidR="00D0418C">
          <w:rPr>
            <w:webHidden/>
          </w:rPr>
          <w:t>349</w:t>
        </w:r>
        <w:r w:rsidR="00C97BE6">
          <w:rPr>
            <w:webHidden/>
          </w:rPr>
          <w:fldChar w:fldCharType="end"/>
        </w:r>
      </w:hyperlink>
    </w:p>
    <w:p w14:paraId="31398F5F" w14:textId="77777777" w:rsidR="00C97BE6" w:rsidRPr="002D354C" w:rsidRDefault="00590491">
      <w:pPr>
        <w:pStyle w:val="TableofFigures"/>
        <w:rPr>
          <w:rFonts w:ascii="Calibri" w:hAnsi="Calibri"/>
          <w:sz w:val="22"/>
          <w:szCs w:val="22"/>
          <w:lang w:eastAsia="en-NZ"/>
        </w:rPr>
      </w:pPr>
      <w:hyperlink w:anchor="_Toc5269572" w:history="1">
        <w:r w:rsidR="00C97BE6" w:rsidRPr="009B03B5">
          <w:rPr>
            <w:rStyle w:val="Hyperlink"/>
          </w:rPr>
          <w:t xml:space="preserve">Table 7.4.1 </w:t>
        </w:r>
        <w:r w:rsidR="00C97BE6" w:rsidRPr="002D354C">
          <w:rPr>
            <w:rFonts w:ascii="Calibri" w:hAnsi="Calibri"/>
            <w:sz w:val="22"/>
            <w:szCs w:val="22"/>
            <w:lang w:eastAsia="en-NZ"/>
          </w:rPr>
          <w:tab/>
        </w:r>
        <w:r w:rsidR="00C97BE6" w:rsidRPr="009B03B5">
          <w:rPr>
            <w:rStyle w:val="Hyperlink"/>
          </w:rPr>
          <w:t>Emissions from Incineration and open burning of waste (5.C)</w:t>
        </w:r>
        <w:r w:rsidR="00C97BE6">
          <w:rPr>
            <w:webHidden/>
          </w:rPr>
          <w:tab/>
        </w:r>
        <w:r w:rsidR="00C97BE6">
          <w:rPr>
            <w:webHidden/>
          </w:rPr>
          <w:fldChar w:fldCharType="begin"/>
        </w:r>
        <w:r w:rsidR="00C97BE6">
          <w:rPr>
            <w:webHidden/>
          </w:rPr>
          <w:instrText xml:space="preserve"> PAGEREF _Toc5269572 \h </w:instrText>
        </w:r>
        <w:r w:rsidR="00C97BE6">
          <w:rPr>
            <w:webHidden/>
          </w:rPr>
        </w:r>
        <w:r w:rsidR="00C97BE6">
          <w:rPr>
            <w:webHidden/>
          </w:rPr>
          <w:fldChar w:fldCharType="separate"/>
        </w:r>
        <w:r w:rsidR="00D0418C">
          <w:rPr>
            <w:webHidden/>
          </w:rPr>
          <w:t>350</w:t>
        </w:r>
        <w:r w:rsidR="00C97BE6">
          <w:rPr>
            <w:webHidden/>
          </w:rPr>
          <w:fldChar w:fldCharType="end"/>
        </w:r>
      </w:hyperlink>
    </w:p>
    <w:p w14:paraId="083DF187" w14:textId="77777777" w:rsidR="00C97BE6" w:rsidRPr="002D354C" w:rsidRDefault="00590491">
      <w:pPr>
        <w:pStyle w:val="TableofFigures"/>
        <w:rPr>
          <w:rFonts w:ascii="Calibri" w:hAnsi="Calibri"/>
          <w:sz w:val="22"/>
          <w:szCs w:val="22"/>
          <w:lang w:eastAsia="en-NZ"/>
        </w:rPr>
      </w:pPr>
      <w:hyperlink w:anchor="_Toc5269573" w:history="1">
        <w:r w:rsidR="00C97BE6" w:rsidRPr="009B03B5">
          <w:rPr>
            <w:rStyle w:val="Hyperlink"/>
          </w:rPr>
          <w:t xml:space="preserve">Table 7.4.2 </w:t>
        </w:r>
        <w:r w:rsidR="00C97BE6" w:rsidRPr="002D354C">
          <w:rPr>
            <w:rFonts w:ascii="Calibri" w:hAnsi="Calibri"/>
            <w:sz w:val="22"/>
            <w:szCs w:val="22"/>
            <w:lang w:eastAsia="en-NZ"/>
          </w:rPr>
          <w:tab/>
        </w:r>
        <w:r w:rsidR="00C97BE6" w:rsidRPr="009B03B5">
          <w:rPr>
            <w:rStyle w:val="Hyperlink"/>
          </w:rPr>
          <w:t>Amounts of waste incinerated 1990 to 2017</w:t>
        </w:r>
        <w:r w:rsidR="00C97BE6">
          <w:rPr>
            <w:webHidden/>
          </w:rPr>
          <w:tab/>
        </w:r>
        <w:r w:rsidR="00C97BE6">
          <w:rPr>
            <w:webHidden/>
          </w:rPr>
          <w:fldChar w:fldCharType="begin"/>
        </w:r>
        <w:r w:rsidR="00C97BE6">
          <w:rPr>
            <w:webHidden/>
          </w:rPr>
          <w:instrText xml:space="preserve"> PAGEREF _Toc5269573 \h </w:instrText>
        </w:r>
        <w:r w:rsidR="00C97BE6">
          <w:rPr>
            <w:webHidden/>
          </w:rPr>
        </w:r>
        <w:r w:rsidR="00C97BE6">
          <w:rPr>
            <w:webHidden/>
          </w:rPr>
          <w:fldChar w:fldCharType="separate"/>
        </w:r>
        <w:r w:rsidR="00D0418C">
          <w:rPr>
            <w:webHidden/>
          </w:rPr>
          <w:t>350</w:t>
        </w:r>
        <w:r w:rsidR="00C97BE6">
          <w:rPr>
            <w:webHidden/>
          </w:rPr>
          <w:fldChar w:fldCharType="end"/>
        </w:r>
      </w:hyperlink>
    </w:p>
    <w:p w14:paraId="4B677C7E" w14:textId="77777777" w:rsidR="00C97BE6" w:rsidRPr="002D354C" w:rsidRDefault="00590491">
      <w:pPr>
        <w:pStyle w:val="TableofFigures"/>
        <w:rPr>
          <w:rFonts w:ascii="Calibri" w:hAnsi="Calibri"/>
          <w:sz w:val="22"/>
          <w:szCs w:val="22"/>
          <w:lang w:eastAsia="en-NZ"/>
        </w:rPr>
      </w:pPr>
      <w:hyperlink w:anchor="_Toc5269574" w:history="1">
        <w:r w:rsidR="00C97BE6" w:rsidRPr="009B03B5">
          <w:rPr>
            <w:rStyle w:val="Hyperlink"/>
          </w:rPr>
          <w:t>Table 7.4.3</w:t>
        </w:r>
        <w:r w:rsidR="00C97BE6" w:rsidRPr="002D354C">
          <w:rPr>
            <w:rFonts w:ascii="Calibri" w:hAnsi="Calibri"/>
            <w:sz w:val="22"/>
            <w:szCs w:val="22"/>
            <w:lang w:eastAsia="en-NZ"/>
          </w:rPr>
          <w:tab/>
        </w:r>
        <w:r w:rsidR="00C97BE6" w:rsidRPr="009B03B5">
          <w:rPr>
            <w:rStyle w:val="Hyperlink"/>
          </w:rPr>
          <w:t>Values applied to estimate carbon dioxide emissions from open burning of rural waste</w:t>
        </w:r>
        <w:r w:rsidR="00C97BE6">
          <w:rPr>
            <w:webHidden/>
          </w:rPr>
          <w:tab/>
        </w:r>
        <w:r w:rsidR="00C97BE6">
          <w:rPr>
            <w:webHidden/>
          </w:rPr>
          <w:fldChar w:fldCharType="begin"/>
        </w:r>
        <w:r w:rsidR="00C97BE6">
          <w:rPr>
            <w:webHidden/>
          </w:rPr>
          <w:instrText xml:space="preserve"> PAGEREF _Toc5269574 \h </w:instrText>
        </w:r>
        <w:r w:rsidR="00C97BE6">
          <w:rPr>
            <w:webHidden/>
          </w:rPr>
        </w:r>
        <w:r w:rsidR="00C97BE6">
          <w:rPr>
            <w:webHidden/>
          </w:rPr>
          <w:fldChar w:fldCharType="separate"/>
        </w:r>
        <w:r w:rsidR="00D0418C">
          <w:rPr>
            <w:webHidden/>
          </w:rPr>
          <w:t>352</w:t>
        </w:r>
        <w:r w:rsidR="00C97BE6">
          <w:rPr>
            <w:webHidden/>
          </w:rPr>
          <w:fldChar w:fldCharType="end"/>
        </w:r>
      </w:hyperlink>
    </w:p>
    <w:p w14:paraId="5C1FCD4E" w14:textId="77777777" w:rsidR="00C97BE6" w:rsidRPr="002D354C" w:rsidRDefault="00590491">
      <w:pPr>
        <w:pStyle w:val="TableofFigures"/>
        <w:rPr>
          <w:rFonts w:ascii="Calibri" w:hAnsi="Calibri"/>
          <w:sz w:val="22"/>
          <w:szCs w:val="22"/>
          <w:lang w:eastAsia="en-NZ"/>
        </w:rPr>
      </w:pPr>
      <w:hyperlink w:anchor="_Toc5269575" w:history="1">
        <w:r w:rsidR="00C97BE6" w:rsidRPr="009B03B5">
          <w:rPr>
            <w:rStyle w:val="Hyperlink"/>
          </w:rPr>
          <w:t>Table 7.4.4</w:t>
        </w:r>
        <w:r w:rsidR="00C97BE6" w:rsidRPr="002D354C">
          <w:rPr>
            <w:rFonts w:ascii="Calibri" w:hAnsi="Calibri"/>
            <w:sz w:val="22"/>
            <w:szCs w:val="22"/>
            <w:lang w:eastAsia="en-NZ"/>
          </w:rPr>
          <w:tab/>
        </w:r>
        <w:r w:rsidR="00C97BE6" w:rsidRPr="009B03B5">
          <w:rPr>
            <w:rStyle w:val="Hyperlink"/>
          </w:rPr>
          <w:t>Parameter values applied to estimate emissions from incineration</w:t>
        </w:r>
        <w:r w:rsidR="00C97BE6">
          <w:rPr>
            <w:webHidden/>
          </w:rPr>
          <w:tab/>
        </w:r>
        <w:r w:rsidR="00C97BE6">
          <w:rPr>
            <w:webHidden/>
          </w:rPr>
          <w:fldChar w:fldCharType="begin"/>
        </w:r>
        <w:r w:rsidR="00C97BE6">
          <w:rPr>
            <w:webHidden/>
          </w:rPr>
          <w:instrText xml:space="preserve"> PAGEREF _Toc5269575 \h </w:instrText>
        </w:r>
        <w:r w:rsidR="00C97BE6">
          <w:rPr>
            <w:webHidden/>
          </w:rPr>
        </w:r>
        <w:r w:rsidR="00C97BE6">
          <w:rPr>
            <w:webHidden/>
          </w:rPr>
          <w:fldChar w:fldCharType="separate"/>
        </w:r>
        <w:r w:rsidR="00D0418C">
          <w:rPr>
            <w:webHidden/>
          </w:rPr>
          <w:t>352</w:t>
        </w:r>
        <w:r w:rsidR="00C97BE6">
          <w:rPr>
            <w:webHidden/>
          </w:rPr>
          <w:fldChar w:fldCharType="end"/>
        </w:r>
      </w:hyperlink>
    </w:p>
    <w:p w14:paraId="4B1419E1" w14:textId="77777777" w:rsidR="00C97BE6" w:rsidRPr="002D354C" w:rsidRDefault="00590491">
      <w:pPr>
        <w:pStyle w:val="TableofFigures"/>
        <w:rPr>
          <w:rFonts w:ascii="Calibri" w:hAnsi="Calibri"/>
          <w:sz w:val="22"/>
          <w:szCs w:val="22"/>
          <w:lang w:eastAsia="en-NZ"/>
        </w:rPr>
      </w:pPr>
      <w:hyperlink w:anchor="_Toc5269576" w:history="1">
        <w:r w:rsidR="00C97BE6" w:rsidRPr="009B03B5">
          <w:rPr>
            <w:rStyle w:val="Hyperlink"/>
          </w:rPr>
          <w:t>Table 7.4.5</w:t>
        </w:r>
        <w:r w:rsidR="00C97BE6" w:rsidRPr="002D354C">
          <w:rPr>
            <w:rFonts w:ascii="Calibri" w:hAnsi="Calibri"/>
            <w:sz w:val="22"/>
            <w:szCs w:val="22"/>
            <w:lang w:eastAsia="en-NZ"/>
          </w:rPr>
          <w:tab/>
        </w:r>
        <w:r w:rsidR="00C97BE6" w:rsidRPr="009B03B5">
          <w:rPr>
            <w:rStyle w:val="Hyperlink"/>
          </w:rPr>
          <w:t>Parameters used to estimate emissions from open burning</w:t>
        </w:r>
        <w:r w:rsidR="00C97BE6">
          <w:rPr>
            <w:webHidden/>
          </w:rPr>
          <w:tab/>
        </w:r>
        <w:r w:rsidR="00C97BE6">
          <w:rPr>
            <w:webHidden/>
          </w:rPr>
          <w:fldChar w:fldCharType="begin"/>
        </w:r>
        <w:r w:rsidR="00C97BE6">
          <w:rPr>
            <w:webHidden/>
          </w:rPr>
          <w:instrText xml:space="preserve"> PAGEREF _Toc5269576 \h </w:instrText>
        </w:r>
        <w:r w:rsidR="00C97BE6">
          <w:rPr>
            <w:webHidden/>
          </w:rPr>
        </w:r>
        <w:r w:rsidR="00C97BE6">
          <w:rPr>
            <w:webHidden/>
          </w:rPr>
          <w:fldChar w:fldCharType="separate"/>
        </w:r>
        <w:r w:rsidR="00D0418C">
          <w:rPr>
            <w:webHidden/>
          </w:rPr>
          <w:t>353</w:t>
        </w:r>
        <w:r w:rsidR="00C97BE6">
          <w:rPr>
            <w:webHidden/>
          </w:rPr>
          <w:fldChar w:fldCharType="end"/>
        </w:r>
      </w:hyperlink>
    </w:p>
    <w:p w14:paraId="5D319FD5" w14:textId="77777777" w:rsidR="00C97BE6" w:rsidRPr="002D354C" w:rsidRDefault="00590491">
      <w:pPr>
        <w:pStyle w:val="TableofFigures"/>
        <w:rPr>
          <w:rFonts w:ascii="Calibri" w:hAnsi="Calibri"/>
          <w:sz w:val="22"/>
          <w:szCs w:val="22"/>
          <w:lang w:eastAsia="en-NZ"/>
        </w:rPr>
      </w:pPr>
      <w:hyperlink w:anchor="_Toc5269577" w:history="1">
        <w:r w:rsidR="00C97BE6" w:rsidRPr="009B03B5">
          <w:rPr>
            <w:rStyle w:val="Hyperlink"/>
          </w:rPr>
          <w:t>Table 7.4.6</w:t>
        </w:r>
        <w:r w:rsidR="00C97BE6" w:rsidRPr="002D354C">
          <w:rPr>
            <w:rFonts w:ascii="Calibri" w:hAnsi="Calibri"/>
            <w:sz w:val="22"/>
            <w:szCs w:val="22"/>
            <w:lang w:eastAsia="en-NZ"/>
          </w:rPr>
          <w:tab/>
        </w:r>
        <w:r w:rsidR="00C97BE6" w:rsidRPr="009B03B5">
          <w:rPr>
            <w:rStyle w:val="Hyperlink"/>
          </w:rPr>
          <w:t>Uncertainty in emissions from incineration and open burning</w:t>
        </w:r>
        <w:r w:rsidR="00C97BE6">
          <w:rPr>
            <w:webHidden/>
          </w:rPr>
          <w:tab/>
        </w:r>
        <w:r w:rsidR="00C97BE6">
          <w:rPr>
            <w:webHidden/>
          </w:rPr>
          <w:fldChar w:fldCharType="begin"/>
        </w:r>
        <w:r w:rsidR="00C97BE6">
          <w:rPr>
            <w:webHidden/>
          </w:rPr>
          <w:instrText xml:space="preserve"> PAGEREF _Toc5269577 \h </w:instrText>
        </w:r>
        <w:r w:rsidR="00C97BE6">
          <w:rPr>
            <w:webHidden/>
          </w:rPr>
        </w:r>
        <w:r w:rsidR="00C97BE6">
          <w:rPr>
            <w:webHidden/>
          </w:rPr>
          <w:fldChar w:fldCharType="separate"/>
        </w:r>
        <w:r w:rsidR="00D0418C">
          <w:rPr>
            <w:webHidden/>
          </w:rPr>
          <w:t>353</w:t>
        </w:r>
        <w:r w:rsidR="00C97BE6">
          <w:rPr>
            <w:webHidden/>
          </w:rPr>
          <w:fldChar w:fldCharType="end"/>
        </w:r>
      </w:hyperlink>
    </w:p>
    <w:p w14:paraId="53CD9913" w14:textId="77777777" w:rsidR="00C97BE6" w:rsidRPr="002D354C" w:rsidRDefault="00590491">
      <w:pPr>
        <w:pStyle w:val="TableofFigures"/>
        <w:rPr>
          <w:rFonts w:ascii="Calibri" w:hAnsi="Calibri"/>
          <w:sz w:val="22"/>
          <w:szCs w:val="22"/>
          <w:lang w:eastAsia="en-NZ"/>
        </w:rPr>
      </w:pPr>
      <w:hyperlink w:anchor="_Toc5269578" w:history="1">
        <w:r w:rsidR="00C97BE6" w:rsidRPr="009B03B5">
          <w:rPr>
            <w:rStyle w:val="Hyperlink"/>
          </w:rPr>
          <w:t xml:space="preserve">Table 7.5.1 </w:t>
        </w:r>
        <w:r w:rsidR="00C97BE6" w:rsidRPr="002D354C">
          <w:rPr>
            <w:rFonts w:ascii="Calibri" w:hAnsi="Calibri"/>
            <w:sz w:val="22"/>
            <w:szCs w:val="22"/>
            <w:lang w:eastAsia="en-NZ"/>
          </w:rPr>
          <w:tab/>
        </w:r>
        <w:r w:rsidR="00C97BE6" w:rsidRPr="009B03B5">
          <w:rPr>
            <w:rStyle w:val="Hyperlink"/>
          </w:rPr>
          <w:t>Emissions from Wastewater treatment and discharge (5.D)</w:t>
        </w:r>
        <w:r w:rsidR="00C97BE6">
          <w:rPr>
            <w:webHidden/>
          </w:rPr>
          <w:tab/>
        </w:r>
        <w:r w:rsidR="00C97BE6">
          <w:rPr>
            <w:webHidden/>
          </w:rPr>
          <w:fldChar w:fldCharType="begin"/>
        </w:r>
        <w:r w:rsidR="00C97BE6">
          <w:rPr>
            <w:webHidden/>
          </w:rPr>
          <w:instrText xml:space="preserve"> PAGEREF _Toc5269578 \h </w:instrText>
        </w:r>
        <w:r w:rsidR="00C97BE6">
          <w:rPr>
            <w:webHidden/>
          </w:rPr>
        </w:r>
        <w:r w:rsidR="00C97BE6">
          <w:rPr>
            <w:webHidden/>
          </w:rPr>
          <w:fldChar w:fldCharType="separate"/>
        </w:r>
        <w:r w:rsidR="00D0418C">
          <w:rPr>
            <w:webHidden/>
          </w:rPr>
          <w:t>354</w:t>
        </w:r>
        <w:r w:rsidR="00C97BE6">
          <w:rPr>
            <w:webHidden/>
          </w:rPr>
          <w:fldChar w:fldCharType="end"/>
        </w:r>
      </w:hyperlink>
    </w:p>
    <w:p w14:paraId="117660EC" w14:textId="77777777" w:rsidR="00C97BE6" w:rsidRPr="002D354C" w:rsidRDefault="00590491">
      <w:pPr>
        <w:pStyle w:val="TableofFigures"/>
        <w:rPr>
          <w:rFonts w:ascii="Calibri" w:hAnsi="Calibri"/>
          <w:sz w:val="22"/>
          <w:szCs w:val="22"/>
          <w:lang w:eastAsia="en-NZ"/>
        </w:rPr>
      </w:pPr>
      <w:hyperlink w:anchor="_Toc5269579" w:history="1">
        <w:r w:rsidR="00C97BE6" w:rsidRPr="009B03B5">
          <w:rPr>
            <w:rStyle w:val="Hyperlink"/>
          </w:rPr>
          <w:t xml:space="preserve">Table 7.5.2 </w:t>
        </w:r>
        <w:r w:rsidR="00C97BE6" w:rsidRPr="002D354C">
          <w:rPr>
            <w:rFonts w:ascii="Calibri" w:hAnsi="Calibri"/>
            <w:sz w:val="22"/>
            <w:szCs w:val="22"/>
            <w:lang w:eastAsia="en-NZ"/>
          </w:rPr>
          <w:tab/>
        </w:r>
        <w:r w:rsidR="00C97BE6" w:rsidRPr="009B03B5">
          <w:rPr>
            <w:rStyle w:val="Hyperlink"/>
          </w:rPr>
          <w:t>Activity data and key factors for domestic wastewater from 1990 to 2017</w:t>
        </w:r>
        <w:r w:rsidR="00C97BE6">
          <w:rPr>
            <w:webHidden/>
          </w:rPr>
          <w:tab/>
        </w:r>
        <w:r w:rsidR="00C97BE6">
          <w:rPr>
            <w:webHidden/>
          </w:rPr>
          <w:fldChar w:fldCharType="begin"/>
        </w:r>
        <w:r w:rsidR="00C97BE6">
          <w:rPr>
            <w:webHidden/>
          </w:rPr>
          <w:instrText xml:space="preserve"> PAGEREF _Toc5269579 \h </w:instrText>
        </w:r>
        <w:r w:rsidR="00C97BE6">
          <w:rPr>
            <w:webHidden/>
          </w:rPr>
        </w:r>
        <w:r w:rsidR="00C97BE6">
          <w:rPr>
            <w:webHidden/>
          </w:rPr>
          <w:fldChar w:fldCharType="separate"/>
        </w:r>
        <w:r w:rsidR="00D0418C">
          <w:rPr>
            <w:webHidden/>
          </w:rPr>
          <w:t>356</w:t>
        </w:r>
        <w:r w:rsidR="00C97BE6">
          <w:rPr>
            <w:webHidden/>
          </w:rPr>
          <w:fldChar w:fldCharType="end"/>
        </w:r>
      </w:hyperlink>
    </w:p>
    <w:p w14:paraId="0570EA3F" w14:textId="77777777" w:rsidR="00C97BE6" w:rsidRPr="002D354C" w:rsidRDefault="00590491">
      <w:pPr>
        <w:pStyle w:val="TableofFigures"/>
        <w:rPr>
          <w:rFonts w:ascii="Calibri" w:hAnsi="Calibri"/>
          <w:sz w:val="22"/>
          <w:szCs w:val="22"/>
          <w:lang w:eastAsia="en-NZ"/>
        </w:rPr>
      </w:pPr>
      <w:hyperlink w:anchor="_Toc5269580" w:history="1">
        <w:r w:rsidR="00C97BE6" w:rsidRPr="009B03B5">
          <w:rPr>
            <w:rStyle w:val="Hyperlink"/>
          </w:rPr>
          <w:t xml:space="preserve">Table 7.5.3 </w:t>
        </w:r>
        <w:r w:rsidR="00C97BE6" w:rsidRPr="002D354C">
          <w:rPr>
            <w:rFonts w:ascii="Calibri" w:hAnsi="Calibri"/>
            <w:sz w:val="22"/>
            <w:szCs w:val="22"/>
            <w:lang w:eastAsia="en-NZ"/>
          </w:rPr>
          <w:tab/>
        </w:r>
        <w:r w:rsidR="00C97BE6" w:rsidRPr="009B03B5">
          <w:rPr>
            <w:rStyle w:val="Hyperlink"/>
          </w:rPr>
          <w:t>Total organic product producing methane from industrial wastewater 1990 to 2017</w:t>
        </w:r>
        <w:r w:rsidR="00C97BE6">
          <w:rPr>
            <w:webHidden/>
          </w:rPr>
          <w:tab/>
        </w:r>
        <w:r w:rsidR="00C97BE6">
          <w:rPr>
            <w:webHidden/>
          </w:rPr>
          <w:fldChar w:fldCharType="begin"/>
        </w:r>
        <w:r w:rsidR="00C97BE6">
          <w:rPr>
            <w:webHidden/>
          </w:rPr>
          <w:instrText xml:space="preserve"> PAGEREF _Toc5269580 \h </w:instrText>
        </w:r>
        <w:r w:rsidR="00C97BE6">
          <w:rPr>
            <w:webHidden/>
          </w:rPr>
        </w:r>
        <w:r w:rsidR="00C97BE6">
          <w:rPr>
            <w:webHidden/>
          </w:rPr>
          <w:fldChar w:fldCharType="separate"/>
        </w:r>
        <w:r w:rsidR="00D0418C">
          <w:rPr>
            <w:webHidden/>
          </w:rPr>
          <w:t>356</w:t>
        </w:r>
        <w:r w:rsidR="00C97BE6">
          <w:rPr>
            <w:webHidden/>
          </w:rPr>
          <w:fldChar w:fldCharType="end"/>
        </w:r>
      </w:hyperlink>
    </w:p>
    <w:p w14:paraId="57D72251" w14:textId="77777777" w:rsidR="00C97BE6" w:rsidRPr="002D354C" w:rsidRDefault="00590491">
      <w:pPr>
        <w:pStyle w:val="TableofFigures"/>
        <w:rPr>
          <w:rFonts w:ascii="Calibri" w:hAnsi="Calibri"/>
          <w:sz w:val="22"/>
          <w:szCs w:val="22"/>
          <w:lang w:eastAsia="en-NZ"/>
        </w:rPr>
      </w:pPr>
      <w:hyperlink w:anchor="_Toc5269581" w:history="1">
        <w:r w:rsidR="00C97BE6" w:rsidRPr="009B03B5">
          <w:rPr>
            <w:rStyle w:val="Hyperlink"/>
          </w:rPr>
          <w:t xml:space="preserve">Table 7.5.4 </w:t>
        </w:r>
        <w:r w:rsidR="00C97BE6" w:rsidRPr="002D354C">
          <w:rPr>
            <w:rFonts w:ascii="Calibri" w:hAnsi="Calibri"/>
            <w:sz w:val="22"/>
            <w:szCs w:val="22"/>
            <w:lang w:eastAsia="en-NZ"/>
          </w:rPr>
          <w:tab/>
        </w:r>
        <w:r w:rsidR="00C97BE6" w:rsidRPr="009B03B5">
          <w:rPr>
            <w:rStyle w:val="Hyperlink"/>
          </w:rPr>
          <w:t>Nitrogen in effluent from industrial wastewater 1990 to 2017</w:t>
        </w:r>
        <w:r w:rsidR="00C97BE6">
          <w:rPr>
            <w:webHidden/>
          </w:rPr>
          <w:tab/>
        </w:r>
        <w:r w:rsidR="00C97BE6">
          <w:rPr>
            <w:webHidden/>
          </w:rPr>
          <w:fldChar w:fldCharType="begin"/>
        </w:r>
        <w:r w:rsidR="00C97BE6">
          <w:rPr>
            <w:webHidden/>
          </w:rPr>
          <w:instrText xml:space="preserve"> PAGEREF _Toc5269581 \h </w:instrText>
        </w:r>
        <w:r w:rsidR="00C97BE6">
          <w:rPr>
            <w:webHidden/>
          </w:rPr>
        </w:r>
        <w:r w:rsidR="00C97BE6">
          <w:rPr>
            <w:webHidden/>
          </w:rPr>
          <w:fldChar w:fldCharType="separate"/>
        </w:r>
        <w:r w:rsidR="00D0418C">
          <w:rPr>
            <w:webHidden/>
          </w:rPr>
          <w:t>357</w:t>
        </w:r>
        <w:r w:rsidR="00C97BE6">
          <w:rPr>
            <w:webHidden/>
          </w:rPr>
          <w:fldChar w:fldCharType="end"/>
        </w:r>
      </w:hyperlink>
    </w:p>
    <w:p w14:paraId="734C5670" w14:textId="77777777" w:rsidR="00C97BE6" w:rsidRPr="002D354C" w:rsidRDefault="00590491">
      <w:pPr>
        <w:pStyle w:val="TableofFigures"/>
        <w:rPr>
          <w:rFonts w:ascii="Calibri" w:hAnsi="Calibri"/>
          <w:sz w:val="22"/>
          <w:szCs w:val="22"/>
          <w:lang w:eastAsia="en-NZ"/>
        </w:rPr>
      </w:pPr>
      <w:hyperlink w:anchor="_Toc5269582" w:history="1">
        <w:r w:rsidR="00C97BE6" w:rsidRPr="009B03B5">
          <w:rPr>
            <w:rStyle w:val="Hyperlink"/>
          </w:rPr>
          <w:t>Table 7.5.5</w:t>
        </w:r>
        <w:r w:rsidR="00C97BE6" w:rsidRPr="002D354C">
          <w:rPr>
            <w:rFonts w:ascii="Calibri" w:hAnsi="Calibri"/>
            <w:sz w:val="22"/>
            <w:szCs w:val="22"/>
            <w:lang w:eastAsia="en-NZ"/>
          </w:rPr>
          <w:tab/>
        </w:r>
        <w:r w:rsidR="00C97BE6" w:rsidRPr="009B03B5">
          <w:rPr>
            <w:rStyle w:val="Hyperlink"/>
          </w:rPr>
          <w:t>Methods used for calculating emissions from wastewater treatment</w:t>
        </w:r>
        <w:r w:rsidR="00C97BE6">
          <w:rPr>
            <w:webHidden/>
          </w:rPr>
          <w:tab/>
        </w:r>
        <w:r w:rsidR="00C97BE6">
          <w:rPr>
            <w:webHidden/>
          </w:rPr>
          <w:fldChar w:fldCharType="begin"/>
        </w:r>
        <w:r w:rsidR="00C97BE6">
          <w:rPr>
            <w:webHidden/>
          </w:rPr>
          <w:instrText xml:space="preserve"> PAGEREF _Toc5269582 \h </w:instrText>
        </w:r>
        <w:r w:rsidR="00C97BE6">
          <w:rPr>
            <w:webHidden/>
          </w:rPr>
        </w:r>
        <w:r w:rsidR="00C97BE6">
          <w:rPr>
            <w:webHidden/>
          </w:rPr>
          <w:fldChar w:fldCharType="separate"/>
        </w:r>
        <w:r w:rsidR="00D0418C">
          <w:rPr>
            <w:webHidden/>
          </w:rPr>
          <w:t>359</w:t>
        </w:r>
        <w:r w:rsidR="00C97BE6">
          <w:rPr>
            <w:webHidden/>
          </w:rPr>
          <w:fldChar w:fldCharType="end"/>
        </w:r>
      </w:hyperlink>
    </w:p>
    <w:p w14:paraId="529CFECC" w14:textId="77777777" w:rsidR="00C97BE6" w:rsidRPr="002D354C" w:rsidRDefault="00590491">
      <w:pPr>
        <w:pStyle w:val="TableofFigures"/>
        <w:rPr>
          <w:rFonts w:ascii="Calibri" w:hAnsi="Calibri"/>
          <w:sz w:val="22"/>
          <w:szCs w:val="22"/>
          <w:lang w:eastAsia="en-NZ"/>
        </w:rPr>
      </w:pPr>
      <w:hyperlink w:anchor="_Toc5269583" w:history="1">
        <w:r w:rsidR="00C97BE6" w:rsidRPr="009B03B5">
          <w:rPr>
            <w:rStyle w:val="Hyperlink"/>
          </w:rPr>
          <w:t>Table 7.5.6</w:t>
        </w:r>
        <w:r w:rsidR="00C97BE6" w:rsidRPr="002D354C">
          <w:rPr>
            <w:rFonts w:ascii="Calibri" w:hAnsi="Calibri"/>
            <w:sz w:val="22"/>
            <w:szCs w:val="22"/>
            <w:lang w:eastAsia="en-NZ"/>
          </w:rPr>
          <w:tab/>
        </w:r>
        <w:r w:rsidR="00C97BE6" w:rsidRPr="009B03B5">
          <w:rPr>
            <w:rStyle w:val="Hyperlink"/>
          </w:rPr>
          <w:t>Parameter values applied by New Zealand for estimating methane emissions for domestic wastewater treatment</w:t>
        </w:r>
        <w:r w:rsidR="00C97BE6">
          <w:rPr>
            <w:webHidden/>
          </w:rPr>
          <w:tab/>
        </w:r>
        <w:r w:rsidR="00C97BE6">
          <w:rPr>
            <w:webHidden/>
          </w:rPr>
          <w:fldChar w:fldCharType="begin"/>
        </w:r>
        <w:r w:rsidR="00C97BE6">
          <w:rPr>
            <w:webHidden/>
          </w:rPr>
          <w:instrText xml:space="preserve"> PAGEREF _Toc5269583 \h </w:instrText>
        </w:r>
        <w:r w:rsidR="00C97BE6">
          <w:rPr>
            <w:webHidden/>
          </w:rPr>
        </w:r>
        <w:r w:rsidR="00C97BE6">
          <w:rPr>
            <w:webHidden/>
          </w:rPr>
          <w:fldChar w:fldCharType="separate"/>
        </w:r>
        <w:r w:rsidR="00D0418C">
          <w:rPr>
            <w:webHidden/>
          </w:rPr>
          <w:t>360</w:t>
        </w:r>
        <w:r w:rsidR="00C97BE6">
          <w:rPr>
            <w:webHidden/>
          </w:rPr>
          <w:fldChar w:fldCharType="end"/>
        </w:r>
      </w:hyperlink>
    </w:p>
    <w:p w14:paraId="6BE7B88A" w14:textId="77777777" w:rsidR="00C97BE6" w:rsidRPr="002D354C" w:rsidRDefault="00590491">
      <w:pPr>
        <w:pStyle w:val="TableofFigures"/>
        <w:rPr>
          <w:rFonts w:ascii="Calibri" w:hAnsi="Calibri"/>
          <w:sz w:val="22"/>
          <w:szCs w:val="22"/>
          <w:lang w:eastAsia="en-NZ"/>
        </w:rPr>
      </w:pPr>
      <w:hyperlink w:anchor="_Toc5269584" w:history="1">
        <w:r w:rsidR="00C97BE6" w:rsidRPr="009B03B5">
          <w:rPr>
            <w:rStyle w:val="Hyperlink"/>
          </w:rPr>
          <w:t>Table 7.5.7</w:t>
        </w:r>
        <w:r w:rsidR="00C97BE6" w:rsidRPr="002D354C">
          <w:rPr>
            <w:rFonts w:ascii="Calibri" w:hAnsi="Calibri"/>
            <w:sz w:val="22"/>
            <w:szCs w:val="22"/>
            <w:lang w:eastAsia="en-NZ"/>
          </w:rPr>
          <w:tab/>
        </w:r>
        <w:r w:rsidR="00C97BE6" w:rsidRPr="009B03B5">
          <w:rPr>
            <w:rStyle w:val="Hyperlink"/>
          </w:rPr>
          <w:t>Parameter values applied by New Zealand for estimating nitrous oxide emissions from domestic and commercial wastewater treatment</w:t>
        </w:r>
        <w:r w:rsidR="00C97BE6">
          <w:rPr>
            <w:webHidden/>
          </w:rPr>
          <w:tab/>
        </w:r>
        <w:r w:rsidR="00C97BE6">
          <w:rPr>
            <w:webHidden/>
          </w:rPr>
          <w:fldChar w:fldCharType="begin"/>
        </w:r>
        <w:r w:rsidR="00C97BE6">
          <w:rPr>
            <w:webHidden/>
          </w:rPr>
          <w:instrText xml:space="preserve"> PAGEREF _Toc5269584 \h </w:instrText>
        </w:r>
        <w:r w:rsidR="00C97BE6">
          <w:rPr>
            <w:webHidden/>
          </w:rPr>
        </w:r>
        <w:r w:rsidR="00C97BE6">
          <w:rPr>
            <w:webHidden/>
          </w:rPr>
          <w:fldChar w:fldCharType="separate"/>
        </w:r>
        <w:r w:rsidR="00D0418C">
          <w:rPr>
            <w:webHidden/>
          </w:rPr>
          <w:t>361</w:t>
        </w:r>
        <w:r w:rsidR="00C97BE6">
          <w:rPr>
            <w:webHidden/>
          </w:rPr>
          <w:fldChar w:fldCharType="end"/>
        </w:r>
      </w:hyperlink>
    </w:p>
    <w:p w14:paraId="339F7D92" w14:textId="77777777" w:rsidR="00C97BE6" w:rsidRPr="002D354C" w:rsidRDefault="00590491">
      <w:pPr>
        <w:pStyle w:val="TableofFigures"/>
        <w:rPr>
          <w:rFonts w:ascii="Calibri" w:hAnsi="Calibri"/>
          <w:sz w:val="22"/>
          <w:szCs w:val="22"/>
          <w:lang w:eastAsia="en-NZ"/>
        </w:rPr>
      </w:pPr>
      <w:hyperlink w:anchor="_Toc5269585" w:history="1">
        <w:r w:rsidR="00C97BE6" w:rsidRPr="009B03B5">
          <w:rPr>
            <w:rStyle w:val="Hyperlink"/>
          </w:rPr>
          <w:t>Table 7.5.8</w:t>
        </w:r>
        <w:r w:rsidR="00C97BE6" w:rsidRPr="002D354C">
          <w:rPr>
            <w:rFonts w:ascii="Calibri" w:hAnsi="Calibri"/>
            <w:sz w:val="22"/>
            <w:szCs w:val="22"/>
            <w:lang w:eastAsia="en-NZ"/>
          </w:rPr>
          <w:tab/>
        </w:r>
        <w:r w:rsidR="00C97BE6" w:rsidRPr="009B03B5">
          <w:rPr>
            <w:rStyle w:val="Hyperlink"/>
          </w:rPr>
          <w:t>Parameter values applied by New Zealand for estimating methane emissions from wastewater treatment by the meat industry</w:t>
        </w:r>
        <w:r w:rsidR="00C97BE6">
          <w:rPr>
            <w:webHidden/>
          </w:rPr>
          <w:tab/>
        </w:r>
        <w:r w:rsidR="00C97BE6">
          <w:rPr>
            <w:webHidden/>
          </w:rPr>
          <w:fldChar w:fldCharType="begin"/>
        </w:r>
        <w:r w:rsidR="00C97BE6">
          <w:rPr>
            <w:webHidden/>
          </w:rPr>
          <w:instrText xml:space="preserve"> PAGEREF _Toc5269585 \h </w:instrText>
        </w:r>
        <w:r w:rsidR="00C97BE6">
          <w:rPr>
            <w:webHidden/>
          </w:rPr>
        </w:r>
        <w:r w:rsidR="00C97BE6">
          <w:rPr>
            <w:webHidden/>
          </w:rPr>
          <w:fldChar w:fldCharType="separate"/>
        </w:r>
        <w:r w:rsidR="00D0418C">
          <w:rPr>
            <w:webHidden/>
          </w:rPr>
          <w:t>362</w:t>
        </w:r>
        <w:r w:rsidR="00C97BE6">
          <w:rPr>
            <w:webHidden/>
          </w:rPr>
          <w:fldChar w:fldCharType="end"/>
        </w:r>
      </w:hyperlink>
    </w:p>
    <w:p w14:paraId="08A11233" w14:textId="77777777" w:rsidR="00C97BE6" w:rsidRPr="002D354C" w:rsidRDefault="00590491">
      <w:pPr>
        <w:pStyle w:val="TableofFigures"/>
        <w:rPr>
          <w:rFonts w:ascii="Calibri" w:hAnsi="Calibri"/>
          <w:sz w:val="22"/>
          <w:szCs w:val="22"/>
          <w:lang w:eastAsia="en-NZ"/>
        </w:rPr>
      </w:pPr>
      <w:hyperlink w:anchor="_Toc5269586" w:history="1">
        <w:r w:rsidR="00C97BE6" w:rsidRPr="009B03B5">
          <w:rPr>
            <w:rStyle w:val="Hyperlink"/>
          </w:rPr>
          <w:t>Table 7.5.9</w:t>
        </w:r>
        <w:r w:rsidR="00C97BE6" w:rsidRPr="002D354C">
          <w:rPr>
            <w:rFonts w:ascii="Calibri" w:hAnsi="Calibri"/>
            <w:sz w:val="22"/>
            <w:szCs w:val="22"/>
            <w:lang w:eastAsia="en-NZ"/>
          </w:rPr>
          <w:tab/>
        </w:r>
        <w:r w:rsidR="00C97BE6" w:rsidRPr="009B03B5">
          <w:rPr>
            <w:rStyle w:val="Hyperlink"/>
          </w:rPr>
          <w:t>Parameter values applied by New Zealand for estimating methane emissions for wastewater treatment by the pulp and paper industry</w:t>
        </w:r>
        <w:r w:rsidR="00C97BE6">
          <w:rPr>
            <w:webHidden/>
          </w:rPr>
          <w:tab/>
        </w:r>
        <w:r w:rsidR="00C97BE6">
          <w:rPr>
            <w:webHidden/>
          </w:rPr>
          <w:fldChar w:fldCharType="begin"/>
        </w:r>
        <w:r w:rsidR="00C97BE6">
          <w:rPr>
            <w:webHidden/>
          </w:rPr>
          <w:instrText xml:space="preserve"> PAGEREF _Toc5269586 \h </w:instrText>
        </w:r>
        <w:r w:rsidR="00C97BE6">
          <w:rPr>
            <w:webHidden/>
          </w:rPr>
        </w:r>
        <w:r w:rsidR="00C97BE6">
          <w:rPr>
            <w:webHidden/>
          </w:rPr>
          <w:fldChar w:fldCharType="separate"/>
        </w:r>
        <w:r w:rsidR="00D0418C">
          <w:rPr>
            <w:webHidden/>
          </w:rPr>
          <w:t>362</w:t>
        </w:r>
        <w:r w:rsidR="00C97BE6">
          <w:rPr>
            <w:webHidden/>
          </w:rPr>
          <w:fldChar w:fldCharType="end"/>
        </w:r>
      </w:hyperlink>
    </w:p>
    <w:p w14:paraId="2643DEEF" w14:textId="77777777" w:rsidR="00C97BE6" w:rsidRPr="002D354C" w:rsidRDefault="00590491">
      <w:pPr>
        <w:pStyle w:val="TableofFigures"/>
        <w:rPr>
          <w:rFonts w:ascii="Calibri" w:hAnsi="Calibri"/>
          <w:sz w:val="22"/>
          <w:szCs w:val="22"/>
          <w:lang w:eastAsia="en-NZ"/>
        </w:rPr>
      </w:pPr>
      <w:hyperlink w:anchor="_Toc5269587" w:history="1">
        <w:r w:rsidR="00C97BE6" w:rsidRPr="009B03B5">
          <w:rPr>
            <w:rStyle w:val="Hyperlink"/>
          </w:rPr>
          <w:t>Table 7.5.10</w:t>
        </w:r>
        <w:r w:rsidR="00C97BE6" w:rsidRPr="002D354C">
          <w:rPr>
            <w:rFonts w:ascii="Calibri" w:hAnsi="Calibri"/>
            <w:sz w:val="22"/>
            <w:szCs w:val="22"/>
            <w:lang w:eastAsia="en-NZ"/>
          </w:rPr>
          <w:tab/>
        </w:r>
        <w:r w:rsidR="00C97BE6" w:rsidRPr="009B03B5">
          <w:rPr>
            <w:rStyle w:val="Hyperlink"/>
          </w:rPr>
          <w:t>Parameter values applied by New Zealand for estimating methane emissions for wastewater treatment by the wine industry</w:t>
        </w:r>
        <w:r w:rsidR="00C97BE6">
          <w:rPr>
            <w:webHidden/>
          </w:rPr>
          <w:tab/>
        </w:r>
        <w:r w:rsidR="00C97BE6">
          <w:rPr>
            <w:webHidden/>
          </w:rPr>
          <w:fldChar w:fldCharType="begin"/>
        </w:r>
        <w:r w:rsidR="00C97BE6">
          <w:rPr>
            <w:webHidden/>
          </w:rPr>
          <w:instrText xml:space="preserve"> PAGEREF _Toc5269587 \h </w:instrText>
        </w:r>
        <w:r w:rsidR="00C97BE6">
          <w:rPr>
            <w:webHidden/>
          </w:rPr>
        </w:r>
        <w:r w:rsidR="00C97BE6">
          <w:rPr>
            <w:webHidden/>
          </w:rPr>
          <w:fldChar w:fldCharType="separate"/>
        </w:r>
        <w:r w:rsidR="00D0418C">
          <w:rPr>
            <w:webHidden/>
          </w:rPr>
          <w:t>362</w:t>
        </w:r>
        <w:r w:rsidR="00C97BE6">
          <w:rPr>
            <w:webHidden/>
          </w:rPr>
          <w:fldChar w:fldCharType="end"/>
        </w:r>
      </w:hyperlink>
    </w:p>
    <w:p w14:paraId="14CC3757" w14:textId="77777777" w:rsidR="00C97BE6" w:rsidRPr="002D354C" w:rsidRDefault="00590491">
      <w:pPr>
        <w:pStyle w:val="TableofFigures"/>
        <w:rPr>
          <w:rFonts w:ascii="Calibri" w:hAnsi="Calibri"/>
          <w:sz w:val="22"/>
          <w:szCs w:val="22"/>
          <w:lang w:eastAsia="en-NZ"/>
        </w:rPr>
      </w:pPr>
      <w:hyperlink w:anchor="_Toc5269588" w:history="1">
        <w:r w:rsidR="00C97BE6" w:rsidRPr="009B03B5">
          <w:rPr>
            <w:rStyle w:val="Hyperlink"/>
          </w:rPr>
          <w:t>Table 7.5.11</w:t>
        </w:r>
        <w:r w:rsidR="00C97BE6" w:rsidRPr="002D354C">
          <w:rPr>
            <w:rFonts w:ascii="Calibri" w:hAnsi="Calibri"/>
            <w:sz w:val="22"/>
            <w:szCs w:val="22"/>
            <w:lang w:eastAsia="en-NZ"/>
          </w:rPr>
          <w:tab/>
        </w:r>
        <w:r w:rsidR="00C97BE6" w:rsidRPr="009B03B5">
          <w:rPr>
            <w:rStyle w:val="Hyperlink"/>
          </w:rPr>
          <w:t>Parameter values applied by New Zealand for estimating methane emissions for wastewater treatment by the wool scouring industry</w:t>
        </w:r>
        <w:r w:rsidR="00C97BE6">
          <w:rPr>
            <w:webHidden/>
          </w:rPr>
          <w:tab/>
        </w:r>
        <w:r w:rsidR="00C97BE6">
          <w:rPr>
            <w:webHidden/>
          </w:rPr>
          <w:fldChar w:fldCharType="begin"/>
        </w:r>
        <w:r w:rsidR="00C97BE6">
          <w:rPr>
            <w:webHidden/>
          </w:rPr>
          <w:instrText xml:space="preserve"> PAGEREF _Toc5269588 \h </w:instrText>
        </w:r>
        <w:r w:rsidR="00C97BE6">
          <w:rPr>
            <w:webHidden/>
          </w:rPr>
        </w:r>
        <w:r w:rsidR="00C97BE6">
          <w:rPr>
            <w:webHidden/>
          </w:rPr>
          <w:fldChar w:fldCharType="separate"/>
        </w:r>
        <w:r w:rsidR="00D0418C">
          <w:rPr>
            <w:webHidden/>
          </w:rPr>
          <w:t>363</w:t>
        </w:r>
        <w:r w:rsidR="00C97BE6">
          <w:rPr>
            <w:webHidden/>
          </w:rPr>
          <w:fldChar w:fldCharType="end"/>
        </w:r>
      </w:hyperlink>
    </w:p>
    <w:p w14:paraId="7973C723" w14:textId="77777777" w:rsidR="00C97BE6" w:rsidRPr="002D354C" w:rsidRDefault="00590491">
      <w:pPr>
        <w:pStyle w:val="TableofFigures"/>
        <w:rPr>
          <w:rFonts w:ascii="Calibri" w:hAnsi="Calibri"/>
          <w:sz w:val="22"/>
          <w:szCs w:val="22"/>
          <w:lang w:eastAsia="en-NZ"/>
        </w:rPr>
      </w:pPr>
      <w:hyperlink w:anchor="_Toc5269589" w:history="1">
        <w:r w:rsidR="00C97BE6" w:rsidRPr="009B03B5">
          <w:rPr>
            <w:rStyle w:val="Hyperlink"/>
          </w:rPr>
          <w:t>Table 7.5.12</w:t>
        </w:r>
        <w:r w:rsidR="00C97BE6" w:rsidRPr="002D354C">
          <w:rPr>
            <w:rFonts w:ascii="Calibri" w:hAnsi="Calibri"/>
            <w:sz w:val="22"/>
            <w:szCs w:val="22"/>
            <w:lang w:eastAsia="en-NZ"/>
          </w:rPr>
          <w:tab/>
        </w:r>
        <w:r w:rsidR="00C97BE6" w:rsidRPr="009B03B5">
          <w:rPr>
            <w:rStyle w:val="Hyperlink"/>
          </w:rPr>
          <w:t>Parameter values applied by New Zealand for estimating methane emissions for wastewater treatment by the leather and skins industry</w:t>
        </w:r>
        <w:r w:rsidR="00C97BE6">
          <w:rPr>
            <w:webHidden/>
          </w:rPr>
          <w:tab/>
        </w:r>
        <w:r w:rsidR="00C97BE6">
          <w:rPr>
            <w:webHidden/>
          </w:rPr>
          <w:fldChar w:fldCharType="begin"/>
        </w:r>
        <w:r w:rsidR="00C97BE6">
          <w:rPr>
            <w:webHidden/>
          </w:rPr>
          <w:instrText xml:space="preserve"> PAGEREF _Toc5269589 \h </w:instrText>
        </w:r>
        <w:r w:rsidR="00C97BE6">
          <w:rPr>
            <w:webHidden/>
          </w:rPr>
        </w:r>
        <w:r w:rsidR="00C97BE6">
          <w:rPr>
            <w:webHidden/>
          </w:rPr>
          <w:fldChar w:fldCharType="separate"/>
        </w:r>
        <w:r w:rsidR="00D0418C">
          <w:rPr>
            <w:webHidden/>
          </w:rPr>
          <w:t>363</w:t>
        </w:r>
        <w:r w:rsidR="00C97BE6">
          <w:rPr>
            <w:webHidden/>
          </w:rPr>
          <w:fldChar w:fldCharType="end"/>
        </w:r>
      </w:hyperlink>
    </w:p>
    <w:p w14:paraId="69AB954E" w14:textId="77777777" w:rsidR="00C97BE6" w:rsidRPr="002D354C" w:rsidRDefault="00590491">
      <w:pPr>
        <w:pStyle w:val="TableofFigures"/>
        <w:rPr>
          <w:rFonts w:ascii="Calibri" w:hAnsi="Calibri"/>
          <w:sz w:val="22"/>
          <w:szCs w:val="22"/>
          <w:lang w:eastAsia="en-NZ"/>
        </w:rPr>
      </w:pPr>
      <w:hyperlink w:anchor="_Toc5269590" w:history="1">
        <w:r w:rsidR="00C97BE6" w:rsidRPr="009B03B5">
          <w:rPr>
            <w:rStyle w:val="Hyperlink"/>
          </w:rPr>
          <w:t>Table 7.5.13</w:t>
        </w:r>
        <w:r w:rsidR="00C97BE6" w:rsidRPr="002D354C">
          <w:rPr>
            <w:rFonts w:ascii="Calibri" w:hAnsi="Calibri"/>
            <w:sz w:val="22"/>
            <w:szCs w:val="22"/>
            <w:lang w:eastAsia="en-NZ"/>
          </w:rPr>
          <w:tab/>
        </w:r>
        <w:r w:rsidR="00C97BE6" w:rsidRPr="009B03B5">
          <w:rPr>
            <w:rStyle w:val="Hyperlink"/>
          </w:rPr>
          <w:t>Parameter values applied by New Zealand for estimating nitrous oxide emissions for wastewater treatment for the meat industry</w:t>
        </w:r>
        <w:r w:rsidR="00C97BE6">
          <w:rPr>
            <w:webHidden/>
          </w:rPr>
          <w:tab/>
        </w:r>
        <w:r w:rsidR="00C97BE6">
          <w:rPr>
            <w:webHidden/>
          </w:rPr>
          <w:fldChar w:fldCharType="begin"/>
        </w:r>
        <w:r w:rsidR="00C97BE6">
          <w:rPr>
            <w:webHidden/>
          </w:rPr>
          <w:instrText xml:space="preserve"> PAGEREF _Toc5269590 \h </w:instrText>
        </w:r>
        <w:r w:rsidR="00C97BE6">
          <w:rPr>
            <w:webHidden/>
          </w:rPr>
        </w:r>
        <w:r w:rsidR="00C97BE6">
          <w:rPr>
            <w:webHidden/>
          </w:rPr>
          <w:fldChar w:fldCharType="separate"/>
        </w:r>
        <w:r w:rsidR="00D0418C">
          <w:rPr>
            <w:webHidden/>
          </w:rPr>
          <w:t>363</w:t>
        </w:r>
        <w:r w:rsidR="00C97BE6">
          <w:rPr>
            <w:webHidden/>
          </w:rPr>
          <w:fldChar w:fldCharType="end"/>
        </w:r>
      </w:hyperlink>
    </w:p>
    <w:p w14:paraId="768BBA75" w14:textId="77777777" w:rsidR="00C97BE6" w:rsidRPr="002D354C" w:rsidRDefault="00590491">
      <w:pPr>
        <w:pStyle w:val="TableofFigures"/>
        <w:rPr>
          <w:rFonts w:ascii="Calibri" w:hAnsi="Calibri"/>
          <w:sz w:val="22"/>
          <w:szCs w:val="22"/>
          <w:lang w:eastAsia="en-NZ"/>
        </w:rPr>
      </w:pPr>
      <w:hyperlink w:anchor="_Toc5269591" w:history="1">
        <w:r w:rsidR="00C97BE6" w:rsidRPr="009B03B5">
          <w:rPr>
            <w:rStyle w:val="Hyperlink"/>
          </w:rPr>
          <w:t>Table 7.5.14</w:t>
        </w:r>
        <w:r w:rsidR="00C97BE6" w:rsidRPr="002D354C">
          <w:rPr>
            <w:rFonts w:ascii="Calibri" w:hAnsi="Calibri"/>
            <w:sz w:val="22"/>
            <w:szCs w:val="22"/>
            <w:lang w:eastAsia="en-NZ"/>
          </w:rPr>
          <w:tab/>
        </w:r>
        <w:r w:rsidR="00C97BE6" w:rsidRPr="009B03B5">
          <w:rPr>
            <w:rStyle w:val="Hyperlink"/>
          </w:rPr>
          <w:t>Parameter values applied by New Zealand for estimating nitrous oxide emissions for wastewater treatment for the dairy processing industry</w:t>
        </w:r>
        <w:r w:rsidR="00C97BE6">
          <w:rPr>
            <w:webHidden/>
          </w:rPr>
          <w:tab/>
        </w:r>
        <w:r w:rsidR="00C97BE6">
          <w:rPr>
            <w:webHidden/>
          </w:rPr>
          <w:fldChar w:fldCharType="begin"/>
        </w:r>
        <w:r w:rsidR="00C97BE6">
          <w:rPr>
            <w:webHidden/>
          </w:rPr>
          <w:instrText xml:space="preserve"> PAGEREF _Toc5269591 \h </w:instrText>
        </w:r>
        <w:r w:rsidR="00C97BE6">
          <w:rPr>
            <w:webHidden/>
          </w:rPr>
        </w:r>
        <w:r w:rsidR="00C97BE6">
          <w:rPr>
            <w:webHidden/>
          </w:rPr>
          <w:fldChar w:fldCharType="separate"/>
        </w:r>
        <w:r w:rsidR="00D0418C">
          <w:rPr>
            <w:webHidden/>
          </w:rPr>
          <w:t>364</w:t>
        </w:r>
        <w:r w:rsidR="00C97BE6">
          <w:rPr>
            <w:webHidden/>
          </w:rPr>
          <w:fldChar w:fldCharType="end"/>
        </w:r>
      </w:hyperlink>
    </w:p>
    <w:p w14:paraId="697D14A3" w14:textId="77777777" w:rsidR="00C97BE6" w:rsidRPr="002D354C" w:rsidRDefault="00590491">
      <w:pPr>
        <w:pStyle w:val="TableofFigures"/>
        <w:rPr>
          <w:rFonts w:ascii="Calibri" w:hAnsi="Calibri"/>
          <w:sz w:val="22"/>
          <w:szCs w:val="22"/>
          <w:lang w:eastAsia="en-NZ"/>
        </w:rPr>
      </w:pPr>
      <w:hyperlink w:anchor="_Toc5269592" w:history="1">
        <w:r w:rsidR="00C97BE6" w:rsidRPr="009B03B5">
          <w:rPr>
            <w:rStyle w:val="Hyperlink"/>
          </w:rPr>
          <w:t>Table 7.5.15</w:t>
        </w:r>
        <w:r w:rsidR="00C97BE6" w:rsidRPr="002D354C">
          <w:rPr>
            <w:rFonts w:ascii="Calibri" w:hAnsi="Calibri"/>
            <w:sz w:val="22"/>
            <w:szCs w:val="22"/>
            <w:lang w:eastAsia="en-NZ"/>
          </w:rPr>
          <w:tab/>
        </w:r>
        <w:r w:rsidR="00C97BE6" w:rsidRPr="009B03B5">
          <w:rPr>
            <w:rStyle w:val="Hyperlink"/>
          </w:rPr>
          <w:t>Parameter values applied by New Zealand for estimating nitrous oxide emissions for wastewater treatment for the meat industry</w:t>
        </w:r>
        <w:r w:rsidR="00C97BE6">
          <w:rPr>
            <w:webHidden/>
          </w:rPr>
          <w:tab/>
        </w:r>
        <w:r w:rsidR="00C97BE6">
          <w:rPr>
            <w:webHidden/>
          </w:rPr>
          <w:fldChar w:fldCharType="begin"/>
        </w:r>
        <w:r w:rsidR="00C97BE6">
          <w:rPr>
            <w:webHidden/>
          </w:rPr>
          <w:instrText xml:space="preserve"> PAGEREF _Toc5269592 \h </w:instrText>
        </w:r>
        <w:r w:rsidR="00C97BE6">
          <w:rPr>
            <w:webHidden/>
          </w:rPr>
        </w:r>
        <w:r w:rsidR="00C97BE6">
          <w:rPr>
            <w:webHidden/>
          </w:rPr>
          <w:fldChar w:fldCharType="separate"/>
        </w:r>
        <w:r w:rsidR="00D0418C">
          <w:rPr>
            <w:webHidden/>
          </w:rPr>
          <w:t>364</w:t>
        </w:r>
        <w:r w:rsidR="00C97BE6">
          <w:rPr>
            <w:webHidden/>
          </w:rPr>
          <w:fldChar w:fldCharType="end"/>
        </w:r>
      </w:hyperlink>
    </w:p>
    <w:p w14:paraId="7E8D8E0C" w14:textId="77777777" w:rsidR="00C97BE6" w:rsidRPr="002D354C" w:rsidRDefault="00590491">
      <w:pPr>
        <w:pStyle w:val="TableofFigures"/>
        <w:rPr>
          <w:rFonts w:ascii="Calibri" w:hAnsi="Calibri"/>
          <w:sz w:val="22"/>
          <w:szCs w:val="22"/>
          <w:lang w:eastAsia="en-NZ"/>
        </w:rPr>
      </w:pPr>
      <w:hyperlink w:anchor="_Toc5269593" w:history="1">
        <w:r w:rsidR="00C97BE6" w:rsidRPr="009B03B5">
          <w:rPr>
            <w:rStyle w:val="Hyperlink"/>
          </w:rPr>
          <w:t>Table 7.5.16</w:t>
        </w:r>
        <w:r w:rsidR="00C97BE6" w:rsidRPr="002D354C">
          <w:rPr>
            <w:rFonts w:ascii="Calibri" w:hAnsi="Calibri"/>
            <w:sz w:val="22"/>
            <w:szCs w:val="22"/>
            <w:lang w:eastAsia="en-NZ"/>
          </w:rPr>
          <w:tab/>
        </w:r>
        <w:r w:rsidR="00C97BE6" w:rsidRPr="009B03B5">
          <w:rPr>
            <w:rStyle w:val="Hyperlink"/>
          </w:rPr>
          <w:t>Uncertainty in emissions from wastewater</w:t>
        </w:r>
        <w:r w:rsidR="00C97BE6">
          <w:rPr>
            <w:webHidden/>
          </w:rPr>
          <w:tab/>
        </w:r>
        <w:r w:rsidR="00C97BE6">
          <w:rPr>
            <w:webHidden/>
          </w:rPr>
          <w:fldChar w:fldCharType="begin"/>
        </w:r>
        <w:r w:rsidR="00C97BE6">
          <w:rPr>
            <w:webHidden/>
          </w:rPr>
          <w:instrText xml:space="preserve"> PAGEREF _Toc5269593 \h </w:instrText>
        </w:r>
        <w:r w:rsidR="00C97BE6">
          <w:rPr>
            <w:webHidden/>
          </w:rPr>
        </w:r>
        <w:r w:rsidR="00C97BE6">
          <w:rPr>
            <w:webHidden/>
          </w:rPr>
          <w:fldChar w:fldCharType="separate"/>
        </w:r>
        <w:r w:rsidR="00D0418C">
          <w:rPr>
            <w:webHidden/>
          </w:rPr>
          <w:t>364</w:t>
        </w:r>
        <w:r w:rsidR="00C97BE6">
          <w:rPr>
            <w:webHidden/>
          </w:rPr>
          <w:fldChar w:fldCharType="end"/>
        </w:r>
      </w:hyperlink>
    </w:p>
    <w:p w14:paraId="178F6496" w14:textId="77777777" w:rsidR="00C97BE6" w:rsidRPr="002D354C" w:rsidRDefault="00590491">
      <w:pPr>
        <w:pStyle w:val="TableofFigures"/>
        <w:rPr>
          <w:rFonts w:ascii="Calibri" w:hAnsi="Calibri"/>
          <w:sz w:val="22"/>
          <w:szCs w:val="22"/>
          <w:lang w:eastAsia="en-NZ"/>
        </w:rPr>
      </w:pPr>
      <w:hyperlink w:anchor="_Toc5269594" w:history="1">
        <w:r w:rsidR="00C97BE6" w:rsidRPr="009B03B5">
          <w:rPr>
            <w:rStyle w:val="Hyperlink"/>
          </w:rPr>
          <w:t xml:space="preserve">Table 8.1.1 </w:t>
        </w:r>
        <w:r w:rsidR="00C97BE6" w:rsidRPr="002D354C">
          <w:rPr>
            <w:rFonts w:ascii="Calibri" w:hAnsi="Calibri"/>
            <w:sz w:val="22"/>
            <w:szCs w:val="22"/>
            <w:lang w:eastAsia="en-NZ"/>
          </w:rPr>
          <w:tab/>
        </w:r>
        <w:r w:rsidR="00C97BE6" w:rsidRPr="009B03B5">
          <w:rPr>
            <w:rStyle w:val="Hyperlink"/>
          </w:rPr>
          <w:t>Total emissions from Tokelau by gas in 1990 and 2017</w:t>
        </w:r>
        <w:r w:rsidR="00C97BE6">
          <w:rPr>
            <w:webHidden/>
          </w:rPr>
          <w:tab/>
        </w:r>
        <w:r w:rsidR="00C97BE6">
          <w:rPr>
            <w:webHidden/>
          </w:rPr>
          <w:fldChar w:fldCharType="begin"/>
        </w:r>
        <w:r w:rsidR="00C97BE6">
          <w:rPr>
            <w:webHidden/>
          </w:rPr>
          <w:instrText xml:space="preserve"> PAGEREF _Toc5269594 \h </w:instrText>
        </w:r>
        <w:r w:rsidR="00C97BE6">
          <w:rPr>
            <w:webHidden/>
          </w:rPr>
        </w:r>
        <w:r w:rsidR="00C97BE6">
          <w:rPr>
            <w:webHidden/>
          </w:rPr>
          <w:fldChar w:fldCharType="separate"/>
        </w:r>
        <w:r w:rsidR="00D0418C">
          <w:rPr>
            <w:webHidden/>
          </w:rPr>
          <w:t>372</w:t>
        </w:r>
        <w:r w:rsidR="00C97BE6">
          <w:rPr>
            <w:webHidden/>
          </w:rPr>
          <w:fldChar w:fldCharType="end"/>
        </w:r>
      </w:hyperlink>
    </w:p>
    <w:p w14:paraId="73129CA4" w14:textId="77777777" w:rsidR="00C97BE6" w:rsidRPr="002D354C" w:rsidRDefault="00590491">
      <w:pPr>
        <w:pStyle w:val="TableofFigures"/>
        <w:rPr>
          <w:rFonts w:ascii="Calibri" w:hAnsi="Calibri"/>
          <w:sz w:val="22"/>
          <w:szCs w:val="22"/>
          <w:lang w:eastAsia="en-NZ"/>
        </w:rPr>
      </w:pPr>
      <w:hyperlink w:anchor="_Toc5269595" w:history="1">
        <w:r w:rsidR="00C97BE6" w:rsidRPr="009B03B5">
          <w:rPr>
            <w:rStyle w:val="Hyperlink"/>
          </w:rPr>
          <w:t>Table 8.1.2</w:t>
        </w:r>
        <w:r w:rsidR="00C97BE6" w:rsidRPr="002D354C">
          <w:rPr>
            <w:rFonts w:ascii="Calibri" w:hAnsi="Calibri"/>
            <w:sz w:val="22"/>
            <w:szCs w:val="22"/>
            <w:lang w:eastAsia="en-NZ"/>
          </w:rPr>
          <w:tab/>
        </w:r>
        <w:r w:rsidR="00C97BE6" w:rsidRPr="009B03B5">
          <w:rPr>
            <w:rStyle w:val="Hyperlink"/>
          </w:rPr>
          <w:t>Key sources for activity data in Tokelau</w:t>
        </w:r>
        <w:r w:rsidR="00C97BE6">
          <w:rPr>
            <w:webHidden/>
          </w:rPr>
          <w:tab/>
        </w:r>
        <w:r w:rsidR="00C97BE6">
          <w:rPr>
            <w:webHidden/>
          </w:rPr>
          <w:fldChar w:fldCharType="begin"/>
        </w:r>
        <w:r w:rsidR="00C97BE6">
          <w:rPr>
            <w:webHidden/>
          </w:rPr>
          <w:instrText xml:space="preserve"> PAGEREF _Toc5269595 \h </w:instrText>
        </w:r>
        <w:r w:rsidR="00C97BE6">
          <w:rPr>
            <w:webHidden/>
          </w:rPr>
        </w:r>
        <w:r w:rsidR="00C97BE6">
          <w:rPr>
            <w:webHidden/>
          </w:rPr>
          <w:fldChar w:fldCharType="separate"/>
        </w:r>
        <w:r w:rsidR="00D0418C">
          <w:rPr>
            <w:webHidden/>
          </w:rPr>
          <w:t>373</w:t>
        </w:r>
        <w:r w:rsidR="00C97BE6">
          <w:rPr>
            <w:webHidden/>
          </w:rPr>
          <w:fldChar w:fldCharType="end"/>
        </w:r>
      </w:hyperlink>
    </w:p>
    <w:p w14:paraId="2C102ABA" w14:textId="77777777" w:rsidR="00C97BE6" w:rsidRPr="002D354C" w:rsidRDefault="00590491">
      <w:pPr>
        <w:pStyle w:val="TableofFigures"/>
        <w:rPr>
          <w:rFonts w:ascii="Calibri" w:hAnsi="Calibri"/>
          <w:sz w:val="22"/>
          <w:szCs w:val="22"/>
          <w:lang w:eastAsia="en-NZ"/>
        </w:rPr>
      </w:pPr>
      <w:hyperlink w:anchor="_Toc5269596" w:history="1">
        <w:r w:rsidR="00C97BE6" w:rsidRPr="009B03B5">
          <w:rPr>
            <w:rStyle w:val="Hyperlink"/>
          </w:rPr>
          <w:t>Table 8.2.1</w:t>
        </w:r>
        <w:r w:rsidR="00C97BE6" w:rsidRPr="002D354C">
          <w:rPr>
            <w:rFonts w:ascii="Calibri" w:hAnsi="Calibri"/>
            <w:sz w:val="22"/>
            <w:szCs w:val="22"/>
            <w:lang w:eastAsia="en-NZ"/>
          </w:rPr>
          <w:tab/>
        </w:r>
        <w:r w:rsidR="00C97BE6" w:rsidRPr="009B03B5">
          <w:rPr>
            <w:rStyle w:val="Hyperlink"/>
          </w:rPr>
          <w:t>Uncertainties for the Energy industries category</w:t>
        </w:r>
        <w:r w:rsidR="00C97BE6">
          <w:rPr>
            <w:webHidden/>
          </w:rPr>
          <w:tab/>
        </w:r>
        <w:r w:rsidR="00C97BE6">
          <w:rPr>
            <w:webHidden/>
          </w:rPr>
          <w:fldChar w:fldCharType="begin"/>
        </w:r>
        <w:r w:rsidR="00C97BE6">
          <w:rPr>
            <w:webHidden/>
          </w:rPr>
          <w:instrText xml:space="preserve"> PAGEREF _Toc5269596 \h </w:instrText>
        </w:r>
        <w:r w:rsidR="00C97BE6">
          <w:rPr>
            <w:webHidden/>
          </w:rPr>
        </w:r>
        <w:r w:rsidR="00C97BE6">
          <w:rPr>
            <w:webHidden/>
          </w:rPr>
          <w:fldChar w:fldCharType="separate"/>
        </w:r>
        <w:r w:rsidR="00D0418C">
          <w:rPr>
            <w:webHidden/>
          </w:rPr>
          <w:t>378</w:t>
        </w:r>
        <w:r w:rsidR="00C97BE6">
          <w:rPr>
            <w:webHidden/>
          </w:rPr>
          <w:fldChar w:fldCharType="end"/>
        </w:r>
      </w:hyperlink>
    </w:p>
    <w:p w14:paraId="0343F1D3" w14:textId="77777777" w:rsidR="00C97BE6" w:rsidRPr="002D354C" w:rsidRDefault="00590491">
      <w:pPr>
        <w:pStyle w:val="TableofFigures"/>
        <w:rPr>
          <w:rFonts w:ascii="Calibri" w:hAnsi="Calibri"/>
          <w:sz w:val="22"/>
          <w:szCs w:val="22"/>
          <w:lang w:eastAsia="en-NZ"/>
        </w:rPr>
      </w:pPr>
      <w:hyperlink w:anchor="_Toc5269597" w:history="1">
        <w:r w:rsidR="00C97BE6" w:rsidRPr="009B03B5">
          <w:rPr>
            <w:rStyle w:val="Hyperlink"/>
          </w:rPr>
          <w:t>Table 8.2.2</w:t>
        </w:r>
        <w:r w:rsidR="00C97BE6" w:rsidRPr="002D354C">
          <w:rPr>
            <w:rFonts w:ascii="Calibri" w:hAnsi="Calibri"/>
            <w:sz w:val="22"/>
            <w:szCs w:val="22"/>
            <w:lang w:eastAsia="en-NZ"/>
          </w:rPr>
          <w:tab/>
        </w:r>
        <w:r w:rsidR="00C97BE6" w:rsidRPr="009B03B5">
          <w:rPr>
            <w:rStyle w:val="Hyperlink"/>
          </w:rPr>
          <w:t>Uncertainties for the Other/Residential</w:t>
        </w:r>
        <w:r w:rsidR="00C97BE6" w:rsidRPr="009B03B5">
          <w:rPr>
            <w:rStyle w:val="Hyperlink"/>
            <w:i/>
          </w:rPr>
          <w:t xml:space="preserve"> </w:t>
        </w:r>
        <w:r w:rsidR="00C97BE6" w:rsidRPr="009B03B5">
          <w:rPr>
            <w:rStyle w:val="Hyperlink"/>
          </w:rPr>
          <w:t>category</w:t>
        </w:r>
        <w:r w:rsidR="00C97BE6">
          <w:rPr>
            <w:webHidden/>
          </w:rPr>
          <w:tab/>
        </w:r>
        <w:r w:rsidR="00C97BE6">
          <w:rPr>
            <w:webHidden/>
          </w:rPr>
          <w:fldChar w:fldCharType="begin"/>
        </w:r>
        <w:r w:rsidR="00C97BE6">
          <w:rPr>
            <w:webHidden/>
          </w:rPr>
          <w:instrText xml:space="preserve"> PAGEREF _Toc5269597 \h </w:instrText>
        </w:r>
        <w:r w:rsidR="00C97BE6">
          <w:rPr>
            <w:webHidden/>
          </w:rPr>
        </w:r>
        <w:r w:rsidR="00C97BE6">
          <w:rPr>
            <w:webHidden/>
          </w:rPr>
          <w:fldChar w:fldCharType="separate"/>
        </w:r>
        <w:r w:rsidR="00D0418C">
          <w:rPr>
            <w:webHidden/>
          </w:rPr>
          <w:t>379</w:t>
        </w:r>
        <w:r w:rsidR="00C97BE6">
          <w:rPr>
            <w:webHidden/>
          </w:rPr>
          <w:fldChar w:fldCharType="end"/>
        </w:r>
      </w:hyperlink>
    </w:p>
    <w:p w14:paraId="60A0CD5E" w14:textId="77777777" w:rsidR="00C97BE6" w:rsidRPr="002D354C" w:rsidRDefault="00590491">
      <w:pPr>
        <w:pStyle w:val="TableofFigures"/>
        <w:rPr>
          <w:rFonts w:ascii="Calibri" w:hAnsi="Calibri"/>
          <w:sz w:val="22"/>
          <w:szCs w:val="22"/>
          <w:lang w:eastAsia="en-NZ"/>
        </w:rPr>
      </w:pPr>
      <w:hyperlink w:anchor="_Toc5269598" w:history="1">
        <w:r w:rsidR="00C97BE6" w:rsidRPr="009B03B5">
          <w:rPr>
            <w:rStyle w:val="Hyperlink"/>
          </w:rPr>
          <w:t>Table 8.2.3</w:t>
        </w:r>
        <w:r w:rsidR="00C97BE6" w:rsidRPr="002D354C">
          <w:rPr>
            <w:rFonts w:ascii="Calibri" w:hAnsi="Calibri"/>
            <w:sz w:val="22"/>
            <w:szCs w:val="22"/>
            <w:lang w:eastAsia="en-NZ"/>
          </w:rPr>
          <w:tab/>
        </w:r>
        <w:r w:rsidR="00C97BE6" w:rsidRPr="009B03B5">
          <w:rPr>
            <w:rStyle w:val="Hyperlink"/>
          </w:rPr>
          <w:t>Uncertainties for the Mobile combustion category</w:t>
        </w:r>
        <w:r w:rsidR="00C97BE6">
          <w:rPr>
            <w:webHidden/>
          </w:rPr>
          <w:tab/>
        </w:r>
        <w:r w:rsidR="00C97BE6">
          <w:rPr>
            <w:webHidden/>
          </w:rPr>
          <w:fldChar w:fldCharType="begin"/>
        </w:r>
        <w:r w:rsidR="00C97BE6">
          <w:rPr>
            <w:webHidden/>
          </w:rPr>
          <w:instrText xml:space="preserve"> PAGEREF _Toc5269598 \h </w:instrText>
        </w:r>
        <w:r w:rsidR="00C97BE6">
          <w:rPr>
            <w:webHidden/>
          </w:rPr>
        </w:r>
        <w:r w:rsidR="00C97BE6">
          <w:rPr>
            <w:webHidden/>
          </w:rPr>
          <w:fldChar w:fldCharType="separate"/>
        </w:r>
        <w:r w:rsidR="00D0418C">
          <w:rPr>
            <w:webHidden/>
          </w:rPr>
          <w:t>381</w:t>
        </w:r>
        <w:r w:rsidR="00C97BE6">
          <w:rPr>
            <w:webHidden/>
          </w:rPr>
          <w:fldChar w:fldCharType="end"/>
        </w:r>
      </w:hyperlink>
    </w:p>
    <w:p w14:paraId="13F38551" w14:textId="77777777" w:rsidR="00C97BE6" w:rsidRPr="002D354C" w:rsidRDefault="00590491">
      <w:pPr>
        <w:pStyle w:val="TableofFigures"/>
        <w:rPr>
          <w:rFonts w:ascii="Calibri" w:hAnsi="Calibri"/>
          <w:sz w:val="22"/>
          <w:szCs w:val="22"/>
          <w:lang w:eastAsia="en-NZ"/>
        </w:rPr>
      </w:pPr>
      <w:hyperlink w:anchor="_Toc5269599" w:history="1">
        <w:r w:rsidR="00C97BE6" w:rsidRPr="009B03B5">
          <w:rPr>
            <w:rStyle w:val="Hyperlink"/>
          </w:rPr>
          <w:t>Table 8.3.1</w:t>
        </w:r>
        <w:r w:rsidR="00C97BE6" w:rsidRPr="002D354C">
          <w:rPr>
            <w:rFonts w:ascii="Calibri" w:hAnsi="Calibri"/>
            <w:sz w:val="22"/>
            <w:szCs w:val="22"/>
            <w:lang w:eastAsia="en-NZ"/>
          </w:rPr>
          <w:tab/>
        </w:r>
        <w:r w:rsidR="00C97BE6" w:rsidRPr="009B03B5">
          <w:rPr>
            <w:rStyle w:val="Hyperlink"/>
          </w:rPr>
          <w:t>Uncertainties for Refrigeration and air conditioning category</w:t>
        </w:r>
        <w:r w:rsidR="00C97BE6">
          <w:rPr>
            <w:webHidden/>
          </w:rPr>
          <w:tab/>
        </w:r>
        <w:r w:rsidR="00C97BE6">
          <w:rPr>
            <w:webHidden/>
          </w:rPr>
          <w:fldChar w:fldCharType="begin"/>
        </w:r>
        <w:r w:rsidR="00C97BE6">
          <w:rPr>
            <w:webHidden/>
          </w:rPr>
          <w:instrText xml:space="preserve"> PAGEREF _Toc5269599 \h </w:instrText>
        </w:r>
        <w:r w:rsidR="00C97BE6">
          <w:rPr>
            <w:webHidden/>
          </w:rPr>
        </w:r>
        <w:r w:rsidR="00C97BE6">
          <w:rPr>
            <w:webHidden/>
          </w:rPr>
          <w:fldChar w:fldCharType="separate"/>
        </w:r>
        <w:r w:rsidR="00D0418C">
          <w:rPr>
            <w:webHidden/>
          </w:rPr>
          <w:t>384</w:t>
        </w:r>
        <w:r w:rsidR="00C97BE6">
          <w:rPr>
            <w:webHidden/>
          </w:rPr>
          <w:fldChar w:fldCharType="end"/>
        </w:r>
      </w:hyperlink>
    </w:p>
    <w:p w14:paraId="004E29B4" w14:textId="77777777" w:rsidR="00C97BE6" w:rsidRPr="002D354C" w:rsidRDefault="00590491">
      <w:pPr>
        <w:pStyle w:val="TableofFigures"/>
        <w:rPr>
          <w:rFonts w:ascii="Calibri" w:hAnsi="Calibri"/>
          <w:sz w:val="22"/>
          <w:szCs w:val="22"/>
          <w:lang w:eastAsia="en-NZ"/>
        </w:rPr>
      </w:pPr>
      <w:hyperlink w:anchor="_Toc5269600" w:history="1">
        <w:r w:rsidR="00C97BE6" w:rsidRPr="009B03B5">
          <w:rPr>
            <w:rStyle w:val="Hyperlink"/>
          </w:rPr>
          <w:t>Table 8.3.2</w:t>
        </w:r>
        <w:r w:rsidR="00C97BE6" w:rsidRPr="002D354C">
          <w:rPr>
            <w:rFonts w:ascii="Calibri" w:hAnsi="Calibri"/>
            <w:sz w:val="22"/>
            <w:szCs w:val="22"/>
            <w:lang w:eastAsia="en-NZ"/>
          </w:rPr>
          <w:tab/>
        </w:r>
        <w:r w:rsidR="00C97BE6" w:rsidRPr="009B03B5">
          <w:rPr>
            <w:rStyle w:val="Hyperlink"/>
          </w:rPr>
          <w:t>Uncertainty in emissions from other product manufacture and use</w:t>
        </w:r>
        <w:r w:rsidR="00C97BE6">
          <w:rPr>
            <w:webHidden/>
          </w:rPr>
          <w:tab/>
        </w:r>
        <w:r w:rsidR="00C97BE6">
          <w:rPr>
            <w:webHidden/>
          </w:rPr>
          <w:fldChar w:fldCharType="begin"/>
        </w:r>
        <w:r w:rsidR="00C97BE6">
          <w:rPr>
            <w:webHidden/>
          </w:rPr>
          <w:instrText xml:space="preserve"> PAGEREF _Toc5269600 \h </w:instrText>
        </w:r>
        <w:r w:rsidR="00C97BE6">
          <w:rPr>
            <w:webHidden/>
          </w:rPr>
        </w:r>
        <w:r w:rsidR="00C97BE6">
          <w:rPr>
            <w:webHidden/>
          </w:rPr>
          <w:fldChar w:fldCharType="separate"/>
        </w:r>
        <w:r w:rsidR="00D0418C">
          <w:rPr>
            <w:webHidden/>
          </w:rPr>
          <w:t>385</w:t>
        </w:r>
        <w:r w:rsidR="00C97BE6">
          <w:rPr>
            <w:webHidden/>
          </w:rPr>
          <w:fldChar w:fldCharType="end"/>
        </w:r>
      </w:hyperlink>
    </w:p>
    <w:p w14:paraId="51A2977C" w14:textId="77777777" w:rsidR="00C97BE6" w:rsidRPr="002D354C" w:rsidRDefault="00590491">
      <w:pPr>
        <w:pStyle w:val="TableofFigures"/>
        <w:rPr>
          <w:rFonts w:ascii="Calibri" w:hAnsi="Calibri"/>
          <w:sz w:val="22"/>
          <w:szCs w:val="22"/>
          <w:lang w:eastAsia="en-NZ"/>
        </w:rPr>
      </w:pPr>
      <w:hyperlink w:anchor="_Toc5269601" w:history="1">
        <w:r w:rsidR="00C97BE6" w:rsidRPr="009B03B5">
          <w:rPr>
            <w:rStyle w:val="Hyperlink"/>
          </w:rPr>
          <w:t xml:space="preserve">Table 8.4.1 </w:t>
        </w:r>
        <w:r w:rsidR="00C97BE6" w:rsidRPr="002D354C">
          <w:rPr>
            <w:rFonts w:ascii="Calibri" w:hAnsi="Calibri"/>
            <w:sz w:val="22"/>
            <w:szCs w:val="22"/>
            <w:lang w:eastAsia="en-NZ"/>
          </w:rPr>
          <w:tab/>
        </w:r>
        <w:r w:rsidR="00C97BE6" w:rsidRPr="009B03B5">
          <w:rPr>
            <w:rStyle w:val="Hyperlink"/>
          </w:rPr>
          <w:t>Number of livestock in Tokelau (2016)</w:t>
        </w:r>
        <w:r w:rsidR="00C97BE6">
          <w:rPr>
            <w:webHidden/>
          </w:rPr>
          <w:tab/>
        </w:r>
        <w:r w:rsidR="00C97BE6">
          <w:rPr>
            <w:webHidden/>
          </w:rPr>
          <w:fldChar w:fldCharType="begin"/>
        </w:r>
        <w:r w:rsidR="00C97BE6">
          <w:rPr>
            <w:webHidden/>
          </w:rPr>
          <w:instrText xml:space="preserve"> PAGEREF _Toc5269601 \h </w:instrText>
        </w:r>
        <w:r w:rsidR="00C97BE6">
          <w:rPr>
            <w:webHidden/>
          </w:rPr>
        </w:r>
        <w:r w:rsidR="00C97BE6">
          <w:rPr>
            <w:webHidden/>
          </w:rPr>
          <w:fldChar w:fldCharType="separate"/>
        </w:r>
        <w:r w:rsidR="00D0418C">
          <w:rPr>
            <w:webHidden/>
          </w:rPr>
          <w:t>386</w:t>
        </w:r>
        <w:r w:rsidR="00C97BE6">
          <w:rPr>
            <w:webHidden/>
          </w:rPr>
          <w:fldChar w:fldCharType="end"/>
        </w:r>
      </w:hyperlink>
    </w:p>
    <w:p w14:paraId="659A599F" w14:textId="77777777" w:rsidR="00C97BE6" w:rsidRPr="002D354C" w:rsidRDefault="00590491">
      <w:pPr>
        <w:pStyle w:val="TableofFigures"/>
        <w:rPr>
          <w:rFonts w:ascii="Calibri" w:hAnsi="Calibri"/>
          <w:sz w:val="22"/>
          <w:szCs w:val="22"/>
          <w:lang w:eastAsia="en-NZ"/>
        </w:rPr>
      </w:pPr>
      <w:hyperlink w:anchor="_Toc5269602" w:history="1">
        <w:r w:rsidR="00C97BE6" w:rsidRPr="009B03B5">
          <w:rPr>
            <w:rStyle w:val="Hyperlink"/>
            <w:rFonts w:eastAsia="Calibri"/>
          </w:rPr>
          <w:t>Table 8.5.1</w:t>
        </w:r>
        <w:r w:rsidR="00C97BE6" w:rsidRPr="002D354C">
          <w:rPr>
            <w:rFonts w:ascii="Calibri" w:hAnsi="Calibri"/>
            <w:sz w:val="22"/>
            <w:szCs w:val="22"/>
            <w:lang w:eastAsia="en-NZ"/>
          </w:rPr>
          <w:tab/>
        </w:r>
        <w:r w:rsidR="00C97BE6" w:rsidRPr="009B03B5">
          <w:rPr>
            <w:rStyle w:val="Hyperlink"/>
            <w:rFonts w:eastAsia="Calibri"/>
          </w:rPr>
          <w:t>Summary of parameters for uncategorised landfills in Tokelau</w:t>
        </w:r>
        <w:r w:rsidR="00C97BE6">
          <w:rPr>
            <w:webHidden/>
          </w:rPr>
          <w:tab/>
        </w:r>
        <w:r w:rsidR="00C97BE6">
          <w:rPr>
            <w:webHidden/>
          </w:rPr>
          <w:fldChar w:fldCharType="begin"/>
        </w:r>
        <w:r w:rsidR="00C97BE6">
          <w:rPr>
            <w:webHidden/>
          </w:rPr>
          <w:instrText xml:space="preserve"> PAGEREF _Toc5269602 \h </w:instrText>
        </w:r>
        <w:r w:rsidR="00C97BE6">
          <w:rPr>
            <w:webHidden/>
          </w:rPr>
        </w:r>
        <w:r w:rsidR="00C97BE6">
          <w:rPr>
            <w:webHidden/>
          </w:rPr>
          <w:fldChar w:fldCharType="separate"/>
        </w:r>
        <w:r w:rsidR="00D0418C">
          <w:rPr>
            <w:webHidden/>
          </w:rPr>
          <w:t>389</w:t>
        </w:r>
        <w:r w:rsidR="00C97BE6">
          <w:rPr>
            <w:webHidden/>
          </w:rPr>
          <w:fldChar w:fldCharType="end"/>
        </w:r>
      </w:hyperlink>
    </w:p>
    <w:p w14:paraId="6D6D0E5D" w14:textId="77777777" w:rsidR="00C97BE6" w:rsidRPr="002D354C" w:rsidRDefault="00590491">
      <w:pPr>
        <w:pStyle w:val="TableofFigures"/>
        <w:rPr>
          <w:rFonts w:ascii="Calibri" w:hAnsi="Calibri"/>
          <w:sz w:val="22"/>
          <w:szCs w:val="22"/>
          <w:lang w:eastAsia="en-NZ"/>
        </w:rPr>
      </w:pPr>
      <w:hyperlink w:anchor="_Toc5269603" w:history="1">
        <w:r w:rsidR="00C97BE6" w:rsidRPr="009B03B5">
          <w:rPr>
            <w:rStyle w:val="Hyperlink"/>
          </w:rPr>
          <w:t>Table 8.5.2</w:t>
        </w:r>
        <w:r w:rsidR="00C97BE6" w:rsidRPr="002D354C">
          <w:rPr>
            <w:rFonts w:ascii="Calibri" w:hAnsi="Calibri"/>
            <w:sz w:val="22"/>
            <w:szCs w:val="22"/>
            <w:lang w:eastAsia="en-NZ"/>
          </w:rPr>
          <w:tab/>
        </w:r>
        <w:r w:rsidR="00C97BE6" w:rsidRPr="009B03B5">
          <w:rPr>
            <w:rStyle w:val="Hyperlink"/>
          </w:rPr>
          <w:t>Uncertainty in emissions from the Solid waste disposal category</w:t>
        </w:r>
        <w:r w:rsidR="00C97BE6">
          <w:rPr>
            <w:webHidden/>
          </w:rPr>
          <w:tab/>
        </w:r>
        <w:r w:rsidR="00C97BE6">
          <w:rPr>
            <w:webHidden/>
          </w:rPr>
          <w:fldChar w:fldCharType="begin"/>
        </w:r>
        <w:r w:rsidR="00C97BE6">
          <w:rPr>
            <w:webHidden/>
          </w:rPr>
          <w:instrText xml:space="preserve"> PAGEREF _Toc5269603 \h </w:instrText>
        </w:r>
        <w:r w:rsidR="00C97BE6">
          <w:rPr>
            <w:webHidden/>
          </w:rPr>
        </w:r>
        <w:r w:rsidR="00C97BE6">
          <w:rPr>
            <w:webHidden/>
          </w:rPr>
          <w:fldChar w:fldCharType="separate"/>
        </w:r>
        <w:r w:rsidR="00D0418C">
          <w:rPr>
            <w:webHidden/>
          </w:rPr>
          <w:t>389</w:t>
        </w:r>
        <w:r w:rsidR="00C97BE6">
          <w:rPr>
            <w:webHidden/>
          </w:rPr>
          <w:fldChar w:fldCharType="end"/>
        </w:r>
      </w:hyperlink>
    </w:p>
    <w:p w14:paraId="0BCCEB51" w14:textId="77777777" w:rsidR="00C97BE6" w:rsidRPr="002D354C" w:rsidRDefault="00590491">
      <w:pPr>
        <w:pStyle w:val="TableofFigures"/>
        <w:rPr>
          <w:rFonts w:ascii="Calibri" w:hAnsi="Calibri"/>
          <w:sz w:val="22"/>
          <w:szCs w:val="22"/>
          <w:lang w:eastAsia="en-NZ"/>
        </w:rPr>
      </w:pPr>
      <w:hyperlink w:anchor="_Toc5269604" w:history="1">
        <w:r w:rsidR="00C97BE6" w:rsidRPr="009B03B5">
          <w:rPr>
            <w:rStyle w:val="Hyperlink"/>
            <w:rFonts w:eastAsia="Calibri" w:cs="Arial"/>
          </w:rPr>
          <w:t>Table 8.5.3</w:t>
        </w:r>
        <w:r w:rsidR="00C97BE6" w:rsidRPr="002D354C">
          <w:rPr>
            <w:rFonts w:ascii="Calibri" w:hAnsi="Calibri"/>
            <w:sz w:val="22"/>
            <w:szCs w:val="22"/>
            <w:lang w:eastAsia="en-NZ"/>
          </w:rPr>
          <w:tab/>
        </w:r>
        <w:r w:rsidR="00C97BE6" w:rsidRPr="009B03B5">
          <w:rPr>
            <w:rStyle w:val="Hyperlink"/>
            <w:rFonts w:eastAsia="Calibri" w:cs="Arial"/>
          </w:rPr>
          <w:t>Composition data and carbon content used for estimating emissions from 5.C.2</w:t>
        </w:r>
        <w:r w:rsidR="00C97BE6">
          <w:rPr>
            <w:webHidden/>
          </w:rPr>
          <w:tab/>
        </w:r>
        <w:r w:rsidR="00C97BE6">
          <w:rPr>
            <w:webHidden/>
          </w:rPr>
          <w:fldChar w:fldCharType="begin"/>
        </w:r>
        <w:r w:rsidR="00C97BE6">
          <w:rPr>
            <w:webHidden/>
          </w:rPr>
          <w:instrText xml:space="preserve"> PAGEREF _Toc5269604 \h </w:instrText>
        </w:r>
        <w:r w:rsidR="00C97BE6">
          <w:rPr>
            <w:webHidden/>
          </w:rPr>
        </w:r>
        <w:r w:rsidR="00C97BE6">
          <w:rPr>
            <w:webHidden/>
          </w:rPr>
          <w:fldChar w:fldCharType="separate"/>
        </w:r>
        <w:r w:rsidR="00D0418C">
          <w:rPr>
            <w:webHidden/>
          </w:rPr>
          <w:t>390</w:t>
        </w:r>
        <w:r w:rsidR="00C97BE6">
          <w:rPr>
            <w:webHidden/>
          </w:rPr>
          <w:fldChar w:fldCharType="end"/>
        </w:r>
      </w:hyperlink>
    </w:p>
    <w:p w14:paraId="4F6C3AB2" w14:textId="77777777" w:rsidR="00C97BE6" w:rsidRPr="002D354C" w:rsidRDefault="00590491">
      <w:pPr>
        <w:pStyle w:val="TableofFigures"/>
        <w:rPr>
          <w:rFonts w:ascii="Calibri" w:hAnsi="Calibri"/>
          <w:sz w:val="22"/>
          <w:szCs w:val="22"/>
          <w:lang w:eastAsia="en-NZ"/>
        </w:rPr>
      </w:pPr>
      <w:hyperlink w:anchor="_Toc5269605" w:history="1">
        <w:r w:rsidR="00C97BE6" w:rsidRPr="009B03B5">
          <w:rPr>
            <w:rStyle w:val="Hyperlink"/>
          </w:rPr>
          <w:t>Table 8.5.4</w:t>
        </w:r>
        <w:r w:rsidR="00C97BE6" w:rsidRPr="002D354C">
          <w:rPr>
            <w:rFonts w:ascii="Calibri" w:hAnsi="Calibri"/>
            <w:sz w:val="22"/>
            <w:szCs w:val="22"/>
            <w:lang w:eastAsia="en-NZ"/>
          </w:rPr>
          <w:tab/>
        </w:r>
        <w:r w:rsidR="00C97BE6" w:rsidRPr="009B03B5">
          <w:rPr>
            <w:rStyle w:val="Hyperlink"/>
          </w:rPr>
          <w:t>Uncertainty in emissions from open burning for Tokelau.</w:t>
        </w:r>
        <w:r w:rsidR="00C97BE6">
          <w:rPr>
            <w:webHidden/>
          </w:rPr>
          <w:tab/>
        </w:r>
        <w:r w:rsidR="00C97BE6">
          <w:rPr>
            <w:webHidden/>
          </w:rPr>
          <w:fldChar w:fldCharType="begin"/>
        </w:r>
        <w:r w:rsidR="00C97BE6">
          <w:rPr>
            <w:webHidden/>
          </w:rPr>
          <w:instrText xml:space="preserve"> PAGEREF _Toc5269605 \h </w:instrText>
        </w:r>
        <w:r w:rsidR="00C97BE6">
          <w:rPr>
            <w:webHidden/>
          </w:rPr>
        </w:r>
        <w:r w:rsidR="00C97BE6">
          <w:rPr>
            <w:webHidden/>
          </w:rPr>
          <w:fldChar w:fldCharType="separate"/>
        </w:r>
        <w:r w:rsidR="00D0418C">
          <w:rPr>
            <w:webHidden/>
          </w:rPr>
          <w:t>391</w:t>
        </w:r>
        <w:r w:rsidR="00C97BE6">
          <w:rPr>
            <w:webHidden/>
          </w:rPr>
          <w:fldChar w:fldCharType="end"/>
        </w:r>
      </w:hyperlink>
    </w:p>
    <w:p w14:paraId="0614A851" w14:textId="77777777" w:rsidR="00C97BE6" w:rsidRPr="002D354C" w:rsidRDefault="00590491">
      <w:pPr>
        <w:pStyle w:val="TableofFigures"/>
        <w:rPr>
          <w:rFonts w:ascii="Calibri" w:hAnsi="Calibri"/>
          <w:sz w:val="22"/>
          <w:szCs w:val="22"/>
          <w:lang w:eastAsia="en-NZ"/>
        </w:rPr>
      </w:pPr>
      <w:hyperlink w:anchor="_Toc5269606" w:history="1">
        <w:r w:rsidR="00C97BE6" w:rsidRPr="009B03B5">
          <w:rPr>
            <w:rStyle w:val="Hyperlink"/>
          </w:rPr>
          <w:t>Table 8.5.5</w:t>
        </w:r>
        <w:r w:rsidR="00C97BE6" w:rsidRPr="002D354C">
          <w:rPr>
            <w:rFonts w:ascii="Calibri" w:hAnsi="Calibri"/>
            <w:sz w:val="22"/>
            <w:szCs w:val="22"/>
            <w:lang w:eastAsia="en-NZ"/>
          </w:rPr>
          <w:tab/>
        </w:r>
        <w:r w:rsidR="00C97BE6" w:rsidRPr="009B03B5">
          <w:rPr>
            <w:rStyle w:val="Hyperlink"/>
          </w:rPr>
          <w:t>Parameters for estimating methane emissions for Tokelau wastewater treatment</w:t>
        </w:r>
        <w:r w:rsidR="00C97BE6">
          <w:rPr>
            <w:webHidden/>
          </w:rPr>
          <w:tab/>
        </w:r>
        <w:r w:rsidR="00C97BE6">
          <w:rPr>
            <w:webHidden/>
          </w:rPr>
          <w:fldChar w:fldCharType="begin"/>
        </w:r>
        <w:r w:rsidR="00C97BE6">
          <w:rPr>
            <w:webHidden/>
          </w:rPr>
          <w:instrText xml:space="preserve"> PAGEREF _Toc5269606 \h </w:instrText>
        </w:r>
        <w:r w:rsidR="00C97BE6">
          <w:rPr>
            <w:webHidden/>
          </w:rPr>
        </w:r>
        <w:r w:rsidR="00C97BE6">
          <w:rPr>
            <w:webHidden/>
          </w:rPr>
          <w:fldChar w:fldCharType="separate"/>
        </w:r>
        <w:r w:rsidR="00D0418C">
          <w:rPr>
            <w:webHidden/>
          </w:rPr>
          <w:t>392</w:t>
        </w:r>
        <w:r w:rsidR="00C97BE6">
          <w:rPr>
            <w:webHidden/>
          </w:rPr>
          <w:fldChar w:fldCharType="end"/>
        </w:r>
      </w:hyperlink>
    </w:p>
    <w:p w14:paraId="6189E33F" w14:textId="0455143D" w:rsidR="00C97BE6" w:rsidRPr="002D354C" w:rsidRDefault="00590491">
      <w:pPr>
        <w:pStyle w:val="TableofFigures"/>
        <w:rPr>
          <w:rFonts w:ascii="Calibri" w:hAnsi="Calibri"/>
          <w:sz w:val="22"/>
          <w:szCs w:val="22"/>
          <w:lang w:eastAsia="en-NZ"/>
        </w:rPr>
      </w:pPr>
      <w:hyperlink w:anchor="_Toc5269607" w:history="1">
        <w:r w:rsidR="00C97BE6" w:rsidRPr="009B03B5">
          <w:rPr>
            <w:rStyle w:val="Hyperlink"/>
          </w:rPr>
          <w:t>Table 8.5.6</w:t>
        </w:r>
        <w:r w:rsidR="00C97BE6" w:rsidRPr="002D354C">
          <w:rPr>
            <w:rFonts w:ascii="Calibri" w:hAnsi="Calibri"/>
            <w:sz w:val="22"/>
            <w:szCs w:val="22"/>
            <w:lang w:eastAsia="en-NZ"/>
          </w:rPr>
          <w:tab/>
        </w:r>
        <w:r w:rsidR="00C97BE6" w:rsidRPr="009B03B5">
          <w:rPr>
            <w:rStyle w:val="Hyperlink"/>
          </w:rPr>
          <w:t>Parameter values applied for estimating nitrous oxide emissions for</w:t>
        </w:r>
        <w:r w:rsidR="00A00EA1">
          <w:rPr>
            <w:rStyle w:val="Hyperlink"/>
          </w:rPr>
          <w:t xml:space="preserve"> </w:t>
        </w:r>
        <w:r w:rsidR="00C97BE6" w:rsidRPr="009B03B5">
          <w:rPr>
            <w:rStyle w:val="Hyperlink"/>
          </w:rPr>
          <w:t>Tokelau wastewater treatment</w:t>
        </w:r>
        <w:r w:rsidR="00C97BE6">
          <w:rPr>
            <w:webHidden/>
          </w:rPr>
          <w:tab/>
        </w:r>
        <w:r w:rsidR="00C97BE6">
          <w:rPr>
            <w:webHidden/>
          </w:rPr>
          <w:fldChar w:fldCharType="begin"/>
        </w:r>
        <w:r w:rsidR="00C97BE6">
          <w:rPr>
            <w:webHidden/>
          </w:rPr>
          <w:instrText xml:space="preserve"> PAGEREF _Toc5269607 \h </w:instrText>
        </w:r>
        <w:r w:rsidR="00C97BE6">
          <w:rPr>
            <w:webHidden/>
          </w:rPr>
        </w:r>
        <w:r w:rsidR="00C97BE6">
          <w:rPr>
            <w:webHidden/>
          </w:rPr>
          <w:fldChar w:fldCharType="separate"/>
        </w:r>
        <w:r w:rsidR="00D0418C">
          <w:rPr>
            <w:webHidden/>
          </w:rPr>
          <w:t>392</w:t>
        </w:r>
        <w:r w:rsidR="00C97BE6">
          <w:rPr>
            <w:webHidden/>
          </w:rPr>
          <w:fldChar w:fldCharType="end"/>
        </w:r>
      </w:hyperlink>
    </w:p>
    <w:p w14:paraId="01DFCE18" w14:textId="77777777" w:rsidR="00C97BE6" w:rsidRPr="002D354C" w:rsidRDefault="00590491">
      <w:pPr>
        <w:pStyle w:val="TableofFigures"/>
        <w:rPr>
          <w:rFonts w:ascii="Calibri" w:hAnsi="Calibri"/>
          <w:sz w:val="22"/>
          <w:szCs w:val="22"/>
          <w:lang w:eastAsia="en-NZ"/>
        </w:rPr>
      </w:pPr>
      <w:hyperlink w:anchor="_Toc5269608" w:history="1">
        <w:r w:rsidR="00C97BE6" w:rsidRPr="009B03B5">
          <w:rPr>
            <w:rStyle w:val="Hyperlink"/>
          </w:rPr>
          <w:t>Table 8.5.7</w:t>
        </w:r>
        <w:r w:rsidR="00C97BE6" w:rsidRPr="002D354C">
          <w:rPr>
            <w:rFonts w:ascii="Calibri" w:hAnsi="Calibri"/>
            <w:sz w:val="22"/>
            <w:szCs w:val="22"/>
            <w:lang w:eastAsia="en-NZ"/>
          </w:rPr>
          <w:tab/>
        </w:r>
        <w:r w:rsidR="00C97BE6" w:rsidRPr="009B03B5">
          <w:rPr>
            <w:rStyle w:val="Hyperlink"/>
          </w:rPr>
          <w:t>Uncertainty in emissions from domestic wastewater</w:t>
        </w:r>
        <w:r w:rsidR="00C97BE6">
          <w:rPr>
            <w:webHidden/>
          </w:rPr>
          <w:tab/>
        </w:r>
        <w:r w:rsidR="00C97BE6">
          <w:rPr>
            <w:webHidden/>
          </w:rPr>
          <w:fldChar w:fldCharType="begin"/>
        </w:r>
        <w:r w:rsidR="00C97BE6">
          <w:rPr>
            <w:webHidden/>
          </w:rPr>
          <w:instrText xml:space="preserve"> PAGEREF _Toc5269608 \h </w:instrText>
        </w:r>
        <w:r w:rsidR="00C97BE6">
          <w:rPr>
            <w:webHidden/>
          </w:rPr>
        </w:r>
        <w:r w:rsidR="00C97BE6">
          <w:rPr>
            <w:webHidden/>
          </w:rPr>
          <w:fldChar w:fldCharType="separate"/>
        </w:r>
        <w:r w:rsidR="00D0418C">
          <w:rPr>
            <w:webHidden/>
          </w:rPr>
          <w:t>393</w:t>
        </w:r>
        <w:r w:rsidR="00C97BE6">
          <w:rPr>
            <w:webHidden/>
          </w:rPr>
          <w:fldChar w:fldCharType="end"/>
        </w:r>
      </w:hyperlink>
    </w:p>
    <w:p w14:paraId="01F218E8" w14:textId="77777777" w:rsidR="00C97BE6" w:rsidRPr="002D354C" w:rsidRDefault="00590491">
      <w:pPr>
        <w:pStyle w:val="TableofFigures"/>
        <w:rPr>
          <w:rFonts w:ascii="Calibri" w:hAnsi="Calibri"/>
          <w:sz w:val="22"/>
          <w:szCs w:val="22"/>
          <w:lang w:eastAsia="en-NZ"/>
        </w:rPr>
      </w:pPr>
      <w:hyperlink w:anchor="_Toc5269609" w:history="1">
        <w:r w:rsidR="00C97BE6" w:rsidRPr="009B03B5">
          <w:rPr>
            <w:rStyle w:val="Hyperlink"/>
          </w:rPr>
          <w:t xml:space="preserve">Table 10.1.1 </w:t>
        </w:r>
        <w:r w:rsidR="00C97BE6" w:rsidRPr="002D354C">
          <w:rPr>
            <w:rFonts w:ascii="Calibri" w:hAnsi="Calibri"/>
            <w:sz w:val="22"/>
            <w:szCs w:val="22"/>
            <w:lang w:eastAsia="en-NZ"/>
          </w:rPr>
          <w:tab/>
        </w:r>
        <w:r w:rsidR="00C97BE6" w:rsidRPr="009B03B5">
          <w:rPr>
            <w:rStyle w:val="Hyperlink"/>
          </w:rPr>
          <w:t>Largest recalculations in each sector that increase emissions estimates</w:t>
        </w:r>
        <w:r w:rsidR="00C97BE6">
          <w:rPr>
            <w:webHidden/>
          </w:rPr>
          <w:tab/>
        </w:r>
        <w:r w:rsidR="00C97BE6">
          <w:rPr>
            <w:webHidden/>
          </w:rPr>
          <w:fldChar w:fldCharType="begin"/>
        </w:r>
        <w:r w:rsidR="00C97BE6">
          <w:rPr>
            <w:webHidden/>
          </w:rPr>
          <w:instrText xml:space="preserve"> PAGEREF _Toc5269609 \h </w:instrText>
        </w:r>
        <w:r w:rsidR="00C97BE6">
          <w:rPr>
            <w:webHidden/>
          </w:rPr>
        </w:r>
        <w:r w:rsidR="00C97BE6">
          <w:rPr>
            <w:webHidden/>
          </w:rPr>
          <w:fldChar w:fldCharType="separate"/>
        </w:r>
        <w:r w:rsidR="00D0418C">
          <w:rPr>
            <w:webHidden/>
          </w:rPr>
          <w:t>397</w:t>
        </w:r>
        <w:r w:rsidR="00C97BE6">
          <w:rPr>
            <w:webHidden/>
          </w:rPr>
          <w:fldChar w:fldCharType="end"/>
        </w:r>
      </w:hyperlink>
    </w:p>
    <w:p w14:paraId="3FB239E0" w14:textId="77777777" w:rsidR="00C97BE6" w:rsidRPr="002D354C" w:rsidRDefault="00590491">
      <w:pPr>
        <w:pStyle w:val="TableofFigures"/>
        <w:rPr>
          <w:rFonts w:ascii="Calibri" w:hAnsi="Calibri"/>
          <w:sz w:val="22"/>
          <w:szCs w:val="22"/>
          <w:lang w:eastAsia="en-NZ"/>
        </w:rPr>
      </w:pPr>
      <w:hyperlink w:anchor="_Toc5269610" w:history="1">
        <w:r w:rsidR="00C97BE6" w:rsidRPr="009B03B5">
          <w:rPr>
            <w:rStyle w:val="Hyperlink"/>
          </w:rPr>
          <w:t xml:space="preserve">Table 10.1.2 </w:t>
        </w:r>
        <w:r w:rsidR="00C97BE6" w:rsidRPr="002D354C">
          <w:rPr>
            <w:rFonts w:ascii="Calibri" w:hAnsi="Calibri"/>
            <w:sz w:val="22"/>
            <w:szCs w:val="22"/>
            <w:lang w:eastAsia="en-NZ"/>
          </w:rPr>
          <w:tab/>
        </w:r>
        <w:r w:rsidR="00C97BE6" w:rsidRPr="009B03B5">
          <w:rPr>
            <w:rStyle w:val="Hyperlink"/>
          </w:rPr>
          <w:t>Largest recalculations in each sector that reduce emissions estimates</w:t>
        </w:r>
        <w:r w:rsidR="00C97BE6">
          <w:rPr>
            <w:webHidden/>
          </w:rPr>
          <w:tab/>
        </w:r>
        <w:r w:rsidR="00C97BE6">
          <w:rPr>
            <w:webHidden/>
          </w:rPr>
          <w:fldChar w:fldCharType="begin"/>
        </w:r>
        <w:r w:rsidR="00C97BE6">
          <w:rPr>
            <w:webHidden/>
          </w:rPr>
          <w:instrText xml:space="preserve"> PAGEREF _Toc5269610 \h </w:instrText>
        </w:r>
        <w:r w:rsidR="00C97BE6">
          <w:rPr>
            <w:webHidden/>
          </w:rPr>
        </w:r>
        <w:r w:rsidR="00C97BE6">
          <w:rPr>
            <w:webHidden/>
          </w:rPr>
          <w:fldChar w:fldCharType="separate"/>
        </w:r>
        <w:r w:rsidR="00D0418C">
          <w:rPr>
            <w:webHidden/>
          </w:rPr>
          <w:t>397</w:t>
        </w:r>
        <w:r w:rsidR="00C97BE6">
          <w:rPr>
            <w:webHidden/>
          </w:rPr>
          <w:fldChar w:fldCharType="end"/>
        </w:r>
      </w:hyperlink>
    </w:p>
    <w:p w14:paraId="33631CB0" w14:textId="77777777" w:rsidR="00C97BE6" w:rsidRPr="002D354C" w:rsidRDefault="00590491">
      <w:pPr>
        <w:pStyle w:val="TableofFigures"/>
        <w:rPr>
          <w:rFonts w:ascii="Calibri" w:hAnsi="Calibri"/>
          <w:sz w:val="22"/>
          <w:szCs w:val="22"/>
          <w:lang w:eastAsia="en-NZ"/>
        </w:rPr>
      </w:pPr>
      <w:hyperlink w:anchor="_Toc5269611" w:history="1">
        <w:r w:rsidR="00C97BE6" w:rsidRPr="009B03B5">
          <w:rPr>
            <w:rStyle w:val="Hyperlink"/>
          </w:rPr>
          <w:t xml:space="preserve">Table 10.1.3 </w:t>
        </w:r>
        <w:r w:rsidR="00C97BE6" w:rsidRPr="002D354C">
          <w:rPr>
            <w:rFonts w:ascii="Calibri" w:hAnsi="Calibri"/>
            <w:sz w:val="22"/>
            <w:szCs w:val="22"/>
            <w:lang w:eastAsia="en-NZ"/>
          </w:rPr>
          <w:tab/>
        </w:r>
        <w:r w:rsidR="00C97BE6" w:rsidRPr="009B03B5">
          <w:rPr>
            <w:rStyle w:val="Hyperlink"/>
          </w:rPr>
          <w:t>Explanations and justification for recalculations in the Energy sector</w:t>
        </w:r>
        <w:r w:rsidR="00C97BE6">
          <w:rPr>
            <w:webHidden/>
          </w:rPr>
          <w:tab/>
        </w:r>
        <w:r w:rsidR="00C97BE6">
          <w:rPr>
            <w:webHidden/>
          </w:rPr>
          <w:fldChar w:fldCharType="begin"/>
        </w:r>
        <w:r w:rsidR="00C97BE6">
          <w:rPr>
            <w:webHidden/>
          </w:rPr>
          <w:instrText xml:space="preserve"> PAGEREF _Toc5269611 \h </w:instrText>
        </w:r>
        <w:r w:rsidR="00C97BE6">
          <w:rPr>
            <w:webHidden/>
          </w:rPr>
        </w:r>
        <w:r w:rsidR="00C97BE6">
          <w:rPr>
            <w:webHidden/>
          </w:rPr>
          <w:fldChar w:fldCharType="separate"/>
        </w:r>
        <w:r w:rsidR="00D0418C">
          <w:rPr>
            <w:webHidden/>
          </w:rPr>
          <w:t>398</w:t>
        </w:r>
        <w:r w:rsidR="00C97BE6">
          <w:rPr>
            <w:webHidden/>
          </w:rPr>
          <w:fldChar w:fldCharType="end"/>
        </w:r>
      </w:hyperlink>
    </w:p>
    <w:p w14:paraId="7C5067B9" w14:textId="77777777" w:rsidR="00C97BE6" w:rsidRPr="002D354C" w:rsidRDefault="00590491">
      <w:pPr>
        <w:pStyle w:val="TableofFigures"/>
        <w:rPr>
          <w:rFonts w:ascii="Calibri" w:hAnsi="Calibri"/>
          <w:sz w:val="22"/>
          <w:szCs w:val="22"/>
          <w:lang w:eastAsia="en-NZ"/>
        </w:rPr>
      </w:pPr>
      <w:hyperlink w:anchor="_Toc5269612" w:history="1">
        <w:r w:rsidR="00C97BE6" w:rsidRPr="009B03B5">
          <w:rPr>
            <w:rStyle w:val="Hyperlink"/>
          </w:rPr>
          <w:t>Table 10.1.4</w:t>
        </w:r>
        <w:r w:rsidR="00C97BE6" w:rsidRPr="002D354C">
          <w:rPr>
            <w:rFonts w:ascii="Calibri" w:hAnsi="Calibri"/>
            <w:sz w:val="22"/>
            <w:szCs w:val="22"/>
            <w:lang w:eastAsia="en-NZ"/>
          </w:rPr>
          <w:tab/>
        </w:r>
        <w:r w:rsidR="00C97BE6" w:rsidRPr="009B03B5">
          <w:rPr>
            <w:rStyle w:val="Hyperlink"/>
          </w:rPr>
          <w:t>Explanations and justifications for recalculations in the IPPU sector</w:t>
        </w:r>
        <w:r w:rsidR="00C97BE6">
          <w:rPr>
            <w:webHidden/>
          </w:rPr>
          <w:tab/>
        </w:r>
        <w:r w:rsidR="00C97BE6">
          <w:rPr>
            <w:webHidden/>
          </w:rPr>
          <w:fldChar w:fldCharType="begin"/>
        </w:r>
        <w:r w:rsidR="00C97BE6">
          <w:rPr>
            <w:webHidden/>
          </w:rPr>
          <w:instrText xml:space="preserve"> PAGEREF _Toc5269612 \h </w:instrText>
        </w:r>
        <w:r w:rsidR="00C97BE6">
          <w:rPr>
            <w:webHidden/>
          </w:rPr>
        </w:r>
        <w:r w:rsidR="00C97BE6">
          <w:rPr>
            <w:webHidden/>
          </w:rPr>
          <w:fldChar w:fldCharType="separate"/>
        </w:r>
        <w:r w:rsidR="00D0418C">
          <w:rPr>
            <w:webHidden/>
          </w:rPr>
          <w:t>399</w:t>
        </w:r>
        <w:r w:rsidR="00C97BE6">
          <w:rPr>
            <w:webHidden/>
          </w:rPr>
          <w:fldChar w:fldCharType="end"/>
        </w:r>
      </w:hyperlink>
    </w:p>
    <w:p w14:paraId="33A8119A" w14:textId="50FC9FFE" w:rsidR="00C97BE6" w:rsidRPr="002D354C" w:rsidRDefault="00590491">
      <w:pPr>
        <w:pStyle w:val="TableofFigures"/>
        <w:rPr>
          <w:rFonts w:ascii="Calibri" w:hAnsi="Calibri"/>
          <w:sz w:val="22"/>
          <w:szCs w:val="22"/>
          <w:lang w:eastAsia="en-NZ"/>
        </w:rPr>
      </w:pPr>
      <w:hyperlink w:anchor="_Toc5269613" w:history="1">
        <w:r w:rsidR="00C97BE6" w:rsidRPr="009B03B5">
          <w:rPr>
            <w:rStyle w:val="Hyperlink"/>
          </w:rPr>
          <w:t>Table 10.1.5</w:t>
        </w:r>
        <w:r w:rsidR="00C97BE6" w:rsidRPr="002D354C">
          <w:rPr>
            <w:rFonts w:ascii="Calibri" w:hAnsi="Calibri"/>
            <w:sz w:val="22"/>
            <w:szCs w:val="22"/>
            <w:lang w:eastAsia="en-NZ"/>
          </w:rPr>
          <w:tab/>
        </w:r>
        <w:r w:rsidR="00C97BE6" w:rsidRPr="009B03B5">
          <w:rPr>
            <w:rStyle w:val="Hyperlink"/>
          </w:rPr>
          <w:t>Effect of revised dairy effluent management activity data on agricultural</w:t>
        </w:r>
        <w:r w:rsidR="00A00EA1">
          <w:rPr>
            <w:rStyle w:val="Hyperlink"/>
          </w:rPr>
          <w:t xml:space="preserve"> </w:t>
        </w:r>
        <w:r w:rsidR="00C97BE6" w:rsidRPr="009B03B5">
          <w:rPr>
            <w:rStyle w:val="Hyperlink"/>
          </w:rPr>
          <w:t>emissions estimates, 1990 to 2017</w:t>
        </w:r>
        <w:r w:rsidR="00C97BE6">
          <w:rPr>
            <w:webHidden/>
          </w:rPr>
          <w:tab/>
        </w:r>
        <w:r w:rsidR="00C97BE6">
          <w:rPr>
            <w:webHidden/>
          </w:rPr>
          <w:fldChar w:fldCharType="begin"/>
        </w:r>
        <w:r w:rsidR="00C97BE6">
          <w:rPr>
            <w:webHidden/>
          </w:rPr>
          <w:instrText xml:space="preserve"> PAGEREF _Toc5269613 \h </w:instrText>
        </w:r>
        <w:r w:rsidR="00C97BE6">
          <w:rPr>
            <w:webHidden/>
          </w:rPr>
        </w:r>
        <w:r w:rsidR="00C97BE6">
          <w:rPr>
            <w:webHidden/>
          </w:rPr>
          <w:fldChar w:fldCharType="separate"/>
        </w:r>
        <w:r w:rsidR="00D0418C">
          <w:rPr>
            <w:webHidden/>
          </w:rPr>
          <w:t>401</w:t>
        </w:r>
        <w:r w:rsidR="00C97BE6">
          <w:rPr>
            <w:webHidden/>
          </w:rPr>
          <w:fldChar w:fldCharType="end"/>
        </w:r>
      </w:hyperlink>
    </w:p>
    <w:p w14:paraId="51B82247" w14:textId="77777777" w:rsidR="00C97BE6" w:rsidRPr="002D354C" w:rsidRDefault="00590491">
      <w:pPr>
        <w:pStyle w:val="TableofFigures"/>
        <w:rPr>
          <w:rFonts w:ascii="Calibri" w:hAnsi="Calibri"/>
          <w:sz w:val="22"/>
          <w:szCs w:val="22"/>
          <w:lang w:eastAsia="en-NZ"/>
        </w:rPr>
      </w:pPr>
      <w:hyperlink w:anchor="_Toc5269614" w:history="1">
        <w:r w:rsidR="00C97BE6" w:rsidRPr="009B03B5">
          <w:rPr>
            <w:rStyle w:val="Hyperlink"/>
          </w:rPr>
          <w:t>Table 10.1.6</w:t>
        </w:r>
        <w:r w:rsidR="00C97BE6" w:rsidRPr="002D354C">
          <w:rPr>
            <w:rFonts w:ascii="Calibri" w:hAnsi="Calibri"/>
            <w:sz w:val="22"/>
            <w:szCs w:val="22"/>
            <w:lang w:eastAsia="en-NZ"/>
          </w:rPr>
          <w:tab/>
        </w:r>
        <w:r w:rsidR="00C97BE6" w:rsidRPr="009B03B5">
          <w:rPr>
            <w:rStyle w:val="Hyperlink"/>
          </w:rPr>
          <w:t>Effect of new nitrogen excretion partitioning methodology on agricultural emissions estimates, 1990 to 2017</w:t>
        </w:r>
        <w:r w:rsidR="00C97BE6">
          <w:rPr>
            <w:webHidden/>
          </w:rPr>
          <w:tab/>
        </w:r>
        <w:r w:rsidR="00C97BE6">
          <w:rPr>
            <w:webHidden/>
          </w:rPr>
          <w:fldChar w:fldCharType="begin"/>
        </w:r>
        <w:r w:rsidR="00C97BE6">
          <w:rPr>
            <w:webHidden/>
          </w:rPr>
          <w:instrText xml:space="preserve"> PAGEREF _Toc5269614 \h </w:instrText>
        </w:r>
        <w:r w:rsidR="00C97BE6">
          <w:rPr>
            <w:webHidden/>
          </w:rPr>
        </w:r>
        <w:r w:rsidR="00C97BE6">
          <w:rPr>
            <w:webHidden/>
          </w:rPr>
          <w:fldChar w:fldCharType="separate"/>
        </w:r>
        <w:r w:rsidR="00D0418C">
          <w:rPr>
            <w:webHidden/>
          </w:rPr>
          <w:t>401</w:t>
        </w:r>
        <w:r w:rsidR="00C97BE6">
          <w:rPr>
            <w:webHidden/>
          </w:rPr>
          <w:fldChar w:fldCharType="end"/>
        </w:r>
      </w:hyperlink>
    </w:p>
    <w:p w14:paraId="2007D5C3" w14:textId="77777777" w:rsidR="00C97BE6" w:rsidRPr="002D354C" w:rsidRDefault="00590491">
      <w:pPr>
        <w:pStyle w:val="TableofFigures"/>
        <w:rPr>
          <w:rFonts w:ascii="Calibri" w:hAnsi="Calibri"/>
          <w:sz w:val="22"/>
          <w:szCs w:val="22"/>
          <w:lang w:eastAsia="en-NZ"/>
        </w:rPr>
      </w:pPr>
      <w:hyperlink w:anchor="_Toc5269615" w:history="1">
        <w:r w:rsidR="00C97BE6" w:rsidRPr="009B03B5">
          <w:rPr>
            <w:rStyle w:val="Hyperlink"/>
          </w:rPr>
          <w:t>Table 10.1.7</w:t>
        </w:r>
        <w:r w:rsidR="00C97BE6" w:rsidRPr="002D354C">
          <w:rPr>
            <w:rFonts w:ascii="Calibri" w:hAnsi="Calibri"/>
            <w:sz w:val="22"/>
            <w:szCs w:val="22"/>
            <w:lang w:eastAsia="en-NZ"/>
          </w:rPr>
          <w:tab/>
        </w:r>
        <w:r w:rsidR="00C97BE6" w:rsidRPr="009B03B5">
          <w:rPr>
            <w:rStyle w:val="Hyperlink"/>
          </w:rPr>
          <w:t>Effect of corrected metabolisable energy equation on agricultural emissions estimates, 1990 to 2017</w:t>
        </w:r>
        <w:r w:rsidR="00C97BE6">
          <w:rPr>
            <w:webHidden/>
          </w:rPr>
          <w:tab/>
        </w:r>
        <w:r w:rsidR="00C97BE6">
          <w:rPr>
            <w:webHidden/>
          </w:rPr>
          <w:fldChar w:fldCharType="begin"/>
        </w:r>
        <w:r w:rsidR="00C97BE6">
          <w:rPr>
            <w:webHidden/>
          </w:rPr>
          <w:instrText xml:space="preserve"> PAGEREF _Toc5269615 \h </w:instrText>
        </w:r>
        <w:r w:rsidR="00C97BE6">
          <w:rPr>
            <w:webHidden/>
          </w:rPr>
        </w:r>
        <w:r w:rsidR="00C97BE6">
          <w:rPr>
            <w:webHidden/>
          </w:rPr>
          <w:fldChar w:fldCharType="separate"/>
        </w:r>
        <w:r w:rsidR="00D0418C">
          <w:rPr>
            <w:webHidden/>
          </w:rPr>
          <w:t>402</w:t>
        </w:r>
        <w:r w:rsidR="00C97BE6">
          <w:rPr>
            <w:webHidden/>
          </w:rPr>
          <w:fldChar w:fldCharType="end"/>
        </w:r>
      </w:hyperlink>
    </w:p>
    <w:p w14:paraId="67A056C1" w14:textId="77777777" w:rsidR="00C97BE6" w:rsidRPr="002D354C" w:rsidRDefault="00590491">
      <w:pPr>
        <w:pStyle w:val="TableofFigures"/>
        <w:rPr>
          <w:rFonts w:ascii="Calibri" w:hAnsi="Calibri"/>
          <w:sz w:val="22"/>
          <w:szCs w:val="22"/>
          <w:lang w:eastAsia="en-NZ"/>
        </w:rPr>
      </w:pPr>
      <w:hyperlink w:anchor="_Toc5269616" w:history="1">
        <w:r w:rsidR="00C97BE6" w:rsidRPr="009B03B5">
          <w:rPr>
            <w:rStyle w:val="Hyperlink"/>
          </w:rPr>
          <w:t>Table 10.1.8</w:t>
        </w:r>
        <w:r w:rsidR="00C97BE6" w:rsidRPr="002D354C">
          <w:rPr>
            <w:rFonts w:ascii="Calibri" w:hAnsi="Calibri"/>
            <w:sz w:val="22"/>
            <w:szCs w:val="22"/>
            <w:lang w:eastAsia="en-NZ"/>
          </w:rPr>
          <w:tab/>
        </w:r>
        <w:r w:rsidR="00C97BE6" w:rsidRPr="009B03B5">
          <w:rPr>
            <w:rStyle w:val="Hyperlink"/>
          </w:rPr>
          <w:t>Comparison of current and previous emissions estimates before and after sheep and deer population model corrections, 1990 to 2017, for total agricultural emissions</w:t>
        </w:r>
        <w:r w:rsidR="00C97BE6">
          <w:rPr>
            <w:webHidden/>
          </w:rPr>
          <w:tab/>
        </w:r>
        <w:r w:rsidR="00C97BE6">
          <w:rPr>
            <w:webHidden/>
          </w:rPr>
          <w:fldChar w:fldCharType="begin"/>
        </w:r>
        <w:r w:rsidR="00C97BE6">
          <w:rPr>
            <w:webHidden/>
          </w:rPr>
          <w:instrText xml:space="preserve"> PAGEREF _Toc5269616 \h </w:instrText>
        </w:r>
        <w:r w:rsidR="00C97BE6">
          <w:rPr>
            <w:webHidden/>
          </w:rPr>
        </w:r>
        <w:r w:rsidR="00C97BE6">
          <w:rPr>
            <w:webHidden/>
          </w:rPr>
          <w:fldChar w:fldCharType="separate"/>
        </w:r>
        <w:r w:rsidR="00D0418C">
          <w:rPr>
            <w:webHidden/>
          </w:rPr>
          <w:t>402</w:t>
        </w:r>
        <w:r w:rsidR="00C97BE6">
          <w:rPr>
            <w:webHidden/>
          </w:rPr>
          <w:fldChar w:fldCharType="end"/>
        </w:r>
      </w:hyperlink>
    </w:p>
    <w:p w14:paraId="0D2D1DCE" w14:textId="77777777" w:rsidR="00C97BE6" w:rsidRPr="002D354C" w:rsidRDefault="00590491">
      <w:pPr>
        <w:pStyle w:val="TableofFigures"/>
        <w:rPr>
          <w:rFonts w:ascii="Calibri" w:hAnsi="Calibri"/>
          <w:sz w:val="22"/>
          <w:szCs w:val="22"/>
          <w:lang w:eastAsia="en-NZ"/>
        </w:rPr>
      </w:pPr>
      <w:hyperlink w:anchor="_Toc5269617" w:history="1">
        <w:r w:rsidR="00C97BE6" w:rsidRPr="009B03B5">
          <w:rPr>
            <w:rStyle w:val="Hyperlink"/>
          </w:rPr>
          <w:t>Table 10.1.9</w:t>
        </w:r>
        <w:r w:rsidR="00C97BE6" w:rsidRPr="002D354C">
          <w:rPr>
            <w:rFonts w:ascii="Calibri" w:hAnsi="Calibri"/>
            <w:sz w:val="22"/>
            <w:szCs w:val="22"/>
            <w:lang w:eastAsia="en-NZ"/>
          </w:rPr>
          <w:tab/>
        </w:r>
        <w:r w:rsidR="00C97BE6" w:rsidRPr="009B03B5">
          <w:rPr>
            <w:rStyle w:val="Hyperlink"/>
          </w:rPr>
          <w:t>Explanations and justifications for recalculations in the LULUCF sector</w:t>
        </w:r>
        <w:r w:rsidR="00C97BE6">
          <w:rPr>
            <w:webHidden/>
          </w:rPr>
          <w:tab/>
        </w:r>
        <w:r w:rsidR="00C97BE6">
          <w:rPr>
            <w:webHidden/>
          </w:rPr>
          <w:fldChar w:fldCharType="begin"/>
        </w:r>
        <w:r w:rsidR="00C97BE6">
          <w:rPr>
            <w:webHidden/>
          </w:rPr>
          <w:instrText xml:space="preserve"> PAGEREF _Toc5269617 \h </w:instrText>
        </w:r>
        <w:r w:rsidR="00C97BE6">
          <w:rPr>
            <w:webHidden/>
          </w:rPr>
        </w:r>
        <w:r w:rsidR="00C97BE6">
          <w:rPr>
            <w:webHidden/>
          </w:rPr>
          <w:fldChar w:fldCharType="separate"/>
        </w:r>
        <w:r w:rsidR="00D0418C">
          <w:rPr>
            <w:webHidden/>
          </w:rPr>
          <w:t>404</w:t>
        </w:r>
        <w:r w:rsidR="00C97BE6">
          <w:rPr>
            <w:webHidden/>
          </w:rPr>
          <w:fldChar w:fldCharType="end"/>
        </w:r>
      </w:hyperlink>
    </w:p>
    <w:p w14:paraId="16DD2CB3" w14:textId="77777777" w:rsidR="00C97BE6" w:rsidRPr="002D354C" w:rsidRDefault="00590491">
      <w:pPr>
        <w:pStyle w:val="TableofFigures"/>
        <w:rPr>
          <w:rFonts w:ascii="Calibri" w:hAnsi="Calibri"/>
          <w:sz w:val="22"/>
          <w:szCs w:val="22"/>
          <w:lang w:eastAsia="en-NZ"/>
        </w:rPr>
      </w:pPr>
      <w:hyperlink w:anchor="_Toc5269618" w:history="1">
        <w:r w:rsidR="00C97BE6" w:rsidRPr="009B03B5">
          <w:rPr>
            <w:rStyle w:val="Hyperlink"/>
          </w:rPr>
          <w:t>Table 10.1.10</w:t>
        </w:r>
        <w:r w:rsidR="00C97BE6" w:rsidRPr="002D354C">
          <w:rPr>
            <w:rFonts w:ascii="Calibri" w:hAnsi="Calibri"/>
            <w:sz w:val="22"/>
            <w:szCs w:val="22"/>
            <w:lang w:eastAsia="en-NZ"/>
          </w:rPr>
          <w:tab/>
        </w:r>
        <w:r w:rsidR="00C97BE6" w:rsidRPr="009B03B5">
          <w:rPr>
            <w:rStyle w:val="Hyperlink"/>
          </w:rPr>
          <w:t>Explanations and justifications for recalculations in the Waste sector</w:t>
        </w:r>
        <w:r w:rsidR="00C97BE6">
          <w:rPr>
            <w:webHidden/>
          </w:rPr>
          <w:tab/>
        </w:r>
        <w:r w:rsidR="00C97BE6">
          <w:rPr>
            <w:webHidden/>
          </w:rPr>
          <w:fldChar w:fldCharType="begin"/>
        </w:r>
        <w:r w:rsidR="00C97BE6">
          <w:rPr>
            <w:webHidden/>
          </w:rPr>
          <w:instrText xml:space="preserve"> PAGEREF _Toc5269618 \h </w:instrText>
        </w:r>
        <w:r w:rsidR="00C97BE6">
          <w:rPr>
            <w:webHidden/>
          </w:rPr>
        </w:r>
        <w:r w:rsidR="00C97BE6">
          <w:rPr>
            <w:webHidden/>
          </w:rPr>
          <w:fldChar w:fldCharType="separate"/>
        </w:r>
        <w:r w:rsidR="00D0418C">
          <w:rPr>
            <w:webHidden/>
          </w:rPr>
          <w:t>405</w:t>
        </w:r>
        <w:r w:rsidR="00C97BE6">
          <w:rPr>
            <w:webHidden/>
          </w:rPr>
          <w:fldChar w:fldCharType="end"/>
        </w:r>
      </w:hyperlink>
    </w:p>
    <w:p w14:paraId="3E087FBB" w14:textId="77777777" w:rsidR="00C97BE6" w:rsidRPr="002D354C" w:rsidRDefault="00590491">
      <w:pPr>
        <w:pStyle w:val="TableofFigures"/>
        <w:rPr>
          <w:rFonts w:ascii="Calibri" w:hAnsi="Calibri"/>
          <w:sz w:val="22"/>
          <w:szCs w:val="22"/>
          <w:lang w:eastAsia="en-NZ"/>
        </w:rPr>
      </w:pPr>
      <w:hyperlink w:anchor="_Toc5269619" w:history="1">
        <w:r w:rsidR="00C97BE6" w:rsidRPr="009B03B5">
          <w:rPr>
            <w:rStyle w:val="Hyperlink"/>
          </w:rPr>
          <w:t>Table 10.1.11</w:t>
        </w:r>
        <w:r w:rsidR="00C97BE6" w:rsidRPr="002D354C">
          <w:rPr>
            <w:rFonts w:ascii="Calibri" w:hAnsi="Calibri"/>
            <w:sz w:val="22"/>
            <w:szCs w:val="22"/>
            <w:lang w:eastAsia="en-NZ"/>
          </w:rPr>
          <w:tab/>
        </w:r>
        <w:r w:rsidR="00C97BE6" w:rsidRPr="009B03B5">
          <w:rPr>
            <w:rStyle w:val="Hyperlink"/>
          </w:rPr>
          <w:t>Explanations and justifications for recalculations of New Zealand’s previous Kyoto Protocol estimates</w:t>
        </w:r>
        <w:r w:rsidR="00C97BE6">
          <w:rPr>
            <w:webHidden/>
          </w:rPr>
          <w:tab/>
        </w:r>
        <w:r w:rsidR="00C97BE6">
          <w:rPr>
            <w:webHidden/>
          </w:rPr>
          <w:fldChar w:fldCharType="begin"/>
        </w:r>
        <w:r w:rsidR="00C97BE6">
          <w:rPr>
            <w:webHidden/>
          </w:rPr>
          <w:instrText xml:space="preserve"> PAGEREF _Toc5269619 \h </w:instrText>
        </w:r>
        <w:r w:rsidR="00C97BE6">
          <w:rPr>
            <w:webHidden/>
          </w:rPr>
        </w:r>
        <w:r w:rsidR="00C97BE6">
          <w:rPr>
            <w:webHidden/>
          </w:rPr>
          <w:fldChar w:fldCharType="separate"/>
        </w:r>
        <w:r w:rsidR="00D0418C">
          <w:rPr>
            <w:webHidden/>
          </w:rPr>
          <w:t>406</w:t>
        </w:r>
        <w:r w:rsidR="00C97BE6">
          <w:rPr>
            <w:webHidden/>
          </w:rPr>
          <w:fldChar w:fldCharType="end"/>
        </w:r>
      </w:hyperlink>
    </w:p>
    <w:p w14:paraId="67190551" w14:textId="77777777" w:rsidR="00C97BE6" w:rsidRPr="002D354C" w:rsidRDefault="00590491">
      <w:pPr>
        <w:pStyle w:val="TableofFigures"/>
        <w:rPr>
          <w:rFonts w:ascii="Calibri" w:hAnsi="Calibri"/>
          <w:sz w:val="22"/>
          <w:szCs w:val="22"/>
          <w:lang w:eastAsia="en-NZ"/>
        </w:rPr>
      </w:pPr>
      <w:hyperlink w:anchor="_Toc5269620" w:history="1">
        <w:r w:rsidR="00C97BE6" w:rsidRPr="009B03B5">
          <w:rPr>
            <w:rStyle w:val="Hyperlink"/>
          </w:rPr>
          <w:t>Table 10.1.12</w:t>
        </w:r>
        <w:r w:rsidR="00C97BE6" w:rsidRPr="002D354C">
          <w:rPr>
            <w:rFonts w:ascii="Calibri" w:hAnsi="Calibri"/>
            <w:sz w:val="22"/>
            <w:szCs w:val="22"/>
            <w:lang w:eastAsia="en-NZ"/>
          </w:rPr>
          <w:tab/>
        </w:r>
        <w:r w:rsidR="00C97BE6" w:rsidRPr="009B03B5">
          <w:rPr>
            <w:rStyle w:val="Hyperlink"/>
          </w:rPr>
          <w:t>Impact of the recalculations of New Zealand’s net emissions under Article 3.3 and Article 3.4 of the Kyoto Protocol in 2016</w:t>
        </w:r>
        <w:r w:rsidR="00C97BE6">
          <w:rPr>
            <w:webHidden/>
          </w:rPr>
          <w:tab/>
        </w:r>
        <w:r w:rsidR="00C97BE6">
          <w:rPr>
            <w:webHidden/>
          </w:rPr>
          <w:fldChar w:fldCharType="begin"/>
        </w:r>
        <w:r w:rsidR="00C97BE6">
          <w:rPr>
            <w:webHidden/>
          </w:rPr>
          <w:instrText xml:space="preserve"> PAGEREF _Toc5269620 \h </w:instrText>
        </w:r>
        <w:r w:rsidR="00C97BE6">
          <w:rPr>
            <w:webHidden/>
          </w:rPr>
        </w:r>
        <w:r w:rsidR="00C97BE6">
          <w:rPr>
            <w:webHidden/>
          </w:rPr>
          <w:fldChar w:fldCharType="separate"/>
        </w:r>
        <w:r w:rsidR="00D0418C">
          <w:rPr>
            <w:webHidden/>
          </w:rPr>
          <w:t>407</w:t>
        </w:r>
        <w:r w:rsidR="00C97BE6">
          <w:rPr>
            <w:webHidden/>
          </w:rPr>
          <w:fldChar w:fldCharType="end"/>
        </w:r>
      </w:hyperlink>
    </w:p>
    <w:p w14:paraId="45EDF334" w14:textId="77777777" w:rsidR="00C97BE6" w:rsidRPr="002D354C" w:rsidRDefault="00590491">
      <w:pPr>
        <w:pStyle w:val="TableofFigures"/>
        <w:rPr>
          <w:rFonts w:ascii="Calibri" w:hAnsi="Calibri"/>
          <w:sz w:val="22"/>
          <w:szCs w:val="22"/>
          <w:lang w:eastAsia="en-NZ"/>
        </w:rPr>
      </w:pPr>
      <w:hyperlink w:anchor="_Toc5269621" w:history="1">
        <w:r w:rsidR="00C97BE6" w:rsidRPr="009B03B5">
          <w:rPr>
            <w:rStyle w:val="Hyperlink"/>
          </w:rPr>
          <w:t>Table 10.1.13</w:t>
        </w:r>
        <w:r w:rsidR="00C97BE6" w:rsidRPr="002D354C">
          <w:rPr>
            <w:rFonts w:ascii="Calibri" w:hAnsi="Calibri"/>
            <w:sz w:val="22"/>
            <w:szCs w:val="22"/>
            <w:lang w:eastAsia="en-NZ"/>
          </w:rPr>
          <w:tab/>
        </w:r>
        <w:r w:rsidR="00C97BE6" w:rsidRPr="009B03B5">
          <w:rPr>
            <w:rStyle w:val="Hyperlink"/>
          </w:rPr>
          <w:t>Recalculations to New Zealand’s 2016 activity data under the Kyoto Protocol</w:t>
        </w:r>
        <w:r w:rsidR="00C97BE6">
          <w:rPr>
            <w:webHidden/>
          </w:rPr>
          <w:tab/>
        </w:r>
        <w:r w:rsidR="00C97BE6">
          <w:rPr>
            <w:webHidden/>
          </w:rPr>
          <w:fldChar w:fldCharType="begin"/>
        </w:r>
        <w:r w:rsidR="00C97BE6">
          <w:rPr>
            <w:webHidden/>
          </w:rPr>
          <w:instrText xml:space="preserve"> PAGEREF _Toc5269621 \h </w:instrText>
        </w:r>
        <w:r w:rsidR="00C97BE6">
          <w:rPr>
            <w:webHidden/>
          </w:rPr>
        </w:r>
        <w:r w:rsidR="00C97BE6">
          <w:rPr>
            <w:webHidden/>
          </w:rPr>
          <w:fldChar w:fldCharType="separate"/>
        </w:r>
        <w:r w:rsidR="00D0418C">
          <w:rPr>
            <w:webHidden/>
          </w:rPr>
          <w:t>407</w:t>
        </w:r>
        <w:r w:rsidR="00C97BE6">
          <w:rPr>
            <w:webHidden/>
          </w:rPr>
          <w:fldChar w:fldCharType="end"/>
        </w:r>
      </w:hyperlink>
    </w:p>
    <w:p w14:paraId="5497F89E" w14:textId="77777777" w:rsidR="00C97BE6" w:rsidRPr="002D354C" w:rsidRDefault="00590491">
      <w:pPr>
        <w:pStyle w:val="TableofFigures"/>
        <w:rPr>
          <w:rFonts w:ascii="Calibri" w:hAnsi="Calibri"/>
          <w:sz w:val="22"/>
          <w:szCs w:val="22"/>
          <w:lang w:eastAsia="en-NZ"/>
        </w:rPr>
      </w:pPr>
      <w:hyperlink w:anchor="_Toc5269622" w:history="1">
        <w:r w:rsidR="00C97BE6" w:rsidRPr="009B03B5">
          <w:rPr>
            <w:rStyle w:val="Hyperlink"/>
          </w:rPr>
          <w:t>Table 10.2.1</w:t>
        </w:r>
        <w:r w:rsidR="00C97BE6" w:rsidRPr="002D354C">
          <w:rPr>
            <w:rFonts w:ascii="Calibri" w:hAnsi="Calibri"/>
            <w:sz w:val="22"/>
            <w:szCs w:val="22"/>
            <w:lang w:eastAsia="en-NZ"/>
          </w:rPr>
          <w:tab/>
        </w:r>
        <w:r w:rsidR="00C97BE6" w:rsidRPr="009B03B5">
          <w:rPr>
            <w:rStyle w:val="Hyperlink"/>
          </w:rPr>
          <w:t>New Zealand’s response to recommendations still relevant as reported in table 3 and table 4 of the 2017 assessment review report for issues raised in earlier reviews</w:t>
        </w:r>
        <w:r w:rsidR="00C97BE6">
          <w:rPr>
            <w:webHidden/>
          </w:rPr>
          <w:tab/>
        </w:r>
        <w:r w:rsidR="00C97BE6">
          <w:rPr>
            <w:webHidden/>
          </w:rPr>
          <w:fldChar w:fldCharType="begin"/>
        </w:r>
        <w:r w:rsidR="00C97BE6">
          <w:rPr>
            <w:webHidden/>
          </w:rPr>
          <w:instrText xml:space="preserve"> PAGEREF _Toc5269622 \h </w:instrText>
        </w:r>
        <w:r w:rsidR="00C97BE6">
          <w:rPr>
            <w:webHidden/>
          </w:rPr>
        </w:r>
        <w:r w:rsidR="00C97BE6">
          <w:rPr>
            <w:webHidden/>
          </w:rPr>
          <w:fldChar w:fldCharType="separate"/>
        </w:r>
        <w:r w:rsidR="00D0418C">
          <w:rPr>
            <w:webHidden/>
          </w:rPr>
          <w:t>408</w:t>
        </w:r>
        <w:r w:rsidR="00C97BE6">
          <w:rPr>
            <w:webHidden/>
          </w:rPr>
          <w:fldChar w:fldCharType="end"/>
        </w:r>
      </w:hyperlink>
    </w:p>
    <w:p w14:paraId="6529A05C" w14:textId="77777777" w:rsidR="00C97BE6" w:rsidRPr="002D354C" w:rsidRDefault="00590491">
      <w:pPr>
        <w:pStyle w:val="TableofFigures"/>
        <w:rPr>
          <w:rFonts w:ascii="Calibri" w:hAnsi="Calibri"/>
          <w:sz w:val="22"/>
          <w:szCs w:val="22"/>
          <w:lang w:eastAsia="en-NZ"/>
        </w:rPr>
      </w:pPr>
      <w:hyperlink w:anchor="_Toc5269623" w:history="1">
        <w:r w:rsidR="00C97BE6" w:rsidRPr="009B03B5">
          <w:rPr>
            <w:rStyle w:val="Hyperlink"/>
          </w:rPr>
          <w:t>Table 10.2.2</w:t>
        </w:r>
        <w:r w:rsidR="00C97BE6" w:rsidRPr="002D354C">
          <w:rPr>
            <w:rFonts w:ascii="Calibri" w:hAnsi="Calibri"/>
            <w:sz w:val="22"/>
            <w:szCs w:val="22"/>
            <w:lang w:eastAsia="en-NZ"/>
          </w:rPr>
          <w:tab/>
        </w:r>
        <w:r w:rsidR="00C97BE6" w:rsidRPr="009B03B5">
          <w:rPr>
            <w:rStyle w:val="Hyperlink"/>
          </w:rPr>
          <w:t>New Zealand’s response to recommendations as reported in table 5 of the 2017 assessment review report from the review of New Zealand’s 2017 inventory submission</w:t>
        </w:r>
        <w:r w:rsidR="00C97BE6">
          <w:rPr>
            <w:webHidden/>
          </w:rPr>
          <w:tab/>
        </w:r>
        <w:r w:rsidR="00C97BE6">
          <w:rPr>
            <w:webHidden/>
          </w:rPr>
          <w:fldChar w:fldCharType="begin"/>
        </w:r>
        <w:r w:rsidR="00C97BE6">
          <w:rPr>
            <w:webHidden/>
          </w:rPr>
          <w:instrText xml:space="preserve"> PAGEREF _Toc5269623 \h </w:instrText>
        </w:r>
        <w:r w:rsidR="00C97BE6">
          <w:rPr>
            <w:webHidden/>
          </w:rPr>
        </w:r>
        <w:r w:rsidR="00C97BE6">
          <w:rPr>
            <w:webHidden/>
          </w:rPr>
          <w:fldChar w:fldCharType="separate"/>
        </w:r>
        <w:r w:rsidR="00D0418C">
          <w:rPr>
            <w:webHidden/>
          </w:rPr>
          <w:t>413</w:t>
        </w:r>
        <w:r w:rsidR="00C97BE6">
          <w:rPr>
            <w:webHidden/>
          </w:rPr>
          <w:fldChar w:fldCharType="end"/>
        </w:r>
      </w:hyperlink>
    </w:p>
    <w:p w14:paraId="08F9D6E5" w14:textId="77777777" w:rsidR="00C97BE6" w:rsidRPr="002D354C" w:rsidRDefault="00590491">
      <w:pPr>
        <w:pStyle w:val="TableofFigures"/>
        <w:rPr>
          <w:rFonts w:ascii="Calibri" w:hAnsi="Calibri"/>
          <w:sz w:val="22"/>
          <w:szCs w:val="22"/>
          <w:lang w:eastAsia="en-NZ"/>
        </w:rPr>
      </w:pPr>
      <w:hyperlink w:anchor="_Toc5269624" w:history="1">
        <w:r w:rsidR="00C97BE6" w:rsidRPr="009B03B5">
          <w:rPr>
            <w:rStyle w:val="Hyperlink"/>
          </w:rPr>
          <w:t>Table 11.1.1</w:t>
        </w:r>
        <w:r w:rsidR="00C97BE6" w:rsidRPr="002D354C">
          <w:rPr>
            <w:rFonts w:ascii="Calibri" w:hAnsi="Calibri"/>
            <w:sz w:val="22"/>
            <w:szCs w:val="22"/>
            <w:lang w:eastAsia="en-NZ"/>
          </w:rPr>
          <w:tab/>
        </w:r>
        <w:r w:rsidR="00C97BE6" w:rsidRPr="009B03B5">
          <w:rPr>
            <w:rStyle w:val="Hyperlink"/>
          </w:rPr>
          <w:t>New Zealand’s emissions under Article 3.3 and Article 3.4 of the Kyoto Protocol during the second reporting period</w:t>
        </w:r>
        <w:r w:rsidR="00C97BE6">
          <w:rPr>
            <w:webHidden/>
          </w:rPr>
          <w:tab/>
        </w:r>
        <w:r w:rsidR="00C97BE6">
          <w:rPr>
            <w:webHidden/>
          </w:rPr>
          <w:fldChar w:fldCharType="begin"/>
        </w:r>
        <w:r w:rsidR="00C97BE6">
          <w:rPr>
            <w:webHidden/>
          </w:rPr>
          <w:instrText xml:space="preserve"> PAGEREF _Toc5269624 \h </w:instrText>
        </w:r>
        <w:r w:rsidR="00C97BE6">
          <w:rPr>
            <w:webHidden/>
          </w:rPr>
        </w:r>
        <w:r w:rsidR="00C97BE6">
          <w:rPr>
            <w:webHidden/>
          </w:rPr>
          <w:fldChar w:fldCharType="separate"/>
        </w:r>
        <w:r w:rsidR="00D0418C">
          <w:rPr>
            <w:webHidden/>
          </w:rPr>
          <w:t>419</w:t>
        </w:r>
        <w:r w:rsidR="00C97BE6">
          <w:rPr>
            <w:webHidden/>
          </w:rPr>
          <w:fldChar w:fldCharType="end"/>
        </w:r>
      </w:hyperlink>
    </w:p>
    <w:p w14:paraId="73B5D120" w14:textId="77777777" w:rsidR="00C97BE6" w:rsidRPr="002D354C" w:rsidRDefault="00590491">
      <w:pPr>
        <w:pStyle w:val="TableofFigures"/>
        <w:rPr>
          <w:rFonts w:ascii="Calibri" w:hAnsi="Calibri"/>
          <w:sz w:val="22"/>
          <w:szCs w:val="22"/>
          <w:lang w:eastAsia="en-NZ"/>
        </w:rPr>
      </w:pPr>
      <w:hyperlink w:anchor="_Toc5269625" w:history="1">
        <w:r w:rsidR="00C97BE6" w:rsidRPr="009B03B5">
          <w:rPr>
            <w:rStyle w:val="Hyperlink"/>
          </w:rPr>
          <w:t>Table 11.1.2</w:t>
        </w:r>
        <w:r w:rsidR="00C97BE6" w:rsidRPr="002D354C">
          <w:rPr>
            <w:rFonts w:ascii="Calibri" w:hAnsi="Calibri"/>
            <w:sz w:val="22"/>
            <w:szCs w:val="22"/>
            <w:lang w:eastAsia="en-NZ"/>
          </w:rPr>
          <w:tab/>
        </w:r>
        <w:r w:rsidR="00C97BE6" w:rsidRPr="009B03B5">
          <w:rPr>
            <w:rStyle w:val="Hyperlink"/>
          </w:rPr>
          <w:t>New Zealand’s emissions for the second commitment period of the Kyoto Protocol by greenhouse gas source category</w:t>
        </w:r>
        <w:r w:rsidR="00C97BE6">
          <w:rPr>
            <w:webHidden/>
          </w:rPr>
          <w:tab/>
        </w:r>
        <w:r w:rsidR="00C97BE6">
          <w:rPr>
            <w:webHidden/>
          </w:rPr>
          <w:fldChar w:fldCharType="begin"/>
        </w:r>
        <w:r w:rsidR="00C97BE6">
          <w:rPr>
            <w:webHidden/>
          </w:rPr>
          <w:instrText xml:space="preserve"> PAGEREF _Toc5269625 \h </w:instrText>
        </w:r>
        <w:r w:rsidR="00C97BE6">
          <w:rPr>
            <w:webHidden/>
          </w:rPr>
        </w:r>
        <w:r w:rsidR="00C97BE6">
          <w:rPr>
            <w:webHidden/>
          </w:rPr>
          <w:fldChar w:fldCharType="separate"/>
        </w:r>
        <w:r w:rsidR="00D0418C">
          <w:rPr>
            <w:webHidden/>
          </w:rPr>
          <w:t>420</w:t>
        </w:r>
        <w:r w:rsidR="00C97BE6">
          <w:rPr>
            <w:webHidden/>
          </w:rPr>
          <w:fldChar w:fldCharType="end"/>
        </w:r>
      </w:hyperlink>
    </w:p>
    <w:p w14:paraId="2124B2D6" w14:textId="77777777" w:rsidR="00C97BE6" w:rsidRPr="002D354C" w:rsidRDefault="00590491">
      <w:pPr>
        <w:pStyle w:val="TableofFigures"/>
        <w:rPr>
          <w:rFonts w:ascii="Calibri" w:hAnsi="Calibri"/>
          <w:sz w:val="22"/>
          <w:szCs w:val="22"/>
          <w:lang w:eastAsia="en-NZ"/>
        </w:rPr>
      </w:pPr>
      <w:hyperlink w:anchor="_Toc5269626" w:history="1">
        <w:r w:rsidR="00C97BE6" w:rsidRPr="009B03B5">
          <w:rPr>
            <w:rStyle w:val="Hyperlink"/>
          </w:rPr>
          <w:t>Table 11.1.3</w:t>
        </w:r>
        <w:r w:rsidR="00C97BE6" w:rsidRPr="002D354C">
          <w:rPr>
            <w:rFonts w:ascii="Calibri" w:hAnsi="Calibri"/>
            <w:sz w:val="22"/>
            <w:szCs w:val="22"/>
            <w:lang w:eastAsia="en-NZ"/>
          </w:rPr>
          <w:tab/>
        </w:r>
        <w:r w:rsidR="00C97BE6" w:rsidRPr="009B03B5">
          <w:rPr>
            <w:rStyle w:val="Hyperlink"/>
          </w:rPr>
          <w:t>Parameters defining Forest land in New Zealand</w:t>
        </w:r>
        <w:r w:rsidR="00C97BE6">
          <w:rPr>
            <w:webHidden/>
          </w:rPr>
          <w:tab/>
        </w:r>
        <w:r w:rsidR="00C97BE6">
          <w:rPr>
            <w:webHidden/>
          </w:rPr>
          <w:fldChar w:fldCharType="begin"/>
        </w:r>
        <w:r w:rsidR="00C97BE6">
          <w:rPr>
            <w:webHidden/>
          </w:rPr>
          <w:instrText xml:space="preserve"> PAGEREF _Toc5269626 \h </w:instrText>
        </w:r>
        <w:r w:rsidR="00C97BE6">
          <w:rPr>
            <w:webHidden/>
          </w:rPr>
        </w:r>
        <w:r w:rsidR="00C97BE6">
          <w:rPr>
            <w:webHidden/>
          </w:rPr>
          <w:fldChar w:fldCharType="separate"/>
        </w:r>
        <w:r w:rsidR="00D0418C">
          <w:rPr>
            <w:webHidden/>
          </w:rPr>
          <w:t>421</w:t>
        </w:r>
        <w:r w:rsidR="00C97BE6">
          <w:rPr>
            <w:webHidden/>
          </w:rPr>
          <w:fldChar w:fldCharType="end"/>
        </w:r>
      </w:hyperlink>
    </w:p>
    <w:p w14:paraId="17ED791C" w14:textId="77777777" w:rsidR="00C97BE6" w:rsidRPr="002D354C" w:rsidRDefault="00590491">
      <w:pPr>
        <w:pStyle w:val="TableofFigures"/>
        <w:rPr>
          <w:rFonts w:ascii="Calibri" w:hAnsi="Calibri"/>
          <w:sz w:val="22"/>
          <w:szCs w:val="22"/>
          <w:lang w:eastAsia="en-NZ"/>
        </w:rPr>
      </w:pPr>
      <w:hyperlink w:anchor="_Toc5269627" w:history="1">
        <w:r w:rsidR="00C97BE6" w:rsidRPr="009B03B5">
          <w:rPr>
            <w:rStyle w:val="Hyperlink"/>
          </w:rPr>
          <w:t>Table 11.2.1</w:t>
        </w:r>
        <w:r w:rsidR="00C97BE6" w:rsidRPr="002D354C">
          <w:rPr>
            <w:rFonts w:ascii="Calibri" w:hAnsi="Calibri"/>
            <w:sz w:val="22"/>
            <w:szCs w:val="22"/>
            <w:lang w:eastAsia="en-NZ"/>
          </w:rPr>
          <w:tab/>
        </w:r>
        <w:r w:rsidR="00C97BE6" w:rsidRPr="009B03B5">
          <w:rPr>
            <w:rStyle w:val="Hyperlink"/>
          </w:rPr>
          <w:t>Relationship between mapped land-use changes and activities reported under Article 3.3 and Article 3.4</w:t>
        </w:r>
        <w:r w:rsidR="00C97BE6">
          <w:rPr>
            <w:webHidden/>
          </w:rPr>
          <w:tab/>
        </w:r>
        <w:r w:rsidR="00C97BE6">
          <w:rPr>
            <w:webHidden/>
          </w:rPr>
          <w:fldChar w:fldCharType="begin"/>
        </w:r>
        <w:r w:rsidR="00C97BE6">
          <w:rPr>
            <w:webHidden/>
          </w:rPr>
          <w:instrText xml:space="preserve"> PAGEREF _Toc5269627 \h </w:instrText>
        </w:r>
        <w:r w:rsidR="00C97BE6">
          <w:rPr>
            <w:webHidden/>
          </w:rPr>
        </w:r>
        <w:r w:rsidR="00C97BE6">
          <w:rPr>
            <w:webHidden/>
          </w:rPr>
          <w:fldChar w:fldCharType="separate"/>
        </w:r>
        <w:r w:rsidR="00D0418C">
          <w:rPr>
            <w:webHidden/>
          </w:rPr>
          <w:t>423</w:t>
        </w:r>
        <w:r w:rsidR="00C97BE6">
          <w:rPr>
            <w:webHidden/>
          </w:rPr>
          <w:fldChar w:fldCharType="end"/>
        </w:r>
      </w:hyperlink>
    </w:p>
    <w:p w14:paraId="0C4BF7F3" w14:textId="77777777" w:rsidR="00C97BE6" w:rsidRPr="002D354C" w:rsidRDefault="00590491">
      <w:pPr>
        <w:pStyle w:val="TableofFigures"/>
        <w:rPr>
          <w:rFonts w:ascii="Calibri" w:hAnsi="Calibri"/>
          <w:sz w:val="22"/>
          <w:szCs w:val="22"/>
          <w:lang w:eastAsia="en-NZ"/>
        </w:rPr>
      </w:pPr>
      <w:hyperlink w:anchor="_Toc5269628" w:history="1">
        <w:r w:rsidR="00C97BE6" w:rsidRPr="009B03B5">
          <w:rPr>
            <w:rStyle w:val="Hyperlink"/>
          </w:rPr>
          <w:t>Table 11.3.1</w:t>
        </w:r>
        <w:r w:rsidR="00C97BE6" w:rsidRPr="002D354C">
          <w:rPr>
            <w:rFonts w:ascii="Calibri" w:hAnsi="Calibri"/>
            <w:sz w:val="22"/>
            <w:szCs w:val="22"/>
            <w:lang w:eastAsia="en-NZ"/>
          </w:rPr>
          <w:tab/>
        </w:r>
        <w:r w:rsidR="00C97BE6" w:rsidRPr="009B03B5">
          <w:rPr>
            <w:rStyle w:val="Hyperlink"/>
          </w:rPr>
          <w:t>New Zealand’s estimated annual area under Afforestation and reforestation</w:t>
        </w:r>
        <w:r w:rsidR="00C97BE6" w:rsidRPr="009B03B5">
          <w:rPr>
            <w:rStyle w:val="Hyperlink"/>
            <w:vertAlign w:val="subscript"/>
          </w:rPr>
          <w:t xml:space="preserve"> </w:t>
        </w:r>
        <w:r w:rsidR="00C97BE6" w:rsidRPr="009B03B5">
          <w:rPr>
            <w:rStyle w:val="Hyperlink"/>
          </w:rPr>
          <w:t>from 1990 to 2017</w:t>
        </w:r>
        <w:r w:rsidR="00C97BE6">
          <w:rPr>
            <w:webHidden/>
          </w:rPr>
          <w:tab/>
        </w:r>
        <w:r w:rsidR="00C97BE6">
          <w:rPr>
            <w:webHidden/>
          </w:rPr>
          <w:fldChar w:fldCharType="begin"/>
        </w:r>
        <w:r w:rsidR="00C97BE6">
          <w:rPr>
            <w:webHidden/>
          </w:rPr>
          <w:instrText xml:space="preserve"> PAGEREF _Toc5269628 \h </w:instrText>
        </w:r>
        <w:r w:rsidR="00C97BE6">
          <w:rPr>
            <w:webHidden/>
          </w:rPr>
        </w:r>
        <w:r w:rsidR="00C97BE6">
          <w:rPr>
            <w:webHidden/>
          </w:rPr>
          <w:fldChar w:fldCharType="separate"/>
        </w:r>
        <w:r w:rsidR="00D0418C">
          <w:rPr>
            <w:webHidden/>
          </w:rPr>
          <w:t>425</w:t>
        </w:r>
        <w:r w:rsidR="00C97BE6">
          <w:rPr>
            <w:webHidden/>
          </w:rPr>
          <w:fldChar w:fldCharType="end"/>
        </w:r>
      </w:hyperlink>
    </w:p>
    <w:p w14:paraId="5973D169" w14:textId="77777777" w:rsidR="00C97BE6" w:rsidRPr="002D354C" w:rsidRDefault="00590491">
      <w:pPr>
        <w:pStyle w:val="TableofFigures"/>
        <w:rPr>
          <w:rFonts w:ascii="Calibri" w:hAnsi="Calibri"/>
          <w:sz w:val="22"/>
          <w:szCs w:val="22"/>
          <w:lang w:eastAsia="en-NZ"/>
        </w:rPr>
      </w:pPr>
      <w:hyperlink w:anchor="_Toc5269629" w:history="1">
        <w:r w:rsidR="00C97BE6" w:rsidRPr="009B03B5">
          <w:rPr>
            <w:rStyle w:val="Hyperlink"/>
          </w:rPr>
          <w:t>Table 11.3.2</w:t>
        </w:r>
        <w:r w:rsidR="00C97BE6" w:rsidRPr="002D354C">
          <w:rPr>
            <w:rFonts w:ascii="Calibri" w:hAnsi="Calibri"/>
            <w:sz w:val="22"/>
            <w:szCs w:val="22"/>
            <w:lang w:eastAsia="en-NZ"/>
          </w:rPr>
          <w:tab/>
        </w:r>
        <w:r w:rsidR="00C97BE6" w:rsidRPr="009B03B5">
          <w:rPr>
            <w:rStyle w:val="Hyperlink"/>
          </w:rPr>
          <w:t>New Zealand’s estimated annual area under Afforestation and reforestation</w:t>
        </w:r>
        <w:r w:rsidR="00C97BE6" w:rsidRPr="009B03B5">
          <w:rPr>
            <w:rStyle w:val="Hyperlink"/>
            <w:vertAlign w:val="subscript"/>
          </w:rPr>
          <w:t xml:space="preserve"> </w:t>
        </w:r>
        <w:r w:rsidR="00C97BE6" w:rsidRPr="009B03B5">
          <w:rPr>
            <w:rStyle w:val="Hyperlink"/>
          </w:rPr>
          <w:t>from 2013 to 2017</w:t>
        </w:r>
        <w:r w:rsidR="00C97BE6">
          <w:rPr>
            <w:webHidden/>
          </w:rPr>
          <w:tab/>
        </w:r>
        <w:r w:rsidR="00C97BE6">
          <w:rPr>
            <w:webHidden/>
          </w:rPr>
          <w:fldChar w:fldCharType="begin"/>
        </w:r>
        <w:r w:rsidR="00C97BE6">
          <w:rPr>
            <w:webHidden/>
          </w:rPr>
          <w:instrText xml:space="preserve"> PAGEREF _Toc5269629 \h </w:instrText>
        </w:r>
        <w:r w:rsidR="00C97BE6">
          <w:rPr>
            <w:webHidden/>
          </w:rPr>
        </w:r>
        <w:r w:rsidR="00C97BE6">
          <w:rPr>
            <w:webHidden/>
          </w:rPr>
          <w:fldChar w:fldCharType="separate"/>
        </w:r>
        <w:r w:rsidR="00D0418C">
          <w:rPr>
            <w:webHidden/>
          </w:rPr>
          <w:t>426</w:t>
        </w:r>
        <w:r w:rsidR="00C97BE6">
          <w:rPr>
            <w:webHidden/>
          </w:rPr>
          <w:fldChar w:fldCharType="end"/>
        </w:r>
      </w:hyperlink>
    </w:p>
    <w:p w14:paraId="4B358275" w14:textId="77777777" w:rsidR="00C97BE6" w:rsidRPr="002D354C" w:rsidRDefault="00590491">
      <w:pPr>
        <w:pStyle w:val="TableofFigures"/>
        <w:rPr>
          <w:rFonts w:ascii="Calibri" w:hAnsi="Calibri"/>
          <w:sz w:val="22"/>
          <w:szCs w:val="22"/>
          <w:lang w:eastAsia="en-NZ"/>
        </w:rPr>
      </w:pPr>
      <w:hyperlink w:anchor="_Toc5269630" w:history="1">
        <w:r w:rsidR="00C97BE6" w:rsidRPr="009B03B5">
          <w:rPr>
            <w:rStyle w:val="Hyperlink"/>
          </w:rPr>
          <w:t>Table 11.3.3</w:t>
        </w:r>
        <w:r w:rsidR="00C97BE6" w:rsidRPr="002D354C">
          <w:rPr>
            <w:rFonts w:ascii="Calibri" w:hAnsi="Calibri"/>
            <w:sz w:val="22"/>
            <w:szCs w:val="22"/>
            <w:lang w:eastAsia="en-NZ"/>
          </w:rPr>
          <w:tab/>
        </w:r>
        <w:r w:rsidR="00C97BE6" w:rsidRPr="009B03B5">
          <w:rPr>
            <w:rStyle w:val="Hyperlink"/>
          </w:rPr>
          <w:t>Area of New Zealand subject to deforestation</w:t>
        </w:r>
        <w:r w:rsidR="00C97BE6">
          <w:rPr>
            <w:webHidden/>
          </w:rPr>
          <w:tab/>
        </w:r>
        <w:r w:rsidR="00C97BE6">
          <w:rPr>
            <w:webHidden/>
          </w:rPr>
          <w:fldChar w:fldCharType="begin"/>
        </w:r>
        <w:r w:rsidR="00C97BE6">
          <w:rPr>
            <w:webHidden/>
          </w:rPr>
          <w:instrText xml:space="preserve"> PAGEREF _Toc5269630 \h </w:instrText>
        </w:r>
        <w:r w:rsidR="00C97BE6">
          <w:rPr>
            <w:webHidden/>
          </w:rPr>
        </w:r>
        <w:r w:rsidR="00C97BE6">
          <w:rPr>
            <w:webHidden/>
          </w:rPr>
          <w:fldChar w:fldCharType="separate"/>
        </w:r>
        <w:r w:rsidR="00D0418C">
          <w:rPr>
            <w:webHidden/>
          </w:rPr>
          <w:t>427</w:t>
        </w:r>
        <w:r w:rsidR="00C97BE6">
          <w:rPr>
            <w:webHidden/>
          </w:rPr>
          <w:fldChar w:fldCharType="end"/>
        </w:r>
      </w:hyperlink>
    </w:p>
    <w:p w14:paraId="5EDAB01F" w14:textId="77777777" w:rsidR="00C97BE6" w:rsidRPr="002D354C" w:rsidRDefault="00590491">
      <w:pPr>
        <w:pStyle w:val="TableofFigures"/>
        <w:rPr>
          <w:rFonts w:ascii="Calibri" w:hAnsi="Calibri"/>
          <w:sz w:val="22"/>
          <w:szCs w:val="22"/>
          <w:lang w:eastAsia="en-NZ"/>
        </w:rPr>
      </w:pPr>
      <w:hyperlink w:anchor="_Toc5269631" w:history="1">
        <w:r w:rsidR="00C97BE6" w:rsidRPr="009B03B5">
          <w:rPr>
            <w:rStyle w:val="Hyperlink"/>
          </w:rPr>
          <w:t>Table 11.3.4</w:t>
        </w:r>
        <w:r w:rsidR="00C97BE6" w:rsidRPr="002D354C">
          <w:rPr>
            <w:rFonts w:ascii="Calibri" w:hAnsi="Calibri"/>
            <w:sz w:val="22"/>
            <w:szCs w:val="22"/>
            <w:lang w:eastAsia="en-NZ"/>
          </w:rPr>
          <w:tab/>
        </w:r>
        <w:r w:rsidR="00C97BE6" w:rsidRPr="009B03B5">
          <w:rPr>
            <w:rStyle w:val="Hyperlink"/>
          </w:rPr>
          <w:t>Carbon equivalent forests (2013–17)</w:t>
        </w:r>
        <w:r w:rsidR="00C97BE6">
          <w:rPr>
            <w:webHidden/>
          </w:rPr>
          <w:tab/>
        </w:r>
        <w:r w:rsidR="00C97BE6">
          <w:rPr>
            <w:webHidden/>
          </w:rPr>
          <w:fldChar w:fldCharType="begin"/>
        </w:r>
        <w:r w:rsidR="00C97BE6">
          <w:rPr>
            <w:webHidden/>
          </w:rPr>
          <w:instrText xml:space="preserve"> PAGEREF _Toc5269631 \h </w:instrText>
        </w:r>
        <w:r w:rsidR="00C97BE6">
          <w:rPr>
            <w:webHidden/>
          </w:rPr>
        </w:r>
        <w:r w:rsidR="00C97BE6">
          <w:rPr>
            <w:webHidden/>
          </w:rPr>
          <w:fldChar w:fldCharType="separate"/>
        </w:r>
        <w:r w:rsidR="00D0418C">
          <w:rPr>
            <w:webHidden/>
          </w:rPr>
          <w:t>430</w:t>
        </w:r>
        <w:r w:rsidR="00C97BE6">
          <w:rPr>
            <w:webHidden/>
          </w:rPr>
          <w:fldChar w:fldCharType="end"/>
        </w:r>
      </w:hyperlink>
    </w:p>
    <w:p w14:paraId="06A38B81" w14:textId="77777777" w:rsidR="00C97BE6" w:rsidRPr="002D354C" w:rsidRDefault="00590491">
      <w:pPr>
        <w:pStyle w:val="TableofFigures"/>
        <w:rPr>
          <w:rFonts w:ascii="Calibri" w:hAnsi="Calibri"/>
          <w:sz w:val="22"/>
          <w:szCs w:val="22"/>
          <w:lang w:eastAsia="en-NZ"/>
        </w:rPr>
      </w:pPr>
      <w:hyperlink w:anchor="_Toc5269632" w:history="1">
        <w:r w:rsidR="00C97BE6" w:rsidRPr="009B03B5">
          <w:rPr>
            <w:rStyle w:val="Hyperlink"/>
          </w:rPr>
          <w:t xml:space="preserve">Table 11.4.1 </w:t>
        </w:r>
        <w:r w:rsidR="00C97BE6" w:rsidRPr="002D354C">
          <w:rPr>
            <w:rFonts w:ascii="Calibri" w:hAnsi="Calibri"/>
            <w:sz w:val="22"/>
            <w:szCs w:val="22"/>
            <w:lang w:eastAsia="en-NZ"/>
          </w:rPr>
          <w:tab/>
        </w:r>
        <w:r w:rsidR="00C97BE6" w:rsidRPr="009B03B5">
          <w:rPr>
            <w:rStyle w:val="Hyperlink"/>
          </w:rPr>
          <w:t>Uncertainty in New Zealand’s estimates for Afforestation and reforestation, Deforestation and Forest management in 2017</w:t>
        </w:r>
        <w:r w:rsidR="00C97BE6">
          <w:rPr>
            <w:webHidden/>
          </w:rPr>
          <w:tab/>
        </w:r>
        <w:r w:rsidR="00C97BE6">
          <w:rPr>
            <w:webHidden/>
          </w:rPr>
          <w:fldChar w:fldCharType="begin"/>
        </w:r>
        <w:r w:rsidR="00C97BE6">
          <w:rPr>
            <w:webHidden/>
          </w:rPr>
          <w:instrText xml:space="preserve"> PAGEREF _Toc5269632 \h </w:instrText>
        </w:r>
        <w:r w:rsidR="00C97BE6">
          <w:rPr>
            <w:webHidden/>
          </w:rPr>
        </w:r>
        <w:r w:rsidR="00C97BE6">
          <w:rPr>
            <w:webHidden/>
          </w:rPr>
          <w:fldChar w:fldCharType="separate"/>
        </w:r>
        <w:r w:rsidR="00D0418C">
          <w:rPr>
            <w:webHidden/>
          </w:rPr>
          <w:t>434</w:t>
        </w:r>
        <w:r w:rsidR="00C97BE6">
          <w:rPr>
            <w:webHidden/>
          </w:rPr>
          <w:fldChar w:fldCharType="end"/>
        </w:r>
      </w:hyperlink>
    </w:p>
    <w:p w14:paraId="4B2B791A" w14:textId="77777777" w:rsidR="00C97BE6" w:rsidRPr="002D354C" w:rsidRDefault="00590491">
      <w:pPr>
        <w:pStyle w:val="TableofFigures"/>
        <w:rPr>
          <w:rFonts w:ascii="Calibri" w:hAnsi="Calibri"/>
          <w:sz w:val="22"/>
          <w:szCs w:val="22"/>
          <w:lang w:eastAsia="en-NZ"/>
        </w:rPr>
      </w:pPr>
      <w:hyperlink w:anchor="_Toc5269633" w:history="1">
        <w:r w:rsidR="00C97BE6" w:rsidRPr="009B03B5">
          <w:rPr>
            <w:rStyle w:val="Hyperlink"/>
          </w:rPr>
          <w:t xml:space="preserve">Table 11.4.2 </w:t>
        </w:r>
        <w:r w:rsidR="00C97BE6" w:rsidRPr="002D354C">
          <w:rPr>
            <w:rFonts w:ascii="Calibri" w:hAnsi="Calibri"/>
            <w:sz w:val="22"/>
            <w:szCs w:val="22"/>
            <w:lang w:eastAsia="en-NZ"/>
          </w:rPr>
          <w:tab/>
        </w:r>
        <w:r w:rsidR="00C97BE6" w:rsidRPr="009B03B5">
          <w:rPr>
            <w:rStyle w:val="Hyperlink"/>
          </w:rPr>
          <w:t>Total uncertainty in New Zealand’s estimates for Afforestation and reforestation, Deforestation and Forest management in 2017</w:t>
        </w:r>
        <w:r w:rsidR="00C97BE6">
          <w:rPr>
            <w:webHidden/>
          </w:rPr>
          <w:tab/>
        </w:r>
        <w:r w:rsidR="00C97BE6">
          <w:rPr>
            <w:webHidden/>
          </w:rPr>
          <w:fldChar w:fldCharType="begin"/>
        </w:r>
        <w:r w:rsidR="00C97BE6">
          <w:rPr>
            <w:webHidden/>
          </w:rPr>
          <w:instrText xml:space="preserve"> PAGEREF _Toc5269633 \h </w:instrText>
        </w:r>
        <w:r w:rsidR="00C97BE6">
          <w:rPr>
            <w:webHidden/>
          </w:rPr>
        </w:r>
        <w:r w:rsidR="00C97BE6">
          <w:rPr>
            <w:webHidden/>
          </w:rPr>
          <w:fldChar w:fldCharType="separate"/>
        </w:r>
        <w:r w:rsidR="00D0418C">
          <w:rPr>
            <w:webHidden/>
          </w:rPr>
          <w:t>435</w:t>
        </w:r>
        <w:r w:rsidR="00C97BE6">
          <w:rPr>
            <w:webHidden/>
          </w:rPr>
          <w:fldChar w:fldCharType="end"/>
        </w:r>
      </w:hyperlink>
    </w:p>
    <w:p w14:paraId="5DD1BED9" w14:textId="77777777" w:rsidR="00C97BE6" w:rsidRPr="002D354C" w:rsidRDefault="00590491">
      <w:pPr>
        <w:pStyle w:val="TableofFigures"/>
        <w:rPr>
          <w:rFonts w:ascii="Calibri" w:hAnsi="Calibri"/>
          <w:sz w:val="22"/>
          <w:szCs w:val="22"/>
          <w:lang w:eastAsia="en-NZ"/>
        </w:rPr>
      </w:pPr>
      <w:hyperlink w:anchor="_Toc5269634" w:history="1">
        <w:r w:rsidR="00C97BE6" w:rsidRPr="009B03B5">
          <w:rPr>
            <w:rStyle w:val="Hyperlink"/>
          </w:rPr>
          <w:t>Table 11.4.3</w:t>
        </w:r>
        <w:r w:rsidR="00C97BE6" w:rsidRPr="002D354C">
          <w:rPr>
            <w:rFonts w:ascii="Calibri" w:hAnsi="Calibri"/>
            <w:sz w:val="22"/>
            <w:szCs w:val="22"/>
            <w:lang w:eastAsia="en-NZ"/>
          </w:rPr>
          <w:tab/>
        </w:r>
        <w:r w:rsidR="00C97BE6" w:rsidRPr="009B03B5">
          <w:rPr>
            <w:rStyle w:val="Hyperlink"/>
          </w:rPr>
          <w:t>Recalculations of New Zealand’s 2016 activity data under Article 3.3 and Article 3.4 of the Kyoto Protocol</w:t>
        </w:r>
        <w:r w:rsidR="00C97BE6">
          <w:rPr>
            <w:webHidden/>
          </w:rPr>
          <w:tab/>
        </w:r>
        <w:r w:rsidR="00C97BE6">
          <w:rPr>
            <w:webHidden/>
          </w:rPr>
          <w:fldChar w:fldCharType="begin"/>
        </w:r>
        <w:r w:rsidR="00C97BE6">
          <w:rPr>
            <w:webHidden/>
          </w:rPr>
          <w:instrText xml:space="preserve"> PAGEREF _Toc5269634 \h </w:instrText>
        </w:r>
        <w:r w:rsidR="00C97BE6">
          <w:rPr>
            <w:webHidden/>
          </w:rPr>
        </w:r>
        <w:r w:rsidR="00C97BE6">
          <w:rPr>
            <w:webHidden/>
          </w:rPr>
          <w:fldChar w:fldCharType="separate"/>
        </w:r>
        <w:r w:rsidR="00D0418C">
          <w:rPr>
            <w:webHidden/>
          </w:rPr>
          <w:t>436</w:t>
        </w:r>
        <w:r w:rsidR="00C97BE6">
          <w:rPr>
            <w:webHidden/>
          </w:rPr>
          <w:fldChar w:fldCharType="end"/>
        </w:r>
      </w:hyperlink>
    </w:p>
    <w:p w14:paraId="529373F5" w14:textId="77777777" w:rsidR="00C97BE6" w:rsidRPr="002D354C" w:rsidRDefault="00590491">
      <w:pPr>
        <w:pStyle w:val="TableofFigures"/>
        <w:rPr>
          <w:rFonts w:ascii="Calibri" w:hAnsi="Calibri"/>
          <w:sz w:val="22"/>
          <w:szCs w:val="22"/>
          <w:lang w:eastAsia="en-NZ"/>
        </w:rPr>
      </w:pPr>
      <w:hyperlink w:anchor="_Toc5269635" w:history="1">
        <w:r w:rsidR="00C97BE6" w:rsidRPr="009B03B5">
          <w:rPr>
            <w:rStyle w:val="Hyperlink"/>
          </w:rPr>
          <w:t>Table 11.4.4</w:t>
        </w:r>
        <w:r w:rsidR="00C97BE6" w:rsidRPr="002D354C">
          <w:rPr>
            <w:rFonts w:ascii="Calibri" w:hAnsi="Calibri"/>
            <w:sz w:val="22"/>
            <w:szCs w:val="22"/>
            <w:lang w:eastAsia="en-NZ"/>
          </w:rPr>
          <w:tab/>
        </w:r>
        <w:r w:rsidR="00C97BE6" w:rsidRPr="009B03B5">
          <w:rPr>
            <w:rStyle w:val="Hyperlink"/>
          </w:rPr>
          <w:t>Recalculations of New Zealand’s total net emissions estimates from 2013 under Article 3.3 and Article 3.4 of the Kyoto Protocol</w:t>
        </w:r>
        <w:r w:rsidR="00C97BE6">
          <w:rPr>
            <w:webHidden/>
          </w:rPr>
          <w:tab/>
        </w:r>
        <w:r w:rsidR="00C97BE6">
          <w:rPr>
            <w:webHidden/>
          </w:rPr>
          <w:fldChar w:fldCharType="begin"/>
        </w:r>
        <w:r w:rsidR="00C97BE6">
          <w:rPr>
            <w:webHidden/>
          </w:rPr>
          <w:instrText xml:space="preserve"> PAGEREF _Toc5269635 \h </w:instrText>
        </w:r>
        <w:r w:rsidR="00C97BE6">
          <w:rPr>
            <w:webHidden/>
          </w:rPr>
        </w:r>
        <w:r w:rsidR="00C97BE6">
          <w:rPr>
            <w:webHidden/>
          </w:rPr>
          <w:fldChar w:fldCharType="separate"/>
        </w:r>
        <w:r w:rsidR="00D0418C">
          <w:rPr>
            <w:webHidden/>
          </w:rPr>
          <w:t>436</w:t>
        </w:r>
        <w:r w:rsidR="00C97BE6">
          <w:rPr>
            <w:webHidden/>
          </w:rPr>
          <w:fldChar w:fldCharType="end"/>
        </w:r>
      </w:hyperlink>
    </w:p>
    <w:p w14:paraId="7DD451C5" w14:textId="77777777" w:rsidR="00C97BE6" w:rsidRPr="002D354C" w:rsidRDefault="00590491">
      <w:pPr>
        <w:pStyle w:val="TableofFigures"/>
        <w:rPr>
          <w:rFonts w:ascii="Calibri" w:hAnsi="Calibri"/>
          <w:sz w:val="22"/>
          <w:szCs w:val="22"/>
          <w:lang w:eastAsia="en-NZ"/>
        </w:rPr>
      </w:pPr>
      <w:hyperlink w:anchor="_Toc5269636" w:history="1">
        <w:r w:rsidR="00C97BE6" w:rsidRPr="009B03B5">
          <w:rPr>
            <w:rStyle w:val="Hyperlink"/>
          </w:rPr>
          <w:t xml:space="preserve">Table 11.5.1 </w:t>
        </w:r>
        <w:r w:rsidR="00C97BE6" w:rsidRPr="002D354C">
          <w:rPr>
            <w:rFonts w:ascii="Calibri" w:hAnsi="Calibri"/>
            <w:sz w:val="22"/>
            <w:szCs w:val="22"/>
            <w:lang w:eastAsia="en-NZ"/>
          </w:rPr>
          <w:tab/>
        </w:r>
        <w:r w:rsidR="00C97BE6" w:rsidRPr="009B03B5">
          <w:rPr>
            <w:rStyle w:val="Hyperlink"/>
          </w:rPr>
          <w:t>Estimate of land destocked in New Zealand between 2014 and 2016 awaiting a land use determination</w:t>
        </w:r>
        <w:r w:rsidR="00C97BE6">
          <w:rPr>
            <w:webHidden/>
          </w:rPr>
          <w:tab/>
        </w:r>
        <w:r w:rsidR="00C97BE6">
          <w:rPr>
            <w:webHidden/>
          </w:rPr>
          <w:fldChar w:fldCharType="begin"/>
        </w:r>
        <w:r w:rsidR="00C97BE6">
          <w:rPr>
            <w:webHidden/>
          </w:rPr>
          <w:instrText xml:space="preserve"> PAGEREF _Toc5269636 \h </w:instrText>
        </w:r>
        <w:r w:rsidR="00C97BE6">
          <w:rPr>
            <w:webHidden/>
          </w:rPr>
        </w:r>
        <w:r w:rsidR="00C97BE6">
          <w:rPr>
            <w:webHidden/>
          </w:rPr>
          <w:fldChar w:fldCharType="separate"/>
        </w:r>
        <w:r w:rsidR="00D0418C">
          <w:rPr>
            <w:webHidden/>
          </w:rPr>
          <w:t>440</w:t>
        </w:r>
        <w:r w:rsidR="00C97BE6">
          <w:rPr>
            <w:webHidden/>
          </w:rPr>
          <w:fldChar w:fldCharType="end"/>
        </w:r>
      </w:hyperlink>
    </w:p>
    <w:p w14:paraId="5551F59D" w14:textId="77777777" w:rsidR="00C97BE6" w:rsidRPr="002D354C" w:rsidRDefault="00590491">
      <w:pPr>
        <w:pStyle w:val="TableofFigures"/>
        <w:rPr>
          <w:rFonts w:ascii="Calibri" w:hAnsi="Calibri"/>
          <w:sz w:val="22"/>
          <w:szCs w:val="22"/>
          <w:lang w:eastAsia="en-NZ"/>
        </w:rPr>
      </w:pPr>
      <w:hyperlink w:anchor="_Toc5269637" w:history="1">
        <w:r w:rsidR="00C97BE6" w:rsidRPr="009B03B5">
          <w:rPr>
            <w:rStyle w:val="Hyperlink"/>
          </w:rPr>
          <w:t>Table 12.2.1</w:t>
        </w:r>
        <w:r w:rsidR="00C97BE6" w:rsidRPr="002D354C">
          <w:rPr>
            <w:rFonts w:ascii="Calibri" w:hAnsi="Calibri"/>
            <w:sz w:val="22"/>
            <w:szCs w:val="22"/>
            <w:lang w:eastAsia="en-NZ"/>
          </w:rPr>
          <w:tab/>
        </w:r>
        <w:r w:rsidR="00C97BE6" w:rsidRPr="009B03B5">
          <w:rPr>
            <w:rStyle w:val="Hyperlink"/>
          </w:rPr>
          <w:t>New Zealand’s submission of the standard electronic format</w:t>
        </w:r>
        <w:r w:rsidR="00C97BE6">
          <w:rPr>
            <w:webHidden/>
          </w:rPr>
          <w:tab/>
        </w:r>
        <w:r w:rsidR="00C97BE6">
          <w:rPr>
            <w:webHidden/>
          </w:rPr>
          <w:fldChar w:fldCharType="begin"/>
        </w:r>
        <w:r w:rsidR="00C97BE6">
          <w:rPr>
            <w:webHidden/>
          </w:rPr>
          <w:instrText xml:space="preserve"> PAGEREF _Toc5269637 \h </w:instrText>
        </w:r>
        <w:r w:rsidR="00C97BE6">
          <w:rPr>
            <w:webHidden/>
          </w:rPr>
        </w:r>
        <w:r w:rsidR="00C97BE6">
          <w:rPr>
            <w:webHidden/>
          </w:rPr>
          <w:fldChar w:fldCharType="separate"/>
        </w:r>
        <w:r w:rsidR="00D0418C">
          <w:rPr>
            <w:webHidden/>
          </w:rPr>
          <w:t>444</w:t>
        </w:r>
        <w:r w:rsidR="00C97BE6">
          <w:rPr>
            <w:webHidden/>
          </w:rPr>
          <w:fldChar w:fldCharType="end"/>
        </w:r>
      </w:hyperlink>
    </w:p>
    <w:p w14:paraId="44487C66" w14:textId="77777777" w:rsidR="00C97BE6" w:rsidRPr="002D354C" w:rsidRDefault="00590491">
      <w:pPr>
        <w:pStyle w:val="TableofFigures"/>
        <w:rPr>
          <w:rFonts w:ascii="Calibri" w:hAnsi="Calibri"/>
          <w:sz w:val="22"/>
          <w:szCs w:val="22"/>
          <w:lang w:eastAsia="en-NZ"/>
        </w:rPr>
      </w:pPr>
      <w:hyperlink w:anchor="_Toc5269638" w:history="1">
        <w:r w:rsidR="00C97BE6" w:rsidRPr="009B03B5">
          <w:rPr>
            <w:rStyle w:val="Hyperlink"/>
          </w:rPr>
          <w:t>Table 12.3.1</w:t>
        </w:r>
        <w:r w:rsidR="00C97BE6" w:rsidRPr="002D354C">
          <w:rPr>
            <w:rFonts w:ascii="Calibri" w:hAnsi="Calibri"/>
            <w:sz w:val="22"/>
            <w:szCs w:val="22"/>
            <w:lang w:eastAsia="en-NZ"/>
          </w:rPr>
          <w:tab/>
        </w:r>
        <w:r w:rsidR="00C97BE6" w:rsidRPr="009B03B5">
          <w:rPr>
            <w:rStyle w:val="Hyperlink"/>
          </w:rPr>
          <w:t>Discrepancies and notifications from New Zealand’s national registry</w:t>
        </w:r>
        <w:r w:rsidR="00C97BE6">
          <w:rPr>
            <w:webHidden/>
          </w:rPr>
          <w:tab/>
        </w:r>
        <w:r w:rsidR="00C97BE6">
          <w:rPr>
            <w:webHidden/>
          </w:rPr>
          <w:fldChar w:fldCharType="begin"/>
        </w:r>
        <w:r w:rsidR="00C97BE6">
          <w:rPr>
            <w:webHidden/>
          </w:rPr>
          <w:instrText xml:space="preserve"> PAGEREF _Toc5269638 \h </w:instrText>
        </w:r>
        <w:r w:rsidR="00C97BE6">
          <w:rPr>
            <w:webHidden/>
          </w:rPr>
        </w:r>
        <w:r w:rsidR="00C97BE6">
          <w:rPr>
            <w:webHidden/>
          </w:rPr>
          <w:fldChar w:fldCharType="separate"/>
        </w:r>
        <w:r w:rsidR="00D0418C">
          <w:rPr>
            <w:webHidden/>
          </w:rPr>
          <w:t>444</w:t>
        </w:r>
        <w:r w:rsidR="00C97BE6">
          <w:rPr>
            <w:webHidden/>
          </w:rPr>
          <w:fldChar w:fldCharType="end"/>
        </w:r>
      </w:hyperlink>
    </w:p>
    <w:p w14:paraId="2BD93244" w14:textId="77777777" w:rsidR="00C97BE6" w:rsidRPr="002D354C" w:rsidRDefault="00590491">
      <w:pPr>
        <w:pStyle w:val="TableofFigures"/>
        <w:rPr>
          <w:rFonts w:ascii="Calibri" w:hAnsi="Calibri"/>
          <w:sz w:val="22"/>
          <w:szCs w:val="22"/>
          <w:lang w:eastAsia="en-NZ"/>
        </w:rPr>
      </w:pPr>
      <w:hyperlink w:anchor="_Toc5269639" w:history="1">
        <w:r w:rsidR="00C97BE6" w:rsidRPr="009B03B5">
          <w:rPr>
            <w:rStyle w:val="Hyperlink"/>
          </w:rPr>
          <w:t>Table 12.4.1</w:t>
        </w:r>
        <w:r w:rsidR="00C97BE6" w:rsidRPr="002D354C">
          <w:rPr>
            <w:rFonts w:ascii="Calibri" w:hAnsi="Calibri"/>
            <w:sz w:val="22"/>
            <w:szCs w:val="22"/>
            <w:lang w:eastAsia="en-NZ"/>
          </w:rPr>
          <w:tab/>
        </w:r>
        <w:r w:rsidR="00C97BE6" w:rsidRPr="009B03B5">
          <w:rPr>
            <w:rStyle w:val="Hyperlink"/>
          </w:rPr>
          <w:t>List of the publicly accessible information in New Zealand’s national registry</w:t>
        </w:r>
        <w:r w:rsidR="00C97BE6">
          <w:rPr>
            <w:webHidden/>
          </w:rPr>
          <w:tab/>
        </w:r>
        <w:r w:rsidR="00C97BE6">
          <w:rPr>
            <w:webHidden/>
          </w:rPr>
          <w:fldChar w:fldCharType="begin"/>
        </w:r>
        <w:r w:rsidR="00C97BE6">
          <w:rPr>
            <w:webHidden/>
          </w:rPr>
          <w:instrText xml:space="preserve"> PAGEREF _Toc5269639 \h </w:instrText>
        </w:r>
        <w:r w:rsidR="00C97BE6">
          <w:rPr>
            <w:webHidden/>
          </w:rPr>
        </w:r>
        <w:r w:rsidR="00C97BE6">
          <w:rPr>
            <w:webHidden/>
          </w:rPr>
          <w:fldChar w:fldCharType="separate"/>
        </w:r>
        <w:r w:rsidR="00D0418C">
          <w:rPr>
            <w:webHidden/>
          </w:rPr>
          <w:t>444</w:t>
        </w:r>
        <w:r w:rsidR="00C97BE6">
          <w:rPr>
            <w:webHidden/>
          </w:rPr>
          <w:fldChar w:fldCharType="end"/>
        </w:r>
      </w:hyperlink>
    </w:p>
    <w:p w14:paraId="466A330B" w14:textId="77777777" w:rsidR="00C97BE6" w:rsidRPr="002D354C" w:rsidRDefault="00590491">
      <w:pPr>
        <w:pStyle w:val="TableofFigures"/>
        <w:rPr>
          <w:rFonts w:ascii="Calibri" w:hAnsi="Calibri"/>
          <w:sz w:val="22"/>
          <w:szCs w:val="22"/>
          <w:lang w:eastAsia="en-NZ"/>
        </w:rPr>
      </w:pPr>
      <w:hyperlink w:anchor="_Toc5269640" w:history="1">
        <w:r w:rsidR="00C97BE6" w:rsidRPr="009B03B5">
          <w:rPr>
            <w:rStyle w:val="Hyperlink"/>
          </w:rPr>
          <w:t xml:space="preserve">Table 14.1 </w:t>
        </w:r>
        <w:r w:rsidR="00C97BE6" w:rsidRPr="002D354C">
          <w:rPr>
            <w:rFonts w:ascii="Calibri" w:hAnsi="Calibri"/>
            <w:sz w:val="22"/>
            <w:szCs w:val="22"/>
            <w:lang w:eastAsia="en-NZ"/>
          </w:rPr>
          <w:tab/>
        </w:r>
        <w:r w:rsidR="00C97BE6" w:rsidRPr="009B03B5">
          <w:rPr>
            <w:rStyle w:val="Hyperlink"/>
          </w:rPr>
          <w:t>Changes made to New Zealand’s national registry</w:t>
        </w:r>
        <w:r w:rsidR="00C97BE6">
          <w:rPr>
            <w:webHidden/>
          </w:rPr>
          <w:tab/>
        </w:r>
        <w:r w:rsidR="00C97BE6">
          <w:rPr>
            <w:webHidden/>
          </w:rPr>
          <w:fldChar w:fldCharType="begin"/>
        </w:r>
        <w:r w:rsidR="00C97BE6">
          <w:rPr>
            <w:webHidden/>
          </w:rPr>
          <w:instrText xml:space="preserve"> PAGEREF _Toc5269640 \h </w:instrText>
        </w:r>
        <w:r w:rsidR="00C97BE6">
          <w:rPr>
            <w:webHidden/>
          </w:rPr>
        </w:r>
        <w:r w:rsidR="00C97BE6">
          <w:rPr>
            <w:webHidden/>
          </w:rPr>
          <w:fldChar w:fldCharType="separate"/>
        </w:r>
        <w:r w:rsidR="00D0418C">
          <w:rPr>
            <w:webHidden/>
          </w:rPr>
          <w:t>453</w:t>
        </w:r>
        <w:r w:rsidR="00C97BE6">
          <w:rPr>
            <w:webHidden/>
          </w:rPr>
          <w:fldChar w:fldCharType="end"/>
        </w:r>
      </w:hyperlink>
    </w:p>
    <w:p w14:paraId="73350CC0" w14:textId="77777777" w:rsidR="00C97BE6" w:rsidRPr="002D354C" w:rsidRDefault="00590491">
      <w:pPr>
        <w:pStyle w:val="TableofFigures"/>
        <w:rPr>
          <w:rFonts w:ascii="Calibri" w:hAnsi="Calibri"/>
          <w:sz w:val="22"/>
          <w:szCs w:val="22"/>
          <w:lang w:eastAsia="en-NZ"/>
        </w:rPr>
      </w:pPr>
      <w:hyperlink w:anchor="_Toc5269641" w:history="1">
        <w:r w:rsidR="00C97BE6" w:rsidRPr="009B03B5">
          <w:rPr>
            <w:rStyle w:val="Hyperlink"/>
          </w:rPr>
          <w:t>Table 14.2</w:t>
        </w:r>
        <w:r w:rsidR="00C97BE6" w:rsidRPr="002D354C">
          <w:rPr>
            <w:rFonts w:ascii="Calibri" w:hAnsi="Calibri"/>
            <w:sz w:val="22"/>
            <w:szCs w:val="22"/>
            <w:lang w:eastAsia="en-NZ"/>
          </w:rPr>
          <w:tab/>
        </w:r>
        <w:r w:rsidR="00C97BE6" w:rsidRPr="009B03B5">
          <w:rPr>
            <w:rStyle w:val="Hyperlink"/>
          </w:rPr>
          <w:t>Previous recommendations for New Zealand from the expert review team</w:t>
        </w:r>
        <w:r w:rsidR="00C97BE6">
          <w:rPr>
            <w:webHidden/>
          </w:rPr>
          <w:tab/>
        </w:r>
        <w:r w:rsidR="00C97BE6">
          <w:rPr>
            <w:webHidden/>
          </w:rPr>
          <w:fldChar w:fldCharType="begin"/>
        </w:r>
        <w:r w:rsidR="00C97BE6">
          <w:rPr>
            <w:webHidden/>
          </w:rPr>
          <w:instrText xml:space="preserve"> PAGEREF _Toc5269641 \h </w:instrText>
        </w:r>
        <w:r w:rsidR="00C97BE6">
          <w:rPr>
            <w:webHidden/>
          </w:rPr>
        </w:r>
        <w:r w:rsidR="00C97BE6">
          <w:rPr>
            <w:webHidden/>
          </w:rPr>
          <w:fldChar w:fldCharType="separate"/>
        </w:r>
        <w:r w:rsidR="00D0418C">
          <w:rPr>
            <w:webHidden/>
          </w:rPr>
          <w:t>453</w:t>
        </w:r>
        <w:r w:rsidR="00C97BE6">
          <w:rPr>
            <w:webHidden/>
          </w:rPr>
          <w:fldChar w:fldCharType="end"/>
        </w:r>
      </w:hyperlink>
    </w:p>
    <w:p w14:paraId="55372732" w14:textId="77777777" w:rsidR="00C97BE6" w:rsidRPr="002D354C" w:rsidRDefault="00590491">
      <w:pPr>
        <w:pStyle w:val="TableofFigures"/>
        <w:rPr>
          <w:rFonts w:ascii="Calibri" w:hAnsi="Calibri"/>
          <w:sz w:val="22"/>
          <w:szCs w:val="22"/>
          <w:lang w:eastAsia="en-NZ"/>
        </w:rPr>
      </w:pPr>
      <w:hyperlink w:anchor="_Toc5269642" w:history="1">
        <w:r w:rsidR="00C97BE6" w:rsidRPr="009B03B5">
          <w:rPr>
            <w:rStyle w:val="Hyperlink"/>
          </w:rPr>
          <w:t xml:space="preserve">Table 14.3 </w:t>
        </w:r>
        <w:r w:rsidR="00C97BE6" w:rsidRPr="002D354C">
          <w:rPr>
            <w:rFonts w:ascii="Calibri" w:hAnsi="Calibri"/>
            <w:sz w:val="22"/>
            <w:szCs w:val="22"/>
            <w:lang w:eastAsia="en-NZ"/>
          </w:rPr>
          <w:tab/>
        </w:r>
        <w:r w:rsidR="00C97BE6" w:rsidRPr="009B03B5">
          <w:rPr>
            <w:rStyle w:val="Hyperlink"/>
          </w:rPr>
          <w:t>Contact details</w:t>
        </w:r>
        <w:r w:rsidR="00C97BE6">
          <w:rPr>
            <w:webHidden/>
          </w:rPr>
          <w:tab/>
        </w:r>
        <w:r w:rsidR="00C97BE6">
          <w:rPr>
            <w:webHidden/>
          </w:rPr>
          <w:fldChar w:fldCharType="begin"/>
        </w:r>
        <w:r w:rsidR="00C97BE6">
          <w:rPr>
            <w:webHidden/>
          </w:rPr>
          <w:instrText xml:space="preserve"> PAGEREF _Toc5269642 \h </w:instrText>
        </w:r>
        <w:r w:rsidR="00C97BE6">
          <w:rPr>
            <w:webHidden/>
          </w:rPr>
        </w:r>
        <w:r w:rsidR="00C97BE6">
          <w:rPr>
            <w:webHidden/>
          </w:rPr>
          <w:fldChar w:fldCharType="separate"/>
        </w:r>
        <w:r w:rsidR="00D0418C">
          <w:rPr>
            <w:webHidden/>
          </w:rPr>
          <w:t>454</w:t>
        </w:r>
        <w:r w:rsidR="00C97BE6">
          <w:rPr>
            <w:webHidden/>
          </w:rPr>
          <w:fldChar w:fldCharType="end"/>
        </w:r>
      </w:hyperlink>
    </w:p>
    <w:p w14:paraId="38769B51" w14:textId="10B82712" w:rsidR="00DE64BC" w:rsidRPr="00256982" w:rsidRDefault="00850057" w:rsidP="006E0A2C">
      <w:r w:rsidRPr="00256982">
        <w:rPr>
          <w:rFonts w:ascii="Arial" w:hAnsi="Arial"/>
          <w:sz w:val="20"/>
        </w:rPr>
        <w:fldChar w:fldCharType="end"/>
      </w:r>
    </w:p>
    <w:p w14:paraId="39314539" w14:textId="77777777" w:rsidR="00DE64BC" w:rsidRPr="00256982" w:rsidRDefault="00DE64BC" w:rsidP="006E0A2C"/>
    <w:p w14:paraId="37C2EC37" w14:textId="4CC766EF" w:rsidR="00DE64BC" w:rsidRPr="00256982" w:rsidRDefault="00C97BE6" w:rsidP="00ED2C42">
      <w:pPr>
        <w:pStyle w:val="Heading"/>
      </w:pPr>
      <w:r>
        <w:br w:type="page"/>
      </w:r>
      <w:r w:rsidR="00DE64BC" w:rsidRPr="00256982">
        <w:lastRenderedPageBreak/>
        <w:t>Figures</w:t>
      </w:r>
    </w:p>
    <w:p w14:paraId="44E4C135" w14:textId="77777777" w:rsidR="00C97BE6" w:rsidRPr="002D354C" w:rsidRDefault="006553BB">
      <w:pPr>
        <w:pStyle w:val="TableofFigures"/>
        <w:rPr>
          <w:rFonts w:ascii="Calibri" w:hAnsi="Calibri"/>
          <w:sz w:val="22"/>
          <w:szCs w:val="22"/>
          <w:lang w:eastAsia="en-NZ"/>
        </w:rPr>
      </w:pPr>
      <w:r w:rsidRPr="00256982">
        <w:rPr>
          <w:noProof w:val="0"/>
        </w:rPr>
        <w:fldChar w:fldCharType="begin"/>
      </w:r>
      <w:r w:rsidRPr="00256982">
        <w:rPr>
          <w:noProof w:val="0"/>
        </w:rPr>
        <w:instrText xml:space="preserve"> TOC \h \z \t "Figure" \c </w:instrText>
      </w:r>
      <w:r w:rsidRPr="00256982">
        <w:rPr>
          <w:noProof w:val="0"/>
        </w:rPr>
        <w:fldChar w:fldCharType="separate"/>
      </w:r>
      <w:hyperlink w:anchor="_Toc5269643" w:history="1">
        <w:r w:rsidR="00C97BE6" w:rsidRPr="004D58A6">
          <w:rPr>
            <w:rStyle w:val="Hyperlink"/>
          </w:rPr>
          <w:t>Figure ES 2.1</w:t>
        </w:r>
        <w:r w:rsidR="00C97BE6" w:rsidRPr="002D354C">
          <w:rPr>
            <w:rFonts w:ascii="Calibri" w:hAnsi="Calibri"/>
            <w:sz w:val="22"/>
            <w:szCs w:val="22"/>
            <w:lang w:eastAsia="en-NZ"/>
          </w:rPr>
          <w:tab/>
        </w:r>
        <w:r w:rsidR="00C97BE6" w:rsidRPr="004D58A6">
          <w:rPr>
            <w:rStyle w:val="Hyperlink"/>
          </w:rPr>
          <w:t>New Zealand’s gross and net emissions (under the Convention) from 1990 to 2017</w:t>
        </w:r>
        <w:r w:rsidR="00C97BE6">
          <w:rPr>
            <w:webHidden/>
          </w:rPr>
          <w:tab/>
        </w:r>
        <w:r w:rsidR="00C97BE6">
          <w:rPr>
            <w:webHidden/>
          </w:rPr>
          <w:fldChar w:fldCharType="begin"/>
        </w:r>
        <w:r w:rsidR="00C97BE6">
          <w:rPr>
            <w:webHidden/>
          </w:rPr>
          <w:instrText xml:space="preserve"> PAGEREF _Toc5269643 \h </w:instrText>
        </w:r>
        <w:r w:rsidR="00C97BE6">
          <w:rPr>
            <w:webHidden/>
          </w:rPr>
        </w:r>
        <w:r w:rsidR="00C97BE6">
          <w:rPr>
            <w:webHidden/>
          </w:rPr>
          <w:fldChar w:fldCharType="separate"/>
        </w:r>
        <w:r w:rsidR="00D0418C">
          <w:rPr>
            <w:webHidden/>
          </w:rPr>
          <w:t>3</w:t>
        </w:r>
        <w:r w:rsidR="00C97BE6">
          <w:rPr>
            <w:webHidden/>
          </w:rPr>
          <w:fldChar w:fldCharType="end"/>
        </w:r>
      </w:hyperlink>
    </w:p>
    <w:p w14:paraId="16D4D9B6" w14:textId="77777777" w:rsidR="00C97BE6" w:rsidRPr="002D354C" w:rsidRDefault="00590491">
      <w:pPr>
        <w:pStyle w:val="TableofFigures"/>
        <w:rPr>
          <w:rFonts w:ascii="Calibri" w:hAnsi="Calibri"/>
          <w:sz w:val="22"/>
          <w:szCs w:val="22"/>
          <w:lang w:eastAsia="en-NZ"/>
        </w:rPr>
      </w:pPr>
      <w:hyperlink w:anchor="_Toc5269644" w:history="1">
        <w:r w:rsidR="00C97BE6" w:rsidRPr="004D58A6">
          <w:rPr>
            <w:rStyle w:val="Hyperlink"/>
          </w:rPr>
          <w:t xml:space="preserve">Figure ES 3.1 </w:t>
        </w:r>
        <w:r w:rsidR="00C97BE6" w:rsidRPr="002D354C">
          <w:rPr>
            <w:rFonts w:ascii="Calibri" w:hAnsi="Calibri"/>
            <w:sz w:val="22"/>
            <w:szCs w:val="22"/>
            <w:lang w:eastAsia="en-NZ"/>
          </w:rPr>
          <w:tab/>
        </w:r>
        <w:r w:rsidR="00C97BE6" w:rsidRPr="004D58A6">
          <w:rPr>
            <w:rStyle w:val="Hyperlink"/>
          </w:rPr>
          <w:t>New Zealand’s gross emissions by gas in 2017</w:t>
        </w:r>
        <w:r w:rsidR="00C97BE6">
          <w:rPr>
            <w:webHidden/>
          </w:rPr>
          <w:tab/>
        </w:r>
        <w:r w:rsidR="00C97BE6">
          <w:rPr>
            <w:webHidden/>
          </w:rPr>
          <w:fldChar w:fldCharType="begin"/>
        </w:r>
        <w:r w:rsidR="00C97BE6">
          <w:rPr>
            <w:webHidden/>
          </w:rPr>
          <w:instrText xml:space="preserve"> PAGEREF _Toc5269644 \h </w:instrText>
        </w:r>
        <w:r w:rsidR="00C97BE6">
          <w:rPr>
            <w:webHidden/>
          </w:rPr>
        </w:r>
        <w:r w:rsidR="00C97BE6">
          <w:rPr>
            <w:webHidden/>
          </w:rPr>
          <w:fldChar w:fldCharType="separate"/>
        </w:r>
        <w:r w:rsidR="00D0418C">
          <w:rPr>
            <w:webHidden/>
          </w:rPr>
          <w:t>4</w:t>
        </w:r>
        <w:r w:rsidR="00C97BE6">
          <w:rPr>
            <w:webHidden/>
          </w:rPr>
          <w:fldChar w:fldCharType="end"/>
        </w:r>
      </w:hyperlink>
    </w:p>
    <w:p w14:paraId="7EB0CB38" w14:textId="77777777" w:rsidR="00C97BE6" w:rsidRPr="002D354C" w:rsidRDefault="00590491">
      <w:pPr>
        <w:pStyle w:val="TableofFigures"/>
        <w:rPr>
          <w:rFonts w:ascii="Calibri" w:hAnsi="Calibri"/>
          <w:sz w:val="22"/>
          <w:szCs w:val="22"/>
          <w:lang w:eastAsia="en-NZ"/>
        </w:rPr>
      </w:pPr>
      <w:hyperlink w:anchor="_Toc5269645" w:history="1">
        <w:r w:rsidR="00C97BE6" w:rsidRPr="004D58A6">
          <w:rPr>
            <w:rStyle w:val="Hyperlink"/>
          </w:rPr>
          <w:t xml:space="preserve">Figure ES 3.2 </w:t>
        </w:r>
        <w:r w:rsidR="00C97BE6" w:rsidRPr="002D354C">
          <w:rPr>
            <w:rFonts w:ascii="Calibri" w:hAnsi="Calibri"/>
            <w:sz w:val="22"/>
            <w:szCs w:val="22"/>
            <w:lang w:eastAsia="en-NZ"/>
          </w:rPr>
          <w:tab/>
        </w:r>
        <w:r w:rsidR="00C97BE6" w:rsidRPr="004D58A6">
          <w:rPr>
            <w:rStyle w:val="Hyperlink"/>
          </w:rPr>
          <w:t>New Zealand’s emissions by gas in 1990 and 2017</w:t>
        </w:r>
        <w:r w:rsidR="00C97BE6">
          <w:rPr>
            <w:webHidden/>
          </w:rPr>
          <w:tab/>
        </w:r>
        <w:r w:rsidR="00C97BE6">
          <w:rPr>
            <w:webHidden/>
          </w:rPr>
          <w:fldChar w:fldCharType="begin"/>
        </w:r>
        <w:r w:rsidR="00C97BE6">
          <w:rPr>
            <w:webHidden/>
          </w:rPr>
          <w:instrText xml:space="preserve"> PAGEREF _Toc5269645 \h </w:instrText>
        </w:r>
        <w:r w:rsidR="00C97BE6">
          <w:rPr>
            <w:webHidden/>
          </w:rPr>
        </w:r>
        <w:r w:rsidR="00C97BE6">
          <w:rPr>
            <w:webHidden/>
          </w:rPr>
          <w:fldChar w:fldCharType="separate"/>
        </w:r>
        <w:r w:rsidR="00D0418C">
          <w:rPr>
            <w:webHidden/>
          </w:rPr>
          <w:t>5</w:t>
        </w:r>
        <w:r w:rsidR="00C97BE6">
          <w:rPr>
            <w:webHidden/>
          </w:rPr>
          <w:fldChar w:fldCharType="end"/>
        </w:r>
      </w:hyperlink>
    </w:p>
    <w:p w14:paraId="5F7114B5" w14:textId="77777777" w:rsidR="00C97BE6" w:rsidRPr="002D354C" w:rsidRDefault="00590491">
      <w:pPr>
        <w:pStyle w:val="TableofFigures"/>
        <w:rPr>
          <w:rFonts w:ascii="Calibri" w:hAnsi="Calibri"/>
          <w:sz w:val="22"/>
          <w:szCs w:val="22"/>
          <w:lang w:eastAsia="en-NZ"/>
        </w:rPr>
      </w:pPr>
      <w:hyperlink w:anchor="_Toc5269646" w:history="1">
        <w:r w:rsidR="00C97BE6" w:rsidRPr="004D58A6">
          <w:rPr>
            <w:rStyle w:val="Hyperlink"/>
          </w:rPr>
          <w:t xml:space="preserve">Figure ES 4.1 </w:t>
        </w:r>
        <w:r w:rsidR="00C97BE6" w:rsidRPr="002D354C">
          <w:rPr>
            <w:rFonts w:ascii="Calibri" w:hAnsi="Calibri"/>
            <w:sz w:val="22"/>
            <w:szCs w:val="22"/>
            <w:lang w:eastAsia="en-NZ"/>
          </w:rPr>
          <w:tab/>
        </w:r>
        <w:r w:rsidR="00C97BE6" w:rsidRPr="004D58A6">
          <w:rPr>
            <w:rStyle w:val="Hyperlink"/>
          </w:rPr>
          <w:t>Changes in New Zealand’s gross emissions profile by sector from 1990 to 2017</w:t>
        </w:r>
        <w:r w:rsidR="00C97BE6">
          <w:rPr>
            <w:webHidden/>
          </w:rPr>
          <w:tab/>
        </w:r>
        <w:r w:rsidR="00C97BE6">
          <w:rPr>
            <w:webHidden/>
          </w:rPr>
          <w:fldChar w:fldCharType="begin"/>
        </w:r>
        <w:r w:rsidR="00C97BE6">
          <w:rPr>
            <w:webHidden/>
          </w:rPr>
          <w:instrText xml:space="preserve"> PAGEREF _Toc5269646 \h </w:instrText>
        </w:r>
        <w:r w:rsidR="00C97BE6">
          <w:rPr>
            <w:webHidden/>
          </w:rPr>
        </w:r>
        <w:r w:rsidR="00C97BE6">
          <w:rPr>
            <w:webHidden/>
          </w:rPr>
          <w:fldChar w:fldCharType="separate"/>
        </w:r>
        <w:r w:rsidR="00D0418C">
          <w:rPr>
            <w:webHidden/>
          </w:rPr>
          <w:t>6</w:t>
        </w:r>
        <w:r w:rsidR="00C97BE6">
          <w:rPr>
            <w:webHidden/>
          </w:rPr>
          <w:fldChar w:fldCharType="end"/>
        </w:r>
      </w:hyperlink>
    </w:p>
    <w:p w14:paraId="10345D37" w14:textId="77777777" w:rsidR="00C97BE6" w:rsidRPr="002D354C" w:rsidRDefault="00590491">
      <w:pPr>
        <w:pStyle w:val="TableofFigures"/>
        <w:rPr>
          <w:rFonts w:ascii="Calibri" w:hAnsi="Calibri"/>
          <w:sz w:val="22"/>
          <w:szCs w:val="22"/>
          <w:lang w:eastAsia="en-NZ"/>
        </w:rPr>
      </w:pPr>
      <w:hyperlink w:anchor="_Toc5269647" w:history="1">
        <w:r w:rsidR="00C97BE6" w:rsidRPr="004D58A6">
          <w:rPr>
            <w:rStyle w:val="Hyperlink"/>
          </w:rPr>
          <w:t xml:space="preserve">Figure ES 4.2 </w:t>
        </w:r>
        <w:r w:rsidR="00C97BE6" w:rsidRPr="002D354C">
          <w:rPr>
            <w:rFonts w:ascii="Calibri" w:hAnsi="Calibri"/>
            <w:sz w:val="22"/>
            <w:szCs w:val="22"/>
            <w:lang w:eastAsia="en-NZ"/>
          </w:rPr>
          <w:tab/>
        </w:r>
        <w:r w:rsidR="00C97BE6" w:rsidRPr="004D58A6">
          <w:rPr>
            <w:rStyle w:val="Hyperlink"/>
          </w:rPr>
          <w:t>New Zealand’s emissions by sector in 2017</w:t>
        </w:r>
        <w:r w:rsidR="00C97BE6">
          <w:rPr>
            <w:webHidden/>
          </w:rPr>
          <w:tab/>
        </w:r>
        <w:r w:rsidR="00C97BE6">
          <w:rPr>
            <w:webHidden/>
          </w:rPr>
          <w:fldChar w:fldCharType="begin"/>
        </w:r>
        <w:r w:rsidR="00C97BE6">
          <w:rPr>
            <w:webHidden/>
          </w:rPr>
          <w:instrText xml:space="preserve"> PAGEREF _Toc5269647 \h </w:instrText>
        </w:r>
        <w:r w:rsidR="00C97BE6">
          <w:rPr>
            <w:webHidden/>
          </w:rPr>
        </w:r>
        <w:r w:rsidR="00C97BE6">
          <w:rPr>
            <w:webHidden/>
          </w:rPr>
          <w:fldChar w:fldCharType="separate"/>
        </w:r>
        <w:r w:rsidR="00D0418C">
          <w:rPr>
            <w:webHidden/>
          </w:rPr>
          <w:t>7</w:t>
        </w:r>
        <w:r w:rsidR="00C97BE6">
          <w:rPr>
            <w:webHidden/>
          </w:rPr>
          <w:fldChar w:fldCharType="end"/>
        </w:r>
      </w:hyperlink>
    </w:p>
    <w:p w14:paraId="43E8CB51" w14:textId="77777777" w:rsidR="00C97BE6" w:rsidRPr="002D354C" w:rsidRDefault="00590491">
      <w:pPr>
        <w:pStyle w:val="TableofFigures"/>
        <w:rPr>
          <w:rFonts w:ascii="Calibri" w:hAnsi="Calibri"/>
          <w:sz w:val="22"/>
          <w:szCs w:val="22"/>
          <w:lang w:eastAsia="en-NZ"/>
        </w:rPr>
      </w:pPr>
      <w:hyperlink w:anchor="_Toc5269648" w:history="1">
        <w:r w:rsidR="00C97BE6" w:rsidRPr="004D58A6">
          <w:rPr>
            <w:rStyle w:val="Hyperlink"/>
          </w:rPr>
          <w:t>Figure ES 4.3</w:t>
        </w:r>
        <w:r w:rsidR="00C97BE6" w:rsidRPr="002D354C">
          <w:rPr>
            <w:rFonts w:ascii="Calibri" w:hAnsi="Calibri"/>
            <w:sz w:val="22"/>
            <w:szCs w:val="22"/>
            <w:lang w:eastAsia="en-NZ"/>
          </w:rPr>
          <w:tab/>
        </w:r>
        <w:r w:rsidR="00C97BE6" w:rsidRPr="004D58A6">
          <w:rPr>
            <w:rStyle w:val="Hyperlink"/>
          </w:rPr>
          <w:t>Change in New Zealand’s emissions by sector comparing 1990 and 2017</w:t>
        </w:r>
        <w:r w:rsidR="00C97BE6">
          <w:rPr>
            <w:webHidden/>
          </w:rPr>
          <w:tab/>
        </w:r>
        <w:r w:rsidR="00C97BE6">
          <w:rPr>
            <w:webHidden/>
          </w:rPr>
          <w:fldChar w:fldCharType="begin"/>
        </w:r>
        <w:r w:rsidR="00C97BE6">
          <w:rPr>
            <w:webHidden/>
          </w:rPr>
          <w:instrText xml:space="preserve"> PAGEREF _Toc5269648 \h </w:instrText>
        </w:r>
        <w:r w:rsidR="00C97BE6">
          <w:rPr>
            <w:webHidden/>
          </w:rPr>
        </w:r>
        <w:r w:rsidR="00C97BE6">
          <w:rPr>
            <w:webHidden/>
          </w:rPr>
          <w:fldChar w:fldCharType="separate"/>
        </w:r>
        <w:r w:rsidR="00D0418C">
          <w:rPr>
            <w:webHidden/>
          </w:rPr>
          <w:t>8</w:t>
        </w:r>
        <w:r w:rsidR="00C97BE6">
          <w:rPr>
            <w:webHidden/>
          </w:rPr>
          <w:fldChar w:fldCharType="end"/>
        </w:r>
      </w:hyperlink>
    </w:p>
    <w:p w14:paraId="54CCAF14" w14:textId="77777777" w:rsidR="00C97BE6" w:rsidRPr="002D354C" w:rsidRDefault="00590491">
      <w:pPr>
        <w:pStyle w:val="TableofFigures"/>
        <w:rPr>
          <w:rFonts w:ascii="Calibri" w:hAnsi="Calibri"/>
          <w:sz w:val="22"/>
          <w:szCs w:val="22"/>
          <w:lang w:eastAsia="en-NZ"/>
        </w:rPr>
      </w:pPr>
      <w:hyperlink w:anchor="_Toc5269649" w:history="1">
        <w:r w:rsidR="00C97BE6" w:rsidRPr="004D58A6">
          <w:rPr>
            <w:rStyle w:val="Hyperlink"/>
          </w:rPr>
          <w:t>Figure ES 4.4</w:t>
        </w:r>
        <w:r w:rsidR="00C97BE6" w:rsidRPr="002D354C">
          <w:rPr>
            <w:rFonts w:ascii="Calibri" w:hAnsi="Calibri"/>
            <w:sz w:val="22"/>
            <w:szCs w:val="22"/>
            <w:lang w:eastAsia="en-NZ"/>
          </w:rPr>
          <w:tab/>
        </w:r>
        <w:r w:rsidR="00C97BE6" w:rsidRPr="004D58A6">
          <w:rPr>
            <w:rStyle w:val="Hyperlink"/>
          </w:rPr>
          <w:t>New Zealand’s LULUCF sector net emissions from 1990 to 2017</w:t>
        </w:r>
        <w:r w:rsidR="00C97BE6">
          <w:rPr>
            <w:webHidden/>
          </w:rPr>
          <w:tab/>
        </w:r>
        <w:r w:rsidR="00C97BE6">
          <w:rPr>
            <w:webHidden/>
          </w:rPr>
          <w:fldChar w:fldCharType="begin"/>
        </w:r>
        <w:r w:rsidR="00C97BE6">
          <w:rPr>
            <w:webHidden/>
          </w:rPr>
          <w:instrText xml:space="preserve"> PAGEREF _Toc5269649 \h </w:instrText>
        </w:r>
        <w:r w:rsidR="00C97BE6">
          <w:rPr>
            <w:webHidden/>
          </w:rPr>
        </w:r>
        <w:r w:rsidR="00C97BE6">
          <w:rPr>
            <w:webHidden/>
          </w:rPr>
          <w:fldChar w:fldCharType="separate"/>
        </w:r>
        <w:r w:rsidR="00D0418C">
          <w:rPr>
            <w:webHidden/>
          </w:rPr>
          <w:t>12</w:t>
        </w:r>
        <w:r w:rsidR="00C97BE6">
          <w:rPr>
            <w:webHidden/>
          </w:rPr>
          <w:fldChar w:fldCharType="end"/>
        </w:r>
      </w:hyperlink>
    </w:p>
    <w:p w14:paraId="4B656523" w14:textId="77777777" w:rsidR="00C97BE6" w:rsidRPr="002D354C" w:rsidRDefault="00590491">
      <w:pPr>
        <w:pStyle w:val="TableofFigures"/>
        <w:rPr>
          <w:rFonts w:ascii="Calibri" w:hAnsi="Calibri"/>
          <w:sz w:val="22"/>
          <w:szCs w:val="22"/>
          <w:lang w:eastAsia="en-NZ"/>
        </w:rPr>
      </w:pPr>
      <w:hyperlink w:anchor="_Toc5269650" w:history="1">
        <w:r w:rsidR="00C97BE6" w:rsidRPr="004D58A6">
          <w:rPr>
            <w:rStyle w:val="Hyperlink"/>
          </w:rPr>
          <w:t>Figure 1.2.1</w:t>
        </w:r>
        <w:r w:rsidR="00C97BE6" w:rsidRPr="002D354C">
          <w:rPr>
            <w:rFonts w:ascii="Calibri" w:hAnsi="Calibri"/>
            <w:sz w:val="22"/>
            <w:szCs w:val="22"/>
            <w:lang w:eastAsia="en-NZ"/>
          </w:rPr>
          <w:tab/>
        </w:r>
        <w:r w:rsidR="00C97BE6" w:rsidRPr="004D58A6">
          <w:rPr>
            <w:rStyle w:val="Hyperlink"/>
          </w:rPr>
          <w:t>New Zealand’s inventory system at a glance: how different agencies are involved</w:t>
        </w:r>
        <w:r w:rsidR="00C97BE6">
          <w:rPr>
            <w:webHidden/>
          </w:rPr>
          <w:tab/>
        </w:r>
        <w:r w:rsidR="00C97BE6">
          <w:rPr>
            <w:webHidden/>
          </w:rPr>
          <w:fldChar w:fldCharType="begin"/>
        </w:r>
        <w:r w:rsidR="00C97BE6">
          <w:rPr>
            <w:webHidden/>
          </w:rPr>
          <w:instrText xml:space="preserve"> PAGEREF _Toc5269650 \h </w:instrText>
        </w:r>
        <w:r w:rsidR="00C97BE6">
          <w:rPr>
            <w:webHidden/>
          </w:rPr>
        </w:r>
        <w:r w:rsidR="00C97BE6">
          <w:rPr>
            <w:webHidden/>
          </w:rPr>
          <w:fldChar w:fldCharType="separate"/>
        </w:r>
        <w:r w:rsidR="00D0418C">
          <w:rPr>
            <w:webHidden/>
          </w:rPr>
          <w:t>26</w:t>
        </w:r>
        <w:r w:rsidR="00C97BE6">
          <w:rPr>
            <w:webHidden/>
          </w:rPr>
          <w:fldChar w:fldCharType="end"/>
        </w:r>
      </w:hyperlink>
    </w:p>
    <w:p w14:paraId="0BE5C583" w14:textId="77777777" w:rsidR="00C97BE6" w:rsidRPr="002D354C" w:rsidRDefault="00590491">
      <w:pPr>
        <w:pStyle w:val="TableofFigures"/>
        <w:rPr>
          <w:rFonts w:ascii="Calibri" w:hAnsi="Calibri"/>
          <w:sz w:val="22"/>
          <w:szCs w:val="22"/>
          <w:lang w:eastAsia="en-NZ"/>
        </w:rPr>
      </w:pPr>
      <w:hyperlink w:anchor="_Toc5269651" w:history="1">
        <w:r w:rsidR="00C97BE6" w:rsidRPr="004D58A6">
          <w:rPr>
            <w:rStyle w:val="Hyperlink"/>
          </w:rPr>
          <w:t>Figure 1.2.2</w:t>
        </w:r>
        <w:r w:rsidR="00C97BE6" w:rsidRPr="002D354C">
          <w:rPr>
            <w:rFonts w:ascii="Calibri" w:hAnsi="Calibri"/>
            <w:sz w:val="22"/>
            <w:szCs w:val="22"/>
            <w:lang w:eastAsia="en-NZ"/>
          </w:rPr>
          <w:tab/>
        </w:r>
        <w:r w:rsidR="00C97BE6" w:rsidRPr="004D58A6">
          <w:rPr>
            <w:rStyle w:val="Hyperlink"/>
          </w:rPr>
          <w:t>Summary of New Zealand’s inventory planning and preparation</w:t>
        </w:r>
        <w:r w:rsidR="00C97BE6">
          <w:rPr>
            <w:webHidden/>
          </w:rPr>
          <w:tab/>
        </w:r>
        <w:r w:rsidR="00C97BE6">
          <w:rPr>
            <w:webHidden/>
          </w:rPr>
          <w:fldChar w:fldCharType="begin"/>
        </w:r>
        <w:r w:rsidR="00C97BE6">
          <w:rPr>
            <w:webHidden/>
          </w:rPr>
          <w:instrText xml:space="preserve"> PAGEREF _Toc5269651 \h </w:instrText>
        </w:r>
        <w:r w:rsidR="00C97BE6">
          <w:rPr>
            <w:webHidden/>
          </w:rPr>
        </w:r>
        <w:r w:rsidR="00C97BE6">
          <w:rPr>
            <w:webHidden/>
          </w:rPr>
          <w:fldChar w:fldCharType="separate"/>
        </w:r>
        <w:r w:rsidR="00D0418C">
          <w:rPr>
            <w:webHidden/>
          </w:rPr>
          <w:t>27</w:t>
        </w:r>
        <w:r w:rsidR="00C97BE6">
          <w:rPr>
            <w:webHidden/>
          </w:rPr>
          <w:fldChar w:fldCharType="end"/>
        </w:r>
      </w:hyperlink>
    </w:p>
    <w:p w14:paraId="08D6E53F" w14:textId="77777777" w:rsidR="00C97BE6" w:rsidRPr="002D354C" w:rsidRDefault="00590491">
      <w:pPr>
        <w:pStyle w:val="TableofFigures"/>
        <w:rPr>
          <w:rFonts w:ascii="Calibri" w:hAnsi="Calibri"/>
          <w:sz w:val="22"/>
          <w:szCs w:val="22"/>
          <w:lang w:eastAsia="en-NZ"/>
        </w:rPr>
      </w:pPr>
      <w:hyperlink w:anchor="_Toc5269652" w:history="1">
        <w:r w:rsidR="00C97BE6" w:rsidRPr="004D58A6">
          <w:rPr>
            <w:rStyle w:val="Hyperlink"/>
          </w:rPr>
          <w:t>Figure 2.1.1</w:t>
        </w:r>
        <w:r w:rsidR="00C97BE6" w:rsidRPr="002D354C">
          <w:rPr>
            <w:rFonts w:ascii="Calibri" w:hAnsi="Calibri"/>
            <w:sz w:val="22"/>
            <w:szCs w:val="22"/>
            <w:lang w:eastAsia="en-NZ"/>
          </w:rPr>
          <w:tab/>
        </w:r>
        <w:r w:rsidR="00C97BE6" w:rsidRPr="004D58A6">
          <w:rPr>
            <w:rStyle w:val="Hyperlink"/>
          </w:rPr>
          <w:t>New Zealand’s gross and net emissions (under the Convention) from 1990 to 2017</w:t>
        </w:r>
        <w:r w:rsidR="00C97BE6">
          <w:rPr>
            <w:webHidden/>
          </w:rPr>
          <w:tab/>
        </w:r>
        <w:r w:rsidR="00C97BE6">
          <w:rPr>
            <w:webHidden/>
          </w:rPr>
          <w:fldChar w:fldCharType="begin"/>
        </w:r>
        <w:r w:rsidR="00C97BE6">
          <w:rPr>
            <w:webHidden/>
          </w:rPr>
          <w:instrText xml:space="preserve"> PAGEREF _Toc5269652 \h </w:instrText>
        </w:r>
        <w:r w:rsidR="00C97BE6">
          <w:rPr>
            <w:webHidden/>
          </w:rPr>
        </w:r>
        <w:r w:rsidR="00C97BE6">
          <w:rPr>
            <w:webHidden/>
          </w:rPr>
          <w:fldChar w:fldCharType="separate"/>
        </w:r>
        <w:r w:rsidR="00D0418C">
          <w:rPr>
            <w:webHidden/>
          </w:rPr>
          <w:t>56</w:t>
        </w:r>
        <w:r w:rsidR="00C97BE6">
          <w:rPr>
            <w:webHidden/>
          </w:rPr>
          <w:fldChar w:fldCharType="end"/>
        </w:r>
      </w:hyperlink>
    </w:p>
    <w:p w14:paraId="37254D45" w14:textId="77777777" w:rsidR="00C97BE6" w:rsidRPr="002D354C" w:rsidRDefault="00590491">
      <w:pPr>
        <w:pStyle w:val="TableofFigures"/>
        <w:rPr>
          <w:rFonts w:ascii="Calibri" w:hAnsi="Calibri"/>
          <w:sz w:val="22"/>
          <w:szCs w:val="22"/>
          <w:lang w:eastAsia="en-NZ"/>
        </w:rPr>
      </w:pPr>
      <w:hyperlink w:anchor="_Toc5269653" w:history="1">
        <w:r w:rsidR="00C97BE6" w:rsidRPr="004D58A6">
          <w:rPr>
            <w:rStyle w:val="Hyperlink"/>
          </w:rPr>
          <w:t>Figure 2.2.1</w:t>
        </w:r>
        <w:r w:rsidR="00C97BE6" w:rsidRPr="002D354C">
          <w:rPr>
            <w:rFonts w:ascii="Calibri" w:hAnsi="Calibri"/>
            <w:sz w:val="22"/>
            <w:szCs w:val="22"/>
            <w:lang w:eastAsia="en-NZ"/>
          </w:rPr>
          <w:tab/>
        </w:r>
        <w:r w:rsidR="00C97BE6" w:rsidRPr="004D58A6">
          <w:rPr>
            <w:rStyle w:val="Hyperlink"/>
          </w:rPr>
          <w:t>New Zealand’s emissions by sector in 2017</w:t>
        </w:r>
        <w:r w:rsidR="00C97BE6">
          <w:rPr>
            <w:webHidden/>
          </w:rPr>
          <w:tab/>
        </w:r>
        <w:r w:rsidR="00C97BE6">
          <w:rPr>
            <w:webHidden/>
          </w:rPr>
          <w:fldChar w:fldCharType="begin"/>
        </w:r>
        <w:r w:rsidR="00C97BE6">
          <w:rPr>
            <w:webHidden/>
          </w:rPr>
          <w:instrText xml:space="preserve"> PAGEREF _Toc5269653 \h </w:instrText>
        </w:r>
        <w:r w:rsidR="00C97BE6">
          <w:rPr>
            <w:webHidden/>
          </w:rPr>
        </w:r>
        <w:r w:rsidR="00C97BE6">
          <w:rPr>
            <w:webHidden/>
          </w:rPr>
          <w:fldChar w:fldCharType="separate"/>
        </w:r>
        <w:r w:rsidR="00D0418C">
          <w:rPr>
            <w:webHidden/>
          </w:rPr>
          <w:t>58</w:t>
        </w:r>
        <w:r w:rsidR="00C97BE6">
          <w:rPr>
            <w:webHidden/>
          </w:rPr>
          <w:fldChar w:fldCharType="end"/>
        </w:r>
      </w:hyperlink>
    </w:p>
    <w:p w14:paraId="2D12306D" w14:textId="77777777" w:rsidR="00C97BE6" w:rsidRPr="002D354C" w:rsidRDefault="00590491">
      <w:pPr>
        <w:pStyle w:val="TableofFigures"/>
        <w:rPr>
          <w:rFonts w:ascii="Calibri" w:hAnsi="Calibri"/>
          <w:sz w:val="22"/>
          <w:szCs w:val="22"/>
          <w:lang w:eastAsia="en-NZ"/>
        </w:rPr>
      </w:pPr>
      <w:hyperlink w:anchor="_Toc5269654" w:history="1">
        <w:r w:rsidR="00C97BE6" w:rsidRPr="004D58A6">
          <w:rPr>
            <w:rStyle w:val="Hyperlink"/>
          </w:rPr>
          <w:t>Figure 2.2.2</w:t>
        </w:r>
        <w:r w:rsidR="00C97BE6" w:rsidRPr="002D354C">
          <w:rPr>
            <w:rFonts w:ascii="Calibri" w:hAnsi="Calibri"/>
            <w:sz w:val="22"/>
            <w:szCs w:val="22"/>
            <w:lang w:eastAsia="en-NZ"/>
          </w:rPr>
          <w:tab/>
        </w:r>
        <w:r w:rsidR="00C97BE6" w:rsidRPr="004D58A6">
          <w:rPr>
            <w:rStyle w:val="Hyperlink"/>
          </w:rPr>
          <w:t>New Zealand’s gross emissions by gas in 2017</w:t>
        </w:r>
        <w:r w:rsidR="00C97BE6">
          <w:rPr>
            <w:webHidden/>
          </w:rPr>
          <w:tab/>
        </w:r>
        <w:r w:rsidR="00C97BE6">
          <w:rPr>
            <w:webHidden/>
          </w:rPr>
          <w:fldChar w:fldCharType="begin"/>
        </w:r>
        <w:r w:rsidR="00C97BE6">
          <w:rPr>
            <w:webHidden/>
          </w:rPr>
          <w:instrText xml:space="preserve"> PAGEREF _Toc5269654 \h </w:instrText>
        </w:r>
        <w:r w:rsidR="00C97BE6">
          <w:rPr>
            <w:webHidden/>
          </w:rPr>
        </w:r>
        <w:r w:rsidR="00C97BE6">
          <w:rPr>
            <w:webHidden/>
          </w:rPr>
          <w:fldChar w:fldCharType="separate"/>
        </w:r>
        <w:r w:rsidR="00D0418C">
          <w:rPr>
            <w:webHidden/>
          </w:rPr>
          <w:t>58</w:t>
        </w:r>
        <w:r w:rsidR="00C97BE6">
          <w:rPr>
            <w:webHidden/>
          </w:rPr>
          <w:fldChar w:fldCharType="end"/>
        </w:r>
      </w:hyperlink>
    </w:p>
    <w:p w14:paraId="2DD88FB4" w14:textId="77777777" w:rsidR="00C97BE6" w:rsidRPr="002D354C" w:rsidRDefault="00590491">
      <w:pPr>
        <w:pStyle w:val="TableofFigures"/>
        <w:rPr>
          <w:rFonts w:ascii="Calibri" w:hAnsi="Calibri"/>
          <w:sz w:val="22"/>
          <w:szCs w:val="22"/>
          <w:lang w:eastAsia="en-NZ"/>
        </w:rPr>
      </w:pPr>
      <w:hyperlink w:anchor="_Toc5269655" w:history="1">
        <w:r w:rsidR="00C97BE6" w:rsidRPr="004D58A6">
          <w:rPr>
            <w:rStyle w:val="Hyperlink"/>
          </w:rPr>
          <w:t xml:space="preserve">Figure 2.2.3 </w:t>
        </w:r>
        <w:r w:rsidR="00C97BE6" w:rsidRPr="002D354C">
          <w:rPr>
            <w:rFonts w:ascii="Calibri" w:hAnsi="Calibri"/>
            <w:sz w:val="22"/>
            <w:szCs w:val="22"/>
            <w:lang w:eastAsia="en-NZ"/>
          </w:rPr>
          <w:tab/>
        </w:r>
        <w:r w:rsidR="00C97BE6" w:rsidRPr="004D58A6">
          <w:rPr>
            <w:rStyle w:val="Hyperlink"/>
          </w:rPr>
          <w:t>Percentage contribution by sector to New Zealand’s gross emissions from 1990 to 2017</w:t>
        </w:r>
        <w:r w:rsidR="00C97BE6">
          <w:rPr>
            <w:webHidden/>
          </w:rPr>
          <w:tab/>
        </w:r>
        <w:r w:rsidR="00C97BE6">
          <w:rPr>
            <w:webHidden/>
          </w:rPr>
          <w:fldChar w:fldCharType="begin"/>
        </w:r>
        <w:r w:rsidR="00C97BE6">
          <w:rPr>
            <w:webHidden/>
          </w:rPr>
          <w:instrText xml:space="preserve"> PAGEREF _Toc5269655 \h </w:instrText>
        </w:r>
        <w:r w:rsidR="00C97BE6">
          <w:rPr>
            <w:webHidden/>
          </w:rPr>
        </w:r>
        <w:r w:rsidR="00C97BE6">
          <w:rPr>
            <w:webHidden/>
          </w:rPr>
          <w:fldChar w:fldCharType="separate"/>
        </w:r>
        <w:r w:rsidR="00D0418C">
          <w:rPr>
            <w:webHidden/>
          </w:rPr>
          <w:t>59</w:t>
        </w:r>
        <w:r w:rsidR="00C97BE6">
          <w:rPr>
            <w:webHidden/>
          </w:rPr>
          <w:fldChar w:fldCharType="end"/>
        </w:r>
      </w:hyperlink>
    </w:p>
    <w:p w14:paraId="680DB884" w14:textId="77777777" w:rsidR="00C97BE6" w:rsidRPr="002D354C" w:rsidRDefault="00590491">
      <w:pPr>
        <w:pStyle w:val="TableofFigures"/>
        <w:rPr>
          <w:rFonts w:ascii="Calibri" w:hAnsi="Calibri"/>
          <w:sz w:val="22"/>
          <w:szCs w:val="22"/>
          <w:lang w:eastAsia="en-NZ"/>
        </w:rPr>
      </w:pPr>
      <w:hyperlink w:anchor="_Toc5269656" w:history="1">
        <w:r w:rsidR="00C97BE6" w:rsidRPr="004D58A6">
          <w:rPr>
            <w:rStyle w:val="Hyperlink"/>
          </w:rPr>
          <w:t>Figure 2.2.4</w:t>
        </w:r>
        <w:r w:rsidR="00C97BE6" w:rsidRPr="002D354C">
          <w:rPr>
            <w:rFonts w:ascii="Calibri" w:hAnsi="Calibri"/>
            <w:sz w:val="22"/>
            <w:szCs w:val="22"/>
            <w:lang w:eastAsia="en-NZ"/>
          </w:rPr>
          <w:tab/>
        </w:r>
        <w:r w:rsidR="00C97BE6" w:rsidRPr="004D58A6">
          <w:rPr>
            <w:rStyle w:val="Hyperlink"/>
          </w:rPr>
          <w:t>Change in New Zealand’s emissions by sector comparing 1990 and 2017</w:t>
        </w:r>
        <w:r w:rsidR="00C97BE6">
          <w:rPr>
            <w:webHidden/>
          </w:rPr>
          <w:tab/>
        </w:r>
        <w:r w:rsidR="00C97BE6">
          <w:rPr>
            <w:webHidden/>
          </w:rPr>
          <w:fldChar w:fldCharType="begin"/>
        </w:r>
        <w:r w:rsidR="00C97BE6">
          <w:rPr>
            <w:webHidden/>
          </w:rPr>
          <w:instrText xml:space="preserve"> PAGEREF _Toc5269656 \h </w:instrText>
        </w:r>
        <w:r w:rsidR="00C97BE6">
          <w:rPr>
            <w:webHidden/>
          </w:rPr>
        </w:r>
        <w:r w:rsidR="00C97BE6">
          <w:rPr>
            <w:webHidden/>
          </w:rPr>
          <w:fldChar w:fldCharType="separate"/>
        </w:r>
        <w:r w:rsidR="00D0418C">
          <w:rPr>
            <w:webHidden/>
          </w:rPr>
          <w:t>60</w:t>
        </w:r>
        <w:r w:rsidR="00C97BE6">
          <w:rPr>
            <w:webHidden/>
          </w:rPr>
          <w:fldChar w:fldCharType="end"/>
        </w:r>
      </w:hyperlink>
    </w:p>
    <w:p w14:paraId="716C8EC5" w14:textId="77777777" w:rsidR="00C97BE6" w:rsidRPr="002D354C" w:rsidRDefault="00590491">
      <w:pPr>
        <w:pStyle w:val="TableofFigures"/>
        <w:rPr>
          <w:rFonts w:ascii="Calibri" w:hAnsi="Calibri"/>
          <w:sz w:val="22"/>
          <w:szCs w:val="22"/>
          <w:lang w:eastAsia="en-NZ"/>
        </w:rPr>
      </w:pPr>
      <w:hyperlink w:anchor="_Toc5269657" w:history="1">
        <w:r w:rsidR="00C97BE6" w:rsidRPr="004D58A6">
          <w:rPr>
            <w:rStyle w:val="Hyperlink"/>
          </w:rPr>
          <w:t>Figure 2.2.5</w:t>
        </w:r>
        <w:r w:rsidR="00C97BE6" w:rsidRPr="002D354C">
          <w:rPr>
            <w:rFonts w:ascii="Calibri" w:hAnsi="Calibri"/>
            <w:sz w:val="22"/>
            <w:szCs w:val="22"/>
            <w:lang w:eastAsia="en-NZ"/>
          </w:rPr>
          <w:tab/>
        </w:r>
        <w:r w:rsidR="00C97BE6" w:rsidRPr="004D58A6">
          <w:rPr>
            <w:rStyle w:val="Hyperlink"/>
          </w:rPr>
          <w:t>Absolute change in New Zealand’s gross emissions by sector from 1990 to 2017</w:t>
        </w:r>
        <w:r w:rsidR="00C97BE6">
          <w:rPr>
            <w:webHidden/>
          </w:rPr>
          <w:tab/>
        </w:r>
        <w:r w:rsidR="00C97BE6">
          <w:rPr>
            <w:webHidden/>
          </w:rPr>
          <w:fldChar w:fldCharType="begin"/>
        </w:r>
        <w:r w:rsidR="00C97BE6">
          <w:rPr>
            <w:webHidden/>
          </w:rPr>
          <w:instrText xml:space="preserve"> PAGEREF _Toc5269657 \h </w:instrText>
        </w:r>
        <w:r w:rsidR="00C97BE6">
          <w:rPr>
            <w:webHidden/>
          </w:rPr>
        </w:r>
        <w:r w:rsidR="00C97BE6">
          <w:rPr>
            <w:webHidden/>
          </w:rPr>
          <w:fldChar w:fldCharType="separate"/>
        </w:r>
        <w:r w:rsidR="00D0418C">
          <w:rPr>
            <w:webHidden/>
          </w:rPr>
          <w:t>61</w:t>
        </w:r>
        <w:r w:rsidR="00C97BE6">
          <w:rPr>
            <w:webHidden/>
          </w:rPr>
          <w:fldChar w:fldCharType="end"/>
        </w:r>
      </w:hyperlink>
    </w:p>
    <w:p w14:paraId="6CAE0E34" w14:textId="77777777" w:rsidR="00C97BE6" w:rsidRPr="002D354C" w:rsidRDefault="00590491">
      <w:pPr>
        <w:pStyle w:val="TableofFigures"/>
        <w:rPr>
          <w:rFonts w:ascii="Calibri" w:hAnsi="Calibri"/>
          <w:sz w:val="22"/>
          <w:szCs w:val="22"/>
          <w:lang w:eastAsia="en-NZ"/>
        </w:rPr>
      </w:pPr>
      <w:hyperlink w:anchor="_Toc5269658" w:history="1">
        <w:r w:rsidR="00C97BE6" w:rsidRPr="004D58A6">
          <w:rPr>
            <w:rStyle w:val="Hyperlink"/>
          </w:rPr>
          <w:t>Figure 2.2.6</w:t>
        </w:r>
        <w:r w:rsidR="00C97BE6" w:rsidRPr="002D354C">
          <w:rPr>
            <w:rFonts w:ascii="Calibri" w:hAnsi="Calibri"/>
            <w:sz w:val="22"/>
            <w:szCs w:val="22"/>
            <w:lang w:eastAsia="en-NZ"/>
          </w:rPr>
          <w:tab/>
        </w:r>
        <w:r w:rsidR="00C97BE6" w:rsidRPr="004D58A6">
          <w:rPr>
            <w:rStyle w:val="Hyperlink"/>
          </w:rPr>
          <w:t>Absolute change in net emissions from the LULUCF sector from 1990 to 2017</w:t>
        </w:r>
        <w:r w:rsidR="00C97BE6">
          <w:rPr>
            <w:webHidden/>
          </w:rPr>
          <w:tab/>
        </w:r>
        <w:r w:rsidR="00C97BE6">
          <w:rPr>
            <w:webHidden/>
          </w:rPr>
          <w:fldChar w:fldCharType="begin"/>
        </w:r>
        <w:r w:rsidR="00C97BE6">
          <w:rPr>
            <w:webHidden/>
          </w:rPr>
          <w:instrText xml:space="preserve"> PAGEREF _Toc5269658 \h </w:instrText>
        </w:r>
        <w:r w:rsidR="00C97BE6">
          <w:rPr>
            <w:webHidden/>
          </w:rPr>
        </w:r>
        <w:r w:rsidR="00C97BE6">
          <w:rPr>
            <w:webHidden/>
          </w:rPr>
          <w:fldChar w:fldCharType="separate"/>
        </w:r>
        <w:r w:rsidR="00D0418C">
          <w:rPr>
            <w:webHidden/>
          </w:rPr>
          <w:t>61</w:t>
        </w:r>
        <w:r w:rsidR="00C97BE6">
          <w:rPr>
            <w:webHidden/>
          </w:rPr>
          <w:fldChar w:fldCharType="end"/>
        </w:r>
      </w:hyperlink>
    </w:p>
    <w:p w14:paraId="6C63DDCB" w14:textId="77777777" w:rsidR="00C97BE6" w:rsidRPr="002D354C" w:rsidRDefault="00590491">
      <w:pPr>
        <w:pStyle w:val="TableofFigures"/>
        <w:rPr>
          <w:rFonts w:ascii="Calibri" w:hAnsi="Calibri"/>
          <w:sz w:val="22"/>
          <w:szCs w:val="22"/>
          <w:lang w:eastAsia="en-NZ"/>
        </w:rPr>
      </w:pPr>
      <w:hyperlink w:anchor="_Toc5269659" w:history="1">
        <w:r w:rsidR="00C97BE6" w:rsidRPr="004D58A6">
          <w:rPr>
            <w:rStyle w:val="Hyperlink"/>
          </w:rPr>
          <w:t>Figure 2.2.7</w:t>
        </w:r>
        <w:r w:rsidR="00C97BE6" w:rsidRPr="002D354C">
          <w:rPr>
            <w:rFonts w:ascii="Calibri" w:hAnsi="Calibri"/>
            <w:sz w:val="22"/>
            <w:szCs w:val="22"/>
            <w:lang w:eastAsia="en-NZ"/>
          </w:rPr>
          <w:tab/>
        </w:r>
        <w:r w:rsidR="00C97BE6" w:rsidRPr="004D58A6">
          <w:rPr>
            <w:rStyle w:val="Hyperlink"/>
          </w:rPr>
          <w:t>New Zealand’s Energy sector emissions from 1990 to 2017</w:t>
        </w:r>
        <w:r w:rsidR="00C97BE6">
          <w:rPr>
            <w:webHidden/>
          </w:rPr>
          <w:tab/>
        </w:r>
        <w:r w:rsidR="00C97BE6">
          <w:rPr>
            <w:webHidden/>
          </w:rPr>
          <w:fldChar w:fldCharType="begin"/>
        </w:r>
        <w:r w:rsidR="00C97BE6">
          <w:rPr>
            <w:webHidden/>
          </w:rPr>
          <w:instrText xml:space="preserve"> PAGEREF _Toc5269659 \h </w:instrText>
        </w:r>
        <w:r w:rsidR="00C97BE6">
          <w:rPr>
            <w:webHidden/>
          </w:rPr>
        </w:r>
        <w:r w:rsidR="00C97BE6">
          <w:rPr>
            <w:webHidden/>
          </w:rPr>
          <w:fldChar w:fldCharType="separate"/>
        </w:r>
        <w:r w:rsidR="00D0418C">
          <w:rPr>
            <w:webHidden/>
          </w:rPr>
          <w:t>62</w:t>
        </w:r>
        <w:r w:rsidR="00C97BE6">
          <w:rPr>
            <w:webHidden/>
          </w:rPr>
          <w:fldChar w:fldCharType="end"/>
        </w:r>
      </w:hyperlink>
    </w:p>
    <w:p w14:paraId="4E40AD28" w14:textId="77777777" w:rsidR="00C97BE6" w:rsidRPr="002D354C" w:rsidRDefault="00590491">
      <w:pPr>
        <w:pStyle w:val="TableofFigures"/>
        <w:rPr>
          <w:rFonts w:ascii="Calibri" w:hAnsi="Calibri"/>
          <w:sz w:val="22"/>
          <w:szCs w:val="22"/>
          <w:lang w:eastAsia="en-NZ"/>
        </w:rPr>
      </w:pPr>
      <w:hyperlink w:anchor="_Toc5269660" w:history="1">
        <w:r w:rsidR="00C97BE6" w:rsidRPr="004D58A6">
          <w:rPr>
            <w:rStyle w:val="Hyperlink"/>
          </w:rPr>
          <w:t>Figure 2.2.8</w:t>
        </w:r>
        <w:r w:rsidR="00C97BE6" w:rsidRPr="002D354C">
          <w:rPr>
            <w:rFonts w:ascii="Calibri" w:hAnsi="Calibri"/>
            <w:sz w:val="22"/>
            <w:szCs w:val="22"/>
            <w:lang w:eastAsia="en-NZ"/>
          </w:rPr>
          <w:tab/>
        </w:r>
        <w:r w:rsidR="00C97BE6" w:rsidRPr="004D58A6">
          <w:rPr>
            <w:rStyle w:val="Hyperlink"/>
          </w:rPr>
          <w:t>New Zealand’s IPPU sector emissions from 1990 to 2017</w:t>
        </w:r>
        <w:r w:rsidR="00C97BE6">
          <w:rPr>
            <w:webHidden/>
          </w:rPr>
          <w:tab/>
        </w:r>
        <w:r w:rsidR="00C97BE6">
          <w:rPr>
            <w:webHidden/>
          </w:rPr>
          <w:fldChar w:fldCharType="begin"/>
        </w:r>
        <w:r w:rsidR="00C97BE6">
          <w:rPr>
            <w:webHidden/>
          </w:rPr>
          <w:instrText xml:space="preserve"> PAGEREF _Toc5269660 \h </w:instrText>
        </w:r>
        <w:r w:rsidR="00C97BE6">
          <w:rPr>
            <w:webHidden/>
          </w:rPr>
        </w:r>
        <w:r w:rsidR="00C97BE6">
          <w:rPr>
            <w:webHidden/>
          </w:rPr>
          <w:fldChar w:fldCharType="separate"/>
        </w:r>
        <w:r w:rsidR="00D0418C">
          <w:rPr>
            <w:webHidden/>
          </w:rPr>
          <w:t>63</w:t>
        </w:r>
        <w:r w:rsidR="00C97BE6">
          <w:rPr>
            <w:webHidden/>
          </w:rPr>
          <w:fldChar w:fldCharType="end"/>
        </w:r>
      </w:hyperlink>
    </w:p>
    <w:p w14:paraId="223FAD7A" w14:textId="77777777" w:rsidR="00C97BE6" w:rsidRPr="002D354C" w:rsidRDefault="00590491">
      <w:pPr>
        <w:pStyle w:val="TableofFigures"/>
        <w:rPr>
          <w:rFonts w:ascii="Calibri" w:hAnsi="Calibri"/>
          <w:sz w:val="22"/>
          <w:szCs w:val="22"/>
          <w:lang w:eastAsia="en-NZ"/>
        </w:rPr>
      </w:pPr>
      <w:hyperlink w:anchor="_Toc5269661" w:history="1">
        <w:r w:rsidR="00C97BE6" w:rsidRPr="004D58A6">
          <w:rPr>
            <w:rStyle w:val="Hyperlink"/>
          </w:rPr>
          <w:t>Figure 2.2.9</w:t>
        </w:r>
        <w:r w:rsidR="00C97BE6" w:rsidRPr="002D354C">
          <w:rPr>
            <w:rFonts w:ascii="Calibri" w:hAnsi="Calibri"/>
            <w:sz w:val="22"/>
            <w:szCs w:val="22"/>
            <w:lang w:eastAsia="en-NZ"/>
          </w:rPr>
          <w:tab/>
        </w:r>
        <w:r w:rsidR="00C97BE6" w:rsidRPr="004D58A6">
          <w:rPr>
            <w:rStyle w:val="Hyperlink"/>
          </w:rPr>
          <w:t>New Zealand’s Agriculture sector emissions from 1990 to 2017</w:t>
        </w:r>
        <w:r w:rsidR="00C97BE6">
          <w:rPr>
            <w:webHidden/>
          </w:rPr>
          <w:tab/>
        </w:r>
        <w:r w:rsidR="00C97BE6">
          <w:rPr>
            <w:webHidden/>
          </w:rPr>
          <w:fldChar w:fldCharType="begin"/>
        </w:r>
        <w:r w:rsidR="00C97BE6">
          <w:rPr>
            <w:webHidden/>
          </w:rPr>
          <w:instrText xml:space="preserve"> PAGEREF _Toc5269661 \h </w:instrText>
        </w:r>
        <w:r w:rsidR="00C97BE6">
          <w:rPr>
            <w:webHidden/>
          </w:rPr>
        </w:r>
        <w:r w:rsidR="00C97BE6">
          <w:rPr>
            <w:webHidden/>
          </w:rPr>
          <w:fldChar w:fldCharType="separate"/>
        </w:r>
        <w:r w:rsidR="00D0418C">
          <w:rPr>
            <w:webHidden/>
          </w:rPr>
          <w:t>64</w:t>
        </w:r>
        <w:r w:rsidR="00C97BE6">
          <w:rPr>
            <w:webHidden/>
          </w:rPr>
          <w:fldChar w:fldCharType="end"/>
        </w:r>
      </w:hyperlink>
    </w:p>
    <w:p w14:paraId="7FEEE1E8" w14:textId="77777777" w:rsidR="00C97BE6" w:rsidRPr="002D354C" w:rsidRDefault="00590491">
      <w:pPr>
        <w:pStyle w:val="TableofFigures"/>
        <w:rPr>
          <w:rFonts w:ascii="Calibri" w:hAnsi="Calibri"/>
          <w:sz w:val="22"/>
          <w:szCs w:val="22"/>
          <w:lang w:eastAsia="en-NZ"/>
        </w:rPr>
      </w:pPr>
      <w:hyperlink w:anchor="_Toc5269662" w:history="1">
        <w:r w:rsidR="00C97BE6" w:rsidRPr="004D58A6">
          <w:rPr>
            <w:rStyle w:val="Hyperlink"/>
          </w:rPr>
          <w:t>Figure 2.2.10</w:t>
        </w:r>
        <w:r w:rsidR="00C97BE6" w:rsidRPr="002D354C">
          <w:rPr>
            <w:rFonts w:ascii="Calibri" w:hAnsi="Calibri"/>
            <w:sz w:val="22"/>
            <w:szCs w:val="22"/>
            <w:lang w:eastAsia="en-NZ"/>
          </w:rPr>
          <w:tab/>
        </w:r>
        <w:r w:rsidR="00C97BE6" w:rsidRPr="004D58A6">
          <w:rPr>
            <w:rStyle w:val="Hyperlink"/>
          </w:rPr>
          <w:t>New Zealand’s LULUCF sector net emissions from 1990 to 2017</w:t>
        </w:r>
        <w:r w:rsidR="00C97BE6">
          <w:rPr>
            <w:webHidden/>
          </w:rPr>
          <w:tab/>
        </w:r>
        <w:r w:rsidR="00C97BE6">
          <w:rPr>
            <w:webHidden/>
          </w:rPr>
          <w:fldChar w:fldCharType="begin"/>
        </w:r>
        <w:r w:rsidR="00C97BE6">
          <w:rPr>
            <w:webHidden/>
          </w:rPr>
          <w:instrText xml:space="preserve"> PAGEREF _Toc5269662 \h </w:instrText>
        </w:r>
        <w:r w:rsidR="00C97BE6">
          <w:rPr>
            <w:webHidden/>
          </w:rPr>
        </w:r>
        <w:r w:rsidR="00C97BE6">
          <w:rPr>
            <w:webHidden/>
          </w:rPr>
          <w:fldChar w:fldCharType="separate"/>
        </w:r>
        <w:r w:rsidR="00D0418C">
          <w:rPr>
            <w:webHidden/>
          </w:rPr>
          <w:t>66</w:t>
        </w:r>
        <w:r w:rsidR="00C97BE6">
          <w:rPr>
            <w:webHidden/>
          </w:rPr>
          <w:fldChar w:fldCharType="end"/>
        </w:r>
      </w:hyperlink>
    </w:p>
    <w:p w14:paraId="0A5D7127" w14:textId="77777777" w:rsidR="00C97BE6" w:rsidRPr="002D354C" w:rsidRDefault="00590491">
      <w:pPr>
        <w:pStyle w:val="TableofFigures"/>
        <w:rPr>
          <w:rFonts w:ascii="Calibri" w:hAnsi="Calibri"/>
          <w:sz w:val="22"/>
          <w:szCs w:val="22"/>
          <w:lang w:eastAsia="en-NZ"/>
        </w:rPr>
      </w:pPr>
      <w:hyperlink w:anchor="_Toc5269663" w:history="1">
        <w:r w:rsidR="00C97BE6" w:rsidRPr="004D58A6">
          <w:rPr>
            <w:rStyle w:val="Hyperlink"/>
          </w:rPr>
          <w:t>Figure 2.2.11</w:t>
        </w:r>
        <w:r w:rsidR="00C97BE6" w:rsidRPr="002D354C">
          <w:rPr>
            <w:rFonts w:ascii="Calibri" w:hAnsi="Calibri"/>
            <w:sz w:val="22"/>
            <w:szCs w:val="22"/>
            <w:lang w:eastAsia="en-NZ"/>
          </w:rPr>
          <w:tab/>
        </w:r>
        <w:r w:rsidR="00C97BE6" w:rsidRPr="004D58A6">
          <w:rPr>
            <w:rStyle w:val="Hyperlink"/>
          </w:rPr>
          <w:t>New Zealand’s Waste sector emissions from 1990 to 2017</w:t>
        </w:r>
        <w:r w:rsidR="00C97BE6">
          <w:rPr>
            <w:webHidden/>
          </w:rPr>
          <w:tab/>
        </w:r>
        <w:r w:rsidR="00C97BE6">
          <w:rPr>
            <w:webHidden/>
          </w:rPr>
          <w:fldChar w:fldCharType="begin"/>
        </w:r>
        <w:r w:rsidR="00C97BE6">
          <w:rPr>
            <w:webHidden/>
          </w:rPr>
          <w:instrText xml:space="preserve"> PAGEREF _Toc5269663 \h </w:instrText>
        </w:r>
        <w:r w:rsidR="00C97BE6">
          <w:rPr>
            <w:webHidden/>
          </w:rPr>
        </w:r>
        <w:r w:rsidR="00C97BE6">
          <w:rPr>
            <w:webHidden/>
          </w:rPr>
          <w:fldChar w:fldCharType="separate"/>
        </w:r>
        <w:r w:rsidR="00D0418C">
          <w:rPr>
            <w:webHidden/>
          </w:rPr>
          <w:t>67</w:t>
        </w:r>
        <w:r w:rsidR="00C97BE6">
          <w:rPr>
            <w:webHidden/>
          </w:rPr>
          <w:fldChar w:fldCharType="end"/>
        </w:r>
      </w:hyperlink>
    </w:p>
    <w:p w14:paraId="3DCA9FFD" w14:textId="77777777" w:rsidR="00C97BE6" w:rsidRPr="002D354C" w:rsidRDefault="00590491">
      <w:pPr>
        <w:pStyle w:val="TableofFigures"/>
        <w:rPr>
          <w:rFonts w:ascii="Calibri" w:hAnsi="Calibri"/>
          <w:sz w:val="22"/>
          <w:szCs w:val="22"/>
          <w:lang w:eastAsia="en-NZ"/>
        </w:rPr>
      </w:pPr>
      <w:hyperlink w:anchor="_Toc5269664" w:history="1">
        <w:r w:rsidR="00C97BE6" w:rsidRPr="004D58A6">
          <w:rPr>
            <w:rStyle w:val="Hyperlink"/>
          </w:rPr>
          <w:t>Figure 2.3.1</w:t>
        </w:r>
        <w:r w:rsidR="00C97BE6" w:rsidRPr="002D354C">
          <w:rPr>
            <w:rFonts w:ascii="Calibri" w:hAnsi="Calibri"/>
            <w:sz w:val="22"/>
            <w:szCs w:val="22"/>
            <w:lang w:eastAsia="en-NZ"/>
          </w:rPr>
          <w:tab/>
        </w:r>
        <w:r w:rsidR="00C97BE6" w:rsidRPr="004D58A6">
          <w:rPr>
            <w:rStyle w:val="Hyperlink"/>
          </w:rPr>
          <w:t>Greenhouse gas emissions from Tokelau 1990 to 2017</w:t>
        </w:r>
        <w:r w:rsidR="00C97BE6">
          <w:rPr>
            <w:webHidden/>
          </w:rPr>
          <w:tab/>
        </w:r>
        <w:r w:rsidR="00C97BE6">
          <w:rPr>
            <w:webHidden/>
          </w:rPr>
          <w:fldChar w:fldCharType="begin"/>
        </w:r>
        <w:r w:rsidR="00C97BE6">
          <w:rPr>
            <w:webHidden/>
          </w:rPr>
          <w:instrText xml:space="preserve"> PAGEREF _Toc5269664 \h </w:instrText>
        </w:r>
        <w:r w:rsidR="00C97BE6">
          <w:rPr>
            <w:webHidden/>
          </w:rPr>
        </w:r>
        <w:r w:rsidR="00C97BE6">
          <w:rPr>
            <w:webHidden/>
          </w:rPr>
          <w:fldChar w:fldCharType="separate"/>
        </w:r>
        <w:r w:rsidR="00D0418C">
          <w:rPr>
            <w:webHidden/>
          </w:rPr>
          <w:t>70</w:t>
        </w:r>
        <w:r w:rsidR="00C97BE6">
          <w:rPr>
            <w:webHidden/>
          </w:rPr>
          <w:fldChar w:fldCharType="end"/>
        </w:r>
      </w:hyperlink>
    </w:p>
    <w:p w14:paraId="216876F1" w14:textId="77777777" w:rsidR="00C97BE6" w:rsidRPr="002D354C" w:rsidRDefault="00590491">
      <w:pPr>
        <w:pStyle w:val="TableofFigures"/>
        <w:rPr>
          <w:rFonts w:ascii="Calibri" w:hAnsi="Calibri"/>
          <w:sz w:val="22"/>
          <w:szCs w:val="22"/>
          <w:lang w:eastAsia="en-NZ"/>
        </w:rPr>
      </w:pPr>
      <w:hyperlink w:anchor="_Toc5269665" w:history="1">
        <w:r w:rsidR="00C97BE6" w:rsidRPr="004D58A6">
          <w:rPr>
            <w:rStyle w:val="Hyperlink"/>
          </w:rPr>
          <w:t>Figure 3.1.1</w:t>
        </w:r>
        <w:r w:rsidR="00C97BE6" w:rsidRPr="002D354C">
          <w:rPr>
            <w:rFonts w:ascii="Calibri" w:hAnsi="Calibri"/>
            <w:sz w:val="22"/>
            <w:szCs w:val="22"/>
            <w:lang w:eastAsia="en-NZ"/>
          </w:rPr>
          <w:tab/>
        </w:r>
        <w:r w:rsidR="00C97BE6" w:rsidRPr="004D58A6">
          <w:rPr>
            <w:rStyle w:val="Hyperlink"/>
          </w:rPr>
          <w:t>New Zealand’s Energy sector emissions</w:t>
        </w:r>
        <w:r w:rsidR="00C97BE6">
          <w:rPr>
            <w:webHidden/>
          </w:rPr>
          <w:tab/>
        </w:r>
        <w:r w:rsidR="00C97BE6">
          <w:rPr>
            <w:webHidden/>
          </w:rPr>
          <w:fldChar w:fldCharType="begin"/>
        </w:r>
        <w:r w:rsidR="00C97BE6">
          <w:rPr>
            <w:webHidden/>
          </w:rPr>
          <w:instrText xml:space="preserve"> PAGEREF _Toc5269665 \h </w:instrText>
        </w:r>
        <w:r w:rsidR="00C97BE6">
          <w:rPr>
            <w:webHidden/>
          </w:rPr>
        </w:r>
        <w:r w:rsidR="00C97BE6">
          <w:rPr>
            <w:webHidden/>
          </w:rPr>
          <w:fldChar w:fldCharType="separate"/>
        </w:r>
        <w:r w:rsidR="00D0418C">
          <w:rPr>
            <w:webHidden/>
          </w:rPr>
          <w:t>73</w:t>
        </w:r>
        <w:r w:rsidR="00C97BE6">
          <w:rPr>
            <w:webHidden/>
          </w:rPr>
          <w:fldChar w:fldCharType="end"/>
        </w:r>
      </w:hyperlink>
    </w:p>
    <w:p w14:paraId="3FA7C0B6" w14:textId="77777777" w:rsidR="00C97BE6" w:rsidRPr="002D354C" w:rsidRDefault="00590491">
      <w:pPr>
        <w:pStyle w:val="TableofFigures"/>
        <w:rPr>
          <w:rFonts w:ascii="Calibri" w:hAnsi="Calibri"/>
          <w:sz w:val="22"/>
          <w:szCs w:val="22"/>
          <w:lang w:eastAsia="en-NZ"/>
        </w:rPr>
      </w:pPr>
      <w:hyperlink w:anchor="_Toc5269666" w:history="1">
        <w:r w:rsidR="00C97BE6" w:rsidRPr="004D58A6">
          <w:rPr>
            <w:rStyle w:val="Hyperlink"/>
          </w:rPr>
          <w:t>Figure 3.2.1</w:t>
        </w:r>
        <w:r w:rsidR="00C97BE6" w:rsidRPr="002D354C">
          <w:rPr>
            <w:rFonts w:ascii="Calibri" w:hAnsi="Calibri"/>
            <w:sz w:val="22"/>
            <w:szCs w:val="22"/>
            <w:lang w:eastAsia="en-NZ"/>
          </w:rPr>
          <w:tab/>
        </w:r>
        <w:r w:rsidR="00C97BE6" w:rsidRPr="004D58A6">
          <w:rPr>
            <w:rStyle w:val="Hyperlink"/>
          </w:rPr>
          <w:t>Natural gas consumption by end use type</w:t>
        </w:r>
        <w:r w:rsidR="00C97BE6">
          <w:rPr>
            <w:webHidden/>
          </w:rPr>
          <w:tab/>
        </w:r>
        <w:r w:rsidR="00C97BE6">
          <w:rPr>
            <w:webHidden/>
          </w:rPr>
          <w:fldChar w:fldCharType="begin"/>
        </w:r>
        <w:r w:rsidR="00C97BE6">
          <w:rPr>
            <w:webHidden/>
          </w:rPr>
          <w:instrText xml:space="preserve"> PAGEREF _Toc5269666 \h </w:instrText>
        </w:r>
        <w:r w:rsidR="00C97BE6">
          <w:rPr>
            <w:webHidden/>
          </w:rPr>
        </w:r>
        <w:r w:rsidR="00C97BE6">
          <w:rPr>
            <w:webHidden/>
          </w:rPr>
          <w:fldChar w:fldCharType="separate"/>
        </w:r>
        <w:r w:rsidR="00D0418C">
          <w:rPr>
            <w:webHidden/>
          </w:rPr>
          <w:t>77</w:t>
        </w:r>
        <w:r w:rsidR="00C97BE6">
          <w:rPr>
            <w:webHidden/>
          </w:rPr>
          <w:fldChar w:fldCharType="end"/>
        </w:r>
      </w:hyperlink>
    </w:p>
    <w:p w14:paraId="2198D2B2" w14:textId="77777777" w:rsidR="00C97BE6" w:rsidRPr="002D354C" w:rsidRDefault="00590491">
      <w:pPr>
        <w:pStyle w:val="TableofFigures"/>
        <w:rPr>
          <w:rFonts w:ascii="Calibri" w:hAnsi="Calibri"/>
          <w:sz w:val="22"/>
          <w:szCs w:val="22"/>
          <w:lang w:eastAsia="en-NZ"/>
        </w:rPr>
      </w:pPr>
      <w:hyperlink w:anchor="_Toc5269667" w:history="1">
        <w:r w:rsidR="00C97BE6" w:rsidRPr="004D58A6">
          <w:rPr>
            <w:rStyle w:val="Hyperlink"/>
          </w:rPr>
          <w:t>Figure 3.3.1</w:t>
        </w:r>
        <w:r w:rsidR="00C97BE6" w:rsidRPr="002D354C">
          <w:rPr>
            <w:rFonts w:ascii="Calibri" w:hAnsi="Calibri"/>
            <w:sz w:val="22"/>
            <w:szCs w:val="22"/>
            <w:lang w:eastAsia="en-NZ"/>
          </w:rPr>
          <w:tab/>
        </w:r>
        <w:r w:rsidR="00C97BE6" w:rsidRPr="004D58A6">
          <w:rPr>
            <w:rStyle w:val="Hyperlink"/>
          </w:rPr>
          <w:t>Change in New Zealand’s emissions from the fuel combustion categories (1990–2017)</w:t>
        </w:r>
        <w:r w:rsidR="00C97BE6">
          <w:rPr>
            <w:webHidden/>
          </w:rPr>
          <w:tab/>
        </w:r>
        <w:r w:rsidR="00C97BE6">
          <w:rPr>
            <w:webHidden/>
          </w:rPr>
          <w:fldChar w:fldCharType="begin"/>
        </w:r>
        <w:r w:rsidR="00C97BE6">
          <w:rPr>
            <w:webHidden/>
          </w:rPr>
          <w:instrText xml:space="preserve"> PAGEREF _Toc5269667 \h </w:instrText>
        </w:r>
        <w:r w:rsidR="00C97BE6">
          <w:rPr>
            <w:webHidden/>
          </w:rPr>
        </w:r>
        <w:r w:rsidR="00C97BE6">
          <w:rPr>
            <w:webHidden/>
          </w:rPr>
          <w:fldChar w:fldCharType="separate"/>
        </w:r>
        <w:r w:rsidR="00D0418C">
          <w:rPr>
            <w:webHidden/>
          </w:rPr>
          <w:t>78</w:t>
        </w:r>
        <w:r w:rsidR="00C97BE6">
          <w:rPr>
            <w:webHidden/>
          </w:rPr>
          <w:fldChar w:fldCharType="end"/>
        </w:r>
      </w:hyperlink>
    </w:p>
    <w:p w14:paraId="7ED7C290" w14:textId="77777777" w:rsidR="00C97BE6" w:rsidRPr="002D354C" w:rsidRDefault="00590491">
      <w:pPr>
        <w:pStyle w:val="TableofFigures"/>
        <w:rPr>
          <w:rFonts w:ascii="Calibri" w:hAnsi="Calibri"/>
          <w:sz w:val="22"/>
          <w:szCs w:val="22"/>
          <w:lang w:eastAsia="en-NZ"/>
        </w:rPr>
      </w:pPr>
      <w:hyperlink w:anchor="_Toc5269668" w:history="1">
        <w:r w:rsidR="00C97BE6" w:rsidRPr="004D58A6">
          <w:rPr>
            <w:rStyle w:val="Hyperlink"/>
          </w:rPr>
          <w:t xml:space="preserve">Figure 3.3.2 </w:t>
        </w:r>
        <w:r w:rsidR="00C97BE6" w:rsidRPr="002D354C">
          <w:rPr>
            <w:rFonts w:ascii="Calibri" w:hAnsi="Calibri"/>
            <w:sz w:val="22"/>
            <w:szCs w:val="22"/>
            <w:lang w:eastAsia="en-NZ"/>
          </w:rPr>
          <w:tab/>
        </w:r>
        <w:r w:rsidR="00C97BE6" w:rsidRPr="004D58A6">
          <w:rPr>
            <w:rStyle w:val="Hyperlink"/>
          </w:rPr>
          <w:t>Energy sector quality control process map</w:t>
        </w:r>
        <w:r w:rsidR="00C97BE6">
          <w:rPr>
            <w:webHidden/>
          </w:rPr>
          <w:tab/>
        </w:r>
        <w:r w:rsidR="00C97BE6">
          <w:rPr>
            <w:webHidden/>
          </w:rPr>
          <w:fldChar w:fldCharType="begin"/>
        </w:r>
        <w:r w:rsidR="00C97BE6">
          <w:rPr>
            <w:webHidden/>
          </w:rPr>
          <w:instrText xml:space="preserve"> PAGEREF _Toc5269668 \h </w:instrText>
        </w:r>
        <w:r w:rsidR="00C97BE6">
          <w:rPr>
            <w:webHidden/>
          </w:rPr>
        </w:r>
        <w:r w:rsidR="00C97BE6">
          <w:rPr>
            <w:webHidden/>
          </w:rPr>
          <w:fldChar w:fldCharType="separate"/>
        </w:r>
        <w:r w:rsidR="00D0418C">
          <w:rPr>
            <w:webHidden/>
          </w:rPr>
          <w:t>84</w:t>
        </w:r>
        <w:r w:rsidR="00C97BE6">
          <w:rPr>
            <w:webHidden/>
          </w:rPr>
          <w:fldChar w:fldCharType="end"/>
        </w:r>
      </w:hyperlink>
    </w:p>
    <w:p w14:paraId="36500E97" w14:textId="77777777" w:rsidR="00C97BE6" w:rsidRPr="002D354C" w:rsidRDefault="00590491">
      <w:pPr>
        <w:pStyle w:val="TableofFigures"/>
        <w:rPr>
          <w:rFonts w:ascii="Calibri" w:hAnsi="Calibri"/>
          <w:sz w:val="22"/>
          <w:szCs w:val="22"/>
          <w:lang w:eastAsia="en-NZ"/>
        </w:rPr>
      </w:pPr>
      <w:hyperlink w:anchor="_Toc5269669" w:history="1">
        <w:r w:rsidR="00C97BE6" w:rsidRPr="004D58A6">
          <w:rPr>
            <w:rStyle w:val="Hyperlink"/>
          </w:rPr>
          <w:t xml:space="preserve">Figure 3.3.3 </w:t>
        </w:r>
        <w:r w:rsidR="00C97BE6" w:rsidRPr="002D354C">
          <w:rPr>
            <w:rFonts w:ascii="Calibri" w:hAnsi="Calibri"/>
            <w:sz w:val="22"/>
            <w:szCs w:val="22"/>
            <w:lang w:eastAsia="en-NZ"/>
          </w:rPr>
          <w:tab/>
        </w:r>
        <w:r w:rsidR="00C97BE6" w:rsidRPr="004D58A6">
          <w:rPr>
            <w:rStyle w:val="Hyperlink"/>
          </w:rPr>
          <w:t>Carbon dioxide implied emission factor (IEF) – Liquid fuel combustion (1990–2017)</w:t>
        </w:r>
        <w:r w:rsidR="00C97BE6">
          <w:rPr>
            <w:webHidden/>
          </w:rPr>
          <w:tab/>
        </w:r>
        <w:r w:rsidR="00C97BE6">
          <w:rPr>
            <w:webHidden/>
          </w:rPr>
          <w:fldChar w:fldCharType="begin"/>
        </w:r>
        <w:r w:rsidR="00C97BE6">
          <w:rPr>
            <w:webHidden/>
          </w:rPr>
          <w:instrText xml:space="preserve"> PAGEREF _Toc5269669 \h </w:instrText>
        </w:r>
        <w:r w:rsidR="00C97BE6">
          <w:rPr>
            <w:webHidden/>
          </w:rPr>
        </w:r>
        <w:r w:rsidR="00C97BE6">
          <w:rPr>
            <w:webHidden/>
          </w:rPr>
          <w:fldChar w:fldCharType="separate"/>
        </w:r>
        <w:r w:rsidR="00D0418C">
          <w:rPr>
            <w:webHidden/>
          </w:rPr>
          <w:t>85</w:t>
        </w:r>
        <w:r w:rsidR="00C97BE6">
          <w:rPr>
            <w:webHidden/>
          </w:rPr>
          <w:fldChar w:fldCharType="end"/>
        </w:r>
      </w:hyperlink>
    </w:p>
    <w:p w14:paraId="384C8F7F" w14:textId="77777777" w:rsidR="00C97BE6" w:rsidRPr="002D354C" w:rsidRDefault="00590491">
      <w:pPr>
        <w:pStyle w:val="TableofFigures"/>
        <w:rPr>
          <w:rFonts w:ascii="Calibri" w:hAnsi="Calibri"/>
          <w:sz w:val="22"/>
          <w:szCs w:val="22"/>
          <w:lang w:eastAsia="en-NZ"/>
        </w:rPr>
      </w:pPr>
      <w:hyperlink w:anchor="_Toc5269670" w:history="1">
        <w:r w:rsidR="00C97BE6" w:rsidRPr="004D58A6">
          <w:rPr>
            <w:rStyle w:val="Hyperlink"/>
          </w:rPr>
          <w:t xml:space="preserve">Figure 3.3.4 </w:t>
        </w:r>
        <w:r w:rsidR="00C97BE6" w:rsidRPr="002D354C">
          <w:rPr>
            <w:rFonts w:ascii="Calibri" w:hAnsi="Calibri"/>
            <w:sz w:val="22"/>
            <w:szCs w:val="22"/>
            <w:lang w:eastAsia="en-NZ"/>
          </w:rPr>
          <w:tab/>
        </w:r>
        <w:r w:rsidR="00C97BE6" w:rsidRPr="004D58A6">
          <w:rPr>
            <w:rStyle w:val="Hyperlink"/>
          </w:rPr>
          <w:t>Carbon dioxide implied emission factor (IEF) – Solid fuel combustion (1990–2017)</w:t>
        </w:r>
        <w:r w:rsidR="00C97BE6">
          <w:rPr>
            <w:webHidden/>
          </w:rPr>
          <w:tab/>
        </w:r>
        <w:r w:rsidR="00C97BE6">
          <w:rPr>
            <w:webHidden/>
          </w:rPr>
          <w:fldChar w:fldCharType="begin"/>
        </w:r>
        <w:r w:rsidR="00C97BE6">
          <w:rPr>
            <w:webHidden/>
          </w:rPr>
          <w:instrText xml:space="preserve"> PAGEREF _Toc5269670 \h </w:instrText>
        </w:r>
        <w:r w:rsidR="00C97BE6">
          <w:rPr>
            <w:webHidden/>
          </w:rPr>
        </w:r>
        <w:r w:rsidR="00C97BE6">
          <w:rPr>
            <w:webHidden/>
          </w:rPr>
          <w:fldChar w:fldCharType="separate"/>
        </w:r>
        <w:r w:rsidR="00D0418C">
          <w:rPr>
            <w:webHidden/>
          </w:rPr>
          <w:t>85</w:t>
        </w:r>
        <w:r w:rsidR="00C97BE6">
          <w:rPr>
            <w:webHidden/>
          </w:rPr>
          <w:fldChar w:fldCharType="end"/>
        </w:r>
      </w:hyperlink>
    </w:p>
    <w:p w14:paraId="6C29D067" w14:textId="77777777" w:rsidR="00C97BE6" w:rsidRPr="002D354C" w:rsidRDefault="00590491">
      <w:pPr>
        <w:pStyle w:val="TableofFigures"/>
        <w:rPr>
          <w:rFonts w:ascii="Calibri" w:hAnsi="Calibri"/>
          <w:sz w:val="22"/>
          <w:szCs w:val="22"/>
          <w:lang w:eastAsia="en-NZ"/>
        </w:rPr>
      </w:pPr>
      <w:hyperlink w:anchor="_Toc5269671" w:history="1">
        <w:r w:rsidR="00C97BE6" w:rsidRPr="004D58A6">
          <w:rPr>
            <w:rStyle w:val="Hyperlink"/>
          </w:rPr>
          <w:t>Figure 3.3.5</w:t>
        </w:r>
        <w:r w:rsidR="00C97BE6" w:rsidRPr="002D354C">
          <w:rPr>
            <w:rFonts w:ascii="Calibri" w:hAnsi="Calibri"/>
            <w:sz w:val="22"/>
            <w:szCs w:val="22"/>
            <w:lang w:eastAsia="en-NZ"/>
          </w:rPr>
          <w:tab/>
        </w:r>
        <w:r w:rsidR="00C97BE6" w:rsidRPr="004D58A6">
          <w:rPr>
            <w:rStyle w:val="Hyperlink"/>
            <w:lang w:eastAsia="en-GB"/>
          </w:rPr>
          <w:t xml:space="preserve">Carbon dioxide implied emission factor </w:t>
        </w:r>
        <w:r w:rsidR="00C97BE6" w:rsidRPr="004D58A6">
          <w:rPr>
            <w:rStyle w:val="Hyperlink"/>
          </w:rPr>
          <w:t>(IEF)</w:t>
        </w:r>
        <w:r w:rsidR="00C97BE6" w:rsidRPr="004D58A6">
          <w:rPr>
            <w:rStyle w:val="Hyperlink"/>
            <w:lang w:eastAsia="en-GB"/>
          </w:rPr>
          <w:t xml:space="preserve"> – Gaseous fuel combustion </w:t>
        </w:r>
        <w:r w:rsidR="00C97BE6" w:rsidRPr="004D58A6">
          <w:rPr>
            <w:rStyle w:val="Hyperlink"/>
          </w:rPr>
          <w:t>(1990–2017)</w:t>
        </w:r>
        <w:r w:rsidR="00C97BE6">
          <w:rPr>
            <w:webHidden/>
          </w:rPr>
          <w:tab/>
        </w:r>
        <w:r w:rsidR="00C97BE6">
          <w:rPr>
            <w:webHidden/>
          </w:rPr>
          <w:fldChar w:fldCharType="begin"/>
        </w:r>
        <w:r w:rsidR="00C97BE6">
          <w:rPr>
            <w:webHidden/>
          </w:rPr>
          <w:instrText xml:space="preserve"> PAGEREF _Toc5269671 \h </w:instrText>
        </w:r>
        <w:r w:rsidR="00C97BE6">
          <w:rPr>
            <w:webHidden/>
          </w:rPr>
        </w:r>
        <w:r w:rsidR="00C97BE6">
          <w:rPr>
            <w:webHidden/>
          </w:rPr>
          <w:fldChar w:fldCharType="separate"/>
        </w:r>
        <w:r w:rsidR="00D0418C">
          <w:rPr>
            <w:webHidden/>
          </w:rPr>
          <w:t>86</w:t>
        </w:r>
        <w:r w:rsidR="00C97BE6">
          <w:rPr>
            <w:webHidden/>
          </w:rPr>
          <w:fldChar w:fldCharType="end"/>
        </w:r>
      </w:hyperlink>
    </w:p>
    <w:p w14:paraId="1B2CF462" w14:textId="77777777" w:rsidR="00C97BE6" w:rsidRPr="002D354C" w:rsidRDefault="00590491">
      <w:pPr>
        <w:pStyle w:val="TableofFigures"/>
        <w:rPr>
          <w:rFonts w:ascii="Calibri" w:hAnsi="Calibri"/>
          <w:sz w:val="22"/>
          <w:szCs w:val="22"/>
          <w:lang w:eastAsia="en-NZ"/>
        </w:rPr>
      </w:pPr>
      <w:hyperlink w:anchor="_Toc5269672" w:history="1">
        <w:r w:rsidR="00C97BE6" w:rsidRPr="004D58A6">
          <w:rPr>
            <w:rStyle w:val="Hyperlink"/>
          </w:rPr>
          <w:t>Figure 3.3.6</w:t>
        </w:r>
        <w:r w:rsidR="00C97BE6" w:rsidRPr="002D354C">
          <w:rPr>
            <w:rFonts w:ascii="Calibri" w:hAnsi="Calibri"/>
            <w:sz w:val="22"/>
            <w:szCs w:val="22"/>
            <w:lang w:eastAsia="en-NZ"/>
          </w:rPr>
          <w:tab/>
        </w:r>
        <w:r w:rsidR="00C97BE6" w:rsidRPr="004D58A6">
          <w:rPr>
            <w:rStyle w:val="Hyperlink"/>
            <w:lang w:eastAsia="en-GB"/>
          </w:rPr>
          <w:t xml:space="preserve">New Zealand’s </w:t>
        </w:r>
        <w:r w:rsidR="00C97BE6" w:rsidRPr="004D58A6">
          <w:rPr>
            <w:rStyle w:val="Hyperlink"/>
          </w:rPr>
          <w:t>electricity</w:t>
        </w:r>
        <w:r w:rsidR="00C97BE6" w:rsidRPr="004D58A6">
          <w:rPr>
            <w:rStyle w:val="Hyperlink"/>
            <w:lang w:eastAsia="en-GB"/>
          </w:rPr>
          <w:t xml:space="preserve"> generation by source</w:t>
        </w:r>
        <w:r w:rsidR="00C97BE6">
          <w:rPr>
            <w:webHidden/>
          </w:rPr>
          <w:tab/>
        </w:r>
        <w:r w:rsidR="00C97BE6">
          <w:rPr>
            <w:webHidden/>
          </w:rPr>
          <w:fldChar w:fldCharType="begin"/>
        </w:r>
        <w:r w:rsidR="00C97BE6">
          <w:rPr>
            <w:webHidden/>
          </w:rPr>
          <w:instrText xml:space="preserve"> PAGEREF _Toc5269672 \h </w:instrText>
        </w:r>
        <w:r w:rsidR="00C97BE6">
          <w:rPr>
            <w:webHidden/>
          </w:rPr>
        </w:r>
        <w:r w:rsidR="00C97BE6">
          <w:rPr>
            <w:webHidden/>
          </w:rPr>
          <w:fldChar w:fldCharType="separate"/>
        </w:r>
        <w:r w:rsidR="00D0418C">
          <w:rPr>
            <w:webHidden/>
          </w:rPr>
          <w:t>88</w:t>
        </w:r>
        <w:r w:rsidR="00C97BE6">
          <w:rPr>
            <w:webHidden/>
          </w:rPr>
          <w:fldChar w:fldCharType="end"/>
        </w:r>
      </w:hyperlink>
    </w:p>
    <w:p w14:paraId="26A81BE9" w14:textId="77777777" w:rsidR="00C97BE6" w:rsidRPr="002D354C" w:rsidRDefault="00590491">
      <w:pPr>
        <w:pStyle w:val="TableofFigures"/>
        <w:rPr>
          <w:rFonts w:ascii="Calibri" w:hAnsi="Calibri"/>
          <w:sz w:val="22"/>
          <w:szCs w:val="22"/>
          <w:lang w:eastAsia="en-NZ"/>
        </w:rPr>
      </w:pPr>
      <w:hyperlink w:anchor="_Toc5269673" w:history="1">
        <w:r w:rsidR="00C97BE6" w:rsidRPr="004D58A6">
          <w:rPr>
            <w:rStyle w:val="Hyperlink"/>
          </w:rPr>
          <w:t>Figure 3.3.7</w:t>
        </w:r>
        <w:r w:rsidR="00C97BE6" w:rsidRPr="002D354C">
          <w:rPr>
            <w:rFonts w:ascii="Calibri" w:hAnsi="Calibri"/>
            <w:sz w:val="22"/>
            <w:szCs w:val="22"/>
            <w:lang w:eastAsia="en-NZ"/>
          </w:rPr>
          <w:tab/>
        </w:r>
        <w:r w:rsidR="00C97BE6" w:rsidRPr="004D58A6">
          <w:rPr>
            <w:rStyle w:val="Hyperlink"/>
            <w:lang w:eastAsia="en-GB"/>
          </w:rPr>
          <w:t>Decision tree to identify a main activity electricity generator or an autoproducer</w:t>
        </w:r>
        <w:r w:rsidR="00C97BE6">
          <w:rPr>
            <w:webHidden/>
          </w:rPr>
          <w:tab/>
        </w:r>
        <w:r w:rsidR="00C97BE6">
          <w:rPr>
            <w:webHidden/>
          </w:rPr>
          <w:fldChar w:fldCharType="begin"/>
        </w:r>
        <w:r w:rsidR="00C97BE6">
          <w:rPr>
            <w:webHidden/>
          </w:rPr>
          <w:instrText xml:space="preserve"> PAGEREF _Toc5269673 \h </w:instrText>
        </w:r>
        <w:r w:rsidR="00C97BE6">
          <w:rPr>
            <w:webHidden/>
          </w:rPr>
        </w:r>
        <w:r w:rsidR="00C97BE6">
          <w:rPr>
            <w:webHidden/>
          </w:rPr>
          <w:fldChar w:fldCharType="separate"/>
        </w:r>
        <w:r w:rsidR="00D0418C">
          <w:rPr>
            <w:webHidden/>
          </w:rPr>
          <w:t>89</w:t>
        </w:r>
        <w:r w:rsidR="00C97BE6">
          <w:rPr>
            <w:webHidden/>
          </w:rPr>
          <w:fldChar w:fldCharType="end"/>
        </w:r>
      </w:hyperlink>
    </w:p>
    <w:p w14:paraId="1A4377FD" w14:textId="77777777" w:rsidR="00C97BE6" w:rsidRPr="002D354C" w:rsidRDefault="00590491">
      <w:pPr>
        <w:pStyle w:val="TableofFigures"/>
        <w:rPr>
          <w:rFonts w:ascii="Calibri" w:hAnsi="Calibri"/>
          <w:sz w:val="22"/>
          <w:szCs w:val="22"/>
          <w:lang w:eastAsia="en-NZ"/>
        </w:rPr>
      </w:pPr>
      <w:hyperlink w:anchor="_Toc5269674" w:history="1">
        <w:r w:rsidR="00C97BE6" w:rsidRPr="004D58A6">
          <w:rPr>
            <w:rStyle w:val="Hyperlink"/>
          </w:rPr>
          <w:t xml:space="preserve">Figure 3.3.8 </w:t>
        </w:r>
        <w:r w:rsidR="00C97BE6" w:rsidRPr="002D354C">
          <w:rPr>
            <w:rFonts w:ascii="Calibri" w:hAnsi="Calibri"/>
            <w:sz w:val="22"/>
            <w:szCs w:val="22"/>
            <w:lang w:eastAsia="en-NZ"/>
          </w:rPr>
          <w:tab/>
        </w:r>
        <w:r w:rsidR="00C97BE6" w:rsidRPr="004D58A6">
          <w:rPr>
            <w:rStyle w:val="Hyperlink"/>
          </w:rPr>
          <w:t>Splits used for Manufacturing industries and construction category – Gasoline</w:t>
        </w:r>
        <w:r w:rsidR="00C97BE6">
          <w:rPr>
            <w:webHidden/>
          </w:rPr>
          <w:tab/>
        </w:r>
        <w:r w:rsidR="00C97BE6">
          <w:rPr>
            <w:webHidden/>
          </w:rPr>
          <w:fldChar w:fldCharType="begin"/>
        </w:r>
        <w:r w:rsidR="00C97BE6">
          <w:rPr>
            <w:webHidden/>
          </w:rPr>
          <w:instrText xml:space="preserve"> PAGEREF _Toc5269674 \h </w:instrText>
        </w:r>
        <w:r w:rsidR="00C97BE6">
          <w:rPr>
            <w:webHidden/>
          </w:rPr>
        </w:r>
        <w:r w:rsidR="00C97BE6">
          <w:rPr>
            <w:webHidden/>
          </w:rPr>
          <w:fldChar w:fldCharType="separate"/>
        </w:r>
        <w:r w:rsidR="00D0418C">
          <w:rPr>
            <w:webHidden/>
          </w:rPr>
          <w:t>93</w:t>
        </w:r>
        <w:r w:rsidR="00C97BE6">
          <w:rPr>
            <w:webHidden/>
          </w:rPr>
          <w:fldChar w:fldCharType="end"/>
        </w:r>
      </w:hyperlink>
    </w:p>
    <w:p w14:paraId="295EDD2F" w14:textId="77777777" w:rsidR="00C97BE6" w:rsidRPr="002D354C" w:rsidRDefault="00590491">
      <w:pPr>
        <w:pStyle w:val="TableofFigures"/>
        <w:rPr>
          <w:rFonts w:ascii="Calibri" w:hAnsi="Calibri"/>
          <w:sz w:val="22"/>
          <w:szCs w:val="22"/>
          <w:lang w:eastAsia="en-NZ"/>
        </w:rPr>
      </w:pPr>
      <w:hyperlink w:anchor="_Toc5269675" w:history="1">
        <w:r w:rsidR="00C97BE6" w:rsidRPr="004D58A6">
          <w:rPr>
            <w:rStyle w:val="Hyperlink"/>
          </w:rPr>
          <w:t xml:space="preserve">Figure 3.3.9 </w:t>
        </w:r>
        <w:r w:rsidR="00C97BE6" w:rsidRPr="002D354C">
          <w:rPr>
            <w:rFonts w:ascii="Calibri" w:hAnsi="Calibri"/>
            <w:sz w:val="22"/>
            <w:szCs w:val="22"/>
            <w:lang w:eastAsia="en-NZ"/>
          </w:rPr>
          <w:tab/>
        </w:r>
        <w:r w:rsidR="00C97BE6" w:rsidRPr="004D58A6">
          <w:rPr>
            <w:rStyle w:val="Hyperlink"/>
          </w:rPr>
          <w:t>Splits used for Manufacturing industries and construction category – Diesel</w:t>
        </w:r>
        <w:r w:rsidR="00C97BE6">
          <w:rPr>
            <w:webHidden/>
          </w:rPr>
          <w:tab/>
        </w:r>
        <w:r w:rsidR="00C97BE6">
          <w:rPr>
            <w:webHidden/>
          </w:rPr>
          <w:fldChar w:fldCharType="begin"/>
        </w:r>
        <w:r w:rsidR="00C97BE6">
          <w:rPr>
            <w:webHidden/>
          </w:rPr>
          <w:instrText xml:space="preserve"> PAGEREF _Toc5269675 \h </w:instrText>
        </w:r>
        <w:r w:rsidR="00C97BE6">
          <w:rPr>
            <w:webHidden/>
          </w:rPr>
        </w:r>
        <w:r w:rsidR="00C97BE6">
          <w:rPr>
            <w:webHidden/>
          </w:rPr>
          <w:fldChar w:fldCharType="separate"/>
        </w:r>
        <w:r w:rsidR="00D0418C">
          <w:rPr>
            <w:webHidden/>
          </w:rPr>
          <w:t>93</w:t>
        </w:r>
        <w:r w:rsidR="00C97BE6">
          <w:rPr>
            <w:webHidden/>
          </w:rPr>
          <w:fldChar w:fldCharType="end"/>
        </w:r>
      </w:hyperlink>
    </w:p>
    <w:p w14:paraId="3758175C" w14:textId="77777777" w:rsidR="00C97BE6" w:rsidRPr="002D354C" w:rsidRDefault="00590491">
      <w:pPr>
        <w:pStyle w:val="TableofFigures"/>
        <w:rPr>
          <w:rFonts w:ascii="Calibri" w:hAnsi="Calibri"/>
          <w:sz w:val="22"/>
          <w:szCs w:val="22"/>
          <w:lang w:eastAsia="en-NZ"/>
        </w:rPr>
      </w:pPr>
      <w:hyperlink w:anchor="_Toc5269676" w:history="1">
        <w:r w:rsidR="00C97BE6" w:rsidRPr="004D58A6">
          <w:rPr>
            <w:rStyle w:val="Hyperlink"/>
          </w:rPr>
          <w:t xml:space="preserve">Figure 3.3.10 </w:t>
        </w:r>
        <w:r w:rsidR="00C97BE6" w:rsidRPr="002D354C">
          <w:rPr>
            <w:rFonts w:ascii="Calibri" w:hAnsi="Calibri"/>
            <w:sz w:val="22"/>
            <w:szCs w:val="22"/>
            <w:lang w:eastAsia="en-NZ"/>
          </w:rPr>
          <w:tab/>
        </w:r>
        <w:r w:rsidR="00C97BE6" w:rsidRPr="004D58A6">
          <w:rPr>
            <w:rStyle w:val="Hyperlink"/>
          </w:rPr>
          <w:t>Splits used for Manufacturing industries and construction category – Fuel oil</w:t>
        </w:r>
        <w:r w:rsidR="00C97BE6">
          <w:rPr>
            <w:webHidden/>
          </w:rPr>
          <w:tab/>
        </w:r>
        <w:r w:rsidR="00C97BE6">
          <w:rPr>
            <w:webHidden/>
          </w:rPr>
          <w:fldChar w:fldCharType="begin"/>
        </w:r>
        <w:r w:rsidR="00C97BE6">
          <w:rPr>
            <w:webHidden/>
          </w:rPr>
          <w:instrText xml:space="preserve"> PAGEREF _Toc5269676 \h </w:instrText>
        </w:r>
        <w:r w:rsidR="00C97BE6">
          <w:rPr>
            <w:webHidden/>
          </w:rPr>
        </w:r>
        <w:r w:rsidR="00C97BE6">
          <w:rPr>
            <w:webHidden/>
          </w:rPr>
          <w:fldChar w:fldCharType="separate"/>
        </w:r>
        <w:r w:rsidR="00D0418C">
          <w:rPr>
            <w:webHidden/>
          </w:rPr>
          <w:t>94</w:t>
        </w:r>
        <w:r w:rsidR="00C97BE6">
          <w:rPr>
            <w:webHidden/>
          </w:rPr>
          <w:fldChar w:fldCharType="end"/>
        </w:r>
      </w:hyperlink>
    </w:p>
    <w:p w14:paraId="4985029B" w14:textId="77777777" w:rsidR="00C97BE6" w:rsidRPr="002D354C" w:rsidRDefault="00590491">
      <w:pPr>
        <w:pStyle w:val="TableofFigures"/>
        <w:rPr>
          <w:rFonts w:ascii="Calibri" w:hAnsi="Calibri"/>
          <w:sz w:val="22"/>
          <w:szCs w:val="22"/>
          <w:lang w:eastAsia="en-NZ"/>
        </w:rPr>
      </w:pPr>
      <w:hyperlink w:anchor="_Toc5269677" w:history="1">
        <w:r w:rsidR="00C97BE6" w:rsidRPr="004D58A6">
          <w:rPr>
            <w:rStyle w:val="Hyperlink"/>
          </w:rPr>
          <w:t>Figure 3.3.11</w:t>
        </w:r>
        <w:r w:rsidR="00C97BE6" w:rsidRPr="004D58A6">
          <w:rPr>
            <w:rStyle w:val="Hyperlink"/>
            <w:lang w:eastAsia="en-GB"/>
          </w:rPr>
          <w:t xml:space="preserve"> </w:t>
        </w:r>
        <w:r w:rsidR="00C97BE6" w:rsidRPr="002D354C">
          <w:rPr>
            <w:rFonts w:ascii="Calibri" w:hAnsi="Calibri"/>
            <w:sz w:val="22"/>
            <w:szCs w:val="22"/>
            <w:lang w:eastAsia="en-NZ"/>
          </w:rPr>
          <w:tab/>
        </w:r>
        <w:r w:rsidR="00C97BE6" w:rsidRPr="004D58A6">
          <w:rPr>
            <w:rStyle w:val="Hyperlink"/>
            <w:lang w:eastAsia="en-GB"/>
          </w:rPr>
          <w:t>Splicing method decision tree for gasoline emissions</w:t>
        </w:r>
        <w:r w:rsidR="00C97BE6">
          <w:rPr>
            <w:webHidden/>
          </w:rPr>
          <w:tab/>
        </w:r>
        <w:r w:rsidR="00C97BE6">
          <w:rPr>
            <w:webHidden/>
          </w:rPr>
          <w:fldChar w:fldCharType="begin"/>
        </w:r>
        <w:r w:rsidR="00C97BE6">
          <w:rPr>
            <w:webHidden/>
          </w:rPr>
          <w:instrText xml:space="preserve"> PAGEREF _Toc5269677 \h </w:instrText>
        </w:r>
        <w:r w:rsidR="00C97BE6">
          <w:rPr>
            <w:webHidden/>
          </w:rPr>
        </w:r>
        <w:r w:rsidR="00C97BE6">
          <w:rPr>
            <w:webHidden/>
          </w:rPr>
          <w:fldChar w:fldCharType="separate"/>
        </w:r>
        <w:r w:rsidR="00D0418C">
          <w:rPr>
            <w:webHidden/>
          </w:rPr>
          <w:t>98</w:t>
        </w:r>
        <w:r w:rsidR="00C97BE6">
          <w:rPr>
            <w:webHidden/>
          </w:rPr>
          <w:fldChar w:fldCharType="end"/>
        </w:r>
      </w:hyperlink>
    </w:p>
    <w:p w14:paraId="0EC1DA84" w14:textId="77777777" w:rsidR="00C97BE6" w:rsidRPr="002D354C" w:rsidRDefault="00590491">
      <w:pPr>
        <w:pStyle w:val="TableofFigures"/>
        <w:rPr>
          <w:rFonts w:ascii="Calibri" w:hAnsi="Calibri"/>
          <w:sz w:val="22"/>
          <w:szCs w:val="22"/>
          <w:lang w:eastAsia="en-NZ"/>
        </w:rPr>
      </w:pPr>
      <w:hyperlink w:anchor="_Toc5269678" w:history="1">
        <w:r w:rsidR="00C97BE6" w:rsidRPr="004D58A6">
          <w:rPr>
            <w:rStyle w:val="Hyperlink"/>
          </w:rPr>
          <w:t xml:space="preserve">Figure 3.4.1 </w:t>
        </w:r>
        <w:r w:rsidR="00C97BE6" w:rsidRPr="002D354C">
          <w:rPr>
            <w:rFonts w:ascii="Calibri" w:hAnsi="Calibri"/>
            <w:sz w:val="22"/>
            <w:szCs w:val="22"/>
            <w:lang w:eastAsia="en-NZ"/>
          </w:rPr>
          <w:tab/>
        </w:r>
        <w:r w:rsidR="00C97BE6" w:rsidRPr="004D58A6">
          <w:rPr>
            <w:rStyle w:val="Hyperlink"/>
          </w:rPr>
          <w:t>Schematic diagram of the use of geothermal fluid for electricity generation – as at Wairakei and Ohaaki geothermal stations (New Zealand Institute of Chemistry, 1998)</w:t>
        </w:r>
        <w:r w:rsidR="00C97BE6">
          <w:rPr>
            <w:webHidden/>
          </w:rPr>
          <w:tab/>
        </w:r>
        <w:r w:rsidR="00C97BE6">
          <w:rPr>
            <w:webHidden/>
          </w:rPr>
          <w:fldChar w:fldCharType="begin"/>
        </w:r>
        <w:r w:rsidR="00C97BE6">
          <w:rPr>
            <w:webHidden/>
          </w:rPr>
          <w:instrText xml:space="preserve"> PAGEREF _Toc5269678 \h </w:instrText>
        </w:r>
        <w:r w:rsidR="00C97BE6">
          <w:rPr>
            <w:webHidden/>
          </w:rPr>
        </w:r>
        <w:r w:rsidR="00C97BE6">
          <w:rPr>
            <w:webHidden/>
          </w:rPr>
          <w:fldChar w:fldCharType="separate"/>
        </w:r>
        <w:r w:rsidR="00D0418C">
          <w:rPr>
            <w:webHidden/>
          </w:rPr>
          <w:t>109</w:t>
        </w:r>
        <w:r w:rsidR="00C97BE6">
          <w:rPr>
            <w:webHidden/>
          </w:rPr>
          <w:fldChar w:fldCharType="end"/>
        </w:r>
      </w:hyperlink>
    </w:p>
    <w:p w14:paraId="3DE8A423" w14:textId="77777777" w:rsidR="00C97BE6" w:rsidRPr="002D354C" w:rsidRDefault="00590491">
      <w:pPr>
        <w:pStyle w:val="TableofFigures"/>
        <w:rPr>
          <w:rFonts w:ascii="Calibri" w:hAnsi="Calibri"/>
          <w:sz w:val="22"/>
          <w:szCs w:val="22"/>
          <w:lang w:eastAsia="en-NZ"/>
        </w:rPr>
      </w:pPr>
      <w:hyperlink w:anchor="_Toc5269679" w:history="1">
        <w:r w:rsidR="00C97BE6" w:rsidRPr="004D58A6">
          <w:rPr>
            <w:rStyle w:val="Hyperlink"/>
          </w:rPr>
          <w:t>Figure 4.1.1</w:t>
        </w:r>
        <w:r w:rsidR="00C97BE6" w:rsidRPr="002D354C">
          <w:rPr>
            <w:rFonts w:ascii="Calibri" w:hAnsi="Calibri"/>
            <w:sz w:val="22"/>
            <w:szCs w:val="22"/>
            <w:lang w:eastAsia="en-NZ"/>
          </w:rPr>
          <w:tab/>
        </w:r>
        <w:r w:rsidR="00C97BE6" w:rsidRPr="004D58A6">
          <w:rPr>
            <w:rStyle w:val="Hyperlink"/>
          </w:rPr>
          <w:t>New Zealand’s annual emissions from the IPPU sector from 1990 to 2017</w:t>
        </w:r>
        <w:r w:rsidR="00C97BE6">
          <w:rPr>
            <w:webHidden/>
          </w:rPr>
          <w:tab/>
        </w:r>
        <w:r w:rsidR="00C97BE6">
          <w:rPr>
            <w:webHidden/>
          </w:rPr>
          <w:fldChar w:fldCharType="begin"/>
        </w:r>
        <w:r w:rsidR="00C97BE6">
          <w:rPr>
            <w:webHidden/>
          </w:rPr>
          <w:instrText xml:space="preserve"> PAGEREF _Toc5269679 \h </w:instrText>
        </w:r>
        <w:r w:rsidR="00C97BE6">
          <w:rPr>
            <w:webHidden/>
          </w:rPr>
        </w:r>
        <w:r w:rsidR="00C97BE6">
          <w:rPr>
            <w:webHidden/>
          </w:rPr>
          <w:fldChar w:fldCharType="separate"/>
        </w:r>
        <w:r w:rsidR="00D0418C">
          <w:rPr>
            <w:webHidden/>
          </w:rPr>
          <w:t>117</w:t>
        </w:r>
        <w:r w:rsidR="00C97BE6">
          <w:rPr>
            <w:webHidden/>
          </w:rPr>
          <w:fldChar w:fldCharType="end"/>
        </w:r>
      </w:hyperlink>
    </w:p>
    <w:p w14:paraId="20EDB6AC" w14:textId="77777777" w:rsidR="00C97BE6" w:rsidRPr="002D354C" w:rsidRDefault="00590491">
      <w:pPr>
        <w:pStyle w:val="TableofFigures"/>
        <w:rPr>
          <w:rFonts w:ascii="Calibri" w:hAnsi="Calibri"/>
          <w:sz w:val="22"/>
          <w:szCs w:val="22"/>
          <w:lang w:eastAsia="en-NZ"/>
        </w:rPr>
      </w:pPr>
      <w:hyperlink w:anchor="_Toc5269680" w:history="1">
        <w:r w:rsidR="00C97BE6" w:rsidRPr="004D58A6">
          <w:rPr>
            <w:rStyle w:val="Hyperlink"/>
          </w:rPr>
          <w:t>Figure 4.1.2</w:t>
        </w:r>
        <w:r w:rsidR="00C97BE6" w:rsidRPr="002D354C">
          <w:rPr>
            <w:rFonts w:ascii="Calibri" w:hAnsi="Calibri"/>
            <w:sz w:val="22"/>
            <w:szCs w:val="22"/>
            <w:lang w:eastAsia="en-NZ"/>
          </w:rPr>
          <w:tab/>
        </w:r>
        <w:r w:rsidR="00C97BE6" w:rsidRPr="004D58A6">
          <w:rPr>
            <w:rStyle w:val="Hyperlink"/>
          </w:rPr>
          <w:t>Change in New Zealand’s emissions from the IPPU sector from 1990 to 2017</w:t>
        </w:r>
        <w:r w:rsidR="00C97BE6">
          <w:rPr>
            <w:webHidden/>
          </w:rPr>
          <w:tab/>
        </w:r>
        <w:r w:rsidR="00C97BE6">
          <w:rPr>
            <w:webHidden/>
          </w:rPr>
          <w:fldChar w:fldCharType="begin"/>
        </w:r>
        <w:r w:rsidR="00C97BE6">
          <w:rPr>
            <w:webHidden/>
          </w:rPr>
          <w:instrText xml:space="preserve"> PAGEREF _Toc5269680 \h </w:instrText>
        </w:r>
        <w:r w:rsidR="00C97BE6">
          <w:rPr>
            <w:webHidden/>
          </w:rPr>
        </w:r>
        <w:r w:rsidR="00C97BE6">
          <w:rPr>
            <w:webHidden/>
          </w:rPr>
          <w:fldChar w:fldCharType="separate"/>
        </w:r>
        <w:r w:rsidR="00D0418C">
          <w:rPr>
            <w:webHidden/>
          </w:rPr>
          <w:t>117</w:t>
        </w:r>
        <w:r w:rsidR="00C97BE6">
          <w:rPr>
            <w:webHidden/>
          </w:rPr>
          <w:fldChar w:fldCharType="end"/>
        </w:r>
      </w:hyperlink>
    </w:p>
    <w:p w14:paraId="5A85A3CC" w14:textId="77777777" w:rsidR="00C97BE6" w:rsidRPr="002D354C" w:rsidRDefault="00590491">
      <w:pPr>
        <w:pStyle w:val="TableofFigures"/>
        <w:rPr>
          <w:rFonts w:ascii="Calibri" w:hAnsi="Calibri"/>
          <w:sz w:val="22"/>
          <w:szCs w:val="22"/>
          <w:lang w:eastAsia="en-NZ"/>
        </w:rPr>
      </w:pPr>
      <w:hyperlink w:anchor="_Toc5269681" w:history="1">
        <w:r w:rsidR="00C97BE6" w:rsidRPr="004D58A6">
          <w:rPr>
            <w:rStyle w:val="Hyperlink"/>
          </w:rPr>
          <w:t xml:space="preserve">Figure 4.1.3 </w:t>
        </w:r>
        <w:r w:rsidR="00C97BE6" w:rsidRPr="002D354C">
          <w:rPr>
            <w:rFonts w:ascii="Calibri" w:hAnsi="Calibri"/>
            <w:sz w:val="22"/>
            <w:szCs w:val="22"/>
            <w:lang w:eastAsia="en-NZ"/>
          </w:rPr>
          <w:tab/>
        </w:r>
        <w:r w:rsidR="00C97BE6" w:rsidRPr="004D58A6">
          <w:rPr>
            <w:rStyle w:val="Hyperlink"/>
          </w:rPr>
          <w:t>Example: Tier 1 quality checks for the IPPU sector</w:t>
        </w:r>
        <w:r w:rsidR="00C97BE6">
          <w:rPr>
            <w:webHidden/>
          </w:rPr>
          <w:tab/>
        </w:r>
        <w:r w:rsidR="00C97BE6">
          <w:rPr>
            <w:webHidden/>
          </w:rPr>
          <w:fldChar w:fldCharType="begin"/>
        </w:r>
        <w:r w:rsidR="00C97BE6">
          <w:rPr>
            <w:webHidden/>
          </w:rPr>
          <w:instrText xml:space="preserve"> PAGEREF _Toc5269681 \h </w:instrText>
        </w:r>
        <w:r w:rsidR="00C97BE6">
          <w:rPr>
            <w:webHidden/>
          </w:rPr>
        </w:r>
        <w:r w:rsidR="00C97BE6">
          <w:rPr>
            <w:webHidden/>
          </w:rPr>
          <w:fldChar w:fldCharType="separate"/>
        </w:r>
        <w:r w:rsidR="00D0418C">
          <w:rPr>
            <w:webHidden/>
          </w:rPr>
          <w:t>120</w:t>
        </w:r>
        <w:r w:rsidR="00C97BE6">
          <w:rPr>
            <w:webHidden/>
          </w:rPr>
          <w:fldChar w:fldCharType="end"/>
        </w:r>
      </w:hyperlink>
    </w:p>
    <w:p w14:paraId="53E9B59B" w14:textId="77777777" w:rsidR="00C97BE6" w:rsidRPr="002D354C" w:rsidRDefault="00590491">
      <w:pPr>
        <w:pStyle w:val="TableofFigures"/>
        <w:rPr>
          <w:rFonts w:ascii="Calibri" w:hAnsi="Calibri"/>
          <w:sz w:val="22"/>
          <w:szCs w:val="22"/>
          <w:lang w:eastAsia="en-NZ"/>
        </w:rPr>
      </w:pPr>
      <w:hyperlink w:anchor="_Toc5269682" w:history="1">
        <w:r w:rsidR="00C97BE6" w:rsidRPr="004D58A6">
          <w:rPr>
            <w:rStyle w:val="Hyperlink"/>
          </w:rPr>
          <w:t xml:space="preserve">Figure 4.2.1 </w:t>
        </w:r>
        <w:r w:rsidR="00C97BE6" w:rsidRPr="002D354C">
          <w:rPr>
            <w:rFonts w:ascii="Calibri" w:hAnsi="Calibri"/>
            <w:sz w:val="22"/>
            <w:szCs w:val="22"/>
            <w:lang w:eastAsia="en-NZ"/>
          </w:rPr>
          <w:tab/>
        </w:r>
        <w:r w:rsidR="00C97BE6" w:rsidRPr="004D58A6">
          <w:rPr>
            <w:rStyle w:val="Hyperlink"/>
          </w:rPr>
          <w:t>Simplified schematic of iron and steel production in New Zealand</w:t>
        </w:r>
        <w:r w:rsidR="00C97BE6">
          <w:rPr>
            <w:webHidden/>
          </w:rPr>
          <w:tab/>
        </w:r>
        <w:r w:rsidR="00C97BE6">
          <w:rPr>
            <w:webHidden/>
          </w:rPr>
          <w:fldChar w:fldCharType="begin"/>
        </w:r>
        <w:r w:rsidR="00C97BE6">
          <w:rPr>
            <w:webHidden/>
          </w:rPr>
          <w:instrText xml:space="preserve"> PAGEREF _Toc5269682 \h </w:instrText>
        </w:r>
        <w:r w:rsidR="00C97BE6">
          <w:rPr>
            <w:webHidden/>
          </w:rPr>
        </w:r>
        <w:r w:rsidR="00C97BE6">
          <w:rPr>
            <w:webHidden/>
          </w:rPr>
          <w:fldChar w:fldCharType="separate"/>
        </w:r>
        <w:r w:rsidR="00D0418C">
          <w:rPr>
            <w:webHidden/>
          </w:rPr>
          <w:t>130</w:t>
        </w:r>
        <w:r w:rsidR="00C97BE6">
          <w:rPr>
            <w:webHidden/>
          </w:rPr>
          <w:fldChar w:fldCharType="end"/>
        </w:r>
      </w:hyperlink>
    </w:p>
    <w:p w14:paraId="47E8D5BF" w14:textId="77777777" w:rsidR="00C97BE6" w:rsidRPr="002D354C" w:rsidRDefault="00590491">
      <w:pPr>
        <w:pStyle w:val="TableofFigures"/>
        <w:rPr>
          <w:rFonts w:ascii="Calibri" w:hAnsi="Calibri"/>
          <w:sz w:val="22"/>
          <w:szCs w:val="22"/>
          <w:lang w:eastAsia="en-NZ"/>
        </w:rPr>
      </w:pPr>
      <w:hyperlink w:anchor="_Toc5269683" w:history="1">
        <w:r w:rsidR="00C97BE6" w:rsidRPr="004D58A6">
          <w:rPr>
            <w:rStyle w:val="Hyperlink"/>
          </w:rPr>
          <w:t>Figure 5.1.1</w:t>
        </w:r>
        <w:r w:rsidR="00C97BE6" w:rsidRPr="002D354C">
          <w:rPr>
            <w:rFonts w:ascii="Calibri" w:hAnsi="Calibri"/>
            <w:sz w:val="22"/>
            <w:szCs w:val="22"/>
            <w:lang w:eastAsia="en-NZ"/>
          </w:rPr>
          <w:tab/>
        </w:r>
        <w:r w:rsidR="00C97BE6" w:rsidRPr="004D58A6">
          <w:rPr>
            <w:rStyle w:val="Hyperlink"/>
          </w:rPr>
          <w:t>New Zealand’s Agriculture sector emissions from 1990 to 2017</w:t>
        </w:r>
        <w:r w:rsidR="00C97BE6">
          <w:rPr>
            <w:webHidden/>
          </w:rPr>
          <w:tab/>
        </w:r>
        <w:r w:rsidR="00C97BE6">
          <w:rPr>
            <w:webHidden/>
          </w:rPr>
          <w:fldChar w:fldCharType="begin"/>
        </w:r>
        <w:r w:rsidR="00C97BE6">
          <w:rPr>
            <w:webHidden/>
          </w:rPr>
          <w:instrText xml:space="preserve"> PAGEREF _Toc5269683 \h </w:instrText>
        </w:r>
        <w:r w:rsidR="00C97BE6">
          <w:rPr>
            <w:webHidden/>
          </w:rPr>
        </w:r>
        <w:r w:rsidR="00C97BE6">
          <w:rPr>
            <w:webHidden/>
          </w:rPr>
          <w:fldChar w:fldCharType="separate"/>
        </w:r>
        <w:r w:rsidR="00D0418C">
          <w:rPr>
            <w:webHidden/>
          </w:rPr>
          <w:t>148</w:t>
        </w:r>
        <w:r w:rsidR="00C97BE6">
          <w:rPr>
            <w:webHidden/>
          </w:rPr>
          <w:fldChar w:fldCharType="end"/>
        </w:r>
      </w:hyperlink>
    </w:p>
    <w:p w14:paraId="4A5CE371" w14:textId="77777777" w:rsidR="00C97BE6" w:rsidRPr="002D354C" w:rsidRDefault="00590491">
      <w:pPr>
        <w:pStyle w:val="TableofFigures"/>
        <w:rPr>
          <w:rFonts w:ascii="Calibri" w:hAnsi="Calibri"/>
          <w:sz w:val="22"/>
          <w:szCs w:val="22"/>
          <w:lang w:eastAsia="en-NZ"/>
        </w:rPr>
      </w:pPr>
      <w:hyperlink w:anchor="_Toc5269684" w:history="1">
        <w:r w:rsidR="00C97BE6" w:rsidRPr="004D58A6">
          <w:rPr>
            <w:rStyle w:val="Hyperlink"/>
          </w:rPr>
          <w:t>Figure 5.1.2</w:t>
        </w:r>
        <w:r w:rsidR="00C97BE6" w:rsidRPr="002D354C">
          <w:rPr>
            <w:rFonts w:ascii="Calibri" w:hAnsi="Calibri"/>
            <w:sz w:val="22"/>
            <w:szCs w:val="22"/>
            <w:lang w:eastAsia="en-NZ"/>
          </w:rPr>
          <w:tab/>
        </w:r>
        <w:r w:rsidR="00C97BE6" w:rsidRPr="004D58A6">
          <w:rPr>
            <w:rStyle w:val="Hyperlink"/>
          </w:rPr>
          <w:t>Change in New Zealand’s emissions from the Agriculture sector from 1990 to 2017</w:t>
        </w:r>
        <w:r w:rsidR="00C97BE6">
          <w:rPr>
            <w:webHidden/>
          </w:rPr>
          <w:tab/>
        </w:r>
        <w:r w:rsidR="00C97BE6">
          <w:rPr>
            <w:webHidden/>
          </w:rPr>
          <w:fldChar w:fldCharType="begin"/>
        </w:r>
        <w:r w:rsidR="00C97BE6">
          <w:rPr>
            <w:webHidden/>
          </w:rPr>
          <w:instrText xml:space="preserve"> PAGEREF _Toc5269684 \h </w:instrText>
        </w:r>
        <w:r w:rsidR="00C97BE6">
          <w:rPr>
            <w:webHidden/>
          </w:rPr>
        </w:r>
        <w:r w:rsidR="00C97BE6">
          <w:rPr>
            <w:webHidden/>
          </w:rPr>
          <w:fldChar w:fldCharType="separate"/>
        </w:r>
        <w:r w:rsidR="00D0418C">
          <w:rPr>
            <w:webHidden/>
          </w:rPr>
          <w:t>149</w:t>
        </w:r>
        <w:r w:rsidR="00C97BE6">
          <w:rPr>
            <w:webHidden/>
          </w:rPr>
          <w:fldChar w:fldCharType="end"/>
        </w:r>
      </w:hyperlink>
    </w:p>
    <w:p w14:paraId="688E44D5" w14:textId="77777777" w:rsidR="00C97BE6" w:rsidRPr="002D354C" w:rsidRDefault="00590491">
      <w:pPr>
        <w:pStyle w:val="TableofFigures"/>
        <w:rPr>
          <w:rFonts w:ascii="Calibri" w:hAnsi="Calibri"/>
          <w:sz w:val="22"/>
          <w:szCs w:val="22"/>
          <w:lang w:eastAsia="en-NZ"/>
        </w:rPr>
      </w:pPr>
      <w:hyperlink w:anchor="_Toc5269685" w:history="1">
        <w:r w:rsidR="00C97BE6" w:rsidRPr="004D58A6">
          <w:rPr>
            <w:rStyle w:val="Hyperlink"/>
          </w:rPr>
          <w:t xml:space="preserve">Figure 5.1.3a </w:t>
        </w:r>
        <w:r w:rsidR="00C97BE6" w:rsidRPr="002D354C">
          <w:rPr>
            <w:rFonts w:ascii="Calibri" w:hAnsi="Calibri"/>
            <w:sz w:val="22"/>
            <w:szCs w:val="22"/>
            <w:lang w:eastAsia="en-NZ"/>
          </w:rPr>
          <w:tab/>
        </w:r>
        <w:r w:rsidR="00C97BE6" w:rsidRPr="004D58A6">
          <w:rPr>
            <w:rStyle w:val="Hyperlink"/>
          </w:rPr>
          <w:t>Populations of New Zealand’s dairy cattle, non-dairy cattle and deer from 1990 to 2017 (June year ending)</w:t>
        </w:r>
        <w:r w:rsidR="00C97BE6">
          <w:rPr>
            <w:webHidden/>
          </w:rPr>
          <w:tab/>
        </w:r>
        <w:r w:rsidR="00C97BE6">
          <w:rPr>
            <w:webHidden/>
          </w:rPr>
          <w:fldChar w:fldCharType="begin"/>
        </w:r>
        <w:r w:rsidR="00C97BE6">
          <w:rPr>
            <w:webHidden/>
          </w:rPr>
          <w:instrText xml:space="preserve"> PAGEREF _Toc5269685 \h </w:instrText>
        </w:r>
        <w:r w:rsidR="00C97BE6">
          <w:rPr>
            <w:webHidden/>
          </w:rPr>
        </w:r>
        <w:r w:rsidR="00C97BE6">
          <w:rPr>
            <w:webHidden/>
          </w:rPr>
          <w:fldChar w:fldCharType="separate"/>
        </w:r>
        <w:r w:rsidR="00D0418C">
          <w:rPr>
            <w:webHidden/>
          </w:rPr>
          <w:t>151</w:t>
        </w:r>
        <w:r w:rsidR="00C97BE6">
          <w:rPr>
            <w:webHidden/>
          </w:rPr>
          <w:fldChar w:fldCharType="end"/>
        </w:r>
      </w:hyperlink>
    </w:p>
    <w:p w14:paraId="34F396F7" w14:textId="77777777" w:rsidR="00C97BE6" w:rsidRPr="002D354C" w:rsidRDefault="00590491">
      <w:pPr>
        <w:pStyle w:val="TableofFigures"/>
        <w:rPr>
          <w:rFonts w:ascii="Calibri" w:hAnsi="Calibri"/>
          <w:sz w:val="22"/>
          <w:szCs w:val="22"/>
          <w:lang w:eastAsia="en-NZ"/>
        </w:rPr>
      </w:pPr>
      <w:hyperlink w:anchor="_Toc5269686" w:history="1">
        <w:r w:rsidR="00C97BE6" w:rsidRPr="004D58A6">
          <w:rPr>
            <w:rStyle w:val="Hyperlink"/>
          </w:rPr>
          <w:t xml:space="preserve">Figure 5.1.3b </w:t>
        </w:r>
        <w:r w:rsidR="00C97BE6" w:rsidRPr="002D354C">
          <w:rPr>
            <w:rFonts w:ascii="Calibri" w:hAnsi="Calibri"/>
            <w:sz w:val="22"/>
            <w:szCs w:val="22"/>
            <w:lang w:eastAsia="en-NZ"/>
          </w:rPr>
          <w:tab/>
        </w:r>
        <w:r w:rsidR="00C97BE6" w:rsidRPr="004D58A6">
          <w:rPr>
            <w:rStyle w:val="Hyperlink"/>
          </w:rPr>
          <w:t>Population of New Zealand’s sheep from 1990 to 2017 (June year ending)</w:t>
        </w:r>
        <w:r w:rsidR="00C97BE6">
          <w:rPr>
            <w:webHidden/>
          </w:rPr>
          <w:tab/>
        </w:r>
        <w:r w:rsidR="00C97BE6">
          <w:rPr>
            <w:webHidden/>
          </w:rPr>
          <w:fldChar w:fldCharType="begin"/>
        </w:r>
        <w:r w:rsidR="00C97BE6">
          <w:rPr>
            <w:webHidden/>
          </w:rPr>
          <w:instrText xml:space="preserve"> PAGEREF _Toc5269686 \h </w:instrText>
        </w:r>
        <w:r w:rsidR="00C97BE6">
          <w:rPr>
            <w:webHidden/>
          </w:rPr>
        </w:r>
        <w:r w:rsidR="00C97BE6">
          <w:rPr>
            <w:webHidden/>
          </w:rPr>
          <w:fldChar w:fldCharType="separate"/>
        </w:r>
        <w:r w:rsidR="00D0418C">
          <w:rPr>
            <w:webHidden/>
          </w:rPr>
          <w:t>151</w:t>
        </w:r>
        <w:r w:rsidR="00C97BE6">
          <w:rPr>
            <w:webHidden/>
          </w:rPr>
          <w:fldChar w:fldCharType="end"/>
        </w:r>
      </w:hyperlink>
    </w:p>
    <w:p w14:paraId="7FF357AB" w14:textId="77777777" w:rsidR="00C97BE6" w:rsidRPr="002D354C" w:rsidRDefault="00590491">
      <w:pPr>
        <w:pStyle w:val="TableofFigures"/>
        <w:rPr>
          <w:rFonts w:ascii="Calibri" w:hAnsi="Calibri"/>
          <w:sz w:val="22"/>
          <w:szCs w:val="22"/>
          <w:lang w:eastAsia="en-NZ"/>
        </w:rPr>
      </w:pPr>
      <w:hyperlink w:anchor="_Toc5269687" w:history="1">
        <w:r w:rsidR="00C97BE6" w:rsidRPr="004D58A6">
          <w:rPr>
            <w:rStyle w:val="Hyperlink"/>
          </w:rPr>
          <w:t>Figure 5.1.4</w:t>
        </w:r>
        <w:r w:rsidR="00C97BE6" w:rsidRPr="002D354C">
          <w:rPr>
            <w:rFonts w:ascii="Calibri" w:hAnsi="Calibri"/>
            <w:sz w:val="22"/>
            <w:szCs w:val="22"/>
            <w:lang w:eastAsia="en-NZ"/>
          </w:rPr>
          <w:tab/>
        </w:r>
        <w:r w:rsidR="00C97BE6" w:rsidRPr="004D58A6">
          <w:rPr>
            <w:rStyle w:val="Hyperlink"/>
          </w:rPr>
          <w:t>Dairy milk productivity and implied enteric fermentation emission factors for dairy cows from 1990 to 2017</w:t>
        </w:r>
        <w:r w:rsidR="00C97BE6">
          <w:rPr>
            <w:webHidden/>
          </w:rPr>
          <w:tab/>
        </w:r>
        <w:r w:rsidR="00C97BE6">
          <w:rPr>
            <w:webHidden/>
          </w:rPr>
          <w:fldChar w:fldCharType="begin"/>
        </w:r>
        <w:r w:rsidR="00C97BE6">
          <w:rPr>
            <w:webHidden/>
          </w:rPr>
          <w:instrText xml:space="preserve"> PAGEREF _Toc5269687 \h </w:instrText>
        </w:r>
        <w:r w:rsidR="00C97BE6">
          <w:rPr>
            <w:webHidden/>
          </w:rPr>
        </w:r>
        <w:r w:rsidR="00C97BE6">
          <w:rPr>
            <w:webHidden/>
          </w:rPr>
          <w:fldChar w:fldCharType="separate"/>
        </w:r>
        <w:r w:rsidR="00D0418C">
          <w:rPr>
            <w:webHidden/>
          </w:rPr>
          <w:t>152</w:t>
        </w:r>
        <w:r w:rsidR="00C97BE6">
          <w:rPr>
            <w:webHidden/>
          </w:rPr>
          <w:fldChar w:fldCharType="end"/>
        </w:r>
      </w:hyperlink>
    </w:p>
    <w:p w14:paraId="35774870" w14:textId="77777777" w:rsidR="00C97BE6" w:rsidRPr="002D354C" w:rsidRDefault="00590491">
      <w:pPr>
        <w:pStyle w:val="TableofFigures"/>
        <w:rPr>
          <w:rFonts w:ascii="Calibri" w:hAnsi="Calibri"/>
          <w:sz w:val="22"/>
          <w:szCs w:val="22"/>
          <w:lang w:eastAsia="en-NZ"/>
        </w:rPr>
      </w:pPr>
      <w:hyperlink w:anchor="_Toc5269688" w:history="1">
        <w:r w:rsidR="00C97BE6" w:rsidRPr="004D58A6">
          <w:rPr>
            <w:rStyle w:val="Hyperlink"/>
          </w:rPr>
          <w:t>Figure 5.1.5</w:t>
        </w:r>
        <w:r w:rsidR="00C97BE6" w:rsidRPr="002D354C">
          <w:rPr>
            <w:rFonts w:ascii="Calibri" w:hAnsi="Calibri"/>
            <w:sz w:val="22"/>
            <w:szCs w:val="22"/>
            <w:lang w:eastAsia="en-NZ"/>
          </w:rPr>
          <w:tab/>
        </w:r>
        <w:r w:rsidR="00C97BE6" w:rsidRPr="004D58A6">
          <w:rPr>
            <w:rStyle w:val="Hyperlink"/>
          </w:rPr>
          <w:t>Heifer carcass weights and implied enteric fermentation emission factors for beef cattle from 1990 to 2017</w:t>
        </w:r>
        <w:r w:rsidR="00C97BE6">
          <w:rPr>
            <w:webHidden/>
          </w:rPr>
          <w:tab/>
        </w:r>
        <w:r w:rsidR="00C97BE6">
          <w:rPr>
            <w:webHidden/>
          </w:rPr>
          <w:fldChar w:fldCharType="begin"/>
        </w:r>
        <w:r w:rsidR="00C97BE6">
          <w:rPr>
            <w:webHidden/>
          </w:rPr>
          <w:instrText xml:space="preserve"> PAGEREF _Toc5269688 \h </w:instrText>
        </w:r>
        <w:r w:rsidR="00C97BE6">
          <w:rPr>
            <w:webHidden/>
          </w:rPr>
        </w:r>
        <w:r w:rsidR="00C97BE6">
          <w:rPr>
            <w:webHidden/>
          </w:rPr>
          <w:fldChar w:fldCharType="separate"/>
        </w:r>
        <w:r w:rsidR="00D0418C">
          <w:rPr>
            <w:webHidden/>
          </w:rPr>
          <w:t>153</w:t>
        </w:r>
        <w:r w:rsidR="00C97BE6">
          <w:rPr>
            <w:webHidden/>
          </w:rPr>
          <w:fldChar w:fldCharType="end"/>
        </w:r>
      </w:hyperlink>
    </w:p>
    <w:p w14:paraId="3C22BA58" w14:textId="77777777" w:rsidR="00C97BE6" w:rsidRPr="002D354C" w:rsidRDefault="00590491">
      <w:pPr>
        <w:pStyle w:val="TableofFigures"/>
        <w:rPr>
          <w:rFonts w:ascii="Calibri" w:hAnsi="Calibri"/>
          <w:sz w:val="22"/>
          <w:szCs w:val="22"/>
          <w:lang w:eastAsia="en-NZ"/>
        </w:rPr>
      </w:pPr>
      <w:hyperlink w:anchor="_Toc5269689" w:history="1">
        <w:r w:rsidR="00C97BE6" w:rsidRPr="004D58A6">
          <w:rPr>
            <w:rStyle w:val="Hyperlink"/>
          </w:rPr>
          <w:t>Figure 5.1.6</w:t>
        </w:r>
        <w:r w:rsidR="00C97BE6" w:rsidRPr="002D354C">
          <w:rPr>
            <w:rFonts w:ascii="Calibri" w:hAnsi="Calibri"/>
            <w:sz w:val="22"/>
            <w:szCs w:val="22"/>
            <w:lang w:eastAsia="en-NZ"/>
          </w:rPr>
          <w:tab/>
        </w:r>
        <w:r w:rsidR="00C97BE6" w:rsidRPr="004D58A6">
          <w:rPr>
            <w:rStyle w:val="Hyperlink"/>
          </w:rPr>
          <w:t>Sheep carcass weights and implied enteric fermentation emission factors for sheep from 1990 to 2017</w:t>
        </w:r>
        <w:r w:rsidR="00C97BE6">
          <w:rPr>
            <w:webHidden/>
          </w:rPr>
          <w:tab/>
        </w:r>
        <w:r w:rsidR="00C97BE6">
          <w:rPr>
            <w:webHidden/>
          </w:rPr>
          <w:fldChar w:fldCharType="begin"/>
        </w:r>
        <w:r w:rsidR="00C97BE6">
          <w:rPr>
            <w:webHidden/>
          </w:rPr>
          <w:instrText xml:space="preserve"> PAGEREF _Toc5269689 \h </w:instrText>
        </w:r>
        <w:r w:rsidR="00C97BE6">
          <w:rPr>
            <w:webHidden/>
          </w:rPr>
        </w:r>
        <w:r w:rsidR="00C97BE6">
          <w:rPr>
            <w:webHidden/>
          </w:rPr>
          <w:fldChar w:fldCharType="separate"/>
        </w:r>
        <w:r w:rsidR="00D0418C">
          <w:rPr>
            <w:webHidden/>
          </w:rPr>
          <w:t>153</w:t>
        </w:r>
        <w:r w:rsidR="00C97BE6">
          <w:rPr>
            <w:webHidden/>
          </w:rPr>
          <w:fldChar w:fldCharType="end"/>
        </w:r>
      </w:hyperlink>
    </w:p>
    <w:p w14:paraId="1B538AA7" w14:textId="77777777" w:rsidR="00C97BE6" w:rsidRPr="002D354C" w:rsidRDefault="00590491">
      <w:pPr>
        <w:pStyle w:val="TableofFigures"/>
        <w:rPr>
          <w:rFonts w:ascii="Calibri" w:hAnsi="Calibri"/>
          <w:sz w:val="22"/>
          <w:szCs w:val="22"/>
          <w:lang w:eastAsia="en-NZ"/>
        </w:rPr>
      </w:pPr>
      <w:hyperlink w:anchor="_Toc5269690" w:history="1">
        <w:r w:rsidR="00C97BE6" w:rsidRPr="004D58A6">
          <w:rPr>
            <w:rStyle w:val="Hyperlink"/>
          </w:rPr>
          <w:t xml:space="preserve">Figure 5.1.7 </w:t>
        </w:r>
        <w:r w:rsidR="00C97BE6" w:rsidRPr="002D354C">
          <w:rPr>
            <w:rFonts w:ascii="Calibri" w:hAnsi="Calibri"/>
            <w:sz w:val="22"/>
            <w:szCs w:val="22"/>
            <w:lang w:eastAsia="en-NZ"/>
          </w:rPr>
          <w:tab/>
        </w:r>
        <w:r w:rsidR="00C97BE6" w:rsidRPr="004D58A6">
          <w:rPr>
            <w:rStyle w:val="Hyperlink"/>
          </w:rPr>
          <w:t>Simplified methodology for calculating emissions for major ruminant livestock categories</w:t>
        </w:r>
        <w:r w:rsidR="00C97BE6">
          <w:rPr>
            <w:webHidden/>
          </w:rPr>
          <w:tab/>
        </w:r>
        <w:r w:rsidR="00C97BE6">
          <w:rPr>
            <w:webHidden/>
          </w:rPr>
          <w:fldChar w:fldCharType="begin"/>
        </w:r>
        <w:r w:rsidR="00C97BE6">
          <w:rPr>
            <w:webHidden/>
          </w:rPr>
          <w:instrText xml:space="preserve"> PAGEREF _Toc5269690 \h </w:instrText>
        </w:r>
        <w:r w:rsidR="00C97BE6">
          <w:rPr>
            <w:webHidden/>
          </w:rPr>
        </w:r>
        <w:r w:rsidR="00C97BE6">
          <w:rPr>
            <w:webHidden/>
          </w:rPr>
          <w:fldChar w:fldCharType="separate"/>
        </w:r>
        <w:r w:rsidR="00D0418C">
          <w:rPr>
            <w:webHidden/>
          </w:rPr>
          <w:t>156</w:t>
        </w:r>
        <w:r w:rsidR="00C97BE6">
          <w:rPr>
            <w:webHidden/>
          </w:rPr>
          <w:fldChar w:fldCharType="end"/>
        </w:r>
      </w:hyperlink>
    </w:p>
    <w:p w14:paraId="6EFAE37C" w14:textId="77777777" w:rsidR="00C97BE6" w:rsidRPr="002D354C" w:rsidRDefault="00590491">
      <w:pPr>
        <w:pStyle w:val="TableofFigures"/>
        <w:rPr>
          <w:rFonts w:ascii="Calibri" w:hAnsi="Calibri"/>
          <w:sz w:val="22"/>
          <w:szCs w:val="22"/>
          <w:lang w:eastAsia="en-NZ"/>
        </w:rPr>
      </w:pPr>
      <w:hyperlink w:anchor="_Toc5269691" w:history="1">
        <w:r w:rsidR="00C97BE6" w:rsidRPr="004D58A6">
          <w:rPr>
            <w:rStyle w:val="Hyperlink"/>
          </w:rPr>
          <w:t xml:space="preserve">Figure 5.1.8 </w:t>
        </w:r>
        <w:r w:rsidR="00C97BE6" w:rsidRPr="002D354C">
          <w:rPr>
            <w:rFonts w:ascii="Calibri" w:hAnsi="Calibri"/>
            <w:sz w:val="22"/>
            <w:szCs w:val="22"/>
            <w:lang w:eastAsia="en-NZ"/>
          </w:rPr>
          <w:tab/>
        </w:r>
        <w:r w:rsidR="00C97BE6" w:rsidRPr="004D58A6">
          <w:rPr>
            <w:rStyle w:val="Hyperlink"/>
          </w:rPr>
          <w:t>National monthly milk production in New Zealand from 2015 to 2017</w:t>
        </w:r>
        <w:r w:rsidR="00C97BE6">
          <w:rPr>
            <w:webHidden/>
          </w:rPr>
          <w:tab/>
        </w:r>
        <w:r w:rsidR="00C97BE6">
          <w:rPr>
            <w:webHidden/>
          </w:rPr>
          <w:fldChar w:fldCharType="begin"/>
        </w:r>
        <w:r w:rsidR="00C97BE6">
          <w:rPr>
            <w:webHidden/>
          </w:rPr>
          <w:instrText xml:space="preserve"> PAGEREF _Toc5269691 \h </w:instrText>
        </w:r>
        <w:r w:rsidR="00C97BE6">
          <w:rPr>
            <w:webHidden/>
          </w:rPr>
        </w:r>
        <w:r w:rsidR="00C97BE6">
          <w:rPr>
            <w:webHidden/>
          </w:rPr>
          <w:fldChar w:fldCharType="separate"/>
        </w:r>
        <w:r w:rsidR="00D0418C">
          <w:rPr>
            <w:webHidden/>
          </w:rPr>
          <w:t>160</w:t>
        </w:r>
        <w:r w:rsidR="00C97BE6">
          <w:rPr>
            <w:webHidden/>
          </w:rPr>
          <w:fldChar w:fldCharType="end"/>
        </w:r>
      </w:hyperlink>
    </w:p>
    <w:p w14:paraId="29F5FC71" w14:textId="77777777" w:rsidR="00C97BE6" w:rsidRPr="002D354C" w:rsidRDefault="00590491">
      <w:pPr>
        <w:pStyle w:val="TableofFigures"/>
        <w:rPr>
          <w:rFonts w:ascii="Calibri" w:hAnsi="Calibri"/>
          <w:sz w:val="22"/>
          <w:szCs w:val="22"/>
          <w:lang w:eastAsia="en-NZ"/>
        </w:rPr>
      </w:pPr>
      <w:hyperlink w:anchor="_Toc5269692" w:history="1">
        <w:r w:rsidR="00C97BE6" w:rsidRPr="004D58A6">
          <w:rPr>
            <w:rStyle w:val="Hyperlink"/>
          </w:rPr>
          <w:t xml:space="preserve">Figure 5.1.9 </w:t>
        </w:r>
        <w:r w:rsidR="00C97BE6" w:rsidRPr="002D354C">
          <w:rPr>
            <w:rFonts w:ascii="Calibri" w:hAnsi="Calibri"/>
            <w:sz w:val="22"/>
            <w:szCs w:val="22"/>
            <w:lang w:eastAsia="en-NZ"/>
          </w:rPr>
          <w:tab/>
        </w:r>
        <w:r w:rsidR="00C97BE6" w:rsidRPr="004D58A6">
          <w:rPr>
            <w:rStyle w:val="Hyperlink"/>
          </w:rPr>
          <w:t>Agriculture sectoral approval process for inventory recalculations and improvements</w:t>
        </w:r>
        <w:r w:rsidR="00C97BE6">
          <w:rPr>
            <w:webHidden/>
          </w:rPr>
          <w:tab/>
        </w:r>
        <w:r w:rsidR="00C97BE6">
          <w:rPr>
            <w:webHidden/>
          </w:rPr>
          <w:fldChar w:fldCharType="begin"/>
        </w:r>
        <w:r w:rsidR="00C97BE6">
          <w:rPr>
            <w:webHidden/>
          </w:rPr>
          <w:instrText xml:space="preserve"> PAGEREF _Toc5269692 \h </w:instrText>
        </w:r>
        <w:r w:rsidR="00C97BE6">
          <w:rPr>
            <w:webHidden/>
          </w:rPr>
        </w:r>
        <w:r w:rsidR="00C97BE6">
          <w:rPr>
            <w:webHidden/>
          </w:rPr>
          <w:fldChar w:fldCharType="separate"/>
        </w:r>
        <w:r w:rsidR="00D0418C">
          <w:rPr>
            <w:webHidden/>
          </w:rPr>
          <w:t>165</w:t>
        </w:r>
        <w:r w:rsidR="00C97BE6">
          <w:rPr>
            <w:webHidden/>
          </w:rPr>
          <w:fldChar w:fldCharType="end"/>
        </w:r>
      </w:hyperlink>
    </w:p>
    <w:p w14:paraId="5CE24035" w14:textId="77777777" w:rsidR="00C97BE6" w:rsidRPr="002D354C" w:rsidRDefault="00590491">
      <w:pPr>
        <w:pStyle w:val="TableofFigures"/>
        <w:rPr>
          <w:rFonts w:ascii="Calibri" w:hAnsi="Calibri"/>
          <w:sz w:val="22"/>
          <w:szCs w:val="22"/>
          <w:lang w:eastAsia="en-NZ"/>
        </w:rPr>
      </w:pPr>
      <w:hyperlink w:anchor="_Toc5269693" w:history="1">
        <w:r w:rsidR="00C97BE6" w:rsidRPr="004D58A6">
          <w:rPr>
            <w:rStyle w:val="Hyperlink"/>
          </w:rPr>
          <w:t>Figure 5.2.1</w:t>
        </w:r>
        <w:r w:rsidR="00C97BE6" w:rsidRPr="002D354C">
          <w:rPr>
            <w:rFonts w:ascii="Calibri" w:hAnsi="Calibri"/>
            <w:sz w:val="22"/>
            <w:szCs w:val="22"/>
            <w:lang w:eastAsia="en-NZ"/>
          </w:rPr>
          <w:tab/>
        </w:r>
        <w:r w:rsidR="00C97BE6" w:rsidRPr="004D58A6">
          <w:rPr>
            <w:rStyle w:val="Hyperlink"/>
          </w:rPr>
          <w:t>Schematic diagram showing how New Zealand’s emissions from enteric fermentation for cattle and deer are calculated</w:t>
        </w:r>
        <w:r w:rsidR="00C97BE6">
          <w:rPr>
            <w:webHidden/>
          </w:rPr>
          <w:tab/>
        </w:r>
        <w:r w:rsidR="00C97BE6">
          <w:rPr>
            <w:webHidden/>
          </w:rPr>
          <w:fldChar w:fldCharType="begin"/>
        </w:r>
        <w:r w:rsidR="00C97BE6">
          <w:rPr>
            <w:webHidden/>
          </w:rPr>
          <w:instrText xml:space="preserve"> PAGEREF _Toc5269693 \h </w:instrText>
        </w:r>
        <w:r w:rsidR="00C97BE6">
          <w:rPr>
            <w:webHidden/>
          </w:rPr>
        </w:r>
        <w:r w:rsidR="00C97BE6">
          <w:rPr>
            <w:webHidden/>
          </w:rPr>
          <w:fldChar w:fldCharType="separate"/>
        </w:r>
        <w:r w:rsidR="00D0418C">
          <w:rPr>
            <w:webHidden/>
          </w:rPr>
          <w:t>171</w:t>
        </w:r>
        <w:r w:rsidR="00C97BE6">
          <w:rPr>
            <w:webHidden/>
          </w:rPr>
          <w:fldChar w:fldCharType="end"/>
        </w:r>
      </w:hyperlink>
    </w:p>
    <w:p w14:paraId="6EC62431" w14:textId="77777777" w:rsidR="00C97BE6" w:rsidRPr="002D354C" w:rsidRDefault="00590491">
      <w:pPr>
        <w:pStyle w:val="TableofFigures"/>
        <w:rPr>
          <w:rFonts w:ascii="Calibri" w:hAnsi="Calibri"/>
          <w:sz w:val="22"/>
          <w:szCs w:val="22"/>
          <w:lang w:eastAsia="en-NZ"/>
        </w:rPr>
      </w:pPr>
      <w:hyperlink w:anchor="_Toc5269694" w:history="1">
        <w:r w:rsidR="00C97BE6" w:rsidRPr="004D58A6">
          <w:rPr>
            <w:rStyle w:val="Hyperlink"/>
          </w:rPr>
          <w:t>Figure 5.5.1</w:t>
        </w:r>
        <w:r w:rsidR="00C97BE6" w:rsidRPr="002D354C">
          <w:rPr>
            <w:rFonts w:ascii="Calibri" w:hAnsi="Calibri"/>
            <w:sz w:val="22"/>
            <w:szCs w:val="22"/>
            <w:lang w:eastAsia="en-NZ"/>
          </w:rPr>
          <w:tab/>
        </w:r>
        <w:r w:rsidR="00C97BE6" w:rsidRPr="004D58A6">
          <w:rPr>
            <w:rStyle w:val="Hyperlink"/>
          </w:rPr>
          <w:t>Sources of nitrous oxide emissions from agricultural soils, showing the contribution of each source to emissions through both direct and indirect pathways (New Zealand’s country</w:t>
        </w:r>
        <w:r w:rsidR="00C97BE6" w:rsidRPr="004D58A6">
          <w:rPr>
            <w:rStyle w:val="Hyperlink"/>
          </w:rPr>
          <w:noBreakHyphen/>
          <w:t>specific emission factors and parameters for each category are also listed)</w:t>
        </w:r>
        <w:r w:rsidR="00C97BE6">
          <w:rPr>
            <w:webHidden/>
          </w:rPr>
          <w:tab/>
        </w:r>
        <w:r w:rsidR="00C97BE6">
          <w:rPr>
            <w:webHidden/>
          </w:rPr>
          <w:fldChar w:fldCharType="begin"/>
        </w:r>
        <w:r w:rsidR="00C97BE6">
          <w:rPr>
            <w:webHidden/>
          </w:rPr>
          <w:instrText xml:space="preserve"> PAGEREF _Toc5269694 \h </w:instrText>
        </w:r>
        <w:r w:rsidR="00C97BE6">
          <w:rPr>
            <w:webHidden/>
          </w:rPr>
        </w:r>
        <w:r w:rsidR="00C97BE6">
          <w:rPr>
            <w:webHidden/>
          </w:rPr>
          <w:fldChar w:fldCharType="separate"/>
        </w:r>
        <w:r w:rsidR="00D0418C">
          <w:rPr>
            <w:webHidden/>
          </w:rPr>
          <w:t>191</w:t>
        </w:r>
        <w:r w:rsidR="00C97BE6">
          <w:rPr>
            <w:webHidden/>
          </w:rPr>
          <w:fldChar w:fldCharType="end"/>
        </w:r>
      </w:hyperlink>
    </w:p>
    <w:p w14:paraId="42675E11" w14:textId="77777777" w:rsidR="00C97BE6" w:rsidRPr="002D354C" w:rsidRDefault="00590491">
      <w:pPr>
        <w:pStyle w:val="TableofFigures"/>
        <w:rPr>
          <w:rFonts w:ascii="Calibri" w:hAnsi="Calibri"/>
          <w:sz w:val="22"/>
          <w:szCs w:val="22"/>
          <w:lang w:eastAsia="en-NZ"/>
        </w:rPr>
      </w:pPr>
      <w:hyperlink w:anchor="_Toc5269695" w:history="1">
        <w:r w:rsidR="00C97BE6" w:rsidRPr="004D58A6">
          <w:rPr>
            <w:rStyle w:val="Hyperlink"/>
          </w:rPr>
          <w:t>Figure 5.5.2</w:t>
        </w:r>
        <w:r w:rsidR="00C97BE6" w:rsidRPr="002D354C">
          <w:rPr>
            <w:rFonts w:ascii="Calibri" w:hAnsi="Calibri"/>
            <w:sz w:val="22"/>
            <w:szCs w:val="22"/>
            <w:lang w:eastAsia="en-NZ"/>
          </w:rPr>
          <w:tab/>
        </w:r>
        <w:r w:rsidR="00C97BE6" w:rsidRPr="004D58A6">
          <w:rPr>
            <w:rStyle w:val="Hyperlink"/>
          </w:rPr>
          <w:t>Synthetic nitrogen fertiliser use in New Zealand from 1990 to 2017</w:t>
        </w:r>
        <w:r w:rsidR="00C97BE6">
          <w:rPr>
            <w:webHidden/>
          </w:rPr>
          <w:tab/>
        </w:r>
        <w:r w:rsidR="00C97BE6">
          <w:rPr>
            <w:webHidden/>
          </w:rPr>
          <w:fldChar w:fldCharType="begin"/>
        </w:r>
        <w:r w:rsidR="00C97BE6">
          <w:rPr>
            <w:webHidden/>
          </w:rPr>
          <w:instrText xml:space="preserve"> PAGEREF _Toc5269695 \h </w:instrText>
        </w:r>
        <w:r w:rsidR="00C97BE6">
          <w:rPr>
            <w:webHidden/>
          </w:rPr>
        </w:r>
        <w:r w:rsidR="00C97BE6">
          <w:rPr>
            <w:webHidden/>
          </w:rPr>
          <w:fldChar w:fldCharType="separate"/>
        </w:r>
        <w:r w:rsidR="00D0418C">
          <w:rPr>
            <w:webHidden/>
          </w:rPr>
          <w:t>195</w:t>
        </w:r>
        <w:r w:rsidR="00C97BE6">
          <w:rPr>
            <w:webHidden/>
          </w:rPr>
          <w:fldChar w:fldCharType="end"/>
        </w:r>
      </w:hyperlink>
    </w:p>
    <w:p w14:paraId="12908C2B" w14:textId="77777777" w:rsidR="00C97BE6" w:rsidRPr="002D354C" w:rsidRDefault="00590491">
      <w:pPr>
        <w:pStyle w:val="TableofFigures"/>
        <w:rPr>
          <w:rFonts w:ascii="Calibri" w:hAnsi="Calibri"/>
          <w:sz w:val="22"/>
          <w:szCs w:val="22"/>
          <w:lang w:eastAsia="en-NZ"/>
        </w:rPr>
      </w:pPr>
      <w:hyperlink w:anchor="_Toc5269696" w:history="1">
        <w:r w:rsidR="00C97BE6" w:rsidRPr="004D58A6">
          <w:rPr>
            <w:rStyle w:val="Hyperlink"/>
          </w:rPr>
          <w:t>Figure 5.5.3</w:t>
        </w:r>
        <w:r w:rsidR="00C97BE6" w:rsidRPr="002D354C">
          <w:rPr>
            <w:rFonts w:ascii="Calibri" w:hAnsi="Calibri"/>
            <w:sz w:val="22"/>
            <w:szCs w:val="22"/>
            <w:lang w:eastAsia="en-NZ"/>
          </w:rPr>
          <w:tab/>
        </w:r>
        <w:r w:rsidR="00C97BE6" w:rsidRPr="004D58A6">
          <w:rPr>
            <w:rStyle w:val="Hyperlink"/>
          </w:rPr>
          <w:t>Percentage of synthetic nitrogen fertiliser derived from urea from 1990 to 2017</w:t>
        </w:r>
        <w:r w:rsidR="00C97BE6">
          <w:rPr>
            <w:webHidden/>
          </w:rPr>
          <w:tab/>
        </w:r>
        <w:r w:rsidR="00C97BE6">
          <w:rPr>
            <w:webHidden/>
          </w:rPr>
          <w:fldChar w:fldCharType="begin"/>
        </w:r>
        <w:r w:rsidR="00C97BE6">
          <w:rPr>
            <w:webHidden/>
          </w:rPr>
          <w:instrText xml:space="preserve"> PAGEREF _Toc5269696 \h </w:instrText>
        </w:r>
        <w:r w:rsidR="00C97BE6">
          <w:rPr>
            <w:webHidden/>
          </w:rPr>
        </w:r>
        <w:r w:rsidR="00C97BE6">
          <w:rPr>
            <w:webHidden/>
          </w:rPr>
          <w:fldChar w:fldCharType="separate"/>
        </w:r>
        <w:r w:rsidR="00D0418C">
          <w:rPr>
            <w:webHidden/>
          </w:rPr>
          <w:t>196</w:t>
        </w:r>
        <w:r w:rsidR="00C97BE6">
          <w:rPr>
            <w:webHidden/>
          </w:rPr>
          <w:fldChar w:fldCharType="end"/>
        </w:r>
      </w:hyperlink>
    </w:p>
    <w:p w14:paraId="4E5E06DE" w14:textId="77777777" w:rsidR="00C97BE6" w:rsidRPr="002D354C" w:rsidRDefault="00590491">
      <w:pPr>
        <w:pStyle w:val="TableofFigures"/>
        <w:rPr>
          <w:rFonts w:ascii="Calibri" w:hAnsi="Calibri"/>
          <w:sz w:val="22"/>
          <w:szCs w:val="22"/>
          <w:lang w:eastAsia="en-NZ"/>
        </w:rPr>
      </w:pPr>
      <w:hyperlink w:anchor="_Toc5269697" w:history="1">
        <w:r w:rsidR="00C97BE6" w:rsidRPr="004D58A6">
          <w:rPr>
            <w:rStyle w:val="Hyperlink"/>
          </w:rPr>
          <w:t>Figure 5.8.1</w:t>
        </w:r>
        <w:r w:rsidR="00C97BE6" w:rsidRPr="002D354C">
          <w:rPr>
            <w:rFonts w:ascii="Calibri" w:hAnsi="Calibri"/>
            <w:sz w:val="22"/>
            <w:szCs w:val="22"/>
            <w:lang w:eastAsia="en-NZ"/>
          </w:rPr>
          <w:tab/>
        </w:r>
        <w:r w:rsidR="00C97BE6" w:rsidRPr="004D58A6">
          <w:rPr>
            <w:rStyle w:val="Hyperlink"/>
          </w:rPr>
          <w:t>Limestone usage on agricultural land in New Zealand from 1990 to 2017</w:t>
        </w:r>
        <w:r w:rsidR="00C97BE6">
          <w:rPr>
            <w:webHidden/>
          </w:rPr>
          <w:tab/>
        </w:r>
        <w:r w:rsidR="00C97BE6">
          <w:rPr>
            <w:webHidden/>
          </w:rPr>
          <w:fldChar w:fldCharType="begin"/>
        </w:r>
        <w:r w:rsidR="00C97BE6">
          <w:rPr>
            <w:webHidden/>
          </w:rPr>
          <w:instrText xml:space="preserve"> PAGEREF _Toc5269697 \h </w:instrText>
        </w:r>
        <w:r w:rsidR="00C97BE6">
          <w:rPr>
            <w:webHidden/>
          </w:rPr>
        </w:r>
        <w:r w:rsidR="00C97BE6">
          <w:rPr>
            <w:webHidden/>
          </w:rPr>
          <w:fldChar w:fldCharType="separate"/>
        </w:r>
        <w:r w:rsidR="00D0418C">
          <w:rPr>
            <w:webHidden/>
          </w:rPr>
          <w:t>215</w:t>
        </w:r>
        <w:r w:rsidR="00C97BE6">
          <w:rPr>
            <w:webHidden/>
          </w:rPr>
          <w:fldChar w:fldCharType="end"/>
        </w:r>
      </w:hyperlink>
    </w:p>
    <w:p w14:paraId="083A43CD" w14:textId="77777777" w:rsidR="00C97BE6" w:rsidRPr="002D354C" w:rsidRDefault="00590491">
      <w:pPr>
        <w:pStyle w:val="TableofFigures"/>
        <w:rPr>
          <w:rFonts w:ascii="Calibri" w:hAnsi="Calibri"/>
          <w:sz w:val="22"/>
          <w:szCs w:val="22"/>
          <w:lang w:eastAsia="en-NZ"/>
        </w:rPr>
      </w:pPr>
      <w:hyperlink w:anchor="_Toc5269698" w:history="1">
        <w:r w:rsidR="00C97BE6" w:rsidRPr="004D58A6">
          <w:rPr>
            <w:rStyle w:val="Hyperlink"/>
          </w:rPr>
          <w:t>Figure 5.8.2</w:t>
        </w:r>
        <w:r w:rsidR="00C97BE6" w:rsidRPr="002D354C">
          <w:rPr>
            <w:rFonts w:ascii="Calibri" w:hAnsi="Calibri"/>
            <w:sz w:val="22"/>
            <w:szCs w:val="22"/>
            <w:lang w:eastAsia="en-NZ"/>
          </w:rPr>
          <w:tab/>
        </w:r>
        <w:r w:rsidR="00C97BE6" w:rsidRPr="004D58A6">
          <w:rPr>
            <w:rStyle w:val="Hyperlink"/>
          </w:rPr>
          <w:t>Dolomite usage on agricultural land in New Zealand from 1990 to 2017</w:t>
        </w:r>
        <w:r w:rsidR="00C97BE6">
          <w:rPr>
            <w:webHidden/>
          </w:rPr>
          <w:tab/>
        </w:r>
        <w:r w:rsidR="00C97BE6">
          <w:rPr>
            <w:webHidden/>
          </w:rPr>
          <w:fldChar w:fldCharType="begin"/>
        </w:r>
        <w:r w:rsidR="00C97BE6">
          <w:rPr>
            <w:webHidden/>
          </w:rPr>
          <w:instrText xml:space="preserve"> PAGEREF _Toc5269698 \h </w:instrText>
        </w:r>
        <w:r w:rsidR="00C97BE6">
          <w:rPr>
            <w:webHidden/>
          </w:rPr>
        </w:r>
        <w:r w:rsidR="00C97BE6">
          <w:rPr>
            <w:webHidden/>
          </w:rPr>
          <w:fldChar w:fldCharType="separate"/>
        </w:r>
        <w:r w:rsidR="00D0418C">
          <w:rPr>
            <w:webHidden/>
          </w:rPr>
          <w:t>216</w:t>
        </w:r>
        <w:r w:rsidR="00C97BE6">
          <w:rPr>
            <w:webHidden/>
          </w:rPr>
          <w:fldChar w:fldCharType="end"/>
        </w:r>
      </w:hyperlink>
    </w:p>
    <w:p w14:paraId="3E47B816" w14:textId="77777777" w:rsidR="00C97BE6" w:rsidRPr="002D354C" w:rsidRDefault="00590491">
      <w:pPr>
        <w:pStyle w:val="TableofFigures"/>
        <w:rPr>
          <w:rFonts w:ascii="Calibri" w:hAnsi="Calibri"/>
          <w:sz w:val="22"/>
          <w:szCs w:val="22"/>
          <w:lang w:eastAsia="en-NZ"/>
        </w:rPr>
      </w:pPr>
      <w:hyperlink w:anchor="_Toc5269699" w:history="1">
        <w:r w:rsidR="00C97BE6" w:rsidRPr="004D58A6">
          <w:rPr>
            <w:rStyle w:val="Hyperlink"/>
          </w:rPr>
          <w:t>Figure 6.1.1</w:t>
        </w:r>
        <w:r w:rsidR="00C97BE6" w:rsidRPr="002D354C">
          <w:rPr>
            <w:rFonts w:ascii="Calibri" w:hAnsi="Calibri"/>
            <w:sz w:val="22"/>
            <w:szCs w:val="22"/>
            <w:lang w:eastAsia="en-NZ"/>
          </w:rPr>
          <w:tab/>
        </w:r>
        <w:r w:rsidR="00C97BE6" w:rsidRPr="004D58A6">
          <w:rPr>
            <w:rStyle w:val="Hyperlink"/>
          </w:rPr>
          <w:t>New Zealand’s annual emissions from the LULUCF sector from 1990 to 2017</w:t>
        </w:r>
        <w:r w:rsidR="00C97BE6">
          <w:rPr>
            <w:webHidden/>
          </w:rPr>
          <w:tab/>
        </w:r>
        <w:r w:rsidR="00C97BE6">
          <w:rPr>
            <w:webHidden/>
          </w:rPr>
          <w:fldChar w:fldCharType="begin"/>
        </w:r>
        <w:r w:rsidR="00C97BE6">
          <w:rPr>
            <w:webHidden/>
          </w:rPr>
          <w:instrText xml:space="preserve"> PAGEREF _Toc5269699 \h </w:instrText>
        </w:r>
        <w:r w:rsidR="00C97BE6">
          <w:rPr>
            <w:webHidden/>
          </w:rPr>
        </w:r>
        <w:r w:rsidR="00C97BE6">
          <w:rPr>
            <w:webHidden/>
          </w:rPr>
          <w:fldChar w:fldCharType="separate"/>
        </w:r>
        <w:r w:rsidR="00D0418C">
          <w:rPr>
            <w:webHidden/>
          </w:rPr>
          <w:t>225</w:t>
        </w:r>
        <w:r w:rsidR="00C97BE6">
          <w:rPr>
            <w:webHidden/>
          </w:rPr>
          <w:fldChar w:fldCharType="end"/>
        </w:r>
      </w:hyperlink>
    </w:p>
    <w:p w14:paraId="606DE8B3" w14:textId="77777777" w:rsidR="00C97BE6" w:rsidRPr="002D354C" w:rsidRDefault="00590491">
      <w:pPr>
        <w:pStyle w:val="TableofFigures"/>
        <w:rPr>
          <w:rFonts w:ascii="Calibri" w:hAnsi="Calibri"/>
          <w:sz w:val="22"/>
          <w:szCs w:val="22"/>
          <w:lang w:eastAsia="en-NZ"/>
        </w:rPr>
      </w:pPr>
      <w:hyperlink w:anchor="_Toc5269700" w:history="1">
        <w:r w:rsidR="00C97BE6" w:rsidRPr="004D58A6">
          <w:rPr>
            <w:rStyle w:val="Hyperlink"/>
          </w:rPr>
          <w:t>Figure 6.1.2</w:t>
        </w:r>
        <w:r w:rsidR="00C97BE6" w:rsidRPr="002D354C">
          <w:rPr>
            <w:rFonts w:ascii="Calibri" w:hAnsi="Calibri"/>
            <w:sz w:val="22"/>
            <w:szCs w:val="22"/>
            <w:lang w:eastAsia="en-NZ"/>
          </w:rPr>
          <w:tab/>
        </w:r>
        <w:r w:rsidR="00C97BE6" w:rsidRPr="004D58A6">
          <w:rPr>
            <w:rStyle w:val="Hyperlink"/>
          </w:rPr>
          <w:t>Change in New Zealand’s emissions from the LULUCF sector from 1990 to 2017</w:t>
        </w:r>
        <w:r w:rsidR="00C97BE6">
          <w:rPr>
            <w:webHidden/>
          </w:rPr>
          <w:tab/>
        </w:r>
        <w:r w:rsidR="00C97BE6">
          <w:rPr>
            <w:webHidden/>
          </w:rPr>
          <w:fldChar w:fldCharType="begin"/>
        </w:r>
        <w:r w:rsidR="00C97BE6">
          <w:rPr>
            <w:webHidden/>
          </w:rPr>
          <w:instrText xml:space="preserve"> PAGEREF _Toc5269700 \h </w:instrText>
        </w:r>
        <w:r w:rsidR="00C97BE6">
          <w:rPr>
            <w:webHidden/>
          </w:rPr>
        </w:r>
        <w:r w:rsidR="00C97BE6">
          <w:rPr>
            <w:webHidden/>
          </w:rPr>
          <w:fldChar w:fldCharType="separate"/>
        </w:r>
        <w:r w:rsidR="00D0418C">
          <w:rPr>
            <w:webHidden/>
          </w:rPr>
          <w:t>226</w:t>
        </w:r>
        <w:r w:rsidR="00C97BE6">
          <w:rPr>
            <w:webHidden/>
          </w:rPr>
          <w:fldChar w:fldCharType="end"/>
        </w:r>
      </w:hyperlink>
    </w:p>
    <w:p w14:paraId="73850A85" w14:textId="77777777" w:rsidR="00C97BE6" w:rsidRPr="002D354C" w:rsidRDefault="00590491">
      <w:pPr>
        <w:pStyle w:val="TableofFigures"/>
        <w:rPr>
          <w:rFonts w:ascii="Calibri" w:hAnsi="Calibri"/>
          <w:sz w:val="22"/>
          <w:szCs w:val="22"/>
          <w:lang w:eastAsia="en-NZ"/>
        </w:rPr>
      </w:pPr>
      <w:hyperlink w:anchor="_Toc5269701" w:history="1">
        <w:r w:rsidR="00C97BE6" w:rsidRPr="004D58A6">
          <w:rPr>
            <w:rStyle w:val="Hyperlink"/>
          </w:rPr>
          <w:t>Figure 6.2.1</w:t>
        </w:r>
        <w:r w:rsidR="00C97BE6" w:rsidRPr="002D354C">
          <w:rPr>
            <w:rFonts w:ascii="Calibri" w:hAnsi="Calibri"/>
            <w:sz w:val="22"/>
            <w:szCs w:val="22"/>
            <w:lang w:eastAsia="en-NZ"/>
          </w:rPr>
          <w:tab/>
        </w:r>
        <w:r w:rsidR="00C97BE6" w:rsidRPr="004D58A6">
          <w:rPr>
            <w:rStyle w:val="Hyperlink"/>
          </w:rPr>
          <w:t>New Zealand’s land use mapping process</w:t>
        </w:r>
        <w:r w:rsidR="00C97BE6">
          <w:rPr>
            <w:webHidden/>
          </w:rPr>
          <w:tab/>
        </w:r>
        <w:r w:rsidR="00C97BE6">
          <w:rPr>
            <w:webHidden/>
          </w:rPr>
          <w:fldChar w:fldCharType="begin"/>
        </w:r>
        <w:r w:rsidR="00C97BE6">
          <w:rPr>
            <w:webHidden/>
          </w:rPr>
          <w:instrText xml:space="preserve"> PAGEREF _Toc5269701 \h </w:instrText>
        </w:r>
        <w:r w:rsidR="00C97BE6">
          <w:rPr>
            <w:webHidden/>
          </w:rPr>
        </w:r>
        <w:r w:rsidR="00C97BE6">
          <w:rPr>
            <w:webHidden/>
          </w:rPr>
          <w:fldChar w:fldCharType="separate"/>
        </w:r>
        <w:r w:rsidR="00D0418C">
          <w:rPr>
            <w:webHidden/>
          </w:rPr>
          <w:t>239</w:t>
        </w:r>
        <w:r w:rsidR="00C97BE6">
          <w:rPr>
            <w:webHidden/>
          </w:rPr>
          <w:fldChar w:fldCharType="end"/>
        </w:r>
      </w:hyperlink>
    </w:p>
    <w:p w14:paraId="51F174F2" w14:textId="77777777" w:rsidR="00C97BE6" w:rsidRPr="002D354C" w:rsidRDefault="00590491">
      <w:pPr>
        <w:pStyle w:val="TableofFigures"/>
        <w:rPr>
          <w:rFonts w:ascii="Calibri" w:hAnsi="Calibri"/>
          <w:sz w:val="22"/>
          <w:szCs w:val="22"/>
          <w:lang w:eastAsia="en-NZ"/>
        </w:rPr>
      </w:pPr>
      <w:hyperlink w:anchor="_Toc5269702" w:history="1">
        <w:r w:rsidR="00C97BE6" w:rsidRPr="004D58A6">
          <w:rPr>
            <w:rStyle w:val="Hyperlink"/>
          </w:rPr>
          <w:t>Figure 6.2.2</w:t>
        </w:r>
        <w:r w:rsidR="00C97BE6" w:rsidRPr="002D354C">
          <w:rPr>
            <w:rFonts w:ascii="Calibri" w:hAnsi="Calibri"/>
            <w:sz w:val="22"/>
            <w:szCs w:val="22"/>
            <w:lang w:eastAsia="en-NZ"/>
          </w:rPr>
          <w:tab/>
        </w:r>
        <w:r w:rsidR="00C97BE6" w:rsidRPr="004D58A6">
          <w:rPr>
            <w:rStyle w:val="Hyperlink"/>
          </w:rPr>
          <w:t>Land use map of New Zealand as at 1 January 1990</w:t>
        </w:r>
        <w:r w:rsidR="00C97BE6">
          <w:rPr>
            <w:webHidden/>
          </w:rPr>
          <w:tab/>
        </w:r>
        <w:r w:rsidR="00C97BE6">
          <w:rPr>
            <w:webHidden/>
          </w:rPr>
          <w:fldChar w:fldCharType="begin"/>
        </w:r>
        <w:r w:rsidR="00C97BE6">
          <w:rPr>
            <w:webHidden/>
          </w:rPr>
          <w:instrText xml:space="preserve"> PAGEREF _Toc5269702 \h </w:instrText>
        </w:r>
        <w:r w:rsidR="00C97BE6">
          <w:rPr>
            <w:webHidden/>
          </w:rPr>
        </w:r>
        <w:r w:rsidR="00C97BE6">
          <w:rPr>
            <w:webHidden/>
          </w:rPr>
          <w:fldChar w:fldCharType="separate"/>
        </w:r>
        <w:r w:rsidR="00D0418C">
          <w:rPr>
            <w:webHidden/>
          </w:rPr>
          <w:t>240</w:t>
        </w:r>
        <w:r w:rsidR="00C97BE6">
          <w:rPr>
            <w:webHidden/>
          </w:rPr>
          <w:fldChar w:fldCharType="end"/>
        </w:r>
      </w:hyperlink>
    </w:p>
    <w:p w14:paraId="37203FA8" w14:textId="77777777" w:rsidR="00C97BE6" w:rsidRPr="002D354C" w:rsidRDefault="00590491">
      <w:pPr>
        <w:pStyle w:val="TableofFigures"/>
        <w:rPr>
          <w:rFonts w:ascii="Calibri" w:hAnsi="Calibri"/>
          <w:sz w:val="22"/>
          <w:szCs w:val="22"/>
          <w:lang w:eastAsia="en-NZ"/>
        </w:rPr>
      </w:pPr>
      <w:hyperlink w:anchor="_Toc5269703" w:history="1">
        <w:r w:rsidR="00C97BE6" w:rsidRPr="004D58A6">
          <w:rPr>
            <w:rStyle w:val="Hyperlink"/>
          </w:rPr>
          <w:t>Figure 6.2.3</w:t>
        </w:r>
        <w:r w:rsidR="00C97BE6" w:rsidRPr="002D354C">
          <w:rPr>
            <w:rFonts w:ascii="Calibri" w:hAnsi="Calibri"/>
            <w:sz w:val="22"/>
            <w:szCs w:val="22"/>
            <w:lang w:eastAsia="en-NZ"/>
          </w:rPr>
          <w:tab/>
        </w:r>
        <w:r w:rsidR="00C97BE6" w:rsidRPr="004D58A6">
          <w:rPr>
            <w:rStyle w:val="Hyperlink"/>
          </w:rPr>
          <w:t>Land use map of New Zealand as at 1 January 2008</w:t>
        </w:r>
        <w:r w:rsidR="00C97BE6">
          <w:rPr>
            <w:webHidden/>
          </w:rPr>
          <w:tab/>
        </w:r>
        <w:r w:rsidR="00C97BE6">
          <w:rPr>
            <w:webHidden/>
          </w:rPr>
          <w:fldChar w:fldCharType="begin"/>
        </w:r>
        <w:r w:rsidR="00C97BE6">
          <w:rPr>
            <w:webHidden/>
          </w:rPr>
          <w:instrText xml:space="preserve"> PAGEREF _Toc5269703 \h </w:instrText>
        </w:r>
        <w:r w:rsidR="00C97BE6">
          <w:rPr>
            <w:webHidden/>
          </w:rPr>
        </w:r>
        <w:r w:rsidR="00C97BE6">
          <w:rPr>
            <w:webHidden/>
          </w:rPr>
          <w:fldChar w:fldCharType="separate"/>
        </w:r>
        <w:r w:rsidR="00D0418C">
          <w:rPr>
            <w:webHidden/>
          </w:rPr>
          <w:t>241</w:t>
        </w:r>
        <w:r w:rsidR="00C97BE6">
          <w:rPr>
            <w:webHidden/>
          </w:rPr>
          <w:fldChar w:fldCharType="end"/>
        </w:r>
      </w:hyperlink>
    </w:p>
    <w:p w14:paraId="6B36DE67" w14:textId="77777777" w:rsidR="00C97BE6" w:rsidRPr="002D354C" w:rsidRDefault="00590491">
      <w:pPr>
        <w:pStyle w:val="TableofFigures"/>
        <w:rPr>
          <w:rFonts w:ascii="Calibri" w:hAnsi="Calibri"/>
          <w:sz w:val="22"/>
          <w:szCs w:val="22"/>
          <w:lang w:eastAsia="en-NZ"/>
        </w:rPr>
      </w:pPr>
      <w:hyperlink w:anchor="_Toc5269704" w:history="1">
        <w:r w:rsidR="00C97BE6" w:rsidRPr="004D58A6">
          <w:rPr>
            <w:rStyle w:val="Hyperlink"/>
          </w:rPr>
          <w:t>Figure 6.2.4</w:t>
        </w:r>
        <w:r w:rsidR="00C97BE6" w:rsidRPr="002D354C">
          <w:rPr>
            <w:rFonts w:ascii="Calibri" w:hAnsi="Calibri"/>
            <w:sz w:val="22"/>
            <w:szCs w:val="22"/>
            <w:lang w:eastAsia="en-NZ"/>
          </w:rPr>
          <w:tab/>
        </w:r>
        <w:r w:rsidR="00C97BE6" w:rsidRPr="004D58A6">
          <w:rPr>
            <w:rStyle w:val="Hyperlink"/>
          </w:rPr>
          <w:t>Identification of post-1989 forest in New Zealand</w:t>
        </w:r>
        <w:r w:rsidR="00C97BE6">
          <w:rPr>
            <w:webHidden/>
          </w:rPr>
          <w:tab/>
        </w:r>
        <w:r w:rsidR="00C97BE6">
          <w:rPr>
            <w:webHidden/>
          </w:rPr>
          <w:fldChar w:fldCharType="begin"/>
        </w:r>
        <w:r w:rsidR="00C97BE6">
          <w:rPr>
            <w:webHidden/>
          </w:rPr>
          <w:instrText xml:space="preserve"> PAGEREF _Toc5269704 \h </w:instrText>
        </w:r>
        <w:r w:rsidR="00C97BE6">
          <w:rPr>
            <w:webHidden/>
          </w:rPr>
        </w:r>
        <w:r w:rsidR="00C97BE6">
          <w:rPr>
            <w:webHidden/>
          </w:rPr>
          <w:fldChar w:fldCharType="separate"/>
        </w:r>
        <w:r w:rsidR="00D0418C">
          <w:rPr>
            <w:webHidden/>
          </w:rPr>
          <w:t>243</w:t>
        </w:r>
        <w:r w:rsidR="00C97BE6">
          <w:rPr>
            <w:webHidden/>
          </w:rPr>
          <w:fldChar w:fldCharType="end"/>
        </w:r>
      </w:hyperlink>
    </w:p>
    <w:p w14:paraId="32FF1579" w14:textId="77777777" w:rsidR="00C97BE6" w:rsidRPr="002D354C" w:rsidRDefault="00590491">
      <w:pPr>
        <w:pStyle w:val="TableofFigures"/>
        <w:rPr>
          <w:rFonts w:ascii="Calibri" w:hAnsi="Calibri"/>
          <w:sz w:val="22"/>
          <w:szCs w:val="22"/>
          <w:lang w:eastAsia="en-NZ"/>
        </w:rPr>
      </w:pPr>
      <w:hyperlink w:anchor="_Toc5269705" w:history="1">
        <w:r w:rsidR="00C97BE6" w:rsidRPr="004D58A6">
          <w:rPr>
            <w:rStyle w:val="Hyperlink"/>
          </w:rPr>
          <w:t>Figure 6.2.5</w:t>
        </w:r>
        <w:r w:rsidR="00C97BE6" w:rsidRPr="002D354C">
          <w:rPr>
            <w:rFonts w:ascii="Calibri" w:hAnsi="Calibri"/>
            <w:sz w:val="22"/>
            <w:szCs w:val="22"/>
            <w:lang w:eastAsia="en-NZ"/>
          </w:rPr>
          <w:tab/>
        </w:r>
        <w:r w:rsidR="00C97BE6" w:rsidRPr="004D58A6">
          <w:rPr>
            <w:rStyle w:val="Hyperlink"/>
          </w:rPr>
          <w:t>New Zealand’s identification of deforestation</w:t>
        </w:r>
        <w:r w:rsidR="00C97BE6">
          <w:rPr>
            <w:webHidden/>
          </w:rPr>
          <w:tab/>
        </w:r>
        <w:r w:rsidR="00C97BE6">
          <w:rPr>
            <w:webHidden/>
          </w:rPr>
          <w:fldChar w:fldCharType="begin"/>
        </w:r>
        <w:r w:rsidR="00C97BE6">
          <w:rPr>
            <w:webHidden/>
          </w:rPr>
          <w:instrText xml:space="preserve"> PAGEREF _Toc5269705 \h </w:instrText>
        </w:r>
        <w:r w:rsidR="00C97BE6">
          <w:rPr>
            <w:webHidden/>
          </w:rPr>
        </w:r>
        <w:r w:rsidR="00C97BE6">
          <w:rPr>
            <w:webHidden/>
          </w:rPr>
          <w:fldChar w:fldCharType="separate"/>
        </w:r>
        <w:r w:rsidR="00D0418C">
          <w:rPr>
            <w:webHidden/>
          </w:rPr>
          <w:t>246</w:t>
        </w:r>
        <w:r w:rsidR="00C97BE6">
          <w:rPr>
            <w:webHidden/>
          </w:rPr>
          <w:fldChar w:fldCharType="end"/>
        </w:r>
      </w:hyperlink>
    </w:p>
    <w:p w14:paraId="7EE786C3" w14:textId="77777777" w:rsidR="00C97BE6" w:rsidRPr="002D354C" w:rsidRDefault="00590491">
      <w:pPr>
        <w:pStyle w:val="TableofFigures"/>
        <w:rPr>
          <w:rFonts w:ascii="Calibri" w:hAnsi="Calibri"/>
          <w:sz w:val="22"/>
          <w:szCs w:val="22"/>
          <w:lang w:eastAsia="en-NZ"/>
        </w:rPr>
      </w:pPr>
      <w:hyperlink w:anchor="_Toc5269706" w:history="1">
        <w:r w:rsidR="00C97BE6" w:rsidRPr="004D58A6">
          <w:rPr>
            <w:rStyle w:val="Hyperlink"/>
          </w:rPr>
          <w:t>Figure 6.2.6</w:t>
        </w:r>
        <w:r w:rsidR="00C97BE6" w:rsidRPr="002D354C">
          <w:rPr>
            <w:rFonts w:ascii="Calibri" w:hAnsi="Calibri"/>
            <w:sz w:val="22"/>
            <w:szCs w:val="22"/>
            <w:lang w:eastAsia="en-NZ"/>
          </w:rPr>
          <w:tab/>
        </w:r>
        <w:r w:rsidR="00C97BE6" w:rsidRPr="004D58A6">
          <w:rPr>
            <w:rStyle w:val="Hyperlink"/>
          </w:rPr>
          <w:t>Land use map of New Zealand as at 31 December 2016</w:t>
        </w:r>
        <w:r w:rsidR="00C97BE6">
          <w:rPr>
            <w:webHidden/>
          </w:rPr>
          <w:tab/>
        </w:r>
        <w:r w:rsidR="00C97BE6">
          <w:rPr>
            <w:webHidden/>
          </w:rPr>
          <w:fldChar w:fldCharType="begin"/>
        </w:r>
        <w:r w:rsidR="00C97BE6">
          <w:rPr>
            <w:webHidden/>
          </w:rPr>
          <w:instrText xml:space="preserve"> PAGEREF _Toc5269706 \h </w:instrText>
        </w:r>
        <w:r w:rsidR="00C97BE6">
          <w:rPr>
            <w:webHidden/>
          </w:rPr>
        </w:r>
        <w:r w:rsidR="00C97BE6">
          <w:rPr>
            <w:webHidden/>
          </w:rPr>
          <w:fldChar w:fldCharType="separate"/>
        </w:r>
        <w:r w:rsidR="00D0418C">
          <w:rPr>
            <w:webHidden/>
          </w:rPr>
          <w:t>247</w:t>
        </w:r>
        <w:r w:rsidR="00C97BE6">
          <w:rPr>
            <w:webHidden/>
          </w:rPr>
          <w:fldChar w:fldCharType="end"/>
        </w:r>
      </w:hyperlink>
    </w:p>
    <w:p w14:paraId="1329F5CE" w14:textId="77777777" w:rsidR="00C97BE6" w:rsidRPr="002D354C" w:rsidRDefault="00590491">
      <w:pPr>
        <w:pStyle w:val="TableofFigures"/>
        <w:rPr>
          <w:rFonts w:ascii="Calibri" w:hAnsi="Calibri"/>
          <w:sz w:val="22"/>
          <w:szCs w:val="22"/>
          <w:lang w:eastAsia="en-NZ"/>
        </w:rPr>
      </w:pPr>
      <w:hyperlink w:anchor="_Toc5269707" w:history="1">
        <w:r w:rsidR="00C97BE6" w:rsidRPr="004D58A6">
          <w:rPr>
            <w:rStyle w:val="Hyperlink"/>
          </w:rPr>
          <w:t>Figure 6.3.1</w:t>
        </w:r>
        <w:r w:rsidR="00C97BE6" w:rsidRPr="002D354C">
          <w:rPr>
            <w:rFonts w:ascii="Calibri" w:hAnsi="Calibri"/>
            <w:sz w:val="22"/>
            <w:szCs w:val="22"/>
            <w:lang w:eastAsia="en-NZ"/>
          </w:rPr>
          <w:tab/>
        </w:r>
        <w:r w:rsidR="00C97BE6" w:rsidRPr="004D58A6">
          <w:rPr>
            <w:rStyle w:val="Hyperlink"/>
          </w:rPr>
          <w:t>Soil samples in Soil CMS model calibration data set</w:t>
        </w:r>
        <w:r w:rsidR="00C97BE6">
          <w:rPr>
            <w:webHidden/>
          </w:rPr>
          <w:tab/>
        </w:r>
        <w:r w:rsidR="00C97BE6">
          <w:rPr>
            <w:webHidden/>
          </w:rPr>
          <w:fldChar w:fldCharType="begin"/>
        </w:r>
        <w:r w:rsidR="00C97BE6">
          <w:rPr>
            <w:webHidden/>
          </w:rPr>
          <w:instrText xml:space="preserve"> PAGEREF _Toc5269707 \h </w:instrText>
        </w:r>
        <w:r w:rsidR="00C97BE6">
          <w:rPr>
            <w:webHidden/>
          </w:rPr>
        </w:r>
        <w:r w:rsidR="00C97BE6">
          <w:rPr>
            <w:webHidden/>
          </w:rPr>
          <w:fldChar w:fldCharType="separate"/>
        </w:r>
        <w:r w:rsidR="00D0418C">
          <w:rPr>
            <w:webHidden/>
          </w:rPr>
          <w:t>259</w:t>
        </w:r>
        <w:r w:rsidR="00C97BE6">
          <w:rPr>
            <w:webHidden/>
          </w:rPr>
          <w:fldChar w:fldCharType="end"/>
        </w:r>
      </w:hyperlink>
    </w:p>
    <w:p w14:paraId="4BC7A931" w14:textId="77777777" w:rsidR="00C97BE6" w:rsidRPr="002D354C" w:rsidRDefault="00590491">
      <w:pPr>
        <w:pStyle w:val="TableofFigures"/>
        <w:rPr>
          <w:rFonts w:ascii="Calibri" w:hAnsi="Calibri"/>
          <w:sz w:val="22"/>
          <w:szCs w:val="22"/>
          <w:lang w:eastAsia="en-NZ"/>
        </w:rPr>
      </w:pPr>
      <w:hyperlink w:anchor="_Toc5269708" w:history="1">
        <w:r w:rsidR="00C97BE6" w:rsidRPr="004D58A6">
          <w:rPr>
            <w:rStyle w:val="Hyperlink"/>
          </w:rPr>
          <w:t>Figure 6.3.2</w:t>
        </w:r>
        <w:r w:rsidR="00C97BE6" w:rsidRPr="002D354C">
          <w:rPr>
            <w:rFonts w:ascii="Calibri" w:hAnsi="Calibri"/>
            <w:sz w:val="22"/>
            <w:szCs w:val="22"/>
            <w:lang w:eastAsia="en-NZ"/>
          </w:rPr>
          <w:tab/>
        </w:r>
        <w:r w:rsidR="00C97BE6" w:rsidRPr="004D58A6">
          <w:rPr>
            <w:rStyle w:val="Hyperlink"/>
          </w:rPr>
          <w:t>Result of applying the Marcus multi-comparison test to the adopted model</w:t>
        </w:r>
        <w:r w:rsidR="00C97BE6">
          <w:rPr>
            <w:webHidden/>
          </w:rPr>
          <w:tab/>
        </w:r>
        <w:r w:rsidR="00C97BE6">
          <w:rPr>
            <w:webHidden/>
          </w:rPr>
          <w:fldChar w:fldCharType="begin"/>
        </w:r>
        <w:r w:rsidR="00C97BE6">
          <w:rPr>
            <w:webHidden/>
          </w:rPr>
          <w:instrText xml:space="preserve"> PAGEREF _Toc5269708 \h </w:instrText>
        </w:r>
        <w:r w:rsidR="00C97BE6">
          <w:rPr>
            <w:webHidden/>
          </w:rPr>
        </w:r>
        <w:r w:rsidR="00C97BE6">
          <w:rPr>
            <w:webHidden/>
          </w:rPr>
          <w:fldChar w:fldCharType="separate"/>
        </w:r>
        <w:r w:rsidR="00D0418C">
          <w:rPr>
            <w:webHidden/>
          </w:rPr>
          <w:t>262</w:t>
        </w:r>
        <w:r w:rsidR="00C97BE6">
          <w:rPr>
            <w:webHidden/>
          </w:rPr>
          <w:fldChar w:fldCharType="end"/>
        </w:r>
      </w:hyperlink>
    </w:p>
    <w:p w14:paraId="45B28FF9" w14:textId="77777777" w:rsidR="00C97BE6" w:rsidRPr="002D354C" w:rsidRDefault="00590491">
      <w:pPr>
        <w:pStyle w:val="TableofFigures"/>
        <w:rPr>
          <w:rFonts w:ascii="Calibri" w:hAnsi="Calibri"/>
          <w:sz w:val="22"/>
          <w:szCs w:val="22"/>
          <w:lang w:eastAsia="en-NZ"/>
        </w:rPr>
      </w:pPr>
      <w:hyperlink w:anchor="_Toc5269709" w:history="1">
        <w:r w:rsidR="00C97BE6" w:rsidRPr="004D58A6">
          <w:rPr>
            <w:rStyle w:val="Hyperlink"/>
          </w:rPr>
          <w:t>Figure 6.4.1</w:t>
        </w:r>
        <w:r w:rsidR="00C97BE6" w:rsidRPr="002D354C">
          <w:rPr>
            <w:rFonts w:ascii="Calibri" w:hAnsi="Calibri"/>
            <w:sz w:val="22"/>
            <w:szCs w:val="22"/>
            <w:lang w:eastAsia="en-NZ"/>
          </w:rPr>
          <w:tab/>
        </w:r>
        <w:r w:rsidR="00C97BE6" w:rsidRPr="004D58A6">
          <w:rPr>
            <w:rStyle w:val="Hyperlink"/>
          </w:rPr>
          <w:t>Annual areas of afforestation/reforestation in New Zealand from 1990 to 2017</w:t>
        </w:r>
        <w:r w:rsidR="00C97BE6">
          <w:rPr>
            <w:webHidden/>
          </w:rPr>
          <w:tab/>
        </w:r>
        <w:r w:rsidR="00C97BE6">
          <w:rPr>
            <w:webHidden/>
          </w:rPr>
          <w:fldChar w:fldCharType="begin"/>
        </w:r>
        <w:r w:rsidR="00C97BE6">
          <w:rPr>
            <w:webHidden/>
          </w:rPr>
          <w:instrText xml:space="preserve"> PAGEREF _Toc5269709 \h </w:instrText>
        </w:r>
        <w:r w:rsidR="00C97BE6">
          <w:rPr>
            <w:webHidden/>
          </w:rPr>
        </w:r>
        <w:r w:rsidR="00C97BE6">
          <w:rPr>
            <w:webHidden/>
          </w:rPr>
          <w:fldChar w:fldCharType="separate"/>
        </w:r>
        <w:r w:rsidR="00D0418C">
          <w:rPr>
            <w:webHidden/>
          </w:rPr>
          <w:t>269</w:t>
        </w:r>
        <w:r w:rsidR="00C97BE6">
          <w:rPr>
            <w:webHidden/>
          </w:rPr>
          <w:fldChar w:fldCharType="end"/>
        </w:r>
      </w:hyperlink>
    </w:p>
    <w:p w14:paraId="6E4A0EC2" w14:textId="77777777" w:rsidR="00C97BE6" w:rsidRPr="002D354C" w:rsidRDefault="00590491">
      <w:pPr>
        <w:pStyle w:val="TableofFigures"/>
        <w:rPr>
          <w:rFonts w:ascii="Calibri" w:hAnsi="Calibri"/>
          <w:sz w:val="22"/>
          <w:szCs w:val="22"/>
          <w:lang w:eastAsia="en-NZ"/>
        </w:rPr>
      </w:pPr>
      <w:hyperlink w:anchor="_Toc5269710" w:history="1">
        <w:r w:rsidR="00C97BE6" w:rsidRPr="004D58A6">
          <w:rPr>
            <w:rStyle w:val="Hyperlink"/>
          </w:rPr>
          <w:t>Figure 6.4.2</w:t>
        </w:r>
        <w:r w:rsidR="00C97BE6" w:rsidRPr="002D354C">
          <w:rPr>
            <w:rFonts w:ascii="Calibri" w:hAnsi="Calibri"/>
            <w:sz w:val="22"/>
            <w:szCs w:val="22"/>
            <w:lang w:eastAsia="en-NZ"/>
          </w:rPr>
          <w:tab/>
        </w:r>
        <w:r w:rsidR="00C97BE6" w:rsidRPr="004D58A6">
          <w:rPr>
            <w:rStyle w:val="Hyperlink"/>
          </w:rPr>
          <w:t>New Zealand’s net carbon dioxide removals by post-1989 forests from 1990 to 2017</w:t>
        </w:r>
        <w:r w:rsidR="00C97BE6">
          <w:rPr>
            <w:webHidden/>
          </w:rPr>
          <w:tab/>
        </w:r>
        <w:r w:rsidR="00C97BE6">
          <w:rPr>
            <w:webHidden/>
          </w:rPr>
          <w:fldChar w:fldCharType="begin"/>
        </w:r>
        <w:r w:rsidR="00C97BE6">
          <w:rPr>
            <w:webHidden/>
          </w:rPr>
          <w:instrText xml:space="preserve"> PAGEREF _Toc5269710 \h </w:instrText>
        </w:r>
        <w:r w:rsidR="00C97BE6">
          <w:rPr>
            <w:webHidden/>
          </w:rPr>
        </w:r>
        <w:r w:rsidR="00C97BE6">
          <w:rPr>
            <w:webHidden/>
          </w:rPr>
          <w:fldChar w:fldCharType="separate"/>
        </w:r>
        <w:r w:rsidR="00D0418C">
          <w:rPr>
            <w:webHidden/>
          </w:rPr>
          <w:t>270</w:t>
        </w:r>
        <w:r w:rsidR="00C97BE6">
          <w:rPr>
            <w:webHidden/>
          </w:rPr>
          <w:fldChar w:fldCharType="end"/>
        </w:r>
      </w:hyperlink>
    </w:p>
    <w:p w14:paraId="2A25175F" w14:textId="77777777" w:rsidR="00C97BE6" w:rsidRPr="002D354C" w:rsidRDefault="00590491">
      <w:pPr>
        <w:pStyle w:val="TableofFigures"/>
        <w:rPr>
          <w:rFonts w:ascii="Calibri" w:hAnsi="Calibri"/>
          <w:sz w:val="22"/>
          <w:szCs w:val="22"/>
          <w:lang w:eastAsia="en-NZ"/>
        </w:rPr>
      </w:pPr>
      <w:hyperlink w:anchor="_Toc5269711" w:history="1">
        <w:r w:rsidR="00C97BE6" w:rsidRPr="004D58A6">
          <w:rPr>
            <w:rStyle w:val="Hyperlink"/>
          </w:rPr>
          <w:t>Figure 6.4.4</w:t>
        </w:r>
        <w:r w:rsidR="00C97BE6" w:rsidRPr="002D354C">
          <w:rPr>
            <w:rFonts w:ascii="Calibri" w:hAnsi="Calibri"/>
            <w:sz w:val="22"/>
            <w:szCs w:val="22"/>
            <w:lang w:eastAsia="en-NZ"/>
          </w:rPr>
          <w:tab/>
        </w:r>
        <w:r w:rsidR="00C97BE6" w:rsidRPr="004D58A6">
          <w:rPr>
            <w:rStyle w:val="Hyperlink"/>
          </w:rPr>
          <w:t>New Zealand’s area of planted forest harvest (inclusive of deforestation) from 1990 to 2017</w:t>
        </w:r>
        <w:r w:rsidR="00C97BE6">
          <w:rPr>
            <w:webHidden/>
          </w:rPr>
          <w:tab/>
        </w:r>
        <w:r w:rsidR="00C97BE6">
          <w:rPr>
            <w:webHidden/>
          </w:rPr>
          <w:fldChar w:fldCharType="begin"/>
        </w:r>
        <w:r w:rsidR="00C97BE6">
          <w:rPr>
            <w:webHidden/>
          </w:rPr>
          <w:instrText xml:space="preserve"> PAGEREF _Toc5269711 \h </w:instrText>
        </w:r>
        <w:r w:rsidR="00C97BE6">
          <w:rPr>
            <w:webHidden/>
          </w:rPr>
        </w:r>
        <w:r w:rsidR="00C97BE6">
          <w:rPr>
            <w:webHidden/>
          </w:rPr>
          <w:fldChar w:fldCharType="separate"/>
        </w:r>
        <w:r w:rsidR="00D0418C">
          <w:rPr>
            <w:webHidden/>
          </w:rPr>
          <w:t>272</w:t>
        </w:r>
        <w:r w:rsidR="00C97BE6">
          <w:rPr>
            <w:webHidden/>
          </w:rPr>
          <w:fldChar w:fldCharType="end"/>
        </w:r>
      </w:hyperlink>
    </w:p>
    <w:p w14:paraId="6BFE6AC1" w14:textId="77777777" w:rsidR="00C97BE6" w:rsidRPr="002D354C" w:rsidRDefault="00590491">
      <w:pPr>
        <w:pStyle w:val="TableofFigures"/>
        <w:rPr>
          <w:rFonts w:ascii="Calibri" w:hAnsi="Calibri"/>
          <w:sz w:val="22"/>
          <w:szCs w:val="22"/>
          <w:lang w:eastAsia="en-NZ"/>
        </w:rPr>
      </w:pPr>
      <w:hyperlink w:anchor="_Toc5269712" w:history="1">
        <w:r w:rsidR="00C97BE6" w:rsidRPr="004D58A6">
          <w:rPr>
            <w:rStyle w:val="Hyperlink"/>
          </w:rPr>
          <w:t>Figure 6.4.5</w:t>
        </w:r>
        <w:r w:rsidR="00C97BE6" w:rsidRPr="002D354C">
          <w:rPr>
            <w:rFonts w:ascii="Calibri" w:hAnsi="Calibri"/>
            <w:sz w:val="22"/>
            <w:szCs w:val="22"/>
            <w:lang w:eastAsia="en-NZ"/>
          </w:rPr>
          <w:tab/>
        </w:r>
        <w:r w:rsidR="00C97BE6" w:rsidRPr="004D58A6">
          <w:rPr>
            <w:rStyle w:val="Hyperlink"/>
          </w:rPr>
          <w:t>Location of New Zealand’s pre-1990 forest carbon monitoring plots</w:t>
        </w:r>
        <w:r w:rsidR="00C97BE6">
          <w:rPr>
            <w:webHidden/>
          </w:rPr>
          <w:tab/>
        </w:r>
        <w:r w:rsidR="00C97BE6">
          <w:rPr>
            <w:webHidden/>
          </w:rPr>
          <w:fldChar w:fldCharType="begin"/>
        </w:r>
        <w:r w:rsidR="00C97BE6">
          <w:rPr>
            <w:webHidden/>
          </w:rPr>
          <w:instrText xml:space="preserve"> PAGEREF _Toc5269712 \h </w:instrText>
        </w:r>
        <w:r w:rsidR="00C97BE6">
          <w:rPr>
            <w:webHidden/>
          </w:rPr>
        </w:r>
        <w:r w:rsidR="00C97BE6">
          <w:rPr>
            <w:webHidden/>
          </w:rPr>
          <w:fldChar w:fldCharType="separate"/>
        </w:r>
        <w:r w:rsidR="00D0418C">
          <w:rPr>
            <w:webHidden/>
          </w:rPr>
          <w:t>274</w:t>
        </w:r>
        <w:r w:rsidR="00C97BE6">
          <w:rPr>
            <w:webHidden/>
          </w:rPr>
          <w:fldChar w:fldCharType="end"/>
        </w:r>
      </w:hyperlink>
    </w:p>
    <w:p w14:paraId="1A5266C0" w14:textId="77777777" w:rsidR="00C97BE6" w:rsidRPr="002D354C" w:rsidRDefault="00590491">
      <w:pPr>
        <w:pStyle w:val="TableofFigures"/>
        <w:rPr>
          <w:rFonts w:ascii="Calibri" w:hAnsi="Calibri"/>
          <w:sz w:val="22"/>
          <w:szCs w:val="22"/>
          <w:lang w:eastAsia="en-NZ"/>
        </w:rPr>
      </w:pPr>
      <w:hyperlink w:anchor="_Toc5269713" w:history="1">
        <w:r w:rsidR="00C97BE6" w:rsidRPr="004D58A6">
          <w:rPr>
            <w:rStyle w:val="Hyperlink"/>
          </w:rPr>
          <w:t>Figure 6.4.6</w:t>
        </w:r>
        <w:r w:rsidR="00C97BE6" w:rsidRPr="002D354C">
          <w:rPr>
            <w:rFonts w:ascii="Calibri" w:hAnsi="Calibri"/>
            <w:sz w:val="22"/>
            <w:szCs w:val="22"/>
            <w:lang w:eastAsia="en-NZ"/>
          </w:rPr>
          <w:tab/>
        </w:r>
        <w:r w:rsidR="00C97BE6" w:rsidRPr="004D58A6">
          <w:rPr>
            <w:rStyle w:val="Hyperlink"/>
          </w:rPr>
          <w:t>New Zealand’s planted forest inventory modelling process</w:t>
        </w:r>
        <w:r w:rsidR="00C97BE6">
          <w:rPr>
            <w:webHidden/>
          </w:rPr>
          <w:tab/>
        </w:r>
        <w:r w:rsidR="00C97BE6">
          <w:rPr>
            <w:webHidden/>
          </w:rPr>
          <w:fldChar w:fldCharType="begin"/>
        </w:r>
        <w:r w:rsidR="00C97BE6">
          <w:rPr>
            <w:webHidden/>
          </w:rPr>
          <w:instrText xml:space="preserve"> PAGEREF _Toc5269713 \h </w:instrText>
        </w:r>
        <w:r w:rsidR="00C97BE6">
          <w:rPr>
            <w:webHidden/>
          </w:rPr>
        </w:r>
        <w:r w:rsidR="00C97BE6">
          <w:rPr>
            <w:webHidden/>
          </w:rPr>
          <w:fldChar w:fldCharType="separate"/>
        </w:r>
        <w:r w:rsidR="00D0418C">
          <w:rPr>
            <w:webHidden/>
          </w:rPr>
          <w:t>279</w:t>
        </w:r>
        <w:r w:rsidR="00C97BE6">
          <w:rPr>
            <w:webHidden/>
          </w:rPr>
          <w:fldChar w:fldCharType="end"/>
        </w:r>
      </w:hyperlink>
    </w:p>
    <w:p w14:paraId="663C984F" w14:textId="77777777" w:rsidR="00C97BE6" w:rsidRPr="002D354C" w:rsidRDefault="00590491">
      <w:pPr>
        <w:pStyle w:val="TableofFigures"/>
        <w:rPr>
          <w:rFonts w:ascii="Calibri" w:hAnsi="Calibri"/>
          <w:sz w:val="22"/>
          <w:szCs w:val="22"/>
          <w:lang w:eastAsia="en-NZ"/>
        </w:rPr>
      </w:pPr>
      <w:hyperlink w:anchor="_Toc5269714" w:history="1">
        <w:r w:rsidR="00C97BE6" w:rsidRPr="004D58A6">
          <w:rPr>
            <w:rStyle w:val="Hyperlink"/>
          </w:rPr>
          <w:t>Figure 6.4.7</w:t>
        </w:r>
        <w:r w:rsidR="00C97BE6" w:rsidRPr="002D354C">
          <w:rPr>
            <w:rFonts w:ascii="Calibri" w:hAnsi="Calibri"/>
            <w:sz w:val="22"/>
            <w:szCs w:val="22"/>
            <w:lang w:eastAsia="en-NZ"/>
          </w:rPr>
          <w:tab/>
        </w:r>
        <w:r w:rsidR="00C97BE6" w:rsidRPr="004D58A6">
          <w:rPr>
            <w:rStyle w:val="Hyperlink"/>
          </w:rPr>
          <w:t>Location of New Zealand’s post-1989 forest plots</w:t>
        </w:r>
        <w:r w:rsidR="00C97BE6">
          <w:rPr>
            <w:webHidden/>
          </w:rPr>
          <w:tab/>
        </w:r>
        <w:r w:rsidR="00C97BE6">
          <w:rPr>
            <w:webHidden/>
          </w:rPr>
          <w:fldChar w:fldCharType="begin"/>
        </w:r>
        <w:r w:rsidR="00C97BE6">
          <w:rPr>
            <w:webHidden/>
          </w:rPr>
          <w:instrText xml:space="preserve"> PAGEREF _Toc5269714 \h </w:instrText>
        </w:r>
        <w:r w:rsidR="00C97BE6">
          <w:rPr>
            <w:webHidden/>
          </w:rPr>
        </w:r>
        <w:r w:rsidR="00C97BE6">
          <w:rPr>
            <w:webHidden/>
          </w:rPr>
          <w:fldChar w:fldCharType="separate"/>
        </w:r>
        <w:r w:rsidR="00D0418C">
          <w:rPr>
            <w:webHidden/>
          </w:rPr>
          <w:t>281</w:t>
        </w:r>
        <w:r w:rsidR="00C97BE6">
          <w:rPr>
            <w:webHidden/>
          </w:rPr>
          <w:fldChar w:fldCharType="end"/>
        </w:r>
      </w:hyperlink>
    </w:p>
    <w:p w14:paraId="3DABF042" w14:textId="77777777" w:rsidR="00C97BE6" w:rsidRPr="002D354C" w:rsidRDefault="00590491">
      <w:pPr>
        <w:pStyle w:val="TableofFigures"/>
        <w:rPr>
          <w:rFonts w:ascii="Calibri" w:hAnsi="Calibri"/>
          <w:sz w:val="22"/>
          <w:szCs w:val="22"/>
          <w:lang w:eastAsia="en-NZ"/>
        </w:rPr>
      </w:pPr>
      <w:hyperlink w:anchor="_Toc5269715" w:history="1">
        <w:r w:rsidR="00C97BE6" w:rsidRPr="004D58A6">
          <w:rPr>
            <w:rStyle w:val="Hyperlink"/>
          </w:rPr>
          <w:t>Figure 6.10.1</w:t>
        </w:r>
        <w:r w:rsidR="00C97BE6" w:rsidRPr="002D354C">
          <w:rPr>
            <w:rFonts w:ascii="Calibri" w:hAnsi="Calibri"/>
            <w:sz w:val="22"/>
            <w:szCs w:val="22"/>
            <w:lang w:eastAsia="en-NZ"/>
          </w:rPr>
          <w:tab/>
        </w:r>
        <w:r w:rsidR="00C97BE6" w:rsidRPr="004D58A6">
          <w:rPr>
            <w:rStyle w:val="Hyperlink"/>
          </w:rPr>
          <w:t>Volume of roundwood produced and exported between 1990 to 2017</w:t>
        </w:r>
        <w:r w:rsidR="00C97BE6">
          <w:rPr>
            <w:webHidden/>
          </w:rPr>
          <w:tab/>
        </w:r>
        <w:r w:rsidR="00C97BE6">
          <w:rPr>
            <w:webHidden/>
          </w:rPr>
          <w:fldChar w:fldCharType="begin"/>
        </w:r>
        <w:r w:rsidR="00C97BE6">
          <w:rPr>
            <w:webHidden/>
          </w:rPr>
          <w:instrText xml:space="preserve"> PAGEREF _Toc5269715 \h </w:instrText>
        </w:r>
        <w:r w:rsidR="00C97BE6">
          <w:rPr>
            <w:webHidden/>
          </w:rPr>
        </w:r>
        <w:r w:rsidR="00C97BE6">
          <w:rPr>
            <w:webHidden/>
          </w:rPr>
          <w:fldChar w:fldCharType="separate"/>
        </w:r>
        <w:r w:rsidR="00D0418C">
          <w:rPr>
            <w:webHidden/>
          </w:rPr>
          <w:t>310</w:t>
        </w:r>
        <w:r w:rsidR="00C97BE6">
          <w:rPr>
            <w:webHidden/>
          </w:rPr>
          <w:fldChar w:fldCharType="end"/>
        </w:r>
      </w:hyperlink>
    </w:p>
    <w:p w14:paraId="082CDA7D" w14:textId="77777777" w:rsidR="00C97BE6" w:rsidRPr="002D354C" w:rsidRDefault="00590491">
      <w:pPr>
        <w:pStyle w:val="TableofFigures"/>
        <w:rPr>
          <w:rFonts w:ascii="Calibri" w:hAnsi="Calibri"/>
          <w:sz w:val="22"/>
          <w:szCs w:val="22"/>
          <w:lang w:eastAsia="en-NZ"/>
        </w:rPr>
      </w:pPr>
      <w:hyperlink w:anchor="_Toc5269716" w:history="1">
        <w:r w:rsidR="00C97BE6" w:rsidRPr="004D58A6">
          <w:rPr>
            <w:rStyle w:val="Hyperlink"/>
          </w:rPr>
          <w:t>Figure 7.1.1</w:t>
        </w:r>
        <w:r w:rsidR="00C97BE6" w:rsidRPr="002D354C">
          <w:rPr>
            <w:rFonts w:ascii="Calibri" w:hAnsi="Calibri"/>
            <w:sz w:val="22"/>
            <w:szCs w:val="22"/>
            <w:lang w:eastAsia="en-NZ"/>
          </w:rPr>
          <w:tab/>
        </w:r>
        <w:r w:rsidR="00C97BE6" w:rsidRPr="004D58A6">
          <w:rPr>
            <w:rStyle w:val="Hyperlink"/>
          </w:rPr>
          <w:t>Profile of emissions from New Zealand’s Waste sector by source from 1990 to 2017</w:t>
        </w:r>
        <w:r w:rsidR="00C97BE6">
          <w:rPr>
            <w:webHidden/>
          </w:rPr>
          <w:tab/>
        </w:r>
        <w:r w:rsidR="00C97BE6">
          <w:rPr>
            <w:webHidden/>
          </w:rPr>
          <w:fldChar w:fldCharType="begin"/>
        </w:r>
        <w:r w:rsidR="00C97BE6">
          <w:rPr>
            <w:webHidden/>
          </w:rPr>
          <w:instrText xml:space="preserve"> PAGEREF _Toc5269716 \h </w:instrText>
        </w:r>
        <w:r w:rsidR="00C97BE6">
          <w:rPr>
            <w:webHidden/>
          </w:rPr>
        </w:r>
        <w:r w:rsidR="00C97BE6">
          <w:rPr>
            <w:webHidden/>
          </w:rPr>
          <w:fldChar w:fldCharType="separate"/>
        </w:r>
        <w:r w:rsidR="00D0418C">
          <w:rPr>
            <w:webHidden/>
          </w:rPr>
          <w:t>329</w:t>
        </w:r>
        <w:r w:rsidR="00C97BE6">
          <w:rPr>
            <w:webHidden/>
          </w:rPr>
          <w:fldChar w:fldCharType="end"/>
        </w:r>
      </w:hyperlink>
    </w:p>
    <w:p w14:paraId="3BC69DF7" w14:textId="77777777" w:rsidR="00C97BE6" w:rsidRPr="002D354C" w:rsidRDefault="00590491">
      <w:pPr>
        <w:pStyle w:val="TableofFigures"/>
        <w:rPr>
          <w:rFonts w:ascii="Calibri" w:hAnsi="Calibri"/>
          <w:sz w:val="22"/>
          <w:szCs w:val="22"/>
          <w:lang w:eastAsia="en-NZ"/>
        </w:rPr>
      </w:pPr>
      <w:hyperlink w:anchor="_Toc5269717" w:history="1">
        <w:r w:rsidR="00C97BE6" w:rsidRPr="004D58A6">
          <w:rPr>
            <w:rStyle w:val="Hyperlink"/>
          </w:rPr>
          <w:t>Figure 7.1.2</w:t>
        </w:r>
        <w:r w:rsidR="00C97BE6" w:rsidRPr="002D354C">
          <w:rPr>
            <w:rFonts w:ascii="Calibri" w:hAnsi="Calibri"/>
            <w:sz w:val="22"/>
            <w:szCs w:val="22"/>
            <w:lang w:eastAsia="en-NZ"/>
          </w:rPr>
          <w:tab/>
        </w:r>
        <w:r w:rsidR="00C97BE6" w:rsidRPr="004D58A6">
          <w:rPr>
            <w:rStyle w:val="Hyperlink"/>
          </w:rPr>
          <w:t>Change in New Zealand’s emissions from the Waste sector by source category from 1990 to 2017</w:t>
        </w:r>
        <w:r w:rsidR="00C97BE6">
          <w:rPr>
            <w:webHidden/>
          </w:rPr>
          <w:tab/>
        </w:r>
        <w:r w:rsidR="00C97BE6">
          <w:rPr>
            <w:webHidden/>
          </w:rPr>
          <w:fldChar w:fldCharType="begin"/>
        </w:r>
        <w:r w:rsidR="00C97BE6">
          <w:rPr>
            <w:webHidden/>
          </w:rPr>
          <w:instrText xml:space="preserve"> PAGEREF _Toc5269717 \h </w:instrText>
        </w:r>
        <w:r w:rsidR="00C97BE6">
          <w:rPr>
            <w:webHidden/>
          </w:rPr>
        </w:r>
        <w:r w:rsidR="00C97BE6">
          <w:rPr>
            <w:webHidden/>
          </w:rPr>
          <w:fldChar w:fldCharType="separate"/>
        </w:r>
        <w:r w:rsidR="00D0418C">
          <w:rPr>
            <w:webHidden/>
          </w:rPr>
          <w:t>330</w:t>
        </w:r>
        <w:r w:rsidR="00C97BE6">
          <w:rPr>
            <w:webHidden/>
          </w:rPr>
          <w:fldChar w:fldCharType="end"/>
        </w:r>
      </w:hyperlink>
    </w:p>
    <w:p w14:paraId="4DA6DB2E" w14:textId="77777777" w:rsidR="00C97BE6" w:rsidRPr="002D354C" w:rsidRDefault="00590491">
      <w:pPr>
        <w:pStyle w:val="TableofFigures"/>
        <w:rPr>
          <w:rFonts w:ascii="Calibri" w:hAnsi="Calibri"/>
          <w:sz w:val="22"/>
          <w:szCs w:val="22"/>
          <w:lang w:eastAsia="en-NZ"/>
        </w:rPr>
      </w:pPr>
      <w:hyperlink w:anchor="_Toc5269718" w:history="1">
        <w:r w:rsidR="00C97BE6" w:rsidRPr="004D58A6">
          <w:rPr>
            <w:rStyle w:val="Hyperlink"/>
          </w:rPr>
          <w:t xml:space="preserve">Figure 7.1.3 </w:t>
        </w:r>
        <w:r w:rsidR="00C97BE6" w:rsidRPr="002D354C">
          <w:rPr>
            <w:rFonts w:ascii="Calibri" w:hAnsi="Calibri"/>
            <w:sz w:val="22"/>
            <w:szCs w:val="22"/>
            <w:lang w:eastAsia="en-NZ"/>
          </w:rPr>
          <w:tab/>
        </w:r>
        <w:r w:rsidR="00C97BE6" w:rsidRPr="004D58A6">
          <w:rPr>
            <w:rStyle w:val="Hyperlink"/>
          </w:rPr>
          <w:t>Tier 1 quality checks for the Waste sector</w:t>
        </w:r>
        <w:r w:rsidR="00C97BE6">
          <w:rPr>
            <w:webHidden/>
          </w:rPr>
          <w:tab/>
        </w:r>
        <w:r w:rsidR="00C97BE6">
          <w:rPr>
            <w:webHidden/>
          </w:rPr>
          <w:fldChar w:fldCharType="begin"/>
        </w:r>
        <w:r w:rsidR="00C97BE6">
          <w:rPr>
            <w:webHidden/>
          </w:rPr>
          <w:instrText xml:space="preserve"> PAGEREF _Toc5269718 \h </w:instrText>
        </w:r>
        <w:r w:rsidR="00C97BE6">
          <w:rPr>
            <w:webHidden/>
          </w:rPr>
        </w:r>
        <w:r w:rsidR="00C97BE6">
          <w:rPr>
            <w:webHidden/>
          </w:rPr>
          <w:fldChar w:fldCharType="separate"/>
        </w:r>
        <w:r w:rsidR="00D0418C">
          <w:rPr>
            <w:webHidden/>
          </w:rPr>
          <w:t>332</w:t>
        </w:r>
        <w:r w:rsidR="00C97BE6">
          <w:rPr>
            <w:webHidden/>
          </w:rPr>
          <w:fldChar w:fldCharType="end"/>
        </w:r>
      </w:hyperlink>
    </w:p>
    <w:p w14:paraId="1533545F" w14:textId="77777777" w:rsidR="00C97BE6" w:rsidRPr="002D354C" w:rsidRDefault="00590491">
      <w:pPr>
        <w:pStyle w:val="TableofFigures"/>
        <w:rPr>
          <w:rFonts w:ascii="Calibri" w:hAnsi="Calibri"/>
          <w:sz w:val="22"/>
          <w:szCs w:val="22"/>
          <w:lang w:eastAsia="en-NZ"/>
        </w:rPr>
      </w:pPr>
      <w:hyperlink w:anchor="_Toc5269719" w:history="1">
        <w:r w:rsidR="00C97BE6" w:rsidRPr="004D58A6">
          <w:rPr>
            <w:rStyle w:val="Hyperlink"/>
          </w:rPr>
          <w:t>Figure 7.2.1</w:t>
        </w:r>
        <w:r w:rsidR="00C97BE6" w:rsidRPr="002D354C">
          <w:rPr>
            <w:rFonts w:ascii="Calibri" w:hAnsi="Calibri"/>
            <w:sz w:val="22"/>
            <w:szCs w:val="22"/>
            <w:lang w:eastAsia="en-NZ"/>
          </w:rPr>
          <w:tab/>
        </w:r>
        <w:r w:rsidR="00C97BE6" w:rsidRPr="004D58A6">
          <w:rPr>
            <w:rStyle w:val="Hyperlink"/>
          </w:rPr>
          <w:t>The composition of municipal solid waste landfilled in New Zealand and the United States</w:t>
        </w:r>
        <w:r w:rsidR="00C97BE6">
          <w:rPr>
            <w:webHidden/>
          </w:rPr>
          <w:tab/>
        </w:r>
        <w:r w:rsidR="00C97BE6">
          <w:rPr>
            <w:webHidden/>
          </w:rPr>
          <w:fldChar w:fldCharType="begin"/>
        </w:r>
        <w:r w:rsidR="00C97BE6">
          <w:rPr>
            <w:webHidden/>
          </w:rPr>
          <w:instrText xml:space="preserve"> PAGEREF _Toc5269719 \h </w:instrText>
        </w:r>
        <w:r w:rsidR="00C97BE6">
          <w:rPr>
            <w:webHidden/>
          </w:rPr>
        </w:r>
        <w:r w:rsidR="00C97BE6">
          <w:rPr>
            <w:webHidden/>
          </w:rPr>
          <w:fldChar w:fldCharType="separate"/>
        </w:r>
        <w:r w:rsidR="00D0418C">
          <w:rPr>
            <w:webHidden/>
          </w:rPr>
          <w:t>341</w:t>
        </w:r>
        <w:r w:rsidR="00C97BE6">
          <w:rPr>
            <w:webHidden/>
          </w:rPr>
          <w:fldChar w:fldCharType="end"/>
        </w:r>
      </w:hyperlink>
    </w:p>
    <w:p w14:paraId="6D388020" w14:textId="77777777" w:rsidR="00C97BE6" w:rsidRPr="002D354C" w:rsidRDefault="00590491">
      <w:pPr>
        <w:pStyle w:val="TableofFigures"/>
        <w:rPr>
          <w:rFonts w:ascii="Calibri" w:hAnsi="Calibri"/>
          <w:sz w:val="22"/>
          <w:szCs w:val="22"/>
          <w:lang w:eastAsia="en-NZ"/>
        </w:rPr>
      </w:pPr>
      <w:hyperlink w:anchor="_Toc5269720" w:history="1">
        <w:r w:rsidR="00C97BE6" w:rsidRPr="004D58A6">
          <w:rPr>
            <w:rStyle w:val="Hyperlink"/>
          </w:rPr>
          <w:t>Figure 7.2.2</w:t>
        </w:r>
        <w:r w:rsidR="00C97BE6" w:rsidRPr="002D354C">
          <w:rPr>
            <w:rFonts w:ascii="Calibri" w:hAnsi="Calibri"/>
            <w:sz w:val="22"/>
            <w:szCs w:val="22"/>
            <w:lang w:eastAsia="en-NZ"/>
          </w:rPr>
          <w:tab/>
        </w:r>
        <w:r w:rsidR="00C97BE6" w:rsidRPr="004D58A6">
          <w:rPr>
            <w:rStyle w:val="Hyperlink"/>
          </w:rPr>
          <w:t>Effect on emissions from landfills with landfill gas (LFG) recovery when using default methane recovery rate from 1990 to 2017</w:t>
        </w:r>
        <w:r w:rsidR="00C97BE6">
          <w:rPr>
            <w:webHidden/>
          </w:rPr>
          <w:tab/>
        </w:r>
        <w:r w:rsidR="00C97BE6">
          <w:rPr>
            <w:webHidden/>
          </w:rPr>
          <w:fldChar w:fldCharType="begin"/>
        </w:r>
        <w:r w:rsidR="00C97BE6">
          <w:rPr>
            <w:webHidden/>
          </w:rPr>
          <w:instrText xml:space="preserve"> PAGEREF _Toc5269720 \h </w:instrText>
        </w:r>
        <w:r w:rsidR="00C97BE6">
          <w:rPr>
            <w:webHidden/>
          </w:rPr>
        </w:r>
        <w:r w:rsidR="00C97BE6">
          <w:rPr>
            <w:webHidden/>
          </w:rPr>
          <w:fldChar w:fldCharType="separate"/>
        </w:r>
        <w:r w:rsidR="00D0418C">
          <w:rPr>
            <w:webHidden/>
          </w:rPr>
          <w:t>344</w:t>
        </w:r>
        <w:r w:rsidR="00C97BE6">
          <w:rPr>
            <w:webHidden/>
          </w:rPr>
          <w:fldChar w:fldCharType="end"/>
        </w:r>
      </w:hyperlink>
    </w:p>
    <w:p w14:paraId="2B982DA2" w14:textId="77777777" w:rsidR="00C97BE6" w:rsidRPr="002D354C" w:rsidRDefault="00590491">
      <w:pPr>
        <w:pStyle w:val="TableofFigures"/>
        <w:rPr>
          <w:rFonts w:ascii="Calibri" w:hAnsi="Calibri"/>
          <w:sz w:val="22"/>
          <w:szCs w:val="22"/>
          <w:lang w:eastAsia="en-NZ"/>
        </w:rPr>
      </w:pPr>
      <w:hyperlink w:anchor="_Toc5269721" w:history="1">
        <w:r w:rsidR="00C97BE6" w:rsidRPr="004D58A6">
          <w:rPr>
            <w:rStyle w:val="Hyperlink"/>
          </w:rPr>
          <w:t xml:space="preserve">Figure 8.1.1 </w:t>
        </w:r>
        <w:r w:rsidR="00C97BE6" w:rsidRPr="002D354C">
          <w:rPr>
            <w:rFonts w:ascii="Calibri" w:hAnsi="Calibri"/>
            <w:sz w:val="22"/>
            <w:szCs w:val="22"/>
            <w:lang w:eastAsia="en-NZ"/>
          </w:rPr>
          <w:tab/>
        </w:r>
        <w:r w:rsidR="00C97BE6" w:rsidRPr="004D58A6">
          <w:rPr>
            <w:rStyle w:val="Hyperlink"/>
          </w:rPr>
          <w:t>Map of Tokelau</w:t>
        </w:r>
        <w:r w:rsidR="00C97BE6">
          <w:rPr>
            <w:webHidden/>
          </w:rPr>
          <w:tab/>
        </w:r>
        <w:r w:rsidR="00C97BE6">
          <w:rPr>
            <w:webHidden/>
          </w:rPr>
          <w:fldChar w:fldCharType="begin"/>
        </w:r>
        <w:r w:rsidR="00C97BE6">
          <w:rPr>
            <w:webHidden/>
          </w:rPr>
          <w:instrText xml:space="preserve"> PAGEREF _Toc5269721 \h </w:instrText>
        </w:r>
        <w:r w:rsidR="00C97BE6">
          <w:rPr>
            <w:webHidden/>
          </w:rPr>
        </w:r>
        <w:r w:rsidR="00C97BE6">
          <w:rPr>
            <w:webHidden/>
          </w:rPr>
          <w:fldChar w:fldCharType="separate"/>
        </w:r>
        <w:r w:rsidR="00D0418C">
          <w:rPr>
            <w:webHidden/>
          </w:rPr>
          <w:t>369</w:t>
        </w:r>
        <w:r w:rsidR="00C97BE6">
          <w:rPr>
            <w:webHidden/>
          </w:rPr>
          <w:fldChar w:fldCharType="end"/>
        </w:r>
      </w:hyperlink>
    </w:p>
    <w:p w14:paraId="081B69CF" w14:textId="77777777" w:rsidR="00C97BE6" w:rsidRPr="002D354C" w:rsidRDefault="00590491">
      <w:pPr>
        <w:pStyle w:val="TableofFigures"/>
        <w:rPr>
          <w:rFonts w:ascii="Calibri" w:hAnsi="Calibri"/>
          <w:sz w:val="22"/>
          <w:szCs w:val="22"/>
          <w:lang w:eastAsia="en-NZ"/>
        </w:rPr>
      </w:pPr>
      <w:hyperlink w:anchor="_Toc5269722" w:history="1">
        <w:r w:rsidR="00C97BE6" w:rsidRPr="004D58A6">
          <w:rPr>
            <w:rStyle w:val="Hyperlink"/>
          </w:rPr>
          <w:t xml:space="preserve">Figure 8.1.2 </w:t>
        </w:r>
        <w:r w:rsidR="00C97BE6" w:rsidRPr="002D354C">
          <w:rPr>
            <w:rFonts w:ascii="Calibri" w:hAnsi="Calibri"/>
            <w:sz w:val="22"/>
            <w:szCs w:val="22"/>
            <w:lang w:eastAsia="en-NZ"/>
          </w:rPr>
          <w:tab/>
        </w:r>
        <w:r w:rsidR="00C97BE6" w:rsidRPr="004D58A6">
          <w:rPr>
            <w:rStyle w:val="Hyperlink"/>
          </w:rPr>
          <w:t>Tokelau’s emissions by gas</w:t>
        </w:r>
        <w:r w:rsidR="00C97BE6" w:rsidRPr="004D58A6">
          <w:rPr>
            <w:rStyle w:val="Hyperlink"/>
            <w:lang w:eastAsia="en-NZ"/>
          </w:rPr>
          <w:t xml:space="preserve"> in 2017</w:t>
        </w:r>
        <w:r w:rsidR="00C97BE6">
          <w:rPr>
            <w:webHidden/>
          </w:rPr>
          <w:tab/>
        </w:r>
        <w:r w:rsidR="00C97BE6">
          <w:rPr>
            <w:webHidden/>
          </w:rPr>
          <w:fldChar w:fldCharType="begin"/>
        </w:r>
        <w:r w:rsidR="00C97BE6">
          <w:rPr>
            <w:webHidden/>
          </w:rPr>
          <w:instrText xml:space="preserve"> PAGEREF _Toc5269722 \h </w:instrText>
        </w:r>
        <w:r w:rsidR="00C97BE6">
          <w:rPr>
            <w:webHidden/>
          </w:rPr>
        </w:r>
        <w:r w:rsidR="00C97BE6">
          <w:rPr>
            <w:webHidden/>
          </w:rPr>
          <w:fldChar w:fldCharType="separate"/>
        </w:r>
        <w:r w:rsidR="00D0418C">
          <w:rPr>
            <w:webHidden/>
          </w:rPr>
          <w:t>371</w:t>
        </w:r>
        <w:r w:rsidR="00C97BE6">
          <w:rPr>
            <w:webHidden/>
          </w:rPr>
          <w:fldChar w:fldCharType="end"/>
        </w:r>
      </w:hyperlink>
    </w:p>
    <w:p w14:paraId="1EB6E864" w14:textId="77777777" w:rsidR="00C97BE6" w:rsidRPr="002D354C" w:rsidRDefault="00590491">
      <w:pPr>
        <w:pStyle w:val="TableofFigures"/>
        <w:rPr>
          <w:rFonts w:ascii="Calibri" w:hAnsi="Calibri"/>
          <w:sz w:val="22"/>
          <w:szCs w:val="22"/>
          <w:lang w:eastAsia="en-NZ"/>
        </w:rPr>
      </w:pPr>
      <w:hyperlink w:anchor="_Toc5269723" w:history="1">
        <w:r w:rsidR="00C97BE6" w:rsidRPr="004D58A6">
          <w:rPr>
            <w:rStyle w:val="Hyperlink"/>
          </w:rPr>
          <w:t xml:space="preserve">Figure 8.1.3 </w:t>
        </w:r>
        <w:r w:rsidR="00C97BE6" w:rsidRPr="002D354C">
          <w:rPr>
            <w:rFonts w:ascii="Calibri" w:hAnsi="Calibri"/>
            <w:sz w:val="22"/>
            <w:szCs w:val="22"/>
            <w:lang w:eastAsia="en-NZ"/>
          </w:rPr>
          <w:tab/>
        </w:r>
        <w:r w:rsidR="00C97BE6" w:rsidRPr="004D58A6">
          <w:rPr>
            <w:rStyle w:val="Hyperlink"/>
          </w:rPr>
          <w:t>Tokelau’s emissions by sector in 2017</w:t>
        </w:r>
        <w:r w:rsidR="00C97BE6">
          <w:rPr>
            <w:webHidden/>
          </w:rPr>
          <w:tab/>
        </w:r>
        <w:r w:rsidR="00C97BE6">
          <w:rPr>
            <w:webHidden/>
          </w:rPr>
          <w:fldChar w:fldCharType="begin"/>
        </w:r>
        <w:r w:rsidR="00C97BE6">
          <w:rPr>
            <w:webHidden/>
          </w:rPr>
          <w:instrText xml:space="preserve"> PAGEREF _Toc5269723 \h </w:instrText>
        </w:r>
        <w:r w:rsidR="00C97BE6">
          <w:rPr>
            <w:webHidden/>
          </w:rPr>
        </w:r>
        <w:r w:rsidR="00C97BE6">
          <w:rPr>
            <w:webHidden/>
          </w:rPr>
          <w:fldChar w:fldCharType="separate"/>
        </w:r>
        <w:r w:rsidR="00D0418C">
          <w:rPr>
            <w:webHidden/>
          </w:rPr>
          <w:t>371</w:t>
        </w:r>
        <w:r w:rsidR="00C97BE6">
          <w:rPr>
            <w:webHidden/>
          </w:rPr>
          <w:fldChar w:fldCharType="end"/>
        </w:r>
      </w:hyperlink>
    </w:p>
    <w:p w14:paraId="69FE1506" w14:textId="77777777" w:rsidR="00C97BE6" w:rsidRPr="002D354C" w:rsidRDefault="00590491">
      <w:pPr>
        <w:pStyle w:val="TableofFigures"/>
        <w:rPr>
          <w:rFonts w:ascii="Calibri" w:hAnsi="Calibri"/>
          <w:sz w:val="22"/>
          <w:szCs w:val="22"/>
          <w:lang w:eastAsia="en-NZ"/>
        </w:rPr>
      </w:pPr>
      <w:hyperlink w:anchor="_Toc5269724" w:history="1">
        <w:r w:rsidR="00C97BE6" w:rsidRPr="004D58A6">
          <w:rPr>
            <w:rStyle w:val="Hyperlink"/>
            <w:rFonts w:eastAsia="Calibri"/>
          </w:rPr>
          <w:t xml:space="preserve">Figure 8.1.4 </w:t>
        </w:r>
        <w:r w:rsidR="00C97BE6" w:rsidRPr="002D354C">
          <w:rPr>
            <w:rFonts w:ascii="Calibri" w:hAnsi="Calibri"/>
            <w:sz w:val="22"/>
            <w:szCs w:val="22"/>
            <w:lang w:eastAsia="en-NZ"/>
          </w:rPr>
          <w:tab/>
        </w:r>
        <w:r w:rsidR="00C97BE6" w:rsidRPr="004D58A6">
          <w:rPr>
            <w:rStyle w:val="Hyperlink"/>
            <w:rFonts w:eastAsia="Calibri"/>
          </w:rPr>
          <w:t>Emissions by sector for Tokelau (kt CO</w:t>
        </w:r>
        <w:r w:rsidR="00C97BE6" w:rsidRPr="004D58A6">
          <w:rPr>
            <w:rStyle w:val="Hyperlink"/>
            <w:rFonts w:eastAsia="Calibri"/>
            <w:vertAlign w:val="subscript"/>
          </w:rPr>
          <w:t>2</w:t>
        </w:r>
        <w:r w:rsidR="00C97BE6" w:rsidRPr="004D58A6">
          <w:rPr>
            <w:rStyle w:val="Hyperlink"/>
            <w:rFonts w:eastAsia="Calibri"/>
          </w:rPr>
          <w:t>-e) from 1990 to 2017</w:t>
        </w:r>
        <w:r w:rsidR="00C97BE6">
          <w:rPr>
            <w:webHidden/>
          </w:rPr>
          <w:tab/>
        </w:r>
        <w:r w:rsidR="00C97BE6">
          <w:rPr>
            <w:webHidden/>
          </w:rPr>
          <w:fldChar w:fldCharType="begin"/>
        </w:r>
        <w:r w:rsidR="00C97BE6">
          <w:rPr>
            <w:webHidden/>
          </w:rPr>
          <w:instrText xml:space="preserve"> PAGEREF _Toc5269724 \h </w:instrText>
        </w:r>
        <w:r w:rsidR="00C97BE6">
          <w:rPr>
            <w:webHidden/>
          </w:rPr>
        </w:r>
        <w:r w:rsidR="00C97BE6">
          <w:rPr>
            <w:webHidden/>
          </w:rPr>
          <w:fldChar w:fldCharType="separate"/>
        </w:r>
        <w:r w:rsidR="00D0418C">
          <w:rPr>
            <w:webHidden/>
          </w:rPr>
          <w:t>372</w:t>
        </w:r>
        <w:r w:rsidR="00C97BE6">
          <w:rPr>
            <w:webHidden/>
          </w:rPr>
          <w:fldChar w:fldCharType="end"/>
        </w:r>
      </w:hyperlink>
    </w:p>
    <w:p w14:paraId="53797912" w14:textId="77777777" w:rsidR="00C97BE6" w:rsidRPr="002D354C" w:rsidRDefault="00590491">
      <w:pPr>
        <w:pStyle w:val="TableofFigures"/>
        <w:rPr>
          <w:rFonts w:ascii="Calibri" w:hAnsi="Calibri"/>
          <w:sz w:val="22"/>
          <w:szCs w:val="22"/>
          <w:lang w:eastAsia="en-NZ"/>
        </w:rPr>
      </w:pPr>
      <w:hyperlink w:anchor="_Toc5269725" w:history="1">
        <w:r w:rsidR="00C97BE6" w:rsidRPr="004D58A6">
          <w:rPr>
            <w:rStyle w:val="Hyperlink"/>
          </w:rPr>
          <w:t xml:space="preserve">Figure 8.2.1 </w:t>
        </w:r>
        <w:r w:rsidR="00C97BE6" w:rsidRPr="002D354C">
          <w:rPr>
            <w:rFonts w:ascii="Calibri" w:hAnsi="Calibri"/>
            <w:sz w:val="22"/>
            <w:szCs w:val="22"/>
            <w:lang w:eastAsia="en-NZ"/>
          </w:rPr>
          <w:tab/>
        </w:r>
        <w:r w:rsidR="00C97BE6" w:rsidRPr="004D58A6">
          <w:rPr>
            <w:rStyle w:val="Hyperlink"/>
          </w:rPr>
          <w:t>Cluster block diagram for Tokelau’s solar project</w:t>
        </w:r>
        <w:r w:rsidR="00C97BE6">
          <w:rPr>
            <w:webHidden/>
          </w:rPr>
          <w:tab/>
        </w:r>
        <w:r w:rsidR="00C97BE6">
          <w:rPr>
            <w:webHidden/>
          </w:rPr>
          <w:fldChar w:fldCharType="begin"/>
        </w:r>
        <w:r w:rsidR="00C97BE6">
          <w:rPr>
            <w:webHidden/>
          </w:rPr>
          <w:instrText xml:space="preserve"> PAGEREF _Toc5269725 \h </w:instrText>
        </w:r>
        <w:r w:rsidR="00C97BE6">
          <w:rPr>
            <w:webHidden/>
          </w:rPr>
        </w:r>
        <w:r w:rsidR="00C97BE6">
          <w:rPr>
            <w:webHidden/>
          </w:rPr>
          <w:fldChar w:fldCharType="separate"/>
        </w:r>
        <w:r w:rsidR="00D0418C">
          <w:rPr>
            <w:webHidden/>
          </w:rPr>
          <w:t>376</w:t>
        </w:r>
        <w:r w:rsidR="00C97BE6">
          <w:rPr>
            <w:webHidden/>
          </w:rPr>
          <w:fldChar w:fldCharType="end"/>
        </w:r>
      </w:hyperlink>
    </w:p>
    <w:p w14:paraId="762684F9" w14:textId="77777777" w:rsidR="00C97BE6" w:rsidRPr="002D354C" w:rsidRDefault="00590491">
      <w:pPr>
        <w:pStyle w:val="TableofFigures"/>
        <w:rPr>
          <w:rFonts w:ascii="Calibri" w:hAnsi="Calibri"/>
          <w:sz w:val="22"/>
          <w:szCs w:val="22"/>
          <w:lang w:eastAsia="en-NZ"/>
        </w:rPr>
      </w:pPr>
      <w:hyperlink w:anchor="_Toc5269726" w:history="1">
        <w:r w:rsidR="00C97BE6" w:rsidRPr="004D58A6">
          <w:rPr>
            <w:rStyle w:val="Hyperlink"/>
          </w:rPr>
          <w:t xml:space="preserve">Figure 8.3.1 </w:t>
        </w:r>
        <w:r w:rsidR="00C97BE6" w:rsidRPr="002D354C">
          <w:rPr>
            <w:rFonts w:ascii="Calibri" w:hAnsi="Calibri"/>
            <w:sz w:val="22"/>
            <w:szCs w:val="22"/>
            <w:lang w:eastAsia="en-NZ"/>
          </w:rPr>
          <w:tab/>
        </w:r>
        <w:r w:rsidR="00C97BE6" w:rsidRPr="004D58A6">
          <w:rPr>
            <w:rStyle w:val="Hyperlink"/>
          </w:rPr>
          <w:t>Interpolated results for Tokelau household fridges, freezers and air conditioning units from 1994 to 2017</w:t>
        </w:r>
        <w:r w:rsidR="00C97BE6">
          <w:rPr>
            <w:webHidden/>
          </w:rPr>
          <w:tab/>
        </w:r>
        <w:r w:rsidR="00C97BE6">
          <w:rPr>
            <w:webHidden/>
          </w:rPr>
          <w:fldChar w:fldCharType="begin"/>
        </w:r>
        <w:r w:rsidR="00C97BE6">
          <w:rPr>
            <w:webHidden/>
          </w:rPr>
          <w:instrText xml:space="preserve"> PAGEREF _Toc5269726 \h </w:instrText>
        </w:r>
        <w:r w:rsidR="00C97BE6">
          <w:rPr>
            <w:webHidden/>
          </w:rPr>
        </w:r>
        <w:r w:rsidR="00C97BE6">
          <w:rPr>
            <w:webHidden/>
          </w:rPr>
          <w:fldChar w:fldCharType="separate"/>
        </w:r>
        <w:r w:rsidR="00D0418C">
          <w:rPr>
            <w:webHidden/>
          </w:rPr>
          <w:t>383</w:t>
        </w:r>
        <w:r w:rsidR="00C97BE6">
          <w:rPr>
            <w:webHidden/>
          </w:rPr>
          <w:fldChar w:fldCharType="end"/>
        </w:r>
      </w:hyperlink>
    </w:p>
    <w:p w14:paraId="3EC831B4" w14:textId="77777777" w:rsidR="00C97BE6" w:rsidRPr="002D354C" w:rsidRDefault="00590491">
      <w:pPr>
        <w:pStyle w:val="TableofFigures"/>
        <w:rPr>
          <w:rFonts w:ascii="Calibri" w:hAnsi="Calibri"/>
          <w:sz w:val="22"/>
          <w:szCs w:val="22"/>
          <w:lang w:eastAsia="en-NZ"/>
        </w:rPr>
      </w:pPr>
      <w:hyperlink w:anchor="_Toc5269727" w:history="1">
        <w:r w:rsidR="00C97BE6" w:rsidRPr="004D58A6">
          <w:rPr>
            <w:rStyle w:val="Hyperlink"/>
          </w:rPr>
          <w:t xml:space="preserve">Figure 8.5.1 </w:t>
        </w:r>
        <w:r w:rsidR="00C97BE6" w:rsidRPr="002D354C">
          <w:rPr>
            <w:rFonts w:ascii="Calibri" w:hAnsi="Calibri"/>
            <w:sz w:val="22"/>
            <w:szCs w:val="22"/>
            <w:lang w:eastAsia="en-NZ"/>
          </w:rPr>
          <w:tab/>
        </w:r>
        <w:r w:rsidR="00C97BE6" w:rsidRPr="004D58A6">
          <w:rPr>
            <w:rStyle w:val="Hyperlink"/>
          </w:rPr>
          <w:t>Household rubbish collected by village workers, by atoll (2016)</w:t>
        </w:r>
        <w:r w:rsidR="00C97BE6">
          <w:rPr>
            <w:webHidden/>
          </w:rPr>
          <w:tab/>
        </w:r>
        <w:r w:rsidR="00C97BE6">
          <w:rPr>
            <w:webHidden/>
          </w:rPr>
          <w:fldChar w:fldCharType="begin"/>
        </w:r>
        <w:r w:rsidR="00C97BE6">
          <w:rPr>
            <w:webHidden/>
          </w:rPr>
          <w:instrText xml:space="preserve"> PAGEREF _Toc5269727 \h </w:instrText>
        </w:r>
        <w:r w:rsidR="00C97BE6">
          <w:rPr>
            <w:webHidden/>
          </w:rPr>
        </w:r>
        <w:r w:rsidR="00C97BE6">
          <w:rPr>
            <w:webHidden/>
          </w:rPr>
          <w:fldChar w:fldCharType="separate"/>
        </w:r>
        <w:r w:rsidR="00D0418C">
          <w:rPr>
            <w:webHidden/>
          </w:rPr>
          <w:t>388</w:t>
        </w:r>
        <w:r w:rsidR="00C97BE6">
          <w:rPr>
            <w:webHidden/>
          </w:rPr>
          <w:fldChar w:fldCharType="end"/>
        </w:r>
      </w:hyperlink>
    </w:p>
    <w:p w14:paraId="212799F0" w14:textId="77777777" w:rsidR="00C97BE6" w:rsidRPr="002D354C" w:rsidRDefault="00590491">
      <w:pPr>
        <w:pStyle w:val="TableofFigures"/>
        <w:rPr>
          <w:rFonts w:ascii="Calibri" w:hAnsi="Calibri"/>
          <w:sz w:val="22"/>
          <w:szCs w:val="22"/>
          <w:lang w:eastAsia="en-NZ"/>
        </w:rPr>
      </w:pPr>
      <w:hyperlink w:anchor="_Toc5269728" w:history="1">
        <w:r w:rsidR="00C97BE6" w:rsidRPr="004D58A6">
          <w:rPr>
            <w:rStyle w:val="Hyperlink"/>
          </w:rPr>
          <w:t>Figure 10.1.1</w:t>
        </w:r>
        <w:r w:rsidR="00C97BE6" w:rsidRPr="002D354C">
          <w:rPr>
            <w:rFonts w:ascii="Calibri" w:hAnsi="Calibri"/>
            <w:sz w:val="22"/>
            <w:szCs w:val="22"/>
            <w:lang w:eastAsia="en-NZ"/>
          </w:rPr>
          <w:tab/>
        </w:r>
        <w:r w:rsidR="00C97BE6" w:rsidRPr="004D58A6">
          <w:rPr>
            <w:rStyle w:val="Hyperlink"/>
          </w:rPr>
          <w:t>Effect of recalculations on New Zealand’s gross greenhouse gas emissions from 1990 to 2016</w:t>
        </w:r>
        <w:r w:rsidR="00C97BE6">
          <w:rPr>
            <w:webHidden/>
          </w:rPr>
          <w:tab/>
        </w:r>
        <w:r w:rsidR="00C97BE6">
          <w:rPr>
            <w:webHidden/>
          </w:rPr>
          <w:fldChar w:fldCharType="begin"/>
        </w:r>
        <w:r w:rsidR="00C97BE6">
          <w:rPr>
            <w:webHidden/>
          </w:rPr>
          <w:instrText xml:space="preserve"> PAGEREF _Toc5269728 \h </w:instrText>
        </w:r>
        <w:r w:rsidR="00C97BE6">
          <w:rPr>
            <w:webHidden/>
          </w:rPr>
        </w:r>
        <w:r w:rsidR="00C97BE6">
          <w:rPr>
            <w:webHidden/>
          </w:rPr>
          <w:fldChar w:fldCharType="separate"/>
        </w:r>
        <w:r w:rsidR="00D0418C">
          <w:rPr>
            <w:webHidden/>
          </w:rPr>
          <w:t>397</w:t>
        </w:r>
        <w:r w:rsidR="00C97BE6">
          <w:rPr>
            <w:webHidden/>
          </w:rPr>
          <w:fldChar w:fldCharType="end"/>
        </w:r>
      </w:hyperlink>
    </w:p>
    <w:p w14:paraId="074953F9" w14:textId="77777777" w:rsidR="00C97BE6" w:rsidRPr="002D354C" w:rsidRDefault="00590491">
      <w:pPr>
        <w:pStyle w:val="TableofFigures"/>
        <w:rPr>
          <w:rFonts w:ascii="Calibri" w:hAnsi="Calibri"/>
          <w:sz w:val="22"/>
          <w:szCs w:val="22"/>
          <w:lang w:eastAsia="en-NZ"/>
        </w:rPr>
      </w:pPr>
      <w:hyperlink w:anchor="_Toc5269729" w:history="1">
        <w:r w:rsidR="00C97BE6" w:rsidRPr="004D58A6">
          <w:rPr>
            <w:rStyle w:val="Hyperlink"/>
          </w:rPr>
          <w:t>Figure 10.1.2</w:t>
        </w:r>
        <w:r w:rsidR="00C97BE6" w:rsidRPr="002D354C">
          <w:rPr>
            <w:rFonts w:ascii="Calibri" w:hAnsi="Calibri"/>
            <w:sz w:val="22"/>
            <w:szCs w:val="22"/>
            <w:lang w:eastAsia="en-NZ"/>
          </w:rPr>
          <w:tab/>
        </w:r>
        <w:r w:rsidR="00C97BE6" w:rsidRPr="004D58A6">
          <w:rPr>
            <w:rStyle w:val="Hyperlink"/>
          </w:rPr>
          <w:t>Effect of recalculations on New Zealand’s Energy sector from 1990 to 2016</w:t>
        </w:r>
        <w:r w:rsidR="00C97BE6">
          <w:rPr>
            <w:webHidden/>
          </w:rPr>
          <w:tab/>
        </w:r>
        <w:r w:rsidR="00C97BE6">
          <w:rPr>
            <w:webHidden/>
          </w:rPr>
          <w:fldChar w:fldCharType="begin"/>
        </w:r>
        <w:r w:rsidR="00C97BE6">
          <w:rPr>
            <w:webHidden/>
          </w:rPr>
          <w:instrText xml:space="preserve"> PAGEREF _Toc5269729 \h </w:instrText>
        </w:r>
        <w:r w:rsidR="00C97BE6">
          <w:rPr>
            <w:webHidden/>
          </w:rPr>
        </w:r>
        <w:r w:rsidR="00C97BE6">
          <w:rPr>
            <w:webHidden/>
          </w:rPr>
          <w:fldChar w:fldCharType="separate"/>
        </w:r>
        <w:r w:rsidR="00D0418C">
          <w:rPr>
            <w:webHidden/>
          </w:rPr>
          <w:t>398</w:t>
        </w:r>
        <w:r w:rsidR="00C97BE6">
          <w:rPr>
            <w:webHidden/>
          </w:rPr>
          <w:fldChar w:fldCharType="end"/>
        </w:r>
      </w:hyperlink>
    </w:p>
    <w:p w14:paraId="23272B62" w14:textId="77777777" w:rsidR="00C97BE6" w:rsidRPr="002D354C" w:rsidRDefault="00590491">
      <w:pPr>
        <w:pStyle w:val="TableofFigures"/>
        <w:rPr>
          <w:rFonts w:ascii="Calibri" w:hAnsi="Calibri"/>
          <w:sz w:val="22"/>
          <w:szCs w:val="22"/>
          <w:lang w:eastAsia="en-NZ"/>
        </w:rPr>
      </w:pPr>
      <w:hyperlink w:anchor="_Toc5269730" w:history="1">
        <w:r w:rsidR="00C97BE6" w:rsidRPr="004D58A6">
          <w:rPr>
            <w:rStyle w:val="Hyperlink"/>
          </w:rPr>
          <w:t>Figure 10.1.3</w:t>
        </w:r>
        <w:r w:rsidR="00C97BE6" w:rsidRPr="002D354C">
          <w:rPr>
            <w:rFonts w:ascii="Calibri" w:hAnsi="Calibri"/>
            <w:sz w:val="22"/>
            <w:szCs w:val="22"/>
            <w:lang w:eastAsia="en-NZ"/>
          </w:rPr>
          <w:tab/>
        </w:r>
        <w:r w:rsidR="00C97BE6" w:rsidRPr="004D58A6">
          <w:rPr>
            <w:rStyle w:val="Hyperlink"/>
          </w:rPr>
          <w:t>Effect of recalculations on the IPPU sector from 1990 to 2016</w:t>
        </w:r>
        <w:r w:rsidR="00C97BE6">
          <w:rPr>
            <w:webHidden/>
          </w:rPr>
          <w:tab/>
        </w:r>
        <w:r w:rsidR="00C97BE6">
          <w:rPr>
            <w:webHidden/>
          </w:rPr>
          <w:fldChar w:fldCharType="begin"/>
        </w:r>
        <w:r w:rsidR="00C97BE6">
          <w:rPr>
            <w:webHidden/>
          </w:rPr>
          <w:instrText xml:space="preserve"> PAGEREF _Toc5269730 \h </w:instrText>
        </w:r>
        <w:r w:rsidR="00C97BE6">
          <w:rPr>
            <w:webHidden/>
          </w:rPr>
        </w:r>
        <w:r w:rsidR="00C97BE6">
          <w:rPr>
            <w:webHidden/>
          </w:rPr>
          <w:fldChar w:fldCharType="separate"/>
        </w:r>
        <w:r w:rsidR="00D0418C">
          <w:rPr>
            <w:webHidden/>
          </w:rPr>
          <w:t>399</w:t>
        </w:r>
        <w:r w:rsidR="00C97BE6">
          <w:rPr>
            <w:webHidden/>
          </w:rPr>
          <w:fldChar w:fldCharType="end"/>
        </w:r>
      </w:hyperlink>
    </w:p>
    <w:p w14:paraId="30B823B9" w14:textId="77777777" w:rsidR="00C97BE6" w:rsidRPr="002D354C" w:rsidRDefault="00590491">
      <w:pPr>
        <w:pStyle w:val="TableofFigures"/>
        <w:rPr>
          <w:rFonts w:ascii="Calibri" w:hAnsi="Calibri"/>
          <w:sz w:val="22"/>
          <w:szCs w:val="22"/>
          <w:lang w:eastAsia="en-NZ"/>
        </w:rPr>
      </w:pPr>
      <w:hyperlink w:anchor="_Toc5269731" w:history="1">
        <w:r w:rsidR="00C97BE6" w:rsidRPr="004D58A6">
          <w:rPr>
            <w:rStyle w:val="Hyperlink"/>
          </w:rPr>
          <w:t>Figure 10.1.4</w:t>
        </w:r>
        <w:r w:rsidR="00C97BE6" w:rsidRPr="002D354C">
          <w:rPr>
            <w:rFonts w:ascii="Calibri" w:hAnsi="Calibri"/>
            <w:sz w:val="22"/>
            <w:szCs w:val="22"/>
            <w:lang w:eastAsia="en-NZ"/>
          </w:rPr>
          <w:tab/>
        </w:r>
        <w:r w:rsidR="00C97BE6" w:rsidRPr="004D58A6">
          <w:rPr>
            <w:rStyle w:val="Hyperlink"/>
          </w:rPr>
          <w:t>Effect of recalculations on New Zealand’s Agriculture sector from 1990 to 2016</w:t>
        </w:r>
        <w:r w:rsidR="00C97BE6">
          <w:rPr>
            <w:webHidden/>
          </w:rPr>
          <w:tab/>
        </w:r>
        <w:r w:rsidR="00C97BE6">
          <w:rPr>
            <w:webHidden/>
          </w:rPr>
          <w:fldChar w:fldCharType="begin"/>
        </w:r>
        <w:r w:rsidR="00C97BE6">
          <w:rPr>
            <w:webHidden/>
          </w:rPr>
          <w:instrText xml:space="preserve"> PAGEREF _Toc5269731 \h </w:instrText>
        </w:r>
        <w:r w:rsidR="00C97BE6">
          <w:rPr>
            <w:webHidden/>
          </w:rPr>
        </w:r>
        <w:r w:rsidR="00C97BE6">
          <w:rPr>
            <w:webHidden/>
          </w:rPr>
          <w:fldChar w:fldCharType="separate"/>
        </w:r>
        <w:r w:rsidR="00D0418C">
          <w:rPr>
            <w:webHidden/>
          </w:rPr>
          <w:t>400</w:t>
        </w:r>
        <w:r w:rsidR="00C97BE6">
          <w:rPr>
            <w:webHidden/>
          </w:rPr>
          <w:fldChar w:fldCharType="end"/>
        </w:r>
      </w:hyperlink>
    </w:p>
    <w:p w14:paraId="233F30DF" w14:textId="77777777" w:rsidR="00C97BE6" w:rsidRPr="002D354C" w:rsidRDefault="00590491">
      <w:pPr>
        <w:pStyle w:val="TableofFigures"/>
        <w:rPr>
          <w:rFonts w:ascii="Calibri" w:hAnsi="Calibri"/>
          <w:sz w:val="22"/>
          <w:szCs w:val="22"/>
          <w:lang w:eastAsia="en-NZ"/>
        </w:rPr>
      </w:pPr>
      <w:hyperlink w:anchor="_Toc5269732" w:history="1">
        <w:r w:rsidR="00C97BE6" w:rsidRPr="004D58A6">
          <w:rPr>
            <w:rStyle w:val="Hyperlink"/>
          </w:rPr>
          <w:t>Figure 10.1.5</w:t>
        </w:r>
        <w:r w:rsidR="00C97BE6" w:rsidRPr="002D354C">
          <w:rPr>
            <w:rFonts w:ascii="Calibri" w:hAnsi="Calibri"/>
            <w:sz w:val="22"/>
            <w:szCs w:val="22"/>
            <w:lang w:eastAsia="en-NZ"/>
          </w:rPr>
          <w:tab/>
        </w:r>
        <w:r w:rsidR="00C97BE6" w:rsidRPr="004D58A6">
          <w:rPr>
            <w:rStyle w:val="Hyperlink"/>
          </w:rPr>
          <w:t>Effect of recalculations on net emissions from New Zealand’s LULUCF sector from 1990 to 2016</w:t>
        </w:r>
        <w:r w:rsidR="00C97BE6">
          <w:rPr>
            <w:webHidden/>
          </w:rPr>
          <w:tab/>
        </w:r>
        <w:r w:rsidR="00C97BE6">
          <w:rPr>
            <w:webHidden/>
          </w:rPr>
          <w:fldChar w:fldCharType="begin"/>
        </w:r>
        <w:r w:rsidR="00C97BE6">
          <w:rPr>
            <w:webHidden/>
          </w:rPr>
          <w:instrText xml:space="preserve"> PAGEREF _Toc5269732 \h </w:instrText>
        </w:r>
        <w:r w:rsidR="00C97BE6">
          <w:rPr>
            <w:webHidden/>
          </w:rPr>
        </w:r>
        <w:r w:rsidR="00C97BE6">
          <w:rPr>
            <w:webHidden/>
          </w:rPr>
          <w:fldChar w:fldCharType="separate"/>
        </w:r>
        <w:r w:rsidR="00D0418C">
          <w:rPr>
            <w:webHidden/>
          </w:rPr>
          <w:t>403</w:t>
        </w:r>
        <w:r w:rsidR="00C97BE6">
          <w:rPr>
            <w:webHidden/>
          </w:rPr>
          <w:fldChar w:fldCharType="end"/>
        </w:r>
      </w:hyperlink>
    </w:p>
    <w:p w14:paraId="4A42AB7C" w14:textId="77777777" w:rsidR="00C97BE6" w:rsidRPr="002D354C" w:rsidRDefault="00590491">
      <w:pPr>
        <w:pStyle w:val="TableofFigures"/>
        <w:rPr>
          <w:rFonts w:ascii="Calibri" w:hAnsi="Calibri"/>
          <w:sz w:val="22"/>
          <w:szCs w:val="22"/>
          <w:lang w:eastAsia="en-NZ"/>
        </w:rPr>
      </w:pPr>
      <w:hyperlink w:anchor="_Toc5269733" w:history="1">
        <w:r w:rsidR="00C97BE6" w:rsidRPr="004D58A6">
          <w:rPr>
            <w:rStyle w:val="Hyperlink"/>
          </w:rPr>
          <w:t>Figure 10.1.6</w:t>
        </w:r>
        <w:r w:rsidR="00C97BE6" w:rsidRPr="002D354C">
          <w:rPr>
            <w:rFonts w:ascii="Calibri" w:hAnsi="Calibri"/>
            <w:sz w:val="22"/>
            <w:szCs w:val="22"/>
            <w:lang w:eastAsia="en-NZ"/>
          </w:rPr>
          <w:tab/>
        </w:r>
        <w:r w:rsidR="00C97BE6" w:rsidRPr="004D58A6">
          <w:rPr>
            <w:rStyle w:val="Hyperlink"/>
          </w:rPr>
          <w:t>Effect of recalculations on New Zealand’s Waste sector from 1990 to 2016</w:t>
        </w:r>
        <w:r w:rsidR="00C97BE6">
          <w:rPr>
            <w:webHidden/>
          </w:rPr>
          <w:tab/>
        </w:r>
        <w:r w:rsidR="00C97BE6">
          <w:rPr>
            <w:webHidden/>
          </w:rPr>
          <w:fldChar w:fldCharType="begin"/>
        </w:r>
        <w:r w:rsidR="00C97BE6">
          <w:rPr>
            <w:webHidden/>
          </w:rPr>
          <w:instrText xml:space="preserve"> PAGEREF _Toc5269733 \h </w:instrText>
        </w:r>
        <w:r w:rsidR="00C97BE6">
          <w:rPr>
            <w:webHidden/>
          </w:rPr>
        </w:r>
        <w:r w:rsidR="00C97BE6">
          <w:rPr>
            <w:webHidden/>
          </w:rPr>
          <w:fldChar w:fldCharType="separate"/>
        </w:r>
        <w:r w:rsidR="00D0418C">
          <w:rPr>
            <w:webHidden/>
          </w:rPr>
          <w:t>405</w:t>
        </w:r>
        <w:r w:rsidR="00C97BE6">
          <w:rPr>
            <w:webHidden/>
          </w:rPr>
          <w:fldChar w:fldCharType="end"/>
        </w:r>
      </w:hyperlink>
    </w:p>
    <w:p w14:paraId="7AB99108" w14:textId="77777777" w:rsidR="00C97BE6" w:rsidRPr="002D354C" w:rsidRDefault="00590491">
      <w:pPr>
        <w:pStyle w:val="TableofFigures"/>
        <w:rPr>
          <w:rFonts w:ascii="Calibri" w:hAnsi="Calibri"/>
          <w:sz w:val="22"/>
          <w:szCs w:val="22"/>
          <w:lang w:eastAsia="en-NZ"/>
        </w:rPr>
      </w:pPr>
      <w:hyperlink w:anchor="_Toc5269734" w:history="1">
        <w:r w:rsidR="00C97BE6" w:rsidRPr="004D58A6">
          <w:rPr>
            <w:rStyle w:val="Hyperlink"/>
          </w:rPr>
          <w:t>Figure 11.3.1</w:t>
        </w:r>
        <w:r w:rsidR="00C97BE6" w:rsidRPr="002D354C">
          <w:rPr>
            <w:rFonts w:ascii="Calibri" w:hAnsi="Calibri"/>
            <w:sz w:val="22"/>
            <w:szCs w:val="22"/>
            <w:lang w:eastAsia="en-NZ"/>
          </w:rPr>
          <w:tab/>
        </w:r>
        <w:r w:rsidR="00C97BE6" w:rsidRPr="004D58A6">
          <w:rPr>
            <w:rStyle w:val="Hyperlink"/>
          </w:rPr>
          <w:t>New Zealand’s annual areas of deforestation from 1990 to 2017</w:t>
        </w:r>
        <w:r w:rsidR="00C97BE6">
          <w:rPr>
            <w:webHidden/>
          </w:rPr>
          <w:tab/>
        </w:r>
        <w:r w:rsidR="00C97BE6">
          <w:rPr>
            <w:webHidden/>
          </w:rPr>
          <w:fldChar w:fldCharType="begin"/>
        </w:r>
        <w:r w:rsidR="00C97BE6">
          <w:rPr>
            <w:webHidden/>
          </w:rPr>
          <w:instrText xml:space="preserve"> PAGEREF _Toc5269734 \h </w:instrText>
        </w:r>
        <w:r w:rsidR="00C97BE6">
          <w:rPr>
            <w:webHidden/>
          </w:rPr>
        </w:r>
        <w:r w:rsidR="00C97BE6">
          <w:rPr>
            <w:webHidden/>
          </w:rPr>
          <w:fldChar w:fldCharType="separate"/>
        </w:r>
        <w:r w:rsidR="00D0418C">
          <w:rPr>
            <w:webHidden/>
          </w:rPr>
          <w:t>428</w:t>
        </w:r>
        <w:r w:rsidR="00C97BE6">
          <w:rPr>
            <w:webHidden/>
          </w:rPr>
          <w:fldChar w:fldCharType="end"/>
        </w:r>
      </w:hyperlink>
    </w:p>
    <w:p w14:paraId="3BFDC9B5" w14:textId="77777777" w:rsidR="00C97BE6" w:rsidRPr="002D354C" w:rsidRDefault="00590491">
      <w:pPr>
        <w:pStyle w:val="TableofFigures"/>
        <w:rPr>
          <w:rFonts w:ascii="Calibri" w:hAnsi="Calibri"/>
          <w:sz w:val="22"/>
          <w:szCs w:val="22"/>
          <w:lang w:eastAsia="en-NZ"/>
        </w:rPr>
      </w:pPr>
      <w:hyperlink w:anchor="_Toc5269735" w:history="1">
        <w:r w:rsidR="00C97BE6" w:rsidRPr="004D58A6">
          <w:rPr>
            <w:rStyle w:val="Hyperlink"/>
          </w:rPr>
          <w:t>Figure 11.5.1</w:t>
        </w:r>
        <w:r w:rsidR="00C97BE6" w:rsidRPr="002D354C">
          <w:rPr>
            <w:rFonts w:ascii="Calibri" w:hAnsi="Calibri"/>
            <w:sz w:val="22"/>
            <w:szCs w:val="22"/>
            <w:lang w:eastAsia="en-NZ"/>
          </w:rPr>
          <w:tab/>
        </w:r>
        <w:r w:rsidR="00C97BE6" w:rsidRPr="004D58A6">
          <w:rPr>
            <w:rStyle w:val="Hyperlink"/>
          </w:rPr>
          <w:t>Verification of deforestation in New Zealand</w:t>
        </w:r>
        <w:r w:rsidR="00C97BE6">
          <w:rPr>
            <w:webHidden/>
          </w:rPr>
          <w:tab/>
        </w:r>
        <w:r w:rsidR="00C97BE6">
          <w:rPr>
            <w:webHidden/>
          </w:rPr>
          <w:fldChar w:fldCharType="begin"/>
        </w:r>
        <w:r w:rsidR="00C97BE6">
          <w:rPr>
            <w:webHidden/>
          </w:rPr>
          <w:instrText xml:space="preserve"> PAGEREF _Toc5269735 \h </w:instrText>
        </w:r>
        <w:r w:rsidR="00C97BE6">
          <w:rPr>
            <w:webHidden/>
          </w:rPr>
        </w:r>
        <w:r w:rsidR="00C97BE6">
          <w:rPr>
            <w:webHidden/>
          </w:rPr>
          <w:fldChar w:fldCharType="separate"/>
        </w:r>
        <w:r w:rsidR="00D0418C">
          <w:rPr>
            <w:webHidden/>
          </w:rPr>
          <w:t>438</w:t>
        </w:r>
        <w:r w:rsidR="00C97BE6">
          <w:rPr>
            <w:webHidden/>
          </w:rPr>
          <w:fldChar w:fldCharType="end"/>
        </w:r>
      </w:hyperlink>
    </w:p>
    <w:p w14:paraId="795243EE" w14:textId="3C7BA974" w:rsidR="00DE64BC" w:rsidRPr="00256982" w:rsidRDefault="006553BB" w:rsidP="00C21B54">
      <w:r w:rsidRPr="00256982">
        <w:rPr>
          <w:rFonts w:ascii="Arial" w:hAnsi="Arial"/>
          <w:sz w:val="20"/>
        </w:rPr>
        <w:fldChar w:fldCharType="end"/>
      </w:r>
    </w:p>
    <w:p w14:paraId="6404E9C2" w14:textId="77777777" w:rsidR="00DE64BC" w:rsidRPr="00256982" w:rsidRDefault="00DE64BC" w:rsidP="00A808C7">
      <w:pPr>
        <w:pStyle w:val="Heading1"/>
      </w:pPr>
      <w:r w:rsidRPr="00256982">
        <w:br w:type="page"/>
      </w:r>
      <w:bookmarkStart w:id="5" w:name="_Toc511116555"/>
      <w:bookmarkStart w:id="6" w:name="_Toc5269317"/>
      <w:r w:rsidRPr="00256982">
        <w:lastRenderedPageBreak/>
        <w:t>Abbreviations</w:t>
      </w:r>
      <w:bookmarkEnd w:id="5"/>
      <w:bookmarkEnd w:id="6"/>
    </w:p>
    <w:tbl>
      <w:tblPr>
        <w:tblW w:w="8618" w:type="dxa"/>
        <w:tblLook w:val="04A0" w:firstRow="1" w:lastRow="0" w:firstColumn="1" w:lastColumn="0" w:noHBand="0" w:noVBand="1"/>
      </w:tblPr>
      <w:tblGrid>
        <w:gridCol w:w="1526"/>
        <w:gridCol w:w="7092"/>
      </w:tblGrid>
      <w:tr w:rsidR="00F34E8C" w:rsidRPr="00A93041" w14:paraId="4D388966" w14:textId="77777777" w:rsidTr="00AE0CFA">
        <w:tc>
          <w:tcPr>
            <w:tcW w:w="1526" w:type="dxa"/>
            <w:shd w:val="clear" w:color="auto" w:fill="auto"/>
          </w:tcPr>
          <w:p w14:paraId="3B0D034E" w14:textId="77777777" w:rsidR="00F34E8C" w:rsidRPr="00A93041" w:rsidRDefault="00F34E8C" w:rsidP="00AE0CFA">
            <w:pPr>
              <w:pStyle w:val="BodyText"/>
              <w:spacing w:after="0"/>
              <w:jc w:val="left"/>
              <w:rPr>
                <w:rFonts w:ascii="Arial" w:eastAsia="Calibri" w:hAnsi="Arial" w:cs="Arial"/>
                <w:b/>
                <w:sz w:val="20"/>
              </w:rPr>
            </w:pPr>
            <w:r w:rsidRPr="00A93041">
              <w:rPr>
                <w:rFonts w:ascii="Arial" w:eastAsia="Calibri" w:hAnsi="Arial" w:cs="Arial"/>
                <w:b/>
                <w:sz w:val="20"/>
              </w:rPr>
              <w:t>AAU</w:t>
            </w:r>
          </w:p>
        </w:tc>
        <w:tc>
          <w:tcPr>
            <w:tcW w:w="7092" w:type="dxa"/>
            <w:shd w:val="clear" w:color="auto" w:fill="auto"/>
          </w:tcPr>
          <w:p w14:paraId="7D44A345" w14:textId="77777777" w:rsidR="00F34E8C" w:rsidRPr="00A93041" w:rsidRDefault="00F34E8C" w:rsidP="00AE0CFA">
            <w:pPr>
              <w:pStyle w:val="BodyText"/>
              <w:spacing w:after="0"/>
              <w:jc w:val="left"/>
              <w:rPr>
                <w:rFonts w:ascii="Arial" w:eastAsia="Calibri" w:hAnsi="Arial" w:cs="Arial"/>
                <w:sz w:val="20"/>
              </w:rPr>
            </w:pPr>
            <w:r w:rsidRPr="00A93041">
              <w:rPr>
                <w:rFonts w:ascii="Arial" w:eastAsia="Calibri" w:hAnsi="Arial" w:cs="Arial"/>
                <w:sz w:val="20"/>
              </w:rPr>
              <w:t>assigned amount unit</w:t>
            </w:r>
          </w:p>
        </w:tc>
      </w:tr>
      <w:tr w:rsidR="00F34E8C" w:rsidRPr="00A93041" w14:paraId="0C79618E" w14:textId="77777777" w:rsidTr="00AE0CFA">
        <w:tc>
          <w:tcPr>
            <w:tcW w:w="1526" w:type="dxa"/>
            <w:shd w:val="clear" w:color="auto" w:fill="auto"/>
          </w:tcPr>
          <w:p w14:paraId="0CFBE74C" w14:textId="77777777" w:rsidR="00F34E8C" w:rsidRPr="00A93041" w:rsidRDefault="00F34E8C" w:rsidP="00AE0CFA">
            <w:pPr>
              <w:pStyle w:val="BodyText"/>
              <w:spacing w:after="0"/>
              <w:jc w:val="left"/>
              <w:rPr>
                <w:rFonts w:ascii="Arial" w:eastAsia="Calibri" w:hAnsi="Arial" w:cs="Arial"/>
                <w:b/>
                <w:sz w:val="20"/>
              </w:rPr>
            </w:pPr>
            <w:r w:rsidRPr="00A93041">
              <w:rPr>
                <w:rFonts w:ascii="Arial" w:eastAsia="Calibri" w:hAnsi="Arial" w:cs="Arial"/>
                <w:b/>
                <w:sz w:val="20"/>
              </w:rPr>
              <w:t>AD</w:t>
            </w:r>
          </w:p>
        </w:tc>
        <w:tc>
          <w:tcPr>
            <w:tcW w:w="7092" w:type="dxa"/>
            <w:shd w:val="clear" w:color="auto" w:fill="auto"/>
          </w:tcPr>
          <w:p w14:paraId="36E50EE6" w14:textId="77777777" w:rsidR="00F34E8C" w:rsidRPr="00A93041" w:rsidRDefault="00F34E8C" w:rsidP="00AE0CFA">
            <w:pPr>
              <w:pStyle w:val="BodyText"/>
              <w:spacing w:after="0"/>
              <w:jc w:val="left"/>
              <w:rPr>
                <w:rFonts w:ascii="Arial" w:eastAsia="Calibri" w:hAnsi="Arial" w:cs="Arial"/>
                <w:sz w:val="20"/>
              </w:rPr>
            </w:pPr>
            <w:r w:rsidRPr="00A93041">
              <w:rPr>
                <w:rFonts w:ascii="Arial" w:eastAsia="Calibri" w:hAnsi="Arial" w:cs="Arial"/>
                <w:sz w:val="20"/>
              </w:rPr>
              <w:t>activity data</w:t>
            </w:r>
          </w:p>
        </w:tc>
      </w:tr>
      <w:tr w:rsidR="00F34E8C" w:rsidRPr="00A93041" w14:paraId="6051B8C1" w14:textId="77777777" w:rsidTr="00AE0CFA">
        <w:tc>
          <w:tcPr>
            <w:tcW w:w="1526" w:type="dxa"/>
            <w:shd w:val="clear" w:color="auto" w:fill="auto"/>
          </w:tcPr>
          <w:p w14:paraId="27A02974" w14:textId="77777777" w:rsidR="00F34E8C" w:rsidRPr="00A93041" w:rsidRDefault="00F34E8C" w:rsidP="00AE0CFA">
            <w:pPr>
              <w:pStyle w:val="BodyText"/>
              <w:spacing w:after="0"/>
              <w:jc w:val="left"/>
              <w:rPr>
                <w:rFonts w:ascii="Arial" w:eastAsia="Calibri" w:hAnsi="Arial" w:cs="Arial"/>
                <w:b/>
                <w:sz w:val="20"/>
              </w:rPr>
            </w:pPr>
            <w:r w:rsidRPr="00A93041">
              <w:rPr>
                <w:rFonts w:ascii="Arial" w:eastAsia="Calibri" w:hAnsi="Arial" w:cs="Arial"/>
                <w:b/>
                <w:sz w:val="20"/>
              </w:rPr>
              <w:t>APEC</w:t>
            </w:r>
          </w:p>
        </w:tc>
        <w:tc>
          <w:tcPr>
            <w:tcW w:w="7092" w:type="dxa"/>
            <w:shd w:val="clear" w:color="auto" w:fill="auto"/>
          </w:tcPr>
          <w:p w14:paraId="466308B4" w14:textId="77777777" w:rsidR="00F34E8C" w:rsidRPr="00A93041" w:rsidRDefault="00F34E8C" w:rsidP="00AE0CFA">
            <w:pPr>
              <w:pStyle w:val="BodyText"/>
              <w:spacing w:after="0"/>
              <w:jc w:val="left"/>
              <w:rPr>
                <w:rFonts w:ascii="Arial" w:eastAsia="Calibri" w:hAnsi="Arial" w:cs="Arial"/>
                <w:sz w:val="20"/>
              </w:rPr>
            </w:pPr>
            <w:r w:rsidRPr="00A93041">
              <w:rPr>
                <w:rFonts w:ascii="Arial" w:eastAsia="Calibri" w:hAnsi="Arial" w:cs="Arial"/>
                <w:sz w:val="20"/>
              </w:rPr>
              <w:t xml:space="preserve">Asia-Pacific Economic Cooperation </w:t>
            </w:r>
          </w:p>
        </w:tc>
      </w:tr>
      <w:tr w:rsidR="00F34E8C" w:rsidRPr="00A93041" w14:paraId="3AD6A510" w14:textId="77777777" w:rsidTr="00AE0CFA">
        <w:tc>
          <w:tcPr>
            <w:tcW w:w="1526" w:type="dxa"/>
            <w:shd w:val="clear" w:color="auto" w:fill="auto"/>
          </w:tcPr>
          <w:p w14:paraId="3A29BC60" w14:textId="77777777" w:rsidR="00F34E8C" w:rsidRPr="00A93041" w:rsidRDefault="00F34E8C" w:rsidP="00AE0CFA">
            <w:pPr>
              <w:pStyle w:val="BodyText"/>
              <w:spacing w:after="0"/>
              <w:jc w:val="left"/>
              <w:rPr>
                <w:rFonts w:ascii="Arial" w:eastAsia="Calibri" w:hAnsi="Arial" w:cs="Arial"/>
                <w:b/>
                <w:sz w:val="20"/>
              </w:rPr>
            </w:pPr>
            <w:r w:rsidRPr="00A93041">
              <w:rPr>
                <w:rFonts w:ascii="Arial" w:eastAsia="Calibri" w:hAnsi="Arial" w:cs="Arial"/>
                <w:b/>
                <w:sz w:val="20"/>
              </w:rPr>
              <w:t xml:space="preserve">ARR </w:t>
            </w:r>
          </w:p>
        </w:tc>
        <w:tc>
          <w:tcPr>
            <w:tcW w:w="7092" w:type="dxa"/>
            <w:shd w:val="clear" w:color="auto" w:fill="auto"/>
          </w:tcPr>
          <w:p w14:paraId="6E2C76CE" w14:textId="77777777" w:rsidR="00F34E8C" w:rsidRPr="00A93041" w:rsidRDefault="00F34E8C" w:rsidP="00AE0CFA">
            <w:pPr>
              <w:pStyle w:val="BodyText"/>
              <w:spacing w:after="0"/>
              <w:jc w:val="left"/>
              <w:rPr>
                <w:rFonts w:ascii="Arial" w:eastAsia="Calibri" w:hAnsi="Arial" w:cs="Arial"/>
                <w:sz w:val="20"/>
              </w:rPr>
            </w:pPr>
            <w:r w:rsidRPr="00A93041">
              <w:rPr>
                <w:rFonts w:ascii="Arial" w:eastAsia="Calibri" w:hAnsi="Arial" w:cs="Arial"/>
                <w:sz w:val="20"/>
              </w:rPr>
              <w:t>assessment review report</w:t>
            </w:r>
          </w:p>
        </w:tc>
      </w:tr>
      <w:tr w:rsidR="00F34E8C" w:rsidRPr="00A93041" w14:paraId="562EE5CD" w14:textId="77777777" w:rsidTr="00AE0CFA">
        <w:tc>
          <w:tcPr>
            <w:tcW w:w="1526" w:type="dxa"/>
            <w:shd w:val="clear" w:color="auto" w:fill="auto"/>
          </w:tcPr>
          <w:p w14:paraId="578723C3" w14:textId="77777777" w:rsidR="00F34E8C" w:rsidRPr="00A93041" w:rsidRDefault="00F34E8C" w:rsidP="00AE0CFA">
            <w:pPr>
              <w:pStyle w:val="BodyText"/>
              <w:spacing w:after="0"/>
              <w:jc w:val="left"/>
              <w:rPr>
                <w:rFonts w:ascii="Arial" w:eastAsia="Calibri" w:hAnsi="Arial" w:cs="Arial"/>
                <w:b/>
                <w:sz w:val="20"/>
              </w:rPr>
            </w:pPr>
            <w:r w:rsidRPr="00A93041">
              <w:rPr>
                <w:rFonts w:ascii="Arial" w:eastAsia="Calibri" w:hAnsi="Arial" w:cs="Arial"/>
                <w:b/>
                <w:sz w:val="20"/>
              </w:rPr>
              <w:t>BERG</w:t>
            </w:r>
          </w:p>
        </w:tc>
        <w:tc>
          <w:tcPr>
            <w:tcW w:w="7092" w:type="dxa"/>
            <w:shd w:val="clear" w:color="auto" w:fill="auto"/>
          </w:tcPr>
          <w:p w14:paraId="7673DE95" w14:textId="77777777" w:rsidR="00F34E8C" w:rsidRPr="00A93041" w:rsidRDefault="00F34E8C" w:rsidP="00AE0CFA">
            <w:pPr>
              <w:pStyle w:val="BodyText"/>
              <w:spacing w:after="0"/>
              <w:jc w:val="left"/>
              <w:rPr>
                <w:rFonts w:ascii="Arial" w:eastAsia="Calibri" w:hAnsi="Arial" w:cs="Arial"/>
                <w:sz w:val="20"/>
              </w:rPr>
            </w:pPr>
            <w:r w:rsidRPr="00A93041">
              <w:rPr>
                <w:rFonts w:ascii="Arial" w:eastAsia="Calibri" w:hAnsi="Arial" w:cs="Arial"/>
                <w:sz w:val="20"/>
              </w:rPr>
              <w:t>Biological Emissions Reference Group</w:t>
            </w:r>
          </w:p>
        </w:tc>
      </w:tr>
      <w:tr w:rsidR="00F34E8C" w:rsidRPr="00A93041" w14:paraId="6F521997" w14:textId="77777777" w:rsidTr="00AE0CFA">
        <w:tc>
          <w:tcPr>
            <w:tcW w:w="1526" w:type="dxa"/>
            <w:shd w:val="clear" w:color="auto" w:fill="auto"/>
          </w:tcPr>
          <w:p w14:paraId="6032C40F" w14:textId="77777777" w:rsidR="00F34E8C" w:rsidRPr="00A93041" w:rsidRDefault="00F34E8C" w:rsidP="00AE0CFA">
            <w:pPr>
              <w:pStyle w:val="BodyText"/>
              <w:spacing w:after="0"/>
              <w:jc w:val="left"/>
              <w:rPr>
                <w:rFonts w:ascii="Arial" w:eastAsia="Calibri" w:hAnsi="Arial" w:cs="Arial"/>
                <w:b/>
                <w:sz w:val="20"/>
              </w:rPr>
            </w:pPr>
            <w:r w:rsidRPr="00A93041">
              <w:rPr>
                <w:rFonts w:ascii="Arial" w:eastAsia="Calibri" w:hAnsi="Arial" w:cs="Arial"/>
                <w:b/>
                <w:sz w:val="20"/>
              </w:rPr>
              <w:t>BOD</w:t>
            </w:r>
          </w:p>
        </w:tc>
        <w:tc>
          <w:tcPr>
            <w:tcW w:w="7092" w:type="dxa"/>
            <w:shd w:val="clear" w:color="auto" w:fill="auto"/>
          </w:tcPr>
          <w:p w14:paraId="16986472" w14:textId="77777777" w:rsidR="00F34E8C" w:rsidRPr="00A93041" w:rsidRDefault="00F34E8C" w:rsidP="00AE0CFA">
            <w:pPr>
              <w:pStyle w:val="BodyText"/>
              <w:spacing w:after="0"/>
              <w:jc w:val="left"/>
              <w:rPr>
                <w:rFonts w:ascii="Arial" w:eastAsia="Calibri" w:hAnsi="Arial" w:cs="Arial"/>
                <w:sz w:val="20"/>
              </w:rPr>
            </w:pPr>
            <w:r w:rsidRPr="00A93041">
              <w:rPr>
                <w:rFonts w:ascii="Arial" w:eastAsia="Calibri" w:hAnsi="Arial" w:cs="Arial"/>
                <w:sz w:val="20"/>
              </w:rPr>
              <w:t>biochemical oxygen demand</w:t>
            </w:r>
          </w:p>
        </w:tc>
      </w:tr>
      <w:tr w:rsidR="00F34E8C" w:rsidRPr="00A93041" w14:paraId="182DE2E0" w14:textId="77777777" w:rsidTr="00AE0CFA">
        <w:tc>
          <w:tcPr>
            <w:tcW w:w="1526" w:type="dxa"/>
            <w:shd w:val="clear" w:color="auto" w:fill="auto"/>
          </w:tcPr>
          <w:p w14:paraId="3BACAE31" w14:textId="77777777" w:rsidR="00F34E8C" w:rsidRPr="00A93041" w:rsidRDefault="00F34E8C" w:rsidP="00AE0CFA">
            <w:pPr>
              <w:pStyle w:val="BodyText"/>
              <w:spacing w:after="0"/>
              <w:jc w:val="left"/>
              <w:rPr>
                <w:rFonts w:ascii="Arial" w:eastAsia="Calibri" w:hAnsi="Arial" w:cs="Arial"/>
                <w:b/>
                <w:sz w:val="20"/>
              </w:rPr>
            </w:pPr>
            <w:r w:rsidRPr="00A93041">
              <w:rPr>
                <w:rFonts w:ascii="Arial" w:eastAsia="Calibri" w:hAnsi="Arial" w:cs="Arial"/>
                <w:b/>
                <w:sz w:val="20"/>
              </w:rPr>
              <w:t>BRANZ</w:t>
            </w:r>
          </w:p>
        </w:tc>
        <w:tc>
          <w:tcPr>
            <w:tcW w:w="7092" w:type="dxa"/>
            <w:shd w:val="clear" w:color="auto" w:fill="auto"/>
          </w:tcPr>
          <w:p w14:paraId="6AA35CD9" w14:textId="77777777" w:rsidR="00F34E8C" w:rsidRPr="00A93041" w:rsidRDefault="00F34E8C" w:rsidP="00AE0CFA">
            <w:pPr>
              <w:pStyle w:val="BodyText"/>
              <w:spacing w:after="0"/>
              <w:jc w:val="left"/>
              <w:rPr>
                <w:rFonts w:ascii="Arial" w:eastAsia="Calibri" w:hAnsi="Arial" w:cs="Arial"/>
                <w:sz w:val="20"/>
              </w:rPr>
            </w:pPr>
            <w:r w:rsidRPr="00A93041">
              <w:rPr>
                <w:rFonts w:ascii="Arial" w:eastAsia="Calibri" w:hAnsi="Arial" w:cs="Arial"/>
                <w:sz w:val="20"/>
              </w:rPr>
              <w:t>Building Research Association of New Zealand</w:t>
            </w:r>
          </w:p>
        </w:tc>
      </w:tr>
      <w:tr w:rsidR="00F34E8C" w:rsidRPr="00A93041" w14:paraId="5A75C274" w14:textId="77777777" w:rsidTr="00AE0CFA">
        <w:tc>
          <w:tcPr>
            <w:tcW w:w="1526" w:type="dxa"/>
            <w:shd w:val="clear" w:color="auto" w:fill="auto"/>
          </w:tcPr>
          <w:p w14:paraId="33657063" w14:textId="77777777" w:rsidR="00F34E8C" w:rsidRPr="00A93041" w:rsidRDefault="00F34E8C" w:rsidP="00AE0CFA">
            <w:pPr>
              <w:pStyle w:val="BodyText"/>
              <w:spacing w:after="0"/>
              <w:jc w:val="left"/>
              <w:rPr>
                <w:rFonts w:ascii="Arial" w:eastAsia="Calibri" w:hAnsi="Arial" w:cs="Arial"/>
                <w:b/>
                <w:sz w:val="20"/>
              </w:rPr>
            </w:pPr>
            <w:r w:rsidRPr="00A93041">
              <w:rPr>
                <w:rFonts w:ascii="Arial" w:hAnsi="Arial" w:cs="Arial"/>
                <w:b/>
                <w:sz w:val="20"/>
              </w:rPr>
              <w:t>CF</w:t>
            </w:r>
            <w:r w:rsidRPr="00A93041">
              <w:rPr>
                <w:rFonts w:ascii="Arial" w:hAnsi="Arial" w:cs="Arial"/>
                <w:b/>
                <w:sz w:val="20"/>
                <w:vertAlign w:val="subscript"/>
              </w:rPr>
              <w:t>4</w:t>
            </w:r>
          </w:p>
        </w:tc>
        <w:tc>
          <w:tcPr>
            <w:tcW w:w="7092" w:type="dxa"/>
            <w:shd w:val="clear" w:color="auto" w:fill="auto"/>
          </w:tcPr>
          <w:p w14:paraId="5595449B" w14:textId="77777777" w:rsidR="00F34E8C" w:rsidRPr="00A93041" w:rsidRDefault="00F34E8C" w:rsidP="00AE0CFA">
            <w:pPr>
              <w:pStyle w:val="BodyText"/>
              <w:spacing w:after="0"/>
              <w:jc w:val="left"/>
              <w:rPr>
                <w:rFonts w:ascii="Arial" w:eastAsia="Calibri" w:hAnsi="Arial" w:cs="Arial"/>
                <w:sz w:val="20"/>
              </w:rPr>
            </w:pPr>
            <w:r w:rsidRPr="00A93041">
              <w:rPr>
                <w:rFonts w:ascii="Arial" w:hAnsi="Arial" w:cs="Arial"/>
                <w:sz w:val="20"/>
              </w:rPr>
              <w:t>perfluoromethane</w:t>
            </w:r>
          </w:p>
        </w:tc>
      </w:tr>
      <w:tr w:rsidR="00F34E8C" w:rsidRPr="00A93041" w14:paraId="63820501" w14:textId="77777777" w:rsidTr="00AE0CFA">
        <w:tc>
          <w:tcPr>
            <w:tcW w:w="1526" w:type="dxa"/>
            <w:shd w:val="clear" w:color="auto" w:fill="auto"/>
          </w:tcPr>
          <w:p w14:paraId="72B1B54D" w14:textId="77777777" w:rsidR="00F34E8C" w:rsidRPr="00A93041" w:rsidRDefault="00F34E8C" w:rsidP="00AE0CFA">
            <w:pPr>
              <w:pStyle w:val="BodyText"/>
              <w:spacing w:after="0"/>
              <w:jc w:val="left"/>
              <w:rPr>
                <w:rFonts w:ascii="Arial" w:eastAsia="Calibri" w:hAnsi="Arial" w:cs="Arial"/>
                <w:b/>
                <w:sz w:val="20"/>
              </w:rPr>
            </w:pPr>
            <w:r w:rsidRPr="00A93041">
              <w:rPr>
                <w:rFonts w:ascii="Arial" w:hAnsi="Arial" w:cs="Arial"/>
                <w:b/>
                <w:sz w:val="20"/>
              </w:rPr>
              <w:t>C</w:t>
            </w:r>
            <w:r w:rsidRPr="00A93041">
              <w:rPr>
                <w:rFonts w:ascii="Arial" w:hAnsi="Arial" w:cs="Arial"/>
                <w:b/>
                <w:sz w:val="20"/>
                <w:vertAlign w:val="subscript"/>
              </w:rPr>
              <w:t>2</w:t>
            </w:r>
            <w:r w:rsidRPr="00A93041">
              <w:rPr>
                <w:rFonts w:ascii="Arial" w:hAnsi="Arial" w:cs="Arial"/>
                <w:b/>
                <w:sz w:val="20"/>
              </w:rPr>
              <w:t>F</w:t>
            </w:r>
            <w:r w:rsidRPr="00A93041">
              <w:rPr>
                <w:rFonts w:ascii="Arial" w:hAnsi="Arial" w:cs="Arial"/>
                <w:b/>
                <w:sz w:val="20"/>
                <w:vertAlign w:val="subscript"/>
              </w:rPr>
              <w:t>6</w:t>
            </w:r>
          </w:p>
        </w:tc>
        <w:tc>
          <w:tcPr>
            <w:tcW w:w="7092" w:type="dxa"/>
            <w:shd w:val="clear" w:color="auto" w:fill="auto"/>
          </w:tcPr>
          <w:p w14:paraId="26855105" w14:textId="6C68DC5C" w:rsidR="00F34E8C" w:rsidRPr="00A93041" w:rsidRDefault="00F34E8C" w:rsidP="00AE0CFA">
            <w:pPr>
              <w:pStyle w:val="BodyText"/>
              <w:spacing w:after="0"/>
              <w:jc w:val="left"/>
              <w:rPr>
                <w:rFonts w:ascii="Arial" w:eastAsia="Calibri" w:hAnsi="Arial" w:cs="Arial"/>
                <w:sz w:val="20"/>
              </w:rPr>
            </w:pPr>
            <w:r w:rsidRPr="00A93041">
              <w:rPr>
                <w:rFonts w:ascii="Arial" w:hAnsi="Arial" w:cs="Arial"/>
                <w:sz w:val="20"/>
              </w:rPr>
              <w:t>perfluoroethane</w:t>
            </w:r>
          </w:p>
        </w:tc>
      </w:tr>
      <w:tr w:rsidR="00F34E8C" w:rsidRPr="00A93041" w14:paraId="70D3B86B" w14:textId="77777777" w:rsidTr="00AE0CFA">
        <w:tc>
          <w:tcPr>
            <w:tcW w:w="1526" w:type="dxa"/>
            <w:shd w:val="clear" w:color="auto" w:fill="auto"/>
          </w:tcPr>
          <w:p w14:paraId="0E06EF8D" w14:textId="77777777" w:rsidR="00F34E8C" w:rsidRPr="00A93041" w:rsidRDefault="00F34E8C" w:rsidP="00AE0CFA">
            <w:pPr>
              <w:pStyle w:val="BodyText"/>
              <w:spacing w:after="0"/>
              <w:jc w:val="left"/>
              <w:rPr>
                <w:rFonts w:ascii="Arial" w:hAnsi="Arial" w:cs="Arial"/>
                <w:b/>
                <w:sz w:val="20"/>
              </w:rPr>
            </w:pPr>
            <w:r w:rsidRPr="00A93041">
              <w:rPr>
                <w:rFonts w:ascii="Arial" w:hAnsi="Arial" w:cs="Arial"/>
                <w:b/>
                <w:sz w:val="20"/>
                <w:lang w:eastAsia="en-NZ"/>
              </w:rPr>
              <w:t>C</w:t>
            </w:r>
            <w:r w:rsidRPr="00A93041">
              <w:rPr>
                <w:rFonts w:ascii="Arial" w:hAnsi="Arial" w:cs="Arial"/>
                <w:b/>
                <w:sz w:val="20"/>
                <w:vertAlign w:val="subscript"/>
                <w:lang w:eastAsia="en-NZ"/>
              </w:rPr>
              <w:t>3</w:t>
            </w:r>
            <w:r w:rsidRPr="00A93041">
              <w:rPr>
                <w:rFonts w:ascii="Arial" w:hAnsi="Arial" w:cs="Arial"/>
                <w:b/>
                <w:sz w:val="20"/>
                <w:lang w:eastAsia="en-NZ"/>
              </w:rPr>
              <w:t>F</w:t>
            </w:r>
            <w:r w:rsidRPr="00A93041">
              <w:rPr>
                <w:rFonts w:ascii="Arial" w:hAnsi="Arial" w:cs="Arial"/>
                <w:b/>
                <w:sz w:val="20"/>
                <w:vertAlign w:val="subscript"/>
                <w:lang w:eastAsia="en-NZ"/>
              </w:rPr>
              <w:t>8</w:t>
            </w:r>
          </w:p>
        </w:tc>
        <w:tc>
          <w:tcPr>
            <w:tcW w:w="7092" w:type="dxa"/>
            <w:shd w:val="clear" w:color="auto" w:fill="auto"/>
          </w:tcPr>
          <w:p w14:paraId="3B20B530" w14:textId="77777777" w:rsidR="00F34E8C" w:rsidRPr="00A93041" w:rsidRDefault="00F34E8C" w:rsidP="00AE0CFA">
            <w:pPr>
              <w:pStyle w:val="BodyText"/>
              <w:spacing w:after="0"/>
              <w:jc w:val="left"/>
              <w:rPr>
                <w:rFonts w:ascii="Arial" w:hAnsi="Arial" w:cs="Arial"/>
                <w:sz w:val="20"/>
                <w:lang w:eastAsia="en-NZ"/>
              </w:rPr>
            </w:pPr>
            <w:r w:rsidRPr="00A93041">
              <w:rPr>
                <w:rFonts w:ascii="Arial" w:hAnsi="Arial" w:cs="Arial"/>
                <w:sz w:val="20"/>
                <w:lang w:eastAsia="en-NZ"/>
              </w:rPr>
              <w:t xml:space="preserve">perfluoropropane </w:t>
            </w:r>
          </w:p>
        </w:tc>
      </w:tr>
      <w:tr w:rsidR="00F34E8C" w:rsidRPr="00A93041" w14:paraId="4A708B20" w14:textId="77777777" w:rsidTr="00AE0CFA">
        <w:tc>
          <w:tcPr>
            <w:tcW w:w="1526" w:type="dxa"/>
            <w:shd w:val="clear" w:color="auto" w:fill="auto"/>
          </w:tcPr>
          <w:p w14:paraId="0556D3BD" w14:textId="77777777" w:rsidR="00F34E8C" w:rsidRPr="00A93041" w:rsidRDefault="00F34E8C" w:rsidP="00AE0CFA">
            <w:pPr>
              <w:pStyle w:val="BodyText"/>
              <w:spacing w:after="0"/>
              <w:jc w:val="left"/>
              <w:rPr>
                <w:rFonts w:ascii="Arial" w:eastAsia="Calibri" w:hAnsi="Arial" w:cs="Arial"/>
                <w:b/>
                <w:sz w:val="20"/>
              </w:rPr>
            </w:pPr>
            <w:r w:rsidRPr="00A93041">
              <w:rPr>
                <w:rFonts w:ascii="Arial" w:hAnsi="Arial" w:cs="Arial"/>
                <w:b/>
                <w:sz w:val="20"/>
              </w:rPr>
              <w:t>CaO</w:t>
            </w:r>
          </w:p>
        </w:tc>
        <w:tc>
          <w:tcPr>
            <w:tcW w:w="7092" w:type="dxa"/>
            <w:shd w:val="clear" w:color="auto" w:fill="auto"/>
          </w:tcPr>
          <w:p w14:paraId="6F05BEAB" w14:textId="77777777" w:rsidR="00F34E8C" w:rsidRPr="00A93041" w:rsidRDefault="00F34E8C" w:rsidP="00AE0CFA">
            <w:pPr>
              <w:pStyle w:val="BodyText"/>
              <w:spacing w:after="0"/>
              <w:jc w:val="left"/>
              <w:rPr>
                <w:rFonts w:ascii="Arial" w:eastAsia="Calibri" w:hAnsi="Arial" w:cs="Arial"/>
                <w:sz w:val="20"/>
              </w:rPr>
            </w:pPr>
            <w:r w:rsidRPr="00A93041">
              <w:rPr>
                <w:rFonts w:ascii="Arial" w:hAnsi="Arial" w:cs="Arial"/>
                <w:sz w:val="20"/>
              </w:rPr>
              <w:t xml:space="preserve">calcium oxide </w:t>
            </w:r>
          </w:p>
        </w:tc>
      </w:tr>
      <w:tr w:rsidR="00F34E8C" w:rsidRPr="00A93041" w14:paraId="1984999F" w14:textId="77777777" w:rsidTr="00AE0CFA">
        <w:tc>
          <w:tcPr>
            <w:tcW w:w="1526" w:type="dxa"/>
            <w:shd w:val="clear" w:color="auto" w:fill="auto"/>
          </w:tcPr>
          <w:p w14:paraId="5A961EC5" w14:textId="77777777" w:rsidR="00F34E8C" w:rsidRPr="00A93041" w:rsidRDefault="00F34E8C" w:rsidP="00AE0CFA">
            <w:pPr>
              <w:pStyle w:val="BodyText"/>
              <w:spacing w:after="0"/>
              <w:jc w:val="left"/>
              <w:rPr>
                <w:rFonts w:ascii="Arial" w:hAnsi="Arial" w:cs="Arial"/>
                <w:b/>
                <w:sz w:val="20"/>
              </w:rPr>
            </w:pPr>
            <w:r w:rsidRPr="00A93041">
              <w:rPr>
                <w:rFonts w:ascii="Arial" w:hAnsi="Arial" w:cs="Arial"/>
                <w:b/>
                <w:sz w:val="20"/>
              </w:rPr>
              <w:t>Ca(OH)</w:t>
            </w:r>
            <w:r w:rsidRPr="00A93041">
              <w:rPr>
                <w:rFonts w:ascii="Arial" w:hAnsi="Arial" w:cs="Arial"/>
                <w:b/>
                <w:sz w:val="20"/>
                <w:vertAlign w:val="subscript"/>
              </w:rPr>
              <w:t>2</w:t>
            </w:r>
          </w:p>
        </w:tc>
        <w:tc>
          <w:tcPr>
            <w:tcW w:w="7092" w:type="dxa"/>
            <w:shd w:val="clear" w:color="auto" w:fill="auto"/>
          </w:tcPr>
          <w:p w14:paraId="4C2744BB" w14:textId="77777777" w:rsidR="00F34E8C" w:rsidRPr="00A93041" w:rsidRDefault="00F34E8C" w:rsidP="00AE0CFA">
            <w:pPr>
              <w:pStyle w:val="BodyText"/>
              <w:spacing w:after="0"/>
              <w:jc w:val="left"/>
              <w:rPr>
                <w:rFonts w:ascii="Arial" w:hAnsi="Arial" w:cs="Arial"/>
                <w:sz w:val="20"/>
              </w:rPr>
            </w:pPr>
            <w:r w:rsidRPr="00A93041">
              <w:rPr>
                <w:rFonts w:ascii="Arial" w:hAnsi="Arial" w:cs="Arial"/>
                <w:sz w:val="20"/>
              </w:rPr>
              <w:t>calcium hydroxide</w:t>
            </w:r>
          </w:p>
        </w:tc>
      </w:tr>
      <w:tr w:rsidR="00F34E8C" w:rsidRPr="00A93041" w14:paraId="7EA93E48" w14:textId="77777777" w:rsidTr="00AE0CFA">
        <w:tc>
          <w:tcPr>
            <w:tcW w:w="1526" w:type="dxa"/>
            <w:shd w:val="clear" w:color="auto" w:fill="auto"/>
          </w:tcPr>
          <w:p w14:paraId="0F061A84" w14:textId="77777777" w:rsidR="00F34E8C" w:rsidRPr="00A93041" w:rsidRDefault="00F34E8C" w:rsidP="00AE0CFA">
            <w:pPr>
              <w:pStyle w:val="BodyText"/>
              <w:spacing w:after="0"/>
              <w:jc w:val="left"/>
              <w:rPr>
                <w:rFonts w:ascii="Arial" w:hAnsi="Arial" w:cs="Arial"/>
                <w:b/>
                <w:sz w:val="20"/>
              </w:rPr>
            </w:pPr>
            <w:r w:rsidRPr="00A93041">
              <w:rPr>
                <w:rFonts w:ascii="Arial" w:hAnsi="Arial" w:cs="Arial"/>
                <w:b/>
                <w:sz w:val="20"/>
              </w:rPr>
              <w:t>CDM</w:t>
            </w:r>
          </w:p>
        </w:tc>
        <w:tc>
          <w:tcPr>
            <w:tcW w:w="7092" w:type="dxa"/>
            <w:shd w:val="clear" w:color="auto" w:fill="auto"/>
          </w:tcPr>
          <w:p w14:paraId="783404CE" w14:textId="77777777" w:rsidR="00F34E8C" w:rsidRPr="00A93041" w:rsidRDefault="00F34E8C" w:rsidP="00AE0CFA">
            <w:pPr>
              <w:pStyle w:val="BodyText"/>
              <w:spacing w:after="0"/>
              <w:jc w:val="left"/>
              <w:rPr>
                <w:rFonts w:ascii="Arial" w:hAnsi="Arial" w:cs="Arial"/>
                <w:sz w:val="20"/>
              </w:rPr>
            </w:pPr>
            <w:r w:rsidRPr="00A93041">
              <w:rPr>
                <w:rFonts w:ascii="Arial" w:hAnsi="Arial" w:cs="Arial"/>
                <w:sz w:val="20"/>
              </w:rPr>
              <w:t>Clean Development Mechanism</w:t>
            </w:r>
          </w:p>
        </w:tc>
      </w:tr>
      <w:tr w:rsidR="00F34E8C" w:rsidRPr="00A93041" w14:paraId="4C969648" w14:textId="77777777" w:rsidTr="00AE0CFA">
        <w:tc>
          <w:tcPr>
            <w:tcW w:w="1526" w:type="dxa"/>
            <w:shd w:val="clear" w:color="auto" w:fill="auto"/>
          </w:tcPr>
          <w:p w14:paraId="3DC73C47" w14:textId="77777777" w:rsidR="00F34E8C" w:rsidRPr="00A93041" w:rsidRDefault="00F34E8C" w:rsidP="00AE0CFA">
            <w:pPr>
              <w:pStyle w:val="BodyText"/>
              <w:spacing w:after="0"/>
              <w:jc w:val="left"/>
              <w:rPr>
                <w:rFonts w:ascii="Arial" w:eastAsia="Calibri" w:hAnsi="Arial" w:cs="Arial"/>
                <w:b/>
                <w:sz w:val="20"/>
              </w:rPr>
            </w:pPr>
            <w:r w:rsidRPr="00A93041">
              <w:rPr>
                <w:rFonts w:ascii="Arial" w:eastAsia="Calibri" w:hAnsi="Arial" w:cs="Arial"/>
                <w:b/>
                <w:sz w:val="20"/>
              </w:rPr>
              <w:t xml:space="preserve">CEF </w:t>
            </w:r>
          </w:p>
        </w:tc>
        <w:tc>
          <w:tcPr>
            <w:tcW w:w="7092" w:type="dxa"/>
            <w:shd w:val="clear" w:color="auto" w:fill="auto"/>
          </w:tcPr>
          <w:p w14:paraId="1F604DD5" w14:textId="77777777" w:rsidR="00F34E8C" w:rsidRPr="00A93041" w:rsidRDefault="00F34E8C" w:rsidP="00AE0CFA">
            <w:pPr>
              <w:pStyle w:val="BodyText"/>
              <w:spacing w:after="0"/>
              <w:jc w:val="left"/>
              <w:rPr>
                <w:rFonts w:ascii="Arial" w:eastAsia="Calibri" w:hAnsi="Arial" w:cs="Arial"/>
                <w:sz w:val="20"/>
              </w:rPr>
            </w:pPr>
            <w:r w:rsidRPr="00A93041">
              <w:rPr>
                <w:rFonts w:ascii="Arial" w:eastAsia="Calibri" w:hAnsi="Arial" w:cs="Arial"/>
                <w:sz w:val="20"/>
              </w:rPr>
              <w:t>carbon equivalent forest</w:t>
            </w:r>
          </w:p>
        </w:tc>
      </w:tr>
      <w:tr w:rsidR="00F34E8C" w:rsidRPr="00A93041" w14:paraId="23FFB69F" w14:textId="77777777" w:rsidTr="00AE0CFA">
        <w:tc>
          <w:tcPr>
            <w:tcW w:w="1526" w:type="dxa"/>
            <w:shd w:val="clear" w:color="auto" w:fill="auto"/>
          </w:tcPr>
          <w:p w14:paraId="481020F2" w14:textId="77777777" w:rsidR="00F34E8C" w:rsidRPr="00A93041" w:rsidRDefault="00F34E8C" w:rsidP="00AE0CFA">
            <w:pPr>
              <w:pStyle w:val="BodyText"/>
              <w:spacing w:after="0"/>
              <w:jc w:val="left"/>
              <w:rPr>
                <w:rFonts w:ascii="Arial" w:eastAsia="Calibri" w:hAnsi="Arial" w:cs="Arial"/>
                <w:b/>
                <w:sz w:val="20"/>
              </w:rPr>
            </w:pPr>
            <w:r w:rsidRPr="00A93041">
              <w:rPr>
                <w:rFonts w:ascii="Arial" w:eastAsia="Calibri" w:hAnsi="Arial" w:cs="Arial"/>
                <w:b/>
                <w:sz w:val="20"/>
              </w:rPr>
              <w:t>CEF</w:t>
            </w:r>
            <w:r w:rsidRPr="00A93041">
              <w:rPr>
                <w:rFonts w:ascii="Arial" w:eastAsia="Calibri" w:hAnsi="Arial" w:cs="Arial"/>
                <w:b/>
                <w:sz w:val="20"/>
                <w:vertAlign w:val="subscript"/>
              </w:rPr>
              <w:t>hc</w:t>
            </w:r>
            <w:r w:rsidRPr="00A93041">
              <w:rPr>
                <w:rFonts w:ascii="Arial" w:eastAsia="Calibri" w:hAnsi="Arial" w:cs="Arial"/>
                <w:b/>
                <w:sz w:val="20"/>
              </w:rPr>
              <w:t xml:space="preserve"> </w:t>
            </w:r>
          </w:p>
        </w:tc>
        <w:tc>
          <w:tcPr>
            <w:tcW w:w="7092" w:type="dxa"/>
            <w:shd w:val="clear" w:color="auto" w:fill="auto"/>
          </w:tcPr>
          <w:p w14:paraId="2DCCC71F" w14:textId="77777777" w:rsidR="00F34E8C" w:rsidRPr="00A93041" w:rsidRDefault="00F34E8C" w:rsidP="00AE0CFA">
            <w:pPr>
              <w:pStyle w:val="BodyText"/>
              <w:spacing w:after="0"/>
              <w:jc w:val="left"/>
              <w:rPr>
                <w:rFonts w:ascii="Arial" w:eastAsia="Calibri" w:hAnsi="Arial" w:cs="Arial"/>
                <w:sz w:val="20"/>
              </w:rPr>
            </w:pPr>
            <w:r w:rsidRPr="00A93041">
              <w:rPr>
                <w:rFonts w:ascii="Arial" w:eastAsia="Calibri" w:hAnsi="Arial" w:cs="Arial"/>
                <w:sz w:val="20"/>
              </w:rPr>
              <w:t>carbon equivalent forest (harvested and converted)</w:t>
            </w:r>
          </w:p>
        </w:tc>
      </w:tr>
      <w:tr w:rsidR="00F34E8C" w:rsidRPr="00A93041" w14:paraId="51FD0963" w14:textId="77777777" w:rsidTr="00AE0CFA">
        <w:tc>
          <w:tcPr>
            <w:tcW w:w="1526" w:type="dxa"/>
            <w:shd w:val="clear" w:color="auto" w:fill="auto"/>
          </w:tcPr>
          <w:p w14:paraId="240DBABE" w14:textId="77777777" w:rsidR="00F34E8C" w:rsidRPr="00A93041" w:rsidRDefault="00F34E8C" w:rsidP="00AE0CFA">
            <w:pPr>
              <w:pStyle w:val="BodyText"/>
              <w:spacing w:after="0"/>
              <w:jc w:val="left"/>
              <w:rPr>
                <w:rFonts w:ascii="Arial" w:eastAsia="Calibri" w:hAnsi="Arial" w:cs="Arial"/>
                <w:b/>
                <w:sz w:val="20"/>
              </w:rPr>
            </w:pPr>
            <w:r w:rsidRPr="00A93041">
              <w:rPr>
                <w:rFonts w:ascii="Arial" w:eastAsia="Calibri" w:hAnsi="Arial" w:cs="Arial"/>
                <w:b/>
                <w:sz w:val="20"/>
              </w:rPr>
              <w:t>CEF</w:t>
            </w:r>
            <w:r w:rsidRPr="00A93041">
              <w:rPr>
                <w:rFonts w:ascii="Arial" w:eastAsia="Calibri" w:hAnsi="Arial" w:cs="Arial"/>
                <w:b/>
                <w:sz w:val="20"/>
                <w:vertAlign w:val="subscript"/>
              </w:rPr>
              <w:t xml:space="preserve">ne </w:t>
            </w:r>
          </w:p>
        </w:tc>
        <w:tc>
          <w:tcPr>
            <w:tcW w:w="7092" w:type="dxa"/>
            <w:shd w:val="clear" w:color="auto" w:fill="auto"/>
          </w:tcPr>
          <w:p w14:paraId="3DC1E1B7" w14:textId="77777777" w:rsidR="00F34E8C" w:rsidRPr="00A93041" w:rsidRDefault="00F34E8C" w:rsidP="00AE0CFA">
            <w:pPr>
              <w:pStyle w:val="BodyText"/>
              <w:spacing w:after="0"/>
              <w:jc w:val="left"/>
              <w:rPr>
                <w:rFonts w:ascii="Arial" w:eastAsia="Calibri" w:hAnsi="Arial" w:cs="Arial"/>
                <w:sz w:val="20"/>
              </w:rPr>
            </w:pPr>
            <w:r w:rsidRPr="00A93041">
              <w:rPr>
                <w:rFonts w:ascii="Arial" w:eastAsia="Calibri" w:hAnsi="Arial" w:cs="Arial"/>
                <w:sz w:val="20"/>
              </w:rPr>
              <w:t>carbon equivalent forest (newly established)</w:t>
            </w:r>
          </w:p>
        </w:tc>
      </w:tr>
      <w:tr w:rsidR="00F34E8C" w:rsidRPr="00A93041" w14:paraId="3A71BCC7" w14:textId="77777777" w:rsidTr="00AE0CFA">
        <w:tc>
          <w:tcPr>
            <w:tcW w:w="1526" w:type="dxa"/>
            <w:shd w:val="clear" w:color="auto" w:fill="auto"/>
          </w:tcPr>
          <w:p w14:paraId="735E07FC" w14:textId="77777777" w:rsidR="00F34E8C" w:rsidRPr="00A93041" w:rsidRDefault="00F34E8C" w:rsidP="00AE0CFA">
            <w:pPr>
              <w:pStyle w:val="BodyText"/>
              <w:spacing w:after="0"/>
              <w:jc w:val="left"/>
              <w:rPr>
                <w:rFonts w:ascii="Arial" w:eastAsia="Calibri" w:hAnsi="Arial" w:cs="Arial"/>
                <w:b/>
                <w:sz w:val="20"/>
              </w:rPr>
            </w:pPr>
            <w:r w:rsidRPr="00A93041">
              <w:rPr>
                <w:rFonts w:ascii="Arial" w:eastAsia="Calibri" w:hAnsi="Arial" w:cs="Arial"/>
                <w:b/>
                <w:sz w:val="20"/>
              </w:rPr>
              <w:t>CER</w:t>
            </w:r>
          </w:p>
        </w:tc>
        <w:tc>
          <w:tcPr>
            <w:tcW w:w="7092" w:type="dxa"/>
            <w:shd w:val="clear" w:color="auto" w:fill="auto"/>
          </w:tcPr>
          <w:p w14:paraId="79653366" w14:textId="77777777" w:rsidR="00F34E8C" w:rsidRPr="00A93041" w:rsidRDefault="00F34E8C" w:rsidP="00AE0CFA">
            <w:pPr>
              <w:pStyle w:val="BodyText"/>
              <w:spacing w:after="0"/>
              <w:jc w:val="left"/>
              <w:rPr>
                <w:rFonts w:ascii="Arial" w:eastAsia="Calibri" w:hAnsi="Arial" w:cs="Arial"/>
                <w:sz w:val="20"/>
              </w:rPr>
            </w:pPr>
            <w:r w:rsidRPr="00A93041">
              <w:rPr>
                <w:rFonts w:ascii="Arial" w:eastAsia="Calibri" w:hAnsi="Arial" w:cs="Arial"/>
                <w:sz w:val="20"/>
              </w:rPr>
              <w:t xml:space="preserve">certified emission reductions </w:t>
            </w:r>
          </w:p>
        </w:tc>
      </w:tr>
      <w:tr w:rsidR="00F34E8C" w:rsidRPr="00A93041" w14:paraId="3844D210" w14:textId="77777777" w:rsidTr="00AE0CFA">
        <w:tc>
          <w:tcPr>
            <w:tcW w:w="1526" w:type="dxa"/>
            <w:shd w:val="clear" w:color="auto" w:fill="auto"/>
          </w:tcPr>
          <w:p w14:paraId="3863E759" w14:textId="77777777" w:rsidR="00F34E8C" w:rsidRPr="00A93041" w:rsidRDefault="00F34E8C" w:rsidP="00AE0CFA">
            <w:pPr>
              <w:pStyle w:val="BodyText"/>
              <w:spacing w:after="0"/>
              <w:jc w:val="left"/>
              <w:rPr>
                <w:rFonts w:ascii="Arial" w:eastAsia="Calibri" w:hAnsi="Arial" w:cs="Arial"/>
                <w:b/>
                <w:sz w:val="20"/>
              </w:rPr>
            </w:pPr>
            <w:r w:rsidRPr="00A93041">
              <w:rPr>
                <w:rFonts w:ascii="Arial" w:hAnsi="Arial" w:cs="Arial"/>
                <w:b/>
                <w:sz w:val="20"/>
              </w:rPr>
              <w:t>CFC</w:t>
            </w:r>
          </w:p>
        </w:tc>
        <w:tc>
          <w:tcPr>
            <w:tcW w:w="7092" w:type="dxa"/>
            <w:shd w:val="clear" w:color="auto" w:fill="auto"/>
          </w:tcPr>
          <w:p w14:paraId="6BAF1EFD" w14:textId="77777777" w:rsidR="00F34E8C" w:rsidRPr="00A93041" w:rsidRDefault="00F34E8C" w:rsidP="00AE0CFA">
            <w:pPr>
              <w:pStyle w:val="BodyText"/>
              <w:spacing w:after="0"/>
              <w:jc w:val="left"/>
              <w:rPr>
                <w:rFonts w:ascii="Arial" w:eastAsia="Calibri" w:hAnsi="Arial" w:cs="Arial"/>
                <w:sz w:val="20"/>
              </w:rPr>
            </w:pPr>
            <w:r w:rsidRPr="00A93041">
              <w:rPr>
                <w:rFonts w:ascii="Arial" w:hAnsi="Arial" w:cs="Arial"/>
                <w:sz w:val="20"/>
              </w:rPr>
              <w:t>chlorofluorocarbon</w:t>
            </w:r>
          </w:p>
        </w:tc>
      </w:tr>
      <w:tr w:rsidR="00F34E8C" w:rsidRPr="00A93041" w14:paraId="5A098354" w14:textId="77777777" w:rsidTr="00AE0CFA">
        <w:tc>
          <w:tcPr>
            <w:tcW w:w="1526" w:type="dxa"/>
            <w:shd w:val="clear" w:color="auto" w:fill="auto"/>
          </w:tcPr>
          <w:p w14:paraId="433B76EB" w14:textId="77777777" w:rsidR="00F34E8C" w:rsidRPr="00A93041" w:rsidRDefault="00F34E8C" w:rsidP="00AE0CFA">
            <w:pPr>
              <w:pStyle w:val="BodyText"/>
              <w:spacing w:after="0"/>
              <w:jc w:val="left"/>
              <w:rPr>
                <w:rFonts w:ascii="Arial" w:eastAsia="Calibri" w:hAnsi="Arial" w:cs="Arial"/>
                <w:b/>
                <w:sz w:val="20"/>
              </w:rPr>
            </w:pPr>
            <w:r w:rsidRPr="00A93041">
              <w:rPr>
                <w:rFonts w:ascii="Arial" w:eastAsia="Calibri" w:hAnsi="Arial" w:cs="Arial"/>
                <w:b/>
                <w:sz w:val="20"/>
              </w:rPr>
              <w:t>CH</w:t>
            </w:r>
            <w:r w:rsidRPr="00A93041">
              <w:rPr>
                <w:rFonts w:ascii="Arial" w:eastAsia="Calibri" w:hAnsi="Arial" w:cs="Arial"/>
                <w:b/>
                <w:sz w:val="20"/>
                <w:vertAlign w:val="subscript"/>
              </w:rPr>
              <w:t>4</w:t>
            </w:r>
          </w:p>
        </w:tc>
        <w:tc>
          <w:tcPr>
            <w:tcW w:w="7092" w:type="dxa"/>
            <w:shd w:val="clear" w:color="auto" w:fill="auto"/>
          </w:tcPr>
          <w:p w14:paraId="5B4DFDAC" w14:textId="77777777" w:rsidR="00F34E8C" w:rsidRPr="00A93041" w:rsidRDefault="00F34E8C" w:rsidP="00AE0CFA">
            <w:pPr>
              <w:pStyle w:val="BodyText"/>
              <w:spacing w:after="0"/>
              <w:jc w:val="left"/>
              <w:rPr>
                <w:rFonts w:ascii="Arial" w:eastAsia="Calibri" w:hAnsi="Arial" w:cs="Arial"/>
                <w:sz w:val="20"/>
              </w:rPr>
            </w:pPr>
            <w:r w:rsidRPr="00A93041">
              <w:rPr>
                <w:rFonts w:ascii="Arial" w:eastAsia="Calibri" w:hAnsi="Arial" w:cs="Arial"/>
                <w:sz w:val="20"/>
              </w:rPr>
              <w:t>methane</w:t>
            </w:r>
          </w:p>
        </w:tc>
      </w:tr>
      <w:tr w:rsidR="00F34E8C" w:rsidRPr="00A93041" w14:paraId="1735B201" w14:textId="77777777" w:rsidTr="00AE0CFA">
        <w:tc>
          <w:tcPr>
            <w:tcW w:w="1526" w:type="dxa"/>
            <w:shd w:val="clear" w:color="auto" w:fill="auto"/>
          </w:tcPr>
          <w:p w14:paraId="3A00112C" w14:textId="77777777" w:rsidR="00F34E8C" w:rsidRPr="00A93041" w:rsidRDefault="00F34E8C" w:rsidP="00AE0CFA">
            <w:pPr>
              <w:pStyle w:val="BodyText"/>
              <w:spacing w:after="0"/>
              <w:jc w:val="left"/>
              <w:rPr>
                <w:rFonts w:ascii="Arial" w:eastAsia="Calibri" w:hAnsi="Arial" w:cs="Arial"/>
                <w:b/>
                <w:sz w:val="20"/>
              </w:rPr>
            </w:pPr>
            <w:r w:rsidRPr="00A93041">
              <w:rPr>
                <w:rFonts w:ascii="Arial" w:eastAsia="Calibri" w:hAnsi="Arial" w:cs="Arial"/>
                <w:b/>
                <w:sz w:val="20"/>
              </w:rPr>
              <w:t xml:space="preserve">CMP </w:t>
            </w:r>
          </w:p>
        </w:tc>
        <w:tc>
          <w:tcPr>
            <w:tcW w:w="7092" w:type="dxa"/>
            <w:shd w:val="clear" w:color="auto" w:fill="auto"/>
          </w:tcPr>
          <w:p w14:paraId="2F9F8ECA" w14:textId="77777777" w:rsidR="00F34E8C" w:rsidRPr="00A93041" w:rsidRDefault="00F34E8C" w:rsidP="00AE0CFA">
            <w:pPr>
              <w:pStyle w:val="BodyText"/>
              <w:spacing w:after="0"/>
              <w:jc w:val="left"/>
              <w:rPr>
                <w:rFonts w:ascii="Arial" w:eastAsia="Calibri" w:hAnsi="Arial" w:cs="Arial"/>
                <w:sz w:val="20"/>
              </w:rPr>
            </w:pPr>
            <w:r w:rsidRPr="00A93041">
              <w:rPr>
                <w:rFonts w:ascii="Arial" w:eastAsia="Calibri" w:hAnsi="Arial" w:cs="Arial"/>
                <w:sz w:val="20"/>
              </w:rPr>
              <w:t>Conference of the Parties serving as the Meeting of the Parties to the Kyoto Protocol</w:t>
            </w:r>
          </w:p>
        </w:tc>
      </w:tr>
      <w:tr w:rsidR="00F34E8C" w:rsidRPr="00A93041" w14:paraId="3BF7D4FF" w14:textId="77777777" w:rsidTr="00AE0CFA">
        <w:tc>
          <w:tcPr>
            <w:tcW w:w="1526" w:type="dxa"/>
            <w:shd w:val="clear" w:color="auto" w:fill="auto"/>
          </w:tcPr>
          <w:p w14:paraId="01FA82F2" w14:textId="77777777" w:rsidR="00F34E8C" w:rsidRPr="00A93041" w:rsidRDefault="00F34E8C" w:rsidP="00AE0CFA">
            <w:pPr>
              <w:pStyle w:val="BodyText"/>
              <w:spacing w:after="0"/>
              <w:jc w:val="left"/>
              <w:rPr>
                <w:rFonts w:ascii="Arial" w:eastAsia="Calibri" w:hAnsi="Arial" w:cs="Arial"/>
                <w:b/>
                <w:sz w:val="20"/>
              </w:rPr>
            </w:pPr>
            <w:r w:rsidRPr="00A93041">
              <w:rPr>
                <w:rFonts w:ascii="Arial" w:hAnsi="Arial" w:cs="Arial"/>
                <w:b/>
                <w:sz w:val="20"/>
                <w:lang w:eastAsia="en-GB"/>
              </w:rPr>
              <w:t>CNG</w:t>
            </w:r>
          </w:p>
        </w:tc>
        <w:tc>
          <w:tcPr>
            <w:tcW w:w="7092" w:type="dxa"/>
            <w:shd w:val="clear" w:color="auto" w:fill="auto"/>
          </w:tcPr>
          <w:p w14:paraId="027E2255" w14:textId="77777777" w:rsidR="00F34E8C" w:rsidRPr="00A93041" w:rsidRDefault="00F34E8C" w:rsidP="00AE0CFA">
            <w:pPr>
              <w:pStyle w:val="BodyText"/>
              <w:spacing w:after="0"/>
              <w:jc w:val="left"/>
              <w:rPr>
                <w:rFonts w:ascii="Arial" w:eastAsia="Calibri" w:hAnsi="Arial" w:cs="Arial"/>
                <w:sz w:val="20"/>
              </w:rPr>
            </w:pPr>
            <w:r w:rsidRPr="00A93041">
              <w:rPr>
                <w:rFonts w:ascii="Arial" w:hAnsi="Arial" w:cs="Arial"/>
                <w:sz w:val="20"/>
                <w:lang w:eastAsia="en-GB"/>
              </w:rPr>
              <w:t>compressed natural gas</w:t>
            </w:r>
          </w:p>
        </w:tc>
      </w:tr>
      <w:tr w:rsidR="00F34E8C" w:rsidRPr="00A93041" w14:paraId="30FCD003" w14:textId="77777777" w:rsidTr="00AE0CFA">
        <w:tc>
          <w:tcPr>
            <w:tcW w:w="1526" w:type="dxa"/>
            <w:shd w:val="clear" w:color="auto" w:fill="auto"/>
          </w:tcPr>
          <w:p w14:paraId="2DB31B5E" w14:textId="77777777" w:rsidR="00F34E8C" w:rsidRPr="00A93041" w:rsidRDefault="00F34E8C" w:rsidP="00AE0CFA">
            <w:pPr>
              <w:pStyle w:val="BodyText"/>
              <w:spacing w:after="0"/>
              <w:jc w:val="left"/>
              <w:rPr>
                <w:rFonts w:ascii="Arial" w:eastAsia="Calibri" w:hAnsi="Arial" w:cs="Arial"/>
                <w:b/>
                <w:sz w:val="20"/>
              </w:rPr>
            </w:pPr>
            <w:r w:rsidRPr="00A93041">
              <w:rPr>
                <w:rFonts w:ascii="Arial" w:eastAsia="Calibri" w:hAnsi="Arial" w:cs="Arial"/>
                <w:b/>
                <w:sz w:val="20"/>
              </w:rPr>
              <w:t xml:space="preserve">CO </w:t>
            </w:r>
          </w:p>
        </w:tc>
        <w:tc>
          <w:tcPr>
            <w:tcW w:w="7092" w:type="dxa"/>
            <w:shd w:val="clear" w:color="auto" w:fill="auto"/>
          </w:tcPr>
          <w:p w14:paraId="4B2DA416" w14:textId="77777777" w:rsidR="00F34E8C" w:rsidRPr="00A93041" w:rsidRDefault="00F34E8C" w:rsidP="00AE0CFA">
            <w:pPr>
              <w:pStyle w:val="BodyText"/>
              <w:spacing w:after="0"/>
              <w:jc w:val="left"/>
              <w:rPr>
                <w:rFonts w:ascii="Arial" w:eastAsia="Calibri" w:hAnsi="Arial" w:cs="Arial"/>
                <w:sz w:val="20"/>
              </w:rPr>
            </w:pPr>
            <w:r w:rsidRPr="00A93041">
              <w:rPr>
                <w:rFonts w:ascii="Arial" w:eastAsia="Calibri" w:hAnsi="Arial" w:cs="Arial"/>
                <w:sz w:val="20"/>
              </w:rPr>
              <w:t>carbon monoxide</w:t>
            </w:r>
          </w:p>
        </w:tc>
      </w:tr>
      <w:tr w:rsidR="00F34E8C" w:rsidRPr="00A93041" w14:paraId="331700DB" w14:textId="77777777" w:rsidTr="00AE0CFA">
        <w:tc>
          <w:tcPr>
            <w:tcW w:w="1526" w:type="dxa"/>
            <w:shd w:val="clear" w:color="auto" w:fill="auto"/>
          </w:tcPr>
          <w:p w14:paraId="6DC4CBC5" w14:textId="77777777" w:rsidR="00F34E8C" w:rsidRPr="00A93041" w:rsidRDefault="00F34E8C" w:rsidP="00AE0CFA">
            <w:pPr>
              <w:pStyle w:val="BodyText"/>
              <w:spacing w:after="0"/>
              <w:jc w:val="left"/>
              <w:rPr>
                <w:rFonts w:ascii="Arial" w:eastAsia="Calibri" w:hAnsi="Arial" w:cs="Arial"/>
                <w:b/>
                <w:sz w:val="20"/>
              </w:rPr>
            </w:pPr>
            <w:r w:rsidRPr="00A93041">
              <w:rPr>
                <w:rFonts w:ascii="Arial" w:eastAsia="Calibri" w:hAnsi="Arial" w:cs="Arial"/>
                <w:b/>
                <w:sz w:val="20"/>
              </w:rPr>
              <w:t>COD</w:t>
            </w:r>
          </w:p>
        </w:tc>
        <w:tc>
          <w:tcPr>
            <w:tcW w:w="7092" w:type="dxa"/>
            <w:shd w:val="clear" w:color="auto" w:fill="auto"/>
          </w:tcPr>
          <w:p w14:paraId="31CA25C0" w14:textId="77777777" w:rsidR="00F34E8C" w:rsidRPr="00A93041" w:rsidRDefault="00F34E8C" w:rsidP="00AE0CFA">
            <w:pPr>
              <w:pStyle w:val="BodyText"/>
              <w:spacing w:after="0"/>
              <w:jc w:val="left"/>
              <w:rPr>
                <w:rFonts w:ascii="Arial" w:eastAsia="Calibri" w:hAnsi="Arial" w:cs="Arial"/>
                <w:sz w:val="20"/>
              </w:rPr>
            </w:pPr>
            <w:r w:rsidRPr="00A93041">
              <w:rPr>
                <w:rFonts w:ascii="Arial" w:eastAsia="Calibri" w:hAnsi="Arial" w:cs="Arial"/>
                <w:sz w:val="20"/>
              </w:rPr>
              <w:t>chemical oxygen demand</w:t>
            </w:r>
          </w:p>
        </w:tc>
      </w:tr>
      <w:tr w:rsidR="00F34E8C" w:rsidRPr="00A93041" w14:paraId="6671BBF7" w14:textId="77777777" w:rsidTr="00AE0CFA">
        <w:tc>
          <w:tcPr>
            <w:tcW w:w="1526" w:type="dxa"/>
            <w:shd w:val="clear" w:color="auto" w:fill="auto"/>
          </w:tcPr>
          <w:p w14:paraId="14889DB0" w14:textId="77777777" w:rsidR="00F34E8C" w:rsidRPr="00A93041" w:rsidRDefault="00F34E8C" w:rsidP="00AE0CFA">
            <w:pPr>
              <w:pStyle w:val="BodyText"/>
              <w:spacing w:after="0"/>
              <w:jc w:val="left"/>
              <w:rPr>
                <w:rFonts w:ascii="Arial" w:eastAsia="Calibri" w:hAnsi="Arial" w:cs="Arial"/>
                <w:b/>
                <w:sz w:val="20"/>
              </w:rPr>
            </w:pPr>
            <w:r w:rsidRPr="00A93041">
              <w:rPr>
                <w:rFonts w:ascii="Arial" w:eastAsia="Calibri" w:hAnsi="Arial" w:cs="Arial"/>
                <w:b/>
                <w:sz w:val="20"/>
              </w:rPr>
              <w:t>CO</w:t>
            </w:r>
            <w:r w:rsidRPr="00A93041">
              <w:rPr>
                <w:rFonts w:ascii="Arial" w:eastAsia="Calibri" w:hAnsi="Arial" w:cs="Arial"/>
                <w:b/>
                <w:sz w:val="20"/>
                <w:vertAlign w:val="subscript"/>
              </w:rPr>
              <w:t>2</w:t>
            </w:r>
            <w:r w:rsidRPr="00A93041">
              <w:rPr>
                <w:rFonts w:ascii="Arial" w:eastAsia="Calibri" w:hAnsi="Arial" w:cs="Arial"/>
                <w:b/>
                <w:sz w:val="20"/>
              </w:rPr>
              <w:t xml:space="preserve"> </w:t>
            </w:r>
          </w:p>
        </w:tc>
        <w:tc>
          <w:tcPr>
            <w:tcW w:w="7092" w:type="dxa"/>
            <w:shd w:val="clear" w:color="auto" w:fill="auto"/>
          </w:tcPr>
          <w:p w14:paraId="58163164" w14:textId="77777777" w:rsidR="00F34E8C" w:rsidRPr="00A93041" w:rsidRDefault="00F34E8C" w:rsidP="00AE0CFA">
            <w:pPr>
              <w:pStyle w:val="BodyText"/>
              <w:spacing w:after="0"/>
              <w:jc w:val="left"/>
              <w:rPr>
                <w:rFonts w:ascii="Arial" w:eastAsia="Calibri" w:hAnsi="Arial" w:cs="Arial"/>
                <w:sz w:val="20"/>
              </w:rPr>
            </w:pPr>
            <w:r w:rsidRPr="00A93041">
              <w:rPr>
                <w:rFonts w:ascii="Arial" w:eastAsia="Calibri" w:hAnsi="Arial" w:cs="Arial"/>
                <w:sz w:val="20"/>
              </w:rPr>
              <w:t>carbon dioxide</w:t>
            </w:r>
          </w:p>
        </w:tc>
      </w:tr>
      <w:tr w:rsidR="00F34E8C" w:rsidRPr="00A93041" w14:paraId="61FBB68E" w14:textId="77777777" w:rsidTr="00AE0CFA">
        <w:tc>
          <w:tcPr>
            <w:tcW w:w="1526" w:type="dxa"/>
            <w:shd w:val="clear" w:color="auto" w:fill="auto"/>
          </w:tcPr>
          <w:p w14:paraId="3444EF7D" w14:textId="77777777" w:rsidR="00F34E8C" w:rsidRPr="00A93041" w:rsidRDefault="00F34E8C" w:rsidP="00AE0CFA">
            <w:pPr>
              <w:pStyle w:val="BodyText"/>
              <w:spacing w:after="0"/>
              <w:jc w:val="left"/>
              <w:rPr>
                <w:rFonts w:ascii="Arial" w:eastAsia="Calibri" w:hAnsi="Arial" w:cs="Arial"/>
                <w:b/>
                <w:sz w:val="20"/>
              </w:rPr>
            </w:pPr>
            <w:r w:rsidRPr="00A93041">
              <w:rPr>
                <w:rFonts w:ascii="Arial" w:eastAsia="Calibri" w:hAnsi="Arial" w:cs="Arial"/>
                <w:b/>
                <w:sz w:val="20"/>
              </w:rPr>
              <w:t>CO</w:t>
            </w:r>
            <w:r w:rsidRPr="00A93041">
              <w:rPr>
                <w:rFonts w:ascii="Arial" w:eastAsia="Calibri" w:hAnsi="Arial" w:cs="Arial"/>
                <w:b/>
                <w:sz w:val="20"/>
                <w:vertAlign w:val="subscript"/>
              </w:rPr>
              <w:t>2</w:t>
            </w:r>
            <w:r w:rsidRPr="00A93041">
              <w:rPr>
                <w:rFonts w:ascii="Arial" w:eastAsia="Calibri" w:hAnsi="Arial" w:cs="Arial"/>
                <w:b/>
                <w:sz w:val="20"/>
              </w:rPr>
              <w:t>-e</w:t>
            </w:r>
          </w:p>
        </w:tc>
        <w:tc>
          <w:tcPr>
            <w:tcW w:w="7092" w:type="dxa"/>
            <w:shd w:val="clear" w:color="auto" w:fill="auto"/>
          </w:tcPr>
          <w:p w14:paraId="53A45272" w14:textId="77777777" w:rsidR="00F34E8C" w:rsidRPr="00A93041" w:rsidRDefault="00F34E8C" w:rsidP="00AE0CFA">
            <w:pPr>
              <w:pStyle w:val="BodyText"/>
              <w:spacing w:after="0"/>
              <w:jc w:val="left"/>
              <w:rPr>
                <w:rFonts w:ascii="Arial" w:eastAsia="Calibri" w:hAnsi="Arial" w:cs="Arial"/>
                <w:sz w:val="20"/>
              </w:rPr>
            </w:pPr>
            <w:r w:rsidRPr="00A93041">
              <w:rPr>
                <w:rFonts w:ascii="Arial" w:eastAsia="Calibri" w:hAnsi="Arial" w:cs="Arial"/>
                <w:sz w:val="20"/>
              </w:rPr>
              <w:t>carbon dioxide equivalent</w:t>
            </w:r>
          </w:p>
        </w:tc>
      </w:tr>
      <w:tr w:rsidR="00F34E8C" w:rsidRPr="00A93041" w14:paraId="2EAA5A92" w14:textId="77777777" w:rsidTr="00AE0CFA">
        <w:tc>
          <w:tcPr>
            <w:tcW w:w="1526" w:type="dxa"/>
            <w:shd w:val="clear" w:color="auto" w:fill="auto"/>
          </w:tcPr>
          <w:p w14:paraId="109748F2" w14:textId="77777777" w:rsidR="00F34E8C" w:rsidRPr="00A93041" w:rsidRDefault="00F34E8C" w:rsidP="00AE0CFA">
            <w:pPr>
              <w:pStyle w:val="BodyText"/>
              <w:spacing w:after="0"/>
              <w:jc w:val="left"/>
              <w:rPr>
                <w:rFonts w:ascii="Arial" w:eastAsia="Calibri" w:hAnsi="Arial" w:cs="Arial"/>
                <w:b/>
                <w:sz w:val="20"/>
              </w:rPr>
            </w:pPr>
            <w:r w:rsidRPr="00A93041">
              <w:rPr>
                <w:rFonts w:ascii="Arial" w:eastAsia="Calibri" w:hAnsi="Arial" w:cs="Arial"/>
                <w:b/>
                <w:sz w:val="20"/>
              </w:rPr>
              <w:t>CP1</w:t>
            </w:r>
          </w:p>
        </w:tc>
        <w:tc>
          <w:tcPr>
            <w:tcW w:w="7092" w:type="dxa"/>
            <w:shd w:val="clear" w:color="auto" w:fill="auto"/>
          </w:tcPr>
          <w:p w14:paraId="16D619D9" w14:textId="77777777" w:rsidR="00F34E8C" w:rsidRPr="00A93041" w:rsidRDefault="00F34E8C" w:rsidP="00AE0CFA">
            <w:pPr>
              <w:pStyle w:val="BodyText"/>
              <w:spacing w:after="0"/>
              <w:jc w:val="left"/>
              <w:rPr>
                <w:rFonts w:ascii="Arial" w:eastAsia="Calibri" w:hAnsi="Arial" w:cs="Arial"/>
                <w:sz w:val="20"/>
              </w:rPr>
            </w:pPr>
            <w:r w:rsidRPr="00A93041">
              <w:rPr>
                <w:rFonts w:ascii="Arial" w:eastAsia="Calibri" w:hAnsi="Arial" w:cs="Arial"/>
                <w:sz w:val="20"/>
              </w:rPr>
              <w:t>first commitment period under the Kyoto Protocol</w:t>
            </w:r>
          </w:p>
        </w:tc>
      </w:tr>
      <w:tr w:rsidR="00F34E8C" w:rsidRPr="00A93041" w14:paraId="7FC6EA07" w14:textId="77777777" w:rsidTr="00AE0CFA">
        <w:tc>
          <w:tcPr>
            <w:tcW w:w="1526" w:type="dxa"/>
            <w:shd w:val="clear" w:color="auto" w:fill="auto"/>
          </w:tcPr>
          <w:p w14:paraId="58616A7B" w14:textId="77777777" w:rsidR="00F34E8C" w:rsidRPr="00A93041" w:rsidRDefault="00F34E8C" w:rsidP="00AE0CFA">
            <w:pPr>
              <w:pStyle w:val="BodyText"/>
              <w:spacing w:after="0"/>
              <w:jc w:val="left"/>
              <w:rPr>
                <w:rFonts w:ascii="Arial" w:eastAsia="Calibri" w:hAnsi="Arial" w:cs="Arial"/>
                <w:b/>
                <w:sz w:val="20"/>
              </w:rPr>
            </w:pPr>
            <w:r w:rsidRPr="00A93041">
              <w:rPr>
                <w:rFonts w:ascii="Arial" w:eastAsia="Calibri" w:hAnsi="Arial" w:cs="Arial"/>
                <w:b/>
                <w:sz w:val="20"/>
              </w:rPr>
              <w:t>CP2</w:t>
            </w:r>
          </w:p>
        </w:tc>
        <w:tc>
          <w:tcPr>
            <w:tcW w:w="7092" w:type="dxa"/>
            <w:shd w:val="clear" w:color="auto" w:fill="auto"/>
          </w:tcPr>
          <w:p w14:paraId="2C3EC98D" w14:textId="77777777" w:rsidR="00F34E8C" w:rsidRPr="00A93041" w:rsidRDefault="00F34E8C" w:rsidP="00AE0CFA">
            <w:pPr>
              <w:pStyle w:val="BodyText"/>
              <w:spacing w:after="0"/>
              <w:jc w:val="left"/>
              <w:rPr>
                <w:rFonts w:ascii="Arial" w:eastAsia="Calibri" w:hAnsi="Arial" w:cs="Arial"/>
                <w:sz w:val="20"/>
              </w:rPr>
            </w:pPr>
            <w:r w:rsidRPr="00A93041">
              <w:rPr>
                <w:rFonts w:ascii="Arial" w:eastAsia="Calibri" w:hAnsi="Arial" w:cs="Arial"/>
                <w:sz w:val="20"/>
              </w:rPr>
              <w:t>second commitment period under the Kyoto Protocol</w:t>
            </w:r>
          </w:p>
        </w:tc>
      </w:tr>
      <w:tr w:rsidR="00F34E8C" w:rsidRPr="00A93041" w14:paraId="50A8A04C" w14:textId="77777777" w:rsidTr="00AE0CFA">
        <w:tc>
          <w:tcPr>
            <w:tcW w:w="1526" w:type="dxa"/>
            <w:shd w:val="clear" w:color="auto" w:fill="auto"/>
          </w:tcPr>
          <w:p w14:paraId="0D0D1D82" w14:textId="77777777" w:rsidR="00F34E8C" w:rsidRPr="00A93041" w:rsidRDefault="00F34E8C" w:rsidP="00AE0CFA">
            <w:pPr>
              <w:pStyle w:val="BodyText"/>
              <w:spacing w:after="0"/>
              <w:jc w:val="left"/>
              <w:rPr>
                <w:rFonts w:ascii="Arial" w:eastAsia="Calibri" w:hAnsi="Arial" w:cs="Arial"/>
                <w:b/>
                <w:sz w:val="20"/>
              </w:rPr>
            </w:pPr>
            <w:r w:rsidRPr="00A93041">
              <w:rPr>
                <w:rFonts w:ascii="Arial" w:eastAsia="Calibri" w:hAnsi="Arial" w:cs="Arial"/>
                <w:b/>
                <w:sz w:val="20"/>
              </w:rPr>
              <w:t xml:space="preserve">CRF </w:t>
            </w:r>
          </w:p>
        </w:tc>
        <w:tc>
          <w:tcPr>
            <w:tcW w:w="7092" w:type="dxa"/>
            <w:shd w:val="clear" w:color="auto" w:fill="auto"/>
          </w:tcPr>
          <w:p w14:paraId="4B31CD95" w14:textId="77777777" w:rsidR="00F34E8C" w:rsidRPr="00A93041" w:rsidRDefault="00F34E8C" w:rsidP="00AE0CFA">
            <w:pPr>
              <w:pStyle w:val="BodyText"/>
              <w:spacing w:after="0"/>
              <w:jc w:val="left"/>
              <w:rPr>
                <w:rFonts w:ascii="Arial" w:eastAsia="Calibri" w:hAnsi="Arial" w:cs="Arial"/>
                <w:sz w:val="20"/>
              </w:rPr>
            </w:pPr>
            <w:r w:rsidRPr="00A93041">
              <w:rPr>
                <w:rFonts w:ascii="Arial" w:eastAsia="Calibri" w:hAnsi="Arial" w:cs="Arial"/>
                <w:sz w:val="20"/>
              </w:rPr>
              <w:t>common reporting format</w:t>
            </w:r>
          </w:p>
        </w:tc>
      </w:tr>
      <w:tr w:rsidR="00F34E8C" w:rsidRPr="00A93041" w14:paraId="44CA5C66" w14:textId="77777777" w:rsidTr="00AE0CFA">
        <w:tc>
          <w:tcPr>
            <w:tcW w:w="1526" w:type="dxa"/>
            <w:shd w:val="clear" w:color="auto" w:fill="auto"/>
          </w:tcPr>
          <w:p w14:paraId="701A7546" w14:textId="77777777" w:rsidR="00F34E8C" w:rsidRPr="00A93041" w:rsidRDefault="00F34E8C" w:rsidP="00AE0CFA">
            <w:pPr>
              <w:pStyle w:val="BodyText"/>
              <w:spacing w:after="0"/>
              <w:jc w:val="left"/>
              <w:rPr>
                <w:rFonts w:ascii="Arial" w:eastAsia="Calibri" w:hAnsi="Arial" w:cs="Arial"/>
                <w:b/>
                <w:sz w:val="20"/>
              </w:rPr>
            </w:pPr>
            <w:r w:rsidRPr="00A93041">
              <w:rPr>
                <w:rFonts w:ascii="Arial" w:eastAsia="Calibri" w:hAnsi="Arial" w:cs="Arial"/>
                <w:b/>
                <w:sz w:val="20"/>
              </w:rPr>
              <w:t>DCD</w:t>
            </w:r>
          </w:p>
        </w:tc>
        <w:tc>
          <w:tcPr>
            <w:tcW w:w="7092" w:type="dxa"/>
            <w:shd w:val="clear" w:color="auto" w:fill="auto"/>
          </w:tcPr>
          <w:p w14:paraId="4211ED53" w14:textId="77777777" w:rsidR="00F34E8C" w:rsidRPr="00A93041" w:rsidRDefault="00F34E8C" w:rsidP="00AE0CFA">
            <w:pPr>
              <w:pStyle w:val="BodyText"/>
              <w:spacing w:after="0"/>
              <w:jc w:val="left"/>
              <w:rPr>
                <w:rFonts w:ascii="Arial" w:eastAsia="Calibri" w:hAnsi="Arial" w:cs="Arial"/>
                <w:sz w:val="20"/>
              </w:rPr>
            </w:pPr>
            <w:r w:rsidRPr="00A93041">
              <w:rPr>
                <w:rFonts w:ascii="Arial" w:eastAsia="Calibri" w:hAnsi="Arial" w:cs="Arial"/>
                <w:sz w:val="20"/>
              </w:rPr>
              <w:t>dicyandiamide</w:t>
            </w:r>
          </w:p>
        </w:tc>
      </w:tr>
      <w:tr w:rsidR="00F34E8C" w:rsidRPr="00A93041" w14:paraId="289608B8" w14:textId="77777777" w:rsidTr="00AE0CFA">
        <w:tc>
          <w:tcPr>
            <w:tcW w:w="1526" w:type="dxa"/>
            <w:shd w:val="clear" w:color="auto" w:fill="auto"/>
          </w:tcPr>
          <w:p w14:paraId="22478754" w14:textId="77777777" w:rsidR="00F34E8C" w:rsidRPr="00A93041" w:rsidRDefault="00F34E8C" w:rsidP="00AE0CFA">
            <w:pPr>
              <w:pStyle w:val="BodyText"/>
              <w:spacing w:after="0"/>
              <w:jc w:val="left"/>
              <w:rPr>
                <w:rFonts w:ascii="Arial" w:eastAsia="Calibri" w:hAnsi="Arial" w:cs="Arial"/>
                <w:b/>
                <w:sz w:val="20"/>
              </w:rPr>
            </w:pPr>
            <w:r w:rsidRPr="00A93041">
              <w:rPr>
                <w:rFonts w:ascii="Arial" w:eastAsia="Calibri" w:hAnsi="Arial" w:cs="Arial"/>
                <w:b/>
                <w:sz w:val="20"/>
              </w:rPr>
              <w:t>DEF</w:t>
            </w:r>
          </w:p>
        </w:tc>
        <w:tc>
          <w:tcPr>
            <w:tcW w:w="7092" w:type="dxa"/>
            <w:shd w:val="clear" w:color="auto" w:fill="auto"/>
          </w:tcPr>
          <w:p w14:paraId="2D1F65ED" w14:textId="77777777" w:rsidR="00F34E8C" w:rsidRPr="00A93041" w:rsidRDefault="00F34E8C" w:rsidP="00AE0CFA">
            <w:pPr>
              <w:pStyle w:val="BodyText"/>
              <w:spacing w:after="0"/>
              <w:jc w:val="left"/>
              <w:rPr>
                <w:rFonts w:ascii="Arial" w:eastAsia="Calibri" w:hAnsi="Arial" w:cs="Arial"/>
                <w:sz w:val="20"/>
              </w:rPr>
            </w:pPr>
            <w:r w:rsidRPr="00A93041">
              <w:rPr>
                <w:rFonts w:ascii="Arial" w:eastAsia="Calibri" w:hAnsi="Arial" w:cs="Arial"/>
                <w:sz w:val="20"/>
              </w:rPr>
              <w:t>default emissions factor</w:t>
            </w:r>
          </w:p>
        </w:tc>
      </w:tr>
      <w:tr w:rsidR="00F34E8C" w:rsidRPr="00A93041" w14:paraId="5AD90575" w14:textId="77777777" w:rsidTr="00AE0CFA">
        <w:tc>
          <w:tcPr>
            <w:tcW w:w="1526" w:type="dxa"/>
            <w:shd w:val="clear" w:color="auto" w:fill="auto"/>
          </w:tcPr>
          <w:p w14:paraId="1ED94999" w14:textId="77777777" w:rsidR="00F34E8C" w:rsidRPr="00A93041" w:rsidRDefault="00F34E8C" w:rsidP="00AE0CFA">
            <w:pPr>
              <w:pStyle w:val="BodyText"/>
              <w:spacing w:after="0"/>
              <w:jc w:val="left"/>
              <w:rPr>
                <w:rFonts w:ascii="Arial" w:eastAsia="Calibri" w:hAnsi="Arial" w:cs="Arial"/>
                <w:b/>
                <w:sz w:val="20"/>
              </w:rPr>
            </w:pPr>
            <w:r w:rsidRPr="00A93041">
              <w:rPr>
                <w:rFonts w:ascii="Arial" w:eastAsia="Calibri" w:hAnsi="Arial" w:cs="Arial"/>
                <w:b/>
                <w:sz w:val="20"/>
              </w:rPr>
              <w:t>DMD</w:t>
            </w:r>
          </w:p>
        </w:tc>
        <w:tc>
          <w:tcPr>
            <w:tcW w:w="7092" w:type="dxa"/>
            <w:shd w:val="clear" w:color="auto" w:fill="auto"/>
          </w:tcPr>
          <w:p w14:paraId="10E92264" w14:textId="77777777" w:rsidR="00F34E8C" w:rsidRPr="00A93041" w:rsidRDefault="00F34E8C" w:rsidP="00AE0CFA">
            <w:pPr>
              <w:pStyle w:val="BodyText"/>
              <w:spacing w:after="0"/>
              <w:jc w:val="left"/>
              <w:rPr>
                <w:rFonts w:ascii="Arial" w:eastAsia="Calibri" w:hAnsi="Arial" w:cs="Arial"/>
                <w:sz w:val="20"/>
              </w:rPr>
            </w:pPr>
            <w:r w:rsidRPr="00A93041">
              <w:rPr>
                <w:rFonts w:ascii="Arial" w:eastAsia="Calibri" w:hAnsi="Arial" w:cs="Arial"/>
                <w:sz w:val="20"/>
              </w:rPr>
              <w:t>dry-matter digestibility</w:t>
            </w:r>
          </w:p>
        </w:tc>
      </w:tr>
      <w:tr w:rsidR="00F34E8C" w:rsidRPr="00A93041" w14:paraId="299330DD" w14:textId="77777777" w:rsidTr="00AE0CFA">
        <w:tc>
          <w:tcPr>
            <w:tcW w:w="1526" w:type="dxa"/>
            <w:shd w:val="clear" w:color="auto" w:fill="auto"/>
          </w:tcPr>
          <w:p w14:paraId="52B33D02" w14:textId="77777777" w:rsidR="00F34E8C" w:rsidRPr="00A93041" w:rsidRDefault="00F34E8C" w:rsidP="00AE0CFA">
            <w:pPr>
              <w:pStyle w:val="BodyText"/>
              <w:spacing w:after="0"/>
              <w:jc w:val="left"/>
              <w:rPr>
                <w:rFonts w:ascii="Arial" w:eastAsia="Calibri" w:hAnsi="Arial" w:cs="Arial"/>
                <w:b/>
                <w:sz w:val="20"/>
              </w:rPr>
            </w:pPr>
            <w:r w:rsidRPr="00A93041">
              <w:rPr>
                <w:rFonts w:ascii="Arial" w:eastAsia="Calibri" w:hAnsi="Arial" w:cs="Arial"/>
                <w:b/>
                <w:sz w:val="20"/>
              </w:rPr>
              <w:t>DMI</w:t>
            </w:r>
          </w:p>
        </w:tc>
        <w:tc>
          <w:tcPr>
            <w:tcW w:w="7092" w:type="dxa"/>
            <w:shd w:val="clear" w:color="auto" w:fill="auto"/>
          </w:tcPr>
          <w:p w14:paraId="413857F5" w14:textId="77777777" w:rsidR="00F34E8C" w:rsidRPr="00A93041" w:rsidRDefault="00F34E8C" w:rsidP="00AE0CFA">
            <w:pPr>
              <w:pStyle w:val="BodyText"/>
              <w:spacing w:after="0"/>
              <w:jc w:val="left"/>
              <w:rPr>
                <w:rFonts w:ascii="Arial" w:eastAsia="Calibri" w:hAnsi="Arial" w:cs="Arial"/>
                <w:sz w:val="20"/>
              </w:rPr>
            </w:pPr>
            <w:r w:rsidRPr="00A93041">
              <w:rPr>
                <w:rFonts w:ascii="Arial" w:eastAsia="Calibri" w:hAnsi="Arial" w:cs="Arial"/>
                <w:sz w:val="20"/>
              </w:rPr>
              <w:t>dry-matter intake</w:t>
            </w:r>
          </w:p>
        </w:tc>
      </w:tr>
      <w:tr w:rsidR="00F34E8C" w:rsidRPr="00A93041" w14:paraId="404ED468" w14:textId="77777777" w:rsidTr="00AE0CFA">
        <w:tc>
          <w:tcPr>
            <w:tcW w:w="1526" w:type="dxa"/>
            <w:shd w:val="clear" w:color="auto" w:fill="auto"/>
          </w:tcPr>
          <w:p w14:paraId="0EC6667B" w14:textId="77777777" w:rsidR="00F34E8C" w:rsidRPr="00A93041" w:rsidRDefault="00F34E8C" w:rsidP="00AE0CFA">
            <w:pPr>
              <w:pStyle w:val="BodyText"/>
              <w:spacing w:after="0"/>
              <w:jc w:val="left"/>
              <w:rPr>
                <w:rFonts w:ascii="Arial" w:eastAsia="Calibri" w:hAnsi="Arial" w:cs="Arial"/>
                <w:b/>
                <w:sz w:val="20"/>
              </w:rPr>
            </w:pPr>
            <w:r w:rsidRPr="00A93041">
              <w:rPr>
                <w:rFonts w:ascii="Arial" w:hAnsi="Arial" w:cs="Arial"/>
                <w:b/>
                <w:sz w:val="20"/>
              </w:rPr>
              <w:t>DOC</w:t>
            </w:r>
          </w:p>
        </w:tc>
        <w:tc>
          <w:tcPr>
            <w:tcW w:w="7092" w:type="dxa"/>
            <w:shd w:val="clear" w:color="auto" w:fill="auto"/>
          </w:tcPr>
          <w:p w14:paraId="6C562824" w14:textId="77777777" w:rsidR="00F34E8C" w:rsidRPr="00A93041" w:rsidRDefault="00F34E8C" w:rsidP="00AE0CFA">
            <w:pPr>
              <w:pStyle w:val="BodyText"/>
              <w:spacing w:after="0"/>
              <w:jc w:val="left"/>
              <w:rPr>
                <w:rFonts w:ascii="Arial" w:eastAsia="Calibri" w:hAnsi="Arial" w:cs="Arial"/>
                <w:sz w:val="20"/>
              </w:rPr>
            </w:pPr>
            <w:r w:rsidRPr="00A93041">
              <w:rPr>
                <w:rFonts w:ascii="Arial" w:hAnsi="Arial" w:cs="Arial"/>
                <w:sz w:val="20"/>
              </w:rPr>
              <w:t>degradable organic carbon</w:t>
            </w:r>
          </w:p>
        </w:tc>
      </w:tr>
      <w:tr w:rsidR="00F34E8C" w:rsidRPr="00A93041" w14:paraId="5ABE8494" w14:textId="77777777" w:rsidTr="00AE0CFA">
        <w:tc>
          <w:tcPr>
            <w:tcW w:w="1526" w:type="dxa"/>
            <w:shd w:val="clear" w:color="auto" w:fill="auto"/>
          </w:tcPr>
          <w:p w14:paraId="2B375FD7" w14:textId="77777777" w:rsidR="00F34E8C" w:rsidRPr="00A93041" w:rsidRDefault="00F34E8C" w:rsidP="00AE0CFA">
            <w:pPr>
              <w:pStyle w:val="BodyText"/>
              <w:spacing w:after="0"/>
              <w:jc w:val="left"/>
              <w:rPr>
                <w:rFonts w:ascii="Arial" w:eastAsia="Calibri" w:hAnsi="Arial" w:cs="Arial"/>
                <w:b/>
                <w:sz w:val="20"/>
              </w:rPr>
            </w:pPr>
            <w:r w:rsidRPr="00A93041">
              <w:rPr>
                <w:rFonts w:ascii="Arial" w:eastAsia="Calibri" w:hAnsi="Arial" w:cs="Arial"/>
                <w:b/>
                <w:sz w:val="20"/>
              </w:rPr>
              <w:t>DPFI</w:t>
            </w:r>
          </w:p>
        </w:tc>
        <w:tc>
          <w:tcPr>
            <w:tcW w:w="7092" w:type="dxa"/>
            <w:shd w:val="clear" w:color="auto" w:fill="auto"/>
          </w:tcPr>
          <w:p w14:paraId="06648E94" w14:textId="77777777" w:rsidR="00F34E8C" w:rsidRPr="00A93041" w:rsidRDefault="00F34E8C" w:rsidP="00AE0CFA">
            <w:pPr>
              <w:pStyle w:val="BodyText"/>
              <w:spacing w:after="0"/>
              <w:jc w:val="left"/>
              <w:rPr>
                <w:rFonts w:ascii="Arial" w:eastAsia="Calibri" w:hAnsi="Arial" w:cs="Arial"/>
                <w:sz w:val="20"/>
              </w:rPr>
            </w:pPr>
            <w:r w:rsidRPr="00A93041">
              <w:rPr>
                <w:rFonts w:ascii="Arial" w:eastAsia="Calibri" w:hAnsi="Arial" w:cs="Arial"/>
                <w:sz w:val="20"/>
              </w:rPr>
              <w:t xml:space="preserve">Delivery of Petroleum Fuels by Industry </w:t>
            </w:r>
          </w:p>
        </w:tc>
      </w:tr>
      <w:tr w:rsidR="00F34E8C" w:rsidRPr="00A93041" w14:paraId="6437C3E7" w14:textId="77777777" w:rsidTr="00AE0CFA">
        <w:tc>
          <w:tcPr>
            <w:tcW w:w="1526" w:type="dxa"/>
            <w:shd w:val="clear" w:color="auto" w:fill="auto"/>
          </w:tcPr>
          <w:p w14:paraId="59F1002D" w14:textId="77777777" w:rsidR="00F34E8C" w:rsidRPr="00A93041" w:rsidRDefault="00F34E8C" w:rsidP="00AE0CFA">
            <w:pPr>
              <w:pStyle w:val="BodyText"/>
              <w:spacing w:after="0"/>
              <w:jc w:val="left"/>
              <w:rPr>
                <w:rFonts w:ascii="Arial" w:eastAsia="Calibri" w:hAnsi="Arial" w:cs="Arial"/>
                <w:b/>
                <w:sz w:val="20"/>
              </w:rPr>
            </w:pPr>
            <w:r w:rsidRPr="00A93041">
              <w:rPr>
                <w:rFonts w:ascii="Arial" w:eastAsia="Calibri" w:hAnsi="Arial" w:cs="Arial"/>
                <w:b/>
                <w:sz w:val="20"/>
              </w:rPr>
              <w:t xml:space="preserve">EF </w:t>
            </w:r>
          </w:p>
        </w:tc>
        <w:tc>
          <w:tcPr>
            <w:tcW w:w="7092" w:type="dxa"/>
            <w:shd w:val="clear" w:color="auto" w:fill="auto"/>
          </w:tcPr>
          <w:p w14:paraId="0DA09318" w14:textId="77777777" w:rsidR="00F34E8C" w:rsidRPr="00A93041" w:rsidRDefault="00F34E8C" w:rsidP="00AE0CFA">
            <w:pPr>
              <w:pStyle w:val="BodyText"/>
              <w:spacing w:after="0"/>
              <w:jc w:val="left"/>
              <w:rPr>
                <w:rFonts w:ascii="Arial" w:eastAsia="Calibri" w:hAnsi="Arial" w:cs="Arial"/>
                <w:sz w:val="20"/>
              </w:rPr>
            </w:pPr>
            <w:r w:rsidRPr="00A93041">
              <w:rPr>
                <w:rFonts w:ascii="Arial" w:eastAsia="Calibri" w:hAnsi="Arial" w:cs="Arial"/>
                <w:sz w:val="20"/>
              </w:rPr>
              <w:t>emission factor</w:t>
            </w:r>
          </w:p>
        </w:tc>
      </w:tr>
      <w:tr w:rsidR="00F34E8C" w:rsidRPr="00A93041" w14:paraId="38F2A8CB" w14:textId="77777777" w:rsidTr="00AE0CFA">
        <w:tc>
          <w:tcPr>
            <w:tcW w:w="1526" w:type="dxa"/>
            <w:shd w:val="clear" w:color="auto" w:fill="auto"/>
          </w:tcPr>
          <w:p w14:paraId="4A6359FF" w14:textId="77777777" w:rsidR="00F34E8C" w:rsidRPr="00A93041" w:rsidRDefault="00F34E8C" w:rsidP="00AE0CFA">
            <w:pPr>
              <w:pStyle w:val="BodyText"/>
              <w:spacing w:after="0"/>
              <w:jc w:val="left"/>
              <w:rPr>
                <w:rFonts w:ascii="Arial" w:eastAsia="Calibri" w:hAnsi="Arial" w:cs="Arial"/>
                <w:b/>
                <w:sz w:val="20"/>
              </w:rPr>
            </w:pPr>
            <w:r w:rsidRPr="00A93041">
              <w:rPr>
                <w:rFonts w:ascii="Arial" w:eastAsia="Calibri" w:hAnsi="Arial" w:cs="Arial"/>
                <w:b/>
                <w:sz w:val="20"/>
              </w:rPr>
              <w:t>EPA</w:t>
            </w:r>
          </w:p>
        </w:tc>
        <w:tc>
          <w:tcPr>
            <w:tcW w:w="7092" w:type="dxa"/>
            <w:shd w:val="clear" w:color="auto" w:fill="auto"/>
          </w:tcPr>
          <w:p w14:paraId="608066BF" w14:textId="77777777" w:rsidR="00F34E8C" w:rsidRPr="00A93041" w:rsidRDefault="00F34E8C" w:rsidP="00AE0CFA">
            <w:pPr>
              <w:pStyle w:val="BodyText"/>
              <w:spacing w:after="0"/>
              <w:jc w:val="left"/>
              <w:rPr>
                <w:rFonts w:ascii="Arial" w:eastAsia="Calibri" w:hAnsi="Arial" w:cs="Arial"/>
                <w:sz w:val="20"/>
              </w:rPr>
            </w:pPr>
            <w:r w:rsidRPr="00A93041">
              <w:rPr>
                <w:rFonts w:ascii="Arial" w:eastAsia="Calibri" w:hAnsi="Arial" w:cs="Arial"/>
                <w:sz w:val="20"/>
              </w:rPr>
              <w:t>Environmental Protection Authority</w:t>
            </w:r>
          </w:p>
        </w:tc>
      </w:tr>
      <w:tr w:rsidR="00F34E8C" w:rsidRPr="00A93041" w14:paraId="5EE98A92" w14:textId="77777777" w:rsidTr="00AE0CFA">
        <w:tc>
          <w:tcPr>
            <w:tcW w:w="1526" w:type="dxa"/>
            <w:shd w:val="clear" w:color="auto" w:fill="auto"/>
          </w:tcPr>
          <w:p w14:paraId="504253CE" w14:textId="77777777" w:rsidR="00F34E8C" w:rsidRPr="00A93041" w:rsidRDefault="00F34E8C" w:rsidP="00AE0CFA">
            <w:pPr>
              <w:pStyle w:val="BodyText"/>
              <w:spacing w:after="0"/>
              <w:jc w:val="left"/>
              <w:rPr>
                <w:rFonts w:ascii="Arial" w:eastAsia="Calibri" w:hAnsi="Arial" w:cs="Arial"/>
                <w:b/>
                <w:sz w:val="20"/>
              </w:rPr>
            </w:pPr>
            <w:r w:rsidRPr="00A93041">
              <w:rPr>
                <w:rFonts w:ascii="Arial" w:eastAsia="Calibri" w:hAnsi="Arial" w:cs="Arial"/>
                <w:b/>
                <w:sz w:val="20"/>
              </w:rPr>
              <w:lastRenderedPageBreak/>
              <w:t xml:space="preserve">ERT </w:t>
            </w:r>
          </w:p>
        </w:tc>
        <w:tc>
          <w:tcPr>
            <w:tcW w:w="7092" w:type="dxa"/>
            <w:shd w:val="clear" w:color="auto" w:fill="auto"/>
          </w:tcPr>
          <w:p w14:paraId="1B95DA6F" w14:textId="77777777" w:rsidR="00F34E8C" w:rsidRPr="00A93041" w:rsidRDefault="00F34E8C" w:rsidP="00AE0CFA">
            <w:pPr>
              <w:pStyle w:val="BodyText"/>
              <w:spacing w:after="0"/>
              <w:jc w:val="left"/>
              <w:rPr>
                <w:rFonts w:ascii="Arial" w:eastAsia="Calibri" w:hAnsi="Arial" w:cs="Arial"/>
                <w:sz w:val="20"/>
              </w:rPr>
            </w:pPr>
            <w:r w:rsidRPr="00A93041">
              <w:rPr>
                <w:rFonts w:ascii="Arial" w:eastAsia="Calibri" w:hAnsi="Arial" w:cs="Arial"/>
                <w:sz w:val="20"/>
              </w:rPr>
              <w:t>expert review team</w:t>
            </w:r>
          </w:p>
        </w:tc>
      </w:tr>
      <w:tr w:rsidR="00F34E8C" w:rsidRPr="00A93041" w14:paraId="26D3A21C" w14:textId="77777777" w:rsidTr="00AE0CFA">
        <w:tc>
          <w:tcPr>
            <w:tcW w:w="1526" w:type="dxa"/>
            <w:shd w:val="clear" w:color="auto" w:fill="auto"/>
          </w:tcPr>
          <w:p w14:paraId="4075F05C" w14:textId="77777777" w:rsidR="00F34E8C" w:rsidRPr="00A93041" w:rsidRDefault="00F34E8C" w:rsidP="00AE0CFA">
            <w:pPr>
              <w:pStyle w:val="BodyText"/>
              <w:spacing w:after="0"/>
              <w:jc w:val="left"/>
              <w:rPr>
                <w:rFonts w:ascii="Arial" w:eastAsia="Calibri" w:hAnsi="Arial" w:cs="Arial"/>
                <w:b/>
                <w:sz w:val="20"/>
              </w:rPr>
            </w:pPr>
            <w:r w:rsidRPr="00A93041">
              <w:rPr>
                <w:rFonts w:ascii="Arial" w:eastAsia="Calibri" w:hAnsi="Arial" w:cs="Arial"/>
                <w:b/>
                <w:sz w:val="20"/>
              </w:rPr>
              <w:t>ERU</w:t>
            </w:r>
          </w:p>
        </w:tc>
        <w:tc>
          <w:tcPr>
            <w:tcW w:w="7092" w:type="dxa"/>
            <w:shd w:val="clear" w:color="auto" w:fill="auto"/>
          </w:tcPr>
          <w:p w14:paraId="0792D3CA" w14:textId="77777777" w:rsidR="00F34E8C" w:rsidRPr="00A93041" w:rsidRDefault="00F34E8C" w:rsidP="00AE0CFA">
            <w:pPr>
              <w:pStyle w:val="BodyText"/>
              <w:spacing w:after="0"/>
              <w:jc w:val="left"/>
              <w:rPr>
                <w:rFonts w:ascii="Arial" w:eastAsia="Calibri" w:hAnsi="Arial" w:cs="Arial"/>
                <w:sz w:val="20"/>
              </w:rPr>
            </w:pPr>
            <w:r w:rsidRPr="00A93041">
              <w:rPr>
                <w:rFonts w:ascii="Arial" w:eastAsia="Calibri" w:hAnsi="Arial" w:cs="Arial"/>
                <w:sz w:val="20"/>
              </w:rPr>
              <w:t>emission reduction unit</w:t>
            </w:r>
          </w:p>
        </w:tc>
      </w:tr>
      <w:tr w:rsidR="00F34E8C" w:rsidRPr="00A93041" w14:paraId="6278A0FA" w14:textId="77777777" w:rsidTr="00AE0CFA">
        <w:tc>
          <w:tcPr>
            <w:tcW w:w="1526" w:type="dxa"/>
            <w:shd w:val="clear" w:color="auto" w:fill="auto"/>
          </w:tcPr>
          <w:p w14:paraId="1FFEC8B7" w14:textId="77777777" w:rsidR="00F34E8C" w:rsidRPr="00A93041" w:rsidRDefault="00F34E8C" w:rsidP="00AE0CFA">
            <w:pPr>
              <w:pStyle w:val="BodyText"/>
              <w:spacing w:after="0"/>
              <w:jc w:val="left"/>
              <w:rPr>
                <w:rFonts w:ascii="Arial" w:eastAsia="Calibri" w:hAnsi="Arial" w:cs="Arial"/>
                <w:b/>
                <w:sz w:val="20"/>
              </w:rPr>
            </w:pPr>
            <w:r w:rsidRPr="00A93041">
              <w:rPr>
                <w:rFonts w:ascii="Arial" w:eastAsia="Calibri" w:hAnsi="Arial" w:cs="Arial"/>
                <w:b/>
                <w:sz w:val="20"/>
              </w:rPr>
              <w:t>ETS</w:t>
            </w:r>
          </w:p>
        </w:tc>
        <w:tc>
          <w:tcPr>
            <w:tcW w:w="7092" w:type="dxa"/>
            <w:shd w:val="clear" w:color="auto" w:fill="auto"/>
          </w:tcPr>
          <w:p w14:paraId="0C66E555" w14:textId="77777777" w:rsidR="00F34E8C" w:rsidRPr="00A93041" w:rsidRDefault="00F34E8C" w:rsidP="00AE0CFA">
            <w:pPr>
              <w:pStyle w:val="BodyText"/>
              <w:spacing w:after="0"/>
              <w:jc w:val="left"/>
              <w:rPr>
                <w:rFonts w:ascii="Arial" w:eastAsia="Calibri" w:hAnsi="Arial" w:cs="Arial"/>
                <w:sz w:val="20"/>
              </w:rPr>
            </w:pPr>
            <w:r w:rsidRPr="00A93041">
              <w:rPr>
                <w:rFonts w:ascii="Arial" w:eastAsia="Calibri" w:hAnsi="Arial" w:cs="Arial"/>
                <w:sz w:val="20"/>
              </w:rPr>
              <w:t>Emissions Trading Scheme</w:t>
            </w:r>
          </w:p>
        </w:tc>
      </w:tr>
      <w:tr w:rsidR="00F34E8C" w:rsidRPr="00A93041" w14:paraId="321AE95D" w14:textId="77777777" w:rsidTr="00AE0CFA">
        <w:tc>
          <w:tcPr>
            <w:tcW w:w="1526" w:type="dxa"/>
            <w:shd w:val="clear" w:color="auto" w:fill="auto"/>
          </w:tcPr>
          <w:p w14:paraId="48C49260" w14:textId="77777777" w:rsidR="00F34E8C" w:rsidRPr="00A93041" w:rsidRDefault="00F34E8C" w:rsidP="00AE0CFA">
            <w:pPr>
              <w:pStyle w:val="BodyText"/>
              <w:spacing w:after="0"/>
              <w:jc w:val="left"/>
              <w:rPr>
                <w:rFonts w:ascii="Arial" w:eastAsia="Calibri" w:hAnsi="Arial" w:cs="Arial"/>
                <w:b/>
                <w:sz w:val="20"/>
              </w:rPr>
            </w:pPr>
            <w:r w:rsidRPr="00A93041">
              <w:rPr>
                <w:rFonts w:ascii="Arial" w:eastAsia="Calibri" w:hAnsi="Arial" w:cs="Arial"/>
                <w:b/>
                <w:sz w:val="20"/>
              </w:rPr>
              <w:t>FAME</w:t>
            </w:r>
          </w:p>
        </w:tc>
        <w:tc>
          <w:tcPr>
            <w:tcW w:w="7092" w:type="dxa"/>
            <w:shd w:val="clear" w:color="auto" w:fill="auto"/>
          </w:tcPr>
          <w:p w14:paraId="38305ADF" w14:textId="77777777" w:rsidR="00F34E8C" w:rsidRPr="00A93041" w:rsidRDefault="00F34E8C" w:rsidP="00AE0CFA">
            <w:pPr>
              <w:pStyle w:val="BodyText"/>
              <w:spacing w:after="0"/>
              <w:jc w:val="left"/>
              <w:rPr>
                <w:rFonts w:ascii="Arial" w:eastAsia="Calibri" w:hAnsi="Arial" w:cs="Arial"/>
                <w:sz w:val="20"/>
              </w:rPr>
            </w:pPr>
            <w:r w:rsidRPr="00A93041">
              <w:rPr>
                <w:rFonts w:ascii="Arial" w:eastAsia="Calibri" w:hAnsi="Arial" w:cs="Arial"/>
                <w:sz w:val="20"/>
              </w:rPr>
              <w:t>fatty acid methyl ester</w:t>
            </w:r>
          </w:p>
        </w:tc>
      </w:tr>
      <w:tr w:rsidR="00F34E8C" w:rsidRPr="00A93041" w14:paraId="3D93F95C" w14:textId="77777777" w:rsidTr="00AE0CFA">
        <w:tc>
          <w:tcPr>
            <w:tcW w:w="1526" w:type="dxa"/>
            <w:shd w:val="clear" w:color="auto" w:fill="auto"/>
          </w:tcPr>
          <w:p w14:paraId="4D777225" w14:textId="77777777" w:rsidR="00F34E8C" w:rsidRPr="00A93041" w:rsidRDefault="00F34E8C" w:rsidP="00AE0CFA">
            <w:pPr>
              <w:pStyle w:val="BodyText"/>
              <w:spacing w:after="0"/>
              <w:jc w:val="left"/>
              <w:rPr>
                <w:rFonts w:ascii="Arial" w:eastAsia="Calibri" w:hAnsi="Arial" w:cs="Arial"/>
                <w:b/>
                <w:sz w:val="20"/>
              </w:rPr>
            </w:pPr>
            <w:r w:rsidRPr="00A93041">
              <w:rPr>
                <w:rFonts w:ascii="Arial" w:eastAsia="Calibri" w:hAnsi="Arial" w:cs="Arial"/>
                <w:b/>
                <w:sz w:val="20"/>
              </w:rPr>
              <w:t xml:space="preserve">FAO </w:t>
            </w:r>
          </w:p>
        </w:tc>
        <w:tc>
          <w:tcPr>
            <w:tcW w:w="7092" w:type="dxa"/>
            <w:shd w:val="clear" w:color="auto" w:fill="auto"/>
          </w:tcPr>
          <w:p w14:paraId="7A62DBB7" w14:textId="77777777" w:rsidR="00F34E8C" w:rsidRPr="00A93041" w:rsidRDefault="00F34E8C" w:rsidP="00AE0CFA">
            <w:pPr>
              <w:pStyle w:val="BodyText"/>
              <w:spacing w:after="0"/>
              <w:jc w:val="left"/>
              <w:rPr>
                <w:rFonts w:ascii="Arial" w:eastAsia="Calibri" w:hAnsi="Arial" w:cs="Arial"/>
                <w:sz w:val="20"/>
              </w:rPr>
            </w:pPr>
            <w:r w:rsidRPr="00A93041">
              <w:rPr>
                <w:rFonts w:ascii="Arial" w:eastAsia="Calibri" w:hAnsi="Arial" w:cs="Arial"/>
                <w:sz w:val="20"/>
              </w:rPr>
              <w:t xml:space="preserve">Food and Agriculture Organization </w:t>
            </w:r>
          </w:p>
        </w:tc>
      </w:tr>
      <w:tr w:rsidR="00F34E8C" w:rsidRPr="00A93041" w14:paraId="65B127E1" w14:textId="77777777" w:rsidTr="00AE0CFA">
        <w:tc>
          <w:tcPr>
            <w:tcW w:w="1526" w:type="dxa"/>
            <w:shd w:val="clear" w:color="auto" w:fill="auto"/>
          </w:tcPr>
          <w:p w14:paraId="70D21E41" w14:textId="77777777" w:rsidR="00F34E8C" w:rsidRPr="00A93041" w:rsidRDefault="00F34E8C" w:rsidP="00AE0CFA">
            <w:pPr>
              <w:pStyle w:val="BodyText"/>
              <w:spacing w:after="0"/>
              <w:jc w:val="left"/>
              <w:rPr>
                <w:rFonts w:ascii="Arial" w:eastAsia="Calibri" w:hAnsi="Arial" w:cs="Arial"/>
                <w:b/>
                <w:sz w:val="20"/>
              </w:rPr>
            </w:pPr>
            <w:r w:rsidRPr="00A93041">
              <w:rPr>
                <w:rFonts w:ascii="Arial" w:eastAsia="Calibri" w:hAnsi="Arial" w:cs="Arial"/>
                <w:b/>
                <w:sz w:val="20"/>
              </w:rPr>
              <w:t xml:space="preserve">FAOSTAT </w:t>
            </w:r>
          </w:p>
        </w:tc>
        <w:tc>
          <w:tcPr>
            <w:tcW w:w="7092" w:type="dxa"/>
            <w:shd w:val="clear" w:color="auto" w:fill="auto"/>
          </w:tcPr>
          <w:p w14:paraId="47DF89AA" w14:textId="77777777" w:rsidR="00F34E8C" w:rsidRPr="00A93041" w:rsidRDefault="00F34E8C" w:rsidP="00AE0CFA">
            <w:pPr>
              <w:pStyle w:val="BodyText"/>
              <w:spacing w:after="0"/>
              <w:jc w:val="left"/>
              <w:rPr>
                <w:rFonts w:ascii="Arial" w:eastAsia="Calibri" w:hAnsi="Arial" w:cs="Arial"/>
                <w:sz w:val="20"/>
              </w:rPr>
            </w:pPr>
            <w:r w:rsidRPr="00A93041">
              <w:rPr>
                <w:rFonts w:ascii="Arial" w:eastAsia="Calibri" w:hAnsi="Arial" w:cs="Arial"/>
                <w:sz w:val="20"/>
              </w:rPr>
              <w:t>Database produced by the Statistics Division of the Food and Agriculture Organization the United Nations</w:t>
            </w:r>
          </w:p>
        </w:tc>
      </w:tr>
      <w:tr w:rsidR="00F34E8C" w:rsidRPr="00A93041" w14:paraId="40C527F4" w14:textId="77777777" w:rsidTr="00AE0CFA">
        <w:tc>
          <w:tcPr>
            <w:tcW w:w="1526" w:type="dxa"/>
            <w:shd w:val="clear" w:color="auto" w:fill="auto"/>
          </w:tcPr>
          <w:p w14:paraId="5853DCDF" w14:textId="77777777" w:rsidR="00F34E8C" w:rsidRPr="00A93041" w:rsidRDefault="00F34E8C" w:rsidP="00AE0CFA">
            <w:pPr>
              <w:pStyle w:val="BodyText"/>
              <w:spacing w:after="0"/>
              <w:jc w:val="left"/>
              <w:rPr>
                <w:rFonts w:ascii="Arial" w:eastAsia="Calibri" w:hAnsi="Arial" w:cs="Arial"/>
                <w:b/>
                <w:sz w:val="20"/>
              </w:rPr>
            </w:pPr>
            <w:r w:rsidRPr="00A93041">
              <w:rPr>
                <w:rFonts w:ascii="Arial" w:eastAsia="Calibri" w:hAnsi="Arial" w:cs="Arial"/>
                <w:b/>
                <w:sz w:val="20"/>
              </w:rPr>
              <w:t>FDM</w:t>
            </w:r>
          </w:p>
        </w:tc>
        <w:tc>
          <w:tcPr>
            <w:tcW w:w="7092" w:type="dxa"/>
            <w:shd w:val="clear" w:color="auto" w:fill="auto"/>
          </w:tcPr>
          <w:p w14:paraId="244D33B3" w14:textId="77777777" w:rsidR="00F34E8C" w:rsidRPr="00A93041" w:rsidRDefault="00F34E8C" w:rsidP="00AE0CFA">
            <w:pPr>
              <w:pStyle w:val="BodyText"/>
              <w:spacing w:after="0"/>
              <w:jc w:val="left"/>
              <w:rPr>
                <w:rFonts w:ascii="Arial" w:eastAsia="Calibri" w:hAnsi="Arial" w:cs="Arial"/>
                <w:sz w:val="20"/>
              </w:rPr>
            </w:pPr>
            <w:r w:rsidRPr="00A93041">
              <w:rPr>
                <w:rFonts w:ascii="Arial" w:eastAsia="Calibri" w:hAnsi="Arial" w:cs="Arial"/>
                <w:sz w:val="20"/>
              </w:rPr>
              <w:t>faecal dry matter</w:t>
            </w:r>
          </w:p>
        </w:tc>
      </w:tr>
      <w:tr w:rsidR="00F34E8C" w:rsidRPr="00A93041" w14:paraId="4620DEB2" w14:textId="77777777" w:rsidTr="00AE0CFA">
        <w:tc>
          <w:tcPr>
            <w:tcW w:w="1526" w:type="dxa"/>
            <w:shd w:val="clear" w:color="auto" w:fill="auto"/>
          </w:tcPr>
          <w:p w14:paraId="669A91E2" w14:textId="77777777" w:rsidR="00F34E8C" w:rsidRPr="00A93041" w:rsidRDefault="00F34E8C" w:rsidP="00AE0CFA">
            <w:pPr>
              <w:pStyle w:val="BodyText"/>
              <w:spacing w:after="0"/>
              <w:jc w:val="left"/>
              <w:rPr>
                <w:rFonts w:ascii="Arial" w:eastAsia="Calibri" w:hAnsi="Arial" w:cs="Arial"/>
                <w:b/>
                <w:sz w:val="20"/>
              </w:rPr>
            </w:pPr>
            <w:r w:rsidRPr="00A93041">
              <w:rPr>
                <w:rFonts w:ascii="Arial" w:eastAsia="Calibri" w:hAnsi="Arial" w:cs="Arial"/>
                <w:b/>
                <w:sz w:val="20"/>
              </w:rPr>
              <w:t xml:space="preserve">FMRL </w:t>
            </w:r>
          </w:p>
        </w:tc>
        <w:tc>
          <w:tcPr>
            <w:tcW w:w="7092" w:type="dxa"/>
            <w:shd w:val="clear" w:color="auto" w:fill="auto"/>
          </w:tcPr>
          <w:p w14:paraId="52DB6790" w14:textId="77777777" w:rsidR="00F34E8C" w:rsidRPr="00A93041" w:rsidRDefault="00F34E8C" w:rsidP="00AE0CFA">
            <w:pPr>
              <w:pStyle w:val="BodyText"/>
              <w:spacing w:after="0"/>
              <w:jc w:val="left"/>
              <w:rPr>
                <w:rFonts w:ascii="Arial" w:eastAsia="Calibri" w:hAnsi="Arial" w:cs="Arial"/>
                <w:sz w:val="20"/>
              </w:rPr>
            </w:pPr>
            <w:r w:rsidRPr="00A93041">
              <w:rPr>
                <w:rFonts w:ascii="Arial" w:eastAsia="Calibri" w:hAnsi="Arial" w:cs="Arial"/>
                <w:sz w:val="20"/>
              </w:rPr>
              <w:t>forest management reference level</w:t>
            </w:r>
          </w:p>
        </w:tc>
      </w:tr>
      <w:tr w:rsidR="00F34E8C" w:rsidRPr="00A93041" w14:paraId="21AC2072" w14:textId="77777777" w:rsidTr="00AE0CFA">
        <w:tc>
          <w:tcPr>
            <w:tcW w:w="1526" w:type="dxa"/>
            <w:shd w:val="clear" w:color="auto" w:fill="auto"/>
          </w:tcPr>
          <w:p w14:paraId="760C3544" w14:textId="77777777" w:rsidR="00F34E8C" w:rsidRPr="00A93041" w:rsidRDefault="00F34E8C" w:rsidP="00AE0CFA">
            <w:pPr>
              <w:pStyle w:val="BodyText"/>
              <w:spacing w:after="0"/>
              <w:jc w:val="left"/>
              <w:rPr>
                <w:rFonts w:ascii="Arial" w:eastAsia="Calibri" w:hAnsi="Arial" w:cs="Arial"/>
                <w:b/>
                <w:sz w:val="20"/>
              </w:rPr>
            </w:pPr>
            <w:r w:rsidRPr="00A93041">
              <w:rPr>
                <w:rFonts w:ascii="Arial" w:eastAsia="Calibri" w:hAnsi="Arial" w:cs="Arial"/>
                <w:b/>
                <w:sz w:val="20"/>
              </w:rPr>
              <w:t>FMRL</w:t>
            </w:r>
            <w:r w:rsidRPr="00A93041">
              <w:rPr>
                <w:rFonts w:ascii="Arial" w:eastAsia="Calibri" w:hAnsi="Arial" w:cs="Arial"/>
                <w:b/>
                <w:i/>
                <w:sz w:val="20"/>
                <w:vertAlign w:val="subscript"/>
              </w:rPr>
              <w:t>corr</w:t>
            </w:r>
            <w:r w:rsidRPr="00A93041">
              <w:rPr>
                <w:rFonts w:ascii="Arial" w:eastAsia="Calibri" w:hAnsi="Arial" w:cs="Arial"/>
                <w:b/>
                <w:sz w:val="20"/>
              </w:rPr>
              <w:t xml:space="preserve"> </w:t>
            </w:r>
          </w:p>
        </w:tc>
        <w:tc>
          <w:tcPr>
            <w:tcW w:w="7092" w:type="dxa"/>
            <w:shd w:val="clear" w:color="auto" w:fill="auto"/>
          </w:tcPr>
          <w:p w14:paraId="4D647367" w14:textId="77777777" w:rsidR="00F34E8C" w:rsidRPr="00A93041" w:rsidRDefault="00F34E8C" w:rsidP="00AE0CFA">
            <w:pPr>
              <w:pStyle w:val="BodyText"/>
              <w:spacing w:after="0"/>
              <w:jc w:val="left"/>
              <w:rPr>
                <w:rFonts w:ascii="Arial" w:eastAsia="Calibri" w:hAnsi="Arial" w:cs="Arial"/>
                <w:sz w:val="20"/>
              </w:rPr>
            </w:pPr>
            <w:r w:rsidRPr="00A93041">
              <w:rPr>
                <w:rFonts w:ascii="Arial" w:eastAsia="Calibri" w:hAnsi="Arial" w:cs="Arial"/>
                <w:sz w:val="20"/>
              </w:rPr>
              <w:t>Technically corrected forest management reference level</w:t>
            </w:r>
          </w:p>
        </w:tc>
      </w:tr>
      <w:tr w:rsidR="00F34E8C" w:rsidRPr="00A93041" w14:paraId="3206C8B0" w14:textId="77777777" w:rsidTr="00AE0CFA">
        <w:tc>
          <w:tcPr>
            <w:tcW w:w="1526" w:type="dxa"/>
            <w:shd w:val="clear" w:color="auto" w:fill="auto"/>
          </w:tcPr>
          <w:p w14:paraId="636569B6" w14:textId="77777777" w:rsidR="00F34E8C" w:rsidRPr="00A93041" w:rsidRDefault="00F34E8C" w:rsidP="00AE0CFA">
            <w:pPr>
              <w:pStyle w:val="BodyText"/>
              <w:spacing w:after="0"/>
              <w:jc w:val="left"/>
              <w:rPr>
                <w:rFonts w:ascii="Arial" w:eastAsia="Calibri" w:hAnsi="Arial" w:cs="Arial"/>
                <w:b/>
                <w:sz w:val="20"/>
              </w:rPr>
            </w:pPr>
            <w:r w:rsidRPr="00A93041">
              <w:rPr>
                <w:rFonts w:ascii="Arial" w:eastAsia="Calibri" w:hAnsi="Arial" w:cs="Arial"/>
                <w:b/>
                <w:sz w:val="20"/>
              </w:rPr>
              <w:t>FOD</w:t>
            </w:r>
          </w:p>
        </w:tc>
        <w:tc>
          <w:tcPr>
            <w:tcW w:w="7092" w:type="dxa"/>
            <w:shd w:val="clear" w:color="auto" w:fill="auto"/>
          </w:tcPr>
          <w:p w14:paraId="44956314" w14:textId="77777777" w:rsidR="00F34E8C" w:rsidRPr="00A93041" w:rsidRDefault="00F34E8C" w:rsidP="00AE0CFA">
            <w:pPr>
              <w:pStyle w:val="BodyText"/>
              <w:spacing w:after="0"/>
              <w:jc w:val="left"/>
              <w:rPr>
                <w:rFonts w:ascii="Arial" w:eastAsia="Calibri" w:hAnsi="Arial" w:cs="Arial"/>
                <w:sz w:val="20"/>
              </w:rPr>
            </w:pPr>
            <w:r w:rsidRPr="00A93041">
              <w:rPr>
                <w:rFonts w:ascii="Arial" w:eastAsia="Calibri" w:hAnsi="Arial" w:cs="Arial"/>
                <w:sz w:val="20"/>
              </w:rPr>
              <w:t xml:space="preserve">First Order Decay </w:t>
            </w:r>
          </w:p>
        </w:tc>
      </w:tr>
      <w:tr w:rsidR="00F34E8C" w:rsidRPr="00A93041" w14:paraId="26A2600E" w14:textId="77777777" w:rsidTr="00AE0CFA">
        <w:tc>
          <w:tcPr>
            <w:tcW w:w="1526" w:type="dxa"/>
            <w:shd w:val="clear" w:color="auto" w:fill="auto"/>
          </w:tcPr>
          <w:p w14:paraId="494DDA49" w14:textId="77777777" w:rsidR="00F34E8C" w:rsidRPr="00A93041" w:rsidRDefault="00F34E8C" w:rsidP="00AE0CFA">
            <w:pPr>
              <w:pStyle w:val="BodyText"/>
              <w:spacing w:after="0"/>
              <w:jc w:val="left"/>
              <w:rPr>
                <w:rFonts w:ascii="Arial" w:eastAsia="Calibri" w:hAnsi="Arial" w:cs="Arial"/>
                <w:b/>
                <w:sz w:val="20"/>
              </w:rPr>
            </w:pPr>
            <w:r w:rsidRPr="00A93041">
              <w:rPr>
                <w:rFonts w:ascii="Arial" w:eastAsia="Calibri" w:hAnsi="Arial" w:cs="Arial"/>
                <w:b/>
                <w:sz w:val="20"/>
              </w:rPr>
              <w:t xml:space="preserve">FOLPI </w:t>
            </w:r>
          </w:p>
        </w:tc>
        <w:tc>
          <w:tcPr>
            <w:tcW w:w="7092" w:type="dxa"/>
            <w:shd w:val="clear" w:color="auto" w:fill="auto"/>
          </w:tcPr>
          <w:p w14:paraId="4ABBEDE6" w14:textId="77777777" w:rsidR="00F34E8C" w:rsidRPr="00A93041" w:rsidRDefault="00F34E8C" w:rsidP="00AE0CFA">
            <w:pPr>
              <w:pStyle w:val="BodyText"/>
              <w:spacing w:after="0"/>
              <w:jc w:val="left"/>
              <w:rPr>
                <w:rFonts w:ascii="Arial" w:eastAsia="Calibri" w:hAnsi="Arial" w:cs="Arial"/>
                <w:sz w:val="20"/>
              </w:rPr>
            </w:pPr>
            <w:r w:rsidRPr="00A93041">
              <w:rPr>
                <w:rFonts w:ascii="Arial" w:eastAsia="Calibri" w:hAnsi="Arial" w:cs="Arial"/>
                <w:sz w:val="20"/>
              </w:rPr>
              <w:t>Forestry-Oriented Linear Programming Interpreter</w:t>
            </w:r>
          </w:p>
        </w:tc>
      </w:tr>
      <w:tr w:rsidR="00F34E8C" w:rsidRPr="00A93041" w14:paraId="2093FB98" w14:textId="77777777" w:rsidTr="00AE0CFA">
        <w:tc>
          <w:tcPr>
            <w:tcW w:w="1526" w:type="dxa"/>
            <w:shd w:val="clear" w:color="auto" w:fill="auto"/>
          </w:tcPr>
          <w:p w14:paraId="3E4BC836" w14:textId="77777777" w:rsidR="00F34E8C" w:rsidRPr="00A93041" w:rsidRDefault="00F34E8C" w:rsidP="00AE0CFA">
            <w:pPr>
              <w:pStyle w:val="BodyText"/>
              <w:spacing w:after="0"/>
              <w:jc w:val="left"/>
              <w:rPr>
                <w:rFonts w:ascii="Arial" w:eastAsia="Calibri" w:hAnsi="Arial" w:cs="Arial"/>
                <w:b/>
                <w:sz w:val="20"/>
              </w:rPr>
            </w:pPr>
            <w:r w:rsidRPr="00A93041">
              <w:rPr>
                <w:rFonts w:ascii="Arial" w:eastAsia="Calibri" w:hAnsi="Arial" w:cs="Arial"/>
                <w:b/>
                <w:sz w:val="20"/>
              </w:rPr>
              <w:t>GDP</w:t>
            </w:r>
          </w:p>
        </w:tc>
        <w:tc>
          <w:tcPr>
            <w:tcW w:w="7092" w:type="dxa"/>
            <w:shd w:val="clear" w:color="auto" w:fill="auto"/>
          </w:tcPr>
          <w:p w14:paraId="7C4C9242" w14:textId="77777777" w:rsidR="00F34E8C" w:rsidRPr="00A93041" w:rsidRDefault="00F34E8C" w:rsidP="00AE0CFA">
            <w:pPr>
              <w:pStyle w:val="BodyText"/>
              <w:spacing w:after="0"/>
              <w:jc w:val="left"/>
              <w:rPr>
                <w:rFonts w:ascii="Arial" w:eastAsia="Calibri" w:hAnsi="Arial" w:cs="Arial"/>
                <w:sz w:val="20"/>
              </w:rPr>
            </w:pPr>
            <w:r w:rsidRPr="00A93041">
              <w:rPr>
                <w:rFonts w:ascii="Arial" w:eastAsia="Calibri" w:hAnsi="Arial" w:cs="Arial"/>
                <w:sz w:val="20"/>
              </w:rPr>
              <w:t>gross domestic product</w:t>
            </w:r>
          </w:p>
        </w:tc>
      </w:tr>
      <w:tr w:rsidR="00F34E8C" w:rsidRPr="00A93041" w14:paraId="2DF7BA94" w14:textId="77777777" w:rsidTr="00AE0CFA">
        <w:tc>
          <w:tcPr>
            <w:tcW w:w="1526" w:type="dxa"/>
            <w:shd w:val="clear" w:color="auto" w:fill="auto"/>
          </w:tcPr>
          <w:p w14:paraId="6827B562" w14:textId="77777777" w:rsidR="00F34E8C" w:rsidRPr="00A93041" w:rsidRDefault="00F34E8C" w:rsidP="00AE0CFA">
            <w:pPr>
              <w:pStyle w:val="BodyText"/>
              <w:spacing w:after="0"/>
              <w:jc w:val="left"/>
              <w:rPr>
                <w:rFonts w:ascii="Arial" w:eastAsia="Calibri" w:hAnsi="Arial" w:cs="Arial"/>
                <w:b/>
                <w:sz w:val="20"/>
              </w:rPr>
            </w:pPr>
            <w:r w:rsidRPr="00A93041">
              <w:rPr>
                <w:rFonts w:ascii="Arial" w:eastAsia="Calibri" w:hAnsi="Arial" w:cs="Arial"/>
                <w:b/>
                <w:sz w:val="20"/>
              </w:rPr>
              <w:t>GEI</w:t>
            </w:r>
          </w:p>
        </w:tc>
        <w:tc>
          <w:tcPr>
            <w:tcW w:w="7092" w:type="dxa"/>
            <w:shd w:val="clear" w:color="auto" w:fill="auto"/>
          </w:tcPr>
          <w:p w14:paraId="56664F29" w14:textId="77777777" w:rsidR="00F34E8C" w:rsidRPr="00A93041" w:rsidRDefault="00F34E8C" w:rsidP="00AE0CFA">
            <w:pPr>
              <w:pStyle w:val="BodyText"/>
              <w:spacing w:after="0"/>
              <w:jc w:val="left"/>
              <w:rPr>
                <w:rFonts w:ascii="Arial" w:eastAsia="Calibri" w:hAnsi="Arial" w:cs="Arial"/>
                <w:sz w:val="20"/>
              </w:rPr>
            </w:pPr>
            <w:r w:rsidRPr="00A93041">
              <w:rPr>
                <w:rFonts w:ascii="Arial" w:eastAsia="Calibri" w:hAnsi="Arial" w:cs="Arial"/>
                <w:sz w:val="20"/>
              </w:rPr>
              <w:t>gross energy intake</w:t>
            </w:r>
          </w:p>
        </w:tc>
      </w:tr>
      <w:tr w:rsidR="00F34E8C" w:rsidRPr="00A93041" w14:paraId="11FF8C34" w14:textId="77777777" w:rsidTr="00AE0CFA">
        <w:tc>
          <w:tcPr>
            <w:tcW w:w="1526" w:type="dxa"/>
            <w:shd w:val="clear" w:color="auto" w:fill="auto"/>
          </w:tcPr>
          <w:p w14:paraId="13BD7BB6" w14:textId="77777777" w:rsidR="00F34E8C" w:rsidRPr="00A93041" w:rsidRDefault="00F34E8C" w:rsidP="00AE0CFA">
            <w:pPr>
              <w:pStyle w:val="BodyText"/>
              <w:spacing w:after="0"/>
              <w:jc w:val="left"/>
              <w:rPr>
                <w:rFonts w:ascii="Arial" w:eastAsia="Calibri" w:hAnsi="Arial" w:cs="Arial"/>
                <w:b/>
                <w:sz w:val="20"/>
              </w:rPr>
            </w:pPr>
            <w:r w:rsidRPr="00A93041">
              <w:rPr>
                <w:rFonts w:ascii="Arial" w:eastAsia="Calibri" w:hAnsi="Arial" w:cs="Arial"/>
                <w:b/>
                <w:sz w:val="20"/>
              </w:rPr>
              <w:t>Gg</w:t>
            </w:r>
          </w:p>
        </w:tc>
        <w:tc>
          <w:tcPr>
            <w:tcW w:w="7092" w:type="dxa"/>
            <w:shd w:val="clear" w:color="auto" w:fill="auto"/>
          </w:tcPr>
          <w:p w14:paraId="673FB494" w14:textId="77777777" w:rsidR="00F34E8C" w:rsidRPr="00A93041" w:rsidRDefault="00F34E8C" w:rsidP="00AE0CFA">
            <w:pPr>
              <w:pStyle w:val="BodyText"/>
              <w:spacing w:after="0"/>
              <w:jc w:val="left"/>
              <w:rPr>
                <w:rFonts w:ascii="Arial" w:eastAsia="Calibri" w:hAnsi="Arial" w:cs="Arial"/>
                <w:sz w:val="20"/>
              </w:rPr>
            </w:pPr>
            <w:r w:rsidRPr="00A93041">
              <w:rPr>
                <w:rFonts w:ascii="Arial" w:eastAsia="Calibri" w:hAnsi="Arial" w:cs="Arial"/>
                <w:sz w:val="20"/>
              </w:rPr>
              <w:t>gigagram(s)</w:t>
            </w:r>
          </w:p>
        </w:tc>
      </w:tr>
      <w:tr w:rsidR="00F34E8C" w:rsidRPr="00A93041" w14:paraId="4BA8B5D5" w14:textId="77777777" w:rsidTr="00AE0CFA">
        <w:tc>
          <w:tcPr>
            <w:tcW w:w="1526" w:type="dxa"/>
            <w:shd w:val="clear" w:color="auto" w:fill="auto"/>
          </w:tcPr>
          <w:p w14:paraId="13B252BA" w14:textId="77777777" w:rsidR="00F34E8C" w:rsidRPr="00A93041" w:rsidRDefault="00F34E8C" w:rsidP="00AE0CFA">
            <w:pPr>
              <w:pStyle w:val="BodyText"/>
              <w:spacing w:after="0"/>
              <w:jc w:val="left"/>
              <w:rPr>
                <w:rFonts w:ascii="Arial" w:eastAsia="Calibri" w:hAnsi="Arial" w:cs="Arial"/>
                <w:b/>
                <w:sz w:val="20"/>
              </w:rPr>
            </w:pPr>
            <w:r w:rsidRPr="00A93041">
              <w:rPr>
                <w:rFonts w:ascii="Arial" w:eastAsia="Calibri" w:hAnsi="Arial" w:cs="Arial"/>
                <w:b/>
                <w:sz w:val="20"/>
              </w:rPr>
              <w:t>GHG</w:t>
            </w:r>
          </w:p>
        </w:tc>
        <w:tc>
          <w:tcPr>
            <w:tcW w:w="7092" w:type="dxa"/>
            <w:shd w:val="clear" w:color="auto" w:fill="auto"/>
          </w:tcPr>
          <w:p w14:paraId="3B1C6703" w14:textId="77777777" w:rsidR="00F34E8C" w:rsidRPr="00A93041" w:rsidRDefault="00F34E8C" w:rsidP="00AE0CFA">
            <w:pPr>
              <w:pStyle w:val="BodyText"/>
              <w:spacing w:after="0"/>
              <w:jc w:val="left"/>
              <w:rPr>
                <w:rFonts w:ascii="Arial" w:eastAsia="Calibri" w:hAnsi="Arial" w:cs="Arial"/>
                <w:sz w:val="20"/>
              </w:rPr>
            </w:pPr>
            <w:r w:rsidRPr="00A93041">
              <w:rPr>
                <w:rFonts w:ascii="Arial" w:eastAsia="Calibri" w:hAnsi="Arial" w:cs="Arial"/>
                <w:sz w:val="20"/>
              </w:rPr>
              <w:t>greenhouse gas(es)</w:t>
            </w:r>
          </w:p>
        </w:tc>
      </w:tr>
      <w:tr w:rsidR="00F34E8C" w:rsidRPr="00A93041" w14:paraId="04FBFD93" w14:textId="77777777" w:rsidTr="00AE0CFA">
        <w:tc>
          <w:tcPr>
            <w:tcW w:w="1526" w:type="dxa"/>
            <w:shd w:val="clear" w:color="auto" w:fill="auto"/>
          </w:tcPr>
          <w:p w14:paraId="22547AC2" w14:textId="77777777" w:rsidR="00F34E8C" w:rsidRPr="00A93041" w:rsidRDefault="00F34E8C" w:rsidP="00AE0CFA">
            <w:pPr>
              <w:pStyle w:val="BodyText"/>
              <w:spacing w:after="0"/>
              <w:jc w:val="left"/>
              <w:rPr>
                <w:rFonts w:ascii="Arial" w:eastAsia="Calibri" w:hAnsi="Arial" w:cs="Arial"/>
                <w:b/>
                <w:sz w:val="20"/>
              </w:rPr>
            </w:pPr>
            <w:r w:rsidRPr="00A93041">
              <w:rPr>
                <w:rFonts w:ascii="Arial" w:eastAsia="Calibri" w:hAnsi="Arial" w:cs="Arial"/>
                <w:b/>
                <w:sz w:val="20"/>
              </w:rPr>
              <w:t>GIS</w:t>
            </w:r>
          </w:p>
        </w:tc>
        <w:tc>
          <w:tcPr>
            <w:tcW w:w="7092" w:type="dxa"/>
            <w:shd w:val="clear" w:color="auto" w:fill="auto"/>
          </w:tcPr>
          <w:p w14:paraId="1DF617CE" w14:textId="77777777" w:rsidR="00F34E8C" w:rsidRPr="00A93041" w:rsidRDefault="00F34E8C" w:rsidP="00AE0CFA">
            <w:pPr>
              <w:pStyle w:val="BodyText"/>
              <w:spacing w:after="0"/>
              <w:jc w:val="left"/>
              <w:rPr>
                <w:rFonts w:ascii="Arial" w:eastAsia="Calibri" w:hAnsi="Arial" w:cs="Arial"/>
                <w:sz w:val="20"/>
              </w:rPr>
            </w:pPr>
            <w:r w:rsidRPr="00A93041">
              <w:rPr>
                <w:rFonts w:ascii="Arial" w:eastAsia="Calibri" w:hAnsi="Arial" w:cs="Arial"/>
                <w:sz w:val="20"/>
              </w:rPr>
              <w:t>geographic information system</w:t>
            </w:r>
          </w:p>
        </w:tc>
      </w:tr>
      <w:tr w:rsidR="00F34E8C" w:rsidRPr="00A93041" w14:paraId="651F5A29" w14:textId="77777777" w:rsidTr="00AE0CFA">
        <w:tc>
          <w:tcPr>
            <w:tcW w:w="1526" w:type="dxa"/>
            <w:shd w:val="clear" w:color="auto" w:fill="auto"/>
          </w:tcPr>
          <w:p w14:paraId="523BABAB" w14:textId="77777777" w:rsidR="00F34E8C" w:rsidRPr="00A93041" w:rsidRDefault="00F34E8C" w:rsidP="00AE0CFA">
            <w:pPr>
              <w:pStyle w:val="BodyText"/>
              <w:spacing w:after="0"/>
              <w:jc w:val="left"/>
              <w:rPr>
                <w:rFonts w:ascii="Arial" w:eastAsia="Calibri" w:hAnsi="Arial" w:cs="Arial"/>
                <w:b/>
                <w:sz w:val="20"/>
              </w:rPr>
            </w:pPr>
            <w:r w:rsidRPr="00A93041">
              <w:rPr>
                <w:rFonts w:ascii="Arial" w:eastAsia="Calibri" w:hAnsi="Arial" w:cs="Arial"/>
                <w:b/>
                <w:sz w:val="20"/>
              </w:rPr>
              <w:t>GJ</w:t>
            </w:r>
          </w:p>
        </w:tc>
        <w:tc>
          <w:tcPr>
            <w:tcW w:w="7092" w:type="dxa"/>
            <w:shd w:val="clear" w:color="auto" w:fill="auto"/>
          </w:tcPr>
          <w:p w14:paraId="5635B2F6" w14:textId="77777777" w:rsidR="00F34E8C" w:rsidRPr="00A93041" w:rsidRDefault="00F34E8C" w:rsidP="00AE0CFA">
            <w:pPr>
              <w:pStyle w:val="BodyText"/>
              <w:spacing w:after="0"/>
              <w:jc w:val="left"/>
              <w:rPr>
                <w:rFonts w:ascii="Arial" w:eastAsia="Calibri" w:hAnsi="Arial" w:cs="Arial"/>
                <w:sz w:val="20"/>
              </w:rPr>
            </w:pPr>
            <w:r w:rsidRPr="00A93041">
              <w:rPr>
                <w:rFonts w:ascii="Arial" w:eastAsia="Calibri" w:hAnsi="Arial" w:cs="Arial"/>
                <w:sz w:val="20"/>
              </w:rPr>
              <w:t>gigajoule(s)</w:t>
            </w:r>
          </w:p>
        </w:tc>
      </w:tr>
      <w:tr w:rsidR="00F34E8C" w:rsidRPr="00A93041" w14:paraId="386516A7" w14:textId="77777777" w:rsidTr="00AE0CFA">
        <w:tc>
          <w:tcPr>
            <w:tcW w:w="1526" w:type="dxa"/>
            <w:shd w:val="clear" w:color="auto" w:fill="auto"/>
          </w:tcPr>
          <w:p w14:paraId="7ED2CC14" w14:textId="77777777" w:rsidR="00F34E8C" w:rsidRPr="00A93041" w:rsidRDefault="00F34E8C" w:rsidP="00AE0CFA">
            <w:pPr>
              <w:pStyle w:val="BodyText"/>
              <w:spacing w:after="0"/>
              <w:jc w:val="left"/>
              <w:rPr>
                <w:rFonts w:ascii="Arial" w:hAnsi="Arial" w:cs="Arial"/>
                <w:b/>
                <w:sz w:val="20"/>
              </w:rPr>
            </w:pPr>
            <w:r w:rsidRPr="00A93041">
              <w:rPr>
                <w:rFonts w:ascii="Arial" w:hAnsi="Arial" w:cs="Arial"/>
                <w:b/>
                <w:sz w:val="20"/>
              </w:rPr>
              <w:t>GPS</w:t>
            </w:r>
          </w:p>
        </w:tc>
        <w:tc>
          <w:tcPr>
            <w:tcW w:w="7092" w:type="dxa"/>
            <w:shd w:val="clear" w:color="auto" w:fill="auto"/>
          </w:tcPr>
          <w:p w14:paraId="77EC1EC3" w14:textId="77777777" w:rsidR="00F34E8C" w:rsidRPr="00A93041" w:rsidRDefault="00F34E8C" w:rsidP="00AE0CFA">
            <w:pPr>
              <w:pStyle w:val="BodyText"/>
              <w:spacing w:after="0"/>
              <w:jc w:val="left"/>
              <w:rPr>
                <w:rFonts w:ascii="Arial" w:eastAsia="Calibri" w:hAnsi="Arial" w:cs="Arial"/>
                <w:sz w:val="20"/>
              </w:rPr>
            </w:pPr>
            <w:r w:rsidRPr="00A93041">
              <w:rPr>
                <w:rFonts w:ascii="Arial" w:eastAsia="Calibri" w:hAnsi="Arial" w:cs="Arial"/>
                <w:sz w:val="20"/>
              </w:rPr>
              <w:t>global positioning system</w:t>
            </w:r>
          </w:p>
        </w:tc>
      </w:tr>
      <w:tr w:rsidR="00F34E8C" w:rsidRPr="00A93041" w14:paraId="075BC200" w14:textId="77777777" w:rsidTr="00AE0CFA">
        <w:tc>
          <w:tcPr>
            <w:tcW w:w="1526" w:type="dxa"/>
            <w:shd w:val="clear" w:color="auto" w:fill="auto"/>
          </w:tcPr>
          <w:p w14:paraId="1922C93B" w14:textId="77777777" w:rsidR="00F34E8C" w:rsidRPr="00A93041" w:rsidRDefault="00F34E8C" w:rsidP="00AE0CFA">
            <w:pPr>
              <w:pStyle w:val="BodyText"/>
              <w:spacing w:after="0"/>
              <w:jc w:val="left"/>
              <w:rPr>
                <w:rFonts w:ascii="Arial" w:hAnsi="Arial" w:cs="Arial"/>
                <w:b/>
                <w:sz w:val="20"/>
              </w:rPr>
            </w:pPr>
            <w:r w:rsidRPr="00A93041">
              <w:rPr>
                <w:rFonts w:ascii="Arial" w:hAnsi="Arial" w:cs="Arial"/>
                <w:b/>
                <w:sz w:val="20"/>
              </w:rPr>
              <w:t>GRA</w:t>
            </w:r>
          </w:p>
        </w:tc>
        <w:tc>
          <w:tcPr>
            <w:tcW w:w="7092" w:type="dxa"/>
            <w:shd w:val="clear" w:color="auto" w:fill="auto"/>
          </w:tcPr>
          <w:p w14:paraId="668E97A0" w14:textId="77777777" w:rsidR="00F34E8C" w:rsidRPr="00A93041" w:rsidRDefault="00F34E8C" w:rsidP="00AE0CFA">
            <w:pPr>
              <w:pStyle w:val="BodyText"/>
              <w:spacing w:after="0"/>
              <w:jc w:val="left"/>
              <w:rPr>
                <w:rFonts w:ascii="Arial" w:eastAsia="Calibri" w:hAnsi="Arial" w:cs="Arial"/>
                <w:sz w:val="20"/>
              </w:rPr>
            </w:pPr>
            <w:r w:rsidRPr="00A93041">
              <w:rPr>
                <w:rFonts w:ascii="Arial" w:eastAsia="Calibri" w:hAnsi="Arial" w:cs="Arial"/>
                <w:sz w:val="20"/>
              </w:rPr>
              <w:t>Global Research Alliance on Agricultural Greenhouse Gases</w:t>
            </w:r>
          </w:p>
        </w:tc>
      </w:tr>
      <w:tr w:rsidR="00F34E8C" w:rsidRPr="00A93041" w14:paraId="2AF531EE" w14:textId="77777777" w:rsidTr="00AE0CFA">
        <w:tc>
          <w:tcPr>
            <w:tcW w:w="1526" w:type="dxa"/>
            <w:shd w:val="clear" w:color="auto" w:fill="auto"/>
          </w:tcPr>
          <w:p w14:paraId="662E2A8D" w14:textId="77777777" w:rsidR="00F34E8C" w:rsidRPr="00A93041" w:rsidRDefault="00F34E8C" w:rsidP="00AE0CFA">
            <w:pPr>
              <w:pStyle w:val="BodyText"/>
              <w:spacing w:after="0"/>
              <w:jc w:val="left"/>
              <w:rPr>
                <w:rFonts w:ascii="Arial" w:hAnsi="Arial" w:cs="Arial"/>
                <w:b/>
                <w:sz w:val="20"/>
              </w:rPr>
            </w:pPr>
            <w:r w:rsidRPr="00A93041">
              <w:rPr>
                <w:rFonts w:ascii="Arial" w:hAnsi="Arial" w:cs="Arial"/>
                <w:b/>
                <w:sz w:val="20"/>
              </w:rPr>
              <w:t>GST</w:t>
            </w:r>
          </w:p>
        </w:tc>
        <w:tc>
          <w:tcPr>
            <w:tcW w:w="7092" w:type="dxa"/>
            <w:shd w:val="clear" w:color="auto" w:fill="auto"/>
          </w:tcPr>
          <w:p w14:paraId="1423580A" w14:textId="77777777" w:rsidR="00F34E8C" w:rsidRPr="00A93041" w:rsidRDefault="00F34E8C" w:rsidP="00AE0CFA">
            <w:pPr>
              <w:pStyle w:val="BodyText"/>
              <w:spacing w:after="0"/>
              <w:jc w:val="left"/>
              <w:rPr>
                <w:rFonts w:ascii="Arial" w:eastAsia="Calibri" w:hAnsi="Arial" w:cs="Arial"/>
                <w:sz w:val="20"/>
              </w:rPr>
            </w:pPr>
            <w:r w:rsidRPr="00A93041">
              <w:rPr>
                <w:rFonts w:ascii="Arial" w:eastAsia="Calibri" w:hAnsi="Arial" w:cs="Arial"/>
                <w:sz w:val="20"/>
              </w:rPr>
              <w:t xml:space="preserve">goods and services tax </w:t>
            </w:r>
          </w:p>
        </w:tc>
      </w:tr>
      <w:tr w:rsidR="00F34E8C" w:rsidRPr="00A93041" w14:paraId="3AD97599" w14:textId="77777777" w:rsidTr="00AE0CFA">
        <w:tc>
          <w:tcPr>
            <w:tcW w:w="1526" w:type="dxa"/>
            <w:shd w:val="clear" w:color="auto" w:fill="auto"/>
          </w:tcPr>
          <w:p w14:paraId="1B893714" w14:textId="77777777" w:rsidR="00F34E8C" w:rsidRPr="00A93041" w:rsidRDefault="00F34E8C" w:rsidP="00AE0CFA">
            <w:pPr>
              <w:pStyle w:val="BodyText"/>
              <w:spacing w:after="0"/>
              <w:jc w:val="left"/>
              <w:rPr>
                <w:rFonts w:ascii="Arial" w:eastAsia="Calibri" w:hAnsi="Arial" w:cs="Arial"/>
                <w:b/>
                <w:sz w:val="20"/>
              </w:rPr>
            </w:pPr>
            <w:r w:rsidRPr="00A93041">
              <w:rPr>
                <w:rFonts w:ascii="Arial" w:eastAsia="Calibri" w:hAnsi="Arial" w:cs="Arial"/>
                <w:b/>
                <w:sz w:val="20"/>
              </w:rPr>
              <w:t>ha</w:t>
            </w:r>
          </w:p>
        </w:tc>
        <w:tc>
          <w:tcPr>
            <w:tcW w:w="7092" w:type="dxa"/>
            <w:shd w:val="clear" w:color="auto" w:fill="auto"/>
          </w:tcPr>
          <w:p w14:paraId="7A12B5E8" w14:textId="77777777" w:rsidR="00F34E8C" w:rsidRPr="00A93041" w:rsidRDefault="00F34E8C" w:rsidP="00AE0CFA">
            <w:pPr>
              <w:pStyle w:val="BodyText"/>
              <w:spacing w:after="0"/>
              <w:jc w:val="left"/>
              <w:rPr>
                <w:rFonts w:ascii="Arial" w:eastAsia="Calibri" w:hAnsi="Arial" w:cs="Arial"/>
                <w:sz w:val="20"/>
              </w:rPr>
            </w:pPr>
            <w:r w:rsidRPr="00A93041">
              <w:rPr>
                <w:rFonts w:ascii="Arial" w:eastAsia="Calibri" w:hAnsi="Arial" w:cs="Arial"/>
                <w:sz w:val="20"/>
              </w:rPr>
              <w:t>hectare(s)</w:t>
            </w:r>
          </w:p>
        </w:tc>
      </w:tr>
      <w:tr w:rsidR="00F34E8C" w:rsidRPr="00A93041" w14:paraId="74FDB5EC" w14:textId="77777777" w:rsidTr="00AE0CFA">
        <w:tc>
          <w:tcPr>
            <w:tcW w:w="1526" w:type="dxa"/>
            <w:shd w:val="clear" w:color="auto" w:fill="auto"/>
          </w:tcPr>
          <w:p w14:paraId="43815336" w14:textId="77777777" w:rsidR="00F34E8C" w:rsidRPr="00A93041" w:rsidRDefault="00F34E8C" w:rsidP="00AE0CFA">
            <w:pPr>
              <w:pStyle w:val="BodyText"/>
              <w:spacing w:after="0"/>
              <w:jc w:val="left"/>
              <w:rPr>
                <w:rFonts w:ascii="Arial" w:eastAsia="Calibri" w:hAnsi="Arial" w:cs="Arial"/>
                <w:b/>
                <w:sz w:val="20"/>
              </w:rPr>
            </w:pPr>
            <w:r w:rsidRPr="00A93041">
              <w:rPr>
                <w:rFonts w:ascii="Arial" w:eastAsia="Calibri" w:hAnsi="Arial" w:cs="Arial"/>
                <w:b/>
                <w:sz w:val="20"/>
              </w:rPr>
              <w:t>HCFC</w:t>
            </w:r>
          </w:p>
        </w:tc>
        <w:tc>
          <w:tcPr>
            <w:tcW w:w="7092" w:type="dxa"/>
            <w:shd w:val="clear" w:color="auto" w:fill="auto"/>
          </w:tcPr>
          <w:p w14:paraId="53621648" w14:textId="77777777" w:rsidR="00F34E8C" w:rsidRPr="00A93041" w:rsidRDefault="00F34E8C" w:rsidP="00AE0CFA">
            <w:pPr>
              <w:pStyle w:val="BodyText"/>
              <w:spacing w:after="0"/>
              <w:jc w:val="left"/>
              <w:rPr>
                <w:rFonts w:ascii="Arial" w:eastAsia="Calibri" w:hAnsi="Arial" w:cs="Arial"/>
                <w:sz w:val="20"/>
              </w:rPr>
            </w:pPr>
            <w:r w:rsidRPr="00A93041">
              <w:rPr>
                <w:rFonts w:ascii="Arial" w:eastAsia="Calibri" w:hAnsi="Arial" w:cs="Arial"/>
                <w:sz w:val="20"/>
              </w:rPr>
              <w:t>hydrochlorofluorocarbon</w:t>
            </w:r>
          </w:p>
        </w:tc>
      </w:tr>
      <w:tr w:rsidR="00F34E8C" w:rsidRPr="00A93041" w14:paraId="2C28F385" w14:textId="77777777" w:rsidTr="00AE0CFA">
        <w:tc>
          <w:tcPr>
            <w:tcW w:w="1526" w:type="dxa"/>
            <w:shd w:val="clear" w:color="auto" w:fill="auto"/>
          </w:tcPr>
          <w:p w14:paraId="443922E8" w14:textId="77777777" w:rsidR="00F34E8C" w:rsidRPr="00A93041" w:rsidRDefault="00F34E8C" w:rsidP="00AE0CFA">
            <w:pPr>
              <w:pStyle w:val="BodyText"/>
              <w:spacing w:after="0"/>
              <w:jc w:val="left"/>
              <w:rPr>
                <w:rFonts w:ascii="Arial" w:eastAsia="Calibri" w:hAnsi="Arial" w:cs="Arial"/>
                <w:b/>
                <w:sz w:val="20"/>
              </w:rPr>
            </w:pPr>
            <w:r w:rsidRPr="00A93041">
              <w:rPr>
                <w:rFonts w:ascii="Arial" w:eastAsia="Calibri" w:hAnsi="Arial" w:cs="Arial"/>
                <w:b/>
                <w:sz w:val="20"/>
              </w:rPr>
              <w:t>HEEP</w:t>
            </w:r>
          </w:p>
        </w:tc>
        <w:tc>
          <w:tcPr>
            <w:tcW w:w="7092" w:type="dxa"/>
            <w:shd w:val="clear" w:color="auto" w:fill="auto"/>
          </w:tcPr>
          <w:p w14:paraId="5EFD0801" w14:textId="77777777" w:rsidR="00F34E8C" w:rsidRPr="00A93041" w:rsidRDefault="00F34E8C" w:rsidP="00AE0CFA">
            <w:pPr>
              <w:pStyle w:val="BodyText"/>
              <w:spacing w:after="0"/>
              <w:jc w:val="left"/>
              <w:rPr>
                <w:rFonts w:ascii="Arial" w:eastAsia="Calibri" w:hAnsi="Arial" w:cs="Arial"/>
                <w:sz w:val="20"/>
              </w:rPr>
            </w:pPr>
            <w:r w:rsidRPr="00A93041">
              <w:rPr>
                <w:rFonts w:ascii="Arial" w:eastAsia="Calibri" w:hAnsi="Arial" w:cs="Arial"/>
                <w:sz w:val="20"/>
              </w:rPr>
              <w:t>Household Energy End-use Project</w:t>
            </w:r>
          </w:p>
        </w:tc>
      </w:tr>
      <w:tr w:rsidR="00F34E8C" w:rsidRPr="00A93041" w14:paraId="6D41B33B" w14:textId="77777777" w:rsidTr="00AE0CFA">
        <w:tc>
          <w:tcPr>
            <w:tcW w:w="1526" w:type="dxa"/>
            <w:shd w:val="clear" w:color="auto" w:fill="auto"/>
          </w:tcPr>
          <w:p w14:paraId="3A12F109" w14:textId="77777777" w:rsidR="00F34E8C" w:rsidRPr="00A93041" w:rsidRDefault="00F34E8C" w:rsidP="00AE0CFA">
            <w:pPr>
              <w:pStyle w:val="BodyText"/>
              <w:spacing w:after="0"/>
              <w:jc w:val="left"/>
              <w:rPr>
                <w:rFonts w:ascii="Arial" w:eastAsia="Calibri" w:hAnsi="Arial" w:cs="Arial"/>
                <w:b/>
                <w:sz w:val="20"/>
              </w:rPr>
            </w:pPr>
            <w:r w:rsidRPr="00A93041">
              <w:rPr>
                <w:rFonts w:ascii="Arial" w:eastAsia="Calibri" w:hAnsi="Arial" w:cs="Arial"/>
                <w:b/>
                <w:sz w:val="20"/>
              </w:rPr>
              <w:t>HFC</w:t>
            </w:r>
          </w:p>
        </w:tc>
        <w:tc>
          <w:tcPr>
            <w:tcW w:w="7092" w:type="dxa"/>
            <w:shd w:val="clear" w:color="auto" w:fill="auto"/>
          </w:tcPr>
          <w:p w14:paraId="03B5B732" w14:textId="77777777" w:rsidR="00F34E8C" w:rsidRPr="00A93041" w:rsidRDefault="00F34E8C" w:rsidP="00AE0CFA">
            <w:pPr>
              <w:pStyle w:val="BodyText"/>
              <w:spacing w:after="0"/>
              <w:jc w:val="left"/>
              <w:rPr>
                <w:rFonts w:ascii="Arial" w:eastAsia="Calibri" w:hAnsi="Arial" w:cs="Arial"/>
                <w:sz w:val="20"/>
              </w:rPr>
            </w:pPr>
            <w:r w:rsidRPr="00A93041">
              <w:rPr>
                <w:rFonts w:ascii="Arial" w:eastAsia="Calibri" w:hAnsi="Arial" w:cs="Arial"/>
                <w:sz w:val="20"/>
              </w:rPr>
              <w:t>hydrofluorocarbon</w:t>
            </w:r>
          </w:p>
        </w:tc>
      </w:tr>
      <w:tr w:rsidR="00F34E8C" w:rsidRPr="00A93041" w14:paraId="64C30C63" w14:textId="77777777" w:rsidTr="00AE0CFA">
        <w:tc>
          <w:tcPr>
            <w:tcW w:w="1526" w:type="dxa"/>
            <w:shd w:val="clear" w:color="auto" w:fill="auto"/>
          </w:tcPr>
          <w:p w14:paraId="0C85D5DF" w14:textId="77777777" w:rsidR="00F34E8C" w:rsidRPr="00A93041" w:rsidRDefault="00F34E8C" w:rsidP="00AE0CFA">
            <w:pPr>
              <w:pStyle w:val="BodyText"/>
              <w:spacing w:after="0"/>
              <w:jc w:val="left"/>
              <w:rPr>
                <w:rFonts w:ascii="Arial" w:eastAsia="Calibri" w:hAnsi="Arial" w:cs="Arial"/>
                <w:b/>
                <w:sz w:val="20"/>
              </w:rPr>
            </w:pPr>
            <w:r w:rsidRPr="00A93041">
              <w:rPr>
                <w:rFonts w:ascii="Arial" w:eastAsia="Calibri" w:hAnsi="Arial" w:cs="Arial"/>
                <w:b/>
                <w:sz w:val="20"/>
              </w:rPr>
              <w:t>IE</w:t>
            </w:r>
          </w:p>
        </w:tc>
        <w:tc>
          <w:tcPr>
            <w:tcW w:w="7092" w:type="dxa"/>
            <w:shd w:val="clear" w:color="auto" w:fill="auto"/>
          </w:tcPr>
          <w:p w14:paraId="056A942C" w14:textId="77777777" w:rsidR="00F34E8C" w:rsidRPr="00A93041" w:rsidRDefault="00F34E8C" w:rsidP="00AE0CFA">
            <w:pPr>
              <w:pStyle w:val="BodyText"/>
              <w:spacing w:after="0"/>
              <w:jc w:val="left"/>
              <w:rPr>
                <w:rFonts w:ascii="Arial" w:eastAsia="Calibri" w:hAnsi="Arial" w:cs="Arial"/>
                <w:sz w:val="20"/>
              </w:rPr>
            </w:pPr>
            <w:r w:rsidRPr="00A93041">
              <w:rPr>
                <w:rFonts w:ascii="Arial" w:eastAsia="Calibri" w:hAnsi="Arial" w:cs="Arial"/>
                <w:sz w:val="20"/>
              </w:rPr>
              <w:t>included elsewhere</w:t>
            </w:r>
          </w:p>
        </w:tc>
      </w:tr>
      <w:tr w:rsidR="00F34E8C" w:rsidRPr="00A93041" w14:paraId="7119E097" w14:textId="77777777" w:rsidTr="00AE0CFA">
        <w:tc>
          <w:tcPr>
            <w:tcW w:w="1526" w:type="dxa"/>
            <w:shd w:val="clear" w:color="auto" w:fill="auto"/>
          </w:tcPr>
          <w:p w14:paraId="29BF18D8" w14:textId="77777777" w:rsidR="00F34E8C" w:rsidRPr="00A93041" w:rsidRDefault="00F34E8C" w:rsidP="00AE0CFA">
            <w:pPr>
              <w:pStyle w:val="BodyText"/>
              <w:spacing w:after="0"/>
              <w:jc w:val="left"/>
              <w:rPr>
                <w:rFonts w:ascii="Arial" w:eastAsia="Calibri" w:hAnsi="Arial" w:cs="Arial"/>
                <w:b/>
                <w:sz w:val="20"/>
              </w:rPr>
            </w:pPr>
            <w:r w:rsidRPr="00A93041">
              <w:rPr>
                <w:rFonts w:ascii="Arial" w:eastAsia="Calibri" w:hAnsi="Arial" w:cs="Arial"/>
                <w:b/>
                <w:sz w:val="20"/>
              </w:rPr>
              <w:t>IEF</w:t>
            </w:r>
          </w:p>
        </w:tc>
        <w:tc>
          <w:tcPr>
            <w:tcW w:w="7092" w:type="dxa"/>
            <w:shd w:val="clear" w:color="auto" w:fill="auto"/>
          </w:tcPr>
          <w:p w14:paraId="2328D902" w14:textId="77777777" w:rsidR="00F34E8C" w:rsidRPr="00A93041" w:rsidRDefault="00F34E8C" w:rsidP="00AE0CFA">
            <w:pPr>
              <w:pStyle w:val="BodyText"/>
              <w:spacing w:after="0"/>
              <w:jc w:val="left"/>
              <w:rPr>
                <w:rFonts w:ascii="Arial" w:eastAsia="Calibri" w:hAnsi="Arial" w:cs="Arial"/>
                <w:sz w:val="20"/>
              </w:rPr>
            </w:pPr>
            <w:r w:rsidRPr="00A93041">
              <w:rPr>
                <w:rFonts w:ascii="Arial" w:eastAsia="Calibri" w:hAnsi="Arial" w:cs="Arial"/>
                <w:sz w:val="20"/>
              </w:rPr>
              <w:t>implied emission factor</w:t>
            </w:r>
          </w:p>
        </w:tc>
      </w:tr>
      <w:tr w:rsidR="00F34E8C" w:rsidRPr="00A93041" w14:paraId="5970642D" w14:textId="77777777" w:rsidTr="00AE0CFA">
        <w:tc>
          <w:tcPr>
            <w:tcW w:w="1526" w:type="dxa"/>
            <w:shd w:val="clear" w:color="auto" w:fill="auto"/>
          </w:tcPr>
          <w:p w14:paraId="08C9E9E9" w14:textId="77777777" w:rsidR="00F34E8C" w:rsidRPr="00A93041" w:rsidRDefault="00F34E8C" w:rsidP="00AE0CFA">
            <w:pPr>
              <w:pStyle w:val="BodyText"/>
              <w:spacing w:after="0"/>
              <w:jc w:val="left"/>
              <w:rPr>
                <w:rFonts w:ascii="Arial" w:eastAsia="Calibri" w:hAnsi="Arial" w:cs="Arial"/>
                <w:b/>
                <w:sz w:val="20"/>
              </w:rPr>
            </w:pPr>
            <w:r w:rsidRPr="00A93041">
              <w:rPr>
                <w:rFonts w:ascii="Arial" w:eastAsia="Calibri" w:hAnsi="Arial" w:cs="Arial"/>
                <w:b/>
                <w:sz w:val="20"/>
              </w:rPr>
              <w:t xml:space="preserve">IPCC </w:t>
            </w:r>
          </w:p>
        </w:tc>
        <w:tc>
          <w:tcPr>
            <w:tcW w:w="7092" w:type="dxa"/>
            <w:shd w:val="clear" w:color="auto" w:fill="auto"/>
          </w:tcPr>
          <w:p w14:paraId="451F363C" w14:textId="77777777" w:rsidR="00F34E8C" w:rsidRPr="00A93041" w:rsidRDefault="00F34E8C" w:rsidP="00AE0CFA">
            <w:pPr>
              <w:pStyle w:val="BodyText"/>
              <w:spacing w:after="0"/>
              <w:jc w:val="left"/>
              <w:rPr>
                <w:rFonts w:ascii="Arial" w:eastAsia="Calibri" w:hAnsi="Arial" w:cs="Arial"/>
                <w:sz w:val="20"/>
              </w:rPr>
            </w:pPr>
            <w:r w:rsidRPr="00A93041">
              <w:rPr>
                <w:rFonts w:ascii="Arial" w:eastAsia="Calibri" w:hAnsi="Arial" w:cs="Arial"/>
                <w:sz w:val="20"/>
              </w:rPr>
              <w:t>Intergovernmental Panel on Climate Change</w:t>
            </w:r>
          </w:p>
        </w:tc>
      </w:tr>
      <w:tr w:rsidR="00F34E8C" w:rsidRPr="00A93041" w14:paraId="0A2AE08B" w14:textId="77777777" w:rsidTr="00AE0CFA">
        <w:tc>
          <w:tcPr>
            <w:tcW w:w="1526" w:type="dxa"/>
            <w:shd w:val="clear" w:color="auto" w:fill="auto"/>
          </w:tcPr>
          <w:p w14:paraId="47BFFE05" w14:textId="77777777" w:rsidR="00F34E8C" w:rsidRPr="00A93041" w:rsidRDefault="00F34E8C" w:rsidP="00AE0CFA">
            <w:pPr>
              <w:pStyle w:val="BodyText"/>
              <w:spacing w:after="0"/>
              <w:jc w:val="left"/>
              <w:rPr>
                <w:rFonts w:ascii="Arial" w:eastAsia="Calibri" w:hAnsi="Arial" w:cs="Arial"/>
                <w:b/>
                <w:sz w:val="20"/>
              </w:rPr>
            </w:pPr>
            <w:r w:rsidRPr="00A93041">
              <w:rPr>
                <w:rFonts w:ascii="Arial" w:eastAsia="Calibri" w:hAnsi="Arial" w:cs="Arial"/>
                <w:b/>
                <w:sz w:val="20"/>
              </w:rPr>
              <w:t xml:space="preserve">IPPU </w:t>
            </w:r>
          </w:p>
        </w:tc>
        <w:tc>
          <w:tcPr>
            <w:tcW w:w="7092" w:type="dxa"/>
            <w:shd w:val="clear" w:color="auto" w:fill="auto"/>
          </w:tcPr>
          <w:p w14:paraId="2B80E055" w14:textId="77777777" w:rsidR="00F34E8C" w:rsidRPr="00A93041" w:rsidRDefault="00F34E8C" w:rsidP="00AE0CFA">
            <w:pPr>
              <w:pStyle w:val="BodyText"/>
              <w:spacing w:after="0"/>
              <w:jc w:val="left"/>
              <w:rPr>
                <w:rFonts w:ascii="Arial" w:eastAsia="Calibri" w:hAnsi="Arial" w:cs="Arial"/>
                <w:sz w:val="20"/>
              </w:rPr>
            </w:pPr>
            <w:r w:rsidRPr="00A93041">
              <w:rPr>
                <w:rFonts w:ascii="Arial" w:eastAsia="Calibri" w:hAnsi="Arial" w:cs="Arial"/>
                <w:sz w:val="20"/>
              </w:rPr>
              <w:t>Industrial Processes and Product Use</w:t>
            </w:r>
          </w:p>
        </w:tc>
      </w:tr>
      <w:tr w:rsidR="00F34E8C" w:rsidRPr="00A93041" w14:paraId="432F112D" w14:textId="77777777" w:rsidTr="00AE0CFA">
        <w:tc>
          <w:tcPr>
            <w:tcW w:w="1526" w:type="dxa"/>
            <w:shd w:val="clear" w:color="auto" w:fill="auto"/>
          </w:tcPr>
          <w:p w14:paraId="29F4E8CC" w14:textId="77777777" w:rsidR="00F34E8C" w:rsidRPr="00A93041" w:rsidRDefault="00F34E8C" w:rsidP="00AE0CFA">
            <w:pPr>
              <w:pStyle w:val="BodyText"/>
              <w:spacing w:after="0"/>
              <w:jc w:val="left"/>
              <w:rPr>
                <w:rFonts w:ascii="Arial" w:eastAsia="Calibri" w:hAnsi="Arial" w:cs="Arial"/>
                <w:b/>
                <w:sz w:val="20"/>
              </w:rPr>
            </w:pPr>
            <w:r w:rsidRPr="00A93041">
              <w:rPr>
                <w:rFonts w:ascii="Arial" w:hAnsi="Arial" w:cs="Arial"/>
                <w:b/>
                <w:sz w:val="20"/>
              </w:rPr>
              <w:t>IRENA</w:t>
            </w:r>
          </w:p>
        </w:tc>
        <w:tc>
          <w:tcPr>
            <w:tcW w:w="7092" w:type="dxa"/>
            <w:shd w:val="clear" w:color="auto" w:fill="auto"/>
          </w:tcPr>
          <w:p w14:paraId="3393ABB5" w14:textId="77777777" w:rsidR="00F34E8C" w:rsidRPr="00A93041" w:rsidRDefault="00F34E8C" w:rsidP="00AE0CFA">
            <w:pPr>
              <w:pStyle w:val="BodyText"/>
              <w:spacing w:after="0"/>
              <w:jc w:val="left"/>
              <w:rPr>
                <w:rFonts w:ascii="Arial" w:eastAsia="Calibri" w:hAnsi="Arial" w:cs="Arial"/>
                <w:sz w:val="20"/>
              </w:rPr>
            </w:pPr>
            <w:r w:rsidRPr="00A93041">
              <w:rPr>
                <w:rFonts w:ascii="Arial" w:hAnsi="Arial" w:cs="Arial"/>
                <w:sz w:val="20"/>
              </w:rPr>
              <w:t xml:space="preserve">International Renewable Energy Agency </w:t>
            </w:r>
          </w:p>
        </w:tc>
      </w:tr>
      <w:tr w:rsidR="00F34E8C" w:rsidRPr="00A93041" w14:paraId="101472A6" w14:textId="77777777" w:rsidTr="00AE0CFA">
        <w:tc>
          <w:tcPr>
            <w:tcW w:w="1526" w:type="dxa"/>
            <w:shd w:val="clear" w:color="auto" w:fill="auto"/>
          </w:tcPr>
          <w:p w14:paraId="7FB2BDB1" w14:textId="77777777" w:rsidR="00F34E8C" w:rsidRPr="00A93041" w:rsidRDefault="00F34E8C" w:rsidP="00AE0CFA">
            <w:pPr>
              <w:pStyle w:val="BodyText"/>
              <w:spacing w:after="0"/>
              <w:jc w:val="left"/>
              <w:rPr>
                <w:rFonts w:ascii="Arial" w:eastAsia="Calibri" w:hAnsi="Arial" w:cs="Arial"/>
                <w:b/>
                <w:sz w:val="20"/>
              </w:rPr>
            </w:pPr>
            <w:r w:rsidRPr="00A93041">
              <w:rPr>
                <w:rFonts w:ascii="Arial" w:eastAsia="Calibri" w:hAnsi="Arial" w:cs="Arial"/>
                <w:b/>
                <w:sz w:val="20"/>
              </w:rPr>
              <w:t>KP-LULUCF</w:t>
            </w:r>
          </w:p>
        </w:tc>
        <w:tc>
          <w:tcPr>
            <w:tcW w:w="7092" w:type="dxa"/>
            <w:shd w:val="clear" w:color="auto" w:fill="auto"/>
          </w:tcPr>
          <w:p w14:paraId="0724210C" w14:textId="77777777" w:rsidR="00F34E8C" w:rsidRPr="00A93041" w:rsidRDefault="00F34E8C" w:rsidP="00AE0CFA">
            <w:pPr>
              <w:pStyle w:val="BodyText"/>
              <w:spacing w:after="0"/>
              <w:jc w:val="left"/>
              <w:rPr>
                <w:rFonts w:ascii="Arial" w:eastAsia="Calibri" w:hAnsi="Arial" w:cs="Arial"/>
                <w:sz w:val="20"/>
              </w:rPr>
            </w:pPr>
            <w:r w:rsidRPr="00A93041">
              <w:rPr>
                <w:rFonts w:ascii="Arial" w:eastAsia="Calibri" w:hAnsi="Arial" w:cs="Arial"/>
                <w:sz w:val="20"/>
              </w:rPr>
              <w:t>Land Use, Land-use Change and Forestry activities under the Kyoto Protocol</w:t>
            </w:r>
          </w:p>
        </w:tc>
      </w:tr>
      <w:tr w:rsidR="00F34E8C" w:rsidRPr="00A93041" w14:paraId="53F24047" w14:textId="77777777" w:rsidTr="00AE0CFA">
        <w:tc>
          <w:tcPr>
            <w:tcW w:w="1526" w:type="dxa"/>
            <w:shd w:val="clear" w:color="auto" w:fill="auto"/>
          </w:tcPr>
          <w:p w14:paraId="7B7F0100" w14:textId="77777777" w:rsidR="00F34E8C" w:rsidRPr="00A93041" w:rsidRDefault="00F34E8C" w:rsidP="00AE0CFA">
            <w:pPr>
              <w:pStyle w:val="BodyText"/>
              <w:spacing w:after="0"/>
              <w:jc w:val="left"/>
              <w:rPr>
                <w:rFonts w:ascii="Arial" w:eastAsia="Calibri" w:hAnsi="Arial" w:cs="Arial"/>
                <w:b/>
                <w:sz w:val="20"/>
              </w:rPr>
            </w:pPr>
            <w:r w:rsidRPr="00A93041">
              <w:rPr>
                <w:rFonts w:ascii="Arial" w:eastAsia="Calibri" w:hAnsi="Arial" w:cs="Arial"/>
                <w:b/>
                <w:sz w:val="20"/>
              </w:rPr>
              <w:t>kt</w:t>
            </w:r>
          </w:p>
        </w:tc>
        <w:tc>
          <w:tcPr>
            <w:tcW w:w="7092" w:type="dxa"/>
            <w:shd w:val="clear" w:color="auto" w:fill="auto"/>
          </w:tcPr>
          <w:p w14:paraId="52564DC4" w14:textId="77777777" w:rsidR="00F34E8C" w:rsidRPr="00A93041" w:rsidRDefault="00F34E8C" w:rsidP="00AE0CFA">
            <w:pPr>
              <w:pStyle w:val="BodyText"/>
              <w:spacing w:after="0"/>
              <w:jc w:val="left"/>
              <w:rPr>
                <w:rFonts w:ascii="Arial" w:eastAsia="Calibri" w:hAnsi="Arial" w:cs="Arial"/>
                <w:sz w:val="20"/>
              </w:rPr>
            </w:pPr>
            <w:r w:rsidRPr="00A93041">
              <w:rPr>
                <w:rFonts w:ascii="Arial" w:eastAsia="Calibri" w:hAnsi="Arial" w:cs="Arial"/>
                <w:sz w:val="20"/>
              </w:rPr>
              <w:t>kilotonne(s)</w:t>
            </w:r>
          </w:p>
        </w:tc>
      </w:tr>
      <w:tr w:rsidR="00F34E8C" w:rsidRPr="00A93041" w14:paraId="66B55457" w14:textId="77777777" w:rsidTr="00AE0CFA">
        <w:tc>
          <w:tcPr>
            <w:tcW w:w="1526" w:type="dxa"/>
            <w:shd w:val="clear" w:color="auto" w:fill="auto"/>
          </w:tcPr>
          <w:p w14:paraId="0F98C919" w14:textId="77777777" w:rsidR="00F34E8C" w:rsidRPr="00A93041" w:rsidRDefault="00F34E8C" w:rsidP="00AE0CFA">
            <w:pPr>
              <w:pStyle w:val="BodyText"/>
              <w:spacing w:after="0"/>
              <w:jc w:val="left"/>
              <w:rPr>
                <w:rFonts w:ascii="Arial" w:eastAsia="Calibri" w:hAnsi="Arial" w:cs="Arial"/>
                <w:b/>
                <w:sz w:val="20"/>
              </w:rPr>
            </w:pPr>
            <w:r w:rsidRPr="00A93041">
              <w:rPr>
                <w:rFonts w:ascii="Arial" w:eastAsia="Calibri" w:hAnsi="Arial" w:cs="Arial"/>
                <w:b/>
                <w:sz w:val="20"/>
              </w:rPr>
              <w:t>LCDB</w:t>
            </w:r>
          </w:p>
        </w:tc>
        <w:tc>
          <w:tcPr>
            <w:tcW w:w="7092" w:type="dxa"/>
            <w:shd w:val="clear" w:color="auto" w:fill="auto"/>
          </w:tcPr>
          <w:p w14:paraId="73678DBC" w14:textId="77777777" w:rsidR="00F34E8C" w:rsidRPr="00A93041" w:rsidRDefault="00F34E8C" w:rsidP="00AE0CFA">
            <w:pPr>
              <w:pStyle w:val="BodyText"/>
              <w:spacing w:after="0"/>
              <w:jc w:val="left"/>
              <w:rPr>
                <w:rFonts w:ascii="Arial" w:eastAsia="Calibri" w:hAnsi="Arial" w:cs="Arial"/>
                <w:sz w:val="20"/>
              </w:rPr>
            </w:pPr>
            <w:r w:rsidRPr="00A93041">
              <w:rPr>
                <w:rFonts w:ascii="Arial" w:eastAsia="Calibri" w:hAnsi="Arial" w:cs="Arial"/>
                <w:sz w:val="20"/>
              </w:rPr>
              <w:t>Land Cover Database</w:t>
            </w:r>
          </w:p>
        </w:tc>
      </w:tr>
      <w:tr w:rsidR="00F34E8C" w:rsidRPr="00A93041" w14:paraId="20CD4C73" w14:textId="77777777" w:rsidTr="00AE0CFA">
        <w:tc>
          <w:tcPr>
            <w:tcW w:w="1526" w:type="dxa"/>
            <w:shd w:val="clear" w:color="auto" w:fill="auto"/>
          </w:tcPr>
          <w:p w14:paraId="55716EF0" w14:textId="77777777" w:rsidR="00F34E8C" w:rsidRPr="00A93041" w:rsidRDefault="00F34E8C" w:rsidP="00AE0CFA">
            <w:pPr>
              <w:pStyle w:val="BodyText"/>
              <w:spacing w:after="0"/>
              <w:jc w:val="left"/>
              <w:rPr>
                <w:rFonts w:ascii="Arial" w:eastAsia="Calibri" w:hAnsi="Arial" w:cs="Arial"/>
                <w:b/>
                <w:sz w:val="20"/>
              </w:rPr>
            </w:pPr>
            <w:r w:rsidRPr="00A93041">
              <w:rPr>
                <w:rFonts w:ascii="Arial" w:eastAsia="Calibri" w:hAnsi="Arial" w:cs="Arial"/>
                <w:b/>
                <w:sz w:val="20"/>
              </w:rPr>
              <w:t xml:space="preserve">lCER </w:t>
            </w:r>
          </w:p>
        </w:tc>
        <w:tc>
          <w:tcPr>
            <w:tcW w:w="7092" w:type="dxa"/>
            <w:shd w:val="clear" w:color="auto" w:fill="auto"/>
          </w:tcPr>
          <w:p w14:paraId="7BB9C526" w14:textId="77777777" w:rsidR="00F34E8C" w:rsidRPr="00A93041" w:rsidRDefault="00F34E8C" w:rsidP="00AE0CFA">
            <w:pPr>
              <w:pStyle w:val="BodyText"/>
              <w:spacing w:after="0"/>
              <w:jc w:val="left"/>
              <w:rPr>
                <w:rFonts w:ascii="Arial" w:eastAsia="Calibri" w:hAnsi="Arial" w:cs="Arial"/>
                <w:sz w:val="20"/>
              </w:rPr>
            </w:pPr>
            <w:r w:rsidRPr="00A93041">
              <w:rPr>
                <w:rFonts w:ascii="Arial" w:eastAsia="Calibri" w:hAnsi="Arial" w:cs="Arial"/>
                <w:sz w:val="20"/>
              </w:rPr>
              <w:t>long-term certified emission reduction unit</w:t>
            </w:r>
          </w:p>
        </w:tc>
      </w:tr>
      <w:tr w:rsidR="00F34E8C" w:rsidRPr="00A93041" w14:paraId="3704FE14" w14:textId="77777777" w:rsidTr="00AE0CFA">
        <w:tc>
          <w:tcPr>
            <w:tcW w:w="1526" w:type="dxa"/>
            <w:shd w:val="clear" w:color="auto" w:fill="auto"/>
          </w:tcPr>
          <w:p w14:paraId="7EFAA52D" w14:textId="77777777" w:rsidR="00F34E8C" w:rsidRPr="00A93041" w:rsidRDefault="00F34E8C" w:rsidP="00AE0CFA">
            <w:pPr>
              <w:pStyle w:val="BodyText"/>
              <w:spacing w:after="0"/>
              <w:jc w:val="left"/>
              <w:rPr>
                <w:rFonts w:ascii="Arial" w:eastAsia="Calibri" w:hAnsi="Arial" w:cs="Arial"/>
                <w:b/>
                <w:sz w:val="20"/>
              </w:rPr>
            </w:pPr>
            <w:r w:rsidRPr="00A93041">
              <w:rPr>
                <w:rFonts w:ascii="Arial" w:eastAsia="Calibri" w:hAnsi="Arial" w:cs="Arial"/>
                <w:b/>
                <w:sz w:val="20"/>
              </w:rPr>
              <w:t>LFG</w:t>
            </w:r>
          </w:p>
        </w:tc>
        <w:tc>
          <w:tcPr>
            <w:tcW w:w="7092" w:type="dxa"/>
            <w:shd w:val="clear" w:color="auto" w:fill="auto"/>
          </w:tcPr>
          <w:p w14:paraId="709FA189" w14:textId="77777777" w:rsidR="00F34E8C" w:rsidRPr="00A93041" w:rsidRDefault="00F34E8C" w:rsidP="00AE0CFA">
            <w:pPr>
              <w:pStyle w:val="BodyText"/>
              <w:spacing w:after="0"/>
              <w:jc w:val="left"/>
              <w:rPr>
                <w:rFonts w:ascii="Arial" w:eastAsia="Calibri" w:hAnsi="Arial" w:cs="Arial"/>
                <w:sz w:val="20"/>
              </w:rPr>
            </w:pPr>
            <w:r w:rsidRPr="00A93041">
              <w:rPr>
                <w:rFonts w:ascii="Arial" w:eastAsia="Calibri" w:hAnsi="Arial" w:cs="Arial"/>
                <w:sz w:val="20"/>
              </w:rPr>
              <w:t>landfill gas</w:t>
            </w:r>
          </w:p>
        </w:tc>
      </w:tr>
      <w:tr w:rsidR="00F34E8C" w:rsidRPr="00A93041" w14:paraId="593D73B3" w14:textId="77777777" w:rsidTr="00AE0CFA">
        <w:tc>
          <w:tcPr>
            <w:tcW w:w="1526" w:type="dxa"/>
            <w:shd w:val="clear" w:color="auto" w:fill="auto"/>
          </w:tcPr>
          <w:p w14:paraId="5594221A" w14:textId="77777777" w:rsidR="00F34E8C" w:rsidRPr="00A93041" w:rsidRDefault="00F34E8C" w:rsidP="00AE0CFA">
            <w:pPr>
              <w:pStyle w:val="BodyText"/>
              <w:spacing w:after="0"/>
              <w:jc w:val="left"/>
              <w:rPr>
                <w:rFonts w:ascii="Arial" w:eastAsia="Calibri" w:hAnsi="Arial" w:cs="Arial"/>
                <w:b/>
                <w:sz w:val="20"/>
              </w:rPr>
            </w:pPr>
            <w:r w:rsidRPr="00A93041">
              <w:rPr>
                <w:rFonts w:ascii="Arial" w:eastAsia="Calibri" w:hAnsi="Arial" w:cs="Arial"/>
                <w:b/>
                <w:sz w:val="20"/>
              </w:rPr>
              <w:t>LIC</w:t>
            </w:r>
          </w:p>
        </w:tc>
        <w:tc>
          <w:tcPr>
            <w:tcW w:w="7092" w:type="dxa"/>
            <w:shd w:val="clear" w:color="auto" w:fill="auto"/>
          </w:tcPr>
          <w:p w14:paraId="2EED1B4F" w14:textId="77777777" w:rsidR="00F34E8C" w:rsidRPr="00A93041" w:rsidRDefault="00F34E8C" w:rsidP="00AE0CFA">
            <w:pPr>
              <w:pStyle w:val="BodyText"/>
              <w:spacing w:after="0"/>
              <w:jc w:val="left"/>
              <w:rPr>
                <w:rFonts w:ascii="Arial" w:eastAsia="Calibri" w:hAnsi="Arial" w:cs="Arial"/>
                <w:sz w:val="20"/>
              </w:rPr>
            </w:pPr>
            <w:r w:rsidRPr="00A93041">
              <w:rPr>
                <w:rFonts w:ascii="Arial" w:eastAsia="Calibri" w:hAnsi="Arial" w:cs="Arial"/>
                <w:sz w:val="20"/>
              </w:rPr>
              <w:t>Livestock Improvement Corporation</w:t>
            </w:r>
          </w:p>
        </w:tc>
      </w:tr>
      <w:tr w:rsidR="00F34E8C" w:rsidRPr="00A93041" w14:paraId="2DA90943" w14:textId="77777777" w:rsidTr="00AE0CFA">
        <w:tc>
          <w:tcPr>
            <w:tcW w:w="1526" w:type="dxa"/>
            <w:shd w:val="clear" w:color="auto" w:fill="auto"/>
          </w:tcPr>
          <w:p w14:paraId="258C773D" w14:textId="77777777" w:rsidR="00F34E8C" w:rsidRPr="00A93041" w:rsidRDefault="00F34E8C" w:rsidP="00AE0CFA">
            <w:pPr>
              <w:pStyle w:val="BodyText"/>
              <w:spacing w:after="0"/>
              <w:jc w:val="left"/>
              <w:rPr>
                <w:rFonts w:ascii="Arial" w:eastAsia="Calibri" w:hAnsi="Arial" w:cs="Arial"/>
                <w:b/>
                <w:sz w:val="20"/>
              </w:rPr>
            </w:pPr>
            <w:r w:rsidRPr="00A93041">
              <w:rPr>
                <w:rFonts w:ascii="Arial" w:eastAsia="Calibri" w:hAnsi="Arial" w:cs="Arial"/>
                <w:b/>
                <w:sz w:val="20"/>
              </w:rPr>
              <w:t>LiDAR</w:t>
            </w:r>
          </w:p>
        </w:tc>
        <w:tc>
          <w:tcPr>
            <w:tcW w:w="7092" w:type="dxa"/>
            <w:shd w:val="clear" w:color="auto" w:fill="auto"/>
          </w:tcPr>
          <w:p w14:paraId="18C73781" w14:textId="77777777" w:rsidR="00F34E8C" w:rsidRPr="00A93041" w:rsidRDefault="00F34E8C" w:rsidP="00AE0CFA">
            <w:pPr>
              <w:pStyle w:val="BodyText"/>
              <w:spacing w:after="0"/>
              <w:jc w:val="left"/>
              <w:rPr>
                <w:rFonts w:ascii="Arial" w:eastAsia="Calibri" w:hAnsi="Arial" w:cs="Arial"/>
                <w:sz w:val="20"/>
              </w:rPr>
            </w:pPr>
            <w:r w:rsidRPr="00A93041">
              <w:rPr>
                <w:rFonts w:ascii="Arial" w:eastAsia="Calibri" w:hAnsi="Arial" w:cs="Arial"/>
                <w:sz w:val="20"/>
              </w:rPr>
              <w:t>Light Detection and Ranging</w:t>
            </w:r>
          </w:p>
        </w:tc>
      </w:tr>
      <w:tr w:rsidR="00F34E8C" w:rsidRPr="00A93041" w14:paraId="1E580452" w14:textId="77777777" w:rsidTr="00AE0CFA">
        <w:tc>
          <w:tcPr>
            <w:tcW w:w="1526" w:type="dxa"/>
            <w:shd w:val="clear" w:color="auto" w:fill="auto"/>
          </w:tcPr>
          <w:p w14:paraId="48D5080F" w14:textId="77777777" w:rsidR="00F34E8C" w:rsidRPr="00A93041" w:rsidRDefault="00F34E8C" w:rsidP="00AE0CFA">
            <w:pPr>
              <w:pStyle w:val="BodyText"/>
              <w:spacing w:after="0"/>
              <w:jc w:val="left"/>
              <w:rPr>
                <w:rFonts w:ascii="Arial" w:eastAsia="Calibri" w:hAnsi="Arial" w:cs="Arial"/>
                <w:b/>
                <w:sz w:val="20"/>
              </w:rPr>
            </w:pPr>
            <w:r w:rsidRPr="00A93041">
              <w:rPr>
                <w:rFonts w:ascii="Arial" w:hAnsi="Arial" w:cs="Arial"/>
                <w:b/>
                <w:sz w:val="20"/>
                <w:lang w:eastAsia="en-GB"/>
              </w:rPr>
              <w:t>LPG</w:t>
            </w:r>
          </w:p>
        </w:tc>
        <w:tc>
          <w:tcPr>
            <w:tcW w:w="7092" w:type="dxa"/>
            <w:shd w:val="clear" w:color="auto" w:fill="auto"/>
          </w:tcPr>
          <w:p w14:paraId="2FA3148C" w14:textId="77777777" w:rsidR="00F34E8C" w:rsidRPr="00A93041" w:rsidRDefault="00F34E8C" w:rsidP="00AE0CFA">
            <w:pPr>
              <w:pStyle w:val="BodyText"/>
              <w:spacing w:after="0"/>
              <w:jc w:val="left"/>
              <w:rPr>
                <w:rFonts w:ascii="Arial" w:eastAsia="Calibri" w:hAnsi="Arial" w:cs="Arial"/>
                <w:sz w:val="20"/>
              </w:rPr>
            </w:pPr>
            <w:r w:rsidRPr="00A93041">
              <w:rPr>
                <w:rFonts w:ascii="Arial" w:hAnsi="Arial" w:cs="Arial"/>
                <w:sz w:val="20"/>
              </w:rPr>
              <w:t>liquefied petroleu</w:t>
            </w:r>
            <w:r w:rsidRPr="00A93041">
              <w:rPr>
                <w:rFonts w:ascii="Arial" w:hAnsi="Arial" w:cs="Arial"/>
                <w:sz w:val="20"/>
                <w:lang w:eastAsia="en-GB"/>
              </w:rPr>
              <w:t>m gas</w:t>
            </w:r>
          </w:p>
        </w:tc>
      </w:tr>
      <w:tr w:rsidR="00F34E8C" w:rsidRPr="00A93041" w14:paraId="7FA557F1" w14:textId="77777777" w:rsidTr="00AE0CFA">
        <w:tc>
          <w:tcPr>
            <w:tcW w:w="1526" w:type="dxa"/>
            <w:shd w:val="clear" w:color="auto" w:fill="auto"/>
          </w:tcPr>
          <w:p w14:paraId="31AA7FE1" w14:textId="77777777" w:rsidR="00F34E8C" w:rsidRPr="00A93041" w:rsidRDefault="00F34E8C" w:rsidP="00AE0CFA">
            <w:pPr>
              <w:pStyle w:val="BodyText"/>
              <w:spacing w:after="0"/>
              <w:jc w:val="left"/>
              <w:rPr>
                <w:rFonts w:ascii="Arial" w:eastAsia="Calibri" w:hAnsi="Arial" w:cs="Arial"/>
                <w:b/>
                <w:sz w:val="20"/>
              </w:rPr>
            </w:pPr>
            <w:r w:rsidRPr="00A93041">
              <w:rPr>
                <w:rFonts w:ascii="Arial" w:eastAsia="Calibri" w:hAnsi="Arial" w:cs="Arial"/>
                <w:b/>
                <w:sz w:val="20"/>
              </w:rPr>
              <w:t>LUCAS</w:t>
            </w:r>
          </w:p>
        </w:tc>
        <w:tc>
          <w:tcPr>
            <w:tcW w:w="7092" w:type="dxa"/>
            <w:shd w:val="clear" w:color="auto" w:fill="auto"/>
          </w:tcPr>
          <w:p w14:paraId="74F89627" w14:textId="77777777" w:rsidR="00F34E8C" w:rsidRPr="00A93041" w:rsidRDefault="00F34E8C" w:rsidP="00AE0CFA">
            <w:pPr>
              <w:pStyle w:val="BodyText"/>
              <w:spacing w:after="0"/>
              <w:jc w:val="left"/>
              <w:rPr>
                <w:rFonts w:ascii="Arial" w:eastAsia="Calibri" w:hAnsi="Arial" w:cs="Arial"/>
                <w:sz w:val="20"/>
              </w:rPr>
            </w:pPr>
            <w:r w:rsidRPr="00A93041">
              <w:rPr>
                <w:rFonts w:ascii="Arial" w:eastAsia="Calibri" w:hAnsi="Arial" w:cs="Arial"/>
                <w:sz w:val="20"/>
              </w:rPr>
              <w:t>Land Use Carbon Analysis System</w:t>
            </w:r>
          </w:p>
        </w:tc>
      </w:tr>
      <w:tr w:rsidR="00F34E8C" w:rsidRPr="00A93041" w14:paraId="69749795" w14:textId="77777777" w:rsidTr="00AE0CFA">
        <w:tc>
          <w:tcPr>
            <w:tcW w:w="1526" w:type="dxa"/>
            <w:shd w:val="clear" w:color="auto" w:fill="auto"/>
          </w:tcPr>
          <w:p w14:paraId="052BA979" w14:textId="77777777" w:rsidR="00F34E8C" w:rsidRPr="00A93041" w:rsidRDefault="00F34E8C" w:rsidP="00AE0CFA">
            <w:pPr>
              <w:pStyle w:val="BodyText"/>
              <w:spacing w:after="0"/>
              <w:jc w:val="left"/>
              <w:rPr>
                <w:rFonts w:ascii="Arial" w:eastAsia="Calibri" w:hAnsi="Arial" w:cs="Arial"/>
                <w:b/>
                <w:sz w:val="20"/>
              </w:rPr>
            </w:pPr>
            <w:r w:rsidRPr="00A93041">
              <w:rPr>
                <w:rFonts w:ascii="Arial" w:eastAsia="Calibri" w:hAnsi="Arial" w:cs="Arial"/>
                <w:b/>
                <w:sz w:val="20"/>
              </w:rPr>
              <w:t>LUE</w:t>
            </w:r>
          </w:p>
        </w:tc>
        <w:tc>
          <w:tcPr>
            <w:tcW w:w="7092" w:type="dxa"/>
            <w:shd w:val="clear" w:color="auto" w:fill="auto"/>
          </w:tcPr>
          <w:p w14:paraId="7711303D" w14:textId="77777777" w:rsidR="00F34E8C" w:rsidRPr="00A93041" w:rsidRDefault="00F34E8C" w:rsidP="00AE0CFA">
            <w:pPr>
              <w:pStyle w:val="BodyText"/>
              <w:spacing w:after="0"/>
              <w:jc w:val="left"/>
              <w:rPr>
                <w:rFonts w:ascii="Arial" w:eastAsia="Calibri" w:hAnsi="Arial" w:cs="Arial"/>
                <w:sz w:val="20"/>
              </w:rPr>
            </w:pPr>
            <w:r w:rsidRPr="00A93041">
              <w:rPr>
                <w:rFonts w:ascii="Arial" w:eastAsia="Calibri" w:hAnsi="Arial" w:cs="Arial"/>
                <w:sz w:val="20"/>
              </w:rPr>
              <w:t>land use effect</w:t>
            </w:r>
          </w:p>
        </w:tc>
      </w:tr>
      <w:tr w:rsidR="00F34E8C" w:rsidRPr="00A93041" w14:paraId="086215EC" w14:textId="77777777" w:rsidTr="00AE0CFA">
        <w:tc>
          <w:tcPr>
            <w:tcW w:w="1526" w:type="dxa"/>
            <w:shd w:val="clear" w:color="auto" w:fill="auto"/>
          </w:tcPr>
          <w:p w14:paraId="38E8200C" w14:textId="77777777" w:rsidR="00F34E8C" w:rsidRPr="00A93041" w:rsidRDefault="00F34E8C" w:rsidP="00AE0CFA">
            <w:pPr>
              <w:pStyle w:val="BodyText"/>
              <w:spacing w:after="0"/>
              <w:jc w:val="left"/>
              <w:rPr>
                <w:rFonts w:ascii="Arial" w:eastAsia="Calibri" w:hAnsi="Arial" w:cs="Arial"/>
                <w:b/>
                <w:sz w:val="20"/>
              </w:rPr>
            </w:pPr>
            <w:r w:rsidRPr="00A93041">
              <w:rPr>
                <w:rFonts w:ascii="Arial" w:eastAsia="Calibri" w:hAnsi="Arial" w:cs="Arial"/>
                <w:b/>
                <w:sz w:val="20"/>
              </w:rPr>
              <w:lastRenderedPageBreak/>
              <w:t>LULUCF</w:t>
            </w:r>
          </w:p>
        </w:tc>
        <w:tc>
          <w:tcPr>
            <w:tcW w:w="7092" w:type="dxa"/>
            <w:shd w:val="clear" w:color="auto" w:fill="auto"/>
          </w:tcPr>
          <w:p w14:paraId="3C223BEF" w14:textId="77777777" w:rsidR="00F34E8C" w:rsidRPr="00A93041" w:rsidRDefault="00F34E8C" w:rsidP="00AE0CFA">
            <w:pPr>
              <w:pStyle w:val="BodyText"/>
              <w:spacing w:after="0"/>
              <w:jc w:val="left"/>
              <w:rPr>
                <w:rFonts w:ascii="Arial" w:eastAsia="Calibri" w:hAnsi="Arial" w:cs="Arial"/>
                <w:sz w:val="20"/>
              </w:rPr>
            </w:pPr>
            <w:r w:rsidRPr="00A93041">
              <w:rPr>
                <w:rFonts w:ascii="Arial" w:eastAsia="Calibri" w:hAnsi="Arial" w:cs="Arial"/>
                <w:sz w:val="20"/>
              </w:rPr>
              <w:t>Land Use, Land-Use Change and Forestry</w:t>
            </w:r>
          </w:p>
        </w:tc>
      </w:tr>
      <w:tr w:rsidR="00F34E8C" w:rsidRPr="00A93041" w14:paraId="1E5AE1C9" w14:textId="77777777" w:rsidTr="00AE0CFA">
        <w:tc>
          <w:tcPr>
            <w:tcW w:w="1526" w:type="dxa"/>
            <w:shd w:val="clear" w:color="auto" w:fill="auto"/>
          </w:tcPr>
          <w:p w14:paraId="35EFA6E6" w14:textId="77777777" w:rsidR="00F34E8C" w:rsidRPr="00A93041" w:rsidRDefault="00F34E8C" w:rsidP="00AE0CFA">
            <w:pPr>
              <w:pStyle w:val="BodyText"/>
              <w:spacing w:after="0"/>
              <w:jc w:val="left"/>
              <w:rPr>
                <w:rFonts w:ascii="Arial" w:eastAsia="Calibri" w:hAnsi="Arial" w:cs="Arial"/>
                <w:b/>
                <w:sz w:val="20"/>
              </w:rPr>
            </w:pPr>
            <w:r w:rsidRPr="00A93041">
              <w:rPr>
                <w:rFonts w:ascii="Arial" w:eastAsia="Calibri" w:hAnsi="Arial" w:cs="Arial"/>
                <w:b/>
                <w:sz w:val="20"/>
              </w:rPr>
              <w:t>LUM</w:t>
            </w:r>
          </w:p>
        </w:tc>
        <w:tc>
          <w:tcPr>
            <w:tcW w:w="7092" w:type="dxa"/>
            <w:shd w:val="clear" w:color="auto" w:fill="auto"/>
          </w:tcPr>
          <w:p w14:paraId="45E286D1" w14:textId="77777777" w:rsidR="00F34E8C" w:rsidRPr="00A93041" w:rsidRDefault="00F34E8C" w:rsidP="00AE0CFA">
            <w:pPr>
              <w:pStyle w:val="BodyText"/>
              <w:spacing w:after="0"/>
              <w:jc w:val="left"/>
              <w:rPr>
                <w:rFonts w:ascii="Arial" w:eastAsia="Calibri" w:hAnsi="Arial" w:cs="Arial"/>
                <w:sz w:val="20"/>
              </w:rPr>
            </w:pPr>
            <w:r w:rsidRPr="00A93041">
              <w:rPr>
                <w:rFonts w:ascii="Arial" w:eastAsia="Calibri" w:hAnsi="Arial" w:cs="Arial"/>
                <w:sz w:val="20"/>
              </w:rPr>
              <w:t>land use map</w:t>
            </w:r>
          </w:p>
        </w:tc>
      </w:tr>
      <w:tr w:rsidR="00F34E8C" w:rsidRPr="00A93041" w14:paraId="7586221F" w14:textId="77777777" w:rsidTr="00AE0CFA">
        <w:tc>
          <w:tcPr>
            <w:tcW w:w="1526" w:type="dxa"/>
            <w:shd w:val="clear" w:color="auto" w:fill="auto"/>
          </w:tcPr>
          <w:p w14:paraId="1F94980A" w14:textId="77777777" w:rsidR="00F34E8C" w:rsidRPr="00A93041" w:rsidRDefault="00F34E8C" w:rsidP="00AE0CFA">
            <w:pPr>
              <w:pStyle w:val="BodyText"/>
              <w:spacing w:after="0"/>
              <w:jc w:val="left"/>
              <w:rPr>
                <w:rFonts w:ascii="Arial" w:eastAsia="Calibri" w:hAnsi="Arial" w:cs="Arial"/>
                <w:b/>
                <w:sz w:val="20"/>
              </w:rPr>
            </w:pPr>
            <w:r w:rsidRPr="00A93041">
              <w:rPr>
                <w:rFonts w:ascii="Arial" w:eastAsia="Calibri" w:hAnsi="Arial" w:cs="Arial"/>
                <w:b/>
                <w:sz w:val="20"/>
              </w:rPr>
              <w:t xml:space="preserve">MBIE </w:t>
            </w:r>
          </w:p>
        </w:tc>
        <w:tc>
          <w:tcPr>
            <w:tcW w:w="7092" w:type="dxa"/>
            <w:shd w:val="clear" w:color="auto" w:fill="auto"/>
          </w:tcPr>
          <w:p w14:paraId="22997E11" w14:textId="77777777" w:rsidR="00F34E8C" w:rsidRPr="00A93041" w:rsidRDefault="00F34E8C" w:rsidP="00AE0CFA">
            <w:pPr>
              <w:pStyle w:val="BodyText"/>
              <w:spacing w:after="0"/>
              <w:jc w:val="left"/>
              <w:rPr>
                <w:rFonts w:ascii="Arial" w:eastAsia="Calibri" w:hAnsi="Arial" w:cs="Arial"/>
                <w:sz w:val="20"/>
              </w:rPr>
            </w:pPr>
            <w:r w:rsidRPr="00A93041">
              <w:rPr>
                <w:rFonts w:ascii="Arial" w:eastAsia="Calibri" w:hAnsi="Arial" w:cs="Arial"/>
                <w:sz w:val="20"/>
              </w:rPr>
              <w:t>Ministry of Business, Innovation and Employment</w:t>
            </w:r>
          </w:p>
        </w:tc>
      </w:tr>
      <w:tr w:rsidR="00F34E8C" w:rsidRPr="00A93041" w14:paraId="38279CA8" w14:textId="77777777" w:rsidTr="00AE0CFA">
        <w:tc>
          <w:tcPr>
            <w:tcW w:w="1526" w:type="dxa"/>
            <w:shd w:val="clear" w:color="auto" w:fill="auto"/>
          </w:tcPr>
          <w:p w14:paraId="35D7F832" w14:textId="77777777" w:rsidR="00F34E8C" w:rsidRPr="00A93041" w:rsidRDefault="00F34E8C" w:rsidP="00AE0CFA">
            <w:pPr>
              <w:pStyle w:val="BodyText"/>
              <w:spacing w:after="0"/>
              <w:jc w:val="left"/>
              <w:rPr>
                <w:rFonts w:ascii="Arial" w:eastAsia="Calibri" w:hAnsi="Arial" w:cs="Arial"/>
                <w:b/>
                <w:sz w:val="20"/>
              </w:rPr>
            </w:pPr>
            <w:r w:rsidRPr="00A93041">
              <w:rPr>
                <w:rFonts w:ascii="Arial" w:eastAsia="Calibri" w:hAnsi="Arial" w:cs="Arial"/>
                <w:b/>
                <w:sz w:val="20"/>
              </w:rPr>
              <w:t>MCF</w:t>
            </w:r>
          </w:p>
        </w:tc>
        <w:tc>
          <w:tcPr>
            <w:tcW w:w="7092" w:type="dxa"/>
            <w:shd w:val="clear" w:color="auto" w:fill="auto"/>
          </w:tcPr>
          <w:p w14:paraId="39597699" w14:textId="77777777" w:rsidR="00F34E8C" w:rsidRPr="00A93041" w:rsidRDefault="00F34E8C" w:rsidP="00AE0CFA">
            <w:pPr>
              <w:pStyle w:val="BodyText"/>
              <w:spacing w:after="0"/>
              <w:jc w:val="left"/>
              <w:rPr>
                <w:rFonts w:ascii="Arial" w:eastAsia="Calibri" w:hAnsi="Arial" w:cs="Arial"/>
                <w:sz w:val="20"/>
              </w:rPr>
            </w:pPr>
            <w:r w:rsidRPr="00A93041">
              <w:rPr>
                <w:rFonts w:ascii="Arial" w:eastAsia="Calibri" w:hAnsi="Arial" w:cs="Arial"/>
                <w:sz w:val="20"/>
              </w:rPr>
              <w:t>methane correction factor</w:t>
            </w:r>
          </w:p>
        </w:tc>
      </w:tr>
      <w:tr w:rsidR="00F34E8C" w:rsidRPr="00A93041" w14:paraId="4E532EFC" w14:textId="77777777" w:rsidTr="00AE0CFA">
        <w:tc>
          <w:tcPr>
            <w:tcW w:w="1526" w:type="dxa"/>
            <w:shd w:val="clear" w:color="auto" w:fill="auto"/>
          </w:tcPr>
          <w:p w14:paraId="62B1A109" w14:textId="77777777" w:rsidR="00F34E8C" w:rsidRPr="00A93041" w:rsidRDefault="00F34E8C" w:rsidP="00AE0CFA">
            <w:pPr>
              <w:pStyle w:val="BodyText"/>
              <w:spacing w:after="0"/>
              <w:jc w:val="left"/>
              <w:rPr>
                <w:rFonts w:ascii="Arial" w:eastAsia="Calibri" w:hAnsi="Arial" w:cs="Arial"/>
                <w:b/>
                <w:sz w:val="20"/>
              </w:rPr>
            </w:pPr>
            <w:r w:rsidRPr="00A93041">
              <w:rPr>
                <w:rFonts w:ascii="Arial" w:eastAsia="Calibri" w:hAnsi="Arial" w:cs="Arial"/>
                <w:b/>
                <w:sz w:val="20"/>
              </w:rPr>
              <w:t>MDI</w:t>
            </w:r>
          </w:p>
        </w:tc>
        <w:tc>
          <w:tcPr>
            <w:tcW w:w="7092" w:type="dxa"/>
            <w:shd w:val="clear" w:color="auto" w:fill="auto"/>
          </w:tcPr>
          <w:p w14:paraId="537BC576" w14:textId="77777777" w:rsidR="00F34E8C" w:rsidRPr="00A93041" w:rsidRDefault="00F34E8C" w:rsidP="00AE0CFA">
            <w:pPr>
              <w:pStyle w:val="BodyText"/>
              <w:spacing w:after="0"/>
              <w:jc w:val="left"/>
              <w:rPr>
                <w:rFonts w:ascii="Arial" w:eastAsia="Calibri" w:hAnsi="Arial" w:cs="Arial"/>
                <w:sz w:val="20"/>
              </w:rPr>
            </w:pPr>
            <w:r w:rsidRPr="00A93041">
              <w:rPr>
                <w:rFonts w:ascii="Arial" w:eastAsia="Calibri" w:hAnsi="Arial" w:cs="Arial"/>
                <w:sz w:val="20"/>
              </w:rPr>
              <w:t>metered dose inhaler</w:t>
            </w:r>
          </w:p>
        </w:tc>
      </w:tr>
      <w:tr w:rsidR="00F34E8C" w:rsidRPr="00A93041" w14:paraId="1EBA1DB9" w14:textId="77777777" w:rsidTr="00AE0CFA">
        <w:tc>
          <w:tcPr>
            <w:tcW w:w="1526" w:type="dxa"/>
            <w:shd w:val="clear" w:color="auto" w:fill="auto"/>
          </w:tcPr>
          <w:p w14:paraId="683E61B2" w14:textId="77777777" w:rsidR="00F34E8C" w:rsidRPr="00A93041" w:rsidRDefault="00F34E8C" w:rsidP="00AE0CFA">
            <w:pPr>
              <w:pStyle w:val="BodyText"/>
              <w:spacing w:after="0"/>
              <w:jc w:val="left"/>
              <w:rPr>
                <w:rFonts w:ascii="Arial" w:eastAsia="Calibri" w:hAnsi="Arial" w:cs="Arial"/>
                <w:b/>
                <w:sz w:val="20"/>
              </w:rPr>
            </w:pPr>
            <w:r w:rsidRPr="00A93041">
              <w:rPr>
                <w:rFonts w:ascii="Arial" w:eastAsia="Calibri" w:hAnsi="Arial" w:cs="Arial"/>
                <w:b/>
                <w:sz w:val="20"/>
              </w:rPr>
              <w:t>MDO</w:t>
            </w:r>
          </w:p>
        </w:tc>
        <w:tc>
          <w:tcPr>
            <w:tcW w:w="7092" w:type="dxa"/>
            <w:shd w:val="clear" w:color="auto" w:fill="auto"/>
          </w:tcPr>
          <w:p w14:paraId="3C36D5F0" w14:textId="77777777" w:rsidR="00F34E8C" w:rsidRPr="00A93041" w:rsidRDefault="00F34E8C" w:rsidP="00AE0CFA">
            <w:pPr>
              <w:pStyle w:val="BodyText"/>
              <w:spacing w:after="0"/>
              <w:jc w:val="left"/>
              <w:rPr>
                <w:rFonts w:ascii="Arial" w:eastAsia="Calibri" w:hAnsi="Arial" w:cs="Arial"/>
                <w:sz w:val="20"/>
              </w:rPr>
            </w:pPr>
            <w:r w:rsidRPr="00A93041">
              <w:rPr>
                <w:rFonts w:ascii="Arial" w:hAnsi="Arial" w:cs="Arial"/>
                <w:sz w:val="20"/>
              </w:rPr>
              <w:t>marine diesel oil</w:t>
            </w:r>
          </w:p>
        </w:tc>
      </w:tr>
      <w:tr w:rsidR="00F34E8C" w:rsidRPr="00A93041" w14:paraId="78E1C6C9" w14:textId="77777777" w:rsidTr="00AE0CFA">
        <w:tc>
          <w:tcPr>
            <w:tcW w:w="1526" w:type="dxa"/>
            <w:shd w:val="clear" w:color="auto" w:fill="auto"/>
          </w:tcPr>
          <w:p w14:paraId="65130B43" w14:textId="77777777" w:rsidR="00F34E8C" w:rsidRPr="00A93041" w:rsidRDefault="00F34E8C" w:rsidP="00AE0CFA">
            <w:pPr>
              <w:pStyle w:val="BodyText"/>
              <w:spacing w:after="0"/>
              <w:jc w:val="left"/>
              <w:rPr>
                <w:rFonts w:ascii="Arial" w:eastAsia="Calibri" w:hAnsi="Arial" w:cs="Arial"/>
                <w:b/>
                <w:sz w:val="20"/>
              </w:rPr>
            </w:pPr>
            <w:r w:rsidRPr="00A93041">
              <w:rPr>
                <w:rFonts w:ascii="Arial" w:eastAsia="Calibri" w:hAnsi="Arial" w:cs="Arial"/>
                <w:b/>
                <w:sz w:val="20"/>
              </w:rPr>
              <w:t>ME</w:t>
            </w:r>
          </w:p>
        </w:tc>
        <w:tc>
          <w:tcPr>
            <w:tcW w:w="7092" w:type="dxa"/>
            <w:shd w:val="clear" w:color="auto" w:fill="auto"/>
          </w:tcPr>
          <w:p w14:paraId="26A3E701" w14:textId="77777777" w:rsidR="00F34E8C" w:rsidRPr="00A93041" w:rsidRDefault="00F34E8C" w:rsidP="00AE0CFA">
            <w:pPr>
              <w:pStyle w:val="BodyText"/>
              <w:spacing w:after="0"/>
              <w:jc w:val="left"/>
              <w:rPr>
                <w:rFonts w:ascii="Arial" w:eastAsia="Calibri" w:hAnsi="Arial" w:cs="Arial"/>
                <w:sz w:val="20"/>
              </w:rPr>
            </w:pPr>
            <w:r w:rsidRPr="00A93041">
              <w:rPr>
                <w:rFonts w:ascii="Arial" w:eastAsia="Calibri" w:hAnsi="Arial" w:cs="Arial"/>
                <w:sz w:val="20"/>
              </w:rPr>
              <w:t>metabolisable energy</w:t>
            </w:r>
          </w:p>
        </w:tc>
      </w:tr>
      <w:tr w:rsidR="00F34E8C" w:rsidRPr="00A93041" w14:paraId="3B533112" w14:textId="77777777" w:rsidTr="00AE0CFA">
        <w:tc>
          <w:tcPr>
            <w:tcW w:w="1526" w:type="dxa"/>
            <w:shd w:val="clear" w:color="auto" w:fill="auto"/>
          </w:tcPr>
          <w:p w14:paraId="0893FA6B" w14:textId="77777777" w:rsidR="00F34E8C" w:rsidRPr="00A93041" w:rsidRDefault="00F34E8C" w:rsidP="00AE0CFA">
            <w:pPr>
              <w:pStyle w:val="BodyText"/>
              <w:spacing w:after="0"/>
              <w:jc w:val="left"/>
              <w:rPr>
                <w:rFonts w:ascii="Arial" w:eastAsia="Calibri" w:hAnsi="Arial" w:cs="Arial"/>
                <w:b/>
                <w:sz w:val="20"/>
              </w:rPr>
            </w:pPr>
            <w:r w:rsidRPr="00A93041">
              <w:rPr>
                <w:rFonts w:ascii="Arial" w:eastAsia="Calibri" w:hAnsi="Arial" w:cs="Arial"/>
                <w:b/>
                <w:sz w:val="20"/>
              </w:rPr>
              <w:t>MFAT</w:t>
            </w:r>
          </w:p>
        </w:tc>
        <w:tc>
          <w:tcPr>
            <w:tcW w:w="7092" w:type="dxa"/>
            <w:shd w:val="clear" w:color="auto" w:fill="auto"/>
          </w:tcPr>
          <w:p w14:paraId="2FFA95D7" w14:textId="77777777" w:rsidR="00F34E8C" w:rsidRPr="00A93041" w:rsidRDefault="00F34E8C" w:rsidP="00AE0CFA">
            <w:pPr>
              <w:pStyle w:val="BodyText"/>
              <w:spacing w:after="0"/>
              <w:jc w:val="left"/>
              <w:rPr>
                <w:rFonts w:ascii="Arial" w:eastAsia="Calibri" w:hAnsi="Arial" w:cs="Arial"/>
                <w:sz w:val="20"/>
              </w:rPr>
            </w:pPr>
            <w:r w:rsidRPr="00A93041">
              <w:rPr>
                <w:rFonts w:ascii="Arial" w:eastAsia="Calibri" w:hAnsi="Arial" w:cs="Arial"/>
                <w:sz w:val="20"/>
              </w:rPr>
              <w:t>Ministry of Foreign Affairs and Trade</w:t>
            </w:r>
          </w:p>
        </w:tc>
      </w:tr>
      <w:tr w:rsidR="00F34E8C" w:rsidRPr="00A93041" w14:paraId="019C7543" w14:textId="77777777" w:rsidTr="00AE0CFA">
        <w:tc>
          <w:tcPr>
            <w:tcW w:w="1526" w:type="dxa"/>
            <w:shd w:val="clear" w:color="auto" w:fill="auto"/>
          </w:tcPr>
          <w:p w14:paraId="018E62D3" w14:textId="77777777" w:rsidR="00F34E8C" w:rsidRPr="00A93041" w:rsidRDefault="00F34E8C" w:rsidP="00AE0CFA">
            <w:pPr>
              <w:pStyle w:val="BodyText"/>
              <w:spacing w:after="0"/>
              <w:jc w:val="left"/>
              <w:rPr>
                <w:rFonts w:ascii="Arial" w:eastAsia="Calibri" w:hAnsi="Arial" w:cs="Arial"/>
                <w:b/>
                <w:sz w:val="20"/>
              </w:rPr>
            </w:pPr>
            <w:r w:rsidRPr="00A93041">
              <w:rPr>
                <w:rFonts w:ascii="Arial" w:eastAsia="Calibri" w:hAnsi="Arial" w:cs="Arial"/>
                <w:b/>
                <w:sz w:val="20"/>
              </w:rPr>
              <w:t>MfE</w:t>
            </w:r>
          </w:p>
        </w:tc>
        <w:tc>
          <w:tcPr>
            <w:tcW w:w="7092" w:type="dxa"/>
            <w:shd w:val="clear" w:color="auto" w:fill="auto"/>
          </w:tcPr>
          <w:p w14:paraId="4E71DF9D" w14:textId="77777777" w:rsidR="00F34E8C" w:rsidRPr="00A93041" w:rsidRDefault="00F34E8C" w:rsidP="00AE0CFA">
            <w:pPr>
              <w:pStyle w:val="BodyText"/>
              <w:spacing w:after="0"/>
              <w:jc w:val="left"/>
              <w:rPr>
                <w:rFonts w:ascii="Arial" w:eastAsia="Calibri" w:hAnsi="Arial" w:cs="Arial"/>
                <w:sz w:val="20"/>
              </w:rPr>
            </w:pPr>
            <w:r w:rsidRPr="00A93041">
              <w:rPr>
                <w:rFonts w:ascii="Arial" w:eastAsia="Calibri" w:hAnsi="Arial" w:cs="Arial"/>
                <w:sz w:val="20"/>
              </w:rPr>
              <w:t>Ministry for the Environment</w:t>
            </w:r>
          </w:p>
        </w:tc>
      </w:tr>
      <w:tr w:rsidR="00F34E8C" w:rsidRPr="00A93041" w14:paraId="432032C1" w14:textId="77777777" w:rsidTr="00AE0CFA">
        <w:tc>
          <w:tcPr>
            <w:tcW w:w="1526" w:type="dxa"/>
            <w:shd w:val="clear" w:color="auto" w:fill="auto"/>
          </w:tcPr>
          <w:p w14:paraId="6A4B4781" w14:textId="77777777" w:rsidR="00F34E8C" w:rsidRPr="00A93041" w:rsidRDefault="00F34E8C" w:rsidP="00AE0CFA">
            <w:pPr>
              <w:pStyle w:val="BodyText"/>
              <w:spacing w:after="0"/>
              <w:jc w:val="left"/>
              <w:rPr>
                <w:rFonts w:ascii="Arial" w:eastAsia="Calibri" w:hAnsi="Arial" w:cs="Arial"/>
                <w:b/>
                <w:sz w:val="20"/>
              </w:rPr>
            </w:pPr>
            <w:r w:rsidRPr="00A93041">
              <w:rPr>
                <w:rFonts w:ascii="Arial" w:hAnsi="Arial" w:cs="Arial"/>
                <w:b/>
                <w:sz w:val="20"/>
              </w:rPr>
              <w:t>MgO</w:t>
            </w:r>
          </w:p>
        </w:tc>
        <w:tc>
          <w:tcPr>
            <w:tcW w:w="7092" w:type="dxa"/>
            <w:shd w:val="clear" w:color="auto" w:fill="auto"/>
          </w:tcPr>
          <w:p w14:paraId="65031A98" w14:textId="77777777" w:rsidR="00F34E8C" w:rsidRPr="00A93041" w:rsidRDefault="00F34E8C" w:rsidP="00AE0CFA">
            <w:pPr>
              <w:pStyle w:val="BodyText"/>
              <w:spacing w:after="0"/>
              <w:jc w:val="left"/>
              <w:rPr>
                <w:rFonts w:ascii="Arial" w:eastAsia="Calibri" w:hAnsi="Arial" w:cs="Arial"/>
                <w:sz w:val="20"/>
              </w:rPr>
            </w:pPr>
            <w:r w:rsidRPr="00A93041">
              <w:rPr>
                <w:rFonts w:ascii="Arial" w:hAnsi="Arial" w:cs="Arial"/>
                <w:sz w:val="20"/>
              </w:rPr>
              <w:t>magnesium oxide</w:t>
            </w:r>
          </w:p>
        </w:tc>
      </w:tr>
      <w:tr w:rsidR="00F34E8C" w:rsidRPr="00A93041" w14:paraId="1126D8AB" w14:textId="77777777" w:rsidTr="00AE0CFA">
        <w:tc>
          <w:tcPr>
            <w:tcW w:w="1526" w:type="dxa"/>
            <w:shd w:val="clear" w:color="auto" w:fill="auto"/>
          </w:tcPr>
          <w:p w14:paraId="4547E16B" w14:textId="77777777" w:rsidR="00F34E8C" w:rsidRPr="00A93041" w:rsidRDefault="00F34E8C" w:rsidP="00AE0CFA">
            <w:pPr>
              <w:pStyle w:val="BodyText"/>
              <w:spacing w:after="0"/>
              <w:jc w:val="left"/>
              <w:rPr>
                <w:rFonts w:ascii="Arial" w:hAnsi="Arial" w:cs="Arial"/>
                <w:b/>
                <w:sz w:val="20"/>
              </w:rPr>
            </w:pPr>
            <w:r w:rsidRPr="00A93041">
              <w:rPr>
                <w:rFonts w:ascii="Arial" w:hAnsi="Arial" w:cs="Arial"/>
                <w:b/>
                <w:sz w:val="20"/>
              </w:rPr>
              <w:t>MiCORE</w:t>
            </w:r>
          </w:p>
        </w:tc>
        <w:tc>
          <w:tcPr>
            <w:tcW w:w="7092" w:type="dxa"/>
            <w:shd w:val="clear" w:color="auto" w:fill="auto"/>
          </w:tcPr>
          <w:p w14:paraId="719F8E66" w14:textId="77777777" w:rsidR="00F34E8C" w:rsidRPr="00A93041" w:rsidRDefault="00F34E8C" w:rsidP="00AE0CFA">
            <w:pPr>
              <w:pStyle w:val="BodyText"/>
              <w:spacing w:after="0"/>
              <w:jc w:val="left"/>
              <w:rPr>
                <w:rFonts w:ascii="Arial" w:hAnsi="Arial" w:cs="Arial"/>
                <w:sz w:val="20"/>
              </w:rPr>
            </w:pPr>
            <w:r w:rsidRPr="00A93041">
              <w:rPr>
                <w:rFonts w:ascii="Arial" w:hAnsi="Arial" w:cs="Arial"/>
                <w:sz w:val="20"/>
              </w:rPr>
              <w:t>Ministry for Climate, Oceans and Resilience (Tokelau)</w:t>
            </w:r>
          </w:p>
        </w:tc>
      </w:tr>
      <w:tr w:rsidR="00F34E8C" w:rsidRPr="00A93041" w14:paraId="71CBFFEF" w14:textId="77777777" w:rsidTr="00AE0CFA">
        <w:tc>
          <w:tcPr>
            <w:tcW w:w="1526" w:type="dxa"/>
            <w:shd w:val="clear" w:color="auto" w:fill="auto"/>
          </w:tcPr>
          <w:p w14:paraId="1A52C41B" w14:textId="77777777" w:rsidR="00F34E8C" w:rsidRPr="00A93041" w:rsidRDefault="00F34E8C" w:rsidP="00AE0CFA">
            <w:pPr>
              <w:pStyle w:val="BodyText"/>
              <w:spacing w:after="0"/>
              <w:jc w:val="left"/>
              <w:rPr>
                <w:rFonts w:ascii="Arial" w:eastAsia="Calibri" w:hAnsi="Arial" w:cs="Arial"/>
                <w:b/>
                <w:sz w:val="20"/>
              </w:rPr>
            </w:pPr>
            <w:r w:rsidRPr="00A93041">
              <w:rPr>
                <w:rFonts w:ascii="Arial" w:eastAsia="Calibri" w:hAnsi="Arial" w:cs="Arial"/>
                <w:b/>
                <w:sz w:val="20"/>
              </w:rPr>
              <w:t>MOS</w:t>
            </w:r>
          </w:p>
        </w:tc>
        <w:tc>
          <w:tcPr>
            <w:tcW w:w="7092" w:type="dxa"/>
            <w:shd w:val="clear" w:color="auto" w:fill="auto"/>
          </w:tcPr>
          <w:p w14:paraId="743A0B2F" w14:textId="77777777" w:rsidR="00F34E8C" w:rsidRPr="00A93041" w:rsidRDefault="00F34E8C" w:rsidP="00AE0CFA">
            <w:pPr>
              <w:pStyle w:val="BodyText"/>
              <w:spacing w:after="0"/>
              <w:jc w:val="left"/>
              <w:rPr>
                <w:rFonts w:ascii="Arial" w:eastAsia="Calibri" w:hAnsi="Arial" w:cs="Arial"/>
                <w:sz w:val="20"/>
              </w:rPr>
            </w:pPr>
            <w:r w:rsidRPr="00A93041">
              <w:rPr>
                <w:rFonts w:ascii="Arial" w:eastAsia="Calibri" w:hAnsi="Arial" w:cs="Arial"/>
                <w:sz w:val="20"/>
              </w:rPr>
              <w:t xml:space="preserve">Monthly Oil Supply </w:t>
            </w:r>
          </w:p>
        </w:tc>
      </w:tr>
      <w:tr w:rsidR="00F34E8C" w:rsidRPr="00A93041" w14:paraId="6ADBF4C4" w14:textId="77777777" w:rsidTr="00AE0CFA">
        <w:tc>
          <w:tcPr>
            <w:tcW w:w="1526" w:type="dxa"/>
            <w:shd w:val="clear" w:color="auto" w:fill="auto"/>
          </w:tcPr>
          <w:p w14:paraId="3A266963" w14:textId="77777777" w:rsidR="00F34E8C" w:rsidRPr="00A93041" w:rsidRDefault="00F34E8C" w:rsidP="00AE0CFA">
            <w:pPr>
              <w:pStyle w:val="BodyText"/>
              <w:spacing w:after="0"/>
              <w:jc w:val="left"/>
              <w:rPr>
                <w:rFonts w:ascii="Arial" w:eastAsia="Calibri" w:hAnsi="Arial" w:cs="Arial"/>
                <w:b/>
                <w:sz w:val="20"/>
              </w:rPr>
            </w:pPr>
            <w:r w:rsidRPr="00A93041">
              <w:rPr>
                <w:rFonts w:ascii="Arial" w:eastAsia="Calibri" w:hAnsi="Arial" w:cs="Arial"/>
                <w:b/>
                <w:sz w:val="20"/>
              </w:rPr>
              <w:t>MPI</w:t>
            </w:r>
          </w:p>
        </w:tc>
        <w:tc>
          <w:tcPr>
            <w:tcW w:w="7092" w:type="dxa"/>
            <w:shd w:val="clear" w:color="auto" w:fill="auto"/>
          </w:tcPr>
          <w:p w14:paraId="6EA5D4A7" w14:textId="77777777" w:rsidR="00F34E8C" w:rsidRPr="00A93041" w:rsidRDefault="00F34E8C" w:rsidP="00AE0CFA">
            <w:pPr>
              <w:pStyle w:val="BodyText"/>
              <w:spacing w:after="0"/>
              <w:jc w:val="left"/>
              <w:rPr>
                <w:rFonts w:ascii="Arial" w:eastAsia="Calibri" w:hAnsi="Arial" w:cs="Arial"/>
                <w:sz w:val="20"/>
              </w:rPr>
            </w:pPr>
            <w:r w:rsidRPr="00A93041">
              <w:rPr>
                <w:rFonts w:ascii="Arial" w:eastAsia="Calibri" w:hAnsi="Arial" w:cs="Arial"/>
                <w:sz w:val="20"/>
              </w:rPr>
              <w:t>Ministry for Primary Industries</w:t>
            </w:r>
          </w:p>
        </w:tc>
      </w:tr>
      <w:tr w:rsidR="00F34E8C" w:rsidRPr="00A93041" w14:paraId="71D71E02" w14:textId="77777777" w:rsidTr="00AE0CFA">
        <w:tc>
          <w:tcPr>
            <w:tcW w:w="1526" w:type="dxa"/>
            <w:shd w:val="clear" w:color="auto" w:fill="auto"/>
          </w:tcPr>
          <w:p w14:paraId="1349E4D6" w14:textId="77777777" w:rsidR="00F34E8C" w:rsidRPr="00A93041" w:rsidRDefault="00F34E8C" w:rsidP="00AE0CFA">
            <w:pPr>
              <w:pStyle w:val="BodyText"/>
              <w:spacing w:after="0"/>
              <w:jc w:val="left"/>
              <w:rPr>
                <w:rFonts w:ascii="Arial" w:eastAsia="Calibri" w:hAnsi="Arial" w:cs="Arial"/>
                <w:b/>
                <w:sz w:val="20"/>
              </w:rPr>
            </w:pPr>
            <w:r w:rsidRPr="00A93041">
              <w:rPr>
                <w:rFonts w:ascii="Arial" w:eastAsia="Calibri" w:hAnsi="Arial" w:cs="Arial"/>
                <w:b/>
                <w:sz w:val="20"/>
              </w:rPr>
              <w:t>Mt</w:t>
            </w:r>
          </w:p>
        </w:tc>
        <w:tc>
          <w:tcPr>
            <w:tcW w:w="7092" w:type="dxa"/>
            <w:shd w:val="clear" w:color="auto" w:fill="auto"/>
          </w:tcPr>
          <w:p w14:paraId="14DCB34C" w14:textId="77777777" w:rsidR="00F34E8C" w:rsidRPr="00A93041" w:rsidRDefault="00F34E8C" w:rsidP="00AE0CFA">
            <w:pPr>
              <w:pStyle w:val="BodyText"/>
              <w:spacing w:after="0"/>
              <w:jc w:val="left"/>
              <w:rPr>
                <w:rFonts w:ascii="Arial" w:eastAsia="Calibri" w:hAnsi="Arial" w:cs="Arial"/>
                <w:sz w:val="20"/>
              </w:rPr>
            </w:pPr>
            <w:r w:rsidRPr="00A93041">
              <w:rPr>
                <w:rFonts w:ascii="Arial" w:eastAsia="Calibri" w:hAnsi="Arial" w:cs="Arial"/>
                <w:sz w:val="20"/>
              </w:rPr>
              <w:t>megatonne(s)</w:t>
            </w:r>
          </w:p>
        </w:tc>
      </w:tr>
      <w:tr w:rsidR="00F34E8C" w:rsidRPr="00A93041" w14:paraId="6FBA91B2" w14:textId="77777777" w:rsidTr="00AE0CFA">
        <w:tc>
          <w:tcPr>
            <w:tcW w:w="1526" w:type="dxa"/>
            <w:shd w:val="clear" w:color="auto" w:fill="auto"/>
          </w:tcPr>
          <w:p w14:paraId="64A723CB" w14:textId="77777777" w:rsidR="00F34E8C" w:rsidRPr="00A93041" w:rsidRDefault="00F34E8C" w:rsidP="00AE0CFA">
            <w:pPr>
              <w:pStyle w:val="BodyText"/>
              <w:spacing w:after="0"/>
              <w:jc w:val="left"/>
              <w:rPr>
                <w:rFonts w:ascii="Arial" w:eastAsia="Calibri" w:hAnsi="Arial" w:cs="Arial"/>
                <w:b/>
                <w:sz w:val="20"/>
              </w:rPr>
            </w:pPr>
            <w:r w:rsidRPr="00A93041">
              <w:rPr>
                <w:rFonts w:ascii="Arial" w:eastAsia="Calibri" w:hAnsi="Arial" w:cs="Arial"/>
                <w:b/>
                <w:sz w:val="20"/>
              </w:rPr>
              <w:t>MW</w:t>
            </w:r>
          </w:p>
        </w:tc>
        <w:tc>
          <w:tcPr>
            <w:tcW w:w="7092" w:type="dxa"/>
            <w:shd w:val="clear" w:color="auto" w:fill="auto"/>
          </w:tcPr>
          <w:p w14:paraId="7B150054" w14:textId="77777777" w:rsidR="00F34E8C" w:rsidRPr="00A93041" w:rsidRDefault="00F34E8C" w:rsidP="00AE0CFA">
            <w:pPr>
              <w:pStyle w:val="BodyText"/>
              <w:spacing w:after="0"/>
              <w:jc w:val="left"/>
              <w:rPr>
                <w:rFonts w:ascii="Arial" w:eastAsia="Calibri" w:hAnsi="Arial" w:cs="Arial"/>
                <w:sz w:val="20"/>
              </w:rPr>
            </w:pPr>
            <w:r w:rsidRPr="00A93041">
              <w:rPr>
                <w:rFonts w:ascii="Arial" w:eastAsia="Calibri" w:hAnsi="Arial" w:cs="Arial"/>
                <w:sz w:val="20"/>
              </w:rPr>
              <w:t>megawatt(s)</w:t>
            </w:r>
          </w:p>
        </w:tc>
      </w:tr>
      <w:tr w:rsidR="00F34E8C" w:rsidRPr="00A93041" w14:paraId="4743CF7B" w14:textId="77777777" w:rsidTr="00AE0CFA">
        <w:tc>
          <w:tcPr>
            <w:tcW w:w="1526" w:type="dxa"/>
            <w:shd w:val="clear" w:color="auto" w:fill="auto"/>
          </w:tcPr>
          <w:p w14:paraId="63744B2E" w14:textId="77777777" w:rsidR="00F34E8C" w:rsidRPr="00A93041" w:rsidRDefault="00F34E8C" w:rsidP="00AE0CFA">
            <w:pPr>
              <w:pStyle w:val="BodyText"/>
              <w:spacing w:after="0"/>
              <w:jc w:val="left"/>
              <w:rPr>
                <w:rFonts w:ascii="Arial" w:eastAsia="Calibri" w:hAnsi="Arial" w:cs="Arial"/>
                <w:b/>
                <w:sz w:val="20"/>
              </w:rPr>
            </w:pPr>
            <w:r w:rsidRPr="00A93041">
              <w:rPr>
                <w:rFonts w:ascii="Arial" w:eastAsia="Calibri" w:hAnsi="Arial" w:cs="Arial"/>
                <w:b/>
                <w:sz w:val="20"/>
              </w:rPr>
              <w:t>N</w:t>
            </w:r>
            <w:r w:rsidRPr="00A93041">
              <w:rPr>
                <w:rFonts w:ascii="Arial" w:eastAsia="Calibri" w:hAnsi="Arial" w:cs="Arial"/>
                <w:b/>
                <w:sz w:val="20"/>
                <w:vertAlign w:val="subscript"/>
              </w:rPr>
              <w:t>2</w:t>
            </w:r>
            <w:r w:rsidRPr="00A93041">
              <w:rPr>
                <w:rFonts w:ascii="Arial" w:eastAsia="Calibri" w:hAnsi="Arial" w:cs="Arial"/>
                <w:b/>
                <w:sz w:val="20"/>
              </w:rPr>
              <w:t xml:space="preserve">O </w:t>
            </w:r>
          </w:p>
        </w:tc>
        <w:tc>
          <w:tcPr>
            <w:tcW w:w="7092" w:type="dxa"/>
            <w:shd w:val="clear" w:color="auto" w:fill="auto"/>
          </w:tcPr>
          <w:p w14:paraId="7F7504BD" w14:textId="77777777" w:rsidR="00F34E8C" w:rsidRPr="00A93041" w:rsidRDefault="00F34E8C" w:rsidP="00AE0CFA">
            <w:pPr>
              <w:pStyle w:val="BodyText"/>
              <w:spacing w:after="0"/>
              <w:jc w:val="left"/>
              <w:rPr>
                <w:rFonts w:ascii="Arial" w:eastAsia="Calibri" w:hAnsi="Arial" w:cs="Arial"/>
                <w:sz w:val="20"/>
              </w:rPr>
            </w:pPr>
            <w:r w:rsidRPr="00A93041">
              <w:rPr>
                <w:rFonts w:ascii="Arial" w:eastAsia="Calibri" w:hAnsi="Arial" w:cs="Arial"/>
                <w:sz w:val="20"/>
              </w:rPr>
              <w:t>nitrous oxide</w:t>
            </w:r>
          </w:p>
        </w:tc>
      </w:tr>
      <w:tr w:rsidR="00F34E8C" w:rsidRPr="00A93041" w14:paraId="49D8A104" w14:textId="77777777" w:rsidTr="00AE0CFA">
        <w:tc>
          <w:tcPr>
            <w:tcW w:w="1526" w:type="dxa"/>
            <w:shd w:val="clear" w:color="auto" w:fill="auto"/>
          </w:tcPr>
          <w:p w14:paraId="0F7B6F3D" w14:textId="77777777" w:rsidR="00F34E8C" w:rsidRPr="00A93041" w:rsidRDefault="00F34E8C" w:rsidP="00AE0CFA">
            <w:pPr>
              <w:pStyle w:val="BodyText"/>
              <w:spacing w:after="0"/>
              <w:jc w:val="left"/>
              <w:rPr>
                <w:rFonts w:ascii="Arial" w:eastAsia="Calibri" w:hAnsi="Arial" w:cs="Arial"/>
                <w:b/>
                <w:sz w:val="20"/>
              </w:rPr>
            </w:pPr>
            <w:r w:rsidRPr="00A93041">
              <w:rPr>
                <w:rFonts w:ascii="Arial" w:eastAsia="Calibri" w:hAnsi="Arial" w:cs="Arial"/>
                <w:b/>
                <w:sz w:val="20"/>
              </w:rPr>
              <w:t xml:space="preserve">NA </w:t>
            </w:r>
          </w:p>
        </w:tc>
        <w:tc>
          <w:tcPr>
            <w:tcW w:w="7092" w:type="dxa"/>
            <w:shd w:val="clear" w:color="auto" w:fill="auto"/>
          </w:tcPr>
          <w:p w14:paraId="0D672A90" w14:textId="77777777" w:rsidR="00F34E8C" w:rsidRPr="00A93041" w:rsidRDefault="00F34E8C" w:rsidP="00AE0CFA">
            <w:pPr>
              <w:pStyle w:val="BodyText"/>
              <w:spacing w:after="0"/>
              <w:jc w:val="left"/>
              <w:rPr>
                <w:rFonts w:ascii="Arial" w:eastAsia="Calibri" w:hAnsi="Arial" w:cs="Arial"/>
                <w:sz w:val="20"/>
              </w:rPr>
            </w:pPr>
            <w:r w:rsidRPr="00A93041">
              <w:rPr>
                <w:rFonts w:ascii="Arial" w:eastAsia="Calibri" w:hAnsi="Arial" w:cs="Arial"/>
                <w:sz w:val="20"/>
              </w:rPr>
              <w:t>not applicable</w:t>
            </w:r>
          </w:p>
        </w:tc>
      </w:tr>
      <w:tr w:rsidR="00F34E8C" w:rsidRPr="00A93041" w14:paraId="7AF4DB66" w14:textId="77777777" w:rsidTr="00AE0CFA">
        <w:tc>
          <w:tcPr>
            <w:tcW w:w="1526" w:type="dxa"/>
            <w:shd w:val="clear" w:color="auto" w:fill="auto"/>
          </w:tcPr>
          <w:p w14:paraId="16A5F3F7" w14:textId="77777777" w:rsidR="00F34E8C" w:rsidRPr="00A93041" w:rsidRDefault="00F34E8C" w:rsidP="00AE0CFA">
            <w:pPr>
              <w:pStyle w:val="BodyText"/>
              <w:spacing w:after="0"/>
              <w:jc w:val="left"/>
              <w:rPr>
                <w:rFonts w:ascii="Arial" w:eastAsia="Calibri" w:hAnsi="Arial" w:cs="Arial"/>
                <w:b/>
                <w:sz w:val="20"/>
              </w:rPr>
            </w:pPr>
            <w:r w:rsidRPr="00A93041">
              <w:rPr>
                <w:rFonts w:ascii="Arial" w:eastAsia="Calibri" w:hAnsi="Arial" w:cs="Arial"/>
                <w:b/>
                <w:sz w:val="20"/>
              </w:rPr>
              <w:t>NE</w:t>
            </w:r>
          </w:p>
        </w:tc>
        <w:tc>
          <w:tcPr>
            <w:tcW w:w="7092" w:type="dxa"/>
            <w:shd w:val="clear" w:color="auto" w:fill="auto"/>
          </w:tcPr>
          <w:p w14:paraId="778D1894" w14:textId="77777777" w:rsidR="00F34E8C" w:rsidRPr="00A93041" w:rsidRDefault="00F34E8C" w:rsidP="00AE0CFA">
            <w:pPr>
              <w:pStyle w:val="BodyText"/>
              <w:spacing w:after="0"/>
              <w:jc w:val="left"/>
              <w:rPr>
                <w:rFonts w:ascii="Arial" w:eastAsia="Calibri" w:hAnsi="Arial" w:cs="Arial"/>
                <w:sz w:val="20"/>
              </w:rPr>
            </w:pPr>
            <w:r w:rsidRPr="00A93041">
              <w:rPr>
                <w:rFonts w:ascii="Arial" w:eastAsia="Calibri" w:hAnsi="Arial" w:cs="Arial"/>
                <w:sz w:val="20"/>
              </w:rPr>
              <w:t>not estimated</w:t>
            </w:r>
          </w:p>
        </w:tc>
      </w:tr>
      <w:tr w:rsidR="00F34E8C" w:rsidRPr="00A93041" w14:paraId="478F0081" w14:textId="77777777" w:rsidTr="00AE0CFA">
        <w:tc>
          <w:tcPr>
            <w:tcW w:w="1526" w:type="dxa"/>
            <w:shd w:val="clear" w:color="auto" w:fill="auto"/>
          </w:tcPr>
          <w:p w14:paraId="1E91DF27" w14:textId="77777777" w:rsidR="00F34E8C" w:rsidRPr="00A93041" w:rsidRDefault="00F34E8C" w:rsidP="00AE0CFA">
            <w:pPr>
              <w:pStyle w:val="BodyText"/>
              <w:spacing w:after="0"/>
              <w:jc w:val="left"/>
              <w:rPr>
                <w:rFonts w:ascii="Arial" w:eastAsia="Calibri" w:hAnsi="Arial" w:cs="Arial"/>
                <w:b/>
                <w:sz w:val="20"/>
              </w:rPr>
            </w:pPr>
            <w:r w:rsidRPr="00A93041">
              <w:rPr>
                <w:rFonts w:ascii="Arial" w:eastAsia="Calibri" w:hAnsi="Arial" w:cs="Arial"/>
                <w:b/>
                <w:sz w:val="20"/>
              </w:rPr>
              <w:t xml:space="preserve">NEFD </w:t>
            </w:r>
          </w:p>
        </w:tc>
        <w:tc>
          <w:tcPr>
            <w:tcW w:w="7092" w:type="dxa"/>
            <w:shd w:val="clear" w:color="auto" w:fill="auto"/>
          </w:tcPr>
          <w:p w14:paraId="5D2AA1D3" w14:textId="77777777" w:rsidR="00F34E8C" w:rsidRPr="00A93041" w:rsidRDefault="00F34E8C" w:rsidP="00AE0CFA">
            <w:pPr>
              <w:pStyle w:val="BodyText"/>
              <w:spacing w:after="0"/>
              <w:jc w:val="left"/>
              <w:rPr>
                <w:rFonts w:ascii="Arial" w:eastAsia="Calibri" w:hAnsi="Arial" w:cs="Arial"/>
                <w:sz w:val="20"/>
              </w:rPr>
            </w:pPr>
            <w:r w:rsidRPr="00A93041">
              <w:rPr>
                <w:rFonts w:ascii="Arial" w:eastAsia="Calibri" w:hAnsi="Arial" w:cs="Arial"/>
                <w:sz w:val="20"/>
              </w:rPr>
              <w:t>National Exotic Forest Description</w:t>
            </w:r>
          </w:p>
        </w:tc>
      </w:tr>
      <w:tr w:rsidR="00F34E8C" w:rsidRPr="00A93041" w14:paraId="0F6E84DF" w14:textId="77777777" w:rsidTr="00AE0CFA">
        <w:tc>
          <w:tcPr>
            <w:tcW w:w="1526" w:type="dxa"/>
            <w:shd w:val="clear" w:color="auto" w:fill="auto"/>
          </w:tcPr>
          <w:p w14:paraId="5413416F" w14:textId="77777777" w:rsidR="00F34E8C" w:rsidRPr="00A93041" w:rsidRDefault="00F34E8C" w:rsidP="00AE0CFA">
            <w:pPr>
              <w:pStyle w:val="BodyText"/>
              <w:spacing w:after="0"/>
              <w:jc w:val="left"/>
              <w:rPr>
                <w:rFonts w:ascii="Arial" w:eastAsia="Calibri" w:hAnsi="Arial" w:cs="Arial"/>
                <w:b/>
                <w:sz w:val="20"/>
              </w:rPr>
            </w:pPr>
            <w:r w:rsidRPr="00A93041">
              <w:rPr>
                <w:rFonts w:ascii="Arial" w:hAnsi="Arial" w:cs="Arial"/>
                <w:b/>
                <w:sz w:val="20"/>
              </w:rPr>
              <w:t>N</w:t>
            </w:r>
            <w:r w:rsidRPr="00A93041">
              <w:rPr>
                <w:rFonts w:ascii="Arial" w:hAnsi="Arial" w:cs="Arial"/>
                <w:b/>
                <w:sz w:val="20"/>
                <w:vertAlign w:val="subscript"/>
              </w:rPr>
              <w:t>ex</w:t>
            </w:r>
          </w:p>
        </w:tc>
        <w:tc>
          <w:tcPr>
            <w:tcW w:w="7092" w:type="dxa"/>
            <w:shd w:val="clear" w:color="auto" w:fill="auto"/>
          </w:tcPr>
          <w:p w14:paraId="01C220BC" w14:textId="77777777" w:rsidR="00F34E8C" w:rsidRPr="00A93041" w:rsidRDefault="00F34E8C" w:rsidP="00AE0CFA">
            <w:pPr>
              <w:pStyle w:val="BodyText"/>
              <w:spacing w:after="0"/>
              <w:jc w:val="left"/>
              <w:rPr>
                <w:rFonts w:ascii="Arial" w:eastAsia="Calibri" w:hAnsi="Arial" w:cs="Arial"/>
                <w:sz w:val="20"/>
              </w:rPr>
            </w:pPr>
            <w:r w:rsidRPr="00A93041">
              <w:rPr>
                <w:rFonts w:ascii="Arial" w:hAnsi="Arial" w:cs="Arial"/>
                <w:sz w:val="20"/>
              </w:rPr>
              <w:t xml:space="preserve">nitrogen excretion rates </w:t>
            </w:r>
          </w:p>
        </w:tc>
      </w:tr>
      <w:tr w:rsidR="00F34E8C" w:rsidRPr="00A93041" w14:paraId="7312308D" w14:textId="77777777" w:rsidTr="00AE0CFA">
        <w:tc>
          <w:tcPr>
            <w:tcW w:w="1526" w:type="dxa"/>
            <w:shd w:val="clear" w:color="auto" w:fill="auto"/>
          </w:tcPr>
          <w:p w14:paraId="1DEC17D0" w14:textId="77777777" w:rsidR="00F34E8C" w:rsidRPr="00A93041" w:rsidRDefault="00F34E8C" w:rsidP="00AE0CFA">
            <w:pPr>
              <w:pStyle w:val="BodyText"/>
              <w:spacing w:after="0"/>
              <w:jc w:val="left"/>
              <w:rPr>
                <w:rFonts w:ascii="Arial" w:eastAsia="Calibri" w:hAnsi="Arial" w:cs="Arial"/>
                <w:b/>
                <w:sz w:val="20"/>
              </w:rPr>
            </w:pPr>
            <w:r w:rsidRPr="00A93041">
              <w:rPr>
                <w:rFonts w:ascii="Arial" w:eastAsia="Calibri" w:hAnsi="Arial" w:cs="Arial"/>
                <w:b/>
                <w:sz w:val="20"/>
              </w:rPr>
              <w:t>NF</w:t>
            </w:r>
            <w:r w:rsidRPr="00A93041">
              <w:rPr>
                <w:rFonts w:ascii="Arial" w:eastAsia="Calibri" w:hAnsi="Arial" w:cs="Arial"/>
                <w:b/>
                <w:sz w:val="20"/>
                <w:vertAlign w:val="subscript"/>
              </w:rPr>
              <w:t>3</w:t>
            </w:r>
          </w:p>
        </w:tc>
        <w:tc>
          <w:tcPr>
            <w:tcW w:w="7092" w:type="dxa"/>
            <w:shd w:val="clear" w:color="auto" w:fill="auto"/>
          </w:tcPr>
          <w:p w14:paraId="055A44E8" w14:textId="77777777" w:rsidR="00F34E8C" w:rsidRPr="00A93041" w:rsidRDefault="00F34E8C" w:rsidP="00AE0CFA">
            <w:pPr>
              <w:pStyle w:val="BodyText"/>
              <w:spacing w:after="0"/>
              <w:jc w:val="left"/>
              <w:rPr>
                <w:rFonts w:ascii="Arial" w:eastAsia="Calibri" w:hAnsi="Arial" w:cs="Arial"/>
                <w:sz w:val="20"/>
              </w:rPr>
            </w:pPr>
            <w:r w:rsidRPr="00A93041">
              <w:rPr>
                <w:rFonts w:ascii="Arial" w:eastAsia="Calibri" w:hAnsi="Arial" w:cs="Arial"/>
                <w:sz w:val="20"/>
              </w:rPr>
              <w:t>nitrogen trifluoride</w:t>
            </w:r>
          </w:p>
        </w:tc>
      </w:tr>
      <w:tr w:rsidR="00F34E8C" w:rsidRPr="00A93041" w14:paraId="43B7731C" w14:textId="77777777" w:rsidTr="00AE0CFA">
        <w:tc>
          <w:tcPr>
            <w:tcW w:w="1526" w:type="dxa"/>
            <w:shd w:val="clear" w:color="auto" w:fill="auto"/>
          </w:tcPr>
          <w:p w14:paraId="1BDD7AE0" w14:textId="77777777" w:rsidR="00F34E8C" w:rsidRPr="00A93041" w:rsidRDefault="00F34E8C" w:rsidP="00AE0CFA">
            <w:pPr>
              <w:pStyle w:val="BodyText"/>
              <w:spacing w:after="0"/>
              <w:jc w:val="left"/>
              <w:rPr>
                <w:rFonts w:ascii="Arial" w:eastAsia="Calibri" w:hAnsi="Arial" w:cs="Arial"/>
                <w:b/>
                <w:sz w:val="20"/>
                <w:highlight w:val="yellow"/>
              </w:rPr>
            </w:pPr>
            <w:r w:rsidRPr="00A93041">
              <w:rPr>
                <w:rFonts w:ascii="Arial" w:hAnsi="Arial" w:cs="Arial"/>
                <w:b/>
                <w:sz w:val="20"/>
              </w:rPr>
              <w:t>NH</w:t>
            </w:r>
            <w:r w:rsidRPr="00A93041">
              <w:rPr>
                <w:rFonts w:ascii="Arial" w:hAnsi="Arial" w:cs="Arial"/>
                <w:b/>
                <w:sz w:val="20"/>
                <w:vertAlign w:val="subscript"/>
              </w:rPr>
              <w:t>3</w:t>
            </w:r>
          </w:p>
        </w:tc>
        <w:tc>
          <w:tcPr>
            <w:tcW w:w="7092" w:type="dxa"/>
            <w:shd w:val="clear" w:color="auto" w:fill="auto"/>
          </w:tcPr>
          <w:p w14:paraId="1ABF9B59" w14:textId="77777777" w:rsidR="00F34E8C" w:rsidRPr="00A93041" w:rsidRDefault="00F34E8C" w:rsidP="00AE0CFA">
            <w:pPr>
              <w:pStyle w:val="BodyText"/>
              <w:spacing w:after="0"/>
              <w:jc w:val="left"/>
              <w:rPr>
                <w:rFonts w:ascii="Arial" w:eastAsia="Calibri" w:hAnsi="Arial" w:cs="Arial"/>
                <w:sz w:val="20"/>
                <w:highlight w:val="yellow"/>
              </w:rPr>
            </w:pPr>
            <w:r w:rsidRPr="00A93041">
              <w:rPr>
                <w:rFonts w:ascii="Arial" w:eastAsia="Calibri" w:hAnsi="Arial" w:cs="Arial"/>
                <w:sz w:val="20"/>
              </w:rPr>
              <w:t>ammonia</w:t>
            </w:r>
          </w:p>
        </w:tc>
      </w:tr>
      <w:tr w:rsidR="00F34E8C" w:rsidRPr="00A93041" w14:paraId="5262A6D0" w14:textId="77777777" w:rsidTr="00AE0CFA">
        <w:tc>
          <w:tcPr>
            <w:tcW w:w="1526" w:type="dxa"/>
            <w:shd w:val="clear" w:color="auto" w:fill="auto"/>
          </w:tcPr>
          <w:p w14:paraId="6FC7C17A" w14:textId="77777777" w:rsidR="00F34E8C" w:rsidRPr="00A93041" w:rsidRDefault="00F34E8C" w:rsidP="00AE0CFA">
            <w:pPr>
              <w:pStyle w:val="BodyText"/>
              <w:spacing w:after="0"/>
              <w:jc w:val="left"/>
              <w:rPr>
                <w:rFonts w:ascii="Arial" w:eastAsia="Calibri" w:hAnsi="Arial" w:cs="Arial"/>
                <w:b/>
                <w:sz w:val="20"/>
              </w:rPr>
            </w:pPr>
            <w:r w:rsidRPr="00A93041">
              <w:rPr>
                <w:rFonts w:ascii="Arial" w:eastAsia="Calibri" w:hAnsi="Arial" w:cs="Arial"/>
                <w:b/>
                <w:sz w:val="20"/>
              </w:rPr>
              <w:t>NIR</w:t>
            </w:r>
          </w:p>
        </w:tc>
        <w:tc>
          <w:tcPr>
            <w:tcW w:w="7092" w:type="dxa"/>
            <w:shd w:val="clear" w:color="auto" w:fill="auto"/>
          </w:tcPr>
          <w:p w14:paraId="5D564A06" w14:textId="77777777" w:rsidR="00F34E8C" w:rsidRPr="00A93041" w:rsidRDefault="00F34E8C" w:rsidP="00AE0CFA">
            <w:pPr>
              <w:pStyle w:val="BodyText"/>
              <w:spacing w:after="0"/>
              <w:jc w:val="left"/>
              <w:rPr>
                <w:rFonts w:ascii="Arial" w:eastAsia="Calibri" w:hAnsi="Arial" w:cs="Arial"/>
                <w:sz w:val="20"/>
              </w:rPr>
            </w:pPr>
            <w:r w:rsidRPr="00A93041">
              <w:rPr>
                <w:rFonts w:ascii="Arial" w:eastAsia="Calibri" w:hAnsi="Arial" w:cs="Arial"/>
                <w:sz w:val="20"/>
              </w:rPr>
              <w:t>national inventory report</w:t>
            </w:r>
          </w:p>
        </w:tc>
      </w:tr>
      <w:tr w:rsidR="00F34E8C" w:rsidRPr="00A93041" w14:paraId="19E15AAD" w14:textId="77777777" w:rsidTr="00AE0CFA">
        <w:tc>
          <w:tcPr>
            <w:tcW w:w="1526" w:type="dxa"/>
            <w:shd w:val="clear" w:color="auto" w:fill="auto"/>
          </w:tcPr>
          <w:p w14:paraId="2DA66336" w14:textId="77777777" w:rsidR="00F34E8C" w:rsidRPr="00A93041" w:rsidRDefault="00F34E8C" w:rsidP="00AE0CFA">
            <w:pPr>
              <w:pStyle w:val="BodyText"/>
              <w:spacing w:after="0"/>
              <w:jc w:val="left"/>
              <w:rPr>
                <w:rFonts w:ascii="Arial" w:eastAsia="Calibri" w:hAnsi="Arial" w:cs="Arial"/>
                <w:b/>
                <w:sz w:val="20"/>
              </w:rPr>
            </w:pPr>
            <w:r w:rsidRPr="00A93041">
              <w:rPr>
                <w:rFonts w:ascii="Arial" w:eastAsia="Calibri" w:hAnsi="Arial" w:cs="Arial"/>
                <w:b/>
                <w:sz w:val="20"/>
              </w:rPr>
              <w:t>NMVOC</w:t>
            </w:r>
          </w:p>
        </w:tc>
        <w:tc>
          <w:tcPr>
            <w:tcW w:w="7092" w:type="dxa"/>
            <w:shd w:val="clear" w:color="auto" w:fill="auto"/>
          </w:tcPr>
          <w:p w14:paraId="6338ECCD" w14:textId="77777777" w:rsidR="00F34E8C" w:rsidRPr="00A93041" w:rsidRDefault="00F34E8C" w:rsidP="00AE0CFA">
            <w:pPr>
              <w:pStyle w:val="BodyText"/>
              <w:spacing w:after="0"/>
              <w:jc w:val="left"/>
              <w:rPr>
                <w:rFonts w:ascii="Arial" w:eastAsia="Calibri" w:hAnsi="Arial" w:cs="Arial"/>
                <w:sz w:val="20"/>
              </w:rPr>
            </w:pPr>
            <w:r w:rsidRPr="00A93041">
              <w:rPr>
                <w:rFonts w:ascii="Arial" w:eastAsia="Calibri" w:hAnsi="Arial" w:cs="Arial"/>
                <w:sz w:val="20"/>
              </w:rPr>
              <w:t>non-methane volatile organic compound</w:t>
            </w:r>
          </w:p>
        </w:tc>
      </w:tr>
      <w:tr w:rsidR="00F34E8C" w:rsidRPr="00A93041" w14:paraId="48E1F4C5" w14:textId="77777777" w:rsidTr="00AE0CFA">
        <w:tc>
          <w:tcPr>
            <w:tcW w:w="1526" w:type="dxa"/>
            <w:shd w:val="clear" w:color="auto" w:fill="auto"/>
          </w:tcPr>
          <w:p w14:paraId="75606F65" w14:textId="77777777" w:rsidR="00F34E8C" w:rsidRPr="00A93041" w:rsidRDefault="00F34E8C" w:rsidP="00AE0CFA">
            <w:pPr>
              <w:pStyle w:val="BodyText"/>
              <w:spacing w:after="0"/>
              <w:jc w:val="left"/>
              <w:rPr>
                <w:rFonts w:ascii="Arial" w:eastAsia="Calibri" w:hAnsi="Arial" w:cs="Arial"/>
                <w:b/>
                <w:sz w:val="20"/>
              </w:rPr>
            </w:pPr>
            <w:r w:rsidRPr="00A93041">
              <w:rPr>
                <w:rFonts w:ascii="Arial" w:eastAsia="Calibri" w:hAnsi="Arial" w:cs="Arial"/>
                <w:b/>
                <w:sz w:val="20"/>
              </w:rPr>
              <w:t>NO</w:t>
            </w:r>
          </w:p>
        </w:tc>
        <w:tc>
          <w:tcPr>
            <w:tcW w:w="7092" w:type="dxa"/>
            <w:shd w:val="clear" w:color="auto" w:fill="auto"/>
          </w:tcPr>
          <w:p w14:paraId="0F9E59A6" w14:textId="77777777" w:rsidR="00F34E8C" w:rsidRPr="00A93041" w:rsidRDefault="00F34E8C" w:rsidP="00AE0CFA">
            <w:pPr>
              <w:pStyle w:val="BodyText"/>
              <w:spacing w:after="0"/>
              <w:jc w:val="left"/>
              <w:rPr>
                <w:rFonts w:ascii="Arial" w:eastAsia="Calibri" w:hAnsi="Arial" w:cs="Arial"/>
                <w:sz w:val="20"/>
              </w:rPr>
            </w:pPr>
            <w:r w:rsidRPr="00A93041">
              <w:rPr>
                <w:rFonts w:ascii="Arial" w:eastAsia="Calibri" w:hAnsi="Arial" w:cs="Arial"/>
                <w:sz w:val="20"/>
              </w:rPr>
              <w:t>not occurring</w:t>
            </w:r>
          </w:p>
        </w:tc>
      </w:tr>
      <w:tr w:rsidR="00F34E8C" w:rsidRPr="00A93041" w14:paraId="0CFD27F4" w14:textId="77777777" w:rsidTr="00AE0CFA">
        <w:tc>
          <w:tcPr>
            <w:tcW w:w="1526" w:type="dxa"/>
            <w:shd w:val="clear" w:color="auto" w:fill="auto"/>
          </w:tcPr>
          <w:p w14:paraId="1F77FDA3" w14:textId="5375B948" w:rsidR="00F34E8C" w:rsidRPr="00A93041" w:rsidRDefault="00F34E8C" w:rsidP="00AE0CFA">
            <w:pPr>
              <w:pStyle w:val="BodyText"/>
              <w:spacing w:after="0"/>
              <w:jc w:val="left"/>
              <w:rPr>
                <w:rFonts w:ascii="Arial" w:eastAsia="Calibri" w:hAnsi="Arial" w:cs="Arial"/>
                <w:b/>
                <w:sz w:val="20"/>
              </w:rPr>
            </w:pPr>
            <w:r w:rsidRPr="00A93041">
              <w:rPr>
                <w:rFonts w:ascii="Arial" w:eastAsia="Calibri" w:hAnsi="Arial" w:cs="Arial"/>
                <w:b/>
                <w:sz w:val="20"/>
              </w:rPr>
              <w:t>NO</w:t>
            </w:r>
            <w:r w:rsidRPr="00A93041">
              <w:rPr>
                <w:rFonts w:ascii="Arial" w:eastAsia="Calibri" w:hAnsi="Arial" w:cs="Arial"/>
                <w:b/>
                <w:sz w:val="20"/>
                <w:vertAlign w:val="subscript"/>
              </w:rPr>
              <w:t>3</w:t>
            </w:r>
          </w:p>
        </w:tc>
        <w:tc>
          <w:tcPr>
            <w:tcW w:w="7092" w:type="dxa"/>
            <w:shd w:val="clear" w:color="auto" w:fill="auto"/>
          </w:tcPr>
          <w:p w14:paraId="594A2869" w14:textId="77777777" w:rsidR="00F34E8C" w:rsidRPr="00A93041" w:rsidRDefault="00F34E8C" w:rsidP="00AE0CFA">
            <w:pPr>
              <w:pStyle w:val="BodyText"/>
              <w:spacing w:after="0"/>
              <w:jc w:val="left"/>
              <w:rPr>
                <w:rFonts w:ascii="Arial" w:eastAsia="Calibri" w:hAnsi="Arial" w:cs="Arial"/>
                <w:sz w:val="20"/>
              </w:rPr>
            </w:pPr>
            <w:r w:rsidRPr="00A93041">
              <w:rPr>
                <w:rFonts w:ascii="Arial" w:eastAsia="Calibri" w:hAnsi="Arial" w:cs="Arial"/>
                <w:sz w:val="20"/>
              </w:rPr>
              <w:t>nitrate</w:t>
            </w:r>
          </w:p>
        </w:tc>
      </w:tr>
      <w:tr w:rsidR="00F34E8C" w:rsidRPr="00A93041" w14:paraId="13E55C7E" w14:textId="77777777" w:rsidTr="00AE0CFA">
        <w:tc>
          <w:tcPr>
            <w:tcW w:w="1526" w:type="dxa"/>
            <w:shd w:val="clear" w:color="auto" w:fill="auto"/>
          </w:tcPr>
          <w:p w14:paraId="66F26D04" w14:textId="77777777" w:rsidR="00F34E8C" w:rsidRPr="00A93041" w:rsidRDefault="00F34E8C" w:rsidP="00AE0CFA">
            <w:pPr>
              <w:pStyle w:val="BodyText"/>
              <w:spacing w:after="0"/>
              <w:jc w:val="left"/>
              <w:rPr>
                <w:rFonts w:ascii="Arial" w:eastAsia="Calibri" w:hAnsi="Arial" w:cs="Arial"/>
                <w:b/>
                <w:sz w:val="20"/>
              </w:rPr>
            </w:pPr>
            <w:r w:rsidRPr="00A93041">
              <w:rPr>
                <w:rFonts w:ascii="Arial" w:eastAsia="Calibri" w:hAnsi="Arial" w:cs="Arial"/>
                <w:b/>
                <w:sz w:val="20"/>
              </w:rPr>
              <w:t>NOx</w:t>
            </w:r>
          </w:p>
        </w:tc>
        <w:tc>
          <w:tcPr>
            <w:tcW w:w="7092" w:type="dxa"/>
            <w:shd w:val="clear" w:color="auto" w:fill="auto"/>
          </w:tcPr>
          <w:p w14:paraId="7D4D2730" w14:textId="77777777" w:rsidR="00F34E8C" w:rsidRPr="00A93041" w:rsidRDefault="00F34E8C" w:rsidP="00AE0CFA">
            <w:pPr>
              <w:pStyle w:val="BodyText"/>
              <w:spacing w:after="0"/>
              <w:jc w:val="left"/>
              <w:rPr>
                <w:rFonts w:ascii="Arial" w:eastAsia="Calibri" w:hAnsi="Arial" w:cs="Arial"/>
                <w:sz w:val="20"/>
              </w:rPr>
            </w:pPr>
            <w:r w:rsidRPr="00A93041">
              <w:rPr>
                <w:rFonts w:ascii="Arial" w:eastAsia="Calibri" w:hAnsi="Arial" w:cs="Arial"/>
                <w:sz w:val="20"/>
              </w:rPr>
              <w:t>nitrogen oxides (other than nitrous oxide)</w:t>
            </w:r>
          </w:p>
        </w:tc>
      </w:tr>
      <w:tr w:rsidR="00F34E8C" w:rsidRPr="00A93041" w14:paraId="5CE1F449" w14:textId="77777777" w:rsidTr="00AE0CFA">
        <w:tc>
          <w:tcPr>
            <w:tcW w:w="1526" w:type="dxa"/>
            <w:shd w:val="clear" w:color="auto" w:fill="auto"/>
          </w:tcPr>
          <w:p w14:paraId="611A1195" w14:textId="77777777" w:rsidR="00F34E8C" w:rsidRPr="00A93041" w:rsidRDefault="00F34E8C" w:rsidP="00AE0CFA">
            <w:pPr>
              <w:pStyle w:val="BodyText"/>
              <w:spacing w:after="0"/>
              <w:jc w:val="left"/>
              <w:rPr>
                <w:rFonts w:ascii="Arial" w:eastAsia="Calibri" w:hAnsi="Arial" w:cs="Arial"/>
                <w:b/>
                <w:sz w:val="20"/>
              </w:rPr>
            </w:pPr>
            <w:r w:rsidRPr="00A93041">
              <w:rPr>
                <w:rFonts w:ascii="Arial" w:eastAsia="Calibri" w:hAnsi="Arial" w:cs="Arial"/>
                <w:b/>
                <w:sz w:val="20"/>
              </w:rPr>
              <w:t>NSD</w:t>
            </w:r>
          </w:p>
        </w:tc>
        <w:tc>
          <w:tcPr>
            <w:tcW w:w="7092" w:type="dxa"/>
            <w:shd w:val="clear" w:color="auto" w:fill="auto"/>
          </w:tcPr>
          <w:p w14:paraId="402169BB" w14:textId="77777777" w:rsidR="00F34E8C" w:rsidRPr="00A93041" w:rsidRDefault="00F34E8C" w:rsidP="00AE0CFA">
            <w:pPr>
              <w:pStyle w:val="BodyText"/>
              <w:spacing w:after="0"/>
              <w:jc w:val="left"/>
              <w:rPr>
                <w:rFonts w:ascii="Arial" w:eastAsia="Calibri" w:hAnsi="Arial" w:cs="Arial"/>
                <w:sz w:val="20"/>
              </w:rPr>
            </w:pPr>
            <w:r w:rsidRPr="00A93041">
              <w:rPr>
                <w:rFonts w:ascii="Arial" w:eastAsia="Calibri" w:hAnsi="Arial" w:cs="Arial"/>
                <w:sz w:val="20"/>
              </w:rPr>
              <w:t>National Soils Database</w:t>
            </w:r>
          </w:p>
        </w:tc>
      </w:tr>
      <w:tr w:rsidR="00F34E8C" w:rsidRPr="00A93041" w14:paraId="1BEF16DC" w14:textId="77777777" w:rsidTr="00AE0CFA">
        <w:tc>
          <w:tcPr>
            <w:tcW w:w="1526" w:type="dxa"/>
            <w:shd w:val="clear" w:color="auto" w:fill="auto"/>
          </w:tcPr>
          <w:p w14:paraId="63658E0D" w14:textId="77777777" w:rsidR="00F34E8C" w:rsidRPr="00A93041" w:rsidRDefault="00F34E8C" w:rsidP="00AE0CFA">
            <w:pPr>
              <w:pStyle w:val="BodyText"/>
              <w:spacing w:after="0"/>
              <w:jc w:val="left"/>
              <w:rPr>
                <w:rFonts w:ascii="Arial" w:eastAsia="Calibri" w:hAnsi="Arial" w:cs="Arial"/>
                <w:b/>
                <w:sz w:val="20"/>
                <w:highlight w:val="yellow"/>
              </w:rPr>
            </w:pPr>
            <w:r w:rsidRPr="00A93041">
              <w:rPr>
                <w:rFonts w:ascii="Arial" w:eastAsia="Calibri" w:hAnsi="Arial" w:cs="Arial"/>
                <w:b/>
                <w:sz w:val="20"/>
              </w:rPr>
              <w:t>NZAGRC</w:t>
            </w:r>
          </w:p>
        </w:tc>
        <w:tc>
          <w:tcPr>
            <w:tcW w:w="7092" w:type="dxa"/>
            <w:shd w:val="clear" w:color="auto" w:fill="auto"/>
          </w:tcPr>
          <w:p w14:paraId="4A077A63" w14:textId="77777777" w:rsidR="00F34E8C" w:rsidRPr="00A93041" w:rsidRDefault="00F34E8C" w:rsidP="00AE0CFA">
            <w:pPr>
              <w:pStyle w:val="BodyText"/>
              <w:spacing w:after="0"/>
              <w:jc w:val="left"/>
              <w:rPr>
                <w:rFonts w:ascii="Arial" w:eastAsia="Calibri" w:hAnsi="Arial" w:cs="Arial"/>
                <w:sz w:val="20"/>
                <w:highlight w:val="yellow"/>
              </w:rPr>
            </w:pPr>
            <w:r w:rsidRPr="00A93041">
              <w:rPr>
                <w:rFonts w:ascii="Arial" w:eastAsia="Calibri" w:hAnsi="Arial" w:cs="Arial"/>
                <w:sz w:val="20"/>
              </w:rPr>
              <w:t>New Zealand Agricultural Greenhouse Gas Research Centre</w:t>
            </w:r>
          </w:p>
        </w:tc>
      </w:tr>
      <w:tr w:rsidR="00F34E8C" w:rsidRPr="00A93041" w14:paraId="5ECF3D99" w14:textId="77777777" w:rsidTr="00AE0CFA">
        <w:tc>
          <w:tcPr>
            <w:tcW w:w="1526" w:type="dxa"/>
            <w:shd w:val="clear" w:color="auto" w:fill="auto"/>
          </w:tcPr>
          <w:p w14:paraId="3E4CC92B" w14:textId="77777777" w:rsidR="00F34E8C" w:rsidRPr="00A93041" w:rsidRDefault="00F34E8C" w:rsidP="00AE0CFA">
            <w:pPr>
              <w:pStyle w:val="BodyText"/>
              <w:spacing w:after="0"/>
              <w:jc w:val="left"/>
              <w:rPr>
                <w:rFonts w:ascii="Arial" w:eastAsia="Calibri" w:hAnsi="Arial" w:cs="Arial"/>
                <w:b/>
                <w:sz w:val="20"/>
              </w:rPr>
            </w:pPr>
            <w:r w:rsidRPr="00A93041">
              <w:rPr>
                <w:rFonts w:ascii="Arial" w:hAnsi="Arial" w:cs="Arial"/>
                <w:b/>
                <w:sz w:val="20"/>
              </w:rPr>
              <w:t>NZAS</w:t>
            </w:r>
          </w:p>
        </w:tc>
        <w:tc>
          <w:tcPr>
            <w:tcW w:w="7092" w:type="dxa"/>
            <w:shd w:val="clear" w:color="auto" w:fill="auto"/>
          </w:tcPr>
          <w:p w14:paraId="22CE48E5" w14:textId="77777777" w:rsidR="00F34E8C" w:rsidRPr="00A93041" w:rsidRDefault="00F34E8C" w:rsidP="00AE0CFA">
            <w:pPr>
              <w:pStyle w:val="BodyText"/>
              <w:spacing w:after="0"/>
              <w:jc w:val="left"/>
              <w:rPr>
                <w:rFonts w:ascii="Arial" w:eastAsia="Calibri" w:hAnsi="Arial" w:cs="Arial"/>
                <w:sz w:val="20"/>
              </w:rPr>
            </w:pPr>
            <w:r w:rsidRPr="00A93041">
              <w:rPr>
                <w:rFonts w:ascii="Arial" w:hAnsi="Arial" w:cs="Arial"/>
                <w:sz w:val="20"/>
              </w:rPr>
              <w:t>New Zealand Aluminium Smelters Limited</w:t>
            </w:r>
          </w:p>
        </w:tc>
      </w:tr>
      <w:tr w:rsidR="00F34E8C" w:rsidRPr="00A93041" w14:paraId="496E80C4" w14:textId="77777777" w:rsidTr="00AE0CFA">
        <w:tc>
          <w:tcPr>
            <w:tcW w:w="1526" w:type="dxa"/>
            <w:shd w:val="clear" w:color="auto" w:fill="auto"/>
          </w:tcPr>
          <w:p w14:paraId="4F7B1091" w14:textId="77777777" w:rsidR="00F34E8C" w:rsidRPr="00A93041" w:rsidRDefault="00F34E8C" w:rsidP="00AE0CFA">
            <w:pPr>
              <w:pStyle w:val="BodyText"/>
              <w:spacing w:after="0"/>
              <w:jc w:val="left"/>
              <w:rPr>
                <w:rFonts w:ascii="Arial" w:eastAsia="Calibri" w:hAnsi="Arial" w:cs="Arial"/>
                <w:b/>
                <w:sz w:val="20"/>
              </w:rPr>
            </w:pPr>
            <w:r w:rsidRPr="00A93041">
              <w:rPr>
                <w:rFonts w:ascii="Arial" w:eastAsia="Calibri" w:hAnsi="Arial" w:cs="Arial"/>
                <w:b/>
                <w:sz w:val="20"/>
              </w:rPr>
              <w:t xml:space="preserve">NZ ETS </w:t>
            </w:r>
          </w:p>
        </w:tc>
        <w:tc>
          <w:tcPr>
            <w:tcW w:w="7092" w:type="dxa"/>
            <w:shd w:val="clear" w:color="auto" w:fill="auto"/>
          </w:tcPr>
          <w:p w14:paraId="3F37596D" w14:textId="77777777" w:rsidR="00F34E8C" w:rsidRPr="00A93041" w:rsidRDefault="00F34E8C" w:rsidP="00AE0CFA">
            <w:pPr>
              <w:pStyle w:val="BodyText"/>
              <w:spacing w:after="0"/>
              <w:jc w:val="left"/>
              <w:rPr>
                <w:rFonts w:ascii="Arial" w:eastAsia="Calibri" w:hAnsi="Arial" w:cs="Arial"/>
                <w:sz w:val="20"/>
              </w:rPr>
            </w:pPr>
            <w:r w:rsidRPr="00A93041">
              <w:rPr>
                <w:rFonts w:ascii="Arial" w:eastAsia="Calibri" w:hAnsi="Arial" w:cs="Arial"/>
                <w:sz w:val="20"/>
              </w:rPr>
              <w:t>New Zealand Emissions Trading Scheme</w:t>
            </w:r>
          </w:p>
        </w:tc>
      </w:tr>
      <w:tr w:rsidR="00F34E8C" w:rsidRPr="00A93041" w14:paraId="6381F7DA" w14:textId="77777777" w:rsidTr="00AE0CFA">
        <w:tc>
          <w:tcPr>
            <w:tcW w:w="1526" w:type="dxa"/>
            <w:shd w:val="clear" w:color="auto" w:fill="auto"/>
          </w:tcPr>
          <w:p w14:paraId="2F4EB4B3" w14:textId="77777777" w:rsidR="00F34E8C" w:rsidRPr="00A93041" w:rsidRDefault="00F34E8C" w:rsidP="00AE0CFA">
            <w:pPr>
              <w:pStyle w:val="BodyText"/>
              <w:spacing w:after="0"/>
              <w:jc w:val="left"/>
              <w:rPr>
                <w:rFonts w:ascii="Arial" w:eastAsia="Calibri" w:hAnsi="Arial" w:cs="Arial"/>
                <w:b/>
                <w:sz w:val="20"/>
              </w:rPr>
            </w:pPr>
            <w:r w:rsidRPr="00A93041">
              <w:rPr>
                <w:rFonts w:ascii="Arial" w:eastAsia="Calibri" w:hAnsi="Arial" w:cs="Arial"/>
                <w:b/>
                <w:sz w:val="20"/>
              </w:rPr>
              <w:t>NZLRI</w:t>
            </w:r>
          </w:p>
        </w:tc>
        <w:tc>
          <w:tcPr>
            <w:tcW w:w="7092" w:type="dxa"/>
            <w:shd w:val="clear" w:color="auto" w:fill="auto"/>
          </w:tcPr>
          <w:p w14:paraId="7976F42A" w14:textId="77777777" w:rsidR="00F34E8C" w:rsidRPr="00A93041" w:rsidRDefault="00F34E8C" w:rsidP="00AE0CFA">
            <w:pPr>
              <w:pStyle w:val="BodyText"/>
              <w:spacing w:after="0"/>
              <w:jc w:val="left"/>
              <w:rPr>
                <w:rFonts w:ascii="Arial" w:eastAsia="Calibri" w:hAnsi="Arial" w:cs="Arial"/>
                <w:sz w:val="20"/>
              </w:rPr>
            </w:pPr>
            <w:r w:rsidRPr="00A93041">
              <w:rPr>
                <w:rFonts w:ascii="Arial" w:eastAsia="Calibri" w:hAnsi="Arial" w:cs="Arial"/>
                <w:sz w:val="20"/>
              </w:rPr>
              <w:t>New Zealand Land Resource Inventory</w:t>
            </w:r>
          </w:p>
        </w:tc>
      </w:tr>
      <w:tr w:rsidR="00F34E8C" w:rsidRPr="00A93041" w14:paraId="10B69982" w14:textId="77777777" w:rsidTr="00AE0CFA">
        <w:tc>
          <w:tcPr>
            <w:tcW w:w="1526" w:type="dxa"/>
            <w:shd w:val="clear" w:color="auto" w:fill="auto"/>
          </w:tcPr>
          <w:p w14:paraId="0C0E4522" w14:textId="77777777" w:rsidR="00F34E8C" w:rsidRPr="00A93041" w:rsidRDefault="00F34E8C" w:rsidP="00AE0CFA">
            <w:pPr>
              <w:pStyle w:val="BodyText"/>
              <w:spacing w:after="0"/>
              <w:jc w:val="left"/>
              <w:rPr>
                <w:rFonts w:ascii="Arial" w:eastAsia="Calibri" w:hAnsi="Arial" w:cs="Arial"/>
                <w:b/>
                <w:sz w:val="20"/>
              </w:rPr>
            </w:pPr>
            <w:r w:rsidRPr="00A93041">
              <w:rPr>
                <w:rFonts w:ascii="Arial" w:eastAsia="Calibri" w:hAnsi="Arial" w:cs="Arial"/>
                <w:b/>
                <w:sz w:val="20"/>
              </w:rPr>
              <w:t>NZU</w:t>
            </w:r>
          </w:p>
        </w:tc>
        <w:tc>
          <w:tcPr>
            <w:tcW w:w="7092" w:type="dxa"/>
            <w:shd w:val="clear" w:color="auto" w:fill="auto"/>
          </w:tcPr>
          <w:p w14:paraId="1A7EE226" w14:textId="77777777" w:rsidR="00F34E8C" w:rsidRPr="00A93041" w:rsidRDefault="00F34E8C" w:rsidP="00AE0CFA">
            <w:pPr>
              <w:pStyle w:val="BodyText"/>
              <w:spacing w:after="0"/>
              <w:jc w:val="left"/>
              <w:rPr>
                <w:rFonts w:ascii="Arial" w:eastAsia="Calibri" w:hAnsi="Arial" w:cs="Arial"/>
                <w:sz w:val="20"/>
              </w:rPr>
            </w:pPr>
            <w:r w:rsidRPr="00A93041">
              <w:rPr>
                <w:rFonts w:ascii="Arial" w:eastAsia="Calibri" w:hAnsi="Arial" w:cs="Arial"/>
                <w:sz w:val="20"/>
              </w:rPr>
              <w:t>New Zealand Unit</w:t>
            </w:r>
          </w:p>
        </w:tc>
      </w:tr>
      <w:tr w:rsidR="00F34E8C" w:rsidRPr="00A93041" w14:paraId="07DB9EFA" w14:textId="77777777" w:rsidTr="00AE0CFA">
        <w:tc>
          <w:tcPr>
            <w:tcW w:w="1526" w:type="dxa"/>
            <w:shd w:val="clear" w:color="auto" w:fill="auto"/>
          </w:tcPr>
          <w:p w14:paraId="482BD190" w14:textId="77777777" w:rsidR="00F34E8C" w:rsidRPr="00A93041" w:rsidRDefault="00F34E8C" w:rsidP="00AE0CFA">
            <w:pPr>
              <w:pStyle w:val="BodyText"/>
              <w:spacing w:after="0"/>
              <w:jc w:val="left"/>
              <w:rPr>
                <w:rFonts w:ascii="Arial" w:eastAsia="Calibri" w:hAnsi="Arial" w:cs="Arial"/>
                <w:b/>
                <w:sz w:val="20"/>
              </w:rPr>
            </w:pPr>
            <w:r w:rsidRPr="00A93041">
              <w:rPr>
                <w:rFonts w:ascii="Arial" w:eastAsia="Calibri" w:hAnsi="Arial" w:cs="Arial"/>
                <w:b/>
                <w:sz w:val="20"/>
              </w:rPr>
              <w:t>ODS</w:t>
            </w:r>
          </w:p>
        </w:tc>
        <w:tc>
          <w:tcPr>
            <w:tcW w:w="7092" w:type="dxa"/>
            <w:shd w:val="clear" w:color="auto" w:fill="auto"/>
          </w:tcPr>
          <w:p w14:paraId="54136A23" w14:textId="77777777" w:rsidR="00F34E8C" w:rsidRPr="00A93041" w:rsidRDefault="00F34E8C" w:rsidP="00AE0CFA">
            <w:pPr>
              <w:pStyle w:val="BodyText"/>
              <w:spacing w:after="0"/>
              <w:jc w:val="left"/>
              <w:rPr>
                <w:rFonts w:ascii="Arial" w:eastAsia="Calibri" w:hAnsi="Arial" w:cs="Arial"/>
                <w:sz w:val="20"/>
              </w:rPr>
            </w:pPr>
            <w:r w:rsidRPr="00A93041">
              <w:rPr>
                <w:rFonts w:ascii="Arial" w:eastAsia="Calibri" w:hAnsi="Arial" w:cs="Arial"/>
                <w:sz w:val="20"/>
              </w:rPr>
              <w:t>ozone-depleting substances</w:t>
            </w:r>
          </w:p>
        </w:tc>
      </w:tr>
      <w:tr w:rsidR="00F34E8C" w:rsidRPr="00A93041" w14:paraId="5BD6AC56" w14:textId="77777777" w:rsidTr="00AE0CFA">
        <w:tc>
          <w:tcPr>
            <w:tcW w:w="1526" w:type="dxa"/>
            <w:shd w:val="clear" w:color="auto" w:fill="auto"/>
          </w:tcPr>
          <w:p w14:paraId="0F6EA3A1" w14:textId="77777777" w:rsidR="00F34E8C" w:rsidRPr="00A93041" w:rsidRDefault="00F34E8C" w:rsidP="00AE0CFA">
            <w:pPr>
              <w:pStyle w:val="BodyText"/>
              <w:spacing w:after="0"/>
              <w:jc w:val="left"/>
              <w:rPr>
                <w:rFonts w:ascii="Arial" w:eastAsia="Calibri" w:hAnsi="Arial" w:cs="Arial"/>
                <w:b/>
                <w:sz w:val="20"/>
              </w:rPr>
            </w:pPr>
            <w:r w:rsidRPr="00A93041">
              <w:rPr>
                <w:rFonts w:ascii="Arial" w:eastAsia="Calibri" w:hAnsi="Arial" w:cs="Arial"/>
                <w:b/>
                <w:sz w:val="20"/>
              </w:rPr>
              <w:t>OECD</w:t>
            </w:r>
          </w:p>
        </w:tc>
        <w:tc>
          <w:tcPr>
            <w:tcW w:w="7092" w:type="dxa"/>
            <w:shd w:val="clear" w:color="auto" w:fill="auto"/>
          </w:tcPr>
          <w:p w14:paraId="228823EB" w14:textId="77777777" w:rsidR="00F34E8C" w:rsidRPr="00A93041" w:rsidRDefault="00F34E8C" w:rsidP="00AE0CFA">
            <w:pPr>
              <w:pStyle w:val="BodyText"/>
              <w:spacing w:after="0"/>
              <w:jc w:val="left"/>
              <w:rPr>
                <w:rFonts w:ascii="Arial" w:eastAsia="Calibri" w:hAnsi="Arial" w:cs="Arial"/>
                <w:sz w:val="20"/>
              </w:rPr>
            </w:pPr>
            <w:r w:rsidRPr="00A93041">
              <w:rPr>
                <w:rFonts w:ascii="Arial" w:eastAsia="Calibri" w:hAnsi="Arial" w:cs="Arial"/>
                <w:sz w:val="20"/>
              </w:rPr>
              <w:t xml:space="preserve">Organisation for Economic Co-operation and Development </w:t>
            </w:r>
          </w:p>
        </w:tc>
      </w:tr>
      <w:tr w:rsidR="00F34E8C" w:rsidRPr="00A93041" w14:paraId="2F66C93A" w14:textId="77777777" w:rsidTr="00AE0CFA">
        <w:tc>
          <w:tcPr>
            <w:tcW w:w="1526" w:type="dxa"/>
            <w:shd w:val="clear" w:color="auto" w:fill="auto"/>
          </w:tcPr>
          <w:p w14:paraId="559E4166" w14:textId="77777777" w:rsidR="00F34E8C" w:rsidRPr="00A93041" w:rsidRDefault="00F34E8C" w:rsidP="00AE0CFA">
            <w:pPr>
              <w:pStyle w:val="BodyText"/>
              <w:spacing w:after="0"/>
              <w:jc w:val="left"/>
              <w:rPr>
                <w:rFonts w:ascii="Arial" w:eastAsia="Calibri" w:hAnsi="Arial" w:cs="Arial"/>
                <w:b/>
                <w:sz w:val="20"/>
              </w:rPr>
            </w:pPr>
            <w:r w:rsidRPr="00A93041">
              <w:rPr>
                <w:rFonts w:ascii="Arial" w:eastAsia="Calibri" w:hAnsi="Arial" w:cs="Arial"/>
                <w:b/>
                <w:sz w:val="20"/>
              </w:rPr>
              <w:t>PFC</w:t>
            </w:r>
          </w:p>
        </w:tc>
        <w:tc>
          <w:tcPr>
            <w:tcW w:w="7092" w:type="dxa"/>
            <w:shd w:val="clear" w:color="auto" w:fill="auto"/>
          </w:tcPr>
          <w:p w14:paraId="333FBDF2" w14:textId="77777777" w:rsidR="00F34E8C" w:rsidRPr="00A93041" w:rsidRDefault="00F34E8C" w:rsidP="00AE0CFA">
            <w:pPr>
              <w:pStyle w:val="BodyText"/>
              <w:spacing w:after="0"/>
              <w:jc w:val="left"/>
              <w:rPr>
                <w:rFonts w:ascii="Arial" w:eastAsia="Calibri" w:hAnsi="Arial" w:cs="Arial"/>
                <w:sz w:val="20"/>
              </w:rPr>
            </w:pPr>
            <w:r w:rsidRPr="00A93041">
              <w:rPr>
                <w:rFonts w:ascii="Arial" w:eastAsia="Calibri" w:hAnsi="Arial" w:cs="Arial"/>
                <w:sz w:val="20"/>
              </w:rPr>
              <w:t>perfluorocarbon</w:t>
            </w:r>
          </w:p>
        </w:tc>
      </w:tr>
      <w:tr w:rsidR="00F34E8C" w:rsidRPr="00A93041" w14:paraId="585F3C0F" w14:textId="77777777" w:rsidTr="00AE0CFA">
        <w:tc>
          <w:tcPr>
            <w:tcW w:w="1526" w:type="dxa"/>
            <w:shd w:val="clear" w:color="auto" w:fill="auto"/>
          </w:tcPr>
          <w:p w14:paraId="15428785" w14:textId="77777777" w:rsidR="00F34E8C" w:rsidRPr="00A93041" w:rsidRDefault="00F34E8C" w:rsidP="00AE0CFA">
            <w:pPr>
              <w:pStyle w:val="BodyText"/>
              <w:spacing w:after="0"/>
              <w:jc w:val="left"/>
              <w:rPr>
                <w:rFonts w:ascii="Arial" w:eastAsia="Calibri" w:hAnsi="Arial" w:cs="Arial"/>
                <w:b/>
                <w:sz w:val="20"/>
              </w:rPr>
            </w:pPr>
            <w:r w:rsidRPr="00A93041">
              <w:rPr>
                <w:rFonts w:ascii="Arial" w:eastAsia="Calibri" w:hAnsi="Arial" w:cs="Arial"/>
                <w:b/>
                <w:sz w:val="20"/>
              </w:rPr>
              <w:t>PJ</w:t>
            </w:r>
          </w:p>
        </w:tc>
        <w:tc>
          <w:tcPr>
            <w:tcW w:w="7092" w:type="dxa"/>
            <w:shd w:val="clear" w:color="auto" w:fill="auto"/>
          </w:tcPr>
          <w:p w14:paraId="3455BDCD" w14:textId="77777777" w:rsidR="00F34E8C" w:rsidRPr="00A93041" w:rsidRDefault="00F34E8C" w:rsidP="00AE0CFA">
            <w:pPr>
              <w:pStyle w:val="BodyText"/>
              <w:spacing w:after="0"/>
              <w:jc w:val="left"/>
              <w:rPr>
                <w:rFonts w:ascii="Arial" w:eastAsia="Calibri" w:hAnsi="Arial" w:cs="Arial"/>
                <w:sz w:val="20"/>
              </w:rPr>
            </w:pPr>
            <w:r w:rsidRPr="00A93041">
              <w:rPr>
                <w:rFonts w:ascii="Arial" w:eastAsia="Calibri" w:hAnsi="Arial" w:cs="Arial"/>
                <w:sz w:val="20"/>
              </w:rPr>
              <w:t>petajoule(s)</w:t>
            </w:r>
          </w:p>
        </w:tc>
      </w:tr>
      <w:tr w:rsidR="00F34E8C" w:rsidRPr="00A93041" w14:paraId="3A4B0631" w14:textId="77777777" w:rsidTr="00AE0CFA">
        <w:tc>
          <w:tcPr>
            <w:tcW w:w="1526" w:type="dxa"/>
            <w:shd w:val="clear" w:color="auto" w:fill="auto"/>
          </w:tcPr>
          <w:p w14:paraId="588FFC71" w14:textId="77777777" w:rsidR="00F34E8C" w:rsidRPr="00A93041" w:rsidRDefault="00F34E8C" w:rsidP="00AE0CFA">
            <w:pPr>
              <w:pStyle w:val="BodyText"/>
              <w:spacing w:after="0"/>
              <w:jc w:val="left"/>
              <w:rPr>
                <w:rFonts w:ascii="Arial" w:eastAsia="Calibri" w:hAnsi="Arial" w:cs="Arial"/>
                <w:b/>
                <w:sz w:val="20"/>
              </w:rPr>
            </w:pPr>
            <w:r w:rsidRPr="00A93041">
              <w:rPr>
                <w:rFonts w:ascii="Arial" w:eastAsia="Calibri" w:hAnsi="Arial" w:cs="Arial"/>
                <w:b/>
                <w:sz w:val="20"/>
              </w:rPr>
              <w:t>PSP</w:t>
            </w:r>
          </w:p>
        </w:tc>
        <w:tc>
          <w:tcPr>
            <w:tcW w:w="7092" w:type="dxa"/>
            <w:shd w:val="clear" w:color="auto" w:fill="auto"/>
          </w:tcPr>
          <w:p w14:paraId="26D45198" w14:textId="77777777" w:rsidR="00F34E8C" w:rsidRPr="00A93041" w:rsidRDefault="00F34E8C" w:rsidP="00AE0CFA">
            <w:pPr>
              <w:pStyle w:val="BodyText"/>
              <w:spacing w:after="0"/>
              <w:jc w:val="left"/>
              <w:rPr>
                <w:rFonts w:ascii="Arial" w:eastAsia="Calibri" w:hAnsi="Arial" w:cs="Arial"/>
                <w:sz w:val="20"/>
              </w:rPr>
            </w:pPr>
            <w:r w:rsidRPr="00A93041">
              <w:rPr>
                <w:rFonts w:ascii="Arial" w:eastAsia="Calibri" w:hAnsi="Arial" w:cs="Arial"/>
                <w:sz w:val="20"/>
              </w:rPr>
              <w:t>permanent sample plot</w:t>
            </w:r>
          </w:p>
        </w:tc>
      </w:tr>
      <w:tr w:rsidR="00F34E8C" w:rsidRPr="00A93041" w14:paraId="0CB0549B" w14:textId="77777777" w:rsidTr="00AE0CFA">
        <w:tc>
          <w:tcPr>
            <w:tcW w:w="1526" w:type="dxa"/>
            <w:shd w:val="clear" w:color="auto" w:fill="auto"/>
          </w:tcPr>
          <w:p w14:paraId="6B3954B3" w14:textId="77777777" w:rsidR="00F34E8C" w:rsidRPr="00A93041" w:rsidRDefault="00F34E8C" w:rsidP="00AE0CFA">
            <w:pPr>
              <w:pStyle w:val="BodyText"/>
              <w:spacing w:after="0"/>
              <w:jc w:val="left"/>
              <w:rPr>
                <w:rFonts w:ascii="Arial" w:eastAsia="Calibri" w:hAnsi="Arial" w:cs="Arial"/>
                <w:b/>
                <w:sz w:val="20"/>
              </w:rPr>
            </w:pPr>
            <w:r w:rsidRPr="00A93041">
              <w:rPr>
                <w:rFonts w:ascii="Arial" w:eastAsia="Calibri" w:hAnsi="Arial" w:cs="Arial"/>
                <w:b/>
                <w:sz w:val="20"/>
              </w:rPr>
              <w:t>QA</w:t>
            </w:r>
          </w:p>
        </w:tc>
        <w:tc>
          <w:tcPr>
            <w:tcW w:w="7092" w:type="dxa"/>
            <w:shd w:val="clear" w:color="auto" w:fill="auto"/>
          </w:tcPr>
          <w:p w14:paraId="11733B22" w14:textId="77777777" w:rsidR="00F34E8C" w:rsidRPr="00A93041" w:rsidRDefault="00F34E8C" w:rsidP="00AE0CFA">
            <w:pPr>
              <w:pStyle w:val="BodyText"/>
              <w:spacing w:after="0"/>
              <w:jc w:val="left"/>
              <w:rPr>
                <w:rFonts w:ascii="Arial" w:eastAsia="Calibri" w:hAnsi="Arial" w:cs="Arial"/>
                <w:sz w:val="20"/>
              </w:rPr>
            </w:pPr>
            <w:r w:rsidRPr="00A93041">
              <w:rPr>
                <w:rFonts w:ascii="Arial" w:eastAsia="Calibri" w:hAnsi="Arial" w:cs="Arial"/>
                <w:sz w:val="20"/>
              </w:rPr>
              <w:t>quality assurance</w:t>
            </w:r>
          </w:p>
        </w:tc>
      </w:tr>
      <w:tr w:rsidR="00F34E8C" w:rsidRPr="00A93041" w14:paraId="1EDBC77F" w14:textId="77777777" w:rsidTr="00AE0CFA">
        <w:tc>
          <w:tcPr>
            <w:tcW w:w="1526" w:type="dxa"/>
            <w:shd w:val="clear" w:color="auto" w:fill="auto"/>
          </w:tcPr>
          <w:p w14:paraId="63AA7C33" w14:textId="77777777" w:rsidR="00F34E8C" w:rsidRPr="00A93041" w:rsidRDefault="00F34E8C" w:rsidP="00AE0CFA">
            <w:pPr>
              <w:pStyle w:val="BodyText"/>
              <w:spacing w:after="0"/>
              <w:jc w:val="left"/>
              <w:rPr>
                <w:rFonts w:ascii="Arial" w:eastAsia="Calibri" w:hAnsi="Arial" w:cs="Arial"/>
                <w:b/>
                <w:sz w:val="20"/>
              </w:rPr>
            </w:pPr>
            <w:r w:rsidRPr="00A93041">
              <w:rPr>
                <w:rFonts w:ascii="Arial" w:eastAsia="Calibri" w:hAnsi="Arial" w:cs="Arial"/>
                <w:b/>
                <w:sz w:val="20"/>
              </w:rPr>
              <w:t xml:space="preserve">QC </w:t>
            </w:r>
          </w:p>
        </w:tc>
        <w:tc>
          <w:tcPr>
            <w:tcW w:w="7092" w:type="dxa"/>
            <w:shd w:val="clear" w:color="auto" w:fill="auto"/>
          </w:tcPr>
          <w:p w14:paraId="1E6B8BB8" w14:textId="77777777" w:rsidR="00F34E8C" w:rsidRPr="00A93041" w:rsidRDefault="00F34E8C" w:rsidP="00AE0CFA">
            <w:pPr>
              <w:pStyle w:val="BodyText"/>
              <w:spacing w:after="0"/>
              <w:jc w:val="left"/>
              <w:rPr>
                <w:rFonts w:ascii="Arial" w:eastAsia="Calibri" w:hAnsi="Arial" w:cs="Arial"/>
                <w:sz w:val="20"/>
              </w:rPr>
            </w:pPr>
            <w:r w:rsidRPr="00A93041">
              <w:rPr>
                <w:rFonts w:ascii="Arial" w:eastAsia="Calibri" w:hAnsi="Arial" w:cs="Arial"/>
                <w:sz w:val="20"/>
              </w:rPr>
              <w:t>quality control</w:t>
            </w:r>
          </w:p>
        </w:tc>
      </w:tr>
      <w:tr w:rsidR="00F34E8C" w:rsidRPr="00A93041" w14:paraId="7CDB3C3A" w14:textId="77777777" w:rsidTr="00AE0CFA">
        <w:tc>
          <w:tcPr>
            <w:tcW w:w="1526" w:type="dxa"/>
            <w:shd w:val="clear" w:color="auto" w:fill="auto"/>
          </w:tcPr>
          <w:p w14:paraId="708108B5" w14:textId="77777777" w:rsidR="00F34E8C" w:rsidRPr="00A93041" w:rsidRDefault="00F34E8C" w:rsidP="00AE0CFA">
            <w:pPr>
              <w:pStyle w:val="BodyText"/>
              <w:spacing w:after="0"/>
              <w:jc w:val="left"/>
              <w:rPr>
                <w:rFonts w:ascii="Arial" w:eastAsia="Calibri" w:hAnsi="Arial" w:cs="Arial"/>
                <w:b/>
                <w:sz w:val="20"/>
              </w:rPr>
            </w:pPr>
            <w:r w:rsidRPr="00A93041">
              <w:rPr>
                <w:rFonts w:ascii="Arial" w:eastAsia="Calibri" w:hAnsi="Arial" w:cs="Arial"/>
                <w:b/>
                <w:sz w:val="20"/>
              </w:rPr>
              <w:lastRenderedPageBreak/>
              <w:t>RGG</w:t>
            </w:r>
          </w:p>
        </w:tc>
        <w:tc>
          <w:tcPr>
            <w:tcW w:w="7092" w:type="dxa"/>
            <w:shd w:val="clear" w:color="auto" w:fill="auto"/>
          </w:tcPr>
          <w:p w14:paraId="21380317" w14:textId="77777777" w:rsidR="00F34E8C" w:rsidRPr="00A93041" w:rsidRDefault="00F34E8C" w:rsidP="00AE0CFA">
            <w:pPr>
              <w:pStyle w:val="BodyText"/>
              <w:spacing w:after="0"/>
              <w:jc w:val="left"/>
              <w:rPr>
                <w:rFonts w:ascii="Arial" w:eastAsia="Calibri" w:hAnsi="Arial" w:cs="Arial"/>
                <w:sz w:val="20"/>
              </w:rPr>
            </w:pPr>
            <w:r w:rsidRPr="00A93041">
              <w:rPr>
                <w:rFonts w:ascii="Arial" w:eastAsia="Calibri" w:hAnsi="Arial" w:cs="Arial"/>
                <w:sz w:val="20"/>
              </w:rPr>
              <w:t xml:space="preserve">Reporting Governance Group </w:t>
            </w:r>
          </w:p>
        </w:tc>
      </w:tr>
      <w:tr w:rsidR="00F34E8C" w:rsidRPr="00A93041" w14:paraId="132E11E2" w14:textId="77777777" w:rsidTr="00AE0CFA">
        <w:tc>
          <w:tcPr>
            <w:tcW w:w="1526" w:type="dxa"/>
            <w:shd w:val="clear" w:color="auto" w:fill="auto"/>
          </w:tcPr>
          <w:p w14:paraId="01A28A17" w14:textId="77777777" w:rsidR="00F34E8C" w:rsidRPr="00A93041" w:rsidRDefault="00F34E8C" w:rsidP="00AE0CFA">
            <w:pPr>
              <w:pStyle w:val="BodyText"/>
              <w:spacing w:after="0"/>
              <w:jc w:val="left"/>
              <w:rPr>
                <w:rFonts w:ascii="Arial" w:eastAsia="Calibri" w:hAnsi="Arial" w:cs="Arial"/>
                <w:b/>
                <w:sz w:val="20"/>
              </w:rPr>
            </w:pPr>
            <w:r w:rsidRPr="00A93041">
              <w:rPr>
                <w:rFonts w:ascii="Arial" w:eastAsia="Calibri" w:hAnsi="Arial" w:cs="Arial"/>
                <w:b/>
                <w:sz w:val="20"/>
              </w:rPr>
              <w:t>RMU</w:t>
            </w:r>
          </w:p>
        </w:tc>
        <w:tc>
          <w:tcPr>
            <w:tcW w:w="7092" w:type="dxa"/>
            <w:shd w:val="clear" w:color="auto" w:fill="auto"/>
          </w:tcPr>
          <w:p w14:paraId="53984223" w14:textId="77777777" w:rsidR="00F34E8C" w:rsidRPr="00A93041" w:rsidRDefault="00F34E8C" w:rsidP="00AE0CFA">
            <w:pPr>
              <w:pStyle w:val="BodyText"/>
              <w:spacing w:after="0"/>
              <w:jc w:val="left"/>
              <w:rPr>
                <w:rFonts w:ascii="Arial" w:eastAsia="Calibri" w:hAnsi="Arial" w:cs="Arial"/>
                <w:sz w:val="20"/>
              </w:rPr>
            </w:pPr>
            <w:r w:rsidRPr="00A93041">
              <w:rPr>
                <w:rFonts w:ascii="Arial" w:eastAsia="Calibri" w:hAnsi="Arial" w:cs="Arial"/>
                <w:sz w:val="20"/>
              </w:rPr>
              <w:t>removal unit</w:t>
            </w:r>
          </w:p>
        </w:tc>
      </w:tr>
      <w:tr w:rsidR="00F34E8C" w:rsidRPr="00A93041" w14:paraId="7202FFD1" w14:textId="77777777" w:rsidTr="00AE0CFA">
        <w:tc>
          <w:tcPr>
            <w:tcW w:w="1526" w:type="dxa"/>
            <w:shd w:val="clear" w:color="auto" w:fill="auto"/>
          </w:tcPr>
          <w:p w14:paraId="6970CFE2" w14:textId="77777777" w:rsidR="00F34E8C" w:rsidRPr="00A93041" w:rsidRDefault="00F34E8C" w:rsidP="00AE0CFA">
            <w:pPr>
              <w:pStyle w:val="BodyText"/>
              <w:spacing w:after="0"/>
              <w:jc w:val="left"/>
              <w:rPr>
                <w:rFonts w:ascii="Arial" w:eastAsia="Calibri" w:hAnsi="Arial" w:cs="Arial"/>
                <w:b/>
                <w:sz w:val="20"/>
              </w:rPr>
            </w:pPr>
            <w:r w:rsidRPr="00A93041">
              <w:rPr>
                <w:rFonts w:ascii="Arial" w:eastAsia="Calibri" w:hAnsi="Arial" w:cs="Arial"/>
                <w:b/>
                <w:sz w:val="20"/>
              </w:rPr>
              <w:t>SEF</w:t>
            </w:r>
          </w:p>
        </w:tc>
        <w:tc>
          <w:tcPr>
            <w:tcW w:w="7092" w:type="dxa"/>
            <w:shd w:val="clear" w:color="auto" w:fill="auto"/>
          </w:tcPr>
          <w:p w14:paraId="27E40791" w14:textId="77777777" w:rsidR="00F34E8C" w:rsidRPr="00A93041" w:rsidRDefault="00F34E8C" w:rsidP="00AE0CFA">
            <w:pPr>
              <w:pStyle w:val="BodyText"/>
              <w:spacing w:after="0"/>
              <w:jc w:val="left"/>
              <w:rPr>
                <w:rFonts w:ascii="Arial" w:eastAsia="Calibri" w:hAnsi="Arial" w:cs="Arial"/>
                <w:sz w:val="20"/>
              </w:rPr>
            </w:pPr>
            <w:r w:rsidRPr="00A93041">
              <w:rPr>
                <w:rFonts w:ascii="Arial" w:eastAsia="Calibri" w:hAnsi="Arial" w:cs="Arial"/>
                <w:sz w:val="20"/>
              </w:rPr>
              <w:t>standard electronic format</w:t>
            </w:r>
          </w:p>
        </w:tc>
      </w:tr>
      <w:tr w:rsidR="00F34E8C" w:rsidRPr="00A93041" w14:paraId="3792535B" w14:textId="77777777" w:rsidTr="00AE0CFA">
        <w:tc>
          <w:tcPr>
            <w:tcW w:w="1526" w:type="dxa"/>
            <w:shd w:val="clear" w:color="auto" w:fill="auto"/>
          </w:tcPr>
          <w:p w14:paraId="781CF354" w14:textId="77777777" w:rsidR="00F34E8C" w:rsidRPr="00A93041" w:rsidRDefault="00F34E8C" w:rsidP="00AE0CFA">
            <w:pPr>
              <w:pStyle w:val="BodyText"/>
              <w:spacing w:after="0"/>
              <w:jc w:val="left"/>
              <w:rPr>
                <w:rFonts w:ascii="Arial" w:eastAsia="Calibri" w:hAnsi="Arial" w:cs="Arial"/>
                <w:b/>
                <w:sz w:val="20"/>
              </w:rPr>
            </w:pPr>
            <w:r w:rsidRPr="00A93041">
              <w:rPr>
                <w:rFonts w:ascii="Arial" w:eastAsia="Calibri" w:hAnsi="Arial" w:cs="Arial"/>
                <w:b/>
                <w:sz w:val="20"/>
              </w:rPr>
              <w:t>SF</w:t>
            </w:r>
            <w:r w:rsidRPr="00A93041">
              <w:rPr>
                <w:rFonts w:ascii="Arial" w:eastAsia="Calibri" w:hAnsi="Arial" w:cs="Arial"/>
                <w:b/>
                <w:sz w:val="20"/>
                <w:vertAlign w:val="subscript"/>
              </w:rPr>
              <w:t>6</w:t>
            </w:r>
          </w:p>
        </w:tc>
        <w:tc>
          <w:tcPr>
            <w:tcW w:w="7092" w:type="dxa"/>
            <w:shd w:val="clear" w:color="auto" w:fill="auto"/>
          </w:tcPr>
          <w:p w14:paraId="09AFC7D8" w14:textId="77777777" w:rsidR="00F34E8C" w:rsidRPr="00A93041" w:rsidRDefault="00F34E8C" w:rsidP="00AE0CFA">
            <w:pPr>
              <w:pStyle w:val="BodyText"/>
              <w:spacing w:after="0"/>
              <w:jc w:val="left"/>
              <w:rPr>
                <w:rFonts w:ascii="Arial" w:eastAsia="Calibri" w:hAnsi="Arial" w:cs="Arial"/>
                <w:sz w:val="20"/>
              </w:rPr>
            </w:pPr>
            <w:r w:rsidRPr="00A93041">
              <w:rPr>
                <w:rFonts w:ascii="Arial" w:eastAsia="Calibri" w:hAnsi="Arial" w:cs="Arial"/>
                <w:sz w:val="20"/>
              </w:rPr>
              <w:t>sulphur hexafluoride</w:t>
            </w:r>
          </w:p>
        </w:tc>
      </w:tr>
      <w:tr w:rsidR="00F34E8C" w:rsidRPr="00A93041" w14:paraId="11F40260" w14:textId="77777777" w:rsidTr="00AE0CFA">
        <w:tc>
          <w:tcPr>
            <w:tcW w:w="1526" w:type="dxa"/>
            <w:shd w:val="clear" w:color="auto" w:fill="auto"/>
          </w:tcPr>
          <w:p w14:paraId="03949225" w14:textId="77777777" w:rsidR="00F34E8C" w:rsidRPr="00A93041" w:rsidRDefault="00F34E8C" w:rsidP="00AE0CFA">
            <w:pPr>
              <w:pStyle w:val="BodyText"/>
              <w:spacing w:after="0"/>
              <w:jc w:val="left"/>
              <w:rPr>
                <w:rFonts w:ascii="Arial" w:eastAsia="Calibri" w:hAnsi="Arial" w:cs="Arial"/>
                <w:b/>
                <w:sz w:val="20"/>
              </w:rPr>
            </w:pPr>
            <w:r w:rsidRPr="00A93041">
              <w:rPr>
                <w:rFonts w:ascii="Arial" w:eastAsia="Calibri" w:hAnsi="Arial" w:cs="Arial"/>
                <w:b/>
                <w:sz w:val="20"/>
              </w:rPr>
              <w:t>SO</w:t>
            </w:r>
            <w:r w:rsidRPr="00A93041">
              <w:rPr>
                <w:rFonts w:ascii="Arial" w:eastAsia="Calibri" w:hAnsi="Arial" w:cs="Arial"/>
                <w:b/>
                <w:sz w:val="20"/>
                <w:vertAlign w:val="subscript"/>
              </w:rPr>
              <w:t>2</w:t>
            </w:r>
          </w:p>
        </w:tc>
        <w:tc>
          <w:tcPr>
            <w:tcW w:w="7092" w:type="dxa"/>
            <w:shd w:val="clear" w:color="auto" w:fill="auto"/>
          </w:tcPr>
          <w:p w14:paraId="75B73EE0" w14:textId="77777777" w:rsidR="00F34E8C" w:rsidRPr="00A93041" w:rsidRDefault="00F34E8C" w:rsidP="00AE0CFA">
            <w:pPr>
              <w:pStyle w:val="BodyText"/>
              <w:spacing w:after="0"/>
              <w:jc w:val="left"/>
              <w:rPr>
                <w:rFonts w:ascii="Arial" w:eastAsia="Calibri" w:hAnsi="Arial" w:cs="Arial"/>
                <w:sz w:val="20"/>
              </w:rPr>
            </w:pPr>
            <w:r w:rsidRPr="00A93041">
              <w:rPr>
                <w:rFonts w:ascii="Arial" w:eastAsia="Calibri" w:hAnsi="Arial" w:cs="Arial"/>
                <w:sz w:val="20"/>
              </w:rPr>
              <w:t>sulphur dioxide</w:t>
            </w:r>
          </w:p>
        </w:tc>
      </w:tr>
      <w:tr w:rsidR="00F34E8C" w:rsidRPr="00A93041" w14:paraId="1BFCA81C" w14:textId="77777777" w:rsidTr="00AE0CFA">
        <w:tc>
          <w:tcPr>
            <w:tcW w:w="1526" w:type="dxa"/>
            <w:shd w:val="clear" w:color="auto" w:fill="auto"/>
          </w:tcPr>
          <w:p w14:paraId="590BDF09" w14:textId="77777777" w:rsidR="00F34E8C" w:rsidRPr="00A93041" w:rsidRDefault="00F34E8C" w:rsidP="00AE0CFA">
            <w:pPr>
              <w:pStyle w:val="BodyText"/>
              <w:spacing w:after="0"/>
              <w:jc w:val="left"/>
              <w:rPr>
                <w:rFonts w:ascii="Arial" w:eastAsia="Calibri" w:hAnsi="Arial" w:cs="Arial"/>
                <w:b/>
                <w:sz w:val="20"/>
              </w:rPr>
            </w:pPr>
            <w:r w:rsidRPr="00A93041">
              <w:rPr>
                <w:rFonts w:ascii="Arial" w:eastAsia="Calibri" w:hAnsi="Arial" w:cs="Arial"/>
                <w:b/>
                <w:sz w:val="20"/>
              </w:rPr>
              <w:t>SOC</w:t>
            </w:r>
          </w:p>
        </w:tc>
        <w:tc>
          <w:tcPr>
            <w:tcW w:w="7092" w:type="dxa"/>
            <w:shd w:val="clear" w:color="auto" w:fill="auto"/>
          </w:tcPr>
          <w:p w14:paraId="37784505" w14:textId="77777777" w:rsidR="00F34E8C" w:rsidRPr="00A93041" w:rsidRDefault="00F34E8C" w:rsidP="00AE0CFA">
            <w:pPr>
              <w:pStyle w:val="BodyText"/>
              <w:spacing w:after="0"/>
              <w:jc w:val="left"/>
              <w:rPr>
                <w:rFonts w:ascii="Arial" w:eastAsia="Calibri" w:hAnsi="Arial" w:cs="Arial"/>
                <w:sz w:val="20"/>
              </w:rPr>
            </w:pPr>
            <w:r w:rsidRPr="00A93041">
              <w:rPr>
                <w:rFonts w:ascii="Arial" w:eastAsia="Calibri" w:hAnsi="Arial" w:cs="Arial"/>
                <w:sz w:val="20"/>
              </w:rPr>
              <w:t>soil organic carbon</w:t>
            </w:r>
          </w:p>
        </w:tc>
      </w:tr>
      <w:tr w:rsidR="00F34E8C" w:rsidRPr="00A93041" w14:paraId="5FC529FC" w14:textId="77777777" w:rsidTr="00AE0CFA">
        <w:tc>
          <w:tcPr>
            <w:tcW w:w="1526" w:type="dxa"/>
            <w:shd w:val="clear" w:color="auto" w:fill="auto"/>
          </w:tcPr>
          <w:p w14:paraId="46CA051A" w14:textId="77777777" w:rsidR="00F34E8C" w:rsidRPr="00A93041" w:rsidRDefault="00F34E8C" w:rsidP="00AE0CFA">
            <w:pPr>
              <w:pStyle w:val="BodyText"/>
              <w:spacing w:after="0"/>
              <w:jc w:val="left"/>
              <w:rPr>
                <w:rFonts w:ascii="Arial" w:eastAsia="Calibri" w:hAnsi="Arial" w:cs="Arial"/>
                <w:b/>
                <w:sz w:val="20"/>
              </w:rPr>
            </w:pPr>
            <w:r w:rsidRPr="00A93041">
              <w:rPr>
                <w:rFonts w:ascii="Arial" w:eastAsia="Calibri" w:hAnsi="Arial" w:cs="Arial"/>
                <w:b/>
                <w:sz w:val="20"/>
              </w:rPr>
              <w:t>StatsNZ</w:t>
            </w:r>
          </w:p>
        </w:tc>
        <w:tc>
          <w:tcPr>
            <w:tcW w:w="7092" w:type="dxa"/>
            <w:shd w:val="clear" w:color="auto" w:fill="auto"/>
          </w:tcPr>
          <w:p w14:paraId="4F32827F" w14:textId="77777777" w:rsidR="00F34E8C" w:rsidRPr="00A93041" w:rsidRDefault="00F34E8C" w:rsidP="00AE0CFA">
            <w:pPr>
              <w:pStyle w:val="BodyText"/>
              <w:spacing w:after="0"/>
              <w:jc w:val="left"/>
              <w:rPr>
                <w:rFonts w:ascii="Arial" w:eastAsia="Calibri" w:hAnsi="Arial" w:cs="Arial"/>
                <w:sz w:val="20"/>
              </w:rPr>
            </w:pPr>
            <w:r w:rsidRPr="00A93041">
              <w:rPr>
                <w:rFonts w:ascii="Arial" w:eastAsia="Calibri" w:hAnsi="Arial" w:cs="Arial"/>
                <w:sz w:val="20"/>
              </w:rPr>
              <w:t>Statistics New Zealand</w:t>
            </w:r>
          </w:p>
        </w:tc>
      </w:tr>
      <w:tr w:rsidR="00F34E8C" w:rsidRPr="00A93041" w14:paraId="62AEAD66" w14:textId="77777777" w:rsidTr="00AE0CFA">
        <w:tc>
          <w:tcPr>
            <w:tcW w:w="1526" w:type="dxa"/>
            <w:shd w:val="clear" w:color="auto" w:fill="auto"/>
          </w:tcPr>
          <w:p w14:paraId="29E89F4F" w14:textId="77777777" w:rsidR="00F34E8C" w:rsidRPr="00A93041" w:rsidRDefault="00F34E8C" w:rsidP="00AE0CFA">
            <w:pPr>
              <w:pStyle w:val="BodyText"/>
              <w:spacing w:after="0"/>
              <w:jc w:val="left"/>
              <w:rPr>
                <w:rFonts w:ascii="Arial" w:eastAsia="Calibri" w:hAnsi="Arial" w:cs="Arial"/>
                <w:b/>
                <w:sz w:val="20"/>
              </w:rPr>
            </w:pPr>
            <w:r w:rsidRPr="00A93041">
              <w:rPr>
                <w:rFonts w:ascii="Arial" w:eastAsia="Calibri" w:hAnsi="Arial" w:cs="Arial"/>
                <w:b/>
                <w:sz w:val="20"/>
              </w:rPr>
              <w:t>TACCC</w:t>
            </w:r>
          </w:p>
        </w:tc>
        <w:tc>
          <w:tcPr>
            <w:tcW w:w="7092" w:type="dxa"/>
            <w:shd w:val="clear" w:color="auto" w:fill="auto"/>
          </w:tcPr>
          <w:p w14:paraId="5C346FB7" w14:textId="77777777" w:rsidR="00F34E8C" w:rsidRPr="00A93041" w:rsidRDefault="00F34E8C" w:rsidP="00AE0CFA">
            <w:pPr>
              <w:pStyle w:val="BodyText"/>
              <w:spacing w:after="0"/>
              <w:jc w:val="left"/>
              <w:rPr>
                <w:rFonts w:ascii="Arial" w:eastAsia="Calibri" w:hAnsi="Arial" w:cs="Arial"/>
                <w:sz w:val="20"/>
              </w:rPr>
            </w:pPr>
            <w:r w:rsidRPr="00A93041">
              <w:rPr>
                <w:rFonts w:ascii="Arial" w:eastAsia="Calibri" w:hAnsi="Arial" w:cs="Arial"/>
                <w:sz w:val="20"/>
              </w:rPr>
              <w:t>transparency, accuracy, completeness, consistency and comparability</w:t>
            </w:r>
          </w:p>
        </w:tc>
      </w:tr>
      <w:tr w:rsidR="00F34E8C" w:rsidRPr="00A93041" w14:paraId="55D8408B" w14:textId="77777777" w:rsidTr="00AE0CFA">
        <w:tc>
          <w:tcPr>
            <w:tcW w:w="1526" w:type="dxa"/>
            <w:shd w:val="clear" w:color="auto" w:fill="auto"/>
          </w:tcPr>
          <w:p w14:paraId="623F0DCD" w14:textId="77777777" w:rsidR="00F34E8C" w:rsidRPr="00A93041" w:rsidRDefault="00F34E8C" w:rsidP="00AE0CFA">
            <w:pPr>
              <w:pStyle w:val="BodyText"/>
              <w:spacing w:after="0"/>
              <w:jc w:val="left"/>
              <w:rPr>
                <w:rFonts w:ascii="Arial" w:eastAsia="Calibri" w:hAnsi="Arial" w:cs="Arial"/>
                <w:b/>
                <w:sz w:val="20"/>
              </w:rPr>
            </w:pPr>
            <w:r w:rsidRPr="00A93041">
              <w:rPr>
                <w:rFonts w:ascii="Arial" w:eastAsia="Calibri" w:hAnsi="Arial" w:cs="Arial"/>
                <w:b/>
                <w:sz w:val="20"/>
              </w:rPr>
              <w:t xml:space="preserve">tCER </w:t>
            </w:r>
          </w:p>
        </w:tc>
        <w:tc>
          <w:tcPr>
            <w:tcW w:w="7092" w:type="dxa"/>
            <w:shd w:val="clear" w:color="auto" w:fill="auto"/>
          </w:tcPr>
          <w:p w14:paraId="280152F5" w14:textId="77777777" w:rsidR="00F34E8C" w:rsidRPr="00A93041" w:rsidRDefault="00F34E8C" w:rsidP="00AE0CFA">
            <w:pPr>
              <w:pStyle w:val="BodyText"/>
              <w:spacing w:after="0"/>
              <w:jc w:val="left"/>
              <w:rPr>
                <w:rFonts w:ascii="Arial" w:eastAsia="Calibri" w:hAnsi="Arial" w:cs="Arial"/>
                <w:sz w:val="20"/>
              </w:rPr>
            </w:pPr>
            <w:r w:rsidRPr="00A93041">
              <w:rPr>
                <w:rFonts w:ascii="Arial" w:eastAsia="Calibri" w:hAnsi="Arial" w:cs="Arial"/>
                <w:sz w:val="20"/>
              </w:rPr>
              <w:t>temporary certified emission reduction unit</w:t>
            </w:r>
          </w:p>
        </w:tc>
      </w:tr>
      <w:tr w:rsidR="00F34E8C" w:rsidRPr="00A93041" w14:paraId="04C5CAA7" w14:textId="77777777" w:rsidTr="00AE0CFA">
        <w:tc>
          <w:tcPr>
            <w:tcW w:w="1526" w:type="dxa"/>
            <w:shd w:val="clear" w:color="auto" w:fill="auto"/>
          </w:tcPr>
          <w:p w14:paraId="6430EF88" w14:textId="77777777" w:rsidR="00F34E8C" w:rsidRPr="00A93041" w:rsidRDefault="00F34E8C" w:rsidP="00AE0CFA">
            <w:pPr>
              <w:pStyle w:val="BodyText"/>
              <w:spacing w:after="0"/>
              <w:jc w:val="left"/>
              <w:rPr>
                <w:rFonts w:ascii="Arial" w:eastAsia="Calibri" w:hAnsi="Arial" w:cs="Arial"/>
                <w:b/>
                <w:sz w:val="20"/>
                <w:highlight w:val="yellow"/>
              </w:rPr>
            </w:pPr>
            <w:r w:rsidRPr="00A93041">
              <w:rPr>
                <w:rFonts w:ascii="Arial" w:eastAsia="Calibri" w:hAnsi="Arial" w:cs="Arial"/>
                <w:b/>
                <w:sz w:val="20"/>
              </w:rPr>
              <w:t>TJ</w:t>
            </w:r>
          </w:p>
        </w:tc>
        <w:tc>
          <w:tcPr>
            <w:tcW w:w="7092" w:type="dxa"/>
            <w:shd w:val="clear" w:color="auto" w:fill="auto"/>
          </w:tcPr>
          <w:p w14:paraId="446228D8" w14:textId="77777777" w:rsidR="00F34E8C" w:rsidRPr="00A93041" w:rsidRDefault="00F34E8C" w:rsidP="00AE0CFA">
            <w:pPr>
              <w:pStyle w:val="BodyText"/>
              <w:spacing w:after="0"/>
              <w:jc w:val="left"/>
              <w:rPr>
                <w:rFonts w:ascii="Arial" w:eastAsia="Calibri" w:hAnsi="Arial" w:cs="Arial"/>
                <w:sz w:val="20"/>
                <w:highlight w:val="yellow"/>
              </w:rPr>
            </w:pPr>
            <w:r w:rsidRPr="00A93041">
              <w:rPr>
                <w:rFonts w:ascii="Arial" w:eastAsia="Calibri" w:hAnsi="Arial" w:cs="Arial"/>
                <w:sz w:val="20"/>
              </w:rPr>
              <w:t>terajoule</w:t>
            </w:r>
          </w:p>
        </w:tc>
      </w:tr>
      <w:tr w:rsidR="00F34E8C" w:rsidRPr="00A93041" w14:paraId="6887F11F" w14:textId="77777777" w:rsidTr="00AE0CFA">
        <w:tc>
          <w:tcPr>
            <w:tcW w:w="1526" w:type="dxa"/>
            <w:shd w:val="clear" w:color="auto" w:fill="auto"/>
          </w:tcPr>
          <w:p w14:paraId="32FC1686" w14:textId="77777777" w:rsidR="00F34E8C" w:rsidRPr="00A93041" w:rsidRDefault="00F34E8C" w:rsidP="00AE0CFA">
            <w:pPr>
              <w:pStyle w:val="BodyText"/>
              <w:spacing w:after="0"/>
              <w:jc w:val="left"/>
              <w:rPr>
                <w:rFonts w:ascii="Arial" w:eastAsia="Calibri" w:hAnsi="Arial" w:cs="Arial"/>
                <w:b/>
                <w:sz w:val="20"/>
              </w:rPr>
            </w:pPr>
            <w:r w:rsidRPr="00A93041">
              <w:rPr>
                <w:rFonts w:ascii="Arial" w:eastAsia="Calibri" w:hAnsi="Arial" w:cs="Arial"/>
                <w:b/>
                <w:sz w:val="20"/>
              </w:rPr>
              <w:t>TOW</w:t>
            </w:r>
          </w:p>
        </w:tc>
        <w:tc>
          <w:tcPr>
            <w:tcW w:w="7092" w:type="dxa"/>
            <w:shd w:val="clear" w:color="auto" w:fill="auto"/>
          </w:tcPr>
          <w:p w14:paraId="0BF8F2D1" w14:textId="77777777" w:rsidR="00F34E8C" w:rsidRPr="00A93041" w:rsidRDefault="00F34E8C" w:rsidP="00AE0CFA">
            <w:pPr>
              <w:pStyle w:val="BodyText"/>
              <w:spacing w:after="0"/>
              <w:jc w:val="left"/>
              <w:rPr>
                <w:rFonts w:ascii="Arial" w:eastAsia="Calibri" w:hAnsi="Arial" w:cs="Arial"/>
                <w:sz w:val="20"/>
              </w:rPr>
            </w:pPr>
            <w:r w:rsidRPr="00A93041">
              <w:rPr>
                <w:rFonts w:ascii="Arial" w:eastAsia="Calibri" w:hAnsi="Arial" w:cs="Arial"/>
                <w:sz w:val="20"/>
              </w:rPr>
              <w:t>total organics in wastewater</w:t>
            </w:r>
          </w:p>
        </w:tc>
      </w:tr>
      <w:tr w:rsidR="00F34E8C" w:rsidRPr="00A93041" w14:paraId="059D9548" w14:textId="77777777" w:rsidTr="00AE0CFA">
        <w:tc>
          <w:tcPr>
            <w:tcW w:w="1526" w:type="dxa"/>
            <w:shd w:val="clear" w:color="auto" w:fill="auto"/>
          </w:tcPr>
          <w:p w14:paraId="423A311E" w14:textId="77777777" w:rsidR="00F34E8C" w:rsidRPr="00A93041" w:rsidRDefault="00F34E8C" w:rsidP="00AE0CFA">
            <w:pPr>
              <w:pStyle w:val="BodyText"/>
              <w:spacing w:after="0"/>
              <w:jc w:val="left"/>
              <w:rPr>
                <w:rFonts w:ascii="Arial" w:eastAsia="Calibri" w:hAnsi="Arial" w:cs="Arial"/>
                <w:b/>
                <w:sz w:val="20"/>
              </w:rPr>
            </w:pPr>
            <w:r w:rsidRPr="00A93041">
              <w:rPr>
                <w:rFonts w:ascii="Arial" w:eastAsia="Calibri" w:hAnsi="Arial" w:cs="Arial"/>
                <w:b/>
                <w:sz w:val="20"/>
              </w:rPr>
              <w:t>UEF</w:t>
            </w:r>
          </w:p>
        </w:tc>
        <w:tc>
          <w:tcPr>
            <w:tcW w:w="7092" w:type="dxa"/>
            <w:shd w:val="clear" w:color="auto" w:fill="auto"/>
          </w:tcPr>
          <w:p w14:paraId="4D7B133B" w14:textId="77777777" w:rsidR="00F34E8C" w:rsidRPr="00A93041" w:rsidRDefault="00F34E8C" w:rsidP="00AE0CFA">
            <w:pPr>
              <w:pStyle w:val="BodyText"/>
              <w:spacing w:after="0"/>
              <w:jc w:val="left"/>
              <w:rPr>
                <w:rFonts w:ascii="Arial" w:eastAsia="Calibri" w:hAnsi="Arial" w:cs="Arial"/>
                <w:sz w:val="20"/>
              </w:rPr>
            </w:pPr>
            <w:r w:rsidRPr="00A93041">
              <w:rPr>
                <w:rFonts w:ascii="Arial" w:eastAsia="Calibri" w:hAnsi="Arial" w:cs="Arial"/>
                <w:sz w:val="20"/>
              </w:rPr>
              <w:t>unique emissions factor</w:t>
            </w:r>
          </w:p>
        </w:tc>
      </w:tr>
      <w:tr w:rsidR="00F34E8C" w:rsidRPr="00A93041" w14:paraId="56FD5CDB" w14:textId="77777777" w:rsidTr="00AE0CFA">
        <w:tc>
          <w:tcPr>
            <w:tcW w:w="1526" w:type="dxa"/>
            <w:shd w:val="clear" w:color="auto" w:fill="auto"/>
          </w:tcPr>
          <w:p w14:paraId="09748C47" w14:textId="77777777" w:rsidR="00F34E8C" w:rsidRPr="00A93041" w:rsidRDefault="00F34E8C" w:rsidP="00AE0CFA">
            <w:pPr>
              <w:pStyle w:val="BodyText"/>
              <w:spacing w:after="0"/>
              <w:jc w:val="left"/>
              <w:rPr>
                <w:rFonts w:ascii="Arial" w:eastAsia="Calibri" w:hAnsi="Arial" w:cs="Arial"/>
                <w:b/>
                <w:sz w:val="20"/>
              </w:rPr>
            </w:pPr>
            <w:r w:rsidRPr="00A93041">
              <w:rPr>
                <w:rFonts w:ascii="Arial" w:eastAsia="Calibri" w:hAnsi="Arial" w:cs="Arial"/>
                <w:b/>
                <w:sz w:val="20"/>
              </w:rPr>
              <w:t xml:space="preserve">UNFCCC </w:t>
            </w:r>
          </w:p>
        </w:tc>
        <w:tc>
          <w:tcPr>
            <w:tcW w:w="7092" w:type="dxa"/>
            <w:shd w:val="clear" w:color="auto" w:fill="auto"/>
          </w:tcPr>
          <w:p w14:paraId="57363E35" w14:textId="77777777" w:rsidR="00F34E8C" w:rsidRPr="00A93041" w:rsidRDefault="00F34E8C" w:rsidP="00AE0CFA">
            <w:pPr>
              <w:pStyle w:val="BodyText"/>
              <w:spacing w:after="0"/>
              <w:jc w:val="left"/>
              <w:rPr>
                <w:rFonts w:ascii="Arial" w:eastAsia="Calibri" w:hAnsi="Arial" w:cs="Arial"/>
                <w:sz w:val="20"/>
              </w:rPr>
            </w:pPr>
            <w:r w:rsidRPr="00A93041">
              <w:rPr>
                <w:rFonts w:ascii="Arial" w:eastAsia="Calibri" w:hAnsi="Arial" w:cs="Arial"/>
                <w:sz w:val="20"/>
              </w:rPr>
              <w:t xml:space="preserve">United Nations Framework Convention on Climate Change </w:t>
            </w:r>
          </w:p>
        </w:tc>
      </w:tr>
    </w:tbl>
    <w:p w14:paraId="36156A3B" w14:textId="77777777" w:rsidR="00DE64BC" w:rsidRDefault="00DE64BC" w:rsidP="006E0A2C"/>
    <w:p w14:paraId="05390B72" w14:textId="77777777" w:rsidR="00C97BE6" w:rsidRPr="00256982" w:rsidRDefault="00C97BE6" w:rsidP="006E0A2C"/>
    <w:p w14:paraId="6E99233C" w14:textId="77777777" w:rsidR="00DE64BC" w:rsidRPr="00256982" w:rsidRDefault="00DE64BC" w:rsidP="006E0A2C">
      <w:pPr>
        <w:sectPr w:rsidR="00DE64BC" w:rsidRPr="00256982" w:rsidSect="00C55A30">
          <w:headerReference w:type="even" r:id="rId14"/>
          <w:headerReference w:type="default" r:id="rId15"/>
          <w:footerReference w:type="even" r:id="rId16"/>
          <w:footerReference w:type="default" r:id="rId17"/>
          <w:pgSz w:w="11907" w:h="16840" w:code="9"/>
          <w:pgMar w:top="1418" w:right="1701" w:bottom="1418" w:left="1701" w:header="567" w:footer="567" w:gutter="0"/>
          <w:pgNumType w:fmt="lowerRoman"/>
          <w:cols w:space="720"/>
        </w:sectPr>
      </w:pPr>
    </w:p>
    <w:p w14:paraId="03E9B1C8" w14:textId="77777777" w:rsidR="00DE64BC" w:rsidRPr="00256982" w:rsidRDefault="00DE64BC" w:rsidP="00013566">
      <w:pPr>
        <w:pStyle w:val="Heading1"/>
        <w:spacing w:after="400"/>
      </w:pPr>
      <w:bookmarkStart w:id="7" w:name="_Toc511116556"/>
      <w:bookmarkStart w:id="8" w:name="_Toc5269318"/>
      <w:r w:rsidRPr="00256982">
        <w:lastRenderedPageBreak/>
        <w:t>Executive summary</w:t>
      </w:r>
      <w:bookmarkEnd w:id="7"/>
      <w:bookmarkEnd w:id="8"/>
    </w:p>
    <w:tbl>
      <w:tblPr>
        <w:tblW w:w="856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62"/>
      </w:tblGrid>
      <w:tr w:rsidR="00611ECD" w:rsidRPr="00256982" w14:paraId="31EE118A" w14:textId="77777777" w:rsidTr="0036046B">
        <w:tc>
          <w:tcPr>
            <w:tcW w:w="8562" w:type="dxa"/>
            <w:shd w:val="clear" w:color="auto" w:fill="auto"/>
          </w:tcPr>
          <w:p w14:paraId="24A38122" w14:textId="77777777" w:rsidR="00611ECD" w:rsidRPr="00256982" w:rsidRDefault="00611ECD" w:rsidP="0036046B">
            <w:pPr>
              <w:pStyle w:val="Keypointshead"/>
              <w:spacing w:before="240"/>
            </w:pPr>
            <w:bookmarkStart w:id="9" w:name="_Toc352504811"/>
            <w:bookmarkStart w:id="10" w:name="_Toc414531259"/>
            <w:bookmarkStart w:id="11" w:name="_Toc448321480"/>
            <w:bookmarkStart w:id="12" w:name="_Toc511116557"/>
            <w:r w:rsidRPr="00256982">
              <w:t>Key points</w:t>
            </w:r>
          </w:p>
          <w:p w14:paraId="2F9DBFAF" w14:textId="77777777" w:rsidR="00611ECD" w:rsidRPr="00256982" w:rsidRDefault="00611ECD" w:rsidP="0036046B">
            <w:pPr>
              <w:pStyle w:val="Keypointstext"/>
              <w:spacing w:before="0" w:after="0"/>
              <w:rPr>
                <w:b/>
              </w:rPr>
            </w:pPr>
            <w:r w:rsidRPr="00256982">
              <w:rPr>
                <w:b/>
              </w:rPr>
              <w:t>In 2017</w:t>
            </w:r>
          </w:p>
          <w:p w14:paraId="51CF573E" w14:textId="78F1AE13" w:rsidR="00611ECD" w:rsidRPr="00256982" w:rsidRDefault="00611ECD" w:rsidP="00333ACA">
            <w:pPr>
              <w:pStyle w:val="Keypointsbullet"/>
            </w:pPr>
            <w:r w:rsidRPr="00256982">
              <w:t>New Zealand’s gross greenhouse gas emissions were 80,853 kilotonnes carbon dioxide equivalent (kt CO</w:t>
            </w:r>
            <w:r w:rsidRPr="00256982">
              <w:rPr>
                <w:vertAlign w:val="subscript"/>
              </w:rPr>
              <w:t>2</w:t>
            </w:r>
            <w:r w:rsidRPr="00256982">
              <w:t>-e), comprising 45 per cent carbon dioxide, 42 per cent methane, 11</w:t>
            </w:r>
            <w:r w:rsidR="00B94A89">
              <w:t> </w:t>
            </w:r>
            <w:r w:rsidRPr="00256982">
              <w:t>per</w:t>
            </w:r>
            <w:r w:rsidR="00B94A89">
              <w:t> </w:t>
            </w:r>
            <w:r w:rsidRPr="00256982">
              <w:t>cent nitrous oxide and 2 per cent fluorinated gases.</w:t>
            </w:r>
          </w:p>
          <w:p w14:paraId="1A52C7FB" w14:textId="77777777" w:rsidR="00611ECD" w:rsidRPr="00256982" w:rsidRDefault="00611ECD" w:rsidP="002B6594">
            <w:pPr>
              <w:pStyle w:val="Keypointsbullet"/>
            </w:pPr>
            <w:r w:rsidRPr="00256982">
              <w:t>The Agriculture and Energy sectors were the two largest contributors to gross emissions, at 48 per cent and 41 per cent respectively.</w:t>
            </w:r>
          </w:p>
          <w:p w14:paraId="74CEB595" w14:textId="0CBD356A" w:rsidR="00611ECD" w:rsidRPr="00256982" w:rsidRDefault="00611ECD" w:rsidP="002B6594">
            <w:pPr>
              <w:pStyle w:val="Keypointsbullet"/>
            </w:pPr>
            <w:r w:rsidRPr="00256982">
              <w:t>The Land Use, Land-Use Change and Forestry (LULUCF) sector offset 30 per cent of New</w:t>
            </w:r>
            <w:r w:rsidR="007A1993" w:rsidRPr="00256982">
              <w:t> </w:t>
            </w:r>
            <w:r w:rsidRPr="00256982">
              <w:t>Zealand’s gross emissions.</w:t>
            </w:r>
          </w:p>
          <w:p w14:paraId="39190752" w14:textId="77777777" w:rsidR="00611ECD" w:rsidRPr="00256982" w:rsidRDefault="00611ECD" w:rsidP="002B6594">
            <w:pPr>
              <w:pStyle w:val="Keypointsbullet"/>
            </w:pPr>
            <w:r w:rsidRPr="00256982">
              <w:t>The decline in the deforestation rate, observed since 2013, continued.</w:t>
            </w:r>
          </w:p>
          <w:p w14:paraId="103AA7BD" w14:textId="77777777" w:rsidR="00611ECD" w:rsidRPr="00256982" w:rsidRDefault="00611ECD" w:rsidP="00C9625F">
            <w:pPr>
              <w:pStyle w:val="Keypointsbullet"/>
            </w:pPr>
            <w:r w:rsidRPr="00256982">
              <w:t>For the first time, emissions from Tokelau are included in New Zealand’s greenhouse gas inventory. In 2017, emissions from Tokelau were 0.004 per cent of New Zealand’s gross emissions (3 kt CO</w:t>
            </w:r>
            <w:r w:rsidRPr="00256982">
              <w:rPr>
                <w:vertAlign w:val="subscript"/>
              </w:rPr>
              <w:t>2</w:t>
            </w:r>
            <w:r w:rsidRPr="00256982">
              <w:t>-e).</w:t>
            </w:r>
          </w:p>
          <w:p w14:paraId="3541B40F" w14:textId="77777777" w:rsidR="00611ECD" w:rsidRPr="00256982" w:rsidRDefault="00611ECD" w:rsidP="0036046B">
            <w:pPr>
              <w:pStyle w:val="Keypointstext"/>
              <w:spacing w:before="240" w:after="0"/>
              <w:rPr>
                <w:b/>
              </w:rPr>
            </w:pPr>
            <w:r w:rsidRPr="00256982">
              <w:rPr>
                <w:b/>
              </w:rPr>
              <w:t xml:space="preserve">Since 1990 </w:t>
            </w:r>
          </w:p>
          <w:p w14:paraId="34A57858" w14:textId="77777777" w:rsidR="00611ECD" w:rsidRPr="00256982" w:rsidRDefault="00611ECD" w:rsidP="002B6594">
            <w:pPr>
              <w:pStyle w:val="Keypointsbullet"/>
            </w:pPr>
            <w:r w:rsidRPr="00256982">
              <w:t>New Zealand’s gross emissions have increased by 23 per cent. The five emission sources that contributed the most to this increase were:</w:t>
            </w:r>
          </w:p>
          <w:p w14:paraId="4B069A17" w14:textId="597A9EA1" w:rsidR="00611ECD" w:rsidRPr="00256982" w:rsidRDefault="00611ECD" w:rsidP="00C9625F">
            <w:pPr>
              <w:pStyle w:val="Keypointsub-bullet"/>
            </w:pPr>
            <w:r w:rsidRPr="00256982">
              <w:t xml:space="preserve">enteric fermentation (methane) from dairy cattle </w:t>
            </w:r>
          </w:p>
          <w:p w14:paraId="57524131" w14:textId="04CBE46F" w:rsidR="00611ECD" w:rsidRPr="00256982" w:rsidRDefault="00611ECD" w:rsidP="00C9625F">
            <w:pPr>
              <w:pStyle w:val="Keypointsub-bullet"/>
            </w:pPr>
            <w:r w:rsidRPr="00256982">
              <w:t xml:space="preserve">road transport (carbon dioxide) from increased fuel use </w:t>
            </w:r>
          </w:p>
          <w:p w14:paraId="099BD0AB" w14:textId="3648D5BE" w:rsidR="00611ECD" w:rsidRPr="00256982" w:rsidRDefault="00611ECD" w:rsidP="00C9625F">
            <w:pPr>
              <w:pStyle w:val="Keypointsub-bullet"/>
            </w:pPr>
            <w:r w:rsidRPr="00256982">
              <w:t>agricultural soils (nitrous oxide) mainly from increased fertiliser use</w:t>
            </w:r>
          </w:p>
          <w:p w14:paraId="39A0D7C2" w14:textId="67BC3A43" w:rsidR="00611ECD" w:rsidRPr="00256982" w:rsidRDefault="00611ECD" w:rsidP="00C9625F">
            <w:pPr>
              <w:pStyle w:val="Keypointsub-bullet"/>
            </w:pPr>
            <w:r w:rsidRPr="00256982">
              <w:t>industrial and household refrigeration and air-conditioning systems (fluorinated gases) because hydrofluorocarbon-based refrigerants have replaced ozone-depleting substances</w:t>
            </w:r>
          </w:p>
          <w:p w14:paraId="6A820AAF" w14:textId="3DF0DCBC" w:rsidR="00611ECD" w:rsidRPr="00256982" w:rsidRDefault="00611ECD" w:rsidP="00C9625F">
            <w:pPr>
              <w:pStyle w:val="Keypointsub-bullet"/>
            </w:pPr>
            <w:r w:rsidRPr="00256982">
              <w:t>chemical industry and food processing (carbon dioxide) from increased production due to economic growth.</w:t>
            </w:r>
          </w:p>
          <w:p w14:paraId="19E0DA48" w14:textId="77777777" w:rsidR="00611ECD" w:rsidRPr="00256982" w:rsidRDefault="00611ECD" w:rsidP="00C9625F">
            <w:pPr>
              <w:pStyle w:val="Keypointsbullet"/>
            </w:pPr>
            <w:r w:rsidRPr="00256982">
              <w:t>New Zealand’s net emissions increased by 65 per cent due to the underlying increase in gross emissions and the increased volume of timber that was harvested from New Zealand’s plantation forest estate in 2017 compared with 1990.</w:t>
            </w:r>
          </w:p>
          <w:p w14:paraId="6222B58D" w14:textId="77777777" w:rsidR="00611ECD" w:rsidRPr="00256982" w:rsidRDefault="00611ECD" w:rsidP="00C9625F">
            <w:pPr>
              <w:pStyle w:val="Keypointsbullet"/>
            </w:pPr>
            <w:r w:rsidRPr="00256982">
              <w:t xml:space="preserve">Recalculations due to inventory improvements resulted in changes of emissions and removals between the 2016 and 2017 inventory submissions: </w:t>
            </w:r>
          </w:p>
          <w:p w14:paraId="689BC14E" w14:textId="324FD4DA" w:rsidR="00611ECD" w:rsidRPr="00256982" w:rsidRDefault="00611ECD" w:rsidP="00C9625F">
            <w:pPr>
              <w:pStyle w:val="Keypointsub-bullet"/>
            </w:pPr>
            <w:r w:rsidRPr="00256982">
              <w:t>the largest increase in emissions due to a recalculation was in the Waste sector, where emissions increased by 253 kt CO</w:t>
            </w:r>
            <w:r w:rsidRPr="00256982">
              <w:rPr>
                <w:vertAlign w:val="subscript"/>
              </w:rPr>
              <w:t>2</w:t>
            </w:r>
            <w:r w:rsidRPr="00256982">
              <w:t>-e in 1990 and by 332 kt CO</w:t>
            </w:r>
            <w:r w:rsidRPr="00256982">
              <w:rPr>
                <w:vertAlign w:val="subscript"/>
              </w:rPr>
              <w:t>2</w:t>
            </w:r>
            <w:r w:rsidRPr="00256982">
              <w:t>-e in 2016 as a result of a correction for managed landfills</w:t>
            </w:r>
          </w:p>
          <w:p w14:paraId="3A53BA6F" w14:textId="686A58B4" w:rsidR="00611ECD" w:rsidRPr="00256982" w:rsidRDefault="00611ECD" w:rsidP="00C9625F">
            <w:pPr>
              <w:pStyle w:val="Keypointsub-bullet"/>
            </w:pPr>
            <w:r w:rsidRPr="00256982">
              <w:t>improvements made to the LULUCF sector have resulted in an increase of net removals from the sector by 1,662 kt CO</w:t>
            </w:r>
            <w:r w:rsidRPr="00256982">
              <w:rPr>
                <w:vertAlign w:val="subscript"/>
              </w:rPr>
              <w:t>2</w:t>
            </w:r>
            <w:r w:rsidR="007A1993" w:rsidRPr="00256982">
              <w:t>-</w:t>
            </w:r>
            <w:r w:rsidRPr="00256982">
              <w:t>e in 1990 and by 2,058 kt CO</w:t>
            </w:r>
            <w:r w:rsidRPr="00256982">
              <w:rPr>
                <w:vertAlign w:val="subscript"/>
              </w:rPr>
              <w:t>2</w:t>
            </w:r>
            <w:r w:rsidRPr="00256982">
              <w:t>-e in 2016.</w:t>
            </w:r>
          </w:p>
          <w:p w14:paraId="3923F9C9" w14:textId="77777777" w:rsidR="00611ECD" w:rsidRPr="00256982" w:rsidRDefault="00611ECD" w:rsidP="0036046B">
            <w:pPr>
              <w:pStyle w:val="Keypointstext"/>
              <w:spacing w:before="240" w:after="0"/>
              <w:rPr>
                <w:b/>
              </w:rPr>
            </w:pPr>
            <w:r w:rsidRPr="00256982">
              <w:rPr>
                <w:b/>
              </w:rPr>
              <w:t>Between 2016 and 2017</w:t>
            </w:r>
          </w:p>
          <w:p w14:paraId="3432561B" w14:textId="6412BEB3" w:rsidR="00611ECD" w:rsidRPr="00256982" w:rsidRDefault="00611ECD" w:rsidP="00A00EA1">
            <w:pPr>
              <w:pStyle w:val="Keypointsbullet"/>
            </w:pPr>
            <w:r w:rsidRPr="00256982">
              <w:t>Gross emissions increased by 2 per cent, which was largely attributed to an increase in emissions from the Energy sector (by 6 per cent or 1,773 kt CO</w:t>
            </w:r>
            <w:r w:rsidRPr="00256982">
              <w:rPr>
                <w:vertAlign w:val="subscript"/>
              </w:rPr>
              <w:t>2</w:t>
            </w:r>
            <w:r w:rsidR="00B448C0" w:rsidRPr="00256982">
              <w:t>-</w:t>
            </w:r>
            <w:r w:rsidRPr="00256982">
              <w:t>e)</w:t>
            </w:r>
            <w:r w:rsidR="00A00EA1">
              <w:t xml:space="preserve"> </w:t>
            </w:r>
            <w:r w:rsidR="00A00EA1" w:rsidRPr="00A00EA1">
              <w:t>driven mainly by</w:t>
            </w:r>
            <w:r w:rsidRPr="00256982">
              <w:t>:</w:t>
            </w:r>
          </w:p>
          <w:p w14:paraId="0A1E2B98" w14:textId="514D83E1" w:rsidR="00611ECD" w:rsidRPr="00256982" w:rsidRDefault="00611ECD" w:rsidP="00C9625F">
            <w:pPr>
              <w:pStyle w:val="Keypointsub-bullet"/>
            </w:pPr>
            <w:r w:rsidRPr="00256982">
              <w:t>an increase of 6 per cent (863 kt CO</w:t>
            </w:r>
            <w:r w:rsidRPr="00256982">
              <w:rPr>
                <w:vertAlign w:val="subscript"/>
              </w:rPr>
              <w:t>2</w:t>
            </w:r>
            <w:r w:rsidR="00B448C0" w:rsidRPr="00256982">
              <w:t>-</w:t>
            </w:r>
            <w:r w:rsidRPr="00256982">
              <w:t xml:space="preserve">e) in emissions from road transport </w:t>
            </w:r>
          </w:p>
          <w:p w14:paraId="427B1B45" w14:textId="306E8FB7" w:rsidR="00611ECD" w:rsidRPr="00256982" w:rsidRDefault="00611ECD" w:rsidP="00C9625F">
            <w:pPr>
              <w:pStyle w:val="Keypointsub-bullet"/>
            </w:pPr>
            <w:r w:rsidRPr="00256982">
              <w:t>an increase of 18 per cent (553 kt CO</w:t>
            </w:r>
            <w:r w:rsidRPr="00256982">
              <w:rPr>
                <w:vertAlign w:val="subscript"/>
              </w:rPr>
              <w:t>2</w:t>
            </w:r>
            <w:r w:rsidR="00B448C0" w:rsidRPr="00256982">
              <w:t>-</w:t>
            </w:r>
            <w:r w:rsidRPr="00256982">
              <w:t xml:space="preserve">e) in emissions from electricity production because droughts affected the levels of New Zealand’s hydro storage lakes resulting in increased use of fossil fuels for electricity production. </w:t>
            </w:r>
          </w:p>
          <w:p w14:paraId="07D1F0A0" w14:textId="77777777" w:rsidR="00611ECD" w:rsidRPr="00256982" w:rsidRDefault="00611ECD" w:rsidP="00C9625F">
            <w:pPr>
              <w:pStyle w:val="Keypointsbullet"/>
            </w:pPr>
            <w:r w:rsidRPr="00256982">
              <w:t>Emissions from the Agriculture, Industrial processes and product use, and Waste sectors did not show significant changes beyond small annual variations below 1 per cent.</w:t>
            </w:r>
          </w:p>
          <w:p w14:paraId="0B114E1B" w14:textId="49B69983" w:rsidR="00611ECD" w:rsidRPr="00256982" w:rsidRDefault="00611ECD" w:rsidP="0036046B">
            <w:pPr>
              <w:pStyle w:val="Keypointsbullet"/>
              <w:spacing w:after="240"/>
            </w:pPr>
            <w:r w:rsidRPr="00256982">
              <w:t>An increase in the harvest rate of planted forests led to a decrease in net removals from the LULUCF sector of 4 per cent (873 kt CO</w:t>
            </w:r>
            <w:r w:rsidRPr="00256982">
              <w:rPr>
                <w:vertAlign w:val="subscript"/>
              </w:rPr>
              <w:t>2</w:t>
            </w:r>
            <w:r w:rsidR="00B448C0" w:rsidRPr="00256982">
              <w:t>-</w:t>
            </w:r>
            <w:r w:rsidRPr="00256982">
              <w:t xml:space="preserve">e). </w:t>
            </w:r>
          </w:p>
        </w:tc>
      </w:tr>
    </w:tbl>
    <w:p w14:paraId="5D87DC59" w14:textId="77777777" w:rsidR="00DE64BC" w:rsidRPr="00256982" w:rsidRDefault="00DE64BC" w:rsidP="001D3490">
      <w:pPr>
        <w:pStyle w:val="Heading2"/>
      </w:pPr>
      <w:bookmarkStart w:id="13" w:name="_Toc5269319"/>
      <w:r w:rsidRPr="00256982">
        <w:lastRenderedPageBreak/>
        <w:t>ES.1</w:t>
      </w:r>
      <w:r w:rsidRPr="00256982">
        <w:tab/>
        <w:t>Background</w:t>
      </w:r>
      <w:bookmarkEnd w:id="9"/>
      <w:bookmarkEnd w:id="10"/>
      <w:bookmarkEnd w:id="11"/>
      <w:bookmarkEnd w:id="12"/>
      <w:bookmarkEnd w:id="13"/>
    </w:p>
    <w:p w14:paraId="401D1AE6" w14:textId="77777777" w:rsidR="00DE64BC" w:rsidRPr="00256982" w:rsidRDefault="00DE64BC" w:rsidP="00A808C7">
      <w:pPr>
        <w:pStyle w:val="BodyText"/>
      </w:pPr>
      <w:r w:rsidRPr="00256982">
        <w:rPr>
          <w:i/>
        </w:rPr>
        <w:t>New Zealand’s Greenhouse Gas Inventory</w:t>
      </w:r>
      <w:r w:rsidRPr="00256982">
        <w:t xml:space="preserve"> (the inventory) is the official annual report of all anthropogenic (human-induced) emissions and removals of greenhouse gases (GHG) in New Zealand. It measures New Zealand’s progress against obligations under the United Nations Framework Convention on Climate Change (the Convention) and the Kyoto Protocol and is the official basis for measuring New Zealand’s progress towards its international emissions reduction targets.</w:t>
      </w:r>
    </w:p>
    <w:p w14:paraId="379DB7DB" w14:textId="77777777" w:rsidR="00DE64BC" w:rsidRPr="00256982" w:rsidRDefault="00DE64BC" w:rsidP="00A808C7">
      <w:pPr>
        <w:pStyle w:val="BodyText"/>
      </w:pPr>
      <w:r w:rsidRPr="00256982">
        <w:t xml:space="preserve">The inventory submission consists of the common reporting format (CRF) database containing inventory data for 1990–2017 from all emissions and removals in New Zealand together with this publication, the national inventory report, which is a narrative that presents major emission trends and methodologies for estimating emissions and removals. It also includes sections on the inventory uncertainties, recalculations and improvements. </w:t>
      </w:r>
    </w:p>
    <w:p w14:paraId="38A31F48" w14:textId="3EF2D66B" w:rsidR="00DE64BC" w:rsidRPr="00256982" w:rsidRDefault="00DE64BC" w:rsidP="00A808C7">
      <w:pPr>
        <w:pStyle w:val="BodyText"/>
      </w:pPr>
      <w:r w:rsidRPr="00256982">
        <w:t>Inventory reporting under the Convention covers seven direct GHGs: carbon dioxide (CO</w:t>
      </w:r>
      <w:r w:rsidRPr="00256982">
        <w:rPr>
          <w:vertAlign w:val="subscript"/>
        </w:rPr>
        <w:t>2</w:t>
      </w:r>
      <w:r w:rsidRPr="00256982">
        <w:t>), methane (CH</w:t>
      </w:r>
      <w:r w:rsidRPr="00256982">
        <w:rPr>
          <w:vertAlign w:val="subscript"/>
        </w:rPr>
        <w:t>4</w:t>
      </w:r>
      <w:r w:rsidRPr="00256982">
        <w:t>), nitrous oxide (N</w:t>
      </w:r>
      <w:r w:rsidRPr="00256982">
        <w:rPr>
          <w:vertAlign w:val="subscript"/>
        </w:rPr>
        <w:t>2</w:t>
      </w:r>
      <w:r w:rsidRPr="00256982">
        <w:t>O), hydrofluorocarbons (HFCs), perfluorocarbons (PFCs), sulphur hexafluoride (SF</w:t>
      </w:r>
      <w:r w:rsidRPr="00256982">
        <w:rPr>
          <w:vertAlign w:val="subscript"/>
        </w:rPr>
        <w:t>6</w:t>
      </w:r>
      <w:r w:rsidRPr="00256982">
        <w:t>) and nitrogen trifluoride (NF</w:t>
      </w:r>
      <w:r w:rsidRPr="00256982">
        <w:rPr>
          <w:vertAlign w:val="subscript"/>
        </w:rPr>
        <w:t>3</w:t>
      </w:r>
      <w:r w:rsidRPr="00256982">
        <w:t>).</w:t>
      </w:r>
      <w:r w:rsidRPr="00256982">
        <w:rPr>
          <w:rStyle w:val="FootnoteReference"/>
        </w:rPr>
        <w:footnoteReference w:id="1"/>
      </w:r>
      <w:r w:rsidRPr="00256982">
        <w:t xml:space="preserve"> Indirect GHGs</w:t>
      </w:r>
      <w:r w:rsidRPr="00256982">
        <w:rPr>
          <w:rStyle w:val="FootnoteReference"/>
        </w:rPr>
        <w:footnoteReference w:id="2"/>
      </w:r>
      <w:r w:rsidRPr="00256982">
        <w:t xml:space="preserve"> are also included; however, only emissions and removals of the direct GHGs are included in estimates of total national emissions under the Convention and accounted for under the Kyoto Protocol. </w:t>
      </w:r>
    </w:p>
    <w:p w14:paraId="64F3D503" w14:textId="77777777" w:rsidR="00DE64BC" w:rsidRPr="00256982" w:rsidRDefault="00DE64BC" w:rsidP="00A808C7">
      <w:pPr>
        <w:pStyle w:val="BodyText"/>
      </w:pPr>
      <w:r w:rsidRPr="00256982">
        <w:t xml:space="preserve">The gases are reported under five sectors: Energy; Industrial Processes and Product Use (IPPU); Agriculture; Land Use, Land-Use Change and Forestry (LULUCF); and Waste. </w:t>
      </w:r>
    </w:p>
    <w:p w14:paraId="793FB558" w14:textId="05188D4F" w:rsidR="00DE64BC" w:rsidRPr="00256982" w:rsidRDefault="00DE64BC" w:rsidP="00A808C7">
      <w:pPr>
        <w:pStyle w:val="BodyText"/>
      </w:pPr>
      <w:r w:rsidRPr="00256982">
        <w:t xml:space="preserve">New Zealand ratified the Convention on 16 September 1993 and the Paris Agreement on 4 October 2016. The extension (as of 13 November 2017) of New Zealand’s ratification of the Convention and the Paris Agreement to include Tokelau means, </w:t>
      </w:r>
      <w:r w:rsidRPr="00256982">
        <w:rPr>
          <w:i/>
        </w:rPr>
        <w:t>inter alia</w:t>
      </w:r>
      <w:r w:rsidRPr="00256982">
        <w:t>, that New Zealand’s national inventory shall include GHG emissions and removals estimates from Tokelau. For the first time, emissions from Tokelau are included in New Zealand’s greenhouse inventory.</w:t>
      </w:r>
    </w:p>
    <w:p w14:paraId="1C1CE855" w14:textId="77777777" w:rsidR="00DE64BC" w:rsidRPr="00256982" w:rsidRDefault="00DE64BC" w:rsidP="001D3490">
      <w:pPr>
        <w:pStyle w:val="Heading2"/>
      </w:pPr>
      <w:bookmarkStart w:id="14" w:name="_Toc352504812"/>
      <w:bookmarkStart w:id="15" w:name="_Toc414531260"/>
      <w:bookmarkStart w:id="16" w:name="_Toc448321481"/>
      <w:bookmarkStart w:id="17" w:name="_Toc511116558"/>
      <w:bookmarkStart w:id="18" w:name="_Toc5269320"/>
      <w:r w:rsidRPr="00256982">
        <w:t>ES.2</w:t>
      </w:r>
      <w:r w:rsidRPr="00256982">
        <w:tab/>
        <w:t>National trends</w:t>
      </w:r>
      <w:bookmarkEnd w:id="14"/>
      <w:bookmarkEnd w:id="15"/>
      <w:bookmarkEnd w:id="16"/>
      <w:bookmarkEnd w:id="17"/>
      <w:bookmarkEnd w:id="18"/>
    </w:p>
    <w:p w14:paraId="1C09C5FE" w14:textId="77777777" w:rsidR="00DE64BC" w:rsidRPr="00256982" w:rsidRDefault="00DE64BC" w:rsidP="00A72006">
      <w:pPr>
        <w:pStyle w:val="Heading4"/>
      </w:pPr>
      <w:r w:rsidRPr="00256982">
        <w:t>Gross emissions</w:t>
      </w:r>
    </w:p>
    <w:p w14:paraId="3DFD7532" w14:textId="77777777" w:rsidR="00DE64BC" w:rsidRPr="00256982" w:rsidRDefault="00DE64BC" w:rsidP="00A808C7">
      <w:pPr>
        <w:pStyle w:val="BodyText"/>
      </w:pPr>
      <w:r w:rsidRPr="00256982">
        <w:t>Gross emissions include those from the Energy, IPPU, Agriculture and Waste sectors but do not include emissions and removals from the LULUCF sector. Reporting of gross emissions, excluding the LULUCF sector, is consistent with the reporting requirements under the Convention (UNFCCC, 2013).</w:t>
      </w:r>
    </w:p>
    <w:p w14:paraId="3F85C36D" w14:textId="77777777" w:rsidR="00DE64BC" w:rsidRPr="00256982" w:rsidRDefault="00DE64BC" w:rsidP="00A808C7">
      <w:pPr>
        <w:pStyle w:val="Heading5"/>
      </w:pPr>
      <w:r w:rsidRPr="00256982">
        <w:t>1990–2017</w:t>
      </w:r>
    </w:p>
    <w:p w14:paraId="09A6F249" w14:textId="77777777" w:rsidR="00DE64BC" w:rsidRPr="00256982" w:rsidRDefault="00DE64BC" w:rsidP="00A808C7">
      <w:pPr>
        <w:pStyle w:val="BodyText"/>
        <w:spacing w:before="100" w:after="100"/>
      </w:pPr>
      <w:r w:rsidRPr="00256982">
        <w:t>In 1990, New Zealand’s gross GHG emissions were 65,668.3 kilotonnes carbon dioxide equivalent (kt CO</w:t>
      </w:r>
      <w:r w:rsidRPr="00256982">
        <w:rPr>
          <w:vertAlign w:val="subscript"/>
        </w:rPr>
        <w:t>2</w:t>
      </w:r>
      <w:r w:rsidRPr="00256982">
        <w:t>-e). Between 1990 and 2017, GHG emissions increased by 15,185.2 kt CO</w:t>
      </w:r>
      <w:r w:rsidRPr="00256982">
        <w:rPr>
          <w:vertAlign w:val="subscript"/>
        </w:rPr>
        <w:t>2</w:t>
      </w:r>
      <w:r w:rsidRPr="00256982">
        <w:t>-e (23.1 per cent) to 80,853.5 kt CO</w:t>
      </w:r>
      <w:r w:rsidRPr="00256982">
        <w:rPr>
          <w:vertAlign w:val="subscript"/>
        </w:rPr>
        <w:t>2</w:t>
      </w:r>
      <w:r w:rsidRPr="00256982">
        <w:t>-e in 2017 (figure ES 2.1). From 1990 to 2017, the average annual growth in gross emissions was 0.8 per cent.</w:t>
      </w:r>
    </w:p>
    <w:p w14:paraId="64A98B25" w14:textId="77777777" w:rsidR="00DE64BC" w:rsidRPr="00256982" w:rsidRDefault="00DE64BC" w:rsidP="00A808C7">
      <w:pPr>
        <w:pStyle w:val="BodyText"/>
        <w:keepLines/>
        <w:spacing w:before="100" w:after="100"/>
      </w:pPr>
      <w:r w:rsidRPr="00256982">
        <w:lastRenderedPageBreak/>
        <w:t>The emission categories that contributed the most to this increase in gross emissions were:</w:t>
      </w:r>
      <w:r w:rsidRPr="00256982">
        <w:rPr>
          <w:i/>
        </w:rPr>
        <w:t xml:space="preserve"> Enteric fermentation</w:t>
      </w:r>
      <w:r w:rsidRPr="00256982">
        <w:rPr>
          <w:vertAlign w:val="superscript"/>
        </w:rPr>
        <w:footnoteReference w:id="3"/>
      </w:r>
      <w:r w:rsidRPr="00256982">
        <w:rPr>
          <w:i/>
        </w:rPr>
        <w:t xml:space="preserve"> from dairy cattle</w:t>
      </w:r>
      <w:r w:rsidRPr="00256982">
        <w:t>,</w:t>
      </w:r>
      <w:r w:rsidRPr="00256982">
        <w:rPr>
          <w:i/>
        </w:rPr>
        <w:t xml:space="preserve"> Road transportation</w:t>
      </w:r>
      <w:r w:rsidRPr="00256982">
        <w:t>,</w:t>
      </w:r>
      <w:r w:rsidRPr="00256982">
        <w:rPr>
          <w:i/>
        </w:rPr>
        <w:t xml:space="preserve"> Agricultural soils</w:t>
      </w:r>
      <w:r w:rsidRPr="00256982">
        <w:t xml:space="preserve">, </w:t>
      </w:r>
      <w:r w:rsidRPr="00256982">
        <w:rPr>
          <w:rFonts w:eastAsia="+mn-ea"/>
          <w:i/>
          <w:spacing w:val="-2"/>
        </w:rPr>
        <w:t>Product uses as substitutes for ODS</w:t>
      </w:r>
      <w:r w:rsidRPr="00256982">
        <w:rPr>
          <w:rStyle w:val="FootnoteReference"/>
          <w:rFonts w:eastAsia="+mn-ea"/>
          <w:spacing w:val="-2"/>
        </w:rPr>
        <w:footnoteReference w:id="4"/>
      </w:r>
      <w:r w:rsidRPr="00256982">
        <w:rPr>
          <w:rFonts w:eastAsia="+mn-ea"/>
          <w:spacing w:val="-2"/>
        </w:rPr>
        <w:t xml:space="preserve"> and</w:t>
      </w:r>
      <w:r w:rsidRPr="00256982">
        <w:rPr>
          <w:i/>
        </w:rPr>
        <w:t xml:space="preserve"> Manufacturing industries and construction </w:t>
      </w:r>
      <w:r w:rsidRPr="00256982">
        <w:t>(especially the categories</w:t>
      </w:r>
      <w:r w:rsidRPr="00256982">
        <w:rPr>
          <w:i/>
        </w:rPr>
        <w:t xml:space="preserve"> Chemicals </w:t>
      </w:r>
      <w:r w:rsidRPr="00256982">
        <w:t xml:space="preserve">and </w:t>
      </w:r>
      <w:r w:rsidRPr="00256982">
        <w:rPr>
          <w:i/>
        </w:rPr>
        <w:t>Food processing, beverages and tobacco</w:t>
      </w:r>
      <w:r w:rsidRPr="00256982">
        <w:t>).</w:t>
      </w:r>
    </w:p>
    <w:p w14:paraId="574C0639" w14:textId="77777777" w:rsidR="00DE64BC" w:rsidRPr="00256982" w:rsidRDefault="00DE64BC" w:rsidP="00A808C7">
      <w:pPr>
        <w:pStyle w:val="Heading5"/>
      </w:pPr>
      <w:r w:rsidRPr="00256982">
        <w:t>2016–2017</w:t>
      </w:r>
    </w:p>
    <w:p w14:paraId="1A97953F" w14:textId="77777777" w:rsidR="00DE64BC" w:rsidRPr="00256982" w:rsidRDefault="00DE64BC" w:rsidP="00A808C7">
      <w:pPr>
        <w:pStyle w:val="BodyText"/>
        <w:rPr>
          <w:rFonts w:cs="Arial"/>
          <w:lang w:eastAsia="en-GB"/>
        </w:rPr>
      </w:pPr>
      <w:r w:rsidRPr="00256982">
        <w:t>Between 2016 and 2017, New Zealand’s gross emissions increased by 1,717.4 kt CO</w:t>
      </w:r>
      <w:r w:rsidRPr="00256982">
        <w:rPr>
          <w:vertAlign w:val="subscript"/>
        </w:rPr>
        <w:t>2</w:t>
      </w:r>
      <w:r w:rsidRPr="00256982">
        <w:t>-e (2.2 per cent), which was mainly driven by an increase of emissions from the Energy sector (1,772.8 kt CO</w:t>
      </w:r>
      <w:r w:rsidRPr="00256982">
        <w:rPr>
          <w:vertAlign w:val="subscript"/>
        </w:rPr>
        <w:t>2</w:t>
      </w:r>
      <w:r w:rsidRPr="00256982">
        <w:noBreakHyphen/>
        <w:t xml:space="preserve">e or 5.7 per cent). </w:t>
      </w:r>
      <w:r w:rsidRPr="00256982">
        <w:rPr>
          <w:lang w:eastAsia="en-GB"/>
        </w:rPr>
        <w:t xml:space="preserve">This reflected an increase in emissions </w:t>
      </w:r>
      <w:r w:rsidRPr="00256982">
        <w:rPr>
          <w:rFonts w:cs="Arial"/>
          <w:lang w:eastAsia="en-GB"/>
        </w:rPr>
        <w:t>from road transport caused by New Zealand’s growing population and an increase in demand for transporting people and goods. There was also an increase in emissions from the higher</w:t>
      </w:r>
      <w:r w:rsidRPr="00256982">
        <w:rPr>
          <w:lang w:eastAsia="en-GB"/>
        </w:rPr>
        <w:t xml:space="preserve"> use of fossil fuels (coal and gas) for electricity generation caused by droughts and prolonged periods with low rainfall and, consequently, lower levels of hydro storage lakes in 2017.</w:t>
      </w:r>
    </w:p>
    <w:p w14:paraId="444551E0" w14:textId="77777777" w:rsidR="00DE64BC" w:rsidRPr="00256982" w:rsidRDefault="00DE64BC" w:rsidP="00A808C7">
      <w:pPr>
        <w:pStyle w:val="BodyText"/>
        <w:rPr>
          <w:lang w:eastAsia="en-GB"/>
        </w:rPr>
      </w:pPr>
      <w:r w:rsidRPr="00256982">
        <w:rPr>
          <w:lang w:eastAsia="en-GB"/>
        </w:rPr>
        <w:t>Emissions from the Agriculture, IPPU and Waste sectors did not show significant changes beyond small annual variations below 1 per cent.</w:t>
      </w:r>
    </w:p>
    <w:p w14:paraId="3262DCDC" w14:textId="77777777" w:rsidR="00DE64BC" w:rsidRPr="00256982" w:rsidRDefault="00DE64BC" w:rsidP="00A72006">
      <w:pPr>
        <w:pStyle w:val="Heading4"/>
      </w:pPr>
      <w:r w:rsidRPr="00256982">
        <w:t>Net emissions – reporting under the Convention</w:t>
      </w:r>
    </w:p>
    <w:p w14:paraId="15BFBFA3" w14:textId="77777777" w:rsidR="00DE64BC" w:rsidRPr="00256982" w:rsidRDefault="00DE64BC" w:rsidP="00A808C7">
      <w:pPr>
        <w:pStyle w:val="BodyText"/>
      </w:pPr>
      <w:bookmarkStart w:id="19" w:name="_Toc321399312"/>
      <w:bookmarkStart w:id="20" w:name="_Toc414531568"/>
      <w:bookmarkStart w:id="21" w:name="_Toc444693960"/>
      <w:bookmarkStart w:id="22" w:name="_Toc447275645"/>
      <w:r w:rsidRPr="00256982">
        <w:t xml:space="preserve">Net emissions include emissions from the Energy, IPPU, Agriculture and Waste sectors, together with emissions and removals from the LULUCF sector. </w:t>
      </w:r>
    </w:p>
    <w:p w14:paraId="78279047" w14:textId="77777777" w:rsidR="00DE64BC" w:rsidRPr="00256982" w:rsidRDefault="00DE64BC" w:rsidP="00A808C7">
      <w:pPr>
        <w:pStyle w:val="BodyText"/>
      </w:pPr>
      <w:r w:rsidRPr="00256982">
        <w:t>In 1990, New Zealand’s net emissions were 34,506.5 kt CO</w:t>
      </w:r>
      <w:r w:rsidRPr="00256982">
        <w:rPr>
          <w:vertAlign w:val="subscript"/>
        </w:rPr>
        <w:t>2</w:t>
      </w:r>
      <w:r w:rsidRPr="00256982">
        <w:t>-e. Between 1990 and 2017, net GHG emissions increased by 22,388.5</w:t>
      </w:r>
      <w:r w:rsidRPr="00256982" w:rsidDel="00113096">
        <w:t xml:space="preserve"> </w:t>
      </w:r>
      <w:r w:rsidRPr="00256982">
        <w:t>kt CO</w:t>
      </w:r>
      <w:r w:rsidRPr="00256982">
        <w:rPr>
          <w:vertAlign w:val="subscript"/>
        </w:rPr>
        <w:t>2</w:t>
      </w:r>
      <w:r w:rsidRPr="00256982">
        <w:t>-e (64.9</w:t>
      </w:r>
      <w:r w:rsidRPr="00256982" w:rsidDel="00113096">
        <w:t xml:space="preserve"> </w:t>
      </w:r>
      <w:r w:rsidRPr="00256982">
        <w:t>per cent) to 56,895.0 kt CO</w:t>
      </w:r>
      <w:r w:rsidRPr="00256982">
        <w:rPr>
          <w:vertAlign w:val="subscript"/>
        </w:rPr>
        <w:t>2</w:t>
      </w:r>
      <w:r w:rsidRPr="00256982">
        <w:t xml:space="preserve">-e (figure ES 2.1). </w:t>
      </w:r>
    </w:p>
    <w:p w14:paraId="20D6D940" w14:textId="77777777" w:rsidR="00DE64BC" w:rsidRPr="00256982" w:rsidRDefault="00DE64BC" w:rsidP="00A808C7">
      <w:pPr>
        <w:pStyle w:val="BodyText"/>
      </w:pPr>
      <w:r w:rsidRPr="00256982">
        <w:t xml:space="preserve">The four categories that contributed the most to the increase in net emissions between 1990 and 2017 were </w:t>
      </w:r>
      <w:r w:rsidRPr="00256982">
        <w:rPr>
          <w:i/>
        </w:rPr>
        <w:t>Enteric fermentation from dairy cattle</w:t>
      </w:r>
      <w:r w:rsidRPr="00256982">
        <w:t>,</w:t>
      </w:r>
      <w:r w:rsidRPr="00256982">
        <w:rPr>
          <w:i/>
        </w:rPr>
        <w:t xml:space="preserve"> Road transportation</w:t>
      </w:r>
      <w:r w:rsidRPr="00256982">
        <w:t>,</w:t>
      </w:r>
      <w:r w:rsidRPr="00256982">
        <w:rPr>
          <w:i/>
        </w:rPr>
        <w:t xml:space="preserve"> Land remaining forest land</w:t>
      </w:r>
      <w:r w:rsidRPr="00256982">
        <w:t xml:space="preserve"> and</w:t>
      </w:r>
      <w:r w:rsidRPr="00256982">
        <w:rPr>
          <w:i/>
        </w:rPr>
        <w:t xml:space="preserve"> Land converted to forest land</w:t>
      </w:r>
      <w:r w:rsidRPr="00256982">
        <w:t>.</w:t>
      </w:r>
    </w:p>
    <w:p w14:paraId="6D591DA0" w14:textId="77777777" w:rsidR="00DE64BC" w:rsidRPr="00256982" w:rsidRDefault="00DE64BC" w:rsidP="00A808C7">
      <w:pPr>
        <w:pStyle w:val="Figure"/>
      </w:pPr>
      <w:bookmarkStart w:id="23" w:name="_Toc511116910"/>
      <w:bookmarkStart w:id="24" w:name="_Toc5269643"/>
      <w:r w:rsidRPr="00256982">
        <w:t>Figure ES 2.1</w:t>
      </w:r>
      <w:r w:rsidRPr="00256982">
        <w:tab/>
        <w:t>New Zealand’s gross and net emissions (under the Convention) from 1990 to</w:t>
      </w:r>
      <w:bookmarkEnd w:id="19"/>
      <w:bookmarkEnd w:id="20"/>
      <w:bookmarkEnd w:id="21"/>
      <w:bookmarkEnd w:id="22"/>
      <w:r w:rsidRPr="00256982">
        <w:t> </w:t>
      </w:r>
      <w:bookmarkEnd w:id="23"/>
      <w:r w:rsidRPr="00256982">
        <w:t>2017</w:t>
      </w:r>
      <w:bookmarkEnd w:id="24"/>
    </w:p>
    <w:p w14:paraId="0ED277DE" w14:textId="77777777" w:rsidR="00DE64BC" w:rsidRPr="00256982" w:rsidRDefault="00590491" w:rsidP="00A808C7">
      <w:r>
        <w:rPr>
          <w:lang w:eastAsia="en-NZ"/>
        </w:rPr>
        <w:pict w14:anchorId="603E5DF0">
          <v:shape id="_x0000_i1026" type="#_x0000_t75" style="width:426pt;height:248.25pt;visibility:visible" o:gfxdata="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">
            <v:imagedata r:id="rId18" o:title=""/>
            <o:lock v:ext="edit" aspectratio="f"/>
          </v:shape>
        </w:pict>
      </w:r>
    </w:p>
    <w:p w14:paraId="3B4D3320" w14:textId="77777777" w:rsidR="00DE64BC" w:rsidRPr="00256982" w:rsidRDefault="00DE64BC" w:rsidP="00A72006">
      <w:pPr>
        <w:pStyle w:val="Heading4"/>
      </w:pPr>
      <w:r w:rsidRPr="00256982">
        <w:lastRenderedPageBreak/>
        <w:t>Accounting for New Zealand’s 2020 target</w:t>
      </w:r>
    </w:p>
    <w:p w14:paraId="1BAF244D" w14:textId="77777777" w:rsidR="00DE64BC" w:rsidRPr="00256982" w:rsidRDefault="00DE64BC" w:rsidP="00A808C7">
      <w:pPr>
        <w:pStyle w:val="BodyText"/>
      </w:pPr>
      <w:bookmarkStart w:id="25" w:name="_Toc321398805"/>
      <w:r w:rsidRPr="00256982">
        <w:t xml:space="preserve">For the period up to 2020, New Zealand has taken a target under the Convention. This target is to reduce emissions to 5 per cent below 1990 levels by 2020. New Zealand will apply the Kyoto Protocol framework of rules in accounting for its 2020 target under the Convention. This means New Zealand will count net removals from Article 3.3 – </w:t>
      </w:r>
      <w:r w:rsidRPr="00256982">
        <w:rPr>
          <w:i/>
        </w:rPr>
        <w:t xml:space="preserve">Afforestation and reforestation </w:t>
      </w:r>
      <w:r w:rsidRPr="00256982">
        <w:t>and</w:t>
      </w:r>
      <w:r w:rsidRPr="00256982">
        <w:rPr>
          <w:i/>
        </w:rPr>
        <w:t xml:space="preserve"> Deforestation</w:t>
      </w:r>
      <w:r w:rsidRPr="00256982">
        <w:t xml:space="preserve"> and Article 3.4 – </w:t>
      </w:r>
      <w:r w:rsidRPr="00256982">
        <w:rPr>
          <w:i/>
        </w:rPr>
        <w:t>Forest management</w:t>
      </w:r>
      <w:r w:rsidRPr="00256982">
        <w:t xml:space="preserve"> of the Kyoto Protocol towards its target. </w:t>
      </w:r>
    </w:p>
    <w:p w14:paraId="29105100" w14:textId="77777777" w:rsidR="00DE64BC" w:rsidRPr="00256982" w:rsidRDefault="00DE64BC" w:rsidP="00A808C7">
      <w:pPr>
        <w:pStyle w:val="BodyText"/>
      </w:pPr>
      <w:r w:rsidRPr="00256982">
        <w:t>New Zealand’s emissions budget for the period 2013 to 2020 is 509,774,982 tonnes CO</w:t>
      </w:r>
      <w:r w:rsidRPr="00256982">
        <w:rPr>
          <w:vertAlign w:val="subscript"/>
        </w:rPr>
        <w:t>2</w:t>
      </w:r>
      <w:r w:rsidRPr="00256982">
        <w:noBreakHyphen/>
        <w:t>e. This is based on the gross emissions data for 1990 included in New Zealand’s 2016 inventory submission (New Zealand’s Initial Report</w:t>
      </w:r>
      <w:r w:rsidRPr="00256982">
        <w:rPr>
          <w:szCs w:val="22"/>
        </w:rPr>
        <w:t>, Ministry for the Environment, 2016</w:t>
      </w:r>
      <w:r w:rsidRPr="00256982">
        <w:t>).</w:t>
      </w:r>
      <w:r w:rsidRPr="00256982">
        <w:rPr>
          <w:rStyle w:val="FootnoteReference"/>
        </w:rPr>
        <w:footnoteReference w:id="5"/>
      </w:r>
      <w:r w:rsidRPr="00256982">
        <w:t xml:space="preserve"> </w:t>
      </w:r>
    </w:p>
    <w:p w14:paraId="72003B39" w14:textId="77777777" w:rsidR="00DE64BC" w:rsidRPr="00256982" w:rsidRDefault="00DE64BC" w:rsidP="00A808C7">
      <w:pPr>
        <w:pStyle w:val="BodyText"/>
      </w:pPr>
      <w:r w:rsidRPr="00256982">
        <w:t>New Zealand tracks progress towards its 2020 target in the 2020 net position report. This report can be found on New Zealand’s Ministry for the Environment website (</w:t>
      </w:r>
      <w:hyperlink r:id="rId19" w:history="1">
        <w:r w:rsidRPr="00256982">
          <w:t>www.mfe.govt.nz/ climate-change/reporting-greenhouse-gas-emissions/latest-2020-net-position</w:t>
        </w:r>
      </w:hyperlink>
      <w:r w:rsidRPr="00256982">
        <w:t xml:space="preserve">). </w:t>
      </w:r>
    </w:p>
    <w:p w14:paraId="0DECEBD4" w14:textId="77777777" w:rsidR="00DE64BC" w:rsidRPr="00256982" w:rsidRDefault="00DE64BC" w:rsidP="001D3490">
      <w:pPr>
        <w:pStyle w:val="Heading2"/>
      </w:pPr>
      <w:bookmarkStart w:id="26" w:name="_Toc352504813"/>
      <w:bookmarkStart w:id="27" w:name="_Toc414531261"/>
      <w:bookmarkStart w:id="28" w:name="_Toc448321482"/>
      <w:bookmarkStart w:id="29" w:name="_Toc511116559"/>
      <w:bookmarkStart w:id="30" w:name="_Toc5269321"/>
      <w:bookmarkEnd w:id="25"/>
      <w:r w:rsidRPr="00256982">
        <w:t>ES.3</w:t>
      </w:r>
      <w:r w:rsidRPr="00256982">
        <w:tab/>
        <w:t>Greenhouse gas trends</w:t>
      </w:r>
      <w:bookmarkEnd w:id="26"/>
      <w:bookmarkEnd w:id="27"/>
      <w:bookmarkEnd w:id="28"/>
      <w:bookmarkEnd w:id="29"/>
      <w:bookmarkEnd w:id="30"/>
    </w:p>
    <w:p w14:paraId="551FC9B4" w14:textId="3FDB3F8E" w:rsidR="00DE64BC" w:rsidRPr="00256982" w:rsidRDefault="00DE64BC" w:rsidP="00A808C7">
      <w:pPr>
        <w:pStyle w:val="BodyText"/>
      </w:pPr>
      <w:r w:rsidRPr="00256982">
        <w:t>Inventory reporting under the Convention covers seven direct GHGs: CO</w:t>
      </w:r>
      <w:r w:rsidRPr="00256982">
        <w:rPr>
          <w:vertAlign w:val="subscript"/>
        </w:rPr>
        <w:t>2</w:t>
      </w:r>
      <w:r w:rsidRPr="00256982">
        <w:t>, CH</w:t>
      </w:r>
      <w:r w:rsidRPr="00256982">
        <w:rPr>
          <w:vertAlign w:val="subscript"/>
        </w:rPr>
        <w:t>4</w:t>
      </w:r>
      <w:r w:rsidRPr="00256982">
        <w:t>, N</w:t>
      </w:r>
      <w:r w:rsidRPr="00256982">
        <w:rPr>
          <w:vertAlign w:val="subscript"/>
        </w:rPr>
        <w:t>2</w:t>
      </w:r>
      <w:r w:rsidRPr="00256982">
        <w:t>O, SF</w:t>
      </w:r>
      <w:r w:rsidRPr="00256982">
        <w:rPr>
          <w:vertAlign w:val="subscript"/>
        </w:rPr>
        <w:t>6</w:t>
      </w:r>
      <w:r w:rsidRPr="00256982">
        <w:t>, PFCs, HFCs and NF</w:t>
      </w:r>
      <w:r w:rsidRPr="00256982">
        <w:rPr>
          <w:vertAlign w:val="subscript"/>
        </w:rPr>
        <w:t>3</w:t>
      </w:r>
      <w:r w:rsidRPr="00256982">
        <w:t>. Because NF</w:t>
      </w:r>
      <w:r w:rsidRPr="00256982">
        <w:rPr>
          <w:vertAlign w:val="subscript"/>
        </w:rPr>
        <w:t>3</w:t>
      </w:r>
      <w:r w:rsidRPr="00256982">
        <w:t xml:space="preserve"> emissions do not occur in New Zealand, no NF</w:t>
      </w:r>
      <w:r w:rsidRPr="00256982">
        <w:rPr>
          <w:vertAlign w:val="subscript"/>
        </w:rPr>
        <w:t>3</w:t>
      </w:r>
      <w:r w:rsidRPr="00256982">
        <w:t xml:space="preserve"> data are included in this report. Figure ES 3.1 presents New Zealand’s 2017 emissions by gas.</w:t>
      </w:r>
    </w:p>
    <w:p w14:paraId="3F89E63E" w14:textId="77777777" w:rsidR="00DE64BC" w:rsidRPr="00256982" w:rsidRDefault="00DE64BC" w:rsidP="00A808C7">
      <w:pPr>
        <w:pStyle w:val="BodyText"/>
      </w:pPr>
      <w:r w:rsidRPr="00256982">
        <w:t xml:space="preserve">Table ES 3.1 provides a summary of emissions for each gas in 1990 and 2017 and the changes since 1990. This is also illustrated in figure ES 3.2. </w:t>
      </w:r>
    </w:p>
    <w:p w14:paraId="2852A8EC" w14:textId="77777777" w:rsidR="00DE64BC" w:rsidRPr="00256982" w:rsidRDefault="00DE64BC" w:rsidP="00A808C7">
      <w:pPr>
        <w:pStyle w:val="Figure"/>
        <w:spacing w:after="0"/>
      </w:pPr>
      <w:bookmarkStart w:id="31" w:name="_Toc444693961"/>
      <w:bookmarkStart w:id="32" w:name="_Toc447275646"/>
      <w:bookmarkStart w:id="33" w:name="_Toc511116911"/>
      <w:bookmarkStart w:id="34" w:name="_Toc5269644"/>
      <w:r w:rsidRPr="00256982" w:rsidDel="0031329E">
        <w:t xml:space="preserve">Figure ES 3.1 </w:t>
      </w:r>
      <w:r w:rsidRPr="00256982" w:rsidDel="0031329E">
        <w:tab/>
        <w:t xml:space="preserve">New Zealand’s </w:t>
      </w:r>
      <w:r w:rsidRPr="00256982">
        <w:t xml:space="preserve">gross </w:t>
      </w:r>
      <w:r w:rsidRPr="00256982" w:rsidDel="0031329E">
        <w:t xml:space="preserve">emissions by gas in </w:t>
      </w:r>
      <w:bookmarkEnd w:id="31"/>
      <w:bookmarkEnd w:id="32"/>
      <w:bookmarkEnd w:id="33"/>
      <w:r w:rsidRPr="00256982" w:rsidDel="0031329E">
        <w:t>201</w:t>
      </w:r>
      <w:r w:rsidRPr="00256982">
        <w:t>7</w:t>
      </w:r>
      <w:bookmarkEnd w:id="34"/>
    </w:p>
    <w:p w14:paraId="06273BC2" w14:textId="77777777" w:rsidR="00DE64BC" w:rsidRPr="00256982" w:rsidRDefault="00590491" w:rsidP="00A808C7">
      <w:r>
        <w:rPr>
          <w:lang w:eastAsia="en-NZ"/>
        </w:rPr>
        <w:pict w14:anchorId="53A6B96C">
          <v:shape id="_x0000_i1027" type="#_x0000_t75" style="width:426pt;height:197.25pt;visibility:visible" o:gfxdata="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">
            <v:imagedata r:id="rId20" o:title=""/>
            <o:lock v:ext="edit" aspectratio="f"/>
          </v:shape>
        </w:pict>
      </w:r>
    </w:p>
    <w:p w14:paraId="2A2C22AC" w14:textId="77777777" w:rsidR="00DE64BC" w:rsidRPr="00256982" w:rsidRDefault="00DE64BC" w:rsidP="00A808C7">
      <w:pPr>
        <w:pStyle w:val="Noteundertable"/>
        <w:spacing w:before="0"/>
      </w:pPr>
      <w:r w:rsidRPr="00256982">
        <w:rPr>
          <w:b/>
        </w:rPr>
        <w:t xml:space="preserve">Note: </w:t>
      </w:r>
      <w:r w:rsidRPr="00256982">
        <w:rPr>
          <w:b/>
        </w:rPr>
        <w:tab/>
      </w:r>
      <w:r w:rsidRPr="00256982">
        <w:t>The percentages may not add up to 100 per cent due to rounding.</w:t>
      </w:r>
    </w:p>
    <w:p w14:paraId="7A3AE5DD" w14:textId="77777777" w:rsidR="00DE64BC" w:rsidRPr="00256982" w:rsidRDefault="00DE64BC" w:rsidP="00A808C7">
      <w:pPr>
        <w:pStyle w:val="Table"/>
        <w:spacing w:before="240"/>
      </w:pPr>
      <w:bookmarkStart w:id="35" w:name="_Toc444693993"/>
      <w:bookmarkStart w:id="36" w:name="_Toc451176048"/>
      <w:bookmarkStart w:id="37" w:name="_Toc511116697"/>
      <w:bookmarkStart w:id="38" w:name="_Toc5269431"/>
      <w:r w:rsidRPr="00256982">
        <w:lastRenderedPageBreak/>
        <w:t xml:space="preserve">Table ES 3.1 </w:t>
      </w:r>
      <w:r w:rsidRPr="00256982">
        <w:tab/>
        <w:t>New Zealand’s gross emissions by gas in 1990 and </w:t>
      </w:r>
      <w:bookmarkEnd w:id="35"/>
      <w:bookmarkEnd w:id="36"/>
      <w:bookmarkEnd w:id="37"/>
      <w:r w:rsidRPr="00256982">
        <w:t>2017</w:t>
      </w:r>
      <w:bookmarkEnd w:id="38"/>
    </w:p>
    <w:tbl>
      <w:tblPr>
        <w:tblW w:w="8505" w:type="dxa"/>
        <w:tblInd w:w="108" w:type="dxa"/>
        <w:tblBorders>
          <w:bottom w:val="single" w:sz="8" w:space="0" w:color="365F91"/>
          <w:insideH w:val="single" w:sz="8" w:space="0" w:color="365F91"/>
        </w:tblBorders>
        <w:tblLook w:val="01E0" w:firstRow="1" w:lastRow="1" w:firstColumn="1" w:lastColumn="1" w:noHBand="0" w:noVBand="0"/>
      </w:tblPr>
      <w:tblGrid>
        <w:gridCol w:w="2694"/>
        <w:gridCol w:w="1417"/>
        <w:gridCol w:w="1418"/>
        <w:gridCol w:w="1559"/>
        <w:gridCol w:w="1417"/>
      </w:tblGrid>
      <w:tr w:rsidR="00DE64BC" w:rsidRPr="00256982" w14:paraId="5B739EAA" w14:textId="77777777" w:rsidTr="00A808C7">
        <w:tc>
          <w:tcPr>
            <w:tcW w:w="2694" w:type="dxa"/>
            <w:vMerge w:val="restart"/>
            <w:tcBorders>
              <w:top w:val="single" w:sz="4" w:space="0" w:color="365F91"/>
              <w:left w:val="nil"/>
              <w:bottom w:val="nil"/>
              <w:right w:val="nil"/>
              <w:tl2br w:val="nil"/>
              <w:tr2bl w:val="nil"/>
            </w:tcBorders>
            <w:shd w:val="clear" w:color="auto" w:fill="365F91"/>
            <w:vAlign w:val="bottom"/>
          </w:tcPr>
          <w:p w14:paraId="40915721" w14:textId="77777777" w:rsidR="00DE64BC" w:rsidRPr="00256982" w:rsidRDefault="00DE64BC" w:rsidP="00A808C7">
            <w:pPr>
              <w:pStyle w:val="TableTextBold"/>
              <w:keepNext/>
              <w:rPr>
                <w:noProof w:val="0"/>
                <w:color w:val="FFFFFF"/>
              </w:rPr>
            </w:pPr>
            <w:r w:rsidRPr="00256982">
              <w:rPr>
                <w:noProof w:val="0"/>
                <w:color w:val="FFFFFF"/>
              </w:rPr>
              <w:t>Direct greenhouse gas emissions</w:t>
            </w:r>
          </w:p>
        </w:tc>
        <w:tc>
          <w:tcPr>
            <w:tcW w:w="2835" w:type="dxa"/>
            <w:gridSpan w:val="2"/>
            <w:tcBorders>
              <w:top w:val="single" w:sz="4" w:space="0" w:color="365F91"/>
              <w:left w:val="nil"/>
              <w:bottom w:val="nil"/>
              <w:right w:val="nil"/>
              <w:tl2br w:val="nil"/>
              <w:tr2bl w:val="nil"/>
            </w:tcBorders>
            <w:shd w:val="clear" w:color="auto" w:fill="365F91"/>
            <w:vAlign w:val="bottom"/>
          </w:tcPr>
          <w:p w14:paraId="22C872F8" w14:textId="77777777" w:rsidR="00DE64BC" w:rsidRPr="00256982" w:rsidRDefault="00DE64BC" w:rsidP="00A808C7">
            <w:pPr>
              <w:pStyle w:val="TableTextBold"/>
              <w:keepNext/>
              <w:jc w:val="center"/>
              <w:rPr>
                <w:noProof w:val="0"/>
                <w:color w:val="FFFFFF"/>
              </w:rPr>
            </w:pPr>
            <w:r w:rsidRPr="00256982">
              <w:rPr>
                <w:noProof w:val="0"/>
                <w:color w:val="FFFFFF"/>
              </w:rPr>
              <w:t>kt CO</w:t>
            </w:r>
            <w:r w:rsidRPr="00256982">
              <w:rPr>
                <w:noProof w:val="0"/>
                <w:color w:val="FFFFFF"/>
                <w:vertAlign w:val="subscript"/>
              </w:rPr>
              <w:t>2</w:t>
            </w:r>
            <w:r w:rsidRPr="00256982">
              <w:rPr>
                <w:noProof w:val="0"/>
                <w:color w:val="FFFFFF"/>
              </w:rPr>
              <w:t>-equivalent</w:t>
            </w:r>
          </w:p>
        </w:tc>
        <w:tc>
          <w:tcPr>
            <w:tcW w:w="1559" w:type="dxa"/>
            <w:vMerge w:val="restart"/>
            <w:tcBorders>
              <w:top w:val="single" w:sz="4" w:space="0" w:color="365F91"/>
              <w:left w:val="nil"/>
              <w:bottom w:val="nil"/>
              <w:right w:val="nil"/>
              <w:tl2br w:val="nil"/>
              <w:tr2bl w:val="nil"/>
            </w:tcBorders>
            <w:shd w:val="clear" w:color="auto" w:fill="365F91"/>
            <w:vAlign w:val="bottom"/>
          </w:tcPr>
          <w:p w14:paraId="7EEF4FBC" w14:textId="77777777" w:rsidR="00DE64BC" w:rsidRPr="00256982" w:rsidRDefault="00DE64BC" w:rsidP="00A808C7">
            <w:pPr>
              <w:pStyle w:val="TableTextBold"/>
              <w:keepNext/>
              <w:jc w:val="center"/>
              <w:rPr>
                <w:noProof w:val="0"/>
                <w:color w:val="FFFFFF"/>
              </w:rPr>
            </w:pPr>
            <w:r w:rsidRPr="00256982">
              <w:rPr>
                <w:noProof w:val="0"/>
                <w:color w:val="FFFFFF"/>
              </w:rPr>
              <w:t>Change from 1990 (kt CO</w:t>
            </w:r>
            <w:r w:rsidRPr="00256982">
              <w:rPr>
                <w:noProof w:val="0"/>
                <w:color w:val="FFFFFF"/>
                <w:vertAlign w:val="subscript"/>
              </w:rPr>
              <w:t>2</w:t>
            </w:r>
            <w:r w:rsidRPr="00256982">
              <w:rPr>
                <w:noProof w:val="0"/>
                <w:color w:val="FFFFFF"/>
              </w:rPr>
              <w:t>-equivalent)</w:t>
            </w:r>
          </w:p>
        </w:tc>
        <w:tc>
          <w:tcPr>
            <w:tcW w:w="1417" w:type="dxa"/>
            <w:vMerge w:val="restart"/>
            <w:tcBorders>
              <w:top w:val="single" w:sz="4" w:space="0" w:color="365F91"/>
              <w:left w:val="nil"/>
              <w:bottom w:val="nil"/>
              <w:right w:val="nil"/>
              <w:tl2br w:val="nil"/>
              <w:tr2bl w:val="nil"/>
            </w:tcBorders>
            <w:shd w:val="clear" w:color="auto" w:fill="365F91"/>
            <w:vAlign w:val="bottom"/>
          </w:tcPr>
          <w:p w14:paraId="3DD2CF9D" w14:textId="77777777" w:rsidR="00DE64BC" w:rsidRPr="00256982" w:rsidRDefault="00DE64BC" w:rsidP="00A808C7">
            <w:pPr>
              <w:pStyle w:val="TableTextBold"/>
              <w:keepNext/>
              <w:jc w:val="right"/>
              <w:rPr>
                <w:noProof w:val="0"/>
                <w:color w:val="FFFFFF"/>
              </w:rPr>
            </w:pPr>
            <w:r w:rsidRPr="00256982">
              <w:rPr>
                <w:noProof w:val="0"/>
                <w:color w:val="FFFFFF"/>
              </w:rPr>
              <w:t>Change from 1990 (%)</w:t>
            </w:r>
          </w:p>
        </w:tc>
      </w:tr>
      <w:tr w:rsidR="00DE64BC" w:rsidRPr="00256982" w14:paraId="149ADFA5" w14:textId="77777777" w:rsidTr="00A808C7">
        <w:tc>
          <w:tcPr>
            <w:tcW w:w="2694" w:type="dxa"/>
            <w:vMerge/>
            <w:tcBorders>
              <w:top w:val="nil"/>
              <w:bottom w:val="single" w:sz="4" w:space="0" w:color="365F91"/>
            </w:tcBorders>
            <w:shd w:val="clear" w:color="auto" w:fill="365F91"/>
            <w:vAlign w:val="bottom"/>
          </w:tcPr>
          <w:p w14:paraId="7D9AB76C" w14:textId="77777777" w:rsidR="00DE64BC" w:rsidRPr="00256982" w:rsidRDefault="00DE64BC" w:rsidP="00A808C7">
            <w:pPr>
              <w:keepNext/>
              <w:spacing w:before="60" w:after="60"/>
              <w:rPr>
                <w:rFonts w:ascii="Arial" w:hAnsi="Arial"/>
                <w:color w:val="FFFFFF"/>
              </w:rPr>
            </w:pPr>
          </w:p>
        </w:tc>
        <w:tc>
          <w:tcPr>
            <w:tcW w:w="1417" w:type="dxa"/>
            <w:tcBorders>
              <w:top w:val="nil"/>
              <w:bottom w:val="single" w:sz="4" w:space="0" w:color="365F91"/>
            </w:tcBorders>
            <w:shd w:val="clear" w:color="auto" w:fill="365F91"/>
            <w:vAlign w:val="bottom"/>
          </w:tcPr>
          <w:p w14:paraId="337B9801" w14:textId="77777777" w:rsidR="00DE64BC" w:rsidRPr="00256982" w:rsidRDefault="00DE64BC" w:rsidP="00A808C7">
            <w:pPr>
              <w:pStyle w:val="TableTextBold"/>
              <w:keepNext/>
              <w:spacing w:before="0"/>
              <w:jc w:val="center"/>
              <w:rPr>
                <w:noProof w:val="0"/>
                <w:color w:val="FFFFFF"/>
              </w:rPr>
            </w:pPr>
            <w:r w:rsidRPr="00256982">
              <w:rPr>
                <w:noProof w:val="0"/>
                <w:color w:val="FFFFFF"/>
              </w:rPr>
              <w:t>1990</w:t>
            </w:r>
          </w:p>
        </w:tc>
        <w:tc>
          <w:tcPr>
            <w:tcW w:w="1418" w:type="dxa"/>
            <w:tcBorders>
              <w:top w:val="nil"/>
              <w:bottom w:val="single" w:sz="4" w:space="0" w:color="365F91"/>
            </w:tcBorders>
            <w:shd w:val="clear" w:color="auto" w:fill="365F91"/>
            <w:vAlign w:val="bottom"/>
          </w:tcPr>
          <w:p w14:paraId="27833C40" w14:textId="77777777" w:rsidR="00DE64BC" w:rsidRPr="00256982" w:rsidRDefault="00DE64BC" w:rsidP="00A808C7">
            <w:pPr>
              <w:pStyle w:val="TableTextBold"/>
              <w:keepNext/>
              <w:spacing w:before="0"/>
              <w:jc w:val="center"/>
              <w:rPr>
                <w:noProof w:val="0"/>
                <w:color w:val="FFFFFF"/>
              </w:rPr>
            </w:pPr>
            <w:r w:rsidRPr="00256982">
              <w:rPr>
                <w:noProof w:val="0"/>
                <w:color w:val="FFFFFF"/>
              </w:rPr>
              <w:t>2017</w:t>
            </w:r>
          </w:p>
        </w:tc>
        <w:tc>
          <w:tcPr>
            <w:tcW w:w="1559" w:type="dxa"/>
            <w:vMerge/>
            <w:tcBorders>
              <w:top w:val="nil"/>
              <w:bottom w:val="single" w:sz="4" w:space="0" w:color="365F91"/>
            </w:tcBorders>
            <w:shd w:val="clear" w:color="auto" w:fill="365F91"/>
            <w:vAlign w:val="bottom"/>
          </w:tcPr>
          <w:p w14:paraId="70AB2D94" w14:textId="77777777" w:rsidR="00DE64BC" w:rsidRPr="00256982" w:rsidRDefault="00DE64BC" w:rsidP="00A808C7">
            <w:pPr>
              <w:keepNext/>
              <w:spacing w:before="60" w:after="60"/>
              <w:jc w:val="center"/>
              <w:rPr>
                <w:rFonts w:ascii="Arial" w:hAnsi="Arial"/>
                <w:b/>
                <w:color w:val="FFFFFF"/>
                <w:sz w:val="16"/>
              </w:rPr>
            </w:pPr>
          </w:p>
        </w:tc>
        <w:tc>
          <w:tcPr>
            <w:tcW w:w="1417" w:type="dxa"/>
            <w:vMerge/>
            <w:tcBorders>
              <w:top w:val="nil"/>
              <w:bottom w:val="single" w:sz="4" w:space="0" w:color="365F91"/>
            </w:tcBorders>
            <w:shd w:val="clear" w:color="auto" w:fill="365F91"/>
            <w:vAlign w:val="bottom"/>
          </w:tcPr>
          <w:p w14:paraId="720067CC" w14:textId="77777777" w:rsidR="00DE64BC" w:rsidRPr="00256982" w:rsidRDefault="00DE64BC" w:rsidP="00A808C7">
            <w:pPr>
              <w:keepNext/>
              <w:spacing w:before="60" w:after="60"/>
              <w:jc w:val="center"/>
              <w:rPr>
                <w:rFonts w:ascii="Arial" w:hAnsi="Arial"/>
                <w:b/>
                <w:color w:val="FFFFFF"/>
                <w:sz w:val="16"/>
              </w:rPr>
            </w:pPr>
          </w:p>
        </w:tc>
      </w:tr>
      <w:tr w:rsidR="00DE64BC" w:rsidRPr="00256982" w14:paraId="5BA3CACC" w14:textId="77777777" w:rsidTr="00A808C7">
        <w:tc>
          <w:tcPr>
            <w:tcW w:w="2694" w:type="dxa"/>
            <w:tcBorders>
              <w:top w:val="single" w:sz="4" w:space="0" w:color="365F91"/>
            </w:tcBorders>
            <w:shd w:val="clear" w:color="auto" w:fill="auto"/>
          </w:tcPr>
          <w:p w14:paraId="14826B06" w14:textId="77777777" w:rsidR="00DE64BC" w:rsidRPr="00256982" w:rsidRDefault="00DE64BC" w:rsidP="00A808C7">
            <w:pPr>
              <w:pStyle w:val="TableText"/>
              <w:keepNext/>
              <w:spacing w:before="50" w:after="50"/>
              <w:rPr>
                <w:color w:val="000000"/>
                <w:szCs w:val="22"/>
              </w:rPr>
            </w:pPr>
            <w:r w:rsidRPr="00256982">
              <w:rPr>
                <w:color w:val="000000"/>
                <w:szCs w:val="22"/>
              </w:rPr>
              <w:t>CO</w:t>
            </w:r>
            <w:r w:rsidRPr="00256982">
              <w:rPr>
                <w:color w:val="000000"/>
                <w:szCs w:val="16"/>
                <w:vertAlign w:val="subscript"/>
              </w:rPr>
              <w:t>2</w:t>
            </w:r>
            <w:r w:rsidRPr="00256982">
              <w:rPr>
                <w:color w:val="000000"/>
                <w:szCs w:val="22"/>
              </w:rPr>
              <w:t xml:space="preserve"> </w:t>
            </w:r>
          </w:p>
        </w:tc>
        <w:tc>
          <w:tcPr>
            <w:tcW w:w="1417" w:type="dxa"/>
            <w:tcBorders>
              <w:top w:val="single" w:sz="4" w:space="0" w:color="365F91"/>
            </w:tcBorders>
            <w:shd w:val="clear" w:color="auto" w:fill="auto"/>
            <w:vAlign w:val="bottom"/>
          </w:tcPr>
          <w:p w14:paraId="6A5093DA" w14:textId="77777777" w:rsidR="00DE64BC" w:rsidRPr="00256982" w:rsidRDefault="00DE64BC" w:rsidP="00A808C7">
            <w:pPr>
              <w:pStyle w:val="TableText"/>
              <w:keepNext/>
              <w:spacing w:before="50" w:after="50"/>
              <w:ind w:right="283"/>
              <w:jc w:val="right"/>
              <w:rPr>
                <w:rFonts w:cs="Arial"/>
                <w:color w:val="000000"/>
                <w:szCs w:val="16"/>
              </w:rPr>
            </w:pPr>
            <w:r w:rsidRPr="00256982">
              <w:rPr>
                <w:rFonts w:cs="Arial"/>
                <w:color w:val="000000"/>
                <w:szCs w:val="16"/>
              </w:rPr>
              <w:t>25,455.2</w:t>
            </w:r>
          </w:p>
        </w:tc>
        <w:tc>
          <w:tcPr>
            <w:tcW w:w="1418" w:type="dxa"/>
            <w:tcBorders>
              <w:top w:val="single" w:sz="4" w:space="0" w:color="365F91"/>
            </w:tcBorders>
            <w:shd w:val="clear" w:color="auto" w:fill="auto"/>
            <w:vAlign w:val="bottom"/>
          </w:tcPr>
          <w:p w14:paraId="304507C2" w14:textId="77777777" w:rsidR="00DE64BC" w:rsidRPr="00256982" w:rsidRDefault="00DE64BC" w:rsidP="00A808C7">
            <w:pPr>
              <w:pStyle w:val="TableText"/>
              <w:keepNext/>
              <w:spacing w:before="50" w:after="50"/>
              <w:ind w:right="283"/>
              <w:jc w:val="right"/>
              <w:rPr>
                <w:rFonts w:cs="Arial"/>
                <w:color w:val="000000"/>
                <w:szCs w:val="16"/>
              </w:rPr>
            </w:pPr>
            <w:r w:rsidRPr="00256982">
              <w:rPr>
                <w:rFonts w:cs="Arial"/>
                <w:color w:val="000000"/>
                <w:szCs w:val="16"/>
              </w:rPr>
              <w:t>36,023.7</w:t>
            </w:r>
          </w:p>
        </w:tc>
        <w:tc>
          <w:tcPr>
            <w:tcW w:w="1559" w:type="dxa"/>
            <w:tcBorders>
              <w:top w:val="single" w:sz="4" w:space="0" w:color="365F91"/>
            </w:tcBorders>
            <w:shd w:val="clear" w:color="auto" w:fill="auto"/>
            <w:vAlign w:val="bottom"/>
          </w:tcPr>
          <w:p w14:paraId="63477717" w14:textId="77777777" w:rsidR="00DE64BC" w:rsidRPr="00256982" w:rsidRDefault="00DE64BC" w:rsidP="00A808C7">
            <w:pPr>
              <w:pStyle w:val="TableText"/>
              <w:keepNext/>
              <w:spacing w:before="50" w:after="50"/>
              <w:ind w:right="176"/>
              <w:jc w:val="right"/>
              <w:rPr>
                <w:rFonts w:cs="Arial"/>
                <w:color w:val="000000"/>
                <w:szCs w:val="16"/>
              </w:rPr>
            </w:pPr>
            <w:r w:rsidRPr="00256982">
              <w:rPr>
                <w:rFonts w:cs="Arial"/>
                <w:color w:val="000000"/>
                <w:szCs w:val="16"/>
              </w:rPr>
              <w:t>10,568.6</w:t>
            </w:r>
          </w:p>
        </w:tc>
        <w:tc>
          <w:tcPr>
            <w:tcW w:w="1417" w:type="dxa"/>
            <w:tcBorders>
              <w:top w:val="single" w:sz="4" w:space="0" w:color="365F91"/>
            </w:tcBorders>
            <w:shd w:val="clear" w:color="auto" w:fill="auto"/>
            <w:vAlign w:val="bottom"/>
          </w:tcPr>
          <w:p w14:paraId="47B0907C" w14:textId="77777777" w:rsidR="00DE64BC" w:rsidRPr="00256982" w:rsidRDefault="00DE64BC" w:rsidP="00A808C7">
            <w:pPr>
              <w:pStyle w:val="TableText"/>
              <w:keepNext/>
              <w:tabs>
                <w:tab w:val="left" w:pos="1309"/>
              </w:tabs>
              <w:spacing w:before="50" w:after="50"/>
              <w:ind w:right="337"/>
              <w:jc w:val="right"/>
              <w:rPr>
                <w:rFonts w:cs="Arial"/>
                <w:color w:val="000000"/>
                <w:szCs w:val="16"/>
              </w:rPr>
            </w:pPr>
            <w:r w:rsidRPr="00256982">
              <w:rPr>
                <w:rFonts w:cs="Arial"/>
                <w:color w:val="000000"/>
                <w:szCs w:val="16"/>
              </w:rPr>
              <w:t>41.5</w:t>
            </w:r>
          </w:p>
        </w:tc>
      </w:tr>
      <w:tr w:rsidR="00DE64BC" w:rsidRPr="00256982" w14:paraId="2BBB74F9" w14:textId="77777777" w:rsidTr="00A808C7">
        <w:tc>
          <w:tcPr>
            <w:tcW w:w="2694" w:type="dxa"/>
            <w:shd w:val="clear" w:color="auto" w:fill="auto"/>
          </w:tcPr>
          <w:p w14:paraId="35A7E793" w14:textId="77777777" w:rsidR="00DE64BC" w:rsidRPr="00256982" w:rsidRDefault="00DE64BC" w:rsidP="00A808C7">
            <w:pPr>
              <w:pStyle w:val="TableText"/>
              <w:keepNext/>
              <w:spacing w:before="50" w:after="50"/>
              <w:rPr>
                <w:color w:val="000000"/>
                <w:szCs w:val="22"/>
              </w:rPr>
            </w:pPr>
            <w:r w:rsidRPr="00256982">
              <w:rPr>
                <w:color w:val="000000"/>
                <w:szCs w:val="22"/>
              </w:rPr>
              <w:t>CH</w:t>
            </w:r>
            <w:r w:rsidRPr="00256982">
              <w:rPr>
                <w:color w:val="000000"/>
                <w:szCs w:val="22"/>
                <w:vertAlign w:val="subscript"/>
              </w:rPr>
              <w:t xml:space="preserve">4 </w:t>
            </w:r>
          </w:p>
        </w:tc>
        <w:tc>
          <w:tcPr>
            <w:tcW w:w="1417" w:type="dxa"/>
            <w:shd w:val="clear" w:color="auto" w:fill="auto"/>
            <w:vAlign w:val="bottom"/>
          </w:tcPr>
          <w:p w14:paraId="056BC8B9" w14:textId="77777777" w:rsidR="00DE64BC" w:rsidRPr="00256982" w:rsidRDefault="00DE64BC" w:rsidP="00A808C7">
            <w:pPr>
              <w:pStyle w:val="TableText"/>
              <w:keepNext/>
              <w:spacing w:before="50" w:after="50"/>
              <w:ind w:right="283"/>
              <w:jc w:val="right"/>
              <w:rPr>
                <w:rFonts w:cs="Arial"/>
                <w:color w:val="000000"/>
                <w:szCs w:val="16"/>
              </w:rPr>
            </w:pPr>
            <w:r w:rsidRPr="00256982">
              <w:rPr>
                <w:rFonts w:cs="Arial"/>
                <w:color w:val="000000"/>
                <w:szCs w:val="16"/>
              </w:rPr>
              <w:t>32,150.0</w:t>
            </w:r>
          </w:p>
        </w:tc>
        <w:tc>
          <w:tcPr>
            <w:tcW w:w="1418" w:type="dxa"/>
            <w:shd w:val="clear" w:color="auto" w:fill="auto"/>
            <w:vAlign w:val="bottom"/>
          </w:tcPr>
          <w:p w14:paraId="13001E47" w14:textId="77777777" w:rsidR="00DE64BC" w:rsidRPr="00256982" w:rsidRDefault="00DE64BC" w:rsidP="00A808C7">
            <w:pPr>
              <w:pStyle w:val="TableText"/>
              <w:keepNext/>
              <w:spacing w:before="50" w:after="50"/>
              <w:ind w:right="283"/>
              <w:jc w:val="right"/>
              <w:rPr>
                <w:rFonts w:cs="Arial"/>
                <w:color w:val="000000"/>
                <w:szCs w:val="16"/>
              </w:rPr>
            </w:pPr>
            <w:r w:rsidRPr="00256982">
              <w:rPr>
                <w:rFonts w:cs="Arial"/>
                <w:color w:val="000000"/>
                <w:szCs w:val="16"/>
              </w:rPr>
              <w:t>34,132.1</w:t>
            </w:r>
          </w:p>
        </w:tc>
        <w:tc>
          <w:tcPr>
            <w:tcW w:w="1559" w:type="dxa"/>
            <w:shd w:val="clear" w:color="auto" w:fill="auto"/>
            <w:vAlign w:val="bottom"/>
          </w:tcPr>
          <w:p w14:paraId="06963EB2" w14:textId="77777777" w:rsidR="00DE64BC" w:rsidRPr="00256982" w:rsidRDefault="00DE64BC" w:rsidP="00A808C7">
            <w:pPr>
              <w:pStyle w:val="TableText"/>
              <w:keepNext/>
              <w:spacing w:before="50" w:after="50"/>
              <w:ind w:right="176"/>
              <w:jc w:val="right"/>
              <w:rPr>
                <w:rFonts w:cs="Arial"/>
                <w:color w:val="000000"/>
                <w:szCs w:val="16"/>
              </w:rPr>
            </w:pPr>
            <w:r w:rsidRPr="00256982">
              <w:rPr>
                <w:rFonts w:cs="Arial"/>
                <w:color w:val="000000"/>
                <w:szCs w:val="16"/>
              </w:rPr>
              <w:t>1,982.1</w:t>
            </w:r>
          </w:p>
        </w:tc>
        <w:tc>
          <w:tcPr>
            <w:tcW w:w="1417" w:type="dxa"/>
            <w:shd w:val="clear" w:color="auto" w:fill="auto"/>
            <w:vAlign w:val="bottom"/>
          </w:tcPr>
          <w:p w14:paraId="4CEFEF48" w14:textId="77777777" w:rsidR="00DE64BC" w:rsidRPr="00256982" w:rsidRDefault="00DE64BC" w:rsidP="00A808C7">
            <w:pPr>
              <w:pStyle w:val="TableText"/>
              <w:keepNext/>
              <w:spacing w:before="50" w:after="50"/>
              <w:ind w:right="337"/>
              <w:jc w:val="right"/>
              <w:rPr>
                <w:rFonts w:cs="Arial"/>
                <w:color w:val="000000"/>
                <w:szCs w:val="16"/>
              </w:rPr>
            </w:pPr>
            <w:r w:rsidRPr="00256982">
              <w:rPr>
                <w:rFonts w:cs="Arial"/>
                <w:color w:val="000000"/>
                <w:szCs w:val="16"/>
              </w:rPr>
              <w:t>6.2</w:t>
            </w:r>
          </w:p>
        </w:tc>
      </w:tr>
      <w:tr w:rsidR="00DE64BC" w:rsidRPr="00256982" w14:paraId="4D1B92FA" w14:textId="77777777" w:rsidTr="00A808C7">
        <w:tc>
          <w:tcPr>
            <w:tcW w:w="2694" w:type="dxa"/>
            <w:shd w:val="clear" w:color="auto" w:fill="auto"/>
          </w:tcPr>
          <w:p w14:paraId="518349CD" w14:textId="77777777" w:rsidR="00DE64BC" w:rsidRPr="00256982" w:rsidRDefault="00DE64BC" w:rsidP="00A808C7">
            <w:pPr>
              <w:pStyle w:val="TableText"/>
              <w:keepNext/>
              <w:spacing w:before="50" w:after="50"/>
              <w:rPr>
                <w:color w:val="000000"/>
                <w:szCs w:val="22"/>
              </w:rPr>
            </w:pPr>
            <w:r w:rsidRPr="00256982">
              <w:rPr>
                <w:color w:val="000000"/>
                <w:szCs w:val="22"/>
              </w:rPr>
              <w:t>N</w:t>
            </w:r>
            <w:r w:rsidRPr="00256982">
              <w:rPr>
                <w:color w:val="000000"/>
                <w:szCs w:val="16"/>
                <w:vertAlign w:val="subscript"/>
              </w:rPr>
              <w:t>2</w:t>
            </w:r>
            <w:r w:rsidRPr="00256982">
              <w:rPr>
                <w:color w:val="000000"/>
                <w:szCs w:val="22"/>
              </w:rPr>
              <w:t xml:space="preserve">O </w:t>
            </w:r>
          </w:p>
        </w:tc>
        <w:tc>
          <w:tcPr>
            <w:tcW w:w="1417" w:type="dxa"/>
            <w:shd w:val="clear" w:color="auto" w:fill="auto"/>
            <w:vAlign w:val="bottom"/>
          </w:tcPr>
          <w:p w14:paraId="34B3130B" w14:textId="77777777" w:rsidR="00DE64BC" w:rsidRPr="00256982" w:rsidRDefault="00DE64BC" w:rsidP="00A808C7">
            <w:pPr>
              <w:pStyle w:val="TableText"/>
              <w:keepNext/>
              <w:spacing w:before="50" w:after="50"/>
              <w:ind w:right="283"/>
              <w:jc w:val="right"/>
              <w:rPr>
                <w:rFonts w:cs="Arial"/>
                <w:color w:val="000000"/>
                <w:szCs w:val="16"/>
              </w:rPr>
            </w:pPr>
            <w:r w:rsidRPr="00256982">
              <w:rPr>
                <w:rFonts w:cs="Arial"/>
                <w:color w:val="000000"/>
                <w:szCs w:val="16"/>
              </w:rPr>
              <w:t>7,133.2</w:t>
            </w:r>
          </w:p>
        </w:tc>
        <w:tc>
          <w:tcPr>
            <w:tcW w:w="1418" w:type="dxa"/>
            <w:shd w:val="clear" w:color="auto" w:fill="auto"/>
            <w:vAlign w:val="bottom"/>
          </w:tcPr>
          <w:p w14:paraId="54EE511B" w14:textId="77777777" w:rsidR="00DE64BC" w:rsidRPr="00256982" w:rsidRDefault="00DE64BC" w:rsidP="00A808C7">
            <w:pPr>
              <w:pStyle w:val="TableText"/>
              <w:keepNext/>
              <w:spacing w:before="50" w:after="50"/>
              <w:ind w:right="283"/>
              <w:jc w:val="right"/>
              <w:rPr>
                <w:rFonts w:cs="Arial"/>
                <w:color w:val="000000"/>
                <w:szCs w:val="16"/>
              </w:rPr>
            </w:pPr>
            <w:r w:rsidRPr="00256982">
              <w:rPr>
                <w:rFonts w:cs="Arial"/>
                <w:color w:val="000000"/>
                <w:szCs w:val="16"/>
              </w:rPr>
              <w:t>9,116.5</w:t>
            </w:r>
          </w:p>
        </w:tc>
        <w:tc>
          <w:tcPr>
            <w:tcW w:w="1559" w:type="dxa"/>
            <w:shd w:val="clear" w:color="auto" w:fill="auto"/>
            <w:vAlign w:val="bottom"/>
          </w:tcPr>
          <w:p w14:paraId="55AA56EB" w14:textId="77777777" w:rsidR="00DE64BC" w:rsidRPr="00256982" w:rsidRDefault="00DE64BC" w:rsidP="00A808C7">
            <w:pPr>
              <w:pStyle w:val="TableText"/>
              <w:keepNext/>
              <w:spacing w:before="50" w:after="50"/>
              <w:ind w:right="176"/>
              <w:jc w:val="right"/>
              <w:rPr>
                <w:rFonts w:cs="Arial"/>
                <w:color w:val="000000"/>
                <w:szCs w:val="16"/>
              </w:rPr>
            </w:pPr>
            <w:r w:rsidRPr="00256982">
              <w:rPr>
                <w:rFonts w:cs="Arial"/>
                <w:color w:val="000000"/>
                <w:szCs w:val="16"/>
              </w:rPr>
              <w:t>1,983.3</w:t>
            </w:r>
          </w:p>
        </w:tc>
        <w:tc>
          <w:tcPr>
            <w:tcW w:w="1417" w:type="dxa"/>
            <w:shd w:val="clear" w:color="auto" w:fill="auto"/>
            <w:vAlign w:val="bottom"/>
          </w:tcPr>
          <w:p w14:paraId="02D5549C" w14:textId="77777777" w:rsidR="00DE64BC" w:rsidRPr="00256982" w:rsidRDefault="00DE64BC" w:rsidP="00A808C7">
            <w:pPr>
              <w:pStyle w:val="TableText"/>
              <w:keepNext/>
              <w:tabs>
                <w:tab w:val="left" w:pos="1309"/>
              </w:tabs>
              <w:spacing w:before="50" w:after="50"/>
              <w:ind w:right="337"/>
              <w:jc w:val="right"/>
              <w:rPr>
                <w:rFonts w:cs="Arial"/>
                <w:color w:val="000000"/>
                <w:szCs w:val="16"/>
              </w:rPr>
            </w:pPr>
            <w:r w:rsidRPr="00256982">
              <w:rPr>
                <w:rFonts w:cs="Arial"/>
                <w:color w:val="000000"/>
                <w:szCs w:val="16"/>
              </w:rPr>
              <w:t>27.8</w:t>
            </w:r>
          </w:p>
        </w:tc>
      </w:tr>
      <w:tr w:rsidR="00DE64BC" w:rsidRPr="00256982" w14:paraId="392C3F95" w14:textId="77777777" w:rsidTr="00A808C7">
        <w:tc>
          <w:tcPr>
            <w:tcW w:w="2694" w:type="dxa"/>
            <w:shd w:val="clear" w:color="auto" w:fill="auto"/>
          </w:tcPr>
          <w:p w14:paraId="35E26467" w14:textId="77777777" w:rsidR="00DE64BC" w:rsidRPr="00256982" w:rsidRDefault="00DE64BC" w:rsidP="00A808C7">
            <w:pPr>
              <w:pStyle w:val="TableText"/>
              <w:spacing w:before="50" w:after="50"/>
              <w:rPr>
                <w:color w:val="000000"/>
                <w:szCs w:val="22"/>
              </w:rPr>
            </w:pPr>
            <w:r w:rsidRPr="00256982">
              <w:rPr>
                <w:color w:val="000000"/>
                <w:szCs w:val="22"/>
              </w:rPr>
              <w:t>HFCs</w:t>
            </w:r>
          </w:p>
        </w:tc>
        <w:tc>
          <w:tcPr>
            <w:tcW w:w="1417" w:type="dxa"/>
            <w:shd w:val="clear" w:color="auto" w:fill="auto"/>
            <w:vAlign w:val="bottom"/>
          </w:tcPr>
          <w:p w14:paraId="49329D42" w14:textId="77777777" w:rsidR="00DE64BC" w:rsidRPr="00256982" w:rsidRDefault="00DE64BC" w:rsidP="00A808C7">
            <w:pPr>
              <w:pStyle w:val="TableText"/>
              <w:spacing w:before="50" w:after="50"/>
              <w:ind w:right="283"/>
              <w:jc w:val="right"/>
              <w:rPr>
                <w:rFonts w:cs="Arial"/>
                <w:color w:val="000000"/>
                <w:szCs w:val="16"/>
              </w:rPr>
            </w:pPr>
            <w:r w:rsidRPr="00256982">
              <w:rPr>
                <w:rFonts w:cs="Arial"/>
                <w:color w:val="000000"/>
                <w:szCs w:val="16"/>
              </w:rPr>
              <w:t>0.0</w:t>
            </w:r>
          </w:p>
        </w:tc>
        <w:tc>
          <w:tcPr>
            <w:tcW w:w="1418" w:type="dxa"/>
            <w:shd w:val="clear" w:color="auto" w:fill="auto"/>
            <w:vAlign w:val="bottom"/>
          </w:tcPr>
          <w:p w14:paraId="35C7BEA6" w14:textId="77777777" w:rsidR="00DE64BC" w:rsidRPr="00256982" w:rsidRDefault="00DE64BC" w:rsidP="00A808C7">
            <w:pPr>
              <w:pStyle w:val="TableText"/>
              <w:spacing w:before="50" w:after="50"/>
              <w:ind w:right="283"/>
              <w:jc w:val="right"/>
              <w:rPr>
                <w:rFonts w:cs="Arial"/>
                <w:color w:val="000000"/>
                <w:szCs w:val="16"/>
              </w:rPr>
            </w:pPr>
            <w:r w:rsidRPr="00256982">
              <w:rPr>
                <w:rFonts w:cs="Arial"/>
                <w:color w:val="000000"/>
                <w:szCs w:val="16"/>
              </w:rPr>
              <w:t>1,505.7</w:t>
            </w:r>
          </w:p>
        </w:tc>
        <w:tc>
          <w:tcPr>
            <w:tcW w:w="1559" w:type="dxa"/>
            <w:shd w:val="clear" w:color="auto" w:fill="auto"/>
            <w:vAlign w:val="bottom"/>
          </w:tcPr>
          <w:p w14:paraId="4AE9BFB2" w14:textId="77777777" w:rsidR="00DE64BC" w:rsidRPr="00256982" w:rsidRDefault="00DE64BC" w:rsidP="00A808C7">
            <w:pPr>
              <w:pStyle w:val="TableText"/>
              <w:spacing w:before="50" w:after="50"/>
              <w:ind w:right="176"/>
              <w:jc w:val="right"/>
              <w:rPr>
                <w:rFonts w:cs="Arial"/>
                <w:color w:val="000000"/>
                <w:szCs w:val="16"/>
              </w:rPr>
            </w:pPr>
            <w:r w:rsidRPr="00256982">
              <w:rPr>
                <w:rFonts w:cs="Arial"/>
                <w:color w:val="000000"/>
                <w:szCs w:val="16"/>
              </w:rPr>
              <w:t>1,505.7</w:t>
            </w:r>
          </w:p>
        </w:tc>
        <w:tc>
          <w:tcPr>
            <w:tcW w:w="1417" w:type="dxa"/>
            <w:shd w:val="clear" w:color="auto" w:fill="auto"/>
            <w:vAlign w:val="center"/>
          </w:tcPr>
          <w:p w14:paraId="046BDDE5" w14:textId="77777777" w:rsidR="00DE64BC" w:rsidRPr="00256982" w:rsidRDefault="00DE64BC" w:rsidP="00A808C7">
            <w:pPr>
              <w:pStyle w:val="TableText"/>
              <w:tabs>
                <w:tab w:val="left" w:pos="1451"/>
              </w:tabs>
              <w:spacing w:before="50" w:after="50"/>
              <w:ind w:right="337"/>
              <w:jc w:val="right"/>
              <w:rPr>
                <w:color w:val="000000"/>
                <w:szCs w:val="22"/>
              </w:rPr>
            </w:pPr>
            <w:r w:rsidRPr="00256982">
              <w:rPr>
                <w:color w:val="000000"/>
                <w:szCs w:val="22"/>
              </w:rPr>
              <w:t>NA</w:t>
            </w:r>
          </w:p>
        </w:tc>
      </w:tr>
      <w:tr w:rsidR="00DE64BC" w:rsidRPr="00256982" w14:paraId="7E27C11B" w14:textId="77777777" w:rsidTr="00A808C7">
        <w:tc>
          <w:tcPr>
            <w:tcW w:w="2694" w:type="dxa"/>
            <w:shd w:val="clear" w:color="auto" w:fill="auto"/>
          </w:tcPr>
          <w:p w14:paraId="7190031A" w14:textId="77777777" w:rsidR="00DE64BC" w:rsidRPr="00256982" w:rsidRDefault="00DE64BC" w:rsidP="00A808C7">
            <w:pPr>
              <w:pStyle w:val="TableText"/>
              <w:spacing w:before="50" w:after="50"/>
              <w:rPr>
                <w:color w:val="000000"/>
                <w:szCs w:val="22"/>
              </w:rPr>
            </w:pPr>
            <w:r w:rsidRPr="00256982">
              <w:rPr>
                <w:color w:val="000000"/>
                <w:szCs w:val="22"/>
              </w:rPr>
              <w:t>PFCs</w:t>
            </w:r>
          </w:p>
        </w:tc>
        <w:tc>
          <w:tcPr>
            <w:tcW w:w="1417" w:type="dxa"/>
            <w:shd w:val="clear" w:color="auto" w:fill="auto"/>
            <w:vAlign w:val="bottom"/>
          </w:tcPr>
          <w:p w14:paraId="3CD403B1" w14:textId="77777777" w:rsidR="00DE64BC" w:rsidRPr="00256982" w:rsidRDefault="00DE64BC" w:rsidP="00A808C7">
            <w:pPr>
              <w:pStyle w:val="TableText"/>
              <w:spacing w:before="50" w:after="50"/>
              <w:ind w:right="283"/>
              <w:jc w:val="right"/>
              <w:rPr>
                <w:rFonts w:cs="Arial"/>
                <w:color w:val="000000"/>
                <w:szCs w:val="16"/>
              </w:rPr>
            </w:pPr>
            <w:r w:rsidRPr="00256982">
              <w:rPr>
                <w:rFonts w:cs="Arial"/>
                <w:color w:val="000000"/>
                <w:szCs w:val="16"/>
              </w:rPr>
              <w:t>909.9</w:t>
            </w:r>
          </w:p>
        </w:tc>
        <w:tc>
          <w:tcPr>
            <w:tcW w:w="1418" w:type="dxa"/>
            <w:shd w:val="clear" w:color="auto" w:fill="auto"/>
            <w:vAlign w:val="bottom"/>
          </w:tcPr>
          <w:p w14:paraId="2C9E71E5" w14:textId="77777777" w:rsidR="00DE64BC" w:rsidRPr="00256982" w:rsidRDefault="00DE64BC" w:rsidP="00A808C7">
            <w:pPr>
              <w:pStyle w:val="TableText"/>
              <w:spacing w:before="50" w:after="50"/>
              <w:ind w:right="283"/>
              <w:jc w:val="right"/>
              <w:rPr>
                <w:rFonts w:cs="Arial"/>
                <w:color w:val="000000"/>
                <w:szCs w:val="16"/>
              </w:rPr>
            </w:pPr>
            <w:r w:rsidRPr="00256982">
              <w:rPr>
                <w:rFonts w:cs="Arial"/>
                <w:color w:val="000000"/>
                <w:szCs w:val="16"/>
              </w:rPr>
              <w:t>60.5</w:t>
            </w:r>
          </w:p>
        </w:tc>
        <w:tc>
          <w:tcPr>
            <w:tcW w:w="1559" w:type="dxa"/>
            <w:shd w:val="clear" w:color="auto" w:fill="auto"/>
            <w:vAlign w:val="center"/>
          </w:tcPr>
          <w:p w14:paraId="55843ACD" w14:textId="77777777" w:rsidR="00DE64BC" w:rsidRPr="00256982" w:rsidRDefault="00DE64BC" w:rsidP="00A808C7">
            <w:pPr>
              <w:pStyle w:val="TableText"/>
              <w:spacing w:before="50" w:after="50"/>
              <w:ind w:right="176"/>
              <w:jc w:val="right"/>
              <w:rPr>
                <w:color w:val="000000"/>
                <w:szCs w:val="22"/>
              </w:rPr>
            </w:pPr>
            <w:r w:rsidRPr="00256982">
              <w:rPr>
                <w:color w:val="000000"/>
                <w:szCs w:val="22"/>
              </w:rPr>
              <w:t>–849.5</w:t>
            </w:r>
          </w:p>
        </w:tc>
        <w:tc>
          <w:tcPr>
            <w:tcW w:w="1417" w:type="dxa"/>
            <w:shd w:val="clear" w:color="auto" w:fill="auto"/>
            <w:vAlign w:val="center"/>
          </w:tcPr>
          <w:p w14:paraId="4CD0B7CB" w14:textId="77777777" w:rsidR="00DE64BC" w:rsidRPr="00256982" w:rsidRDefault="00DE64BC" w:rsidP="00A808C7">
            <w:pPr>
              <w:pStyle w:val="TableText"/>
              <w:tabs>
                <w:tab w:val="left" w:pos="3152"/>
              </w:tabs>
              <w:spacing w:before="50" w:after="50"/>
              <w:ind w:right="337"/>
              <w:jc w:val="right"/>
              <w:rPr>
                <w:color w:val="000000"/>
                <w:szCs w:val="22"/>
              </w:rPr>
            </w:pPr>
            <w:r w:rsidRPr="00256982">
              <w:rPr>
                <w:color w:val="000000"/>
                <w:szCs w:val="22"/>
              </w:rPr>
              <w:t>–93.4</w:t>
            </w:r>
          </w:p>
        </w:tc>
      </w:tr>
      <w:tr w:rsidR="00DE64BC" w:rsidRPr="00256982" w14:paraId="444ECF58" w14:textId="77777777" w:rsidTr="00A808C7">
        <w:tc>
          <w:tcPr>
            <w:tcW w:w="2694" w:type="dxa"/>
            <w:shd w:val="clear" w:color="auto" w:fill="auto"/>
          </w:tcPr>
          <w:p w14:paraId="56282B42" w14:textId="77777777" w:rsidR="00DE64BC" w:rsidRPr="00256982" w:rsidRDefault="00DE64BC" w:rsidP="00A808C7">
            <w:pPr>
              <w:pStyle w:val="TableText"/>
              <w:spacing w:before="50" w:after="50"/>
              <w:rPr>
                <w:color w:val="000000"/>
                <w:szCs w:val="22"/>
              </w:rPr>
            </w:pPr>
            <w:r w:rsidRPr="00256982">
              <w:rPr>
                <w:color w:val="000000"/>
                <w:szCs w:val="22"/>
              </w:rPr>
              <w:t>SF</w:t>
            </w:r>
            <w:r w:rsidRPr="00256982">
              <w:rPr>
                <w:color w:val="000000"/>
                <w:szCs w:val="16"/>
                <w:vertAlign w:val="subscript"/>
              </w:rPr>
              <w:t>6</w:t>
            </w:r>
          </w:p>
        </w:tc>
        <w:tc>
          <w:tcPr>
            <w:tcW w:w="1417" w:type="dxa"/>
            <w:shd w:val="clear" w:color="auto" w:fill="auto"/>
            <w:vAlign w:val="bottom"/>
          </w:tcPr>
          <w:p w14:paraId="5E1065F5" w14:textId="77777777" w:rsidR="00DE64BC" w:rsidRPr="00256982" w:rsidRDefault="00DE64BC" w:rsidP="00A808C7">
            <w:pPr>
              <w:pStyle w:val="TableText"/>
              <w:tabs>
                <w:tab w:val="left" w:pos="1313"/>
              </w:tabs>
              <w:spacing w:before="50" w:after="50"/>
              <w:ind w:right="283"/>
              <w:jc w:val="right"/>
              <w:rPr>
                <w:rFonts w:cs="Arial"/>
                <w:color w:val="000000"/>
                <w:szCs w:val="16"/>
              </w:rPr>
            </w:pPr>
            <w:r w:rsidRPr="00256982">
              <w:rPr>
                <w:rFonts w:cs="Arial"/>
                <w:color w:val="000000"/>
                <w:szCs w:val="16"/>
              </w:rPr>
              <w:t>20.0</w:t>
            </w:r>
          </w:p>
        </w:tc>
        <w:tc>
          <w:tcPr>
            <w:tcW w:w="1418" w:type="dxa"/>
            <w:shd w:val="clear" w:color="auto" w:fill="auto"/>
            <w:vAlign w:val="bottom"/>
          </w:tcPr>
          <w:p w14:paraId="36243FD2" w14:textId="77777777" w:rsidR="00DE64BC" w:rsidRPr="00256982" w:rsidRDefault="00DE64BC" w:rsidP="00A808C7">
            <w:pPr>
              <w:pStyle w:val="TableText"/>
              <w:tabs>
                <w:tab w:val="left" w:pos="1313"/>
              </w:tabs>
              <w:spacing w:before="50" w:after="50"/>
              <w:ind w:right="283"/>
              <w:jc w:val="right"/>
              <w:rPr>
                <w:rFonts w:cs="Arial"/>
                <w:color w:val="000000"/>
                <w:szCs w:val="16"/>
              </w:rPr>
            </w:pPr>
            <w:r w:rsidRPr="00256982">
              <w:rPr>
                <w:rFonts w:cs="Arial"/>
                <w:color w:val="000000"/>
                <w:szCs w:val="16"/>
              </w:rPr>
              <w:t>15.0</w:t>
            </w:r>
          </w:p>
        </w:tc>
        <w:tc>
          <w:tcPr>
            <w:tcW w:w="1559" w:type="dxa"/>
            <w:shd w:val="clear" w:color="auto" w:fill="auto"/>
            <w:vAlign w:val="center"/>
          </w:tcPr>
          <w:p w14:paraId="27B130A2" w14:textId="77777777" w:rsidR="00DE64BC" w:rsidRPr="00256982" w:rsidRDefault="00DE64BC" w:rsidP="00A808C7">
            <w:pPr>
              <w:pStyle w:val="TableText"/>
              <w:tabs>
                <w:tab w:val="left" w:pos="1313"/>
              </w:tabs>
              <w:spacing w:before="50" w:after="50"/>
              <w:ind w:right="283"/>
              <w:jc w:val="right"/>
              <w:rPr>
                <w:color w:val="000000"/>
                <w:szCs w:val="22"/>
              </w:rPr>
            </w:pPr>
            <w:r w:rsidRPr="00256982">
              <w:rPr>
                <w:color w:val="000000"/>
                <w:szCs w:val="22"/>
              </w:rPr>
              <w:t>–5.0</w:t>
            </w:r>
          </w:p>
        </w:tc>
        <w:tc>
          <w:tcPr>
            <w:tcW w:w="1417" w:type="dxa"/>
            <w:shd w:val="clear" w:color="auto" w:fill="auto"/>
            <w:vAlign w:val="center"/>
          </w:tcPr>
          <w:p w14:paraId="53A38C6B" w14:textId="77777777" w:rsidR="00DE64BC" w:rsidRPr="00256982" w:rsidRDefault="00DE64BC" w:rsidP="00A808C7">
            <w:pPr>
              <w:pStyle w:val="TableText"/>
              <w:tabs>
                <w:tab w:val="left" w:pos="1313"/>
                <w:tab w:val="left" w:pos="3010"/>
              </w:tabs>
              <w:spacing w:before="50" w:after="50"/>
              <w:ind w:right="283"/>
              <w:jc w:val="right"/>
              <w:rPr>
                <w:color w:val="000000"/>
                <w:szCs w:val="22"/>
              </w:rPr>
            </w:pPr>
            <w:r w:rsidRPr="00256982">
              <w:rPr>
                <w:color w:val="000000"/>
                <w:szCs w:val="22"/>
              </w:rPr>
              <w:t>–24.9</w:t>
            </w:r>
          </w:p>
        </w:tc>
      </w:tr>
      <w:tr w:rsidR="00DE64BC" w:rsidRPr="00256982" w14:paraId="2B042A4F" w14:textId="77777777" w:rsidTr="00A808C7">
        <w:tc>
          <w:tcPr>
            <w:tcW w:w="2694" w:type="dxa"/>
            <w:shd w:val="clear" w:color="auto" w:fill="auto"/>
          </w:tcPr>
          <w:p w14:paraId="1E754115" w14:textId="77777777" w:rsidR="00DE64BC" w:rsidRPr="00256982" w:rsidRDefault="00DE64BC" w:rsidP="00A808C7">
            <w:pPr>
              <w:pStyle w:val="Tableboldblue"/>
            </w:pPr>
            <w:r w:rsidRPr="00256982">
              <w:t>Gross, all gases</w:t>
            </w:r>
          </w:p>
        </w:tc>
        <w:tc>
          <w:tcPr>
            <w:tcW w:w="1417" w:type="dxa"/>
            <w:shd w:val="clear" w:color="auto" w:fill="auto"/>
            <w:vAlign w:val="center"/>
          </w:tcPr>
          <w:p w14:paraId="134E7B81" w14:textId="77777777" w:rsidR="00DE64BC" w:rsidRPr="00256982" w:rsidRDefault="00DE64BC" w:rsidP="00A808C7">
            <w:pPr>
              <w:pStyle w:val="Tableboldblue"/>
              <w:tabs>
                <w:tab w:val="left" w:pos="1313"/>
              </w:tabs>
              <w:ind w:right="283"/>
              <w:jc w:val="right"/>
            </w:pPr>
            <w:r w:rsidRPr="00256982">
              <w:t>65,668.3</w:t>
            </w:r>
          </w:p>
        </w:tc>
        <w:tc>
          <w:tcPr>
            <w:tcW w:w="1418" w:type="dxa"/>
            <w:shd w:val="clear" w:color="auto" w:fill="auto"/>
            <w:vAlign w:val="center"/>
          </w:tcPr>
          <w:p w14:paraId="44E4B22B" w14:textId="77777777" w:rsidR="00DE64BC" w:rsidRPr="00256982" w:rsidRDefault="00DE64BC" w:rsidP="00A808C7">
            <w:pPr>
              <w:pStyle w:val="Tableboldblue"/>
              <w:tabs>
                <w:tab w:val="left" w:pos="1313"/>
              </w:tabs>
              <w:ind w:right="283"/>
              <w:jc w:val="right"/>
            </w:pPr>
            <w:r w:rsidRPr="00256982">
              <w:t>80,853.5</w:t>
            </w:r>
          </w:p>
        </w:tc>
        <w:tc>
          <w:tcPr>
            <w:tcW w:w="1559" w:type="dxa"/>
            <w:shd w:val="clear" w:color="auto" w:fill="auto"/>
            <w:vAlign w:val="center"/>
          </w:tcPr>
          <w:p w14:paraId="1493FF34" w14:textId="77777777" w:rsidR="00DE64BC" w:rsidRPr="00256982" w:rsidRDefault="00DE64BC" w:rsidP="00A808C7">
            <w:pPr>
              <w:pStyle w:val="Tableboldblue"/>
              <w:tabs>
                <w:tab w:val="left" w:pos="1313"/>
                <w:tab w:val="left" w:pos="1720"/>
              </w:tabs>
              <w:ind w:right="283"/>
              <w:jc w:val="right"/>
            </w:pPr>
            <w:r w:rsidRPr="00256982">
              <w:t>15,185.2</w:t>
            </w:r>
          </w:p>
        </w:tc>
        <w:tc>
          <w:tcPr>
            <w:tcW w:w="1417" w:type="dxa"/>
            <w:shd w:val="clear" w:color="auto" w:fill="auto"/>
            <w:vAlign w:val="center"/>
          </w:tcPr>
          <w:p w14:paraId="0CB230BB" w14:textId="77777777" w:rsidR="00DE64BC" w:rsidRPr="00256982" w:rsidRDefault="00DE64BC" w:rsidP="00A808C7">
            <w:pPr>
              <w:pStyle w:val="Tableboldblue"/>
              <w:tabs>
                <w:tab w:val="left" w:pos="1313"/>
                <w:tab w:val="left" w:pos="1451"/>
              </w:tabs>
              <w:ind w:right="283"/>
              <w:jc w:val="right"/>
            </w:pPr>
            <w:r w:rsidRPr="00256982">
              <w:t>23.1</w:t>
            </w:r>
          </w:p>
        </w:tc>
      </w:tr>
    </w:tbl>
    <w:p w14:paraId="59D7F143" w14:textId="77777777" w:rsidR="00DE64BC" w:rsidRPr="00256982" w:rsidRDefault="00DE64BC" w:rsidP="00A808C7">
      <w:pPr>
        <w:pStyle w:val="Noteundertable"/>
      </w:pPr>
      <w:r w:rsidRPr="00256982">
        <w:rPr>
          <w:b/>
        </w:rPr>
        <w:t xml:space="preserve">Note: </w:t>
      </w:r>
      <w:r w:rsidRPr="00256982">
        <w:rPr>
          <w:b/>
        </w:rPr>
        <w:tab/>
      </w:r>
      <w:r w:rsidRPr="00256982">
        <w:t>Gross emissions exclude net removals from the LULUCF sector. The per cent change for HFCs is not applicable (NA) because no emissions of HFCs occurred in 1990. Columns may not total due to rounding. Percentages presented are calculated from unrounded values.</w:t>
      </w:r>
    </w:p>
    <w:p w14:paraId="4C4F8C01" w14:textId="77777777" w:rsidR="00DE64BC" w:rsidRPr="00256982" w:rsidRDefault="00DE64BC" w:rsidP="00A808C7">
      <w:pPr>
        <w:pStyle w:val="Figure"/>
        <w:spacing w:before="160"/>
      </w:pPr>
      <w:bookmarkStart w:id="39" w:name="_Toc444693962"/>
      <w:bookmarkStart w:id="40" w:name="_Toc447275647"/>
      <w:bookmarkStart w:id="41" w:name="_Toc511116912"/>
      <w:bookmarkStart w:id="42" w:name="_Toc5269645"/>
      <w:r w:rsidRPr="00256982">
        <w:t xml:space="preserve">Figure ES 3.2 </w:t>
      </w:r>
      <w:r w:rsidRPr="00256982">
        <w:tab/>
        <w:t>New Zealand’s emissions by gas in 1990 and </w:t>
      </w:r>
      <w:bookmarkEnd w:id="39"/>
      <w:bookmarkEnd w:id="40"/>
      <w:bookmarkEnd w:id="41"/>
      <w:r w:rsidRPr="00256982">
        <w:t>2017</w:t>
      </w:r>
      <w:bookmarkEnd w:id="42"/>
    </w:p>
    <w:p w14:paraId="22BAD516" w14:textId="77777777" w:rsidR="00DE64BC" w:rsidRPr="00256982" w:rsidRDefault="00590491" w:rsidP="00A808C7">
      <w:pPr>
        <w:spacing w:after="120"/>
      </w:pPr>
      <w:r>
        <w:rPr>
          <w:lang w:eastAsia="en-NZ"/>
        </w:rPr>
        <w:pict w14:anchorId="3E243A07">
          <v:shape id="_x0000_i1028" type="#_x0000_t75" style="width:426pt;height:3in;visibility:visible" o:gfxdata="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">
            <v:imagedata r:id="rId21" o:title=""/>
            <o:lock v:ext="edit" aspectratio="f"/>
          </v:shape>
        </w:pict>
      </w:r>
    </w:p>
    <w:p w14:paraId="748D74D8" w14:textId="77777777" w:rsidR="00DE64BC" w:rsidRPr="00256982" w:rsidRDefault="00DE64BC" w:rsidP="00A808C7">
      <w:pPr>
        <w:pStyle w:val="BodyText"/>
      </w:pPr>
      <w:r w:rsidRPr="00256982">
        <w:t>In 1990, CH</w:t>
      </w:r>
      <w:r w:rsidRPr="00256982">
        <w:rPr>
          <w:vertAlign w:val="subscript"/>
        </w:rPr>
        <w:t>4</w:t>
      </w:r>
      <w:r w:rsidRPr="00256982">
        <w:t xml:space="preserve"> made up the largest proportion of gross emissions, while in 2017, CO</w:t>
      </w:r>
      <w:r w:rsidRPr="00256982">
        <w:rPr>
          <w:vertAlign w:val="subscript"/>
        </w:rPr>
        <w:t>2</w:t>
      </w:r>
      <w:r w:rsidRPr="00256982">
        <w:t xml:space="preserve"> and CH</w:t>
      </w:r>
      <w:r w:rsidRPr="00256982">
        <w:rPr>
          <w:vertAlign w:val="subscript"/>
        </w:rPr>
        <w:t>4</w:t>
      </w:r>
      <w:r w:rsidRPr="00256982">
        <w:t xml:space="preserve"> contributed nearly equal proportions to the gross national emissions (see figure ES 3.2). While emissions of CH</w:t>
      </w:r>
      <w:r w:rsidRPr="00256982">
        <w:rPr>
          <w:vertAlign w:val="subscript"/>
        </w:rPr>
        <w:t>4</w:t>
      </w:r>
      <w:r w:rsidRPr="00256982">
        <w:t xml:space="preserve"> have also increased over this time, the proportion of CH</w:t>
      </w:r>
      <w:r w:rsidRPr="00256982">
        <w:rPr>
          <w:vertAlign w:val="subscript"/>
        </w:rPr>
        <w:t>4</w:t>
      </w:r>
      <w:r w:rsidRPr="00256982">
        <w:t xml:space="preserve"> in the inventory has decreased over the time series, because CO</w:t>
      </w:r>
      <w:r w:rsidRPr="00256982">
        <w:rPr>
          <w:vertAlign w:val="subscript"/>
        </w:rPr>
        <w:t>2</w:t>
      </w:r>
      <w:r w:rsidRPr="00256982">
        <w:t xml:space="preserve"> emissions have increased by a greater amount. </w:t>
      </w:r>
    </w:p>
    <w:p w14:paraId="71C88A16" w14:textId="77777777" w:rsidR="00DE64BC" w:rsidRPr="00256982" w:rsidRDefault="00DE64BC" w:rsidP="00A808C7">
      <w:pPr>
        <w:pStyle w:val="BodyText"/>
      </w:pPr>
      <w:r w:rsidRPr="00256982">
        <w:t>This trend reflects the increase in CO</w:t>
      </w:r>
      <w:r w:rsidRPr="00256982">
        <w:rPr>
          <w:vertAlign w:val="subscript"/>
        </w:rPr>
        <w:t xml:space="preserve">2 </w:t>
      </w:r>
      <w:r w:rsidRPr="00256982">
        <w:t>emissions from the Energy sector as the biggest contributor of CO</w:t>
      </w:r>
      <w:r w:rsidRPr="00256982">
        <w:rPr>
          <w:vertAlign w:val="subscript"/>
        </w:rPr>
        <w:t xml:space="preserve">2 </w:t>
      </w:r>
      <w:r w:rsidRPr="00256982">
        <w:t xml:space="preserve">to New Zealand’s gross emissions (ranging between 87.0 per cent and 89.1 per cent of gross emissions across the entire time series). </w:t>
      </w:r>
    </w:p>
    <w:p w14:paraId="35666581" w14:textId="77777777" w:rsidR="00DE64BC" w:rsidRPr="00256982" w:rsidRDefault="00DE64BC" w:rsidP="00A808C7">
      <w:pPr>
        <w:pStyle w:val="BodyText"/>
        <w:rPr>
          <w:lang w:eastAsia="en-NZ"/>
        </w:rPr>
      </w:pPr>
      <w:r w:rsidRPr="00256982">
        <w:t>In 2017, 24,158.3 kt CO</w:t>
      </w:r>
      <w:r w:rsidRPr="00256982">
        <w:rPr>
          <w:vertAlign w:val="subscript"/>
        </w:rPr>
        <w:t>2</w:t>
      </w:r>
      <w:r w:rsidRPr="00256982">
        <w:t xml:space="preserve"> was sequestered by the LULUCF sector,</w:t>
      </w:r>
      <w:r w:rsidRPr="00256982">
        <w:rPr>
          <w:rStyle w:val="FootnoteReference"/>
        </w:rPr>
        <w:footnoteReference w:id="6"/>
      </w:r>
      <w:r w:rsidRPr="00256982">
        <w:t xml:space="preserve"> bringing the net emissions from the sector down to </w:t>
      </w:r>
      <w:r w:rsidRPr="00256982">
        <w:rPr>
          <w:color w:val="000000"/>
          <w:szCs w:val="22"/>
        </w:rPr>
        <w:t>–</w:t>
      </w:r>
      <w:r w:rsidRPr="00256982">
        <w:t>23,958.4 kt CO</w:t>
      </w:r>
      <w:r w:rsidRPr="00256982">
        <w:rPr>
          <w:vertAlign w:val="subscript"/>
        </w:rPr>
        <w:t>2</w:t>
      </w:r>
      <w:r w:rsidRPr="00256982">
        <w:t xml:space="preserve">-e. This offset 29.6 per cent of New Zealand’s gross emissions. </w:t>
      </w:r>
    </w:p>
    <w:p w14:paraId="3450D4EA" w14:textId="77777777" w:rsidR="00DE64BC" w:rsidRPr="00256982" w:rsidRDefault="00DE64BC" w:rsidP="00A808C7">
      <w:pPr>
        <w:pStyle w:val="BodyText"/>
      </w:pPr>
      <w:r w:rsidRPr="00256982">
        <w:t>Between 1990 and 2017, the amount of CO</w:t>
      </w:r>
      <w:r w:rsidRPr="00256982">
        <w:rPr>
          <w:vertAlign w:val="subscript"/>
        </w:rPr>
        <w:t>2</w:t>
      </w:r>
      <w:r w:rsidRPr="00256982">
        <w:t xml:space="preserve"> removed from the atmosphere by the LULUCF sector decreased by </w:t>
      </w:r>
      <w:r w:rsidRPr="00256982">
        <w:rPr>
          <w:lang w:eastAsia="en-NZ"/>
        </w:rPr>
        <w:t>7,308.5</w:t>
      </w:r>
      <w:r w:rsidRPr="00256982">
        <w:t xml:space="preserve"> kt (23.2 per cent) from the 1990 level of </w:t>
      </w:r>
      <w:r w:rsidRPr="00256982">
        <w:rPr>
          <w:lang w:eastAsia="en-NZ"/>
        </w:rPr>
        <w:t xml:space="preserve">31,466.8 </w:t>
      </w:r>
      <w:r w:rsidRPr="00256982">
        <w:t>kt. The decrease reflects the age structure of the forest and is the result of increased harvesting and deforestation since 1990.</w:t>
      </w:r>
    </w:p>
    <w:p w14:paraId="1C04E0B0" w14:textId="77777777" w:rsidR="00DE64BC" w:rsidRPr="00256982" w:rsidRDefault="00DE64BC" w:rsidP="00A72006">
      <w:pPr>
        <w:pStyle w:val="Heading4"/>
      </w:pPr>
      <w:r w:rsidRPr="00256982">
        <w:lastRenderedPageBreak/>
        <w:t>Indirect gases</w:t>
      </w:r>
    </w:p>
    <w:p w14:paraId="022C84F3" w14:textId="5921FECE" w:rsidR="00DE64BC" w:rsidRPr="00256982" w:rsidRDefault="00DE64BC" w:rsidP="00A808C7">
      <w:pPr>
        <w:pStyle w:val="BodyText"/>
      </w:pPr>
      <w:r w:rsidRPr="00256982">
        <w:t>Under the Convention, indirect GHGs are included in inventory reporting but are not counted in emissions totals. These indirect gases are carbon monoxide (CO), sulphur dioxide (SO</w:t>
      </w:r>
      <w:r w:rsidRPr="00256982">
        <w:rPr>
          <w:vertAlign w:val="subscript"/>
        </w:rPr>
        <w:t>2</w:t>
      </w:r>
      <w:r w:rsidRPr="00256982">
        <w:t>), oxides of nitrogen (NO</w:t>
      </w:r>
      <w:r w:rsidRPr="00256982">
        <w:rPr>
          <w:vertAlign w:val="subscript"/>
        </w:rPr>
        <w:t>X</w:t>
      </w:r>
      <w:r w:rsidRPr="00256982">
        <w:t xml:space="preserve">) and non-methane volatile organic compounds (NMVOCs). </w:t>
      </w:r>
    </w:p>
    <w:p w14:paraId="00F51CEC" w14:textId="083904F9" w:rsidR="00DE64BC" w:rsidRPr="00256982" w:rsidRDefault="00DE64BC" w:rsidP="00A808C7">
      <w:pPr>
        <w:pStyle w:val="BodyText"/>
      </w:pPr>
      <w:r w:rsidRPr="00256982">
        <w:t xml:space="preserve">Table ES 3.2 summarises New Zealand’s indirect GHG emissions in 1990 and 2017 as well as the change between these years. </w:t>
      </w:r>
    </w:p>
    <w:p w14:paraId="56633784" w14:textId="77777777" w:rsidR="00DE64BC" w:rsidRPr="00256982" w:rsidRDefault="00DE64BC" w:rsidP="00A808C7">
      <w:pPr>
        <w:pStyle w:val="Table"/>
      </w:pPr>
      <w:bookmarkStart w:id="43" w:name="_Toc444693994"/>
      <w:bookmarkStart w:id="44" w:name="_Toc451176049"/>
      <w:bookmarkStart w:id="45" w:name="_Toc511116698"/>
      <w:bookmarkStart w:id="46" w:name="_Toc5269432"/>
      <w:r w:rsidRPr="00256982">
        <w:t xml:space="preserve">Table ES 3.2 </w:t>
      </w:r>
      <w:r w:rsidRPr="00256982">
        <w:tab/>
        <w:t>New Zealand’s indirect greenhouse gas emissions (excluding LULUCF) in 1990 and </w:t>
      </w:r>
      <w:bookmarkEnd w:id="43"/>
      <w:bookmarkEnd w:id="44"/>
      <w:bookmarkEnd w:id="45"/>
      <w:r w:rsidRPr="00256982">
        <w:t>2017</w:t>
      </w:r>
      <w:bookmarkEnd w:id="46"/>
    </w:p>
    <w:tbl>
      <w:tblPr>
        <w:tblW w:w="8505" w:type="dxa"/>
        <w:tblInd w:w="108" w:type="dxa"/>
        <w:tblBorders>
          <w:bottom w:val="single" w:sz="8" w:space="0" w:color="365F91"/>
          <w:insideH w:val="single" w:sz="8" w:space="0" w:color="365F91"/>
        </w:tblBorders>
        <w:tblLook w:val="01E0" w:firstRow="1" w:lastRow="1" w:firstColumn="1" w:lastColumn="1" w:noHBand="0" w:noVBand="0"/>
      </w:tblPr>
      <w:tblGrid>
        <w:gridCol w:w="3119"/>
        <w:gridCol w:w="1276"/>
        <w:gridCol w:w="1275"/>
        <w:gridCol w:w="1418"/>
        <w:gridCol w:w="1417"/>
      </w:tblGrid>
      <w:tr w:rsidR="00DE64BC" w:rsidRPr="00256982" w14:paraId="1BC565DF" w14:textId="77777777" w:rsidTr="00A808C7">
        <w:tc>
          <w:tcPr>
            <w:tcW w:w="3119" w:type="dxa"/>
            <w:vMerge w:val="restart"/>
            <w:tcBorders>
              <w:top w:val="single" w:sz="4" w:space="0" w:color="365F91"/>
              <w:left w:val="nil"/>
              <w:bottom w:val="nil"/>
              <w:right w:val="nil"/>
              <w:tl2br w:val="nil"/>
              <w:tr2bl w:val="nil"/>
            </w:tcBorders>
            <w:shd w:val="clear" w:color="auto" w:fill="365F91"/>
            <w:vAlign w:val="bottom"/>
          </w:tcPr>
          <w:p w14:paraId="3755B31E" w14:textId="77777777" w:rsidR="00DE64BC" w:rsidRPr="00256982" w:rsidRDefault="00DE64BC" w:rsidP="00A808C7">
            <w:pPr>
              <w:pStyle w:val="TableTextBold"/>
              <w:rPr>
                <w:noProof w:val="0"/>
                <w:color w:val="FFFFFF"/>
              </w:rPr>
            </w:pPr>
            <w:r w:rsidRPr="00256982">
              <w:rPr>
                <w:noProof w:val="0"/>
                <w:color w:val="FFFFFF"/>
              </w:rPr>
              <w:t>Indirect greenhouse gas emissions</w:t>
            </w:r>
          </w:p>
        </w:tc>
        <w:tc>
          <w:tcPr>
            <w:tcW w:w="2551" w:type="dxa"/>
            <w:gridSpan w:val="2"/>
            <w:tcBorders>
              <w:top w:val="single" w:sz="4" w:space="0" w:color="365F91"/>
              <w:left w:val="nil"/>
              <w:bottom w:val="nil"/>
              <w:right w:val="nil"/>
              <w:tl2br w:val="nil"/>
              <w:tr2bl w:val="nil"/>
            </w:tcBorders>
            <w:shd w:val="clear" w:color="auto" w:fill="365F91"/>
            <w:vAlign w:val="bottom"/>
          </w:tcPr>
          <w:p w14:paraId="6DC54968" w14:textId="77777777" w:rsidR="00DE64BC" w:rsidRPr="00256982" w:rsidRDefault="00DE64BC" w:rsidP="00A808C7">
            <w:pPr>
              <w:pStyle w:val="TableTextBold"/>
              <w:jc w:val="center"/>
              <w:rPr>
                <w:noProof w:val="0"/>
                <w:color w:val="FFFFFF"/>
              </w:rPr>
            </w:pPr>
            <w:r w:rsidRPr="00256982">
              <w:rPr>
                <w:noProof w:val="0"/>
                <w:color w:val="FFFFFF"/>
              </w:rPr>
              <w:t xml:space="preserve">kt </w:t>
            </w:r>
          </w:p>
        </w:tc>
        <w:tc>
          <w:tcPr>
            <w:tcW w:w="1418" w:type="dxa"/>
            <w:vMerge w:val="restart"/>
            <w:tcBorders>
              <w:top w:val="single" w:sz="4" w:space="0" w:color="365F91"/>
              <w:left w:val="nil"/>
              <w:bottom w:val="nil"/>
              <w:right w:val="nil"/>
              <w:tl2br w:val="nil"/>
              <w:tr2bl w:val="nil"/>
            </w:tcBorders>
            <w:shd w:val="clear" w:color="auto" w:fill="365F91"/>
            <w:vAlign w:val="bottom"/>
          </w:tcPr>
          <w:p w14:paraId="449E0DDF" w14:textId="77777777" w:rsidR="00DE64BC" w:rsidRPr="00256982" w:rsidRDefault="00DE64BC" w:rsidP="00A808C7">
            <w:pPr>
              <w:pStyle w:val="TableTextBold"/>
              <w:jc w:val="right"/>
              <w:rPr>
                <w:noProof w:val="0"/>
                <w:color w:val="FFFFFF"/>
              </w:rPr>
            </w:pPr>
            <w:r w:rsidRPr="00256982">
              <w:rPr>
                <w:noProof w:val="0"/>
                <w:color w:val="FFFFFF"/>
              </w:rPr>
              <w:t>Change from 1990 (kt)</w:t>
            </w:r>
          </w:p>
        </w:tc>
        <w:tc>
          <w:tcPr>
            <w:tcW w:w="1417" w:type="dxa"/>
            <w:vMerge w:val="restart"/>
            <w:tcBorders>
              <w:top w:val="single" w:sz="4" w:space="0" w:color="365F91"/>
              <w:left w:val="nil"/>
              <w:bottom w:val="nil"/>
              <w:right w:val="nil"/>
              <w:tl2br w:val="nil"/>
              <w:tr2bl w:val="nil"/>
            </w:tcBorders>
            <w:shd w:val="clear" w:color="auto" w:fill="365F91"/>
            <w:vAlign w:val="bottom"/>
          </w:tcPr>
          <w:p w14:paraId="7E86FDD9" w14:textId="77777777" w:rsidR="00DE64BC" w:rsidRPr="00256982" w:rsidRDefault="00DE64BC" w:rsidP="00A808C7">
            <w:pPr>
              <w:pStyle w:val="TableTextBold"/>
              <w:jc w:val="right"/>
              <w:rPr>
                <w:noProof w:val="0"/>
                <w:color w:val="FFFFFF"/>
              </w:rPr>
            </w:pPr>
            <w:r w:rsidRPr="00256982">
              <w:rPr>
                <w:noProof w:val="0"/>
                <w:color w:val="FFFFFF"/>
              </w:rPr>
              <w:t>Change from 1990 (%)</w:t>
            </w:r>
          </w:p>
        </w:tc>
      </w:tr>
      <w:tr w:rsidR="00DE64BC" w:rsidRPr="00256982" w14:paraId="51BE6C82" w14:textId="77777777" w:rsidTr="00A808C7">
        <w:tc>
          <w:tcPr>
            <w:tcW w:w="3119" w:type="dxa"/>
            <w:vMerge/>
            <w:tcBorders>
              <w:top w:val="nil"/>
              <w:bottom w:val="single" w:sz="4" w:space="0" w:color="365F91"/>
            </w:tcBorders>
            <w:shd w:val="clear" w:color="auto" w:fill="365F91"/>
            <w:vAlign w:val="bottom"/>
          </w:tcPr>
          <w:p w14:paraId="7EE1CF2F" w14:textId="77777777" w:rsidR="00DE64BC" w:rsidRPr="00256982" w:rsidRDefault="00DE64BC" w:rsidP="00A808C7">
            <w:pPr>
              <w:keepNext/>
              <w:spacing w:before="60" w:after="60"/>
              <w:rPr>
                <w:rFonts w:ascii="Arial" w:hAnsi="Arial"/>
                <w:color w:val="FFFFFF"/>
              </w:rPr>
            </w:pPr>
          </w:p>
        </w:tc>
        <w:tc>
          <w:tcPr>
            <w:tcW w:w="1276" w:type="dxa"/>
            <w:tcBorders>
              <w:top w:val="nil"/>
              <w:bottom w:val="single" w:sz="4" w:space="0" w:color="365F91"/>
            </w:tcBorders>
            <w:shd w:val="clear" w:color="auto" w:fill="365F91"/>
            <w:vAlign w:val="bottom"/>
          </w:tcPr>
          <w:p w14:paraId="37D6409A" w14:textId="77777777" w:rsidR="00DE64BC" w:rsidRPr="00256982" w:rsidRDefault="00DE64BC" w:rsidP="00A808C7">
            <w:pPr>
              <w:pStyle w:val="TableTextBold"/>
              <w:jc w:val="center"/>
              <w:rPr>
                <w:noProof w:val="0"/>
                <w:color w:val="FFFFFF"/>
              </w:rPr>
            </w:pPr>
            <w:r w:rsidRPr="00256982">
              <w:rPr>
                <w:noProof w:val="0"/>
                <w:color w:val="FFFFFF"/>
              </w:rPr>
              <w:t>1990</w:t>
            </w:r>
          </w:p>
        </w:tc>
        <w:tc>
          <w:tcPr>
            <w:tcW w:w="1275" w:type="dxa"/>
            <w:tcBorders>
              <w:top w:val="nil"/>
              <w:bottom w:val="single" w:sz="4" w:space="0" w:color="365F91"/>
            </w:tcBorders>
            <w:shd w:val="clear" w:color="auto" w:fill="365F91"/>
            <w:vAlign w:val="bottom"/>
          </w:tcPr>
          <w:p w14:paraId="3179179B" w14:textId="77777777" w:rsidR="00DE64BC" w:rsidRPr="00256982" w:rsidRDefault="00DE64BC" w:rsidP="00A808C7">
            <w:pPr>
              <w:pStyle w:val="TableTextBold"/>
              <w:jc w:val="center"/>
              <w:rPr>
                <w:noProof w:val="0"/>
                <w:color w:val="FFFFFF"/>
              </w:rPr>
            </w:pPr>
            <w:r w:rsidRPr="00256982">
              <w:rPr>
                <w:noProof w:val="0"/>
                <w:color w:val="FFFFFF"/>
              </w:rPr>
              <w:t>2017</w:t>
            </w:r>
          </w:p>
        </w:tc>
        <w:tc>
          <w:tcPr>
            <w:tcW w:w="1418" w:type="dxa"/>
            <w:vMerge/>
            <w:tcBorders>
              <w:top w:val="nil"/>
              <w:bottom w:val="single" w:sz="4" w:space="0" w:color="365F91"/>
            </w:tcBorders>
            <w:shd w:val="clear" w:color="auto" w:fill="365F91"/>
            <w:vAlign w:val="bottom"/>
          </w:tcPr>
          <w:p w14:paraId="0D8B6FFA" w14:textId="77777777" w:rsidR="00DE64BC" w:rsidRPr="00256982" w:rsidRDefault="00DE64BC" w:rsidP="00A808C7">
            <w:pPr>
              <w:keepNext/>
              <w:spacing w:before="60" w:after="60"/>
              <w:jc w:val="center"/>
              <w:rPr>
                <w:rFonts w:ascii="Arial" w:hAnsi="Arial"/>
                <w:b/>
                <w:color w:val="FFFFFF"/>
                <w:sz w:val="16"/>
              </w:rPr>
            </w:pPr>
          </w:p>
        </w:tc>
        <w:tc>
          <w:tcPr>
            <w:tcW w:w="1417" w:type="dxa"/>
            <w:vMerge/>
            <w:tcBorders>
              <w:top w:val="nil"/>
              <w:bottom w:val="single" w:sz="4" w:space="0" w:color="365F91"/>
            </w:tcBorders>
            <w:shd w:val="clear" w:color="auto" w:fill="365F91"/>
            <w:vAlign w:val="bottom"/>
          </w:tcPr>
          <w:p w14:paraId="3953750E" w14:textId="77777777" w:rsidR="00DE64BC" w:rsidRPr="00256982" w:rsidRDefault="00DE64BC" w:rsidP="00A808C7">
            <w:pPr>
              <w:keepNext/>
              <w:spacing w:before="60" w:after="60"/>
              <w:jc w:val="center"/>
              <w:rPr>
                <w:rFonts w:ascii="Arial" w:hAnsi="Arial"/>
                <w:b/>
                <w:color w:val="FFFFFF"/>
                <w:sz w:val="16"/>
              </w:rPr>
            </w:pPr>
          </w:p>
        </w:tc>
      </w:tr>
      <w:tr w:rsidR="00DE64BC" w:rsidRPr="00256982" w14:paraId="62B79B19" w14:textId="77777777" w:rsidTr="00A808C7">
        <w:tc>
          <w:tcPr>
            <w:tcW w:w="3119" w:type="dxa"/>
            <w:tcBorders>
              <w:top w:val="single" w:sz="4" w:space="0" w:color="365F91"/>
            </w:tcBorders>
            <w:shd w:val="clear" w:color="auto" w:fill="auto"/>
          </w:tcPr>
          <w:p w14:paraId="11558993" w14:textId="77777777" w:rsidR="00DE64BC" w:rsidRPr="00256982" w:rsidRDefault="00DE64BC" w:rsidP="00A808C7">
            <w:pPr>
              <w:pStyle w:val="TableText"/>
              <w:spacing w:before="50" w:after="50"/>
              <w:rPr>
                <w:color w:val="000000"/>
                <w:szCs w:val="22"/>
              </w:rPr>
            </w:pPr>
            <w:r w:rsidRPr="00256982">
              <w:rPr>
                <w:color w:val="000000"/>
                <w:szCs w:val="22"/>
              </w:rPr>
              <w:t>CO</w:t>
            </w:r>
          </w:p>
        </w:tc>
        <w:tc>
          <w:tcPr>
            <w:tcW w:w="1276" w:type="dxa"/>
            <w:tcBorders>
              <w:top w:val="single" w:sz="4" w:space="0" w:color="365F91"/>
            </w:tcBorders>
            <w:shd w:val="clear" w:color="auto" w:fill="auto"/>
          </w:tcPr>
          <w:p w14:paraId="198B97C8" w14:textId="77777777" w:rsidR="00DE64BC" w:rsidRPr="00256982" w:rsidRDefault="00DE64BC" w:rsidP="00A808C7">
            <w:pPr>
              <w:pStyle w:val="TableText"/>
              <w:spacing w:before="50" w:after="50"/>
              <w:ind w:right="283"/>
              <w:jc w:val="right"/>
              <w:rPr>
                <w:color w:val="000000"/>
                <w:szCs w:val="22"/>
              </w:rPr>
            </w:pPr>
            <w:r w:rsidRPr="00256982">
              <w:rPr>
                <w:color w:val="000000"/>
                <w:szCs w:val="22"/>
              </w:rPr>
              <w:t>602.8</w:t>
            </w:r>
          </w:p>
        </w:tc>
        <w:tc>
          <w:tcPr>
            <w:tcW w:w="1275" w:type="dxa"/>
            <w:tcBorders>
              <w:top w:val="single" w:sz="4" w:space="0" w:color="365F91"/>
            </w:tcBorders>
            <w:shd w:val="clear" w:color="auto" w:fill="auto"/>
          </w:tcPr>
          <w:p w14:paraId="1B4AA328" w14:textId="77777777" w:rsidR="00DE64BC" w:rsidRPr="00256982" w:rsidRDefault="00DE64BC" w:rsidP="00A808C7">
            <w:pPr>
              <w:pStyle w:val="TableText"/>
              <w:spacing w:before="50" w:after="50"/>
              <w:ind w:right="283"/>
              <w:jc w:val="right"/>
              <w:rPr>
                <w:color w:val="000000"/>
                <w:szCs w:val="22"/>
              </w:rPr>
            </w:pPr>
            <w:r w:rsidRPr="00256982">
              <w:rPr>
                <w:color w:val="000000"/>
                <w:szCs w:val="22"/>
              </w:rPr>
              <w:t>746.0</w:t>
            </w:r>
          </w:p>
        </w:tc>
        <w:tc>
          <w:tcPr>
            <w:tcW w:w="1418" w:type="dxa"/>
            <w:tcBorders>
              <w:top w:val="single" w:sz="4" w:space="0" w:color="365F91"/>
            </w:tcBorders>
            <w:shd w:val="clear" w:color="auto" w:fill="auto"/>
            <w:vAlign w:val="bottom"/>
          </w:tcPr>
          <w:p w14:paraId="196204A9" w14:textId="77777777" w:rsidR="00DE64BC" w:rsidRPr="00256982" w:rsidRDefault="00DE64BC" w:rsidP="00A808C7">
            <w:pPr>
              <w:pStyle w:val="TableText"/>
              <w:spacing w:before="50" w:after="50"/>
              <w:ind w:right="283"/>
              <w:jc w:val="right"/>
              <w:rPr>
                <w:rFonts w:cs="Arial"/>
                <w:color w:val="000000"/>
                <w:szCs w:val="16"/>
              </w:rPr>
            </w:pPr>
            <w:r w:rsidRPr="00256982">
              <w:rPr>
                <w:rFonts w:cs="Arial"/>
                <w:color w:val="000000"/>
                <w:szCs w:val="16"/>
              </w:rPr>
              <w:t>143.3</w:t>
            </w:r>
          </w:p>
        </w:tc>
        <w:tc>
          <w:tcPr>
            <w:tcW w:w="1417" w:type="dxa"/>
            <w:tcBorders>
              <w:top w:val="single" w:sz="4" w:space="0" w:color="365F91"/>
            </w:tcBorders>
            <w:shd w:val="clear" w:color="auto" w:fill="auto"/>
            <w:vAlign w:val="bottom"/>
          </w:tcPr>
          <w:p w14:paraId="605973AD" w14:textId="77777777" w:rsidR="00DE64BC" w:rsidRPr="00256982" w:rsidRDefault="00DE64BC" w:rsidP="00A808C7">
            <w:pPr>
              <w:pStyle w:val="TableText"/>
              <w:spacing w:before="50" w:after="50"/>
              <w:ind w:right="283"/>
              <w:jc w:val="right"/>
              <w:rPr>
                <w:rFonts w:cs="Arial"/>
                <w:color w:val="000000"/>
                <w:szCs w:val="16"/>
              </w:rPr>
            </w:pPr>
            <w:r w:rsidRPr="00256982">
              <w:rPr>
                <w:rFonts w:cs="Arial"/>
                <w:color w:val="000000"/>
                <w:szCs w:val="16"/>
              </w:rPr>
              <w:t>23.8</w:t>
            </w:r>
          </w:p>
        </w:tc>
      </w:tr>
      <w:tr w:rsidR="00DE64BC" w:rsidRPr="00256982" w14:paraId="5ED1458B" w14:textId="77777777" w:rsidTr="00A808C7">
        <w:tc>
          <w:tcPr>
            <w:tcW w:w="3119" w:type="dxa"/>
            <w:tcBorders>
              <w:top w:val="single" w:sz="4" w:space="0" w:color="365F91"/>
            </w:tcBorders>
            <w:shd w:val="clear" w:color="auto" w:fill="auto"/>
          </w:tcPr>
          <w:p w14:paraId="38C5F376" w14:textId="77777777" w:rsidR="00DE64BC" w:rsidRPr="00256982" w:rsidRDefault="00DE64BC" w:rsidP="00A808C7">
            <w:pPr>
              <w:pStyle w:val="TableText"/>
              <w:spacing w:before="50" w:after="50"/>
              <w:rPr>
                <w:color w:val="000000"/>
                <w:szCs w:val="22"/>
              </w:rPr>
            </w:pPr>
            <w:r w:rsidRPr="00256982">
              <w:rPr>
                <w:color w:val="000000"/>
                <w:szCs w:val="22"/>
              </w:rPr>
              <w:t>NMVOCs</w:t>
            </w:r>
          </w:p>
        </w:tc>
        <w:tc>
          <w:tcPr>
            <w:tcW w:w="1276" w:type="dxa"/>
            <w:tcBorders>
              <w:top w:val="single" w:sz="4" w:space="0" w:color="365F91"/>
            </w:tcBorders>
            <w:shd w:val="clear" w:color="auto" w:fill="auto"/>
          </w:tcPr>
          <w:p w14:paraId="1D19C67E" w14:textId="77777777" w:rsidR="00DE64BC" w:rsidRPr="00256982" w:rsidRDefault="00DE64BC" w:rsidP="00A808C7">
            <w:pPr>
              <w:pStyle w:val="TableText"/>
              <w:spacing w:before="50" w:after="50"/>
              <w:ind w:right="283"/>
              <w:jc w:val="right"/>
              <w:rPr>
                <w:color w:val="000000"/>
                <w:szCs w:val="22"/>
                <w:highlight w:val="yellow"/>
              </w:rPr>
            </w:pPr>
            <w:r w:rsidRPr="00256982">
              <w:rPr>
                <w:color w:val="000000"/>
                <w:szCs w:val="22"/>
              </w:rPr>
              <w:t>145.0</w:t>
            </w:r>
          </w:p>
        </w:tc>
        <w:tc>
          <w:tcPr>
            <w:tcW w:w="1275" w:type="dxa"/>
            <w:tcBorders>
              <w:top w:val="single" w:sz="4" w:space="0" w:color="365F91"/>
            </w:tcBorders>
            <w:shd w:val="clear" w:color="auto" w:fill="auto"/>
          </w:tcPr>
          <w:p w14:paraId="00E09456" w14:textId="77777777" w:rsidR="00DE64BC" w:rsidRPr="00256982" w:rsidRDefault="00DE64BC" w:rsidP="00A808C7">
            <w:pPr>
              <w:pStyle w:val="TableText"/>
              <w:spacing w:before="50" w:after="50"/>
              <w:ind w:right="283"/>
              <w:jc w:val="right"/>
              <w:rPr>
                <w:color w:val="000000"/>
                <w:szCs w:val="22"/>
                <w:highlight w:val="yellow"/>
              </w:rPr>
            </w:pPr>
            <w:r w:rsidRPr="00256982">
              <w:rPr>
                <w:color w:val="000000"/>
                <w:szCs w:val="22"/>
              </w:rPr>
              <w:t>192.3</w:t>
            </w:r>
          </w:p>
        </w:tc>
        <w:tc>
          <w:tcPr>
            <w:tcW w:w="1418" w:type="dxa"/>
            <w:tcBorders>
              <w:top w:val="single" w:sz="4" w:space="0" w:color="365F91"/>
            </w:tcBorders>
            <w:shd w:val="clear" w:color="auto" w:fill="auto"/>
            <w:vAlign w:val="bottom"/>
          </w:tcPr>
          <w:p w14:paraId="42A76270" w14:textId="77777777" w:rsidR="00DE64BC" w:rsidRPr="00256982" w:rsidRDefault="00DE64BC" w:rsidP="00A808C7">
            <w:pPr>
              <w:pStyle w:val="TableText"/>
              <w:spacing w:before="50" w:after="50"/>
              <w:ind w:right="283"/>
              <w:jc w:val="right"/>
              <w:rPr>
                <w:rFonts w:cs="Arial"/>
                <w:color w:val="000000"/>
                <w:szCs w:val="16"/>
              </w:rPr>
            </w:pPr>
            <w:r w:rsidRPr="00256982">
              <w:rPr>
                <w:rFonts w:cs="Arial"/>
                <w:color w:val="000000"/>
                <w:szCs w:val="16"/>
              </w:rPr>
              <w:t>47.3</w:t>
            </w:r>
          </w:p>
        </w:tc>
        <w:tc>
          <w:tcPr>
            <w:tcW w:w="1417" w:type="dxa"/>
            <w:tcBorders>
              <w:top w:val="single" w:sz="4" w:space="0" w:color="365F91"/>
            </w:tcBorders>
            <w:shd w:val="clear" w:color="auto" w:fill="auto"/>
            <w:vAlign w:val="bottom"/>
          </w:tcPr>
          <w:p w14:paraId="2A782933" w14:textId="77777777" w:rsidR="00DE64BC" w:rsidRPr="00256982" w:rsidRDefault="00DE64BC" w:rsidP="00A808C7">
            <w:pPr>
              <w:pStyle w:val="TableText"/>
              <w:spacing w:before="50" w:after="50"/>
              <w:ind w:right="283"/>
              <w:jc w:val="right"/>
              <w:rPr>
                <w:rFonts w:cs="Arial"/>
                <w:color w:val="000000"/>
                <w:szCs w:val="16"/>
              </w:rPr>
            </w:pPr>
            <w:r w:rsidRPr="00256982">
              <w:rPr>
                <w:rFonts w:cs="Arial"/>
                <w:color w:val="000000"/>
                <w:szCs w:val="16"/>
              </w:rPr>
              <w:t>32.6</w:t>
            </w:r>
          </w:p>
        </w:tc>
      </w:tr>
      <w:tr w:rsidR="00DE64BC" w:rsidRPr="00256982" w14:paraId="3C983ED3" w14:textId="77777777" w:rsidTr="00A808C7">
        <w:tc>
          <w:tcPr>
            <w:tcW w:w="3119" w:type="dxa"/>
            <w:shd w:val="clear" w:color="auto" w:fill="auto"/>
          </w:tcPr>
          <w:p w14:paraId="1D65D24B" w14:textId="77777777" w:rsidR="00DE64BC" w:rsidRPr="00256982" w:rsidRDefault="00DE64BC" w:rsidP="00A808C7">
            <w:pPr>
              <w:pStyle w:val="TableText"/>
              <w:spacing w:before="50" w:after="50"/>
              <w:rPr>
                <w:color w:val="000000"/>
                <w:szCs w:val="22"/>
              </w:rPr>
            </w:pPr>
            <w:r w:rsidRPr="00256982">
              <w:rPr>
                <w:color w:val="000000"/>
                <w:szCs w:val="22"/>
              </w:rPr>
              <w:t>NO</w:t>
            </w:r>
            <w:r w:rsidRPr="00256982">
              <w:rPr>
                <w:color w:val="000000"/>
                <w:szCs w:val="22"/>
                <w:vertAlign w:val="subscript"/>
              </w:rPr>
              <w:t>x</w:t>
            </w:r>
          </w:p>
        </w:tc>
        <w:tc>
          <w:tcPr>
            <w:tcW w:w="1276" w:type="dxa"/>
            <w:shd w:val="clear" w:color="auto" w:fill="auto"/>
          </w:tcPr>
          <w:p w14:paraId="66415731" w14:textId="77777777" w:rsidR="00DE64BC" w:rsidRPr="00256982" w:rsidRDefault="00DE64BC" w:rsidP="00A808C7">
            <w:pPr>
              <w:pStyle w:val="TableText"/>
              <w:spacing w:before="50" w:after="50"/>
              <w:ind w:right="283"/>
              <w:jc w:val="right"/>
              <w:rPr>
                <w:color w:val="000000"/>
                <w:szCs w:val="22"/>
                <w:highlight w:val="yellow"/>
              </w:rPr>
            </w:pPr>
            <w:r w:rsidRPr="00256982">
              <w:rPr>
                <w:color w:val="000000"/>
                <w:szCs w:val="22"/>
              </w:rPr>
              <w:t>101.7</w:t>
            </w:r>
          </w:p>
        </w:tc>
        <w:tc>
          <w:tcPr>
            <w:tcW w:w="1275" w:type="dxa"/>
            <w:shd w:val="clear" w:color="auto" w:fill="auto"/>
          </w:tcPr>
          <w:p w14:paraId="73BAEBBB" w14:textId="77777777" w:rsidR="00DE64BC" w:rsidRPr="00256982" w:rsidRDefault="00DE64BC" w:rsidP="00A808C7">
            <w:pPr>
              <w:pStyle w:val="TableText"/>
              <w:spacing w:before="50" w:after="50"/>
              <w:ind w:right="283"/>
              <w:jc w:val="right"/>
              <w:rPr>
                <w:color w:val="000000"/>
                <w:szCs w:val="22"/>
                <w:highlight w:val="yellow"/>
              </w:rPr>
            </w:pPr>
            <w:r w:rsidRPr="00256982">
              <w:rPr>
                <w:color w:val="000000"/>
                <w:szCs w:val="22"/>
              </w:rPr>
              <w:t>167.6</w:t>
            </w:r>
          </w:p>
        </w:tc>
        <w:tc>
          <w:tcPr>
            <w:tcW w:w="1418" w:type="dxa"/>
            <w:shd w:val="clear" w:color="auto" w:fill="auto"/>
            <w:vAlign w:val="bottom"/>
          </w:tcPr>
          <w:p w14:paraId="64F26B94" w14:textId="77777777" w:rsidR="00DE64BC" w:rsidRPr="00256982" w:rsidRDefault="00DE64BC" w:rsidP="00A808C7">
            <w:pPr>
              <w:pStyle w:val="TableText"/>
              <w:spacing w:before="50" w:after="50"/>
              <w:ind w:right="283"/>
              <w:jc w:val="right"/>
              <w:rPr>
                <w:rFonts w:cs="Arial"/>
                <w:color w:val="000000"/>
                <w:szCs w:val="16"/>
              </w:rPr>
            </w:pPr>
            <w:r w:rsidRPr="00256982">
              <w:rPr>
                <w:rFonts w:cs="Arial"/>
                <w:color w:val="000000"/>
                <w:szCs w:val="16"/>
              </w:rPr>
              <w:t>65.8</w:t>
            </w:r>
          </w:p>
        </w:tc>
        <w:tc>
          <w:tcPr>
            <w:tcW w:w="1417" w:type="dxa"/>
            <w:shd w:val="clear" w:color="auto" w:fill="auto"/>
            <w:vAlign w:val="bottom"/>
          </w:tcPr>
          <w:p w14:paraId="4315F657" w14:textId="77777777" w:rsidR="00DE64BC" w:rsidRPr="00256982" w:rsidRDefault="00DE64BC" w:rsidP="00A808C7">
            <w:pPr>
              <w:pStyle w:val="TableText"/>
              <w:spacing w:before="50" w:after="50"/>
              <w:ind w:right="283"/>
              <w:jc w:val="right"/>
              <w:rPr>
                <w:rFonts w:cs="Arial"/>
                <w:color w:val="000000"/>
                <w:szCs w:val="16"/>
              </w:rPr>
            </w:pPr>
            <w:r w:rsidRPr="00256982">
              <w:rPr>
                <w:rFonts w:cs="Arial"/>
                <w:color w:val="000000"/>
                <w:szCs w:val="16"/>
              </w:rPr>
              <w:t>64.7</w:t>
            </w:r>
          </w:p>
        </w:tc>
      </w:tr>
      <w:tr w:rsidR="00DE64BC" w:rsidRPr="00256982" w14:paraId="5041C6F9" w14:textId="77777777" w:rsidTr="00A808C7">
        <w:tc>
          <w:tcPr>
            <w:tcW w:w="3119" w:type="dxa"/>
            <w:shd w:val="clear" w:color="auto" w:fill="auto"/>
          </w:tcPr>
          <w:p w14:paraId="37AEE89D" w14:textId="77777777" w:rsidR="00DE64BC" w:rsidRPr="00256982" w:rsidRDefault="00DE64BC" w:rsidP="00A808C7">
            <w:pPr>
              <w:pStyle w:val="TableText"/>
              <w:spacing w:before="50" w:after="50"/>
              <w:rPr>
                <w:color w:val="000000"/>
                <w:szCs w:val="22"/>
              </w:rPr>
            </w:pPr>
            <w:r w:rsidRPr="00256982">
              <w:rPr>
                <w:color w:val="000000"/>
                <w:szCs w:val="22"/>
              </w:rPr>
              <w:t>SO</w:t>
            </w:r>
            <w:r w:rsidRPr="00256982">
              <w:rPr>
                <w:color w:val="000000"/>
                <w:szCs w:val="22"/>
                <w:vertAlign w:val="subscript"/>
              </w:rPr>
              <w:t>2</w:t>
            </w:r>
          </w:p>
        </w:tc>
        <w:tc>
          <w:tcPr>
            <w:tcW w:w="1276" w:type="dxa"/>
            <w:shd w:val="clear" w:color="auto" w:fill="auto"/>
          </w:tcPr>
          <w:p w14:paraId="4C1E9F35" w14:textId="77777777" w:rsidR="00DE64BC" w:rsidRPr="00256982" w:rsidRDefault="00DE64BC" w:rsidP="00A808C7">
            <w:pPr>
              <w:pStyle w:val="TableText"/>
              <w:spacing w:before="50" w:after="50"/>
              <w:ind w:right="283"/>
              <w:jc w:val="right"/>
              <w:rPr>
                <w:color w:val="000000"/>
                <w:szCs w:val="22"/>
                <w:highlight w:val="yellow"/>
              </w:rPr>
            </w:pPr>
            <w:r w:rsidRPr="00256982">
              <w:rPr>
                <w:color w:val="000000"/>
                <w:szCs w:val="22"/>
              </w:rPr>
              <w:t>57.1</w:t>
            </w:r>
          </w:p>
        </w:tc>
        <w:tc>
          <w:tcPr>
            <w:tcW w:w="1275" w:type="dxa"/>
            <w:shd w:val="clear" w:color="auto" w:fill="auto"/>
          </w:tcPr>
          <w:p w14:paraId="4DCE9BBB" w14:textId="77777777" w:rsidR="00DE64BC" w:rsidRPr="00256982" w:rsidRDefault="00DE64BC" w:rsidP="00A808C7">
            <w:pPr>
              <w:pStyle w:val="TableText"/>
              <w:spacing w:before="50" w:after="50"/>
              <w:ind w:right="283"/>
              <w:jc w:val="right"/>
              <w:rPr>
                <w:color w:val="000000"/>
                <w:szCs w:val="22"/>
                <w:highlight w:val="yellow"/>
              </w:rPr>
            </w:pPr>
            <w:r w:rsidRPr="00256982">
              <w:rPr>
                <w:color w:val="000000"/>
                <w:szCs w:val="22"/>
              </w:rPr>
              <w:t>73.6</w:t>
            </w:r>
          </w:p>
        </w:tc>
        <w:tc>
          <w:tcPr>
            <w:tcW w:w="1418" w:type="dxa"/>
            <w:shd w:val="clear" w:color="auto" w:fill="auto"/>
            <w:vAlign w:val="bottom"/>
          </w:tcPr>
          <w:p w14:paraId="0A3928DB" w14:textId="77777777" w:rsidR="00DE64BC" w:rsidRPr="00256982" w:rsidRDefault="00DE64BC" w:rsidP="00A808C7">
            <w:pPr>
              <w:pStyle w:val="TableText"/>
              <w:spacing w:before="50" w:after="50"/>
              <w:ind w:right="283"/>
              <w:jc w:val="right"/>
              <w:rPr>
                <w:rFonts w:cs="Arial"/>
                <w:color w:val="000000"/>
                <w:szCs w:val="16"/>
              </w:rPr>
            </w:pPr>
            <w:r w:rsidRPr="00256982">
              <w:rPr>
                <w:rFonts w:cs="Arial"/>
                <w:color w:val="000000"/>
                <w:szCs w:val="16"/>
              </w:rPr>
              <w:t>16.6</w:t>
            </w:r>
          </w:p>
        </w:tc>
        <w:tc>
          <w:tcPr>
            <w:tcW w:w="1417" w:type="dxa"/>
            <w:shd w:val="clear" w:color="auto" w:fill="auto"/>
            <w:vAlign w:val="bottom"/>
          </w:tcPr>
          <w:p w14:paraId="4DE11DD1" w14:textId="77777777" w:rsidR="00DE64BC" w:rsidRPr="00256982" w:rsidRDefault="00DE64BC" w:rsidP="00A808C7">
            <w:pPr>
              <w:pStyle w:val="TableText"/>
              <w:spacing w:before="50" w:after="50"/>
              <w:ind w:right="283"/>
              <w:jc w:val="right"/>
              <w:rPr>
                <w:rFonts w:cs="Arial"/>
                <w:color w:val="000000"/>
                <w:szCs w:val="16"/>
              </w:rPr>
            </w:pPr>
            <w:r w:rsidRPr="00256982">
              <w:rPr>
                <w:rFonts w:cs="Arial"/>
                <w:color w:val="000000"/>
                <w:szCs w:val="16"/>
              </w:rPr>
              <w:t>29.0</w:t>
            </w:r>
          </w:p>
        </w:tc>
      </w:tr>
    </w:tbl>
    <w:p w14:paraId="067B1574" w14:textId="77777777" w:rsidR="00DE64BC" w:rsidRPr="00256982" w:rsidRDefault="00DE64BC" w:rsidP="00A808C7">
      <w:pPr>
        <w:pStyle w:val="Noteundertable"/>
      </w:pPr>
      <w:bookmarkStart w:id="47" w:name="_Toc352504814"/>
      <w:bookmarkStart w:id="48" w:name="_Toc414531262"/>
      <w:bookmarkStart w:id="49" w:name="_Toc448321483"/>
      <w:r w:rsidRPr="00256982">
        <w:rPr>
          <w:b/>
        </w:rPr>
        <w:t>Note:</w:t>
      </w:r>
      <w:r w:rsidRPr="00256982">
        <w:t xml:space="preserve"> </w:t>
      </w:r>
      <w:r w:rsidRPr="00256982">
        <w:tab/>
        <w:t>Columns may not total due to rounding. Percentages presented are calculated from unrounded values.</w:t>
      </w:r>
    </w:p>
    <w:p w14:paraId="3AF2B232" w14:textId="77777777" w:rsidR="00DE64BC" w:rsidRPr="00256982" w:rsidRDefault="00DE64BC" w:rsidP="001D3490">
      <w:pPr>
        <w:pStyle w:val="Heading2"/>
      </w:pPr>
      <w:bookmarkStart w:id="50" w:name="_Toc511116560"/>
      <w:bookmarkStart w:id="51" w:name="_Toc5269322"/>
      <w:r w:rsidRPr="00256982">
        <w:t>ES.4</w:t>
      </w:r>
      <w:r w:rsidRPr="00256982">
        <w:tab/>
        <w:t>Sector trends</w:t>
      </w:r>
      <w:bookmarkEnd w:id="47"/>
      <w:bookmarkEnd w:id="48"/>
      <w:bookmarkEnd w:id="49"/>
      <w:bookmarkEnd w:id="50"/>
      <w:bookmarkEnd w:id="51"/>
      <w:r w:rsidRPr="00256982">
        <w:t xml:space="preserve"> </w:t>
      </w:r>
    </w:p>
    <w:p w14:paraId="0BAB04B4" w14:textId="563A7FEE" w:rsidR="00DE64BC" w:rsidRPr="00256982" w:rsidRDefault="00DE64BC" w:rsidP="00A808C7">
      <w:pPr>
        <w:pStyle w:val="BodyText"/>
      </w:pPr>
      <w:r w:rsidRPr="00256982">
        <w:t>The Agriculture and Energy sectors dominate New Zealand’s gross emissions. Together, these sectors produced almost 90 per cent of New Zealand’s gross GHG emissions, and from 1990 to 2017 contributed the largest amounts of CO</w:t>
      </w:r>
      <w:r w:rsidRPr="00256982">
        <w:rPr>
          <w:vertAlign w:val="subscript"/>
        </w:rPr>
        <w:t>2</w:t>
      </w:r>
      <w:r w:rsidRPr="00256982">
        <w:t>, CH</w:t>
      </w:r>
      <w:r w:rsidRPr="00256982">
        <w:rPr>
          <w:vertAlign w:val="subscript"/>
        </w:rPr>
        <w:t>4</w:t>
      </w:r>
      <w:r w:rsidRPr="00256982">
        <w:t xml:space="preserve"> and N</w:t>
      </w:r>
      <w:r w:rsidRPr="00256982">
        <w:rPr>
          <w:vertAlign w:val="subscript"/>
        </w:rPr>
        <w:t>2</w:t>
      </w:r>
      <w:r w:rsidRPr="00256982">
        <w:t xml:space="preserve">O, compared with other inventory sectors. The IPPU and Waste sectors produce relatively small amounts of GHGs, contributing between 4 per cent and 7 per cent to the gross emissions for the entire time series. Figure ES 4.1 shows the proportion that each inventory sector contributed to New Zealand’s gross emissions. It also shows the proportion of gross emissions offset by the LULUCF sector, which was a net GHG sink between 1990 and 2017. </w:t>
      </w:r>
    </w:p>
    <w:p w14:paraId="3AE02D61" w14:textId="77777777" w:rsidR="00DE64BC" w:rsidRPr="00256982" w:rsidRDefault="00DE64BC" w:rsidP="00A808C7">
      <w:pPr>
        <w:pStyle w:val="Figure"/>
      </w:pPr>
      <w:bookmarkStart w:id="52" w:name="_Toc444693964"/>
      <w:bookmarkStart w:id="53" w:name="_Toc447275649"/>
      <w:bookmarkStart w:id="54" w:name="_Toc511116913"/>
      <w:bookmarkStart w:id="55" w:name="_Toc5269646"/>
      <w:r w:rsidRPr="00256982">
        <w:t xml:space="preserve">Figure ES 4.1 </w:t>
      </w:r>
      <w:r w:rsidRPr="00256982">
        <w:tab/>
        <w:t>Changes in New Zealand’s gross emissions profile by sector from 1990 to </w:t>
      </w:r>
      <w:bookmarkEnd w:id="52"/>
      <w:bookmarkEnd w:id="53"/>
      <w:bookmarkEnd w:id="54"/>
      <w:r w:rsidRPr="00256982">
        <w:t>2017</w:t>
      </w:r>
      <w:bookmarkEnd w:id="55"/>
    </w:p>
    <w:p w14:paraId="4539C0B9" w14:textId="77777777" w:rsidR="00DE64BC" w:rsidRPr="00256982" w:rsidRDefault="00590491" w:rsidP="00A808C7">
      <w:r>
        <w:rPr>
          <w:lang w:eastAsia="en-NZ"/>
        </w:rPr>
        <w:pict w14:anchorId="0ED2F790">
          <v:shape id="_x0000_i1029" type="#_x0000_t75" style="width:426pt;height:248.25pt;visibility:visible" o:gfxdata="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">
            <v:imagedata r:id="rId22" o:title=""/>
            <o:lock v:ext="edit" aspectratio="f"/>
          </v:shape>
        </w:pict>
      </w:r>
    </w:p>
    <w:p w14:paraId="53A354EB" w14:textId="77777777" w:rsidR="00DE64BC" w:rsidRPr="00256982" w:rsidRDefault="00DE64BC" w:rsidP="00A808C7">
      <w:pPr>
        <w:pStyle w:val="BodyText"/>
        <w:keepLines/>
      </w:pPr>
      <w:r w:rsidRPr="00256982">
        <w:lastRenderedPageBreak/>
        <w:t>Figure ES 4.2 shows emissions by sector in 2017. Agriculture was New Zealand’s largest sector (48.1 per cent of the gross emissions). New Zealand’s Energy sector contributed 40.7 per cent to the gross emissions, while the IPPU and Waste sectors contributed 6.1 per cent and 5.1 per cent to the gross emissions respectively (see figure ES 4.2).</w:t>
      </w:r>
    </w:p>
    <w:p w14:paraId="3BFDA1CC" w14:textId="77777777" w:rsidR="00DE64BC" w:rsidRPr="00256982" w:rsidRDefault="00DE64BC" w:rsidP="00A808C7">
      <w:pPr>
        <w:pStyle w:val="Figure"/>
        <w:spacing w:after="60"/>
      </w:pPr>
      <w:bookmarkStart w:id="56" w:name="_Toc444693965"/>
      <w:bookmarkStart w:id="57" w:name="_Toc447275650"/>
      <w:bookmarkStart w:id="58" w:name="_Toc511116914"/>
      <w:bookmarkStart w:id="59" w:name="_Toc5269647"/>
      <w:r w:rsidRPr="00256982">
        <w:t xml:space="preserve">Figure ES 4.2 </w:t>
      </w:r>
      <w:r w:rsidRPr="00256982">
        <w:tab/>
        <w:t xml:space="preserve">New Zealand’s emissions by sector in </w:t>
      </w:r>
      <w:bookmarkEnd w:id="56"/>
      <w:bookmarkEnd w:id="57"/>
      <w:bookmarkEnd w:id="58"/>
      <w:r w:rsidRPr="00256982">
        <w:t>2017</w:t>
      </w:r>
      <w:bookmarkEnd w:id="59"/>
    </w:p>
    <w:p w14:paraId="0C34F491" w14:textId="77777777" w:rsidR="00DE64BC" w:rsidRPr="00256982" w:rsidRDefault="00590491" w:rsidP="00A808C7">
      <w:r>
        <w:rPr>
          <w:lang w:eastAsia="en-NZ"/>
        </w:rPr>
        <w:pict w14:anchorId="4E6FFAB2">
          <v:shape id="_x0000_i1030" type="#_x0000_t75" style="width:426pt;height:175.5pt;visibility:visible" o:gfxdata="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">
            <v:imagedata r:id="rId23" o:title=""/>
            <o:lock v:ext="edit" aspectratio="f"/>
          </v:shape>
        </w:pict>
      </w:r>
    </w:p>
    <w:p w14:paraId="66970FE7" w14:textId="77777777" w:rsidR="00DE64BC" w:rsidRPr="00256982" w:rsidRDefault="00DE64BC" w:rsidP="00A808C7">
      <w:pPr>
        <w:pStyle w:val="Noteundertable"/>
        <w:ind w:left="675" w:hanging="675"/>
      </w:pPr>
      <w:r w:rsidRPr="00256982">
        <w:rPr>
          <w:b/>
        </w:rPr>
        <w:t>Note:</w:t>
      </w:r>
      <w:r w:rsidRPr="00256982">
        <w:t xml:space="preserve"> </w:t>
      </w:r>
      <w:r w:rsidRPr="00256982">
        <w:tab/>
        <w:t>The percentages may not add up to 100 per cent due to rounding. The LULUCF sector, which is not a part of gross emissions, is included here as a negative value.</w:t>
      </w:r>
    </w:p>
    <w:p w14:paraId="4C49F7B8" w14:textId="77777777" w:rsidR="00DE64BC" w:rsidRPr="00256982" w:rsidRDefault="00DE64BC" w:rsidP="00A808C7">
      <w:pPr>
        <w:pStyle w:val="BodyText"/>
      </w:pPr>
      <w:r w:rsidRPr="00256982">
        <w:t>Table ES 4.1 and figure ES 4.3 summarise emissions by sector in 1990 and 2017 as well as the change between those years. A more detailed description of the emission trends for each sector is presented in chapter 2, section 2.2.</w:t>
      </w:r>
    </w:p>
    <w:p w14:paraId="4CB12FC6" w14:textId="77777777" w:rsidR="00DE64BC" w:rsidRPr="00256982" w:rsidRDefault="00DE64BC" w:rsidP="00A808C7">
      <w:pPr>
        <w:pStyle w:val="Table"/>
      </w:pPr>
      <w:bookmarkStart w:id="60" w:name="_Toc444693995"/>
      <w:bookmarkStart w:id="61" w:name="_Toc451176050"/>
      <w:bookmarkStart w:id="62" w:name="_Toc511116699"/>
      <w:bookmarkStart w:id="63" w:name="_Toc5269433"/>
      <w:r w:rsidRPr="00256982">
        <w:t xml:space="preserve">Table ES 4.1 </w:t>
      </w:r>
      <w:r w:rsidRPr="00256982">
        <w:tab/>
        <w:t xml:space="preserve">New Zealand’s gross emissions by sector in 1990 and </w:t>
      </w:r>
      <w:bookmarkEnd w:id="60"/>
      <w:bookmarkEnd w:id="61"/>
      <w:bookmarkEnd w:id="62"/>
      <w:r w:rsidRPr="00256982">
        <w:t>2017</w:t>
      </w:r>
      <w:bookmarkEnd w:id="63"/>
    </w:p>
    <w:tbl>
      <w:tblPr>
        <w:tblW w:w="8562" w:type="dxa"/>
        <w:tblInd w:w="108" w:type="dxa"/>
        <w:tblBorders>
          <w:bottom w:val="single" w:sz="8" w:space="0" w:color="365F91"/>
          <w:insideH w:val="single" w:sz="8" w:space="0" w:color="365F91"/>
        </w:tblBorders>
        <w:tblLayout w:type="fixed"/>
        <w:tblLook w:val="01E0" w:firstRow="1" w:lastRow="1" w:firstColumn="1" w:lastColumn="1" w:noHBand="0" w:noVBand="0"/>
      </w:tblPr>
      <w:tblGrid>
        <w:gridCol w:w="3995"/>
        <w:gridCol w:w="999"/>
        <w:gridCol w:w="999"/>
        <w:gridCol w:w="1285"/>
        <w:gridCol w:w="1284"/>
      </w:tblGrid>
      <w:tr w:rsidR="00DE64BC" w:rsidRPr="00256982" w14:paraId="69986FE9" w14:textId="77777777" w:rsidTr="00084588">
        <w:trPr>
          <w:trHeight w:val="344"/>
        </w:trPr>
        <w:tc>
          <w:tcPr>
            <w:tcW w:w="3969" w:type="dxa"/>
            <w:vMerge w:val="restart"/>
            <w:tcBorders>
              <w:top w:val="single" w:sz="4" w:space="0" w:color="365F91"/>
              <w:left w:val="nil"/>
              <w:bottom w:val="nil"/>
              <w:right w:val="nil"/>
              <w:tl2br w:val="nil"/>
              <w:tr2bl w:val="nil"/>
            </w:tcBorders>
            <w:shd w:val="clear" w:color="auto" w:fill="365F91"/>
            <w:vAlign w:val="bottom"/>
          </w:tcPr>
          <w:p w14:paraId="4482A847" w14:textId="77777777" w:rsidR="00DE64BC" w:rsidRPr="00256982" w:rsidRDefault="00DE64BC" w:rsidP="00A808C7">
            <w:pPr>
              <w:pStyle w:val="TableTextBold"/>
              <w:keepNext/>
              <w:spacing w:before="50" w:after="50"/>
              <w:rPr>
                <w:rFonts w:cs="Arial"/>
                <w:noProof w:val="0"/>
                <w:color w:val="FFFFFF"/>
              </w:rPr>
            </w:pPr>
            <w:r w:rsidRPr="00256982">
              <w:rPr>
                <w:rFonts w:cs="Arial"/>
                <w:noProof w:val="0"/>
                <w:color w:val="FFFFFF"/>
              </w:rPr>
              <w:t>Sector</w:t>
            </w:r>
          </w:p>
        </w:tc>
        <w:tc>
          <w:tcPr>
            <w:tcW w:w="1985" w:type="dxa"/>
            <w:gridSpan w:val="2"/>
            <w:tcBorders>
              <w:top w:val="single" w:sz="4" w:space="0" w:color="365F91"/>
              <w:left w:val="nil"/>
              <w:bottom w:val="nil"/>
              <w:right w:val="nil"/>
              <w:tl2br w:val="nil"/>
              <w:tr2bl w:val="nil"/>
            </w:tcBorders>
            <w:shd w:val="clear" w:color="auto" w:fill="365F91"/>
            <w:vAlign w:val="bottom"/>
          </w:tcPr>
          <w:p w14:paraId="637E9477" w14:textId="77777777" w:rsidR="00DE64BC" w:rsidRPr="00256982" w:rsidRDefault="00DE64BC" w:rsidP="00A808C7">
            <w:pPr>
              <w:pStyle w:val="TableTextBold"/>
              <w:spacing w:before="50" w:after="50"/>
              <w:jc w:val="center"/>
              <w:rPr>
                <w:rFonts w:cs="Arial"/>
                <w:bCs/>
                <w:noProof w:val="0"/>
                <w:color w:val="FFFFFF"/>
              </w:rPr>
            </w:pPr>
            <w:r w:rsidRPr="00256982">
              <w:rPr>
                <w:rFonts w:cs="Arial"/>
                <w:bCs/>
                <w:noProof w:val="0"/>
                <w:color w:val="FFFFFF"/>
              </w:rPr>
              <w:t>kt CO</w:t>
            </w:r>
            <w:r w:rsidRPr="00256982">
              <w:rPr>
                <w:rFonts w:cs="Arial"/>
                <w:bCs/>
                <w:noProof w:val="0"/>
                <w:color w:val="FFFFFF"/>
                <w:vertAlign w:val="subscript"/>
              </w:rPr>
              <w:t>2</w:t>
            </w:r>
            <w:r w:rsidRPr="00256982">
              <w:rPr>
                <w:rFonts w:cs="Arial"/>
                <w:bCs/>
                <w:noProof w:val="0"/>
                <w:color w:val="FFFFFF"/>
              </w:rPr>
              <w:t>-equivalent</w:t>
            </w:r>
          </w:p>
        </w:tc>
        <w:tc>
          <w:tcPr>
            <w:tcW w:w="1276" w:type="dxa"/>
            <w:vMerge w:val="restart"/>
            <w:tcBorders>
              <w:top w:val="single" w:sz="4" w:space="0" w:color="365F91"/>
              <w:left w:val="nil"/>
              <w:bottom w:val="nil"/>
              <w:right w:val="nil"/>
              <w:tl2br w:val="nil"/>
              <w:tr2bl w:val="nil"/>
            </w:tcBorders>
            <w:shd w:val="clear" w:color="auto" w:fill="365F91"/>
            <w:vAlign w:val="bottom"/>
          </w:tcPr>
          <w:p w14:paraId="0A128FEC" w14:textId="77777777" w:rsidR="00DE64BC" w:rsidRPr="00256982" w:rsidRDefault="00DE64BC" w:rsidP="00A808C7">
            <w:pPr>
              <w:pStyle w:val="TableTextBold"/>
              <w:spacing w:before="50" w:after="50"/>
              <w:jc w:val="right"/>
              <w:rPr>
                <w:rFonts w:cs="Arial"/>
                <w:bCs/>
                <w:noProof w:val="0"/>
                <w:color w:val="FFFFFF"/>
              </w:rPr>
            </w:pPr>
            <w:r w:rsidRPr="00256982">
              <w:rPr>
                <w:rFonts w:cs="Arial"/>
                <w:bCs/>
                <w:noProof w:val="0"/>
                <w:color w:val="FFFFFF"/>
              </w:rPr>
              <w:t>Change from 1990 (kt CO</w:t>
            </w:r>
            <w:r w:rsidRPr="00256982">
              <w:rPr>
                <w:rFonts w:cs="Arial"/>
                <w:bCs/>
                <w:noProof w:val="0"/>
                <w:color w:val="FFFFFF"/>
                <w:vertAlign w:val="subscript"/>
              </w:rPr>
              <w:t>2</w:t>
            </w:r>
            <w:r w:rsidRPr="00256982">
              <w:rPr>
                <w:rFonts w:cs="Arial"/>
                <w:bCs/>
                <w:noProof w:val="0"/>
                <w:color w:val="FFFFFF"/>
              </w:rPr>
              <w:t>-equivalent)</w:t>
            </w:r>
          </w:p>
        </w:tc>
        <w:tc>
          <w:tcPr>
            <w:tcW w:w="1275" w:type="dxa"/>
            <w:vMerge w:val="restart"/>
            <w:tcBorders>
              <w:top w:val="single" w:sz="4" w:space="0" w:color="365F91"/>
              <w:left w:val="nil"/>
              <w:bottom w:val="nil"/>
              <w:right w:val="nil"/>
              <w:tl2br w:val="nil"/>
              <w:tr2bl w:val="nil"/>
            </w:tcBorders>
            <w:shd w:val="clear" w:color="auto" w:fill="365F91"/>
            <w:vAlign w:val="bottom"/>
          </w:tcPr>
          <w:p w14:paraId="0527F96D" w14:textId="77777777" w:rsidR="00DE64BC" w:rsidRPr="00256982" w:rsidRDefault="00DE64BC" w:rsidP="00A808C7">
            <w:pPr>
              <w:pStyle w:val="TableTextBold"/>
              <w:spacing w:before="50" w:after="50"/>
              <w:jc w:val="right"/>
              <w:rPr>
                <w:rFonts w:cs="Arial"/>
                <w:bCs/>
                <w:noProof w:val="0"/>
                <w:color w:val="FFFFFF"/>
              </w:rPr>
            </w:pPr>
            <w:r w:rsidRPr="00256982">
              <w:rPr>
                <w:rFonts w:cs="Arial"/>
                <w:bCs/>
                <w:noProof w:val="0"/>
                <w:color w:val="FFFFFF"/>
              </w:rPr>
              <w:t>Change from 1990 (%)</w:t>
            </w:r>
          </w:p>
        </w:tc>
      </w:tr>
      <w:tr w:rsidR="00DE64BC" w:rsidRPr="00256982" w14:paraId="27B3EAE9" w14:textId="77777777" w:rsidTr="00084588">
        <w:tc>
          <w:tcPr>
            <w:tcW w:w="3969" w:type="dxa"/>
            <w:vMerge/>
            <w:tcBorders>
              <w:top w:val="nil"/>
              <w:bottom w:val="single" w:sz="4" w:space="0" w:color="365F91"/>
            </w:tcBorders>
            <w:shd w:val="clear" w:color="auto" w:fill="365F91"/>
            <w:vAlign w:val="bottom"/>
          </w:tcPr>
          <w:p w14:paraId="180A2905" w14:textId="77777777" w:rsidR="00DE64BC" w:rsidRPr="00256982" w:rsidRDefault="00DE64BC" w:rsidP="00A808C7">
            <w:pPr>
              <w:pStyle w:val="TableTextBold"/>
              <w:keepNext/>
              <w:spacing w:before="50" w:after="50"/>
              <w:jc w:val="center"/>
              <w:rPr>
                <w:noProof w:val="0"/>
                <w:color w:val="FFFFFF"/>
              </w:rPr>
            </w:pPr>
          </w:p>
        </w:tc>
        <w:tc>
          <w:tcPr>
            <w:tcW w:w="993" w:type="dxa"/>
            <w:tcBorders>
              <w:top w:val="nil"/>
              <w:bottom w:val="single" w:sz="4" w:space="0" w:color="365F91"/>
            </w:tcBorders>
            <w:shd w:val="clear" w:color="auto" w:fill="365F91"/>
            <w:vAlign w:val="bottom"/>
          </w:tcPr>
          <w:p w14:paraId="58D46375" w14:textId="77777777" w:rsidR="00DE64BC" w:rsidRPr="00256982" w:rsidRDefault="00DE64BC" w:rsidP="00A808C7">
            <w:pPr>
              <w:pStyle w:val="TableTextBold"/>
              <w:spacing w:before="50" w:after="50"/>
              <w:jc w:val="right"/>
              <w:rPr>
                <w:noProof w:val="0"/>
                <w:color w:val="FFFFFF"/>
              </w:rPr>
            </w:pPr>
            <w:r w:rsidRPr="00256982">
              <w:rPr>
                <w:noProof w:val="0"/>
                <w:color w:val="FFFFFF"/>
              </w:rPr>
              <w:t>1990</w:t>
            </w:r>
          </w:p>
        </w:tc>
        <w:tc>
          <w:tcPr>
            <w:tcW w:w="992" w:type="dxa"/>
            <w:tcBorders>
              <w:top w:val="nil"/>
              <w:bottom w:val="single" w:sz="4" w:space="0" w:color="365F91"/>
            </w:tcBorders>
            <w:shd w:val="clear" w:color="auto" w:fill="365F91"/>
            <w:vAlign w:val="bottom"/>
          </w:tcPr>
          <w:p w14:paraId="66F853A5" w14:textId="77777777" w:rsidR="00DE64BC" w:rsidRPr="00256982" w:rsidRDefault="00DE64BC" w:rsidP="00A808C7">
            <w:pPr>
              <w:pStyle w:val="TableTextBold"/>
              <w:spacing w:before="50" w:after="50"/>
              <w:jc w:val="right"/>
              <w:rPr>
                <w:noProof w:val="0"/>
                <w:color w:val="FFFFFF"/>
              </w:rPr>
            </w:pPr>
            <w:r w:rsidRPr="00256982">
              <w:rPr>
                <w:noProof w:val="0"/>
                <w:color w:val="FFFFFF"/>
              </w:rPr>
              <w:t>2017</w:t>
            </w:r>
          </w:p>
        </w:tc>
        <w:tc>
          <w:tcPr>
            <w:tcW w:w="1276" w:type="dxa"/>
            <w:vMerge/>
            <w:tcBorders>
              <w:top w:val="nil"/>
              <w:bottom w:val="single" w:sz="4" w:space="0" w:color="365F91"/>
            </w:tcBorders>
            <w:shd w:val="clear" w:color="auto" w:fill="365F91"/>
            <w:vAlign w:val="bottom"/>
          </w:tcPr>
          <w:p w14:paraId="5FADE078" w14:textId="77777777" w:rsidR="00DE64BC" w:rsidRPr="00256982" w:rsidRDefault="00DE64BC" w:rsidP="00A808C7">
            <w:pPr>
              <w:pStyle w:val="TableTextBold"/>
              <w:spacing w:before="50" w:after="50"/>
              <w:jc w:val="right"/>
              <w:rPr>
                <w:noProof w:val="0"/>
                <w:color w:val="FFFFFF"/>
              </w:rPr>
            </w:pPr>
          </w:p>
        </w:tc>
        <w:tc>
          <w:tcPr>
            <w:tcW w:w="1275" w:type="dxa"/>
            <w:vMerge/>
            <w:tcBorders>
              <w:top w:val="nil"/>
              <w:bottom w:val="single" w:sz="4" w:space="0" w:color="365F91"/>
            </w:tcBorders>
            <w:shd w:val="clear" w:color="auto" w:fill="365F91"/>
            <w:vAlign w:val="bottom"/>
          </w:tcPr>
          <w:p w14:paraId="2C893B47" w14:textId="77777777" w:rsidR="00DE64BC" w:rsidRPr="00256982" w:rsidRDefault="00DE64BC" w:rsidP="00A808C7">
            <w:pPr>
              <w:pStyle w:val="TableTextBold"/>
              <w:spacing w:before="50" w:after="50"/>
              <w:jc w:val="right"/>
              <w:rPr>
                <w:noProof w:val="0"/>
                <w:color w:val="FFFFFF"/>
              </w:rPr>
            </w:pPr>
          </w:p>
        </w:tc>
      </w:tr>
      <w:tr w:rsidR="00DE64BC" w:rsidRPr="00256982" w14:paraId="35F59784" w14:textId="77777777" w:rsidTr="00084588">
        <w:tc>
          <w:tcPr>
            <w:tcW w:w="3969" w:type="dxa"/>
            <w:tcBorders>
              <w:top w:val="single" w:sz="4" w:space="0" w:color="365F91"/>
            </w:tcBorders>
            <w:shd w:val="clear" w:color="auto" w:fill="auto"/>
          </w:tcPr>
          <w:p w14:paraId="3C47B780" w14:textId="77777777" w:rsidR="00DE64BC" w:rsidRPr="00256982" w:rsidRDefault="00DE64BC" w:rsidP="00A808C7">
            <w:pPr>
              <w:pStyle w:val="TableText"/>
              <w:keepNext/>
              <w:rPr>
                <w:b/>
                <w:color w:val="000000"/>
                <w:szCs w:val="22"/>
              </w:rPr>
            </w:pPr>
            <w:r w:rsidRPr="00256982">
              <w:rPr>
                <w:b/>
                <w:color w:val="000000"/>
                <w:szCs w:val="22"/>
              </w:rPr>
              <w:t>Energy</w:t>
            </w:r>
          </w:p>
        </w:tc>
        <w:tc>
          <w:tcPr>
            <w:tcW w:w="993" w:type="dxa"/>
            <w:tcBorders>
              <w:top w:val="single" w:sz="4" w:space="0" w:color="365F91"/>
            </w:tcBorders>
            <w:shd w:val="clear" w:color="auto" w:fill="auto"/>
          </w:tcPr>
          <w:p w14:paraId="26576E96" w14:textId="77777777" w:rsidR="00DE64BC" w:rsidRPr="00256982" w:rsidRDefault="00DE64BC" w:rsidP="00A808C7">
            <w:pPr>
              <w:pStyle w:val="TableText"/>
              <w:jc w:val="right"/>
              <w:rPr>
                <w:color w:val="000000"/>
                <w:szCs w:val="22"/>
              </w:rPr>
            </w:pPr>
            <w:r w:rsidRPr="00256982">
              <w:rPr>
                <w:color w:val="000000"/>
                <w:szCs w:val="22"/>
              </w:rPr>
              <w:t>23,785.7</w:t>
            </w:r>
          </w:p>
        </w:tc>
        <w:tc>
          <w:tcPr>
            <w:tcW w:w="992" w:type="dxa"/>
            <w:tcBorders>
              <w:top w:val="single" w:sz="4" w:space="0" w:color="365F91"/>
            </w:tcBorders>
            <w:shd w:val="clear" w:color="auto" w:fill="auto"/>
          </w:tcPr>
          <w:p w14:paraId="033A361B" w14:textId="77777777" w:rsidR="00DE64BC" w:rsidRPr="00256982" w:rsidRDefault="00DE64BC" w:rsidP="00A808C7">
            <w:pPr>
              <w:pStyle w:val="TableText"/>
              <w:jc w:val="right"/>
              <w:rPr>
                <w:color w:val="000000"/>
                <w:szCs w:val="22"/>
              </w:rPr>
            </w:pPr>
            <w:r w:rsidRPr="00256982">
              <w:rPr>
                <w:color w:val="000000"/>
                <w:szCs w:val="22"/>
              </w:rPr>
              <w:t>32,876.6</w:t>
            </w:r>
          </w:p>
        </w:tc>
        <w:tc>
          <w:tcPr>
            <w:tcW w:w="1276" w:type="dxa"/>
            <w:tcBorders>
              <w:top w:val="single" w:sz="4" w:space="0" w:color="365F91"/>
            </w:tcBorders>
            <w:shd w:val="clear" w:color="auto" w:fill="auto"/>
          </w:tcPr>
          <w:p w14:paraId="6B3A5377" w14:textId="77777777" w:rsidR="00DE64BC" w:rsidRPr="00256982" w:rsidRDefault="00DE64BC" w:rsidP="00A808C7">
            <w:pPr>
              <w:pStyle w:val="TableText"/>
              <w:jc w:val="right"/>
              <w:rPr>
                <w:color w:val="000000"/>
                <w:szCs w:val="22"/>
              </w:rPr>
            </w:pPr>
            <w:r w:rsidRPr="00256982">
              <w:rPr>
                <w:color w:val="000000"/>
                <w:szCs w:val="22"/>
              </w:rPr>
              <w:t>9,090.9</w:t>
            </w:r>
          </w:p>
        </w:tc>
        <w:tc>
          <w:tcPr>
            <w:tcW w:w="1275" w:type="dxa"/>
            <w:tcBorders>
              <w:top w:val="single" w:sz="4" w:space="0" w:color="365F91"/>
            </w:tcBorders>
            <w:shd w:val="clear" w:color="auto" w:fill="auto"/>
          </w:tcPr>
          <w:p w14:paraId="37A0FC23" w14:textId="77777777" w:rsidR="00DE64BC" w:rsidRPr="00256982" w:rsidRDefault="00DE64BC" w:rsidP="00A808C7">
            <w:pPr>
              <w:pStyle w:val="TableText"/>
              <w:jc w:val="right"/>
              <w:rPr>
                <w:color w:val="000000"/>
                <w:szCs w:val="22"/>
              </w:rPr>
            </w:pPr>
            <w:r w:rsidRPr="00256982">
              <w:rPr>
                <w:color w:val="000000"/>
                <w:szCs w:val="22"/>
              </w:rPr>
              <w:t>38.2</w:t>
            </w:r>
          </w:p>
        </w:tc>
      </w:tr>
      <w:tr w:rsidR="00DE64BC" w:rsidRPr="00256982" w14:paraId="042EDF3E" w14:textId="77777777" w:rsidTr="00084588">
        <w:tc>
          <w:tcPr>
            <w:tcW w:w="3969" w:type="dxa"/>
            <w:shd w:val="clear" w:color="auto" w:fill="auto"/>
          </w:tcPr>
          <w:p w14:paraId="29C283C3" w14:textId="77777777" w:rsidR="00DE64BC" w:rsidRPr="00256982" w:rsidRDefault="00DE64BC" w:rsidP="00A808C7">
            <w:pPr>
              <w:pStyle w:val="TableText"/>
              <w:keepNext/>
              <w:rPr>
                <w:b/>
                <w:color w:val="000000"/>
                <w:szCs w:val="22"/>
              </w:rPr>
            </w:pPr>
            <w:r w:rsidRPr="00256982">
              <w:rPr>
                <w:b/>
                <w:color w:val="000000"/>
                <w:szCs w:val="22"/>
              </w:rPr>
              <w:t>Industrial Processes and Product Use</w:t>
            </w:r>
          </w:p>
        </w:tc>
        <w:tc>
          <w:tcPr>
            <w:tcW w:w="993" w:type="dxa"/>
            <w:shd w:val="clear" w:color="auto" w:fill="auto"/>
          </w:tcPr>
          <w:p w14:paraId="26459D64" w14:textId="77777777" w:rsidR="00DE64BC" w:rsidRPr="00256982" w:rsidRDefault="00DE64BC" w:rsidP="00A808C7">
            <w:pPr>
              <w:pStyle w:val="TableText"/>
              <w:jc w:val="right"/>
              <w:rPr>
                <w:color w:val="000000"/>
                <w:szCs w:val="22"/>
              </w:rPr>
            </w:pPr>
            <w:r w:rsidRPr="00256982">
              <w:rPr>
                <w:color w:val="000000"/>
                <w:szCs w:val="22"/>
              </w:rPr>
              <w:t>3,579.9</w:t>
            </w:r>
          </w:p>
        </w:tc>
        <w:tc>
          <w:tcPr>
            <w:tcW w:w="992" w:type="dxa"/>
            <w:shd w:val="clear" w:color="auto" w:fill="auto"/>
          </w:tcPr>
          <w:p w14:paraId="57B3DF17" w14:textId="77777777" w:rsidR="00DE64BC" w:rsidRPr="00256982" w:rsidRDefault="00DE64BC" w:rsidP="00A808C7">
            <w:pPr>
              <w:pStyle w:val="TableText"/>
              <w:jc w:val="right"/>
              <w:rPr>
                <w:color w:val="000000"/>
                <w:szCs w:val="22"/>
              </w:rPr>
            </w:pPr>
            <w:r w:rsidRPr="00256982">
              <w:rPr>
                <w:color w:val="000000"/>
                <w:szCs w:val="22"/>
              </w:rPr>
              <w:t>4,968.6</w:t>
            </w:r>
          </w:p>
        </w:tc>
        <w:tc>
          <w:tcPr>
            <w:tcW w:w="1276" w:type="dxa"/>
            <w:shd w:val="clear" w:color="auto" w:fill="auto"/>
          </w:tcPr>
          <w:p w14:paraId="2A82666D" w14:textId="77777777" w:rsidR="00DE64BC" w:rsidRPr="00256982" w:rsidRDefault="00DE64BC" w:rsidP="00A808C7">
            <w:pPr>
              <w:pStyle w:val="TableText"/>
              <w:jc w:val="right"/>
              <w:rPr>
                <w:color w:val="000000"/>
                <w:szCs w:val="22"/>
              </w:rPr>
            </w:pPr>
            <w:r w:rsidRPr="00256982">
              <w:rPr>
                <w:color w:val="000000"/>
                <w:szCs w:val="22"/>
              </w:rPr>
              <w:t>1,388.7</w:t>
            </w:r>
          </w:p>
        </w:tc>
        <w:tc>
          <w:tcPr>
            <w:tcW w:w="1275" w:type="dxa"/>
            <w:shd w:val="clear" w:color="auto" w:fill="auto"/>
          </w:tcPr>
          <w:p w14:paraId="67A01ABE" w14:textId="77777777" w:rsidR="00DE64BC" w:rsidRPr="00256982" w:rsidRDefault="00DE64BC" w:rsidP="00A808C7">
            <w:pPr>
              <w:pStyle w:val="TableText"/>
              <w:jc w:val="right"/>
              <w:rPr>
                <w:color w:val="000000"/>
                <w:szCs w:val="22"/>
              </w:rPr>
            </w:pPr>
            <w:r w:rsidRPr="00256982">
              <w:rPr>
                <w:color w:val="000000"/>
                <w:szCs w:val="22"/>
              </w:rPr>
              <w:t>38.8</w:t>
            </w:r>
          </w:p>
        </w:tc>
      </w:tr>
      <w:tr w:rsidR="00DE64BC" w:rsidRPr="00256982" w14:paraId="33B10833" w14:textId="77777777" w:rsidTr="00084588">
        <w:tc>
          <w:tcPr>
            <w:tcW w:w="3969" w:type="dxa"/>
            <w:shd w:val="clear" w:color="auto" w:fill="auto"/>
          </w:tcPr>
          <w:p w14:paraId="1536F670" w14:textId="77777777" w:rsidR="00DE64BC" w:rsidRPr="00256982" w:rsidRDefault="00DE64BC" w:rsidP="00A808C7">
            <w:pPr>
              <w:pStyle w:val="TableText"/>
              <w:keepNext/>
              <w:rPr>
                <w:b/>
                <w:color w:val="000000"/>
                <w:szCs w:val="22"/>
              </w:rPr>
            </w:pPr>
            <w:r w:rsidRPr="00256982">
              <w:rPr>
                <w:b/>
                <w:color w:val="000000"/>
                <w:szCs w:val="22"/>
              </w:rPr>
              <w:t>Agriculture</w:t>
            </w:r>
          </w:p>
        </w:tc>
        <w:tc>
          <w:tcPr>
            <w:tcW w:w="993" w:type="dxa"/>
            <w:shd w:val="clear" w:color="auto" w:fill="auto"/>
          </w:tcPr>
          <w:p w14:paraId="7898E0E7" w14:textId="77777777" w:rsidR="00DE64BC" w:rsidRPr="00256982" w:rsidRDefault="00DE64BC" w:rsidP="00A808C7">
            <w:pPr>
              <w:pStyle w:val="TableText"/>
              <w:jc w:val="right"/>
              <w:rPr>
                <w:color w:val="000000"/>
                <w:szCs w:val="22"/>
              </w:rPr>
            </w:pPr>
            <w:r w:rsidRPr="00256982">
              <w:rPr>
                <w:color w:val="000000"/>
                <w:szCs w:val="22"/>
              </w:rPr>
              <w:t>34,257.2</w:t>
            </w:r>
          </w:p>
        </w:tc>
        <w:tc>
          <w:tcPr>
            <w:tcW w:w="992" w:type="dxa"/>
            <w:shd w:val="clear" w:color="auto" w:fill="auto"/>
          </w:tcPr>
          <w:p w14:paraId="1BF9034B" w14:textId="77777777" w:rsidR="00DE64BC" w:rsidRPr="00256982" w:rsidRDefault="00DE64BC" w:rsidP="00A808C7">
            <w:pPr>
              <w:pStyle w:val="TableText"/>
              <w:jc w:val="right"/>
              <w:rPr>
                <w:color w:val="000000"/>
                <w:szCs w:val="22"/>
              </w:rPr>
            </w:pPr>
            <w:r w:rsidRPr="00256982">
              <w:rPr>
                <w:color w:val="000000"/>
                <w:szCs w:val="22"/>
              </w:rPr>
              <w:t>38,880.7</w:t>
            </w:r>
          </w:p>
        </w:tc>
        <w:tc>
          <w:tcPr>
            <w:tcW w:w="1276" w:type="dxa"/>
            <w:shd w:val="clear" w:color="auto" w:fill="auto"/>
          </w:tcPr>
          <w:p w14:paraId="3B001403" w14:textId="77777777" w:rsidR="00DE64BC" w:rsidRPr="00256982" w:rsidRDefault="00DE64BC" w:rsidP="00A808C7">
            <w:pPr>
              <w:pStyle w:val="TableText"/>
              <w:jc w:val="right"/>
              <w:rPr>
                <w:color w:val="000000"/>
                <w:szCs w:val="22"/>
              </w:rPr>
            </w:pPr>
            <w:r w:rsidRPr="00256982">
              <w:rPr>
                <w:color w:val="000000"/>
                <w:szCs w:val="22"/>
              </w:rPr>
              <w:t>4,623.5</w:t>
            </w:r>
          </w:p>
        </w:tc>
        <w:tc>
          <w:tcPr>
            <w:tcW w:w="1275" w:type="dxa"/>
            <w:shd w:val="clear" w:color="auto" w:fill="auto"/>
          </w:tcPr>
          <w:p w14:paraId="0D0C80AC" w14:textId="77777777" w:rsidR="00DE64BC" w:rsidRPr="00256982" w:rsidRDefault="00DE64BC" w:rsidP="00A808C7">
            <w:pPr>
              <w:pStyle w:val="TableText"/>
              <w:jc w:val="right"/>
              <w:rPr>
                <w:color w:val="000000"/>
                <w:szCs w:val="22"/>
              </w:rPr>
            </w:pPr>
            <w:r w:rsidRPr="00256982">
              <w:rPr>
                <w:color w:val="000000"/>
                <w:szCs w:val="22"/>
              </w:rPr>
              <w:t>13.5</w:t>
            </w:r>
          </w:p>
        </w:tc>
      </w:tr>
      <w:tr w:rsidR="00DE64BC" w:rsidRPr="00256982" w14:paraId="4167EE9E" w14:textId="77777777" w:rsidTr="00084588">
        <w:tc>
          <w:tcPr>
            <w:tcW w:w="3969" w:type="dxa"/>
            <w:shd w:val="clear" w:color="auto" w:fill="auto"/>
          </w:tcPr>
          <w:p w14:paraId="29944B78" w14:textId="77777777" w:rsidR="00DE64BC" w:rsidRPr="00256982" w:rsidRDefault="00DE64BC" w:rsidP="00A808C7">
            <w:pPr>
              <w:pStyle w:val="TableText"/>
              <w:rPr>
                <w:b/>
                <w:color w:val="000000"/>
                <w:szCs w:val="22"/>
              </w:rPr>
            </w:pPr>
            <w:r w:rsidRPr="00256982">
              <w:rPr>
                <w:b/>
                <w:color w:val="000000"/>
                <w:szCs w:val="22"/>
              </w:rPr>
              <w:t>Waste</w:t>
            </w:r>
          </w:p>
        </w:tc>
        <w:tc>
          <w:tcPr>
            <w:tcW w:w="993" w:type="dxa"/>
            <w:shd w:val="clear" w:color="auto" w:fill="auto"/>
          </w:tcPr>
          <w:p w14:paraId="39200440" w14:textId="77777777" w:rsidR="00DE64BC" w:rsidRPr="00256982" w:rsidRDefault="00DE64BC" w:rsidP="00A808C7">
            <w:pPr>
              <w:pStyle w:val="TableText"/>
              <w:jc w:val="right"/>
              <w:rPr>
                <w:color w:val="000000"/>
                <w:szCs w:val="22"/>
              </w:rPr>
            </w:pPr>
            <w:r w:rsidRPr="00256982">
              <w:rPr>
                <w:color w:val="000000"/>
                <w:szCs w:val="22"/>
              </w:rPr>
              <w:t>4,041.9</w:t>
            </w:r>
          </w:p>
        </w:tc>
        <w:tc>
          <w:tcPr>
            <w:tcW w:w="992" w:type="dxa"/>
            <w:shd w:val="clear" w:color="auto" w:fill="auto"/>
          </w:tcPr>
          <w:p w14:paraId="1C4FD3EF" w14:textId="77777777" w:rsidR="00DE64BC" w:rsidRPr="00256982" w:rsidRDefault="00DE64BC" w:rsidP="00A808C7">
            <w:pPr>
              <w:pStyle w:val="TableText"/>
              <w:jc w:val="right"/>
              <w:rPr>
                <w:color w:val="000000"/>
                <w:szCs w:val="22"/>
              </w:rPr>
            </w:pPr>
            <w:r w:rsidRPr="00256982">
              <w:rPr>
                <w:color w:val="000000"/>
                <w:szCs w:val="22"/>
              </w:rPr>
              <w:t>4,124.7</w:t>
            </w:r>
          </w:p>
        </w:tc>
        <w:tc>
          <w:tcPr>
            <w:tcW w:w="1276" w:type="dxa"/>
            <w:shd w:val="clear" w:color="auto" w:fill="auto"/>
          </w:tcPr>
          <w:p w14:paraId="3D8232A5" w14:textId="77777777" w:rsidR="00DE64BC" w:rsidRPr="00256982" w:rsidRDefault="00DE64BC" w:rsidP="00A808C7">
            <w:pPr>
              <w:pStyle w:val="TableText"/>
              <w:jc w:val="right"/>
              <w:rPr>
                <w:color w:val="000000"/>
                <w:szCs w:val="22"/>
              </w:rPr>
            </w:pPr>
            <w:r w:rsidRPr="00256982">
              <w:rPr>
                <w:color w:val="000000"/>
                <w:szCs w:val="22"/>
              </w:rPr>
              <w:t>82.9</w:t>
            </w:r>
          </w:p>
        </w:tc>
        <w:tc>
          <w:tcPr>
            <w:tcW w:w="1275" w:type="dxa"/>
            <w:shd w:val="clear" w:color="auto" w:fill="auto"/>
          </w:tcPr>
          <w:p w14:paraId="46DDADF8" w14:textId="77777777" w:rsidR="00DE64BC" w:rsidRPr="00256982" w:rsidRDefault="00DE64BC" w:rsidP="00A808C7">
            <w:pPr>
              <w:pStyle w:val="TableText"/>
              <w:jc w:val="right"/>
              <w:rPr>
                <w:color w:val="000000"/>
                <w:szCs w:val="22"/>
              </w:rPr>
            </w:pPr>
            <w:r w:rsidRPr="00256982">
              <w:rPr>
                <w:color w:val="000000"/>
                <w:szCs w:val="22"/>
              </w:rPr>
              <w:t>2.1</w:t>
            </w:r>
          </w:p>
        </w:tc>
      </w:tr>
      <w:tr w:rsidR="00DE64BC" w:rsidRPr="00256982" w14:paraId="25C5F00A" w14:textId="77777777" w:rsidTr="00084588">
        <w:tc>
          <w:tcPr>
            <w:tcW w:w="3969" w:type="dxa"/>
            <w:shd w:val="clear" w:color="auto" w:fill="auto"/>
          </w:tcPr>
          <w:p w14:paraId="4B39EFFA" w14:textId="77777777" w:rsidR="00DE64BC" w:rsidRPr="00256982" w:rsidRDefault="00DE64BC" w:rsidP="00A808C7">
            <w:pPr>
              <w:pStyle w:val="TableText"/>
              <w:rPr>
                <w:b/>
                <w:color w:val="365F91"/>
                <w:szCs w:val="22"/>
              </w:rPr>
            </w:pPr>
            <w:r w:rsidRPr="00256982">
              <w:rPr>
                <w:b/>
                <w:color w:val="365F91"/>
                <w:szCs w:val="22"/>
              </w:rPr>
              <w:t>Gross (excluding LULUCF)</w:t>
            </w:r>
          </w:p>
        </w:tc>
        <w:tc>
          <w:tcPr>
            <w:tcW w:w="993" w:type="dxa"/>
            <w:shd w:val="clear" w:color="auto" w:fill="auto"/>
          </w:tcPr>
          <w:p w14:paraId="08B815BA" w14:textId="77777777" w:rsidR="00DE64BC" w:rsidRPr="00256982" w:rsidRDefault="00DE64BC" w:rsidP="00A808C7">
            <w:pPr>
              <w:pStyle w:val="TableText"/>
              <w:jc w:val="right"/>
              <w:rPr>
                <w:color w:val="000000"/>
                <w:szCs w:val="22"/>
              </w:rPr>
            </w:pPr>
            <w:r w:rsidRPr="00256982">
              <w:rPr>
                <w:b/>
                <w:color w:val="365F91"/>
                <w:szCs w:val="22"/>
              </w:rPr>
              <w:t>65,668.3</w:t>
            </w:r>
          </w:p>
        </w:tc>
        <w:tc>
          <w:tcPr>
            <w:tcW w:w="992" w:type="dxa"/>
            <w:shd w:val="clear" w:color="auto" w:fill="auto"/>
          </w:tcPr>
          <w:p w14:paraId="19263420" w14:textId="77777777" w:rsidR="00DE64BC" w:rsidRPr="00256982" w:rsidRDefault="00DE64BC" w:rsidP="00A808C7">
            <w:pPr>
              <w:pStyle w:val="TableText"/>
              <w:jc w:val="right"/>
              <w:rPr>
                <w:b/>
                <w:color w:val="365F91"/>
                <w:szCs w:val="22"/>
              </w:rPr>
            </w:pPr>
            <w:r w:rsidRPr="00256982">
              <w:rPr>
                <w:b/>
                <w:color w:val="365F91"/>
                <w:szCs w:val="22"/>
              </w:rPr>
              <w:t>80,853.5</w:t>
            </w:r>
          </w:p>
        </w:tc>
        <w:tc>
          <w:tcPr>
            <w:tcW w:w="1276" w:type="dxa"/>
            <w:shd w:val="clear" w:color="auto" w:fill="auto"/>
          </w:tcPr>
          <w:p w14:paraId="69AA61E6" w14:textId="77777777" w:rsidR="00DE64BC" w:rsidRPr="00256982" w:rsidRDefault="00DE64BC" w:rsidP="00A808C7">
            <w:pPr>
              <w:pStyle w:val="TableText"/>
              <w:jc w:val="right"/>
              <w:rPr>
                <w:b/>
                <w:color w:val="365F91"/>
                <w:szCs w:val="22"/>
              </w:rPr>
            </w:pPr>
            <w:r w:rsidRPr="00256982">
              <w:rPr>
                <w:b/>
                <w:color w:val="365F91"/>
                <w:szCs w:val="22"/>
              </w:rPr>
              <w:t>15,185.2</w:t>
            </w:r>
          </w:p>
        </w:tc>
        <w:tc>
          <w:tcPr>
            <w:tcW w:w="1275" w:type="dxa"/>
            <w:shd w:val="clear" w:color="auto" w:fill="auto"/>
          </w:tcPr>
          <w:p w14:paraId="487AB030" w14:textId="77777777" w:rsidR="00DE64BC" w:rsidRPr="00256982" w:rsidRDefault="00DE64BC" w:rsidP="00A808C7">
            <w:pPr>
              <w:pStyle w:val="TableText"/>
              <w:jc w:val="right"/>
              <w:rPr>
                <w:b/>
                <w:color w:val="365F91"/>
                <w:szCs w:val="22"/>
              </w:rPr>
            </w:pPr>
            <w:r w:rsidRPr="00256982">
              <w:rPr>
                <w:b/>
                <w:color w:val="365F91"/>
                <w:szCs w:val="22"/>
              </w:rPr>
              <w:t>23.1</w:t>
            </w:r>
          </w:p>
        </w:tc>
      </w:tr>
      <w:tr w:rsidR="00DE64BC" w:rsidRPr="00256982" w14:paraId="3A0CAB03" w14:textId="77777777" w:rsidTr="00084588">
        <w:tc>
          <w:tcPr>
            <w:tcW w:w="3969" w:type="dxa"/>
            <w:shd w:val="clear" w:color="auto" w:fill="auto"/>
          </w:tcPr>
          <w:p w14:paraId="359677DD" w14:textId="77777777" w:rsidR="00DE64BC" w:rsidRPr="00256982" w:rsidRDefault="00DE64BC" w:rsidP="00A808C7">
            <w:pPr>
              <w:pStyle w:val="TableText"/>
              <w:rPr>
                <w:b/>
                <w:color w:val="000000"/>
                <w:szCs w:val="22"/>
              </w:rPr>
            </w:pPr>
            <w:r w:rsidRPr="00256982">
              <w:rPr>
                <w:b/>
                <w:color w:val="000000"/>
                <w:szCs w:val="22"/>
              </w:rPr>
              <w:t xml:space="preserve">LULUCF </w:t>
            </w:r>
          </w:p>
        </w:tc>
        <w:tc>
          <w:tcPr>
            <w:tcW w:w="993" w:type="dxa"/>
            <w:shd w:val="clear" w:color="auto" w:fill="auto"/>
          </w:tcPr>
          <w:p w14:paraId="68813705" w14:textId="67B2DC56" w:rsidR="00DE64BC" w:rsidRPr="00256982" w:rsidRDefault="00DE64BC" w:rsidP="00A808C7">
            <w:pPr>
              <w:pStyle w:val="TableText"/>
              <w:jc w:val="right"/>
              <w:rPr>
                <w:color w:val="000000"/>
                <w:szCs w:val="22"/>
              </w:rPr>
            </w:pPr>
            <w:r w:rsidRPr="00256982">
              <w:rPr>
                <w:color w:val="000000"/>
                <w:szCs w:val="22"/>
              </w:rPr>
              <w:t>–31</w:t>
            </w:r>
            <w:r w:rsidR="008C584E" w:rsidRPr="00256982">
              <w:rPr>
                <w:color w:val="000000"/>
                <w:szCs w:val="22"/>
              </w:rPr>
              <w:t>,</w:t>
            </w:r>
            <w:r w:rsidRPr="00256982">
              <w:rPr>
                <w:color w:val="000000"/>
                <w:szCs w:val="22"/>
              </w:rPr>
              <w:t>161.8</w:t>
            </w:r>
          </w:p>
        </w:tc>
        <w:tc>
          <w:tcPr>
            <w:tcW w:w="992" w:type="dxa"/>
            <w:shd w:val="clear" w:color="auto" w:fill="auto"/>
          </w:tcPr>
          <w:p w14:paraId="40289D92" w14:textId="77777777" w:rsidR="00DE64BC" w:rsidRPr="00256982" w:rsidRDefault="00DE64BC" w:rsidP="00A808C7">
            <w:pPr>
              <w:pStyle w:val="TableText"/>
              <w:jc w:val="right"/>
              <w:rPr>
                <w:color w:val="000000"/>
                <w:szCs w:val="22"/>
              </w:rPr>
            </w:pPr>
            <w:r w:rsidRPr="00256982">
              <w:rPr>
                <w:color w:val="000000"/>
                <w:szCs w:val="22"/>
              </w:rPr>
              <w:t>–23,958.4</w:t>
            </w:r>
          </w:p>
        </w:tc>
        <w:tc>
          <w:tcPr>
            <w:tcW w:w="1276" w:type="dxa"/>
            <w:shd w:val="clear" w:color="auto" w:fill="auto"/>
          </w:tcPr>
          <w:p w14:paraId="7131D350" w14:textId="77777777" w:rsidR="00DE64BC" w:rsidRPr="00256982" w:rsidRDefault="00DE64BC" w:rsidP="00A808C7">
            <w:pPr>
              <w:pStyle w:val="TableText"/>
              <w:jc w:val="right"/>
              <w:rPr>
                <w:color w:val="000000"/>
                <w:szCs w:val="22"/>
              </w:rPr>
            </w:pPr>
            <w:r w:rsidRPr="00256982">
              <w:rPr>
                <w:color w:val="000000"/>
                <w:szCs w:val="22"/>
              </w:rPr>
              <w:t>7,203.3</w:t>
            </w:r>
          </w:p>
        </w:tc>
        <w:tc>
          <w:tcPr>
            <w:tcW w:w="1275" w:type="dxa"/>
            <w:shd w:val="clear" w:color="auto" w:fill="auto"/>
          </w:tcPr>
          <w:p w14:paraId="1F8485C5" w14:textId="77777777" w:rsidR="00DE64BC" w:rsidRPr="00256982" w:rsidRDefault="00DE64BC" w:rsidP="00A808C7">
            <w:pPr>
              <w:pStyle w:val="TableText"/>
              <w:jc w:val="right"/>
              <w:rPr>
                <w:color w:val="000000"/>
                <w:szCs w:val="22"/>
              </w:rPr>
            </w:pPr>
            <w:r w:rsidRPr="00256982">
              <w:rPr>
                <w:color w:val="000000"/>
                <w:szCs w:val="22"/>
              </w:rPr>
              <w:t>23.1</w:t>
            </w:r>
          </w:p>
        </w:tc>
      </w:tr>
      <w:tr w:rsidR="00DE64BC" w:rsidRPr="00256982" w14:paraId="0E96B749" w14:textId="77777777" w:rsidTr="00084588">
        <w:tc>
          <w:tcPr>
            <w:tcW w:w="3969" w:type="dxa"/>
            <w:shd w:val="clear" w:color="auto" w:fill="auto"/>
          </w:tcPr>
          <w:p w14:paraId="130960C5" w14:textId="77777777" w:rsidR="00DE64BC" w:rsidRPr="00256982" w:rsidRDefault="00DE64BC" w:rsidP="00A808C7">
            <w:pPr>
              <w:pStyle w:val="TableText"/>
              <w:rPr>
                <w:b/>
                <w:color w:val="365F91"/>
                <w:szCs w:val="22"/>
              </w:rPr>
            </w:pPr>
            <w:r w:rsidRPr="00256982">
              <w:rPr>
                <w:b/>
                <w:color w:val="365F91"/>
                <w:szCs w:val="22"/>
              </w:rPr>
              <w:t>Net (including LULUCF)</w:t>
            </w:r>
          </w:p>
        </w:tc>
        <w:tc>
          <w:tcPr>
            <w:tcW w:w="993" w:type="dxa"/>
            <w:shd w:val="clear" w:color="auto" w:fill="auto"/>
          </w:tcPr>
          <w:p w14:paraId="69D20E66" w14:textId="77777777" w:rsidR="00DE64BC" w:rsidRPr="00256982" w:rsidRDefault="00DE64BC" w:rsidP="00A808C7">
            <w:pPr>
              <w:pStyle w:val="TableText"/>
              <w:jc w:val="right"/>
              <w:rPr>
                <w:color w:val="000000"/>
                <w:szCs w:val="22"/>
              </w:rPr>
            </w:pPr>
            <w:r w:rsidRPr="00256982">
              <w:rPr>
                <w:b/>
                <w:color w:val="365F91"/>
                <w:szCs w:val="22"/>
              </w:rPr>
              <w:t>34,506.5</w:t>
            </w:r>
          </w:p>
        </w:tc>
        <w:tc>
          <w:tcPr>
            <w:tcW w:w="992" w:type="dxa"/>
            <w:shd w:val="clear" w:color="auto" w:fill="auto"/>
          </w:tcPr>
          <w:p w14:paraId="3A7F5F08" w14:textId="77777777" w:rsidR="00DE64BC" w:rsidRPr="00256982" w:rsidRDefault="00DE64BC" w:rsidP="00A808C7">
            <w:pPr>
              <w:pStyle w:val="TableText"/>
              <w:jc w:val="right"/>
              <w:rPr>
                <w:b/>
                <w:color w:val="365F91"/>
                <w:szCs w:val="22"/>
              </w:rPr>
            </w:pPr>
            <w:r w:rsidRPr="00256982">
              <w:rPr>
                <w:b/>
                <w:color w:val="365F91"/>
                <w:szCs w:val="22"/>
              </w:rPr>
              <w:t>56,895.0</w:t>
            </w:r>
          </w:p>
        </w:tc>
        <w:tc>
          <w:tcPr>
            <w:tcW w:w="1276" w:type="dxa"/>
            <w:shd w:val="clear" w:color="auto" w:fill="auto"/>
          </w:tcPr>
          <w:p w14:paraId="436D9909" w14:textId="77777777" w:rsidR="00DE64BC" w:rsidRPr="00256982" w:rsidRDefault="00DE64BC" w:rsidP="00A808C7">
            <w:pPr>
              <w:pStyle w:val="TableText"/>
              <w:jc w:val="right"/>
              <w:rPr>
                <w:b/>
                <w:color w:val="365F91"/>
                <w:szCs w:val="22"/>
              </w:rPr>
            </w:pPr>
            <w:r w:rsidRPr="00256982">
              <w:rPr>
                <w:b/>
                <w:color w:val="365F91"/>
                <w:szCs w:val="22"/>
              </w:rPr>
              <w:t>22,388.5</w:t>
            </w:r>
          </w:p>
        </w:tc>
        <w:tc>
          <w:tcPr>
            <w:tcW w:w="1275" w:type="dxa"/>
            <w:shd w:val="clear" w:color="auto" w:fill="auto"/>
          </w:tcPr>
          <w:p w14:paraId="5E94D405" w14:textId="77777777" w:rsidR="00DE64BC" w:rsidRPr="00256982" w:rsidRDefault="00DE64BC" w:rsidP="00A808C7">
            <w:pPr>
              <w:pStyle w:val="TableText"/>
              <w:jc w:val="right"/>
              <w:rPr>
                <w:b/>
                <w:color w:val="365F91"/>
                <w:szCs w:val="22"/>
              </w:rPr>
            </w:pPr>
            <w:r w:rsidRPr="00256982">
              <w:rPr>
                <w:b/>
                <w:color w:val="365F91"/>
                <w:szCs w:val="22"/>
              </w:rPr>
              <w:t>64.9</w:t>
            </w:r>
          </w:p>
        </w:tc>
      </w:tr>
    </w:tbl>
    <w:p w14:paraId="47021B79" w14:textId="77777777" w:rsidR="00DE64BC" w:rsidRPr="00256982" w:rsidRDefault="00DE64BC" w:rsidP="00A808C7">
      <w:pPr>
        <w:pStyle w:val="Noteundertable"/>
      </w:pPr>
      <w:r w:rsidRPr="00256982">
        <w:rPr>
          <w:b/>
        </w:rPr>
        <w:t>Note:</w:t>
      </w:r>
      <w:r w:rsidRPr="00256982">
        <w:t xml:space="preserve"> </w:t>
      </w:r>
      <w:r w:rsidRPr="00256982">
        <w:tab/>
        <w:t>Net emissions from the LULUCF sector are reported as a negative number because the sector removes more CO</w:t>
      </w:r>
      <w:r w:rsidRPr="00256982">
        <w:rPr>
          <w:vertAlign w:val="subscript"/>
        </w:rPr>
        <w:t>2</w:t>
      </w:r>
      <w:r w:rsidRPr="00256982">
        <w:t xml:space="preserve"> from the atmosphere than it emits (see chapter 6). Columns may not total due to rounding. Percentages presented are calculated from unrounded values. For Tokelau contributions, see chapter 2, table 2.1.1.</w:t>
      </w:r>
    </w:p>
    <w:p w14:paraId="36E4D463" w14:textId="77777777" w:rsidR="00DE64BC" w:rsidRPr="00256982" w:rsidRDefault="00DE64BC" w:rsidP="00A808C7">
      <w:pPr>
        <w:pStyle w:val="Figure"/>
      </w:pPr>
      <w:bookmarkStart w:id="64" w:name="_Toc444693966"/>
      <w:bookmarkStart w:id="65" w:name="_Toc447275651"/>
      <w:bookmarkStart w:id="66" w:name="_Toc511116915"/>
      <w:bookmarkStart w:id="67" w:name="_Toc5269648"/>
      <w:r w:rsidRPr="00256982">
        <w:lastRenderedPageBreak/>
        <w:t>Figure ES 4.3</w:t>
      </w:r>
      <w:r w:rsidRPr="00256982">
        <w:tab/>
        <w:t>Change in New Zealand’s emissions by sector comparing 1990 and </w:t>
      </w:r>
      <w:bookmarkEnd w:id="64"/>
      <w:bookmarkEnd w:id="65"/>
      <w:bookmarkEnd w:id="66"/>
      <w:r w:rsidRPr="00256982">
        <w:t>2017</w:t>
      </w:r>
      <w:bookmarkEnd w:id="67"/>
      <w:r w:rsidRPr="00256982">
        <w:t xml:space="preserve"> </w:t>
      </w:r>
    </w:p>
    <w:p w14:paraId="03B4B53B" w14:textId="77777777" w:rsidR="00DE64BC" w:rsidRPr="00256982" w:rsidRDefault="00590491" w:rsidP="00A808C7">
      <w:r>
        <w:rPr>
          <w:lang w:eastAsia="en-NZ"/>
        </w:rPr>
        <w:pict w14:anchorId="38F15F06">
          <v:shape id="_x0000_i1031" type="#_x0000_t75" style="width:426pt;height:286.5pt;visibility:visible" o:gfxdata="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">
            <v:imagedata r:id="rId24" o:title=""/>
            <o:lock v:ext="edit" aspectratio="f"/>
          </v:shape>
        </w:pict>
      </w:r>
    </w:p>
    <w:p w14:paraId="4699550D" w14:textId="77777777" w:rsidR="00DE64BC" w:rsidRPr="00256982" w:rsidRDefault="00DE64BC" w:rsidP="001D3490">
      <w:pPr>
        <w:pStyle w:val="Heading3"/>
      </w:pPr>
      <w:r w:rsidRPr="00256982">
        <w:t xml:space="preserve">Sector-specific trends </w:t>
      </w:r>
    </w:p>
    <w:p w14:paraId="0360AB8B" w14:textId="77777777" w:rsidR="00DE64BC" w:rsidRPr="00256982" w:rsidRDefault="00DE64BC" w:rsidP="00A72006">
      <w:pPr>
        <w:pStyle w:val="Heading4"/>
      </w:pPr>
      <w:r w:rsidRPr="00256982">
        <w:t>Energy (chapter 3)</w:t>
      </w:r>
    </w:p>
    <w:p w14:paraId="2EA1A27A" w14:textId="77777777" w:rsidR="00DE64BC" w:rsidRPr="00256982" w:rsidRDefault="00DE64BC" w:rsidP="00A808C7">
      <w:pPr>
        <w:pStyle w:val="Heading5"/>
      </w:pPr>
      <w:r w:rsidRPr="00256982">
        <w:t>2017</w:t>
      </w:r>
    </w:p>
    <w:p w14:paraId="09E2F7E4" w14:textId="77777777" w:rsidR="00DE64BC" w:rsidRPr="00256982" w:rsidRDefault="00DE64BC" w:rsidP="00A808C7">
      <w:pPr>
        <w:pStyle w:val="BodyText"/>
      </w:pPr>
      <w:r w:rsidRPr="00256982">
        <w:t xml:space="preserve">In 2017, emissions from the Energy sector contributed </w:t>
      </w:r>
      <w:r w:rsidRPr="00256982">
        <w:rPr>
          <w:color w:val="000000"/>
          <w:szCs w:val="22"/>
        </w:rPr>
        <w:t xml:space="preserve">32,876.6 </w:t>
      </w:r>
      <w:r w:rsidRPr="00256982">
        <w:t>kt CO</w:t>
      </w:r>
      <w:r w:rsidRPr="00256982">
        <w:rPr>
          <w:vertAlign w:val="subscript"/>
        </w:rPr>
        <w:t>2</w:t>
      </w:r>
      <w:r w:rsidRPr="00256982">
        <w:t xml:space="preserve">-e or 40.7 per cent of New Zealand’s GHG emissions (see figure ES 4.2). The largest sources of emissions in the Energy sector were the </w:t>
      </w:r>
      <w:r w:rsidRPr="00256982">
        <w:rPr>
          <w:i/>
        </w:rPr>
        <w:t xml:space="preserve">Road transportation </w:t>
      </w:r>
      <w:r w:rsidRPr="00256982">
        <w:t>category, contributing 14,456.7 kt CO</w:t>
      </w:r>
      <w:r w:rsidRPr="00256982">
        <w:rPr>
          <w:vertAlign w:val="subscript"/>
        </w:rPr>
        <w:t>2</w:t>
      </w:r>
      <w:r w:rsidRPr="00256982">
        <w:t xml:space="preserve">-e (44.0 per cent), and the </w:t>
      </w:r>
      <w:r w:rsidRPr="00256982">
        <w:rPr>
          <w:i/>
        </w:rPr>
        <w:t xml:space="preserve">Public electricity and heat production </w:t>
      </w:r>
      <w:r w:rsidRPr="00256982">
        <w:t>category, contributing 3,596.2 kt CO</w:t>
      </w:r>
      <w:r w:rsidRPr="00256982">
        <w:rPr>
          <w:vertAlign w:val="subscript"/>
        </w:rPr>
        <w:t>2</w:t>
      </w:r>
      <w:r w:rsidRPr="00256982">
        <w:t>-e (10.9 per cent) to energy emissions.</w:t>
      </w:r>
    </w:p>
    <w:p w14:paraId="634CA9F0" w14:textId="77777777" w:rsidR="00DE64BC" w:rsidRPr="00256982" w:rsidRDefault="00DE64BC" w:rsidP="00A808C7">
      <w:pPr>
        <w:pStyle w:val="Heading5"/>
      </w:pPr>
      <w:r w:rsidRPr="00256982">
        <w:t>1990–2017</w:t>
      </w:r>
    </w:p>
    <w:p w14:paraId="0F203A4D" w14:textId="77777777" w:rsidR="00DE64BC" w:rsidRPr="00256982" w:rsidRDefault="00DE64BC" w:rsidP="00A808C7">
      <w:pPr>
        <w:pStyle w:val="BodyText"/>
      </w:pPr>
      <w:r w:rsidRPr="00256982">
        <w:t>In 2017, emissions from the Energy sector were 9,090.9 kt CO</w:t>
      </w:r>
      <w:r w:rsidRPr="00256982">
        <w:rPr>
          <w:vertAlign w:val="subscript"/>
        </w:rPr>
        <w:t>2</w:t>
      </w:r>
      <w:r w:rsidRPr="00256982">
        <w:t>-e higher (by 38.2 per cent) than in 1990 (23,785.7 kt CO</w:t>
      </w:r>
      <w:r w:rsidRPr="00256982">
        <w:rPr>
          <w:vertAlign w:val="subscript"/>
        </w:rPr>
        <w:t>2</w:t>
      </w:r>
      <w:r w:rsidRPr="00256982">
        <w:t>-e). This increase is primarily due to a 6,981.5 kt CO</w:t>
      </w:r>
      <w:r w:rsidRPr="00256982">
        <w:rPr>
          <w:vertAlign w:val="subscript"/>
        </w:rPr>
        <w:t>2</w:t>
      </w:r>
      <w:r w:rsidRPr="00256982">
        <w:t xml:space="preserve">-e (93.4 per cent) increase in emissions from the </w:t>
      </w:r>
      <w:r w:rsidRPr="00256982">
        <w:rPr>
          <w:i/>
        </w:rPr>
        <w:t xml:space="preserve">Road transportation </w:t>
      </w:r>
      <w:r w:rsidRPr="00256982">
        <w:t>category, a 1,448.4 kt CO</w:t>
      </w:r>
      <w:r w:rsidRPr="00256982">
        <w:rPr>
          <w:vertAlign w:val="subscript"/>
        </w:rPr>
        <w:t>2</w:t>
      </w:r>
      <w:r w:rsidRPr="00256982">
        <w:t xml:space="preserve">-e (87.4 per cent) increase in emissions from the </w:t>
      </w:r>
      <w:r w:rsidRPr="00256982">
        <w:rPr>
          <w:i/>
        </w:rPr>
        <w:t>Food processing, beverages and tobacco</w:t>
      </w:r>
      <w:r w:rsidRPr="00256982">
        <w:t xml:space="preserve"> category and a 1,059.2 kt CO</w:t>
      </w:r>
      <w:r w:rsidRPr="00256982">
        <w:rPr>
          <w:vertAlign w:val="subscript"/>
        </w:rPr>
        <w:t>2</w:t>
      </w:r>
      <w:r w:rsidRPr="00256982">
        <w:t xml:space="preserve">-e (192.8 per cent) increase in emissions from the </w:t>
      </w:r>
      <w:r w:rsidRPr="00256982">
        <w:rPr>
          <w:i/>
        </w:rPr>
        <w:t xml:space="preserve">Chemicals </w:t>
      </w:r>
      <w:r w:rsidRPr="00256982">
        <w:t>category.</w:t>
      </w:r>
    </w:p>
    <w:p w14:paraId="626954D7" w14:textId="77777777" w:rsidR="00DE64BC" w:rsidRPr="00256982" w:rsidRDefault="00DE64BC" w:rsidP="00A808C7">
      <w:pPr>
        <w:pStyle w:val="BodyText"/>
      </w:pPr>
      <w:r w:rsidRPr="00256982">
        <w:t xml:space="preserve">The main drivers for emission increases in the </w:t>
      </w:r>
      <w:r w:rsidRPr="00256982">
        <w:rPr>
          <w:i/>
        </w:rPr>
        <w:t>Road transportation</w:t>
      </w:r>
      <w:r w:rsidRPr="00256982">
        <w:t xml:space="preserve"> and </w:t>
      </w:r>
      <w:r w:rsidRPr="00256982">
        <w:rPr>
          <w:i/>
        </w:rPr>
        <w:t>Food processing, beverages and tobacco</w:t>
      </w:r>
      <w:r w:rsidRPr="00256982">
        <w:t xml:space="preserve"> categories are New Zealand’s population growth since 1990 (by 42 per cent) and continuing economic growth associated with the increasing demand for transporting people and goods as well as food production for domestic use and export. </w:t>
      </w:r>
    </w:p>
    <w:p w14:paraId="7DE8B722" w14:textId="77777777" w:rsidR="00DE64BC" w:rsidRPr="00256982" w:rsidRDefault="00DE64BC" w:rsidP="00A808C7">
      <w:pPr>
        <w:pStyle w:val="BodyText"/>
      </w:pPr>
      <w:r w:rsidRPr="00256982">
        <w:t xml:space="preserve">One of the main drivers for increasing emissions in the </w:t>
      </w:r>
      <w:r w:rsidRPr="00256982">
        <w:rPr>
          <w:i/>
        </w:rPr>
        <w:t>Chemicals</w:t>
      </w:r>
      <w:r w:rsidRPr="00256982">
        <w:t xml:space="preserve"> category is a significant increase in the production of methanol in New Zealand. This is due to the fast-growing export market for methanol because of its increasing use as a clean transport fuel by New Zealand’s trading partners. The other driver is an increased production of ammonia and urea due to the growing demand for fertilisers in New Zealand’s agriculture sector.</w:t>
      </w:r>
    </w:p>
    <w:p w14:paraId="63C69D4B" w14:textId="77777777" w:rsidR="00DE64BC" w:rsidRPr="00256982" w:rsidRDefault="00DE64BC" w:rsidP="00A808C7">
      <w:pPr>
        <w:pStyle w:val="BodyText"/>
      </w:pPr>
      <w:r w:rsidRPr="00256982">
        <w:rPr>
          <w:lang w:eastAsia="en-GB"/>
        </w:rPr>
        <w:lastRenderedPageBreak/>
        <w:t xml:space="preserve">These increases were partially offset by a decrease in emissions from the </w:t>
      </w:r>
      <w:r w:rsidRPr="00256982">
        <w:rPr>
          <w:i/>
        </w:rPr>
        <w:t>Manufacture of solid fuels and other energy</w:t>
      </w:r>
      <w:r w:rsidRPr="00256982">
        <w:t xml:space="preserve"> category, which decreased below its 1990 level, by 1,414.9 kt CO</w:t>
      </w:r>
      <w:r w:rsidRPr="00256982">
        <w:rPr>
          <w:vertAlign w:val="subscript"/>
        </w:rPr>
        <w:t>2</w:t>
      </w:r>
      <w:r w:rsidRPr="00256982">
        <w:t>-e (−82.2 per cent). This decrease is primarily due to the cessation of synthetic gasoline production in 1997.</w:t>
      </w:r>
    </w:p>
    <w:p w14:paraId="558D2F85" w14:textId="77777777" w:rsidR="00DE64BC" w:rsidRPr="00256982" w:rsidRDefault="00DE64BC" w:rsidP="00A808C7">
      <w:pPr>
        <w:pStyle w:val="BodyText"/>
      </w:pPr>
      <w:r w:rsidRPr="00256982">
        <w:t>Figure ES 4.1 shows the energy emissions time series from 1990 to 2017. The trend shows emissions increasing up until 2008, after which there is a general decline despite the increase since 2016. The decline reflected a steady growth in energy production from renewable sources (mostly geothermal) as well as the sensitivity of the Energy sector to the effects of the 2007–08 global economic recession, earthquakes in 2011, 2013 and 2016, and the changes in rainfall levels from year to year, which affect the amount of hydroelectricity produced (see section 2.2 in chapter 2 for further details).</w:t>
      </w:r>
    </w:p>
    <w:p w14:paraId="2464E306" w14:textId="77777777" w:rsidR="00DE64BC" w:rsidRPr="00256982" w:rsidRDefault="00DE64BC" w:rsidP="00A808C7">
      <w:pPr>
        <w:pStyle w:val="Heading5"/>
      </w:pPr>
      <w:r w:rsidRPr="00256982">
        <w:t>2016</w:t>
      </w:r>
      <w:r w:rsidRPr="00256982">
        <w:rPr>
          <w:lang w:eastAsia="en-GB"/>
        </w:rPr>
        <w:t>–</w:t>
      </w:r>
      <w:r w:rsidRPr="00256982">
        <w:t>2017</w:t>
      </w:r>
    </w:p>
    <w:p w14:paraId="4D6631A0" w14:textId="77777777" w:rsidR="00DE64BC" w:rsidRPr="00256982" w:rsidRDefault="00DE64BC" w:rsidP="00A808C7">
      <w:pPr>
        <w:pStyle w:val="BodyText"/>
        <w:rPr>
          <w:rFonts w:cs="Arial"/>
          <w:lang w:eastAsia="en-GB"/>
        </w:rPr>
      </w:pPr>
      <w:r w:rsidRPr="00256982">
        <w:rPr>
          <w:lang w:eastAsia="en-GB"/>
        </w:rPr>
        <w:t xml:space="preserve">Between </w:t>
      </w:r>
      <w:r w:rsidRPr="00256982">
        <w:t>2016</w:t>
      </w:r>
      <w:r w:rsidRPr="00256982">
        <w:rPr>
          <w:lang w:eastAsia="en-GB"/>
        </w:rPr>
        <w:t xml:space="preserve"> and </w:t>
      </w:r>
      <w:r w:rsidRPr="00256982">
        <w:t>2017</w:t>
      </w:r>
      <w:r w:rsidRPr="00256982">
        <w:rPr>
          <w:lang w:eastAsia="en-GB"/>
        </w:rPr>
        <w:t>, emissions from the Energy sector increased by</w:t>
      </w:r>
      <w:r w:rsidRPr="00256982">
        <w:t xml:space="preserve"> 1,772.8 </w:t>
      </w:r>
      <w:r w:rsidRPr="00256982">
        <w:rPr>
          <w:lang w:eastAsia="en-GB"/>
        </w:rPr>
        <w:t>kt CO</w:t>
      </w:r>
      <w:r w:rsidRPr="00256982">
        <w:rPr>
          <w:vertAlign w:val="subscript"/>
          <w:lang w:eastAsia="en-GB"/>
        </w:rPr>
        <w:t>2</w:t>
      </w:r>
      <w:r w:rsidRPr="00256982">
        <w:rPr>
          <w:lang w:eastAsia="en-GB"/>
        </w:rPr>
        <w:t>-e (</w:t>
      </w:r>
      <w:r w:rsidRPr="00256982">
        <w:t>5.7 per cent</w:t>
      </w:r>
      <w:r w:rsidRPr="00256982">
        <w:rPr>
          <w:lang w:eastAsia="en-GB"/>
        </w:rPr>
        <w:t xml:space="preserve">). This is primarily due to increased emissions from the </w:t>
      </w:r>
      <w:r w:rsidRPr="00256982">
        <w:rPr>
          <w:i/>
          <w:lang w:eastAsia="en-GB"/>
        </w:rPr>
        <w:t xml:space="preserve">Road transportation </w:t>
      </w:r>
      <w:r w:rsidRPr="00256982">
        <w:rPr>
          <w:lang w:eastAsia="en-GB"/>
        </w:rPr>
        <w:t>and</w:t>
      </w:r>
      <w:r w:rsidRPr="00256982">
        <w:rPr>
          <w:i/>
          <w:lang w:eastAsia="en-GB"/>
        </w:rPr>
        <w:t xml:space="preserve"> Public electricity and heat production </w:t>
      </w:r>
      <w:r w:rsidRPr="00256982">
        <w:rPr>
          <w:lang w:eastAsia="en-GB"/>
        </w:rPr>
        <w:t>categories</w:t>
      </w:r>
      <w:r w:rsidRPr="00256982">
        <w:rPr>
          <w:i/>
          <w:lang w:eastAsia="en-GB"/>
        </w:rPr>
        <w:t>.</w:t>
      </w:r>
      <w:r w:rsidRPr="00256982">
        <w:rPr>
          <w:rFonts w:cs="Arial"/>
          <w:lang w:eastAsia="en-GB"/>
        </w:rPr>
        <w:t xml:space="preserve"> </w:t>
      </w:r>
    </w:p>
    <w:p w14:paraId="648A95CC" w14:textId="77777777" w:rsidR="00DE64BC" w:rsidRPr="00256982" w:rsidRDefault="00DE64BC" w:rsidP="00A808C7">
      <w:pPr>
        <w:pStyle w:val="BodyText"/>
        <w:rPr>
          <w:lang w:eastAsia="en-GB"/>
        </w:rPr>
      </w:pPr>
      <w:r w:rsidRPr="00256982">
        <w:rPr>
          <w:lang w:eastAsia="en-GB"/>
        </w:rPr>
        <w:t xml:space="preserve">Emissions from the category </w:t>
      </w:r>
      <w:r w:rsidRPr="00256982">
        <w:rPr>
          <w:i/>
          <w:lang w:eastAsia="en-GB"/>
        </w:rPr>
        <w:t>Road transportation</w:t>
      </w:r>
      <w:r w:rsidRPr="00256982">
        <w:rPr>
          <w:rFonts w:cs="Arial"/>
          <w:lang w:eastAsia="en-GB"/>
        </w:rPr>
        <w:t xml:space="preserve"> </w:t>
      </w:r>
      <w:r w:rsidRPr="00256982">
        <w:rPr>
          <w:lang w:eastAsia="en-GB"/>
        </w:rPr>
        <w:t xml:space="preserve">increased by </w:t>
      </w:r>
      <w:r w:rsidRPr="00256982">
        <w:t xml:space="preserve">862.5 </w:t>
      </w:r>
      <w:r w:rsidRPr="00256982">
        <w:rPr>
          <w:lang w:eastAsia="en-GB"/>
        </w:rPr>
        <w:t>kt CO</w:t>
      </w:r>
      <w:r w:rsidRPr="00256982">
        <w:rPr>
          <w:vertAlign w:val="subscript"/>
          <w:lang w:eastAsia="en-GB"/>
        </w:rPr>
        <w:t>2</w:t>
      </w:r>
      <w:r w:rsidRPr="00256982">
        <w:rPr>
          <w:lang w:eastAsia="en-GB"/>
        </w:rPr>
        <w:t>-e (</w:t>
      </w:r>
      <w:r w:rsidRPr="00256982">
        <w:t>6.3 per cent</w:t>
      </w:r>
      <w:r w:rsidRPr="00256982">
        <w:rPr>
          <w:lang w:eastAsia="en-GB"/>
        </w:rPr>
        <w:t xml:space="preserve">) reflecting the growing demand for transporting people and goods associated with the high population growth between 2016 and 2017 (2.2 per cent). </w:t>
      </w:r>
    </w:p>
    <w:p w14:paraId="33A1A8AC" w14:textId="77777777" w:rsidR="00DE64BC" w:rsidRPr="00256982" w:rsidRDefault="00DE64BC" w:rsidP="00A808C7">
      <w:pPr>
        <w:pStyle w:val="BodyText"/>
        <w:rPr>
          <w:lang w:eastAsia="en-GB"/>
        </w:rPr>
      </w:pPr>
      <w:r w:rsidRPr="00256982">
        <w:rPr>
          <w:lang w:eastAsia="en-GB"/>
        </w:rPr>
        <w:t xml:space="preserve">Emissions from </w:t>
      </w:r>
      <w:r w:rsidRPr="00256982">
        <w:rPr>
          <w:i/>
          <w:lang w:eastAsia="en-GB"/>
        </w:rPr>
        <w:t>Public electricity and heat production</w:t>
      </w:r>
      <w:r w:rsidRPr="00256982">
        <w:rPr>
          <w:lang w:eastAsia="en-GB"/>
        </w:rPr>
        <w:t xml:space="preserve"> increased by 552.9 kt CO</w:t>
      </w:r>
      <w:r w:rsidRPr="00256982">
        <w:rPr>
          <w:vertAlign w:val="subscript"/>
          <w:lang w:eastAsia="en-GB"/>
        </w:rPr>
        <w:t>2</w:t>
      </w:r>
      <w:r w:rsidRPr="00256982">
        <w:rPr>
          <w:lang w:eastAsia="en-GB"/>
        </w:rPr>
        <w:t>-e (</w:t>
      </w:r>
      <w:r w:rsidRPr="00256982">
        <w:t>18.2 per cent</w:t>
      </w:r>
      <w:r w:rsidRPr="00256982">
        <w:rPr>
          <w:lang w:eastAsia="en-GB"/>
        </w:rPr>
        <w:t>). This is mainly due to a 21.6 per cent decrease in coal- and gas-fired electricity generation. A lower proportion of hydroelectricity flowing to the national grid due to prolonged periods of low rainfalls and droughts resulted in higher use of coal- and gas-fired generators.</w:t>
      </w:r>
      <w:r w:rsidRPr="00256982">
        <w:rPr>
          <w:rFonts w:cs="Arial"/>
          <w:lang w:eastAsia="en-GB"/>
        </w:rPr>
        <w:t xml:space="preserve"> </w:t>
      </w:r>
    </w:p>
    <w:p w14:paraId="5BD0A819" w14:textId="77777777" w:rsidR="00DE64BC" w:rsidRPr="00256982" w:rsidRDefault="00DE64BC" w:rsidP="00A808C7">
      <w:pPr>
        <w:pStyle w:val="BodyText"/>
        <w:rPr>
          <w:lang w:eastAsia="en-GB"/>
        </w:rPr>
      </w:pPr>
      <w:r w:rsidRPr="00256982">
        <w:rPr>
          <w:lang w:eastAsia="en-GB"/>
        </w:rPr>
        <w:t xml:space="preserve">The increase was partially offset by a decrease from the category </w:t>
      </w:r>
      <w:r w:rsidRPr="00256982">
        <w:rPr>
          <w:rFonts w:cs="Arial"/>
          <w:i/>
          <w:lang w:eastAsia="en-GB"/>
        </w:rPr>
        <w:t>Chemicals</w:t>
      </w:r>
      <w:r w:rsidRPr="00256982">
        <w:rPr>
          <w:lang w:eastAsia="en-GB"/>
        </w:rPr>
        <w:t>, which decreased by 362.8 kt CO</w:t>
      </w:r>
      <w:r w:rsidRPr="00256982">
        <w:rPr>
          <w:vertAlign w:val="subscript"/>
          <w:lang w:eastAsia="en-GB"/>
        </w:rPr>
        <w:t>2</w:t>
      </w:r>
      <w:r w:rsidRPr="00256982">
        <w:rPr>
          <w:lang w:eastAsia="en-GB"/>
        </w:rPr>
        <w:t>-e (18.4 per cent).</w:t>
      </w:r>
    </w:p>
    <w:p w14:paraId="6ECDAA36" w14:textId="77777777" w:rsidR="00DE64BC" w:rsidRPr="00256982" w:rsidRDefault="00DE64BC" w:rsidP="00A72006">
      <w:pPr>
        <w:pStyle w:val="Heading4"/>
      </w:pPr>
      <w:r w:rsidRPr="00256982">
        <w:t>IPPU (chapter 4)</w:t>
      </w:r>
    </w:p>
    <w:p w14:paraId="6307BF5E" w14:textId="77777777" w:rsidR="00DE64BC" w:rsidRPr="00256982" w:rsidRDefault="00DE64BC" w:rsidP="00A808C7">
      <w:pPr>
        <w:pStyle w:val="Heading5"/>
        <w:spacing w:before="120"/>
      </w:pPr>
      <w:r w:rsidRPr="00256982">
        <w:t>2017</w:t>
      </w:r>
    </w:p>
    <w:p w14:paraId="3B456CC3" w14:textId="1D4ABB4F" w:rsidR="00DE64BC" w:rsidRPr="00256982" w:rsidRDefault="00DE64BC" w:rsidP="00A808C7">
      <w:pPr>
        <w:pStyle w:val="BodyText"/>
      </w:pPr>
      <w:r w:rsidRPr="00256982">
        <w:t>In 2017, emissions in the IPPU sector contributed 4,968.6 kt CO</w:t>
      </w:r>
      <w:r w:rsidRPr="00256982">
        <w:rPr>
          <w:vertAlign w:val="subscript"/>
        </w:rPr>
        <w:t>2</w:t>
      </w:r>
      <w:r w:rsidRPr="00256982">
        <w:t xml:space="preserve">-e or 6.1 per cent of New Zealand’s gross GHG emissions (see figure ES 4.2). </w:t>
      </w:r>
    </w:p>
    <w:p w14:paraId="716A5917" w14:textId="77777777" w:rsidR="00DE64BC" w:rsidRPr="00256982" w:rsidRDefault="00DE64BC" w:rsidP="00A808C7">
      <w:pPr>
        <w:pStyle w:val="BodyText"/>
      </w:pPr>
      <w:r w:rsidRPr="00256982">
        <w:t xml:space="preserve">The largest source of emissions is the </w:t>
      </w:r>
      <w:r w:rsidRPr="00256982">
        <w:rPr>
          <w:i/>
        </w:rPr>
        <w:t xml:space="preserve">Metal industry </w:t>
      </w:r>
      <w:r w:rsidRPr="00256982">
        <w:t>category, where substantial CO</w:t>
      </w:r>
      <w:r w:rsidRPr="00256982">
        <w:rPr>
          <w:vertAlign w:val="subscript"/>
        </w:rPr>
        <w:t>2</w:t>
      </w:r>
      <w:r w:rsidRPr="00256982">
        <w:t xml:space="preserve"> emissions come from the </w:t>
      </w:r>
      <w:r w:rsidRPr="00256982">
        <w:rPr>
          <w:i/>
        </w:rPr>
        <w:t>Iron and steel production</w:t>
      </w:r>
      <w:r w:rsidRPr="00256982">
        <w:t xml:space="preserve"> and </w:t>
      </w:r>
      <w:r w:rsidRPr="00256982">
        <w:rPr>
          <w:i/>
        </w:rPr>
        <w:t xml:space="preserve">Aluminium production </w:t>
      </w:r>
      <w:r w:rsidRPr="00256982">
        <w:t>categories</w:t>
      </w:r>
      <w:r w:rsidRPr="00256982">
        <w:rPr>
          <w:i/>
        </w:rPr>
        <w:t xml:space="preserve">. </w:t>
      </w:r>
      <w:r w:rsidRPr="00256982">
        <w:t xml:space="preserve">The </w:t>
      </w:r>
      <w:r w:rsidRPr="00256982">
        <w:rPr>
          <w:i/>
        </w:rPr>
        <w:t xml:space="preserve">Mineral industry </w:t>
      </w:r>
      <w:r w:rsidRPr="00256982">
        <w:t xml:space="preserve">and </w:t>
      </w:r>
      <w:r w:rsidRPr="00256982">
        <w:rPr>
          <w:i/>
        </w:rPr>
        <w:t>Chemical industry</w:t>
      </w:r>
      <w:r w:rsidRPr="00256982">
        <w:t xml:space="preserve"> categories also contribute significant CO</w:t>
      </w:r>
      <w:r w:rsidRPr="00256982">
        <w:rPr>
          <w:vertAlign w:val="subscript"/>
        </w:rPr>
        <w:t>2</w:t>
      </w:r>
      <w:r w:rsidRPr="00256982">
        <w:t xml:space="preserve"> emissions, and most of the non-CO</w:t>
      </w:r>
      <w:r w:rsidRPr="00256982">
        <w:rPr>
          <w:vertAlign w:val="subscript"/>
        </w:rPr>
        <w:t>2</w:t>
      </w:r>
      <w:r w:rsidRPr="00256982">
        <w:t xml:space="preserve"> emissions come from </w:t>
      </w:r>
      <w:r w:rsidRPr="00256982">
        <w:rPr>
          <w:i/>
        </w:rPr>
        <w:t>Product uses as substitutes for ODS</w:t>
      </w:r>
      <w:r w:rsidRPr="00256982">
        <w:t xml:space="preserve">. Coal and natural gas are also used on a significant scale for energy in these industries, and related emissions are reported under the Energy sector in the category </w:t>
      </w:r>
      <w:r w:rsidRPr="00256982">
        <w:rPr>
          <w:i/>
        </w:rPr>
        <w:t>Manufacturing industries and construction</w:t>
      </w:r>
      <w:r w:rsidRPr="00256982">
        <w:t xml:space="preserve">. </w:t>
      </w:r>
    </w:p>
    <w:p w14:paraId="17E8C8E9" w14:textId="77777777" w:rsidR="00DE64BC" w:rsidRPr="00256982" w:rsidRDefault="00DE64BC" w:rsidP="00A808C7">
      <w:pPr>
        <w:pStyle w:val="Heading5"/>
      </w:pPr>
      <w:r w:rsidRPr="00256982">
        <w:t>1990–2017</w:t>
      </w:r>
    </w:p>
    <w:p w14:paraId="5870485E" w14:textId="77777777" w:rsidR="00DE64BC" w:rsidRPr="00256982" w:rsidRDefault="00DE64BC" w:rsidP="00A808C7">
      <w:pPr>
        <w:pStyle w:val="BodyText"/>
      </w:pPr>
      <w:r w:rsidRPr="00256982">
        <w:t>IPPU sector emissions in 2017 were 1,388.7 kt CO</w:t>
      </w:r>
      <w:r w:rsidRPr="00256982">
        <w:rPr>
          <w:vertAlign w:val="subscript"/>
        </w:rPr>
        <w:t>2</w:t>
      </w:r>
      <w:r w:rsidRPr="00256982">
        <w:t>-e (38.8 per cent) higher than emissions in 1990 (3,579.9 kt CO</w:t>
      </w:r>
      <w:r w:rsidRPr="00256982">
        <w:rPr>
          <w:vertAlign w:val="subscript"/>
        </w:rPr>
        <w:t>2</w:t>
      </w:r>
      <w:r w:rsidRPr="00256982">
        <w:t xml:space="preserve">-e). This was mainly driven by an increase in emissions from the </w:t>
      </w:r>
      <w:r w:rsidRPr="00256982">
        <w:rPr>
          <w:i/>
        </w:rPr>
        <w:t>Product uses as substitutes for ODS</w:t>
      </w:r>
      <w:r w:rsidRPr="00256982">
        <w:t xml:space="preserve"> category due to the introduction of HFCs to replace ozone-depleting substances in refrigeration and air conditioning and to increased use of household and commercial air conditioning. Carbon dioxide emissions have also increased, due to the growth in production of metals, lime and cement, but at a slower rate. There has been a substantial reduction in emissions of PFCs, due to improved management of anode effects in </w:t>
      </w:r>
      <w:r w:rsidRPr="00256982">
        <w:rPr>
          <w:i/>
        </w:rPr>
        <w:t>Aluminium production</w:t>
      </w:r>
      <w:r w:rsidRPr="00256982">
        <w:t>, and some reduction in emissions of N</w:t>
      </w:r>
      <w:r w:rsidRPr="00256982">
        <w:rPr>
          <w:vertAlign w:val="subscript"/>
        </w:rPr>
        <w:t>2</w:t>
      </w:r>
      <w:r w:rsidRPr="00256982">
        <w:t xml:space="preserve">O used for medical applications in </w:t>
      </w:r>
      <w:r w:rsidRPr="00256982">
        <w:rPr>
          <w:i/>
        </w:rPr>
        <w:t>Other product manufacture and use</w:t>
      </w:r>
      <w:r w:rsidRPr="00256982">
        <w:t xml:space="preserve">. </w:t>
      </w:r>
    </w:p>
    <w:p w14:paraId="6695210D" w14:textId="77777777" w:rsidR="00DE64BC" w:rsidRPr="00256982" w:rsidRDefault="00DE64BC" w:rsidP="00A808C7">
      <w:pPr>
        <w:pStyle w:val="BodyText"/>
      </w:pPr>
      <w:r w:rsidRPr="00256982">
        <w:lastRenderedPageBreak/>
        <w:t>As part of an international effort expected to avoid 0.5 degrees Celsius of global warming and in line with New Zealand’s obligations under the Kigali Amendment to the Montreal Protocol on Substances that Deplete the Ozone Layer, New Zealand will begin phasing down the use of HFCs from 2020.</w:t>
      </w:r>
      <w:r w:rsidRPr="00256982">
        <w:rPr>
          <w:rStyle w:val="FootnoteReference"/>
        </w:rPr>
        <w:footnoteReference w:id="7"/>
      </w:r>
      <w:r w:rsidRPr="00256982">
        <w:t xml:space="preserve"> The annual limits will reduce gradually over a 17-year period beginning in 2020. It will allow New Zealand to phase down the use of HFCs by more than 80 per cent by</w:t>
      </w:r>
      <w:r w:rsidRPr="00256982">
        <w:rPr>
          <w:rFonts w:ascii="Helvetica" w:hAnsi="Helvetica" w:cs="Helvetica"/>
          <w:color w:val="3F4647"/>
          <w:shd w:val="clear" w:color="auto" w:fill="FFFFFF"/>
        </w:rPr>
        <w:t> </w:t>
      </w:r>
      <w:r w:rsidRPr="00256982">
        <w:t xml:space="preserve">2037. In future years, compliance with the Montreal Protocol will mean that emissions will be reduced. </w:t>
      </w:r>
    </w:p>
    <w:p w14:paraId="0221E6F0" w14:textId="77777777" w:rsidR="00DE64BC" w:rsidRPr="00256982" w:rsidRDefault="00DE64BC" w:rsidP="00A808C7">
      <w:pPr>
        <w:pStyle w:val="Heading5"/>
      </w:pPr>
      <w:r w:rsidRPr="00256982">
        <w:t>2016–2017</w:t>
      </w:r>
    </w:p>
    <w:p w14:paraId="69A53849" w14:textId="77777777" w:rsidR="00DE64BC" w:rsidRPr="00256982" w:rsidRDefault="00DE64BC" w:rsidP="00A808C7">
      <w:pPr>
        <w:pStyle w:val="BodyText"/>
      </w:pPr>
      <w:r w:rsidRPr="00256982">
        <w:t>IPPU sector emissions in 2017 were 18.6 kt CO</w:t>
      </w:r>
      <w:r w:rsidRPr="00256982">
        <w:rPr>
          <w:vertAlign w:val="subscript"/>
        </w:rPr>
        <w:t>2</w:t>
      </w:r>
      <w:r w:rsidRPr="00256982">
        <w:t xml:space="preserve">-e (0.4 per cent) lower than emissions in 2016. This change was mainly a result of a decrease in emissions from the </w:t>
      </w:r>
      <w:r w:rsidRPr="00256982">
        <w:rPr>
          <w:i/>
        </w:rPr>
        <w:t xml:space="preserve">Mineral industry </w:t>
      </w:r>
      <w:r w:rsidRPr="00256982">
        <w:t>category (57.1 kt CO</w:t>
      </w:r>
      <w:r w:rsidRPr="00256982">
        <w:rPr>
          <w:vertAlign w:val="subscript"/>
        </w:rPr>
        <w:t>2</w:t>
      </w:r>
      <w:r w:rsidRPr="00256982">
        <w:t xml:space="preserve">-e or 7.9 per cent) offset by an increase in the </w:t>
      </w:r>
      <w:r w:rsidRPr="00256982">
        <w:rPr>
          <w:i/>
        </w:rPr>
        <w:t>Metal industry</w:t>
      </w:r>
      <w:r w:rsidRPr="00256982">
        <w:t xml:space="preserve"> category (64.7 kt CO</w:t>
      </w:r>
      <w:r w:rsidRPr="00256982">
        <w:rPr>
          <w:vertAlign w:val="subscript"/>
        </w:rPr>
        <w:t>2</w:t>
      </w:r>
      <w:r w:rsidRPr="00256982">
        <w:noBreakHyphen/>
        <w:t>e or 2.8 per cent). These changes were driven by normal year-to-year variation in product outputs.</w:t>
      </w:r>
    </w:p>
    <w:p w14:paraId="026D4415" w14:textId="77777777" w:rsidR="00DE64BC" w:rsidRPr="00256982" w:rsidRDefault="00DE64BC" w:rsidP="00A72006">
      <w:pPr>
        <w:pStyle w:val="Heading4"/>
      </w:pPr>
      <w:r w:rsidRPr="00256982">
        <w:t>Agriculture (chapter 5)</w:t>
      </w:r>
    </w:p>
    <w:p w14:paraId="34D991E7" w14:textId="77777777" w:rsidR="00DE64BC" w:rsidRPr="00256982" w:rsidRDefault="00DE64BC" w:rsidP="00A808C7">
      <w:pPr>
        <w:pStyle w:val="Heading5"/>
        <w:spacing w:before="120"/>
      </w:pPr>
      <w:r w:rsidRPr="00256982">
        <w:t>2017</w:t>
      </w:r>
    </w:p>
    <w:p w14:paraId="19BF0E35" w14:textId="77777777" w:rsidR="00DE64BC" w:rsidRPr="00256982" w:rsidRDefault="00DE64BC" w:rsidP="00A808C7">
      <w:pPr>
        <w:pStyle w:val="BodyText"/>
      </w:pPr>
      <w:r w:rsidRPr="00256982">
        <w:t>In 2017, the Agriculture sector contributed 38,880.7 kt CO</w:t>
      </w:r>
      <w:r w:rsidRPr="00256982">
        <w:rPr>
          <w:vertAlign w:val="subscript"/>
        </w:rPr>
        <w:t>2</w:t>
      </w:r>
      <w:r w:rsidRPr="00256982">
        <w:t xml:space="preserve">-e (48.1 per cent of New Zealand’s gross emissions) (see figure ES 4.2). </w:t>
      </w:r>
    </w:p>
    <w:p w14:paraId="5190D614" w14:textId="77777777" w:rsidR="00DE64BC" w:rsidRPr="00256982" w:rsidRDefault="00DE64BC" w:rsidP="00A808C7">
      <w:pPr>
        <w:pStyle w:val="BodyText"/>
      </w:pPr>
      <w:r w:rsidRPr="00256982">
        <w:t>The largest source of emissions within the Agriculture sector in 2017 was CH</w:t>
      </w:r>
      <w:r w:rsidRPr="00256982">
        <w:rPr>
          <w:vertAlign w:val="subscript"/>
        </w:rPr>
        <w:t>4</w:t>
      </w:r>
      <w:r w:rsidRPr="00256982">
        <w:t xml:space="preserve"> emissions from </w:t>
      </w:r>
      <w:r w:rsidRPr="00256982">
        <w:rPr>
          <w:i/>
          <w:iCs/>
        </w:rPr>
        <w:t>Enteric fermentation</w:t>
      </w:r>
      <w:r w:rsidRPr="00256982">
        <w:t>, a process that produces CH</w:t>
      </w:r>
      <w:r w:rsidRPr="00256982">
        <w:rPr>
          <w:vertAlign w:val="subscript"/>
        </w:rPr>
        <w:t>4</w:t>
      </w:r>
      <w:r w:rsidRPr="00256982">
        <w:t xml:space="preserve"> from livestock digestive systems (71.1 per cent of the total emissions from the sector). This was followed by N</w:t>
      </w:r>
      <w:r w:rsidRPr="00256982">
        <w:rPr>
          <w:vertAlign w:val="subscript"/>
        </w:rPr>
        <w:t>2</w:t>
      </w:r>
      <w:r w:rsidRPr="00256982">
        <w:t xml:space="preserve">O emissions from </w:t>
      </w:r>
      <w:r w:rsidRPr="00256982">
        <w:rPr>
          <w:i/>
          <w:iCs/>
        </w:rPr>
        <w:t>Agricultural soils</w:t>
      </w:r>
      <w:r w:rsidRPr="00256982">
        <w:t xml:space="preserve"> (which come from adding nitrogen to the soil, e.g., through manure or fertiliser) (22 per cent of the total emissions from the sector).</w:t>
      </w:r>
    </w:p>
    <w:p w14:paraId="3C719A67" w14:textId="77777777" w:rsidR="00DE64BC" w:rsidRPr="00256982" w:rsidRDefault="00DE64BC" w:rsidP="00A808C7">
      <w:pPr>
        <w:pStyle w:val="Heading5"/>
      </w:pPr>
      <w:r w:rsidRPr="00256982">
        <w:t xml:space="preserve">1990–2017 </w:t>
      </w:r>
    </w:p>
    <w:p w14:paraId="6D3D32CA" w14:textId="77777777" w:rsidR="00DE64BC" w:rsidRPr="00256982" w:rsidRDefault="00DE64BC" w:rsidP="00A808C7">
      <w:pPr>
        <w:pStyle w:val="BodyText"/>
      </w:pPr>
      <w:r w:rsidRPr="00256982">
        <w:t>In 2017, emissions from the Agriculture sector were 4,623.5 kt CO</w:t>
      </w:r>
      <w:r w:rsidRPr="00256982">
        <w:rPr>
          <w:vertAlign w:val="subscript"/>
        </w:rPr>
        <w:t>2</w:t>
      </w:r>
      <w:r w:rsidRPr="00256982">
        <w:t>-e (13.5 per cent) higher than emissions in 1990 (34,257.2 kt CO</w:t>
      </w:r>
      <w:r w:rsidRPr="00256982">
        <w:rPr>
          <w:vertAlign w:val="subscript"/>
        </w:rPr>
        <w:t>2</w:t>
      </w:r>
      <w:r w:rsidRPr="00256982">
        <w:t>-e). This increase is primarily due to a 1,225.8 kt CO</w:t>
      </w:r>
      <w:r w:rsidRPr="00256982">
        <w:rPr>
          <w:vertAlign w:val="subscript"/>
        </w:rPr>
        <w:t>2</w:t>
      </w:r>
      <w:r w:rsidRPr="00256982">
        <w:noBreakHyphen/>
        <w:t>e (4.6 per cent) increase in CH</w:t>
      </w:r>
      <w:r w:rsidRPr="00256982">
        <w:rPr>
          <w:vertAlign w:val="subscript"/>
        </w:rPr>
        <w:t>4</w:t>
      </w:r>
      <w:r w:rsidRPr="00256982">
        <w:t xml:space="preserve"> emissions from </w:t>
      </w:r>
      <w:r w:rsidRPr="00256982">
        <w:rPr>
          <w:i/>
          <w:iCs/>
        </w:rPr>
        <w:t>Enteric fermentation</w:t>
      </w:r>
      <w:r w:rsidRPr="00256982">
        <w:t xml:space="preserve"> and a 1,877.0 kt CO</w:t>
      </w:r>
      <w:r w:rsidRPr="00256982">
        <w:rPr>
          <w:vertAlign w:val="subscript"/>
        </w:rPr>
        <w:t>2</w:t>
      </w:r>
      <w:r w:rsidRPr="00256982">
        <w:t>-e (28.1 per cent) increase in N</w:t>
      </w:r>
      <w:r w:rsidRPr="00256982">
        <w:rPr>
          <w:vertAlign w:val="subscript"/>
        </w:rPr>
        <w:t>2</w:t>
      </w:r>
      <w:r w:rsidRPr="00256982">
        <w:t xml:space="preserve">O emissions from </w:t>
      </w:r>
      <w:r w:rsidRPr="00256982">
        <w:rPr>
          <w:i/>
          <w:iCs/>
        </w:rPr>
        <w:t>Agricultural soils</w:t>
      </w:r>
      <w:r w:rsidRPr="00256982">
        <w:t xml:space="preserve">. </w:t>
      </w:r>
    </w:p>
    <w:p w14:paraId="5FD25343" w14:textId="77777777" w:rsidR="00DE64BC" w:rsidRPr="00256982" w:rsidRDefault="00DE64BC" w:rsidP="00A808C7">
      <w:pPr>
        <w:pStyle w:val="BodyText"/>
      </w:pPr>
      <w:r w:rsidRPr="00256982">
        <w:t>The main drivers for these changes in emissions were an increase of 89.6 per cent in the size of the national dairy herd since 1990 and an approximately 650 per cent increase in the use of nitrogen-containing synthetic fertiliser. Decreases of 52.5 per cent in the sheep population and 21.4 per cent in the non-dairy cattle population partially offset the increases in dairy cattle emissions.</w:t>
      </w:r>
    </w:p>
    <w:p w14:paraId="22D11020" w14:textId="77777777" w:rsidR="00DE64BC" w:rsidRPr="00256982" w:rsidRDefault="00DE64BC" w:rsidP="00A808C7">
      <w:pPr>
        <w:pStyle w:val="Heading5"/>
      </w:pPr>
      <w:r w:rsidRPr="00256982">
        <w:t xml:space="preserve">2016–2017 </w:t>
      </w:r>
    </w:p>
    <w:p w14:paraId="49646CD9" w14:textId="77777777" w:rsidR="00DE64BC" w:rsidRPr="00256982" w:rsidRDefault="00DE64BC" w:rsidP="00A808C7">
      <w:pPr>
        <w:pStyle w:val="BodyText"/>
      </w:pPr>
      <w:r w:rsidRPr="00256982">
        <w:t>Total Agriculture sector emissions in 2017 were 45.1 kt CO</w:t>
      </w:r>
      <w:r w:rsidRPr="00256982">
        <w:rPr>
          <w:vertAlign w:val="subscript"/>
        </w:rPr>
        <w:t>2</w:t>
      </w:r>
      <w:r w:rsidRPr="00256982">
        <w:t xml:space="preserve">-e (0.1 per cent) less than those in 2016. This decrease was due to a small fall in the sheep and dairy cattle populations (0.4 per cent and 1.5 per cent respectively). This decrease was mostly offset by a 2.1 per cent increase in the population of non-dairy cattle. </w:t>
      </w:r>
    </w:p>
    <w:p w14:paraId="2CB096C7" w14:textId="77777777" w:rsidR="00DE64BC" w:rsidRPr="00256982" w:rsidRDefault="00DE64BC" w:rsidP="00A808C7">
      <w:pPr>
        <w:pStyle w:val="BodyText"/>
      </w:pPr>
      <w:r w:rsidRPr="00256982">
        <w:t xml:space="preserve">In 2017, rises in commodity prices for lamb slowed the decline in the sheep population (a 0.4 per cent decrease in 2017 contrasted with a 5.3 per cent decrease in sheep numbers in 2016), and rises in commodity prices for beef have caused the increase in the non-dairy cattle </w:t>
      </w:r>
      <w:r w:rsidRPr="00256982">
        <w:lastRenderedPageBreak/>
        <w:t>population. Dairy cattle populations have also stabilised due to the recovery of global dairy prices in 2017. A very wet spring (September to November) in 2017 also contributed to low (0.1 per cent) productivity growth in the dairy sector.</w:t>
      </w:r>
    </w:p>
    <w:p w14:paraId="0D9510E2" w14:textId="77777777" w:rsidR="00DE64BC" w:rsidRPr="00256982" w:rsidRDefault="00DE64BC" w:rsidP="00A808C7">
      <w:pPr>
        <w:pStyle w:val="BodyText"/>
      </w:pPr>
      <w:r w:rsidRPr="00256982">
        <w:t>There was a significant decrease in emissions from liming (54.8 kt CO</w:t>
      </w:r>
      <w:r w:rsidRPr="00256982">
        <w:rPr>
          <w:vertAlign w:val="subscript"/>
        </w:rPr>
        <w:t>2</w:t>
      </w:r>
      <w:r w:rsidRPr="00256982">
        <w:t>-e or 10.7 per cent). This was offset by an increase in N</w:t>
      </w:r>
      <w:r w:rsidRPr="00256982">
        <w:rPr>
          <w:vertAlign w:val="subscript"/>
        </w:rPr>
        <w:t>2</w:t>
      </w:r>
      <w:r w:rsidRPr="00256982">
        <w:t>O emissions from the use of synthetic nitrogen fertiliser of 33.4 kt CO</w:t>
      </w:r>
      <w:r w:rsidRPr="00256982">
        <w:rPr>
          <w:vertAlign w:val="subscript"/>
        </w:rPr>
        <w:t>2</w:t>
      </w:r>
      <w:r w:rsidRPr="00256982">
        <w:t>-e (2.5 per cent), and CO</w:t>
      </w:r>
      <w:r w:rsidRPr="00256982">
        <w:rPr>
          <w:vertAlign w:val="subscript"/>
        </w:rPr>
        <w:t>2</w:t>
      </w:r>
      <w:r w:rsidRPr="00256982">
        <w:t xml:space="preserve"> from urea (13.9 kt or 2.4 per cent).</w:t>
      </w:r>
    </w:p>
    <w:p w14:paraId="2AB5779C" w14:textId="77777777" w:rsidR="00DE64BC" w:rsidRPr="00256982" w:rsidRDefault="00DE64BC" w:rsidP="00A72006">
      <w:pPr>
        <w:pStyle w:val="Heading4"/>
      </w:pPr>
      <w:r w:rsidRPr="00256982">
        <w:t>LULUCF (chapter 6)</w:t>
      </w:r>
    </w:p>
    <w:p w14:paraId="0EBA566B" w14:textId="77777777" w:rsidR="00DE64BC" w:rsidRPr="00256982" w:rsidRDefault="00DE64BC" w:rsidP="00A808C7">
      <w:pPr>
        <w:pStyle w:val="BodyText"/>
      </w:pPr>
      <w:r w:rsidRPr="00256982">
        <w:t>The following information on LULUCF summarises reporting under the Convention. Reporting for Article 3.3 and Article 3.4 LULUCF activities under the Kyoto Protocol are covered in section ES.5.</w:t>
      </w:r>
    </w:p>
    <w:p w14:paraId="1D9209EF" w14:textId="77777777" w:rsidR="00DE64BC" w:rsidRPr="00256982" w:rsidRDefault="00DE64BC" w:rsidP="00A808C7">
      <w:pPr>
        <w:pStyle w:val="Heading5"/>
      </w:pPr>
      <w:r w:rsidRPr="00256982">
        <w:t>2017</w:t>
      </w:r>
    </w:p>
    <w:p w14:paraId="0693DF1C" w14:textId="77777777" w:rsidR="00DE64BC" w:rsidRPr="00256982" w:rsidRDefault="00DE64BC" w:rsidP="00A808C7">
      <w:pPr>
        <w:pStyle w:val="BodyText"/>
      </w:pPr>
      <w:r w:rsidRPr="00256982">
        <w:rPr>
          <w:szCs w:val="22"/>
          <w:lang w:eastAsia="en-NZ"/>
        </w:rPr>
        <w:t xml:space="preserve">The LULUCF sector under the Convention was a sink of </w:t>
      </w:r>
      <w:r w:rsidRPr="00256982">
        <w:t>–23,958.4</w:t>
      </w:r>
      <w:r w:rsidRPr="00256982">
        <w:rPr>
          <w:szCs w:val="22"/>
          <w:lang w:eastAsia="en-NZ"/>
        </w:rPr>
        <w:t xml:space="preserve"> kt CO</w:t>
      </w:r>
      <w:r w:rsidRPr="00256982">
        <w:rPr>
          <w:szCs w:val="22"/>
          <w:vertAlign w:val="subscript"/>
          <w:lang w:eastAsia="en-NZ"/>
        </w:rPr>
        <w:t>2</w:t>
      </w:r>
      <w:r w:rsidRPr="00256982">
        <w:rPr>
          <w:szCs w:val="22"/>
          <w:lang w:eastAsia="en-NZ"/>
        </w:rPr>
        <w:t xml:space="preserve">-e net emissions. This offset 29.6 per cent of New Zealand’s gross emissions in 2017. </w:t>
      </w:r>
      <w:r w:rsidRPr="00256982">
        <w:t xml:space="preserve">The category contributing the most to both removals and emissions is </w:t>
      </w:r>
      <w:r w:rsidRPr="00256982">
        <w:rPr>
          <w:i/>
        </w:rPr>
        <w:t>Forest land remaining forest land</w:t>
      </w:r>
      <w:r w:rsidRPr="00256982">
        <w:t>. This is because most of New Zealand’s forests are removing a large amount of CO</w:t>
      </w:r>
      <w:r w:rsidRPr="00256982">
        <w:rPr>
          <w:vertAlign w:val="subscript"/>
        </w:rPr>
        <w:t>2</w:t>
      </w:r>
      <w:r w:rsidRPr="00256982">
        <w:t xml:space="preserve"> from the atmosphere due to growth, while also being a large source of emissions due to the current high levels of sustainable harvesting that is occurring in New Zealand’s plantation forests.</w:t>
      </w:r>
    </w:p>
    <w:p w14:paraId="71E2DB02" w14:textId="77777777" w:rsidR="00DE64BC" w:rsidRPr="00256982" w:rsidRDefault="00DE64BC" w:rsidP="00A808C7">
      <w:pPr>
        <w:pStyle w:val="Heading5"/>
      </w:pPr>
      <w:r w:rsidRPr="00256982">
        <w:t>1990–2017</w:t>
      </w:r>
    </w:p>
    <w:p w14:paraId="26F8D184" w14:textId="77777777" w:rsidR="00DE64BC" w:rsidRPr="00256982" w:rsidRDefault="00DE64BC" w:rsidP="00A808C7">
      <w:pPr>
        <w:pStyle w:val="BodyText"/>
      </w:pPr>
      <w:r w:rsidRPr="00256982">
        <w:t xml:space="preserve">For the entire period 1990–2017, the LULUCF sector represented a net sink, that is, each year the total removals from the sector were greater than its total emissions. </w:t>
      </w:r>
    </w:p>
    <w:p w14:paraId="328A7D1C" w14:textId="77777777" w:rsidR="00DE64BC" w:rsidRPr="00256982" w:rsidRDefault="00DE64BC" w:rsidP="00A808C7">
      <w:pPr>
        <w:pStyle w:val="BodyText"/>
      </w:pPr>
      <w:r w:rsidRPr="00256982">
        <w:t xml:space="preserve">From 1990 to 2017, net emissions from LULUCF increased by </w:t>
      </w:r>
      <w:r w:rsidRPr="00256982">
        <w:rPr>
          <w:spacing w:val="-2"/>
        </w:rPr>
        <w:t>7,203.3 kt CO</w:t>
      </w:r>
      <w:r w:rsidRPr="00256982">
        <w:rPr>
          <w:spacing w:val="-2"/>
          <w:vertAlign w:val="subscript"/>
        </w:rPr>
        <w:t>2</w:t>
      </w:r>
      <w:r w:rsidRPr="00256982">
        <w:rPr>
          <w:spacing w:val="-2"/>
        </w:rPr>
        <w:t>-e (</w:t>
      </w:r>
      <w:r w:rsidRPr="00256982">
        <w:rPr>
          <w:rFonts w:cs="Arial"/>
          <w:color w:val="000000"/>
          <w:spacing w:val="-2"/>
          <w:szCs w:val="16"/>
        </w:rPr>
        <w:t xml:space="preserve">23.1 </w:t>
      </w:r>
      <w:r w:rsidRPr="00256982">
        <w:rPr>
          <w:spacing w:val="-2"/>
        </w:rPr>
        <w:t xml:space="preserve">per cent) from the 1990 level of </w:t>
      </w:r>
      <w:r w:rsidRPr="00256982">
        <w:rPr>
          <w:spacing w:val="-2"/>
          <w:lang w:eastAsia="en-NZ"/>
        </w:rPr>
        <w:t>–31,161.8</w:t>
      </w:r>
      <w:r w:rsidRPr="00256982">
        <w:t xml:space="preserve"> kt CO</w:t>
      </w:r>
      <w:r w:rsidRPr="00256982">
        <w:rPr>
          <w:vertAlign w:val="subscript"/>
        </w:rPr>
        <w:t>2</w:t>
      </w:r>
      <w:r w:rsidRPr="00256982">
        <w:t xml:space="preserve">-e (see figure ES 4.4). This is the result of the cyclical nature of growth and harvest of New Zealand’s plantation forests and its impact on carbon stocks, coupled with the uneven age-class distribution of these forests (see figure 6.4.4 in chapter 6). Net emissions are higher because current harvest rates are higher than they were in 1990. Emissions have also increased in the </w:t>
      </w:r>
      <w:r w:rsidRPr="00256982">
        <w:rPr>
          <w:i/>
        </w:rPr>
        <w:t>Grassland</w:t>
      </w:r>
      <w:r w:rsidRPr="00256982">
        <w:t xml:space="preserve"> category since 1990 due to the higher level of deforestation occurring now compared with 1990.</w:t>
      </w:r>
    </w:p>
    <w:p w14:paraId="05EE71F1" w14:textId="77777777" w:rsidR="00DE64BC" w:rsidRPr="00256982" w:rsidRDefault="00DE64BC" w:rsidP="00A808C7">
      <w:pPr>
        <w:pStyle w:val="BodyText"/>
      </w:pPr>
      <w:r w:rsidRPr="00256982">
        <w:t>The fluctuations in net removals from the LULUCF sector (figure ES 4.4) are influenced by harvesting and deforestation rates. Harvesting rates are driven by a number of factors, particularly forest stand age and log prices. Deforestation rates are driven largely by the relative profitability of forestry, compared with alternative land uses. The increase in net emissions between 2004 and 2007 was largely due to the increase in deforestation of planted forests that occurred leading up to 2008, before the introduction of the New Zealand Emissions Trading Scheme (NZ ETS).</w:t>
      </w:r>
      <w:r w:rsidRPr="00256982">
        <w:rPr>
          <w:vertAlign w:val="superscript"/>
        </w:rPr>
        <w:footnoteReference w:id="8"/>
      </w:r>
      <w:r w:rsidRPr="00256982">
        <w:t xml:space="preserve"> Emissions from deforestation were much lower in 2008. The level of harvesting has generally been increasing since 2008.</w:t>
      </w:r>
    </w:p>
    <w:p w14:paraId="2795EB11" w14:textId="77777777" w:rsidR="00DE64BC" w:rsidRPr="00256982" w:rsidRDefault="00DE64BC" w:rsidP="00A808C7">
      <w:pPr>
        <w:pStyle w:val="Figure"/>
      </w:pPr>
      <w:bookmarkStart w:id="68" w:name="_Toc352505106"/>
      <w:bookmarkStart w:id="69" w:name="_Toc414531573"/>
      <w:bookmarkStart w:id="70" w:name="_Toc444693967"/>
      <w:bookmarkStart w:id="71" w:name="_Toc447275652"/>
      <w:bookmarkStart w:id="72" w:name="_Toc511116916"/>
      <w:bookmarkStart w:id="73" w:name="_Toc5269649"/>
      <w:r w:rsidRPr="00256982">
        <w:lastRenderedPageBreak/>
        <w:t>Figure ES 4.4</w:t>
      </w:r>
      <w:r w:rsidRPr="00256982">
        <w:tab/>
        <w:t>New Zealand’s LULUCF sector net emissions from 1990 to</w:t>
      </w:r>
      <w:bookmarkEnd w:id="68"/>
      <w:bookmarkEnd w:id="69"/>
      <w:bookmarkEnd w:id="70"/>
      <w:bookmarkEnd w:id="71"/>
      <w:r w:rsidRPr="00256982">
        <w:t> </w:t>
      </w:r>
      <w:bookmarkEnd w:id="72"/>
      <w:r w:rsidRPr="00256982">
        <w:t>2017</w:t>
      </w:r>
      <w:bookmarkEnd w:id="73"/>
    </w:p>
    <w:p w14:paraId="3D67ADB6" w14:textId="77777777" w:rsidR="00DE64BC" w:rsidRPr="00256982" w:rsidRDefault="00590491" w:rsidP="00A808C7">
      <w:pPr>
        <w:pStyle w:val="BodyText"/>
      </w:pPr>
      <w:r>
        <w:rPr>
          <w:lang w:eastAsia="en-NZ"/>
        </w:rPr>
        <w:pict w14:anchorId="1ED73349">
          <v:shape id="_x0000_i1032" type="#_x0000_t75" style="width:426pt;height:141.75pt;visibility:visible" o:gfxdata="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">
            <v:imagedata r:id="rId25" o:title=""/>
            <o:lock v:ext="edit" aspectratio="f"/>
          </v:shape>
        </w:pict>
      </w:r>
    </w:p>
    <w:p w14:paraId="4D800458" w14:textId="77777777" w:rsidR="00DE64BC" w:rsidRPr="00256982" w:rsidRDefault="00DE64BC" w:rsidP="00A808C7">
      <w:pPr>
        <w:pStyle w:val="Heading5"/>
      </w:pPr>
      <w:r w:rsidRPr="00256982">
        <w:t>2016–2017</w:t>
      </w:r>
    </w:p>
    <w:p w14:paraId="43338D05" w14:textId="77777777" w:rsidR="00DE64BC" w:rsidRPr="00256982" w:rsidRDefault="00DE64BC" w:rsidP="00A808C7">
      <w:pPr>
        <w:pStyle w:val="BodyText"/>
      </w:pPr>
      <w:r w:rsidRPr="00256982">
        <w:t>Between 2016 and 2017, net CO</w:t>
      </w:r>
      <w:r w:rsidRPr="00256982">
        <w:rPr>
          <w:vertAlign w:val="subscript"/>
        </w:rPr>
        <w:t>2</w:t>
      </w:r>
      <w:r w:rsidRPr="00256982">
        <w:t xml:space="preserve"> emissions from the LULUCF sector increased by </w:t>
      </w:r>
      <w:r w:rsidRPr="00256982">
        <w:rPr>
          <w:spacing w:val="-2"/>
        </w:rPr>
        <w:t>873.1 kt CO</w:t>
      </w:r>
      <w:r w:rsidRPr="00256982">
        <w:rPr>
          <w:spacing w:val="-2"/>
          <w:vertAlign w:val="subscript"/>
        </w:rPr>
        <w:t>2</w:t>
      </w:r>
      <w:r w:rsidRPr="00256982">
        <w:rPr>
          <w:spacing w:val="-2"/>
        </w:rPr>
        <w:noBreakHyphen/>
        <w:t>e or</w:t>
      </w:r>
      <w:r w:rsidRPr="00256982">
        <w:t xml:space="preserve"> 3.5 per cent). The largest change occurred in the </w:t>
      </w:r>
      <w:r w:rsidRPr="00256982">
        <w:rPr>
          <w:i/>
        </w:rPr>
        <w:t>Forest land</w:t>
      </w:r>
      <w:r w:rsidRPr="00256982">
        <w:t xml:space="preserve"> category, with a 4.8 per cent increase in net emissions. </w:t>
      </w:r>
    </w:p>
    <w:p w14:paraId="2BB5C59F" w14:textId="77777777" w:rsidR="00DE64BC" w:rsidRPr="00256982" w:rsidRDefault="00DE64BC" w:rsidP="00A808C7">
      <w:pPr>
        <w:pStyle w:val="BodyText"/>
      </w:pPr>
      <w:r w:rsidRPr="00256982">
        <w:t>This was caused by an increased harvest rate and reduced deforestation rate.</w:t>
      </w:r>
      <w:r w:rsidRPr="00256982">
        <w:rPr>
          <w:rStyle w:val="FootnoteReference"/>
        </w:rPr>
        <w:footnoteReference w:id="9"/>
      </w:r>
      <w:r w:rsidRPr="00256982">
        <w:t xml:space="preserve"> The second largest change between 2016 and 2017 was the decrease in net emissions of 365.5 kt CO</w:t>
      </w:r>
      <w:r w:rsidRPr="00256982">
        <w:rPr>
          <w:vertAlign w:val="subscript"/>
        </w:rPr>
        <w:t>2</w:t>
      </w:r>
      <w:r w:rsidRPr="00256982">
        <w:t xml:space="preserve">-e (8.9 per cent) that occurred in the </w:t>
      </w:r>
      <w:r w:rsidRPr="00256982">
        <w:rPr>
          <w:i/>
        </w:rPr>
        <w:t>Grassland</w:t>
      </w:r>
      <w:r w:rsidRPr="00256982">
        <w:t xml:space="preserve"> category, due to the reduction in</w:t>
      </w:r>
      <w:r w:rsidRPr="00256982" w:rsidDel="00E42C6E">
        <w:rPr>
          <w:rStyle w:val="CommentReference"/>
          <w:rFonts w:ascii="Calibri" w:eastAsia="Arial" w:hAnsi="Calibri"/>
        </w:rPr>
        <w:t xml:space="preserve"> </w:t>
      </w:r>
      <w:r w:rsidRPr="00256982">
        <w:t xml:space="preserve">deforestation. </w:t>
      </w:r>
    </w:p>
    <w:p w14:paraId="776B1F34" w14:textId="77777777" w:rsidR="00DE64BC" w:rsidRPr="00256982" w:rsidRDefault="00DE64BC" w:rsidP="00A72006">
      <w:pPr>
        <w:pStyle w:val="Heading4"/>
      </w:pPr>
      <w:r w:rsidRPr="00256982">
        <w:t>Waste (chapter 7)</w:t>
      </w:r>
    </w:p>
    <w:p w14:paraId="639901CE" w14:textId="77777777" w:rsidR="00DE64BC" w:rsidRPr="00256982" w:rsidRDefault="00DE64BC" w:rsidP="00A808C7">
      <w:pPr>
        <w:pStyle w:val="Heading5"/>
      </w:pPr>
      <w:r w:rsidRPr="00256982">
        <w:t>2017</w:t>
      </w:r>
    </w:p>
    <w:p w14:paraId="7FE715AC" w14:textId="77777777" w:rsidR="00DE64BC" w:rsidRPr="00256982" w:rsidRDefault="00DE64BC" w:rsidP="00A808C7">
      <w:pPr>
        <w:pStyle w:val="BodyText"/>
      </w:pPr>
      <w:r w:rsidRPr="00256982">
        <w:rPr>
          <w:spacing w:val="-2"/>
        </w:rPr>
        <w:t xml:space="preserve">In 2017, emissions from the Waste sector contributed </w:t>
      </w:r>
      <w:r w:rsidRPr="00256982">
        <w:t>4,124.7</w:t>
      </w:r>
      <w:r w:rsidRPr="00256982">
        <w:rPr>
          <w:spacing w:val="-2"/>
        </w:rPr>
        <w:t xml:space="preserve"> kt CO</w:t>
      </w:r>
      <w:r w:rsidRPr="00256982">
        <w:rPr>
          <w:spacing w:val="-2"/>
          <w:vertAlign w:val="subscript"/>
        </w:rPr>
        <w:t>2</w:t>
      </w:r>
      <w:r w:rsidRPr="00256982">
        <w:rPr>
          <w:spacing w:val="-2"/>
        </w:rPr>
        <w:t xml:space="preserve">-e or 5.1 per cent of New Zealand’s gross GHG emissions. The largest source category is the </w:t>
      </w:r>
      <w:r w:rsidRPr="00256982">
        <w:rPr>
          <w:i/>
          <w:spacing w:val="-2"/>
        </w:rPr>
        <w:t>Solid waste disposal</w:t>
      </w:r>
      <w:r w:rsidRPr="00256982">
        <w:rPr>
          <w:spacing w:val="-2"/>
        </w:rPr>
        <w:t xml:space="preserve"> category</w:t>
      </w:r>
      <w:r w:rsidRPr="00256982">
        <w:t xml:space="preserve">. </w:t>
      </w:r>
    </w:p>
    <w:p w14:paraId="5F375F85" w14:textId="77777777" w:rsidR="00DE64BC" w:rsidRPr="00256982" w:rsidRDefault="00DE64BC" w:rsidP="00A808C7">
      <w:pPr>
        <w:pStyle w:val="Heading5"/>
      </w:pPr>
      <w:r w:rsidRPr="00256982">
        <w:t>1990–2017</w:t>
      </w:r>
    </w:p>
    <w:p w14:paraId="6A584ADA" w14:textId="77777777" w:rsidR="00DE64BC" w:rsidRPr="00256982" w:rsidRDefault="00DE64BC" w:rsidP="00A808C7">
      <w:pPr>
        <w:pStyle w:val="BodyText"/>
        <w:rPr>
          <w:rFonts w:eastAsia="+mn-ea"/>
        </w:rPr>
      </w:pPr>
      <w:r w:rsidRPr="00256982">
        <w:rPr>
          <w:rFonts w:eastAsia="+mn-ea"/>
        </w:rPr>
        <w:t>Total Waste sector emissions in 2017 were 82.9 kt CO</w:t>
      </w:r>
      <w:r w:rsidRPr="00256982">
        <w:rPr>
          <w:rFonts w:eastAsia="+mn-ea"/>
          <w:vertAlign w:val="subscript"/>
        </w:rPr>
        <w:t>2</w:t>
      </w:r>
      <w:r w:rsidRPr="00256982">
        <w:rPr>
          <w:rFonts w:eastAsia="+mn-ea"/>
        </w:rPr>
        <w:t>-e (2.1 per cent) above 1990 emissions of 4,041.9 kt CO</w:t>
      </w:r>
      <w:r w:rsidRPr="00256982">
        <w:rPr>
          <w:rFonts w:eastAsia="+mn-ea"/>
          <w:vertAlign w:val="subscript"/>
        </w:rPr>
        <w:t>2</w:t>
      </w:r>
      <w:r w:rsidRPr="00256982">
        <w:rPr>
          <w:rFonts w:eastAsia="+mn-ea"/>
        </w:rPr>
        <w:t>-e. Annual emissions increased between 1990 and 2002, peaking at 4,844.5 kt CO</w:t>
      </w:r>
      <w:r w:rsidRPr="00256982">
        <w:rPr>
          <w:rFonts w:eastAsia="+mn-ea"/>
          <w:vertAlign w:val="subscript"/>
        </w:rPr>
        <w:t>2</w:t>
      </w:r>
      <w:r w:rsidRPr="00256982">
        <w:rPr>
          <w:rFonts w:eastAsia="+mn-ea"/>
        </w:rPr>
        <w:noBreakHyphen/>
        <w:t xml:space="preserve">e in 2002, and have generally decreased since that time. </w:t>
      </w:r>
    </w:p>
    <w:p w14:paraId="583C8FB8" w14:textId="77777777" w:rsidR="00DE64BC" w:rsidRPr="00256982" w:rsidRDefault="00DE64BC" w:rsidP="00A808C7">
      <w:pPr>
        <w:pStyle w:val="BodyText"/>
        <w:rPr>
          <w:rFonts w:eastAsia="+mn-ea"/>
        </w:rPr>
      </w:pPr>
      <w:r w:rsidRPr="00256982">
        <w:rPr>
          <w:rFonts w:eastAsia="+mn-ea"/>
        </w:rPr>
        <w:t>The increase between 1990 and 2002 was the result of ongoing growth in population and economic activity. This resulted in increasing volumes of solid waste and wastewater for the entire time series. Waste sector emissions have been trending down since 2005, in spite of these increasing volumes.</w:t>
      </w:r>
      <w:r w:rsidRPr="00256982" w:rsidDel="001D789A">
        <w:rPr>
          <w:rFonts w:eastAsia="+mn-ea"/>
        </w:rPr>
        <w:t xml:space="preserve"> </w:t>
      </w:r>
      <w:r w:rsidRPr="00256982">
        <w:rPr>
          <w:rFonts w:eastAsia="+mn-ea"/>
        </w:rPr>
        <w:t xml:space="preserve">This is due to improvements in the management of solid waste disposal at municipal landfills, particularly increased </w:t>
      </w:r>
      <w:r w:rsidRPr="00256982">
        <w:t>CH</w:t>
      </w:r>
      <w:r w:rsidRPr="00256982">
        <w:rPr>
          <w:vertAlign w:val="subscript"/>
        </w:rPr>
        <w:t>4</w:t>
      </w:r>
      <w:r w:rsidRPr="00256982">
        <w:rPr>
          <w:rFonts w:eastAsia="+mn-ea"/>
        </w:rPr>
        <w:t xml:space="preserve"> recovery. </w:t>
      </w:r>
      <w:r w:rsidRPr="00256982">
        <w:t>The trends are shown in figure 2.2.11 in chapter 2 and figures 7.1.1 and 7.1.2 in chapter 7.</w:t>
      </w:r>
    </w:p>
    <w:p w14:paraId="26626FB8" w14:textId="77777777" w:rsidR="00DE64BC" w:rsidRPr="00256982" w:rsidRDefault="00DE64BC" w:rsidP="00A808C7">
      <w:pPr>
        <w:pStyle w:val="Heading5"/>
      </w:pPr>
      <w:r w:rsidRPr="00256982">
        <w:t>2016–2017</w:t>
      </w:r>
    </w:p>
    <w:p w14:paraId="2964B292" w14:textId="77777777" w:rsidR="00DE64BC" w:rsidRPr="00256982" w:rsidRDefault="00DE64BC" w:rsidP="00A808C7">
      <w:pPr>
        <w:pStyle w:val="BodyText"/>
      </w:pPr>
      <w:r w:rsidRPr="00256982">
        <w:t>Total Waste sector emissions in 2017 were 8.3 kt CO</w:t>
      </w:r>
      <w:r w:rsidRPr="00256982">
        <w:rPr>
          <w:vertAlign w:val="subscript"/>
        </w:rPr>
        <w:t>2</w:t>
      </w:r>
      <w:r w:rsidRPr="00256982">
        <w:t>-e (0.2 per cent) higher than emissions in 2016. This increase is largely the result of increases in CH</w:t>
      </w:r>
      <w:r w:rsidRPr="00256982">
        <w:rPr>
          <w:vertAlign w:val="subscript"/>
        </w:rPr>
        <w:t>4</w:t>
      </w:r>
      <w:r w:rsidRPr="00256982">
        <w:t xml:space="preserve"> emissions in the </w:t>
      </w:r>
      <w:r w:rsidRPr="00256982">
        <w:rPr>
          <w:i/>
        </w:rPr>
        <w:t>Solid waste disposal</w:t>
      </w:r>
      <w:r w:rsidRPr="00256982">
        <w:t xml:space="preserve"> category, mostly due to a net reduction in CH</w:t>
      </w:r>
      <w:r w:rsidRPr="00256982">
        <w:rPr>
          <w:vertAlign w:val="subscript"/>
        </w:rPr>
        <w:t>4</w:t>
      </w:r>
      <w:r w:rsidRPr="00256982">
        <w:t xml:space="preserve"> recovery rates.</w:t>
      </w:r>
    </w:p>
    <w:p w14:paraId="172364E2" w14:textId="77777777" w:rsidR="00DE64BC" w:rsidRPr="00256982" w:rsidRDefault="00DE64BC" w:rsidP="00A72006">
      <w:pPr>
        <w:pStyle w:val="Heading4"/>
      </w:pPr>
      <w:r w:rsidRPr="00256982">
        <w:lastRenderedPageBreak/>
        <w:t>Tokelau (chapter 8)</w:t>
      </w:r>
    </w:p>
    <w:p w14:paraId="43E1DD69" w14:textId="77777777" w:rsidR="00DE64BC" w:rsidRPr="00256982" w:rsidRDefault="00DE64BC" w:rsidP="00A808C7">
      <w:pPr>
        <w:pStyle w:val="Heading5"/>
        <w:spacing w:before="120"/>
      </w:pPr>
      <w:r w:rsidRPr="00256982">
        <w:t>2017</w:t>
      </w:r>
    </w:p>
    <w:p w14:paraId="4AF7DE89" w14:textId="77777777" w:rsidR="00DE64BC" w:rsidRPr="00256982" w:rsidRDefault="00DE64BC" w:rsidP="00A808C7">
      <w:pPr>
        <w:pStyle w:val="BodyText"/>
        <w:rPr>
          <w:spacing w:val="-2"/>
        </w:rPr>
      </w:pPr>
      <w:r w:rsidRPr="00256982">
        <w:t>The total amount of all GHGs from all sources in Tokelau in 2017 was 2.86 kt CO</w:t>
      </w:r>
      <w:r w:rsidRPr="00256982">
        <w:rPr>
          <w:vertAlign w:val="subscript"/>
        </w:rPr>
        <w:t>2</w:t>
      </w:r>
      <w:r w:rsidRPr="00256982">
        <w:t>-e, contributing approximately 0.004 per cent to New Zealand’s gross emissions.</w:t>
      </w:r>
      <w:r w:rsidRPr="00256982">
        <w:rPr>
          <w:spacing w:val="-2"/>
        </w:rPr>
        <w:t xml:space="preserve"> The largest source category was the </w:t>
      </w:r>
      <w:r w:rsidRPr="00256982">
        <w:rPr>
          <w:i/>
          <w:spacing w:val="-2"/>
        </w:rPr>
        <w:t>Domestic navigation</w:t>
      </w:r>
      <w:r w:rsidRPr="00256982">
        <w:rPr>
          <w:spacing w:val="-2"/>
        </w:rPr>
        <w:t xml:space="preserve"> category contributing </w:t>
      </w:r>
      <w:r w:rsidRPr="00256982">
        <w:t>1.61 kt CO</w:t>
      </w:r>
      <w:r w:rsidRPr="00256982">
        <w:rPr>
          <w:vertAlign w:val="subscript"/>
        </w:rPr>
        <w:t>2</w:t>
      </w:r>
      <w:r w:rsidRPr="00256982">
        <w:t>-e (84.5 per cent of all energy emissions and 56.4 per cent of gross emissions from Tokelau)</w:t>
      </w:r>
      <w:r w:rsidRPr="00256982">
        <w:rPr>
          <w:spacing w:val="-2"/>
        </w:rPr>
        <w:t>.</w:t>
      </w:r>
    </w:p>
    <w:p w14:paraId="2220FBFF" w14:textId="77777777" w:rsidR="00DE64BC" w:rsidRPr="00256982" w:rsidRDefault="00DE64BC" w:rsidP="00A808C7">
      <w:pPr>
        <w:pStyle w:val="Heading5"/>
      </w:pPr>
      <w:r w:rsidRPr="00256982">
        <w:t>1990–2017</w:t>
      </w:r>
    </w:p>
    <w:p w14:paraId="66703163" w14:textId="77777777" w:rsidR="00DE64BC" w:rsidRPr="00256982" w:rsidRDefault="00DE64BC" w:rsidP="00A808C7">
      <w:pPr>
        <w:pStyle w:val="BodyText"/>
      </w:pPr>
      <w:r w:rsidRPr="00256982">
        <w:t>In 1990, gross emissions from Tokelau were 3.64 kt CO</w:t>
      </w:r>
      <w:r w:rsidRPr="00256982">
        <w:rPr>
          <w:vertAlign w:val="subscript"/>
        </w:rPr>
        <w:t>2</w:t>
      </w:r>
      <w:r w:rsidRPr="00256982">
        <w:t>-e. Between 1990 and 2017, gross emissions from Tokelau decreased by 21.3 per cent (0.78 kt CO</w:t>
      </w:r>
      <w:r w:rsidRPr="00256982">
        <w:rPr>
          <w:vertAlign w:val="subscript"/>
        </w:rPr>
        <w:t>2</w:t>
      </w:r>
      <w:r w:rsidRPr="00256982">
        <w:t>-e) to 2.86 kt CO</w:t>
      </w:r>
      <w:r w:rsidRPr="00256982">
        <w:rPr>
          <w:vertAlign w:val="subscript"/>
        </w:rPr>
        <w:t>2</w:t>
      </w:r>
      <w:r w:rsidRPr="00256982">
        <w:t>-e in 2017.</w:t>
      </w:r>
    </w:p>
    <w:p w14:paraId="7923954D" w14:textId="77777777" w:rsidR="00DE64BC" w:rsidRPr="00256982" w:rsidRDefault="00DE64BC" w:rsidP="00A808C7">
      <w:pPr>
        <w:pStyle w:val="BodyText"/>
        <w:rPr>
          <w:rFonts w:eastAsia="+mn-ea"/>
        </w:rPr>
      </w:pPr>
      <w:r w:rsidRPr="00256982">
        <w:t xml:space="preserve">The emission categories that contributed the most to this change were </w:t>
      </w:r>
      <w:r w:rsidRPr="00256982">
        <w:rPr>
          <w:i/>
        </w:rPr>
        <w:t>Public electricity and heat production</w:t>
      </w:r>
      <w:r w:rsidRPr="00256982">
        <w:t xml:space="preserve"> and</w:t>
      </w:r>
      <w:r w:rsidRPr="00256982">
        <w:rPr>
          <w:i/>
        </w:rPr>
        <w:t xml:space="preserve"> Refrigeration and air conditioning</w:t>
      </w:r>
      <w:r w:rsidRPr="00256982">
        <w:t xml:space="preserve">. The main driver underpinning the change in emissions from the </w:t>
      </w:r>
      <w:r w:rsidRPr="00256982">
        <w:rPr>
          <w:i/>
        </w:rPr>
        <w:t>Public electricity and heat production</w:t>
      </w:r>
      <w:r w:rsidRPr="00256982">
        <w:t xml:space="preserve"> category was switching to a 100 per cent solar photovoltaics energy system by the end of 2012. That resulted in a significant drop in consumption of imported petroleum products (by approximately 82 per cent) used for electricity production in Tokelau and a decrease in energy emissions from 2011. The decrease in emissions from the Energy sector was somewhat offset by a 0.28 kt CO</w:t>
      </w:r>
      <w:r w:rsidRPr="00256982">
        <w:rPr>
          <w:vertAlign w:val="subscript"/>
        </w:rPr>
        <w:t>2</w:t>
      </w:r>
      <w:r w:rsidRPr="00256982">
        <w:t>-e increase from consumption of HFCs between 1990 and 2017 as the use of fridges and freezers became more common in Tokelau.</w:t>
      </w:r>
      <w:r w:rsidRPr="00256982">
        <w:rPr>
          <w:rFonts w:eastAsia="+mn-ea"/>
        </w:rPr>
        <w:t xml:space="preserve"> </w:t>
      </w:r>
      <w:r w:rsidRPr="00256982">
        <w:t>The trends are shown in figure 2.3.1 in chapter 2 and figure 8.1.4 in chapter 8.</w:t>
      </w:r>
    </w:p>
    <w:p w14:paraId="6523B237" w14:textId="77777777" w:rsidR="00DE64BC" w:rsidRPr="00256982" w:rsidRDefault="00DE64BC" w:rsidP="00A808C7">
      <w:pPr>
        <w:pStyle w:val="Heading5"/>
      </w:pPr>
      <w:r w:rsidRPr="00256982">
        <w:t>2016–2017</w:t>
      </w:r>
    </w:p>
    <w:p w14:paraId="2578E2F1" w14:textId="77777777" w:rsidR="00DE64BC" w:rsidRPr="00256982" w:rsidRDefault="00DE64BC" w:rsidP="00A808C7">
      <w:pPr>
        <w:pStyle w:val="BodyText"/>
      </w:pPr>
      <w:r w:rsidRPr="00256982">
        <w:t>There were no significant changes in emissions from Tokelau between 2016 and 2017 (0.02 kt CO</w:t>
      </w:r>
      <w:r w:rsidRPr="00256982">
        <w:rPr>
          <w:vertAlign w:val="subscript"/>
        </w:rPr>
        <w:t>2</w:t>
      </w:r>
      <w:r w:rsidRPr="00256982">
        <w:noBreakHyphen/>
        <w:t xml:space="preserve">e or 0.7 per cent). </w:t>
      </w:r>
    </w:p>
    <w:p w14:paraId="29A6EDCD" w14:textId="77777777" w:rsidR="00DE64BC" w:rsidRPr="00256982" w:rsidRDefault="00DE64BC" w:rsidP="001D3490">
      <w:pPr>
        <w:pStyle w:val="Heading2"/>
      </w:pPr>
      <w:bookmarkStart w:id="74" w:name="_Toc384580473"/>
      <w:bookmarkStart w:id="75" w:name="_Toc384581608"/>
      <w:bookmarkStart w:id="76" w:name="_Toc391023767"/>
      <w:bookmarkStart w:id="77" w:name="_Toc414531263"/>
      <w:bookmarkStart w:id="78" w:name="_Toc448321484"/>
      <w:bookmarkStart w:id="79" w:name="_Toc511116561"/>
      <w:bookmarkStart w:id="80" w:name="_Toc5269323"/>
      <w:r w:rsidRPr="00256982">
        <w:t xml:space="preserve">ES.5 </w:t>
      </w:r>
      <w:r w:rsidRPr="00256982">
        <w:tab/>
        <w:t>Activities under Article 3.3 and Article 3.4 of the Kyoto Protocol</w:t>
      </w:r>
      <w:bookmarkEnd w:id="74"/>
      <w:bookmarkEnd w:id="75"/>
      <w:bookmarkEnd w:id="76"/>
      <w:r w:rsidRPr="00256982">
        <w:t xml:space="preserve"> (chapter 11)</w:t>
      </w:r>
      <w:bookmarkEnd w:id="77"/>
      <w:bookmarkEnd w:id="78"/>
      <w:bookmarkEnd w:id="79"/>
      <w:bookmarkEnd w:id="80"/>
    </w:p>
    <w:p w14:paraId="03FD986F" w14:textId="501BD468" w:rsidR="00DE64BC" w:rsidRPr="00256982" w:rsidRDefault="00DE64BC" w:rsidP="00A808C7">
      <w:pPr>
        <w:pStyle w:val="BodyText"/>
      </w:pPr>
      <w:r w:rsidRPr="00256982">
        <w:rPr>
          <w:lang w:eastAsia="en-NZ"/>
        </w:rPr>
        <w:t>For Annex I Parties that have t</w:t>
      </w:r>
      <w:r w:rsidRPr="00256982">
        <w:t xml:space="preserve">aken a target to reduce GHG emissions under the Kyoto Protocol, reporting of </w:t>
      </w:r>
      <w:r w:rsidRPr="00256982">
        <w:rPr>
          <w:i/>
        </w:rPr>
        <w:t>Afforestation and reforestation</w:t>
      </w:r>
      <w:r w:rsidRPr="00256982">
        <w:t xml:space="preserve"> and </w:t>
      </w:r>
      <w:r w:rsidRPr="00256982">
        <w:rPr>
          <w:i/>
        </w:rPr>
        <w:t>Deforestation</w:t>
      </w:r>
      <w:r w:rsidRPr="00256982">
        <w:t xml:space="preserve"> activities since 1990, and </w:t>
      </w:r>
      <w:r w:rsidRPr="00256982">
        <w:rPr>
          <w:i/>
        </w:rPr>
        <w:t>Forest management</w:t>
      </w:r>
      <w:r w:rsidRPr="00256982">
        <w:t xml:space="preserve"> is mandatory during the second commitment period of the Kyoto Protocol. This is a change from the first commitment period, when reporting on </w:t>
      </w:r>
      <w:r w:rsidRPr="00256982">
        <w:rPr>
          <w:i/>
        </w:rPr>
        <w:t>Forest management</w:t>
      </w:r>
      <w:r w:rsidRPr="00256982">
        <w:t xml:space="preserve"> was voluntary for Annex I Parties. Reporting on </w:t>
      </w:r>
      <w:r w:rsidRPr="00256982">
        <w:rPr>
          <w:i/>
        </w:rPr>
        <w:t>Cropland management</w:t>
      </w:r>
      <w:r w:rsidRPr="00256982">
        <w:t xml:space="preserve">, </w:t>
      </w:r>
      <w:r w:rsidRPr="00256982">
        <w:rPr>
          <w:i/>
        </w:rPr>
        <w:t>Grazing land management</w:t>
      </w:r>
      <w:r w:rsidRPr="00256982">
        <w:t xml:space="preserve">, </w:t>
      </w:r>
      <w:r w:rsidRPr="00256982">
        <w:rPr>
          <w:i/>
        </w:rPr>
        <w:t>Revegetation</w:t>
      </w:r>
      <w:r w:rsidRPr="00256982">
        <w:t xml:space="preserve"> and </w:t>
      </w:r>
      <w:r w:rsidRPr="00256982">
        <w:rPr>
          <w:i/>
        </w:rPr>
        <w:t>Wetland drainage and rewetting</w:t>
      </w:r>
      <w:r w:rsidRPr="00256982">
        <w:t xml:space="preserve"> is voluntary for 2013–20 (Kyoto Protocol, Article 3.4). New Zealand has not elected to report on any of these voluntary categories.</w:t>
      </w:r>
    </w:p>
    <w:p w14:paraId="32CD8E53" w14:textId="77777777" w:rsidR="00DE64BC" w:rsidRPr="00256982" w:rsidRDefault="00DE64BC" w:rsidP="00A808C7">
      <w:pPr>
        <w:pStyle w:val="BodyText"/>
      </w:pPr>
      <w:r w:rsidRPr="00256982">
        <w:t>More information on how New Zealand accounts against its target is provided in section ES.2.</w:t>
      </w:r>
    </w:p>
    <w:p w14:paraId="12D9E23E" w14:textId="77777777" w:rsidR="00DE64BC" w:rsidRPr="00256982" w:rsidRDefault="00DE64BC" w:rsidP="00A808C7">
      <w:pPr>
        <w:pStyle w:val="BodyText"/>
      </w:pPr>
      <w:r w:rsidRPr="00256982">
        <w:t>New Zealand reports on activities under Article 3.3 and Article 3.4 of the Kyoto Protocol by monitoring trends in land use. The Ministry for the Environment tracks forest land use and periodically produces land use maps. This information is supplemented by forestry statistics produced by the Ministry for Primary Industries. These data sources are used to detect the following trends in land use.</w:t>
      </w:r>
    </w:p>
    <w:p w14:paraId="4BC92111" w14:textId="77777777" w:rsidR="00DE64BC" w:rsidRPr="00256982" w:rsidRDefault="00DE64BC" w:rsidP="00A808C7">
      <w:pPr>
        <w:pStyle w:val="Heading5"/>
      </w:pPr>
      <w:r w:rsidRPr="00256982">
        <w:t xml:space="preserve">Afforestation and reforestation </w:t>
      </w:r>
    </w:p>
    <w:p w14:paraId="7E065A05" w14:textId="77777777" w:rsidR="00DE64BC" w:rsidRPr="00256982" w:rsidRDefault="00DE64BC" w:rsidP="00A808C7">
      <w:pPr>
        <w:pStyle w:val="BodyText"/>
      </w:pPr>
      <w:r w:rsidRPr="00256982">
        <w:t xml:space="preserve">The net area subject to </w:t>
      </w:r>
      <w:r w:rsidRPr="00256982">
        <w:rPr>
          <w:i/>
        </w:rPr>
        <w:t>Afforestation and reforestation</w:t>
      </w:r>
      <w:r w:rsidRPr="00256982">
        <w:t xml:space="preserve"> activities between 1990 and 2017 was 680,086 hectares. This excludes the area subsequently converted to another land use, which is reported as a </w:t>
      </w:r>
      <w:r w:rsidRPr="00256982">
        <w:rPr>
          <w:i/>
        </w:rPr>
        <w:t>Deforestation</w:t>
      </w:r>
      <w:r w:rsidRPr="00256982">
        <w:t xml:space="preserve"> activity. The provisional estimate of </w:t>
      </w:r>
      <w:r w:rsidRPr="00256982">
        <w:rPr>
          <w:i/>
        </w:rPr>
        <w:t>Afforestation and reforestation</w:t>
      </w:r>
      <w:r w:rsidRPr="00256982">
        <w:t xml:space="preserve"> for 2017 is 4,979 hectares. </w:t>
      </w:r>
    </w:p>
    <w:p w14:paraId="54B871A5" w14:textId="77777777" w:rsidR="00DE64BC" w:rsidRPr="00256982" w:rsidRDefault="00DE64BC" w:rsidP="00A808C7">
      <w:pPr>
        <w:pStyle w:val="Heading5"/>
      </w:pPr>
      <w:r w:rsidRPr="00256982">
        <w:lastRenderedPageBreak/>
        <w:t xml:space="preserve">Deforestation </w:t>
      </w:r>
    </w:p>
    <w:p w14:paraId="42EC9C49" w14:textId="77777777" w:rsidR="00DE64BC" w:rsidRPr="00256982" w:rsidRDefault="00DE64BC" w:rsidP="00A808C7">
      <w:pPr>
        <w:pStyle w:val="BodyText"/>
      </w:pPr>
      <w:r w:rsidRPr="00256982">
        <w:t xml:space="preserve">The area deforested between 1 January 1990 and 31 December 2017 was 200,161 hectares. The area subject to </w:t>
      </w:r>
      <w:r w:rsidRPr="00256982">
        <w:rPr>
          <w:i/>
        </w:rPr>
        <w:t>Deforestation</w:t>
      </w:r>
      <w:r w:rsidRPr="00256982">
        <w:t xml:space="preserve"> in 2017 was 2,947 hectares. </w:t>
      </w:r>
    </w:p>
    <w:p w14:paraId="0A347217" w14:textId="77777777" w:rsidR="00DE64BC" w:rsidRPr="00256982" w:rsidRDefault="00DE64BC" w:rsidP="00A808C7">
      <w:pPr>
        <w:pStyle w:val="Heading5"/>
      </w:pPr>
      <w:r w:rsidRPr="00256982">
        <w:t>Forest management</w:t>
      </w:r>
    </w:p>
    <w:p w14:paraId="1909A078" w14:textId="77777777" w:rsidR="00DE64BC" w:rsidRPr="00256982" w:rsidRDefault="00DE64BC" w:rsidP="00A808C7">
      <w:pPr>
        <w:pStyle w:val="BodyText"/>
      </w:pPr>
      <w:r w:rsidRPr="00256982">
        <w:t xml:space="preserve">The net area reported under </w:t>
      </w:r>
      <w:r w:rsidRPr="00256982">
        <w:rPr>
          <w:i/>
        </w:rPr>
        <w:t>Forest management</w:t>
      </w:r>
      <w:r w:rsidRPr="00256982">
        <w:t xml:space="preserve"> as at the end of 2017 was 9,245,248 hectares (table ES 5.1(a)). This represents 34.3 per cent of New Zealand’s total land area. </w:t>
      </w:r>
    </w:p>
    <w:p w14:paraId="215DD358" w14:textId="77777777" w:rsidR="00DE64BC" w:rsidRPr="00256982" w:rsidRDefault="00DE64BC" w:rsidP="00A808C7">
      <w:pPr>
        <w:pStyle w:val="Table"/>
      </w:pPr>
      <w:bookmarkStart w:id="81" w:name="_Toc511116700"/>
      <w:bookmarkStart w:id="82" w:name="_Toc5269434"/>
      <w:r w:rsidRPr="00256982">
        <w:t>Table ES 5.1(a)</w:t>
      </w:r>
      <w:r w:rsidRPr="00256982">
        <w:tab/>
        <w:t>New Zealand’s land use areas for Afforestation and reforestation, Deforestation</w:t>
      </w:r>
      <w:r w:rsidRPr="00256982">
        <w:br/>
        <w:t>and Forest management</w:t>
      </w:r>
      <w:bookmarkEnd w:id="81"/>
      <w:bookmarkEnd w:id="82"/>
    </w:p>
    <w:tbl>
      <w:tblPr>
        <w:tblW w:w="8562" w:type="dxa"/>
        <w:tblInd w:w="108" w:type="dxa"/>
        <w:tblLayout w:type="fixed"/>
        <w:tblLook w:val="04A0" w:firstRow="1" w:lastRow="0" w:firstColumn="1" w:lastColumn="0" w:noHBand="0" w:noVBand="1"/>
      </w:tblPr>
      <w:tblGrid>
        <w:gridCol w:w="2782"/>
        <w:gridCol w:w="1156"/>
        <w:gridCol w:w="1156"/>
        <w:gridCol w:w="1156"/>
        <w:gridCol w:w="1156"/>
        <w:gridCol w:w="1156"/>
      </w:tblGrid>
      <w:tr w:rsidR="00DE64BC" w:rsidRPr="00256982" w14:paraId="314A8E6D" w14:textId="77777777" w:rsidTr="00084588">
        <w:tc>
          <w:tcPr>
            <w:tcW w:w="2727" w:type="dxa"/>
            <w:tcBorders>
              <w:top w:val="single" w:sz="4" w:space="0" w:color="365F91"/>
              <w:left w:val="nil"/>
              <w:right w:val="nil"/>
            </w:tcBorders>
            <w:shd w:val="clear" w:color="000000" w:fill="365F91"/>
          </w:tcPr>
          <w:p w14:paraId="27818FD7" w14:textId="77777777" w:rsidR="00DE64BC" w:rsidRPr="00256982" w:rsidRDefault="00DE64BC" w:rsidP="00A808C7">
            <w:pPr>
              <w:pStyle w:val="TableTextBold"/>
              <w:rPr>
                <w:noProof w:val="0"/>
                <w:color w:val="FFFFFF"/>
                <w:lang w:eastAsia="en-NZ"/>
              </w:rPr>
            </w:pPr>
          </w:p>
        </w:tc>
        <w:tc>
          <w:tcPr>
            <w:tcW w:w="4536" w:type="dxa"/>
            <w:gridSpan w:val="4"/>
            <w:tcBorders>
              <w:top w:val="single" w:sz="4" w:space="0" w:color="365F91"/>
              <w:left w:val="nil"/>
              <w:right w:val="nil"/>
            </w:tcBorders>
            <w:shd w:val="clear" w:color="000000" w:fill="365F91"/>
          </w:tcPr>
          <w:p w14:paraId="3077FFC7" w14:textId="77777777" w:rsidR="00DE64BC" w:rsidRPr="00256982" w:rsidRDefault="00DE64BC" w:rsidP="00A808C7">
            <w:pPr>
              <w:pStyle w:val="TableTextBold"/>
              <w:jc w:val="center"/>
              <w:rPr>
                <w:noProof w:val="0"/>
                <w:color w:val="FFFFFF"/>
                <w:lang w:eastAsia="en-NZ"/>
              </w:rPr>
            </w:pPr>
            <w:r w:rsidRPr="00256982">
              <w:rPr>
                <w:noProof w:val="0"/>
                <w:color w:val="FFFFFF"/>
                <w:lang w:eastAsia="en-NZ"/>
              </w:rPr>
              <w:t>Hectares</w:t>
            </w:r>
          </w:p>
        </w:tc>
        <w:tc>
          <w:tcPr>
            <w:tcW w:w="1134" w:type="dxa"/>
            <w:tcBorders>
              <w:top w:val="single" w:sz="4" w:space="0" w:color="365F91"/>
              <w:left w:val="nil"/>
              <w:right w:val="nil"/>
            </w:tcBorders>
            <w:shd w:val="clear" w:color="000000" w:fill="365F91"/>
          </w:tcPr>
          <w:p w14:paraId="069C3283" w14:textId="77777777" w:rsidR="00DE64BC" w:rsidRPr="00256982" w:rsidRDefault="00DE64BC" w:rsidP="00A808C7">
            <w:pPr>
              <w:pStyle w:val="TableTextBold"/>
              <w:jc w:val="center"/>
              <w:rPr>
                <w:noProof w:val="0"/>
                <w:color w:val="FFFFFF"/>
                <w:lang w:eastAsia="en-NZ"/>
              </w:rPr>
            </w:pPr>
          </w:p>
        </w:tc>
      </w:tr>
      <w:tr w:rsidR="00DE64BC" w:rsidRPr="00256982" w14:paraId="429CA23D" w14:textId="77777777" w:rsidTr="00084588">
        <w:tc>
          <w:tcPr>
            <w:tcW w:w="2727" w:type="dxa"/>
            <w:tcBorders>
              <w:left w:val="nil"/>
              <w:right w:val="nil"/>
            </w:tcBorders>
            <w:shd w:val="clear" w:color="000000" w:fill="365F91"/>
            <w:hideMark/>
          </w:tcPr>
          <w:p w14:paraId="1446C657" w14:textId="77777777" w:rsidR="00DE64BC" w:rsidRPr="00256982" w:rsidRDefault="00DE64BC" w:rsidP="00A808C7">
            <w:pPr>
              <w:pStyle w:val="TableTextBold"/>
              <w:rPr>
                <w:noProof w:val="0"/>
                <w:color w:val="FFFFFF"/>
                <w:lang w:eastAsia="en-NZ"/>
              </w:rPr>
            </w:pPr>
          </w:p>
        </w:tc>
        <w:tc>
          <w:tcPr>
            <w:tcW w:w="1134" w:type="dxa"/>
            <w:tcBorders>
              <w:left w:val="nil"/>
              <w:right w:val="nil"/>
            </w:tcBorders>
            <w:shd w:val="clear" w:color="000000" w:fill="365F91"/>
            <w:hideMark/>
          </w:tcPr>
          <w:p w14:paraId="7A33A9CE" w14:textId="77777777" w:rsidR="00DE64BC" w:rsidRPr="00256982" w:rsidRDefault="00DE64BC" w:rsidP="00A808C7">
            <w:pPr>
              <w:pStyle w:val="TableTextBold"/>
              <w:jc w:val="center"/>
              <w:rPr>
                <w:noProof w:val="0"/>
                <w:color w:val="FFFFFF"/>
                <w:lang w:eastAsia="en-NZ"/>
              </w:rPr>
            </w:pPr>
            <w:r w:rsidRPr="00256982">
              <w:rPr>
                <w:noProof w:val="0"/>
                <w:color w:val="FFFFFF"/>
                <w:lang w:eastAsia="en-NZ"/>
              </w:rPr>
              <w:t>2013</w:t>
            </w:r>
          </w:p>
        </w:tc>
        <w:tc>
          <w:tcPr>
            <w:tcW w:w="1134" w:type="dxa"/>
            <w:tcBorders>
              <w:left w:val="nil"/>
              <w:right w:val="nil"/>
            </w:tcBorders>
            <w:shd w:val="clear" w:color="000000" w:fill="365F91"/>
            <w:hideMark/>
          </w:tcPr>
          <w:p w14:paraId="2B063880" w14:textId="77777777" w:rsidR="00DE64BC" w:rsidRPr="00256982" w:rsidRDefault="00DE64BC" w:rsidP="00A808C7">
            <w:pPr>
              <w:pStyle w:val="TableTextBold"/>
              <w:jc w:val="center"/>
              <w:rPr>
                <w:noProof w:val="0"/>
                <w:color w:val="FFFFFF"/>
                <w:lang w:eastAsia="en-NZ"/>
              </w:rPr>
            </w:pPr>
            <w:r w:rsidRPr="00256982">
              <w:rPr>
                <w:noProof w:val="0"/>
                <w:color w:val="FFFFFF"/>
                <w:lang w:eastAsia="en-NZ"/>
              </w:rPr>
              <w:t>2014</w:t>
            </w:r>
          </w:p>
        </w:tc>
        <w:tc>
          <w:tcPr>
            <w:tcW w:w="1134" w:type="dxa"/>
            <w:tcBorders>
              <w:left w:val="nil"/>
              <w:right w:val="nil"/>
            </w:tcBorders>
            <w:shd w:val="clear" w:color="000000" w:fill="365F91"/>
            <w:hideMark/>
          </w:tcPr>
          <w:p w14:paraId="28B2594C" w14:textId="77777777" w:rsidR="00DE64BC" w:rsidRPr="00256982" w:rsidRDefault="00DE64BC" w:rsidP="00A808C7">
            <w:pPr>
              <w:pStyle w:val="TableTextBold"/>
              <w:jc w:val="center"/>
              <w:rPr>
                <w:noProof w:val="0"/>
                <w:color w:val="FFFFFF"/>
                <w:lang w:eastAsia="en-NZ"/>
              </w:rPr>
            </w:pPr>
            <w:r w:rsidRPr="00256982">
              <w:rPr>
                <w:noProof w:val="0"/>
                <w:color w:val="FFFFFF"/>
                <w:lang w:eastAsia="en-NZ"/>
              </w:rPr>
              <w:t>2015</w:t>
            </w:r>
          </w:p>
        </w:tc>
        <w:tc>
          <w:tcPr>
            <w:tcW w:w="1134" w:type="dxa"/>
            <w:tcBorders>
              <w:left w:val="nil"/>
              <w:right w:val="nil"/>
            </w:tcBorders>
            <w:shd w:val="clear" w:color="000000" w:fill="365F91"/>
            <w:hideMark/>
          </w:tcPr>
          <w:p w14:paraId="5D18876F" w14:textId="77777777" w:rsidR="00DE64BC" w:rsidRPr="00256982" w:rsidRDefault="00DE64BC" w:rsidP="00A808C7">
            <w:pPr>
              <w:pStyle w:val="TableTextBold"/>
              <w:jc w:val="center"/>
              <w:rPr>
                <w:noProof w:val="0"/>
                <w:color w:val="FFFFFF"/>
                <w:lang w:eastAsia="en-NZ"/>
              </w:rPr>
            </w:pPr>
            <w:r w:rsidRPr="00256982">
              <w:rPr>
                <w:noProof w:val="0"/>
                <w:color w:val="FFFFFF"/>
                <w:lang w:eastAsia="en-NZ"/>
              </w:rPr>
              <w:t>2016</w:t>
            </w:r>
          </w:p>
        </w:tc>
        <w:tc>
          <w:tcPr>
            <w:tcW w:w="1134" w:type="dxa"/>
            <w:tcBorders>
              <w:left w:val="nil"/>
              <w:right w:val="nil"/>
            </w:tcBorders>
            <w:shd w:val="clear" w:color="000000" w:fill="365F91"/>
          </w:tcPr>
          <w:p w14:paraId="11108A77" w14:textId="77777777" w:rsidR="00DE64BC" w:rsidRPr="00256982" w:rsidRDefault="00DE64BC" w:rsidP="00A808C7">
            <w:pPr>
              <w:pStyle w:val="TableTextBold"/>
              <w:jc w:val="center"/>
              <w:rPr>
                <w:noProof w:val="0"/>
                <w:color w:val="FFFFFF"/>
                <w:lang w:eastAsia="en-NZ"/>
              </w:rPr>
            </w:pPr>
            <w:r w:rsidRPr="00256982">
              <w:rPr>
                <w:noProof w:val="0"/>
                <w:color w:val="FFFFFF"/>
                <w:lang w:eastAsia="en-NZ"/>
              </w:rPr>
              <w:t>2017</w:t>
            </w:r>
            <w:r w:rsidRPr="00256982">
              <w:rPr>
                <w:noProof w:val="0"/>
                <w:color w:val="FFFFFF"/>
                <w:vertAlign w:val="superscript"/>
                <w:lang w:eastAsia="en-NZ"/>
              </w:rPr>
              <w:t>P</w:t>
            </w:r>
          </w:p>
        </w:tc>
      </w:tr>
      <w:tr w:rsidR="00DE64BC" w:rsidRPr="00256982" w14:paraId="5F0CB4F1" w14:textId="77777777" w:rsidTr="00084588">
        <w:tc>
          <w:tcPr>
            <w:tcW w:w="2727" w:type="dxa"/>
            <w:tcBorders>
              <w:left w:val="nil"/>
              <w:bottom w:val="single" w:sz="4" w:space="0" w:color="auto"/>
              <w:right w:val="nil"/>
            </w:tcBorders>
            <w:shd w:val="clear" w:color="auto" w:fill="auto"/>
            <w:hideMark/>
          </w:tcPr>
          <w:p w14:paraId="0E08E20B" w14:textId="77777777" w:rsidR="00DE64BC" w:rsidRPr="00256982" w:rsidRDefault="00DE64BC" w:rsidP="00A808C7">
            <w:pPr>
              <w:pStyle w:val="TableTextBold"/>
              <w:rPr>
                <w:noProof w:val="0"/>
                <w:lang w:eastAsia="en-NZ"/>
              </w:rPr>
            </w:pPr>
            <w:r w:rsidRPr="00256982">
              <w:rPr>
                <w:noProof w:val="0"/>
                <w:lang w:eastAsia="en-NZ"/>
              </w:rPr>
              <w:t>Afforestation and reforestation</w:t>
            </w:r>
          </w:p>
        </w:tc>
        <w:tc>
          <w:tcPr>
            <w:tcW w:w="1134" w:type="dxa"/>
            <w:tcBorders>
              <w:top w:val="nil"/>
              <w:left w:val="nil"/>
              <w:bottom w:val="single" w:sz="8" w:space="0" w:color="44546A"/>
              <w:right w:val="nil"/>
            </w:tcBorders>
            <w:shd w:val="clear" w:color="auto" w:fill="auto"/>
            <w:noWrap/>
          </w:tcPr>
          <w:p w14:paraId="05D47859" w14:textId="77777777" w:rsidR="00DE64BC" w:rsidRPr="00256982" w:rsidRDefault="00DE64BC" w:rsidP="00A808C7">
            <w:pPr>
              <w:pStyle w:val="TableText"/>
              <w:jc w:val="right"/>
              <w:rPr>
                <w:lang w:eastAsia="en-NZ"/>
              </w:rPr>
            </w:pPr>
          </w:p>
        </w:tc>
        <w:tc>
          <w:tcPr>
            <w:tcW w:w="1134" w:type="dxa"/>
            <w:tcBorders>
              <w:top w:val="nil"/>
              <w:left w:val="nil"/>
              <w:bottom w:val="single" w:sz="8" w:space="0" w:color="44546A"/>
              <w:right w:val="nil"/>
            </w:tcBorders>
            <w:shd w:val="clear" w:color="auto" w:fill="auto"/>
            <w:noWrap/>
          </w:tcPr>
          <w:p w14:paraId="43199239" w14:textId="77777777" w:rsidR="00DE64BC" w:rsidRPr="00256982" w:rsidRDefault="00DE64BC" w:rsidP="00A808C7">
            <w:pPr>
              <w:pStyle w:val="TableText"/>
              <w:jc w:val="right"/>
              <w:rPr>
                <w:lang w:eastAsia="en-NZ"/>
              </w:rPr>
            </w:pPr>
          </w:p>
        </w:tc>
        <w:tc>
          <w:tcPr>
            <w:tcW w:w="1134" w:type="dxa"/>
            <w:tcBorders>
              <w:top w:val="nil"/>
              <w:left w:val="nil"/>
              <w:bottom w:val="single" w:sz="8" w:space="0" w:color="44546A"/>
              <w:right w:val="nil"/>
            </w:tcBorders>
            <w:shd w:val="clear" w:color="auto" w:fill="auto"/>
            <w:noWrap/>
          </w:tcPr>
          <w:p w14:paraId="470B6EC5" w14:textId="77777777" w:rsidR="00DE64BC" w:rsidRPr="00256982" w:rsidRDefault="00DE64BC" w:rsidP="00A808C7">
            <w:pPr>
              <w:pStyle w:val="TableText"/>
              <w:jc w:val="right"/>
              <w:rPr>
                <w:lang w:eastAsia="en-NZ"/>
              </w:rPr>
            </w:pPr>
          </w:p>
        </w:tc>
        <w:tc>
          <w:tcPr>
            <w:tcW w:w="1134" w:type="dxa"/>
            <w:tcBorders>
              <w:top w:val="nil"/>
              <w:left w:val="nil"/>
              <w:bottom w:val="single" w:sz="8" w:space="0" w:color="44546A"/>
              <w:right w:val="nil"/>
            </w:tcBorders>
            <w:shd w:val="clear" w:color="auto" w:fill="auto"/>
            <w:noWrap/>
          </w:tcPr>
          <w:p w14:paraId="1CA56225" w14:textId="77777777" w:rsidR="00DE64BC" w:rsidRPr="00256982" w:rsidRDefault="00DE64BC" w:rsidP="00A808C7">
            <w:pPr>
              <w:pStyle w:val="TableText"/>
              <w:jc w:val="right"/>
              <w:rPr>
                <w:lang w:eastAsia="en-NZ"/>
              </w:rPr>
            </w:pPr>
          </w:p>
        </w:tc>
        <w:tc>
          <w:tcPr>
            <w:tcW w:w="1134" w:type="dxa"/>
            <w:tcBorders>
              <w:top w:val="nil"/>
              <w:left w:val="nil"/>
              <w:bottom w:val="single" w:sz="8" w:space="0" w:color="44546A"/>
              <w:right w:val="nil"/>
            </w:tcBorders>
            <w:shd w:val="clear" w:color="auto" w:fill="auto"/>
          </w:tcPr>
          <w:p w14:paraId="0FB2F279" w14:textId="77777777" w:rsidR="00DE64BC" w:rsidRPr="00256982" w:rsidRDefault="00DE64BC" w:rsidP="00A808C7">
            <w:pPr>
              <w:pStyle w:val="TableText"/>
              <w:jc w:val="right"/>
              <w:rPr>
                <w:lang w:eastAsia="en-NZ"/>
              </w:rPr>
            </w:pPr>
          </w:p>
        </w:tc>
      </w:tr>
      <w:tr w:rsidR="00DE64BC" w:rsidRPr="00256982" w14:paraId="06FC915B" w14:textId="77777777" w:rsidTr="00084588">
        <w:tc>
          <w:tcPr>
            <w:tcW w:w="2727" w:type="dxa"/>
            <w:tcBorders>
              <w:top w:val="single" w:sz="4" w:space="0" w:color="auto"/>
              <w:left w:val="nil"/>
              <w:right w:val="nil"/>
            </w:tcBorders>
            <w:shd w:val="clear" w:color="auto" w:fill="auto"/>
            <w:hideMark/>
          </w:tcPr>
          <w:p w14:paraId="0586691B" w14:textId="77777777" w:rsidR="00DE64BC" w:rsidRPr="00256982" w:rsidRDefault="00DE64BC" w:rsidP="00A808C7">
            <w:pPr>
              <w:pStyle w:val="TableText"/>
              <w:rPr>
                <w:lang w:eastAsia="en-NZ"/>
              </w:rPr>
            </w:pPr>
            <w:r w:rsidRPr="00256982">
              <w:rPr>
                <w:lang w:eastAsia="en-NZ"/>
              </w:rPr>
              <w:t>Net cumulative area since 1990</w:t>
            </w:r>
          </w:p>
        </w:tc>
        <w:tc>
          <w:tcPr>
            <w:tcW w:w="1134" w:type="dxa"/>
            <w:tcBorders>
              <w:top w:val="nil"/>
              <w:left w:val="nil"/>
              <w:bottom w:val="single" w:sz="8" w:space="0" w:color="44546A"/>
              <w:right w:val="nil"/>
            </w:tcBorders>
            <w:shd w:val="clear" w:color="auto" w:fill="auto"/>
          </w:tcPr>
          <w:p w14:paraId="107AE556" w14:textId="77777777" w:rsidR="00DE64BC" w:rsidRPr="00256982" w:rsidRDefault="00DE64BC" w:rsidP="00A808C7">
            <w:pPr>
              <w:pStyle w:val="TableText"/>
              <w:jc w:val="right"/>
              <w:rPr>
                <w:lang w:eastAsia="en-NZ"/>
              </w:rPr>
            </w:pPr>
            <w:r w:rsidRPr="00256982">
              <w:rPr>
                <w:rFonts w:cs="Arial"/>
                <w:color w:val="000000"/>
                <w:szCs w:val="16"/>
              </w:rPr>
              <w:t>670,107</w:t>
            </w:r>
          </w:p>
        </w:tc>
        <w:tc>
          <w:tcPr>
            <w:tcW w:w="1134" w:type="dxa"/>
            <w:tcBorders>
              <w:top w:val="nil"/>
              <w:left w:val="nil"/>
              <w:bottom w:val="single" w:sz="8" w:space="0" w:color="44546A"/>
              <w:right w:val="nil"/>
            </w:tcBorders>
            <w:shd w:val="clear" w:color="auto" w:fill="auto"/>
          </w:tcPr>
          <w:p w14:paraId="55BCD461" w14:textId="77777777" w:rsidR="00DE64BC" w:rsidRPr="00256982" w:rsidRDefault="00DE64BC" w:rsidP="00A808C7">
            <w:pPr>
              <w:pStyle w:val="TableText"/>
              <w:jc w:val="right"/>
              <w:rPr>
                <w:lang w:eastAsia="en-NZ"/>
              </w:rPr>
            </w:pPr>
            <w:r w:rsidRPr="00256982">
              <w:rPr>
                <w:rFonts w:cs="Arial"/>
                <w:color w:val="000000"/>
                <w:szCs w:val="16"/>
              </w:rPr>
              <w:t>671,838</w:t>
            </w:r>
          </w:p>
        </w:tc>
        <w:tc>
          <w:tcPr>
            <w:tcW w:w="1134" w:type="dxa"/>
            <w:tcBorders>
              <w:top w:val="nil"/>
              <w:left w:val="nil"/>
              <w:bottom w:val="single" w:sz="8" w:space="0" w:color="44546A"/>
              <w:right w:val="nil"/>
            </w:tcBorders>
            <w:shd w:val="clear" w:color="auto" w:fill="auto"/>
          </w:tcPr>
          <w:p w14:paraId="482C79A9" w14:textId="77777777" w:rsidR="00DE64BC" w:rsidRPr="00256982" w:rsidRDefault="00DE64BC" w:rsidP="00A808C7">
            <w:pPr>
              <w:pStyle w:val="TableText"/>
              <w:jc w:val="right"/>
              <w:rPr>
                <w:lang w:eastAsia="en-NZ"/>
              </w:rPr>
            </w:pPr>
            <w:r w:rsidRPr="00256982">
              <w:rPr>
                <w:rFonts w:cs="Arial"/>
                <w:color w:val="000000"/>
                <w:szCs w:val="16"/>
              </w:rPr>
              <w:t>673,671</w:t>
            </w:r>
          </w:p>
        </w:tc>
        <w:tc>
          <w:tcPr>
            <w:tcW w:w="1134" w:type="dxa"/>
            <w:tcBorders>
              <w:top w:val="nil"/>
              <w:left w:val="nil"/>
              <w:bottom w:val="single" w:sz="8" w:space="0" w:color="44546A"/>
              <w:right w:val="nil"/>
            </w:tcBorders>
            <w:shd w:val="clear" w:color="auto" w:fill="auto"/>
          </w:tcPr>
          <w:p w14:paraId="6D441BDD" w14:textId="77777777" w:rsidR="00DE64BC" w:rsidRPr="00256982" w:rsidRDefault="00DE64BC" w:rsidP="00A808C7">
            <w:pPr>
              <w:pStyle w:val="TableText"/>
              <w:jc w:val="right"/>
              <w:rPr>
                <w:lang w:eastAsia="en-NZ"/>
              </w:rPr>
            </w:pPr>
            <w:r w:rsidRPr="00256982">
              <w:rPr>
                <w:rFonts w:cs="Arial"/>
                <w:color w:val="000000"/>
                <w:szCs w:val="16"/>
              </w:rPr>
              <w:t>675,569</w:t>
            </w:r>
          </w:p>
        </w:tc>
        <w:tc>
          <w:tcPr>
            <w:tcW w:w="1134" w:type="dxa"/>
            <w:tcBorders>
              <w:top w:val="nil"/>
              <w:left w:val="nil"/>
              <w:bottom w:val="single" w:sz="8" w:space="0" w:color="44546A"/>
              <w:right w:val="nil"/>
            </w:tcBorders>
            <w:shd w:val="clear" w:color="auto" w:fill="auto"/>
          </w:tcPr>
          <w:p w14:paraId="68EDD476" w14:textId="77777777" w:rsidR="00DE64BC" w:rsidRPr="00256982" w:rsidRDefault="00DE64BC" w:rsidP="00A808C7">
            <w:pPr>
              <w:pStyle w:val="TableText"/>
              <w:jc w:val="right"/>
            </w:pPr>
            <w:r w:rsidRPr="00256982">
              <w:rPr>
                <w:rFonts w:cs="Arial"/>
                <w:color w:val="000000"/>
                <w:szCs w:val="16"/>
              </w:rPr>
              <w:t>680,086</w:t>
            </w:r>
          </w:p>
        </w:tc>
      </w:tr>
      <w:tr w:rsidR="00DE64BC" w:rsidRPr="00256982" w14:paraId="67FDD4B5" w14:textId="77777777" w:rsidTr="00084588">
        <w:tc>
          <w:tcPr>
            <w:tcW w:w="2727" w:type="dxa"/>
            <w:tcBorders>
              <w:left w:val="nil"/>
              <w:right w:val="nil"/>
            </w:tcBorders>
            <w:shd w:val="clear" w:color="auto" w:fill="auto"/>
            <w:hideMark/>
          </w:tcPr>
          <w:p w14:paraId="22610569" w14:textId="77777777" w:rsidR="00DE64BC" w:rsidRPr="00256982" w:rsidRDefault="00DE64BC" w:rsidP="00A808C7">
            <w:pPr>
              <w:pStyle w:val="TableText"/>
              <w:rPr>
                <w:lang w:eastAsia="en-NZ"/>
              </w:rPr>
            </w:pPr>
            <w:r w:rsidRPr="00256982">
              <w:rPr>
                <w:lang w:eastAsia="en-NZ"/>
              </w:rPr>
              <w:t xml:space="preserve">Area in calendar year </w:t>
            </w:r>
          </w:p>
        </w:tc>
        <w:tc>
          <w:tcPr>
            <w:tcW w:w="1134" w:type="dxa"/>
            <w:tcBorders>
              <w:top w:val="nil"/>
              <w:left w:val="nil"/>
              <w:bottom w:val="single" w:sz="8" w:space="0" w:color="44546A"/>
              <w:right w:val="nil"/>
            </w:tcBorders>
            <w:shd w:val="clear" w:color="auto" w:fill="auto"/>
          </w:tcPr>
          <w:p w14:paraId="7F194D34" w14:textId="77777777" w:rsidR="00DE64BC" w:rsidRPr="00256982" w:rsidRDefault="00DE64BC" w:rsidP="00A808C7">
            <w:pPr>
              <w:pStyle w:val="TableText"/>
              <w:jc w:val="right"/>
              <w:rPr>
                <w:lang w:eastAsia="en-NZ"/>
              </w:rPr>
            </w:pPr>
            <w:r w:rsidRPr="00256982">
              <w:rPr>
                <w:rFonts w:cs="Arial"/>
                <w:color w:val="000000"/>
                <w:szCs w:val="16"/>
              </w:rPr>
              <w:t>4,078</w:t>
            </w:r>
          </w:p>
        </w:tc>
        <w:tc>
          <w:tcPr>
            <w:tcW w:w="1134" w:type="dxa"/>
            <w:tcBorders>
              <w:top w:val="nil"/>
              <w:left w:val="nil"/>
              <w:bottom w:val="single" w:sz="8" w:space="0" w:color="44546A"/>
              <w:right w:val="nil"/>
            </w:tcBorders>
            <w:shd w:val="clear" w:color="auto" w:fill="auto"/>
          </w:tcPr>
          <w:p w14:paraId="08B3CFB6" w14:textId="77777777" w:rsidR="00DE64BC" w:rsidRPr="00256982" w:rsidRDefault="00DE64BC" w:rsidP="00A808C7">
            <w:pPr>
              <w:pStyle w:val="TableText"/>
              <w:jc w:val="right"/>
              <w:rPr>
                <w:lang w:eastAsia="en-NZ"/>
              </w:rPr>
            </w:pPr>
            <w:r w:rsidRPr="00256982">
              <w:rPr>
                <w:rFonts w:cs="Arial"/>
                <w:color w:val="000000"/>
                <w:szCs w:val="16"/>
              </w:rPr>
              <w:t>2,957</w:t>
            </w:r>
          </w:p>
        </w:tc>
        <w:tc>
          <w:tcPr>
            <w:tcW w:w="1134" w:type="dxa"/>
            <w:tcBorders>
              <w:top w:val="nil"/>
              <w:left w:val="nil"/>
              <w:bottom w:val="single" w:sz="8" w:space="0" w:color="44546A"/>
              <w:right w:val="nil"/>
            </w:tcBorders>
            <w:shd w:val="clear" w:color="auto" w:fill="auto"/>
          </w:tcPr>
          <w:p w14:paraId="75342A7E" w14:textId="77777777" w:rsidR="00DE64BC" w:rsidRPr="00256982" w:rsidRDefault="00DE64BC" w:rsidP="00A808C7">
            <w:pPr>
              <w:pStyle w:val="TableText"/>
              <w:jc w:val="right"/>
              <w:rPr>
                <w:vertAlign w:val="superscript"/>
                <w:lang w:eastAsia="en-NZ"/>
              </w:rPr>
            </w:pPr>
            <w:r w:rsidRPr="00256982">
              <w:rPr>
                <w:rFonts w:cs="Arial"/>
                <w:color w:val="000000"/>
                <w:szCs w:val="16"/>
              </w:rPr>
              <w:t>3,397</w:t>
            </w:r>
          </w:p>
        </w:tc>
        <w:tc>
          <w:tcPr>
            <w:tcW w:w="1134" w:type="dxa"/>
            <w:tcBorders>
              <w:top w:val="nil"/>
              <w:left w:val="nil"/>
              <w:bottom w:val="single" w:sz="8" w:space="0" w:color="44546A"/>
              <w:right w:val="nil"/>
            </w:tcBorders>
            <w:shd w:val="clear" w:color="auto" w:fill="auto"/>
          </w:tcPr>
          <w:p w14:paraId="6D4F1882" w14:textId="77777777" w:rsidR="00DE64BC" w:rsidRPr="00256982" w:rsidRDefault="00DE64BC" w:rsidP="00A808C7">
            <w:pPr>
              <w:pStyle w:val="TableText"/>
              <w:jc w:val="right"/>
              <w:rPr>
                <w:vertAlign w:val="superscript"/>
                <w:lang w:eastAsia="en-NZ"/>
              </w:rPr>
            </w:pPr>
            <w:r w:rsidRPr="00256982">
              <w:rPr>
                <w:rFonts w:cs="Arial"/>
                <w:color w:val="000000"/>
                <w:szCs w:val="16"/>
              </w:rPr>
              <w:t>2,958</w:t>
            </w:r>
          </w:p>
        </w:tc>
        <w:tc>
          <w:tcPr>
            <w:tcW w:w="1134" w:type="dxa"/>
            <w:tcBorders>
              <w:top w:val="nil"/>
              <w:left w:val="nil"/>
              <w:bottom w:val="single" w:sz="8" w:space="0" w:color="44546A"/>
              <w:right w:val="nil"/>
            </w:tcBorders>
            <w:shd w:val="clear" w:color="auto" w:fill="auto"/>
          </w:tcPr>
          <w:p w14:paraId="0E6C336F" w14:textId="77777777" w:rsidR="00DE64BC" w:rsidRPr="00256982" w:rsidRDefault="00DE64BC" w:rsidP="00A808C7">
            <w:pPr>
              <w:pStyle w:val="TableText"/>
              <w:jc w:val="right"/>
            </w:pPr>
            <w:r w:rsidRPr="00256982">
              <w:rPr>
                <w:rFonts w:cs="Arial"/>
                <w:color w:val="000000"/>
                <w:szCs w:val="16"/>
              </w:rPr>
              <w:t>4,979</w:t>
            </w:r>
          </w:p>
        </w:tc>
      </w:tr>
      <w:tr w:rsidR="00DE64BC" w:rsidRPr="00256982" w14:paraId="49C99987" w14:textId="77777777" w:rsidTr="00084588">
        <w:tc>
          <w:tcPr>
            <w:tcW w:w="2727" w:type="dxa"/>
            <w:tcBorders>
              <w:top w:val="nil"/>
              <w:left w:val="nil"/>
              <w:bottom w:val="single" w:sz="4" w:space="0" w:color="auto"/>
              <w:right w:val="nil"/>
            </w:tcBorders>
            <w:shd w:val="clear" w:color="auto" w:fill="auto"/>
            <w:hideMark/>
          </w:tcPr>
          <w:p w14:paraId="0FD6041D" w14:textId="77777777" w:rsidR="00DE64BC" w:rsidRPr="00256982" w:rsidRDefault="00DE64BC" w:rsidP="00A808C7">
            <w:pPr>
              <w:pStyle w:val="TableTextBold"/>
              <w:rPr>
                <w:noProof w:val="0"/>
                <w:lang w:eastAsia="en-NZ"/>
              </w:rPr>
            </w:pPr>
            <w:r w:rsidRPr="00256982">
              <w:rPr>
                <w:noProof w:val="0"/>
                <w:lang w:eastAsia="en-NZ"/>
              </w:rPr>
              <w:t>Deforestation</w:t>
            </w:r>
          </w:p>
        </w:tc>
        <w:tc>
          <w:tcPr>
            <w:tcW w:w="1134" w:type="dxa"/>
            <w:tcBorders>
              <w:top w:val="nil"/>
              <w:left w:val="nil"/>
              <w:bottom w:val="single" w:sz="8" w:space="0" w:color="44546A"/>
              <w:right w:val="nil"/>
            </w:tcBorders>
            <w:shd w:val="clear" w:color="auto" w:fill="auto"/>
          </w:tcPr>
          <w:p w14:paraId="206896A4" w14:textId="77777777" w:rsidR="00DE64BC" w:rsidRPr="00256982" w:rsidRDefault="00DE64BC" w:rsidP="00A808C7">
            <w:pPr>
              <w:pStyle w:val="TableText"/>
              <w:jc w:val="right"/>
              <w:rPr>
                <w:lang w:eastAsia="en-NZ"/>
              </w:rPr>
            </w:pPr>
          </w:p>
        </w:tc>
        <w:tc>
          <w:tcPr>
            <w:tcW w:w="1134" w:type="dxa"/>
            <w:tcBorders>
              <w:top w:val="nil"/>
              <w:left w:val="nil"/>
              <w:bottom w:val="single" w:sz="8" w:space="0" w:color="44546A"/>
              <w:right w:val="nil"/>
            </w:tcBorders>
            <w:shd w:val="clear" w:color="auto" w:fill="auto"/>
          </w:tcPr>
          <w:p w14:paraId="6767DDB4" w14:textId="77777777" w:rsidR="00DE64BC" w:rsidRPr="00256982" w:rsidRDefault="00DE64BC" w:rsidP="00A808C7">
            <w:pPr>
              <w:pStyle w:val="TableText"/>
              <w:jc w:val="right"/>
              <w:rPr>
                <w:lang w:eastAsia="en-NZ"/>
              </w:rPr>
            </w:pPr>
          </w:p>
        </w:tc>
        <w:tc>
          <w:tcPr>
            <w:tcW w:w="1134" w:type="dxa"/>
            <w:tcBorders>
              <w:top w:val="nil"/>
              <w:left w:val="nil"/>
              <w:bottom w:val="single" w:sz="8" w:space="0" w:color="44546A"/>
              <w:right w:val="nil"/>
            </w:tcBorders>
            <w:shd w:val="clear" w:color="auto" w:fill="auto"/>
          </w:tcPr>
          <w:p w14:paraId="16B13136" w14:textId="77777777" w:rsidR="00DE64BC" w:rsidRPr="00256982" w:rsidRDefault="00DE64BC" w:rsidP="00A808C7">
            <w:pPr>
              <w:pStyle w:val="TableText"/>
              <w:jc w:val="right"/>
              <w:rPr>
                <w:lang w:eastAsia="en-NZ"/>
              </w:rPr>
            </w:pPr>
          </w:p>
        </w:tc>
        <w:tc>
          <w:tcPr>
            <w:tcW w:w="1134" w:type="dxa"/>
            <w:tcBorders>
              <w:top w:val="nil"/>
              <w:left w:val="nil"/>
              <w:bottom w:val="single" w:sz="8" w:space="0" w:color="44546A"/>
              <w:right w:val="nil"/>
            </w:tcBorders>
            <w:shd w:val="clear" w:color="auto" w:fill="auto"/>
          </w:tcPr>
          <w:p w14:paraId="26B9B0E5" w14:textId="77777777" w:rsidR="00DE64BC" w:rsidRPr="00256982" w:rsidRDefault="00DE64BC" w:rsidP="00A808C7">
            <w:pPr>
              <w:pStyle w:val="TableText"/>
              <w:jc w:val="right"/>
              <w:rPr>
                <w:lang w:eastAsia="en-NZ"/>
              </w:rPr>
            </w:pPr>
          </w:p>
        </w:tc>
        <w:tc>
          <w:tcPr>
            <w:tcW w:w="1134" w:type="dxa"/>
            <w:tcBorders>
              <w:top w:val="nil"/>
              <w:left w:val="nil"/>
              <w:bottom w:val="single" w:sz="8" w:space="0" w:color="44546A"/>
              <w:right w:val="nil"/>
            </w:tcBorders>
            <w:shd w:val="clear" w:color="auto" w:fill="auto"/>
          </w:tcPr>
          <w:p w14:paraId="3CC41796" w14:textId="77777777" w:rsidR="00DE64BC" w:rsidRPr="00256982" w:rsidRDefault="00DE64BC" w:rsidP="00A808C7">
            <w:pPr>
              <w:pStyle w:val="TableText"/>
              <w:jc w:val="right"/>
            </w:pPr>
          </w:p>
        </w:tc>
      </w:tr>
      <w:tr w:rsidR="00DE64BC" w:rsidRPr="00256982" w14:paraId="194539C2" w14:textId="77777777" w:rsidTr="008C584E">
        <w:tc>
          <w:tcPr>
            <w:tcW w:w="2727" w:type="dxa"/>
            <w:tcBorders>
              <w:top w:val="single" w:sz="4" w:space="0" w:color="auto"/>
              <w:left w:val="nil"/>
              <w:right w:val="nil"/>
            </w:tcBorders>
            <w:shd w:val="clear" w:color="auto" w:fill="auto"/>
            <w:vAlign w:val="center"/>
            <w:hideMark/>
          </w:tcPr>
          <w:p w14:paraId="5613A72F" w14:textId="77777777" w:rsidR="00DE64BC" w:rsidRPr="00256982" w:rsidRDefault="00DE64BC" w:rsidP="00A808C7">
            <w:pPr>
              <w:ind w:left="227"/>
              <w:jc w:val="left"/>
              <w:rPr>
                <w:rFonts w:ascii="Arial" w:hAnsi="Arial" w:cs="Arial"/>
                <w:color w:val="000000"/>
                <w:sz w:val="16"/>
                <w:szCs w:val="16"/>
                <w:lang w:eastAsia="en-NZ"/>
              </w:rPr>
            </w:pPr>
            <w:r w:rsidRPr="00256982">
              <w:rPr>
                <w:rFonts w:ascii="Arial" w:hAnsi="Arial" w:cs="Arial"/>
                <w:color w:val="000000"/>
                <w:sz w:val="16"/>
                <w:szCs w:val="16"/>
                <w:lang w:eastAsia="en-NZ"/>
              </w:rPr>
              <w:t>Net cumulative area since 1990</w:t>
            </w:r>
          </w:p>
        </w:tc>
        <w:tc>
          <w:tcPr>
            <w:tcW w:w="1134" w:type="dxa"/>
            <w:tcBorders>
              <w:top w:val="nil"/>
              <w:left w:val="nil"/>
              <w:bottom w:val="single" w:sz="8" w:space="0" w:color="44546A"/>
              <w:right w:val="nil"/>
            </w:tcBorders>
            <w:shd w:val="clear" w:color="auto" w:fill="auto"/>
            <w:vAlign w:val="center"/>
          </w:tcPr>
          <w:p w14:paraId="4B01996E" w14:textId="77777777" w:rsidR="00DE64BC" w:rsidRPr="00256982" w:rsidRDefault="00DE64BC" w:rsidP="00A808C7">
            <w:pPr>
              <w:pStyle w:val="TableText"/>
              <w:jc w:val="right"/>
              <w:rPr>
                <w:lang w:eastAsia="en-NZ"/>
              </w:rPr>
            </w:pPr>
            <w:r w:rsidRPr="00256982">
              <w:rPr>
                <w:rFonts w:cs="Arial"/>
                <w:color w:val="000000"/>
                <w:szCs w:val="16"/>
              </w:rPr>
              <w:t>179,699</w:t>
            </w:r>
          </w:p>
        </w:tc>
        <w:tc>
          <w:tcPr>
            <w:tcW w:w="1134" w:type="dxa"/>
            <w:tcBorders>
              <w:top w:val="nil"/>
              <w:left w:val="nil"/>
              <w:bottom w:val="single" w:sz="8" w:space="0" w:color="44546A"/>
              <w:right w:val="nil"/>
            </w:tcBorders>
            <w:shd w:val="clear" w:color="auto" w:fill="auto"/>
            <w:vAlign w:val="center"/>
          </w:tcPr>
          <w:p w14:paraId="1767E542" w14:textId="77777777" w:rsidR="00DE64BC" w:rsidRPr="00256982" w:rsidRDefault="00DE64BC" w:rsidP="00A808C7">
            <w:pPr>
              <w:pStyle w:val="TableText"/>
              <w:jc w:val="right"/>
              <w:rPr>
                <w:lang w:eastAsia="en-NZ"/>
              </w:rPr>
            </w:pPr>
            <w:r w:rsidRPr="00256982">
              <w:rPr>
                <w:rFonts w:cs="Arial"/>
                <w:color w:val="000000"/>
                <w:szCs w:val="16"/>
              </w:rPr>
              <w:t>187,350</w:t>
            </w:r>
          </w:p>
        </w:tc>
        <w:tc>
          <w:tcPr>
            <w:tcW w:w="1134" w:type="dxa"/>
            <w:tcBorders>
              <w:top w:val="nil"/>
              <w:left w:val="nil"/>
              <w:bottom w:val="single" w:sz="8" w:space="0" w:color="44546A"/>
              <w:right w:val="nil"/>
            </w:tcBorders>
            <w:shd w:val="clear" w:color="auto" w:fill="auto"/>
            <w:vAlign w:val="center"/>
          </w:tcPr>
          <w:p w14:paraId="07D2D5B8" w14:textId="77777777" w:rsidR="00DE64BC" w:rsidRPr="00256982" w:rsidRDefault="00DE64BC" w:rsidP="00A808C7">
            <w:pPr>
              <w:pStyle w:val="TableText"/>
              <w:jc w:val="right"/>
              <w:rPr>
                <w:lang w:eastAsia="en-NZ"/>
              </w:rPr>
            </w:pPr>
            <w:r w:rsidRPr="00256982">
              <w:rPr>
                <w:rFonts w:cs="Arial"/>
                <w:color w:val="000000"/>
                <w:szCs w:val="16"/>
              </w:rPr>
              <w:t>193,591</w:t>
            </w:r>
          </w:p>
        </w:tc>
        <w:tc>
          <w:tcPr>
            <w:tcW w:w="1134" w:type="dxa"/>
            <w:tcBorders>
              <w:top w:val="nil"/>
              <w:left w:val="nil"/>
              <w:bottom w:val="single" w:sz="8" w:space="0" w:color="44546A"/>
              <w:right w:val="nil"/>
            </w:tcBorders>
            <w:shd w:val="clear" w:color="auto" w:fill="auto"/>
            <w:vAlign w:val="center"/>
          </w:tcPr>
          <w:p w14:paraId="3E5DA4EC" w14:textId="77777777" w:rsidR="00DE64BC" w:rsidRPr="00256982" w:rsidRDefault="00DE64BC" w:rsidP="00A808C7">
            <w:pPr>
              <w:pStyle w:val="TableText"/>
              <w:jc w:val="right"/>
              <w:rPr>
                <w:lang w:eastAsia="en-NZ"/>
              </w:rPr>
            </w:pPr>
            <w:r w:rsidRPr="00256982">
              <w:rPr>
                <w:rFonts w:cs="Arial"/>
                <w:color w:val="000000"/>
                <w:szCs w:val="16"/>
              </w:rPr>
              <w:t>197,214</w:t>
            </w:r>
          </w:p>
        </w:tc>
        <w:tc>
          <w:tcPr>
            <w:tcW w:w="1134" w:type="dxa"/>
            <w:tcBorders>
              <w:top w:val="nil"/>
              <w:left w:val="nil"/>
              <w:bottom w:val="single" w:sz="8" w:space="0" w:color="44546A"/>
              <w:right w:val="nil"/>
            </w:tcBorders>
            <w:shd w:val="clear" w:color="auto" w:fill="auto"/>
            <w:vAlign w:val="center"/>
          </w:tcPr>
          <w:p w14:paraId="298CCA9A" w14:textId="77777777" w:rsidR="00DE64BC" w:rsidRPr="00256982" w:rsidRDefault="00DE64BC" w:rsidP="00A808C7">
            <w:pPr>
              <w:pStyle w:val="TableText"/>
              <w:jc w:val="right"/>
            </w:pPr>
            <w:r w:rsidRPr="00256982">
              <w:rPr>
                <w:rFonts w:cs="Arial"/>
                <w:color w:val="000000"/>
                <w:szCs w:val="16"/>
              </w:rPr>
              <w:t>200,161</w:t>
            </w:r>
          </w:p>
        </w:tc>
      </w:tr>
      <w:tr w:rsidR="00DE64BC" w:rsidRPr="00256982" w14:paraId="31BE2881" w14:textId="77777777" w:rsidTr="008C584E">
        <w:tc>
          <w:tcPr>
            <w:tcW w:w="2727" w:type="dxa"/>
            <w:tcBorders>
              <w:left w:val="nil"/>
              <w:right w:val="nil"/>
            </w:tcBorders>
            <w:shd w:val="clear" w:color="auto" w:fill="auto"/>
            <w:vAlign w:val="center"/>
            <w:hideMark/>
          </w:tcPr>
          <w:p w14:paraId="0FC589B7" w14:textId="77777777" w:rsidR="00DE64BC" w:rsidRPr="00256982" w:rsidRDefault="00DE64BC" w:rsidP="00A808C7">
            <w:pPr>
              <w:ind w:left="227"/>
              <w:jc w:val="left"/>
              <w:rPr>
                <w:rFonts w:ascii="Arial" w:hAnsi="Arial" w:cs="Arial"/>
                <w:color w:val="000000"/>
                <w:sz w:val="16"/>
                <w:szCs w:val="16"/>
                <w:lang w:eastAsia="en-NZ"/>
              </w:rPr>
            </w:pPr>
            <w:r w:rsidRPr="00256982">
              <w:rPr>
                <w:rFonts w:ascii="Arial" w:hAnsi="Arial" w:cs="Arial"/>
                <w:color w:val="000000"/>
                <w:sz w:val="16"/>
                <w:szCs w:val="16"/>
                <w:lang w:eastAsia="en-NZ"/>
              </w:rPr>
              <w:t xml:space="preserve">Area in calendar year </w:t>
            </w:r>
          </w:p>
        </w:tc>
        <w:tc>
          <w:tcPr>
            <w:tcW w:w="1134" w:type="dxa"/>
            <w:tcBorders>
              <w:top w:val="nil"/>
              <w:left w:val="nil"/>
              <w:bottom w:val="single" w:sz="8" w:space="0" w:color="44546A"/>
              <w:right w:val="nil"/>
            </w:tcBorders>
            <w:shd w:val="clear" w:color="auto" w:fill="auto"/>
            <w:vAlign w:val="center"/>
          </w:tcPr>
          <w:p w14:paraId="2840FAD6" w14:textId="77777777" w:rsidR="00DE64BC" w:rsidRPr="00256982" w:rsidRDefault="00DE64BC" w:rsidP="00A808C7">
            <w:pPr>
              <w:pStyle w:val="TableText"/>
              <w:jc w:val="right"/>
              <w:rPr>
                <w:lang w:eastAsia="en-NZ"/>
              </w:rPr>
            </w:pPr>
            <w:r w:rsidRPr="00256982">
              <w:rPr>
                <w:rFonts w:cs="Arial"/>
                <w:color w:val="000000"/>
                <w:szCs w:val="16"/>
              </w:rPr>
              <w:t>15,160</w:t>
            </w:r>
          </w:p>
        </w:tc>
        <w:tc>
          <w:tcPr>
            <w:tcW w:w="1134" w:type="dxa"/>
            <w:tcBorders>
              <w:top w:val="nil"/>
              <w:left w:val="nil"/>
              <w:bottom w:val="single" w:sz="8" w:space="0" w:color="44546A"/>
              <w:right w:val="nil"/>
            </w:tcBorders>
            <w:shd w:val="clear" w:color="auto" w:fill="auto"/>
            <w:vAlign w:val="center"/>
          </w:tcPr>
          <w:p w14:paraId="5FE3B6E9" w14:textId="77777777" w:rsidR="00DE64BC" w:rsidRPr="00256982" w:rsidRDefault="00DE64BC" w:rsidP="00A808C7">
            <w:pPr>
              <w:pStyle w:val="TableText"/>
              <w:jc w:val="right"/>
              <w:rPr>
                <w:lang w:eastAsia="en-NZ"/>
              </w:rPr>
            </w:pPr>
            <w:r w:rsidRPr="00256982">
              <w:rPr>
                <w:rFonts w:cs="Arial"/>
                <w:color w:val="000000"/>
                <w:szCs w:val="16"/>
              </w:rPr>
              <w:t>7,651</w:t>
            </w:r>
          </w:p>
        </w:tc>
        <w:tc>
          <w:tcPr>
            <w:tcW w:w="1134" w:type="dxa"/>
            <w:tcBorders>
              <w:top w:val="nil"/>
              <w:left w:val="nil"/>
              <w:bottom w:val="single" w:sz="8" w:space="0" w:color="44546A"/>
              <w:right w:val="nil"/>
            </w:tcBorders>
            <w:shd w:val="clear" w:color="auto" w:fill="auto"/>
            <w:vAlign w:val="center"/>
          </w:tcPr>
          <w:p w14:paraId="3DECFA50" w14:textId="77777777" w:rsidR="00DE64BC" w:rsidRPr="00256982" w:rsidRDefault="00DE64BC" w:rsidP="00A808C7">
            <w:pPr>
              <w:pStyle w:val="TableText"/>
              <w:jc w:val="right"/>
              <w:rPr>
                <w:vertAlign w:val="superscript"/>
                <w:lang w:eastAsia="en-NZ"/>
              </w:rPr>
            </w:pPr>
            <w:r w:rsidRPr="00256982">
              <w:rPr>
                <w:rFonts w:cs="Arial"/>
                <w:color w:val="000000"/>
                <w:szCs w:val="16"/>
              </w:rPr>
              <w:t>6,241</w:t>
            </w:r>
          </w:p>
        </w:tc>
        <w:tc>
          <w:tcPr>
            <w:tcW w:w="1134" w:type="dxa"/>
            <w:tcBorders>
              <w:top w:val="nil"/>
              <w:left w:val="nil"/>
              <w:bottom w:val="single" w:sz="8" w:space="0" w:color="44546A"/>
              <w:right w:val="nil"/>
            </w:tcBorders>
            <w:shd w:val="clear" w:color="auto" w:fill="auto"/>
            <w:vAlign w:val="center"/>
          </w:tcPr>
          <w:p w14:paraId="474B9798" w14:textId="77777777" w:rsidR="00DE64BC" w:rsidRPr="00256982" w:rsidRDefault="00DE64BC" w:rsidP="00A808C7">
            <w:pPr>
              <w:pStyle w:val="TableText"/>
              <w:jc w:val="right"/>
              <w:rPr>
                <w:lang w:eastAsia="en-NZ"/>
              </w:rPr>
            </w:pPr>
            <w:r w:rsidRPr="00256982">
              <w:rPr>
                <w:rFonts w:cs="Arial"/>
                <w:color w:val="000000"/>
                <w:szCs w:val="16"/>
              </w:rPr>
              <w:t>3,623</w:t>
            </w:r>
          </w:p>
        </w:tc>
        <w:tc>
          <w:tcPr>
            <w:tcW w:w="1134" w:type="dxa"/>
            <w:tcBorders>
              <w:top w:val="nil"/>
              <w:left w:val="nil"/>
              <w:bottom w:val="single" w:sz="8" w:space="0" w:color="44546A"/>
              <w:right w:val="nil"/>
            </w:tcBorders>
            <w:shd w:val="clear" w:color="auto" w:fill="auto"/>
            <w:vAlign w:val="center"/>
          </w:tcPr>
          <w:p w14:paraId="3A037577" w14:textId="77777777" w:rsidR="00DE64BC" w:rsidRPr="00256982" w:rsidRDefault="00DE64BC" w:rsidP="00A808C7">
            <w:pPr>
              <w:pStyle w:val="TableText"/>
              <w:jc w:val="right"/>
            </w:pPr>
            <w:r w:rsidRPr="00256982">
              <w:rPr>
                <w:rFonts w:cs="Arial"/>
                <w:color w:val="000000"/>
                <w:szCs w:val="16"/>
              </w:rPr>
              <w:t>2,947</w:t>
            </w:r>
          </w:p>
        </w:tc>
      </w:tr>
      <w:tr w:rsidR="00DE64BC" w:rsidRPr="00256982" w14:paraId="2BA17016" w14:textId="77777777" w:rsidTr="00084588">
        <w:tc>
          <w:tcPr>
            <w:tcW w:w="2727" w:type="dxa"/>
            <w:tcBorders>
              <w:top w:val="nil"/>
              <w:left w:val="nil"/>
              <w:bottom w:val="single" w:sz="4" w:space="0" w:color="auto"/>
              <w:right w:val="nil"/>
            </w:tcBorders>
            <w:shd w:val="clear" w:color="auto" w:fill="auto"/>
            <w:hideMark/>
          </w:tcPr>
          <w:p w14:paraId="6724A145" w14:textId="77777777" w:rsidR="00DE64BC" w:rsidRPr="00256982" w:rsidRDefault="00DE64BC" w:rsidP="00A808C7">
            <w:pPr>
              <w:pStyle w:val="TableTextBold"/>
              <w:rPr>
                <w:noProof w:val="0"/>
                <w:lang w:eastAsia="en-NZ"/>
              </w:rPr>
            </w:pPr>
            <w:r w:rsidRPr="00256982">
              <w:rPr>
                <w:noProof w:val="0"/>
                <w:lang w:eastAsia="en-NZ"/>
              </w:rPr>
              <w:t>Forest management</w:t>
            </w:r>
          </w:p>
        </w:tc>
        <w:tc>
          <w:tcPr>
            <w:tcW w:w="1134" w:type="dxa"/>
            <w:tcBorders>
              <w:top w:val="nil"/>
              <w:left w:val="nil"/>
              <w:bottom w:val="single" w:sz="8" w:space="0" w:color="44546A"/>
              <w:right w:val="nil"/>
            </w:tcBorders>
            <w:shd w:val="clear" w:color="auto" w:fill="auto"/>
          </w:tcPr>
          <w:p w14:paraId="034BCE0E" w14:textId="77777777" w:rsidR="00DE64BC" w:rsidRPr="00256982" w:rsidRDefault="00DE64BC" w:rsidP="00A808C7">
            <w:pPr>
              <w:pStyle w:val="TableText"/>
              <w:jc w:val="right"/>
              <w:rPr>
                <w:b/>
                <w:bCs/>
                <w:lang w:eastAsia="en-NZ"/>
              </w:rPr>
            </w:pPr>
          </w:p>
        </w:tc>
        <w:tc>
          <w:tcPr>
            <w:tcW w:w="1134" w:type="dxa"/>
            <w:tcBorders>
              <w:top w:val="nil"/>
              <w:left w:val="nil"/>
              <w:bottom w:val="single" w:sz="8" w:space="0" w:color="44546A"/>
              <w:right w:val="nil"/>
            </w:tcBorders>
            <w:shd w:val="clear" w:color="auto" w:fill="auto"/>
          </w:tcPr>
          <w:p w14:paraId="0E2C977A" w14:textId="77777777" w:rsidR="00DE64BC" w:rsidRPr="00256982" w:rsidRDefault="00DE64BC" w:rsidP="00A808C7">
            <w:pPr>
              <w:pStyle w:val="TableText"/>
              <w:jc w:val="right"/>
              <w:rPr>
                <w:b/>
                <w:bCs/>
                <w:lang w:eastAsia="en-NZ"/>
              </w:rPr>
            </w:pPr>
          </w:p>
        </w:tc>
        <w:tc>
          <w:tcPr>
            <w:tcW w:w="1134" w:type="dxa"/>
            <w:tcBorders>
              <w:top w:val="nil"/>
              <w:left w:val="nil"/>
              <w:bottom w:val="single" w:sz="8" w:space="0" w:color="44546A"/>
              <w:right w:val="nil"/>
            </w:tcBorders>
            <w:shd w:val="clear" w:color="auto" w:fill="auto"/>
          </w:tcPr>
          <w:p w14:paraId="5FBBD320" w14:textId="77777777" w:rsidR="00DE64BC" w:rsidRPr="00256982" w:rsidRDefault="00DE64BC" w:rsidP="00A808C7">
            <w:pPr>
              <w:pStyle w:val="TableText"/>
              <w:jc w:val="right"/>
              <w:rPr>
                <w:b/>
                <w:bCs/>
                <w:lang w:eastAsia="en-NZ"/>
              </w:rPr>
            </w:pPr>
          </w:p>
        </w:tc>
        <w:tc>
          <w:tcPr>
            <w:tcW w:w="1134" w:type="dxa"/>
            <w:tcBorders>
              <w:top w:val="nil"/>
              <w:left w:val="nil"/>
              <w:bottom w:val="single" w:sz="8" w:space="0" w:color="44546A"/>
              <w:right w:val="nil"/>
            </w:tcBorders>
            <w:shd w:val="clear" w:color="auto" w:fill="auto"/>
          </w:tcPr>
          <w:p w14:paraId="439F5F1F" w14:textId="77777777" w:rsidR="00DE64BC" w:rsidRPr="00256982" w:rsidRDefault="00DE64BC" w:rsidP="00A808C7">
            <w:pPr>
              <w:pStyle w:val="TableText"/>
              <w:jc w:val="right"/>
              <w:rPr>
                <w:b/>
                <w:bCs/>
                <w:lang w:eastAsia="en-NZ"/>
              </w:rPr>
            </w:pPr>
          </w:p>
        </w:tc>
        <w:tc>
          <w:tcPr>
            <w:tcW w:w="1134" w:type="dxa"/>
            <w:tcBorders>
              <w:top w:val="nil"/>
              <w:left w:val="nil"/>
              <w:bottom w:val="single" w:sz="8" w:space="0" w:color="44546A"/>
              <w:right w:val="nil"/>
            </w:tcBorders>
            <w:shd w:val="clear" w:color="auto" w:fill="auto"/>
          </w:tcPr>
          <w:p w14:paraId="541102B3" w14:textId="77777777" w:rsidR="00DE64BC" w:rsidRPr="00256982" w:rsidRDefault="00DE64BC" w:rsidP="00A808C7">
            <w:pPr>
              <w:pStyle w:val="TableText"/>
              <w:jc w:val="right"/>
              <w:rPr>
                <w:b/>
                <w:bCs/>
              </w:rPr>
            </w:pPr>
          </w:p>
        </w:tc>
      </w:tr>
      <w:tr w:rsidR="00DE64BC" w:rsidRPr="00256982" w14:paraId="4A771507" w14:textId="77777777" w:rsidTr="008C584E">
        <w:tc>
          <w:tcPr>
            <w:tcW w:w="2727" w:type="dxa"/>
            <w:tcBorders>
              <w:top w:val="single" w:sz="4" w:space="0" w:color="auto"/>
              <w:left w:val="nil"/>
              <w:right w:val="nil"/>
            </w:tcBorders>
            <w:shd w:val="clear" w:color="auto" w:fill="auto"/>
            <w:vAlign w:val="center"/>
            <w:hideMark/>
          </w:tcPr>
          <w:p w14:paraId="6B55B469" w14:textId="77777777" w:rsidR="00DE64BC" w:rsidRPr="00256982" w:rsidRDefault="00DE64BC" w:rsidP="00A808C7">
            <w:pPr>
              <w:ind w:left="227"/>
              <w:jc w:val="left"/>
              <w:rPr>
                <w:rFonts w:ascii="Arial" w:hAnsi="Arial" w:cs="Arial"/>
                <w:color w:val="000000"/>
                <w:sz w:val="16"/>
                <w:szCs w:val="16"/>
                <w:lang w:eastAsia="en-NZ"/>
              </w:rPr>
            </w:pPr>
            <w:r w:rsidRPr="00256982">
              <w:rPr>
                <w:rFonts w:ascii="Arial" w:hAnsi="Arial" w:cs="Arial"/>
                <w:color w:val="000000"/>
                <w:sz w:val="16"/>
                <w:szCs w:val="16"/>
                <w:lang w:eastAsia="en-NZ"/>
              </w:rPr>
              <w:t xml:space="preserve">Area included </w:t>
            </w:r>
          </w:p>
        </w:tc>
        <w:tc>
          <w:tcPr>
            <w:tcW w:w="1134" w:type="dxa"/>
            <w:tcBorders>
              <w:top w:val="nil"/>
              <w:left w:val="nil"/>
              <w:bottom w:val="single" w:sz="8" w:space="0" w:color="44546A"/>
              <w:right w:val="nil"/>
            </w:tcBorders>
            <w:shd w:val="clear" w:color="auto" w:fill="auto"/>
            <w:vAlign w:val="center"/>
          </w:tcPr>
          <w:p w14:paraId="51F717BB" w14:textId="77777777" w:rsidR="00DE64BC" w:rsidRPr="00256982" w:rsidRDefault="00DE64BC" w:rsidP="00A808C7">
            <w:pPr>
              <w:pStyle w:val="TableText"/>
              <w:jc w:val="right"/>
              <w:rPr>
                <w:lang w:eastAsia="en-NZ"/>
              </w:rPr>
            </w:pPr>
            <w:r w:rsidRPr="00256982">
              <w:rPr>
                <w:rFonts w:cs="Arial"/>
                <w:color w:val="000000"/>
                <w:szCs w:val="16"/>
              </w:rPr>
              <w:t>9,259,045</w:t>
            </w:r>
          </w:p>
        </w:tc>
        <w:tc>
          <w:tcPr>
            <w:tcW w:w="1134" w:type="dxa"/>
            <w:tcBorders>
              <w:top w:val="nil"/>
              <w:left w:val="nil"/>
              <w:bottom w:val="single" w:sz="8" w:space="0" w:color="44546A"/>
              <w:right w:val="nil"/>
            </w:tcBorders>
            <w:shd w:val="clear" w:color="auto" w:fill="auto"/>
            <w:vAlign w:val="center"/>
          </w:tcPr>
          <w:p w14:paraId="0F5636E1" w14:textId="77777777" w:rsidR="00DE64BC" w:rsidRPr="00256982" w:rsidRDefault="00DE64BC" w:rsidP="00A808C7">
            <w:pPr>
              <w:pStyle w:val="TableText"/>
              <w:jc w:val="right"/>
              <w:rPr>
                <w:lang w:eastAsia="en-NZ"/>
              </w:rPr>
            </w:pPr>
            <w:r w:rsidRPr="00256982">
              <w:rPr>
                <w:rFonts w:cs="Arial"/>
                <w:color w:val="000000"/>
                <w:szCs w:val="16"/>
              </w:rPr>
              <w:t>9,252,620</w:t>
            </w:r>
          </w:p>
        </w:tc>
        <w:tc>
          <w:tcPr>
            <w:tcW w:w="1134" w:type="dxa"/>
            <w:tcBorders>
              <w:top w:val="nil"/>
              <w:left w:val="nil"/>
              <w:bottom w:val="single" w:sz="8" w:space="0" w:color="44546A"/>
              <w:right w:val="nil"/>
            </w:tcBorders>
            <w:shd w:val="clear" w:color="auto" w:fill="auto"/>
            <w:vAlign w:val="center"/>
          </w:tcPr>
          <w:p w14:paraId="79841653" w14:textId="77777777" w:rsidR="00DE64BC" w:rsidRPr="00256982" w:rsidRDefault="00DE64BC" w:rsidP="00A808C7">
            <w:pPr>
              <w:pStyle w:val="TableText"/>
              <w:jc w:val="right"/>
              <w:rPr>
                <w:lang w:eastAsia="en-NZ"/>
              </w:rPr>
            </w:pPr>
            <w:r w:rsidRPr="00256982">
              <w:rPr>
                <w:rFonts w:cs="Arial"/>
                <w:color w:val="000000"/>
                <w:szCs w:val="16"/>
              </w:rPr>
              <w:t>9,247,943</w:t>
            </w:r>
          </w:p>
        </w:tc>
        <w:tc>
          <w:tcPr>
            <w:tcW w:w="1134" w:type="dxa"/>
            <w:tcBorders>
              <w:top w:val="nil"/>
              <w:left w:val="nil"/>
              <w:bottom w:val="single" w:sz="8" w:space="0" w:color="44546A"/>
              <w:right w:val="nil"/>
            </w:tcBorders>
            <w:shd w:val="clear" w:color="auto" w:fill="auto"/>
            <w:vAlign w:val="center"/>
          </w:tcPr>
          <w:p w14:paraId="5B595E05" w14:textId="77777777" w:rsidR="00DE64BC" w:rsidRPr="00256982" w:rsidRDefault="00DE64BC" w:rsidP="00A808C7">
            <w:pPr>
              <w:pStyle w:val="TableText"/>
              <w:jc w:val="right"/>
              <w:rPr>
                <w:lang w:eastAsia="en-NZ"/>
              </w:rPr>
            </w:pPr>
            <w:r w:rsidRPr="00256982">
              <w:rPr>
                <w:rFonts w:cs="Arial"/>
                <w:color w:val="000000"/>
                <w:szCs w:val="16"/>
              </w:rPr>
              <w:t>9,246,176</w:t>
            </w:r>
          </w:p>
        </w:tc>
        <w:tc>
          <w:tcPr>
            <w:tcW w:w="1134" w:type="dxa"/>
            <w:tcBorders>
              <w:top w:val="nil"/>
              <w:left w:val="nil"/>
              <w:bottom w:val="single" w:sz="8" w:space="0" w:color="44546A"/>
              <w:right w:val="nil"/>
            </w:tcBorders>
            <w:shd w:val="clear" w:color="auto" w:fill="auto"/>
            <w:vAlign w:val="center"/>
          </w:tcPr>
          <w:p w14:paraId="0E78C700" w14:textId="77777777" w:rsidR="00DE64BC" w:rsidRPr="00256982" w:rsidRDefault="00DE64BC" w:rsidP="00A808C7">
            <w:pPr>
              <w:pStyle w:val="TableText"/>
              <w:jc w:val="right"/>
            </w:pPr>
            <w:r w:rsidRPr="00256982">
              <w:rPr>
                <w:rFonts w:cs="Arial"/>
                <w:color w:val="000000"/>
                <w:szCs w:val="16"/>
              </w:rPr>
              <w:t>9,245,248</w:t>
            </w:r>
          </w:p>
        </w:tc>
      </w:tr>
      <w:tr w:rsidR="00DE64BC" w:rsidRPr="00256982" w14:paraId="36A90545" w14:textId="77777777" w:rsidTr="008C584E">
        <w:tc>
          <w:tcPr>
            <w:tcW w:w="2727" w:type="dxa"/>
            <w:tcBorders>
              <w:top w:val="single" w:sz="4" w:space="0" w:color="auto"/>
              <w:left w:val="nil"/>
              <w:bottom w:val="single" w:sz="8" w:space="0" w:color="44546A"/>
              <w:right w:val="nil"/>
            </w:tcBorders>
            <w:shd w:val="clear" w:color="auto" w:fill="auto"/>
            <w:vAlign w:val="bottom"/>
            <w:hideMark/>
          </w:tcPr>
          <w:p w14:paraId="556E9910" w14:textId="77777777" w:rsidR="00DE64BC" w:rsidRPr="00256982" w:rsidRDefault="00DE64BC" w:rsidP="00A808C7">
            <w:pPr>
              <w:pStyle w:val="TableTextBold"/>
              <w:rPr>
                <w:noProof w:val="0"/>
                <w:color w:val="365F91"/>
                <w:szCs w:val="22"/>
                <w:lang w:eastAsia="en-NZ"/>
              </w:rPr>
            </w:pPr>
            <w:r w:rsidRPr="00256982">
              <w:rPr>
                <w:noProof w:val="0"/>
                <w:color w:val="365F91"/>
                <w:szCs w:val="22"/>
                <w:lang w:eastAsia="en-NZ"/>
              </w:rPr>
              <w:t xml:space="preserve">Total area included in Kyoto Protocol reporting </w:t>
            </w:r>
          </w:p>
        </w:tc>
        <w:tc>
          <w:tcPr>
            <w:tcW w:w="1134" w:type="dxa"/>
            <w:tcBorders>
              <w:top w:val="nil"/>
              <w:left w:val="nil"/>
              <w:bottom w:val="single" w:sz="8" w:space="0" w:color="44546A"/>
              <w:right w:val="nil"/>
            </w:tcBorders>
            <w:shd w:val="clear" w:color="auto" w:fill="auto"/>
            <w:vAlign w:val="bottom"/>
          </w:tcPr>
          <w:p w14:paraId="0EF2EDC1" w14:textId="77777777" w:rsidR="00DE64BC" w:rsidRPr="00256982" w:rsidRDefault="00DE64BC" w:rsidP="00A808C7">
            <w:pPr>
              <w:pStyle w:val="TableTextBold"/>
              <w:jc w:val="right"/>
              <w:rPr>
                <w:noProof w:val="0"/>
                <w:color w:val="365F91"/>
                <w:szCs w:val="22"/>
                <w:lang w:eastAsia="en-NZ"/>
              </w:rPr>
            </w:pPr>
            <w:r w:rsidRPr="00256982">
              <w:rPr>
                <w:noProof w:val="0"/>
                <w:color w:val="365F91"/>
                <w:szCs w:val="22"/>
                <w:lang w:eastAsia="en-NZ"/>
              </w:rPr>
              <w:t>10,108,851</w:t>
            </w:r>
          </w:p>
        </w:tc>
        <w:tc>
          <w:tcPr>
            <w:tcW w:w="1134" w:type="dxa"/>
            <w:tcBorders>
              <w:top w:val="nil"/>
              <w:left w:val="nil"/>
              <w:bottom w:val="single" w:sz="8" w:space="0" w:color="44546A"/>
              <w:right w:val="nil"/>
            </w:tcBorders>
            <w:shd w:val="clear" w:color="auto" w:fill="auto"/>
            <w:vAlign w:val="bottom"/>
          </w:tcPr>
          <w:p w14:paraId="1897D105" w14:textId="77777777" w:rsidR="00DE64BC" w:rsidRPr="00256982" w:rsidRDefault="00DE64BC" w:rsidP="00A808C7">
            <w:pPr>
              <w:pStyle w:val="TableTextBold"/>
              <w:jc w:val="right"/>
              <w:rPr>
                <w:noProof w:val="0"/>
                <w:color w:val="365F91"/>
                <w:szCs w:val="22"/>
                <w:lang w:eastAsia="en-NZ"/>
              </w:rPr>
            </w:pPr>
            <w:r w:rsidRPr="00256982">
              <w:rPr>
                <w:noProof w:val="0"/>
                <w:color w:val="365F91"/>
                <w:szCs w:val="22"/>
                <w:lang w:eastAsia="en-NZ"/>
              </w:rPr>
              <w:t>10,111,808</w:t>
            </w:r>
          </w:p>
        </w:tc>
        <w:tc>
          <w:tcPr>
            <w:tcW w:w="1134" w:type="dxa"/>
            <w:tcBorders>
              <w:top w:val="nil"/>
              <w:left w:val="nil"/>
              <w:bottom w:val="single" w:sz="8" w:space="0" w:color="44546A"/>
              <w:right w:val="nil"/>
            </w:tcBorders>
            <w:shd w:val="clear" w:color="auto" w:fill="auto"/>
            <w:vAlign w:val="bottom"/>
          </w:tcPr>
          <w:p w14:paraId="133A605F" w14:textId="77777777" w:rsidR="00DE64BC" w:rsidRPr="00256982" w:rsidRDefault="00DE64BC" w:rsidP="00A808C7">
            <w:pPr>
              <w:pStyle w:val="TableTextBold"/>
              <w:jc w:val="right"/>
              <w:rPr>
                <w:noProof w:val="0"/>
                <w:color w:val="365F91"/>
                <w:szCs w:val="22"/>
                <w:lang w:eastAsia="en-NZ"/>
              </w:rPr>
            </w:pPr>
            <w:r w:rsidRPr="00256982">
              <w:rPr>
                <w:noProof w:val="0"/>
                <w:color w:val="365F91"/>
                <w:szCs w:val="22"/>
                <w:lang w:eastAsia="en-NZ"/>
              </w:rPr>
              <w:t>10,115,205</w:t>
            </w:r>
          </w:p>
        </w:tc>
        <w:tc>
          <w:tcPr>
            <w:tcW w:w="1134" w:type="dxa"/>
            <w:tcBorders>
              <w:top w:val="nil"/>
              <w:left w:val="nil"/>
              <w:bottom w:val="single" w:sz="8" w:space="0" w:color="44546A"/>
              <w:right w:val="nil"/>
            </w:tcBorders>
            <w:shd w:val="clear" w:color="auto" w:fill="auto"/>
            <w:vAlign w:val="bottom"/>
          </w:tcPr>
          <w:p w14:paraId="418FCECA" w14:textId="77777777" w:rsidR="00DE64BC" w:rsidRPr="00256982" w:rsidRDefault="00DE64BC" w:rsidP="00A808C7">
            <w:pPr>
              <w:pStyle w:val="TableTextBold"/>
              <w:jc w:val="right"/>
              <w:rPr>
                <w:noProof w:val="0"/>
                <w:color w:val="365F91"/>
                <w:szCs w:val="22"/>
                <w:lang w:eastAsia="en-NZ"/>
              </w:rPr>
            </w:pPr>
            <w:r w:rsidRPr="00256982">
              <w:rPr>
                <w:noProof w:val="0"/>
                <w:color w:val="365F91"/>
                <w:szCs w:val="22"/>
                <w:lang w:eastAsia="en-NZ"/>
              </w:rPr>
              <w:t>10,118,960</w:t>
            </w:r>
          </w:p>
        </w:tc>
        <w:tc>
          <w:tcPr>
            <w:tcW w:w="1134" w:type="dxa"/>
            <w:tcBorders>
              <w:top w:val="nil"/>
              <w:left w:val="nil"/>
              <w:bottom w:val="single" w:sz="8" w:space="0" w:color="44546A"/>
              <w:right w:val="nil"/>
            </w:tcBorders>
            <w:shd w:val="clear" w:color="auto" w:fill="auto"/>
            <w:vAlign w:val="bottom"/>
          </w:tcPr>
          <w:p w14:paraId="44FCF0A7" w14:textId="77777777" w:rsidR="00DE64BC" w:rsidRPr="00256982" w:rsidRDefault="00DE64BC" w:rsidP="00A808C7">
            <w:pPr>
              <w:pStyle w:val="TableTextBold"/>
              <w:jc w:val="right"/>
              <w:rPr>
                <w:noProof w:val="0"/>
                <w:color w:val="365F91"/>
                <w:szCs w:val="22"/>
                <w:lang w:eastAsia="en-NZ"/>
              </w:rPr>
            </w:pPr>
            <w:r w:rsidRPr="00256982">
              <w:rPr>
                <w:noProof w:val="0"/>
                <w:color w:val="365F91"/>
                <w:szCs w:val="22"/>
                <w:lang w:eastAsia="en-NZ"/>
              </w:rPr>
              <w:t>10,125,495</w:t>
            </w:r>
          </w:p>
        </w:tc>
      </w:tr>
    </w:tbl>
    <w:p w14:paraId="0D3BF04D" w14:textId="77777777" w:rsidR="00DE64BC" w:rsidRPr="00256982" w:rsidRDefault="00DE64BC" w:rsidP="00A808C7">
      <w:pPr>
        <w:pStyle w:val="Noteundertable"/>
        <w:rPr>
          <w:bCs/>
          <w:i/>
          <w:iCs/>
        </w:rPr>
      </w:pPr>
      <w:r w:rsidRPr="00256982">
        <w:rPr>
          <w:b/>
        </w:rPr>
        <w:t>Note:</w:t>
      </w:r>
      <w:r w:rsidRPr="00256982">
        <w:t xml:space="preserve"> </w:t>
      </w:r>
      <w:r w:rsidRPr="00256982">
        <w:tab/>
        <w:t xml:space="preserve">Afforestation and reforestation refers to new forest established since 31 December 1989 but excluding areas of carbon equivalent forest. This means the areas differ from those reported in chapter 6 because the carbon equivalent forest provision means some new forest is reported under Forest management. Columns may not total due to rounding. P = provisional figure (all figures for 2017 in this table are provisional). </w:t>
      </w:r>
    </w:p>
    <w:p w14:paraId="4F7E7158" w14:textId="77777777" w:rsidR="00DE64BC" w:rsidRPr="00256982" w:rsidRDefault="00DE64BC" w:rsidP="00A808C7">
      <w:pPr>
        <w:pStyle w:val="Heading5"/>
      </w:pPr>
      <w:r w:rsidRPr="00256982">
        <w:t>Emissions and removals in 2017</w:t>
      </w:r>
    </w:p>
    <w:p w14:paraId="40CF1FB9" w14:textId="77777777" w:rsidR="00DE64BC" w:rsidRPr="00256982" w:rsidRDefault="00DE64BC" w:rsidP="00A808C7">
      <w:pPr>
        <w:pStyle w:val="BodyText"/>
      </w:pPr>
      <w:r w:rsidRPr="00256982">
        <w:t>The emissions and removals associated with the above land-use changes are:</w:t>
      </w:r>
    </w:p>
    <w:p w14:paraId="6500E57B" w14:textId="77777777" w:rsidR="00DE64BC" w:rsidRPr="00256982" w:rsidRDefault="00DE64BC" w:rsidP="0036046B">
      <w:pPr>
        <w:pStyle w:val="Bullet"/>
        <w:numPr>
          <w:ilvl w:val="0"/>
          <w:numId w:val="8"/>
        </w:numPr>
      </w:pPr>
      <w:r w:rsidRPr="00256982">
        <w:t>net removals of 17,610.0 kt CO</w:t>
      </w:r>
      <w:r w:rsidRPr="00256982">
        <w:rPr>
          <w:vertAlign w:val="subscript"/>
        </w:rPr>
        <w:t>2</w:t>
      </w:r>
      <w:r w:rsidRPr="00256982">
        <w:t xml:space="preserve">-e for </w:t>
      </w:r>
      <w:r w:rsidRPr="00256982">
        <w:rPr>
          <w:i/>
        </w:rPr>
        <w:t>Afforestation and reforestation</w:t>
      </w:r>
      <w:r w:rsidRPr="00256982">
        <w:t xml:space="preserve"> </w:t>
      </w:r>
    </w:p>
    <w:p w14:paraId="6E708163" w14:textId="77777777" w:rsidR="00DE64BC" w:rsidRPr="00256982" w:rsidRDefault="00DE64BC" w:rsidP="0036046B">
      <w:pPr>
        <w:pStyle w:val="Bullet"/>
        <w:numPr>
          <w:ilvl w:val="0"/>
          <w:numId w:val="8"/>
        </w:numPr>
      </w:pPr>
      <w:r w:rsidRPr="00256982">
        <w:t>net emissions of 1,657.0 kt CO</w:t>
      </w:r>
      <w:r w:rsidRPr="00256982">
        <w:rPr>
          <w:vertAlign w:val="subscript"/>
        </w:rPr>
        <w:t>2</w:t>
      </w:r>
      <w:r w:rsidRPr="00256982">
        <w:t xml:space="preserve">-e for </w:t>
      </w:r>
      <w:r w:rsidRPr="00256982">
        <w:rPr>
          <w:i/>
        </w:rPr>
        <w:t>Deforestation</w:t>
      </w:r>
    </w:p>
    <w:p w14:paraId="6D20ADC5" w14:textId="77777777" w:rsidR="00DE64BC" w:rsidRPr="00256982" w:rsidRDefault="00DE64BC" w:rsidP="0036046B">
      <w:pPr>
        <w:pStyle w:val="Bullet"/>
        <w:numPr>
          <w:ilvl w:val="0"/>
          <w:numId w:val="8"/>
        </w:numPr>
      </w:pPr>
      <w:r w:rsidRPr="00256982">
        <w:t>net removals of 14,553.9 kt CO</w:t>
      </w:r>
      <w:r w:rsidRPr="00256982">
        <w:rPr>
          <w:vertAlign w:val="subscript"/>
        </w:rPr>
        <w:t>2</w:t>
      </w:r>
      <w:r w:rsidRPr="00256982">
        <w:t xml:space="preserve">-e for </w:t>
      </w:r>
      <w:r w:rsidRPr="00256982">
        <w:rPr>
          <w:i/>
        </w:rPr>
        <w:t>Forest Management</w:t>
      </w:r>
      <w:r w:rsidRPr="00256982">
        <w:t>.</w:t>
      </w:r>
    </w:p>
    <w:p w14:paraId="19B753AF" w14:textId="77777777" w:rsidR="00DE64BC" w:rsidRPr="00256982" w:rsidRDefault="00DE64BC" w:rsidP="00A808C7">
      <w:pPr>
        <w:pStyle w:val="Heading5"/>
      </w:pPr>
      <w:r w:rsidRPr="00256982">
        <w:t>Emissions and removals from 2013 to 2017</w:t>
      </w:r>
    </w:p>
    <w:p w14:paraId="29121075" w14:textId="77777777" w:rsidR="00DE64BC" w:rsidRPr="00256982" w:rsidRDefault="00DE64BC" w:rsidP="00A808C7">
      <w:pPr>
        <w:pStyle w:val="BodyText"/>
      </w:pPr>
      <w:r w:rsidRPr="00256982">
        <w:t>Estimates of emissions and removals for activities under Article 3.3 and Article 3.4 of the Kyoto Protocol for the period 2013 to 2017 are included in the inventory because these are used to establish the accounting quantity. This is the value that New Zealand can use towards meeting its 2020 target (see table ES 5.1(b)). The specific rules that apply when accounting against a target are explained in chapter 11, section 11.3.4.</w:t>
      </w:r>
    </w:p>
    <w:p w14:paraId="350E0E9A" w14:textId="77777777" w:rsidR="00DE64BC" w:rsidRPr="00256982" w:rsidRDefault="00DE64BC" w:rsidP="00A808C7">
      <w:pPr>
        <w:pStyle w:val="BodyText"/>
      </w:pPr>
      <w:r w:rsidRPr="00256982">
        <w:t>New Zealand’s accounting quantity for the first five years of the period is 65,337.2 kt CO</w:t>
      </w:r>
      <w:r w:rsidRPr="00256982">
        <w:rPr>
          <w:vertAlign w:val="subscript"/>
        </w:rPr>
        <w:t>2</w:t>
      </w:r>
      <w:r w:rsidRPr="00256982">
        <w:t>-e.</w:t>
      </w:r>
    </w:p>
    <w:p w14:paraId="77530953" w14:textId="77777777" w:rsidR="00DE64BC" w:rsidRPr="00256982" w:rsidRDefault="00DE64BC" w:rsidP="00A808C7">
      <w:pPr>
        <w:pStyle w:val="Table"/>
      </w:pPr>
      <w:bookmarkStart w:id="83" w:name="_Toc511116701"/>
      <w:bookmarkStart w:id="84" w:name="_Toc5269435"/>
      <w:bookmarkStart w:id="85" w:name="_Toc444693996"/>
      <w:bookmarkStart w:id="86" w:name="_Toc451176051"/>
      <w:r w:rsidRPr="00256982">
        <w:lastRenderedPageBreak/>
        <w:t>Table ES 5.1(b)</w:t>
      </w:r>
      <w:r w:rsidRPr="00256982">
        <w:tab/>
        <w:t>New Zealand’s net emissions and accounting quantity by year for</w:t>
      </w:r>
      <w:r w:rsidRPr="00256982">
        <w:br/>
        <w:t>Afforestation and reforestation, Deforestation and Forest management</w:t>
      </w:r>
      <w:bookmarkEnd w:id="83"/>
      <w:bookmarkEnd w:id="84"/>
      <w:r w:rsidRPr="00256982" w:rsidDel="005C18B0">
        <w:t xml:space="preserve"> </w:t>
      </w:r>
      <w:bookmarkEnd w:id="85"/>
      <w:bookmarkEnd w:id="86"/>
    </w:p>
    <w:tbl>
      <w:tblPr>
        <w:tblW w:w="8562" w:type="dxa"/>
        <w:tblInd w:w="108" w:type="dxa"/>
        <w:tblLayout w:type="fixed"/>
        <w:tblLook w:val="04A0" w:firstRow="1" w:lastRow="0" w:firstColumn="1" w:lastColumn="0" w:noHBand="0" w:noVBand="1"/>
      </w:tblPr>
      <w:tblGrid>
        <w:gridCol w:w="2472"/>
        <w:gridCol w:w="1218"/>
        <w:gridCol w:w="1218"/>
        <w:gridCol w:w="1218"/>
        <w:gridCol w:w="1218"/>
        <w:gridCol w:w="1218"/>
      </w:tblGrid>
      <w:tr w:rsidR="00DE64BC" w:rsidRPr="00256982" w14:paraId="11BE8641" w14:textId="77777777" w:rsidTr="007A1993">
        <w:tc>
          <w:tcPr>
            <w:tcW w:w="2444" w:type="dxa"/>
            <w:tcBorders>
              <w:top w:val="single" w:sz="4" w:space="0" w:color="365F91"/>
              <w:left w:val="nil"/>
              <w:right w:val="nil"/>
            </w:tcBorders>
            <w:shd w:val="clear" w:color="000000" w:fill="365F91"/>
          </w:tcPr>
          <w:p w14:paraId="4799BE1F" w14:textId="77777777" w:rsidR="00DE64BC" w:rsidRPr="00256982" w:rsidRDefault="00DE64BC" w:rsidP="00A808C7">
            <w:pPr>
              <w:pStyle w:val="TableTextBold"/>
              <w:keepNext/>
              <w:rPr>
                <w:noProof w:val="0"/>
                <w:color w:val="FFFFFF"/>
                <w:lang w:eastAsia="en-NZ"/>
              </w:rPr>
            </w:pPr>
          </w:p>
        </w:tc>
        <w:tc>
          <w:tcPr>
            <w:tcW w:w="4816" w:type="dxa"/>
            <w:gridSpan w:val="4"/>
            <w:tcBorders>
              <w:top w:val="single" w:sz="4" w:space="0" w:color="365F91"/>
              <w:left w:val="nil"/>
              <w:right w:val="nil"/>
            </w:tcBorders>
            <w:shd w:val="clear" w:color="000000" w:fill="365F91"/>
          </w:tcPr>
          <w:p w14:paraId="701F8699" w14:textId="77777777" w:rsidR="00DE64BC" w:rsidRPr="00256982" w:rsidRDefault="00DE64BC" w:rsidP="00A808C7">
            <w:pPr>
              <w:pStyle w:val="TableTextBold"/>
              <w:keepNext/>
              <w:jc w:val="center"/>
              <w:rPr>
                <w:noProof w:val="0"/>
                <w:color w:val="FFFFFF"/>
                <w:lang w:eastAsia="en-NZ"/>
              </w:rPr>
            </w:pPr>
            <w:r w:rsidRPr="00256982">
              <w:rPr>
                <w:noProof w:val="0"/>
                <w:color w:val="FFFFFF"/>
                <w:lang w:eastAsia="en-NZ"/>
              </w:rPr>
              <w:t>kt CO</w:t>
            </w:r>
            <w:r w:rsidRPr="00256982">
              <w:rPr>
                <w:noProof w:val="0"/>
                <w:color w:val="FFFFFF"/>
                <w:vertAlign w:val="subscript"/>
                <w:lang w:eastAsia="en-NZ"/>
              </w:rPr>
              <w:t>2</w:t>
            </w:r>
            <w:r w:rsidRPr="00256982">
              <w:rPr>
                <w:noProof w:val="0"/>
                <w:color w:val="FFFFFF"/>
                <w:lang w:eastAsia="en-NZ"/>
              </w:rPr>
              <w:t>-equivalent</w:t>
            </w:r>
          </w:p>
        </w:tc>
        <w:tc>
          <w:tcPr>
            <w:tcW w:w="1204" w:type="dxa"/>
            <w:tcBorders>
              <w:top w:val="single" w:sz="4" w:space="0" w:color="365F91"/>
              <w:left w:val="nil"/>
              <w:right w:val="nil"/>
            </w:tcBorders>
            <w:shd w:val="clear" w:color="000000" w:fill="365F91"/>
          </w:tcPr>
          <w:p w14:paraId="047B8589" w14:textId="77777777" w:rsidR="00DE64BC" w:rsidRPr="00256982" w:rsidRDefault="00DE64BC" w:rsidP="00A808C7">
            <w:pPr>
              <w:pStyle w:val="TableTextBold"/>
              <w:keepNext/>
              <w:jc w:val="center"/>
              <w:rPr>
                <w:noProof w:val="0"/>
                <w:color w:val="FFFFFF"/>
                <w:lang w:eastAsia="en-NZ"/>
              </w:rPr>
            </w:pPr>
          </w:p>
        </w:tc>
      </w:tr>
      <w:tr w:rsidR="00DE64BC" w:rsidRPr="00256982" w14:paraId="5D7315CD" w14:textId="77777777" w:rsidTr="007A1993">
        <w:tc>
          <w:tcPr>
            <w:tcW w:w="2444" w:type="dxa"/>
            <w:tcBorders>
              <w:left w:val="nil"/>
              <w:bottom w:val="single" w:sz="4" w:space="0" w:color="365F91"/>
              <w:right w:val="nil"/>
            </w:tcBorders>
            <w:shd w:val="clear" w:color="000000" w:fill="365F91"/>
            <w:hideMark/>
          </w:tcPr>
          <w:p w14:paraId="553128E7" w14:textId="77777777" w:rsidR="00DE64BC" w:rsidRPr="00256982" w:rsidRDefault="00DE64BC" w:rsidP="00A808C7">
            <w:pPr>
              <w:pStyle w:val="TableTextBold"/>
              <w:keepNext/>
              <w:rPr>
                <w:noProof w:val="0"/>
                <w:color w:val="FFFFFF"/>
                <w:lang w:eastAsia="en-NZ"/>
              </w:rPr>
            </w:pPr>
            <w:r w:rsidRPr="00256982">
              <w:rPr>
                <w:noProof w:val="0"/>
                <w:color w:val="FFFFFF"/>
                <w:lang w:eastAsia="en-NZ"/>
              </w:rPr>
              <w:t> Activity</w:t>
            </w:r>
          </w:p>
        </w:tc>
        <w:tc>
          <w:tcPr>
            <w:tcW w:w="1204" w:type="dxa"/>
            <w:tcBorders>
              <w:left w:val="nil"/>
              <w:bottom w:val="single" w:sz="4" w:space="0" w:color="365F91"/>
              <w:right w:val="nil"/>
            </w:tcBorders>
            <w:shd w:val="clear" w:color="000000" w:fill="365F91"/>
            <w:hideMark/>
          </w:tcPr>
          <w:p w14:paraId="59FB1616" w14:textId="77777777" w:rsidR="00DE64BC" w:rsidRPr="00256982" w:rsidRDefault="00DE64BC" w:rsidP="00A808C7">
            <w:pPr>
              <w:pStyle w:val="TableTextBold"/>
              <w:keepNext/>
              <w:jc w:val="center"/>
              <w:rPr>
                <w:noProof w:val="0"/>
                <w:color w:val="FFFFFF"/>
                <w:lang w:eastAsia="en-NZ"/>
              </w:rPr>
            </w:pPr>
            <w:r w:rsidRPr="00256982">
              <w:rPr>
                <w:noProof w:val="0"/>
                <w:color w:val="FFFFFF"/>
                <w:lang w:eastAsia="en-NZ"/>
              </w:rPr>
              <w:t>2013</w:t>
            </w:r>
          </w:p>
        </w:tc>
        <w:tc>
          <w:tcPr>
            <w:tcW w:w="1204" w:type="dxa"/>
            <w:tcBorders>
              <w:left w:val="nil"/>
              <w:bottom w:val="single" w:sz="4" w:space="0" w:color="365F91"/>
              <w:right w:val="nil"/>
            </w:tcBorders>
            <w:shd w:val="clear" w:color="000000" w:fill="365F91"/>
            <w:hideMark/>
          </w:tcPr>
          <w:p w14:paraId="108B209D" w14:textId="77777777" w:rsidR="00DE64BC" w:rsidRPr="00256982" w:rsidRDefault="00DE64BC" w:rsidP="00A808C7">
            <w:pPr>
              <w:pStyle w:val="TableTextBold"/>
              <w:keepNext/>
              <w:jc w:val="center"/>
              <w:rPr>
                <w:noProof w:val="0"/>
                <w:color w:val="FFFFFF"/>
                <w:lang w:eastAsia="en-NZ"/>
              </w:rPr>
            </w:pPr>
            <w:r w:rsidRPr="00256982">
              <w:rPr>
                <w:noProof w:val="0"/>
                <w:color w:val="FFFFFF"/>
                <w:lang w:eastAsia="en-NZ"/>
              </w:rPr>
              <w:t>2014</w:t>
            </w:r>
          </w:p>
        </w:tc>
        <w:tc>
          <w:tcPr>
            <w:tcW w:w="1204" w:type="dxa"/>
            <w:tcBorders>
              <w:left w:val="nil"/>
              <w:bottom w:val="single" w:sz="4" w:space="0" w:color="365F91"/>
              <w:right w:val="nil"/>
            </w:tcBorders>
            <w:shd w:val="clear" w:color="000000" w:fill="365F91"/>
            <w:hideMark/>
          </w:tcPr>
          <w:p w14:paraId="446ED99D" w14:textId="77777777" w:rsidR="00DE64BC" w:rsidRPr="00256982" w:rsidRDefault="00DE64BC" w:rsidP="00A808C7">
            <w:pPr>
              <w:pStyle w:val="TableTextBold"/>
              <w:keepNext/>
              <w:jc w:val="center"/>
              <w:rPr>
                <w:noProof w:val="0"/>
                <w:color w:val="FFFFFF"/>
                <w:lang w:eastAsia="en-NZ"/>
              </w:rPr>
            </w:pPr>
            <w:r w:rsidRPr="00256982">
              <w:rPr>
                <w:noProof w:val="0"/>
                <w:color w:val="FFFFFF"/>
                <w:lang w:eastAsia="en-NZ"/>
              </w:rPr>
              <w:t>2015</w:t>
            </w:r>
          </w:p>
        </w:tc>
        <w:tc>
          <w:tcPr>
            <w:tcW w:w="1204" w:type="dxa"/>
            <w:tcBorders>
              <w:left w:val="nil"/>
              <w:bottom w:val="single" w:sz="4" w:space="0" w:color="365F91"/>
              <w:right w:val="nil"/>
            </w:tcBorders>
            <w:shd w:val="clear" w:color="000000" w:fill="365F91"/>
            <w:hideMark/>
          </w:tcPr>
          <w:p w14:paraId="6B9F26D0" w14:textId="77777777" w:rsidR="00DE64BC" w:rsidRPr="00256982" w:rsidRDefault="00DE64BC" w:rsidP="00A808C7">
            <w:pPr>
              <w:pStyle w:val="TableTextBold"/>
              <w:keepNext/>
              <w:jc w:val="center"/>
              <w:rPr>
                <w:noProof w:val="0"/>
                <w:color w:val="FFFFFF"/>
                <w:lang w:eastAsia="en-NZ"/>
              </w:rPr>
            </w:pPr>
            <w:r w:rsidRPr="00256982">
              <w:rPr>
                <w:noProof w:val="0"/>
                <w:color w:val="FFFFFF"/>
                <w:lang w:eastAsia="en-NZ"/>
              </w:rPr>
              <w:t>2016</w:t>
            </w:r>
          </w:p>
        </w:tc>
        <w:tc>
          <w:tcPr>
            <w:tcW w:w="1204" w:type="dxa"/>
            <w:tcBorders>
              <w:left w:val="nil"/>
              <w:bottom w:val="single" w:sz="4" w:space="0" w:color="365F91"/>
              <w:right w:val="nil"/>
            </w:tcBorders>
            <w:shd w:val="clear" w:color="000000" w:fill="365F91"/>
          </w:tcPr>
          <w:p w14:paraId="53A0DE0A" w14:textId="77777777" w:rsidR="00DE64BC" w:rsidRPr="00256982" w:rsidRDefault="00DE64BC" w:rsidP="00A808C7">
            <w:pPr>
              <w:pStyle w:val="TableTextBold"/>
              <w:keepNext/>
              <w:jc w:val="center"/>
              <w:rPr>
                <w:noProof w:val="0"/>
                <w:color w:val="FFFFFF"/>
                <w:lang w:eastAsia="en-NZ"/>
              </w:rPr>
            </w:pPr>
            <w:r w:rsidRPr="00256982">
              <w:rPr>
                <w:noProof w:val="0"/>
                <w:color w:val="FFFFFF"/>
                <w:lang w:eastAsia="en-NZ"/>
              </w:rPr>
              <w:t>2017</w:t>
            </w:r>
          </w:p>
        </w:tc>
      </w:tr>
      <w:tr w:rsidR="00DE64BC" w:rsidRPr="00256982" w14:paraId="059324A4" w14:textId="77777777" w:rsidTr="007A1993">
        <w:tc>
          <w:tcPr>
            <w:tcW w:w="2444" w:type="dxa"/>
            <w:tcBorders>
              <w:top w:val="single" w:sz="4" w:space="0" w:color="365F91"/>
              <w:left w:val="nil"/>
              <w:bottom w:val="single" w:sz="8" w:space="0" w:color="44546A"/>
              <w:right w:val="nil"/>
            </w:tcBorders>
            <w:shd w:val="clear" w:color="auto" w:fill="auto"/>
            <w:hideMark/>
          </w:tcPr>
          <w:p w14:paraId="23183018" w14:textId="77777777" w:rsidR="00DE64BC" w:rsidRPr="00256982" w:rsidRDefault="00DE64BC" w:rsidP="00A808C7">
            <w:pPr>
              <w:pStyle w:val="TableText"/>
              <w:keepNext/>
              <w:spacing w:before="50" w:after="50"/>
              <w:rPr>
                <w:lang w:eastAsia="en-NZ"/>
              </w:rPr>
            </w:pPr>
            <w:r w:rsidRPr="00256982">
              <w:rPr>
                <w:lang w:eastAsia="en-NZ"/>
              </w:rPr>
              <w:t xml:space="preserve">Afforestation and reforestation </w:t>
            </w:r>
          </w:p>
        </w:tc>
        <w:tc>
          <w:tcPr>
            <w:tcW w:w="1204" w:type="dxa"/>
            <w:tcBorders>
              <w:top w:val="single" w:sz="4" w:space="0" w:color="365F91"/>
              <w:left w:val="nil"/>
              <w:bottom w:val="single" w:sz="8" w:space="0" w:color="44546A"/>
              <w:right w:val="nil"/>
            </w:tcBorders>
            <w:shd w:val="clear" w:color="auto" w:fill="auto"/>
            <w:hideMark/>
          </w:tcPr>
          <w:p w14:paraId="71F9BB4B" w14:textId="77777777" w:rsidR="00DE64BC" w:rsidRPr="00256982" w:rsidRDefault="00DE64BC" w:rsidP="00A808C7">
            <w:pPr>
              <w:pStyle w:val="TableText"/>
              <w:keepNext/>
              <w:spacing w:before="50" w:after="50"/>
              <w:jc w:val="right"/>
              <w:rPr>
                <w:lang w:eastAsia="en-NZ"/>
              </w:rPr>
            </w:pPr>
            <w:r w:rsidRPr="00256982">
              <w:t>–17,405.7</w:t>
            </w:r>
          </w:p>
        </w:tc>
        <w:tc>
          <w:tcPr>
            <w:tcW w:w="1204" w:type="dxa"/>
            <w:tcBorders>
              <w:top w:val="single" w:sz="4" w:space="0" w:color="365F91"/>
              <w:left w:val="nil"/>
              <w:bottom w:val="single" w:sz="8" w:space="0" w:color="44546A"/>
              <w:right w:val="nil"/>
            </w:tcBorders>
            <w:shd w:val="clear" w:color="auto" w:fill="auto"/>
            <w:hideMark/>
          </w:tcPr>
          <w:p w14:paraId="14931D64" w14:textId="77777777" w:rsidR="00DE64BC" w:rsidRPr="00256982" w:rsidRDefault="00DE64BC" w:rsidP="00A808C7">
            <w:pPr>
              <w:pStyle w:val="TableText"/>
              <w:keepNext/>
              <w:spacing w:before="50" w:after="50"/>
              <w:jc w:val="right"/>
              <w:rPr>
                <w:lang w:eastAsia="en-NZ"/>
              </w:rPr>
            </w:pPr>
            <w:r w:rsidRPr="00256982">
              <w:t xml:space="preserve">–17,591.4 </w:t>
            </w:r>
          </w:p>
        </w:tc>
        <w:tc>
          <w:tcPr>
            <w:tcW w:w="1204" w:type="dxa"/>
            <w:tcBorders>
              <w:top w:val="single" w:sz="4" w:space="0" w:color="365F91"/>
              <w:left w:val="nil"/>
              <w:bottom w:val="single" w:sz="8" w:space="0" w:color="44546A"/>
              <w:right w:val="nil"/>
            </w:tcBorders>
            <w:shd w:val="clear" w:color="auto" w:fill="auto"/>
            <w:hideMark/>
          </w:tcPr>
          <w:p w14:paraId="6ADB4397" w14:textId="77777777" w:rsidR="00DE64BC" w:rsidRPr="00256982" w:rsidRDefault="00DE64BC" w:rsidP="00A808C7">
            <w:pPr>
              <w:pStyle w:val="TableText"/>
              <w:keepNext/>
              <w:spacing w:before="50" w:after="50"/>
              <w:jc w:val="right"/>
              <w:rPr>
                <w:lang w:eastAsia="en-NZ"/>
              </w:rPr>
            </w:pPr>
            <w:r w:rsidRPr="00256982">
              <w:t xml:space="preserve">–17,766.7 </w:t>
            </w:r>
          </w:p>
        </w:tc>
        <w:tc>
          <w:tcPr>
            <w:tcW w:w="1204" w:type="dxa"/>
            <w:tcBorders>
              <w:top w:val="single" w:sz="4" w:space="0" w:color="365F91"/>
              <w:left w:val="nil"/>
              <w:bottom w:val="single" w:sz="8" w:space="0" w:color="44546A"/>
              <w:right w:val="nil"/>
            </w:tcBorders>
            <w:shd w:val="clear" w:color="auto" w:fill="auto"/>
            <w:hideMark/>
          </w:tcPr>
          <w:p w14:paraId="78BCF5E2" w14:textId="77777777" w:rsidR="00DE64BC" w:rsidRPr="00256982" w:rsidRDefault="00DE64BC" w:rsidP="00A808C7">
            <w:pPr>
              <w:pStyle w:val="TableText"/>
              <w:keepNext/>
              <w:spacing w:before="50" w:after="50"/>
              <w:jc w:val="right"/>
              <w:rPr>
                <w:lang w:eastAsia="en-NZ"/>
              </w:rPr>
            </w:pPr>
            <w:r w:rsidRPr="00256982">
              <w:t xml:space="preserve">–17,810.4 </w:t>
            </w:r>
          </w:p>
        </w:tc>
        <w:tc>
          <w:tcPr>
            <w:tcW w:w="1204" w:type="dxa"/>
            <w:tcBorders>
              <w:top w:val="single" w:sz="4" w:space="0" w:color="365F91"/>
              <w:left w:val="nil"/>
              <w:bottom w:val="single" w:sz="8" w:space="0" w:color="44546A"/>
              <w:right w:val="nil"/>
            </w:tcBorders>
          </w:tcPr>
          <w:p w14:paraId="0431CD06" w14:textId="77777777" w:rsidR="00DE64BC" w:rsidRPr="00256982" w:rsidRDefault="00DE64BC" w:rsidP="00A808C7">
            <w:pPr>
              <w:pStyle w:val="TableText"/>
              <w:keepNext/>
              <w:spacing w:before="50" w:after="50"/>
              <w:jc w:val="right"/>
            </w:pPr>
            <w:r w:rsidRPr="00256982">
              <w:t xml:space="preserve">–17,610.0 </w:t>
            </w:r>
          </w:p>
        </w:tc>
      </w:tr>
      <w:tr w:rsidR="00DE64BC" w:rsidRPr="00256982" w14:paraId="531861F9" w14:textId="77777777" w:rsidTr="007A1993">
        <w:tc>
          <w:tcPr>
            <w:tcW w:w="2444" w:type="dxa"/>
            <w:tcBorders>
              <w:left w:val="nil"/>
              <w:bottom w:val="single" w:sz="8" w:space="0" w:color="44546A"/>
              <w:right w:val="nil"/>
            </w:tcBorders>
            <w:shd w:val="clear" w:color="auto" w:fill="auto"/>
            <w:hideMark/>
          </w:tcPr>
          <w:p w14:paraId="78F169A9" w14:textId="77777777" w:rsidR="00DE64BC" w:rsidRPr="00256982" w:rsidRDefault="00DE64BC" w:rsidP="00A808C7">
            <w:pPr>
              <w:pStyle w:val="TableText"/>
              <w:keepNext/>
              <w:spacing w:before="50" w:after="50"/>
              <w:rPr>
                <w:lang w:eastAsia="en-NZ"/>
              </w:rPr>
            </w:pPr>
            <w:r w:rsidRPr="00256982">
              <w:rPr>
                <w:lang w:eastAsia="en-NZ"/>
              </w:rPr>
              <w:t>Deforestation</w:t>
            </w:r>
          </w:p>
        </w:tc>
        <w:tc>
          <w:tcPr>
            <w:tcW w:w="1204" w:type="dxa"/>
            <w:tcBorders>
              <w:left w:val="nil"/>
              <w:bottom w:val="single" w:sz="8" w:space="0" w:color="44546A"/>
              <w:right w:val="nil"/>
            </w:tcBorders>
            <w:shd w:val="clear" w:color="auto" w:fill="auto"/>
            <w:hideMark/>
          </w:tcPr>
          <w:p w14:paraId="606F808A" w14:textId="77777777" w:rsidR="00DE64BC" w:rsidRPr="00256982" w:rsidRDefault="00DE64BC" w:rsidP="00A808C7">
            <w:pPr>
              <w:pStyle w:val="TableText"/>
              <w:keepNext/>
              <w:spacing w:before="50" w:after="50"/>
              <w:jc w:val="right"/>
              <w:rPr>
                <w:lang w:eastAsia="en-NZ"/>
              </w:rPr>
            </w:pPr>
            <w:r w:rsidRPr="00256982">
              <w:t>10,110.8</w:t>
            </w:r>
          </w:p>
        </w:tc>
        <w:tc>
          <w:tcPr>
            <w:tcW w:w="1204" w:type="dxa"/>
            <w:tcBorders>
              <w:left w:val="nil"/>
              <w:bottom w:val="single" w:sz="8" w:space="0" w:color="44546A"/>
              <w:right w:val="nil"/>
            </w:tcBorders>
            <w:shd w:val="clear" w:color="auto" w:fill="auto"/>
            <w:hideMark/>
          </w:tcPr>
          <w:p w14:paraId="30A3099F" w14:textId="77777777" w:rsidR="00DE64BC" w:rsidRPr="00256982" w:rsidRDefault="00DE64BC" w:rsidP="00A808C7">
            <w:pPr>
              <w:pStyle w:val="TableText"/>
              <w:keepNext/>
              <w:spacing w:before="50" w:after="50"/>
              <w:jc w:val="right"/>
              <w:rPr>
                <w:lang w:eastAsia="en-NZ"/>
              </w:rPr>
            </w:pPr>
            <w:r w:rsidRPr="00256982">
              <w:t>5,115.8</w:t>
            </w:r>
          </w:p>
        </w:tc>
        <w:tc>
          <w:tcPr>
            <w:tcW w:w="1204" w:type="dxa"/>
            <w:tcBorders>
              <w:left w:val="nil"/>
              <w:bottom w:val="single" w:sz="8" w:space="0" w:color="44546A"/>
              <w:right w:val="nil"/>
            </w:tcBorders>
            <w:shd w:val="clear" w:color="auto" w:fill="auto"/>
            <w:hideMark/>
          </w:tcPr>
          <w:p w14:paraId="79B4EA48" w14:textId="77777777" w:rsidR="00DE64BC" w:rsidRPr="00256982" w:rsidRDefault="00DE64BC" w:rsidP="00A808C7">
            <w:pPr>
              <w:pStyle w:val="TableText"/>
              <w:keepNext/>
              <w:spacing w:before="50" w:after="50"/>
              <w:jc w:val="right"/>
              <w:rPr>
                <w:lang w:eastAsia="en-NZ"/>
              </w:rPr>
            </w:pPr>
            <w:r w:rsidRPr="00256982">
              <w:t>3,912.9</w:t>
            </w:r>
          </w:p>
        </w:tc>
        <w:tc>
          <w:tcPr>
            <w:tcW w:w="1204" w:type="dxa"/>
            <w:tcBorders>
              <w:left w:val="nil"/>
              <w:bottom w:val="single" w:sz="8" w:space="0" w:color="44546A"/>
              <w:right w:val="nil"/>
            </w:tcBorders>
            <w:shd w:val="clear" w:color="auto" w:fill="auto"/>
            <w:hideMark/>
          </w:tcPr>
          <w:p w14:paraId="2C8CBDF9" w14:textId="77777777" w:rsidR="00DE64BC" w:rsidRPr="00256982" w:rsidRDefault="00DE64BC" w:rsidP="00A808C7">
            <w:pPr>
              <w:pStyle w:val="TableText"/>
              <w:keepNext/>
              <w:spacing w:before="50" w:after="50"/>
              <w:jc w:val="right"/>
              <w:rPr>
                <w:lang w:eastAsia="en-NZ"/>
              </w:rPr>
            </w:pPr>
            <w:r w:rsidRPr="00256982">
              <w:t>2,050.5</w:t>
            </w:r>
          </w:p>
        </w:tc>
        <w:tc>
          <w:tcPr>
            <w:tcW w:w="1204" w:type="dxa"/>
            <w:tcBorders>
              <w:left w:val="nil"/>
              <w:bottom w:val="single" w:sz="8" w:space="0" w:color="44546A"/>
              <w:right w:val="nil"/>
            </w:tcBorders>
          </w:tcPr>
          <w:p w14:paraId="2E60D000" w14:textId="77777777" w:rsidR="00DE64BC" w:rsidRPr="00256982" w:rsidRDefault="00DE64BC" w:rsidP="00A808C7">
            <w:pPr>
              <w:pStyle w:val="TableText"/>
              <w:keepNext/>
              <w:spacing w:before="50" w:after="50"/>
              <w:jc w:val="right"/>
            </w:pPr>
            <w:r w:rsidRPr="00256982">
              <w:t>1,657.0</w:t>
            </w:r>
          </w:p>
        </w:tc>
      </w:tr>
      <w:tr w:rsidR="00DE64BC" w:rsidRPr="00256982" w14:paraId="21391BE6" w14:textId="77777777" w:rsidTr="007A1993">
        <w:tc>
          <w:tcPr>
            <w:tcW w:w="2444" w:type="dxa"/>
            <w:tcBorders>
              <w:left w:val="nil"/>
              <w:bottom w:val="single" w:sz="4" w:space="0" w:color="auto"/>
              <w:right w:val="nil"/>
            </w:tcBorders>
            <w:shd w:val="clear" w:color="auto" w:fill="auto"/>
            <w:hideMark/>
          </w:tcPr>
          <w:p w14:paraId="69735C5B" w14:textId="77777777" w:rsidR="00DE64BC" w:rsidRPr="00256982" w:rsidRDefault="00DE64BC" w:rsidP="00A808C7">
            <w:pPr>
              <w:pStyle w:val="TableText"/>
              <w:spacing w:before="50" w:after="50"/>
              <w:rPr>
                <w:lang w:eastAsia="en-NZ"/>
              </w:rPr>
            </w:pPr>
            <w:r w:rsidRPr="00256982">
              <w:rPr>
                <w:lang w:eastAsia="en-NZ"/>
              </w:rPr>
              <w:t>Forest management</w:t>
            </w:r>
          </w:p>
        </w:tc>
        <w:tc>
          <w:tcPr>
            <w:tcW w:w="1204" w:type="dxa"/>
            <w:tcBorders>
              <w:left w:val="nil"/>
              <w:bottom w:val="single" w:sz="4" w:space="0" w:color="auto"/>
              <w:right w:val="nil"/>
            </w:tcBorders>
            <w:shd w:val="clear" w:color="auto" w:fill="auto"/>
            <w:hideMark/>
          </w:tcPr>
          <w:p w14:paraId="09AAF32B" w14:textId="77777777" w:rsidR="00DE64BC" w:rsidRPr="00256982" w:rsidRDefault="00DE64BC" w:rsidP="00A808C7">
            <w:pPr>
              <w:pStyle w:val="TableText"/>
              <w:spacing w:before="50" w:after="50"/>
              <w:jc w:val="right"/>
              <w:rPr>
                <w:lang w:eastAsia="en-NZ"/>
              </w:rPr>
            </w:pPr>
            <w:r w:rsidRPr="00256982">
              <w:t>–22,258.7</w:t>
            </w:r>
          </w:p>
        </w:tc>
        <w:tc>
          <w:tcPr>
            <w:tcW w:w="1204" w:type="dxa"/>
            <w:tcBorders>
              <w:left w:val="nil"/>
              <w:bottom w:val="single" w:sz="4" w:space="0" w:color="auto"/>
              <w:right w:val="nil"/>
            </w:tcBorders>
            <w:shd w:val="clear" w:color="auto" w:fill="auto"/>
            <w:hideMark/>
          </w:tcPr>
          <w:p w14:paraId="7E3F5F81" w14:textId="77777777" w:rsidR="00DE64BC" w:rsidRPr="00256982" w:rsidRDefault="00DE64BC" w:rsidP="00A808C7">
            <w:pPr>
              <w:pStyle w:val="TableText"/>
              <w:spacing w:before="50" w:after="50"/>
              <w:jc w:val="right"/>
              <w:rPr>
                <w:lang w:eastAsia="en-NZ"/>
              </w:rPr>
            </w:pPr>
            <w:r w:rsidRPr="00256982">
              <w:t>–20,552.2</w:t>
            </w:r>
          </w:p>
        </w:tc>
        <w:tc>
          <w:tcPr>
            <w:tcW w:w="1204" w:type="dxa"/>
            <w:tcBorders>
              <w:left w:val="nil"/>
              <w:bottom w:val="single" w:sz="4" w:space="0" w:color="auto"/>
              <w:right w:val="nil"/>
            </w:tcBorders>
            <w:shd w:val="clear" w:color="auto" w:fill="auto"/>
            <w:hideMark/>
          </w:tcPr>
          <w:p w14:paraId="603FE27B" w14:textId="77777777" w:rsidR="00DE64BC" w:rsidRPr="00256982" w:rsidRDefault="00DE64BC" w:rsidP="00A808C7">
            <w:pPr>
              <w:pStyle w:val="TableText"/>
              <w:spacing w:before="50" w:after="50"/>
              <w:jc w:val="right"/>
              <w:rPr>
                <w:lang w:eastAsia="en-NZ"/>
              </w:rPr>
            </w:pPr>
            <w:r w:rsidRPr="00256982">
              <w:t>–18,331.9</w:t>
            </w:r>
          </w:p>
        </w:tc>
        <w:tc>
          <w:tcPr>
            <w:tcW w:w="1204" w:type="dxa"/>
            <w:tcBorders>
              <w:left w:val="nil"/>
              <w:bottom w:val="single" w:sz="4" w:space="0" w:color="auto"/>
              <w:right w:val="nil"/>
            </w:tcBorders>
            <w:shd w:val="clear" w:color="auto" w:fill="auto"/>
            <w:hideMark/>
          </w:tcPr>
          <w:p w14:paraId="0DE06406" w14:textId="77777777" w:rsidR="00DE64BC" w:rsidRPr="00256982" w:rsidRDefault="00DE64BC" w:rsidP="00A808C7">
            <w:pPr>
              <w:pStyle w:val="TableText"/>
              <w:spacing w:before="50" w:after="50"/>
              <w:jc w:val="right"/>
              <w:rPr>
                <w:lang w:eastAsia="en-NZ"/>
              </w:rPr>
            </w:pPr>
            <w:r w:rsidRPr="00256982">
              <w:t>–15,731.4</w:t>
            </w:r>
          </w:p>
        </w:tc>
        <w:tc>
          <w:tcPr>
            <w:tcW w:w="1204" w:type="dxa"/>
            <w:tcBorders>
              <w:left w:val="nil"/>
              <w:bottom w:val="single" w:sz="4" w:space="0" w:color="auto"/>
              <w:right w:val="nil"/>
            </w:tcBorders>
          </w:tcPr>
          <w:p w14:paraId="7469FDC3" w14:textId="77777777" w:rsidR="00DE64BC" w:rsidRPr="00256982" w:rsidRDefault="00DE64BC" w:rsidP="00A808C7">
            <w:pPr>
              <w:pStyle w:val="TableText"/>
              <w:spacing w:before="50" w:after="50"/>
              <w:jc w:val="right"/>
            </w:pPr>
            <w:r w:rsidRPr="00256982">
              <w:t>–14,553.9</w:t>
            </w:r>
          </w:p>
        </w:tc>
      </w:tr>
      <w:tr w:rsidR="00DE64BC" w:rsidRPr="00256982" w14:paraId="6DB399A3" w14:textId="77777777" w:rsidTr="007A1993">
        <w:tc>
          <w:tcPr>
            <w:tcW w:w="2444" w:type="dxa"/>
            <w:tcBorders>
              <w:top w:val="nil"/>
              <w:left w:val="nil"/>
              <w:bottom w:val="single" w:sz="4" w:space="0" w:color="auto"/>
              <w:right w:val="nil"/>
            </w:tcBorders>
            <w:shd w:val="clear" w:color="auto" w:fill="auto"/>
            <w:hideMark/>
          </w:tcPr>
          <w:p w14:paraId="26F01C59" w14:textId="77777777" w:rsidR="00DE64BC" w:rsidRPr="00256982" w:rsidRDefault="00DE64BC" w:rsidP="00A808C7">
            <w:pPr>
              <w:pStyle w:val="Tableboldblue"/>
              <w:spacing w:before="50" w:after="50"/>
              <w:rPr>
                <w:lang w:eastAsia="en-NZ"/>
              </w:rPr>
            </w:pPr>
            <w:r w:rsidRPr="00256982">
              <w:rPr>
                <w:lang w:eastAsia="en-NZ"/>
              </w:rPr>
              <w:t>Net emissions</w:t>
            </w:r>
          </w:p>
        </w:tc>
        <w:tc>
          <w:tcPr>
            <w:tcW w:w="1204" w:type="dxa"/>
            <w:tcBorders>
              <w:top w:val="nil"/>
              <w:left w:val="nil"/>
              <w:bottom w:val="single" w:sz="4" w:space="0" w:color="auto"/>
              <w:right w:val="nil"/>
            </w:tcBorders>
            <w:shd w:val="clear" w:color="auto" w:fill="auto"/>
            <w:hideMark/>
          </w:tcPr>
          <w:p w14:paraId="647C5B58" w14:textId="77777777" w:rsidR="00DE64BC" w:rsidRPr="00256982" w:rsidRDefault="00DE64BC" w:rsidP="00A808C7">
            <w:pPr>
              <w:pStyle w:val="Tableboldblue"/>
              <w:spacing w:before="50" w:after="50"/>
              <w:jc w:val="right"/>
              <w:rPr>
                <w:lang w:eastAsia="en-NZ"/>
              </w:rPr>
            </w:pPr>
            <w:r w:rsidRPr="00256982">
              <w:t>–29,553.5</w:t>
            </w:r>
          </w:p>
        </w:tc>
        <w:tc>
          <w:tcPr>
            <w:tcW w:w="1204" w:type="dxa"/>
            <w:tcBorders>
              <w:top w:val="nil"/>
              <w:left w:val="nil"/>
              <w:bottom w:val="single" w:sz="4" w:space="0" w:color="auto"/>
              <w:right w:val="nil"/>
            </w:tcBorders>
            <w:shd w:val="clear" w:color="auto" w:fill="auto"/>
            <w:hideMark/>
          </w:tcPr>
          <w:p w14:paraId="11C93715" w14:textId="77777777" w:rsidR="00DE64BC" w:rsidRPr="00256982" w:rsidRDefault="00DE64BC" w:rsidP="00A808C7">
            <w:pPr>
              <w:pStyle w:val="Tableboldblue"/>
              <w:spacing w:before="50" w:after="50"/>
              <w:jc w:val="right"/>
              <w:rPr>
                <w:lang w:eastAsia="en-NZ"/>
              </w:rPr>
            </w:pPr>
            <w:r w:rsidRPr="00256982">
              <w:t>–33,027.8</w:t>
            </w:r>
          </w:p>
        </w:tc>
        <w:tc>
          <w:tcPr>
            <w:tcW w:w="1204" w:type="dxa"/>
            <w:tcBorders>
              <w:top w:val="nil"/>
              <w:left w:val="nil"/>
              <w:bottom w:val="single" w:sz="4" w:space="0" w:color="auto"/>
              <w:right w:val="nil"/>
            </w:tcBorders>
            <w:shd w:val="clear" w:color="auto" w:fill="auto"/>
            <w:hideMark/>
          </w:tcPr>
          <w:p w14:paraId="6F52DA9F" w14:textId="77777777" w:rsidR="00DE64BC" w:rsidRPr="00256982" w:rsidRDefault="00DE64BC" w:rsidP="00A808C7">
            <w:pPr>
              <w:pStyle w:val="Tableboldblue"/>
              <w:spacing w:before="50" w:after="50"/>
              <w:jc w:val="right"/>
              <w:rPr>
                <w:lang w:eastAsia="en-NZ"/>
              </w:rPr>
            </w:pPr>
            <w:r w:rsidRPr="00256982">
              <w:t>–32,185.7</w:t>
            </w:r>
          </w:p>
        </w:tc>
        <w:tc>
          <w:tcPr>
            <w:tcW w:w="1204" w:type="dxa"/>
            <w:tcBorders>
              <w:top w:val="nil"/>
              <w:left w:val="nil"/>
              <w:bottom w:val="single" w:sz="4" w:space="0" w:color="auto"/>
              <w:right w:val="nil"/>
            </w:tcBorders>
            <w:shd w:val="clear" w:color="auto" w:fill="auto"/>
            <w:hideMark/>
          </w:tcPr>
          <w:p w14:paraId="5899F63A" w14:textId="77777777" w:rsidR="00DE64BC" w:rsidRPr="00256982" w:rsidRDefault="00DE64BC" w:rsidP="00A808C7">
            <w:pPr>
              <w:pStyle w:val="Tableboldblue"/>
              <w:spacing w:before="50" w:after="50"/>
              <w:jc w:val="right"/>
              <w:rPr>
                <w:lang w:eastAsia="en-NZ"/>
              </w:rPr>
            </w:pPr>
            <w:r w:rsidRPr="00256982">
              <w:t>–31,491.3</w:t>
            </w:r>
          </w:p>
        </w:tc>
        <w:tc>
          <w:tcPr>
            <w:tcW w:w="1204" w:type="dxa"/>
            <w:tcBorders>
              <w:top w:val="nil"/>
              <w:left w:val="nil"/>
              <w:bottom w:val="single" w:sz="4" w:space="0" w:color="auto"/>
              <w:right w:val="nil"/>
            </w:tcBorders>
          </w:tcPr>
          <w:p w14:paraId="258801A3" w14:textId="77777777" w:rsidR="00DE64BC" w:rsidRPr="00256982" w:rsidRDefault="00DE64BC" w:rsidP="00A808C7">
            <w:pPr>
              <w:pStyle w:val="Tableboldblue"/>
              <w:spacing w:before="50" w:after="50"/>
              <w:jc w:val="right"/>
              <w:rPr>
                <w:lang w:eastAsia="en-NZ"/>
              </w:rPr>
            </w:pPr>
            <w:r w:rsidRPr="00256982">
              <w:t>–30,506.9</w:t>
            </w:r>
          </w:p>
        </w:tc>
      </w:tr>
      <w:tr w:rsidR="00DE64BC" w:rsidRPr="00256982" w14:paraId="15305327" w14:textId="77777777" w:rsidTr="007A1993">
        <w:tc>
          <w:tcPr>
            <w:tcW w:w="2444" w:type="dxa"/>
            <w:tcBorders>
              <w:top w:val="single" w:sz="4" w:space="0" w:color="auto"/>
              <w:left w:val="nil"/>
              <w:bottom w:val="single" w:sz="8" w:space="0" w:color="44546A"/>
              <w:right w:val="nil"/>
            </w:tcBorders>
            <w:shd w:val="clear" w:color="auto" w:fill="auto"/>
          </w:tcPr>
          <w:p w14:paraId="1E19F0BD" w14:textId="77777777" w:rsidR="00DE64BC" w:rsidRPr="00256982" w:rsidRDefault="00DE64BC" w:rsidP="00A808C7">
            <w:pPr>
              <w:pStyle w:val="Tableboldblue"/>
              <w:spacing w:before="50" w:after="50"/>
              <w:rPr>
                <w:lang w:eastAsia="en-NZ"/>
              </w:rPr>
            </w:pPr>
            <w:r w:rsidRPr="00256982">
              <w:rPr>
                <w:lang w:eastAsia="en-NZ"/>
              </w:rPr>
              <w:t>Accounting quantity</w:t>
            </w:r>
          </w:p>
        </w:tc>
        <w:tc>
          <w:tcPr>
            <w:tcW w:w="1204" w:type="dxa"/>
            <w:tcBorders>
              <w:top w:val="single" w:sz="4" w:space="0" w:color="auto"/>
              <w:left w:val="nil"/>
              <w:bottom w:val="single" w:sz="8" w:space="0" w:color="44546A"/>
              <w:right w:val="nil"/>
            </w:tcBorders>
            <w:shd w:val="clear" w:color="auto" w:fill="auto"/>
          </w:tcPr>
          <w:p w14:paraId="64353323" w14:textId="77777777" w:rsidR="00DE64BC" w:rsidRPr="00256982" w:rsidRDefault="00DE64BC" w:rsidP="00A808C7">
            <w:pPr>
              <w:pStyle w:val="Tableboldblue"/>
              <w:spacing w:before="50" w:after="50"/>
              <w:jc w:val="right"/>
              <w:rPr>
                <w:lang w:eastAsia="en-NZ"/>
              </w:rPr>
            </w:pPr>
            <w:r w:rsidRPr="00256982">
              <w:t xml:space="preserve">–7,294.8 </w:t>
            </w:r>
          </w:p>
        </w:tc>
        <w:tc>
          <w:tcPr>
            <w:tcW w:w="1204" w:type="dxa"/>
            <w:tcBorders>
              <w:top w:val="single" w:sz="4" w:space="0" w:color="auto"/>
              <w:left w:val="nil"/>
              <w:bottom w:val="single" w:sz="8" w:space="0" w:color="44546A"/>
              <w:right w:val="nil"/>
            </w:tcBorders>
            <w:shd w:val="clear" w:color="auto" w:fill="auto"/>
          </w:tcPr>
          <w:p w14:paraId="67F7B38F" w14:textId="77777777" w:rsidR="00DE64BC" w:rsidRPr="00256982" w:rsidRDefault="00DE64BC" w:rsidP="00A808C7">
            <w:pPr>
              <w:pStyle w:val="Tableboldblue"/>
              <w:spacing w:before="50" w:after="50"/>
              <w:jc w:val="right"/>
              <w:rPr>
                <w:lang w:eastAsia="en-NZ"/>
              </w:rPr>
            </w:pPr>
            <w:r w:rsidRPr="00256982">
              <w:t xml:space="preserve">–12,475.6 </w:t>
            </w:r>
          </w:p>
        </w:tc>
        <w:tc>
          <w:tcPr>
            <w:tcW w:w="1204" w:type="dxa"/>
            <w:tcBorders>
              <w:top w:val="single" w:sz="4" w:space="0" w:color="auto"/>
              <w:left w:val="nil"/>
              <w:bottom w:val="single" w:sz="8" w:space="0" w:color="44546A"/>
              <w:right w:val="nil"/>
            </w:tcBorders>
            <w:shd w:val="clear" w:color="auto" w:fill="auto"/>
          </w:tcPr>
          <w:p w14:paraId="24B059BB" w14:textId="77777777" w:rsidR="00DE64BC" w:rsidRPr="00256982" w:rsidRDefault="00DE64BC" w:rsidP="00A808C7">
            <w:pPr>
              <w:pStyle w:val="Tableboldblue"/>
              <w:spacing w:before="50" w:after="50"/>
              <w:jc w:val="right"/>
              <w:rPr>
                <w:lang w:eastAsia="en-NZ"/>
              </w:rPr>
            </w:pPr>
            <w:r w:rsidRPr="00256982">
              <w:t xml:space="preserve">–13,853.9 </w:t>
            </w:r>
          </w:p>
        </w:tc>
        <w:tc>
          <w:tcPr>
            <w:tcW w:w="1204" w:type="dxa"/>
            <w:tcBorders>
              <w:top w:val="single" w:sz="4" w:space="0" w:color="auto"/>
              <w:left w:val="nil"/>
              <w:bottom w:val="single" w:sz="8" w:space="0" w:color="44546A"/>
              <w:right w:val="nil"/>
            </w:tcBorders>
            <w:shd w:val="clear" w:color="auto" w:fill="auto"/>
          </w:tcPr>
          <w:p w14:paraId="1C6F1A2D" w14:textId="77777777" w:rsidR="00DE64BC" w:rsidRPr="00256982" w:rsidRDefault="00DE64BC" w:rsidP="00A808C7">
            <w:pPr>
              <w:pStyle w:val="Tableboldblue"/>
              <w:spacing w:before="50" w:after="50"/>
              <w:jc w:val="right"/>
              <w:rPr>
                <w:lang w:eastAsia="en-NZ"/>
              </w:rPr>
            </w:pPr>
            <w:r w:rsidRPr="00256982">
              <w:t xml:space="preserve">–15,759.9 </w:t>
            </w:r>
          </w:p>
        </w:tc>
        <w:tc>
          <w:tcPr>
            <w:tcW w:w="1204" w:type="dxa"/>
            <w:tcBorders>
              <w:top w:val="single" w:sz="4" w:space="0" w:color="auto"/>
              <w:left w:val="nil"/>
              <w:bottom w:val="single" w:sz="8" w:space="0" w:color="44546A"/>
              <w:right w:val="nil"/>
            </w:tcBorders>
          </w:tcPr>
          <w:p w14:paraId="6D4BEF83" w14:textId="77777777" w:rsidR="00DE64BC" w:rsidRPr="00256982" w:rsidRDefault="00DE64BC" w:rsidP="00A808C7">
            <w:pPr>
              <w:pStyle w:val="Tableboldblue"/>
              <w:spacing w:before="50" w:after="50"/>
              <w:jc w:val="right"/>
              <w:rPr>
                <w:lang w:eastAsia="en-NZ"/>
              </w:rPr>
            </w:pPr>
            <w:r w:rsidRPr="00256982">
              <w:t xml:space="preserve">–15,953.0 </w:t>
            </w:r>
          </w:p>
        </w:tc>
      </w:tr>
    </w:tbl>
    <w:p w14:paraId="79F2BBA2" w14:textId="77777777" w:rsidR="00DE64BC" w:rsidRPr="00256982" w:rsidRDefault="00DE64BC" w:rsidP="00A808C7">
      <w:pPr>
        <w:pStyle w:val="Noteundertable"/>
      </w:pPr>
      <w:r w:rsidRPr="00256982">
        <w:rPr>
          <w:b/>
        </w:rPr>
        <w:t>Note:</w:t>
      </w:r>
      <w:r w:rsidRPr="00256982">
        <w:t xml:space="preserve"> </w:t>
      </w:r>
      <w:r w:rsidRPr="00256982">
        <w:tab/>
        <w:t xml:space="preserve">The accounting quantity excludes net emissions from forest management because these will be accounted for against a forest management reference level at the end of the 2020 year and a cap will apply; further information on this is included in chapter 11, section 11.3.4. Removals are expressed as a negative value as per section 2.2.3 of the 2006 IPCC Guidelines (IPCC, 2006). Afforestation and reforestation refers to new forest established since 31 December 1989. Columns may not total due to rounding. </w:t>
      </w:r>
    </w:p>
    <w:p w14:paraId="70152617" w14:textId="77777777" w:rsidR="00DE64BC" w:rsidRPr="00256982" w:rsidRDefault="00DE64BC" w:rsidP="001D3490">
      <w:pPr>
        <w:pStyle w:val="Heading2"/>
      </w:pPr>
      <w:bookmarkStart w:id="87" w:name="_Toc448321485"/>
      <w:bookmarkStart w:id="88" w:name="_Toc511116562"/>
      <w:bookmarkStart w:id="89" w:name="_Toc5269324"/>
      <w:bookmarkStart w:id="90" w:name="_Toc352504936"/>
      <w:bookmarkStart w:id="91" w:name="_Toc391023810"/>
      <w:bookmarkStart w:id="92" w:name="_Toc414531388"/>
      <w:r w:rsidRPr="00256982">
        <w:t>ES.6</w:t>
      </w:r>
      <w:r w:rsidRPr="00256982">
        <w:tab/>
        <w:t>Improvements introduced</w:t>
      </w:r>
      <w:bookmarkEnd w:id="87"/>
      <w:bookmarkEnd w:id="88"/>
      <w:bookmarkEnd w:id="89"/>
    </w:p>
    <w:p w14:paraId="76634473" w14:textId="77777777" w:rsidR="00DE64BC" w:rsidRPr="00256982" w:rsidRDefault="00DE64BC" w:rsidP="007A1993">
      <w:pPr>
        <w:pStyle w:val="BodyText"/>
        <w:spacing w:before="100" w:after="100"/>
      </w:pPr>
      <w:r w:rsidRPr="00256982">
        <w:t xml:space="preserve">The inventory follows a process of continuous improvement as per the Convention principles. A range of improvements have been made to the inventory since the 2017 submission. Improvements are made from year to year, to follow recommendations from international expert review teams, correct errors and implement additional changes planned by the agencies involved in preparing the inventory. </w:t>
      </w:r>
    </w:p>
    <w:p w14:paraId="5945F8F8" w14:textId="77777777" w:rsidR="00DE64BC" w:rsidRPr="00256982" w:rsidRDefault="00DE64BC" w:rsidP="007A1993">
      <w:pPr>
        <w:pStyle w:val="BodyText"/>
        <w:spacing w:before="100" w:after="100"/>
      </w:pPr>
      <w:r w:rsidRPr="00256982">
        <w:t>When improvements are made, it is good practice to recalculate the whole time series from 1990 to the current inventory year to ensure a consistent time series. This means estimates of emissions and/or removals in a given year may differ from emissions and/or removals reported in the previous inventory submission.</w:t>
      </w:r>
    </w:p>
    <w:p w14:paraId="6C6D3269" w14:textId="77777777" w:rsidR="00DE64BC" w:rsidRPr="00256982" w:rsidRDefault="00DE64BC" w:rsidP="007A1993">
      <w:pPr>
        <w:pStyle w:val="BodyText"/>
        <w:spacing w:before="100" w:after="100"/>
      </w:pPr>
      <w:r w:rsidRPr="00256982">
        <w:t xml:space="preserve">The main improvements by sector are outlined below. Chapter 10 provides information on all recalculations made to the estimates. </w:t>
      </w:r>
    </w:p>
    <w:p w14:paraId="3433CAB3" w14:textId="77777777" w:rsidR="00DE64BC" w:rsidRPr="00256982" w:rsidRDefault="00DE64BC" w:rsidP="00A72006">
      <w:pPr>
        <w:pStyle w:val="Heading4"/>
      </w:pPr>
      <w:r w:rsidRPr="00256982">
        <w:t>Energy (chapter 3)</w:t>
      </w:r>
    </w:p>
    <w:p w14:paraId="41F405E0" w14:textId="77777777" w:rsidR="00DE64BC" w:rsidRPr="00256982" w:rsidRDefault="00DE64BC" w:rsidP="00A808C7">
      <w:pPr>
        <w:pStyle w:val="BodyText"/>
      </w:pPr>
      <w:r w:rsidRPr="00256982">
        <w:rPr>
          <w:lang w:eastAsia="en-GB"/>
        </w:rPr>
        <w:t xml:space="preserve">Most of the changes to the Energy sector in the 2019 submission focused on recommendations from the </w:t>
      </w:r>
      <w:r w:rsidRPr="00256982">
        <w:t>expert review team</w:t>
      </w:r>
      <w:r w:rsidRPr="00256982">
        <w:rPr>
          <w:lang w:eastAsia="en-GB"/>
        </w:rPr>
        <w:t xml:space="preserve"> as a result of the review of the 2016 and 2017 submissions of the inventory. The main improvements for the 2019 submission are focused on activity data validation. These include:</w:t>
      </w:r>
    </w:p>
    <w:p w14:paraId="49923BD7" w14:textId="77777777" w:rsidR="00DE64BC" w:rsidRPr="00256982" w:rsidRDefault="00DE64BC" w:rsidP="0036046B">
      <w:pPr>
        <w:pStyle w:val="Bullet"/>
        <w:numPr>
          <w:ilvl w:val="0"/>
          <w:numId w:val="8"/>
        </w:numPr>
      </w:pPr>
      <w:r w:rsidRPr="00256982">
        <w:t xml:space="preserve">disaggregation of the fossil fraction of biodiesel </w:t>
      </w:r>
    </w:p>
    <w:p w14:paraId="0A0E7C4D" w14:textId="21C88EB3" w:rsidR="00DE64BC" w:rsidRPr="00256982" w:rsidRDefault="00DE64BC" w:rsidP="0036046B">
      <w:pPr>
        <w:pStyle w:val="Bullet"/>
        <w:numPr>
          <w:ilvl w:val="0"/>
          <w:numId w:val="8"/>
        </w:numPr>
      </w:pPr>
      <w:r w:rsidRPr="00256982">
        <w:t>several improvements made to the estimates of non-CO</w:t>
      </w:r>
      <w:r w:rsidRPr="00256982">
        <w:rPr>
          <w:vertAlign w:val="subscript"/>
        </w:rPr>
        <w:t>2</w:t>
      </w:r>
      <w:r w:rsidRPr="00256982">
        <w:t xml:space="preserve"> emissions from road transport.</w:t>
      </w:r>
      <w:r w:rsidRPr="00256982" w:rsidDel="0052094B">
        <w:t xml:space="preserve"> </w:t>
      </w:r>
    </w:p>
    <w:p w14:paraId="68C35D9A" w14:textId="77777777" w:rsidR="00DE64BC" w:rsidRPr="00256982" w:rsidRDefault="00DE64BC" w:rsidP="00A72006">
      <w:pPr>
        <w:pStyle w:val="Heading4"/>
      </w:pPr>
      <w:r w:rsidRPr="00256982">
        <w:t>IPPU (chapter 4)</w:t>
      </w:r>
    </w:p>
    <w:p w14:paraId="29EACFAA" w14:textId="77777777" w:rsidR="00DE64BC" w:rsidRPr="00256982" w:rsidRDefault="00DE64BC" w:rsidP="00A808C7">
      <w:pPr>
        <w:pStyle w:val="BodyText"/>
      </w:pPr>
      <w:r w:rsidRPr="00256982">
        <w:t xml:space="preserve">In the </w:t>
      </w:r>
      <w:r w:rsidRPr="00256982">
        <w:rPr>
          <w:i/>
        </w:rPr>
        <w:t>Product uses as substitutes for ODS</w:t>
      </w:r>
      <w:r w:rsidRPr="00256982">
        <w:t xml:space="preserve"> source category, activity data and emissions for refrigeration and air conditioning are disaggregated by sub-application. For submissions up to 2015, only mobile air conditioning was reported separately. </w:t>
      </w:r>
    </w:p>
    <w:p w14:paraId="302D63C2" w14:textId="77777777" w:rsidR="00DE64BC" w:rsidRPr="00256982" w:rsidRDefault="00DE64BC" w:rsidP="00A808C7">
      <w:pPr>
        <w:pStyle w:val="BodyText"/>
      </w:pPr>
      <w:r w:rsidRPr="00256982">
        <w:t xml:space="preserve">For this submission, emissions from refrigeration and air conditioning for all years have been recalculated to better account for fluctuations in import volumes and refrigerant stockpiled by importers. </w:t>
      </w:r>
    </w:p>
    <w:p w14:paraId="5858C964" w14:textId="77777777" w:rsidR="00DE64BC" w:rsidRPr="00256982" w:rsidRDefault="00DE64BC" w:rsidP="00A808C7">
      <w:pPr>
        <w:pStyle w:val="BodyText"/>
        <w:rPr>
          <w:spacing w:val="-2"/>
        </w:rPr>
      </w:pPr>
      <w:r w:rsidRPr="00256982">
        <w:rPr>
          <w:lang w:eastAsia="en-NZ"/>
        </w:rPr>
        <w:t>Section 4.1.7 in chapter 4 contains more details about improvements and recalculations for the IPPU sector</w:t>
      </w:r>
      <w:r w:rsidRPr="00256982">
        <w:rPr>
          <w:spacing w:val="-2"/>
        </w:rPr>
        <w:t xml:space="preserve">. </w:t>
      </w:r>
    </w:p>
    <w:bookmarkEnd w:id="90"/>
    <w:bookmarkEnd w:id="91"/>
    <w:bookmarkEnd w:id="92"/>
    <w:p w14:paraId="6132D8D8" w14:textId="77777777" w:rsidR="00DE64BC" w:rsidRPr="00256982" w:rsidRDefault="00DE64BC" w:rsidP="00A72006">
      <w:pPr>
        <w:pStyle w:val="Heading4"/>
      </w:pPr>
      <w:r w:rsidRPr="00256982">
        <w:lastRenderedPageBreak/>
        <w:t>Agriculture (chapter 5)</w:t>
      </w:r>
    </w:p>
    <w:p w14:paraId="76B5B64D" w14:textId="77777777" w:rsidR="00DE64BC" w:rsidRPr="00256982" w:rsidRDefault="00DE64BC" w:rsidP="00A808C7">
      <w:pPr>
        <w:pStyle w:val="BodyText"/>
      </w:pPr>
      <w:r w:rsidRPr="00256982">
        <w:t>The improvements in the 2019 inventory submission included revision of activity data and methodology as follows:</w:t>
      </w:r>
    </w:p>
    <w:p w14:paraId="341F8E07" w14:textId="77777777" w:rsidR="00DE64BC" w:rsidRPr="00256982" w:rsidRDefault="00DE64BC" w:rsidP="0036046B">
      <w:pPr>
        <w:pStyle w:val="Bullet"/>
        <w:numPr>
          <w:ilvl w:val="0"/>
          <w:numId w:val="8"/>
        </w:numPr>
      </w:pPr>
      <w:r w:rsidRPr="00256982">
        <w:t xml:space="preserve">the use of revised activity data for the proportion of dairy excreta entering anaerobic lagoons within the </w:t>
      </w:r>
      <w:r w:rsidRPr="00256982">
        <w:rPr>
          <w:i/>
          <w:iCs/>
        </w:rPr>
        <w:t xml:space="preserve">Manure management </w:t>
      </w:r>
      <w:r w:rsidRPr="00256982">
        <w:t xml:space="preserve">category (this also has minor implications for the </w:t>
      </w:r>
      <w:r w:rsidRPr="00256982">
        <w:rPr>
          <w:i/>
          <w:iCs/>
        </w:rPr>
        <w:t>Agricultural soils</w:t>
      </w:r>
      <w:r w:rsidRPr="00256982">
        <w:t xml:space="preserve"> category)</w:t>
      </w:r>
    </w:p>
    <w:p w14:paraId="3998654E" w14:textId="77777777" w:rsidR="00DE64BC" w:rsidRPr="00256982" w:rsidRDefault="00DE64BC" w:rsidP="0036046B">
      <w:pPr>
        <w:pStyle w:val="Bullet"/>
        <w:numPr>
          <w:ilvl w:val="0"/>
          <w:numId w:val="8"/>
        </w:numPr>
      </w:pPr>
      <w:r w:rsidRPr="00256982">
        <w:t xml:space="preserve">the method and equations used for estimating the proportion of nitrogen excretion partitioned between dung and urine within the </w:t>
      </w:r>
      <w:r w:rsidRPr="00256982">
        <w:rPr>
          <w:i/>
          <w:iCs/>
        </w:rPr>
        <w:t>Agricultural soils</w:t>
      </w:r>
      <w:r w:rsidRPr="00256982">
        <w:rPr>
          <w:iCs/>
        </w:rPr>
        <w:t xml:space="preserve"> category.</w:t>
      </w:r>
    </w:p>
    <w:p w14:paraId="2673351C" w14:textId="77777777" w:rsidR="00DE64BC" w:rsidRPr="00256982" w:rsidRDefault="00DE64BC" w:rsidP="00A808C7">
      <w:pPr>
        <w:pStyle w:val="BodyText"/>
      </w:pPr>
      <w:r w:rsidRPr="00256982">
        <w:t>The 2019 submission corrects the following minor errors identified in the agriculture emissions estimations for 2018:</w:t>
      </w:r>
    </w:p>
    <w:p w14:paraId="2CC9297F" w14:textId="77777777" w:rsidR="00DE64BC" w:rsidRPr="00256982" w:rsidRDefault="00DE64BC" w:rsidP="0036046B">
      <w:pPr>
        <w:pStyle w:val="Bullet"/>
        <w:numPr>
          <w:ilvl w:val="0"/>
          <w:numId w:val="8"/>
        </w:numPr>
      </w:pPr>
      <w:r w:rsidRPr="00256982">
        <w:t>the equations used to estimate maintenance energy requirements for dairy cattle, non-dairy cattle, sheep and deer</w:t>
      </w:r>
    </w:p>
    <w:p w14:paraId="3C49BB10" w14:textId="77777777" w:rsidR="00DE64BC" w:rsidRPr="00256982" w:rsidRDefault="00DE64BC" w:rsidP="0036046B">
      <w:pPr>
        <w:pStyle w:val="Bullet"/>
        <w:numPr>
          <w:ilvl w:val="0"/>
          <w:numId w:val="8"/>
        </w:numPr>
      </w:pPr>
      <w:r w:rsidRPr="00256982">
        <w:t>the equations that estimate monthly population changes for sheep and deer.</w:t>
      </w:r>
    </w:p>
    <w:p w14:paraId="739A2B0D" w14:textId="77777777" w:rsidR="00DE64BC" w:rsidRPr="00256982" w:rsidRDefault="00DE64BC" w:rsidP="00A72006">
      <w:pPr>
        <w:pStyle w:val="Heading4"/>
      </w:pPr>
      <w:r w:rsidRPr="00256982">
        <w:t xml:space="preserve">LULUCF (chapter 6) </w:t>
      </w:r>
    </w:p>
    <w:p w14:paraId="7C72948B" w14:textId="77777777" w:rsidR="00DE64BC" w:rsidRPr="00256982" w:rsidRDefault="00DE64BC" w:rsidP="00A808C7">
      <w:pPr>
        <w:pStyle w:val="BodyText"/>
      </w:pPr>
      <w:r w:rsidRPr="00256982">
        <w:t>The main differences between this submission and the previous inventory submission are the result of (in decreasing order of magnitude):</w:t>
      </w:r>
    </w:p>
    <w:p w14:paraId="52B99E64" w14:textId="77777777" w:rsidR="00DE64BC" w:rsidRPr="00256982" w:rsidRDefault="00DE64BC" w:rsidP="0036046B">
      <w:pPr>
        <w:pStyle w:val="Bullet"/>
        <w:numPr>
          <w:ilvl w:val="0"/>
          <w:numId w:val="8"/>
        </w:numPr>
      </w:pPr>
      <w:r w:rsidRPr="00256982">
        <w:t>the inclusion of information on market-specific activity data and emission factors for exported raw materials, which affects harvested wood products</w:t>
      </w:r>
    </w:p>
    <w:p w14:paraId="35FE52F2" w14:textId="77777777" w:rsidR="00DE64BC" w:rsidRPr="00256982" w:rsidRDefault="00DE64BC" w:rsidP="0036046B">
      <w:pPr>
        <w:pStyle w:val="Bullet"/>
        <w:numPr>
          <w:ilvl w:val="0"/>
          <w:numId w:val="8"/>
        </w:numPr>
      </w:pPr>
      <w:r w:rsidRPr="00256982">
        <w:t xml:space="preserve">the revision of the post-1989 planted forest yield table, which affects the estimate of carbon stocks per hectare </w:t>
      </w:r>
    </w:p>
    <w:p w14:paraId="78C0E7FA" w14:textId="77777777" w:rsidR="00DE64BC" w:rsidRPr="00256982" w:rsidRDefault="00DE64BC" w:rsidP="0036046B">
      <w:pPr>
        <w:pStyle w:val="Bullet"/>
        <w:numPr>
          <w:ilvl w:val="0"/>
          <w:numId w:val="8"/>
        </w:numPr>
      </w:pPr>
      <w:r w:rsidRPr="00256982">
        <w:t>emissions from peat extraction, which are reported for the first time</w:t>
      </w:r>
    </w:p>
    <w:p w14:paraId="1B904866" w14:textId="77777777" w:rsidR="00DE64BC" w:rsidRPr="00256982" w:rsidRDefault="00DE64BC" w:rsidP="0036046B">
      <w:pPr>
        <w:pStyle w:val="Bullet"/>
        <w:numPr>
          <w:ilvl w:val="0"/>
          <w:numId w:val="8"/>
        </w:numPr>
      </w:pPr>
      <w:r w:rsidRPr="00256982">
        <w:t xml:space="preserve">continued improvements to the 1990, 2008 and 2012 land use maps. This followed a review that showed some areas of shrub cover were not becoming a forest and are more accurately classified as </w:t>
      </w:r>
      <w:r w:rsidRPr="00256982">
        <w:rPr>
          <w:i/>
        </w:rPr>
        <w:t xml:space="preserve">Grassland with woody biomass </w:t>
      </w:r>
      <w:r w:rsidRPr="00256982">
        <w:t>within the inventory.</w:t>
      </w:r>
    </w:p>
    <w:p w14:paraId="09363E29" w14:textId="77777777" w:rsidR="00DE64BC" w:rsidRPr="00256982" w:rsidRDefault="00DE64BC" w:rsidP="00A72006">
      <w:pPr>
        <w:pStyle w:val="Heading4"/>
      </w:pPr>
      <w:r w:rsidRPr="00256982">
        <w:t>Waste (chapter 7)</w:t>
      </w:r>
    </w:p>
    <w:p w14:paraId="00FB5ADA" w14:textId="77777777" w:rsidR="00DE64BC" w:rsidRPr="00256982" w:rsidRDefault="00DE64BC" w:rsidP="00A808C7">
      <w:pPr>
        <w:pStyle w:val="BodyText"/>
      </w:pPr>
      <w:r w:rsidRPr="00256982">
        <w:t>There have been numerous changes and improvements in the Waste sector resulting in recalculations for several categories. These improvements are a combination of planned improvements and also responses to issues found during reviews of previous submissions.</w:t>
      </w:r>
    </w:p>
    <w:p w14:paraId="45D91A43" w14:textId="77777777" w:rsidR="00DE64BC" w:rsidRPr="00256982" w:rsidRDefault="00DE64BC" w:rsidP="00A808C7">
      <w:pPr>
        <w:pStyle w:val="BodyText"/>
        <w:rPr>
          <w:spacing w:val="-2"/>
        </w:rPr>
      </w:pPr>
      <w:r w:rsidRPr="00256982">
        <w:rPr>
          <w:spacing w:val="-2"/>
        </w:rPr>
        <w:t xml:space="preserve">The most significant changes have been made to the </w:t>
      </w:r>
      <w:r w:rsidRPr="00256982">
        <w:rPr>
          <w:i/>
          <w:spacing w:val="-2"/>
        </w:rPr>
        <w:t>Managed waste disposal sites</w:t>
      </w:r>
      <w:r w:rsidRPr="00256982">
        <w:rPr>
          <w:spacing w:val="-2"/>
        </w:rPr>
        <w:t xml:space="preserve"> source category and have resulted in the largest recalculation for the Waste sector. This change is largely due to a correction to emissions from landfills without landfill gas collection, where an incorrect parameter was applied.</w:t>
      </w:r>
    </w:p>
    <w:p w14:paraId="34D1579B" w14:textId="77777777" w:rsidR="00DE64BC" w:rsidRPr="00256982" w:rsidRDefault="00DE64BC" w:rsidP="00A72006">
      <w:pPr>
        <w:pStyle w:val="Heading4"/>
      </w:pPr>
      <w:r w:rsidRPr="00256982">
        <w:t>KP-LULUCF (chapter 11)</w:t>
      </w:r>
    </w:p>
    <w:p w14:paraId="5E1A9D63" w14:textId="77777777" w:rsidR="00DE64BC" w:rsidRPr="00256982" w:rsidRDefault="00DE64BC" w:rsidP="00A808C7">
      <w:pPr>
        <w:pStyle w:val="BodyText"/>
        <w:spacing w:after="100"/>
      </w:pPr>
      <w:r w:rsidRPr="00256982">
        <w:t>Improvements have been introduced to the 2019 submission resulting in recalculations for all three activities. The main differences are the result of (in order of decreasing magnitude):</w:t>
      </w:r>
    </w:p>
    <w:p w14:paraId="3E14D521" w14:textId="77777777" w:rsidR="00DE64BC" w:rsidRPr="00256982" w:rsidRDefault="00DE64BC" w:rsidP="0036046B">
      <w:pPr>
        <w:pStyle w:val="Bullet"/>
        <w:numPr>
          <w:ilvl w:val="0"/>
          <w:numId w:val="8"/>
        </w:numPr>
      </w:pPr>
      <w:r w:rsidRPr="00256982">
        <w:t>the creation of a new land use map for 2016 and improvements made to the 1990, 2008 and 2012 maps</w:t>
      </w:r>
    </w:p>
    <w:p w14:paraId="4041179F" w14:textId="77777777" w:rsidR="00DE64BC" w:rsidRPr="00256982" w:rsidRDefault="00DE64BC" w:rsidP="0036046B">
      <w:pPr>
        <w:pStyle w:val="Bullet"/>
        <w:numPr>
          <w:ilvl w:val="0"/>
          <w:numId w:val="8"/>
        </w:numPr>
      </w:pPr>
      <w:r w:rsidRPr="00256982">
        <w:t>the revision of the post-1989 planted forest yield table, which is used to estimate emissions per hectare for growing, harvesting and deforestation of post-1989 forest</w:t>
      </w:r>
    </w:p>
    <w:p w14:paraId="1C34174A" w14:textId="77777777" w:rsidR="00DE64BC" w:rsidRPr="00256982" w:rsidRDefault="00DE64BC" w:rsidP="0036046B">
      <w:pPr>
        <w:pStyle w:val="Bullet"/>
        <w:numPr>
          <w:ilvl w:val="0"/>
          <w:numId w:val="8"/>
        </w:numPr>
      </w:pPr>
      <w:r w:rsidRPr="00256982">
        <w:t>non-CO</w:t>
      </w:r>
      <w:r w:rsidRPr="00256982">
        <w:rPr>
          <w:vertAlign w:val="subscript"/>
        </w:rPr>
        <w:t>2</w:t>
      </w:r>
      <w:r w:rsidRPr="00256982">
        <w:t xml:space="preserve"> biomass burning emission factors, which have been updated to meet the 2006 IPCC Guidelines.</w:t>
      </w:r>
    </w:p>
    <w:p w14:paraId="156E3446" w14:textId="77777777" w:rsidR="00DE64BC" w:rsidRPr="00256982" w:rsidRDefault="00DE64BC" w:rsidP="00A72006">
      <w:pPr>
        <w:pStyle w:val="Heading4"/>
      </w:pPr>
      <w:r w:rsidRPr="00256982">
        <w:lastRenderedPageBreak/>
        <w:t>Improvements to national inventory system</w:t>
      </w:r>
    </w:p>
    <w:p w14:paraId="3FD8125C" w14:textId="77777777" w:rsidR="00DE64BC" w:rsidRPr="00256982" w:rsidRDefault="00DE64BC" w:rsidP="00A808C7">
      <w:pPr>
        <w:pStyle w:val="BodyText"/>
      </w:pPr>
      <w:r w:rsidRPr="00256982">
        <w:t>Changes are planned to the national inventory system for the period 2018 to 2020 as a result of New Zealand extending its ratification of the Convention and the Paris Agreement to include Tokelau (see chapter 13 for details).</w:t>
      </w:r>
    </w:p>
    <w:p w14:paraId="5F451E59" w14:textId="77777777" w:rsidR="00DE64BC" w:rsidRPr="00256982" w:rsidRDefault="00DE64BC" w:rsidP="00A808C7">
      <w:pPr>
        <w:pStyle w:val="BodyText"/>
      </w:pPr>
      <w:r w:rsidRPr="00256982">
        <w:t>Further improvements to the national inventory system focused on quality assurance and quality control processes for the inventory. These included a change in the sectoral CRF approval process by participating agencies to ensure that all sectoral CRF submissions to the central inventory agency (Ministry for the Environment) adhere to the agreed data quality standards for the inventory (see chapter 13).</w:t>
      </w:r>
    </w:p>
    <w:p w14:paraId="79AA2EBF" w14:textId="77777777" w:rsidR="00DE64BC" w:rsidRPr="00256982" w:rsidRDefault="00DE64BC" w:rsidP="00A808C7">
      <w:pPr>
        <w:pStyle w:val="BodyText"/>
      </w:pPr>
      <w:r w:rsidRPr="00256982">
        <w:t>In the coming years, New Zealand will also review and update the national system to ensure it is fit for purpose considering New Zealand’s future reporting under the Paris Agreement.</w:t>
      </w:r>
    </w:p>
    <w:p w14:paraId="10D03D3E" w14:textId="77777777" w:rsidR="00DE64BC" w:rsidRPr="00256982" w:rsidRDefault="00DE64BC" w:rsidP="001D3490">
      <w:pPr>
        <w:pStyle w:val="Heading2"/>
      </w:pPr>
      <w:bookmarkStart w:id="93" w:name="_Toc414531265"/>
      <w:bookmarkStart w:id="94" w:name="_Toc448321486"/>
      <w:bookmarkStart w:id="95" w:name="_Toc511116563"/>
      <w:bookmarkStart w:id="96" w:name="_Toc5269325"/>
      <w:r w:rsidRPr="00256982">
        <w:t>ES.7</w:t>
      </w:r>
      <w:r w:rsidRPr="00256982">
        <w:tab/>
        <w:t>National registry</w:t>
      </w:r>
      <w:bookmarkEnd w:id="93"/>
      <w:bookmarkEnd w:id="94"/>
      <w:r w:rsidRPr="00256982">
        <w:t xml:space="preserve"> (chapters 12 and 14)</w:t>
      </w:r>
      <w:bookmarkEnd w:id="95"/>
      <w:bookmarkEnd w:id="96"/>
    </w:p>
    <w:p w14:paraId="1FCA1DB6" w14:textId="77777777" w:rsidR="00DE64BC" w:rsidRPr="00256982" w:rsidRDefault="00DE64BC" w:rsidP="00A808C7">
      <w:pPr>
        <w:pStyle w:val="BodyText"/>
        <w:spacing w:after="100"/>
      </w:pPr>
      <w:r w:rsidRPr="00256982">
        <w:t xml:space="preserve">The Environmental Protection Authority is designated as the agency responsible for the implementation and operation of New Zealand’s national registry under the Kyoto Protocol, the New Zealand Emission Unit Register. The registry is electronic and accessible via the internet (www.eur.govt.nz). </w:t>
      </w:r>
    </w:p>
    <w:p w14:paraId="27E28CB6" w14:textId="77777777" w:rsidR="00DE64BC" w:rsidRPr="00256982" w:rsidRDefault="00DE64BC" w:rsidP="00A808C7">
      <w:pPr>
        <w:pStyle w:val="BodyText"/>
      </w:pPr>
      <w:r w:rsidRPr="00256982">
        <w:t>New Zealand replaced its registry system in August 2016. Testing and reviewing that involved secretariat staff from the United Nations Framework Convention on Climate Change took place during the period leading up to go-live of the new Register. No additional changes have been made to New Zealand’s national registry since the 2017 submission.</w:t>
      </w:r>
    </w:p>
    <w:p w14:paraId="393CE16F" w14:textId="77777777" w:rsidR="00DE64BC" w:rsidRPr="00256982" w:rsidRDefault="00DE64BC" w:rsidP="00A808C7">
      <w:pPr>
        <w:pStyle w:val="BodyText"/>
      </w:pPr>
      <w:r w:rsidRPr="00256982">
        <w:t>In January 2008, New Zealand’s national registry was issued with New Zealand’s assigned amount of 309,564,733 metric tonnes CO</w:t>
      </w:r>
      <w:r w:rsidRPr="00256982">
        <w:rPr>
          <w:vertAlign w:val="subscript"/>
        </w:rPr>
        <w:t>2</w:t>
      </w:r>
      <w:r w:rsidRPr="00256982">
        <w:t xml:space="preserve">-e for the first commitment period (CP1). </w:t>
      </w:r>
    </w:p>
    <w:p w14:paraId="6FA12574" w14:textId="77777777" w:rsidR="00DE64BC" w:rsidRPr="00256982" w:rsidRDefault="00DE64BC" w:rsidP="00A808C7">
      <w:pPr>
        <w:pStyle w:val="BodyText"/>
      </w:pPr>
      <w:r w:rsidRPr="00256982">
        <w:t>The commitment period reserve of 278,608,260 metric tonnes CO</w:t>
      </w:r>
      <w:r w:rsidRPr="00256982">
        <w:rPr>
          <w:vertAlign w:val="subscript"/>
        </w:rPr>
        <w:t>2</w:t>
      </w:r>
      <w:r w:rsidRPr="00256982">
        <w:t>-e for CP1 is 90 per cent of the assigned amount, and was fixed after the initial review in 2007.</w:t>
      </w:r>
    </w:p>
    <w:p w14:paraId="1426D3F2" w14:textId="77777777" w:rsidR="00DE64BC" w:rsidRPr="00256982" w:rsidRDefault="00DE64BC" w:rsidP="00A808C7">
      <w:pPr>
        <w:pStyle w:val="BodyText"/>
      </w:pPr>
      <w:r w:rsidRPr="00256982">
        <w:t xml:space="preserve">At the beginning of the calendar year </w:t>
      </w:r>
      <w:r w:rsidRPr="00256982">
        <w:rPr>
          <w:color w:val="000000"/>
        </w:rPr>
        <w:t>2017</w:t>
      </w:r>
      <w:r w:rsidRPr="00256982">
        <w:t xml:space="preserve">, New Zealand’s national registry held 308,343,858 CP1 assigned amount units, 110,744,560 CP1 emissions reduction units, 21,685,909 CP1 certified emission reduction units and 100,845,399 CP1 removal units. </w:t>
      </w:r>
      <w:r w:rsidRPr="00256982">
        <w:rPr>
          <w:szCs w:val="22"/>
        </w:rPr>
        <w:t xml:space="preserve">The number and mix of units held at the end of 2017 were the same as at the beginning of 2017 because no international transactions occurred during this period. This value includes the units retired to meet CP1 obligations. </w:t>
      </w:r>
      <w:r w:rsidRPr="00256982">
        <w:t xml:space="preserve">No second commitment period (CP2) units were held by New Zealand in 2018. </w:t>
      </w:r>
    </w:p>
    <w:p w14:paraId="309DA7AF" w14:textId="77777777" w:rsidR="00DE64BC" w:rsidRPr="00256982" w:rsidRDefault="00DE64BC" w:rsidP="00A808C7">
      <w:pPr>
        <w:pStyle w:val="BodyText"/>
      </w:pPr>
      <w:r w:rsidRPr="00256982">
        <w:t xml:space="preserve">New Zealand’s national registry did not hold any temporary certified emission reduction units or long-term certified emissions reduction units during </w:t>
      </w:r>
      <w:r w:rsidRPr="00256982">
        <w:rPr>
          <w:color w:val="000000"/>
        </w:rPr>
        <w:t>2018</w:t>
      </w:r>
      <w:r w:rsidRPr="00256982">
        <w:t>.</w:t>
      </w:r>
    </w:p>
    <w:p w14:paraId="2B36A3F7" w14:textId="77777777" w:rsidR="00DE64BC" w:rsidRPr="00256982" w:rsidRDefault="00DE64BC" w:rsidP="00A808C7">
      <w:pPr>
        <w:pStyle w:val="BodyText"/>
        <w:rPr>
          <w:highlight w:val="yellow"/>
        </w:rPr>
      </w:pPr>
      <w:r w:rsidRPr="00256982">
        <w:t>For further information, please refer to chapters 12 and 14 of this inventory submission and the standard electronic format tables on New Zealand Emissions Trading Register holdings and transactions that were submitted to the United Nations Framework Convention on Climate Change along with this inventory submission.</w:t>
      </w:r>
    </w:p>
    <w:p w14:paraId="6A3D07D4" w14:textId="77777777" w:rsidR="00DE64BC" w:rsidRPr="00256982" w:rsidRDefault="00DE64BC" w:rsidP="002B3AA6">
      <w:pPr>
        <w:pStyle w:val="Heading2"/>
        <w:spacing w:before="0" w:after="360"/>
      </w:pPr>
      <w:r w:rsidRPr="00256982">
        <w:br w:type="page"/>
      </w:r>
      <w:bookmarkStart w:id="97" w:name="_Toc414531266"/>
      <w:bookmarkStart w:id="98" w:name="_Toc448321487"/>
      <w:bookmarkStart w:id="99" w:name="_Toc511116564"/>
      <w:bookmarkStart w:id="100" w:name="_Toc5269326"/>
      <w:r w:rsidRPr="00256982">
        <w:lastRenderedPageBreak/>
        <w:t>Executive summary: References</w:t>
      </w:r>
      <w:bookmarkEnd w:id="97"/>
      <w:bookmarkEnd w:id="98"/>
      <w:bookmarkEnd w:id="99"/>
      <w:bookmarkEnd w:id="100"/>
    </w:p>
    <w:p w14:paraId="42624CB2" w14:textId="77777777" w:rsidR="00DE64BC" w:rsidRPr="00256982" w:rsidRDefault="00DE64BC" w:rsidP="00A808C7">
      <w:pPr>
        <w:pStyle w:val="References"/>
      </w:pPr>
      <w:r w:rsidRPr="00256982">
        <w:t xml:space="preserve">IPCC. 2006. Eggleston HS, Buendia L, Miwa K, Ngara T, Tanabe K (eds). </w:t>
      </w:r>
      <w:r w:rsidRPr="00256982">
        <w:rPr>
          <w:i/>
        </w:rPr>
        <w:t>2006 IPCC Guidelines for National Greenhouse Gas Inventories. Volume 4. Agriculture, Forestry and Other Land Use.</w:t>
      </w:r>
      <w:r w:rsidRPr="00256982">
        <w:t xml:space="preserve"> IPCC National Greenhouse Gas Inventories Programme. Japan: Published for the IPCC by the Institute for Global Environmental Strategies.</w:t>
      </w:r>
    </w:p>
    <w:p w14:paraId="50252C18" w14:textId="77777777" w:rsidR="00DE64BC" w:rsidRPr="00256982" w:rsidRDefault="00DE64BC" w:rsidP="00A808C7">
      <w:pPr>
        <w:pStyle w:val="References"/>
        <w:rPr>
          <w:szCs w:val="22"/>
        </w:rPr>
      </w:pPr>
      <w:r w:rsidRPr="00256982">
        <w:rPr>
          <w:szCs w:val="22"/>
        </w:rPr>
        <w:t xml:space="preserve">Ministry for the Environment. 2016. </w:t>
      </w:r>
      <w:r w:rsidRPr="00256982">
        <w:rPr>
          <w:i/>
          <w:lang w:eastAsia="en-NZ"/>
        </w:rPr>
        <w:t xml:space="preserve">New Zealand’s Initial Report to </w:t>
      </w:r>
      <w:r w:rsidRPr="00256982">
        <w:rPr>
          <w:i/>
          <w:szCs w:val="22"/>
        </w:rPr>
        <w:t>Facilitate the Calculation of its Emissions Budget for the Period 2013 to 2020</w:t>
      </w:r>
      <w:r w:rsidRPr="00256982">
        <w:rPr>
          <w:szCs w:val="22"/>
        </w:rPr>
        <w:t>. Wellington: Ministry for the Environment.</w:t>
      </w:r>
    </w:p>
    <w:p w14:paraId="3D196FFB" w14:textId="77777777" w:rsidR="00DE64BC" w:rsidRPr="00256982" w:rsidRDefault="00DE64BC" w:rsidP="00A808C7">
      <w:pPr>
        <w:pStyle w:val="References"/>
      </w:pPr>
      <w:r w:rsidRPr="00256982">
        <w:t xml:space="preserve">Parker D, Shaw J. 13 December 2018. Media release – </w:t>
      </w:r>
      <w:r w:rsidRPr="00256982">
        <w:rPr>
          <w:i/>
        </w:rPr>
        <w:t>New Zealand to phase down use of HFCs from 2020</w:t>
      </w:r>
      <w:r w:rsidRPr="00256982">
        <w:t>. Retrieved from www.beehive.govt.nz/release/new-zealand-phase-down-use-hfcs-2020 (11 March 2019).</w:t>
      </w:r>
    </w:p>
    <w:p w14:paraId="13E9D32B" w14:textId="77777777" w:rsidR="00DE64BC" w:rsidRPr="00256982" w:rsidRDefault="00DE64BC" w:rsidP="00A808C7">
      <w:pPr>
        <w:pStyle w:val="References"/>
      </w:pPr>
      <w:r w:rsidRPr="00256982">
        <w:t xml:space="preserve">UNFCCC. 2013. </w:t>
      </w:r>
      <w:r w:rsidRPr="00256982">
        <w:rPr>
          <w:lang w:eastAsia="en-NZ"/>
        </w:rPr>
        <w:t>FCCC/CP/2013/10/Add.3.</w:t>
      </w:r>
      <w:r w:rsidRPr="00256982">
        <w:t xml:space="preserve"> </w:t>
      </w:r>
      <w:r w:rsidRPr="00256982">
        <w:rPr>
          <w:i/>
        </w:rPr>
        <w:t>Report of the Conference of the Parties on its nineteenth session, held in Warsaw from 11 to 23 November 2013: Addendum; Decision 24/CP.19 Revision of the UNFCCC reporting guidelines on annual inventories for Parties included in Annex I to the Convention</w:t>
      </w:r>
      <w:r w:rsidRPr="00256982">
        <w:t>.</w:t>
      </w:r>
    </w:p>
    <w:p w14:paraId="0C56CA14" w14:textId="77777777" w:rsidR="00DE64BC" w:rsidRPr="00256982" w:rsidRDefault="00DE64BC" w:rsidP="00A808C7"/>
    <w:p w14:paraId="7893103E" w14:textId="77777777" w:rsidR="00DE64BC" w:rsidRPr="00256982" w:rsidRDefault="00DE64BC" w:rsidP="00A808C7"/>
    <w:p w14:paraId="3CE31675" w14:textId="77777777" w:rsidR="00DE64BC" w:rsidRPr="00256982" w:rsidRDefault="00DE64BC"/>
    <w:p w14:paraId="6EE14AC3" w14:textId="77777777" w:rsidR="00DE64BC" w:rsidRPr="00256982" w:rsidRDefault="00DE64BC" w:rsidP="00A808C7">
      <w:pPr>
        <w:pStyle w:val="Heading1"/>
      </w:pPr>
      <w:r w:rsidRPr="00256982">
        <w:br w:type="page"/>
      </w:r>
      <w:bookmarkStart w:id="101" w:name="_Toc280630202"/>
      <w:bookmarkStart w:id="102" w:name="_Toc310423449"/>
      <w:bookmarkStart w:id="103" w:name="_Toc342470715"/>
      <w:bookmarkStart w:id="104" w:name="_Toc352504867"/>
      <w:bookmarkStart w:id="105" w:name="_Toc414531267"/>
      <w:bookmarkStart w:id="106" w:name="_Toc448321488"/>
      <w:bookmarkStart w:id="107" w:name="_Toc511116565"/>
      <w:bookmarkStart w:id="108" w:name="_Toc5269327"/>
      <w:bookmarkStart w:id="109" w:name="_Toc139253947"/>
      <w:r w:rsidRPr="00256982">
        <w:lastRenderedPageBreak/>
        <w:t xml:space="preserve">Chapter 1: </w:t>
      </w:r>
      <w:bookmarkEnd w:id="101"/>
      <w:bookmarkEnd w:id="102"/>
      <w:bookmarkEnd w:id="103"/>
      <w:bookmarkEnd w:id="104"/>
      <w:r w:rsidRPr="00256982">
        <w:t>Introduction</w:t>
      </w:r>
      <w:bookmarkEnd w:id="105"/>
      <w:bookmarkEnd w:id="106"/>
      <w:bookmarkEnd w:id="107"/>
      <w:bookmarkEnd w:id="108"/>
    </w:p>
    <w:p w14:paraId="53FE06E3" w14:textId="77777777" w:rsidR="00DE64BC" w:rsidRPr="00256982" w:rsidRDefault="00DE64BC" w:rsidP="001D3490">
      <w:pPr>
        <w:pStyle w:val="Heading2"/>
      </w:pPr>
      <w:bookmarkStart w:id="110" w:name="_Toc414531268"/>
      <w:bookmarkStart w:id="111" w:name="_Toc448321489"/>
      <w:bookmarkStart w:id="112" w:name="_Toc511116566"/>
      <w:bookmarkStart w:id="113" w:name="_Toc5269328"/>
      <w:r w:rsidRPr="00256982">
        <w:t>1.1</w:t>
      </w:r>
      <w:r w:rsidRPr="00256982">
        <w:tab/>
        <w:t>Background</w:t>
      </w:r>
      <w:bookmarkEnd w:id="110"/>
      <w:bookmarkEnd w:id="111"/>
      <w:bookmarkEnd w:id="112"/>
      <w:bookmarkEnd w:id="113"/>
    </w:p>
    <w:p w14:paraId="535B099B" w14:textId="006D13D0" w:rsidR="00DE64BC" w:rsidRPr="00256982" w:rsidRDefault="00DE64BC" w:rsidP="00A808C7">
      <w:pPr>
        <w:pStyle w:val="BodyText"/>
      </w:pPr>
      <w:r w:rsidRPr="00256982">
        <w:rPr>
          <w:spacing w:val="-2"/>
        </w:rPr>
        <w:t xml:space="preserve">Greenhouse gases in the Earth’s atmosphere trap warmth from the sun and make life as we know it possible. The Intergovernmental Panel on Climate Change (IPCC) Fifth Assessment Report (IPCC, 2013) confirms that warming in the climate system is unequivocal, with many of the observed changes unprecedented over decades to millennia: warming of the atmosphere and the ocean, diminishing snow and ice, </w:t>
      </w:r>
      <w:r w:rsidRPr="00256982">
        <w:rPr>
          <w:spacing w:val="-2"/>
          <w:szCs w:val="22"/>
        </w:rPr>
        <w:t>rising sea levels and increas</w:t>
      </w:r>
      <w:r w:rsidRPr="00256982">
        <w:rPr>
          <w:spacing w:val="-2"/>
          <w:szCs w:val="22"/>
        </w:rPr>
        <w:softHyphen/>
        <w:t xml:space="preserve">ing concentrations of greenhouse gases (GHGs). The report also suggests that, since the beginning of the industrial revolution (about 1750 AD), </w:t>
      </w:r>
      <w:r w:rsidRPr="00256982">
        <w:rPr>
          <w:rFonts w:cs="Frutiger LT Pro 57 Condensed"/>
          <w:color w:val="000000"/>
          <w:spacing w:val="-2"/>
          <w:szCs w:val="22"/>
        </w:rPr>
        <w:t>the atmospheric concentrations of the GHGs carbon dioxide (CO</w:t>
      </w:r>
      <w:r w:rsidRPr="00256982">
        <w:rPr>
          <w:spacing w:val="-2"/>
          <w:vertAlign w:val="subscript"/>
        </w:rPr>
        <w:t>2</w:t>
      </w:r>
      <w:r w:rsidRPr="00256982">
        <w:rPr>
          <w:rFonts w:cs="Frutiger LT Pro 57 Condensed"/>
          <w:color w:val="000000"/>
          <w:spacing w:val="-2"/>
          <w:szCs w:val="22"/>
        </w:rPr>
        <w:t>), methane (CH</w:t>
      </w:r>
      <w:r w:rsidRPr="00256982">
        <w:rPr>
          <w:spacing w:val="-2"/>
          <w:vertAlign w:val="subscript"/>
        </w:rPr>
        <w:t>4</w:t>
      </w:r>
      <w:r w:rsidRPr="00256982">
        <w:rPr>
          <w:rFonts w:cs="Frutiger LT Pro 57 Condensed"/>
          <w:color w:val="000000"/>
          <w:spacing w:val="-2"/>
          <w:szCs w:val="22"/>
        </w:rPr>
        <w:t>) and nitrous oxide (N</w:t>
      </w:r>
      <w:r w:rsidRPr="00256982">
        <w:rPr>
          <w:spacing w:val="-2"/>
          <w:vertAlign w:val="subscript"/>
        </w:rPr>
        <w:t>2</w:t>
      </w:r>
      <w:r w:rsidRPr="00256982">
        <w:rPr>
          <w:rFonts w:cs="Frutiger LT Pro 57 Condensed"/>
          <w:color w:val="000000"/>
          <w:spacing w:val="-2"/>
          <w:szCs w:val="22"/>
        </w:rPr>
        <w:t xml:space="preserve">O) have all increased due to human activity. </w:t>
      </w:r>
      <w:r w:rsidRPr="00256982">
        <w:rPr>
          <w:spacing w:val="-2"/>
        </w:rPr>
        <w:t>Continued emissions of GHGs will cause further warming and changes to all components of the climate system</w:t>
      </w:r>
      <w:r w:rsidRPr="00256982">
        <w:t>.</w:t>
      </w:r>
    </w:p>
    <w:p w14:paraId="668C62A9" w14:textId="77777777" w:rsidR="00DE64BC" w:rsidRPr="00256982" w:rsidRDefault="00DE64BC" w:rsidP="001D3490">
      <w:pPr>
        <w:pStyle w:val="Heading3"/>
      </w:pPr>
      <w:r w:rsidRPr="00256982">
        <w:t>1.1.1</w:t>
      </w:r>
      <w:r w:rsidRPr="00256982">
        <w:tab/>
        <w:t xml:space="preserve">United Nations Framework Convention on Climate Change </w:t>
      </w:r>
    </w:p>
    <w:p w14:paraId="32B1E80E" w14:textId="77777777" w:rsidR="00DE64BC" w:rsidRPr="00256982" w:rsidRDefault="00DE64BC" w:rsidP="00A808C7">
      <w:pPr>
        <w:pStyle w:val="BodyText"/>
      </w:pPr>
      <w:r w:rsidRPr="00256982">
        <w:t>The science of climate change is assessed by the IPCC. In 1990, the IPCC concluded that human-induced climate change was a threat to our future. In response, the United Nations General Assembly convened a series of meetings that culminated in the adoption of the United Nations Framework Convention on Climate Change (the Convention) at the Earth Summit in Rio de Janeiro in May 1992.</w:t>
      </w:r>
    </w:p>
    <w:p w14:paraId="6E2021D2" w14:textId="77777777" w:rsidR="00DE64BC" w:rsidRPr="00256982" w:rsidRDefault="00DE64BC" w:rsidP="00A808C7">
      <w:pPr>
        <w:pStyle w:val="BodyText"/>
      </w:pPr>
      <w:r w:rsidRPr="00256982">
        <w:t>The Convention has been signed and ratified by 197 nations, including New Zealand, and took effect on 21 March 1994.</w:t>
      </w:r>
    </w:p>
    <w:p w14:paraId="61BE7318" w14:textId="77777777" w:rsidR="00DE64BC" w:rsidRPr="00256982" w:rsidRDefault="00DE64BC" w:rsidP="00A808C7">
      <w:pPr>
        <w:pStyle w:val="BodyText"/>
      </w:pPr>
      <w:r w:rsidRPr="00256982">
        <w:t>The main objective of the Convention (UNFCCC, 1992, Article 2) is to achieve:</w:t>
      </w:r>
    </w:p>
    <w:p w14:paraId="625238A8" w14:textId="77777777" w:rsidR="00DE64BC" w:rsidRPr="00256982" w:rsidRDefault="00DE64BC" w:rsidP="00A808C7">
      <w:pPr>
        <w:pStyle w:val="Quote"/>
        <w:spacing w:before="120"/>
      </w:pPr>
      <w:r w:rsidRPr="00256982">
        <w:t>… stabilization of greenhouse gas concentrations in the atmosphere at a level that would prevent dangerous anthropogenic interference with the climate system. Such a level should be achieved within a time-frame sufficient to allow ecosystems to adapt naturally to climate change, to ensure that food production is not threatened and to enable economic development to proceed in a sustainable manner.</w:t>
      </w:r>
    </w:p>
    <w:p w14:paraId="0754762D" w14:textId="04FFF39D" w:rsidR="00DE64BC" w:rsidRPr="00256982" w:rsidRDefault="00DE64BC" w:rsidP="00A808C7">
      <w:pPr>
        <w:pStyle w:val="BodyText"/>
      </w:pPr>
      <w:r w:rsidRPr="00256982">
        <w:t>All countries that ratify the Convention (the Parties) are required to address climate change, including monitoring trends in anthropogenic GHG emissions. The annual inventory of GHG emissions and removals fulfils this obligation. Parties are also obligated to protect and enhance carbon sinks and reservoirs, for example, forests, and implement measures that assist in national and/or regional climate change adaptation and mitigation. In addition, Parties listed in Annex II</w:t>
      </w:r>
      <w:r w:rsidRPr="00256982">
        <w:rPr>
          <w:vertAlign w:val="superscript"/>
        </w:rPr>
        <w:footnoteReference w:id="10"/>
      </w:r>
      <w:r w:rsidRPr="00256982">
        <w:t xml:space="preserve"> to the Convention commit to providing technology transfer, capacity building and financial assistance to non-Annex I</w:t>
      </w:r>
      <w:r w:rsidRPr="00256982">
        <w:rPr>
          <w:vertAlign w:val="superscript"/>
        </w:rPr>
        <w:footnoteReference w:id="11"/>
      </w:r>
      <w:r w:rsidRPr="00256982">
        <w:t xml:space="preserve"> Parties (developing country parties). </w:t>
      </w:r>
    </w:p>
    <w:p w14:paraId="4E465A76" w14:textId="092845EB" w:rsidR="00DE64BC" w:rsidRPr="00256982" w:rsidRDefault="00DE64BC" w:rsidP="00A808C7">
      <w:pPr>
        <w:pStyle w:val="BodyText"/>
      </w:pPr>
      <w:r w:rsidRPr="00256982">
        <w:t xml:space="preserve">Annex I Parties also agreed to aim to return GHG emissions to 1990 levels by the year 2000. Only a few Annex I Parties made appreciable progress towards achieving this aim. The international community recognised that the existing commitments in the Convention were not enough to ensure GHG levels would be stabilised at a safe level. In response, in 1995, Parties </w:t>
      </w:r>
      <w:r w:rsidRPr="00256982">
        <w:lastRenderedPageBreak/>
        <w:t>launched a new round of talks to provide stronger and more detailed commitments for Annex I Parties. After two-and-a-half years of negotiations, the Kyoto Protocol was adopted in Kyoto, Japan, on 11 December 1997. New Zealand ratified the Kyoto Protocol on 19 December 2002. The Protocol came into force on 16 February 2005.</w:t>
      </w:r>
    </w:p>
    <w:p w14:paraId="7C0950F5" w14:textId="77777777" w:rsidR="00DE64BC" w:rsidRPr="00256982" w:rsidRDefault="00DE64BC" w:rsidP="001D3490">
      <w:pPr>
        <w:pStyle w:val="Heading3"/>
      </w:pPr>
      <w:r w:rsidRPr="00256982">
        <w:t xml:space="preserve">1.1.2 </w:t>
      </w:r>
      <w:r w:rsidRPr="00256982">
        <w:tab/>
        <w:t>Kyoto Protocol</w:t>
      </w:r>
    </w:p>
    <w:p w14:paraId="0C73BD05" w14:textId="01252B62" w:rsidR="00DE64BC" w:rsidRPr="00256982" w:rsidRDefault="00DE64BC" w:rsidP="00A808C7">
      <w:pPr>
        <w:pStyle w:val="BodyText"/>
      </w:pPr>
      <w:r w:rsidRPr="00256982">
        <w:t>The Kyoto Protocol shares and expands upon the Convention’s objectives, principles and institutions. Only Parties to the Convention that have also become Parties to the Protocol (by ratifying, accepting, approving or acceding to it) are bound by the Protocol’s commitments, noting that GHG targets in the Kyoto Protocol only apply to Annex I Parties. The original objective of the Kyoto Protocol was to reduce the aggregate emissions of six GHGs from Annex I Parties (as listed in Annex B to the Kyoto Protocol, together with targets for the first commitment period (CP1)) by at least 5 per cent below 1990 levels in the CP1 (2008–12). New Zealand’s target in CP1 was to return emissions to 1990 levels</w:t>
      </w:r>
      <w:r w:rsidRPr="00256982">
        <w:rPr>
          <w:vertAlign w:val="superscript"/>
        </w:rPr>
        <w:footnoteReference w:id="12"/>
      </w:r>
      <w:r w:rsidRPr="00256982">
        <w:t xml:space="preserve"> on average over the commitment period or otherwise take responsibility for the excess.</w:t>
      </w:r>
    </w:p>
    <w:p w14:paraId="4F271F97" w14:textId="77777777" w:rsidR="00DE64BC" w:rsidRPr="00256982" w:rsidRDefault="00DE64BC" w:rsidP="00A808C7">
      <w:pPr>
        <w:pStyle w:val="BodyText"/>
      </w:pPr>
      <w:r w:rsidRPr="00256982">
        <w:t xml:space="preserve">The eighth session of the Conference of the Parties serving as the meeting of the Parties to the Kyoto Protocol (Doha, Qatar, November to December 2012), agreed to amendments to the Kyoto Protocol for the period 2013–20, including an amended Annex B. </w:t>
      </w:r>
    </w:p>
    <w:p w14:paraId="2AF3B53B" w14:textId="77777777" w:rsidR="00DE64BC" w:rsidRPr="00256982" w:rsidRDefault="00DE64BC" w:rsidP="00A808C7">
      <w:pPr>
        <w:pStyle w:val="BodyText"/>
      </w:pPr>
      <w:r w:rsidRPr="00256982">
        <w:t>New Zealand has taken a target under the Convention during the 2013–20 period and does not have a commitment listed in the amended Annex B of the Kyoto Protocol. However, New Zealand remains a Party to the Kyoto Protocol and applies the Kyoto Protocol framework of rules to its target for the 2013–20 period.</w:t>
      </w:r>
    </w:p>
    <w:p w14:paraId="627C55F3" w14:textId="77777777" w:rsidR="00DE64BC" w:rsidRPr="00256982" w:rsidRDefault="00DE64BC" w:rsidP="00A808C7">
      <w:pPr>
        <w:pStyle w:val="BodyText"/>
      </w:pPr>
      <w:r w:rsidRPr="00256982">
        <w:t xml:space="preserve">When reporting emissions and removals from the Land Use, Land-Use Change and Forestry (LULUCF) sector, New Zealand continues to use a land-based approach, as required by the </w:t>
      </w:r>
      <w:r w:rsidRPr="00256982">
        <w:rPr>
          <w:i/>
        </w:rPr>
        <w:t>2006 IPCC Guidelines for National Greenhouse Gas Inventories</w:t>
      </w:r>
      <w:r w:rsidRPr="00256982">
        <w:t xml:space="preserve"> (IPCC, 2006a). For the period 2013–20, New Zealand will also complete activity-based reporting under Article 3.3 of the Kyoto Protocol for the categories </w:t>
      </w:r>
      <w:r w:rsidRPr="00256982">
        <w:rPr>
          <w:i/>
        </w:rPr>
        <w:t>Afforestation</w:t>
      </w:r>
      <w:r w:rsidRPr="00256982">
        <w:t xml:space="preserve">, </w:t>
      </w:r>
      <w:r w:rsidRPr="00256982">
        <w:rPr>
          <w:i/>
        </w:rPr>
        <w:t>Reforestation</w:t>
      </w:r>
      <w:r w:rsidRPr="00256982">
        <w:t xml:space="preserve"> and </w:t>
      </w:r>
      <w:r w:rsidRPr="00256982">
        <w:rPr>
          <w:i/>
        </w:rPr>
        <w:t>Deforestation</w:t>
      </w:r>
      <w:r w:rsidRPr="00256982">
        <w:t xml:space="preserve">, and under Article 3.4 for </w:t>
      </w:r>
      <w:r w:rsidRPr="00256982">
        <w:rPr>
          <w:i/>
        </w:rPr>
        <w:t>Forest management</w:t>
      </w:r>
      <w:r w:rsidRPr="00256982">
        <w:t>.</w:t>
      </w:r>
    </w:p>
    <w:p w14:paraId="56FA29FC" w14:textId="77777777" w:rsidR="00DE64BC" w:rsidRPr="00256982" w:rsidRDefault="00DE64BC" w:rsidP="001D3490">
      <w:pPr>
        <w:pStyle w:val="Heading3"/>
      </w:pPr>
      <w:r w:rsidRPr="00256982">
        <w:t>1.1.3</w:t>
      </w:r>
      <w:r w:rsidRPr="00256982">
        <w:tab/>
        <w:t>The inventory</w:t>
      </w:r>
    </w:p>
    <w:p w14:paraId="5629992A" w14:textId="09FE0D2C" w:rsidR="00DE64BC" w:rsidRPr="00256982" w:rsidRDefault="00DE64BC" w:rsidP="00A808C7">
      <w:pPr>
        <w:pStyle w:val="BodyText"/>
      </w:pPr>
      <w:r w:rsidRPr="00256982">
        <w:t xml:space="preserve">The Convention covers emissions and removals of all anthropogenic GHGs not controlled by the Montreal Protocol. </w:t>
      </w:r>
      <w:r w:rsidRPr="00256982">
        <w:rPr>
          <w:i/>
        </w:rPr>
        <w:t>New Zealand’s Greenhouse Gas Inventory</w:t>
      </w:r>
      <w:r w:rsidRPr="00256982">
        <w:t xml:space="preserve"> (the inventory) is the official annual report of these emissions and removals in New Zealand. </w:t>
      </w:r>
    </w:p>
    <w:p w14:paraId="14E5BA53" w14:textId="77777777" w:rsidR="00DE64BC" w:rsidRPr="00256982" w:rsidRDefault="00DE64BC" w:rsidP="00A808C7">
      <w:pPr>
        <w:pStyle w:val="BodyText"/>
      </w:pPr>
      <w:r w:rsidRPr="00256982">
        <w:t>The methodologies, content and format of the inventory are prescribed by the IPCC (IPCC, 2006b) and reporting guidelines agreed by the Conference of the Parties to the Convention and Conference of the Parties serving as the meeting of the Parties to the Kyoto Protocol (CMP). The most recent reporting guidelines are FCCC/CP/2013/10/Add.3 (UNFCCC, 2013b). As per the Convention reporting guidelines, New Zealand followed the 2006 IPCC guidelines in the preparation of the 2019 inventory submission.</w:t>
      </w:r>
    </w:p>
    <w:p w14:paraId="4C29C25E" w14:textId="77777777" w:rsidR="00DE64BC" w:rsidRPr="00256982" w:rsidRDefault="00DE64BC" w:rsidP="00A808C7">
      <w:pPr>
        <w:pStyle w:val="BodyText"/>
        <w:keepLines/>
      </w:pPr>
      <w:r w:rsidRPr="00256982">
        <w:lastRenderedPageBreak/>
        <w:t>A complete inventory submission contains two components: the national inventory report (NIR) and the common reporting format (CRF) tables. Inventories are subject to an annual technical review process administered by the United Nations Framework Convention on Climate Change (UNFCCC) secretariat. The results of these reviews are available online (</w:t>
      </w:r>
      <w:hyperlink r:id="rId26" w:history="1">
        <w:r w:rsidRPr="00256982">
          <w:rPr>
            <w:color w:val="000000"/>
          </w:rPr>
          <w:t>www.unfccc.int</w:t>
        </w:r>
      </w:hyperlink>
      <w:r w:rsidRPr="00256982">
        <w:t>).</w:t>
      </w:r>
    </w:p>
    <w:p w14:paraId="79125D2C" w14:textId="676E35E5" w:rsidR="00DE64BC" w:rsidRPr="00256982" w:rsidRDefault="00DE64BC" w:rsidP="00A808C7">
      <w:pPr>
        <w:pStyle w:val="BodyText"/>
      </w:pPr>
      <w:r w:rsidRPr="00256982">
        <w:t>The inventory reports on emissions and removals of the gases CO</w:t>
      </w:r>
      <w:r w:rsidRPr="00256982">
        <w:rPr>
          <w:vertAlign w:val="subscript"/>
        </w:rPr>
        <w:t>2</w:t>
      </w:r>
      <w:r w:rsidRPr="00256982">
        <w:t>, CH</w:t>
      </w:r>
      <w:r w:rsidRPr="00256982">
        <w:rPr>
          <w:vertAlign w:val="subscript"/>
        </w:rPr>
        <w:t>4</w:t>
      </w:r>
      <w:r w:rsidRPr="00256982">
        <w:t>, N</w:t>
      </w:r>
      <w:r w:rsidRPr="00256982">
        <w:rPr>
          <w:vertAlign w:val="subscript"/>
        </w:rPr>
        <w:t>2</w:t>
      </w:r>
      <w:r w:rsidRPr="00256982">
        <w:t>O, hydrofluorocarbons (HFCs), perfluorocarbons (PFCs), sulphur hexafluoride (SF</w:t>
      </w:r>
      <w:r w:rsidRPr="00256982">
        <w:rPr>
          <w:vertAlign w:val="subscript"/>
        </w:rPr>
        <w:t>6</w:t>
      </w:r>
      <w:r w:rsidRPr="00256982">
        <w:t>) and nitrogen trifluoride (NF</w:t>
      </w:r>
      <w:r w:rsidRPr="00256982">
        <w:rPr>
          <w:vertAlign w:val="subscript"/>
        </w:rPr>
        <w:t>3</w:t>
      </w:r>
      <w:r w:rsidRPr="00256982">
        <w:t>).</w:t>
      </w:r>
      <w:r w:rsidRPr="00256982">
        <w:rPr>
          <w:rStyle w:val="FootnoteReference"/>
        </w:rPr>
        <w:footnoteReference w:id="13"/>
      </w:r>
      <w:r w:rsidRPr="00256982">
        <w:t xml:space="preserve"> The indirect GHGs,</w:t>
      </w:r>
      <w:r w:rsidRPr="00256982">
        <w:rPr>
          <w:rStyle w:val="FootnoteReference"/>
        </w:rPr>
        <w:footnoteReference w:id="14"/>
      </w:r>
      <w:r w:rsidRPr="00256982">
        <w:t xml:space="preserve"> carbon monoxide (CO), sulphur dioxide (SO</w:t>
      </w:r>
      <w:r w:rsidRPr="00256982">
        <w:rPr>
          <w:vertAlign w:val="subscript"/>
        </w:rPr>
        <w:t>2</w:t>
      </w:r>
      <w:r w:rsidRPr="00256982">
        <w:t>), oxides of nitrogen (NO</w:t>
      </w:r>
      <w:r w:rsidRPr="00256982">
        <w:rPr>
          <w:vertAlign w:val="subscript"/>
        </w:rPr>
        <w:t>X</w:t>
      </w:r>
      <w:r w:rsidRPr="00256982">
        <w:t>) and non-methane volatile organic compounds (NMVOCs), are also included. Only emissions and removals of the direct GHGs (CO</w:t>
      </w:r>
      <w:r w:rsidRPr="00256982">
        <w:rPr>
          <w:vertAlign w:val="subscript"/>
        </w:rPr>
        <w:t>2</w:t>
      </w:r>
      <w:r w:rsidRPr="00256982">
        <w:t>, CH</w:t>
      </w:r>
      <w:r w:rsidRPr="00256982">
        <w:rPr>
          <w:vertAlign w:val="subscript"/>
        </w:rPr>
        <w:t>4</w:t>
      </w:r>
      <w:r w:rsidRPr="00256982">
        <w:t>, N</w:t>
      </w:r>
      <w:r w:rsidRPr="00256982">
        <w:rPr>
          <w:vertAlign w:val="subscript"/>
        </w:rPr>
        <w:t>2</w:t>
      </w:r>
      <w:r w:rsidRPr="00256982">
        <w:t>O, HFCs, PFCs, SF</w:t>
      </w:r>
      <w:r w:rsidRPr="00256982">
        <w:rPr>
          <w:vertAlign w:val="subscript"/>
        </w:rPr>
        <w:t xml:space="preserve">6 </w:t>
      </w:r>
      <w:r w:rsidRPr="00256982">
        <w:t>and NF</w:t>
      </w:r>
      <w:r w:rsidRPr="00256982">
        <w:rPr>
          <w:vertAlign w:val="subscript"/>
        </w:rPr>
        <w:t>3</w:t>
      </w:r>
      <w:r w:rsidRPr="00256982">
        <w:t>) are reported in gross and net emissions under the Convention and are accounted for under the Kyoto Protocol. The gases are reported under five sectors: Energy, Industrial Processes and Product Use (IPPU), Agriculture, LULUCF and Waste. Greenhouse gas emissions from Tokelau, New Zealand’s overseas dependent territory,</w:t>
      </w:r>
      <w:r w:rsidRPr="00256982">
        <w:rPr>
          <w:rStyle w:val="FootnoteReference"/>
        </w:rPr>
        <w:footnoteReference w:id="15"/>
      </w:r>
      <w:r w:rsidRPr="00256982">
        <w:t xml:space="preserve"> are included in New Zealand’s greenhouse inventory for the first time in 2019.</w:t>
      </w:r>
    </w:p>
    <w:p w14:paraId="508D56B2" w14:textId="77777777" w:rsidR="00DE64BC" w:rsidRPr="00256982" w:rsidRDefault="00DE64BC" w:rsidP="00A808C7">
      <w:pPr>
        <w:pStyle w:val="BodyText"/>
        <w:rPr>
          <w:lang w:eastAsia="en-NZ"/>
        </w:rPr>
      </w:pPr>
      <w:r w:rsidRPr="00256982">
        <w:rPr>
          <w:lang w:eastAsia="en-NZ"/>
        </w:rPr>
        <w:t>Reporting on afforestation, reforestation and deforestation activities since 1990 (Article 3.3 activities under the Kyoto Protocol) and forest management (under Article 3.4 of the Kyoto Protocol) are mandatory during the 2013–20 period of the Kyoto Protocol. Afforestation, reforestation, deforestation and forest management activities are defined below. The definitions are consistent with Decision 16/CMP.1 (UNFCCC, 2005a).</w:t>
      </w:r>
    </w:p>
    <w:p w14:paraId="5943D24A" w14:textId="77777777" w:rsidR="00DE64BC" w:rsidRPr="00256982" w:rsidRDefault="00DE64BC" w:rsidP="001D3490">
      <w:pPr>
        <w:pStyle w:val="Heading3"/>
      </w:pPr>
      <w:r w:rsidRPr="00256982">
        <w:t>1.1.4</w:t>
      </w:r>
      <w:r w:rsidRPr="00256982">
        <w:tab/>
        <w:t>Supplementary information required</w:t>
      </w:r>
    </w:p>
    <w:p w14:paraId="19E742BE" w14:textId="77777777" w:rsidR="00DE64BC" w:rsidRPr="00256982" w:rsidRDefault="00DE64BC" w:rsidP="00A808C7">
      <w:pPr>
        <w:pStyle w:val="BodyText"/>
      </w:pPr>
      <w:r w:rsidRPr="00256982">
        <w:t xml:space="preserve">Following guidelines adopted by the CMP for reporting under Article 7.1 of the Kyoto Protocol, New Zealand includes supplementary information in its annual inventory submission. </w:t>
      </w:r>
    </w:p>
    <w:p w14:paraId="57F82F0A" w14:textId="77777777" w:rsidR="00DE64BC" w:rsidRPr="00256982" w:rsidRDefault="00DE64BC" w:rsidP="00A808C7">
      <w:pPr>
        <w:pStyle w:val="BodyText"/>
      </w:pPr>
      <w:r w:rsidRPr="00256982">
        <w:t>The supplementary information covers:</w:t>
      </w:r>
    </w:p>
    <w:p w14:paraId="67317F6D" w14:textId="77777777" w:rsidR="00DE64BC" w:rsidRPr="00256982" w:rsidRDefault="00DE64BC" w:rsidP="0036046B">
      <w:pPr>
        <w:pStyle w:val="Bullet"/>
        <w:numPr>
          <w:ilvl w:val="0"/>
          <w:numId w:val="8"/>
        </w:numPr>
      </w:pPr>
      <w:r w:rsidRPr="00256982">
        <w:t>information on emissions and removals for each activity under Article 3.3, forest management under Article 3.4, and for any elected activities under Article 3.4 (chapter 11)</w:t>
      </w:r>
    </w:p>
    <w:p w14:paraId="70F26EE8" w14:textId="77777777" w:rsidR="00DE64BC" w:rsidRPr="00256982" w:rsidRDefault="00DE64BC" w:rsidP="0036046B">
      <w:pPr>
        <w:pStyle w:val="Bullet"/>
        <w:numPr>
          <w:ilvl w:val="0"/>
          <w:numId w:val="8"/>
        </w:numPr>
      </w:pPr>
      <w:r w:rsidRPr="00256982">
        <w:t>holdings and transactions of units transferred and acquired under Kyoto Protocol mechanisms (chapter 12)</w:t>
      </w:r>
    </w:p>
    <w:p w14:paraId="1F95B338" w14:textId="77777777" w:rsidR="00DE64BC" w:rsidRPr="00256982" w:rsidRDefault="00DE64BC" w:rsidP="0036046B">
      <w:pPr>
        <w:pStyle w:val="Bullet"/>
        <w:numPr>
          <w:ilvl w:val="0"/>
          <w:numId w:val="8"/>
        </w:numPr>
      </w:pPr>
      <w:r w:rsidRPr="00256982">
        <w:t>significant changes to the national system for estimating emissions and removals (chapter 13) and to the Kyoto Protocol unit registry (chapter 14)</w:t>
      </w:r>
    </w:p>
    <w:p w14:paraId="4D09256A" w14:textId="77777777" w:rsidR="00DE64BC" w:rsidRPr="00256982" w:rsidRDefault="00DE64BC" w:rsidP="0036046B">
      <w:pPr>
        <w:pStyle w:val="Bullet"/>
        <w:numPr>
          <w:ilvl w:val="0"/>
          <w:numId w:val="8"/>
        </w:numPr>
      </w:pPr>
      <w:r w:rsidRPr="00256982">
        <w:t>information related to the implementation of Article 3.14 on the minimisation of adverse impacts on non-Annex I Parties (chapter 15).</w:t>
      </w:r>
    </w:p>
    <w:p w14:paraId="72ED2494" w14:textId="77777777" w:rsidR="00DE64BC" w:rsidRPr="00256982" w:rsidRDefault="00DE64BC" w:rsidP="001D3490">
      <w:pPr>
        <w:pStyle w:val="Heading2"/>
      </w:pPr>
      <w:bookmarkStart w:id="114" w:name="_Toc352504821"/>
      <w:bookmarkStart w:id="115" w:name="_Toc414531269"/>
      <w:bookmarkStart w:id="116" w:name="_Toc448321490"/>
      <w:bookmarkStart w:id="117" w:name="_Toc511116567"/>
      <w:bookmarkStart w:id="118" w:name="_Toc5269329"/>
      <w:r w:rsidRPr="00256982">
        <w:lastRenderedPageBreak/>
        <w:t>1.2</w:t>
      </w:r>
      <w:r w:rsidRPr="00256982">
        <w:tab/>
      </w:r>
      <w:bookmarkEnd w:id="114"/>
      <w:r w:rsidRPr="00256982">
        <w:t>Description of the national inventory arrangements</w:t>
      </w:r>
      <w:bookmarkEnd w:id="115"/>
      <w:bookmarkEnd w:id="116"/>
      <w:bookmarkEnd w:id="117"/>
      <w:bookmarkEnd w:id="118"/>
    </w:p>
    <w:p w14:paraId="0EA13023" w14:textId="77777777" w:rsidR="00DE64BC" w:rsidRPr="00256982" w:rsidRDefault="00DE64BC" w:rsidP="001D3490">
      <w:pPr>
        <w:pStyle w:val="Heading3"/>
      </w:pPr>
      <w:r w:rsidRPr="00256982">
        <w:t>1.2.1</w:t>
      </w:r>
      <w:r w:rsidRPr="00256982">
        <w:tab/>
        <w:t xml:space="preserve">Institutional, legal and procedural arrangements </w:t>
      </w:r>
    </w:p>
    <w:p w14:paraId="58C0779E" w14:textId="77777777" w:rsidR="00DE64BC" w:rsidRPr="00256982" w:rsidRDefault="00DE64BC" w:rsidP="00A808C7">
      <w:pPr>
        <w:pStyle w:val="BodyText"/>
      </w:pPr>
      <w:r w:rsidRPr="00256982">
        <w:t xml:space="preserve">In 2002 New Zealand passed into legislation the </w:t>
      </w:r>
      <w:bookmarkStart w:id="119" w:name="OLE_LINK2"/>
      <w:bookmarkStart w:id="120" w:name="OLE_LINK3"/>
      <w:r w:rsidRPr="00256982">
        <w:t>Climate Change Response Act 2002</w:t>
      </w:r>
      <w:bookmarkEnd w:id="119"/>
      <w:bookmarkEnd w:id="120"/>
      <w:r w:rsidRPr="00256982">
        <w:t>. This enables New Zealand to meet its international obligations under the Convention and Kyoto Protocol. A Prime Ministerial directive for the administration of the 2002 Act names the Ministry for the Environment (MfE) as New Zealand’s ‘inventory agency’. Part 3, section 32, of the Act specifies the following functions and requirements.</w:t>
      </w:r>
    </w:p>
    <w:p w14:paraId="6AB9DE7C" w14:textId="77777777" w:rsidR="00DE64BC" w:rsidRPr="00256982" w:rsidRDefault="00DE64BC" w:rsidP="00A808C7">
      <w:pPr>
        <w:pStyle w:val="BodyText"/>
        <w:keepNext/>
        <w:tabs>
          <w:tab w:val="left" w:pos="397"/>
        </w:tabs>
      </w:pPr>
      <w:r w:rsidRPr="00256982">
        <w:t>1.</w:t>
      </w:r>
      <w:r w:rsidRPr="00256982">
        <w:tab/>
        <w:t>The primary functions of the inventory agency are to:</w:t>
      </w:r>
    </w:p>
    <w:p w14:paraId="77991F13" w14:textId="77777777" w:rsidR="00DE64BC" w:rsidRPr="00256982" w:rsidRDefault="00DE64BC" w:rsidP="00DE64BC">
      <w:pPr>
        <w:pStyle w:val="Sub-bullet"/>
      </w:pPr>
      <w:r w:rsidRPr="00256982">
        <w:t>estimate annually New Zealand’s anthropogenic emissions by sources and removals by sinks, of greenhouse gases</w:t>
      </w:r>
    </w:p>
    <w:p w14:paraId="484A088C" w14:textId="77777777" w:rsidR="00DE64BC" w:rsidRPr="00256982" w:rsidRDefault="00DE64BC" w:rsidP="00DE64BC">
      <w:pPr>
        <w:pStyle w:val="Sub-bullet"/>
      </w:pPr>
      <w:r w:rsidRPr="00256982">
        <w:t>prepare the following reports for the purpose of discharging New Zealand’s obligations:</w:t>
      </w:r>
    </w:p>
    <w:p w14:paraId="5B36CB62" w14:textId="77777777" w:rsidR="00DE64BC" w:rsidRPr="00256982" w:rsidRDefault="00DE64BC" w:rsidP="00A808C7">
      <w:pPr>
        <w:pStyle w:val="Sub-listi"/>
        <w:tabs>
          <w:tab w:val="clear" w:pos="360"/>
          <w:tab w:val="num" w:pos="1191"/>
        </w:tabs>
        <w:spacing w:before="0" w:after="120"/>
        <w:ind w:left="1191" w:hanging="397"/>
      </w:pPr>
      <w:r w:rsidRPr="00256982">
        <w:t xml:space="preserve">New Zealand’s annual inventory report under Article </w:t>
      </w:r>
      <w:hyperlink r:id="rId27" w:anchor="DLM160412" w:history="1">
        <w:r w:rsidRPr="00256982">
          <w:rPr>
            <w:shd w:val="clear" w:color="auto" w:fill="FFFFFF"/>
          </w:rPr>
          <w:t>7.1</w:t>
        </w:r>
      </w:hyperlink>
      <w:r w:rsidRPr="00256982">
        <w:t xml:space="preserve"> of the Kyoto Protocol, including (but not limited to) the quantities of long-term certified emission reduction units and temporary certified emission reduction units that have expired or have been replaced, retired, or cancelled</w:t>
      </w:r>
    </w:p>
    <w:p w14:paraId="6025575A" w14:textId="77777777" w:rsidR="00DE64BC" w:rsidRPr="00256982" w:rsidRDefault="00DE64BC" w:rsidP="00A808C7">
      <w:pPr>
        <w:pStyle w:val="Sub-listi"/>
        <w:tabs>
          <w:tab w:val="clear" w:pos="360"/>
          <w:tab w:val="num" w:pos="1191"/>
        </w:tabs>
        <w:spacing w:before="0" w:after="120"/>
        <w:ind w:left="1191" w:hanging="397"/>
      </w:pPr>
      <w:r w:rsidRPr="00256982">
        <w:t xml:space="preserve">New Zealand’s national communication (or periodic report) under Article </w:t>
      </w:r>
      <w:hyperlink r:id="rId28" w:anchor="DLM160412" w:history="1">
        <w:r w:rsidRPr="00256982">
          <w:rPr>
            <w:shd w:val="clear" w:color="auto" w:fill="FFFFFF"/>
          </w:rPr>
          <w:t>7.2</w:t>
        </w:r>
      </w:hyperlink>
      <w:r w:rsidRPr="00256982">
        <w:t xml:space="preserve"> of the Kyoto Protocol and Article </w:t>
      </w:r>
      <w:hyperlink r:id="rId29" w:anchor="DLM160067" w:history="1">
        <w:r w:rsidRPr="00256982">
          <w:rPr>
            <w:shd w:val="clear" w:color="auto" w:fill="FFFFFF"/>
          </w:rPr>
          <w:t>12</w:t>
        </w:r>
      </w:hyperlink>
      <w:r w:rsidRPr="00256982">
        <w:t xml:space="preserve"> of the Convention</w:t>
      </w:r>
    </w:p>
    <w:p w14:paraId="1394EEFD" w14:textId="77777777" w:rsidR="00DE64BC" w:rsidRPr="00256982" w:rsidRDefault="00DE64BC" w:rsidP="00A808C7">
      <w:pPr>
        <w:pStyle w:val="Sub-listi"/>
        <w:tabs>
          <w:tab w:val="clear" w:pos="360"/>
          <w:tab w:val="num" w:pos="1191"/>
        </w:tabs>
        <w:spacing w:before="0" w:after="120"/>
        <w:ind w:left="1191" w:hanging="397"/>
      </w:pPr>
      <w:r w:rsidRPr="00256982">
        <w:t xml:space="preserve">New Zealand’s report for the calculation of its initial assigned amount under Article </w:t>
      </w:r>
      <w:hyperlink r:id="rId30" w:anchor="DLM160412" w:history="1">
        <w:r w:rsidRPr="00256982">
          <w:rPr>
            <w:shd w:val="clear" w:color="auto" w:fill="FFFFFF"/>
          </w:rPr>
          <w:t>7.4</w:t>
        </w:r>
      </w:hyperlink>
      <w:r w:rsidRPr="00256982">
        <w:t xml:space="preserve"> of the Kyoto Protocol, including its method of calculation.</w:t>
      </w:r>
    </w:p>
    <w:p w14:paraId="53A12AD6" w14:textId="77777777" w:rsidR="00DE64BC" w:rsidRPr="00256982" w:rsidRDefault="00DE64BC" w:rsidP="00A808C7">
      <w:pPr>
        <w:pStyle w:val="BodyText"/>
        <w:ind w:left="397" w:hanging="397"/>
      </w:pPr>
      <w:r w:rsidRPr="00256982">
        <w:t>2.</w:t>
      </w:r>
      <w:r w:rsidRPr="00256982">
        <w:tab/>
        <w:t>In carrying out its functions, the inventory agency must:</w:t>
      </w:r>
    </w:p>
    <w:p w14:paraId="68F54628" w14:textId="77777777" w:rsidR="00DE64BC" w:rsidRPr="00256982" w:rsidRDefault="00DE64BC" w:rsidP="00DE64BC">
      <w:pPr>
        <w:pStyle w:val="Sub-bullet"/>
      </w:pPr>
      <w:r w:rsidRPr="00256982">
        <w:t>identify source categories</w:t>
      </w:r>
    </w:p>
    <w:p w14:paraId="24915462" w14:textId="77777777" w:rsidR="00DE64BC" w:rsidRPr="00256982" w:rsidRDefault="00DE64BC" w:rsidP="00DE64BC">
      <w:pPr>
        <w:pStyle w:val="Sub-bullet"/>
        <w:rPr>
          <w:color w:val="000000"/>
        </w:rPr>
      </w:pPr>
      <w:r w:rsidRPr="00256982">
        <w:t>collect data by means of:</w:t>
      </w:r>
    </w:p>
    <w:p w14:paraId="765F03FF" w14:textId="77777777" w:rsidR="00DE64BC" w:rsidRPr="00256982" w:rsidRDefault="00DE64BC" w:rsidP="0036046B">
      <w:pPr>
        <w:pStyle w:val="Sub-listi"/>
        <w:numPr>
          <w:ilvl w:val="0"/>
          <w:numId w:val="9"/>
        </w:numPr>
        <w:spacing w:before="0" w:after="120"/>
        <w:rPr>
          <w:color w:val="000000"/>
        </w:rPr>
      </w:pPr>
      <w:r w:rsidRPr="00256982">
        <w:t>voluntary collection</w:t>
      </w:r>
    </w:p>
    <w:p w14:paraId="36294A05" w14:textId="77777777" w:rsidR="00DE64BC" w:rsidRPr="00256982" w:rsidRDefault="00DE64BC" w:rsidP="00A808C7">
      <w:pPr>
        <w:pStyle w:val="Sub-listi"/>
        <w:tabs>
          <w:tab w:val="clear" w:pos="360"/>
          <w:tab w:val="num" w:pos="1191"/>
        </w:tabs>
        <w:spacing w:before="0" w:after="120"/>
        <w:ind w:left="1191" w:hanging="397"/>
        <w:rPr>
          <w:color w:val="000000"/>
        </w:rPr>
      </w:pPr>
      <w:r w:rsidRPr="00256982">
        <w:t>collection from government agencies and other agencies that hold relevant information</w:t>
      </w:r>
    </w:p>
    <w:p w14:paraId="6909695F" w14:textId="77777777" w:rsidR="00DE64BC" w:rsidRPr="00256982" w:rsidRDefault="00DE64BC" w:rsidP="00A808C7">
      <w:pPr>
        <w:pStyle w:val="Sub-listi"/>
        <w:tabs>
          <w:tab w:val="clear" w:pos="360"/>
          <w:tab w:val="num" w:pos="1191"/>
        </w:tabs>
        <w:spacing w:before="0" w:after="120"/>
        <w:ind w:left="1191" w:hanging="397"/>
        <w:rPr>
          <w:color w:val="000000"/>
        </w:rPr>
      </w:pPr>
      <w:r w:rsidRPr="00256982">
        <w:t>collection in accordance with regulations made under Part 3 of the Act (if any)</w:t>
      </w:r>
    </w:p>
    <w:p w14:paraId="291C4D43" w14:textId="77777777" w:rsidR="00DE64BC" w:rsidRPr="00256982" w:rsidRDefault="00DE64BC" w:rsidP="00DE64BC">
      <w:pPr>
        <w:pStyle w:val="Sub-bullet"/>
      </w:pPr>
      <w:r w:rsidRPr="00256982">
        <w:t>estimate the emissions and removals for each source category</w:t>
      </w:r>
    </w:p>
    <w:p w14:paraId="3DCCBE75" w14:textId="77777777" w:rsidR="00DE64BC" w:rsidRPr="00256982" w:rsidRDefault="00DE64BC" w:rsidP="00DE64BC">
      <w:pPr>
        <w:pStyle w:val="Sub-bullet"/>
      </w:pPr>
      <w:r w:rsidRPr="00256982">
        <w:t>undertake assessments on uncertainties</w:t>
      </w:r>
    </w:p>
    <w:p w14:paraId="72B37467" w14:textId="77777777" w:rsidR="00DE64BC" w:rsidRPr="00256982" w:rsidRDefault="00DE64BC" w:rsidP="00DE64BC">
      <w:pPr>
        <w:pStyle w:val="Sub-bullet"/>
      </w:pPr>
      <w:r w:rsidRPr="00256982">
        <w:t>undertake procedures to verify the data</w:t>
      </w:r>
    </w:p>
    <w:p w14:paraId="698594D1" w14:textId="77777777" w:rsidR="00DE64BC" w:rsidRPr="00256982" w:rsidRDefault="00DE64BC" w:rsidP="00DE64BC">
      <w:pPr>
        <w:pStyle w:val="Sub-bullet"/>
      </w:pPr>
      <w:r w:rsidRPr="00256982">
        <w:t>retain information and documents to show how the estimates were determined.</w:t>
      </w:r>
    </w:p>
    <w:p w14:paraId="44AB0A70" w14:textId="0A168044" w:rsidR="00DE64BC" w:rsidRPr="00256982" w:rsidRDefault="00DE64BC" w:rsidP="00A808C7">
      <w:pPr>
        <w:pStyle w:val="BodyText"/>
      </w:pPr>
      <w:r w:rsidRPr="00256982">
        <w:t>Compliance provisions in section 36 of the Act provide for the authorisation of inspectors to collect information needed to estimate emissions or removals of GHGs.</w:t>
      </w:r>
    </w:p>
    <w:p w14:paraId="70BC55D5" w14:textId="5F6CF5A2" w:rsidR="00DE64BC" w:rsidRPr="00256982" w:rsidRDefault="00DE64BC" w:rsidP="00A808C7">
      <w:pPr>
        <w:pStyle w:val="BodyText"/>
      </w:pPr>
      <w:r w:rsidRPr="00256982">
        <w:t xml:space="preserve">On 13 November 2017, New Zealand extended its ratification of the Convention and the Paris Agreement to include Tokelau. </w:t>
      </w:r>
      <w:r w:rsidRPr="00256982">
        <w:rPr>
          <w:bCs/>
        </w:rPr>
        <w:t>This means,</w:t>
      </w:r>
      <w:r w:rsidRPr="00256982">
        <w:rPr>
          <w:bCs/>
          <w:i/>
        </w:rPr>
        <w:t xml:space="preserve"> inter alia</w:t>
      </w:r>
      <w:r w:rsidRPr="00256982">
        <w:rPr>
          <w:bCs/>
        </w:rPr>
        <w:t xml:space="preserve">, that New Zealand’ national </w:t>
      </w:r>
      <w:r w:rsidRPr="00256982">
        <w:t>GHG</w:t>
      </w:r>
      <w:r w:rsidRPr="00256982">
        <w:rPr>
          <w:bCs/>
        </w:rPr>
        <w:t xml:space="preserve"> inventory shall include the </w:t>
      </w:r>
      <w:r w:rsidRPr="00256982">
        <w:t>GHG</w:t>
      </w:r>
      <w:r w:rsidRPr="00256982">
        <w:rPr>
          <w:bCs/>
        </w:rPr>
        <w:t xml:space="preserve"> estimates from Tokelau.</w:t>
      </w:r>
    </w:p>
    <w:p w14:paraId="0435C2D8" w14:textId="77777777" w:rsidR="00DE64BC" w:rsidRPr="00256982" w:rsidRDefault="00DE64BC" w:rsidP="00A808C7">
      <w:pPr>
        <w:pStyle w:val="BodyText"/>
        <w:spacing w:after="100"/>
      </w:pPr>
      <w:r w:rsidRPr="00256982">
        <w:t xml:space="preserve">New Zealand and Tokelau signed a Memorandum of Understanding (MoU) on 18 January 2018 to establish the relationship between Tokelau and New Zealand regarding the governance of international climate change reporting relating to the inclusion of Tokelau in New Zealand’s </w:t>
      </w:r>
      <w:r w:rsidRPr="00256982">
        <w:lastRenderedPageBreak/>
        <w:t>national inventory system. According to the MoU, both New Zealand’s central inventory agency (MfE) and the Tokelau Department for Climate Change have roles in inventory reporting.</w:t>
      </w:r>
    </w:p>
    <w:p w14:paraId="1D8092B1" w14:textId="77777777" w:rsidR="00DE64BC" w:rsidRPr="00256982" w:rsidRDefault="00DE64BC" w:rsidP="00A808C7">
      <w:pPr>
        <w:pStyle w:val="BodyText"/>
      </w:pPr>
      <w:r w:rsidRPr="00256982">
        <w:t>MfE will take responsibility for the following:</w:t>
      </w:r>
    </w:p>
    <w:p w14:paraId="688848F2" w14:textId="77777777" w:rsidR="00DE64BC" w:rsidRPr="00256982" w:rsidRDefault="00DE64BC" w:rsidP="0036046B">
      <w:pPr>
        <w:pStyle w:val="Bullet"/>
        <w:numPr>
          <w:ilvl w:val="0"/>
          <w:numId w:val="8"/>
        </w:numPr>
      </w:pPr>
      <w:r w:rsidRPr="00256982">
        <w:t>coordination of communications between New Zealand and Tokelau officials, as well as communications with project consultants in New Zealand and overseas</w:t>
      </w:r>
    </w:p>
    <w:p w14:paraId="4F63520A" w14:textId="77777777" w:rsidR="00DE64BC" w:rsidRPr="00256982" w:rsidRDefault="00DE64BC" w:rsidP="0036046B">
      <w:pPr>
        <w:pStyle w:val="Bullet"/>
        <w:numPr>
          <w:ilvl w:val="0"/>
          <w:numId w:val="8"/>
        </w:numPr>
      </w:pPr>
      <w:r w:rsidRPr="00256982">
        <w:t>coordination with other New Zealand government agencies participating in the inventory production, should their consulting or advice be required for the project</w:t>
      </w:r>
    </w:p>
    <w:p w14:paraId="304F3994" w14:textId="6B86E084" w:rsidR="00DE64BC" w:rsidRPr="00256982" w:rsidRDefault="00DE64BC" w:rsidP="0036046B">
      <w:pPr>
        <w:pStyle w:val="Bullet"/>
        <w:numPr>
          <w:ilvl w:val="0"/>
          <w:numId w:val="8"/>
        </w:numPr>
      </w:pPr>
      <w:r w:rsidRPr="00256982">
        <w:t>initial consultation on developing a national GHG inventory system for Tokelau, together with the relevant instructive materials, principles, protocols and procedures of Tier 1 statistics, and methodological guidance for the inventory</w:t>
      </w:r>
    </w:p>
    <w:p w14:paraId="6A60A47A" w14:textId="77777777" w:rsidR="00DE64BC" w:rsidRPr="00256982" w:rsidRDefault="00DE64BC" w:rsidP="0036046B">
      <w:pPr>
        <w:pStyle w:val="Bullet"/>
        <w:numPr>
          <w:ilvl w:val="0"/>
          <w:numId w:val="8"/>
        </w:numPr>
      </w:pPr>
      <w:r w:rsidRPr="00256982">
        <w:t>technical advice on various aspects of the project regarding the subject matter, the legal background (the Convention reporting guidance), software issues, and the quality assurance and quality control (QA/QC) issues associated with the changes in the national inventory system</w:t>
      </w:r>
    </w:p>
    <w:p w14:paraId="1892C1A0" w14:textId="77777777" w:rsidR="00DE64BC" w:rsidRPr="00256982" w:rsidRDefault="00DE64BC" w:rsidP="0036046B">
      <w:pPr>
        <w:pStyle w:val="Bullet"/>
        <w:numPr>
          <w:ilvl w:val="0"/>
          <w:numId w:val="8"/>
        </w:numPr>
      </w:pPr>
      <w:r w:rsidRPr="00256982">
        <w:t>final integration of the Tokelau GHG inventory component into the joint inventory submission to the Convention</w:t>
      </w:r>
    </w:p>
    <w:p w14:paraId="511AE0C7" w14:textId="77777777" w:rsidR="00DE64BC" w:rsidRPr="00256982" w:rsidRDefault="00DE64BC" w:rsidP="0036046B">
      <w:pPr>
        <w:pStyle w:val="Bullet"/>
        <w:numPr>
          <w:ilvl w:val="0"/>
          <w:numId w:val="8"/>
        </w:numPr>
      </w:pPr>
      <w:r w:rsidRPr="00256982">
        <w:t>submitting the joint inventory to the Convention and coordinating communication with the Convention associated with the inventory submission and review</w:t>
      </w:r>
    </w:p>
    <w:p w14:paraId="0F2E2157" w14:textId="77777777" w:rsidR="00DE64BC" w:rsidRPr="00256982" w:rsidRDefault="00DE64BC" w:rsidP="0036046B">
      <w:pPr>
        <w:pStyle w:val="Bullet"/>
        <w:numPr>
          <w:ilvl w:val="0"/>
          <w:numId w:val="8"/>
        </w:numPr>
      </w:pPr>
      <w:r w:rsidRPr="00256982">
        <w:t>publication of the joint inventory report and the CRF tables online, as well as all supplementary materials.</w:t>
      </w:r>
    </w:p>
    <w:p w14:paraId="77C1C16C" w14:textId="77777777" w:rsidR="00DE64BC" w:rsidRPr="00256982" w:rsidRDefault="00DE64BC" w:rsidP="00A808C7">
      <w:pPr>
        <w:pStyle w:val="BodyText"/>
      </w:pPr>
      <w:r w:rsidRPr="00256982">
        <w:t>The Tokelau Ministry for Climate, Oceans and Resilience (MiCORE; formerly known as the Climate Change Agency) will take responsibility for the following:</w:t>
      </w:r>
    </w:p>
    <w:p w14:paraId="5F263CA0" w14:textId="77777777" w:rsidR="00DE64BC" w:rsidRPr="00256982" w:rsidRDefault="00DE64BC" w:rsidP="0036046B">
      <w:pPr>
        <w:pStyle w:val="Bullet"/>
        <w:numPr>
          <w:ilvl w:val="0"/>
          <w:numId w:val="8"/>
        </w:numPr>
      </w:pPr>
      <w:r w:rsidRPr="00256982">
        <w:t>coordinating the project implementation in Tokelau by communicating with the relevant agencies, organisations and individuals involved in the GHG inventory; coordinating their efforts and delegating responsibilities to ensure that sufficient information and support are provided to those agencies, organisations and individuals to enable GHG inventory production</w:t>
      </w:r>
    </w:p>
    <w:p w14:paraId="58F0B1A5" w14:textId="77777777" w:rsidR="00DE64BC" w:rsidRPr="00256982" w:rsidRDefault="00DE64BC" w:rsidP="0036046B">
      <w:pPr>
        <w:pStyle w:val="Bullet"/>
        <w:numPr>
          <w:ilvl w:val="0"/>
          <w:numId w:val="8"/>
        </w:numPr>
      </w:pPr>
      <w:r w:rsidRPr="00256982">
        <w:t>providing timely advice on all cultural aspects of the project and assisting in resolving any issues associated with potential cultural issues</w:t>
      </w:r>
    </w:p>
    <w:p w14:paraId="24DBF9E2" w14:textId="77777777" w:rsidR="00DE64BC" w:rsidRPr="00256982" w:rsidRDefault="00DE64BC" w:rsidP="0036046B">
      <w:pPr>
        <w:pStyle w:val="Bullet"/>
        <w:numPr>
          <w:ilvl w:val="0"/>
          <w:numId w:val="8"/>
        </w:numPr>
      </w:pPr>
      <w:r w:rsidRPr="00256982">
        <w:t>ensuring that the agreed project schedule is fully complied with and the relevant timeframes are met, which includes submission of Tokelau’s GHG data and information to New Zealand’s national inventory compiler within the agreed timeframe</w:t>
      </w:r>
    </w:p>
    <w:p w14:paraId="260E1F01" w14:textId="77777777" w:rsidR="00DE64BC" w:rsidRPr="00256982" w:rsidRDefault="00DE64BC" w:rsidP="0036046B">
      <w:pPr>
        <w:pStyle w:val="Bullet"/>
        <w:numPr>
          <w:ilvl w:val="0"/>
          <w:numId w:val="8"/>
        </w:numPr>
      </w:pPr>
      <w:r w:rsidRPr="00256982">
        <w:t xml:space="preserve">coordinating Tokelau’s efforts in activity data collection for the inventory reporting and data processing </w:t>
      </w:r>
    </w:p>
    <w:p w14:paraId="06C84348" w14:textId="77777777" w:rsidR="00DE64BC" w:rsidRPr="00256982" w:rsidRDefault="00DE64BC" w:rsidP="0036046B">
      <w:pPr>
        <w:pStyle w:val="Bullet"/>
        <w:numPr>
          <w:ilvl w:val="0"/>
          <w:numId w:val="8"/>
        </w:numPr>
      </w:pPr>
      <w:r w:rsidRPr="00256982">
        <w:t xml:space="preserve">producing the complete set of the data tables in agreed formats, and a peer-reviewed draft of the Tokelau Annex for the inventory submission based on the 2006 IPCC guidelines and the Convention reporting guidelines, and in compliance with the Convention inventory quality principles and good practices. </w:t>
      </w:r>
    </w:p>
    <w:p w14:paraId="4BC9D36F" w14:textId="77777777" w:rsidR="00DE64BC" w:rsidRPr="00256982" w:rsidRDefault="00DE64BC" w:rsidP="00A808C7">
      <w:pPr>
        <w:pStyle w:val="BodyText"/>
      </w:pPr>
      <w:r w:rsidRPr="00256982">
        <w:t>Both MfE and MiCORE are responsible for adhering to the principles and protocols for producers of Tier 1 statistics.</w:t>
      </w:r>
    </w:p>
    <w:p w14:paraId="18C11E98" w14:textId="77777777" w:rsidR="00DE64BC" w:rsidRPr="00256982" w:rsidRDefault="00DE64BC" w:rsidP="001D3490">
      <w:pPr>
        <w:pStyle w:val="Heading3"/>
      </w:pPr>
      <w:r w:rsidRPr="00256982">
        <w:t xml:space="preserve">1.2.2 </w:t>
      </w:r>
      <w:r w:rsidRPr="00256982">
        <w:tab/>
        <w:t>Inventory planning, preparation and management</w:t>
      </w:r>
    </w:p>
    <w:p w14:paraId="43BF7BD2" w14:textId="77777777" w:rsidR="00DE64BC" w:rsidRPr="00256982" w:rsidRDefault="00DE64BC" w:rsidP="00A808C7">
      <w:pPr>
        <w:pStyle w:val="BodyText"/>
      </w:pPr>
      <w:r w:rsidRPr="00256982">
        <w:t xml:space="preserve">New Zealand is required under Article 5.1 of the Kyoto Protocol to have a national system for its inventory. New Zealand provided a full description of the national system in its initial report </w:t>
      </w:r>
      <w:r w:rsidRPr="00256982">
        <w:lastRenderedPageBreak/>
        <w:t>under the Kyoto Protocol (Ministry for the Environment, 2006). Changes to the national inventory system are documented in section 1.2.4 and chapter 13 of this submission.</w:t>
      </w:r>
    </w:p>
    <w:p w14:paraId="23FDEF86" w14:textId="77777777" w:rsidR="00DE64BC" w:rsidRPr="00256982" w:rsidRDefault="00DE64BC" w:rsidP="00A808C7">
      <w:pPr>
        <w:pStyle w:val="BodyText"/>
      </w:pPr>
      <w:r w:rsidRPr="00256982">
        <w:t xml:space="preserve">New Zealand has developed national inventory system guidelines that document the tasks required to officially submit the inventory. These guidelines cover multiple aspects of the production of the inventory: inventory management, inventory planning and preparation, QA/QC processes, communication and error management. This is a living document that is updated as required. </w:t>
      </w:r>
    </w:p>
    <w:p w14:paraId="5FDA9F0D" w14:textId="77777777" w:rsidR="00DE64BC" w:rsidRPr="00256982" w:rsidRDefault="00DE64BC" w:rsidP="00A72006">
      <w:pPr>
        <w:pStyle w:val="Heading4"/>
      </w:pPr>
      <w:r w:rsidRPr="00256982">
        <w:t>Inventory management</w:t>
      </w:r>
    </w:p>
    <w:p w14:paraId="6114987A" w14:textId="77777777" w:rsidR="00DE64BC" w:rsidRPr="00256982" w:rsidRDefault="00DE64BC" w:rsidP="00A808C7">
      <w:pPr>
        <w:pStyle w:val="BodyText"/>
      </w:pPr>
      <w:r w:rsidRPr="00256982">
        <w:t>New Zealand uses a hybrid (centralised/distributed) approach to management for the inventory programme. Management and coordination of the inventory programme, as well as compilation, publication and submission of the inventory, are carried out by the inventory agency (MfE) in a centralised manner. Sector-specific work, which includes obtaining and processing activity data, estimating emissions, preparing sectoral CRF tables and writing sectoral inventory chapters, is carried out by designated government agencies across New Zealand.</w:t>
      </w:r>
    </w:p>
    <w:p w14:paraId="6E2A6998" w14:textId="77777777" w:rsidR="00DE64BC" w:rsidRPr="00256982" w:rsidRDefault="00DE64BC" w:rsidP="00A808C7">
      <w:pPr>
        <w:pStyle w:val="BodyText"/>
      </w:pPr>
      <w:r w:rsidRPr="00256982">
        <w:t xml:space="preserve">MfE is New Zealand’s single national entity for the inventory. It is responsible for the overall coordination, compilation and submission of the inventory to the UNFCCC secretariat. The National Inventory Compiler is based at MfE. Arrangements with other government agencies have evolved as resources and capacity have allowed and as a greater understanding of the reporting requirements has been attained. </w:t>
      </w:r>
    </w:p>
    <w:p w14:paraId="6C21CDEC" w14:textId="3587C93B" w:rsidR="00DE64BC" w:rsidRPr="00256982" w:rsidRDefault="00DE64BC" w:rsidP="00A808C7">
      <w:pPr>
        <w:pStyle w:val="BodyText"/>
      </w:pPr>
      <w:r w:rsidRPr="00256982">
        <w:t>Inventory governance within each sector, as well as sectoral quality control, is managed by the agencies responsible for the sectors. The Reporting Governance Group (RGG) provides cross-agency governance over the climate change reporting, modelling and projections of GHG emissions and removals. The RGG is chaired by MfE, and its membership includes representation from the Environmental Protection Authority (EPA), the Ministry for Primary Industries (MPI) and the Ministry of Business, Innovation and Employment (MBIE). The main roles and expectations of the RGG include:</w:t>
      </w:r>
    </w:p>
    <w:p w14:paraId="67E5D18A" w14:textId="77777777" w:rsidR="00DE64BC" w:rsidRPr="00256982" w:rsidRDefault="00DE64BC" w:rsidP="0036046B">
      <w:pPr>
        <w:pStyle w:val="Bullet"/>
        <w:numPr>
          <w:ilvl w:val="0"/>
          <w:numId w:val="8"/>
        </w:numPr>
      </w:pPr>
      <w:r w:rsidRPr="00256982">
        <w:t>guiding, conferring and approving inventory and emissions projection improvements and assumptions (on the basis of advice from technical experts), planning and priorities, key messages, management of stakeholders and risks</w:t>
      </w:r>
    </w:p>
    <w:p w14:paraId="76A4903E" w14:textId="77777777" w:rsidR="00DE64BC" w:rsidRPr="00256982" w:rsidRDefault="00DE64BC" w:rsidP="0036046B">
      <w:pPr>
        <w:pStyle w:val="Bullet"/>
        <w:numPr>
          <w:ilvl w:val="0"/>
          <w:numId w:val="8"/>
        </w:numPr>
      </w:pPr>
      <w:r w:rsidRPr="00256982">
        <w:t>focusing on the delivery of reporting commitments to meet national and international requirements</w:t>
      </w:r>
    </w:p>
    <w:p w14:paraId="223E970E" w14:textId="77777777" w:rsidR="00DE64BC" w:rsidRPr="00256982" w:rsidRDefault="00DE64BC" w:rsidP="0036046B">
      <w:pPr>
        <w:pStyle w:val="Bullet"/>
        <w:numPr>
          <w:ilvl w:val="0"/>
          <w:numId w:val="8"/>
        </w:numPr>
      </w:pPr>
      <w:r w:rsidRPr="00256982">
        <w:t>providing reporting leadership and guidance to analysts, modellers and technical specialists</w:t>
      </w:r>
    </w:p>
    <w:p w14:paraId="5635C9BA" w14:textId="77777777" w:rsidR="00DE64BC" w:rsidRPr="00256982" w:rsidRDefault="00DE64BC" w:rsidP="0036046B">
      <w:pPr>
        <w:pStyle w:val="Bullet"/>
        <w:numPr>
          <w:ilvl w:val="0"/>
          <w:numId w:val="8"/>
        </w:numPr>
      </w:pPr>
      <w:r w:rsidRPr="00256982">
        <w:t>sharing information, providing feedback and resolving any differences between agencies that impact on the delivery of the work programme</w:t>
      </w:r>
    </w:p>
    <w:p w14:paraId="6888D602" w14:textId="77777777" w:rsidR="00DE64BC" w:rsidRPr="00256982" w:rsidRDefault="00DE64BC" w:rsidP="0036046B">
      <w:pPr>
        <w:pStyle w:val="Bullet"/>
        <w:numPr>
          <w:ilvl w:val="0"/>
          <w:numId w:val="8"/>
        </w:numPr>
      </w:pPr>
      <w:r w:rsidRPr="00256982">
        <w:t>reporting to the Climate Change Directors Group (a cross-agency group that oversees New Zealand’s international and domestic climate change policy) on the ‘big picture’ of the reporting work programme, direction, progress in delivery and capability to deliver, if required.</w:t>
      </w:r>
    </w:p>
    <w:p w14:paraId="64870B14" w14:textId="77777777" w:rsidR="00DE64BC" w:rsidRPr="00256982" w:rsidRDefault="00DE64BC" w:rsidP="00A808C7">
      <w:pPr>
        <w:pStyle w:val="BodyText"/>
      </w:pPr>
      <w:r w:rsidRPr="00256982">
        <w:t>As well as its overall inventory coordination role, MfE also compiles emission estimates for the IPPU sector (non-CO</w:t>
      </w:r>
      <w:r w:rsidRPr="00256982">
        <w:rPr>
          <w:vertAlign w:val="subscript"/>
        </w:rPr>
        <w:t>2</w:t>
      </w:r>
      <w:r w:rsidRPr="00256982">
        <w:t xml:space="preserve"> gases through industry surveys and CO</w:t>
      </w:r>
      <w:r w:rsidRPr="00256982">
        <w:rPr>
          <w:vertAlign w:val="subscript"/>
        </w:rPr>
        <w:t>2</w:t>
      </w:r>
      <w:r w:rsidRPr="00256982">
        <w:t xml:space="preserve"> data provided by MBIE), Waste sector, emissions and removals for the LULUCF sector and Article 3.3 and Article 3.4 activities under the Kyoto Protocol. </w:t>
      </w:r>
    </w:p>
    <w:p w14:paraId="2BC0DDE0" w14:textId="77777777" w:rsidR="00DE64BC" w:rsidRPr="00256982" w:rsidRDefault="00DE64BC" w:rsidP="00A808C7">
      <w:pPr>
        <w:pStyle w:val="BodyText"/>
        <w:rPr>
          <w:spacing w:val="-2"/>
        </w:rPr>
      </w:pPr>
      <w:r w:rsidRPr="00256982">
        <w:rPr>
          <w:spacing w:val="-2"/>
        </w:rPr>
        <w:t>MfE conducts field measurement programmes within the LULUCF sector. It undertakes land use mapping from satellite imagery to report on emissions for the LULUCF sector and Article 3.3 and Article 3.4 activities under the Kyoto Protocol. This is supplemented with data on harvested wood products production and non-CO</w:t>
      </w:r>
      <w:r w:rsidRPr="00256982">
        <w:rPr>
          <w:spacing w:val="-2"/>
          <w:vertAlign w:val="subscript"/>
        </w:rPr>
        <w:t>2</w:t>
      </w:r>
      <w:r w:rsidRPr="00256982">
        <w:rPr>
          <w:spacing w:val="-2"/>
        </w:rPr>
        <w:t xml:space="preserve"> emissions collected through surveys of the sector. </w:t>
      </w:r>
    </w:p>
    <w:p w14:paraId="210CAB86" w14:textId="77777777" w:rsidR="00DE64BC" w:rsidRPr="00256982" w:rsidRDefault="00DE64BC" w:rsidP="00A808C7">
      <w:pPr>
        <w:pStyle w:val="BodyText"/>
      </w:pPr>
      <w:r w:rsidRPr="00256982">
        <w:lastRenderedPageBreak/>
        <w:t>MfE coordinates with MiCORE on Tokelau’s inventory data and information and provides guidance on the inventory data collection, processing and delivery under the MoU between New Zealand and Tokelau.</w:t>
      </w:r>
    </w:p>
    <w:p w14:paraId="7E1D02A7" w14:textId="77777777" w:rsidR="00DE64BC" w:rsidRPr="00256982" w:rsidRDefault="00DE64BC" w:rsidP="00A808C7">
      <w:pPr>
        <w:pStyle w:val="BodyText"/>
      </w:pPr>
      <w:r w:rsidRPr="00256982">
        <w:t>MBIE estimates all emissions from the Energy sector and CO</w:t>
      </w:r>
      <w:r w:rsidRPr="00256982">
        <w:rPr>
          <w:vertAlign w:val="subscript"/>
        </w:rPr>
        <w:t>2</w:t>
      </w:r>
      <w:r w:rsidRPr="00256982">
        <w:t xml:space="preserve"> emissions from the IPPU sector. </w:t>
      </w:r>
    </w:p>
    <w:p w14:paraId="39FBABBE" w14:textId="77777777" w:rsidR="00DE64BC" w:rsidRPr="00256982" w:rsidRDefault="00DE64BC" w:rsidP="00A808C7">
      <w:pPr>
        <w:pStyle w:val="BodyText"/>
      </w:pPr>
      <w:r w:rsidRPr="00256982">
        <w:t xml:space="preserve">MPI estimates emissions from the Agriculture sector. The estimates are underpinned by research and modelling undertaken at New Zealand’s Crown research institutes, universities and private research companies and survey data collected by the national statistics agency Statistics New Zealand. </w:t>
      </w:r>
    </w:p>
    <w:p w14:paraId="06F8613B" w14:textId="77777777" w:rsidR="00DE64BC" w:rsidRPr="00256982" w:rsidRDefault="00DE64BC" w:rsidP="00A808C7">
      <w:pPr>
        <w:pStyle w:val="BodyText"/>
      </w:pPr>
      <w:r w:rsidRPr="00256982">
        <w:t>Statistics New Zealand also provides population census data for producing the Waste and IPPU sectors’ emissions estimates and livestock statistics data for estimating emissions from the Agriculture and Waste sectors.</w:t>
      </w:r>
    </w:p>
    <w:p w14:paraId="01B6D9AC" w14:textId="77777777" w:rsidR="00DE64BC" w:rsidRPr="00256982" w:rsidRDefault="00DE64BC" w:rsidP="00A808C7">
      <w:pPr>
        <w:pStyle w:val="BodyText"/>
      </w:pPr>
      <w:r w:rsidRPr="00256982">
        <w:t>The Ministry of Foreign Affairs and Trade (MFAT) provides information on the minimisation of adverse impacts, as reported in chapter 15.</w:t>
      </w:r>
    </w:p>
    <w:p w14:paraId="5EC948AA" w14:textId="77777777" w:rsidR="00DE64BC" w:rsidRPr="00256982" w:rsidRDefault="00DE64BC" w:rsidP="00A808C7">
      <w:pPr>
        <w:pStyle w:val="BodyText"/>
      </w:pPr>
      <w:r w:rsidRPr="00256982">
        <w:t xml:space="preserve">MiCORE and the Tokelau National Statistics Office coordinate efforts in activity data collection and data processing for estimating emissions from Tokelau for all inventory sectors. </w:t>
      </w:r>
    </w:p>
    <w:p w14:paraId="6AF58FE7" w14:textId="77777777" w:rsidR="00DE64BC" w:rsidRPr="00256982" w:rsidRDefault="00DE64BC" w:rsidP="00A808C7">
      <w:pPr>
        <w:pStyle w:val="BodyText"/>
      </w:pPr>
      <w:r w:rsidRPr="00256982">
        <w:t xml:space="preserve">The Climate Change Response Act 2002 establishes the requirement for a registry and a registrar. The EPA is the designated agency responsible for the implementation and operation of New Zealand’s national registry under the Kyoto Protocol, the New Zealand Emission Unit Register. The registry is electronic and accessible via the internet </w:t>
      </w:r>
      <w:r w:rsidRPr="00256982">
        <w:rPr>
          <w:color w:val="000000"/>
        </w:rPr>
        <w:t>(</w:t>
      </w:r>
      <w:hyperlink r:id="rId31" w:history="1">
        <w:r w:rsidRPr="00256982">
          <w:rPr>
            <w:color w:val="000000"/>
          </w:rPr>
          <w:t>www.eur.govt.nz</w:t>
        </w:r>
      </w:hyperlink>
      <w:r w:rsidRPr="00256982">
        <w:rPr>
          <w:color w:val="000000"/>
        </w:rPr>
        <w:t>).</w:t>
      </w:r>
      <w:r w:rsidRPr="00256982">
        <w:t xml:space="preserve"> Information on the annual holdings and transactions of transferred and acquired units under the Kyoto Protocol is provided in the standard electronic format tables accompanying this submission. Refer to chapter 12 for further information. </w:t>
      </w:r>
    </w:p>
    <w:p w14:paraId="699E8235" w14:textId="77777777" w:rsidR="00DE64BC" w:rsidRPr="00256982" w:rsidRDefault="00DE64BC" w:rsidP="00A808C7">
      <w:pPr>
        <w:pStyle w:val="BodyText"/>
      </w:pPr>
      <w:r w:rsidRPr="00256982">
        <w:t>The above arrangements are presented in figure 1.2.1, which shows the specific responsibilities of different agencies involved in the inventory production as well as their contribution to the inventory submission.</w:t>
      </w:r>
    </w:p>
    <w:p w14:paraId="00F61DAC" w14:textId="77777777" w:rsidR="00DE64BC" w:rsidRPr="00256982" w:rsidRDefault="00DE64BC" w:rsidP="00A808C7">
      <w:pPr>
        <w:pStyle w:val="Figure"/>
      </w:pPr>
      <w:bookmarkStart w:id="121" w:name="_Toc447275653"/>
      <w:bookmarkStart w:id="122" w:name="_Toc511116917"/>
      <w:bookmarkStart w:id="123" w:name="_Toc5269650"/>
      <w:r w:rsidRPr="00256982">
        <w:lastRenderedPageBreak/>
        <w:t>Figure 1.2.1</w:t>
      </w:r>
      <w:r w:rsidRPr="00256982">
        <w:tab/>
        <w:t>New Zealand’s inventory system at a glance: how different agencies are involved</w:t>
      </w:r>
      <w:bookmarkEnd w:id="121"/>
      <w:bookmarkEnd w:id="122"/>
      <w:bookmarkEnd w:id="123"/>
    </w:p>
    <w:bookmarkStart w:id="124" w:name="_MON_1612274322"/>
    <w:bookmarkEnd w:id="124"/>
    <w:p w14:paraId="7CDD10F8" w14:textId="77777777" w:rsidR="00DE64BC" w:rsidRPr="00256982" w:rsidRDefault="00DE64BC" w:rsidP="00A808C7">
      <w:pPr>
        <w:pStyle w:val="BodyText"/>
        <w:jc w:val="center"/>
      </w:pPr>
      <w:r w:rsidRPr="00256982">
        <w:object w:dxaOrig="10335" w:dyaOrig="10905" w14:anchorId="40D743A6">
          <v:shape id="_x0000_i1033" type="#_x0000_t75" style="width:395.25pt;height:417pt" o:ole="">
            <v:imagedata r:id="rId32" o:title=""/>
          </v:shape>
          <o:OLEObject Type="Embed" ProgID="Visio.Drawing.11" ShapeID="_x0000_i1033" DrawAspect="Content" ObjectID="_1616241184" r:id="rId33"/>
        </w:object>
      </w:r>
    </w:p>
    <w:p w14:paraId="47E0F0DB" w14:textId="77777777" w:rsidR="00DE64BC" w:rsidRPr="00256982" w:rsidRDefault="00DE64BC" w:rsidP="00A808C7">
      <w:pPr>
        <w:pStyle w:val="Noteundertable"/>
      </w:pPr>
      <w:r w:rsidRPr="00256982">
        <w:rPr>
          <w:b/>
        </w:rPr>
        <w:t>Note:</w:t>
      </w:r>
      <w:r w:rsidRPr="00256982">
        <w:t xml:space="preserve"> </w:t>
      </w:r>
      <w:r w:rsidRPr="00256982">
        <w:tab/>
        <w:t>AG = Agriculture; EN = Energy; EPA = Environmental Protection Authority; ETS = Emissions Trading Scheme; IPPU = Industrial Processes and Product Use; KP</w:t>
      </w:r>
      <w:r w:rsidRPr="00256982">
        <w:noBreakHyphen/>
        <w:t>LULUCF = Kyoto Protocol Land Use, Land-use Change and Forestry; LULUCF = Land Use, Land-use Change and Forestry; MBIE = Ministry of Business, Innovation and Employment; MFAT = Ministry of Foreign Affairs and Trade; MfE = Ministry for the Environment; MiCORE = Tokelau Ministry for Climate, Oceans and resilience; MPI = Ministry for Primary Industries; QC = quality control; StatsNZ = Statistics New Zealand.</w:t>
      </w:r>
    </w:p>
    <w:p w14:paraId="1B84E331" w14:textId="77777777" w:rsidR="00DE64BC" w:rsidRPr="00256982" w:rsidRDefault="00DE64BC" w:rsidP="00A72006">
      <w:pPr>
        <w:pStyle w:val="Heading4"/>
      </w:pPr>
      <w:r w:rsidRPr="00256982">
        <w:lastRenderedPageBreak/>
        <w:t>Inventory planning and preparation</w:t>
      </w:r>
    </w:p>
    <w:p w14:paraId="540C9C47" w14:textId="77777777" w:rsidR="00DE64BC" w:rsidRPr="00256982" w:rsidRDefault="00DE64BC" w:rsidP="00A808C7">
      <w:pPr>
        <w:pStyle w:val="BodyText"/>
        <w:keepNext/>
      </w:pPr>
      <w:r w:rsidRPr="00256982">
        <w:t>A summary of the inventory planning and preparation process is presented in figure 1.2.2.</w:t>
      </w:r>
    </w:p>
    <w:p w14:paraId="02D42298" w14:textId="77777777" w:rsidR="00DE64BC" w:rsidRPr="00256982" w:rsidRDefault="00DE64BC" w:rsidP="00A808C7">
      <w:pPr>
        <w:pStyle w:val="Figure"/>
      </w:pPr>
      <w:bookmarkStart w:id="125" w:name="_Toc447275654"/>
      <w:bookmarkStart w:id="126" w:name="_Toc511116918"/>
      <w:bookmarkStart w:id="127" w:name="_Toc5269651"/>
      <w:r w:rsidRPr="00256982">
        <w:t>Figure 1.2.2</w:t>
      </w:r>
      <w:r w:rsidRPr="00256982">
        <w:tab/>
        <w:t>Summary of New Zealand’s inventory planning and preparation</w:t>
      </w:r>
      <w:bookmarkEnd w:id="125"/>
      <w:bookmarkEnd w:id="126"/>
      <w:bookmarkEnd w:id="127"/>
    </w:p>
    <w:p w14:paraId="1F3FC9AF" w14:textId="77777777" w:rsidR="00DE64BC" w:rsidRPr="00256982" w:rsidRDefault="00DE64BC" w:rsidP="00A808C7">
      <w:pPr>
        <w:pStyle w:val="BodyText"/>
      </w:pPr>
      <w:r w:rsidRPr="00256982">
        <w:object w:dxaOrig="9540" w:dyaOrig="11535" w14:anchorId="1D4AFFC3">
          <v:shape id="_x0000_i1034" type="#_x0000_t75" style="width:395.25pt;height:475.5pt" o:ole="">
            <v:imagedata r:id="rId34" o:title="" cropbottom="875f"/>
          </v:shape>
          <o:OLEObject Type="Embed" ProgID="Visio.Drawing.11" ShapeID="_x0000_i1034" DrawAspect="Content" ObjectID="_1616241185" r:id="rId35"/>
        </w:object>
      </w:r>
    </w:p>
    <w:p w14:paraId="6D28F559" w14:textId="77777777" w:rsidR="00DE64BC" w:rsidRPr="00256982" w:rsidRDefault="00DE64BC" w:rsidP="00A808C7">
      <w:pPr>
        <w:pStyle w:val="Noteundertable"/>
      </w:pPr>
      <w:r w:rsidRPr="00256982">
        <w:rPr>
          <w:b/>
        </w:rPr>
        <w:t>Note:</w:t>
      </w:r>
      <w:r w:rsidRPr="00256982">
        <w:t xml:space="preserve"> </w:t>
      </w:r>
      <w:r w:rsidRPr="00256982">
        <w:tab/>
        <w:t xml:space="preserve">CRF = common reporting format; NIR = National Inventory Report; PR = peer review; </w:t>
      </w:r>
      <w:r w:rsidRPr="00256982">
        <w:br/>
        <w:t>QC = quality control.</w:t>
      </w:r>
    </w:p>
    <w:p w14:paraId="57593FB5" w14:textId="77777777" w:rsidR="00DE64BC" w:rsidRPr="00256982" w:rsidRDefault="00DE64BC" w:rsidP="00A808C7">
      <w:pPr>
        <w:pStyle w:val="Heading5"/>
      </w:pPr>
      <w:r w:rsidRPr="00256982">
        <w:t>Inventory planning</w:t>
      </w:r>
    </w:p>
    <w:p w14:paraId="15EDDDA5" w14:textId="77777777" w:rsidR="00DE64BC" w:rsidRPr="00256982" w:rsidRDefault="00DE64BC" w:rsidP="00A808C7">
      <w:pPr>
        <w:pStyle w:val="BodyText"/>
      </w:pPr>
      <w:r w:rsidRPr="00256982">
        <w:t xml:space="preserve">Inventory planning is a two-phase process. The first phase, intrinsic sectoral planning, involves planning for the inventory compilation at the sector level. This includes planning for technical projects, actions and procedures that are specific to each sector. The second phase, national compilation and publication planning, involves planning for the cross-sectoral compilation. </w:t>
      </w:r>
    </w:p>
    <w:p w14:paraId="615CC314" w14:textId="77777777" w:rsidR="00DE64BC" w:rsidRPr="00256982" w:rsidRDefault="00DE64BC" w:rsidP="00A808C7">
      <w:pPr>
        <w:pStyle w:val="BodyText"/>
      </w:pPr>
      <w:r w:rsidRPr="00256982">
        <w:t xml:space="preserve">Once the intrinsic sectoral planning is complete, the plans are coordinated between the agencies and adjustments are made as necessary. This usually happens through a lessons learned </w:t>
      </w:r>
      <w:r w:rsidRPr="00256982">
        <w:lastRenderedPageBreak/>
        <w:t>workshop and a production planning workshop. The lessons learned workshop is dedicated to the analysis of what worked well and what did not in the previous inventory cycle. During the production planning workshop, the following are discussed and agreed:</w:t>
      </w:r>
    </w:p>
    <w:p w14:paraId="3EB4C2B0" w14:textId="77777777" w:rsidR="00DE64BC" w:rsidRPr="00256982" w:rsidRDefault="00DE64BC" w:rsidP="0036046B">
      <w:pPr>
        <w:pStyle w:val="Bullet"/>
        <w:numPr>
          <w:ilvl w:val="0"/>
          <w:numId w:val="8"/>
        </w:numPr>
      </w:pPr>
      <w:r w:rsidRPr="00256982">
        <w:t xml:space="preserve">inventory deliverables </w:t>
      </w:r>
    </w:p>
    <w:p w14:paraId="379DAD69" w14:textId="77777777" w:rsidR="00DE64BC" w:rsidRPr="00256982" w:rsidRDefault="00DE64BC" w:rsidP="0036046B">
      <w:pPr>
        <w:pStyle w:val="Bullet"/>
        <w:numPr>
          <w:ilvl w:val="0"/>
          <w:numId w:val="8"/>
        </w:numPr>
      </w:pPr>
      <w:r w:rsidRPr="00256982">
        <w:t>QC deliverables</w:t>
      </w:r>
    </w:p>
    <w:p w14:paraId="371255F5" w14:textId="77777777" w:rsidR="00DE64BC" w:rsidRPr="00256982" w:rsidRDefault="00DE64BC" w:rsidP="0036046B">
      <w:pPr>
        <w:pStyle w:val="Bullet"/>
        <w:numPr>
          <w:ilvl w:val="0"/>
          <w:numId w:val="8"/>
        </w:numPr>
      </w:pPr>
      <w:r w:rsidRPr="00256982">
        <w:t>schedule of major milestones</w:t>
      </w:r>
    </w:p>
    <w:p w14:paraId="5578766A" w14:textId="77777777" w:rsidR="00DE64BC" w:rsidRPr="00256982" w:rsidRDefault="00DE64BC" w:rsidP="0036046B">
      <w:pPr>
        <w:pStyle w:val="Bullet"/>
        <w:numPr>
          <w:ilvl w:val="0"/>
          <w:numId w:val="8"/>
        </w:numPr>
      </w:pPr>
      <w:r w:rsidRPr="00256982">
        <w:t>changes to chapter structure</w:t>
      </w:r>
    </w:p>
    <w:p w14:paraId="09639541" w14:textId="77777777" w:rsidR="00DE64BC" w:rsidRPr="00256982" w:rsidRDefault="00DE64BC" w:rsidP="0036046B">
      <w:pPr>
        <w:pStyle w:val="Bullet"/>
        <w:numPr>
          <w:ilvl w:val="0"/>
          <w:numId w:val="8"/>
        </w:numPr>
      </w:pPr>
      <w:r w:rsidRPr="00256982">
        <w:t xml:space="preserve">approach for solving problems during inventory preparation. </w:t>
      </w:r>
    </w:p>
    <w:p w14:paraId="4C61A2CC" w14:textId="77777777" w:rsidR="00DE64BC" w:rsidRPr="00256982" w:rsidRDefault="00DE64BC" w:rsidP="00A808C7">
      <w:pPr>
        <w:pStyle w:val="BodyText"/>
      </w:pPr>
      <w:r w:rsidRPr="00256982">
        <w:t>The second phase of the inventory planning, the national compilation and publication planning workshop, is dedicated to cross-sectoral compilation. The workshop occurs towards the end of each calendar year. During this workshop, different aspects of the compilation process are discussed and a detailed plan for the cross-sectoral compilation and publication is agreed. Participants in the workshop include MfE’s publication and public liaison teams as well as the inter-agency inventory production team. During the national compilation and publication planning workshop, the following are discussed and agreed:</w:t>
      </w:r>
    </w:p>
    <w:p w14:paraId="58AF5130" w14:textId="77777777" w:rsidR="00DE64BC" w:rsidRPr="00256982" w:rsidRDefault="00DE64BC" w:rsidP="0036046B">
      <w:pPr>
        <w:pStyle w:val="Bullet"/>
        <w:numPr>
          <w:ilvl w:val="0"/>
          <w:numId w:val="8"/>
        </w:numPr>
      </w:pPr>
      <w:r w:rsidRPr="00256982">
        <w:t>national compilation timeline</w:t>
      </w:r>
    </w:p>
    <w:p w14:paraId="58CA798D" w14:textId="77777777" w:rsidR="00DE64BC" w:rsidRPr="00256982" w:rsidRDefault="00DE64BC" w:rsidP="0036046B">
      <w:pPr>
        <w:pStyle w:val="Bullet"/>
        <w:numPr>
          <w:ilvl w:val="0"/>
          <w:numId w:val="8"/>
        </w:numPr>
      </w:pPr>
      <w:r w:rsidRPr="00256982">
        <w:t>publication timeline</w:t>
      </w:r>
    </w:p>
    <w:p w14:paraId="6AA5EB44" w14:textId="77777777" w:rsidR="00DE64BC" w:rsidRPr="00256982" w:rsidRDefault="00DE64BC" w:rsidP="0036046B">
      <w:pPr>
        <w:pStyle w:val="Bullet"/>
        <w:numPr>
          <w:ilvl w:val="0"/>
          <w:numId w:val="8"/>
        </w:numPr>
      </w:pPr>
      <w:r w:rsidRPr="00256982">
        <w:t>public relations timeline.</w:t>
      </w:r>
    </w:p>
    <w:p w14:paraId="7A3F6FC2" w14:textId="77777777" w:rsidR="00DE64BC" w:rsidRPr="00256982" w:rsidRDefault="00DE64BC" w:rsidP="00A808C7">
      <w:pPr>
        <w:pStyle w:val="BodyText"/>
      </w:pPr>
      <w:r w:rsidRPr="00256982">
        <w:t>Lessons learned are also considered in developing the plan.</w:t>
      </w:r>
    </w:p>
    <w:p w14:paraId="6EAF606E" w14:textId="77777777" w:rsidR="00DE64BC" w:rsidRPr="00256982" w:rsidRDefault="00DE64BC" w:rsidP="00A808C7">
      <w:pPr>
        <w:pStyle w:val="BodyText"/>
      </w:pPr>
      <w:r w:rsidRPr="00256982">
        <w:t>The inventory planning process for Tokelau is governed by the MoU between New Zealand and Tokelau. For this submission, the process included the following steps:</w:t>
      </w:r>
    </w:p>
    <w:p w14:paraId="59135F02" w14:textId="77777777" w:rsidR="00DE64BC" w:rsidRPr="00256982" w:rsidRDefault="00DE64BC" w:rsidP="0036046B">
      <w:pPr>
        <w:pStyle w:val="Bullet"/>
        <w:numPr>
          <w:ilvl w:val="0"/>
          <w:numId w:val="8"/>
        </w:numPr>
      </w:pPr>
      <w:r w:rsidRPr="00256982">
        <w:t xml:space="preserve">administrative planning to identify potential sources of information in relation to the inventory and establishing relevant communication channels with agencies and companies </w:t>
      </w:r>
    </w:p>
    <w:p w14:paraId="5730C417" w14:textId="77777777" w:rsidR="00DE64BC" w:rsidRPr="00256982" w:rsidRDefault="00DE64BC" w:rsidP="0036046B">
      <w:pPr>
        <w:pStyle w:val="Bullet"/>
        <w:numPr>
          <w:ilvl w:val="0"/>
          <w:numId w:val="8"/>
        </w:numPr>
      </w:pPr>
      <w:r w:rsidRPr="00256982">
        <w:t>scope planning that involved an analysis of Tokelau’s activities in relation to GHG emissions reporting and identifying the most significant emission sources in the atolls and estimating potential upper limits of Tokelau’s emissions for different inventory sectors</w:t>
      </w:r>
    </w:p>
    <w:p w14:paraId="04DF8392" w14:textId="77777777" w:rsidR="00DE64BC" w:rsidRPr="00256982" w:rsidRDefault="00DE64BC" w:rsidP="0036046B">
      <w:pPr>
        <w:pStyle w:val="Bullet"/>
        <w:numPr>
          <w:ilvl w:val="0"/>
          <w:numId w:val="8"/>
        </w:numPr>
      </w:pPr>
      <w:r w:rsidRPr="00256982">
        <w:t>technical planning that included selecting methods and emission factors as well as approaches to activity data collection</w:t>
      </w:r>
    </w:p>
    <w:p w14:paraId="0DC72A05" w14:textId="77777777" w:rsidR="00DE64BC" w:rsidRPr="00256982" w:rsidRDefault="00DE64BC" w:rsidP="0036046B">
      <w:pPr>
        <w:pStyle w:val="Bullet"/>
        <w:numPr>
          <w:ilvl w:val="0"/>
          <w:numId w:val="8"/>
        </w:numPr>
      </w:pPr>
      <w:r w:rsidRPr="00256982">
        <w:t xml:space="preserve">capacity building for Tokelau, which included in-depth discussions at MfE with the personnel involved in the inventory preparation in Tokelau and follow-up discussions via email, as well as providing detailed guidance for the inventory preparation and tools. </w:t>
      </w:r>
    </w:p>
    <w:p w14:paraId="2CA3BB37" w14:textId="77777777" w:rsidR="00DE64BC" w:rsidRPr="00256982" w:rsidRDefault="00DE64BC" w:rsidP="00A808C7">
      <w:pPr>
        <w:pStyle w:val="Heading5"/>
      </w:pPr>
      <w:r w:rsidRPr="00256982">
        <w:t>Inventory preparation</w:t>
      </w:r>
    </w:p>
    <w:p w14:paraId="2051E5B4" w14:textId="77777777" w:rsidR="00DE64BC" w:rsidRPr="00256982" w:rsidRDefault="00DE64BC" w:rsidP="00A808C7">
      <w:pPr>
        <w:pStyle w:val="BodyText"/>
      </w:pPr>
      <w:r w:rsidRPr="00256982">
        <w:t xml:space="preserve">The inventory preparation cycle has three phases: data collection and preliminary processing, final data processing and chapter preparation, and the national inventory compilation. </w:t>
      </w:r>
    </w:p>
    <w:p w14:paraId="00E5F121" w14:textId="77777777" w:rsidR="00DE64BC" w:rsidRPr="00256982" w:rsidRDefault="00DE64BC" w:rsidP="00A808C7">
      <w:pPr>
        <w:pStyle w:val="BodyText"/>
      </w:pPr>
      <w:r w:rsidRPr="00256982">
        <w:t xml:space="preserve">The first phase, data collection and preliminary processing (June–October), includes data cleansing, data checks and preliminary formatting of data for further use. This phase may also include analysing potential improvements and related recalculations involved in the inventory. </w:t>
      </w:r>
    </w:p>
    <w:p w14:paraId="10601E16" w14:textId="77777777" w:rsidR="00DE64BC" w:rsidRPr="00256982" w:rsidRDefault="00DE64BC" w:rsidP="00A808C7">
      <w:pPr>
        <w:pStyle w:val="BodyText"/>
      </w:pPr>
      <w:r w:rsidRPr="00256982">
        <w:t xml:space="preserve">The second phase of the inventory preparation (October–January) includes final data processing and drafting of chapters. During this phase, emissions estimates are finalised, final data quality control and verification are performed, data are loaded into the CRF Reporter and sectoral chapters are updated, reviewed and approved. </w:t>
      </w:r>
    </w:p>
    <w:p w14:paraId="526EF414" w14:textId="77777777" w:rsidR="00DE64BC" w:rsidRPr="00256982" w:rsidRDefault="00DE64BC" w:rsidP="00A808C7">
      <w:pPr>
        <w:pStyle w:val="BodyText"/>
      </w:pPr>
      <w:r w:rsidRPr="00256982">
        <w:lastRenderedPageBreak/>
        <w:t xml:space="preserve">The final phase of the inventory preparation (February–April) includes cross-sectoral analyses, national inventory compilation and publication, as well as producing supplementary materials for the Minister for Climate Change and the general public. </w:t>
      </w:r>
    </w:p>
    <w:p w14:paraId="0596908D" w14:textId="77777777" w:rsidR="00DE64BC" w:rsidRPr="00256982" w:rsidRDefault="00DE64BC" w:rsidP="00A808C7">
      <w:pPr>
        <w:pStyle w:val="BodyText"/>
      </w:pPr>
      <w:r w:rsidRPr="00256982">
        <w:t>Tokelau follows the same inventory preparation cycle. The inventory data from Tokelau are finalised in November and generally undergo the same processes as the rest of the inventory.</w:t>
      </w:r>
    </w:p>
    <w:p w14:paraId="7C3434F4" w14:textId="77777777" w:rsidR="00DE64BC" w:rsidRPr="00256982" w:rsidRDefault="00DE64BC" w:rsidP="00A808C7">
      <w:pPr>
        <w:pStyle w:val="BodyText"/>
      </w:pPr>
      <w:r w:rsidRPr="00256982">
        <w:t xml:space="preserve">During the inventory planning and preparation cycle, the National Inventory Compiler has regular meetings with sector leads and experts to ensure that all issues are addressed and the production process goes as planned. The inventory QC Manager also has regular meetings with sector leads to monitor QC processes and procedures that are in place to ensure the quality of the final product meets the Convention standards and the QC deliverables are produced according to the agreed plan. Both the National Inventory Compiler and the QC Manager provide technical support and advice to the sector leads when required. </w:t>
      </w:r>
    </w:p>
    <w:p w14:paraId="79E07CA2" w14:textId="77777777" w:rsidR="00DE64BC" w:rsidRPr="00256982" w:rsidRDefault="00DE64BC" w:rsidP="001D3490">
      <w:pPr>
        <w:pStyle w:val="Heading3"/>
      </w:pPr>
      <w:r w:rsidRPr="00256982">
        <w:t xml:space="preserve">1.2.3 </w:t>
      </w:r>
      <w:r w:rsidRPr="00256982">
        <w:tab/>
        <w:t>Quality assurance and quality control and verification plan</w:t>
      </w:r>
    </w:p>
    <w:p w14:paraId="341A46C4" w14:textId="77777777" w:rsidR="00DE64BC" w:rsidRPr="00256982" w:rsidRDefault="00DE64BC" w:rsidP="00A808C7">
      <w:pPr>
        <w:pStyle w:val="BodyText"/>
        <w:rPr>
          <w:spacing w:val="-2"/>
        </w:rPr>
      </w:pPr>
      <w:r w:rsidRPr="00256982">
        <w:rPr>
          <w:spacing w:val="-2"/>
        </w:rPr>
        <w:t>Quality assurance and quality control are integral parts of preparing New Zealand’s inventory. MfE developed a QA/QC plan in 2004, as required by the reporting guidelines under the Convention (UNFCCC, 2006, 2013b) to formalise, document and archive the QA/QC procedures. This plan has been updated as the automatic QC tools have been developed and the approach to the final CRF data approvals has been modified. Details of the QA/QC activities performed during the compilation of the 2019 submission are discussed in the relevant sections below. Examples of QC checks are provided in the Excel spreadsheets accompanying this submission.</w:t>
      </w:r>
    </w:p>
    <w:p w14:paraId="6F19A70A" w14:textId="77777777" w:rsidR="00DE64BC" w:rsidRPr="00256982" w:rsidRDefault="00DE64BC" w:rsidP="00A72006">
      <w:pPr>
        <w:pStyle w:val="Heading4"/>
      </w:pPr>
      <w:r w:rsidRPr="00256982">
        <w:t>Quality control</w:t>
      </w:r>
    </w:p>
    <w:p w14:paraId="462A22AB" w14:textId="77777777" w:rsidR="00DE64BC" w:rsidRPr="00256982" w:rsidRDefault="00DE64BC" w:rsidP="00A808C7">
      <w:pPr>
        <w:pStyle w:val="BodyText"/>
      </w:pPr>
      <w:r w:rsidRPr="00256982">
        <w:t xml:space="preserve">The focus of New Zealand’s QC plan is to meet the transparency, accuracy, completeness, consistency, and comparability (TACCC) principles while ensuring efficient use of resources, and to mitigate QC-related risks in the inventory planning and preparation process. </w:t>
      </w:r>
    </w:p>
    <w:p w14:paraId="5980D3A9" w14:textId="77777777" w:rsidR="00DE64BC" w:rsidRPr="00256982" w:rsidRDefault="00DE64BC" w:rsidP="00A808C7">
      <w:pPr>
        <w:pStyle w:val="BodyText"/>
      </w:pPr>
      <w:r w:rsidRPr="00256982">
        <w:t>The main elements of the QA/QC plan include:</w:t>
      </w:r>
    </w:p>
    <w:p w14:paraId="3E44D68F" w14:textId="77777777" w:rsidR="00DE64BC" w:rsidRPr="00256982" w:rsidRDefault="00DE64BC" w:rsidP="0036046B">
      <w:pPr>
        <w:pStyle w:val="Bullet"/>
        <w:numPr>
          <w:ilvl w:val="0"/>
          <w:numId w:val="8"/>
        </w:numPr>
      </w:pPr>
      <w:r w:rsidRPr="00256982">
        <w:t>revising the QC deliverables to ensure they are fit for purpose, well-supported with relevant templates, and adapted to the changes in the inventory software tools</w:t>
      </w:r>
    </w:p>
    <w:p w14:paraId="71E7EF75" w14:textId="77777777" w:rsidR="00DE64BC" w:rsidRPr="00256982" w:rsidRDefault="00DE64BC" w:rsidP="0036046B">
      <w:pPr>
        <w:pStyle w:val="Bullet"/>
        <w:numPr>
          <w:ilvl w:val="0"/>
          <w:numId w:val="8"/>
        </w:numPr>
      </w:pPr>
      <w:r w:rsidRPr="00256982">
        <w:t>reinforcing the error-checking process by providing dedicated personnel and support to the sector leads</w:t>
      </w:r>
    </w:p>
    <w:p w14:paraId="69DA4E97" w14:textId="77777777" w:rsidR="00DE64BC" w:rsidRPr="00256982" w:rsidRDefault="00DE64BC" w:rsidP="0036046B">
      <w:pPr>
        <w:pStyle w:val="Bullet"/>
        <w:numPr>
          <w:ilvl w:val="0"/>
          <w:numId w:val="8"/>
        </w:numPr>
      </w:pPr>
      <w:r w:rsidRPr="00256982">
        <w:t>applying automated inventory tools, where available, to minimise the number of errors during data transfers</w:t>
      </w:r>
    </w:p>
    <w:p w14:paraId="7705F70E" w14:textId="77777777" w:rsidR="00DE64BC" w:rsidRPr="00256982" w:rsidRDefault="00DE64BC" w:rsidP="0036046B">
      <w:pPr>
        <w:pStyle w:val="Bullet"/>
        <w:numPr>
          <w:ilvl w:val="0"/>
          <w:numId w:val="8"/>
        </w:numPr>
      </w:pPr>
      <w:r w:rsidRPr="00256982">
        <w:t>adjusting QC tools to accommodate any changes in the CRF Reporter software that happened since the previous submission</w:t>
      </w:r>
    </w:p>
    <w:p w14:paraId="3AE3CC1F" w14:textId="77777777" w:rsidR="00DE64BC" w:rsidRPr="00256982" w:rsidRDefault="00DE64BC" w:rsidP="0036046B">
      <w:pPr>
        <w:pStyle w:val="Bullet"/>
        <w:numPr>
          <w:ilvl w:val="0"/>
          <w:numId w:val="8"/>
        </w:numPr>
      </w:pPr>
      <w:r w:rsidRPr="00256982">
        <w:t>performing CRF data integrity checks and adhering to the reporting guidelines once data compilation in each sector is complete</w:t>
      </w:r>
    </w:p>
    <w:p w14:paraId="501A9ACD" w14:textId="77777777" w:rsidR="00DE64BC" w:rsidRPr="00256982" w:rsidRDefault="00DE64BC" w:rsidP="0036046B">
      <w:pPr>
        <w:pStyle w:val="Bullet"/>
        <w:numPr>
          <w:ilvl w:val="0"/>
          <w:numId w:val="8"/>
        </w:numPr>
      </w:pPr>
      <w:r w:rsidRPr="00256982">
        <w:t>ensuring the chapters in the inventory and their structure demonstrate transparency of the methods and incorporate suggestions from previous inventory reviews.</w:t>
      </w:r>
    </w:p>
    <w:p w14:paraId="27B186A3" w14:textId="77777777" w:rsidR="00DE64BC" w:rsidRPr="00256982" w:rsidRDefault="00DE64BC" w:rsidP="00A808C7">
      <w:pPr>
        <w:pStyle w:val="BodyText"/>
      </w:pPr>
      <w:r w:rsidRPr="00256982">
        <w:t xml:space="preserve">Completion of the IPCC 2006 Tier 1 QC check sheets for each sector is the responsibility of the sector leads. The Tier 1 checks are in line with the 2006 IPCC Guidelines (IPCC, 2006b). Sectoral QC processes and procedures have been revised and thoroughly documented in the updated version of New Zealand’s national inventory system guidelines. Wherever possible, manual checking has been replaced by automated checks. </w:t>
      </w:r>
    </w:p>
    <w:p w14:paraId="6086DEB9" w14:textId="77777777" w:rsidR="00DE64BC" w:rsidRPr="00256982" w:rsidRDefault="00DE64BC" w:rsidP="00A808C7">
      <w:pPr>
        <w:pStyle w:val="BodyText"/>
      </w:pPr>
      <w:r w:rsidRPr="00256982">
        <w:lastRenderedPageBreak/>
        <w:t>The sectoral contributions to the inventory and Tier 1 QC checks were signed off by the responsible agency before final approval of the inventory and submission to the UNFCCC.</w:t>
      </w:r>
      <w:r w:rsidRPr="00256982" w:rsidDel="000B7D87">
        <w:t xml:space="preserve"> </w:t>
      </w:r>
    </w:p>
    <w:p w14:paraId="311B524C" w14:textId="77777777" w:rsidR="00DE64BC" w:rsidRPr="00256982" w:rsidRDefault="00DE64BC" w:rsidP="00A808C7">
      <w:pPr>
        <w:pStyle w:val="BodyText"/>
        <w:spacing w:after="100"/>
      </w:pPr>
      <w:r w:rsidRPr="00256982">
        <w:t>MfE used the QC checking procedures included in the CRF Reporter to ensure the data submitted to the UNFCCC secretariat are complete. In addition, data in the CRF tables were also checked for anomalies, errors and omissions.</w:t>
      </w:r>
    </w:p>
    <w:p w14:paraId="00310774" w14:textId="47ECC9E6" w:rsidR="00DE64BC" w:rsidRPr="00256982" w:rsidRDefault="00DE64BC" w:rsidP="00A808C7">
      <w:pPr>
        <w:pStyle w:val="BodyText"/>
        <w:spacing w:after="100"/>
      </w:pPr>
      <w:r w:rsidRPr="00256982">
        <w:t xml:space="preserve">For the 2019 submission, a new approach to the final CRF data approvals was made. In this approach, after the CRF data were compiled in each inventory sector, MfE personnel reviewed the CRF data for each sector and category for data integrity and time-series consistency. This is to ensure that the CRF does not contain blank entries in the reported categories, and all instances of using the ‘IE’ (included elsewhere) and ‘NE’ (not estimated) notation keys for GHG emissions, as well as large variations in the implied emission factors, have been explained. The results of these checks were provided to the sector leads to make any corrections and to include the relevant references and explanations, if required, in order to finalise the CRF data for each inventory sector. The relevant QC report was also a mandatory element for approval and sign-off of the inventory at the sector level. The finalised sector-level data were entered into the web-based CRF database by sector compilers by 7 February 2019. </w:t>
      </w:r>
    </w:p>
    <w:p w14:paraId="73F79872" w14:textId="77777777" w:rsidR="00DE64BC" w:rsidRPr="00256982" w:rsidRDefault="00DE64BC" w:rsidP="00A808C7">
      <w:pPr>
        <w:pStyle w:val="BodyText"/>
        <w:spacing w:after="100"/>
      </w:pPr>
      <w:r w:rsidRPr="00256982">
        <w:t>The Energy and Agriculture activity data provided by Statistics New Zealand are official national statistics and, as such, are subject to their own rigorous QA/QC procedures. Human and animal population statistics provided by Statistics New Zealand were also used for estimating emissions from the Waste sector.</w:t>
      </w:r>
    </w:p>
    <w:p w14:paraId="7CA04D2A" w14:textId="77777777" w:rsidR="00DE64BC" w:rsidRPr="00256982" w:rsidRDefault="00DE64BC" w:rsidP="00A808C7">
      <w:pPr>
        <w:pStyle w:val="BodyText"/>
        <w:spacing w:after="100"/>
      </w:pPr>
      <w:r w:rsidRPr="00256982">
        <w:t>Tokelau’s inventory data undergo QC processes at the Tokelau National Statistics Office, in consultation with the relevant sector leads, national QC Manager and the National Inventory Compiler in New Zealand. The Tokelau sector in the CRF undergoes the same CRF data integrity checks as other inventory sectors.</w:t>
      </w:r>
    </w:p>
    <w:p w14:paraId="2CBD474F" w14:textId="77777777" w:rsidR="00DE64BC" w:rsidRPr="00256982" w:rsidRDefault="00DE64BC" w:rsidP="00A808C7">
      <w:pPr>
        <w:pStyle w:val="BodyText"/>
      </w:pPr>
      <w:r w:rsidRPr="00256982">
        <w:t>Annex 6 contains details of the QA/QC processes applied during the preparation of the inventory.</w:t>
      </w:r>
    </w:p>
    <w:p w14:paraId="74656FB2" w14:textId="77777777" w:rsidR="00DE64BC" w:rsidRPr="00256982" w:rsidRDefault="00DE64BC" w:rsidP="00A72006">
      <w:pPr>
        <w:pStyle w:val="Heading4"/>
      </w:pPr>
      <w:r w:rsidRPr="00256982">
        <w:t>Quality assurance</w:t>
      </w:r>
    </w:p>
    <w:p w14:paraId="727B033C" w14:textId="77777777" w:rsidR="00DE64BC" w:rsidRPr="00256982" w:rsidRDefault="00DE64BC" w:rsidP="00A808C7">
      <w:pPr>
        <w:pStyle w:val="BodyText"/>
      </w:pPr>
      <w:r w:rsidRPr="00256982">
        <w:t xml:space="preserve">New Zealand’s QA system includes prioritisation of improvements, processes around accepting improvements into the inventory, in-depth review of sector inventories or their components every 5 to 10 years, and improving the expertise of key contributors to the inventory. The government audit agency (Audit New Zealand) makes annual audits of the inventory performance. New Zealand also considers the international inventory reviews performed by the expert review teams under the UNFCCC as an important element of quality assurance. Regular meetings to discuss the progress of QA/QC activities and relevant issues with each sector lead are in place. The main aspects of quality assurance are explained in detail below. </w:t>
      </w:r>
    </w:p>
    <w:p w14:paraId="7438137F" w14:textId="77777777" w:rsidR="00DE64BC" w:rsidRPr="00256982" w:rsidRDefault="00DE64BC" w:rsidP="00A808C7">
      <w:pPr>
        <w:pStyle w:val="BodyText"/>
      </w:pPr>
      <w:r w:rsidRPr="00256982">
        <w:t xml:space="preserve">All sector leads are encouraged to schedule QA audits of their systems at least every five years. The Energy sector leads had a discussion of sectoral issues with the Danish inventory team during bilateral meetings in 2017 dedicated to different aspects of the Energy sectoral inventory, specifically data sources, data collection, verification processes; using the New Zealand Emissions Trading Scheme (NZ ETS) data for higher tier methods in the Energy sector; applying higher tier methods for road transport; disaggregation of non-road liquid fuel use; and fugitive emissions from fuels. </w:t>
      </w:r>
    </w:p>
    <w:p w14:paraId="2650F556" w14:textId="77777777" w:rsidR="00DE64BC" w:rsidRPr="00256982" w:rsidRDefault="00DE64BC" w:rsidP="00A808C7">
      <w:pPr>
        <w:pStyle w:val="BodyText"/>
      </w:pPr>
      <w:r w:rsidRPr="00256982">
        <w:t>In 2016–17, an expert study of non-energy fuel use in the IPPU sector was undertaken. The results of the review were used during the compilation of the IPPU sector in the 2018 submission.</w:t>
      </w:r>
    </w:p>
    <w:p w14:paraId="0AE0A402" w14:textId="77777777" w:rsidR="00DE64BC" w:rsidRPr="00256982" w:rsidRDefault="00DE64BC" w:rsidP="00A808C7">
      <w:pPr>
        <w:pStyle w:val="BodyText"/>
      </w:pPr>
      <w:r w:rsidRPr="00256982">
        <w:lastRenderedPageBreak/>
        <w:t xml:space="preserve">The Agriculture sector commenced a major QA review of its calculation models with an external party in 2012 (additional details can be found in chapter 5, sections 5.1.4 and 5.1.5 of the 2015 inventory submission). </w:t>
      </w:r>
    </w:p>
    <w:p w14:paraId="6700AA4E" w14:textId="77777777" w:rsidR="00DE64BC" w:rsidRPr="00256982" w:rsidRDefault="00DE64BC" w:rsidP="00A808C7">
      <w:pPr>
        <w:pStyle w:val="BodyText"/>
      </w:pPr>
      <w:r w:rsidRPr="00256982">
        <w:t xml:space="preserve">For the Waste sector, external contractors completed a review of estimation methods for the </w:t>
      </w:r>
      <w:r w:rsidRPr="00256982">
        <w:rPr>
          <w:i/>
        </w:rPr>
        <w:t>Industrial wastewater</w:t>
      </w:r>
      <w:r w:rsidRPr="00256982">
        <w:t xml:space="preserve"> category in the Waste sector in 2014–15 (Cardno, unpublished). The content of the New Zealand NIR section on Wastewater treatment and discharge was peer-reviewed for transparency during a bilateral meeting with the Austrian inventory team in 2015. </w:t>
      </w:r>
    </w:p>
    <w:p w14:paraId="1F925A6A" w14:textId="77777777" w:rsidR="00DE64BC" w:rsidRPr="00256982" w:rsidRDefault="00DE64BC" w:rsidP="00A808C7">
      <w:pPr>
        <w:pStyle w:val="Heading5"/>
      </w:pPr>
      <w:r w:rsidRPr="00256982">
        <w:t xml:space="preserve">Prioritisation of improvements </w:t>
      </w:r>
    </w:p>
    <w:p w14:paraId="4CA35372" w14:textId="77777777" w:rsidR="00DE64BC" w:rsidRPr="00256982" w:rsidRDefault="00DE64BC" w:rsidP="00A808C7">
      <w:pPr>
        <w:pStyle w:val="BodyText"/>
      </w:pPr>
      <w:r w:rsidRPr="00256982">
        <w:t>Priorities for the development of the inventory are guided by:</w:t>
      </w:r>
    </w:p>
    <w:p w14:paraId="30C52C6F" w14:textId="77777777" w:rsidR="00DE64BC" w:rsidRPr="00256982" w:rsidRDefault="00DE64BC" w:rsidP="0036046B">
      <w:pPr>
        <w:pStyle w:val="Bullet"/>
        <w:numPr>
          <w:ilvl w:val="0"/>
          <w:numId w:val="8"/>
        </w:numPr>
      </w:pPr>
      <w:r w:rsidRPr="00256982">
        <w:t xml:space="preserve">the analysis of key categories (level and trend) </w:t>
      </w:r>
    </w:p>
    <w:p w14:paraId="17466702" w14:textId="77777777" w:rsidR="00DE64BC" w:rsidRPr="00256982" w:rsidRDefault="00DE64BC" w:rsidP="0036046B">
      <w:pPr>
        <w:pStyle w:val="Bullet"/>
        <w:numPr>
          <w:ilvl w:val="0"/>
          <w:numId w:val="8"/>
        </w:numPr>
      </w:pPr>
      <w:r w:rsidRPr="00256982">
        <w:t xml:space="preserve">the degree of improvement to be achieved for existing emission and removal estimates </w:t>
      </w:r>
    </w:p>
    <w:p w14:paraId="02EA728D" w14:textId="77777777" w:rsidR="00DE64BC" w:rsidRPr="00256982" w:rsidRDefault="00DE64BC" w:rsidP="0036046B">
      <w:pPr>
        <w:pStyle w:val="Bullet"/>
        <w:numPr>
          <w:ilvl w:val="0"/>
          <w:numId w:val="8"/>
        </w:numPr>
      </w:pPr>
      <w:r w:rsidRPr="00256982">
        <w:t xml:space="preserve">the availability of resources required to implement the change </w:t>
      </w:r>
    </w:p>
    <w:p w14:paraId="77392EE3" w14:textId="77777777" w:rsidR="00DE64BC" w:rsidRPr="00256982" w:rsidRDefault="00DE64BC" w:rsidP="0036046B">
      <w:pPr>
        <w:pStyle w:val="Bullet"/>
        <w:numPr>
          <w:ilvl w:val="0"/>
          <w:numId w:val="8"/>
        </w:numPr>
      </w:pPr>
      <w:r w:rsidRPr="00256982">
        <w:t xml:space="preserve">recommendations from previous international reviews of the inventory. </w:t>
      </w:r>
    </w:p>
    <w:p w14:paraId="67C8A5FD" w14:textId="77777777" w:rsidR="00DE64BC" w:rsidRPr="00256982" w:rsidRDefault="00DE64BC" w:rsidP="00A808C7">
      <w:pPr>
        <w:pStyle w:val="BodyText"/>
      </w:pPr>
      <w:r w:rsidRPr="00256982">
        <w:t xml:space="preserve">Uncertainties are also considered in prioritising improvements. For example, if a change in a methodological approach may lead to a significant increase of uncertainty of the estimates, then the proposed change may be rejected on the basis of an undesired increase in uncertainty. Otherwise, if the proposed improvement is not expected to affect the uncertainty significantly or will result in uncertainty reduction, then the change is likely to be accepted. The inventory improvement and QA and QC plans are updated annually to reflect current and future development of the inventory. </w:t>
      </w:r>
    </w:p>
    <w:p w14:paraId="1794BE7E" w14:textId="77777777" w:rsidR="00DE64BC" w:rsidRPr="00256982" w:rsidRDefault="00DE64BC" w:rsidP="00A808C7">
      <w:pPr>
        <w:pStyle w:val="Heading5"/>
      </w:pPr>
      <w:r w:rsidRPr="00256982">
        <w:t>Acceptance of improvements and recalculations</w:t>
      </w:r>
    </w:p>
    <w:p w14:paraId="405CAA9C" w14:textId="77777777" w:rsidR="00DE64BC" w:rsidRPr="00256982" w:rsidRDefault="00DE64BC" w:rsidP="00A808C7">
      <w:pPr>
        <w:pStyle w:val="BodyText"/>
      </w:pPr>
      <w:r w:rsidRPr="00256982">
        <w:t xml:space="preserve">All improvements in the inventory undergo peer review by an independent expert or a group of experts. The change will be included in the inventory only if the peer reviewer concludes that the change is consistent with IPCC good practice. </w:t>
      </w:r>
    </w:p>
    <w:p w14:paraId="3E09FD69" w14:textId="77777777" w:rsidR="00DE64BC" w:rsidRPr="00256982" w:rsidRDefault="00DE64BC" w:rsidP="00A808C7">
      <w:pPr>
        <w:pStyle w:val="BodyText"/>
      </w:pPr>
      <w:r w:rsidRPr="00256982">
        <w:t>Given the importance of the Agriculture sector to New Zealand’s emissions profile, New Zealand established the independent Agriculture Inventory Advisory Panel to assess whether proposed improvements and recalculations in the sector are scientifically robust enough to be included in the inventory. Reports and/or papers on proposed changes must be peer-reviewed before they are presented to this panel of experts. The Panel then advises MPI of its recommendations. Refer to chapter 5, section 5.1.5, for further details.</w:t>
      </w:r>
    </w:p>
    <w:p w14:paraId="204B7DB6" w14:textId="77777777" w:rsidR="00DE64BC" w:rsidRPr="00256982" w:rsidRDefault="00DE64BC" w:rsidP="00A808C7">
      <w:pPr>
        <w:pStyle w:val="BodyText"/>
      </w:pPr>
      <w:r w:rsidRPr="00256982">
        <w:t>All recalculations and improvements to the inventory require the approval of the Reporting Governance Group. The recalculations need to be sufficiently explained in terms of improving one or more of the IPCC good practice principles. If due to recalculations, emissions from the recalculated category exceed 500 kilotonnes carbon dioxide equivalent (kt CO</w:t>
      </w:r>
      <w:r w:rsidRPr="00256982">
        <w:rPr>
          <w:vertAlign w:val="subscript"/>
        </w:rPr>
        <w:t>2</w:t>
      </w:r>
      <w:r w:rsidRPr="00256982">
        <w:t xml:space="preserve">-e), the results and reasons for the recalculations are recorded in the Recalculation form. The recalculations and explanations are documented and archived for future reference. </w:t>
      </w:r>
    </w:p>
    <w:p w14:paraId="0B227D6C" w14:textId="77777777" w:rsidR="00DE64BC" w:rsidRPr="00256982" w:rsidRDefault="00DE64BC" w:rsidP="00A72006">
      <w:pPr>
        <w:pStyle w:val="Heading4"/>
      </w:pPr>
      <w:r w:rsidRPr="00256982">
        <w:t>Verification activities</w:t>
      </w:r>
    </w:p>
    <w:p w14:paraId="45324498" w14:textId="77777777" w:rsidR="00DE64BC" w:rsidRPr="00256982" w:rsidRDefault="00DE64BC" w:rsidP="00A808C7">
      <w:pPr>
        <w:pStyle w:val="BodyText"/>
      </w:pPr>
      <w:r w:rsidRPr="00256982">
        <w:t>Where relevant, further verification activities carried out for a sector are discussed in the sector-specific sections of this report. Section 1.9.2 provides information about the verification method that has become available for the inventory by using data from the NZ ETS.</w:t>
      </w:r>
    </w:p>
    <w:p w14:paraId="347E4313" w14:textId="77777777" w:rsidR="00DE64BC" w:rsidRPr="00256982" w:rsidRDefault="00DE64BC" w:rsidP="00A808C7">
      <w:pPr>
        <w:pStyle w:val="BodyText"/>
      </w:pPr>
      <w:r w:rsidRPr="00256982">
        <w:t>In the Energy sector, the reference approach is used for verification of the emission estimates for CO</w:t>
      </w:r>
      <w:r w:rsidRPr="00256982">
        <w:rPr>
          <w:vertAlign w:val="subscript"/>
        </w:rPr>
        <w:t>2</w:t>
      </w:r>
      <w:r w:rsidRPr="00256982">
        <w:t xml:space="preserve"> obtained from the sectoral approach.</w:t>
      </w:r>
    </w:p>
    <w:p w14:paraId="6AE01128" w14:textId="77777777" w:rsidR="00DE64BC" w:rsidRPr="00256982" w:rsidRDefault="00DE64BC" w:rsidP="00A72006">
      <w:pPr>
        <w:pStyle w:val="Heading4"/>
      </w:pPr>
      <w:r w:rsidRPr="00256982">
        <w:lastRenderedPageBreak/>
        <w:t>Treatment of confidentiality issues</w:t>
      </w:r>
    </w:p>
    <w:p w14:paraId="30FF22E5" w14:textId="77777777" w:rsidR="00DE64BC" w:rsidRPr="00256982" w:rsidRDefault="00DE64BC" w:rsidP="00A808C7">
      <w:pPr>
        <w:pStyle w:val="BodyText"/>
      </w:pPr>
      <w:r w:rsidRPr="00256982">
        <w:t>When specific emission and activity data in the inventory can result in identifying individuals and/or individual businesses and, therefore, affect their wellbeing, commercial interest in trade and/or negotiations, those data are considered to be confidential. The 2006 IPCC Guidelines recommend that confidential data be aggregated so as to draw out the information that is important to the user, without disclosing confidential data (IPCC, 2006b). For New Zealand, confidentiality issues largely apply to sources of emissions in the Energy and IPPU sectors, where an entire industry or source category is often represented by just one or two companies. Therefore, a practice of presenting information as an ‘industry average’ is often not applicable in New Zealand because this would lead to breaching business confidentiality. Confidential information is held by the agencies preparing the inventory sector estimates (MPI, MBIE, EPA and MfE), and each agency has security procedures (e.g., password-restricted access to files on computers) to ensure the data are kept confidential.</w:t>
      </w:r>
    </w:p>
    <w:p w14:paraId="46EA6C4E" w14:textId="77777777" w:rsidR="00DE64BC" w:rsidRPr="00256982" w:rsidRDefault="00DE64BC" w:rsidP="00A808C7">
      <w:pPr>
        <w:pStyle w:val="BodyText"/>
        <w:spacing w:after="100"/>
      </w:pPr>
      <w:r w:rsidRPr="00256982">
        <w:t xml:space="preserve">To protect the confidentiality of businesses that contribute data to the inventory (as appropriate), two approaches are used: </w:t>
      </w:r>
    </w:p>
    <w:p w14:paraId="2A49C042" w14:textId="77777777" w:rsidR="00DE64BC" w:rsidRPr="00256982" w:rsidRDefault="00DE64BC" w:rsidP="0036046B">
      <w:pPr>
        <w:pStyle w:val="Bullet"/>
        <w:numPr>
          <w:ilvl w:val="0"/>
          <w:numId w:val="8"/>
        </w:numPr>
      </w:pPr>
      <w:r w:rsidRPr="00256982">
        <w:t>where emissions can be reported without compromising confidentiality, the corresponding activity data are not reported and are marked as confidential in the CRF tables</w:t>
      </w:r>
    </w:p>
    <w:p w14:paraId="6A61683C" w14:textId="77777777" w:rsidR="00DE64BC" w:rsidRPr="00256982" w:rsidRDefault="00DE64BC" w:rsidP="0036046B">
      <w:pPr>
        <w:pStyle w:val="Bullet"/>
        <w:numPr>
          <w:ilvl w:val="0"/>
          <w:numId w:val="8"/>
        </w:numPr>
      </w:pPr>
      <w:r w:rsidRPr="00256982">
        <w:t>where reporting emissions data would risk breaching confidentiality, the emissions data are aggregated with other emissions from a different source category. The notation key ‘IE’ (included elsewhere) is used.</w:t>
      </w:r>
    </w:p>
    <w:p w14:paraId="35E8B1D8" w14:textId="77777777" w:rsidR="00DE64BC" w:rsidRPr="00256982" w:rsidRDefault="00DE64BC" w:rsidP="00A808C7">
      <w:pPr>
        <w:pStyle w:val="BodyText"/>
      </w:pPr>
      <w:r w:rsidRPr="00256982">
        <w:t xml:space="preserve">In the IPPU sector, activity data for the categories </w:t>
      </w:r>
      <w:r w:rsidRPr="00256982">
        <w:rPr>
          <w:i/>
        </w:rPr>
        <w:t>Iron and steel production</w:t>
      </w:r>
      <w:r w:rsidRPr="00256982">
        <w:t xml:space="preserve">, </w:t>
      </w:r>
      <w:r w:rsidRPr="00256982">
        <w:rPr>
          <w:i/>
        </w:rPr>
        <w:t>Cement production</w:t>
      </w:r>
      <w:r w:rsidRPr="00256982">
        <w:t xml:space="preserve"> and </w:t>
      </w:r>
      <w:r w:rsidRPr="00256982">
        <w:rPr>
          <w:i/>
        </w:rPr>
        <w:t>Glass production</w:t>
      </w:r>
      <w:r w:rsidRPr="00256982">
        <w:t xml:space="preserve"> are marked as confidential. Emissions for </w:t>
      </w:r>
      <w:r w:rsidRPr="00256982">
        <w:rPr>
          <w:i/>
        </w:rPr>
        <w:t>Glass production</w:t>
      </w:r>
      <w:r w:rsidRPr="00256982">
        <w:t xml:space="preserve"> are reported under the </w:t>
      </w:r>
      <w:r w:rsidRPr="00256982">
        <w:rPr>
          <w:i/>
        </w:rPr>
        <w:t>Other uses of carbonates</w:t>
      </w:r>
      <w:r w:rsidRPr="00256982">
        <w:t xml:space="preserve"> category. </w:t>
      </w:r>
    </w:p>
    <w:p w14:paraId="3AFB8276" w14:textId="77777777" w:rsidR="00DE64BC" w:rsidRPr="00256982" w:rsidRDefault="00DE64BC" w:rsidP="001D3490">
      <w:pPr>
        <w:pStyle w:val="Heading3"/>
      </w:pPr>
      <w:r w:rsidRPr="00256982">
        <w:t xml:space="preserve">1.2.4 </w:t>
      </w:r>
      <w:r w:rsidRPr="00256982">
        <w:tab/>
        <w:t>Changes in national inventory arrangements since the previous annual greenhouse gas inventory submission</w:t>
      </w:r>
    </w:p>
    <w:p w14:paraId="5DC8BE49" w14:textId="5F26B2C3" w:rsidR="00DE64BC" w:rsidRPr="00256982" w:rsidRDefault="00DE64BC" w:rsidP="00A808C7">
      <w:pPr>
        <w:pStyle w:val="BodyText"/>
      </w:pPr>
      <w:r w:rsidRPr="00256982">
        <w:t xml:space="preserve">New Zealand ratified the Paris Agreement on 4 October 2016, specifically excluding Tokelau. However, on 13 November 2017, New Zealand extended its ratification of the Convention and of the Paris Agreement to include Tokelau. This means, </w:t>
      </w:r>
      <w:r w:rsidRPr="00256982">
        <w:rPr>
          <w:i/>
        </w:rPr>
        <w:t>inter alia</w:t>
      </w:r>
      <w:r w:rsidRPr="00256982">
        <w:t xml:space="preserve">, that New Zealand’s GHG inventory shall include the GHG estimates from Tokelau (see chapter 13 for details). </w:t>
      </w:r>
    </w:p>
    <w:p w14:paraId="7938D30E" w14:textId="77777777" w:rsidR="00DE64BC" w:rsidRPr="00256982" w:rsidRDefault="00DE64BC" w:rsidP="001D3490">
      <w:pPr>
        <w:pStyle w:val="Heading2"/>
      </w:pPr>
      <w:bookmarkStart w:id="128" w:name="_Toc352504822"/>
      <w:bookmarkStart w:id="129" w:name="_Toc414531270"/>
      <w:bookmarkStart w:id="130" w:name="_Toc448321491"/>
      <w:bookmarkStart w:id="131" w:name="_Toc511116568"/>
      <w:bookmarkStart w:id="132" w:name="_Toc5269330"/>
      <w:r w:rsidRPr="00256982">
        <w:t>1.3</w:t>
      </w:r>
      <w:r w:rsidRPr="00256982">
        <w:tab/>
        <w:t xml:space="preserve">Inventory preparation: data collection, </w:t>
      </w:r>
      <w:bookmarkEnd w:id="128"/>
      <w:r w:rsidRPr="00256982">
        <w:t>processing and storage</w:t>
      </w:r>
      <w:bookmarkEnd w:id="129"/>
      <w:bookmarkEnd w:id="130"/>
      <w:bookmarkEnd w:id="131"/>
      <w:bookmarkEnd w:id="132"/>
    </w:p>
    <w:p w14:paraId="1405A671" w14:textId="77777777" w:rsidR="00DE64BC" w:rsidRPr="00256982" w:rsidRDefault="00DE64BC" w:rsidP="00A808C7">
      <w:pPr>
        <w:pStyle w:val="BodyText"/>
        <w:spacing w:after="100"/>
      </w:pPr>
      <w:r w:rsidRPr="00256982">
        <w:t>Inventory planning and preparation is described above in section 1.2.</w:t>
      </w:r>
    </w:p>
    <w:p w14:paraId="37CEF553" w14:textId="77777777" w:rsidR="00DE64BC" w:rsidRPr="00256982" w:rsidRDefault="00DE64BC" w:rsidP="00A808C7">
      <w:pPr>
        <w:pStyle w:val="BodyText"/>
        <w:spacing w:after="100"/>
        <w:rPr>
          <w:spacing w:val="-2"/>
        </w:rPr>
      </w:pPr>
      <w:r w:rsidRPr="00256982">
        <w:rPr>
          <w:spacing w:val="-2"/>
        </w:rPr>
        <w:t xml:space="preserve">The National Inventory Compiler coordinates the calculation of level and trend uncertainties, key category assessment, and finalises the inventory. The inventory is then approved for publication by the Climate Change Director (MfE) before submission to the UNFCCC secretariat. </w:t>
      </w:r>
    </w:p>
    <w:p w14:paraId="19A63471" w14:textId="77777777" w:rsidR="00DE64BC" w:rsidRPr="00256982" w:rsidRDefault="00DE64BC" w:rsidP="00A808C7">
      <w:pPr>
        <w:pStyle w:val="BodyText"/>
        <w:spacing w:after="100"/>
      </w:pPr>
      <w:r w:rsidRPr="00256982">
        <w:t>The inventory and all required data for the submission are stored at MfE in a restricted file system. The inventory is published on the MfE and UNFCCC websites.</w:t>
      </w:r>
    </w:p>
    <w:p w14:paraId="18368AE0" w14:textId="77777777" w:rsidR="00DE64BC" w:rsidRPr="00256982" w:rsidRDefault="00DE64BC" w:rsidP="00A72006">
      <w:pPr>
        <w:pStyle w:val="Heading4"/>
      </w:pPr>
      <w:r w:rsidRPr="00256982">
        <w:t>Data archiving, security and recovery</w:t>
      </w:r>
    </w:p>
    <w:p w14:paraId="7F7A7336" w14:textId="77777777" w:rsidR="00DE64BC" w:rsidRPr="00256982" w:rsidRDefault="00DE64BC" w:rsidP="00A808C7">
      <w:pPr>
        <w:pStyle w:val="BodyText"/>
        <w:spacing w:before="100"/>
        <w:rPr>
          <w:sz w:val="24"/>
          <w:szCs w:val="24"/>
          <w:lang w:eastAsia="en-NZ"/>
        </w:rPr>
      </w:pPr>
      <w:r w:rsidRPr="00256982">
        <w:t xml:space="preserve">To provide data security and file recovery for the inventory in the event of a disaster, a distributive strategy for storage is in place. This includes storing inventory files using different types of storage devices (local and networked storage devices) in different geographical </w:t>
      </w:r>
      <w:r w:rsidRPr="00256982">
        <w:lastRenderedPageBreak/>
        <w:t>locations. The changes to all files are backed up on a daily basis, and the entire system is backed up on a weekly basis.</w:t>
      </w:r>
      <w:r w:rsidRPr="00256982">
        <w:rPr>
          <w:sz w:val="24"/>
          <w:szCs w:val="24"/>
          <w:lang w:eastAsia="en-NZ"/>
        </w:rPr>
        <w:t xml:space="preserve"> </w:t>
      </w:r>
    </w:p>
    <w:p w14:paraId="17A2D588" w14:textId="77777777" w:rsidR="00DE64BC" w:rsidRPr="00256982" w:rsidRDefault="00DE64BC" w:rsidP="00A808C7">
      <w:pPr>
        <w:pStyle w:val="BodyText"/>
      </w:pPr>
      <w:r w:rsidRPr="00256982">
        <w:t>New Zealand’s inventory archiving system reflects the distributed system. Specifically:</w:t>
      </w:r>
    </w:p>
    <w:p w14:paraId="5CE68012" w14:textId="77777777" w:rsidR="00DE64BC" w:rsidRPr="00256982" w:rsidRDefault="00DE64BC" w:rsidP="0036046B">
      <w:pPr>
        <w:pStyle w:val="Bullet"/>
        <w:numPr>
          <w:ilvl w:val="0"/>
          <w:numId w:val="8"/>
        </w:numPr>
      </w:pPr>
      <w:r w:rsidRPr="00256982">
        <w:t>all files for the inventory are stored in MfE’s secure file management system and backed up on several different devices. This covers all data files and supplementary materials as part of the submission for the inventory, CRF tables, database back-up files from the CRF Reporter, sectoral chapters, the compiled inventory, confirmations of sign-off, communication between New Zealand’s inventory team and the expert review team, national inventory system, process maps, project planning and documentation, and other related documents for the inventory</w:t>
      </w:r>
    </w:p>
    <w:p w14:paraId="11CC1F30" w14:textId="77777777" w:rsidR="00DE64BC" w:rsidRPr="00256982" w:rsidRDefault="00DE64BC" w:rsidP="0036046B">
      <w:pPr>
        <w:pStyle w:val="Bullet"/>
        <w:numPr>
          <w:ilvl w:val="0"/>
          <w:numId w:val="8"/>
        </w:numPr>
      </w:pPr>
      <w:r w:rsidRPr="00256982">
        <w:t xml:space="preserve">each sectoral agency keeps its data in secure file systems, including communication with contractors, activity data, emission factors, preliminary calculations and specific software applications containing sectoral data models </w:t>
      </w:r>
    </w:p>
    <w:p w14:paraId="5ED53673" w14:textId="77777777" w:rsidR="00DE64BC" w:rsidRPr="00256982" w:rsidRDefault="00DE64BC" w:rsidP="0036046B">
      <w:pPr>
        <w:pStyle w:val="Bullet"/>
        <w:numPr>
          <w:ilvl w:val="0"/>
          <w:numId w:val="8"/>
        </w:numPr>
      </w:pPr>
      <w:r w:rsidRPr="00256982">
        <w:t>each of the agencies involved in the preparation of the inventory has security procedures in case of natural disasters, fire, flood or other accidents, which are kept at a high standard.</w:t>
      </w:r>
    </w:p>
    <w:p w14:paraId="3496B497" w14:textId="77777777" w:rsidR="00DE64BC" w:rsidRPr="00256982" w:rsidRDefault="00DE64BC" w:rsidP="001D3490">
      <w:pPr>
        <w:pStyle w:val="Heading2"/>
      </w:pPr>
      <w:bookmarkStart w:id="133" w:name="_Toc352504823"/>
      <w:bookmarkStart w:id="134" w:name="_Toc414531271"/>
      <w:bookmarkStart w:id="135" w:name="_Toc448321492"/>
      <w:bookmarkStart w:id="136" w:name="_Toc511116569"/>
      <w:bookmarkStart w:id="137" w:name="_Toc5269331"/>
      <w:r w:rsidRPr="00256982">
        <w:t>1.4</w:t>
      </w:r>
      <w:r w:rsidRPr="00256982">
        <w:tab/>
        <w:t>Methodologies and data sources used</w:t>
      </w:r>
      <w:bookmarkEnd w:id="133"/>
      <w:bookmarkEnd w:id="134"/>
      <w:bookmarkEnd w:id="135"/>
      <w:bookmarkEnd w:id="136"/>
      <w:bookmarkEnd w:id="137"/>
    </w:p>
    <w:p w14:paraId="149AE464" w14:textId="77777777" w:rsidR="00DE64BC" w:rsidRPr="00256982" w:rsidRDefault="00DE64BC" w:rsidP="00A808C7">
      <w:pPr>
        <w:pStyle w:val="BodyText"/>
        <w:spacing w:after="100"/>
      </w:pPr>
      <w:r w:rsidRPr="00256982">
        <w:t xml:space="preserve">The guiding documents in the inventory’s preparation are the </w:t>
      </w:r>
      <w:r w:rsidRPr="00256982">
        <w:rPr>
          <w:i/>
        </w:rPr>
        <w:t>2006 IPCC Guidelines for National Greenhouse Gas Inventories</w:t>
      </w:r>
      <w:r w:rsidRPr="00256982">
        <w:t xml:space="preserve"> (IPCC, 2006b), the </w:t>
      </w:r>
      <w:r w:rsidRPr="00256982">
        <w:rPr>
          <w:i/>
        </w:rPr>
        <w:t>2013 Revised Supplementary Methods and Good Practice Guidance Arising from the Kyoto Protocol</w:t>
      </w:r>
      <w:r w:rsidRPr="00256982">
        <w:t xml:space="preserve"> (IPCC, 2014), the</w:t>
      </w:r>
      <w:r w:rsidRPr="00256982">
        <w:rPr>
          <w:i/>
        </w:rPr>
        <w:t xml:space="preserve"> </w:t>
      </w:r>
      <w:r w:rsidRPr="00256982">
        <w:t xml:space="preserve">revised </w:t>
      </w:r>
      <w:r w:rsidRPr="00256982">
        <w:rPr>
          <w:i/>
        </w:rPr>
        <w:t>UNFCCC reporting guidelines on annual inventories for Parties included in Annex I to the Convention</w:t>
      </w:r>
      <w:r w:rsidRPr="00256982">
        <w:t xml:space="preserve"> (UNFCCC, 2013b), the Kyoto Protocol (UNFCCC, 2012, 2013c), decisions 3/CMP.11 and 4/CMP.11 that cover a range of reporting and review issues (UNFCCC, 2016a, 2016b), and the</w:t>
      </w:r>
      <w:r w:rsidRPr="00256982">
        <w:rPr>
          <w:rStyle w:val="CommentReference"/>
          <w:rFonts w:ascii="Calibri" w:eastAsia="Calibri" w:hAnsi="Calibri"/>
        </w:rPr>
        <w:t xml:space="preserve"> </w:t>
      </w:r>
      <w:r w:rsidRPr="00256982">
        <w:t xml:space="preserve">guidelines on reporting and review (UNFCCC, 2005 a–k). </w:t>
      </w:r>
    </w:p>
    <w:p w14:paraId="15389A83" w14:textId="77777777" w:rsidR="00DE64BC" w:rsidRPr="00256982" w:rsidRDefault="00DE64BC" w:rsidP="00A808C7">
      <w:pPr>
        <w:pStyle w:val="BodyText"/>
        <w:spacing w:after="100"/>
      </w:pPr>
      <w:r w:rsidRPr="00256982">
        <w:t>The 2006 IPCC Guidelines provide a number of possible methodologies for calculating emissions or removals from a given category (IPCC, 2006b). In most cases, these possibilities represent calculations of the same form where the differences are in the level of detail at which the calculations are carried out. The methodologies are provided in a structure of three tiers that describe and connect the various levels of detail at which estimates can be made. The choice of method depends on factors such as the importance of the inventory category and the availability of data. The tiered structure ensures that estimates calculated at a highly detailed level can be aggregated up to a common minimum level of detail for comparison with all other reporting countries. The methods for estimating emissions and/or removals are distinguished between the tiers as follows:</w:t>
      </w:r>
    </w:p>
    <w:p w14:paraId="378C4053" w14:textId="77777777" w:rsidR="00DE64BC" w:rsidRPr="00256982" w:rsidRDefault="00DE64BC" w:rsidP="0036046B">
      <w:pPr>
        <w:pStyle w:val="Bullet"/>
        <w:numPr>
          <w:ilvl w:val="0"/>
          <w:numId w:val="8"/>
        </w:numPr>
        <w:spacing w:after="100"/>
      </w:pPr>
      <w:r w:rsidRPr="00256982">
        <w:t xml:space="preserve">Tier 1 methods apply IPCC default emission factors and use IPCC default methods </w:t>
      </w:r>
    </w:p>
    <w:p w14:paraId="1A8C747D" w14:textId="77777777" w:rsidR="00DE64BC" w:rsidRPr="00256982" w:rsidRDefault="00DE64BC" w:rsidP="0036046B">
      <w:pPr>
        <w:pStyle w:val="Bullet"/>
        <w:numPr>
          <w:ilvl w:val="0"/>
          <w:numId w:val="8"/>
        </w:numPr>
        <w:spacing w:after="100"/>
      </w:pPr>
      <w:r w:rsidRPr="00256982">
        <w:t>Tier 2 methods apply country-specific emission factors and use IPCC default methods</w:t>
      </w:r>
    </w:p>
    <w:p w14:paraId="195DAC11" w14:textId="77777777" w:rsidR="00DE64BC" w:rsidRPr="00256982" w:rsidRDefault="00DE64BC" w:rsidP="0036046B">
      <w:pPr>
        <w:pStyle w:val="Bullet"/>
        <w:numPr>
          <w:ilvl w:val="0"/>
          <w:numId w:val="8"/>
        </w:numPr>
      </w:pPr>
      <w:r w:rsidRPr="00256982">
        <w:t>Tier 3 methods apply country-specific emission factors and use country-specific methods.</w:t>
      </w:r>
    </w:p>
    <w:p w14:paraId="399EB4AF" w14:textId="77777777" w:rsidR="00DE64BC" w:rsidRPr="00256982" w:rsidRDefault="00DE64BC" w:rsidP="00A808C7">
      <w:pPr>
        <w:pStyle w:val="BodyText"/>
        <w:spacing w:before="100" w:after="100"/>
      </w:pPr>
      <w:r w:rsidRPr="00256982">
        <w:t>Methodology for each sector in the inventory is described briefly here. Refer to each sector chapter for more detail.</w:t>
      </w:r>
    </w:p>
    <w:p w14:paraId="1886735F" w14:textId="77777777" w:rsidR="00DE64BC" w:rsidRPr="00256982" w:rsidRDefault="00DE64BC" w:rsidP="00A72006">
      <w:pPr>
        <w:pStyle w:val="Heading4"/>
      </w:pPr>
      <w:r w:rsidRPr="00256982">
        <w:t>Energy</w:t>
      </w:r>
    </w:p>
    <w:p w14:paraId="7904B629" w14:textId="77777777" w:rsidR="00DE64BC" w:rsidRPr="00256982" w:rsidRDefault="00DE64BC" w:rsidP="00A808C7">
      <w:pPr>
        <w:pStyle w:val="BodyText"/>
        <w:spacing w:before="100" w:after="100"/>
        <w:rPr>
          <w:lang w:eastAsia="en-GB"/>
        </w:rPr>
      </w:pPr>
      <w:r w:rsidRPr="00256982">
        <w:rPr>
          <w:lang w:eastAsia="en-GB"/>
        </w:rPr>
        <w:t xml:space="preserve">Greenhouse gas emissions from the Energy sector are calculated using a detailed sectoral approach. This bottom-up approach is energy demand based; it involves processing energy data collected on a regular basis through various surveys. For verification, New Zealand has also applied the IPCC reference approach to estimate </w:t>
      </w:r>
      <w:r w:rsidRPr="00256982">
        <w:t>CO</w:t>
      </w:r>
      <w:r w:rsidRPr="00256982">
        <w:rPr>
          <w:vertAlign w:val="subscript"/>
        </w:rPr>
        <w:t>2</w:t>
      </w:r>
      <w:r w:rsidRPr="00256982">
        <w:rPr>
          <w:lang w:eastAsia="en-GB"/>
        </w:rPr>
        <w:t xml:space="preserve"> emissions from fuel combustion for the time series 1990–</w:t>
      </w:r>
      <w:r w:rsidRPr="00256982">
        <w:t>2017</w:t>
      </w:r>
      <w:r w:rsidRPr="00256982">
        <w:rPr>
          <w:lang w:eastAsia="en-GB"/>
        </w:rPr>
        <w:t xml:space="preserve"> (see annex 4). </w:t>
      </w:r>
    </w:p>
    <w:p w14:paraId="44CD3B01" w14:textId="77777777" w:rsidR="00DE64BC" w:rsidRPr="00256982" w:rsidRDefault="00DE64BC" w:rsidP="00A808C7">
      <w:pPr>
        <w:pStyle w:val="BodyText"/>
        <w:spacing w:before="100" w:after="100"/>
      </w:pPr>
      <w:r w:rsidRPr="00256982">
        <w:rPr>
          <w:lang w:eastAsia="en-GB"/>
        </w:rPr>
        <w:lastRenderedPageBreak/>
        <w:t xml:space="preserve">The activity data used for the sectoral approach are referred to as ‘observed’ energy-use figures. These are based on surveys and questionnaires administered by MBIE. The differences between ‘calculated’ and ‘observed’ figures are reported as statistical differences in the energy balance tables released along with </w:t>
      </w:r>
      <w:r w:rsidRPr="00256982">
        <w:rPr>
          <w:i/>
          <w:iCs/>
          <w:lang w:eastAsia="en-GB"/>
        </w:rPr>
        <w:t xml:space="preserve">Energy in New Zealand 2018 </w:t>
      </w:r>
      <w:r w:rsidRPr="00256982">
        <w:rPr>
          <w:lang w:eastAsia="en-GB"/>
        </w:rPr>
        <w:t xml:space="preserve">(MBIE, 2018). Due to the time interval between the publication of </w:t>
      </w:r>
      <w:r w:rsidRPr="00256982">
        <w:rPr>
          <w:i/>
          <w:lang w:eastAsia="en-GB"/>
        </w:rPr>
        <w:t>Energy in New Zealand</w:t>
      </w:r>
      <w:r w:rsidRPr="00256982">
        <w:rPr>
          <w:lang w:eastAsia="en-GB"/>
        </w:rPr>
        <w:t xml:space="preserve"> and the preparation of this submission, some data revisions may have occurred. See chapter 3 for further details on methodologies applied in the Energy sector and a description of the sources for activity data for the inventory.</w:t>
      </w:r>
    </w:p>
    <w:p w14:paraId="105D75CD" w14:textId="77777777" w:rsidR="00DE64BC" w:rsidRPr="00256982" w:rsidRDefault="00DE64BC" w:rsidP="00A72006">
      <w:pPr>
        <w:pStyle w:val="Heading4"/>
      </w:pPr>
      <w:r w:rsidRPr="00256982">
        <w:t>IPPU</w:t>
      </w:r>
    </w:p>
    <w:p w14:paraId="6C7CE42E" w14:textId="77777777" w:rsidR="00DE64BC" w:rsidRPr="00256982" w:rsidRDefault="00DE64BC" w:rsidP="00A808C7">
      <w:pPr>
        <w:pStyle w:val="BodyText"/>
        <w:spacing w:before="100" w:after="100"/>
        <w:rPr>
          <w:rFonts w:eastAsia="+mn-ea"/>
        </w:rPr>
      </w:pPr>
      <w:r w:rsidRPr="00256982">
        <w:rPr>
          <w:rFonts w:eastAsia="+mn-ea"/>
        </w:rPr>
        <w:t xml:space="preserve">Activity data in the IPPU sector have been derived from a variety of sources. In the </w:t>
      </w:r>
      <w:r w:rsidRPr="00256982">
        <w:rPr>
          <w:rFonts w:eastAsia="+mn-ea"/>
          <w:i/>
        </w:rPr>
        <w:t>Mineral industry</w:t>
      </w:r>
      <w:r w:rsidRPr="00256982">
        <w:rPr>
          <w:rFonts w:eastAsia="+mn-ea"/>
        </w:rPr>
        <w:t xml:space="preserve"> category, the primary data source is emissions data reported under the NZ ETS. For the </w:t>
      </w:r>
      <w:r w:rsidRPr="00256982">
        <w:rPr>
          <w:rFonts w:eastAsia="+mn-ea"/>
          <w:i/>
        </w:rPr>
        <w:t>Chemical industry</w:t>
      </w:r>
      <w:r w:rsidRPr="00256982">
        <w:rPr>
          <w:rFonts w:eastAsia="+mn-ea"/>
        </w:rPr>
        <w:t xml:space="preserve"> and </w:t>
      </w:r>
      <w:r w:rsidRPr="00256982">
        <w:rPr>
          <w:rFonts w:eastAsia="+mn-ea"/>
          <w:i/>
        </w:rPr>
        <w:t>Metal industry</w:t>
      </w:r>
      <w:r w:rsidRPr="00256982">
        <w:rPr>
          <w:rFonts w:eastAsia="+mn-ea"/>
        </w:rPr>
        <w:t xml:space="preserve"> categories, data (including activity data) are provided to MBIE in response to an annual survey. For some large-scale activities in the </w:t>
      </w:r>
      <w:r w:rsidRPr="00256982">
        <w:rPr>
          <w:rFonts w:eastAsia="+mn-ea"/>
          <w:i/>
        </w:rPr>
        <w:t>Mineral industry</w:t>
      </w:r>
      <w:r w:rsidRPr="00256982">
        <w:rPr>
          <w:rFonts w:eastAsia="+mn-ea"/>
        </w:rPr>
        <w:t xml:space="preserve">, </w:t>
      </w:r>
      <w:r w:rsidRPr="00256982">
        <w:rPr>
          <w:rFonts w:eastAsia="+mn-ea"/>
          <w:i/>
        </w:rPr>
        <w:t>Chemical industry</w:t>
      </w:r>
      <w:r w:rsidRPr="00256982">
        <w:rPr>
          <w:rFonts w:eastAsia="+mn-ea"/>
        </w:rPr>
        <w:t xml:space="preserve"> and </w:t>
      </w:r>
      <w:r w:rsidRPr="00256982">
        <w:rPr>
          <w:rFonts w:eastAsia="+mn-ea"/>
          <w:i/>
        </w:rPr>
        <w:t>Metal industry</w:t>
      </w:r>
      <w:r w:rsidRPr="00256982">
        <w:rPr>
          <w:rFonts w:eastAsia="+mn-ea"/>
        </w:rPr>
        <w:t xml:space="preserve"> categories, which are carried out by only one or two companies in New Zealand, activity data are reported as confidential in the CRF tables. </w:t>
      </w:r>
    </w:p>
    <w:p w14:paraId="0E4AA715" w14:textId="77777777" w:rsidR="00DE64BC" w:rsidRPr="00256982" w:rsidRDefault="00DE64BC" w:rsidP="00A808C7">
      <w:pPr>
        <w:pStyle w:val="BodyText"/>
        <w:spacing w:before="100" w:after="100"/>
        <w:rPr>
          <w:rFonts w:eastAsia="+mn-ea"/>
        </w:rPr>
      </w:pPr>
      <w:r w:rsidRPr="00256982">
        <w:rPr>
          <w:rFonts w:eastAsia="+mn-ea"/>
        </w:rPr>
        <w:t xml:space="preserve">Emissions data for glass production (2.A.3) are reported in category 2.A.4 to aggregate the data with other sources and preserve confidentiality. Also, data on emissions from hydrogen making at the Marsden Point oil refinery are reported in the </w:t>
      </w:r>
      <w:r w:rsidRPr="00256982">
        <w:rPr>
          <w:rFonts w:eastAsia="+mn-ea"/>
          <w:i/>
        </w:rPr>
        <w:t>Chemical industry</w:t>
      </w:r>
      <w:r w:rsidRPr="00256982">
        <w:rPr>
          <w:rFonts w:eastAsia="+mn-ea"/>
        </w:rPr>
        <w:t xml:space="preserve"> source category. This allows data from New Zealand’s only industrial hydrogen-making process, which is smaller in scale than refining, to be aggregated and kept confidential. </w:t>
      </w:r>
    </w:p>
    <w:p w14:paraId="60F89988" w14:textId="77777777" w:rsidR="00DE64BC" w:rsidRPr="00256982" w:rsidRDefault="00DE64BC" w:rsidP="00A808C7">
      <w:pPr>
        <w:pStyle w:val="BodyText"/>
        <w:spacing w:before="100" w:after="100"/>
        <w:rPr>
          <w:rFonts w:eastAsia="+mn-ea"/>
        </w:rPr>
      </w:pPr>
      <w:r w:rsidRPr="00256982">
        <w:rPr>
          <w:rFonts w:eastAsia="+mn-ea"/>
        </w:rPr>
        <w:t xml:space="preserve">For the </w:t>
      </w:r>
      <w:r w:rsidRPr="00256982">
        <w:rPr>
          <w:rFonts w:eastAsia="+mn-ea"/>
          <w:i/>
        </w:rPr>
        <w:t>Product uses as substitutes for ODS</w:t>
      </w:r>
      <w:r w:rsidRPr="00256982">
        <w:rPr>
          <w:rStyle w:val="FootnoteReference"/>
          <w:rFonts w:eastAsia="+mn-ea"/>
        </w:rPr>
        <w:footnoteReference w:id="16"/>
      </w:r>
      <w:r w:rsidRPr="00256982">
        <w:rPr>
          <w:rFonts w:eastAsia="+mn-ea"/>
        </w:rPr>
        <w:t xml:space="preserve"> category, updated activity data have been obtained through a detailed annual survey covering the electrical, refrigeration and other industry participants (CRL Energy Ltd., unpublished(b)) as well as importers of HFCs and other substances in this category. </w:t>
      </w:r>
    </w:p>
    <w:p w14:paraId="3C26EC7E" w14:textId="77777777" w:rsidR="00DE64BC" w:rsidRPr="00256982" w:rsidRDefault="00DE64BC" w:rsidP="00A808C7">
      <w:pPr>
        <w:pStyle w:val="BodyText"/>
        <w:spacing w:before="100" w:after="100"/>
      </w:pPr>
      <w:r w:rsidRPr="00256982">
        <w:t xml:space="preserve">New Zealand uses a combination of Tier 1 and Tier 2 methodologies for the IPPU sector. Tier 2 methods are used for all key categories. </w:t>
      </w:r>
    </w:p>
    <w:p w14:paraId="3C4B81CE" w14:textId="2EE01AD6" w:rsidR="00DE64BC" w:rsidRPr="00256982" w:rsidRDefault="00DE64BC" w:rsidP="00A808C7">
      <w:pPr>
        <w:pStyle w:val="BodyText"/>
        <w:spacing w:before="100" w:after="100"/>
        <w:rPr>
          <w:rFonts w:eastAsia="+mn-ea"/>
        </w:rPr>
      </w:pPr>
      <w:r w:rsidRPr="00256982">
        <w:rPr>
          <w:rFonts w:eastAsia="+mn-ea"/>
        </w:rPr>
        <w:t xml:space="preserve">For the small amounts of indirect GHG emissions reported in the </w:t>
      </w:r>
      <w:r w:rsidRPr="00256982">
        <w:rPr>
          <w:rFonts w:eastAsia="+mn-ea"/>
          <w:i/>
        </w:rPr>
        <w:t>Chemical industry</w:t>
      </w:r>
      <w:r w:rsidRPr="00256982">
        <w:rPr>
          <w:rFonts w:eastAsia="+mn-ea"/>
        </w:rPr>
        <w:t xml:space="preserve"> category and the </w:t>
      </w:r>
      <w:r w:rsidRPr="00256982">
        <w:rPr>
          <w:rFonts w:eastAsia="+mn-ea"/>
          <w:i/>
        </w:rPr>
        <w:t>Other product manufacture and use</w:t>
      </w:r>
      <w:r w:rsidRPr="00256982">
        <w:rPr>
          <w:rFonts w:eastAsia="+mn-ea"/>
        </w:rPr>
        <w:t xml:space="preserve"> category, data were obtained by a detailed industry survey and analysis (CRL Energy, unpublished(a)). Emissions and activity data have been extrapolated for the years since 2006. </w:t>
      </w:r>
    </w:p>
    <w:p w14:paraId="37BF821F" w14:textId="30667DA6" w:rsidR="00DE64BC" w:rsidRPr="00256982" w:rsidRDefault="00DE64BC" w:rsidP="00A808C7">
      <w:pPr>
        <w:pStyle w:val="BodyText"/>
        <w:spacing w:before="100" w:after="100"/>
      </w:pPr>
      <w:r w:rsidRPr="00256982">
        <w:t>Country-specific emission factors have been used where available, including for emissions of indirect GHGs.</w:t>
      </w:r>
    </w:p>
    <w:p w14:paraId="48EFA146" w14:textId="77777777" w:rsidR="00DE64BC" w:rsidRPr="00256982" w:rsidRDefault="00DE64BC" w:rsidP="00A72006">
      <w:pPr>
        <w:pStyle w:val="Heading4"/>
      </w:pPr>
      <w:r w:rsidRPr="00256982">
        <w:t xml:space="preserve">Agriculture </w:t>
      </w:r>
    </w:p>
    <w:p w14:paraId="2C0AD53F" w14:textId="77777777" w:rsidR="00DE64BC" w:rsidRPr="00256982" w:rsidRDefault="00DE64BC" w:rsidP="00A808C7">
      <w:pPr>
        <w:pStyle w:val="BodyText"/>
        <w:spacing w:before="100" w:after="100"/>
      </w:pPr>
      <w:r w:rsidRPr="00256982">
        <w:t>New Zealand has developed a Tier 2 methodology with country-specific emission factors, which uses detailed data on livestock populations and productivity to calculate livestock energy requirements for the major livestock categories. Statistics New Zealand collects animal population census data every five years (the Agricultural Production census) and conducts annual animal population surveys between censuses (the Agricultural Production survey). Productivity data are available from non-governmental industry organisations like the Livestock Improvement Corporation (dairy statistics), Beef + Lamb New Zealand Ltd and Deer Industry New Zealand. MPI collects statistics on animal carcass weights and slaughter statistics as a proxy to establish changes in animal liveweight over time.</w:t>
      </w:r>
    </w:p>
    <w:p w14:paraId="36A38B0F" w14:textId="77777777" w:rsidR="00DE64BC" w:rsidRPr="00256982" w:rsidRDefault="00DE64BC" w:rsidP="00A808C7">
      <w:pPr>
        <w:pStyle w:val="BodyText"/>
        <w:spacing w:before="100" w:after="100"/>
      </w:pPr>
      <w:r w:rsidRPr="00256982">
        <w:t>Other livestock species (</w:t>
      </w:r>
      <w:r w:rsidRPr="00256982">
        <w:rPr>
          <w:i/>
          <w:iCs/>
        </w:rPr>
        <w:t>Swine</w:t>
      </w:r>
      <w:r w:rsidRPr="00256982">
        <w:t xml:space="preserve">, </w:t>
      </w:r>
      <w:r w:rsidRPr="00256982">
        <w:rPr>
          <w:i/>
          <w:iCs/>
        </w:rPr>
        <w:t>Goats</w:t>
      </w:r>
      <w:r w:rsidRPr="00256982">
        <w:t xml:space="preserve">, </w:t>
      </w:r>
      <w:r w:rsidRPr="00256982">
        <w:rPr>
          <w:i/>
          <w:iCs/>
        </w:rPr>
        <w:t>Horses</w:t>
      </w:r>
      <w:r w:rsidRPr="00256982">
        <w:t xml:space="preserve">, </w:t>
      </w:r>
      <w:r w:rsidRPr="00256982">
        <w:rPr>
          <w:i/>
          <w:iCs/>
        </w:rPr>
        <w:t>Llamas</w:t>
      </w:r>
      <w:r w:rsidRPr="00256982">
        <w:t xml:space="preserve"> </w:t>
      </w:r>
      <w:r w:rsidRPr="00256982">
        <w:rPr>
          <w:i/>
          <w:iCs/>
        </w:rPr>
        <w:t>and</w:t>
      </w:r>
      <w:r w:rsidRPr="00256982">
        <w:t xml:space="preserve"> </w:t>
      </w:r>
      <w:r w:rsidRPr="00256982">
        <w:rPr>
          <w:i/>
          <w:iCs/>
        </w:rPr>
        <w:t>alpacas</w:t>
      </w:r>
      <w:r w:rsidRPr="00256982">
        <w:t xml:space="preserve">, </w:t>
      </w:r>
      <w:r w:rsidRPr="00256982">
        <w:rPr>
          <w:i/>
          <w:iCs/>
        </w:rPr>
        <w:t>Mules and asses</w:t>
      </w:r>
      <w:r w:rsidRPr="00256982">
        <w:t xml:space="preserve">, and </w:t>
      </w:r>
      <w:r w:rsidRPr="00256982">
        <w:rPr>
          <w:i/>
          <w:iCs/>
        </w:rPr>
        <w:t>Poultry</w:t>
      </w:r>
      <w:r w:rsidRPr="00256982">
        <w:t xml:space="preserve"> – referred to as ‘minor’ livestock categories) account for only 0.5 per cent of New Zealand’s agriculture emissions. Emissions from these minor livestock species are generally estimated using Tier 1 methods. Where information is available, New Zealand has </w:t>
      </w:r>
      <w:r w:rsidRPr="00256982">
        <w:lastRenderedPageBreak/>
        <w:t>used country-specific emission methods and factors. Rabbits are considered an agricultural pest in New Zealand, and there is no known farming of rabbits or other fur-breeding animals.</w:t>
      </w:r>
    </w:p>
    <w:p w14:paraId="3B1A88A1" w14:textId="77777777" w:rsidR="00DE64BC" w:rsidRPr="00256982" w:rsidRDefault="00DE64BC" w:rsidP="00A808C7">
      <w:pPr>
        <w:pStyle w:val="BodyText"/>
      </w:pPr>
      <w:r w:rsidRPr="00256982">
        <w:t xml:space="preserve">For estimating emissions from the </w:t>
      </w:r>
      <w:r w:rsidRPr="00256982">
        <w:rPr>
          <w:i/>
          <w:iCs/>
        </w:rPr>
        <w:t xml:space="preserve">Agricultural soils </w:t>
      </w:r>
      <w:r w:rsidRPr="00256982">
        <w:rPr>
          <w:iCs/>
        </w:rPr>
        <w:t>category</w:t>
      </w:r>
      <w:r w:rsidRPr="00256982">
        <w:t>, New Zealand uses methodologies based on the IPCC Guidelines (IPCC, 2006a), the outputs of the Tier 2 livestock population characterisation, and modelling of the livestock nutrition and energy requirements. New Zealand uses a combination of default and country-specific emission factors and parameters to calculate N</w:t>
      </w:r>
      <w:r w:rsidRPr="00256982">
        <w:rPr>
          <w:vertAlign w:val="subscript"/>
        </w:rPr>
        <w:t>2</w:t>
      </w:r>
      <w:r w:rsidRPr="00256982">
        <w:t xml:space="preserve">O emissions from the </w:t>
      </w:r>
      <w:r w:rsidRPr="00256982">
        <w:rPr>
          <w:i/>
          <w:iCs/>
        </w:rPr>
        <w:t xml:space="preserve">Agricultural soils </w:t>
      </w:r>
      <w:r w:rsidRPr="00256982">
        <w:rPr>
          <w:iCs/>
        </w:rPr>
        <w:t>category</w:t>
      </w:r>
      <w:r w:rsidRPr="00256982">
        <w:t>. Details on these emission factors and parameters are listed in chapter 5 (tables 5.5.2 and 5.5.3) and annex 3 (tables A3.1.5 and A3.1.6). Table 5.5.4 in chapter 5 contains the parameters used to estimate emissions where specific mitigation technologies are used.</w:t>
      </w:r>
    </w:p>
    <w:p w14:paraId="03F85B96" w14:textId="77777777" w:rsidR="00DE64BC" w:rsidRPr="00256982" w:rsidRDefault="00DE64BC" w:rsidP="00A808C7">
      <w:pPr>
        <w:pStyle w:val="BodyText"/>
      </w:pPr>
      <w:r w:rsidRPr="00256982">
        <w:t xml:space="preserve">Activity data for the </w:t>
      </w:r>
      <w:r w:rsidRPr="00256982">
        <w:rPr>
          <w:i/>
          <w:iCs/>
        </w:rPr>
        <w:t>Liming</w:t>
      </w:r>
      <w:r w:rsidRPr="00256982">
        <w:t xml:space="preserve"> category are obtained from Statistics New Zealand, and activity data on the use of synthetic fertiliser containing nitrogen are provided by the Fertiliser Association of New Zealand. A Tier 2 (model) approach is used to calculate emissions from the </w:t>
      </w:r>
      <w:r w:rsidRPr="00256982">
        <w:rPr>
          <w:i/>
        </w:rPr>
        <w:t>Burning of agricultural residues</w:t>
      </w:r>
      <w:r w:rsidRPr="00256982">
        <w:t xml:space="preserve"> category. There is no rice cultivation in New Zealand or CO</w:t>
      </w:r>
      <w:r w:rsidRPr="00256982">
        <w:rPr>
          <w:vertAlign w:val="subscript"/>
        </w:rPr>
        <w:t>2</w:t>
      </w:r>
      <w:r w:rsidRPr="00256982">
        <w:t xml:space="preserve"> emissions from other carbon-containing fertilisers.</w:t>
      </w:r>
    </w:p>
    <w:p w14:paraId="69DE4DD3" w14:textId="77777777" w:rsidR="00DE64BC" w:rsidRPr="00256982" w:rsidRDefault="00DE64BC" w:rsidP="00A72006">
      <w:pPr>
        <w:pStyle w:val="Heading4"/>
      </w:pPr>
      <w:r w:rsidRPr="00256982">
        <w:t>LULUCF and KP-LULUCF</w:t>
      </w:r>
    </w:p>
    <w:p w14:paraId="105C8AAC" w14:textId="77777777" w:rsidR="00DE64BC" w:rsidRPr="00256982" w:rsidRDefault="00DE64BC" w:rsidP="00A808C7">
      <w:pPr>
        <w:pStyle w:val="BodyText"/>
      </w:pPr>
      <w:r w:rsidRPr="00256982">
        <w:t>New Zealand uses a combination of Tier 1, Tier 2 and Tier 3 methodologies for estimating emissions and removals for the LULUCF sector under the Convention and Article 3.3 and Article 3.4 activities under the Kyoto Protocol. Tier 2 or Tier 3 approaches have been used to estimate biomass carbon in the pools with the most living biomass at steady state:</w:t>
      </w:r>
      <w:r w:rsidRPr="00256982">
        <w:rPr>
          <w:i/>
        </w:rPr>
        <w:t xml:space="preserve"> Pre-1990 natural forest</w:t>
      </w:r>
      <w:r w:rsidRPr="00256982">
        <w:t xml:space="preserve">, </w:t>
      </w:r>
      <w:r w:rsidRPr="00256982">
        <w:rPr>
          <w:i/>
        </w:rPr>
        <w:t>Pre-1990 planted forest</w:t>
      </w:r>
      <w:r w:rsidRPr="00256982">
        <w:t xml:space="preserve">, </w:t>
      </w:r>
      <w:r w:rsidRPr="00256982">
        <w:rPr>
          <w:i/>
        </w:rPr>
        <w:t>Post-1989 forest</w:t>
      </w:r>
      <w:r w:rsidRPr="00256982">
        <w:t xml:space="preserve">, </w:t>
      </w:r>
      <w:r w:rsidRPr="00256982">
        <w:rPr>
          <w:i/>
        </w:rPr>
        <w:t>Perennial cropland</w:t>
      </w:r>
      <w:r w:rsidRPr="00256982">
        <w:t xml:space="preserve"> and </w:t>
      </w:r>
      <w:r w:rsidRPr="00256982">
        <w:rPr>
          <w:i/>
        </w:rPr>
        <w:t>Grassland with woody biomass</w:t>
      </w:r>
      <w:r w:rsidRPr="00256982">
        <w:t>. For all other land use categories, a Tier 1 approach is used for estimating biomass carbon. A Tier 2 modelling approach has also been used to estimate carbon changes in the mineral soil component of the soil organic matter pool, while Tier 1 is used for organic soils.</w:t>
      </w:r>
    </w:p>
    <w:p w14:paraId="494094FE" w14:textId="77777777" w:rsidR="00DE64BC" w:rsidRPr="00256982" w:rsidRDefault="00DE64BC" w:rsidP="00A808C7">
      <w:pPr>
        <w:pStyle w:val="BodyText"/>
      </w:pPr>
      <w:r w:rsidRPr="00256982">
        <w:t>New Zealand has established a data collection and modelling programme for the LULUCF sector called the Land Use and Carbon Analysis System (LUCAS). The LUCAS programme includes the:</w:t>
      </w:r>
    </w:p>
    <w:p w14:paraId="4DA0AA11" w14:textId="77777777" w:rsidR="00DE64BC" w:rsidRPr="00256982" w:rsidRDefault="00DE64BC" w:rsidP="0036046B">
      <w:pPr>
        <w:pStyle w:val="Bullet"/>
        <w:numPr>
          <w:ilvl w:val="0"/>
          <w:numId w:val="8"/>
        </w:numPr>
      </w:pPr>
      <w:r w:rsidRPr="00256982">
        <w:t xml:space="preserve">use of field plot measurements for natural and planted forests </w:t>
      </w:r>
    </w:p>
    <w:p w14:paraId="27A92731" w14:textId="77777777" w:rsidR="00DE64BC" w:rsidRPr="00256982" w:rsidRDefault="00DE64BC" w:rsidP="0036046B">
      <w:pPr>
        <w:pStyle w:val="Bullet"/>
        <w:numPr>
          <w:ilvl w:val="0"/>
          <w:numId w:val="8"/>
        </w:numPr>
      </w:pPr>
      <w:r w:rsidRPr="00256982">
        <w:t xml:space="preserve">use of allometric models to estimate carbon stock and carbon stock change in natural and planted forests respectively (Beets et al., unpublished; Holdaway et al., unpublished; Paul et al., unpublished; Paul and Kimberley, unpublished) </w:t>
      </w:r>
    </w:p>
    <w:p w14:paraId="1F51548D" w14:textId="77777777" w:rsidR="00DE64BC" w:rsidRPr="00256982" w:rsidRDefault="00DE64BC" w:rsidP="0036046B">
      <w:pPr>
        <w:pStyle w:val="Bullet"/>
        <w:numPr>
          <w:ilvl w:val="0"/>
          <w:numId w:val="8"/>
        </w:numPr>
      </w:pPr>
      <w:r w:rsidRPr="00256982">
        <w:t>wall-to-wall land use mapping for 1990, 2008, 2012 and 2016 using satellite and aircraft remotely sensed imagery, with additional information on post-1989 forest afforestation and deforestation of planted forest used for estimating the change</w:t>
      </w:r>
    </w:p>
    <w:p w14:paraId="0E255F38" w14:textId="77777777" w:rsidR="00DE64BC" w:rsidRPr="00256982" w:rsidRDefault="00DE64BC" w:rsidP="0036046B">
      <w:pPr>
        <w:pStyle w:val="Bullet"/>
        <w:numPr>
          <w:ilvl w:val="0"/>
          <w:numId w:val="8"/>
        </w:numPr>
      </w:pPr>
      <w:r w:rsidRPr="00256982">
        <w:t>development of databases and applications to store and process all data associated with LULUCF activities.</w:t>
      </w:r>
    </w:p>
    <w:p w14:paraId="4AC2B173" w14:textId="77777777" w:rsidR="00DE64BC" w:rsidRPr="00256982" w:rsidRDefault="00DE64BC" w:rsidP="00A72006">
      <w:pPr>
        <w:pStyle w:val="Heading4"/>
      </w:pPr>
      <w:r w:rsidRPr="00256982">
        <w:t>Waste</w:t>
      </w:r>
    </w:p>
    <w:p w14:paraId="2A1E54E8" w14:textId="77777777" w:rsidR="00DE64BC" w:rsidRPr="00256982" w:rsidRDefault="00DE64BC" w:rsidP="00A808C7">
      <w:pPr>
        <w:pStyle w:val="BodyText"/>
      </w:pPr>
      <w:r w:rsidRPr="00256982">
        <w:t>Activity data have come from a variety of sources. Municipal solid waste disposal data, from mandatory reporting under the Waste Minimisation Act 2008, are used for the years for which they are available (2010 onwards). Activity data for all other sources were based on specific surveys or estimates. Interpolation based on gross domestic product or population is used for other years.</w:t>
      </w:r>
    </w:p>
    <w:p w14:paraId="68AC10BC" w14:textId="77777777" w:rsidR="00DE64BC" w:rsidRPr="00256982" w:rsidRDefault="00DE64BC" w:rsidP="00A808C7">
      <w:pPr>
        <w:pStyle w:val="BodyText"/>
      </w:pPr>
      <w:r w:rsidRPr="00256982">
        <w:t xml:space="preserve">New Zealand uses Tier 2 methodologies for estimating emissions from the </w:t>
      </w:r>
      <w:r w:rsidRPr="00256982">
        <w:rPr>
          <w:i/>
        </w:rPr>
        <w:t>Solid waste disposal</w:t>
      </w:r>
      <w:r w:rsidRPr="00256982">
        <w:t xml:space="preserve"> source category, which is a key category, and for some wastewater emissions. Tier 1 methods are used to estimate most other emissions in the Waste sector.</w:t>
      </w:r>
    </w:p>
    <w:p w14:paraId="2C0AEEF0" w14:textId="77777777" w:rsidR="00DE64BC" w:rsidRPr="00256982" w:rsidRDefault="00DE64BC" w:rsidP="00A808C7">
      <w:pPr>
        <w:pStyle w:val="BodyText"/>
      </w:pPr>
      <w:r w:rsidRPr="00256982">
        <w:lastRenderedPageBreak/>
        <w:t>Country-specific emission factors have been used where available, including parameters for municipal waste and for treatment of some types of industrial wastewater.</w:t>
      </w:r>
    </w:p>
    <w:p w14:paraId="3A7D4395" w14:textId="77777777" w:rsidR="00DE64BC" w:rsidRPr="00256982" w:rsidRDefault="00DE64BC" w:rsidP="001D3490">
      <w:pPr>
        <w:pStyle w:val="Heading2"/>
      </w:pPr>
      <w:bookmarkStart w:id="138" w:name="_Toc352504824"/>
      <w:bookmarkStart w:id="139" w:name="_Toc414531272"/>
      <w:bookmarkStart w:id="140" w:name="_Toc448321493"/>
      <w:bookmarkStart w:id="141" w:name="_Toc511116570"/>
      <w:bookmarkStart w:id="142" w:name="_Toc5269332"/>
      <w:r w:rsidRPr="00256982">
        <w:t>1.5</w:t>
      </w:r>
      <w:r w:rsidRPr="00256982">
        <w:tab/>
        <w:t>Key categories</w:t>
      </w:r>
      <w:bookmarkEnd w:id="138"/>
      <w:bookmarkEnd w:id="139"/>
      <w:bookmarkEnd w:id="140"/>
      <w:bookmarkEnd w:id="141"/>
      <w:bookmarkEnd w:id="142"/>
    </w:p>
    <w:p w14:paraId="72966F29" w14:textId="77777777" w:rsidR="00DE64BC" w:rsidRPr="00256982" w:rsidRDefault="00DE64BC" w:rsidP="001D3490">
      <w:pPr>
        <w:pStyle w:val="Heading3"/>
      </w:pPr>
      <w:r w:rsidRPr="00256982">
        <w:t xml:space="preserve">1.5.1 </w:t>
      </w:r>
      <w:r w:rsidRPr="00256982">
        <w:tab/>
        <w:t>Reporting under the Convention</w:t>
      </w:r>
    </w:p>
    <w:p w14:paraId="10337567" w14:textId="12006BA2" w:rsidR="00DE64BC" w:rsidRPr="00256982" w:rsidRDefault="00DE64BC" w:rsidP="00A808C7">
      <w:pPr>
        <w:pStyle w:val="BodyText"/>
        <w:rPr>
          <w:spacing w:val="-2"/>
        </w:rPr>
      </w:pPr>
      <w:r w:rsidRPr="00256982">
        <w:rPr>
          <w:spacing w:val="-2"/>
        </w:rPr>
        <w:t xml:space="preserve">The 2006 IPCC Guidelines (IPCC, 2006b, Vol 1, section 4.1.1, p 4.5) identify a key category as: </w:t>
      </w:r>
    </w:p>
    <w:p w14:paraId="212BAD7D" w14:textId="77777777" w:rsidR="00DE64BC" w:rsidRPr="00256982" w:rsidRDefault="00DE64BC" w:rsidP="00A808C7">
      <w:pPr>
        <w:pStyle w:val="Quote"/>
      </w:pPr>
      <w:r w:rsidRPr="00256982">
        <w:t xml:space="preserve">…one that is prioritised within the National Inventory System because its estimate has a significant influence on a country’s total Inventory of direct greenhouse gases in terms of the absolute level of emissions, the trend in emissions, or both. </w:t>
      </w:r>
    </w:p>
    <w:p w14:paraId="23AB4950" w14:textId="77777777" w:rsidR="00DE64BC" w:rsidRPr="00256982" w:rsidRDefault="00DE64BC" w:rsidP="00A808C7">
      <w:pPr>
        <w:pStyle w:val="BodyText"/>
      </w:pPr>
      <w:r w:rsidRPr="00256982">
        <w:t>Key categories identified within the inventory are used to prioritise inventory improvements.</w:t>
      </w:r>
    </w:p>
    <w:p w14:paraId="7D283EAD" w14:textId="77777777" w:rsidR="00DE64BC" w:rsidRPr="00256982" w:rsidRDefault="00DE64BC" w:rsidP="00A808C7">
      <w:pPr>
        <w:pStyle w:val="BodyText"/>
      </w:pPr>
      <w:r w:rsidRPr="00256982">
        <w:t xml:space="preserve">Because some categories in the inventory apply default uncertainty values for emission estimates, and developing country-specific uncertainty values is resource prohibitive, the key categories in the inventory have been assessed using the Approach 1 level (L1) and Approach 1 trend (T1) methodologies from the 2006 IPCC Guidelines (IPCC, 2006b). The key category analysis identifies key categories of emissions and removals as those that sum to 95 per cent of the gross or net level of emissions and those that are within the top 95 per cent of the categories that contribute to the change between 1990 and 2017, or the trend of emissions. The key categories identified in the 2017 year are summarised in table 1.5.1. In accordance with the 2006 IPCC Guidelines, the key category analysis is performed once for the inventory including the LULUCF sector and then repeated for the inventory excluding the LULUCF sector. Non-LULUCF categories that are identified as key in the first analysis are still counted even when they are not identified as a key category when the LULUCF sector is included. </w:t>
      </w:r>
    </w:p>
    <w:p w14:paraId="0BF97108" w14:textId="77777777" w:rsidR="00DE64BC" w:rsidRPr="00256982" w:rsidRDefault="00DE64BC" w:rsidP="00A808C7">
      <w:pPr>
        <w:pStyle w:val="BodyText"/>
      </w:pPr>
      <w:r w:rsidRPr="00256982">
        <w:t>The key category analysis performed for the inventory differs from that produced in the CRF tables, because the level of aggregation of categories is adjusted to better reflect New Zealand’s emissions profile. Specifically, a large proportion of emissions from the Energy and Agriculture sectors are disaggregated further than the key category analysis generated in the CRF tables, to allow for a more evenly proportioned analysis of categories.</w:t>
      </w:r>
    </w:p>
    <w:p w14:paraId="7B71EEE2" w14:textId="77777777" w:rsidR="00DE64BC" w:rsidRPr="00256982" w:rsidRDefault="00DE64BC" w:rsidP="00A808C7">
      <w:pPr>
        <w:pStyle w:val="BodyText"/>
      </w:pPr>
      <w:r w:rsidRPr="00256982">
        <w:t>Table 1.5.2(a) identifies that the major contributions to the level analysis of net emissions for 2017 are:</w:t>
      </w:r>
    </w:p>
    <w:p w14:paraId="5CE65008" w14:textId="77777777" w:rsidR="00DE64BC" w:rsidRPr="00256982" w:rsidRDefault="00DE64BC" w:rsidP="0036046B">
      <w:pPr>
        <w:pStyle w:val="Bullet"/>
        <w:numPr>
          <w:ilvl w:val="0"/>
          <w:numId w:val="8"/>
        </w:numPr>
      </w:pPr>
      <w:r w:rsidRPr="00256982">
        <w:t>CO</w:t>
      </w:r>
      <w:r w:rsidRPr="00256982">
        <w:rPr>
          <w:vertAlign w:val="subscript"/>
        </w:rPr>
        <w:t>2</w:t>
      </w:r>
      <w:r w:rsidRPr="00256982">
        <w:t xml:space="preserve"> emissions from </w:t>
      </w:r>
      <w:r w:rsidRPr="00256982">
        <w:rPr>
          <w:i/>
        </w:rPr>
        <w:t>Land Converted to Forest Land</w:t>
      </w:r>
      <w:r w:rsidRPr="00256982">
        <w:t xml:space="preserve"> (14.3 per cent)</w:t>
      </w:r>
    </w:p>
    <w:p w14:paraId="0A992D88" w14:textId="77777777" w:rsidR="00DE64BC" w:rsidRPr="00256982" w:rsidRDefault="00DE64BC" w:rsidP="0036046B">
      <w:pPr>
        <w:pStyle w:val="Bullet"/>
        <w:numPr>
          <w:ilvl w:val="0"/>
          <w:numId w:val="8"/>
        </w:numPr>
      </w:pPr>
      <w:r w:rsidRPr="00256982">
        <w:t>CO</w:t>
      </w:r>
      <w:r w:rsidRPr="00256982">
        <w:rPr>
          <w:vertAlign w:val="subscript"/>
        </w:rPr>
        <w:t>2</w:t>
      </w:r>
      <w:r w:rsidRPr="00256982">
        <w:t xml:space="preserve"> emissions from </w:t>
      </w:r>
      <w:r w:rsidRPr="00256982">
        <w:rPr>
          <w:i/>
        </w:rPr>
        <w:t>Road transportation – liquid fuels</w:t>
      </w:r>
      <w:r w:rsidRPr="00256982">
        <w:t xml:space="preserve"> (12.6 per cent)</w:t>
      </w:r>
    </w:p>
    <w:p w14:paraId="31748017" w14:textId="77777777" w:rsidR="00DE64BC" w:rsidRPr="00256982" w:rsidRDefault="00DE64BC" w:rsidP="0036046B">
      <w:pPr>
        <w:pStyle w:val="Bullet"/>
        <w:numPr>
          <w:ilvl w:val="0"/>
          <w:numId w:val="8"/>
        </w:numPr>
      </w:pPr>
      <w:r w:rsidRPr="00256982">
        <w:t>CH</w:t>
      </w:r>
      <w:r w:rsidRPr="00256982">
        <w:rPr>
          <w:vertAlign w:val="subscript"/>
        </w:rPr>
        <w:t xml:space="preserve">4 </w:t>
      </w:r>
      <w:r w:rsidRPr="00256982">
        <w:t xml:space="preserve">emissions from </w:t>
      </w:r>
      <w:r w:rsidRPr="00256982">
        <w:rPr>
          <w:i/>
        </w:rPr>
        <w:t>Dairy cattle</w:t>
      </w:r>
      <w:r w:rsidRPr="00256982">
        <w:t xml:space="preserve"> – </w:t>
      </w:r>
      <w:r w:rsidRPr="00256982">
        <w:rPr>
          <w:i/>
        </w:rPr>
        <w:t>Enteric fermentation</w:t>
      </w:r>
      <w:r w:rsidRPr="00256982">
        <w:t xml:space="preserve"> (11.9 per cent)</w:t>
      </w:r>
    </w:p>
    <w:p w14:paraId="5D62C959" w14:textId="77777777" w:rsidR="00DE64BC" w:rsidRPr="00256982" w:rsidRDefault="00DE64BC" w:rsidP="0036046B">
      <w:pPr>
        <w:pStyle w:val="Bullet"/>
        <w:numPr>
          <w:ilvl w:val="0"/>
          <w:numId w:val="8"/>
        </w:numPr>
      </w:pPr>
      <w:r w:rsidRPr="00256982">
        <w:t>CH</w:t>
      </w:r>
      <w:r w:rsidRPr="00256982">
        <w:rPr>
          <w:vertAlign w:val="subscript"/>
        </w:rPr>
        <w:t xml:space="preserve">4 </w:t>
      </w:r>
      <w:r w:rsidRPr="00256982">
        <w:t xml:space="preserve">emissions from </w:t>
      </w:r>
      <w:r w:rsidRPr="00256982">
        <w:rPr>
          <w:i/>
        </w:rPr>
        <w:t>Sheep</w:t>
      </w:r>
      <w:r w:rsidRPr="00256982">
        <w:t xml:space="preserve"> – </w:t>
      </w:r>
      <w:r w:rsidRPr="00256982">
        <w:rPr>
          <w:i/>
        </w:rPr>
        <w:t>Enteric fermentation</w:t>
      </w:r>
      <w:r w:rsidRPr="00256982">
        <w:t xml:space="preserve"> (7.3 per cent).</w:t>
      </w:r>
    </w:p>
    <w:p w14:paraId="31D330C0" w14:textId="77777777" w:rsidR="00DE64BC" w:rsidRPr="00256982" w:rsidRDefault="00DE64BC" w:rsidP="00A808C7">
      <w:pPr>
        <w:pStyle w:val="BodyText"/>
      </w:pPr>
      <w:r w:rsidRPr="00256982">
        <w:t>As detailed in table 1.5.3(a), the key categories that were identified as having the largest relative influence on the trend, when compared with the average change in net emissions from 1990 to 2017, are:</w:t>
      </w:r>
    </w:p>
    <w:p w14:paraId="0E02124A" w14:textId="77777777" w:rsidR="00DE64BC" w:rsidRPr="00256982" w:rsidRDefault="00DE64BC" w:rsidP="0036046B">
      <w:pPr>
        <w:pStyle w:val="Bullet"/>
        <w:numPr>
          <w:ilvl w:val="0"/>
          <w:numId w:val="8"/>
        </w:numPr>
      </w:pPr>
      <w:r w:rsidRPr="00256982">
        <w:t>CH</w:t>
      </w:r>
      <w:r w:rsidRPr="00256982">
        <w:rPr>
          <w:vertAlign w:val="subscript"/>
        </w:rPr>
        <w:t>4</w:t>
      </w:r>
      <w:r w:rsidRPr="00256982">
        <w:t xml:space="preserve"> emissions from </w:t>
      </w:r>
      <w:r w:rsidRPr="00256982">
        <w:rPr>
          <w:i/>
        </w:rPr>
        <w:t>Sheep</w:t>
      </w:r>
      <w:r w:rsidRPr="00256982">
        <w:t xml:space="preserve"> – </w:t>
      </w:r>
      <w:r w:rsidRPr="00256982">
        <w:rPr>
          <w:i/>
        </w:rPr>
        <w:t>Enteric fermentation</w:t>
      </w:r>
      <w:r w:rsidRPr="00256982">
        <w:t xml:space="preserve"> </w:t>
      </w:r>
      <w:r w:rsidRPr="00256982">
        <w:rPr>
          <w:spacing w:val="-2"/>
        </w:rPr>
        <w:t>(13.4</w:t>
      </w:r>
      <w:r w:rsidRPr="00256982">
        <w:t xml:space="preserve"> per cent as a decrease)</w:t>
      </w:r>
    </w:p>
    <w:p w14:paraId="008460E0" w14:textId="77777777" w:rsidR="00DE64BC" w:rsidRPr="00256982" w:rsidRDefault="00DE64BC" w:rsidP="0036046B">
      <w:pPr>
        <w:pStyle w:val="Bullet"/>
        <w:numPr>
          <w:ilvl w:val="0"/>
          <w:numId w:val="8"/>
        </w:numPr>
        <w:rPr>
          <w:i/>
        </w:rPr>
      </w:pPr>
      <w:r w:rsidRPr="00256982">
        <w:t>CH</w:t>
      </w:r>
      <w:r w:rsidRPr="00256982">
        <w:rPr>
          <w:vertAlign w:val="subscript"/>
        </w:rPr>
        <w:t>4</w:t>
      </w:r>
      <w:r w:rsidRPr="00256982">
        <w:t xml:space="preserve"> emissions from </w:t>
      </w:r>
      <w:r w:rsidRPr="00256982">
        <w:rPr>
          <w:i/>
        </w:rPr>
        <w:t>Dairy cattle</w:t>
      </w:r>
      <w:r w:rsidRPr="00256982">
        <w:t xml:space="preserve"> – </w:t>
      </w:r>
      <w:r w:rsidRPr="00256982">
        <w:rPr>
          <w:i/>
        </w:rPr>
        <w:t>Enteric fermentation</w:t>
      </w:r>
      <w:r w:rsidRPr="00256982">
        <w:t xml:space="preserve"> (11.4 per cent as an increase)</w:t>
      </w:r>
    </w:p>
    <w:p w14:paraId="7185297E" w14:textId="77777777" w:rsidR="00DE64BC" w:rsidRPr="00256982" w:rsidRDefault="00DE64BC" w:rsidP="0036046B">
      <w:pPr>
        <w:pStyle w:val="Bullet"/>
        <w:numPr>
          <w:ilvl w:val="0"/>
          <w:numId w:val="8"/>
        </w:numPr>
      </w:pPr>
      <w:r w:rsidRPr="00256982">
        <w:t>CO</w:t>
      </w:r>
      <w:r w:rsidRPr="00256982">
        <w:rPr>
          <w:vertAlign w:val="subscript"/>
        </w:rPr>
        <w:t>2</w:t>
      </w:r>
      <w:r w:rsidRPr="00256982">
        <w:t xml:space="preserve"> emissions from </w:t>
      </w:r>
      <w:r w:rsidRPr="00256982">
        <w:rPr>
          <w:i/>
        </w:rPr>
        <w:t>Forest Land Remaining Forest Land</w:t>
      </w:r>
      <w:r w:rsidRPr="00256982">
        <w:t xml:space="preserve"> (11.1 per cent as a decrease)</w:t>
      </w:r>
    </w:p>
    <w:p w14:paraId="1C95C8DA" w14:textId="77777777" w:rsidR="00DE64BC" w:rsidRPr="00256982" w:rsidRDefault="00DE64BC" w:rsidP="0036046B">
      <w:pPr>
        <w:pStyle w:val="Bullet"/>
        <w:numPr>
          <w:ilvl w:val="0"/>
          <w:numId w:val="8"/>
        </w:numPr>
      </w:pPr>
      <w:r w:rsidRPr="00256982">
        <w:t>CO</w:t>
      </w:r>
      <w:r w:rsidRPr="00256982">
        <w:rPr>
          <w:vertAlign w:val="subscript"/>
        </w:rPr>
        <w:t>2</w:t>
      </w:r>
      <w:r w:rsidRPr="00256982">
        <w:t xml:space="preserve"> emissions from </w:t>
      </w:r>
      <w:r w:rsidRPr="00256982">
        <w:rPr>
          <w:i/>
        </w:rPr>
        <w:t>Road transportation – liquid fuels</w:t>
      </w:r>
      <w:r w:rsidRPr="00256982">
        <w:t xml:space="preserve"> (10.4 per cent as an increase).</w:t>
      </w:r>
    </w:p>
    <w:p w14:paraId="39471ECC" w14:textId="77777777" w:rsidR="00DE64BC" w:rsidRPr="00256982" w:rsidRDefault="00DE64BC" w:rsidP="00A808C7">
      <w:pPr>
        <w:pStyle w:val="BodyText"/>
      </w:pPr>
      <w:r w:rsidRPr="00256982">
        <w:t>For gross emissions, table 1.5.2(b) identifies that the major contributions to the level analysis for 2017 are:</w:t>
      </w:r>
    </w:p>
    <w:p w14:paraId="78755C83" w14:textId="77777777" w:rsidR="00DE64BC" w:rsidRPr="00256982" w:rsidRDefault="00DE64BC" w:rsidP="0036046B">
      <w:pPr>
        <w:pStyle w:val="Bullet"/>
        <w:numPr>
          <w:ilvl w:val="0"/>
          <w:numId w:val="8"/>
        </w:numPr>
      </w:pPr>
      <w:r w:rsidRPr="00256982">
        <w:lastRenderedPageBreak/>
        <w:t>CO</w:t>
      </w:r>
      <w:r w:rsidRPr="00256982">
        <w:rPr>
          <w:vertAlign w:val="subscript"/>
        </w:rPr>
        <w:t>2</w:t>
      </w:r>
      <w:r w:rsidRPr="00256982">
        <w:t xml:space="preserve"> emissions from </w:t>
      </w:r>
      <w:r w:rsidRPr="00256982">
        <w:rPr>
          <w:i/>
        </w:rPr>
        <w:t>Road transportation – liquid fuels</w:t>
      </w:r>
      <w:r w:rsidRPr="00256982">
        <w:t xml:space="preserve"> (17.7 per cent)</w:t>
      </w:r>
    </w:p>
    <w:p w14:paraId="496AF6B7" w14:textId="77777777" w:rsidR="00DE64BC" w:rsidRPr="00256982" w:rsidRDefault="00DE64BC" w:rsidP="0036046B">
      <w:pPr>
        <w:pStyle w:val="Bullet"/>
        <w:numPr>
          <w:ilvl w:val="0"/>
          <w:numId w:val="8"/>
        </w:numPr>
      </w:pPr>
      <w:r w:rsidRPr="00256982">
        <w:t>CH</w:t>
      </w:r>
      <w:r w:rsidRPr="00256982">
        <w:rPr>
          <w:vertAlign w:val="subscript"/>
        </w:rPr>
        <w:t xml:space="preserve">4 </w:t>
      </w:r>
      <w:r w:rsidRPr="00256982">
        <w:t xml:space="preserve">emissions from </w:t>
      </w:r>
      <w:r w:rsidRPr="00256982">
        <w:rPr>
          <w:i/>
        </w:rPr>
        <w:t>Dairy cattle</w:t>
      </w:r>
      <w:r w:rsidRPr="00256982">
        <w:t xml:space="preserve"> – </w:t>
      </w:r>
      <w:r w:rsidRPr="00256982">
        <w:rPr>
          <w:i/>
        </w:rPr>
        <w:t>Enteric fermentation</w:t>
      </w:r>
      <w:r w:rsidRPr="00256982">
        <w:t xml:space="preserve"> (16.8 per cent)</w:t>
      </w:r>
    </w:p>
    <w:p w14:paraId="27879E54" w14:textId="77777777" w:rsidR="00DE64BC" w:rsidRPr="00256982" w:rsidRDefault="00DE64BC" w:rsidP="0036046B">
      <w:pPr>
        <w:pStyle w:val="Bullet"/>
        <w:numPr>
          <w:ilvl w:val="0"/>
          <w:numId w:val="8"/>
        </w:numPr>
      </w:pPr>
      <w:r w:rsidRPr="00256982">
        <w:t>CH</w:t>
      </w:r>
      <w:r w:rsidRPr="00256982">
        <w:rPr>
          <w:vertAlign w:val="subscript"/>
        </w:rPr>
        <w:t xml:space="preserve">4 </w:t>
      </w:r>
      <w:r w:rsidRPr="00256982">
        <w:t xml:space="preserve">emissions from </w:t>
      </w:r>
      <w:r w:rsidRPr="00256982">
        <w:rPr>
          <w:i/>
        </w:rPr>
        <w:t>Sheep</w:t>
      </w:r>
      <w:r w:rsidRPr="00256982">
        <w:t xml:space="preserve"> – </w:t>
      </w:r>
      <w:r w:rsidRPr="00256982">
        <w:rPr>
          <w:i/>
        </w:rPr>
        <w:t>Enteric fermentation</w:t>
      </w:r>
      <w:r w:rsidRPr="00256982">
        <w:t xml:space="preserve"> (10.2 per cent)</w:t>
      </w:r>
    </w:p>
    <w:p w14:paraId="18D1B9CF" w14:textId="77777777" w:rsidR="00DE64BC" w:rsidRPr="00256982" w:rsidRDefault="00DE64BC" w:rsidP="0036046B">
      <w:pPr>
        <w:pStyle w:val="Bullet"/>
        <w:numPr>
          <w:ilvl w:val="0"/>
          <w:numId w:val="8"/>
        </w:numPr>
      </w:pPr>
      <w:r w:rsidRPr="00256982">
        <w:t>N</w:t>
      </w:r>
      <w:r w:rsidRPr="00256982">
        <w:rPr>
          <w:vertAlign w:val="subscript"/>
        </w:rPr>
        <w:t>2</w:t>
      </w:r>
      <w:r w:rsidRPr="00256982">
        <w:t>O emissions from Managed Soils – Urine and Dung Deposited by Grazing Animals (6.7 per cent).</w:t>
      </w:r>
    </w:p>
    <w:p w14:paraId="40D20401" w14:textId="77777777" w:rsidR="00DE64BC" w:rsidRPr="00256982" w:rsidRDefault="00DE64BC" w:rsidP="00A808C7">
      <w:pPr>
        <w:pStyle w:val="BodyText"/>
      </w:pPr>
      <w:r w:rsidRPr="00256982">
        <w:t>As detailed in table 1.5.3(b), the key categories that were identified as having the largest relative influence on the trend, when compared with the average change in gross emissions from 1990 to 2017, are:</w:t>
      </w:r>
    </w:p>
    <w:p w14:paraId="53F070FB" w14:textId="77777777" w:rsidR="00DE64BC" w:rsidRPr="00256982" w:rsidRDefault="00DE64BC" w:rsidP="0036046B">
      <w:pPr>
        <w:pStyle w:val="Bullet"/>
        <w:numPr>
          <w:ilvl w:val="0"/>
          <w:numId w:val="8"/>
        </w:numPr>
      </w:pPr>
      <w:r w:rsidRPr="00256982">
        <w:t>CH</w:t>
      </w:r>
      <w:r w:rsidRPr="00256982">
        <w:rPr>
          <w:vertAlign w:val="subscript"/>
        </w:rPr>
        <w:t>4</w:t>
      </w:r>
      <w:r w:rsidRPr="00256982">
        <w:t xml:space="preserve"> emissions from </w:t>
      </w:r>
      <w:r w:rsidRPr="00256982">
        <w:rPr>
          <w:i/>
        </w:rPr>
        <w:t>Sheep</w:t>
      </w:r>
      <w:r w:rsidRPr="00256982">
        <w:t xml:space="preserve"> – </w:t>
      </w:r>
      <w:r w:rsidRPr="00256982">
        <w:rPr>
          <w:i/>
        </w:rPr>
        <w:t>Enteric fermentation</w:t>
      </w:r>
      <w:r w:rsidRPr="00256982">
        <w:t xml:space="preserve"> </w:t>
      </w:r>
      <w:r w:rsidRPr="00256982">
        <w:rPr>
          <w:spacing w:val="-2"/>
        </w:rPr>
        <w:t>(22.3</w:t>
      </w:r>
      <w:r w:rsidRPr="00256982">
        <w:t xml:space="preserve"> per cent as a decrease)</w:t>
      </w:r>
    </w:p>
    <w:p w14:paraId="4A2B2620" w14:textId="77777777" w:rsidR="00DE64BC" w:rsidRPr="00256982" w:rsidRDefault="00DE64BC" w:rsidP="0036046B">
      <w:pPr>
        <w:pStyle w:val="Bullet"/>
        <w:numPr>
          <w:ilvl w:val="0"/>
          <w:numId w:val="8"/>
        </w:numPr>
        <w:rPr>
          <w:i/>
        </w:rPr>
      </w:pPr>
      <w:r w:rsidRPr="00256982">
        <w:t>CH</w:t>
      </w:r>
      <w:r w:rsidRPr="00256982">
        <w:rPr>
          <w:vertAlign w:val="subscript"/>
        </w:rPr>
        <w:t>4</w:t>
      </w:r>
      <w:r w:rsidRPr="00256982">
        <w:t xml:space="preserve"> emissions from </w:t>
      </w:r>
      <w:r w:rsidRPr="00256982">
        <w:rPr>
          <w:i/>
        </w:rPr>
        <w:t>Dairy cattle</w:t>
      </w:r>
      <w:r w:rsidRPr="00256982">
        <w:t xml:space="preserve"> – </w:t>
      </w:r>
      <w:r w:rsidRPr="00256982">
        <w:rPr>
          <w:i/>
        </w:rPr>
        <w:t>Enteric fermentation</w:t>
      </w:r>
      <w:r w:rsidRPr="00256982">
        <w:t xml:space="preserve"> (15.4 per cent as an increase)</w:t>
      </w:r>
    </w:p>
    <w:p w14:paraId="74626467" w14:textId="77777777" w:rsidR="00DE64BC" w:rsidRPr="00256982" w:rsidRDefault="00DE64BC" w:rsidP="0036046B">
      <w:pPr>
        <w:pStyle w:val="Bullet"/>
        <w:numPr>
          <w:ilvl w:val="0"/>
          <w:numId w:val="8"/>
        </w:numPr>
      </w:pPr>
      <w:r w:rsidRPr="00256982">
        <w:t>CO</w:t>
      </w:r>
      <w:r w:rsidRPr="00256982">
        <w:rPr>
          <w:vertAlign w:val="subscript"/>
        </w:rPr>
        <w:t>2</w:t>
      </w:r>
      <w:r w:rsidRPr="00256982">
        <w:t xml:space="preserve"> emissions from </w:t>
      </w:r>
      <w:r w:rsidRPr="00256982">
        <w:rPr>
          <w:i/>
        </w:rPr>
        <w:t>Road transportation – liquid fuels</w:t>
      </w:r>
      <w:r w:rsidRPr="00256982">
        <w:t xml:space="preserve"> (13.6 per cent as an increase)</w:t>
      </w:r>
    </w:p>
    <w:p w14:paraId="7DB2A7E5" w14:textId="77777777" w:rsidR="00DE64BC" w:rsidRPr="00256982" w:rsidRDefault="00DE64BC" w:rsidP="0036046B">
      <w:pPr>
        <w:pStyle w:val="Bullet"/>
        <w:numPr>
          <w:ilvl w:val="0"/>
          <w:numId w:val="8"/>
        </w:numPr>
      </w:pPr>
      <w:r w:rsidRPr="00256982">
        <w:t>CO</w:t>
      </w:r>
      <w:r w:rsidRPr="00256982">
        <w:rPr>
          <w:vertAlign w:val="subscript"/>
        </w:rPr>
        <w:t>2</w:t>
      </w:r>
      <w:r w:rsidRPr="00256982">
        <w:t xml:space="preserve"> emissions from Energy Industries – Manufacture of Solid Fuels and Other Energy Industries – gaseous fuels (4.5 per cent as a decrease).</w:t>
      </w:r>
    </w:p>
    <w:p w14:paraId="49DFEC5C" w14:textId="77777777" w:rsidR="00DE64BC" w:rsidRPr="00256982" w:rsidRDefault="00DE64BC" w:rsidP="00A808C7">
      <w:pPr>
        <w:pStyle w:val="Table"/>
      </w:pPr>
      <w:bookmarkStart w:id="143" w:name="_Toc5269436"/>
      <w:r w:rsidRPr="00256982">
        <w:t xml:space="preserve">Table 1.5.1 </w:t>
      </w:r>
      <w:r w:rsidRPr="00256982">
        <w:tab/>
        <w:t>Summary of New Zealand’s key categories for the 2017 level assessment and the trend assessment for 1990 to 2017 (including and excluding LULUCF activities)</w:t>
      </w:r>
      <w:bookmarkEnd w:id="143"/>
    </w:p>
    <w:tbl>
      <w:tblPr>
        <w:tblW w:w="8562" w:type="dxa"/>
        <w:tblInd w:w="108" w:type="dxa"/>
        <w:tblBorders>
          <w:top w:val="single" w:sz="4" w:space="0" w:color="365F91"/>
          <w:bottom w:val="single" w:sz="4" w:space="0" w:color="365F91"/>
          <w:insideH w:val="single" w:sz="4" w:space="0" w:color="365F91"/>
        </w:tblBorders>
        <w:tblLayout w:type="fixed"/>
        <w:tblCellMar>
          <w:left w:w="85" w:type="dxa"/>
          <w:right w:w="85" w:type="dxa"/>
        </w:tblCellMar>
        <w:tblLook w:val="04A0" w:firstRow="1" w:lastRow="0" w:firstColumn="1" w:lastColumn="0" w:noHBand="0" w:noVBand="1"/>
      </w:tblPr>
      <w:tblGrid>
        <w:gridCol w:w="1284"/>
        <w:gridCol w:w="5379"/>
        <w:gridCol w:w="591"/>
        <w:gridCol w:w="1308"/>
      </w:tblGrid>
      <w:tr w:rsidR="00DE64BC" w:rsidRPr="00256982" w14:paraId="4D89A471" w14:textId="77777777" w:rsidTr="00C463D8">
        <w:trPr>
          <w:tblHeader/>
        </w:trPr>
        <w:tc>
          <w:tcPr>
            <w:tcW w:w="5000" w:type="pct"/>
            <w:gridSpan w:val="4"/>
            <w:shd w:val="clear" w:color="auto" w:fill="1F4E79"/>
            <w:tcMar>
              <w:right w:w="85" w:type="dxa"/>
            </w:tcMar>
            <w:vAlign w:val="bottom"/>
          </w:tcPr>
          <w:p w14:paraId="2E7B5C1E" w14:textId="77777777" w:rsidR="00DE64BC" w:rsidRPr="00256982" w:rsidRDefault="00DE64BC" w:rsidP="00A808C7">
            <w:pPr>
              <w:pStyle w:val="TableTextBold"/>
              <w:rPr>
                <w:noProof w:val="0"/>
                <w:color w:val="FFFFFF"/>
              </w:rPr>
            </w:pPr>
            <w:r w:rsidRPr="00256982">
              <w:rPr>
                <w:noProof w:val="0"/>
                <w:color w:val="FFFFFF"/>
              </w:rPr>
              <w:t>Quantitative method used: IPCC Tier 1</w:t>
            </w:r>
          </w:p>
        </w:tc>
      </w:tr>
      <w:tr w:rsidR="00DE64BC" w:rsidRPr="00256982" w14:paraId="23AD3F4E" w14:textId="77777777" w:rsidTr="00BB670B">
        <w:trPr>
          <w:tblHeader/>
        </w:trPr>
        <w:tc>
          <w:tcPr>
            <w:tcW w:w="750" w:type="pct"/>
            <w:shd w:val="clear" w:color="2E74B5" w:fill="auto"/>
            <w:tcMar>
              <w:right w:w="85" w:type="dxa"/>
            </w:tcMar>
            <w:vAlign w:val="bottom"/>
          </w:tcPr>
          <w:p w14:paraId="34767013" w14:textId="77777777" w:rsidR="00DE64BC" w:rsidRPr="00256982" w:rsidRDefault="00DE64BC" w:rsidP="00A808C7">
            <w:pPr>
              <w:pStyle w:val="TableText"/>
              <w:rPr>
                <w:b/>
              </w:rPr>
            </w:pPr>
            <w:r w:rsidRPr="00256982">
              <w:rPr>
                <w:b/>
              </w:rPr>
              <w:t>CRF category code</w:t>
            </w:r>
          </w:p>
        </w:tc>
        <w:tc>
          <w:tcPr>
            <w:tcW w:w="3141" w:type="pct"/>
            <w:shd w:val="clear" w:color="2E74B5" w:fill="auto"/>
            <w:vAlign w:val="bottom"/>
            <w:hideMark/>
          </w:tcPr>
          <w:p w14:paraId="3EB64765" w14:textId="77777777" w:rsidR="00DE64BC" w:rsidRPr="00256982" w:rsidRDefault="00DE64BC" w:rsidP="00A808C7">
            <w:pPr>
              <w:pStyle w:val="TableText"/>
              <w:rPr>
                <w:b/>
              </w:rPr>
            </w:pPr>
            <w:r w:rsidRPr="00256982">
              <w:rPr>
                <w:b/>
              </w:rPr>
              <w:t>IPCC category</w:t>
            </w:r>
          </w:p>
        </w:tc>
        <w:tc>
          <w:tcPr>
            <w:tcW w:w="345" w:type="pct"/>
            <w:shd w:val="clear" w:color="2E74B5" w:fill="auto"/>
            <w:vAlign w:val="bottom"/>
            <w:hideMark/>
          </w:tcPr>
          <w:p w14:paraId="71DDB3E6" w14:textId="77777777" w:rsidR="00DE64BC" w:rsidRPr="00256982" w:rsidRDefault="00DE64BC" w:rsidP="00A808C7">
            <w:pPr>
              <w:pStyle w:val="TableText"/>
              <w:jc w:val="center"/>
              <w:rPr>
                <w:b/>
              </w:rPr>
            </w:pPr>
            <w:r w:rsidRPr="00256982">
              <w:rPr>
                <w:b/>
              </w:rPr>
              <w:t>Gas</w:t>
            </w:r>
          </w:p>
        </w:tc>
        <w:tc>
          <w:tcPr>
            <w:tcW w:w="764" w:type="pct"/>
            <w:shd w:val="clear" w:color="2E74B5" w:fill="auto"/>
            <w:vAlign w:val="bottom"/>
            <w:hideMark/>
          </w:tcPr>
          <w:p w14:paraId="614B5FF6" w14:textId="77777777" w:rsidR="00DE64BC" w:rsidRPr="00256982" w:rsidRDefault="00DE64BC" w:rsidP="00A808C7">
            <w:pPr>
              <w:pStyle w:val="TableText"/>
              <w:rPr>
                <w:b/>
              </w:rPr>
            </w:pPr>
            <w:r w:rsidRPr="00256982">
              <w:rPr>
                <w:b/>
              </w:rPr>
              <w:t>Criteria for identification</w:t>
            </w:r>
            <w:r w:rsidRPr="00256982">
              <w:rPr>
                <w:rStyle w:val="FootnoteReference"/>
                <w:b/>
              </w:rPr>
              <w:footnoteReference w:id="17"/>
            </w:r>
          </w:p>
        </w:tc>
      </w:tr>
      <w:tr w:rsidR="00DE64BC" w:rsidRPr="00256982" w14:paraId="5BA989B5" w14:textId="77777777" w:rsidTr="00BB670B">
        <w:tc>
          <w:tcPr>
            <w:tcW w:w="750" w:type="pct"/>
            <w:tcMar>
              <w:right w:w="85" w:type="dxa"/>
            </w:tcMar>
          </w:tcPr>
          <w:p w14:paraId="48624C22" w14:textId="77777777" w:rsidR="00DE64BC" w:rsidRPr="00256982" w:rsidRDefault="00DE64BC" w:rsidP="00A808C7">
            <w:pPr>
              <w:pStyle w:val="TableText"/>
              <w:rPr>
                <w:b/>
              </w:rPr>
            </w:pPr>
            <w:r w:rsidRPr="00256982">
              <w:rPr>
                <w:b/>
              </w:rPr>
              <w:t>Energy</w:t>
            </w:r>
          </w:p>
        </w:tc>
        <w:tc>
          <w:tcPr>
            <w:tcW w:w="3141" w:type="pct"/>
            <w:shd w:val="clear" w:color="auto" w:fill="auto"/>
          </w:tcPr>
          <w:p w14:paraId="7E0F820C" w14:textId="77777777" w:rsidR="00DE64BC" w:rsidRPr="00256982" w:rsidRDefault="00DE64BC" w:rsidP="00A808C7">
            <w:pPr>
              <w:pStyle w:val="TableText"/>
              <w:rPr>
                <w:b/>
              </w:rPr>
            </w:pPr>
          </w:p>
        </w:tc>
        <w:tc>
          <w:tcPr>
            <w:tcW w:w="345" w:type="pct"/>
            <w:shd w:val="clear" w:color="auto" w:fill="auto"/>
          </w:tcPr>
          <w:p w14:paraId="33FD146D" w14:textId="77777777" w:rsidR="00DE64BC" w:rsidRPr="00256982" w:rsidRDefault="00DE64BC" w:rsidP="00A808C7">
            <w:pPr>
              <w:pStyle w:val="TableText"/>
              <w:jc w:val="center"/>
              <w:rPr>
                <w:b/>
              </w:rPr>
            </w:pPr>
          </w:p>
        </w:tc>
        <w:tc>
          <w:tcPr>
            <w:tcW w:w="764" w:type="pct"/>
            <w:shd w:val="clear" w:color="auto" w:fill="auto"/>
          </w:tcPr>
          <w:p w14:paraId="0F055C10" w14:textId="77777777" w:rsidR="00DE64BC" w:rsidRPr="00256982" w:rsidRDefault="00DE64BC" w:rsidP="00A808C7">
            <w:pPr>
              <w:pStyle w:val="TableText"/>
              <w:rPr>
                <w:b/>
              </w:rPr>
            </w:pPr>
          </w:p>
        </w:tc>
      </w:tr>
      <w:tr w:rsidR="00DE64BC" w:rsidRPr="00256982" w14:paraId="490C1DFE" w14:textId="77777777" w:rsidTr="00BB670B">
        <w:tc>
          <w:tcPr>
            <w:tcW w:w="750" w:type="pct"/>
            <w:tcMar>
              <w:right w:w="85" w:type="dxa"/>
            </w:tcMar>
          </w:tcPr>
          <w:p w14:paraId="1214D1ED" w14:textId="77777777" w:rsidR="00DE64BC" w:rsidRPr="00256982" w:rsidRDefault="00DE64BC" w:rsidP="00A808C7">
            <w:pPr>
              <w:pStyle w:val="TableText"/>
              <w:rPr>
                <w:rFonts w:cs="Arial"/>
                <w:szCs w:val="16"/>
              </w:rPr>
            </w:pPr>
            <w:r w:rsidRPr="00256982">
              <w:rPr>
                <w:rFonts w:cs="Arial"/>
                <w:color w:val="000000"/>
                <w:szCs w:val="16"/>
              </w:rPr>
              <w:t>1.A.1.a</w:t>
            </w:r>
          </w:p>
        </w:tc>
        <w:tc>
          <w:tcPr>
            <w:tcW w:w="3141" w:type="pct"/>
            <w:shd w:val="clear" w:color="auto" w:fill="auto"/>
          </w:tcPr>
          <w:p w14:paraId="43C63D86" w14:textId="77777777" w:rsidR="00DE64BC" w:rsidRPr="00256982" w:rsidRDefault="00DE64BC" w:rsidP="00A808C7">
            <w:pPr>
              <w:pStyle w:val="TableText"/>
              <w:rPr>
                <w:rFonts w:cs="Arial"/>
                <w:szCs w:val="16"/>
              </w:rPr>
            </w:pPr>
            <w:r w:rsidRPr="00256982">
              <w:rPr>
                <w:rFonts w:cs="Arial"/>
                <w:color w:val="000000"/>
                <w:szCs w:val="16"/>
              </w:rPr>
              <w:t>Energy Industries – Public Electricity and Heat Production Gaseous Fuels</w:t>
            </w:r>
          </w:p>
        </w:tc>
        <w:tc>
          <w:tcPr>
            <w:tcW w:w="345" w:type="pct"/>
            <w:shd w:val="clear" w:color="auto" w:fill="auto"/>
            <w:noWrap/>
          </w:tcPr>
          <w:p w14:paraId="27332203" w14:textId="77777777" w:rsidR="00DE64BC" w:rsidRPr="00256982" w:rsidRDefault="00DE64BC" w:rsidP="00A808C7">
            <w:pPr>
              <w:pStyle w:val="TableText"/>
              <w:jc w:val="center"/>
              <w:rPr>
                <w:rFonts w:cs="Arial"/>
                <w:color w:val="000000"/>
                <w:szCs w:val="16"/>
              </w:rPr>
            </w:pPr>
            <w:r w:rsidRPr="00256982">
              <w:rPr>
                <w:rFonts w:cs="Arial"/>
                <w:color w:val="000000"/>
                <w:szCs w:val="16"/>
              </w:rPr>
              <w:t>CO</w:t>
            </w:r>
            <w:r w:rsidRPr="00256982">
              <w:rPr>
                <w:rFonts w:cs="Arial"/>
                <w:color w:val="000000"/>
                <w:szCs w:val="16"/>
                <w:vertAlign w:val="subscript"/>
              </w:rPr>
              <w:t>2</w:t>
            </w:r>
          </w:p>
        </w:tc>
        <w:tc>
          <w:tcPr>
            <w:tcW w:w="764" w:type="pct"/>
            <w:shd w:val="clear" w:color="auto" w:fill="auto"/>
            <w:noWrap/>
          </w:tcPr>
          <w:p w14:paraId="6FAC88E1" w14:textId="77777777" w:rsidR="00DE64BC" w:rsidRPr="00256982" w:rsidRDefault="00DE64BC" w:rsidP="00A808C7">
            <w:pPr>
              <w:pStyle w:val="TableText"/>
              <w:rPr>
                <w:rFonts w:cs="Arial"/>
                <w:color w:val="000000"/>
                <w:szCs w:val="16"/>
              </w:rPr>
            </w:pPr>
            <w:r w:rsidRPr="00256982">
              <w:rPr>
                <w:rFonts w:cs="Arial"/>
                <w:color w:val="000000"/>
                <w:szCs w:val="16"/>
              </w:rPr>
              <w:t>L1, T1</w:t>
            </w:r>
          </w:p>
        </w:tc>
      </w:tr>
      <w:tr w:rsidR="00DE64BC" w:rsidRPr="00256982" w14:paraId="78196EDD" w14:textId="77777777" w:rsidTr="00BB670B">
        <w:tc>
          <w:tcPr>
            <w:tcW w:w="750" w:type="pct"/>
            <w:tcMar>
              <w:right w:w="85" w:type="dxa"/>
            </w:tcMar>
          </w:tcPr>
          <w:p w14:paraId="70E775A8" w14:textId="77777777" w:rsidR="00DE64BC" w:rsidRPr="00256982" w:rsidRDefault="00DE64BC" w:rsidP="00A808C7">
            <w:pPr>
              <w:pStyle w:val="TableText"/>
              <w:rPr>
                <w:rFonts w:cs="Arial"/>
                <w:szCs w:val="16"/>
              </w:rPr>
            </w:pPr>
            <w:r w:rsidRPr="00256982">
              <w:rPr>
                <w:rFonts w:cs="Arial"/>
                <w:color w:val="000000"/>
                <w:szCs w:val="16"/>
              </w:rPr>
              <w:t>1.A.1.a</w:t>
            </w:r>
          </w:p>
        </w:tc>
        <w:tc>
          <w:tcPr>
            <w:tcW w:w="3141" w:type="pct"/>
            <w:shd w:val="clear" w:color="auto" w:fill="auto"/>
          </w:tcPr>
          <w:p w14:paraId="7A99ACCF" w14:textId="77777777" w:rsidR="00DE64BC" w:rsidRPr="00256982" w:rsidRDefault="00DE64BC" w:rsidP="00A808C7">
            <w:pPr>
              <w:pStyle w:val="TableText"/>
              <w:rPr>
                <w:rFonts w:cs="Arial"/>
                <w:szCs w:val="16"/>
              </w:rPr>
            </w:pPr>
            <w:r w:rsidRPr="00256982">
              <w:rPr>
                <w:rFonts w:cs="Arial"/>
                <w:color w:val="000000"/>
                <w:szCs w:val="16"/>
              </w:rPr>
              <w:t>Energy Industries – Public Electricity and Heat Production Solid Fuels</w:t>
            </w:r>
          </w:p>
        </w:tc>
        <w:tc>
          <w:tcPr>
            <w:tcW w:w="345" w:type="pct"/>
            <w:shd w:val="clear" w:color="auto" w:fill="auto"/>
            <w:noWrap/>
          </w:tcPr>
          <w:p w14:paraId="748767EC" w14:textId="77777777" w:rsidR="00DE64BC" w:rsidRPr="00256982" w:rsidRDefault="00DE64BC" w:rsidP="00A808C7">
            <w:pPr>
              <w:pStyle w:val="TableText"/>
              <w:jc w:val="center"/>
              <w:rPr>
                <w:rFonts w:cs="Arial"/>
                <w:color w:val="000000"/>
                <w:szCs w:val="16"/>
              </w:rPr>
            </w:pPr>
            <w:r w:rsidRPr="00256982">
              <w:rPr>
                <w:rFonts w:cs="Arial"/>
                <w:color w:val="000000"/>
                <w:szCs w:val="16"/>
              </w:rPr>
              <w:t>CO</w:t>
            </w:r>
            <w:r w:rsidRPr="00256982">
              <w:rPr>
                <w:rFonts w:cs="Arial"/>
                <w:color w:val="000000"/>
                <w:szCs w:val="16"/>
                <w:vertAlign w:val="subscript"/>
              </w:rPr>
              <w:t>2</w:t>
            </w:r>
          </w:p>
        </w:tc>
        <w:tc>
          <w:tcPr>
            <w:tcW w:w="764" w:type="pct"/>
            <w:shd w:val="clear" w:color="auto" w:fill="auto"/>
            <w:noWrap/>
          </w:tcPr>
          <w:p w14:paraId="09AACA24" w14:textId="77777777" w:rsidR="00DE64BC" w:rsidRPr="00256982" w:rsidRDefault="00DE64BC" w:rsidP="00A808C7">
            <w:pPr>
              <w:pStyle w:val="TableText"/>
              <w:rPr>
                <w:rFonts w:cs="Arial"/>
                <w:color w:val="000000"/>
                <w:szCs w:val="16"/>
              </w:rPr>
            </w:pPr>
            <w:r w:rsidRPr="00256982">
              <w:rPr>
                <w:rFonts w:cs="Arial"/>
                <w:color w:val="000000"/>
                <w:szCs w:val="16"/>
              </w:rPr>
              <w:t>L1</w:t>
            </w:r>
          </w:p>
        </w:tc>
      </w:tr>
      <w:tr w:rsidR="00DE64BC" w:rsidRPr="00256982" w14:paraId="0933E5A3" w14:textId="77777777" w:rsidTr="00BB670B">
        <w:tc>
          <w:tcPr>
            <w:tcW w:w="750" w:type="pct"/>
            <w:tcMar>
              <w:right w:w="85" w:type="dxa"/>
            </w:tcMar>
          </w:tcPr>
          <w:p w14:paraId="02BEFF70" w14:textId="77777777" w:rsidR="00DE64BC" w:rsidRPr="00256982" w:rsidRDefault="00DE64BC" w:rsidP="00A808C7">
            <w:pPr>
              <w:pStyle w:val="TableText"/>
              <w:rPr>
                <w:rFonts w:cs="Arial"/>
                <w:szCs w:val="16"/>
              </w:rPr>
            </w:pPr>
            <w:r w:rsidRPr="00256982">
              <w:rPr>
                <w:rFonts w:cs="Arial"/>
                <w:color w:val="000000"/>
                <w:szCs w:val="16"/>
              </w:rPr>
              <w:t>1.A.1.b</w:t>
            </w:r>
          </w:p>
        </w:tc>
        <w:tc>
          <w:tcPr>
            <w:tcW w:w="3141" w:type="pct"/>
            <w:shd w:val="clear" w:color="auto" w:fill="auto"/>
          </w:tcPr>
          <w:p w14:paraId="745A1592" w14:textId="77777777" w:rsidR="00DE64BC" w:rsidRPr="00256982" w:rsidRDefault="00DE64BC" w:rsidP="00A808C7">
            <w:pPr>
              <w:pStyle w:val="TableText"/>
              <w:rPr>
                <w:rFonts w:cs="Arial"/>
                <w:szCs w:val="16"/>
              </w:rPr>
            </w:pPr>
            <w:r w:rsidRPr="00256982">
              <w:rPr>
                <w:rFonts w:cs="Arial"/>
                <w:color w:val="000000"/>
                <w:szCs w:val="16"/>
              </w:rPr>
              <w:t>Energy Industries – Petroleum Refining Liquid Fuels</w:t>
            </w:r>
          </w:p>
        </w:tc>
        <w:tc>
          <w:tcPr>
            <w:tcW w:w="345" w:type="pct"/>
            <w:shd w:val="clear" w:color="auto" w:fill="auto"/>
            <w:noWrap/>
          </w:tcPr>
          <w:p w14:paraId="3EFA707C" w14:textId="77777777" w:rsidR="00DE64BC" w:rsidRPr="00256982" w:rsidRDefault="00DE64BC" w:rsidP="00A808C7">
            <w:pPr>
              <w:pStyle w:val="TableText"/>
              <w:jc w:val="center"/>
              <w:rPr>
                <w:rFonts w:cs="Arial"/>
                <w:color w:val="000000"/>
                <w:szCs w:val="16"/>
              </w:rPr>
            </w:pPr>
            <w:r w:rsidRPr="00256982">
              <w:rPr>
                <w:rFonts w:cs="Arial"/>
                <w:color w:val="000000"/>
                <w:szCs w:val="16"/>
              </w:rPr>
              <w:t>CO</w:t>
            </w:r>
            <w:r w:rsidRPr="00256982">
              <w:rPr>
                <w:rFonts w:cs="Arial"/>
                <w:color w:val="000000"/>
                <w:szCs w:val="16"/>
                <w:vertAlign w:val="subscript"/>
              </w:rPr>
              <w:t>2</w:t>
            </w:r>
          </w:p>
        </w:tc>
        <w:tc>
          <w:tcPr>
            <w:tcW w:w="764" w:type="pct"/>
            <w:shd w:val="clear" w:color="auto" w:fill="auto"/>
            <w:noWrap/>
          </w:tcPr>
          <w:p w14:paraId="28BA2BED" w14:textId="77777777" w:rsidR="00DE64BC" w:rsidRPr="00256982" w:rsidRDefault="00DE64BC" w:rsidP="00A808C7">
            <w:pPr>
              <w:pStyle w:val="TableText"/>
              <w:rPr>
                <w:rFonts w:cs="Arial"/>
                <w:color w:val="000000"/>
                <w:szCs w:val="16"/>
              </w:rPr>
            </w:pPr>
            <w:r w:rsidRPr="00256982">
              <w:rPr>
                <w:rFonts w:cs="Arial"/>
                <w:color w:val="000000"/>
                <w:szCs w:val="16"/>
              </w:rPr>
              <w:t>L1, T1</w:t>
            </w:r>
          </w:p>
        </w:tc>
      </w:tr>
      <w:tr w:rsidR="00DE64BC" w:rsidRPr="00256982" w14:paraId="77221749" w14:textId="77777777" w:rsidTr="00BB670B">
        <w:tc>
          <w:tcPr>
            <w:tcW w:w="750" w:type="pct"/>
            <w:tcMar>
              <w:right w:w="85" w:type="dxa"/>
            </w:tcMar>
          </w:tcPr>
          <w:p w14:paraId="26FD5D15" w14:textId="77777777" w:rsidR="00DE64BC" w:rsidRPr="00256982" w:rsidRDefault="00DE64BC" w:rsidP="00A808C7">
            <w:pPr>
              <w:pStyle w:val="TableText"/>
              <w:rPr>
                <w:rFonts w:cs="Arial"/>
                <w:szCs w:val="16"/>
              </w:rPr>
            </w:pPr>
            <w:r w:rsidRPr="00256982">
              <w:rPr>
                <w:rFonts w:cs="Arial"/>
                <w:color w:val="000000"/>
                <w:szCs w:val="16"/>
              </w:rPr>
              <w:t>1.A.1.b</w:t>
            </w:r>
          </w:p>
        </w:tc>
        <w:tc>
          <w:tcPr>
            <w:tcW w:w="3141" w:type="pct"/>
            <w:shd w:val="clear" w:color="auto" w:fill="auto"/>
          </w:tcPr>
          <w:p w14:paraId="60E8B150" w14:textId="77777777" w:rsidR="00DE64BC" w:rsidRPr="00256982" w:rsidRDefault="00DE64BC" w:rsidP="00A808C7">
            <w:pPr>
              <w:pStyle w:val="TableText"/>
              <w:rPr>
                <w:rFonts w:cs="Arial"/>
                <w:szCs w:val="16"/>
              </w:rPr>
            </w:pPr>
            <w:r w:rsidRPr="00256982">
              <w:rPr>
                <w:rFonts w:cs="Arial"/>
                <w:color w:val="000000"/>
                <w:szCs w:val="16"/>
              </w:rPr>
              <w:t>Energy Industries – Petroleum Refining Gaseous Fuels</w:t>
            </w:r>
          </w:p>
        </w:tc>
        <w:tc>
          <w:tcPr>
            <w:tcW w:w="345" w:type="pct"/>
            <w:shd w:val="clear" w:color="auto" w:fill="auto"/>
            <w:noWrap/>
          </w:tcPr>
          <w:p w14:paraId="59E73D3A" w14:textId="77777777" w:rsidR="00DE64BC" w:rsidRPr="00256982" w:rsidRDefault="00DE64BC" w:rsidP="00A808C7">
            <w:pPr>
              <w:pStyle w:val="TableText"/>
              <w:jc w:val="center"/>
              <w:rPr>
                <w:rFonts w:cs="Arial"/>
                <w:color w:val="000000"/>
                <w:szCs w:val="16"/>
              </w:rPr>
            </w:pPr>
            <w:r w:rsidRPr="00256982">
              <w:rPr>
                <w:rFonts w:cs="Arial"/>
                <w:color w:val="000000"/>
                <w:szCs w:val="16"/>
              </w:rPr>
              <w:t>CO</w:t>
            </w:r>
            <w:r w:rsidRPr="00256982">
              <w:rPr>
                <w:rFonts w:cs="Arial"/>
                <w:color w:val="000000"/>
                <w:szCs w:val="16"/>
                <w:vertAlign w:val="subscript"/>
              </w:rPr>
              <w:t>2</w:t>
            </w:r>
          </w:p>
        </w:tc>
        <w:tc>
          <w:tcPr>
            <w:tcW w:w="764" w:type="pct"/>
            <w:shd w:val="clear" w:color="auto" w:fill="auto"/>
            <w:noWrap/>
          </w:tcPr>
          <w:p w14:paraId="1724BAE1" w14:textId="77777777" w:rsidR="00DE64BC" w:rsidRPr="00256982" w:rsidRDefault="00DE64BC" w:rsidP="00A808C7">
            <w:pPr>
              <w:pStyle w:val="TableText"/>
              <w:rPr>
                <w:rFonts w:cs="Arial"/>
                <w:color w:val="000000"/>
                <w:szCs w:val="16"/>
              </w:rPr>
            </w:pPr>
            <w:r w:rsidRPr="00256982">
              <w:rPr>
                <w:rFonts w:cs="Arial"/>
                <w:color w:val="000000"/>
                <w:szCs w:val="16"/>
              </w:rPr>
              <w:t>T1</w:t>
            </w:r>
          </w:p>
        </w:tc>
      </w:tr>
      <w:tr w:rsidR="00DE64BC" w:rsidRPr="00256982" w14:paraId="100BC2D0" w14:textId="77777777" w:rsidTr="00BB670B">
        <w:tc>
          <w:tcPr>
            <w:tcW w:w="750" w:type="pct"/>
            <w:tcMar>
              <w:right w:w="85" w:type="dxa"/>
            </w:tcMar>
          </w:tcPr>
          <w:p w14:paraId="71E44BA5" w14:textId="77777777" w:rsidR="00DE64BC" w:rsidRPr="00256982" w:rsidRDefault="00DE64BC" w:rsidP="00A808C7">
            <w:pPr>
              <w:pStyle w:val="TableText"/>
              <w:rPr>
                <w:rFonts w:cs="Arial"/>
                <w:szCs w:val="16"/>
              </w:rPr>
            </w:pPr>
            <w:r w:rsidRPr="00256982">
              <w:rPr>
                <w:rFonts w:cs="Arial"/>
                <w:color w:val="000000"/>
                <w:szCs w:val="16"/>
              </w:rPr>
              <w:t>1.A.1.c</w:t>
            </w:r>
          </w:p>
        </w:tc>
        <w:tc>
          <w:tcPr>
            <w:tcW w:w="3141" w:type="pct"/>
            <w:shd w:val="clear" w:color="auto" w:fill="auto"/>
          </w:tcPr>
          <w:p w14:paraId="5E36EA28" w14:textId="77777777" w:rsidR="00DE64BC" w:rsidRPr="00256982" w:rsidRDefault="00DE64BC" w:rsidP="00A808C7">
            <w:pPr>
              <w:pStyle w:val="TableText"/>
              <w:rPr>
                <w:rFonts w:cs="Arial"/>
                <w:szCs w:val="16"/>
              </w:rPr>
            </w:pPr>
            <w:r w:rsidRPr="00256982">
              <w:rPr>
                <w:rFonts w:cs="Arial"/>
                <w:color w:val="000000"/>
                <w:szCs w:val="16"/>
              </w:rPr>
              <w:t>Energy Industries – Manufacture of Solid Fuels and Other Energy Industries Gaseous fuels</w:t>
            </w:r>
          </w:p>
        </w:tc>
        <w:tc>
          <w:tcPr>
            <w:tcW w:w="345" w:type="pct"/>
            <w:shd w:val="clear" w:color="auto" w:fill="auto"/>
            <w:noWrap/>
          </w:tcPr>
          <w:p w14:paraId="7BC1EC0D" w14:textId="77777777" w:rsidR="00DE64BC" w:rsidRPr="00256982" w:rsidRDefault="00DE64BC" w:rsidP="00A808C7">
            <w:pPr>
              <w:pStyle w:val="TableText"/>
              <w:jc w:val="center"/>
              <w:rPr>
                <w:rFonts w:cs="Arial"/>
                <w:color w:val="000000"/>
                <w:szCs w:val="16"/>
              </w:rPr>
            </w:pPr>
            <w:r w:rsidRPr="00256982">
              <w:rPr>
                <w:rFonts w:cs="Arial"/>
                <w:color w:val="000000"/>
                <w:szCs w:val="16"/>
              </w:rPr>
              <w:t>CO</w:t>
            </w:r>
            <w:r w:rsidRPr="00256982">
              <w:rPr>
                <w:rFonts w:cs="Arial"/>
                <w:color w:val="000000"/>
                <w:szCs w:val="16"/>
                <w:vertAlign w:val="subscript"/>
              </w:rPr>
              <w:t>2</w:t>
            </w:r>
          </w:p>
        </w:tc>
        <w:tc>
          <w:tcPr>
            <w:tcW w:w="764" w:type="pct"/>
            <w:shd w:val="clear" w:color="auto" w:fill="auto"/>
            <w:noWrap/>
          </w:tcPr>
          <w:p w14:paraId="5989A1A9" w14:textId="77777777" w:rsidR="00DE64BC" w:rsidRPr="00256982" w:rsidRDefault="00DE64BC" w:rsidP="00A808C7">
            <w:pPr>
              <w:pStyle w:val="TableText"/>
              <w:rPr>
                <w:rFonts w:cs="Arial"/>
                <w:color w:val="000000"/>
                <w:szCs w:val="16"/>
              </w:rPr>
            </w:pPr>
            <w:r w:rsidRPr="00256982">
              <w:rPr>
                <w:rFonts w:cs="Arial"/>
                <w:color w:val="000000"/>
                <w:szCs w:val="16"/>
              </w:rPr>
              <w:t>L1, T1</w:t>
            </w:r>
          </w:p>
        </w:tc>
      </w:tr>
      <w:tr w:rsidR="00DE64BC" w:rsidRPr="00256982" w14:paraId="7CFA57DC" w14:textId="77777777" w:rsidTr="00BB670B">
        <w:tc>
          <w:tcPr>
            <w:tcW w:w="750" w:type="pct"/>
            <w:tcMar>
              <w:right w:w="85" w:type="dxa"/>
            </w:tcMar>
          </w:tcPr>
          <w:p w14:paraId="2E3D670D" w14:textId="77777777" w:rsidR="00DE64BC" w:rsidRPr="00256982" w:rsidRDefault="00DE64BC" w:rsidP="00A808C7">
            <w:pPr>
              <w:pStyle w:val="TableText"/>
              <w:rPr>
                <w:rFonts w:cs="Arial"/>
                <w:szCs w:val="16"/>
              </w:rPr>
            </w:pPr>
            <w:r w:rsidRPr="00256982">
              <w:rPr>
                <w:rFonts w:cs="Arial"/>
                <w:color w:val="000000"/>
                <w:szCs w:val="16"/>
              </w:rPr>
              <w:t>1.A.2.c</w:t>
            </w:r>
          </w:p>
        </w:tc>
        <w:tc>
          <w:tcPr>
            <w:tcW w:w="3141" w:type="pct"/>
            <w:shd w:val="clear" w:color="auto" w:fill="auto"/>
          </w:tcPr>
          <w:p w14:paraId="04A72E20" w14:textId="77777777" w:rsidR="00DE64BC" w:rsidRPr="00256982" w:rsidRDefault="00DE64BC" w:rsidP="00A808C7">
            <w:pPr>
              <w:pStyle w:val="TableText"/>
              <w:rPr>
                <w:rFonts w:cs="Arial"/>
                <w:szCs w:val="16"/>
              </w:rPr>
            </w:pPr>
            <w:r w:rsidRPr="00256982">
              <w:rPr>
                <w:rFonts w:cs="Arial"/>
                <w:color w:val="000000"/>
                <w:szCs w:val="16"/>
              </w:rPr>
              <w:t>Manufacturing Industries and Construction – Chemicals Gaseous Fuels</w:t>
            </w:r>
          </w:p>
        </w:tc>
        <w:tc>
          <w:tcPr>
            <w:tcW w:w="345" w:type="pct"/>
            <w:shd w:val="clear" w:color="auto" w:fill="auto"/>
            <w:noWrap/>
          </w:tcPr>
          <w:p w14:paraId="1CA13148" w14:textId="77777777" w:rsidR="00DE64BC" w:rsidRPr="00256982" w:rsidRDefault="00DE64BC" w:rsidP="00A808C7">
            <w:pPr>
              <w:pStyle w:val="TableText"/>
              <w:jc w:val="center"/>
              <w:rPr>
                <w:rFonts w:cs="Arial"/>
                <w:color w:val="000000"/>
                <w:szCs w:val="16"/>
              </w:rPr>
            </w:pPr>
            <w:r w:rsidRPr="00256982">
              <w:rPr>
                <w:rFonts w:cs="Arial"/>
                <w:color w:val="000000"/>
                <w:szCs w:val="16"/>
              </w:rPr>
              <w:t>CO</w:t>
            </w:r>
            <w:r w:rsidRPr="00256982">
              <w:rPr>
                <w:rFonts w:cs="Arial"/>
                <w:color w:val="000000"/>
                <w:szCs w:val="16"/>
                <w:vertAlign w:val="subscript"/>
              </w:rPr>
              <w:t>2</w:t>
            </w:r>
          </w:p>
        </w:tc>
        <w:tc>
          <w:tcPr>
            <w:tcW w:w="764" w:type="pct"/>
            <w:shd w:val="clear" w:color="auto" w:fill="auto"/>
            <w:noWrap/>
          </w:tcPr>
          <w:p w14:paraId="6EEC5EB6" w14:textId="77777777" w:rsidR="00DE64BC" w:rsidRPr="00256982" w:rsidRDefault="00DE64BC" w:rsidP="00A808C7">
            <w:pPr>
              <w:pStyle w:val="TableText"/>
              <w:rPr>
                <w:rFonts w:cs="Arial"/>
                <w:color w:val="000000"/>
                <w:szCs w:val="16"/>
              </w:rPr>
            </w:pPr>
            <w:r w:rsidRPr="00256982">
              <w:rPr>
                <w:rFonts w:cs="Arial"/>
                <w:color w:val="000000"/>
                <w:szCs w:val="16"/>
              </w:rPr>
              <w:t>L1, T1</w:t>
            </w:r>
          </w:p>
        </w:tc>
      </w:tr>
      <w:tr w:rsidR="00DE64BC" w:rsidRPr="00256982" w14:paraId="45FB1A67" w14:textId="77777777" w:rsidTr="00BB670B">
        <w:tc>
          <w:tcPr>
            <w:tcW w:w="750" w:type="pct"/>
            <w:tcMar>
              <w:right w:w="85" w:type="dxa"/>
            </w:tcMar>
          </w:tcPr>
          <w:p w14:paraId="2B099AEB" w14:textId="77777777" w:rsidR="00DE64BC" w:rsidRPr="00256982" w:rsidRDefault="00DE64BC" w:rsidP="00A808C7">
            <w:pPr>
              <w:pStyle w:val="TableText"/>
              <w:rPr>
                <w:rFonts w:cs="Arial"/>
                <w:szCs w:val="16"/>
              </w:rPr>
            </w:pPr>
            <w:r w:rsidRPr="00256982">
              <w:rPr>
                <w:rFonts w:cs="Arial"/>
                <w:color w:val="000000"/>
                <w:szCs w:val="16"/>
              </w:rPr>
              <w:t>1.A.2.d</w:t>
            </w:r>
          </w:p>
        </w:tc>
        <w:tc>
          <w:tcPr>
            <w:tcW w:w="3141" w:type="pct"/>
            <w:shd w:val="clear" w:color="auto" w:fill="auto"/>
          </w:tcPr>
          <w:p w14:paraId="2A88F6EC" w14:textId="77777777" w:rsidR="00DE64BC" w:rsidRPr="00256982" w:rsidRDefault="00DE64BC" w:rsidP="00A808C7">
            <w:pPr>
              <w:pStyle w:val="TableText"/>
              <w:rPr>
                <w:rFonts w:cs="Arial"/>
                <w:szCs w:val="16"/>
              </w:rPr>
            </w:pPr>
            <w:r w:rsidRPr="00256982">
              <w:rPr>
                <w:rFonts w:cs="Arial"/>
                <w:color w:val="000000"/>
                <w:szCs w:val="16"/>
              </w:rPr>
              <w:t>Manufacturing Industries and Construction – Pulp, Paper and Print Gaseous Fuels</w:t>
            </w:r>
          </w:p>
        </w:tc>
        <w:tc>
          <w:tcPr>
            <w:tcW w:w="345" w:type="pct"/>
            <w:shd w:val="clear" w:color="auto" w:fill="auto"/>
            <w:noWrap/>
          </w:tcPr>
          <w:p w14:paraId="6375957F" w14:textId="77777777" w:rsidR="00DE64BC" w:rsidRPr="00256982" w:rsidRDefault="00DE64BC" w:rsidP="00A808C7">
            <w:pPr>
              <w:pStyle w:val="TableText"/>
              <w:jc w:val="center"/>
              <w:rPr>
                <w:rFonts w:cs="Arial"/>
                <w:color w:val="000000"/>
                <w:szCs w:val="16"/>
              </w:rPr>
            </w:pPr>
            <w:r w:rsidRPr="00256982">
              <w:rPr>
                <w:rFonts w:cs="Arial"/>
                <w:color w:val="000000"/>
                <w:szCs w:val="16"/>
              </w:rPr>
              <w:t>CO</w:t>
            </w:r>
            <w:r w:rsidRPr="00256982">
              <w:rPr>
                <w:rFonts w:cs="Arial"/>
                <w:color w:val="000000"/>
                <w:szCs w:val="16"/>
                <w:vertAlign w:val="subscript"/>
              </w:rPr>
              <w:t>2</w:t>
            </w:r>
          </w:p>
        </w:tc>
        <w:tc>
          <w:tcPr>
            <w:tcW w:w="764" w:type="pct"/>
            <w:shd w:val="clear" w:color="auto" w:fill="auto"/>
            <w:noWrap/>
          </w:tcPr>
          <w:p w14:paraId="30F51A34" w14:textId="77777777" w:rsidR="00DE64BC" w:rsidRPr="00256982" w:rsidRDefault="00DE64BC" w:rsidP="00A808C7">
            <w:pPr>
              <w:pStyle w:val="TableText"/>
              <w:rPr>
                <w:rFonts w:cs="Arial"/>
                <w:color w:val="000000"/>
                <w:szCs w:val="16"/>
              </w:rPr>
            </w:pPr>
            <w:r w:rsidRPr="00256982">
              <w:rPr>
                <w:rFonts w:cs="Arial"/>
                <w:color w:val="000000"/>
                <w:szCs w:val="16"/>
              </w:rPr>
              <w:t>L1</w:t>
            </w:r>
          </w:p>
        </w:tc>
      </w:tr>
      <w:tr w:rsidR="00DE64BC" w:rsidRPr="00256982" w14:paraId="552E228A" w14:textId="77777777" w:rsidTr="00BB670B">
        <w:tc>
          <w:tcPr>
            <w:tcW w:w="750" w:type="pct"/>
            <w:tcMar>
              <w:right w:w="85" w:type="dxa"/>
            </w:tcMar>
          </w:tcPr>
          <w:p w14:paraId="4D30AF45" w14:textId="77777777" w:rsidR="00DE64BC" w:rsidRPr="00256982" w:rsidRDefault="00DE64BC" w:rsidP="00A808C7">
            <w:pPr>
              <w:pStyle w:val="TableText"/>
              <w:rPr>
                <w:rFonts w:cs="Arial"/>
                <w:szCs w:val="16"/>
              </w:rPr>
            </w:pPr>
            <w:r w:rsidRPr="00256982">
              <w:rPr>
                <w:rFonts w:cs="Arial"/>
                <w:color w:val="000000"/>
                <w:szCs w:val="16"/>
              </w:rPr>
              <w:t>1.A.2.e</w:t>
            </w:r>
          </w:p>
        </w:tc>
        <w:tc>
          <w:tcPr>
            <w:tcW w:w="3141" w:type="pct"/>
            <w:shd w:val="clear" w:color="auto" w:fill="auto"/>
          </w:tcPr>
          <w:p w14:paraId="5FC0B957" w14:textId="77777777" w:rsidR="00DE64BC" w:rsidRPr="00256982" w:rsidRDefault="00DE64BC" w:rsidP="00A808C7">
            <w:pPr>
              <w:pStyle w:val="TableText"/>
              <w:rPr>
                <w:rFonts w:cs="Arial"/>
                <w:szCs w:val="16"/>
              </w:rPr>
            </w:pPr>
            <w:r w:rsidRPr="00256982">
              <w:rPr>
                <w:rFonts w:cs="Arial"/>
                <w:color w:val="000000"/>
                <w:szCs w:val="16"/>
              </w:rPr>
              <w:t>Manufacturing Industries and Construction – Food Processing, Beverages and Tobacco Solid Fuels</w:t>
            </w:r>
          </w:p>
        </w:tc>
        <w:tc>
          <w:tcPr>
            <w:tcW w:w="345" w:type="pct"/>
            <w:shd w:val="clear" w:color="auto" w:fill="auto"/>
            <w:noWrap/>
          </w:tcPr>
          <w:p w14:paraId="7F931F2F" w14:textId="77777777" w:rsidR="00DE64BC" w:rsidRPr="00256982" w:rsidRDefault="00DE64BC" w:rsidP="00A808C7">
            <w:pPr>
              <w:pStyle w:val="TableText"/>
              <w:jc w:val="center"/>
              <w:rPr>
                <w:rFonts w:cs="Arial"/>
                <w:color w:val="000000"/>
                <w:szCs w:val="16"/>
              </w:rPr>
            </w:pPr>
            <w:r w:rsidRPr="00256982">
              <w:rPr>
                <w:rFonts w:cs="Arial"/>
                <w:color w:val="000000"/>
                <w:szCs w:val="16"/>
              </w:rPr>
              <w:t>CO</w:t>
            </w:r>
            <w:r w:rsidRPr="00256982">
              <w:rPr>
                <w:rFonts w:cs="Arial"/>
                <w:color w:val="000000"/>
                <w:szCs w:val="16"/>
                <w:vertAlign w:val="subscript"/>
              </w:rPr>
              <w:t>2</w:t>
            </w:r>
          </w:p>
        </w:tc>
        <w:tc>
          <w:tcPr>
            <w:tcW w:w="764" w:type="pct"/>
            <w:shd w:val="clear" w:color="auto" w:fill="auto"/>
            <w:noWrap/>
          </w:tcPr>
          <w:p w14:paraId="4A205372" w14:textId="77777777" w:rsidR="00DE64BC" w:rsidRPr="00256982" w:rsidRDefault="00DE64BC" w:rsidP="00A808C7">
            <w:pPr>
              <w:pStyle w:val="TableText"/>
              <w:rPr>
                <w:rFonts w:cs="Arial"/>
                <w:color w:val="000000"/>
                <w:szCs w:val="16"/>
              </w:rPr>
            </w:pPr>
            <w:r w:rsidRPr="00256982">
              <w:rPr>
                <w:rFonts w:cs="Arial"/>
                <w:color w:val="000000"/>
                <w:szCs w:val="16"/>
              </w:rPr>
              <w:t>L1, T1</w:t>
            </w:r>
          </w:p>
        </w:tc>
      </w:tr>
      <w:tr w:rsidR="00DE64BC" w:rsidRPr="00256982" w14:paraId="140F27D8" w14:textId="77777777" w:rsidTr="00BB670B">
        <w:tc>
          <w:tcPr>
            <w:tcW w:w="750" w:type="pct"/>
            <w:tcMar>
              <w:right w:w="85" w:type="dxa"/>
            </w:tcMar>
          </w:tcPr>
          <w:p w14:paraId="65EFF813" w14:textId="77777777" w:rsidR="00DE64BC" w:rsidRPr="00256982" w:rsidRDefault="00DE64BC" w:rsidP="00A808C7">
            <w:pPr>
              <w:pStyle w:val="TableText"/>
              <w:rPr>
                <w:rFonts w:cs="Arial"/>
                <w:szCs w:val="16"/>
              </w:rPr>
            </w:pPr>
            <w:r w:rsidRPr="00256982">
              <w:rPr>
                <w:rFonts w:cs="Arial"/>
                <w:color w:val="000000"/>
                <w:szCs w:val="16"/>
              </w:rPr>
              <w:t>1.A.2.e</w:t>
            </w:r>
          </w:p>
        </w:tc>
        <w:tc>
          <w:tcPr>
            <w:tcW w:w="3141" w:type="pct"/>
            <w:shd w:val="clear" w:color="auto" w:fill="auto"/>
          </w:tcPr>
          <w:p w14:paraId="420CD8FA" w14:textId="77777777" w:rsidR="00DE64BC" w:rsidRPr="00256982" w:rsidRDefault="00DE64BC" w:rsidP="00A808C7">
            <w:pPr>
              <w:pStyle w:val="TableText"/>
              <w:rPr>
                <w:rFonts w:cs="Arial"/>
                <w:szCs w:val="16"/>
              </w:rPr>
            </w:pPr>
            <w:r w:rsidRPr="00256982">
              <w:rPr>
                <w:rFonts w:cs="Arial"/>
                <w:color w:val="000000"/>
                <w:szCs w:val="16"/>
              </w:rPr>
              <w:t>Manufacturing Industries and Construction – Food Processing, Beverages and Tobacco Gaseous Fuels</w:t>
            </w:r>
          </w:p>
        </w:tc>
        <w:tc>
          <w:tcPr>
            <w:tcW w:w="345" w:type="pct"/>
            <w:shd w:val="clear" w:color="auto" w:fill="auto"/>
            <w:noWrap/>
          </w:tcPr>
          <w:p w14:paraId="01ECD421" w14:textId="77777777" w:rsidR="00DE64BC" w:rsidRPr="00256982" w:rsidRDefault="00DE64BC" w:rsidP="00A808C7">
            <w:pPr>
              <w:pStyle w:val="TableText"/>
              <w:jc w:val="center"/>
              <w:rPr>
                <w:rFonts w:cs="Arial"/>
                <w:color w:val="000000"/>
                <w:szCs w:val="16"/>
              </w:rPr>
            </w:pPr>
            <w:r w:rsidRPr="00256982">
              <w:rPr>
                <w:rFonts w:cs="Arial"/>
                <w:color w:val="000000"/>
                <w:szCs w:val="16"/>
              </w:rPr>
              <w:t>CO</w:t>
            </w:r>
            <w:r w:rsidRPr="00256982">
              <w:rPr>
                <w:rFonts w:cs="Arial"/>
                <w:color w:val="000000"/>
                <w:szCs w:val="16"/>
                <w:vertAlign w:val="subscript"/>
              </w:rPr>
              <w:t>2</w:t>
            </w:r>
          </w:p>
        </w:tc>
        <w:tc>
          <w:tcPr>
            <w:tcW w:w="764" w:type="pct"/>
            <w:shd w:val="clear" w:color="auto" w:fill="auto"/>
            <w:noWrap/>
          </w:tcPr>
          <w:p w14:paraId="75929947" w14:textId="77777777" w:rsidR="00DE64BC" w:rsidRPr="00256982" w:rsidRDefault="00DE64BC" w:rsidP="00A808C7">
            <w:pPr>
              <w:pStyle w:val="TableText"/>
              <w:rPr>
                <w:rFonts w:cs="Arial"/>
                <w:color w:val="000000"/>
                <w:szCs w:val="16"/>
              </w:rPr>
            </w:pPr>
            <w:r w:rsidRPr="00256982">
              <w:rPr>
                <w:rFonts w:cs="Arial"/>
                <w:color w:val="000000"/>
                <w:szCs w:val="16"/>
              </w:rPr>
              <w:t>L1, T1</w:t>
            </w:r>
          </w:p>
        </w:tc>
      </w:tr>
      <w:tr w:rsidR="00DE64BC" w:rsidRPr="00256982" w14:paraId="4FAA4127" w14:textId="77777777" w:rsidTr="00BB670B">
        <w:tc>
          <w:tcPr>
            <w:tcW w:w="750" w:type="pct"/>
            <w:tcMar>
              <w:right w:w="85" w:type="dxa"/>
            </w:tcMar>
          </w:tcPr>
          <w:p w14:paraId="24783501" w14:textId="77777777" w:rsidR="00DE64BC" w:rsidRPr="00256982" w:rsidRDefault="00DE64BC" w:rsidP="00A808C7">
            <w:pPr>
              <w:pStyle w:val="TableText"/>
              <w:rPr>
                <w:rFonts w:cs="Arial"/>
                <w:szCs w:val="16"/>
              </w:rPr>
            </w:pPr>
            <w:r w:rsidRPr="00256982">
              <w:rPr>
                <w:rFonts w:cs="Arial"/>
                <w:color w:val="000000"/>
                <w:szCs w:val="16"/>
              </w:rPr>
              <w:t>1.A.2.e</w:t>
            </w:r>
          </w:p>
        </w:tc>
        <w:tc>
          <w:tcPr>
            <w:tcW w:w="3141" w:type="pct"/>
            <w:shd w:val="clear" w:color="auto" w:fill="auto"/>
          </w:tcPr>
          <w:p w14:paraId="32962F4C" w14:textId="77777777" w:rsidR="00DE64BC" w:rsidRPr="00256982" w:rsidRDefault="00DE64BC" w:rsidP="00A808C7">
            <w:pPr>
              <w:pStyle w:val="TableText"/>
              <w:rPr>
                <w:rFonts w:cs="Arial"/>
                <w:szCs w:val="16"/>
              </w:rPr>
            </w:pPr>
            <w:r w:rsidRPr="00256982">
              <w:rPr>
                <w:rFonts w:cs="Arial"/>
                <w:color w:val="000000"/>
                <w:szCs w:val="16"/>
              </w:rPr>
              <w:t>Manufacturing Industries and Construction – Food Processing, Beverages and Tobacco Liquid Fuels</w:t>
            </w:r>
          </w:p>
        </w:tc>
        <w:tc>
          <w:tcPr>
            <w:tcW w:w="345" w:type="pct"/>
            <w:shd w:val="clear" w:color="auto" w:fill="auto"/>
            <w:noWrap/>
          </w:tcPr>
          <w:p w14:paraId="46A13879" w14:textId="77777777" w:rsidR="00DE64BC" w:rsidRPr="00256982" w:rsidRDefault="00DE64BC" w:rsidP="00A808C7">
            <w:pPr>
              <w:pStyle w:val="TableText"/>
              <w:jc w:val="center"/>
              <w:rPr>
                <w:rFonts w:cs="Arial"/>
                <w:color w:val="000000"/>
                <w:szCs w:val="16"/>
              </w:rPr>
            </w:pPr>
            <w:r w:rsidRPr="00256982">
              <w:rPr>
                <w:rFonts w:cs="Arial"/>
                <w:color w:val="000000"/>
                <w:szCs w:val="16"/>
              </w:rPr>
              <w:t>CO</w:t>
            </w:r>
            <w:r w:rsidRPr="00256982">
              <w:rPr>
                <w:rFonts w:cs="Arial"/>
                <w:color w:val="000000"/>
                <w:szCs w:val="16"/>
                <w:vertAlign w:val="subscript"/>
              </w:rPr>
              <w:t>2</w:t>
            </w:r>
          </w:p>
        </w:tc>
        <w:tc>
          <w:tcPr>
            <w:tcW w:w="764" w:type="pct"/>
            <w:shd w:val="clear" w:color="auto" w:fill="auto"/>
            <w:noWrap/>
          </w:tcPr>
          <w:p w14:paraId="320046D6" w14:textId="77777777" w:rsidR="00DE64BC" w:rsidRPr="00256982" w:rsidRDefault="00DE64BC" w:rsidP="00A808C7">
            <w:pPr>
              <w:pStyle w:val="TableText"/>
              <w:rPr>
                <w:rFonts w:cs="Arial"/>
                <w:color w:val="000000"/>
                <w:szCs w:val="16"/>
              </w:rPr>
            </w:pPr>
            <w:r w:rsidRPr="00256982">
              <w:rPr>
                <w:rFonts w:cs="Arial"/>
                <w:color w:val="000000"/>
                <w:szCs w:val="16"/>
              </w:rPr>
              <w:t>L1</w:t>
            </w:r>
          </w:p>
        </w:tc>
      </w:tr>
      <w:tr w:rsidR="00DE64BC" w:rsidRPr="00256982" w14:paraId="3DECDC30" w14:textId="77777777" w:rsidTr="00BB670B">
        <w:tc>
          <w:tcPr>
            <w:tcW w:w="750" w:type="pct"/>
            <w:tcMar>
              <w:right w:w="85" w:type="dxa"/>
            </w:tcMar>
          </w:tcPr>
          <w:p w14:paraId="519264F6" w14:textId="77777777" w:rsidR="00DE64BC" w:rsidRPr="00256982" w:rsidRDefault="00DE64BC" w:rsidP="00A808C7">
            <w:pPr>
              <w:pStyle w:val="TableText"/>
              <w:rPr>
                <w:rFonts w:cs="Arial"/>
                <w:szCs w:val="16"/>
              </w:rPr>
            </w:pPr>
            <w:r w:rsidRPr="00256982">
              <w:rPr>
                <w:rFonts w:cs="Arial"/>
                <w:color w:val="000000"/>
                <w:szCs w:val="16"/>
              </w:rPr>
              <w:t>1.A.2.f</w:t>
            </w:r>
          </w:p>
        </w:tc>
        <w:tc>
          <w:tcPr>
            <w:tcW w:w="3141" w:type="pct"/>
            <w:shd w:val="clear" w:color="auto" w:fill="auto"/>
          </w:tcPr>
          <w:p w14:paraId="78380B81" w14:textId="77777777" w:rsidR="00DE64BC" w:rsidRPr="00256982" w:rsidRDefault="00DE64BC" w:rsidP="00A808C7">
            <w:pPr>
              <w:pStyle w:val="TableText"/>
              <w:rPr>
                <w:rFonts w:cs="Arial"/>
                <w:szCs w:val="16"/>
              </w:rPr>
            </w:pPr>
            <w:r w:rsidRPr="00256982">
              <w:rPr>
                <w:rFonts w:cs="Arial"/>
                <w:color w:val="000000"/>
                <w:szCs w:val="16"/>
              </w:rPr>
              <w:t>Manufacturing Industries and Construction – Non-metallic Minerals Solid Fuels</w:t>
            </w:r>
          </w:p>
        </w:tc>
        <w:tc>
          <w:tcPr>
            <w:tcW w:w="345" w:type="pct"/>
            <w:shd w:val="clear" w:color="auto" w:fill="auto"/>
            <w:noWrap/>
          </w:tcPr>
          <w:p w14:paraId="191E4169" w14:textId="77777777" w:rsidR="00DE64BC" w:rsidRPr="00256982" w:rsidRDefault="00DE64BC" w:rsidP="00A808C7">
            <w:pPr>
              <w:pStyle w:val="TableText"/>
              <w:jc w:val="center"/>
              <w:rPr>
                <w:rFonts w:cs="Arial"/>
                <w:color w:val="000000"/>
                <w:szCs w:val="16"/>
              </w:rPr>
            </w:pPr>
            <w:r w:rsidRPr="00256982">
              <w:rPr>
                <w:rFonts w:cs="Arial"/>
                <w:color w:val="000000"/>
                <w:szCs w:val="16"/>
              </w:rPr>
              <w:t>CO</w:t>
            </w:r>
            <w:r w:rsidRPr="00256982">
              <w:rPr>
                <w:rFonts w:cs="Arial"/>
                <w:color w:val="000000"/>
                <w:szCs w:val="16"/>
                <w:vertAlign w:val="subscript"/>
              </w:rPr>
              <w:t>2</w:t>
            </w:r>
          </w:p>
        </w:tc>
        <w:tc>
          <w:tcPr>
            <w:tcW w:w="764" w:type="pct"/>
            <w:shd w:val="clear" w:color="auto" w:fill="auto"/>
            <w:noWrap/>
          </w:tcPr>
          <w:p w14:paraId="38C02233" w14:textId="77777777" w:rsidR="00DE64BC" w:rsidRPr="00256982" w:rsidRDefault="00DE64BC" w:rsidP="00A808C7">
            <w:pPr>
              <w:pStyle w:val="TableText"/>
              <w:rPr>
                <w:rFonts w:cs="Arial"/>
                <w:color w:val="000000"/>
                <w:szCs w:val="16"/>
              </w:rPr>
            </w:pPr>
            <w:r w:rsidRPr="00256982">
              <w:rPr>
                <w:rFonts w:cs="Arial"/>
                <w:color w:val="000000"/>
                <w:szCs w:val="16"/>
              </w:rPr>
              <w:t>L1, T1</w:t>
            </w:r>
          </w:p>
        </w:tc>
      </w:tr>
      <w:tr w:rsidR="00DE64BC" w:rsidRPr="00256982" w14:paraId="7AC8A067" w14:textId="77777777" w:rsidTr="00BB670B">
        <w:tc>
          <w:tcPr>
            <w:tcW w:w="750" w:type="pct"/>
            <w:tcMar>
              <w:right w:w="85" w:type="dxa"/>
            </w:tcMar>
          </w:tcPr>
          <w:p w14:paraId="42C7F93A" w14:textId="77777777" w:rsidR="00DE64BC" w:rsidRPr="00256982" w:rsidRDefault="00DE64BC" w:rsidP="00A808C7">
            <w:pPr>
              <w:pStyle w:val="TableText"/>
              <w:rPr>
                <w:rFonts w:cs="Arial"/>
                <w:szCs w:val="16"/>
              </w:rPr>
            </w:pPr>
            <w:r w:rsidRPr="00256982">
              <w:rPr>
                <w:rFonts w:cs="Arial"/>
                <w:color w:val="000000"/>
                <w:szCs w:val="16"/>
              </w:rPr>
              <w:t>1.A.2.g.iii</w:t>
            </w:r>
          </w:p>
        </w:tc>
        <w:tc>
          <w:tcPr>
            <w:tcW w:w="3141" w:type="pct"/>
            <w:shd w:val="clear" w:color="auto" w:fill="auto"/>
          </w:tcPr>
          <w:p w14:paraId="0CB0ED1B" w14:textId="77777777" w:rsidR="00DE64BC" w:rsidRPr="00256982" w:rsidRDefault="00DE64BC" w:rsidP="00A808C7">
            <w:pPr>
              <w:pStyle w:val="TableText"/>
              <w:rPr>
                <w:rFonts w:cs="Arial"/>
                <w:szCs w:val="16"/>
              </w:rPr>
            </w:pPr>
            <w:r w:rsidRPr="00256982">
              <w:rPr>
                <w:rFonts w:cs="Arial"/>
                <w:color w:val="000000"/>
                <w:szCs w:val="16"/>
              </w:rPr>
              <w:t>Other (please specify) – Mining (excluding fuels) and Quarrying Liquid Fuels</w:t>
            </w:r>
          </w:p>
        </w:tc>
        <w:tc>
          <w:tcPr>
            <w:tcW w:w="345" w:type="pct"/>
            <w:shd w:val="clear" w:color="auto" w:fill="auto"/>
            <w:noWrap/>
          </w:tcPr>
          <w:p w14:paraId="7A84DFC6" w14:textId="77777777" w:rsidR="00DE64BC" w:rsidRPr="00256982" w:rsidRDefault="00DE64BC" w:rsidP="00A808C7">
            <w:pPr>
              <w:pStyle w:val="TableText"/>
              <w:jc w:val="center"/>
              <w:rPr>
                <w:rFonts w:cs="Arial"/>
                <w:color w:val="000000"/>
                <w:szCs w:val="16"/>
              </w:rPr>
            </w:pPr>
            <w:r w:rsidRPr="00256982">
              <w:rPr>
                <w:rFonts w:cs="Arial"/>
                <w:color w:val="000000"/>
                <w:szCs w:val="16"/>
              </w:rPr>
              <w:t>CO</w:t>
            </w:r>
            <w:r w:rsidRPr="00256982">
              <w:rPr>
                <w:rFonts w:cs="Arial"/>
                <w:color w:val="000000"/>
                <w:szCs w:val="16"/>
                <w:vertAlign w:val="subscript"/>
              </w:rPr>
              <w:t>2</w:t>
            </w:r>
          </w:p>
        </w:tc>
        <w:tc>
          <w:tcPr>
            <w:tcW w:w="764" w:type="pct"/>
            <w:shd w:val="clear" w:color="auto" w:fill="auto"/>
            <w:noWrap/>
          </w:tcPr>
          <w:p w14:paraId="5689AD42" w14:textId="77777777" w:rsidR="00DE64BC" w:rsidRPr="00256982" w:rsidRDefault="00DE64BC" w:rsidP="00A808C7">
            <w:pPr>
              <w:pStyle w:val="TableText"/>
              <w:rPr>
                <w:rFonts w:cs="Arial"/>
                <w:color w:val="000000"/>
                <w:szCs w:val="16"/>
              </w:rPr>
            </w:pPr>
            <w:r w:rsidRPr="00256982">
              <w:rPr>
                <w:rFonts w:cs="Arial"/>
                <w:color w:val="000000"/>
                <w:szCs w:val="16"/>
              </w:rPr>
              <w:t>L1, T1</w:t>
            </w:r>
          </w:p>
        </w:tc>
      </w:tr>
      <w:tr w:rsidR="00DE64BC" w:rsidRPr="00256982" w14:paraId="12DF8ED1" w14:textId="77777777" w:rsidTr="00BB670B">
        <w:tc>
          <w:tcPr>
            <w:tcW w:w="750" w:type="pct"/>
            <w:tcMar>
              <w:right w:w="85" w:type="dxa"/>
            </w:tcMar>
          </w:tcPr>
          <w:p w14:paraId="7DBE910A" w14:textId="77777777" w:rsidR="00DE64BC" w:rsidRPr="00256982" w:rsidRDefault="00DE64BC" w:rsidP="00A808C7">
            <w:pPr>
              <w:pStyle w:val="TableText"/>
              <w:rPr>
                <w:rFonts w:cs="Arial"/>
                <w:szCs w:val="16"/>
              </w:rPr>
            </w:pPr>
            <w:r w:rsidRPr="00256982">
              <w:rPr>
                <w:rFonts w:cs="Arial"/>
                <w:color w:val="000000"/>
                <w:szCs w:val="16"/>
              </w:rPr>
              <w:t>1.A.2.g.viii</w:t>
            </w:r>
          </w:p>
        </w:tc>
        <w:tc>
          <w:tcPr>
            <w:tcW w:w="3141" w:type="pct"/>
            <w:shd w:val="clear" w:color="auto" w:fill="auto"/>
          </w:tcPr>
          <w:p w14:paraId="12CF3621" w14:textId="77777777" w:rsidR="00DE64BC" w:rsidRPr="00256982" w:rsidRDefault="00DE64BC" w:rsidP="00A808C7">
            <w:pPr>
              <w:pStyle w:val="TableText"/>
              <w:rPr>
                <w:rFonts w:cs="Arial"/>
                <w:szCs w:val="16"/>
              </w:rPr>
            </w:pPr>
            <w:r w:rsidRPr="00256982">
              <w:rPr>
                <w:rFonts w:cs="Arial"/>
                <w:color w:val="000000"/>
                <w:szCs w:val="16"/>
              </w:rPr>
              <w:t>Other (please specify) – Other (please specify) Liquid Fuels</w:t>
            </w:r>
          </w:p>
        </w:tc>
        <w:tc>
          <w:tcPr>
            <w:tcW w:w="345" w:type="pct"/>
            <w:shd w:val="clear" w:color="auto" w:fill="auto"/>
            <w:noWrap/>
          </w:tcPr>
          <w:p w14:paraId="325C4F74" w14:textId="77777777" w:rsidR="00DE64BC" w:rsidRPr="00256982" w:rsidRDefault="00DE64BC" w:rsidP="00A808C7">
            <w:pPr>
              <w:pStyle w:val="TableText"/>
              <w:jc w:val="center"/>
              <w:rPr>
                <w:rFonts w:cs="Arial"/>
                <w:color w:val="000000"/>
                <w:szCs w:val="16"/>
              </w:rPr>
            </w:pPr>
            <w:r w:rsidRPr="00256982">
              <w:rPr>
                <w:rFonts w:cs="Arial"/>
                <w:color w:val="000000"/>
                <w:szCs w:val="16"/>
              </w:rPr>
              <w:t>CO</w:t>
            </w:r>
            <w:r w:rsidRPr="00256982">
              <w:rPr>
                <w:rFonts w:cs="Arial"/>
                <w:color w:val="000000"/>
                <w:szCs w:val="16"/>
                <w:vertAlign w:val="subscript"/>
              </w:rPr>
              <w:t>2</w:t>
            </w:r>
          </w:p>
        </w:tc>
        <w:tc>
          <w:tcPr>
            <w:tcW w:w="764" w:type="pct"/>
            <w:shd w:val="clear" w:color="auto" w:fill="auto"/>
            <w:noWrap/>
          </w:tcPr>
          <w:p w14:paraId="1A60E936" w14:textId="77777777" w:rsidR="00DE64BC" w:rsidRPr="00256982" w:rsidRDefault="00DE64BC" w:rsidP="00A808C7">
            <w:pPr>
              <w:pStyle w:val="TableText"/>
              <w:rPr>
                <w:rFonts w:cs="Arial"/>
                <w:color w:val="000000"/>
                <w:szCs w:val="16"/>
              </w:rPr>
            </w:pPr>
            <w:r w:rsidRPr="00256982">
              <w:rPr>
                <w:rFonts w:cs="Arial"/>
                <w:color w:val="000000"/>
                <w:szCs w:val="16"/>
              </w:rPr>
              <w:t>T1</w:t>
            </w:r>
          </w:p>
        </w:tc>
      </w:tr>
      <w:tr w:rsidR="00DE64BC" w:rsidRPr="00256982" w14:paraId="289F82DE" w14:textId="77777777" w:rsidTr="00BB670B">
        <w:tc>
          <w:tcPr>
            <w:tcW w:w="750" w:type="pct"/>
            <w:tcMar>
              <w:right w:w="85" w:type="dxa"/>
            </w:tcMar>
          </w:tcPr>
          <w:p w14:paraId="2576A55E" w14:textId="77777777" w:rsidR="00DE64BC" w:rsidRPr="00256982" w:rsidRDefault="00DE64BC" w:rsidP="00A808C7">
            <w:pPr>
              <w:pStyle w:val="TableText"/>
              <w:rPr>
                <w:rFonts w:cs="Arial"/>
                <w:szCs w:val="16"/>
              </w:rPr>
            </w:pPr>
            <w:r w:rsidRPr="00256982">
              <w:rPr>
                <w:rFonts w:cs="Arial"/>
                <w:color w:val="000000"/>
                <w:szCs w:val="16"/>
              </w:rPr>
              <w:t>1.A.2.g.viii</w:t>
            </w:r>
          </w:p>
        </w:tc>
        <w:tc>
          <w:tcPr>
            <w:tcW w:w="3141" w:type="pct"/>
            <w:shd w:val="clear" w:color="auto" w:fill="auto"/>
          </w:tcPr>
          <w:p w14:paraId="53B2DEE3" w14:textId="77777777" w:rsidR="00DE64BC" w:rsidRPr="00256982" w:rsidRDefault="00DE64BC" w:rsidP="00A808C7">
            <w:pPr>
              <w:pStyle w:val="TableText"/>
              <w:rPr>
                <w:rFonts w:cs="Arial"/>
                <w:szCs w:val="16"/>
              </w:rPr>
            </w:pPr>
            <w:r w:rsidRPr="00256982">
              <w:rPr>
                <w:rFonts w:cs="Arial"/>
                <w:color w:val="000000"/>
                <w:szCs w:val="16"/>
              </w:rPr>
              <w:t>Other (please specify) – Other (please specify) Solid Fuels</w:t>
            </w:r>
          </w:p>
        </w:tc>
        <w:tc>
          <w:tcPr>
            <w:tcW w:w="345" w:type="pct"/>
            <w:shd w:val="clear" w:color="auto" w:fill="auto"/>
            <w:noWrap/>
          </w:tcPr>
          <w:p w14:paraId="101D9F35" w14:textId="77777777" w:rsidR="00DE64BC" w:rsidRPr="00256982" w:rsidRDefault="00DE64BC" w:rsidP="00A808C7">
            <w:pPr>
              <w:pStyle w:val="TableText"/>
              <w:jc w:val="center"/>
              <w:rPr>
                <w:rFonts w:cs="Arial"/>
                <w:color w:val="000000"/>
                <w:szCs w:val="16"/>
              </w:rPr>
            </w:pPr>
            <w:r w:rsidRPr="00256982">
              <w:rPr>
                <w:rFonts w:cs="Arial"/>
                <w:color w:val="000000"/>
                <w:szCs w:val="16"/>
              </w:rPr>
              <w:t>CO</w:t>
            </w:r>
            <w:r w:rsidRPr="00256982">
              <w:rPr>
                <w:rFonts w:cs="Arial"/>
                <w:color w:val="000000"/>
                <w:szCs w:val="16"/>
                <w:vertAlign w:val="subscript"/>
              </w:rPr>
              <w:t>2</w:t>
            </w:r>
          </w:p>
        </w:tc>
        <w:tc>
          <w:tcPr>
            <w:tcW w:w="764" w:type="pct"/>
            <w:shd w:val="clear" w:color="auto" w:fill="auto"/>
            <w:noWrap/>
          </w:tcPr>
          <w:p w14:paraId="5B716794" w14:textId="77777777" w:rsidR="00DE64BC" w:rsidRPr="00256982" w:rsidRDefault="00DE64BC" w:rsidP="00A808C7">
            <w:pPr>
              <w:pStyle w:val="TableText"/>
              <w:rPr>
                <w:rFonts w:cs="Arial"/>
                <w:color w:val="000000"/>
                <w:szCs w:val="16"/>
              </w:rPr>
            </w:pPr>
            <w:r w:rsidRPr="00256982">
              <w:rPr>
                <w:rFonts w:cs="Arial"/>
                <w:color w:val="000000"/>
                <w:szCs w:val="16"/>
              </w:rPr>
              <w:t>T1</w:t>
            </w:r>
          </w:p>
        </w:tc>
      </w:tr>
      <w:tr w:rsidR="00DE64BC" w:rsidRPr="00256982" w14:paraId="302E7912" w14:textId="77777777" w:rsidTr="00BB670B">
        <w:tc>
          <w:tcPr>
            <w:tcW w:w="750" w:type="pct"/>
            <w:tcMar>
              <w:right w:w="85" w:type="dxa"/>
            </w:tcMar>
          </w:tcPr>
          <w:p w14:paraId="0A6C39EC" w14:textId="77777777" w:rsidR="00DE64BC" w:rsidRPr="00256982" w:rsidRDefault="00DE64BC" w:rsidP="00A808C7">
            <w:pPr>
              <w:pStyle w:val="TableText"/>
              <w:rPr>
                <w:rFonts w:cs="Arial"/>
                <w:szCs w:val="16"/>
              </w:rPr>
            </w:pPr>
            <w:r w:rsidRPr="00256982">
              <w:rPr>
                <w:rFonts w:cs="Arial"/>
                <w:color w:val="000000"/>
                <w:szCs w:val="16"/>
              </w:rPr>
              <w:t>1.A.3.a</w:t>
            </w:r>
          </w:p>
        </w:tc>
        <w:tc>
          <w:tcPr>
            <w:tcW w:w="3141" w:type="pct"/>
            <w:shd w:val="clear" w:color="auto" w:fill="auto"/>
          </w:tcPr>
          <w:p w14:paraId="74F6B9D8" w14:textId="77777777" w:rsidR="00DE64BC" w:rsidRPr="00256982" w:rsidRDefault="00DE64BC" w:rsidP="00A808C7">
            <w:pPr>
              <w:pStyle w:val="TableText"/>
              <w:rPr>
                <w:rFonts w:cs="Arial"/>
                <w:szCs w:val="16"/>
              </w:rPr>
            </w:pPr>
            <w:r w:rsidRPr="00256982">
              <w:rPr>
                <w:rFonts w:cs="Arial"/>
                <w:color w:val="000000"/>
                <w:szCs w:val="16"/>
              </w:rPr>
              <w:t>Domestic Aviation – Jet Kerosene</w:t>
            </w:r>
          </w:p>
        </w:tc>
        <w:tc>
          <w:tcPr>
            <w:tcW w:w="345" w:type="pct"/>
            <w:shd w:val="clear" w:color="auto" w:fill="auto"/>
            <w:noWrap/>
          </w:tcPr>
          <w:p w14:paraId="38448CA1" w14:textId="77777777" w:rsidR="00DE64BC" w:rsidRPr="00256982" w:rsidRDefault="00DE64BC" w:rsidP="00A808C7">
            <w:pPr>
              <w:pStyle w:val="TableText"/>
              <w:jc w:val="center"/>
              <w:rPr>
                <w:rFonts w:cs="Arial"/>
                <w:color w:val="000000"/>
                <w:szCs w:val="16"/>
              </w:rPr>
            </w:pPr>
            <w:r w:rsidRPr="00256982">
              <w:rPr>
                <w:rFonts w:cs="Arial"/>
                <w:color w:val="000000"/>
                <w:szCs w:val="16"/>
              </w:rPr>
              <w:t>CO</w:t>
            </w:r>
            <w:r w:rsidRPr="00256982">
              <w:rPr>
                <w:rFonts w:cs="Arial"/>
                <w:color w:val="000000"/>
                <w:szCs w:val="16"/>
                <w:vertAlign w:val="subscript"/>
              </w:rPr>
              <w:t>2</w:t>
            </w:r>
          </w:p>
        </w:tc>
        <w:tc>
          <w:tcPr>
            <w:tcW w:w="764" w:type="pct"/>
            <w:shd w:val="clear" w:color="auto" w:fill="auto"/>
            <w:noWrap/>
          </w:tcPr>
          <w:p w14:paraId="38D3CB63" w14:textId="77777777" w:rsidR="00DE64BC" w:rsidRPr="00256982" w:rsidRDefault="00DE64BC" w:rsidP="00A808C7">
            <w:pPr>
              <w:pStyle w:val="TableText"/>
              <w:rPr>
                <w:rFonts w:cs="Arial"/>
                <w:color w:val="000000"/>
                <w:szCs w:val="16"/>
              </w:rPr>
            </w:pPr>
            <w:r w:rsidRPr="00256982">
              <w:rPr>
                <w:rFonts w:cs="Arial"/>
                <w:color w:val="000000"/>
                <w:szCs w:val="16"/>
              </w:rPr>
              <w:t>L1, T1</w:t>
            </w:r>
          </w:p>
        </w:tc>
      </w:tr>
      <w:tr w:rsidR="00DE64BC" w:rsidRPr="00256982" w14:paraId="71E81831" w14:textId="77777777" w:rsidTr="00BB670B">
        <w:tc>
          <w:tcPr>
            <w:tcW w:w="750" w:type="pct"/>
            <w:tcMar>
              <w:right w:w="85" w:type="dxa"/>
            </w:tcMar>
          </w:tcPr>
          <w:p w14:paraId="01E774CB" w14:textId="77777777" w:rsidR="00DE64BC" w:rsidRPr="00256982" w:rsidRDefault="00DE64BC" w:rsidP="00A808C7">
            <w:pPr>
              <w:pStyle w:val="TableText"/>
              <w:rPr>
                <w:rFonts w:cs="Arial"/>
                <w:szCs w:val="16"/>
              </w:rPr>
            </w:pPr>
            <w:r w:rsidRPr="00256982">
              <w:rPr>
                <w:rFonts w:cs="Arial"/>
                <w:color w:val="000000"/>
                <w:szCs w:val="16"/>
              </w:rPr>
              <w:t>1.A.3.b</w:t>
            </w:r>
          </w:p>
        </w:tc>
        <w:tc>
          <w:tcPr>
            <w:tcW w:w="3141" w:type="pct"/>
            <w:shd w:val="clear" w:color="auto" w:fill="auto"/>
          </w:tcPr>
          <w:p w14:paraId="27784DA4" w14:textId="77777777" w:rsidR="00DE64BC" w:rsidRPr="00256982" w:rsidRDefault="00DE64BC" w:rsidP="00A808C7">
            <w:pPr>
              <w:pStyle w:val="TableText"/>
              <w:rPr>
                <w:rFonts w:cs="Arial"/>
                <w:szCs w:val="16"/>
              </w:rPr>
            </w:pPr>
            <w:r w:rsidRPr="00256982">
              <w:rPr>
                <w:rFonts w:cs="Arial"/>
                <w:color w:val="000000"/>
                <w:szCs w:val="16"/>
              </w:rPr>
              <w:t>Transport – Road Transportation Liquid Fuels</w:t>
            </w:r>
          </w:p>
        </w:tc>
        <w:tc>
          <w:tcPr>
            <w:tcW w:w="345" w:type="pct"/>
            <w:shd w:val="clear" w:color="auto" w:fill="auto"/>
            <w:noWrap/>
          </w:tcPr>
          <w:p w14:paraId="4D474168" w14:textId="77777777" w:rsidR="00DE64BC" w:rsidRPr="00256982" w:rsidRDefault="00DE64BC" w:rsidP="00A808C7">
            <w:pPr>
              <w:pStyle w:val="TableText"/>
              <w:jc w:val="center"/>
              <w:rPr>
                <w:rFonts w:cs="Arial"/>
                <w:color w:val="000000"/>
                <w:szCs w:val="16"/>
              </w:rPr>
            </w:pPr>
            <w:r w:rsidRPr="00256982">
              <w:rPr>
                <w:rFonts w:cs="Arial"/>
                <w:color w:val="000000"/>
                <w:szCs w:val="16"/>
              </w:rPr>
              <w:t>CO</w:t>
            </w:r>
            <w:r w:rsidRPr="00256982">
              <w:rPr>
                <w:rFonts w:cs="Arial"/>
                <w:color w:val="000000"/>
                <w:szCs w:val="16"/>
                <w:vertAlign w:val="subscript"/>
              </w:rPr>
              <w:t>2</w:t>
            </w:r>
          </w:p>
        </w:tc>
        <w:tc>
          <w:tcPr>
            <w:tcW w:w="764" w:type="pct"/>
            <w:shd w:val="clear" w:color="auto" w:fill="auto"/>
            <w:noWrap/>
          </w:tcPr>
          <w:p w14:paraId="41A4FF6F" w14:textId="77777777" w:rsidR="00DE64BC" w:rsidRPr="00256982" w:rsidRDefault="00DE64BC" w:rsidP="00A808C7">
            <w:pPr>
              <w:pStyle w:val="TableText"/>
              <w:rPr>
                <w:rFonts w:cs="Arial"/>
                <w:color w:val="000000"/>
                <w:szCs w:val="16"/>
              </w:rPr>
            </w:pPr>
            <w:r w:rsidRPr="00256982">
              <w:rPr>
                <w:rFonts w:cs="Arial"/>
                <w:color w:val="000000"/>
                <w:szCs w:val="16"/>
              </w:rPr>
              <w:t>L1, T1</w:t>
            </w:r>
          </w:p>
        </w:tc>
      </w:tr>
      <w:tr w:rsidR="00DE64BC" w:rsidRPr="00256982" w14:paraId="451C12AF" w14:textId="77777777" w:rsidTr="00BB670B">
        <w:tc>
          <w:tcPr>
            <w:tcW w:w="750" w:type="pct"/>
            <w:tcMar>
              <w:right w:w="85" w:type="dxa"/>
            </w:tcMar>
          </w:tcPr>
          <w:p w14:paraId="6FF50BF4" w14:textId="77777777" w:rsidR="00DE64BC" w:rsidRPr="00256982" w:rsidRDefault="00DE64BC" w:rsidP="00A808C7">
            <w:pPr>
              <w:pStyle w:val="TableText"/>
              <w:rPr>
                <w:rFonts w:cs="Arial"/>
                <w:szCs w:val="16"/>
              </w:rPr>
            </w:pPr>
            <w:r w:rsidRPr="00256982">
              <w:rPr>
                <w:rFonts w:cs="Arial"/>
                <w:color w:val="000000"/>
                <w:szCs w:val="16"/>
              </w:rPr>
              <w:t>1.A.3.b</w:t>
            </w:r>
          </w:p>
        </w:tc>
        <w:tc>
          <w:tcPr>
            <w:tcW w:w="3141" w:type="pct"/>
            <w:shd w:val="clear" w:color="auto" w:fill="auto"/>
          </w:tcPr>
          <w:p w14:paraId="26D88F18" w14:textId="77777777" w:rsidR="00DE64BC" w:rsidRPr="00256982" w:rsidRDefault="00DE64BC" w:rsidP="00A808C7">
            <w:pPr>
              <w:pStyle w:val="TableText"/>
              <w:rPr>
                <w:rFonts w:cs="Arial"/>
                <w:szCs w:val="16"/>
              </w:rPr>
            </w:pPr>
            <w:r w:rsidRPr="00256982">
              <w:rPr>
                <w:rFonts w:cs="Arial"/>
                <w:color w:val="000000"/>
                <w:szCs w:val="16"/>
              </w:rPr>
              <w:t>Transport – Road Transportation Gaseous Fuels</w:t>
            </w:r>
          </w:p>
        </w:tc>
        <w:tc>
          <w:tcPr>
            <w:tcW w:w="345" w:type="pct"/>
            <w:shd w:val="clear" w:color="auto" w:fill="auto"/>
            <w:noWrap/>
          </w:tcPr>
          <w:p w14:paraId="5CF66482" w14:textId="77777777" w:rsidR="00DE64BC" w:rsidRPr="00256982" w:rsidRDefault="00DE64BC" w:rsidP="00A808C7">
            <w:pPr>
              <w:pStyle w:val="TableText"/>
              <w:jc w:val="center"/>
              <w:rPr>
                <w:rFonts w:cs="Arial"/>
                <w:color w:val="000000"/>
                <w:szCs w:val="16"/>
              </w:rPr>
            </w:pPr>
            <w:r w:rsidRPr="00256982">
              <w:rPr>
                <w:rFonts w:cs="Arial"/>
                <w:color w:val="000000"/>
                <w:szCs w:val="16"/>
              </w:rPr>
              <w:t>CO</w:t>
            </w:r>
            <w:r w:rsidRPr="00256982">
              <w:rPr>
                <w:rFonts w:cs="Arial"/>
                <w:color w:val="000000"/>
                <w:szCs w:val="16"/>
                <w:vertAlign w:val="subscript"/>
              </w:rPr>
              <w:t>2</w:t>
            </w:r>
          </w:p>
        </w:tc>
        <w:tc>
          <w:tcPr>
            <w:tcW w:w="764" w:type="pct"/>
            <w:shd w:val="clear" w:color="auto" w:fill="auto"/>
            <w:noWrap/>
          </w:tcPr>
          <w:p w14:paraId="737AB26E" w14:textId="77777777" w:rsidR="00DE64BC" w:rsidRPr="00256982" w:rsidRDefault="00DE64BC" w:rsidP="00A808C7">
            <w:pPr>
              <w:pStyle w:val="TableText"/>
              <w:rPr>
                <w:rFonts w:cs="Arial"/>
                <w:color w:val="000000"/>
                <w:szCs w:val="16"/>
              </w:rPr>
            </w:pPr>
            <w:r w:rsidRPr="00256982">
              <w:rPr>
                <w:rFonts w:cs="Arial"/>
                <w:color w:val="000000"/>
                <w:szCs w:val="16"/>
              </w:rPr>
              <w:t>T1</w:t>
            </w:r>
          </w:p>
        </w:tc>
      </w:tr>
      <w:tr w:rsidR="00DE64BC" w:rsidRPr="00256982" w14:paraId="1DC30596" w14:textId="77777777" w:rsidTr="00BB670B">
        <w:tc>
          <w:tcPr>
            <w:tcW w:w="750" w:type="pct"/>
            <w:tcMar>
              <w:right w:w="85" w:type="dxa"/>
            </w:tcMar>
          </w:tcPr>
          <w:p w14:paraId="61058CA1" w14:textId="77777777" w:rsidR="00DE64BC" w:rsidRPr="00256982" w:rsidRDefault="00DE64BC" w:rsidP="00A808C7">
            <w:pPr>
              <w:pStyle w:val="TableText"/>
              <w:rPr>
                <w:rFonts w:cs="Arial"/>
                <w:szCs w:val="16"/>
              </w:rPr>
            </w:pPr>
            <w:r w:rsidRPr="00256982">
              <w:rPr>
                <w:rFonts w:cs="Arial"/>
                <w:color w:val="000000"/>
                <w:szCs w:val="16"/>
              </w:rPr>
              <w:lastRenderedPageBreak/>
              <w:t>1.A.3.d</w:t>
            </w:r>
          </w:p>
        </w:tc>
        <w:tc>
          <w:tcPr>
            <w:tcW w:w="3141" w:type="pct"/>
            <w:shd w:val="clear" w:color="auto" w:fill="auto"/>
          </w:tcPr>
          <w:p w14:paraId="2CF0DA26" w14:textId="77777777" w:rsidR="00DE64BC" w:rsidRPr="00256982" w:rsidRDefault="00DE64BC" w:rsidP="00A808C7">
            <w:pPr>
              <w:pStyle w:val="TableText"/>
              <w:rPr>
                <w:rFonts w:cs="Arial"/>
                <w:szCs w:val="16"/>
              </w:rPr>
            </w:pPr>
            <w:r w:rsidRPr="00256982">
              <w:rPr>
                <w:rFonts w:cs="Arial"/>
                <w:color w:val="000000"/>
                <w:szCs w:val="16"/>
              </w:rPr>
              <w:t>Domestic Navigation – Residual Fuel Oil</w:t>
            </w:r>
          </w:p>
        </w:tc>
        <w:tc>
          <w:tcPr>
            <w:tcW w:w="345" w:type="pct"/>
            <w:shd w:val="clear" w:color="auto" w:fill="auto"/>
            <w:noWrap/>
          </w:tcPr>
          <w:p w14:paraId="2EEDBF98" w14:textId="77777777" w:rsidR="00DE64BC" w:rsidRPr="00256982" w:rsidRDefault="00DE64BC" w:rsidP="00A808C7">
            <w:pPr>
              <w:pStyle w:val="TableText"/>
              <w:jc w:val="center"/>
              <w:rPr>
                <w:rFonts w:cs="Arial"/>
                <w:color w:val="000000"/>
                <w:szCs w:val="16"/>
              </w:rPr>
            </w:pPr>
            <w:r w:rsidRPr="00256982">
              <w:rPr>
                <w:rFonts w:cs="Arial"/>
                <w:color w:val="000000"/>
                <w:szCs w:val="16"/>
              </w:rPr>
              <w:t>CO</w:t>
            </w:r>
            <w:r w:rsidRPr="00256982">
              <w:rPr>
                <w:rFonts w:cs="Arial"/>
                <w:color w:val="000000"/>
                <w:szCs w:val="16"/>
                <w:vertAlign w:val="subscript"/>
              </w:rPr>
              <w:t>2</w:t>
            </w:r>
          </w:p>
        </w:tc>
        <w:tc>
          <w:tcPr>
            <w:tcW w:w="764" w:type="pct"/>
            <w:shd w:val="clear" w:color="auto" w:fill="auto"/>
            <w:noWrap/>
          </w:tcPr>
          <w:p w14:paraId="71DBF140" w14:textId="77777777" w:rsidR="00DE64BC" w:rsidRPr="00256982" w:rsidRDefault="00DE64BC" w:rsidP="00A808C7">
            <w:pPr>
              <w:pStyle w:val="TableText"/>
              <w:rPr>
                <w:rFonts w:cs="Arial"/>
                <w:color w:val="000000"/>
                <w:szCs w:val="16"/>
              </w:rPr>
            </w:pPr>
            <w:r w:rsidRPr="00256982">
              <w:rPr>
                <w:rFonts w:cs="Arial"/>
                <w:color w:val="000000"/>
                <w:szCs w:val="16"/>
              </w:rPr>
              <w:t>L1</w:t>
            </w:r>
          </w:p>
        </w:tc>
      </w:tr>
      <w:tr w:rsidR="00DE64BC" w:rsidRPr="00256982" w14:paraId="76AF0E4F" w14:textId="77777777" w:rsidTr="00BB670B">
        <w:tc>
          <w:tcPr>
            <w:tcW w:w="750" w:type="pct"/>
            <w:tcMar>
              <w:right w:w="85" w:type="dxa"/>
            </w:tcMar>
          </w:tcPr>
          <w:p w14:paraId="5DB9FD2B" w14:textId="77777777" w:rsidR="00DE64BC" w:rsidRPr="00256982" w:rsidRDefault="00DE64BC" w:rsidP="00A808C7">
            <w:pPr>
              <w:pStyle w:val="TableText"/>
              <w:rPr>
                <w:rFonts w:cs="Arial"/>
                <w:szCs w:val="16"/>
              </w:rPr>
            </w:pPr>
            <w:r w:rsidRPr="00256982">
              <w:rPr>
                <w:rFonts w:cs="Arial"/>
                <w:color w:val="000000"/>
                <w:szCs w:val="16"/>
              </w:rPr>
              <w:t>1.A.4.a</w:t>
            </w:r>
          </w:p>
        </w:tc>
        <w:tc>
          <w:tcPr>
            <w:tcW w:w="3141" w:type="pct"/>
            <w:shd w:val="clear" w:color="auto" w:fill="auto"/>
          </w:tcPr>
          <w:p w14:paraId="433244DF" w14:textId="77777777" w:rsidR="00DE64BC" w:rsidRPr="00256982" w:rsidRDefault="00DE64BC" w:rsidP="00A808C7">
            <w:pPr>
              <w:pStyle w:val="TableText"/>
              <w:rPr>
                <w:rFonts w:cs="Arial"/>
                <w:szCs w:val="16"/>
              </w:rPr>
            </w:pPr>
            <w:r w:rsidRPr="00256982">
              <w:rPr>
                <w:rFonts w:cs="Arial"/>
                <w:color w:val="000000"/>
                <w:szCs w:val="16"/>
              </w:rPr>
              <w:t>Other Sectors – Commercial/Institutional Liquid Fuels</w:t>
            </w:r>
          </w:p>
        </w:tc>
        <w:tc>
          <w:tcPr>
            <w:tcW w:w="345" w:type="pct"/>
            <w:shd w:val="clear" w:color="auto" w:fill="auto"/>
            <w:noWrap/>
          </w:tcPr>
          <w:p w14:paraId="7A88E837" w14:textId="77777777" w:rsidR="00DE64BC" w:rsidRPr="00256982" w:rsidRDefault="00DE64BC" w:rsidP="00A808C7">
            <w:pPr>
              <w:pStyle w:val="TableText"/>
              <w:jc w:val="center"/>
              <w:rPr>
                <w:rFonts w:cs="Arial"/>
                <w:color w:val="000000"/>
                <w:szCs w:val="16"/>
              </w:rPr>
            </w:pPr>
            <w:r w:rsidRPr="00256982">
              <w:rPr>
                <w:rFonts w:cs="Arial"/>
                <w:color w:val="000000"/>
                <w:szCs w:val="16"/>
              </w:rPr>
              <w:t>CO</w:t>
            </w:r>
            <w:r w:rsidRPr="00256982">
              <w:rPr>
                <w:rFonts w:cs="Arial"/>
                <w:color w:val="000000"/>
                <w:szCs w:val="16"/>
                <w:vertAlign w:val="subscript"/>
              </w:rPr>
              <w:t>2</w:t>
            </w:r>
          </w:p>
        </w:tc>
        <w:tc>
          <w:tcPr>
            <w:tcW w:w="764" w:type="pct"/>
            <w:shd w:val="clear" w:color="auto" w:fill="auto"/>
            <w:noWrap/>
          </w:tcPr>
          <w:p w14:paraId="71417193" w14:textId="77777777" w:rsidR="00DE64BC" w:rsidRPr="00256982" w:rsidRDefault="00DE64BC" w:rsidP="00A808C7">
            <w:pPr>
              <w:pStyle w:val="TableText"/>
              <w:rPr>
                <w:rFonts w:cs="Arial"/>
                <w:color w:val="000000"/>
                <w:szCs w:val="16"/>
              </w:rPr>
            </w:pPr>
            <w:r w:rsidRPr="00256982">
              <w:rPr>
                <w:rFonts w:cs="Arial"/>
                <w:color w:val="000000"/>
                <w:szCs w:val="16"/>
              </w:rPr>
              <w:t>L1, T1</w:t>
            </w:r>
          </w:p>
        </w:tc>
      </w:tr>
      <w:tr w:rsidR="00DE64BC" w:rsidRPr="00256982" w14:paraId="7552CFAB" w14:textId="77777777" w:rsidTr="00BB670B">
        <w:tc>
          <w:tcPr>
            <w:tcW w:w="750" w:type="pct"/>
            <w:tcMar>
              <w:right w:w="85" w:type="dxa"/>
            </w:tcMar>
          </w:tcPr>
          <w:p w14:paraId="34C4DAEB" w14:textId="77777777" w:rsidR="00DE64BC" w:rsidRPr="00256982" w:rsidRDefault="00DE64BC" w:rsidP="00A808C7">
            <w:pPr>
              <w:pStyle w:val="TableText"/>
              <w:rPr>
                <w:rFonts w:cs="Arial"/>
                <w:szCs w:val="16"/>
              </w:rPr>
            </w:pPr>
            <w:r w:rsidRPr="00256982">
              <w:rPr>
                <w:rFonts w:cs="Arial"/>
                <w:color w:val="000000"/>
                <w:szCs w:val="16"/>
              </w:rPr>
              <w:t>1.A.4.a</w:t>
            </w:r>
          </w:p>
        </w:tc>
        <w:tc>
          <w:tcPr>
            <w:tcW w:w="3141" w:type="pct"/>
            <w:shd w:val="clear" w:color="auto" w:fill="auto"/>
          </w:tcPr>
          <w:p w14:paraId="7F0F4AB3" w14:textId="77777777" w:rsidR="00DE64BC" w:rsidRPr="00256982" w:rsidRDefault="00DE64BC" w:rsidP="00A808C7">
            <w:pPr>
              <w:pStyle w:val="TableText"/>
              <w:rPr>
                <w:rFonts w:cs="Arial"/>
                <w:szCs w:val="16"/>
              </w:rPr>
            </w:pPr>
            <w:r w:rsidRPr="00256982">
              <w:rPr>
                <w:rFonts w:cs="Arial"/>
                <w:color w:val="000000"/>
                <w:szCs w:val="16"/>
              </w:rPr>
              <w:t>Other Sectors – Commercial/Institutional Gaseous Fuels</w:t>
            </w:r>
          </w:p>
        </w:tc>
        <w:tc>
          <w:tcPr>
            <w:tcW w:w="345" w:type="pct"/>
            <w:shd w:val="clear" w:color="auto" w:fill="auto"/>
            <w:noWrap/>
          </w:tcPr>
          <w:p w14:paraId="08B1B35C" w14:textId="77777777" w:rsidR="00DE64BC" w:rsidRPr="00256982" w:rsidRDefault="00DE64BC" w:rsidP="00A808C7">
            <w:pPr>
              <w:pStyle w:val="TableText"/>
              <w:jc w:val="center"/>
              <w:rPr>
                <w:rFonts w:cs="Arial"/>
                <w:color w:val="000000"/>
                <w:szCs w:val="16"/>
              </w:rPr>
            </w:pPr>
            <w:r w:rsidRPr="00256982">
              <w:rPr>
                <w:rFonts w:cs="Arial"/>
                <w:color w:val="000000"/>
                <w:szCs w:val="16"/>
              </w:rPr>
              <w:t>CO</w:t>
            </w:r>
            <w:r w:rsidRPr="00256982">
              <w:rPr>
                <w:rFonts w:cs="Arial"/>
                <w:color w:val="000000"/>
                <w:szCs w:val="16"/>
                <w:vertAlign w:val="subscript"/>
              </w:rPr>
              <w:t>2</w:t>
            </w:r>
          </w:p>
        </w:tc>
        <w:tc>
          <w:tcPr>
            <w:tcW w:w="764" w:type="pct"/>
            <w:shd w:val="clear" w:color="auto" w:fill="auto"/>
            <w:noWrap/>
          </w:tcPr>
          <w:p w14:paraId="243A8D7E" w14:textId="77777777" w:rsidR="00DE64BC" w:rsidRPr="00256982" w:rsidRDefault="00DE64BC" w:rsidP="00A808C7">
            <w:pPr>
              <w:pStyle w:val="TableText"/>
              <w:rPr>
                <w:rFonts w:cs="Arial"/>
                <w:color w:val="000000"/>
                <w:szCs w:val="16"/>
              </w:rPr>
            </w:pPr>
            <w:r w:rsidRPr="00256982">
              <w:rPr>
                <w:rFonts w:cs="Arial"/>
                <w:color w:val="000000"/>
                <w:szCs w:val="16"/>
              </w:rPr>
              <w:t>L1, T1</w:t>
            </w:r>
          </w:p>
        </w:tc>
      </w:tr>
      <w:tr w:rsidR="00DE64BC" w:rsidRPr="00256982" w14:paraId="1CDF2DAF" w14:textId="77777777" w:rsidTr="00BB670B">
        <w:tc>
          <w:tcPr>
            <w:tcW w:w="750" w:type="pct"/>
            <w:tcMar>
              <w:right w:w="85" w:type="dxa"/>
            </w:tcMar>
          </w:tcPr>
          <w:p w14:paraId="04F5DC78" w14:textId="77777777" w:rsidR="00DE64BC" w:rsidRPr="00256982" w:rsidRDefault="00DE64BC" w:rsidP="00A808C7">
            <w:pPr>
              <w:pStyle w:val="TableText"/>
              <w:rPr>
                <w:rFonts w:cs="Arial"/>
                <w:color w:val="000000"/>
                <w:szCs w:val="16"/>
              </w:rPr>
            </w:pPr>
            <w:r w:rsidRPr="00256982">
              <w:rPr>
                <w:rFonts w:cs="Arial"/>
                <w:color w:val="000000"/>
                <w:szCs w:val="16"/>
              </w:rPr>
              <w:t>1.A.4.a</w:t>
            </w:r>
          </w:p>
        </w:tc>
        <w:tc>
          <w:tcPr>
            <w:tcW w:w="3141" w:type="pct"/>
            <w:shd w:val="clear" w:color="auto" w:fill="auto"/>
          </w:tcPr>
          <w:p w14:paraId="6717991F" w14:textId="072863C6" w:rsidR="00DE64BC" w:rsidRPr="00256982" w:rsidRDefault="00DE64BC" w:rsidP="00A808C7">
            <w:pPr>
              <w:pStyle w:val="TableText"/>
              <w:rPr>
                <w:rFonts w:cs="Arial"/>
                <w:color w:val="000000"/>
                <w:szCs w:val="16"/>
              </w:rPr>
            </w:pPr>
            <w:r w:rsidRPr="00256982">
              <w:rPr>
                <w:rFonts w:cs="Arial"/>
                <w:color w:val="000000"/>
                <w:szCs w:val="16"/>
              </w:rPr>
              <w:t>Other Sectors – Commercial/</w:t>
            </w:r>
            <w:r w:rsidR="00256982" w:rsidRPr="00256982">
              <w:rPr>
                <w:rFonts w:cs="Arial"/>
                <w:color w:val="000000"/>
                <w:szCs w:val="16"/>
              </w:rPr>
              <w:t>Institutional</w:t>
            </w:r>
            <w:r w:rsidRPr="00256982">
              <w:rPr>
                <w:rFonts w:cs="Arial"/>
                <w:color w:val="000000"/>
                <w:szCs w:val="16"/>
              </w:rPr>
              <w:t xml:space="preserve"> Solid Fuels</w:t>
            </w:r>
          </w:p>
        </w:tc>
        <w:tc>
          <w:tcPr>
            <w:tcW w:w="345" w:type="pct"/>
            <w:shd w:val="clear" w:color="auto" w:fill="auto"/>
            <w:noWrap/>
          </w:tcPr>
          <w:p w14:paraId="0F5A1694" w14:textId="77777777" w:rsidR="00DE64BC" w:rsidRPr="00256982" w:rsidRDefault="00DE64BC" w:rsidP="00A808C7">
            <w:pPr>
              <w:pStyle w:val="TableText"/>
              <w:jc w:val="center"/>
              <w:rPr>
                <w:rFonts w:cs="Arial"/>
                <w:color w:val="000000"/>
                <w:szCs w:val="16"/>
              </w:rPr>
            </w:pPr>
            <w:r w:rsidRPr="00256982">
              <w:rPr>
                <w:rFonts w:cs="Arial"/>
                <w:color w:val="000000"/>
                <w:szCs w:val="16"/>
              </w:rPr>
              <w:t>CO</w:t>
            </w:r>
            <w:r w:rsidRPr="00256982">
              <w:rPr>
                <w:rFonts w:cs="Arial"/>
                <w:color w:val="000000"/>
                <w:szCs w:val="16"/>
                <w:vertAlign w:val="subscript"/>
              </w:rPr>
              <w:t>2</w:t>
            </w:r>
          </w:p>
        </w:tc>
        <w:tc>
          <w:tcPr>
            <w:tcW w:w="764" w:type="pct"/>
            <w:shd w:val="clear" w:color="auto" w:fill="auto"/>
            <w:noWrap/>
          </w:tcPr>
          <w:p w14:paraId="0E20D6DA" w14:textId="77777777" w:rsidR="00DE64BC" w:rsidRPr="00256982" w:rsidRDefault="00DE64BC" w:rsidP="00A808C7">
            <w:pPr>
              <w:pStyle w:val="TableText"/>
              <w:rPr>
                <w:rFonts w:cs="Arial"/>
                <w:color w:val="000000"/>
                <w:szCs w:val="16"/>
              </w:rPr>
            </w:pPr>
            <w:r w:rsidRPr="00256982">
              <w:rPr>
                <w:rFonts w:cs="Arial"/>
                <w:color w:val="000000"/>
                <w:szCs w:val="16"/>
              </w:rPr>
              <w:t>T1</w:t>
            </w:r>
          </w:p>
        </w:tc>
      </w:tr>
      <w:tr w:rsidR="00DE64BC" w:rsidRPr="00256982" w14:paraId="4C8D2400" w14:textId="77777777" w:rsidTr="00BB670B">
        <w:tc>
          <w:tcPr>
            <w:tcW w:w="750" w:type="pct"/>
            <w:tcMar>
              <w:right w:w="85" w:type="dxa"/>
            </w:tcMar>
          </w:tcPr>
          <w:p w14:paraId="38E846CD" w14:textId="77777777" w:rsidR="00DE64BC" w:rsidRPr="00256982" w:rsidRDefault="00DE64BC" w:rsidP="00A808C7">
            <w:pPr>
              <w:pStyle w:val="TableText"/>
              <w:rPr>
                <w:rFonts w:cs="Arial"/>
                <w:szCs w:val="16"/>
              </w:rPr>
            </w:pPr>
            <w:r w:rsidRPr="00256982">
              <w:rPr>
                <w:rFonts w:cs="Arial"/>
                <w:color w:val="000000"/>
                <w:szCs w:val="16"/>
              </w:rPr>
              <w:t>1.A.4.b</w:t>
            </w:r>
          </w:p>
        </w:tc>
        <w:tc>
          <w:tcPr>
            <w:tcW w:w="3141" w:type="pct"/>
            <w:shd w:val="clear" w:color="auto" w:fill="auto"/>
          </w:tcPr>
          <w:p w14:paraId="41F0F11A" w14:textId="77777777" w:rsidR="00DE64BC" w:rsidRPr="00256982" w:rsidRDefault="00DE64BC" w:rsidP="00A808C7">
            <w:pPr>
              <w:pStyle w:val="TableText"/>
              <w:rPr>
                <w:rFonts w:cs="Arial"/>
                <w:szCs w:val="16"/>
              </w:rPr>
            </w:pPr>
            <w:r w:rsidRPr="00256982">
              <w:rPr>
                <w:rFonts w:cs="Arial"/>
                <w:color w:val="000000"/>
                <w:szCs w:val="16"/>
              </w:rPr>
              <w:t>Other Sectors – Residential Gaseous Fuels</w:t>
            </w:r>
          </w:p>
        </w:tc>
        <w:tc>
          <w:tcPr>
            <w:tcW w:w="345" w:type="pct"/>
            <w:shd w:val="clear" w:color="auto" w:fill="auto"/>
            <w:noWrap/>
          </w:tcPr>
          <w:p w14:paraId="535E48FD" w14:textId="77777777" w:rsidR="00DE64BC" w:rsidRPr="00256982" w:rsidRDefault="00DE64BC" w:rsidP="00A808C7">
            <w:pPr>
              <w:pStyle w:val="TableText"/>
              <w:jc w:val="center"/>
              <w:rPr>
                <w:rFonts w:cs="Arial"/>
                <w:color w:val="000000"/>
                <w:szCs w:val="16"/>
              </w:rPr>
            </w:pPr>
            <w:r w:rsidRPr="00256982">
              <w:rPr>
                <w:rFonts w:cs="Arial"/>
                <w:color w:val="000000"/>
                <w:szCs w:val="16"/>
              </w:rPr>
              <w:t>CO</w:t>
            </w:r>
            <w:r w:rsidRPr="00256982">
              <w:rPr>
                <w:rFonts w:cs="Arial"/>
                <w:color w:val="000000"/>
                <w:szCs w:val="16"/>
                <w:vertAlign w:val="subscript"/>
              </w:rPr>
              <w:t>2</w:t>
            </w:r>
          </w:p>
        </w:tc>
        <w:tc>
          <w:tcPr>
            <w:tcW w:w="764" w:type="pct"/>
            <w:shd w:val="clear" w:color="auto" w:fill="auto"/>
            <w:noWrap/>
          </w:tcPr>
          <w:p w14:paraId="6322E3E1" w14:textId="77777777" w:rsidR="00DE64BC" w:rsidRPr="00256982" w:rsidRDefault="00DE64BC" w:rsidP="00A808C7">
            <w:pPr>
              <w:pStyle w:val="TableText"/>
              <w:rPr>
                <w:rFonts w:cs="Arial"/>
                <w:color w:val="000000"/>
                <w:szCs w:val="16"/>
              </w:rPr>
            </w:pPr>
            <w:r w:rsidRPr="00256982">
              <w:rPr>
                <w:rFonts w:cs="Arial"/>
                <w:color w:val="000000"/>
                <w:szCs w:val="16"/>
              </w:rPr>
              <w:t>L1, T1</w:t>
            </w:r>
          </w:p>
        </w:tc>
      </w:tr>
      <w:tr w:rsidR="00DE64BC" w:rsidRPr="00256982" w14:paraId="390554C8" w14:textId="77777777" w:rsidTr="00BB670B">
        <w:tc>
          <w:tcPr>
            <w:tcW w:w="750" w:type="pct"/>
            <w:tcMar>
              <w:right w:w="85" w:type="dxa"/>
            </w:tcMar>
          </w:tcPr>
          <w:p w14:paraId="5DAAF81A" w14:textId="77777777" w:rsidR="00DE64BC" w:rsidRPr="00256982" w:rsidRDefault="00DE64BC" w:rsidP="00A808C7">
            <w:pPr>
              <w:pStyle w:val="TableText"/>
              <w:rPr>
                <w:rFonts w:cs="Arial"/>
                <w:szCs w:val="16"/>
              </w:rPr>
            </w:pPr>
            <w:r w:rsidRPr="00256982">
              <w:rPr>
                <w:rFonts w:cs="Arial"/>
                <w:color w:val="000000"/>
                <w:szCs w:val="16"/>
              </w:rPr>
              <w:t>1.A.4.b</w:t>
            </w:r>
          </w:p>
        </w:tc>
        <w:tc>
          <w:tcPr>
            <w:tcW w:w="3141" w:type="pct"/>
            <w:shd w:val="clear" w:color="auto" w:fill="auto"/>
          </w:tcPr>
          <w:p w14:paraId="02FCF110" w14:textId="77777777" w:rsidR="00DE64BC" w:rsidRPr="00256982" w:rsidRDefault="00DE64BC" w:rsidP="00A808C7">
            <w:pPr>
              <w:pStyle w:val="TableText"/>
              <w:rPr>
                <w:rFonts w:cs="Arial"/>
                <w:szCs w:val="16"/>
              </w:rPr>
            </w:pPr>
            <w:r w:rsidRPr="00256982">
              <w:rPr>
                <w:rFonts w:cs="Arial"/>
                <w:color w:val="000000"/>
                <w:szCs w:val="16"/>
              </w:rPr>
              <w:t>Other Sectors – Residential Liquid Fuels</w:t>
            </w:r>
          </w:p>
        </w:tc>
        <w:tc>
          <w:tcPr>
            <w:tcW w:w="345" w:type="pct"/>
            <w:shd w:val="clear" w:color="auto" w:fill="auto"/>
            <w:noWrap/>
          </w:tcPr>
          <w:p w14:paraId="3CB8B0B4" w14:textId="77777777" w:rsidR="00DE64BC" w:rsidRPr="00256982" w:rsidRDefault="00DE64BC" w:rsidP="00A808C7">
            <w:pPr>
              <w:pStyle w:val="TableText"/>
              <w:jc w:val="center"/>
              <w:rPr>
                <w:rFonts w:cs="Arial"/>
                <w:color w:val="000000"/>
                <w:szCs w:val="16"/>
              </w:rPr>
            </w:pPr>
            <w:r w:rsidRPr="00256982">
              <w:rPr>
                <w:rFonts w:cs="Arial"/>
                <w:color w:val="000000"/>
                <w:szCs w:val="16"/>
              </w:rPr>
              <w:t>CO</w:t>
            </w:r>
            <w:r w:rsidRPr="00256982">
              <w:rPr>
                <w:rFonts w:cs="Arial"/>
                <w:color w:val="000000"/>
                <w:szCs w:val="16"/>
                <w:vertAlign w:val="subscript"/>
              </w:rPr>
              <w:t>2</w:t>
            </w:r>
          </w:p>
        </w:tc>
        <w:tc>
          <w:tcPr>
            <w:tcW w:w="764" w:type="pct"/>
            <w:shd w:val="clear" w:color="auto" w:fill="auto"/>
            <w:noWrap/>
          </w:tcPr>
          <w:p w14:paraId="145FC495" w14:textId="77777777" w:rsidR="00DE64BC" w:rsidRPr="00256982" w:rsidRDefault="00DE64BC" w:rsidP="00A808C7">
            <w:pPr>
              <w:pStyle w:val="TableText"/>
              <w:rPr>
                <w:rFonts w:cs="Arial"/>
                <w:color w:val="000000"/>
                <w:szCs w:val="16"/>
              </w:rPr>
            </w:pPr>
            <w:r w:rsidRPr="00256982">
              <w:rPr>
                <w:rFonts w:cs="Arial"/>
                <w:color w:val="000000"/>
                <w:szCs w:val="16"/>
              </w:rPr>
              <w:t>L1</w:t>
            </w:r>
          </w:p>
        </w:tc>
      </w:tr>
      <w:tr w:rsidR="00DE64BC" w:rsidRPr="00256982" w14:paraId="638BC810" w14:textId="77777777" w:rsidTr="00BB670B">
        <w:tc>
          <w:tcPr>
            <w:tcW w:w="750" w:type="pct"/>
            <w:tcMar>
              <w:right w:w="85" w:type="dxa"/>
            </w:tcMar>
          </w:tcPr>
          <w:p w14:paraId="1C924F88" w14:textId="77777777" w:rsidR="00DE64BC" w:rsidRPr="00256982" w:rsidRDefault="00DE64BC" w:rsidP="00A808C7">
            <w:pPr>
              <w:pStyle w:val="TableText"/>
              <w:rPr>
                <w:rFonts w:cs="Arial"/>
                <w:szCs w:val="16"/>
              </w:rPr>
            </w:pPr>
            <w:r w:rsidRPr="00256982">
              <w:rPr>
                <w:rFonts w:cs="Arial"/>
                <w:color w:val="000000"/>
                <w:szCs w:val="16"/>
              </w:rPr>
              <w:t>1.A.4.b</w:t>
            </w:r>
          </w:p>
        </w:tc>
        <w:tc>
          <w:tcPr>
            <w:tcW w:w="3141" w:type="pct"/>
            <w:shd w:val="clear" w:color="auto" w:fill="auto"/>
          </w:tcPr>
          <w:p w14:paraId="3401C3D6" w14:textId="77777777" w:rsidR="00DE64BC" w:rsidRPr="00256982" w:rsidRDefault="00DE64BC" w:rsidP="00A808C7">
            <w:pPr>
              <w:pStyle w:val="TableText"/>
              <w:rPr>
                <w:rFonts w:cs="Arial"/>
                <w:szCs w:val="16"/>
              </w:rPr>
            </w:pPr>
            <w:r w:rsidRPr="00256982">
              <w:rPr>
                <w:rFonts w:cs="Arial"/>
                <w:color w:val="000000"/>
                <w:szCs w:val="16"/>
              </w:rPr>
              <w:t>Other Sectors – Residential Solid Fuels</w:t>
            </w:r>
          </w:p>
        </w:tc>
        <w:tc>
          <w:tcPr>
            <w:tcW w:w="345" w:type="pct"/>
            <w:shd w:val="clear" w:color="auto" w:fill="auto"/>
            <w:noWrap/>
          </w:tcPr>
          <w:p w14:paraId="42C2C1C2" w14:textId="77777777" w:rsidR="00DE64BC" w:rsidRPr="00256982" w:rsidRDefault="00DE64BC" w:rsidP="00A808C7">
            <w:pPr>
              <w:pStyle w:val="TableText"/>
              <w:jc w:val="center"/>
              <w:rPr>
                <w:rFonts w:cs="Arial"/>
                <w:color w:val="000000"/>
                <w:szCs w:val="16"/>
              </w:rPr>
            </w:pPr>
            <w:r w:rsidRPr="00256982">
              <w:rPr>
                <w:rFonts w:cs="Arial"/>
                <w:color w:val="000000"/>
                <w:szCs w:val="16"/>
              </w:rPr>
              <w:t>CO</w:t>
            </w:r>
            <w:r w:rsidRPr="00256982">
              <w:rPr>
                <w:rFonts w:cs="Arial"/>
                <w:color w:val="000000"/>
                <w:szCs w:val="16"/>
                <w:vertAlign w:val="subscript"/>
              </w:rPr>
              <w:t>2</w:t>
            </w:r>
          </w:p>
        </w:tc>
        <w:tc>
          <w:tcPr>
            <w:tcW w:w="764" w:type="pct"/>
            <w:shd w:val="clear" w:color="auto" w:fill="auto"/>
            <w:noWrap/>
          </w:tcPr>
          <w:p w14:paraId="44900139" w14:textId="77777777" w:rsidR="00DE64BC" w:rsidRPr="00256982" w:rsidRDefault="00DE64BC" w:rsidP="00A808C7">
            <w:pPr>
              <w:pStyle w:val="TableText"/>
              <w:rPr>
                <w:rFonts w:cs="Arial"/>
                <w:color w:val="000000"/>
                <w:szCs w:val="16"/>
              </w:rPr>
            </w:pPr>
            <w:r w:rsidRPr="00256982">
              <w:rPr>
                <w:rFonts w:cs="Arial"/>
                <w:color w:val="000000"/>
                <w:szCs w:val="16"/>
              </w:rPr>
              <w:t>T1</w:t>
            </w:r>
          </w:p>
        </w:tc>
      </w:tr>
      <w:tr w:rsidR="00DE64BC" w:rsidRPr="00256982" w14:paraId="5BC9B079" w14:textId="77777777" w:rsidTr="00BB670B">
        <w:tc>
          <w:tcPr>
            <w:tcW w:w="750" w:type="pct"/>
            <w:tcMar>
              <w:right w:w="85" w:type="dxa"/>
            </w:tcMar>
          </w:tcPr>
          <w:p w14:paraId="0486FE49" w14:textId="77777777" w:rsidR="00DE64BC" w:rsidRPr="00256982" w:rsidRDefault="00DE64BC" w:rsidP="00A808C7">
            <w:pPr>
              <w:pStyle w:val="TableText"/>
              <w:rPr>
                <w:rFonts w:cs="Arial"/>
                <w:szCs w:val="16"/>
              </w:rPr>
            </w:pPr>
            <w:r w:rsidRPr="00256982">
              <w:rPr>
                <w:rFonts w:cs="Arial"/>
                <w:color w:val="000000"/>
                <w:szCs w:val="16"/>
              </w:rPr>
              <w:t>1.A.4.c</w:t>
            </w:r>
          </w:p>
        </w:tc>
        <w:tc>
          <w:tcPr>
            <w:tcW w:w="3141" w:type="pct"/>
            <w:shd w:val="clear" w:color="auto" w:fill="auto"/>
          </w:tcPr>
          <w:p w14:paraId="49D5DC48" w14:textId="77777777" w:rsidR="00DE64BC" w:rsidRPr="00256982" w:rsidRDefault="00DE64BC" w:rsidP="00A808C7">
            <w:pPr>
              <w:pStyle w:val="TableText"/>
              <w:rPr>
                <w:rFonts w:cs="Arial"/>
                <w:szCs w:val="16"/>
              </w:rPr>
            </w:pPr>
            <w:r w:rsidRPr="00256982">
              <w:rPr>
                <w:rFonts w:cs="Arial"/>
                <w:color w:val="000000"/>
                <w:szCs w:val="16"/>
              </w:rPr>
              <w:t>Other Sectors – Agriculture/Forestry/Fishing Liquid Fuels</w:t>
            </w:r>
          </w:p>
        </w:tc>
        <w:tc>
          <w:tcPr>
            <w:tcW w:w="345" w:type="pct"/>
            <w:shd w:val="clear" w:color="auto" w:fill="auto"/>
            <w:noWrap/>
          </w:tcPr>
          <w:p w14:paraId="2C70A4FA" w14:textId="77777777" w:rsidR="00DE64BC" w:rsidRPr="00256982" w:rsidRDefault="00DE64BC" w:rsidP="00A808C7">
            <w:pPr>
              <w:pStyle w:val="TableText"/>
              <w:jc w:val="center"/>
              <w:rPr>
                <w:rFonts w:cs="Arial"/>
                <w:color w:val="000000"/>
                <w:szCs w:val="16"/>
              </w:rPr>
            </w:pPr>
            <w:r w:rsidRPr="00256982">
              <w:rPr>
                <w:rFonts w:cs="Arial"/>
                <w:color w:val="000000"/>
                <w:szCs w:val="16"/>
              </w:rPr>
              <w:t>CO</w:t>
            </w:r>
            <w:r w:rsidRPr="00256982">
              <w:rPr>
                <w:rFonts w:cs="Arial"/>
                <w:color w:val="000000"/>
                <w:szCs w:val="16"/>
                <w:vertAlign w:val="subscript"/>
              </w:rPr>
              <w:t>2</w:t>
            </w:r>
          </w:p>
        </w:tc>
        <w:tc>
          <w:tcPr>
            <w:tcW w:w="764" w:type="pct"/>
            <w:shd w:val="clear" w:color="auto" w:fill="auto"/>
            <w:noWrap/>
          </w:tcPr>
          <w:p w14:paraId="7875D718" w14:textId="77777777" w:rsidR="00DE64BC" w:rsidRPr="00256982" w:rsidRDefault="00DE64BC" w:rsidP="00A808C7">
            <w:pPr>
              <w:pStyle w:val="TableText"/>
              <w:rPr>
                <w:rFonts w:cs="Arial"/>
                <w:color w:val="000000"/>
                <w:szCs w:val="16"/>
              </w:rPr>
            </w:pPr>
            <w:r w:rsidRPr="00256982">
              <w:rPr>
                <w:rFonts w:cs="Arial"/>
                <w:color w:val="000000"/>
                <w:szCs w:val="16"/>
              </w:rPr>
              <w:t>L1, T1</w:t>
            </w:r>
          </w:p>
        </w:tc>
      </w:tr>
      <w:tr w:rsidR="00DE64BC" w:rsidRPr="00256982" w14:paraId="31E1A82A" w14:textId="77777777" w:rsidTr="00BB670B">
        <w:tc>
          <w:tcPr>
            <w:tcW w:w="750" w:type="pct"/>
            <w:tcMar>
              <w:right w:w="85" w:type="dxa"/>
            </w:tcMar>
          </w:tcPr>
          <w:p w14:paraId="6383FC6E" w14:textId="77777777" w:rsidR="00DE64BC" w:rsidRPr="00256982" w:rsidRDefault="00DE64BC" w:rsidP="00A808C7">
            <w:pPr>
              <w:pStyle w:val="TableText"/>
              <w:rPr>
                <w:rFonts w:cs="Arial"/>
                <w:color w:val="000000"/>
                <w:szCs w:val="16"/>
              </w:rPr>
            </w:pPr>
            <w:r w:rsidRPr="00256982">
              <w:rPr>
                <w:rFonts w:cs="Arial"/>
                <w:color w:val="000000"/>
                <w:szCs w:val="16"/>
              </w:rPr>
              <w:t>1.A.4.c</w:t>
            </w:r>
          </w:p>
        </w:tc>
        <w:tc>
          <w:tcPr>
            <w:tcW w:w="3141" w:type="pct"/>
            <w:shd w:val="clear" w:color="auto" w:fill="auto"/>
          </w:tcPr>
          <w:p w14:paraId="5977E612" w14:textId="77777777" w:rsidR="00DE64BC" w:rsidRPr="00256982" w:rsidRDefault="00DE64BC" w:rsidP="00A808C7">
            <w:pPr>
              <w:pStyle w:val="TableText"/>
              <w:rPr>
                <w:rFonts w:cs="Arial"/>
                <w:color w:val="000000"/>
                <w:szCs w:val="16"/>
              </w:rPr>
            </w:pPr>
            <w:r w:rsidRPr="00256982">
              <w:rPr>
                <w:rFonts w:cs="Arial"/>
                <w:color w:val="000000"/>
                <w:szCs w:val="16"/>
              </w:rPr>
              <w:t>Other Sectors – Agriculture/Forestry/Fishing Solid Fuels</w:t>
            </w:r>
          </w:p>
        </w:tc>
        <w:tc>
          <w:tcPr>
            <w:tcW w:w="345" w:type="pct"/>
            <w:shd w:val="clear" w:color="auto" w:fill="auto"/>
            <w:noWrap/>
          </w:tcPr>
          <w:p w14:paraId="67C21FC5" w14:textId="77777777" w:rsidR="00DE64BC" w:rsidRPr="00256982" w:rsidRDefault="00DE64BC" w:rsidP="00A808C7">
            <w:pPr>
              <w:pStyle w:val="TableText"/>
              <w:jc w:val="center"/>
              <w:rPr>
                <w:rFonts w:cs="Arial"/>
                <w:color w:val="000000"/>
                <w:szCs w:val="16"/>
              </w:rPr>
            </w:pPr>
            <w:r w:rsidRPr="00256982">
              <w:rPr>
                <w:rFonts w:cs="Arial"/>
                <w:color w:val="000000"/>
                <w:szCs w:val="16"/>
              </w:rPr>
              <w:t>CO</w:t>
            </w:r>
            <w:r w:rsidRPr="00256982">
              <w:rPr>
                <w:rFonts w:cs="Arial"/>
                <w:color w:val="000000"/>
                <w:szCs w:val="16"/>
                <w:vertAlign w:val="subscript"/>
              </w:rPr>
              <w:t>2</w:t>
            </w:r>
          </w:p>
        </w:tc>
        <w:tc>
          <w:tcPr>
            <w:tcW w:w="764" w:type="pct"/>
            <w:shd w:val="clear" w:color="auto" w:fill="auto"/>
            <w:noWrap/>
          </w:tcPr>
          <w:p w14:paraId="1D49C39A" w14:textId="77777777" w:rsidR="00DE64BC" w:rsidRPr="00256982" w:rsidRDefault="00DE64BC" w:rsidP="00A808C7">
            <w:pPr>
              <w:pStyle w:val="TableText"/>
              <w:rPr>
                <w:rFonts w:cs="Arial"/>
                <w:color w:val="000000"/>
                <w:szCs w:val="16"/>
              </w:rPr>
            </w:pPr>
            <w:r w:rsidRPr="00256982">
              <w:rPr>
                <w:rFonts w:cs="Arial"/>
                <w:color w:val="000000"/>
                <w:szCs w:val="16"/>
              </w:rPr>
              <w:t>L1, T1</w:t>
            </w:r>
          </w:p>
        </w:tc>
      </w:tr>
      <w:tr w:rsidR="00DE64BC" w:rsidRPr="00256982" w14:paraId="18E8E8D4" w14:textId="77777777" w:rsidTr="00BB670B">
        <w:tc>
          <w:tcPr>
            <w:tcW w:w="750" w:type="pct"/>
            <w:tcMar>
              <w:right w:w="85" w:type="dxa"/>
            </w:tcMar>
          </w:tcPr>
          <w:p w14:paraId="38FD1618" w14:textId="77777777" w:rsidR="00DE64BC" w:rsidRPr="00256982" w:rsidRDefault="00DE64BC" w:rsidP="00A808C7">
            <w:pPr>
              <w:pStyle w:val="TableText"/>
              <w:rPr>
                <w:rFonts w:cs="Arial"/>
                <w:szCs w:val="16"/>
              </w:rPr>
            </w:pPr>
            <w:r w:rsidRPr="00256982">
              <w:rPr>
                <w:rFonts w:cs="Arial"/>
                <w:color w:val="000000"/>
                <w:szCs w:val="16"/>
              </w:rPr>
              <w:t>1.B.1.a.1</w:t>
            </w:r>
          </w:p>
        </w:tc>
        <w:tc>
          <w:tcPr>
            <w:tcW w:w="3141" w:type="pct"/>
            <w:shd w:val="clear" w:color="auto" w:fill="auto"/>
          </w:tcPr>
          <w:p w14:paraId="60457175" w14:textId="77777777" w:rsidR="00DE64BC" w:rsidRPr="00256982" w:rsidRDefault="00DE64BC" w:rsidP="00A808C7">
            <w:pPr>
              <w:pStyle w:val="TableText"/>
              <w:rPr>
                <w:rFonts w:cs="Arial"/>
                <w:szCs w:val="16"/>
              </w:rPr>
            </w:pPr>
            <w:r w:rsidRPr="00256982">
              <w:rPr>
                <w:rFonts w:cs="Arial"/>
                <w:color w:val="000000"/>
                <w:szCs w:val="16"/>
              </w:rPr>
              <w:t>Coal Mining and Handling – Underground Mines</w:t>
            </w:r>
          </w:p>
        </w:tc>
        <w:tc>
          <w:tcPr>
            <w:tcW w:w="345" w:type="pct"/>
            <w:shd w:val="clear" w:color="auto" w:fill="auto"/>
            <w:noWrap/>
          </w:tcPr>
          <w:p w14:paraId="631E6E11" w14:textId="77777777" w:rsidR="00DE64BC" w:rsidRPr="00256982" w:rsidRDefault="00DE64BC" w:rsidP="00A808C7">
            <w:pPr>
              <w:pStyle w:val="TableText"/>
              <w:jc w:val="center"/>
              <w:rPr>
                <w:rFonts w:cs="Arial"/>
                <w:color w:val="000000"/>
                <w:szCs w:val="16"/>
              </w:rPr>
            </w:pPr>
            <w:r w:rsidRPr="00256982">
              <w:rPr>
                <w:rFonts w:cs="Arial"/>
                <w:color w:val="000000"/>
                <w:szCs w:val="16"/>
              </w:rPr>
              <w:t>CH</w:t>
            </w:r>
            <w:r w:rsidRPr="00256982">
              <w:rPr>
                <w:rFonts w:cs="Arial"/>
                <w:color w:val="000000"/>
                <w:szCs w:val="16"/>
                <w:vertAlign w:val="subscript"/>
              </w:rPr>
              <w:t>4</w:t>
            </w:r>
          </w:p>
        </w:tc>
        <w:tc>
          <w:tcPr>
            <w:tcW w:w="764" w:type="pct"/>
            <w:shd w:val="clear" w:color="auto" w:fill="auto"/>
            <w:noWrap/>
          </w:tcPr>
          <w:p w14:paraId="217176D7" w14:textId="77777777" w:rsidR="00DE64BC" w:rsidRPr="00256982" w:rsidRDefault="00DE64BC" w:rsidP="00A808C7">
            <w:pPr>
              <w:pStyle w:val="TableText"/>
              <w:rPr>
                <w:rFonts w:cs="Arial"/>
                <w:color w:val="000000"/>
                <w:szCs w:val="16"/>
              </w:rPr>
            </w:pPr>
            <w:r w:rsidRPr="00256982">
              <w:rPr>
                <w:rFonts w:cs="Arial"/>
                <w:color w:val="000000"/>
                <w:szCs w:val="16"/>
              </w:rPr>
              <w:t>T1</w:t>
            </w:r>
          </w:p>
        </w:tc>
      </w:tr>
      <w:tr w:rsidR="00DE64BC" w:rsidRPr="00256982" w14:paraId="27C0FBEF" w14:textId="77777777" w:rsidTr="00BB670B">
        <w:tc>
          <w:tcPr>
            <w:tcW w:w="750" w:type="pct"/>
            <w:tcMar>
              <w:right w:w="85" w:type="dxa"/>
            </w:tcMar>
          </w:tcPr>
          <w:p w14:paraId="3A38D4DF" w14:textId="77777777" w:rsidR="00DE64BC" w:rsidRPr="00256982" w:rsidRDefault="00DE64BC" w:rsidP="00A808C7">
            <w:pPr>
              <w:pStyle w:val="TableText"/>
              <w:rPr>
                <w:rFonts w:cs="Arial"/>
                <w:szCs w:val="16"/>
              </w:rPr>
            </w:pPr>
            <w:r w:rsidRPr="00256982">
              <w:rPr>
                <w:rFonts w:cs="Arial"/>
                <w:color w:val="000000"/>
                <w:szCs w:val="16"/>
              </w:rPr>
              <w:t>1.B.2.b.5</w:t>
            </w:r>
          </w:p>
        </w:tc>
        <w:tc>
          <w:tcPr>
            <w:tcW w:w="3141" w:type="pct"/>
            <w:shd w:val="clear" w:color="auto" w:fill="auto"/>
          </w:tcPr>
          <w:p w14:paraId="314B5045" w14:textId="77777777" w:rsidR="00DE64BC" w:rsidRPr="00256982" w:rsidRDefault="00DE64BC" w:rsidP="00A808C7">
            <w:pPr>
              <w:pStyle w:val="TableText"/>
              <w:rPr>
                <w:rFonts w:cs="Arial"/>
                <w:szCs w:val="16"/>
              </w:rPr>
            </w:pPr>
            <w:r w:rsidRPr="00256982">
              <w:rPr>
                <w:rFonts w:cs="Arial"/>
                <w:color w:val="000000"/>
                <w:szCs w:val="16"/>
              </w:rPr>
              <w:t>Natural Gas – Distribution</w:t>
            </w:r>
          </w:p>
        </w:tc>
        <w:tc>
          <w:tcPr>
            <w:tcW w:w="345" w:type="pct"/>
            <w:shd w:val="clear" w:color="auto" w:fill="auto"/>
            <w:noWrap/>
          </w:tcPr>
          <w:p w14:paraId="31533811" w14:textId="77777777" w:rsidR="00DE64BC" w:rsidRPr="00256982" w:rsidRDefault="00DE64BC" w:rsidP="00A808C7">
            <w:pPr>
              <w:pStyle w:val="TableText"/>
              <w:jc w:val="center"/>
              <w:rPr>
                <w:rFonts w:cs="Arial"/>
                <w:color w:val="000000"/>
                <w:szCs w:val="16"/>
              </w:rPr>
            </w:pPr>
            <w:r w:rsidRPr="00256982">
              <w:rPr>
                <w:rFonts w:cs="Arial"/>
                <w:color w:val="000000"/>
                <w:szCs w:val="16"/>
              </w:rPr>
              <w:t>CH</w:t>
            </w:r>
            <w:r w:rsidRPr="00256982">
              <w:rPr>
                <w:rFonts w:cs="Arial"/>
                <w:color w:val="000000"/>
                <w:szCs w:val="16"/>
                <w:vertAlign w:val="subscript"/>
              </w:rPr>
              <w:t>4</w:t>
            </w:r>
          </w:p>
        </w:tc>
        <w:tc>
          <w:tcPr>
            <w:tcW w:w="764" w:type="pct"/>
            <w:shd w:val="clear" w:color="auto" w:fill="auto"/>
            <w:noWrap/>
          </w:tcPr>
          <w:p w14:paraId="609AA536" w14:textId="77777777" w:rsidR="00DE64BC" w:rsidRPr="00256982" w:rsidRDefault="00DE64BC" w:rsidP="00A808C7">
            <w:pPr>
              <w:pStyle w:val="TableText"/>
              <w:rPr>
                <w:rFonts w:cs="Arial"/>
                <w:color w:val="000000"/>
                <w:szCs w:val="16"/>
              </w:rPr>
            </w:pPr>
            <w:r w:rsidRPr="00256982">
              <w:rPr>
                <w:rFonts w:cs="Arial"/>
                <w:color w:val="000000"/>
                <w:szCs w:val="16"/>
              </w:rPr>
              <w:t>L1, T1</w:t>
            </w:r>
          </w:p>
        </w:tc>
      </w:tr>
      <w:tr w:rsidR="00DE64BC" w:rsidRPr="00256982" w14:paraId="19926383" w14:textId="77777777" w:rsidTr="00BB670B">
        <w:tc>
          <w:tcPr>
            <w:tcW w:w="750" w:type="pct"/>
            <w:tcMar>
              <w:right w:w="85" w:type="dxa"/>
            </w:tcMar>
          </w:tcPr>
          <w:p w14:paraId="318DC835" w14:textId="77777777" w:rsidR="00DE64BC" w:rsidRPr="00256982" w:rsidRDefault="00DE64BC" w:rsidP="00A808C7">
            <w:pPr>
              <w:pStyle w:val="TableText"/>
              <w:rPr>
                <w:rFonts w:cs="Arial"/>
                <w:szCs w:val="16"/>
              </w:rPr>
            </w:pPr>
            <w:r w:rsidRPr="00256982">
              <w:rPr>
                <w:rFonts w:cs="Arial"/>
                <w:color w:val="000000"/>
                <w:szCs w:val="16"/>
              </w:rPr>
              <w:t>1.B.2.c.1.ii</w:t>
            </w:r>
          </w:p>
        </w:tc>
        <w:tc>
          <w:tcPr>
            <w:tcW w:w="3141" w:type="pct"/>
            <w:shd w:val="clear" w:color="auto" w:fill="auto"/>
          </w:tcPr>
          <w:p w14:paraId="27465E90" w14:textId="77777777" w:rsidR="00DE64BC" w:rsidRPr="00256982" w:rsidRDefault="00DE64BC" w:rsidP="00A808C7">
            <w:pPr>
              <w:pStyle w:val="TableText"/>
              <w:rPr>
                <w:rFonts w:cs="Arial"/>
                <w:szCs w:val="16"/>
              </w:rPr>
            </w:pPr>
            <w:r w:rsidRPr="00256982">
              <w:rPr>
                <w:rFonts w:cs="Arial"/>
                <w:color w:val="000000"/>
                <w:szCs w:val="16"/>
              </w:rPr>
              <w:t>Venting – Gas</w:t>
            </w:r>
          </w:p>
        </w:tc>
        <w:tc>
          <w:tcPr>
            <w:tcW w:w="345" w:type="pct"/>
            <w:shd w:val="clear" w:color="auto" w:fill="auto"/>
            <w:noWrap/>
          </w:tcPr>
          <w:p w14:paraId="51A694D3" w14:textId="77777777" w:rsidR="00DE64BC" w:rsidRPr="00256982" w:rsidRDefault="00DE64BC" w:rsidP="00A808C7">
            <w:pPr>
              <w:pStyle w:val="TableText"/>
              <w:jc w:val="center"/>
              <w:rPr>
                <w:rFonts w:cs="Arial"/>
                <w:color w:val="000000"/>
                <w:szCs w:val="16"/>
              </w:rPr>
            </w:pPr>
            <w:r w:rsidRPr="00256982">
              <w:rPr>
                <w:rFonts w:cs="Arial"/>
                <w:color w:val="000000"/>
                <w:szCs w:val="16"/>
              </w:rPr>
              <w:t>CO</w:t>
            </w:r>
            <w:r w:rsidRPr="00256982">
              <w:rPr>
                <w:rFonts w:cs="Arial"/>
                <w:color w:val="000000"/>
                <w:szCs w:val="16"/>
                <w:vertAlign w:val="subscript"/>
              </w:rPr>
              <w:t>2</w:t>
            </w:r>
          </w:p>
        </w:tc>
        <w:tc>
          <w:tcPr>
            <w:tcW w:w="764" w:type="pct"/>
            <w:shd w:val="clear" w:color="auto" w:fill="auto"/>
            <w:noWrap/>
          </w:tcPr>
          <w:p w14:paraId="7EA84CAC" w14:textId="77777777" w:rsidR="00DE64BC" w:rsidRPr="00256982" w:rsidRDefault="00DE64BC" w:rsidP="00A808C7">
            <w:pPr>
              <w:pStyle w:val="TableText"/>
              <w:rPr>
                <w:rFonts w:cs="Arial"/>
                <w:color w:val="000000"/>
                <w:szCs w:val="16"/>
              </w:rPr>
            </w:pPr>
            <w:r w:rsidRPr="00256982">
              <w:rPr>
                <w:rFonts w:cs="Arial"/>
                <w:color w:val="000000"/>
                <w:szCs w:val="16"/>
              </w:rPr>
              <w:t>L1, T1</w:t>
            </w:r>
          </w:p>
        </w:tc>
      </w:tr>
      <w:tr w:rsidR="00DE64BC" w:rsidRPr="00256982" w14:paraId="77A120A6" w14:textId="77777777" w:rsidTr="00BB670B">
        <w:tc>
          <w:tcPr>
            <w:tcW w:w="750" w:type="pct"/>
            <w:tcMar>
              <w:right w:w="85" w:type="dxa"/>
            </w:tcMar>
          </w:tcPr>
          <w:p w14:paraId="20006A57" w14:textId="77777777" w:rsidR="00DE64BC" w:rsidRPr="00256982" w:rsidRDefault="00DE64BC" w:rsidP="00A808C7">
            <w:pPr>
              <w:pStyle w:val="TableText"/>
              <w:rPr>
                <w:rFonts w:cs="Arial"/>
                <w:szCs w:val="16"/>
              </w:rPr>
            </w:pPr>
            <w:r w:rsidRPr="00256982">
              <w:rPr>
                <w:rFonts w:cs="Arial"/>
                <w:color w:val="000000"/>
                <w:szCs w:val="16"/>
              </w:rPr>
              <w:t>1.B.2.c.2.iii</w:t>
            </w:r>
          </w:p>
        </w:tc>
        <w:tc>
          <w:tcPr>
            <w:tcW w:w="3141" w:type="pct"/>
            <w:shd w:val="clear" w:color="auto" w:fill="auto"/>
          </w:tcPr>
          <w:p w14:paraId="4AFC459A" w14:textId="77777777" w:rsidR="00DE64BC" w:rsidRPr="00256982" w:rsidRDefault="00DE64BC" w:rsidP="00A808C7">
            <w:pPr>
              <w:pStyle w:val="TableText"/>
              <w:rPr>
                <w:rFonts w:cs="Arial"/>
                <w:szCs w:val="16"/>
              </w:rPr>
            </w:pPr>
            <w:r w:rsidRPr="00256982">
              <w:rPr>
                <w:rFonts w:cs="Arial"/>
                <w:color w:val="000000"/>
                <w:szCs w:val="16"/>
              </w:rPr>
              <w:t>Flaring – Combined</w:t>
            </w:r>
          </w:p>
        </w:tc>
        <w:tc>
          <w:tcPr>
            <w:tcW w:w="345" w:type="pct"/>
            <w:shd w:val="clear" w:color="auto" w:fill="auto"/>
            <w:noWrap/>
          </w:tcPr>
          <w:p w14:paraId="4B06EF0D" w14:textId="77777777" w:rsidR="00DE64BC" w:rsidRPr="00256982" w:rsidRDefault="00DE64BC" w:rsidP="00A808C7">
            <w:pPr>
              <w:pStyle w:val="TableText"/>
              <w:jc w:val="center"/>
              <w:rPr>
                <w:rFonts w:cs="Arial"/>
                <w:color w:val="000000"/>
                <w:szCs w:val="16"/>
              </w:rPr>
            </w:pPr>
            <w:r w:rsidRPr="00256982">
              <w:rPr>
                <w:rFonts w:cs="Arial"/>
                <w:color w:val="000000"/>
                <w:szCs w:val="16"/>
              </w:rPr>
              <w:t>CO</w:t>
            </w:r>
            <w:r w:rsidRPr="00256982">
              <w:rPr>
                <w:rFonts w:cs="Arial"/>
                <w:color w:val="000000"/>
                <w:szCs w:val="16"/>
                <w:vertAlign w:val="subscript"/>
              </w:rPr>
              <w:t>2</w:t>
            </w:r>
          </w:p>
        </w:tc>
        <w:tc>
          <w:tcPr>
            <w:tcW w:w="764" w:type="pct"/>
            <w:shd w:val="clear" w:color="auto" w:fill="auto"/>
            <w:noWrap/>
          </w:tcPr>
          <w:p w14:paraId="640D91D9" w14:textId="77777777" w:rsidR="00DE64BC" w:rsidRPr="00256982" w:rsidRDefault="00DE64BC" w:rsidP="00A808C7">
            <w:pPr>
              <w:pStyle w:val="TableText"/>
              <w:rPr>
                <w:rFonts w:cs="Arial"/>
                <w:color w:val="000000"/>
                <w:szCs w:val="16"/>
              </w:rPr>
            </w:pPr>
            <w:r w:rsidRPr="00256982">
              <w:rPr>
                <w:rFonts w:cs="Arial"/>
                <w:color w:val="000000"/>
                <w:szCs w:val="16"/>
              </w:rPr>
              <w:t>L1, T1</w:t>
            </w:r>
          </w:p>
        </w:tc>
      </w:tr>
      <w:tr w:rsidR="00DE64BC" w:rsidRPr="00256982" w14:paraId="21A64B57" w14:textId="77777777" w:rsidTr="00BB670B">
        <w:tc>
          <w:tcPr>
            <w:tcW w:w="750" w:type="pct"/>
            <w:tcMar>
              <w:right w:w="85" w:type="dxa"/>
            </w:tcMar>
          </w:tcPr>
          <w:p w14:paraId="7B6E72F1" w14:textId="77777777" w:rsidR="00DE64BC" w:rsidRPr="00256982" w:rsidRDefault="00DE64BC" w:rsidP="00A808C7">
            <w:pPr>
              <w:pStyle w:val="TableText"/>
              <w:rPr>
                <w:rFonts w:cs="Arial"/>
                <w:szCs w:val="16"/>
              </w:rPr>
            </w:pPr>
            <w:r w:rsidRPr="00256982">
              <w:rPr>
                <w:rFonts w:cs="Arial"/>
                <w:color w:val="000000"/>
                <w:szCs w:val="16"/>
              </w:rPr>
              <w:t>1.B.2.d</w:t>
            </w:r>
          </w:p>
        </w:tc>
        <w:tc>
          <w:tcPr>
            <w:tcW w:w="3141" w:type="pct"/>
            <w:shd w:val="clear" w:color="auto" w:fill="auto"/>
          </w:tcPr>
          <w:p w14:paraId="573C8475" w14:textId="77777777" w:rsidR="00DE64BC" w:rsidRPr="00256982" w:rsidRDefault="00DE64BC" w:rsidP="00A808C7">
            <w:pPr>
              <w:pStyle w:val="TableText"/>
              <w:rPr>
                <w:rFonts w:cs="Arial"/>
                <w:szCs w:val="16"/>
              </w:rPr>
            </w:pPr>
            <w:r w:rsidRPr="00256982">
              <w:rPr>
                <w:rFonts w:cs="Arial"/>
                <w:color w:val="000000"/>
                <w:szCs w:val="16"/>
              </w:rPr>
              <w:t>Other (please specify) – Geothermal</w:t>
            </w:r>
          </w:p>
        </w:tc>
        <w:tc>
          <w:tcPr>
            <w:tcW w:w="345" w:type="pct"/>
            <w:shd w:val="clear" w:color="auto" w:fill="auto"/>
            <w:noWrap/>
          </w:tcPr>
          <w:p w14:paraId="47B24E8D" w14:textId="77777777" w:rsidR="00DE64BC" w:rsidRPr="00256982" w:rsidRDefault="00DE64BC" w:rsidP="00A808C7">
            <w:pPr>
              <w:pStyle w:val="TableText"/>
              <w:jc w:val="center"/>
              <w:rPr>
                <w:rFonts w:cs="Arial"/>
                <w:color w:val="000000"/>
                <w:szCs w:val="16"/>
              </w:rPr>
            </w:pPr>
            <w:r w:rsidRPr="00256982">
              <w:rPr>
                <w:rFonts w:cs="Arial"/>
                <w:color w:val="000000"/>
                <w:szCs w:val="16"/>
              </w:rPr>
              <w:t>CO</w:t>
            </w:r>
            <w:r w:rsidRPr="00256982">
              <w:rPr>
                <w:rFonts w:cs="Arial"/>
                <w:color w:val="000000"/>
                <w:szCs w:val="16"/>
                <w:vertAlign w:val="subscript"/>
              </w:rPr>
              <w:t>2</w:t>
            </w:r>
          </w:p>
        </w:tc>
        <w:tc>
          <w:tcPr>
            <w:tcW w:w="764" w:type="pct"/>
            <w:shd w:val="clear" w:color="auto" w:fill="auto"/>
            <w:noWrap/>
          </w:tcPr>
          <w:p w14:paraId="1E7C4D18" w14:textId="77777777" w:rsidR="00DE64BC" w:rsidRPr="00256982" w:rsidRDefault="00DE64BC" w:rsidP="00A808C7">
            <w:pPr>
              <w:pStyle w:val="TableText"/>
              <w:rPr>
                <w:rFonts w:cs="Arial"/>
                <w:color w:val="000000"/>
                <w:szCs w:val="16"/>
              </w:rPr>
            </w:pPr>
            <w:r w:rsidRPr="00256982">
              <w:rPr>
                <w:rFonts w:cs="Arial"/>
                <w:color w:val="000000"/>
                <w:szCs w:val="16"/>
              </w:rPr>
              <w:t>L1, T1</w:t>
            </w:r>
          </w:p>
        </w:tc>
      </w:tr>
      <w:tr w:rsidR="00DE64BC" w:rsidRPr="00256982" w14:paraId="09DDEA5E" w14:textId="77777777" w:rsidTr="00BB670B">
        <w:tc>
          <w:tcPr>
            <w:tcW w:w="750" w:type="pct"/>
            <w:tcMar>
              <w:right w:w="85" w:type="dxa"/>
            </w:tcMar>
          </w:tcPr>
          <w:p w14:paraId="03A5163C" w14:textId="77777777" w:rsidR="00DE64BC" w:rsidRPr="00256982" w:rsidRDefault="00DE64BC" w:rsidP="00A808C7">
            <w:pPr>
              <w:pStyle w:val="TableText"/>
              <w:rPr>
                <w:rFonts w:cs="Arial"/>
                <w:szCs w:val="16"/>
              </w:rPr>
            </w:pPr>
            <w:r w:rsidRPr="00256982">
              <w:rPr>
                <w:rFonts w:cs="Arial"/>
                <w:color w:val="000000"/>
                <w:szCs w:val="16"/>
              </w:rPr>
              <w:t>1.B.2.d</w:t>
            </w:r>
          </w:p>
        </w:tc>
        <w:tc>
          <w:tcPr>
            <w:tcW w:w="3141" w:type="pct"/>
            <w:shd w:val="clear" w:color="auto" w:fill="auto"/>
          </w:tcPr>
          <w:p w14:paraId="6F52B62A" w14:textId="77777777" w:rsidR="00DE64BC" w:rsidRPr="00256982" w:rsidRDefault="00DE64BC" w:rsidP="00A808C7">
            <w:pPr>
              <w:pStyle w:val="TableText"/>
              <w:rPr>
                <w:rFonts w:cs="Arial"/>
                <w:szCs w:val="16"/>
              </w:rPr>
            </w:pPr>
            <w:r w:rsidRPr="00256982">
              <w:rPr>
                <w:rFonts w:cs="Arial"/>
                <w:color w:val="000000"/>
                <w:szCs w:val="16"/>
              </w:rPr>
              <w:t>Other (please specify) – Geothermal</w:t>
            </w:r>
          </w:p>
        </w:tc>
        <w:tc>
          <w:tcPr>
            <w:tcW w:w="345" w:type="pct"/>
            <w:shd w:val="clear" w:color="auto" w:fill="auto"/>
            <w:noWrap/>
          </w:tcPr>
          <w:p w14:paraId="53235634" w14:textId="77777777" w:rsidR="00DE64BC" w:rsidRPr="00256982" w:rsidRDefault="00DE64BC" w:rsidP="00A808C7">
            <w:pPr>
              <w:pStyle w:val="TableText"/>
              <w:jc w:val="center"/>
              <w:rPr>
                <w:rFonts w:cs="Arial"/>
                <w:color w:val="000000"/>
                <w:szCs w:val="16"/>
              </w:rPr>
            </w:pPr>
            <w:r w:rsidRPr="00256982">
              <w:rPr>
                <w:rFonts w:cs="Arial"/>
                <w:color w:val="000000"/>
                <w:szCs w:val="16"/>
              </w:rPr>
              <w:t>CH</w:t>
            </w:r>
            <w:r w:rsidRPr="00256982">
              <w:rPr>
                <w:rFonts w:cs="Arial"/>
                <w:color w:val="000000"/>
                <w:szCs w:val="16"/>
                <w:vertAlign w:val="subscript"/>
              </w:rPr>
              <w:t>4</w:t>
            </w:r>
          </w:p>
        </w:tc>
        <w:tc>
          <w:tcPr>
            <w:tcW w:w="764" w:type="pct"/>
            <w:shd w:val="clear" w:color="auto" w:fill="auto"/>
            <w:noWrap/>
          </w:tcPr>
          <w:p w14:paraId="0DAEE6EE" w14:textId="77777777" w:rsidR="00DE64BC" w:rsidRPr="00256982" w:rsidRDefault="00DE64BC" w:rsidP="00A808C7">
            <w:pPr>
              <w:pStyle w:val="TableText"/>
              <w:rPr>
                <w:rFonts w:cs="Arial"/>
                <w:color w:val="000000"/>
                <w:szCs w:val="16"/>
              </w:rPr>
            </w:pPr>
            <w:r w:rsidRPr="00256982">
              <w:rPr>
                <w:rFonts w:cs="Arial"/>
                <w:color w:val="000000"/>
                <w:szCs w:val="16"/>
              </w:rPr>
              <w:t>T1</w:t>
            </w:r>
          </w:p>
        </w:tc>
      </w:tr>
      <w:tr w:rsidR="00DE64BC" w:rsidRPr="00256982" w14:paraId="55D02528" w14:textId="77777777" w:rsidTr="00BB670B">
        <w:tc>
          <w:tcPr>
            <w:tcW w:w="750" w:type="pct"/>
            <w:tcMar>
              <w:right w:w="85" w:type="dxa"/>
            </w:tcMar>
          </w:tcPr>
          <w:p w14:paraId="2174CA94" w14:textId="77777777" w:rsidR="00DE64BC" w:rsidRPr="00256982" w:rsidRDefault="00DE64BC" w:rsidP="00A808C7">
            <w:pPr>
              <w:pStyle w:val="TableText"/>
              <w:rPr>
                <w:b/>
              </w:rPr>
            </w:pPr>
            <w:r w:rsidRPr="00256982">
              <w:rPr>
                <w:b/>
              </w:rPr>
              <w:t>IPPU</w:t>
            </w:r>
          </w:p>
        </w:tc>
        <w:tc>
          <w:tcPr>
            <w:tcW w:w="3141" w:type="pct"/>
            <w:shd w:val="clear" w:color="auto" w:fill="auto"/>
          </w:tcPr>
          <w:p w14:paraId="188C4C9C" w14:textId="77777777" w:rsidR="00DE64BC" w:rsidRPr="00256982" w:rsidRDefault="00DE64BC" w:rsidP="00A808C7">
            <w:pPr>
              <w:pStyle w:val="TableText"/>
              <w:rPr>
                <w:rFonts w:cs="Arial"/>
                <w:b/>
                <w:color w:val="000000"/>
                <w:szCs w:val="16"/>
              </w:rPr>
            </w:pPr>
          </w:p>
        </w:tc>
        <w:tc>
          <w:tcPr>
            <w:tcW w:w="345" w:type="pct"/>
            <w:shd w:val="clear" w:color="auto" w:fill="auto"/>
            <w:noWrap/>
          </w:tcPr>
          <w:p w14:paraId="5963C307" w14:textId="77777777" w:rsidR="00DE64BC" w:rsidRPr="00256982" w:rsidRDefault="00DE64BC" w:rsidP="00A808C7">
            <w:pPr>
              <w:pStyle w:val="TableText"/>
              <w:jc w:val="center"/>
              <w:rPr>
                <w:rFonts w:cs="Arial"/>
                <w:b/>
                <w:color w:val="000000"/>
                <w:szCs w:val="16"/>
              </w:rPr>
            </w:pPr>
          </w:p>
        </w:tc>
        <w:tc>
          <w:tcPr>
            <w:tcW w:w="764" w:type="pct"/>
            <w:shd w:val="clear" w:color="auto" w:fill="auto"/>
            <w:noWrap/>
          </w:tcPr>
          <w:p w14:paraId="633DD2E2" w14:textId="77777777" w:rsidR="00DE64BC" w:rsidRPr="00256982" w:rsidRDefault="00DE64BC" w:rsidP="00A808C7">
            <w:pPr>
              <w:pStyle w:val="TableText"/>
              <w:rPr>
                <w:rFonts w:cs="Arial"/>
                <w:b/>
                <w:color w:val="000000"/>
                <w:szCs w:val="16"/>
              </w:rPr>
            </w:pPr>
          </w:p>
        </w:tc>
      </w:tr>
      <w:tr w:rsidR="00DE64BC" w:rsidRPr="00256982" w14:paraId="7EE79337" w14:textId="77777777" w:rsidTr="00BB670B">
        <w:tc>
          <w:tcPr>
            <w:tcW w:w="750" w:type="pct"/>
            <w:tcMar>
              <w:right w:w="85" w:type="dxa"/>
            </w:tcMar>
          </w:tcPr>
          <w:p w14:paraId="2D2E4F71" w14:textId="77777777" w:rsidR="00DE64BC" w:rsidRPr="00256982" w:rsidRDefault="00DE64BC" w:rsidP="00A808C7">
            <w:pPr>
              <w:pStyle w:val="TableText"/>
              <w:rPr>
                <w:rFonts w:cs="Arial"/>
                <w:szCs w:val="16"/>
              </w:rPr>
            </w:pPr>
            <w:r w:rsidRPr="00256982">
              <w:rPr>
                <w:rFonts w:cs="Arial"/>
                <w:color w:val="000000"/>
                <w:szCs w:val="16"/>
              </w:rPr>
              <w:t>2.A.1</w:t>
            </w:r>
          </w:p>
        </w:tc>
        <w:tc>
          <w:tcPr>
            <w:tcW w:w="3141" w:type="pct"/>
            <w:shd w:val="clear" w:color="auto" w:fill="auto"/>
          </w:tcPr>
          <w:p w14:paraId="64AA68B5" w14:textId="77777777" w:rsidR="00DE64BC" w:rsidRPr="00256982" w:rsidRDefault="00DE64BC" w:rsidP="00A808C7">
            <w:pPr>
              <w:pStyle w:val="TableText"/>
              <w:rPr>
                <w:rFonts w:cs="Arial"/>
                <w:szCs w:val="16"/>
              </w:rPr>
            </w:pPr>
            <w:r w:rsidRPr="00256982">
              <w:rPr>
                <w:rFonts w:cs="Arial"/>
                <w:color w:val="000000"/>
                <w:szCs w:val="16"/>
              </w:rPr>
              <w:t>Mineral Industry – Cement Production</w:t>
            </w:r>
          </w:p>
        </w:tc>
        <w:tc>
          <w:tcPr>
            <w:tcW w:w="345" w:type="pct"/>
            <w:shd w:val="clear" w:color="auto" w:fill="auto"/>
            <w:noWrap/>
          </w:tcPr>
          <w:p w14:paraId="787FCC9B" w14:textId="77777777" w:rsidR="00DE64BC" w:rsidRPr="00256982" w:rsidRDefault="00DE64BC" w:rsidP="00A808C7">
            <w:pPr>
              <w:pStyle w:val="TableText"/>
              <w:jc w:val="center"/>
              <w:rPr>
                <w:rFonts w:cs="Arial"/>
                <w:color w:val="000000"/>
                <w:szCs w:val="16"/>
              </w:rPr>
            </w:pPr>
            <w:r w:rsidRPr="00256982">
              <w:rPr>
                <w:rFonts w:cs="Arial"/>
                <w:color w:val="000000"/>
                <w:szCs w:val="16"/>
              </w:rPr>
              <w:t>CO</w:t>
            </w:r>
            <w:r w:rsidRPr="00256982">
              <w:rPr>
                <w:rFonts w:cs="Arial"/>
                <w:color w:val="000000"/>
                <w:szCs w:val="16"/>
                <w:vertAlign w:val="subscript"/>
              </w:rPr>
              <w:t>2</w:t>
            </w:r>
          </w:p>
        </w:tc>
        <w:tc>
          <w:tcPr>
            <w:tcW w:w="764" w:type="pct"/>
            <w:shd w:val="clear" w:color="auto" w:fill="auto"/>
            <w:noWrap/>
          </w:tcPr>
          <w:p w14:paraId="59D942E1" w14:textId="77777777" w:rsidR="00DE64BC" w:rsidRPr="00256982" w:rsidRDefault="00DE64BC" w:rsidP="00A808C7">
            <w:pPr>
              <w:pStyle w:val="TableText"/>
              <w:rPr>
                <w:rFonts w:cs="Arial"/>
                <w:color w:val="000000"/>
                <w:szCs w:val="16"/>
              </w:rPr>
            </w:pPr>
            <w:r w:rsidRPr="00256982">
              <w:rPr>
                <w:rFonts w:cs="Arial"/>
                <w:color w:val="000000"/>
                <w:szCs w:val="16"/>
              </w:rPr>
              <w:t>L1, T1</w:t>
            </w:r>
          </w:p>
        </w:tc>
      </w:tr>
      <w:tr w:rsidR="00DE64BC" w:rsidRPr="00256982" w14:paraId="2F8F857B" w14:textId="77777777" w:rsidTr="00BB670B">
        <w:tc>
          <w:tcPr>
            <w:tcW w:w="750" w:type="pct"/>
            <w:tcMar>
              <w:right w:w="85" w:type="dxa"/>
            </w:tcMar>
          </w:tcPr>
          <w:p w14:paraId="1507B140" w14:textId="77777777" w:rsidR="00DE64BC" w:rsidRPr="00256982" w:rsidRDefault="00DE64BC" w:rsidP="00A808C7">
            <w:pPr>
              <w:pStyle w:val="TableText"/>
              <w:rPr>
                <w:rFonts w:cs="Arial"/>
                <w:szCs w:val="16"/>
              </w:rPr>
            </w:pPr>
            <w:r w:rsidRPr="00256982">
              <w:rPr>
                <w:rFonts w:cs="Arial"/>
                <w:color w:val="000000"/>
                <w:szCs w:val="16"/>
              </w:rPr>
              <w:t>2.C.1</w:t>
            </w:r>
          </w:p>
        </w:tc>
        <w:tc>
          <w:tcPr>
            <w:tcW w:w="3141" w:type="pct"/>
            <w:shd w:val="clear" w:color="auto" w:fill="auto"/>
          </w:tcPr>
          <w:p w14:paraId="632798EC" w14:textId="77777777" w:rsidR="00DE64BC" w:rsidRPr="00256982" w:rsidRDefault="00DE64BC" w:rsidP="00A808C7">
            <w:pPr>
              <w:pStyle w:val="TableText"/>
              <w:rPr>
                <w:rFonts w:cs="Arial"/>
                <w:szCs w:val="16"/>
              </w:rPr>
            </w:pPr>
            <w:r w:rsidRPr="00256982">
              <w:rPr>
                <w:rFonts w:cs="Arial"/>
                <w:color w:val="000000"/>
                <w:szCs w:val="16"/>
              </w:rPr>
              <w:t>Metal Industry – Iron and Steel Production</w:t>
            </w:r>
          </w:p>
        </w:tc>
        <w:tc>
          <w:tcPr>
            <w:tcW w:w="345" w:type="pct"/>
            <w:shd w:val="clear" w:color="auto" w:fill="auto"/>
            <w:noWrap/>
          </w:tcPr>
          <w:p w14:paraId="01228A2D" w14:textId="77777777" w:rsidR="00DE64BC" w:rsidRPr="00256982" w:rsidRDefault="00DE64BC" w:rsidP="00A808C7">
            <w:pPr>
              <w:pStyle w:val="TableText"/>
              <w:jc w:val="center"/>
              <w:rPr>
                <w:rFonts w:cs="Arial"/>
                <w:color w:val="000000"/>
                <w:szCs w:val="16"/>
              </w:rPr>
            </w:pPr>
            <w:r w:rsidRPr="00256982">
              <w:rPr>
                <w:rFonts w:cs="Arial"/>
                <w:color w:val="000000"/>
                <w:szCs w:val="16"/>
              </w:rPr>
              <w:t>CO</w:t>
            </w:r>
            <w:r w:rsidRPr="00256982">
              <w:rPr>
                <w:rFonts w:cs="Arial"/>
                <w:color w:val="000000"/>
                <w:szCs w:val="16"/>
                <w:vertAlign w:val="subscript"/>
              </w:rPr>
              <w:t>2</w:t>
            </w:r>
          </w:p>
        </w:tc>
        <w:tc>
          <w:tcPr>
            <w:tcW w:w="764" w:type="pct"/>
            <w:shd w:val="clear" w:color="auto" w:fill="auto"/>
            <w:noWrap/>
          </w:tcPr>
          <w:p w14:paraId="251B9E2A" w14:textId="77777777" w:rsidR="00DE64BC" w:rsidRPr="00256982" w:rsidRDefault="00DE64BC" w:rsidP="00A808C7">
            <w:pPr>
              <w:pStyle w:val="TableText"/>
              <w:rPr>
                <w:rFonts w:cs="Arial"/>
                <w:color w:val="000000"/>
                <w:szCs w:val="16"/>
              </w:rPr>
            </w:pPr>
            <w:r w:rsidRPr="00256982">
              <w:rPr>
                <w:rFonts w:cs="Arial"/>
                <w:color w:val="000000"/>
                <w:szCs w:val="16"/>
              </w:rPr>
              <w:t>L1, T1</w:t>
            </w:r>
          </w:p>
        </w:tc>
      </w:tr>
      <w:tr w:rsidR="00DE64BC" w:rsidRPr="00256982" w14:paraId="76DFA044" w14:textId="77777777" w:rsidTr="00BB670B">
        <w:tc>
          <w:tcPr>
            <w:tcW w:w="750" w:type="pct"/>
            <w:tcMar>
              <w:right w:w="85" w:type="dxa"/>
            </w:tcMar>
          </w:tcPr>
          <w:p w14:paraId="300084F5" w14:textId="77777777" w:rsidR="00DE64BC" w:rsidRPr="00256982" w:rsidRDefault="00DE64BC" w:rsidP="00A808C7">
            <w:pPr>
              <w:pStyle w:val="TableText"/>
              <w:rPr>
                <w:rFonts w:cs="Arial"/>
                <w:szCs w:val="16"/>
              </w:rPr>
            </w:pPr>
            <w:r w:rsidRPr="00256982">
              <w:rPr>
                <w:rFonts w:cs="Arial"/>
                <w:color w:val="000000"/>
                <w:szCs w:val="16"/>
              </w:rPr>
              <w:t>2.C.3</w:t>
            </w:r>
          </w:p>
        </w:tc>
        <w:tc>
          <w:tcPr>
            <w:tcW w:w="3141" w:type="pct"/>
            <w:shd w:val="clear" w:color="auto" w:fill="auto"/>
          </w:tcPr>
          <w:p w14:paraId="1EF96EDB" w14:textId="77777777" w:rsidR="00DE64BC" w:rsidRPr="00256982" w:rsidRDefault="00DE64BC" w:rsidP="00A808C7">
            <w:pPr>
              <w:pStyle w:val="TableText"/>
              <w:rPr>
                <w:rFonts w:cs="Arial"/>
                <w:szCs w:val="16"/>
              </w:rPr>
            </w:pPr>
            <w:r w:rsidRPr="00256982">
              <w:rPr>
                <w:rFonts w:cs="Arial"/>
                <w:color w:val="000000"/>
                <w:szCs w:val="16"/>
              </w:rPr>
              <w:t>Metal Industry – Aluminium Production</w:t>
            </w:r>
          </w:p>
        </w:tc>
        <w:tc>
          <w:tcPr>
            <w:tcW w:w="345" w:type="pct"/>
            <w:shd w:val="clear" w:color="auto" w:fill="auto"/>
            <w:noWrap/>
          </w:tcPr>
          <w:p w14:paraId="621E7A19" w14:textId="77777777" w:rsidR="00DE64BC" w:rsidRPr="00256982" w:rsidRDefault="00DE64BC" w:rsidP="00A808C7">
            <w:pPr>
              <w:pStyle w:val="TableText"/>
              <w:jc w:val="center"/>
              <w:rPr>
                <w:rFonts w:cs="Arial"/>
                <w:color w:val="000000"/>
                <w:szCs w:val="16"/>
              </w:rPr>
            </w:pPr>
            <w:r w:rsidRPr="00256982">
              <w:rPr>
                <w:rFonts w:cs="Arial"/>
                <w:color w:val="000000"/>
                <w:szCs w:val="16"/>
              </w:rPr>
              <w:t>CO</w:t>
            </w:r>
            <w:r w:rsidRPr="00256982">
              <w:rPr>
                <w:rFonts w:cs="Arial"/>
                <w:color w:val="000000"/>
                <w:szCs w:val="16"/>
                <w:vertAlign w:val="subscript"/>
              </w:rPr>
              <w:t>2</w:t>
            </w:r>
          </w:p>
        </w:tc>
        <w:tc>
          <w:tcPr>
            <w:tcW w:w="764" w:type="pct"/>
            <w:shd w:val="clear" w:color="auto" w:fill="auto"/>
            <w:noWrap/>
          </w:tcPr>
          <w:p w14:paraId="463EEB8F" w14:textId="77777777" w:rsidR="00DE64BC" w:rsidRPr="00256982" w:rsidRDefault="00DE64BC" w:rsidP="00A808C7">
            <w:pPr>
              <w:pStyle w:val="TableText"/>
              <w:rPr>
                <w:rFonts w:cs="Arial"/>
                <w:color w:val="000000"/>
                <w:szCs w:val="16"/>
              </w:rPr>
            </w:pPr>
            <w:r w:rsidRPr="00256982">
              <w:rPr>
                <w:rFonts w:cs="Arial"/>
                <w:color w:val="000000"/>
                <w:szCs w:val="16"/>
              </w:rPr>
              <w:t>L1</w:t>
            </w:r>
          </w:p>
        </w:tc>
      </w:tr>
      <w:tr w:rsidR="00DE64BC" w:rsidRPr="00256982" w14:paraId="2703B33F" w14:textId="77777777" w:rsidTr="00BB670B">
        <w:tc>
          <w:tcPr>
            <w:tcW w:w="750" w:type="pct"/>
            <w:tcMar>
              <w:right w:w="85" w:type="dxa"/>
            </w:tcMar>
          </w:tcPr>
          <w:p w14:paraId="7C14504D" w14:textId="77777777" w:rsidR="00DE64BC" w:rsidRPr="00256982" w:rsidRDefault="00DE64BC" w:rsidP="00A808C7">
            <w:pPr>
              <w:pStyle w:val="TableText"/>
              <w:rPr>
                <w:rFonts w:cs="Arial"/>
                <w:szCs w:val="16"/>
              </w:rPr>
            </w:pPr>
            <w:r w:rsidRPr="00256982">
              <w:rPr>
                <w:rFonts w:cs="Arial"/>
                <w:color w:val="000000"/>
                <w:szCs w:val="16"/>
              </w:rPr>
              <w:t>2.C.3</w:t>
            </w:r>
          </w:p>
        </w:tc>
        <w:tc>
          <w:tcPr>
            <w:tcW w:w="3141" w:type="pct"/>
            <w:shd w:val="clear" w:color="auto" w:fill="auto"/>
          </w:tcPr>
          <w:p w14:paraId="3259A710" w14:textId="77777777" w:rsidR="00DE64BC" w:rsidRPr="00256982" w:rsidRDefault="00DE64BC" w:rsidP="00A808C7">
            <w:pPr>
              <w:pStyle w:val="TableText"/>
              <w:rPr>
                <w:rFonts w:cs="Arial"/>
                <w:szCs w:val="16"/>
              </w:rPr>
            </w:pPr>
            <w:r w:rsidRPr="00256982">
              <w:rPr>
                <w:rFonts w:cs="Arial"/>
                <w:color w:val="000000"/>
                <w:szCs w:val="16"/>
              </w:rPr>
              <w:t>Metal Industry – Aluminium Production</w:t>
            </w:r>
          </w:p>
        </w:tc>
        <w:tc>
          <w:tcPr>
            <w:tcW w:w="345" w:type="pct"/>
            <w:shd w:val="clear" w:color="auto" w:fill="auto"/>
            <w:noWrap/>
          </w:tcPr>
          <w:p w14:paraId="346AEBDA" w14:textId="77777777" w:rsidR="00DE64BC" w:rsidRPr="00256982" w:rsidRDefault="00DE64BC" w:rsidP="00A808C7">
            <w:pPr>
              <w:pStyle w:val="TableText"/>
              <w:jc w:val="center"/>
              <w:rPr>
                <w:rFonts w:cs="Arial"/>
                <w:color w:val="000000"/>
                <w:szCs w:val="16"/>
              </w:rPr>
            </w:pPr>
            <w:r w:rsidRPr="00256982">
              <w:rPr>
                <w:rFonts w:cs="Arial"/>
                <w:color w:val="000000"/>
                <w:szCs w:val="16"/>
              </w:rPr>
              <w:t>PFCs</w:t>
            </w:r>
          </w:p>
        </w:tc>
        <w:tc>
          <w:tcPr>
            <w:tcW w:w="764" w:type="pct"/>
            <w:shd w:val="clear" w:color="auto" w:fill="auto"/>
            <w:noWrap/>
          </w:tcPr>
          <w:p w14:paraId="04E6D846" w14:textId="77777777" w:rsidR="00DE64BC" w:rsidRPr="00256982" w:rsidRDefault="00DE64BC" w:rsidP="00A808C7">
            <w:pPr>
              <w:pStyle w:val="TableText"/>
              <w:rPr>
                <w:rFonts w:cs="Arial"/>
                <w:color w:val="000000"/>
                <w:szCs w:val="16"/>
              </w:rPr>
            </w:pPr>
            <w:r w:rsidRPr="00256982">
              <w:rPr>
                <w:rFonts w:cs="Arial"/>
                <w:color w:val="000000"/>
                <w:szCs w:val="16"/>
              </w:rPr>
              <w:t>T1</w:t>
            </w:r>
          </w:p>
        </w:tc>
      </w:tr>
      <w:tr w:rsidR="00DE64BC" w:rsidRPr="00256982" w14:paraId="6899C4DF" w14:textId="77777777" w:rsidTr="00BB670B">
        <w:tc>
          <w:tcPr>
            <w:tcW w:w="750" w:type="pct"/>
            <w:tcMar>
              <w:right w:w="85" w:type="dxa"/>
            </w:tcMar>
          </w:tcPr>
          <w:p w14:paraId="54004C1B" w14:textId="77777777" w:rsidR="00DE64BC" w:rsidRPr="00256982" w:rsidRDefault="00DE64BC" w:rsidP="00A808C7">
            <w:pPr>
              <w:pStyle w:val="TableText"/>
              <w:rPr>
                <w:rFonts w:cs="Arial"/>
                <w:szCs w:val="16"/>
              </w:rPr>
            </w:pPr>
            <w:r w:rsidRPr="00256982">
              <w:rPr>
                <w:rFonts w:cs="Arial"/>
                <w:color w:val="000000"/>
                <w:szCs w:val="16"/>
              </w:rPr>
              <w:t>2.F.1</w:t>
            </w:r>
          </w:p>
        </w:tc>
        <w:tc>
          <w:tcPr>
            <w:tcW w:w="3141" w:type="pct"/>
            <w:shd w:val="clear" w:color="auto" w:fill="auto"/>
          </w:tcPr>
          <w:p w14:paraId="2A7487F1" w14:textId="77777777" w:rsidR="00DE64BC" w:rsidRPr="00256982" w:rsidRDefault="00DE64BC" w:rsidP="00A808C7">
            <w:pPr>
              <w:pStyle w:val="TableText"/>
              <w:rPr>
                <w:rFonts w:cs="Arial"/>
                <w:szCs w:val="16"/>
              </w:rPr>
            </w:pPr>
            <w:r w:rsidRPr="00256982">
              <w:rPr>
                <w:rFonts w:cs="Arial"/>
                <w:color w:val="000000"/>
                <w:szCs w:val="16"/>
              </w:rPr>
              <w:t>Product Uses as Substitutes for ODS – Refrigeration and Air Conditioning</w:t>
            </w:r>
          </w:p>
        </w:tc>
        <w:tc>
          <w:tcPr>
            <w:tcW w:w="345" w:type="pct"/>
            <w:shd w:val="clear" w:color="auto" w:fill="auto"/>
            <w:noWrap/>
          </w:tcPr>
          <w:p w14:paraId="5390041D" w14:textId="77777777" w:rsidR="00DE64BC" w:rsidRPr="00256982" w:rsidRDefault="00DE64BC" w:rsidP="00A808C7">
            <w:pPr>
              <w:pStyle w:val="TableText"/>
              <w:jc w:val="center"/>
              <w:rPr>
                <w:rFonts w:cs="Arial"/>
                <w:color w:val="000000"/>
                <w:szCs w:val="16"/>
              </w:rPr>
            </w:pPr>
            <w:r w:rsidRPr="00256982">
              <w:rPr>
                <w:rFonts w:cs="Arial"/>
                <w:color w:val="000000"/>
                <w:szCs w:val="16"/>
              </w:rPr>
              <w:t>HFCs</w:t>
            </w:r>
          </w:p>
        </w:tc>
        <w:tc>
          <w:tcPr>
            <w:tcW w:w="764" w:type="pct"/>
            <w:shd w:val="clear" w:color="auto" w:fill="auto"/>
            <w:noWrap/>
          </w:tcPr>
          <w:p w14:paraId="56FAA506" w14:textId="77777777" w:rsidR="00DE64BC" w:rsidRPr="00256982" w:rsidRDefault="00DE64BC" w:rsidP="00A808C7">
            <w:pPr>
              <w:pStyle w:val="TableText"/>
              <w:rPr>
                <w:rFonts w:cs="Arial"/>
                <w:color w:val="000000"/>
                <w:szCs w:val="16"/>
              </w:rPr>
            </w:pPr>
            <w:r w:rsidRPr="00256982">
              <w:rPr>
                <w:rFonts w:cs="Arial"/>
                <w:color w:val="000000"/>
                <w:szCs w:val="16"/>
              </w:rPr>
              <w:t>L1, T1</w:t>
            </w:r>
          </w:p>
        </w:tc>
      </w:tr>
      <w:tr w:rsidR="00DE64BC" w:rsidRPr="00256982" w14:paraId="7672989F" w14:textId="77777777" w:rsidTr="00BB670B">
        <w:tc>
          <w:tcPr>
            <w:tcW w:w="750" w:type="pct"/>
            <w:tcMar>
              <w:right w:w="85" w:type="dxa"/>
            </w:tcMar>
          </w:tcPr>
          <w:p w14:paraId="6E229C37" w14:textId="77777777" w:rsidR="00DE64BC" w:rsidRPr="00256982" w:rsidRDefault="00DE64BC" w:rsidP="00A808C7">
            <w:pPr>
              <w:pStyle w:val="TableText"/>
              <w:rPr>
                <w:rFonts w:cs="Arial"/>
                <w:szCs w:val="16"/>
              </w:rPr>
            </w:pPr>
            <w:r w:rsidRPr="00256982">
              <w:rPr>
                <w:rFonts w:cs="Arial"/>
                <w:color w:val="000000"/>
                <w:szCs w:val="16"/>
              </w:rPr>
              <w:t>2.F.4</w:t>
            </w:r>
          </w:p>
        </w:tc>
        <w:tc>
          <w:tcPr>
            <w:tcW w:w="3141" w:type="pct"/>
            <w:shd w:val="clear" w:color="auto" w:fill="auto"/>
          </w:tcPr>
          <w:p w14:paraId="40CFD7D3" w14:textId="77777777" w:rsidR="00DE64BC" w:rsidRPr="00256982" w:rsidRDefault="00DE64BC" w:rsidP="00A808C7">
            <w:pPr>
              <w:pStyle w:val="TableText"/>
              <w:rPr>
                <w:rFonts w:cs="Arial"/>
                <w:szCs w:val="16"/>
              </w:rPr>
            </w:pPr>
            <w:r w:rsidRPr="00256982">
              <w:rPr>
                <w:rFonts w:cs="Arial"/>
                <w:color w:val="000000"/>
                <w:szCs w:val="16"/>
              </w:rPr>
              <w:t>Product Uses as Substitutes for ODS – Aerosols</w:t>
            </w:r>
          </w:p>
        </w:tc>
        <w:tc>
          <w:tcPr>
            <w:tcW w:w="345" w:type="pct"/>
            <w:shd w:val="clear" w:color="auto" w:fill="auto"/>
            <w:noWrap/>
          </w:tcPr>
          <w:p w14:paraId="00979E96" w14:textId="77777777" w:rsidR="00DE64BC" w:rsidRPr="00256982" w:rsidRDefault="00DE64BC" w:rsidP="00A808C7">
            <w:pPr>
              <w:pStyle w:val="TableText"/>
              <w:jc w:val="center"/>
              <w:rPr>
                <w:rFonts w:cs="Arial"/>
                <w:color w:val="000000"/>
                <w:szCs w:val="16"/>
              </w:rPr>
            </w:pPr>
            <w:r w:rsidRPr="00256982">
              <w:rPr>
                <w:rFonts w:cs="Arial"/>
                <w:color w:val="000000"/>
                <w:szCs w:val="16"/>
              </w:rPr>
              <w:t>HFCs</w:t>
            </w:r>
          </w:p>
        </w:tc>
        <w:tc>
          <w:tcPr>
            <w:tcW w:w="764" w:type="pct"/>
            <w:shd w:val="clear" w:color="auto" w:fill="auto"/>
            <w:noWrap/>
          </w:tcPr>
          <w:p w14:paraId="53AB874E" w14:textId="77777777" w:rsidR="00DE64BC" w:rsidRPr="00256982" w:rsidRDefault="00DE64BC" w:rsidP="00A808C7">
            <w:pPr>
              <w:pStyle w:val="TableText"/>
              <w:rPr>
                <w:rFonts w:cs="Arial"/>
                <w:color w:val="000000"/>
                <w:szCs w:val="16"/>
              </w:rPr>
            </w:pPr>
            <w:r w:rsidRPr="00256982">
              <w:rPr>
                <w:rFonts w:cs="Arial"/>
                <w:color w:val="000000"/>
                <w:szCs w:val="16"/>
              </w:rPr>
              <w:t>T1</w:t>
            </w:r>
          </w:p>
        </w:tc>
      </w:tr>
      <w:tr w:rsidR="00DE64BC" w:rsidRPr="00256982" w14:paraId="78602904" w14:textId="77777777" w:rsidTr="00BB670B">
        <w:tc>
          <w:tcPr>
            <w:tcW w:w="750" w:type="pct"/>
            <w:tcMar>
              <w:right w:w="85" w:type="dxa"/>
            </w:tcMar>
          </w:tcPr>
          <w:p w14:paraId="2555F689" w14:textId="77777777" w:rsidR="00DE64BC" w:rsidRPr="00256982" w:rsidRDefault="00DE64BC" w:rsidP="00A808C7">
            <w:pPr>
              <w:pStyle w:val="TableText"/>
              <w:rPr>
                <w:b/>
              </w:rPr>
            </w:pPr>
            <w:r w:rsidRPr="00256982">
              <w:rPr>
                <w:b/>
              </w:rPr>
              <w:t>Agriculture</w:t>
            </w:r>
          </w:p>
        </w:tc>
        <w:tc>
          <w:tcPr>
            <w:tcW w:w="3141" w:type="pct"/>
            <w:shd w:val="clear" w:color="auto" w:fill="auto"/>
          </w:tcPr>
          <w:p w14:paraId="6DDFB976" w14:textId="77777777" w:rsidR="00DE64BC" w:rsidRPr="00256982" w:rsidRDefault="00DE64BC" w:rsidP="00A808C7">
            <w:pPr>
              <w:pStyle w:val="TableText"/>
              <w:rPr>
                <w:b/>
              </w:rPr>
            </w:pPr>
          </w:p>
        </w:tc>
        <w:tc>
          <w:tcPr>
            <w:tcW w:w="345" w:type="pct"/>
            <w:shd w:val="clear" w:color="auto" w:fill="auto"/>
            <w:noWrap/>
          </w:tcPr>
          <w:p w14:paraId="3ADADFF3" w14:textId="77777777" w:rsidR="00DE64BC" w:rsidRPr="00256982" w:rsidRDefault="00DE64BC" w:rsidP="00A808C7">
            <w:pPr>
              <w:pStyle w:val="TableText"/>
              <w:jc w:val="center"/>
              <w:rPr>
                <w:b/>
              </w:rPr>
            </w:pPr>
          </w:p>
        </w:tc>
        <w:tc>
          <w:tcPr>
            <w:tcW w:w="764" w:type="pct"/>
            <w:shd w:val="clear" w:color="auto" w:fill="auto"/>
            <w:noWrap/>
          </w:tcPr>
          <w:p w14:paraId="79CE3F52" w14:textId="77777777" w:rsidR="00DE64BC" w:rsidRPr="00256982" w:rsidRDefault="00DE64BC" w:rsidP="00A808C7">
            <w:pPr>
              <w:pStyle w:val="TableText"/>
              <w:rPr>
                <w:b/>
              </w:rPr>
            </w:pPr>
          </w:p>
        </w:tc>
      </w:tr>
      <w:tr w:rsidR="00DE64BC" w:rsidRPr="00256982" w14:paraId="15764921" w14:textId="77777777" w:rsidTr="00BB670B">
        <w:tc>
          <w:tcPr>
            <w:tcW w:w="750" w:type="pct"/>
            <w:tcMar>
              <w:right w:w="85" w:type="dxa"/>
            </w:tcMar>
          </w:tcPr>
          <w:p w14:paraId="1C1284F4" w14:textId="77777777" w:rsidR="00DE64BC" w:rsidRPr="00256982" w:rsidRDefault="00DE64BC" w:rsidP="00A808C7">
            <w:pPr>
              <w:pStyle w:val="TableText"/>
              <w:rPr>
                <w:rFonts w:cs="Arial"/>
                <w:szCs w:val="16"/>
              </w:rPr>
            </w:pPr>
            <w:r w:rsidRPr="00256982">
              <w:rPr>
                <w:rFonts w:cs="Arial"/>
                <w:color w:val="000000"/>
                <w:szCs w:val="16"/>
              </w:rPr>
              <w:t>3.A.1</w:t>
            </w:r>
          </w:p>
        </w:tc>
        <w:tc>
          <w:tcPr>
            <w:tcW w:w="3141" w:type="pct"/>
            <w:shd w:val="clear" w:color="auto" w:fill="auto"/>
          </w:tcPr>
          <w:p w14:paraId="0D8339EB" w14:textId="77777777" w:rsidR="00DE64BC" w:rsidRPr="00256982" w:rsidRDefault="00DE64BC" w:rsidP="00A808C7">
            <w:pPr>
              <w:pStyle w:val="TableText"/>
              <w:rPr>
                <w:rFonts w:cs="Arial"/>
                <w:szCs w:val="16"/>
              </w:rPr>
            </w:pPr>
            <w:r w:rsidRPr="00256982">
              <w:rPr>
                <w:rFonts w:cs="Arial"/>
                <w:color w:val="000000"/>
                <w:szCs w:val="16"/>
              </w:rPr>
              <w:t>Option A – Dairy Cattle</w:t>
            </w:r>
          </w:p>
        </w:tc>
        <w:tc>
          <w:tcPr>
            <w:tcW w:w="345" w:type="pct"/>
            <w:shd w:val="clear" w:color="auto" w:fill="auto"/>
            <w:noWrap/>
          </w:tcPr>
          <w:p w14:paraId="7E51A577" w14:textId="77777777" w:rsidR="00DE64BC" w:rsidRPr="00256982" w:rsidRDefault="00DE64BC" w:rsidP="00A808C7">
            <w:pPr>
              <w:pStyle w:val="TableText"/>
              <w:jc w:val="center"/>
              <w:rPr>
                <w:rFonts w:cs="Arial"/>
                <w:color w:val="000000"/>
                <w:szCs w:val="16"/>
              </w:rPr>
            </w:pPr>
            <w:r w:rsidRPr="00256982">
              <w:rPr>
                <w:rFonts w:cs="Arial"/>
                <w:color w:val="000000"/>
                <w:szCs w:val="16"/>
              </w:rPr>
              <w:t>CH</w:t>
            </w:r>
            <w:r w:rsidRPr="00256982">
              <w:rPr>
                <w:rFonts w:cs="Arial"/>
                <w:color w:val="000000"/>
                <w:szCs w:val="16"/>
                <w:vertAlign w:val="subscript"/>
              </w:rPr>
              <w:t>4</w:t>
            </w:r>
          </w:p>
        </w:tc>
        <w:tc>
          <w:tcPr>
            <w:tcW w:w="764" w:type="pct"/>
            <w:shd w:val="clear" w:color="auto" w:fill="auto"/>
            <w:noWrap/>
          </w:tcPr>
          <w:p w14:paraId="1D45AFCF" w14:textId="77777777" w:rsidR="00DE64BC" w:rsidRPr="00256982" w:rsidRDefault="00DE64BC" w:rsidP="00A808C7">
            <w:pPr>
              <w:pStyle w:val="TableText"/>
              <w:rPr>
                <w:rFonts w:cs="Arial"/>
                <w:color w:val="000000"/>
                <w:szCs w:val="16"/>
              </w:rPr>
            </w:pPr>
            <w:r w:rsidRPr="00256982">
              <w:rPr>
                <w:rFonts w:cs="Arial"/>
                <w:color w:val="000000"/>
                <w:szCs w:val="16"/>
              </w:rPr>
              <w:t>L1, T1</w:t>
            </w:r>
          </w:p>
        </w:tc>
      </w:tr>
      <w:tr w:rsidR="00DE64BC" w:rsidRPr="00256982" w14:paraId="48BA973C" w14:textId="77777777" w:rsidTr="00BB670B">
        <w:tc>
          <w:tcPr>
            <w:tcW w:w="750" w:type="pct"/>
            <w:tcMar>
              <w:right w:w="85" w:type="dxa"/>
            </w:tcMar>
          </w:tcPr>
          <w:p w14:paraId="75E041EA" w14:textId="77777777" w:rsidR="00DE64BC" w:rsidRPr="00256982" w:rsidRDefault="00DE64BC" w:rsidP="00A808C7">
            <w:pPr>
              <w:pStyle w:val="TableText"/>
              <w:rPr>
                <w:rFonts w:cs="Arial"/>
                <w:szCs w:val="16"/>
              </w:rPr>
            </w:pPr>
            <w:r w:rsidRPr="00256982">
              <w:rPr>
                <w:rFonts w:cs="Arial"/>
                <w:color w:val="000000"/>
                <w:szCs w:val="16"/>
              </w:rPr>
              <w:t>3.A.1</w:t>
            </w:r>
          </w:p>
        </w:tc>
        <w:tc>
          <w:tcPr>
            <w:tcW w:w="3141" w:type="pct"/>
            <w:shd w:val="clear" w:color="auto" w:fill="auto"/>
          </w:tcPr>
          <w:p w14:paraId="374DA06D" w14:textId="77777777" w:rsidR="00DE64BC" w:rsidRPr="00256982" w:rsidRDefault="00DE64BC" w:rsidP="00A808C7">
            <w:pPr>
              <w:pStyle w:val="TableText"/>
              <w:rPr>
                <w:rFonts w:cs="Arial"/>
                <w:szCs w:val="16"/>
              </w:rPr>
            </w:pPr>
            <w:r w:rsidRPr="00256982">
              <w:rPr>
                <w:rFonts w:cs="Arial"/>
                <w:color w:val="000000"/>
                <w:szCs w:val="16"/>
              </w:rPr>
              <w:t>Option A – Non-Dairy Cattle</w:t>
            </w:r>
          </w:p>
        </w:tc>
        <w:tc>
          <w:tcPr>
            <w:tcW w:w="345" w:type="pct"/>
            <w:shd w:val="clear" w:color="auto" w:fill="auto"/>
            <w:noWrap/>
          </w:tcPr>
          <w:p w14:paraId="38103729" w14:textId="77777777" w:rsidR="00DE64BC" w:rsidRPr="00256982" w:rsidRDefault="00DE64BC" w:rsidP="00A808C7">
            <w:pPr>
              <w:pStyle w:val="TableText"/>
              <w:jc w:val="center"/>
              <w:rPr>
                <w:rFonts w:cs="Arial"/>
                <w:color w:val="000000"/>
                <w:szCs w:val="16"/>
              </w:rPr>
            </w:pPr>
            <w:r w:rsidRPr="00256982">
              <w:rPr>
                <w:rFonts w:cs="Arial"/>
                <w:color w:val="000000"/>
                <w:szCs w:val="16"/>
              </w:rPr>
              <w:t>CH</w:t>
            </w:r>
            <w:r w:rsidRPr="00256982">
              <w:rPr>
                <w:rFonts w:cs="Arial"/>
                <w:color w:val="000000"/>
                <w:szCs w:val="16"/>
                <w:vertAlign w:val="subscript"/>
              </w:rPr>
              <w:t>4</w:t>
            </w:r>
          </w:p>
        </w:tc>
        <w:tc>
          <w:tcPr>
            <w:tcW w:w="764" w:type="pct"/>
            <w:shd w:val="clear" w:color="auto" w:fill="auto"/>
            <w:noWrap/>
          </w:tcPr>
          <w:p w14:paraId="6120F742" w14:textId="77777777" w:rsidR="00DE64BC" w:rsidRPr="00256982" w:rsidRDefault="00DE64BC" w:rsidP="00A808C7">
            <w:pPr>
              <w:pStyle w:val="TableText"/>
              <w:rPr>
                <w:rFonts w:cs="Arial"/>
                <w:color w:val="000000"/>
                <w:szCs w:val="16"/>
              </w:rPr>
            </w:pPr>
            <w:r w:rsidRPr="00256982">
              <w:rPr>
                <w:rFonts w:cs="Arial"/>
                <w:color w:val="000000"/>
                <w:szCs w:val="16"/>
              </w:rPr>
              <w:t>L1, T1</w:t>
            </w:r>
          </w:p>
        </w:tc>
      </w:tr>
      <w:tr w:rsidR="00DE64BC" w:rsidRPr="00256982" w14:paraId="23F36683" w14:textId="77777777" w:rsidTr="00BB670B">
        <w:tc>
          <w:tcPr>
            <w:tcW w:w="750" w:type="pct"/>
            <w:tcMar>
              <w:right w:w="85" w:type="dxa"/>
            </w:tcMar>
          </w:tcPr>
          <w:p w14:paraId="3948C718" w14:textId="77777777" w:rsidR="00DE64BC" w:rsidRPr="00256982" w:rsidRDefault="00DE64BC" w:rsidP="00A808C7">
            <w:pPr>
              <w:pStyle w:val="TableText"/>
              <w:rPr>
                <w:rFonts w:cs="Arial"/>
                <w:szCs w:val="16"/>
              </w:rPr>
            </w:pPr>
            <w:r w:rsidRPr="00256982">
              <w:rPr>
                <w:rFonts w:cs="Arial"/>
                <w:color w:val="000000"/>
                <w:szCs w:val="16"/>
              </w:rPr>
              <w:t>3.A.2</w:t>
            </w:r>
          </w:p>
        </w:tc>
        <w:tc>
          <w:tcPr>
            <w:tcW w:w="3141" w:type="pct"/>
            <w:shd w:val="clear" w:color="auto" w:fill="auto"/>
          </w:tcPr>
          <w:p w14:paraId="380AA595" w14:textId="77777777" w:rsidR="00DE64BC" w:rsidRPr="00256982" w:rsidRDefault="00DE64BC" w:rsidP="00A808C7">
            <w:pPr>
              <w:pStyle w:val="TableText"/>
              <w:rPr>
                <w:rFonts w:cs="Arial"/>
                <w:szCs w:val="16"/>
              </w:rPr>
            </w:pPr>
            <w:r w:rsidRPr="00256982">
              <w:rPr>
                <w:rFonts w:cs="Arial"/>
                <w:color w:val="000000"/>
                <w:szCs w:val="16"/>
              </w:rPr>
              <w:t>Other (please specify) – Sheep</w:t>
            </w:r>
          </w:p>
        </w:tc>
        <w:tc>
          <w:tcPr>
            <w:tcW w:w="345" w:type="pct"/>
            <w:shd w:val="clear" w:color="auto" w:fill="auto"/>
            <w:noWrap/>
          </w:tcPr>
          <w:p w14:paraId="0B7F1202" w14:textId="77777777" w:rsidR="00DE64BC" w:rsidRPr="00256982" w:rsidRDefault="00DE64BC" w:rsidP="00A808C7">
            <w:pPr>
              <w:pStyle w:val="TableText"/>
              <w:jc w:val="center"/>
              <w:rPr>
                <w:rFonts w:cs="Arial"/>
                <w:color w:val="000000"/>
                <w:szCs w:val="16"/>
              </w:rPr>
            </w:pPr>
            <w:r w:rsidRPr="00256982">
              <w:rPr>
                <w:rFonts w:cs="Arial"/>
                <w:color w:val="000000"/>
                <w:szCs w:val="16"/>
              </w:rPr>
              <w:t>CH</w:t>
            </w:r>
            <w:r w:rsidRPr="00256982">
              <w:rPr>
                <w:rFonts w:cs="Arial"/>
                <w:color w:val="000000"/>
                <w:szCs w:val="16"/>
                <w:vertAlign w:val="subscript"/>
              </w:rPr>
              <w:t>4</w:t>
            </w:r>
          </w:p>
        </w:tc>
        <w:tc>
          <w:tcPr>
            <w:tcW w:w="764" w:type="pct"/>
            <w:shd w:val="clear" w:color="auto" w:fill="auto"/>
            <w:noWrap/>
          </w:tcPr>
          <w:p w14:paraId="24E29824" w14:textId="77777777" w:rsidR="00DE64BC" w:rsidRPr="00256982" w:rsidRDefault="00DE64BC" w:rsidP="00A808C7">
            <w:pPr>
              <w:pStyle w:val="TableText"/>
              <w:rPr>
                <w:rFonts w:cs="Arial"/>
                <w:color w:val="000000"/>
                <w:szCs w:val="16"/>
              </w:rPr>
            </w:pPr>
            <w:r w:rsidRPr="00256982">
              <w:rPr>
                <w:rFonts w:cs="Arial"/>
                <w:color w:val="000000"/>
                <w:szCs w:val="16"/>
              </w:rPr>
              <w:t>L1, T1</w:t>
            </w:r>
          </w:p>
        </w:tc>
      </w:tr>
      <w:tr w:rsidR="00DE64BC" w:rsidRPr="00256982" w14:paraId="0054640F" w14:textId="77777777" w:rsidTr="00BB670B">
        <w:tc>
          <w:tcPr>
            <w:tcW w:w="750" w:type="pct"/>
            <w:tcMar>
              <w:right w:w="85" w:type="dxa"/>
            </w:tcMar>
          </w:tcPr>
          <w:p w14:paraId="4BB0635D" w14:textId="77777777" w:rsidR="00DE64BC" w:rsidRPr="00256982" w:rsidRDefault="00DE64BC" w:rsidP="00A808C7">
            <w:pPr>
              <w:pStyle w:val="TableText"/>
              <w:rPr>
                <w:rFonts w:cs="Arial"/>
                <w:szCs w:val="16"/>
              </w:rPr>
            </w:pPr>
            <w:r w:rsidRPr="00256982">
              <w:rPr>
                <w:rFonts w:cs="Arial"/>
                <w:color w:val="000000"/>
                <w:szCs w:val="16"/>
              </w:rPr>
              <w:t>3.A.4</w:t>
            </w:r>
          </w:p>
        </w:tc>
        <w:tc>
          <w:tcPr>
            <w:tcW w:w="3141" w:type="pct"/>
            <w:shd w:val="clear" w:color="auto" w:fill="auto"/>
          </w:tcPr>
          <w:p w14:paraId="48E0D455" w14:textId="77777777" w:rsidR="00DE64BC" w:rsidRPr="00256982" w:rsidRDefault="00DE64BC" w:rsidP="00A808C7">
            <w:pPr>
              <w:pStyle w:val="TableText"/>
              <w:rPr>
                <w:rFonts w:cs="Arial"/>
                <w:szCs w:val="16"/>
              </w:rPr>
            </w:pPr>
            <w:r w:rsidRPr="00256982">
              <w:rPr>
                <w:rFonts w:cs="Arial"/>
                <w:color w:val="000000"/>
                <w:szCs w:val="16"/>
              </w:rPr>
              <w:t>Other Livestock – Deer</w:t>
            </w:r>
          </w:p>
        </w:tc>
        <w:tc>
          <w:tcPr>
            <w:tcW w:w="345" w:type="pct"/>
            <w:shd w:val="clear" w:color="auto" w:fill="auto"/>
            <w:noWrap/>
          </w:tcPr>
          <w:p w14:paraId="743E89C8" w14:textId="77777777" w:rsidR="00DE64BC" w:rsidRPr="00256982" w:rsidRDefault="00DE64BC" w:rsidP="00A808C7">
            <w:pPr>
              <w:pStyle w:val="TableText"/>
              <w:jc w:val="center"/>
              <w:rPr>
                <w:rFonts w:cs="Arial"/>
                <w:color w:val="000000"/>
                <w:szCs w:val="16"/>
              </w:rPr>
            </w:pPr>
            <w:r w:rsidRPr="00256982">
              <w:rPr>
                <w:rFonts w:cs="Arial"/>
                <w:color w:val="000000"/>
                <w:szCs w:val="16"/>
              </w:rPr>
              <w:t>CH</w:t>
            </w:r>
            <w:r w:rsidRPr="00256982">
              <w:rPr>
                <w:rFonts w:cs="Arial"/>
                <w:color w:val="000000"/>
                <w:szCs w:val="16"/>
                <w:vertAlign w:val="subscript"/>
              </w:rPr>
              <w:t>4</w:t>
            </w:r>
          </w:p>
        </w:tc>
        <w:tc>
          <w:tcPr>
            <w:tcW w:w="764" w:type="pct"/>
            <w:shd w:val="clear" w:color="auto" w:fill="auto"/>
            <w:noWrap/>
          </w:tcPr>
          <w:p w14:paraId="1E38B3BF" w14:textId="77777777" w:rsidR="00DE64BC" w:rsidRPr="00256982" w:rsidRDefault="00DE64BC" w:rsidP="00A808C7">
            <w:pPr>
              <w:pStyle w:val="TableText"/>
              <w:rPr>
                <w:rFonts w:cs="Arial"/>
                <w:color w:val="000000"/>
                <w:szCs w:val="16"/>
              </w:rPr>
            </w:pPr>
            <w:r w:rsidRPr="00256982">
              <w:rPr>
                <w:rFonts w:cs="Arial"/>
                <w:color w:val="000000"/>
                <w:szCs w:val="16"/>
              </w:rPr>
              <w:t>L1</w:t>
            </w:r>
          </w:p>
        </w:tc>
      </w:tr>
      <w:tr w:rsidR="00DE64BC" w:rsidRPr="00256982" w14:paraId="79CA68F5" w14:textId="77777777" w:rsidTr="00BB670B">
        <w:tc>
          <w:tcPr>
            <w:tcW w:w="750" w:type="pct"/>
            <w:tcMar>
              <w:right w:w="85" w:type="dxa"/>
            </w:tcMar>
          </w:tcPr>
          <w:p w14:paraId="408F335E" w14:textId="77777777" w:rsidR="00DE64BC" w:rsidRPr="00256982" w:rsidRDefault="00DE64BC" w:rsidP="00A808C7">
            <w:pPr>
              <w:pStyle w:val="TableText"/>
              <w:rPr>
                <w:rFonts w:cs="Arial"/>
                <w:szCs w:val="16"/>
              </w:rPr>
            </w:pPr>
            <w:r w:rsidRPr="00256982">
              <w:rPr>
                <w:rFonts w:cs="Arial"/>
                <w:color w:val="000000"/>
                <w:szCs w:val="16"/>
              </w:rPr>
              <w:t>3.A.4</w:t>
            </w:r>
          </w:p>
        </w:tc>
        <w:tc>
          <w:tcPr>
            <w:tcW w:w="3141" w:type="pct"/>
            <w:shd w:val="clear" w:color="auto" w:fill="auto"/>
          </w:tcPr>
          <w:p w14:paraId="50B28586" w14:textId="77777777" w:rsidR="00DE64BC" w:rsidRPr="00256982" w:rsidRDefault="00DE64BC" w:rsidP="00A808C7">
            <w:pPr>
              <w:pStyle w:val="TableText"/>
              <w:rPr>
                <w:rFonts w:cs="Arial"/>
                <w:szCs w:val="16"/>
              </w:rPr>
            </w:pPr>
            <w:r w:rsidRPr="00256982">
              <w:rPr>
                <w:rFonts w:cs="Arial"/>
                <w:color w:val="000000"/>
                <w:szCs w:val="16"/>
              </w:rPr>
              <w:t>Other Livestock – Goats</w:t>
            </w:r>
          </w:p>
        </w:tc>
        <w:tc>
          <w:tcPr>
            <w:tcW w:w="345" w:type="pct"/>
            <w:shd w:val="clear" w:color="auto" w:fill="auto"/>
            <w:noWrap/>
          </w:tcPr>
          <w:p w14:paraId="6BB94EE0" w14:textId="77777777" w:rsidR="00DE64BC" w:rsidRPr="00256982" w:rsidRDefault="00DE64BC" w:rsidP="00A808C7">
            <w:pPr>
              <w:pStyle w:val="TableText"/>
              <w:jc w:val="center"/>
              <w:rPr>
                <w:rFonts w:cs="Arial"/>
                <w:color w:val="000000"/>
                <w:szCs w:val="16"/>
              </w:rPr>
            </w:pPr>
            <w:r w:rsidRPr="00256982">
              <w:rPr>
                <w:rFonts w:cs="Arial"/>
                <w:color w:val="000000"/>
                <w:szCs w:val="16"/>
              </w:rPr>
              <w:t>CH</w:t>
            </w:r>
            <w:r w:rsidRPr="00256982">
              <w:rPr>
                <w:rFonts w:cs="Arial"/>
                <w:color w:val="000000"/>
                <w:szCs w:val="16"/>
                <w:vertAlign w:val="subscript"/>
              </w:rPr>
              <w:t>4</w:t>
            </w:r>
          </w:p>
        </w:tc>
        <w:tc>
          <w:tcPr>
            <w:tcW w:w="764" w:type="pct"/>
            <w:shd w:val="clear" w:color="auto" w:fill="auto"/>
            <w:noWrap/>
          </w:tcPr>
          <w:p w14:paraId="3F13E87A" w14:textId="77777777" w:rsidR="00DE64BC" w:rsidRPr="00256982" w:rsidRDefault="00DE64BC" w:rsidP="00A808C7">
            <w:pPr>
              <w:pStyle w:val="TableText"/>
              <w:rPr>
                <w:rFonts w:cs="Arial"/>
                <w:color w:val="000000"/>
                <w:szCs w:val="16"/>
              </w:rPr>
            </w:pPr>
            <w:r w:rsidRPr="00256982">
              <w:rPr>
                <w:rFonts w:cs="Arial"/>
                <w:color w:val="000000"/>
                <w:szCs w:val="16"/>
              </w:rPr>
              <w:t>T1</w:t>
            </w:r>
          </w:p>
        </w:tc>
      </w:tr>
      <w:tr w:rsidR="00DE64BC" w:rsidRPr="00256982" w14:paraId="54C8E1DE" w14:textId="77777777" w:rsidTr="00BB670B">
        <w:tc>
          <w:tcPr>
            <w:tcW w:w="750" w:type="pct"/>
            <w:tcMar>
              <w:right w:w="85" w:type="dxa"/>
            </w:tcMar>
          </w:tcPr>
          <w:p w14:paraId="65297AA2" w14:textId="77777777" w:rsidR="00DE64BC" w:rsidRPr="00256982" w:rsidRDefault="00DE64BC" w:rsidP="00A808C7">
            <w:pPr>
              <w:pStyle w:val="TableText"/>
              <w:rPr>
                <w:rFonts w:cs="Arial"/>
                <w:szCs w:val="16"/>
              </w:rPr>
            </w:pPr>
            <w:r w:rsidRPr="00256982">
              <w:rPr>
                <w:rFonts w:cs="Arial"/>
                <w:color w:val="000000"/>
                <w:szCs w:val="16"/>
              </w:rPr>
              <w:t>3.B.1.1</w:t>
            </w:r>
          </w:p>
        </w:tc>
        <w:tc>
          <w:tcPr>
            <w:tcW w:w="3141" w:type="pct"/>
            <w:shd w:val="clear" w:color="auto" w:fill="auto"/>
          </w:tcPr>
          <w:p w14:paraId="03528DF8" w14:textId="77777777" w:rsidR="00DE64BC" w:rsidRPr="00256982" w:rsidRDefault="00DE64BC" w:rsidP="00A808C7">
            <w:pPr>
              <w:pStyle w:val="TableText"/>
              <w:rPr>
                <w:rFonts w:cs="Arial"/>
                <w:szCs w:val="16"/>
              </w:rPr>
            </w:pPr>
            <w:r w:rsidRPr="00256982">
              <w:rPr>
                <w:rFonts w:cs="Arial"/>
                <w:color w:val="000000"/>
                <w:szCs w:val="16"/>
              </w:rPr>
              <w:t>Option A – Dairy Cattle</w:t>
            </w:r>
          </w:p>
        </w:tc>
        <w:tc>
          <w:tcPr>
            <w:tcW w:w="345" w:type="pct"/>
            <w:shd w:val="clear" w:color="auto" w:fill="auto"/>
            <w:noWrap/>
          </w:tcPr>
          <w:p w14:paraId="111D12E7" w14:textId="77777777" w:rsidR="00DE64BC" w:rsidRPr="00256982" w:rsidRDefault="00DE64BC" w:rsidP="00A808C7">
            <w:pPr>
              <w:pStyle w:val="TableText"/>
              <w:jc w:val="center"/>
              <w:rPr>
                <w:rFonts w:cs="Arial"/>
                <w:color w:val="000000"/>
                <w:szCs w:val="16"/>
              </w:rPr>
            </w:pPr>
            <w:r w:rsidRPr="00256982">
              <w:rPr>
                <w:rFonts w:cs="Arial"/>
                <w:color w:val="000000"/>
                <w:szCs w:val="16"/>
              </w:rPr>
              <w:t>CH</w:t>
            </w:r>
            <w:r w:rsidRPr="00256982">
              <w:rPr>
                <w:rFonts w:cs="Arial"/>
                <w:color w:val="000000"/>
                <w:szCs w:val="16"/>
                <w:vertAlign w:val="subscript"/>
              </w:rPr>
              <w:t>4</w:t>
            </w:r>
          </w:p>
        </w:tc>
        <w:tc>
          <w:tcPr>
            <w:tcW w:w="764" w:type="pct"/>
            <w:shd w:val="clear" w:color="auto" w:fill="auto"/>
            <w:noWrap/>
          </w:tcPr>
          <w:p w14:paraId="236AD70D" w14:textId="77777777" w:rsidR="00DE64BC" w:rsidRPr="00256982" w:rsidRDefault="00DE64BC" w:rsidP="00A808C7">
            <w:pPr>
              <w:pStyle w:val="TableText"/>
              <w:rPr>
                <w:rFonts w:cs="Arial"/>
                <w:color w:val="000000"/>
                <w:szCs w:val="16"/>
              </w:rPr>
            </w:pPr>
            <w:r w:rsidRPr="00256982">
              <w:rPr>
                <w:rFonts w:cs="Arial"/>
                <w:color w:val="000000"/>
                <w:szCs w:val="16"/>
              </w:rPr>
              <w:t>L1, T1</w:t>
            </w:r>
          </w:p>
        </w:tc>
      </w:tr>
      <w:tr w:rsidR="00DE64BC" w:rsidRPr="00256982" w14:paraId="5AEC386D" w14:textId="77777777" w:rsidTr="00BB670B">
        <w:tc>
          <w:tcPr>
            <w:tcW w:w="750" w:type="pct"/>
            <w:tcMar>
              <w:right w:w="85" w:type="dxa"/>
            </w:tcMar>
          </w:tcPr>
          <w:p w14:paraId="398DDAD0" w14:textId="77777777" w:rsidR="00DE64BC" w:rsidRPr="00256982" w:rsidRDefault="00DE64BC" w:rsidP="00A808C7">
            <w:pPr>
              <w:pStyle w:val="TableText"/>
              <w:rPr>
                <w:rFonts w:cs="Arial"/>
                <w:szCs w:val="16"/>
              </w:rPr>
            </w:pPr>
            <w:r w:rsidRPr="00256982">
              <w:rPr>
                <w:rFonts w:cs="Arial"/>
                <w:color w:val="000000"/>
                <w:szCs w:val="16"/>
              </w:rPr>
              <w:t>3.D.1.1</w:t>
            </w:r>
          </w:p>
        </w:tc>
        <w:tc>
          <w:tcPr>
            <w:tcW w:w="3141" w:type="pct"/>
            <w:shd w:val="clear" w:color="auto" w:fill="auto"/>
          </w:tcPr>
          <w:p w14:paraId="12103D40" w14:textId="77777777" w:rsidR="00DE64BC" w:rsidRPr="00256982" w:rsidRDefault="00DE64BC" w:rsidP="00A808C7">
            <w:pPr>
              <w:pStyle w:val="TableText"/>
              <w:rPr>
                <w:rFonts w:cs="Arial"/>
                <w:szCs w:val="16"/>
              </w:rPr>
            </w:pPr>
            <w:r w:rsidRPr="00256982">
              <w:rPr>
                <w:rFonts w:cs="Arial"/>
                <w:color w:val="000000"/>
                <w:szCs w:val="16"/>
              </w:rPr>
              <w:t>Direct N</w:t>
            </w:r>
            <w:r w:rsidRPr="00256982">
              <w:rPr>
                <w:rFonts w:cs="Arial"/>
                <w:color w:val="000000"/>
                <w:szCs w:val="16"/>
                <w:vertAlign w:val="subscript"/>
              </w:rPr>
              <w:t>2</w:t>
            </w:r>
            <w:r w:rsidRPr="00256982">
              <w:rPr>
                <w:rFonts w:cs="Arial"/>
                <w:color w:val="000000"/>
                <w:szCs w:val="16"/>
              </w:rPr>
              <w:t>O Emissions From Managed Soils – Inorganic N Fertilisers</w:t>
            </w:r>
          </w:p>
        </w:tc>
        <w:tc>
          <w:tcPr>
            <w:tcW w:w="345" w:type="pct"/>
            <w:shd w:val="clear" w:color="auto" w:fill="auto"/>
            <w:noWrap/>
          </w:tcPr>
          <w:p w14:paraId="140A7201" w14:textId="77777777" w:rsidR="00DE64BC" w:rsidRPr="00256982" w:rsidRDefault="00DE64BC" w:rsidP="00A808C7">
            <w:pPr>
              <w:pStyle w:val="TableText"/>
              <w:jc w:val="center"/>
              <w:rPr>
                <w:rFonts w:cs="Arial"/>
                <w:color w:val="000000"/>
                <w:szCs w:val="16"/>
              </w:rPr>
            </w:pPr>
            <w:r w:rsidRPr="00256982">
              <w:rPr>
                <w:rFonts w:cs="Arial"/>
                <w:color w:val="000000"/>
                <w:szCs w:val="16"/>
              </w:rPr>
              <w:t>N</w:t>
            </w:r>
            <w:r w:rsidRPr="00256982">
              <w:rPr>
                <w:rFonts w:cs="Arial"/>
                <w:color w:val="000000"/>
                <w:szCs w:val="16"/>
                <w:vertAlign w:val="subscript"/>
              </w:rPr>
              <w:t>2</w:t>
            </w:r>
            <w:r w:rsidRPr="00256982">
              <w:rPr>
                <w:rFonts w:cs="Arial"/>
                <w:color w:val="000000"/>
                <w:szCs w:val="16"/>
              </w:rPr>
              <w:t>O</w:t>
            </w:r>
          </w:p>
        </w:tc>
        <w:tc>
          <w:tcPr>
            <w:tcW w:w="764" w:type="pct"/>
            <w:shd w:val="clear" w:color="auto" w:fill="auto"/>
            <w:noWrap/>
          </w:tcPr>
          <w:p w14:paraId="6FC45B37" w14:textId="77777777" w:rsidR="00DE64BC" w:rsidRPr="00256982" w:rsidRDefault="00DE64BC" w:rsidP="00A808C7">
            <w:pPr>
              <w:pStyle w:val="TableText"/>
              <w:rPr>
                <w:rFonts w:cs="Arial"/>
                <w:color w:val="000000"/>
                <w:szCs w:val="16"/>
              </w:rPr>
            </w:pPr>
            <w:r w:rsidRPr="00256982">
              <w:rPr>
                <w:rFonts w:cs="Arial"/>
                <w:color w:val="000000"/>
                <w:szCs w:val="16"/>
              </w:rPr>
              <w:t>L1, T1</w:t>
            </w:r>
          </w:p>
        </w:tc>
      </w:tr>
      <w:tr w:rsidR="00DE64BC" w:rsidRPr="00256982" w14:paraId="2E5B372C" w14:textId="77777777" w:rsidTr="00BB670B">
        <w:tc>
          <w:tcPr>
            <w:tcW w:w="750" w:type="pct"/>
            <w:tcMar>
              <w:right w:w="85" w:type="dxa"/>
            </w:tcMar>
          </w:tcPr>
          <w:p w14:paraId="333D99B8" w14:textId="77777777" w:rsidR="00DE64BC" w:rsidRPr="00256982" w:rsidRDefault="00DE64BC" w:rsidP="00A808C7">
            <w:pPr>
              <w:pStyle w:val="TableText"/>
              <w:rPr>
                <w:rFonts w:cs="Arial"/>
                <w:szCs w:val="16"/>
              </w:rPr>
            </w:pPr>
            <w:r w:rsidRPr="00256982">
              <w:rPr>
                <w:rFonts w:cs="Arial"/>
                <w:color w:val="000000"/>
                <w:szCs w:val="16"/>
              </w:rPr>
              <w:t>3.D.1.3</w:t>
            </w:r>
          </w:p>
        </w:tc>
        <w:tc>
          <w:tcPr>
            <w:tcW w:w="3141" w:type="pct"/>
            <w:shd w:val="clear" w:color="auto" w:fill="auto"/>
          </w:tcPr>
          <w:p w14:paraId="5D3F05CD" w14:textId="77777777" w:rsidR="00DE64BC" w:rsidRPr="00256982" w:rsidRDefault="00DE64BC" w:rsidP="00A808C7">
            <w:pPr>
              <w:pStyle w:val="TableText"/>
              <w:rPr>
                <w:rFonts w:cs="Arial"/>
                <w:szCs w:val="16"/>
              </w:rPr>
            </w:pPr>
            <w:r w:rsidRPr="00256982">
              <w:rPr>
                <w:rFonts w:cs="Arial"/>
                <w:color w:val="000000"/>
                <w:szCs w:val="16"/>
              </w:rPr>
              <w:t>Direct N</w:t>
            </w:r>
            <w:r w:rsidRPr="00256982">
              <w:rPr>
                <w:rFonts w:cs="Arial"/>
                <w:color w:val="000000"/>
                <w:szCs w:val="16"/>
                <w:vertAlign w:val="subscript"/>
              </w:rPr>
              <w:t>2</w:t>
            </w:r>
            <w:r w:rsidRPr="00256982">
              <w:rPr>
                <w:rFonts w:cs="Arial"/>
                <w:color w:val="000000"/>
                <w:szCs w:val="16"/>
              </w:rPr>
              <w:t>O Emissions From Managed Soils – Urine and Dung Deposited by Grazing Animals</w:t>
            </w:r>
          </w:p>
        </w:tc>
        <w:tc>
          <w:tcPr>
            <w:tcW w:w="345" w:type="pct"/>
            <w:shd w:val="clear" w:color="auto" w:fill="auto"/>
            <w:noWrap/>
          </w:tcPr>
          <w:p w14:paraId="55CE8122" w14:textId="77777777" w:rsidR="00DE64BC" w:rsidRPr="00256982" w:rsidRDefault="00DE64BC" w:rsidP="00A808C7">
            <w:pPr>
              <w:pStyle w:val="TableText"/>
              <w:jc w:val="center"/>
              <w:rPr>
                <w:rFonts w:cs="Arial"/>
                <w:color w:val="000000"/>
                <w:szCs w:val="16"/>
              </w:rPr>
            </w:pPr>
            <w:r w:rsidRPr="00256982">
              <w:rPr>
                <w:rFonts w:cs="Arial"/>
                <w:color w:val="000000"/>
                <w:szCs w:val="16"/>
              </w:rPr>
              <w:t>N</w:t>
            </w:r>
            <w:r w:rsidRPr="00256982">
              <w:rPr>
                <w:rFonts w:cs="Arial"/>
                <w:color w:val="000000"/>
                <w:szCs w:val="16"/>
                <w:vertAlign w:val="subscript"/>
              </w:rPr>
              <w:t>2</w:t>
            </w:r>
            <w:r w:rsidRPr="00256982">
              <w:rPr>
                <w:rFonts w:cs="Arial"/>
                <w:color w:val="000000"/>
                <w:szCs w:val="16"/>
              </w:rPr>
              <w:t>O</w:t>
            </w:r>
          </w:p>
        </w:tc>
        <w:tc>
          <w:tcPr>
            <w:tcW w:w="764" w:type="pct"/>
            <w:shd w:val="clear" w:color="auto" w:fill="auto"/>
            <w:noWrap/>
          </w:tcPr>
          <w:p w14:paraId="6E3CD243" w14:textId="77777777" w:rsidR="00DE64BC" w:rsidRPr="00256982" w:rsidRDefault="00DE64BC" w:rsidP="00A808C7">
            <w:pPr>
              <w:pStyle w:val="TableText"/>
              <w:rPr>
                <w:rFonts w:cs="Arial"/>
                <w:color w:val="000000"/>
                <w:szCs w:val="16"/>
              </w:rPr>
            </w:pPr>
            <w:r w:rsidRPr="00256982">
              <w:rPr>
                <w:rFonts w:cs="Arial"/>
                <w:color w:val="000000"/>
                <w:szCs w:val="16"/>
              </w:rPr>
              <w:t>L1, T1</w:t>
            </w:r>
          </w:p>
        </w:tc>
      </w:tr>
      <w:tr w:rsidR="00DE64BC" w:rsidRPr="00256982" w14:paraId="22108584" w14:textId="77777777" w:rsidTr="00BB670B">
        <w:tc>
          <w:tcPr>
            <w:tcW w:w="750" w:type="pct"/>
            <w:tcMar>
              <w:right w:w="85" w:type="dxa"/>
            </w:tcMar>
          </w:tcPr>
          <w:p w14:paraId="7C605CEF" w14:textId="77777777" w:rsidR="00DE64BC" w:rsidRPr="00256982" w:rsidRDefault="00DE64BC" w:rsidP="00A808C7">
            <w:pPr>
              <w:pStyle w:val="TableText"/>
              <w:rPr>
                <w:rFonts w:cs="Arial"/>
                <w:szCs w:val="16"/>
              </w:rPr>
            </w:pPr>
            <w:r w:rsidRPr="00256982">
              <w:rPr>
                <w:rFonts w:cs="Arial"/>
                <w:color w:val="000000"/>
                <w:szCs w:val="16"/>
              </w:rPr>
              <w:t>3.D.1.4</w:t>
            </w:r>
          </w:p>
        </w:tc>
        <w:tc>
          <w:tcPr>
            <w:tcW w:w="3141" w:type="pct"/>
            <w:shd w:val="clear" w:color="auto" w:fill="auto"/>
          </w:tcPr>
          <w:p w14:paraId="17DA47BE" w14:textId="77777777" w:rsidR="00DE64BC" w:rsidRPr="00256982" w:rsidRDefault="00DE64BC" w:rsidP="00A808C7">
            <w:pPr>
              <w:pStyle w:val="TableText"/>
              <w:rPr>
                <w:rFonts w:cs="Arial"/>
                <w:szCs w:val="16"/>
              </w:rPr>
            </w:pPr>
            <w:r w:rsidRPr="00256982">
              <w:rPr>
                <w:rFonts w:cs="Arial"/>
                <w:color w:val="000000"/>
                <w:szCs w:val="16"/>
              </w:rPr>
              <w:t>Direct N</w:t>
            </w:r>
            <w:r w:rsidRPr="00256982">
              <w:rPr>
                <w:rFonts w:cs="Arial"/>
                <w:color w:val="000000"/>
                <w:szCs w:val="16"/>
                <w:vertAlign w:val="subscript"/>
              </w:rPr>
              <w:t>2</w:t>
            </w:r>
            <w:r w:rsidRPr="00256982">
              <w:rPr>
                <w:rFonts w:cs="Arial"/>
                <w:color w:val="000000"/>
                <w:szCs w:val="16"/>
              </w:rPr>
              <w:t>O Emissions From Managed Soils – Crop Residues</w:t>
            </w:r>
          </w:p>
        </w:tc>
        <w:tc>
          <w:tcPr>
            <w:tcW w:w="345" w:type="pct"/>
            <w:shd w:val="clear" w:color="auto" w:fill="auto"/>
            <w:noWrap/>
          </w:tcPr>
          <w:p w14:paraId="2BFF14DF" w14:textId="77777777" w:rsidR="00DE64BC" w:rsidRPr="00256982" w:rsidRDefault="00DE64BC" w:rsidP="00A808C7">
            <w:pPr>
              <w:pStyle w:val="TableText"/>
              <w:jc w:val="center"/>
              <w:rPr>
                <w:rFonts w:cs="Arial"/>
                <w:color w:val="000000"/>
                <w:szCs w:val="16"/>
              </w:rPr>
            </w:pPr>
            <w:r w:rsidRPr="00256982">
              <w:rPr>
                <w:rFonts w:cs="Arial"/>
                <w:color w:val="000000"/>
                <w:szCs w:val="16"/>
              </w:rPr>
              <w:t>N</w:t>
            </w:r>
            <w:r w:rsidRPr="00256982">
              <w:rPr>
                <w:rFonts w:cs="Arial"/>
                <w:color w:val="000000"/>
                <w:szCs w:val="16"/>
                <w:vertAlign w:val="subscript"/>
              </w:rPr>
              <w:t>2</w:t>
            </w:r>
            <w:r w:rsidRPr="00256982">
              <w:rPr>
                <w:rFonts w:cs="Arial"/>
                <w:color w:val="000000"/>
                <w:szCs w:val="16"/>
              </w:rPr>
              <w:t>O</w:t>
            </w:r>
          </w:p>
        </w:tc>
        <w:tc>
          <w:tcPr>
            <w:tcW w:w="764" w:type="pct"/>
            <w:shd w:val="clear" w:color="auto" w:fill="auto"/>
            <w:noWrap/>
          </w:tcPr>
          <w:p w14:paraId="73D08879" w14:textId="77777777" w:rsidR="00DE64BC" w:rsidRPr="00256982" w:rsidRDefault="00DE64BC" w:rsidP="00A808C7">
            <w:pPr>
              <w:pStyle w:val="TableText"/>
              <w:rPr>
                <w:rFonts w:cs="Arial"/>
                <w:color w:val="000000"/>
                <w:szCs w:val="16"/>
              </w:rPr>
            </w:pPr>
            <w:r w:rsidRPr="00256982">
              <w:rPr>
                <w:rFonts w:cs="Arial"/>
                <w:color w:val="000000"/>
                <w:szCs w:val="16"/>
              </w:rPr>
              <w:t>L1</w:t>
            </w:r>
          </w:p>
        </w:tc>
      </w:tr>
      <w:tr w:rsidR="00DE64BC" w:rsidRPr="00256982" w14:paraId="5ADF7C00" w14:textId="77777777" w:rsidTr="00BB670B">
        <w:tc>
          <w:tcPr>
            <w:tcW w:w="750" w:type="pct"/>
            <w:tcMar>
              <w:right w:w="85" w:type="dxa"/>
            </w:tcMar>
          </w:tcPr>
          <w:p w14:paraId="6EDEE0A8" w14:textId="77777777" w:rsidR="00DE64BC" w:rsidRPr="00256982" w:rsidRDefault="00DE64BC" w:rsidP="00A808C7">
            <w:pPr>
              <w:pStyle w:val="TableText"/>
              <w:rPr>
                <w:rFonts w:cs="Arial"/>
                <w:szCs w:val="16"/>
              </w:rPr>
            </w:pPr>
            <w:r w:rsidRPr="00256982">
              <w:rPr>
                <w:rFonts w:cs="Arial"/>
                <w:color w:val="000000"/>
                <w:szCs w:val="16"/>
              </w:rPr>
              <w:t>3.D.2.1</w:t>
            </w:r>
          </w:p>
        </w:tc>
        <w:tc>
          <w:tcPr>
            <w:tcW w:w="3141" w:type="pct"/>
            <w:shd w:val="clear" w:color="auto" w:fill="auto"/>
          </w:tcPr>
          <w:p w14:paraId="775D86B6" w14:textId="77777777" w:rsidR="00DE64BC" w:rsidRPr="00256982" w:rsidRDefault="00DE64BC" w:rsidP="00A808C7">
            <w:pPr>
              <w:pStyle w:val="TableText"/>
              <w:rPr>
                <w:rFonts w:cs="Arial"/>
                <w:szCs w:val="16"/>
              </w:rPr>
            </w:pPr>
            <w:r w:rsidRPr="00256982">
              <w:rPr>
                <w:rFonts w:cs="Arial"/>
                <w:color w:val="000000"/>
                <w:szCs w:val="16"/>
              </w:rPr>
              <w:t>Indirect N</w:t>
            </w:r>
            <w:r w:rsidRPr="00256982">
              <w:rPr>
                <w:rFonts w:cs="Arial"/>
                <w:color w:val="000000"/>
                <w:szCs w:val="16"/>
                <w:vertAlign w:val="subscript"/>
              </w:rPr>
              <w:t>2</w:t>
            </w:r>
            <w:r w:rsidRPr="00256982">
              <w:rPr>
                <w:rFonts w:cs="Arial"/>
                <w:color w:val="000000"/>
                <w:szCs w:val="16"/>
              </w:rPr>
              <w:t>O Emissions From Managed Soils – Atmospheric Deposition</w:t>
            </w:r>
          </w:p>
        </w:tc>
        <w:tc>
          <w:tcPr>
            <w:tcW w:w="345" w:type="pct"/>
            <w:shd w:val="clear" w:color="auto" w:fill="auto"/>
            <w:noWrap/>
          </w:tcPr>
          <w:p w14:paraId="5A05F3B8" w14:textId="77777777" w:rsidR="00DE64BC" w:rsidRPr="00256982" w:rsidRDefault="00DE64BC" w:rsidP="00A808C7">
            <w:pPr>
              <w:pStyle w:val="TableText"/>
              <w:jc w:val="center"/>
              <w:rPr>
                <w:rFonts w:cs="Arial"/>
                <w:color w:val="000000"/>
                <w:szCs w:val="16"/>
              </w:rPr>
            </w:pPr>
            <w:r w:rsidRPr="00256982">
              <w:rPr>
                <w:rFonts w:cs="Arial"/>
                <w:color w:val="000000"/>
                <w:szCs w:val="16"/>
              </w:rPr>
              <w:t>N</w:t>
            </w:r>
            <w:r w:rsidRPr="00256982">
              <w:rPr>
                <w:rFonts w:cs="Arial"/>
                <w:color w:val="000000"/>
                <w:szCs w:val="16"/>
                <w:vertAlign w:val="subscript"/>
              </w:rPr>
              <w:t>2</w:t>
            </w:r>
            <w:r w:rsidRPr="00256982">
              <w:rPr>
                <w:rFonts w:cs="Arial"/>
                <w:color w:val="000000"/>
                <w:szCs w:val="16"/>
              </w:rPr>
              <w:t>O</w:t>
            </w:r>
          </w:p>
        </w:tc>
        <w:tc>
          <w:tcPr>
            <w:tcW w:w="764" w:type="pct"/>
            <w:shd w:val="clear" w:color="auto" w:fill="auto"/>
            <w:noWrap/>
          </w:tcPr>
          <w:p w14:paraId="3163C092" w14:textId="77777777" w:rsidR="00DE64BC" w:rsidRPr="00256982" w:rsidRDefault="00DE64BC" w:rsidP="00A808C7">
            <w:pPr>
              <w:pStyle w:val="TableText"/>
              <w:rPr>
                <w:rFonts w:cs="Arial"/>
                <w:color w:val="000000"/>
                <w:szCs w:val="16"/>
              </w:rPr>
            </w:pPr>
            <w:r w:rsidRPr="00256982">
              <w:rPr>
                <w:rFonts w:cs="Arial"/>
                <w:color w:val="000000"/>
                <w:szCs w:val="16"/>
              </w:rPr>
              <w:t>L1</w:t>
            </w:r>
          </w:p>
        </w:tc>
      </w:tr>
      <w:tr w:rsidR="00DE64BC" w:rsidRPr="00256982" w14:paraId="0069DEE8" w14:textId="77777777" w:rsidTr="00BB670B">
        <w:tc>
          <w:tcPr>
            <w:tcW w:w="750" w:type="pct"/>
            <w:tcMar>
              <w:right w:w="85" w:type="dxa"/>
            </w:tcMar>
          </w:tcPr>
          <w:p w14:paraId="4AA4F978" w14:textId="77777777" w:rsidR="00DE64BC" w:rsidRPr="00256982" w:rsidRDefault="00DE64BC" w:rsidP="00A808C7">
            <w:pPr>
              <w:pStyle w:val="TableText"/>
            </w:pPr>
            <w:r w:rsidRPr="00256982">
              <w:t>3.D.2.2</w:t>
            </w:r>
          </w:p>
        </w:tc>
        <w:tc>
          <w:tcPr>
            <w:tcW w:w="3141" w:type="pct"/>
            <w:shd w:val="clear" w:color="auto" w:fill="auto"/>
          </w:tcPr>
          <w:p w14:paraId="360358E5" w14:textId="77777777" w:rsidR="00DE64BC" w:rsidRPr="00256982" w:rsidRDefault="00DE64BC" w:rsidP="00A808C7">
            <w:pPr>
              <w:pStyle w:val="TableText"/>
              <w:keepNext/>
              <w:rPr>
                <w:rFonts w:cs="Arial"/>
                <w:szCs w:val="16"/>
              </w:rPr>
            </w:pPr>
            <w:r w:rsidRPr="00256982">
              <w:rPr>
                <w:rFonts w:cs="Arial"/>
                <w:color w:val="000000"/>
                <w:szCs w:val="16"/>
              </w:rPr>
              <w:t>Indirect N</w:t>
            </w:r>
            <w:r w:rsidRPr="00256982">
              <w:rPr>
                <w:rFonts w:cs="Arial"/>
                <w:color w:val="000000"/>
                <w:szCs w:val="16"/>
                <w:vertAlign w:val="subscript"/>
              </w:rPr>
              <w:t>2</w:t>
            </w:r>
            <w:r w:rsidRPr="00256982">
              <w:rPr>
                <w:rFonts w:cs="Arial"/>
                <w:color w:val="000000"/>
                <w:szCs w:val="16"/>
              </w:rPr>
              <w:t>O Emissions From Managed Soils – Nitrogen Leaching and Run-off</w:t>
            </w:r>
          </w:p>
        </w:tc>
        <w:tc>
          <w:tcPr>
            <w:tcW w:w="345" w:type="pct"/>
            <w:shd w:val="clear" w:color="auto" w:fill="auto"/>
            <w:noWrap/>
          </w:tcPr>
          <w:p w14:paraId="39761D09" w14:textId="77777777" w:rsidR="00DE64BC" w:rsidRPr="00256982" w:rsidRDefault="00DE64BC" w:rsidP="00A808C7">
            <w:pPr>
              <w:pStyle w:val="TableText"/>
              <w:keepNext/>
              <w:jc w:val="center"/>
              <w:rPr>
                <w:rFonts w:cs="Arial"/>
                <w:color w:val="000000"/>
                <w:szCs w:val="16"/>
              </w:rPr>
            </w:pPr>
            <w:r w:rsidRPr="00256982">
              <w:rPr>
                <w:rFonts w:cs="Arial"/>
                <w:color w:val="000000"/>
                <w:szCs w:val="16"/>
              </w:rPr>
              <w:t>N</w:t>
            </w:r>
            <w:r w:rsidRPr="00256982">
              <w:rPr>
                <w:rFonts w:cs="Arial"/>
                <w:color w:val="000000"/>
                <w:szCs w:val="16"/>
                <w:vertAlign w:val="subscript"/>
              </w:rPr>
              <w:t>2</w:t>
            </w:r>
            <w:r w:rsidRPr="00256982">
              <w:rPr>
                <w:rFonts w:cs="Arial"/>
                <w:color w:val="000000"/>
                <w:szCs w:val="16"/>
              </w:rPr>
              <w:t>O</w:t>
            </w:r>
          </w:p>
        </w:tc>
        <w:tc>
          <w:tcPr>
            <w:tcW w:w="764" w:type="pct"/>
            <w:shd w:val="clear" w:color="auto" w:fill="auto"/>
            <w:noWrap/>
          </w:tcPr>
          <w:p w14:paraId="0344C5EE" w14:textId="77777777" w:rsidR="00DE64BC" w:rsidRPr="00256982" w:rsidRDefault="00DE64BC" w:rsidP="00A808C7">
            <w:pPr>
              <w:pStyle w:val="TableText"/>
              <w:keepNext/>
              <w:rPr>
                <w:rFonts w:cs="Arial"/>
                <w:color w:val="000000"/>
                <w:szCs w:val="16"/>
              </w:rPr>
            </w:pPr>
            <w:r w:rsidRPr="00256982">
              <w:rPr>
                <w:rFonts w:cs="Arial"/>
                <w:color w:val="000000"/>
                <w:szCs w:val="16"/>
              </w:rPr>
              <w:t>L1</w:t>
            </w:r>
          </w:p>
        </w:tc>
      </w:tr>
      <w:tr w:rsidR="00DE64BC" w:rsidRPr="00256982" w14:paraId="38D18910" w14:textId="77777777" w:rsidTr="00BB670B">
        <w:tc>
          <w:tcPr>
            <w:tcW w:w="750" w:type="pct"/>
            <w:tcMar>
              <w:right w:w="85" w:type="dxa"/>
            </w:tcMar>
          </w:tcPr>
          <w:p w14:paraId="78991A89" w14:textId="77777777" w:rsidR="00DE64BC" w:rsidRPr="00256982" w:rsidRDefault="00DE64BC" w:rsidP="00A808C7">
            <w:pPr>
              <w:pStyle w:val="TableText"/>
              <w:rPr>
                <w:rFonts w:cs="Arial"/>
                <w:szCs w:val="16"/>
              </w:rPr>
            </w:pPr>
            <w:r w:rsidRPr="00256982">
              <w:rPr>
                <w:rFonts w:cs="Arial"/>
                <w:color w:val="000000"/>
                <w:szCs w:val="16"/>
              </w:rPr>
              <w:t>3.G</w:t>
            </w:r>
          </w:p>
        </w:tc>
        <w:tc>
          <w:tcPr>
            <w:tcW w:w="3141" w:type="pct"/>
            <w:shd w:val="clear" w:color="auto" w:fill="auto"/>
          </w:tcPr>
          <w:p w14:paraId="249BE9B5" w14:textId="77777777" w:rsidR="00DE64BC" w:rsidRPr="00256982" w:rsidRDefault="00DE64BC" w:rsidP="00A808C7">
            <w:pPr>
              <w:pStyle w:val="TableText"/>
              <w:rPr>
                <w:rFonts w:cs="Arial"/>
                <w:szCs w:val="16"/>
              </w:rPr>
            </w:pPr>
            <w:r w:rsidRPr="00256982">
              <w:rPr>
                <w:rFonts w:cs="Arial"/>
                <w:color w:val="000000"/>
                <w:szCs w:val="16"/>
              </w:rPr>
              <w:t>Agriculture – Liming</w:t>
            </w:r>
          </w:p>
        </w:tc>
        <w:tc>
          <w:tcPr>
            <w:tcW w:w="345" w:type="pct"/>
            <w:shd w:val="clear" w:color="auto" w:fill="auto"/>
            <w:noWrap/>
          </w:tcPr>
          <w:p w14:paraId="0C619CA6" w14:textId="77777777" w:rsidR="00DE64BC" w:rsidRPr="00256982" w:rsidRDefault="00DE64BC" w:rsidP="00A808C7">
            <w:pPr>
              <w:pStyle w:val="TableText"/>
              <w:jc w:val="center"/>
              <w:rPr>
                <w:rFonts w:cs="Arial"/>
                <w:color w:val="000000"/>
                <w:szCs w:val="16"/>
              </w:rPr>
            </w:pPr>
            <w:r w:rsidRPr="00256982">
              <w:rPr>
                <w:rFonts w:cs="Arial"/>
                <w:color w:val="000000"/>
                <w:szCs w:val="16"/>
              </w:rPr>
              <w:t>CO</w:t>
            </w:r>
            <w:r w:rsidRPr="00256982">
              <w:rPr>
                <w:rFonts w:cs="Arial"/>
                <w:color w:val="000000"/>
                <w:szCs w:val="16"/>
                <w:vertAlign w:val="subscript"/>
              </w:rPr>
              <w:t>2</w:t>
            </w:r>
          </w:p>
        </w:tc>
        <w:tc>
          <w:tcPr>
            <w:tcW w:w="764" w:type="pct"/>
            <w:shd w:val="clear" w:color="auto" w:fill="auto"/>
            <w:noWrap/>
          </w:tcPr>
          <w:p w14:paraId="17C34241" w14:textId="77777777" w:rsidR="00DE64BC" w:rsidRPr="00256982" w:rsidRDefault="00DE64BC" w:rsidP="00A808C7">
            <w:pPr>
              <w:pStyle w:val="TableText"/>
              <w:rPr>
                <w:rFonts w:cs="Arial"/>
                <w:color w:val="000000"/>
                <w:szCs w:val="16"/>
              </w:rPr>
            </w:pPr>
            <w:r w:rsidRPr="00256982">
              <w:rPr>
                <w:rFonts w:cs="Arial"/>
                <w:color w:val="000000"/>
                <w:szCs w:val="16"/>
              </w:rPr>
              <w:t>L1</w:t>
            </w:r>
          </w:p>
        </w:tc>
      </w:tr>
      <w:tr w:rsidR="00DE64BC" w:rsidRPr="00256982" w14:paraId="024B87E1" w14:textId="77777777" w:rsidTr="00BB670B">
        <w:tc>
          <w:tcPr>
            <w:tcW w:w="750" w:type="pct"/>
            <w:tcMar>
              <w:right w:w="85" w:type="dxa"/>
            </w:tcMar>
          </w:tcPr>
          <w:p w14:paraId="5983EF4C" w14:textId="77777777" w:rsidR="00DE64BC" w:rsidRPr="00256982" w:rsidRDefault="00DE64BC" w:rsidP="00A808C7">
            <w:pPr>
              <w:pStyle w:val="TableText"/>
              <w:rPr>
                <w:rFonts w:cs="Arial"/>
                <w:szCs w:val="16"/>
              </w:rPr>
            </w:pPr>
            <w:r w:rsidRPr="00256982">
              <w:rPr>
                <w:rFonts w:cs="Arial"/>
                <w:color w:val="000000"/>
                <w:szCs w:val="16"/>
              </w:rPr>
              <w:t>3.H</w:t>
            </w:r>
          </w:p>
        </w:tc>
        <w:tc>
          <w:tcPr>
            <w:tcW w:w="3141" w:type="pct"/>
            <w:shd w:val="clear" w:color="auto" w:fill="auto"/>
          </w:tcPr>
          <w:p w14:paraId="35801133" w14:textId="77777777" w:rsidR="00DE64BC" w:rsidRPr="00256982" w:rsidRDefault="00DE64BC" w:rsidP="00A808C7">
            <w:pPr>
              <w:pStyle w:val="TableText"/>
              <w:rPr>
                <w:rFonts w:cs="Arial"/>
                <w:szCs w:val="16"/>
              </w:rPr>
            </w:pPr>
            <w:r w:rsidRPr="00256982">
              <w:rPr>
                <w:rFonts w:cs="Arial"/>
                <w:color w:val="000000"/>
                <w:szCs w:val="16"/>
              </w:rPr>
              <w:t>Agriculture – Urea Application</w:t>
            </w:r>
          </w:p>
        </w:tc>
        <w:tc>
          <w:tcPr>
            <w:tcW w:w="345" w:type="pct"/>
            <w:shd w:val="clear" w:color="auto" w:fill="auto"/>
            <w:noWrap/>
          </w:tcPr>
          <w:p w14:paraId="0D209C29" w14:textId="77777777" w:rsidR="00DE64BC" w:rsidRPr="00256982" w:rsidRDefault="00DE64BC" w:rsidP="00A808C7">
            <w:pPr>
              <w:pStyle w:val="TableText"/>
              <w:jc w:val="center"/>
              <w:rPr>
                <w:rFonts w:cs="Arial"/>
                <w:color w:val="000000"/>
                <w:szCs w:val="16"/>
              </w:rPr>
            </w:pPr>
            <w:r w:rsidRPr="00256982">
              <w:rPr>
                <w:rFonts w:cs="Arial"/>
                <w:color w:val="000000"/>
                <w:szCs w:val="16"/>
              </w:rPr>
              <w:t>CO</w:t>
            </w:r>
            <w:r w:rsidRPr="00256982">
              <w:rPr>
                <w:rFonts w:cs="Arial"/>
                <w:color w:val="000000"/>
                <w:szCs w:val="16"/>
                <w:vertAlign w:val="subscript"/>
              </w:rPr>
              <w:t>2</w:t>
            </w:r>
          </w:p>
        </w:tc>
        <w:tc>
          <w:tcPr>
            <w:tcW w:w="764" w:type="pct"/>
            <w:shd w:val="clear" w:color="auto" w:fill="auto"/>
            <w:noWrap/>
          </w:tcPr>
          <w:p w14:paraId="37138113" w14:textId="77777777" w:rsidR="00DE64BC" w:rsidRPr="00256982" w:rsidRDefault="00DE64BC" w:rsidP="00A808C7">
            <w:pPr>
              <w:pStyle w:val="TableText"/>
              <w:rPr>
                <w:rFonts w:cs="Arial"/>
                <w:color w:val="000000"/>
                <w:szCs w:val="16"/>
              </w:rPr>
            </w:pPr>
            <w:r w:rsidRPr="00256982">
              <w:rPr>
                <w:rFonts w:cs="Arial"/>
                <w:color w:val="000000"/>
                <w:szCs w:val="16"/>
              </w:rPr>
              <w:t>L1, T1</w:t>
            </w:r>
          </w:p>
        </w:tc>
      </w:tr>
      <w:tr w:rsidR="00DE64BC" w:rsidRPr="00256982" w14:paraId="78831B3B" w14:textId="77777777" w:rsidTr="00BB670B">
        <w:tc>
          <w:tcPr>
            <w:tcW w:w="750" w:type="pct"/>
            <w:tcMar>
              <w:right w:w="85" w:type="dxa"/>
            </w:tcMar>
          </w:tcPr>
          <w:p w14:paraId="26A86B47" w14:textId="77777777" w:rsidR="00DE64BC" w:rsidRPr="00256982" w:rsidRDefault="00DE64BC" w:rsidP="00A808C7">
            <w:pPr>
              <w:pStyle w:val="TableText"/>
              <w:keepNext/>
              <w:rPr>
                <w:b/>
              </w:rPr>
            </w:pPr>
            <w:r w:rsidRPr="00256982">
              <w:rPr>
                <w:b/>
              </w:rPr>
              <w:t>LULUCF</w:t>
            </w:r>
          </w:p>
        </w:tc>
        <w:tc>
          <w:tcPr>
            <w:tcW w:w="3141" w:type="pct"/>
            <w:shd w:val="clear" w:color="auto" w:fill="auto"/>
          </w:tcPr>
          <w:p w14:paraId="2628408A" w14:textId="77777777" w:rsidR="00DE64BC" w:rsidRPr="00256982" w:rsidRDefault="00DE64BC" w:rsidP="00A808C7">
            <w:pPr>
              <w:pStyle w:val="TableText"/>
              <w:rPr>
                <w:b/>
              </w:rPr>
            </w:pPr>
          </w:p>
        </w:tc>
        <w:tc>
          <w:tcPr>
            <w:tcW w:w="345" w:type="pct"/>
            <w:shd w:val="clear" w:color="auto" w:fill="auto"/>
            <w:noWrap/>
          </w:tcPr>
          <w:p w14:paraId="7140AC05" w14:textId="77777777" w:rsidR="00DE64BC" w:rsidRPr="00256982" w:rsidRDefault="00DE64BC" w:rsidP="00A808C7">
            <w:pPr>
              <w:pStyle w:val="TableText"/>
              <w:jc w:val="center"/>
              <w:rPr>
                <w:b/>
              </w:rPr>
            </w:pPr>
          </w:p>
        </w:tc>
        <w:tc>
          <w:tcPr>
            <w:tcW w:w="764" w:type="pct"/>
            <w:shd w:val="clear" w:color="auto" w:fill="auto"/>
            <w:noWrap/>
          </w:tcPr>
          <w:p w14:paraId="59143D5E" w14:textId="77777777" w:rsidR="00DE64BC" w:rsidRPr="00256982" w:rsidRDefault="00DE64BC" w:rsidP="00A808C7">
            <w:pPr>
              <w:pStyle w:val="TableText"/>
              <w:rPr>
                <w:b/>
              </w:rPr>
            </w:pPr>
          </w:p>
        </w:tc>
      </w:tr>
      <w:tr w:rsidR="00DE64BC" w:rsidRPr="00256982" w14:paraId="6A05BA7E" w14:textId="77777777" w:rsidTr="00BB670B">
        <w:tc>
          <w:tcPr>
            <w:tcW w:w="750" w:type="pct"/>
            <w:tcMar>
              <w:right w:w="85" w:type="dxa"/>
            </w:tcMar>
          </w:tcPr>
          <w:p w14:paraId="58B8AFB3" w14:textId="77777777" w:rsidR="00DE64BC" w:rsidRPr="00256982" w:rsidRDefault="00DE64BC" w:rsidP="00A808C7">
            <w:pPr>
              <w:pStyle w:val="TableText"/>
              <w:rPr>
                <w:rFonts w:cs="Arial"/>
                <w:szCs w:val="16"/>
              </w:rPr>
            </w:pPr>
            <w:r w:rsidRPr="00256982">
              <w:rPr>
                <w:rFonts w:cs="Arial"/>
                <w:color w:val="000000"/>
                <w:szCs w:val="16"/>
              </w:rPr>
              <w:t>4.A.1</w:t>
            </w:r>
          </w:p>
        </w:tc>
        <w:tc>
          <w:tcPr>
            <w:tcW w:w="3141" w:type="pct"/>
            <w:shd w:val="clear" w:color="auto" w:fill="auto"/>
          </w:tcPr>
          <w:p w14:paraId="40395D3D" w14:textId="77777777" w:rsidR="00DE64BC" w:rsidRPr="00256982" w:rsidRDefault="00DE64BC" w:rsidP="00A808C7">
            <w:pPr>
              <w:pStyle w:val="TableText"/>
              <w:rPr>
                <w:rFonts w:cs="Arial"/>
                <w:szCs w:val="16"/>
              </w:rPr>
            </w:pPr>
            <w:r w:rsidRPr="00256982">
              <w:rPr>
                <w:rFonts w:cs="Arial"/>
                <w:color w:val="000000"/>
                <w:szCs w:val="16"/>
              </w:rPr>
              <w:t>Forest Land – Forest Land Remaining Forest Land</w:t>
            </w:r>
          </w:p>
        </w:tc>
        <w:tc>
          <w:tcPr>
            <w:tcW w:w="345" w:type="pct"/>
            <w:shd w:val="clear" w:color="auto" w:fill="auto"/>
            <w:noWrap/>
          </w:tcPr>
          <w:p w14:paraId="73BAC69F" w14:textId="77777777" w:rsidR="00DE64BC" w:rsidRPr="00256982" w:rsidRDefault="00DE64BC" w:rsidP="00A808C7">
            <w:pPr>
              <w:pStyle w:val="TableText"/>
              <w:jc w:val="center"/>
              <w:rPr>
                <w:rFonts w:cs="Arial"/>
                <w:color w:val="000000"/>
                <w:szCs w:val="16"/>
              </w:rPr>
            </w:pPr>
            <w:r w:rsidRPr="00256982">
              <w:rPr>
                <w:rFonts w:cs="Arial"/>
                <w:color w:val="000000"/>
                <w:szCs w:val="16"/>
              </w:rPr>
              <w:t>CO</w:t>
            </w:r>
            <w:r w:rsidRPr="00256982">
              <w:rPr>
                <w:rFonts w:cs="Arial"/>
                <w:color w:val="000000"/>
                <w:szCs w:val="16"/>
                <w:vertAlign w:val="subscript"/>
              </w:rPr>
              <w:t>2</w:t>
            </w:r>
          </w:p>
        </w:tc>
        <w:tc>
          <w:tcPr>
            <w:tcW w:w="764" w:type="pct"/>
            <w:shd w:val="clear" w:color="auto" w:fill="auto"/>
            <w:noWrap/>
          </w:tcPr>
          <w:p w14:paraId="5F62BD51" w14:textId="77777777" w:rsidR="00DE64BC" w:rsidRPr="00256982" w:rsidRDefault="00DE64BC" w:rsidP="00A808C7">
            <w:pPr>
              <w:pStyle w:val="TableText"/>
              <w:rPr>
                <w:rFonts w:cs="Arial"/>
                <w:color w:val="000000"/>
                <w:szCs w:val="16"/>
              </w:rPr>
            </w:pPr>
            <w:r w:rsidRPr="00256982">
              <w:rPr>
                <w:rFonts w:cs="Arial"/>
                <w:color w:val="000000"/>
                <w:szCs w:val="16"/>
              </w:rPr>
              <w:t>L1, T1</w:t>
            </w:r>
          </w:p>
        </w:tc>
      </w:tr>
      <w:tr w:rsidR="00DE64BC" w:rsidRPr="00256982" w14:paraId="3B0CAC75" w14:textId="77777777" w:rsidTr="00BB670B">
        <w:tc>
          <w:tcPr>
            <w:tcW w:w="750" w:type="pct"/>
            <w:tcMar>
              <w:right w:w="85" w:type="dxa"/>
            </w:tcMar>
          </w:tcPr>
          <w:p w14:paraId="78D06D74" w14:textId="77777777" w:rsidR="00DE64BC" w:rsidRPr="00256982" w:rsidRDefault="00DE64BC" w:rsidP="00A808C7">
            <w:pPr>
              <w:pStyle w:val="TableText"/>
              <w:rPr>
                <w:rFonts w:cs="Arial"/>
                <w:szCs w:val="16"/>
              </w:rPr>
            </w:pPr>
            <w:r w:rsidRPr="00256982">
              <w:rPr>
                <w:rFonts w:cs="Arial"/>
                <w:color w:val="000000"/>
                <w:szCs w:val="16"/>
              </w:rPr>
              <w:t>4.A.2</w:t>
            </w:r>
          </w:p>
        </w:tc>
        <w:tc>
          <w:tcPr>
            <w:tcW w:w="3141" w:type="pct"/>
            <w:shd w:val="clear" w:color="auto" w:fill="auto"/>
          </w:tcPr>
          <w:p w14:paraId="6F03FABE" w14:textId="77777777" w:rsidR="00DE64BC" w:rsidRPr="00256982" w:rsidRDefault="00DE64BC" w:rsidP="00A808C7">
            <w:pPr>
              <w:pStyle w:val="TableText"/>
              <w:rPr>
                <w:rFonts w:cs="Arial"/>
                <w:szCs w:val="16"/>
              </w:rPr>
            </w:pPr>
            <w:r w:rsidRPr="00256982">
              <w:rPr>
                <w:rFonts w:cs="Arial"/>
                <w:color w:val="000000"/>
                <w:szCs w:val="16"/>
              </w:rPr>
              <w:t>Forest Land – Land Converted to Forest Land</w:t>
            </w:r>
          </w:p>
        </w:tc>
        <w:tc>
          <w:tcPr>
            <w:tcW w:w="345" w:type="pct"/>
            <w:shd w:val="clear" w:color="auto" w:fill="auto"/>
            <w:noWrap/>
          </w:tcPr>
          <w:p w14:paraId="06B731C1" w14:textId="77777777" w:rsidR="00DE64BC" w:rsidRPr="00256982" w:rsidRDefault="00DE64BC" w:rsidP="00A808C7">
            <w:pPr>
              <w:pStyle w:val="TableText"/>
              <w:jc w:val="center"/>
              <w:rPr>
                <w:rFonts w:cs="Arial"/>
                <w:color w:val="000000"/>
                <w:szCs w:val="16"/>
              </w:rPr>
            </w:pPr>
            <w:r w:rsidRPr="00256982">
              <w:rPr>
                <w:rFonts w:cs="Arial"/>
                <w:color w:val="000000"/>
                <w:szCs w:val="16"/>
              </w:rPr>
              <w:t>CO</w:t>
            </w:r>
            <w:r w:rsidRPr="00256982">
              <w:rPr>
                <w:rFonts w:cs="Arial"/>
                <w:color w:val="000000"/>
                <w:szCs w:val="16"/>
                <w:vertAlign w:val="subscript"/>
              </w:rPr>
              <w:t>2</w:t>
            </w:r>
          </w:p>
        </w:tc>
        <w:tc>
          <w:tcPr>
            <w:tcW w:w="764" w:type="pct"/>
            <w:shd w:val="clear" w:color="auto" w:fill="auto"/>
            <w:noWrap/>
          </w:tcPr>
          <w:p w14:paraId="3CFC6DCA" w14:textId="77777777" w:rsidR="00DE64BC" w:rsidRPr="00256982" w:rsidRDefault="00DE64BC" w:rsidP="00A808C7">
            <w:pPr>
              <w:pStyle w:val="TableText"/>
              <w:rPr>
                <w:rFonts w:cs="Arial"/>
                <w:color w:val="000000"/>
                <w:szCs w:val="16"/>
              </w:rPr>
            </w:pPr>
            <w:r w:rsidRPr="00256982">
              <w:rPr>
                <w:rFonts w:cs="Arial"/>
                <w:color w:val="000000"/>
                <w:szCs w:val="16"/>
              </w:rPr>
              <w:t>L1, T1</w:t>
            </w:r>
          </w:p>
        </w:tc>
      </w:tr>
      <w:tr w:rsidR="00DE64BC" w:rsidRPr="00256982" w14:paraId="28735577" w14:textId="77777777" w:rsidTr="00BB670B">
        <w:tc>
          <w:tcPr>
            <w:tcW w:w="750" w:type="pct"/>
            <w:tcMar>
              <w:right w:w="85" w:type="dxa"/>
            </w:tcMar>
          </w:tcPr>
          <w:p w14:paraId="7040E8AE" w14:textId="77777777" w:rsidR="00DE64BC" w:rsidRPr="00256982" w:rsidRDefault="00DE64BC" w:rsidP="00A808C7">
            <w:pPr>
              <w:pStyle w:val="TableText"/>
              <w:rPr>
                <w:rFonts w:cs="Arial"/>
                <w:szCs w:val="16"/>
              </w:rPr>
            </w:pPr>
            <w:r w:rsidRPr="00256982">
              <w:rPr>
                <w:rFonts w:cs="Arial"/>
                <w:color w:val="000000"/>
                <w:szCs w:val="16"/>
              </w:rPr>
              <w:t>4.B.1</w:t>
            </w:r>
          </w:p>
        </w:tc>
        <w:tc>
          <w:tcPr>
            <w:tcW w:w="3141" w:type="pct"/>
            <w:shd w:val="clear" w:color="auto" w:fill="auto"/>
          </w:tcPr>
          <w:p w14:paraId="052B55CC" w14:textId="77777777" w:rsidR="00DE64BC" w:rsidRPr="00256982" w:rsidRDefault="00DE64BC" w:rsidP="00A808C7">
            <w:pPr>
              <w:pStyle w:val="TableText"/>
              <w:rPr>
                <w:rFonts w:cs="Arial"/>
                <w:szCs w:val="16"/>
              </w:rPr>
            </w:pPr>
            <w:r w:rsidRPr="00256982">
              <w:rPr>
                <w:rFonts w:cs="Arial"/>
                <w:color w:val="000000"/>
                <w:szCs w:val="16"/>
              </w:rPr>
              <w:t>Cropland – Cropland Remaining Cropland</w:t>
            </w:r>
          </w:p>
        </w:tc>
        <w:tc>
          <w:tcPr>
            <w:tcW w:w="345" w:type="pct"/>
            <w:shd w:val="clear" w:color="auto" w:fill="auto"/>
            <w:noWrap/>
          </w:tcPr>
          <w:p w14:paraId="6A872CE0" w14:textId="77777777" w:rsidR="00DE64BC" w:rsidRPr="00256982" w:rsidRDefault="00DE64BC" w:rsidP="00A808C7">
            <w:pPr>
              <w:pStyle w:val="TableText"/>
              <w:jc w:val="center"/>
              <w:rPr>
                <w:rFonts w:cs="Arial"/>
                <w:color w:val="000000"/>
                <w:szCs w:val="16"/>
              </w:rPr>
            </w:pPr>
            <w:r w:rsidRPr="00256982">
              <w:rPr>
                <w:rFonts w:cs="Arial"/>
                <w:color w:val="000000"/>
                <w:szCs w:val="16"/>
              </w:rPr>
              <w:t>CO</w:t>
            </w:r>
            <w:r w:rsidRPr="00256982">
              <w:rPr>
                <w:rFonts w:cs="Arial"/>
                <w:color w:val="000000"/>
                <w:szCs w:val="16"/>
                <w:vertAlign w:val="subscript"/>
              </w:rPr>
              <w:t>2</w:t>
            </w:r>
          </w:p>
        </w:tc>
        <w:tc>
          <w:tcPr>
            <w:tcW w:w="764" w:type="pct"/>
            <w:shd w:val="clear" w:color="auto" w:fill="auto"/>
            <w:noWrap/>
          </w:tcPr>
          <w:p w14:paraId="5ED18F4D" w14:textId="77777777" w:rsidR="00DE64BC" w:rsidRPr="00256982" w:rsidRDefault="00DE64BC" w:rsidP="00A808C7">
            <w:pPr>
              <w:pStyle w:val="TableText"/>
              <w:rPr>
                <w:rFonts w:cs="Arial"/>
                <w:color w:val="000000"/>
                <w:szCs w:val="16"/>
              </w:rPr>
            </w:pPr>
            <w:r w:rsidRPr="00256982">
              <w:rPr>
                <w:rFonts w:cs="Arial"/>
                <w:color w:val="000000"/>
                <w:szCs w:val="16"/>
              </w:rPr>
              <w:t>L1</w:t>
            </w:r>
          </w:p>
        </w:tc>
      </w:tr>
      <w:tr w:rsidR="00DE64BC" w:rsidRPr="00256982" w14:paraId="2C59C925" w14:textId="77777777" w:rsidTr="00BB670B">
        <w:tc>
          <w:tcPr>
            <w:tcW w:w="750" w:type="pct"/>
            <w:tcMar>
              <w:right w:w="85" w:type="dxa"/>
            </w:tcMar>
          </w:tcPr>
          <w:p w14:paraId="6BA27D8F" w14:textId="77777777" w:rsidR="00DE64BC" w:rsidRPr="00256982" w:rsidRDefault="00DE64BC" w:rsidP="00A808C7">
            <w:pPr>
              <w:pStyle w:val="TableText"/>
              <w:rPr>
                <w:rFonts w:cs="Arial"/>
                <w:szCs w:val="16"/>
              </w:rPr>
            </w:pPr>
            <w:r w:rsidRPr="00256982">
              <w:rPr>
                <w:rFonts w:cs="Arial"/>
                <w:color w:val="000000"/>
                <w:szCs w:val="16"/>
              </w:rPr>
              <w:lastRenderedPageBreak/>
              <w:t>4.C.1</w:t>
            </w:r>
          </w:p>
        </w:tc>
        <w:tc>
          <w:tcPr>
            <w:tcW w:w="3141" w:type="pct"/>
            <w:shd w:val="clear" w:color="auto" w:fill="auto"/>
          </w:tcPr>
          <w:p w14:paraId="53B7D427" w14:textId="77777777" w:rsidR="00DE64BC" w:rsidRPr="00256982" w:rsidRDefault="00DE64BC" w:rsidP="00A808C7">
            <w:pPr>
              <w:pStyle w:val="TableText"/>
              <w:rPr>
                <w:rFonts w:cs="Arial"/>
                <w:szCs w:val="16"/>
              </w:rPr>
            </w:pPr>
            <w:r w:rsidRPr="00256982">
              <w:rPr>
                <w:rFonts w:cs="Arial"/>
                <w:color w:val="000000"/>
                <w:szCs w:val="16"/>
              </w:rPr>
              <w:t>Grassland – Grassland Remaining Grassland</w:t>
            </w:r>
          </w:p>
        </w:tc>
        <w:tc>
          <w:tcPr>
            <w:tcW w:w="345" w:type="pct"/>
            <w:shd w:val="clear" w:color="auto" w:fill="auto"/>
            <w:noWrap/>
          </w:tcPr>
          <w:p w14:paraId="4E52CA16" w14:textId="77777777" w:rsidR="00DE64BC" w:rsidRPr="00256982" w:rsidRDefault="00DE64BC" w:rsidP="00A808C7">
            <w:pPr>
              <w:pStyle w:val="TableText"/>
              <w:jc w:val="center"/>
              <w:rPr>
                <w:rFonts w:cs="Arial"/>
                <w:color w:val="000000"/>
                <w:szCs w:val="16"/>
              </w:rPr>
            </w:pPr>
            <w:r w:rsidRPr="00256982">
              <w:rPr>
                <w:rFonts w:cs="Arial"/>
                <w:color w:val="000000"/>
                <w:szCs w:val="16"/>
              </w:rPr>
              <w:t>CO</w:t>
            </w:r>
            <w:r w:rsidRPr="00256982">
              <w:rPr>
                <w:rFonts w:cs="Arial"/>
                <w:color w:val="000000"/>
                <w:szCs w:val="16"/>
                <w:vertAlign w:val="subscript"/>
              </w:rPr>
              <w:t>2</w:t>
            </w:r>
          </w:p>
        </w:tc>
        <w:tc>
          <w:tcPr>
            <w:tcW w:w="764" w:type="pct"/>
            <w:shd w:val="clear" w:color="auto" w:fill="auto"/>
            <w:noWrap/>
          </w:tcPr>
          <w:p w14:paraId="591F99BD" w14:textId="77777777" w:rsidR="00DE64BC" w:rsidRPr="00256982" w:rsidRDefault="00DE64BC" w:rsidP="00A808C7">
            <w:pPr>
              <w:pStyle w:val="TableText"/>
              <w:rPr>
                <w:rFonts w:cs="Arial"/>
                <w:color w:val="000000"/>
                <w:szCs w:val="16"/>
              </w:rPr>
            </w:pPr>
            <w:r w:rsidRPr="00256982">
              <w:rPr>
                <w:rFonts w:cs="Arial"/>
                <w:color w:val="000000"/>
                <w:szCs w:val="16"/>
              </w:rPr>
              <w:t>L1, T1</w:t>
            </w:r>
          </w:p>
        </w:tc>
      </w:tr>
      <w:tr w:rsidR="00DE64BC" w:rsidRPr="00256982" w14:paraId="344CC0F6" w14:textId="77777777" w:rsidTr="00BB670B">
        <w:tc>
          <w:tcPr>
            <w:tcW w:w="750" w:type="pct"/>
            <w:tcMar>
              <w:right w:w="85" w:type="dxa"/>
            </w:tcMar>
          </w:tcPr>
          <w:p w14:paraId="0B864FFC" w14:textId="77777777" w:rsidR="00DE64BC" w:rsidRPr="00256982" w:rsidRDefault="00DE64BC" w:rsidP="00A808C7">
            <w:pPr>
              <w:pStyle w:val="TableText"/>
              <w:rPr>
                <w:rFonts w:cs="Arial"/>
                <w:szCs w:val="16"/>
              </w:rPr>
            </w:pPr>
            <w:r w:rsidRPr="00256982">
              <w:rPr>
                <w:rFonts w:cs="Arial"/>
                <w:color w:val="000000"/>
                <w:szCs w:val="16"/>
              </w:rPr>
              <w:t>4.C.2</w:t>
            </w:r>
          </w:p>
        </w:tc>
        <w:tc>
          <w:tcPr>
            <w:tcW w:w="3141" w:type="pct"/>
            <w:shd w:val="clear" w:color="auto" w:fill="auto"/>
          </w:tcPr>
          <w:p w14:paraId="3AB72B39" w14:textId="77777777" w:rsidR="00DE64BC" w:rsidRPr="00256982" w:rsidRDefault="00DE64BC" w:rsidP="00A808C7">
            <w:pPr>
              <w:pStyle w:val="TableText"/>
              <w:rPr>
                <w:rFonts w:cs="Arial"/>
                <w:szCs w:val="16"/>
              </w:rPr>
            </w:pPr>
            <w:r w:rsidRPr="00256982">
              <w:rPr>
                <w:rFonts w:cs="Arial"/>
                <w:color w:val="000000"/>
                <w:szCs w:val="16"/>
              </w:rPr>
              <w:t>Grassland – Land Converted to Grassland</w:t>
            </w:r>
          </w:p>
        </w:tc>
        <w:tc>
          <w:tcPr>
            <w:tcW w:w="345" w:type="pct"/>
            <w:shd w:val="clear" w:color="auto" w:fill="auto"/>
            <w:noWrap/>
          </w:tcPr>
          <w:p w14:paraId="2001F7C9" w14:textId="77777777" w:rsidR="00DE64BC" w:rsidRPr="00256982" w:rsidRDefault="00DE64BC" w:rsidP="00A808C7">
            <w:pPr>
              <w:pStyle w:val="TableText"/>
              <w:jc w:val="center"/>
              <w:rPr>
                <w:rFonts w:cs="Arial"/>
                <w:color w:val="000000"/>
                <w:szCs w:val="16"/>
              </w:rPr>
            </w:pPr>
            <w:r w:rsidRPr="00256982">
              <w:rPr>
                <w:rFonts w:cs="Arial"/>
                <w:color w:val="000000"/>
                <w:szCs w:val="16"/>
              </w:rPr>
              <w:t>CO</w:t>
            </w:r>
            <w:r w:rsidRPr="00256982">
              <w:rPr>
                <w:rFonts w:cs="Arial"/>
                <w:color w:val="000000"/>
                <w:szCs w:val="16"/>
                <w:vertAlign w:val="subscript"/>
              </w:rPr>
              <w:t>2</w:t>
            </w:r>
          </w:p>
        </w:tc>
        <w:tc>
          <w:tcPr>
            <w:tcW w:w="764" w:type="pct"/>
            <w:shd w:val="clear" w:color="auto" w:fill="auto"/>
            <w:noWrap/>
          </w:tcPr>
          <w:p w14:paraId="068B97D7" w14:textId="77777777" w:rsidR="00DE64BC" w:rsidRPr="00256982" w:rsidRDefault="00DE64BC" w:rsidP="00A808C7">
            <w:pPr>
              <w:pStyle w:val="TableText"/>
              <w:rPr>
                <w:rFonts w:cs="Arial"/>
                <w:color w:val="000000"/>
                <w:szCs w:val="16"/>
              </w:rPr>
            </w:pPr>
            <w:r w:rsidRPr="00256982">
              <w:rPr>
                <w:rFonts w:cs="Arial"/>
                <w:color w:val="000000"/>
                <w:szCs w:val="16"/>
              </w:rPr>
              <w:t>L1, T1</w:t>
            </w:r>
          </w:p>
        </w:tc>
      </w:tr>
      <w:tr w:rsidR="00DE64BC" w:rsidRPr="00256982" w14:paraId="1F2272BF" w14:textId="77777777" w:rsidTr="00BB670B">
        <w:tc>
          <w:tcPr>
            <w:tcW w:w="750" w:type="pct"/>
            <w:tcMar>
              <w:right w:w="85" w:type="dxa"/>
            </w:tcMar>
          </w:tcPr>
          <w:p w14:paraId="7F937D7F" w14:textId="77777777" w:rsidR="00DE64BC" w:rsidRPr="00256982" w:rsidRDefault="00DE64BC" w:rsidP="00A808C7">
            <w:pPr>
              <w:pStyle w:val="TableText"/>
            </w:pPr>
            <w:r w:rsidRPr="00256982">
              <w:t>4.G</w:t>
            </w:r>
          </w:p>
        </w:tc>
        <w:tc>
          <w:tcPr>
            <w:tcW w:w="3141" w:type="pct"/>
            <w:shd w:val="clear" w:color="auto" w:fill="auto"/>
          </w:tcPr>
          <w:p w14:paraId="58427310" w14:textId="77777777" w:rsidR="00DE64BC" w:rsidRPr="00256982" w:rsidRDefault="00DE64BC" w:rsidP="00A808C7">
            <w:pPr>
              <w:pStyle w:val="TableText"/>
              <w:rPr>
                <w:rFonts w:cs="Arial"/>
                <w:szCs w:val="16"/>
              </w:rPr>
            </w:pPr>
            <w:r w:rsidRPr="00256982">
              <w:rPr>
                <w:rFonts w:cs="Arial"/>
                <w:color w:val="000000"/>
                <w:szCs w:val="16"/>
              </w:rPr>
              <w:t>Land Use, Land-Use Change and Forestry – Harvested Wood Products</w:t>
            </w:r>
          </w:p>
        </w:tc>
        <w:tc>
          <w:tcPr>
            <w:tcW w:w="345" w:type="pct"/>
            <w:shd w:val="clear" w:color="auto" w:fill="auto"/>
            <w:noWrap/>
          </w:tcPr>
          <w:p w14:paraId="08450575" w14:textId="77777777" w:rsidR="00DE64BC" w:rsidRPr="00256982" w:rsidRDefault="00DE64BC" w:rsidP="00A808C7">
            <w:pPr>
              <w:pStyle w:val="TableText"/>
              <w:jc w:val="center"/>
              <w:rPr>
                <w:rFonts w:cs="Arial"/>
                <w:color w:val="000000"/>
                <w:szCs w:val="16"/>
              </w:rPr>
            </w:pPr>
            <w:r w:rsidRPr="00256982">
              <w:rPr>
                <w:rFonts w:cs="Arial"/>
                <w:color w:val="000000"/>
                <w:szCs w:val="16"/>
              </w:rPr>
              <w:t>CO</w:t>
            </w:r>
            <w:r w:rsidRPr="00256982">
              <w:rPr>
                <w:rFonts w:cs="Arial"/>
                <w:color w:val="000000"/>
                <w:szCs w:val="16"/>
                <w:vertAlign w:val="subscript"/>
              </w:rPr>
              <w:t>2</w:t>
            </w:r>
          </w:p>
        </w:tc>
        <w:tc>
          <w:tcPr>
            <w:tcW w:w="764" w:type="pct"/>
            <w:shd w:val="clear" w:color="auto" w:fill="auto"/>
            <w:noWrap/>
          </w:tcPr>
          <w:p w14:paraId="5AEF0868" w14:textId="77777777" w:rsidR="00DE64BC" w:rsidRPr="00256982" w:rsidRDefault="00DE64BC" w:rsidP="00A808C7">
            <w:pPr>
              <w:pStyle w:val="TableText"/>
              <w:rPr>
                <w:rFonts w:cs="Arial"/>
                <w:color w:val="000000"/>
                <w:szCs w:val="16"/>
              </w:rPr>
            </w:pPr>
            <w:r w:rsidRPr="00256982">
              <w:rPr>
                <w:rFonts w:cs="Arial"/>
                <w:color w:val="000000"/>
                <w:szCs w:val="16"/>
              </w:rPr>
              <w:t>L1, T1</w:t>
            </w:r>
          </w:p>
        </w:tc>
      </w:tr>
      <w:tr w:rsidR="00DE64BC" w:rsidRPr="00256982" w14:paraId="362C7356" w14:textId="77777777" w:rsidTr="00BB670B">
        <w:tc>
          <w:tcPr>
            <w:tcW w:w="750" w:type="pct"/>
            <w:tcMar>
              <w:right w:w="85" w:type="dxa"/>
            </w:tcMar>
          </w:tcPr>
          <w:p w14:paraId="0798D19F" w14:textId="77777777" w:rsidR="00DE64BC" w:rsidRPr="00256982" w:rsidRDefault="00DE64BC" w:rsidP="00A808C7">
            <w:pPr>
              <w:pStyle w:val="TableText"/>
              <w:rPr>
                <w:b/>
              </w:rPr>
            </w:pPr>
            <w:r w:rsidRPr="00256982">
              <w:rPr>
                <w:b/>
              </w:rPr>
              <w:t>Waste</w:t>
            </w:r>
          </w:p>
        </w:tc>
        <w:tc>
          <w:tcPr>
            <w:tcW w:w="3141" w:type="pct"/>
            <w:shd w:val="clear" w:color="auto" w:fill="auto"/>
          </w:tcPr>
          <w:p w14:paraId="0CAE7823" w14:textId="77777777" w:rsidR="00DE64BC" w:rsidRPr="00256982" w:rsidRDefault="00DE64BC" w:rsidP="00A808C7">
            <w:pPr>
              <w:pStyle w:val="TableText"/>
              <w:rPr>
                <w:b/>
              </w:rPr>
            </w:pPr>
          </w:p>
        </w:tc>
        <w:tc>
          <w:tcPr>
            <w:tcW w:w="345" w:type="pct"/>
            <w:shd w:val="clear" w:color="auto" w:fill="auto"/>
            <w:noWrap/>
          </w:tcPr>
          <w:p w14:paraId="1C43931C" w14:textId="77777777" w:rsidR="00DE64BC" w:rsidRPr="00256982" w:rsidRDefault="00DE64BC" w:rsidP="00A808C7">
            <w:pPr>
              <w:pStyle w:val="TableText"/>
              <w:jc w:val="center"/>
              <w:rPr>
                <w:b/>
              </w:rPr>
            </w:pPr>
          </w:p>
        </w:tc>
        <w:tc>
          <w:tcPr>
            <w:tcW w:w="764" w:type="pct"/>
            <w:shd w:val="clear" w:color="auto" w:fill="auto"/>
            <w:noWrap/>
          </w:tcPr>
          <w:p w14:paraId="676F5C15" w14:textId="77777777" w:rsidR="00DE64BC" w:rsidRPr="00256982" w:rsidRDefault="00DE64BC" w:rsidP="00A808C7">
            <w:pPr>
              <w:pStyle w:val="TableText"/>
              <w:rPr>
                <w:b/>
              </w:rPr>
            </w:pPr>
          </w:p>
        </w:tc>
      </w:tr>
      <w:tr w:rsidR="00DE64BC" w:rsidRPr="00256982" w14:paraId="58EBE425" w14:textId="77777777" w:rsidTr="00BB670B">
        <w:tc>
          <w:tcPr>
            <w:tcW w:w="750" w:type="pct"/>
            <w:tcMar>
              <w:right w:w="85" w:type="dxa"/>
            </w:tcMar>
          </w:tcPr>
          <w:p w14:paraId="62517EAF" w14:textId="77777777" w:rsidR="00DE64BC" w:rsidRPr="00256982" w:rsidRDefault="00DE64BC" w:rsidP="00A808C7">
            <w:pPr>
              <w:pStyle w:val="TableText"/>
              <w:rPr>
                <w:rFonts w:cs="Arial"/>
                <w:szCs w:val="16"/>
              </w:rPr>
            </w:pPr>
            <w:r w:rsidRPr="00256982">
              <w:rPr>
                <w:rFonts w:cs="Arial"/>
                <w:color w:val="000000"/>
                <w:szCs w:val="16"/>
              </w:rPr>
              <w:t>5.A</w:t>
            </w:r>
          </w:p>
        </w:tc>
        <w:tc>
          <w:tcPr>
            <w:tcW w:w="3141" w:type="pct"/>
            <w:shd w:val="clear" w:color="auto" w:fill="auto"/>
          </w:tcPr>
          <w:p w14:paraId="6B75F49C" w14:textId="77777777" w:rsidR="00DE64BC" w:rsidRPr="00256982" w:rsidRDefault="00DE64BC" w:rsidP="00A808C7">
            <w:pPr>
              <w:pStyle w:val="TableText"/>
              <w:rPr>
                <w:rFonts w:cs="Arial"/>
                <w:szCs w:val="16"/>
              </w:rPr>
            </w:pPr>
            <w:r w:rsidRPr="00256982">
              <w:rPr>
                <w:rFonts w:cs="Arial"/>
                <w:color w:val="000000"/>
                <w:szCs w:val="16"/>
              </w:rPr>
              <w:t>Waste – Solid Waste Disposal</w:t>
            </w:r>
          </w:p>
        </w:tc>
        <w:tc>
          <w:tcPr>
            <w:tcW w:w="345" w:type="pct"/>
            <w:shd w:val="clear" w:color="auto" w:fill="auto"/>
            <w:noWrap/>
          </w:tcPr>
          <w:p w14:paraId="2735FA3C" w14:textId="77777777" w:rsidR="00DE64BC" w:rsidRPr="00256982" w:rsidRDefault="00DE64BC" w:rsidP="00A808C7">
            <w:pPr>
              <w:pStyle w:val="TableText"/>
              <w:jc w:val="center"/>
              <w:rPr>
                <w:rFonts w:cs="Arial"/>
                <w:szCs w:val="16"/>
              </w:rPr>
            </w:pPr>
            <w:r w:rsidRPr="00256982">
              <w:rPr>
                <w:rFonts w:cs="Arial"/>
                <w:color w:val="000000"/>
                <w:szCs w:val="16"/>
              </w:rPr>
              <w:t>CH</w:t>
            </w:r>
            <w:r w:rsidRPr="00256982">
              <w:rPr>
                <w:rFonts w:cs="Arial"/>
                <w:color w:val="000000"/>
                <w:szCs w:val="16"/>
                <w:vertAlign w:val="subscript"/>
              </w:rPr>
              <w:t>4</w:t>
            </w:r>
          </w:p>
        </w:tc>
        <w:tc>
          <w:tcPr>
            <w:tcW w:w="764" w:type="pct"/>
            <w:shd w:val="clear" w:color="auto" w:fill="auto"/>
            <w:noWrap/>
          </w:tcPr>
          <w:p w14:paraId="5CCDA97C" w14:textId="77777777" w:rsidR="00DE64BC" w:rsidRPr="00256982" w:rsidRDefault="00DE64BC" w:rsidP="00A808C7">
            <w:pPr>
              <w:pStyle w:val="TableText"/>
              <w:rPr>
                <w:rFonts w:cs="Arial"/>
                <w:szCs w:val="16"/>
              </w:rPr>
            </w:pPr>
            <w:r w:rsidRPr="00256982">
              <w:rPr>
                <w:rFonts w:cs="Arial"/>
                <w:color w:val="000000"/>
                <w:szCs w:val="16"/>
              </w:rPr>
              <w:t>L1, T1</w:t>
            </w:r>
          </w:p>
        </w:tc>
      </w:tr>
      <w:tr w:rsidR="00DE64BC" w:rsidRPr="00256982" w14:paraId="41CF5CA3" w14:textId="77777777" w:rsidTr="00BB670B">
        <w:tc>
          <w:tcPr>
            <w:tcW w:w="750" w:type="pct"/>
            <w:tcMar>
              <w:right w:w="85" w:type="dxa"/>
            </w:tcMar>
          </w:tcPr>
          <w:p w14:paraId="6C9C4112" w14:textId="77777777" w:rsidR="00DE64BC" w:rsidRPr="00256982" w:rsidRDefault="00DE64BC" w:rsidP="00A808C7">
            <w:pPr>
              <w:pStyle w:val="TableText"/>
              <w:rPr>
                <w:rFonts w:cs="Arial"/>
                <w:szCs w:val="16"/>
              </w:rPr>
            </w:pPr>
            <w:r w:rsidRPr="00256982">
              <w:rPr>
                <w:rFonts w:cs="Arial"/>
                <w:color w:val="000000"/>
                <w:szCs w:val="16"/>
              </w:rPr>
              <w:t>5.D</w:t>
            </w:r>
          </w:p>
        </w:tc>
        <w:tc>
          <w:tcPr>
            <w:tcW w:w="3141" w:type="pct"/>
            <w:shd w:val="clear" w:color="auto" w:fill="auto"/>
          </w:tcPr>
          <w:p w14:paraId="41794361" w14:textId="77777777" w:rsidR="00DE64BC" w:rsidRPr="00256982" w:rsidRDefault="00DE64BC" w:rsidP="00A808C7">
            <w:pPr>
              <w:pStyle w:val="TableText"/>
              <w:rPr>
                <w:rFonts w:cs="Arial"/>
                <w:szCs w:val="16"/>
              </w:rPr>
            </w:pPr>
            <w:r w:rsidRPr="00256982">
              <w:rPr>
                <w:rFonts w:cs="Arial"/>
                <w:color w:val="000000"/>
                <w:szCs w:val="16"/>
              </w:rPr>
              <w:t>Waste – Wastewater Treatment and Discharge</w:t>
            </w:r>
          </w:p>
        </w:tc>
        <w:tc>
          <w:tcPr>
            <w:tcW w:w="345" w:type="pct"/>
            <w:shd w:val="clear" w:color="auto" w:fill="auto"/>
            <w:noWrap/>
          </w:tcPr>
          <w:p w14:paraId="641AB32F" w14:textId="77777777" w:rsidR="00DE64BC" w:rsidRPr="00256982" w:rsidRDefault="00DE64BC" w:rsidP="00A808C7">
            <w:pPr>
              <w:pStyle w:val="TableText"/>
              <w:jc w:val="center"/>
              <w:rPr>
                <w:rFonts w:cs="Arial"/>
                <w:szCs w:val="16"/>
              </w:rPr>
            </w:pPr>
            <w:r w:rsidRPr="00256982">
              <w:rPr>
                <w:rFonts w:cs="Arial"/>
                <w:color w:val="000000"/>
                <w:szCs w:val="16"/>
              </w:rPr>
              <w:t>CH</w:t>
            </w:r>
            <w:r w:rsidRPr="00256982">
              <w:rPr>
                <w:rFonts w:cs="Arial"/>
                <w:color w:val="000000"/>
                <w:szCs w:val="16"/>
                <w:vertAlign w:val="subscript"/>
              </w:rPr>
              <w:t>4</w:t>
            </w:r>
          </w:p>
        </w:tc>
        <w:tc>
          <w:tcPr>
            <w:tcW w:w="764" w:type="pct"/>
            <w:shd w:val="clear" w:color="auto" w:fill="auto"/>
            <w:noWrap/>
          </w:tcPr>
          <w:p w14:paraId="6F58EED5" w14:textId="77777777" w:rsidR="00DE64BC" w:rsidRPr="00256982" w:rsidRDefault="00DE64BC" w:rsidP="00A808C7">
            <w:pPr>
              <w:pStyle w:val="TableText"/>
              <w:rPr>
                <w:rFonts w:cs="Arial"/>
                <w:szCs w:val="16"/>
              </w:rPr>
            </w:pPr>
            <w:r w:rsidRPr="00256982">
              <w:rPr>
                <w:rFonts w:cs="Arial"/>
                <w:color w:val="000000"/>
                <w:szCs w:val="16"/>
              </w:rPr>
              <w:t>L1</w:t>
            </w:r>
          </w:p>
        </w:tc>
      </w:tr>
    </w:tbl>
    <w:p w14:paraId="4B21AB69" w14:textId="77777777" w:rsidR="00DE64BC" w:rsidRPr="00256982" w:rsidRDefault="00DE64BC" w:rsidP="00A808C7">
      <w:pPr>
        <w:pStyle w:val="Noteundertable"/>
      </w:pPr>
      <w:r w:rsidRPr="00256982">
        <w:rPr>
          <w:b/>
        </w:rPr>
        <w:t>Note:</w:t>
      </w:r>
      <w:r w:rsidRPr="00256982">
        <w:t xml:space="preserve"> </w:t>
      </w:r>
      <w:r w:rsidRPr="00256982">
        <w:tab/>
        <w:t>L1 means a key category is identified under the level analysis – approach 1 and T1 is trend analysis – approach 1.</w:t>
      </w:r>
    </w:p>
    <w:p w14:paraId="65B9BEF2" w14:textId="125D1F05" w:rsidR="00DE64BC" w:rsidRPr="00256982" w:rsidRDefault="00DE64BC" w:rsidP="00A808C7">
      <w:pPr>
        <w:pStyle w:val="Table"/>
        <w:spacing w:before="240"/>
        <w:ind w:left="1418" w:hanging="1418"/>
      </w:pPr>
      <w:bookmarkStart w:id="144" w:name="_Toc5269437"/>
      <w:r w:rsidRPr="00256982">
        <w:t>Table 1.5.2(a &amp; b)</w:t>
      </w:r>
      <w:r w:rsidRPr="00256982">
        <w:tab/>
        <w:t>2017 level assessment for New Zealand’s key category analysis including LULUCF (a) and excluding LULUCF (b)</w:t>
      </w:r>
      <w:bookmarkEnd w:id="144"/>
    </w:p>
    <w:tbl>
      <w:tblPr>
        <w:tblW w:w="8562" w:type="dxa"/>
        <w:tblInd w:w="108" w:type="dxa"/>
        <w:tblBorders>
          <w:bottom w:val="single" w:sz="8" w:space="0" w:color="365F91"/>
          <w:insideH w:val="single" w:sz="8" w:space="0" w:color="365F91"/>
        </w:tblBorders>
        <w:tblLayout w:type="fixed"/>
        <w:tblCellMar>
          <w:left w:w="85" w:type="dxa"/>
          <w:right w:w="57" w:type="dxa"/>
        </w:tblCellMar>
        <w:tblLook w:val="04A0" w:firstRow="1" w:lastRow="0" w:firstColumn="1" w:lastColumn="0" w:noHBand="0" w:noVBand="1"/>
      </w:tblPr>
      <w:tblGrid>
        <w:gridCol w:w="994"/>
        <w:gridCol w:w="3834"/>
        <w:gridCol w:w="571"/>
        <w:gridCol w:w="999"/>
        <w:gridCol w:w="1142"/>
        <w:gridCol w:w="1022"/>
      </w:tblGrid>
      <w:tr w:rsidR="00DE64BC" w:rsidRPr="00256982" w14:paraId="0DDAB632" w14:textId="77777777" w:rsidTr="00BB670B">
        <w:trPr>
          <w:tblHeader/>
        </w:trPr>
        <w:tc>
          <w:tcPr>
            <w:tcW w:w="8562" w:type="dxa"/>
            <w:gridSpan w:val="6"/>
            <w:tcBorders>
              <w:top w:val="single" w:sz="4" w:space="0" w:color="365F91"/>
              <w:left w:val="nil"/>
              <w:bottom w:val="single" w:sz="4" w:space="0" w:color="365F91"/>
              <w:right w:val="nil"/>
              <w:tl2br w:val="nil"/>
              <w:tr2bl w:val="nil"/>
            </w:tcBorders>
            <w:shd w:val="solid" w:color="365F91" w:fill="auto"/>
          </w:tcPr>
          <w:p w14:paraId="21DF4805" w14:textId="77777777" w:rsidR="00DE64BC" w:rsidRPr="00256982" w:rsidRDefault="00DE64BC" w:rsidP="00A808C7">
            <w:pPr>
              <w:pStyle w:val="TableTextBold"/>
              <w:keepNext/>
              <w:rPr>
                <w:noProof w:val="0"/>
                <w:color w:val="FFFFFF"/>
                <w:lang w:eastAsia="en-NZ"/>
              </w:rPr>
            </w:pPr>
            <w:r w:rsidRPr="00256982">
              <w:rPr>
                <w:noProof w:val="0"/>
                <w:color w:val="FFFFFF"/>
                <w:lang w:eastAsia="en-NZ"/>
              </w:rPr>
              <w:t>(a) IPCC Tier 1 category level assessment – including LULUCF (net emissions): 2017</w:t>
            </w:r>
          </w:p>
        </w:tc>
      </w:tr>
      <w:tr w:rsidR="00DE64BC" w:rsidRPr="00256982" w14:paraId="5E468EF3" w14:textId="77777777" w:rsidTr="00960A10">
        <w:trPr>
          <w:tblHeader/>
        </w:trPr>
        <w:tc>
          <w:tcPr>
            <w:tcW w:w="994" w:type="dxa"/>
            <w:tcBorders>
              <w:top w:val="single" w:sz="4" w:space="0" w:color="365F91"/>
              <w:left w:val="nil"/>
              <w:bottom w:val="single" w:sz="4" w:space="0" w:color="365F91"/>
              <w:right w:val="nil"/>
              <w:tl2br w:val="nil"/>
              <w:tr2bl w:val="nil"/>
            </w:tcBorders>
            <w:shd w:val="clear" w:color="2E74B5" w:fill="auto"/>
            <w:vAlign w:val="bottom"/>
          </w:tcPr>
          <w:p w14:paraId="1A8C4F7E" w14:textId="77777777" w:rsidR="00DE64BC" w:rsidRPr="00256982" w:rsidRDefault="00DE64BC" w:rsidP="00A808C7">
            <w:pPr>
              <w:pStyle w:val="TableTextBold"/>
              <w:keepNext/>
              <w:rPr>
                <w:rFonts w:cs="Arial"/>
                <w:noProof w:val="0"/>
                <w:szCs w:val="16"/>
                <w:lang w:eastAsia="en-NZ"/>
              </w:rPr>
            </w:pPr>
            <w:r w:rsidRPr="00256982">
              <w:rPr>
                <w:rFonts w:cs="Arial"/>
                <w:bCs/>
                <w:noProof w:val="0"/>
                <w:color w:val="000000"/>
                <w:szCs w:val="16"/>
              </w:rPr>
              <w:t>CRF category code</w:t>
            </w:r>
          </w:p>
        </w:tc>
        <w:tc>
          <w:tcPr>
            <w:tcW w:w="3834" w:type="dxa"/>
            <w:tcBorders>
              <w:top w:val="single" w:sz="4" w:space="0" w:color="365F91"/>
              <w:left w:val="nil"/>
              <w:bottom w:val="single" w:sz="4" w:space="0" w:color="365F91"/>
              <w:right w:val="nil"/>
              <w:tl2br w:val="nil"/>
              <w:tr2bl w:val="nil"/>
            </w:tcBorders>
            <w:shd w:val="clear" w:color="2E74B5" w:fill="auto"/>
            <w:noWrap/>
            <w:vAlign w:val="bottom"/>
            <w:hideMark/>
          </w:tcPr>
          <w:p w14:paraId="13D25883" w14:textId="77777777" w:rsidR="00DE64BC" w:rsidRPr="00256982" w:rsidRDefault="00DE64BC" w:rsidP="00A808C7">
            <w:pPr>
              <w:pStyle w:val="TableTextBold"/>
              <w:keepNext/>
              <w:rPr>
                <w:rFonts w:cs="Arial"/>
                <w:noProof w:val="0"/>
                <w:szCs w:val="16"/>
                <w:lang w:eastAsia="en-NZ"/>
              </w:rPr>
            </w:pPr>
            <w:r w:rsidRPr="00256982">
              <w:rPr>
                <w:rFonts w:cs="Arial"/>
                <w:bCs/>
                <w:noProof w:val="0"/>
                <w:color w:val="000000"/>
                <w:szCs w:val="16"/>
              </w:rPr>
              <w:t>IPCC category</w:t>
            </w:r>
          </w:p>
        </w:tc>
        <w:tc>
          <w:tcPr>
            <w:tcW w:w="571" w:type="dxa"/>
            <w:tcBorders>
              <w:top w:val="single" w:sz="4" w:space="0" w:color="365F91"/>
              <w:left w:val="nil"/>
              <w:bottom w:val="single" w:sz="4" w:space="0" w:color="365F91"/>
              <w:right w:val="nil"/>
              <w:tl2br w:val="nil"/>
              <w:tr2bl w:val="nil"/>
            </w:tcBorders>
            <w:shd w:val="clear" w:color="2E74B5" w:fill="auto"/>
            <w:vAlign w:val="bottom"/>
            <w:hideMark/>
          </w:tcPr>
          <w:p w14:paraId="079A54DD" w14:textId="77777777" w:rsidR="00DE64BC" w:rsidRPr="00256982" w:rsidRDefault="00DE64BC" w:rsidP="00A808C7">
            <w:pPr>
              <w:pStyle w:val="TableTextBold"/>
              <w:keepNext/>
              <w:jc w:val="center"/>
              <w:rPr>
                <w:rFonts w:cs="Arial"/>
                <w:noProof w:val="0"/>
                <w:szCs w:val="16"/>
                <w:lang w:eastAsia="en-NZ"/>
              </w:rPr>
            </w:pPr>
            <w:r w:rsidRPr="00256982">
              <w:rPr>
                <w:rFonts w:cs="Arial"/>
                <w:bCs/>
                <w:noProof w:val="0"/>
                <w:color w:val="000000"/>
                <w:szCs w:val="16"/>
              </w:rPr>
              <w:t>Gas</w:t>
            </w:r>
          </w:p>
        </w:tc>
        <w:tc>
          <w:tcPr>
            <w:tcW w:w="999" w:type="dxa"/>
            <w:tcBorders>
              <w:top w:val="single" w:sz="4" w:space="0" w:color="365F91"/>
              <w:left w:val="nil"/>
              <w:bottom w:val="single" w:sz="4" w:space="0" w:color="365F91"/>
              <w:right w:val="nil"/>
              <w:tl2br w:val="nil"/>
              <w:tr2bl w:val="nil"/>
            </w:tcBorders>
            <w:shd w:val="clear" w:color="2E74B5" w:fill="auto"/>
            <w:vAlign w:val="bottom"/>
            <w:hideMark/>
          </w:tcPr>
          <w:p w14:paraId="46B64966" w14:textId="77777777" w:rsidR="00DE64BC" w:rsidRPr="00256982" w:rsidRDefault="00DE64BC" w:rsidP="00A808C7">
            <w:pPr>
              <w:pStyle w:val="TableTextBold"/>
              <w:keepNext/>
              <w:jc w:val="right"/>
              <w:rPr>
                <w:rFonts w:cs="Arial"/>
                <w:noProof w:val="0"/>
                <w:szCs w:val="16"/>
                <w:lang w:eastAsia="en-NZ"/>
              </w:rPr>
            </w:pPr>
            <w:r w:rsidRPr="00256982">
              <w:rPr>
                <w:rFonts w:cs="Arial"/>
                <w:bCs/>
                <w:noProof w:val="0"/>
                <w:color w:val="000000"/>
                <w:szCs w:val="16"/>
              </w:rPr>
              <w:t>2017 estimate</w:t>
            </w:r>
            <w:r w:rsidRPr="00256982">
              <w:rPr>
                <w:rFonts w:cs="Arial"/>
                <w:bCs/>
                <w:noProof w:val="0"/>
                <w:color w:val="000000"/>
                <w:szCs w:val="16"/>
              </w:rPr>
              <w:br/>
              <w:t>(kt CO</w:t>
            </w:r>
            <w:r w:rsidRPr="00256982">
              <w:rPr>
                <w:rFonts w:cs="Arial"/>
                <w:bCs/>
                <w:noProof w:val="0"/>
                <w:color w:val="000000"/>
                <w:szCs w:val="16"/>
                <w:vertAlign w:val="subscript"/>
              </w:rPr>
              <w:t>2</w:t>
            </w:r>
            <w:r w:rsidRPr="00256982">
              <w:rPr>
                <w:rFonts w:cs="Arial"/>
                <w:bCs/>
                <w:noProof w:val="0"/>
                <w:color w:val="000000"/>
                <w:szCs w:val="16"/>
              </w:rPr>
              <w:t>-e)</w:t>
            </w:r>
          </w:p>
        </w:tc>
        <w:tc>
          <w:tcPr>
            <w:tcW w:w="1142" w:type="dxa"/>
            <w:tcBorders>
              <w:top w:val="single" w:sz="4" w:space="0" w:color="365F91"/>
              <w:left w:val="nil"/>
              <w:bottom w:val="single" w:sz="4" w:space="0" w:color="365F91"/>
              <w:right w:val="nil"/>
              <w:tl2br w:val="nil"/>
              <w:tr2bl w:val="nil"/>
            </w:tcBorders>
            <w:shd w:val="clear" w:color="2E74B5" w:fill="auto"/>
            <w:vAlign w:val="bottom"/>
            <w:hideMark/>
          </w:tcPr>
          <w:p w14:paraId="5A2AA0D9" w14:textId="77777777" w:rsidR="00DE64BC" w:rsidRPr="00256982" w:rsidRDefault="00DE64BC" w:rsidP="00A808C7">
            <w:pPr>
              <w:pStyle w:val="TableTextBold"/>
              <w:keepNext/>
              <w:jc w:val="right"/>
              <w:rPr>
                <w:rFonts w:cs="Arial"/>
                <w:noProof w:val="0"/>
                <w:szCs w:val="16"/>
                <w:lang w:eastAsia="en-NZ"/>
              </w:rPr>
            </w:pPr>
            <w:r w:rsidRPr="00256982">
              <w:rPr>
                <w:rFonts w:cs="Arial"/>
                <w:bCs/>
                <w:noProof w:val="0"/>
                <w:color w:val="000000"/>
                <w:szCs w:val="16"/>
              </w:rPr>
              <w:t>Level assessment (%)</w:t>
            </w:r>
          </w:p>
        </w:tc>
        <w:tc>
          <w:tcPr>
            <w:tcW w:w="1022" w:type="dxa"/>
            <w:tcBorders>
              <w:top w:val="single" w:sz="4" w:space="0" w:color="365F91"/>
              <w:left w:val="nil"/>
              <w:bottom w:val="single" w:sz="4" w:space="0" w:color="365F91"/>
              <w:right w:val="nil"/>
              <w:tl2br w:val="nil"/>
              <w:tr2bl w:val="nil"/>
            </w:tcBorders>
            <w:shd w:val="clear" w:color="2E74B5" w:fill="auto"/>
            <w:vAlign w:val="bottom"/>
            <w:hideMark/>
          </w:tcPr>
          <w:p w14:paraId="30699A05" w14:textId="77777777" w:rsidR="00DE64BC" w:rsidRPr="00256982" w:rsidRDefault="00DE64BC" w:rsidP="00A808C7">
            <w:pPr>
              <w:pStyle w:val="TableTextBold"/>
              <w:keepNext/>
              <w:jc w:val="right"/>
              <w:rPr>
                <w:rFonts w:cs="Arial"/>
                <w:noProof w:val="0"/>
                <w:szCs w:val="16"/>
                <w:lang w:eastAsia="en-NZ"/>
              </w:rPr>
            </w:pPr>
            <w:r w:rsidRPr="00256982">
              <w:rPr>
                <w:rFonts w:cs="Arial"/>
                <w:bCs/>
                <w:noProof w:val="0"/>
                <w:color w:val="000000"/>
                <w:szCs w:val="16"/>
              </w:rPr>
              <w:t>Cumulative total (%)</w:t>
            </w:r>
          </w:p>
        </w:tc>
      </w:tr>
      <w:tr w:rsidR="00DE64BC" w:rsidRPr="00256982" w14:paraId="7D8432E0" w14:textId="77777777" w:rsidTr="00960A10">
        <w:tc>
          <w:tcPr>
            <w:tcW w:w="994" w:type="dxa"/>
            <w:tcBorders>
              <w:top w:val="single" w:sz="4" w:space="0" w:color="365F91"/>
              <w:bottom w:val="single" w:sz="4" w:space="0" w:color="365F91"/>
            </w:tcBorders>
          </w:tcPr>
          <w:p w14:paraId="53E6F803" w14:textId="77777777" w:rsidR="00DE64BC" w:rsidRPr="00256982" w:rsidRDefault="00DE64BC" w:rsidP="00A808C7">
            <w:pPr>
              <w:pStyle w:val="TableText"/>
              <w:spacing w:before="50" w:after="50"/>
              <w:rPr>
                <w:rFonts w:cs="Arial"/>
                <w:szCs w:val="16"/>
              </w:rPr>
            </w:pPr>
            <w:r w:rsidRPr="00256982">
              <w:rPr>
                <w:rFonts w:cs="Arial"/>
                <w:color w:val="000000"/>
                <w:szCs w:val="16"/>
              </w:rPr>
              <w:t>4.A.2</w:t>
            </w:r>
          </w:p>
        </w:tc>
        <w:tc>
          <w:tcPr>
            <w:tcW w:w="3834" w:type="dxa"/>
            <w:tcBorders>
              <w:top w:val="single" w:sz="4" w:space="0" w:color="365F91"/>
              <w:bottom w:val="single" w:sz="4" w:space="0" w:color="365F91"/>
            </w:tcBorders>
            <w:shd w:val="clear" w:color="auto" w:fill="auto"/>
          </w:tcPr>
          <w:p w14:paraId="5EC56EF8" w14:textId="77777777" w:rsidR="00DE64BC" w:rsidRPr="00256982" w:rsidRDefault="00DE64BC" w:rsidP="00A808C7">
            <w:pPr>
              <w:pStyle w:val="TableText"/>
              <w:spacing w:before="50" w:after="50"/>
              <w:rPr>
                <w:rFonts w:cs="Arial"/>
                <w:szCs w:val="16"/>
              </w:rPr>
            </w:pPr>
            <w:r w:rsidRPr="00256982">
              <w:rPr>
                <w:rFonts w:cs="Arial"/>
                <w:color w:val="000000"/>
                <w:szCs w:val="16"/>
              </w:rPr>
              <w:t>Forest Land – Land Converted to Forest Land</w:t>
            </w:r>
          </w:p>
        </w:tc>
        <w:tc>
          <w:tcPr>
            <w:tcW w:w="571" w:type="dxa"/>
            <w:tcBorders>
              <w:top w:val="single" w:sz="4" w:space="0" w:color="365F91"/>
              <w:bottom w:val="single" w:sz="4" w:space="0" w:color="365F91"/>
            </w:tcBorders>
            <w:shd w:val="clear" w:color="auto" w:fill="auto"/>
          </w:tcPr>
          <w:p w14:paraId="573EFECD" w14:textId="77777777" w:rsidR="00DE64BC" w:rsidRPr="00256982" w:rsidRDefault="00DE64BC" w:rsidP="00A808C7">
            <w:pPr>
              <w:pStyle w:val="TableText"/>
              <w:spacing w:before="50" w:after="50"/>
              <w:jc w:val="center"/>
              <w:rPr>
                <w:rFonts w:cs="Arial"/>
                <w:szCs w:val="16"/>
              </w:rPr>
            </w:pPr>
            <w:r w:rsidRPr="00256982">
              <w:rPr>
                <w:rFonts w:cs="Arial"/>
                <w:color w:val="000000"/>
                <w:szCs w:val="16"/>
              </w:rPr>
              <w:t>CO</w:t>
            </w:r>
            <w:r w:rsidRPr="00256982">
              <w:rPr>
                <w:rFonts w:cs="Arial"/>
                <w:color w:val="000000"/>
                <w:szCs w:val="16"/>
                <w:vertAlign w:val="subscript"/>
              </w:rPr>
              <w:t>2</w:t>
            </w:r>
          </w:p>
        </w:tc>
        <w:tc>
          <w:tcPr>
            <w:tcW w:w="999" w:type="dxa"/>
            <w:tcBorders>
              <w:top w:val="single" w:sz="4" w:space="0" w:color="365F91"/>
              <w:bottom w:val="single" w:sz="4" w:space="0" w:color="365F91"/>
            </w:tcBorders>
            <w:shd w:val="clear" w:color="auto" w:fill="auto"/>
            <w:noWrap/>
          </w:tcPr>
          <w:p w14:paraId="26C1EF17"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–16,252.4</w:t>
            </w:r>
          </w:p>
        </w:tc>
        <w:tc>
          <w:tcPr>
            <w:tcW w:w="1142" w:type="dxa"/>
            <w:tcBorders>
              <w:top w:val="single" w:sz="4" w:space="0" w:color="365F91"/>
              <w:bottom w:val="single" w:sz="4" w:space="0" w:color="365F91"/>
            </w:tcBorders>
            <w:shd w:val="clear" w:color="auto" w:fill="auto"/>
            <w:noWrap/>
          </w:tcPr>
          <w:p w14:paraId="78FE1F6B"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14.3</w:t>
            </w:r>
          </w:p>
        </w:tc>
        <w:tc>
          <w:tcPr>
            <w:tcW w:w="1022" w:type="dxa"/>
            <w:tcBorders>
              <w:top w:val="single" w:sz="4" w:space="0" w:color="365F91"/>
              <w:bottom w:val="single" w:sz="4" w:space="0" w:color="365F91"/>
            </w:tcBorders>
            <w:shd w:val="clear" w:color="auto" w:fill="auto"/>
            <w:noWrap/>
          </w:tcPr>
          <w:p w14:paraId="48083273"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14.3</w:t>
            </w:r>
          </w:p>
        </w:tc>
      </w:tr>
      <w:tr w:rsidR="00DE64BC" w:rsidRPr="00256982" w14:paraId="3A025284" w14:textId="77777777" w:rsidTr="00960A10">
        <w:tc>
          <w:tcPr>
            <w:tcW w:w="994" w:type="dxa"/>
            <w:tcBorders>
              <w:top w:val="single" w:sz="4" w:space="0" w:color="365F91"/>
              <w:bottom w:val="single" w:sz="4" w:space="0" w:color="365F91"/>
            </w:tcBorders>
          </w:tcPr>
          <w:p w14:paraId="53A0B80E" w14:textId="77777777" w:rsidR="00DE64BC" w:rsidRPr="00256982" w:rsidRDefault="00DE64BC" w:rsidP="00A808C7">
            <w:pPr>
              <w:pStyle w:val="TableText"/>
              <w:spacing w:before="50" w:after="50"/>
              <w:rPr>
                <w:rFonts w:cs="Arial"/>
                <w:szCs w:val="16"/>
              </w:rPr>
            </w:pPr>
            <w:r w:rsidRPr="00256982">
              <w:rPr>
                <w:rFonts w:cs="Arial"/>
                <w:color w:val="000000"/>
                <w:szCs w:val="16"/>
              </w:rPr>
              <w:t>1.A.3.b</w:t>
            </w:r>
          </w:p>
        </w:tc>
        <w:tc>
          <w:tcPr>
            <w:tcW w:w="3834" w:type="dxa"/>
            <w:tcBorders>
              <w:top w:val="single" w:sz="4" w:space="0" w:color="365F91"/>
              <w:bottom w:val="single" w:sz="4" w:space="0" w:color="365F91"/>
            </w:tcBorders>
            <w:shd w:val="clear" w:color="auto" w:fill="auto"/>
          </w:tcPr>
          <w:p w14:paraId="57C1D484" w14:textId="77777777" w:rsidR="00DE64BC" w:rsidRPr="00256982" w:rsidRDefault="00DE64BC" w:rsidP="00A808C7">
            <w:pPr>
              <w:pStyle w:val="TableText"/>
              <w:spacing w:before="50" w:after="50"/>
              <w:rPr>
                <w:rFonts w:cs="Arial"/>
                <w:szCs w:val="16"/>
              </w:rPr>
            </w:pPr>
            <w:r w:rsidRPr="00256982">
              <w:rPr>
                <w:rFonts w:cs="Arial"/>
                <w:color w:val="000000"/>
                <w:szCs w:val="16"/>
              </w:rPr>
              <w:t>Transport – Road Transportation Liquid Fuels</w:t>
            </w:r>
          </w:p>
        </w:tc>
        <w:tc>
          <w:tcPr>
            <w:tcW w:w="571" w:type="dxa"/>
            <w:tcBorders>
              <w:top w:val="single" w:sz="4" w:space="0" w:color="365F91"/>
              <w:bottom w:val="single" w:sz="4" w:space="0" w:color="365F91"/>
            </w:tcBorders>
            <w:shd w:val="clear" w:color="auto" w:fill="auto"/>
          </w:tcPr>
          <w:p w14:paraId="4202A737" w14:textId="77777777" w:rsidR="00DE64BC" w:rsidRPr="00256982" w:rsidRDefault="00DE64BC" w:rsidP="00A808C7">
            <w:pPr>
              <w:pStyle w:val="TableText"/>
              <w:spacing w:before="50" w:after="50"/>
              <w:jc w:val="center"/>
              <w:rPr>
                <w:rFonts w:cs="Arial"/>
                <w:szCs w:val="16"/>
              </w:rPr>
            </w:pPr>
            <w:r w:rsidRPr="00256982">
              <w:rPr>
                <w:rFonts w:cs="Arial"/>
                <w:color w:val="000000"/>
                <w:szCs w:val="16"/>
              </w:rPr>
              <w:t>CO</w:t>
            </w:r>
            <w:r w:rsidRPr="00256982">
              <w:rPr>
                <w:rFonts w:cs="Arial"/>
                <w:color w:val="000000"/>
                <w:szCs w:val="16"/>
                <w:vertAlign w:val="subscript"/>
              </w:rPr>
              <w:t>2</w:t>
            </w:r>
          </w:p>
        </w:tc>
        <w:tc>
          <w:tcPr>
            <w:tcW w:w="999" w:type="dxa"/>
            <w:tcBorders>
              <w:top w:val="single" w:sz="4" w:space="0" w:color="365F91"/>
              <w:bottom w:val="single" w:sz="4" w:space="0" w:color="365F91"/>
            </w:tcBorders>
            <w:shd w:val="clear" w:color="auto" w:fill="auto"/>
            <w:noWrap/>
          </w:tcPr>
          <w:p w14:paraId="7AD5CBF5"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14,335.0</w:t>
            </w:r>
          </w:p>
        </w:tc>
        <w:tc>
          <w:tcPr>
            <w:tcW w:w="1142" w:type="dxa"/>
            <w:tcBorders>
              <w:top w:val="single" w:sz="4" w:space="0" w:color="365F91"/>
              <w:bottom w:val="single" w:sz="4" w:space="0" w:color="365F91"/>
            </w:tcBorders>
            <w:shd w:val="clear" w:color="auto" w:fill="auto"/>
            <w:noWrap/>
          </w:tcPr>
          <w:p w14:paraId="76FE742E"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12.6</w:t>
            </w:r>
          </w:p>
        </w:tc>
        <w:tc>
          <w:tcPr>
            <w:tcW w:w="1022" w:type="dxa"/>
            <w:tcBorders>
              <w:top w:val="single" w:sz="4" w:space="0" w:color="365F91"/>
              <w:bottom w:val="single" w:sz="4" w:space="0" w:color="365F91"/>
            </w:tcBorders>
            <w:shd w:val="clear" w:color="auto" w:fill="auto"/>
            <w:noWrap/>
          </w:tcPr>
          <w:p w14:paraId="1ABC046C"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26.9</w:t>
            </w:r>
          </w:p>
        </w:tc>
      </w:tr>
      <w:tr w:rsidR="00DE64BC" w:rsidRPr="00256982" w14:paraId="6A75A0A4" w14:textId="77777777" w:rsidTr="00960A10">
        <w:tc>
          <w:tcPr>
            <w:tcW w:w="994" w:type="dxa"/>
            <w:tcBorders>
              <w:top w:val="single" w:sz="4" w:space="0" w:color="365F91"/>
              <w:bottom w:val="single" w:sz="4" w:space="0" w:color="365F91"/>
            </w:tcBorders>
          </w:tcPr>
          <w:p w14:paraId="06245D09" w14:textId="77777777" w:rsidR="00DE64BC" w:rsidRPr="00256982" w:rsidRDefault="00DE64BC" w:rsidP="00A808C7">
            <w:pPr>
              <w:pStyle w:val="TableText"/>
              <w:spacing w:before="50" w:after="50"/>
              <w:rPr>
                <w:rFonts w:cs="Arial"/>
                <w:szCs w:val="16"/>
              </w:rPr>
            </w:pPr>
            <w:r w:rsidRPr="00256982">
              <w:rPr>
                <w:rFonts w:cs="Arial"/>
                <w:color w:val="000000"/>
                <w:szCs w:val="16"/>
              </w:rPr>
              <w:t>3.A.1</w:t>
            </w:r>
          </w:p>
        </w:tc>
        <w:tc>
          <w:tcPr>
            <w:tcW w:w="3834" w:type="dxa"/>
            <w:tcBorders>
              <w:top w:val="single" w:sz="4" w:space="0" w:color="365F91"/>
              <w:bottom w:val="single" w:sz="4" w:space="0" w:color="365F91"/>
            </w:tcBorders>
            <w:shd w:val="clear" w:color="auto" w:fill="auto"/>
          </w:tcPr>
          <w:p w14:paraId="3C11D5E5" w14:textId="77777777" w:rsidR="00DE64BC" w:rsidRPr="00256982" w:rsidRDefault="00DE64BC" w:rsidP="00A808C7">
            <w:pPr>
              <w:pStyle w:val="TableText"/>
              <w:spacing w:before="50" w:after="50"/>
              <w:rPr>
                <w:rFonts w:cs="Arial"/>
                <w:szCs w:val="16"/>
              </w:rPr>
            </w:pPr>
            <w:r w:rsidRPr="00256982">
              <w:rPr>
                <w:rFonts w:cs="Arial"/>
                <w:color w:val="000000"/>
                <w:szCs w:val="16"/>
              </w:rPr>
              <w:t>Option A – Dairy Cattle</w:t>
            </w:r>
          </w:p>
        </w:tc>
        <w:tc>
          <w:tcPr>
            <w:tcW w:w="571" w:type="dxa"/>
            <w:tcBorders>
              <w:top w:val="single" w:sz="4" w:space="0" w:color="365F91"/>
              <w:bottom w:val="single" w:sz="4" w:space="0" w:color="365F91"/>
            </w:tcBorders>
            <w:shd w:val="clear" w:color="auto" w:fill="auto"/>
          </w:tcPr>
          <w:p w14:paraId="134791CE" w14:textId="77777777" w:rsidR="00DE64BC" w:rsidRPr="00256982" w:rsidRDefault="00DE64BC" w:rsidP="00A808C7">
            <w:pPr>
              <w:pStyle w:val="TableText"/>
              <w:spacing w:before="50" w:after="50"/>
              <w:jc w:val="center"/>
              <w:rPr>
                <w:rFonts w:cs="Arial"/>
                <w:szCs w:val="16"/>
              </w:rPr>
            </w:pPr>
            <w:r w:rsidRPr="00256982">
              <w:rPr>
                <w:rFonts w:cs="Arial"/>
                <w:color w:val="000000"/>
                <w:szCs w:val="16"/>
              </w:rPr>
              <w:t>CH</w:t>
            </w:r>
            <w:r w:rsidRPr="00256982">
              <w:rPr>
                <w:rFonts w:cs="Arial"/>
                <w:color w:val="000000"/>
                <w:szCs w:val="16"/>
                <w:vertAlign w:val="subscript"/>
              </w:rPr>
              <w:t>4</w:t>
            </w:r>
          </w:p>
        </w:tc>
        <w:tc>
          <w:tcPr>
            <w:tcW w:w="999" w:type="dxa"/>
            <w:tcBorders>
              <w:top w:val="single" w:sz="4" w:space="0" w:color="365F91"/>
              <w:bottom w:val="single" w:sz="4" w:space="0" w:color="365F91"/>
            </w:tcBorders>
            <w:shd w:val="clear" w:color="auto" w:fill="auto"/>
            <w:noWrap/>
          </w:tcPr>
          <w:p w14:paraId="3BB1369F"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13,560.1</w:t>
            </w:r>
          </w:p>
        </w:tc>
        <w:tc>
          <w:tcPr>
            <w:tcW w:w="1142" w:type="dxa"/>
            <w:tcBorders>
              <w:top w:val="single" w:sz="4" w:space="0" w:color="365F91"/>
              <w:bottom w:val="single" w:sz="4" w:space="0" w:color="365F91"/>
            </w:tcBorders>
            <w:shd w:val="clear" w:color="auto" w:fill="auto"/>
            <w:noWrap/>
          </w:tcPr>
          <w:p w14:paraId="188940BD"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11.9</w:t>
            </w:r>
          </w:p>
        </w:tc>
        <w:tc>
          <w:tcPr>
            <w:tcW w:w="1022" w:type="dxa"/>
            <w:tcBorders>
              <w:top w:val="single" w:sz="4" w:space="0" w:color="365F91"/>
              <w:bottom w:val="single" w:sz="4" w:space="0" w:color="365F91"/>
            </w:tcBorders>
            <w:shd w:val="clear" w:color="auto" w:fill="auto"/>
            <w:noWrap/>
          </w:tcPr>
          <w:p w14:paraId="6485575E"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38.9</w:t>
            </w:r>
          </w:p>
        </w:tc>
      </w:tr>
      <w:tr w:rsidR="00DE64BC" w:rsidRPr="00256982" w14:paraId="1BAADDF0" w14:textId="77777777" w:rsidTr="00960A10">
        <w:tc>
          <w:tcPr>
            <w:tcW w:w="994" w:type="dxa"/>
            <w:tcBorders>
              <w:top w:val="single" w:sz="4" w:space="0" w:color="365F91"/>
              <w:bottom w:val="single" w:sz="4" w:space="0" w:color="365F91"/>
            </w:tcBorders>
          </w:tcPr>
          <w:p w14:paraId="3DA09835" w14:textId="77777777" w:rsidR="00DE64BC" w:rsidRPr="00256982" w:rsidRDefault="00DE64BC" w:rsidP="00A808C7">
            <w:pPr>
              <w:pStyle w:val="TableText"/>
              <w:spacing w:before="50" w:after="50"/>
              <w:rPr>
                <w:rFonts w:cs="Arial"/>
                <w:szCs w:val="16"/>
              </w:rPr>
            </w:pPr>
            <w:r w:rsidRPr="00256982">
              <w:rPr>
                <w:rFonts w:cs="Arial"/>
                <w:color w:val="000000"/>
                <w:szCs w:val="16"/>
              </w:rPr>
              <w:t>3.A.2</w:t>
            </w:r>
          </w:p>
        </w:tc>
        <w:tc>
          <w:tcPr>
            <w:tcW w:w="3834" w:type="dxa"/>
            <w:tcBorders>
              <w:top w:val="single" w:sz="4" w:space="0" w:color="365F91"/>
              <w:bottom w:val="single" w:sz="4" w:space="0" w:color="365F91"/>
            </w:tcBorders>
            <w:shd w:val="clear" w:color="auto" w:fill="auto"/>
          </w:tcPr>
          <w:p w14:paraId="54FC00EB" w14:textId="77777777" w:rsidR="00DE64BC" w:rsidRPr="00256982" w:rsidRDefault="00DE64BC" w:rsidP="00A808C7">
            <w:pPr>
              <w:pStyle w:val="TableText"/>
              <w:spacing w:before="50" w:after="50"/>
              <w:rPr>
                <w:rFonts w:cs="Arial"/>
                <w:szCs w:val="16"/>
              </w:rPr>
            </w:pPr>
            <w:r w:rsidRPr="00256982">
              <w:rPr>
                <w:rFonts w:cs="Arial"/>
                <w:color w:val="000000"/>
                <w:szCs w:val="16"/>
              </w:rPr>
              <w:t>Other (please specify) – Sheep</w:t>
            </w:r>
          </w:p>
        </w:tc>
        <w:tc>
          <w:tcPr>
            <w:tcW w:w="571" w:type="dxa"/>
            <w:tcBorders>
              <w:top w:val="single" w:sz="4" w:space="0" w:color="365F91"/>
              <w:bottom w:val="single" w:sz="4" w:space="0" w:color="365F91"/>
            </w:tcBorders>
            <w:shd w:val="clear" w:color="auto" w:fill="auto"/>
          </w:tcPr>
          <w:p w14:paraId="62BC2524" w14:textId="77777777" w:rsidR="00DE64BC" w:rsidRPr="00256982" w:rsidRDefault="00DE64BC" w:rsidP="00A808C7">
            <w:pPr>
              <w:pStyle w:val="TableText"/>
              <w:spacing w:before="50" w:after="50"/>
              <w:jc w:val="center"/>
              <w:rPr>
                <w:rFonts w:cs="Arial"/>
                <w:szCs w:val="16"/>
              </w:rPr>
            </w:pPr>
            <w:r w:rsidRPr="00256982">
              <w:rPr>
                <w:rFonts w:cs="Arial"/>
                <w:color w:val="000000"/>
                <w:szCs w:val="16"/>
              </w:rPr>
              <w:t>CH</w:t>
            </w:r>
            <w:r w:rsidRPr="00256982">
              <w:rPr>
                <w:rFonts w:cs="Arial"/>
                <w:color w:val="000000"/>
                <w:szCs w:val="16"/>
                <w:vertAlign w:val="subscript"/>
              </w:rPr>
              <w:t>4</w:t>
            </w:r>
          </w:p>
        </w:tc>
        <w:tc>
          <w:tcPr>
            <w:tcW w:w="999" w:type="dxa"/>
            <w:tcBorders>
              <w:top w:val="single" w:sz="4" w:space="0" w:color="365F91"/>
              <w:bottom w:val="single" w:sz="4" w:space="0" w:color="365F91"/>
            </w:tcBorders>
            <w:shd w:val="clear" w:color="auto" w:fill="auto"/>
            <w:noWrap/>
          </w:tcPr>
          <w:p w14:paraId="66E9B3E3"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8,253.1</w:t>
            </w:r>
          </w:p>
        </w:tc>
        <w:tc>
          <w:tcPr>
            <w:tcW w:w="1142" w:type="dxa"/>
            <w:tcBorders>
              <w:top w:val="single" w:sz="4" w:space="0" w:color="365F91"/>
              <w:bottom w:val="single" w:sz="4" w:space="0" w:color="365F91"/>
            </w:tcBorders>
            <w:shd w:val="clear" w:color="auto" w:fill="auto"/>
            <w:noWrap/>
          </w:tcPr>
          <w:p w14:paraId="2EA6F531"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7.3</w:t>
            </w:r>
          </w:p>
        </w:tc>
        <w:tc>
          <w:tcPr>
            <w:tcW w:w="1022" w:type="dxa"/>
            <w:tcBorders>
              <w:top w:val="single" w:sz="4" w:space="0" w:color="365F91"/>
              <w:bottom w:val="single" w:sz="4" w:space="0" w:color="365F91"/>
            </w:tcBorders>
            <w:shd w:val="clear" w:color="auto" w:fill="auto"/>
            <w:noWrap/>
          </w:tcPr>
          <w:p w14:paraId="56191797"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46.1</w:t>
            </w:r>
          </w:p>
        </w:tc>
      </w:tr>
      <w:tr w:rsidR="00DE64BC" w:rsidRPr="00256982" w14:paraId="793A9107" w14:textId="77777777" w:rsidTr="00960A10">
        <w:tc>
          <w:tcPr>
            <w:tcW w:w="994" w:type="dxa"/>
            <w:tcBorders>
              <w:top w:val="single" w:sz="4" w:space="0" w:color="365F91"/>
              <w:bottom w:val="single" w:sz="4" w:space="0" w:color="365F91"/>
            </w:tcBorders>
          </w:tcPr>
          <w:p w14:paraId="0511111D" w14:textId="77777777" w:rsidR="00DE64BC" w:rsidRPr="00256982" w:rsidRDefault="00DE64BC" w:rsidP="00A808C7">
            <w:pPr>
              <w:pStyle w:val="TableText"/>
              <w:spacing w:before="50" w:after="50"/>
              <w:rPr>
                <w:rFonts w:cs="Arial"/>
                <w:szCs w:val="16"/>
              </w:rPr>
            </w:pPr>
            <w:r w:rsidRPr="00256982">
              <w:rPr>
                <w:rFonts w:cs="Arial"/>
                <w:color w:val="000000"/>
                <w:szCs w:val="16"/>
              </w:rPr>
              <w:t>4.G</w:t>
            </w:r>
          </w:p>
        </w:tc>
        <w:tc>
          <w:tcPr>
            <w:tcW w:w="3834" w:type="dxa"/>
            <w:tcBorders>
              <w:top w:val="single" w:sz="4" w:space="0" w:color="365F91"/>
              <w:bottom w:val="single" w:sz="4" w:space="0" w:color="365F91"/>
            </w:tcBorders>
            <w:shd w:val="clear" w:color="auto" w:fill="auto"/>
          </w:tcPr>
          <w:p w14:paraId="7ACA3F9A" w14:textId="77777777" w:rsidR="00DE64BC" w:rsidRPr="00256982" w:rsidRDefault="00DE64BC" w:rsidP="00A808C7">
            <w:pPr>
              <w:pStyle w:val="TableText"/>
              <w:spacing w:before="50" w:after="50"/>
              <w:rPr>
                <w:rFonts w:cs="Arial"/>
                <w:szCs w:val="16"/>
              </w:rPr>
            </w:pPr>
            <w:r w:rsidRPr="00256982">
              <w:rPr>
                <w:rFonts w:cs="Arial"/>
                <w:color w:val="000000"/>
                <w:szCs w:val="16"/>
              </w:rPr>
              <w:t>Land Use, Land-Use Change and Forestry – Harvested Wood Products</w:t>
            </w:r>
          </w:p>
        </w:tc>
        <w:tc>
          <w:tcPr>
            <w:tcW w:w="571" w:type="dxa"/>
            <w:tcBorders>
              <w:top w:val="single" w:sz="4" w:space="0" w:color="365F91"/>
              <w:bottom w:val="single" w:sz="4" w:space="0" w:color="365F91"/>
            </w:tcBorders>
            <w:shd w:val="clear" w:color="auto" w:fill="auto"/>
          </w:tcPr>
          <w:p w14:paraId="3BF6EE62" w14:textId="77777777" w:rsidR="00DE64BC" w:rsidRPr="00256982" w:rsidRDefault="00DE64BC" w:rsidP="00A808C7">
            <w:pPr>
              <w:pStyle w:val="TableText"/>
              <w:spacing w:before="50" w:after="50"/>
              <w:jc w:val="center"/>
              <w:rPr>
                <w:rFonts w:cs="Arial"/>
                <w:szCs w:val="16"/>
              </w:rPr>
            </w:pPr>
            <w:r w:rsidRPr="00256982">
              <w:rPr>
                <w:rFonts w:cs="Arial"/>
                <w:color w:val="000000"/>
                <w:szCs w:val="16"/>
              </w:rPr>
              <w:t>CO</w:t>
            </w:r>
            <w:r w:rsidRPr="00256982">
              <w:rPr>
                <w:rFonts w:cs="Arial"/>
                <w:color w:val="000000"/>
                <w:szCs w:val="16"/>
                <w:vertAlign w:val="subscript"/>
              </w:rPr>
              <w:t>2</w:t>
            </w:r>
          </w:p>
        </w:tc>
        <w:tc>
          <w:tcPr>
            <w:tcW w:w="999" w:type="dxa"/>
            <w:tcBorders>
              <w:top w:val="single" w:sz="4" w:space="0" w:color="365F91"/>
              <w:bottom w:val="single" w:sz="4" w:space="0" w:color="365F91"/>
            </w:tcBorders>
            <w:shd w:val="clear" w:color="auto" w:fill="auto"/>
            <w:noWrap/>
          </w:tcPr>
          <w:p w14:paraId="0B23EDC3"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–6,518.5</w:t>
            </w:r>
          </w:p>
        </w:tc>
        <w:tc>
          <w:tcPr>
            <w:tcW w:w="1142" w:type="dxa"/>
            <w:tcBorders>
              <w:top w:val="single" w:sz="4" w:space="0" w:color="365F91"/>
              <w:bottom w:val="single" w:sz="4" w:space="0" w:color="365F91"/>
            </w:tcBorders>
            <w:shd w:val="clear" w:color="auto" w:fill="auto"/>
            <w:noWrap/>
          </w:tcPr>
          <w:p w14:paraId="7C65023D"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5.7</w:t>
            </w:r>
          </w:p>
        </w:tc>
        <w:tc>
          <w:tcPr>
            <w:tcW w:w="1022" w:type="dxa"/>
            <w:tcBorders>
              <w:top w:val="single" w:sz="4" w:space="0" w:color="365F91"/>
              <w:bottom w:val="single" w:sz="4" w:space="0" w:color="365F91"/>
            </w:tcBorders>
            <w:shd w:val="clear" w:color="auto" w:fill="auto"/>
            <w:noWrap/>
          </w:tcPr>
          <w:p w14:paraId="4A13EB66"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51.9</w:t>
            </w:r>
          </w:p>
        </w:tc>
      </w:tr>
      <w:tr w:rsidR="00DE64BC" w:rsidRPr="00256982" w14:paraId="33B0F2A9" w14:textId="77777777" w:rsidTr="00960A10">
        <w:tc>
          <w:tcPr>
            <w:tcW w:w="994" w:type="dxa"/>
            <w:tcBorders>
              <w:top w:val="single" w:sz="4" w:space="0" w:color="365F91"/>
              <w:bottom w:val="single" w:sz="4" w:space="0" w:color="365F91"/>
            </w:tcBorders>
          </w:tcPr>
          <w:p w14:paraId="56DAA5BD" w14:textId="77777777" w:rsidR="00DE64BC" w:rsidRPr="00256982" w:rsidRDefault="00DE64BC" w:rsidP="00A808C7">
            <w:pPr>
              <w:pStyle w:val="TableText"/>
              <w:spacing w:before="50" w:after="50"/>
              <w:rPr>
                <w:rFonts w:cs="Arial"/>
                <w:szCs w:val="16"/>
              </w:rPr>
            </w:pPr>
            <w:r w:rsidRPr="00256982">
              <w:rPr>
                <w:rFonts w:cs="Arial"/>
                <w:color w:val="000000"/>
                <w:szCs w:val="16"/>
              </w:rPr>
              <w:t>4.A.1</w:t>
            </w:r>
          </w:p>
        </w:tc>
        <w:tc>
          <w:tcPr>
            <w:tcW w:w="3834" w:type="dxa"/>
            <w:tcBorders>
              <w:top w:val="single" w:sz="4" w:space="0" w:color="365F91"/>
              <w:bottom w:val="single" w:sz="4" w:space="0" w:color="365F91"/>
            </w:tcBorders>
            <w:shd w:val="clear" w:color="auto" w:fill="auto"/>
          </w:tcPr>
          <w:p w14:paraId="1D152897" w14:textId="77777777" w:rsidR="00DE64BC" w:rsidRPr="00256982" w:rsidRDefault="00DE64BC" w:rsidP="00A808C7">
            <w:pPr>
              <w:pStyle w:val="TableText"/>
              <w:spacing w:before="50" w:after="50"/>
              <w:rPr>
                <w:rFonts w:cs="Arial"/>
                <w:szCs w:val="16"/>
              </w:rPr>
            </w:pPr>
            <w:r w:rsidRPr="00256982">
              <w:rPr>
                <w:rFonts w:cs="Arial"/>
                <w:color w:val="000000"/>
                <w:szCs w:val="16"/>
              </w:rPr>
              <w:t>Forest Land – Forest Land Remaining Forest Land</w:t>
            </w:r>
          </w:p>
        </w:tc>
        <w:tc>
          <w:tcPr>
            <w:tcW w:w="571" w:type="dxa"/>
            <w:tcBorders>
              <w:top w:val="single" w:sz="4" w:space="0" w:color="365F91"/>
              <w:bottom w:val="single" w:sz="4" w:space="0" w:color="365F91"/>
            </w:tcBorders>
            <w:shd w:val="clear" w:color="auto" w:fill="auto"/>
          </w:tcPr>
          <w:p w14:paraId="4FC2F608" w14:textId="77777777" w:rsidR="00DE64BC" w:rsidRPr="00256982" w:rsidRDefault="00DE64BC" w:rsidP="00A808C7">
            <w:pPr>
              <w:pStyle w:val="TableText"/>
              <w:spacing w:before="50" w:after="50"/>
              <w:jc w:val="center"/>
              <w:rPr>
                <w:rFonts w:cs="Arial"/>
                <w:szCs w:val="16"/>
              </w:rPr>
            </w:pPr>
            <w:r w:rsidRPr="00256982">
              <w:rPr>
                <w:rFonts w:cs="Arial"/>
                <w:color w:val="000000"/>
                <w:szCs w:val="16"/>
              </w:rPr>
              <w:t>CO</w:t>
            </w:r>
            <w:r w:rsidRPr="00256982">
              <w:rPr>
                <w:rFonts w:cs="Arial"/>
                <w:color w:val="000000"/>
                <w:szCs w:val="16"/>
                <w:vertAlign w:val="subscript"/>
              </w:rPr>
              <w:t>2</w:t>
            </w:r>
          </w:p>
        </w:tc>
        <w:tc>
          <w:tcPr>
            <w:tcW w:w="999" w:type="dxa"/>
            <w:tcBorders>
              <w:top w:val="single" w:sz="4" w:space="0" w:color="365F91"/>
              <w:bottom w:val="single" w:sz="4" w:space="0" w:color="365F91"/>
            </w:tcBorders>
            <w:shd w:val="clear" w:color="auto" w:fill="auto"/>
            <w:noWrap/>
          </w:tcPr>
          <w:p w14:paraId="05656E32"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–5,587.1</w:t>
            </w:r>
          </w:p>
        </w:tc>
        <w:tc>
          <w:tcPr>
            <w:tcW w:w="1142" w:type="dxa"/>
            <w:tcBorders>
              <w:top w:val="single" w:sz="4" w:space="0" w:color="365F91"/>
              <w:bottom w:val="single" w:sz="4" w:space="0" w:color="365F91"/>
            </w:tcBorders>
            <w:shd w:val="clear" w:color="auto" w:fill="auto"/>
            <w:noWrap/>
          </w:tcPr>
          <w:p w14:paraId="1F412D1D"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4.9</w:t>
            </w:r>
          </w:p>
        </w:tc>
        <w:tc>
          <w:tcPr>
            <w:tcW w:w="1022" w:type="dxa"/>
            <w:tcBorders>
              <w:top w:val="single" w:sz="4" w:space="0" w:color="365F91"/>
              <w:bottom w:val="single" w:sz="4" w:space="0" w:color="365F91"/>
            </w:tcBorders>
            <w:shd w:val="clear" w:color="auto" w:fill="auto"/>
            <w:noWrap/>
          </w:tcPr>
          <w:p w14:paraId="226C66D0"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56.8</w:t>
            </w:r>
          </w:p>
        </w:tc>
      </w:tr>
      <w:tr w:rsidR="00DE64BC" w:rsidRPr="00256982" w14:paraId="4D315E76" w14:textId="77777777" w:rsidTr="00960A10">
        <w:tc>
          <w:tcPr>
            <w:tcW w:w="994" w:type="dxa"/>
            <w:tcBorders>
              <w:top w:val="single" w:sz="4" w:space="0" w:color="365F91"/>
              <w:bottom w:val="single" w:sz="4" w:space="0" w:color="365F91"/>
            </w:tcBorders>
          </w:tcPr>
          <w:p w14:paraId="265A009B" w14:textId="77777777" w:rsidR="00DE64BC" w:rsidRPr="00256982" w:rsidRDefault="00DE64BC" w:rsidP="00A808C7">
            <w:pPr>
              <w:pStyle w:val="TableText"/>
              <w:spacing w:before="50" w:after="50"/>
              <w:rPr>
                <w:rFonts w:cs="Arial"/>
                <w:szCs w:val="16"/>
              </w:rPr>
            </w:pPr>
            <w:r w:rsidRPr="00256982">
              <w:rPr>
                <w:rFonts w:cs="Arial"/>
                <w:color w:val="000000"/>
                <w:szCs w:val="16"/>
              </w:rPr>
              <w:t>3.D.1.3</w:t>
            </w:r>
          </w:p>
        </w:tc>
        <w:tc>
          <w:tcPr>
            <w:tcW w:w="3834" w:type="dxa"/>
            <w:tcBorders>
              <w:top w:val="single" w:sz="4" w:space="0" w:color="365F91"/>
              <w:bottom w:val="single" w:sz="4" w:space="0" w:color="365F91"/>
            </w:tcBorders>
            <w:shd w:val="clear" w:color="auto" w:fill="auto"/>
          </w:tcPr>
          <w:p w14:paraId="65D61186" w14:textId="77777777" w:rsidR="00DE64BC" w:rsidRPr="00256982" w:rsidRDefault="00DE64BC" w:rsidP="00A808C7">
            <w:pPr>
              <w:pStyle w:val="TableText"/>
              <w:spacing w:before="50" w:after="50"/>
              <w:rPr>
                <w:rFonts w:cs="Arial"/>
                <w:szCs w:val="16"/>
              </w:rPr>
            </w:pPr>
            <w:r w:rsidRPr="00256982">
              <w:rPr>
                <w:rFonts w:cs="Arial"/>
                <w:color w:val="000000"/>
                <w:szCs w:val="16"/>
              </w:rPr>
              <w:t>Direct N</w:t>
            </w:r>
            <w:r w:rsidRPr="00256982">
              <w:rPr>
                <w:rFonts w:cs="Arial"/>
                <w:color w:val="000000"/>
                <w:szCs w:val="16"/>
                <w:vertAlign w:val="subscript"/>
              </w:rPr>
              <w:t>2</w:t>
            </w:r>
            <w:r w:rsidRPr="00256982">
              <w:rPr>
                <w:rFonts w:cs="Arial"/>
                <w:color w:val="000000"/>
                <w:szCs w:val="16"/>
              </w:rPr>
              <w:t>O Emissions From Managed Soils – Urine and Dung Deposited by Grazing Animals</w:t>
            </w:r>
          </w:p>
        </w:tc>
        <w:tc>
          <w:tcPr>
            <w:tcW w:w="571" w:type="dxa"/>
            <w:tcBorders>
              <w:top w:val="single" w:sz="4" w:space="0" w:color="365F91"/>
              <w:bottom w:val="single" w:sz="4" w:space="0" w:color="365F91"/>
            </w:tcBorders>
            <w:shd w:val="clear" w:color="auto" w:fill="auto"/>
          </w:tcPr>
          <w:p w14:paraId="606B2C00" w14:textId="77777777" w:rsidR="00DE64BC" w:rsidRPr="00256982" w:rsidRDefault="00DE64BC" w:rsidP="00A808C7">
            <w:pPr>
              <w:pStyle w:val="TableText"/>
              <w:spacing w:before="50" w:after="50"/>
              <w:jc w:val="center"/>
              <w:rPr>
                <w:rFonts w:cs="Arial"/>
                <w:szCs w:val="16"/>
              </w:rPr>
            </w:pPr>
            <w:r w:rsidRPr="00256982">
              <w:rPr>
                <w:rFonts w:cs="Arial"/>
                <w:color w:val="000000"/>
                <w:szCs w:val="16"/>
              </w:rPr>
              <w:t>N</w:t>
            </w:r>
            <w:r w:rsidRPr="00256982">
              <w:rPr>
                <w:rFonts w:cs="Arial"/>
                <w:color w:val="000000"/>
                <w:szCs w:val="16"/>
                <w:vertAlign w:val="subscript"/>
              </w:rPr>
              <w:t>2</w:t>
            </w:r>
            <w:r w:rsidRPr="00256982">
              <w:rPr>
                <w:rFonts w:cs="Arial"/>
                <w:color w:val="000000"/>
                <w:szCs w:val="16"/>
              </w:rPr>
              <w:t>O</w:t>
            </w:r>
          </w:p>
        </w:tc>
        <w:tc>
          <w:tcPr>
            <w:tcW w:w="999" w:type="dxa"/>
            <w:tcBorders>
              <w:top w:val="single" w:sz="4" w:space="0" w:color="365F91"/>
              <w:bottom w:val="single" w:sz="4" w:space="0" w:color="365F91"/>
            </w:tcBorders>
            <w:shd w:val="clear" w:color="auto" w:fill="auto"/>
            <w:noWrap/>
          </w:tcPr>
          <w:p w14:paraId="0A83F28A"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5,435.3</w:t>
            </w:r>
          </w:p>
        </w:tc>
        <w:tc>
          <w:tcPr>
            <w:tcW w:w="1142" w:type="dxa"/>
            <w:tcBorders>
              <w:top w:val="single" w:sz="4" w:space="0" w:color="365F91"/>
              <w:bottom w:val="single" w:sz="4" w:space="0" w:color="365F91"/>
            </w:tcBorders>
            <w:shd w:val="clear" w:color="auto" w:fill="auto"/>
            <w:noWrap/>
          </w:tcPr>
          <w:p w14:paraId="02FC5940"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4.8</w:t>
            </w:r>
          </w:p>
        </w:tc>
        <w:tc>
          <w:tcPr>
            <w:tcW w:w="1022" w:type="dxa"/>
            <w:tcBorders>
              <w:top w:val="single" w:sz="4" w:space="0" w:color="365F91"/>
              <w:bottom w:val="single" w:sz="4" w:space="0" w:color="365F91"/>
            </w:tcBorders>
            <w:shd w:val="clear" w:color="auto" w:fill="auto"/>
            <w:noWrap/>
          </w:tcPr>
          <w:p w14:paraId="25F899CF"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61.6</w:t>
            </w:r>
          </w:p>
        </w:tc>
      </w:tr>
      <w:tr w:rsidR="00DE64BC" w:rsidRPr="00256982" w14:paraId="390DB94B" w14:textId="77777777" w:rsidTr="00960A10">
        <w:tc>
          <w:tcPr>
            <w:tcW w:w="994" w:type="dxa"/>
            <w:tcBorders>
              <w:top w:val="single" w:sz="4" w:space="0" w:color="365F91"/>
              <w:bottom w:val="single" w:sz="4" w:space="0" w:color="365F91"/>
            </w:tcBorders>
          </w:tcPr>
          <w:p w14:paraId="7A01B18D" w14:textId="77777777" w:rsidR="00DE64BC" w:rsidRPr="00256982" w:rsidRDefault="00DE64BC" w:rsidP="00A808C7">
            <w:pPr>
              <w:pStyle w:val="TableText"/>
              <w:spacing w:before="50" w:after="50"/>
              <w:rPr>
                <w:rFonts w:cs="Arial"/>
                <w:szCs w:val="16"/>
              </w:rPr>
            </w:pPr>
            <w:r w:rsidRPr="00256982">
              <w:rPr>
                <w:rFonts w:cs="Arial"/>
                <w:color w:val="000000"/>
                <w:szCs w:val="16"/>
              </w:rPr>
              <w:t>3.A.1</w:t>
            </w:r>
          </w:p>
        </w:tc>
        <w:tc>
          <w:tcPr>
            <w:tcW w:w="3834" w:type="dxa"/>
            <w:tcBorders>
              <w:top w:val="single" w:sz="4" w:space="0" w:color="365F91"/>
              <w:bottom w:val="single" w:sz="4" w:space="0" w:color="365F91"/>
            </w:tcBorders>
            <w:shd w:val="clear" w:color="auto" w:fill="auto"/>
          </w:tcPr>
          <w:p w14:paraId="2E056283" w14:textId="77777777" w:rsidR="00DE64BC" w:rsidRPr="00256982" w:rsidRDefault="00DE64BC" w:rsidP="00A808C7">
            <w:pPr>
              <w:pStyle w:val="TableText"/>
              <w:spacing w:before="50" w:after="50"/>
              <w:rPr>
                <w:rFonts w:cs="Arial"/>
                <w:szCs w:val="16"/>
              </w:rPr>
            </w:pPr>
            <w:r w:rsidRPr="00256982">
              <w:rPr>
                <w:rFonts w:cs="Arial"/>
                <w:color w:val="000000"/>
                <w:szCs w:val="16"/>
              </w:rPr>
              <w:t>Option A – Non-Dairy Cattle</w:t>
            </w:r>
          </w:p>
        </w:tc>
        <w:tc>
          <w:tcPr>
            <w:tcW w:w="571" w:type="dxa"/>
            <w:tcBorders>
              <w:top w:val="single" w:sz="4" w:space="0" w:color="365F91"/>
              <w:bottom w:val="single" w:sz="4" w:space="0" w:color="365F91"/>
            </w:tcBorders>
            <w:shd w:val="clear" w:color="auto" w:fill="auto"/>
          </w:tcPr>
          <w:p w14:paraId="1FA111D6" w14:textId="77777777" w:rsidR="00DE64BC" w:rsidRPr="00256982" w:rsidRDefault="00DE64BC" w:rsidP="00A808C7">
            <w:pPr>
              <w:pStyle w:val="TableText"/>
              <w:spacing w:before="50" w:after="50"/>
              <w:jc w:val="center"/>
              <w:rPr>
                <w:rFonts w:cs="Arial"/>
                <w:szCs w:val="16"/>
              </w:rPr>
            </w:pPr>
            <w:r w:rsidRPr="00256982">
              <w:rPr>
                <w:rFonts w:cs="Arial"/>
                <w:color w:val="000000"/>
                <w:szCs w:val="16"/>
              </w:rPr>
              <w:t>CH</w:t>
            </w:r>
            <w:r w:rsidRPr="00256982">
              <w:rPr>
                <w:rFonts w:cs="Arial"/>
                <w:color w:val="000000"/>
                <w:szCs w:val="16"/>
                <w:vertAlign w:val="subscript"/>
              </w:rPr>
              <w:t>4</w:t>
            </w:r>
          </w:p>
        </w:tc>
        <w:tc>
          <w:tcPr>
            <w:tcW w:w="999" w:type="dxa"/>
            <w:tcBorders>
              <w:top w:val="single" w:sz="4" w:space="0" w:color="365F91"/>
              <w:bottom w:val="single" w:sz="4" w:space="0" w:color="365F91"/>
            </w:tcBorders>
            <w:shd w:val="clear" w:color="auto" w:fill="auto"/>
            <w:noWrap/>
          </w:tcPr>
          <w:p w14:paraId="0135F4D8"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5,298.0</w:t>
            </w:r>
          </w:p>
        </w:tc>
        <w:tc>
          <w:tcPr>
            <w:tcW w:w="1142" w:type="dxa"/>
            <w:tcBorders>
              <w:top w:val="single" w:sz="4" w:space="0" w:color="365F91"/>
              <w:bottom w:val="single" w:sz="4" w:space="0" w:color="365F91"/>
            </w:tcBorders>
            <w:shd w:val="clear" w:color="auto" w:fill="auto"/>
            <w:noWrap/>
          </w:tcPr>
          <w:p w14:paraId="0DFEBB7E"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4.7</w:t>
            </w:r>
          </w:p>
        </w:tc>
        <w:tc>
          <w:tcPr>
            <w:tcW w:w="1022" w:type="dxa"/>
            <w:tcBorders>
              <w:top w:val="single" w:sz="4" w:space="0" w:color="365F91"/>
              <w:bottom w:val="single" w:sz="4" w:space="0" w:color="365F91"/>
            </w:tcBorders>
            <w:shd w:val="clear" w:color="auto" w:fill="auto"/>
            <w:noWrap/>
          </w:tcPr>
          <w:p w14:paraId="006B8D05"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66.2</w:t>
            </w:r>
          </w:p>
        </w:tc>
      </w:tr>
      <w:tr w:rsidR="00DE64BC" w:rsidRPr="00256982" w14:paraId="7477950E" w14:textId="77777777" w:rsidTr="00960A10">
        <w:tc>
          <w:tcPr>
            <w:tcW w:w="994" w:type="dxa"/>
            <w:tcBorders>
              <w:top w:val="single" w:sz="4" w:space="0" w:color="365F91"/>
              <w:bottom w:val="single" w:sz="4" w:space="0" w:color="365F91"/>
            </w:tcBorders>
          </w:tcPr>
          <w:p w14:paraId="5E8A447B" w14:textId="77777777" w:rsidR="00DE64BC" w:rsidRPr="00256982" w:rsidRDefault="00DE64BC" w:rsidP="00A808C7">
            <w:pPr>
              <w:pStyle w:val="TableText"/>
              <w:spacing w:before="50" w:after="50"/>
              <w:rPr>
                <w:rFonts w:cs="Arial"/>
                <w:szCs w:val="16"/>
              </w:rPr>
            </w:pPr>
            <w:r w:rsidRPr="00256982">
              <w:rPr>
                <w:rFonts w:cs="Arial"/>
                <w:color w:val="000000"/>
                <w:szCs w:val="16"/>
              </w:rPr>
              <w:t>5.A</w:t>
            </w:r>
          </w:p>
        </w:tc>
        <w:tc>
          <w:tcPr>
            <w:tcW w:w="3834" w:type="dxa"/>
            <w:tcBorders>
              <w:top w:val="single" w:sz="4" w:space="0" w:color="365F91"/>
              <w:bottom w:val="single" w:sz="4" w:space="0" w:color="365F91"/>
            </w:tcBorders>
            <w:shd w:val="clear" w:color="auto" w:fill="auto"/>
          </w:tcPr>
          <w:p w14:paraId="7972024A" w14:textId="77777777" w:rsidR="00DE64BC" w:rsidRPr="00256982" w:rsidRDefault="00DE64BC" w:rsidP="00A808C7">
            <w:pPr>
              <w:pStyle w:val="TableText"/>
              <w:spacing w:before="50" w:after="50"/>
              <w:rPr>
                <w:rFonts w:cs="Arial"/>
                <w:szCs w:val="16"/>
              </w:rPr>
            </w:pPr>
            <w:r w:rsidRPr="00256982">
              <w:rPr>
                <w:rFonts w:cs="Arial"/>
                <w:color w:val="000000"/>
                <w:szCs w:val="16"/>
              </w:rPr>
              <w:t>Waste – Solid Waste Disposal</w:t>
            </w:r>
          </w:p>
        </w:tc>
        <w:tc>
          <w:tcPr>
            <w:tcW w:w="571" w:type="dxa"/>
            <w:tcBorders>
              <w:top w:val="single" w:sz="4" w:space="0" w:color="365F91"/>
              <w:bottom w:val="single" w:sz="4" w:space="0" w:color="365F91"/>
            </w:tcBorders>
            <w:shd w:val="clear" w:color="auto" w:fill="auto"/>
          </w:tcPr>
          <w:p w14:paraId="25CEC865" w14:textId="77777777" w:rsidR="00DE64BC" w:rsidRPr="00256982" w:rsidRDefault="00DE64BC" w:rsidP="00A808C7">
            <w:pPr>
              <w:pStyle w:val="TableText"/>
              <w:spacing w:before="50" w:after="50"/>
              <w:jc w:val="center"/>
              <w:rPr>
                <w:rFonts w:cs="Arial"/>
                <w:szCs w:val="16"/>
              </w:rPr>
            </w:pPr>
            <w:r w:rsidRPr="00256982">
              <w:rPr>
                <w:rFonts w:cs="Arial"/>
                <w:color w:val="000000"/>
                <w:szCs w:val="16"/>
              </w:rPr>
              <w:t>CH</w:t>
            </w:r>
            <w:r w:rsidRPr="00256982">
              <w:rPr>
                <w:rFonts w:cs="Arial"/>
                <w:color w:val="000000"/>
                <w:szCs w:val="16"/>
                <w:vertAlign w:val="subscript"/>
              </w:rPr>
              <w:t>4</w:t>
            </w:r>
          </w:p>
        </w:tc>
        <w:tc>
          <w:tcPr>
            <w:tcW w:w="999" w:type="dxa"/>
            <w:tcBorders>
              <w:top w:val="single" w:sz="4" w:space="0" w:color="365F91"/>
              <w:bottom w:val="single" w:sz="4" w:space="0" w:color="365F91"/>
            </w:tcBorders>
            <w:shd w:val="clear" w:color="auto" w:fill="auto"/>
            <w:noWrap/>
          </w:tcPr>
          <w:p w14:paraId="08EA99BF"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3,724.5</w:t>
            </w:r>
          </w:p>
        </w:tc>
        <w:tc>
          <w:tcPr>
            <w:tcW w:w="1142" w:type="dxa"/>
            <w:tcBorders>
              <w:top w:val="single" w:sz="4" w:space="0" w:color="365F91"/>
              <w:bottom w:val="single" w:sz="4" w:space="0" w:color="365F91"/>
            </w:tcBorders>
            <w:shd w:val="clear" w:color="auto" w:fill="auto"/>
            <w:noWrap/>
          </w:tcPr>
          <w:p w14:paraId="2B18D9B4"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3.3</w:t>
            </w:r>
          </w:p>
        </w:tc>
        <w:tc>
          <w:tcPr>
            <w:tcW w:w="1022" w:type="dxa"/>
            <w:tcBorders>
              <w:top w:val="single" w:sz="4" w:space="0" w:color="365F91"/>
              <w:bottom w:val="single" w:sz="4" w:space="0" w:color="365F91"/>
            </w:tcBorders>
            <w:shd w:val="clear" w:color="auto" w:fill="auto"/>
            <w:noWrap/>
          </w:tcPr>
          <w:p w14:paraId="73649366"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69.5</w:t>
            </w:r>
          </w:p>
        </w:tc>
      </w:tr>
      <w:tr w:rsidR="00DE64BC" w:rsidRPr="00256982" w14:paraId="635210B7" w14:textId="77777777" w:rsidTr="00960A10">
        <w:tc>
          <w:tcPr>
            <w:tcW w:w="994" w:type="dxa"/>
            <w:tcBorders>
              <w:top w:val="single" w:sz="4" w:space="0" w:color="365F91"/>
              <w:bottom w:val="single" w:sz="4" w:space="0" w:color="365F91"/>
            </w:tcBorders>
          </w:tcPr>
          <w:p w14:paraId="2A9E3498" w14:textId="77777777" w:rsidR="00DE64BC" w:rsidRPr="00256982" w:rsidRDefault="00DE64BC" w:rsidP="00A808C7">
            <w:pPr>
              <w:pStyle w:val="TableText"/>
              <w:spacing w:before="50" w:after="50"/>
              <w:rPr>
                <w:rFonts w:cs="Arial"/>
                <w:szCs w:val="16"/>
              </w:rPr>
            </w:pPr>
            <w:r w:rsidRPr="00256982">
              <w:rPr>
                <w:rFonts w:cs="Arial"/>
                <w:color w:val="000000"/>
                <w:szCs w:val="16"/>
              </w:rPr>
              <w:t>1.A.1.a</w:t>
            </w:r>
          </w:p>
        </w:tc>
        <w:tc>
          <w:tcPr>
            <w:tcW w:w="3834" w:type="dxa"/>
            <w:tcBorders>
              <w:top w:val="single" w:sz="4" w:space="0" w:color="365F91"/>
              <w:bottom w:val="single" w:sz="4" w:space="0" w:color="365F91"/>
            </w:tcBorders>
            <w:shd w:val="clear" w:color="auto" w:fill="auto"/>
          </w:tcPr>
          <w:p w14:paraId="12548476" w14:textId="77777777" w:rsidR="00DE64BC" w:rsidRPr="00256982" w:rsidRDefault="00DE64BC" w:rsidP="00A808C7">
            <w:pPr>
              <w:pStyle w:val="TableText"/>
              <w:spacing w:before="50" w:after="50"/>
              <w:rPr>
                <w:rFonts w:cs="Arial"/>
                <w:szCs w:val="16"/>
              </w:rPr>
            </w:pPr>
            <w:r w:rsidRPr="00256982">
              <w:rPr>
                <w:rFonts w:cs="Arial"/>
                <w:color w:val="000000"/>
                <w:szCs w:val="16"/>
              </w:rPr>
              <w:t>Energy Industries – Public Electricity and Heat Production Gaseous Fuels</w:t>
            </w:r>
          </w:p>
        </w:tc>
        <w:tc>
          <w:tcPr>
            <w:tcW w:w="571" w:type="dxa"/>
            <w:tcBorders>
              <w:top w:val="single" w:sz="4" w:space="0" w:color="365F91"/>
              <w:bottom w:val="single" w:sz="4" w:space="0" w:color="365F91"/>
            </w:tcBorders>
            <w:shd w:val="clear" w:color="auto" w:fill="auto"/>
          </w:tcPr>
          <w:p w14:paraId="4F6A6328" w14:textId="77777777" w:rsidR="00DE64BC" w:rsidRPr="00256982" w:rsidRDefault="00DE64BC" w:rsidP="00A808C7">
            <w:pPr>
              <w:pStyle w:val="TableText"/>
              <w:spacing w:before="50" w:after="50"/>
              <w:jc w:val="center"/>
              <w:rPr>
                <w:rFonts w:cs="Arial"/>
                <w:szCs w:val="16"/>
              </w:rPr>
            </w:pPr>
            <w:r w:rsidRPr="00256982">
              <w:rPr>
                <w:rFonts w:cs="Arial"/>
                <w:color w:val="000000"/>
                <w:szCs w:val="16"/>
              </w:rPr>
              <w:t>CO</w:t>
            </w:r>
            <w:r w:rsidRPr="00256982">
              <w:rPr>
                <w:rFonts w:cs="Arial"/>
                <w:color w:val="000000"/>
                <w:szCs w:val="16"/>
                <w:vertAlign w:val="subscript"/>
              </w:rPr>
              <w:t>2</w:t>
            </w:r>
          </w:p>
        </w:tc>
        <w:tc>
          <w:tcPr>
            <w:tcW w:w="999" w:type="dxa"/>
            <w:tcBorders>
              <w:top w:val="single" w:sz="4" w:space="0" w:color="365F91"/>
              <w:bottom w:val="single" w:sz="4" w:space="0" w:color="365F91"/>
            </w:tcBorders>
            <w:shd w:val="clear" w:color="auto" w:fill="auto"/>
            <w:noWrap/>
          </w:tcPr>
          <w:p w14:paraId="3F6AC987"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3,065.2</w:t>
            </w:r>
          </w:p>
        </w:tc>
        <w:tc>
          <w:tcPr>
            <w:tcW w:w="1142" w:type="dxa"/>
            <w:tcBorders>
              <w:top w:val="single" w:sz="4" w:space="0" w:color="365F91"/>
              <w:bottom w:val="single" w:sz="4" w:space="0" w:color="365F91"/>
            </w:tcBorders>
            <w:shd w:val="clear" w:color="auto" w:fill="auto"/>
            <w:noWrap/>
          </w:tcPr>
          <w:p w14:paraId="7EC20B44"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2.7</w:t>
            </w:r>
          </w:p>
        </w:tc>
        <w:tc>
          <w:tcPr>
            <w:tcW w:w="1022" w:type="dxa"/>
            <w:tcBorders>
              <w:top w:val="single" w:sz="4" w:space="0" w:color="365F91"/>
              <w:bottom w:val="single" w:sz="4" w:space="0" w:color="365F91"/>
            </w:tcBorders>
            <w:shd w:val="clear" w:color="auto" w:fill="auto"/>
            <w:noWrap/>
          </w:tcPr>
          <w:p w14:paraId="75373DFD"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72.2</w:t>
            </w:r>
          </w:p>
        </w:tc>
      </w:tr>
      <w:tr w:rsidR="00DE64BC" w:rsidRPr="00256982" w14:paraId="237D24AE" w14:textId="77777777" w:rsidTr="00960A10">
        <w:tc>
          <w:tcPr>
            <w:tcW w:w="994" w:type="dxa"/>
            <w:tcBorders>
              <w:top w:val="single" w:sz="4" w:space="0" w:color="365F91"/>
              <w:bottom w:val="single" w:sz="4" w:space="0" w:color="365F91"/>
            </w:tcBorders>
          </w:tcPr>
          <w:p w14:paraId="5E58156B" w14:textId="77777777" w:rsidR="00DE64BC" w:rsidRPr="00256982" w:rsidRDefault="00DE64BC" w:rsidP="00A808C7">
            <w:pPr>
              <w:pStyle w:val="TableText"/>
              <w:spacing w:before="50" w:after="50"/>
              <w:rPr>
                <w:rFonts w:cs="Arial"/>
                <w:szCs w:val="16"/>
              </w:rPr>
            </w:pPr>
            <w:r w:rsidRPr="00256982">
              <w:rPr>
                <w:rFonts w:cs="Arial"/>
                <w:color w:val="000000"/>
                <w:szCs w:val="16"/>
              </w:rPr>
              <w:t>4.C.2</w:t>
            </w:r>
          </w:p>
        </w:tc>
        <w:tc>
          <w:tcPr>
            <w:tcW w:w="3834" w:type="dxa"/>
            <w:tcBorders>
              <w:top w:val="single" w:sz="4" w:space="0" w:color="365F91"/>
              <w:bottom w:val="single" w:sz="4" w:space="0" w:color="365F91"/>
            </w:tcBorders>
            <w:shd w:val="clear" w:color="auto" w:fill="auto"/>
          </w:tcPr>
          <w:p w14:paraId="743A9B03" w14:textId="77777777" w:rsidR="00DE64BC" w:rsidRPr="00256982" w:rsidRDefault="00DE64BC" w:rsidP="00A808C7">
            <w:pPr>
              <w:pStyle w:val="TableText"/>
              <w:spacing w:before="50" w:after="50"/>
              <w:rPr>
                <w:rFonts w:cs="Arial"/>
                <w:szCs w:val="16"/>
              </w:rPr>
            </w:pPr>
            <w:r w:rsidRPr="00256982">
              <w:rPr>
                <w:rFonts w:cs="Arial"/>
                <w:color w:val="000000"/>
                <w:szCs w:val="16"/>
              </w:rPr>
              <w:t>Grassland – Land Converted to Grassland</w:t>
            </w:r>
          </w:p>
        </w:tc>
        <w:tc>
          <w:tcPr>
            <w:tcW w:w="571" w:type="dxa"/>
            <w:tcBorders>
              <w:top w:val="single" w:sz="4" w:space="0" w:color="365F91"/>
              <w:bottom w:val="single" w:sz="4" w:space="0" w:color="365F91"/>
            </w:tcBorders>
            <w:shd w:val="clear" w:color="auto" w:fill="auto"/>
          </w:tcPr>
          <w:p w14:paraId="0759A693" w14:textId="77777777" w:rsidR="00DE64BC" w:rsidRPr="00256982" w:rsidRDefault="00DE64BC" w:rsidP="00A808C7">
            <w:pPr>
              <w:pStyle w:val="TableText"/>
              <w:spacing w:before="50" w:after="50"/>
              <w:jc w:val="center"/>
              <w:rPr>
                <w:rFonts w:cs="Arial"/>
                <w:szCs w:val="16"/>
              </w:rPr>
            </w:pPr>
            <w:r w:rsidRPr="00256982">
              <w:rPr>
                <w:rFonts w:cs="Arial"/>
                <w:color w:val="000000"/>
                <w:szCs w:val="16"/>
              </w:rPr>
              <w:t>CO</w:t>
            </w:r>
            <w:r w:rsidRPr="00256982">
              <w:rPr>
                <w:rFonts w:cs="Arial"/>
                <w:color w:val="000000"/>
                <w:szCs w:val="16"/>
                <w:vertAlign w:val="subscript"/>
              </w:rPr>
              <w:t>2</w:t>
            </w:r>
          </w:p>
        </w:tc>
        <w:tc>
          <w:tcPr>
            <w:tcW w:w="999" w:type="dxa"/>
            <w:tcBorders>
              <w:top w:val="single" w:sz="4" w:space="0" w:color="365F91"/>
              <w:bottom w:val="single" w:sz="4" w:space="0" w:color="365F91"/>
            </w:tcBorders>
            <w:shd w:val="clear" w:color="auto" w:fill="auto"/>
            <w:noWrap/>
          </w:tcPr>
          <w:p w14:paraId="1557F8D9"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2,437.1</w:t>
            </w:r>
          </w:p>
        </w:tc>
        <w:tc>
          <w:tcPr>
            <w:tcW w:w="1142" w:type="dxa"/>
            <w:tcBorders>
              <w:top w:val="single" w:sz="4" w:space="0" w:color="365F91"/>
              <w:bottom w:val="single" w:sz="4" w:space="0" w:color="365F91"/>
            </w:tcBorders>
            <w:shd w:val="clear" w:color="auto" w:fill="auto"/>
            <w:noWrap/>
          </w:tcPr>
          <w:p w14:paraId="6AF24D15"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2.1</w:t>
            </w:r>
          </w:p>
        </w:tc>
        <w:tc>
          <w:tcPr>
            <w:tcW w:w="1022" w:type="dxa"/>
            <w:tcBorders>
              <w:top w:val="single" w:sz="4" w:space="0" w:color="365F91"/>
              <w:bottom w:val="single" w:sz="4" w:space="0" w:color="365F91"/>
            </w:tcBorders>
            <w:shd w:val="clear" w:color="auto" w:fill="auto"/>
            <w:noWrap/>
          </w:tcPr>
          <w:p w14:paraId="6C841DEE"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74.3</w:t>
            </w:r>
          </w:p>
        </w:tc>
      </w:tr>
      <w:tr w:rsidR="00DE64BC" w:rsidRPr="00256982" w14:paraId="4BFC87E2" w14:textId="77777777" w:rsidTr="00960A10">
        <w:tc>
          <w:tcPr>
            <w:tcW w:w="994" w:type="dxa"/>
            <w:tcBorders>
              <w:top w:val="single" w:sz="4" w:space="0" w:color="365F91"/>
              <w:bottom w:val="single" w:sz="4" w:space="0" w:color="365F91"/>
            </w:tcBorders>
          </w:tcPr>
          <w:p w14:paraId="12F4EC5F" w14:textId="77777777" w:rsidR="00DE64BC" w:rsidRPr="00256982" w:rsidRDefault="00DE64BC" w:rsidP="00A808C7">
            <w:pPr>
              <w:pStyle w:val="TableText"/>
              <w:spacing w:before="50" w:after="50"/>
              <w:rPr>
                <w:rFonts w:cs="Arial"/>
                <w:szCs w:val="16"/>
              </w:rPr>
            </w:pPr>
            <w:r w:rsidRPr="00256982">
              <w:rPr>
                <w:rFonts w:cs="Arial"/>
                <w:color w:val="000000"/>
                <w:szCs w:val="16"/>
              </w:rPr>
              <w:t>1.A.2.e</w:t>
            </w:r>
          </w:p>
        </w:tc>
        <w:tc>
          <w:tcPr>
            <w:tcW w:w="3834" w:type="dxa"/>
            <w:tcBorders>
              <w:top w:val="single" w:sz="4" w:space="0" w:color="365F91"/>
              <w:bottom w:val="single" w:sz="4" w:space="0" w:color="365F91"/>
            </w:tcBorders>
            <w:shd w:val="clear" w:color="auto" w:fill="auto"/>
          </w:tcPr>
          <w:p w14:paraId="591CC516" w14:textId="77777777" w:rsidR="00DE64BC" w:rsidRPr="00256982" w:rsidRDefault="00DE64BC" w:rsidP="00A808C7">
            <w:pPr>
              <w:pStyle w:val="TableText"/>
              <w:spacing w:before="50" w:after="50"/>
              <w:rPr>
                <w:rFonts w:cs="Arial"/>
                <w:szCs w:val="16"/>
              </w:rPr>
            </w:pPr>
            <w:r w:rsidRPr="00256982">
              <w:rPr>
                <w:rFonts w:cs="Arial"/>
                <w:color w:val="000000"/>
                <w:szCs w:val="16"/>
              </w:rPr>
              <w:t>Manufacturing Industries and Construction – Food Processing, Beverages and Tobacco Solid Fuels</w:t>
            </w:r>
          </w:p>
        </w:tc>
        <w:tc>
          <w:tcPr>
            <w:tcW w:w="571" w:type="dxa"/>
            <w:tcBorders>
              <w:top w:val="single" w:sz="4" w:space="0" w:color="365F91"/>
              <w:bottom w:val="single" w:sz="4" w:space="0" w:color="365F91"/>
            </w:tcBorders>
            <w:shd w:val="clear" w:color="auto" w:fill="auto"/>
          </w:tcPr>
          <w:p w14:paraId="3FC1CF42" w14:textId="77777777" w:rsidR="00DE64BC" w:rsidRPr="00256982" w:rsidRDefault="00DE64BC" w:rsidP="00A808C7">
            <w:pPr>
              <w:pStyle w:val="TableText"/>
              <w:spacing w:before="50" w:after="50"/>
              <w:jc w:val="center"/>
              <w:rPr>
                <w:rFonts w:cs="Arial"/>
                <w:szCs w:val="16"/>
              </w:rPr>
            </w:pPr>
            <w:r w:rsidRPr="00256982">
              <w:rPr>
                <w:rFonts w:cs="Arial"/>
                <w:color w:val="000000"/>
                <w:szCs w:val="16"/>
              </w:rPr>
              <w:t>CO</w:t>
            </w:r>
            <w:r w:rsidRPr="00256982">
              <w:rPr>
                <w:rFonts w:cs="Arial"/>
                <w:color w:val="000000"/>
                <w:szCs w:val="16"/>
                <w:vertAlign w:val="subscript"/>
              </w:rPr>
              <w:t>2</w:t>
            </w:r>
          </w:p>
        </w:tc>
        <w:tc>
          <w:tcPr>
            <w:tcW w:w="999" w:type="dxa"/>
            <w:tcBorders>
              <w:top w:val="single" w:sz="4" w:space="0" w:color="365F91"/>
              <w:bottom w:val="single" w:sz="4" w:space="0" w:color="365F91"/>
            </w:tcBorders>
            <w:shd w:val="clear" w:color="auto" w:fill="auto"/>
            <w:noWrap/>
          </w:tcPr>
          <w:p w14:paraId="0938F0E5"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1,784.0</w:t>
            </w:r>
          </w:p>
        </w:tc>
        <w:tc>
          <w:tcPr>
            <w:tcW w:w="1142" w:type="dxa"/>
            <w:tcBorders>
              <w:top w:val="single" w:sz="4" w:space="0" w:color="365F91"/>
              <w:bottom w:val="single" w:sz="4" w:space="0" w:color="365F91"/>
            </w:tcBorders>
            <w:shd w:val="clear" w:color="auto" w:fill="auto"/>
            <w:noWrap/>
          </w:tcPr>
          <w:p w14:paraId="687E3377"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1.6</w:t>
            </w:r>
          </w:p>
        </w:tc>
        <w:tc>
          <w:tcPr>
            <w:tcW w:w="1022" w:type="dxa"/>
            <w:tcBorders>
              <w:top w:val="single" w:sz="4" w:space="0" w:color="365F91"/>
              <w:bottom w:val="single" w:sz="4" w:space="0" w:color="365F91"/>
            </w:tcBorders>
            <w:shd w:val="clear" w:color="auto" w:fill="auto"/>
            <w:noWrap/>
          </w:tcPr>
          <w:p w14:paraId="4C8957DD"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75.9</w:t>
            </w:r>
          </w:p>
        </w:tc>
      </w:tr>
      <w:tr w:rsidR="00DE64BC" w:rsidRPr="00256982" w14:paraId="2A263675" w14:textId="77777777" w:rsidTr="00960A10">
        <w:tc>
          <w:tcPr>
            <w:tcW w:w="994" w:type="dxa"/>
            <w:tcBorders>
              <w:top w:val="single" w:sz="4" w:space="0" w:color="365F91"/>
              <w:bottom w:val="single" w:sz="4" w:space="0" w:color="365F91"/>
            </w:tcBorders>
          </w:tcPr>
          <w:p w14:paraId="31F5D7B2" w14:textId="77777777" w:rsidR="00DE64BC" w:rsidRPr="00256982" w:rsidRDefault="00DE64BC" w:rsidP="00A808C7">
            <w:pPr>
              <w:pStyle w:val="TableText"/>
              <w:spacing w:before="50" w:after="50"/>
              <w:rPr>
                <w:rFonts w:cs="Arial"/>
                <w:szCs w:val="16"/>
              </w:rPr>
            </w:pPr>
            <w:r w:rsidRPr="00256982">
              <w:rPr>
                <w:rFonts w:cs="Arial"/>
                <w:color w:val="000000"/>
                <w:szCs w:val="16"/>
              </w:rPr>
              <w:t>2.C.1</w:t>
            </w:r>
          </w:p>
        </w:tc>
        <w:tc>
          <w:tcPr>
            <w:tcW w:w="3834" w:type="dxa"/>
            <w:tcBorders>
              <w:top w:val="single" w:sz="4" w:space="0" w:color="365F91"/>
              <w:bottom w:val="single" w:sz="4" w:space="0" w:color="365F91"/>
            </w:tcBorders>
            <w:shd w:val="clear" w:color="auto" w:fill="auto"/>
          </w:tcPr>
          <w:p w14:paraId="3F60A566" w14:textId="77777777" w:rsidR="00DE64BC" w:rsidRPr="00256982" w:rsidRDefault="00DE64BC" w:rsidP="00A808C7">
            <w:pPr>
              <w:pStyle w:val="TableText"/>
              <w:spacing w:before="50" w:after="50"/>
              <w:rPr>
                <w:rFonts w:cs="Arial"/>
                <w:szCs w:val="16"/>
              </w:rPr>
            </w:pPr>
            <w:r w:rsidRPr="00256982">
              <w:rPr>
                <w:rFonts w:cs="Arial"/>
                <w:color w:val="000000"/>
                <w:szCs w:val="16"/>
              </w:rPr>
              <w:t>Metal Industry – Iron and Steel Production</w:t>
            </w:r>
          </w:p>
        </w:tc>
        <w:tc>
          <w:tcPr>
            <w:tcW w:w="571" w:type="dxa"/>
            <w:tcBorders>
              <w:top w:val="single" w:sz="4" w:space="0" w:color="365F91"/>
              <w:bottom w:val="single" w:sz="4" w:space="0" w:color="365F91"/>
            </w:tcBorders>
            <w:shd w:val="clear" w:color="auto" w:fill="auto"/>
          </w:tcPr>
          <w:p w14:paraId="79B61CCF" w14:textId="77777777" w:rsidR="00DE64BC" w:rsidRPr="00256982" w:rsidRDefault="00DE64BC" w:rsidP="00A808C7">
            <w:pPr>
              <w:pStyle w:val="TableText"/>
              <w:spacing w:before="50" w:after="50"/>
              <w:jc w:val="center"/>
              <w:rPr>
                <w:rFonts w:cs="Arial"/>
                <w:szCs w:val="16"/>
              </w:rPr>
            </w:pPr>
            <w:r w:rsidRPr="00256982">
              <w:rPr>
                <w:rFonts w:cs="Arial"/>
                <w:color w:val="000000"/>
                <w:szCs w:val="16"/>
              </w:rPr>
              <w:t>CO</w:t>
            </w:r>
            <w:r w:rsidRPr="00256982">
              <w:rPr>
                <w:rFonts w:cs="Arial"/>
                <w:color w:val="000000"/>
                <w:szCs w:val="16"/>
                <w:vertAlign w:val="subscript"/>
              </w:rPr>
              <w:t>2</w:t>
            </w:r>
          </w:p>
        </w:tc>
        <w:tc>
          <w:tcPr>
            <w:tcW w:w="999" w:type="dxa"/>
            <w:tcBorders>
              <w:top w:val="single" w:sz="4" w:space="0" w:color="365F91"/>
              <w:bottom w:val="single" w:sz="4" w:space="0" w:color="365F91"/>
            </w:tcBorders>
            <w:shd w:val="clear" w:color="auto" w:fill="auto"/>
            <w:noWrap/>
          </w:tcPr>
          <w:p w14:paraId="5A7C1A79"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1,758.3</w:t>
            </w:r>
          </w:p>
        </w:tc>
        <w:tc>
          <w:tcPr>
            <w:tcW w:w="1142" w:type="dxa"/>
            <w:tcBorders>
              <w:top w:val="single" w:sz="4" w:space="0" w:color="365F91"/>
              <w:bottom w:val="single" w:sz="4" w:space="0" w:color="365F91"/>
            </w:tcBorders>
            <w:shd w:val="clear" w:color="auto" w:fill="auto"/>
            <w:noWrap/>
          </w:tcPr>
          <w:p w14:paraId="661075BD"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1.5</w:t>
            </w:r>
          </w:p>
        </w:tc>
        <w:tc>
          <w:tcPr>
            <w:tcW w:w="1022" w:type="dxa"/>
            <w:tcBorders>
              <w:top w:val="single" w:sz="4" w:space="0" w:color="365F91"/>
              <w:bottom w:val="single" w:sz="4" w:space="0" w:color="365F91"/>
            </w:tcBorders>
            <w:shd w:val="clear" w:color="auto" w:fill="auto"/>
            <w:noWrap/>
          </w:tcPr>
          <w:p w14:paraId="2081AF13"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77.5</w:t>
            </w:r>
          </w:p>
        </w:tc>
      </w:tr>
      <w:tr w:rsidR="00DE64BC" w:rsidRPr="00256982" w14:paraId="1B1BBBC2" w14:textId="77777777" w:rsidTr="00960A10">
        <w:tc>
          <w:tcPr>
            <w:tcW w:w="994" w:type="dxa"/>
            <w:tcBorders>
              <w:top w:val="single" w:sz="4" w:space="0" w:color="365F91"/>
              <w:bottom w:val="single" w:sz="4" w:space="0" w:color="365F91"/>
            </w:tcBorders>
          </w:tcPr>
          <w:p w14:paraId="1703F615" w14:textId="77777777" w:rsidR="00DE64BC" w:rsidRPr="00256982" w:rsidRDefault="00DE64BC" w:rsidP="00A808C7">
            <w:pPr>
              <w:pStyle w:val="TableText"/>
              <w:spacing w:before="50" w:after="50"/>
              <w:rPr>
                <w:rFonts w:cs="Arial"/>
                <w:szCs w:val="16"/>
              </w:rPr>
            </w:pPr>
            <w:r w:rsidRPr="00256982">
              <w:rPr>
                <w:rFonts w:cs="Arial"/>
                <w:color w:val="000000"/>
                <w:szCs w:val="16"/>
              </w:rPr>
              <w:t>1.A.2.c</w:t>
            </w:r>
          </w:p>
        </w:tc>
        <w:tc>
          <w:tcPr>
            <w:tcW w:w="3834" w:type="dxa"/>
            <w:tcBorders>
              <w:top w:val="single" w:sz="4" w:space="0" w:color="365F91"/>
              <w:bottom w:val="single" w:sz="4" w:space="0" w:color="365F91"/>
            </w:tcBorders>
            <w:shd w:val="clear" w:color="auto" w:fill="auto"/>
          </w:tcPr>
          <w:p w14:paraId="0E04335D" w14:textId="77777777" w:rsidR="00DE64BC" w:rsidRPr="00256982" w:rsidRDefault="00DE64BC" w:rsidP="00A808C7">
            <w:pPr>
              <w:pStyle w:val="TableText"/>
              <w:spacing w:before="50" w:after="50"/>
              <w:rPr>
                <w:rFonts w:cs="Arial"/>
                <w:szCs w:val="16"/>
              </w:rPr>
            </w:pPr>
            <w:r w:rsidRPr="00256982">
              <w:rPr>
                <w:rFonts w:cs="Arial"/>
                <w:color w:val="000000"/>
                <w:szCs w:val="16"/>
              </w:rPr>
              <w:t>Manufacturing Industries and Construction – Chemicals Gaseous Fuels</w:t>
            </w:r>
          </w:p>
        </w:tc>
        <w:tc>
          <w:tcPr>
            <w:tcW w:w="571" w:type="dxa"/>
            <w:tcBorders>
              <w:top w:val="single" w:sz="4" w:space="0" w:color="365F91"/>
              <w:bottom w:val="single" w:sz="4" w:space="0" w:color="365F91"/>
            </w:tcBorders>
            <w:shd w:val="clear" w:color="auto" w:fill="auto"/>
          </w:tcPr>
          <w:p w14:paraId="52331EF2" w14:textId="77777777" w:rsidR="00DE64BC" w:rsidRPr="00256982" w:rsidRDefault="00DE64BC" w:rsidP="00A808C7">
            <w:pPr>
              <w:pStyle w:val="TableText"/>
              <w:spacing w:before="50" w:after="50"/>
              <w:jc w:val="center"/>
              <w:rPr>
                <w:rFonts w:cs="Arial"/>
                <w:szCs w:val="16"/>
              </w:rPr>
            </w:pPr>
            <w:r w:rsidRPr="00256982">
              <w:rPr>
                <w:rFonts w:cs="Arial"/>
                <w:color w:val="000000"/>
                <w:szCs w:val="16"/>
              </w:rPr>
              <w:t>CO</w:t>
            </w:r>
            <w:r w:rsidRPr="00256982">
              <w:rPr>
                <w:rFonts w:cs="Arial"/>
                <w:color w:val="000000"/>
                <w:szCs w:val="16"/>
                <w:vertAlign w:val="subscript"/>
              </w:rPr>
              <w:t>2</w:t>
            </w:r>
          </w:p>
        </w:tc>
        <w:tc>
          <w:tcPr>
            <w:tcW w:w="999" w:type="dxa"/>
            <w:tcBorders>
              <w:top w:val="single" w:sz="4" w:space="0" w:color="365F91"/>
              <w:bottom w:val="single" w:sz="4" w:space="0" w:color="365F91"/>
            </w:tcBorders>
            <w:shd w:val="clear" w:color="auto" w:fill="auto"/>
            <w:noWrap/>
          </w:tcPr>
          <w:p w14:paraId="0E37118B"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1,587.8</w:t>
            </w:r>
          </w:p>
        </w:tc>
        <w:tc>
          <w:tcPr>
            <w:tcW w:w="1142" w:type="dxa"/>
            <w:tcBorders>
              <w:top w:val="single" w:sz="4" w:space="0" w:color="365F91"/>
              <w:bottom w:val="single" w:sz="4" w:space="0" w:color="365F91"/>
            </w:tcBorders>
            <w:shd w:val="clear" w:color="auto" w:fill="auto"/>
            <w:noWrap/>
          </w:tcPr>
          <w:p w14:paraId="71A8BCFD"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1.4</w:t>
            </w:r>
          </w:p>
        </w:tc>
        <w:tc>
          <w:tcPr>
            <w:tcW w:w="1022" w:type="dxa"/>
            <w:tcBorders>
              <w:top w:val="single" w:sz="4" w:space="0" w:color="365F91"/>
              <w:bottom w:val="single" w:sz="4" w:space="0" w:color="365F91"/>
            </w:tcBorders>
            <w:shd w:val="clear" w:color="auto" w:fill="auto"/>
            <w:noWrap/>
          </w:tcPr>
          <w:p w14:paraId="7167184A"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78.9</w:t>
            </w:r>
          </w:p>
        </w:tc>
      </w:tr>
      <w:tr w:rsidR="00DE64BC" w:rsidRPr="00256982" w14:paraId="11B4BE69" w14:textId="77777777" w:rsidTr="00960A10">
        <w:tc>
          <w:tcPr>
            <w:tcW w:w="994" w:type="dxa"/>
            <w:tcBorders>
              <w:top w:val="single" w:sz="4" w:space="0" w:color="365F91"/>
              <w:bottom w:val="single" w:sz="4" w:space="0" w:color="365F91"/>
            </w:tcBorders>
          </w:tcPr>
          <w:p w14:paraId="11FEB21C" w14:textId="77777777" w:rsidR="00DE64BC" w:rsidRPr="00256982" w:rsidRDefault="00DE64BC" w:rsidP="00A808C7">
            <w:pPr>
              <w:pStyle w:val="TableText"/>
              <w:keepNext/>
              <w:spacing w:before="50" w:after="50"/>
              <w:rPr>
                <w:rFonts w:cs="Arial"/>
                <w:szCs w:val="16"/>
              </w:rPr>
            </w:pPr>
            <w:r w:rsidRPr="00256982">
              <w:rPr>
                <w:rFonts w:cs="Arial"/>
                <w:color w:val="000000"/>
                <w:szCs w:val="16"/>
              </w:rPr>
              <w:t>2.F.1</w:t>
            </w:r>
          </w:p>
        </w:tc>
        <w:tc>
          <w:tcPr>
            <w:tcW w:w="3834" w:type="dxa"/>
            <w:tcBorders>
              <w:top w:val="single" w:sz="4" w:space="0" w:color="365F91"/>
              <w:bottom w:val="single" w:sz="4" w:space="0" w:color="365F91"/>
            </w:tcBorders>
            <w:shd w:val="clear" w:color="auto" w:fill="auto"/>
          </w:tcPr>
          <w:p w14:paraId="73038B39" w14:textId="77777777" w:rsidR="00DE64BC" w:rsidRPr="00256982" w:rsidRDefault="00DE64BC" w:rsidP="00A808C7">
            <w:pPr>
              <w:pStyle w:val="TableText"/>
              <w:spacing w:before="50" w:after="50"/>
              <w:rPr>
                <w:rFonts w:cs="Arial"/>
                <w:szCs w:val="16"/>
              </w:rPr>
            </w:pPr>
            <w:r w:rsidRPr="00256982">
              <w:rPr>
                <w:rFonts w:cs="Arial"/>
                <w:color w:val="000000"/>
                <w:szCs w:val="16"/>
              </w:rPr>
              <w:t>Product Uses as Substitutes for ODS – Refrigeration and Air conditioning</w:t>
            </w:r>
          </w:p>
        </w:tc>
        <w:tc>
          <w:tcPr>
            <w:tcW w:w="571" w:type="dxa"/>
            <w:tcBorders>
              <w:top w:val="single" w:sz="4" w:space="0" w:color="365F91"/>
              <w:bottom w:val="single" w:sz="4" w:space="0" w:color="365F91"/>
            </w:tcBorders>
            <w:shd w:val="clear" w:color="auto" w:fill="auto"/>
          </w:tcPr>
          <w:p w14:paraId="6A010C9B" w14:textId="77777777" w:rsidR="00DE64BC" w:rsidRPr="00256982" w:rsidRDefault="00DE64BC" w:rsidP="00A808C7">
            <w:pPr>
              <w:pStyle w:val="TableText"/>
              <w:spacing w:before="50" w:after="50"/>
              <w:jc w:val="center"/>
              <w:rPr>
                <w:rFonts w:cs="Arial"/>
                <w:szCs w:val="16"/>
              </w:rPr>
            </w:pPr>
            <w:r w:rsidRPr="00256982">
              <w:rPr>
                <w:rFonts w:cs="Arial"/>
                <w:color w:val="000000"/>
                <w:szCs w:val="16"/>
              </w:rPr>
              <w:t>HFCs</w:t>
            </w:r>
          </w:p>
        </w:tc>
        <w:tc>
          <w:tcPr>
            <w:tcW w:w="999" w:type="dxa"/>
            <w:tcBorders>
              <w:top w:val="single" w:sz="4" w:space="0" w:color="365F91"/>
              <w:bottom w:val="single" w:sz="4" w:space="0" w:color="365F91"/>
            </w:tcBorders>
            <w:shd w:val="clear" w:color="auto" w:fill="auto"/>
            <w:noWrap/>
          </w:tcPr>
          <w:p w14:paraId="454D7CBC"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1,397.3</w:t>
            </w:r>
          </w:p>
        </w:tc>
        <w:tc>
          <w:tcPr>
            <w:tcW w:w="1142" w:type="dxa"/>
            <w:tcBorders>
              <w:top w:val="single" w:sz="4" w:space="0" w:color="365F91"/>
              <w:bottom w:val="single" w:sz="4" w:space="0" w:color="365F91"/>
            </w:tcBorders>
            <w:shd w:val="clear" w:color="auto" w:fill="auto"/>
            <w:noWrap/>
          </w:tcPr>
          <w:p w14:paraId="48B71DC0"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1.2</w:t>
            </w:r>
          </w:p>
        </w:tc>
        <w:tc>
          <w:tcPr>
            <w:tcW w:w="1022" w:type="dxa"/>
            <w:tcBorders>
              <w:top w:val="single" w:sz="4" w:space="0" w:color="365F91"/>
              <w:bottom w:val="single" w:sz="4" w:space="0" w:color="365F91"/>
            </w:tcBorders>
            <w:shd w:val="clear" w:color="auto" w:fill="auto"/>
            <w:noWrap/>
          </w:tcPr>
          <w:p w14:paraId="33FD2658"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80.1</w:t>
            </w:r>
          </w:p>
        </w:tc>
      </w:tr>
      <w:tr w:rsidR="00DE64BC" w:rsidRPr="00256982" w14:paraId="451CC59B" w14:textId="77777777" w:rsidTr="00960A10">
        <w:tc>
          <w:tcPr>
            <w:tcW w:w="994" w:type="dxa"/>
            <w:tcBorders>
              <w:top w:val="single" w:sz="4" w:space="0" w:color="365F91"/>
              <w:bottom w:val="single" w:sz="4" w:space="0" w:color="365F91"/>
            </w:tcBorders>
          </w:tcPr>
          <w:p w14:paraId="5DF97DB6" w14:textId="77777777" w:rsidR="00DE64BC" w:rsidRPr="00256982" w:rsidRDefault="00DE64BC" w:rsidP="00A808C7">
            <w:pPr>
              <w:pStyle w:val="TableText"/>
              <w:spacing w:before="50" w:after="50"/>
              <w:rPr>
                <w:rFonts w:cs="Arial"/>
                <w:szCs w:val="16"/>
              </w:rPr>
            </w:pPr>
            <w:r w:rsidRPr="00256982">
              <w:rPr>
                <w:rFonts w:cs="Arial"/>
                <w:color w:val="000000"/>
                <w:szCs w:val="16"/>
              </w:rPr>
              <w:t>3.D.1.1</w:t>
            </w:r>
          </w:p>
        </w:tc>
        <w:tc>
          <w:tcPr>
            <w:tcW w:w="3834" w:type="dxa"/>
            <w:tcBorders>
              <w:top w:val="single" w:sz="4" w:space="0" w:color="365F91"/>
              <w:bottom w:val="single" w:sz="4" w:space="0" w:color="365F91"/>
            </w:tcBorders>
            <w:shd w:val="clear" w:color="auto" w:fill="auto"/>
          </w:tcPr>
          <w:p w14:paraId="47589877" w14:textId="77777777" w:rsidR="00DE64BC" w:rsidRPr="00256982" w:rsidRDefault="00DE64BC" w:rsidP="00A808C7">
            <w:pPr>
              <w:pStyle w:val="TableText"/>
              <w:spacing w:before="50" w:after="50"/>
              <w:rPr>
                <w:rFonts w:cs="Arial"/>
                <w:szCs w:val="16"/>
              </w:rPr>
            </w:pPr>
            <w:r w:rsidRPr="00256982">
              <w:rPr>
                <w:rFonts w:cs="Arial"/>
                <w:color w:val="000000"/>
                <w:szCs w:val="16"/>
              </w:rPr>
              <w:t>Direct N</w:t>
            </w:r>
            <w:r w:rsidRPr="00256982">
              <w:rPr>
                <w:rFonts w:cs="Arial"/>
                <w:color w:val="000000"/>
                <w:szCs w:val="16"/>
                <w:vertAlign w:val="subscript"/>
              </w:rPr>
              <w:t>2</w:t>
            </w:r>
            <w:r w:rsidRPr="00256982">
              <w:rPr>
                <w:rFonts w:cs="Arial"/>
                <w:color w:val="000000"/>
                <w:szCs w:val="16"/>
              </w:rPr>
              <w:t>O Emissions From Managed Soils – Inorganic N Fertilisers</w:t>
            </w:r>
          </w:p>
        </w:tc>
        <w:tc>
          <w:tcPr>
            <w:tcW w:w="571" w:type="dxa"/>
            <w:tcBorders>
              <w:top w:val="single" w:sz="4" w:space="0" w:color="365F91"/>
              <w:bottom w:val="single" w:sz="4" w:space="0" w:color="365F91"/>
            </w:tcBorders>
            <w:shd w:val="clear" w:color="auto" w:fill="auto"/>
          </w:tcPr>
          <w:p w14:paraId="2CDDF5E8" w14:textId="77777777" w:rsidR="00DE64BC" w:rsidRPr="00256982" w:rsidRDefault="00DE64BC" w:rsidP="00A808C7">
            <w:pPr>
              <w:pStyle w:val="TableText"/>
              <w:spacing w:before="50" w:after="50"/>
              <w:jc w:val="center"/>
              <w:rPr>
                <w:rFonts w:cs="Arial"/>
                <w:szCs w:val="16"/>
              </w:rPr>
            </w:pPr>
            <w:r w:rsidRPr="00256982">
              <w:rPr>
                <w:rFonts w:cs="Arial"/>
                <w:color w:val="000000"/>
                <w:szCs w:val="16"/>
              </w:rPr>
              <w:t>N</w:t>
            </w:r>
            <w:r w:rsidRPr="00256982">
              <w:rPr>
                <w:rFonts w:cs="Arial"/>
                <w:color w:val="000000"/>
                <w:szCs w:val="16"/>
                <w:vertAlign w:val="subscript"/>
              </w:rPr>
              <w:t>2</w:t>
            </w:r>
            <w:r w:rsidRPr="00256982">
              <w:rPr>
                <w:rFonts w:cs="Arial"/>
                <w:color w:val="000000"/>
                <w:szCs w:val="16"/>
              </w:rPr>
              <w:t>O</w:t>
            </w:r>
          </w:p>
        </w:tc>
        <w:tc>
          <w:tcPr>
            <w:tcW w:w="999" w:type="dxa"/>
            <w:tcBorders>
              <w:top w:val="single" w:sz="4" w:space="0" w:color="365F91"/>
              <w:bottom w:val="single" w:sz="4" w:space="0" w:color="365F91"/>
            </w:tcBorders>
            <w:shd w:val="clear" w:color="auto" w:fill="auto"/>
            <w:noWrap/>
          </w:tcPr>
          <w:p w14:paraId="5A2F959A"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1,365.6</w:t>
            </w:r>
          </w:p>
        </w:tc>
        <w:tc>
          <w:tcPr>
            <w:tcW w:w="1142" w:type="dxa"/>
            <w:tcBorders>
              <w:top w:val="single" w:sz="4" w:space="0" w:color="365F91"/>
              <w:bottom w:val="single" w:sz="4" w:space="0" w:color="365F91"/>
            </w:tcBorders>
            <w:shd w:val="clear" w:color="auto" w:fill="auto"/>
            <w:noWrap/>
          </w:tcPr>
          <w:p w14:paraId="6E8B2A5B"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1.2</w:t>
            </w:r>
          </w:p>
        </w:tc>
        <w:tc>
          <w:tcPr>
            <w:tcW w:w="1022" w:type="dxa"/>
            <w:tcBorders>
              <w:top w:val="single" w:sz="4" w:space="0" w:color="365F91"/>
              <w:bottom w:val="single" w:sz="4" w:space="0" w:color="365F91"/>
            </w:tcBorders>
            <w:shd w:val="clear" w:color="auto" w:fill="auto"/>
            <w:noWrap/>
          </w:tcPr>
          <w:p w14:paraId="6BE4D719"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81.3</w:t>
            </w:r>
          </w:p>
        </w:tc>
      </w:tr>
      <w:tr w:rsidR="00DE64BC" w:rsidRPr="00256982" w14:paraId="3A27704B" w14:textId="77777777" w:rsidTr="00960A10">
        <w:tc>
          <w:tcPr>
            <w:tcW w:w="994" w:type="dxa"/>
            <w:tcBorders>
              <w:top w:val="single" w:sz="4" w:space="0" w:color="365F91"/>
              <w:bottom w:val="single" w:sz="4" w:space="0" w:color="365F91"/>
            </w:tcBorders>
          </w:tcPr>
          <w:p w14:paraId="7BD597F5" w14:textId="77777777" w:rsidR="00DE64BC" w:rsidRPr="00256982" w:rsidRDefault="00DE64BC" w:rsidP="00A808C7">
            <w:pPr>
              <w:pStyle w:val="TableText"/>
              <w:spacing w:before="50" w:after="50"/>
              <w:rPr>
                <w:rFonts w:cs="Arial"/>
                <w:szCs w:val="16"/>
              </w:rPr>
            </w:pPr>
            <w:r w:rsidRPr="00256982">
              <w:rPr>
                <w:rFonts w:cs="Arial"/>
                <w:color w:val="000000"/>
                <w:szCs w:val="16"/>
              </w:rPr>
              <w:t>3.B.1.1</w:t>
            </w:r>
          </w:p>
        </w:tc>
        <w:tc>
          <w:tcPr>
            <w:tcW w:w="3834" w:type="dxa"/>
            <w:tcBorders>
              <w:top w:val="single" w:sz="4" w:space="0" w:color="365F91"/>
              <w:bottom w:val="single" w:sz="4" w:space="0" w:color="365F91"/>
            </w:tcBorders>
            <w:shd w:val="clear" w:color="auto" w:fill="auto"/>
          </w:tcPr>
          <w:p w14:paraId="4C338B3D" w14:textId="77777777" w:rsidR="00DE64BC" w:rsidRPr="00256982" w:rsidRDefault="00DE64BC" w:rsidP="00A808C7">
            <w:pPr>
              <w:pStyle w:val="TableText"/>
              <w:spacing w:before="50" w:after="50"/>
              <w:rPr>
                <w:rFonts w:cs="Arial"/>
                <w:szCs w:val="16"/>
              </w:rPr>
            </w:pPr>
            <w:r w:rsidRPr="00256982">
              <w:rPr>
                <w:rFonts w:cs="Arial"/>
                <w:color w:val="000000"/>
                <w:szCs w:val="16"/>
              </w:rPr>
              <w:t>Option A – Dairy Cattle</w:t>
            </w:r>
          </w:p>
        </w:tc>
        <w:tc>
          <w:tcPr>
            <w:tcW w:w="571" w:type="dxa"/>
            <w:tcBorders>
              <w:top w:val="single" w:sz="4" w:space="0" w:color="365F91"/>
              <w:bottom w:val="single" w:sz="4" w:space="0" w:color="365F91"/>
            </w:tcBorders>
            <w:shd w:val="clear" w:color="auto" w:fill="auto"/>
          </w:tcPr>
          <w:p w14:paraId="7071791A" w14:textId="77777777" w:rsidR="00DE64BC" w:rsidRPr="00256982" w:rsidRDefault="00DE64BC" w:rsidP="00A808C7">
            <w:pPr>
              <w:pStyle w:val="TableText"/>
              <w:spacing w:before="50" w:after="50"/>
              <w:jc w:val="center"/>
              <w:rPr>
                <w:rFonts w:cs="Arial"/>
                <w:szCs w:val="16"/>
              </w:rPr>
            </w:pPr>
            <w:r w:rsidRPr="00256982">
              <w:rPr>
                <w:rFonts w:cs="Arial"/>
                <w:color w:val="000000"/>
                <w:szCs w:val="16"/>
              </w:rPr>
              <w:t>CH</w:t>
            </w:r>
            <w:r w:rsidRPr="00256982">
              <w:rPr>
                <w:rFonts w:cs="Arial"/>
                <w:color w:val="000000"/>
                <w:szCs w:val="16"/>
                <w:vertAlign w:val="subscript"/>
              </w:rPr>
              <w:t>4</w:t>
            </w:r>
          </w:p>
        </w:tc>
        <w:tc>
          <w:tcPr>
            <w:tcW w:w="999" w:type="dxa"/>
            <w:tcBorders>
              <w:top w:val="single" w:sz="4" w:space="0" w:color="365F91"/>
              <w:bottom w:val="single" w:sz="4" w:space="0" w:color="365F91"/>
            </w:tcBorders>
            <w:shd w:val="clear" w:color="auto" w:fill="auto"/>
            <w:noWrap/>
          </w:tcPr>
          <w:p w14:paraId="4C3FC165"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1,255.8</w:t>
            </w:r>
          </w:p>
        </w:tc>
        <w:tc>
          <w:tcPr>
            <w:tcW w:w="1142" w:type="dxa"/>
            <w:tcBorders>
              <w:top w:val="single" w:sz="4" w:space="0" w:color="365F91"/>
              <w:bottom w:val="single" w:sz="4" w:space="0" w:color="365F91"/>
            </w:tcBorders>
            <w:shd w:val="clear" w:color="auto" w:fill="auto"/>
            <w:noWrap/>
          </w:tcPr>
          <w:p w14:paraId="44EB2FB6"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1.1</w:t>
            </w:r>
          </w:p>
        </w:tc>
        <w:tc>
          <w:tcPr>
            <w:tcW w:w="1022" w:type="dxa"/>
            <w:tcBorders>
              <w:top w:val="single" w:sz="4" w:space="0" w:color="365F91"/>
              <w:bottom w:val="single" w:sz="4" w:space="0" w:color="365F91"/>
            </w:tcBorders>
            <w:shd w:val="clear" w:color="auto" w:fill="auto"/>
            <w:noWrap/>
          </w:tcPr>
          <w:p w14:paraId="0D9221CD"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82.4</w:t>
            </w:r>
          </w:p>
        </w:tc>
      </w:tr>
      <w:tr w:rsidR="00DE64BC" w:rsidRPr="00256982" w14:paraId="690EF8CD" w14:textId="77777777" w:rsidTr="00960A10">
        <w:tc>
          <w:tcPr>
            <w:tcW w:w="994" w:type="dxa"/>
            <w:tcBorders>
              <w:top w:val="single" w:sz="4" w:space="0" w:color="365F91"/>
              <w:bottom w:val="single" w:sz="4" w:space="0" w:color="365F91"/>
            </w:tcBorders>
          </w:tcPr>
          <w:p w14:paraId="160BB747" w14:textId="77777777" w:rsidR="00DE64BC" w:rsidRPr="00256982" w:rsidRDefault="00DE64BC" w:rsidP="00A808C7">
            <w:pPr>
              <w:pStyle w:val="TableText"/>
              <w:spacing w:before="50" w:after="50"/>
              <w:rPr>
                <w:rFonts w:cs="Arial"/>
                <w:szCs w:val="16"/>
              </w:rPr>
            </w:pPr>
            <w:r w:rsidRPr="00256982">
              <w:rPr>
                <w:rFonts w:cs="Arial"/>
                <w:color w:val="000000"/>
                <w:szCs w:val="16"/>
              </w:rPr>
              <w:t>4.C.1</w:t>
            </w:r>
          </w:p>
        </w:tc>
        <w:tc>
          <w:tcPr>
            <w:tcW w:w="3834" w:type="dxa"/>
            <w:tcBorders>
              <w:top w:val="single" w:sz="4" w:space="0" w:color="365F91"/>
              <w:bottom w:val="single" w:sz="4" w:space="0" w:color="365F91"/>
            </w:tcBorders>
            <w:shd w:val="clear" w:color="auto" w:fill="auto"/>
          </w:tcPr>
          <w:p w14:paraId="5A82E3F3" w14:textId="77777777" w:rsidR="00DE64BC" w:rsidRPr="00256982" w:rsidRDefault="00DE64BC" w:rsidP="00A808C7">
            <w:pPr>
              <w:pStyle w:val="TableText"/>
              <w:spacing w:before="50" w:after="50"/>
              <w:rPr>
                <w:rFonts w:cs="Arial"/>
                <w:szCs w:val="16"/>
              </w:rPr>
            </w:pPr>
            <w:r w:rsidRPr="00256982">
              <w:rPr>
                <w:rFonts w:cs="Arial"/>
                <w:color w:val="000000"/>
                <w:szCs w:val="16"/>
              </w:rPr>
              <w:t>Grassland – Grassland Remaining Grassland</w:t>
            </w:r>
          </w:p>
        </w:tc>
        <w:tc>
          <w:tcPr>
            <w:tcW w:w="571" w:type="dxa"/>
            <w:tcBorders>
              <w:top w:val="single" w:sz="4" w:space="0" w:color="365F91"/>
              <w:bottom w:val="single" w:sz="4" w:space="0" w:color="365F91"/>
            </w:tcBorders>
            <w:shd w:val="clear" w:color="auto" w:fill="auto"/>
          </w:tcPr>
          <w:p w14:paraId="6A6FD437" w14:textId="77777777" w:rsidR="00DE64BC" w:rsidRPr="00256982" w:rsidRDefault="00DE64BC" w:rsidP="00A808C7">
            <w:pPr>
              <w:pStyle w:val="TableText"/>
              <w:spacing w:before="50" w:after="50"/>
              <w:jc w:val="center"/>
              <w:rPr>
                <w:rFonts w:cs="Arial"/>
                <w:szCs w:val="16"/>
              </w:rPr>
            </w:pPr>
            <w:r w:rsidRPr="00256982">
              <w:rPr>
                <w:rFonts w:cs="Arial"/>
                <w:color w:val="000000"/>
                <w:szCs w:val="16"/>
              </w:rPr>
              <w:t>CO</w:t>
            </w:r>
            <w:r w:rsidRPr="00256982">
              <w:rPr>
                <w:rFonts w:cs="Arial"/>
                <w:color w:val="000000"/>
                <w:szCs w:val="16"/>
                <w:vertAlign w:val="subscript"/>
              </w:rPr>
              <w:t>2</w:t>
            </w:r>
          </w:p>
        </w:tc>
        <w:tc>
          <w:tcPr>
            <w:tcW w:w="999" w:type="dxa"/>
            <w:tcBorders>
              <w:top w:val="single" w:sz="4" w:space="0" w:color="365F91"/>
              <w:bottom w:val="single" w:sz="4" w:space="0" w:color="365F91"/>
            </w:tcBorders>
            <w:shd w:val="clear" w:color="auto" w:fill="auto"/>
            <w:noWrap/>
          </w:tcPr>
          <w:p w14:paraId="5F2D343F"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1,215.1</w:t>
            </w:r>
          </w:p>
        </w:tc>
        <w:tc>
          <w:tcPr>
            <w:tcW w:w="1142" w:type="dxa"/>
            <w:tcBorders>
              <w:top w:val="single" w:sz="4" w:space="0" w:color="365F91"/>
              <w:bottom w:val="single" w:sz="4" w:space="0" w:color="365F91"/>
            </w:tcBorders>
            <w:shd w:val="clear" w:color="auto" w:fill="auto"/>
            <w:noWrap/>
          </w:tcPr>
          <w:p w14:paraId="643A2ECC"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1.1</w:t>
            </w:r>
          </w:p>
        </w:tc>
        <w:tc>
          <w:tcPr>
            <w:tcW w:w="1022" w:type="dxa"/>
            <w:tcBorders>
              <w:top w:val="single" w:sz="4" w:space="0" w:color="365F91"/>
              <w:bottom w:val="single" w:sz="4" w:space="0" w:color="365F91"/>
            </w:tcBorders>
            <w:shd w:val="clear" w:color="auto" w:fill="auto"/>
            <w:noWrap/>
          </w:tcPr>
          <w:p w14:paraId="2722471D"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83.5</w:t>
            </w:r>
          </w:p>
        </w:tc>
      </w:tr>
      <w:tr w:rsidR="00DE64BC" w:rsidRPr="00256982" w14:paraId="459F61F9" w14:textId="77777777" w:rsidTr="00960A10">
        <w:tc>
          <w:tcPr>
            <w:tcW w:w="994" w:type="dxa"/>
            <w:tcBorders>
              <w:top w:val="single" w:sz="4" w:space="0" w:color="365F91"/>
              <w:bottom w:val="single" w:sz="4" w:space="0" w:color="365F91"/>
            </w:tcBorders>
          </w:tcPr>
          <w:p w14:paraId="7E6BC56F" w14:textId="77777777" w:rsidR="00DE64BC" w:rsidRPr="00256982" w:rsidRDefault="00DE64BC" w:rsidP="00A808C7">
            <w:pPr>
              <w:pStyle w:val="TableText"/>
              <w:spacing w:before="50" w:after="50"/>
              <w:rPr>
                <w:rFonts w:cs="Arial"/>
                <w:szCs w:val="16"/>
              </w:rPr>
            </w:pPr>
            <w:r w:rsidRPr="00256982">
              <w:rPr>
                <w:rFonts w:cs="Arial"/>
                <w:color w:val="000000"/>
                <w:szCs w:val="16"/>
              </w:rPr>
              <w:t>1.A.4.c</w:t>
            </w:r>
          </w:p>
        </w:tc>
        <w:tc>
          <w:tcPr>
            <w:tcW w:w="3834" w:type="dxa"/>
            <w:tcBorders>
              <w:top w:val="single" w:sz="4" w:space="0" w:color="365F91"/>
              <w:bottom w:val="single" w:sz="4" w:space="0" w:color="365F91"/>
            </w:tcBorders>
            <w:shd w:val="clear" w:color="auto" w:fill="auto"/>
          </w:tcPr>
          <w:p w14:paraId="078221EC" w14:textId="77777777" w:rsidR="00DE64BC" w:rsidRPr="00256982" w:rsidRDefault="00DE64BC" w:rsidP="00A808C7">
            <w:pPr>
              <w:pStyle w:val="TableText"/>
              <w:spacing w:before="50" w:after="50"/>
              <w:rPr>
                <w:rFonts w:cs="Arial"/>
                <w:szCs w:val="16"/>
              </w:rPr>
            </w:pPr>
            <w:r w:rsidRPr="00256982">
              <w:rPr>
                <w:rFonts w:cs="Arial"/>
                <w:color w:val="000000"/>
                <w:szCs w:val="16"/>
              </w:rPr>
              <w:t>Other Sectors – Agriculture/Forestry/Fishing Liquid Fuels</w:t>
            </w:r>
          </w:p>
        </w:tc>
        <w:tc>
          <w:tcPr>
            <w:tcW w:w="571" w:type="dxa"/>
            <w:tcBorders>
              <w:top w:val="single" w:sz="4" w:space="0" w:color="365F91"/>
              <w:bottom w:val="single" w:sz="4" w:space="0" w:color="365F91"/>
            </w:tcBorders>
            <w:shd w:val="clear" w:color="auto" w:fill="auto"/>
          </w:tcPr>
          <w:p w14:paraId="265C121C" w14:textId="77777777" w:rsidR="00DE64BC" w:rsidRPr="00256982" w:rsidRDefault="00DE64BC" w:rsidP="00A808C7">
            <w:pPr>
              <w:pStyle w:val="TableText"/>
              <w:spacing w:before="50" w:after="50"/>
              <w:jc w:val="center"/>
              <w:rPr>
                <w:rFonts w:cs="Arial"/>
                <w:szCs w:val="16"/>
              </w:rPr>
            </w:pPr>
            <w:r w:rsidRPr="00256982">
              <w:rPr>
                <w:rFonts w:cs="Arial"/>
                <w:color w:val="000000"/>
                <w:szCs w:val="16"/>
              </w:rPr>
              <w:t>CO</w:t>
            </w:r>
            <w:r w:rsidRPr="00256982">
              <w:rPr>
                <w:rFonts w:cs="Arial"/>
                <w:color w:val="000000"/>
                <w:szCs w:val="16"/>
                <w:vertAlign w:val="subscript"/>
              </w:rPr>
              <w:t>2</w:t>
            </w:r>
          </w:p>
        </w:tc>
        <w:tc>
          <w:tcPr>
            <w:tcW w:w="999" w:type="dxa"/>
            <w:tcBorders>
              <w:top w:val="single" w:sz="4" w:space="0" w:color="365F91"/>
              <w:bottom w:val="single" w:sz="4" w:space="0" w:color="365F91"/>
            </w:tcBorders>
            <w:shd w:val="clear" w:color="auto" w:fill="auto"/>
            <w:noWrap/>
          </w:tcPr>
          <w:p w14:paraId="352F7891"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1,163.8</w:t>
            </w:r>
          </w:p>
        </w:tc>
        <w:tc>
          <w:tcPr>
            <w:tcW w:w="1142" w:type="dxa"/>
            <w:tcBorders>
              <w:top w:val="single" w:sz="4" w:space="0" w:color="365F91"/>
              <w:bottom w:val="single" w:sz="4" w:space="0" w:color="365F91"/>
            </w:tcBorders>
            <w:shd w:val="clear" w:color="auto" w:fill="auto"/>
            <w:noWrap/>
          </w:tcPr>
          <w:p w14:paraId="79311595"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1.0</w:t>
            </w:r>
          </w:p>
        </w:tc>
        <w:tc>
          <w:tcPr>
            <w:tcW w:w="1022" w:type="dxa"/>
            <w:tcBorders>
              <w:top w:val="single" w:sz="4" w:space="0" w:color="365F91"/>
              <w:bottom w:val="single" w:sz="4" w:space="0" w:color="365F91"/>
            </w:tcBorders>
            <w:shd w:val="clear" w:color="auto" w:fill="auto"/>
            <w:noWrap/>
          </w:tcPr>
          <w:p w14:paraId="6B15FD32"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84.5</w:t>
            </w:r>
          </w:p>
        </w:tc>
      </w:tr>
      <w:tr w:rsidR="00DE64BC" w:rsidRPr="00256982" w14:paraId="5C95C7CE" w14:textId="77777777" w:rsidTr="00960A10">
        <w:tc>
          <w:tcPr>
            <w:tcW w:w="994" w:type="dxa"/>
            <w:tcBorders>
              <w:top w:val="single" w:sz="4" w:space="0" w:color="365F91"/>
              <w:bottom w:val="single" w:sz="4" w:space="0" w:color="365F91"/>
            </w:tcBorders>
          </w:tcPr>
          <w:p w14:paraId="0E7E5C36" w14:textId="77777777" w:rsidR="00DE64BC" w:rsidRPr="00256982" w:rsidRDefault="00DE64BC" w:rsidP="00A808C7">
            <w:pPr>
              <w:pStyle w:val="TableText"/>
              <w:spacing w:before="50" w:after="50"/>
              <w:rPr>
                <w:rFonts w:cs="Arial"/>
                <w:szCs w:val="16"/>
              </w:rPr>
            </w:pPr>
            <w:r w:rsidRPr="00256982">
              <w:rPr>
                <w:rFonts w:cs="Arial"/>
                <w:color w:val="000000"/>
                <w:szCs w:val="16"/>
              </w:rPr>
              <w:t>1.A.3.a</w:t>
            </w:r>
          </w:p>
        </w:tc>
        <w:tc>
          <w:tcPr>
            <w:tcW w:w="3834" w:type="dxa"/>
            <w:tcBorders>
              <w:top w:val="single" w:sz="4" w:space="0" w:color="365F91"/>
              <w:bottom w:val="single" w:sz="4" w:space="0" w:color="365F91"/>
            </w:tcBorders>
            <w:shd w:val="clear" w:color="auto" w:fill="auto"/>
          </w:tcPr>
          <w:p w14:paraId="20A4336C" w14:textId="77777777" w:rsidR="00DE64BC" w:rsidRPr="00256982" w:rsidRDefault="00DE64BC" w:rsidP="00A808C7">
            <w:pPr>
              <w:pStyle w:val="TableText"/>
              <w:spacing w:before="50" w:after="50"/>
              <w:rPr>
                <w:rFonts w:cs="Arial"/>
                <w:szCs w:val="16"/>
              </w:rPr>
            </w:pPr>
            <w:r w:rsidRPr="00256982">
              <w:rPr>
                <w:rFonts w:cs="Arial"/>
                <w:color w:val="000000"/>
                <w:szCs w:val="16"/>
              </w:rPr>
              <w:t>Domestic Aviation – Jet Kerosene</w:t>
            </w:r>
          </w:p>
        </w:tc>
        <w:tc>
          <w:tcPr>
            <w:tcW w:w="571" w:type="dxa"/>
            <w:tcBorders>
              <w:top w:val="single" w:sz="4" w:space="0" w:color="365F91"/>
              <w:bottom w:val="single" w:sz="4" w:space="0" w:color="365F91"/>
            </w:tcBorders>
            <w:shd w:val="clear" w:color="auto" w:fill="auto"/>
          </w:tcPr>
          <w:p w14:paraId="56558BBA" w14:textId="77777777" w:rsidR="00DE64BC" w:rsidRPr="00256982" w:rsidRDefault="00DE64BC" w:rsidP="00A808C7">
            <w:pPr>
              <w:pStyle w:val="TableText"/>
              <w:spacing w:before="50" w:after="50"/>
              <w:jc w:val="center"/>
              <w:rPr>
                <w:rFonts w:cs="Arial"/>
                <w:szCs w:val="16"/>
              </w:rPr>
            </w:pPr>
            <w:r w:rsidRPr="00256982">
              <w:rPr>
                <w:rFonts w:cs="Arial"/>
                <w:color w:val="000000"/>
                <w:szCs w:val="16"/>
              </w:rPr>
              <w:t>CO</w:t>
            </w:r>
            <w:r w:rsidRPr="00256982">
              <w:rPr>
                <w:rFonts w:cs="Arial"/>
                <w:color w:val="000000"/>
                <w:szCs w:val="16"/>
                <w:vertAlign w:val="subscript"/>
              </w:rPr>
              <w:t>2</w:t>
            </w:r>
          </w:p>
        </w:tc>
        <w:tc>
          <w:tcPr>
            <w:tcW w:w="999" w:type="dxa"/>
            <w:tcBorders>
              <w:top w:val="single" w:sz="4" w:space="0" w:color="365F91"/>
              <w:bottom w:val="single" w:sz="4" w:space="0" w:color="365F91"/>
            </w:tcBorders>
            <w:shd w:val="clear" w:color="auto" w:fill="auto"/>
            <w:noWrap/>
          </w:tcPr>
          <w:p w14:paraId="2ADE4214"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961.7</w:t>
            </w:r>
          </w:p>
        </w:tc>
        <w:tc>
          <w:tcPr>
            <w:tcW w:w="1142" w:type="dxa"/>
            <w:tcBorders>
              <w:top w:val="single" w:sz="4" w:space="0" w:color="365F91"/>
              <w:bottom w:val="single" w:sz="4" w:space="0" w:color="365F91"/>
            </w:tcBorders>
            <w:shd w:val="clear" w:color="auto" w:fill="auto"/>
            <w:noWrap/>
          </w:tcPr>
          <w:p w14:paraId="2B99B523"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0.8</w:t>
            </w:r>
          </w:p>
        </w:tc>
        <w:tc>
          <w:tcPr>
            <w:tcW w:w="1022" w:type="dxa"/>
            <w:tcBorders>
              <w:top w:val="single" w:sz="4" w:space="0" w:color="365F91"/>
              <w:bottom w:val="single" w:sz="4" w:space="0" w:color="365F91"/>
            </w:tcBorders>
            <w:shd w:val="clear" w:color="auto" w:fill="auto"/>
            <w:noWrap/>
          </w:tcPr>
          <w:p w14:paraId="42C6B836"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85.3</w:t>
            </w:r>
          </w:p>
        </w:tc>
      </w:tr>
      <w:tr w:rsidR="00DE64BC" w:rsidRPr="00256982" w14:paraId="362CCA11" w14:textId="77777777" w:rsidTr="00960A10">
        <w:tc>
          <w:tcPr>
            <w:tcW w:w="994" w:type="dxa"/>
            <w:tcBorders>
              <w:top w:val="single" w:sz="4" w:space="0" w:color="365F91"/>
              <w:bottom w:val="single" w:sz="4" w:space="0" w:color="365F91"/>
            </w:tcBorders>
          </w:tcPr>
          <w:p w14:paraId="791F2205" w14:textId="77777777" w:rsidR="00DE64BC" w:rsidRPr="00256982" w:rsidRDefault="00DE64BC" w:rsidP="00A808C7">
            <w:pPr>
              <w:pStyle w:val="TableText"/>
              <w:spacing w:before="50" w:after="50"/>
              <w:rPr>
                <w:rFonts w:cs="Arial"/>
                <w:szCs w:val="16"/>
              </w:rPr>
            </w:pPr>
            <w:r w:rsidRPr="00256982">
              <w:rPr>
                <w:rFonts w:cs="Arial"/>
                <w:color w:val="000000"/>
                <w:szCs w:val="16"/>
              </w:rPr>
              <w:t>1.A.2.e</w:t>
            </w:r>
          </w:p>
        </w:tc>
        <w:tc>
          <w:tcPr>
            <w:tcW w:w="3834" w:type="dxa"/>
            <w:tcBorders>
              <w:top w:val="single" w:sz="4" w:space="0" w:color="365F91"/>
              <w:bottom w:val="single" w:sz="4" w:space="0" w:color="365F91"/>
            </w:tcBorders>
            <w:shd w:val="clear" w:color="auto" w:fill="auto"/>
          </w:tcPr>
          <w:p w14:paraId="3A690125" w14:textId="77777777" w:rsidR="00DE64BC" w:rsidRPr="00256982" w:rsidRDefault="00DE64BC" w:rsidP="00A808C7">
            <w:pPr>
              <w:pStyle w:val="TableText"/>
              <w:spacing w:before="50" w:after="50"/>
              <w:rPr>
                <w:rFonts w:cs="Arial"/>
                <w:szCs w:val="16"/>
              </w:rPr>
            </w:pPr>
            <w:r w:rsidRPr="00256982">
              <w:rPr>
                <w:rFonts w:cs="Arial"/>
                <w:color w:val="000000"/>
                <w:szCs w:val="16"/>
              </w:rPr>
              <w:t>Manufacturing Industries and Construction – Food Processing, Beverages and Tobacco Gaseous Fuels</w:t>
            </w:r>
          </w:p>
        </w:tc>
        <w:tc>
          <w:tcPr>
            <w:tcW w:w="571" w:type="dxa"/>
            <w:tcBorders>
              <w:top w:val="single" w:sz="4" w:space="0" w:color="365F91"/>
              <w:bottom w:val="single" w:sz="4" w:space="0" w:color="365F91"/>
            </w:tcBorders>
            <w:shd w:val="clear" w:color="auto" w:fill="auto"/>
          </w:tcPr>
          <w:p w14:paraId="695DAE7F" w14:textId="77777777" w:rsidR="00DE64BC" w:rsidRPr="00256982" w:rsidRDefault="00DE64BC" w:rsidP="00A808C7">
            <w:pPr>
              <w:pStyle w:val="TableText"/>
              <w:spacing w:before="50" w:after="50"/>
              <w:jc w:val="center"/>
              <w:rPr>
                <w:rFonts w:cs="Arial"/>
                <w:szCs w:val="16"/>
              </w:rPr>
            </w:pPr>
            <w:r w:rsidRPr="00256982">
              <w:rPr>
                <w:rFonts w:cs="Arial"/>
                <w:color w:val="000000"/>
                <w:szCs w:val="16"/>
              </w:rPr>
              <w:t>CO</w:t>
            </w:r>
            <w:r w:rsidRPr="00256982">
              <w:rPr>
                <w:rFonts w:cs="Arial"/>
                <w:color w:val="000000"/>
                <w:szCs w:val="16"/>
                <w:vertAlign w:val="subscript"/>
              </w:rPr>
              <w:t>2</w:t>
            </w:r>
          </w:p>
        </w:tc>
        <w:tc>
          <w:tcPr>
            <w:tcW w:w="999" w:type="dxa"/>
            <w:tcBorders>
              <w:top w:val="single" w:sz="4" w:space="0" w:color="365F91"/>
              <w:bottom w:val="single" w:sz="4" w:space="0" w:color="365F91"/>
            </w:tcBorders>
            <w:shd w:val="clear" w:color="auto" w:fill="auto"/>
            <w:noWrap/>
          </w:tcPr>
          <w:p w14:paraId="49FC37F8"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954.9</w:t>
            </w:r>
          </w:p>
        </w:tc>
        <w:tc>
          <w:tcPr>
            <w:tcW w:w="1142" w:type="dxa"/>
            <w:tcBorders>
              <w:top w:val="single" w:sz="4" w:space="0" w:color="365F91"/>
              <w:bottom w:val="single" w:sz="4" w:space="0" w:color="365F91"/>
            </w:tcBorders>
            <w:shd w:val="clear" w:color="auto" w:fill="auto"/>
            <w:noWrap/>
          </w:tcPr>
          <w:p w14:paraId="6BFC0C45"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0.8</w:t>
            </w:r>
          </w:p>
        </w:tc>
        <w:tc>
          <w:tcPr>
            <w:tcW w:w="1022" w:type="dxa"/>
            <w:tcBorders>
              <w:top w:val="single" w:sz="4" w:space="0" w:color="365F91"/>
              <w:bottom w:val="single" w:sz="4" w:space="0" w:color="365F91"/>
            </w:tcBorders>
            <w:shd w:val="clear" w:color="auto" w:fill="auto"/>
            <w:noWrap/>
          </w:tcPr>
          <w:p w14:paraId="3F6F917A"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86.2</w:t>
            </w:r>
          </w:p>
        </w:tc>
      </w:tr>
      <w:tr w:rsidR="00DE64BC" w:rsidRPr="00256982" w14:paraId="5B849B3D" w14:textId="77777777" w:rsidTr="00960A10">
        <w:tc>
          <w:tcPr>
            <w:tcW w:w="994" w:type="dxa"/>
            <w:tcBorders>
              <w:top w:val="single" w:sz="4" w:space="0" w:color="365F91"/>
              <w:bottom w:val="single" w:sz="4" w:space="0" w:color="365F91"/>
            </w:tcBorders>
          </w:tcPr>
          <w:p w14:paraId="6F50B25C" w14:textId="77777777" w:rsidR="00DE64BC" w:rsidRPr="00256982" w:rsidRDefault="00DE64BC" w:rsidP="00A808C7">
            <w:pPr>
              <w:pStyle w:val="TableText"/>
              <w:keepNext/>
              <w:spacing w:before="50" w:after="50"/>
              <w:rPr>
                <w:rFonts w:cs="Arial"/>
                <w:szCs w:val="16"/>
              </w:rPr>
            </w:pPr>
            <w:r w:rsidRPr="00256982">
              <w:rPr>
                <w:rFonts w:cs="Arial"/>
                <w:color w:val="000000"/>
                <w:szCs w:val="16"/>
              </w:rPr>
              <w:t>3.D.2.1</w:t>
            </w:r>
          </w:p>
        </w:tc>
        <w:tc>
          <w:tcPr>
            <w:tcW w:w="3834" w:type="dxa"/>
            <w:tcBorders>
              <w:top w:val="single" w:sz="4" w:space="0" w:color="365F91"/>
              <w:bottom w:val="single" w:sz="4" w:space="0" w:color="365F91"/>
            </w:tcBorders>
            <w:shd w:val="clear" w:color="auto" w:fill="auto"/>
          </w:tcPr>
          <w:p w14:paraId="05D75881" w14:textId="77777777" w:rsidR="00DE64BC" w:rsidRPr="00256982" w:rsidRDefault="00DE64BC" w:rsidP="00A808C7">
            <w:pPr>
              <w:pStyle w:val="TableText"/>
              <w:spacing w:before="50" w:after="50"/>
              <w:rPr>
                <w:rFonts w:cs="Arial"/>
                <w:szCs w:val="16"/>
              </w:rPr>
            </w:pPr>
            <w:r w:rsidRPr="00256982">
              <w:rPr>
                <w:rFonts w:cs="Arial"/>
                <w:color w:val="000000"/>
                <w:szCs w:val="16"/>
              </w:rPr>
              <w:t>Indirect N</w:t>
            </w:r>
            <w:r w:rsidRPr="00256982">
              <w:rPr>
                <w:rFonts w:cs="Arial"/>
                <w:color w:val="000000"/>
                <w:szCs w:val="16"/>
                <w:vertAlign w:val="subscript"/>
              </w:rPr>
              <w:t>2</w:t>
            </w:r>
            <w:r w:rsidRPr="00256982">
              <w:rPr>
                <w:rFonts w:cs="Arial"/>
                <w:color w:val="000000"/>
                <w:szCs w:val="16"/>
              </w:rPr>
              <w:t>O Emissions From Managed Soils – Atmospheric Deposition</w:t>
            </w:r>
          </w:p>
        </w:tc>
        <w:tc>
          <w:tcPr>
            <w:tcW w:w="571" w:type="dxa"/>
            <w:tcBorders>
              <w:top w:val="single" w:sz="4" w:space="0" w:color="365F91"/>
              <w:bottom w:val="single" w:sz="4" w:space="0" w:color="365F91"/>
            </w:tcBorders>
            <w:shd w:val="clear" w:color="auto" w:fill="auto"/>
          </w:tcPr>
          <w:p w14:paraId="316B01B0" w14:textId="77777777" w:rsidR="00DE64BC" w:rsidRPr="00256982" w:rsidRDefault="00DE64BC" w:rsidP="00A808C7">
            <w:pPr>
              <w:pStyle w:val="TableText"/>
              <w:spacing w:before="50" w:after="50"/>
              <w:jc w:val="center"/>
              <w:rPr>
                <w:rFonts w:cs="Arial"/>
                <w:szCs w:val="16"/>
              </w:rPr>
            </w:pPr>
            <w:r w:rsidRPr="00256982">
              <w:rPr>
                <w:rFonts w:cs="Arial"/>
                <w:color w:val="000000"/>
                <w:szCs w:val="16"/>
              </w:rPr>
              <w:t>N</w:t>
            </w:r>
            <w:r w:rsidRPr="00256982">
              <w:rPr>
                <w:rFonts w:cs="Arial"/>
                <w:color w:val="000000"/>
                <w:szCs w:val="16"/>
                <w:vertAlign w:val="subscript"/>
              </w:rPr>
              <w:t>2</w:t>
            </w:r>
            <w:r w:rsidRPr="00256982">
              <w:rPr>
                <w:rFonts w:cs="Arial"/>
                <w:color w:val="000000"/>
                <w:szCs w:val="16"/>
              </w:rPr>
              <w:t>O</w:t>
            </w:r>
          </w:p>
        </w:tc>
        <w:tc>
          <w:tcPr>
            <w:tcW w:w="999" w:type="dxa"/>
            <w:tcBorders>
              <w:top w:val="single" w:sz="4" w:space="0" w:color="365F91"/>
              <w:bottom w:val="single" w:sz="4" w:space="0" w:color="365F91"/>
            </w:tcBorders>
            <w:shd w:val="clear" w:color="auto" w:fill="auto"/>
            <w:noWrap/>
          </w:tcPr>
          <w:p w14:paraId="712C98F2"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906.8</w:t>
            </w:r>
          </w:p>
        </w:tc>
        <w:tc>
          <w:tcPr>
            <w:tcW w:w="1142" w:type="dxa"/>
            <w:tcBorders>
              <w:top w:val="single" w:sz="4" w:space="0" w:color="365F91"/>
              <w:bottom w:val="single" w:sz="4" w:space="0" w:color="365F91"/>
            </w:tcBorders>
            <w:shd w:val="clear" w:color="auto" w:fill="auto"/>
            <w:noWrap/>
          </w:tcPr>
          <w:p w14:paraId="56F47E37"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0.8</w:t>
            </w:r>
          </w:p>
        </w:tc>
        <w:tc>
          <w:tcPr>
            <w:tcW w:w="1022" w:type="dxa"/>
            <w:tcBorders>
              <w:top w:val="single" w:sz="4" w:space="0" w:color="365F91"/>
              <w:bottom w:val="single" w:sz="4" w:space="0" w:color="365F91"/>
            </w:tcBorders>
            <w:shd w:val="clear" w:color="auto" w:fill="auto"/>
            <w:noWrap/>
          </w:tcPr>
          <w:p w14:paraId="7C9AD905"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87.0</w:t>
            </w:r>
          </w:p>
        </w:tc>
      </w:tr>
      <w:tr w:rsidR="00DE64BC" w:rsidRPr="00256982" w14:paraId="618E629D" w14:textId="77777777" w:rsidTr="00960A10">
        <w:tc>
          <w:tcPr>
            <w:tcW w:w="994" w:type="dxa"/>
            <w:tcBorders>
              <w:top w:val="single" w:sz="4" w:space="0" w:color="365F91"/>
              <w:bottom w:val="single" w:sz="4" w:space="0" w:color="365F91"/>
            </w:tcBorders>
          </w:tcPr>
          <w:p w14:paraId="094447E8" w14:textId="77777777" w:rsidR="00DE64BC" w:rsidRPr="00256982" w:rsidRDefault="00DE64BC" w:rsidP="00A808C7">
            <w:pPr>
              <w:pStyle w:val="TableText"/>
              <w:spacing w:before="50" w:after="50"/>
              <w:rPr>
                <w:rFonts w:cs="Arial"/>
                <w:szCs w:val="16"/>
              </w:rPr>
            </w:pPr>
            <w:r w:rsidRPr="00256982">
              <w:rPr>
                <w:rFonts w:cs="Arial"/>
                <w:color w:val="000000"/>
                <w:szCs w:val="16"/>
              </w:rPr>
              <w:t>1.A.1.b</w:t>
            </w:r>
          </w:p>
        </w:tc>
        <w:tc>
          <w:tcPr>
            <w:tcW w:w="3834" w:type="dxa"/>
            <w:tcBorders>
              <w:top w:val="single" w:sz="4" w:space="0" w:color="365F91"/>
              <w:bottom w:val="single" w:sz="4" w:space="0" w:color="365F91"/>
            </w:tcBorders>
            <w:shd w:val="clear" w:color="auto" w:fill="auto"/>
          </w:tcPr>
          <w:p w14:paraId="1B875378" w14:textId="77777777" w:rsidR="00DE64BC" w:rsidRPr="00256982" w:rsidRDefault="00DE64BC" w:rsidP="00A808C7">
            <w:pPr>
              <w:pStyle w:val="TableText"/>
              <w:spacing w:before="50" w:after="50"/>
              <w:rPr>
                <w:rFonts w:cs="Arial"/>
                <w:szCs w:val="16"/>
              </w:rPr>
            </w:pPr>
            <w:r w:rsidRPr="00256982">
              <w:rPr>
                <w:rFonts w:cs="Arial"/>
                <w:color w:val="000000"/>
                <w:szCs w:val="16"/>
              </w:rPr>
              <w:t>Energy Industries – Petroleum Refining Liquid Fuels</w:t>
            </w:r>
          </w:p>
        </w:tc>
        <w:tc>
          <w:tcPr>
            <w:tcW w:w="571" w:type="dxa"/>
            <w:tcBorders>
              <w:top w:val="single" w:sz="4" w:space="0" w:color="365F91"/>
              <w:bottom w:val="single" w:sz="4" w:space="0" w:color="365F91"/>
            </w:tcBorders>
            <w:shd w:val="clear" w:color="auto" w:fill="auto"/>
          </w:tcPr>
          <w:p w14:paraId="3199E14F" w14:textId="77777777" w:rsidR="00DE64BC" w:rsidRPr="00256982" w:rsidRDefault="00DE64BC" w:rsidP="00A808C7">
            <w:pPr>
              <w:pStyle w:val="TableText"/>
              <w:spacing w:before="50" w:after="50"/>
              <w:jc w:val="center"/>
              <w:rPr>
                <w:rFonts w:cs="Arial"/>
                <w:szCs w:val="16"/>
              </w:rPr>
            </w:pPr>
            <w:r w:rsidRPr="00256982">
              <w:rPr>
                <w:rFonts w:cs="Arial"/>
                <w:color w:val="000000"/>
                <w:szCs w:val="16"/>
              </w:rPr>
              <w:t>CO</w:t>
            </w:r>
            <w:r w:rsidRPr="00256982">
              <w:rPr>
                <w:rFonts w:cs="Arial"/>
                <w:color w:val="000000"/>
                <w:szCs w:val="16"/>
                <w:vertAlign w:val="subscript"/>
              </w:rPr>
              <w:t>2</w:t>
            </w:r>
          </w:p>
        </w:tc>
        <w:tc>
          <w:tcPr>
            <w:tcW w:w="999" w:type="dxa"/>
            <w:tcBorders>
              <w:top w:val="single" w:sz="4" w:space="0" w:color="365F91"/>
              <w:bottom w:val="single" w:sz="4" w:space="0" w:color="365F91"/>
            </w:tcBorders>
            <w:shd w:val="clear" w:color="auto" w:fill="auto"/>
            <w:noWrap/>
          </w:tcPr>
          <w:p w14:paraId="77656ECF"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674.5</w:t>
            </w:r>
          </w:p>
        </w:tc>
        <w:tc>
          <w:tcPr>
            <w:tcW w:w="1142" w:type="dxa"/>
            <w:tcBorders>
              <w:top w:val="single" w:sz="4" w:space="0" w:color="365F91"/>
              <w:bottom w:val="single" w:sz="4" w:space="0" w:color="365F91"/>
            </w:tcBorders>
            <w:shd w:val="clear" w:color="auto" w:fill="auto"/>
            <w:noWrap/>
          </w:tcPr>
          <w:p w14:paraId="0958F69C"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0.6</w:t>
            </w:r>
          </w:p>
        </w:tc>
        <w:tc>
          <w:tcPr>
            <w:tcW w:w="1022" w:type="dxa"/>
            <w:tcBorders>
              <w:top w:val="single" w:sz="4" w:space="0" w:color="365F91"/>
              <w:bottom w:val="single" w:sz="4" w:space="0" w:color="365F91"/>
            </w:tcBorders>
            <w:shd w:val="clear" w:color="auto" w:fill="auto"/>
            <w:noWrap/>
          </w:tcPr>
          <w:p w14:paraId="34F97871"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87.6</w:t>
            </w:r>
          </w:p>
        </w:tc>
      </w:tr>
      <w:tr w:rsidR="00DE64BC" w:rsidRPr="00256982" w14:paraId="7EED0556" w14:textId="77777777" w:rsidTr="00960A10">
        <w:tc>
          <w:tcPr>
            <w:tcW w:w="994" w:type="dxa"/>
            <w:tcBorders>
              <w:top w:val="single" w:sz="4" w:space="0" w:color="365F91"/>
              <w:bottom w:val="single" w:sz="4" w:space="0" w:color="365F91"/>
            </w:tcBorders>
          </w:tcPr>
          <w:p w14:paraId="2E69F987" w14:textId="77777777" w:rsidR="00DE64BC" w:rsidRPr="00256982" w:rsidRDefault="00DE64BC" w:rsidP="00A808C7">
            <w:pPr>
              <w:pStyle w:val="TableText"/>
              <w:spacing w:before="50" w:after="50"/>
              <w:rPr>
                <w:rFonts w:cs="Arial"/>
                <w:szCs w:val="16"/>
              </w:rPr>
            </w:pPr>
            <w:r w:rsidRPr="00256982">
              <w:rPr>
                <w:rFonts w:cs="Arial"/>
                <w:color w:val="000000"/>
                <w:szCs w:val="16"/>
              </w:rPr>
              <w:lastRenderedPageBreak/>
              <w:t>1.B.2.d</w:t>
            </w:r>
          </w:p>
        </w:tc>
        <w:tc>
          <w:tcPr>
            <w:tcW w:w="3834" w:type="dxa"/>
            <w:tcBorders>
              <w:top w:val="single" w:sz="4" w:space="0" w:color="365F91"/>
              <w:bottom w:val="single" w:sz="4" w:space="0" w:color="365F91"/>
            </w:tcBorders>
            <w:shd w:val="clear" w:color="auto" w:fill="auto"/>
          </w:tcPr>
          <w:p w14:paraId="32967760" w14:textId="77777777" w:rsidR="00DE64BC" w:rsidRPr="00256982" w:rsidRDefault="00DE64BC" w:rsidP="00A808C7">
            <w:pPr>
              <w:pStyle w:val="TableText"/>
              <w:spacing w:before="50" w:after="50"/>
              <w:rPr>
                <w:rFonts w:cs="Arial"/>
                <w:szCs w:val="16"/>
              </w:rPr>
            </w:pPr>
            <w:r w:rsidRPr="00256982">
              <w:rPr>
                <w:rFonts w:cs="Arial"/>
                <w:color w:val="000000"/>
                <w:szCs w:val="16"/>
              </w:rPr>
              <w:t>Other (please specify) – Geothermal</w:t>
            </w:r>
          </w:p>
        </w:tc>
        <w:tc>
          <w:tcPr>
            <w:tcW w:w="571" w:type="dxa"/>
            <w:tcBorders>
              <w:top w:val="single" w:sz="4" w:space="0" w:color="365F91"/>
              <w:bottom w:val="single" w:sz="4" w:space="0" w:color="365F91"/>
            </w:tcBorders>
            <w:shd w:val="clear" w:color="auto" w:fill="auto"/>
          </w:tcPr>
          <w:p w14:paraId="516E74B7" w14:textId="77777777" w:rsidR="00DE64BC" w:rsidRPr="00256982" w:rsidRDefault="00DE64BC" w:rsidP="00A808C7">
            <w:pPr>
              <w:pStyle w:val="TableText"/>
              <w:spacing w:before="50" w:after="50"/>
              <w:jc w:val="center"/>
              <w:rPr>
                <w:rFonts w:cs="Arial"/>
                <w:szCs w:val="16"/>
              </w:rPr>
            </w:pPr>
            <w:r w:rsidRPr="00256982">
              <w:rPr>
                <w:rFonts w:cs="Arial"/>
                <w:color w:val="000000"/>
                <w:szCs w:val="16"/>
              </w:rPr>
              <w:t>CO</w:t>
            </w:r>
            <w:r w:rsidRPr="00256982">
              <w:rPr>
                <w:rFonts w:cs="Arial"/>
                <w:color w:val="000000"/>
                <w:szCs w:val="16"/>
                <w:vertAlign w:val="subscript"/>
              </w:rPr>
              <w:t>2</w:t>
            </w:r>
          </w:p>
        </w:tc>
        <w:tc>
          <w:tcPr>
            <w:tcW w:w="999" w:type="dxa"/>
            <w:tcBorders>
              <w:top w:val="single" w:sz="4" w:space="0" w:color="365F91"/>
              <w:bottom w:val="single" w:sz="4" w:space="0" w:color="365F91"/>
            </w:tcBorders>
            <w:shd w:val="clear" w:color="auto" w:fill="auto"/>
            <w:noWrap/>
          </w:tcPr>
          <w:p w14:paraId="15807E54"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643.3</w:t>
            </w:r>
          </w:p>
        </w:tc>
        <w:tc>
          <w:tcPr>
            <w:tcW w:w="1142" w:type="dxa"/>
            <w:tcBorders>
              <w:top w:val="single" w:sz="4" w:space="0" w:color="365F91"/>
              <w:bottom w:val="single" w:sz="4" w:space="0" w:color="365F91"/>
            </w:tcBorders>
            <w:shd w:val="clear" w:color="auto" w:fill="auto"/>
            <w:noWrap/>
          </w:tcPr>
          <w:p w14:paraId="7D7B1AED"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0.6</w:t>
            </w:r>
          </w:p>
        </w:tc>
        <w:tc>
          <w:tcPr>
            <w:tcW w:w="1022" w:type="dxa"/>
            <w:tcBorders>
              <w:top w:val="single" w:sz="4" w:space="0" w:color="365F91"/>
              <w:bottom w:val="single" w:sz="4" w:space="0" w:color="365F91"/>
            </w:tcBorders>
            <w:shd w:val="clear" w:color="auto" w:fill="auto"/>
            <w:noWrap/>
          </w:tcPr>
          <w:p w14:paraId="76C50210"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88.1</w:t>
            </w:r>
          </w:p>
        </w:tc>
      </w:tr>
      <w:tr w:rsidR="00DE64BC" w:rsidRPr="00256982" w14:paraId="6639FE0F" w14:textId="77777777" w:rsidTr="00960A10">
        <w:tc>
          <w:tcPr>
            <w:tcW w:w="994" w:type="dxa"/>
            <w:tcBorders>
              <w:top w:val="single" w:sz="4" w:space="0" w:color="365F91"/>
              <w:bottom w:val="single" w:sz="4" w:space="0" w:color="365F91"/>
            </w:tcBorders>
          </w:tcPr>
          <w:p w14:paraId="65F2B93D" w14:textId="77777777" w:rsidR="00DE64BC" w:rsidRPr="00256982" w:rsidRDefault="00DE64BC" w:rsidP="00A808C7">
            <w:pPr>
              <w:pStyle w:val="TableText"/>
              <w:spacing w:before="50" w:after="50"/>
              <w:rPr>
                <w:rFonts w:cs="Arial"/>
                <w:szCs w:val="16"/>
              </w:rPr>
            </w:pPr>
            <w:r w:rsidRPr="00256982">
              <w:rPr>
                <w:rFonts w:cs="Arial"/>
                <w:color w:val="000000"/>
                <w:szCs w:val="16"/>
              </w:rPr>
              <w:t>3.H</w:t>
            </w:r>
          </w:p>
        </w:tc>
        <w:tc>
          <w:tcPr>
            <w:tcW w:w="3834" w:type="dxa"/>
            <w:tcBorders>
              <w:top w:val="single" w:sz="4" w:space="0" w:color="365F91"/>
              <w:bottom w:val="single" w:sz="4" w:space="0" w:color="365F91"/>
            </w:tcBorders>
            <w:shd w:val="clear" w:color="auto" w:fill="auto"/>
          </w:tcPr>
          <w:p w14:paraId="2BB942E3" w14:textId="77777777" w:rsidR="00DE64BC" w:rsidRPr="00256982" w:rsidRDefault="00DE64BC" w:rsidP="00A808C7">
            <w:pPr>
              <w:pStyle w:val="TableText"/>
              <w:spacing w:before="50" w:after="50"/>
              <w:rPr>
                <w:rFonts w:cs="Arial"/>
                <w:szCs w:val="16"/>
              </w:rPr>
            </w:pPr>
            <w:r w:rsidRPr="00256982">
              <w:rPr>
                <w:rFonts w:cs="Arial"/>
                <w:color w:val="000000"/>
                <w:szCs w:val="16"/>
              </w:rPr>
              <w:t>Agriculture – Urea Application</w:t>
            </w:r>
          </w:p>
        </w:tc>
        <w:tc>
          <w:tcPr>
            <w:tcW w:w="571" w:type="dxa"/>
            <w:tcBorders>
              <w:top w:val="single" w:sz="4" w:space="0" w:color="365F91"/>
              <w:bottom w:val="single" w:sz="4" w:space="0" w:color="365F91"/>
            </w:tcBorders>
            <w:shd w:val="clear" w:color="auto" w:fill="auto"/>
          </w:tcPr>
          <w:p w14:paraId="7D47BD40" w14:textId="77777777" w:rsidR="00DE64BC" w:rsidRPr="00256982" w:rsidRDefault="00DE64BC" w:rsidP="00A808C7">
            <w:pPr>
              <w:pStyle w:val="TableText"/>
              <w:spacing w:before="50" w:after="50"/>
              <w:jc w:val="center"/>
              <w:rPr>
                <w:rFonts w:cs="Arial"/>
                <w:szCs w:val="16"/>
              </w:rPr>
            </w:pPr>
            <w:r w:rsidRPr="00256982">
              <w:rPr>
                <w:rFonts w:cs="Arial"/>
                <w:color w:val="000000"/>
                <w:szCs w:val="16"/>
              </w:rPr>
              <w:t>CO</w:t>
            </w:r>
            <w:r w:rsidRPr="00256982">
              <w:rPr>
                <w:rFonts w:cs="Arial"/>
                <w:color w:val="000000"/>
                <w:szCs w:val="16"/>
                <w:vertAlign w:val="subscript"/>
              </w:rPr>
              <w:t>2</w:t>
            </w:r>
          </w:p>
        </w:tc>
        <w:tc>
          <w:tcPr>
            <w:tcW w:w="999" w:type="dxa"/>
            <w:tcBorders>
              <w:top w:val="single" w:sz="4" w:space="0" w:color="365F91"/>
              <w:bottom w:val="single" w:sz="4" w:space="0" w:color="365F91"/>
            </w:tcBorders>
            <w:shd w:val="clear" w:color="auto" w:fill="auto"/>
            <w:noWrap/>
          </w:tcPr>
          <w:p w14:paraId="443448B2"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588.3</w:t>
            </w:r>
          </w:p>
        </w:tc>
        <w:tc>
          <w:tcPr>
            <w:tcW w:w="1142" w:type="dxa"/>
            <w:tcBorders>
              <w:top w:val="single" w:sz="4" w:space="0" w:color="365F91"/>
              <w:bottom w:val="single" w:sz="4" w:space="0" w:color="365F91"/>
            </w:tcBorders>
            <w:shd w:val="clear" w:color="auto" w:fill="auto"/>
            <w:noWrap/>
          </w:tcPr>
          <w:p w14:paraId="24D5A5AA"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0.5</w:t>
            </w:r>
          </w:p>
        </w:tc>
        <w:tc>
          <w:tcPr>
            <w:tcW w:w="1022" w:type="dxa"/>
            <w:tcBorders>
              <w:top w:val="single" w:sz="4" w:space="0" w:color="365F91"/>
              <w:bottom w:val="single" w:sz="4" w:space="0" w:color="365F91"/>
            </w:tcBorders>
            <w:shd w:val="clear" w:color="auto" w:fill="auto"/>
            <w:noWrap/>
          </w:tcPr>
          <w:p w14:paraId="33412BCC"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88.6</w:t>
            </w:r>
          </w:p>
        </w:tc>
      </w:tr>
      <w:tr w:rsidR="00DE64BC" w:rsidRPr="00256982" w14:paraId="1C0BE191" w14:textId="77777777" w:rsidTr="00960A10">
        <w:tc>
          <w:tcPr>
            <w:tcW w:w="994" w:type="dxa"/>
            <w:tcBorders>
              <w:top w:val="single" w:sz="4" w:space="0" w:color="365F91"/>
              <w:bottom w:val="single" w:sz="4" w:space="0" w:color="365F91"/>
            </w:tcBorders>
          </w:tcPr>
          <w:p w14:paraId="59D47431" w14:textId="77777777" w:rsidR="00DE64BC" w:rsidRPr="00256982" w:rsidRDefault="00DE64BC" w:rsidP="00A808C7">
            <w:pPr>
              <w:pStyle w:val="TableText"/>
              <w:spacing w:before="50" w:after="50"/>
              <w:rPr>
                <w:rFonts w:cs="Arial"/>
                <w:szCs w:val="16"/>
              </w:rPr>
            </w:pPr>
            <w:r w:rsidRPr="00256982">
              <w:rPr>
                <w:rFonts w:cs="Arial"/>
                <w:color w:val="000000"/>
                <w:szCs w:val="16"/>
              </w:rPr>
              <w:t>1.A.2.g.iii</w:t>
            </w:r>
          </w:p>
        </w:tc>
        <w:tc>
          <w:tcPr>
            <w:tcW w:w="3834" w:type="dxa"/>
            <w:tcBorders>
              <w:top w:val="single" w:sz="4" w:space="0" w:color="365F91"/>
              <w:bottom w:val="single" w:sz="4" w:space="0" w:color="365F91"/>
            </w:tcBorders>
            <w:shd w:val="clear" w:color="auto" w:fill="auto"/>
          </w:tcPr>
          <w:p w14:paraId="467A6779" w14:textId="77777777" w:rsidR="00DE64BC" w:rsidRPr="00256982" w:rsidRDefault="00DE64BC" w:rsidP="00A808C7">
            <w:pPr>
              <w:pStyle w:val="TableText"/>
              <w:spacing w:before="50" w:after="50"/>
              <w:rPr>
                <w:rFonts w:cs="Arial"/>
                <w:szCs w:val="16"/>
              </w:rPr>
            </w:pPr>
            <w:r w:rsidRPr="00256982">
              <w:rPr>
                <w:rFonts w:cs="Arial"/>
                <w:color w:val="000000"/>
                <w:szCs w:val="16"/>
              </w:rPr>
              <w:t>Other (please specify) – Mining (excluding fuels) and quarrying Liquid Fuels</w:t>
            </w:r>
          </w:p>
        </w:tc>
        <w:tc>
          <w:tcPr>
            <w:tcW w:w="571" w:type="dxa"/>
            <w:tcBorders>
              <w:top w:val="single" w:sz="4" w:space="0" w:color="365F91"/>
              <w:bottom w:val="single" w:sz="4" w:space="0" w:color="365F91"/>
            </w:tcBorders>
            <w:shd w:val="clear" w:color="auto" w:fill="auto"/>
          </w:tcPr>
          <w:p w14:paraId="60E06778" w14:textId="77777777" w:rsidR="00DE64BC" w:rsidRPr="00256982" w:rsidRDefault="00DE64BC" w:rsidP="00A808C7">
            <w:pPr>
              <w:pStyle w:val="TableText"/>
              <w:spacing w:before="50" w:after="50"/>
              <w:jc w:val="center"/>
              <w:rPr>
                <w:rFonts w:cs="Arial"/>
                <w:szCs w:val="16"/>
              </w:rPr>
            </w:pPr>
            <w:r w:rsidRPr="00256982">
              <w:rPr>
                <w:rFonts w:cs="Arial"/>
                <w:color w:val="000000"/>
                <w:szCs w:val="16"/>
              </w:rPr>
              <w:t>CO</w:t>
            </w:r>
            <w:r w:rsidRPr="00256982">
              <w:rPr>
                <w:rFonts w:cs="Arial"/>
                <w:color w:val="000000"/>
                <w:szCs w:val="16"/>
                <w:vertAlign w:val="subscript"/>
              </w:rPr>
              <w:t>2</w:t>
            </w:r>
          </w:p>
        </w:tc>
        <w:tc>
          <w:tcPr>
            <w:tcW w:w="999" w:type="dxa"/>
            <w:tcBorders>
              <w:top w:val="single" w:sz="4" w:space="0" w:color="365F91"/>
              <w:bottom w:val="single" w:sz="4" w:space="0" w:color="365F91"/>
            </w:tcBorders>
            <w:shd w:val="clear" w:color="auto" w:fill="auto"/>
            <w:noWrap/>
          </w:tcPr>
          <w:p w14:paraId="1BEE509F"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584.4</w:t>
            </w:r>
          </w:p>
        </w:tc>
        <w:tc>
          <w:tcPr>
            <w:tcW w:w="1142" w:type="dxa"/>
            <w:tcBorders>
              <w:top w:val="single" w:sz="4" w:space="0" w:color="365F91"/>
              <w:bottom w:val="single" w:sz="4" w:space="0" w:color="365F91"/>
            </w:tcBorders>
            <w:shd w:val="clear" w:color="auto" w:fill="auto"/>
            <w:noWrap/>
          </w:tcPr>
          <w:p w14:paraId="20979810"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0.5</w:t>
            </w:r>
          </w:p>
        </w:tc>
        <w:tc>
          <w:tcPr>
            <w:tcW w:w="1022" w:type="dxa"/>
            <w:tcBorders>
              <w:top w:val="single" w:sz="4" w:space="0" w:color="365F91"/>
              <w:bottom w:val="single" w:sz="4" w:space="0" w:color="365F91"/>
            </w:tcBorders>
            <w:shd w:val="clear" w:color="auto" w:fill="auto"/>
            <w:noWrap/>
          </w:tcPr>
          <w:p w14:paraId="72B16F68"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89.2</w:t>
            </w:r>
          </w:p>
        </w:tc>
      </w:tr>
      <w:tr w:rsidR="00DE64BC" w:rsidRPr="00256982" w14:paraId="26C30EA3" w14:textId="77777777" w:rsidTr="00960A10">
        <w:tc>
          <w:tcPr>
            <w:tcW w:w="994" w:type="dxa"/>
            <w:tcBorders>
              <w:top w:val="single" w:sz="4" w:space="0" w:color="365F91"/>
              <w:bottom w:val="single" w:sz="4" w:space="0" w:color="365F91"/>
            </w:tcBorders>
          </w:tcPr>
          <w:p w14:paraId="0ED94A06" w14:textId="77777777" w:rsidR="00DE64BC" w:rsidRPr="00256982" w:rsidRDefault="00DE64BC" w:rsidP="00A808C7">
            <w:pPr>
              <w:pStyle w:val="TableText"/>
              <w:spacing w:before="50" w:after="50"/>
              <w:rPr>
                <w:rFonts w:cs="Arial"/>
                <w:szCs w:val="16"/>
              </w:rPr>
            </w:pPr>
            <w:r w:rsidRPr="00256982">
              <w:rPr>
                <w:rFonts w:cs="Arial"/>
                <w:color w:val="000000"/>
                <w:szCs w:val="16"/>
              </w:rPr>
              <w:t>2.C.3</w:t>
            </w:r>
          </w:p>
        </w:tc>
        <w:tc>
          <w:tcPr>
            <w:tcW w:w="3834" w:type="dxa"/>
            <w:tcBorders>
              <w:top w:val="single" w:sz="4" w:space="0" w:color="365F91"/>
              <w:bottom w:val="single" w:sz="4" w:space="0" w:color="365F91"/>
            </w:tcBorders>
            <w:shd w:val="clear" w:color="auto" w:fill="auto"/>
          </w:tcPr>
          <w:p w14:paraId="40F9938F" w14:textId="77777777" w:rsidR="00DE64BC" w:rsidRPr="00256982" w:rsidRDefault="00DE64BC" w:rsidP="00A808C7">
            <w:pPr>
              <w:pStyle w:val="TableText"/>
              <w:spacing w:before="50" w:after="50"/>
              <w:rPr>
                <w:rFonts w:cs="Arial"/>
                <w:szCs w:val="16"/>
              </w:rPr>
            </w:pPr>
            <w:r w:rsidRPr="00256982">
              <w:rPr>
                <w:rFonts w:cs="Arial"/>
                <w:color w:val="000000"/>
                <w:szCs w:val="16"/>
              </w:rPr>
              <w:t>Metal Industry – Aluminium Production</w:t>
            </w:r>
          </w:p>
        </w:tc>
        <w:tc>
          <w:tcPr>
            <w:tcW w:w="571" w:type="dxa"/>
            <w:tcBorders>
              <w:top w:val="single" w:sz="4" w:space="0" w:color="365F91"/>
              <w:bottom w:val="single" w:sz="4" w:space="0" w:color="365F91"/>
            </w:tcBorders>
            <w:shd w:val="clear" w:color="auto" w:fill="auto"/>
          </w:tcPr>
          <w:p w14:paraId="419EA473" w14:textId="77777777" w:rsidR="00DE64BC" w:rsidRPr="00256982" w:rsidRDefault="00DE64BC" w:rsidP="00A808C7">
            <w:pPr>
              <w:pStyle w:val="TableText"/>
              <w:spacing w:before="50" w:after="50"/>
              <w:jc w:val="center"/>
              <w:rPr>
                <w:rFonts w:cs="Arial"/>
                <w:szCs w:val="16"/>
              </w:rPr>
            </w:pPr>
            <w:r w:rsidRPr="00256982">
              <w:rPr>
                <w:rFonts w:cs="Arial"/>
                <w:color w:val="000000"/>
                <w:szCs w:val="16"/>
              </w:rPr>
              <w:t>CO</w:t>
            </w:r>
            <w:r w:rsidRPr="00256982">
              <w:rPr>
                <w:rFonts w:cs="Arial"/>
                <w:color w:val="000000"/>
                <w:szCs w:val="16"/>
                <w:vertAlign w:val="subscript"/>
              </w:rPr>
              <w:t>2</w:t>
            </w:r>
          </w:p>
        </w:tc>
        <w:tc>
          <w:tcPr>
            <w:tcW w:w="999" w:type="dxa"/>
            <w:tcBorders>
              <w:top w:val="single" w:sz="4" w:space="0" w:color="365F91"/>
              <w:bottom w:val="single" w:sz="4" w:space="0" w:color="365F91"/>
            </w:tcBorders>
            <w:shd w:val="clear" w:color="auto" w:fill="auto"/>
            <w:noWrap/>
          </w:tcPr>
          <w:p w14:paraId="7E179EE6"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546.2</w:t>
            </w:r>
          </w:p>
        </w:tc>
        <w:tc>
          <w:tcPr>
            <w:tcW w:w="1142" w:type="dxa"/>
            <w:tcBorders>
              <w:top w:val="single" w:sz="4" w:space="0" w:color="365F91"/>
              <w:bottom w:val="single" w:sz="4" w:space="0" w:color="365F91"/>
            </w:tcBorders>
            <w:shd w:val="clear" w:color="auto" w:fill="auto"/>
            <w:noWrap/>
          </w:tcPr>
          <w:p w14:paraId="6B37D690"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0.5</w:t>
            </w:r>
          </w:p>
        </w:tc>
        <w:tc>
          <w:tcPr>
            <w:tcW w:w="1022" w:type="dxa"/>
            <w:tcBorders>
              <w:top w:val="single" w:sz="4" w:space="0" w:color="365F91"/>
              <w:bottom w:val="single" w:sz="4" w:space="0" w:color="365F91"/>
            </w:tcBorders>
            <w:shd w:val="clear" w:color="auto" w:fill="auto"/>
            <w:noWrap/>
          </w:tcPr>
          <w:p w14:paraId="582F39A3"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89.6</w:t>
            </w:r>
          </w:p>
        </w:tc>
      </w:tr>
      <w:tr w:rsidR="00DE64BC" w:rsidRPr="00256982" w14:paraId="2FEC714D" w14:textId="77777777" w:rsidTr="00960A10">
        <w:tc>
          <w:tcPr>
            <w:tcW w:w="994" w:type="dxa"/>
            <w:tcBorders>
              <w:top w:val="single" w:sz="4" w:space="0" w:color="365F91"/>
              <w:bottom w:val="single" w:sz="4" w:space="0" w:color="365F91"/>
            </w:tcBorders>
          </w:tcPr>
          <w:p w14:paraId="241556B0" w14:textId="77777777" w:rsidR="00DE64BC" w:rsidRPr="00256982" w:rsidRDefault="00DE64BC" w:rsidP="00A808C7">
            <w:pPr>
              <w:pStyle w:val="TableText"/>
              <w:spacing w:before="50" w:after="50"/>
              <w:rPr>
                <w:rFonts w:cs="Arial"/>
                <w:szCs w:val="16"/>
              </w:rPr>
            </w:pPr>
            <w:r w:rsidRPr="00256982">
              <w:rPr>
                <w:rFonts w:cs="Arial"/>
                <w:color w:val="000000"/>
                <w:szCs w:val="16"/>
              </w:rPr>
              <w:t>1.A.4.a</w:t>
            </w:r>
          </w:p>
        </w:tc>
        <w:tc>
          <w:tcPr>
            <w:tcW w:w="3834" w:type="dxa"/>
            <w:tcBorders>
              <w:top w:val="single" w:sz="4" w:space="0" w:color="365F91"/>
              <w:bottom w:val="single" w:sz="4" w:space="0" w:color="365F91"/>
            </w:tcBorders>
            <w:shd w:val="clear" w:color="auto" w:fill="auto"/>
          </w:tcPr>
          <w:p w14:paraId="61AB5EC0" w14:textId="77777777" w:rsidR="00DE64BC" w:rsidRPr="00256982" w:rsidRDefault="00DE64BC" w:rsidP="00A808C7">
            <w:pPr>
              <w:pStyle w:val="TableText"/>
              <w:spacing w:before="50" w:after="50"/>
              <w:rPr>
                <w:rFonts w:cs="Arial"/>
                <w:szCs w:val="16"/>
              </w:rPr>
            </w:pPr>
            <w:r w:rsidRPr="00256982">
              <w:rPr>
                <w:rFonts w:cs="Arial"/>
                <w:color w:val="000000"/>
                <w:szCs w:val="16"/>
              </w:rPr>
              <w:t>Other Sectors – Commercial/Institutional Liquid Fuels</w:t>
            </w:r>
          </w:p>
        </w:tc>
        <w:tc>
          <w:tcPr>
            <w:tcW w:w="571" w:type="dxa"/>
            <w:tcBorders>
              <w:top w:val="single" w:sz="4" w:space="0" w:color="365F91"/>
              <w:bottom w:val="single" w:sz="4" w:space="0" w:color="365F91"/>
            </w:tcBorders>
            <w:shd w:val="clear" w:color="auto" w:fill="auto"/>
          </w:tcPr>
          <w:p w14:paraId="065ECA2A" w14:textId="77777777" w:rsidR="00DE64BC" w:rsidRPr="00256982" w:rsidRDefault="00DE64BC" w:rsidP="00A808C7">
            <w:pPr>
              <w:pStyle w:val="TableText"/>
              <w:spacing w:before="50" w:after="50"/>
              <w:jc w:val="center"/>
              <w:rPr>
                <w:rFonts w:cs="Arial"/>
                <w:szCs w:val="16"/>
              </w:rPr>
            </w:pPr>
            <w:r w:rsidRPr="00256982">
              <w:rPr>
                <w:rFonts w:cs="Arial"/>
                <w:color w:val="000000"/>
                <w:szCs w:val="16"/>
              </w:rPr>
              <w:t>CO</w:t>
            </w:r>
            <w:r w:rsidRPr="00256982">
              <w:rPr>
                <w:rFonts w:cs="Arial"/>
                <w:color w:val="000000"/>
                <w:szCs w:val="16"/>
                <w:vertAlign w:val="subscript"/>
              </w:rPr>
              <w:t>2</w:t>
            </w:r>
          </w:p>
        </w:tc>
        <w:tc>
          <w:tcPr>
            <w:tcW w:w="999" w:type="dxa"/>
            <w:tcBorders>
              <w:top w:val="single" w:sz="4" w:space="0" w:color="365F91"/>
              <w:bottom w:val="single" w:sz="4" w:space="0" w:color="365F91"/>
            </w:tcBorders>
            <w:shd w:val="clear" w:color="auto" w:fill="auto"/>
            <w:noWrap/>
          </w:tcPr>
          <w:p w14:paraId="7D7E5BA3"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530.8</w:t>
            </w:r>
          </w:p>
        </w:tc>
        <w:tc>
          <w:tcPr>
            <w:tcW w:w="1142" w:type="dxa"/>
            <w:tcBorders>
              <w:top w:val="single" w:sz="4" w:space="0" w:color="365F91"/>
              <w:bottom w:val="single" w:sz="4" w:space="0" w:color="365F91"/>
            </w:tcBorders>
            <w:shd w:val="clear" w:color="auto" w:fill="auto"/>
            <w:noWrap/>
          </w:tcPr>
          <w:p w14:paraId="738E66C3"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0.5</w:t>
            </w:r>
          </w:p>
        </w:tc>
        <w:tc>
          <w:tcPr>
            <w:tcW w:w="1022" w:type="dxa"/>
            <w:tcBorders>
              <w:top w:val="single" w:sz="4" w:space="0" w:color="365F91"/>
              <w:bottom w:val="single" w:sz="4" w:space="0" w:color="365F91"/>
            </w:tcBorders>
            <w:shd w:val="clear" w:color="auto" w:fill="auto"/>
            <w:noWrap/>
          </w:tcPr>
          <w:p w14:paraId="39092C12"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90.1</w:t>
            </w:r>
          </w:p>
        </w:tc>
      </w:tr>
      <w:tr w:rsidR="00DE64BC" w:rsidRPr="00256982" w14:paraId="3111400C" w14:textId="77777777" w:rsidTr="00960A10">
        <w:tc>
          <w:tcPr>
            <w:tcW w:w="994" w:type="dxa"/>
            <w:tcBorders>
              <w:top w:val="single" w:sz="4" w:space="0" w:color="365F91"/>
              <w:bottom w:val="single" w:sz="4" w:space="0" w:color="365F91"/>
            </w:tcBorders>
          </w:tcPr>
          <w:p w14:paraId="1CC36ABF" w14:textId="77777777" w:rsidR="00DE64BC" w:rsidRPr="00256982" w:rsidRDefault="00DE64BC" w:rsidP="00A808C7">
            <w:pPr>
              <w:pStyle w:val="TableText"/>
              <w:spacing w:before="50" w:after="50"/>
              <w:rPr>
                <w:rFonts w:cs="Arial"/>
                <w:szCs w:val="16"/>
              </w:rPr>
            </w:pPr>
            <w:r w:rsidRPr="00256982">
              <w:rPr>
                <w:rFonts w:cs="Arial"/>
                <w:color w:val="000000"/>
                <w:szCs w:val="16"/>
              </w:rPr>
              <w:t>1.A.1.a</w:t>
            </w:r>
          </w:p>
        </w:tc>
        <w:tc>
          <w:tcPr>
            <w:tcW w:w="3834" w:type="dxa"/>
            <w:tcBorders>
              <w:top w:val="single" w:sz="4" w:space="0" w:color="365F91"/>
              <w:bottom w:val="single" w:sz="4" w:space="0" w:color="365F91"/>
            </w:tcBorders>
            <w:shd w:val="clear" w:color="auto" w:fill="auto"/>
          </w:tcPr>
          <w:p w14:paraId="0FE2D7B7" w14:textId="77777777" w:rsidR="00DE64BC" w:rsidRPr="00256982" w:rsidRDefault="00DE64BC" w:rsidP="00A808C7">
            <w:pPr>
              <w:pStyle w:val="TableText"/>
              <w:spacing w:before="50" w:after="50"/>
              <w:rPr>
                <w:rFonts w:cs="Arial"/>
                <w:szCs w:val="16"/>
              </w:rPr>
            </w:pPr>
            <w:r w:rsidRPr="00256982">
              <w:rPr>
                <w:rFonts w:cs="Arial"/>
                <w:color w:val="000000"/>
                <w:szCs w:val="16"/>
              </w:rPr>
              <w:t>Energy Industries – Public Electricity and Heat Production Solid Fuels</w:t>
            </w:r>
          </w:p>
        </w:tc>
        <w:tc>
          <w:tcPr>
            <w:tcW w:w="571" w:type="dxa"/>
            <w:tcBorders>
              <w:top w:val="single" w:sz="4" w:space="0" w:color="365F91"/>
              <w:bottom w:val="single" w:sz="4" w:space="0" w:color="365F91"/>
            </w:tcBorders>
            <w:shd w:val="clear" w:color="auto" w:fill="auto"/>
          </w:tcPr>
          <w:p w14:paraId="0C7A2F0C" w14:textId="77777777" w:rsidR="00DE64BC" w:rsidRPr="00256982" w:rsidRDefault="00DE64BC" w:rsidP="00A808C7">
            <w:pPr>
              <w:pStyle w:val="TableText"/>
              <w:spacing w:before="50" w:after="50"/>
              <w:jc w:val="center"/>
              <w:rPr>
                <w:rFonts w:cs="Arial"/>
                <w:szCs w:val="16"/>
              </w:rPr>
            </w:pPr>
            <w:r w:rsidRPr="00256982">
              <w:rPr>
                <w:rFonts w:cs="Arial"/>
                <w:color w:val="000000"/>
                <w:szCs w:val="16"/>
              </w:rPr>
              <w:t>CO</w:t>
            </w:r>
            <w:r w:rsidRPr="00256982">
              <w:rPr>
                <w:rFonts w:cs="Arial"/>
                <w:color w:val="000000"/>
                <w:szCs w:val="16"/>
                <w:vertAlign w:val="subscript"/>
              </w:rPr>
              <w:t>2</w:t>
            </w:r>
          </w:p>
        </w:tc>
        <w:tc>
          <w:tcPr>
            <w:tcW w:w="999" w:type="dxa"/>
            <w:tcBorders>
              <w:top w:val="single" w:sz="4" w:space="0" w:color="365F91"/>
              <w:bottom w:val="single" w:sz="4" w:space="0" w:color="365F91"/>
            </w:tcBorders>
            <w:shd w:val="clear" w:color="auto" w:fill="auto"/>
            <w:noWrap/>
          </w:tcPr>
          <w:p w14:paraId="466B8F3D"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522.7</w:t>
            </w:r>
          </w:p>
        </w:tc>
        <w:tc>
          <w:tcPr>
            <w:tcW w:w="1142" w:type="dxa"/>
            <w:tcBorders>
              <w:top w:val="single" w:sz="4" w:space="0" w:color="365F91"/>
              <w:bottom w:val="single" w:sz="4" w:space="0" w:color="365F91"/>
            </w:tcBorders>
            <w:shd w:val="clear" w:color="auto" w:fill="auto"/>
            <w:noWrap/>
          </w:tcPr>
          <w:p w14:paraId="2762F3A0"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0.5</w:t>
            </w:r>
          </w:p>
        </w:tc>
        <w:tc>
          <w:tcPr>
            <w:tcW w:w="1022" w:type="dxa"/>
            <w:tcBorders>
              <w:top w:val="single" w:sz="4" w:space="0" w:color="365F91"/>
              <w:bottom w:val="single" w:sz="4" w:space="0" w:color="365F91"/>
            </w:tcBorders>
            <w:shd w:val="clear" w:color="auto" w:fill="auto"/>
            <w:noWrap/>
          </w:tcPr>
          <w:p w14:paraId="1A28FA26"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90.6</w:t>
            </w:r>
          </w:p>
        </w:tc>
      </w:tr>
      <w:tr w:rsidR="00DE64BC" w:rsidRPr="00256982" w14:paraId="37D784ED" w14:textId="77777777" w:rsidTr="00960A10">
        <w:tc>
          <w:tcPr>
            <w:tcW w:w="994" w:type="dxa"/>
            <w:tcBorders>
              <w:top w:val="single" w:sz="4" w:space="0" w:color="365F91"/>
              <w:bottom w:val="single" w:sz="4" w:space="0" w:color="365F91"/>
            </w:tcBorders>
          </w:tcPr>
          <w:p w14:paraId="7DD2E7B2" w14:textId="77777777" w:rsidR="00DE64BC" w:rsidRPr="00256982" w:rsidRDefault="00DE64BC" w:rsidP="00A808C7">
            <w:pPr>
              <w:pStyle w:val="TableText"/>
              <w:spacing w:before="50" w:after="50"/>
              <w:rPr>
                <w:rFonts w:cs="Arial"/>
                <w:szCs w:val="16"/>
              </w:rPr>
            </w:pPr>
            <w:r w:rsidRPr="00256982">
              <w:rPr>
                <w:rFonts w:cs="Arial"/>
                <w:color w:val="000000"/>
                <w:szCs w:val="16"/>
              </w:rPr>
              <w:t>3.D.2.2</w:t>
            </w:r>
          </w:p>
        </w:tc>
        <w:tc>
          <w:tcPr>
            <w:tcW w:w="3834" w:type="dxa"/>
            <w:tcBorders>
              <w:top w:val="single" w:sz="4" w:space="0" w:color="365F91"/>
              <w:bottom w:val="single" w:sz="4" w:space="0" w:color="365F91"/>
            </w:tcBorders>
            <w:shd w:val="clear" w:color="auto" w:fill="auto"/>
          </w:tcPr>
          <w:p w14:paraId="1F0F819D" w14:textId="77777777" w:rsidR="00DE64BC" w:rsidRPr="00256982" w:rsidRDefault="00DE64BC" w:rsidP="00A808C7">
            <w:pPr>
              <w:pStyle w:val="TableText"/>
              <w:spacing w:before="50" w:after="50"/>
              <w:rPr>
                <w:rFonts w:cs="Arial"/>
                <w:szCs w:val="16"/>
              </w:rPr>
            </w:pPr>
            <w:r w:rsidRPr="00256982">
              <w:rPr>
                <w:rFonts w:cs="Arial"/>
                <w:color w:val="000000"/>
                <w:szCs w:val="16"/>
              </w:rPr>
              <w:t>Indirect N</w:t>
            </w:r>
            <w:r w:rsidRPr="00256982">
              <w:rPr>
                <w:rFonts w:cs="Arial"/>
                <w:color w:val="000000"/>
                <w:szCs w:val="16"/>
                <w:vertAlign w:val="subscript"/>
              </w:rPr>
              <w:t>2</w:t>
            </w:r>
            <w:r w:rsidRPr="00256982">
              <w:rPr>
                <w:rFonts w:cs="Arial"/>
                <w:color w:val="000000"/>
                <w:szCs w:val="16"/>
              </w:rPr>
              <w:t>O Emissions From Managed Soils – Nitrogen Leaching and Run-off</w:t>
            </w:r>
          </w:p>
        </w:tc>
        <w:tc>
          <w:tcPr>
            <w:tcW w:w="571" w:type="dxa"/>
            <w:tcBorders>
              <w:top w:val="single" w:sz="4" w:space="0" w:color="365F91"/>
              <w:bottom w:val="single" w:sz="4" w:space="0" w:color="365F91"/>
            </w:tcBorders>
            <w:shd w:val="clear" w:color="auto" w:fill="auto"/>
          </w:tcPr>
          <w:p w14:paraId="30EC37E2" w14:textId="77777777" w:rsidR="00DE64BC" w:rsidRPr="00256982" w:rsidRDefault="00DE64BC" w:rsidP="00A808C7">
            <w:pPr>
              <w:pStyle w:val="TableText"/>
              <w:spacing w:before="50" w:after="50"/>
              <w:jc w:val="center"/>
              <w:rPr>
                <w:rFonts w:cs="Arial"/>
                <w:szCs w:val="16"/>
              </w:rPr>
            </w:pPr>
            <w:r w:rsidRPr="00256982">
              <w:rPr>
                <w:rFonts w:cs="Arial"/>
                <w:color w:val="000000"/>
                <w:szCs w:val="16"/>
              </w:rPr>
              <w:t>N</w:t>
            </w:r>
            <w:r w:rsidRPr="00256982">
              <w:rPr>
                <w:rFonts w:cs="Arial"/>
                <w:color w:val="000000"/>
                <w:szCs w:val="16"/>
                <w:vertAlign w:val="subscript"/>
              </w:rPr>
              <w:t>2</w:t>
            </w:r>
            <w:r w:rsidRPr="00256982">
              <w:rPr>
                <w:rFonts w:cs="Arial"/>
                <w:color w:val="000000"/>
                <w:szCs w:val="16"/>
              </w:rPr>
              <w:t>O</w:t>
            </w:r>
          </w:p>
        </w:tc>
        <w:tc>
          <w:tcPr>
            <w:tcW w:w="999" w:type="dxa"/>
            <w:tcBorders>
              <w:top w:val="single" w:sz="4" w:space="0" w:color="365F91"/>
              <w:bottom w:val="single" w:sz="4" w:space="0" w:color="365F91"/>
            </w:tcBorders>
            <w:shd w:val="clear" w:color="auto" w:fill="auto"/>
            <w:noWrap/>
          </w:tcPr>
          <w:p w14:paraId="71289664"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500.5</w:t>
            </w:r>
          </w:p>
        </w:tc>
        <w:tc>
          <w:tcPr>
            <w:tcW w:w="1142" w:type="dxa"/>
            <w:tcBorders>
              <w:top w:val="single" w:sz="4" w:space="0" w:color="365F91"/>
              <w:bottom w:val="single" w:sz="4" w:space="0" w:color="365F91"/>
            </w:tcBorders>
            <w:shd w:val="clear" w:color="auto" w:fill="auto"/>
            <w:noWrap/>
          </w:tcPr>
          <w:p w14:paraId="3D1E6A7F"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0.4</w:t>
            </w:r>
          </w:p>
        </w:tc>
        <w:tc>
          <w:tcPr>
            <w:tcW w:w="1022" w:type="dxa"/>
            <w:tcBorders>
              <w:top w:val="single" w:sz="4" w:space="0" w:color="365F91"/>
              <w:bottom w:val="single" w:sz="4" w:space="0" w:color="365F91"/>
            </w:tcBorders>
            <w:shd w:val="clear" w:color="auto" w:fill="auto"/>
            <w:noWrap/>
          </w:tcPr>
          <w:p w14:paraId="52E860D4"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91.0</w:t>
            </w:r>
          </w:p>
        </w:tc>
      </w:tr>
      <w:tr w:rsidR="00DE64BC" w:rsidRPr="00256982" w14:paraId="2F38E125" w14:textId="77777777" w:rsidTr="00960A10">
        <w:tc>
          <w:tcPr>
            <w:tcW w:w="994" w:type="dxa"/>
            <w:tcBorders>
              <w:top w:val="single" w:sz="4" w:space="0" w:color="365F91"/>
              <w:bottom w:val="single" w:sz="4" w:space="0" w:color="365F91"/>
            </w:tcBorders>
          </w:tcPr>
          <w:p w14:paraId="62133EC1" w14:textId="77777777" w:rsidR="00DE64BC" w:rsidRPr="00256982" w:rsidRDefault="00DE64BC" w:rsidP="00A808C7">
            <w:pPr>
              <w:pStyle w:val="TableText"/>
              <w:spacing w:before="50" w:after="50"/>
              <w:rPr>
                <w:rFonts w:cs="Arial"/>
                <w:szCs w:val="16"/>
              </w:rPr>
            </w:pPr>
            <w:r w:rsidRPr="00256982">
              <w:rPr>
                <w:rFonts w:cs="Arial"/>
                <w:color w:val="000000"/>
                <w:szCs w:val="16"/>
              </w:rPr>
              <w:t>3.A.4</w:t>
            </w:r>
          </w:p>
        </w:tc>
        <w:tc>
          <w:tcPr>
            <w:tcW w:w="3834" w:type="dxa"/>
            <w:tcBorders>
              <w:top w:val="single" w:sz="4" w:space="0" w:color="365F91"/>
              <w:bottom w:val="single" w:sz="4" w:space="0" w:color="365F91"/>
            </w:tcBorders>
            <w:shd w:val="clear" w:color="auto" w:fill="auto"/>
          </w:tcPr>
          <w:p w14:paraId="175B56F8" w14:textId="77777777" w:rsidR="00DE64BC" w:rsidRPr="00256982" w:rsidRDefault="00DE64BC" w:rsidP="00A808C7">
            <w:pPr>
              <w:pStyle w:val="TableText"/>
              <w:spacing w:before="50" w:after="50"/>
              <w:rPr>
                <w:rFonts w:cs="Arial"/>
                <w:szCs w:val="16"/>
              </w:rPr>
            </w:pPr>
            <w:r w:rsidRPr="00256982">
              <w:rPr>
                <w:rFonts w:cs="Arial"/>
                <w:color w:val="000000"/>
                <w:szCs w:val="16"/>
              </w:rPr>
              <w:t>Other livestock – Deer</w:t>
            </w:r>
          </w:p>
        </w:tc>
        <w:tc>
          <w:tcPr>
            <w:tcW w:w="571" w:type="dxa"/>
            <w:tcBorders>
              <w:top w:val="single" w:sz="4" w:space="0" w:color="365F91"/>
              <w:bottom w:val="single" w:sz="4" w:space="0" w:color="365F91"/>
            </w:tcBorders>
            <w:shd w:val="clear" w:color="auto" w:fill="auto"/>
          </w:tcPr>
          <w:p w14:paraId="26242E4E" w14:textId="77777777" w:rsidR="00DE64BC" w:rsidRPr="00256982" w:rsidRDefault="00DE64BC" w:rsidP="00A808C7">
            <w:pPr>
              <w:pStyle w:val="TableText"/>
              <w:spacing w:before="50" w:after="50"/>
              <w:jc w:val="center"/>
              <w:rPr>
                <w:rFonts w:cs="Arial"/>
                <w:szCs w:val="16"/>
              </w:rPr>
            </w:pPr>
            <w:r w:rsidRPr="00256982">
              <w:rPr>
                <w:rFonts w:cs="Arial"/>
                <w:color w:val="000000"/>
                <w:szCs w:val="16"/>
              </w:rPr>
              <w:t>CH</w:t>
            </w:r>
            <w:r w:rsidRPr="00256982">
              <w:rPr>
                <w:rFonts w:cs="Arial"/>
                <w:color w:val="000000"/>
                <w:szCs w:val="16"/>
                <w:vertAlign w:val="subscript"/>
              </w:rPr>
              <w:t>4</w:t>
            </w:r>
          </w:p>
        </w:tc>
        <w:tc>
          <w:tcPr>
            <w:tcW w:w="999" w:type="dxa"/>
            <w:tcBorders>
              <w:top w:val="single" w:sz="4" w:space="0" w:color="365F91"/>
              <w:bottom w:val="single" w:sz="4" w:space="0" w:color="365F91"/>
            </w:tcBorders>
            <w:shd w:val="clear" w:color="auto" w:fill="auto"/>
            <w:noWrap/>
          </w:tcPr>
          <w:p w14:paraId="55112161"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486.0</w:t>
            </w:r>
          </w:p>
        </w:tc>
        <w:tc>
          <w:tcPr>
            <w:tcW w:w="1142" w:type="dxa"/>
            <w:tcBorders>
              <w:top w:val="single" w:sz="4" w:space="0" w:color="365F91"/>
              <w:bottom w:val="single" w:sz="4" w:space="0" w:color="365F91"/>
            </w:tcBorders>
            <w:shd w:val="clear" w:color="auto" w:fill="auto"/>
            <w:noWrap/>
          </w:tcPr>
          <w:p w14:paraId="0D3A652D"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0.4</w:t>
            </w:r>
          </w:p>
        </w:tc>
        <w:tc>
          <w:tcPr>
            <w:tcW w:w="1022" w:type="dxa"/>
            <w:tcBorders>
              <w:top w:val="single" w:sz="4" w:space="0" w:color="365F91"/>
              <w:bottom w:val="single" w:sz="4" w:space="0" w:color="365F91"/>
            </w:tcBorders>
            <w:shd w:val="clear" w:color="auto" w:fill="auto"/>
            <w:noWrap/>
          </w:tcPr>
          <w:p w14:paraId="14482825"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91.4</w:t>
            </w:r>
          </w:p>
        </w:tc>
      </w:tr>
      <w:tr w:rsidR="00DE64BC" w:rsidRPr="00256982" w14:paraId="76E96EC4" w14:textId="77777777" w:rsidTr="00960A10">
        <w:tc>
          <w:tcPr>
            <w:tcW w:w="994" w:type="dxa"/>
            <w:tcBorders>
              <w:top w:val="single" w:sz="4" w:space="0" w:color="365F91"/>
              <w:bottom w:val="single" w:sz="4" w:space="0" w:color="365F91"/>
            </w:tcBorders>
          </w:tcPr>
          <w:p w14:paraId="342209C8" w14:textId="77777777" w:rsidR="00DE64BC" w:rsidRPr="00256982" w:rsidRDefault="00DE64BC" w:rsidP="00A808C7">
            <w:pPr>
              <w:pStyle w:val="TableText"/>
              <w:spacing w:before="50" w:after="50"/>
              <w:rPr>
                <w:rFonts w:cs="Arial"/>
                <w:szCs w:val="16"/>
              </w:rPr>
            </w:pPr>
            <w:r w:rsidRPr="00256982">
              <w:rPr>
                <w:rFonts w:cs="Arial"/>
                <w:color w:val="000000"/>
                <w:szCs w:val="16"/>
              </w:rPr>
              <w:t>3.G</w:t>
            </w:r>
          </w:p>
        </w:tc>
        <w:tc>
          <w:tcPr>
            <w:tcW w:w="3834" w:type="dxa"/>
            <w:tcBorders>
              <w:top w:val="single" w:sz="4" w:space="0" w:color="365F91"/>
              <w:bottom w:val="single" w:sz="4" w:space="0" w:color="365F91"/>
            </w:tcBorders>
            <w:shd w:val="clear" w:color="auto" w:fill="auto"/>
          </w:tcPr>
          <w:p w14:paraId="18DE001F" w14:textId="77777777" w:rsidR="00DE64BC" w:rsidRPr="00256982" w:rsidRDefault="00DE64BC" w:rsidP="00A808C7">
            <w:pPr>
              <w:pStyle w:val="TableText"/>
              <w:spacing w:before="50" w:after="50"/>
              <w:rPr>
                <w:rFonts w:cs="Arial"/>
                <w:szCs w:val="16"/>
              </w:rPr>
            </w:pPr>
            <w:r w:rsidRPr="00256982">
              <w:rPr>
                <w:rFonts w:cs="Arial"/>
                <w:color w:val="000000"/>
                <w:szCs w:val="16"/>
              </w:rPr>
              <w:t>Agriculture – Liming</w:t>
            </w:r>
          </w:p>
        </w:tc>
        <w:tc>
          <w:tcPr>
            <w:tcW w:w="571" w:type="dxa"/>
            <w:tcBorders>
              <w:top w:val="single" w:sz="4" w:space="0" w:color="365F91"/>
              <w:bottom w:val="single" w:sz="4" w:space="0" w:color="365F91"/>
            </w:tcBorders>
            <w:shd w:val="clear" w:color="auto" w:fill="auto"/>
          </w:tcPr>
          <w:p w14:paraId="17B75D29" w14:textId="77777777" w:rsidR="00DE64BC" w:rsidRPr="00256982" w:rsidRDefault="00DE64BC" w:rsidP="00A808C7">
            <w:pPr>
              <w:pStyle w:val="TableText"/>
              <w:spacing w:before="50" w:after="50"/>
              <w:jc w:val="center"/>
              <w:rPr>
                <w:rFonts w:cs="Arial"/>
                <w:szCs w:val="16"/>
              </w:rPr>
            </w:pPr>
            <w:r w:rsidRPr="00256982">
              <w:rPr>
                <w:rFonts w:cs="Arial"/>
                <w:color w:val="000000"/>
                <w:szCs w:val="16"/>
              </w:rPr>
              <w:t>CO</w:t>
            </w:r>
            <w:r w:rsidRPr="00256982">
              <w:rPr>
                <w:rFonts w:cs="Arial"/>
                <w:color w:val="000000"/>
                <w:szCs w:val="16"/>
                <w:vertAlign w:val="subscript"/>
              </w:rPr>
              <w:t>2</w:t>
            </w:r>
          </w:p>
        </w:tc>
        <w:tc>
          <w:tcPr>
            <w:tcW w:w="999" w:type="dxa"/>
            <w:tcBorders>
              <w:top w:val="single" w:sz="4" w:space="0" w:color="365F91"/>
              <w:bottom w:val="single" w:sz="4" w:space="0" w:color="365F91"/>
            </w:tcBorders>
            <w:shd w:val="clear" w:color="auto" w:fill="auto"/>
            <w:noWrap/>
          </w:tcPr>
          <w:p w14:paraId="707DB4B3"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459.6</w:t>
            </w:r>
          </w:p>
        </w:tc>
        <w:tc>
          <w:tcPr>
            <w:tcW w:w="1142" w:type="dxa"/>
            <w:tcBorders>
              <w:top w:val="single" w:sz="4" w:space="0" w:color="365F91"/>
              <w:bottom w:val="single" w:sz="4" w:space="0" w:color="365F91"/>
            </w:tcBorders>
            <w:shd w:val="clear" w:color="auto" w:fill="auto"/>
            <w:noWrap/>
          </w:tcPr>
          <w:p w14:paraId="218A29D2"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0.4</w:t>
            </w:r>
          </w:p>
        </w:tc>
        <w:tc>
          <w:tcPr>
            <w:tcW w:w="1022" w:type="dxa"/>
            <w:tcBorders>
              <w:top w:val="single" w:sz="4" w:space="0" w:color="365F91"/>
              <w:bottom w:val="single" w:sz="4" w:space="0" w:color="365F91"/>
            </w:tcBorders>
            <w:shd w:val="clear" w:color="auto" w:fill="auto"/>
            <w:noWrap/>
          </w:tcPr>
          <w:p w14:paraId="4C731B41"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91.8</w:t>
            </w:r>
          </w:p>
        </w:tc>
      </w:tr>
      <w:tr w:rsidR="00DE64BC" w:rsidRPr="00256982" w14:paraId="4A8675A9" w14:textId="77777777" w:rsidTr="00960A10">
        <w:tc>
          <w:tcPr>
            <w:tcW w:w="994" w:type="dxa"/>
            <w:tcBorders>
              <w:top w:val="single" w:sz="4" w:space="0" w:color="365F91"/>
              <w:bottom w:val="single" w:sz="4" w:space="0" w:color="365F91"/>
            </w:tcBorders>
          </w:tcPr>
          <w:p w14:paraId="744B5374" w14:textId="77777777" w:rsidR="00DE64BC" w:rsidRPr="00256982" w:rsidRDefault="00DE64BC" w:rsidP="00A808C7">
            <w:pPr>
              <w:pStyle w:val="TableText"/>
              <w:spacing w:before="50" w:after="50"/>
              <w:rPr>
                <w:rFonts w:cs="Arial"/>
                <w:szCs w:val="16"/>
              </w:rPr>
            </w:pPr>
            <w:r w:rsidRPr="00256982">
              <w:rPr>
                <w:rFonts w:cs="Arial"/>
                <w:color w:val="000000"/>
                <w:szCs w:val="16"/>
              </w:rPr>
              <w:t>2.A.1</w:t>
            </w:r>
          </w:p>
        </w:tc>
        <w:tc>
          <w:tcPr>
            <w:tcW w:w="3834" w:type="dxa"/>
            <w:tcBorders>
              <w:top w:val="single" w:sz="4" w:space="0" w:color="365F91"/>
              <w:bottom w:val="single" w:sz="4" w:space="0" w:color="365F91"/>
            </w:tcBorders>
            <w:shd w:val="clear" w:color="auto" w:fill="auto"/>
          </w:tcPr>
          <w:p w14:paraId="08CD8BE5" w14:textId="77777777" w:rsidR="00DE64BC" w:rsidRPr="00256982" w:rsidRDefault="00DE64BC" w:rsidP="00A808C7">
            <w:pPr>
              <w:pStyle w:val="TableText"/>
              <w:spacing w:before="50" w:after="50"/>
              <w:rPr>
                <w:rFonts w:cs="Arial"/>
                <w:szCs w:val="16"/>
              </w:rPr>
            </w:pPr>
            <w:r w:rsidRPr="00256982">
              <w:rPr>
                <w:rFonts w:cs="Arial"/>
                <w:color w:val="000000"/>
                <w:szCs w:val="16"/>
              </w:rPr>
              <w:t>Mineral Industry – Cement Production</w:t>
            </w:r>
          </w:p>
        </w:tc>
        <w:tc>
          <w:tcPr>
            <w:tcW w:w="571" w:type="dxa"/>
            <w:tcBorders>
              <w:top w:val="single" w:sz="4" w:space="0" w:color="365F91"/>
              <w:bottom w:val="single" w:sz="4" w:space="0" w:color="365F91"/>
            </w:tcBorders>
            <w:shd w:val="clear" w:color="auto" w:fill="auto"/>
          </w:tcPr>
          <w:p w14:paraId="507C8251" w14:textId="77777777" w:rsidR="00DE64BC" w:rsidRPr="00256982" w:rsidRDefault="00DE64BC" w:rsidP="00A808C7">
            <w:pPr>
              <w:pStyle w:val="TableText"/>
              <w:spacing w:before="50" w:after="50"/>
              <w:jc w:val="center"/>
              <w:rPr>
                <w:rFonts w:cs="Arial"/>
                <w:szCs w:val="16"/>
              </w:rPr>
            </w:pPr>
            <w:r w:rsidRPr="00256982">
              <w:rPr>
                <w:rFonts w:cs="Arial"/>
                <w:color w:val="000000"/>
                <w:szCs w:val="16"/>
              </w:rPr>
              <w:t>CO</w:t>
            </w:r>
            <w:r w:rsidRPr="00256982">
              <w:rPr>
                <w:rFonts w:cs="Arial"/>
                <w:color w:val="000000"/>
                <w:szCs w:val="16"/>
                <w:vertAlign w:val="subscript"/>
              </w:rPr>
              <w:t>2</w:t>
            </w:r>
          </w:p>
        </w:tc>
        <w:tc>
          <w:tcPr>
            <w:tcW w:w="999" w:type="dxa"/>
            <w:tcBorders>
              <w:top w:val="single" w:sz="4" w:space="0" w:color="365F91"/>
              <w:bottom w:val="single" w:sz="4" w:space="0" w:color="365F91"/>
            </w:tcBorders>
            <w:shd w:val="clear" w:color="auto" w:fill="auto"/>
            <w:noWrap/>
          </w:tcPr>
          <w:p w14:paraId="53A04B1F"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443.8</w:t>
            </w:r>
          </w:p>
        </w:tc>
        <w:tc>
          <w:tcPr>
            <w:tcW w:w="1142" w:type="dxa"/>
            <w:tcBorders>
              <w:top w:val="single" w:sz="4" w:space="0" w:color="365F91"/>
              <w:bottom w:val="single" w:sz="4" w:space="0" w:color="365F91"/>
            </w:tcBorders>
            <w:shd w:val="clear" w:color="auto" w:fill="auto"/>
            <w:noWrap/>
          </w:tcPr>
          <w:p w14:paraId="476EBB1A"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0.4</w:t>
            </w:r>
          </w:p>
        </w:tc>
        <w:tc>
          <w:tcPr>
            <w:tcW w:w="1022" w:type="dxa"/>
            <w:tcBorders>
              <w:top w:val="single" w:sz="4" w:space="0" w:color="365F91"/>
              <w:bottom w:val="single" w:sz="4" w:space="0" w:color="365F91"/>
            </w:tcBorders>
            <w:shd w:val="clear" w:color="auto" w:fill="auto"/>
            <w:noWrap/>
          </w:tcPr>
          <w:p w14:paraId="7E0CC249"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92.2</w:t>
            </w:r>
          </w:p>
        </w:tc>
      </w:tr>
      <w:tr w:rsidR="00DE64BC" w:rsidRPr="00256982" w14:paraId="396B6483" w14:textId="77777777" w:rsidTr="00960A10">
        <w:tc>
          <w:tcPr>
            <w:tcW w:w="994" w:type="dxa"/>
            <w:tcBorders>
              <w:top w:val="single" w:sz="4" w:space="0" w:color="365F91"/>
              <w:bottom w:val="single" w:sz="4" w:space="0" w:color="365F91"/>
            </w:tcBorders>
          </w:tcPr>
          <w:p w14:paraId="235CBA13" w14:textId="77777777" w:rsidR="00DE64BC" w:rsidRPr="00256982" w:rsidRDefault="00DE64BC" w:rsidP="00A808C7">
            <w:pPr>
              <w:pStyle w:val="TableText"/>
              <w:spacing w:before="50" w:after="50"/>
              <w:rPr>
                <w:rFonts w:cs="Arial"/>
                <w:szCs w:val="16"/>
              </w:rPr>
            </w:pPr>
            <w:r w:rsidRPr="00256982">
              <w:rPr>
                <w:rFonts w:cs="Arial"/>
                <w:color w:val="000000"/>
                <w:szCs w:val="16"/>
              </w:rPr>
              <w:t>1.A.4.a</w:t>
            </w:r>
          </w:p>
        </w:tc>
        <w:tc>
          <w:tcPr>
            <w:tcW w:w="3834" w:type="dxa"/>
            <w:tcBorders>
              <w:top w:val="single" w:sz="4" w:space="0" w:color="365F91"/>
              <w:bottom w:val="single" w:sz="4" w:space="0" w:color="365F91"/>
            </w:tcBorders>
            <w:shd w:val="clear" w:color="auto" w:fill="auto"/>
          </w:tcPr>
          <w:p w14:paraId="375B3109" w14:textId="77777777" w:rsidR="00DE64BC" w:rsidRPr="00256982" w:rsidRDefault="00DE64BC" w:rsidP="00A808C7">
            <w:pPr>
              <w:pStyle w:val="TableText"/>
              <w:spacing w:before="50" w:after="50"/>
              <w:rPr>
                <w:rFonts w:cs="Arial"/>
                <w:szCs w:val="16"/>
              </w:rPr>
            </w:pPr>
            <w:r w:rsidRPr="00256982">
              <w:rPr>
                <w:rFonts w:cs="Arial"/>
                <w:color w:val="000000"/>
                <w:szCs w:val="16"/>
              </w:rPr>
              <w:t>Other Sectors – Commercial/Institutional Gaseous Fuels</w:t>
            </w:r>
          </w:p>
        </w:tc>
        <w:tc>
          <w:tcPr>
            <w:tcW w:w="571" w:type="dxa"/>
            <w:tcBorders>
              <w:top w:val="single" w:sz="4" w:space="0" w:color="365F91"/>
              <w:bottom w:val="single" w:sz="4" w:space="0" w:color="365F91"/>
            </w:tcBorders>
            <w:shd w:val="clear" w:color="auto" w:fill="auto"/>
          </w:tcPr>
          <w:p w14:paraId="407500B5" w14:textId="77777777" w:rsidR="00DE64BC" w:rsidRPr="00256982" w:rsidRDefault="00DE64BC" w:rsidP="00A808C7">
            <w:pPr>
              <w:pStyle w:val="TableText"/>
              <w:spacing w:before="50" w:after="50"/>
              <w:jc w:val="center"/>
              <w:rPr>
                <w:rFonts w:cs="Arial"/>
                <w:szCs w:val="16"/>
              </w:rPr>
            </w:pPr>
            <w:r w:rsidRPr="00256982">
              <w:rPr>
                <w:rFonts w:cs="Arial"/>
                <w:color w:val="000000"/>
                <w:szCs w:val="16"/>
              </w:rPr>
              <w:t>CO</w:t>
            </w:r>
            <w:r w:rsidRPr="00256982">
              <w:rPr>
                <w:rFonts w:cs="Arial"/>
                <w:color w:val="000000"/>
                <w:szCs w:val="16"/>
                <w:vertAlign w:val="subscript"/>
              </w:rPr>
              <w:t>2</w:t>
            </w:r>
          </w:p>
        </w:tc>
        <w:tc>
          <w:tcPr>
            <w:tcW w:w="999" w:type="dxa"/>
            <w:tcBorders>
              <w:top w:val="single" w:sz="4" w:space="0" w:color="365F91"/>
              <w:bottom w:val="single" w:sz="4" w:space="0" w:color="365F91"/>
            </w:tcBorders>
            <w:shd w:val="clear" w:color="auto" w:fill="auto"/>
            <w:noWrap/>
          </w:tcPr>
          <w:p w14:paraId="63A902CF"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429.8</w:t>
            </w:r>
          </w:p>
        </w:tc>
        <w:tc>
          <w:tcPr>
            <w:tcW w:w="1142" w:type="dxa"/>
            <w:tcBorders>
              <w:top w:val="single" w:sz="4" w:space="0" w:color="365F91"/>
              <w:bottom w:val="single" w:sz="4" w:space="0" w:color="365F91"/>
            </w:tcBorders>
            <w:shd w:val="clear" w:color="auto" w:fill="auto"/>
            <w:noWrap/>
          </w:tcPr>
          <w:p w14:paraId="65DD9DFB"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0.4</w:t>
            </w:r>
          </w:p>
        </w:tc>
        <w:tc>
          <w:tcPr>
            <w:tcW w:w="1022" w:type="dxa"/>
            <w:tcBorders>
              <w:top w:val="single" w:sz="4" w:space="0" w:color="365F91"/>
              <w:bottom w:val="single" w:sz="4" w:space="0" w:color="365F91"/>
            </w:tcBorders>
            <w:shd w:val="clear" w:color="auto" w:fill="auto"/>
            <w:noWrap/>
          </w:tcPr>
          <w:p w14:paraId="02029DC6"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92.6</w:t>
            </w:r>
          </w:p>
        </w:tc>
      </w:tr>
      <w:tr w:rsidR="00DE64BC" w:rsidRPr="00256982" w14:paraId="246AF237" w14:textId="77777777" w:rsidTr="00960A10">
        <w:tc>
          <w:tcPr>
            <w:tcW w:w="994" w:type="dxa"/>
            <w:tcBorders>
              <w:top w:val="single" w:sz="4" w:space="0" w:color="365F91"/>
              <w:bottom w:val="single" w:sz="4" w:space="0" w:color="365F91"/>
            </w:tcBorders>
          </w:tcPr>
          <w:p w14:paraId="67FBB62E" w14:textId="77777777" w:rsidR="00DE64BC" w:rsidRPr="00256982" w:rsidRDefault="00DE64BC" w:rsidP="00A808C7">
            <w:pPr>
              <w:pStyle w:val="TableText"/>
              <w:spacing w:before="50" w:after="50"/>
              <w:rPr>
                <w:rFonts w:cs="Arial"/>
                <w:szCs w:val="16"/>
              </w:rPr>
            </w:pPr>
            <w:r w:rsidRPr="00256982">
              <w:rPr>
                <w:rFonts w:cs="Arial"/>
                <w:color w:val="000000"/>
                <w:szCs w:val="16"/>
              </w:rPr>
              <w:t>1.A.2.d</w:t>
            </w:r>
          </w:p>
        </w:tc>
        <w:tc>
          <w:tcPr>
            <w:tcW w:w="3834" w:type="dxa"/>
            <w:tcBorders>
              <w:top w:val="single" w:sz="4" w:space="0" w:color="365F91"/>
              <w:bottom w:val="single" w:sz="4" w:space="0" w:color="365F91"/>
            </w:tcBorders>
            <w:shd w:val="clear" w:color="auto" w:fill="auto"/>
          </w:tcPr>
          <w:p w14:paraId="3E88E338" w14:textId="77777777" w:rsidR="00DE64BC" w:rsidRPr="00256982" w:rsidRDefault="00DE64BC" w:rsidP="00A808C7">
            <w:pPr>
              <w:pStyle w:val="TableText"/>
              <w:spacing w:before="50" w:after="50"/>
              <w:rPr>
                <w:rFonts w:cs="Arial"/>
                <w:szCs w:val="16"/>
              </w:rPr>
            </w:pPr>
            <w:r w:rsidRPr="00256982">
              <w:rPr>
                <w:rFonts w:cs="Arial"/>
                <w:color w:val="000000"/>
                <w:szCs w:val="16"/>
              </w:rPr>
              <w:t>Manufacturing Industries and Construction – Pulp, Paper and Print Gaseous Fuels</w:t>
            </w:r>
          </w:p>
        </w:tc>
        <w:tc>
          <w:tcPr>
            <w:tcW w:w="571" w:type="dxa"/>
            <w:tcBorders>
              <w:top w:val="single" w:sz="4" w:space="0" w:color="365F91"/>
              <w:bottom w:val="single" w:sz="4" w:space="0" w:color="365F91"/>
            </w:tcBorders>
            <w:shd w:val="clear" w:color="auto" w:fill="auto"/>
          </w:tcPr>
          <w:p w14:paraId="2481B363" w14:textId="77777777" w:rsidR="00DE64BC" w:rsidRPr="00256982" w:rsidRDefault="00DE64BC" w:rsidP="00A808C7">
            <w:pPr>
              <w:pStyle w:val="TableText"/>
              <w:spacing w:before="50" w:after="50"/>
              <w:jc w:val="center"/>
              <w:rPr>
                <w:rFonts w:cs="Arial"/>
                <w:szCs w:val="16"/>
              </w:rPr>
            </w:pPr>
            <w:r w:rsidRPr="00256982">
              <w:rPr>
                <w:rFonts w:cs="Arial"/>
                <w:color w:val="000000"/>
                <w:szCs w:val="16"/>
              </w:rPr>
              <w:t>CO</w:t>
            </w:r>
            <w:r w:rsidRPr="00256982">
              <w:rPr>
                <w:rFonts w:cs="Arial"/>
                <w:color w:val="000000"/>
                <w:szCs w:val="16"/>
                <w:vertAlign w:val="subscript"/>
              </w:rPr>
              <w:t>2</w:t>
            </w:r>
          </w:p>
        </w:tc>
        <w:tc>
          <w:tcPr>
            <w:tcW w:w="999" w:type="dxa"/>
            <w:tcBorders>
              <w:top w:val="single" w:sz="4" w:space="0" w:color="365F91"/>
              <w:bottom w:val="single" w:sz="4" w:space="0" w:color="365F91"/>
            </w:tcBorders>
            <w:shd w:val="clear" w:color="auto" w:fill="auto"/>
            <w:noWrap/>
          </w:tcPr>
          <w:p w14:paraId="1ECBA0DA"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379.6</w:t>
            </w:r>
          </w:p>
        </w:tc>
        <w:tc>
          <w:tcPr>
            <w:tcW w:w="1142" w:type="dxa"/>
            <w:tcBorders>
              <w:top w:val="single" w:sz="4" w:space="0" w:color="365F91"/>
              <w:bottom w:val="single" w:sz="4" w:space="0" w:color="365F91"/>
            </w:tcBorders>
            <w:shd w:val="clear" w:color="auto" w:fill="auto"/>
            <w:noWrap/>
          </w:tcPr>
          <w:p w14:paraId="04E69467"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0.3</w:t>
            </w:r>
          </w:p>
        </w:tc>
        <w:tc>
          <w:tcPr>
            <w:tcW w:w="1022" w:type="dxa"/>
            <w:tcBorders>
              <w:top w:val="single" w:sz="4" w:space="0" w:color="365F91"/>
              <w:bottom w:val="single" w:sz="4" w:space="0" w:color="365F91"/>
            </w:tcBorders>
            <w:shd w:val="clear" w:color="auto" w:fill="auto"/>
            <w:noWrap/>
          </w:tcPr>
          <w:p w14:paraId="1CD7F8A7"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92.9</w:t>
            </w:r>
          </w:p>
        </w:tc>
      </w:tr>
      <w:tr w:rsidR="00DE64BC" w:rsidRPr="00256982" w14:paraId="39885A6C" w14:textId="77777777" w:rsidTr="00960A10">
        <w:tc>
          <w:tcPr>
            <w:tcW w:w="994" w:type="dxa"/>
            <w:tcBorders>
              <w:top w:val="single" w:sz="4" w:space="0" w:color="365F91"/>
              <w:bottom w:val="single" w:sz="4" w:space="0" w:color="365F91"/>
            </w:tcBorders>
          </w:tcPr>
          <w:p w14:paraId="35DAEFC3" w14:textId="77777777" w:rsidR="00DE64BC" w:rsidRPr="00256982" w:rsidRDefault="00DE64BC" w:rsidP="00A808C7">
            <w:pPr>
              <w:pStyle w:val="TableText"/>
              <w:spacing w:before="50" w:after="50"/>
              <w:rPr>
                <w:rFonts w:cs="Arial"/>
                <w:szCs w:val="16"/>
              </w:rPr>
            </w:pPr>
            <w:r w:rsidRPr="00256982">
              <w:rPr>
                <w:rFonts w:cs="Arial"/>
                <w:color w:val="000000"/>
                <w:szCs w:val="16"/>
              </w:rPr>
              <w:t>1.A.4.b</w:t>
            </w:r>
          </w:p>
        </w:tc>
        <w:tc>
          <w:tcPr>
            <w:tcW w:w="3834" w:type="dxa"/>
            <w:tcBorders>
              <w:top w:val="single" w:sz="4" w:space="0" w:color="365F91"/>
              <w:bottom w:val="single" w:sz="4" w:space="0" w:color="365F91"/>
            </w:tcBorders>
            <w:shd w:val="clear" w:color="auto" w:fill="auto"/>
          </w:tcPr>
          <w:p w14:paraId="2B2CE621" w14:textId="77777777" w:rsidR="00DE64BC" w:rsidRPr="00256982" w:rsidRDefault="00DE64BC" w:rsidP="00A808C7">
            <w:pPr>
              <w:pStyle w:val="TableText"/>
              <w:spacing w:before="50" w:after="50"/>
              <w:rPr>
                <w:rFonts w:cs="Arial"/>
                <w:szCs w:val="16"/>
              </w:rPr>
            </w:pPr>
            <w:r w:rsidRPr="00256982">
              <w:rPr>
                <w:rFonts w:cs="Arial"/>
                <w:color w:val="000000"/>
                <w:szCs w:val="16"/>
              </w:rPr>
              <w:t>Other Sectors – Residential Gaseous Fuels</w:t>
            </w:r>
          </w:p>
        </w:tc>
        <w:tc>
          <w:tcPr>
            <w:tcW w:w="571" w:type="dxa"/>
            <w:tcBorders>
              <w:top w:val="single" w:sz="4" w:space="0" w:color="365F91"/>
              <w:bottom w:val="single" w:sz="4" w:space="0" w:color="365F91"/>
            </w:tcBorders>
            <w:shd w:val="clear" w:color="auto" w:fill="auto"/>
          </w:tcPr>
          <w:p w14:paraId="7485551B" w14:textId="77777777" w:rsidR="00DE64BC" w:rsidRPr="00256982" w:rsidRDefault="00DE64BC" w:rsidP="00A808C7">
            <w:pPr>
              <w:pStyle w:val="TableText"/>
              <w:spacing w:before="50" w:after="50"/>
              <w:jc w:val="center"/>
              <w:rPr>
                <w:rFonts w:cs="Arial"/>
                <w:szCs w:val="16"/>
              </w:rPr>
            </w:pPr>
            <w:r w:rsidRPr="00256982">
              <w:rPr>
                <w:rFonts w:cs="Arial"/>
                <w:color w:val="000000"/>
                <w:szCs w:val="16"/>
              </w:rPr>
              <w:t>CO</w:t>
            </w:r>
            <w:r w:rsidRPr="00256982">
              <w:rPr>
                <w:rFonts w:cs="Arial"/>
                <w:color w:val="000000"/>
                <w:szCs w:val="16"/>
                <w:vertAlign w:val="subscript"/>
              </w:rPr>
              <w:t>2</w:t>
            </w:r>
          </w:p>
        </w:tc>
        <w:tc>
          <w:tcPr>
            <w:tcW w:w="999" w:type="dxa"/>
            <w:tcBorders>
              <w:top w:val="single" w:sz="4" w:space="0" w:color="365F91"/>
              <w:bottom w:val="single" w:sz="4" w:space="0" w:color="365F91"/>
            </w:tcBorders>
            <w:shd w:val="clear" w:color="auto" w:fill="auto"/>
            <w:noWrap/>
          </w:tcPr>
          <w:p w14:paraId="3A1ED3D6"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365.1</w:t>
            </w:r>
          </w:p>
        </w:tc>
        <w:tc>
          <w:tcPr>
            <w:tcW w:w="1142" w:type="dxa"/>
            <w:tcBorders>
              <w:top w:val="single" w:sz="4" w:space="0" w:color="365F91"/>
              <w:bottom w:val="single" w:sz="4" w:space="0" w:color="365F91"/>
            </w:tcBorders>
            <w:shd w:val="clear" w:color="auto" w:fill="auto"/>
            <w:noWrap/>
          </w:tcPr>
          <w:p w14:paraId="4BB1894A"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0.3</w:t>
            </w:r>
          </w:p>
        </w:tc>
        <w:tc>
          <w:tcPr>
            <w:tcW w:w="1022" w:type="dxa"/>
            <w:tcBorders>
              <w:top w:val="single" w:sz="4" w:space="0" w:color="365F91"/>
              <w:bottom w:val="single" w:sz="4" w:space="0" w:color="365F91"/>
            </w:tcBorders>
            <w:shd w:val="clear" w:color="auto" w:fill="auto"/>
            <w:noWrap/>
          </w:tcPr>
          <w:p w14:paraId="74ECBFD6"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93.3</w:t>
            </w:r>
          </w:p>
        </w:tc>
      </w:tr>
      <w:tr w:rsidR="00DE64BC" w:rsidRPr="00256982" w14:paraId="18A014A3" w14:textId="77777777" w:rsidTr="00960A10">
        <w:tc>
          <w:tcPr>
            <w:tcW w:w="994" w:type="dxa"/>
            <w:tcBorders>
              <w:top w:val="single" w:sz="4" w:space="0" w:color="365F91"/>
              <w:bottom w:val="single" w:sz="4" w:space="0" w:color="365F91"/>
            </w:tcBorders>
          </w:tcPr>
          <w:p w14:paraId="3F01A771" w14:textId="77777777" w:rsidR="00DE64BC" w:rsidRPr="00256982" w:rsidRDefault="00DE64BC" w:rsidP="00A808C7">
            <w:pPr>
              <w:pStyle w:val="TableText"/>
              <w:spacing w:before="50" w:after="50"/>
              <w:rPr>
                <w:rFonts w:cs="Arial"/>
                <w:szCs w:val="16"/>
              </w:rPr>
            </w:pPr>
            <w:r w:rsidRPr="00256982">
              <w:rPr>
                <w:rFonts w:cs="Arial"/>
                <w:color w:val="000000"/>
                <w:szCs w:val="16"/>
              </w:rPr>
              <w:t>1.A.2.e</w:t>
            </w:r>
          </w:p>
        </w:tc>
        <w:tc>
          <w:tcPr>
            <w:tcW w:w="3834" w:type="dxa"/>
            <w:tcBorders>
              <w:top w:val="single" w:sz="4" w:space="0" w:color="365F91"/>
              <w:bottom w:val="single" w:sz="4" w:space="0" w:color="365F91"/>
            </w:tcBorders>
            <w:shd w:val="clear" w:color="auto" w:fill="auto"/>
          </w:tcPr>
          <w:p w14:paraId="3D817B75" w14:textId="77777777" w:rsidR="00DE64BC" w:rsidRPr="00256982" w:rsidRDefault="00DE64BC" w:rsidP="00A808C7">
            <w:pPr>
              <w:pStyle w:val="TableText"/>
              <w:spacing w:before="50" w:after="50"/>
              <w:rPr>
                <w:rFonts w:cs="Arial"/>
                <w:szCs w:val="16"/>
              </w:rPr>
            </w:pPr>
            <w:r w:rsidRPr="00256982">
              <w:rPr>
                <w:rFonts w:cs="Arial"/>
                <w:color w:val="000000"/>
                <w:szCs w:val="16"/>
              </w:rPr>
              <w:t>Manufacturing Industries and Construction – Food Processing, Beverages and Tobacco Liquid Fuels</w:t>
            </w:r>
          </w:p>
        </w:tc>
        <w:tc>
          <w:tcPr>
            <w:tcW w:w="571" w:type="dxa"/>
            <w:tcBorders>
              <w:top w:val="single" w:sz="4" w:space="0" w:color="365F91"/>
              <w:bottom w:val="single" w:sz="4" w:space="0" w:color="365F91"/>
            </w:tcBorders>
            <w:shd w:val="clear" w:color="auto" w:fill="auto"/>
          </w:tcPr>
          <w:p w14:paraId="2B6A1671" w14:textId="77777777" w:rsidR="00DE64BC" w:rsidRPr="00256982" w:rsidRDefault="00DE64BC" w:rsidP="00A808C7">
            <w:pPr>
              <w:pStyle w:val="TableText"/>
              <w:spacing w:before="50" w:after="50"/>
              <w:jc w:val="center"/>
              <w:rPr>
                <w:rFonts w:cs="Arial"/>
                <w:szCs w:val="16"/>
              </w:rPr>
            </w:pPr>
            <w:r w:rsidRPr="00256982">
              <w:rPr>
                <w:rFonts w:cs="Arial"/>
                <w:color w:val="000000"/>
                <w:szCs w:val="16"/>
              </w:rPr>
              <w:t>CO</w:t>
            </w:r>
            <w:r w:rsidRPr="00256982">
              <w:rPr>
                <w:rFonts w:cs="Arial"/>
                <w:color w:val="000000"/>
                <w:szCs w:val="16"/>
                <w:vertAlign w:val="subscript"/>
              </w:rPr>
              <w:t>2</w:t>
            </w:r>
          </w:p>
        </w:tc>
        <w:tc>
          <w:tcPr>
            <w:tcW w:w="999" w:type="dxa"/>
            <w:tcBorders>
              <w:top w:val="single" w:sz="4" w:space="0" w:color="365F91"/>
              <w:bottom w:val="single" w:sz="4" w:space="0" w:color="365F91"/>
            </w:tcBorders>
            <w:shd w:val="clear" w:color="auto" w:fill="auto"/>
            <w:noWrap/>
          </w:tcPr>
          <w:p w14:paraId="1FEBA5D9"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351.8</w:t>
            </w:r>
          </w:p>
        </w:tc>
        <w:tc>
          <w:tcPr>
            <w:tcW w:w="1142" w:type="dxa"/>
            <w:tcBorders>
              <w:top w:val="single" w:sz="4" w:space="0" w:color="365F91"/>
              <w:bottom w:val="single" w:sz="4" w:space="0" w:color="365F91"/>
            </w:tcBorders>
            <w:shd w:val="clear" w:color="auto" w:fill="auto"/>
            <w:noWrap/>
          </w:tcPr>
          <w:p w14:paraId="2E464389"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0.3</w:t>
            </w:r>
          </w:p>
        </w:tc>
        <w:tc>
          <w:tcPr>
            <w:tcW w:w="1022" w:type="dxa"/>
            <w:tcBorders>
              <w:top w:val="single" w:sz="4" w:space="0" w:color="365F91"/>
              <w:bottom w:val="single" w:sz="4" w:space="0" w:color="365F91"/>
            </w:tcBorders>
            <w:shd w:val="clear" w:color="auto" w:fill="auto"/>
            <w:noWrap/>
          </w:tcPr>
          <w:p w14:paraId="5899A01B"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93.6</w:t>
            </w:r>
          </w:p>
        </w:tc>
      </w:tr>
      <w:tr w:rsidR="00DE64BC" w:rsidRPr="00256982" w14:paraId="4E0DF6A5" w14:textId="77777777" w:rsidTr="00960A10">
        <w:tc>
          <w:tcPr>
            <w:tcW w:w="994" w:type="dxa"/>
            <w:tcBorders>
              <w:top w:val="single" w:sz="4" w:space="0" w:color="365F91"/>
              <w:bottom w:val="single" w:sz="4" w:space="0" w:color="365F91"/>
            </w:tcBorders>
          </w:tcPr>
          <w:p w14:paraId="5044691C" w14:textId="77777777" w:rsidR="00DE64BC" w:rsidRPr="00256982" w:rsidRDefault="00DE64BC" w:rsidP="00A808C7">
            <w:pPr>
              <w:pStyle w:val="TableText"/>
              <w:spacing w:before="50" w:after="50"/>
              <w:rPr>
                <w:rFonts w:cs="Arial"/>
                <w:szCs w:val="16"/>
              </w:rPr>
            </w:pPr>
            <w:r w:rsidRPr="00256982">
              <w:rPr>
                <w:rFonts w:cs="Arial"/>
                <w:color w:val="000000"/>
                <w:szCs w:val="16"/>
              </w:rPr>
              <w:t>4.B.1</w:t>
            </w:r>
          </w:p>
        </w:tc>
        <w:tc>
          <w:tcPr>
            <w:tcW w:w="3834" w:type="dxa"/>
            <w:tcBorders>
              <w:top w:val="single" w:sz="4" w:space="0" w:color="365F91"/>
              <w:bottom w:val="single" w:sz="4" w:space="0" w:color="365F91"/>
            </w:tcBorders>
            <w:shd w:val="clear" w:color="auto" w:fill="auto"/>
          </w:tcPr>
          <w:p w14:paraId="6B814457" w14:textId="77777777" w:rsidR="00DE64BC" w:rsidRPr="00256982" w:rsidRDefault="00DE64BC" w:rsidP="00A808C7">
            <w:pPr>
              <w:pStyle w:val="TableText"/>
              <w:spacing w:before="50" w:after="50"/>
              <w:rPr>
                <w:rFonts w:cs="Arial"/>
                <w:szCs w:val="16"/>
              </w:rPr>
            </w:pPr>
            <w:r w:rsidRPr="00256982">
              <w:rPr>
                <w:rFonts w:cs="Arial"/>
                <w:color w:val="000000"/>
                <w:szCs w:val="16"/>
              </w:rPr>
              <w:t>Cropland – Cropland Remaining Cropland</w:t>
            </w:r>
          </w:p>
        </w:tc>
        <w:tc>
          <w:tcPr>
            <w:tcW w:w="571" w:type="dxa"/>
            <w:tcBorders>
              <w:top w:val="single" w:sz="4" w:space="0" w:color="365F91"/>
              <w:bottom w:val="single" w:sz="4" w:space="0" w:color="365F91"/>
            </w:tcBorders>
            <w:shd w:val="clear" w:color="auto" w:fill="auto"/>
          </w:tcPr>
          <w:p w14:paraId="5927B065" w14:textId="77777777" w:rsidR="00DE64BC" w:rsidRPr="00256982" w:rsidRDefault="00DE64BC" w:rsidP="00A808C7">
            <w:pPr>
              <w:pStyle w:val="TableText"/>
              <w:spacing w:before="50" w:after="50"/>
              <w:jc w:val="center"/>
              <w:rPr>
                <w:rFonts w:cs="Arial"/>
                <w:szCs w:val="16"/>
              </w:rPr>
            </w:pPr>
            <w:r w:rsidRPr="00256982">
              <w:rPr>
                <w:rFonts w:cs="Arial"/>
                <w:color w:val="000000"/>
                <w:szCs w:val="16"/>
              </w:rPr>
              <w:t>CO</w:t>
            </w:r>
            <w:r w:rsidRPr="00256982">
              <w:rPr>
                <w:rFonts w:cs="Arial"/>
                <w:color w:val="000000"/>
                <w:szCs w:val="16"/>
                <w:vertAlign w:val="subscript"/>
              </w:rPr>
              <w:t>2</w:t>
            </w:r>
          </w:p>
        </w:tc>
        <w:tc>
          <w:tcPr>
            <w:tcW w:w="999" w:type="dxa"/>
            <w:tcBorders>
              <w:top w:val="single" w:sz="4" w:space="0" w:color="365F91"/>
              <w:bottom w:val="single" w:sz="4" w:space="0" w:color="365F91"/>
            </w:tcBorders>
            <w:shd w:val="clear" w:color="auto" w:fill="auto"/>
            <w:noWrap/>
          </w:tcPr>
          <w:p w14:paraId="62A6F705"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332.0</w:t>
            </w:r>
          </w:p>
        </w:tc>
        <w:tc>
          <w:tcPr>
            <w:tcW w:w="1142" w:type="dxa"/>
            <w:tcBorders>
              <w:top w:val="single" w:sz="4" w:space="0" w:color="365F91"/>
              <w:bottom w:val="single" w:sz="4" w:space="0" w:color="365F91"/>
            </w:tcBorders>
            <w:shd w:val="clear" w:color="auto" w:fill="auto"/>
            <w:noWrap/>
          </w:tcPr>
          <w:p w14:paraId="3A5F5CF9"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0.3</w:t>
            </w:r>
          </w:p>
        </w:tc>
        <w:tc>
          <w:tcPr>
            <w:tcW w:w="1022" w:type="dxa"/>
            <w:tcBorders>
              <w:top w:val="single" w:sz="4" w:space="0" w:color="365F91"/>
              <w:bottom w:val="single" w:sz="4" w:space="0" w:color="365F91"/>
            </w:tcBorders>
            <w:shd w:val="clear" w:color="auto" w:fill="auto"/>
            <w:noWrap/>
          </w:tcPr>
          <w:p w14:paraId="777E9458"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93.9</w:t>
            </w:r>
          </w:p>
        </w:tc>
      </w:tr>
      <w:tr w:rsidR="00DE64BC" w:rsidRPr="00256982" w14:paraId="609B9EA2" w14:textId="77777777" w:rsidTr="00960A10">
        <w:tc>
          <w:tcPr>
            <w:tcW w:w="994" w:type="dxa"/>
            <w:tcBorders>
              <w:top w:val="single" w:sz="4" w:space="0" w:color="365F91"/>
              <w:bottom w:val="single" w:sz="4" w:space="0" w:color="365F91"/>
            </w:tcBorders>
          </w:tcPr>
          <w:p w14:paraId="08BBE964" w14:textId="77777777" w:rsidR="00DE64BC" w:rsidRPr="00256982" w:rsidRDefault="00DE64BC" w:rsidP="00A808C7">
            <w:pPr>
              <w:pStyle w:val="TableText"/>
              <w:spacing w:before="50" w:after="50"/>
              <w:rPr>
                <w:rFonts w:cs="Arial"/>
                <w:szCs w:val="16"/>
              </w:rPr>
            </w:pPr>
            <w:r w:rsidRPr="00256982">
              <w:rPr>
                <w:rFonts w:cs="Arial"/>
                <w:color w:val="000000"/>
                <w:szCs w:val="16"/>
              </w:rPr>
              <w:t>1.A.3.d</w:t>
            </w:r>
          </w:p>
        </w:tc>
        <w:tc>
          <w:tcPr>
            <w:tcW w:w="3834" w:type="dxa"/>
            <w:tcBorders>
              <w:top w:val="single" w:sz="4" w:space="0" w:color="365F91"/>
              <w:bottom w:val="single" w:sz="4" w:space="0" w:color="365F91"/>
            </w:tcBorders>
            <w:shd w:val="clear" w:color="auto" w:fill="auto"/>
          </w:tcPr>
          <w:p w14:paraId="2BF565D0" w14:textId="77777777" w:rsidR="00DE64BC" w:rsidRPr="00256982" w:rsidRDefault="00DE64BC" w:rsidP="00A808C7">
            <w:pPr>
              <w:pStyle w:val="TableText"/>
              <w:spacing w:before="50" w:after="50"/>
              <w:rPr>
                <w:rFonts w:cs="Arial"/>
                <w:szCs w:val="16"/>
              </w:rPr>
            </w:pPr>
            <w:r w:rsidRPr="00256982">
              <w:rPr>
                <w:rFonts w:cs="Arial"/>
                <w:color w:val="000000"/>
                <w:szCs w:val="16"/>
              </w:rPr>
              <w:t>Domestic Navigation – Residual Fuel Oil</w:t>
            </w:r>
          </w:p>
        </w:tc>
        <w:tc>
          <w:tcPr>
            <w:tcW w:w="571" w:type="dxa"/>
            <w:tcBorders>
              <w:top w:val="single" w:sz="4" w:space="0" w:color="365F91"/>
              <w:bottom w:val="single" w:sz="4" w:space="0" w:color="365F91"/>
            </w:tcBorders>
            <w:shd w:val="clear" w:color="auto" w:fill="auto"/>
          </w:tcPr>
          <w:p w14:paraId="004FB728" w14:textId="77777777" w:rsidR="00DE64BC" w:rsidRPr="00256982" w:rsidRDefault="00DE64BC" w:rsidP="00A808C7">
            <w:pPr>
              <w:pStyle w:val="TableText"/>
              <w:spacing w:before="50" w:after="50"/>
              <w:jc w:val="center"/>
              <w:rPr>
                <w:rFonts w:cs="Arial"/>
                <w:szCs w:val="16"/>
              </w:rPr>
            </w:pPr>
            <w:r w:rsidRPr="00256982">
              <w:rPr>
                <w:rFonts w:cs="Arial"/>
                <w:color w:val="000000"/>
                <w:szCs w:val="16"/>
              </w:rPr>
              <w:t>CO</w:t>
            </w:r>
            <w:r w:rsidRPr="00256982">
              <w:rPr>
                <w:rFonts w:cs="Arial"/>
                <w:color w:val="000000"/>
                <w:szCs w:val="16"/>
                <w:vertAlign w:val="subscript"/>
              </w:rPr>
              <w:t>2</w:t>
            </w:r>
          </w:p>
        </w:tc>
        <w:tc>
          <w:tcPr>
            <w:tcW w:w="999" w:type="dxa"/>
            <w:tcBorders>
              <w:top w:val="single" w:sz="4" w:space="0" w:color="365F91"/>
              <w:bottom w:val="single" w:sz="4" w:space="0" w:color="365F91"/>
            </w:tcBorders>
            <w:shd w:val="clear" w:color="auto" w:fill="auto"/>
            <w:noWrap/>
          </w:tcPr>
          <w:p w14:paraId="0D321DCD"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319.7</w:t>
            </w:r>
          </w:p>
        </w:tc>
        <w:tc>
          <w:tcPr>
            <w:tcW w:w="1142" w:type="dxa"/>
            <w:tcBorders>
              <w:top w:val="single" w:sz="4" w:space="0" w:color="365F91"/>
              <w:bottom w:val="single" w:sz="4" w:space="0" w:color="365F91"/>
            </w:tcBorders>
            <w:shd w:val="clear" w:color="auto" w:fill="auto"/>
            <w:noWrap/>
          </w:tcPr>
          <w:p w14:paraId="56ADF1A7"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0.3</w:t>
            </w:r>
          </w:p>
        </w:tc>
        <w:tc>
          <w:tcPr>
            <w:tcW w:w="1022" w:type="dxa"/>
            <w:tcBorders>
              <w:top w:val="single" w:sz="4" w:space="0" w:color="365F91"/>
              <w:bottom w:val="single" w:sz="4" w:space="0" w:color="365F91"/>
            </w:tcBorders>
            <w:shd w:val="clear" w:color="auto" w:fill="auto"/>
            <w:noWrap/>
          </w:tcPr>
          <w:p w14:paraId="6A1C7404"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94.2</w:t>
            </w:r>
          </w:p>
        </w:tc>
      </w:tr>
      <w:tr w:rsidR="00DE64BC" w:rsidRPr="00256982" w14:paraId="2EE3EE06" w14:textId="77777777" w:rsidTr="00960A10">
        <w:tc>
          <w:tcPr>
            <w:tcW w:w="994" w:type="dxa"/>
            <w:tcBorders>
              <w:top w:val="single" w:sz="4" w:space="0" w:color="365F91"/>
              <w:bottom w:val="single" w:sz="4" w:space="0" w:color="365F91"/>
            </w:tcBorders>
          </w:tcPr>
          <w:p w14:paraId="4D219D3E" w14:textId="77777777" w:rsidR="00DE64BC" w:rsidRPr="00256982" w:rsidRDefault="00DE64BC" w:rsidP="00A808C7">
            <w:pPr>
              <w:pStyle w:val="TableText"/>
              <w:spacing w:before="50" w:after="50"/>
              <w:rPr>
                <w:rFonts w:cs="Arial"/>
                <w:szCs w:val="16"/>
              </w:rPr>
            </w:pPr>
            <w:r w:rsidRPr="00256982">
              <w:rPr>
                <w:rFonts w:cs="Arial"/>
                <w:color w:val="000000"/>
                <w:szCs w:val="16"/>
              </w:rPr>
              <w:t>1.A.1.c</w:t>
            </w:r>
          </w:p>
        </w:tc>
        <w:tc>
          <w:tcPr>
            <w:tcW w:w="3834" w:type="dxa"/>
            <w:tcBorders>
              <w:top w:val="single" w:sz="4" w:space="0" w:color="365F91"/>
              <w:bottom w:val="single" w:sz="4" w:space="0" w:color="365F91"/>
            </w:tcBorders>
            <w:shd w:val="clear" w:color="auto" w:fill="auto"/>
          </w:tcPr>
          <w:p w14:paraId="1D9A3F0C" w14:textId="77777777" w:rsidR="00DE64BC" w:rsidRPr="00256982" w:rsidRDefault="00DE64BC" w:rsidP="00A808C7">
            <w:pPr>
              <w:pStyle w:val="TableText"/>
              <w:spacing w:before="50" w:after="50"/>
              <w:rPr>
                <w:rFonts w:cs="Arial"/>
                <w:szCs w:val="16"/>
              </w:rPr>
            </w:pPr>
            <w:r w:rsidRPr="00256982">
              <w:rPr>
                <w:rFonts w:cs="Arial"/>
                <w:color w:val="000000"/>
                <w:szCs w:val="16"/>
              </w:rPr>
              <w:t>Energy Industries – Manufacture of Solid Fuels and Other Energy Industries Gaseous Fuels</w:t>
            </w:r>
          </w:p>
        </w:tc>
        <w:tc>
          <w:tcPr>
            <w:tcW w:w="571" w:type="dxa"/>
            <w:tcBorders>
              <w:top w:val="single" w:sz="4" w:space="0" w:color="365F91"/>
              <w:bottom w:val="single" w:sz="4" w:space="0" w:color="365F91"/>
            </w:tcBorders>
            <w:shd w:val="clear" w:color="auto" w:fill="auto"/>
          </w:tcPr>
          <w:p w14:paraId="41717BF0" w14:textId="77777777" w:rsidR="00DE64BC" w:rsidRPr="00256982" w:rsidRDefault="00DE64BC" w:rsidP="00A808C7">
            <w:pPr>
              <w:pStyle w:val="TableText"/>
              <w:spacing w:before="50" w:after="50"/>
              <w:jc w:val="center"/>
              <w:rPr>
                <w:rFonts w:cs="Arial"/>
                <w:szCs w:val="16"/>
              </w:rPr>
            </w:pPr>
            <w:r w:rsidRPr="00256982">
              <w:rPr>
                <w:rFonts w:cs="Arial"/>
                <w:color w:val="000000"/>
                <w:szCs w:val="16"/>
              </w:rPr>
              <w:t>CO</w:t>
            </w:r>
            <w:r w:rsidRPr="00256982">
              <w:rPr>
                <w:rFonts w:cs="Arial"/>
                <w:color w:val="000000"/>
                <w:szCs w:val="16"/>
                <w:vertAlign w:val="subscript"/>
              </w:rPr>
              <w:t>2</w:t>
            </w:r>
          </w:p>
        </w:tc>
        <w:tc>
          <w:tcPr>
            <w:tcW w:w="999" w:type="dxa"/>
            <w:tcBorders>
              <w:top w:val="single" w:sz="4" w:space="0" w:color="365F91"/>
              <w:bottom w:val="single" w:sz="4" w:space="0" w:color="365F91"/>
            </w:tcBorders>
            <w:shd w:val="clear" w:color="auto" w:fill="auto"/>
            <w:noWrap/>
          </w:tcPr>
          <w:p w14:paraId="39AC7217"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305.9</w:t>
            </w:r>
          </w:p>
        </w:tc>
        <w:tc>
          <w:tcPr>
            <w:tcW w:w="1142" w:type="dxa"/>
            <w:tcBorders>
              <w:top w:val="single" w:sz="4" w:space="0" w:color="365F91"/>
              <w:bottom w:val="single" w:sz="4" w:space="0" w:color="365F91"/>
            </w:tcBorders>
            <w:shd w:val="clear" w:color="auto" w:fill="auto"/>
            <w:noWrap/>
          </w:tcPr>
          <w:p w14:paraId="27A1B645"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0.3</w:t>
            </w:r>
          </w:p>
        </w:tc>
        <w:tc>
          <w:tcPr>
            <w:tcW w:w="1022" w:type="dxa"/>
            <w:tcBorders>
              <w:top w:val="single" w:sz="4" w:space="0" w:color="365F91"/>
              <w:bottom w:val="single" w:sz="4" w:space="0" w:color="365F91"/>
            </w:tcBorders>
            <w:shd w:val="clear" w:color="auto" w:fill="auto"/>
            <w:noWrap/>
          </w:tcPr>
          <w:p w14:paraId="01DA4DB6"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94.4</w:t>
            </w:r>
          </w:p>
        </w:tc>
      </w:tr>
      <w:tr w:rsidR="00DE64BC" w:rsidRPr="00256982" w14:paraId="2506DB37" w14:textId="77777777" w:rsidTr="00960A10">
        <w:tc>
          <w:tcPr>
            <w:tcW w:w="994" w:type="dxa"/>
            <w:tcBorders>
              <w:top w:val="single" w:sz="4" w:space="0" w:color="365F91"/>
              <w:bottom w:val="single" w:sz="4" w:space="0" w:color="365F91"/>
            </w:tcBorders>
          </w:tcPr>
          <w:p w14:paraId="792F2AC7" w14:textId="77777777" w:rsidR="00DE64BC" w:rsidRPr="00256982" w:rsidRDefault="00DE64BC" w:rsidP="00A808C7">
            <w:pPr>
              <w:pStyle w:val="TableText"/>
              <w:spacing w:before="50" w:after="50"/>
              <w:rPr>
                <w:rFonts w:cs="Arial"/>
                <w:szCs w:val="16"/>
              </w:rPr>
            </w:pPr>
            <w:r w:rsidRPr="00256982">
              <w:rPr>
                <w:rFonts w:cs="Arial"/>
                <w:color w:val="000000"/>
                <w:szCs w:val="16"/>
              </w:rPr>
              <w:t>1.B.2.c.2.iii</w:t>
            </w:r>
          </w:p>
        </w:tc>
        <w:tc>
          <w:tcPr>
            <w:tcW w:w="3834" w:type="dxa"/>
            <w:tcBorders>
              <w:top w:val="single" w:sz="4" w:space="0" w:color="365F91"/>
              <w:bottom w:val="single" w:sz="4" w:space="0" w:color="365F91"/>
            </w:tcBorders>
            <w:shd w:val="clear" w:color="auto" w:fill="auto"/>
          </w:tcPr>
          <w:p w14:paraId="218919E4" w14:textId="77777777" w:rsidR="00DE64BC" w:rsidRPr="00256982" w:rsidRDefault="00DE64BC" w:rsidP="00A808C7">
            <w:pPr>
              <w:pStyle w:val="TableText"/>
              <w:spacing w:before="50" w:after="50"/>
              <w:rPr>
                <w:rFonts w:cs="Arial"/>
                <w:szCs w:val="16"/>
              </w:rPr>
            </w:pPr>
            <w:r w:rsidRPr="00256982">
              <w:rPr>
                <w:rFonts w:cs="Arial"/>
                <w:color w:val="000000"/>
                <w:szCs w:val="16"/>
              </w:rPr>
              <w:t>Flaring – Combined</w:t>
            </w:r>
          </w:p>
        </w:tc>
        <w:tc>
          <w:tcPr>
            <w:tcW w:w="571" w:type="dxa"/>
            <w:tcBorders>
              <w:top w:val="single" w:sz="4" w:space="0" w:color="365F91"/>
              <w:bottom w:val="single" w:sz="4" w:space="0" w:color="365F91"/>
            </w:tcBorders>
            <w:shd w:val="clear" w:color="auto" w:fill="auto"/>
          </w:tcPr>
          <w:p w14:paraId="23B31493" w14:textId="77777777" w:rsidR="00DE64BC" w:rsidRPr="00256982" w:rsidRDefault="00DE64BC" w:rsidP="00A808C7">
            <w:pPr>
              <w:pStyle w:val="TableText"/>
              <w:spacing w:before="50" w:after="50"/>
              <w:jc w:val="center"/>
              <w:rPr>
                <w:rFonts w:cs="Arial"/>
                <w:szCs w:val="16"/>
              </w:rPr>
            </w:pPr>
            <w:r w:rsidRPr="00256982">
              <w:rPr>
                <w:rFonts w:cs="Arial"/>
                <w:color w:val="000000"/>
                <w:szCs w:val="16"/>
              </w:rPr>
              <w:t>CO</w:t>
            </w:r>
            <w:r w:rsidRPr="00256982">
              <w:rPr>
                <w:rFonts w:cs="Arial"/>
                <w:color w:val="000000"/>
                <w:szCs w:val="16"/>
                <w:vertAlign w:val="subscript"/>
              </w:rPr>
              <w:t>2</w:t>
            </w:r>
          </w:p>
        </w:tc>
        <w:tc>
          <w:tcPr>
            <w:tcW w:w="999" w:type="dxa"/>
            <w:tcBorders>
              <w:top w:val="single" w:sz="4" w:space="0" w:color="365F91"/>
              <w:bottom w:val="single" w:sz="4" w:space="0" w:color="365F91"/>
            </w:tcBorders>
            <w:shd w:val="clear" w:color="auto" w:fill="auto"/>
            <w:noWrap/>
          </w:tcPr>
          <w:p w14:paraId="28290F97"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292.7</w:t>
            </w:r>
          </w:p>
        </w:tc>
        <w:tc>
          <w:tcPr>
            <w:tcW w:w="1142" w:type="dxa"/>
            <w:tcBorders>
              <w:top w:val="single" w:sz="4" w:space="0" w:color="365F91"/>
              <w:bottom w:val="single" w:sz="4" w:space="0" w:color="365F91"/>
            </w:tcBorders>
            <w:shd w:val="clear" w:color="auto" w:fill="auto"/>
            <w:noWrap/>
          </w:tcPr>
          <w:p w14:paraId="4A47D292"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0.3</w:t>
            </w:r>
          </w:p>
        </w:tc>
        <w:tc>
          <w:tcPr>
            <w:tcW w:w="1022" w:type="dxa"/>
            <w:tcBorders>
              <w:top w:val="single" w:sz="4" w:space="0" w:color="365F91"/>
              <w:bottom w:val="single" w:sz="4" w:space="0" w:color="365F91"/>
            </w:tcBorders>
            <w:shd w:val="clear" w:color="auto" w:fill="auto"/>
            <w:noWrap/>
          </w:tcPr>
          <w:p w14:paraId="40660627"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94.7</w:t>
            </w:r>
          </w:p>
        </w:tc>
      </w:tr>
      <w:tr w:rsidR="00DE64BC" w:rsidRPr="00256982" w14:paraId="11B5F07F" w14:textId="77777777" w:rsidTr="00960A10">
        <w:tc>
          <w:tcPr>
            <w:tcW w:w="994" w:type="dxa"/>
            <w:tcBorders>
              <w:top w:val="single" w:sz="4" w:space="0" w:color="365F91"/>
              <w:bottom w:val="single" w:sz="4" w:space="0" w:color="365F91"/>
            </w:tcBorders>
          </w:tcPr>
          <w:p w14:paraId="131486AE" w14:textId="77777777" w:rsidR="00DE64BC" w:rsidRPr="00256982" w:rsidRDefault="00DE64BC" w:rsidP="00A808C7">
            <w:pPr>
              <w:pStyle w:val="TableText"/>
              <w:spacing w:before="50" w:after="50"/>
              <w:rPr>
                <w:rFonts w:cs="Arial"/>
                <w:szCs w:val="16"/>
              </w:rPr>
            </w:pPr>
            <w:r w:rsidRPr="00256982">
              <w:rPr>
                <w:rFonts w:cs="Arial"/>
                <w:color w:val="000000"/>
                <w:szCs w:val="16"/>
              </w:rPr>
              <w:t>1.B.2.c.1.ii</w:t>
            </w:r>
          </w:p>
        </w:tc>
        <w:tc>
          <w:tcPr>
            <w:tcW w:w="3834" w:type="dxa"/>
            <w:tcBorders>
              <w:top w:val="single" w:sz="4" w:space="0" w:color="365F91"/>
              <w:bottom w:val="single" w:sz="4" w:space="0" w:color="365F91"/>
            </w:tcBorders>
            <w:shd w:val="clear" w:color="auto" w:fill="auto"/>
          </w:tcPr>
          <w:p w14:paraId="157F6F72" w14:textId="77777777" w:rsidR="00DE64BC" w:rsidRPr="00256982" w:rsidRDefault="00DE64BC" w:rsidP="00A808C7">
            <w:pPr>
              <w:pStyle w:val="TableText"/>
              <w:spacing w:before="50" w:after="50"/>
              <w:rPr>
                <w:rFonts w:cs="Arial"/>
                <w:szCs w:val="16"/>
              </w:rPr>
            </w:pPr>
            <w:r w:rsidRPr="00256982">
              <w:rPr>
                <w:rFonts w:cs="Arial"/>
                <w:color w:val="000000"/>
                <w:szCs w:val="16"/>
              </w:rPr>
              <w:t>Venting – Gas</w:t>
            </w:r>
          </w:p>
        </w:tc>
        <w:tc>
          <w:tcPr>
            <w:tcW w:w="571" w:type="dxa"/>
            <w:tcBorders>
              <w:top w:val="single" w:sz="4" w:space="0" w:color="365F91"/>
              <w:bottom w:val="single" w:sz="4" w:space="0" w:color="365F91"/>
            </w:tcBorders>
            <w:shd w:val="clear" w:color="auto" w:fill="auto"/>
          </w:tcPr>
          <w:p w14:paraId="54E31EA9" w14:textId="77777777" w:rsidR="00DE64BC" w:rsidRPr="00256982" w:rsidRDefault="00DE64BC" w:rsidP="00A808C7">
            <w:pPr>
              <w:pStyle w:val="TableText"/>
              <w:spacing w:before="50" w:after="50"/>
              <w:jc w:val="center"/>
              <w:rPr>
                <w:rFonts w:cs="Arial"/>
                <w:szCs w:val="16"/>
              </w:rPr>
            </w:pPr>
            <w:r w:rsidRPr="00256982">
              <w:rPr>
                <w:rFonts w:cs="Arial"/>
                <w:color w:val="000000"/>
                <w:szCs w:val="16"/>
              </w:rPr>
              <w:t>CO</w:t>
            </w:r>
            <w:r w:rsidRPr="00256982">
              <w:rPr>
                <w:rFonts w:cs="Arial"/>
                <w:color w:val="000000"/>
                <w:szCs w:val="16"/>
                <w:vertAlign w:val="subscript"/>
              </w:rPr>
              <w:t>2</w:t>
            </w:r>
          </w:p>
        </w:tc>
        <w:tc>
          <w:tcPr>
            <w:tcW w:w="999" w:type="dxa"/>
            <w:tcBorders>
              <w:top w:val="single" w:sz="4" w:space="0" w:color="365F91"/>
              <w:bottom w:val="single" w:sz="4" w:space="0" w:color="365F91"/>
            </w:tcBorders>
            <w:shd w:val="clear" w:color="auto" w:fill="auto"/>
            <w:noWrap/>
          </w:tcPr>
          <w:p w14:paraId="281C26B7"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258.5</w:t>
            </w:r>
          </w:p>
        </w:tc>
        <w:tc>
          <w:tcPr>
            <w:tcW w:w="1142" w:type="dxa"/>
            <w:tcBorders>
              <w:top w:val="single" w:sz="4" w:space="0" w:color="365F91"/>
              <w:bottom w:val="single" w:sz="4" w:space="0" w:color="365F91"/>
            </w:tcBorders>
            <w:shd w:val="clear" w:color="auto" w:fill="auto"/>
            <w:noWrap/>
          </w:tcPr>
          <w:p w14:paraId="5B0614D8"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0.2</w:t>
            </w:r>
          </w:p>
        </w:tc>
        <w:tc>
          <w:tcPr>
            <w:tcW w:w="1022" w:type="dxa"/>
            <w:tcBorders>
              <w:top w:val="single" w:sz="4" w:space="0" w:color="365F91"/>
              <w:bottom w:val="single" w:sz="4" w:space="0" w:color="365F91"/>
            </w:tcBorders>
            <w:shd w:val="clear" w:color="auto" w:fill="auto"/>
            <w:noWrap/>
          </w:tcPr>
          <w:p w14:paraId="135A7E8F"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94.9</w:t>
            </w:r>
          </w:p>
        </w:tc>
      </w:tr>
      <w:tr w:rsidR="00DE64BC" w:rsidRPr="00256982" w14:paraId="197BD840" w14:textId="77777777" w:rsidTr="00960A10">
        <w:tc>
          <w:tcPr>
            <w:tcW w:w="994" w:type="dxa"/>
            <w:tcBorders>
              <w:top w:val="single" w:sz="4" w:space="0" w:color="365F91"/>
              <w:bottom w:val="single" w:sz="4" w:space="0" w:color="365F91"/>
            </w:tcBorders>
          </w:tcPr>
          <w:p w14:paraId="0BD7E2A0" w14:textId="77777777" w:rsidR="00DE64BC" w:rsidRPr="00256982" w:rsidRDefault="00DE64BC" w:rsidP="00A808C7">
            <w:pPr>
              <w:pStyle w:val="TableText"/>
              <w:spacing w:before="50" w:after="50"/>
              <w:rPr>
                <w:rFonts w:cs="Arial"/>
                <w:szCs w:val="16"/>
              </w:rPr>
            </w:pPr>
            <w:r w:rsidRPr="00256982">
              <w:rPr>
                <w:rFonts w:cs="Arial"/>
                <w:color w:val="000000"/>
                <w:szCs w:val="16"/>
              </w:rPr>
              <w:t>1.A.4.c</w:t>
            </w:r>
          </w:p>
        </w:tc>
        <w:tc>
          <w:tcPr>
            <w:tcW w:w="3834" w:type="dxa"/>
            <w:tcBorders>
              <w:top w:val="single" w:sz="4" w:space="0" w:color="365F91"/>
              <w:bottom w:val="single" w:sz="4" w:space="0" w:color="365F91"/>
            </w:tcBorders>
            <w:shd w:val="clear" w:color="auto" w:fill="auto"/>
          </w:tcPr>
          <w:p w14:paraId="741DC739" w14:textId="77777777" w:rsidR="00DE64BC" w:rsidRPr="00256982" w:rsidRDefault="00DE64BC" w:rsidP="00A808C7">
            <w:pPr>
              <w:pStyle w:val="TableText"/>
              <w:spacing w:before="50" w:after="50"/>
              <w:rPr>
                <w:rFonts w:cs="Arial"/>
                <w:szCs w:val="16"/>
              </w:rPr>
            </w:pPr>
            <w:r w:rsidRPr="00256982">
              <w:rPr>
                <w:rFonts w:cs="Arial"/>
                <w:color w:val="000000"/>
                <w:szCs w:val="16"/>
              </w:rPr>
              <w:t>Other Sectors – Agriculture/Forestry/Fishing Solid Fuels</w:t>
            </w:r>
          </w:p>
        </w:tc>
        <w:tc>
          <w:tcPr>
            <w:tcW w:w="571" w:type="dxa"/>
            <w:tcBorders>
              <w:top w:val="single" w:sz="4" w:space="0" w:color="365F91"/>
              <w:bottom w:val="single" w:sz="4" w:space="0" w:color="365F91"/>
            </w:tcBorders>
            <w:shd w:val="clear" w:color="auto" w:fill="auto"/>
          </w:tcPr>
          <w:p w14:paraId="3570D144" w14:textId="77777777" w:rsidR="00DE64BC" w:rsidRPr="00256982" w:rsidRDefault="00DE64BC" w:rsidP="00A808C7">
            <w:pPr>
              <w:pStyle w:val="TableText"/>
              <w:spacing w:before="50" w:after="50"/>
              <w:jc w:val="center"/>
              <w:rPr>
                <w:rFonts w:cs="Arial"/>
                <w:szCs w:val="16"/>
              </w:rPr>
            </w:pPr>
            <w:r w:rsidRPr="00256982">
              <w:rPr>
                <w:rFonts w:cs="Arial"/>
                <w:color w:val="000000"/>
                <w:szCs w:val="16"/>
              </w:rPr>
              <w:t>CO</w:t>
            </w:r>
            <w:r w:rsidRPr="00256982">
              <w:rPr>
                <w:rFonts w:cs="Arial"/>
                <w:color w:val="000000"/>
                <w:szCs w:val="16"/>
                <w:vertAlign w:val="subscript"/>
              </w:rPr>
              <w:t>2</w:t>
            </w:r>
          </w:p>
        </w:tc>
        <w:tc>
          <w:tcPr>
            <w:tcW w:w="999" w:type="dxa"/>
            <w:tcBorders>
              <w:top w:val="single" w:sz="4" w:space="0" w:color="365F91"/>
              <w:bottom w:val="single" w:sz="4" w:space="0" w:color="365F91"/>
            </w:tcBorders>
            <w:shd w:val="clear" w:color="auto" w:fill="auto"/>
            <w:noWrap/>
          </w:tcPr>
          <w:p w14:paraId="4418E569"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250.6</w:t>
            </w:r>
          </w:p>
        </w:tc>
        <w:tc>
          <w:tcPr>
            <w:tcW w:w="1142" w:type="dxa"/>
            <w:tcBorders>
              <w:top w:val="single" w:sz="4" w:space="0" w:color="365F91"/>
              <w:bottom w:val="single" w:sz="4" w:space="0" w:color="365F91"/>
            </w:tcBorders>
            <w:shd w:val="clear" w:color="auto" w:fill="auto"/>
            <w:noWrap/>
          </w:tcPr>
          <w:p w14:paraId="0A25C078"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0.2</w:t>
            </w:r>
          </w:p>
        </w:tc>
        <w:tc>
          <w:tcPr>
            <w:tcW w:w="1022" w:type="dxa"/>
            <w:tcBorders>
              <w:top w:val="single" w:sz="4" w:space="0" w:color="365F91"/>
              <w:bottom w:val="single" w:sz="4" w:space="0" w:color="365F91"/>
            </w:tcBorders>
            <w:shd w:val="clear" w:color="auto" w:fill="auto"/>
            <w:noWrap/>
          </w:tcPr>
          <w:p w14:paraId="65556E78"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95.1</w:t>
            </w:r>
          </w:p>
        </w:tc>
      </w:tr>
    </w:tbl>
    <w:p w14:paraId="3F23BCE2" w14:textId="77777777" w:rsidR="00DE64BC" w:rsidRPr="00256982" w:rsidRDefault="00DE64BC" w:rsidP="00A808C7">
      <w:pPr>
        <w:pStyle w:val="BodyText"/>
      </w:pPr>
    </w:p>
    <w:tbl>
      <w:tblPr>
        <w:tblW w:w="8562" w:type="dxa"/>
        <w:tblInd w:w="108" w:type="dxa"/>
        <w:tblBorders>
          <w:top w:val="single" w:sz="4" w:space="0" w:color="365F91"/>
          <w:bottom w:val="single" w:sz="4" w:space="0" w:color="365F91"/>
          <w:insideH w:val="single" w:sz="4" w:space="0" w:color="365F91"/>
        </w:tblBorders>
        <w:tblLayout w:type="fixed"/>
        <w:tblCellMar>
          <w:left w:w="85" w:type="dxa"/>
          <w:right w:w="57" w:type="dxa"/>
        </w:tblCellMar>
        <w:tblLook w:val="04A0" w:firstRow="1" w:lastRow="0" w:firstColumn="1" w:lastColumn="0" w:noHBand="0" w:noVBand="1"/>
      </w:tblPr>
      <w:tblGrid>
        <w:gridCol w:w="994"/>
        <w:gridCol w:w="3834"/>
        <w:gridCol w:w="571"/>
        <w:gridCol w:w="999"/>
        <w:gridCol w:w="1142"/>
        <w:gridCol w:w="1022"/>
      </w:tblGrid>
      <w:tr w:rsidR="00DE64BC" w:rsidRPr="00256982" w14:paraId="20FD7F72" w14:textId="77777777" w:rsidTr="00960A10">
        <w:trPr>
          <w:tblHeader/>
        </w:trPr>
        <w:tc>
          <w:tcPr>
            <w:tcW w:w="8562" w:type="dxa"/>
            <w:gridSpan w:val="6"/>
            <w:tcBorders>
              <w:top w:val="single" w:sz="4" w:space="0" w:color="365F91"/>
              <w:bottom w:val="single" w:sz="4" w:space="0" w:color="365F91"/>
            </w:tcBorders>
            <w:shd w:val="solid" w:color="365F91" w:fill="auto"/>
          </w:tcPr>
          <w:p w14:paraId="5911F554" w14:textId="77777777" w:rsidR="00DE64BC" w:rsidRPr="00256982" w:rsidRDefault="00DE64BC" w:rsidP="00A808C7">
            <w:pPr>
              <w:pStyle w:val="TableTextBold"/>
              <w:keepNext/>
              <w:rPr>
                <w:noProof w:val="0"/>
                <w:color w:val="FFFFFF"/>
                <w:lang w:eastAsia="en-NZ"/>
              </w:rPr>
            </w:pPr>
            <w:r w:rsidRPr="00256982">
              <w:rPr>
                <w:noProof w:val="0"/>
                <w:color w:val="FFFFFF"/>
                <w:lang w:eastAsia="en-NZ"/>
              </w:rPr>
              <w:t>(b) IPCC Tier 1 category level assessment – excluding LULUCF (gross emissions): 2017</w:t>
            </w:r>
          </w:p>
        </w:tc>
      </w:tr>
      <w:tr w:rsidR="00DE64BC" w:rsidRPr="00256982" w14:paraId="24B88C6B" w14:textId="77777777" w:rsidTr="00960A10">
        <w:trPr>
          <w:tblHeader/>
        </w:trPr>
        <w:tc>
          <w:tcPr>
            <w:tcW w:w="994" w:type="dxa"/>
            <w:shd w:val="clear" w:color="2E74B5" w:fill="auto"/>
            <w:vAlign w:val="bottom"/>
          </w:tcPr>
          <w:p w14:paraId="380EE96B" w14:textId="77777777" w:rsidR="00DE64BC" w:rsidRPr="00256982" w:rsidRDefault="00DE64BC" w:rsidP="00A808C7">
            <w:pPr>
              <w:pStyle w:val="TableTextBold"/>
              <w:keepNext/>
              <w:rPr>
                <w:rFonts w:cs="Arial"/>
                <w:noProof w:val="0"/>
                <w:szCs w:val="16"/>
                <w:lang w:eastAsia="en-NZ"/>
              </w:rPr>
            </w:pPr>
            <w:r w:rsidRPr="00256982">
              <w:rPr>
                <w:rFonts w:cs="Arial"/>
                <w:bCs/>
                <w:noProof w:val="0"/>
                <w:color w:val="000000"/>
                <w:szCs w:val="16"/>
              </w:rPr>
              <w:t>CRF category code</w:t>
            </w:r>
          </w:p>
        </w:tc>
        <w:tc>
          <w:tcPr>
            <w:tcW w:w="3834" w:type="dxa"/>
            <w:shd w:val="clear" w:color="2E74B5" w:fill="auto"/>
            <w:noWrap/>
            <w:vAlign w:val="bottom"/>
            <w:hideMark/>
          </w:tcPr>
          <w:p w14:paraId="2F1D7FC5" w14:textId="77777777" w:rsidR="00DE64BC" w:rsidRPr="00256982" w:rsidRDefault="00DE64BC" w:rsidP="00A808C7">
            <w:pPr>
              <w:pStyle w:val="TableTextBold"/>
              <w:rPr>
                <w:rFonts w:cs="Arial"/>
                <w:noProof w:val="0"/>
                <w:szCs w:val="16"/>
                <w:lang w:eastAsia="en-NZ"/>
              </w:rPr>
            </w:pPr>
            <w:r w:rsidRPr="00256982">
              <w:rPr>
                <w:rFonts w:cs="Arial"/>
                <w:bCs/>
                <w:noProof w:val="0"/>
                <w:color w:val="000000"/>
                <w:szCs w:val="16"/>
              </w:rPr>
              <w:t>IPCC category</w:t>
            </w:r>
          </w:p>
        </w:tc>
        <w:tc>
          <w:tcPr>
            <w:tcW w:w="571" w:type="dxa"/>
            <w:shd w:val="clear" w:color="2E74B5" w:fill="auto"/>
            <w:vAlign w:val="bottom"/>
            <w:hideMark/>
          </w:tcPr>
          <w:p w14:paraId="19BB7080" w14:textId="77777777" w:rsidR="00DE64BC" w:rsidRPr="00256982" w:rsidRDefault="00DE64BC" w:rsidP="00A808C7">
            <w:pPr>
              <w:pStyle w:val="TableTextBold"/>
              <w:jc w:val="center"/>
              <w:rPr>
                <w:rFonts w:cs="Arial"/>
                <w:noProof w:val="0"/>
                <w:szCs w:val="16"/>
                <w:lang w:eastAsia="en-NZ"/>
              </w:rPr>
            </w:pPr>
            <w:r w:rsidRPr="00256982">
              <w:rPr>
                <w:rFonts w:cs="Arial"/>
                <w:bCs/>
                <w:noProof w:val="0"/>
                <w:color w:val="000000"/>
                <w:szCs w:val="16"/>
              </w:rPr>
              <w:t>Gas</w:t>
            </w:r>
          </w:p>
        </w:tc>
        <w:tc>
          <w:tcPr>
            <w:tcW w:w="999" w:type="dxa"/>
            <w:shd w:val="clear" w:color="2E74B5" w:fill="auto"/>
            <w:vAlign w:val="bottom"/>
            <w:hideMark/>
          </w:tcPr>
          <w:p w14:paraId="46D7A05D" w14:textId="77777777" w:rsidR="00DE64BC" w:rsidRPr="00256982" w:rsidRDefault="00DE64BC" w:rsidP="00A808C7">
            <w:pPr>
              <w:pStyle w:val="TableTextBold"/>
              <w:jc w:val="right"/>
              <w:rPr>
                <w:rFonts w:cs="Arial"/>
                <w:noProof w:val="0"/>
                <w:szCs w:val="16"/>
                <w:lang w:eastAsia="en-NZ"/>
              </w:rPr>
            </w:pPr>
            <w:r w:rsidRPr="00256982">
              <w:rPr>
                <w:rFonts w:cs="Arial"/>
                <w:bCs/>
                <w:noProof w:val="0"/>
                <w:color w:val="000000"/>
                <w:szCs w:val="16"/>
              </w:rPr>
              <w:t>2017 estimate</w:t>
            </w:r>
            <w:r w:rsidRPr="00256982">
              <w:rPr>
                <w:rFonts w:cs="Arial"/>
                <w:bCs/>
                <w:noProof w:val="0"/>
                <w:color w:val="000000"/>
                <w:szCs w:val="16"/>
              </w:rPr>
              <w:br/>
              <w:t>(kt CO</w:t>
            </w:r>
            <w:r w:rsidRPr="00256982">
              <w:rPr>
                <w:rFonts w:cs="Arial"/>
                <w:bCs/>
                <w:noProof w:val="0"/>
                <w:color w:val="000000"/>
                <w:szCs w:val="16"/>
                <w:vertAlign w:val="subscript"/>
              </w:rPr>
              <w:t>2</w:t>
            </w:r>
            <w:r w:rsidRPr="00256982">
              <w:rPr>
                <w:rFonts w:cs="Arial"/>
                <w:bCs/>
                <w:noProof w:val="0"/>
                <w:color w:val="000000"/>
                <w:szCs w:val="16"/>
              </w:rPr>
              <w:t>-e)</w:t>
            </w:r>
          </w:p>
        </w:tc>
        <w:tc>
          <w:tcPr>
            <w:tcW w:w="1142" w:type="dxa"/>
            <w:shd w:val="clear" w:color="2E74B5" w:fill="auto"/>
            <w:vAlign w:val="bottom"/>
            <w:hideMark/>
          </w:tcPr>
          <w:p w14:paraId="592FDCA9" w14:textId="77777777" w:rsidR="00DE64BC" w:rsidRPr="00256982" w:rsidRDefault="00DE64BC" w:rsidP="00A808C7">
            <w:pPr>
              <w:pStyle w:val="TableTextBold"/>
              <w:jc w:val="right"/>
              <w:rPr>
                <w:rFonts w:cs="Arial"/>
                <w:noProof w:val="0"/>
                <w:szCs w:val="16"/>
                <w:lang w:eastAsia="en-NZ"/>
              </w:rPr>
            </w:pPr>
            <w:r w:rsidRPr="00256982">
              <w:rPr>
                <w:rFonts w:cs="Arial"/>
                <w:bCs/>
                <w:noProof w:val="0"/>
                <w:color w:val="000000"/>
                <w:szCs w:val="16"/>
              </w:rPr>
              <w:t>Level assessment (%)</w:t>
            </w:r>
          </w:p>
        </w:tc>
        <w:tc>
          <w:tcPr>
            <w:tcW w:w="1022" w:type="dxa"/>
            <w:shd w:val="clear" w:color="2E74B5" w:fill="auto"/>
            <w:vAlign w:val="bottom"/>
            <w:hideMark/>
          </w:tcPr>
          <w:p w14:paraId="1C31272C" w14:textId="77777777" w:rsidR="00DE64BC" w:rsidRPr="00256982" w:rsidRDefault="00DE64BC" w:rsidP="00A808C7">
            <w:pPr>
              <w:pStyle w:val="TableTextBold"/>
              <w:jc w:val="right"/>
              <w:rPr>
                <w:rFonts w:cs="Arial"/>
                <w:noProof w:val="0"/>
                <w:szCs w:val="16"/>
                <w:lang w:eastAsia="en-NZ"/>
              </w:rPr>
            </w:pPr>
            <w:r w:rsidRPr="00256982">
              <w:rPr>
                <w:rFonts w:cs="Arial"/>
                <w:bCs/>
                <w:noProof w:val="0"/>
                <w:color w:val="000000"/>
                <w:szCs w:val="16"/>
              </w:rPr>
              <w:t>Cumulative total (%)</w:t>
            </w:r>
          </w:p>
        </w:tc>
      </w:tr>
      <w:tr w:rsidR="00DE64BC" w:rsidRPr="00256982" w14:paraId="5391508F" w14:textId="77777777" w:rsidTr="00960A10">
        <w:tc>
          <w:tcPr>
            <w:tcW w:w="994" w:type="dxa"/>
          </w:tcPr>
          <w:p w14:paraId="56EF98A5" w14:textId="77777777" w:rsidR="00DE64BC" w:rsidRPr="00256982" w:rsidRDefault="00DE64BC" w:rsidP="00A808C7">
            <w:pPr>
              <w:pStyle w:val="TableText"/>
              <w:spacing w:before="40" w:after="40"/>
              <w:rPr>
                <w:rFonts w:cs="Arial"/>
                <w:szCs w:val="16"/>
              </w:rPr>
            </w:pPr>
            <w:r w:rsidRPr="00256982">
              <w:rPr>
                <w:rFonts w:cs="Arial"/>
                <w:color w:val="000000"/>
                <w:szCs w:val="16"/>
              </w:rPr>
              <w:t>1.A.3.b</w:t>
            </w:r>
          </w:p>
        </w:tc>
        <w:tc>
          <w:tcPr>
            <w:tcW w:w="3834" w:type="dxa"/>
            <w:shd w:val="clear" w:color="auto" w:fill="auto"/>
          </w:tcPr>
          <w:p w14:paraId="40BFDF7D" w14:textId="77777777" w:rsidR="00DE64BC" w:rsidRPr="00256982" w:rsidRDefault="00DE64BC" w:rsidP="00A808C7">
            <w:pPr>
              <w:pStyle w:val="TableText"/>
              <w:spacing w:before="40" w:after="40"/>
              <w:rPr>
                <w:rFonts w:cs="Arial"/>
                <w:szCs w:val="16"/>
              </w:rPr>
            </w:pPr>
            <w:r w:rsidRPr="00256982">
              <w:rPr>
                <w:rFonts w:cs="Arial"/>
                <w:color w:val="000000"/>
                <w:szCs w:val="16"/>
              </w:rPr>
              <w:t>Transport – Road Transportation Liquid Fuels</w:t>
            </w:r>
          </w:p>
        </w:tc>
        <w:tc>
          <w:tcPr>
            <w:tcW w:w="571" w:type="dxa"/>
            <w:shd w:val="clear" w:color="auto" w:fill="auto"/>
          </w:tcPr>
          <w:p w14:paraId="1BED8751" w14:textId="77777777" w:rsidR="00DE64BC" w:rsidRPr="00256982" w:rsidRDefault="00DE64BC" w:rsidP="00A808C7">
            <w:pPr>
              <w:pStyle w:val="TableText"/>
              <w:spacing w:before="40" w:after="40"/>
              <w:jc w:val="center"/>
              <w:rPr>
                <w:rFonts w:cs="Arial"/>
                <w:szCs w:val="16"/>
              </w:rPr>
            </w:pPr>
            <w:r w:rsidRPr="00256982">
              <w:rPr>
                <w:rFonts w:cs="Arial"/>
                <w:color w:val="000000"/>
                <w:szCs w:val="16"/>
              </w:rPr>
              <w:t>CO</w:t>
            </w:r>
            <w:r w:rsidRPr="00256982">
              <w:rPr>
                <w:rFonts w:cs="Arial"/>
                <w:color w:val="000000"/>
                <w:szCs w:val="16"/>
                <w:vertAlign w:val="subscript"/>
              </w:rPr>
              <w:t>2</w:t>
            </w:r>
          </w:p>
        </w:tc>
        <w:tc>
          <w:tcPr>
            <w:tcW w:w="999" w:type="dxa"/>
            <w:shd w:val="clear" w:color="auto" w:fill="auto"/>
            <w:noWrap/>
          </w:tcPr>
          <w:p w14:paraId="026CFE27"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14,335.0</w:t>
            </w:r>
          </w:p>
        </w:tc>
        <w:tc>
          <w:tcPr>
            <w:tcW w:w="1142" w:type="dxa"/>
            <w:shd w:val="clear" w:color="auto" w:fill="auto"/>
            <w:noWrap/>
          </w:tcPr>
          <w:p w14:paraId="2A5EDBD6"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17.7</w:t>
            </w:r>
          </w:p>
        </w:tc>
        <w:tc>
          <w:tcPr>
            <w:tcW w:w="1022" w:type="dxa"/>
            <w:shd w:val="clear" w:color="auto" w:fill="auto"/>
            <w:noWrap/>
          </w:tcPr>
          <w:p w14:paraId="14246708"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17.7</w:t>
            </w:r>
          </w:p>
        </w:tc>
      </w:tr>
      <w:tr w:rsidR="00DE64BC" w:rsidRPr="00256982" w14:paraId="364CAA4B" w14:textId="77777777" w:rsidTr="00960A10">
        <w:tc>
          <w:tcPr>
            <w:tcW w:w="994" w:type="dxa"/>
          </w:tcPr>
          <w:p w14:paraId="08CC4FB3" w14:textId="77777777" w:rsidR="00DE64BC" w:rsidRPr="00256982" w:rsidRDefault="00DE64BC" w:rsidP="00A808C7">
            <w:pPr>
              <w:pStyle w:val="TableText"/>
              <w:spacing w:before="40" w:after="40"/>
              <w:rPr>
                <w:rFonts w:cs="Arial"/>
                <w:szCs w:val="16"/>
              </w:rPr>
            </w:pPr>
            <w:r w:rsidRPr="00256982">
              <w:rPr>
                <w:rFonts w:cs="Arial"/>
                <w:color w:val="000000"/>
                <w:szCs w:val="16"/>
              </w:rPr>
              <w:t>3.A.1</w:t>
            </w:r>
          </w:p>
        </w:tc>
        <w:tc>
          <w:tcPr>
            <w:tcW w:w="3834" w:type="dxa"/>
            <w:shd w:val="clear" w:color="auto" w:fill="auto"/>
          </w:tcPr>
          <w:p w14:paraId="211A4006" w14:textId="77777777" w:rsidR="00DE64BC" w:rsidRPr="00256982" w:rsidRDefault="00DE64BC" w:rsidP="00A808C7">
            <w:pPr>
              <w:pStyle w:val="TableText"/>
              <w:spacing w:before="40" w:after="40"/>
              <w:rPr>
                <w:rFonts w:cs="Arial"/>
                <w:szCs w:val="16"/>
              </w:rPr>
            </w:pPr>
            <w:r w:rsidRPr="00256982">
              <w:rPr>
                <w:rFonts w:cs="Arial"/>
                <w:color w:val="000000"/>
                <w:szCs w:val="16"/>
              </w:rPr>
              <w:t>Option A – Dairy Cattle</w:t>
            </w:r>
          </w:p>
        </w:tc>
        <w:tc>
          <w:tcPr>
            <w:tcW w:w="571" w:type="dxa"/>
            <w:shd w:val="clear" w:color="auto" w:fill="auto"/>
          </w:tcPr>
          <w:p w14:paraId="0716F04A" w14:textId="77777777" w:rsidR="00DE64BC" w:rsidRPr="00256982" w:rsidRDefault="00DE64BC" w:rsidP="00A808C7">
            <w:pPr>
              <w:pStyle w:val="TableText"/>
              <w:spacing w:before="40" w:after="40"/>
              <w:jc w:val="center"/>
              <w:rPr>
                <w:rFonts w:cs="Arial"/>
                <w:szCs w:val="16"/>
              </w:rPr>
            </w:pPr>
            <w:r w:rsidRPr="00256982">
              <w:rPr>
                <w:rFonts w:cs="Arial"/>
                <w:color w:val="000000"/>
                <w:szCs w:val="16"/>
              </w:rPr>
              <w:t>CH</w:t>
            </w:r>
            <w:r w:rsidRPr="00256982">
              <w:rPr>
                <w:rFonts w:cs="Arial"/>
                <w:color w:val="000000"/>
                <w:szCs w:val="16"/>
                <w:vertAlign w:val="subscript"/>
              </w:rPr>
              <w:t>4</w:t>
            </w:r>
          </w:p>
        </w:tc>
        <w:tc>
          <w:tcPr>
            <w:tcW w:w="999" w:type="dxa"/>
            <w:shd w:val="clear" w:color="auto" w:fill="auto"/>
            <w:noWrap/>
          </w:tcPr>
          <w:p w14:paraId="160CECA6"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13,560.1</w:t>
            </w:r>
          </w:p>
        </w:tc>
        <w:tc>
          <w:tcPr>
            <w:tcW w:w="1142" w:type="dxa"/>
            <w:shd w:val="clear" w:color="auto" w:fill="auto"/>
            <w:noWrap/>
          </w:tcPr>
          <w:p w14:paraId="08DF64C4"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16.8</w:t>
            </w:r>
          </w:p>
        </w:tc>
        <w:tc>
          <w:tcPr>
            <w:tcW w:w="1022" w:type="dxa"/>
            <w:shd w:val="clear" w:color="auto" w:fill="auto"/>
            <w:noWrap/>
          </w:tcPr>
          <w:p w14:paraId="7D29591D"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34.5</w:t>
            </w:r>
          </w:p>
        </w:tc>
      </w:tr>
      <w:tr w:rsidR="00DE64BC" w:rsidRPr="00256982" w14:paraId="199E4E7A" w14:textId="77777777" w:rsidTr="00960A10">
        <w:tc>
          <w:tcPr>
            <w:tcW w:w="994" w:type="dxa"/>
          </w:tcPr>
          <w:p w14:paraId="362DC35B" w14:textId="77777777" w:rsidR="00DE64BC" w:rsidRPr="00256982" w:rsidRDefault="00DE64BC" w:rsidP="00A808C7">
            <w:pPr>
              <w:pStyle w:val="TableText"/>
              <w:spacing w:before="40" w:after="40"/>
              <w:rPr>
                <w:rFonts w:cs="Arial"/>
                <w:szCs w:val="16"/>
              </w:rPr>
            </w:pPr>
            <w:r w:rsidRPr="00256982">
              <w:rPr>
                <w:rFonts w:cs="Arial"/>
                <w:color w:val="000000"/>
                <w:szCs w:val="16"/>
              </w:rPr>
              <w:t>3.A.2</w:t>
            </w:r>
          </w:p>
        </w:tc>
        <w:tc>
          <w:tcPr>
            <w:tcW w:w="3834" w:type="dxa"/>
            <w:shd w:val="clear" w:color="auto" w:fill="auto"/>
          </w:tcPr>
          <w:p w14:paraId="14AC582C" w14:textId="77777777" w:rsidR="00DE64BC" w:rsidRPr="00256982" w:rsidRDefault="00DE64BC" w:rsidP="00A808C7">
            <w:pPr>
              <w:pStyle w:val="TableText"/>
              <w:spacing w:before="40" w:after="40"/>
              <w:rPr>
                <w:rFonts w:cs="Arial"/>
                <w:szCs w:val="16"/>
              </w:rPr>
            </w:pPr>
            <w:r w:rsidRPr="00256982">
              <w:rPr>
                <w:rFonts w:cs="Arial"/>
                <w:color w:val="000000"/>
                <w:szCs w:val="16"/>
              </w:rPr>
              <w:t>Other (please specify) – Sheep</w:t>
            </w:r>
          </w:p>
        </w:tc>
        <w:tc>
          <w:tcPr>
            <w:tcW w:w="571" w:type="dxa"/>
            <w:shd w:val="clear" w:color="auto" w:fill="auto"/>
          </w:tcPr>
          <w:p w14:paraId="32BF48DB" w14:textId="77777777" w:rsidR="00DE64BC" w:rsidRPr="00256982" w:rsidRDefault="00DE64BC" w:rsidP="00A808C7">
            <w:pPr>
              <w:pStyle w:val="TableText"/>
              <w:spacing w:before="40" w:after="40"/>
              <w:jc w:val="center"/>
              <w:rPr>
                <w:rFonts w:cs="Arial"/>
                <w:szCs w:val="16"/>
              </w:rPr>
            </w:pPr>
            <w:r w:rsidRPr="00256982">
              <w:rPr>
                <w:rFonts w:cs="Arial"/>
                <w:color w:val="000000"/>
                <w:szCs w:val="16"/>
              </w:rPr>
              <w:t>CH</w:t>
            </w:r>
            <w:r w:rsidRPr="00256982">
              <w:rPr>
                <w:rFonts w:cs="Arial"/>
                <w:color w:val="000000"/>
                <w:szCs w:val="16"/>
                <w:vertAlign w:val="subscript"/>
              </w:rPr>
              <w:t>4</w:t>
            </w:r>
          </w:p>
        </w:tc>
        <w:tc>
          <w:tcPr>
            <w:tcW w:w="999" w:type="dxa"/>
            <w:shd w:val="clear" w:color="auto" w:fill="auto"/>
            <w:noWrap/>
          </w:tcPr>
          <w:p w14:paraId="6F5ACE3A"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8,253.1</w:t>
            </w:r>
          </w:p>
        </w:tc>
        <w:tc>
          <w:tcPr>
            <w:tcW w:w="1142" w:type="dxa"/>
            <w:shd w:val="clear" w:color="auto" w:fill="auto"/>
            <w:noWrap/>
          </w:tcPr>
          <w:p w14:paraId="09A66AA7"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10.2</w:t>
            </w:r>
          </w:p>
        </w:tc>
        <w:tc>
          <w:tcPr>
            <w:tcW w:w="1022" w:type="dxa"/>
            <w:shd w:val="clear" w:color="auto" w:fill="auto"/>
            <w:noWrap/>
          </w:tcPr>
          <w:p w14:paraId="50564B94"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44.7</w:t>
            </w:r>
          </w:p>
        </w:tc>
      </w:tr>
      <w:tr w:rsidR="00DE64BC" w:rsidRPr="00256982" w14:paraId="35A3BA0C" w14:textId="77777777" w:rsidTr="00960A10">
        <w:tc>
          <w:tcPr>
            <w:tcW w:w="994" w:type="dxa"/>
          </w:tcPr>
          <w:p w14:paraId="69354C66" w14:textId="77777777" w:rsidR="00DE64BC" w:rsidRPr="00256982" w:rsidRDefault="00DE64BC" w:rsidP="00A808C7">
            <w:pPr>
              <w:pStyle w:val="TableText"/>
              <w:spacing w:before="40" w:after="40"/>
              <w:rPr>
                <w:rFonts w:cs="Arial"/>
                <w:szCs w:val="16"/>
              </w:rPr>
            </w:pPr>
            <w:r w:rsidRPr="00256982">
              <w:rPr>
                <w:rFonts w:cs="Arial"/>
                <w:color w:val="000000"/>
                <w:szCs w:val="16"/>
              </w:rPr>
              <w:t>3.D.1.3</w:t>
            </w:r>
          </w:p>
        </w:tc>
        <w:tc>
          <w:tcPr>
            <w:tcW w:w="3834" w:type="dxa"/>
            <w:shd w:val="clear" w:color="auto" w:fill="auto"/>
          </w:tcPr>
          <w:p w14:paraId="3CC0DA18" w14:textId="77777777" w:rsidR="00DE64BC" w:rsidRPr="00256982" w:rsidRDefault="00DE64BC" w:rsidP="00A808C7">
            <w:pPr>
              <w:pStyle w:val="TableText"/>
              <w:spacing w:before="40" w:after="40"/>
              <w:rPr>
                <w:rFonts w:cs="Arial"/>
                <w:szCs w:val="16"/>
              </w:rPr>
            </w:pPr>
            <w:r w:rsidRPr="00256982">
              <w:rPr>
                <w:rFonts w:cs="Arial"/>
                <w:color w:val="000000"/>
                <w:szCs w:val="16"/>
              </w:rPr>
              <w:t>Direct N</w:t>
            </w:r>
            <w:r w:rsidRPr="00256982">
              <w:rPr>
                <w:rFonts w:cs="Arial"/>
                <w:color w:val="000000"/>
                <w:szCs w:val="16"/>
                <w:vertAlign w:val="subscript"/>
              </w:rPr>
              <w:t>2</w:t>
            </w:r>
            <w:r w:rsidRPr="00256982">
              <w:rPr>
                <w:rFonts w:cs="Arial"/>
                <w:color w:val="000000"/>
                <w:szCs w:val="16"/>
              </w:rPr>
              <w:t>O Emissions From Managed Soils – Urine and Dung Deposited by Grazing Animals</w:t>
            </w:r>
          </w:p>
        </w:tc>
        <w:tc>
          <w:tcPr>
            <w:tcW w:w="571" w:type="dxa"/>
            <w:shd w:val="clear" w:color="auto" w:fill="auto"/>
          </w:tcPr>
          <w:p w14:paraId="4D7B99EB" w14:textId="77777777" w:rsidR="00DE64BC" w:rsidRPr="00256982" w:rsidRDefault="00DE64BC" w:rsidP="00A808C7">
            <w:pPr>
              <w:pStyle w:val="TableText"/>
              <w:spacing w:before="40" w:after="40"/>
              <w:jc w:val="center"/>
              <w:rPr>
                <w:rFonts w:cs="Arial"/>
                <w:szCs w:val="16"/>
              </w:rPr>
            </w:pPr>
            <w:r w:rsidRPr="00256982">
              <w:rPr>
                <w:rFonts w:cs="Arial"/>
                <w:color w:val="000000"/>
                <w:szCs w:val="16"/>
              </w:rPr>
              <w:t>N</w:t>
            </w:r>
            <w:r w:rsidRPr="00256982">
              <w:rPr>
                <w:rFonts w:cs="Arial"/>
                <w:color w:val="000000"/>
                <w:szCs w:val="16"/>
                <w:vertAlign w:val="subscript"/>
              </w:rPr>
              <w:t>2</w:t>
            </w:r>
            <w:r w:rsidRPr="00256982">
              <w:rPr>
                <w:rFonts w:cs="Arial"/>
                <w:color w:val="000000"/>
                <w:szCs w:val="16"/>
              </w:rPr>
              <w:t>O</w:t>
            </w:r>
          </w:p>
        </w:tc>
        <w:tc>
          <w:tcPr>
            <w:tcW w:w="999" w:type="dxa"/>
            <w:shd w:val="clear" w:color="auto" w:fill="auto"/>
            <w:noWrap/>
          </w:tcPr>
          <w:p w14:paraId="19CCA5FD"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5,435.3</w:t>
            </w:r>
          </w:p>
        </w:tc>
        <w:tc>
          <w:tcPr>
            <w:tcW w:w="1142" w:type="dxa"/>
            <w:shd w:val="clear" w:color="auto" w:fill="auto"/>
            <w:noWrap/>
          </w:tcPr>
          <w:p w14:paraId="5B0897AD"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6.7</w:t>
            </w:r>
          </w:p>
        </w:tc>
        <w:tc>
          <w:tcPr>
            <w:tcW w:w="1022" w:type="dxa"/>
            <w:shd w:val="clear" w:color="auto" w:fill="auto"/>
            <w:noWrap/>
          </w:tcPr>
          <w:p w14:paraId="73AFAD99"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51.4</w:t>
            </w:r>
          </w:p>
        </w:tc>
      </w:tr>
      <w:tr w:rsidR="00DE64BC" w:rsidRPr="00256982" w14:paraId="02E38521" w14:textId="77777777" w:rsidTr="00960A10">
        <w:tc>
          <w:tcPr>
            <w:tcW w:w="994" w:type="dxa"/>
          </w:tcPr>
          <w:p w14:paraId="652534C0" w14:textId="77777777" w:rsidR="00DE64BC" w:rsidRPr="00256982" w:rsidRDefault="00DE64BC" w:rsidP="00A808C7">
            <w:pPr>
              <w:pStyle w:val="TableText"/>
              <w:spacing w:before="40" w:after="40"/>
              <w:rPr>
                <w:rFonts w:cs="Arial"/>
                <w:szCs w:val="16"/>
              </w:rPr>
            </w:pPr>
            <w:r w:rsidRPr="00256982">
              <w:rPr>
                <w:rFonts w:cs="Arial"/>
                <w:color w:val="000000"/>
                <w:szCs w:val="16"/>
              </w:rPr>
              <w:t>3.A.1</w:t>
            </w:r>
          </w:p>
        </w:tc>
        <w:tc>
          <w:tcPr>
            <w:tcW w:w="3834" w:type="dxa"/>
            <w:shd w:val="clear" w:color="auto" w:fill="auto"/>
          </w:tcPr>
          <w:p w14:paraId="5F659426" w14:textId="77777777" w:rsidR="00DE64BC" w:rsidRPr="00256982" w:rsidRDefault="00DE64BC" w:rsidP="00A808C7">
            <w:pPr>
              <w:pStyle w:val="TableText"/>
              <w:spacing w:before="40" w:after="40"/>
              <w:rPr>
                <w:rFonts w:cs="Arial"/>
                <w:szCs w:val="16"/>
              </w:rPr>
            </w:pPr>
            <w:r w:rsidRPr="00256982">
              <w:rPr>
                <w:rFonts w:cs="Arial"/>
                <w:color w:val="000000"/>
                <w:szCs w:val="16"/>
              </w:rPr>
              <w:t>Option A – Non-Dairy Cattle</w:t>
            </w:r>
          </w:p>
        </w:tc>
        <w:tc>
          <w:tcPr>
            <w:tcW w:w="571" w:type="dxa"/>
            <w:shd w:val="clear" w:color="auto" w:fill="auto"/>
          </w:tcPr>
          <w:p w14:paraId="56F14CF2" w14:textId="77777777" w:rsidR="00DE64BC" w:rsidRPr="00256982" w:rsidRDefault="00DE64BC" w:rsidP="00A808C7">
            <w:pPr>
              <w:pStyle w:val="TableText"/>
              <w:spacing w:before="40" w:after="40"/>
              <w:jc w:val="center"/>
              <w:rPr>
                <w:rFonts w:cs="Arial"/>
                <w:szCs w:val="16"/>
              </w:rPr>
            </w:pPr>
            <w:r w:rsidRPr="00256982">
              <w:rPr>
                <w:rFonts w:cs="Arial"/>
                <w:color w:val="000000"/>
                <w:szCs w:val="16"/>
              </w:rPr>
              <w:t>CH</w:t>
            </w:r>
            <w:r w:rsidRPr="00256982">
              <w:rPr>
                <w:rFonts w:cs="Arial"/>
                <w:color w:val="000000"/>
                <w:szCs w:val="16"/>
                <w:vertAlign w:val="subscript"/>
              </w:rPr>
              <w:t>4</w:t>
            </w:r>
          </w:p>
        </w:tc>
        <w:tc>
          <w:tcPr>
            <w:tcW w:w="999" w:type="dxa"/>
            <w:shd w:val="clear" w:color="auto" w:fill="auto"/>
            <w:noWrap/>
          </w:tcPr>
          <w:p w14:paraId="0221C346"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5,298.0</w:t>
            </w:r>
          </w:p>
        </w:tc>
        <w:tc>
          <w:tcPr>
            <w:tcW w:w="1142" w:type="dxa"/>
            <w:shd w:val="clear" w:color="auto" w:fill="auto"/>
            <w:noWrap/>
          </w:tcPr>
          <w:p w14:paraId="644D025C"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6.6</w:t>
            </w:r>
          </w:p>
        </w:tc>
        <w:tc>
          <w:tcPr>
            <w:tcW w:w="1022" w:type="dxa"/>
            <w:shd w:val="clear" w:color="auto" w:fill="auto"/>
            <w:noWrap/>
          </w:tcPr>
          <w:p w14:paraId="79606A86"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58.0</w:t>
            </w:r>
          </w:p>
        </w:tc>
      </w:tr>
      <w:tr w:rsidR="00DE64BC" w:rsidRPr="00256982" w14:paraId="6757B2FF" w14:textId="77777777" w:rsidTr="00960A10">
        <w:tc>
          <w:tcPr>
            <w:tcW w:w="994" w:type="dxa"/>
          </w:tcPr>
          <w:p w14:paraId="6D76EC92" w14:textId="77777777" w:rsidR="00DE64BC" w:rsidRPr="00256982" w:rsidRDefault="00DE64BC" w:rsidP="00A808C7">
            <w:pPr>
              <w:pStyle w:val="TableText"/>
              <w:spacing w:before="40" w:after="40"/>
              <w:rPr>
                <w:rFonts w:cs="Arial"/>
                <w:szCs w:val="16"/>
              </w:rPr>
            </w:pPr>
            <w:r w:rsidRPr="00256982">
              <w:rPr>
                <w:rFonts w:cs="Arial"/>
                <w:color w:val="000000"/>
                <w:szCs w:val="16"/>
              </w:rPr>
              <w:t>5.A</w:t>
            </w:r>
          </w:p>
        </w:tc>
        <w:tc>
          <w:tcPr>
            <w:tcW w:w="3834" w:type="dxa"/>
            <w:shd w:val="clear" w:color="auto" w:fill="auto"/>
          </w:tcPr>
          <w:p w14:paraId="065E95FB" w14:textId="77777777" w:rsidR="00DE64BC" w:rsidRPr="00256982" w:rsidRDefault="00DE64BC" w:rsidP="00A808C7">
            <w:pPr>
              <w:pStyle w:val="TableText"/>
              <w:spacing w:before="40" w:after="40"/>
              <w:rPr>
                <w:rFonts w:cs="Arial"/>
                <w:szCs w:val="16"/>
              </w:rPr>
            </w:pPr>
            <w:r w:rsidRPr="00256982">
              <w:rPr>
                <w:rFonts w:cs="Arial"/>
                <w:color w:val="000000"/>
                <w:szCs w:val="16"/>
              </w:rPr>
              <w:t>Waste – Solid Waste Disposal</w:t>
            </w:r>
          </w:p>
        </w:tc>
        <w:tc>
          <w:tcPr>
            <w:tcW w:w="571" w:type="dxa"/>
            <w:shd w:val="clear" w:color="auto" w:fill="auto"/>
          </w:tcPr>
          <w:p w14:paraId="75AC68D1" w14:textId="77777777" w:rsidR="00DE64BC" w:rsidRPr="00256982" w:rsidRDefault="00DE64BC" w:rsidP="00A808C7">
            <w:pPr>
              <w:pStyle w:val="TableText"/>
              <w:spacing w:before="40" w:after="40"/>
              <w:jc w:val="center"/>
              <w:rPr>
                <w:rFonts w:cs="Arial"/>
                <w:szCs w:val="16"/>
              </w:rPr>
            </w:pPr>
            <w:r w:rsidRPr="00256982">
              <w:rPr>
                <w:rFonts w:cs="Arial"/>
                <w:color w:val="000000"/>
                <w:szCs w:val="16"/>
              </w:rPr>
              <w:t>CH</w:t>
            </w:r>
            <w:r w:rsidRPr="00256982">
              <w:rPr>
                <w:rFonts w:cs="Arial"/>
                <w:color w:val="000000"/>
                <w:szCs w:val="16"/>
                <w:vertAlign w:val="subscript"/>
              </w:rPr>
              <w:t>4</w:t>
            </w:r>
          </w:p>
        </w:tc>
        <w:tc>
          <w:tcPr>
            <w:tcW w:w="999" w:type="dxa"/>
            <w:shd w:val="clear" w:color="auto" w:fill="auto"/>
            <w:noWrap/>
          </w:tcPr>
          <w:p w14:paraId="723E0153"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3,724.5</w:t>
            </w:r>
          </w:p>
        </w:tc>
        <w:tc>
          <w:tcPr>
            <w:tcW w:w="1142" w:type="dxa"/>
            <w:shd w:val="clear" w:color="auto" w:fill="auto"/>
            <w:noWrap/>
          </w:tcPr>
          <w:p w14:paraId="4FC5C077"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4.6</w:t>
            </w:r>
          </w:p>
        </w:tc>
        <w:tc>
          <w:tcPr>
            <w:tcW w:w="1022" w:type="dxa"/>
            <w:shd w:val="clear" w:color="auto" w:fill="auto"/>
            <w:noWrap/>
          </w:tcPr>
          <w:p w14:paraId="7075840C"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62.6</w:t>
            </w:r>
          </w:p>
        </w:tc>
      </w:tr>
      <w:tr w:rsidR="00DE64BC" w:rsidRPr="00256982" w14:paraId="24A68651" w14:textId="77777777" w:rsidTr="00960A10">
        <w:tc>
          <w:tcPr>
            <w:tcW w:w="994" w:type="dxa"/>
          </w:tcPr>
          <w:p w14:paraId="2A7ADD8B" w14:textId="77777777" w:rsidR="00DE64BC" w:rsidRPr="00256982" w:rsidRDefault="00DE64BC" w:rsidP="00A808C7">
            <w:pPr>
              <w:pStyle w:val="TableText"/>
              <w:spacing w:before="40" w:after="40"/>
              <w:rPr>
                <w:rFonts w:cs="Arial"/>
                <w:szCs w:val="16"/>
              </w:rPr>
            </w:pPr>
            <w:r w:rsidRPr="00256982">
              <w:rPr>
                <w:rFonts w:cs="Arial"/>
                <w:color w:val="000000"/>
                <w:szCs w:val="16"/>
              </w:rPr>
              <w:t>1.A.1.a</w:t>
            </w:r>
          </w:p>
        </w:tc>
        <w:tc>
          <w:tcPr>
            <w:tcW w:w="3834" w:type="dxa"/>
            <w:shd w:val="clear" w:color="auto" w:fill="auto"/>
          </w:tcPr>
          <w:p w14:paraId="4691EF78" w14:textId="77777777" w:rsidR="00DE64BC" w:rsidRPr="00256982" w:rsidRDefault="00DE64BC" w:rsidP="00A808C7">
            <w:pPr>
              <w:pStyle w:val="TableText"/>
              <w:spacing w:before="40" w:after="40"/>
              <w:rPr>
                <w:rFonts w:cs="Arial"/>
                <w:szCs w:val="16"/>
              </w:rPr>
            </w:pPr>
            <w:r w:rsidRPr="00256982">
              <w:rPr>
                <w:rFonts w:cs="Arial"/>
                <w:color w:val="000000"/>
                <w:szCs w:val="16"/>
              </w:rPr>
              <w:t>Energy Industries – Public Electricity and Heat Production Gaseous Fuels</w:t>
            </w:r>
          </w:p>
        </w:tc>
        <w:tc>
          <w:tcPr>
            <w:tcW w:w="571" w:type="dxa"/>
            <w:shd w:val="clear" w:color="auto" w:fill="auto"/>
          </w:tcPr>
          <w:p w14:paraId="679C9D7E" w14:textId="77777777" w:rsidR="00DE64BC" w:rsidRPr="00256982" w:rsidRDefault="00DE64BC" w:rsidP="00A808C7">
            <w:pPr>
              <w:pStyle w:val="TableText"/>
              <w:spacing w:before="40" w:after="40"/>
              <w:jc w:val="center"/>
              <w:rPr>
                <w:rFonts w:cs="Arial"/>
                <w:szCs w:val="16"/>
              </w:rPr>
            </w:pPr>
            <w:r w:rsidRPr="00256982">
              <w:rPr>
                <w:rFonts w:cs="Arial"/>
                <w:color w:val="000000"/>
                <w:szCs w:val="16"/>
              </w:rPr>
              <w:t>CO</w:t>
            </w:r>
            <w:r w:rsidRPr="00256982">
              <w:rPr>
                <w:rFonts w:cs="Arial"/>
                <w:color w:val="000000"/>
                <w:szCs w:val="16"/>
                <w:vertAlign w:val="subscript"/>
              </w:rPr>
              <w:t>2</w:t>
            </w:r>
          </w:p>
        </w:tc>
        <w:tc>
          <w:tcPr>
            <w:tcW w:w="999" w:type="dxa"/>
            <w:shd w:val="clear" w:color="auto" w:fill="auto"/>
            <w:noWrap/>
          </w:tcPr>
          <w:p w14:paraId="7E52CEE0"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3,065.2</w:t>
            </w:r>
          </w:p>
        </w:tc>
        <w:tc>
          <w:tcPr>
            <w:tcW w:w="1142" w:type="dxa"/>
            <w:shd w:val="clear" w:color="auto" w:fill="auto"/>
            <w:noWrap/>
          </w:tcPr>
          <w:p w14:paraId="49D75AFD"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3.8</w:t>
            </w:r>
          </w:p>
        </w:tc>
        <w:tc>
          <w:tcPr>
            <w:tcW w:w="1022" w:type="dxa"/>
            <w:shd w:val="clear" w:color="auto" w:fill="auto"/>
            <w:noWrap/>
          </w:tcPr>
          <w:p w14:paraId="65CA803D"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66.4</w:t>
            </w:r>
          </w:p>
        </w:tc>
      </w:tr>
      <w:tr w:rsidR="00DE64BC" w:rsidRPr="00256982" w14:paraId="48467DDF" w14:textId="77777777" w:rsidTr="00960A10">
        <w:tc>
          <w:tcPr>
            <w:tcW w:w="994" w:type="dxa"/>
          </w:tcPr>
          <w:p w14:paraId="237BA952" w14:textId="77777777" w:rsidR="00DE64BC" w:rsidRPr="00256982" w:rsidRDefault="00DE64BC" w:rsidP="00A808C7">
            <w:pPr>
              <w:pStyle w:val="TableText"/>
              <w:keepNext/>
              <w:spacing w:before="40" w:after="40"/>
              <w:rPr>
                <w:rFonts w:cs="Arial"/>
                <w:szCs w:val="16"/>
              </w:rPr>
            </w:pPr>
            <w:r w:rsidRPr="00256982">
              <w:rPr>
                <w:rFonts w:cs="Arial"/>
                <w:color w:val="000000"/>
                <w:szCs w:val="16"/>
              </w:rPr>
              <w:t>1.A.2.e</w:t>
            </w:r>
          </w:p>
        </w:tc>
        <w:tc>
          <w:tcPr>
            <w:tcW w:w="3834" w:type="dxa"/>
            <w:shd w:val="clear" w:color="auto" w:fill="auto"/>
          </w:tcPr>
          <w:p w14:paraId="5A1B64BC" w14:textId="77777777" w:rsidR="00DE64BC" w:rsidRPr="00256982" w:rsidRDefault="00DE64BC" w:rsidP="00A808C7">
            <w:pPr>
              <w:pStyle w:val="TableText"/>
              <w:spacing w:before="40" w:after="40"/>
              <w:rPr>
                <w:rFonts w:cs="Arial"/>
                <w:szCs w:val="16"/>
              </w:rPr>
            </w:pPr>
            <w:r w:rsidRPr="00256982">
              <w:rPr>
                <w:rFonts w:cs="Arial"/>
                <w:color w:val="000000"/>
                <w:szCs w:val="16"/>
              </w:rPr>
              <w:t>Manufacturing Industries and Construction – Food Processing, Beverages and Tobacco Solid Fuels</w:t>
            </w:r>
          </w:p>
        </w:tc>
        <w:tc>
          <w:tcPr>
            <w:tcW w:w="571" w:type="dxa"/>
            <w:shd w:val="clear" w:color="auto" w:fill="auto"/>
          </w:tcPr>
          <w:p w14:paraId="67F4781B" w14:textId="77777777" w:rsidR="00DE64BC" w:rsidRPr="00256982" w:rsidRDefault="00DE64BC" w:rsidP="00A808C7">
            <w:pPr>
              <w:pStyle w:val="TableText"/>
              <w:spacing w:before="40" w:after="40"/>
              <w:jc w:val="center"/>
              <w:rPr>
                <w:rFonts w:cs="Arial"/>
                <w:szCs w:val="16"/>
              </w:rPr>
            </w:pPr>
            <w:r w:rsidRPr="00256982">
              <w:rPr>
                <w:rFonts w:cs="Arial"/>
                <w:color w:val="000000"/>
                <w:szCs w:val="16"/>
              </w:rPr>
              <w:t>CO</w:t>
            </w:r>
            <w:r w:rsidRPr="00256982">
              <w:rPr>
                <w:rFonts w:cs="Arial"/>
                <w:color w:val="000000"/>
                <w:szCs w:val="16"/>
                <w:vertAlign w:val="subscript"/>
              </w:rPr>
              <w:t>2</w:t>
            </w:r>
          </w:p>
        </w:tc>
        <w:tc>
          <w:tcPr>
            <w:tcW w:w="999" w:type="dxa"/>
            <w:shd w:val="clear" w:color="auto" w:fill="auto"/>
            <w:noWrap/>
          </w:tcPr>
          <w:p w14:paraId="28B08EA8"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1,784.0</w:t>
            </w:r>
          </w:p>
        </w:tc>
        <w:tc>
          <w:tcPr>
            <w:tcW w:w="1142" w:type="dxa"/>
            <w:shd w:val="clear" w:color="auto" w:fill="auto"/>
            <w:noWrap/>
          </w:tcPr>
          <w:p w14:paraId="185D9D9F"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2.2</w:t>
            </w:r>
          </w:p>
        </w:tc>
        <w:tc>
          <w:tcPr>
            <w:tcW w:w="1022" w:type="dxa"/>
            <w:shd w:val="clear" w:color="auto" w:fill="auto"/>
            <w:noWrap/>
          </w:tcPr>
          <w:p w14:paraId="5A74A764"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68.6</w:t>
            </w:r>
          </w:p>
        </w:tc>
      </w:tr>
      <w:tr w:rsidR="00DE64BC" w:rsidRPr="00256982" w14:paraId="1B635252" w14:textId="77777777" w:rsidTr="00960A10">
        <w:tc>
          <w:tcPr>
            <w:tcW w:w="994" w:type="dxa"/>
          </w:tcPr>
          <w:p w14:paraId="5357A5FB" w14:textId="77777777" w:rsidR="00DE64BC" w:rsidRPr="00256982" w:rsidRDefault="00DE64BC" w:rsidP="00A808C7">
            <w:pPr>
              <w:pStyle w:val="TableText"/>
              <w:spacing w:before="40" w:after="40"/>
              <w:rPr>
                <w:rFonts w:cs="Arial"/>
                <w:szCs w:val="16"/>
              </w:rPr>
            </w:pPr>
            <w:r w:rsidRPr="00256982">
              <w:rPr>
                <w:rFonts w:cs="Arial"/>
                <w:color w:val="000000"/>
                <w:szCs w:val="16"/>
              </w:rPr>
              <w:t>2.C.1</w:t>
            </w:r>
          </w:p>
        </w:tc>
        <w:tc>
          <w:tcPr>
            <w:tcW w:w="3834" w:type="dxa"/>
            <w:shd w:val="clear" w:color="auto" w:fill="auto"/>
          </w:tcPr>
          <w:p w14:paraId="64878372" w14:textId="77777777" w:rsidR="00DE64BC" w:rsidRPr="00256982" w:rsidRDefault="00DE64BC" w:rsidP="00A808C7">
            <w:pPr>
              <w:pStyle w:val="TableText"/>
              <w:spacing w:before="40" w:after="40"/>
              <w:rPr>
                <w:rFonts w:cs="Arial"/>
                <w:szCs w:val="16"/>
              </w:rPr>
            </w:pPr>
            <w:r w:rsidRPr="00256982">
              <w:rPr>
                <w:rFonts w:cs="Arial"/>
                <w:color w:val="000000"/>
                <w:szCs w:val="16"/>
              </w:rPr>
              <w:t>Metal Industry – Iron and Steel Production</w:t>
            </w:r>
          </w:p>
        </w:tc>
        <w:tc>
          <w:tcPr>
            <w:tcW w:w="571" w:type="dxa"/>
            <w:shd w:val="clear" w:color="auto" w:fill="auto"/>
          </w:tcPr>
          <w:p w14:paraId="3DCA9085" w14:textId="77777777" w:rsidR="00DE64BC" w:rsidRPr="00256982" w:rsidRDefault="00DE64BC" w:rsidP="00A808C7">
            <w:pPr>
              <w:pStyle w:val="TableText"/>
              <w:spacing w:before="40" w:after="40"/>
              <w:jc w:val="center"/>
              <w:rPr>
                <w:rFonts w:cs="Arial"/>
                <w:szCs w:val="16"/>
              </w:rPr>
            </w:pPr>
            <w:r w:rsidRPr="00256982">
              <w:rPr>
                <w:rFonts w:cs="Arial"/>
                <w:color w:val="000000"/>
                <w:szCs w:val="16"/>
              </w:rPr>
              <w:t>CO</w:t>
            </w:r>
            <w:r w:rsidRPr="00256982">
              <w:rPr>
                <w:rFonts w:cs="Arial"/>
                <w:color w:val="000000"/>
                <w:szCs w:val="16"/>
                <w:vertAlign w:val="subscript"/>
              </w:rPr>
              <w:t>2</w:t>
            </w:r>
          </w:p>
        </w:tc>
        <w:tc>
          <w:tcPr>
            <w:tcW w:w="999" w:type="dxa"/>
            <w:shd w:val="clear" w:color="auto" w:fill="auto"/>
            <w:noWrap/>
          </w:tcPr>
          <w:p w14:paraId="1F170B92"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1,758.3</w:t>
            </w:r>
          </w:p>
        </w:tc>
        <w:tc>
          <w:tcPr>
            <w:tcW w:w="1142" w:type="dxa"/>
            <w:shd w:val="clear" w:color="auto" w:fill="auto"/>
            <w:noWrap/>
          </w:tcPr>
          <w:p w14:paraId="52239DEE"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2.2</w:t>
            </w:r>
          </w:p>
        </w:tc>
        <w:tc>
          <w:tcPr>
            <w:tcW w:w="1022" w:type="dxa"/>
            <w:shd w:val="clear" w:color="auto" w:fill="auto"/>
            <w:noWrap/>
          </w:tcPr>
          <w:p w14:paraId="3B6E8EA6"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70.8</w:t>
            </w:r>
          </w:p>
        </w:tc>
      </w:tr>
      <w:tr w:rsidR="00DE64BC" w:rsidRPr="00256982" w14:paraId="3F17C236" w14:textId="77777777" w:rsidTr="00960A10">
        <w:tc>
          <w:tcPr>
            <w:tcW w:w="994" w:type="dxa"/>
          </w:tcPr>
          <w:p w14:paraId="4C59C95D" w14:textId="77777777" w:rsidR="00DE64BC" w:rsidRPr="00256982" w:rsidRDefault="00DE64BC" w:rsidP="00A808C7">
            <w:pPr>
              <w:pStyle w:val="TableText"/>
              <w:spacing w:before="40" w:after="40"/>
              <w:rPr>
                <w:rFonts w:cs="Arial"/>
                <w:szCs w:val="16"/>
              </w:rPr>
            </w:pPr>
            <w:r w:rsidRPr="00256982">
              <w:rPr>
                <w:rFonts w:cs="Arial"/>
                <w:color w:val="000000"/>
                <w:szCs w:val="16"/>
              </w:rPr>
              <w:t>1.A.2.c</w:t>
            </w:r>
          </w:p>
        </w:tc>
        <w:tc>
          <w:tcPr>
            <w:tcW w:w="3834" w:type="dxa"/>
            <w:shd w:val="clear" w:color="auto" w:fill="auto"/>
          </w:tcPr>
          <w:p w14:paraId="2B8EC9C1" w14:textId="77777777" w:rsidR="00DE64BC" w:rsidRPr="00256982" w:rsidRDefault="00DE64BC" w:rsidP="00A808C7">
            <w:pPr>
              <w:pStyle w:val="TableText"/>
              <w:spacing w:before="40" w:after="40"/>
              <w:rPr>
                <w:rFonts w:cs="Arial"/>
                <w:szCs w:val="16"/>
              </w:rPr>
            </w:pPr>
            <w:r w:rsidRPr="00256982">
              <w:rPr>
                <w:rFonts w:cs="Arial"/>
                <w:color w:val="000000"/>
                <w:szCs w:val="16"/>
              </w:rPr>
              <w:t>Manufacturing Industries and Construction – Chemicals Gaseous Fuels</w:t>
            </w:r>
          </w:p>
        </w:tc>
        <w:tc>
          <w:tcPr>
            <w:tcW w:w="571" w:type="dxa"/>
            <w:shd w:val="clear" w:color="auto" w:fill="auto"/>
          </w:tcPr>
          <w:p w14:paraId="1FDECA35" w14:textId="77777777" w:rsidR="00DE64BC" w:rsidRPr="00256982" w:rsidRDefault="00DE64BC" w:rsidP="00A808C7">
            <w:pPr>
              <w:pStyle w:val="TableText"/>
              <w:spacing w:before="40" w:after="40"/>
              <w:jc w:val="center"/>
              <w:rPr>
                <w:rFonts w:cs="Arial"/>
                <w:szCs w:val="16"/>
              </w:rPr>
            </w:pPr>
            <w:r w:rsidRPr="00256982">
              <w:rPr>
                <w:rFonts w:cs="Arial"/>
                <w:color w:val="000000"/>
                <w:szCs w:val="16"/>
              </w:rPr>
              <w:t>CO</w:t>
            </w:r>
            <w:r w:rsidRPr="00256982">
              <w:rPr>
                <w:rFonts w:cs="Arial"/>
                <w:color w:val="000000"/>
                <w:szCs w:val="16"/>
                <w:vertAlign w:val="subscript"/>
              </w:rPr>
              <w:t>2</w:t>
            </w:r>
          </w:p>
        </w:tc>
        <w:tc>
          <w:tcPr>
            <w:tcW w:w="999" w:type="dxa"/>
            <w:shd w:val="clear" w:color="auto" w:fill="auto"/>
            <w:noWrap/>
          </w:tcPr>
          <w:p w14:paraId="4100059B"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1,587.8</w:t>
            </w:r>
          </w:p>
        </w:tc>
        <w:tc>
          <w:tcPr>
            <w:tcW w:w="1142" w:type="dxa"/>
            <w:shd w:val="clear" w:color="auto" w:fill="auto"/>
            <w:noWrap/>
          </w:tcPr>
          <w:p w14:paraId="38E3E78C"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2.0</w:t>
            </w:r>
          </w:p>
        </w:tc>
        <w:tc>
          <w:tcPr>
            <w:tcW w:w="1022" w:type="dxa"/>
            <w:shd w:val="clear" w:color="auto" w:fill="auto"/>
            <w:noWrap/>
          </w:tcPr>
          <w:p w14:paraId="1A36B057"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72.7</w:t>
            </w:r>
          </w:p>
        </w:tc>
      </w:tr>
      <w:tr w:rsidR="00DE64BC" w:rsidRPr="00256982" w14:paraId="6C0F5771" w14:textId="77777777" w:rsidTr="00960A10">
        <w:tc>
          <w:tcPr>
            <w:tcW w:w="994" w:type="dxa"/>
          </w:tcPr>
          <w:p w14:paraId="0D826BD6" w14:textId="77777777" w:rsidR="00DE64BC" w:rsidRPr="00256982" w:rsidRDefault="00DE64BC" w:rsidP="00A808C7">
            <w:pPr>
              <w:pStyle w:val="TableText"/>
              <w:spacing w:before="40" w:after="40"/>
              <w:rPr>
                <w:rFonts w:cs="Arial"/>
                <w:szCs w:val="16"/>
              </w:rPr>
            </w:pPr>
            <w:r w:rsidRPr="00256982">
              <w:rPr>
                <w:rFonts w:cs="Arial"/>
                <w:color w:val="000000"/>
                <w:szCs w:val="16"/>
              </w:rPr>
              <w:t>2.F.1</w:t>
            </w:r>
          </w:p>
        </w:tc>
        <w:tc>
          <w:tcPr>
            <w:tcW w:w="3834" w:type="dxa"/>
            <w:shd w:val="clear" w:color="auto" w:fill="auto"/>
          </w:tcPr>
          <w:p w14:paraId="5F6F9887" w14:textId="77777777" w:rsidR="00DE64BC" w:rsidRPr="00256982" w:rsidRDefault="00DE64BC" w:rsidP="00A808C7">
            <w:pPr>
              <w:pStyle w:val="TableText"/>
              <w:spacing w:before="40" w:after="40"/>
              <w:rPr>
                <w:rFonts w:cs="Arial"/>
                <w:szCs w:val="16"/>
              </w:rPr>
            </w:pPr>
            <w:r w:rsidRPr="00256982">
              <w:rPr>
                <w:rFonts w:cs="Arial"/>
                <w:color w:val="000000"/>
                <w:szCs w:val="16"/>
              </w:rPr>
              <w:t>Product Uses as Substitutes for ODS – Refrigeration and Air conditioning</w:t>
            </w:r>
          </w:p>
        </w:tc>
        <w:tc>
          <w:tcPr>
            <w:tcW w:w="571" w:type="dxa"/>
            <w:shd w:val="clear" w:color="auto" w:fill="auto"/>
          </w:tcPr>
          <w:p w14:paraId="573B5E30" w14:textId="77777777" w:rsidR="00DE64BC" w:rsidRPr="00256982" w:rsidRDefault="00DE64BC" w:rsidP="00A808C7">
            <w:pPr>
              <w:pStyle w:val="TableText"/>
              <w:spacing w:before="40" w:after="40"/>
              <w:jc w:val="center"/>
              <w:rPr>
                <w:rFonts w:cs="Arial"/>
                <w:szCs w:val="16"/>
              </w:rPr>
            </w:pPr>
            <w:r w:rsidRPr="00256982">
              <w:rPr>
                <w:rFonts w:cs="Arial"/>
                <w:color w:val="000000"/>
                <w:szCs w:val="16"/>
              </w:rPr>
              <w:t>HFCs</w:t>
            </w:r>
          </w:p>
        </w:tc>
        <w:tc>
          <w:tcPr>
            <w:tcW w:w="999" w:type="dxa"/>
            <w:shd w:val="clear" w:color="auto" w:fill="auto"/>
            <w:noWrap/>
          </w:tcPr>
          <w:p w14:paraId="1B994DE7"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1,397.3</w:t>
            </w:r>
          </w:p>
        </w:tc>
        <w:tc>
          <w:tcPr>
            <w:tcW w:w="1142" w:type="dxa"/>
            <w:shd w:val="clear" w:color="auto" w:fill="auto"/>
            <w:noWrap/>
          </w:tcPr>
          <w:p w14:paraId="634E510F"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1.7</w:t>
            </w:r>
          </w:p>
        </w:tc>
        <w:tc>
          <w:tcPr>
            <w:tcW w:w="1022" w:type="dxa"/>
            <w:shd w:val="clear" w:color="auto" w:fill="auto"/>
            <w:noWrap/>
          </w:tcPr>
          <w:p w14:paraId="4E88AADA"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74.5</w:t>
            </w:r>
          </w:p>
        </w:tc>
      </w:tr>
      <w:tr w:rsidR="00DE64BC" w:rsidRPr="00256982" w14:paraId="626BF935" w14:textId="77777777" w:rsidTr="00960A10">
        <w:tc>
          <w:tcPr>
            <w:tcW w:w="994" w:type="dxa"/>
          </w:tcPr>
          <w:p w14:paraId="239A799F" w14:textId="77777777" w:rsidR="00DE64BC" w:rsidRPr="00256982" w:rsidRDefault="00DE64BC" w:rsidP="00A808C7">
            <w:pPr>
              <w:pStyle w:val="TableText"/>
              <w:spacing w:before="40" w:after="40"/>
              <w:rPr>
                <w:rFonts w:cs="Arial"/>
                <w:szCs w:val="16"/>
              </w:rPr>
            </w:pPr>
            <w:r w:rsidRPr="00256982">
              <w:rPr>
                <w:rFonts w:cs="Arial"/>
                <w:color w:val="000000"/>
                <w:szCs w:val="16"/>
              </w:rPr>
              <w:lastRenderedPageBreak/>
              <w:t>3.D.1.1</w:t>
            </w:r>
          </w:p>
        </w:tc>
        <w:tc>
          <w:tcPr>
            <w:tcW w:w="3834" w:type="dxa"/>
            <w:shd w:val="clear" w:color="auto" w:fill="auto"/>
          </w:tcPr>
          <w:p w14:paraId="78388E11" w14:textId="77777777" w:rsidR="00DE64BC" w:rsidRPr="00256982" w:rsidRDefault="00DE64BC" w:rsidP="00A808C7">
            <w:pPr>
              <w:pStyle w:val="TableText"/>
              <w:spacing w:before="40" w:after="40"/>
              <w:rPr>
                <w:rFonts w:cs="Arial"/>
                <w:szCs w:val="16"/>
              </w:rPr>
            </w:pPr>
            <w:r w:rsidRPr="00256982">
              <w:rPr>
                <w:rFonts w:cs="Arial"/>
                <w:color w:val="000000"/>
                <w:szCs w:val="16"/>
              </w:rPr>
              <w:t>Direct N</w:t>
            </w:r>
            <w:r w:rsidRPr="00256982">
              <w:rPr>
                <w:rFonts w:cs="Arial"/>
                <w:color w:val="000000"/>
                <w:szCs w:val="16"/>
                <w:vertAlign w:val="subscript"/>
              </w:rPr>
              <w:t>2</w:t>
            </w:r>
            <w:r w:rsidRPr="00256982">
              <w:rPr>
                <w:rFonts w:cs="Arial"/>
                <w:color w:val="000000"/>
                <w:szCs w:val="16"/>
              </w:rPr>
              <w:t>O Emissions From Managed Soils – Inorganic N Fertilisers</w:t>
            </w:r>
          </w:p>
        </w:tc>
        <w:tc>
          <w:tcPr>
            <w:tcW w:w="571" w:type="dxa"/>
            <w:shd w:val="clear" w:color="auto" w:fill="auto"/>
          </w:tcPr>
          <w:p w14:paraId="2CAF230E" w14:textId="77777777" w:rsidR="00DE64BC" w:rsidRPr="00256982" w:rsidRDefault="00DE64BC" w:rsidP="00A808C7">
            <w:pPr>
              <w:pStyle w:val="TableText"/>
              <w:spacing w:before="40" w:after="40"/>
              <w:jc w:val="center"/>
              <w:rPr>
                <w:rFonts w:cs="Arial"/>
                <w:szCs w:val="16"/>
              </w:rPr>
            </w:pPr>
            <w:r w:rsidRPr="00256982">
              <w:rPr>
                <w:rFonts w:cs="Arial"/>
                <w:color w:val="000000"/>
                <w:szCs w:val="16"/>
              </w:rPr>
              <w:t>N</w:t>
            </w:r>
            <w:r w:rsidRPr="00256982">
              <w:rPr>
                <w:rFonts w:cs="Arial"/>
                <w:color w:val="000000"/>
                <w:szCs w:val="16"/>
                <w:vertAlign w:val="subscript"/>
              </w:rPr>
              <w:t>2</w:t>
            </w:r>
            <w:r w:rsidRPr="00256982">
              <w:rPr>
                <w:rFonts w:cs="Arial"/>
                <w:color w:val="000000"/>
                <w:szCs w:val="16"/>
              </w:rPr>
              <w:t>O</w:t>
            </w:r>
          </w:p>
        </w:tc>
        <w:tc>
          <w:tcPr>
            <w:tcW w:w="999" w:type="dxa"/>
            <w:shd w:val="clear" w:color="auto" w:fill="auto"/>
            <w:noWrap/>
          </w:tcPr>
          <w:p w14:paraId="55E093BF"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1,365.6</w:t>
            </w:r>
          </w:p>
        </w:tc>
        <w:tc>
          <w:tcPr>
            <w:tcW w:w="1142" w:type="dxa"/>
            <w:shd w:val="clear" w:color="auto" w:fill="auto"/>
            <w:noWrap/>
          </w:tcPr>
          <w:p w14:paraId="2390E10D"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1.7</w:t>
            </w:r>
          </w:p>
        </w:tc>
        <w:tc>
          <w:tcPr>
            <w:tcW w:w="1022" w:type="dxa"/>
            <w:shd w:val="clear" w:color="auto" w:fill="auto"/>
            <w:noWrap/>
          </w:tcPr>
          <w:p w14:paraId="08168153"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76.1</w:t>
            </w:r>
          </w:p>
        </w:tc>
      </w:tr>
      <w:tr w:rsidR="00DE64BC" w:rsidRPr="00256982" w14:paraId="536E0A3A" w14:textId="77777777" w:rsidTr="00960A10">
        <w:tc>
          <w:tcPr>
            <w:tcW w:w="994" w:type="dxa"/>
          </w:tcPr>
          <w:p w14:paraId="63445EF6" w14:textId="77777777" w:rsidR="00DE64BC" w:rsidRPr="00256982" w:rsidRDefault="00DE64BC" w:rsidP="00A808C7">
            <w:pPr>
              <w:pStyle w:val="TableText"/>
              <w:spacing w:before="40" w:after="40"/>
              <w:rPr>
                <w:rFonts w:cs="Arial"/>
                <w:szCs w:val="16"/>
              </w:rPr>
            </w:pPr>
            <w:r w:rsidRPr="00256982">
              <w:rPr>
                <w:rFonts w:cs="Arial"/>
                <w:color w:val="000000"/>
                <w:szCs w:val="16"/>
              </w:rPr>
              <w:t>3.B.1.1</w:t>
            </w:r>
          </w:p>
        </w:tc>
        <w:tc>
          <w:tcPr>
            <w:tcW w:w="3834" w:type="dxa"/>
            <w:shd w:val="clear" w:color="auto" w:fill="auto"/>
          </w:tcPr>
          <w:p w14:paraId="50FBF51C" w14:textId="77777777" w:rsidR="00DE64BC" w:rsidRPr="00256982" w:rsidRDefault="00DE64BC" w:rsidP="00A808C7">
            <w:pPr>
              <w:pStyle w:val="TableText"/>
              <w:spacing w:before="40" w:after="40"/>
              <w:rPr>
                <w:rFonts w:cs="Arial"/>
                <w:szCs w:val="16"/>
              </w:rPr>
            </w:pPr>
            <w:r w:rsidRPr="00256982">
              <w:rPr>
                <w:rFonts w:cs="Arial"/>
                <w:color w:val="000000"/>
                <w:szCs w:val="16"/>
              </w:rPr>
              <w:t>Option A – Dairy Cattle</w:t>
            </w:r>
          </w:p>
        </w:tc>
        <w:tc>
          <w:tcPr>
            <w:tcW w:w="571" w:type="dxa"/>
            <w:shd w:val="clear" w:color="auto" w:fill="auto"/>
          </w:tcPr>
          <w:p w14:paraId="6CF702AB" w14:textId="77777777" w:rsidR="00DE64BC" w:rsidRPr="00256982" w:rsidRDefault="00DE64BC" w:rsidP="00A808C7">
            <w:pPr>
              <w:pStyle w:val="TableText"/>
              <w:spacing w:before="40" w:after="40"/>
              <w:jc w:val="center"/>
              <w:rPr>
                <w:rFonts w:cs="Arial"/>
                <w:szCs w:val="16"/>
              </w:rPr>
            </w:pPr>
            <w:r w:rsidRPr="00256982">
              <w:rPr>
                <w:rFonts w:cs="Arial"/>
                <w:color w:val="000000"/>
                <w:szCs w:val="16"/>
              </w:rPr>
              <w:t>CH</w:t>
            </w:r>
            <w:r w:rsidRPr="00256982">
              <w:rPr>
                <w:rFonts w:cs="Arial"/>
                <w:color w:val="000000"/>
                <w:szCs w:val="16"/>
                <w:vertAlign w:val="subscript"/>
              </w:rPr>
              <w:t>4</w:t>
            </w:r>
          </w:p>
        </w:tc>
        <w:tc>
          <w:tcPr>
            <w:tcW w:w="999" w:type="dxa"/>
            <w:shd w:val="clear" w:color="auto" w:fill="auto"/>
            <w:noWrap/>
          </w:tcPr>
          <w:p w14:paraId="5B2E4F9B"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1,255.8</w:t>
            </w:r>
          </w:p>
        </w:tc>
        <w:tc>
          <w:tcPr>
            <w:tcW w:w="1142" w:type="dxa"/>
            <w:shd w:val="clear" w:color="auto" w:fill="auto"/>
            <w:noWrap/>
          </w:tcPr>
          <w:p w14:paraId="1AB0E652"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1.6</w:t>
            </w:r>
          </w:p>
        </w:tc>
        <w:tc>
          <w:tcPr>
            <w:tcW w:w="1022" w:type="dxa"/>
            <w:shd w:val="clear" w:color="auto" w:fill="auto"/>
            <w:noWrap/>
          </w:tcPr>
          <w:p w14:paraId="0F8098AE"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77.7</w:t>
            </w:r>
          </w:p>
        </w:tc>
      </w:tr>
      <w:tr w:rsidR="00DE64BC" w:rsidRPr="00256982" w14:paraId="52FC6800" w14:textId="77777777" w:rsidTr="00960A10">
        <w:tc>
          <w:tcPr>
            <w:tcW w:w="994" w:type="dxa"/>
          </w:tcPr>
          <w:p w14:paraId="3F8B23B2" w14:textId="77777777" w:rsidR="00DE64BC" w:rsidRPr="00256982" w:rsidRDefault="00DE64BC" w:rsidP="00A808C7">
            <w:pPr>
              <w:pStyle w:val="TableText"/>
              <w:spacing w:before="40" w:after="40"/>
              <w:rPr>
                <w:rFonts w:cs="Arial"/>
                <w:szCs w:val="16"/>
              </w:rPr>
            </w:pPr>
            <w:r w:rsidRPr="00256982">
              <w:rPr>
                <w:rFonts w:cs="Arial"/>
                <w:color w:val="000000"/>
                <w:szCs w:val="16"/>
              </w:rPr>
              <w:t>1.A.4.c</w:t>
            </w:r>
          </w:p>
        </w:tc>
        <w:tc>
          <w:tcPr>
            <w:tcW w:w="3834" w:type="dxa"/>
            <w:shd w:val="clear" w:color="auto" w:fill="auto"/>
          </w:tcPr>
          <w:p w14:paraId="57E52839" w14:textId="77777777" w:rsidR="00DE64BC" w:rsidRPr="00256982" w:rsidRDefault="00DE64BC" w:rsidP="00A808C7">
            <w:pPr>
              <w:pStyle w:val="TableText"/>
              <w:spacing w:before="40" w:after="40"/>
              <w:rPr>
                <w:rFonts w:cs="Arial"/>
                <w:szCs w:val="16"/>
              </w:rPr>
            </w:pPr>
            <w:r w:rsidRPr="00256982">
              <w:rPr>
                <w:rFonts w:cs="Arial"/>
                <w:color w:val="000000"/>
                <w:szCs w:val="16"/>
              </w:rPr>
              <w:t>Other Sectors – Agriculture/Forestry/Fishing Liquid Fuels</w:t>
            </w:r>
          </w:p>
        </w:tc>
        <w:tc>
          <w:tcPr>
            <w:tcW w:w="571" w:type="dxa"/>
            <w:shd w:val="clear" w:color="auto" w:fill="auto"/>
          </w:tcPr>
          <w:p w14:paraId="0D44F444" w14:textId="77777777" w:rsidR="00DE64BC" w:rsidRPr="00256982" w:rsidRDefault="00DE64BC" w:rsidP="00A808C7">
            <w:pPr>
              <w:pStyle w:val="TableText"/>
              <w:spacing w:before="40" w:after="40"/>
              <w:jc w:val="center"/>
              <w:rPr>
                <w:rFonts w:cs="Arial"/>
                <w:szCs w:val="16"/>
              </w:rPr>
            </w:pPr>
            <w:r w:rsidRPr="00256982">
              <w:rPr>
                <w:rFonts w:cs="Arial"/>
                <w:color w:val="000000"/>
                <w:szCs w:val="16"/>
              </w:rPr>
              <w:t>CO</w:t>
            </w:r>
            <w:r w:rsidRPr="00256982">
              <w:rPr>
                <w:rFonts w:cs="Arial"/>
                <w:color w:val="000000"/>
                <w:szCs w:val="16"/>
                <w:vertAlign w:val="subscript"/>
              </w:rPr>
              <w:t>2</w:t>
            </w:r>
          </w:p>
        </w:tc>
        <w:tc>
          <w:tcPr>
            <w:tcW w:w="999" w:type="dxa"/>
            <w:shd w:val="clear" w:color="auto" w:fill="auto"/>
            <w:noWrap/>
          </w:tcPr>
          <w:p w14:paraId="295B9B36"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1,163.8</w:t>
            </w:r>
          </w:p>
        </w:tc>
        <w:tc>
          <w:tcPr>
            <w:tcW w:w="1142" w:type="dxa"/>
            <w:shd w:val="clear" w:color="auto" w:fill="auto"/>
            <w:noWrap/>
          </w:tcPr>
          <w:p w14:paraId="3A5E3D89"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1.4</w:t>
            </w:r>
          </w:p>
        </w:tc>
        <w:tc>
          <w:tcPr>
            <w:tcW w:w="1022" w:type="dxa"/>
            <w:shd w:val="clear" w:color="auto" w:fill="auto"/>
            <w:noWrap/>
          </w:tcPr>
          <w:p w14:paraId="4C6B7F38"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79.1</w:t>
            </w:r>
          </w:p>
        </w:tc>
      </w:tr>
      <w:tr w:rsidR="00DE64BC" w:rsidRPr="00256982" w14:paraId="5B062F35" w14:textId="77777777" w:rsidTr="00960A10">
        <w:tc>
          <w:tcPr>
            <w:tcW w:w="994" w:type="dxa"/>
          </w:tcPr>
          <w:p w14:paraId="382EADFA" w14:textId="77777777" w:rsidR="00DE64BC" w:rsidRPr="00256982" w:rsidRDefault="00DE64BC" w:rsidP="00A808C7">
            <w:pPr>
              <w:pStyle w:val="TableText"/>
              <w:spacing w:before="40" w:after="40"/>
              <w:rPr>
                <w:rFonts w:cs="Arial"/>
                <w:szCs w:val="16"/>
              </w:rPr>
            </w:pPr>
            <w:r w:rsidRPr="00256982">
              <w:rPr>
                <w:rFonts w:cs="Arial"/>
                <w:color w:val="000000"/>
                <w:szCs w:val="16"/>
              </w:rPr>
              <w:t>1.A.3.a</w:t>
            </w:r>
          </w:p>
        </w:tc>
        <w:tc>
          <w:tcPr>
            <w:tcW w:w="3834" w:type="dxa"/>
            <w:shd w:val="clear" w:color="auto" w:fill="auto"/>
          </w:tcPr>
          <w:p w14:paraId="71D531D3" w14:textId="77777777" w:rsidR="00DE64BC" w:rsidRPr="00256982" w:rsidRDefault="00DE64BC" w:rsidP="00A808C7">
            <w:pPr>
              <w:pStyle w:val="TableText"/>
              <w:spacing w:before="40" w:after="40"/>
              <w:rPr>
                <w:rFonts w:cs="Arial"/>
                <w:szCs w:val="16"/>
              </w:rPr>
            </w:pPr>
            <w:r w:rsidRPr="00256982">
              <w:rPr>
                <w:rFonts w:cs="Arial"/>
                <w:color w:val="000000"/>
                <w:szCs w:val="16"/>
              </w:rPr>
              <w:t>Domestic Aviation – Jet Kerosene</w:t>
            </w:r>
          </w:p>
        </w:tc>
        <w:tc>
          <w:tcPr>
            <w:tcW w:w="571" w:type="dxa"/>
            <w:shd w:val="clear" w:color="auto" w:fill="auto"/>
          </w:tcPr>
          <w:p w14:paraId="1AE55BF9" w14:textId="77777777" w:rsidR="00DE64BC" w:rsidRPr="00256982" w:rsidRDefault="00DE64BC" w:rsidP="00A808C7">
            <w:pPr>
              <w:pStyle w:val="TableText"/>
              <w:spacing w:before="40" w:after="40"/>
              <w:jc w:val="center"/>
              <w:rPr>
                <w:rFonts w:cs="Arial"/>
                <w:szCs w:val="16"/>
              </w:rPr>
            </w:pPr>
            <w:r w:rsidRPr="00256982">
              <w:rPr>
                <w:rFonts w:cs="Arial"/>
                <w:color w:val="000000"/>
                <w:szCs w:val="16"/>
              </w:rPr>
              <w:t>CO</w:t>
            </w:r>
            <w:r w:rsidRPr="00256982">
              <w:rPr>
                <w:rFonts w:cs="Arial"/>
                <w:color w:val="000000"/>
                <w:szCs w:val="16"/>
                <w:vertAlign w:val="subscript"/>
              </w:rPr>
              <w:t>2</w:t>
            </w:r>
          </w:p>
        </w:tc>
        <w:tc>
          <w:tcPr>
            <w:tcW w:w="999" w:type="dxa"/>
            <w:shd w:val="clear" w:color="auto" w:fill="auto"/>
            <w:noWrap/>
          </w:tcPr>
          <w:p w14:paraId="6C061DB8"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961.7</w:t>
            </w:r>
          </w:p>
        </w:tc>
        <w:tc>
          <w:tcPr>
            <w:tcW w:w="1142" w:type="dxa"/>
            <w:shd w:val="clear" w:color="auto" w:fill="auto"/>
            <w:noWrap/>
          </w:tcPr>
          <w:p w14:paraId="41AF19E0"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1.2</w:t>
            </w:r>
          </w:p>
        </w:tc>
        <w:tc>
          <w:tcPr>
            <w:tcW w:w="1022" w:type="dxa"/>
            <w:shd w:val="clear" w:color="auto" w:fill="auto"/>
            <w:noWrap/>
          </w:tcPr>
          <w:p w14:paraId="75806DEE"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80.3</w:t>
            </w:r>
          </w:p>
        </w:tc>
      </w:tr>
      <w:tr w:rsidR="00DE64BC" w:rsidRPr="00256982" w14:paraId="39C748A7" w14:textId="77777777" w:rsidTr="00960A10">
        <w:tc>
          <w:tcPr>
            <w:tcW w:w="994" w:type="dxa"/>
          </w:tcPr>
          <w:p w14:paraId="174DE5E3" w14:textId="77777777" w:rsidR="00DE64BC" w:rsidRPr="00256982" w:rsidRDefault="00DE64BC" w:rsidP="00A808C7">
            <w:pPr>
              <w:pStyle w:val="TableText"/>
              <w:spacing w:before="40" w:after="40"/>
              <w:rPr>
                <w:rFonts w:cs="Arial"/>
                <w:szCs w:val="16"/>
              </w:rPr>
            </w:pPr>
            <w:r w:rsidRPr="00256982">
              <w:rPr>
                <w:rFonts w:cs="Arial"/>
                <w:color w:val="000000"/>
                <w:szCs w:val="16"/>
              </w:rPr>
              <w:t>1.A.2.e</w:t>
            </w:r>
          </w:p>
        </w:tc>
        <w:tc>
          <w:tcPr>
            <w:tcW w:w="3834" w:type="dxa"/>
            <w:shd w:val="clear" w:color="auto" w:fill="auto"/>
          </w:tcPr>
          <w:p w14:paraId="227902F1" w14:textId="77777777" w:rsidR="00DE64BC" w:rsidRPr="00256982" w:rsidRDefault="00DE64BC" w:rsidP="00A808C7">
            <w:pPr>
              <w:pStyle w:val="TableText"/>
              <w:spacing w:before="40" w:after="40"/>
              <w:rPr>
                <w:rFonts w:cs="Arial"/>
                <w:szCs w:val="16"/>
              </w:rPr>
            </w:pPr>
            <w:r w:rsidRPr="00256982">
              <w:rPr>
                <w:rFonts w:cs="Arial"/>
                <w:color w:val="000000"/>
                <w:szCs w:val="16"/>
              </w:rPr>
              <w:t>Manufacturing Industries and Construction – Food Processing, Beverages and Tobacco Gaseous Fuels</w:t>
            </w:r>
          </w:p>
        </w:tc>
        <w:tc>
          <w:tcPr>
            <w:tcW w:w="571" w:type="dxa"/>
            <w:shd w:val="clear" w:color="auto" w:fill="auto"/>
          </w:tcPr>
          <w:p w14:paraId="1772AA59" w14:textId="77777777" w:rsidR="00DE64BC" w:rsidRPr="00256982" w:rsidRDefault="00DE64BC" w:rsidP="00A808C7">
            <w:pPr>
              <w:pStyle w:val="TableText"/>
              <w:spacing w:before="40" w:after="40"/>
              <w:jc w:val="center"/>
              <w:rPr>
                <w:rFonts w:cs="Arial"/>
                <w:szCs w:val="16"/>
              </w:rPr>
            </w:pPr>
            <w:r w:rsidRPr="00256982">
              <w:rPr>
                <w:rFonts w:cs="Arial"/>
                <w:color w:val="000000"/>
                <w:szCs w:val="16"/>
              </w:rPr>
              <w:t>CO</w:t>
            </w:r>
            <w:r w:rsidRPr="00256982">
              <w:rPr>
                <w:rFonts w:cs="Arial"/>
                <w:color w:val="000000"/>
                <w:szCs w:val="16"/>
                <w:vertAlign w:val="subscript"/>
              </w:rPr>
              <w:t>2</w:t>
            </w:r>
          </w:p>
        </w:tc>
        <w:tc>
          <w:tcPr>
            <w:tcW w:w="999" w:type="dxa"/>
            <w:shd w:val="clear" w:color="auto" w:fill="auto"/>
            <w:noWrap/>
          </w:tcPr>
          <w:p w14:paraId="24FDE729"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954.9</w:t>
            </w:r>
          </w:p>
        </w:tc>
        <w:tc>
          <w:tcPr>
            <w:tcW w:w="1142" w:type="dxa"/>
            <w:shd w:val="clear" w:color="auto" w:fill="auto"/>
            <w:noWrap/>
          </w:tcPr>
          <w:p w14:paraId="3B99C6AB"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1.2</w:t>
            </w:r>
          </w:p>
        </w:tc>
        <w:tc>
          <w:tcPr>
            <w:tcW w:w="1022" w:type="dxa"/>
            <w:shd w:val="clear" w:color="auto" w:fill="auto"/>
            <w:noWrap/>
          </w:tcPr>
          <w:p w14:paraId="15675F7F"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81.5</w:t>
            </w:r>
          </w:p>
        </w:tc>
      </w:tr>
      <w:tr w:rsidR="00DE64BC" w:rsidRPr="00256982" w14:paraId="514F470E" w14:textId="77777777" w:rsidTr="00960A10">
        <w:tc>
          <w:tcPr>
            <w:tcW w:w="994" w:type="dxa"/>
          </w:tcPr>
          <w:p w14:paraId="2D3B0D61" w14:textId="77777777" w:rsidR="00DE64BC" w:rsidRPr="00256982" w:rsidRDefault="00DE64BC" w:rsidP="00A808C7">
            <w:pPr>
              <w:pStyle w:val="TableText"/>
              <w:spacing w:before="40" w:after="40"/>
              <w:rPr>
                <w:rFonts w:cs="Arial"/>
                <w:szCs w:val="16"/>
              </w:rPr>
            </w:pPr>
            <w:r w:rsidRPr="00256982">
              <w:rPr>
                <w:rFonts w:cs="Arial"/>
                <w:color w:val="000000"/>
                <w:szCs w:val="16"/>
              </w:rPr>
              <w:t>3.D.2.1</w:t>
            </w:r>
          </w:p>
        </w:tc>
        <w:tc>
          <w:tcPr>
            <w:tcW w:w="3834" w:type="dxa"/>
            <w:shd w:val="clear" w:color="auto" w:fill="auto"/>
          </w:tcPr>
          <w:p w14:paraId="4D7D0C7E" w14:textId="77777777" w:rsidR="00DE64BC" w:rsidRPr="00256982" w:rsidRDefault="00DE64BC" w:rsidP="00A808C7">
            <w:pPr>
              <w:pStyle w:val="TableText"/>
              <w:spacing w:before="40" w:after="40"/>
              <w:rPr>
                <w:rFonts w:cs="Arial"/>
                <w:szCs w:val="16"/>
              </w:rPr>
            </w:pPr>
            <w:r w:rsidRPr="00256982">
              <w:rPr>
                <w:rFonts w:cs="Arial"/>
                <w:color w:val="000000"/>
                <w:szCs w:val="16"/>
              </w:rPr>
              <w:t>Indirect N</w:t>
            </w:r>
            <w:r w:rsidRPr="00256982">
              <w:rPr>
                <w:rFonts w:cs="Arial"/>
                <w:color w:val="000000"/>
                <w:szCs w:val="16"/>
                <w:vertAlign w:val="subscript"/>
              </w:rPr>
              <w:t>2</w:t>
            </w:r>
            <w:r w:rsidRPr="00256982">
              <w:rPr>
                <w:rFonts w:cs="Arial"/>
                <w:color w:val="000000"/>
                <w:szCs w:val="16"/>
              </w:rPr>
              <w:t>O Emissions From Managed Soils – Atmospheric Deposition</w:t>
            </w:r>
          </w:p>
        </w:tc>
        <w:tc>
          <w:tcPr>
            <w:tcW w:w="571" w:type="dxa"/>
            <w:shd w:val="clear" w:color="auto" w:fill="auto"/>
          </w:tcPr>
          <w:p w14:paraId="515517D6" w14:textId="77777777" w:rsidR="00DE64BC" w:rsidRPr="00256982" w:rsidRDefault="00DE64BC" w:rsidP="00A808C7">
            <w:pPr>
              <w:pStyle w:val="TableText"/>
              <w:spacing w:before="40" w:after="40"/>
              <w:jc w:val="center"/>
              <w:rPr>
                <w:rFonts w:cs="Arial"/>
                <w:szCs w:val="16"/>
              </w:rPr>
            </w:pPr>
            <w:r w:rsidRPr="00256982">
              <w:rPr>
                <w:rFonts w:cs="Arial"/>
                <w:color w:val="000000"/>
                <w:szCs w:val="16"/>
              </w:rPr>
              <w:t>N</w:t>
            </w:r>
            <w:r w:rsidRPr="00256982">
              <w:rPr>
                <w:rFonts w:cs="Arial"/>
                <w:color w:val="000000"/>
                <w:szCs w:val="16"/>
                <w:vertAlign w:val="subscript"/>
              </w:rPr>
              <w:t>2</w:t>
            </w:r>
            <w:r w:rsidRPr="00256982">
              <w:rPr>
                <w:rFonts w:cs="Arial"/>
                <w:color w:val="000000"/>
                <w:szCs w:val="16"/>
              </w:rPr>
              <w:t>O</w:t>
            </w:r>
          </w:p>
        </w:tc>
        <w:tc>
          <w:tcPr>
            <w:tcW w:w="999" w:type="dxa"/>
            <w:shd w:val="clear" w:color="auto" w:fill="auto"/>
            <w:noWrap/>
          </w:tcPr>
          <w:p w14:paraId="48805352"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906.8</w:t>
            </w:r>
          </w:p>
        </w:tc>
        <w:tc>
          <w:tcPr>
            <w:tcW w:w="1142" w:type="dxa"/>
            <w:shd w:val="clear" w:color="auto" w:fill="auto"/>
            <w:noWrap/>
          </w:tcPr>
          <w:p w14:paraId="7E093DD0"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1.1</w:t>
            </w:r>
          </w:p>
        </w:tc>
        <w:tc>
          <w:tcPr>
            <w:tcW w:w="1022" w:type="dxa"/>
            <w:shd w:val="clear" w:color="auto" w:fill="auto"/>
            <w:noWrap/>
          </w:tcPr>
          <w:p w14:paraId="43954A46"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82.6</w:t>
            </w:r>
          </w:p>
        </w:tc>
      </w:tr>
      <w:tr w:rsidR="00DE64BC" w:rsidRPr="00256982" w14:paraId="4FAFDFEC" w14:textId="77777777" w:rsidTr="00960A10">
        <w:tc>
          <w:tcPr>
            <w:tcW w:w="994" w:type="dxa"/>
          </w:tcPr>
          <w:p w14:paraId="6965C5F1" w14:textId="77777777" w:rsidR="00DE64BC" w:rsidRPr="00256982" w:rsidRDefault="00DE64BC" w:rsidP="00A808C7">
            <w:pPr>
              <w:pStyle w:val="TableText"/>
              <w:spacing w:before="40" w:after="40"/>
              <w:rPr>
                <w:rFonts w:cs="Arial"/>
                <w:szCs w:val="16"/>
              </w:rPr>
            </w:pPr>
            <w:r w:rsidRPr="00256982">
              <w:rPr>
                <w:rFonts w:cs="Arial"/>
                <w:color w:val="000000"/>
                <w:szCs w:val="16"/>
              </w:rPr>
              <w:t>1.A.1.b</w:t>
            </w:r>
          </w:p>
        </w:tc>
        <w:tc>
          <w:tcPr>
            <w:tcW w:w="3834" w:type="dxa"/>
            <w:shd w:val="clear" w:color="auto" w:fill="auto"/>
          </w:tcPr>
          <w:p w14:paraId="006790F0" w14:textId="77777777" w:rsidR="00DE64BC" w:rsidRPr="00256982" w:rsidRDefault="00DE64BC" w:rsidP="00A808C7">
            <w:pPr>
              <w:pStyle w:val="TableText"/>
              <w:spacing w:before="40" w:after="40"/>
              <w:rPr>
                <w:rFonts w:cs="Arial"/>
                <w:szCs w:val="16"/>
              </w:rPr>
            </w:pPr>
            <w:r w:rsidRPr="00256982">
              <w:rPr>
                <w:rFonts w:cs="Arial"/>
                <w:color w:val="000000"/>
                <w:szCs w:val="16"/>
              </w:rPr>
              <w:t>Energy Industries – Petroleum Refining Liquid Fuels</w:t>
            </w:r>
          </w:p>
        </w:tc>
        <w:tc>
          <w:tcPr>
            <w:tcW w:w="571" w:type="dxa"/>
            <w:shd w:val="clear" w:color="auto" w:fill="auto"/>
          </w:tcPr>
          <w:p w14:paraId="202FE742" w14:textId="77777777" w:rsidR="00DE64BC" w:rsidRPr="00256982" w:rsidRDefault="00DE64BC" w:rsidP="00A808C7">
            <w:pPr>
              <w:pStyle w:val="TableText"/>
              <w:spacing w:before="40" w:after="40"/>
              <w:jc w:val="center"/>
              <w:rPr>
                <w:rFonts w:cs="Arial"/>
                <w:szCs w:val="16"/>
              </w:rPr>
            </w:pPr>
            <w:r w:rsidRPr="00256982">
              <w:rPr>
                <w:rFonts w:cs="Arial"/>
                <w:color w:val="000000"/>
                <w:szCs w:val="16"/>
              </w:rPr>
              <w:t>CO</w:t>
            </w:r>
            <w:r w:rsidRPr="00256982">
              <w:rPr>
                <w:rFonts w:cs="Arial"/>
                <w:color w:val="000000"/>
                <w:szCs w:val="16"/>
                <w:vertAlign w:val="subscript"/>
              </w:rPr>
              <w:t>2</w:t>
            </w:r>
          </w:p>
        </w:tc>
        <w:tc>
          <w:tcPr>
            <w:tcW w:w="999" w:type="dxa"/>
            <w:shd w:val="clear" w:color="auto" w:fill="auto"/>
            <w:noWrap/>
          </w:tcPr>
          <w:p w14:paraId="68C79EED"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674.5</w:t>
            </w:r>
          </w:p>
        </w:tc>
        <w:tc>
          <w:tcPr>
            <w:tcW w:w="1142" w:type="dxa"/>
            <w:shd w:val="clear" w:color="auto" w:fill="auto"/>
            <w:noWrap/>
          </w:tcPr>
          <w:p w14:paraId="4D28CB0E"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0.8</w:t>
            </w:r>
          </w:p>
        </w:tc>
        <w:tc>
          <w:tcPr>
            <w:tcW w:w="1022" w:type="dxa"/>
            <w:shd w:val="clear" w:color="auto" w:fill="auto"/>
            <w:noWrap/>
          </w:tcPr>
          <w:p w14:paraId="3102B393"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83.5</w:t>
            </w:r>
          </w:p>
        </w:tc>
      </w:tr>
      <w:tr w:rsidR="00DE64BC" w:rsidRPr="00256982" w14:paraId="3089B23B" w14:textId="77777777" w:rsidTr="00960A10">
        <w:tc>
          <w:tcPr>
            <w:tcW w:w="994" w:type="dxa"/>
          </w:tcPr>
          <w:p w14:paraId="292E528D" w14:textId="77777777" w:rsidR="00DE64BC" w:rsidRPr="00256982" w:rsidRDefault="00DE64BC" w:rsidP="00A808C7">
            <w:pPr>
              <w:pStyle w:val="TableText"/>
              <w:spacing w:before="40" w:after="40"/>
              <w:rPr>
                <w:rFonts w:cs="Arial"/>
                <w:szCs w:val="16"/>
              </w:rPr>
            </w:pPr>
            <w:r w:rsidRPr="00256982">
              <w:rPr>
                <w:rFonts w:cs="Arial"/>
                <w:color w:val="000000"/>
                <w:szCs w:val="16"/>
              </w:rPr>
              <w:t>1.B.2.d</w:t>
            </w:r>
          </w:p>
        </w:tc>
        <w:tc>
          <w:tcPr>
            <w:tcW w:w="3834" w:type="dxa"/>
            <w:shd w:val="clear" w:color="auto" w:fill="auto"/>
          </w:tcPr>
          <w:p w14:paraId="7121C1B0" w14:textId="77777777" w:rsidR="00DE64BC" w:rsidRPr="00256982" w:rsidRDefault="00DE64BC" w:rsidP="00A808C7">
            <w:pPr>
              <w:pStyle w:val="TableText"/>
              <w:spacing w:before="40" w:after="40"/>
              <w:rPr>
                <w:rFonts w:cs="Arial"/>
                <w:szCs w:val="16"/>
              </w:rPr>
            </w:pPr>
            <w:r w:rsidRPr="00256982">
              <w:rPr>
                <w:rFonts w:cs="Arial"/>
                <w:color w:val="000000"/>
                <w:szCs w:val="16"/>
              </w:rPr>
              <w:t>Other (please specify) – Geothermal</w:t>
            </w:r>
          </w:p>
        </w:tc>
        <w:tc>
          <w:tcPr>
            <w:tcW w:w="571" w:type="dxa"/>
            <w:shd w:val="clear" w:color="auto" w:fill="auto"/>
          </w:tcPr>
          <w:p w14:paraId="37106E4E" w14:textId="77777777" w:rsidR="00DE64BC" w:rsidRPr="00256982" w:rsidRDefault="00DE64BC" w:rsidP="00A808C7">
            <w:pPr>
              <w:pStyle w:val="TableText"/>
              <w:spacing w:before="40" w:after="40"/>
              <w:jc w:val="center"/>
              <w:rPr>
                <w:rFonts w:cs="Arial"/>
                <w:szCs w:val="16"/>
              </w:rPr>
            </w:pPr>
            <w:r w:rsidRPr="00256982">
              <w:rPr>
                <w:rFonts w:cs="Arial"/>
                <w:color w:val="000000"/>
                <w:szCs w:val="16"/>
              </w:rPr>
              <w:t>CO</w:t>
            </w:r>
            <w:r w:rsidRPr="00256982">
              <w:rPr>
                <w:rFonts w:cs="Arial"/>
                <w:color w:val="000000"/>
                <w:szCs w:val="16"/>
                <w:vertAlign w:val="subscript"/>
              </w:rPr>
              <w:t>2</w:t>
            </w:r>
          </w:p>
        </w:tc>
        <w:tc>
          <w:tcPr>
            <w:tcW w:w="999" w:type="dxa"/>
            <w:shd w:val="clear" w:color="auto" w:fill="auto"/>
            <w:noWrap/>
          </w:tcPr>
          <w:p w14:paraId="0C64796F"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643.3</w:t>
            </w:r>
          </w:p>
        </w:tc>
        <w:tc>
          <w:tcPr>
            <w:tcW w:w="1142" w:type="dxa"/>
            <w:shd w:val="clear" w:color="auto" w:fill="auto"/>
            <w:noWrap/>
          </w:tcPr>
          <w:p w14:paraId="05935BAA"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0.8</w:t>
            </w:r>
          </w:p>
        </w:tc>
        <w:tc>
          <w:tcPr>
            <w:tcW w:w="1022" w:type="dxa"/>
            <w:shd w:val="clear" w:color="auto" w:fill="auto"/>
            <w:noWrap/>
          </w:tcPr>
          <w:p w14:paraId="01302F0D"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84.3</w:t>
            </w:r>
          </w:p>
        </w:tc>
      </w:tr>
      <w:tr w:rsidR="00DE64BC" w:rsidRPr="00256982" w14:paraId="00288FFC" w14:textId="77777777" w:rsidTr="00960A10">
        <w:tc>
          <w:tcPr>
            <w:tcW w:w="994" w:type="dxa"/>
          </w:tcPr>
          <w:p w14:paraId="2D87573B" w14:textId="77777777" w:rsidR="00DE64BC" w:rsidRPr="00256982" w:rsidRDefault="00DE64BC" w:rsidP="00A808C7">
            <w:pPr>
              <w:pStyle w:val="TableText"/>
              <w:spacing w:before="40" w:after="40"/>
              <w:rPr>
                <w:rFonts w:cs="Arial"/>
                <w:szCs w:val="16"/>
              </w:rPr>
            </w:pPr>
            <w:r w:rsidRPr="00256982">
              <w:rPr>
                <w:rFonts w:cs="Arial"/>
                <w:color w:val="000000"/>
                <w:szCs w:val="16"/>
              </w:rPr>
              <w:t>3.H</w:t>
            </w:r>
          </w:p>
        </w:tc>
        <w:tc>
          <w:tcPr>
            <w:tcW w:w="3834" w:type="dxa"/>
            <w:shd w:val="clear" w:color="auto" w:fill="auto"/>
          </w:tcPr>
          <w:p w14:paraId="3C2A3096" w14:textId="77777777" w:rsidR="00DE64BC" w:rsidRPr="00256982" w:rsidRDefault="00DE64BC" w:rsidP="00A808C7">
            <w:pPr>
              <w:pStyle w:val="TableText"/>
              <w:spacing w:before="40" w:after="40"/>
              <w:rPr>
                <w:rFonts w:cs="Arial"/>
                <w:szCs w:val="16"/>
              </w:rPr>
            </w:pPr>
            <w:r w:rsidRPr="00256982">
              <w:rPr>
                <w:rFonts w:cs="Arial"/>
                <w:color w:val="000000"/>
                <w:szCs w:val="16"/>
              </w:rPr>
              <w:t>Agriculture – Urea Application</w:t>
            </w:r>
          </w:p>
        </w:tc>
        <w:tc>
          <w:tcPr>
            <w:tcW w:w="571" w:type="dxa"/>
            <w:shd w:val="clear" w:color="auto" w:fill="auto"/>
          </w:tcPr>
          <w:p w14:paraId="3996CAE3" w14:textId="77777777" w:rsidR="00DE64BC" w:rsidRPr="00256982" w:rsidRDefault="00DE64BC" w:rsidP="00A808C7">
            <w:pPr>
              <w:pStyle w:val="TableText"/>
              <w:spacing w:before="40" w:after="40"/>
              <w:jc w:val="center"/>
              <w:rPr>
                <w:rFonts w:cs="Arial"/>
                <w:szCs w:val="16"/>
              </w:rPr>
            </w:pPr>
            <w:r w:rsidRPr="00256982">
              <w:rPr>
                <w:rFonts w:cs="Arial"/>
                <w:color w:val="000000"/>
                <w:szCs w:val="16"/>
              </w:rPr>
              <w:t>CO</w:t>
            </w:r>
            <w:r w:rsidRPr="00256982">
              <w:rPr>
                <w:rFonts w:cs="Arial"/>
                <w:color w:val="000000"/>
                <w:szCs w:val="16"/>
                <w:vertAlign w:val="subscript"/>
              </w:rPr>
              <w:t>2</w:t>
            </w:r>
          </w:p>
        </w:tc>
        <w:tc>
          <w:tcPr>
            <w:tcW w:w="999" w:type="dxa"/>
            <w:shd w:val="clear" w:color="auto" w:fill="auto"/>
            <w:noWrap/>
          </w:tcPr>
          <w:p w14:paraId="68F24745"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588.3</w:t>
            </w:r>
          </w:p>
        </w:tc>
        <w:tc>
          <w:tcPr>
            <w:tcW w:w="1142" w:type="dxa"/>
            <w:shd w:val="clear" w:color="auto" w:fill="auto"/>
            <w:noWrap/>
          </w:tcPr>
          <w:p w14:paraId="31A515FB"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0.7</w:t>
            </w:r>
          </w:p>
        </w:tc>
        <w:tc>
          <w:tcPr>
            <w:tcW w:w="1022" w:type="dxa"/>
            <w:shd w:val="clear" w:color="auto" w:fill="auto"/>
            <w:noWrap/>
          </w:tcPr>
          <w:p w14:paraId="254917F3"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85.0</w:t>
            </w:r>
          </w:p>
        </w:tc>
      </w:tr>
      <w:tr w:rsidR="00DE64BC" w:rsidRPr="00256982" w14:paraId="01A29140" w14:textId="77777777" w:rsidTr="00960A10">
        <w:tc>
          <w:tcPr>
            <w:tcW w:w="994" w:type="dxa"/>
          </w:tcPr>
          <w:p w14:paraId="2F286DB2" w14:textId="77777777" w:rsidR="00DE64BC" w:rsidRPr="00256982" w:rsidRDefault="00DE64BC" w:rsidP="00A808C7">
            <w:pPr>
              <w:pStyle w:val="TableText"/>
              <w:spacing w:before="40" w:after="40"/>
              <w:rPr>
                <w:rFonts w:cs="Arial"/>
                <w:szCs w:val="16"/>
              </w:rPr>
            </w:pPr>
            <w:r w:rsidRPr="00256982">
              <w:rPr>
                <w:rFonts w:cs="Arial"/>
                <w:color w:val="000000"/>
                <w:szCs w:val="16"/>
              </w:rPr>
              <w:t>1.A.2.g.iii</w:t>
            </w:r>
          </w:p>
        </w:tc>
        <w:tc>
          <w:tcPr>
            <w:tcW w:w="3834" w:type="dxa"/>
            <w:shd w:val="clear" w:color="auto" w:fill="auto"/>
          </w:tcPr>
          <w:p w14:paraId="3D051384" w14:textId="77777777" w:rsidR="00DE64BC" w:rsidRPr="00256982" w:rsidRDefault="00DE64BC" w:rsidP="00A808C7">
            <w:pPr>
              <w:pStyle w:val="TableText"/>
              <w:spacing w:before="40" w:after="40"/>
              <w:rPr>
                <w:rFonts w:cs="Arial"/>
                <w:szCs w:val="16"/>
              </w:rPr>
            </w:pPr>
            <w:r w:rsidRPr="00256982">
              <w:rPr>
                <w:rFonts w:cs="Arial"/>
                <w:color w:val="000000"/>
                <w:szCs w:val="16"/>
              </w:rPr>
              <w:t>Other (please specify) – Mining (excluding fuels) and quarrying Liquid Fuels</w:t>
            </w:r>
          </w:p>
        </w:tc>
        <w:tc>
          <w:tcPr>
            <w:tcW w:w="571" w:type="dxa"/>
            <w:shd w:val="clear" w:color="auto" w:fill="auto"/>
          </w:tcPr>
          <w:p w14:paraId="06CA8C9E" w14:textId="77777777" w:rsidR="00DE64BC" w:rsidRPr="00256982" w:rsidRDefault="00DE64BC" w:rsidP="00A808C7">
            <w:pPr>
              <w:pStyle w:val="TableText"/>
              <w:spacing w:before="40" w:after="40"/>
              <w:jc w:val="center"/>
              <w:rPr>
                <w:rFonts w:cs="Arial"/>
                <w:szCs w:val="16"/>
              </w:rPr>
            </w:pPr>
            <w:r w:rsidRPr="00256982">
              <w:rPr>
                <w:rFonts w:cs="Arial"/>
                <w:color w:val="000000"/>
                <w:szCs w:val="16"/>
              </w:rPr>
              <w:t>CO</w:t>
            </w:r>
            <w:r w:rsidRPr="00256982">
              <w:rPr>
                <w:rFonts w:cs="Arial"/>
                <w:color w:val="000000"/>
                <w:szCs w:val="16"/>
                <w:vertAlign w:val="subscript"/>
              </w:rPr>
              <w:t>2</w:t>
            </w:r>
          </w:p>
        </w:tc>
        <w:tc>
          <w:tcPr>
            <w:tcW w:w="999" w:type="dxa"/>
            <w:shd w:val="clear" w:color="auto" w:fill="auto"/>
            <w:noWrap/>
          </w:tcPr>
          <w:p w14:paraId="23813ED3"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584.4</w:t>
            </w:r>
          </w:p>
        </w:tc>
        <w:tc>
          <w:tcPr>
            <w:tcW w:w="1142" w:type="dxa"/>
            <w:shd w:val="clear" w:color="auto" w:fill="auto"/>
            <w:noWrap/>
          </w:tcPr>
          <w:p w14:paraId="3053EBB0"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0.7</w:t>
            </w:r>
          </w:p>
        </w:tc>
        <w:tc>
          <w:tcPr>
            <w:tcW w:w="1022" w:type="dxa"/>
            <w:shd w:val="clear" w:color="auto" w:fill="auto"/>
            <w:noWrap/>
          </w:tcPr>
          <w:p w14:paraId="1E8579E9"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85.7</w:t>
            </w:r>
          </w:p>
        </w:tc>
      </w:tr>
      <w:tr w:rsidR="00DE64BC" w:rsidRPr="00256982" w14:paraId="4FC5A467" w14:textId="77777777" w:rsidTr="00960A10">
        <w:tc>
          <w:tcPr>
            <w:tcW w:w="994" w:type="dxa"/>
          </w:tcPr>
          <w:p w14:paraId="54AB012A" w14:textId="77777777" w:rsidR="00DE64BC" w:rsidRPr="00256982" w:rsidRDefault="00DE64BC" w:rsidP="00A808C7">
            <w:pPr>
              <w:pStyle w:val="TableText"/>
              <w:spacing w:before="40" w:after="40"/>
              <w:rPr>
                <w:rFonts w:cs="Arial"/>
                <w:szCs w:val="16"/>
              </w:rPr>
            </w:pPr>
            <w:r w:rsidRPr="00256982">
              <w:rPr>
                <w:rFonts w:cs="Arial"/>
                <w:color w:val="000000"/>
                <w:szCs w:val="16"/>
              </w:rPr>
              <w:t>2.C.3</w:t>
            </w:r>
          </w:p>
        </w:tc>
        <w:tc>
          <w:tcPr>
            <w:tcW w:w="3834" w:type="dxa"/>
            <w:shd w:val="clear" w:color="auto" w:fill="auto"/>
          </w:tcPr>
          <w:p w14:paraId="3F589BF3" w14:textId="77777777" w:rsidR="00DE64BC" w:rsidRPr="00256982" w:rsidRDefault="00DE64BC" w:rsidP="00A808C7">
            <w:pPr>
              <w:pStyle w:val="TableText"/>
              <w:spacing w:before="40" w:after="40"/>
              <w:rPr>
                <w:rFonts w:cs="Arial"/>
                <w:szCs w:val="16"/>
              </w:rPr>
            </w:pPr>
            <w:r w:rsidRPr="00256982">
              <w:rPr>
                <w:rFonts w:cs="Arial"/>
                <w:color w:val="000000"/>
                <w:szCs w:val="16"/>
              </w:rPr>
              <w:t>Metal Industry – Aluminium Production</w:t>
            </w:r>
          </w:p>
        </w:tc>
        <w:tc>
          <w:tcPr>
            <w:tcW w:w="571" w:type="dxa"/>
            <w:shd w:val="clear" w:color="auto" w:fill="auto"/>
          </w:tcPr>
          <w:p w14:paraId="4563899A" w14:textId="77777777" w:rsidR="00DE64BC" w:rsidRPr="00256982" w:rsidRDefault="00DE64BC" w:rsidP="00A808C7">
            <w:pPr>
              <w:pStyle w:val="TableText"/>
              <w:spacing w:before="40" w:after="40"/>
              <w:jc w:val="center"/>
              <w:rPr>
                <w:rFonts w:cs="Arial"/>
                <w:szCs w:val="16"/>
              </w:rPr>
            </w:pPr>
            <w:r w:rsidRPr="00256982">
              <w:rPr>
                <w:rFonts w:cs="Arial"/>
                <w:color w:val="000000"/>
                <w:szCs w:val="16"/>
              </w:rPr>
              <w:t>CO</w:t>
            </w:r>
            <w:r w:rsidRPr="00256982">
              <w:rPr>
                <w:rFonts w:cs="Arial"/>
                <w:color w:val="000000"/>
                <w:szCs w:val="16"/>
                <w:vertAlign w:val="subscript"/>
              </w:rPr>
              <w:t>2</w:t>
            </w:r>
          </w:p>
        </w:tc>
        <w:tc>
          <w:tcPr>
            <w:tcW w:w="999" w:type="dxa"/>
            <w:shd w:val="clear" w:color="auto" w:fill="auto"/>
            <w:noWrap/>
          </w:tcPr>
          <w:p w14:paraId="16A2A7FF"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546.2</w:t>
            </w:r>
          </w:p>
        </w:tc>
        <w:tc>
          <w:tcPr>
            <w:tcW w:w="1142" w:type="dxa"/>
            <w:shd w:val="clear" w:color="auto" w:fill="auto"/>
            <w:noWrap/>
          </w:tcPr>
          <w:p w14:paraId="7913AD50"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0.7</w:t>
            </w:r>
          </w:p>
        </w:tc>
        <w:tc>
          <w:tcPr>
            <w:tcW w:w="1022" w:type="dxa"/>
            <w:shd w:val="clear" w:color="auto" w:fill="auto"/>
            <w:noWrap/>
          </w:tcPr>
          <w:p w14:paraId="02ECC170"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86.4</w:t>
            </w:r>
          </w:p>
        </w:tc>
      </w:tr>
      <w:tr w:rsidR="00DE64BC" w:rsidRPr="00256982" w14:paraId="6609C51C" w14:textId="77777777" w:rsidTr="00960A10">
        <w:tc>
          <w:tcPr>
            <w:tcW w:w="994" w:type="dxa"/>
          </w:tcPr>
          <w:p w14:paraId="6C40DE88" w14:textId="77777777" w:rsidR="00DE64BC" w:rsidRPr="00256982" w:rsidRDefault="00DE64BC" w:rsidP="00A808C7">
            <w:pPr>
              <w:pStyle w:val="TableText"/>
              <w:spacing w:before="40" w:after="40"/>
              <w:rPr>
                <w:rFonts w:cs="Arial"/>
                <w:szCs w:val="16"/>
              </w:rPr>
            </w:pPr>
            <w:r w:rsidRPr="00256982">
              <w:rPr>
                <w:rFonts w:cs="Arial"/>
                <w:color w:val="000000"/>
                <w:szCs w:val="16"/>
              </w:rPr>
              <w:t>1.A.4.a</w:t>
            </w:r>
          </w:p>
        </w:tc>
        <w:tc>
          <w:tcPr>
            <w:tcW w:w="3834" w:type="dxa"/>
            <w:shd w:val="clear" w:color="auto" w:fill="auto"/>
          </w:tcPr>
          <w:p w14:paraId="0FA5F375" w14:textId="77777777" w:rsidR="00DE64BC" w:rsidRPr="00256982" w:rsidRDefault="00DE64BC" w:rsidP="00A808C7">
            <w:pPr>
              <w:pStyle w:val="TableText"/>
              <w:spacing w:before="40" w:after="40"/>
              <w:rPr>
                <w:rFonts w:cs="Arial"/>
                <w:szCs w:val="16"/>
              </w:rPr>
            </w:pPr>
            <w:r w:rsidRPr="00256982">
              <w:rPr>
                <w:rFonts w:cs="Arial"/>
                <w:color w:val="000000"/>
                <w:szCs w:val="16"/>
              </w:rPr>
              <w:t>Other Sectors – Commercial/Institutional Liquid Fuels</w:t>
            </w:r>
          </w:p>
        </w:tc>
        <w:tc>
          <w:tcPr>
            <w:tcW w:w="571" w:type="dxa"/>
            <w:shd w:val="clear" w:color="auto" w:fill="auto"/>
          </w:tcPr>
          <w:p w14:paraId="6C798048" w14:textId="77777777" w:rsidR="00DE64BC" w:rsidRPr="00256982" w:rsidRDefault="00DE64BC" w:rsidP="00A808C7">
            <w:pPr>
              <w:pStyle w:val="TableText"/>
              <w:spacing w:before="40" w:after="40"/>
              <w:jc w:val="center"/>
              <w:rPr>
                <w:rFonts w:cs="Arial"/>
                <w:szCs w:val="16"/>
              </w:rPr>
            </w:pPr>
            <w:r w:rsidRPr="00256982">
              <w:rPr>
                <w:rFonts w:cs="Arial"/>
                <w:color w:val="000000"/>
                <w:szCs w:val="16"/>
              </w:rPr>
              <w:t>CO</w:t>
            </w:r>
            <w:r w:rsidRPr="00256982">
              <w:rPr>
                <w:rFonts w:cs="Arial"/>
                <w:color w:val="000000"/>
                <w:szCs w:val="16"/>
                <w:vertAlign w:val="subscript"/>
              </w:rPr>
              <w:t>2</w:t>
            </w:r>
          </w:p>
        </w:tc>
        <w:tc>
          <w:tcPr>
            <w:tcW w:w="999" w:type="dxa"/>
            <w:shd w:val="clear" w:color="auto" w:fill="auto"/>
            <w:noWrap/>
          </w:tcPr>
          <w:p w14:paraId="0C3B2D84"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530.8</w:t>
            </w:r>
          </w:p>
        </w:tc>
        <w:tc>
          <w:tcPr>
            <w:tcW w:w="1142" w:type="dxa"/>
            <w:shd w:val="clear" w:color="auto" w:fill="auto"/>
            <w:noWrap/>
          </w:tcPr>
          <w:p w14:paraId="554DCF08"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0.7</w:t>
            </w:r>
          </w:p>
        </w:tc>
        <w:tc>
          <w:tcPr>
            <w:tcW w:w="1022" w:type="dxa"/>
            <w:shd w:val="clear" w:color="auto" w:fill="auto"/>
            <w:noWrap/>
          </w:tcPr>
          <w:p w14:paraId="250C5AF2"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87.0</w:t>
            </w:r>
          </w:p>
        </w:tc>
      </w:tr>
      <w:tr w:rsidR="00DE64BC" w:rsidRPr="00256982" w14:paraId="54EF460C" w14:textId="77777777" w:rsidTr="00960A10">
        <w:tc>
          <w:tcPr>
            <w:tcW w:w="994" w:type="dxa"/>
          </w:tcPr>
          <w:p w14:paraId="1FDBC327" w14:textId="77777777" w:rsidR="00DE64BC" w:rsidRPr="00256982" w:rsidRDefault="00DE64BC" w:rsidP="00A808C7">
            <w:pPr>
              <w:pStyle w:val="TableText"/>
              <w:spacing w:before="40" w:after="40"/>
              <w:rPr>
                <w:rFonts w:cs="Arial"/>
                <w:szCs w:val="16"/>
              </w:rPr>
            </w:pPr>
            <w:r w:rsidRPr="00256982">
              <w:rPr>
                <w:rFonts w:cs="Arial"/>
                <w:color w:val="000000"/>
                <w:szCs w:val="16"/>
              </w:rPr>
              <w:t>1.A.1.a</w:t>
            </w:r>
          </w:p>
        </w:tc>
        <w:tc>
          <w:tcPr>
            <w:tcW w:w="3834" w:type="dxa"/>
            <w:shd w:val="clear" w:color="auto" w:fill="auto"/>
          </w:tcPr>
          <w:p w14:paraId="4CDA6BEF" w14:textId="77777777" w:rsidR="00DE64BC" w:rsidRPr="00256982" w:rsidRDefault="00DE64BC" w:rsidP="00A808C7">
            <w:pPr>
              <w:pStyle w:val="TableText"/>
              <w:spacing w:before="40" w:after="40"/>
              <w:rPr>
                <w:rFonts w:cs="Arial"/>
                <w:szCs w:val="16"/>
              </w:rPr>
            </w:pPr>
            <w:r w:rsidRPr="00256982">
              <w:rPr>
                <w:rFonts w:cs="Arial"/>
                <w:color w:val="000000"/>
                <w:szCs w:val="16"/>
              </w:rPr>
              <w:t>Energy Industries – Public Electricity and Heat Production Solid Fuels</w:t>
            </w:r>
          </w:p>
        </w:tc>
        <w:tc>
          <w:tcPr>
            <w:tcW w:w="571" w:type="dxa"/>
            <w:shd w:val="clear" w:color="auto" w:fill="auto"/>
          </w:tcPr>
          <w:p w14:paraId="726B9593" w14:textId="77777777" w:rsidR="00DE64BC" w:rsidRPr="00256982" w:rsidRDefault="00DE64BC" w:rsidP="00A808C7">
            <w:pPr>
              <w:pStyle w:val="TableText"/>
              <w:spacing w:before="40" w:after="40"/>
              <w:jc w:val="center"/>
              <w:rPr>
                <w:rFonts w:cs="Arial"/>
                <w:szCs w:val="16"/>
              </w:rPr>
            </w:pPr>
            <w:r w:rsidRPr="00256982">
              <w:rPr>
                <w:rFonts w:cs="Arial"/>
                <w:color w:val="000000"/>
                <w:szCs w:val="16"/>
              </w:rPr>
              <w:t>CO</w:t>
            </w:r>
            <w:r w:rsidRPr="00256982">
              <w:rPr>
                <w:rFonts w:cs="Arial"/>
                <w:color w:val="000000"/>
                <w:szCs w:val="16"/>
                <w:vertAlign w:val="subscript"/>
              </w:rPr>
              <w:t>2</w:t>
            </w:r>
          </w:p>
        </w:tc>
        <w:tc>
          <w:tcPr>
            <w:tcW w:w="999" w:type="dxa"/>
            <w:shd w:val="clear" w:color="auto" w:fill="auto"/>
            <w:noWrap/>
          </w:tcPr>
          <w:p w14:paraId="24561BDE"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522.7</w:t>
            </w:r>
          </w:p>
        </w:tc>
        <w:tc>
          <w:tcPr>
            <w:tcW w:w="1142" w:type="dxa"/>
            <w:shd w:val="clear" w:color="auto" w:fill="auto"/>
            <w:noWrap/>
          </w:tcPr>
          <w:p w14:paraId="1677EA0B"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0.6</w:t>
            </w:r>
          </w:p>
        </w:tc>
        <w:tc>
          <w:tcPr>
            <w:tcW w:w="1022" w:type="dxa"/>
            <w:shd w:val="clear" w:color="auto" w:fill="auto"/>
            <w:noWrap/>
          </w:tcPr>
          <w:p w14:paraId="115A6C09"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87.7</w:t>
            </w:r>
          </w:p>
        </w:tc>
      </w:tr>
      <w:tr w:rsidR="00DE64BC" w:rsidRPr="00256982" w14:paraId="17F09C37" w14:textId="77777777" w:rsidTr="00960A10">
        <w:tc>
          <w:tcPr>
            <w:tcW w:w="994" w:type="dxa"/>
          </w:tcPr>
          <w:p w14:paraId="7A5F1DB6" w14:textId="77777777" w:rsidR="00DE64BC" w:rsidRPr="00256982" w:rsidRDefault="00DE64BC" w:rsidP="00A808C7">
            <w:pPr>
              <w:pStyle w:val="TableText"/>
              <w:spacing w:before="40" w:after="40"/>
              <w:rPr>
                <w:rFonts w:cs="Arial"/>
                <w:szCs w:val="16"/>
              </w:rPr>
            </w:pPr>
            <w:r w:rsidRPr="00256982">
              <w:rPr>
                <w:rFonts w:cs="Arial"/>
                <w:color w:val="000000"/>
                <w:szCs w:val="16"/>
              </w:rPr>
              <w:t>3.D.2.2</w:t>
            </w:r>
          </w:p>
        </w:tc>
        <w:tc>
          <w:tcPr>
            <w:tcW w:w="3834" w:type="dxa"/>
            <w:shd w:val="clear" w:color="auto" w:fill="auto"/>
          </w:tcPr>
          <w:p w14:paraId="2E03C9C7" w14:textId="77777777" w:rsidR="00DE64BC" w:rsidRPr="00256982" w:rsidRDefault="00DE64BC" w:rsidP="00A808C7">
            <w:pPr>
              <w:pStyle w:val="TableText"/>
              <w:spacing w:before="40" w:after="40"/>
              <w:rPr>
                <w:rFonts w:cs="Arial"/>
                <w:szCs w:val="16"/>
              </w:rPr>
            </w:pPr>
            <w:r w:rsidRPr="00256982">
              <w:rPr>
                <w:rFonts w:cs="Arial"/>
                <w:color w:val="000000"/>
                <w:szCs w:val="16"/>
              </w:rPr>
              <w:t>Indirect N</w:t>
            </w:r>
            <w:r w:rsidRPr="00256982">
              <w:rPr>
                <w:rFonts w:cs="Arial"/>
                <w:color w:val="000000"/>
                <w:szCs w:val="16"/>
                <w:vertAlign w:val="subscript"/>
              </w:rPr>
              <w:t>2</w:t>
            </w:r>
            <w:r w:rsidRPr="00256982">
              <w:rPr>
                <w:rFonts w:cs="Arial"/>
                <w:color w:val="000000"/>
                <w:szCs w:val="16"/>
              </w:rPr>
              <w:t>O Emissions From Managed Soils – Nitrogen Leaching and Run-off</w:t>
            </w:r>
          </w:p>
        </w:tc>
        <w:tc>
          <w:tcPr>
            <w:tcW w:w="571" w:type="dxa"/>
            <w:shd w:val="clear" w:color="auto" w:fill="auto"/>
          </w:tcPr>
          <w:p w14:paraId="6260981B" w14:textId="77777777" w:rsidR="00DE64BC" w:rsidRPr="00256982" w:rsidRDefault="00DE64BC" w:rsidP="00A808C7">
            <w:pPr>
              <w:pStyle w:val="TableText"/>
              <w:spacing w:before="40" w:after="40"/>
              <w:jc w:val="center"/>
              <w:rPr>
                <w:rFonts w:cs="Arial"/>
                <w:szCs w:val="16"/>
              </w:rPr>
            </w:pPr>
            <w:r w:rsidRPr="00256982">
              <w:rPr>
                <w:rFonts w:cs="Arial"/>
                <w:color w:val="000000"/>
                <w:szCs w:val="16"/>
              </w:rPr>
              <w:t>N</w:t>
            </w:r>
            <w:r w:rsidRPr="00256982">
              <w:rPr>
                <w:rFonts w:cs="Arial"/>
                <w:color w:val="000000"/>
                <w:szCs w:val="16"/>
                <w:vertAlign w:val="subscript"/>
              </w:rPr>
              <w:t>2</w:t>
            </w:r>
            <w:r w:rsidRPr="00256982">
              <w:rPr>
                <w:rFonts w:cs="Arial"/>
                <w:color w:val="000000"/>
                <w:szCs w:val="16"/>
              </w:rPr>
              <w:t>O</w:t>
            </w:r>
          </w:p>
        </w:tc>
        <w:tc>
          <w:tcPr>
            <w:tcW w:w="999" w:type="dxa"/>
            <w:shd w:val="clear" w:color="auto" w:fill="auto"/>
            <w:noWrap/>
          </w:tcPr>
          <w:p w14:paraId="2EB82238"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500.5</w:t>
            </w:r>
          </w:p>
        </w:tc>
        <w:tc>
          <w:tcPr>
            <w:tcW w:w="1142" w:type="dxa"/>
            <w:shd w:val="clear" w:color="auto" w:fill="auto"/>
            <w:noWrap/>
          </w:tcPr>
          <w:p w14:paraId="69059316"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0.6</w:t>
            </w:r>
          </w:p>
        </w:tc>
        <w:tc>
          <w:tcPr>
            <w:tcW w:w="1022" w:type="dxa"/>
            <w:shd w:val="clear" w:color="auto" w:fill="auto"/>
            <w:noWrap/>
          </w:tcPr>
          <w:p w14:paraId="15E89D8B"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88.3</w:t>
            </w:r>
          </w:p>
        </w:tc>
      </w:tr>
      <w:tr w:rsidR="00DE64BC" w:rsidRPr="00256982" w14:paraId="66183B4C" w14:textId="77777777" w:rsidTr="00960A10">
        <w:tc>
          <w:tcPr>
            <w:tcW w:w="994" w:type="dxa"/>
          </w:tcPr>
          <w:p w14:paraId="04A59EBC" w14:textId="77777777" w:rsidR="00DE64BC" w:rsidRPr="00256982" w:rsidRDefault="00DE64BC" w:rsidP="00A808C7">
            <w:pPr>
              <w:pStyle w:val="TableText"/>
              <w:spacing w:before="40" w:after="40"/>
              <w:rPr>
                <w:rFonts w:cs="Arial"/>
                <w:szCs w:val="16"/>
              </w:rPr>
            </w:pPr>
            <w:r w:rsidRPr="00256982">
              <w:rPr>
                <w:rFonts w:cs="Arial"/>
                <w:color w:val="000000"/>
                <w:szCs w:val="16"/>
              </w:rPr>
              <w:t>3.A.4</w:t>
            </w:r>
          </w:p>
        </w:tc>
        <w:tc>
          <w:tcPr>
            <w:tcW w:w="3834" w:type="dxa"/>
            <w:shd w:val="clear" w:color="auto" w:fill="auto"/>
          </w:tcPr>
          <w:p w14:paraId="60C740FA" w14:textId="77777777" w:rsidR="00DE64BC" w:rsidRPr="00256982" w:rsidRDefault="00DE64BC" w:rsidP="00A808C7">
            <w:pPr>
              <w:pStyle w:val="TableText"/>
              <w:spacing w:before="40" w:after="40"/>
              <w:rPr>
                <w:rFonts w:cs="Arial"/>
                <w:szCs w:val="16"/>
              </w:rPr>
            </w:pPr>
            <w:r w:rsidRPr="00256982">
              <w:rPr>
                <w:rFonts w:cs="Arial"/>
                <w:color w:val="000000"/>
                <w:szCs w:val="16"/>
              </w:rPr>
              <w:t>Other livestock – Deer</w:t>
            </w:r>
          </w:p>
        </w:tc>
        <w:tc>
          <w:tcPr>
            <w:tcW w:w="571" w:type="dxa"/>
            <w:shd w:val="clear" w:color="auto" w:fill="auto"/>
          </w:tcPr>
          <w:p w14:paraId="571496E1" w14:textId="77777777" w:rsidR="00DE64BC" w:rsidRPr="00256982" w:rsidRDefault="00DE64BC" w:rsidP="00A808C7">
            <w:pPr>
              <w:pStyle w:val="TableText"/>
              <w:spacing w:before="40" w:after="40"/>
              <w:jc w:val="center"/>
              <w:rPr>
                <w:rFonts w:cs="Arial"/>
                <w:szCs w:val="16"/>
              </w:rPr>
            </w:pPr>
            <w:r w:rsidRPr="00256982">
              <w:rPr>
                <w:rFonts w:cs="Arial"/>
                <w:color w:val="000000"/>
                <w:szCs w:val="16"/>
              </w:rPr>
              <w:t>CH</w:t>
            </w:r>
            <w:r w:rsidRPr="00256982">
              <w:rPr>
                <w:rFonts w:cs="Arial"/>
                <w:color w:val="000000"/>
                <w:szCs w:val="16"/>
                <w:vertAlign w:val="subscript"/>
              </w:rPr>
              <w:t>4</w:t>
            </w:r>
          </w:p>
        </w:tc>
        <w:tc>
          <w:tcPr>
            <w:tcW w:w="999" w:type="dxa"/>
            <w:shd w:val="clear" w:color="auto" w:fill="auto"/>
            <w:noWrap/>
          </w:tcPr>
          <w:p w14:paraId="4BED0A55"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486.0</w:t>
            </w:r>
          </w:p>
        </w:tc>
        <w:tc>
          <w:tcPr>
            <w:tcW w:w="1142" w:type="dxa"/>
            <w:shd w:val="clear" w:color="auto" w:fill="auto"/>
            <w:noWrap/>
          </w:tcPr>
          <w:p w14:paraId="5FB23B7D"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0.6</w:t>
            </w:r>
          </w:p>
        </w:tc>
        <w:tc>
          <w:tcPr>
            <w:tcW w:w="1022" w:type="dxa"/>
            <w:shd w:val="clear" w:color="auto" w:fill="auto"/>
            <w:noWrap/>
          </w:tcPr>
          <w:p w14:paraId="53A117BB"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88.9</w:t>
            </w:r>
          </w:p>
        </w:tc>
      </w:tr>
      <w:tr w:rsidR="00DE64BC" w:rsidRPr="00256982" w14:paraId="5A7DD41C" w14:textId="77777777" w:rsidTr="00960A10">
        <w:tc>
          <w:tcPr>
            <w:tcW w:w="994" w:type="dxa"/>
          </w:tcPr>
          <w:p w14:paraId="4AA7AEB2" w14:textId="77777777" w:rsidR="00DE64BC" w:rsidRPr="00256982" w:rsidRDefault="00DE64BC" w:rsidP="00A808C7">
            <w:pPr>
              <w:pStyle w:val="TableText"/>
              <w:spacing w:before="40" w:after="40"/>
              <w:rPr>
                <w:rFonts w:cs="Arial"/>
                <w:szCs w:val="16"/>
              </w:rPr>
            </w:pPr>
            <w:r w:rsidRPr="00256982">
              <w:rPr>
                <w:rFonts w:cs="Arial"/>
                <w:color w:val="000000"/>
                <w:szCs w:val="16"/>
              </w:rPr>
              <w:t>3.G</w:t>
            </w:r>
          </w:p>
        </w:tc>
        <w:tc>
          <w:tcPr>
            <w:tcW w:w="3834" w:type="dxa"/>
            <w:shd w:val="clear" w:color="auto" w:fill="auto"/>
          </w:tcPr>
          <w:p w14:paraId="1DE5C592" w14:textId="77777777" w:rsidR="00DE64BC" w:rsidRPr="00256982" w:rsidRDefault="00DE64BC" w:rsidP="00A808C7">
            <w:pPr>
              <w:pStyle w:val="TableText"/>
              <w:spacing w:before="40" w:after="40"/>
              <w:rPr>
                <w:rFonts w:cs="Arial"/>
                <w:szCs w:val="16"/>
              </w:rPr>
            </w:pPr>
            <w:r w:rsidRPr="00256982">
              <w:rPr>
                <w:rFonts w:cs="Arial"/>
                <w:color w:val="000000"/>
                <w:szCs w:val="16"/>
              </w:rPr>
              <w:t>Agriculture – Liming</w:t>
            </w:r>
          </w:p>
        </w:tc>
        <w:tc>
          <w:tcPr>
            <w:tcW w:w="571" w:type="dxa"/>
            <w:shd w:val="clear" w:color="auto" w:fill="auto"/>
          </w:tcPr>
          <w:p w14:paraId="12D942E4" w14:textId="77777777" w:rsidR="00DE64BC" w:rsidRPr="00256982" w:rsidRDefault="00DE64BC" w:rsidP="00A808C7">
            <w:pPr>
              <w:pStyle w:val="TableText"/>
              <w:spacing w:before="40" w:after="40"/>
              <w:jc w:val="center"/>
              <w:rPr>
                <w:rFonts w:cs="Arial"/>
                <w:szCs w:val="16"/>
              </w:rPr>
            </w:pPr>
            <w:r w:rsidRPr="00256982">
              <w:rPr>
                <w:rFonts w:cs="Arial"/>
                <w:color w:val="000000"/>
                <w:szCs w:val="16"/>
              </w:rPr>
              <w:t>CO</w:t>
            </w:r>
            <w:r w:rsidRPr="00256982">
              <w:rPr>
                <w:rFonts w:cs="Arial"/>
                <w:color w:val="000000"/>
                <w:szCs w:val="16"/>
                <w:vertAlign w:val="subscript"/>
              </w:rPr>
              <w:t>2</w:t>
            </w:r>
          </w:p>
        </w:tc>
        <w:tc>
          <w:tcPr>
            <w:tcW w:w="999" w:type="dxa"/>
            <w:shd w:val="clear" w:color="auto" w:fill="auto"/>
            <w:noWrap/>
          </w:tcPr>
          <w:p w14:paraId="33E7D7EE"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459.6</w:t>
            </w:r>
          </w:p>
        </w:tc>
        <w:tc>
          <w:tcPr>
            <w:tcW w:w="1142" w:type="dxa"/>
            <w:shd w:val="clear" w:color="auto" w:fill="auto"/>
            <w:noWrap/>
          </w:tcPr>
          <w:p w14:paraId="60539AA7"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0.6</w:t>
            </w:r>
          </w:p>
        </w:tc>
        <w:tc>
          <w:tcPr>
            <w:tcW w:w="1022" w:type="dxa"/>
            <w:shd w:val="clear" w:color="auto" w:fill="auto"/>
            <w:noWrap/>
          </w:tcPr>
          <w:p w14:paraId="0260E6AB"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89.5</w:t>
            </w:r>
          </w:p>
        </w:tc>
      </w:tr>
      <w:tr w:rsidR="00DE64BC" w:rsidRPr="00256982" w14:paraId="77FE8C12" w14:textId="77777777" w:rsidTr="00960A10">
        <w:tc>
          <w:tcPr>
            <w:tcW w:w="994" w:type="dxa"/>
          </w:tcPr>
          <w:p w14:paraId="283F1389" w14:textId="77777777" w:rsidR="00DE64BC" w:rsidRPr="00256982" w:rsidRDefault="00DE64BC" w:rsidP="00A808C7">
            <w:pPr>
              <w:pStyle w:val="TableText"/>
              <w:spacing w:before="40" w:after="40"/>
              <w:rPr>
                <w:rFonts w:cs="Arial"/>
                <w:szCs w:val="16"/>
              </w:rPr>
            </w:pPr>
            <w:r w:rsidRPr="00256982">
              <w:rPr>
                <w:rFonts w:cs="Arial"/>
                <w:color w:val="000000"/>
                <w:szCs w:val="16"/>
              </w:rPr>
              <w:t>2.A.1</w:t>
            </w:r>
          </w:p>
        </w:tc>
        <w:tc>
          <w:tcPr>
            <w:tcW w:w="3834" w:type="dxa"/>
            <w:shd w:val="clear" w:color="auto" w:fill="auto"/>
          </w:tcPr>
          <w:p w14:paraId="16DD45B0" w14:textId="77777777" w:rsidR="00DE64BC" w:rsidRPr="00256982" w:rsidRDefault="00DE64BC" w:rsidP="00A808C7">
            <w:pPr>
              <w:pStyle w:val="TableText"/>
              <w:spacing w:before="40" w:after="40"/>
              <w:rPr>
                <w:rFonts w:cs="Arial"/>
                <w:szCs w:val="16"/>
              </w:rPr>
            </w:pPr>
            <w:r w:rsidRPr="00256982">
              <w:rPr>
                <w:rFonts w:cs="Arial"/>
                <w:color w:val="000000"/>
                <w:szCs w:val="16"/>
              </w:rPr>
              <w:t>Mineral Industry – Cement Production</w:t>
            </w:r>
          </w:p>
        </w:tc>
        <w:tc>
          <w:tcPr>
            <w:tcW w:w="571" w:type="dxa"/>
            <w:shd w:val="clear" w:color="auto" w:fill="auto"/>
          </w:tcPr>
          <w:p w14:paraId="41C73F63" w14:textId="77777777" w:rsidR="00DE64BC" w:rsidRPr="00256982" w:rsidRDefault="00DE64BC" w:rsidP="00A808C7">
            <w:pPr>
              <w:pStyle w:val="TableText"/>
              <w:spacing w:before="40" w:after="40"/>
              <w:jc w:val="center"/>
              <w:rPr>
                <w:rFonts w:cs="Arial"/>
                <w:szCs w:val="16"/>
              </w:rPr>
            </w:pPr>
            <w:r w:rsidRPr="00256982">
              <w:rPr>
                <w:rFonts w:cs="Arial"/>
                <w:color w:val="000000"/>
                <w:szCs w:val="16"/>
              </w:rPr>
              <w:t>CO</w:t>
            </w:r>
            <w:r w:rsidRPr="00256982">
              <w:rPr>
                <w:rFonts w:cs="Arial"/>
                <w:color w:val="000000"/>
                <w:szCs w:val="16"/>
                <w:vertAlign w:val="subscript"/>
              </w:rPr>
              <w:t>2</w:t>
            </w:r>
          </w:p>
        </w:tc>
        <w:tc>
          <w:tcPr>
            <w:tcW w:w="999" w:type="dxa"/>
            <w:shd w:val="clear" w:color="auto" w:fill="auto"/>
            <w:noWrap/>
          </w:tcPr>
          <w:p w14:paraId="13D799A0"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443.8</w:t>
            </w:r>
          </w:p>
        </w:tc>
        <w:tc>
          <w:tcPr>
            <w:tcW w:w="1142" w:type="dxa"/>
            <w:shd w:val="clear" w:color="auto" w:fill="auto"/>
            <w:noWrap/>
          </w:tcPr>
          <w:p w14:paraId="512D4EBD"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0.5</w:t>
            </w:r>
          </w:p>
        </w:tc>
        <w:tc>
          <w:tcPr>
            <w:tcW w:w="1022" w:type="dxa"/>
            <w:shd w:val="clear" w:color="auto" w:fill="auto"/>
            <w:noWrap/>
          </w:tcPr>
          <w:p w14:paraId="52328AAA"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90.0</w:t>
            </w:r>
          </w:p>
        </w:tc>
      </w:tr>
      <w:tr w:rsidR="00DE64BC" w:rsidRPr="00256982" w14:paraId="6FF5BFB8" w14:textId="77777777" w:rsidTr="00960A10">
        <w:tc>
          <w:tcPr>
            <w:tcW w:w="994" w:type="dxa"/>
          </w:tcPr>
          <w:p w14:paraId="7B509974" w14:textId="77777777" w:rsidR="00DE64BC" w:rsidRPr="00256982" w:rsidRDefault="00DE64BC" w:rsidP="00A808C7">
            <w:pPr>
              <w:pStyle w:val="TableText"/>
              <w:spacing w:before="40" w:after="40"/>
              <w:rPr>
                <w:rFonts w:cs="Arial"/>
                <w:szCs w:val="16"/>
              </w:rPr>
            </w:pPr>
            <w:r w:rsidRPr="00256982">
              <w:rPr>
                <w:rFonts w:cs="Arial"/>
                <w:color w:val="000000"/>
                <w:szCs w:val="16"/>
              </w:rPr>
              <w:t>1.A.4.a</w:t>
            </w:r>
          </w:p>
        </w:tc>
        <w:tc>
          <w:tcPr>
            <w:tcW w:w="3834" w:type="dxa"/>
            <w:shd w:val="clear" w:color="auto" w:fill="auto"/>
          </w:tcPr>
          <w:p w14:paraId="5E1BEE5A" w14:textId="77777777" w:rsidR="00DE64BC" w:rsidRPr="00256982" w:rsidRDefault="00DE64BC" w:rsidP="00A808C7">
            <w:pPr>
              <w:pStyle w:val="TableText"/>
              <w:spacing w:before="40" w:after="40"/>
              <w:rPr>
                <w:rFonts w:cs="Arial"/>
                <w:szCs w:val="16"/>
              </w:rPr>
            </w:pPr>
            <w:r w:rsidRPr="00256982">
              <w:rPr>
                <w:rFonts w:cs="Arial"/>
                <w:color w:val="000000"/>
                <w:szCs w:val="16"/>
              </w:rPr>
              <w:t>Other Sectors – Commercial/Institutional Gaseous Fuels</w:t>
            </w:r>
          </w:p>
        </w:tc>
        <w:tc>
          <w:tcPr>
            <w:tcW w:w="571" w:type="dxa"/>
            <w:shd w:val="clear" w:color="auto" w:fill="auto"/>
          </w:tcPr>
          <w:p w14:paraId="7093CC3B" w14:textId="77777777" w:rsidR="00DE64BC" w:rsidRPr="00256982" w:rsidRDefault="00DE64BC" w:rsidP="00A808C7">
            <w:pPr>
              <w:pStyle w:val="TableText"/>
              <w:spacing w:before="40" w:after="40"/>
              <w:jc w:val="center"/>
              <w:rPr>
                <w:rFonts w:cs="Arial"/>
                <w:szCs w:val="16"/>
              </w:rPr>
            </w:pPr>
            <w:r w:rsidRPr="00256982">
              <w:rPr>
                <w:rFonts w:cs="Arial"/>
                <w:color w:val="000000"/>
                <w:szCs w:val="16"/>
              </w:rPr>
              <w:t>CO</w:t>
            </w:r>
            <w:r w:rsidRPr="00256982">
              <w:rPr>
                <w:rFonts w:cs="Arial"/>
                <w:color w:val="000000"/>
                <w:szCs w:val="16"/>
                <w:vertAlign w:val="subscript"/>
              </w:rPr>
              <w:t>2</w:t>
            </w:r>
          </w:p>
        </w:tc>
        <w:tc>
          <w:tcPr>
            <w:tcW w:w="999" w:type="dxa"/>
            <w:shd w:val="clear" w:color="auto" w:fill="auto"/>
            <w:noWrap/>
          </w:tcPr>
          <w:p w14:paraId="710EF5F5"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429.8</w:t>
            </w:r>
          </w:p>
        </w:tc>
        <w:tc>
          <w:tcPr>
            <w:tcW w:w="1142" w:type="dxa"/>
            <w:shd w:val="clear" w:color="auto" w:fill="auto"/>
            <w:noWrap/>
          </w:tcPr>
          <w:p w14:paraId="65FEA207"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0.5</w:t>
            </w:r>
          </w:p>
        </w:tc>
        <w:tc>
          <w:tcPr>
            <w:tcW w:w="1022" w:type="dxa"/>
            <w:shd w:val="clear" w:color="auto" w:fill="auto"/>
            <w:noWrap/>
          </w:tcPr>
          <w:p w14:paraId="749AC147"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90.6</w:t>
            </w:r>
          </w:p>
        </w:tc>
      </w:tr>
      <w:tr w:rsidR="00DE64BC" w:rsidRPr="00256982" w14:paraId="78ACFAD8" w14:textId="77777777" w:rsidTr="00960A10">
        <w:tc>
          <w:tcPr>
            <w:tcW w:w="994" w:type="dxa"/>
          </w:tcPr>
          <w:p w14:paraId="41C8EAA8" w14:textId="77777777" w:rsidR="00DE64BC" w:rsidRPr="00256982" w:rsidRDefault="00DE64BC" w:rsidP="00A808C7">
            <w:pPr>
              <w:pStyle w:val="TableText"/>
              <w:spacing w:before="40" w:after="40"/>
              <w:rPr>
                <w:rFonts w:cs="Arial"/>
                <w:szCs w:val="16"/>
              </w:rPr>
            </w:pPr>
            <w:r w:rsidRPr="00256982">
              <w:rPr>
                <w:rFonts w:cs="Arial"/>
                <w:color w:val="000000"/>
                <w:szCs w:val="16"/>
              </w:rPr>
              <w:t>1.A.2.d</w:t>
            </w:r>
          </w:p>
        </w:tc>
        <w:tc>
          <w:tcPr>
            <w:tcW w:w="3834" w:type="dxa"/>
            <w:shd w:val="clear" w:color="auto" w:fill="auto"/>
          </w:tcPr>
          <w:p w14:paraId="53DF0FC3" w14:textId="77777777" w:rsidR="00DE64BC" w:rsidRPr="00256982" w:rsidRDefault="00DE64BC" w:rsidP="00A808C7">
            <w:pPr>
              <w:pStyle w:val="TableText"/>
              <w:spacing w:before="40" w:after="40"/>
              <w:rPr>
                <w:rFonts w:cs="Arial"/>
                <w:szCs w:val="16"/>
              </w:rPr>
            </w:pPr>
            <w:r w:rsidRPr="00256982">
              <w:rPr>
                <w:rFonts w:cs="Arial"/>
                <w:color w:val="000000"/>
                <w:szCs w:val="16"/>
              </w:rPr>
              <w:t>Manufacturing Industries and Construction – Pulp, Paper and Print Gaseous Fuels</w:t>
            </w:r>
          </w:p>
        </w:tc>
        <w:tc>
          <w:tcPr>
            <w:tcW w:w="571" w:type="dxa"/>
            <w:shd w:val="clear" w:color="auto" w:fill="auto"/>
          </w:tcPr>
          <w:p w14:paraId="2F6C98C9" w14:textId="77777777" w:rsidR="00DE64BC" w:rsidRPr="00256982" w:rsidRDefault="00DE64BC" w:rsidP="00A808C7">
            <w:pPr>
              <w:pStyle w:val="TableText"/>
              <w:spacing w:before="40" w:after="40"/>
              <w:jc w:val="center"/>
              <w:rPr>
                <w:rFonts w:cs="Arial"/>
                <w:szCs w:val="16"/>
              </w:rPr>
            </w:pPr>
            <w:r w:rsidRPr="00256982">
              <w:rPr>
                <w:rFonts w:cs="Arial"/>
                <w:color w:val="000000"/>
                <w:szCs w:val="16"/>
              </w:rPr>
              <w:t>CO</w:t>
            </w:r>
            <w:r w:rsidRPr="00256982">
              <w:rPr>
                <w:rFonts w:cs="Arial"/>
                <w:color w:val="000000"/>
                <w:szCs w:val="16"/>
                <w:vertAlign w:val="subscript"/>
              </w:rPr>
              <w:t>2</w:t>
            </w:r>
          </w:p>
        </w:tc>
        <w:tc>
          <w:tcPr>
            <w:tcW w:w="999" w:type="dxa"/>
            <w:shd w:val="clear" w:color="auto" w:fill="auto"/>
            <w:noWrap/>
          </w:tcPr>
          <w:p w14:paraId="742E34E7"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379.6</w:t>
            </w:r>
          </w:p>
        </w:tc>
        <w:tc>
          <w:tcPr>
            <w:tcW w:w="1142" w:type="dxa"/>
            <w:shd w:val="clear" w:color="auto" w:fill="auto"/>
            <w:noWrap/>
          </w:tcPr>
          <w:p w14:paraId="2BB0729D"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0.5</w:t>
            </w:r>
          </w:p>
        </w:tc>
        <w:tc>
          <w:tcPr>
            <w:tcW w:w="1022" w:type="dxa"/>
            <w:shd w:val="clear" w:color="auto" w:fill="auto"/>
            <w:noWrap/>
          </w:tcPr>
          <w:p w14:paraId="2B29ABB5"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91.0</w:t>
            </w:r>
          </w:p>
        </w:tc>
      </w:tr>
      <w:tr w:rsidR="00DE64BC" w:rsidRPr="00256982" w14:paraId="2FD1324F" w14:textId="77777777" w:rsidTr="00960A10">
        <w:tc>
          <w:tcPr>
            <w:tcW w:w="994" w:type="dxa"/>
          </w:tcPr>
          <w:p w14:paraId="1F20243C" w14:textId="77777777" w:rsidR="00DE64BC" w:rsidRPr="00256982" w:rsidRDefault="00DE64BC" w:rsidP="00A808C7">
            <w:pPr>
              <w:pStyle w:val="TableText"/>
              <w:keepNext/>
              <w:spacing w:before="40" w:after="40"/>
              <w:rPr>
                <w:rFonts w:cs="Arial"/>
                <w:szCs w:val="16"/>
              </w:rPr>
            </w:pPr>
            <w:r w:rsidRPr="00256982">
              <w:rPr>
                <w:rFonts w:cs="Arial"/>
                <w:color w:val="000000"/>
                <w:szCs w:val="16"/>
              </w:rPr>
              <w:t>1.A.4.b</w:t>
            </w:r>
          </w:p>
        </w:tc>
        <w:tc>
          <w:tcPr>
            <w:tcW w:w="3834" w:type="dxa"/>
            <w:shd w:val="clear" w:color="auto" w:fill="auto"/>
          </w:tcPr>
          <w:p w14:paraId="2F1ADDB3" w14:textId="77777777" w:rsidR="00DE64BC" w:rsidRPr="00256982" w:rsidRDefault="00DE64BC" w:rsidP="00A808C7">
            <w:pPr>
              <w:pStyle w:val="TableText"/>
              <w:spacing w:before="40" w:after="40"/>
              <w:rPr>
                <w:rFonts w:cs="Arial"/>
                <w:szCs w:val="16"/>
              </w:rPr>
            </w:pPr>
            <w:r w:rsidRPr="00256982">
              <w:rPr>
                <w:rFonts w:cs="Arial"/>
                <w:color w:val="000000"/>
                <w:szCs w:val="16"/>
              </w:rPr>
              <w:t>Other Sectors – Residential Gaseous Fuels</w:t>
            </w:r>
          </w:p>
        </w:tc>
        <w:tc>
          <w:tcPr>
            <w:tcW w:w="571" w:type="dxa"/>
            <w:shd w:val="clear" w:color="auto" w:fill="auto"/>
          </w:tcPr>
          <w:p w14:paraId="34B7F5F1" w14:textId="77777777" w:rsidR="00DE64BC" w:rsidRPr="00256982" w:rsidRDefault="00DE64BC" w:rsidP="00A808C7">
            <w:pPr>
              <w:pStyle w:val="TableText"/>
              <w:spacing w:before="40" w:after="40"/>
              <w:jc w:val="center"/>
              <w:rPr>
                <w:rFonts w:cs="Arial"/>
                <w:szCs w:val="16"/>
              </w:rPr>
            </w:pPr>
            <w:r w:rsidRPr="00256982">
              <w:rPr>
                <w:rFonts w:cs="Arial"/>
                <w:color w:val="000000"/>
                <w:szCs w:val="16"/>
              </w:rPr>
              <w:t>CO</w:t>
            </w:r>
            <w:r w:rsidRPr="00256982">
              <w:rPr>
                <w:rFonts w:cs="Arial"/>
                <w:color w:val="000000"/>
                <w:szCs w:val="16"/>
                <w:vertAlign w:val="subscript"/>
              </w:rPr>
              <w:t>2</w:t>
            </w:r>
          </w:p>
        </w:tc>
        <w:tc>
          <w:tcPr>
            <w:tcW w:w="999" w:type="dxa"/>
            <w:shd w:val="clear" w:color="auto" w:fill="auto"/>
            <w:noWrap/>
          </w:tcPr>
          <w:p w14:paraId="1062F732"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365.1</w:t>
            </w:r>
          </w:p>
        </w:tc>
        <w:tc>
          <w:tcPr>
            <w:tcW w:w="1142" w:type="dxa"/>
            <w:shd w:val="clear" w:color="auto" w:fill="auto"/>
            <w:noWrap/>
          </w:tcPr>
          <w:p w14:paraId="3FB1E812"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0.5</w:t>
            </w:r>
          </w:p>
        </w:tc>
        <w:tc>
          <w:tcPr>
            <w:tcW w:w="1022" w:type="dxa"/>
            <w:shd w:val="clear" w:color="auto" w:fill="auto"/>
            <w:noWrap/>
          </w:tcPr>
          <w:p w14:paraId="2720C924"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91.5</w:t>
            </w:r>
          </w:p>
        </w:tc>
      </w:tr>
      <w:tr w:rsidR="00DE64BC" w:rsidRPr="00256982" w14:paraId="0B2C87C2" w14:textId="77777777" w:rsidTr="00960A10">
        <w:tc>
          <w:tcPr>
            <w:tcW w:w="994" w:type="dxa"/>
          </w:tcPr>
          <w:p w14:paraId="0783DE70" w14:textId="77777777" w:rsidR="00DE64BC" w:rsidRPr="00256982" w:rsidRDefault="00DE64BC" w:rsidP="00A808C7">
            <w:pPr>
              <w:pStyle w:val="TableText"/>
              <w:spacing w:before="40" w:after="40"/>
              <w:rPr>
                <w:rFonts w:cs="Arial"/>
                <w:szCs w:val="16"/>
              </w:rPr>
            </w:pPr>
            <w:r w:rsidRPr="00256982">
              <w:rPr>
                <w:rFonts w:cs="Arial"/>
                <w:color w:val="000000"/>
                <w:szCs w:val="16"/>
              </w:rPr>
              <w:t>1.A.2.e</w:t>
            </w:r>
          </w:p>
        </w:tc>
        <w:tc>
          <w:tcPr>
            <w:tcW w:w="3834" w:type="dxa"/>
            <w:shd w:val="clear" w:color="auto" w:fill="auto"/>
          </w:tcPr>
          <w:p w14:paraId="68F92B14" w14:textId="77777777" w:rsidR="00DE64BC" w:rsidRPr="00256982" w:rsidRDefault="00DE64BC" w:rsidP="00A808C7">
            <w:pPr>
              <w:pStyle w:val="TableText"/>
              <w:spacing w:before="40" w:after="40"/>
              <w:rPr>
                <w:rFonts w:cs="Arial"/>
                <w:szCs w:val="16"/>
              </w:rPr>
            </w:pPr>
            <w:r w:rsidRPr="00256982">
              <w:rPr>
                <w:rFonts w:cs="Arial"/>
                <w:color w:val="000000"/>
                <w:szCs w:val="16"/>
              </w:rPr>
              <w:t>Manufacturing Industries and Construction – Food Processing, Beverages and Tobacco Liquid Fuels</w:t>
            </w:r>
          </w:p>
        </w:tc>
        <w:tc>
          <w:tcPr>
            <w:tcW w:w="571" w:type="dxa"/>
            <w:shd w:val="clear" w:color="auto" w:fill="auto"/>
          </w:tcPr>
          <w:p w14:paraId="39F6878A" w14:textId="77777777" w:rsidR="00DE64BC" w:rsidRPr="00256982" w:rsidRDefault="00DE64BC" w:rsidP="00A808C7">
            <w:pPr>
              <w:pStyle w:val="TableText"/>
              <w:spacing w:before="40" w:after="40"/>
              <w:jc w:val="center"/>
              <w:rPr>
                <w:rFonts w:cs="Arial"/>
                <w:szCs w:val="16"/>
              </w:rPr>
            </w:pPr>
            <w:r w:rsidRPr="00256982">
              <w:rPr>
                <w:rFonts w:cs="Arial"/>
                <w:color w:val="000000"/>
                <w:szCs w:val="16"/>
              </w:rPr>
              <w:t>CO</w:t>
            </w:r>
            <w:r w:rsidRPr="00256982">
              <w:rPr>
                <w:rFonts w:cs="Arial"/>
                <w:color w:val="000000"/>
                <w:szCs w:val="16"/>
                <w:vertAlign w:val="subscript"/>
              </w:rPr>
              <w:t>2</w:t>
            </w:r>
          </w:p>
        </w:tc>
        <w:tc>
          <w:tcPr>
            <w:tcW w:w="999" w:type="dxa"/>
            <w:shd w:val="clear" w:color="auto" w:fill="auto"/>
            <w:noWrap/>
          </w:tcPr>
          <w:p w14:paraId="41BA9AD7"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351.8</w:t>
            </w:r>
          </w:p>
        </w:tc>
        <w:tc>
          <w:tcPr>
            <w:tcW w:w="1142" w:type="dxa"/>
            <w:shd w:val="clear" w:color="auto" w:fill="auto"/>
            <w:noWrap/>
          </w:tcPr>
          <w:p w14:paraId="2ED2FE8D"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0.4</w:t>
            </w:r>
          </w:p>
        </w:tc>
        <w:tc>
          <w:tcPr>
            <w:tcW w:w="1022" w:type="dxa"/>
            <w:shd w:val="clear" w:color="auto" w:fill="auto"/>
            <w:noWrap/>
          </w:tcPr>
          <w:p w14:paraId="6F7C35E5"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91.9</w:t>
            </w:r>
          </w:p>
        </w:tc>
      </w:tr>
      <w:tr w:rsidR="00DE64BC" w:rsidRPr="00256982" w14:paraId="3DAB0FB6" w14:textId="77777777" w:rsidTr="00960A10">
        <w:tc>
          <w:tcPr>
            <w:tcW w:w="994" w:type="dxa"/>
          </w:tcPr>
          <w:p w14:paraId="4660D0CD" w14:textId="77777777" w:rsidR="00DE64BC" w:rsidRPr="00256982" w:rsidRDefault="00DE64BC" w:rsidP="00A808C7">
            <w:pPr>
              <w:pStyle w:val="TableText"/>
              <w:spacing w:before="40" w:after="40"/>
              <w:rPr>
                <w:rFonts w:cs="Arial"/>
                <w:szCs w:val="16"/>
              </w:rPr>
            </w:pPr>
            <w:r w:rsidRPr="00256982">
              <w:rPr>
                <w:rFonts w:cs="Arial"/>
                <w:color w:val="000000"/>
                <w:szCs w:val="16"/>
              </w:rPr>
              <w:t>1.A.3.d</w:t>
            </w:r>
          </w:p>
        </w:tc>
        <w:tc>
          <w:tcPr>
            <w:tcW w:w="3834" w:type="dxa"/>
            <w:shd w:val="clear" w:color="auto" w:fill="auto"/>
          </w:tcPr>
          <w:p w14:paraId="0B373293" w14:textId="77777777" w:rsidR="00DE64BC" w:rsidRPr="00256982" w:rsidRDefault="00DE64BC" w:rsidP="00A808C7">
            <w:pPr>
              <w:pStyle w:val="TableText"/>
              <w:spacing w:before="40" w:after="40"/>
              <w:rPr>
                <w:rFonts w:cs="Arial"/>
                <w:szCs w:val="16"/>
              </w:rPr>
            </w:pPr>
            <w:r w:rsidRPr="00256982">
              <w:rPr>
                <w:rFonts w:cs="Arial"/>
                <w:color w:val="000000"/>
                <w:szCs w:val="16"/>
              </w:rPr>
              <w:t>Domestic Navigation – Residual Fuel Oil</w:t>
            </w:r>
          </w:p>
        </w:tc>
        <w:tc>
          <w:tcPr>
            <w:tcW w:w="571" w:type="dxa"/>
            <w:shd w:val="clear" w:color="auto" w:fill="auto"/>
          </w:tcPr>
          <w:p w14:paraId="5F9BECAB" w14:textId="77777777" w:rsidR="00DE64BC" w:rsidRPr="00256982" w:rsidRDefault="00DE64BC" w:rsidP="00A808C7">
            <w:pPr>
              <w:pStyle w:val="TableText"/>
              <w:spacing w:before="40" w:after="40"/>
              <w:jc w:val="center"/>
              <w:rPr>
                <w:rFonts w:cs="Arial"/>
                <w:szCs w:val="16"/>
              </w:rPr>
            </w:pPr>
            <w:r w:rsidRPr="00256982">
              <w:rPr>
                <w:rFonts w:cs="Arial"/>
                <w:color w:val="000000"/>
                <w:szCs w:val="16"/>
              </w:rPr>
              <w:t>CO</w:t>
            </w:r>
            <w:r w:rsidRPr="00256982">
              <w:rPr>
                <w:rFonts w:cs="Arial"/>
                <w:color w:val="000000"/>
                <w:szCs w:val="16"/>
                <w:vertAlign w:val="subscript"/>
              </w:rPr>
              <w:t>2</w:t>
            </w:r>
          </w:p>
        </w:tc>
        <w:tc>
          <w:tcPr>
            <w:tcW w:w="999" w:type="dxa"/>
            <w:shd w:val="clear" w:color="auto" w:fill="auto"/>
            <w:noWrap/>
          </w:tcPr>
          <w:p w14:paraId="7BD34FF5"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319.7</w:t>
            </w:r>
          </w:p>
        </w:tc>
        <w:tc>
          <w:tcPr>
            <w:tcW w:w="1142" w:type="dxa"/>
            <w:shd w:val="clear" w:color="auto" w:fill="auto"/>
            <w:noWrap/>
          </w:tcPr>
          <w:p w14:paraId="74AF6329"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0.4</w:t>
            </w:r>
          </w:p>
        </w:tc>
        <w:tc>
          <w:tcPr>
            <w:tcW w:w="1022" w:type="dxa"/>
            <w:shd w:val="clear" w:color="auto" w:fill="auto"/>
            <w:noWrap/>
          </w:tcPr>
          <w:p w14:paraId="077C1129"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92.3</w:t>
            </w:r>
          </w:p>
        </w:tc>
      </w:tr>
      <w:tr w:rsidR="00DE64BC" w:rsidRPr="00256982" w14:paraId="0C932697" w14:textId="77777777" w:rsidTr="00960A10">
        <w:tc>
          <w:tcPr>
            <w:tcW w:w="994" w:type="dxa"/>
          </w:tcPr>
          <w:p w14:paraId="66868D56" w14:textId="77777777" w:rsidR="00DE64BC" w:rsidRPr="00256982" w:rsidRDefault="00DE64BC" w:rsidP="00A808C7">
            <w:pPr>
              <w:pStyle w:val="TableText"/>
              <w:spacing w:before="40" w:after="40"/>
              <w:rPr>
                <w:rFonts w:cs="Arial"/>
                <w:szCs w:val="16"/>
              </w:rPr>
            </w:pPr>
            <w:r w:rsidRPr="00256982">
              <w:rPr>
                <w:rFonts w:cs="Arial"/>
                <w:color w:val="000000"/>
                <w:szCs w:val="16"/>
              </w:rPr>
              <w:t>1.A.1.c</w:t>
            </w:r>
          </w:p>
        </w:tc>
        <w:tc>
          <w:tcPr>
            <w:tcW w:w="3834" w:type="dxa"/>
            <w:shd w:val="clear" w:color="auto" w:fill="auto"/>
          </w:tcPr>
          <w:p w14:paraId="52E8FC60" w14:textId="77777777" w:rsidR="00DE64BC" w:rsidRPr="00256982" w:rsidRDefault="00DE64BC" w:rsidP="00A808C7">
            <w:pPr>
              <w:pStyle w:val="TableText"/>
              <w:spacing w:before="40" w:after="40"/>
              <w:rPr>
                <w:rFonts w:cs="Arial"/>
                <w:szCs w:val="16"/>
              </w:rPr>
            </w:pPr>
            <w:r w:rsidRPr="00256982">
              <w:rPr>
                <w:rFonts w:cs="Arial"/>
                <w:color w:val="000000"/>
                <w:szCs w:val="16"/>
              </w:rPr>
              <w:t>Energy Industries – Manufacture of Solid Fuels and Other Energy Industries Gaseous Fuels</w:t>
            </w:r>
          </w:p>
        </w:tc>
        <w:tc>
          <w:tcPr>
            <w:tcW w:w="571" w:type="dxa"/>
            <w:shd w:val="clear" w:color="auto" w:fill="auto"/>
          </w:tcPr>
          <w:p w14:paraId="4F26CA70" w14:textId="77777777" w:rsidR="00DE64BC" w:rsidRPr="00256982" w:rsidRDefault="00DE64BC" w:rsidP="00A808C7">
            <w:pPr>
              <w:pStyle w:val="TableText"/>
              <w:spacing w:before="40" w:after="40"/>
              <w:jc w:val="center"/>
              <w:rPr>
                <w:rFonts w:cs="Arial"/>
                <w:szCs w:val="16"/>
              </w:rPr>
            </w:pPr>
            <w:r w:rsidRPr="00256982">
              <w:rPr>
                <w:rFonts w:cs="Arial"/>
                <w:color w:val="000000"/>
                <w:szCs w:val="16"/>
              </w:rPr>
              <w:t>CO</w:t>
            </w:r>
            <w:r w:rsidRPr="00256982">
              <w:rPr>
                <w:rFonts w:cs="Arial"/>
                <w:color w:val="000000"/>
                <w:szCs w:val="16"/>
                <w:vertAlign w:val="subscript"/>
              </w:rPr>
              <w:t>2</w:t>
            </w:r>
          </w:p>
        </w:tc>
        <w:tc>
          <w:tcPr>
            <w:tcW w:w="999" w:type="dxa"/>
            <w:shd w:val="clear" w:color="auto" w:fill="auto"/>
            <w:noWrap/>
          </w:tcPr>
          <w:p w14:paraId="1E31032E"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305.9</w:t>
            </w:r>
          </w:p>
        </w:tc>
        <w:tc>
          <w:tcPr>
            <w:tcW w:w="1142" w:type="dxa"/>
            <w:shd w:val="clear" w:color="auto" w:fill="auto"/>
            <w:noWrap/>
          </w:tcPr>
          <w:p w14:paraId="5953C30B"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0.4</w:t>
            </w:r>
          </w:p>
        </w:tc>
        <w:tc>
          <w:tcPr>
            <w:tcW w:w="1022" w:type="dxa"/>
            <w:shd w:val="clear" w:color="auto" w:fill="auto"/>
            <w:noWrap/>
          </w:tcPr>
          <w:p w14:paraId="7D6E53D6"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92.7</w:t>
            </w:r>
          </w:p>
        </w:tc>
      </w:tr>
      <w:tr w:rsidR="00DE64BC" w:rsidRPr="00256982" w14:paraId="2BBF8968" w14:textId="77777777" w:rsidTr="00960A10">
        <w:tc>
          <w:tcPr>
            <w:tcW w:w="994" w:type="dxa"/>
          </w:tcPr>
          <w:p w14:paraId="043C2D6D" w14:textId="77777777" w:rsidR="00DE64BC" w:rsidRPr="00256982" w:rsidRDefault="00DE64BC" w:rsidP="00A808C7">
            <w:pPr>
              <w:pStyle w:val="TableText"/>
              <w:spacing w:before="40" w:after="40"/>
              <w:rPr>
                <w:rFonts w:cs="Arial"/>
                <w:szCs w:val="16"/>
              </w:rPr>
            </w:pPr>
            <w:r w:rsidRPr="00256982">
              <w:rPr>
                <w:rFonts w:cs="Arial"/>
                <w:color w:val="000000"/>
                <w:szCs w:val="16"/>
              </w:rPr>
              <w:t>1.B.2.c.2.iii</w:t>
            </w:r>
          </w:p>
        </w:tc>
        <w:tc>
          <w:tcPr>
            <w:tcW w:w="3834" w:type="dxa"/>
            <w:shd w:val="clear" w:color="auto" w:fill="auto"/>
          </w:tcPr>
          <w:p w14:paraId="13A7556A" w14:textId="77777777" w:rsidR="00DE64BC" w:rsidRPr="00256982" w:rsidRDefault="00DE64BC" w:rsidP="00A808C7">
            <w:pPr>
              <w:pStyle w:val="TableText"/>
              <w:spacing w:before="40" w:after="40"/>
              <w:rPr>
                <w:rFonts w:cs="Arial"/>
                <w:szCs w:val="16"/>
              </w:rPr>
            </w:pPr>
            <w:r w:rsidRPr="00256982">
              <w:rPr>
                <w:rFonts w:cs="Arial"/>
                <w:color w:val="000000"/>
                <w:szCs w:val="16"/>
              </w:rPr>
              <w:t>Flaring – Combined</w:t>
            </w:r>
          </w:p>
        </w:tc>
        <w:tc>
          <w:tcPr>
            <w:tcW w:w="571" w:type="dxa"/>
            <w:shd w:val="clear" w:color="auto" w:fill="auto"/>
          </w:tcPr>
          <w:p w14:paraId="15847A6F" w14:textId="77777777" w:rsidR="00DE64BC" w:rsidRPr="00256982" w:rsidRDefault="00DE64BC" w:rsidP="00A808C7">
            <w:pPr>
              <w:pStyle w:val="TableText"/>
              <w:spacing w:before="40" w:after="40"/>
              <w:jc w:val="center"/>
              <w:rPr>
                <w:rFonts w:cs="Arial"/>
                <w:szCs w:val="16"/>
              </w:rPr>
            </w:pPr>
            <w:r w:rsidRPr="00256982">
              <w:rPr>
                <w:rFonts w:cs="Arial"/>
                <w:color w:val="000000"/>
                <w:szCs w:val="16"/>
              </w:rPr>
              <w:t>CO</w:t>
            </w:r>
            <w:r w:rsidRPr="00256982">
              <w:rPr>
                <w:rFonts w:cs="Arial"/>
                <w:color w:val="000000"/>
                <w:szCs w:val="16"/>
                <w:vertAlign w:val="subscript"/>
              </w:rPr>
              <w:t>2</w:t>
            </w:r>
          </w:p>
        </w:tc>
        <w:tc>
          <w:tcPr>
            <w:tcW w:w="999" w:type="dxa"/>
            <w:shd w:val="clear" w:color="auto" w:fill="auto"/>
            <w:noWrap/>
          </w:tcPr>
          <w:p w14:paraId="1659AD46"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292.7</w:t>
            </w:r>
          </w:p>
        </w:tc>
        <w:tc>
          <w:tcPr>
            <w:tcW w:w="1142" w:type="dxa"/>
            <w:shd w:val="clear" w:color="auto" w:fill="auto"/>
            <w:noWrap/>
          </w:tcPr>
          <w:p w14:paraId="09590BB5"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0.4</w:t>
            </w:r>
          </w:p>
        </w:tc>
        <w:tc>
          <w:tcPr>
            <w:tcW w:w="1022" w:type="dxa"/>
            <w:shd w:val="clear" w:color="auto" w:fill="auto"/>
            <w:noWrap/>
          </w:tcPr>
          <w:p w14:paraId="3822D7DA"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93.0</w:t>
            </w:r>
          </w:p>
        </w:tc>
      </w:tr>
      <w:tr w:rsidR="00DE64BC" w:rsidRPr="00256982" w14:paraId="02B0CD9C" w14:textId="77777777" w:rsidTr="00960A10">
        <w:tc>
          <w:tcPr>
            <w:tcW w:w="994" w:type="dxa"/>
          </w:tcPr>
          <w:p w14:paraId="6E0731FF" w14:textId="77777777" w:rsidR="00DE64BC" w:rsidRPr="00256982" w:rsidRDefault="00DE64BC" w:rsidP="00A808C7">
            <w:pPr>
              <w:pStyle w:val="TableText"/>
              <w:spacing w:before="40" w:after="40"/>
              <w:rPr>
                <w:rFonts w:cs="Arial"/>
                <w:szCs w:val="16"/>
              </w:rPr>
            </w:pPr>
            <w:r w:rsidRPr="00256982">
              <w:rPr>
                <w:rFonts w:cs="Arial"/>
                <w:color w:val="000000"/>
                <w:szCs w:val="16"/>
              </w:rPr>
              <w:t>1.B.2.c.1.ii</w:t>
            </w:r>
          </w:p>
        </w:tc>
        <w:tc>
          <w:tcPr>
            <w:tcW w:w="3834" w:type="dxa"/>
            <w:shd w:val="clear" w:color="auto" w:fill="auto"/>
          </w:tcPr>
          <w:p w14:paraId="2515EDF6" w14:textId="77777777" w:rsidR="00DE64BC" w:rsidRPr="00256982" w:rsidRDefault="00DE64BC" w:rsidP="00A808C7">
            <w:pPr>
              <w:pStyle w:val="TableText"/>
              <w:spacing w:before="40" w:after="40"/>
              <w:rPr>
                <w:rFonts w:cs="Arial"/>
                <w:szCs w:val="16"/>
              </w:rPr>
            </w:pPr>
            <w:r w:rsidRPr="00256982">
              <w:rPr>
                <w:rFonts w:cs="Arial"/>
                <w:color w:val="000000"/>
                <w:szCs w:val="16"/>
              </w:rPr>
              <w:t>Venting – Gas</w:t>
            </w:r>
          </w:p>
        </w:tc>
        <w:tc>
          <w:tcPr>
            <w:tcW w:w="571" w:type="dxa"/>
            <w:shd w:val="clear" w:color="auto" w:fill="auto"/>
          </w:tcPr>
          <w:p w14:paraId="5556C69D" w14:textId="77777777" w:rsidR="00DE64BC" w:rsidRPr="00256982" w:rsidRDefault="00DE64BC" w:rsidP="00A808C7">
            <w:pPr>
              <w:pStyle w:val="TableText"/>
              <w:spacing w:before="40" w:after="40"/>
              <w:jc w:val="center"/>
              <w:rPr>
                <w:rFonts w:cs="Arial"/>
                <w:szCs w:val="16"/>
              </w:rPr>
            </w:pPr>
            <w:r w:rsidRPr="00256982">
              <w:rPr>
                <w:rFonts w:cs="Arial"/>
                <w:color w:val="000000"/>
                <w:szCs w:val="16"/>
              </w:rPr>
              <w:t>CO</w:t>
            </w:r>
            <w:r w:rsidRPr="00256982">
              <w:rPr>
                <w:rFonts w:cs="Arial"/>
                <w:color w:val="000000"/>
                <w:szCs w:val="16"/>
                <w:vertAlign w:val="subscript"/>
              </w:rPr>
              <w:t>2</w:t>
            </w:r>
          </w:p>
        </w:tc>
        <w:tc>
          <w:tcPr>
            <w:tcW w:w="999" w:type="dxa"/>
            <w:shd w:val="clear" w:color="auto" w:fill="auto"/>
            <w:noWrap/>
          </w:tcPr>
          <w:p w14:paraId="7D0E637A"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258.5</w:t>
            </w:r>
          </w:p>
        </w:tc>
        <w:tc>
          <w:tcPr>
            <w:tcW w:w="1142" w:type="dxa"/>
            <w:shd w:val="clear" w:color="auto" w:fill="auto"/>
            <w:noWrap/>
          </w:tcPr>
          <w:p w14:paraId="2C0B357C"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0.3</w:t>
            </w:r>
          </w:p>
        </w:tc>
        <w:tc>
          <w:tcPr>
            <w:tcW w:w="1022" w:type="dxa"/>
            <w:shd w:val="clear" w:color="auto" w:fill="auto"/>
            <w:noWrap/>
          </w:tcPr>
          <w:p w14:paraId="450F9AC2"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93.4</w:t>
            </w:r>
          </w:p>
        </w:tc>
      </w:tr>
      <w:tr w:rsidR="00DE64BC" w:rsidRPr="00256982" w14:paraId="58C80D7B" w14:textId="77777777" w:rsidTr="00960A10">
        <w:tc>
          <w:tcPr>
            <w:tcW w:w="994" w:type="dxa"/>
          </w:tcPr>
          <w:p w14:paraId="53CC97F0" w14:textId="77777777" w:rsidR="00DE64BC" w:rsidRPr="00256982" w:rsidRDefault="00DE64BC" w:rsidP="00A808C7">
            <w:pPr>
              <w:pStyle w:val="TableText"/>
              <w:spacing w:before="40" w:after="40"/>
              <w:rPr>
                <w:rFonts w:cs="Arial"/>
                <w:szCs w:val="16"/>
              </w:rPr>
            </w:pPr>
            <w:r w:rsidRPr="00256982">
              <w:rPr>
                <w:rFonts w:cs="Arial"/>
                <w:color w:val="000000"/>
                <w:szCs w:val="16"/>
              </w:rPr>
              <w:t>1.A.4.c</w:t>
            </w:r>
          </w:p>
        </w:tc>
        <w:tc>
          <w:tcPr>
            <w:tcW w:w="3834" w:type="dxa"/>
            <w:shd w:val="clear" w:color="auto" w:fill="auto"/>
          </w:tcPr>
          <w:p w14:paraId="6AEDA9DB" w14:textId="77777777" w:rsidR="00DE64BC" w:rsidRPr="00256982" w:rsidRDefault="00DE64BC" w:rsidP="00A808C7">
            <w:pPr>
              <w:pStyle w:val="TableText"/>
              <w:spacing w:before="40" w:after="40"/>
              <w:rPr>
                <w:rFonts w:cs="Arial"/>
                <w:szCs w:val="16"/>
              </w:rPr>
            </w:pPr>
            <w:r w:rsidRPr="00256982">
              <w:rPr>
                <w:rFonts w:cs="Arial"/>
                <w:color w:val="000000"/>
                <w:szCs w:val="16"/>
              </w:rPr>
              <w:t>Other Sectors – Agriculture/Forestry/Fishing Solid Fuels</w:t>
            </w:r>
          </w:p>
        </w:tc>
        <w:tc>
          <w:tcPr>
            <w:tcW w:w="571" w:type="dxa"/>
            <w:shd w:val="clear" w:color="auto" w:fill="auto"/>
          </w:tcPr>
          <w:p w14:paraId="3A9A14F8" w14:textId="77777777" w:rsidR="00DE64BC" w:rsidRPr="00256982" w:rsidRDefault="00DE64BC" w:rsidP="00A808C7">
            <w:pPr>
              <w:pStyle w:val="TableText"/>
              <w:spacing w:before="40" w:after="40"/>
              <w:jc w:val="center"/>
              <w:rPr>
                <w:rFonts w:cs="Arial"/>
                <w:szCs w:val="16"/>
              </w:rPr>
            </w:pPr>
            <w:r w:rsidRPr="00256982">
              <w:rPr>
                <w:rFonts w:cs="Arial"/>
                <w:color w:val="000000"/>
                <w:szCs w:val="16"/>
              </w:rPr>
              <w:t>CO</w:t>
            </w:r>
            <w:r w:rsidRPr="00256982">
              <w:rPr>
                <w:rFonts w:cs="Arial"/>
                <w:color w:val="000000"/>
                <w:szCs w:val="16"/>
                <w:vertAlign w:val="subscript"/>
              </w:rPr>
              <w:t>2</w:t>
            </w:r>
          </w:p>
        </w:tc>
        <w:tc>
          <w:tcPr>
            <w:tcW w:w="999" w:type="dxa"/>
            <w:shd w:val="clear" w:color="auto" w:fill="auto"/>
            <w:noWrap/>
          </w:tcPr>
          <w:p w14:paraId="442342D6"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250.6</w:t>
            </w:r>
          </w:p>
        </w:tc>
        <w:tc>
          <w:tcPr>
            <w:tcW w:w="1142" w:type="dxa"/>
            <w:shd w:val="clear" w:color="auto" w:fill="auto"/>
            <w:noWrap/>
          </w:tcPr>
          <w:p w14:paraId="17C7F64B"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0.3</w:t>
            </w:r>
          </w:p>
        </w:tc>
        <w:tc>
          <w:tcPr>
            <w:tcW w:w="1022" w:type="dxa"/>
            <w:shd w:val="clear" w:color="auto" w:fill="auto"/>
            <w:noWrap/>
          </w:tcPr>
          <w:p w14:paraId="6D4059F5"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93.7</w:t>
            </w:r>
          </w:p>
        </w:tc>
      </w:tr>
      <w:tr w:rsidR="00DE64BC" w:rsidRPr="00256982" w14:paraId="71A80472" w14:textId="77777777" w:rsidTr="00960A10">
        <w:tc>
          <w:tcPr>
            <w:tcW w:w="994" w:type="dxa"/>
          </w:tcPr>
          <w:p w14:paraId="0DB9FCBB" w14:textId="77777777" w:rsidR="00DE64BC" w:rsidRPr="00256982" w:rsidRDefault="00DE64BC" w:rsidP="00A808C7">
            <w:pPr>
              <w:pStyle w:val="TableText"/>
              <w:spacing w:before="40" w:after="40"/>
              <w:rPr>
                <w:rFonts w:cs="Arial"/>
                <w:szCs w:val="16"/>
              </w:rPr>
            </w:pPr>
            <w:r w:rsidRPr="00256982">
              <w:rPr>
                <w:rFonts w:cs="Arial"/>
                <w:color w:val="000000"/>
                <w:szCs w:val="16"/>
              </w:rPr>
              <w:t>3.D.1.4</w:t>
            </w:r>
          </w:p>
        </w:tc>
        <w:tc>
          <w:tcPr>
            <w:tcW w:w="3834" w:type="dxa"/>
            <w:shd w:val="clear" w:color="auto" w:fill="auto"/>
          </w:tcPr>
          <w:p w14:paraId="33214BA1" w14:textId="77777777" w:rsidR="00DE64BC" w:rsidRPr="00256982" w:rsidRDefault="00DE64BC" w:rsidP="00A808C7">
            <w:pPr>
              <w:pStyle w:val="TableText"/>
              <w:spacing w:before="40" w:after="40"/>
              <w:rPr>
                <w:rFonts w:cs="Arial"/>
                <w:szCs w:val="16"/>
              </w:rPr>
            </w:pPr>
            <w:r w:rsidRPr="00256982">
              <w:rPr>
                <w:rFonts w:cs="Arial"/>
                <w:color w:val="000000"/>
                <w:szCs w:val="16"/>
              </w:rPr>
              <w:t>Direct N</w:t>
            </w:r>
            <w:r w:rsidRPr="00256982">
              <w:rPr>
                <w:rFonts w:cs="Arial"/>
                <w:color w:val="000000"/>
                <w:szCs w:val="16"/>
                <w:vertAlign w:val="subscript"/>
              </w:rPr>
              <w:t>2</w:t>
            </w:r>
            <w:r w:rsidRPr="00256982">
              <w:rPr>
                <w:rFonts w:cs="Arial"/>
                <w:color w:val="000000"/>
                <w:szCs w:val="16"/>
              </w:rPr>
              <w:t>O Emissions From Managed Soils – Crop Residues</w:t>
            </w:r>
          </w:p>
        </w:tc>
        <w:tc>
          <w:tcPr>
            <w:tcW w:w="571" w:type="dxa"/>
            <w:shd w:val="clear" w:color="auto" w:fill="auto"/>
          </w:tcPr>
          <w:p w14:paraId="1F5F3416" w14:textId="77777777" w:rsidR="00DE64BC" w:rsidRPr="00256982" w:rsidRDefault="00DE64BC" w:rsidP="00A808C7">
            <w:pPr>
              <w:pStyle w:val="TableText"/>
              <w:spacing w:before="40" w:after="40"/>
              <w:jc w:val="center"/>
              <w:rPr>
                <w:rFonts w:cs="Arial"/>
                <w:szCs w:val="16"/>
              </w:rPr>
            </w:pPr>
            <w:r w:rsidRPr="00256982">
              <w:rPr>
                <w:rFonts w:cs="Arial"/>
                <w:color w:val="000000"/>
                <w:szCs w:val="16"/>
              </w:rPr>
              <w:t>N</w:t>
            </w:r>
            <w:r w:rsidRPr="00256982">
              <w:rPr>
                <w:rFonts w:cs="Arial"/>
                <w:color w:val="000000"/>
                <w:szCs w:val="16"/>
                <w:vertAlign w:val="subscript"/>
              </w:rPr>
              <w:t>2</w:t>
            </w:r>
            <w:r w:rsidRPr="00256982">
              <w:rPr>
                <w:rFonts w:cs="Arial"/>
                <w:color w:val="000000"/>
                <w:szCs w:val="16"/>
              </w:rPr>
              <w:t>O</w:t>
            </w:r>
          </w:p>
        </w:tc>
        <w:tc>
          <w:tcPr>
            <w:tcW w:w="999" w:type="dxa"/>
            <w:shd w:val="clear" w:color="auto" w:fill="auto"/>
            <w:noWrap/>
          </w:tcPr>
          <w:p w14:paraId="225DE63E"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249.4</w:t>
            </w:r>
          </w:p>
        </w:tc>
        <w:tc>
          <w:tcPr>
            <w:tcW w:w="1142" w:type="dxa"/>
            <w:shd w:val="clear" w:color="auto" w:fill="auto"/>
            <w:noWrap/>
          </w:tcPr>
          <w:p w14:paraId="07569F7C"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0.3</w:t>
            </w:r>
          </w:p>
        </w:tc>
        <w:tc>
          <w:tcPr>
            <w:tcW w:w="1022" w:type="dxa"/>
            <w:shd w:val="clear" w:color="auto" w:fill="auto"/>
            <w:noWrap/>
          </w:tcPr>
          <w:p w14:paraId="21310C0D"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94.0</w:t>
            </w:r>
          </w:p>
        </w:tc>
      </w:tr>
      <w:tr w:rsidR="00DE64BC" w:rsidRPr="00256982" w14:paraId="15BC5C49" w14:textId="77777777" w:rsidTr="00960A10">
        <w:tc>
          <w:tcPr>
            <w:tcW w:w="994" w:type="dxa"/>
          </w:tcPr>
          <w:p w14:paraId="55BF6C52" w14:textId="77777777" w:rsidR="00DE64BC" w:rsidRPr="00256982" w:rsidRDefault="00DE64BC" w:rsidP="00A808C7">
            <w:pPr>
              <w:pStyle w:val="TableText"/>
              <w:keepNext/>
              <w:spacing w:before="40" w:after="40"/>
              <w:rPr>
                <w:rFonts w:cs="Arial"/>
                <w:szCs w:val="16"/>
              </w:rPr>
            </w:pPr>
            <w:r w:rsidRPr="00256982">
              <w:rPr>
                <w:rFonts w:cs="Arial"/>
                <w:color w:val="000000"/>
                <w:szCs w:val="16"/>
              </w:rPr>
              <w:t>5.D</w:t>
            </w:r>
          </w:p>
        </w:tc>
        <w:tc>
          <w:tcPr>
            <w:tcW w:w="3834" w:type="dxa"/>
            <w:shd w:val="clear" w:color="auto" w:fill="auto"/>
          </w:tcPr>
          <w:p w14:paraId="2BAB56A3" w14:textId="77777777" w:rsidR="00DE64BC" w:rsidRPr="00256982" w:rsidRDefault="00DE64BC" w:rsidP="00A808C7">
            <w:pPr>
              <w:pStyle w:val="TableText"/>
              <w:spacing w:before="40" w:after="40"/>
              <w:rPr>
                <w:rFonts w:cs="Arial"/>
                <w:szCs w:val="16"/>
              </w:rPr>
            </w:pPr>
            <w:r w:rsidRPr="00256982">
              <w:rPr>
                <w:rFonts w:cs="Arial"/>
                <w:color w:val="000000"/>
                <w:szCs w:val="16"/>
              </w:rPr>
              <w:t>Waste – Wastewater Treatment and Discharge</w:t>
            </w:r>
          </w:p>
        </w:tc>
        <w:tc>
          <w:tcPr>
            <w:tcW w:w="571" w:type="dxa"/>
            <w:shd w:val="clear" w:color="auto" w:fill="auto"/>
          </w:tcPr>
          <w:p w14:paraId="672784AD" w14:textId="77777777" w:rsidR="00DE64BC" w:rsidRPr="00256982" w:rsidRDefault="00DE64BC" w:rsidP="00A808C7">
            <w:pPr>
              <w:pStyle w:val="TableText"/>
              <w:spacing w:before="40" w:after="40"/>
              <w:jc w:val="center"/>
              <w:rPr>
                <w:rFonts w:cs="Arial"/>
                <w:szCs w:val="16"/>
              </w:rPr>
            </w:pPr>
            <w:r w:rsidRPr="00256982">
              <w:rPr>
                <w:rFonts w:cs="Arial"/>
                <w:color w:val="000000"/>
                <w:szCs w:val="16"/>
              </w:rPr>
              <w:t>CH</w:t>
            </w:r>
            <w:r w:rsidRPr="00256982">
              <w:rPr>
                <w:rFonts w:cs="Arial"/>
                <w:color w:val="000000"/>
                <w:szCs w:val="16"/>
                <w:vertAlign w:val="subscript"/>
              </w:rPr>
              <w:t>4</w:t>
            </w:r>
          </w:p>
        </w:tc>
        <w:tc>
          <w:tcPr>
            <w:tcW w:w="999" w:type="dxa"/>
            <w:shd w:val="clear" w:color="auto" w:fill="auto"/>
            <w:noWrap/>
          </w:tcPr>
          <w:p w14:paraId="7219DC67"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246.9</w:t>
            </w:r>
          </w:p>
        </w:tc>
        <w:tc>
          <w:tcPr>
            <w:tcW w:w="1142" w:type="dxa"/>
            <w:shd w:val="clear" w:color="auto" w:fill="auto"/>
            <w:noWrap/>
          </w:tcPr>
          <w:p w14:paraId="65294969"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0.3</w:t>
            </w:r>
          </w:p>
        </w:tc>
        <w:tc>
          <w:tcPr>
            <w:tcW w:w="1022" w:type="dxa"/>
            <w:shd w:val="clear" w:color="auto" w:fill="auto"/>
            <w:noWrap/>
          </w:tcPr>
          <w:p w14:paraId="7BF233DB"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94.3</w:t>
            </w:r>
          </w:p>
        </w:tc>
      </w:tr>
      <w:tr w:rsidR="00DE64BC" w:rsidRPr="00256982" w14:paraId="299390D6" w14:textId="77777777" w:rsidTr="00960A10">
        <w:trPr>
          <w:trHeight w:val="367"/>
        </w:trPr>
        <w:tc>
          <w:tcPr>
            <w:tcW w:w="994" w:type="dxa"/>
          </w:tcPr>
          <w:p w14:paraId="762D1C95" w14:textId="77777777" w:rsidR="00DE64BC" w:rsidRPr="00256982" w:rsidRDefault="00DE64BC" w:rsidP="00A808C7">
            <w:pPr>
              <w:pStyle w:val="TableText"/>
              <w:spacing w:before="40" w:after="40"/>
              <w:rPr>
                <w:rFonts w:cs="Arial"/>
                <w:szCs w:val="16"/>
              </w:rPr>
            </w:pPr>
            <w:r w:rsidRPr="00256982">
              <w:rPr>
                <w:rFonts w:cs="Arial"/>
                <w:color w:val="000000"/>
                <w:szCs w:val="16"/>
              </w:rPr>
              <w:t>1.A.2.f</w:t>
            </w:r>
          </w:p>
        </w:tc>
        <w:tc>
          <w:tcPr>
            <w:tcW w:w="3834" w:type="dxa"/>
            <w:shd w:val="clear" w:color="auto" w:fill="auto"/>
          </w:tcPr>
          <w:p w14:paraId="3BAE6595" w14:textId="77777777" w:rsidR="00DE64BC" w:rsidRPr="00256982" w:rsidRDefault="00DE64BC" w:rsidP="00A808C7">
            <w:pPr>
              <w:pStyle w:val="TableText"/>
              <w:spacing w:before="40" w:after="40"/>
              <w:rPr>
                <w:rFonts w:cs="Arial"/>
                <w:szCs w:val="16"/>
              </w:rPr>
            </w:pPr>
            <w:r w:rsidRPr="00256982">
              <w:rPr>
                <w:rFonts w:cs="Arial"/>
                <w:color w:val="000000"/>
                <w:szCs w:val="16"/>
              </w:rPr>
              <w:t>Manufacturing Industries and Construction – Non-metallic Minerals Solid Fuels</w:t>
            </w:r>
          </w:p>
        </w:tc>
        <w:tc>
          <w:tcPr>
            <w:tcW w:w="571" w:type="dxa"/>
            <w:shd w:val="clear" w:color="auto" w:fill="auto"/>
          </w:tcPr>
          <w:p w14:paraId="2C7BDCDF" w14:textId="77777777" w:rsidR="00DE64BC" w:rsidRPr="00256982" w:rsidRDefault="00DE64BC" w:rsidP="00A808C7">
            <w:pPr>
              <w:pStyle w:val="TableText"/>
              <w:spacing w:before="40" w:after="40"/>
              <w:jc w:val="center"/>
              <w:rPr>
                <w:rFonts w:cs="Arial"/>
                <w:szCs w:val="16"/>
              </w:rPr>
            </w:pPr>
            <w:r w:rsidRPr="00256982">
              <w:rPr>
                <w:rFonts w:cs="Arial"/>
                <w:color w:val="000000"/>
                <w:szCs w:val="16"/>
              </w:rPr>
              <w:t>CO</w:t>
            </w:r>
            <w:r w:rsidRPr="00256982">
              <w:rPr>
                <w:rFonts w:cs="Arial"/>
                <w:color w:val="000000"/>
                <w:szCs w:val="16"/>
                <w:vertAlign w:val="subscript"/>
              </w:rPr>
              <w:t>2</w:t>
            </w:r>
          </w:p>
        </w:tc>
        <w:tc>
          <w:tcPr>
            <w:tcW w:w="999" w:type="dxa"/>
            <w:shd w:val="clear" w:color="auto" w:fill="auto"/>
            <w:noWrap/>
          </w:tcPr>
          <w:p w14:paraId="26D52563"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244.8</w:t>
            </w:r>
          </w:p>
        </w:tc>
        <w:tc>
          <w:tcPr>
            <w:tcW w:w="1142" w:type="dxa"/>
            <w:shd w:val="clear" w:color="auto" w:fill="auto"/>
            <w:noWrap/>
          </w:tcPr>
          <w:p w14:paraId="5A0820A7"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0.3</w:t>
            </w:r>
          </w:p>
        </w:tc>
        <w:tc>
          <w:tcPr>
            <w:tcW w:w="1022" w:type="dxa"/>
            <w:shd w:val="clear" w:color="auto" w:fill="auto"/>
            <w:noWrap/>
          </w:tcPr>
          <w:p w14:paraId="04D990C5"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94.6</w:t>
            </w:r>
          </w:p>
        </w:tc>
      </w:tr>
      <w:tr w:rsidR="00DE64BC" w:rsidRPr="00256982" w14:paraId="11331050" w14:textId="77777777" w:rsidTr="00960A10">
        <w:tc>
          <w:tcPr>
            <w:tcW w:w="994" w:type="dxa"/>
          </w:tcPr>
          <w:p w14:paraId="1D282F38" w14:textId="77777777" w:rsidR="00DE64BC" w:rsidRPr="00256982" w:rsidRDefault="00DE64BC" w:rsidP="00A808C7">
            <w:pPr>
              <w:pStyle w:val="TableText"/>
              <w:spacing w:before="40" w:after="40"/>
              <w:rPr>
                <w:rFonts w:cs="Arial"/>
                <w:szCs w:val="16"/>
              </w:rPr>
            </w:pPr>
            <w:r w:rsidRPr="00256982">
              <w:rPr>
                <w:rFonts w:cs="Arial"/>
                <w:color w:val="000000"/>
                <w:szCs w:val="16"/>
              </w:rPr>
              <w:t>1.A.4.b</w:t>
            </w:r>
          </w:p>
        </w:tc>
        <w:tc>
          <w:tcPr>
            <w:tcW w:w="3834" w:type="dxa"/>
            <w:shd w:val="clear" w:color="auto" w:fill="auto"/>
          </w:tcPr>
          <w:p w14:paraId="29A84A24" w14:textId="77777777" w:rsidR="00DE64BC" w:rsidRPr="00256982" w:rsidRDefault="00DE64BC" w:rsidP="00A808C7">
            <w:pPr>
              <w:pStyle w:val="TableText"/>
              <w:spacing w:before="40" w:after="40"/>
              <w:rPr>
                <w:rFonts w:cs="Arial"/>
                <w:szCs w:val="16"/>
              </w:rPr>
            </w:pPr>
            <w:r w:rsidRPr="00256982">
              <w:rPr>
                <w:rFonts w:cs="Arial"/>
                <w:color w:val="000000"/>
                <w:szCs w:val="16"/>
              </w:rPr>
              <w:t>Other Sectors – Residential Liquid Fuels</w:t>
            </w:r>
          </w:p>
        </w:tc>
        <w:tc>
          <w:tcPr>
            <w:tcW w:w="571" w:type="dxa"/>
            <w:shd w:val="clear" w:color="auto" w:fill="auto"/>
          </w:tcPr>
          <w:p w14:paraId="383115E7" w14:textId="77777777" w:rsidR="00DE64BC" w:rsidRPr="00256982" w:rsidRDefault="00DE64BC" w:rsidP="00A808C7">
            <w:pPr>
              <w:pStyle w:val="TableText"/>
              <w:spacing w:before="40" w:after="40"/>
              <w:jc w:val="center"/>
              <w:rPr>
                <w:rFonts w:cs="Arial"/>
                <w:szCs w:val="16"/>
              </w:rPr>
            </w:pPr>
            <w:r w:rsidRPr="00256982">
              <w:rPr>
                <w:rFonts w:cs="Arial"/>
                <w:color w:val="000000"/>
                <w:szCs w:val="16"/>
              </w:rPr>
              <w:t>CO</w:t>
            </w:r>
            <w:r w:rsidRPr="00256982">
              <w:rPr>
                <w:rFonts w:cs="Arial"/>
                <w:color w:val="000000"/>
                <w:szCs w:val="16"/>
                <w:vertAlign w:val="subscript"/>
              </w:rPr>
              <w:t>2</w:t>
            </w:r>
          </w:p>
        </w:tc>
        <w:tc>
          <w:tcPr>
            <w:tcW w:w="999" w:type="dxa"/>
            <w:shd w:val="clear" w:color="auto" w:fill="auto"/>
            <w:noWrap/>
          </w:tcPr>
          <w:p w14:paraId="4E221C0E"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223.4</w:t>
            </w:r>
          </w:p>
        </w:tc>
        <w:tc>
          <w:tcPr>
            <w:tcW w:w="1142" w:type="dxa"/>
            <w:shd w:val="clear" w:color="auto" w:fill="auto"/>
            <w:noWrap/>
          </w:tcPr>
          <w:p w14:paraId="0D9B1676"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0.3</w:t>
            </w:r>
          </w:p>
        </w:tc>
        <w:tc>
          <w:tcPr>
            <w:tcW w:w="1022" w:type="dxa"/>
            <w:shd w:val="clear" w:color="auto" w:fill="auto"/>
            <w:noWrap/>
          </w:tcPr>
          <w:p w14:paraId="11B96A63"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94.9</w:t>
            </w:r>
          </w:p>
        </w:tc>
      </w:tr>
      <w:tr w:rsidR="00DE64BC" w:rsidRPr="00256982" w14:paraId="7164936A" w14:textId="77777777" w:rsidTr="00960A10">
        <w:tc>
          <w:tcPr>
            <w:tcW w:w="994" w:type="dxa"/>
          </w:tcPr>
          <w:p w14:paraId="6F059750" w14:textId="77777777" w:rsidR="00DE64BC" w:rsidRPr="00256982" w:rsidRDefault="00DE64BC" w:rsidP="00A808C7">
            <w:pPr>
              <w:pStyle w:val="TableText"/>
              <w:spacing w:before="40" w:after="40"/>
              <w:rPr>
                <w:rFonts w:cs="Arial"/>
                <w:szCs w:val="16"/>
              </w:rPr>
            </w:pPr>
            <w:r w:rsidRPr="00256982">
              <w:rPr>
                <w:rFonts w:cs="Arial"/>
                <w:color w:val="000000"/>
                <w:szCs w:val="16"/>
              </w:rPr>
              <w:t>1.B.2.b.5</w:t>
            </w:r>
          </w:p>
        </w:tc>
        <w:tc>
          <w:tcPr>
            <w:tcW w:w="3834" w:type="dxa"/>
            <w:shd w:val="clear" w:color="auto" w:fill="auto"/>
          </w:tcPr>
          <w:p w14:paraId="448AD87D" w14:textId="77777777" w:rsidR="00DE64BC" w:rsidRPr="00256982" w:rsidRDefault="00DE64BC" w:rsidP="00A808C7">
            <w:pPr>
              <w:pStyle w:val="TableText"/>
              <w:spacing w:before="40" w:after="40"/>
              <w:rPr>
                <w:rFonts w:cs="Arial"/>
                <w:szCs w:val="16"/>
              </w:rPr>
            </w:pPr>
            <w:r w:rsidRPr="00256982">
              <w:rPr>
                <w:rFonts w:cs="Arial"/>
                <w:color w:val="000000"/>
                <w:szCs w:val="16"/>
              </w:rPr>
              <w:t>Natural Gas – Distribution</w:t>
            </w:r>
          </w:p>
        </w:tc>
        <w:tc>
          <w:tcPr>
            <w:tcW w:w="571" w:type="dxa"/>
            <w:shd w:val="clear" w:color="auto" w:fill="auto"/>
          </w:tcPr>
          <w:p w14:paraId="1DA01A24" w14:textId="77777777" w:rsidR="00DE64BC" w:rsidRPr="00256982" w:rsidRDefault="00DE64BC" w:rsidP="00A808C7">
            <w:pPr>
              <w:pStyle w:val="TableText"/>
              <w:spacing w:before="40" w:after="40"/>
              <w:jc w:val="center"/>
              <w:rPr>
                <w:rFonts w:cs="Arial"/>
                <w:szCs w:val="16"/>
              </w:rPr>
            </w:pPr>
            <w:r w:rsidRPr="00256982">
              <w:rPr>
                <w:rFonts w:cs="Arial"/>
                <w:color w:val="000000"/>
                <w:szCs w:val="16"/>
              </w:rPr>
              <w:t>CH</w:t>
            </w:r>
            <w:r w:rsidRPr="00256982">
              <w:rPr>
                <w:rFonts w:cs="Arial"/>
                <w:color w:val="000000"/>
                <w:szCs w:val="16"/>
                <w:vertAlign w:val="subscript"/>
              </w:rPr>
              <w:t>4</w:t>
            </w:r>
          </w:p>
        </w:tc>
        <w:tc>
          <w:tcPr>
            <w:tcW w:w="999" w:type="dxa"/>
            <w:shd w:val="clear" w:color="auto" w:fill="auto"/>
            <w:noWrap/>
          </w:tcPr>
          <w:p w14:paraId="22178BAE"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208.4</w:t>
            </w:r>
          </w:p>
        </w:tc>
        <w:tc>
          <w:tcPr>
            <w:tcW w:w="1142" w:type="dxa"/>
            <w:shd w:val="clear" w:color="auto" w:fill="auto"/>
            <w:noWrap/>
          </w:tcPr>
          <w:p w14:paraId="7C565951"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0.3</w:t>
            </w:r>
          </w:p>
        </w:tc>
        <w:tc>
          <w:tcPr>
            <w:tcW w:w="1022" w:type="dxa"/>
            <w:shd w:val="clear" w:color="auto" w:fill="auto"/>
            <w:noWrap/>
          </w:tcPr>
          <w:p w14:paraId="17AD60BB"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95.1</w:t>
            </w:r>
          </w:p>
        </w:tc>
      </w:tr>
    </w:tbl>
    <w:p w14:paraId="3A782D2A" w14:textId="77777777" w:rsidR="00DE64BC" w:rsidRPr="00256982" w:rsidRDefault="00DE64BC" w:rsidP="009A0D25">
      <w:pPr>
        <w:spacing w:before="120"/>
      </w:pPr>
    </w:p>
    <w:p w14:paraId="2F696E37" w14:textId="197BC415" w:rsidR="00DE64BC" w:rsidRPr="00256982" w:rsidRDefault="00DE64BC" w:rsidP="00A808C7">
      <w:pPr>
        <w:pStyle w:val="Table"/>
        <w:ind w:left="1418" w:hanging="1418"/>
      </w:pPr>
      <w:bookmarkStart w:id="145" w:name="_Toc5269438"/>
      <w:r w:rsidRPr="00256982">
        <w:lastRenderedPageBreak/>
        <w:t>Table 1.5.3(a &amp; b)</w:t>
      </w:r>
      <w:r w:rsidRPr="00256982">
        <w:tab/>
        <w:t>1990–2017 trend assessment for New Zealand’s key category analysis including LULUCF (a) and excluding LULUCF (b)</w:t>
      </w:r>
      <w:bookmarkEnd w:id="145"/>
    </w:p>
    <w:tbl>
      <w:tblPr>
        <w:tblW w:w="8562" w:type="dxa"/>
        <w:tblInd w:w="108" w:type="dxa"/>
        <w:tblBorders>
          <w:top w:val="single" w:sz="4" w:space="0" w:color="365F91"/>
          <w:bottom w:val="single" w:sz="4" w:space="0" w:color="365F91"/>
          <w:insideH w:val="single" w:sz="4" w:space="0" w:color="365F91"/>
        </w:tblBorders>
        <w:tblLayout w:type="fixed"/>
        <w:tblCellMar>
          <w:left w:w="57" w:type="dxa"/>
          <w:right w:w="57" w:type="dxa"/>
        </w:tblCellMar>
        <w:tblLook w:val="04A0" w:firstRow="1" w:lastRow="0" w:firstColumn="1" w:lastColumn="0" w:noHBand="0" w:noVBand="1"/>
      </w:tblPr>
      <w:tblGrid>
        <w:gridCol w:w="948"/>
        <w:gridCol w:w="2141"/>
        <w:gridCol w:w="557"/>
        <w:gridCol w:w="911"/>
        <w:gridCol w:w="890"/>
        <w:gridCol w:w="1043"/>
        <w:gridCol w:w="1086"/>
        <w:gridCol w:w="986"/>
      </w:tblGrid>
      <w:tr w:rsidR="00DE64BC" w:rsidRPr="00256982" w14:paraId="311852AF" w14:textId="77777777" w:rsidTr="009A0D25">
        <w:trPr>
          <w:tblHeader/>
        </w:trPr>
        <w:tc>
          <w:tcPr>
            <w:tcW w:w="5000" w:type="pct"/>
            <w:gridSpan w:val="8"/>
            <w:tcBorders>
              <w:top w:val="single" w:sz="4" w:space="0" w:color="365F91"/>
              <w:bottom w:val="single" w:sz="4" w:space="0" w:color="365F91"/>
            </w:tcBorders>
            <w:shd w:val="solid" w:color="365F91" w:fill="auto"/>
          </w:tcPr>
          <w:p w14:paraId="7AB5F22B" w14:textId="77777777" w:rsidR="00DE64BC" w:rsidRPr="00256982" w:rsidRDefault="00DE64BC" w:rsidP="00A808C7">
            <w:pPr>
              <w:pStyle w:val="TableTextBold"/>
              <w:keepNext/>
              <w:rPr>
                <w:noProof w:val="0"/>
                <w:color w:val="FFFFFF"/>
                <w:lang w:eastAsia="en-NZ"/>
              </w:rPr>
            </w:pPr>
            <w:r w:rsidRPr="00256982">
              <w:rPr>
                <w:noProof w:val="0"/>
                <w:color w:val="FFFFFF"/>
                <w:lang w:eastAsia="en-NZ"/>
              </w:rPr>
              <w:t>(a) IPCC Tier 1 category trend assessment – including LULUCF (net emissions) </w:t>
            </w:r>
          </w:p>
        </w:tc>
      </w:tr>
      <w:tr w:rsidR="00DE64BC" w:rsidRPr="00256982" w14:paraId="32DD2969" w14:textId="77777777" w:rsidTr="009A0D25">
        <w:trPr>
          <w:tblHeader/>
        </w:trPr>
        <w:tc>
          <w:tcPr>
            <w:tcW w:w="554" w:type="pct"/>
            <w:shd w:val="clear" w:color="365F91" w:fill="auto"/>
            <w:vAlign w:val="bottom"/>
          </w:tcPr>
          <w:p w14:paraId="0D28CF2E" w14:textId="77777777" w:rsidR="00DE64BC" w:rsidRPr="00256982" w:rsidRDefault="00DE64BC" w:rsidP="00A808C7">
            <w:pPr>
              <w:pStyle w:val="TableTextBold"/>
              <w:keepNext/>
              <w:rPr>
                <w:rFonts w:cs="Arial"/>
                <w:bCs/>
                <w:noProof w:val="0"/>
                <w:szCs w:val="16"/>
                <w:lang w:eastAsia="en-NZ"/>
              </w:rPr>
            </w:pPr>
            <w:r w:rsidRPr="00256982">
              <w:rPr>
                <w:rFonts w:cs="Arial"/>
                <w:bCs/>
                <w:noProof w:val="0"/>
                <w:color w:val="000000"/>
                <w:szCs w:val="16"/>
              </w:rPr>
              <w:t>CRF category code</w:t>
            </w:r>
          </w:p>
        </w:tc>
        <w:tc>
          <w:tcPr>
            <w:tcW w:w="1250" w:type="pct"/>
            <w:shd w:val="clear" w:color="365F91" w:fill="auto"/>
            <w:vAlign w:val="bottom"/>
            <w:hideMark/>
          </w:tcPr>
          <w:p w14:paraId="71A0D5C0" w14:textId="77777777" w:rsidR="00DE64BC" w:rsidRPr="00256982" w:rsidRDefault="00DE64BC" w:rsidP="00A808C7">
            <w:pPr>
              <w:pStyle w:val="TableTextBold"/>
              <w:keepNext/>
              <w:rPr>
                <w:rFonts w:cs="Arial"/>
                <w:bCs/>
                <w:noProof w:val="0"/>
                <w:szCs w:val="16"/>
                <w:lang w:eastAsia="en-NZ"/>
              </w:rPr>
            </w:pPr>
            <w:r w:rsidRPr="00256982">
              <w:rPr>
                <w:rFonts w:cs="Arial"/>
                <w:bCs/>
                <w:noProof w:val="0"/>
                <w:color w:val="000000"/>
                <w:szCs w:val="16"/>
              </w:rPr>
              <w:t>IPCC category</w:t>
            </w:r>
          </w:p>
        </w:tc>
        <w:tc>
          <w:tcPr>
            <w:tcW w:w="325" w:type="pct"/>
            <w:shd w:val="clear" w:color="365F91" w:fill="auto"/>
            <w:vAlign w:val="bottom"/>
            <w:hideMark/>
          </w:tcPr>
          <w:p w14:paraId="42350FE0" w14:textId="77777777" w:rsidR="00DE64BC" w:rsidRPr="00256982" w:rsidRDefault="00DE64BC" w:rsidP="00A808C7">
            <w:pPr>
              <w:pStyle w:val="TableTextBold"/>
              <w:keepNext/>
              <w:jc w:val="center"/>
              <w:rPr>
                <w:rFonts w:cs="Arial"/>
                <w:bCs/>
                <w:noProof w:val="0"/>
                <w:szCs w:val="16"/>
                <w:lang w:eastAsia="en-NZ"/>
              </w:rPr>
            </w:pPr>
            <w:r w:rsidRPr="00256982">
              <w:rPr>
                <w:rFonts w:cs="Arial"/>
                <w:bCs/>
                <w:noProof w:val="0"/>
                <w:color w:val="000000"/>
                <w:szCs w:val="16"/>
              </w:rPr>
              <w:t>Gas</w:t>
            </w:r>
          </w:p>
        </w:tc>
        <w:tc>
          <w:tcPr>
            <w:tcW w:w="532" w:type="pct"/>
            <w:shd w:val="clear" w:color="365F91" w:fill="auto"/>
            <w:vAlign w:val="bottom"/>
            <w:hideMark/>
          </w:tcPr>
          <w:p w14:paraId="08AED839" w14:textId="77777777" w:rsidR="00DE64BC" w:rsidRPr="00256982" w:rsidRDefault="00DE64BC" w:rsidP="00A808C7">
            <w:pPr>
              <w:pStyle w:val="TableTextBold"/>
              <w:keepNext/>
              <w:jc w:val="right"/>
              <w:rPr>
                <w:rFonts w:cs="Arial"/>
                <w:bCs/>
                <w:noProof w:val="0"/>
                <w:szCs w:val="16"/>
                <w:lang w:eastAsia="en-NZ"/>
              </w:rPr>
            </w:pPr>
            <w:r w:rsidRPr="00256982">
              <w:rPr>
                <w:rFonts w:cs="Arial"/>
                <w:bCs/>
                <w:noProof w:val="0"/>
                <w:color w:val="000000"/>
                <w:szCs w:val="16"/>
              </w:rPr>
              <w:t>1990 estimate</w:t>
            </w:r>
            <w:r w:rsidRPr="00256982">
              <w:rPr>
                <w:rFonts w:cs="Arial"/>
                <w:bCs/>
                <w:noProof w:val="0"/>
                <w:color w:val="000000"/>
                <w:szCs w:val="16"/>
              </w:rPr>
              <w:br/>
              <w:t>(kt CO</w:t>
            </w:r>
            <w:r w:rsidRPr="00256982">
              <w:rPr>
                <w:rFonts w:cs="Arial"/>
                <w:bCs/>
                <w:noProof w:val="0"/>
                <w:color w:val="000000"/>
                <w:szCs w:val="16"/>
                <w:vertAlign w:val="subscript"/>
              </w:rPr>
              <w:t>2</w:t>
            </w:r>
            <w:r w:rsidRPr="00256982">
              <w:rPr>
                <w:rFonts w:cs="Arial"/>
                <w:bCs/>
                <w:noProof w:val="0"/>
                <w:color w:val="000000"/>
                <w:szCs w:val="16"/>
              </w:rPr>
              <w:t>-e)</w:t>
            </w:r>
          </w:p>
        </w:tc>
        <w:tc>
          <w:tcPr>
            <w:tcW w:w="520" w:type="pct"/>
            <w:shd w:val="clear" w:color="365F91" w:fill="auto"/>
            <w:vAlign w:val="bottom"/>
            <w:hideMark/>
          </w:tcPr>
          <w:p w14:paraId="36A9C000" w14:textId="77777777" w:rsidR="00DE64BC" w:rsidRPr="00256982" w:rsidRDefault="00DE64BC" w:rsidP="00A808C7">
            <w:pPr>
              <w:pStyle w:val="TableTextBold"/>
              <w:keepNext/>
              <w:jc w:val="right"/>
              <w:rPr>
                <w:rFonts w:cs="Arial"/>
                <w:bCs/>
                <w:noProof w:val="0"/>
                <w:szCs w:val="16"/>
                <w:lang w:eastAsia="en-NZ"/>
              </w:rPr>
            </w:pPr>
            <w:r w:rsidRPr="00256982">
              <w:rPr>
                <w:rFonts w:cs="Arial"/>
                <w:bCs/>
                <w:noProof w:val="0"/>
                <w:color w:val="000000"/>
                <w:szCs w:val="16"/>
              </w:rPr>
              <w:t>2017 estimate</w:t>
            </w:r>
            <w:r w:rsidRPr="00256982">
              <w:rPr>
                <w:rFonts w:cs="Arial"/>
                <w:bCs/>
                <w:noProof w:val="0"/>
                <w:color w:val="000000"/>
                <w:szCs w:val="16"/>
              </w:rPr>
              <w:br/>
              <w:t>(kt CO</w:t>
            </w:r>
            <w:r w:rsidRPr="00256982">
              <w:rPr>
                <w:rFonts w:cs="Arial"/>
                <w:bCs/>
                <w:noProof w:val="0"/>
                <w:color w:val="000000"/>
                <w:szCs w:val="16"/>
                <w:vertAlign w:val="subscript"/>
              </w:rPr>
              <w:t>2</w:t>
            </w:r>
            <w:r w:rsidRPr="00256982">
              <w:rPr>
                <w:rFonts w:cs="Arial"/>
                <w:bCs/>
                <w:noProof w:val="0"/>
                <w:color w:val="000000"/>
                <w:szCs w:val="16"/>
              </w:rPr>
              <w:t>-e)</w:t>
            </w:r>
          </w:p>
        </w:tc>
        <w:tc>
          <w:tcPr>
            <w:tcW w:w="609" w:type="pct"/>
            <w:shd w:val="clear" w:color="365F91" w:fill="auto"/>
            <w:vAlign w:val="bottom"/>
            <w:hideMark/>
          </w:tcPr>
          <w:p w14:paraId="293789CE" w14:textId="77777777" w:rsidR="00DE64BC" w:rsidRPr="00256982" w:rsidRDefault="00DE64BC" w:rsidP="00A808C7">
            <w:pPr>
              <w:pStyle w:val="TableTextBold"/>
              <w:keepNext/>
              <w:jc w:val="right"/>
              <w:rPr>
                <w:rFonts w:cs="Arial"/>
                <w:bCs/>
                <w:noProof w:val="0"/>
                <w:szCs w:val="16"/>
                <w:lang w:eastAsia="en-NZ"/>
              </w:rPr>
            </w:pPr>
            <w:r w:rsidRPr="00256982">
              <w:rPr>
                <w:rFonts w:cs="Arial"/>
                <w:bCs/>
                <w:noProof w:val="0"/>
                <w:color w:val="000000"/>
                <w:szCs w:val="16"/>
              </w:rPr>
              <w:t>Trend assessment</w:t>
            </w:r>
          </w:p>
        </w:tc>
        <w:tc>
          <w:tcPr>
            <w:tcW w:w="634" w:type="pct"/>
            <w:shd w:val="clear" w:color="365F91" w:fill="auto"/>
            <w:vAlign w:val="bottom"/>
            <w:hideMark/>
          </w:tcPr>
          <w:p w14:paraId="52AE7A74" w14:textId="77777777" w:rsidR="00DE64BC" w:rsidRPr="00256982" w:rsidRDefault="00DE64BC" w:rsidP="00A808C7">
            <w:pPr>
              <w:pStyle w:val="TableTextBold"/>
              <w:keepNext/>
              <w:jc w:val="right"/>
              <w:rPr>
                <w:rFonts w:cs="Arial"/>
                <w:bCs/>
                <w:noProof w:val="0"/>
                <w:szCs w:val="16"/>
                <w:lang w:eastAsia="en-NZ"/>
              </w:rPr>
            </w:pPr>
            <w:r w:rsidRPr="00256982">
              <w:rPr>
                <w:rFonts w:cs="Arial"/>
                <w:bCs/>
                <w:noProof w:val="0"/>
                <w:color w:val="000000"/>
                <w:szCs w:val="16"/>
              </w:rPr>
              <w:t>Absolute contribution to trend (%)</w:t>
            </w:r>
          </w:p>
        </w:tc>
        <w:tc>
          <w:tcPr>
            <w:tcW w:w="576" w:type="pct"/>
            <w:shd w:val="clear" w:color="365F91" w:fill="auto"/>
            <w:vAlign w:val="bottom"/>
            <w:hideMark/>
          </w:tcPr>
          <w:p w14:paraId="0A9C8D16" w14:textId="77777777" w:rsidR="00DE64BC" w:rsidRPr="00256982" w:rsidRDefault="00DE64BC" w:rsidP="00A808C7">
            <w:pPr>
              <w:pStyle w:val="TableTextBold"/>
              <w:keepNext/>
              <w:jc w:val="right"/>
              <w:rPr>
                <w:rFonts w:cs="Arial"/>
                <w:bCs/>
                <w:noProof w:val="0"/>
                <w:szCs w:val="16"/>
                <w:lang w:eastAsia="en-NZ"/>
              </w:rPr>
            </w:pPr>
            <w:r w:rsidRPr="00256982">
              <w:rPr>
                <w:rFonts w:cs="Arial"/>
                <w:bCs/>
                <w:noProof w:val="0"/>
                <w:color w:val="000000"/>
                <w:szCs w:val="16"/>
              </w:rPr>
              <w:t>Absolute cumulative total (%)</w:t>
            </w:r>
          </w:p>
        </w:tc>
      </w:tr>
      <w:tr w:rsidR="00DE64BC" w:rsidRPr="00256982" w14:paraId="7283E8E9" w14:textId="77777777" w:rsidTr="009A0D25">
        <w:tc>
          <w:tcPr>
            <w:tcW w:w="554" w:type="pct"/>
          </w:tcPr>
          <w:p w14:paraId="698A5F42" w14:textId="77777777" w:rsidR="00DE64BC" w:rsidRPr="00256982" w:rsidRDefault="00DE64BC" w:rsidP="00A808C7">
            <w:pPr>
              <w:pStyle w:val="TableText"/>
              <w:spacing w:before="40" w:after="40"/>
              <w:rPr>
                <w:rFonts w:cs="Arial"/>
                <w:szCs w:val="16"/>
              </w:rPr>
            </w:pPr>
            <w:r w:rsidRPr="00256982">
              <w:rPr>
                <w:rFonts w:cs="Arial"/>
                <w:color w:val="000000"/>
                <w:szCs w:val="16"/>
              </w:rPr>
              <w:t>3.A.2</w:t>
            </w:r>
          </w:p>
        </w:tc>
        <w:tc>
          <w:tcPr>
            <w:tcW w:w="1250" w:type="pct"/>
            <w:shd w:val="clear" w:color="auto" w:fill="auto"/>
          </w:tcPr>
          <w:p w14:paraId="7C755711" w14:textId="77777777" w:rsidR="00DE64BC" w:rsidRPr="00256982" w:rsidRDefault="00DE64BC" w:rsidP="00A808C7">
            <w:pPr>
              <w:pStyle w:val="TableText"/>
              <w:spacing w:before="40" w:after="40"/>
              <w:rPr>
                <w:rFonts w:cs="Arial"/>
                <w:szCs w:val="16"/>
              </w:rPr>
            </w:pPr>
            <w:r w:rsidRPr="00256982">
              <w:rPr>
                <w:rFonts w:cs="Arial"/>
                <w:color w:val="000000"/>
                <w:szCs w:val="16"/>
              </w:rPr>
              <w:t>Other (please specify) – Sheep</w:t>
            </w:r>
          </w:p>
        </w:tc>
        <w:tc>
          <w:tcPr>
            <w:tcW w:w="325" w:type="pct"/>
            <w:shd w:val="clear" w:color="auto" w:fill="auto"/>
          </w:tcPr>
          <w:p w14:paraId="3C9A1D30" w14:textId="77777777" w:rsidR="00DE64BC" w:rsidRPr="00256982" w:rsidRDefault="00DE64BC" w:rsidP="00A808C7">
            <w:pPr>
              <w:pStyle w:val="TableText"/>
              <w:spacing w:before="40" w:after="40"/>
              <w:jc w:val="center"/>
              <w:rPr>
                <w:rFonts w:cs="Arial"/>
                <w:szCs w:val="16"/>
              </w:rPr>
            </w:pPr>
            <w:r w:rsidRPr="00256982">
              <w:rPr>
                <w:rFonts w:cs="Arial"/>
                <w:color w:val="000000"/>
                <w:szCs w:val="16"/>
              </w:rPr>
              <w:t>CH</w:t>
            </w:r>
            <w:r w:rsidRPr="00256982">
              <w:rPr>
                <w:rFonts w:cs="Arial"/>
                <w:color w:val="000000"/>
                <w:szCs w:val="16"/>
                <w:vertAlign w:val="subscript"/>
              </w:rPr>
              <w:t>4</w:t>
            </w:r>
          </w:p>
        </w:tc>
        <w:tc>
          <w:tcPr>
            <w:tcW w:w="532" w:type="pct"/>
            <w:shd w:val="clear" w:color="auto" w:fill="auto"/>
          </w:tcPr>
          <w:p w14:paraId="7F5E9792"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14,085.7</w:t>
            </w:r>
          </w:p>
        </w:tc>
        <w:tc>
          <w:tcPr>
            <w:tcW w:w="520" w:type="pct"/>
            <w:shd w:val="clear" w:color="auto" w:fill="auto"/>
          </w:tcPr>
          <w:p w14:paraId="6AE9B3C6"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8,253.1</w:t>
            </w:r>
          </w:p>
        </w:tc>
        <w:tc>
          <w:tcPr>
            <w:tcW w:w="609" w:type="pct"/>
            <w:shd w:val="clear" w:color="auto" w:fill="auto"/>
          </w:tcPr>
          <w:p w14:paraId="22A296F6"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0.061</w:t>
            </w:r>
          </w:p>
        </w:tc>
        <w:tc>
          <w:tcPr>
            <w:tcW w:w="634" w:type="pct"/>
            <w:shd w:val="clear" w:color="auto" w:fill="auto"/>
          </w:tcPr>
          <w:p w14:paraId="528621B9"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13.4</w:t>
            </w:r>
          </w:p>
        </w:tc>
        <w:tc>
          <w:tcPr>
            <w:tcW w:w="576" w:type="pct"/>
            <w:shd w:val="clear" w:color="auto" w:fill="auto"/>
          </w:tcPr>
          <w:p w14:paraId="7EC8A58C"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13.4</w:t>
            </w:r>
          </w:p>
        </w:tc>
      </w:tr>
      <w:tr w:rsidR="00DE64BC" w:rsidRPr="00256982" w14:paraId="1D058923" w14:textId="77777777" w:rsidTr="009A0D25">
        <w:tc>
          <w:tcPr>
            <w:tcW w:w="554" w:type="pct"/>
          </w:tcPr>
          <w:p w14:paraId="498B38FE" w14:textId="77777777" w:rsidR="00DE64BC" w:rsidRPr="00256982" w:rsidRDefault="00DE64BC" w:rsidP="00A808C7">
            <w:pPr>
              <w:pStyle w:val="TableText"/>
              <w:spacing w:before="40" w:after="40"/>
              <w:rPr>
                <w:rFonts w:cs="Arial"/>
                <w:szCs w:val="16"/>
              </w:rPr>
            </w:pPr>
            <w:r w:rsidRPr="00256982">
              <w:rPr>
                <w:rFonts w:cs="Arial"/>
                <w:color w:val="000000"/>
                <w:szCs w:val="16"/>
              </w:rPr>
              <w:t>3.A.1</w:t>
            </w:r>
          </w:p>
        </w:tc>
        <w:tc>
          <w:tcPr>
            <w:tcW w:w="1250" w:type="pct"/>
            <w:shd w:val="clear" w:color="auto" w:fill="auto"/>
          </w:tcPr>
          <w:p w14:paraId="7D1635F8" w14:textId="77777777" w:rsidR="00DE64BC" w:rsidRPr="00256982" w:rsidRDefault="00DE64BC" w:rsidP="00A808C7">
            <w:pPr>
              <w:pStyle w:val="TableText"/>
              <w:spacing w:before="40" w:after="40"/>
              <w:rPr>
                <w:rFonts w:cs="Arial"/>
                <w:szCs w:val="16"/>
              </w:rPr>
            </w:pPr>
            <w:r w:rsidRPr="00256982">
              <w:rPr>
                <w:rFonts w:cs="Arial"/>
                <w:color w:val="000000"/>
                <w:szCs w:val="16"/>
              </w:rPr>
              <w:t>Option A – Dairy Cattle</w:t>
            </w:r>
          </w:p>
        </w:tc>
        <w:tc>
          <w:tcPr>
            <w:tcW w:w="325" w:type="pct"/>
            <w:shd w:val="clear" w:color="auto" w:fill="auto"/>
          </w:tcPr>
          <w:p w14:paraId="58217928" w14:textId="77777777" w:rsidR="00DE64BC" w:rsidRPr="00256982" w:rsidRDefault="00DE64BC" w:rsidP="00A808C7">
            <w:pPr>
              <w:pStyle w:val="TableText"/>
              <w:spacing w:before="40" w:after="40"/>
              <w:jc w:val="center"/>
              <w:rPr>
                <w:rFonts w:cs="Arial"/>
                <w:szCs w:val="16"/>
              </w:rPr>
            </w:pPr>
            <w:r w:rsidRPr="00256982">
              <w:rPr>
                <w:rFonts w:cs="Arial"/>
                <w:color w:val="000000"/>
                <w:szCs w:val="16"/>
              </w:rPr>
              <w:t>CH</w:t>
            </w:r>
            <w:r w:rsidRPr="00256982">
              <w:rPr>
                <w:rFonts w:cs="Arial"/>
                <w:color w:val="000000"/>
                <w:szCs w:val="16"/>
                <w:vertAlign w:val="subscript"/>
              </w:rPr>
              <w:t>4</w:t>
            </w:r>
          </w:p>
        </w:tc>
        <w:tc>
          <w:tcPr>
            <w:tcW w:w="532" w:type="pct"/>
            <w:shd w:val="clear" w:color="auto" w:fill="auto"/>
          </w:tcPr>
          <w:p w14:paraId="1731DC5C"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5,928.0</w:t>
            </w:r>
          </w:p>
        </w:tc>
        <w:tc>
          <w:tcPr>
            <w:tcW w:w="520" w:type="pct"/>
            <w:shd w:val="clear" w:color="auto" w:fill="auto"/>
          </w:tcPr>
          <w:p w14:paraId="6EDF6D51"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13,560.1</w:t>
            </w:r>
          </w:p>
        </w:tc>
        <w:tc>
          <w:tcPr>
            <w:tcW w:w="609" w:type="pct"/>
            <w:shd w:val="clear" w:color="auto" w:fill="auto"/>
          </w:tcPr>
          <w:p w14:paraId="0C71A99A"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0.052</w:t>
            </w:r>
          </w:p>
        </w:tc>
        <w:tc>
          <w:tcPr>
            <w:tcW w:w="634" w:type="pct"/>
            <w:shd w:val="clear" w:color="auto" w:fill="auto"/>
          </w:tcPr>
          <w:p w14:paraId="7F841F15"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11.4</w:t>
            </w:r>
          </w:p>
        </w:tc>
        <w:tc>
          <w:tcPr>
            <w:tcW w:w="576" w:type="pct"/>
            <w:shd w:val="clear" w:color="auto" w:fill="auto"/>
          </w:tcPr>
          <w:p w14:paraId="0AA953EE"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24.8</w:t>
            </w:r>
          </w:p>
        </w:tc>
      </w:tr>
      <w:tr w:rsidR="00DE64BC" w:rsidRPr="00256982" w14:paraId="4E3838A4" w14:textId="77777777" w:rsidTr="009A0D25">
        <w:tc>
          <w:tcPr>
            <w:tcW w:w="554" w:type="pct"/>
          </w:tcPr>
          <w:p w14:paraId="786AB59D" w14:textId="77777777" w:rsidR="00DE64BC" w:rsidRPr="00256982" w:rsidRDefault="00DE64BC" w:rsidP="00A808C7">
            <w:pPr>
              <w:pStyle w:val="TableText"/>
              <w:spacing w:before="40" w:after="40"/>
              <w:rPr>
                <w:rFonts w:cs="Arial"/>
                <w:szCs w:val="16"/>
              </w:rPr>
            </w:pPr>
            <w:r w:rsidRPr="00256982">
              <w:rPr>
                <w:rFonts w:cs="Arial"/>
                <w:color w:val="000000"/>
                <w:szCs w:val="16"/>
              </w:rPr>
              <w:t>4.A.1</w:t>
            </w:r>
          </w:p>
        </w:tc>
        <w:tc>
          <w:tcPr>
            <w:tcW w:w="1250" w:type="pct"/>
            <w:shd w:val="clear" w:color="auto" w:fill="auto"/>
          </w:tcPr>
          <w:p w14:paraId="30C64731" w14:textId="77777777" w:rsidR="00DE64BC" w:rsidRPr="00256982" w:rsidRDefault="00DE64BC" w:rsidP="00A808C7">
            <w:pPr>
              <w:pStyle w:val="TableText"/>
              <w:spacing w:before="40" w:after="40"/>
              <w:rPr>
                <w:rFonts w:cs="Arial"/>
                <w:szCs w:val="16"/>
              </w:rPr>
            </w:pPr>
            <w:r w:rsidRPr="00256982">
              <w:rPr>
                <w:rFonts w:cs="Arial"/>
                <w:color w:val="000000"/>
                <w:szCs w:val="16"/>
              </w:rPr>
              <w:t>Forest Land – Forest Land Remaining Forest Land</w:t>
            </w:r>
          </w:p>
        </w:tc>
        <w:tc>
          <w:tcPr>
            <w:tcW w:w="325" w:type="pct"/>
            <w:shd w:val="clear" w:color="auto" w:fill="auto"/>
          </w:tcPr>
          <w:p w14:paraId="41A5DFB8" w14:textId="77777777" w:rsidR="00DE64BC" w:rsidRPr="00256982" w:rsidRDefault="00DE64BC" w:rsidP="00A808C7">
            <w:pPr>
              <w:pStyle w:val="TableText"/>
              <w:spacing w:before="40" w:after="40"/>
              <w:jc w:val="center"/>
              <w:rPr>
                <w:rFonts w:cs="Arial"/>
                <w:szCs w:val="16"/>
              </w:rPr>
            </w:pPr>
            <w:r w:rsidRPr="00256982">
              <w:rPr>
                <w:rFonts w:cs="Arial"/>
                <w:color w:val="000000"/>
                <w:szCs w:val="16"/>
              </w:rPr>
              <w:t>CO</w:t>
            </w:r>
            <w:r w:rsidRPr="00256982">
              <w:rPr>
                <w:rFonts w:cs="Arial"/>
                <w:color w:val="000000"/>
                <w:szCs w:val="16"/>
                <w:vertAlign w:val="subscript"/>
              </w:rPr>
              <w:t>2</w:t>
            </w:r>
          </w:p>
        </w:tc>
        <w:tc>
          <w:tcPr>
            <w:tcW w:w="532" w:type="pct"/>
            <w:shd w:val="clear" w:color="auto" w:fill="auto"/>
          </w:tcPr>
          <w:p w14:paraId="1384632C"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–10,614.5</w:t>
            </w:r>
          </w:p>
        </w:tc>
        <w:tc>
          <w:tcPr>
            <w:tcW w:w="520" w:type="pct"/>
            <w:shd w:val="clear" w:color="auto" w:fill="auto"/>
          </w:tcPr>
          <w:p w14:paraId="58DD53D8"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–5,587.1</w:t>
            </w:r>
          </w:p>
        </w:tc>
        <w:tc>
          <w:tcPr>
            <w:tcW w:w="609" w:type="pct"/>
            <w:shd w:val="clear" w:color="auto" w:fill="auto"/>
          </w:tcPr>
          <w:p w14:paraId="3DE65C89"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0.051</w:t>
            </w:r>
          </w:p>
        </w:tc>
        <w:tc>
          <w:tcPr>
            <w:tcW w:w="634" w:type="pct"/>
            <w:shd w:val="clear" w:color="auto" w:fill="auto"/>
          </w:tcPr>
          <w:p w14:paraId="4978D028"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11.1</w:t>
            </w:r>
          </w:p>
        </w:tc>
        <w:tc>
          <w:tcPr>
            <w:tcW w:w="576" w:type="pct"/>
            <w:shd w:val="clear" w:color="auto" w:fill="auto"/>
          </w:tcPr>
          <w:p w14:paraId="3AD666F3"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35.9</w:t>
            </w:r>
          </w:p>
        </w:tc>
      </w:tr>
      <w:tr w:rsidR="00DE64BC" w:rsidRPr="00256982" w14:paraId="02D74C18" w14:textId="77777777" w:rsidTr="009A0D25">
        <w:tc>
          <w:tcPr>
            <w:tcW w:w="554" w:type="pct"/>
          </w:tcPr>
          <w:p w14:paraId="5DE1C68A" w14:textId="77777777" w:rsidR="00DE64BC" w:rsidRPr="00256982" w:rsidRDefault="00DE64BC" w:rsidP="00A808C7">
            <w:pPr>
              <w:pStyle w:val="TableText"/>
              <w:spacing w:before="40" w:after="40"/>
              <w:rPr>
                <w:rFonts w:cs="Arial"/>
                <w:szCs w:val="16"/>
              </w:rPr>
            </w:pPr>
            <w:r w:rsidRPr="00256982">
              <w:rPr>
                <w:rFonts w:cs="Arial"/>
                <w:color w:val="000000"/>
                <w:szCs w:val="16"/>
              </w:rPr>
              <w:t>1.A.3.b</w:t>
            </w:r>
          </w:p>
        </w:tc>
        <w:tc>
          <w:tcPr>
            <w:tcW w:w="1250" w:type="pct"/>
            <w:shd w:val="clear" w:color="auto" w:fill="auto"/>
          </w:tcPr>
          <w:p w14:paraId="398A899B" w14:textId="77777777" w:rsidR="00DE64BC" w:rsidRPr="00256982" w:rsidRDefault="00DE64BC" w:rsidP="00A808C7">
            <w:pPr>
              <w:pStyle w:val="TableText"/>
              <w:spacing w:before="40" w:after="40"/>
              <w:rPr>
                <w:rFonts w:cs="Arial"/>
                <w:szCs w:val="16"/>
              </w:rPr>
            </w:pPr>
            <w:r w:rsidRPr="00256982">
              <w:rPr>
                <w:rFonts w:cs="Arial"/>
                <w:color w:val="000000"/>
                <w:szCs w:val="16"/>
              </w:rPr>
              <w:t>Transport – Road Transportation Liquid Fuels</w:t>
            </w:r>
          </w:p>
        </w:tc>
        <w:tc>
          <w:tcPr>
            <w:tcW w:w="325" w:type="pct"/>
            <w:shd w:val="clear" w:color="auto" w:fill="auto"/>
          </w:tcPr>
          <w:p w14:paraId="12CDC140" w14:textId="77777777" w:rsidR="00DE64BC" w:rsidRPr="00256982" w:rsidRDefault="00DE64BC" w:rsidP="00A808C7">
            <w:pPr>
              <w:pStyle w:val="TableText"/>
              <w:spacing w:before="40" w:after="40"/>
              <w:jc w:val="center"/>
              <w:rPr>
                <w:rFonts w:cs="Arial"/>
                <w:szCs w:val="16"/>
              </w:rPr>
            </w:pPr>
            <w:r w:rsidRPr="00256982">
              <w:rPr>
                <w:rFonts w:cs="Arial"/>
                <w:color w:val="000000"/>
                <w:szCs w:val="16"/>
              </w:rPr>
              <w:t>CO</w:t>
            </w:r>
            <w:r w:rsidRPr="00256982">
              <w:rPr>
                <w:rFonts w:cs="Arial"/>
                <w:color w:val="000000"/>
                <w:szCs w:val="16"/>
                <w:vertAlign w:val="subscript"/>
              </w:rPr>
              <w:t>2</w:t>
            </w:r>
          </w:p>
        </w:tc>
        <w:tc>
          <w:tcPr>
            <w:tcW w:w="532" w:type="pct"/>
            <w:shd w:val="clear" w:color="auto" w:fill="auto"/>
          </w:tcPr>
          <w:p w14:paraId="7A7B61BA"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7,164.6</w:t>
            </w:r>
          </w:p>
        </w:tc>
        <w:tc>
          <w:tcPr>
            <w:tcW w:w="520" w:type="pct"/>
            <w:shd w:val="clear" w:color="auto" w:fill="auto"/>
          </w:tcPr>
          <w:p w14:paraId="6A612696"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14,335.0</w:t>
            </w:r>
          </w:p>
        </w:tc>
        <w:tc>
          <w:tcPr>
            <w:tcW w:w="609" w:type="pct"/>
            <w:shd w:val="clear" w:color="auto" w:fill="auto"/>
          </w:tcPr>
          <w:p w14:paraId="2C1238D0"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0.047</w:t>
            </w:r>
          </w:p>
        </w:tc>
        <w:tc>
          <w:tcPr>
            <w:tcW w:w="634" w:type="pct"/>
            <w:shd w:val="clear" w:color="auto" w:fill="auto"/>
          </w:tcPr>
          <w:p w14:paraId="521A41C1"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10.4</w:t>
            </w:r>
          </w:p>
        </w:tc>
        <w:tc>
          <w:tcPr>
            <w:tcW w:w="576" w:type="pct"/>
            <w:shd w:val="clear" w:color="auto" w:fill="auto"/>
          </w:tcPr>
          <w:p w14:paraId="545959CF"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46.3</w:t>
            </w:r>
          </w:p>
        </w:tc>
      </w:tr>
      <w:tr w:rsidR="00DE64BC" w:rsidRPr="00256982" w14:paraId="54CAEB79" w14:textId="77777777" w:rsidTr="009A0D25">
        <w:tc>
          <w:tcPr>
            <w:tcW w:w="554" w:type="pct"/>
          </w:tcPr>
          <w:p w14:paraId="188EEBCB" w14:textId="77777777" w:rsidR="00DE64BC" w:rsidRPr="00256982" w:rsidRDefault="00DE64BC" w:rsidP="00A808C7">
            <w:pPr>
              <w:pStyle w:val="TableText"/>
              <w:spacing w:before="40" w:after="40"/>
              <w:rPr>
                <w:rFonts w:cs="Arial"/>
                <w:szCs w:val="16"/>
              </w:rPr>
            </w:pPr>
            <w:r w:rsidRPr="00256982">
              <w:rPr>
                <w:rFonts w:cs="Arial"/>
                <w:color w:val="000000"/>
                <w:szCs w:val="16"/>
              </w:rPr>
              <w:t>4.A.2</w:t>
            </w:r>
          </w:p>
        </w:tc>
        <w:tc>
          <w:tcPr>
            <w:tcW w:w="1250" w:type="pct"/>
            <w:shd w:val="clear" w:color="auto" w:fill="auto"/>
          </w:tcPr>
          <w:p w14:paraId="3DF891A2" w14:textId="77777777" w:rsidR="00DE64BC" w:rsidRPr="00256982" w:rsidRDefault="00DE64BC" w:rsidP="00A808C7">
            <w:pPr>
              <w:pStyle w:val="TableText"/>
              <w:spacing w:before="40" w:after="40"/>
              <w:rPr>
                <w:rFonts w:cs="Arial"/>
                <w:szCs w:val="16"/>
              </w:rPr>
            </w:pPr>
            <w:r w:rsidRPr="00256982">
              <w:rPr>
                <w:rFonts w:cs="Arial"/>
                <w:color w:val="000000"/>
                <w:szCs w:val="16"/>
              </w:rPr>
              <w:t>Forest Land – Land Converted to Forest Land</w:t>
            </w:r>
          </w:p>
        </w:tc>
        <w:tc>
          <w:tcPr>
            <w:tcW w:w="325" w:type="pct"/>
            <w:shd w:val="clear" w:color="auto" w:fill="auto"/>
          </w:tcPr>
          <w:p w14:paraId="03F7B7E4" w14:textId="77777777" w:rsidR="00DE64BC" w:rsidRPr="00256982" w:rsidRDefault="00DE64BC" w:rsidP="00A808C7">
            <w:pPr>
              <w:pStyle w:val="TableText"/>
              <w:spacing w:before="40" w:after="40"/>
              <w:jc w:val="center"/>
              <w:rPr>
                <w:rFonts w:cs="Arial"/>
                <w:szCs w:val="16"/>
              </w:rPr>
            </w:pPr>
            <w:r w:rsidRPr="00256982">
              <w:rPr>
                <w:rFonts w:cs="Arial"/>
                <w:color w:val="000000"/>
                <w:szCs w:val="16"/>
              </w:rPr>
              <w:t>CO</w:t>
            </w:r>
            <w:r w:rsidRPr="00256982">
              <w:rPr>
                <w:rFonts w:cs="Arial"/>
                <w:color w:val="000000"/>
                <w:szCs w:val="16"/>
                <w:vertAlign w:val="subscript"/>
              </w:rPr>
              <w:t>2</w:t>
            </w:r>
          </w:p>
        </w:tc>
        <w:tc>
          <w:tcPr>
            <w:tcW w:w="532" w:type="pct"/>
            <w:shd w:val="clear" w:color="auto" w:fill="auto"/>
          </w:tcPr>
          <w:p w14:paraId="5156569B"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–19,433.5</w:t>
            </w:r>
          </w:p>
        </w:tc>
        <w:tc>
          <w:tcPr>
            <w:tcW w:w="520" w:type="pct"/>
            <w:shd w:val="clear" w:color="auto" w:fill="auto"/>
          </w:tcPr>
          <w:p w14:paraId="78455BA9"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–16,252.4</w:t>
            </w:r>
          </w:p>
        </w:tc>
        <w:tc>
          <w:tcPr>
            <w:tcW w:w="609" w:type="pct"/>
            <w:shd w:val="clear" w:color="auto" w:fill="auto"/>
          </w:tcPr>
          <w:p w14:paraId="17DA5D0E"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0.046</w:t>
            </w:r>
          </w:p>
        </w:tc>
        <w:tc>
          <w:tcPr>
            <w:tcW w:w="634" w:type="pct"/>
            <w:shd w:val="clear" w:color="auto" w:fill="auto"/>
          </w:tcPr>
          <w:p w14:paraId="2F30A2E6"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10.2</w:t>
            </w:r>
          </w:p>
        </w:tc>
        <w:tc>
          <w:tcPr>
            <w:tcW w:w="576" w:type="pct"/>
            <w:shd w:val="clear" w:color="auto" w:fill="auto"/>
          </w:tcPr>
          <w:p w14:paraId="77E62FF6"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56.5</w:t>
            </w:r>
          </w:p>
        </w:tc>
      </w:tr>
      <w:tr w:rsidR="00DE64BC" w:rsidRPr="00256982" w14:paraId="6BCD116F" w14:textId="77777777" w:rsidTr="009A0D25">
        <w:tc>
          <w:tcPr>
            <w:tcW w:w="554" w:type="pct"/>
          </w:tcPr>
          <w:p w14:paraId="07B86B95" w14:textId="77777777" w:rsidR="00DE64BC" w:rsidRPr="00256982" w:rsidRDefault="00DE64BC" w:rsidP="00A808C7">
            <w:pPr>
              <w:pStyle w:val="TableText"/>
              <w:spacing w:before="40" w:after="40"/>
              <w:rPr>
                <w:rFonts w:cs="Arial"/>
                <w:szCs w:val="16"/>
              </w:rPr>
            </w:pPr>
            <w:r w:rsidRPr="00256982">
              <w:rPr>
                <w:rFonts w:cs="Arial"/>
                <w:color w:val="000000"/>
                <w:szCs w:val="16"/>
              </w:rPr>
              <w:t>4.G</w:t>
            </w:r>
          </w:p>
        </w:tc>
        <w:tc>
          <w:tcPr>
            <w:tcW w:w="1250" w:type="pct"/>
            <w:shd w:val="clear" w:color="auto" w:fill="auto"/>
          </w:tcPr>
          <w:p w14:paraId="4903F8D0" w14:textId="77777777" w:rsidR="00DE64BC" w:rsidRPr="00256982" w:rsidRDefault="00DE64BC" w:rsidP="00A808C7">
            <w:pPr>
              <w:pStyle w:val="TableText"/>
              <w:spacing w:before="40" w:after="40"/>
              <w:rPr>
                <w:rFonts w:cs="Arial"/>
                <w:szCs w:val="16"/>
              </w:rPr>
            </w:pPr>
            <w:r w:rsidRPr="00256982">
              <w:rPr>
                <w:rFonts w:cs="Arial"/>
                <w:color w:val="000000"/>
                <w:szCs w:val="16"/>
              </w:rPr>
              <w:t>Land Use, Land-Use Change and Forestry – Harvested Wood Products</w:t>
            </w:r>
          </w:p>
        </w:tc>
        <w:tc>
          <w:tcPr>
            <w:tcW w:w="325" w:type="pct"/>
            <w:shd w:val="clear" w:color="auto" w:fill="auto"/>
          </w:tcPr>
          <w:p w14:paraId="386D1A8E" w14:textId="77777777" w:rsidR="00DE64BC" w:rsidRPr="00256982" w:rsidRDefault="00DE64BC" w:rsidP="00A808C7">
            <w:pPr>
              <w:pStyle w:val="TableText"/>
              <w:spacing w:before="40" w:after="40"/>
              <w:jc w:val="center"/>
              <w:rPr>
                <w:rFonts w:cs="Arial"/>
                <w:szCs w:val="16"/>
              </w:rPr>
            </w:pPr>
            <w:r w:rsidRPr="00256982">
              <w:rPr>
                <w:rFonts w:cs="Arial"/>
                <w:color w:val="000000"/>
                <w:szCs w:val="16"/>
              </w:rPr>
              <w:t>CO</w:t>
            </w:r>
            <w:r w:rsidRPr="00256982">
              <w:rPr>
                <w:rFonts w:cs="Arial"/>
                <w:color w:val="000000"/>
                <w:szCs w:val="16"/>
                <w:vertAlign w:val="subscript"/>
              </w:rPr>
              <w:t>2</w:t>
            </w:r>
          </w:p>
        </w:tc>
        <w:tc>
          <w:tcPr>
            <w:tcW w:w="532" w:type="pct"/>
            <w:shd w:val="clear" w:color="auto" w:fill="auto"/>
          </w:tcPr>
          <w:p w14:paraId="4CA08F01"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–2,072.9</w:t>
            </w:r>
          </w:p>
        </w:tc>
        <w:tc>
          <w:tcPr>
            <w:tcW w:w="520" w:type="pct"/>
            <w:shd w:val="clear" w:color="auto" w:fill="auto"/>
          </w:tcPr>
          <w:p w14:paraId="469AF5E6"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–6,518.5</w:t>
            </w:r>
          </w:p>
        </w:tc>
        <w:tc>
          <w:tcPr>
            <w:tcW w:w="609" w:type="pct"/>
            <w:shd w:val="clear" w:color="auto" w:fill="auto"/>
          </w:tcPr>
          <w:p w14:paraId="41D85EE8"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0.032</w:t>
            </w:r>
          </w:p>
        </w:tc>
        <w:tc>
          <w:tcPr>
            <w:tcW w:w="634" w:type="pct"/>
            <w:shd w:val="clear" w:color="auto" w:fill="auto"/>
          </w:tcPr>
          <w:p w14:paraId="24BDC8C5"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7.0</w:t>
            </w:r>
          </w:p>
        </w:tc>
        <w:tc>
          <w:tcPr>
            <w:tcW w:w="576" w:type="pct"/>
            <w:shd w:val="clear" w:color="auto" w:fill="auto"/>
          </w:tcPr>
          <w:p w14:paraId="1FCBE2EB"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63.5</w:t>
            </w:r>
          </w:p>
        </w:tc>
      </w:tr>
      <w:tr w:rsidR="00DE64BC" w:rsidRPr="00256982" w14:paraId="5A2BEBB7" w14:textId="77777777" w:rsidTr="009A0D25">
        <w:tc>
          <w:tcPr>
            <w:tcW w:w="554" w:type="pct"/>
          </w:tcPr>
          <w:p w14:paraId="3522B4C7" w14:textId="77777777" w:rsidR="00DE64BC" w:rsidRPr="00256982" w:rsidRDefault="00DE64BC" w:rsidP="00A808C7">
            <w:pPr>
              <w:pStyle w:val="TableText"/>
              <w:keepNext/>
              <w:spacing w:before="40" w:after="40"/>
              <w:rPr>
                <w:rFonts w:cs="Arial"/>
                <w:szCs w:val="16"/>
              </w:rPr>
            </w:pPr>
            <w:r w:rsidRPr="00256982">
              <w:rPr>
                <w:rFonts w:cs="Arial"/>
                <w:color w:val="000000"/>
                <w:szCs w:val="16"/>
              </w:rPr>
              <w:t>4.C.2</w:t>
            </w:r>
          </w:p>
        </w:tc>
        <w:tc>
          <w:tcPr>
            <w:tcW w:w="1250" w:type="pct"/>
            <w:shd w:val="clear" w:color="auto" w:fill="auto"/>
          </w:tcPr>
          <w:p w14:paraId="0F7E0E0A" w14:textId="77777777" w:rsidR="00DE64BC" w:rsidRPr="00256982" w:rsidRDefault="00DE64BC" w:rsidP="00A808C7">
            <w:pPr>
              <w:pStyle w:val="TableText"/>
              <w:spacing w:before="40" w:after="40"/>
              <w:rPr>
                <w:rFonts w:cs="Arial"/>
                <w:szCs w:val="16"/>
              </w:rPr>
            </w:pPr>
            <w:r w:rsidRPr="00256982">
              <w:rPr>
                <w:rFonts w:cs="Arial"/>
                <w:color w:val="000000"/>
                <w:szCs w:val="16"/>
              </w:rPr>
              <w:t>Grassland – Land Converted to Grassland</w:t>
            </w:r>
          </w:p>
        </w:tc>
        <w:tc>
          <w:tcPr>
            <w:tcW w:w="325" w:type="pct"/>
            <w:shd w:val="clear" w:color="auto" w:fill="auto"/>
          </w:tcPr>
          <w:p w14:paraId="71ED3DA4" w14:textId="77777777" w:rsidR="00DE64BC" w:rsidRPr="00256982" w:rsidRDefault="00DE64BC" w:rsidP="00A808C7">
            <w:pPr>
              <w:pStyle w:val="TableText"/>
              <w:spacing w:before="40" w:after="40"/>
              <w:jc w:val="center"/>
              <w:rPr>
                <w:rFonts w:cs="Arial"/>
                <w:szCs w:val="16"/>
              </w:rPr>
            </w:pPr>
            <w:r w:rsidRPr="00256982">
              <w:rPr>
                <w:rFonts w:cs="Arial"/>
                <w:color w:val="000000"/>
                <w:szCs w:val="16"/>
              </w:rPr>
              <w:t>CO</w:t>
            </w:r>
            <w:r w:rsidRPr="00256982">
              <w:rPr>
                <w:rFonts w:cs="Arial"/>
                <w:color w:val="000000"/>
                <w:szCs w:val="16"/>
                <w:vertAlign w:val="subscript"/>
              </w:rPr>
              <w:t>2</w:t>
            </w:r>
          </w:p>
        </w:tc>
        <w:tc>
          <w:tcPr>
            <w:tcW w:w="532" w:type="pct"/>
            <w:shd w:val="clear" w:color="auto" w:fill="auto"/>
          </w:tcPr>
          <w:p w14:paraId="3562BCA2"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262.9</w:t>
            </w:r>
          </w:p>
        </w:tc>
        <w:tc>
          <w:tcPr>
            <w:tcW w:w="520" w:type="pct"/>
            <w:shd w:val="clear" w:color="auto" w:fill="auto"/>
          </w:tcPr>
          <w:p w14:paraId="27EB56AA"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2,437.1</w:t>
            </w:r>
          </w:p>
        </w:tc>
        <w:tc>
          <w:tcPr>
            <w:tcW w:w="609" w:type="pct"/>
            <w:shd w:val="clear" w:color="auto" w:fill="auto"/>
          </w:tcPr>
          <w:p w14:paraId="0A6879FF"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0.016</w:t>
            </w:r>
          </w:p>
        </w:tc>
        <w:tc>
          <w:tcPr>
            <w:tcW w:w="634" w:type="pct"/>
            <w:shd w:val="clear" w:color="auto" w:fill="auto"/>
          </w:tcPr>
          <w:p w14:paraId="651CF4FD"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3.6</w:t>
            </w:r>
          </w:p>
        </w:tc>
        <w:tc>
          <w:tcPr>
            <w:tcW w:w="576" w:type="pct"/>
            <w:shd w:val="clear" w:color="auto" w:fill="auto"/>
          </w:tcPr>
          <w:p w14:paraId="22EF8772"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67.1</w:t>
            </w:r>
          </w:p>
        </w:tc>
      </w:tr>
      <w:tr w:rsidR="00DE64BC" w:rsidRPr="00256982" w14:paraId="10282A43" w14:textId="77777777" w:rsidTr="009A0D25">
        <w:tc>
          <w:tcPr>
            <w:tcW w:w="554" w:type="pct"/>
          </w:tcPr>
          <w:p w14:paraId="61FEBA5F" w14:textId="77777777" w:rsidR="00DE64BC" w:rsidRPr="00256982" w:rsidRDefault="00DE64BC" w:rsidP="00A808C7">
            <w:pPr>
              <w:pStyle w:val="TableText"/>
              <w:keepNext/>
              <w:spacing w:before="40" w:after="40"/>
              <w:rPr>
                <w:rFonts w:cs="Arial"/>
                <w:szCs w:val="16"/>
              </w:rPr>
            </w:pPr>
            <w:r w:rsidRPr="00256982">
              <w:rPr>
                <w:rFonts w:cs="Arial"/>
                <w:color w:val="000000"/>
                <w:szCs w:val="16"/>
              </w:rPr>
              <w:t>1.A.1.c</w:t>
            </w:r>
          </w:p>
        </w:tc>
        <w:tc>
          <w:tcPr>
            <w:tcW w:w="1250" w:type="pct"/>
            <w:shd w:val="clear" w:color="auto" w:fill="auto"/>
          </w:tcPr>
          <w:p w14:paraId="0440C820" w14:textId="77777777" w:rsidR="00DE64BC" w:rsidRPr="00256982" w:rsidRDefault="00DE64BC" w:rsidP="00A808C7">
            <w:pPr>
              <w:pStyle w:val="TableText"/>
              <w:spacing w:before="40" w:after="40"/>
              <w:rPr>
                <w:rFonts w:cs="Arial"/>
                <w:szCs w:val="16"/>
              </w:rPr>
            </w:pPr>
            <w:r w:rsidRPr="00256982">
              <w:rPr>
                <w:rFonts w:cs="Arial"/>
                <w:color w:val="000000"/>
                <w:szCs w:val="16"/>
              </w:rPr>
              <w:t>Energy Industries – Manufacture of Solid Fuels and Other Energy Industries Gaseous Fuels</w:t>
            </w:r>
          </w:p>
        </w:tc>
        <w:tc>
          <w:tcPr>
            <w:tcW w:w="325" w:type="pct"/>
            <w:shd w:val="clear" w:color="auto" w:fill="auto"/>
            <w:tcMar>
              <w:left w:w="0" w:type="dxa"/>
              <w:right w:w="0" w:type="dxa"/>
            </w:tcMar>
          </w:tcPr>
          <w:p w14:paraId="444A1F88" w14:textId="77777777" w:rsidR="00DE64BC" w:rsidRPr="00256982" w:rsidRDefault="00DE64BC" w:rsidP="00A808C7">
            <w:pPr>
              <w:pStyle w:val="TableText"/>
              <w:spacing w:before="40" w:after="40"/>
              <w:jc w:val="center"/>
              <w:rPr>
                <w:rFonts w:cs="Arial"/>
                <w:szCs w:val="16"/>
              </w:rPr>
            </w:pPr>
            <w:r w:rsidRPr="00256982">
              <w:rPr>
                <w:rFonts w:cs="Arial"/>
                <w:color w:val="000000"/>
                <w:szCs w:val="16"/>
              </w:rPr>
              <w:t>CO</w:t>
            </w:r>
            <w:r w:rsidRPr="00256982">
              <w:rPr>
                <w:rFonts w:cs="Arial"/>
                <w:color w:val="000000"/>
                <w:szCs w:val="16"/>
                <w:vertAlign w:val="subscript"/>
              </w:rPr>
              <w:t>2</w:t>
            </w:r>
          </w:p>
        </w:tc>
        <w:tc>
          <w:tcPr>
            <w:tcW w:w="532" w:type="pct"/>
            <w:shd w:val="clear" w:color="auto" w:fill="auto"/>
          </w:tcPr>
          <w:p w14:paraId="6AA88F2D"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1,720.1</w:t>
            </w:r>
          </w:p>
        </w:tc>
        <w:tc>
          <w:tcPr>
            <w:tcW w:w="520" w:type="pct"/>
            <w:shd w:val="clear" w:color="auto" w:fill="auto"/>
          </w:tcPr>
          <w:p w14:paraId="5F89AB54"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305.9</w:t>
            </w:r>
          </w:p>
        </w:tc>
        <w:tc>
          <w:tcPr>
            <w:tcW w:w="609" w:type="pct"/>
            <w:shd w:val="clear" w:color="auto" w:fill="auto"/>
          </w:tcPr>
          <w:p w14:paraId="3F7EAAA1"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0.013</w:t>
            </w:r>
          </w:p>
        </w:tc>
        <w:tc>
          <w:tcPr>
            <w:tcW w:w="634" w:type="pct"/>
            <w:shd w:val="clear" w:color="auto" w:fill="auto"/>
          </w:tcPr>
          <w:p w14:paraId="7964B8A7"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2.8</w:t>
            </w:r>
          </w:p>
        </w:tc>
        <w:tc>
          <w:tcPr>
            <w:tcW w:w="576" w:type="pct"/>
            <w:shd w:val="clear" w:color="auto" w:fill="auto"/>
          </w:tcPr>
          <w:p w14:paraId="280CDA87"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69.9</w:t>
            </w:r>
          </w:p>
        </w:tc>
      </w:tr>
      <w:tr w:rsidR="00DE64BC" w:rsidRPr="00256982" w14:paraId="724F7B07" w14:textId="77777777" w:rsidTr="009A0D25">
        <w:tc>
          <w:tcPr>
            <w:tcW w:w="554" w:type="pct"/>
          </w:tcPr>
          <w:p w14:paraId="6FEA0F2C" w14:textId="77777777" w:rsidR="00DE64BC" w:rsidRPr="00256982" w:rsidRDefault="00DE64BC" w:rsidP="00A808C7">
            <w:pPr>
              <w:pStyle w:val="TableText"/>
              <w:keepNext/>
              <w:spacing w:before="40" w:after="40"/>
              <w:rPr>
                <w:rFonts w:cs="Arial"/>
                <w:szCs w:val="16"/>
              </w:rPr>
            </w:pPr>
            <w:r w:rsidRPr="00256982">
              <w:rPr>
                <w:rFonts w:cs="Arial"/>
                <w:color w:val="000000"/>
                <w:szCs w:val="16"/>
              </w:rPr>
              <w:t>2.F.1</w:t>
            </w:r>
          </w:p>
        </w:tc>
        <w:tc>
          <w:tcPr>
            <w:tcW w:w="1250" w:type="pct"/>
            <w:shd w:val="clear" w:color="auto" w:fill="auto"/>
          </w:tcPr>
          <w:p w14:paraId="01550C17" w14:textId="77777777" w:rsidR="00DE64BC" w:rsidRPr="00256982" w:rsidRDefault="00DE64BC" w:rsidP="00A808C7">
            <w:pPr>
              <w:pStyle w:val="TableText"/>
              <w:spacing w:before="40" w:after="40"/>
              <w:rPr>
                <w:rFonts w:cs="Arial"/>
                <w:szCs w:val="16"/>
              </w:rPr>
            </w:pPr>
            <w:r w:rsidRPr="00256982">
              <w:rPr>
                <w:rFonts w:cs="Arial"/>
                <w:color w:val="000000"/>
                <w:szCs w:val="16"/>
              </w:rPr>
              <w:t>Product Uses as Substitutes for ODS – Refrigeration and Air conditioning</w:t>
            </w:r>
          </w:p>
        </w:tc>
        <w:tc>
          <w:tcPr>
            <w:tcW w:w="325" w:type="pct"/>
            <w:shd w:val="clear" w:color="auto" w:fill="auto"/>
          </w:tcPr>
          <w:p w14:paraId="36BD80A2" w14:textId="77777777" w:rsidR="00DE64BC" w:rsidRPr="00256982" w:rsidRDefault="00DE64BC" w:rsidP="00A808C7">
            <w:pPr>
              <w:pStyle w:val="TableText"/>
              <w:spacing w:before="40" w:after="40"/>
              <w:jc w:val="center"/>
              <w:rPr>
                <w:rFonts w:cs="Arial"/>
                <w:szCs w:val="16"/>
              </w:rPr>
            </w:pPr>
            <w:r w:rsidRPr="00256982">
              <w:rPr>
                <w:rFonts w:cs="Arial"/>
                <w:color w:val="000000"/>
                <w:szCs w:val="16"/>
              </w:rPr>
              <w:t>HFCs</w:t>
            </w:r>
          </w:p>
        </w:tc>
        <w:tc>
          <w:tcPr>
            <w:tcW w:w="532" w:type="pct"/>
            <w:shd w:val="clear" w:color="auto" w:fill="auto"/>
          </w:tcPr>
          <w:p w14:paraId="1EFC9C20"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0.0</w:t>
            </w:r>
          </w:p>
        </w:tc>
        <w:tc>
          <w:tcPr>
            <w:tcW w:w="520" w:type="pct"/>
            <w:shd w:val="clear" w:color="auto" w:fill="auto"/>
          </w:tcPr>
          <w:p w14:paraId="5BFE2B53"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1,397.3</w:t>
            </w:r>
          </w:p>
        </w:tc>
        <w:tc>
          <w:tcPr>
            <w:tcW w:w="609" w:type="pct"/>
            <w:shd w:val="clear" w:color="auto" w:fill="auto"/>
          </w:tcPr>
          <w:p w14:paraId="40D0F5BB"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0.011</w:t>
            </w:r>
          </w:p>
        </w:tc>
        <w:tc>
          <w:tcPr>
            <w:tcW w:w="634" w:type="pct"/>
            <w:shd w:val="clear" w:color="auto" w:fill="auto"/>
          </w:tcPr>
          <w:p w14:paraId="2B6FD3F6"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2.4</w:t>
            </w:r>
          </w:p>
        </w:tc>
        <w:tc>
          <w:tcPr>
            <w:tcW w:w="576" w:type="pct"/>
            <w:shd w:val="clear" w:color="auto" w:fill="auto"/>
          </w:tcPr>
          <w:p w14:paraId="7C2353B7"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72.3</w:t>
            </w:r>
          </w:p>
        </w:tc>
      </w:tr>
      <w:tr w:rsidR="00DE64BC" w:rsidRPr="00256982" w14:paraId="32D2C98A" w14:textId="77777777" w:rsidTr="009A0D25">
        <w:tc>
          <w:tcPr>
            <w:tcW w:w="554" w:type="pct"/>
          </w:tcPr>
          <w:p w14:paraId="6E2FBCF1" w14:textId="77777777" w:rsidR="00DE64BC" w:rsidRPr="00256982" w:rsidRDefault="00DE64BC" w:rsidP="00A808C7">
            <w:pPr>
              <w:pStyle w:val="TableText"/>
              <w:keepNext/>
              <w:spacing w:before="40" w:after="40"/>
              <w:rPr>
                <w:rFonts w:cs="Arial"/>
                <w:szCs w:val="16"/>
              </w:rPr>
            </w:pPr>
            <w:r w:rsidRPr="00256982">
              <w:rPr>
                <w:rFonts w:cs="Arial"/>
                <w:color w:val="000000"/>
                <w:szCs w:val="16"/>
              </w:rPr>
              <w:t>3.A.1</w:t>
            </w:r>
          </w:p>
        </w:tc>
        <w:tc>
          <w:tcPr>
            <w:tcW w:w="1250" w:type="pct"/>
            <w:shd w:val="clear" w:color="auto" w:fill="auto"/>
          </w:tcPr>
          <w:p w14:paraId="38705E11" w14:textId="77777777" w:rsidR="00DE64BC" w:rsidRPr="00256982" w:rsidRDefault="00DE64BC" w:rsidP="00A808C7">
            <w:pPr>
              <w:pStyle w:val="TableText"/>
              <w:spacing w:before="40" w:after="40"/>
              <w:rPr>
                <w:rFonts w:cs="Arial"/>
                <w:szCs w:val="16"/>
              </w:rPr>
            </w:pPr>
            <w:r w:rsidRPr="00256982">
              <w:rPr>
                <w:rFonts w:cs="Arial"/>
                <w:color w:val="000000"/>
                <w:szCs w:val="16"/>
              </w:rPr>
              <w:t>Option A – Non-Dairy Cattle</w:t>
            </w:r>
          </w:p>
        </w:tc>
        <w:tc>
          <w:tcPr>
            <w:tcW w:w="325" w:type="pct"/>
            <w:shd w:val="clear" w:color="auto" w:fill="auto"/>
          </w:tcPr>
          <w:p w14:paraId="49D57709" w14:textId="77777777" w:rsidR="00DE64BC" w:rsidRPr="00256982" w:rsidRDefault="00DE64BC" w:rsidP="00A808C7">
            <w:pPr>
              <w:pStyle w:val="TableText"/>
              <w:spacing w:before="40" w:after="40"/>
              <w:jc w:val="center"/>
              <w:rPr>
                <w:rFonts w:cs="Arial"/>
                <w:szCs w:val="16"/>
              </w:rPr>
            </w:pPr>
            <w:r w:rsidRPr="00256982">
              <w:rPr>
                <w:rFonts w:cs="Arial"/>
                <w:color w:val="000000"/>
                <w:szCs w:val="16"/>
              </w:rPr>
              <w:t>CH</w:t>
            </w:r>
            <w:r w:rsidRPr="00256982">
              <w:rPr>
                <w:rFonts w:cs="Arial"/>
                <w:color w:val="000000"/>
                <w:szCs w:val="16"/>
                <w:vertAlign w:val="subscript"/>
              </w:rPr>
              <w:t>4</w:t>
            </w:r>
          </w:p>
        </w:tc>
        <w:tc>
          <w:tcPr>
            <w:tcW w:w="532" w:type="pct"/>
            <w:shd w:val="clear" w:color="auto" w:fill="auto"/>
          </w:tcPr>
          <w:p w14:paraId="1D446B57"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5,723.4</w:t>
            </w:r>
          </w:p>
        </w:tc>
        <w:tc>
          <w:tcPr>
            <w:tcW w:w="520" w:type="pct"/>
            <w:shd w:val="clear" w:color="auto" w:fill="auto"/>
          </w:tcPr>
          <w:p w14:paraId="64D69EA0"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5,298.0</w:t>
            </w:r>
          </w:p>
        </w:tc>
        <w:tc>
          <w:tcPr>
            <w:tcW w:w="609" w:type="pct"/>
            <w:shd w:val="clear" w:color="auto" w:fill="auto"/>
          </w:tcPr>
          <w:p w14:paraId="18905EE8"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0.010</w:t>
            </w:r>
          </w:p>
        </w:tc>
        <w:tc>
          <w:tcPr>
            <w:tcW w:w="634" w:type="pct"/>
            <w:shd w:val="clear" w:color="auto" w:fill="auto"/>
          </w:tcPr>
          <w:p w14:paraId="7595AAA4"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2.1</w:t>
            </w:r>
          </w:p>
        </w:tc>
        <w:tc>
          <w:tcPr>
            <w:tcW w:w="576" w:type="pct"/>
            <w:shd w:val="clear" w:color="auto" w:fill="auto"/>
          </w:tcPr>
          <w:p w14:paraId="09C056E8"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74.4</w:t>
            </w:r>
          </w:p>
        </w:tc>
      </w:tr>
      <w:tr w:rsidR="00DE64BC" w:rsidRPr="00256982" w14:paraId="686D21E9" w14:textId="77777777" w:rsidTr="009A0D25">
        <w:tc>
          <w:tcPr>
            <w:tcW w:w="554" w:type="pct"/>
          </w:tcPr>
          <w:p w14:paraId="5B8A8301" w14:textId="77777777" w:rsidR="00DE64BC" w:rsidRPr="00256982" w:rsidRDefault="00DE64BC" w:rsidP="00A808C7">
            <w:pPr>
              <w:pStyle w:val="TableText"/>
              <w:spacing w:before="40" w:after="40"/>
              <w:rPr>
                <w:rFonts w:cs="Arial"/>
                <w:szCs w:val="16"/>
              </w:rPr>
            </w:pPr>
            <w:r w:rsidRPr="00256982">
              <w:rPr>
                <w:rFonts w:cs="Arial"/>
                <w:color w:val="000000"/>
                <w:szCs w:val="16"/>
              </w:rPr>
              <w:t>3.D.1.1</w:t>
            </w:r>
          </w:p>
        </w:tc>
        <w:tc>
          <w:tcPr>
            <w:tcW w:w="1250" w:type="pct"/>
            <w:shd w:val="clear" w:color="auto" w:fill="auto"/>
          </w:tcPr>
          <w:p w14:paraId="6BD0AF54" w14:textId="77777777" w:rsidR="00DE64BC" w:rsidRPr="00256982" w:rsidRDefault="00DE64BC" w:rsidP="00A808C7">
            <w:pPr>
              <w:pStyle w:val="TableText"/>
              <w:spacing w:before="40" w:after="40"/>
              <w:rPr>
                <w:rFonts w:cs="Arial"/>
                <w:szCs w:val="16"/>
              </w:rPr>
            </w:pPr>
            <w:r w:rsidRPr="00256982">
              <w:rPr>
                <w:rFonts w:cs="Arial"/>
                <w:color w:val="000000"/>
                <w:szCs w:val="16"/>
              </w:rPr>
              <w:t>Direct N</w:t>
            </w:r>
            <w:r w:rsidRPr="00256982">
              <w:rPr>
                <w:rFonts w:cs="Arial"/>
                <w:color w:val="000000"/>
                <w:szCs w:val="16"/>
                <w:vertAlign w:val="subscript"/>
              </w:rPr>
              <w:t>2</w:t>
            </w:r>
            <w:r w:rsidRPr="00256982">
              <w:rPr>
                <w:rFonts w:cs="Arial"/>
                <w:color w:val="000000"/>
                <w:szCs w:val="16"/>
              </w:rPr>
              <w:t>O Emissions From Managed Soils – Inorganic N Fertilisers</w:t>
            </w:r>
          </w:p>
        </w:tc>
        <w:tc>
          <w:tcPr>
            <w:tcW w:w="325" w:type="pct"/>
            <w:shd w:val="clear" w:color="auto" w:fill="auto"/>
            <w:tcMar>
              <w:left w:w="0" w:type="dxa"/>
              <w:right w:w="0" w:type="dxa"/>
            </w:tcMar>
          </w:tcPr>
          <w:p w14:paraId="3FE30DEB" w14:textId="77777777" w:rsidR="00DE64BC" w:rsidRPr="00256982" w:rsidRDefault="00DE64BC" w:rsidP="00A808C7">
            <w:pPr>
              <w:pStyle w:val="TableText"/>
              <w:spacing w:before="40" w:after="40"/>
              <w:jc w:val="center"/>
              <w:rPr>
                <w:rFonts w:cs="Arial"/>
                <w:szCs w:val="16"/>
              </w:rPr>
            </w:pPr>
            <w:r w:rsidRPr="00256982">
              <w:rPr>
                <w:rFonts w:cs="Arial"/>
                <w:color w:val="000000"/>
                <w:szCs w:val="16"/>
              </w:rPr>
              <w:t>N</w:t>
            </w:r>
            <w:r w:rsidRPr="00256982">
              <w:rPr>
                <w:rFonts w:cs="Arial"/>
                <w:color w:val="000000"/>
                <w:szCs w:val="16"/>
                <w:vertAlign w:val="subscript"/>
              </w:rPr>
              <w:t>2</w:t>
            </w:r>
            <w:r w:rsidRPr="00256982">
              <w:rPr>
                <w:rFonts w:cs="Arial"/>
                <w:color w:val="000000"/>
                <w:szCs w:val="16"/>
              </w:rPr>
              <w:t>O</w:t>
            </w:r>
          </w:p>
        </w:tc>
        <w:tc>
          <w:tcPr>
            <w:tcW w:w="532" w:type="pct"/>
            <w:shd w:val="clear" w:color="auto" w:fill="auto"/>
          </w:tcPr>
          <w:p w14:paraId="0499D980"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230.3</w:t>
            </w:r>
          </w:p>
        </w:tc>
        <w:tc>
          <w:tcPr>
            <w:tcW w:w="520" w:type="pct"/>
            <w:shd w:val="clear" w:color="auto" w:fill="auto"/>
          </w:tcPr>
          <w:p w14:paraId="1D39B0E9"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1,365.6</w:t>
            </w:r>
          </w:p>
        </w:tc>
        <w:tc>
          <w:tcPr>
            <w:tcW w:w="609" w:type="pct"/>
            <w:shd w:val="clear" w:color="auto" w:fill="auto"/>
          </w:tcPr>
          <w:p w14:paraId="494490F8"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0.008</w:t>
            </w:r>
          </w:p>
        </w:tc>
        <w:tc>
          <w:tcPr>
            <w:tcW w:w="634" w:type="pct"/>
            <w:shd w:val="clear" w:color="auto" w:fill="auto"/>
          </w:tcPr>
          <w:p w14:paraId="667A4804"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1.9</w:t>
            </w:r>
          </w:p>
        </w:tc>
        <w:tc>
          <w:tcPr>
            <w:tcW w:w="576" w:type="pct"/>
            <w:shd w:val="clear" w:color="auto" w:fill="auto"/>
          </w:tcPr>
          <w:p w14:paraId="7C29BE0E"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76.3</w:t>
            </w:r>
          </w:p>
        </w:tc>
      </w:tr>
      <w:tr w:rsidR="00DE64BC" w:rsidRPr="00256982" w14:paraId="576F4C0B" w14:textId="77777777" w:rsidTr="009A0D25">
        <w:tc>
          <w:tcPr>
            <w:tcW w:w="554" w:type="pct"/>
          </w:tcPr>
          <w:p w14:paraId="3DBAC72E" w14:textId="77777777" w:rsidR="00DE64BC" w:rsidRPr="00256982" w:rsidRDefault="00DE64BC" w:rsidP="00A808C7">
            <w:pPr>
              <w:pStyle w:val="TableText"/>
              <w:spacing w:before="40" w:after="40"/>
              <w:rPr>
                <w:rFonts w:cs="Arial"/>
                <w:szCs w:val="16"/>
              </w:rPr>
            </w:pPr>
            <w:r w:rsidRPr="00256982">
              <w:rPr>
                <w:rFonts w:cs="Arial"/>
                <w:color w:val="000000"/>
                <w:szCs w:val="16"/>
              </w:rPr>
              <w:t>4.C.1</w:t>
            </w:r>
          </w:p>
        </w:tc>
        <w:tc>
          <w:tcPr>
            <w:tcW w:w="1250" w:type="pct"/>
            <w:shd w:val="clear" w:color="auto" w:fill="auto"/>
          </w:tcPr>
          <w:p w14:paraId="4177F9E4" w14:textId="77777777" w:rsidR="00DE64BC" w:rsidRPr="00256982" w:rsidRDefault="00DE64BC" w:rsidP="00A808C7">
            <w:pPr>
              <w:pStyle w:val="TableText"/>
              <w:spacing w:before="40" w:after="40"/>
              <w:rPr>
                <w:rFonts w:cs="Arial"/>
                <w:szCs w:val="16"/>
              </w:rPr>
            </w:pPr>
            <w:r w:rsidRPr="00256982">
              <w:rPr>
                <w:rFonts w:cs="Arial"/>
                <w:color w:val="000000"/>
                <w:szCs w:val="16"/>
              </w:rPr>
              <w:t>Grassland – Grassland Remaining Grassland</w:t>
            </w:r>
          </w:p>
        </w:tc>
        <w:tc>
          <w:tcPr>
            <w:tcW w:w="325" w:type="pct"/>
            <w:shd w:val="clear" w:color="auto" w:fill="auto"/>
          </w:tcPr>
          <w:p w14:paraId="32BA72ED" w14:textId="77777777" w:rsidR="00DE64BC" w:rsidRPr="00256982" w:rsidRDefault="00DE64BC" w:rsidP="00A808C7">
            <w:pPr>
              <w:pStyle w:val="TableText"/>
              <w:spacing w:before="40" w:after="40"/>
              <w:jc w:val="center"/>
              <w:rPr>
                <w:rFonts w:cs="Arial"/>
                <w:szCs w:val="16"/>
              </w:rPr>
            </w:pPr>
            <w:r w:rsidRPr="00256982">
              <w:rPr>
                <w:rFonts w:cs="Arial"/>
                <w:color w:val="000000"/>
                <w:szCs w:val="16"/>
              </w:rPr>
              <w:t>CO</w:t>
            </w:r>
            <w:r w:rsidRPr="00256982">
              <w:rPr>
                <w:rFonts w:cs="Arial"/>
                <w:color w:val="000000"/>
                <w:szCs w:val="16"/>
                <w:vertAlign w:val="subscript"/>
              </w:rPr>
              <w:t>2</w:t>
            </w:r>
          </w:p>
        </w:tc>
        <w:tc>
          <w:tcPr>
            <w:tcW w:w="532" w:type="pct"/>
            <w:shd w:val="clear" w:color="auto" w:fill="auto"/>
          </w:tcPr>
          <w:p w14:paraId="35D7B26F"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–154.5</w:t>
            </w:r>
          </w:p>
        </w:tc>
        <w:tc>
          <w:tcPr>
            <w:tcW w:w="520" w:type="pct"/>
            <w:shd w:val="clear" w:color="auto" w:fill="auto"/>
          </w:tcPr>
          <w:p w14:paraId="2EE518FA"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1,215.1</w:t>
            </w:r>
          </w:p>
        </w:tc>
        <w:tc>
          <w:tcPr>
            <w:tcW w:w="609" w:type="pct"/>
            <w:shd w:val="clear" w:color="auto" w:fill="auto"/>
          </w:tcPr>
          <w:p w14:paraId="25FC01B1"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0.008</w:t>
            </w:r>
          </w:p>
        </w:tc>
        <w:tc>
          <w:tcPr>
            <w:tcW w:w="634" w:type="pct"/>
            <w:shd w:val="clear" w:color="auto" w:fill="auto"/>
          </w:tcPr>
          <w:p w14:paraId="4FD9B918"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1.8</w:t>
            </w:r>
          </w:p>
        </w:tc>
        <w:tc>
          <w:tcPr>
            <w:tcW w:w="576" w:type="pct"/>
            <w:shd w:val="clear" w:color="auto" w:fill="auto"/>
          </w:tcPr>
          <w:p w14:paraId="6E9EA6BB"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78.0</w:t>
            </w:r>
          </w:p>
        </w:tc>
      </w:tr>
      <w:tr w:rsidR="00DE64BC" w:rsidRPr="00256982" w14:paraId="73D2D437" w14:textId="77777777" w:rsidTr="009A0D25">
        <w:tc>
          <w:tcPr>
            <w:tcW w:w="554" w:type="pct"/>
          </w:tcPr>
          <w:p w14:paraId="63C5226D" w14:textId="77777777" w:rsidR="00DE64BC" w:rsidRPr="00256982" w:rsidRDefault="00DE64BC" w:rsidP="00A808C7">
            <w:pPr>
              <w:pStyle w:val="TableText"/>
              <w:spacing w:before="40" w:after="40"/>
              <w:rPr>
                <w:rFonts w:cs="Arial"/>
                <w:szCs w:val="16"/>
              </w:rPr>
            </w:pPr>
            <w:r w:rsidRPr="00256982">
              <w:rPr>
                <w:rFonts w:cs="Arial"/>
                <w:color w:val="000000"/>
                <w:szCs w:val="16"/>
              </w:rPr>
              <w:t>2.C.3</w:t>
            </w:r>
          </w:p>
        </w:tc>
        <w:tc>
          <w:tcPr>
            <w:tcW w:w="1250" w:type="pct"/>
            <w:shd w:val="clear" w:color="auto" w:fill="auto"/>
          </w:tcPr>
          <w:p w14:paraId="1CC6A709" w14:textId="77777777" w:rsidR="00DE64BC" w:rsidRPr="00256982" w:rsidRDefault="00DE64BC" w:rsidP="00A808C7">
            <w:pPr>
              <w:pStyle w:val="TableText"/>
              <w:spacing w:before="40" w:after="40"/>
              <w:rPr>
                <w:rFonts w:cs="Arial"/>
                <w:szCs w:val="16"/>
              </w:rPr>
            </w:pPr>
            <w:r w:rsidRPr="00256982">
              <w:rPr>
                <w:rFonts w:cs="Arial"/>
                <w:color w:val="000000"/>
                <w:szCs w:val="16"/>
              </w:rPr>
              <w:t>Metal Industry – Aluminium Production</w:t>
            </w:r>
          </w:p>
        </w:tc>
        <w:tc>
          <w:tcPr>
            <w:tcW w:w="325" w:type="pct"/>
            <w:shd w:val="clear" w:color="auto" w:fill="auto"/>
          </w:tcPr>
          <w:p w14:paraId="0C02CC47" w14:textId="77777777" w:rsidR="00DE64BC" w:rsidRPr="00256982" w:rsidRDefault="00DE64BC" w:rsidP="00A808C7">
            <w:pPr>
              <w:pStyle w:val="TableText"/>
              <w:spacing w:before="40" w:after="40"/>
              <w:jc w:val="center"/>
              <w:rPr>
                <w:rFonts w:cs="Arial"/>
                <w:szCs w:val="16"/>
              </w:rPr>
            </w:pPr>
            <w:r w:rsidRPr="00256982">
              <w:rPr>
                <w:rFonts w:cs="Arial"/>
                <w:color w:val="000000"/>
                <w:szCs w:val="16"/>
              </w:rPr>
              <w:t>PFCs</w:t>
            </w:r>
          </w:p>
        </w:tc>
        <w:tc>
          <w:tcPr>
            <w:tcW w:w="532" w:type="pct"/>
            <w:shd w:val="clear" w:color="auto" w:fill="auto"/>
          </w:tcPr>
          <w:p w14:paraId="6263889F"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909.9</w:t>
            </w:r>
          </w:p>
        </w:tc>
        <w:tc>
          <w:tcPr>
            <w:tcW w:w="520" w:type="pct"/>
            <w:shd w:val="clear" w:color="auto" w:fill="auto"/>
          </w:tcPr>
          <w:p w14:paraId="1F7D2AE2"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60.5</w:t>
            </w:r>
          </w:p>
        </w:tc>
        <w:tc>
          <w:tcPr>
            <w:tcW w:w="609" w:type="pct"/>
            <w:shd w:val="clear" w:color="auto" w:fill="auto"/>
          </w:tcPr>
          <w:p w14:paraId="1FE2E1E4"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0.008</w:t>
            </w:r>
          </w:p>
        </w:tc>
        <w:tc>
          <w:tcPr>
            <w:tcW w:w="634" w:type="pct"/>
            <w:shd w:val="clear" w:color="auto" w:fill="auto"/>
          </w:tcPr>
          <w:p w14:paraId="5E00ADBC"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1.7</w:t>
            </w:r>
          </w:p>
        </w:tc>
        <w:tc>
          <w:tcPr>
            <w:tcW w:w="576" w:type="pct"/>
            <w:shd w:val="clear" w:color="auto" w:fill="auto"/>
          </w:tcPr>
          <w:p w14:paraId="5B15F131"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79.7</w:t>
            </w:r>
          </w:p>
        </w:tc>
      </w:tr>
      <w:tr w:rsidR="00DE64BC" w:rsidRPr="00256982" w14:paraId="75BFCD8B" w14:textId="77777777" w:rsidTr="009A0D25">
        <w:tc>
          <w:tcPr>
            <w:tcW w:w="554" w:type="pct"/>
          </w:tcPr>
          <w:p w14:paraId="7A244600" w14:textId="77777777" w:rsidR="00DE64BC" w:rsidRPr="00256982" w:rsidRDefault="00DE64BC" w:rsidP="00A808C7">
            <w:pPr>
              <w:pStyle w:val="TableText"/>
              <w:spacing w:before="40" w:after="40"/>
              <w:rPr>
                <w:rFonts w:cs="Arial"/>
                <w:szCs w:val="16"/>
              </w:rPr>
            </w:pPr>
            <w:r w:rsidRPr="00256982">
              <w:rPr>
                <w:rFonts w:cs="Arial"/>
                <w:color w:val="000000"/>
                <w:szCs w:val="16"/>
              </w:rPr>
              <w:t>1.A.2.c</w:t>
            </w:r>
          </w:p>
        </w:tc>
        <w:tc>
          <w:tcPr>
            <w:tcW w:w="1250" w:type="pct"/>
            <w:shd w:val="clear" w:color="auto" w:fill="auto"/>
          </w:tcPr>
          <w:p w14:paraId="5C9E704D" w14:textId="77777777" w:rsidR="00DE64BC" w:rsidRPr="00256982" w:rsidRDefault="00DE64BC" w:rsidP="00A808C7">
            <w:pPr>
              <w:pStyle w:val="TableText"/>
              <w:spacing w:before="40" w:after="40"/>
              <w:rPr>
                <w:rFonts w:cs="Arial"/>
                <w:szCs w:val="16"/>
              </w:rPr>
            </w:pPr>
            <w:r w:rsidRPr="00256982">
              <w:rPr>
                <w:rFonts w:cs="Arial"/>
                <w:color w:val="000000"/>
                <w:szCs w:val="16"/>
              </w:rPr>
              <w:t>Manufacturing Industries and Construction – Chemicals Gaseous Fuels</w:t>
            </w:r>
          </w:p>
        </w:tc>
        <w:tc>
          <w:tcPr>
            <w:tcW w:w="325" w:type="pct"/>
            <w:shd w:val="clear" w:color="auto" w:fill="auto"/>
          </w:tcPr>
          <w:p w14:paraId="45470F04" w14:textId="77777777" w:rsidR="00DE64BC" w:rsidRPr="00256982" w:rsidRDefault="00DE64BC" w:rsidP="00A808C7">
            <w:pPr>
              <w:pStyle w:val="TableText"/>
              <w:spacing w:before="40" w:after="40"/>
              <w:jc w:val="center"/>
              <w:rPr>
                <w:rFonts w:cs="Arial"/>
                <w:szCs w:val="16"/>
              </w:rPr>
            </w:pPr>
            <w:r w:rsidRPr="00256982">
              <w:rPr>
                <w:rFonts w:cs="Arial"/>
                <w:color w:val="000000"/>
                <w:szCs w:val="16"/>
              </w:rPr>
              <w:t>CO</w:t>
            </w:r>
            <w:r w:rsidRPr="00256982">
              <w:rPr>
                <w:rFonts w:cs="Arial"/>
                <w:color w:val="000000"/>
                <w:szCs w:val="16"/>
                <w:vertAlign w:val="subscript"/>
              </w:rPr>
              <w:t>2</w:t>
            </w:r>
          </w:p>
        </w:tc>
        <w:tc>
          <w:tcPr>
            <w:tcW w:w="532" w:type="pct"/>
            <w:shd w:val="clear" w:color="auto" w:fill="auto"/>
          </w:tcPr>
          <w:p w14:paraId="5217EC83"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528.7</w:t>
            </w:r>
          </w:p>
        </w:tc>
        <w:tc>
          <w:tcPr>
            <w:tcW w:w="520" w:type="pct"/>
            <w:shd w:val="clear" w:color="auto" w:fill="auto"/>
          </w:tcPr>
          <w:p w14:paraId="7AD9322E"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1,587.8</w:t>
            </w:r>
          </w:p>
        </w:tc>
        <w:tc>
          <w:tcPr>
            <w:tcW w:w="609" w:type="pct"/>
            <w:shd w:val="clear" w:color="auto" w:fill="auto"/>
          </w:tcPr>
          <w:p w14:paraId="796711AF"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0.008</w:t>
            </w:r>
          </w:p>
        </w:tc>
        <w:tc>
          <w:tcPr>
            <w:tcW w:w="634" w:type="pct"/>
            <w:shd w:val="clear" w:color="auto" w:fill="auto"/>
          </w:tcPr>
          <w:p w14:paraId="021E53E6"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1.7</w:t>
            </w:r>
          </w:p>
        </w:tc>
        <w:tc>
          <w:tcPr>
            <w:tcW w:w="576" w:type="pct"/>
            <w:shd w:val="clear" w:color="auto" w:fill="auto"/>
          </w:tcPr>
          <w:p w14:paraId="608552A1"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81.4</w:t>
            </w:r>
          </w:p>
        </w:tc>
      </w:tr>
      <w:tr w:rsidR="00DE64BC" w:rsidRPr="00256982" w14:paraId="6EBE69FC" w14:textId="77777777" w:rsidTr="009A0D25">
        <w:tc>
          <w:tcPr>
            <w:tcW w:w="554" w:type="pct"/>
          </w:tcPr>
          <w:p w14:paraId="5A3D4348" w14:textId="77777777" w:rsidR="00DE64BC" w:rsidRPr="00256982" w:rsidRDefault="00DE64BC" w:rsidP="00A808C7">
            <w:pPr>
              <w:pStyle w:val="TableText"/>
              <w:spacing w:before="40" w:after="40"/>
              <w:rPr>
                <w:rFonts w:cs="Arial"/>
                <w:szCs w:val="16"/>
              </w:rPr>
            </w:pPr>
            <w:r w:rsidRPr="00256982">
              <w:rPr>
                <w:rFonts w:cs="Arial"/>
                <w:color w:val="000000"/>
                <w:szCs w:val="16"/>
              </w:rPr>
              <w:t>3.B.1.1</w:t>
            </w:r>
          </w:p>
        </w:tc>
        <w:tc>
          <w:tcPr>
            <w:tcW w:w="1250" w:type="pct"/>
            <w:shd w:val="clear" w:color="auto" w:fill="auto"/>
          </w:tcPr>
          <w:p w14:paraId="7B4B0FAC" w14:textId="77777777" w:rsidR="00DE64BC" w:rsidRPr="00256982" w:rsidRDefault="00DE64BC" w:rsidP="00A808C7">
            <w:pPr>
              <w:pStyle w:val="TableText"/>
              <w:spacing w:before="40" w:after="40"/>
              <w:rPr>
                <w:rFonts w:cs="Arial"/>
                <w:szCs w:val="16"/>
              </w:rPr>
            </w:pPr>
            <w:r w:rsidRPr="00256982">
              <w:rPr>
                <w:rFonts w:cs="Arial"/>
                <w:color w:val="000000"/>
                <w:szCs w:val="16"/>
              </w:rPr>
              <w:t>Option A – Dairy Cattle</w:t>
            </w:r>
          </w:p>
        </w:tc>
        <w:tc>
          <w:tcPr>
            <w:tcW w:w="325" w:type="pct"/>
            <w:shd w:val="clear" w:color="auto" w:fill="auto"/>
          </w:tcPr>
          <w:p w14:paraId="09A5369E" w14:textId="77777777" w:rsidR="00DE64BC" w:rsidRPr="00256982" w:rsidRDefault="00DE64BC" w:rsidP="00A808C7">
            <w:pPr>
              <w:pStyle w:val="TableText"/>
              <w:spacing w:before="40" w:after="40"/>
              <w:jc w:val="center"/>
              <w:rPr>
                <w:rFonts w:cs="Arial"/>
                <w:szCs w:val="16"/>
              </w:rPr>
            </w:pPr>
            <w:r w:rsidRPr="00256982">
              <w:rPr>
                <w:rFonts w:cs="Arial"/>
                <w:color w:val="000000"/>
                <w:szCs w:val="16"/>
              </w:rPr>
              <w:t>CH</w:t>
            </w:r>
            <w:r w:rsidRPr="00256982">
              <w:rPr>
                <w:rFonts w:cs="Arial"/>
                <w:color w:val="000000"/>
                <w:szCs w:val="16"/>
                <w:vertAlign w:val="subscript"/>
              </w:rPr>
              <w:t>4</w:t>
            </w:r>
          </w:p>
        </w:tc>
        <w:tc>
          <w:tcPr>
            <w:tcW w:w="532" w:type="pct"/>
            <w:shd w:val="clear" w:color="auto" w:fill="auto"/>
          </w:tcPr>
          <w:p w14:paraId="222D0C10"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376.4</w:t>
            </w:r>
          </w:p>
        </w:tc>
        <w:tc>
          <w:tcPr>
            <w:tcW w:w="520" w:type="pct"/>
            <w:shd w:val="clear" w:color="auto" w:fill="auto"/>
          </w:tcPr>
          <w:p w14:paraId="35349249"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1,255.8</w:t>
            </w:r>
          </w:p>
        </w:tc>
        <w:tc>
          <w:tcPr>
            <w:tcW w:w="609" w:type="pct"/>
            <w:shd w:val="clear" w:color="auto" w:fill="auto"/>
          </w:tcPr>
          <w:p w14:paraId="3CDCD782"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0.006</w:t>
            </w:r>
          </w:p>
        </w:tc>
        <w:tc>
          <w:tcPr>
            <w:tcW w:w="634" w:type="pct"/>
            <w:shd w:val="clear" w:color="auto" w:fill="auto"/>
          </w:tcPr>
          <w:p w14:paraId="7F4459A9"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1.4</w:t>
            </w:r>
          </w:p>
        </w:tc>
        <w:tc>
          <w:tcPr>
            <w:tcW w:w="576" w:type="pct"/>
            <w:shd w:val="clear" w:color="auto" w:fill="auto"/>
          </w:tcPr>
          <w:p w14:paraId="7C309483"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82.7</w:t>
            </w:r>
          </w:p>
        </w:tc>
      </w:tr>
      <w:tr w:rsidR="00DE64BC" w:rsidRPr="00256982" w14:paraId="7400DE23" w14:textId="77777777" w:rsidTr="009A0D25">
        <w:tc>
          <w:tcPr>
            <w:tcW w:w="554" w:type="pct"/>
          </w:tcPr>
          <w:p w14:paraId="19F4E741" w14:textId="77777777" w:rsidR="00DE64BC" w:rsidRPr="00256982" w:rsidRDefault="00DE64BC" w:rsidP="00A808C7">
            <w:pPr>
              <w:pStyle w:val="TableText"/>
              <w:spacing w:before="40" w:after="40"/>
              <w:rPr>
                <w:rFonts w:cs="Arial"/>
                <w:szCs w:val="16"/>
              </w:rPr>
            </w:pPr>
            <w:r w:rsidRPr="00256982">
              <w:rPr>
                <w:rFonts w:cs="Arial"/>
                <w:color w:val="000000"/>
                <w:szCs w:val="16"/>
              </w:rPr>
              <w:t>1.A.2.g.viii</w:t>
            </w:r>
          </w:p>
        </w:tc>
        <w:tc>
          <w:tcPr>
            <w:tcW w:w="1250" w:type="pct"/>
            <w:shd w:val="clear" w:color="auto" w:fill="auto"/>
          </w:tcPr>
          <w:p w14:paraId="63586215" w14:textId="77777777" w:rsidR="00DE64BC" w:rsidRPr="00256982" w:rsidRDefault="00DE64BC" w:rsidP="00A808C7">
            <w:pPr>
              <w:pStyle w:val="TableText"/>
              <w:spacing w:before="40" w:after="40"/>
              <w:rPr>
                <w:rFonts w:cs="Arial"/>
                <w:szCs w:val="16"/>
              </w:rPr>
            </w:pPr>
            <w:r w:rsidRPr="00256982">
              <w:rPr>
                <w:rFonts w:cs="Arial"/>
                <w:color w:val="000000"/>
                <w:szCs w:val="16"/>
              </w:rPr>
              <w:t>Other (please specify) – Other (please specify) Solid Fuels</w:t>
            </w:r>
          </w:p>
        </w:tc>
        <w:tc>
          <w:tcPr>
            <w:tcW w:w="325" w:type="pct"/>
            <w:shd w:val="clear" w:color="auto" w:fill="auto"/>
          </w:tcPr>
          <w:p w14:paraId="50B7A5AE" w14:textId="77777777" w:rsidR="00DE64BC" w:rsidRPr="00256982" w:rsidRDefault="00DE64BC" w:rsidP="00A808C7">
            <w:pPr>
              <w:pStyle w:val="TableText"/>
              <w:spacing w:before="40" w:after="40"/>
              <w:jc w:val="center"/>
              <w:rPr>
                <w:rFonts w:cs="Arial"/>
                <w:szCs w:val="16"/>
              </w:rPr>
            </w:pPr>
            <w:r w:rsidRPr="00256982">
              <w:rPr>
                <w:rFonts w:cs="Arial"/>
                <w:color w:val="000000"/>
                <w:szCs w:val="16"/>
              </w:rPr>
              <w:t>CO</w:t>
            </w:r>
            <w:r w:rsidRPr="00256982">
              <w:rPr>
                <w:rFonts w:cs="Arial"/>
                <w:color w:val="000000"/>
                <w:szCs w:val="16"/>
                <w:vertAlign w:val="subscript"/>
              </w:rPr>
              <w:t>2</w:t>
            </w:r>
          </w:p>
        </w:tc>
        <w:tc>
          <w:tcPr>
            <w:tcW w:w="532" w:type="pct"/>
            <w:shd w:val="clear" w:color="auto" w:fill="auto"/>
          </w:tcPr>
          <w:p w14:paraId="305BED30"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731.1</w:t>
            </w:r>
          </w:p>
        </w:tc>
        <w:tc>
          <w:tcPr>
            <w:tcW w:w="520" w:type="pct"/>
            <w:shd w:val="clear" w:color="auto" w:fill="auto"/>
          </w:tcPr>
          <w:p w14:paraId="51A71045"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118.2</w:t>
            </w:r>
          </w:p>
        </w:tc>
        <w:tc>
          <w:tcPr>
            <w:tcW w:w="609" w:type="pct"/>
            <w:shd w:val="clear" w:color="auto" w:fill="auto"/>
          </w:tcPr>
          <w:p w14:paraId="11280BFF"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0.006</w:t>
            </w:r>
          </w:p>
        </w:tc>
        <w:tc>
          <w:tcPr>
            <w:tcW w:w="634" w:type="pct"/>
            <w:shd w:val="clear" w:color="auto" w:fill="auto"/>
          </w:tcPr>
          <w:p w14:paraId="486102D0"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1.2</w:t>
            </w:r>
          </w:p>
        </w:tc>
        <w:tc>
          <w:tcPr>
            <w:tcW w:w="576" w:type="pct"/>
            <w:shd w:val="clear" w:color="auto" w:fill="auto"/>
          </w:tcPr>
          <w:p w14:paraId="4CB5C2D9"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84.0</w:t>
            </w:r>
          </w:p>
        </w:tc>
      </w:tr>
      <w:tr w:rsidR="00DE64BC" w:rsidRPr="00256982" w14:paraId="6A72D39D" w14:textId="77777777" w:rsidTr="009A0D25">
        <w:tc>
          <w:tcPr>
            <w:tcW w:w="554" w:type="pct"/>
          </w:tcPr>
          <w:p w14:paraId="6056E6B7" w14:textId="77777777" w:rsidR="00DE64BC" w:rsidRPr="00256982" w:rsidRDefault="00DE64BC" w:rsidP="00A808C7">
            <w:pPr>
              <w:pStyle w:val="TableText"/>
              <w:spacing w:before="40" w:after="40"/>
              <w:rPr>
                <w:rFonts w:cs="Arial"/>
                <w:szCs w:val="16"/>
              </w:rPr>
            </w:pPr>
            <w:r w:rsidRPr="00256982">
              <w:rPr>
                <w:rFonts w:cs="Arial"/>
                <w:color w:val="000000"/>
                <w:szCs w:val="16"/>
              </w:rPr>
              <w:t>1.A.2.e</w:t>
            </w:r>
          </w:p>
        </w:tc>
        <w:tc>
          <w:tcPr>
            <w:tcW w:w="1250" w:type="pct"/>
            <w:shd w:val="clear" w:color="auto" w:fill="auto"/>
          </w:tcPr>
          <w:p w14:paraId="00DDDA05" w14:textId="77777777" w:rsidR="00DE64BC" w:rsidRPr="00256982" w:rsidRDefault="00DE64BC" w:rsidP="00A808C7">
            <w:pPr>
              <w:pStyle w:val="TableText"/>
              <w:spacing w:before="40" w:after="40"/>
              <w:rPr>
                <w:rFonts w:cs="Arial"/>
                <w:szCs w:val="16"/>
              </w:rPr>
            </w:pPr>
            <w:r w:rsidRPr="00256982">
              <w:rPr>
                <w:rFonts w:cs="Arial"/>
                <w:color w:val="000000"/>
                <w:szCs w:val="16"/>
              </w:rPr>
              <w:t>Manufacturing Industries and Construction – Food Processing, Beverages and Tobacco Solid Fuels</w:t>
            </w:r>
          </w:p>
        </w:tc>
        <w:tc>
          <w:tcPr>
            <w:tcW w:w="325" w:type="pct"/>
            <w:shd w:val="clear" w:color="auto" w:fill="auto"/>
          </w:tcPr>
          <w:p w14:paraId="5A0195A2" w14:textId="77777777" w:rsidR="00DE64BC" w:rsidRPr="00256982" w:rsidRDefault="00DE64BC" w:rsidP="00A808C7">
            <w:pPr>
              <w:pStyle w:val="TableText"/>
              <w:spacing w:before="40" w:after="40"/>
              <w:jc w:val="center"/>
              <w:rPr>
                <w:rFonts w:cs="Arial"/>
                <w:szCs w:val="16"/>
              </w:rPr>
            </w:pPr>
            <w:r w:rsidRPr="00256982">
              <w:rPr>
                <w:rFonts w:cs="Arial"/>
                <w:color w:val="000000"/>
                <w:szCs w:val="16"/>
              </w:rPr>
              <w:t>CO</w:t>
            </w:r>
            <w:r w:rsidRPr="00256982">
              <w:rPr>
                <w:rFonts w:cs="Arial"/>
                <w:color w:val="000000"/>
                <w:szCs w:val="16"/>
                <w:vertAlign w:val="subscript"/>
              </w:rPr>
              <w:t>2</w:t>
            </w:r>
          </w:p>
        </w:tc>
        <w:tc>
          <w:tcPr>
            <w:tcW w:w="532" w:type="pct"/>
            <w:shd w:val="clear" w:color="auto" w:fill="auto"/>
          </w:tcPr>
          <w:p w14:paraId="09D63AF4"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938.6</w:t>
            </w:r>
          </w:p>
        </w:tc>
        <w:tc>
          <w:tcPr>
            <w:tcW w:w="520" w:type="pct"/>
            <w:shd w:val="clear" w:color="auto" w:fill="auto"/>
          </w:tcPr>
          <w:p w14:paraId="7AA04C13"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1,784.0</w:t>
            </w:r>
          </w:p>
        </w:tc>
        <w:tc>
          <w:tcPr>
            <w:tcW w:w="609" w:type="pct"/>
            <w:shd w:val="clear" w:color="auto" w:fill="auto"/>
          </w:tcPr>
          <w:p w14:paraId="72935FE6"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0.005</w:t>
            </w:r>
          </w:p>
        </w:tc>
        <w:tc>
          <w:tcPr>
            <w:tcW w:w="634" w:type="pct"/>
            <w:shd w:val="clear" w:color="auto" w:fill="auto"/>
          </w:tcPr>
          <w:p w14:paraId="1AD2E315"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1.2</w:t>
            </w:r>
          </w:p>
        </w:tc>
        <w:tc>
          <w:tcPr>
            <w:tcW w:w="576" w:type="pct"/>
            <w:shd w:val="clear" w:color="auto" w:fill="auto"/>
          </w:tcPr>
          <w:p w14:paraId="275E5F18"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85.2</w:t>
            </w:r>
          </w:p>
        </w:tc>
      </w:tr>
      <w:tr w:rsidR="00DE64BC" w:rsidRPr="00256982" w14:paraId="0455B8F9" w14:textId="77777777" w:rsidTr="009A0D25">
        <w:tc>
          <w:tcPr>
            <w:tcW w:w="554" w:type="pct"/>
          </w:tcPr>
          <w:p w14:paraId="522D1B34" w14:textId="77777777" w:rsidR="00DE64BC" w:rsidRPr="00256982" w:rsidRDefault="00DE64BC" w:rsidP="00A808C7">
            <w:pPr>
              <w:pStyle w:val="TableText"/>
              <w:spacing w:before="40" w:after="40"/>
              <w:rPr>
                <w:rFonts w:cs="Arial"/>
                <w:szCs w:val="16"/>
              </w:rPr>
            </w:pPr>
            <w:r w:rsidRPr="00256982">
              <w:rPr>
                <w:rFonts w:cs="Arial"/>
                <w:color w:val="000000"/>
                <w:szCs w:val="16"/>
              </w:rPr>
              <w:t>3.H</w:t>
            </w:r>
          </w:p>
        </w:tc>
        <w:tc>
          <w:tcPr>
            <w:tcW w:w="1250" w:type="pct"/>
            <w:shd w:val="clear" w:color="auto" w:fill="auto"/>
          </w:tcPr>
          <w:p w14:paraId="27798CAF" w14:textId="77777777" w:rsidR="00DE64BC" w:rsidRPr="00256982" w:rsidRDefault="00DE64BC" w:rsidP="00A808C7">
            <w:pPr>
              <w:pStyle w:val="TableText"/>
              <w:spacing w:before="40" w:after="40"/>
              <w:rPr>
                <w:rFonts w:cs="Arial"/>
                <w:szCs w:val="16"/>
              </w:rPr>
            </w:pPr>
            <w:r w:rsidRPr="00256982">
              <w:rPr>
                <w:rFonts w:cs="Arial"/>
                <w:color w:val="000000"/>
                <w:szCs w:val="16"/>
              </w:rPr>
              <w:t>Agriculture – Urea Application</w:t>
            </w:r>
          </w:p>
        </w:tc>
        <w:tc>
          <w:tcPr>
            <w:tcW w:w="325" w:type="pct"/>
            <w:shd w:val="clear" w:color="auto" w:fill="auto"/>
          </w:tcPr>
          <w:p w14:paraId="7D16D389" w14:textId="77777777" w:rsidR="00DE64BC" w:rsidRPr="00256982" w:rsidRDefault="00DE64BC" w:rsidP="00A808C7">
            <w:pPr>
              <w:pStyle w:val="TableText"/>
              <w:spacing w:before="40" w:after="40"/>
              <w:jc w:val="center"/>
              <w:rPr>
                <w:rFonts w:cs="Arial"/>
                <w:szCs w:val="16"/>
              </w:rPr>
            </w:pPr>
            <w:r w:rsidRPr="00256982">
              <w:rPr>
                <w:rFonts w:cs="Arial"/>
                <w:color w:val="000000"/>
                <w:szCs w:val="16"/>
              </w:rPr>
              <w:t>CO</w:t>
            </w:r>
            <w:r w:rsidRPr="00256982">
              <w:rPr>
                <w:rFonts w:cs="Arial"/>
                <w:color w:val="000000"/>
                <w:szCs w:val="16"/>
                <w:vertAlign w:val="subscript"/>
              </w:rPr>
              <w:t>2</w:t>
            </w:r>
          </w:p>
        </w:tc>
        <w:tc>
          <w:tcPr>
            <w:tcW w:w="532" w:type="pct"/>
            <w:shd w:val="clear" w:color="auto" w:fill="auto"/>
          </w:tcPr>
          <w:p w14:paraId="6FBE3749"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39.2</w:t>
            </w:r>
          </w:p>
        </w:tc>
        <w:tc>
          <w:tcPr>
            <w:tcW w:w="520" w:type="pct"/>
            <w:shd w:val="clear" w:color="auto" w:fill="auto"/>
          </w:tcPr>
          <w:p w14:paraId="6F5BE9EC"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588.3</w:t>
            </w:r>
          </w:p>
        </w:tc>
        <w:tc>
          <w:tcPr>
            <w:tcW w:w="609" w:type="pct"/>
            <w:shd w:val="clear" w:color="auto" w:fill="auto"/>
          </w:tcPr>
          <w:p w14:paraId="3429ED0F"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0.004</w:t>
            </w:r>
          </w:p>
        </w:tc>
        <w:tc>
          <w:tcPr>
            <w:tcW w:w="634" w:type="pct"/>
            <w:shd w:val="clear" w:color="auto" w:fill="auto"/>
          </w:tcPr>
          <w:p w14:paraId="477828B3"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0.9</w:t>
            </w:r>
          </w:p>
        </w:tc>
        <w:tc>
          <w:tcPr>
            <w:tcW w:w="576" w:type="pct"/>
            <w:shd w:val="clear" w:color="auto" w:fill="auto"/>
          </w:tcPr>
          <w:p w14:paraId="67BE231B"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86.1</w:t>
            </w:r>
          </w:p>
        </w:tc>
      </w:tr>
      <w:tr w:rsidR="00DE64BC" w:rsidRPr="00256982" w14:paraId="411C4D70" w14:textId="77777777" w:rsidTr="009A0D25">
        <w:tc>
          <w:tcPr>
            <w:tcW w:w="554" w:type="pct"/>
          </w:tcPr>
          <w:p w14:paraId="67A5ED17" w14:textId="77777777" w:rsidR="00DE64BC" w:rsidRPr="00256982" w:rsidRDefault="00DE64BC" w:rsidP="00A808C7">
            <w:pPr>
              <w:pStyle w:val="TableText"/>
              <w:keepNext/>
              <w:spacing w:before="40" w:after="40"/>
              <w:rPr>
                <w:rFonts w:cs="Arial"/>
                <w:szCs w:val="16"/>
              </w:rPr>
            </w:pPr>
            <w:r w:rsidRPr="00256982">
              <w:rPr>
                <w:rFonts w:cs="Arial"/>
                <w:color w:val="000000"/>
                <w:szCs w:val="16"/>
              </w:rPr>
              <w:t>5.A</w:t>
            </w:r>
          </w:p>
        </w:tc>
        <w:tc>
          <w:tcPr>
            <w:tcW w:w="1250" w:type="pct"/>
            <w:shd w:val="clear" w:color="auto" w:fill="auto"/>
          </w:tcPr>
          <w:p w14:paraId="638573E1" w14:textId="77777777" w:rsidR="00DE64BC" w:rsidRPr="00256982" w:rsidRDefault="00DE64BC" w:rsidP="00A808C7">
            <w:pPr>
              <w:pStyle w:val="TableText"/>
              <w:spacing w:before="40" w:after="40"/>
              <w:rPr>
                <w:rFonts w:cs="Arial"/>
                <w:szCs w:val="16"/>
              </w:rPr>
            </w:pPr>
            <w:r w:rsidRPr="00256982">
              <w:rPr>
                <w:rFonts w:cs="Arial"/>
                <w:color w:val="000000"/>
                <w:szCs w:val="16"/>
              </w:rPr>
              <w:t>Waste – Solid Waste Disposal</w:t>
            </w:r>
          </w:p>
        </w:tc>
        <w:tc>
          <w:tcPr>
            <w:tcW w:w="325" w:type="pct"/>
            <w:shd w:val="clear" w:color="auto" w:fill="auto"/>
          </w:tcPr>
          <w:p w14:paraId="11BB677E" w14:textId="77777777" w:rsidR="00DE64BC" w:rsidRPr="00256982" w:rsidRDefault="00DE64BC" w:rsidP="00A808C7">
            <w:pPr>
              <w:pStyle w:val="TableText"/>
              <w:spacing w:before="40" w:after="40"/>
              <w:jc w:val="center"/>
              <w:rPr>
                <w:rFonts w:cs="Arial"/>
                <w:szCs w:val="16"/>
              </w:rPr>
            </w:pPr>
            <w:r w:rsidRPr="00256982">
              <w:rPr>
                <w:rFonts w:cs="Arial"/>
                <w:color w:val="000000"/>
                <w:szCs w:val="16"/>
              </w:rPr>
              <w:t>CH</w:t>
            </w:r>
            <w:r w:rsidRPr="00256982">
              <w:rPr>
                <w:rFonts w:cs="Arial"/>
                <w:color w:val="000000"/>
                <w:szCs w:val="16"/>
                <w:vertAlign w:val="subscript"/>
              </w:rPr>
              <w:t>4</w:t>
            </w:r>
          </w:p>
        </w:tc>
        <w:tc>
          <w:tcPr>
            <w:tcW w:w="532" w:type="pct"/>
            <w:shd w:val="clear" w:color="auto" w:fill="auto"/>
          </w:tcPr>
          <w:p w14:paraId="5D7DFDB3"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3,711.3</w:t>
            </w:r>
          </w:p>
        </w:tc>
        <w:tc>
          <w:tcPr>
            <w:tcW w:w="520" w:type="pct"/>
            <w:shd w:val="clear" w:color="auto" w:fill="auto"/>
          </w:tcPr>
          <w:p w14:paraId="457AAD52"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3,724.5</w:t>
            </w:r>
          </w:p>
        </w:tc>
        <w:tc>
          <w:tcPr>
            <w:tcW w:w="609" w:type="pct"/>
            <w:shd w:val="clear" w:color="auto" w:fill="auto"/>
          </w:tcPr>
          <w:p w14:paraId="0E57EED8"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0.004</w:t>
            </w:r>
          </w:p>
        </w:tc>
        <w:tc>
          <w:tcPr>
            <w:tcW w:w="634" w:type="pct"/>
            <w:shd w:val="clear" w:color="auto" w:fill="auto"/>
          </w:tcPr>
          <w:p w14:paraId="5E7295F4"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0.9</w:t>
            </w:r>
          </w:p>
        </w:tc>
        <w:tc>
          <w:tcPr>
            <w:tcW w:w="576" w:type="pct"/>
            <w:shd w:val="clear" w:color="auto" w:fill="auto"/>
          </w:tcPr>
          <w:p w14:paraId="6CEFA866"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87.0</w:t>
            </w:r>
          </w:p>
        </w:tc>
      </w:tr>
      <w:tr w:rsidR="00DE64BC" w:rsidRPr="00256982" w14:paraId="3BE6F5F7" w14:textId="77777777" w:rsidTr="009A0D25">
        <w:tc>
          <w:tcPr>
            <w:tcW w:w="554" w:type="pct"/>
          </w:tcPr>
          <w:p w14:paraId="75D3893E" w14:textId="77777777" w:rsidR="00DE64BC" w:rsidRPr="00256982" w:rsidRDefault="00DE64BC" w:rsidP="00A808C7">
            <w:pPr>
              <w:pStyle w:val="TableText"/>
              <w:spacing w:before="40" w:after="40"/>
              <w:rPr>
                <w:rFonts w:cs="Arial"/>
                <w:szCs w:val="16"/>
              </w:rPr>
            </w:pPr>
            <w:r w:rsidRPr="00256982">
              <w:rPr>
                <w:rFonts w:cs="Arial"/>
                <w:color w:val="000000"/>
                <w:szCs w:val="16"/>
              </w:rPr>
              <w:t>3.D.1.3</w:t>
            </w:r>
          </w:p>
        </w:tc>
        <w:tc>
          <w:tcPr>
            <w:tcW w:w="1250" w:type="pct"/>
            <w:shd w:val="clear" w:color="auto" w:fill="auto"/>
          </w:tcPr>
          <w:p w14:paraId="4F44FB45" w14:textId="77777777" w:rsidR="00DE64BC" w:rsidRPr="00256982" w:rsidRDefault="00DE64BC" w:rsidP="00A808C7">
            <w:pPr>
              <w:pStyle w:val="TableText"/>
              <w:spacing w:before="40" w:after="40"/>
              <w:rPr>
                <w:rFonts w:cs="Arial"/>
                <w:szCs w:val="16"/>
              </w:rPr>
            </w:pPr>
            <w:r w:rsidRPr="00256982">
              <w:rPr>
                <w:rFonts w:cs="Arial"/>
                <w:color w:val="000000"/>
                <w:szCs w:val="16"/>
              </w:rPr>
              <w:t>Direct N</w:t>
            </w:r>
            <w:r w:rsidRPr="00256982">
              <w:rPr>
                <w:rFonts w:cs="Arial"/>
                <w:color w:val="000000"/>
                <w:szCs w:val="16"/>
                <w:vertAlign w:val="subscript"/>
              </w:rPr>
              <w:t>2</w:t>
            </w:r>
            <w:r w:rsidRPr="00256982">
              <w:rPr>
                <w:rFonts w:cs="Arial"/>
                <w:color w:val="000000"/>
                <w:szCs w:val="16"/>
              </w:rPr>
              <w:t>O Emissions From Managed Soils – Urine and Dung Deposited by Grazing Animals</w:t>
            </w:r>
          </w:p>
        </w:tc>
        <w:tc>
          <w:tcPr>
            <w:tcW w:w="325" w:type="pct"/>
            <w:shd w:val="clear" w:color="auto" w:fill="auto"/>
          </w:tcPr>
          <w:p w14:paraId="246867B3" w14:textId="77777777" w:rsidR="00DE64BC" w:rsidRPr="00256982" w:rsidRDefault="00DE64BC" w:rsidP="00A808C7">
            <w:pPr>
              <w:pStyle w:val="TableText"/>
              <w:spacing w:before="40" w:after="40"/>
              <w:jc w:val="center"/>
              <w:rPr>
                <w:rFonts w:cs="Arial"/>
                <w:szCs w:val="16"/>
              </w:rPr>
            </w:pPr>
            <w:r w:rsidRPr="00256982">
              <w:rPr>
                <w:rFonts w:cs="Arial"/>
                <w:color w:val="000000"/>
                <w:szCs w:val="16"/>
              </w:rPr>
              <w:t>N</w:t>
            </w:r>
            <w:r w:rsidRPr="00256982">
              <w:rPr>
                <w:rFonts w:cs="Arial"/>
                <w:color w:val="000000"/>
                <w:szCs w:val="16"/>
                <w:vertAlign w:val="subscript"/>
              </w:rPr>
              <w:t>2</w:t>
            </w:r>
            <w:r w:rsidRPr="00256982">
              <w:rPr>
                <w:rFonts w:cs="Arial"/>
                <w:color w:val="000000"/>
                <w:szCs w:val="16"/>
              </w:rPr>
              <w:t>O</w:t>
            </w:r>
          </w:p>
        </w:tc>
        <w:tc>
          <w:tcPr>
            <w:tcW w:w="532" w:type="pct"/>
            <w:shd w:val="clear" w:color="auto" w:fill="auto"/>
          </w:tcPr>
          <w:p w14:paraId="545F0B81"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5,138.4</w:t>
            </w:r>
          </w:p>
        </w:tc>
        <w:tc>
          <w:tcPr>
            <w:tcW w:w="520" w:type="pct"/>
            <w:shd w:val="clear" w:color="auto" w:fill="auto"/>
          </w:tcPr>
          <w:p w14:paraId="5D4926A8"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5,435.3</w:t>
            </w:r>
          </w:p>
        </w:tc>
        <w:tc>
          <w:tcPr>
            <w:tcW w:w="609" w:type="pct"/>
            <w:shd w:val="clear" w:color="auto" w:fill="auto"/>
          </w:tcPr>
          <w:p w14:paraId="5A5CF038"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0.004</w:t>
            </w:r>
          </w:p>
        </w:tc>
        <w:tc>
          <w:tcPr>
            <w:tcW w:w="634" w:type="pct"/>
            <w:shd w:val="clear" w:color="auto" w:fill="auto"/>
          </w:tcPr>
          <w:p w14:paraId="3A78717B"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0.8</w:t>
            </w:r>
          </w:p>
        </w:tc>
        <w:tc>
          <w:tcPr>
            <w:tcW w:w="576" w:type="pct"/>
            <w:shd w:val="clear" w:color="auto" w:fill="auto"/>
          </w:tcPr>
          <w:p w14:paraId="39A64D0E"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87.7</w:t>
            </w:r>
          </w:p>
        </w:tc>
      </w:tr>
      <w:tr w:rsidR="00DE64BC" w:rsidRPr="00256982" w14:paraId="28F054BE" w14:textId="77777777" w:rsidTr="009A0D25">
        <w:tc>
          <w:tcPr>
            <w:tcW w:w="554" w:type="pct"/>
          </w:tcPr>
          <w:p w14:paraId="2676E371" w14:textId="77777777" w:rsidR="00DE64BC" w:rsidRPr="00256982" w:rsidRDefault="00DE64BC" w:rsidP="00A808C7">
            <w:pPr>
              <w:pStyle w:val="TableText"/>
              <w:spacing w:before="40" w:after="40"/>
              <w:rPr>
                <w:rFonts w:cs="Arial"/>
                <w:szCs w:val="16"/>
              </w:rPr>
            </w:pPr>
            <w:r w:rsidRPr="00256982">
              <w:rPr>
                <w:rFonts w:cs="Arial"/>
                <w:color w:val="000000"/>
                <w:szCs w:val="16"/>
              </w:rPr>
              <w:t>1.A.2.e</w:t>
            </w:r>
          </w:p>
        </w:tc>
        <w:tc>
          <w:tcPr>
            <w:tcW w:w="1250" w:type="pct"/>
            <w:shd w:val="clear" w:color="auto" w:fill="auto"/>
          </w:tcPr>
          <w:p w14:paraId="3A00304E" w14:textId="77777777" w:rsidR="00DE64BC" w:rsidRPr="00256982" w:rsidRDefault="00DE64BC" w:rsidP="00A808C7">
            <w:pPr>
              <w:pStyle w:val="TableText"/>
              <w:spacing w:before="40" w:after="40"/>
              <w:rPr>
                <w:rFonts w:cs="Arial"/>
                <w:szCs w:val="16"/>
              </w:rPr>
            </w:pPr>
            <w:r w:rsidRPr="00256982">
              <w:rPr>
                <w:rFonts w:cs="Arial"/>
                <w:color w:val="000000"/>
                <w:szCs w:val="16"/>
              </w:rPr>
              <w:t>Manufacturing Industries and Construction – Food Processing, Beverages and Tobacco Gaseous Fuels</w:t>
            </w:r>
          </w:p>
        </w:tc>
        <w:tc>
          <w:tcPr>
            <w:tcW w:w="325" w:type="pct"/>
            <w:shd w:val="clear" w:color="auto" w:fill="auto"/>
          </w:tcPr>
          <w:p w14:paraId="3449FA67" w14:textId="77777777" w:rsidR="00DE64BC" w:rsidRPr="00256982" w:rsidRDefault="00DE64BC" w:rsidP="00A808C7">
            <w:pPr>
              <w:pStyle w:val="TableText"/>
              <w:spacing w:before="40" w:after="40"/>
              <w:jc w:val="center"/>
              <w:rPr>
                <w:rFonts w:cs="Arial"/>
                <w:szCs w:val="16"/>
              </w:rPr>
            </w:pPr>
            <w:r w:rsidRPr="00256982">
              <w:rPr>
                <w:rFonts w:cs="Arial"/>
                <w:color w:val="000000"/>
                <w:szCs w:val="16"/>
              </w:rPr>
              <w:t>CO</w:t>
            </w:r>
            <w:r w:rsidRPr="00256982">
              <w:rPr>
                <w:rFonts w:cs="Arial"/>
                <w:color w:val="000000"/>
                <w:szCs w:val="16"/>
                <w:vertAlign w:val="subscript"/>
              </w:rPr>
              <w:t>2</w:t>
            </w:r>
          </w:p>
        </w:tc>
        <w:tc>
          <w:tcPr>
            <w:tcW w:w="532" w:type="pct"/>
            <w:shd w:val="clear" w:color="auto" w:fill="auto"/>
          </w:tcPr>
          <w:p w14:paraId="151801A2"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445.1</w:t>
            </w:r>
          </w:p>
        </w:tc>
        <w:tc>
          <w:tcPr>
            <w:tcW w:w="520" w:type="pct"/>
            <w:shd w:val="clear" w:color="auto" w:fill="auto"/>
          </w:tcPr>
          <w:p w14:paraId="550370E0"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954.9</w:t>
            </w:r>
          </w:p>
        </w:tc>
        <w:tc>
          <w:tcPr>
            <w:tcW w:w="609" w:type="pct"/>
            <w:shd w:val="clear" w:color="auto" w:fill="auto"/>
          </w:tcPr>
          <w:p w14:paraId="000E3717"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0.003</w:t>
            </w:r>
          </w:p>
        </w:tc>
        <w:tc>
          <w:tcPr>
            <w:tcW w:w="634" w:type="pct"/>
            <w:shd w:val="clear" w:color="auto" w:fill="auto"/>
          </w:tcPr>
          <w:p w14:paraId="3C642E8B"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0.8</w:t>
            </w:r>
          </w:p>
        </w:tc>
        <w:tc>
          <w:tcPr>
            <w:tcW w:w="576" w:type="pct"/>
            <w:shd w:val="clear" w:color="auto" w:fill="auto"/>
          </w:tcPr>
          <w:p w14:paraId="6A5A6562"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88.5</w:t>
            </w:r>
          </w:p>
        </w:tc>
      </w:tr>
      <w:tr w:rsidR="00DE64BC" w:rsidRPr="00256982" w14:paraId="791650B8" w14:textId="77777777" w:rsidTr="009A0D25">
        <w:tc>
          <w:tcPr>
            <w:tcW w:w="554" w:type="pct"/>
          </w:tcPr>
          <w:p w14:paraId="26EFC555" w14:textId="77777777" w:rsidR="00DE64BC" w:rsidRPr="00256982" w:rsidRDefault="00DE64BC" w:rsidP="00A808C7">
            <w:pPr>
              <w:pStyle w:val="TableText"/>
              <w:spacing w:before="40" w:after="40"/>
              <w:rPr>
                <w:rFonts w:cs="Arial"/>
                <w:szCs w:val="16"/>
              </w:rPr>
            </w:pPr>
            <w:r w:rsidRPr="00256982">
              <w:rPr>
                <w:rFonts w:cs="Arial"/>
                <w:color w:val="000000"/>
                <w:szCs w:val="16"/>
              </w:rPr>
              <w:t>1.A.1.a</w:t>
            </w:r>
          </w:p>
        </w:tc>
        <w:tc>
          <w:tcPr>
            <w:tcW w:w="1250" w:type="pct"/>
            <w:shd w:val="clear" w:color="auto" w:fill="auto"/>
          </w:tcPr>
          <w:p w14:paraId="57720C38" w14:textId="77777777" w:rsidR="00DE64BC" w:rsidRPr="00256982" w:rsidRDefault="00DE64BC" w:rsidP="00A808C7">
            <w:pPr>
              <w:pStyle w:val="TableText"/>
              <w:spacing w:before="40" w:after="40"/>
              <w:rPr>
                <w:rFonts w:cs="Arial"/>
                <w:szCs w:val="16"/>
              </w:rPr>
            </w:pPr>
            <w:r w:rsidRPr="00256982">
              <w:rPr>
                <w:rFonts w:cs="Arial"/>
                <w:color w:val="000000"/>
                <w:szCs w:val="16"/>
              </w:rPr>
              <w:t>Energy Industries – Public Electricity and Heat Production Gaseous Fuels</w:t>
            </w:r>
          </w:p>
        </w:tc>
        <w:tc>
          <w:tcPr>
            <w:tcW w:w="325" w:type="pct"/>
            <w:shd w:val="clear" w:color="auto" w:fill="auto"/>
          </w:tcPr>
          <w:p w14:paraId="4D4B9EFA" w14:textId="77777777" w:rsidR="00DE64BC" w:rsidRPr="00256982" w:rsidRDefault="00DE64BC" w:rsidP="00A808C7">
            <w:pPr>
              <w:pStyle w:val="TableText"/>
              <w:spacing w:before="40" w:after="40"/>
              <w:jc w:val="center"/>
              <w:rPr>
                <w:rFonts w:cs="Arial"/>
                <w:szCs w:val="16"/>
              </w:rPr>
            </w:pPr>
            <w:r w:rsidRPr="00256982">
              <w:rPr>
                <w:rFonts w:cs="Arial"/>
                <w:color w:val="000000"/>
                <w:szCs w:val="16"/>
              </w:rPr>
              <w:t>CO</w:t>
            </w:r>
            <w:r w:rsidRPr="00256982">
              <w:rPr>
                <w:rFonts w:cs="Arial"/>
                <w:color w:val="000000"/>
                <w:szCs w:val="16"/>
                <w:vertAlign w:val="subscript"/>
              </w:rPr>
              <w:t>2</w:t>
            </w:r>
          </w:p>
        </w:tc>
        <w:tc>
          <w:tcPr>
            <w:tcW w:w="532" w:type="pct"/>
            <w:shd w:val="clear" w:color="auto" w:fill="auto"/>
          </w:tcPr>
          <w:p w14:paraId="691EC678"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3,011.8</w:t>
            </w:r>
          </w:p>
        </w:tc>
        <w:tc>
          <w:tcPr>
            <w:tcW w:w="520" w:type="pct"/>
            <w:shd w:val="clear" w:color="auto" w:fill="auto"/>
          </w:tcPr>
          <w:p w14:paraId="5CB0C7C7"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3,065.2</w:t>
            </w:r>
          </w:p>
        </w:tc>
        <w:tc>
          <w:tcPr>
            <w:tcW w:w="609" w:type="pct"/>
            <w:shd w:val="clear" w:color="auto" w:fill="auto"/>
          </w:tcPr>
          <w:p w14:paraId="04ED0380"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0.003</w:t>
            </w:r>
          </w:p>
        </w:tc>
        <w:tc>
          <w:tcPr>
            <w:tcW w:w="634" w:type="pct"/>
            <w:shd w:val="clear" w:color="auto" w:fill="auto"/>
          </w:tcPr>
          <w:p w14:paraId="13ABEFB0"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0.7</w:t>
            </w:r>
          </w:p>
        </w:tc>
        <w:tc>
          <w:tcPr>
            <w:tcW w:w="576" w:type="pct"/>
            <w:shd w:val="clear" w:color="auto" w:fill="auto"/>
          </w:tcPr>
          <w:p w14:paraId="4616F087"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89.2</w:t>
            </w:r>
          </w:p>
        </w:tc>
      </w:tr>
      <w:tr w:rsidR="00DE64BC" w:rsidRPr="00256982" w14:paraId="1261290A" w14:textId="77777777" w:rsidTr="009A0D25">
        <w:tc>
          <w:tcPr>
            <w:tcW w:w="554" w:type="pct"/>
          </w:tcPr>
          <w:p w14:paraId="68238F56" w14:textId="77777777" w:rsidR="00DE64BC" w:rsidRPr="00256982" w:rsidRDefault="00DE64BC" w:rsidP="00A808C7">
            <w:pPr>
              <w:pStyle w:val="TableText"/>
              <w:keepNext/>
              <w:spacing w:before="40" w:after="40"/>
              <w:rPr>
                <w:rFonts w:cs="Arial"/>
                <w:szCs w:val="16"/>
              </w:rPr>
            </w:pPr>
            <w:r w:rsidRPr="00256982">
              <w:rPr>
                <w:rFonts w:cs="Arial"/>
                <w:color w:val="000000"/>
                <w:szCs w:val="16"/>
              </w:rPr>
              <w:lastRenderedPageBreak/>
              <w:t>1.B.2.d</w:t>
            </w:r>
          </w:p>
        </w:tc>
        <w:tc>
          <w:tcPr>
            <w:tcW w:w="1250" w:type="pct"/>
            <w:shd w:val="clear" w:color="auto" w:fill="auto"/>
          </w:tcPr>
          <w:p w14:paraId="373ED70B" w14:textId="77777777" w:rsidR="00DE64BC" w:rsidRPr="00256982" w:rsidRDefault="00DE64BC" w:rsidP="00A808C7">
            <w:pPr>
              <w:pStyle w:val="TableText"/>
              <w:spacing w:before="40" w:after="40"/>
              <w:rPr>
                <w:rFonts w:cs="Arial"/>
                <w:szCs w:val="16"/>
              </w:rPr>
            </w:pPr>
            <w:r w:rsidRPr="00256982">
              <w:rPr>
                <w:rFonts w:cs="Arial"/>
                <w:color w:val="000000"/>
                <w:szCs w:val="16"/>
              </w:rPr>
              <w:t>Other (please specify) – Geothermal</w:t>
            </w:r>
          </w:p>
        </w:tc>
        <w:tc>
          <w:tcPr>
            <w:tcW w:w="325" w:type="pct"/>
            <w:shd w:val="clear" w:color="auto" w:fill="auto"/>
          </w:tcPr>
          <w:p w14:paraId="00CCA40E" w14:textId="77777777" w:rsidR="00DE64BC" w:rsidRPr="00256982" w:rsidRDefault="00DE64BC" w:rsidP="00A808C7">
            <w:pPr>
              <w:pStyle w:val="TableText"/>
              <w:spacing w:before="40" w:after="40"/>
              <w:jc w:val="center"/>
              <w:rPr>
                <w:rFonts w:cs="Arial"/>
                <w:szCs w:val="16"/>
              </w:rPr>
            </w:pPr>
            <w:r w:rsidRPr="00256982">
              <w:rPr>
                <w:rFonts w:cs="Arial"/>
                <w:color w:val="000000"/>
                <w:szCs w:val="16"/>
              </w:rPr>
              <w:t>CO</w:t>
            </w:r>
            <w:r w:rsidRPr="00256982">
              <w:rPr>
                <w:rFonts w:cs="Arial"/>
                <w:color w:val="000000"/>
                <w:szCs w:val="16"/>
                <w:vertAlign w:val="subscript"/>
              </w:rPr>
              <w:t>2</w:t>
            </w:r>
          </w:p>
        </w:tc>
        <w:tc>
          <w:tcPr>
            <w:tcW w:w="532" w:type="pct"/>
            <w:shd w:val="clear" w:color="auto" w:fill="auto"/>
          </w:tcPr>
          <w:p w14:paraId="45BE6582"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228.6</w:t>
            </w:r>
          </w:p>
        </w:tc>
        <w:tc>
          <w:tcPr>
            <w:tcW w:w="520" w:type="pct"/>
            <w:shd w:val="clear" w:color="auto" w:fill="auto"/>
          </w:tcPr>
          <w:p w14:paraId="3448FD73"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643.3</w:t>
            </w:r>
          </w:p>
        </w:tc>
        <w:tc>
          <w:tcPr>
            <w:tcW w:w="609" w:type="pct"/>
            <w:shd w:val="clear" w:color="auto" w:fill="auto"/>
          </w:tcPr>
          <w:p w14:paraId="6F30062E"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0.003</w:t>
            </w:r>
          </w:p>
        </w:tc>
        <w:tc>
          <w:tcPr>
            <w:tcW w:w="634" w:type="pct"/>
            <w:shd w:val="clear" w:color="auto" w:fill="auto"/>
          </w:tcPr>
          <w:p w14:paraId="206A1803"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0.6</w:t>
            </w:r>
          </w:p>
        </w:tc>
        <w:tc>
          <w:tcPr>
            <w:tcW w:w="576" w:type="pct"/>
            <w:shd w:val="clear" w:color="auto" w:fill="auto"/>
          </w:tcPr>
          <w:p w14:paraId="2127E3F6"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89.8</w:t>
            </w:r>
          </w:p>
        </w:tc>
      </w:tr>
      <w:tr w:rsidR="00DE64BC" w:rsidRPr="00256982" w14:paraId="21CD1FA0" w14:textId="77777777" w:rsidTr="009A0D25">
        <w:tc>
          <w:tcPr>
            <w:tcW w:w="554" w:type="pct"/>
          </w:tcPr>
          <w:p w14:paraId="347021DA" w14:textId="77777777" w:rsidR="00DE64BC" w:rsidRPr="00256982" w:rsidRDefault="00DE64BC" w:rsidP="00A808C7">
            <w:pPr>
              <w:pStyle w:val="TableText"/>
              <w:spacing w:before="40" w:after="40"/>
              <w:rPr>
                <w:rFonts w:cs="Arial"/>
                <w:szCs w:val="16"/>
              </w:rPr>
            </w:pPr>
            <w:r w:rsidRPr="00256982">
              <w:rPr>
                <w:rFonts w:cs="Arial"/>
                <w:color w:val="000000"/>
                <w:szCs w:val="16"/>
              </w:rPr>
              <w:t>1.A.4.b</w:t>
            </w:r>
          </w:p>
        </w:tc>
        <w:tc>
          <w:tcPr>
            <w:tcW w:w="1250" w:type="pct"/>
            <w:shd w:val="clear" w:color="auto" w:fill="auto"/>
          </w:tcPr>
          <w:p w14:paraId="4CCF6B08" w14:textId="77777777" w:rsidR="00DE64BC" w:rsidRPr="00256982" w:rsidRDefault="00DE64BC" w:rsidP="00A808C7">
            <w:pPr>
              <w:pStyle w:val="TableText"/>
              <w:spacing w:before="40" w:after="40"/>
              <w:rPr>
                <w:rFonts w:cs="Arial"/>
                <w:szCs w:val="16"/>
              </w:rPr>
            </w:pPr>
            <w:r w:rsidRPr="00256982">
              <w:rPr>
                <w:rFonts w:cs="Arial"/>
                <w:color w:val="000000"/>
                <w:szCs w:val="16"/>
              </w:rPr>
              <w:t>Other Sectors – Residential Solid Fuels</w:t>
            </w:r>
          </w:p>
        </w:tc>
        <w:tc>
          <w:tcPr>
            <w:tcW w:w="325" w:type="pct"/>
            <w:shd w:val="clear" w:color="auto" w:fill="auto"/>
          </w:tcPr>
          <w:p w14:paraId="4C49ECA5" w14:textId="77777777" w:rsidR="00DE64BC" w:rsidRPr="00256982" w:rsidRDefault="00DE64BC" w:rsidP="00A808C7">
            <w:pPr>
              <w:pStyle w:val="TableText"/>
              <w:spacing w:before="40" w:after="40"/>
              <w:jc w:val="center"/>
              <w:rPr>
                <w:rFonts w:cs="Arial"/>
                <w:szCs w:val="16"/>
              </w:rPr>
            </w:pPr>
            <w:r w:rsidRPr="00256982">
              <w:rPr>
                <w:rFonts w:cs="Arial"/>
                <w:color w:val="000000"/>
                <w:szCs w:val="16"/>
              </w:rPr>
              <w:t>CO</w:t>
            </w:r>
            <w:r w:rsidRPr="00256982">
              <w:rPr>
                <w:rFonts w:cs="Arial"/>
                <w:color w:val="000000"/>
                <w:szCs w:val="16"/>
                <w:vertAlign w:val="subscript"/>
              </w:rPr>
              <w:t>2</w:t>
            </w:r>
          </w:p>
        </w:tc>
        <w:tc>
          <w:tcPr>
            <w:tcW w:w="532" w:type="pct"/>
            <w:shd w:val="clear" w:color="auto" w:fill="auto"/>
          </w:tcPr>
          <w:p w14:paraId="4B084E82"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344.9</w:t>
            </w:r>
          </w:p>
        </w:tc>
        <w:tc>
          <w:tcPr>
            <w:tcW w:w="520" w:type="pct"/>
            <w:shd w:val="clear" w:color="auto" w:fill="auto"/>
          </w:tcPr>
          <w:p w14:paraId="18B89F88"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25.4</w:t>
            </w:r>
          </w:p>
        </w:tc>
        <w:tc>
          <w:tcPr>
            <w:tcW w:w="609" w:type="pct"/>
            <w:shd w:val="clear" w:color="auto" w:fill="auto"/>
          </w:tcPr>
          <w:p w14:paraId="7DCCD0C3"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0.003</w:t>
            </w:r>
          </w:p>
        </w:tc>
        <w:tc>
          <w:tcPr>
            <w:tcW w:w="634" w:type="pct"/>
            <w:shd w:val="clear" w:color="auto" w:fill="auto"/>
          </w:tcPr>
          <w:p w14:paraId="3571B70F"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0.6</w:t>
            </w:r>
          </w:p>
        </w:tc>
        <w:tc>
          <w:tcPr>
            <w:tcW w:w="576" w:type="pct"/>
            <w:shd w:val="clear" w:color="auto" w:fill="auto"/>
          </w:tcPr>
          <w:p w14:paraId="66889BC7"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90.4</w:t>
            </w:r>
          </w:p>
        </w:tc>
      </w:tr>
      <w:tr w:rsidR="00DE64BC" w:rsidRPr="00256982" w14:paraId="61F71EBE" w14:textId="77777777" w:rsidTr="009A0D25">
        <w:tc>
          <w:tcPr>
            <w:tcW w:w="554" w:type="pct"/>
          </w:tcPr>
          <w:p w14:paraId="5542FA0A" w14:textId="77777777" w:rsidR="00DE64BC" w:rsidRPr="00256982" w:rsidRDefault="00DE64BC" w:rsidP="00A808C7">
            <w:pPr>
              <w:pStyle w:val="TableText"/>
              <w:spacing w:before="40" w:after="40"/>
              <w:rPr>
                <w:rFonts w:cs="Arial"/>
                <w:szCs w:val="16"/>
              </w:rPr>
            </w:pPr>
            <w:r w:rsidRPr="00256982">
              <w:rPr>
                <w:rFonts w:cs="Arial"/>
                <w:color w:val="000000"/>
                <w:szCs w:val="16"/>
              </w:rPr>
              <w:t>1.B.1.a.1</w:t>
            </w:r>
          </w:p>
        </w:tc>
        <w:tc>
          <w:tcPr>
            <w:tcW w:w="1250" w:type="pct"/>
            <w:shd w:val="clear" w:color="auto" w:fill="auto"/>
          </w:tcPr>
          <w:p w14:paraId="057F4553" w14:textId="77777777" w:rsidR="00DE64BC" w:rsidRPr="00256982" w:rsidRDefault="00DE64BC" w:rsidP="00A808C7">
            <w:pPr>
              <w:pStyle w:val="TableText"/>
              <w:spacing w:before="40" w:after="40"/>
              <w:rPr>
                <w:rFonts w:cs="Arial"/>
                <w:szCs w:val="16"/>
              </w:rPr>
            </w:pPr>
            <w:r w:rsidRPr="00256982">
              <w:rPr>
                <w:rFonts w:cs="Arial"/>
                <w:color w:val="000000"/>
                <w:szCs w:val="16"/>
              </w:rPr>
              <w:t>Coal Mining and Handling – Underground Mines</w:t>
            </w:r>
          </w:p>
        </w:tc>
        <w:tc>
          <w:tcPr>
            <w:tcW w:w="325" w:type="pct"/>
            <w:shd w:val="clear" w:color="auto" w:fill="auto"/>
          </w:tcPr>
          <w:p w14:paraId="7E934602" w14:textId="77777777" w:rsidR="00DE64BC" w:rsidRPr="00256982" w:rsidRDefault="00DE64BC" w:rsidP="00A808C7">
            <w:pPr>
              <w:pStyle w:val="TableText"/>
              <w:spacing w:before="40" w:after="40"/>
              <w:jc w:val="center"/>
              <w:rPr>
                <w:rFonts w:cs="Arial"/>
                <w:szCs w:val="16"/>
              </w:rPr>
            </w:pPr>
            <w:r w:rsidRPr="00256982">
              <w:rPr>
                <w:rFonts w:cs="Arial"/>
                <w:color w:val="000000"/>
                <w:szCs w:val="16"/>
              </w:rPr>
              <w:t>CH</w:t>
            </w:r>
            <w:r w:rsidRPr="00256982">
              <w:rPr>
                <w:rFonts w:cs="Arial"/>
                <w:color w:val="000000"/>
                <w:szCs w:val="16"/>
                <w:vertAlign w:val="subscript"/>
              </w:rPr>
              <w:t>4</w:t>
            </w:r>
          </w:p>
        </w:tc>
        <w:tc>
          <w:tcPr>
            <w:tcW w:w="532" w:type="pct"/>
            <w:shd w:val="clear" w:color="auto" w:fill="auto"/>
          </w:tcPr>
          <w:p w14:paraId="72F1B827"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289.6</w:t>
            </w:r>
          </w:p>
        </w:tc>
        <w:tc>
          <w:tcPr>
            <w:tcW w:w="520" w:type="pct"/>
            <w:shd w:val="clear" w:color="auto" w:fill="auto"/>
          </w:tcPr>
          <w:p w14:paraId="3E32B311"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71.9</w:t>
            </w:r>
          </w:p>
        </w:tc>
        <w:tc>
          <w:tcPr>
            <w:tcW w:w="609" w:type="pct"/>
            <w:shd w:val="clear" w:color="auto" w:fill="auto"/>
          </w:tcPr>
          <w:p w14:paraId="3A0C799A"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0.002</w:t>
            </w:r>
          </w:p>
        </w:tc>
        <w:tc>
          <w:tcPr>
            <w:tcW w:w="634" w:type="pct"/>
            <w:shd w:val="clear" w:color="auto" w:fill="auto"/>
          </w:tcPr>
          <w:p w14:paraId="0BA1EE67"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0.4</w:t>
            </w:r>
          </w:p>
        </w:tc>
        <w:tc>
          <w:tcPr>
            <w:tcW w:w="576" w:type="pct"/>
            <w:shd w:val="clear" w:color="auto" w:fill="auto"/>
          </w:tcPr>
          <w:p w14:paraId="5E4396A5"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90.9</w:t>
            </w:r>
          </w:p>
        </w:tc>
      </w:tr>
      <w:tr w:rsidR="00DE64BC" w:rsidRPr="00256982" w14:paraId="1371F195" w14:textId="77777777" w:rsidTr="009A0D25">
        <w:tc>
          <w:tcPr>
            <w:tcW w:w="554" w:type="pct"/>
          </w:tcPr>
          <w:p w14:paraId="606340F4" w14:textId="77777777" w:rsidR="00DE64BC" w:rsidRPr="00256982" w:rsidRDefault="00DE64BC" w:rsidP="00A808C7">
            <w:pPr>
              <w:pStyle w:val="TableText"/>
              <w:spacing w:before="40" w:after="40"/>
              <w:rPr>
                <w:rFonts w:cs="Arial"/>
                <w:szCs w:val="16"/>
              </w:rPr>
            </w:pPr>
            <w:r w:rsidRPr="00256982">
              <w:rPr>
                <w:rFonts w:cs="Arial"/>
                <w:color w:val="000000"/>
                <w:szCs w:val="16"/>
              </w:rPr>
              <w:t>2.C.1</w:t>
            </w:r>
          </w:p>
        </w:tc>
        <w:tc>
          <w:tcPr>
            <w:tcW w:w="1250" w:type="pct"/>
            <w:shd w:val="clear" w:color="auto" w:fill="auto"/>
          </w:tcPr>
          <w:p w14:paraId="5ABFB9FD" w14:textId="77777777" w:rsidR="00DE64BC" w:rsidRPr="00256982" w:rsidRDefault="00DE64BC" w:rsidP="00A808C7">
            <w:pPr>
              <w:pStyle w:val="TableText"/>
              <w:spacing w:before="40" w:after="40"/>
              <w:rPr>
                <w:rFonts w:cs="Arial"/>
                <w:szCs w:val="16"/>
              </w:rPr>
            </w:pPr>
            <w:r w:rsidRPr="00256982">
              <w:rPr>
                <w:rFonts w:cs="Arial"/>
                <w:color w:val="000000"/>
                <w:szCs w:val="16"/>
              </w:rPr>
              <w:t>Metal Industry – Iron and Steel Production</w:t>
            </w:r>
          </w:p>
        </w:tc>
        <w:tc>
          <w:tcPr>
            <w:tcW w:w="325" w:type="pct"/>
            <w:shd w:val="clear" w:color="auto" w:fill="auto"/>
          </w:tcPr>
          <w:p w14:paraId="084F0797" w14:textId="77777777" w:rsidR="00DE64BC" w:rsidRPr="00256982" w:rsidRDefault="00DE64BC" w:rsidP="00A808C7">
            <w:pPr>
              <w:pStyle w:val="TableText"/>
              <w:spacing w:before="40" w:after="40"/>
              <w:jc w:val="center"/>
              <w:rPr>
                <w:rFonts w:cs="Arial"/>
                <w:szCs w:val="16"/>
              </w:rPr>
            </w:pPr>
            <w:r w:rsidRPr="00256982">
              <w:rPr>
                <w:rFonts w:cs="Arial"/>
                <w:color w:val="000000"/>
                <w:szCs w:val="16"/>
              </w:rPr>
              <w:t>CO</w:t>
            </w:r>
            <w:r w:rsidRPr="00256982">
              <w:rPr>
                <w:rFonts w:cs="Arial"/>
                <w:color w:val="000000"/>
                <w:szCs w:val="16"/>
                <w:vertAlign w:val="subscript"/>
              </w:rPr>
              <w:t>2</w:t>
            </w:r>
          </w:p>
        </w:tc>
        <w:tc>
          <w:tcPr>
            <w:tcW w:w="532" w:type="pct"/>
            <w:shd w:val="clear" w:color="auto" w:fill="auto"/>
          </w:tcPr>
          <w:p w14:paraId="5AE2D5D0"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1,306.7</w:t>
            </w:r>
          </w:p>
        </w:tc>
        <w:tc>
          <w:tcPr>
            <w:tcW w:w="520" w:type="pct"/>
            <w:shd w:val="clear" w:color="auto" w:fill="auto"/>
          </w:tcPr>
          <w:p w14:paraId="4B3181FA"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1,758.3</w:t>
            </w:r>
          </w:p>
        </w:tc>
        <w:tc>
          <w:tcPr>
            <w:tcW w:w="609" w:type="pct"/>
            <w:shd w:val="clear" w:color="auto" w:fill="auto"/>
          </w:tcPr>
          <w:p w14:paraId="45541F7F"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0.002</w:t>
            </w:r>
          </w:p>
        </w:tc>
        <w:tc>
          <w:tcPr>
            <w:tcW w:w="634" w:type="pct"/>
            <w:shd w:val="clear" w:color="auto" w:fill="auto"/>
          </w:tcPr>
          <w:p w14:paraId="47493682"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0.4</w:t>
            </w:r>
          </w:p>
        </w:tc>
        <w:tc>
          <w:tcPr>
            <w:tcW w:w="576" w:type="pct"/>
            <w:shd w:val="clear" w:color="auto" w:fill="auto"/>
          </w:tcPr>
          <w:p w14:paraId="5EBCFE3A"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91.3</w:t>
            </w:r>
          </w:p>
        </w:tc>
      </w:tr>
      <w:tr w:rsidR="00DE64BC" w:rsidRPr="00256982" w14:paraId="636F8E21" w14:textId="77777777" w:rsidTr="009A0D25">
        <w:tc>
          <w:tcPr>
            <w:tcW w:w="554" w:type="pct"/>
          </w:tcPr>
          <w:p w14:paraId="154D93EF" w14:textId="77777777" w:rsidR="00DE64BC" w:rsidRPr="00256982" w:rsidRDefault="00DE64BC" w:rsidP="00A808C7">
            <w:pPr>
              <w:pStyle w:val="TableText"/>
              <w:spacing w:before="40" w:after="40"/>
              <w:rPr>
                <w:rFonts w:cs="Arial"/>
                <w:szCs w:val="16"/>
              </w:rPr>
            </w:pPr>
            <w:r w:rsidRPr="00256982">
              <w:rPr>
                <w:rFonts w:cs="Arial"/>
                <w:color w:val="000000"/>
                <w:szCs w:val="16"/>
              </w:rPr>
              <w:t>1.A.1.b</w:t>
            </w:r>
          </w:p>
        </w:tc>
        <w:tc>
          <w:tcPr>
            <w:tcW w:w="1250" w:type="pct"/>
            <w:shd w:val="clear" w:color="auto" w:fill="auto"/>
          </w:tcPr>
          <w:p w14:paraId="5C30F125" w14:textId="77777777" w:rsidR="00DE64BC" w:rsidRPr="00256982" w:rsidRDefault="00DE64BC" w:rsidP="00A808C7">
            <w:pPr>
              <w:pStyle w:val="TableText"/>
              <w:spacing w:before="40" w:after="40"/>
              <w:rPr>
                <w:rFonts w:cs="Arial"/>
                <w:szCs w:val="16"/>
              </w:rPr>
            </w:pPr>
            <w:r w:rsidRPr="00256982">
              <w:rPr>
                <w:rFonts w:cs="Arial"/>
                <w:color w:val="000000"/>
                <w:szCs w:val="16"/>
              </w:rPr>
              <w:t>Energy Industries – Petroleum Refining Liquid Fuels</w:t>
            </w:r>
          </w:p>
        </w:tc>
        <w:tc>
          <w:tcPr>
            <w:tcW w:w="325" w:type="pct"/>
            <w:shd w:val="clear" w:color="auto" w:fill="auto"/>
          </w:tcPr>
          <w:p w14:paraId="5C9FF08E" w14:textId="77777777" w:rsidR="00DE64BC" w:rsidRPr="00256982" w:rsidRDefault="00DE64BC" w:rsidP="00A808C7">
            <w:pPr>
              <w:pStyle w:val="TableText"/>
              <w:spacing w:before="40" w:after="40"/>
              <w:jc w:val="center"/>
              <w:rPr>
                <w:rFonts w:cs="Arial"/>
                <w:szCs w:val="16"/>
              </w:rPr>
            </w:pPr>
            <w:r w:rsidRPr="00256982">
              <w:rPr>
                <w:rFonts w:cs="Arial"/>
                <w:color w:val="000000"/>
                <w:szCs w:val="16"/>
              </w:rPr>
              <w:t>CO</w:t>
            </w:r>
            <w:r w:rsidRPr="00256982">
              <w:rPr>
                <w:rFonts w:cs="Arial"/>
                <w:color w:val="000000"/>
                <w:szCs w:val="16"/>
                <w:vertAlign w:val="subscript"/>
              </w:rPr>
              <w:t>2</w:t>
            </w:r>
          </w:p>
        </w:tc>
        <w:tc>
          <w:tcPr>
            <w:tcW w:w="532" w:type="pct"/>
            <w:shd w:val="clear" w:color="auto" w:fill="auto"/>
          </w:tcPr>
          <w:p w14:paraId="7EDC68CD"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778.9</w:t>
            </w:r>
          </w:p>
        </w:tc>
        <w:tc>
          <w:tcPr>
            <w:tcW w:w="520" w:type="pct"/>
            <w:shd w:val="clear" w:color="auto" w:fill="auto"/>
          </w:tcPr>
          <w:p w14:paraId="68AD6BEB"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674.5</w:t>
            </w:r>
          </w:p>
        </w:tc>
        <w:tc>
          <w:tcPr>
            <w:tcW w:w="609" w:type="pct"/>
            <w:shd w:val="clear" w:color="auto" w:fill="auto"/>
          </w:tcPr>
          <w:p w14:paraId="6012027E"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0.002</w:t>
            </w:r>
          </w:p>
        </w:tc>
        <w:tc>
          <w:tcPr>
            <w:tcW w:w="634" w:type="pct"/>
            <w:shd w:val="clear" w:color="auto" w:fill="auto"/>
          </w:tcPr>
          <w:p w14:paraId="2DF679BC"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0.4</w:t>
            </w:r>
          </w:p>
        </w:tc>
        <w:tc>
          <w:tcPr>
            <w:tcW w:w="576" w:type="pct"/>
            <w:shd w:val="clear" w:color="auto" w:fill="auto"/>
          </w:tcPr>
          <w:p w14:paraId="63A8F298"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91.7</w:t>
            </w:r>
          </w:p>
        </w:tc>
      </w:tr>
      <w:tr w:rsidR="00DE64BC" w:rsidRPr="00256982" w14:paraId="18A52567" w14:textId="77777777" w:rsidTr="009A0D25">
        <w:tc>
          <w:tcPr>
            <w:tcW w:w="554" w:type="pct"/>
          </w:tcPr>
          <w:p w14:paraId="49AC6AD2" w14:textId="77777777" w:rsidR="00DE64BC" w:rsidRPr="00256982" w:rsidRDefault="00DE64BC" w:rsidP="00A808C7">
            <w:pPr>
              <w:pStyle w:val="TableText"/>
              <w:spacing w:before="40" w:after="40"/>
              <w:rPr>
                <w:rFonts w:cs="Arial"/>
                <w:szCs w:val="16"/>
              </w:rPr>
            </w:pPr>
            <w:r w:rsidRPr="00256982">
              <w:rPr>
                <w:rFonts w:cs="Arial"/>
                <w:color w:val="000000"/>
                <w:szCs w:val="16"/>
              </w:rPr>
              <w:t>1.A.4.c</w:t>
            </w:r>
          </w:p>
        </w:tc>
        <w:tc>
          <w:tcPr>
            <w:tcW w:w="1250" w:type="pct"/>
            <w:shd w:val="clear" w:color="auto" w:fill="auto"/>
          </w:tcPr>
          <w:p w14:paraId="768AC42A" w14:textId="77777777" w:rsidR="00DE64BC" w:rsidRPr="00256982" w:rsidRDefault="00DE64BC" w:rsidP="00A808C7">
            <w:pPr>
              <w:pStyle w:val="TableText"/>
              <w:spacing w:before="40" w:after="40"/>
              <w:rPr>
                <w:rFonts w:cs="Arial"/>
                <w:szCs w:val="16"/>
              </w:rPr>
            </w:pPr>
            <w:r w:rsidRPr="00256982">
              <w:rPr>
                <w:rFonts w:cs="Arial"/>
                <w:color w:val="000000"/>
                <w:szCs w:val="16"/>
              </w:rPr>
              <w:t>Other Sectors – Agriculture/Forestry/Fishing Solid Fuels</w:t>
            </w:r>
          </w:p>
        </w:tc>
        <w:tc>
          <w:tcPr>
            <w:tcW w:w="325" w:type="pct"/>
            <w:shd w:val="clear" w:color="auto" w:fill="auto"/>
          </w:tcPr>
          <w:p w14:paraId="44948335" w14:textId="77777777" w:rsidR="00DE64BC" w:rsidRPr="00256982" w:rsidRDefault="00DE64BC" w:rsidP="00A808C7">
            <w:pPr>
              <w:pStyle w:val="TableText"/>
              <w:spacing w:before="40" w:after="40"/>
              <w:jc w:val="center"/>
              <w:rPr>
                <w:rFonts w:cs="Arial"/>
                <w:szCs w:val="16"/>
              </w:rPr>
            </w:pPr>
            <w:r w:rsidRPr="00256982">
              <w:rPr>
                <w:rFonts w:cs="Arial"/>
                <w:color w:val="000000"/>
                <w:szCs w:val="16"/>
              </w:rPr>
              <w:t>CO</w:t>
            </w:r>
            <w:r w:rsidRPr="00256982">
              <w:rPr>
                <w:rFonts w:cs="Arial"/>
                <w:color w:val="000000"/>
                <w:szCs w:val="16"/>
                <w:vertAlign w:val="subscript"/>
              </w:rPr>
              <w:t>2</w:t>
            </w:r>
          </w:p>
        </w:tc>
        <w:tc>
          <w:tcPr>
            <w:tcW w:w="532" w:type="pct"/>
            <w:shd w:val="clear" w:color="auto" w:fill="auto"/>
          </w:tcPr>
          <w:p w14:paraId="107A5D27"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35.1</w:t>
            </w:r>
          </w:p>
        </w:tc>
        <w:tc>
          <w:tcPr>
            <w:tcW w:w="520" w:type="pct"/>
            <w:shd w:val="clear" w:color="auto" w:fill="auto"/>
          </w:tcPr>
          <w:p w14:paraId="41544CED"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250.6</w:t>
            </w:r>
          </w:p>
        </w:tc>
        <w:tc>
          <w:tcPr>
            <w:tcW w:w="609" w:type="pct"/>
            <w:shd w:val="clear" w:color="auto" w:fill="auto"/>
          </w:tcPr>
          <w:p w14:paraId="5A17FCEF"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0.002</w:t>
            </w:r>
          </w:p>
        </w:tc>
        <w:tc>
          <w:tcPr>
            <w:tcW w:w="634" w:type="pct"/>
            <w:shd w:val="clear" w:color="auto" w:fill="auto"/>
          </w:tcPr>
          <w:p w14:paraId="654F38AF"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0.4</w:t>
            </w:r>
          </w:p>
        </w:tc>
        <w:tc>
          <w:tcPr>
            <w:tcW w:w="576" w:type="pct"/>
            <w:shd w:val="clear" w:color="auto" w:fill="auto"/>
          </w:tcPr>
          <w:p w14:paraId="2B3E85F0"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92.0</w:t>
            </w:r>
          </w:p>
        </w:tc>
      </w:tr>
      <w:tr w:rsidR="00DE64BC" w:rsidRPr="00256982" w14:paraId="0E0651C6" w14:textId="77777777" w:rsidTr="009A0D25">
        <w:tc>
          <w:tcPr>
            <w:tcW w:w="554" w:type="pct"/>
          </w:tcPr>
          <w:p w14:paraId="12989266" w14:textId="77777777" w:rsidR="00DE64BC" w:rsidRPr="00256982" w:rsidRDefault="00DE64BC" w:rsidP="00A808C7">
            <w:pPr>
              <w:pStyle w:val="TableText"/>
              <w:spacing w:before="40" w:after="40"/>
              <w:rPr>
                <w:rFonts w:cs="Arial"/>
                <w:szCs w:val="16"/>
              </w:rPr>
            </w:pPr>
            <w:r w:rsidRPr="00256982">
              <w:rPr>
                <w:rFonts w:cs="Arial"/>
                <w:color w:val="000000"/>
                <w:szCs w:val="16"/>
              </w:rPr>
              <w:t>3.A.4</w:t>
            </w:r>
          </w:p>
        </w:tc>
        <w:tc>
          <w:tcPr>
            <w:tcW w:w="1250" w:type="pct"/>
            <w:shd w:val="clear" w:color="auto" w:fill="auto"/>
          </w:tcPr>
          <w:p w14:paraId="02350C74" w14:textId="77777777" w:rsidR="00DE64BC" w:rsidRPr="00256982" w:rsidRDefault="00DE64BC" w:rsidP="00A808C7">
            <w:pPr>
              <w:pStyle w:val="TableText"/>
              <w:spacing w:before="40" w:after="40"/>
              <w:rPr>
                <w:rFonts w:cs="Arial"/>
                <w:szCs w:val="16"/>
              </w:rPr>
            </w:pPr>
            <w:r w:rsidRPr="00256982">
              <w:rPr>
                <w:rFonts w:cs="Arial"/>
                <w:color w:val="000000"/>
                <w:szCs w:val="16"/>
              </w:rPr>
              <w:t>Other livestock – Goats</w:t>
            </w:r>
          </w:p>
        </w:tc>
        <w:tc>
          <w:tcPr>
            <w:tcW w:w="325" w:type="pct"/>
            <w:shd w:val="clear" w:color="auto" w:fill="auto"/>
          </w:tcPr>
          <w:p w14:paraId="482B76DC" w14:textId="77777777" w:rsidR="00DE64BC" w:rsidRPr="00256982" w:rsidRDefault="00DE64BC" w:rsidP="00A808C7">
            <w:pPr>
              <w:pStyle w:val="TableText"/>
              <w:spacing w:before="40" w:after="40"/>
              <w:jc w:val="center"/>
              <w:rPr>
                <w:rFonts w:cs="Arial"/>
                <w:szCs w:val="16"/>
              </w:rPr>
            </w:pPr>
            <w:r w:rsidRPr="00256982">
              <w:rPr>
                <w:rFonts w:cs="Arial"/>
                <w:color w:val="000000"/>
                <w:szCs w:val="16"/>
              </w:rPr>
              <w:t>CH</w:t>
            </w:r>
            <w:r w:rsidRPr="00256982">
              <w:rPr>
                <w:rFonts w:cs="Arial"/>
                <w:color w:val="000000"/>
                <w:szCs w:val="16"/>
                <w:vertAlign w:val="subscript"/>
              </w:rPr>
              <w:t>4</w:t>
            </w:r>
          </w:p>
        </w:tc>
        <w:tc>
          <w:tcPr>
            <w:tcW w:w="532" w:type="pct"/>
            <w:shd w:val="clear" w:color="auto" w:fill="auto"/>
          </w:tcPr>
          <w:p w14:paraId="467BC305"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196.6</w:t>
            </w:r>
          </w:p>
        </w:tc>
        <w:tc>
          <w:tcPr>
            <w:tcW w:w="520" w:type="pct"/>
            <w:shd w:val="clear" w:color="auto" w:fill="auto"/>
          </w:tcPr>
          <w:p w14:paraId="14F57348"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20.6</w:t>
            </w:r>
          </w:p>
        </w:tc>
        <w:tc>
          <w:tcPr>
            <w:tcW w:w="609" w:type="pct"/>
            <w:shd w:val="clear" w:color="auto" w:fill="auto"/>
          </w:tcPr>
          <w:p w14:paraId="27544A2E"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0.002</w:t>
            </w:r>
          </w:p>
        </w:tc>
        <w:tc>
          <w:tcPr>
            <w:tcW w:w="634" w:type="pct"/>
            <w:shd w:val="clear" w:color="auto" w:fill="auto"/>
          </w:tcPr>
          <w:p w14:paraId="67AE82F4"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0.3</w:t>
            </w:r>
          </w:p>
        </w:tc>
        <w:tc>
          <w:tcPr>
            <w:tcW w:w="576" w:type="pct"/>
            <w:shd w:val="clear" w:color="auto" w:fill="auto"/>
          </w:tcPr>
          <w:p w14:paraId="2CE2A5FB"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92.4</w:t>
            </w:r>
          </w:p>
        </w:tc>
      </w:tr>
      <w:tr w:rsidR="00DE64BC" w:rsidRPr="00256982" w14:paraId="0DC47669" w14:textId="77777777" w:rsidTr="009A0D25">
        <w:tc>
          <w:tcPr>
            <w:tcW w:w="554" w:type="pct"/>
          </w:tcPr>
          <w:p w14:paraId="237BC643" w14:textId="77777777" w:rsidR="00DE64BC" w:rsidRPr="00256982" w:rsidRDefault="00DE64BC" w:rsidP="00A808C7">
            <w:pPr>
              <w:pStyle w:val="TableText"/>
              <w:spacing w:before="40" w:after="40"/>
              <w:rPr>
                <w:rFonts w:cs="Arial"/>
                <w:szCs w:val="16"/>
              </w:rPr>
            </w:pPr>
            <w:r w:rsidRPr="00256982">
              <w:rPr>
                <w:rFonts w:cs="Arial"/>
                <w:color w:val="000000"/>
                <w:szCs w:val="16"/>
              </w:rPr>
              <w:t>1.A.2.g.iii</w:t>
            </w:r>
          </w:p>
        </w:tc>
        <w:tc>
          <w:tcPr>
            <w:tcW w:w="1250" w:type="pct"/>
            <w:shd w:val="clear" w:color="auto" w:fill="auto"/>
          </w:tcPr>
          <w:p w14:paraId="5E71CE0E" w14:textId="77777777" w:rsidR="00DE64BC" w:rsidRPr="00256982" w:rsidRDefault="00DE64BC" w:rsidP="00A808C7">
            <w:pPr>
              <w:pStyle w:val="TableText"/>
              <w:spacing w:before="40" w:after="40"/>
              <w:rPr>
                <w:rFonts w:cs="Arial"/>
                <w:szCs w:val="16"/>
              </w:rPr>
            </w:pPr>
            <w:r w:rsidRPr="00256982">
              <w:rPr>
                <w:rFonts w:cs="Arial"/>
                <w:color w:val="000000"/>
                <w:szCs w:val="16"/>
              </w:rPr>
              <w:t>Other (please specify) – Mining (excluding fuels) and quarrying Liquid Fuels</w:t>
            </w:r>
          </w:p>
        </w:tc>
        <w:tc>
          <w:tcPr>
            <w:tcW w:w="325" w:type="pct"/>
            <w:shd w:val="clear" w:color="auto" w:fill="auto"/>
          </w:tcPr>
          <w:p w14:paraId="4EFAE77F" w14:textId="77777777" w:rsidR="00DE64BC" w:rsidRPr="00256982" w:rsidRDefault="00DE64BC" w:rsidP="00A808C7">
            <w:pPr>
              <w:pStyle w:val="TableText"/>
              <w:spacing w:before="40" w:after="40"/>
              <w:jc w:val="center"/>
              <w:rPr>
                <w:rFonts w:cs="Arial"/>
                <w:szCs w:val="16"/>
              </w:rPr>
            </w:pPr>
            <w:r w:rsidRPr="00256982">
              <w:rPr>
                <w:rFonts w:cs="Arial"/>
                <w:color w:val="000000"/>
                <w:szCs w:val="16"/>
              </w:rPr>
              <w:t>CO</w:t>
            </w:r>
            <w:r w:rsidRPr="00256982">
              <w:rPr>
                <w:rFonts w:cs="Arial"/>
                <w:color w:val="000000"/>
                <w:szCs w:val="16"/>
                <w:vertAlign w:val="subscript"/>
              </w:rPr>
              <w:t>2</w:t>
            </w:r>
          </w:p>
        </w:tc>
        <w:tc>
          <w:tcPr>
            <w:tcW w:w="532" w:type="pct"/>
            <w:shd w:val="clear" w:color="auto" w:fill="auto"/>
          </w:tcPr>
          <w:p w14:paraId="0A8FC902"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331.5</w:t>
            </w:r>
          </w:p>
        </w:tc>
        <w:tc>
          <w:tcPr>
            <w:tcW w:w="520" w:type="pct"/>
            <w:shd w:val="clear" w:color="auto" w:fill="auto"/>
          </w:tcPr>
          <w:p w14:paraId="491F0B59"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584.4</w:t>
            </w:r>
          </w:p>
        </w:tc>
        <w:tc>
          <w:tcPr>
            <w:tcW w:w="609" w:type="pct"/>
            <w:shd w:val="clear" w:color="auto" w:fill="auto"/>
          </w:tcPr>
          <w:p w14:paraId="470322F5"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0.002</w:t>
            </w:r>
          </w:p>
        </w:tc>
        <w:tc>
          <w:tcPr>
            <w:tcW w:w="634" w:type="pct"/>
            <w:shd w:val="clear" w:color="auto" w:fill="auto"/>
          </w:tcPr>
          <w:p w14:paraId="5E60F1BC"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0.3</w:t>
            </w:r>
          </w:p>
        </w:tc>
        <w:tc>
          <w:tcPr>
            <w:tcW w:w="576" w:type="pct"/>
            <w:shd w:val="clear" w:color="auto" w:fill="auto"/>
          </w:tcPr>
          <w:p w14:paraId="4826A63E"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92.7</w:t>
            </w:r>
          </w:p>
        </w:tc>
      </w:tr>
      <w:tr w:rsidR="00DE64BC" w:rsidRPr="00256982" w14:paraId="6E53EFA6" w14:textId="77777777" w:rsidTr="009A0D25">
        <w:tc>
          <w:tcPr>
            <w:tcW w:w="554" w:type="pct"/>
          </w:tcPr>
          <w:p w14:paraId="44FF6479" w14:textId="77777777" w:rsidR="00DE64BC" w:rsidRPr="00256982" w:rsidRDefault="00DE64BC" w:rsidP="00A808C7">
            <w:pPr>
              <w:pStyle w:val="TableText"/>
              <w:spacing w:before="40" w:after="40"/>
              <w:rPr>
                <w:rFonts w:cs="Arial"/>
                <w:szCs w:val="16"/>
              </w:rPr>
            </w:pPr>
            <w:r w:rsidRPr="00256982">
              <w:rPr>
                <w:rFonts w:cs="Arial"/>
                <w:color w:val="000000"/>
                <w:szCs w:val="16"/>
              </w:rPr>
              <w:t>1.A.2.f</w:t>
            </w:r>
          </w:p>
        </w:tc>
        <w:tc>
          <w:tcPr>
            <w:tcW w:w="1250" w:type="pct"/>
            <w:shd w:val="clear" w:color="auto" w:fill="auto"/>
          </w:tcPr>
          <w:p w14:paraId="14BE56FE" w14:textId="77777777" w:rsidR="00DE64BC" w:rsidRPr="00256982" w:rsidRDefault="00DE64BC" w:rsidP="00A808C7">
            <w:pPr>
              <w:pStyle w:val="TableText"/>
              <w:spacing w:before="40" w:after="40"/>
              <w:rPr>
                <w:rFonts w:cs="Arial"/>
                <w:szCs w:val="16"/>
              </w:rPr>
            </w:pPr>
            <w:r w:rsidRPr="00256982">
              <w:rPr>
                <w:rFonts w:cs="Arial"/>
                <w:color w:val="000000"/>
                <w:szCs w:val="16"/>
              </w:rPr>
              <w:t>Manufacturing Industries and Construction – Non-metallic Minerals Solid Fuels</w:t>
            </w:r>
          </w:p>
        </w:tc>
        <w:tc>
          <w:tcPr>
            <w:tcW w:w="325" w:type="pct"/>
            <w:shd w:val="clear" w:color="auto" w:fill="auto"/>
          </w:tcPr>
          <w:p w14:paraId="651C0A5D" w14:textId="77777777" w:rsidR="00DE64BC" w:rsidRPr="00256982" w:rsidRDefault="00DE64BC" w:rsidP="00A808C7">
            <w:pPr>
              <w:pStyle w:val="TableText"/>
              <w:spacing w:before="40" w:after="40"/>
              <w:jc w:val="center"/>
              <w:rPr>
                <w:rFonts w:cs="Arial"/>
                <w:szCs w:val="16"/>
              </w:rPr>
            </w:pPr>
            <w:r w:rsidRPr="00256982">
              <w:rPr>
                <w:rFonts w:cs="Arial"/>
                <w:color w:val="000000"/>
                <w:szCs w:val="16"/>
              </w:rPr>
              <w:t>CO</w:t>
            </w:r>
            <w:r w:rsidRPr="00256982">
              <w:rPr>
                <w:rFonts w:cs="Arial"/>
                <w:color w:val="000000"/>
                <w:szCs w:val="16"/>
                <w:vertAlign w:val="subscript"/>
              </w:rPr>
              <w:t>2</w:t>
            </w:r>
          </w:p>
        </w:tc>
        <w:tc>
          <w:tcPr>
            <w:tcW w:w="532" w:type="pct"/>
            <w:shd w:val="clear" w:color="auto" w:fill="auto"/>
          </w:tcPr>
          <w:p w14:paraId="7FC6858C"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382.9</w:t>
            </w:r>
          </w:p>
        </w:tc>
        <w:tc>
          <w:tcPr>
            <w:tcW w:w="520" w:type="pct"/>
            <w:shd w:val="clear" w:color="auto" w:fill="auto"/>
          </w:tcPr>
          <w:p w14:paraId="7DFE3E0C"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244.8</w:t>
            </w:r>
          </w:p>
        </w:tc>
        <w:tc>
          <w:tcPr>
            <w:tcW w:w="609" w:type="pct"/>
            <w:shd w:val="clear" w:color="auto" w:fill="auto"/>
          </w:tcPr>
          <w:p w14:paraId="1D9F4BAC"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0.001</w:t>
            </w:r>
          </w:p>
        </w:tc>
        <w:tc>
          <w:tcPr>
            <w:tcW w:w="634" w:type="pct"/>
            <w:shd w:val="clear" w:color="auto" w:fill="auto"/>
          </w:tcPr>
          <w:p w14:paraId="0326BBF6"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0.3</w:t>
            </w:r>
          </w:p>
        </w:tc>
        <w:tc>
          <w:tcPr>
            <w:tcW w:w="576" w:type="pct"/>
            <w:shd w:val="clear" w:color="auto" w:fill="auto"/>
          </w:tcPr>
          <w:p w14:paraId="000581DF"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93.1</w:t>
            </w:r>
          </w:p>
        </w:tc>
      </w:tr>
      <w:tr w:rsidR="00DE64BC" w:rsidRPr="00256982" w14:paraId="56BC9C3B" w14:textId="77777777" w:rsidTr="009A0D25">
        <w:tc>
          <w:tcPr>
            <w:tcW w:w="554" w:type="pct"/>
          </w:tcPr>
          <w:p w14:paraId="251DA784" w14:textId="77777777" w:rsidR="00DE64BC" w:rsidRPr="00256982" w:rsidRDefault="00DE64BC" w:rsidP="00A808C7">
            <w:pPr>
              <w:pStyle w:val="TableText"/>
              <w:spacing w:before="40" w:after="40"/>
              <w:rPr>
                <w:rFonts w:cs="Arial"/>
                <w:szCs w:val="16"/>
              </w:rPr>
            </w:pPr>
            <w:r w:rsidRPr="00256982">
              <w:rPr>
                <w:rFonts w:cs="Arial"/>
                <w:color w:val="000000"/>
                <w:szCs w:val="16"/>
              </w:rPr>
              <w:t>1.A.1.b</w:t>
            </w:r>
          </w:p>
        </w:tc>
        <w:tc>
          <w:tcPr>
            <w:tcW w:w="1250" w:type="pct"/>
            <w:shd w:val="clear" w:color="auto" w:fill="auto"/>
          </w:tcPr>
          <w:p w14:paraId="7DB03184" w14:textId="77777777" w:rsidR="00DE64BC" w:rsidRPr="00256982" w:rsidRDefault="00DE64BC" w:rsidP="00A808C7">
            <w:pPr>
              <w:pStyle w:val="TableText"/>
              <w:spacing w:before="40" w:after="40"/>
              <w:rPr>
                <w:rFonts w:cs="Arial"/>
                <w:szCs w:val="16"/>
              </w:rPr>
            </w:pPr>
            <w:r w:rsidRPr="00256982">
              <w:rPr>
                <w:rFonts w:cs="Arial"/>
                <w:color w:val="000000"/>
                <w:szCs w:val="16"/>
              </w:rPr>
              <w:t>Energy Industries – Petroleum Refining Gaseous Fuels</w:t>
            </w:r>
          </w:p>
        </w:tc>
        <w:tc>
          <w:tcPr>
            <w:tcW w:w="325" w:type="pct"/>
            <w:shd w:val="clear" w:color="auto" w:fill="auto"/>
          </w:tcPr>
          <w:p w14:paraId="6B68887E" w14:textId="77777777" w:rsidR="00DE64BC" w:rsidRPr="00256982" w:rsidRDefault="00DE64BC" w:rsidP="00A808C7">
            <w:pPr>
              <w:pStyle w:val="TableText"/>
              <w:spacing w:before="40" w:after="40"/>
              <w:jc w:val="center"/>
              <w:rPr>
                <w:rFonts w:cs="Arial"/>
                <w:szCs w:val="16"/>
              </w:rPr>
            </w:pPr>
            <w:r w:rsidRPr="00256982">
              <w:rPr>
                <w:rFonts w:cs="Arial"/>
                <w:color w:val="000000"/>
                <w:szCs w:val="16"/>
              </w:rPr>
              <w:t>CO</w:t>
            </w:r>
            <w:r w:rsidRPr="00256982">
              <w:rPr>
                <w:rFonts w:cs="Arial"/>
                <w:color w:val="000000"/>
                <w:szCs w:val="16"/>
                <w:vertAlign w:val="subscript"/>
              </w:rPr>
              <w:t>2</w:t>
            </w:r>
          </w:p>
        </w:tc>
        <w:tc>
          <w:tcPr>
            <w:tcW w:w="532" w:type="pct"/>
            <w:shd w:val="clear" w:color="auto" w:fill="auto"/>
          </w:tcPr>
          <w:p w14:paraId="24492736"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0.0</w:t>
            </w:r>
          </w:p>
        </w:tc>
        <w:tc>
          <w:tcPr>
            <w:tcW w:w="520" w:type="pct"/>
            <w:shd w:val="clear" w:color="auto" w:fill="auto"/>
          </w:tcPr>
          <w:p w14:paraId="25720994"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169.9</w:t>
            </w:r>
          </w:p>
        </w:tc>
        <w:tc>
          <w:tcPr>
            <w:tcW w:w="609" w:type="pct"/>
            <w:shd w:val="clear" w:color="auto" w:fill="auto"/>
          </w:tcPr>
          <w:p w14:paraId="22E626C5"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0.001</w:t>
            </w:r>
          </w:p>
        </w:tc>
        <w:tc>
          <w:tcPr>
            <w:tcW w:w="634" w:type="pct"/>
            <w:shd w:val="clear" w:color="auto" w:fill="auto"/>
          </w:tcPr>
          <w:p w14:paraId="726A094A"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0.3</w:t>
            </w:r>
          </w:p>
        </w:tc>
        <w:tc>
          <w:tcPr>
            <w:tcW w:w="576" w:type="pct"/>
            <w:shd w:val="clear" w:color="auto" w:fill="auto"/>
          </w:tcPr>
          <w:p w14:paraId="68F33EC9"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93.3</w:t>
            </w:r>
          </w:p>
        </w:tc>
      </w:tr>
      <w:tr w:rsidR="00DE64BC" w:rsidRPr="00256982" w14:paraId="70800075" w14:textId="77777777" w:rsidTr="009A0D25">
        <w:tc>
          <w:tcPr>
            <w:tcW w:w="554" w:type="pct"/>
          </w:tcPr>
          <w:p w14:paraId="1CC25CE7" w14:textId="77777777" w:rsidR="00DE64BC" w:rsidRPr="00256982" w:rsidRDefault="00DE64BC" w:rsidP="00A808C7">
            <w:pPr>
              <w:pStyle w:val="TableText"/>
              <w:spacing w:before="40" w:after="40"/>
              <w:rPr>
                <w:rFonts w:cs="Arial"/>
                <w:szCs w:val="16"/>
              </w:rPr>
            </w:pPr>
            <w:r w:rsidRPr="00256982">
              <w:rPr>
                <w:rFonts w:cs="Arial"/>
                <w:color w:val="000000"/>
                <w:szCs w:val="16"/>
              </w:rPr>
              <w:t>1.B.2.c.2.iii</w:t>
            </w:r>
          </w:p>
        </w:tc>
        <w:tc>
          <w:tcPr>
            <w:tcW w:w="1250" w:type="pct"/>
            <w:shd w:val="clear" w:color="auto" w:fill="auto"/>
          </w:tcPr>
          <w:p w14:paraId="6772B8BF" w14:textId="77777777" w:rsidR="00DE64BC" w:rsidRPr="00256982" w:rsidRDefault="00DE64BC" w:rsidP="00A808C7">
            <w:pPr>
              <w:pStyle w:val="TableText"/>
              <w:spacing w:before="40" w:after="40"/>
              <w:rPr>
                <w:rFonts w:cs="Arial"/>
                <w:szCs w:val="16"/>
              </w:rPr>
            </w:pPr>
            <w:r w:rsidRPr="00256982">
              <w:rPr>
                <w:rFonts w:cs="Arial"/>
                <w:color w:val="000000"/>
                <w:szCs w:val="16"/>
              </w:rPr>
              <w:t>Flaring – Combined</w:t>
            </w:r>
          </w:p>
        </w:tc>
        <w:tc>
          <w:tcPr>
            <w:tcW w:w="325" w:type="pct"/>
            <w:shd w:val="clear" w:color="auto" w:fill="auto"/>
          </w:tcPr>
          <w:p w14:paraId="37266562" w14:textId="77777777" w:rsidR="00DE64BC" w:rsidRPr="00256982" w:rsidRDefault="00DE64BC" w:rsidP="00A808C7">
            <w:pPr>
              <w:pStyle w:val="TableText"/>
              <w:spacing w:before="40" w:after="40"/>
              <w:jc w:val="center"/>
              <w:rPr>
                <w:rFonts w:cs="Arial"/>
                <w:szCs w:val="16"/>
              </w:rPr>
            </w:pPr>
            <w:r w:rsidRPr="00256982">
              <w:rPr>
                <w:rFonts w:cs="Arial"/>
                <w:color w:val="000000"/>
                <w:szCs w:val="16"/>
              </w:rPr>
              <w:t>CO</w:t>
            </w:r>
            <w:r w:rsidRPr="00256982">
              <w:rPr>
                <w:rFonts w:cs="Arial"/>
                <w:color w:val="000000"/>
                <w:szCs w:val="16"/>
                <w:vertAlign w:val="subscript"/>
              </w:rPr>
              <w:t>2</w:t>
            </w:r>
          </w:p>
        </w:tc>
        <w:tc>
          <w:tcPr>
            <w:tcW w:w="532" w:type="pct"/>
            <w:shd w:val="clear" w:color="auto" w:fill="auto"/>
          </w:tcPr>
          <w:p w14:paraId="570C2CF4"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114.4</w:t>
            </w:r>
          </w:p>
        </w:tc>
        <w:tc>
          <w:tcPr>
            <w:tcW w:w="520" w:type="pct"/>
            <w:shd w:val="clear" w:color="auto" w:fill="auto"/>
          </w:tcPr>
          <w:p w14:paraId="09256A01"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292.7</w:t>
            </w:r>
          </w:p>
        </w:tc>
        <w:tc>
          <w:tcPr>
            <w:tcW w:w="609" w:type="pct"/>
            <w:shd w:val="clear" w:color="auto" w:fill="auto"/>
          </w:tcPr>
          <w:p w14:paraId="7B606846"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0.001</w:t>
            </w:r>
          </w:p>
        </w:tc>
        <w:tc>
          <w:tcPr>
            <w:tcW w:w="634" w:type="pct"/>
            <w:shd w:val="clear" w:color="auto" w:fill="auto"/>
          </w:tcPr>
          <w:p w14:paraId="3C8D434F"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0.3</w:t>
            </w:r>
          </w:p>
        </w:tc>
        <w:tc>
          <w:tcPr>
            <w:tcW w:w="576" w:type="pct"/>
            <w:shd w:val="clear" w:color="auto" w:fill="auto"/>
          </w:tcPr>
          <w:p w14:paraId="125C0D89"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93.6</w:t>
            </w:r>
          </w:p>
        </w:tc>
      </w:tr>
      <w:tr w:rsidR="00DE64BC" w:rsidRPr="00256982" w14:paraId="65AA9E01" w14:textId="77777777" w:rsidTr="009A0D25">
        <w:tc>
          <w:tcPr>
            <w:tcW w:w="554" w:type="pct"/>
          </w:tcPr>
          <w:p w14:paraId="799E717A" w14:textId="77777777" w:rsidR="00DE64BC" w:rsidRPr="00256982" w:rsidRDefault="00DE64BC" w:rsidP="00A808C7">
            <w:pPr>
              <w:pStyle w:val="TableText"/>
              <w:spacing w:before="40" w:after="40"/>
              <w:rPr>
                <w:rFonts w:cs="Arial"/>
                <w:szCs w:val="16"/>
              </w:rPr>
            </w:pPr>
            <w:r w:rsidRPr="00256982">
              <w:rPr>
                <w:rFonts w:cs="Arial"/>
                <w:color w:val="000000"/>
                <w:szCs w:val="16"/>
              </w:rPr>
              <w:t>1.A.3.b</w:t>
            </w:r>
          </w:p>
        </w:tc>
        <w:tc>
          <w:tcPr>
            <w:tcW w:w="1250" w:type="pct"/>
            <w:shd w:val="clear" w:color="auto" w:fill="auto"/>
          </w:tcPr>
          <w:p w14:paraId="4E744197" w14:textId="77777777" w:rsidR="00DE64BC" w:rsidRPr="00256982" w:rsidRDefault="00DE64BC" w:rsidP="00A808C7">
            <w:pPr>
              <w:pStyle w:val="TableText"/>
              <w:spacing w:before="40" w:after="40"/>
              <w:rPr>
                <w:rFonts w:cs="Arial"/>
                <w:szCs w:val="16"/>
              </w:rPr>
            </w:pPr>
            <w:r w:rsidRPr="00256982">
              <w:rPr>
                <w:rFonts w:cs="Arial"/>
                <w:color w:val="000000"/>
                <w:szCs w:val="16"/>
              </w:rPr>
              <w:t>Transport – Road Transportation Gaseous Fuels</w:t>
            </w:r>
          </w:p>
        </w:tc>
        <w:tc>
          <w:tcPr>
            <w:tcW w:w="325" w:type="pct"/>
            <w:shd w:val="clear" w:color="auto" w:fill="auto"/>
          </w:tcPr>
          <w:p w14:paraId="5D0529D3" w14:textId="77777777" w:rsidR="00DE64BC" w:rsidRPr="00256982" w:rsidRDefault="00DE64BC" w:rsidP="00A808C7">
            <w:pPr>
              <w:pStyle w:val="TableText"/>
              <w:spacing w:before="40" w:after="40"/>
              <w:jc w:val="center"/>
              <w:rPr>
                <w:rFonts w:cs="Arial"/>
                <w:szCs w:val="16"/>
              </w:rPr>
            </w:pPr>
            <w:r w:rsidRPr="00256982">
              <w:rPr>
                <w:rFonts w:cs="Arial"/>
                <w:color w:val="000000"/>
                <w:szCs w:val="16"/>
              </w:rPr>
              <w:t>CO</w:t>
            </w:r>
            <w:r w:rsidRPr="00256982">
              <w:rPr>
                <w:rFonts w:cs="Arial"/>
                <w:color w:val="000000"/>
                <w:szCs w:val="16"/>
                <w:vertAlign w:val="subscript"/>
              </w:rPr>
              <w:t>2</w:t>
            </w:r>
          </w:p>
        </w:tc>
        <w:tc>
          <w:tcPr>
            <w:tcW w:w="532" w:type="pct"/>
            <w:shd w:val="clear" w:color="auto" w:fill="auto"/>
          </w:tcPr>
          <w:p w14:paraId="2A227A0A"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140.8</w:t>
            </w:r>
          </w:p>
        </w:tc>
        <w:tc>
          <w:tcPr>
            <w:tcW w:w="520" w:type="pct"/>
            <w:shd w:val="clear" w:color="auto" w:fill="auto"/>
          </w:tcPr>
          <w:p w14:paraId="07B0AB2D"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0.5</w:t>
            </w:r>
          </w:p>
        </w:tc>
        <w:tc>
          <w:tcPr>
            <w:tcW w:w="609" w:type="pct"/>
            <w:shd w:val="clear" w:color="auto" w:fill="auto"/>
          </w:tcPr>
          <w:p w14:paraId="1FA39326"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0.001</w:t>
            </w:r>
          </w:p>
        </w:tc>
        <w:tc>
          <w:tcPr>
            <w:tcW w:w="634" w:type="pct"/>
            <w:shd w:val="clear" w:color="auto" w:fill="auto"/>
          </w:tcPr>
          <w:p w14:paraId="6150DC50"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0.3</w:t>
            </w:r>
          </w:p>
        </w:tc>
        <w:tc>
          <w:tcPr>
            <w:tcW w:w="576" w:type="pct"/>
            <w:shd w:val="clear" w:color="auto" w:fill="auto"/>
          </w:tcPr>
          <w:p w14:paraId="7620DC26"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93.9</w:t>
            </w:r>
          </w:p>
        </w:tc>
      </w:tr>
      <w:tr w:rsidR="00DE64BC" w:rsidRPr="00256982" w14:paraId="76319172" w14:textId="77777777" w:rsidTr="009A0D25">
        <w:tc>
          <w:tcPr>
            <w:tcW w:w="554" w:type="pct"/>
          </w:tcPr>
          <w:p w14:paraId="5D7C8479" w14:textId="77777777" w:rsidR="00DE64BC" w:rsidRPr="00256982" w:rsidRDefault="00DE64BC" w:rsidP="00A808C7">
            <w:pPr>
              <w:pStyle w:val="TableText"/>
              <w:spacing w:before="40" w:after="40"/>
              <w:rPr>
                <w:rFonts w:cs="Arial"/>
                <w:szCs w:val="16"/>
              </w:rPr>
            </w:pPr>
            <w:r w:rsidRPr="00256982">
              <w:rPr>
                <w:rFonts w:cs="Arial"/>
                <w:color w:val="000000"/>
                <w:szCs w:val="16"/>
              </w:rPr>
              <w:t>1.A.4.a</w:t>
            </w:r>
          </w:p>
        </w:tc>
        <w:tc>
          <w:tcPr>
            <w:tcW w:w="1250" w:type="pct"/>
            <w:shd w:val="clear" w:color="auto" w:fill="auto"/>
          </w:tcPr>
          <w:p w14:paraId="0CF2F651" w14:textId="77777777" w:rsidR="00DE64BC" w:rsidRPr="00256982" w:rsidRDefault="00DE64BC" w:rsidP="00A808C7">
            <w:pPr>
              <w:pStyle w:val="TableText"/>
              <w:spacing w:before="40" w:after="40"/>
              <w:rPr>
                <w:rFonts w:cs="Arial"/>
                <w:szCs w:val="16"/>
              </w:rPr>
            </w:pPr>
            <w:r w:rsidRPr="00256982">
              <w:rPr>
                <w:rFonts w:cs="Arial"/>
                <w:color w:val="000000"/>
                <w:szCs w:val="16"/>
              </w:rPr>
              <w:t>Other Sectors – Commercial/Institutional Gaseous Fuels</w:t>
            </w:r>
          </w:p>
        </w:tc>
        <w:tc>
          <w:tcPr>
            <w:tcW w:w="325" w:type="pct"/>
            <w:shd w:val="clear" w:color="auto" w:fill="auto"/>
          </w:tcPr>
          <w:p w14:paraId="5FE04B87" w14:textId="77777777" w:rsidR="00DE64BC" w:rsidRPr="00256982" w:rsidRDefault="00DE64BC" w:rsidP="00A808C7">
            <w:pPr>
              <w:pStyle w:val="TableText"/>
              <w:spacing w:before="40" w:after="40"/>
              <w:jc w:val="center"/>
              <w:rPr>
                <w:rFonts w:cs="Arial"/>
                <w:szCs w:val="16"/>
              </w:rPr>
            </w:pPr>
            <w:r w:rsidRPr="00256982">
              <w:rPr>
                <w:rFonts w:cs="Arial"/>
                <w:color w:val="000000"/>
                <w:szCs w:val="16"/>
              </w:rPr>
              <w:t>CO</w:t>
            </w:r>
            <w:r w:rsidRPr="00256982">
              <w:rPr>
                <w:rFonts w:cs="Arial"/>
                <w:color w:val="000000"/>
                <w:szCs w:val="16"/>
                <w:vertAlign w:val="subscript"/>
              </w:rPr>
              <w:t>2</w:t>
            </w:r>
          </w:p>
        </w:tc>
        <w:tc>
          <w:tcPr>
            <w:tcW w:w="532" w:type="pct"/>
            <w:shd w:val="clear" w:color="auto" w:fill="auto"/>
          </w:tcPr>
          <w:p w14:paraId="3ABE6C89"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236.1</w:t>
            </w:r>
          </w:p>
        </w:tc>
        <w:tc>
          <w:tcPr>
            <w:tcW w:w="520" w:type="pct"/>
            <w:shd w:val="clear" w:color="auto" w:fill="auto"/>
          </w:tcPr>
          <w:p w14:paraId="36568C3A"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429.8</w:t>
            </w:r>
          </w:p>
        </w:tc>
        <w:tc>
          <w:tcPr>
            <w:tcW w:w="609" w:type="pct"/>
            <w:shd w:val="clear" w:color="auto" w:fill="auto"/>
          </w:tcPr>
          <w:p w14:paraId="314E5959"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0.001</w:t>
            </w:r>
          </w:p>
        </w:tc>
        <w:tc>
          <w:tcPr>
            <w:tcW w:w="634" w:type="pct"/>
            <w:shd w:val="clear" w:color="auto" w:fill="auto"/>
          </w:tcPr>
          <w:p w14:paraId="25C681BA"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0.3</w:t>
            </w:r>
          </w:p>
        </w:tc>
        <w:tc>
          <w:tcPr>
            <w:tcW w:w="576" w:type="pct"/>
            <w:shd w:val="clear" w:color="auto" w:fill="auto"/>
          </w:tcPr>
          <w:p w14:paraId="4B6B809B"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94.2</w:t>
            </w:r>
          </w:p>
        </w:tc>
      </w:tr>
      <w:tr w:rsidR="00DE64BC" w:rsidRPr="00256982" w14:paraId="45C66B5D" w14:textId="77777777" w:rsidTr="009A0D25">
        <w:tc>
          <w:tcPr>
            <w:tcW w:w="554" w:type="pct"/>
          </w:tcPr>
          <w:p w14:paraId="66A5CC21" w14:textId="77777777" w:rsidR="00DE64BC" w:rsidRPr="00256982" w:rsidRDefault="00DE64BC" w:rsidP="00A808C7">
            <w:pPr>
              <w:pStyle w:val="TableText"/>
              <w:spacing w:before="40" w:after="40"/>
              <w:rPr>
                <w:rFonts w:cs="Arial"/>
                <w:szCs w:val="16"/>
              </w:rPr>
            </w:pPr>
            <w:r w:rsidRPr="00256982">
              <w:rPr>
                <w:rFonts w:cs="Arial"/>
                <w:color w:val="000000"/>
                <w:szCs w:val="16"/>
              </w:rPr>
              <w:t>1.A.4.b</w:t>
            </w:r>
          </w:p>
        </w:tc>
        <w:tc>
          <w:tcPr>
            <w:tcW w:w="1250" w:type="pct"/>
            <w:shd w:val="clear" w:color="auto" w:fill="auto"/>
          </w:tcPr>
          <w:p w14:paraId="019508CD" w14:textId="77777777" w:rsidR="00DE64BC" w:rsidRPr="00256982" w:rsidRDefault="00DE64BC" w:rsidP="00A808C7">
            <w:pPr>
              <w:pStyle w:val="TableText"/>
              <w:spacing w:before="40" w:after="40"/>
              <w:rPr>
                <w:rFonts w:cs="Arial"/>
                <w:szCs w:val="16"/>
              </w:rPr>
            </w:pPr>
            <w:r w:rsidRPr="00256982">
              <w:rPr>
                <w:rFonts w:cs="Arial"/>
                <w:color w:val="000000"/>
                <w:szCs w:val="16"/>
              </w:rPr>
              <w:t>Other Sectors – Residential Gaseous Fuels</w:t>
            </w:r>
          </w:p>
        </w:tc>
        <w:tc>
          <w:tcPr>
            <w:tcW w:w="325" w:type="pct"/>
            <w:shd w:val="clear" w:color="auto" w:fill="auto"/>
          </w:tcPr>
          <w:p w14:paraId="4D7F48C9" w14:textId="77777777" w:rsidR="00DE64BC" w:rsidRPr="00256982" w:rsidRDefault="00DE64BC" w:rsidP="00A808C7">
            <w:pPr>
              <w:pStyle w:val="TableText"/>
              <w:spacing w:before="40" w:after="40"/>
              <w:jc w:val="center"/>
              <w:rPr>
                <w:rFonts w:cs="Arial"/>
                <w:szCs w:val="16"/>
              </w:rPr>
            </w:pPr>
            <w:r w:rsidRPr="00256982">
              <w:rPr>
                <w:rFonts w:cs="Arial"/>
                <w:color w:val="000000"/>
                <w:szCs w:val="16"/>
              </w:rPr>
              <w:t>CO</w:t>
            </w:r>
            <w:r w:rsidRPr="00256982">
              <w:rPr>
                <w:rFonts w:cs="Arial"/>
                <w:color w:val="000000"/>
                <w:szCs w:val="16"/>
                <w:vertAlign w:val="subscript"/>
              </w:rPr>
              <w:t>2</w:t>
            </w:r>
          </w:p>
        </w:tc>
        <w:tc>
          <w:tcPr>
            <w:tcW w:w="532" w:type="pct"/>
            <w:shd w:val="clear" w:color="auto" w:fill="auto"/>
          </w:tcPr>
          <w:p w14:paraId="27181639"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185.6</w:t>
            </w:r>
          </w:p>
        </w:tc>
        <w:tc>
          <w:tcPr>
            <w:tcW w:w="520" w:type="pct"/>
            <w:shd w:val="clear" w:color="auto" w:fill="auto"/>
          </w:tcPr>
          <w:p w14:paraId="6219476C"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365.1</w:t>
            </w:r>
          </w:p>
        </w:tc>
        <w:tc>
          <w:tcPr>
            <w:tcW w:w="609" w:type="pct"/>
            <w:shd w:val="clear" w:color="auto" w:fill="auto"/>
          </w:tcPr>
          <w:p w14:paraId="7ED5D558"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0.001</w:t>
            </w:r>
          </w:p>
        </w:tc>
        <w:tc>
          <w:tcPr>
            <w:tcW w:w="634" w:type="pct"/>
            <w:shd w:val="clear" w:color="auto" w:fill="auto"/>
          </w:tcPr>
          <w:p w14:paraId="6C668C60"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0.3</w:t>
            </w:r>
          </w:p>
        </w:tc>
        <w:tc>
          <w:tcPr>
            <w:tcW w:w="576" w:type="pct"/>
            <w:shd w:val="clear" w:color="auto" w:fill="auto"/>
          </w:tcPr>
          <w:p w14:paraId="35241F02"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94.4</w:t>
            </w:r>
          </w:p>
        </w:tc>
      </w:tr>
      <w:tr w:rsidR="00DE64BC" w:rsidRPr="00256982" w14:paraId="6A4423E2" w14:textId="77777777" w:rsidTr="009A0D25">
        <w:tc>
          <w:tcPr>
            <w:tcW w:w="554" w:type="pct"/>
          </w:tcPr>
          <w:p w14:paraId="6811AE3E" w14:textId="77777777" w:rsidR="00DE64BC" w:rsidRPr="00256982" w:rsidRDefault="00DE64BC" w:rsidP="00A808C7">
            <w:pPr>
              <w:pStyle w:val="TableText"/>
              <w:spacing w:before="40" w:after="40"/>
              <w:rPr>
                <w:rFonts w:cs="Arial"/>
                <w:szCs w:val="16"/>
              </w:rPr>
            </w:pPr>
            <w:r w:rsidRPr="00256982">
              <w:rPr>
                <w:rFonts w:cs="Arial"/>
                <w:color w:val="000000"/>
                <w:szCs w:val="16"/>
              </w:rPr>
              <w:t>1.A.2.g.viii</w:t>
            </w:r>
          </w:p>
        </w:tc>
        <w:tc>
          <w:tcPr>
            <w:tcW w:w="1250" w:type="pct"/>
            <w:shd w:val="clear" w:color="auto" w:fill="auto"/>
          </w:tcPr>
          <w:p w14:paraId="09566A1A" w14:textId="77777777" w:rsidR="00DE64BC" w:rsidRPr="00256982" w:rsidRDefault="00DE64BC" w:rsidP="00A808C7">
            <w:pPr>
              <w:pStyle w:val="TableText"/>
              <w:spacing w:before="40" w:after="40"/>
              <w:rPr>
                <w:rFonts w:cs="Arial"/>
                <w:szCs w:val="16"/>
              </w:rPr>
            </w:pPr>
            <w:r w:rsidRPr="00256982">
              <w:rPr>
                <w:rFonts w:cs="Arial"/>
                <w:color w:val="000000"/>
                <w:szCs w:val="16"/>
              </w:rPr>
              <w:t>Other (please specify) – Other (please specify) Liquid Fuels</w:t>
            </w:r>
          </w:p>
        </w:tc>
        <w:tc>
          <w:tcPr>
            <w:tcW w:w="325" w:type="pct"/>
            <w:shd w:val="clear" w:color="auto" w:fill="auto"/>
          </w:tcPr>
          <w:p w14:paraId="5331184C" w14:textId="77777777" w:rsidR="00DE64BC" w:rsidRPr="00256982" w:rsidRDefault="00DE64BC" w:rsidP="00A808C7">
            <w:pPr>
              <w:pStyle w:val="TableText"/>
              <w:spacing w:before="40" w:after="40"/>
              <w:jc w:val="center"/>
              <w:rPr>
                <w:rFonts w:cs="Arial"/>
                <w:szCs w:val="16"/>
              </w:rPr>
            </w:pPr>
            <w:r w:rsidRPr="00256982">
              <w:rPr>
                <w:rFonts w:cs="Arial"/>
                <w:color w:val="000000"/>
                <w:szCs w:val="16"/>
              </w:rPr>
              <w:t>CO</w:t>
            </w:r>
            <w:r w:rsidRPr="00256982">
              <w:rPr>
                <w:rFonts w:cs="Arial"/>
                <w:color w:val="000000"/>
                <w:szCs w:val="16"/>
                <w:vertAlign w:val="subscript"/>
              </w:rPr>
              <w:t>2</w:t>
            </w:r>
          </w:p>
        </w:tc>
        <w:tc>
          <w:tcPr>
            <w:tcW w:w="532" w:type="pct"/>
            <w:shd w:val="clear" w:color="auto" w:fill="auto"/>
          </w:tcPr>
          <w:p w14:paraId="1D7E05EF"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51.5</w:t>
            </w:r>
          </w:p>
        </w:tc>
        <w:tc>
          <w:tcPr>
            <w:tcW w:w="520" w:type="pct"/>
            <w:shd w:val="clear" w:color="auto" w:fill="auto"/>
          </w:tcPr>
          <w:p w14:paraId="06B67200"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205.8</w:t>
            </w:r>
          </w:p>
        </w:tc>
        <w:tc>
          <w:tcPr>
            <w:tcW w:w="609" w:type="pct"/>
            <w:shd w:val="clear" w:color="auto" w:fill="auto"/>
          </w:tcPr>
          <w:p w14:paraId="20402B1D"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0.001</w:t>
            </w:r>
          </w:p>
        </w:tc>
        <w:tc>
          <w:tcPr>
            <w:tcW w:w="634" w:type="pct"/>
            <w:shd w:val="clear" w:color="auto" w:fill="auto"/>
          </w:tcPr>
          <w:p w14:paraId="58C2CB74"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0.2</w:t>
            </w:r>
          </w:p>
        </w:tc>
        <w:tc>
          <w:tcPr>
            <w:tcW w:w="576" w:type="pct"/>
            <w:shd w:val="clear" w:color="auto" w:fill="auto"/>
          </w:tcPr>
          <w:p w14:paraId="44040BC3"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94.7</w:t>
            </w:r>
          </w:p>
        </w:tc>
      </w:tr>
      <w:tr w:rsidR="00DE64BC" w:rsidRPr="00256982" w14:paraId="59055D1A" w14:textId="77777777" w:rsidTr="009A0D25">
        <w:tc>
          <w:tcPr>
            <w:tcW w:w="554" w:type="pct"/>
            <w:tcBorders>
              <w:bottom w:val="single" w:sz="4" w:space="0" w:color="365F91"/>
            </w:tcBorders>
          </w:tcPr>
          <w:p w14:paraId="53219275" w14:textId="77777777" w:rsidR="00DE64BC" w:rsidRPr="00256982" w:rsidRDefault="00DE64BC" w:rsidP="00A808C7">
            <w:pPr>
              <w:pStyle w:val="TableText"/>
              <w:spacing w:before="40" w:after="40"/>
              <w:rPr>
                <w:rFonts w:cs="Arial"/>
                <w:szCs w:val="16"/>
              </w:rPr>
            </w:pPr>
            <w:r w:rsidRPr="00256982">
              <w:rPr>
                <w:rFonts w:cs="Arial"/>
                <w:color w:val="000000"/>
                <w:szCs w:val="16"/>
              </w:rPr>
              <w:t>1.B.2.c.1.ii</w:t>
            </w:r>
          </w:p>
        </w:tc>
        <w:tc>
          <w:tcPr>
            <w:tcW w:w="1250" w:type="pct"/>
            <w:tcBorders>
              <w:bottom w:val="single" w:sz="4" w:space="0" w:color="365F91"/>
            </w:tcBorders>
            <w:shd w:val="clear" w:color="auto" w:fill="auto"/>
          </w:tcPr>
          <w:p w14:paraId="49FC67EC" w14:textId="77777777" w:rsidR="00DE64BC" w:rsidRPr="00256982" w:rsidRDefault="00DE64BC" w:rsidP="00A808C7">
            <w:pPr>
              <w:pStyle w:val="TableText"/>
              <w:spacing w:before="40" w:after="40"/>
              <w:rPr>
                <w:rFonts w:cs="Arial"/>
                <w:szCs w:val="16"/>
              </w:rPr>
            </w:pPr>
            <w:r w:rsidRPr="00256982">
              <w:rPr>
                <w:rFonts w:cs="Arial"/>
                <w:color w:val="000000"/>
                <w:szCs w:val="16"/>
              </w:rPr>
              <w:t>Venting – Gas</w:t>
            </w:r>
          </w:p>
        </w:tc>
        <w:tc>
          <w:tcPr>
            <w:tcW w:w="325" w:type="pct"/>
            <w:tcBorders>
              <w:bottom w:val="single" w:sz="4" w:space="0" w:color="365F91"/>
            </w:tcBorders>
            <w:shd w:val="clear" w:color="auto" w:fill="auto"/>
          </w:tcPr>
          <w:p w14:paraId="732BA545" w14:textId="77777777" w:rsidR="00DE64BC" w:rsidRPr="00256982" w:rsidRDefault="00DE64BC" w:rsidP="00A808C7">
            <w:pPr>
              <w:pStyle w:val="TableText"/>
              <w:spacing w:before="40" w:after="40"/>
              <w:jc w:val="center"/>
              <w:rPr>
                <w:rFonts w:cs="Arial"/>
                <w:szCs w:val="16"/>
              </w:rPr>
            </w:pPr>
            <w:r w:rsidRPr="00256982">
              <w:rPr>
                <w:rFonts w:cs="Arial"/>
                <w:color w:val="000000"/>
                <w:szCs w:val="16"/>
              </w:rPr>
              <w:t>CO</w:t>
            </w:r>
            <w:r w:rsidRPr="00256982">
              <w:rPr>
                <w:rFonts w:cs="Arial"/>
                <w:color w:val="000000"/>
                <w:szCs w:val="16"/>
                <w:vertAlign w:val="subscript"/>
              </w:rPr>
              <w:t>2</w:t>
            </w:r>
          </w:p>
        </w:tc>
        <w:tc>
          <w:tcPr>
            <w:tcW w:w="532" w:type="pct"/>
            <w:tcBorders>
              <w:bottom w:val="single" w:sz="4" w:space="0" w:color="365F91"/>
            </w:tcBorders>
            <w:shd w:val="clear" w:color="auto" w:fill="auto"/>
          </w:tcPr>
          <w:p w14:paraId="6C702E6B"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109.3</w:t>
            </w:r>
          </w:p>
        </w:tc>
        <w:tc>
          <w:tcPr>
            <w:tcW w:w="520" w:type="pct"/>
            <w:tcBorders>
              <w:bottom w:val="single" w:sz="4" w:space="0" w:color="365F91"/>
            </w:tcBorders>
            <w:shd w:val="clear" w:color="auto" w:fill="auto"/>
          </w:tcPr>
          <w:p w14:paraId="26B19D82"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258.5</w:t>
            </w:r>
          </w:p>
        </w:tc>
        <w:tc>
          <w:tcPr>
            <w:tcW w:w="609" w:type="pct"/>
            <w:tcBorders>
              <w:bottom w:val="single" w:sz="4" w:space="0" w:color="365F91"/>
            </w:tcBorders>
            <w:shd w:val="clear" w:color="auto" w:fill="auto"/>
          </w:tcPr>
          <w:p w14:paraId="06F44797"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0.001</w:t>
            </w:r>
          </w:p>
        </w:tc>
        <w:tc>
          <w:tcPr>
            <w:tcW w:w="634" w:type="pct"/>
            <w:tcBorders>
              <w:bottom w:val="single" w:sz="4" w:space="0" w:color="365F91"/>
            </w:tcBorders>
            <w:shd w:val="clear" w:color="auto" w:fill="auto"/>
          </w:tcPr>
          <w:p w14:paraId="646B2AA5"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0.2</w:t>
            </w:r>
          </w:p>
        </w:tc>
        <w:tc>
          <w:tcPr>
            <w:tcW w:w="576" w:type="pct"/>
            <w:tcBorders>
              <w:bottom w:val="single" w:sz="4" w:space="0" w:color="365F91"/>
            </w:tcBorders>
            <w:shd w:val="clear" w:color="auto" w:fill="auto"/>
          </w:tcPr>
          <w:p w14:paraId="7E4FDE05"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94.9</w:t>
            </w:r>
          </w:p>
        </w:tc>
      </w:tr>
      <w:tr w:rsidR="00DE64BC" w:rsidRPr="00256982" w14:paraId="321F108B" w14:textId="77777777" w:rsidTr="009A0D25">
        <w:tc>
          <w:tcPr>
            <w:tcW w:w="554" w:type="pct"/>
          </w:tcPr>
          <w:p w14:paraId="3DD18EE1" w14:textId="77777777" w:rsidR="00DE64BC" w:rsidRPr="00256982" w:rsidRDefault="00DE64BC" w:rsidP="00A808C7">
            <w:pPr>
              <w:pStyle w:val="TableText"/>
              <w:spacing w:before="40" w:after="40"/>
              <w:rPr>
                <w:rFonts w:cs="Arial"/>
                <w:szCs w:val="16"/>
              </w:rPr>
            </w:pPr>
            <w:r w:rsidRPr="00256982">
              <w:rPr>
                <w:rFonts w:cs="Arial"/>
                <w:color w:val="000000"/>
                <w:szCs w:val="16"/>
              </w:rPr>
              <w:t>1.B.2.b.5</w:t>
            </w:r>
          </w:p>
        </w:tc>
        <w:tc>
          <w:tcPr>
            <w:tcW w:w="1250" w:type="pct"/>
            <w:shd w:val="clear" w:color="auto" w:fill="auto"/>
          </w:tcPr>
          <w:p w14:paraId="2B631ED0" w14:textId="77777777" w:rsidR="00DE64BC" w:rsidRPr="00256982" w:rsidRDefault="00DE64BC" w:rsidP="00A808C7">
            <w:pPr>
              <w:pStyle w:val="TableText"/>
              <w:spacing w:before="40" w:after="40"/>
              <w:rPr>
                <w:rFonts w:cs="Arial"/>
                <w:szCs w:val="16"/>
              </w:rPr>
            </w:pPr>
            <w:r w:rsidRPr="00256982">
              <w:rPr>
                <w:rFonts w:cs="Arial"/>
                <w:color w:val="000000"/>
                <w:szCs w:val="16"/>
              </w:rPr>
              <w:t>Natural Gas – Distribution</w:t>
            </w:r>
          </w:p>
        </w:tc>
        <w:tc>
          <w:tcPr>
            <w:tcW w:w="325" w:type="pct"/>
            <w:shd w:val="clear" w:color="auto" w:fill="auto"/>
          </w:tcPr>
          <w:p w14:paraId="14A1D992" w14:textId="77777777" w:rsidR="00DE64BC" w:rsidRPr="00256982" w:rsidRDefault="00DE64BC" w:rsidP="00A808C7">
            <w:pPr>
              <w:pStyle w:val="TableText"/>
              <w:spacing w:before="40" w:after="40"/>
              <w:jc w:val="center"/>
              <w:rPr>
                <w:rFonts w:cs="Arial"/>
                <w:szCs w:val="16"/>
              </w:rPr>
            </w:pPr>
            <w:r w:rsidRPr="00256982">
              <w:rPr>
                <w:rFonts w:cs="Arial"/>
                <w:color w:val="000000"/>
                <w:szCs w:val="16"/>
              </w:rPr>
              <w:t>CH</w:t>
            </w:r>
            <w:r w:rsidRPr="00256982">
              <w:rPr>
                <w:rFonts w:cs="Arial"/>
                <w:color w:val="000000"/>
                <w:szCs w:val="16"/>
                <w:vertAlign w:val="subscript"/>
              </w:rPr>
              <w:t>4</w:t>
            </w:r>
          </w:p>
        </w:tc>
        <w:tc>
          <w:tcPr>
            <w:tcW w:w="532" w:type="pct"/>
            <w:shd w:val="clear" w:color="auto" w:fill="auto"/>
          </w:tcPr>
          <w:p w14:paraId="20247EDF"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277.5</w:t>
            </w:r>
          </w:p>
        </w:tc>
        <w:tc>
          <w:tcPr>
            <w:tcW w:w="520" w:type="pct"/>
            <w:shd w:val="clear" w:color="auto" w:fill="auto"/>
          </w:tcPr>
          <w:p w14:paraId="3323F9C5"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208.4</w:t>
            </w:r>
          </w:p>
        </w:tc>
        <w:tc>
          <w:tcPr>
            <w:tcW w:w="609" w:type="pct"/>
            <w:shd w:val="clear" w:color="auto" w:fill="auto"/>
          </w:tcPr>
          <w:p w14:paraId="0631BC5B"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0.001</w:t>
            </w:r>
          </w:p>
        </w:tc>
        <w:tc>
          <w:tcPr>
            <w:tcW w:w="634" w:type="pct"/>
            <w:shd w:val="clear" w:color="auto" w:fill="auto"/>
          </w:tcPr>
          <w:p w14:paraId="3D13B4F8"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0.2</w:t>
            </w:r>
          </w:p>
        </w:tc>
        <w:tc>
          <w:tcPr>
            <w:tcW w:w="576" w:type="pct"/>
            <w:shd w:val="clear" w:color="auto" w:fill="auto"/>
          </w:tcPr>
          <w:p w14:paraId="381253A1"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95.1</w:t>
            </w:r>
          </w:p>
        </w:tc>
      </w:tr>
    </w:tbl>
    <w:p w14:paraId="6CCA8227" w14:textId="77777777" w:rsidR="00DE64BC" w:rsidRPr="00256982" w:rsidRDefault="00DE64BC" w:rsidP="00A808C7">
      <w:pPr>
        <w:pStyle w:val="BodyText"/>
      </w:pPr>
    </w:p>
    <w:tbl>
      <w:tblPr>
        <w:tblW w:w="8562" w:type="dxa"/>
        <w:tblInd w:w="108" w:type="dxa"/>
        <w:tblBorders>
          <w:top w:val="single" w:sz="4" w:space="0" w:color="365F91"/>
          <w:bottom w:val="single" w:sz="8" w:space="0" w:color="365F91"/>
          <w:insideH w:val="single" w:sz="4" w:space="0" w:color="365F91"/>
        </w:tblBorders>
        <w:tblLayout w:type="fixed"/>
        <w:tblCellMar>
          <w:left w:w="57" w:type="dxa"/>
          <w:right w:w="57" w:type="dxa"/>
        </w:tblCellMar>
        <w:tblLook w:val="04A0" w:firstRow="1" w:lastRow="0" w:firstColumn="1" w:lastColumn="0" w:noHBand="0" w:noVBand="1"/>
      </w:tblPr>
      <w:tblGrid>
        <w:gridCol w:w="947"/>
        <w:gridCol w:w="2070"/>
        <w:gridCol w:w="637"/>
        <w:gridCol w:w="906"/>
        <w:gridCol w:w="873"/>
        <w:gridCol w:w="1057"/>
        <w:gridCol w:w="1084"/>
        <w:gridCol w:w="988"/>
      </w:tblGrid>
      <w:tr w:rsidR="00DE64BC" w:rsidRPr="00256982" w14:paraId="284854E6" w14:textId="77777777" w:rsidTr="009A0D25">
        <w:trPr>
          <w:tblHeader/>
        </w:trPr>
        <w:tc>
          <w:tcPr>
            <w:tcW w:w="5000" w:type="pct"/>
            <w:gridSpan w:val="8"/>
            <w:tcBorders>
              <w:top w:val="single" w:sz="4" w:space="0" w:color="365F91"/>
              <w:bottom w:val="single" w:sz="4" w:space="0" w:color="365F91"/>
            </w:tcBorders>
            <w:shd w:val="solid" w:color="365F91" w:fill="auto"/>
          </w:tcPr>
          <w:p w14:paraId="2FF01452" w14:textId="77777777" w:rsidR="00DE64BC" w:rsidRPr="00256982" w:rsidRDefault="00DE64BC" w:rsidP="00A808C7">
            <w:pPr>
              <w:pStyle w:val="TableTextBold"/>
              <w:keepNext/>
              <w:rPr>
                <w:noProof w:val="0"/>
                <w:color w:val="FFFFFF"/>
                <w:lang w:eastAsia="en-NZ"/>
              </w:rPr>
            </w:pPr>
            <w:r w:rsidRPr="00256982">
              <w:rPr>
                <w:noProof w:val="0"/>
                <w:color w:val="FFFFFF"/>
                <w:lang w:eastAsia="en-NZ"/>
              </w:rPr>
              <w:t xml:space="preserve">(b) IPCC Tier 1 category trend assessment – excluding LULUCF (gross emissions) </w:t>
            </w:r>
          </w:p>
        </w:tc>
      </w:tr>
      <w:tr w:rsidR="00DE64BC" w:rsidRPr="00256982" w14:paraId="605C4654" w14:textId="77777777" w:rsidTr="009A0D25">
        <w:trPr>
          <w:tblHeader/>
        </w:trPr>
        <w:tc>
          <w:tcPr>
            <w:tcW w:w="553" w:type="pct"/>
            <w:tcBorders>
              <w:bottom w:val="single" w:sz="4" w:space="0" w:color="365F91"/>
            </w:tcBorders>
            <w:shd w:val="clear" w:color="2E74B5" w:fill="auto"/>
            <w:vAlign w:val="bottom"/>
          </w:tcPr>
          <w:p w14:paraId="79EDBD7D" w14:textId="77777777" w:rsidR="00DE64BC" w:rsidRPr="00256982" w:rsidRDefault="00DE64BC" w:rsidP="00A808C7">
            <w:pPr>
              <w:pStyle w:val="TableTextBold"/>
              <w:keepNext/>
              <w:rPr>
                <w:rFonts w:cs="Arial"/>
                <w:noProof w:val="0"/>
                <w:szCs w:val="16"/>
                <w:lang w:eastAsia="en-NZ"/>
              </w:rPr>
            </w:pPr>
            <w:r w:rsidRPr="00256982">
              <w:rPr>
                <w:rFonts w:cs="Arial"/>
                <w:bCs/>
                <w:noProof w:val="0"/>
                <w:color w:val="000000"/>
                <w:szCs w:val="16"/>
              </w:rPr>
              <w:t>CRF category code</w:t>
            </w:r>
          </w:p>
        </w:tc>
        <w:tc>
          <w:tcPr>
            <w:tcW w:w="1209" w:type="pct"/>
            <w:tcBorders>
              <w:bottom w:val="single" w:sz="4" w:space="0" w:color="365F91"/>
            </w:tcBorders>
            <w:shd w:val="clear" w:color="2E74B5" w:fill="auto"/>
            <w:noWrap/>
            <w:vAlign w:val="bottom"/>
            <w:hideMark/>
          </w:tcPr>
          <w:p w14:paraId="308B5E9F" w14:textId="77777777" w:rsidR="00DE64BC" w:rsidRPr="00256982" w:rsidRDefault="00DE64BC" w:rsidP="00A808C7">
            <w:pPr>
              <w:pStyle w:val="TableTextBold"/>
              <w:rPr>
                <w:rFonts w:cs="Arial"/>
                <w:noProof w:val="0"/>
                <w:szCs w:val="16"/>
                <w:lang w:eastAsia="en-NZ"/>
              </w:rPr>
            </w:pPr>
            <w:r w:rsidRPr="00256982">
              <w:rPr>
                <w:rFonts w:cs="Arial"/>
                <w:bCs/>
                <w:noProof w:val="0"/>
                <w:color w:val="000000"/>
                <w:szCs w:val="16"/>
              </w:rPr>
              <w:t>IPCC category</w:t>
            </w:r>
          </w:p>
        </w:tc>
        <w:tc>
          <w:tcPr>
            <w:tcW w:w="372" w:type="pct"/>
            <w:tcBorders>
              <w:bottom w:val="single" w:sz="4" w:space="0" w:color="365F91"/>
            </w:tcBorders>
            <w:shd w:val="clear" w:color="2E74B5" w:fill="auto"/>
            <w:noWrap/>
            <w:vAlign w:val="bottom"/>
            <w:hideMark/>
          </w:tcPr>
          <w:p w14:paraId="6DB9B720" w14:textId="77777777" w:rsidR="00DE64BC" w:rsidRPr="00256982" w:rsidRDefault="00DE64BC" w:rsidP="00A808C7">
            <w:pPr>
              <w:pStyle w:val="TableTextBold"/>
              <w:jc w:val="center"/>
              <w:rPr>
                <w:rFonts w:cs="Arial"/>
                <w:noProof w:val="0"/>
                <w:szCs w:val="16"/>
                <w:lang w:eastAsia="en-NZ"/>
              </w:rPr>
            </w:pPr>
            <w:r w:rsidRPr="00256982">
              <w:rPr>
                <w:rFonts w:cs="Arial"/>
                <w:bCs/>
                <w:noProof w:val="0"/>
                <w:color w:val="000000"/>
                <w:szCs w:val="16"/>
              </w:rPr>
              <w:t>Gas</w:t>
            </w:r>
          </w:p>
        </w:tc>
        <w:tc>
          <w:tcPr>
            <w:tcW w:w="529" w:type="pct"/>
            <w:tcBorders>
              <w:bottom w:val="single" w:sz="4" w:space="0" w:color="365F91"/>
            </w:tcBorders>
            <w:shd w:val="clear" w:color="2E74B5" w:fill="auto"/>
            <w:noWrap/>
            <w:vAlign w:val="bottom"/>
            <w:hideMark/>
          </w:tcPr>
          <w:p w14:paraId="08B33DC4" w14:textId="77777777" w:rsidR="00DE64BC" w:rsidRPr="00256982" w:rsidRDefault="00DE64BC" w:rsidP="00A808C7">
            <w:pPr>
              <w:pStyle w:val="TableTextBold"/>
              <w:jc w:val="right"/>
              <w:rPr>
                <w:rFonts w:cs="Arial"/>
                <w:noProof w:val="0"/>
                <w:szCs w:val="16"/>
                <w:lang w:eastAsia="en-NZ"/>
              </w:rPr>
            </w:pPr>
            <w:r w:rsidRPr="00256982">
              <w:rPr>
                <w:rFonts w:cs="Arial"/>
                <w:bCs/>
                <w:noProof w:val="0"/>
                <w:color w:val="000000"/>
                <w:szCs w:val="16"/>
              </w:rPr>
              <w:t>1990 estimate</w:t>
            </w:r>
            <w:r w:rsidRPr="00256982">
              <w:rPr>
                <w:rFonts w:cs="Arial"/>
                <w:bCs/>
                <w:noProof w:val="0"/>
                <w:color w:val="000000"/>
                <w:szCs w:val="16"/>
              </w:rPr>
              <w:br/>
              <w:t>(kt CO</w:t>
            </w:r>
            <w:r w:rsidRPr="00256982">
              <w:rPr>
                <w:rFonts w:cs="Arial"/>
                <w:bCs/>
                <w:noProof w:val="0"/>
                <w:color w:val="000000"/>
                <w:szCs w:val="16"/>
                <w:vertAlign w:val="subscript"/>
              </w:rPr>
              <w:t>2</w:t>
            </w:r>
            <w:r w:rsidRPr="00256982">
              <w:rPr>
                <w:rFonts w:cs="Arial"/>
                <w:bCs/>
                <w:noProof w:val="0"/>
                <w:color w:val="000000"/>
                <w:szCs w:val="16"/>
              </w:rPr>
              <w:t>-e)</w:t>
            </w:r>
          </w:p>
        </w:tc>
        <w:tc>
          <w:tcPr>
            <w:tcW w:w="510" w:type="pct"/>
            <w:tcBorders>
              <w:bottom w:val="single" w:sz="4" w:space="0" w:color="365F91"/>
            </w:tcBorders>
            <w:shd w:val="clear" w:color="2E74B5" w:fill="auto"/>
            <w:noWrap/>
            <w:vAlign w:val="bottom"/>
            <w:hideMark/>
          </w:tcPr>
          <w:p w14:paraId="5F55347C" w14:textId="77777777" w:rsidR="00DE64BC" w:rsidRPr="00256982" w:rsidRDefault="00DE64BC" w:rsidP="00A808C7">
            <w:pPr>
              <w:pStyle w:val="TableTextBold"/>
              <w:jc w:val="right"/>
              <w:rPr>
                <w:rFonts w:cs="Arial"/>
                <w:noProof w:val="0"/>
                <w:szCs w:val="16"/>
                <w:lang w:eastAsia="en-NZ"/>
              </w:rPr>
            </w:pPr>
            <w:r w:rsidRPr="00256982">
              <w:rPr>
                <w:rFonts w:cs="Arial"/>
                <w:bCs/>
                <w:noProof w:val="0"/>
                <w:color w:val="000000"/>
                <w:szCs w:val="16"/>
              </w:rPr>
              <w:t>2017 estimate</w:t>
            </w:r>
            <w:r w:rsidRPr="00256982">
              <w:rPr>
                <w:rFonts w:cs="Arial"/>
                <w:bCs/>
                <w:noProof w:val="0"/>
                <w:color w:val="000000"/>
                <w:szCs w:val="16"/>
              </w:rPr>
              <w:br/>
              <w:t>(kt CO</w:t>
            </w:r>
            <w:r w:rsidRPr="00256982">
              <w:rPr>
                <w:rFonts w:cs="Arial"/>
                <w:bCs/>
                <w:noProof w:val="0"/>
                <w:color w:val="000000"/>
                <w:szCs w:val="16"/>
                <w:vertAlign w:val="subscript"/>
              </w:rPr>
              <w:t>2</w:t>
            </w:r>
            <w:r w:rsidRPr="00256982">
              <w:rPr>
                <w:rFonts w:cs="Arial"/>
                <w:bCs/>
                <w:noProof w:val="0"/>
                <w:color w:val="000000"/>
                <w:szCs w:val="16"/>
              </w:rPr>
              <w:t>-e)</w:t>
            </w:r>
          </w:p>
        </w:tc>
        <w:tc>
          <w:tcPr>
            <w:tcW w:w="617" w:type="pct"/>
            <w:tcBorders>
              <w:bottom w:val="single" w:sz="4" w:space="0" w:color="365F91"/>
            </w:tcBorders>
            <w:shd w:val="clear" w:color="2E74B5" w:fill="auto"/>
            <w:noWrap/>
            <w:vAlign w:val="bottom"/>
            <w:hideMark/>
          </w:tcPr>
          <w:p w14:paraId="62CB604C" w14:textId="77777777" w:rsidR="00DE64BC" w:rsidRPr="00256982" w:rsidRDefault="00DE64BC" w:rsidP="00A808C7">
            <w:pPr>
              <w:pStyle w:val="TableTextBold"/>
              <w:jc w:val="right"/>
              <w:rPr>
                <w:rFonts w:cs="Arial"/>
                <w:noProof w:val="0"/>
                <w:szCs w:val="16"/>
                <w:lang w:eastAsia="en-NZ"/>
              </w:rPr>
            </w:pPr>
            <w:r w:rsidRPr="00256982">
              <w:rPr>
                <w:rFonts w:cs="Arial"/>
                <w:bCs/>
                <w:noProof w:val="0"/>
                <w:color w:val="000000"/>
                <w:szCs w:val="16"/>
              </w:rPr>
              <w:t>Trend assessment</w:t>
            </w:r>
          </w:p>
        </w:tc>
        <w:tc>
          <w:tcPr>
            <w:tcW w:w="633" w:type="pct"/>
            <w:tcBorders>
              <w:bottom w:val="single" w:sz="4" w:space="0" w:color="365F91"/>
            </w:tcBorders>
            <w:shd w:val="clear" w:color="2E74B5" w:fill="auto"/>
            <w:noWrap/>
            <w:vAlign w:val="bottom"/>
            <w:hideMark/>
          </w:tcPr>
          <w:p w14:paraId="2F3A28FD" w14:textId="77777777" w:rsidR="00DE64BC" w:rsidRPr="00256982" w:rsidRDefault="00DE64BC" w:rsidP="00A808C7">
            <w:pPr>
              <w:pStyle w:val="TableTextBold"/>
              <w:jc w:val="right"/>
              <w:rPr>
                <w:rFonts w:cs="Arial"/>
                <w:noProof w:val="0"/>
                <w:szCs w:val="16"/>
                <w:lang w:eastAsia="en-NZ"/>
              </w:rPr>
            </w:pPr>
            <w:r w:rsidRPr="00256982">
              <w:rPr>
                <w:rFonts w:cs="Arial"/>
                <w:bCs/>
                <w:noProof w:val="0"/>
                <w:color w:val="000000"/>
                <w:szCs w:val="16"/>
              </w:rPr>
              <w:t>Absolute contribution to trend (%)</w:t>
            </w:r>
          </w:p>
        </w:tc>
        <w:tc>
          <w:tcPr>
            <w:tcW w:w="577" w:type="pct"/>
            <w:tcBorders>
              <w:bottom w:val="single" w:sz="4" w:space="0" w:color="365F91"/>
            </w:tcBorders>
            <w:shd w:val="clear" w:color="2E74B5" w:fill="auto"/>
            <w:noWrap/>
            <w:vAlign w:val="bottom"/>
            <w:hideMark/>
          </w:tcPr>
          <w:p w14:paraId="65434288" w14:textId="77777777" w:rsidR="00DE64BC" w:rsidRPr="00256982" w:rsidRDefault="00DE64BC" w:rsidP="00A808C7">
            <w:pPr>
              <w:pStyle w:val="TableTextBold"/>
              <w:jc w:val="right"/>
              <w:rPr>
                <w:rFonts w:cs="Arial"/>
                <w:noProof w:val="0"/>
                <w:szCs w:val="16"/>
                <w:lang w:eastAsia="en-NZ"/>
              </w:rPr>
            </w:pPr>
            <w:r w:rsidRPr="00256982">
              <w:rPr>
                <w:rFonts w:cs="Arial"/>
                <w:bCs/>
                <w:noProof w:val="0"/>
                <w:color w:val="000000"/>
                <w:szCs w:val="16"/>
              </w:rPr>
              <w:t>Absolute cumulative total (%)</w:t>
            </w:r>
          </w:p>
        </w:tc>
      </w:tr>
      <w:tr w:rsidR="00DE64BC" w:rsidRPr="00256982" w14:paraId="1F5AC300" w14:textId="77777777" w:rsidTr="009A0D25">
        <w:tc>
          <w:tcPr>
            <w:tcW w:w="553" w:type="pct"/>
            <w:tcBorders>
              <w:bottom w:val="single" w:sz="4" w:space="0" w:color="365F91"/>
            </w:tcBorders>
          </w:tcPr>
          <w:p w14:paraId="4F02E612" w14:textId="77777777" w:rsidR="00DE64BC" w:rsidRPr="00256982" w:rsidRDefault="00DE64BC" w:rsidP="00A808C7">
            <w:pPr>
              <w:pStyle w:val="TableText"/>
              <w:spacing w:before="40" w:after="40"/>
              <w:rPr>
                <w:rFonts w:cs="Arial"/>
                <w:szCs w:val="16"/>
              </w:rPr>
            </w:pPr>
            <w:r w:rsidRPr="00256982">
              <w:rPr>
                <w:rFonts w:cs="Arial"/>
                <w:color w:val="000000"/>
                <w:szCs w:val="16"/>
              </w:rPr>
              <w:t>3.A.2</w:t>
            </w:r>
          </w:p>
        </w:tc>
        <w:tc>
          <w:tcPr>
            <w:tcW w:w="1209" w:type="pct"/>
            <w:tcBorders>
              <w:bottom w:val="single" w:sz="4" w:space="0" w:color="365F91"/>
            </w:tcBorders>
            <w:shd w:val="clear" w:color="auto" w:fill="auto"/>
            <w:noWrap/>
          </w:tcPr>
          <w:p w14:paraId="3D412D69" w14:textId="77777777" w:rsidR="00DE64BC" w:rsidRPr="00256982" w:rsidRDefault="00DE64BC" w:rsidP="00A808C7">
            <w:pPr>
              <w:pStyle w:val="TableText"/>
              <w:spacing w:before="40" w:after="40"/>
              <w:rPr>
                <w:rFonts w:cs="Arial"/>
                <w:szCs w:val="16"/>
              </w:rPr>
            </w:pPr>
            <w:r w:rsidRPr="00256982">
              <w:rPr>
                <w:rFonts w:cs="Arial"/>
                <w:color w:val="000000"/>
                <w:szCs w:val="16"/>
              </w:rPr>
              <w:t>Other (please specify) – Sheep</w:t>
            </w:r>
          </w:p>
        </w:tc>
        <w:tc>
          <w:tcPr>
            <w:tcW w:w="372" w:type="pct"/>
            <w:tcBorders>
              <w:bottom w:val="single" w:sz="4" w:space="0" w:color="365F91"/>
            </w:tcBorders>
            <w:shd w:val="clear" w:color="auto" w:fill="auto"/>
            <w:noWrap/>
          </w:tcPr>
          <w:p w14:paraId="0877EC11" w14:textId="77777777" w:rsidR="00DE64BC" w:rsidRPr="00256982" w:rsidRDefault="00DE64BC" w:rsidP="00A808C7">
            <w:pPr>
              <w:pStyle w:val="TableText"/>
              <w:spacing w:before="40" w:after="40"/>
              <w:jc w:val="center"/>
              <w:rPr>
                <w:rFonts w:cs="Arial"/>
                <w:szCs w:val="16"/>
              </w:rPr>
            </w:pPr>
            <w:r w:rsidRPr="00256982">
              <w:rPr>
                <w:rFonts w:cs="Arial"/>
                <w:color w:val="000000"/>
                <w:szCs w:val="16"/>
              </w:rPr>
              <w:t>CH</w:t>
            </w:r>
            <w:r w:rsidRPr="00256982">
              <w:rPr>
                <w:rFonts w:cs="Arial"/>
                <w:color w:val="000000"/>
                <w:szCs w:val="16"/>
                <w:vertAlign w:val="subscript"/>
              </w:rPr>
              <w:t>4</w:t>
            </w:r>
          </w:p>
        </w:tc>
        <w:tc>
          <w:tcPr>
            <w:tcW w:w="529" w:type="pct"/>
            <w:tcBorders>
              <w:bottom w:val="single" w:sz="4" w:space="0" w:color="365F91"/>
            </w:tcBorders>
            <w:shd w:val="clear" w:color="auto" w:fill="auto"/>
            <w:noWrap/>
          </w:tcPr>
          <w:p w14:paraId="7BA7F042"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14,085.7</w:t>
            </w:r>
          </w:p>
        </w:tc>
        <w:tc>
          <w:tcPr>
            <w:tcW w:w="510" w:type="pct"/>
            <w:tcBorders>
              <w:bottom w:val="single" w:sz="4" w:space="0" w:color="365F91"/>
            </w:tcBorders>
            <w:shd w:val="clear" w:color="auto" w:fill="auto"/>
            <w:noWrap/>
          </w:tcPr>
          <w:p w14:paraId="74B91AFF"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8,253.1</w:t>
            </w:r>
          </w:p>
        </w:tc>
        <w:tc>
          <w:tcPr>
            <w:tcW w:w="617" w:type="pct"/>
            <w:tcBorders>
              <w:bottom w:val="single" w:sz="4" w:space="0" w:color="365F91"/>
            </w:tcBorders>
            <w:shd w:val="clear" w:color="auto" w:fill="auto"/>
            <w:noWrap/>
          </w:tcPr>
          <w:p w14:paraId="7C4D8EC3"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0.091</w:t>
            </w:r>
          </w:p>
        </w:tc>
        <w:tc>
          <w:tcPr>
            <w:tcW w:w="633" w:type="pct"/>
            <w:tcBorders>
              <w:bottom w:val="single" w:sz="4" w:space="0" w:color="365F91"/>
            </w:tcBorders>
            <w:shd w:val="clear" w:color="auto" w:fill="auto"/>
            <w:noWrap/>
          </w:tcPr>
          <w:p w14:paraId="466ABEDC"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22.3</w:t>
            </w:r>
          </w:p>
        </w:tc>
        <w:tc>
          <w:tcPr>
            <w:tcW w:w="577" w:type="pct"/>
            <w:tcBorders>
              <w:bottom w:val="single" w:sz="4" w:space="0" w:color="365F91"/>
            </w:tcBorders>
            <w:shd w:val="clear" w:color="auto" w:fill="auto"/>
            <w:noWrap/>
          </w:tcPr>
          <w:p w14:paraId="0828C6AE"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22.3</w:t>
            </w:r>
          </w:p>
        </w:tc>
      </w:tr>
      <w:tr w:rsidR="00DE64BC" w:rsidRPr="00256982" w14:paraId="6045B7B1" w14:textId="77777777" w:rsidTr="009A0D25">
        <w:tc>
          <w:tcPr>
            <w:tcW w:w="553" w:type="pct"/>
            <w:tcBorders>
              <w:bottom w:val="single" w:sz="4" w:space="0" w:color="365F91"/>
            </w:tcBorders>
          </w:tcPr>
          <w:p w14:paraId="77F79CE8" w14:textId="77777777" w:rsidR="00DE64BC" w:rsidRPr="00256982" w:rsidRDefault="00DE64BC" w:rsidP="00A808C7">
            <w:pPr>
              <w:pStyle w:val="TableText"/>
              <w:spacing w:before="40" w:after="40"/>
              <w:rPr>
                <w:rFonts w:cs="Arial"/>
                <w:szCs w:val="16"/>
              </w:rPr>
            </w:pPr>
            <w:r w:rsidRPr="00256982">
              <w:rPr>
                <w:rFonts w:cs="Arial"/>
                <w:color w:val="000000"/>
                <w:szCs w:val="16"/>
              </w:rPr>
              <w:t>3.A.1</w:t>
            </w:r>
          </w:p>
        </w:tc>
        <w:tc>
          <w:tcPr>
            <w:tcW w:w="1209" w:type="pct"/>
            <w:tcBorders>
              <w:bottom w:val="single" w:sz="4" w:space="0" w:color="365F91"/>
            </w:tcBorders>
            <w:shd w:val="clear" w:color="auto" w:fill="auto"/>
            <w:noWrap/>
          </w:tcPr>
          <w:p w14:paraId="714B5C2D" w14:textId="77777777" w:rsidR="00DE64BC" w:rsidRPr="00256982" w:rsidRDefault="00DE64BC" w:rsidP="00A808C7">
            <w:pPr>
              <w:pStyle w:val="TableText"/>
              <w:spacing w:before="40" w:after="40"/>
              <w:rPr>
                <w:rFonts w:cs="Arial"/>
                <w:szCs w:val="16"/>
              </w:rPr>
            </w:pPr>
            <w:r w:rsidRPr="00256982">
              <w:rPr>
                <w:rFonts w:cs="Arial"/>
                <w:color w:val="000000"/>
                <w:szCs w:val="16"/>
              </w:rPr>
              <w:t>Option A – Dairy Cattle</w:t>
            </w:r>
          </w:p>
        </w:tc>
        <w:tc>
          <w:tcPr>
            <w:tcW w:w="372" w:type="pct"/>
            <w:tcBorders>
              <w:bottom w:val="single" w:sz="4" w:space="0" w:color="365F91"/>
            </w:tcBorders>
            <w:shd w:val="clear" w:color="auto" w:fill="auto"/>
            <w:noWrap/>
          </w:tcPr>
          <w:p w14:paraId="731C19C3" w14:textId="77777777" w:rsidR="00DE64BC" w:rsidRPr="00256982" w:rsidRDefault="00DE64BC" w:rsidP="00A808C7">
            <w:pPr>
              <w:pStyle w:val="TableText"/>
              <w:spacing w:before="40" w:after="40"/>
              <w:jc w:val="center"/>
              <w:rPr>
                <w:rFonts w:cs="Arial"/>
                <w:szCs w:val="16"/>
              </w:rPr>
            </w:pPr>
            <w:r w:rsidRPr="00256982">
              <w:rPr>
                <w:rFonts w:cs="Arial"/>
                <w:color w:val="000000"/>
                <w:szCs w:val="16"/>
              </w:rPr>
              <w:t>CH</w:t>
            </w:r>
            <w:r w:rsidRPr="00256982">
              <w:rPr>
                <w:rFonts w:cs="Arial"/>
                <w:color w:val="000000"/>
                <w:szCs w:val="16"/>
                <w:vertAlign w:val="subscript"/>
              </w:rPr>
              <w:t>4</w:t>
            </w:r>
          </w:p>
        </w:tc>
        <w:tc>
          <w:tcPr>
            <w:tcW w:w="529" w:type="pct"/>
            <w:tcBorders>
              <w:bottom w:val="single" w:sz="4" w:space="0" w:color="365F91"/>
            </w:tcBorders>
            <w:shd w:val="clear" w:color="auto" w:fill="auto"/>
            <w:noWrap/>
          </w:tcPr>
          <w:p w14:paraId="181551F1"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5,928.0</w:t>
            </w:r>
          </w:p>
        </w:tc>
        <w:tc>
          <w:tcPr>
            <w:tcW w:w="510" w:type="pct"/>
            <w:tcBorders>
              <w:bottom w:val="single" w:sz="4" w:space="0" w:color="365F91"/>
            </w:tcBorders>
            <w:shd w:val="clear" w:color="auto" w:fill="auto"/>
            <w:noWrap/>
          </w:tcPr>
          <w:p w14:paraId="04F54706"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13,560.1</w:t>
            </w:r>
          </w:p>
        </w:tc>
        <w:tc>
          <w:tcPr>
            <w:tcW w:w="617" w:type="pct"/>
            <w:tcBorders>
              <w:bottom w:val="single" w:sz="4" w:space="0" w:color="365F91"/>
            </w:tcBorders>
            <w:shd w:val="clear" w:color="auto" w:fill="auto"/>
            <w:noWrap/>
          </w:tcPr>
          <w:p w14:paraId="50B254B2"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0.063</w:t>
            </w:r>
          </w:p>
        </w:tc>
        <w:tc>
          <w:tcPr>
            <w:tcW w:w="633" w:type="pct"/>
            <w:tcBorders>
              <w:bottom w:val="single" w:sz="4" w:space="0" w:color="365F91"/>
            </w:tcBorders>
            <w:shd w:val="clear" w:color="auto" w:fill="auto"/>
            <w:noWrap/>
          </w:tcPr>
          <w:p w14:paraId="64680E3F"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15.4</w:t>
            </w:r>
          </w:p>
        </w:tc>
        <w:tc>
          <w:tcPr>
            <w:tcW w:w="577" w:type="pct"/>
            <w:tcBorders>
              <w:bottom w:val="single" w:sz="4" w:space="0" w:color="365F91"/>
            </w:tcBorders>
            <w:shd w:val="clear" w:color="auto" w:fill="auto"/>
            <w:noWrap/>
          </w:tcPr>
          <w:p w14:paraId="06F78213"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37.7</w:t>
            </w:r>
          </w:p>
        </w:tc>
      </w:tr>
      <w:tr w:rsidR="00DE64BC" w:rsidRPr="00256982" w14:paraId="0CB0FD04" w14:textId="77777777" w:rsidTr="009A0D25">
        <w:tc>
          <w:tcPr>
            <w:tcW w:w="553" w:type="pct"/>
            <w:tcBorders>
              <w:bottom w:val="single" w:sz="4" w:space="0" w:color="365F91"/>
            </w:tcBorders>
          </w:tcPr>
          <w:p w14:paraId="6DA4E241" w14:textId="77777777" w:rsidR="00DE64BC" w:rsidRPr="00256982" w:rsidRDefault="00DE64BC" w:rsidP="00A808C7">
            <w:pPr>
              <w:pStyle w:val="TableText"/>
              <w:spacing w:before="40" w:after="40"/>
              <w:rPr>
                <w:rFonts w:cs="Arial"/>
                <w:szCs w:val="16"/>
              </w:rPr>
            </w:pPr>
            <w:r w:rsidRPr="00256982">
              <w:rPr>
                <w:rFonts w:cs="Arial"/>
                <w:color w:val="000000"/>
                <w:szCs w:val="16"/>
              </w:rPr>
              <w:t>1.A.3.b</w:t>
            </w:r>
          </w:p>
        </w:tc>
        <w:tc>
          <w:tcPr>
            <w:tcW w:w="1209" w:type="pct"/>
            <w:tcBorders>
              <w:bottom w:val="single" w:sz="4" w:space="0" w:color="365F91"/>
            </w:tcBorders>
            <w:shd w:val="clear" w:color="auto" w:fill="auto"/>
            <w:noWrap/>
          </w:tcPr>
          <w:p w14:paraId="6988D976" w14:textId="77777777" w:rsidR="00DE64BC" w:rsidRPr="00256982" w:rsidRDefault="00DE64BC" w:rsidP="00A808C7">
            <w:pPr>
              <w:pStyle w:val="TableText"/>
              <w:spacing w:before="40" w:after="40"/>
              <w:rPr>
                <w:rFonts w:cs="Arial"/>
                <w:szCs w:val="16"/>
              </w:rPr>
            </w:pPr>
            <w:r w:rsidRPr="00256982">
              <w:rPr>
                <w:rFonts w:cs="Arial"/>
                <w:color w:val="000000"/>
                <w:szCs w:val="16"/>
              </w:rPr>
              <w:t>Transport – Road Transportation Liquid Fuels</w:t>
            </w:r>
          </w:p>
        </w:tc>
        <w:tc>
          <w:tcPr>
            <w:tcW w:w="372" w:type="pct"/>
            <w:tcBorders>
              <w:bottom w:val="single" w:sz="4" w:space="0" w:color="365F91"/>
            </w:tcBorders>
            <w:shd w:val="clear" w:color="auto" w:fill="auto"/>
            <w:noWrap/>
          </w:tcPr>
          <w:p w14:paraId="420B7BD4" w14:textId="77777777" w:rsidR="00DE64BC" w:rsidRPr="00256982" w:rsidRDefault="00DE64BC" w:rsidP="00A808C7">
            <w:pPr>
              <w:pStyle w:val="TableText"/>
              <w:spacing w:before="40" w:after="40"/>
              <w:jc w:val="center"/>
              <w:rPr>
                <w:rFonts w:cs="Arial"/>
                <w:szCs w:val="16"/>
              </w:rPr>
            </w:pPr>
            <w:r w:rsidRPr="00256982">
              <w:rPr>
                <w:rFonts w:cs="Arial"/>
                <w:color w:val="000000"/>
                <w:szCs w:val="16"/>
              </w:rPr>
              <w:t>CO</w:t>
            </w:r>
            <w:r w:rsidRPr="00256982">
              <w:rPr>
                <w:rFonts w:cs="Arial"/>
                <w:color w:val="000000"/>
                <w:szCs w:val="16"/>
                <w:vertAlign w:val="subscript"/>
              </w:rPr>
              <w:t>2</w:t>
            </w:r>
          </w:p>
        </w:tc>
        <w:tc>
          <w:tcPr>
            <w:tcW w:w="529" w:type="pct"/>
            <w:tcBorders>
              <w:bottom w:val="single" w:sz="4" w:space="0" w:color="365F91"/>
            </w:tcBorders>
            <w:shd w:val="clear" w:color="auto" w:fill="auto"/>
            <w:noWrap/>
          </w:tcPr>
          <w:p w14:paraId="4D9A4670"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7,164.6</w:t>
            </w:r>
          </w:p>
        </w:tc>
        <w:tc>
          <w:tcPr>
            <w:tcW w:w="510" w:type="pct"/>
            <w:tcBorders>
              <w:bottom w:val="single" w:sz="4" w:space="0" w:color="365F91"/>
            </w:tcBorders>
            <w:shd w:val="clear" w:color="auto" w:fill="auto"/>
            <w:noWrap/>
          </w:tcPr>
          <w:p w14:paraId="328D0909"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14,335.0</w:t>
            </w:r>
          </w:p>
        </w:tc>
        <w:tc>
          <w:tcPr>
            <w:tcW w:w="617" w:type="pct"/>
            <w:tcBorders>
              <w:bottom w:val="single" w:sz="4" w:space="0" w:color="365F91"/>
            </w:tcBorders>
            <w:shd w:val="clear" w:color="auto" w:fill="auto"/>
            <w:noWrap/>
          </w:tcPr>
          <w:p w14:paraId="67A069A5"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0.055</w:t>
            </w:r>
          </w:p>
        </w:tc>
        <w:tc>
          <w:tcPr>
            <w:tcW w:w="633" w:type="pct"/>
            <w:tcBorders>
              <w:bottom w:val="single" w:sz="4" w:space="0" w:color="365F91"/>
            </w:tcBorders>
            <w:shd w:val="clear" w:color="auto" w:fill="auto"/>
            <w:noWrap/>
          </w:tcPr>
          <w:p w14:paraId="1001D4CF"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13.6</w:t>
            </w:r>
          </w:p>
        </w:tc>
        <w:tc>
          <w:tcPr>
            <w:tcW w:w="577" w:type="pct"/>
            <w:tcBorders>
              <w:bottom w:val="single" w:sz="4" w:space="0" w:color="365F91"/>
            </w:tcBorders>
            <w:shd w:val="clear" w:color="auto" w:fill="auto"/>
            <w:noWrap/>
          </w:tcPr>
          <w:p w14:paraId="314DB1F6"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51.3</w:t>
            </w:r>
          </w:p>
        </w:tc>
      </w:tr>
      <w:tr w:rsidR="00DE64BC" w:rsidRPr="00256982" w14:paraId="26BBED12" w14:textId="77777777" w:rsidTr="009A0D25">
        <w:tc>
          <w:tcPr>
            <w:tcW w:w="553" w:type="pct"/>
            <w:tcBorders>
              <w:bottom w:val="single" w:sz="4" w:space="0" w:color="365F91"/>
            </w:tcBorders>
          </w:tcPr>
          <w:p w14:paraId="7CE74356" w14:textId="77777777" w:rsidR="00DE64BC" w:rsidRPr="00256982" w:rsidRDefault="00DE64BC" w:rsidP="00A808C7">
            <w:pPr>
              <w:pStyle w:val="TableText"/>
              <w:spacing w:before="40" w:after="40"/>
              <w:rPr>
                <w:rFonts w:cs="Arial"/>
                <w:szCs w:val="16"/>
              </w:rPr>
            </w:pPr>
            <w:r w:rsidRPr="00256982">
              <w:rPr>
                <w:rFonts w:cs="Arial"/>
                <w:color w:val="000000"/>
                <w:szCs w:val="16"/>
              </w:rPr>
              <w:t>1.A.1.c</w:t>
            </w:r>
          </w:p>
        </w:tc>
        <w:tc>
          <w:tcPr>
            <w:tcW w:w="1209" w:type="pct"/>
            <w:tcBorders>
              <w:bottom w:val="single" w:sz="4" w:space="0" w:color="365F91"/>
            </w:tcBorders>
            <w:shd w:val="clear" w:color="auto" w:fill="auto"/>
            <w:noWrap/>
          </w:tcPr>
          <w:p w14:paraId="4F0F45FC" w14:textId="77777777" w:rsidR="00DE64BC" w:rsidRPr="00256982" w:rsidRDefault="00DE64BC" w:rsidP="00A808C7">
            <w:pPr>
              <w:pStyle w:val="TableText"/>
              <w:spacing w:before="40" w:after="40"/>
              <w:rPr>
                <w:rFonts w:cs="Arial"/>
                <w:szCs w:val="16"/>
              </w:rPr>
            </w:pPr>
            <w:r w:rsidRPr="00256982">
              <w:rPr>
                <w:rFonts w:cs="Arial"/>
                <w:color w:val="000000"/>
                <w:szCs w:val="16"/>
              </w:rPr>
              <w:t>Energy Industries – Manufacture of Solid Fuels and Other Energy Industries Gaseous Fuels</w:t>
            </w:r>
          </w:p>
        </w:tc>
        <w:tc>
          <w:tcPr>
            <w:tcW w:w="372" w:type="pct"/>
            <w:tcBorders>
              <w:bottom w:val="single" w:sz="4" w:space="0" w:color="365F91"/>
            </w:tcBorders>
            <w:shd w:val="clear" w:color="auto" w:fill="auto"/>
            <w:noWrap/>
            <w:tcMar>
              <w:left w:w="0" w:type="dxa"/>
              <w:right w:w="0" w:type="dxa"/>
            </w:tcMar>
          </w:tcPr>
          <w:p w14:paraId="17FCA53F" w14:textId="77777777" w:rsidR="00DE64BC" w:rsidRPr="00256982" w:rsidRDefault="00DE64BC" w:rsidP="00A808C7">
            <w:pPr>
              <w:pStyle w:val="TableText"/>
              <w:spacing w:before="40" w:after="40"/>
              <w:jc w:val="center"/>
              <w:rPr>
                <w:rFonts w:cs="Arial"/>
                <w:szCs w:val="16"/>
              </w:rPr>
            </w:pPr>
            <w:r w:rsidRPr="00256982">
              <w:rPr>
                <w:rFonts w:cs="Arial"/>
                <w:color w:val="000000"/>
                <w:szCs w:val="16"/>
              </w:rPr>
              <w:t>CO</w:t>
            </w:r>
            <w:r w:rsidRPr="00256982">
              <w:rPr>
                <w:rFonts w:cs="Arial"/>
                <w:color w:val="000000"/>
                <w:szCs w:val="16"/>
                <w:vertAlign w:val="subscript"/>
              </w:rPr>
              <w:t>2</w:t>
            </w:r>
          </w:p>
        </w:tc>
        <w:tc>
          <w:tcPr>
            <w:tcW w:w="529" w:type="pct"/>
            <w:tcBorders>
              <w:bottom w:val="single" w:sz="4" w:space="0" w:color="365F91"/>
            </w:tcBorders>
            <w:shd w:val="clear" w:color="auto" w:fill="auto"/>
            <w:noWrap/>
          </w:tcPr>
          <w:p w14:paraId="525C2D6A"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1,720.1</w:t>
            </w:r>
          </w:p>
        </w:tc>
        <w:tc>
          <w:tcPr>
            <w:tcW w:w="510" w:type="pct"/>
            <w:tcBorders>
              <w:bottom w:val="single" w:sz="4" w:space="0" w:color="365F91"/>
            </w:tcBorders>
            <w:shd w:val="clear" w:color="auto" w:fill="auto"/>
            <w:noWrap/>
          </w:tcPr>
          <w:p w14:paraId="354718F2"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305.9</w:t>
            </w:r>
          </w:p>
        </w:tc>
        <w:tc>
          <w:tcPr>
            <w:tcW w:w="617" w:type="pct"/>
            <w:tcBorders>
              <w:bottom w:val="single" w:sz="4" w:space="0" w:color="365F91"/>
            </w:tcBorders>
            <w:shd w:val="clear" w:color="auto" w:fill="auto"/>
            <w:noWrap/>
          </w:tcPr>
          <w:p w14:paraId="0394C2CD"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0.018</w:t>
            </w:r>
          </w:p>
        </w:tc>
        <w:tc>
          <w:tcPr>
            <w:tcW w:w="633" w:type="pct"/>
            <w:tcBorders>
              <w:bottom w:val="single" w:sz="4" w:space="0" w:color="365F91"/>
            </w:tcBorders>
            <w:shd w:val="clear" w:color="auto" w:fill="auto"/>
            <w:noWrap/>
          </w:tcPr>
          <w:p w14:paraId="7D01DF80"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4.5</w:t>
            </w:r>
          </w:p>
        </w:tc>
        <w:tc>
          <w:tcPr>
            <w:tcW w:w="577" w:type="pct"/>
            <w:tcBorders>
              <w:bottom w:val="single" w:sz="4" w:space="0" w:color="365F91"/>
            </w:tcBorders>
            <w:shd w:val="clear" w:color="auto" w:fill="auto"/>
            <w:noWrap/>
          </w:tcPr>
          <w:p w14:paraId="4BE83812"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55.8</w:t>
            </w:r>
          </w:p>
        </w:tc>
      </w:tr>
      <w:tr w:rsidR="00DE64BC" w:rsidRPr="00256982" w14:paraId="18FA1730" w14:textId="77777777" w:rsidTr="009A0D25">
        <w:tc>
          <w:tcPr>
            <w:tcW w:w="553" w:type="pct"/>
            <w:tcBorders>
              <w:bottom w:val="single" w:sz="4" w:space="0" w:color="365F91"/>
            </w:tcBorders>
          </w:tcPr>
          <w:p w14:paraId="12829FE9" w14:textId="77777777" w:rsidR="00DE64BC" w:rsidRPr="00256982" w:rsidRDefault="00DE64BC" w:rsidP="00A808C7">
            <w:pPr>
              <w:pStyle w:val="TableText"/>
              <w:spacing w:before="40" w:after="40"/>
              <w:rPr>
                <w:rFonts w:cs="Arial"/>
                <w:szCs w:val="16"/>
              </w:rPr>
            </w:pPr>
            <w:r w:rsidRPr="00256982">
              <w:rPr>
                <w:rFonts w:cs="Arial"/>
                <w:color w:val="000000"/>
                <w:szCs w:val="16"/>
              </w:rPr>
              <w:t>3.A.1</w:t>
            </w:r>
          </w:p>
        </w:tc>
        <w:tc>
          <w:tcPr>
            <w:tcW w:w="1209" w:type="pct"/>
            <w:tcBorders>
              <w:bottom w:val="single" w:sz="4" w:space="0" w:color="365F91"/>
            </w:tcBorders>
            <w:shd w:val="clear" w:color="auto" w:fill="auto"/>
            <w:noWrap/>
          </w:tcPr>
          <w:p w14:paraId="383D755A" w14:textId="77777777" w:rsidR="00DE64BC" w:rsidRPr="00256982" w:rsidRDefault="00DE64BC" w:rsidP="00A808C7">
            <w:pPr>
              <w:pStyle w:val="TableText"/>
              <w:spacing w:before="40" w:after="40"/>
              <w:rPr>
                <w:rFonts w:cs="Arial"/>
                <w:szCs w:val="16"/>
              </w:rPr>
            </w:pPr>
            <w:r w:rsidRPr="00256982">
              <w:rPr>
                <w:rFonts w:cs="Arial"/>
                <w:color w:val="000000"/>
                <w:szCs w:val="16"/>
              </w:rPr>
              <w:t>Option A – Non-Dairy Cattle</w:t>
            </w:r>
          </w:p>
        </w:tc>
        <w:tc>
          <w:tcPr>
            <w:tcW w:w="372" w:type="pct"/>
            <w:tcBorders>
              <w:bottom w:val="single" w:sz="4" w:space="0" w:color="365F91"/>
            </w:tcBorders>
            <w:shd w:val="clear" w:color="auto" w:fill="auto"/>
            <w:noWrap/>
          </w:tcPr>
          <w:p w14:paraId="28CBD104" w14:textId="77777777" w:rsidR="00DE64BC" w:rsidRPr="00256982" w:rsidRDefault="00DE64BC" w:rsidP="00A808C7">
            <w:pPr>
              <w:pStyle w:val="TableText"/>
              <w:spacing w:before="40" w:after="40"/>
              <w:jc w:val="center"/>
              <w:rPr>
                <w:rFonts w:cs="Arial"/>
                <w:szCs w:val="16"/>
              </w:rPr>
            </w:pPr>
            <w:r w:rsidRPr="00256982">
              <w:rPr>
                <w:rFonts w:cs="Arial"/>
                <w:color w:val="000000"/>
                <w:szCs w:val="16"/>
              </w:rPr>
              <w:t>CH</w:t>
            </w:r>
            <w:r w:rsidRPr="00256982">
              <w:rPr>
                <w:rFonts w:cs="Arial"/>
                <w:color w:val="000000"/>
                <w:szCs w:val="16"/>
                <w:vertAlign w:val="subscript"/>
              </w:rPr>
              <w:t>4</w:t>
            </w:r>
          </w:p>
        </w:tc>
        <w:tc>
          <w:tcPr>
            <w:tcW w:w="529" w:type="pct"/>
            <w:tcBorders>
              <w:bottom w:val="single" w:sz="4" w:space="0" w:color="365F91"/>
            </w:tcBorders>
            <w:shd w:val="clear" w:color="auto" w:fill="auto"/>
            <w:noWrap/>
          </w:tcPr>
          <w:p w14:paraId="2E1E5FB2"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5,723.4</w:t>
            </w:r>
          </w:p>
        </w:tc>
        <w:tc>
          <w:tcPr>
            <w:tcW w:w="510" w:type="pct"/>
            <w:tcBorders>
              <w:bottom w:val="single" w:sz="4" w:space="0" w:color="365F91"/>
            </w:tcBorders>
            <w:shd w:val="clear" w:color="auto" w:fill="auto"/>
            <w:noWrap/>
          </w:tcPr>
          <w:p w14:paraId="5E49EFF3"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5,298.0</w:t>
            </w:r>
          </w:p>
        </w:tc>
        <w:tc>
          <w:tcPr>
            <w:tcW w:w="617" w:type="pct"/>
            <w:tcBorders>
              <w:bottom w:val="single" w:sz="4" w:space="0" w:color="365F91"/>
            </w:tcBorders>
            <w:shd w:val="clear" w:color="auto" w:fill="auto"/>
            <w:noWrap/>
          </w:tcPr>
          <w:p w14:paraId="558737A2"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0.018</w:t>
            </w:r>
          </w:p>
        </w:tc>
        <w:tc>
          <w:tcPr>
            <w:tcW w:w="633" w:type="pct"/>
            <w:tcBorders>
              <w:bottom w:val="single" w:sz="4" w:space="0" w:color="365F91"/>
            </w:tcBorders>
            <w:shd w:val="clear" w:color="auto" w:fill="auto"/>
            <w:noWrap/>
          </w:tcPr>
          <w:p w14:paraId="3F6E3371"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4.3</w:t>
            </w:r>
          </w:p>
        </w:tc>
        <w:tc>
          <w:tcPr>
            <w:tcW w:w="577" w:type="pct"/>
            <w:tcBorders>
              <w:bottom w:val="single" w:sz="4" w:space="0" w:color="365F91"/>
            </w:tcBorders>
            <w:shd w:val="clear" w:color="auto" w:fill="auto"/>
            <w:noWrap/>
          </w:tcPr>
          <w:p w14:paraId="01B85DFB"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60.1</w:t>
            </w:r>
          </w:p>
        </w:tc>
      </w:tr>
      <w:tr w:rsidR="00DE64BC" w:rsidRPr="00256982" w14:paraId="3DF337E6" w14:textId="77777777" w:rsidTr="009A0D25">
        <w:tc>
          <w:tcPr>
            <w:tcW w:w="553" w:type="pct"/>
            <w:tcBorders>
              <w:bottom w:val="single" w:sz="4" w:space="0" w:color="365F91"/>
            </w:tcBorders>
          </w:tcPr>
          <w:p w14:paraId="4D585E56" w14:textId="77777777" w:rsidR="00DE64BC" w:rsidRPr="00256982" w:rsidRDefault="00DE64BC" w:rsidP="00A808C7">
            <w:pPr>
              <w:pStyle w:val="TableText"/>
              <w:keepNext/>
              <w:spacing w:before="40" w:after="40"/>
              <w:rPr>
                <w:rFonts w:cs="Arial"/>
                <w:szCs w:val="16"/>
              </w:rPr>
            </w:pPr>
            <w:r w:rsidRPr="00256982">
              <w:rPr>
                <w:rFonts w:cs="Arial"/>
                <w:color w:val="000000"/>
                <w:szCs w:val="16"/>
              </w:rPr>
              <w:lastRenderedPageBreak/>
              <w:t>2.F.1</w:t>
            </w:r>
          </w:p>
        </w:tc>
        <w:tc>
          <w:tcPr>
            <w:tcW w:w="1209" w:type="pct"/>
            <w:tcBorders>
              <w:bottom w:val="single" w:sz="4" w:space="0" w:color="365F91"/>
            </w:tcBorders>
            <w:shd w:val="clear" w:color="auto" w:fill="auto"/>
            <w:noWrap/>
          </w:tcPr>
          <w:p w14:paraId="5227E82D" w14:textId="402896F5" w:rsidR="00DE64BC" w:rsidRPr="00256982" w:rsidRDefault="00DE64BC" w:rsidP="00A808C7">
            <w:pPr>
              <w:pStyle w:val="TableText"/>
              <w:spacing w:before="40" w:after="40"/>
              <w:rPr>
                <w:rFonts w:cs="Arial"/>
                <w:szCs w:val="16"/>
              </w:rPr>
            </w:pPr>
            <w:r w:rsidRPr="00256982">
              <w:rPr>
                <w:rFonts w:cs="Arial"/>
                <w:color w:val="000000"/>
                <w:szCs w:val="16"/>
              </w:rPr>
              <w:t>Product Uses as Substitutes for ODS – Refrigeration and Air Conditioning</w:t>
            </w:r>
          </w:p>
        </w:tc>
        <w:tc>
          <w:tcPr>
            <w:tcW w:w="372" w:type="pct"/>
            <w:tcBorders>
              <w:bottom w:val="single" w:sz="4" w:space="0" w:color="365F91"/>
            </w:tcBorders>
            <w:shd w:val="clear" w:color="auto" w:fill="auto"/>
            <w:noWrap/>
          </w:tcPr>
          <w:p w14:paraId="6002E581" w14:textId="77777777" w:rsidR="00DE64BC" w:rsidRPr="00256982" w:rsidRDefault="00DE64BC" w:rsidP="00A808C7">
            <w:pPr>
              <w:pStyle w:val="TableText"/>
              <w:spacing w:before="40" w:after="40"/>
              <w:jc w:val="center"/>
              <w:rPr>
                <w:rFonts w:cs="Arial"/>
                <w:szCs w:val="16"/>
              </w:rPr>
            </w:pPr>
            <w:r w:rsidRPr="00256982">
              <w:rPr>
                <w:rFonts w:cs="Arial"/>
                <w:color w:val="000000"/>
                <w:szCs w:val="16"/>
              </w:rPr>
              <w:t>HFCs</w:t>
            </w:r>
          </w:p>
        </w:tc>
        <w:tc>
          <w:tcPr>
            <w:tcW w:w="529" w:type="pct"/>
            <w:tcBorders>
              <w:bottom w:val="single" w:sz="4" w:space="0" w:color="365F91"/>
            </w:tcBorders>
            <w:shd w:val="clear" w:color="auto" w:fill="auto"/>
            <w:noWrap/>
          </w:tcPr>
          <w:p w14:paraId="6A2B79ED"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0.0</w:t>
            </w:r>
          </w:p>
        </w:tc>
        <w:tc>
          <w:tcPr>
            <w:tcW w:w="510" w:type="pct"/>
            <w:tcBorders>
              <w:bottom w:val="single" w:sz="4" w:space="0" w:color="365F91"/>
            </w:tcBorders>
            <w:shd w:val="clear" w:color="auto" w:fill="auto"/>
            <w:noWrap/>
          </w:tcPr>
          <w:p w14:paraId="20F160CD"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1,397.3</w:t>
            </w:r>
          </w:p>
        </w:tc>
        <w:tc>
          <w:tcPr>
            <w:tcW w:w="617" w:type="pct"/>
            <w:tcBorders>
              <w:bottom w:val="single" w:sz="4" w:space="0" w:color="365F91"/>
            </w:tcBorders>
            <w:shd w:val="clear" w:color="auto" w:fill="auto"/>
            <w:noWrap/>
          </w:tcPr>
          <w:p w14:paraId="671B5AEF"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0.014</w:t>
            </w:r>
          </w:p>
        </w:tc>
        <w:tc>
          <w:tcPr>
            <w:tcW w:w="633" w:type="pct"/>
            <w:tcBorders>
              <w:bottom w:val="single" w:sz="4" w:space="0" w:color="365F91"/>
            </w:tcBorders>
            <w:shd w:val="clear" w:color="auto" w:fill="auto"/>
            <w:noWrap/>
          </w:tcPr>
          <w:p w14:paraId="1F7C6116"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3.4</w:t>
            </w:r>
          </w:p>
        </w:tc>
        <w:tc>
          <w:tcPr>
            <w:tcW w:w="577" w:type="pct"/>
            <w:tcBorders>
              <w:bottom w:val="single" w:sz="4" w:space="0" w:color="365F91"/>
            </w:tcBorders>
            <w:shd w:val="clear" w:color="auto" w:fill="auto"/>
            <w:noWrap/>
          </w:tcPr>
          <w:p w14:paraId="01A54FCE"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63.5</w:t>
            </w:r>
          </w:p>
        </w:tc>
      </w:tr>
      <w:tr w:rsidR="00DE64BC" w:rsidRPr="00256982" w14:paraId="6F2D0CDF" w14:textId="77777777" w:rsidTr="009A0D25">
        <w:tc>
          <w:tcPr>
            <w:tcW w:w="553" w:type="pct"/>
            <w:tcBorders>
              <w:bottom w:val="single" w:sz="4" w:space="0" w:color="365F91"/>
            </w:tcBorders>
          </w:tcPr>
          <w:p w14:paraId="36B456E3" w14:textId="77777777" w:rsidR="00DE64BC" w:rsidRPr="00256982" w:rsidRDefault="00DE64BC" w:rsidP="00A808C7">
            <w:pPr>
              <w:pStyle w:val="TableText"/>
              <w:spacing w:before="40" w:after="40"/>
              <w:rPr>
                <w:rFonts w:cs="Arial"/>
                <w:szCs w:val="16"/>
              </w:rPr>
            </w:pPr>
            <w:r w:rsidRPr="00256982">
              <w:rPr>
                <w:rFonts w:cs="Arial"/>
                <w:color w:val="000000"/>
                <w:szCs w:val="16"/>
              </w:rPr>
              <w:t>3.D.1.1</w:t>
            </w:r>
          </w:p>
        </w:tc>
        <w:tc>
          <w:tcPr>
            <w:tcW w:w="1209" w:type="pct"/>
            <w:tcBorders>
              <w:bottom w:val="single" w:sz="4" w:space="0" w:color="365F91"/>
            </w:tcBorders>
            <w:shd w:val="clear" w:color="auto" w:fill="auto"/>
            <w:noWrap/>
          </w:tcPr>
          <w:p w14:paraId="3F7609B9" w14:textId="77777777" w:rsidR="00DE64BC" w:rsidRPr="00256982" w:rsidRDefault="00DE64BC" w:rsidP="00A808C7">
            <w:pPr>
              <w:pStyle w:val="TableText"/>
              <w:spacing w:before="40" w:after="40"/>
              <w:rPr>
                <w:rFonts w:cs="Arial"/>
                <w:szCs w:val="16"/>
              </w:rPr>
            </w:pPr>
            <w:r w:rsidRPr="00256982">
              <w:rPr>
                <w:rFonts w:cs="Arial"/>
                <w:color w:val="000000"/>
                <w:szCs w:val="16"/>
              </w:rPr>
              <w:t>Direct N</w:t>
            </w:r>
            <w:r w:rsidRPr="00256982">
              <w:rPr>
                <w:rFonts w:cs="Arial"/>
                <w:color w:val="000000"/>
                <w:szCs w:val="16"/>
                <w:vertAlign w:val="subscript"/>
              </w:rPr>
              <w:t>2</w:t>
            </w:r>
            <w:r w:rsidRPr="00256982">
              <w:rPr>
                <w:rFonts w:cs="Arial"/>
                <w:color w:val="000000"/>
                <w:szCs w:val="16"/>
              </w:rPr>
              <w:t>O Emissions From Managed Soils – Inorganic N Fertilisers</w:t>
            </w:r>
          </w:p>
        </w:tc>
        <w:tc>
          <w:tcPr>
            <w:tcW w:w="372" w:type="pct"/>
            <w:tcBorders>
              <w:bottom w:val="single" w:sz="4" w:space="0" w:color="365F91"/>
            </w:tcBorders>
            <w:shd w:val="clear" w:color="auto" w:fill="auto"/>
            <w:noWrap/>
            <w:tcMar>
              <w:left w:w="0" w:type="dxa"/>
              <w:right w:w="0" w:type="dxa"/>
            </w:tcMar>
          </w:tcPr>
          <w:p w14:paraId="2E5FCE15" w14:textId="77777777" w:rsidR="00DE64BC" w:rsidRPr="00256982" w:rsidRDefault="00DE64BC" w:rsidP="00A808C7">
            <w:pPr>
              <w:pStyle w:val="TableText"/>
              <w:spacing w:before="40" w:after="40"/>
              <w:jc w:val="center"/>
              <w:rPr>
                <w:rFonts w:cs="Arial"/>
                <w:szCs w:val="16"/>
              </w:rPr>
            </w:pPr>
            <w:r w:rsidRPr="00256982">
              <w:rPr>
                <w:rFonts w:cs="Arial"/>
                <w:color w:val="000000"/>
                <w:szCs w:val="16"/>
              </w:rPr>
              <w:t>N</w:t>
            </w:r>
            <w:r w:rsidRPr="00256982">
              <w:rPr>
                <w:rFonts w:cs="Arial"/>
                <w:color w:val="000000"/>
                <w:szCs w:val="16"/>
                <w:vertAlign w:val="subscript"/>
              </w:rPr>
              <w:t>2</w:t>
            </w:r>
            <w:r w:rsidRPr="00256982">
              <w:rPr>
                <w:rFonts w:cs="Arial"/>
                <w:color w:val="000000"/>
                <w:szCs w:val="16"/>
              </w:rPr>
              <w:t>O</w:t>
            </w:r>
          </w:p>
        </w:tc>
        <w:tc>
          <w:tcPr>
            <w:tcW w:w="529" w:type="pct"/>
            <w:tcBorders>
              <w:bottom w:val="single" w:sz="4" w:space="0" w:color="365F91"/>
            </w:tcBorders>
            <w:shd w:val="clear" w:color="auto" w:fill="auto"/>
            <w:noWrap/>
          </w:tcPr>
          <w:p w14:paraId="2C71C73C"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230.3</w:t>
            </w:r>
          </w:p>
        </w:tc>
        <w:tc>
          <w:tcPr>
            <w:tcW w:w="510" w:type="pct"/>
            <w:tcBorders>
              <w:bottom w:val="single" w:sz="4" w:space="0" w:color="365F91"/>
            </w:tcBorders>
            <w:shd w:val="clear" w:color="auto" w:fill="auto"/>
            <w:noWrap/>
          </w:tcPr>
          <w:p w14:paraId="23F506D7"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1,365.6</w:t>
            </w:r>
          </w:p>
        </w:tc>
        <w:tc>
          <w:tcPr>
            <w:tcW w:w="617" w:type="pct"/>
            <w:tcBorders>
              <w:bottom w:val="single" w:sz="4" w:space="0" w:color="365F91"/>
            </w:tcBorders>
            <w:shd w:val="clear" w:color="auto" w:fill="auto"/>
            <w:noWrap/>
          </w:tcPr>
          <w:p w14:paraId="0A1428DF"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0.011</w:t>
            </w:r>
          </w:p>
        </w:tc>
        <w:tc>
          <w:tcPr>
            <w:tcW w:w="633" w:type="pct"/>
            <w:tcBorders>
              <w:bottom w:val="single" w:sz="4" w:space="0" w:color="365F91"/>
            </w:tcBorders>
            <w:shd w:val="clear" w:color="auto" w:fill="auto"/>
            <w:noWrap/>
          </w:tcPr>
          <w:p w14:paraId="4270A06B"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2.7</w:t>
            </w:r>
          </w:p>
        </w:tc>
        <w:tc>
          <w:tcPr>
            <w:tcW w:w="577" w:type="pct"/>
            <w:tcBorders>
              <w:bottom w:val="single" w:sz="4" w:space="0" w:color="365F91"/>
            </w:tcBorders>
            <w:shd w:val="clear" w:color="auto" w:fill="auto"/>
            <w:noWrap/>
          </w:tcPr>
          <w:p w14:paraId="75C7058E" w14:textId="77777777" w:rsidR="00DE64BC" w:rsidRPr="00256982" w:rsidRDefault="00DE64BC" w:rsidP="00A808C7">
            <w:pPr>
              <w:pStyle w:val="TableText"/>
              <w:spacing w:before="40" w:after="40"/>
              <w:jc w:val="right"/>
              <w:rPr>
                <w:rFonts w:cs="Arial"/>
                <w:szCs w:val="16"/>
              </w:rPr>
            </w:pPr>
            <w:r w:rsidRPr="00256982">
              <w:rPr>
                <w:rFonts w:cs="Arial"/>
                <w:color w:val="000000"/>
                <w:szCs w:val="16"/>
              </w:rPr>
              <w:t>66.2</w:t>
            </w:r>
          </w:p>
        </w:tc>
      </w:tr>
      <w:tr w:rsidR="00DE64BC" w:rsidRPr="00256982" w14:paraId="65950CA4" w14:textId="77777777" w:rsidTr="009A0D25">
        <w:tc>
          <w:tcPr>
            <w:tcW w:w="553" w:type="pct"/>
            <w:tcBorders>
              <w:bottom w:val="single" w:sz="4" w:space="0" w:color="365F91"/>
            </w:tcBorders>
          </w:tcPr>
          <w:p w14:paraId="2E53C39E" w14:textId="77777777" w:rsidR="00DE64BC" w:rsidRPr="00256982" w:rsidRDefault="00DE64BC" w:rsidP="00A808C7">
            <w:pPr>
              <w:pStyle w:val="TableText"/>
              <w:keepNext/>
              <w:spacing w:before="50" w:after="50"/>
              <w:rPr>
                <w:rFonts w:cs="Arial"/>
                <w:szCs w:val="16"/>
              </w:rPr>
            </w:pPr>
            <w:r w:rsidRPr="00256982">
              <w:rPr>
                <w:rFonts w:cs="Arial"/>
                <w:color w:val="000000"/>
                <w:szCs w:val="16"/>
              </w:rPr>
              <w:t>2.C.3</w:t>
            </w:r>
          </w:p>
        </w:tc>
        <w:tc>
          <w:tcPr>
            <w:tcW w:w="1209" w:type="pct"/>
            <w:tcBorders>
              <w:bottom w:val="single" w:sz="4" w:space="0" w:color="365F91"/>
            </w:tcBorders>
            <w:shd w:val="clear" w:color="auto" w:fill="auto"/>
            <w:noWrap/>
          </w:tcPr>
          <w:p w14:paraId="5E8460EF" w14:textId="77777777" w:rsidR="00DE64BC" w:rsidRPr="00256982" w:rsidRDefault="00DE64BC" w:rsidP="00A808C7">
            <w:pPr>
              <w:pStyle w:val="TableText"/>
              <w:spacing w:before="50" w:after="50"/>
              <w:rPr>
                <w:rFonts w:cs="Arial"/>
                <w:szCs w:val="16"/>
              </w:rPr>
            </w:pPr>
            <w:r w:rsidRPr="00256982">
              <w:rPr>
                <w:rFonts w:cs="Arial"/>
                <w:color w:val="000000"/>
                <w:szCs w:val="16"/>
              </w:rPr>
              <w:t>Metal Industry – Aluminium Production</w:t>
            </w:r>
          </w:p>
        </w:tc>
        <w:tc>
          <w:tcPr>
            <w:tcW w:w="372" w:type="pct"/>
            <w:tcBorders>
              <w:bottom w:val="single" w:sz="4" w:space="0" w:color="365F91"/>
            </w:tcBorders>
            <w:shd w:val="clear" w:color="auto" w:fill="auto"/>
            <w:noWrap/>
          </w:tcPr>
          <w:p w14:paraId="1787972E" w14:textId="77777777" w:rsidR="00DE64BC" w:rsidRPr="00256982" w:rsidRDefault="00DE64BC" w:rsidP="00A808C7">
            <w:pPr>
              <w:pStyle w:val="TableText"/>
              <w:spacing w:before="50" w:after="50"/>
              <w:jc w:val="center"/>
              <w:rPr>
                <w:rFonts w:cs="Arial"/>
                <w:szCs w:val="16"/>
              </w:rPr>
            </w:pPr>
            <w:r w:rsidRPr="00256982">
              <w:rPr>
                <w:rFonts w:cs="Arial"/>
                <w:color w:val="000000"/>
                <w:szCs w:val="16"/>
              </w:rPr>
              <w:t>PFCs</w:t>
            </w:r>
          </w:p>
        </w:tc>
        <w:tc>
          <w:tcPr>
            <w:tcW w:w="529" w:type="pct"/>
            <w:tcBorders>
              <w:bottom w:val="single" w:sz="4" w:space="0" w:color="365F91"/>
            </w:tcBorders>
            <w:shd w:val="clear" w:color="auto" w:fill="auto"/>
            <w:noWrap/>
          </w:tcPr>
          <w:p w14:paraId="47BF77D5"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909.9</w:t>
            </w:r>
          </w:p>
        </w:tc>
        <w:tc>
          <w:tcPr>
            <w:tcW w:w="510" w:type="pct"/>
            <w:tcBorders>
              <w:bottom w:val="single" w:sz="4" w:space="0" w:color="365F91"/>
            </w:tcBorders>
            <w:shd w:val="clear" w:color="auto" w:fill="auto"/>
            <w:noWrap/>
          </w:tcPr>
          <w:p w14:paraId="17650218"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60.5</w:t>
            </w:r>
          </w:p>
        </w:tc>
        <w:tc>
          <w:tcPr>
            <w:tcW w:w="617" w:type="pct"/>
            <w:tcBorders>
              <w:bottom w:val="single" w:sz="4" w:space="0" w:color="365F91"/>
            </w:tcBorders>
            <w:shd w:val="clear" w:color="auto" w:fill="auto"/>
            <w:noWrap/>
          </w:tcPr>
          <w:p w14:paraId="190E12C9"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0.011</w:t>
            </w:r>
          </w:p>
        </w:tc>
        <w:tc>
          <w:tcPr>
            <w:tcW w:w="633" w:type="pct"/>
            <w:tcBorders>
              <w:bottom w:val="single" w:sz="4" w:space="0" w:color="365F91"/>
            </w:tcBorders>
            <w:shd w:val="clear" w:color="auto" w:fill="auto"/>
            <w:noWrap/>
          </w:tcPr>
          <w:p w14:paraId="4BF3681C"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2.6</w:t>
            </w:r>
          </w:p>
        </w:tc>
        <w:tc>
          <w:tcPr>
            <w:tcW w:w="577" w:type="pct"/>
            <w:tcBorders>
              <w:bottom w:val="single" w:sz="4" w:space="0" w:color="365F91"/>
            </w:tcBorders>
            <w:shd w:val="clear" w:color="auto" w:fill="auto"/>
            <w:noWrap/>
          </w:tcPr>
          <w:p w14:paraId="53EDD1C3"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68.8</w:t>
            </w:r>
          </w:p>
        </w:tc>
      </w:tr>
      <w:tr w:rsidR="00DE64BC" w:rsidRPr="00256982" w14:paraId="7831AAE1" w14:textId="77777777" w:rsidTr="009A0D25">
        <w:tc>
          <w:tcPr>
            <w:tcW w:w="553" w:type="pct"/>
            <w:tcBorders>
              <w:bottom w:val="single" w:sz="4" w:space="0" w:color="365F91"/>
            </w:tcBorders>
          </w:tcPr>
          <w:p w14:paraId="2212D183" w14:textId="77777777" w:rsidR="00DE64BC" w:rsidRPr="00256982" w:rsidRDefault="00DE64BC" w:rsidP="00A808C7">
            <w:pPr>
              <w:pStyle w:val="TableText"/>
              <w:spacing w:before="50" w:after="50"/>
              <w:rPr>
                <w:rFonts w:cs="Arial"/>
                <w:szCs w:val="16"/>
              </w:rPr>
            </w:pPr>
            <w:r w:rsidRPr="00256982">
              <w:rPr>
                <w:rFonts w:cs="Arial"/>
                <w:color w:val="000000"/>
                <w:szCs w:val="16"/>
              </w:rPr>
              <w:t>1.A.2.c</w:t>
            </w:r>
          </w:p>
        </w:tc>
        <w:tc>
          <w:tcPr>
            <w:tcW w:w="1209" w:type="pct"/>
            <w:tcBorders>
              <w:bottom w:val="single" w:sz="4" w:space="0" w:color="365F91"/>
            </w:tcBorders>
            <w:shd w:val="clear" w:color="auto" w:fill="auto"/>
            <w:noWrap/>
          </w:tcPr>
          <w:p w14:paraId="46FC5193" w14:textId="77777777" w:rsidR="00DE64BC" w:rsidRPr="00256982" w:rsidRDefault="00DE64BC" w:rsidP="00A808C7">
            <w:pPr>
              <w:pStyle w:val="TableText"/>
              <w:spacing w:before="50" w:after="50"/>
              <w:rPr>
                <w:rFonts w:cs="Arial"/>
                <w:szCs w:val="16"/>
              </w:rPr>
            </w:pPr>
            <w:r w:rsidRPr="00256982">
              <w:rPr>
                <w:rFonts w:cs="Arial"/>
                <w:color w:val="000000"/>
                <w:szCs w:val="16"/>
              </w:rPr>
              <w:t>Manufacturing Industries and Construction – Chemicals Gaseous Fuels</w:t>
            </w:r>
          </w:p>
        </w:tc>
        <w:tc>
          <w:tcPr>
            <w:tcW w:w="372" w:type="pct"/>
            <w:tcBorders>
              <w:bottom w:val="single" w:sz="4" w:space="0" w:color="365F91"/>
            </w:tcBorders>
            <w:shd w:val="clear" w:color="auto" w:fill="auto"/>
            <w:noWrap/>
          </w:tcPr>
          <w:p w14:paraId="58D25D13" w14:textId="77777777" w:rsidR="00DE64BC" w:rsidRPr="00256982" w:rsidRDefault="00DE64BC" w:rsidP="00A808C7">
            <w:pPr>
              <w:pStyle w:val="TableText"/>
              <w:spacing w:before="50" w:after="50"/>
              <w:jc w:val="center"/>
              <w:rPr>
                <w:rFonts w:cs="Arial"/>
                <w:szCs w:val="16"/>
              </w:rPr>
            </w:pPr>
            <w:r w:rsidRPr="00256982">
              <w:rPr>
                <w:rFonts w:cs="Arial"/>
                <w:color w:val="000000"/>
                <w:szCs w:val="16"/>
              </w:rPr>
              <w:t>CO</w:t>
            </w:r>
            <w:r w:rsidRPr="00256982">
              <w:rPr>
                <w:rFonts w:cs="Arial"/>
                <w:color w:val="000000"/>
                <w:szCs w:val="16"/>
                <w:vertAlign w:val="subscript"/>
              </w:rPr>
              <w:t>2</w:t>
            </w:r>
          </w:p>
        </w:tc>
        <w:tc>
          <w:tcPr>
            <w:tcW w:w="529" w:type="pct"/>
            <w:tcBorders>
              <w:bottom w:val="single" w:sz="4" w:space="0" w:color="365F91"/>
            </w:tcBorders>
            <w:shd w:val="clear" w:color="auto" w:fill="auto"/>
            <w:noWrap/>
          </w:tcPr>
          <w:p w14:paraId="19499897"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528.7</w:t>
            </w:r>
          </w:p>
        </w:tc>
        <w:tc>
          <w:tcPr>
            <w:tcW w:w="510" w:type="pct"/>
            <w:tcBorders>
              <w:bottom w:val="single" w:sz="4" w:space="0" w:color="365F91"/>
            </w:tcBorders>
            <w:shd w:val="clear" w:color="auto" w:fill="auto"/>
            <w:noWrap/>
          </w:tcPr>
          <w:p w14:paraId="376FA7E8"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1,587.8</w:t>
            </w:r>
          </w:p>
        </w:tc>
        <w:tc>
          <w:tcPr>
            <w:tcW w:w="617" w:type="pct"/>
            <w:tcBorders>
              <w:bottom w:val="single" w:sz="4" w:space="0" w:color="365F91"/>
            </w:tcBorders>
            <w:shd w:val="clear" w:color="auto" w:fill="auto"/>
            <w:noWrap/>
          </w:tcPr>
          <w:p w14:paraId="51893AF5"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0.009</w:t>
            </w:r>
          </w:p>
        </w:tc>
        <w:tc>
          <w:tcPr>
            <w:tcW w:w="633" w:type="pct"/>
            <w:tcBorders>
              <w:bottom w:val="single" w:sz="4" w:space="0" w:color="365F91"/>
            </w:tcBorders>
            <w:shd w:val="clear" w:color="auto" w:fill="auto"/>
            <w:noWrap/>
          </w:tcPr>
          <w:p w14:paraId="18A7B461"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2.3</w:t>
            </w:r>
          </w:p>
        </w:tc>
        <w:tc>
          <w:tcPr>
            <w:tcW w:w="577" w:type="pct"/>
            <w:tcBorders>
              <w:bottom w:val="single" w:sz="4" w:space="0" w:color="365F91"/>
            </w:tcBorders>
            <w:shd w:val="clear" w:color="auto" w:fill="auto"/>
            <w:noWrap/>
          </w:tcPr>
          <w:p w14:paraId="74BFABE0"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71.1</w:t>
            </w:r>
          </w:p>
        </w:tc>
      </w:tr>
      <w:tr w:rsidR="00DE64BC" w:rsidRPr="00256982" w14:paraId="20AE732E" w14:textId="77777777" w:rsidTr="009A0D25">
        <w:tc>
          <w:tcPr>
            <w:tcW w:w="553" w:type="pct"/>
            <w:tcBorders>
              <w:bottom w:val="single" w:sz="4" w:space="0" w:color="365F91"/>
            </w:tcBorders>
          </w:tcPr>
          <w:p w14:paraId="24757958" w14:textId="77777777" w:rsidR="00DE64BC" w:rsidRPr="00256982" w:rsidRDefault="00DE64BC" w:rsidP="00A808C7">
            <w:pPr>
              <w:pStyle w:val="TableText"/>
              <w:spacing w:before="50" w:after="50"/>
              <w:rPr>
                <w:rFonts w:cs="Arial"/>
                <w:szCs w:val="16"/>
              </w:rPr>
            </w:pPr>
            <w:r w:rsidRPr="00256982">
              <w:rPr>
                <w:rFonts w:cs="Arial"/>
                <w:color w:val="000000"/>
                <w:szCs w:val="16"/>
              </w:rPr>
              <w:t>3.D.1.3</w:t>
            </w:r>
          </w:p>
        </w:tc>
        <w:tc>
          <w:tcPr>
            <w:tcW w:w="1209" w:type="pct"/>
            <w:tcBorders>
              <w:bottom w:val="single" w:sz="4" w:space="0" w:color="365F91"/>
            </w:tcBorders>
            <w:shd w:val="clear" w:color="auto" w:fill="auto"/>
            <w:noWrap/>
          </w:tcPr>
          <w:p w14:paraId="49BCE555" w14:textId="77777777" w:rsidR="00DE64BC" w:rsidRPr="00256982" w:rsidRDefault="00DE64BC" w:rsidP="00A808C7">
            <w:pPr>
              <w:pStyle w:val="TableText"/>
              <w:spacing w:before="50" w:after="50"/>
              <w:rPr>
                <w:rFonts w:cs="Arial"/>
                <w:szCs w:val="16"/>
              </w:rPr>
            </w:pPr>
            <w:r w:rsidRPr="00256982">
              <w:rPr>
                <w:rFonts w:cs="Arial"/>
                <w:color w:val="000000"/>
                <w:szCs w:val="16"/>
              </w:rPr>
              <w:t>Direct N</w:t>
            </w:r>
            <w:r w:rsidRPr="00256982">
              <w:rPr>
                <w:rFonts w:cs="Arial"/>
                <w:color w:val="000000"/>
                <w:szCs w:val="16"/>
                <w:vertAlign w:val="subscript"/>
              </w:rPr>
              <w:t>2</w:t>
            </w:r>
            <w:r w:rsidRPr="00256982">
              <w:rPr>
                <w:rFonts w:cs="Arial"/>
                <w:color w:val="000000"/>
                <w:szCs w:val="16"/>
              </w:rPr>
              <w:t>O Emissions From Managed Soils – Urine and Dung Deposited by Grazing Animals</w:t>
            </w:r>
          </w:p>
        </w:tc>
        <w:tc>
          <w:tcPr>
            <w:tcW w:w="372" w:type="pct"/>
            <w:tcBorders>
              <w:bottom w:val="single" w:sz="4" w:space="0" w:color="365F91"/>
            </w:tcBorders>
            <w:shd w:val="clear" w:color="auto" w:fill="auto"/>
            <w:noWrap/>
          </w:tcPr>
          <w:p w14:paraId="6EB6C8D7" w14:textId="77777777" w:rsidR="00DE64BC" w:rsidRPr="00256982" w:rsidRDefault="00DE64BC" w:rsidP="00A808C7">
            <w:pPr>
              <w:pStyle w:val="TableText"/>
              <w:spacing w:before="50" w:after="50"/>
              <w:jc w:val="center"/>
              <w:rPr>
                <w:rFonts w:cs="Arial"/>
                <w:szCs w:val="16"/>
              </w:rPr>
            </w:pPr>
            <w:r w:rsidRPr="00256982">
              <w:rPr>
                <w:rFonts w:cs="Arial"/>
                <w:color w:val="000000"/>
                <w:szCs w:val="16"/>
              </w:rPr>
              <w:t>N</w:t>
            </w:r>
            <w:r w:rsidRPr="00256982">
              <w:rPr>
                <w:rFonts w:cs="Arial"/>
                <w:color w:val="000000"/>
                <w:szCs w:val="16"/>
                <w:vertAlign w:val="subscript"/>
              </w:rPr>
              <w:t>2</w:t>
            </w:r>
            <w:r w:rsidRPr="00256982">
              <w:rPr>
                <w:rFonts w:cs="Arial"/>
                <w:color w:val="000000"/>
                <w:szCs w:val="16"/>
              </w:rPr>
              <w:t>O</w:t>
            </w:r>
          </w:p>
        </w:tc>
        <w:tc>
          <w:tcPr>
            <w:tcW w:w="529" w:type="pct"/>
            <w:tcBorders>
              <w:bottom w:val="single" w:sz="4" w:space="0" w:color="365F91"/>
            </w:tcBorders>
            <w:shd w:val="clear" w:color="auto" w:fill="auto"/>
            <w:noWrap/>
          </w:tcPr>
          <w:p w14:paraId="7543CD93"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5,138.4</w:t>
            </w:r>
          </w:p>
        </w:tc>
        <w:tc>
          <w:tcPr>
            <w:tcW w:w="510" w:type="pct"/>
            <w:tcBorders>
              <w:bottom w:val="single" w:sz="4" w:space="0" w:color="365F91"/>
            </w:tcBorders>
            <w:shd w:val="clear" w:color="auto" w:fill="auto"/>
            <w:noWrap/>
          </w:tcPr>
          <w:p w14:paraId="453268C7"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5,435.3</w:t>
            </w:r>
          </w:p>
        </w:tc>
        <w:tc>
          <w:tcPr>
            <w:tcW w:w="617" w:type="pct"/>
            <w:tcBorders>
              <w:bottom w:val="single" w:sz="4" w:space="0" w:color="365F91"/>
            </w:tcBorders>
            <w:shd w:val="clear" w:color="auto" w:fill="auto"/>
            <w:noWrap/>
          </w:tcPr>
          <w:p w14:paraId="39EA752F"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0.009</w:t>
            </w:r>
          </w:p>
        </w:tc>
        <w:tc>
          <w:tcPr>
            <w:tcW w:w="633" w:type="pct"/>
            <w:tcBorders>
              <w:bottom w:val="single" w:sz="4" w:space="0" w:color="365F91"/>
            </w:tcBorders>
            <w:shd w:val="clear" w:color="auto" w:fill="auto"/>
            <w:noWrap/>
          </w:tcPr>
          <w:p w14:paraId="729E4C36"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2.2</w:t>
            </w:r>
          </w:p>
        </w:tc>
        <w:tc>
          <w:tcPr>
            <w:tcW w:w="577" w:type="pct"/>
            <w:tcBorders>
              <w:bottom w:val="single" w:sz="4" w:space="0" w:color="365F91"/>
            </w:tcBorders>
            <w:shd w:val="clear" w:color="auto" w:fill="auto"/>
            <w:noWrap/>
          </w:tcPr>
          <w:p w14:paraId="3DDEA00A"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73.3</w:t>
            </w:r>
          </w:p>
        </w:tc>
      </w:tr>
      <w:tr w:rsidR="00DE64BC" w:rsidRPr="00256982" w14:paraId="41E43C31" w14:textId="77777777" w:rsidTr="009A0D25">
        <w:tc>
          <w:tcPr>
            <w:tcW w:w="553" w:type="pct"/>
            <w:tcBorders>
              <w:bottom w:val="single" w:sz="4" w:space="0" w:color="365F91"/>
            </w:tcBorders>
          </w:tcPr>
          <w:p w14:paraId="5F85737E" w14:textId="77777777" w:rsidR="00DE64BC" w:rsidRPr="00256982" w:rsidRDefault="00DE64BC" w:rsidP="00A808C7">
            <w:pPr>
              <w:pStyle w:val="TableText"/>
              <w:spacing w:before="50" w:after="50"/>
              <w:rPr>
                <w:rFonts w:cs="Arial"/>
                <w:szCs w:val="16"/>
              </w:rPr>
            </w:pPr>
            <w:r w:rsidRPr="00256982">
              <w:rPr>
                <w:rFonts w:cs="Arial"/>
                <w:color w:val="000000"/>
                <w:szCs w:val="16"/>
              </w:rPr>
              <w:t>5.A</w:t>
            </w:r>
          </w:p>
        </w:tc>
        <w:tc>
          <w:tcPr>
            <w:tcW w:w="1209" w:type="pct"/>
            <w:tcBorders>
              <w:bottom w:val="single" w:sz="4" w:space="0" w:color="365F91"/>
            </w:tcBorders>
            <w:shd w:val="clear" w:color="auto" w:fill="auto"/>
            <w:noWrap/>
          </w:tcPr>
          <w:p w14:paraId="1DAC8310" w14:textId="77777777" w:rsidR="00DE64BC" w:rsidRPr="00256982" w:rsidRDefault="00DE64BC" w:rsidP="00A808C7">
            <w:pPr>
              <w:pStyle w:val="TableText"/>
              <w:spacing w:before="50" w:after="50"/>
              <w:rPr>
                <w:rFonts w:cs="Arial"/>
                <w:szCs w:val="16"/>
              </w:rPr>
            </w:pPr>
            <w:r w:rsidRPr="00256982">
              <w:rPr>
                <w:rFonts w:cs="Arial"/>
                <w:color w:val="000000"/>
                <w:szCs w:val="16"/>
              </w:rPr>
              <w:t>Waste – Solid Waste Disposal</w:t>
            </w:r>
          </w:p>
        </w:tc>
        <w:tc>
          <w:tcPr>
            <w:tcW w:w="372" w:type="pct"/>
            <w:tcBorders>
              <w:bottom w:val="single" w:sz="4" w:space="0" w:color="365F91"/>
            </w:tcBorders>
            <w:shd w:val="clear" w:color="auto" w:fill="auto"/>
            <w:noWrap/>
          </w:tcPr>
          <w:p w14:paraId="7E2CD1ED" w14:textId="77777777" w:rsidR="00DE64BC" w:rsidRPr="00256982" w:rsidRDefault="00DE64BC" w:rsidP="00A808C7">
            <w:pPr>
              <w:pStyle w:val="TableText"/>
              <w:spacing w:before="50" w:after="50"/>
              <w:jc w:val="center"/>
              <w:rPr>
                <w:rFonts w:cs="Arial"/>
                <w:szCs w:val="16"/>
              </w:rPr>
            </w:pPr>
            <w:r w:rsidRPr="00256982">
              <w:rPr>
                <w:rFonts w:cs="Arial"/>
                <w:color w:val="000000"/>
                <w:szCs w:val="16"/>
              </w:rPr>
              <w:t>CH</w:t>
            </w:r>
            <w:r w:rsidRPr="00256982">
              <w:rPr>
                <w:rFonts w:cs="Arial"/>
                <w:color w:val="000000"/>
                <w:szCs w:val="16"/>
                <w:vertAlign w:val="subscript"/>
              </w:rPr>
              <w:t>4</w:t>
            </w:r>
          </w:p>
        </w:tc>
        <w:tc>
          <w:tcPr>
            <w:tcW w:w="529" w:type="pct"/>
            <w:tcBorders>
              <w:bottom w:val="single" w:sz="4" w:space="0" w:color="365F91"/>
            </w:tcBorders>
            <w:shd w:val="clear" w:color="auto" w:fill="auto"/>
            <w:noWrap/>
          </w:tcPr>
          <w:p w14:paraId="187E7E7D"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3,711.3</w:t>
            </w:r>
          </w:p>
        </w:tc>
        <w:tc>
          <w:tcPr>
            <w:tcW w:w="510" w:type="pct"/>
            <w:tcBorders>
              <w:bottom w:val="single" w:sz="4" w:space="0" w:color="365F91"/>
            </w:tcBorders>
            <w:shd w:val="clear" w:color="auto" w:fill="auto"/>
            <w:noWrap/>
          </w:tcPr>
          <w:p w14:paraId="47C751F5"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3,724.5</w:t>
            </w:r>
          </w:p>
        </w:tc>
        <w:tc>
          <w:tcPr>
            <w:tcW w:w="617" w:type="pct"/>
            <w:tcBorders>
              <w:bottom w:val="single" w:sz="4" w:space="0" w:color="365F91"/>
            </w:tcBorders>
            <w:shd w:val="clear" w:color="auto" w:fill="auto"/>
            <w:noWrap/>
          </w:tcPr>
          <w:p w14:paraId="44A007F5"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0.008</w:t>
            </w:r>
          </w:p>
        </w:tc>
        <w:tc>
          <w:tcPr>
            <w:tcW w:w="633" w:type="pct"/>
            <w:tcBorders>
              <w:bottom w:val="single" w:sz="4" w:space="0" w:color="365F91"/>
            </w:tcBorders>
            <w:shd w:val="clear" w:color="auto" w:fill="auto"/>
            <w:noWrap/>
          </w:tcPr>
          <w:p w14:paraId="4A5E27AE"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2.1</w:t>
            </w:r>
          </w:p>
        </w:tc>
        <w:tc>
          <w:tcPr>
            <w:tcW w:w="577" w:type="pct"/>
            <w:tcBorders>
              <w:bottom w:val="single" w:sz="4" w:space="0" w:color="365F91"/>
            </w:tcBorders>
            <w:shd w:val="clear" w:color="auto" w:fill="auto"/>
            <w:noWrap/>
          </w:tcPr>
          <w:p w14:paraId="19252AB6"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75.3</w:t>
            </w:r>
          </w:p>
        </w:tc>
      </w:tr>
      <w:tr w:rsidR="00DE64BC" w:rsidRPr="00256982" w14:paraId="59D8D480" w14:textId="77777777" w:rsidTr="009A0D25">
        <w:tc>
          <w:tcPr>
            <w:tcW w:w="553" w:type="pct"/>
            <w:tcBorders>
              <w:bottom w:val="single" w:sz="4" w:space="0" w:color="365F91"/>
            </w:tcBorders>
          </w:tcPr>
          <w:p w14:paraId="6BE606DB" w14:textId="77777777" w:rsidR="00DE64BC" w:rsidRPr="00256982" w:rsidRDefault="00DE64BC" w:rsidP="00A808C7">
            <w:pPr>
              <w:pStyle w:val="TableText"/>
              <w:spacing w:before="50" w:after="50"/>
              <w:rPr>
                <w:rFonts w:cs="Arial"/>
                <w:szCs w:val="16"/>
              </w:rPr>
            </w:pPr>
            <w:r w:rsidRPr="00256982">
              <w:rPr>
                <w:rFonts w:cs="Arial"/>
                <w:color w:val="000000"/>
                <w:szCs w:val="16"/>
              </w:rPr>
              <w:t>3.B.1.1</w:t>
            </w:r>
          </w:p>
        </w:tc>
        <w:tc>
          <w:tcPr>
            <w:tcW w:w="1209" w:type="pct"/>
            <w:tcBorders>
              <w:bottom w:val="single" w:sz="4" w:space="0" w:color="365F91"/>
            </w:tcBorders>
            <w:shd w:val="clear" w:color="auto" w:fill="auto"/>
            <w:noWrap/>
          </w:tcPr>
          <w:p w14:paraId="72A1DE57" w14:textId="77777777" w:rsidR="00DE64BC" w:rsidRPr="00256982" w:rsidRDefault="00DE64BC" w:rsidP="00A808C7">
            <w:pPr>
              <w:pStyle w:val="TableText"/>
              <w:spacing w:before="50" w:after="50"/>
              <w:rPr>
                <w:rFonts w:cs="Arial"/>
                <w:szCs w:val="16"/>
              </w:rPr>
            </w:pPr>
            <w:r w:rsidRPr="00256982">
              <w:rPr>
                <w:rFonts w:cs="Arial"/>
                <w:color w:val="000000"/>
                <w:szCs w:val="16"/>
              </w:rPr>
              <w:t>Option A – Dairy Cattle</w:t>
            </w:r>
          </w:p>
        </w:tc>
        <w:tc>
          <w:tcPr>
            <w:tcW w:w="372" w:type="pct"/>
            <w:tcBorders>
              <w:bottom w:val="single" w:sz="4" w:space="0" w:color="365F91"/>
            </w:tcBorders>
            <w:shd w:val="clear" w:color="auto" w:fill="auto"/>
            <w:noWrap/>
          </w:tcPr>
          <w:p w14:paraId="46DBA744" w14:textId="77777777" w:rsidR="00DE64BC" w:rsidRPr="00256982" w:rsidRDefault="00DE64BC" w:rsidP="00A808C7">
            <w:pPr>
              <w:pStyle w:val="TableText"/>
              <w:spacing w:before="50" w:after="50"/>
              <w:jc w:val="center"/>
              <w:rPr>
                <w:rFonts w:cs="Arial"/>
                <w:szCs w:val="16"/>
              </w:rPr>
            </w:pPr>
            <w:r w:rsidRPr="00256982">
              <w:rPr>
                <w:rFonts w:cs="Arial"/>
                <w:color w:val="000000"/>
                <w:szCs w:val="16"/>
              </w:rPr>
              <w:t>CH</w:t>
            </w:r>
            <w:r w:rsidRPr="00256982">
              <w:rPr>
                <w:rFonts w:cs="Arial"/>
                <w:color w:val="000000"/>
                <w:szCs w:val="16"/>
                <w:vertAlign w:val="subscript"/>
              </w:rPr>
              <w:t>4</w:t>
            </w:r>
          </w:p>
        </w:tc>
        <w:tc>
          <w:tcPr>
            <w:tcW w:w="529" w:type="pct"/>
            <w:tcBorders>
              <w:bottom w:val="single" w:sz="4" w:space="0" w:color="365F91"/>
            </w:tcBorders>
            <w:shd w:val="clear" w:color="auto" w:fill="auto"/>
            <w:noWrap/>
          </w:tcPr>
          <w:p w14:paraId="73ACB8B0"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376.4</w:t>
            </w:r>
          </w:p>
        </w:tc>
        <w:tc>
          <w:tcPr>
            <w:tcW w:w="510" w:type="pct"/>
            <w:tcBorders>
              <w:bottom w:val="single" w:sz="4" w:space="0" w:color="365F91"/>
            </w:tcBorders>
            <w:shd w:val="clear" w:color="auto" w:fill="auto"/>
            <w:noWrap/>
          </w:tcPr>
          <w:p w14:paraId="443621BC"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1,255.8</w:t>
            </w:r>
          </w:p>
        </w:tc>
        <w:tc>
          <w:tcPr>
            <w:tcW w:w="617" w:type="pct"/>
            <w:tcBorders>
              <w:bottom w:val="single" w:sz="4" w:space="0" w:color="365F91"/>
            </w:tcBorders>
            <w:shd w:val="clear" w:color="auto" w:fill="auto"/>
            <w:noWrap/>
          </w:tcPr>
          <w:p w14:paraId="6BB9156B"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0.008</w:t>
            </w:r>
          </w:p>
        </w:tc>
        <w:tc>
          <w:tcPr>
            <w:tcW w:w="633" w:type="pct"/>
            <w:tcBorders>
              <w:bottom w:val="single" w:sz="4" w:space="0" w:color="365F91"/>
            </w:tcBorders>
            <w:shd w:val="clear" w:color="auto" w:fill="auto"/>
            <w:noWrap/>
          </w:tcPr>
          <w:p w14:paraId="367787D5"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1.9</w:t>
            </w:r>
          </w:p>
        </w:tc>
        <w:tc>
          <w:tcPr>
            <w:tcW w:w="577" w:type="pct"/>
            <w:tcBorders>
              <w:bottom w:val="single" w:sz="4" w:space="0" w:color="365F91"/>
            </w:tcBorders>
            <w:shd w:val="clear" w:color="auto" w:fill="auto"/>
            <w:noWrap/>
          </w:tcPr>
          <w:p w14:paraId="22A2C7D4"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77.3</w:t>
            </w:r>
          </w:p>
        </w:tc>
      </w:tr>
      <w:tr w:rsidR="00DE64BC" w:rsidRPr="00256982" w14:paraId="12BB2F67" w14:textId="77777777" w:rsidTr="009A0D25">
        <w:tc>
          <w:tcPr>
            <w:tcW w:w="553" w:type="pct"/>
            <w:tcBorders>
              <w:bottom w:val="single" w:sz="4" w:space="0" w:color="365F91"/>
            </w:tcBorders>
          </w:tcPr>
          <w:p w14:paraId="6E5D0D16" w14:textId="77777777" w:rsidR="00DE64BC" w:rsidRPr="00256982" w:rsidRDefault="00DE64BC" w:rsidP="00A808C7">
            <w:pPr>
              <w:pStyle w:val="TableText"/>
              <w:spacing w:before="50" w:after="50"/>
              <w:rPr>
                <w:rFonts w:cs="Arial"/>
                <w:szCs w:val="16"/>
              </w:rPr>
            </w:pPr>
            <w:r w:rsidRPr="00256982">
              <w:rPr>
                <w:rFonts w:cs="Arial"/>
                <w:color w:val="000000"/>
                <w:szCs w:val="16"/>
              </w:rPr>
              <w:t>1.A.2.g.viii</w:t>
            </w:r>
          </w:p>
        </w:tc>
        <w:tc>
          <w:tcPr>
            <w:tcW w:w="1209" w:type="pct"/>
            <w:tcBorders>
              <w:bottom w:val="single" w:sz="4" w:space="0" w:color="365F91"/>
            </w:tcBorders>
            <w:shd w:val="clear" w:color="auto" w:fill="auto"/>
            <w:noWrap/>
          </w:tcPr>
          <w:p w14:paraId="02CBF5FD" w14:textId="77777777" w:rsidR="00DE64BC" w:rsidRPr="00256982" w:rsidRDefault="00DE64BC" w:rsidP="00A808C7">
            <w:pPr>
              <w:pStyle w:val="TableText"/>
              <w:spacing w:before="50" w:after="50"/>
              <w:rPr>
                <w:rFonts w:cs="Arial"/>
                <w:szCs w:val="16"/>
              </w:rPr>
            </w:pPr>
            <w:r w:rsidRPr="00256982">
              <w:rPr>
                <w:rFonts w:cs="Arial"/>
                <w:color w:val="000000"/>
                <w:szCs w:val="16"/>
              </w:rPr>
              <w:t>Other (please specify) – Other (please specify) Solid Fuels</w:t>
            </w:r>
          </w:p>
        </w:tc>
        <w:tc>
          <w:tcPr>
            <w:tcW w:w="372" w:type="pct"/>
            <w:tcBorders>
              <w:bottom w:val="single" w:sz="4" w:space="0" w:color="365F91"/>
            </w:tcBorders>
            <w:shd w:val="clear" w:color="auto" w:fill="auto"/>
            <w:noWrap/>
          </w:tcPr>
          <w:p w14:paraId="65A89B16" w14:textId="77777777" w:rsidR="00DE64BC" w:rsidRPr="00256982" w:rsidRDefault="00DE64BC" w:rsidP="00A808C7">
            <w:pPr>
              <w:pStyle w:val="TableText"/>
              <w:spacing w:before="50" w:after="50"/>
              <w:jc w:val="center"/>
              <w:rPr>
                <w:rFonts w:cs="Arial"/>
                <w:szCs w:val="16"/>
              </w:rPr>
            </w:pPr>
            <w:r w:rsidRPr="00256982">
              <w:rPr>
                <w:rFonts w:cs="Arial"/>
                <w:color w:val="000000"/>
                <w:szCs w:val="16"/>
              </w:rPr>
              <w:t>CO</w:t>
            </w:r>
            <w:r w:rsidRPr="00256982">
              <w:rPr>
                <w:rFonts w:cs="Arial"/>
                <w:color w:val="000000"/>
                <w:szCs w:val="16"/>
                <w:vertAlign w:val="subscript"/>
              </w:rPr>
              <w:t>2</w:t>
            </w:r>
          </w:p>
        </w:tc>
        <w:tc>
          <w:tcPr>
            <w:tcW w:w="529" w:type="pct"/>
            <w:tcBorders>
              <w:bottom w:val="single" w:sz="4" w:space="0" w:color="365F91"/>
            </w:tcBorders>
            <w:shd w:val="clear" w:color="auto" w:fill="auto"/>
            <w:noWrap/>
          </w:tcPr>
          <w:p w14:paraId="10529355"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731.1</w:t>
            </w:r>
          </w:p>
        </w:tc>
        <w:tc>
          <w:tcPr>
            <w:tcW w:w="510" w:type="pct"/>
            <w:tcBorders>
              <w:bottom w:val="single" w:sz="4" w:space="0" w:color="365F91"/>
            </w:tcBorders>
            <w:shd w:val="clear" w:color="auto" w:fill="auto"/>
            <w:noWrap/>
          </w:tcPr>
          <w:p w14:paraId="4AEAE36B"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118.2</w:t>
            </w:r>
          </w:p>
        </w:tc>
        <w:tc>
          <w:tcPr>
            <w:tcW w:w="617" w:type="pct"/>
            <w:tcBorders>
              <w:bottom w:val="single" w:sz="4" w:space="0" w:color="365F91"/>
            </w:tcBorders>
            <w:shd w:val="clear" w:color="auto" w:fill="auto"/>
            <w:noWrap/>
          </w:tcPr>
          <w:p w14:paraId="30235AE9"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0.008</w:t>
            </w:r>
          </w:p>
        </w:tc>
        <w:tc>
          <w:tcPr>
            <w:tcW w:w="633" w:type="pct"/>
            <w:tcBorders>
              <w:bottom w:val="single" w:sz="4" w:space="0" w:color="365F91"/>
            </w:tcBorders>
            <w:shd w:val="clear" w:color="auto" w:fill="auto"/>
            <w:noWrap/>
          </w:tcPr>
          <w:p w14:paraId="57636AB8"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1.9</w:t>
            </w:r>
          </w:p>
        </w:tc>
        <w:tc>
          <w:tcPr>
            <w:tcW w:w="577" w:type="pct"/>
            <w:tcBorders>
              <w:bottom w:val="single" w:sz="4" w:space="0" w:color="365F91"/>
            </w:tcBorders>
            <w:shd w:val="clear" w:color="auto" w:fill="auto"/>
            <w:noWrap/>
          </w:tcPr>
          <w:p w14:paraId="1C01F907"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79.2</w:t>
            </w:r>
          </w:p>
        </w:tc>
      </w:tr>
      <w:tr w:rsidR="00DE64BC" w:rsidRPr="00256982" w14:paraId="21944877" w14:textId="77777777" w:rsidTr="009A0D25">
        <w:tc>
          <w:tcPr>
            <w:tcW w:w="553" w:type="pct"/>
            <w:tcBorders>
              <w:bottom w:val="single" w:sz="4" w:space="0" w:color="365F91"/>
            </w:tcBorders>
          </w:tcPr>
          <w:p w14:paraId="32163C30" w14:textId="77777777" w:rsidR="00DE64BC" w:rsidRPr="00256982" w:rsidRDefault="00DE64BC" w:rsidP="00A808C7">
            <w:pPr>
              <w:pStyle w:val="TableText"/>
              <w:spacing w:before="50" w:after="50"/>
              <w:rPr>
                <w:rFonts w:cs="Arial"/>
                <w:szCs w:val="16"/>
              </w:rPr>
            </w:pPr>
            <w:r w:rsidRPr="00256982">
              <w:rPr>
                <w:rFonts w:cs="Arial"/>
                <w:color w:val="000000"/>
                <w:szCs w:val="16"/>
              </w:rPr>
              <w:t>1.A.1.a</w:t>
            </w:r>
          </w:p>
        </w:tc>
        <w:tc>
          <w:tcPr>
            <w:tcW w:w="1209" w:type="pct"/>
            <w:tcBorders>
              <w:bottom w:val="single" w:sz="4" w:space="0" w:color="365F91"/>
            </w:tcBorders>
            <w:shd w:val="clear" w:color="auto" w:fill="auto"/>
            <w:noWrap/>
          </w:tcPr>
          <w:p w14:paraId="1A0FD901" w14:textId="77777777" w:rsidR="00DE64BC" w:rsidRPr="00256982" w:rsidRDefault="00DE64BC" w:rsidP="00A808C7">
            <w:pPr>
              <w:pStyle w:val="TableText"/>
              <w:spacing w:before="50" w:after="50"/>
              <w:rPr>
                <w:rFonts w:cs="Arial"/>
                <w:szCs w:val="16"/>
              </w:rPr>
            </w:pPr>
            <w:r w:rsidRPr="00256982">
              <w:rPr>
                <w:rFonts w:cs="Arial"/>
                <w:color w:val="000000"/>
                <w:szCs w:val="16"/>
              </w:rPr>
              <w:t>Energy Industries – Public Electricity and Heat Production Gaseous Fuels</w:t>
            </w:r>
          </w:p>
        </w:tc>
        <w:tc>
          <w:tcPr>
            <w:tcW w:w="372" w:type="pct"/>
            <w:tcBorders>
              <w:bottom w:val="single" w:sz="4" w:space="0" w:color="365F91"/>
            </w:tcBorders>
            <w:shd w:val="clear" w:color="auto" w:fill="auto"/>
            <w:noWrap/>
          </w:tcPr>
          <w:p w14:paraId="6D04AD7D" w14:textId="77777777" w:rsidR="00DE64BC" w:rsidRPr="00256982" w:rsidRDefault="00DE64BC" w:rsidP="00A808C7">
            <w:pPr>
              <w:pStyle w:val="TableText"/>
              <w:spacing w:before="50" w:after="50"/>
              <w:jc w:val="center"/>
              <w:rPr>
                <w:rFonts w:cs="Arial"/>
                <w:szCs w:val="16"/>
              </w:rPr>
            </w:pPr>
            <w:r w:rsidRPr="00256982">
              <w:rPr>
                <w:rFonts w:cs="Arial"/>
                <w:color w:val="000000"/>
                <w:szCs w:val="16"/>
              </w:rPr>
              <w:t>CO</w:t>
            </w:r>
            <w:r w:rsidRPr="00256982">
              <w:rPr>
                <w:rFonts w:cs="Arial"/>
                <w:color w:val="000000"/>
                <w:szCs w:val="16"/>
                <w:vertAlign w:val="subscript"/>
              </w:rPr>
              <w:t>2</w:t>
            </w:r>
          </w:p>
        </w:tc>
        <w:tc>
          <w:tcPr>
            <w:tcW w:w="529" w:type="pct"/>
            <w:tcBorders>
              <w:bottom w:val="single" w:sz="4" w:space="0" w:color="365F91"/>
            </w:tcBorders>
            <w:shd w:val="clear" w:color="auto" w:fill="auto"/>
            <w:noWrap/>
          </w:tcPr>
          <w:p w14:paraId="6780821A"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3,011.8</w:t>
            </w:r>
          </w:p>
        </w:tc>
        <w:tc>
          <w:tcPr>
            <w:tcW w:w="510" w:type="pct"/>
            <w:tcBorders>
              <w:bottom w:val="single" w:sz="4" w:space="0" w:color="365F91"/>
            </w:tcBorders>
            <w:shd w:val="clear" w:color="auto" w:fill="auto"/>
            <w:noWrap/>
          </w:tcPr>
          <w:p w14:paraId="480C1CA6"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3,065.2</w:t>
            </w:r>
          </w:p>
        </w:tc>
        <w:tc>
          <w:tcPr>
            <w:tcW w:w="617" w:type="pct"/>
            <w:tcBorders>
              <w:bottom w:val="single" w:sz="4" w:space="0" w:color="365F91"/>
            </w:tcBorders>
            <w:shd w:val="clear" w:color="auto" w:fill="auto"/>
            <w:noWrap/>
          </w:tcPr>
          <w:p w14:paraId="13B3FA27"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0.006</w:t>
            </w:r>
          </w:p>
        </w:tc>
        <w:tc>
          <w:tcPr>
            <w:tcW w:w="633" w:type="pct"/>
            <w:tcBorders>
              <w:bottom w:val="single" w:sz="4" w:space="0" w:color="365F91"/>
            </w:tcBorders>
            <w:shd w:val="clear" w:color="auto" w:fill="auto"/>
            <w:noWrap/>
          </w:tcPr>
          <w:p w14:paraId="7A906894"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1.6</w:t>
            </w:r>
          </w:p>
        </w:tc>
        <w:tc>
          <w:tcPr>
            <w:tcW w:w="577" w:type="pct"/>
            <w:tcBorders>
              <w:bottom w:val="single" w:sz="4" w:space="0" w:color="365F91"/>
            </w:tcBorders>
            <w:shd w:val="clear" w:color="auto" w:fill="auto"/>
            <w:noWrap/>
          </w:tcPr>
          <w:p w14:paraId="110901BC"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80.8</w:t>
            </w:r>
          </w:p>
        </w:tc>
      </w:tr>
      <w:tr w:rsidR="00DE64BC" w:rsidRPr="00256982" w14:paraId="3BFAA3D1" w14:textId="77777777" w:rsidTr="009A0D25">
        <w:tc>
          <w:tcPr>
            <w:tcW w:w="553" w:type="pct"/>
            <w:tcBorders>
              <w:bottom w:val="single" w:sz="4" w:space="0" w:color="365F91"/>
            </w:tcBorders>
          </w:tcPr>
          <w:p w14:paraId="50ACB56D" w14:textId="77777777" w:rsidR="00DE64BC" w:rsidRPr="00256982" w:rsidRDefault="00DE64BC" w:rsidP="00A808C7">
            <w:pPr>
              <w:pStyle w:val="TableText"/>
              <w:spacing w:before="50" w:after="50"/>
              <w:rPr>
                <w:rFonts w:cs="Arial"/>
                <w:szCs w:val="16"/>
              </w:rPr>
            </w:pPr>
            <w:r w:rsidRPr="00256982">
              <w:rPr>
                <w:rFonts w:cs="Arial"/>
                <w:color w:val="000000"/>
                <w:szCs w:val="16"/>
              </w:rPr>
              <w:t>1.A.2.e</w:t>
            </w:r>
          </w:p>
        </w:tc>
        <w:tc>
          <w:tcPr>
            <w:tcW w:w="1209" w:type="pct"/>
            <w:tcBorders>
              <w:bottom w:val="single" w:sz="4" w:space="0" w:color="365F91"/>
            </w:tcBorders>
            <w:shd w:val="clear" w:color="auto" w:fill="auto"/>
            <w:noWrap/>
          </w:tcPr>
          <w:p w14:paraId="0CB8F948" w14:textId="77777777" w:rsidR="00DE64BC" w:rsidRPr="00256982" w:rsidRDefault="00DE64BC" w:rsidP="00A808C7">
            <w:pPr>
              <w:pStyle w:val="TableText"/>
              <w:spacing w:before="50" w:after="50"/>
              <w:rPr>
                <w:rFonts w:cs="Arial"/>
                <w:szCs w:val="16"/>
              </w:rPr>
            </w:pPr>
            <w:r w:rsidRPr="00256982">
              <w:rPr>
                <w:rFonts w:cs="Arial"/>
                <w:color w:val="000000"/>
                <w:szCs w:val="16"/>
              </w:rPr>
              <w:t>Manufacturing Industries and Construction – Food Processing, Beverages and Tobacco Solid Fuels</w:t>
            </w:r>
          </w:p>
        </w:tc>
        <w:tc>
          <w:tcPr>
            <w:tcW w:w="372" w:type="pct"/>
            <w:tcBorders>
              <w:bottom w:val="single" w:sz="4" w:space="0" w:color="365F91"/>
            </w:tcBorders>
            <w:shd w:val="clear" w:color="auto" w:fill="auto"/>
            <w:noWrap/>
          </w:tcPr>
          <w:p w14:paraId="2F3FFB1A" w14:textId="77777777" w:rsidR="00DE64BC" w:rsidRPr="00256982" w:rsidRDefault="00DE64BC" w:rsidP="00A808C7">
            <w:pPr>
              <w:pStyle w:val="TableText"/>
              <w:spacing w:before="50" w:after="50"/>
              <w:jc w:val="center"/>
              <w:rPr>
                <w:rFonts w:cs="Arial"/>
                <w:szCs w:val="16"/>
              </w:rPr>
            </w:pPr>
            <w:r w:rsidRPr="00256982">
              <w:rPr>
                <w:rFonts w:cs="Arial"/>
                <w:color w:val="000000"/>
                <w:szCs w:val="16"/>
              </w:rPr>
              <w:t>CO</w:t>
            </w:r>
            <w:r w:rsidRPr="00256982">
              <w:rPr>
                <w:rFonts w:cs="Arial"/>
                <w:color w:val="000000"/>
                <w:szCs w:val="16"/>
                <w:vertAlign w:val="subscript"/>
              </w:rPr>
              <w:t>2</w:t>
            </w:r>
          </w:p>
        </w:tc>
        <w:tc>
          <w:tcPr>
            <w:tcW w:w="529" w:type="pct"/>
            <w:tcBorders>
              <w:bottom w:val="single" w:sz="4" w:space="0" w:color="365F91"/>
            </w:tcBorders>
            <w:shd w:val="clear" w:color="auto" w:fill="auto"/>
            <w:noWrap/>
          </w:tcPr>
          <w:p w14:paraId="4490D3E9"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938.6</w:t>
            </w:r>
          </w:p>
        </w:tc>
        <w:tc>
          <w:tcPr>
            <w:tcW w:w="510" w:type="pct"/>
            <w:tcBorders>
              <w:bottom w:val="single" w:sz="4" w:space="0" w:color="365F91"/>
            </w:tcBorders>
            <w:shd w:val="clear" w:color="auto" w:fill="auto"/>
            <w:noWrap/>
          </w:tcPr>
          <w:p w14:paraId="031E65B8"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1,784.0</w:t>
            </w:r>
          </w:p>
        </w:tc>
        <w:tc>
          <w:tcPr>
            <w:tcW w:w="617" w:type="pct"/>
            <w:tcBorders>
              <w:bottom w:val="single" w:sz="4" w:space="0" w:color="365F91"/>
            </w:tcBorders>
            <w:shd w:val="clear" w:color="auto" w:fill="auto"/>
            <w:noWrap/>
          </w:tcPr>
          <w:p w14:paraId="4030EFAD"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0.006</w:t>
            </w:r>
          </w:p>
        </w:tc>
        <w:tc>
          <w:tcPr>
            <w:tcW w:w="633" w:type="pct"/>
            <w:tcBorders>
              <w:bottom w:val="single" w:sz="4" w:space="0" w:color="365F91"/>
            </w:tcBorders>
            <w:shd w:val="clear" w:color="auto" w:fill="auto"/>
            <w:noWrap/>
          </w:tcPr>
          <w:p w14:paraId="3067A3A8"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1.5</w:t>
            </w:r>
          </w:p>
        </w:tc>
        <w:tc>
          <w:tcPr>
            <w:tcW w:w="577" w:type="pct"/>
            <w:tcBorders>
              <w:bottom w:val="single" w:sz="4" w:space="0" w:color="365F91"/>
            </w:tcBorders>
            <w:shd w:val="clear" w:color="auto" w:fill="auto"/>
            <w:noWrap/>
          </w:tcPr>
          <w:p w14:paraId="12FE2C6A"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82.3</w:t>
            </w:r>
          </w:p>
        </w:tc>
      </w:tr>
      <w:tr w:rsidR="00DE64BC" w:rsidRPr="00256982" w14:paraId="6B84E755" w14:textId="77777777" w:rsidTr="009A0D25">
        <w:tc>
          <w:tcPr>
            <w:tcW w:w="553" w:type="pct"/>
            <w:tcBorders>
              <w:bottom w:val="single" w:sz="4" w:space="0" w:color="365F91"/>
            </w:tcBorders>
          </w:tcPr>
          <w:p w14:paraId="196B6371" w14:textId="77777777" w:rsidR="00DE64BC" w:rsidRPr="00256982" w:rsidRDefault="00DE64BC" w:rsidP="00A808C7">
            <w:pPr>
              <w:pStyle w:val="TableText"/>
              <w:spacing w:before="50" w:after="50"/>
              <w:rPr>
                <w:rFonts w:cs="Arial"/>
                <w:szCs w:val="16"/>
              </w:rPr>
            </w:pPr>
            <w:r w:rsidRPr="00256982">
              <w:rPr>
                <w:rFonts w:cs="Arial"/>
                <w:color w:val="000000"/>
                <w:szCs w:val="16"/>
              </w:rPr>
              <w:t>3.H</w:t>
            </w:r>
          </w:p>
        </w:tc>
        <w:tc>
          <w:tcPr>
            <w:tcW w:w="1209" w:type="pct"/>
            <w:tcBorders>
              <w:bottom w:val="single" w:sz="4" w:space="0" w:color="365F91"/>
            </w:tcBorders>
            <w:shd w:val="clear" w:color="auto" w:fill="auto"/>
            <w:noWrap/>
          </w:tcPr>
          <w:p w14:paraId="47D2A9B6" w14:textId="77777777" w:rsidR="00DE64BC" w:rsidRPr="00256982" w:rsidRDefault="00DE64BC" w:rsidP="00A808C7">
            <w:pPr>
              <w:pStyle w:val="TableText"/>
              <w:spacing w:before="50" w:after="50"/>
              <w:rPr>
                <w:rFonts w:cs="Arial"/>
                <w:szCs w:val="16"/>
              </w:rPr>
            </w:pPr>
            <w:r w:rsidRPr="00256982">
              <w:rPr>
                <w:rFonts w:cs="Arial"/>
                <w:color w:val="000000"/>
                <w:szCs w:val="16"/>
              </w:rPr>
              <w:t>Agriculture – Urea Application</w:t>
            </w:r>
          </w:p>
        </w:tc>
        <w:tc>
          <w:tcPr>
            <w:tcW w:w="372" w:type="pct"/>
            <w:tcBorders>
              <w:bottom w:val="single" w:sz="4" w:space="0" w:color="365F91"/>
            </w:tcBorders>
            <w:shd w:val="clear" w:color="auto" w:fill="auto"/>
            <w:noWrap/>
          </w:tcPr>
          <w:p w14:paraId="77C585C7" w14:textId="77777777" w:rsidR="00DE64BC" w:rsidRPr="00256982" w:rsidRDefault="00DE64BC" w:rsidP="00A808C7">
            <w:pPr>
              <w:pStyle w:val="TableText"/>
              <w:spacing w:before="50" w:after="50"/>
              <w:jc w:val="center"/>
              <w:rPr>
                <w:rFonts w:cs="Arial"/>
                <w:szCs w:val="16"/>
              </w:rPr>
            </w:pPr>
            <w:r w:rsidRPr="00256982">
              <w:rPr>
                <w:rFonts w:cs="Arial"/>
                <w:color w:val="000000"/>
                <w:szCs w:val="16"/>
              </w:rPr>
              <w:t>CO</w:t>
            </w:r>
            <w:r w:rsidRPr="00256982">
              <w:rPr>
                <w:rFonts w:cs="Arial"/>
                <w:color w:val="000000"/>
                <w:szCs w:val="16"/>
                <w:vertAlign w:val="subscript"/>
              </w:rPr>
              <w:t>2</w:t>
            </w:r>
          </w:p>
        </w:tc>
        <w:tc>
          <w:tcPr>
            <w:tcW w:w="529" w:type="pct"/>
            <w:tcBorders>
              <w:bottom w:val="single" w:sz="4" w:space="0" w:color="365F91"/>
            </w:tcBorders>
            <w:shd w:val="clear" w:color="auto" w:fill="auto"/>
            <w:noWrap/>
          </w:tcPr>
          <w:p w14:paraId="6FAA1B40"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39.2</w:t>
            </w:r>
          </w:p>
        </w:tc>
        <w:tc>
          <w:tcPr>
            <w:tcW w:w="510" w:type="pct"/>
            <w:tcBorders>
              <w:bottom w:val="single" w:sz="4" w:space="0" w:color="365F91"/>
            </w:tcBorders>
            <w:shd w:val="clear" w:color="auto" w:fill="auto"/>
            <w:noWrap/>
          </w:tcPr>
          <w:p w14:paraId="6BE45F1B"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588.3</w:t>
            </w:r>
          </w:p>
        </w:tc>
        <w:tc>
          <w:tcPr>
            <w:tcW w:w="617" w:type="pct"/>
            <w:tcBorders>
              <w:bottom w:val="single" w:sz="4" w:space="0" w:color="365F91"/>
            </w:tcBorders>
            <w:shd w:val="clear" w:color="auto" w:fill="auto"/>
            <w:noWrap/>
          </w:tcPr>
          <w:p w14:paraId="33218E90"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0.005</w:t>
            </w:r>
          </w:p>
        </w:tc>
        <w:tc>
          <w:tcPr>
            <w:tcW w:w="633" w:type="pct"/>
            <w:tcBorders>
              <w:bottom w:val="single" w:sz="4" w:space="0" w:color="365F91"/>
            </w:tcBorders>
            <w:shd w:val="clear" w:color="auto" w:fill="auto"/>
            <w:noWrap/>
          </w:tcPr>
          <w:p w14:paraId="2966F89D"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1.3</w:t>
            </w:r>
          </w:p>
        </w:tc>
        <w:tc>
          <w:tcPr>
            <w:tcW w:w="577" w:type="pct"/>
            <w:tcBorders>
              <w:bottom w:val="single" w:sz="4" w:space="0" w:color="365F91"/>
            </w:tcBorders>
            <w:shd w:val="clear" w:color="auto" w:fill="auto"/>
            <w:noWrap/>
          </w:tcPr>
          <w:p w14:paraId="6E5C71C1"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83.7</w:t>
            </w:r>
          </w:p>
        </w:tc>
      </w:tr>
      <w:tr w:rsidR="00DE64BC" w:rsidRPr="00256982" w14:paraId="2A4CE138" w14:textId="77777777" w:rsidTr="009A0D25">
        <w:tc>
          <w:tcPr>
            <w:tcW w:w="553" w:type="pct"/>
            <w:tcBorders>
              <w:bottom w:val="single" w:sz="4" w:space="0" w:color="365F91"/>
            </w:tcBorders>
          </w:tcPr>
          <w:p w14:paraId="64AB8935" w14:textId="77777777" w:rsidR="00DE64BC" w:rsidRPr="00256982" w:rsidRDefault="00DE64BC" w:rsidP="00A808C7">
            <w:pPr>
              <w:pStyle w:val="TableText"/>
              <w:spacing w:before="50" w:after="50"/>
              <w:rPr>
                <w:rFonts w:cs="Arial"/>
                <w:szCs w:val="16"/>
              </w:rPr>
            </w:pPr>
            <w:r w:rsidRPr="00256982">
              <w:rPr>
                <w:rFonts w:cs="Arial"/>
                <w:color w:val="000000"/>
                <w:szCs w:val="16"/>
              </w:rPr>
              <w:t>1.A.2.e</w:t>
            </w:r>
          </w:p>
        </w:tc>
        <w:tc>
          <w:tcPr>
            <w:tcW w:w="1209" w:type="pct"/>
            <w:tcBorders>
              <w:bottom w:val="single" w:sz="4" w:space="0" w:color="365F91"/>
            </w:tcBorders>
            <w:shd w:val="clear" w:color="auto" w:fill="auto"/>
            <w:noWrap/>
          </w:tcPr>
          <w:p w14:paraId="23BBB4A9" w14:textId="77777777" w:rsidR="00DE64BC" w:rsidRPr="00256982" w:rsidRDefault="00DE64BC" w:rsidP="00A808C7">
            <w:pPr>
              <w:pStyle w:val="TableText"/>
              <w:spacing w:before="50" w:after="50"/>
              <w:rPr>
                <w:rFonts w:cs="Arial"/>
                <w:szCs w:val="16"/>
              </w:rPr>
            </w:pPr>
            <w:r w:rsidRPr="00256982">
              <w:rPr>
                <w:rFonts w:cs="Arial"/>
                <w:color w:val="000000"/>
                <w:szCs w:val="16"/>
              </w:rPr>
              <w:t>Manufacturing Industries and Construction – Food Processing, Beverages and Tobacco Gaseous Fuels</w:t>
            </w:r>
          </w:p>
        </w:tc>
        <w:tc>
          <w:tcPr>
            <w:tcW w:w="372" w:type="pct"/>
            <w:tcBorders>
              <w:bottom w:val="single" w:sz="4" w:space="0" w:color="365F91"/>
            </w:tcBorders>
            <w:shd w:val="clear" w:color="auto" w:fill="auto"/>
            <w:noWrap/>
          </w:tcPr>
          <w:p w14:paraId="730E7B47" w14:textId="77777777" w:rsidR="00DE64BC" w:rsidRPr="00256982" w:rsidRDefault="00DE64BC" w:rsidP="00A808C7">
            <w:pPr>
              <w:pStyle w:val="TableText"/>
              <w:spacing w:before="50" w:after="50"/>
              <w:jc w:val="center"/>
              <w:rPr>
                <w:rFonts w:cs="Arial"/>
                <w:szCs w:val="16"/>
              </w:rPr>
            </w:pPr>
            <w:r w:rsidRPr="00256982">
              <w:rPr>
                <w:rFonts w:cs="Arial"/>
                <w:color w:val="000000"/>
                <w:szCs w:val="16"/>
              </w:rPr>
              <w:t>CO</w:t>
            </w:r>
            <w:r w:rsidRPr="00256982">
              <w:rPr>
                <w:rFonts w:cs="Arial"/>
                <w:color w:val="000000"/>
                <w:szCs w:val="16"/>
                <w:vertAlign w:val="subscript"/>
              </w:rPr>
              <w:t>2</w:t>
            </w:r>
          </w:p>
        </w:tc>
        <w:tc>
          <w:tcPr>
            <w:tcW w:w="529" w:type="pct"/>
            <w:tcBorders>
              <w:bottom w:val="single" w:sz="4" w:space="0" w:color="365F91"/>
            </w:tcBorders>
            <w:shd w:val="clear" w:color="auto" w:fill="auto"/>
            <w:noWrap/>
          </w:tcPr>
          <w:p w14:paraId="0D9C425D"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445.1</w:t>
            </w:r>
          </w:p>
        </w:tc>
        <w:tc>
          <w:tcPr>
            <w:tcW w:w="510" w:type="pct"/>
            <w:tcBorders>
              <w:bottom w:val="single" w:sz="4" w:space="0" w:color="365F91"/>
            </w:tcBorders>
            <w:shd w:val="clear" w:color="auto" w:fill="auto"/>
            <w:noWrap/>
          </w:tcPr>
          <w:p w14:paraId="3EAAAF18"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954.9</w:t>
            </w:r>
          </w:p>
        </w:tc>
        <w:tc>
          <w:tcPr>
            <w:tcW w:w="617" w:type="pct"/>
            <w:tcBorders>
              <w:bottom w:val="single" w:sz="4" w:space="0" w:color="365F91"/>
            </w:tcBorders>
            <w:shd w:val="clear" w:color="auto" w:fill="auto"/>
            <w:noWrap/>
          </w:tcPr>
          <w:p w14:paraId="350C063C"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0.004</w:t>
            </w:r>
          </w:p>
        </w:tc>
        <w:tc>
          <w:tcPr>
            <w:tcW w:w="633" w:type="pct"/>
            <w:tcBorders>
              <w:bottom w:val="single" w:sz="4" w:space="0" w:color="365F91"/>
            </w:tcBorders>
            <w:shd w:val="clear" w:color="auto" w:fill="auto"/>
            <w:noWrap/>
          </w:tcPr>
          <w:p w14:paraId="2957EF75"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1.0</w:t>
            </w:r>
          </w:p>
        </w:tc>
        <w:tc>
          <w:tcPr>
            <w:tcW w:w="577" w:type="pct"/>
            <w:tcBorders>
              <w:bottom w:val="single" w:sz="4" w:space="0" w:color="365F91"/>
            </w:tcBorders>
            <w:shd w:val="clear" w:color="auto" w:fill="auto"/>
            <w:noWrap/>
          </w:tcPr>
          <w:p w14:paraId="2D8A362B"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84.7</w:t>
            </w:r>
          </w:p>
        </w:tc>
      </w:tr>
      <w:tr w:rsidR="00DE64BC" w:rsidRPr="00256982" w14:paraId="0F370CE4" w14:textId="77777777" w:rsidTr="009A0D25">
        <w:tc>
          <w:tcPr>
            <w:tcW w:w="553" w:type="pct"/>
            <w:tcBorders>
              <w:bottom w:val="single" w:sz="4" w:space="0" w:color="365F91"/>
            </w:tcBorders>
          </w:tcPr>
          <w:p w14:paraId="6268F3C3" w14:textId="77777777" w:rsidR="00DE64BC" w:rsidRPr="00256982" w:rsidRDefault="00DE64BC" w:rsidP="00A808C7">
            <w:pPr>
              <w:pStyle w:val="TableText"/>
              <w:spacing w:before="50" w:after="50"/>
              <w:rPr>
                <w:rFonts w:cs="Arial"/>
                <w:szCs w:val="16"/>
              </w:rPr>
            </w:pPr>
            <w:r w:rsidRPr="00256982">
              <w:rPr>
                <w:rFonts w:cs="Arial"/>
                <w:color w:val="000000"/>
                <w:szCs w:val="16"/>
              </w:rPr>
              <w:t>1.A.4.b</w:t>
            </w:r>
          </w:p>
        </w:tc>
        <w:tc>
          <w:tcPr>
            <w:tcW w:w="1209" w:type="pct"/>
            <w:tcBorders>
              <w:bottom w:val="single" w:sz="4" w:space="0" w:color="365F91"/>
            </w:tcBorders>
            <w:shd w:val="clear" w:color="auto" w:fill="auto"/>
            <w:noWrap/>
          </w:tcPr>
          <w:p w14:paraId="6F5C788C" w14:textId="77777777" w:rsidR="00DE64BC" w:rsidRPr="00256982" w:rsidRDefault="00DE64BC" w:rsidP="00A808C7">
            <w:pPr>
              <w:pStyle w:val="TableText"/>
              <w:spacing w:before="50" w:after="50"/>
              <w:rPr>
                <w:rFonts w:cs="Arial"/>
                <w:szCs w:val="16"/>
              </w:rPr>
            </w:pPr>
            <w:r w:rsidRPr="00256982">
              <w:rPr>
                <w:rFonts w:cs="Arial"/>
                <w:color w:val="000000"/>
                <w:szCs w:val="16"/>
              </w:rPr>
              <w:t>Other Sectors – Residential Solid Fuels</w:t>
            </w:r>
          </w:p>
        </w:tc>
        <w:tc>
          <w:tcPr>
            <w:tcW w:w="372" w:type="pct"/>
            <w:tcBorders>
              <w:bottom w:val="single" w:sz="4" w:space="0" w:color="365F91"/>
            </w:tcBorders>
            <w:shd w:val="clear" w:color="auto" w:fill="auto"/>
            <w:noWrap/>
          </w:tcPr>
          <w:p w14:paraId="4989849A" w14:textId="77777777" w:rsidR="00DE64BC" w:rsidRPr="00256982" w:rsidRDefault="00DE64BC" w:rsidP="00A808C7">
            <w:pPr>
              <w:pStyle w:val="TableText"/>
              <w:spacing w:before="50" w:after="50"/>
              <w:jc w:val="center"/>
              <w:rPr>
                <w:rFonts w:cs="Arial"/>
                <w:szCs w:val="16"/>
              </w:rPr>
            </w:pPr>
            <w:r w:rsidRPr="00256982">
              <w:rPr>
                <w:rFonts w:cs="Arial"/>
                <w:color w:val="000000"/>
                <w:szCs w:val="16"/>
              </w:rPr>
              <w:t>CO</w:t>
            </w:r>
            <w:r w:rsidRPr="00256982">
              <w:rPr>
                <w:rFonts w:cs="Arial"/>
                <w:color w:val="000000"/>
                <w:szCs w:val="16"/>
                <w:vertAlign w:val="subscript"/>
              </w:rPr>
              <w:t>2</w:t>
            </w:r>
          </w:p>
        </w:tc>
        <w:tc>
          <w:tcPr>
            <w:tcW w:w="529" w:type="pct"/>
            <w:tcBorders>
              <w:bottom w:val="single" w:sz="4" w:space="0" w:color="365F91"/>
            </w:tcBorders>
            <w:shd w:val="clear" w:color="auto" w:fill="auto"/>
            <w:noWrap/>
          </w:tcPr>
          <w:p w14:paraId="3BB0D798"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344.9</w:t>
            </w:r>
          </w:p>
        </w:tc>
        <w:tc>
          <w:tcPr>
            <w:tcW w:w="510" w:type="pct"/>
            <w:tcBorders>
              <w:bottom w:val="single" w:sz="4" w:space="0" w:color="365F91"/>
            </w:tcBorders>
            <w:shd w:val="clear" w:color="auto" w:fill="auto"/>
            <w:noWrap/>
          </w:tcPr>
          <w:p w14:paraId="0A4BBF49"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25.4</w:t>
            </w:r>
          </w:p>
        </w:tc>
        <w:tc>
          <w:tcPr>
            <w:tcW w:w="617" w:type="pct"/>
            <w:tcBorders>
              <w:bottom w:val="single" w:sz="4" w:space="0" w:color="365F91"/>
            </w:tcBorders>
            <w:shd w:val="clear" w:color="auto" w:fill="auto"/>
            <w:noWrap/>
          </w:tcPr>
          <w:p w14:paraId="16F5F790"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0.004</w:t>
            </w:r>
          </w:p>
        </w:tc>
        <w:tc>
          <w:tcPr>
            <w:tcW w:w="633" w:type="pct"/>
            <w:tcBorders>
              <w:bottom w:val="single" w:sz="4" w:space="0" w:color="365F91"/>
            </w:tcBorders>
            <w:shd w:val="clear" w:color="auto" w:fill="auto"/>
            <w:noWrap/>
          </w:tcPr>
          <w:p w14:paraId="752710F2"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1.0</w:t>
            </w:r>
          </w:p>
        </w:tc>
        <w:tc>
          <w:tcPr>
            <w:tcW w:w="577" w:type="pct"/>
            <w:tcBorders>
              <w:bottom w:val="single" w:sz="4" w:space="0" w:color="365F91"/>
            </w:tcBorders>
            <w:shd w:val="clear" w:color="auto" w:fill="auto"/>
            <w:noWrap/>
          </w:tcPr>
          <w:p w14:paraId="76C2189C"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85.6</w:t>
            </w:r>
          </w:p>
        </w:tc>
      </w:tr>
      <w:tr w:rsidR="00DE64BC" w:rsidRPr="00256982" w14:paraId="521440BB" w14:textId="77777777" w:rsidTr="009A0D25">
        <w:tc>
          <w:tcPr>
            <w:tcW w:w="553" w:type="pct"/>
            <w:tcBorders>
              <w:bottom w:val="single" w:sz="4" w:space="0" w:color="365F91"/>
            </w:tcBorders>
          </w:tcPr>
          <w:p w14:paraId="4DF62FD0" w14:textId="77777777" w:rsidR="00DE64BC" w:rsidRPr="00256982" w:rsidRDefault="00DE64BC" w:rsidP="00A808C7">
            <w:pPr>
              <w:pStyle w:val="TableText"/>
              <w:spacing w:before="50" w:after="50"/>
              <w:rPr>
                <w:rFonts w:cs="Arial"/>
                <w:szCs w:val="16"/>
              </w:rPr>
            </w:pPr>
            <w:r w:rsidRPr="00256982">
              <w:rPr>
                <w:rFonts w:cs="Arial"/>
                <w:color w:val="000000"/>
                <w:szCs w:val="16"/>
              </w:rPr>
              <w:t>1.B.2.d</w:t>
            </w:r>
          </w:p>
        </w:tc>
        <w:tc>
          <w:tcPr>
            <w:tcW w:w="1209" w:type="pct"/>
            <w:tcBorders>
              <w:bottom w:val="single" w:sz="4" w:space="0" w:color="365F91"/>
            </w:tcBorders>
            <w:shd w:val="clear" w:color="auto" w:fill="auto"/>
            <w:noWrap/>
          </w:tcPr>
          <w:p w14:paraId="7895261C" w14:textId="77777777" w:rsidR="00DE64BC" w:rsidRPr="00256982" w:rsidRDefault="00DE64BC" w:rsidP="00A808C7">
            <w:pPr>
              <w:pStyle w:val="TableText"/>
              <w:spacing w:before="50" w:after="50"/>
              <w:rPr>
                <w:rFonts w:cs="Arial"/>
                <w:szCs w:val="16"/>
              </w:rPr>
            </w:pPr>
            <w:r w:rsidRPr="00256982">
              <w:rPr>
                <w:rFonts w:cs="Arial"/>
                <w:color w:val="000000"/>
                <w:szCs w:val="16"/>
              </w:rPr>
              <w:t>Other (please specify) – Geothermal</w:t>
            </w:r>
          </w:p>
        </w:tc>
        <w:tc>
          <w:tcPr>
            <w:tcW w:w="372" w:type="pct"/>
            <w:tcBorders>
              <w:bottom w:val="single" w:sz="4" w:space="0" w:color="365F91"/>
            </w:tcBorders>
            <w:shd w:val="clear" w:color="auto" w:fill="auto"/>
            <w:noWrap/>
          </w:tcPr>
          <w:p w14:paraId="0CE4016D" w14:textId="77777777" w:rsidR="00DE64BC" w:rsidRPr="00256982" w:rsidRDefault="00DE64BC" w:rsidP="00A808C7">
            <w:pPr>
              <w:pStyle w:val="TableText"/>
              <w:spacing w:before="50" w:after="50"/>
              <w:jc w:val="center"/>
              <w:rPr>
                <w:rFonts w:cs="Arial"/>
                <w:szCs w:val="16"/>
              </w:rPr>
            </w:pPr>
            <w:r w:rsidRPr="00256982">
              <w:rPr>
                <w:rFonts w:cs="Arial"/>
                <w:color w:val="000000"/>
                <w:szCs w:val="16"/>
              </w:rPr>
              <w:t>CO</w:t>
            </w:r>
            <w:r w:rsidRPr="00256982">
              <w:rPr>
                <w:rFonts w:cs="Arial"/>
                <w:color w:val="000000"/>
                <w:szCs w:val="16"/>
                <w:vertAlign w:val="subscript"/>
              </w:rPr>
              <w:t>2</w:t>
            </w:r>
          </w:p>
        </w:tc>
        <w:tc>
          <w:tcPr>
            <w:tcW w:w="529" w:type="pct"/>
            <w:tcBorders>
              <w:bottom w:val="single" w:sz="4" w:space="0" w:color="365F91"/>
            </w:tcBorders>
            <w:shd w:val="clear" w:color="auto" w:fill="auto"/>
            <w:noWrap/>
          </w:tcPr>
          <w:p w14:paraId="221772D0"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228.6</w:t>
            </w:r>
          </w:p>
        </w:tc>
        <w:tc>
          <w:tcPr>
            <w:tcW w:w="510" w:type="pct"/>
            <w:tcBorders>
              <w:bottom w:val="single" w:sz="4" w:space="0" w:color="365F91"/>
            </w:tcBorders>
            <w:shd w:val="clear" w:color="auto" w:fill="auto"/>
            <w:noWrap/>
          </w:tcPr>
          <w:p w14:paraId="789C6296"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643.3</w:t>
            </w:r>
          </w:p>
        </w:tc>
        <w:tc>
          <w:tcPr>
            <w:tcW w:w="617" w:type="pct"/>
            <w:tcBorders>
              <w:bottom w:val="single" w:sz="4" w:space="0" w:color="365F91"/>
            </w:tcBorders>
            <w:shd w:val="clear" w:color="auto" w:fill="auto"/>
            <w:noWrap/>
          </w:tcPr>
          <w:p w14:paraId="227F0A35"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0.004</w:t>
            </w:r>
          </w:p>
        </w:tc>
        <w:tc>
          <w:tcPr>
            <w:tcW w:w="633" w:type="pct"/>
            <w:tcBorders>
              <w:bottom w:val="single" w:sz="4" w:space="0" w:color="365F91"/>
            </w:tcBorders>
            <w:shd w:val="clear" w:color="auto" w:fill="auto"/>
            <w:noWrap/>
          </w:tcPr>
          <w:p w14:paraId="7EB75483"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0.9</w:t>
            </w:r>
          </w:p>
        </w:tc>
        <w:tc>
          <w:tcPr>
            <w:tcW w:w="577" w:type="pct"/>
            <w:tcBorders>
              <w:bottom w:val="single" w:sz="4" w:space="0" w:color="365F91"/>
            </w:tcBorders>
            <w:shd w:val="clear" w:color="auto" w:fill="auto"/>
            <w:noWrap/>
          </w:tcPr>
          <w:p w14:paraId="5A322DCF"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86.5</w:t>
            </w:r>
          </w:p>
        </w:tc>
      </w:tr>
      <w:tr w:rsidR="00DE64BC" w:rsidRPr="00256982" w14:paraId="27E1E8CF" w14:textId="77777777" w:rsidTr="009A0D25">
        <w:tc>
          <w:tcPr>
            <w:tcW w:w="553" w:type="pct"/>
            <w:tcBorders>
              <w:bottom w:val="single" w:sz="4" w:space="0" w:color="365F91"/>
            </w:tcBorders>
          </w:tcPr>
          <w:p w14:paraId="6E041A4D" w14:textId="77777777" w:rsidR="00DE64BC" w:rsidRPr="00256982" w:rsidRDefault="00DE64BC" w:rsidP="00A808C7">
            <w:pPr>
              <w:pStyle w:val="TableText"/>
              <w:spacing w:before="50" w:after="50"/>
              <w:rPr>
                <w:rFonts w:cs="Arial"/>
                <w:szCs w:val="16"/>
              </w:rPr>
            </w:pPr>
            <w:r w:rsidRPr="00256982">
              <w:rPr>
                <w:rFonts w:cs="Arial"/>
                <w:color w:val="000000"/>
                <w:szCs w:val="16"/>
              </w:rPr>
              <w:t>1.B.1.a.1</w:t>
            </w:r>
          </w:p>
        </w:tc>
        <w:tc>
          <w:tcPr>
            <w:tcW w:w="1209" w:type="pct"/>
            <w:tcBorders>
              <w:bottom w:val="single" w:sz="4" w:space="0" w:color="365F91"/>
            </w:tcBorders>
            <w:shd w:val="clear" w:color="auto" w:fill="auto"/>
            <w:noWrap/>
          </w:tcPr>
          <w:p w14:paraId="2E71EA0B" w14:textId="77777777" w:rsidR="00DE64BC" w:rsidRPr="00256982" w:rsidRDefault="00DE64BC" w:rsidP="00A808C7">
            <w:pPr>
              <w:pStyle w:val="TableText"/>
              <w:spacing w:before="50" w:after="50"/>
              <w:rPr>
                <w:rFonts w:cs="Arial"/>
                <w:szCs w:val="16"/>
              </w:rPr>
            </w:pPr>
            <w:r w:rsidRPr="00256982">
              <w:rPr>
                <w:rFonts w:cs="Arial"/>
                <w:color w:val="000000"/>
                <w:szCs w:val="16"/>
              </w:rPr>
              <w:t>Coal Mining and Handling – Underground Mines</w:t>
            </w:r>
          </w:p>
        </w:tc>
        <w:tc>
          <w:tcPr>
            <w:tcW w:w="372" w:type="pct"/>
            <w:tcBorders>
              <w:bottom w:val="single" w:sz="4" w:space="0" w:color="365F91"/>
            </w:tcBorders>
            <w:shd w:val="clear" w:color="auto" w:fill="auto"/>
            <w:noWrap/>
          </w:tcPr>
          <w:p w14:paraId="632C7B64" w14:textId="77777777" w:rsidR="00DE64BC" w:rsidRPr="00256982" w:rsidRDefault="00DE64BC" w:rsidP="00A808C7">
            <w:pPr>
              <w:pStyle w:val="TableText"/>
              <w:spacing w:before="50" w:after="50"/>
              <w:jc w:val="center"/>
              <w:rPr>
                <w:rFonts w:cs="Arial"/>
                <w:szCs w:val="16"/>
              </w:rPr>
            </w:pPr>
            <w:r w:rsidRPr="00256982">
              <w:rPr>
                <w:rFonts w:cs="Arial"/>
                <w:color w:val="000000"/>
                <w:szCs w:val="16"/>
              </w:rPr>
              <w:t>CH</w:t>
            </w:r>
            <w:r w:rsidRPr="00256982">
              <w:rPr>
                <w:rFonts w:cs="Arial"/>
                <w:color w:val="000000"/>
                <w:szCs w:val="16"/>
                <w:vertAlign w:val="subscript"/>
              </w:rPr>
              <w:t>4</w:t>
            </w:r>
          </w:p>
        </w:tc>
        <w:tc>
          <w:tcPr>
            <w:tcW w:w="529" w:type="pct"/>
            <w:tcBorders>
              <w:bottom w:val="single" w:sz="4" w:space="0" w:color="365F91"/>
            </w:tcBorders>
            <w:shd w:val="clear" w:color="auto" w:fill="auto"/>
            <w:noWrap/>
          </w:tcPr>
          <w:p w14:paraId="3C868B89"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289.6</w:t>
            </w:r>
          </w:p>
        </w:tc>
        <w:tc>
          <w:tcPr>
            <w:tcW w:w="510" w:type="pct"/>
            <w:tcBorders>
              <w:bottom w:val="single" w:sz="4" w:space="0" w:color="365F91"/>
            </w:tcBorders>
            <w:shd w:val="clear" w:color="auto" w:fill="auto"/>
            <w:noWrap/>
          </w:tcPr>
          <w:p w14:paraId="10A3E94E"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71.9</w:t>
            </w:r>
          </w:p>
        </w:tc>
        <w:tc>
          <w:tcPr>
            <w:tcW w:w="617" w:type="pct"/>
            <w:tcBorders>
              <w:bottom w:val="single" w:sz="4" w:space="0" w:color="365F91"/>
            </w:tcBorders>
            <w:shd w:val="clear" w:color="auto" w:fill="auto"/>
            <w:noWrap/>
          </w:tcPr>
          <w:p w14:paraId="7B3A0357"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0.003</w:t>
            </w:r>
          </w:p>
        </w:tc>
        <w:tc>
          <w:tcPr>
            <w:tcW w:w="633" w:type="pct"/>
            <w:tcBorders>
              <w:bottom w:val="single" w:sz="4" w:space="0" w:color="365F91"/>
            </w:tcBorders>
            <w:shd w:val="clear" w:color="auto" w:fill="auto"/>
            <w:noWrap/>
          </w:tcPr>
          <w:p w14:paraId="7B9F0EAC"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0.7</w:t>
            </w:r>
          </w:p>
        </w:tc>
        <w:tc>
          <w:tcPr>
            <w:tcW w:w="577" w:type="pct"/>
            <w:tcBorders>
              <w:bottom w:val="single" w:sz="4" w:space="0" w:color="365F91"/>
            </w:tcBorders>
            <w:shd w:val="clear" w:color="auto" w:fill="auto"/>
            <w:noWrap/>
          </w:tcPr>
          <w:p w14:paraId="2002D63F"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87.2</w:t>
            </w:r>
          </w:p>
        </w:tc>
      </w:tr>
      <w:tr w:rsidR="00DE64BC" w:rsidRPr="00256982" w14:paraId="74AD2EDC" w14:textId="77777777" w:rsidTr="009A0D25">
        <w:tc>
          <w:tcPr>
            <w:tcW w:w="553" w:type="pct"/>
            <w:tcBorders>
              <w:bottom w:val="single" w:sz="4" w:space="0" w:color="365F91"/>
            </w:tcBorders>
          </w:tcPr>
          <w:p w14:paraId="20AD1056" w14:textId="77777777" w:rsidR="00DE64BC" w:rsidRPr="00256982" w:rsidRDefault="00DE64BC" w:rsidP="00A808C7">
            <w:pPr>
              <w:pStyle w:val="TableText"/>
              <w:spacing w:before="50" w:after="50"/>
              <w:rPr>
                <w:rFonts w:cs="Arial"/>
                <w:szCs w:val="16"/>
              </w:rPr>
            </w:pPr>
            <w:r w:rsidRPr="00256982">
              <w:rPr>
                <w:rFonts w:cs="Arial"/>
                <w:color w:val="000000"/>
                <w:szCs w:val="16"/>
              </w:rPr>
              <w:t>1.A.1.b</w:t>
            </w:r>
          </w:p>
        </w:tc>
        <w:tc>
          <w:tcPr>
            <w:tcW w:w="1209" w:type="pct"/>
            <w:tcBorders>
              <w:bottom w:val="single" w:sz="4" w:space="0" w:color="365F91"/>
            </w:tcBorders>
            <w:shd w:val="clear" w:color="auto" w:fill="auto"/>
            <w:noWrap/>
          </w:tcPr>
          <w:p w14:paraId="2A58837E" w14:textId="77777777" w:rsidR="00DE64BC" w:rsidRPr="00256982" w:rsidRDefault="00DE64BC" w:rsidP="00A808C7">
            <w:pPr>
              <w:pStyle w:val="TableText"/>
              <w:spacing w:before="50" w:after="50"/>
              <w:rPr>
                <w:rFonts w:cs="Arial"/>
                <w:szCs w:val="16"/>
              </w:rPr>
            </w:pPr>
            <w:r w:rsidRPr="00256982">
              <w:rPr>
                <w:rFonts w:cs="Arial"/>
                <w:color w:val="000000"/>
                <w:szCs w:val="16"/>
              </w:rPr>
              <w:t>Energy Industries – Petroleum Refining Liquid Fuels</w:t>
            </w:r>
          </w:p>
        </w:tc>
        <w:tc>
          <w:tcPr>
            <w:tcW w:w="372" w:type="pct"/>
            <w:tcBorders>
              <w:bottom w:val="single" w:sz="4" w:space="0" w:color="365F91"/>
            </w:tcBorders>
            <w:shd w:val="clear" w:color="auto" w:fill="auto"/>
            <w:noWrap/>
          </w:tcPr>
          <w:p w14:paraId="20B940DB" w14:textId="77777777" w:rsidR="00DE64BC" w:rsidRPr="00256982" w:rsidRDefault="00DE64BC" w:rsidP="00A808C7">
            <w:pPr>
              <w:pStyle w:val="TableText"/>
              <w:spacing w:before="50" w:after="50"/>
              <w:jc w:val="center"/>
              <w:rPr>
                <w:rFonts w:cs="Arial"/>
                <w:szCs w:val="16"/>
              </w:rPr>
            </w:pPr>
            <w:r w:rsidRPr="00256982">
              <w:rPr>
                <w:rFonts w:cs="Arial"/>
                <w:color w:val="000000"/>
                <w:szCs w:val="16"/>
              </w:rPr>
              <w:t>CO</w:t>
            </w:r>
            <w:r w:rsidRPr="00256982">
              <w:rPr>
                <w:rFonts w:cs="Arial"/>
                <w:color w:val="000000"/>
                <w:szCs w:val="16"/>
                <w:vertAlign w:val="subscript"/>
              </w:rPr>
              <w:t>2</w:t>
            </w:r>
          </w:p>
        </w:tc>
        <w:tc>
          <w:tcPr>
            <w:tcW w:w="529" w:type="pct"/>
            <w:tcBorders>
              <w:bottom w:val="single" w:sz="4" w:space="0" w:color="365F91"/>
            </w:tcBorders>
            <w:shd w:val="clear" w:color="auto" w:fill="auto"/>
            <w:noWrap/>
          </w:tcPr>
          <w:p w14:paraId="7DF9E15B"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778.9</w:t>
            </w:r>
          </w:p>
        </w:tc>
        <w:tc>
          <w:tcPr>
            <w:tcW w:w="510" w:type="pct"/>
            <w:tcBorders>
              <w:bottom w:val="single" w:sz="4" w:space="0" w:color="365F91"/>
            </w:tcBorders>
            <w:shd w:val="clear" w:color="auto" w:fill="auto"/>
            <w:noWrap/>
          </w:tcPr>
          <w:p w14:paraId="76474B0E"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674.5</w:t>
            </w:r>
          </w:p>
        </w:tc>
        <w:tc>
          <w:tcPr>
            <w:tcW w:w="617" w:type="pct"/>
            <w:tcBorders>
              <w:bottom w:val="single" w:sz="4" w:space="0" w:color="365F91"/>
            </w:tcBorders>
            <w:shd w:val="clear" w:color="auto" w:fill="auto"/>
            <w:noWrap/>
          </w:tcPr>
          <w:p w14:paraId="2817409D"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0.003</w:t>
            </w:r>
          </w:p>
        </w:tc>
        <w:tc>
          <w:tcPr>
            <w:tcW w:w="633" w:type="pct"/>
            <w:tcBorders>
              <w:bottom w:val="single" w:sz="4" w:space="0" w:color="365F91"/>
            </w:tcBorders>
            <w:shd w:val="clear" w:color="auto" w:fill="auto"/>
            <w:noWrap/>
          </w:tcPr>
          <w:p w14:paraId="1F168980"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0.7</w:t>
            </w:r>
          </w:p>
        </w:tc>
        <w:tc>
          <w:tcPr>
            <w:tcW w:w="577" w:type="pct"/>
            <w:tcBorders>
              <w:bottom w:val="single" w:sz="4" w:space="0" w:color="365F91"/>
            </w:tcBorders>
            <w:shd w:val="clear" w:color="auto" w:fill="auto"/>
            <w:noWrap/>
          </w:tcPr>
          <w:p w14:paraId="3EA5AB66"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87.9</w:t>
            </w:r>
          </w:p>
        </w:tc>
      </w:tr>
      <w:tr w:rsidR="00DE64BC" w:rsidRPr="00256982" w14:paraId="2F5F587B" w14:textId="77777777" w:rsidTr="009A0D25">
        <w:tc>
          <w:tcPr>
            <w:tcW w:w="553" w:type="pct"/>
            <w:tcBorders>
              <w:bottom w:val="single" w:sz="4" w:space="0" w:color="365F91"/>
            </w:tcBorders>
          </w:tcPr>
          <w:p w14:paraId="32EBA0B7" w14:textId="77777777" w:rsidR="00DE64BC" w:rsidRPr="00256982" w:rsidRDefault="00DE64BC" w:rsidP="00A808C7">
            <w:pPr>
              <w:pStyle w:val="TableText"/>
              <w:keepNext/>
              <w:spacing w:before="50" w:after="50"/>
              <w:rPr>
                <w:rFonts w:cs="Arial"/>
                <w:szCs w:val="16"/>
              </w:rPr>
            </w:pPr>
            <w:r w:rsidRPr="00256982">
              <w:rPr>
                <w:rFonts w:cs="Arial"/>
                <w:color w:val="000000"/>
                <w:szCs w:val="16"/>
              </w:rPr>
              <w:t>1.A.2.f</w:t>
            </w:r>
          </w:p>
        </w:tc>
        <w:tc>
          <w:tcPr>
            <w:tcW w:w="1209" w:type="pct"/>
            <w:tcBorders>
              <w:bottom w:val="single" w:sz="4" w:space="0" w:color="365F91"/>
            </w:tcBorders>
            <w:shd w:val="clear" w:color="auto" w:fill="auto"/>
            <w:noWrap/>
          </w:tcPr>
          <w:p w14:paraId="14814A73" w14:textId="77777777" w:rsidR="00DE64BC" w:rsidRPr="00256982" w:rsidRDefault="00DE64BC" w:rsidP="00A808C7">
            <w:pPr>
              <w:pStyle w:val="TableText"/>
              <w:spacing w:before="50" w:after="50"/>
              <w:rPr>
                <w:rFonts w:cs="Arial"/>
                <w:szCs w:val="16"/>
              </w:rPr>
            </w:pPr>
            <w:r w:rsidRPr="00256982">
              <w:rPr>
                <w:rFonts w:cs="Arial"/>
                <w:color w:val="000000"/>
                <w:szCs w:val="16"/>
              </w:rPr>
              <w:t>Manufacturing Industries and Construction – Non-metallic Minerals Solid Fuels</w:t>
            </w:r>
          </w:p>
        </w:tc>
        <w:tc>
          <w:tcPr>
            <w:tcW w:w="372" w:type="pct"/>
            <w:tcBorders>
              <w:bottom w:val="single" w:sz="4" w:space="0" w:color="365F91"/>
            </w:tcBorders>
            <w:shd w:val="clear" w:color="auto" w:fill="auto"/>
            <w:noWrap/>
          </w:tcPr>
          <w:p w14:paraId="3F11D992" w14:textId="77777777" w:rsidR="00DE64BC" w:rsidRPr="00256982" w:rsidRDefault="00DE64BC" w:rsidP="00A808C7">
            <w:pPr>
              <w:pStyle w:val="TableText"/>
              <w:spacing w:before="50" w:after="50"/>
              <w:jc w:val="center"/>
              <w:rPr>
                <w:rFonts w:cs="Arial"/>
                <w:szCs w:val="16"/>
              </w:rPr>
            </w:pPr>
            <w:r w:rsidRPr="00256982">
              <w:rPr>
                <w:rFonts w:cs="Arial"/>
                <w:color w:val="000000"/>
                <w:szCs w:val="16"/>
              </w:rPr>
              <w:t>CO</w:t>
            </w:r>
            <w:r w:rsidRPr="00256982">
              <w:rPr>
                <w:rFonts w:cs="Arial"/>
                <w:color w:val="000000"/>
                <w:szCs w:val="16"/>
                <w:vertAlign w:val="subscript"/>
              </w:rPr>
              <w:t>2</w:t>
            </w:r>
          </w:p>
        </w:tc>
        <w:tc>
          <w:tcPr>
            <w:tcW w:w="529" w:type="pct"/>
            <w:tcBorders>
              <w:bottom w:val="single" w:sz="4" w:space="0" w:color="365F91"/>
            </w:tcBorders>
            <w:shd w:val="clear" w:color="auto" w:fill="auto"/>
            <w:noWrap/>
          </w:tcPr>
          <w:p w14:paraId="2AD48DEE"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382.9</w:t>
            </w:r>
          </w:p>
        </w:tc>
        <w:tc>
          <w:tcPr>
            <w:tcW w:w="510" w:type="pct"/>
            <w:tcBorders>
              <w:bottom w:val="single" w:sz="4" w:space="0" w:color="365F91"/>
            </w:tcBorders>
            <w:shd w:val="clear" w:color="auto" w:fill="auto"/>
            <w:noWrap/>
          </w:tcPr>
          <w:p w14:paraId="3755BFC6"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244.8</w:t>
            </w:r>
          </w:p>
        </w:tc>
        <w:tc>
          <w:tcPr>
            <w:tcW w:w="617" w:type="pct"/>
            <w:tcBorders>
              <w:bottom w:val="single" w:sz="4" w:space="0" w:color="365F91"/>
            </w:tcBorders>
            <w:shd w:val="clear" w:color="auto" w:fill="auto"/>
            <w:noWrap/>
          </w:tcPr>
          <w:p w14:paraId="6FAAE060"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0.002</w:t>
            </w:r>
          </w:p>
        </w:tc>
        <w:tc>
          <w:tcPr>
            <w:tcW w:w="633" w:type="pct"/>
            <w:tcBorders>
              <w:bottom w:val="single" w:sz="4" w:space="0" w:color="365F91"/>
            </w:tcBorders>
            <w:shd w:val="clear" w:color="auto" w:fill="auto"/>
            <w:noWrap/>
          </w:tcPr>
          <w:p w14:paraId="096EADBA"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0.6</w:t>
            </w:r>
          </w:p>
        </w:tc>
        <w:tc>
          <w:tcPr>
            <w:tcW w:w="577" w:type="pct"/>
            <w:tcBorders>
              <w:bottom w:val="single" w:sz="4" w:space="0" w:color="365F91"/>
            </w:tcBorders>
            <w:shd w:val="clear" w:color="auto" w:fill="auto"/>
            <w:noWrap/>
          </w:tcPr>
          <w:p w14:paraId="760B6CF1"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88.5</w:t>
            </w:r>
          </w:p>
        </w:tc>
      </w:tr>
      <w:tr w:rsidR="00DE64BC" w:rsidRPr="00256982" w14:paraId="67DB76AD" w14:textId="77777777" w:rsidTr="009A0D25">
        <w:tc>
          <w:tcPr>
            <w:tcW w:w="553" w:type="pct"/>
            <w:tcBorders>
              <w:bottom w:val="single" w:sz="4" w:space="0" w:color="365F91"/>
            </w:tcBorders>
          </w:tcPr>
          <w:p w14:paraId="77D23521" w14:textId="77777777" w:rsidR="00DE64BC" w:rsidRPr="00256982" w:rsidRDefault="00DE64BC" w:rsidP="00A808C7">
            <w:pPr>
              <w:pStyle w:val="TableText"/>
              <w:spacing w:before="50" w:after="50"/>
              <w:rPr>
                <w:rFonts w:cs="Arial"/>
                <w:szCs w:val="16"/>
              </w:rPr>
            </w:pPr>
            <w:r w:rsidRPr="00256982">
              <w:rPr>
                <w:rFonts w:cs="Arial"/>
                <w:color w:val="000000"/>
                <w:szCs w:val="16"/>
              </w:rPr>
              <w:t>3.A.4</w:t>
            </w:r>
          </w:p>
        </w:tc>
        <w:tc>
          <w:tcPr>
            <w:tcW w:w="1209" w:type="pct"/>
            <w:tcBorders>
              <w:bottom w:val="single" w:sz="4" w:space="0" w:color="365F91"/>
            </w:tcBorders>
            <w:shd w:val="clear" w:color="auto" w:fill="auto"/>
            <w:noWrap/>
          </w:tcPr>
          <w:p w14:paraId="564D3A02" w14:textId="77777777" w:rsidR="00DE64BC" w:rsidRPr="00256982" w:rsidRDefault="00DE64BC" w:rsidP="00A808C7">
            <w:pPr>
              <w:pStyle w:val="TableText"/>
              <w:spacing w:before="50" w:after="50"/>
              <w:rPr>
                <w:rFonts w:cs="Arial"/>
                <w:szCs w:val="16"/>
              </w:rPr>
            </w:pPr>
            <w:r w:rsidRPr="00256982">
              <w:rPr>
                <w:rFonts w:cs="Arial"/>
                <w:color w:val="000000"/>
                <w:szCs w:val="16"/>
              </w:rPr>
              <w:t>Other livestock – Goats</w:t>
            </w:r>
          </w:p>
        </w:tc>
        <w:tc>
          <w:tcPr>
            <w:tcW w:w="372" w:type="pct"/>
            <w:tcBorders>
              <w:bottom w:val="single" w:sz="4" w:space="0" w:color="365F91"/>
            </w:tcBorders>
            <w:shd w:val="clear" w:color="auto" w:fill="auto"/>
            <w:noWrap/>
          </w:tcPr>
          <w:p w14:paraId="6BB744DA" w14:textId="77777777" w:rsidR="00DE64BC" w:rsidRPr="00256982" w:rsidRDefault="00DE64BC" w:rsidP="00A808C7">
            <w:pPr>
              <w:pStyle w:val="TableText"/>
              <w:spacing w:before="50" w:after="50"/>
              <w:jc w:val="center"/>
              <w:rPr>
                <w:rFonts w:cs="Arial"/>
                <w:szCs w:val="16"/>
              </w:rPr>
            </w:pPr>
            <w:r w:rsidRPr="00256982">
              <w:rPr>
                <w:rFonts w:cs="Arial"/>
                <w:color w:val="000000"/>
                <w:szCs w:val="16"/>
              </w:rPr>
              <w:t>CH</w:t>
            </w:r>
            <w:r w:rsidRPr="00256982">
              <w:rPr>
                <w:rFonts w:cs="Arial"/>
                <w:color w:val="000000"/>
                <w:szCs w:val="16"/>
                <w:vertAlign w:val="subscript"/>
              </w:rPr>
              <w:t>4</w:t>
            </w:r>
          </w:p>
        </w:tc>
        <w:tc>
          <w:tcPr>
            <w:tcW w:w="529" w:type="pct"/>
            <w:tcBorders>
              <w:bottom w:val="single" w:sz="4" w:space="0" w:color="365F91"/>
            </w:tcBorders>
            <w:shd w:val="clear" w:color="auto" w:fill="auto"/>
            <w:noWrap/>
          </w:tcPr>
          <w:p w14:paraId="70D94F23"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196.6</w:t>
            </w:r>
          </w:p>
        </w:tc>
        <w:tc>
          <w:tcPr>
            <w:tcW w:w="510" w:type="pct"/>
            <w:tcBorders>
              <w:bottom w:val="single" w:sz="4" w:space="0" w:color="365F91"/>
            </w:tcBorders>
            <w:shd w:val="clear" w:color="auto" w:fill="auto"/>
            <w:noWrap/>
          </w:tcPr>
          <w:p w14:paraId="5BBDD9F0"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20.6</w:t>
            </w:r>
          </w:p>
        </w:tc>
        <w:tc>
          <w:tcPr>
            <w:tcW w:w="617" w:type="pct"/>
            <w:tcBorders>
              <w:bottom w:val="single" w:sz="4" w:space="0" w:color="365F91"/>
            </w:tcBorders>
            <w:shd w:val="clear" w:color="auto" w:fill="auto"/>
            <w:noWrap/>
          </w:tcPr>
          <w:p w14:paraId="1D5EBF81"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0.002</w:t>
            </w:r>
          </w:p>
        </w:tc>
        <w:tc>
          <w:tcPr>
            <w:tcW w:w="633" w:type="pct"/>
            <w:tcBorders>
              <w:bottom w:val="single" w:sz="4" w:space="0" w:color="365F91"/>
            </w:tcBorders>
            <w:shd w:val="clear" w:color="auto" w:fill="auto"/>
            <w:noWrap/>
          </w:tcPr>
          <w:p w14:paraId="56E5803E"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0.5</w:t>
            </w:r>
          </w:p>
        </w:tc>
        <w:tc>
          <w:tcPr>
            <w:tcW w:w="577" w:type="pct"/>
            <w:tcBorders>
              <w:bottom w:val="single" w:sz="4" w:space="0" w:color="365F91"/>
            </w:tcBorders>
            <w:shd w:val="clear" w:color="auto" w:fill="auto"/>
            <w:noWrap/>
          </w:tcPr>
          <w:p w14:paraId="3D75B632"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89.0</w:t>
            </w:r>
          </w:p>
        </w:tc>
      </w:tr>
      <w:tr w:rsidR="00DE64BC" w:rsidRPr="00256982" w14:paraId="40DCBB71" w14:textId="77777777" w:rsidTr="009A0D25">
        <w:tc>
          <w:tcPr>
            <w:tcW w:w="553" w:type="pct"/>
            <w:tcBorders>
              <w:bottom w:val="single" w:sz="4" w:space="0" w:color="365F91"/>
            </w:tcBorders>
          </w:tcPr>
          <w:p w14:paraId="6964B4DE" w14:textId="77777777" w:rsidR="00DE64BC" w:rsidRPr="00256982" w:rsidRDefault="00DE64BC" w:rsidP="00A808C7">
            <w:pPr>
              <w:pStyle w:val="TableText"/>
              <w:spacing w:before="50" w:after="50"/>
              <w:rPr>
                <w:rFonts w:cs="Arial"/>
                <w:szCs w:val="16"/>
              </w:rPr>
            </w:pPr>
            <w:r w:rsidRPr="00256982">
              <w:rPr>
                <w:rFonts w:cs="Arial"/>
                <w:color w:val="000000"/>
                <w:szCs w:val="16"/>
              </w:rPr>
              <w:t>1.A.4.c</w:t>
            </w:r>
          </w:p>
        </w:tc>
        <w:tc>
          <w:tcPr>
            <w:tcW w:w="1209" w:type="pct"/>
            <w:tcBorders>
              <w:bottom w:val="single" w:sz="4" w:space="0" w:color="365F91"/>
            </w:tcBorders>
            <w:shd w:val="clear" w:color="auto" w:fill="auto"/>
            <w:noWrap/>
          </w:tcPr>
          <w:p w14:paraId="577BA9AD" w14:textId="77777777" w:rsidR="00DE64BC" w:rsidRPr="00256982" w:rsidRDefault="00DE64BC" w:rsidP="00A808C7">
            <w:pPr>
              <w:pStyle w:val="TableText"/>
              <w:spacing w:before="50" w:after="50"/>
              <w:rPr>
                <w:rFonts w:cs="Arial"/>
                <w:szCs w:val="16"/>
              </w:rPr>
            </w:pPr>
            <w:r w:rsidRPr="00256982">
              <w:rPr>
                <w:rFonts w:cs="Arial"/>
                <w:color w:val="000000"/>
                <w:szCs w:val="16"/>
              </w:rPr>
              <w:t>Other Sectors – Agriculture/Forestry/ Fishing Solid Fuels</w:t>
            </w:r>
          </w:p>
        </w:tc>
        <w:tc>
          <w:tcPr>
            <w:tcW w:w="372" w:type="pct"/>
            <w:tcBorders>
              <w:bottom w:val="single" w:sz="4" w:space="0" w:color="365F91"/>
            </w:tcBorders>
            <w:shd w:val="clear" w:color="auto" w:fill="auto"/>
            <w:noWrap/>
          </w:tcPr>
          <w:p w14:paraId="3E292372" w14:textId="77777777" w:rsidR="00DE64BC" w:rsidRPr="00256982" w:rsidRDefault="00DE64BC" w:rsidP="00A808C7">
            <w:pPr>
              <w:pStyle w:val="TableText"/>
              <w:spacing w:before="50" w:after="50"/>
              <w:jc w:val="center"/>
              <w:rPr>
                <w:rFonts w:cs="Arial"/>
                <w:szCs w:val="16"/>
              </w:rPr>
            </w:pPr>
            <w:r w:rsidRPr="00256982">
              <w:rPr>
                <w:rFonts w:cs="Arial"/>
                <w:color w:val="000000"/>
                <w:szCs w:val="16"/>
              </w:rPr>
              <w:t>CO</w:t>
            </w:r>
            <w:r w:rsidRPr="00256982">
              <w:rPr>
                <w:rFonts w:cs="Arial"/>
                <w:color w:val="000000"/>
                <w:szCs w:val="16"/>
                <w:vertAlign w:val="subscript"/>
              </w:rPr>
              <w:t>2</w:t>
            </w:r>
          </w:p>
        </w:tc>
        <w:tc>
          <w:tcPr>
            <w:tcW w:w="529" w:type="pct"/>
            <w:tcBorders>
              <w:bottom w:val="single" w:sz="4" w:space="0" w:color="365F91"/>
            </w:tcBorders>
            <w:shd w:val="clear" w:color="auto" w:fill="auto"/>
            <w:noWrap/>
          </w:tcPr>
          <w:p w14:paraId="4B419ED6"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35.1</w:t>
            </w:r>
          </w:p>
        </w:tc>
        <w:tc>
          <w:tcPr>
            <w:tcW w:w="510" w:type="pct"/>
            <w:tcBorders>
              <w:bottom w:val="single" w:sz="4" w:space="0" w:color="365F91"/>
            </w:tcBorders>
            <w:shd w:val="clear" w:color="auto" w:fill="auto"/>
            <w:noWrap/>
          </w:tcPr>
          <w:p w14:paraId="2F774A17"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250.6</w:t>
            </w:r>
          </w:p>
        </w:tc>
        <w:tc>
          <w:tcPr>
            <w:tcW w:w="617" w:type="pct"/>
            <w:tcBorders>
              <w:bottom w:val="single" w:sz="4" w:space="0" w:color="365F91"/>
            </w:tcBorders>
            <w:shd w:val="clear" w:color="auto" w:fill="auto"/>
            <w:noWrap/>
          </w:tcPr>
          <w:p w14:paraId="0E621FBD"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0.002</w:t>
            </w:r>
          </w:p>
        </w:tc>
        <w:tc>
          <w:tcPr>
            <w:tcW w:w="633" w:type="pct"/>
            <w:tcBorders>
              <w:bottom w:val="single" w:sz="4" w:space="0" w:color="365F91"/>
            </w:tcBorders>
            <w:shd w:val="clear" w:color="auto" w:fill="auto"/>
            <w:noWrap/>
          </w:tcPr>
          <w:p w14:paraId="65683ECB"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0.5</w:t>
            </w:r>
          </w:p>
        </w:tc>
        <w:tc>
          <w:tcPr>
            <w:tcW w:w="577" w:type="pct"/>
            <w:tcBorders>
              <w:bottom w:val="single" w:sz="4" w:space="0" w:color="365F91"/>
            </w:tcBorders>
            <w:shd w:val="clear" w:color="auto" w:fill="auto"/>
            <w:noWrap/>
          </w:tcPr>
          <w:p w14:paraId="6B3DE73B"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89.5</w:t>
            </w:r>
          </w:p>
        </w:tc>
      </w:tr>
      <w:tr w:rsidR="00DE64BC" w:rsidRPr="00256982" w14:paraId="2BD4DEBC" w14:textId="77777777" w:rsidTr="009A0D25">
        <w:tc>
          <w:tcPr>
            <w:tcW w:w="553" w:type="pct"/>
            <w:tcBorders>
              <w:bottom w:val="single" w:sz="4" w:space="0" w:color="365F91"/>
            </w:tcBorders>
          </w:tcPr>
          <w:p w14:paraId="6F0FC560" w14:textId="77777777" w:rsidR="00DE64BC" w:rsidRPr="00256982" w:rsidRDefault="00DE64BC" w:rsidP="00A808C7">
            <w:pPr>
              <w:pStyle w:val="TableText"/>
              <w:spacing w:before="50" w:after="50"/>
              <w:rPr>
                <w:rFonts w:cs="Arial"/>
                <w:szCs w:val="16"/>
              </w:rPr>
            </w:pPr>
            <w:r w:rsidRPr="00256982">
              <w:rPr>
                <w:rFonts w:cs="Arial"/>
                <w:color w:val="000000"/>
                <w:szCs w:val="16"/>
              </w:rPr>
              <w:t>1.A.2.g.iii</w:t>
            </w:r>
          </w:p>
        </w:tc>
        <w:tc>
          <w:tcPr>
            <w:tcW w:w="1209" w:type="pct"/>
            <w:tcBorders>
              <w:bottom w:val="single" w:sz="4" w:space="0" w:color="365F91"/>
            </w:tcBorders>
            <w:shd w:val="clear" w:color="auto" w:fill="auto"/>
            <w:noWrap/>
          </w:tcPr>
          <w:p w14:paraId="4B13E039" w14:textId="77777777" w:rsidR="00DE64BC" w:rsidRPr="00256982" w:rsidRDefault="00DE64BC" w:rsidP="00A808C7">
            <w:pPr>
              <w:pStyle w:val="TableText"/>
              <w:spacing w:before="50" w:after="50"/>
              <w:rPr>
                <w:rFonts w:cs="Arial"/>
                <w:szCs w:val="16"/>
              </w:rPr>
            </w:pPr>
            <w:r w:rsidRPr="00256982">
              <w:rPr>
                <w:rFonts w:cs="Arial"/>
                <w:color w:val="000000"/>
                <w:szCs w:val="16"/>
              </w:rPr>
              <w:t>Other (please specify) – Mining (excluding fuels) and quarrying Liquid Fuels</w:t>
            </w:r>
          </w:p>
        </w:tc>
        <w:tc>
          <w:tcPr>
            <w:tcW w:w="372" w:type="pct"/>
            <w:tcBorders>
              <w:bottom w:val="single" w:sz="4" w:space="0" w:color="365F91"/>
            </w:tcBorders>
            <w:shd w:val="clear" w:color="auto" w:fill="auto"/>
            <w:noWrap/>
          </w:tcPr>
          <w:p w14:paraId="548DB75C" w14:textId="77777777" w:rsidR="00DE64BC" w:rsidRPr="00256982" w:rsidRDefault="00DE64BC" w:rsidP="00A808C7">
            <w:pPr>
              <w:pStyle w:val="TableText"/>
              <w:spacing w:before="50" w:after="50"/>
              <w:jc w:val="center"/>
              <w:rPr>
                <w:rFonts w:cs="Arial"/>
                <w:szCs w:val="16"/>
              </w:rPr>
            </w:pPr>
            <w:r w:rsidRPr="00256982">
              <w:rPr>
                <w:rFonts w:cs="Arial"/>
                <w:color w:val="000000"/>
                <w:szCs w:val="16"/>
              </w:rPr>
              <w:t>CO</w:t>
            </w:r>
            <w:r w:rsidRPr="00256982">
              <w:rPr>
                <w:rFonts w:cs="Arial"/>
                <w:color w:val="000000"/>
                <w:szCs w:val="16"/>
                <w:vertAlign w:val="subscript"/>
              </w:rPr>
              <w:t>2</w:t>
            </w:r>
          </w:p>
        </w:tc>
        <w:tc>
          <w:tcPr>
            <w:tcW w:w="529" w:type="pct"/>
            <w:tcBorders>
              <w:bottom w:val="single" w:sz="4" w:space="0" w:color="365F91"/>
            </w:tcBorders>
            <w:shd w:val="clear" w:color="auto" w:fill="auto"/>
            <w:noWrap/>
          </w:tcPr>
          <w:p w14:paraId="5BC0174B"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331.5</w:t>
            </w:r>
          </w:p>
        </w:tc>
        <w:tc>
          <w:tcPr>
            <w:tcW w:w="510" w:type="pct"/>
            <w:tcBorders>
              <w:bottom w:val="single" w:sz="4" w:space="0" w:color="365F91"/>
            </w:tcBorders>
            <w:shd w:val="clear" w:color="auto" w:fill="auto"/>
            <w:noWrap/>
          </w:tcPr>
          <w:p w14:paraId="734A6E09"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584.4</w:t>
            </w:r>
          </w:p>
        </w:tc>
        <w:tc>
          <w:tcPr>
            <w:tcW w:w="617" w:type="pct"/>
            <w:tcBorders>
              <w:bottom w:val="single" w:sz="4" w:space="0" w:color="365F91"/>
            </w:tcBorders>
            <w:shd w:val="clear" w:color="auto" w:fill="auto"/>
            <w:noWrap/>
          </w:tcPr>
          <w:p w14:paraId="096C4EA7"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0.002</w:t>
            </w:r>
          </w:p>
        </w:tc>
        <w:tc>
          <w:tcPr>
            <w:tcW w:w="633" w:type="pct"/>
            <w:tcBorders>
              <w:bottom w:val="single" w:sz="4" w:space="0" w:color="365F91"/>
            </w:tcBorders>
            <w:shd w:val="clear" w:color="auto" w:fill="auto"/>
            <w:noWrap/>
          </w:tcPr>
          <w:p w14:paraId="1B12080E"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0.4</w:t>
            </w:r>
          </w:p>
        </w:tc>
        <w:tc>
          <w:tcPr>
            <w:tcW w:w="577" w:type="pct"/>
            <w:tcBorders>
              <w:bottom w:val="single" w:sz="4" w:space="0" w:color="365F91"/>
            </w:tcBorders>
            <w:shd w:val="clear" w:color="auto" w:fill="auto"/>
            <w:noWrap/>
          </w:tcPr>
          <w:p w14:paraId="1DCBBB15"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90.0</w:t>
            </w:r>
          </w:p>
        </w:tc>
      </w:tr>
      <w:tr w:rsidR="00DE64BC" w:rsidRPr="00256982" w14:paraId="57CECA51" w14:textId="77777777" w:rsidTr="009A0D25">
        <w:tc>
          <w:tcPr>
            <w:tcW w:w="553" w:type="pct"/>
            <w:tcBorders>
              <w:bottom w:val="single" w:sz="4" w:space="0" w:color="365F91"/>
            </w:tcBorders>
          </w:tcPr>
          <w:p w14:paraId="20719E6D" w14:textId="77777777" w:rsidR="00DE64BC" w:rsidRPr="00256982" w:rsidRDefault="00DE64BC" w:rsidP="00A808C7">
            <w:pPr>
              <w:pStyle w:val="TableText"/>
              <w:keepNext/>
              <w:spacing w:before="50" w:after="50"/>
              <w:rPr>
                <w:rFonts w:cs="Arial"/>
                <w:szCs w:val="16"/>
              </w:rPr>
            </w:pPr>
            <w:r w:rsidRPr="00256982">
              <w:rPr>
                <w:rFonts w:cs="Arial"/>
                <w:color w:val="000000"/>
                <w:szCs w:val="16"/>
              </w:rPr>
              <w:lastRenderedPageBreak/>
              <w:t>1.A.3.b</w:t>
            </w:r>
          </w:p>
        </w:tc>
        <w:tc>
          <w:tcPr>
            <w:tcW w:w="1209" w:type="pct"/>
            <w:tcBorders>
              <w:bottom w:val="single" w:sz="4" w:space="0" w:color="365F91"/>
            </w:tcBorders>
            <w:shd w:val="clear" w:color="auto" w:fill="auto"/>
            <w:noWrap/>
          </w:tcPr>
          <w:p w14:paraId="41D7840E" w14:textId="77777777" w:rsidR="00DE64BC" w:rsidRPr="00256982" w:rsidRDefault="00DE64BC" w:rsidP="00A808C7">
            <w:pPr>
              <w:pStyle w:val="TableText"/>
              <w:spacing w:before="50" w:after="50"/>
              <w:rPr>
                <w:rFonts w:cs="Arial"/>
                <w:szCs w:val="16"/>
              </w:rPr>
            </w:pPr>
            <w:r w:rsidRPr="00256982">
              <w:rPr>
                <w:rFonts w:cs="Arial"/>
                <w:color w:val="000000"/>
                <w:szCs w:val="16"/>
              </w:rPr>
              <w:t>Transport – Road Transportation Gaseous Fuels</w:t>
            </w:r>
          </w:p>
        </w:tc>
        <w:tc>
          <w:tcPr>
            <w:tcW w:w="372" w:type="pct"/>
            <w:tcBorders>
              <w:bottom w:val="single" w:sz="4" w:space="0" w:color="365F91"/>
            </w:tcBorders>
            <w:shd w:val="clear" w:color="auto" w:fill="auto"/>
            <w:noWrap/>
          </w:tcPr>
          <w:p w14:paraId="03F1D95E" w14:textId="77777777" w:rsidR="00DE64BC" w:rsidRPr="00256982" w:rsidRDefault="00DE64BC" w:rsidP="00A808C7">
            <w:pPr>
              <w:pStyle w:val="TableText"/>
              <w:spacing w:before="50" w:after="50"/>
              <w:jc w:val="center"/>
              <w:rPr>
                <w:rFonts w:cs="Arial"/>
                <w:szCs w:val="16"/>
              </w:rPr>
            </w:pPr>
            <w:r w:rsidRPr="00256982">
              <w:rPr>
                <w:rFonts w:cs="Arial"/>
                <w:color w:val="000000"/>
                <w:szCs w:val="16"/>
              </w:rPr>
              <w:t>CO</w:t>
            </w:r>
            <w:r w:rsidRPr="00256982">
              <w:rPr>
                <w:rFonts w:cs="Arial"/>
                <w:color w:val="000000"/>
                <w:szCs w:val="16"/>
                <w:vertAlign w:val="subscript"/>
              </w:rPr>
              <w:t>2</w:t>
            </w:r>
          </w:p>
        </w:tc>
        <w:tc>
          <w:tcPr>
            <w:tcW w:w="529" w:type="pct"/>
            <w:tcBorders>
              <w:bottom w:val="single" w:sz="4" w:space="0" w:color="365F91"/>
            </w:tcBorders>
            <w:shd w:val="clear" w:color="auto" w:fill="auto"/>
            <w:noWrap/>
          </w:tcPr>
          <w:p w14:paraId="702C9B2D"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140.8</w:t>
            </w:r>
          </w:p>
        </w:tc>
        <w:tc>
          <w:tcPr>
            <w:tcW w:w="510" w:type="pct"/>
            <w:tcBorders>
              <w:bottom w:val="single" w:sz="4" w:space="0" w:color="365F91"/>
            </w:tcBorders>
            <w:shd w:val="clear" w:color="auto" w:fill="auto"/>
            <w:noWrap/>
          </w:tcPr>
          <w:p w14:paraId="7A49F7BE"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0.5</w:t>
            </w:r>
          </w:p>
        </w:tc>
        <w:tc>
          <w:tcPr>
            <w:tcW w:w="617" w:type="pct"/>
            <w:tcBorders>
              <w:bottom w:val="single" w:sz="4" w:space="0" w:color="365F91"/>
            </w:tcBorders>
            <w:shd w:val="clear" w:color="auto" w:fill="auto"/>
            <w:noWrap/>
          </w:tcPr>
          <w:p w14:paraId="02B23188"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0.002</w:t>
            </w:r>
          </w:p>
        </w:tc>
        <w:tc>
          <w:tcPr>
            <w:tcW w:w="633" w:type="pct"/>
            <w:tcBorders>
              <w:bottom w:val="single" w:sz="4" w:space="0" w:color="365F91"/>
            </w:tcBorders>
            <w:shd w:val="clear" w:color="auto" w:fill="auto"/>
            <w:noWrap/>
          </w:tcPr>
          <w:p w14:paraId="0922EB7A"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0.4</w:t>
            </w:r>
          </w:p>
        </w:tc>
        <w:tc>
          <w:tcPr>
            <w:tcW w:w="577" w:type="pct"/>
            <w:tcBorders>
              <w:bottom w:val="single" w:sz="4" w:space="0" w:color="365F91"/>
            </w:tcBorders>
            <w:shd w:val="clear" w:color="auto" w:fill="auto"/>
            <w:noWrap/>
          </w:tcPr>
          <w:p w14:paraId="1BB05C39"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90.4</w:t>
            </w:r>
          </w:p>
        </w:tc>
      </w:tr>
      <w:tr w:rsidR="00DE64BC" w:rsidRPr="00256982" w14:paraId="561C8D43" w14:textId="77777777" w:rsidTr="009A0D25">
        <w:tc>
          <w:tcPr>
            <w:tcW w:w="553" w:type="pct"/>
            <w:tcBorders>
              <w:bottom w:val="single" w:sz="4" w:space="0" w:color="365F91"/>
            </w:tcBorders>
          </w:tcPr>
          <w:p w14:paraId="33346B4B" w14:textId="77777777" w:rsidR="00DE64BC" w:rsidRPr="00256982" w:rsidDel="00B93CB9" w:rsidRDefault="00DE64BC" w:rsidP="00A808C7">
            <w:pPr>
              <w:pStyle w:val="TableText"/>
              <w:spacing w:before="50" w:after="50"/>
              <w:rPr>
                <w:rFonts w:cs="Arial"/>
                <w:color w:val="000000"/>
                <w:szCs w:val="16"/>
              </w:rPr>
            </w:pPr>
            <w:r w:rsidRPr="00256982">
              <w:rPr>
                <w:rFonts w:cs="Arial"/>
                <w:color w:val="000000"/>
                <w:szCs w:val="16"/>
              </w:rPr>
              <w:t>1.A.1.b</w:t>
            </w:r>
          </w:p>
        </w:tc>
        <w:tc>
          <w:tcPr>
            <w:tcW w:w="1209" w:type="pct"/>
            <w:tcBorders>
              <w:bottom w:val="single" w:sz="4" w:space="0" w:color="365F91"/>
            </w:tcBorders>
            <w:shd w:val="clear" w:color="auto" w:fill="auto"/>
            <w:noWrap/>
          </w:tcPr>
          <w:p w14:paraId="7D04E094" w14:textId="77777777" w:rsidR="00DE64BC" w:rsidRPr="00256982" w:rsidDel="00B93CB9" w:rsidRDefault="00DE64BC" w:rsidP="00A808C7">
            <w:pPr>
              <w:pStyle w:val="TableText"/>
              <w:spacing w:before="50" w:after="50"/>
              <w:rPr>
                <w:rFonts w:cs="Arial"/>
                <w:color w:val="000000"/>
                <w:szCs w:val="16"/>
              </w:rPr>
            </w:pPr>
            <w:r w:rsidRPr="00256982">
              <w:rPr>
                <w:rFonts w:cs="Arial"/>
                <w:color w:val="000000"/>
                <w:szCs w:val="16"/>
              </w:rPr>
              <w:t>Energy Industries – Petroleum Refining Gaseous Fuels</w:t>
            </w:r>
          </w:p>
        </w:tc>
        <w:tc>
          <w:tcPr>
            <w:tcW w:w="372" w:type="pct"/>
            <w:tcBorders>
              <w:bottom w:val="single" w:sz="4" w:space="0" w:color="365F91"/>
            </w:tcBorders>
            <w:shd w:val="clear" w:color="auto" w:fill="auto"/>
            <w:noWrap/>
          </w:tcPr>
          <w:p w14:paraId="3F2880C8" w14:textId="77777777" w:rsidR="00DE64BC" w:rsidRPr="00256982" w:rsidDel="00B93CB9" w:rsidRDefault="00DE64BC" w:rsidP="00A808C7">
            <w:pPr>
              <w:pStyle w:val="TableText"/>
              <w:spacing w:before="50" w:after="50"/>
              <w:jc w:val="center"/>
              <w:rPr>
                <w:rFonts w:cs="Arial"/>
                <w:color w:val="000000"/>
                <w:szCs w:val="16"/>
              </w:rPr>
            </w:pPr>
            <w:r w:rsidRPr="00256982">
              <w:rPr>
                <w:rFonts w:cs="Arial"/>
                <w:color w:val="000000"/>
                <w:szCs w:val="16"/>
              </w:rPr>
              <w:t>CO</w:t>
            </w:r>
            <w:r w:rsidRPr="00256982">
              <w:rPr>
                <w:rFonts w:cs="Arial"/>
                <w:color w:val="000000"/>
                <w:szCs w:val="16"/>
                <w:vertAlign w:val="subscript"/>
              </w:rPr>
              <w:t>2</w:t>
            </w:r>
          </w:p>
        </w:tc>
        <w:tc>
          <w:tcPr>
            <w:tcW w:w="529" w:type="pct"/>
            <w:tcBorders>
              <w:bottom w:val="single" w:sz="4" w:space="0" w:color="365F91"/>
            </w:tcBorders>
            <w:shd w:val="clear" w:color="auto" w:fill="auto"/>
            <w:noWrap/>
          </w:tcPr>
          <w:p w14:paraId="0FE14B9B" w14:textId="77777777" w:rsidR="00DE64BC" w:rsidRPr="00256982" w:rsidDel="00B93CB9" w:rsidRDefault="00DE64BC" w:rsidP="00A808C7">
            <w:pPr>
              <w:pStyle w:val="TableText"/>
              <w:spacing w:before="50" w:after="50"/>
              <w:jc w:val="right"/>
              <w:rPr>
                <w:rFonts w:cs="Arial"/>
                <w:color w:val="000000"/>
                <w:szCs w:val="16"/>
              </w:rPr>
            </w:pPr>
            <w:r w:rsidRPr="00256982">
              <w:rPr>
                <w:rFonts w:cs="Arial"/>
                <w:color w:val="000000"/>
                <w:szCs w:val="16"/>
              </w:rPr>
              <w:t>0.0</w:t>
            </w:r>
          </w:p>
        </w:tc>
        <w:tc>
          <w:tcPr>
            <w:tcW w:w="510" w:type="pct"/>
            <w:tcBorders>
              <w:bottom w:val="single" w:sz="4" w:space="0" w:color="365F91"/>
            </w:tcBorders>
            <w:shd w:val="clear" w:color="auto" w:fill="auto"/>
            <w:noWrap/>
          </w:tcPr>
          <w:p w14:paraId="511E2FB5" w14:textId="77777777" w:rsidR="00DE64BC" w:rsidRPr="00256982" w:rsidDel="00B93CB9" w:rsidRDefault="00DE64BC" w:rsidP="00A808C7">
            <w:pPr>
              <w:pStyle w:val="TableText"/>
              <w:spacing w:before="50" w:after="50"/>
              <w:jc w:val="right"/>
              <w:rPr>
                <w:rFonts w:cs="Arial"/>
                <w:color w:val="000000"/>
                <w:szCs w:val="16"/>
              </w:rPr>
            </w:pPr>
            <w:r w:rsidRPr="00256982">
              <w:rPr>
                <w:rFonts w:cs="Arial"/>
                <w:color w:val="000000"/>
                <w:szCs w:val="16"/>
              </w:rPr>
              <w:t>169.9</w:t>
            </w:r>
          </w:p>
        </w:tc>
        <w:tc>
          <w:tcPr>
            <w:tcW w:w="617" w:type="pct"/>
            <w:tcBorders>
              <w:bottom w:val="single" w:sz="4" w:space="0" w:color="365F91"/>
            </w:tcBorders>
            <w:shd w:val="clear" w:color="auto" w:fill="auto"/>
            <w:noWrap/>
          </w:tcPr>
          <w:p w14:paraId="0E1907A7" w14:textId="77777777" w:rsidR="00DE64BC" w:rsidRPr="00256982" w:rsidDel="00B93CB9" w:rsidRDefault="00DE64BC" w:rsidP="00A808C7">
            <w:pPr>
              <w:pStyle w:val="TableText"/>
              <w:spacing w:before="50" w:after="50"/>
              <w:jc w:val="right"/>
              <w:rPr>
                <w:rFonts w:cs="Arial"/>
                <w:color w:val="000000"/>
                <w:szCs w:val="16"/>
              </w:rPr>
            </w:pPr>
            <w:r w:rsidRPr="00256982">
              <w:rPr>
                <w:rFonts w:cs="Arial"/>
                <w:color w:val="000000"/>
                <w:szCs w:val="16"/>
              </w:rPr>
              <w:t>0.002</w:t>
            </w:r>
          </w:p>
        </w:tc>
        <w:tc>
          <w:tcPr>
            <w:tcW w:w="633" w:type="pct"/>
            <w:tcBorders>
              <w:bottom w:val="single" w:sz="4" w:space="0" w:color="365F91"/>
            </w:tcBorders>
            <w:shd w:val="clear" w:color="auto" w:fill="auto"/>
            <w:noWrap/>
          </w:tcPr>
          <w:p w14:paraId="71473D6C" w14:textId="77777777" w:rsidR="00DE64BC" w:rsidRPr="00256982" w:rsidDel="00B93CB9" w:rsidRDefault="00DE64BC" w:rsidP="00A808C7">
            <w:pPr>
              <w:pStyle w:val="TableText"/>
              <w:spacing w:before="50" w:after="50"/>
              <w:jc w:val="right"/>
              <w:rPr>
                <w:rFonts w:cs="Arial"/>
                <w:color w:val="000000"/>
                <w:szCs w:val="16"/>
              </w:rPr>
            </w:pPr>
            <w:r w:rsidRPr="00256982">
              <w:rPr>
                <w:rFonts w:cs="Arial"/>
                <w:color w:val="000000"/>
                <w:szCs w:val="16"/>
              </w:rPr>
              <w:t>0.4</w:t>
            </w:r>
          </w:p>
        </w:tc>
        <w:tc>
          <w:tcPr>
            <w:tcW w:w="577" w:type="pct"/>
            <w:tcBorders>
              <w:bottom w:val="single" w:sz="4" w:space="0" w:color="365F91"/>
            </w:tcBorders>
            <w:shd w:val="clear" w:color="auto" w:fill="auto"/>
            <w:noWrap/>
          </w:tcPr>
          <w:p w14:paraId="550C5B6F" w14:textId="77777777" w:rsidR="00DE64BC" w:rsidRPr="00256982" w:rsidDel="00B93CB9" w:rsidRDefault="00DE64BC" w:rsidP="00A808C7">
            <w:pPr>
              <w:pStyle w:val="TableText"/>
              <w:spacing w:before="50" w:after="50"/>
              <w:jc w:val="right"/>
              <w:rPr>
                <w:rFonts w:cs="Arial"/>
                <w:color w:val="000000"/>
                <w:szCs w:val="16"/>
              </w:rPr>
            </w:pPr>
            <w:r w:rsidRPr="00256982">
              <w:rPr>
                <w:rFonts w:cs="Arial"/>
                <w:color w:val="000000"/>
                <w:szCs w:val="16"/>
              </w:rPr>
              <w:t>90.8</w:t>
            </w:r>
          </w:p>
        </w:tc>
      </w:tr>
      <w:tr w:rsidR="00DE64BC" w:rsidRPr="00256982" w14:paraId="4D07A0F5" w14:textId="77777777" w:rsidTr="009A0D25">
        <w:tc>
          <w:tcPr>
            <w:tcW w:w="553" w:type="pct"/>
            <w:tcBorders>
              <w:bottom w:val="single" w:sz="4" w:space="0" w:color="365F91"/>
            </w:tcBorders>
          </w:tcPr>
          <w:p w14:paraId="20641850" w14:textId="77777777" w:rsidR="00DE64BC" w:rsidRPr="00256982" w:rsidRDefault="00DE64BC" w:rsidP="00A808C7">
            <w:pPr>
              <w:pStyle w:val="TableText"/>
              <w:spacing w:before="50" w:after="50"/>
              <w:rPr>
                <w:rFonts w:cs="Arial"/>
                <w:szCs w:val="16"/>
              </w:rPr>
            </w:pPr>
            <w:r w:rsidRPr="00256982">
              <w:rPr>
                <w:rFonts w:cs="Arial"/>
                <w:color w:val="000000"/>
                <w:szCs w:val="16"/>
              </w:rPr>
              <w:t>1.A.4.c</w:t>
            </w:r>
          </w:p>
        </w:tc>
        <w:tc>
          <w:tcPr>
            <w:tcW w:w="1209" w:type="pct"/>
            <w:tcBorders>
              <w:bottom w:val="single" w:sz="4" w:space="0" w:color="365F91"/>
            </w:tcBorders>
            <w:shd w:val="clear" w:color="auto" w:fill="auto"/>
            <w:noWrap/>
          </w:tcPr>
          <w:p w14:paraId="3B0567CA" w14:textId="77777777" w:rsidR="00DE64BC" w:rsidRPr="00256982" w:rsidRDefault="00DE64BC" w:rsidP="00A808C7">
            <w:pPr>
              <w:pStyle w:val="TableText"/>
              <w:spacing w:before="50" w:after="50"/>
              <w:rPr>
                <w:rFonts w:cs="Arial"/>
                <w:szCs w:val="16"/>
              </w:rPr>
            </w:pPr>
            <w:r w:rsidRPr="00256982">
              <w:rPr>
                <w:rFonts w:cs="Arial"/>
                <w:color w:val="000000"/>
                <w:szCs w:val="16"/>
              </w:rPr>
              <w:t>Other Sectors – Agriculture/Forestry/ Fishing Liquid Fuels</w:t>
            </w:r>
          </w:p>
        </w:tc>
        <w:tc>
          <w:tcPr>
            <w:tcW w:w="372" w:type="pct"/>
            <w:tcBorders>
              <w:bottom w:val="single" w:sz="4" w:space="0" w:color="365F91"/>
            </w:tcBorders>
            <w:shd w:val="clear" w:color="auto" w:fill="auto"/>
            <w:noWrap/>
          </w:tcPr>
          <w:p w14:paraId="596B8919" w14:textId="77777777" w:rsidR="00DE64BC" w:rsidRPr="00256982" w:rsidRDefault="00DE64BC" w:rsidP="00A808C7">
            <w:pPr>
              <w:pStyle w:val="TableText"/>
              <w:spacing w:before="50" w:after="50"/>
              <w:jc w:val="center"/>
              <w:rPr>
                <w:rFonts w:cs="Arial"/>
                <w:szCs w:val="16"/>
              </w:rPr>
            </w:pPr>
            <w:r w:rsidRPr="00256982">
              <w:rPr>
                <w:rFonts w:cs="Arial"/>
                <w:color w:val="000000"/>
                <w:szCs w:val="16"/>
              </w:rPr>
              <w:t>CO</w:t>
            </w:r>
            <w:r w:rsidRPr="00256982">
              <w:rPr>
                <w:rFonts w:cs="Arial"/>
                <w:color w:val="000000"/>
                <w:szCs w:val="16"/>
                <w:vertAlign w:val="subscript"/>
              </w:rPr>
              <w:t>2</w:t>
            </w:r>
          </w:p>
        </w:tc>
        <w:tc>
          <w:tcPr>
            <w:tcW w:w="529" w:type="pct"/>
            <w:tcBorders>
              <w:bottom w:val="single" w:sz="4" w:space="0" w:color="365F91"/>
            </w:tcBorders>
            <w:shd w:val="clear" w:color="auto" w:fill="auto"/>
            <w:noWrap/>
          </w:tcPr>
          <w:p w14:paraId="0D776052"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1,072.3</w:t>
            </w:r>
          </w:p>
        </w:tc>
        <w:tc>
          <w:tcPr>
            <w:tcW w:w="510" w:type="pct"/>
            <w:tcBorders>
              <w:bottom w:val="single" w:sz="4" w:space="0" w:color="365F91"/>
            </w:tcBorders>
            <w:shd w:val="clear" w:color="auto" w:fill="auto"/>
            <w:noWrap/>
          </w:tcPr>
          <w:p w14:paraId="37B6F445"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1,163.8</w:t>
            </w:r>
          </w:p>
        </w:tc>
        <w:tc>
          <w:tcPr>
            <w:tcW w:w="617" w:type="pct"/>
            <w:tcBorders>
              <w:bottom w:val="single" w:sz="4" w:space="0" w:color="365F91"/>
            </w:tcBorders>
            <w:shd w:val="clear" w:color="auto" w:fill="auto"/>
            <w:noWrap/>
          </w:tcPr>
          <w:p w14:paraId="00C5C3AD"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0.002</w:t>
            </w:r>
          </w:p>
        </w:tc>
        <w:tc>
          <w:tcPr>
            <w:tcW w:w="633" w:type="pct"/>
            <w:tcBorders>
              <w:bottom w:val="single" w:sz="4" w:space="0" w:color="365F91"/>
            </w:tcBorders>
            <w:shd w:val="clear" w:color="auto" w:fill="auto"/>
            <w:noWrap/>
          </w:tcPr>
          <w:p w14:paraId="3DF077B3"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0.4</w:t>
            </w:r>
          </w:p>
        </w:tc>
        <w:tc>
          <w:tcPr>
            <w:tcW w:w="577" w:type="pct"/>
            <w:tcBorders>
              <w:bottom w:val="single" w:sz="4" w:space="0" w:color="365F91"/>
            </w:tcBorders>
            <w:shd w:val="clear" w:color="auto" w:fill="auto"/>
            <w:noWrap/>
          </w:tcPr>
          <w:p w14:paraId="4D2CDC2E"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91.2</w:t>
            </w:r>
          </w:p>
        </w:tc>
      </w:tr>
      <w:tr w:rsidR="00DE64BC" w:rsidRPr="00256982" w14:paraId="0D0916AD" w14:textId="77777777" w:rsidTr="009A0D25">
        <w:tc>
          <w:tcPr>
            <w:tcW w:w="553" w:type="pct"/>
            <w:tcBorders>
              <w:bottom w:val="single" w:sz="4" w:space="0" w:color="365F91"/>
            </w:tcBorders>
          </w:tcPr>
          <w:p w14:paraId="38B6C573" w14:textId="77777777" w:rsidR="00DE64BC" w:rsidRPr="00256982" w:rsidRDefault="00DE64BC" w:rsidP="00A808C7">
            <w:pPr>
              <w:pStyle w:val="TableText"/>
              <w:spacing w:before="50" w:after="50"/>
              <w:rPr>
                <w:rFonts w:cs="Arial"/>
                <w:szCs w:val="16"/>
              </w:rPr>
            </w:pPr>
            <w:r w:rsidRPr="00256982">
              <w:rPr>
                <w:rFonts w:cs="Arial"/>
                <w:color w:val="000000"/>
                <w:szCs w:val="16"/>
              </w:rPr>
              <w:t>1.B.2.c.2.iii</w:t>
            </w:r>
          </w:p>
        </w:tc>
        <w:tc>
          <w:tcPr>
            <w:tcW w:w="1209" w:type="pct"/>
            <w:tcBorders>
              <w:bottom w:val="single" w:sz="4" w:space="0" w:color="365F91"/>
            </w:tcBorders>
            <w:shd w:val="clear" w:color="auto" w:fill="auto"/>
            <w:noWrap/>
          </w:tcPr>
          <w:p w14:paraId="56C19C93" w14:textId="77777777" w:rsidR="00DE64BC" w:rsidRPr="00256982" w:rsidRDefault="00DE64BC" w:rsidP="00A808C7">
            <w:pPr>
              <w:pStyle w:val="TableText"/>
              <w:spacing w:before="50" w:after="50"/>
              <w:rPr>
                <w:rFonts w:cs="Arial"/>
                <w:szCs w:val="16"/>
              </w:rPr>
            </w:pPr>
            <w:r w:rsidRPr="00256982">
              <w:rPr>
                <w:rFonts w:cs="Arial"/>
                <w:color w:val="000000"/>
                <w:szCs w:val="16"/>
              </w:rPr>
              <w:t>Flaring – Combined</w:t>
            </w:r>
          </w:p>
        </w:tc>
        <w:tc>
          <w:tcPr>
            <w:tcW w:w="372" w:type="pct"/>
            <w:tcBorders>
              <w:bottom w:val="single" w:sz="4" w:space="0" w:color="365F91"/>
            </w:tcBorders>
            <w:shd w:val="clear" w:color="auto" w:fill="auto"/>
            <w:noWrap/>
          </w:tcPr>
          <w:p w14:paraId="5CA09E66" w14:textId="77777777" w:rsidR="00DE64BC" w:rsidRPr="00256982" w:rsidRDefault="00DE64BC" w:rsidP="00A808C7">
            <w:pPr>
              <w:pStyle w:val="TableText"/>
              <w:spacing w:before="50" w:after="50"/>
              <w:jc w:val="center"/>
              <w:rPr>
                <w:rFonts w:cs="Arial"/>
                <w:szCs w:val="16"/>
              </w:rPr>
            </w:pPr>
            <w:r w:rsidRPr="00256982">
              <w:rPr>
                <w:rFonts w:cs="Arial"/>
                <w:color w:val="000000"/>
                <w:szCs w:val="16"/>
              </w:rPr>
              <w:t>CO</w:t>
            </w:r>
            <w:r w:rsidRPr="00256982">
              <w:rPr>
                <w:rFonts w:cs="Arial"/>
                <w:color w:val="000000"/>
                <w:szCs w:val="16"/>
                <w:vertAlign w:val="subscript"/>
              </w:rPr>
              <w:t>2</w:t>
            </w:r>
          </w:p>
        </w:tc>
        <w:tc>
          <w:tcPr>
            <w:tcW w:w="529" w:type="pct"/>
            <w:tcBorders>
              <w:bottom w:val="single" w:sz="4" w:space="0" w:color="365F91"/>
            </w:tcBorders>
            <w:shd w:val="clear" w:color="auto" w:fill="auto"/>
            <w:noWrap/>
          </w:tcPr>
          <w:p w14:paraId="18E99795"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114.4</w:t>
            </w:r>
          </w:p>
        </w:tc>
        <w:tc>
          <w:tcPr>
            <w:tcW w:w="510" w:type="pct"/>
            <w:tcBorders>
              <w:bottom w:val="single" w:sz="4" w:space="0" w:color="365F91"/>
            </w:tcBorders>
            <w:shd w:val="clear" w:color="auto" w:fill="auto"/>
            <w:noWrap/>
          </w:tcPr>
          <w:p w14:paraId="5468F184"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292.7</w:t>
            </w:r>
          </w:p>
        </w:tc>
        <w:tc>
          <w:tcPr>
            <w:tcW w:w="617" w:type="pct"/>
            <w:tcBorders>
              <w:bottom w:val="single" w:sz="4" w:space="0" w:color="365F91"/>
            </w:tcBorders>
            <w:shd w:val="clear" w:color="auto" w:fill="auto"/>
            <w:noWrap/>
          </w:tcPr>
          <w:p w14:paraId="59062C3E"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0.002</w:t>
            </w:r>
          </w:p>
        </w:tc>
        <w:tc>
          <w:tcPr>
            <w:tcW w:w="633" w:type="pct"/>
            <w:tcBorders>
              <w:bottom w:val="single" w:sz="4" w:space="0" w:color="365F91"/>
            </w:tcBorders>
            <w:shd w:val="clear" w:color="auto" w:fill="auto"/>
            <w:noWrap/>
          </w:tcPr>
          <w:p w14:paraId="5CDC37D0"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0.4</w:t>
            </w:r>
          </w:p>
        </w:tc>
        <w:tc>
          <w:tcPr>
            <w:tcW w:w="577" w:type="pct"/>
            <w:tcBorders>
              <w:bottom w:val="single" w:sz="4" w:space="0" w:color="365F91"/>
            </w:tcBorders>
            <w:shd w:val="clear" w:color="auto" w:fill="auto"/>
            <w:noWrap/>
          </w:tcPr>
          <w:p w14:paraId="075618FB"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91.6</w:t>
            </w:r>
          </w:p>
        </w:tc>
      </w:tr>
      <w:tr w:rsidR="00DE64BC" w:rsidRPr="00256982" w14:paraId="4E0CAF41" w14:textId="77777777" w:rsidTr="009A0D25">
        <w:tc>
          <w:tcPr>
            <w:tcW w:w="553" w:type="pct"/>
            <w:tcBorders>
              <w:bottom w:val="single" w:sz="4" w:space="0" w:color="365F91"/>
            </w:tcBorders>
          </w:tcPr>
          <w:p w14:paraId="30B794E2" w14:textId="77777777" w:rsidR="00DE64BC" w:rsidRPr="00256982" w:rsidRDefault="00DE64BC" w:rsidP="00A808C7">
            <w:pPr>
              <w:pStyle w:val="TableText"/>
              <w:spacing w:before="50" w:after="50"/>
              <w:rPr>
                <w:rFonts w:cs="Arial"/>
                <w:szCs w:val="16"/>
              </w:rPr>
            </w:pPr>
            <w:r w:rsidRPr="00256982">
              <w:rPr>
                <w:rFonts w:cs="Arial"/>
                <w:color w:val="000000"/>
                <w:szCs w:val="16"/>
              </w:rPr>
              <w:t>2.C.1</w:t>
            </w:r>
          </w:p>
        </w:tc>
        <w:tc>
          <w:tcPr>
            <w:tcW w:w="1209" w:type="pct"/>
            <w:tcBorders>
              <w:bottom w:val="single" w:sz="4" w:space="0" w:color="365F91"/>
            </w:tcBorders>
            <w:shd w:val="clear" w:color="auto" w:fill="auto"/>
            <w:noWrap/>
          </w:tcPr>
          <w:p w14:paraId="0DD7781F" w14:textId="77777777" w:rsidR="00DE64BC" w:rsidRPr="00256982" w:rsidRDefault="00DE64BC" w:rsidP="00A808C7">
            <w:pPr>
              <w:pStyle w:val="TableText"/>
              <w:spacing w:before="50" w:after="50"/>
              <w:rPr>
                <w:rFonts w:cs="Arial"/>
                <w:szCs w:val="16"/>
              </w:rPr>
            </w:pPr>
            <w:r w:rsidRPr="00256982">
              <w:rPr>
                <w:rFonts w:cs="Arial"/>
                <w:color w:val="000000"/>
                <w:szCs w:val="16"/>
              </w:rPr>
              <w:t>Metal Industry – Iron and Steel Production</w:t>
            </w:r>
          </w:p>
        </w:tc>
        <w:tc>
          <w:tcPr>
            <w:tcW w:w="372" w:type="pct"/>
            <w:tcBorders>
              <w:bottom w:val="single" w:sz="4" w:space="0" w:color="365F91"/>
            </w:tcBorders>
            <w:shd w:val="clear" w:color="auto" w:fill="auto"/>
            <w:noWrap/>
          </w:tcPr>
          <w:p w14:paraId="1E2804D2" w14:textId="77777777" w:rsidR="00DE64BC" w:rsidRPr="00256982" w:rsidRDefault="00DE64BC" w:rsidP="00A808C7">
            <w:pPr>
              <w:pStyle w:val="TableText"/>
              <w:spacing w:before="50" w:after="50"/>
              <w:jc w:val="center"/>
              <w:rPr>
                <w:rFonts w:cs="Arial"/>
                <w:szCs w:val="16"/>
              </w:rPr>
            </w:pPr>
            <w:r w:rsidRPr="00256982">
              <w:rPr>
                <w:rFonts w:cs="Arial"/>
                <w:color w:val="000000"/>
                <w:szCs w:val="16"/>
              </w:rPr>
              <w:t>CO</w:t>
            </w:r>
            <w:r w:rsidRPr="00256982">
              <w:rPr>
                <w:rFonts w:cs="Arial"/>
                <w:color w:val="000000"/>
                <w:szCs w:val="16"/>
                <w:vertAlign w:val="subscript"/>
              </w:rPr>
              <w:t>2</w:t>
            </w:r>
          </w:p>
        </w:tc>
        <w:tc>
          <w:tcPr>
            <w:tcW w:w="529" w:type="pct"/>
            <w:tcBorders>
              <w:bottom w:val="single" w:sz="4" w:space="0" w:color="365F91"/>
            </w:tcBorders>
            <w:shd w:val="clear" w:color="auto" w:fill="auto"/>
            <w:noWrap/>
          </w:tcPr>
          <w:p w14:paraId="004DB1AD"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1,306.7</w:t>
            </w:r>
          </w:p>
        </w:tc>
        <w:tc>
          <w:tcPr>
            <w:tcW w:w="510" w:type="pct"/>
            <w:tcBorders>
              <w:bottom w:val="single" w:sz="4" w:space="0" w:color="365F91"/>
            </w:tcBorders>
            <w:shd w:val="clear" w:color="auto" w:fill="auto"/>
            <w:noWrap/>
          </w:tcPr>
          <w:p w14:paraId="3FA5F4F7"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1,758.3</w:t>
            </w:r>
          </w:p>
        </w:tc>
        <w:tc>
          <w:tcPr>
            <w:tcW w:w="617" w:type="pct"/>
            <w:tcBorders>
              <w:bottom w:val="single" w:sz="4" w:space="0" w:color="365F91"/>
            </w:tcBorders>
            <w:shd w:val="clear" w:color="auto" w:fill="auto"/>
            <w:noWrap/>
          </w:tcPr>
          <w:p w14:paraId="5CB38DA2"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0.002</w:t>
            </w:r>
          </w:p>
        </w:tc>
        <w:tc>
          <w:tcPr>
            <w:tcW w:w="633" w:type="pct"/>
            <w:tcBorders>
              <w:bottom w:val="single" w:sz="4" w:space="0" w:color="365F91"/>
            </w:tcBorders>
            <w:shd w:val="clear" w:color="auto" w:fill="auto"/>
            <w:noWrap/>
          </w:tcPr>
          <w:p w14:paraId="6F4D6946"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0.4</w:t>
            </w:r>
          </w:p>
        </w:tc>
        <w:tc>
          <w:tcPr>
            <w:tcW w:w="577" w:type="pct"/>
            <w:tcBorders>
              <w:bottom w:val="single" w:sz="4" w:space="0" w:color="365F91"/>
            </w:tcBorders>
            <w:shd w:val="clear" w:color="auto" w:fill="auto"/>
            <w:noWrap/>
          </w:tcPr>
          <w:p w14:paraId="07CC9214"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91.9</w:t>
            </w:r>
          </w:p>
        </w:tc>
      </w:tr>
      <w:tr w:rsidR="00DE64BC" w:rsidRPr="00256982" w14:paraId="23265F3F" w14:textId="77777777" w:rsidTr="009A0D25">
        <w:tc>
          <w:tcPr>
            <w:tcW w:w="553" w:type="pct"/>
            <w:tcBorders>
              <w:bottom w:val="single" w:sz="4" w:space="0" w:color="365F91"/>
            </w:tcBorders>
          </w:tcPr>
          <w:p w14:paraId="57AC2DF9" w14:textId="77777777" w:rsidR="00DE64BC" w:rsidRPr="00256982" w:rsidRDefault="00DE64BC" w:rsidP="00A808C7">
            <w:pPr>
              <w:pStyle w:val="TableText"/>
              <w:keepNext/>
              <w:spacing w:before="50" w:after="50"/>
              <w:rPr>
                <w:rFonts w:cs="Arial"/>
                <w:szCs w:val="16"/>
              </w:rPr>
            </w:pPr>
            <w:r w:rsidRPr="00256982">
              <w:rPr>
                <w:rFonts w:cs="Arial"/>
                <w:color w:val="000000"/>
                <w:szCs w:val="16"/>
              </w:rPr>
              <w:t>1.A.2.g.viii</w:t>
            </w:r>
          </w:p>
        </w:tc>
        <w:tc>
          <w:tcPr>
            <w:tcW w:w="1209" w:type="pct"/>
            <w:tcBorders>
              <w:bottom w:val="single" w:sz="4" w:space="0" w:color="365F91"/>
            </w:tcBorders>
            <w:shd w:val="clear" w:color="auto" w:fill="auto"/>
            <w:noWrap/>
          </w:tcPr>
          <w:p w14:paraId="036C8FBD" w14:textId="77777777" w:rsidR="00DE64BC" w:rsidRPr="00256982" w:rsidRDefault="00DE64BC" w:rsidP="00A808C7">
            <w:pPr>
              <w:pStyle w:val="TableText"/>
              <w:spacing w:before="50" w:after="50"/>
              <w:rPr>
                <w:rFonts w:cs="Arial"/>
                <w:szCs w:val="16"/>
              </w:rPr>
            </w:pPr>
            <w:r w:rsidRPr="00256982">
              <w:rPr>
                <w:rFonts w:cs="Arial"/>
                <w:color w:val="000000"/>
                <w:szCs w:val="16"/>
              </w:rPr>
              <w:t>Other (please specify) – Other (please specify) Liquid Fuels</w:t>
            </w:r>
          </w:p>
        </w:tc>
        <w:tc>
          <w:tcPr>
            <w:tcW w:w="372" w:type="pct"/>
            <w:tcBorders>
              <w:bottom w:val="single" w:sz="4" w:space="0" w:color="365F91"/>
            </w:tcBorders>
            <w:shd w:val="clear" w:color="auto" w:fill="auto"/>
            <w:noWrap/>
          </w:tcPr>
          <w:p w14:paraId="76D2F6CF" w14:textId="77777777" w:rsidR="00DE64BC" w:rsidRPr="00256982" w:rsidRDefault="00DE64BC" w:rsidP="00A808C7">
            <w:pPr>
              <w:pStyle w:val="TableText"/>
              <w:spacing w:before="50" w:after="50"/>
              <w:jc w:val="center"/>
              <w:rPr>
                <w:rFonts w:cs="Arial"/>
                <w:szCs w:val="16"/>
              </w:rPr>
            </w:pPr>
            <w:r w:rsidRPr="00256982">
              <w:rPr>
                <w:rFonts w:cs="Arial"/>
                <w:color w:val="000000"/>
                <w:szCs w:val="16"/>
              </w:rPr>
              <w:t>CO</w:t>
            </w:r>
            <w:r w:rsidRPr="00256982">
              <w:rPr>
                <w:rFonts w:cs="Arial"/>
                <w:color w:val="000000"/>
                <w:szCs w:val="16"/>
                <w:vertAlign w:val="subscript"/>
              </w:rPr>
              <w:t>2</w:t>
            </w:r>
          </w:p>
        </w:tc>
        <w:tc>
          <w:tcPr>
            <w:tcW w:w="529" w:type="pct"/>
            <w:tcBorders>
              <w:bottom w:val="single" w:sz="4" w:space="0" w:color="365F91"/>
            </w:tcBorders>
            <w:shd w:val="clear" w:color="auto" w:fill="auto"/>
            <w:noWrap/>
          </w:tcPr>
          <w:p w14:paraId="16536966"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51.5</w:t>
            </w:r>
          </w:p>
        </w:tc>
        <w:tc>
          <w:tcPr>
            <w:tcW w:w="510" w:type="pct"/>
            <w:tcBorders>
              <w:bottom w:val="single" w:sz="4" w:space="0" w:color="365F91"/>
            </w:tcBorders>
            <w:shd w:val="clear" w:color="auto" w:fill="auto"/>
            <w:noWrap/>
          </w:tcPr>
          <w:p w14:paraId="18FF2DD2"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205.8</w:t>
            </w:r>
          </w:p>
        </w:tc>
        <w:tc>
          <w:tcPr>
            <w:tcW w:w="617" w:type="pct"/>
            <w:tcBorders>
              <w:bottom w:val="single" w:sz="4" w:space="0" w:color="365F91"/>
            </w:tcBorders>
            <w:shd w:val="clear" w:color="auto" w:fill="auto"/>
            <w:noWrap/>
          </w:tcPr>
          <w:p w14:paraId="108D9ADF"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0.001</w:t>
            </w:r>
          </w:p>
        </w:tc>
        <w:tc>
          <w:tcPr>
            <w:tcW w:w="633" w:type="pct"/>
            <w:tcBorders>
              <w:bottom w:val="single" w:sz="4" w:space="0" w:color="365F91"/>
            </w:tcBorders>
            <w:shd w:val="clear" w:color="auto" w:fill="auto"/>
            <w:noWrap/>
          </w:tcPr>
          <w:p w14:paraId="237B1EBA"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0.3</w:t>
            </w:r>
          </w:p>
        </w:tc>
        <w:tc>
          <w:tcPr>
            <w:tcW w:w="577" w:type="pct"/>
            <w:tcBorders>
              <w:bottom w:val="single" w:sz="4" w:space="0" w:color="365F91"/>
            </w:tcBorders>
            <w:shd w:val="clear" w:color="auto" w:fill="auto"/>
            <w:noWrap/>
          </w:tcPr>
          <w:p w14:paraId="45568483"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92.3</w:t>
            </w:r>
          </w:p>
        </w:tc>
      </w:tr>
      <w:tr w:rsidR="00DE64BC" w:rsidRPr="00256982" w14:paraId="42D186B3" w14:textId="77777777" w:rsidTr="009A0D25">
        <w:tc>
          <w:tcPr>
            <w:tcW w:w="553" w:type="pct"/>
            <w:tcBorders>
              <w:bottom w:val="single" w:sz="4" w:space="0" w:color="365F91"/>
            </w:tcBorders>
          </w:tcPr>
          <w:p w14:paraId="1220BC92" w14:textId="77777777" w:rsidR="00DE64BC" w:rsidRPr="00256982" w:rsidRDefault="00DE64BC" w:rsidP="00A808C7">
            <w:pPr>
              <w:pStyle w:val="TableText"/>
              <w:spacing w:before="50" w:after="50"/>
              <w:rPr>
                <w:rFonts w:cs="Arial"/>
                <w:szCs w:val="16"/>
              </w:rPr>
            </w:pPr>
            <w:r w:rsidRPr="00256982">
              <w:rPr>
                <w:rFonts w:cs="Arial"/>
                <w:color w:val="000000"/>
                <w:szCs w:val="16"/>
              </w:rPr>
              <w:t>1.A.4.a</w:t>
            </w:r>
          </w:p>
        </w:tc>
        <w:tc>
          <w:tcPr>
            <w:tcW w:w="1209" w:type="pct"/>
            <w:tcBorders>
              <w:bottom w:val="single" w:sz="4" w:space="0" w:color="365F91"/>
            </w:tcBorders>
            <w:shd w:val="clear" w:color="auto" w:fill="auto"/>
            <w:noWrap/>
          </w:tcPr>
          <w:p w14:paraId="0CEEE7DC" w14:textId="77777777" w:rsidR="00DE64BC" w:rsidRPr="00256982" w:rsidRDefault="00DE64BC" w:rsidP="00A808C7">
            <w:pPr>
              <w:pStyle w:val="TableText"/>
              <w:spacing w:before="50" w:after="50"/>
              <w:rPr>
                <w:rFonts w:cs="Arial"/>
                <w:szCs w:val="16"/>
              </w:rPr>
            </w:pPr>
            <w:r w:rsidRPr="00256982">
              <w:rPr>
                <w:rFonts w:cs="Arial"/>
                <w:color w:val="000000"/>
                <w:szCs w:val="16"/>
              </w:rPr>
              <w:t>Other Sectors – Commercial/Institutional Gaseous Fuels</w:t>
            </w:r>
          </w:p>
        </w:tc>
        <w:tc>
          <w:tcPr>
            <w:tcW w:w="372" w:type="pct"/>
            <w:tcBorders>
              <w:bottom w:val="single" w:sz="4" w:space="0" w:color="365F91"/>
            </w:tcBorders>
            <w:shd w:val="clear" w:color="auto" w:fill="auto"/>
            <w:noWrap/>
          </w:tcPr>
          <w:p w14:paraId="4441ACF3" w14:textId="77777777" w:rsidR="00DE64BC" w:rsidRPr="00256982" w:rsidRDefault="00DE64BC" w:rsidP="00A808C7">
            <w:pPr>
              <w:pStyle w:val="TableText"/>
              <w:spacing w:before="50" w:after="50"/>
              <w:jc w:val="center"/>
              <w:rPr>
                <w:rFonts w:cs="Arial"/>
                <w:szCs w:val="16"/>
              </w:rPr>
            </w:pPr>
            <w:r w:rsidRPr="00256982">
              <w:rPr>
                <w:rFonts w:cs="Arial"/>
                <w:color w:val="000000"/>
                <w:szCs w:val="16"/>
              </w:rPr>
              <w:t>CO</w:t>
            </w:r>
            <w:r w:rsidRPr="00256982">
              <w:rPr>
                <w:rFonts w:cs="Arial"/>
                <w:color w:val="000000"/>
                <w:szCs w:val="16"/>
                <w:vertAlign w:val="subscript"/>
              </w:rPr>
              <w:t>2</w:t>
            </w:r>
          </w:p>
        </w:tc>
        <w:tc>
          <w:tcPr>
            <w:tcW w:w="529" w:type="pct"/>
            <w:tcBorders>
              <w:bottom w:val="single" w:sz="4" w:space="0" w:color="365F91"/>
            </w:tcBorders>
            <w:shd w:val="clear" w:color="auto" w:fill="auto"/>
            <w:noWrap/>
          </w:tcPr>
          <w:p w14:paraId="2694D1CD"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236.1</w:t>
            </w:r>
          </w:p>
        </w:tc>
        <w:tc>
          <w:tcPr>
            <w:tcW w:w="510" w:type="pct"/>
            <w:tcBorders>
              <w:bottom w:val="single" w:sz="4" w:space="0" w:color="365F91"/>
            </w:tcBorders>
            <w:shd w:val="clear" w:color="auto" w:fill="auto"/>
            <w:noWrap/>
          </w:tcPr>
          <w:p w14:paraId="3641720D"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429.8</w:t>
            </w:r>
          </w:p>
        </w:tc>
        <w:tc>
          <w:tcPr>
            <w:tcW w:w="617" w:type="pct"/>
            <w:tcBorders>
              <w:bottom w:val="single" w:sz="4" w:space="0" w:color="365F91"/>
            </w:tcBorders>
            <w:shd w:val="clear" w:color="auto" w:fill="auto"/>
            <w:noWrap/>
          </w:tcPr>
          <w:p w14:paraId="07C128A1"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0.001</w:t>
            </w:r>
          </w:p>
        </w:tc>
        <w:tc>
          <w:tcPr>
            <w:tcW w:w="633" w:type="pct"/>
            <w:tcBorders>
              <w:bottom w:val="single" w:sz="4" w:space="0" w:color="365F91"/>
            </w:tcBorders>
            <w:shd w:val="clear" w:color="auto" w:fill="auto"/>
            <w:noWrap/>
          </w:tcPr>
          <w:p w14:paraId="18405C0B"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0.3</w:t>
            </w:r>
          </w:p>
        </w:tc>
        <w:tc>
          <w:tcPr>
            <w:tcW w:w="577" w:type="pct"/>
            <w:tcBorders>
              <w:bottom w:val="single" w:sz="4" w:space="0" w:color="365F91"/>
            </w:tcBorders>
            <w:shd w:val="clear" w:color="auto" w:fill="auto"/>
            <w:noWrap/>
          </w:tcPr>
          <w:p w14:paraId="7817C445"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92.6</w:t>
            </w:r>
          </w:p>
        </w:tc>
      </w:tr>
      <w:tr w:rsidR="00DE64BC" w:rsidRPr="00256982" w14:paraId="61F79482" w14:textId="77777777" w:rsidTr="009A0D25">
        <w:tc>
          <w:tcPr>
            <w:tcW w:w="553" w:type="pct"/>
            <w:tcBorders>
              <w:bottom w:val="single" w:sz="4" w:space="0" w:color="365F91"/>
            </w:tcBorders>
          </w:tcPr>
          <w:p w14:paraId="7B294FC6" w14:textId="77777777" w:rsidR="00DE64BC" w:rsidRPr="00256982" w:rsidRDefault="00DE64BC" w:rsidP="00A808C7">
            <w:pPr>
              <w:pStyle w:val="TableText"/>
              <w:spacing w:before="50" w:after="50"/>
              <w:rPr>
                <w:rFonts w:cs="Arial"/>
                <w:szCs w:val="16"/>
              </w:rPr>
            </w:pPr>
            <w:r w:rsidRPr="00256982">
              <w:rPr>
                <w:rFonts w:cs="Arial"/>
                <w:color w:val="000000"/>
                <w:szCs w:val="16"/>
              </w:rPr>
              <w:t>1.A.3.a</w:t>
            </w:r>
          </w:p>
        </w:tc>
        <w:tc>
          <w:tcPr>
            <w:tcW w:w="1209" w:type="pct"/>
            <w:tcBorders>
              <w:bottom w:val="single" w:sz="4" w:space="0" w:color="365F91"/>
            </w:tcBorders>
            <w:shd w:val="clear" w:color="auto" w:fill="auto"/>
            <w:noWrap/>
          </w:tcPr>
          <w:p w14:paraId="7AE65B75" w14:textId="77777777" w:rsidR="00DE64BC" w:rsidRPr="00256982" w:rsidRDefault="00DE64BC" w:rsidP="00A808C7">
            <w:pPr>
              <w:pStyle w:val="TableText"/>
              <w:spacing w:before="50" w:after="50"/>
              <w:rPr>
                <w:rFonts w:cs="Arial"/>
                <w:szCs w:val="16"/>
              </w:rPr>
            </w:pPr>
            <w:r w:rsidRPr="00256982">
              <w:rPr>
                <w:rFonts w:cs="Arial"/>
                <w:color w:val="000000"/>
                <w:szCs w:val="16"/>
              </w:rPr>
              <w:t>Domestic Aviation – Jet Kerosene</w:t>
            </w:r>
          </w:p>
        </w:tc>
        <w:tc>
          <w:tcPr>
            <w:tcW w:w="372" w:type="pct"/>
            <w:tcBorders>
              <w:bottom w:val="single" w:sz="4" w:space="0" w:color="365F91"/>
            </w:tcBorders>
            <w:shd w:val="clear" w:color="auto" w:fill="auto"/>
            <w:noWrap/>
          </w:tcPr>
          <w:p w14:paraId="724F9382" w14:textId="77777777" w:rsidR="00DE64BC" w:rsidRPr="00256982" w:rsidRDefault="00DE64BC" w:rsidP="00A808C7">
            <w:pPr>
              <w:pStyle w:val="TableText"/>
              <w:spacing w:before="50" w:after="50"/>
              <w:jc w:val="center"/>
              <w:rPr>
                <w:rFonts w:cs="Arial"/>
                <w:szCs w:val="16"/>
              </w:rPr>
            </w:pPr>
            <w:r w:rsidRPr="00256982">
              <w:rPr>
                <w:rFonts w:cs="Arial"/>
                <w:color w:val="000000"/>
                <w:szCs w:val="16"/>
              </w:rPr>
              <w:t>CO</w:t>
            </w:r>
            <w:r w:rsidRPr="00256982">
              <w:rPr>
                <w:rFonts w:cs="Arial"/>
                <w:color w:val="000000"/>
                <w:szCs w:val="16"/>
                <w:vertAlign w:val="subscript"/>
              </w:rPr>
              <w:t>2</w:t>
            </w:r>
          </w:p>
        </w:tc>
        <w:tc>
          <w:tcPr>
            <w:tcW w:w="529" w:type="pct"/>
            <w:tcBorders>
              <w:bottom w:val="single" w:sz="4" w:space="0" w:color="365F91"/>
            </w:tcBorders>
            <w:shd w:val="clear" w:color="auto" w:fill="auto"/>
            <w:noWrap/>
          </w:tcPr>
          <w:p w14:paraId="71DAD3BD"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892.6</w:t>
            </w:r>
          </w:p>
        </w:tc>
        <w:tc>
          <w:tcPr>
            <w:tcW w:w="510" w:type="pct"/>
            <w:tcBorders>
              <w:bottom w:val="single" w:sz="4" w:space="0" w:color="365F91"/>
            </w:tcBorders>
            <w:shd w:val="clear" w:color="auto" w:fill="auto"/>
            <w:noWrap/>
          </w:tcPr>
          <w:p w14:paraId="72FA010E"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961.7</w:t>
            </w:r>
          </w:p>
        </w:tc>
        <w:tc>
          <w:tcPr>
            <w:tcW w:w="617" w:type="pct"/>
            <w:tcBorders>
              <w:bottom w:val="single" w:sz="4" w:space="0" w:color="365F91"/>
            </w:tcBorders>
            <w:shd w:val="clear" w:color="auto" w:fill="auto"/>
            <w:noWrap/>
          </w:tcPr>
          <w:p w14:paraId="7C07589D"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0.001</w:t>
            </w:r>
          </w:p>
        </w:tc>
        <w:tc>
          <w:tcPr>
            <w:tcW w:w="633" w:type="pct"/>
            <w:tcBorders>
              <w:bottom w:val="single" w:sz="4" w:space="0" w:color="365F91"/>
            </w:tcBorders>
            <w:shd w:val="clear" w:color="auto" w:fill="auto"/>
            <w:noWrap/>
          </w:tcPr>
          <w:p w14:paraId="40DF79D8"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0.3</w:t>
            </w:r>
          </w:p>
        </w:tc>
        <w:tc>
          <w:tcPr>
            <w:tcW w:w="577" w:type="pct"/>
            <w:tcBorders>
              <w:bottom w:val="single" w:sz="4" w:space="0" w:color="365F91"/>
            </w:tcBorders>
            <w:shd w:val="clear" w:color="auto" w:fill="auto"/>
            <w:noWrap/>
          </w:tcPr>
          <w:p w14:paraId="58522238"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93.0</w:t>
            </w:r>
          </w:p>
        </w:tc>
      </w:tr>
      <w:tr w:rsidR="00DE64BC" w:rsidRPr="00256982" w14:paraId="50DEB888" w14:textId="77777777" w:rsidTr="009A0D25">
        <w:tc>
          <w:tcPr>
            <w:tcW w:w="553" w:type="pct"/>
            <w:tcBorders>
              <w:bottom w:val="single" w:sz="4" w:space="0" w:color="365F91"/>
            </w:tcBorders>
          </w:tcPr>
          <w:p w14:paraId="72093B15" w14:textId="77777777" w:rsidR="00DE64BC" w:rsidRPr="00256982" w:rsidRDefault="00DE64BC" w:rsidP="00A808C7">
            <w:pPr>
              <w:pStyle w:val="TableText"/>
              <w:spacing w:before="50" w:after="50"/>
              <w:rPr>
                <w:rFonts w:cs="Arial"/>
                <w:szCs w:val="16"/>
              </w:rPr>
            </w:pPr>
            <w:r w:rsidRPr="00256982">
              <w:rPr>
                <w:rFonts w:cs="Arial"/>
                <w:color w:val="000000"/>
                <w:szCs w:val="16"/>
              </w:rPr>
              <w:t>1.A.4.b</w:t>
            </w:r>
          </w:p>
        </w:tc>
        <w:tc>
          <w:tcPr>
            <w:tcW w:w="1209" w:type="pct"/>
            <w:tcBorders>
              <w:bottom w:val="single" w:sz="4" w:space="0" w:color="365F91"/>
            </w:tcBorders>
            <w:shd w:val="clear" w:color="auto" w:fill="auto"/>
            <w:noWrap/>
          </w:tcPr>
          <w:p w14:paraId="672C7822" w14:textId="77777777" w:rsidR="00DE64BC" w:rsidRPr="00256982" w:rsidRDefault="00DE64BC" w:rsidP="00A808C7">
            <w:pPr>
              <w:pStyle w:val="TableText"/>
              <w:spacing w:before="50" w:after="50"/>
              <w:rPr>
                <w:rFonts w:cs="Arial"/>
                <w:szCs w:val="16"/>
              </w:rPr>
            </w:pPr>
            <w:r w:rsidRPr="00256982">
              <w:rPr>
                <w:rFonts w:cs="Arial"/>
                <w:color w:val="000000"/>
                <w:szCs w:val="16"/>
              </w:rPr>
              <w:t>Other Sectors – Residential Gaseous Fuels</w:t>
            </w:r>
          </w:p>
        </w:tc>
        <w:tc>
          <w:tcPr>
            <w:tcW w:w="372" w:type="pct"/>
            <w:tcBorders>
              <w:bottom w:val="single" w:sz="4" w:space="0" w:color="365F91"/>
            </w:tcBorders>
            <w:shd w:val="clear" w:color="auto" w:fill="auto"/>
            <w:noWrap/>
          </w:tcPr>
          <w:p w14:paraId="30099295" w14:textId="77777777" w:rsidR="00DE64BC" w:rsidRPr="00256982" w:rsidRDefault="00DE64BC" w:rsidP="00A808C7">
            <w:pPr>
              <w:pStyle w:val="TableText"/>
              <w:spacing w:before="50" w:after="50"/>
              <w:jc w:val="center"/>
              <w:rPr>
                <w:rFonts w:cs="Arial"/>
                <w:szCs w:val="16"/>
              </w:rPr>
            </w:pPr>
            <w:r w:rsidRPr="00256982">
              <w:rPr>
                <w:rFonts w:cs="Arial"/>
                <w:color w:val="000000"/>
                <w:szCs w:val="16"/>
              </w:rPr>
              <w:t>CO</w:t>
            </w:r>
            <w:r w:rsidRPr="00256982">
              <w:rPr>
                <w:rFonts w:cs="Arial"/>
                <w:color w:val="000000"/>
                <w:szCs w:val="16"/>
                <w:vertAlign w:val="subscript"/>
              </w:rPr>
              <w:t>2</w:t>
            </w:r>
          </w:p>
        </w:tc>
        <w:tc>
          <w:tcPr>
            <w:tcW w:w="529" w:type="pct"/>
            <w:tcBorders>
              <w:bottom w:val="single" w:sz="4" w:space="0" w:color="365F91"/>
            </w:tcBorders>
            <w:shd w:val="clear" w:color="auto" w:fill="auto"/>
            <w:noWrap/>
          </w:tcPr>
          <w:p w14:paraId="7A493CFC"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185.6</w:t>
            </w:r>
          </w:p>
        </w:tc>
        <w:tc>
          <w:tcPr>
            <w:tcW w:w="510" w:type="pct"/>
            <w:tcBorders>
              <w:bottom w:val="single" w:sz="4" w:space="0" w:color="365F91"/>
            </w:tcBorders>
            <w:shd w:val="clear" w:color="auto" w:fill="auto"/>
            <w:noWrap/>
          </w:tcPr>
          <w:p w14:paraId="66B58E19"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365.1</w:t>
            </w:r>
          </w:p>
        </w:tc>
        <w:tc>
          <w:tcPr>
            <w:tcW w:w="617" w:type="pct"/>
            <w:tcBorders>
              <w:bottom w:val="single" w:sz="4" w:space="0" w:color="365F91"/>
            </w:tcBorders>
            <w:shd w:val="clear" w:color="auto" w:fill="auto"/>
            <w:noWrap/>
          </w:tcPr>
          <w:p w14:paraId="5E194D57"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0.001</w:t>
            </w:r>
          </w:p>
        </w:tc>
        <w:tc>
          <w:tcPr>
            <w:tcW w:w="633" w:type="pct"/>
            <w:tcBorders>
              <w:bottom w:val="single" w:sz="4" w:space="0" w:color="365F91"/>
            </w:tcBorders>
            <w:shd w:val="clear" w:color="auto" w:fill="auto"/>
            <w:noWrap/>
          </w:tcPr>
          <w:p w14:paraId="0BB8F0E7"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0.3</w:t>
            </w:r>
          </w:p>
        </w:tc>
        <w:tc>
          <w:tcPr>
            <w:tcW w:w="577" w:type="pct"/>
            <w:tcBorders>
              <w:bottom w:val="single" w:sz="4" w:space="0" w:color="365F91"/>
            </w:tcBorders>
            <w:shd w:val="clear" w:color="auto" w:fill="auto"/>
            <w:noWrap/>
          </w:tcPr>
          <w:p w14:paraId="50FE8FC7"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93.3</w:t>
            </w:r>
          </w:p>
        </w:tc>
      </w:tr>
      <w:tr w:rsidR="00DE64BC" w:rsidRPr="00256982" w14:paraId="2495AC2E" w14:textId="77777777" w:rsidTr="009A0D25">
        <w:tc>
          <w:tcPr>
            <w:tcW w:w="553" w:type="pct"/>
            <w:tcBorders>
              <w:bottom w:val="single" w:sz="4" w:space="0" w:color="365F91"/>
            </w:tcBorders>
          </w:tcPr>
          <w:p w14:paraId="0B5A212F" w14:textId="77777777" w:rsidR="00DE64BC" w:rsidRPr="00256982" w:rsidRDefault="00DE64BC" w:rsidP="00A808C7">
            <w:pPr>
              <w:pStyle w:val="TableText"/>
              <w:spacing w:before="50" w:after="50"/>
              <w:rPr>
                <w:rFonts w:cs="Arial"/>
                <w:szCs w:val="16"/>
              </w:rPr>
            </w:pPr>
            <w:r w:rsidRPr="00256982">
              <w:rPr>
                <w:rFonts w:cs="Arial"/>
                <w:color w:val="000000"/>
                <w:szCs w:val="16"/>
              </w:rPr>
              <w:t>1.B.2.b.5</w:t>
            </w:r>
          </w:p>
        </w:tc>
        <w:tc>
          <w:tcPr>
            <w:tcW w:w="1209" w:type="pct"/>
            <w:tcBorders>
              <w:bottom w:val="single" w:sz="4" w:space="0" w:color="365F91"/>
            </w:tcBorders>
            <w:shd w:val="clear" w:color="auto" w:fill="auto"/>
            <w:noWrap/>
          </w:tcPr>
          <w:p w14:paraId="1BB7D182" w14:textId="77777777" w:rsidR="00DE64BC" w:rsidRPr="00256982" w:rsidRDefault="00DE64BC" w:rsidP="00A808C7">
            <w:pPr>
              <w:pStyle w:val="TableText"/>
              <w:spacing w:before="50" w:after="50"/>
              <w:rPr>
                <w:rFonts w:cs="Arial"/>
                <w:szCs w:val="16"/>
              </w:rPr>
            </w:pPr>
            <w:r w:rsidRPr="00256982">
              <w:rPr>
                <w:rFonts w:cs="Arial"/>
                <w:color w:val="000000"/>
                <w:szCs w:val="16"/>
              </w:rPr>
              <w:t>Natural Gas – Distribution</w:t>
            </w:r>
          </w:p>
        </w:tc>
        <w:tc>
          <w:tcPr>
            <w:tcW w:w="372" w:type="pct"/>
            <w:tcBorders>
              <w:bottom w:val="single" w:sz="4" w:space="0" w:color="365F91"/>
            </w:tcBorders>
            <w:shd w:val="clear" w:color="auto" w:fill="auto"/>
            <w:noWrap/>
          </w:tcPr>
          <w:p w14:paraId="75ED1C00" w14:textId="77777777" w:rsidR="00DE64BC" w:rsidRPr="00256982" w:rsidRDefault="00DE64BC" w:rsidP="00A808C7">
            <w:pPr>
              <w:pStyle w:val="TableText"/>
              <w:spacing w:before="50" w:after="50"/>
              <w:jc w:val="center"/>
              <w:rPr>
                <w:rFonts w:cs="Arial"/>
                <w:szCs w:val="16"/>
              </w:rPr>
            </w:pPr>
            <w:r w:rsidRPr="00256982">
              <w:rPr>
                <w:rFonts w:cs="Arial"/>
                <w:color w:val="000000"/>
                <w:szCs w:val="16"/>
              </w:rPr>
              <w:t>CH</w:t>
            </w:r>
            <w:r w:rsidRPr="00256982">
              <w:rPr>
                <w:rFonts w:cs="Arial"/>
                <w:color w:val="000000"/>
                <w:szCs w:val="16"/>
                <w:vertAlign w:val="subscript"/>
              </w:rPr>
              <w:t>4</w:t>
            </w:r>
          </w:p>
        </w:tc>
        <w:tc>
          <w:tcPr>
            <w:tcW w:w="529" w:type="pct"/>
            <w:tcBorders>
              <w:bottom w:val="single" w:sz="4" w:space="0" w:color="365F91"/>
            </w:tcBorders>
            <w:shd w:val="clear" w:color="auto" w:fill="auto"/>
            <w:noWrap/>
          </w:tcPr>
          <w:p w14:paraId="2458198C"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277.5</w:t>
            </w:r>
          </w:p>
        </w:tc>
        <w:tc>
          <w:tcPr>
            <w:tcW w:w="510" w:type="pct"/>
            <w:tcBorders>
              <w:bottom w:val="single" w:sz="4" w:space="0" w:color="365F91"/>
            </w:tcBorders>
            <w:shd w:val="clear" w:color="auto" w:fill="auto"/>
            <w:noWrap/>
          </w:tcPr>
          <w:p w14:paraId="62D8D8EA"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208.4</w:t>
            </w:r>
          </w:p>
        </w:tc>
        <w:tc>
          <w:tcPr>
            <w:tcW w:w="617" w:type="pct"/>
            <w:tcBorders>
              <w:bottom w:val="single" w:sz="4" w:space="0" w:color="365F91"/>
            </w:tcBorders>
            <w:shd w:val="clear" w:color="auto" w:fill="auto"/>
            <w:noWrap/>
          </w:tcPr>
          <w:p w14:paraId="340666AB"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0.001</w:t>
            </w:r>
          </w:p>
        </w:tc>
        <w:tc>
          <w:tcPr>
            <w:tcW w:w="633" w:type="pct"/>
            <w:tcBorders>
              <w:bottom w:val="single" w:sz="4" w:space="0" w:color="365F91"/>
            </w:tcBorders>
            <w:shd w:val="clear" w:color="auto" w:fill="auto"/>
            <w:noWrap/>
          </w:tcPr>
          <w:p w14:paraId="749D89E8"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0.3</w:t>
            </w:r>
          </w:p>
        </w:tc>
        <w:tc>
          <w:tcPr>
            <w:tcW w:w="577" w:type="pct"/>
            <w:tcBorders>
              <w:bottom w:val="single" w:sz="4" w:space="0" w:color="365F91"/>
            </w:tcBorders>
            <w:shd w:val="clear" w:color="auto" w:fill="auto"/>
            <w:noWrap/>
          </w:tcPr>
          <w:p w14:paraId="5AC076AD"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93.6</w:t>
            </w:r>
          </w:p>
        </w:tc>
      </w:tr>
      <w:tr w:rsidR="00DE64BC" w:rsidRPr="00256982" w14:paraId="2E641E28" w14:textId="77777777" w:rsidTr="009A0D25">
        <w:tc>
          <w:tcPr>
            <w:tcW w:w="553" w:type="pct"/>
            <w:tcBorders>
              <w:bottom w:val="single" w:sz="4" w:space="0" w:color="365F91"/>
            </w:tcBorders>
          </w:tcPr>
          <w:p w14:paraId="1CFB38AE" w14:textId="77777777" w:rsidR="00DE64BC" w:rsidRPr="00256982" w:rsidRDefault="00DE64BC" w:rsidP="00A808C7">
            <w:pPr>
              <w:pStyle w:val="TableText"/>
              <w:spacing w:before="50" w:after="50"/>
              <w:rPr>
                <w:rFonts w:cs="Arial"/>
                <w:szCs w:val="16"/>
              </w:rPr>
            </w:pPr>
            <w:r w:rsidRPr="00256982">
              <w:rPr>
                <w:rFonts w:cs="Arial"/>
                <w:color w:val="000000"/>
                <w:szCs w:val="16"/>
              </w:rPr>
              <w:t>1.B.2.c.1.ii</w:t>
            </w:r>
          </w:p>
        </w:tc>
        <w:tc>
          <w:tcPr>
            <w:tcW w:w="1209" w:type="pct"/>
            <w:tcBorders>
              <w:bottom w:val="single" w:sz="4" w:space="0" w:color="365F91"/>
            </w:tcBorders>
            <w:shd w:val="clear" w:color="auto" w:fill="auto"/>
            <w:noWrap/>
          </w:tcPr>
          <w:p w14:paraId="6CBA2820" w14:textId="77777777" w:rsidR="00DE64BC" w:rsidRPr="00256982" w:rsidRDefault="00DE64BC" w:rsidP="00A808C7">
            <w:pPr>
              <w:pStyle w:val="TableText"/>
              <w:spacing w:before="50" w:after="50"/>
              <w:rPr>
                <w:rFonts w:cs="Arial"/>
                <w:szCs w:val="16"/>
              </w:rPr>
            </w:pPr>
            <w:r w:rsidRPr="00256982">
              <w:rPr>
                <w:rFonts w:cs="Arial"/>
                <w:color w:val="000000"/>
                <w:szCs w:val="16"/>
              </w:rPr>
              <w:t>Venting – Gas</w:t>
            </w:r>
          </w:p>
        </w:tc>
        <w:tc>
          <w:tcPr>
            <w:tcW w:w="372" w:type="pct"/>
            <w:tcBorders>
              <w:bottom w:val="single" w:sz="4" w:space="0" w:color="365F91"/>
            </w:tcBorders>
            <w:shd w:val="clear" w:color="auto" w:fill="auto"/>
            <w:noWrap/>
          </w:tcPr>
          <w:p w14:paraId="3CA24751" w14:textId="77777777" w:rsidR="00DE64BC" w:rsidRPr="00256982" w:rsidRDefault="00DE64BC" w:rsidP="00A808C7">
            <w:pPr>
              <w:pStyle w:val="TableText"/>
              <w:spacing w:before="50" w:after="50"/>
              <w:jc w:val="center"/>
              <w:rPr>
                <w:rFonts w:cs="Arial"/>
                <w:szCs w:val="16"/>
              </w:rPr>
            </w:pPr>
            <w:r w:rsidRPr="00256982">
              <w:rPr>
                <w:rFonts w:cs="Arial"/>
                <w:color w:val="000000"/>
                <w:szCs w:val="16"/>
              </w:rPr>
              <w:t>CO</w:t>
            </w:r>
            <w:r w:rsidRPr="00256982">
              <w:rPr>
                <w:rFonts w:cs="Arial"/>
                <w:color w:val="000000"/>
                <w:szCs w:val="16"/>
                <w:vertAlign w:val="subscript"/>
              </w:rPr>
              <w:t>2</w:t>
            </w:r>
          </w:p>
        </w:tc>
        <w:tc>
          <w:tcPr>
            <w:tcW w:w="529" w:type="pct"/>
            <w:tcBorders>
              <w:bottom w:val="single" w:sz="4" w:space="0" w:color="365F91"/>
            </w:tcBorders>
            <w:shd w:val="clear" w:color="auto" w:fill="auto"/>
            <w:noWrap/>
          </w:tcPr>
          <w:p w14:paraId="3896B349"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109.3</w:t>
            </w:r>
          </w:p>
        </w:tc>
        <w:tc>
          <w:tcPr>
            <w:tcW w:w="510" w:type="pct"/>
            <w:tcBorders>
              <w:bottom w:val="single" w:sz="4" w:space="0" w:color="365F91"/>
            </w:tcBorders>
            <w:shd w:val="clear" w:color="auto" w:fill="auto"/>
            <w:noWrap/>
          </w:tcPr>
          <w:p w14:paraId="0868CE97"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258.5</w:t>
            </w:r>
          </w:p>
        </w:tc>
        <w:tc>
          <w:tcPr>
            <w:tcW w:w="617" w:type="pct"/>
            <w:tcBorders>
              <w:bottom w:val="single" w:sz="4" w:space="0" w:color="365F91"/>
            </w:tcBorders>
            <w:shd w:val="clear" w:color="auto" w:fill="auto"/>
            <w:noWrap/>
          </w:tcPr>
          <w:p w14:paraId="37CA2CE1"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0.001</w:t>
            </w:r>
          </w:p>
        </w:tc>
        <w:tc>
          <w:tcPr>
            <w:tcW w:w="633" w:type="pct"/>
            <w:tcBorders>
              <w:bottom w:val="single" w:sz="4" w:space="0" w:color="365F91"/>
            </w:tcBorders>
            <w:shd w:val="clear" w:color="auto" w:fill="auto"/>
            <w:noWrap/>
          </w:tcPr>
          <w:p w14:paraId="62288C27"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0.3</w:t>
            </w:r>
          </w:p>
        </w:tc>
        <w:tc>
          <w:tcPr>
            <w:tcW w:w="577" w:type="pct"/>
            <w:tcBorders>
              <w:bottom w:val="single" w:sz="4" w:space="0" w:color="365F91"/>
            </w:tcBorders>
            <w:shd w:val="clear" w:color="auto" w:fill="auto"/>
            <w:noWrap/>
          </w:tcPr>
          <w:p w14:paraId="48959AE5"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93.9</w:t>
            </w:r>
          </w:p>
        </w:tc>
      </w:tr>
      <w:tr w:rsidR="00DE64BC" w:rsidRPr="00256982" w14:paraId="7C7D56FC" w14:textId="77777777" w:rsidTr="009A0D25">
        <w:tc>
          <w:tcPr>
            <w:tcW w:w="553" w:type="pct"/>
            <w:tcBorders>
              <w:bottom w:val="single" w:sz="4" w:space="0" w:color="365F91"/>
            </w:tcBorders>
          </w:tcPr>
          <w:p w14:paraId="51E5ABA3" w14:textId="77777777" w:rsidR="00DE64BC" w:rsidRPr="00256982" w:rsidRDefault="00DE64BC" w:rsidP="00A808C7">
            <w:pPr>
              <w:pStyle w:val="TableText"/>
              <w:spacing w:before="50" w:after="50"/>
              <w:rPr>
                <w:rFonts w:cs="Arial"/>
                <w:szCs w:val="16"/>
              </w:rPr>
            </w:pPr>
            <w:r w:rsidRPr="00256982">
              <w:rPr>
                <w:rFonts w:cs="Arial"/>
                <w:color w:val="000000"/>
                <w:szCs w:val="16"/>
              </w:rPr>
              <w:t>2.A.1</w:t>
            </w:r>
          </w:p>
        </w:tc>
        <w:tc>
          <w:tcPr>
            <w:tcW w:w="1209" w:type="pct"/>
            <w:tcBorders>
              <w:bottom w:val="single" w:sz="4" w:space="0" w:color="365F91"/>
            </w:tcBorders>
            <w:shd w:val="clear" w:color="auto" w:fill="auto"/>
            <w:noWrap/>
          </w:tcPr>
          <w:p w14:paraId="72F67483" w14:textId="77777777" w:rsidR="00DE64BC" w:rsidRPr="00256982" w:rsidRDefault="00DE64BC" w:rsidP="00A808C7">
            <w:pPr>
              <w:pStyle w:val="TableText"/>
              <w:spacing w:before="50" w:after="50"/>
              <w:rPr>
                <w:rFonts w:cs="Arial"/>
                <w:szCs w:val="16"/>
              </w:rPr>
            </w:pPr>
            <w:r w:rsidRPr="00256982">
              <w:rPr>
                <w:rFonts w:cs="Arial"/>
                <w:color w:val="000000"/>
                <w:szCs w:val="16"/>
              </w:rPr>
              <w:t>Mineral Industry – Cement Production</w:t>
            </w:r>
          </w:p>
        </w:tc>
        <w:tc>
          <w:tcPr>
            <w:tcW w:w="372" w:type="pct"/>
            <w:tcBorders>
              <w:bottom w:val="single" w:sz="4" w:space="0" w:color="365F91"/>
            </w:tcBorders>
            <w:shd w:val="clear" w:color="auto" w:fill="auto"/>
            <w:noWrap/>
          </w:tcPr>
          <w:p w14:paraId="73E0BFCC" w14:textId="77777777" w:rsidR="00DE64BC" w:rsidRPr="00256982" w:rsidRDefault="00DE64BC" w:rsidP="00A808C7">
            <w:pPr>
              <w:pStyle w:val="TableText"/>
              <w:spacing w:before="50" w:after="50"/>
              <w:jc w:val="center"/>
              <w:rPr>
                <w:rFonts w:cs="Arial"/>
                <w:szCs w:val="16"/>
              </w:rPr>
            </w:pPr>
            <w:r w:rsidRPr="00256982">
              <w:rPr>
                <w:rFonts w:cs="Arial"/>
                <w:color w:val="000000"/>
                <w:szCs w:val="16"/>
              </w:rPr>
              <w:t>CO</w:t>
            </w:r>
            <w:r w:rsidRPr="00256982">
              <w:rPr>
                <w:rFonts w:cs="Arial"/>
                <w:color w:val="000000"/>
                <w:szCs w:val="16"/>
                <w:vertAlign w:val="subscript"/>
              </w:rPr>
              <w:t>2</w:t>
            </w:r>
          </w:p>
        </w:tc>
        <w:tc>
          <w:tcPr>
            <w:tcW w:w="529" w:type="pct"/>
            <w:tcBorders>
              <w:bottom w:val="single" w:sz="4" w:space="0" w:color="365F91"/>
            </w:tcBorders>
            <w:shd w:val="clear" w:color="auto" w:fill="auto"/>
            <w:noWrap/>
          </w:tcPr>
          <w:p w14:paraId="102AD8D8"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448.7</w:t>
            </w:r>
          </w:p>
        </w:tc>
        <w:tc>
          <w:tcPr>
            <w:tcW w:w="510" w:type="pct"/>
            <w:tcBorders>
              <w:bottom w:val="single" w:sz="4" w:space="0" w:color="365F91"/>
            </w:tcBorders>
            <w:shd w:val="clear" w:color="auto" w:fill="auto"/>
            <w:noWrap/>
          </w:tcPr>
          <w:p w14:paraId="56CD80F4"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443.8</w:t>
            </w:r>
          </w:p>
        </w:tc>
        <w:tc>
          <w:tcPr>
            <w:tcW w:w="617" w:type="pct"/>
            <w:tcBorders>
              <w:bottom w:val="single" w:sz="4" w:space="0" w:color="365F91"/>
            </w:tcBorders>
            <w:shd w:val="clear" w:color="auto" w:fill="auto"/>
            <w:noWrap/>
          </w:tcPr>
          <w:p w14:paraId="24D8EA1B"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0.001</w:t>
            </w:r>
          </w:p>
        </w:tc>
        <w:tc>
          <w:tcPr>
            <w:tcW w:w="633" w:type="pct"/>
            <w:tcBorders>
              <w:bottom w:val="single" w:sz="4" w:space="0" w:color="365F91"/>
            </w:tcBorders>
            <w:shd w:val="clear" w:color="auto" w:fill="auto"/>
            <w:noWrap/>
          </w:tcPr>
          <w:p w14:paraId="3099E301"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0.3</w:t>
            </w:r>
          </w:p>
        </w:tc>
        <w:tc>
          <w:tcPr>
            <w:tcW w:w="577" w:type="pct"/>
            <w:tcBorders>
              <w:bottom w:val="single" w:sz="4" w:space="0" w:color="365F91"/>
            </w:tcBorders>
            <w:shd w:val="clear" w:color="auto" w:fill="auto"/>
            <w:noWrap/>
          </w:tcPr>
          <w:p w14:paraId="1AA664FF"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94.2</w:t>
            </w:r>
          </w:p>
        </w:tc>
      </w:tr>
      <w:tr w:rsidR="00DE64BC" w:rsidRPr="00256982" w14:paraId="6B6E42F2" w14:textId="77777777" w:rsidTr="009A0D25">
        <w:tc>
          <w:tcPr>
            <w:tcW w:w="553" w:type="pct"/>
            <w:tcBorders>
              <w:bottom w:val="single" w:sz="4" w:space="0" w:color="365F91"/>
            </w:tcBorders>
          </w:tcPr>
          <w:p w14:paraId="6F7F0545" w14:textId="77777777" w:rsidR="00DE64BC" w:rsidRPr="00256982" w:rsidRDefault="00DE64BC" w:rsidP="00A808C7">
            <w:pPr>
              <w:pStyle w:val="TableText"/>
              <w:spacing w:before="50" w:after="50"/>
              <w:rPr>
                <w:rFonts w:cs="Arial"/>
                <w:szCs w:val="16"/>
              </w:rPr>
            </w:pPr>
            <w:r w:rsidRPr="00256982">
              <w:rPr>
                <w:rFonts w:cs="Arial"/>
                <w:color w:val="000000"/>
                <w:szCs w:val="16"/>
              </w:rPr>
              <w:t>1.B.2.d</w:t>
            </w:r>
          </w:p>
        </w:tc>
        <w:tc>
          <w:tcPr>
            <w:tcW w:w="1209" w:type="pct"/>
            <w:tcBorders>
              <w:bottom w:val="single" w:sz="4" w:space="0" w:color="365F91"/>
            </w:tcBorders>
            <w:shd w:val="clear" w:color="auto" w:fill="auto"/>
            <w:noWrap/>
          </w:tcPr>
          <w:p w14:paraId="76FA0E7E" w14:textId="77777777" w:rsidR="00DE64BC" w:rsidRPr="00256982" w:rsidRDefault="00DE64BC" w:rsidP="00A808C7">
            <w:pPr>
              <w:pStyle w:val="TableText"/>
              <w:spacing w:before="50" w:after="50"/>
              <w:rPr>
                <w:rFonts w:cs="Arial"/>
                <w:szCs w:val="16"/>
              </w:rPr>
            </w:pPr>
            <w:r w:rsidRPr="00256982">
              <w:rPr>
                <w:rFonts w:cs="Arial"/>
                <w:color w:val="000000"/>
                <w:szCs w:val="16"/>
              </w:rPr>
              <w:t>Other (please specify) – Geothermal</w:t>
            </w:r>
          </w:p>
        </w:tc>
        <w:tc>
          <w:tcPr>
            <w:tcW w:w="372" w:type="pct"/>
            <w:tcBorders>
              <w:bottom w:val="single" w:sz="4" w:space="0" w:color="365F91"/>
            </w:tcBorders>
            <w:shd w:val="clear" w:color="auto" w:fill="auto"/>
            <w:noWrap/>
          </w:tcPr>
          <w:p w14:paraId="720ADD4C" w14:textId="77777777" w:rsidR="00DE64BC" w:rsidRPr="00256982" w:rsidRDefault="00DE64BC" w:rsidP="00A808C7">
            <w:pPr>
              <w:pStyle w:val="TableText"/>
              <w:spacing w:before="50" w:after="50"/>
              <w:jc w:val="center"/>
              <w:rPr>
                <w:rFonts w:cs="Arial"/>
                <w:szCs w:val="16"/>
              </w:rPr>
            </w:pPr>
            <w:r w:rsidRPr="00256982">
              <w:rPr>
                <w:rFonts w:cs="Arial"/>
                <w:color w:val="000000"/>
                <w:szCs w:val="16"/>
              </w:rPr>
              <w:t>CH</w:t>
            </w:r>
            <w:r w:rsidRPr="00256982">
              <w:rPr>
                <w:rFonts w:cs="Arial"/>
                <w:color w:val="000000"/>
                <w:szCs w:val="16"/>
                <w:vertAlign w:val="subscript"/>
              </w:rPr>
              <w:t>4</w:t>
            </w:r>
          </w:p>
        </w:tc>
        <w:tc>
          <w:tcPr>
            <w:tcW w:w="529" w:type="pct"/>
            <w:tcBorders>
              <w:bottom w:val="single" w:sz="4" w:space="0" w:color="365F91"/>
            </w:tcBorders>
            <w:shd w:val="clear" w:color="auto" w:fill="auto"/>
            <w:noWrap/>
          </w:tcPr>
          <w:p w14:paraId="25D8B19C"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54.8</w:t>
            </w:r>
          </w:p>
        </w:tc>
        <w:tc>
          <w:tcPr>
            <w:tcW w:w="510" w:type="pct"/>
            <w:tcBorders>
              <w:bottom w:val="single" w:sz="4" w:space="0" w:color="365F91"/>
            </w:tcBorders>
            <w:shd w:val="clear" w:color="auto" w:fill="auto"/>
            <w:noWrap/>
          </w:tcPr>
          <w:p w14:paraId="05227109"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171.5</w:t>
            </w:r>
          </w:p>
        </w:tc>
        <w:tc>
          <w:tcPr>
            <w:tcW w:w="617" w:type="pct"/>
            <w:tcBorders>
              <w:bottom w:val="single" w:sz="4" w:space="0" w:color="365F91"/>
            </w:tcBorders>
            <w:shd w:val="clear" w:color="auto" w:fill="auto"/>
            <w:noWrap/>
          </w:tcPr>
          <w:p w14:paraId="15572510"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0.001</w:t>
            </w:r>
          </w:p>
        </w:tc>
        <w:tc>
          <w:tcPr>
            <w:tcW w:w="633" w:type="pct"/>
            <w:tcBorders>
              <w:bottom w:val="single" w:sz="4" w:space="0" w:color="365F91"/>
            </w:tcBorders>
            <w:shd w:val="clear" w:color="auto" w:fill="auto"/>
            <w:noWrap/>
          </w:tcPr>
          <w:p w14:paraId="4B359288"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0.3</w:t>
            </w:r>
          </w:p>
        </w:tc>
        <w:tc>
          <w:tcPr>
            <w:tcW w:w="577" w:type="pct"/>
            <w:tcBorders>
              <w:bottom w:val="single" w:sz="4" w:space="0" w:color="365F91"/>
            </w:tcBorders>
            <w:shd w:val="clear" w:color="auto" w:fill="auto"/>
            <w:noWrap/>
          </w:tcPr>
          <w:p w14:paraId="61433C54"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94.5</w:t>
            </w:r>
          </w:p>
        </w:tc>
      </w:tr>
      <w:tr w:rsidR="00DE64BC" w:rsidRPr="00256982" w14:paraId="185209C4" w14:textId="77777777" w:rsidTr="009A0D25">
        <w:tc>
          <w:tcPr>
            <w:tcW w:w="553" w:type="pct"/>
          </w:tcPr>
          <w:p w14:paraId="000B355B" w14:textId="77777777" w:rsidR="00DE64BC" w:rsidRPr="00256982" w:rsidRDefault="00DE64BC" w:rsidP="00A808C7">
            <w:pPr>
              <w:pStyle w:val="TableText"/>
              <w:spacing w:before="50" w:after="50"/>
              <w:rPr>
                <w:rFonts w:cs="Arial"/>
                <w:szCs w:val="16"/>
              </w:rPr>
            </w:pPr>
            <w:r w:rsidRPr="00256982">
              <w:rPr>
                <w:rFonts w:cs="Arial"/>
                <w:color w:val="000000"/>
                <w:szCs w:val="16"/>
              </w:rPr>
              <w:t>2.F.4</w:t>
            </w:r>
          </w:p>
        </w:tc>
        <w:tc>
          <w:tcPr>
            <w:tcW w:w="1209" w:type="pct"/>
            <w:shd w:val="clear" w:color="auto" w:fill="auto"/>
            <w:noWrap/>
          </w:tcPr>
          <w:p w14:paraId="490A85DA" w14:textId="77777777" w:rsidR="00DE64BC" w:rsidRPr="00256982" w:rsidRDefault="00DE64BC" w:rsidP="00A808C7">
            <w:pPr>
              <w:pStyle w:val="TableText"/>
              <w:spacing w:before="50" w:after="50"/>
              <w:rPr>
                <w:rFonts w:cs="Arial"/>
                <w:szCs w:val="16"/>
              </w:rPr>
            </w:pPr>
            <w:r w:rsidRPr="00256982">
              <w:rPr>
                <w:rFonts w:cs="Arial"/>
                <w:color w:val="000000"/>
                <w:szCs w:val="16"/>
              </w:rPr>
              <w:t>Product Uses as Substitutes for ODS – Aerosols</w:t>
            </w:r>
          </w:p>
        </w:tc>
        <w:tc>
          <w:tcPr>
            <w:tcW w:w="372" w:type="pct"/>
            <w:shd w:val="clear" w:color="auto" w:fill="auto"/>
            <w:noWrap/>
            <w:tcMar>
              <w:left w:w="0" w:type="dxa"/>
              <w:right w:w="0" w:type="dxa"/>
            </w:tcMar>
          </w:tcPr>
          <w:p w14:paraId="33BDD2F7" w14:textId="77777777" w:rsidR="00DE64BC" w:rsidRPr="00256982" w:rsidRDefault="00DE64BC" w:rsidP="00A808C7">
            <w:pPr>
              <w:pStyle w:val="TableText"/>
              <w:spacing w:before="50" w:after="50"/>
              <w:jc w:val="center"/>
              <w:rPr>
                <w:rFonts w:cs="Arial"/>
                <w:szCs w:val="16"/>
              </w:rPr>
            </w:pPr>
            <w:r w:rsidRPr="00256982">
              <w:rPr>
                <w:rFonts w:cs="Arial"/>
                <w:color w:val="000000"/>
                <w:szCs w:val="16"/>
              </w:rPr>
              <w:t>HFCs</w:t>
            </w:r>
          </w:p>
        </w:tc>
        <w:tc>
          <w:tcPr>
            <w:tcW w:w="529" w:type="pct"/>
            <w:shd w:val="clear" w:color="auto" w:fill="auto"/>
            <w:noWrap/>
          </w:tcPr>
          <w:p w14:paraId="14531BE2"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0.0</w:t>
            </w:r>
          </w:p>
        </w:tc>
        <w:tc>
          <w:tcPr>
            <w:tcW w:w="510" w:type="pct"/>
            <w:shd w:val="clear" w:color="auto" w:fill="auto"/>
            <w:noWrap/>
          </w:tcPr>
          <w:p w14:paraId="536171E3"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96.5</w:t>
            </w:r>
          </w:p>
        </w:tc>
        <w:tc>
          <w:tcPr>
            <w:tcW w:w="617" w:type="pct"/>
            <w:shd w:val="clear" w:color="auto" w:fill="auto"/>
            <w:noWrap/>
          </w:tcPr>
          <w:p w14:paraId="5C5AE190"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0.001</w:t>
            </w:r>
          </w:p>
        </w:tc>
        <w:tc>
          <w:tcPr>
            <w:tcW w:w="633" w:type="pct"/>
            <w:shd w:val="clear" w:color="auto" w:fill="auto"/>
            <w:noWrap/>
          </w:tcPr>
          <w:p w14:paraId="258C31D2"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0.2</w:t>
            </w:r>
          </w:p>
        </w:tc>
        <w:tc>
          <w:tcPr>
            <w:tcW w:w="577" w:type="pct"/>
            <w:shd w:val="clear" w:color="auto" w:fill="auto"/>
            <w:noWrap/>
          </w:tcPr>
          <w:p w14:paraId="0E601D55"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94.7</w:t>
            </w:r>
          </w:p>
        </w:tc>
      </w:tr>
      <w:tr w:rsidR="00DE64BC" w:rsidRPr="00256982" w14:paraId="3116C103" w14:textId="77777777" w:rsidTr="009A0D25">
        <w:tc>
          <w:tcPr>
            <w:tcW w:w="553" w:type="pct"/>
          </w:tcPr>
          <w:p w14:paraId="1E4D6D69" w14:textId="77777777" w:rsidR="00DE64BC" w:rsidRPr="00256982" w:rsidRDefault="00DE64BC" w:rsidP="00A808C7">
            <w:pPr>
              <w:pStyle w:val="TableText"/>
              <w:spacing w:before="50" w:after="50"/>
              <w:rPr>
                <w:rFonts w:cs="Arial"/>
                <w:szCs w:val="16"/>
              </w:rPr>
            </w:pPr>
            <w:r w:rsidRPr="00256982">
              <w:rPr>
                <w:rFonts w:cs="Arial"/>
                <w:color w:val="000000"/>
                <w:szCs w:val="16"/>
              </w:rPr>
              <w:t>1.A.4.a</w:t>
            </w:r>
          </w:p>
        </w:tc>
        <w:tc>
          <w:tcPr>
            <w:tcW w:w="1209" w:type="pct"/>
            <w:shd w:val="clear" w:color="auto" w:fill="auto"/>
            <w:noWrap/>
          </w:tcPr>
          <w:p w14:paraId="1B6B1A61" w14:textId="77777777" w:rsidR="00DE64BC" w:rsidRPr="00256982" w:rsidRDefault="00DE64BC" w:rsidP="00A808C7">
            <w:pPr>
              <w:pStyle w:val="TableText"/>
              <w:spacing w:before="50" w:after="50"/>
              <w:rPr>
                <w:rFonts w:cs="Arial"/>
                <w:szCs w:val="16"/>
              </w:rPr>
            </w:pPr>
            <w:r w:rsidRPr="00256982">
              <w:rPr>
                <w:rFonts w:cs="Arial"/>
                <w:color w:val="000000"/>
                <w:szCs w:val="16"/>
              </w:rPr>
              <w:t>Other Sectors – Commercial/Institutional Liquid Fuels</w:t>
            </w:r>
          </w:p>
        </w:tc>
        <w:tc>
          <w:tcPr>
            <w:tcW w:w="372" w:type="pct"/>
            <w:shd w:val="clear" w:color="auto" w:fill="auto"/>
            <w:noWrap/>
          </w:tcPr>
          <w:p w14:paraId="76DFCEC8" w14:textId="77777777" w:rsidR="00DE64BC" w:rsidRPr="00256982" w:rsidRDefault="00DE64BC" w:rsidP="00A808C7">
            <w:pPr>
              <w:pStyle w:val="TableText"/>
              <w:spacing w:before="50" w:after="50"/>
              <w:jc w:val="center"/>
              <w:rPr>
                <w:rFonts w:cs="Arial"/>
                <w:szCs w:val="16"/>
              </w:rPr>
            </w:pPr>
            <w:r w:rsidRPr="00256982">
              <w:rPr>
                <w:rFonts w:cs="Arial"/>
                <w:color w:val="000000"/>
                <w:szCs w:val="16"/>
              </w:rPr>
              <w:t>CO</w:t>
            </w:r>
            <w:r w:rsidRPr="00256982">
              <w:rPr>
                <w:rFonts w:cs="Arial"/>
                <w:color w:val="000000"/>
                <w:szCs w:val="16"/>
                <w:vertAlign w:val="subscript"/>
              </w:rPr>
              <w:t>2</w:t>
            </w:r>
          </w:p>
        </w:tc>
        <w:tc>
          <w:tcPr>
            <w:tcW w:w="529" w:type="pct"/>
            <w:shd w:val="clear" w:color="auto" w:fill="auto"/>
            <w:noWrap/>
          </w:tcPr>
          <w:p w14:paraId="030CBCCE"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500.6</w:t>
            </w:r>
          </w:p>
        </w:tc>
        <w:tc>
          <w:tcPr>
            <w:tcW w:w="510" w:type="pct"/>
            <w:shd w:val="clear" w:color="auto" w:fill="auto"/>
            <w:noWrap/>
          </w:tcPr>
          <w:p w14:paraId="1AB3DEEA"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530.8</w:t>
            </w:r>
          </w:p>
        </w:tc>
        <w:tc>
          <w:tcPr>
            <w:tcW w:w="617" w:type="pct"/>
            <w:shd w:val="clear" w:color="auto" w:fill="auto"/>
            <w:noWrap/>
          </w:tcPr>
          <w:p w14:paraId="017B73B5"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0.001</w:t>
            </w:r>
          </w:p>
        </w:tc>
        <w:tc>
          <w:tcPr>
            <w:tcW w:w="633" w:type="pct"/>
            <w:shd w:val="clear" w:color="auto" w:fill="auto"/>
            <w:noWrap/>
          </w:tcPr>
          <w:p w14:paraId="78128FD0"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0.2</w:t>
            </w:r>
          </w:p>
        </w:tc>
        <w:tc>
          <w:tcPr>
            <w:tcW w:w="577" w:type="pct"/>
            <w:shd w:val="clear" w:color="auto" w:fill="auto"/>
            <w:noWrap/>
          </w:tcPr>
          <w:p w14:paraId="7B240D14"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94.9</w:t>
            </w:r>
          </w:p>
        </w:tc>
      </w:tr>
      <w:tr w:rsidR="00DE64BC" w:rsidRPr="00256982" w14:paraId="33267B23" w14:textId="77777777" w:rsidTr="009A0D25">
        <w:tc>
          <w:tcPr>
            <w:tcW w:w="553" w:type="pct"/>
          </w:tcPr>
          <w:p w14:paraId="50F75699" w14:textId="77777777" w:rsidR="00DE64BC" w:rsidRPr="00256982" w:rsidRDefault="00DE64BC" w:rsidP="00A808C7">
            <w:pPr>
              <w:pStyle w:val="TableText"/>
              <w:spacing w:before="50" w:after="50"/>
              <w:rPr>
                <w:rFonts w:cs="Arial"/>
                <w:szCs w:val="16"/>
              </w:rPr>
            </w:pPr>
            <w:r w:rsidRPr="00256982">
              <w:rPr>
                <w:rFonts w:cs="Arial"/>
                <w:color w:val="000000"/>
                <w:szCs w:val="16"/>
              </w:rPr>
              <w:t>1.A.4.a</w:t>
            </w:r>
          </w:p>
        </w:tc>
        <w:tc>
          <w:tcPr>
            <w:tcW w:w="1209" w:type="pct"/>
            <w:shd w:val="clear" w:color="auto" w:fill="auto"/>
            <w:noWrap/>
          </w:tcPr>
          <w:p w14:paraId="3BC20280" w14:textId="77777777" w:rsidR="00DE64BC" w:rsidRPr="00256982" w:rsidRDefault="00DE64BC" w:rsidP="00A808C7">
            <w:pPr>
              <w:pStyle w:val="TableText"/>
              <w:spacing w:before="50" w:after="50"/>
              <w:rPr>
                <w:rFonts w:cs="Arial"/>
                <w:szCs w:val="16"/>
              </w:rPr>
            </w:pPr>
            <w:r w:rsidRPr="00256982">
              <w:rPr>
                <w:rFonts w:cs="Arial"/>
                <w:color w:val="000000"/>
                <w:szCs w:val="16"/>
              </w:rPr>
              <w:t>Other Sectors – Commercial/Institutional Solid Fuels</w:t>
            </w:r>
          </w:p>
        </w:tc>
        <w:tc>
          <w:tcPr>
            <w:tcW w:w="372" w:type="pct"/>
            <w:shd w:val="clear" w:color="auto" w:fill="auto"/>
            <w:noWrap/>
          </w:tcPr>
          <w:p w14:paraId="1CE6B6F4" w14:textId="77777777" w:rsidR="00DE64BC" w:rsidRPr="00256982" w:rsidRDefault="00DE64BC" w:rsidP="00A808C7">
            <w:pPr>
              <w:pStyle w:val="TableText"/>
              <w:spacing w:before="50" w:after="50"/>
              <w:jc w:val="center"/>
              <w:rPr>
                <w:rFonts w:cs="Arial"/>
                <w:szCs w:val="16"/>
              </w:rPr>
            </w:pPr>
            <w:r w:rsidRPr="00256982">
              <w:rPr>
                <w:rFonts w:cs="Arial"/>
                <w:color w:val="000000"/>
                <w:szCs w:val="16"/>
              </w:rPr>
              <w:t>CO</w:t>
            </w:r>
            <w:r w:rsidRPr="00256982">
              <w:rPr>
                <w:rFonts w:cs="Arial"/>
                <w:color w:val="000000"/>
                <w:szCs w:val="16"/>
                <w:vertAlign w:val="subscript"/>
              </w:rPr>
              <w:t>2</w:t>
            </w:r>
          </w:p>
        </w:tc>
        <w:tc>
          <w:tcPr>
            <w:tcW w:w="529" w:type="pct"/>
            <w:shd w:val="clear" w:color="auto" w:fill="auto"/>
            <w:noWrap/>
          </w:tcPr>
          <w:p w14:paraId="5A0568EF"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142.2</w:t>
            </w:r>
          </w:p>
        </w:tc>
        <w:tc>
          <w:tcPr>
            <w:tcW w:w="510" w:type="pct"/>
            <w:shd w:val="clear" w:color="auto" w:fill="auto"/>
            <w:noWrap/>
          </w:tcPr>
          <w:p w14:paraId="1C977ECE"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92.4</w:t>
            </w:r>
          </w:p>
        </w:tc>
        <w:tc>
          <w:tcPr>
            <w:tcW w:w="617" w:type="pct"/>
            <w:shd w:val="clear" w:color="auto" w:fill="auto"/>
            <w:noWrap/>
          </w:tcPr>
          <w:p w14:paraId="7AE8607A"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0.001</w:t>
            </w:r>
          </w:p>
        </w:tc>
        <w:tc>
          <w:tcPr>
            <w:tcW w:w="633" w:type="pct"/>
            <w:shd w:val="clear" w:color="auto" w:fill="auto"/>
            <w:noWrap/>
          </w:tcPr>
          <w:p w14:paraId="3FCA18A3"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0.2</w:t>
            </w:r>
          </w:p>
        </w:tc>
        <w:tc>
          <w:tcPr>
            <w:tcW w:w="577" w:type="pct"/>
            <w:shd w:val="clear" w:color="auto" w:fill="auto"/>
            <w:noWrap/>
          </w:tcPr>
          <w:p w14:paraId="472009D8" w14:textId="77777777" w:rsidR="00DE64BC" w:rsidRPr="00256982" w:rsidRDefault="00DE64BC" w:rsidP="00A808C7">
            <w:pPr>
              <w:pStyle w:val="TableText"/>
              <w:spacing w:before="50" w:after="50"/>
              <w:jc w:val="right"/>
              <w:rPr>
                <w:rFonts w:cs="Arial"/>
                <w:szCs w:val="16"/>
              </w:rPr>
            </w:pPr>
            <w:r w:rsidRPr="00256982">
              <w:rPr>
                <w:rFonts w:cs="Arial"/>
                <w:color w:val="000000"/>
                <w:szCs w:val="16"/>
              </w:rPr>
              <w:t>95.1</w:t>
            </w:r>
          </w:p>
        </w:tc>
      </w:tr>
    </w:tbl>
    <w:p w14:paraId="664EB51F" w14:textId="77777777" w:rsidR="00DE64BC" w:rsidRPr="00256982" w:rsidRDefault="00DE64BC" w:rsidP="00A808C7">
      <w:pPr>
        <w:pStyle w:val="Noteundertable"/>
        <w:ind w:left="567" w:hanging="567"/>
      </w:pPr>
      <w:r w:rsidRPr="00256982">
        <w:rPr>
          <w:b/>
        </w:rPr>
        <w:t>Note</w:t>
      </w:r>
      <w:r w:rsidRPr="00256982">
        <w:t xml:space="preserve">: </w:t>
      </w:r>
      <w:r w:rsidRPr="00256982">
        <w:tab/>
        <w:t>Removals from the LULUCF sector are shown as negatives in this table. The absolute values for those removals were used for the calculations.</w:t>
      </w:r>
    </w:p>
    <w:p w14:paraId="74874412" w14:textId="77777777" w:rsidR="00DE64BC" w:rsidRPr="00256982" w:rsidRDefault="00DE64BC" w:rsidP="001D3490">
      <w:pPr>
        <w:pStyle w:val="Heading3"/>
      </w:pPr>
      <w:r w:rsidRPr="00256982">
        <w:t xml:space="preserve">1.5.2 </w:t>
      </w:r>
      <w:r w:rsidRPr="00256982">
        <w:tab/>
        <w:t>LULUCF activities under the Kyoto Protocol</w:t>
      </w:r>
    </w:p>
    <w:p w14:paraId="044B5044" w14:textId="77777777" w:rsidR="00DE64BC" w:rsidRPr="00256982" w:rsidRDefault="00DE64BC" w:rsidP="00A808C7">
      <w:pPr>
        <w:pStyle w:val="BodyText"/>
        <w:keepLines/>
      </w:pPr>
      <w:r w:rsidRPr="00256982">
        <w:t xml:space="preserve">Key categories under the Kyoto Protocol are identified by looking at the assessment of similar categories within the LULUCF sector as reported under the Convention. In 2017, </w:t>
      </w:r>
      <w:r w:rsidRPr="00256982">
        <w:rPr>
          <w:i/>
        </w:rPr>
        <w:t>Afforestation and reforestation</w:t>
      </w:r>
      <w:r w:rsidRPr="00256982">
        <w:t xml:space="preserve">, </w:t>
      </w:r>
      <w:r w:rsidRPr="00256982">
        <w:rPr>
          <w:i/>
        </w:rPr>
        <w:t>Deforestation</w:t>
      </w:r>
      <w:r w:rsidRPr="00256982">
        <w:t xml:space="preserve"> and </w:t>
      </w:r>
      <w:r w:rsidRPr="00256982">
        <w:rPr>
          <w:i/>
        </w:rPr>
        <w:t>Forest management</w:t>
      </w:r>
      <w:r w:rsidRPr="00256982">
        <w:t xml:space="preserve"> were all identified as key categories in both the level and trend assessment.</w:t>
      </w:r>
    </w:p>
    <w:p w14:paraId="5852FF91" w14:textId="77777777" w:rsidR="00DE64BC" w:rsidRPr="00256982" w:rsidRDefault="00DE64BC" w:rsidP="00A808C7">
      <w:pPr>
        <w:pStyle w:val="Table"/>
      </w:pPr>
      <w:bookmarkStart w:id="146" w:name="_Toc5269439"/>
      <w:r w:rsidRPr="00256982">
        <w:t xml:space="preserve">Table 1.5.4 </w:t>
      </w:r>
      <w:r w:rsidRPr="00256982">
        <w:tab/>
        <w:t>Key categories under the Kyoto Protocol and corresponding categories under the Convention</w:t>
      </w:r>
      <w:bookmarkEnd w:id="146"/>
      <w:r w:rsidRPr="00256982">
        <w:t xml:space="preserve"> </w:t>
      </w:r>
    </w:p>
    <w:tbl>
      <w:tblPr>
        <w:tblW w:w="8562" w:type="dxa"/>
        <w:tblInd w:w="108" w:type="dxa"/>
        <w:tblBorders>
          <w:bottom w:val="single" w:sz="8" w:space="0" w:color="365F91"/>
          <w:insideH w:val="single" w:sz="8" w:space="0" w:color="365F91"/>
        </w:tblBorders>
        <w:tblLook w:val="04A0" w:firstRow="1" w:lastRow="0" w:firstColumn="1" w:lastColumn="0" w:noHBand="0" w:noVBand="1"/>
      </w:tblPr>
      <w:tblGrid>
        <w:gridCol w:w="3974"/>
        <w:gridCol w:w="4588"/>
      </w:tblGrid>
      <w:tr w:rsidR="00DE64BC" w:rsidRPr="00256982" w14:paraId="3DC98F52" w14:textId="77777777" w:rsidTr="00A808C7">
        <w:trPr>
          <w:tblHeader/>
        </w:trPr>
        <w:tc>
          <w:tcPr>
            <w:tcW w:w="3737" w:type="dxa"/>
            <w:tcBorders>
              <w:top w:val="single" w:sz="4" w:space="0" w:color="365F91"/>
              <w:left w:val="nil"/>
              <w:bottom w:val="single" w:sz="4" w:space="0" w:color="365F91"/>
              <w:right w:val="nil"/>
              <w:tl2br w:val="nil"/>
              <w:tr2bl w:val="nil"/>
            </w:tcBorders>
            <w:shd w:val="clear" w:color="365F91" w:fill="365F91"/>
          </w:tcPr>
          <w:p w14:paraId="032346BB" w14:textId="77777777" w:rsidR="00DE64BC" w:rsidRPr="00256982" w:rsidRDefault="00DE64BC" w:rsidP="00A808C7">
            <w:pPr>
              <w:pStyle w:val="TableTextBold"/>
              <w:keepNext/>
              <w:rPr>
                <w:noProof w:val="0"/>
                <w:color w:val="FFFFFF"/>
              </w:rPr>
            </w:pPr>
            <w:r w:rsidRPr="00256982">
              <w:rPr>
                <w:noProof w:val="0"/>
                <w:color w:val="FFFFFF"/>
              </w:rPr>
              <w:t>Category as reported under the Convention</w:t>
            </w:r>
          </w:p>
        </w:tc>
        <w:tc>
          <w:tcPr>
            <w:tcW w:w="4314" w:type="dxa"/>
            <w:tcBorders>
              <w:top w:val="single" w:sz="4" w:space="0" w:color="365F91"/>
              <w:left w:val="nil"/>
              <w:bottom w:val="single" w:sz="4" w:space="0" w:color="365F91"/>
              <w:right w:val="nil"/>
              <w:tl2br w:val="nil"/>
              <w:tr2bl w:val="nil"/>
            </w:tcBorders>
            <w:shd w:val="clear" w:color="365F91" w:fill="365F91"/>
          </w:tcPr>
          <w:p w14:paraId="7B5D1A5E" w14:textId="77777777" w:rsidR="00DE64BC" w:rsidRPr="00256982" w:rsidRDefault="00DE64BC" w:rsidP="00A808C7">
            <w:pPr>
              <w:pStyle w:val="TableTextBold"/>
              <w:keepNext/>
              <w:rPr>
                <w:noProof w:val="0"/>
                <w:color w:val="FFFFFF"/>
              </w:rPr>
            </w:pPr>
            <w:r w:rsidRPr="00256982">
              <w:rPr>
                <w:noProof w:val="0"/>
                <w:color w:val="FFFFFF"/>
              </w:rPr>
              <w:t>Article 3.3 and 3.4 activities under the Kyoto Protocol</w:t>
            </w:r>
          </w:p>
        </w:tc>
      </w:tr>
      <w:tr w:rsidR="00DE64BC" w:rsidRPr="00256982" w14:paraId="7741BEB0" w14:textId="77777777" w:rsidTr="00A808C7">
        <w:tc>
          <w:tcPr>
            <w:tcW w:w="3737" w:type="dxa"/>
            <w:tcBorders>
              <w:top w:val="single" w:sz="4" w:space="0" w:color="365F91"/>
              <w:bottom w:val="single" w:sz="4" w:space="0" w:color="365F91"/>
            </w:tcBorders>
            <w:shd w:val="clear" w:color="auto" w:fill="auto"/>
          </w:tcPr>
          <w:p w14:paraId="788C216A" w14:textId="77777777" w:rsidR="00DE64BC" w:rsidRPr="00256982" w:rsidRDefault="00DE64BC" w:rsidP="00A808C7">
            <w:pPr>
              <w:pStyle w:val="TableText"/>
            </w:pPr>
            <w:r w:rsidRPr="00256982">
              <w:t>Land Converted to Forest Land</w:t>
            </w:r>
          </w:p>
        </w:tc>
        <w:tc>
          <w:tcPr>
            <w:tcW w:w="4314" w:type="dxa"/>
            <w:tcBorders>
              <w:top w:val="single" w:sz="4" w:space="0" w:color="365F91"/>
              <w:bottom w:val="single" w:sz="4" w:space="0" w:color="365F91"/>
            </w:tcBorders>
            <w:shd w:val="clear" w:color="auto" w:fill="auto"/>
          </w:tcPr>
          <w:p w14:paraId="32EADD8A" w14:textId="77777777" w:rsidR="00DE64BC" w:rsidRPr="00256982" w:rsidRDefault="00DE64BC" w:rsidP="00A808C7">
            <w:pPr>
              <w:pStyle w:val="TableText"/>
            </w:pPr>
            <w:r w:rsidRPr="00256982">
              <w:t>Afforestation and reforestation</w:t>
            </w:r>
          </w:p>
        </w:tc>
      </w:tr>
      <w:tr w:rsidR="00DE64BC" w:rsidRPr="00256982" w14:paraId="5A3D26BA" w14:textId="77777777" w:rsidTr="00A808C7">
        <w:tc>
          <w:tcPr>
            <w:tcW w:w="3737" w:type="dxa"/>
            <w:tcBorders>
              <w:top w:val="single" w:sz="4" w:space="0" w:color="365F91"/>
              <w:bottom w:val="single" w:sz="4" w:space="0" w:color="365F91"/>
            </w:tcBorders>
            <w:shd w:val="clear" w:color="auto" w:fill="auto"/>
          </w:tcPr>
          <w:p w14:paraId="303D51B0" w14:textId="77777777" w:rsidR="00DE64BC" w:rsidRPr="00256982" w:rsidRDefault="00DE64BC" w:rsidP="00A808C7">
            <w:pPr>
              <w:pStyle w:val="TableText"/>
            </w:pPr>
            <w:r w:rsidRPr="00256982">
              <w:t xml:space="preserve">Land Converted to Grassland </w:t>
            </w:r>
          </w:p>
        </w:tc>
        <w:tc>
          <w:tcPr>
            <w:tcW w:w="4314" w:type="dxa"/>
            <w:tcBorders>
              <w:top w:val="single" w:sz="4" w:space="0" w:color="365F91"/>
              <w:bottom w:val="single" w:sz="4" w:space="0" w:color="365F91"/>
            </w:tcBorders>
            <w:shd w:val="clear" w:color="auto" w:fill="auto"/>
          </w:tcPr>
          <w:p w14:paraId="3B738835" w14:textId="77777777" w:rsidR="00DE64BC" w:rsidRPr="00256982" w:rsidRDefault="00DE64BC" w:rsidP="00A808C7">
            <w:pPr>
              <w:pStyle w:val="TableText"/>
            </w:pPr>
            <w:r w:rsidRPr="00256982">
              <w:t>Deforestation</w:t>
            </w:r>
          </w:p>
        </w:tc>
      </w:tr>
      <w:tr w:rsidR="00DE64BC" w:rsidRPr="00256982" w14:paraId="05E2499E" w14:textId="77777777" w:rsidTr="00A808C7">
        <w:tc>
          <w:tcPr>
            <w:tcW w:w="3737" w:type="dxa"/>
            <w:tcBorders>
              <w:top w:val="single" w:sz="4" w:space="0" w:color="365F91"/>
              <w:bottom w:val="single" w:sz="4" w:space="0" w:color="365F91"/>
            </w:tcBorders>
            <w:shd w:val="clear" w:color="auto" w:fill="auto"/>
          </w:tcPr>
          <w:p w14:paraId="7703A6BA" w14:textId="77777777" w:rsidR="00DE64BC" w:rsidRPr="00256982" w:rsidRDefault="00DE64BC" w:rsidP="00A808C7">
            <w:pPr>
              <w:pStyle w:val="TableText"/>
            </w:pPr>
            <w:r w:rsidRPr="00256982">
              <w:t>Forest Land Remaining Forest Land</w:t>
            </w:r>
          </w:p>
        </w:tc>
        <w:tc>
          <w:tcPr>
            <w:tcW w:w="4314" w:type="dxa"/>
            <w:tcBorders>
              <w:top w:val="single" w:sz="4" w:space="0" w:color="365F91"/>
              <w:bottom w:val="single" w:sz="4" w:space="0" w:color="365F91"/>
            </w:tcBorders>
            <w:shd w:val="clear" w:color="auto" w:fill="auto"/>
          </w:tcPr>
          <w:p w14:paraId="622022C2" w14:textId="77777777" w:rsidR="00DE64BC" w:rsidRPr="00256982" w:rsidRDefault="00DE64BC" w:rsidP="00A808C7">
            <w:pPr>
              <w:pStyle w:val="TableText"/>
            </w:pPr>
            <w:r w:rsidRPr="00256982">
              <w:t>Forest management</w:t>
            </w:r>
          </w:p>
        </w:tc>
      </w:tr>
    </w:tbl>
    <w:p w14:paraId="552EDD68" w14:textId="77777777" w:rsidR="00DE64BC" w:rsidRPr="00256982" w:rsidRDefault="00DE64BC" w:rsidP="006F0CF5">
      <w:pPr>
        <w:pStyle w:val="Heading2"/>
        <w:spacing w:before="480"/>
      </w:pPr>
      <w:bookmarkStart w:id="147" w:name="_Toc352504826"/>
      <w:bookmarkStart w:id="148" w:name="_Toc414531273"/>
      <w:bookmarkStart w:id="149" w:name="_Toc448321494"/>
      <w:bookmarkStart w:id="150" w:name="_Toc511116571"/>
      <w:bookmarkStart w:id="151" w:name="_Toc5269333"/>
      <w:r w:rsidRPr="00256982">
        <w:lastRenderedPageBreak/>
        <w:t>1.6</w:t>
      </w:r>
      <w:r w:rsidRPr="00256982">
        <w:tab/>
        <w:t>Inventory uncertainty</w:t>
      </w:r>
      <w:bookmarkEnd w:id="147"/>
      <w:bookmarkEnd w:id="148"/>
      <w:bookmarkEnd w:id="149"/>
      <w:bookmarkEnd w:id="150"/>
      <w:bookmarkEnd w:id="151"/>
    </w:p>
    <w:p w14:paraId="01F0C2AA" w14:textId="77777777" w:rsidR="00DE64BC" w:rsidRPr="00256982" w:rsidRDefault="00DE64BC" w:rsidP="006F0CF5">
      <w:pPr>
        <w:pStyle w:val="Heading3"/>
        <w:spacing w:before="240"/>
      </w:pPr>
      <w:r w:rsidRPr="00256982">
        <w:t>1.6.1</w:t>
      </w:r>
      <w:r w:rsidRPr="00256982">
        <w:tab/>
        <w:t xml:space="preserve">Reporting under the Convention </w:t>
      </w:r>
    </w:p>
    <w:p w14:paraId="0C68AC1B" w14:textId="77777777" w:rsidR="00DE64BC" w:rsidRPr="00256982" w:rsidRDefault="00DE64BC" w:rsidP="00A808C7">
      <w:pPr>
        <w:pStyle w:val="BodyText"/>
        <w:spacing w:before="100"/>
      </w:pPr>
      <w:r w:rsidRPr="00256982">
        <w:t>Uncertainty estimates are an essential element of a complete inventory. The purpose of uncertainty information is not to dispute the validity of the inventory estimates but to help prioritise efforts to improve the accuracy of inventories and guide decisions on methodological choice (IPCC, 2006b). Inventories prepared in accordance with the 2006 IPCC Guidelines will typically contain a wide range of emission estimates, varying from carefully measured and demonstrably complete data on emissions, to order-of-magnitude estimates for highly variable emissions such as N</w:t>
      </w:r>
      <w:r w:rsidRPr="00256982">
        <w:rPr>
          <w:vertAlign w:val="subscript"/>
        </w:rPr>
        <w:t>2</w:t>
      </w:r>
      <w:r w:rsidRPr="00256982">
        <w:t xml:space="preserve">O fluxes from soils and waterways (IPCC, 2006b). </w:t>
      </w:r>
    </w:p>
    <w:p w14:paraId="269F5211" w14:textId="77777777" w:rsidR="00DE64BC" w:rsidRPr="00256982" w:rsidRDefault="00DE64BC" w:rsidP="00A808C7">
      <w:pPr>
        <w:pStyle w:val="BodyText"/>
        <w:spacing w:before="100"/>
      </w:pPr>
      <w:r w:rsidRPr="00256982">
        <w:t xml:space="preserve">In this inventory submission, New Zealand included a Tier 1 uncertainty analysis of the aggregated figures, as required by the Convention inventory reporting guidelines (UNFCCC, 2013a) and 2006 IPCC Guidelines (IPCC, 2006b). </w:t>
      </w:r>
    </w:p>
    <w:p w14:paraId="491C20DF" w14:textId="77777777" w:rsidR="00DE64BC" w:rsidRPr="00256982" w:rsidRDefault="00DE64BC" w:rsidP="00A808C7">
      <w:pPr>
        <w:pStyle w:val="BodyText"/>
        <w:spacing w:before="100"/>
      </w:pPr>
      <w:r w:rsidRPr="00256982">
        <w:t xml:space="preserve">Uncertainties in the categories are combined to provide uncertainty estimates for all emissions </w:t>
      </w:r>
      <w:r w:rsidRPr="00256982">
        <w:rPr>
          <w:spacing w:val="-2"/>
        </w:rPr>
        <w:t>for the latest reporting year and the uncertainty in the trend over time. Uncertainties for net emissions, where removals under LULUCF categories have been included as an absolute value, are included in annex 2 (table A2.1.1), and gross emissions excluding LULUCF are in annex 2 (table A2.1.2).</w:t>
      </w:r>
      <w:r w:rsidRPr="00256982">
        <w:t xml:space="preserve"> </w:t>
      </w:r>
    </w:p>
    <w:p w14:paraId="5725D946" w14:textId="717FFAE0" w:rsidR="00DE64BC" w:rsidRPr="00256982" w:rsidRDefault="00DE64BC" w:rsidP="00A808C7">
      <w:pPr>
        <w:pStyle w:val="BodyText"/>
        <w:spacing w:before="100"/>
        <w:rPr>
          <w:spacing w:val="-2"/>
        </w:rPr>
      </w:pPr>
      <w:r w:rsidRPr="00256982">
        <w:rPr>
          <w:spacing w:val="-2"/>
        </w:rPr>
        <w:t xml:space="preserve">In most instances, the uncertainty values are determined by analysis of emission factors or activity data using expert judgement from sectoral or industry experts, or by referring to uncertainty ranges provided in the 2006 IPCC Guidelines (IPCC, 2006b). Uncertainties for the source categories were originally determined at the lowest level where information and data were available. The uncertainty estimates within each sector were made by the personnel at the agencies responsible for the sector, which is a part of New Zealand’s national system arrangements. </w:t>
      </w:r>
    </w:p>
    <w:p w14:paraId="620D34E2" w14:textId="4407F085" w:rsidR="00DE64BC" w:rsidRPr="00256982" w:rsidRDefault="00DE64BC" w:rsidP="00A808C7">
      <w:pPr>
        <w:pStyle w:val="BodyText"/>
        <w:spacing w:before="100"/>
      </w:pPr>
      <w:r w:rsidRPr="00256982">
        <w:t>The low level uncertainties have then been aggregated by the sector compiling agencies up to the second level category (like 2.C in IPPU or Energy – combustion/fuel type) for each of CO</w:t>
      </w:r>
      <w:r w:rsidRPr="00256982">
        <w:rPr>
          <w:vertAlign w:val="subscript"/>
        </w:rPr>
        <w:t>2</w:t>
      </w:r>
      <w:r w:rsidRPr="00256982">
        <w:t>, CH</w:t>
      </w:r>
      <w:r w:rsidRPr="00256982">
        <w:rPr>
          <w:vertAlign w:val="subscript"/>
        </w:rPr>
        <w:t>4</w:t>
      </w:r>
      <w:r w:rsidRPr="00256982">
        <w:t>, N</w:t>
      </w:r>
      <w:r w:rsidRPr="00256982">
        <w:rPr>
          <w:vertAlign w:val="subscript"/>
        </w:rPr>
        <w:t>2</w:t>
      </w:r>
      <w:r w:rsidRPr="00256982">
        <w:t>O and SF</w:t>
      </w:r>
      <w:r w:rsidRPr="00256982">
        <w:rPr>
          <w:vertAlign w:val="subscript"/>
        </w:rPr>
        <w:t>6</w:t>
      </w:r>
      <w:r w:rsidR="0006123B" w:rsidRPr="00256982">
        <w:rPr>
          <w:vertAlign w:val="subscript"/>
        </w:rPr>
        <w:t xml:space="preserve"> </w:t>
      </w:r>
      <w:r w:rsidRPr="00256982">
        <w:t>separately, and HFCs and PFCs as groups.</w:t>
      </w:r>
      <w:r w:rsidR="0006123B" w:rsidRPr="00256982">
        <w:t xml:space="preserve"> </w:t>
      </w:r>
      <w:r w:rsidRPr="00256982">
        <w:t xml:space="preserve">These aggregated category level data have been submitted to the National Inventory Compiler for performing overall uncertainty calculations for level and trend uncertainties for gross and net emissions (excluding and including LULUCF). </w:t>
      </w:r>
    </w:p>
    <w:p w14:paraId="2FB2B5DE" w14:textId="77777777" w:rsidR="00DE64BC" w:rsidRPr="00256982" w:rsidRDefault="00DE64BC" w:rsidP="00A808C7">
      <w:pPr>
        <w:pStyle w:val="BodyText"/>
        <w:spacing w:before="100"/>
      </w:pPr>
      <w:r w:rsidRPr="00256982">
        <w:t xml:space="preserve">In most cases, to aggregate uncertainties from subcategories, sectoral compilers used the approach 1 recommended in the 2006 IPCC Guidelines (equation 3.2, page 3.28). </w:t>
      </w:r>
    </w:p>
    <w:p w14:paraId="75F7D179" w14:textId="7FA2F8E7" w:rsidR="00DE64BC" w:rsidRPr="00256982" w:rsidRDefault="00DE64BC" w:rsidP="00A808C7">
      <w:pPr>
        <w:pStyle w:val="BodyText"/>
        <w:spacing w:before="100"/>
      </w:pPr>
      <w:r w:rsidRPr="00256982">
        <w:t>In the IPPU sector (for the ODS category only), the emissions are estimated using a mass balance approach as indicated in chapter 4. This approach uses the data on imports of each gas as the total for all applications for an input. In this calculation, it would not be appropriate to combine the uncertainties for subcategories using the propagation method because they are not independent variables and, therefore, an expert judgement on the bulk value of HFCs was used.</w:t>
      </w:r>
      <w:r w:rsidR="0006123B" w:rsidRPr="00256982">
        <w:t xml:space="preserve"> </w:t>
      </w:r>
    </w:p>
    <w:p w14:paraId="3F2C0844" w14:textId="77777777" w:rsidR="00DE64BC" w:rsidRPr="00256982" w:rsidRDefault="00DE64BC" w:rsidP="00A808C7">
      <w:pPr>
        <w:pStyle w:val="BodyText"/>
        <w:spacing w:before="100"/>
      </w:pPr>
      <w:r w:rsidRPr="00256982">
        <w:t>The uncertainty for CH</w:t>
      </w:r>
      <w:r w:rsidRPr="00256982">
        <w:rPr>
          <w:vertAlign w:val="subscript"/>
        </w:rPr>
        <w:t>4</w:t>
      </w:r>
      <w:r w:rsidRPr="00256982">
        <w:t xml:space="preserve"> emissions from enteric fermentation was calculated by expressing the coefficient of variation according to the standard error of the CH</w:t>
      </w:r>
      <w:r w:rsidRPr="00256982">
        <w:rPr>
          <w:vertAlign w:val="subscript"/>
        </w:rPr>
        <w:t>4</w:t>
      </w:r>
      <w:r w:rsidRPr="00256982">
        <w:t xml:space="preserve"> yield. A </w:t>
      </w:r>
      <w:r w:rsidRPr="00256982">
        <w:rPr>
          <w:color w:val="000000"/>
        </w:rPr>
        <w:t>Monte Carlo simulation has been used to determine uncertainty for N</w:t>
      </w:r>
      <w:r w:rsidRPr="00256982">
        <w:rPr>
          <w:color w:val="000000"/>
          <w:vertAlign w:val="subscript"/>
        </w:rPr>
        <w:t>2</w:t>
      </w:r>
      <w:r w:rsidRPr="00256982">
        <w:rPr>
          <w:color w:val="000000"/>
        </w:rPr>
        <w:t>O from agricultural soils</w:t>
      </w:r>
      <w:r w:rsidRPr="00256982">
        <w:t xml:space="preserve">. For the 2016 data, the uncertainty in the annual estimate was calculated using the 95 per cent confidence interval determined from the Monte Carlo simulation as a percentage of the mean value. </w:t>
      </w:r>
    </w:p>
    <w:p w14:paraId="1745F58B" w14:textId="77777777" w:rsidR="00DE64BC" w:rsidRPr="00256982" w:rsidRDefault="00DE64BC" w:rsidP="00A808C7">
      <w:pPr>
        <w:pStyle w:val="BodyText"/>
        <w:spacing w:before="100"/>
      </w:pPr>
      <w:r w:rsidRPr="00256982">
        <w:t xml:space="preserve">A Monte Carlo simulation approach was also used to assess the main sources of uncertainty in carbon stock and carbon stock change in </w:t>
      </w:r>
      <w:r w:rsidRPr="00256982">
        <w:rPr>
          <w:i/>
        </w:rPr>
        <w:t>Pre-1990 natural forest remaining pre-1990 natural forest</w:t>
      </w:r>
      <w:r w:rsidRPr="00256982">
        <w:t xml:space="preserve">. Further details on the emission factor and activity data uncertainties for specific land uses and non-carbon emissions are given within the relevant sections of chapter 6. Further detailed analysis of LULUCF uncertainties is presented in annex 3.2.3. </w:t>
      </w:r>
    </w:p>
    <w:p w14:paraId="71E98AFE" w14:textId="77777777" w:rsidR="00DE64BC" w:rsidRPr="00256982" w:rsidRDefault="00DE64BC" w:rsidP="00A72006">
      <w:pPr>
        <w:pStyle w:val="Heading4"/>
      </w:pPr>
      <w:r w:rsidRPr="00256982">
        <w:lastRenderedPageBreak/>
        <w:t>Gross emissions</w:t>
      </w:r>
    </w:p>
    <w:p w14:paraId="278626A4" w14:textId="77777777" w:rsidR="00DE64BC" w:rsidRPr="00256982" w:rsidRDefault="00DE64BC" w:rsidP="00A808C7">
      <w:pPr>
        <w:pStyle w:val="Heading5"/>
        <w:spacing w:before="160"/>
      </w:pPr>
      <w:r w:rsidRPr="00256982">
        <w:t>Uncertainty in 2017</w:t>
      </w:r>
    </w:p>
    <w:p w14:paraId="60851880" w14:textId="77777777" w:rsidR="00DE64BC" w:rsidRPr="00256982" w:rsidRDefault="00DE64BC" w:rsidP="00A808C7">
      <w:pPr>
        <w:pStyle w:val="BodyText"/>
      </w:pPr>
      <w:r w:rsidRPr="00256982">
        <w:t>The uncertainty in gross emissions (excluding emissions and removals from the LULUCF sector) is ±9.3 per cent. This is a decrease of 0.2 percentage points from 2016. Emissions of CH</w:t>
      </w:r>
      <w:r w:rsidRPr="00256982">
        <w:rPr>
          <w:vertAlign w:val="subscript"/>
        </w:rPr>
        <w:t>4</w:t>
      </w:r>
      <w:r w:rsidRPr="00256982">
        <w:t xml:space="preserve"> from </w:t>
      </w:r>
      <w:r w:rsidRPr="00256982">
        <w:rPr>
          <w:i/>
        </w:rPr>
        <w:t>Enteric fermentation</w:t>
      </w:r>
      <w:r w:rsidRPr="00256982">
        <w:t xml:space="preserve"> (±55.3 per cent), N</w:t>
      </w:r>
      <w:r w:rsidRPr="00256982">
        <w:rPr>
          <w:vertAlign w:val="subscript"/>
        </w:rPr>
        <w:t>2</w:t>
      </w:r>
      <w:r w:rsidRPr="00256982">
        <w:t xml:space="preserve">O from </w:t>
      </w:r>
      <w:r w:rsidRPr="00256982">
        <w:rPr>
          <w:i/>
        </w:rPr>
        <w:t xml:space="preserve">Agricultural soils </w:t>
      </w:r>
      <w:r w:rsidRPr="00256982">
        <w:t>(±16.0 per cent)</w:t>
      </w:r>
      <w:r w:rsidRPr="00256982">
        <w:rPr>
          <w:vertAlign w:val="subscript"/>
        </w:rPr>
        <w:t xml:space="preserve"> </w:t>
      </w:r>
      <w:r w:rsidRPr="00256982">
        <w:t>and CH</w:t>
      </w:r>
      <w:r w:rsidRPr="00256982">
        <w:rPr>
          <w:vertAlign w:val="subscript"/>
        </w:rPr>
        <w:t>4</w:t>
      </w:r>
      <w:r w:rsidRPr="00256982">
        <w:t xml:space="preserve"> from </w:t>
      </w:r>
      <w:r w:rsidRPr="00256982">
        <w:rPr>
          <w:i/>
        </w:rPr>
        <w:t>Solid waste disposal</w:t>
      </w:r>
      <w:r w:rsidRPr="00256982">
        <w:t xml:space="preserve"> (±100.3 per cent) categories had the highest levels of emissions uncertainty, contributing 5.9 per cent, 5.5 per cent and 4.6 per cent to the overall uncertainty of gross emissions in 2017. The uncertainty in these categories reflects the inherent variability when estimating emissions from natural systems.</w:t>
      </w:r>
    </w:p>
    <w:p w14:paraId="6D09C5CE" w14:textId="77777777" w:rsidR="00DE64BC" w:rsidRPr="00256982" w:rsidRDefault="00DE64BC" w:rsidP="00A808C7">
      <w:pPr>
        <w:pStyle w:val="Heading5"/>
      </w:pPr>
      <w:r w:rsidRPr="00256982">
        <w:t>Uncertainty in the trend</w:t>
      </w:r>
    </w:p>
    <w:p w14:paraId="2AF671D7" w14:textId="592D409F" w:rsidR="00DE64BC" w:rsidRPr="00256982" w:rsidRDefault="00DE64BC" w:rsidP="00A808C7">
      <w:pPr>
        <w:pStyle w:val="BodyText"/>
      </w:pPr>
      <w:r w:rsidRPr="00256982">
        <w:t xml:space="preserve">The trend uncertainty in gross emissions (excluding emissions and removals from the LULUCF sector) from 1990 to 2017 is ±8.2 per cent. This is an increase of 1.4 percentage points from 2016 (the trend uncertainty value for 2016 was revised; the corrected value was ±6.8). The increase in trend uncertainty is a result of revised activity and emission factor uncertainties. It also reflects reporting emissions from the </w:t>
      </w:r>
      <w:r w:rsidRPr="00256982">
        <w:rPr>
          <w:i/>
        </w:rPr>
        <w:t>Biological treatment</w:t>
      </w:r>
      <w:r w:rsidRPr="00256982">
        <w:t xml:space="preserve"> category in the Waste sector and emissions from Tokelau for the first time in 2019. Both have high uncertainties in activity data and emission factors and show a significant change in emissions between 1990 and 2017.</w:t>
      </w:r>
      <w:r w:rsidR="0006123B" w:rsidRPr="00256982">
        <w:t xml:space="preserve"> </w:t>
      </w:r>
    </w:p>
    <w:p w14:paraId="4B79FE46" w14:textId="77777777" w:rsidR="00DE64BC" w:rsidRPr="00256982" w:rsidRDefault="00DE64BC" w:rsidP="00A72006">
      <w:pPr>
        <w:pStyle w:val="Heading4"/>
      </w:pPr>
      <w:r w:rsidRPr="00256982">
        <w:t>Net emissions</w:t>
      </w:r>
    </w:p>
    <w:p w14:paraId="221CB3F9" w14:textId="77777777" w:rsidR="00DE64BC" w:rsidRPr="00256982" w:rsidRDefault="00DE64BC" w:rsidP="00A808C7">
      <w:pPr>
        <w:pStyle w:val="Heading5"/>
        <w:spacing w:before="160"/>
      </w:pPr>
      <w:r w:rsidRPr="00256982">
        <w:t>Uncertainty in 2017</w:t>
      </w:r>
    </w:p>
    <w:p w14:paraId="42312A8D" w14:textId="77777777" w:rsidR="00DE64BC" w:rsidRPr="00256982" w:rsidRDefault="00DE64BC" w:rsidP="00A808C7">
      <w:pPr>
        <w:pStyle w:val="BodyText"/>
      </w:pPr>
      <w:r w:rsidRPr="00256982">
        <w:t>The uncertainty for New Zealand’s inventory, including emissions and removals from the LULUCF sector, in 2017 is ±10.7 per cent, a decrease of 0.8 percentage points from 2016. This decrease is mainly due to an improved uncertainty for the emission factor for CO</w:t>
      </w:r>
      <w:r w:rsidRPr="00256982">
        <w:rPr>
          <w:vertAlign w:val="subscript"/>
        </w:rPr>
        <w:t>2</w:t>
      </w:r>
      <w:r w:rsidRPr="00256982">
        <w:t xml:space="preserve"> emissions from the </w:t>
      </w:r>
      <w:r w:rsidRPr="00256982">
        <w:rPr>
          <w:i/>
        </w:rPr>
        <w:t>Forest land</w:t>
      </w:r>
      <w:r w:rsidRPr="00256982">
        <w:t xml:space="preserve"> category, which decreased 4.9 percentage points since 2016. This change overweighed the increases introduced into net emissions by reporting emissions from the </w:t>
      </w:r>
      <w:r w:rsidRPr="00256982">
        <w:rPr>
          <w:i/>
        </w:rPr>
        <w:t>Biological treatment</w:t>
      </w:r>
      <w:r w:rsidRPr="00256982">
        <w:t xml:space="preserve"> category in the Waste sector and emissions from Tokelau. The </w:t>
      </w:r>
      <w:r w:rsidRPr="00256982">
        <w:rPr>
          <w:i/>
        </w:rPr>
        <w:t>Forest land</w:t>
      </w:r>
      <w:r w:rsidRPr="00256982">
        <w:t xml:space="preserve"> category was the biggest contributor to the net uncertainty for 2017, at 7.2 per cent of the overall uncertainty in the net emissions.</w:t>
      </w:r>
    </w:p>
    <w:p w14:paraId="733A4DEB" w14:textId="77777777" w:rsidR="00DE64BC" w:rsidRPr="00256982" w:rsidRDefault="00DE64BC" w:rsidP="00A808C7">
      <w:pPr>
        <w:pStyle w:val="Heading5"/>
      </w:pPr>
      <w:r w:rsidRPr="00256982">
        <w:t>Uncertainty in the trend</w:t>
      </w:r>
    </w:p>
    <w:p w14:paraId="1ECC2363" w14:textId="77777777" w:rsidR="00DE64BC" w:rsidRPr="00256982" w:rsidRDefault="00DE64BC" w:rsidP="00A808C7">
      <w:pPr>
        <w:pStyle w:val="BodyText"/>
      </w:pPr>
      <w:r w:rsidRPr="00256982">
        <w:t xml:space="preserve">When emissions and removals from the LULUCF sector are included, the overall uncertainty in the trend from 1990 to 2016 is ±8.3 per cent. This is an increase of 0.2 percentage points from 2016. Updated uncertainty estimates for activity data have contributed to this change. </w:t>
      </w:r>
    </w:p>
    <w:p w14:paraId="18765FEA" w14:textId="77777777" w:rsidR="00DE64BC" w:rsidRPr="00256982" w:rsidRDefault="00DE64BC" w:rsidP="001D3490">
      <w:pPr>
        <w:pStyle w:val="Heading3"/>
      </w:pPr>
      <w:bookmarkStart w:id="152" w:name="_Toc352504827"/>
      <w:r w:rsidRPr="00256982">
        <w:t>1.6.2</w:t>
      </w:r>
      <w:r w:rsidRPr="00256982">
        <w:tab/>
        <w:t>LULUCF activities under the Kyoto Protocol</w:t>
      </w:r>
    </w:p>
    <w:p w14:paraId="104A4A69" w14:textId="7A504251" w:rsidR="00DE64BC" w:rsidRPr="00256982" w:rsidRDefault="00DE64BC" w:rsidP="00A808C7">
      <w:pPr>
        <w:pStyle w:val="BodyText"/>
      </w:pPr>
      <w:bookmarkStart w:id="153" w:name="_Toc414531274"/>
      <w:bookmarkStart w:id="154" w:name="_Toc448321495"/>
      <w:r w:rsidRPr="00256982">
        <w:t xml:space="preserve">The combined uncertainty for net emissions from </w:t>
      </w:r>
      <w:r w:rsidRPr="00256982">
        <w:rPr>
          <w:i/>
        </w:rPr>
        <w:t>Afforestation and reforestation</w:t>
      </w:r>
      <w:r w:rsidRPr="00256982">
        <w:t xml:space="preserve"> category activities in 2017 is ±13.6 per cent. The uncertainty for net emissions from the </w:t>
      </w:r>
      <w:r w:rsidRPr="00256982">
        <w:rPr>
          <w:i/>
        </w:rPr>
        <w:t>Deforestation</w:t>
      </w:r>
      <w:r w:rsidRPr="00256982">
        <w:t xml:space="preserve"> category in </w:t>
      </w:r>
      <w:r w:rsidR="00AA394E">
        <w:t>2017</w:t>
      </w:r>
      <w:r w:rsidR="00AA394E" w:rsidRPr="00256982">
        <w:t xml:space="preserve"> </w:t>
      </w:r>
      <w:r w:rsidRPr="00256982">
        <w:t xml:space="preserve">is ±1.4 per cent. The uncertainty for net emissions from the </w:t>
      </w:r>
      <w:r w:rsidRPr="00256982">
        <w:rPr>
          <w:i/>
        </w:rPr>
        <w:t>Forest management</w:t>
      </w:r>
      <w:r w:rsidRPr="00256982">
        <w:t xml:space="preserve"> category in </w:t>
      </w:r>
      <w:r w:rsidR="00AA394E">
        <w:t>2017</w:t>
      </w:r>
      <w:r w:rsidR="00AA394E" w:rsidRPr="00256982">
        <w:t xml:space="preserve"> </w:t>
      </w:r>
      <w:r w:rsidRPr="00256982">
        <w:t xml:space="preserve">is ±58.4 per cent. The uncertainty introduced into net emissions from </w:t>
      </w:r>
      <w:r w:rsidRPr="00256982">
        <w:rPr>
          <w:i/>
        </w:rPr>
        <w:t>Forest management</w:t>
      </w:r>
      <w:r w:rsidRPr="00256982">
        <w:t xml:space="preserve"> is high because this category has large emissions from harvesting and large removals from forest growth leaving relatively small net change. Because the uncertainty is calculated on emissions and removals relative to net change, this results in a large uncertainty figure. Combining these uncertainties gives a total uncertainty estimate for LULUCF activities under the Kyoto Protocol of ±59.9 per cent. </w:t>
      </w:r>
    </w:p>
    <w:p w14:paraId="0D154CAE" w14:textId="77777777" w:rsidR="00DE64BC" w:rsidRPr="00256982" w:rsidRDefault="00DE64BC" w:rsidP="00A808C7">
      <w:pPr>
        <w:pStyle w:val="BodyText"/>
      </w:pPr>
      <w:r w:rsidRPr="00256982">
        <w:t xml:space="preserve">Please refer to chapter 11, section 11.4.1, for further information on the uncertainty analysis for activities under the Kyoto Protocol and how this uncertainty analysis relates to the LULUCF sector. </w:t>
      </w:r>
    </w:p>
    <w:p w14:paraId="052B5AF9" w14:textId="77777777" w:rsidR="00DE64BC" w:rsidRPr="00256982" w:rsidRDefault="00DE64BC" w:rsidP="001D3490">
      <w:pPr>
        <w:pStyle w:val="Heading2"/>
      </w:pPr>
      <w:bookmarkStart w:id="155" w:name="_Toc511116572"/>
      <w:bookmarkStart w:id="156" w:name="_Toc5269334"/>
      <w:r w:rsidRPr="00256982">
        <w:lastRenderedPageBreak/>
        <w:t>1.7</w:t>
      </w:r>
      <w:r w:rsidRPr="00256982">
        <w:tab/>
        <w:t>Inventory completeness</w:t>
      </w:r>
      <w:bookmarkEnd w:id="152"/>
      <w:bookmarkEnd w:id="153"/>
      <w:bookmarkEnd w:id="154"/>
      <w:bookmarkEnd w:id="155"/>
      <w:bookmarkEnd w:id="156"/>
    </w:p>
    <w:p w14:paraId="6B4DB8ED" w14:textId="77777777" w:rsidR="00DE64BC" w:rsidRPr="00256982" w:rsidRDefault="00DE64BC" w:rsidP="006F0CF5">
      <w:pPr>
        <w:pStyle w:val="Heading3"/>
        <w:spacing w:before="240"/>
      </w:pPr>
      <w:r w:rsidRPr="00256982">
        <w:t>1.7.1</w:t>
      </w:r>
      <w:r w:rsidRPr="00256982">
        <w:tab/>
        <w:t xml:space="preserve">Reporting under the Convention </w:t>
      </w:r>
    </w:p>
    <w:p w14:paraId="1FBC5E53" w14:textId="77777777" w:rsidR="00DE64BC" w:rsidRPr="00256982" w:rsidRDefault="00DE64BC" w:rsidP="00A808C7">
      <w:pPr>
        <w:pStyle w:val="BodyText"/>
      </w:pPr>
      <w:r w:rsidRPr="00256982">
        <w:t>The inventory for the period 1990 to 2017 is complete. In accordance with the 2006 IPCC Guidelines, New Zealand has focused its resources for inventory development in the key categories and non-key categories that are mandatory (IPCC, 2006b). Additional information regarding the use of the notation key ‘NE’ (not estimated) in the context of paragraph 37(b) of the UNFCCC reporting guidelines (UNFCCC, 2013b) is presented in annex 6.</w:t>
      </w:r>
    </w:p>
    <w:p w14:paraId="187B644E" w14:textId="77777777" w:rsidR="00DE64BC" w:rsidRPr="00256982" w:rsidRDefault="00DE64BC" w:rsidP="001D3490">
      <w:pPr>
        <w:pStyle w:val="Heading3"/>
      </w:pPr>
      <w:r w:rsidRPr="00256982">
        <w:t>1.7.2</w:t>
      </w:r>
      <w:r w:rsidRPr="00256982">
        <w:tab/>
        <w:t>LULUCF activities under the Kyoto Protocol</w:t>
      </w:r>
    </w:p>
    <w:p w14:paraId="50C3C91F" w14:textId="77777777" w:rsidR="00DE64BC" w:rsidRPr="00256982" w:rsidRDefault="00DE64BC" w:rsidP="00A808C7">
      <w:pPr>
        <w:pStyle w:val="BodyText"/>
      </w:pPr>
      <w:r w:rsidRPr="00256982">
        <w:t xml:space="preserve">New Zealand has included all carbon pools in reporting for Article 3.3 activities and Article 3.4 </w:t>
      </w:r>
      <w:r w:rsidRPr="00256982">
        <w:rPr>
          <w:i/>
        </w:rPr>
        <w:t xml:space="preserve">Forest management </w:t>
      </w:r>
      <w:r w:rsidRPr="00256982">
        <w:t>activities under the Kyoto Protocol.</w:t>
      </w:r>
    </w:p>
    <w:p w14:paraId="02077A5D" w14:textId="77777777" w:rsidR="00DE64BC" w:rsidRPr="00256982" w:rsidRDefault="00DE64BC" w:rsidP="001D3490">
      <w:pPr>
        <w:pStyle w:val="Heading2"/>
      </w:pPr>
      <w:bookmarkStart w:id="157" w:name="_Toc352504828"/>
      <w:bookmarkStart w:id="158" w:name="_Toc414531275"/>
      <w:bookmarkStart w:id="159" w:name="_Toc448321496"/>
      <w:bookmarkStart w:id="160" w:name="_Toc511116573"/>
      <w:bookmarkStart w:id="161" w:name="_Toc5269335"/>
      <w:r w:rsidRPr="00256982">
        <w:t>1.8</w:t>
      </w:r>
      <w:r w:rsidRPr="00256982">
        <w:tab/>
        <w:t>National registry</w:t>
      </w:r>
      <w:bookmarkEnd w:id="157"/>
      <w:bookmarkEnd w:id="158"/>
      <w:bookmarkEnd w:id="159"/>
      <w:bookmarkEnd w:id="160"/>
      <w:bookmarkEnd w:id="161"/>
    </w:p>
    <w:p w14:paraId="73EDFBED" w14:textId="77777777" w:rsidR="00DE64BC" w:rsidRPr="00256982" w:rsidRDefault="00DE64BC" w:rsidP="00A808C7">
      <w:pPr>
        <w:pStyle w:val="BodyText"/>
      </w:pPr>
      <w:r w:rsidRPr="00256982">
        <w:rPr>
          <w:szCs w:val="22"/>
        </w:rPr>
        <w:t xml:space="preserve">The national registry (the New Zealand Emissions Trading Register or the Register) is New Zealand’s online facility to </w:t>
      </w:r>
      <w:r w:rsidRPr="00256982">
        <w:rPr>
          <w:szCs w:val="22"/>
          <w:lang w:eastAsia="en-NZ"/>
        </w:rPr>
        <w:t>manage the accounting, reporting and reconciliation of emissions, unit holdings and transactions as part of the NZ ETS.</w:t>
      </w:r>
      <w:r w:rsidRPr="00256982">
        <w:rPr>
          <w:color w:val="FF0000"/>
          <w:szCs w:val="22"/>
        </w:rPr>
        <w:t xml:space="preserve"> </w:t>
      </w:r>
      <w:r w:rsidRPr="00256982">
        <w:rPr>
          <w:szCs w:val="22"/>
        </w:rPr>
        <w:t xml:space="preserve">The EPA is designated as the agency responsible for the implementation and operation of New Zealand’s national registry under the Kyoto Protocol. The Register is electronic and accessible via the internet </w:t>
      </w:r>
      <w:r w:rsidRPr="00256982">
        <w:t>(</w:t>
      </w:r>
      <w:hyperlink r:id="rId36" w:history="1">
        <w:r w:rsidRPr="00256982">
          <w:t>www.emissionsregister.govt.nz</w:t>
        </w:r>
      </w:hyperlink>
      <w:r w:rsidRPr="00256982">
        <w:t xml:space="preserve">). </w:t>
      </w:r>
    </w:p>
    <w:p w14:paraId="0BE6B182" w14:textId="5CD9427C" w:rsidR="00DE64BC" w:rsidRPr="00256982" w:rsidRDefault="00DE64BC" w:rsidP="00A808C7">
      <w:pPr>
        <w:pStyle w:val="BodyText"/>
      </w:pPr>
      <w:r w:rsidRPr="00256982">
        <w:t>In January 2008, New Zealand’s national registry was issued with New Zealand’s assigned amount of 309,564,733 metric tonnes CO</w:t>
      </w:r>
      <w:r w:rsidRPr="00256982">
        <w:rPr>
          <w:vertAlign w:val="subscript"/>
        </w:rPr>
        <w:t>2</w:t>
      </w:r>
      <w:r w:rsidRPr="00256982">
        <w:t>-e for CP1 (covering the five-year period 2008 to 2012). The commitment period reserve for CP1 of 278,608,260 metric tonnes CO</w:t>
      </w:r>
      <w:r w:rsidRPr="00256982">
        <w:rPr>
          <w:vertAlign w:val="subscript"/>
        </w:rPr>
        <w:t>2</w:t>
      </w:r>
      <w:r w:rsidRPr="00256982">
        <w:t xml:space="preserve">-e is 90 per cent of the assigned amount. The value of the commitment reserve for CP1 was fixed after the initial review in 2007. The number of units held in the national registry during CP1 could not fall below this amount. </w:t>
      </w:r>
    </w:p>
    <w:p w14:paraId="2C347CC1" w14:textId="77777777" w:rsidR="00DE64BC" w:rsidRPr="00256982" w:rsidRDefault="00DE64BC" w:rsidP="00A808C7">
      <w:pPr>
        <w:pStyle w:val="BodyText"/>
      </w:pPr>
      <w:r w:rsidRPr="00256982">
        <w:t xml:space="preserve">At the end of the CP1 of the Kyoto Protocol, New Zealand retired Kyoto Protocol units in its registry equal to its reported emissions and submitted its true-up report (available on both the MfE and UNFCCC websites) to meet CP1 Kyoto Protocol obligations. New Zealand does not have a target under the second commitment period (CP2) of the Kyoto Protocol. Instead, New Zealand joins countries that have made international pledges under the Convention. As such, New Zealand has no assigned amount for CP2; however, New Zealand has chosen to maintain a registry connected to the International Transaction Log. This is required because the Register continues to hold Kyoto Protocol units, and these are required to be able to be reconciled via the International Transaction Log. New Zealand has also committed to apply the Kyoto Protocol accounting approach for the period 2013 to 2020 (the period covered by CP2). </w:t>
      </w:r>
    </w:p>
    <w:p w14:paraId="74A2B840" w14:textId="77777777" w:rsidR="00DE64BC" w:rsidRPr="00256982" w:rsidRDefault="00DE64BC" w:rsidP="00A808C7">
      <w:pPr>
        <w:pStyle w:val="BodyText"/>
      </w:pPr>
      <w:r w:rsidRPr="00256982">
        <w:t xml:space="preserve">Although most international unit transfers of Kyoto Protocol units are no longer possible from or to the Register, it is still possible for direct issuance of certified emission reduction units (CERs) from the Clean Development Mechanism and voluntary unit cancellation transactions to occur. Details of these transactions are included in the Standard Electronic Format (SEF) tables submitted to the UNFCCC as part of New Zealand’s national inventory reporting. Also, changes to international trading may occur after CP2 ends and new arrangements for international trading under the Paris Agreement come into effect. </w:t>
      </w:r>
    </w:p>
    <w:p w14:paraId="21835BAC" w14:textId="77777777" w:rsidR="00DE64BC" w:rsidRPr="00256982" w:rsidRDefault="00DE64BC" w:rsidP="00A808C7">
      <w:pPr>
        <w:pStyle w:val="BodyText"/>
      </w:pPr>
      <w:r w:rsidRPr="00256982">
        <w:t xml:space="preserve">New Zealand replaced its registry system in August 2016. The new Register was tested and reviewed by the UNFCCC secretariat prior to it going live. No additional changes have been made to New Zealand’s national registry since the 2017 submission. </w:t>
      </w:r>
    </w:p>
    <w:p w14:paraId="4760A907" w14:textId="77777777" w:rsidR="00DE64BC" w:rsidRPr="00256982" w:rsidRDefault="00DE64BC" w:rsidP="00A808C7">
      <w:pPr>
        <w:pStyle w:val="BodyText"/>
      </w:pPr>
      <w:r w:rsidRPr="00256982">
        <w:lastRenderedPageBreak/>
        <w:t xml:space="preserve">At the beginning of the 2017 calendar year, New Zealand’s national registry held 308,343,858 CP1 assigned amount units, 110,744,560 CP1 emissions reduction units, 21,685,909 CP1 certified emission reduction units and 100,845,399 CP1 removal units. The number and mix of units held at the end of 2018 were the same as at the beginning of 2018, because no international transactions occurred during this period and this value includes the units retired to meet CP1 obligations. No CP2 units were held by New Zealand in 2018. </w:t>
      </w:r>
    </w:p>
    <w:p w14:paraId="62415FB0" w14:textId="77777777" w:rsidR="00DE64BC" w:rsidRPr="00256982" w:rsidRDefault="00DE64BC" w:rsidP="00A808C7">
      <w:pPr>
        <w:pStyle w:val="BodyText"/>
        <w:rPr>
          <w:highlight w:val="yellow"/>
        </w:rPr>
      </w:pPr>
      <w:r w:rsidRPr="00256982">
        <w:t xml:space="preserve">New Zealand’s national registry did not hold any temporary certified emission reduction units or long-term certified emission reduction units during </w:t>
      </w:r>
      <w:r w:rsidRPr="00256982">
        <w:rPr>
          <w:color w:val="000000"/>
        </w:rPr>
        <w:t>2018</w:t>
      </w:r>
      <w:r w:rsidRPr="00256982">
        <w:t>.</w:t>
      </w:r>
    </w:p>
    <w:p w14:paraId="0100BD3B" w14:textId="77777777" w:rsidR="00DE64BC" w:rsidRPr="00256982" w:rsidRDefault="00DE64BC" w:rsidP="00A808C7">
      <w:pPr>
        <w:pStyle w:val="BodyText"/>
      </w:pPr>
      <w:r w:rsidRPr="00256982">
        <w:t>For further information, please refer to chapters 12 and 14 and the standard electronic format tables on New Zealand Emissions Trading Register holdings and transactions that were submitted to the UNFCCC with this inventory. </w:t>
      </w:r>
    </w:p>
    <w:p w14:paraId="14682F31" w14:textId="77777777" w:rsidR="00DE64BC" w:rsidRPr="00256982" w:rsidRDefault="00DE64BC" w:rsidP="001D3490">
      <w:pPr>
        <w:pStyle w:val="Heading2"/>
      </w:pPr>
      <w:bookmarkStart w:id="162" w:name="_Toc352504829"/>
      <w:bookmarkStart w:id="163" w:name="_Toc414531276"/>
      <w:bookmarkStart w:id="164" w:name="_Toc448321497"/>
      <w:bookmarkStart w:id="165" w:name="_Toc511116574"/>
      <w:bookmarkStart w:id="166" w:name="_Toc5269336"/>
      <w:r w:rsidRPr="00256982">
        <w:t xml:space="preserve">1.9 </w:t>
      </w:r>
      <w:r w:rsidRPr="00256982">
        <w:tab/>
        <w:t>New Zealand’s Emissions Trading Scheme</w:t>
      </w:r>
      <w:bookmarkEnd w:id="162"/>
      <w:bookmarkEnd w:id="163"/>
      <w:bookmarkEnd w:id="164"/>
      <w:bookmarkEnd w:id="165"/>
      <w:bookmarkEnd w:id="166"/>
    </w:p>
    <w:p w14:paraId="7BE72B76" w14:textId="77777777" w:rsidR="00DE64BC" w:rsidRPr="00256982" w:rsidRDefault="00DE64BC" w:rsidP="00A808C7">
      <w:pPr>
        <w:pStyle w:val="BodyText"/>
      </w:pPr>
      <w:r w:rsidRPr="00256982">
        <w:t>The NZ ETS is a core part of New Zealand’s policy response to climate change. The following sections explain how New Zealand’s national registry was leveraged to create the NZ ETS register</w:t>
      </w:r>
      <w:r w:rsidRPr="00256982" w:rsidDel="00977CD1">
        <w:t xml:space="preserve"> </w:t>
      </w:r>
      <w:r w:rsidRPr="00256982">
        <w:t>and how the data collected for the NZ ETS have been used to verify CO</w:t>
      </w:r>
      <w:r w:rsidRPr="00256982">
        <w:rPr>
          <w:vertAlign w:val="subscript"/>
        </w:rPr>
        <w:t>2</w:t>
      </w:r>
      <w:r w:rsidRPr="00256982">
        <w:t xml:space="preserve"> emissions in the Energy and IPPU sectors.</w:t>
      </w:r>
    </w:p>
    <w:p w14:paraId="6E7B5034" w14:textId="6CE38B3A" w:rsidR="00DE64BC" w:rsidRPr="00256982" w:rsidRDefault="00DE64BC" w:rsidP="00A808C7">
      <w:pPr>
        <w:pStyle w:val="BodyText"/>
        <w:rPr>
          <w:iCs/>
        </w:rPr>
      </w:pPr>
      <w:r w:rsidRPr="00256982">
        <w:rPr>
          <w:color w:val="212121"/>
          <w:szCs w:val="22"/>
          <w:shd w:val="clear" w:color="auto" w:fill="FFFFFF"/>
        </w:rPr>
        <w:t>The NZ ETS was reviewed between late 2015 and early 2017. As a result of the review, legislation was passed that set out a phased increase in surrender obligations from the start of the 2017 calendar year. </w:t>
      </w:r>
      <w:r w:rsidRPr="00256982">
        <w:rPr>
          <w:szCs w:val="22"/>
          <w:shd w:val="clear" w:color="auto" w:fill="FFFFFF"/>
        </w:rPr>
        <w:t>Therefore, emissions reported in the 2019 inventory submission for all sectors, except Agriculture, are covered by an increased price. This does not affect the use of NZ ETS data in GHG inventory reporting or any data reported in the inventory.</w:t>
      </w:r>
    </w:p>
    <w:p w14:paraId="0BC0C691" w14:textId="77777777" w:rsidR="00DE64BC" w:rsidRPr="00256982" w:rsidRDefault="00DE64BC" w:rsidP="001D3490">
      <w:pPr>
        <w:pStyle w:val="Heading3"/>
      </w:pPr>
      <w:r w:rsidRPr="00256982">
        <w:t>1.9.1</w:t>
      </w:r>
      <w:r w:rsidRPr="00256982">
        <w:tab/>
        <w:t xml:space="preserve">New Zealand Units </w:t>
      </w:r>
    </w:p>
    <w:p w14:paraId="7D8E5CE6" w14:textId="0330A2B0" w:rsidR="00DE64BC" w:rsidRPr="00256982" w:rsidRDefault="00DE64BC" w:rsidP="006F0CF5">
      <w:pPr>
        <w:pStyle w:val="BodyText"/>
      </w:pPr>
      <w:r w:rsidRPr="00256982">
        <w:t>In 2008, New Zealand established the NZ ETS. The NZ ETS places obligations on certain industries to account for the GHG emissions that result from their activities. The Climate Change Response Act 2002 states the sectors that are mandatory participants in the NZ ETS – those that account for emissions and that have an obligation to surrender emission units. The NZ ETS is based on trading units that represent 1 tonne of CO</w:t>
      </w:r>
      <w:r w:rsidRPr="00256982">
        <w:rPr>
          <w:vertAlign w:val="subscript"/>
        </w:rPr>
        <w:t>2</w:t>
      </w:r>
      <w:r w:rsidRPr="00256982">
        <w:t xml:space="preserve">-e. The primary unit of trade is the New Zealand Unit (NZU), which is the unit created and distributed by the New Zealand Government. </w:t>
      </w:r>
    </w:p>
    <w:p w14:paraId="598ED48C" w14:textId="77777777" w:rsidR="00DE64BC" w:rsidRPr="00256982" w:rsidRDefault="00DE64BC" w:rsidP="00A808C7">
      <w:pPr>
        <w:pStyle w:val="BodyText"/>
      </w:pPr>
      <w:r w:rsidRPr="00256982">
        <w:t>NZUs are issued into the New Zealand registry by the Government. New Zealand decided to leverage off and extend its national registry to incorporate the requirements under the NZ ETS. Most significantly, this meant the issuance of NZUs into the national registry and creation of Crown holding accounts to hold these NZUs. These changes were made in the early part of 2009 and were reported in the 2010 inventory submission.</w:t>
      </w:r>
    </w:p>
    <w:p w14:paraId="577CD567" w14:textId="77777777" w:rsidR="00DE64BC" w:rsidRPr="00256982" w:rsidRDefault="00DE64BC" w:rsidP="00A808C7">
      <w:pPr>
        <w:pStyle w:val="BodyText"/>
      </w:pPr>
      <w:r w:rsidRPr="00256982">
        <w:t xml:space="preserve">The Government allocates NZUs to eligible individuals or firms in specific sectors or awards them to individuals or firms conducting approved removal activities (such as the establishment of forests). The Government also has the authority to auction NZUs but has not yet done so. </w:t>
      </w:r>
      <w:r w:rsidRPr="00256982">
        <w:rPr>
          <w:lang w:eastAsia="en-NZ"/>
        </w:rPr>
        <w:t xml:space="preserve">The methods for estimating emissions are set out in regulations prescribed under the </w:t>
      </w:r>
      <w:r w:rsidRPr="00256982">
        <w:t>Climate Change Response Act</w:t>
      </w:r>
      <w:r w:rsidRPr="00256982" w:rsidDel="00410A1F">
        <w:t xml:space="preserve"> </w:t>
      </w:r>
      <w:r w:rsidRPr="00256982">
        <w:t>2002.</w:t>
      </w:r>
    </w:p>
    <w:p w14:paraId="6B13A263" w14:textId="77777777" w:rsidR="00DE64BC" w:rsidRPr="00256982" w:rsidRDefault="00DE64BC" w:rsidP="001D3490">
      <w:pPr>
        <w:pStyle w:val="Heading3"/>
      </w:pPr>
      <w:r w:rsidRPr="00256982">
        <w:t>1.9.2</w:t>
      </w:r>
      <w:r w:rsidRPr="00256982">
        <w:tab/>
        <w:t>Verification</w:t>
      </w:r>
    </w:p>
    <w:p w14:paraId="6B49A53A" w14:textId="41756984" w:rsidR="00DE64BC" w:rsidRPr="00256982" w:rsidRDefault="00DE64BC" w:rsidP="00E0453C">
      <w:pPr>
        <w:pStyle w:val="BodyText"/>
        <w:spacing w:before="100" w:after="100"/>
      </w:pPr>
      <w:r w:rsidRPr="00256982">
        <w:t xml:space="preserve">NZ ETS participants are required to record and report the GHG emissions for which they have obligations or the removals for which they can claim NZUs. Participants with obligations are </w:t>
      </w:r>
      <w:r w:rsidRPr="00256982">
        <w:lastRenderedPageBreak/>
        <w:t>also required to surrender NZUs to cover their emissions annually. How participants estimate their emissions is set out in the regulations prescribed under the Climate Change Response Act 2002. The schedule for sectors entering the NZ ETS is detailed in table 1.9.1.</w:t>
      </w:r>
    </w:p>
    <w:p w14:paraId="03548641" w14:textId="77777777" w:rsidR="00DE64BC" w:rsidRPr="00256982" w:rsidRDefault="00DE64BC" w:rsidP="00E0453C">
      <w:pPr>
        <w:pStyle w:val="BodyText"/>
        <w:spacing w:before="100" w:after="100"/>
      </w:pPr>
      <w:r w:rsidRPr="00256982">
        <w:t>For this submission, data collected for the NZ ETS were used to verify the inventory estimates for CO</w:t>
      </w:r>
      <w:r w:rsidRPr="00256982">
        <w:rPr>
          <w:vertAlign w:val="subscript"/>
        </w:rPr>
        <w:t xml:space="preserve">2 </w:t>
      </w:r>
      <w:r w:rsidRPr="00256982">
        <w:t xml:space="preserve">emissions in the Energy and IPPU sectors (see chapters 3 and 4 for further detail of the verification). Data from the NZ ETS were used as a primary source in the IPPU sector for the cement and lime industries, and in the Waste sector for activity data on municipal waste disposal. Data reported under the Waste Minimisation Act 2008 have been used for verification and as primary data for smaller landfill sites (see chapter 7 for details). </w:t>
      </w:r>
    </w:p>
    <w:p w14:paraId="5CAF198B" w14:textId="77777777" w:rsidR="00DE64BC" w:rsidRPr="00256982" w:rsidRDefault="00DE64BC" w:rsidP="00E0453C">
      <w:pPr>
        <w:pStyle w:val="BodyText"/>
        <w:spacing w:before="100" w:after="100"/>
      </w:pPr>
      <w:r w:rsidRPr="00256982">
        <w:t>The NZ ETS data are also used for LULUCF and Kyoto Protocol reporting. Forest age, area and deforestation as reported under the NZ ETS are used for verifying the areas of pre-1990 planted forest, post-1989 forest and deforestation.</w:t>
      </w:r>
    </w:p>
    <w:p w14:paraId="4473D09A" w14:textId="77777777" w:rsidR="00DE64BC" w:rsidRPr="00256982" w:rsidRDefault="00DE64BC" w:rsidP="00A808C7">
      <w:pPr>
        <w:pStyle w:val="Table"/>
        <w:rPr>
          <w:lang w:eastAsia="en-NZ"/>
        </w:rPr>
      </w:pPr>
      <w:bookmarkStart w:id="167" w:name="_Toc352504941"/>
      <w:bookmarkStart w:id="168" w:name="_Toc414531394"/>
      <w:bookmarkStart w:id="169" w:name="_Toc451176057"/>
      <w:bookmarkStart w:id="170" w:name="_Toc511116706"/>
      <w:bookmarkStart w:id="171" w:name="_Toc5269440"/>
      <w:r w:rsidRPr="00256982">
        <w:rPr>
          <w:lang w:eastAsia="en-NZ"/>
        </w:rPr>
        <w:t xml:space="preserve">Table 1.9.1 </w:t>
      </w:r>
      <w:r w:rsidRPr="00256982">
        <w:rPr>
          <w:lang w:eastAsia="en-NZ"/>
        </w:rPr>
        <w:tab/>
        <w:t>Dates for sector entry into the New Zealand Emissions Trading Scheme</w:t>
      </w:r>
      <w:bookmarkEnd w:id="167"/>
      <w:bookmarkEnd w:id="168"/>
      <w:bookmarkEnd w:id="169"/>
      <w:bookmarkEnd w:id="170"/>
      <w:bookmarkEnd w:id="171"/>
      <w:r w:rsidRPr="00256982">
        <w:rPr>
          <w:lang w:eastAsia="en-NZ"/>
        </w:rPr>
        <w:t xml:space="preserve"> </w:t>
      </w:r>
    </w:p>
    <w:tbl>
      <w:tblPr>
        <w:tblW w:w="8505" w:type="dxa"/>
        <w:tblInd w:w="108" w:type="dxa"/>
        <w:tblBorders>
          <w:bottom w:val="single" w:sz="8" w:space="0" w:color="365F91"/>
          <w:insideH w:val="single" w:sz="8" w:space="0" w:color="365F91"/>
        </w:tblBorders>
        <w:tblLook w:val="04A0" w:firstRow="1" w:lastRow="0" w:firstColumn="1" w:lastColumn="0" w:noHBand="0" w:noVBand="1"/>
      </w:tblPr>
      <w:tblGrid>
        <w:gridCol w:w="2135"/>
        <w:gridCol w:w="2123"/>
        <w:gridCol w:w="2276"/>
        <w:gridCol w:w="1971"/>
      </w:tblGrid>
      <w:tr w:rsidR="00DE64BC" w:rsidRPr="00256982" w14:paraId="5C057C58" w14:textId="77777777" w:rsidTr="00A808C7">
        <w:tc>
          <w:tcPr>
            <w:tcW w:w="1995" w:type="dxa"/>
            <w:tcBorders>
              <w:top w:val="single" w:sz="4" w:space="0" w:color="365F91"/>
              <w:left w:val="nil"/>
              <w:bottom w:val="single" w:sz="4" w:space="0" w:color="365F91"/>
              <w:right w:val="nil"/>
              <w:tl2br w:val="nil"/>
              <w:tr2bl w:val="nil"/>
            </w:tcBorders>
            <w:shd w:val="clear" w:color="365F91" w:fill="365F91"/>
          </w:tcPr>
          <w:p w14:paraId="2A166C07" w14:textId="77777777" w:rsidR="00DE64BC" w:rsidRPr="00256982" w:rsidRDefault="00DE64BC" w:rsidP="00A808C7">
            <w:pPr>
              <w:pStyle w:val="TableTextBold"/>
              <w:keepNext/>
              <w:rPr>
                <w:noProof w:val="0"/>
                <w:color w:val="FFFFFF"/>
                <w:lang w:eastAsia="en-NZ"/>
              </w:rPr>
            </w:pPr>
            <w:r w:rsidRPr="00256982">
              <w:rPr>
                <w:noProof w:val="0"/>
                <w:color w:val="FFFFFF"/>
                <w:lang w:eastAsia="en-NZ"/>
              </w:rPr>
              <w:t xml:space="preserve">Sector </w:t>
            </w:r>
          </w:p>
        </w:tc>
        <w:tc>
          <w:tcPr>
            <w:tcW w:w="1984" w:type="dxa"/>
            <w:tcBorders>
              <w:top w:val="single" w:sz="4" w:space="0" w:color="365F91"/>
              <w:left w:val="nil"/>
              <w:bottom w:val="single" w:sz="4" w:space="0" w:color="365F91"/>
              <w:right w:val="nil"/>
              <w:tl2br w:val="nil"/>
              <w:tr2bl w:val="nil"/>
            </w:tcBorders>
            <w:shd w:val="clear" w:color="365F91" w:fill="365F91"/>
          </w:tcPr>
          <w:p w14:paraId="393B1858" w14:textId="77777777" w:rsidR="00DE64BC" w:rsidRPr="00256982" w:rsidRDefault="00DE64BC" w:rsidP="00A808C7">
            <w:pPr>
              <w:pStyle w:val="TableTextBold"/>
              <w:keepNext/>
              <w:rPr>
                <w:noProof w:val="0"/>
                <w:color w:val="FFFFFF"/>
                <w:lang w:eastAsia="en-NZ"/>
              </w:rPr>
            </w:pPr>
            <w:r w:rsidRPr="00256982">
              <w:rPr>
                <w:noProof w:val="0"/>
                <w:color w:val="FFFFFF"/>
                <w:lang w:eastAsia="en-NZ"/>
              </w:rPr>
              <w:t>Voluntary reporting</w:t>
            </w:r>
          </w:p>
        </w:tc>
        <w:tc>
          <w:tcPr>
            <w:tcW w:w="2127" w:type="dxa"/>
            <w:tcBorders>
              <w:top w:val="single" w:sz="4" w:space="0" w:color="365F91"/>
              <w:left w:val="nil"/>
              <w:bottom w:val="single" w:sz="4" w:space="0" w:color="365F91"/>
              <w:right w:val="nil"/>
              <w:tl2br w:val="nil"/>
              <w:tr2bl w:val="nil"/>
            </w:tcBorders>
            <w:shd w:val="clear" w:color="365F91" w:fill="365F91"/>
          </w:tcPr>
          <w:p w14:paraId="2B21AC9B" w14:textId="77777777" w:rsidR="00DE64BC" w:rsidRPr="00256982" w:rsidRDefault="00DE64BC" w:rsidP="00A808C7">
            <w:pPr>
              <w:pStyle w:val="TableTextBold"/>
              <w:keepNext/>
              <w:rPr>
                <w:noProof w:val="0"/>
                <w:color w:val="FFFFFF"/>
                <w:lang w:eastAsia="en-NZ"/>
              </w:rPr>
            </w:pPr>
            <w:r w:rsidRPr="00256982">
              <w:rPr>
                <w:noProof w:val="0"/>
                <w:color w:val="FFFFFF"/>
                <w:lang w:eastAsia="en-NZ"/>
              </w:rPr>
              <w:t>Mandatory reporting</w:t>
            </w:r>
          </w:p>
        </w:tc>
        <w:tc>
          <w:tcPr>
            <w:tcW w:w="1842" w:type="dxa"/>
            <w:tcBorders>
              <w:top w:val="single" w:sz="4" w:space="0" w:color="365F91"/>
              <w:left w:val="nil"/>
              <w:bottom w:val="single" w:sz="4" w:space="0" w:color="365F91"/>
              <w:right w:val="nil"/>
              <w:tl2br w:val="nil"/>
              <w:tr2bl w:val="nil"/>
            </w:tcBorders>
            <w:shd w:val="clear" w:color="365F91" w:fill="365F91"/>
          </w:tcPr>
          <w:p w14:paraId="45E77878" w14:textId="77777777" w:rsidR="00DE64BC" w:rsidRPr="00256982" w:rsidRDefault="00DE64BC" w:rsidP="00A808C7">
            <w:pPr>
              <w:pStyle w:val="TableTextBold"/>
              <w:keepNext/>
              <w:rPr>
                <w:noProof w:val="0"/>
                <w:color w:val="FFFFFF"/>
                <w:lang w:eastAsia="en-NZ"/>
              </w:rPr>
            </w:pPr>
            <w:r w:rsidRPr="00256982">
              <w:rPr>
                <w:noProof w:val="0"/>
                <w:color w:val="FFFFFF"/>
                <w:lang w:eastAsia="en-NZ"/>
              </w:rPr>
              <w:t>Obligations</w:t>
            </w:r>
          </w:p>
        </w:tc>
      </w:tr>
      <w:tr w:rsidR="00DE64BC" w:rsidRPr="00256982" w14:paraId="62AFCB25" w14:textId="77777777" w:rsidTr="00A808C7">
        <w:tc>
          <w:tcPr>
            <w:tcW w:w="1995" w:type="dxa"/>
            <w:tcBorders>
              <w:top w:val="single" w:sz="4" w:space="0" w:color="365F91"/>
              <w:bottom w:val="single" w:sz="4" w:space="0" w:color="365F91"/>
            </w:tcBorders>
            <w:shd w:val="clear" w:color="auto" w:fill="auto"/>
          </w:tcPr>
          <w:p w14:paraId="59801342" w14:textId="77777777" w:rsidR="00DE64BC" w:rsidRPr="00256982" w:rsidRDefault="00DE64BC" w:rsidP="00A808C7">
            <w:pPr>
              <w:pStyle w:val="TableText"/>
              <w:keepNext/>
            </w:pPr>
            <w:r w:rsidRPr="00256982">
              <w:t xml:space="preserve">Forestry </w:t>
            </w:r>
          </w:p>
        </w:tc>
        <w:tc>
          <w:tcPr>
            <w:tcW w:w="1984" w:type="dxa"/>
            <w:tcBorders>
              <w:top w:val="single" w:sz="4" w:space="0" w:color="365F91"/>
              <w:bottom w:val="single" w:sz="4" w:space="0" w:color="365F91"/>
            </w:tcBorders>
            <w:shd w:val="clear" w:color="auto" w:fill="auto"/>
          </w:tcPr>
          <w:p w14:paraId="216FBC45" w14:textId="77777777" w:rsidR="00DE64BC" w:rsidRPr="00256982" w:rsidRDefault="00DE64BC" w:rsidP="00A808C7">
            <w:pPr>
              <w:pStyle w:val="TableText"/>
              <w:keepNext/>
            </w:pPr>
            <w:r w:rsidRPr="00256982">
              <w:t>–</w:t>
            </w:r>
          </w:p>
        </w:tc>
        <w:tc>
          <w:tcPr>
            <w:tcW w:w="2127" w:type="dxa"/>
            <w:tcBorders>
              <w:top w:val="single" w:sz="4" w:space="0" w:color="365F91"/>
              <w:bottom w:val="single" w:sz="4" w:space="0" w:color="365F91"/>
            </w:tcBorders>
            <w:shd w:val="clear" w:color="auto" w:fill="auto"/>
          </w:tcPr>
          <w:p w14:paraId="56966F1E" w14:textId="77777777" w:rsidR="00DE64BC" w:rsidRPr="00256982" w:rsidRDefault="00DE64BC" w:rsidP="00A808C7">
            <w:pPr>
              <w:pStyle w:val="TableText"/>
              <w:keepNext/>
            </w:pPr>
            <w:r w:rsidRPr="00256982">
              <w:t>–</w:t>
            </w:r>
          </w:p>
        </w:tc>
        <w:tc>
          <w:tcPr>
            <w:tcW w:w="1842" w:type="dxa"/>
            <w:tcBorders>
              <w:top w:val="single" w:sz="4" w:space="0" w:color="365F91"/>
              <w:bottom w:val="single" w:sz="4" w:space="0" w:color="365F91"/>
            </w:tcBorders>
            <w:shd w:val="clear" w:color="auto" w:fill="auto"/>
          </w:tcPr>
          <w:p w14:paraId="6431B9BF" w14:textId="77777777" w:rsidR="00DE64BC" w:rsidRPr="00256982" w:rsidRDefault="00DE64BC" w:rsidP="00A808C7">
            <w:pPr>
              <w:pStyle w:val="TableText"/>
              <w:keepNext/>
            </w:pPr>
            <w:r w:rsidRPr="00256982">
              <w:t>1 January 2008</w:t>
            </w:r>
          </w:p>
        </w:tc>
      </w:tr>
      <w:tr w:rsidR="00DE64BC" w:rsidRPr="00256982" w14:paraId="0D957A55" w14:textId="77777777" w:rsidTr="00A808C7">
        <w:tc>
          <w:tcPr>
            <w:tcW w:w="1995" w:type="dxa"/>
            <w:tcBorders>
              <w:top w:val="single" w:sz="4" w:space="0" w:color="365F91"/>
              <w:bottom w:val="single" w:sz="4" w:space="0" w:color="365F91"/>
            </w:tcBorders>
            <w:shd w:val="clear" w:color="auto" w:fill="auto"/>
          </w:tcPr>
          <w:p w14:paraId="0D1146D3" w14:textId="77777777" w:rsidR="00DE64BC" w:rsidRPr="00256982" w:rsidRDefault="00DE64BC" w:rsidP="00A808C7">
            <w:pPr>
              <w:pStyle w:val="TableText"/>
              <w:keepNext/>
            </w:pPr>
            <w:r w:rsidRPr="00256982">
              <w:t xml:space="preserve">Transport fuels </w:t>
            </w:r>
          </w:p>
        </w:tc>
        <w:tc>
          <w:tcPr>
            <w:tcW w:w="1984" w:type="dxa"/>
            <w:tcBorders>
              <w:top w:val="single" w:sz="4" w:space="0" w:color="365F91"/>
              <w:bottom w:val="single" w:sz="4" w:space="0" w:color="365F91"/>
            </w:tcBorders>
            <w:shd w:val="clear" w:color="auto" w:fill="auto"/>
          </w:tcPr>
          <w:p w14:paraId="6AD6D435" w14:textId="77777777" w:rsidR="00DE64BC" w:rsidRPr="00256982" w:rsidRDefault="00DE64BC" w:rsidP="00A808C7">
            <w:pPr>
              <w:pStyle w:val="TableText"/>
              <w:keepNext/>
            </w:pPr>
            <w:r w:rsidRPr="00256982">
              <w:t>–</w:t>
            </w:r>
          </w:p>
        </w:tc>
        <w:tc>
          <w:tcPr>
            <w:tcW w:w="2127" w:type="dxa"/>
            <w:tcBorders>
              <w:top w:val="single" w:sz="4" w:space="0" w:color="365F91"/>
              <w:bottom w:val="single" w:sz="4" w:space="0" w:color="365F91"/>
            </w:tcBorders>
            <w:shd w:val="clear" w:color="auto" w:fill="auto"/>
          </w:tcPr>
          <w:p w14:paraId="4E97E100" w14:textId="77777777" w:rsidR="00DE64BC" w:rsidRPr="00256982" w:rsidRDefault="00DE64BC" w:rsidP="00A808C7">
            <w:pPr>
              <w:pStyle w:val="TableText"/>
              <w:keepNext/>
            </w:pPr>
            <w:r w:rsidRPr="00256982">
              <w:t>1 January 2010</w:t>
            </w:r>
          </w:p>
        </w:tc>
        <w:tc>
          <w:tcPr>
            <w:tcW w:w="1842" w:type="dxa"/>
            <w:tcBorders>
              <w:top w:val="single" w:sz="4" w:space="0" w:color="365F91"/>
              <w:bottom w:val="single" w:sz="4" w:space="0" w:color="365F91"/>
            </w:tcBorders>
            <w:shd w:val="clear" w:color="auto" w:fill="auto"/>
          </w:tcPr>
          <w:p w14:paraId="339F9EA2" w14:textId="77777777" w:rsidR="00DE64BC" w:rsidRPr="00256982" w:rsidRDefault="00DE64BC" w:rsidP="00A808C7">
            <w:pPr>
              <w:pStyle w:val="TableText"/>
              <w:keepNext/>
            </w:pPr>
            <w:r w:rsidRPr="00256982">
              <w:t>1 July 2010</w:t>
            </w:r>
          </w:p>
        </w:tc>
      </w:tr>
      <w:tr w:rsidR="00DE64BC" w:rsidRPr="00256982" w14:paraId="1318834F" w14:textId="77777777" w:rsidTr="00A808C7">
        <w:tc>
          <w:tcPr>
            <w:tcW w:w="1995" w:type="dxa"/>
            <w:tcBorders>
              <w:top w:val="single" w:sz="4" w:space="0" w:color="365F91"/>
              <w:bottom w:val="single" w:sz="4" w:space="0" w:color="365F91"/>
            </w:tcBorders>
            <w:shd w:val="clear" w:color="auto" w:fill="auto"/>
          </w:tcPr>
          <w:p w14:paraId="3A82BB50" w14:textId="77777777" w:rsidR="00DE64BC" w:rsidRPr="00256982" w:rsidRDefault="00DE64BC" w:rsidP="00A808C7">
            <w:pPr>
              <w:pStyle w:val="TableText"/>
              <w:keepNext/>
            </w:pPr>
            <w:r w:rsidRPr="00256982">
              <w:t xml:space="preserve">Electricity production </w:t>
            </w:r>
          </w:p>
        </w:tc>
        <w:tc>
          <w:tcPr>
            <w:tcW w:w="1984" w:type="dxa"/>
            <w:tcBorders>
              <w:top w:val="single" w:sz="4" w:space="0" w:color="365F91"/>
              <w:bottom w:val="single" w:sz="4" w:space="0" w:color="365F91"/>
            </w:tcBorders>
            <w:shd w:val="clear" w:color="auto" w:fill="auto"/>
          </w:tcPr>
          <w:p w14:paraId="4458BAE3" w14:textId="77777777" w:rsidR="00DE64BC" w:rsidRPr="00256982" w:rsidRDefault="00DE64BC" w:rsidP="00A808C7">
            <w:pPr>
              <w:pStyle w:val="TableText"/>
              <w:keepNext/>
            </w:pPr>
            <w:r w:rsidRPr="00256982">
              <w:t>–</w:t>
            </w:r>
          </w:p>
        </w:tc>
        <w:tc>
          <w:tcPr>
            <w:tcW w:w="2127" w:type="dxa"/>
            <w:tcBorders>
              <w:top w:val="single" w:sz="4" w:space="0" w:color="365F91"/>
              <w:bottom w:val="single" w:sz="4" w:space="0" w:color="365F91"/>
            </w:tcBorders>
            <w:shd w:val="clear" w:color="auto" w:fill="auto"/>
          </w:tcPr>
          <w:p w14:paraId="1B06739A" w14:textId="77777777" w:rsidR="00DE64BC" w:rsidRPr="00256982" w:rsidRDefault="00DE64BC" w:rsidP="00A808C7">
            <w:pPr>
              <w:pStyle w:val="TableText"/>
              <w:keepNext/>
            </w:pPr>
            <w:r w:rsidRPr="00256982">
              <w:t>1 January 2010</w:t>
            </w:r>
          </w:p>
        </w:tc>
        <w:tc>
          <w:tcPr>
            <w:tcW w:w="1842" w:type="dxa"/>
            <w:tcBorders>
              <w:top w:val="single" w:sz="4" w:space="0" w:color="365F91"/>
              <w:bottom w:val="single" w:sz="4" w:space="0" w:color="365F91"/>
            </w:tcBorders>
            <w:shd w:val="clear" w:color="auto" w:fill="auto"/>
          </w:tcPr>
          <w:p w14:paraId="618DAC51" w14:textId="77777777" w:rsidR="00DE64BC" w:rsidRPr="00256982" w:rsidRDefault="00DE64BC" w:rsidP="00A808C7">
            <w:pPr>
              <w:pStyle w:val="TableText"/>
              <w:keepNext/>
            </w:pPr>
            <w:r w:rsidRPr="00256982">
              <w:t>1 July 2010</w:t>
            </w:r>
          </w:p>
        </w:tc>
      </w:tr>
      <w:tr w:rsidR="00DE64BC" w:rsidRPr="00256982" w14:paraId="19D6EE2A" w14:textId="77777777" w:rsidTr="00A808C7">
        <w:tc>
          <w:tcPr>
            <w:tcW w:w="1995" w:type="dxa"/>
            <w:tcBorders>
              <w:top w:val="single" w:sz="4" w:space="0" w:color="365F91"/>
              <w:bottom w:val="single" w:sz="4" w:space="0" w:color="365F91"/>
            </w:tcBorders>
            <w:shd w:val="clear" w:color="auto" w:fill="auto"/>
          </w:tcPr>
          <w:p w14:paraId="2E72260C" w14:textId="77777777" w:rsidR="00DE64BC" w:rsidRPr="00256982" w:rsidRDefault="00DE64BC" w:rsidP="00A808C7">
            <w:pPr>
              <w:pStyle w:val="TableText"/>
              <w:keepNext/>
            </w:pPr>
            <w:r w:rsidRPr="00256982">
              <w:t>IPPU</w:t>
            </w:r>
          </w:p>
        </w:tc>
        <w:tc>
          <w:tcPr>
            <w:tcW w:w="1984" w:type="dxa"/>
            <w:tcBorders>
              <w:top w:val="single" w:sz="4" w:space="0" w:color="365F91"/>
              <w:bottom w:val="single" w:sz="4" w:space="0" w:color="365F91"/>
            </w:tcBorders>
            <w:shd w:val="clear" w:color="auto" w:fill="auto"/>
          </w:tcPr>
          <w:p w14:paraId="6C2A649C" w14:textId="77777777" w:rsidR="00DE64BC" w:rsidRPr="00256982" w:rsidRDefault="00DE64BC" w:rsidP="00A808C7">
            <w:pPr>
              <w:pStyle w:val="TableText"/>
              <w:keepNext/>
            </w:pPr>
            <w:r w:rsidRPr="00256982">
              <w:t>–</w:t>
            </w:r>
          </w:p>
        </w:tc>
        <w:tc>
          <w:tcPr>
            <w:tcW w:w="2127" w:type="dxa"/>
            <w:tcBorders>
              <w:top w:val="single" w:sz="4" w:space="0" w:color="365F91"/>
              <w:bottom w:val="single" w:sz="4" w:space="0" w:color="365F91"/>
            </w:tcBorders>
            <w:shd w:val="clear" w:color="auto" w:fill="auto"/>
          </w:tcPr>
          <w:p w14:paraId="3162B51A" w14:textId="77777777" w:rsidR="00DE64BC" w:rsidRPr="00256982" w:rsidRDefault="00DE64BC" w:rsidP="00A808C7">
            <w:pPr>
              <w:pStyle w:val="TableText"/>
              <w:keepNext/>
            </w:pPr>
            <w:r w:rsidRPr="00256982">
              <w:t>1 January 2010</w:t>
            </w:r>
          </w:p>
        </w:tc>
        <w:tc>
          <w:tcPr>
            <w:tcW w:w="1842" w:type="dxa"/>
            <w:tcBorders>
              <w:top w:val="single" w:sz="4" w:space="0" w:color="365F91"/>
              <w:bottom w:val="single" w:sz="4" w:space="0" w:color="365F91"/>
            </w:tcBorders>
            <w:shd w:val="clear" w:color="auto" w:fill="auto"/>
          </w:tcPr>
          <w:p w14:paraId="32CA66CF" w14:textId="77777777" w:rsidR="00DE64BC" w:rsidRPr="00256982" w:rsidRDefault="00DE64BC" w:rsidP="00A808C7">
            <w:pPr>
              <w:pStyle w:val="TableText"/>
              <w:keepNext/>
            </w:pPr>
            <w:r w:rsidRPr="00256982">
              <w:t>1 July 2010</w:t>
            </w:r>
          </w:p>
        </w:tc>
      </w:tr>
      <w:tr w:rsidR="00DE64BC" w:rsidRPr="00256982" w14:paraId="0432AADD" w14:textId="77777777" w:rsidTr="00A808C7">
        <w:tc>
          <w:tcPr>
            <w:tcW w:w="1995" w:type="dxa"/>
            <w:tcBorders>
              <w:top w:val="single" w:sz="4" w:space="0" w:color="365F91"/>
              <w:bottom w:val="single" w:sz="4" w:space="0" w:color="365F91"/>
            </w:tcBorders>
            <w:shd w:val="clear" w:color="auto" w:fill="auto"/>
          </w:tcPr>
          <w:p w14:paraId="657B885D" w14:textId="77777777" w:rsidR="00DE64BC" w:rsidRPr="00256982" w:rsidRDefault="00DE64BC" w:rsidP="00A808C7">
            <w:pPr>
              <w:pStyle w:val="TableText"/>
            </w:pPr>
            <w:r w:rsidRPr="00256982">
              <w:t>Synthetic gases</w:t>
            </w:r>
          </w:p>
        </w:tc>
        <w:tc>
          <w:tcPr>
            <w:tcW w:w="1984" w:type="dxa"/>
            <w:tcBorders>
              <w:top w:val="single" w:sz="4" w:space="0" w:color="365F91"/>
              <w:bottom w:val="single" w:sz="4" w:space="0" w:color="365F91"/>
            </w:tcBorders>
            <w:shd w:val="clear" w:color="auto" w:fill="auto"/>
          </w:tcPr>
          <w:p w14:paraId="4F2B4016" w14:textId="77777777" w:rsidR="00DE64BC" w:rsidRPr="00256982" w:rsidRDefault="00DE64BC" w:rsidP="00A808C7">
            <w:pPr>
              <w:pStyle w:val="TableText"/>
            </w:pPr>
            <w:r w:rsidRPr="00256982">
              <w:t>1 January 2011</w:t>
            </w:r>
          </w:p>
        </w:tc>
        <w:tc>
          <w:tcPr>
            <w:tcW w:w="2127" w:type="dxa"/>
            <w:tcBorders>
              <w:top w:val="single" w:sz="4" w:space="0" w:color="365F91"/>
              <w:bottom w:val="single" w:sz="4" w:space="0" w:color="365F91"/>
            </w:tcBorders>
            <w:shd w:val="clear" w:color="auto" w:fill="auto"/>
          </w:tcPr>
          <w:p w14:paraId="49465FD6" w14:textId="77777777" w:rsidR="00DE64BC" w:rsidRPr="00256982" w:rsidRDefault="00DE64BC" w:rsidP="00A808C7">
            <w:pPr>
              <w:pStyle w:val="TableText"/>
            </w:pPr>
            <w:r w:rsidRPr="00256982">
              <w:t>1 January 2012</w:t>
            </w:r>
          </w:p>
        </w:tc>
        <w:tc>
          <w:tcPr>
            <w:tcW w:w="1842" w:type="dxa"/>
            <w:tcBorders>
              <w:top w:val="single" w:sz="4" w:space="0" w:color="365F91"/>
              <w:bottom w:val="single" w:sz="4" w:space="0" w:color="365F91"/>
            </w:tcBorders>
            <w:shd w:val="clear" w:color="auto" w:fill="auto"/>
          </w:tcPr>
          <w:p w14:paraId="2BD77866" w14:textId="77777777" w:rsidR="00DE64BC" w:rsidRPr="00256982" w:rsidRDefault="00DE64BC" w:rsidP="00A808C7">
            <w:pPr>
              <w:pStyle w:val="TableText"/>
            </w:pPr>
            <w:r w:rsidRPr="00256982">
              <w:t>1 January 2013</w:t>
            </w:r>
          </w:p>
        </w:tc>
      </w:tr>
      <w:tr w:rsidR="00DE64BC" w:rsidRPr="00256982" w14:paraId="28BD3908" w14:textId="77777777" w:rsidTr="00A808C7">
        <w:tc>
          <w:tcPr>
            <w:tcW w:w="1995" w:type="dxa"/>
            <w:tcBorders>
              <w:top w:val="single" w:sz="4" w:space="0" w:color="365F91"/>
              <w:bottom w:val="single" w:sz="4" w:space="0" w:color="365F91"/>
            </w:tcBorders>
            <w:shd w:val="clear" w:color="auto" w:fill="auto"/>
          </w:tcPr>
          <w:p w14:paraId="26D1908A" w14:textId="77777777" w:rsidR="00DE64BC" w:rsidRPr="00256982" w:rsidRDefault="00DE64BC" w:rsidP="00A808C7">
            <w:pPr>
              <w:pStyle w:val="TableText"/>
            </w:pPr>
            <w:r w:rsidRPr="00256982">
              <w:t>Waste</w:t>
            </w:r>
          </w:p>
        </w:tc>
        <w:tc>
          <w:tcPr>
            <w:tcW w:w="1984" w:type="dxa"/>
            <w:tcBorders>
              <w:top w:val="single" w:sz="4" w:space="0" w:color="365F91"/>
              <w:bottom w:val="single" w:sz="4" w:space="0" w:color="365F91"/>
            </w:tcBorders>
            <w:shd w:val="clear" w:color="auto" w:fill="auto"/>
          </w:tcPr>
          <w:p w14:paraId="50A2D712" w14:textId="77777777" w:rsidR="00DE64BC" w:rsidRPr="00256982" w:rsidRDefault="00DE64BC" w:rsidP="00A808C7">
            <w:pPr>
              <w:pStyle w:val="TableText"/>
            </w:pPr>
            <w:r w:rsidRPr="00256982">
              <w:t>1 January 2011</w:t>
            </w:r>
          </w:p>
        </w:tc>
        <w:tc>
          <w:tcPr>
            <w:tcW w:w="2127" w:type="dxa"/>
            <w:tcBorders>
              <w:top w:val="single" w:sz="4" w:space="0" w:color="365F91"/>
              <w:bottom w:val="single" w:sz="4" w:space="0" w:color="365F91"/>
            </w:tcBorders>
            <w:shd w:val="clear" w:color="auto" w:fill="auto"/>
          </w:tcPr>
          <w:p w14:paraId="1221BEAF" w14:textId="77777777" w:rsidR="00DE64BC" w:rsidRPr="00256982" w:rsidRDefault="00DE64BC" w:rsidP="00A808C7">
            <w:pPr>
              <w:pStyle w:val="TableText"/>
            </w:pPr>
            <w:r w:rsidRPr="00256982">
              <w:t>1 January 2012</w:t>
            </w:r>
          </w:p>
        </w:tc>
        <w:tc>
          <w:tcPr>
            <w:tcW w:w="1842" w:type="dxa"/>
            <w:tcBorders>
              <w:top w:val="single" w:sz="4" w:space="0" w:color="365F91"/>
              <w:bottom w:val="single" w:sz="4" w:space="0" w:color="365F91"/>
            </w:tcBorders>
            <w:shd w:val="clear" w:color="auto" w:fill="auto"/>
          </w:tcPr>
          <w:p w14:paraId="339CFDB1" w14:textId="77777777" w:rsidR="00DE64BC" w:rsidRPr="00256982" w:rsidRDefault="00DE64BC" w:rsidP="00A808C7">
            <w:pPr>
              <w:pStyle w:val="TableText"/>
            </w:pPr>
            <w:r w:rsidRPr="00256982">
              <w:t>1 January 2013</w:t>
            </w:r>
          </w:p>
        </w:tc>
      </w:tr>
      <w:tr w:rsidR="00DE64BC" w:rsidRPr="00256982" w14:paraId="7F71BE3A" w14:textId="77777777" w:rsidTr="00A808C7">
        <w:tc>
          <w:tcPr>
            <w:tcW w:w="1995" w:type="dxa"/>
            <w:tcBorders>
              <w:top w:val="single" w:sz="4" w:space="0" w:color="365F91"/>
              <w:bottom w:val="single" w:sz="4" w:space="0" w:color="365F91"/>
            </w:tcBorders>
            <w:shd w:val="clear" w:color="auto" w:fill="auto"/>
          </w:tcPr>
          <w:p w14:paraId="7E41B78D" w14:textId="77777777" w:rsidR="00DE64BC" w:rsidRPr="00256982" w:rsidRDefault="00DE64BC" w:rsidP="00A808C7">
            <w:pPr>
              <w:pStyle w:val="TableText"/>
            </w:pPr>
            <w:r w:rsidRPr="00256982">
              <w:t>Agriculture</w:t>
            </w:r>
          </w:p>
        </w:tc>
        <w:tc>
          <w:tcPr>
            <w:tcW w:w="1984" w:type="dxa"/>
            <w:tcBorders>
              <w:top w:val="single" w:sz="4" w:space="0" w:color="365F91"/>
              <w:bottom w:val="single" w:sz="4" w:space="0" w:color="365F91"/>
            </w:tcBorders>
            <w:shd w:val="clear" w:color="auto" w:fill="auto"/>
          </w:tcPr>
          <w:p w14:paraId="3A2B9FA6" w14:textId="77777777" w:rsidR="00DE64BC" w:rsidRPr="00256982" w:rsidRDefault="00DE64BC" w:rsidP="00A808C7">
            <w:pPr>
              <w:pStyle w:val="TableText"/>
            </w:pPr>
            <w:r w:rsidRPr="00256982">
              <w:t>1 January 2011</w:t>
            </w:r>
          </w:p>
        </w:tc>
        <w:tc>
          <w:tcPr>
            <w:tcW w:w="2127" w:type="dxa"/>
            <w:tcBorders>
              <w:top w:val="single" w:sz="4" w:space="0" w:color="365F91"/>
              <w:bottom w:val="single" w:sz="4" w:space="0" w:color="365F91"/>
            </w:tcBorders>
            <w:shd w:val="clear" w:color="auto" w:fill="auto"/>
          </w:tcPr>
          <w:p w14:paraId="36986DDC" w14:textId="77777777" w:rsidR="00DE64BC" w:rsidRPr="00256982" w:rsidRDefault="00DE64BC" w:rsidP="00A808C7">
            <w:pPr>
              <w:pStyle w:val="TableText"/>
            </w:pPr>
            <w:r w:rsidRPr="00256982">
              <w:t>1 January 2012</w:t>
            </w:r>
          </w:p>
        </w:tc>
        <w:tc>
          <w:tcPr>
            <w:tcW w:w="1842" w:type="dxa"/>
            <w:tcBorders>
              <w:top w:val="single" w:sz="4" w:space="0" w:color="365F91"/>
              <w:bottom w:val="single" w:sz="4" w:space="0" w:color="365F91"/>
            </w:tcBorders>
            <w:shd w:val="clear" w:color="auto" w:fill="auto"/>
          </w:tcPr>
          <w:p w14:paraId="10BB6080" w14:textId="77777777" w:rsidR="00DE64BC" w:rsidRPr="00256982" w:rsidRDefault="00DE64BC" w:rsidP="00A808C7">
            <w:pPr>
              <w:pStyle w:val="TableText"/>
            </w:pPr>
            <w:r w:rsidRPr="00256982">
              <w:t>–</w:t>
            </w:r>
          </w:p>
        </w:tc>
      </w:tr>
    </w:tbl>
    <w:p w14:paraId="499BABF5" w14:textId="77777777" w:rsidR="00DE64BC" w:rsidRPr="00256982" w:rsidRDefault="00DE64BC" w:rsidP="006F0CF5">
      <w:pPr>
        <w:pStyle w:val="Heading2"/>
        <w:spacing w:before="480"/>
      </w:pPr>
      <w:bookmarkStart w:id="172" w:name="_Toc352504830"/>
      <w:bookmarkStart w:id="173" w:name="_Toc414531277"/>
      <w:bookmarkStart w:id="174" w:name="_Toc448321498"/>
      <w:bookmarkStart w:id="175" w:name="_Toc511116575"/>
      <w:bookmarkStart w:id="176" w:name="_Toc5269337"/>
      <w:r w:rsidRPr="00256982">
        <w:t xml:space="preserve">1.10 </w:t>
      </w:r>
      <w:r w:rsidRPr="00256982">
        <w:tab/>
        <w:t>Improvements introduced</w:t>
      </w:r>
      <w:bookmarkEnd w:id="172"/>
      <w:bookmarkEnd w:id="173"/>
      <w:bookmarkEnd w:id="174"/>
      <w:bookmarkEnd w:id="175"/>
      <w:bookmarkEnd w:id="176"/>
      <w:r w:rsidRPr="00256982">
        <w:t xml:space="preserve"> </w:t>
      </w:r>
    </w:p>
    <w:p w14:paraId="7420BDA0" w14:textId="77777777" w:rsidR="00DE64BC" w:rsidRPr="00256982" w:rsidRDefault="00DE64BC" w:rsidP="00A808C7">
      <w:pPr>
        <w:pStyle w:val="BodyText"/>
        <w:spacing w:after="100"/>
      </w:pPr>
      <w:r w:rsidRPr="00256982">
        <w:t>An important part of producing the inventory is improving the accuracy of estimates for emissions and removals. In this inventory, a number of recalculations have been made to the estimates due to improvements in:</w:t>
      </w:r>
    </w:p>
    <w:p w14:paraId="2717AB59" w14:textId="77777777" w:rsidR="00DE64BC" w:rsidRPr="00256982" w:rsidRDefault="00DE64BC" w:rsidP="0036046B">
      <w:pPr>
        <w:pStyle w:val="Bullet"/>
        <w:numPr>
          <w:ilvl w:val="0"/>
          <w:numId w:val="8"/>
        </w:numPr>
      </w:pPr>
      <w:r w:rsidRPr="00256982">
        <w:t xml:space="preserve">activity data </w:t>
      </w:r>
    </w:p>
    <w:p w14:paraId="52153180" w14:textId="77777777" w:rsidR="00DE64BC" w:rsidRPr="00256982" w:rsidRDefault="00DE64BC" w:rsidP="0036046B">
      <w:pPr>
        <w:pStyle w:val="Bullet"/>
        <w:numPr>
          <w:ilvl w:val="0"/>
          <w:numId w:val="8"/>
        </w:numPr>
      </w:pPr>
      <w:r w:rsidRPr="00256982">
        <w:t>emission factors and/or other parameters</w:t>
      </w:r>
    </w:p>
    <w:p w14:paraId="1218CFDF" w14:textId="77777777" w:rsidR="00DE64BC" w:rsidRPr="00256982" w:rsidRDefault="00DE64BC" w:rsidP="0036046B">
      <w:pPr>
        <w:pStyle w:val="Bullet"/>
        <w:numPr>
          <w:ilvl w:val="0"/>
          <w:numId w:val="8"/>
        </w:numPr>
      </w:pPr>
      <w:r w:rsidRPr="00256982">
        <w:t>methodologies</w:t>
      </w:r>
    </w:p>
    <w:p w14:paraId="5CEB65B7" w14:textId="77777777" w:rsidR="00DE64BC" w:rsidRPr="00256982" w:rsidRDefault="00DE64BC" w:rsidP="0036046B">
      <w:pPr>
        <w:pStyle w:val="Bullet"/>
        <w:numPr>
          <w:ilvl w:val="0"/>
          <w:numId w:val="8"/>
        </w:numPr>
      </w:pPr>
      <w:r w:rsidRPr="00256982">
        <w:t xml:space="preserve">availability of activity data and emission factors for sources that were previously reported as ‘NE’ (not estimated) because of insufficient data. </w:t>
      </w:r>
    </w:p>
    <w:p w14:paraId="4DAA172A" w14:textId="77777777" w:rsidR="00DE64BC" w:rsidRPr="00256982" w:rsidRDefault="00DE64BC" w:rsidP="00A808C7">
      <w:pPr>
        <w:pStyle w:val="BodyText"/>
      </w:pPr>
      <w:r w:rsidRPr="00256982">
        <w:t>It is good practice to recalculate the whole time series, from 1990 to the latest reported year in the inventory, to ensure consistency across the time series. This means estimates of emissions in a given submission year may differ from emissions reported in previous submissions. There may be exceptions to recalculating the entire time series and, where this has occurred, explanations are provided.</w:t>
      </w:r>
    </w:p>
    <w:p w14:paraId="11477F80" w14:textId="77777777" w:rsidR="00DE64BC" w:rsidRPr="00256982" w:rsidRDefault="00DE64BC" w:rsidP="00A808C7">
      <w:pPr>
        <w:pStyle w:val="BodyText"/>
      </w:pPr>
      <w:r w:rsidRPr="00256982">
        <w:t xml:space="preserve">Chapter 10 provides a summary of all recalculations made to estimates of emissions and removals. </w:t>
      </w:r>
    </w:p>
    <w:p w14:paraId="7EF311C9" w14:textId="77777777" w:rsidR="00DE64BC" w:rsidRPr="00256982" w:rsidRDefault="00DE64BC" w:rsidP="00A808C7">
      <w:pPr>
        <w:pStyle w:val="BodyText"/>
      </w:pPr>
      <w:r w:rsidRPr="00256982">
        <w:t xml:space="preserve">Improvements made to New Zealand’s national registry are included in chapter 14. </w:t>
      </w:r>
    </w:p>
    <w:p w14:paraId="4DFE4660" w14:textId="77777777" w:rsidR="00DE64BC" w:rsidRPr="00256982" w:rsidRDefault="00DE64BC" w:rsidP="00A808C7">
      <w:pPr>
        <w:pStyle w:val="BodyText"/>
      </w:pPr>
      <w:r w:rsidRPr="00256982">
        <w:t xml:space="preserve">Following the extension of New Zealand’s ratification of the Convention and the Paris Agreement to include Tokelau, New Zealand has made the relevant adjustments to its inventory arrangements and national system to include Tokelau in New Zealand’s inventory reporting (see chapters 8 and 13 for further details). </w:t>
      </w:r>
    </w:p>
    <w:p w14:paraId="2EDEC28B" w14:textId="77777777" w:rsidR="00DE64BC" w:rsidRPr="00256982" w:rsidRDefault="00DE64BC" w:rsidP="00A72006">
      <w:pPr>
        <w:pStyle w:val="Heading4"/>
        <w:rPr>
          <w:lang w:eastAsia="en-GB"/>
        </w:rPr>
      </w:pPr>
      <w:r w:rsidRPr="00256982">
        <w:lastRenderedPageBreak/>
        <w:t xml:space="preserve">Energy </w:t>
      </w:r>
    </w:p>
    <w:p w14:paraId="32DA1707" w14:textId="77777777" w:rsidR="00DE64BC" w:rsidRPr="00256982" w:rsidRDefault="00DE64BC" w:rsidP="00A808C7">
      <w:pPr>
        <w:pStyle w:val="BodyText"/>
        <w:spacing w:after="100"/>
        <w:rPr>
          <w:lang w:eastAsia="en-GB"/>
        </w:rPr>
      </w:pPr>
      <w:r w:rsidRPr="00256982">
        <w:rPr>
          <w:lang w:eastAsia="en-GB"/>
        </w:rPr>
        <w:t xml:space="preserve">A number of planned improvements were implemented for the Energy sector in the 2018 submission. Most of the changes to the Energy sector in the 2018 submission focused on recommendations from the </w:t>
      </w:r>
      <w:r w:rsidRPr="00256982">
        <w:t>expert review team</w:t>
      </w:r>
      <w:r w:rsidRPr="00256982">
        <w:rPr>
          <w:lang w:eastAsia="en-GB"/>
        </w:rPr>
        <w:t xml:space="preserve"> as a result of the review of the 2016 and 2017 submissions of the inventory. Specific improvements include:</w:t>
      </w:r>
    </w:p>
    <w:p w14:paraId="73B23AC9" w14:textId="77777777" w:rsidR="00DE64BC" w:rsidRPr="00256982" w:rsidRDefault="00DE64BC" w:rsidP="0036046B">
      <w:pPr>
        <w:pStyle w:val="Bullet"/>
        <w:numPr>
          <w:ilvl w:val="0"/>
          <w:numId w:val="8"/>
        </w:numPr>
        <w:spacing w:after="100"/>
      </w:pPr>
      <w:r w:rsidRPr="00256982">
        <w:t xml:space="preserve">disaggregation of the fossil fraction of biodiesel </w:t>
      </w:r>
    </w:p>
    <w:p w14:paraId="178629A8" w14:textId="77777777" w:rsidR="00DE64BC" w:rsidRPr="00256982" w:rsidRDefault="00DE64BC" w:rsidP="006909E0">
      <w:pPr>
        <w:pStyle w:val="Bullet"/>
        <w:numPr>
          <w:ilvl w:val="0"/>
          <w:numId w:val="8"/>
        </w:numPr>
      </w:pPr>
      <w:r w:rsidRPr="00256982">
        <w:t>improvements to the estimates of non-CO</w:t>
      </w:r>
      <w:r w:rsidRPr="00256982">
        <w:rPr>
          <w:vertAlign w:val="subscript"/>
        </w:rPr>
        <w:t>2</w:t>
      </w:r>
      <w:r w:rsidRPr="00256982">
        <w:t xml:space="preserve"> emissions from road transport.</w:t>
      </w:r>
    </w:p>
    <w:p w14:paraId="10F8D698" w14:textId="77777777" w:rsidR="00DE64BC" w:rsidRPr="00256982" w:rsidRDefault="00DE64BC" w:rsidP="00A808C7">
      <w:pPr>
        <w:pStyle w:val="BodyText"/>
        <w:spacing w:after="100"/>
        <w:rPr>
          <w:lang w:eastAsia="en-GB"/>
        </w:rPr>
      </w:pPr>
      <w:r w:rsidRPr="00256982">
        <w:rPr>
          <w:lang w:eastAsia="en-GB"/>
        </w:rPr>
        <w:t xml:space="preserve">The following improvements are planned for future submissions of the inventory: </w:t>
      </w:r>
    </w:p>
    <w:p w14:paraId="354D406A" w14:textId="77777777" w:rsidR="00DE64BC" w:rsidRPr="00256982" w:rsidRDefault="00DE64BC" w:rsidP="0036046B">
      <w:pPr>
        <w:pStyle w:val="Bullet"/>
        <w:numPr>
          <w:ilvl w:val="0"/>
          <w:numId w:val="8"/>
        </w:numPr>
        <w:spacing w:after="100"/>
      </w:pPr>
      <w:r w:rsidRPr="00256982">
        <w:t>as the data set of verified unique emission factors for individual geothermal fields and coal mines obtained from the NZ ETS grows, New Zealand will consider methods of incorporating this data to improve the accuracy of estimates for the Energy sector.</w:t>
      </w:r>
    </w:p>
    <w:p w14:paraId="6FACE903" w14:textId="77777777" w:rsidR="00DE64BC" w:rsidRPr="00256982" w:rsidRDefault="00DE64BC" w:rsidP="00A808C7">
      <w:pPr>
        <w:pStyle w:val="BodyText"/>
      </w:pPr>
      <w:r w:rsidRPr="00256982">
        <w:t xml:space="preserve">All source-specific planned improvements are discussed in their corresponding sections in chapter 3. </w:t>
      </w:r>
    </w:p>
    <w:p w14:paraId="5774155E" w14:textId="77777777" w:rsidR="00DE64BC" w:rsidRPr="00256982" w:rsidRDefault="00DE64BC" w:rsidP="006909E0">
      <w:pPr>
        <w:pStyle w:val="Heading4"/>
        <w:spacing w:before="200"/>
      </w:pPr>
      <w:r w:rsidRPr="00256982">
        <w:t>IPPU</w:t>
      </w:r>
    </w:p>
    <w:p w14:paraId="1B64ABF7" w14:textId="77777777" w:rsidR="00DE64BC" w:rsidRPr="00256982" w:rsidRDefault="00DE64BC" w:rsidP="00A808C7">
      <w:pPr>
        <w:pStyle w:val="BodyText"/>
        <w:spacing w:before="100" w:after="100"/>
      </w:pPr>
      <w:r w:rsidRPr="00256982">
        <w:t xml:space="preserve">In the </w:t>
      </w:r>
      <w:r w:rsidRPr="00256982">
        <w:rPr>
          <w:i/>
        </w:rPr>
        <w:t>Product uses as substitutes for ODS</w:t>
      </w:r>
      <w:r w:rsidRPr="00256982">
        <w:t xml:space="preserve"> source category, activity data and emissions for refrigeration and air conditioning are disaggregated by sub-application. For submissions up to 2015, only mobile air conditioning was reported separately. </w:t>
      </w:r>
    </w:p>
    <w:p w14:paraId="0025DD07" w14:textId="77777777" w:rsidR="00DE64BC" w:rsidRPr="00256982" w:rsidRDefault="00DE64BC" w:rsidP="00A808C7">
      <w:pPr>
        <w:pStyle w:val="BodyText"/>
        <w:spacing w:before="100" w:after="100"/>
      </w:pPr>
      <w:r w:rsidRPr="00256982">
        <w:t xml:space="preserve">For this submission, emissions from refrigeration and air conditioning for all years have been recalculated to better account for fluctuations in import volumes and refrigerant stockpiled by importers. </w:t>
      </w:r>
    </w:p>
    <w:p w14:paraId="479D1528" w14:textId="77777777" w:rsidR="00DE64BC" w:rsidRPr="00256982" w:rsidRDefault="00DE64BC" w:rsidP="00A808C7">
      <w:pPr>
        <w:pStyle w:val="BodyText"/>
        <w:spacing w:before="100" w:after="100"/>
        <w:rPr>
          <w:lang w:eastAsia="en-NZ"/>
        </w:rPr>
      </w:pPr>
      <w:r w:rsidRPr="00256982">
        <w:rPr>
          <w:lang w:eastAsia="en-NZ"/>
        </w:rPr>
        <w:t>Section 4.1.7 in chapter 4 contains more details about improvements and recalculations for the IPPU sector.</w:t>
      </w:r>
    </w:p>
    <w:p w14:paraId="70418189" w14:textId="77777777" w:rsidR="00DE64BC" w:rsidRPr="00256982" w:rsidRDefault="00DE64BC" w:rsidP="006909E0">
      <w:pPr>
        <w:pStyle w:val="Heading4"/>
        <w:spacing w:before="200"/>
      </w:pPr>
      <w:r w:rsidRPr="00256982">
        <w:t>Agriculture</w:t>
      </w:r>
    </w:p>
    <w:p w14:paraId="1C13637A" w14:textId="77777777" w:rsidR="00DE64BC" w:rsidRPr="00256982" w:rsidRDefault="00DE64BC" w:rsidP="00A808C7">
      <w:pPr>
        <w:pStyle w:val="BodyText"/>
        <w:spacing w:before="100" w:after="100"/>
      </w:pPr>
      <w:r w:rsidRPr="00256982">
        <w:t>New Zealand has improved the following areas in the 2019 inventory submission:</w:t>
      </w:r>
    </w:p>
    <w:p w14:paraId="2EDBF8CB" w14:textId="77777777" w:rsidR="00DE64BC" w:rsidRPr="00256982" w:rsidRDefault="00DE64BC" w:rsidP="0036046B">
      <w:pPr>
        <w:pStyle w:val="Bullet"/>
        <w:numPr>
          <w:ilvl w:val="0"/>
          <w:numId w:val="8"/>
        </w:numPr>
        <w:spacing w:after="100"/>
      </w:pPr>
      <w:r w:rsidRPr="00256982">
        <w:t xml:space="preserve">the use of revised activity data for the proportion of dairy excreta entering anaerobic lagoons within the </w:t>
      </w:r>
      <w:r w:rsidRPr="00256982">
        <w:rPr>
          <w:i/>
        </w:rPr>
        <w:t>Manure management category</w:t>
      </w:r>
      <w:r w:rsidRPr="00256982">
        <w:t xml:space="preserve"> (this will also have minor implications for the </w:t>
      </w:r>
      <w:r w:rsidRPr="00256982">
        <w:rPr>
          <w:i/>
        </w:rPr>
        <w:t>Agricultural soils</w:t>
      </w:r>
      <w:r w:rsidRPr="00256982">
        <w:t xml:space="preserve"> category). This improvement was implemented to reflect the increase in the use of dairy effluent infrastructure since 1990</w:t>
      </w:r>
    </w:p>
    <w:p w14:paraId="47E4436F" w14:textId="77777777" w:rsidR="00DE64BC" w:rsidRPr="00256982" w:rsidRDefault="00DE64BC" w:rsidP="0036046B">
      <w:pPr>
        <w:pStyle w:val="Bullet"/>
        <w:numPr>
          <w:ilvl w:val="0"/>
          <w:numId w:val="8"/>
        </w:numPr>
        <w:spacing w:after="100"/>
      </w:pPr>
      <w:r w:rsidRPr="00256982">
        <w:t xml:space="preserve">the methodology and equations used for estimating the proportion of nitrogen excretion partitioned between dung and urine by ruminant animals within the </w:t>
      </w:r>
      <w:r w:rsidRPr="00256982">
        <w:rPr>
          <w:i/>
          <w:iCs/>
        </w:rPr>
        <w:t>Agricultural soils</w:t>
      </w:r>
      <w:r w:rsidRPr="00256982">
        <w:t xml:space="preserve"> category. The impact of this improvement on reported emissions is minor but reflects the latest reviewed data available.</w:t>
      </w:r>
    </w:p>
    <w:p w14:paraId="1AFBE24D" w14:textId="77777777" w:rsidR="00DE64BC" w:rsidRPr="00256982" w:rsidRDefault="00DE64BC" w:rsidP="00A808C7">
      <w:pPr>
        <w:pStyle w:val="BodyText"/>
        <w:spacing w:before="100" w:after="100"/>
      </w:pPr>
      <w:r w:rsidRPr="00256982">
        <w:t>The MPI Agriculture Inventory Advisory Panel met on 13 November 2018 and recommended that these proposed changes be adopted. This was approved by the Deputy Director-General, Policy and Trade, MPI.</w:t>
      </w:r>
    </w:p>
    <w:p w14:paraId="4C2569CE" w14:textId="77777777" w:rsidR="00DE64BC" w:rsidRPr="00256982" w:rsidRDefault="00DE64BC" w:rsidP="00A808C7">
      <w:pPr>
        <w:pStyle w:val="BodyText"/>
        <w:spacing w:before="100" w:after="100"/>
      </w:pPr>
      <w:r w:rsidRPr="00256982">
        <w:t xml:space="preserve">The 2019 submission corrects the following minor errors identified in 2018: </w:t>
      </w:r>
    </w:p>
    <w:p w14:paraId="5258E8C3" w14:textId="77777777" w:rsidR="00DE64BC" w:rsidRPr="00256982" w:rsidRDefault="00DE64BC" w:rsidP="0036046B">
      <w:pPr>
        <w:pStyle w:val="Bullet"/>
        <w:numPr>
          <w:ilvl w:val="0"/>
          <w:numId w:val="8"/>
        </w:numPr>
        <w:spacing w:after="100"/>
      </w:pPr>
      <w:r w:rsidRPr="00256982">
        <w:t>the equations used to estimate maintenance energy requirements for dairy cattle, non-dairy cattle, sheep and deer. During 2018, an error was identified in the equation that estimates total metabolisable energy requirements</w:t>
      </w:r>
    </w:p>
    <w:p w14:paraId="37E67461" w14:textId="77777777" w:rsidR="00DE64BC" w:rsidRPr="00256982" w:rsidRDefault="00DE64BC" w:rsidP="0036046B">
      <w:pPr>
        <w:pStyle w:val="Bullet"/>
        <w:numPr>
          <w:ilvl w:val="0"/>
          <w:numId w:val="8"/>
        </w:numPr>
        <w:spacing w:after="100"/>
      </w:pPr>
      <w:r w:rsidRPr="00256982">
        <w:t>the equations that estimate monthly population changes for some sheep and deer animal categories.</w:t>
      </w:r>
    </w:p>
    <w:p w14:paraId="1F0B8A87" w14:textId="77777777" w:rsidR="00DE64BC" w:rsidRPr="00256982" w:rsidRDefault="00DE64BC" w:rsidP="006909E0">
      <w:pPr>
        <w:pStyle w:val="BodyText"/>
        <w:spacing w:after="100"/>
        <w:rPr>
          <w:lang w:eastAsia="en-NZ"/>
        </w:rPr>
      </w:pPr>
      <w:r w:rsidRPr="00256982">
        <w:t>Further details on these changes are outlined in chapter 5 (s</w:t>
      </w:r>
      <w:r w:rsidRPr="00256982">
        <w:rPr>
          <w:lang w:eastAsia="en-NZ"/>
        </w:rPr>
        <w:t>ections 5.1.5, 5.3.5 and 5.5.5) and chapter 10 (section 10.1.3) of this inventory submission.</w:t>
      </w:r>
    </w:p>
    <w:p w14:paraId="18CE15FE" w14:textId="77777777" w:rsidR="00DE64BC" w:rsidRPr="00256982" w:rsidRDefault="00DE64BC" w:rsidP="00A72006">
      <w:pPr>
        <w:pStyle w:val="Heading4"/>
      </w:pPr>
      <w:r w:rsidRPr="00256982">
        <w:rPr>
          <w:lang w:eastAsia="en-NZ"/>
        </w:rPr>
        <w:lastRenderedPageBreak/>
        <w:t>LULUCF</w:t>
      </w:r>
    </w:p>
    <w:p w14:paraId="352E668C" w14:textId="77777777" w:rsidR="00DE64BC" w:rsidRPr="00256982" w:rsidRDefault="00DE64BC" w:rsidP="00A808C7">
      <w:pPr>
        <w:pStyle w:val="BodyText"/>
      </w:pPr>
      <w:r w:rsidRPr="00256982">
        <w:t>The main differences between this submission and estimates of New Zealand’s LULUCF net removals reported in the previous inventory submission result from the following (in decreasing order of magnitude):</w:t>
      </w:r>
    </w:p>
    <w:p w14:paraId="5020E851" w14:textId="77777777" w:rsidR="00DE64BC" w:rsidRPr="00256982" w:rsidRDefault="00DE64BC" w:rsidP="0036046B">
      <w:pPr>
        <w:pStyle w:val="Bullet"/>
        <w:numPr>
          <w:ilvl w:val="0"/>
          <w:numId w:val="8"/>
        </w:numPr>
      </w:pPr>
      <w:r w:rsidRPr="00256982">
        <w:t>the inclusion of a new land use map for 2016 and associated mapping improvements, which led to a more accurate, consistent and complete time series</w:t>
      </w:r>
    </w:p>
    <w:p w14:paraId="197D5501" w14:textId="77777777" w:rsidR="00DE64BC" w:rsidRPr="00256982" w:rsidRDefault="00DE64BC" w:rsidP="0036046B">
      <w:pPr>
        <w:pStyle w:val="Bullet"/>
        <w:numPr>
          <w:ilvl w:val="0"/>
          <w:numId w:val="8"/>
        </w:numPr>
      </w:pPr>
      <w:r w:rsidRPr="00256982">
        <w:t>the post-1989 planted forest yield table has been revised for the 2019 submission. The revised yield table is based on three measurements of post-1989 planted forest permanent sample plots carried out in 2008–09 and 2011–12 and since transitioning to a continuous inventory in 2016. The analysis of the data collected has provided a plot-based estimate of carbon stock and mean carbon density within this forest type, which led to more accurate estimates</w:t>
      </w:r>
    </w:p>
    <w:p w14:paraId="7832B837" w14:textId="77777777" w:rsidR="00DE64BC" w:rsidRPr="00256982" w:rsidRDefault="00DE64BC" w:rsidP="0036046B">
      <w:pPr>
        <w:pStyle w:val="Bullet"/>
        <w:numPr>
          <w:ilvl w:val="0"/>
          <w:numId w:val="8"/>
        </w:numPr>
      </w:pPr>
      <w:r w:rsidRPr="00256982">
        <w:t>non-CO</w:t>
      </w:r>
      <w:r w:rsidRPr="00256982">
        <w:rPr>
          <w:vertAlign w:val="subscript"/>
        </w:rPr>
        <w:t>2</w:t>
      </w:r>
      <w:r w:rsidRPr="00256982">
        <w:t xml:space="preserve"> biomass burning emission factors are updated from the IPCC (2003) guidance to the IPCC (2006) Guidelines, which led to more accurate estimates.</w:t>
      </w:r>
    </w:p>
    <w:p w14:paraId="4CD2004E" w14:textId="77777777" w:rsidR="00DE64BC" w:rsidRPr="00256982" w:rsidRDefault="00DE64BC" w:rsidP="00A808C7">
      <w:pPr>
        <w:pStyle w:val="BodyText"/>
      </w:pPr>
      <w:r w:rsidRPr="00256982">
        <w:t>Section 6.1.4 and the land use category-specific sections in chapter 6 contain more details about improvements and recalculations for the LULUCF sector.</w:t>
      </w:r>
    </w:p>
    <w:p w14:paraId="2F628096" w14:textId="77777777" w:rsidR="00DE64BC" w:rsidRPr="00256982" w:rsidRDefault="00DE64BC" w:rsidP="00A72006">
      <w:pPr>
        <w:pStyle w:val="Heading4"/>
      </w:pPr>
      <w:r w:rsidRPr="00256982">
        <w:t>Waste</w:t>
      </w:r>
    </w:p>
    <w:p w14:paraId="70EBC292" w14:textId="77777777" w:rsidR="00DE64BC" w:rsidRPr="00256982" w:rsidRDefault="00DE64BC" w:rsidP="00A808C7">
      <w:pPr>
        <w:pStyle w:val="BodyText"/>
      </w:pPr>
      <w:r w:rsidRPr="00256982">
        <w:t>There have been numerous changes and improvements in the Waste sector resulting in recalculations for several categories. These improvements are a combination of planned improvements and responses to issues found during reviews of previous submissions. Due to these changes, emissions in the Waste sector have increased by 179.2 kt CO</w:t>
      </w:r>
      <w:r w:rsidRPr="00256982">
        <w:rPr>
          <w:vertAlign w:val="subscript"/>
        </w:rPr>
        <w:t>2</w:t>
      </w:r>
      <w:r w:rsidRPr="00256982">
        <w:t>-e (4.6 per cent) in 1990 and increased by 278.3 kt CO</w:t>
      </w:r>
      <w:r w:rsidRPr="00256982">
        <w:rPr>
          <w:vertAlign w:val="subscript"/>
        </w:rPr>
        <w:t>2</w:t>
      </w:r>
      <w:r w:rsidRPr="00256982">
        <w:t>-e (7.3 per cent) in 2016.</w:t>
      </w:r>
    </w:p>
    <w:p w14:paraId="1F945134" w14:textId="77777777" w:rsidR="00DE64BC" w:rsidRPr="00256982" w:rsidRDefault="00DE64BC" w:rsidP="00A808C7">
      <w:pPr>
        <w:pStyle w:val="BodyText"/>
        <w:rPr>
          <w:spacing w:val="-2"/>
        </w:rPr>
      </w:pPr>
      <w:r w:rsidRPr="00256982">
        <w:rPr>
          <w:spacing w:val="-2"/>
        </w:rPr>
        <w:t xml:space="preserve">The most significant changes have been made to the </w:t>
      </w:r>
      <w:r w:rsidRPr="00256982">
        <w:rPr>
          <w:i/>
          <w:spacing w:val="-2"/>
        </w:rPr>
        <w:t>Managed waste disposal sites</w:t>
      </w:r>
      <w:r w:rsidRPr="00256982">
        <w:rPr>
          <w:spacing w:val="-2"/>
        </w:rPr>
        <w:t xml:space="preserve"> category and have resulted in the largest recalculation for the waste sector. This has increased emissions by 252.6 kt CO</w:t>
      </w:r>
      <w:r w:rsidRPr="00256982">
        <w:rPr>
          <w:spacing w:val="-2"/>
          <w:vertAlign w:val="subscript"/>
        </w:rPr>
        <w:t>2</w:t>
      </w:r>
      <w:r w:rsidRPr="00256982">
        <w:rPr>
          <w:spacing w:val="-2"/>
        </w:rPr>
        <w:t>-e (20.8 per cent) in 1990 and increased emissions by 301.0 kt CO</w:t>
      </w:r>
      <w:r w:rsidRPr="00256982">
        <w:rPr>
          <w:spacing w:val="-2"/>
          <w:vertAlign w:val="subscript"/>
        </w:rPr>
        <w:t>2</w:t>
      </w:r>
      <w:r w:rsidRPr="00256982">
        <w:rPr>
          <w:spacing w:val="-2"/>
        </w:rPr>
        <w:t>-e (27.8 per cent) in 2016. This change is largely due to a correction to emissions from landfills without landfill gas collection, where an incorrect parameter had been applied.</w:t>
      </w:r>
    </w:p>
    <w:p w14:paraId="17FBFC9A" w14:textId="77777777" w:rsidR="00DE64BC" w:rsidRPr="00256982" w:rsidRDefault="00DE64BC" w:rsidP="00A808C7">
      <w:pPr>
        <w:pStyle w:val="BodyText"/>
      </w:pPr>
      <w:r w:rsidRPr="00256982">
        <w:t>In addition, several other improvements and corrections have been made to this and other categories in the Waste sector. Further details can be found in chapter 7 (waste) and also in chapter 10 (improvements and recalculations) section 10.1.5.</w:t>
      </w:r>
    </w:p>
    <w:p w14:paraId="39166913" w14:textId="77777777" w:rsidR="00DE64BC" w:rsidRPr="00256982" w:rsidRDefault="00DE64BC" w:rsidP="00A808C7">
      <w:pPr>
        <w:pStyle w:val="BodyText"/>
        <w:rPr>
          <w:lang w:eastAsia="en-NZ"/>
        </w:rPr>
      </w:pPr>
      <w:bookmarkStart w:id="177" w:name="_Toc321398802"/>
    </w:p>
    <w:p w14:paraId="2BC9E288" w14:textId="77777777" w:rsidR="00DE64BC" w:rsidRPr="00256982" w:rsidRDefault="00DE64BC" w:rsidP="006F0CF5">
      <w:pPr>
        <w:pStyle w:val="Heading2"/>
        <w:spacing w:before="0" w:after="360"/>
      </w:pPr>
      <w:r w:rsidRPr="00256982">
        <w:br w:type="page"/>
      </w:r>
      <w:bookmarkStart w:id="178" w:name="_Toc414531278"/>
      <w:bookmarkStart w:id="179" w:name="_Toc448321499"/>
      <w:bookmarkStart w:id="180" w:name="_Toc511116576"/>
      <w:bookmarkStart w:id="181" w:name="_Toc5269338"/>
      <w:r w:rsidRPr="00256982">
        <w:lastRenderedPageBreak/>
        <w:t>Chapter 1: References</w:t>
      </w:r>
      <w:bookmarkEnd w:id="178"/>
      <w:bookmarkEnd w:id="179"/>
      <w:bookmarkEnd w:id="180"/>
      <w:bookmarkEnd w:id="181"/>
    </w:p>
    <w:p w14:paraId="7B045312" w14:textId="77777777" w:rsidR="00DE64BC" w:rsidRPr="00256982" w:rsidRDefault="00DE64BC" w:rsidP="00A808C7">
      <w:pPr>
        <w:pStyle w:val="References"/>
      </w:pPr>
      <w:r w:rsidRPr="00256982">
        <w:t xml:space="preserve">Beets PN, Kimberley MO, Oliver GR, Pearce SH, Graham JD. Unpublished. </w:t>
      </w:r>
      <w:r w:rsidRPr="00256982">
        <w:rPr>
          <w:iCs/>
        </w:rPr>
        <w:t>Post-1989 Natural Forest Carbon Stocks and Changes</w:t>
      </w:r>
      <w:r w:rsidRPr="00256982">
        <w:t xml:space="preserve">. Contract report 20093 prepared for the Ministry for the Environment by Scion in 2013. </w:t>
      </w:r>
    </w:p>
    <w:p w14:paraId="6FF3C74E" w14:textId="77777777" w:rsidR="00DE64BC" w:rsidRPr="00256982" w:rsidRDefault="00DE64BC" w:rsidP="00A808C7">
      <w:pPr>
        <w:pStyle w:val="References"/>
      </w:pPr>
      <w:r w:rsidRPr="00256982">
        <w:t xml:space="preserve">Cardno. Unpublished. Greenhouse Gas Emissions from Industrial Wastewater Treatment. </w:t>
      </w:r>
      <w:r w:rsidRPr="00256982">
        <w:rPr>
          <w:rFonts w:eastAsia="+mn-ea"/>
        </w:rPr>
        <w:t>Contract report prepared for the Ministry for the Environment in 2015.</w:t>
      </w:r>
    </w:p>
    <w:p w14:paraId="7631FF95" w14:textId="77777777" w:rsidR="00DE64BC" w:rsidRPr="00256982" w:rsidRDefault="00DE64BC" w:rsidP="00A808C7">
      <w:pPr>
        <w:pStyle w:val="References"/>
        <w:jc w:val="left"/>
      </w:pPr>
      <w:r w:rsidRPr="00256982">
        <w:t xml:space="preserve">Climate Change Response Act 2002 (as at 1 January 2016) </w:t>
      </w:r>
      <w:hyperlink r:id="rId37" w:history="1">
        <w:r w:rsidRPr="00256982">
          <w:t>www.legislation.govt.nz/act/public/2002/0040/latest/DLM158584.html</w:t>
        </w:r>
      </w:hyperlink>
      <w:r w:rsidRPr="00256982">
        <w:t>.</w:t>
      </w:r>
    </w:p>
    <w:p w14:paraId="7726E7E5" w14:textId="77777777" w:rsidR="00DE64BC" w:rsidRPr="00256982" w:rsidRDefault="00DE64BC" w:rsidP="00A808C7">
      <w:pPr>
        <w:pStyle w:val="References"/>
      </w:pPr>
      <w:r w:rsidRPr="00256982">
        <w:t>CRL Energy Ltd. Unpublished(a). Hennessy W, Maxwell D. Inventory of HFC, PFC and SF</w:t>
      </w:r>
      <w:r w:rsidRPr="00256982">
        <w:rPr>
          <w:vertAlign w:val="subscript"/>
        </w:rPr>
        <w:t>6</w:t>
      </w:r>
      <w:r w:rsidRPr="00256982">
        <w:t xml:space="preserve"> Emissions for New Zealand 2004–2005. A report by CRL Energy Ltd to the Ministry for the Environment in 2006.</w:t>
      </w:r>
    </w:p>
    <w:p w14:paraId="2A9B2445" w14:textId="77777777" w:rsidR="00DE64BC" w:rsidRPr="00256982" w:rsidRDefault="00DE64BC" w:rsidP="00A808C7">
      <w:pPr>
        <w:pStyle w:val="References"/>
      </w:pPr>
      <w:r w:rsidRPr="00256982">
        <w:t>CRL Energy Ltd. Unpublished(b). Hennessy W. Inventory of HFC, SF</w:t>
      </w:r>
      <w:r w:rsidRPr="00256982">
        <w:rPr>
          <w:vertAlign w:val="subscript"/>
        </w:rPr>
        <w:t>6</w:t>
      </w:r>
      <w:r w:rsidRPr="00256982">
        <w:t xml:space="preserve"> and Other Industrial Process Emissions for New Zealand 2016. A report by CRL Energy Ltd to the Ministry for the Environment in 2017.</w:t>
      </w:r>
    </w:p>
    <w:p w14:paraId="1CCB2A15" w14:textId="77777777" w:rsidR="00DE64BC" w:rsidRPr="00256982" w:rsidRDefault="00DE64BC" w:rsidP="00A808C7">
      <w:pPr>
        <w:pStyle w:val="References"/>
      </w:pPr>
      <w:r w:rsidRPr="00256982">
        <w:t xml:space="preserve">Holdaway RJ, Easdale TA, Mason NWH, Carswell FE. Unpublished. </w:t>
      </w:r>
      <w:r w:rsidRPr="00256982">
        <w:rPr>
          <w:iCs/>
        </w:rPr>
        <w:t>LUCAS Natural Forest Carbon Analysis.</w:t>
      </w:r>
      <w:r w:rsidRPr="00256982">
        <w:t xml:space="preserve"> Contract report prepared for the Ministry for the Environment by Landcare Research, Lincoln in 2014.</w:t>
      </w:r>
    </w:p>
    <w:p w14:paraId="391A3841" w14:textId="77777777" w:rsidR="00DE64BC" w:rsidRPr="00256982" w:rsidRDefault="00DE64BC" w:rsidP="00A808C7">
      <w:pPr>
        <w:pStyle w:val="References"/>
      </w:pPr>
      <w:r w:rsidRPr="00256982">
        <w:t xml:space="preserve">IPCC. 2006a. Eggleston HS, Buendia L, Miwa K, Ngara T, Tanabe K (eds). </w:t>
      </w:r>
      <w:r w:rsidRPr="00256982">
        <w:rPr>
          <w:i/>
        </w:rPr>
        <w:t>2006 IPCC Guidelines for National Greenhouse Gas Inventories. Volume 4. Agriculture, Forestry and Other Land Use.</w:t>
      </w:r>
      <w:r w:rsidRPr="00256982">
        <w:t xml:space="preserve"> IPCC National Greenhouse Gas Inventories Programme. Japan: Published for the IPCC by the Institute for Global Environmental Strategies.</w:t>
      </w:r>
    </w:p>
    <w:p w14:paraId="3DECDA2C" w14:textId="77777777" w:rsidR="00DE64BC" w:rsidRPr="00256982" w:rsidRDefault="00DE64BC" w:rsidP="00A808C7">
      <w:pPr>
        <w:pStyle w:val="References"/>
      </w:pPr>
      <w:r w:rsidRPr="00256982">
        <w:t xml:space="preserve">IPCC. 2006b. Eggleston HS, Buendia L, Miwa K, Ngara T, Tanabe K (eds). </w:t>
      </w:r>
      <w:r w:rsidRPr="00256982">
        <w:rPr>
          <w:i/>
        </w:rPr>
        <w:t xml:space="preserve">2006 IPCC Guidelines for National Greenhouse Gas Inventories. Volume 1. General Guidance and Reporting. </w:t>
      </w:r>
      <w:r w:rsidRPr="00256982">
        <w:t>IPCC National Greenhouse Gas Inventories Programme. Japan: Published for the IPCC by the Institute for Global Environmental Strategies.</w:t>
      </w:r>
    </w:p>
    <w:p w14:paraId="427AAB8B" w14:textId="77777777" w:rsidR="00DE64BC" w:rsidRPr="00256982" w:rsidRDefault="00DE64BC" w:rsidP="00A808C7">
      <w:pPr>
        <w:pStyle w:val="References"/>
      </w:pPr>
      <w:r w:rsidRPr="00256982">
        <w:t xml:space="preserve">IPCC. 2013. Stocker TF, Qin D, Plattner G-K, Tignor M, Allen SK, Boschung J, Nauels A, Xia Y, Bex V and Midgley PM (eds). </w:t>
      </w:r>
      <w:r w:rsidRPr="00256982">
        <w:rPr>
          <w:i/>
        </w:rPr>
        <w:t>Climate Change 2013: The Physical Science Basis. Contribution of Working Group I to the Fifth Assessment Report of the Intergovernmental Panel on Climate Change</w:t>
      </w:r>
      <w:r w:rsidRPr="00256982">
        <w:t xml:space="preserve">. Cambridge, United Kingdom and New York, United States of America: Cambridge University Press. </w:t>
      </w:r>
    </w:p>
    <w:p w14:paraId="7713BA00" w14:textId="77777777" w:rsidR="00DE64BC" w:rsidRPr="00256982" w:rsidRDefault="00DE64BC" w:rsidP="00A808C7">
      <w:pPr>
        <w:pStyle w:val="References"/>
      </w:pPr>
      <w:r w:rsidRPr="00256982">
        <w:t xml:space="preserve">IPCC. 2014. Hiraishi T, Krug T, Tanabe K, Srivastava N, Baasansuren J, Fukuda M, and Troxler TG (eds). </w:t>
      </w:r>
      <w:r w:rsidRPr="00256982">
        <w:rPr>
          <w:i/>
        </w:rPr>
        <w:t>2013 Revised Supplementary Methods and Good Practice Guidance Arising from the Kyoto Protocol</w:t>
      </w:r>
      <w:r w:rsidRPr="00256982">
        <w:t>.</w:t>
      </w:r>
      <w:r w:rsidRPr="00256982">
        <w:rPr>
          <w:i/>
        </w:rPr>
        <w:t xml:space="preserve"> </w:t>
      </w:r>
      <w:r w:rsidRPr="00256982">
        <w:t>Geneva, Switzerland: IPCC.</w:t>
      </w:r>
    </w:p>
    <w:p w14:paraId="4AD38F48" w14:textId="77777777" w:rsidR="00DE64BC" w:rsidRPr="00256982" w:rsidRDefault="00DE64BC" w:rsidP="00A808C7">
      <w:pPr>
        <w:pStyle w:val="References"/>
        <w:rPr>
          <w:lang w:eastAsia="en-GB"/>
        </w:rPr>
      </w:pPr>
      <w:r w:rsidRPr="00256982">
        <w:t>Ministry for the Environment. 2006</w:t>
      </w:r>
      <w:r w:rsidRPr="00256982">
        <w:rPr>
          <w:lang w:eastAsia="en-GB"/>
        </w:rPr>
        <w:t xml:space="preserve">. </w:t>
      </w:r>
      <w:r w:rsidRPr="00256982">
        <w:rPr>
          <w:i/>
          <w:lang w:eastAsia="en-GB"/>
        </w:rPr>
        <w:t>New Zealand’s Initial Report under the Kyoto Protocol:</w:t>
      </w:r>
      <w:r w:rsidRPr="00256982">
        <w:rPr>
          <w:i/>
        </w:rPr>
        <w:t xml:space="preserve"> </w:t>
      </w:r>
      <w:r w:rsidRPr="00256982">
        <w:rPr>
          <w:i/>
          <w:lang w:eastAsia="en-GB"/>
        </w:rPr>
        <w:t>Facilitating the calculation of New Zealand’s assigned amount and demonstrating New Zealand’s capacity to account for its emissions and assigned amount in accordance with Article 7 paragraph 4 of the Kyoto Protocol</w:t>
      </w:r>
      <w:r w:rsidRPr="00256982">
        <w:rPr>
          <w:lang w:eastAsia="en-GB"/>
        </w:rPr>
        <w:t>. Wellington: Ministry for the Environment.</w:t>
      </w:r>
    </w:p>
    <w:p w14:paraId="312C8B9B" w14:textId="77777777" w:rsidR="00DE64BC" w:rsidRPr="00256982" w:rsidRDefault="00DE64BC" w:rsidP="00A808C7">
      <w:pPr>
        <w:pStyle w:val="References"/>
        <w:rPr>
          <w:lang w:eastAsia="en-GB"/>
        </w:rPr>
      </w:pPr>
      <w:r w:rsidRPr="00256982">
        <w:rPr>
          <w:lang w:eastAsia="en-GB"/>
        </w:rPr>
        <w:t xml:space="preserve">Ministry of Business, Innovation and Employment. 2018. </w:t>
      </w:r>
      <w:r w:rsidRPr="00256982">
        <w:rPr>
          <w:i/>
          <w:lang w:eastAsia="en-GB"/>
        </w:rPr>
        <w:t>Energy in New Zealand 2017</w:t>
      </w:r>
      <w:r w:rsidRPr="00256982">
        <w:rPr>
          <w:lang w:eastAsia="en-GB"/>
        </w:rPr>
        <w:t>. Wellington: Ministry of Business, Innovation and Employment.</w:t>
      </w:r>
    </w:p>
    <w:p w14:paraId="14F499F8" w14:textId="77777777" w:rsidR="00DE64BC" w:rsidRPr="00256982" w:rsidRDefault="00DE64BC" w:rsidP="00A808C7">
      <w:pPr>
        <w:pStyle w:val="References"/>
      </w:pPr>
      <w:r w:rsidRPr="00256982">
        <w:t>Paul TSH, Wakelin SJ, Kimberley MO, Beets PN. Unpublished. Stocked plantation area in mapped post-1989 and pre-1990 forests, and associated crop yield tables and CRA Simulation input data. Contract report prepared for the Ministry for the Environment by Scion in 2014.</w:t>
      </w:r>
    </w:p>
    <w:p w14:paraId="06C37EB6" w14:textId="77777777" w:rsidR="00DE64BC" w:rsidRPr="00256982" w:rsidRDefault="00DE64BC" w:rsidP="00A808C7">
      <w:pPr>
        <w:pStyle w:val="References"/>
      </w:pPr>
      <w:r w:rsidRPr="00256982">
        <w:t>Paul TSH, Kimberley MO. Unpublished. The 2016 NFI plot analysis yield tables and carbon stocks at measurement. Contract report prepared for the Ministry for the Environment by Scion.</w:t>
      </w:r>
    </w:p>
    <w:p w14:paraId="14E0C7C3" w14:textId="77777777" w:rsidR="00DE64BC" w:rsidRPr="00256982" w:rsidRDefault="00DE64BC" w:rsidP="00A808C7">
      <w:pPr>
        <w:pStyle w:val="References"/>
      </w:pPr>
      <w:r w:rsidRPr="00256982">
        <w:t>UNFCCC. 1992. FCCC/INFORMAL/84</w:t>
      </w:r>
      <w:r w:rsidRPr="00256982">
        <w:rPr>
          <w:i/>
        </w:rPr>
        <w:t xml:space="preserve"> United Nations Framework Convention on Climate Change</w:t>
      </w:r>
      <w:r w:rsidRPr="00256982">
        <w:t>. http://unfccc.int/files/essential_background/background_publications_htmlpdf/application/pdf/conveng. pdf</w:t>
      </w:r>
    </w:p>
    <w:p w14:paraId="0E5C4DCC" w14:textId="77777777" w:rsidR="00DE64BC" w:rsidRPr="00256982" w:rsidRDefault="00DE64BC" w:rsidP="00A808C7">
      <w:pPr>
        <w:pStyle w:val="References"/>
      </w:pPr>
      <w:r w:rsidRPr="00256982">
        <w:t xml:space="preserve">UNFCCC. 2005a. FCCC/KP/CMP/2005/8/Add.3. </w:t>
      </w:r>
      <w:r w:rsidRPr="00256982">
        <w:rPr>
          <w:i/>
        </w:rPr>
        <w:t>Land use, land-use change and forestry</w:t>
      </w:r>
      <w:r w:rsidRPr="00256982">
        <w:t>.</w:t>
      </w:r>
    </w:p>
    <w:p w14:paraId="0621494E" w14:textId="77777777" w:rsidR="00DE64BC" w:rsidRPr="00256982" w:rsidRDefault="00DE64BC" w:rsidP="00A808C7">
      <w:pPr>
        <w:pStyle w:val="References"/>
        <w:rPr>
          <w:lang w:eastAsia="en-NZ"/>
        </w:rPr>
      </w:pPr>
      <w:r w:rsidRPr="00256982">
        <w:t>UNFCCC. 2005b.</w:t>
      </w:r>
      <w:r w:rsidRPr="00256982">
        <w:rPr>
          <w:lang w:eastAsia="en-NZ"/>
        </w:rPr>
        <w:t xml:space="preserve"> FCCC/KP/CMP/2005/8/Add.2. </w:t>
      </w:r>
      <w:r w:rsidRPr="00256982">
        <w:rPr>
          <w:i/>
          <w:lang w:eastAsia="en-NZ"/>
        </w:rPr>
        <w:t>Modalities for the accounting of assigned amounts under Article 7, paragraph 4 of the Kyoto Protocol</w:t>
      </w:r>
      <w:r w:rsidRPr="00256982">
        <w:rPr>
          <w:lang w:eastAsia="en-NZ"/>
        </w:rPr>
        <w:t xml:space="preserve">. </w:t>
      </w:r>
    </w:p>
    <w:p w14:paraId="4605DFAC" w14:textId="77777777" w:rsidR="00DE64BC" w:rsidRPr="00256982" w:rsidRDefault="00DE64BC" w:rsidP="00A808C7">
      <w:pPr>
        <w:pStyle w:val="References"/>
      </w:pPr>
      <w:r w:rsidRPr="00256982">
        <w:lastRenderedPageBreak/>
        <w:t xml:space="preserve">UNFCCC. 2005c. FCCC/KP/CMP/2005/8/Add.2. </w:t>
      </w:r>
      <w:r w:rsidRPr="00256982">
        <w:rPr>
          <w:i/>
        </w:rPr>
        <w:t>Standard electronic format for reporting Kyoto Protocol units</w:t>
      </w:r>
      <w:r w:rsidRPr="00256982">
        <w:t>.</w:t>
      </w:r>
    </w:p>
    <w:p w14:paraId="6A629503" w14:textId="77777777" w:rsidR="00DE64BC" w:rsidRPr="00256982" w:rsidRDefault="00DE64BC" w:rsidP="00A808C7">
      <w:pPr>
        <w:pStyle w:val="References"/>
      </w:pPr>
      <w:r w:rsidRPr="00256982">
        <w:t xml:space="preserve">UNFCCC. 2005d. FCCC/KP/CMP/2005/8/Add.2. </w:t>
      </w:r>
      <w:r w:rsidRPr="00256982">
        <w:rPr>
          <w:i/>
        </w:rPr>
        <w:t>Guidelines for the preparation of the information required under Article 7 of the Kyoto Protocol</w:t>
      </w:r>
      <w:r w:rsidRPr="00256982">
        <w:t>.</w:t>
      </w:r>
    </w:p>
    <w:p w14:paraId="62FB7186" w14:textId="77777777" w:rsidR="00DE64BC" w:rsidRPr="00256982" w:rsidRDefault="00DE64BC" w:rsidP="00A808C7">
      <w:pPr>
        <w:pStyle w:val="References"/>
      </w:pPr>
      <w:r w:rsidRPr="00256982">
        <w:t xml:space="preserve">UNFCCC. 2005e. FCCC/KP/CMP/2005/8/Add.3 </w:t>
      </w:r>
      <w:r w:rsidRPr="00256982">
        <w:rPr>
          <w:i/>
        </w:rPr>
        <w:t>Guidelines for national systems under Article 5, paragraph 1 of the Kyoto Protocol</w:t>
      </w:r>
      <w:r w:rsidRPr="00256982">
        <w:t>.</w:t>
      </w:r>
    </w:p>
    <w:p w14:paraId="633F0EEC" w14:textId="77777777" w:rsidR="00DE64BC" w:rsidRPr="00256982" w:rsidRDefault="00DE64BC" w:rsidP="00A808C7">
      <w:pPr>
        <w:pStyle w:val="References"/>
      </w:pPr>
      <w:r w:rsidRPr="00256982">
        <w:t xml:space="preserve">UNFCCC. 2005f. FCCC/KP/CMP/2005/8/Add.3 </w:t>
      </w:r>
      <w:r w:rsidRPr="00256982">
        <w:rPr>
          <w:i/>
        </w:rPr>
        <w:t>Good practice guidance and adjustments under Article 5, paragraph 2 of the Kyoto Protocol</w:t>
      </w:r>
      <w:r w:rsidRPr="00256982">
        <w:t>.</w:t>
      </w:r>
    </w:p>
    <w:p w14:paraId="052C6D7F" w14:textId="77777777" w:rsidR="00DE64BC" w:rsidRPr="00256982" w:rsidRDefault="00DE64BC" w:rsidP="00A808C7">
      <w:pPr>
        <w:pStyle w:val="References"/>
      </w:pPr>
      <w:r w:rsidRPr="00256982">
        <w:t xml:space="preserve">UNFCCC. 2005g. FCCC/KP/CMP/2005/8/Add.3 </w:t>
      </w:r>
      <w:r w:rsidRPr="00256982">
        <w:rPr>
          <w:i/>
        </w:rPr>
        <w:t>Issues relating to adjustments under Article 5, paragraph 2 of the Kyoto Protocol</w:t>
      </w:r>
      <w:r w:rsidRPr="00256982">
        <w:t>.</w:t>
      </w:r>
    </w:p>
    <w:p w14:paraId="14715AFC" w14:textId="77777777" w:rsidR="00DE64BC" w:rsidRPr="00256982" w:rsidRDefault="00DE64BC" w:rsidP="00A808C7">
      <w:pPr>
        <w:pStyle w:val="References"/>
      </w:pPr>
      <w:r w:rsidRPr="00256982">
        <w:t xml:space="preserve">UNFCCC. 2005h. FCCC/KP/CMP/2005/8/Add.3 </w:t>
      </w:r>
      <w:r w:rsidRPr="00256982">
        <w:rPr>
          <w:i/>
        </w:rPr>
        <w:t>Guidelines for review under Article 8 of the Kyoto Protocol</w:t>
      </w:r>
      <w:r w:rsidRPr="00256982">
        <w:t>.</w:t>
      </w:r>
    </w:p>
    <w:p w14:paraId="5BBC31B7" w14:textId="77777777" w:rsidR="00DE64BC" w:rsidRPr="00256982" w:rsidRDefault="00DE64BC" w:rsidP="00A808C7">
      <w:pPr>
        <w:pStyle w:val="References"/>
      </w:pPr>
      <w:r w:rsidRPr="00256982">
        <w:t xml:space="preserve">UNFCCC. 2005i. FCCC/KP/CMP/2005/8/Add.3 </w:t>
      </w:r>
      <w:r w:rsidRPr="00256982">
        <w:rPr>
          <w:i/>
        </w:rPr>
        <w:t>Terms of service for lead reviewers</w:t>
      </w:r>
      <w:r w:rsidRPr="00256982">
        <w:t>.</w:t>
      </w:r>
    </w:p>
    <w:p w14:paraId="5DCC0DD9" w14:textId="77777777" w:rsidR="00DE64BC" w:rsidRPr="00256982" w:rsidRDefault="00DE64BC" w:rsidP="00A808C7">
      <w:pPr>
        <w:pStyle w:val="References"/>
      </w:pPr>
      <w:r w:rsidRPr="00256982">
        <w:t xml:space="preserve">UNFCCC. 2005j. FCCC/KP/CMP/2005/8/Add.3 </w:t>
      </w:r>
      <w:r w:rsidRPr="00256982">
        <w:rPr>
          <w:i/>
        </w:rPr>
        <w:t>Issues relating to the implementation of Article 8 of the Kyoto Protocol – 1 (Training programme for members of expert review teams)</w:t>
      </w:r>
      <w:r w:rsidRPr="00256982">
        <w:t>.</w:t>
      </w:r>
    </w:p>
    <w:p w14:paraId="783C2BE6" w14:textId="77777777" w:rsidR="00DE64BC" w:rsidRPr="00256982" w:rsidRDefault="00DE64BC" w:rsidP="00A808C7">
      <w:pPr>
        <w:pStyle w:val="References"/>
      </w:pPr>
      <w:r w:rsidRPr="00256982">
        <w:t xml:space="preserve">UNFCCC. 2005k. FCCC/KP/CMP/2005/8/Add.3 </w:t>
      </w:r>
      <w:r w:rsidRPr="00256982">
        <w:rPr>
          <w:i/>
        </w:rPr>
        <w:t>Issues relating to the implementation of Article 8 of the Kyoto Protocol – 2 (Confidential information)</w:t>
      </w:r>
      <w:r w:rsidRPr="00256982">
        <w:t>.</w:t>
      </w:r>
    </w:p>
    <w:p w14:paraId="376D103D" w14:textId="77777777" w:rsidR="00DE64BC" w:rsidRPr="00256982" w:rsidRDefault="00DE64BC" w:rsidP="00A808C7">
      <w:pPr>
        <w:pStyle w:val="References"/>
      </w:pPr>
      <w:r w:rsidRPr="00256982">
        <w:t xml:space="preserve">UNFCCC. 2006. FCCC/SBSTA/2006/9. </w:t>
      </w:r>
      <w:r w:rsidRPr="00256982">
        <w:rPr>
          <w:i/>
        </w:rPr>
        <w:t>Guidelines for the preparation of national communications by Parties included in Annex I to the Convention, Part I: UNFCCC reporting guidelines on annual inventories (following incorporation of the provisions of Decision 13/CP.9)</w:t>
      </w:r>
      <w:r w:rsidRPr="00256982">
        <w:t>.</w:t>
      </w:r>
    </w:p>
    <w:p w14:paraId="6E14CD66" w14:textId="77777777" w:rsidR="00DE64BC" w:rsidRPr="00256982" w:rsidRDefault="00DE64BC" w:rsidP="00A808C7">
      <w:pPr>
        <w:pStyle w:val="References"/>
      </w:pPr>
      <w:r w:rsidRPr="00256982">
        <w:t xml:space="preserve">UNFCCC. 2012. FCCC/KP/CMP/2011/10/Add.1. </w:t>
      </w:r>
      <w:r w:rsidRPr="00256982">
        <w:rPr>
          <w:i/>
        </w:rPr>
        <w:t>Report of the Conference of the Parties serving as the meeting of the Parties to the Kyoto Protocol on its seventh session, held in Durban from 28 November to 11 December 2011; Decision 2/CMP.7, Land use, land-use change and forestry</w:t>
      </w:r>
      <w:r w:rsidRPr="00256982">
        <w:t xml:space="preserve">. </w:t>
      </w:r>
    </w:p>
    <w:p w14:paraId="2F18A8B5" w14:textId="77777777" w:rsidR="00DE64BC" w:rsidRPr="00256982" w:rsidRDefault="00DE64BC" w:rsidP="00A808C7">
      <w:pPr>
        <w:pStyle w:val="References"/>
      </w:pPr>
      <w:r w:rsidRPr="00256982">
        <w:t xml:space="preserve">UNFCCC. 2013a. </w:t>
      </w:r>
      <w:r w:rsidRPr="00256982">
        <w:rPr>
          <w:lang w:eastAsia="en-NZ"/>
        </w:rPr>
        <w:t>FCCC/ARR/2012/NZL.</w:t>
      </w:r>
      <w:r w:rsidRPr="00256982">
        <w:rPr>
          <w:color w:val="666666"/>
          <w:lang w:eastAsia="en-NZ"/>
        </w:rPr>
        <w:t xml:space="preserve"> </w:t>
      </w:r>
      <w:r w:rsidRPr="00256982">
        <w:rPr>
          <w:i/>
        </w:rPr>
        <w:t>Report of the individual review of the annual submission of New Zealand submitted in 2012. Centralised Review</w:t>
      </w:r>
      <w:r w:rsidRPr="00256982">
        <w:t xml:space="preserve">. </w:t>
      </w:r>
    </w:p>
    <w:p w14:paraId="600CFBE6" w14:textId="77777777" w:rsidR="00DE64BC" w:rsidRPr="00256982" w:rsidRDefault="00DE64BC" w:rsidP="00A808C7">
      <w:pPr>
        <w:pStyle w:val="References"/>
      </w:pPr>
      <w:r w:rsidRPr="00256982">
        <w:t xml:space="preserve">UNFCCC. 2013b. </w:t>
      </w:r>
      <w:r w:rsidRPr="00256982">
        <w:rPr>
          <w:lang w:eastAsia="en-NZ"/>
        </w:rPr>
        <w:t>FCCC/CP/2013/10/Add.3.</w:t>
      </w:r>
      <w:r w:rsidRPr="00256982">
        <w:t xml:space="preserve"> </w:t>
      </w:r>
      <w:r w:rsidRPr="00256982">
        <w:rPr>
          <w:i/>
        </w:rPr>
        <w:t>Report of the Conference of the Parties on its nineteenth session, held in Warsaw from 11 to 23 November 2013, Addendum; Decision 24/CP.19 Revision of the UNFCCC reporting guidelines on annual inventories for Parties included in Annex I to the Convention</w:t>
      </w:r>
      <w:r w:rsidRPr="00256982">
        <w:t>.</w:t>
      </w:r>
    </w:p>
    <w:p w14:paraId="6D287FB8" w14:textId="77777777" w:rsidR="00DE64BC" w:rsidRPr="00256982" w:rsidRDefault="00DE64BC" w:rsidP="00A808C7">
      <w:pPr>
        <w:pStyle w:val="References"/>
      </w:pPr>
      <w:r w:rsidRPr="00256982">
        <w:t xml:space="preserve">UNFCCC. 2013c. FCCC/KP/CMP/2012/13/Add.1. </w:t>
      </w:r>
      <w:r w:rsidRPr="00256982">
        <w:rPr>
          <w:i/>
        </w:rPr>
        <w:t>Decision 2/CMP.8 Implications of the implementation of decisions 2/CMP.7 to 5/CMP.7 on the previous decisions on methodological issues related to the Kyoto Protocol, including those relating to Articles 5, 7 and 8 of the Kyoto Protocol, Annex 2</w:t>
      </w:r>
      <w:r w:rsidRPr="00256982">
        <w:t>.</w:t>
      </w:r>
    </w:p>
    <w:p w14:paraId="45B89587" w14:textId="77777777" w:rsidR="00DE64BC" w:rsidRPr="00256982" w:rsidRDefault="00DE64BC" w:rsidP="00A808C7">
      <w:pPr>
        <w:pStyle w:val="References"/>
      </w:pPr>
      <w:r w:rsidRPr="00256982">
        <w:t xml:space="preserve">UNFCCC. 2016a. FCCC/KP/CMP/2015/8/Add.1. </w:t>
      </w:r>
      <w:r w:rsidRPr="00256982">
        <w:rPr>
          <w:i/>
        </w:rPr>
        <w:t>Decision 3/CMP.11 Implications of the implementation of decisions 2/CMP.7 to 4/CMP.7 and 1/CMP.8 on the previous decisions on methodological issues related to the Kyoto Protocol, including those relating to Articles 5, 7 and 8 of the Kyoto Protocol, part I: implications related to accounting and reporting and other related issues</w:t>
      </w:r>
      <w:r w:rsidRPr="00256982">
        <w:t>.</w:t>
      </w:r>
    </w:p>
    <w:p w14:paraId="554D343C" w14:textId="77777777" w:rsidR="00DE64BC" w:rsidRPr="00256982" w:rsidRDefault="00DE64BC" w:rsidP="00A808C7">
      <w:pPr>
        <w:pStyle w:val="References"/>
      </w:pPr>
      <w:r w:rsidRPr="00256982">
        <w:t xml:space="preserve">UNFCCC. 2016b. FCCC/KP/CMP/2015/8/Add.1. </w:t>
      </w:r>
      <w:r w:rsidRPr="00256982">
        <w:rPr>
          <w:i/>
        </w:rPr>
        <w:t>Decision 4/CMP.11 Implications of the implementation of decisions 2/CMP.7 to 4/CMP.7 and 1/CMP.8 on the previous decisions on methodological issues related to the Kyoto Protocol, including those relating to Articles 5, 7 and 8 of the Kyoto Protocol, part II: implications related to review and adjustments and other related issues</w:t>
      </w:r>
      <w:r w:rsidRPr="00256982">
        <w:t>.</w:t>
      </w:r>
    </w:p>
    <w:p w14:paraId="0DD9B39F" w14:textId="77777777" w:rsidR="00DE64BC" w:rsidRPr="00256982" w:rsidRDefault="00DE64BC" w:rsidP="00A808C7">
      <w:pPr>
        <w:pStyle w:val="References"/>
      </w:pPr>
      <w:r w:rsidRPr="00256982">
        <w:t>UN. 1945.</w:t>
      </w:r>
      <w:r w:rsidRPr="00256982">
        <w:rPr>
          <w:rFonts w:cs="Calibri"/>
          <w:color w:val="222222"/>
          <w:sz w:val="18"/>
          <w:szCs w:val="18"/>
          <w:shd w:val="clear" w:color="auto" w:fill="FFFFFF"/>
        </w:rPr>
        <w:t xml:space="preserve"> </w:t>
      </w:r>
      <w:r w:rsidRPr="00256982">
        <w:rPr>
          <w:bCs/>
          <w:i/>
        </w:rPr>
        <w:t xml:space="preserve">Charter of the United Nations, 1945. </w:t>
      </w:r>
      <w:r w:rsidRPr="00256982">
        <w:rPr>
          <w:bCs/>
        </w:rPr>
        <w:t xml:space="preserve">Retrieved from </w:t>
      </w:r>
      <w:hyperlink r:id="rId38" w:history="1">
        <w:r w:rsidRPr="00256982">
          <w:t>www.un.org/en/sections/un-charter/ chapter-xi</w:t>
        </w:r>
      </w:hyperlink>
      <w:r w:rsidRPr="00256982">
        <w:t xml:space="preserve"> </w:t>
      </w:r>
      <w:r w:rsidRPr="00256982">
        <w:rPr>
          <w:bCs/>
        </w:rPr>
        <w:t>(7 February 2019).</w:t>
      </w:r>
    </w:p>
    <w:p w14:paraId="73CC9BB9" w14:textId="77777777" w:rsidR="00DE64BC" w:rsidRPr="00256982" w:rsidRDefault="00DE64BC" w:rsidP="00A808C7">
      <w:r w:rsidRPr="00256982">
        <w:rPr>
          <w:sz w:val="20"/>
        </w:rPr>
        <w:t>Waste Minimisation Act 2008 (as at l January 2016)</w:t>
      </w:r>
    </w:p>
    <w:p w14:paraId="0B7EF48F" w14:textId="77777777" w:rsidR="00DE64BC" w:rsidRPr="00256982" w:rsidRDefault="00DE64BC" w:rsidP="00A808C7">
      <w:r w:rsidRPr="00256982">
        <w:rPr>
          <w:sz w:val="20"/>
        </w:rPr>
        <w:t>www.legislation.govt.nz/act/public/2008/0089/latest/DLM999802.html.</w:t>
      </w:r>
      <w:r w:rsidRPr="00256982" w:rsidDel="004A691D">
        <w:t xml:space="preserve"> </w:t>
      </w:r>
      <w:bookmarkEnd w:id="109"/>
      <w:bookmarkEnd w:id="177"/>
    </w:p>
    <w:p w14:paraId="2078B83D" w14:textId="77777777" w:rsidR="00DE64BC" w:rsidRPr="00256982" w:rsidRDefault="00DE64BC"/>
    <w:p w14:paraId="5240CF08" w14:textId="77777777" w:rsidR="00DE64BC" w:rsidRPr="00256982" w:rsidRDefault="00DE64BC" w:rsidP="00A808C7">
      <w:pPr>
        <w:pStyle w:val="Heading1"/>
      </w:pPr>
      <w:r w:rsidRPr="00256982">
        <w:br w:type="page"/>
      </w:r>
      <w:bookmarkStart w:id="182" w:name="_Toc448321500"/>
      <w:bookmarkStart w:id="183" w:name="_Toc511116577"/>
      <w:bookmarkStart w:id="184" w:name="_Toc5269339"/>
      <w:r w:rsidRPr="00256982">
        <w:lastRenderedPageBreak/>
        <w:t>Chapter 2: Trends in greenhouse gas emissions</w:t>
      </w:r>
      <w:bookmarkEnd w:id="182"/>
      <w:bookmarkEnd w:id="183"/>
      <w:bookmarkEnd w:id="184"/>
    </w:p>
    <w:p w14:paraId="1B533BB4" w14:textId="77777777" w:rsidR="00DE64BC" w:rsidRPr="00256982" w:rsidRDefault="00DE64BC" w:rsidP="006F0CF5">
      <w:pPr>
        <w:pStyle w:val="Heading2"/>
        <w:spacing w:before="240"/>
      </w:pPr>
      <w:bookmarkStart w:id="185" w:name="_Toc448321501"/>
      <w:bookmarkStart w:id="186" w:name="_Toc511116578"/>
      <w:bookmarkStart w:id="187" w:name="_Toc5269340"/>
      <w:r w:rsidRPr="00256982">
        <w:t>2.1</w:t>
      </w:r>
      <w:r w:rsidRPr="00256982">
        <w:tab/>
        <w:t>Emission trends for aggregated greenhouse gas emissions</w:t>
      </w:r>
      <w:bookmarkEnd w:id="185"/>
      <w:bookmarkEnd w:id="186"/>
      <w:bookmarkEnd w:id="187"/>
    </w:p>
    <w:p w14:paraId="63261B0A" w14:textId="77777777" w:rsidR="00DE64BC" w:rsidRPr="00256982" w:rsidRDefault="00DE64BC" w:rsidP="00A808C7">
      <w:pPr>
        <w:pStyle w:val="BodyText"/>
        <w:spacing w:before="100" w:after="100"/>
      </w:pPr>
      <w:r w:rsidRPr="00256982">
        <w:t xml:space="preserve">This chapter describes emission trends by sector and greenhouse gas (GHG). </w:t>
      </w:r>
    </w:p>
    <w:p w14:paraId="47E846BE" w14:textId="77777777" w:rsidR="00DE64BC" w:rsidRPr="00256982" w:rsidRDefault="00DE64BC" w:rsidP="001D3490">
      <w:pPr>
        <w:pStyle w:val="Heading3"/>
      </w:pPr>
      <w:r w:rsidRPr="00256982">
        <w:t>2.1.1</w:t>
      </w:r>
      <w:r w:rsidRPr="00256982">
        <w:tab/>
        <w:t>National trends in greenhouse gas emissions</w:t>
      </w:r>
    </w:p>
    <w:p w14:paraId="34EEC762" w14:textId="77777777" w:rsidR="00DE64BC" w:rsidRPr="00256982" w:rsidRDefault="00DE64BC" w:rsidP="00A72006">
      <w:pPr>
        <w:pStyle w:val="Heading4"/>
      </w:pPr>
      <w:r w:rsidRPr="00256982">
        <w:t>Gross emissions</w:t>
      </w:r>
    </w:p>
    <w:p w14:paraId="4763C4B5" w14:textId="77777777" w:rsidR="00DE64BC" w:rsidRPr="00256982" w:rsidRDefault="00DE64BC" w:rsidP="00A808C7">
      <w:pPr>
        <w:pStyle w:val="BodyText"/>
        <w:spacing w:before="100" w:after="100"/>
      </w:pPr>
      <w:r w:rsidRPr="00256982">
        <w:t>Gross emissions include those from the Energy, Industrial Processes and Product Use (IPPU), Agriculture and Waste sectors but do not include net removals from the Land Use, Land-Use Change and Forestry (LULUCF) sector. Reporting of gross emissions excluding the LULUCF sector is consistent with the reporting under the United Nations Framework Convention on Climate Change (the Convention).</w:t>
      </w:r>
    </w:p>
    <w:p w14:paraId="597E1FE1" w14:textId="77777777" w:rsidR="00DE64BC" w:rsidRPr="00256982" w:rsidRDefault="00DE64BC" w:rsidP="00A808C7">
      <w:pPr>
        <w:pStyle w:val="Heading5"/>
      </w:pPr>
      <w:r w:rsidRPr="00256982">
        <w:t>1990–2017</w:t>
      </w:r>
    </w:p>
    <w:p w14:paraId="5699E98E" w14:textId="77777777" w:rsidR="00DE64BC" w:rsidRPr="00256982" w:rsidRDefault="00DE64BC" w:rsidP="00A808C7">
      <w:pPr>
        <w:pStyle w:val="BodyText"/>
        <w:spacing w:before="100" w:after="100"/>
        <w:rPr>
          <w:rFonts w:ascii="Calibri" w:hAnsi="Calibri"/>
          <w:color w:val="000000"/>
          <w:szCs w:val="22"/>
          <w:lang w:eastAsia="en-NZ"/>
        </w:rPr>
      </w:pPr>
      <w:r w:rsidRPr="00256982">
        <w:t>In 1990, New Zealand’s gross GHG emissions were 65,668.3 kilotonnes of carbon dioxide equivalent (kt CO</w:t>
      </w:r>
      <w:r w:rsidRPr="00256982">
        <w:rPr>
          <w:vertAlign w:val="subscript"/>
        </w:rPr>
        <w:t>2</w:t>
      </w:r>
      <w:r w:rsidRPr="00256982">
        <w:t>-e). Between 1990 and 2017, gross GHG emissions increased by 15,185.2 kt CO</w:t>
      </w:r>
      <w:r w:rsidRPr="00256982">
        <w:rPr>
          <w:vertAlign w:val="subscript"/>
        </w:rPr>
        <w:t>2</w:t>
      </w:r>
      <w:r w:rsidRPr="00256982">
        <w:t>-e (23.1 per cent) to 80,853.5 kt CO</w:t>
      </w:r>
      <w:r w:rsidRPr="00256982">
        <w:rPr>
          <w:vertAlign w:val="subscript"/>
        </w:rPr>
        <w:t>2</w:t>
      </w:r>
      <w:r w:rsidRPr="00256982">
        <w:t xml:space="preserve">-e in 2017 (figure 2.1.1). From 1990 to 2017, the average annual growth in gross emissions was 0.8 per cent. </w:t>
      </w:r>
    </w:p>
    <w:p w14:paraId="69A1DF39" w14:textId="77777777" w:rsidR="00DE64BC" w:rsidRPr="00256982" w:rsidRDefault="00DE64BC" w:rsidP="00A808C7">
      <w:pPr>
        <w:pStyle w:val="BodyText"/>
        <w:spacing w:before="100" w:after="100"/>
      </w:pPr>
      <w:r w:rsidRPr="00256982">
        <w:t>The emission categories that contributed the most to this increase in gross emissions were:</w:t>
      </w:r>
      <w:r w:rsidRPr="00256982">
        <w:rPr>
          <w:i/>
        </w:rPr>
        <w:t xml:space="preserve"> Enteric fermentation</w:t>
      </w:r>
      <w:r w:rsidRPr="00256982">
        <w:rPr>
          <w:vertAlign w:val="superscript"/>
        </w:rPr>
        <w:footnoteReference w:id="18"/>
      </w:r>
      <w:r w:rsidRPr="00256982">
        <w:rPr>
          <w:i/>
        </w:rPr>
        <w:t xml:space="preserve"> from dairy cattle</w:t>
      </w:r>
      <w:r w:rsidRPr="00256982">
        <w:t>,</w:t>
      </w:r>
      <w:r w:rsidRPr="00256982">
        <w:rPr>
          <w:i/>
        </w:rPr>
        <w:t xml:space="preserve"> Road transportation</w:t>
      </w:r>
      <w:r w:rsidRPr="00256982">
        <w:t>,</w:t>
      </w:r>
      <w:r w:rsidRPr="00256982">
        <w:rPr>
          <w:i/>
        </w:rPr>
        <w:t xml:space="preserve"> Agricultural soils</w:t>
      </w:r>
      <w:r w:rsidRPr="00256982">
        <w:t xml:space="preserve">, </w:t>
      </w:r>
      <w:r w:rsidRPr="00256982">
        <w:rPr>
          <w:rFonts w:eastAsia="+mn-ea"/>
          <w:i/>
          <w:spacing w:val="-2"/>
        </w:rPr>
        <w:t>Product uses as substitutes for ODS</w:t>
      </w:r>
      <w:r w:rsidRPr="00256982">
        <w:rPr>
          <w:rStyle w:val="FootnoteReference"/>
          <w:rFonts w:eastAsia="+mn-ea"/>
          <w:spacing w:val="-2"/>
        </w:rPr>
        <w:footnoteReference w:id="19"/>
      </w:r>
      <w:r w:rsidRPr="00256982">
        <w:rPr>
          <w:rFonts w:eastAsia="+mn-ea"/>
          <w:spacing w:val="-2"/>
        </w:rPr>
        <w:t xml:space="preserve"> and</w:t>
      </w:r>
      <w:r w:rsidRPr="00256982">
        <w:rPr>
          <w:i/>
        </w:rPr>
        <w:t xml:space="preserve"> Manufacturing industries and construction </w:t>
      </w:r>
      <w:r w:rsidRPr="00256982">
        <w:t>(especially the categories</w:t>
      </w:r>
      <w:r w:rsidRPr="00256982">
        <w:rPr>
          <w:i/>
        </w:rPr>
        <w:t xml:space="preserve"> Chemicals </w:t>
      </w:r>
      <w:r w:rsidRPr="00256982">
        <w:t xml:space="preserve">and </w:t>
      </w:r>
      <w:r w:rsidRPr="00256982">
        <w:rPr>
          <w:i/>
        </w:rPr>
        <w:t>Food processing, beverages and tobacco</w:t>
      </w:r>
      <w:r w:rsidRPr="00256982">
        <w:t>).</w:t>
      </w:r>
    </w:p>
    <w:p w14:paraId="01FD8A77" w14:textId="77777777" w:rsidR="00DE64BC" w:rsidRPr="00256982" w:rsidRDefault="00DE64BC" w:rsidP="00A808C7">
      <w:pPr>
        <w:pStyle w:val="Heading5"/>
      </w:pPr>
      <w:r w:rsidRPr="00256982">
        <w:t>2016–2017</w:t>
      </w:r>
    </w:p>
    <w:p w14:paraId="76B5BB43" w14:textId="77777777" w:rsidR="00DE64BC" w:rsidRPr="00256982" w:rsidRDefault="00DE64BC" w:rsidP="00A808C7">
      <w:pPr>
        <w:pStyle w:val="BodyText"/>
        <w:spacing w:before="100" w:after="100"/>
      </w:pPr>
      <w:r w:rsidRPr="00256982">
        <w:t>New Zealand’s gross emissions between 2016 and 2017 increased by 1,717.4</w:t>
      </w:r>
      <w:r w:rsidRPr="00256982" w:rsidDel="00221842">
        <w:t xml:space="preserve"> </w:t>
      </w:r>
      <w:r w:rsidRPr="00256982">
        <w:t>kt CO</w:t>
      </w:r>
      <w:r w:rsidRPr="00256982">
        <w:rPr>
          <w:vertAlign w:val="subscript"/>
        </w:rPr>
        <w:t>2</w:t>
      </w:r>
      <w:r w:rsidRPr="00256982">
        <w:t>-e (2.2 per cent), which was mainly driven by an increase in emissions from the Energy sector (1,772.8 kt CO</w:t>
      </w:r>
      <w:r w:rsidRPr="00256982">
        <w:rPr>
          <w:vertAlign w:val="subscript"/>
        </w:rPr>
        <w:t>2</w:t>
      </w:r>
      <w:r w:rsidRPr="00256982">
        <w:t xml:space="preserve">-e or 5.7 per cent). The emissions increase in the Energy sector is attributed </w:t>
      </w:r>
      <w:r w:rsidRPr="00256982">
        <w:rPr>
          <w:lang w:eastAsia="en-GB"/>
        </w:rPr>
        <w:t xml:space="preserve">to increases in emissions from the </w:t>
      </w:r>
      <w:r w:rsidRPr="00256982">
        <w:rPr>
          <w:i/>
          <w:lang w:eastAsia="en-GB"/>
        </w:rPr>
        <w:t>Road transport</w:t>
      </w:r>
      <w:r w:rsidRPr="00256982">
        <w:rPr>
          <w:lang w:eastAsia="en-GB"/>
        </w:rPr>
        <w:t xml:space="preserve"> and </w:t>
      </w:r>
      <w:r w:rsidRPr="00256982">
        <w:rPr>
          <w:i/>
          <w:lang w:eastAsia="en-GB"/>
        </w:rPr>
        <w:t>Public electricity and heat production</w:t>
      </w:r>
      <w:r w:rsidRPr="00256982">
        <w:rPr>
          <w:lang w:eastAsia="en-GB"/>
        </w:rPr>
        <w:t xml:space="preserve"> categories (862.5 </w:t>
      </w:r>
      <w:r w:rsidRPr="00256982">
        <w:t>kt CO</w:t>
      </w:r>
      <w:r w:rsidRPr="00256982">
        <w:rPr>
          <w:vertAlign w:val="subscript"/>
        </w:rPr>
        <w:t>2</w:t>
      </w:r>
      <w:r w:rsidRPr="00256982">
        <w:t xml:space="preserve">-e </w:t>
      </w:r>
      <w:r w:rsidRPr="00256982">
        <w:rPr>
          <w:lang w:eastAsia="en-GB"/>
        </w:rPr>
        <w:t xml:space="preserve">and 552.9 </w:t>
      </w:r>
      <w:r w:rsidRPr="00256982">
        <w:t>kt CO</w:t>
      </w:r>
      <w:r w:rsidRPr="00256982">
        <w:rPr>
          <w:vertAlign w:val="subscript"/>
        </w:rPr>
        <w:t>2</w:t>
      </w:r>
      <w:r w:rsidRPr="00256982">
        <w:t>-e</w:t>
      </w:r>
      <w:r w:rsidRPr="00256982">
        <w:rPr>
          <w:lang w:eastAsia="en-GB"/>
        </w:rPr>
        <w:t xml:space="preserve"> respectively). The increasing emissions from </w:t>
      </w:r>
      <w:r w:rsidRPr="00256982">
        <w:rPr>
          <w:i/>
          <w:lang w:eastAsia="en-GB"/>
        </w:rPr>
        <w:t>Road transport</w:t>
      </w:r>
      <w:r w:rsidRPr="00256982">
        <w:rPr>
          <w:lang w:eastAsia="en-GB"/>
        </w:rPr>
        <w:t xml:space="preserve"> reflected the population growth in New Zealand between 2016 and 2017 (by 2.0 per cent), accompanied by a growing demand for transporting people and goods. The increase of emissions from the </w:t>
      </w:r>
      <w:r w:rsidRPr="00256982">
        <w:rPr>
          <w:i/>
          <w:lang w:eastAsia="en-GB"/>
        </w:rPr>
        <w:t xml:space="preserve">Public electricity and heat production </w:t>
      </w:r>
      <w:r w:rsidRPr="00256982">
        <w:rPr>
          <w:lang w:eastAsia="en-GB"/>
        </w:rPr>
        <w:t>category</w:t>
      </w:r>
      <w:r w:rsidRPr="00256982">
        <w:rPr>
          <w:i/>
          <w:lang w:eastAsia="en-GB"/>
        </w:rPr>
        <w:t xml:space="preserve"> </w:t>
      </w:r>
      <w:r w:rsidRPr="00256982">
        <w:rPr>
          <w:rFonts w:cs="Arial"/>
          <w:lang w:eastAsia="en-GB"/>
        </w:rPr>
        <w:t>resulted from a higher</w:t>
      </w:r>
      <w:r w:rsidRPr="00256982">
        <w:rPr>
          <w:lang w:eastAsia="en-GB"/>
        </w:rPr>
        <w:t xml:space="preserve"> use of fossil fuels (coal and gas) for electricity generation due to droughts and prolonged periods with low rainfall and, consequently, lower levels of hydro storage lakes in 2017. </w:t>
      </w:r>
    </w:p>
    <w:p w14:paraId="34DDF6D9" w14:textId="77777777" w:rsidR="00DE64BC" w:rsidRPr="00256982" w:rsidRDefault="00DE64BC" w:rsidP="00A808C7">
      <w:pPr>
        <w:pStyle w:val="BodyText"/>
        <w:rPr>
          <w:lang w:eastAsia="en-GB"/>
        </w:rPr>
      </w:pPr>
      <w:r w:rsidRPr="00256982">
        <w:rPr>
          <w:lang w:eastAsia="en-GB"/>
        </w:rPr>
        <w:t>Emissions from the Agriculture, IPPU and Waste sectors did not show significant changes beyond small annual variations below 1 per cent.</w:t>
      </w:r>
    </w:p>
    <w:p w14:paraId="4253B6D4" w14:textId="77777777" w:rsidR="00DE64BC" w:rsidRPr="00256982" w:rsidRDefault="00DE64BC" w:rsidP="00A808C7">
      <w:pPr>
        <w:pStyle w:val="BodyText"/>
      </w:pPr>
      <w:r w:rsidRPr="00256982">
        <w:t>Section 2.2 provides a more detailed summary of the sectoral emission trends.</w:t>
      </w:r>
    </w:p>
    <w:p w14:paraId="2099AE3F" w14:textId="77777777" w:rsidR="00DE64BC" w:rsidRPr="00256982" w:rsidRDefault="00DE64BC" w:rsidP="00A72006">
      <w:pPr>
        <w:pStyle w:val="Heading4"/>
      </w:pPr>
      <w:r w:rsidRPr="00256982">
        <w:lastRenderedPageBreak/>
        <w:t>Net emissions – reporting under the Convention</w:t>
      </w:r>
    </w:p>
    <w:p w14:paraId="42BE6873" w14:textId="77777777" w:rsidR="00DE64BC" w:rsidRPr="00256982" w:rsidRDefault="00DE64BC" w:rsidP="00A808C7">
      <w:pPr>
        <w:pStyle w:val="BodyText"/>
      </w:pPr>
      <w:r w:rsidRPr="00256982">
        <w:t xml:space="preserve">Net emissions include emissions from the Energy, IPPU, Agriculture and Waste sectors (gross emissions), together with emissions and removals from the LULUCF sector. </w:t>
      </w:r>
    </w:p>
    <w:p w14:paraId="1DB9DB25" w14:textId="77777777" w:rsidR="00DE64BC" w:rsidRPr="00256982" w:rsidRDefault="00DE64BC" w:rsidP="00A808C7">
      <w:pPr>
        <w:pStyle w:val="BodyText"/>
      </w:pPr>
      <w:r w:rsidRPr="00256982">
        <w:t>In 1990, New Zealand’s net GHG emissions were 34,506.5 kt CO</w:t>
      </w:r>
      <w:r w:rsidRPr="00256982">
        <w:rPr>
          <w:vertAlign w:val="subscript"/>
        </w:rPr>
        <w:t>2</w:t>
      </w:r>
      <w:r w:rsidRPr="00256982">
        <w:t>-e. Between 1990 and 2017, net GHG emissions increased by 22,388.5</w:t>
      </w:r>
      <w:r w:rsidRPr="00256982" w:rsidDel="00113096">
        <w:t xml:space="preserve"> </w:t>
      </w:r>
      <w:r w:rsidRPr="00256982">
        <w:t>kt CO</w:t>
      </w:r>
      <w:r w:rsidRPr="00256982">
        <w:rPr>
          <w:vertAlign w:val="subscript"/>
        </w:rPr>
        <w:t>2</w:t>
      </w:r>
      <w:r w:rsidRPr="00256982">
        <w:t>-e (64.9</w:t>
      </w:r>
      <w:r w:rsidRPr="00256982" w:rsidDel="00113096">
        <w:t xml:space="preserve"> </w:t>
      </w:r>
      <w:r w:rsidRPr="00256982">
        <w:t>per cent) to 56,895.0 kt CO</w:t>
      </w:r>
      <w:r w:rsidRPr="00256982">
        <w:rPr>
          <w:vertAlign w:val="subscript"/>
        </w:rPr>
        <w:t>2</w:t>
      </w:r>
      <w:r w:rsidRPr="00256982">
        <w:t xml:space="preserve">-e (figure 2.1.1). The four categories that contributed the most to the increase in net emissions between 1990 and 2017 were </w:t>
      </w:r>
      <w:r w:rsidRPr="00256982">
        <w:rPr>
          <w:i/>
        </w:rPr>
        <w:t>Enteric fermentation from dairy cattle</w:t>
      </w:r>
      <w:r w:rsidRPr="00256982">
        <w:t>,</w:t>
      </w:r>
      <w:r w:rsidRPr="00256982">
        <w:rPr>
          <w:i/>
        </w:rPr>
        <w:t xml:space="preserve"> Road transportation</w:t>
      </w:r>
      <w:r w:rsidRPr="00256982">
        <w:t>,</w:t>
      </w:r>
      <w:r w:rsidRPr="00256982">
        <w:rPr>
          <w:i/>
        </w:rPr>
        <w:t xml:space="preserve"> Land remaining forest land</w:t>
      </w:r>
      <w:r w:rsidRPr="00256982">
        <w:t xml:space="preserve"> and</w:t>
      </w:r>
      <w:r w:rsidRPr="00256982">
        <w:rPr>
          <w:i/>
        </w:rPr>
        <w:t xml:space="preserve"> Land converted to forest land</w:t>
      </w:r>
      <w:r w:rsidRPr="00256982">
        <w:t>.</w:t>
      </w:r>
    </w:p>
    <w:p w14:paraId="7E18EC56" w14:textId="77777777" w:rsidR="00DE64BC" w:rsidRPr="00256982" w:rsidRDefault="00DE64BC" w:rsidP="00A808C7">
      <w:pPr>
        <w:pStyle w:val="Figure"/>
      </w:pPr>
      <w:bookmarkStart w:id="188" w:name="_Toc414531574"/>
      <w:bookmarkStart w:id="189" w:name="_Toc447275655"/>
      <w:bookmarkStart w:id="190" w:name="_Toc511116919"/>
      <w:bookmarkStart w:id="191" w:name="_Toc5269652"/>
      <w:r w:rsidRPr="00256982">
        <w:t>Figure 2.1.1</w:t>
      </w:r>
      <w:r w:rsidRPr="00256982">
        <w:tab/>
        <w:t>New Zealand’s gross and net emissions (under the Convention) from 1990 to</w:t>
      </w:r>
      <w:bookmarkEnd w:id="188"/>
      <w:r w:rsidRPr="00256982">
        <w:t> </w:t>
      </w:r>
      <w:bookmarkEnd w:id="189"/>
      <w:bookmarkEnd w:id="190"/>
      <w:r w:rsidRPr="00256982">
        <w:t>2017</w:t>
      </w:r>
      <w:bookmarkEnd w:id="191"/>
      <w:r w:rsidRPr="00256982">
        <w:t xml:space="preserve"> </w:t>
      </w:r>
    </w:p>
    <w:p w14:paraId="1D2F8D8A" w14:textId="77777777" w:rsidR="00DE64BC" w:rsidRPr="00256982" w:rsidRDefault="00590491" w:rsidP="00A808C7">
      <w:r>
        <w:rPr>
          <w:lang w:eastAsia="en-NZ"/>
        </w:rPr>
        <w:pict w14:anchorId="6142A81D">
          <v:shape id="_x0000_i1035" type="#_x0000_t75" style="width:425.25pt;height:230.25pt;visibility:visible" o:gfxdata="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">
            <v:imagedata r:id="rId18" o:title="" croptop="1252f" cropbottom="3216f"/>
            <o:lock v:ext="edit" aspectratio="f"/>
          </v:shape>
        </w:pict>
      </w:r>
    </w:p>
    <w:p w14:paraId="4455A8FF" w14:textId="77777777" w:rsidR="00DE64BC" w:rsidRPr="00256982" w:rsidRDefault="00DE64BC" w:rsidP="00A72006">
      <w:pPr>
        <w:pStyle w:val="Heading4"/>
      </w:pPr>
      <w:r w:rsidRPr="00256982">
        <w:t>Accounting for New Zealand’s 2020 target</w:t>
      </w:r>
    </w:p>
    <w:p w14:paraId="25410B84" w14:textId="77777777" w:rsidR="00DE64BC" w:rsidRPr="00256982" w:rsidRDefault="00DE64BC" w:rsidP="00A808C7">
      <w:pPr>
        <w:pStyle w:val="BodyText"/>
      </w:pPr>
      <w:r w:rsidRPr="00256982">
        <w:rPr>
          <w:szCs w:val="22"/>
        </w:rPr>
        <w:t>New Zealand has taken a quantified economy-wide emissions reduction target under the Convention for the period 2013 to 2020 to reduce emissions to 5 per cent below 1990 levels by 2020</w:t>
      </w:r>
      <w:r w:rsidRPr="00256982">
        <w:t>.</w:t>
      </w:r>
      <w:r w:rsidRPr="00256982">
        <w:rPr>
          <w:rStyle w:val="FootnoteReference"/>
        </w:rPr>
        <w:footnoteReference w:id="20"/>
      </w:r>
      <w:r w:rsidRPr="00256982">
        <w:t xml:space="preserve"> </w:t>
      </w:r>
    </w:p>
    <w:p w14:paraId="4B63885D" w14:textId="77777777" w:rsidR="00DE64BC" w:rsidRPr="00256982" w:rsidRDefault="00DE64BC" w:rsidP="00A808C7">
      <w:pPr>
        <w:pStyle w:val="BodyText"/>
        <w:rPr>
          <w:szCs w:val="22"/>
        </w:rPr>
      </w:pPr>
      <w:r w:rsidRPr="00256982">
        <w:rPr>
          <w:szCs w:val="22"/>
        </w:rPr>
        <w:t>New Zealand’s emissions budget for the period 2013 to 2020 is 509,774,982 tonnes CO</w:t>
      </w:r>
      <w:r w:rsidRPr="00256982">
        <w:rPr>
          <w:szCs w:val="22"/>
          <w:vertAlign w:val="subscript"/>
        </w:rPr>
        <w:t>2</w:t>
      </w:r>
      <w:r w:rsidRPr="00256982">
        <w:rPr>
          <w:szCs w:val="22"/>
        </w:rPr>
        <w:noBreakHyphen/>
        <w:t>e.</w:t>
      </w:r>
      <w:r w:rsidRPr="00256982">
        <w:rPr>
          <w:rStyle w:val="FootnoteReference"/>
          <w:szCs w:val="22"/>
        </w:rPr>
        <w:footnoteReference w:id="21"/>
      </w:r>
      <w:r w:rsidRPr="00256982">
        <w:rPr>
          <w:szCs w:val="22"/>
        </w:rPr>
        <w:t xml:space="preserve"> </w:t>
      </w:r>
      <w:r w:rsidRPr="00256982">
        <w:rPr>
          <w:spacing w:val="-2"/>
          <w:szCs w:val="22"/>
        </w:rPr>
        <w:t xml:space="preserve">This is based on the gross emissions data for 1990 included in New Zealand’s 2016 inventory submission (New Zealand’s Initial Report, Ministry for the Environment, 2016). It is the number of years in the period (8 years) multiplied by gross emissions in 1990 from the Initial Report multiplied by the target (i.e., 0.95). </w:t>
      </w:r>
    </w:p>
    <w:p w14:paraId="44734794" w14:textId="77777777" w:rsidR="00DE64BC" w:rsidRPr="00256982" w:rsidRDefault="00DE64BC" w:rsidP="00A808C7">
      <w:pPr>
        <w:pStyle w:val="BodyText"/>
      </w:pPr>
      <w:r w:rsidRPr="00256982">
        <w:t>To account for New Zealand’s 2020 target, annual gross emissions values from New Zealand’s final submission for the period (National Inventory Report submitted in 2022) will be summed for 2013 to 2020, and this will represent the quantity of gross emissions that New Zealand is responsible for.</w:t>
      </w:r>
    </w:p>
    <w:p w14:paraId="158DD2E8" w14:textId="77777777" w:rsidR="00DE64BC" w:rsidRPr="00256982" w:rsidRDefault="00DE64BC" w:rsidP="00A808C7">
      <w:pPr>
        <w:pStyle w:val="BodyText"/>
      </w:pPr>
      <w:r w:rsidRPr="00256982">
        <w:rPr>
          <w:spacing w:val="-2"/>
        </w:rPr>
        <w:lastRenderedPageBreak/>
        <w:t>For the period so far (2013 to 2017), New Zealand’s gross emissions sum to 403,042.4 kt CO</w:t>
      </w:r>
      <w:r w:rsidRPr="00256982">
        <w:rPr>
          <w:spacing w:val="-2"/>
          <w:vertAlign w:val="subscript"/>
        </w:rPr>
        <w:t>2</w:t>
      </w:r>
      <w:r w:rsidRPr="00256982">
        <w:rPr>
          <w:spacing w:val="-2"/>
        </w:rPr>
        <w:noBreakHyphen/>
        <w:t>e.</w:t>
      </w:r>
      <w:r w:rsidRPr="00256982">
        <w:t xml:space="preserve"> The contribution towards New Zealand’s target from activities under the Kyoto Protocol is a net removal of 65,337.2 kt CO</w:t>
      </w:r>
      <w:r w:rsidRPr="00256982">
        <w:rPr>
          <w:vertAlign w:val="subscript"/>
        </w:rPr>
        <w:t>2</w:t>
      </w:r>
      <w:r w:rsidRPr="00256982">
        <w:t>-e. This comprises net removals of 88,184 kt CO</w:t>
      </w:r>
      <w:r w:rsidRPr="00256982">
        <w:rPr>
          <w:vertAlign w:val="subscript"/>
        </w:rPr>
        <w:t>2</w:t>
      </w:r>
      <w:r w:rsidRPr="00256982">
        <w:t xml:space="preserve">-e from </w:t>
      </w:r>
      <w:r w:rsidRPr="00256982">
        <w:rPr>
          <w:i/>
        </w:rPr>
        <w:t xml:space="preserve">Afforestation and Reforestation </w:t>
      </w:r>
      <w:r w:rsidRPr="00256982">
        <w:t>less emissions of 22,846.9 kt CO</w:t>
      </w:r>
      <w:r w:rsidRPr="00256982">
        <w:rPr>
          <w:vertAlign w:val="subscript"/>
        </w:rPr>
        <w:t>2</w:t>
      </w:r>
      <w:r w:rsidRPr="00256982">
        <w:t xml:space="preserve">-e from </w:t>
      </w:r>
      <w:r w:rsidRPr="00256982">
        <w:rPr>
          <w:i/>
        </w:rPr>
        <w:t>Deforestation</w:t>
      </w:r>
      <w:r w:rsidRPr="00256982">
        <w:t xml:space="preserve"> (see section 2.3 for further detail). </w:t>
      </w:r>
    </w:p>
    <w:p w14:paraId="7CE0D576" w14:textId="77777777" w:rsidR="00DE64BC" w:rsidRPr="00256982" w:rsidRDefault="00DE64BC" w:rsidP="00A808C7">
      <w:pPr>
        <w:pStyle w:val="BodyText"/>
      </w:pPr>
      <w:r w:rsidRPr="00256982">
        <w:t xml:space="preserve">The accounting rules for the LULUCF activities reported under Article 3.3 and Article 3.4 of the Kyoto Protocol are explained in chapter 11. </w:t>
      </w:r>
      <w:bookmarkStart w:id="192" w:name="_Toc414531281"/>
      <w:bookmarkStart w:id="193" w:name="_Toc448321502"/>
    </w:p>
    <w:p w14:paraId="5869FF22" w14:textId="77777777" w:rsidR="00DE64BC" w:rsidRPr="00256982" w:rsidRDefault="00DE64BC" w:rsidP="00A808C7">
      <w:pPr>
        <w:pStyle w:val="BodyText"/>
      </w:pPr>
      <w:r w:rsidRPr="00256982">
        <w:t>New Zealand tracks progress towards its 2020 target by regularly publishing a net position.</w:t>
      </w:r>
      <w:r w:rsidRPr="00256982">
        <w:rPr>
          <w:rStyle w:val="FootnoteReference"/>
        </w:rPr>
        <w:footnoteReference w:id="22"/>
      </w:r>
    </w:p>
    <w:p w14:paraId="756DB183" w14:textId="77777777" w:rsidR="00DE64BC" w:rsidRPr="00256982" w:rsidRDefault="00DE64BC" w:rsidP="001D3490">
      <w:pPr>
        <w:pStyle w:val="Heading3"/>
      </w:pPr>
      <w:r w:rsidRPr="00256982">
        <w:t>2.1.2</w:t>
      </w:r>
      <w:r w:rsidRPr="00256982">
        <w:tab/>
        <w:t>Inclusion of Tokelau</w:t>
      </w:r>
    </w:p>
    <w:p w14:paraId="0C3FD997" w14:textId="14B48BA8" w:rsidR="00DE64BC" w:rsidRPr="00256982" w:rsidRDefault="00DE64BC" w:rsidP="00A808C7">
      <w:pPr>
        <w:pStyle w:val="BodyText"/>
        <w:rPr>
          <w:spacing w:val="-2"/>
        </w:rPr>
      </w:pPr>
      <w:r w:rsidRPr="00256982">
        <w:rPr>
          <w:spacing w:val="-2"/>
        </w:rPr>
        <w:t>Beginning with the 2019 submission, New Zealand’s national inventory includes emissions from Tokelau, which is a dependent territory of New Zealand. Table 2.1.1 shows the contribution of emissions from Tokelau. Generally in New Zealand’s inventory, emissions will be reported as a total of emissions from New Zealand’s mainland territory, plus emissions from Tokelau where applicable. Because emissions from Tokelau are small, and the methodology varies greatly between Tokelau and the rest of New Zealand’s inventory, methodological issues for Tokelau are detailed in chapter 8 of the National Inventory Report (NIR), separately from the sectoral chapters that focus on methods for New Zealand’s mainland territory only. A set of tables in annex 7.2 provide</w:t>
      </w:r>
      <w:r w:rsidR="008169FF" w:rsidRPr="00256982">
        <w:rPr>
          <w:spacing w:val="-2"/>
        </w:rPr>
        <w:t>s</w:t>
      </w:r>
      <w:r w:rsidRPr="00256982">
        <w:rPr>
          <w:spacing w:val="-2"/>
        </w:rPr>
        <w:t xml:space="preserve"> details on time series for emissions, activity data, and information on methods and emission factors for each sector and category contributing to the gross emissions from Tokelau.</w:t>
      </w:r>
    </w:p>
    <w:p w14:paraId="088B3805" w14:textId="77777777" w:rsidR="00DE64BC" w:rsidRPr="00256982" w:rsidRDefault="00DE64BC" w:rsidP="00A808C7">
      <w:pPr>
        <w:pStyle w:val="Table"/>
      </w:pPr>
      <w:bookmarkStart w:id="194" w:name="_Toc5269441"/>
      <w:r w:rsidRPr="00256982">
        <w:t xml:space="preserve">Table 2.1.1 </w:t>
      </w:r>
      <w:r w:rsidRPr="00256982">
        <w:tab/>
        <w:t>Emissions from Tokelau</w:t>
      </w:r>
      <w:bookmarkEnd w:id="194"/>
    </w:p>
    <w:tbl>
      <w:tblPr>
        <w:tblW w:w="8535" w:type="dxa"/>
        <w:tblInd w:w="108" w:type="dxa"/>
        <w:tblBorders>
          <w:bottom w:val="single" w:sz="8" w:space="0" w:color="365F91"/>
          <w:insideH w:val="single" w:sz="8" w:space="0" w:color="365F91"/>
        </w:tblBorders>
        <w:tblLayout w:type="fixed"/>
        <w:tblLook w:val="01E0" w:firstRow="1" w:lastRow="1" w:firstColumn="1" w:lastColumn="1" w:noHBand="0" w:noVBand="0"/>
      </w:tblPr>
      <w:tblGrid>
        <w:gridCol w:w="1985"/>
        <w:gridCol w:w="850"/>
        <w:gridCol w:w="851"/>
        <w:gridCol w:w="1134"/>
        <w:gridCol w:w="850"/>
        <w:gridCol w:w="1418"/>
        <w:gridCol w:w="1447"/>
      </w:tblGrid>
      <w:tr w:rsidR="00DE64BC" w:rsidRPr="00256982" w14:paraId="040B3FF9" w14:textId="77777777" w:rsidTr="00A808C7">
        <w:tc>
          <w:tcPr>
            <w:tcW w:w="1985" w:type="dxa"/>
            <w:vMerge w:val="restart"/>
            <w:tcBorders>
              <w:top w:val="single" w:sz="4" w:space="0" w:color="365F91"/>
              <w:left w:val="nil"/>
              <w:bottom w:val="nil"/>
              <w:right w:val="nil"/>
              <w:tl2br w:val="nil"/>
              <w:tr2bl w:val="nil"/>
            </w:tcBorders>
            <w:shd w:val="clear" w:color="auto" w:fill="365F91"/>
            <w:vAlign w:val="bottom"/>
          </w:tcPr>
          <w:p w14:paraId="5FF0DA34" w14:textId="77777777" w:rsidR="00DE64BC" w:rsidRPr="00256982" w:rsidRDefault="00DE64BC" w:rsidP="00A808C7">
            <w:pPr>
              <w:pStyle w:val="TableTextBold"/>
              <w:keepNext/>
              <w:rPr>
                <w:noProof w:val="0"/>
                <w:color w:val="FFFFFF"/>
              </w:rPr>
            </w:pPr>
            <w:r w:rsidRPr="00256982">
              <w:rPr>
                <w:noProof w:val="0"/>
                <w:color w:val="FFFFFF"/>
              </w:rPr>
              <w:t>Sector</w:t>
            </w:r>
          </w:p>
        </w:tc>
        <w:tc>
          <w:tcPr>
            <w:tcW w:w="1701" w:type="dxa"/>
            <w:gridSpan w:val="2"/>
            <w:tcBorders>
              <w:top w:val="single" w:sz="4" w:space="0" w:color="365F91"/>
              <w:left w:val="nil"/>
              <w:bottom w:val="nil"/>
              <w:right w:val="nil"/>
              <w:tl2br w:val="nil"/>
              <w:tr2bl w:val="nil"/>
            </w:tcBorders>
            <w:shd w:val="clear" w:color="auto" w:fill="365F91"/>
            <w:vAlign w:val="bottom"/>
          </w:tcPr>
          <w:p w14:paraId="35EFD42F" w14:textId="77777777" w:rsidR="00DE64BC" w:rsidRPr="00256982" w:rsidRDefault="00DE64BC" w:rsidP="00A808C7">
            <w:pPr>
              <w:pStyle w:val="TableTextBold"/>
              <w:keepNext/>
              <w:spacing w:before="120" w:after="0"/>
              <w:jc w:val="center"/>
              <w:rPr>
                <w:noProof w:val="0"/>
                <w:color w:val="FFFFFF"/>
              </w:rPr>
            </w:pPr>
            <w:r w:rsidRPr="00256982">
              <w:rPr>
                <w:rFonts w:cs="Arial"/>
                <w:bCs/>
                <w:noProof w:val="0"/>
                <w:color w:val="FFFFFF"/>
              </w:rPr>
              <w:t>kt CO</w:t>
            </w:r>
            <w:r w:rsidRPr="00256982">
              <w:rPr>
                <w:rFonts w:cs="Arial"/>
                <w:bCs/>
                <w:noProof w:val="0"/>
                <w:color w:val="FFFFFF"/>
                <w:vertAlign w:val="subscript"/>
              </w:rPr>
              <w:t>2</w:t>
            </w:r>
            <w:r w:rsidRPr="00256982">
              <w:rPr>
                <w:rFonts w:cs="Arial"/>
                <w:bCs/>
                <w:noProof w:val="0"/>
                <w:color w:val="FFFFFF"/>
              </w:rPr>
              <w:t>-equivalent</w:t>
            </w:r>
          </w:p>
        </w:tc>
        <w:tc>
          <w:tcPr>
            <w:tcW w:w="1984" w:type="dxa"/>
            <w:gridSpan w:val="2"/>
            <w:tcBorders>
              <w:top w:val="single" w:sz="4" w:space="0" w:color="365F91"/>
              <w:left w:val="nil"/>
              <w:bottom w:val="nil"/>
              <w:right w:val="nil"/>
              <w:tl2br w:val="nil"/>
              <w:tr2bl w:val="nil"/>
            </w:tcBorders>
            <w:shd w:val="clear" w:color="auto" w:fill="365F91"/>
            <w:vAlign w:val="bottom"/>
          </w:tcPr>
          <w:p w14:paraId="4CABDA01" w14:textId="77777777" w:rsidR="00DE64BC" w:rsidRPr="00256982" w:rsidRDefault="00DE64BC" w:rsidP="00A808C7">
            <w:pPr>
              <w:pStyle w:val="TableTextBold"/>
              <w:keepNext/>
              <w:spacing w:after="0"/>
              <w:jc w:val="center"/>
              <w:rPr>
                <w:noProof w:val="0"/>
                <w:color w:val="FFFFFF"/>
              </w:rPr>
            </w:pPr>
            <w:r w:rsidRPr="00256982">
              <w:rPr>
                <w:rFonts w:cs="Arial"/>
                <w:bCs/>
                <w:noProof w:val="0"/>
                <w:color w:val="FFFFFF"/>
              </w:rPr>
              <w:t xml:space="preserve">Change from 1990 </w:t>
            </w:r>
          </w:p>
        </w:tc>
        <w:tc>
          <w:tcPr>
            <w:tcW w:w="1418" w:type="dxa"/>
            <w:vMerge w:val="restart"/>
            <w:tcBorders>
              <w:top w:val="single" w:sz="4" w:space="0" w:color="365F91"/>
              <w:left w:val="nil"/>
              <w:bottom w:val="nil"/>
              <w:right w:val="nil"/>
              <w:tl2br w:val="nil"/>
              <w:tr2bl w:val="nil"/>
            </w:tcBorders>
            <w:shd w:val="clear" w:color="auto" w:fill="365F91"/>
            <w:vAlign w:val="bottom"/>
          </w:tcPr>
          <w:p w14:paraId="77D7246A" w14:textId="77777777" w:rsidR="00DE64BC" w:rsidRPr="00256982" w:rsidRDefault="00DE64BC" w:rsidP="00A808C7">
            <w:pPr>
              <w:pStyle w:val="TableTextBold"/>
              <w:keepNext/>
              <w:jc w:val="center"/>
              <w:rPr>
                <w:noProof w:val="0"/>
                <w:color w:val="FFFFFF"/>
              </w:rPr>
            </w:pPr>
            <w:r w:rsidRPr="00256982">
              <w:rPr>
                <w:noProof w:val="0"/>
                <w:color w:val="FFFFFF"/>
              </w:rPr>
              <w:t>Contribution to gross for Tokelau (%)</w:t>
            </w:r>
          </w:p>
        </w:tc>
        <w:tc>
          <w:tcPr>
            <w:tcW w:w="1447" w:type="dxa"/>
            <w:vMerge w:val="restart"/>
            <w:tcBorders>
              <w:top w:val="single" w:sz="4" w:space="0" w:color="365F91"/>
              <w:left w:val="nil"/>
              <w:bottom w:val="nil"/>
              <w:right w:val="nil"/>
              <w:tl2br w:val="nil"/>
              <w:tr2bl w:val="nil"/>
            </w:tcBorders>
            <w:shd w:val="clear" w:color="auto" w:fill="365F91"/>
            <w:vAlign w:val="bottom"/>
          </w:tcPr>
          <w:p w14:paraId="139CDE5D" w14:textId="77777777" w:rsidR="00DE64BC" w:rsidRPr="00256982" w:rsidRDefault="00DE64BC" w:rsidP="00A808C7">
            <w:pPr>
              <w:pStyle w:val="TableTextBold"/>
              <w:keepNext/>
              <w:jc w:val="center"/>
              <w:rPr>
                <w:noProof w:val="0"/>
                <w:color w:val="FFFFFF"/>
              </w:rPr>
            </w:pPr>
            <w:r w:rsidRPr="00256982">
              <w:rPr>
                <w:noProof w:val="0"/>
                <w:color w:val="FFFFFF"/>
              </w:rPr>
              <w:t>Contribution to gross NZ (incl Tokelau) (%)</w:t>
            </w:r>
          </w:p>
        </w:tc>
      </w:tr>
      <w:tr w:rsidR="00DE64BC" w:rsidRPr="00256982" w14:paraId="474010A1" w14:textId="77777777" w:rsidTr="00A808C7">
        <w:tc>
          <w:tcPr>
            <w:tcW w:w="1985" w:type="dxa"/>
            <w:vMerge/>
            <w:tcBorders>
              <w:top w:val="nil"/>
              <w:left w:val="nil"/>
              <w:bottom w:val="single" w:sz="4" w:space="0" w:color="365F91"/>
              <w:right w:val="nil"/>
              <w:tl2br w:val="nil"/>
              <w:tr2bl w:val="nil"/>
            </w:tcBorders>
            <w:shd w:val="clear" w:color="auto" w:fill="365F91"/>
            <w:vAlign w:val="bottom"/>
          </w:tcPr>
          <w:p w14:paraId="3EA1F10C" w14:textId="77777777" w:rsidR="00DE64BC" w:rsidRPr="00256982" w:rsidRDefault="00DE64BC" w:rsidP="00A808C7">
            <w:pPr>
              <w:pStyle w:val="TableTextBold"/>
              <w:keepNext/>
              <w:rPr>
                <w:noProof w:val="0"/>
                <w:color w:val="FFFFFF"/>
              </w:rPr>
            </w:pPr>
          </w:p>
        </w:tc>
        <w:tc>
          <w:tcPr>
            <w:tcW w:w="850" w:type="dxa"/>
            <w:tcBorders>
              <w:top w:val="nil"/>
              <w:left w:val="nil"/>
              <w:bottom w:val="single" w:sz="4" w:space="0" w:color="365F91"/>
              <w:right w:val="nil"/>
              <w:tl2br w:val="nil"/>
              <w:tr2bl w:val="nil"/>
            </w:tcBorders>
            <w:shd w:val="clear" w:color="auto" w:fill="365F91"/>
            <w:vAlign w:val="bottom"/>
          </w:tcPr>
          <w:p w14:paraId="65A93F09" w14:textId="77777777" w:rsidR="00DE64BC" w:rsidRPr="00256982" w:rsidRDefault="00DE64BC" w:rsidP="00A808C7">
            <w:pPr>
              <w:pStyle w:val="TableTextBold"/>
              <w:keepNext/>
              <w:spacing w:before="0"/>
              <w:jc w:val="center"/>
              <w:rPr>
                <w:noProof w:val="0"/>
                <w:color w:val="FFFFFF"/>
              </w:rPr>
            </w:pPr>
            <w:r w:rsidRPr="00256982">
              <w:rPr>
                <w:noProof w:val="0"/>
                <w:color w:val="FFFFFF"/>
              </w:rPr>
              <w:t>1990</w:t>
            </w:r>
          </w:p>
        </w:tc>
        <w:tc>
          <w:tcPr>
            <w:tcW w:w="851" w:type="dxa"/>
            <w:tcBorders>
              <w:top w:val="nil"/>
              <w:left w:val="nil"/>
              <w:bottom w:val="single" w:sz="4" w:space="0" w:color="365F91"/>
              <w:right w:val="nil"/>
              <w:tl2br w:val="nil"/>
              <w:tr2bl w:val="nil"/>
            </w:tcBorders>
            <w:shd w:val="clear" w:color="auto" w:fill="365F91"/>
            <w:vAlign w:val="bottom"/>
          </w:tcPr>
          <w:p w14:paraId="28E428C4" w14:textId="77777777" w:rsidR="00DE64BC" w:rsidRPr="00256982" w:rsidRDefault="00DE64BC" w:rsidP="00A808C7">
            <w:pPr>
              <w:pStyle w:val="TableTextBold"/>
              <w:keepNext/>
              <w:spacing w:before="0"/>
              <w:jc w:val="center"/>
              <w:rPr>
                <w:noProof w:val="0"/>
                <w:color w:val="FFFFFF"/>
              </w:rPr>
            </w:pPr>
            <w:r w:rsidRPr="00256982">
              <w:rPr>
                <w:noProof w:val="0"/>
                <w:color w:val="FFFFFF"/>
              </w:rPr>
              <w:t>2017</w:t>
            </w:r>
          </w:p>
        </w:tc>
        <w:tc>
          <w:tcPr>
            <w:tcW w:w="1134" w:type="dxa"/>
            <w:tcBorders>
              <w:top w:val="nil"/>
              <w:left w:val="nil"/>
              <w:bottom w:val="single" w:sz="4" w:space="0" w:color="365F91"/>
              <w:right w:val="nil"/>
              <w:tl2br w:val="nil"/>
              <w:tr2bl w:val="nil"/>
            </w:tcBorders>
            <w:shd w:val="clear" w:color="auto" w:fill="365F91"/>
            <w:vAlign w:val="bottom"/>
          </w:tcPr>
          <w:p w14:paraId="53FCC1A4" w14:textId="77777777" w:rsidR="00DE64BC" w:rsidRPr="00256982" w:rsidRDefault="00DE64BC" w:rsidP="00A808C7">
            <w:pPr>
              <w:pStyle w:val="TableTextBold"/>
              <w:keepNext/>
              <w:jc w:val="center"/>
              <w:rPr>
                <w:noProof w:val="0"/>
                <w:color w:val="FFFFFF"/>
              </w:rPr>
            </w:pPr>
            <w:r w:rsidRPr="00256982">
              <w:rPr>
                <w:rFonts w:cs="Arial"/>
                <w:bCs/>
                <w:noProof w:val="0"/>
                <w:color w:val="FFFFFF"/>
              </w:rPr>
              <w:t>kt CO</w:t>
            </w:r>
            <w:r w:rsidRPr="00256982">
              <w:rPr>
                <w:rFonts w:cs="Arial"/>
                <w:bCs/>
                <w:noProof w:val="0"/>
                <w:color w:val="FFFFFF"/>
                <w:vertAlign w:val="subscript"/>
              </w:rPr>
              <w:t>2</w:t>
            </w:r>
            <w:r w:rsidRPr="00256982">
              <w:rPr>
                <w:rFonts w:cs="Arial"/>
                <w:bCs/>
                <w:noProof w:val="0"/>
                <w:color w:val="FFFFFF"/>
              </w:rPr>
              <w:t>-equivalent</w:t>
            </w:r>
          </w:p>
        </w:tc>
        <w:tc>
          <w:tcPr>
            <w:tcW w:w="850" w:type="dxa"/>
            <w:tcBorders>
              <w:top w:val="nil"/>
              <w:left w:val="nil"/>
              <w:bottom w:val="single" w:sz="4" w:space="0" w:color="365F91"/>
              <w:right w:val="nil"/>
              <w:tl2br w:val="nil"/>
              <w:tr2bl w:val="nil"/>
            </w:tcBorders>
            <w:shd w:val="clear" w:color="auto" w:fill="365F91"/>
            <w:vAlign w:val="bottom"/>
          </w:tcPr>
          <w:p w14:paraId="229D93A3" w14:textId="77777777" w:rsidR="00DE64BC" w:rsidRPr="00256982" w:rsidRDefault="00DE64BC" w:rsidP="00A808C7">
            <w:pPr>
              <w:pStyle w:val="TableTextBold"/>
              <w:keepNext/>
              <w:jc w:val="center"/>
              <w:rPr>
                <w:noProof w:val="0"/>
                <w:color w:val="FFFFFF"/>
              </w:rPr>
            </w:pPr>
            <w:r w:rsidRPr="00256982">
              <w:rPr>
                <w:noProof w:val="0"/>
                <w:color w:val="FFFFFF"/>
              </w:rPr>
              <w:t>%</w:t>
            </w:r>
          </w:p>
        </w:tc>
        <w:tc>
          <w:tcPr>
            <w:tcW w:w="1418" w:type="dxa"/>
            <w:vMerge/>
            <w:tcBorders>
              <w:top w:val="nil"/>
              <w:left w:val="nil"/>
              <w:bottom w:val="single" w:sz="4" w:space="0" w:color="365F91"/>
              <w:right w:val="nil"/>
              <w:tl2br w:val="nil"/>
              <w:tr2bl w:val="nil"/>
            </w:tcBorders>
            <w:shd w:val="clear" w:color="auto" w:fill="365F91"/>
            <w:vAlign w:val="bottom"/>
          </w:tcPr>
          <w:p w14:paraId="12358CA4" w14:textId="77777777" w:rsidR="00DE64BC" w:rsidRPr="00256982" w:rsidRDefault="00DE64BC" w:rsidP="00A808C7">
            <w:pPr>
              <w:pStyle w:val="TableTextBold"/>
              <w:keepNext/>
              <w:jc w:val="center"/>
              <w:rPr>
                <w:noProof w:val="0"/>
                <w:color w:val="FFFFFF"/>
              </w:rPr>
            </w:pPr>
          </w:p>
        </w:tc>
        <w:tc>
          <w:tcPr>
            <w:tcW w:w="1447" w:type="dxa"/>
            <w:vMerge/>
            <w:tcBorders>
              <w:top w:val="nil"/>
              <w:left w:val="nil"/>
              <w:bottom w:val="single" w:sz="4" w:space="0" w:color="365F91"/>
              <w:right w:val="nil"/>
              <w:tl2br w:val="nil"/>
              <w:tr2bl w:val="nil"/>
            </w:tcBorders>
            <w:shd w:val="clear" w:color="auto" w:fill="365F91"/>
            <w:vAlign w:val="bottom"/>
          </w:tcPr>
          <w:p w14:paraId="2B611A70" w14:textId="77777777" w:rsidR="00DE64BC" w:rsidRPr="00256982" w:rsidRDefault="00DE64BC" w:rsidP="00A808C7">
            <w:pPr>
              <w:pStyle w:val="TableTextBold"/>
              <w:keepNext/>
              <w:jc w:val="center"/>
              <w:rPr>
                <w:noProof w:val="0"/>
                <w:color w:val="FFFFFF"/>
              </w:rPr>
            </w:pPr>
          </w:p>
        </w:tc>
      </w:tr>
      <w:tr w:rsidR="00DE64BC" w:rsidRPr="00256982" w14:paraId="20202AD3" w14:textId="77777777" w:rsidTr="00A808C7">
        <w:tc>
          <w:tcPr>
            <w:tcW w:w="1985" w:type="dxa"/>
            <w:tcBorders>
              <w:top w:val="single" w:sz="4" w:space="0" w:color="365F91"/>
            </w:tcBorders>
            <w:shd w:val="clear" w:color="auto" w:fill="auto"/>
            <w:vAlign w:val="bottom"/>
          </w:tcPr>
          <w:p w14:paraId="7FCAD770" w14:textId="77777777" w:rsidR="00DE64BC" w:rsidRPr="00256982" w:rsidRDefault="00DE64BC" w:rsidP="00A808C7">
            <w:pPr>
              <w:pStyle w:val="TableText"/>
              <w:keepNext/>
              <w:spacing w:before="50" w:after="50"/>
              <w:rPr>
                <w:color w:val="000000"/>
                <w:szCs w:val="22"/>
              </w:rPr>
            </w:pPr>
            <w:r w:rsidRPr="00256982">
              <w:rPr>
                <w:color w:val="000000"/>
                <w:szCs w:val="22"/>
              </w:rPr>
              <w:t>Energy for Tokelau</w:t>
            </w:r>
          </w:p>
        </w:tc>
        <w:tc>
          <w:tcPr>
            <w:tcW w:w="850" w:type="dxa"/>
            <w:tcBorders>
              <w:top w:val="single" w:sz="4" w:space="0" w:color="365F91"/>
            </w:tcBorders>
            <w:shd w:val="clear" w:color="auto" w:fill="auto"/>
            <w:vAlign w:val="bottom"/>
          </w:tcPr>
          <w:p w14:paraId="23B7D38F" w14:textId="77777777" w:rsidR="00DE64BC" w:rsidRPr="00256982" w:rsidRDefault="00DE64BC" w:rsidP="00A808C7">
            <w:pPr>
              <w:pStyle w:val="TableText"/>
              <w:keepNext/>
              <w:spacing w:before="50" w:after="50"/>
              <w:jc w:val="right"/>
              <w:rPr>
                <w:rFonts w:cs="Arial"/>
                <w:color w:val="000000"/>
                <w:szCs w:val="16"/>
              </w:rPr>
            </w:pPr>
            <w:r w:rsidRPr="00256982">
              <w:rPr>
                <w:rFonts w:cs="Arial"/>
                <w:color w:val="000000"/>
                <w:szCs w:val="16"/>
              </w:rPr>
              <w:t>2.85</w:t>
            </w:r>
          </w:p>
        </w:tc>
        <w:tc>
          <w:tcPr>
            <w:tcW w:w="851" w:type="dxa"/>
            <w:tcBorders>
              <w:top w:val="single" w:sz="4" w:space="0" w:color="365F91"/>
            </w:tcBorders>
            <w:shd w:val="clear" w:color="auto" w:fill="auto"/>
            <w:vAlign w:val="bottom"/>
          </w:tcPr>
          <w:p w14:paraId="5E3BCFC4" w14:textId="77777777" w:rsidR="00DE64BC" w:rsidRPr="00256982" w:rsidRDefault="00DE64BC" w:rsidP="00A808C7">
            <w:pPr>
              <w:pStyle w:val="TableText"/>
              <w:keepNext/>
              <w:tabs>
                <w:tab w:val="left" w:pos="590"/>
              </w:tabs>
              <w:spacing w:before="50" w:after="50"/>
              <w:ind w:right="91"/>
              <w:jc w:val="right"/>
              <w:rPr>
                <w:rFonts w:cs="Arial"/>
                <w:color w:val="000000"/>
                <w:szCs w:val="16"/>
              </w:rPr>
            </w:pPr>
            <w:r w:rsidRPr="00256982">
              <w:rPr>
                <w:rFonts w:cs="Arial"/>
                <w:color w:val="000000"/>
                <w:szCs w:val="16"/>
              </w:rPr>
              <w:t>1.91</w:t>
            </w:r>
          </w:p>
        </w:tc>
        <w:tc>
          <w:tcPr>
            <w:tcW w:w="1134" w:type="dxa"/>
            <w:tcBorders>
              <w:top w:val="single" w:sz="4" w:space="0" w:color="365F91"/>
            </w:tcBorders>
            <w:vAlign w:val="bottom"/>
          </w:tcPr>
          <w:p w14:paraId="379E8299" w14:textId="77777777" w:rsidR="00DE64BC" w:rsidRPr="00256982" w:rsidRDefault="00DE64BC" w:rsidP="00A808C7">
            <w:pPr>
              <w:pStyle w:val="TableText"/>
              <w:keepNext/>
              <w:tabs>
                <w:tab w:val="left" w:pos="1309"/>
              </w:tabs>
              <w:spacing w:before="50" w:after="50"/>
              <w:ind w:right="55"/>
              <w:jc w:val="right"/>
              <w:rPr>
                <w:rFonts w:cs="Arial"/>
                <w:color w:val="000000"/>
                <w:szCs w:val="16"/>
              </w:rPr>
            </w:pPr>
            <w:r w:rsidRPr="00256982">
              <w:rPr>
                <w:rFonts w:cs="Arial"/>
                <w:color w:val="000000"/>
                <w:szCs w:val="16"/>
              </w:rPr>
              <w:t>0.94</w:t>
            </w:r>
          </w:p>
        </w:tc>
        <w:tc>
          <w:tcPr>
            <w:tcW w:w="850" w:type="dxa"/>
            <w:tcBorders>
              <w:top w:val="single" w:sz="4" w:space="0" w:color="365F91"/>
            </w:tcBorders>
            <w:vAlign w:val="bottom"/>
          </w:tcPr>
          <w:p w14:paraId="5704ECBD" w14:textId="77777777" w:rsidR="00DE64BC" w:rsidRPr="00256982" w:rsidRDefault="00DE64BC" w:rsidP="00A808C7">
            <w:pPr>
              <w:pStyle w:val="TableText"/>
              <w:keepNext/>
              <w:tabs>
                <w:tab w:val="left" w:pos="1309"/>
              </w:tabs>
              <w:spacing w:before="50" w:after="50"/>
              <w:ind w:right="73"/>
              <w:jc w:val="right"/>
              <w:rPr>
                <w:rFonts w:cs="Arial"/>
                <w:color w:val="000000"/>
                <w:szCs w:val="16"/>
              </w:rPr>
            </w:pPr>
            <w:r w:rsidRPr="00256982">
              <w:rPr>
                <w:color w:val="000000"/>
                <w:szCs w:val="22"/>
              </w:rPr>
              <w:t>–</w:t>
            </w:r>
            <w:r w:rsidRPr="00256982">
              <w:rPr>
                <w:rFonts w:cs="Arial"/>
                <w:color w:val="000000"/>
                <w:szCs w:val="16"/>
              </w:rPr>
              <w:t>32.9</w:t>
            </w:r>
          </w:p>
        </w:tc>
        <w:tc>
          <w:tcPr>
            <w:tcW w:w="1418" w:type="dxa"/>
            <w:tcBorders>
              <w:top w:val="single" w:sz="4" w:space="0" w:color="365F91"/>
            </w:tcBorders>
            <w:shd w:val="clear" w:color="auto" w:fill="auto"/>
            <w:vAlign w:val="bottom"/>
          </w:tcPr>
          <w:p w14:paraId="72FB0199" w14:textId="77777777" w:rsidR="00DE64BC" w:rsidRPr="00256982" w:rsidRDefault="00DE64BC" w:rsidP="00A808C7">
            <w:pPr>
              <w:pStyle w:val="TableText"/>
              <w:keepNext/>
              <w:tabs>
                <w:tab w:val="left" w:pos="1051"/>
              </w:tabs>
              <w:spacing w:before="50" w:after="50"/>
              <w:ind w:right="37"/>
              <w:jc w:val="right"/>
              <w:rPr>
                <w:rFonts w:cs="Arial"/>
                <w:color w:val="000000"/>
                <w:szCs w:val="16"/>
              </w:rPr>
            </w:pPr>
            <w:r w:rsidRPr="00256982">
              <w:rPr>
                <w:rFonts w:cs="Arial"/>
                <w:color w:val="000000"/>
                <w:szCs w:val="16"/>
              </w:rPr>
              <w:t>66.7</w:t>
            </w:r>
          </w:p>
        </w:tc>
        <w:tc>
          <w:tcPr>
            <w:tcW w:w="1447" w:type="dxa"/>
            <w:tcBorders>
              <w:top w:val="single" w:sz="4" w:space="0" w:color="365F91"/>
            </w:tcBorders>
            <w:vAlign w:val="bottom"/>
          </w:tcPr>
          <w:p w14:paraId="22793CDA" w14:textId="77777777" w:rsidR="00DE64BC" w:rsidRPr="00256982" w:rsidRDefault="00DE64BC" w:rsidP="00A808C7">
            <w:pPr>
              <w:pStyle w:val="TableText"/>
              <w:keepNext/>
              <w:tabs>
                <w:tab w:val="left" w:pos="1309"/>
              </w:tabs>
              <w:spacing w:before="50" w:after="50"/>
              <w:ind w:right="35"/>
              <w:jc w:val="right"/>
              <w:rPr>
                <w:rFonts w:cs="Arial"/>
                <w:color w:val="000000"/>
                <w:szCs w:val="16"/>
              </w:rPr>
            </w:pPr>
            <w:r w:rsidRPr="00256982">
              <w:rPr>
                <w:rFonts w:cs="Arial"/>
                <w:color w:val="000000"/>
                <w:szCs w:val="16"/>
              </w:rPr>
              <w:t>0.0024</w:t>
            </w:r>
          </w:p>
        </w:tc>
      </w:tr>
      <w:tr w:rsidR="00DE64BC" w:rsidRPr="00256982" w14:paraId="20CF6611" w14:textId="77777777" w:rsidTr="00A808C7">
        <w:tc>
          <w:tcPr>
            <w:tcW w:w="1985" w:type="dxa"/>
            <w:shd w:val="clear" w:color="auto" w:fill="auto"/>
            <w:vAlign w:val="bottom"/>
          </w:tcPr>
          <w:p w14:paraId="0D1799E7" w14:textId="77777777" w:rsidR="00DE64BC" w:rsidRPr="00256982" w:rsidRDefault="00DE64BC" w:rsidP="00A808C7">
            <w:pPr>
              <w:pStyle w:val="TableText"/>
              <w:spacing w:before="50" w:after="50"/>
              <w:rPr>
                <w:color w:val="000000"/>
                <w:szCs w:val="22"/>
              </w:rPr>
            </w:pPr>
            <w:r w:rsidRPr="00256982">
              <w:rPr>
                <w:color w:val="000000"/>
                <w:szCs w:val="22"/>
              </w:rPr>
              <w:t>IPPU for Tokelau</w:t>
            </w:r>
          </w:p>
        </w:tc>
        <w:tc>
          <w:tcPr>
            <w:tcW w:w="850" w:type="dxa"/>
            <w:shd w:val="clear" w:color="auto" w:fill="auto"/>
            <w:vAlign w:val="bottom"/>
          </w:tcPr>
          <w:p w14:paraId="5D77DDB3" w14:textId="77777777" w:rsidR="00DE64BC" w:rsidRPr="00256982" w:rsidRDefault="00DE64BC" w:rsidP="00A808C7">
            <w:pPr>
              <w:pStyle w:val="TableText"/>
              <w:keepNext/>
              <w:spacing w:before="50" w:after="50"/>
              <w:jc w:val="right"/>
              <w:rPr>
                <w:rFonts w:cs="Arial"/>
                <w:color w:val="000000"/>
                <w:szCs w:val="16"/>
              </w:rPr>
            </w:pPr>
            <w:r w:rsidRPr="00256982">
              <w:rPr>
                <w:rFonts w:cs="Arial"/>
                <w:color w:val="000000"/>
                <w:szCs w:val="16"/>
              </w:rPr>
              <w:t>0.05</w:t>
            </w:r>
          </w:p>
        </w:tc>
        <w:tc>
          <w:tcPr>
            <w:tcW w:w="851" w:type="dxa"/>
            <w:shd w:val="clear" w:color="auto" w:fill="auto"/>
            <w:vAlign w:val="bottom"/>
          </w:tcPr>
          <w:p w14:paraId="5A81115D" w14:textId="77777777" w:rsidR="00DE64BC" w:rsidRPr="00256982" w:rsidRDefault="00DE64BC" w:rsidP="00A808C7">
            <w:pPr>
              <w:pStyle w:val="TableText"/>
              <w:keepNext/>
              <w:tabs>
                <w:tab w:val="left" w:pos="590"/>
              </w:tabs>
              <w:spacing w:before="50" w:after="50"/>
              <w:ind w:right="91"/>
              <w:jc w:val="right"/>
              <w:rPr>
                <w:rFonts w:cs="Arial"/>
                <w:color w:val="000000"/>
                <w:szCs w:val="16"/>
              </w:rPr>
            </w:pPr>
            <w:r w:rsidRPr="00256982">
              <w:rPr>
                <w:rFonts w:cs="Arial"/>
                <w:color w:val="000000"/>
                <w:szCs w:val="16"/>
              </w:rPr>
              <w:t>0.30</w:t>
            </w:r>
          </w:p>
        </w:tc>
        <w:tc>
          <w:tcPr>
            <w:tcW w:w="1134" w:type="dxa"/>
            <w:vAlign w:val="bottom"/>
          </w:tcPr>
          <w:p w14:paraId="248407DC" w14:textId="77777777" w:rsidR="00DE64BC" w:rsidRPr="00256982" w:rsidRDefault="00DE64BC" w:rsidP="00A808C7">
            <w:pPr>
              <w:pStyle w:val="TableText"/>
              <w:keepNext/>
              <w:tabs>
                <w:tab w:val="left" w:pos="1309"/>
              </w:tabs>
              <w:spacing w:before="50" w:after="50"/>
              <w:ind w:right="55"/>
              <w:jc w:val="right"/>
              <w:rPr>
                <w:rFonts w:cs="Arial"/>
                <w:color w:val="000000"/>
                <w:szCs w:val="16"/>
              </w:rPr>
            </w:pPr>
            <w:r w:rsidRPr="00256982">
              <w:rPr>
                <w:rFonts w:cs="Arial"/>
                <w:color w:val="000000"/>
                <w:szCs w:val="16"/>
              </w:rPr>
              <w:t>0.25</w:t>
            </w:r>
          </w:p>
        </w:tc>
        <w:tc>
          <w:tcPr>
            <w:tcW w:w="850" w:type="dxa"/>
            <w:vAlign w:val="bottom"/>
          </w:tcPr>
          <w:p w14:paraId="782E4C0C" w14:textId="77777777" w:rsidR="00DE64BC" w:rsidRPr="00256982" w:rsidRDefault="00DE64BC" w:rsidP="00A808C7">
            <w:pPr>
              <w:pStyle w:val="TableText"/>
              <w:keepNext/>
              <w:tabs>
                <w:tab w:val="left" w:pos="1309"/>
              </w:tabs>
              <w:spacing w:before="50" w:after="50"/>
              <w:ind w:right="55"/>
              <w:jc w:val="right"/>
              <w:rPr>
                <w:rFonts w:cs="Arial"/>
                <w:color w:val="000000"/>
                <w:szCs w:val="16"/>
              </w:rPr>
            </w:pPr>
            <w:r w:rsidRPr="00256982">
              <w:rPr>
                <w:rFonts w:cs="Arial"/>
                <w:color w:val="000000"/>
                <w:szCs w:val="16"/>
              </w:rPr>
              <w:t>539.4</w:t>
            </w:r>
          </w:p>
        </w:tc>
        <w:tc>
          <w:tcPr>
            <w:tcW w:w="1418" w:type="dxa"/>
            <w:shd w:val="clear" w:color="auto" w:fill="auto"/>
            <w:vAlign w:val="bottom"/>
          </w:tcPr>
          <w:p w14:paraId="2328735A" w14:textId="77777777" w:rsidR="00DE64BC" w:rsidRPr="00256982" w:rsidRDefault="00DE64BC" w:rsidP="00A808C7">
            <w:pPr>
              <w:pStyle w:val="TableText"/>
              <w:tabs>
                <w:tab w:val="left" w:pos="1051"/>
              </w:tabs>
              <w:spacing w:before="50" w:after="50"/>
              <w:ind w:right="37"/>
              <w:jc w:val="right"/>
              <w:rPr>
                <w:rFonts w:cs="Arial"/>
                <w:color w:val="000000"/>
                <w:szCs w:val="16"/>
              </w:rPr>
            </w:pPr>
            <w:r w:rsidRPr="00256982">
              <w:rPr>
                <w:rFonts w:cs="Arial"/>
                <w:color w:val="000000"/>
                <w:szCs w:val="16"/>
              </w:rPr>
              <w:t>10.4</w:t>
            </w:r>
          </w:p>
        </w:tc>
        <w:tc>
          <w:tcPr>
            <w:tcW w:w="1447" w:type="dxa"/>
            <w:vAlign w:val="bottom"/>
          </w:tcPr>
          <w:p w14:paraId="61DE1B6F" w14:textId="77777777" w:rsidR="00DE64BC" w:rsidRPr="00256982" w:rsidRDefault="00DE64BC" w:rsidP="00A808C7">
            <w:pPr>
              <w:pStyle w:val="TableText"/>
              <w:keepNext/>
              <w:tabs>
                <w:tab w:val="left" w:pos="1309"/>
              </w:tabs>
              <w:spacing w:before="50" w:after="50"/>
              <w:ind w:right="35"/>
              <w:jc w:val="right"/>
              <w:rPr>
                <w:rFonts w:cs="Arial"/>
                <w:color w:val="000000"/>
                <w:szCs w:val="16"/>
              </w:rPr>
            </w:pPr>
            <w:r w:rsidRPr="00256982">
              <w:rPr>
                <w:rFonts w:cs="Arial"/>
                <w:color w:val="000000"/>
                <w:szCs w:val="16"/>
              </w:rPr>
              <w:t>0.0004</w:t>
            </w:r>
          </w:p>
        </w:tc>
      </w:tr>
      <w:tr w:rsidR="00DE64BC" w:rsidRPr="00256982" w14:paraId="604D5BBD" w14:textId="77777777" w:rsidTr="00A808C7">
        <w:tc>
          <w:tcPr>
            <w:tcW w:w="1985" w:type="dxa"/>
            <w:shd w:val="clear" w:color="auto" w:fill="auto"/>
            <w:vAlign w:val="bottom"/>
          </w:tcPr>
          <w:p w14:paraId="4F8B4D80" w14:textId="77777777" w:rsidR="00DE64BC" w:rsidRPr="00256982" w:rsidRDefault="00DE64BC" w:rsidP="00A808C7">
            <w:pPr>
              <w:pStyle w:val="TableText"/>
              <w:spacing w:before="50" w:after="50"/>
              <w:rPr>
                <w:color w:val="000000"/>
                <w:szCs w:val="22"/>
              </w:rPr>
            </w:pPr>
            <w:r w:rsidRPr="00256982">
              <w:rPr>
                <w:color w:val="000000"/>
                <w:szCs w:val="22"/>
              </w:rPr>
              <w:t>Agriculture for Tokelau</w:t>
            </w:r>
          </w:p>
        </w:tc>
        <w:tc>
          <w:tcPr>
            <w:tcW w:w="850" w:type="dxa"/>
            <w:shd w:val="clear" w:color="auto" w:fill="auto"/>
            <w:vAlign w:val="bottom"/>
          </w:tcPr>
          <w:p w14:paraId="2E29119A" w14:textId="77777777" w:rsidR="00DE64BC" w:rsidRPr="00256982" w:rsidRDefault="00DE64BC" w:rsidP="00A808C7">
            <w:pPr>
              <w:pStyle w:val="TableText"/>
              <w:keepNext/>
              <w:spacing w:before="50" w:after="50"/>
              <w:jc w:val="right"/>
              <w:rPr>
                <w:rFonts w:cs="Arial"/>
                <w:color w:val="000000"/>
                <w:szCs w:val="16"/>
              </w:rPr>
            </w:pPr>
            <w:r w:rsidRPr="00256982">
              <w:rPr>
                <w:rFonts w:cs="Arial"/>
                <w:color w:val="000000"/>
                <w:szCs w:val="16"/>
              </w:rPr>
              <w:t>0.004</w:t>
            </w:r>
          </w:p>
        </w:tc>
        <w:tc>
          <w:tcPr>
            <w:tcW w:w="851" w:type="dxa"/>
            <w:shd w:val="clear" w:color="auto" w:fill="auto"/>
            <w:vAlign w:val="bottom"/>
          </w:tcPr>
          <w:p w14:paraId="7894FC36" w14:textId="77777777" w:rsidR="00DE64BC" w:rsidRPr="00256982" w:rsidRDefault="00DE64BC" w:rsidP="00A808C7">
            <w:pPr>
              <w:pStyle w:val="TableText"/>
              <w:keepNext/>
              <w:tabs>
                <w:tab w:val="left" w:pos="590"/>
              </w:tabs>
              <w:spacing w:before="50" w:after="50"/>
              <w:ind w:right="91"/>
              <w:jc w:val="right"/>
              <w:rPr>
                <w:rFonts w:cs="Arial"/>
                <w:color w:val="000000"/>
                <w:szCs w:val="16"/>
              </w:rPr>
            </w:pPr>
            <w:r w:rsidRPr="00256982">
              <w:rPr>
                <w:rFonts w:cs="Arial"/>
                <w:color w:val="000000"/>
                <w:szCs w:val="16"/>
              </w:rPr>
              <w:t>0.001</w:t>
            </w:r>
          </w:p>
        </w:tc>
        <w:tc>
          <w:tcPr>
            <w:tcW w:w="1134" w:type="dxa"/>
            <w:vAlign w:val="bottom"/>
          </w:tcPr>
          <w:p w14:paraId="069C9776" w14:textId="77777777" w:rsidR="00DE64BC" w:rsidRPr="00256982" w:rsidRDefault="00DE64BC" w:rsidP="00A808C7">
            <w:pPr>
              <w:pStyle w:val="TableText"/>
              <w:keepNext/>
              <w:tabs>
                <w:tab w:val="left" w:pos="1309"/>
              </w:tabs>
              <w:spacing w:before="50" w:after="50"/>
              <w:ind w:right="55"/>
              <w:jc w:val="right"/>
              <w:rPr>
                <w:rFonts w:cs="Arial"/>
                <w:color w:val="000000"/>
                <w:szCs w:val="16"/>
              </w:rPr>
            </w:pPr>
            <w:r w:rsidRPr="00256982">
              <w:rPr>
                <w:color w:val="000000"/>
                <w:szCs w:val="22"/>
              </w:rPr>
              <w:t>–</w:t>
            </w:r>
            <w:r w:rsidRPr="00256982">
              <w:rPr>
                <w:rFonts w:cs="Arial"/>
                <w:color w:val="000000"/>
                <w:szCs w:val="16"/>
              </w:rPr>
              <w:t>0.003</w:t>
            </w:r>
          </w:p>
        </w:tc>
        <w:tc>
          <w:tcPr>
            <w:tcW w:w="850" w:type="dxa"/>
            <w:vAlign w:val="bottom"/>
          </w:tcPr>
          <w:p w14:paraId="406B3673" w14:textId="77777777" w:rsidR="00DE64BC" w:rsidRPr="00256982" w:rsidRDefault="00DE64BC" w:rsidP="00A808C7">
            <w:pPr>
              <w:pStyle w:val="TableText"/>
              <w:keepNext/>
              <w:tabs>
                <w:tab w:val="left" w:pos="1309"/>
              </w:tabs>
              <w:spacing w:before="50" w:after="50"/>
              <w:ind w:right="55"/>
              <w:jc w:val="right"/>
              <w:rPr>
                <w:rFonts w:cs="Arial"/>
                <w:color w:val="000000"/>
                <w:szCs w:val="16"/>
              </w:rPr>
            </w:pPr>
            <w:r w:rsidRPr="00256982">
              <w:rPr>
                <w:color w:val="000000"/>
                <w:szCs w:val="22"/>
              </w:rPr>
              <w:t>–</w:t>
            </w:r>
            <w:r w:rsidRPr="00256982">
              <w:rPr>
                <w:rFonts w:cs="Arial"/>
                <w:color w:val="000000"/>
                <w:szCs w:val="16"/>
              </w:rPr>
              <w:t>67.9</w:t>
            </w:r>
          </w:p>
        </w:tc>
        <w:tc>
          <w:tcPr>
            <w:tcW w:w="1418" w:type="dxa"/>
            <w:shd w:val="clear" w:color="auto" w:fill="auto"/>
            <w:vAlign w:val="bottom"/>
          </w:tcPr>
          <w:p w14:paraId="6C14B689" w14:textId="77777777" w:rsidR="00DE64BC" w:rsidRPr="00256982" w:rsidRDefault="00DE64BC" w:rsidP="00A808C7">
            <w:pPr>
              <w:pStyle w:val="TableText"/>
              <w:tabs>
                <w:tab w:val="left" w:pos="1051"/>
              </w:tabs>
              <w:spacing w:before="50" w:after="50"/>
              <w:ind w:right="37"/>
              <w:jc w:val="right"/>
              <w:rPr>
                <w:rFonts w:cs="Arial"/>
                <w:color w:val="000000"/>
                <w:szCs w:val="16"/>
              </w:rPr>
            </w:pPr>
            <w:r w:rsidRPr="00256982">
              <w:rPr>
                <w:rFonts w:cs="Arial"/>
                <w:color w:val="000000"/>
                <w:szCs w:val="16"/>
              </w:rPr>
              <w:t>0.04</w:t>
            </w:r>
          </w:p>
        </w:tc>
        <w:tc>
          <w:tcPr>
            <w:tcW w:w="1447" w:type="dxa"/>
            <w:vAlign w:val="bottom"/>
          </w:tcPr>
          <w:p w14:paraId="71ABA106" w14:textId="77777777" w:rsidR="00DE64BC" w:rsidRPr="00256982" w:rsidRDefault="00DE64BC" w:rsidP="00A808C7">
            <w:pPr>
              <w:pStyle w:val="TableText"/>
              <w:keepNext/>
              <w:tabs>
                <w:tab w:val="left" w:pos="1309"/>
              </w:tabs>
              <w:spacing w:before="50" w:after="50"/>
              <w:ind w:right="35"/>
              <w:jc w:val="right"/>
              <w:rPr>
                <w:rFonts w:cs="Arial"/>
                <w:color w:val="000000"/>
                <w:szCs w:val="16"/>
              </w:rPr>
            </w:pPr>
            <w:r w:rsidRPr="00256982">
              <w:rPr>
                <w:rFonts w:cs="Arial"/>
                <w:color w:val="000000"/>
                <w:szCs w:val="16"/>
              </w:rPr>
              <w:t>0.00002</w:t>
            </w:r>
          </w:p>
        </w:tc>
      </w:tr>
      <w:tr w:rsidR="00DE64BC" w:rsidRPr="00256982" w14:paraId="4BAF12AD" w14:textId="77777777" w:rsidTr="00A808C7">
        <w:tc>
          <w:tcPr>
            <w:tcW w:w="1985" w:type="dxa"/>
            <w:shd w:val="clear" w:color="auto" w:fill="auto"/>
            <w:vAlign w:val="bottom"/>
          </w:tcPr>
          <w:p w14:paraId="12C5458B" w14:textId="77777777" w:rsidR="00DE64BC" w:rsidRPr="00256982" w:rsidRDefault="00DE64BC" w:rsidP="00A808C7">
            <w:pPr>
              <w:pStyle w:val="TableText"/>
              <w:spacing w:before="50" w:after="50"/>
              <w:rPr>
                <w:color w:val="000000"/>
                <w:szCs w:val="22"/>
              </w:rPr>
            </w:pPr>
            <w:r w:rsidRPr="00256982">
              <w:rPr>
                <w:color w:val="000000"/>
                <w:szCs w:val="22"/>
              </w:rPr>
              <w:t>Waste for Tokelau</w:t>
            </w:r>
          </w:p>
        </w:tc>
        <w:tc>
          <w:tcPr>
            <w:tcW w:w="850" w:type="dxa"/>
            <w:shd w:val="clear" w:color="auto" w:fill="auto"/>
            <w:vAlign w:val="bottom"/>
          </w:tcPr>
          <w:p w14:paraId="35099DD8" w14:textId="77777777" w:rsidR="00DE64BC" w:rsidRPr="00256982" w:rsidRDefault="00DE64BC" w:rsidP="00A808C7">
            <w:pPr>
              <w:pStyle w:val="TableText"/>
              <w:keepNext/>
              <w:spacing w:before="50" w:after="50"/>
              <w:jc w:val="right"/>
              <w:rPr>
                <w:rFonts w:cs="Arial"/>
                <w:color w:val="000000"/>
                <w:szCs w:val="16"/>
              </w:rPr>
            </w:pPr>
            <w:r w:rsidRPr="00256982">
              <w:rPr>
                <w:rFonts w:cs="Arial"/>
                <w:color w:val="000000"/>
                <w:szCs w:val="16"/>
              </w:rPr>
              <w:t>0.74</w:t>
            </w:r>
          </w:p>
        </w:tc>
        <w:tc>
          <w:tcPr>
            <w:tcW w:w="851" w:type="dxa"/>
            <w:shd w:val="clear" w:color="auto" w:fill="auto"/>
            <w:vAlign w:val="bottom"/>
          </w:tcPr>
          <w:p w14:paraId="4CF931B9" w14:textId="77777777" w:rsidR="00DE64BC" w:rsidRPr="00256982" w:rsidRDefault="00DE64BC" w:rsidP="00A808C7">
            <w:pPr>
              <w:pStyle w:val="TableText"/>
              <w:keepNext/>
              <w:tabs>
                <w:tab w:val="left" w:pos="590"/>
              </w:tabs>
              <w:spacing w:before="50" w:after="50"/>
              <w:ind w:right="91"/>
              <w:jc w:val="right"/>
              <w:rPr>
                <w:rFonts w:cs="Arial"/>
                <w:color w:val="000000"/>
                <w:szCs w:val="16"/>
              </w:rPr>
            </w:pPr>
            <w:r w:rsidRPr="00256982">
              <w:rPr>
                <w:rFonts w:cs="Arial"/>
                <w:color w:val="000000"/>
                <w:szCs w:val="16"/>
              </w:rPr>
              <w:t>0.65</w:t>
            </w:r>
          </w:p>
        </w:tc>
        <w:tc>
          <w:tcPr>
            <w:tcW w:w="1134" w:type="dxa"/>
            <w:vAlign w:val="bottom"/>
          </w:tcPr>
          <w:p w14:paraId="0EF56046" w14:textId="77777777" w:rsidR="00DE64BC" w:rsidRPr="00256982" w:rsidRDefault="00DE64BC" w:rsidP="00A808C7">
            <w:pPr>
              <w:pStyle w:val="TableText"/>
              <w:keepNext/>
              <w:tabs>
                <w:tab w:val="left" w:pos="1309"/>
              </w:tabs>
              <w:spacing w:before="50" w:after="50"/>
              <w:ind w:right="55"/>
              <w:jc w:val="right"/>
              <w:rPr>
                <w:rFonts w:cs="Arial"/>
                <w:color w:val="000000"/>
                <w:szCs w:val="16"/>
              </w:rPr>
            </w:pPr>
            <w:r w:rsidRPr="00256982">
              <w:rPr>
                <w:color w:val="000000"/>
                <w:szCs w:val="22"/>
              </w:rPr>
              <w:t>–</w:t>
            </w:r>
            <w:r w:rsidRPr="00256982">
              <w:rPr>
                <w:rFonts w:cs="Arial"/>
                <w:color w:val="000000"/>
                <w:szCs w:val="16"/>
              </w:rPr>
              <w:t>0.09</w:t>
            </w:r>
          </w:p>
        </w:tc>
        <w:tc>
          <w:tcPr>
            <w:tcW w:w="850" w:type="dxa"/>
            <w:vAlign w:val="bottom"/>
          </w:tcPr>
          <w:p w14:paraId="767B1DA4" w14:textId="77777777" w:rsidR="00DE64BC" w:rsidRPr="00256982" w:rsidRDefault="00DE64BC" w:rsidP="00A808C7">
            <w:pPr>
              <w:pStyle w:val="TableText"/>
              <w:keepNext/>
              <w:tabs>
                <w:tab w:val="left" w:pos="1309"/>
              </w:tabs>
              <w:spacing w:before="50" w:after="50"/>
              <w:ind w:right="55"/>
              <w:jc w:val="right"/>
              <w:rPr>
                <w:rFonts w:cs="Arial"/>
                <w:color w:val="000000"/>
                <w:szCs w:val="16"/>
              </w:rPr>
            </w:pPr>
            <w:r w:rsidRPr="00256982">
              <w:rPr>
                <w:color w:val="000000"/>
                <w:szCs w:val="22"/>
              </w:rPr>
              <w:t>–</w:t>
            </w:r>
            <w:r w:rsidRPr="00256982">
              <w:rPr>
                <w:rFonts w:cs="Arial"/>
                <w:color w:val="000000"/>
                <w:szCs w:val="16"/>
              </w:rPr>
              <w:t>12.1</w:t>
            </w:r>
          </w:p>
        </w:tc>
        <w:tc>
          <w:tcPr>
            <w:tcW w:w="1418" w:type="dxa"/>
            <w:shd w:val="clear" w:color="auto" w:fill="auto"/>
            <w:vAlign w:val="bottom"/>
          </w:tcPr>
          <w:p w14:paraId="6C2D0FF7" w14:textId="77777777" w:rsidR="00DE64BC" w:rsidRPr="00256982" w:rsidRDefault="00DE64BC" w:rsidP="00A808C7">
            <w:pPr>
              <w:pStyle w:val="TableText"/>
              <w:tabs>
                <w:tab w:val="left" w:pos="1051"/>
                <w:tab w:val="left" w:pos="1451"/>
              </w:tabs>
              <w:spacing w:before="50" w:after="50"/>
              <w:ind w:right="37"/>
              <w:jc w:val="right"/>
              <w:rPr>
                <w:color w:val="000000"/>
                <w:szCs w:val="22"/>
              </w:rPr>
            </w:pPr>
            <w:r w:rsidRPr="00256982">
              <w:rPr>
                <w:color w:val="000000"/>
                <w:szCs w:val="22"/>
              </w:rPr>
              <w:t>22.8</w:t>
            </w:r>
          </w:p>
        </w:tc>
        <w:tc>
          <w:tcPr>
            <w:tcW w:w="1447" w:type="dxa"/>
            <w:vAlign w:val="bottom"/>
          </w:tcPr>
          <w:p w14:paraId="17CA6C72" w14:textId="77777777" w:rsidR="00DE64BC" w:rsidRPr="00256982" w:rsidRDefault="00DE64BC" w:rsidP="00A808C7">
            <w:pPr>
              <w:pStyle w:val="TableText"/>
              <w:keepNext/>
              <w:tabs>
                <w:tab w:val="left" w:pos="1309"/>
              </w:tabs>
              <w:spacing w:before="50" w:after="50"/>
              <w:ind w:right="35"/>
              <w:jc w:val="right"/>
              <w:rPr>
                <w:rFonts w:cs="Arial"/>
                <w:color w:val="000000"/>
                <w:szCs w:val="16"/>
              </w:rPr>
            </w:pPr>
            <w:r w:rsidRPr="00256982">
              <w:rPr>
                <w:rFonts w:cs="Arial"/>
                <w:color w:val="000000"/>
                <w:szCs w:val="16"/>
              </w:rPr>
              <w:t>0.0008</w:t>
            </w:r>
          </w:p>
        </w:tc>
      </w:tr>
      <w:tr w:rsidR="00DE64BC" w:rsidRPr="00256982" w14:paraId="0546629F" w14:textId="77777777" w:rsidTr="00A808C7">
        <w:tc>
          <w:tcPr>
            <w:tcW w:w="1985" w:type="dxa"/>
            <w:shd w:val="clear" w:color="auto" w:fill="auto"/>
            <w:vAlign w:val="bottom"/>
          </w:tcPr>
          <w:p w14:paraId="166C58B5" w14:textId="77777777" w:rsidR="00DE64BC" w:rsidRPr="00256982" w:rsidRDefault="00DE64BC" w:rsidP="00A808C7">
            <w:pPr>
              <w:pStyle w:val="Tableboldblue"/>
            </w:pPr>
            <w:r w:rsidRPr="00256982">
              <w:t>Gross emissions for Tokelau</w:t>
            </w:r>
          </w:p>
        </w:tc>
        <w:tc>
          <w:tcPr>
            <w:tcW w:w="850" w:type="dxa"/>
            <w:shd w:val="clear" w:color="auto" w:fill="auto"/>
            <w:vAlign w:val="bottom"/>
          </w:tcPr>
          <w:p w14:paraId="5593D3C5" w14:textId="77777777" w:rsidR="00DE64BC" w:rsidRPr="00256982" w:rsidRDefault="00DE64BC" w:rsidP="00A808C7">
            <w:pPr>
              <w:pStyle w:val="Tableboldblue"/>
              <w:tabs>
                <w:tab w:val="left" w:pos="600"/>
              </w:tabs>
              <w:ind w:right="90"/>
              <w:jc w:val="right"/>
            </w:pPr>
            <w:r w:rsidRPr="00256982">
              <w:t>3.64</w:t>
            </w:r>
          </w:p>
        </w:tc>
        <w:tc>
          <w:tcPr>
            <w:tcW w:w="851" w:type="dxa"/>
            <w:shd w:val="clear" w:color="auto" w:fill="auto"/>
            <w:vAlign w:val="bottom"/>
          </w:tcPr>
          <w:p w14:paraId="2330195D" w14:textId="77777777" w:rsidR="00DE64BC" w:rsidRPr="00256982" w:rsidRDefault="00DE64BC" w:rsidP="00A808C7">
            <w:pPr>
              <w:pStyle w:val="Tableboldblue"/>
              <w:ind w:right="90"/>
              <w:jc w:val="right"/>
            </w:pPr>
            <w:r w:rsidRPr="00256982">
              <w:t>2.9</w:t>
            </w:r>
          </w:p>
        </w:tc>
        <w:tc>
          <w:tcPr>
            <w:tcW w:w="1134" w:type="dxa"/>
            <w:vAlign w:val="bottom"/>
          </w:tcPr>
          <w:p w14:paraId="0749D4BD" w14:textId="77777777" w:rsidR="00DE64BC" w:rsidRPr="00256982" w:rsidRDefault="00DE64BC" w:rsidP="00A808C7">
            <w:pPr>
              <w:pStyle w:val="TableText"/>
              <w:keepNext/>
              <w:tabs>
                <w:tab w:val="left" w:pos="1309"/>
              </w:tabs>
              <w:spacing w:before="50" w:after="50"/>
              <w:ind w:right="55"/>
              <w:jc w:val="right"/>
              <w:rPr>
                <w:b/>
              </w:rPr>
            </w:pPr>
            <w:r w:rsidRPr="00256982">
              <w:rPr>
                <w:b/>
                <w:color w:val="1F4E79"/>
                <w:szCs w:val="22"/>
              </w:rPr>
              <w:t>–0.8</w:t>
            </w:r>
          </w:p>
        </w:tc>
        <w:tc>
          <w:tcPr>
            <w:tcW w:w="850" w:type="dxa"/>
            <w:vAlign w:val="bottom"/>
          </w:tcPr>
          <w:p w14:paraId="367302DE" w14:textId="77777777" w:rsidR="00DE64BC" w:rsidRPr="00256982" w:rsidRDefault="00DE64BC" w:rsidP="00A808C7">
            <w:pPr>
              <w:pStyle w:val="Tableboldblue"/>
              <w:tabs>
                <w:tab w:val="left" w:pos="780"/>
                <w:tab w:val="left" w:pos="1451"/>
              </w:tabs>
              <w:ind w:right="90"/>
              <w:jc w:val="right"/>
            </w:pPr>
            <w:r w:rsidRPr="00256982">
              <w:rPr>
                <w:color w:val="1F4E79"/>
              </w:rPr>
              <w:t>–2</w:t>
            </w:r>
            <w:r w:rsidRPr="00256982">
              <w:t>1.3</w:t>
            </w:r>
          </w:p>
        </w:tc>
        <w:tc>
          <w:tcPr>
            <w:tcW w:w="1418" w:type="dxa"/>
            <w:shd w:val="clear" w:color="auto" w:fill="auto"/>
            <w:vAlign w:val="bottom"/>
          </w:tcPr>
          <w:p w14:paraId="7541DEEE" w14:textId="77777777" w:rsidR="00DE64BC" w:rsidRPr="00256982" w:rsidRDefault="00DE64BC" w:rsidP="00A808C7">
            <w:pPr>
              <w:pStyle w:val="Tableboldblue"/>
              <w:tabs>
                <w:tab w:val="left" w:pos="600"/>
                <w:tab w:val="left" w:pos="1451"/>
              </w:tabs>
              <w:ind w:right="37"/>
              <w:jc w:val="right"/>
            </w:pPr>
            <w:r w:rsidRPr="00256982">
              <w:t>100.0</w:t>
            </w:r>
          </w:p>
        </w:tc>
        <w:tc>
          <w:tcPr>
            <w:tcW w:w="1447" w:type="dxa"/>
            <w:vAlign w:val="bottom"/>
          </w:tcPr>
          <w:p w14:paraId="7B1239F5" w14:textId="77777777" w:rsidR="00DE64BC" w:rsidRPr="00256982" w:rsidRDefault="00DE64BC" w:rsidP="00A808C7">
            <w:pPr>
              <w:pStyle w:val="Tableboldblue"/>
              <w:tabs>
                <w:tab w:val="left" w:pos="600"/>
                <w:tab w:val="left" w:pos="1451"/>
              </w:tabs>
              <w:ind w:right="90"/>
              <w:jc w:val="right"/>
            </w:pPr>
            <w:r w:rsidRPr="00256982">
              <w:t>0.004</w:t>
            </w:r>
          </w:p>
        </w:tc>
      </w:tr>
    </w:tbl>
    <w:p w14:paraId="78420F8D" w14:textId="77777777" w:rsidR="00DE64BC" w:rsidRPr="00256982" w:rsidRDefault="00DE64BC" w:rsidP="00A808C7">
      <w:pPr>
        <w:pStyle w:val="Noteundertable"/>
      </w:pPr>
      <w:r w:rsidRPr="00256982">
        <w:rPr>
          <w:b/>
        </w:rPr>
        <w:t>Note:</w:t>
      </w:r>
      <w:r w:rsidRPr="00256982">
        <w:t xml:space="preserve"> </w:t>
      </w:r>
      <w:r w:rsidRPr="00256982">
        <w:tab/>
        <w:t>The 2019 submission includes emissions from Tokelau’s largest contributing sectors, which are the Energy, IPPU, Agriculture and Waste sectors.</w:t>
      </w:r>
      <w:r w:rsidRPr="00256982">
        <w:rPr>
          <w:rFonts w:ascii="Times New Roman" w:hAnsi="Times New Roman"/>
        </w:rPr>
        <w:t xml:space="preserve"> </w:t>
      </w:r>
      <w:r w:rsidRPr="00256982">
        <w:t>The LULUCF sector (expected to contribute a miniscule amount of emissions and removals, because there are no planted or managed forests in Tokelau) will be included in the next inventory submission. The percentages may not add up to 100 per cent due to rounding.</w:t>
      </w:r>
    </w:p>
    <w:p w14:paraId="195B915B" w14:textId="77777777" w:rsidR="00DE64BC" w:rsidRPr="00256982" w:rsidRDefault="00DE64BC" w:rsidP="001D3490">
      <w:pPr>
        <w:pStyle w:val="Heading2"/>
      </w:pPr>
      <w:bookmarkStart w:id="195" w:name="_Toc511116579"/>
      <w:bookmarkStart w:id="196" w:name="_Toc5269341"/>
      <w:r w:rsidRPr="00256982">
        <w:t>2.2</w:t>
      </w:r>
      <w:r w:rsidRPr="00256982">
        <w:tab/>
        <w:t xml:space="preserve">Emission trends by </w:t>
      </w:r>
      <w:bookmarkEnd w:id="192"/>
      <w:r w:rsidRPr="00256982">
        <w:t>sector</w:t>
      </w:r>
      <w:bookmarkEnd w:id="193"/>
      <w:bookmarkEnd w:id="195"/>
      <w:bookmarkEnd w:id="196"/>
    </w:p>
    <w:p w14:paraId="68E410B8" w14:textId="77777777" w:rsidR="00DE64BC" w:rsidRPr="00256982" w:rsidRDefault="00DE64BC" w:rsidP="00A808C7">
      <w:pPr>
        <w:pStyle w:val="BodyText"/>
      </w:pPr>
      <w:r w:rsidRPr="00256982">
        <w:t>The five sectors New Zealand reports emissions and removals for are: Energy, IPPU, Agriculture, LULUCF and Waste.</w:t>
      </w:r>
    </w:p>
    <w:p w14:paraId="106259AF" w14:textId="77777777" w:rsidR="00DE64BC" w:rsidRPr="00256982" w:rsidRDefault="00DE64BC" w:rsidP="004D3C29">
      <w:pPr>
        <w:pStyle w:val="Heading3"/>
        <w:spacing w:before="240"/>
      </w:pPr>
      <w:r w:rsidRPr="00256982">
        <w:t>2.2.1</w:t>
      </w:r>
      <w:r w:rsidRPr="00256982">
        <w:tab/>
        <w:t>New Zealand’s emissions by sector and by gas in 2017</w:t>
      </w:r>
    </w:p>
    <w:p w14:paraId="28174533" w14:textId="77777777" w:rsidR="00DE64BC" w:rsidRPr="00256982" w:rsidRDefault="00DE64BC" w:rsidP="00A808C7">
      <w:pPr>
        <w:pStyle w:val="BodyText"/>
      </w:pPr>
      <w:r w:rsidRPr="00256982">
        <w:t xml:space="preserve">New Zealand’s emissions by sector reflect the composition of the national economy. The Agriculture sector was the source of 48.1 per cent of New Zealand’s gross emissions in 2017. New Zealand’s Energy sector contributed 40.7 per cent to the national gross emissions, while </w:t>
      </w:r>
      <w:r w:rsidRPr="00256982">
        <w:lastRenderedPageBreak/>
        <w:t xml:space="preserve">the IPPU and Waste sectors contributed 6.1 per cent and 5.1 per cent respectively (figure 2.2.1). </w:t>
      </w:r>
      <w:r w:rsidRPr="00256982">
        <w:rPr>
          <w:spacing w:val="-2"/>
        </w:rPr>
        <w:t>The LULUCF sector currently represents a sink with a net removals value of –23,958.4 kt CO</w:t>
      </w:r>
      <w:r w:rsidRPr="00256982">
        <w:rPr>
          <w:spacing w:val="-2"/>
          <w:vertAlign w:val="subscript"/>
        </w:rPr>
        <w:t>2</w:t>
      </w:r>
      <w:r w:rsidRPr="00256982">
        <w:rPr>
          <w:spacing w:val="-2"/>
        </w:rPr>
        <w:noBreakHyphen/>
        <w:t>e</w:t>
      </w:r>
      <w:r w:rsidRPr="00256982">
        <w:t xml:space="preserve">. This offsets 29.6 per cent of New Zealand’s gross emissions. </w:t>
      </w:r>
    </w:p>
    <w:p w14:paraId="1FC678F7" w14:textId="77777777" w:rsidR="00DE64BC" w:rsidRPr="00256982" w:rsidRDefault="00DE64BC" w:rsidP="00A808C7">
      <w:pPr>
        <w:pStyle w:val="Figure"/>
      </w:pPr>
      <w:bookmarkStart w:id="197" w:name="_Toc447275656"/>
      <w:bookmarkStart w:id="198" w:name="_Toc511116920"/>
      <w:bookmarkStart w:id="199" w:name="_Toc5269653"/>
      <w:r w:rsidRPr="00256982">
        <w:t>Figure 2.2.1</w:t>
      </w:r>
      <w:r w:rsidRPr="00256982">
        <w:tab/>
        <w:t xml:space="preserve">New Zealand’s emissions by sector in </w:t>
      </w:r>
      <w:bookmarkEnd w:id="197"/>
      <w:bookmarkEnd w:id="198"/>
      <w:r w:rsidRPr="00256982">
        <w:t>2017</w:t>
      </w:r>
      <w:bookmarkEnd w:id="199"/>
    </w:p>
    <w:p w14:paraId="1C1B617E" w14:textId="359D85A3" w:rsidR="00DE64BC" w:rsidRPr="00256982" w:rsidRDefault="00590491" w:rsidP="00A808C7">
      <w:r>
        <w:rPr>
          <w:lang w:eastAsia="en-NZ"/>
        </w:rPr>
        <w:pict w14:anchorId="55385D4A">
          <v:shape id="_x0000_i1036" type="#_x0000_t75" style="width:425.25pt;height:172.5pt;visibility:visible" o:gfxdata="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">
            <v:imagedata r:id="rId39" o:title=""/>
            <o:lock v:ext="edit" aspectratio="f"/>
          </v:shape>
        </w:pict>
      </w:r>
    </w:p>
    <w:p w14:paraId="6177D65E" w14:textId="77777777" w:rsidR="00DE64BC" w:rsidRPr="00256982" w:rsidRDefault="00DE64BC" w:rsidP="00A808C7">
      <w:pPr>
        <w:pStyle w:val="Noteundertable"/>
      </w:pPr>
      <w:r w:rsidRPr="00256982">
        <w:rPr>
          <w:b/>
        </w:rPr>
        <w:t>Note:</w:t>
      </w:r>
      <w:r w:rsidRPr="00256982">
        <w:t xml:space="preserve"> </w:t>
      </w:r>
      <w:r w:rsidRPr="00256982">
        <w:tab/>
        <w:t>The percentages may not add up to 100 per cent due to rounding.</w:t>
      </w:r>
    </w:p>
    <w:p w14:paraId="4D67CBCF" w14:textId="77777777" w:rsidR="00DE64BC" w:rsidRPr="00256982" w:rsidRDefault="00DE64BC" w:rsidP="00A808C7">
      <w:pPr>
        <w:pStyle w:val="BodyText"/>
      </w:pPr>
      <w:r w:rsidRPr="00256982">
        <w:t xml:space="preserve">Each of the sectors is dominated by one or two GHGs. Figure 2.2.2 shows New Zealand’s gross emissions profile by gas. </w:t>
      </w:r>
    </w:p>
    <w:p w14:paraId="2202A11D" w14:textId="77777777" w:rsidR="00DE64BC" w:rsidRPr="00256982" w:rsidRDefault="00DE64BC" w:rsidP="00A808C7">
      <w:pPr>
        <w:pStyle w:val="Figure"/>
        <w:spacing w:after="0"/>
      </w:pPr>
      <w:bookmarkStart w:id="200" w:name="_Toc511116921"/>
      <w:bookmarkStart w:id="201" w:name="_Toc5269654"/>
      <w:r w:rsidRPr="00256982">
        <w:t>Figure 2.2.2</w:t>
      </w:r>
      <w:r w:rsidRPr="00256982">
        <w:tab/>
        <w:t xml:space="preserve">New Zealand’s gross emissions by gas in </w:t>
      </w:r>
      <w:bookmarkEnd w:id="200"/>
      <w:r w:rsidRPr="00256982">
        <w:t>2017</w:t>
      </w:r>
      <w:bookmarkEnd w:id="201"/>
    </w:p>
    <w:p w14:paraId="59EB9200" w14:textId="07FC649D" w:rsidR="00DE64BC" w:rsidRPr="00256982" w:rsidRDefault="00590491" w:rsidP="00A808C7">
      <w:pPr>
        <w:spacing w:after="60"/>
      </w:pPr>
      <w:r>
        <w:rPr>
          <w:lang w:eastAsia="en-NZ"/>
        </w:rPr>
        <w:pict w14:anchorId="6E5FCA47">
          <v:shape id="_x0000_i1037" type="#_x0000_t75" style="width:425.25pt;height:180pt;visibility:visible" o:gfxdata="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">
            <v:imagedata r:id="rId40" o:title="" croptop="1585f" cropbottom="4106f"/>
            <o:lock v:ext="edit" aspectratio="f"/>
          </v:shape>
        </w:pict>
      </w:r>
    </w:p>
    <w:p w14:paraId="3D4CFA3E" w14:textId="77777777" w:rsidR="00DE64BC" w:rsidRPr="00256982" w:rsidRDefault="00DE64BC" w:rsidP="00A808C7">
      <w:pPr>
        <w:pStyle w:val="Noteundertable"/>
        <w:spacing w:before="0"/>
      </w:pPr>
      <w:r w:rsidRPr="00256982">
        <w:rPr>
          <w:b/>
        </w:rPr>
        <w:t xml:space="preserve">Note: </w:t>
      </w:r>
      <w:r w:rsidRPr="00256982">
        <w:tab/>
        <w:t>CH</w:t>
      </w:r>
      <w:r w:rsidRPr="00256982">
        <w:rPr>
          <w:vertAlign w:val="subscript"/>
        </w:rPr>
        <w:t>4</w:t>
      </w:r>
      <w:r w:rsidRPr="00256982">
        <w:t xml:space="preserve"> = methane; CO</w:t>
      </w:r>
      <w:r w:rsidRPr="00256982">
        <w:rPr>
          <w:vertAlign w:val="subscript"/>
        </w:rPr>
        <w:t>2</w:t>
      </w:r>
      <w:r w:rsidRPr="00256982">
        <w:t xml:space="preserve"> = carbon dioxide; N</w:t>
      </w:r>
      <w:r w:rsidRPr="00256982">
        <w:rPr>
          <w:vertAlign w:val="subscript"/>
        </w:rPr>
        <w:t>2</w:t>
      </w:r>
      <w:r w:rsidRPr="00256982">
        <w:t>O = nitrous oxide. The percentages may not add up to 100 per cent due to rounding.</w:t>
      </w:r>
    </w:p>
    <w:p w14:paraId="4D28FA1C" w14:textId="77777777" w:rsidR="00DE64BC" w:rsidRPr="00256982" w:rsidRDefault="00DE64BC" w:rsidP="00A808C7">
      <w:pPr>
        <w:pStyle w:val="BodyText"/>
      </w:pPr>
      <w:r w:rsidRPr="00256982">
        <w:t>Carbon dioxide (CO</w:t>
      </w:r>
      <w:r w:rsidRPr="00256982">
        <w:rPr>
          <w:vertAlign w:val="subscript"/>
        </w:rPr>
        <w:t>2</w:t>
      </w:r>
      <w:r w:rsidRPr="00256982">
        <w:t>) contributes 44.6 per cent to New Zealand’s gross emissions (36,023.1 kt) (figure 2.2.2). The Energy sector emits the largest amount of CO</w:t>
      </w:r>
      <w:r w:rsidRPr="00256982">
        <w:rPr>
          <w:vertAlign w:val="subscript"/>
        </w:rPr>
        <w:t>2</w:t>
      </w:r>
      <w:r w:rsidRPr="00256982">
        <w:t>, at 31,756.3 kt (88.2 per cent of New Zealand’s CO</w:t>
      </w:r>
      <w:r w:rsidRPr="00256982">
        <w:rPr>
          <w:vertAlign w:val="subscript"/>
        </w:rPr>
        <w:t xml:space="preserve">2 </w:t>
      </w:r>
      <w:r w:rsidRPr="00256982">
        <w:t>emissions in 2017). The categories contributing most to CO</w:t>
      </w:r>
      <w:r w:rsidRPr="00256982">
        <w:rPr>
          <w:vertAlign w:val="subscript"/>
        </w:rPr>
        <w:t>2</w:t>
      </w:r>
      <w:r w:rsidRPr="00256982">
        <w:t xml:space="preserve"> emissions in the Energy sector are </w:t>
      </w:r>
      <w:r w:rsidRPr="00256982">
        <w:rPr>
          <w:i/>
        </w:rPr>
        <w:t>Transport</w:t>
      </w:r>
      <w:r w:rsidRPr="00256982">
        <w:t xml:space="preserve"> (15,789.8 kt CO</w:t>
      </w:r>
      <w:r w:rsidRPr="00256982">
        <w:rPr>
          <w:vertAlign w:val="subscript"/>
        </w:rPr>
        <w:t>2</w:t>
      </w:r>
      <w:r w:rsidRPr="00256982">
        <w:t>, 43.8 per cent of New Zealand’s CO</w:t>
      </w:r>
      <w:r w:rsidRPr="00256982">
        <w:rPr>
          <w:vertAlign w:val="subscript"/>
        </w:rPr>
        <w:t xml:space="preserve">2 </w:t>
      </w:r>
      <w:r w:rsidRPr="00256982">
        <w:t xml:space="preserve">emissions) and </w:t>
      </w:r>
      <w:r w:rsidRPr="00256982">
        <w:rPr>
          <w:i/>
        </w:rPr>
        <w:t xml:space="preserve">Manufacturing industries and construction </w:t>
      </w:r>
      <w:r w:rsidRPr="00256982">
        <w:t>(6,866.1 kt CO</w:t>
      </w:r>
      <w:r w:rsidRPr="00256982">
        <w:rPr>
          <w:vertAlign w:val="subscript"/>
        </w:rPr>
        <w:t>2</w:t>
      </w:r>
      <w:r w:rsidRPr="00256982">
        <w:t>, 19.1 per cent of New Zealand’s CO</w:t>
      </w:r>
      <w:r w:rsidRPr="00256982">
        <w:rPr>
          <w:vertAlign w:val="subscript"/>
        </w:rPr>
        <w:t xml:space="preserve">2 </w:t>
      </w:r>
      <w:r w:rsidRPr="00256982">
        <w:t>emissions). In 2017, the LULUCF sector was a CO</w:t>
      </w:r>
      <w:r w:rsidRPr="00256982">
        <w:rPr>
          <w:vertAlign w:val="subscript"/>
        </w:rPr>
        <w:t>2</w:t>
      </w:r>
      <w:r w:rsidRPr="00256982">
        <w:t xml:space="preserve"> sink, sequestering 24,158.3 kt CO</w:t>
      </w:r>
      <w:r w:rsidRPr="00256982">
        <w:rPr>
          <w:vertAlign w:val="subscript"/>
        </w:rPr>
        <w:t>2</w:t>
      </w:r>
      <w:r w:rsidRPr="00256982">
        <w:t xml:space="preserve"> (67.1 per cent) of CO</w:t>
      </w:r>
      <w:r w:rsidRPr="00256982">
        <w:rPr>
          <w:vertAlign w:val="subscript"/>
        </w:rPr>
        <w:t>2</w:t>
      </w:r>
      <w:r w:rsidRPr="00256982">
        <w:t xml:space="preserve"> emissions produced by other sectors. This resulted in net CO</w:t>
      </w:r>
      <w:r w:rsidRPr="00256982">
        <w:rPr>
          <w:vertAlign w:val="subscript"/>
        </w:rPr>
        <w:t>2</w:t>
      </w:r>
      <w:r w:rsidRPr="00256982">
        <w:t xml:space="preserve"> emissions of 11,865.4 kt in 2017.</w:t>
      </w:r>
    </w:p>
    <w:p w14:paraId="380FD8FE" w14:textId="77777777" w:rsidR="00DE64BC" w:rsidRPr="00256982" w:rsidRDefault="00DE64BC" w:rsidP="00A808C7">
      <w:pPr>
        <w:pStyle w:val="BodyText"/>
        <w:spacing w:before="100" w:after="100"/>
      </w:pPr>
      <w:r w:rsidRPr="00256982">
        <w:t>The amount of methane (CH</w:t>
      </w:r>
      <w:r w:rsidRPr="00256982">
        <w:rPr>
          <w:vertAlign w:val="subscript"/>
        </w:rPr>
        <w:t>4</w:t>
      </w:r>
      <w:r w:rsidRPr="00256982">
        <w:t>) emitted in New Zealand in 2017 (measured as CO</w:t>
      </w:r>
      <w:r w:rsidRPr="00256982">
        <w:rPr>
          <w:vertAlign w:val="subscript"/>
        </w:rPr>
        <w:t>2</w:t>
      </w:r>
      <w:r w:rsidRPr="00256982">
        <w:t>-e) is 42.2 per cent of gross emissions (34,132.1 kt CO</w:t>
      </w:r>
      <w:r w:rsidRPr="00256982">
        <w:rPr>
          <w:vertAlign w:val="subscript"/>
        </w:rPr>
        <w:t>2</w:t>
      </w:r>
      <w:r w:rsidRPr="00256982">
        <w:t>-e). Nitrous oxide (N</w:t>
      </w:r>
      <w:r w:rsidRPr="00256982">
        <w:rPr>
          <w:vertAlign w:val="subscript"/>
        </w:rPr>
        <w:t>2</w:t>
      </w:r>
      <w:r w:rsidRPr="00256982">
        <w:t>O), at 11.3 per cent (9,116.5 kt CO</w:t>
      </w:r>
      <w:r w:rsidRPr="00256982">
        <w:rPr>
          <w:vertAlign w:val="subscript"/>
        </w:rPr>
        <w:t>2</w:t>
      </w:r>
      <w:r w:rsidRPr="00256982">
        <w:noBreakHyphen/>
        <w:t>e), is the third-largest component of New Zealand’s gross emissions. The Agriculture sector produces the largest amounts of both CH</w:t>
      </w:r>
      <w:r w:rsidRPr="00256982">
        <w:rPr>
          <w:vertAlign w:val="subscript"/>
        </w:rPr>
        <w:t>4</w:t>
      </w:r>
      <w:r w:rsidRPr="00256982">
        <w:t xml:space="preserve"> and N</w:t>
      </w:r>
      <w:r w:rsidRPr="00256982">
        <w:rPr>
          <w:vertAlign w:val="subscript"/>
        </w:rPr>
        <w:t>2</w:t>
      </w:r>
      <w:r w:rsidRPr="00256982">
        <w:t xml:space="preserve">O. In 2017, the </w:t>
      </w:r>
      <w:r w:rsidRPr="00256982">
        <w:lastRenderedPageBreak/>
        <w:t xml:space="preserve">contributions </w:t>
      </w:r>
      <w:r w:rsidRPr="00256982">
        <w:rPr>
          <w:szCs w:val="22"/>
        </w:rPr>
        <w:t>of the Agriculture sector</w:t>
      </w:r>
      <w:r w:rsidRPr="00256982">
        <w:t xml:space="preserve"> to national emissions of CH</w:t>
      </w:r>
      <w:r w:rsidRPr="00256982">
        <w:rPr>
          <w:vertAlign w:val="subscript"/>
        </w:rPr>
        <w:t>4</w:t>
      </w:r>
      <w:r w:rsidRPr="00256982">
        <w:t xml:space="preserve"> and N</w:t>
      </w:r>
      <w:r w:rsidRPr="00256982">
        <w:rPr>
          <w:vertAlign w:val="subscript"/>
        </w:rPr>
        <w:t>2</w:t>
      </w:r>
      <w:r w:rsidRPr="00256982">
        <w:t>O were 85.4 per cent and 95.3 per cent respectively. The major source of CH</w:t>
      </w:r>
      <w:r w:rsidRPr="00256982">
        <w:rPr>
          <w:vertAlign w:val="subscript"/>
        </w:rPr>
        <w:t>4</w:t>
      </w:r>
      <w:r w:rsidRPr="00256982">
        <w:t xml:space="preserve"> in the Agriculture sector is </w:t>
      </w:r>
      <w:r w:rsidRPr="00256982">
        <w:rPr>
          <w:i/>
        </w:rPr>
        <w:t>Enteric fermentation</w:t>
      </w:r>
      <w:r w:rsidRPr="00256982">
        <w:t xml:space="preserve"> (27,646.6 kt CO</w:t>
      </w:r>
      <w:r w:rsidRPr="00256982">
        <w:rPr>
          <w:vertAlign w:val="subscript"/>
        </w:rPr>
        <w:t>2</w:t>
      </w:r>
      <w:r w:rsidRPr="00256982">
        <w:t>-e, 81.0 per cent of New Zealand’s gross CH</w:t>
      </w:r>
      <w:r w:rsidRPr="00256982">
        <w:rPr>
          <w:vertAlign w:val="subscript"/>
        </w:rPr>
        <w:t>4</w:t>
      </w:r>
      <w:r w:rsidRPr="00256982">
        <w:t xml:space="preserve"> emissions). Emissions from the </w:t>
      </w:r>
      <w:r w:rsidRPr="00256982">
        <w:rPr>
          <w:i/>
        </w:rPr>
        <w:t>Agricultural soils</w:t>
      </w:r>
      <w:r w:rsidRPr="00256982">
        <w:t xml:space="preserve"> category (from adding nitrogen to soil, for example, manure or fertiliser) are the largest contributor to gross N</w:t>
      </w:r>
      <w:r w:rsidRPr="00256982">
        <w:rPr>
          <w:vertAlign w:val="subscript"/>
        </w:rPr>
        <w:t>2</w:t>
      </w:r>
      <w:r w:rsidRPr="00256982">
        <w:t>O emissions (8,566.2 kt CO</w:t>
      </w:r>
      <w:r w:rsidRPr="00256982">
        <w:rPr>
          <w:vertAlign w:val="subscript"/>
        </w:rPr>
        <w:t>2</w:t>
      </w:r>
      <w:r w:rsidRPr="00256982">
        <w:noBreakHyphen/>
        <w:t>e, 94.0 per cent of national N</w:t>
      </w:r>
      <w:r w:rsidRPr="00256982">
        <w:rPr>
          <w:vertAlign w:val="subscript"/>
        </w:rPr>
        <w:t>2</w:t>
      </w:r>
      <w:r w:rsidRPr="00256982">
        <w:t>O emissions).</w:t>
      </w:r>
      <w:r w:rsidRPr="00256982">
        <w:rPr>
          <w:lang w:eastAsia="en-NZ"/>
        </w:rPr>
        <w:t xml:space="preserve"> </w:t>
      </w:r>
    </w:p>
    <w:p w14:paraId="5304536D" w14:textId="77777777" w:rsidR="00DE64BC" w:rsidRPr="00256982" w:rsidRDefault="00DE64BC" w:rsidP="00A808C7">
      <w:pPr>
        <w:pStyle w:val="BodyText"/>
        <w:spacing w:before="100" w:after="100"/>
      </w:pPr>
      <w:r w:rsidRPr="00256982">
        <w:t>Methane is also the largest component of the Waste sector emissions, contributing 3,992.0 kt CO</w:t>
      </w:r>
      <w:r w:rsidRPr="00256982">
        <w:rPr>
          <w:vertAlign w:val="subscript"/>
        </w:rPr>
        <w:t>2</w:t>
      </w:r>
      <w:r w:rsidRPr="00256982">
        <w:noBreakHyphen/>
        <w:t>e, or 11.7 per cent, of gross CH</w:t>
      </w:r>
      <w:r w:rsidRPr="00256982">
        <w:rPr>
          <w:vertAlign w:val="subscript"/>
        </w:rPr>
        <w:t>4</w:t>
      </w:r>
      <w:r w:rsidRPr="00256982">
        <w:t xml:space="preserve"> emissions.</w:t>
      </w:r>
    </w:p>
    <w:p w14:paraId="68015D8E" w14:textId="77777777" w:rsidR="00DE64BC" w:rsidRPr="00256982" w:rsidRDefault="00DE64BC" w:rsidP="00A808C7">
      <w:pPr>
        <w:pStyle w:val="BodyText"/>
        <w:spacing w:before="100" w:after="100"/>
      </w:pPr>
      <w:r w:rsidRPr="00256982">
        <w:t>Fluorinated gases (hydrofluorocarbons (HFCs), perfluorocarbons (PFCs) and sulphur hexafluoride (SF</w:t>
      </w:r>
      <w:r w:rsidRPr="00256982">
        <w:rPr>
          <w:vertAlign w:val="subscript"/>
        </w:rPr>
        <w:t>6</w:t>
      </w:r>
      <w:r w:rsidRPr="00256982">
        <w:t>))</w:t>
      </w:r>
      <w:r w:rsidRPr="00256982">
        <w:rPr>
          <w:rStyle w:val="FootnoteReference"/>
        </w:rPr>
        <w:footnoteReference w:id="23"/>
      </w:r>
      <w:r w:rsidRPr="00256982">
        <w:t xml:space="preserve"> collectively contribute 2.0 per cent to New Zealand’s gross emissions. </w:t>
      </w:r>
      <w:r w:rsidRPr="00256982" w:rsidDel="009F0FCA">
        <w:t xml:space="preserve">The IPPU sector is the only source of fluorinated gases in New Zealand. </w:t>
      </w:r>
      <w:r w:rsidRPr="00256982">
        <w:t>Taken together, the emissions of HFCs, PFCs and SF</w:t>
      </w:r>
      <w:r w:rsidRPr="00256982">
        <w:rPr>
          <w:vertAlign w:val="subscript"/>
        </w:rPr>
        <w:t xml:space="preserve">6 </w:t>
      </w:r>
      <w:r w:rsidRPr="00256982">
        <w:t>were 1,581.2 kt CO</w:t>
      </w:r>
      <w:r w:rsidRPr="00256982">
        <w:rPr>
          <w:vertAlign w:val="subscript"/>
        </w:rPr>
        <w:t>2</w:t>
      </w:r>
      <w:r w:rsidRPr="00256982">
        <w:t>-e in 2017. No manufacture of any of the fluorinated greenhouse gases occurs in New Zealand; they are all imported. Emissions of fluorinated gases are dominated by HFCs (95.2 per cent of all fluorinated gases). The PFCs and SF</w:t>
      </w:r>
      <w:r w:rsidRPr="00256982">
        <w:rPr>
          <w:vertAlign w:val="subscript"/>
        </w:rPr>
        <w:t>6</w:t>
      </w:r>
      <w:r w:rsidRPr="00256982">
        <w:t xml:space="preserve"> contribute 3.8 per cent and 0.9 per cent to total emissions of fluorinated gases respectively. Almost all PFCs (99.99 per cent) are released during aluminium production. </w:t>
      </w:r>
    </w:p>
    <w:p w14:paraId="176EEC14" w14:textId="77777777" w:rsidR="00DE64BC" w:rsidRPr="00256982" w:rsidRDefault="00DE64BC" w:rsidP="00886AAC">
      <w:pPr>
        <w:pStyle w:val="Heading3"/>
        <w:spacing w:before="320"/>
      </w:pPr>
      <w:r w:rsidRPr="00256982">
        <w:t>2.2.2</w:t>
      </w:r>
      <w:r w:rsidRPr="00256982">
        <w:tab/>
        <w:t>Emission trends by sector from 1990 to 2017</w:t>
      </w:r>
    </w:p>
    <w:p w14:paraId="1563666D" w14:textId="77777777" w:rsidR="00DE64BC" w:rsidRPr="00256982" w:rsidRDefault="00DE64BC" w:rsidP="00A808C7">
      <w:pPr>
        <w:pStyle w:val="BodyText"/>
      </w:pPr>
      <w:r w:rsidRPr="00256982">
        <w:t>Historically, the Agriculture and Energy sectors have dominated New Zealand’s gross emissions, together producing almost 90 per cent of New Zealand’s gross GHG emissions from 1990 to 2017. The IPPU and Waste sectors show relatively small contributions of GHGs to total gross emissions from 1990 to 2017. The total amount of annual emissions from each these sectors ranged between 4 per cent and 7 per cent for the entire time series. Figure 2.2.3 shows the proportion that each inventory sector contributed to New Zealand’s gross emissions as well as the proportion of the gross emissions offset by the LULUCF sector, which is a GHG sink, over the entire 1990</w:t>
      </w:r>
      <w:r w:rsidRPr="00256982">
        <w:rPr>
          <w:color w:val="000000"/>
          <w:szCs w:val="22"/>
        </w:rPr>
        <w:t xml:space="preserve"> to </w:t>
      </w:r>
      <w:r w:rsidRPr="00256982">
        <w:t>2017 period. Table 2.2.1 and figure 2.2.4 summarise the contribution of each sector to New Zealand’s gross emissions in 1990 and 2017 as well as the change in emissions by sector between those years.</w:t>
      </w:r>
    </w:p>
    <w:p w14:paraId="215D2F0D" w14:textId="77777777" w:rsidR="00DE64BC" w:rsidRPr="00256982" w:rsidRDefault="00DE64BC" w:rsidP="00A808C7">
      <w:pPr>
        <w:pStyle w:val="Figure"/>
      </w:pPr>
      <w:bookmarkStart w:id="202" w:name="_Toc447275658"/>
      <w:bookmarkStart w:id="203" w:name="_Toc511116922"/>
      <w:bookmarkStart w:id="204" w:name="_Toc5269655"/>
      <w:r w:rsidRPr="00256982">
        <w:t xml:space="preserve">Figure 2.2.3 </w:t>
      </w:r>
      <w:r w:rsidRPr="00256982">
        <w:tab/>
        <w:t>Percentage contribution by sector to New Zealand’s gross emissions from 1990 to </w:t>
      </w:r>
      <w:bookmarkEnd w:id="202"/>
      <w:bookmarkEnd w:id="203"/>
      <w:r w:rsidRPr="00256982">
        <w:t>2017</w:t>
      </w:r>
      <w:bookmarkEnd w:id="204"/>
    </w:p>
    <w:p w14:paraId="0EE2DC31" w14:textId="77777777" w:rsidR="00DE64BC" w:rsidRPr="00256982" w:rsidRDefault="00590491" w:rsidP="00A808C7">
      <w:pPr>
        <w:spacing w:after="60"/>
      </w:pPr>
      <w:r>
        <w:rPr>
          <w:lang w:eastAsia="en-NZ"/>
        </w:rPr>
        <w:pict w14:anchorId="6BE0034C">
          <v:shape id="_x0000_i1038" type="#_x0000_t75" style="width:417.75pt;height:3in;visibility:visible" o:gfxdata="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">
            <v:imagedata r:id="rId22" o:title="" cropbottom="5009f"/>
            <o:lock v:ext="edit" aspectratio="f"/>
          </v:shape>
        </w:pict>
      </w:r>
    </w:p>
    <w:p w14:paraId="30260ECE" w14:textId="77777777" w:rsidR="00DE64BC" w:rsidRPr="00256982" w:rsidRDefault="00DE64BC" w:rsidP="00A808C7">
      <w:pPr>
        <w:pStyle w:val="Noteundertable"/>
      </w:pPr>
      <w:r w:rsidRPr="00256982">
        <w:rPr>
          <w:b/>
        </w:rPr>
        <w:t>Note:</w:t>
      </w:r>
      <w:r w:rsidRPr="00256982">
        <w:t xml:space="preserve"> </w:t>
      </w:r>
      <w:r w:rsidRPr="00256982">
        <w:tab/>
        <w:t xml:space="preserve">Net removals from the LULUCF sector are as reported under the Convention (chapter 6). </w:t>
      </w:r>
    </w:p>
    <w:p w14:paraId="3F12C7DB" w14:textId="77777777" w:rsidR="00DE64BC" w:rsidRPr="00256982" w:rsidRDefault="00DE64BC" w:rsidP="00A808C7">
      <w:pPr>
        <w:pStyle w:val="Table"/>
      </w:pPr>
      <w:bookmarkStart w:id="205" w:name="_Toc511116707"/>
      <w:bookmarkStart w:id="206" w:name="_Toc5269442"/>
      <w:bookmarkStart w:id="207" w:name="_Toc447275659"/>
      <w:r w:rsidRPr="00256982">
        <w:lastRenderedPageBreak/>
        <w:t xml:space="preserve">Table 2.2.1 </w:t>
      </w:r>
      <w:r w:rsidRPr="00256982">
        <w:tab/>
        <w:t xml:space="preserve">New Zealand’s emissions by sector between 1990 and </w:t>
      </w:r>
      <w:bookmarkEnd w:id="205"/>
      <w:r w:rsidRPr="00256982">
        <w:t>2017</w:t>
      </w:r>
      <w:bookmarkEnd w:id="206"/>
    </w:p>
    <w:tbl>
      <w:tblPr>
        <w:tblW w:w="8562" w:type="dxa"/>
        <w:tblInd w:w="108" w:type="dxa"/>
        <w:tblBorders>
          <w:bottom w:val="single" w:sz="8" w:space="0" w:color="365F91"/>
          <w:insideH w:val="single" w:sz="8" w:space="0" w:color="365F91"/>
        </w:tblBorders>
        <w:tblLayout w:type="fixed"/>
        <w:tblLook w:val="01E0" w:firstRow="1" w:lastRow="1" w:firstColumn="1" w:lastColumn="1" w:noHBand="0" w:noVBand="0"/>
      </w:tblPr>
      <w:tblGrid>
        <w:gridCol w:w="3995"/>
        <w:gridCol w:w="999"/>
        <w:gridCol w:w="999"/>
        <w:gridCol w:w="1285"/>
        <w:gridCol w:w="1284"/>
      </w:tblGrid>
      <w:tr w:rsidR="00DE64BC" w:rsidRPr="00256982" w14:paraId="3BC88EAE" w14:textId="77777777" w:rsidTr="00886AAC">
        <w:trPr>
          <w:trHeight w:val="344"/>
        </w:trPr>
        <w:tc>
          <w:tcPr>
            <w:tcW w:w="3969" w:type="dxa"/>
            <w:vMerge w:val="restart"/>
            <w:tcBorders>
              <w:top w:val="single" w:sz="4" w:space="0" w:color="365F91"/>
              <w:left w:val="nil"/>
              <w:bottom w:val="nil"/>
              <w:right w:val="nil"/>
              <w:tl2br w:val="nil"/>
              <w:tr2bl w:val="nil"/>
            </w:tcBorders>
            <w:shd w:val="clear" w:color="auto" w:fill="365F91"/>
            <w:vAlign w:val="bottom"/>
          </w:tcPr>
          <w:p w14:paraId="4E8A004A" w14:textId="77777777" w:rsidR="00DE64BC" w:rsidRPr="00256982" w:rsidRDefault="00DE64BC" w:rsidP="00A808C7">
            <w:pPr>
              <w:pStyle w:val="TableTextBold"/>
              <w:keepNext/>
              <w:spacing w:before="50" w:after="50"/>
              <w:rPr>
                <w:rFonts w:cs="Arial"/>
                <w:noProof w:val="0"/>
                <w:color w:val="FFFFFF"/>
              </w:rPr>
            </w:pPr>
            <w:r w:rsidRPr="00256982">
              <w:rPr>
                <w:rFonts w:cs="Arial"/>
                <w:noProof w:val="0"/>
                <w:color w:val="FFFFFF"/>
              </w:rPr>
              <w:t>Sector</w:t>
            </w:r>
          </w:p>
        </w:tc>
        <w:tc>
          <w:tcPr>
            <w:tcW w:w="1985" w:type="dxa"/>
            <w:gridSpan w:val="2"/>
            <w:tcBorders>
              <w:top w:val="single" w:sz="4" w:space="0" w:color="365F91"/>
              <w:left w:val="nil"/>
              <w:bottom w:val="nil"/>
              <w:right w:val="nil"/>
              <w:tl2br w:val="nil"/>
              <w:tr2bl w:val="nil"/>
            </w:tcBorders>
            <w:shd w:val="clear" w:color="auto" w:fill="365F91"/>
            <w:vAlign w:val="bottom"/>
          </w:tcPr>
          <w:p w14:paraId="1F39E7A8" w14:textId="77777777" w:rsidR="00DE64BC" w:rsidRPr="00256982" w:rsidRDefault="00DE64BC" w:rsidP="00A808C7">
            <w:pPr>
              <w:pStyle w:val="TableTextBold"/>
              <w:spacing w:before="50" w:after="50"/>
              <w:jc w:val="center"/>
              <w:rPr>
                <w:rFonts w:cs="Arial"/>
                <w:bCs/>
                <w:noProof w:val="0"/>
                <w:color w:val="FFFFFF"/>
              </w:rPr>
            </w:pPr>
            <w:r w:rsidRPr="00256982">
              <w:rPr>
                <w:rFonts w:cs="Arial"/>
                <w:bCs/>
                <w:noProof w:val="0"/>
                <w:color w:val="FFFFFF"/>
              </w:rPr>
              <w:t>kt CO</w:t>
            </w:r>
            <w:r w:rsidRPr="00256982">
              <w:rPr>
                <w:rFonts w:cs="Arial"/>
                <w:bCs/>
                <w:noProof w:val="0"/>
                <w:color w:val="FFFFFF"/>
                <w:vertAlign w:val="subscript"/>
              </w:rPr>
              <w:t>2</w:t>
            </w:r>
            <w:r w:rsidRPr="00256982">
              <w:rPr>
                <w:rFonts w:cs="Arial"/>
                <w:bCs/>
                <w:noProof w:val="0"/>
                <w:color w:val="FFFFFF"/>
              </w:rPr>
              <w:t>-equivalent</w:t>
            </w:r>
          </w:p>
        </w:tc>
        <w:tc>
          <w:tcPr>
            <w:tcW w:w="1276" w:type="dxa"/>
            <w:vMerge w:val="restart"/>
            <w:tcBorders>
              <w:top w:val="single" w:sz="4" w:space="0" w:color="365F91"/>
              <w:left w:val="nil"/>
              <w:bottom w:val="nil"/>
              <w:right w:val="nil"/>
              <w:tl2br w:val="nil"/>
              <w:tr2bl w:val="nil"/>
            </w:tcBorders>
            <w:shd w:val="clear" w:color="auto" w:fill="365F91"/>
            <w:vAlign w:val="bottom"/>
          </w:tcPr>
          <w:p w14:paraId="0B78EA88" w14:textId="77777777" w:rsidR="00DE64BC" w:rsidRPr="00256982" w:rsidRDefault="00DE64BC" w:rsidP="00A808C7">
            <w:pPr>
              <w:pStyle w:val="TableTextBold"/>
              <w:spacing w:before="50" w:after="50"/>
              <w:jc w:val="right"/>
              <w:rPr>
                <w:rFonts w:cs="Arial"/>
                <w:bCs/>
                <w:noProof w:val="0"/>
                <w:color w:val="FFFFFF"/>
              </w:rPr>
            </w:pPr>
            <w:r w:rsidRPr="00256982">
              <w:rPr>
                <w:rFonts w:cs="Arial"/>
                <w:bCs/>
                <w:noProof w:val="0"/>
                <w:color w:val="FFFFFF"/>
              </w:rPr>
              <w:t>Change from 1990 (kt CO</w:t>
            </w:r>
            <w:r w:rsidRPr="00256982">
              <w:rPr>
                <w:rFonts w:cs="Arial"/>
                <w:bCs/>
                <w:noProof w:val="0"/>
                <w:color w:val="FFFFFF"/>
                <w:vertAlign w:val="subscript"/>
              </w:rPr>
              <w:t>2</w:t>
            </w:r>
            <w:r w:rsidRPr="00256982">
              <w:rPr>
                <w:rFonts w:cs="Arial"/>
                <w:bCs/>
                <w:noProof w:val="0"/>
                <w:color w:val="FFFFFF"/>
              </w:rPr>
              <w:t>-equivalent)</w:t>
            </w:r>
          </w:p>
        </w:tc>
        <w:tc>
          <w:tcPr>
            <w:tcW w:w="1275" w:type="dxa"/>
            <w:vMerge w:val="restart"/>
            <w:tcBorders>
              <w:top w:val="single" w:sz="4" w:space="0" w:color="365F91"/>
              <w:left w:val="nil"/>
              <w:bottom w:val="nil"/>
              <w:right w:val="nil"/>
              <w:tl2br w:val="nil"/>
              <w:tr2bl w:val="nil"/>
            </w:tcBorders>
            <w:shd w:val="clear" w:color="auto" w:fill="365F91"/>
            <w:vAlign w:val="bottom"/>
          </w:tcPr>
          <w:p w14:paraId="38CA165C" w14:textId="77777777" w:rsidR="00DE64BC" w:rsidRPr="00256982" w:rsidRDefault="00DE64BC" w:rsidP="00A808C7">
            <w:pPr>
              <w:pStyle w:val="TableTextBold"/>
              <w:spacing w:before="50" w:after="50"/>
              <w:jc w:val="right"/>
              <w:rPr>
                <w:rFonts w:cs="Arial"/>
                <w:bCs/>
                <w:noProof w:val="0"/>
                <w:color w:val="FFFFFF"/>
              </w:rPr>
            </w:pPr>
            <w:r w:rsidRPr="00256982">
              <w:rPr>
                <w:rFonts w:cs="Arial"/>
                <w:bCs/>
                <w:noProof w:val="0"/>
                <w:color w:val="FFFFFF"/>
              </w:rPr>
              <w:t>Change from 1990 (%)</w:t>
            </w:r>
          </w:p>
        </w:tc>
      </w:tr>
      <w:tr w:rsidR="00DE64BC" w:rsidRPr="00256982" w14:paraId="7526117B" w14:textId="77777777" w:rsidTr="00886AAC">
        <w:tc>
          <w:tcPr>
            <w:tcW w:w="3969" w:type="dxa"/>
            <w:vMerge/>
            <w:tcBorders>
              <w:top w:val="nil"/>
              <w:bottom w:val="single" w:sz="4" w:space="0" w:color="365F91"/>
            </w:tcBorders>
            <w:shd w:val="clear" w:color="auto" w:fill="365F91"/>
            <w:vAlign w:val="bottom"/>
          </w:tcPr>
          <w:p w14:paraId="18167916" w14:textId="77777777" w:rsidR="00DE64BC" w:rsidRPr="00256982" w:rsidRDefault="00DE64BC" w:rsidP="00A808C7">
            <w:pPr>
              <w:pStyle w:val="TableTextBold"/>
              <w:keepNext/>
              <w:spacing w:before="50" w:after="50"/>
              <w:jc w:val="center"/>
              <w:rPr>
                <w:noProof w:val="0"/>
                <w:color w:val="FFFFFF"/>
              </w:rPr>
            </w:pPr>
          </w:p>
        </w:tc>
        <w:tc>
          <w:tcPr>
            <w:tcW w:w="993" w:type="dxa"/>
            <w:tcBorders>
              <w:top w:val="nil"/>
              <w:bottom w:val="single" w:sz="4" w:space="0" w:color="365F91"/>
            </w:tcBorders>
            <w:shd w:val="clear" w:color="auto" w:fill="365F91"/>
            <w:vAlign w:val="bottom"/>
          </w:tcPr>
          <w:p w14:paraId="31300C99" w14:textId="77777777" w:rsidR="00DE64BC" w:rsidRPr="00256982" w:rsidRDefault="00DE64BC" w:rsidP="00A808C7">
            <w:pPr>
              <w:pStyle w:val="TableTextBold"/>
              <w:spacing w:before="50" w:after="50"/>
              <w:jc w:val="right"/>
              <w:rPr>
                <w:noProof w:val="0"/>
                <w:color w:val="FFFFFF"/>
              </w:rPr>
            </w:pPr>
            <w:r w:rsidRPr="00256982">
              <w:rPr>
                <w:noProof w:val="0"/>
                <w:color w:val="FFFFFF"/>
              </w:rPr>
              <w:t>1990</w:t>
            </w:r>
          </w:p>
        </w:tc>
        <w:tc>
          <w:tcPr>
            <w:tcW w:w="992" w:type="dxa"/>
            <w:tcBorders>
              <w:top w:val="nil"/>
              <w:bottom w:val="single" w:sz="4" w:space="0" w:color="365F91"/>
            </w:tcBorders>
            <w:shd w:val="clear" w:color="auto" w:fill="365F91"/>
            <w:vAlign w:val="bottom"/>
          </w:tcPr>
          <w:p w14:paraId="1B6007A0" w14:textId="77777777" w:rsidR="00DE64BC" w:rsidRPr="00256982" w:rsidRDefault="00DE64BC" w:rsidP="00A808C7">
            <w:pPr>
              <w:pStyle w:val="TableTextBold"/>
              <w:spacing w:before="50" w:after="50"/>
              <w:jc w:val="right"/>
              <w:rPr>
                <w:noProof w:val="0"/>
                <w:color w:val="FFFFFF"/>
              </w:rPr>
            </w:pPr>
            <w:r w:rsidRPr="00256982">
              <w:rPr>
                <w:noProof w:val="0"/>
                <w:color w:val="FFFFFF"/>
              </w:rPr>
              <w:t>2017</w:t>
            </w:r>
          </w:p>
        </w:tc>
        <w:tc>
          <w:tcPr>
            <w:tcW w:w="1276" w:type="dxa"/>
            <w:vMerge/>
            <w:tcBorders>
              <w:top w:val="nil"/>
              <w:bottom w:val="single" w:sz="4" w:space="0" w:color="365F91"/>
            </w:tcBorders>
            <w:shd w:val="clear" w:color="auto" w:fill="365F91"/>
            <w:vAlign w:val="bottom"/>
          </w:tcPr>
          <w:p w14:paraId="4E1147E3" w14:textId="77777777" w:rsidR="00DE64BC" w:rsidRPr="00256982" w:rsidRDefault="00DE64BC" w:rsidP="00A808C7">
            <w:pPr>
              <w:pStyle w:val="TableTextBold"/>
              <w:spacing w:before="50" w:after="50"/>
              <w:jc w:val="right"/>
              <w:rPr>
                <w:noProof w:val="0"/>
                <w:color w:val="FFFFFF"/>
              </w:rPr>
            </w:pPr>
          </w:p>
        </w:tc>
        <w:tc>
          <w:tcPr>
            <w:tcW w:w="1275" w:type="dxa"/>
            <w:vMerge/>
            <w:tcBorders>
              <w:top w:val="nil"/>
              <w:bottom w:val="single" w:sz="4" w:space="0" w:color="365F91"/>
            </w:tcBorders>
            <w:shd w:val="clear" w:color="auto" w:fill="365F91"/>
            <w:vAlign w:val="bottom"/>
          </w:tcPr>
          <w:p w14:paraId="07FFA33D" w14:textId="77777777" w:rsidR="00DE64BC" w:rsidRPr="00256982" w:rsidRDefault="00DE64BC" w:rsidP="00A808C7">
            <w:pPr>
              <w:pStyle w:val="TableTextBold"/>
              <w:spacing w:before="50" w:after="50"/>
              <w:jc w:val="right"/>
              <w:rPr>
                <w:noProof w:val="0"/>
                <w:color w:val="FFFFFF"/>
              </w:rPr>
            </w:pPr>
          </w:p>
        </w:tc>
      </w:tr>
      <w:tr w:rsidR="00DE64BC" w:rsidRPr="00256982" w14:paraId="4C326C08" w14:textId="77777777" w:rsidTr="00886AAC">
        <w:tc>
          <w:tcPr>
            <w:tcW w:w="3969" w:type="dxa"/>
            <w:tcBorders>
              <w:top w:val="single" w:sz="4" w:space="0" w:color="365F91"/>
            </w:tcBorders>
            <w:shd w:val="clear" w:color="auto" w:fill="auto"/>
          </w:tcPr>
          <w:p w14:paraId="50798FF9" w14:textId="77777777" w:rsidR="00DE64BC" w:rsidRPr="00256982" w:rsidRDefault="00DE64BC" w:rsidP="00A808C7">
            <w:pPr>
              <w:pStyle w:val="TableText"/>
              <w:keepNext/>
              <w:spacing w:before="50" w:after="50"/>
              <w:rPr>
                <w:b/>
                <w:color w:val="000000"/>
                <w:szCs w:val="22"/>
              </w:rPr>
            </w:pPr>
            <w:r w:rsidRPr="00256982">
              <w:rPr>
                <w:b/>
                <w:color w:val="000000"/>
                <w:szCs w:val="22"/>
              </w:rPr>
              <w:t>Energy</w:t>
            </w:r>
          </w:p>
        </w:tc>
        <w:tc>
          <w:tcPr>
            <w:tcW w:w="993" w:type="dxa"/>
            <w:tcBorders>
              <w:top w:val="single" w:sz="4" w:space="0" w:color="365F91"/>
            </w:tcBorders>
            <w:shd w:val="clear" w:color="auto" w:fill="auto"/>
          </w:tcPr>
          <w:p w14:paraId="629519B3" w14:textId="77777777" w:rsidR="00DE64BC" w:rsidRPr="00256982" w:rsidRDefault="00DE64BC" w:rsidP="00A808C7">
            <w:pPr>
              <w:pStyle w:val="TableText"/>
              <w:spacing w:before="50" w:after="50"/>
              <w:jc w:val="right"/>
              <w:rPr>
                <w:color w:val="000000"/>
                <w:szCs w:val="22"/>
              </w:rPr>
            </w:pPr>
            <w:r w:rsidRPr="00256982">
              <w:rPr>
                <w:color w:val="000000"/>
                <w:szCs w:val="22"/>
              </w:rPr>
              <w:t>23,785.7</w:t>
            </w:r>
          </w:p>
        </w:tc>
        <w:tc>
          <w:tcPr>
            <w:tcW w:w="992" w:type="dxa"/>
            <w:tcBorders>
              <w:top w:val="single" w:sz="4" w:space="0" w:color="365F91"/>
            </w:tcBorders>
            <w:shd w:val="clear" w:color="auto" w:fill="auto"/>
          </w:tcPr>
          <w:p w14:paraId="0D07C47E" w14:textId="77777777" w:rsidR="00DE64BC" w:rsidRPr="00256982" w:rsidRDefault="00DE64BC" w:rsidP="00A808C7">
            <w:pPr>
              <w:pStyle w:val="TableText"/>
              <w:spacing w:before="50" w:after="50"/>
              <w:jc w:val="right"/>
              <w:rPr>
                <w:color w:val="000000"/>
                <w:szCs w:val="22"/>
              </w:rPr>
            </w:pPr>
            <w:r w:rsidRPr="00256982">
              <w:rPr>
                <w:color w:val="000000"/>
                <w:szCs w:val="22"/>
              </w:rPr>
              <w:t>32,876.6</w:t>
            </w:r>
          </w:p>
        </w:tc>
        <w:tc>
          <w:tcPr>
            <w:tcW w:w="1276" w:type="dxa"/>
            <w:tcBorders>
              <w:top w:val="single" w:sz="4" w:space="0" w:color="365F91"/>
            </w:tcBorders>
            <w:shd w:val="clear" w:color="auto" w:fill="auto"/>
          </w:tcPr>
          <w:p w14:paraId="7E09CECA" w14:textId="77777777" w:rsidR="00DE64BC" w:rsidRPr="00256982" w:rsidRDefault="00DE64BC" w:rsidP="00A808C7">
            <w:pPr>
              <w:pStyle w:val="TableText"/>
              <w:spacing w:before="50" w:after="50"/>
              <w:jc w:val="right"/>
              <w:rPr>
                <w:color w:val="000000"/>
                <w:szCs w:val="22"/>
              </w:rPr>
            </w:pPr>
            <w:r w:rsidRPr="00256982">
              <w:rPr>
                <w:color w:val="000000"/>
                <w:szCs w:val="22"/>
              </w:rPr>
              <w:t>9,090.9</w:t>
            </w:r>
          </w:p>
        </w:tc>
        <w:tc>
          <w:tcPr>
            <w:tcW w:w="1275" w:type="dxa"/>
            <w:tcBorders>
              <w:top w:val="single" w:sz="4" w:space="0" w:color="365F91"/>
            </w:tcBorders>
            <w:shd w:val="clear" w:color="auto" w:fill="auto"/>
          </w:tcPr>
          <w:p w14:paraId="594F245A" w14:textId="77777777" w:rsidR="00DE64BC" w:rsidRPr="00256982" w:rsidRDefault="00DE64BC" w:rsidP="00A808C7">
            <w:pPr>
              <w:pStyle w:val="TableText"/>
              <w:spacing w:before="50" w:after="50"/>
              <w:jc w:val="right"/>
              <w:rPr>
                <w:color w:val="000000"/>
                <w:szCs w:val="22"/>
              </w:rPr>
            </w:pPr>
            <w:r w:rsidRPr="00256982">
              <w:rPr>
                <w:color w:val="000000"/>
                <w:szCs w:val="22"/>
              </w:rPr>
              <w:t>38.2</w:t>
            </w:r>
          </w:p>
        </w:tc>
      </w:tr>
      <w:tr w:rsidR="00DE64BC" w:rsidRPr="00256982" w14:paraId="361AC2B7" w14:textId="77777777" w:rsidTr="00886AAC">
        <w:tc>
          <w:tcPr>
            <w:tcW w:w="3969" w:type="dxa"/>
            <w:shd w:val="clear" w:color="auto" w:fill="auto"/>
          </w:tcPr>
          <w:p w14:paraId="456758DB" w14:textId="77777777" w:rsidR="00DE64BC" w:rsidRPr="00256982" w:rsidRDefault="00DE64BC" w:rsidP="00A808C7">
            <w:pPr>
              <w:pStyle w:val="TableText"/>
              <w:keepNext/>
              <w:spacing w:before="50" w:after="50"/>
              <w:rPr>
                <w:b/>
                <w:color w:val="000000"/>
                <w:szCs w:val="22"/>
              </w:rPr>
            </w:pPr>
            <w:r w:rsidRPr="00256982">
              <w:rPr>
                <w:b/>
                <w:color w:val="000000"/>
                <w:szCs w:val="22"/>
              </w:rPr>
              <w:t>Industrial processes and product use</w:t>
            </w:r>
          </w:p>
        </w:tc>
        <w:tc>
          <w:tcPr>
            <w:tcW w:w="993" w:type="dxa"/>
            <w:shd w:val="clear" w:color="auto" w:fill="auto"/>
            <w:vAlign w:val="bottom"/>
          </w:tcPr>
          <w:p w14:paraId="28C89D41" w14:textId="77777777" w:rsidR="00DE64BC" w:rsidRPr="00256982" w:rsidRDefault="00DE64BC" w:rsidP="00A808C7">
            <w:pPr>
              <w:pStyle w:val="TableText"/>
              <w:spacing w:before="50" w:after="50"/>
              <w:jc w:val="right"/>
              <w:rPr>
                <w:color w:val="000000"/>
                <w:szCs w:val="22"/>
              </w:rPr>
            </w:pPr>
            <w:r w:rsidRPr="00256982">
              <w:rPr>
                <w:color w:val="000000"/>
                <w:szCs w:val="22"/>
              </w:rPr>
              <w:t>3,579.9</w:t>
            </w:r>
          </w:p>
        </w:tc>
        <w:tc>
          <w:tcPr>
            <w:tcW w:w="992" w:type="dxa"/>
            <w:shd w:val="clear" w:color="auto" w:fill="auto"/>
            <w:vAlign w:val="bottom"/>
          </w:tcPr>
          <w:p w14:paraId="33459C55" w14:textId="77777777" w:rsidR="00DE64BC" w:rsidRPr="00256982" w:rsidRDefault="00DE64BC" w:rsidP="00A808C7">
            <w:pPr>
              <w:pStyle w:val="TableText"/>
              <w:spacing w:before="50" w:after="50"/>
              <w:jc w:val="right"/>
              <w:rPr>
                <w:color w:val="000000"/>
                <w:szCs w:val="22"/>
              </w:rPr>
            </w:pPr>
            <w:r w:rsidRPr="00256982">
              <w:rPr>
                <w:color w:val="000000"/>
                <w:szCs w:val="22"/>
              </w:rPr>
              <w:t>4,968.6</w:t>
            </w:r>
          </w:p>
        </w:tc>
        <w:tc>
          <w:tcPr>
            <w:tcW w:w="1276" w:type="dxa"/>
            <w:shd w:val="clear" w:color="auto" w:fill="auto"/>
            <w:vAlign w:val="bottom"/>
          </w:tcPr>
          <w:p w14:paraId="108B3AEE" w14:textId="77777777" w:rsidR="00DE64BC" w:rsidRPr="00256982" w:rsidRDefault="00DE64BC" w:rsidP="00A808C7">
            <w:pPr>
              <w:pStyle w:val="TableText"/>
              <w:spacing w:before="50" w:after="50"/>
              <w:jc w:val="right"/>
              <w:rPr>
                <w:color w:val="000000"/>
                <w:szCs w:val="22"/>
              </w:rPr>
            </w:pPr>
            <w:r w:rsidRPr="00256982">
              <w:rPr>
                <w:color w:val="000000"/>
                <w:szCs w:val="22"/>
              </w:rPr>
              <w:t>1,388.7</w:t>
            </w:r>
          </w:p>
        </w:tc>
        <w:tc>
          <w:tcPr>
            <w:tcW w:w="1275" w:type="dxa"/>
            <w:shd w:val="clear" w:color="auto" w:fill="auto"/>
            <w:vAlign w:val="bottom"/>
          </w:tcPr>
          <w:p w14:paraId="48606BF7" w14:textId="77777777" w:rsidR="00DE64BC" w:rsidRPr="00256982" w:rsidRDefault="00DE64BC" w:rsidP="00A808C7">
            <w:pPr>
              <w:pStyle w:val="TableText"/>
              <w:spacing w:before="50" w:after="50"/>
              <w:jc w:val="right"/>
              <w:rPr>
                <w:color w:val="000000"/>
                <w:szCs w:val="22"/>
              </w:rPr>
            </w:pPr>
            <w:r w:rsidRPr="00256982">
              <w:rPr>
                <w:color w:val="000000"/>
                <w:szCs w:val="22"/>
              </w:rPr>
              <w:t>38.8</w:t>
            </w:r>
          </w:p>
        </w:tc>
      </w:tr>
      <w:tr w:rsidR="00DE64BC" w:rsidRPr="00256982" w14:paraId="46B272F3" w14:textId="77777777" w:rsidTr="00886AAC">
        <w:tc>
          <w:tcPr>
            <w:tcW w:w="3969" w:type="dxa"/>
            <w:shd w:val="clear" w:color="auto" w:fill="auto"/>
          </w:tcPr>
          <w:p w14:paraId="3BACB41B" w14:textId="77777777" w:rsidR="00DE64BC" w:rsidRPr="00256982" w:rsidRDefault="00DE64BC" w:rsidP="00A808C7">
            <w:pPr>
              <w:pStyle w:val="TableText"/>
              <w:keepNext/>
              <w:spacing w:before="50" w:after="50"/>
              <w:rPr>
                <w:b/>
                <w:color w:val="000000"/>
                <w:szCs w:val="22"/>
              </w:rPr>
            </w:pPr>
            <w:r w:rsidRPr="00256982">
              <w:rPr>
                <w:b/>
                <w:color w:val="000000"/>
                <w:szCs w:val="22"/>
              </w:rPr>
              <w:t>Agriculture</w:t>
            </w:r>
          </w:p>
        </w:tc>
        <w:tc>
          <w:tcPr>
            <w:tcW w:w="993" w:type="dxa"/>
            <w:shd w:val="clear" w:color="auto" w:fill="auto"/>
            <w:vAlign w:val="bottom"/>
          </w:tcPr>
          <w:p w14:paraId="6B86508A" w14:textId="77777777" w:rsidR="00DE64BC" w:rsidRPr="00256982" w:rsidRDefault="00DE64BC" w:rsidP="00A808C7">
            <w:pPr>
              <w:pStyle w:val="TableText"/>
              <w:spacing w:before="50" w:after="50"/>
              <w:jc w:val="right"/>
              <w:rPr>
                <w:color w:val="000000"/>
                <w:szCs w:val="22"/>
              </w:rPr>
            </w:pPr>
            <w:r w:rsidRPr="00256982">
              <w:rPr>
                <w:color w:val="000000"/>
                <w:szCs w:val="22"/>
              </w:rPr>
              <w:t>34,257.2</w:t>
            </w:r>
          </w:p>
        </w:tc>
        <w:tc>
          <w:tcPr>
            <w:tcW w:w="992" w:type="dxa"/>
            <w:shd w:val="clear" w:color="auto" w:fill="auto"/>
            <w:vAlign w:val="bottom"/>
          </w:tcPr>
          <w:p w14:paraId="1ACCAB15" w14:textId="77777777" w:rsidR="00DE64BC" w:rsidRPr="00256982" w:rsidRDefault="00DE64BC" w:rsidP="00A808C7">
            <w:pPr>
              <w:pStyle w:val="TableText"/>
              <w:spacing w:before="50" w:after="50"/>
              <w:jc w:val="right"/>
              <w:rPr>
                <w:color w:val="000000"/>
                <w:szCs w:val="22"/>
              </w:rPr>
            </w:pPr>
            <w:r w:rsidRPr="00256982">
              <w:rPr>
                <w:color w:val="000000"/>
                <w:szCs w:val="22"/>
              </w:rPr>
              <w:t>38,880.7</w:t>
            </w:r>
          </w:p>
        </w:tc>
        <w:tc>
          <w:tcPr>
            <w:tcW w:w="1276" w:type="dxa"/>
            <w:shd w:val="clear" w:color="auto" w:fill="auto"/>
            <w:vAlign w:val="bottom"/>
          </w:tcPr>
          <w:p w14:paraId="38CBFC4D" w14:textId="77777777" w:rsidR="00DE64BC" w:rsidRPr="00256982" w:rsidRDefault="00DE64BC" w:rsidP="00A808C7">
            <w:pPr>
              <w:pStyle w:val="TableText"/>
              <w:spacing w:before="50" w:after="50"/>
              <w:jc w:val="right"/>
              <w:rPr>
                <w:color w:val="000000"/>
                <w:szCs w:val="22"/>
              </w:rPr>
            </w:pPr>
            <w:r w:rsidRPr="00256982">
              <w:rPr>
                <w:color w:val="000000"/>
                <w:szCs w:val="22"/>
              </w:rPr>
              <w:t>4,623.5</w:t>
            </w:r>
          </w:p>
        </w:tc>
        <w:tc>
          <w:tcPr>
            <w:tcW w:w="1275" w:type="dxa"/>
            <w:shd w:val="clear" w:color="auto" w:fill="auto"/>
            <w:vAlign w:val="bottom"/>
          </w:tcPr>
          <w:p w14:paraId="049AEE3E" w14:textId="77777777" w:rsidR="00DE64BC" w:rsidRPr="00256982" w:rsidRDefault="00DE64BC" w:rsidP="00A808C7">
            <w:pPr>
              <w:pStyle w:val="TableText"/>
              <w:spacing w:before="50" w:after="50"/>
              <w:jc w:val="right"/>
              <w:rPr>
                <w:color w:val="000000"/>
                <w:szCs w:val="22"/>
              </w:rPr>
            </w:pPr>
            <w:r w:rsidRPr="00256982">
              <w:rPr>
                <w:color w:val="000000"/>
                <w:szCs w:val="22"/>
              </w:rPr>
              <w:t>13.5</w:t>
            </w:r>
          </w:p>
        </w:tc>
      </w:tr>
      <w:tr w:rsidR="00DE64BC" w:rsidRPr="00256982" w14:paraId="1A5DDA16" w14:textId="77777777" w:rsidTr="00886AAC">
        <w:tc>
          <w:tcPr>
            <w:tcW w:w="3969" w:type="dxa"/>
            <w:shd w:val="clear" w:color="auto" w:fill="auto"/>
          </w:tcPr>
          <w:p w14:paraId="46F0B77B" w14:textId="77777777" w:rsidR="00DE64BC" w:rsidRPr="00256982" w:rsidRDefault="00DE64BC" w:rsidP="00A808C7">
            <w:pPr>
              <w:pStyle w:val="TableText"/>
              <w:spacing w:before="50" w:after="50"/>
              <w:rPr>
                <w:b/>
                <w:color w:val="000000"/>
                <w:szCs w:val="22"/>
              </w:rPr>
            </w:pPr>
            <w:r w:rsidRPr="00256982">
              <w:rPr>
                <w:b/>
                <w:color w:val="000000"/>
                <w:szCs w:val="22"/>
              </w:rPr>
              <w:t>Waste</w:t>
            </w:r>
          </w:p>
        </w:tc>
        <w:tc>
          <w:tcPr>
            <w:tcW w:w="993" w:type="dxa"/>
            <w:shd w:val="clear" w:color="auto" w:fill="auto"/>
            <w:vAlign w:val="bottom"/>
          </w:tcPr>
          <w:p w14:paraId="1BBBD668" w14:textId="77777777" w:rsidR="00DE64BC" w:rsidRPr="00256982" w:rsidRDefault="00DE64BC" w:rsidP="00A808C7">
            <w:pPr>
              <w:pStyle w:val="TableText"/>
              <w:spacing w:before="50" w:after="50"/>
              <w:jc w:val="right"/>
              <w:rPr>
                <w:color w:val="000000"/>
                <w:szCs w:val="22"/>
              </w:rPr>
            </w:pPr>
            <w:r w:rsidRPr="00256982">
              <w:rPr>
                <w:color w:val="000000"/>
                <w:szCs w:val="22"/>
              </w:rPr>
              <w:t>4,041.9</w:t>
            </w:r>
          </w:p>
        </w:tc>
        <w:tc>
          <w:tcPr>
            <w:tcW w:w="992" w:type="dxa"/>
            <w:shd w:val="clear" w:color="auto" w:fill="auto"/>
            <w:vAlign w:val="bottom"/>
          </w:tcPr>
          <w:p w14:paraId="101D1CC4" w14:textId="77777777" w:rsidR="00DE64BC" w:rsidRPr="00256982" w:rsidRDefault="00DE64BC" w:rsidP="00A808C7">
            <w:pPr>
              <w:pStyle w:val="TableText"/>
              <w:spacing w:before="50" w:after="50"/>
              <w:jc w:val="right"/>
              <w:rPr>
                <w:color w:val="000000"/>
                <w:szCs w:val="22"/>
              </w:rPr>
            </w:pPr>
            <w:r w:rsidRPr="00256982">
              <w:rPr>
                <w:color w:val="000000"/>
                <w:szCs w:val="22"/>
              </w:rPr>
              <w:t>4,124.7</w:t>
            </w:r>
          </w:p>
        </w:tc>
        <w:tc>
          <w:tcPr>
            <w:tcW w:w="1276" w:type="dxa"/>
            <w:shd w:val="clear" w:color="auto" w:fill="auto"/>
            <w:vAlign w:val="bottom"/>
          </w:tcPr>
          <w:p w14:paraId="47E53B88" w14:textId="77777777" w:rsidR="00DE64BC" w:rsidRPr="00256982" w:rsidRDefault="00DE64BC" w:rsidP="00A808C7">
            <w:pPr>
              <w:pStyle w:val="TableText"/>
              <w:spacing w:before="50" w:after="50"/>
              <w:jc w:val="right"/>
              <w:rPr>
                <w:color w:val="000000"/>
                <w:szCs w:val="22"/>
              </w:rPr>
            </w:pPr>
            <w:r w:rsidRPr="00256982">
              <w:rPr>
                <w:color w:val="000000"/>
                <w:szCs w:val="22"/>
              </w:rPr>
              <w:t>82.9</w:t>
            </w:r>
          </w:p>
        </w:tc>
        <w:tc>
          <w:tcPr>
            <w:tcW w:w="1275" w:type="dxa"/>
            <w:shd w:val="clear" w:color="auto" w:fill="auto"/>
            <w:vAlign w:val="bottom"/>
          </w:tcPr>
          <w:p w14:paraId="4029B051" w14:textId="77777777" w:rsidR="00DE64BC" w:rsidRPr="00256982" w:rsidRDefault="00DE64BC" w:rsidP="00A808C7">
            <w:pPr>
              <w:pStyle w:val="TableText"/>
              <w:spacing w:before="50" w:after="50"/>
              <w:jc w:val="right"/>
              <w:rPr>
                <w:color w:val="000000"/>
                <w:szCs w:val="22"/>
              </w:rPr>
            </w:pPr>
            <w:r w:rsidRPr="00256982">
              <w:rPr>
                <w:color w:val="000000"/>
                <w:szCs w:val="22"/>
              </w:rPr>
              <w:t>2.1</w:t>
            </w:r>
          </w:p>
        </w:tc>
      </w:tr>
      <w:tr w:rsidR="00DE64BC" w:rsidRPr="00256982" w14:paraId="6F5A4C7E" w14:textId="77777777" w:rsidTr="00886AAC">
        <w:tc>
          <w:tcPr>
            <w:tcW w:w="3969" w:type="dxa"/>
            <w:shd w:val="clear" w:color="auto" w:fill="auto"/>
          </w:tcPr>
          <w:p w14:paraId="1D843C7C" w14:textId="77777777" w:rsidR="00DE64BC" w:rsidRPr="00256982" w:rsidRDefault="00DE64BC" w:rsidP="00A808C7">
            <w:pPr>
              <w:pStyle w:val="TableText"/>
              <w:spacing w:before="50" w:after="50"/>
              <w:rPr>
                <w:b/>
                <w:color w:val="365F91"/>
                <w:szCs w:val="22"/>
              </w:rPr>
            </w:pPr>
            <w:r w:rsidRPr="00256982">
              <w:rPr>
                <w:b/>
                <w:color w:val="365F91"/>
                <w:szCs w:val="22"/>
              </w:rPr>
              <w:t>Gross (excluding LULUCF)</w:t>
            </w:r>
          </w:p>
        </w:tc>
        <w:tc>
          <w:tcPr>
            <w:tcW w:w="993" w:type="dxa"/>
            <w:shd w:val="clear" w:color="auto" w:fill="auto"/>
          </w:tcPr>
          <w:p w14:paraId="75112740" w14:textId="77777777" w:rsidR="00DE64BC" w:rsidRPr="00256982" w:rsidRDefault="00DE64BC" w:rsidP="00A808C7">
            <w:pPr>
              <w:pStyle w:val="TableText"/>
              <w:spacing w:before="50" w:after="50"/>
              <w:jc w:val="right"/>
              <w:rPr>
                <w:color w:val="000000"/>
                <w:szCs w:val="22"/>
              </w:rPr>
            </w:pPr>
            <w:r w:rsidRPr="00256982">
              <w:rPr>
                <w:b/>
                <w:color w:val="365F91"/>
                <w:szCs w:val="22"/>
              </w:rPr>
              <w:t>65,668.3</w:t>
            </w:r>
          </w:p>
        </w:tc>
        <w:tc>
          <w:tcPr>
            <w:tcW w:w="992" w:type="dxa"/>
            <w:shd w:val="clear" w:color="auto" w:fill="auto"/>
            <w:vAlign w:val="bottom"/>
          </w:tcPr>
          <w:p w14:paraId="2E1BCA05" w14:textId="77777777" w:rsidR="00DE64BC" w:rsidRPr="00256982" w:rsidRDefault="00DE64BC" w:rsidP="00A808C7">
            <w:pPr>
              <w:pStyle w:val="TableText"/>
              <w:spacing w:before="50" w:after="50"/>
              <w:jc w:val="right"/>
              <w:rPr>
                <w:b/>
                <w:color w:val="365F91"/>
                <w:szCs w:val="22"/>
              </w:rPr>
            </w:pPr>
            <w:r w:rsidRPr="00256982">
              <w:rPr>
                <w:b/>
                <w:color w:val="365F91"/>
                <w:szCs w:val="22"/>
              </w:rPr>
              <w:t>80,853.5</w:t>
            </w:r>
          </w:p>
        </w:tc>
        <w:tc>
          <w:tcPr>
            <w:tcW w:w="1276" w:type="dxa"/>
            <w:shd w:val="clear" w:color="auto" w:fill="auto"/>
            <w:vAlign w:val="bottom"/>
          </w:tcPr>
          <w:p w14:paraId="7B2200BF" w14:textId="77777777" w:rsidR="00DE64BC" w:rsidRPr="00256982" w:rsidRDefault="00DE64BC" w:rsidP="00A808C7">
            <w:pPr>
              <w:pStyle w:val="TableText"/>
              <w:spacing w:before="50" w:after="50"/>
              <w:jc w:val="right"/>
              <w:rPr>
                <w:b/>
                <w:color w:val="365F91"/>
                <w:szCs w:val="22"/>
              </w:rPr>
            </w:pPr>
            <w:r w:rsidRPr="00256982">
              <w:rPr>
                <w:b/>
                <w:color w:val="365F91"/>
                <w:szCs w:val="22"/>
              </w:rPr>
              <w:t>15,185.2</w:t>
            </w:r>
          </w:p>
        </w:tc>
        <w:tc>
          <w:tcPr>
            <w:tcW w:w="1275" w:type="dxa"/>
            <w:shd w:val="clear" w:color="auto" w:fill="auto"/>
            <w:vAlign w:val="bottom"/>
          </w:tcPr>
          <w:p w14:paraId="6283A4E8" w14:textId="77777777" w:rsidR="00DE64BC" w:rsidRPr="00256982" w:rsidRDefault="00DE64BC" w:rsidP="00A808C7">
            <w:pPr>
              <w:pStyle w:val="TableText"/>
              <w:spacing w:before="50" w:after="50"/>
              <w:jc w:val="right"/>
              <w:rPr>
                <w:b/>
                <w:color w:val="365F91"/>
                <w:szCs w:val="22"/>
              </w:rPr>
            </w:pPr>
            <w:r w:rsidRPr="00256982">
              <w:rPr>
                <w:b/>
                <w:color w:val="365F91"/>
                <w:szCs w:val="22"/>
              </w:rPr>
              <w:t>23.1</w:t>
            </w:r>
          </w:p>
        </w:tc>
      </w:tr>
      <w:tr w:rsidR="00DE64BC" w:rsidRPr="00256982" w14:paraId="4DD2BC79" w14:textId="77777777" w:rsidTr="00886AAC">
        <w:tc>
          <w:tcPr>
            <w:tcW w:w="3969" w:type="dxa"/>
            <w:shd w:val="clear" w:color="auto" w:fill="auto"/>
          </w:tcPr>
          <w:p w14:paraId="76357368" w14:textId="77777777" w:rsidR="00DE64BC" w:rsidRPr="00256982" w:rsidRDefault="00DE64BC" w:rsidP="00A808C7">
            <w:pPr>
              <w:pStyle w:val="TableText"/>
              <w:spacing w:before="50" w:after="50"/>
              <w:rPr>
                <w:b/>
                <w:color w:val="000000"/>
                <w:szCs w:val="22"/>
              </w:rPr>
            </w:pPr>
            <w:r w:rsidRPr="00256982">
              <w:rPr>
                <w:b/>
                <w:color w:val="000000"/>
                <w:szCs w:val="22"/>
              </w:rPr>
              <w:t xml:space="preserve">LULUCF </w:t>
            </w:r>
          </w:p>
        </w:tc>
        <w:tc>
          <w:tcPr>
            <w:tcW w:w="993" w:type="dxa"/>
            <w:shd w:val="clear" w:color="auto" w:fill="auto"/>
          </w:tcPr>
          <w:p w14:paraId="7B9963E0" w14:textId="77777777" w:rsidR="00DE64BC" w:rsidRPr="00256982" w:rsidRDefault="00DE64BC" w:rsidP="00A808C7">
            <w:pPr>
              <w:pStyle w:val="TableText"/>
              <w:spacing w:before="50" w:after="50"/>
              <w:jc w:val="right"/>
              <w:rPr>
                <w:color w:val="000000"/>
                <w:szCs w:val="22"/>
              </w:rPr>
            </w:pPr>
            <w:r w:rsidRPr="00256982">
              <w:rPr>
                <w:color w:val="000000"/>
                <w:szCs w:val="22"/>
              </w:rPr>
              <w:t>–31,161.8</w:t>
            </w:r>
          </w:p>
        </w:tc>
        <w:tc>
          <w:tcPr>
            <w:tcW w:w="992" w:type="dxa"/>
            <w:shd w:val="clear" w:color="auto" w:fill="auto"/>
            <w:vAlign w:val="bottom"/>
          </w:tcPr>
          <w:p w14:paraId="46997565" w14:textId="77777777" w:rsidR="00DE64BC" w:rsidRPr="00256982" w:rsidRDefault="00DE64BC" w:rsidP="00A808C7">
            <w:pPr>
              <w:pStyle w:val="TableText"/>
              <w:spacing w:before="50" w:after="50"/>
              <w:jc w:val="right"/>
              <w:rPr>
                <w:color w:val="000000"/>
                <w:szCs w:val="22"/>
              </w:rPr>
            </w:pPr>
            <w:r w:rsidRPr="00256982">
              <w:rPr>
                <w:color w:val="000000"/>
                <w:szCs w:val="22"/>
              </w:rPr>
              <w:t>–23,958.4</w:t>
            </w:r>
          </w:p>
        </w:tc>
        <w:tc>
          <w:tcPr>
            <w:tcW w:w="1276" w:type="dxa"/>
            <w:shd w:val="clear" w:color="auto" w:fill="auto"/>
            <w:vAlign w:val="bottom"/>
          </w:tcPr>
          <w:p w14:paraId="083988A0" w14:textId="77777777" w:rsidR="00DE64BC" w:rsidRPr="00256982" w:rsidRDefault="00DE64BC" w:rsidP="00A808C7">
            <w:pPr>
              <w:pStyle w:val="TableText"/>
              <w:spacing w:before="50" w:after="50"/>
              <w:jc w:val="right"/>
              <w:rPr>
                <w:color w:val="000000"/>
                <w:szCs w:val="22"/>
              </w:rPr>
            </w:pPr>
            <w:r w:rsidRPr="00256982">
              <w:rPr>
                <w:color w:val="000000"/>
                <w:szCs w:val="22"/>
              </w:rPr>
              <w:t>7,203.3</w:t>
            </w:r>
          </w:p>
        </w:tc>
        <w:tc>
          <w:tcPr>
            <w:tcW w:w="1275" w:type="dxa"/>
            <w:shd w:val="clear" w:color="auto" w:fill="auto"/>
            <w:vAlign w:val="bottom"/>
          </w:tcPr>
          <w:p w14:paraId="223B08F1" w14:textId="77777777" w:rsidR="00DE64BC" w:rsidRPr="00256982" w:rsidRDefault="00DE64BC" w:rsidP="00A808C7">
            <w:pPr>
              <w:pStyle w:val="TableText"/>
              <w:spacing w:before="50" w:after="50"/>
              <w:jc w:val="right"/>
              <w:rPr>
                <w:color w:val="000000"/>
                <w:szCs w:val="22"/>
              </w:rPr>
            </w:pPr>
            <w:r w:rsidRPr="00256982">
              <w:rPr>
                <w:color w:val="000000"/>
                <w:szCs w:val="22"/>
              </w:rPr>
              <w:t>23.1</w:t>
            </w:r>
          </w:p>
        </w:tc>
      </w:tr>
      <w:tr w:rsidR="00DE64BC" w:rsidRPr="00256982" w14:paraId="518CC968" w14:textId="77777777" w:rsidTr="00886AAC">
        <w:tc>
          <w:tcPr>
            <w:tcW w:w="3969" w:type="dxa"/>
            <w:shd w:val="clear" w:color="auto" w:fill="auto"/>
          </w:tcPr>
          <w:p w14:paraId="28954D44" w14:textId="77777777" w:rsidR="00DE64BC" w:rsidRPr="00256982" w:rsidRDefault="00DE64BC" w:rsidP="00A808C7">
            <w:pPr>
              <w:pStyle w:val="TableText"/>
              <w:spacing w:before="50" w:after="50"/>
              <w:rPr>
                <w:b/>
                <w:color w:val="365F91"/>
                <w:szCs w:val="22"/>
              </w:rPr>
            </w:pPr>
            <w:r w:rsidRPr="00256982">
              <w:rPr>
                <w:b/>
                <w:color w:val="365F91"/>
                <w:szCs w:val="22"/>
              </w:rPr>
              <w:t>Net (including LULUCF)</w:t>
            </w:r>
          </w:p>
        </w:tc>
        <w:tc>
          <w:tcPr>
            <w:tcW w:w="993" w:type="dxa"/>
            <w:shd w:val="clear" w:color="auto" w:fill="auto"/>
            <w:vAlign w:val="center"/>
          </w:tcPr>
          <w:p w14:paraId="02C20558" w14:textId="77777777" w:rsidR="00DE64BC" w:rsidRPr="00256982" w:rsidRDefault="00DE64BC" w:rsidP="00A808C7">
            <w:pPr>
              <w:pStyle w:val="TableText"/>
              <w:spacing w:before="50" w:after="50"/>
              <w:jc w:val="right"/>
              <w:rPr>
                <w:color w:val="000000"/>
                <w:szCs w:val="22"/>
              </w:rPr>
            </w:pPr>
            <w:r w:rsidRPr="00256982">
              <w:rPr>
                <w:b/>
                <w:color w:val="365F91"/>
                <w:szCs w:val="22"/>
              </w:rPr>
              <w:t>34,506.5</w:t>
            </w:r>
          </w:p>
        </w:tc>
        <w:tc>
          <w:tcPr>
            <w:tcW w:w="992" w:type="dxa"/>
            <w:shd w:val="clear" w:color="auto" w:fill="auto"/>
            <w:vAlign w:val="center"/>
          </w:tcPr>
          <w:p w14:paraId="6853BA10" w14:textId="77777777" w:rsidR="00DE64BC" w:rsidRPr="00256982" w:rsidRDefault="00DE64BC" w:rsidP="00A808C7">
            <w:pPr>
              <w:pStyle w:val="TableText"/>
              <w:spacing w:before="50" w:after="50"/>
              <w:jc w:val="right"/>
              <w:rPr>
                <w:b/>
                <w:color w:val="365F91"/>
                <w:szCs w:val="22"/>
              </w:rPr>
            </w:pPr>
            <w:r w:rsidRPr="00256982">
              <w:rPr>
                <w:b/>
                <w:color w:val="365F91"/>
                <w:szCs w:val="22"/>
              </w:rPr>
              <w:t>56,895.0</w:t>
            </w:r>
          </w:p>
        </w:tc>
        <w:tc>
          <w:tcPr>
            <w:tcW w:w="1276" w:type="dxa"/>
            <w:shd w:val="clear" w:color="auto" w:fill="auto"/>
            <w:vAlign w:val="center"/>
          </w:tcPr>
          <w:p w14:paraId="6F15E163" w14:textId="77777777" w:rsidR="00DE64BC" w:rsidRPr="00256982" w:rsidRDefault="00DE64BC" w:rsidP="00A808C7">
            <w:pPr>
              <w:pStyle w:val="TableText"/>
              <w:spacing w:before="50" w:after="50"/>
              <w:jc w:val="right"/>
              <w:rPr>
                <w:b/>
                <w:color w:val="365F91"/>
                <w:szCs w:val="22"/>
              </w:rPr>
            </w:pPr>
            <w:r w:rsidRPr="00256982">
              <w:rPr>
                <w:b/>
                <w:color w:val="365F91"/>
                <w:szCs w:val="22"/>
              </w:rPr>
              <w:t>22,388.5</w:t>
            </w:r>
          </w:p>
        </w:tc>
        <w:tc>
          <w:tcPr>
            <w:tcW w:w="1275" w:type="dxa"/>
            <w:shd w:val="clear" w:color="auto" w:fill="auto"/>
            <w:vAlign w:val="center"/>
          </w:tcPr>
          <w:p w14:paraId="3574812F" w14:textId="77777777" w:rsidR="00DE64BC" w:rsidRPr="00256982" w:rsidRDefault="00DE64BC" w:rsidP="00A808C7">
            <w:pPr>
              <w:pStyle w:val="TableText"/>
              <w:spacing w:before="50" w:after="50"/>
              <w:jc w:val="right"/>
              <w:rPr>
                <w:b/>
                <w:color w:val="365F91"/>
                <w:szCs w:val="22"/>
              </w:rPr>
            </w:pPr>
            <w:r w:rsidRPr="00256982">
              <w:rPr>
                <w:b/>
                <w:color w:val="365F91"/>
                <w:szCs w:val="22"/>
              </w:rPr>
              <w:t>64.9</w:t>
            </w:r>
          </w:p>
        </w:tc>
      </w:tr>
    </w:tbl>
    <w:p w14:paraId="211772C0" w14:textId="77777777" w:rsidR="00DE64BC" w:rsidRPr="00256982" w:rsidRDefault="00DE64BC" w:rsidP="00A808C7">
      <w:pPr>
        <w:pStyle w:val="Noteundertable"/>
      </w:pPr>
      <w:r w:rsidRPr="00256982">
        <w:rPr>
          <w:b/>
        </w:rPr>
        <w:t>Note:</w:t>
      </w:r>
      <w:r w:rsidRPr="00256982">
        <w:t xml:space="preserve"> </w:t>
      </w:r>
      <w:r w:rsidRPr="00256982">
        <w:tab/>
        <w:t>Net emissions from the LULUCF sector are as reported under the Convention (chapter 6). Columns may not sum due to rounding. Percentages presented are calculated from unrounded values.</w:t>
      </w:r>
    </w:p>
    <w:p w14:paraId="1B99ECAB" w14:textId="77777777" w:rsidR="00DE64BC" w:rsidRPr="00256982" w:rsidRDefault="00DE64BC" w:rsidP="00A808C7">
      <w:pPr>
        <w:pStyle w:val="Figure"/>
      </w:pPr>
      <w:bookmarkStart w:id="208" w:name="_Toc511116923"/>
      <w:bookmarkStart w:id="209" w:name="_Toc5269656"/>
      <w:r w:rsidRPr="00256982">
        <w:t>Figure 2.2.4</w:t>
      </w:r>
      <w:r w:rsidRPr="00256982">
        <w:tab/>
        <w:t>Change in New Zealand’s emissions by sector comparing 1990 and </w:t>
      </w:r>
      <w:bookmarkEnd w:id="207"/>
      <w:bookmarkEnd w:id="208"/>
      <w:r w:rsidRPr="00256982">
        <w:t>2017</w:t>
      </w:r>
      <w:bookmarkEnd w:id="209"/>
    </w:p>
    <w:p w14:paraId="7B192972" w14:textId="77777777" w:rsidR="00DE64BC" w:rsidRPr="00256982" w:rsidRDefault="00590491" w:rsidP="00A808C7">
      <w:pPr>
        <w:spacing w:before="120" w:after="120"/>
      </w:pPr>
      <w:r>
        <w:rPr>
          <w:lang w:eastAsia="en-NZ"/>
        </w:rPr>
        <w:pict w14:anchorId="0BEB5E0B">
          <v:shape id="_x0000_i1039" type="#_x0000_t75" style="width:425.25pt;height:273.75pt;visibility:visible" o:gfxdata="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">
            <v:imagedata r:id="rId41" o:title="" cropbottom="3277f"/>
            <o:lock v:ext="edit" aspectratio="f"/>
          </v:shape>
        </w:pict>
      </w:r>
    </w:p>
    <w:p w14:paraId="0F57E5A4" w14:textId="77777777" w:rsidR="00DE64BC" w:rsidRPr="00256982" w:rsidRDefault="00DE64BC" w:rsidP="00A808C7">
      <w:pPr>
        <w:pStyle w:val="BodyText"/>
        <w:spacing w:before="0"/>
      </w:pPr>
      <w:r w:rsidRPr="00256982">
        <w:t xml:space="preserve">Figure 2.2.5 presents the absolute change in gross emissions for each sector (LULUCF is excluded from the estimate of gross emissions). The figure shows that the absolute changes in New Zealand’s gross emissions were mostly influenced by changes in the Agriculture and Energy sectors. This is to be expected because they are the largest sectors of the New Zealand economy and show higher sensitivity to both changes in global economic status (e.g., the recent global economic recession), extreme weather conditions and natural disasters. For example, during droughts, the level of inflow to hydro lakes is low resulting in electricity production from fossil fuels making a higher contribution to the national electricity grid and increased emissions from the Energy sector. Droughts also affect the animal population size and soil productivity, which usually result in reduced emissions from the Agriculture sector. </w:t>
      </w:r>
    </w:p>
    <w:p w14:paraId="3A11755B" w14:textId="77777777" w:rsidR="00DE64BC" w:rsidRPr="00256982" w:rsidRDefault="00DE64BC" w:rsidP="00A808C7">
      <w:pPr>
        <w:pStyle w:val="BodyText"/>
      </w:pPr>
      <w:r w:rsidRPr="00256982">
        <w:t xml:space="preserve">The figure also shows a decline in emissions from Tokelau, which in 2017 decreased below its 1990 emission level mainly due to a switch to 100 per cent renewable electricity in 2012. </w:t>
      </w:r>
    </w:p>
    <w:p w14:paraId="4AD0076A" w14:textId="77777777" w:rsidR="00DE64BC" w:rsidRPr="00256982" w:rsidRDefault="00DE64BC" w:rsidP="00A808C7">
      <w:pPr>
        <w:pStyle w:val="Figure"/>
        <w:spacing w:after="0"/>
      </w:pPr>
      <w:bookmarkStart w:id="210" w:name="_Toc447275660"/>
      <w:bookmarkStart w:id="211" w:name="_Toc511116924"/>
      <w:bookmarkStart w:id="212" w:name="_Toc5269657"/>
      <w:r w:rsidRPr="00256982">
        <w:lastRenderedPageBreak/>
        <w:t>Figure 2.2.5</w:t>
      </w:r>
      <w:r w:rsidRPr="00256982">
        <w:tab/>
        <w:t>Absolute change in New Zealand’s gross emissions by sector from 1990 to </w:t>
      </w:r>
      <w:bookmarkEnd w:id="210"/>
      <w:bookmarkEnd w:id="211"/>
      <w:r w:rsidRPr="00256982">
        <w:t>2017</w:t>
      </w:r>
      <w:bookmarkEnd w:id="212"/>
    </w:p>
    <w:p w14:paraId="29B941CE" w14:textId="74982FB5" w:rsidR="00DE64BC" w:rsidRPr="00256982" w:rsidRDefault="00590491" w:rsidP="00A808C7">
      <w:r>
        <w:rPr>
          <w:lang w:eastAsia="en-NZ"/>
        </w:rPr>
        <w:pict w14:anchorId="5F8380F8">
          <v:shape id="_x0000_i1040" type="#_x0000_t75" style="width:417.75pt;height:252pt;visibility:visible" o:gfxdata="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">
            <v:imagedata r:id="rId42" o:title="" cropbottom="1682f"/>
            <o:lock v:ext="edit" aspectratio="f"/>
          </v:shape>
        </w:pict>
      </w:r>
    </w:p>
    <w:p w14:paraId="431E3C93" w14:textId="77777777" w:rsidR="00DE64BC" w:rsidRPr="00256982" w:rsidRDefault="00DE64BC" w:rsidP="00A808C7">
      <w:pPr>
        <w:pStyle w:val="Noteundertable"/>
        <w:widowControl w:val="0"/>
      </w:pPr>
      <w:r w:rsidRPr="00256982">
        <w:rPr>
          <w:b/>
        </w:rPr>
        <w:t>Note:</w:t>
      </w:r>
      <w:r w:rsidRPr="00256982">
        <w:t xml:space="preserve"> </w:t>
      </w:r>
      <w:r w:rsidRPr="00256982">
        <w:tab/>
        <w:t>Gross emissions exclude emissions from LULUCF.</w:t>
      </w:r>
    </w:p>
    <w:p w14:paraId="7A06AAD7" w14:textId="77777777" w:rsidR="00DE64BC" w:rsidRPr="00256982" w:rsidRDefault="00DE64BC" w:rsidP="00A808C7">
      <w:pPr>
        <w:pStyle w:val="BodyText"/>
      </w:pPr>
      <w:r w:rsidRPr="00256982">
        <w:t>Net removals from the LULUCF sector fluctuate significantly over the time series. The fluctuations in net removals from LULUCF (figure 2.2.6) are influenced by harvesting and deforestation rates (see LULUCF sector section below).</w:t>
      </w:r>
    </w:p>
    <w:p w14:paraId="6CD4F955" w14:textId="77777777" w:rsidR="00DE64BC" w:rsidRPr="00256982" w:rsidRDefault="00DE64BC" w:rsidP="00A808C7">
      <w:pPr>
        <w:pStyle w:val="Figure"/>
        <w:spacing w:after="0"/>
      </w:pPr>
      <w:bookmarkStart w:id="213" w:name="_Toc447275661"/>
      <w:bookmarkStart w:id="214" w:name="_Toc511116925"/>
      <w:bookmarkStart w:id="215" w:name="_Toc5269658"/>
      <w:r w:rsidRPr="00256982">
        <w:t>Figure 2.2.6</w:t>
      </w:r>
      <w:r w:rsidRPr="00256982">
        <w:tab/>
        <w:t>Absolute change in net emissions from the LULUCF sector from 1990 to </w:t>
      </w:r>
      <w:bookmarkEnd w:id="213"/>
      <w:bookmarkEnd w:id="214"/>
      <w:r w:rsidRPr="00256982">
        <w:t>2017</w:t>
      </w:r>
      <w:bookmarkEnd w:id="215"/>
    </w:p>
    <w:p w14:paraId="416E1C34" w14:textId="64DF2F21" w:rsidR="00DE64BC" w:rsidRPr="00256982" w:rsidRDefault="00590491" w:rsidP="00A808C7">
      <w:pPr>
        <w:spacing w:after="60"/>
      </w:pPr>
      <w:r>
        <w:rPr>
          <w:lang w:eastAsia="en-NZ"/>
        </w:rPr>
        <w:pict w14:anchorId="52F7940B">
          <v:shape id="_x0000_i1041" type="#_x0000_t75" style="width:417.75pt;height:208.5pt;visibility:visible" o:gfxdata="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">
            <v:imagedata r:id="rId43" o:title="" cropbottom="4377f"/>
            <o:lock v:ext="edit" aspectratio="f"/>
          </v:shape>
        </w:pict>
      </w:r>
    </w:p>
    <w:p w14:paraId="383CC724" w14:textId="77777777" w:rsidR="00DE64BC" w:rsidRPr="00256982" w:rsidRDefault="00DE64BC" w:rsidP="00A72006">
      <w:pPr>
        <w:pStyle w:val="Heading4"/>
      </w:pPr>
      <w:r w:rsidRPr="00256982">
        <w:t>Energy sector</w:t>
      </w:r>
    </w:p>
    <w:p w14:paraId="0EB0782A" w14:textId="77777777" w:rsidR="00DE64BC" w:rsidRPr="00256982" w:rsidRDefault="00DE64BC" w:rsidP="00A808C7">
      <w:pPr>
        <w:pStyle w:val="BodyText"/>
        <w:spacing w:before="100" w:after="100"/>
        <w:rPr>
          <w:bCs/>
          <w:i/>
          <w:iCs/>
        </w:rPr>
      </w:pPr>
      <w:r w:rsidRPr="00256982">
        <w:t>The Energy sector produces a large amount of CO</w:t>
      </w:r>
      <w:r w:rsidRPr="00256982">
        <w:rPr>
          <w:vertAlign w:val="subscript"/>
        </w:rPr>
        <w:t>2</w:t>
      </w:r>
      <w:r w:rsidRPr="00256982">
        <w:t xml:space="preserve"> emissions (96.6 per cent of all emissions from the sector) and smaller amounts of CH</w:t>
      </w:r>
      <w:r w:rsidRPr="00256982">
        <w:rPr>
          <w:vertAlign w:val="subscript"/>
        </w:rPr>
        <w:t>4</w:t>
      </w:r>
      <w:r w:rsidRPr="00256982">
        <w:t xml:space="preserve"> and N</w:t>
      </w:r>
      <w:r w:rsidRPr="00256982">
        <w:rPr>
          <w:vertAlign w:val="subscript"/>
        </w:rPr>
        <w:t>2</w:t>
      </w:r>
      <w:r w:rsidRPr="00256982">
        <w:t xml:space="preserve">O (2.7 per cent and 0.7 per cent of all emissions from the sector respectively). The major source categories in the sector are </w:t>
      </w:r>
      <w:r w:rsidRPr="00256982">
        <w:rPr>
          <w:i/>
        </w:rPr>
        <w:t>Road transportation</w:t>
      </w:r>
      <w:r w:rsidRPr="00256982">
        <w:t xml:space="preserve"> and </w:t>
      </w:r>
      <w:r w:rsidRPr="00256982">
        <w:rPr>
          <w:i/>
        </w:rPr>
        <w:t>Public electricity and heat production</w:t>
      </w:r>
      <w:r w:rsidRPr="00256982">
        <w:t xml:space="preserve">. </w:t>
      </w:r>
    </w:p>
    <w:p w14:paraId="22FE8CB2" w14:textId="77777777" w:rsidR="00DE64BC" w:rsidRPr="00256982" w:rsidRDefault="00DE64BC" w:rsidP="00A808C7">
      <w:pPr>
        <w:pStyle w:val="BodyText"/>
        <w:spacing w:before="100" w:after="100"/>
        <w:rPr>
          <w:bCs/>
          <w:i/>
          <w:iCs/>
        </w:rPr>
      </w:pPr>
      <w:r w:rsidRPr="00256982">
        <w:t xml:space="preserve">Emissions in the Energy sector are influenced not only by demand but also climatic conditions, because a lot of New Zealand’s stationary energy needs are met by renewables such as hydro power and wind. </w:t>
      </w:r>
    </w:p>
    <w:p w14:paraId="1A684D4D" w14:textId="77777777" w:rsidR="00DE64BC" w:rsidRPr="00256982" w:rsidRDefault="00DE64BC" w:rsidP="00A808C7">
      <w:pPr>
        <w:pStyle w:val="Heading5"/>
        <w:rPr>
          <w:lang w:eastAsia="en-GB"/>
        </w:rPr>
      </w:pPr>
      <w:r w:rsidRPr="00256982">
        <w:rPr>
          <w:lang w:eastAsia="en-GB"/>
        </w:rPr>
        <w:lastRenderedPageBreak/>
        <w:t>2017</w:t>
      </w:r>
    </w:p>
    <w:p w14:paraId="2E6A4523" w14:textId="77777777" w:rsidR="00DE64BC" w:rsidRPr="00256982" w:rsidRDefault="00DE64BC" w:rsidP="00A808C7">
      <w:pPr>
        <w:pStyle w:val="BodyText"/>
        <w:spacing w:before="100" w:after="100"/>
        <w:rPr>
          <w:bCs/>
          <w:i/>
          <w:iCs/>
        </w:rPr>
      </w:pPr>
      <w:r w:rsidRPr="00256982">
        <w:t>In 2017, the Energy sector produced 32,876.6 kt CO</w:t>
      </w:r>
      <w:r w:rsidRPr="00256982">
        <w:rPr>
          <w:vertAlign w:val="subscript"/>
        </w:rPr>
        <w:t>2</w:t>
      </w:r>
      <w:r w:rsidRPr="00256982">
        <w:t xml:space="preserve">-e, representing 40.7 per cent of New Zealand’s gross GHG emissions. The largest sources of emissions in the Energy sector were </w:t>
      </w:r>
      <w:r w:rsidRPr="00256982">
        <w:rPr>
          <w:i/>
        </w:rPr>
        <w:t>Road transportation</w:t>
      </w:r>
      <w:r w:rsidRPr="00256982">
        <w:t>, contributing 14,456.7 kt CO</w:t>
      </w:r>
      <w:r w:rsidRPr="00256982">
        <w:rPr>
          <w:vertAlign w:val="subscript"/>
        </w:rPr>
        <w:t>2</w:t>
      </w:r>
      <w:r w:rsidRPr="00256982">
        <w:t xml:space="preserve">-e (44.0 per cent), and </w:t>
      </w:r>
      <w:r w:rsidRPr="00256982">
        <w:rPr>
          <w:i/>
        </w:rPr>
        <w:t>Public electricity and heat production</w:t>
      </w:r>
      <w:r w:rsidRPr="00256982">
        <w:t>, contributing 3,596.2 kt CO</w:t>
      </w:r>
      <w:r w:rsidRPr="00256982">
        <w:rPr>
          <w:vertAlign w:val="subscript"/>
        </w:rPr>
        <w:t>2</w:t>
      </w:r>
      <w:r w:rsidRPr="00256982">
        <w:t>-e (10.9 per cent) to energy emissions.</w:t>
      </w:r>
    </w:p>
    <w:p w14:paraId="3DEB121A" w14:textId="77777777" w:rsidR="00DE64BC" w:rsidRPr="00256982" w:rsidRDefault="00DE64BC" w:rsidP="00A808C7">
      <w:pPr>
        <w:pStyle w:val="Heading5"/>
      </w:pPr>
      <w:r w:rsidRPr="00256982">
        <w:rPr>
          <w:lang w:eastAsia="en-GB"/>
        </w:rPr>
        <w:t>1990–</w:t>
      </w:r>
      <w:r w:rsidRPr="00256982">
        <w:t>2017</w:t>
      </w:r>
    </w:p>
    <w:p w14:paraId="7E2246BC" w14:textId="77777777" w:rsidR="00DE64BC" w:rsidRPr="00256982" w:rsidRDefault="00DE64BC" w:rsidP="00A808C7">
      <w:pPr>
        <w:pStyle w:val="BodyText"/>
        <w:spacing w:before="100" w:after="100"/>
      </w:pPr>
      <w:r w:rsidRPr="00256982">
        <w:t>In 2017, emissions from the Energy sector had increased by 38.2 per cent (9,090.9 kt CO</w:t>
      </w:r>
      <w:r w:rsidRPr="00256982">
        <w:rPr>
          <w:vertAlign w:val="subscript"/>
        </w:rPr>
        <w:t>2</w:t>
      </w:r>
      <w:r w:rsidRPr="00256982">
        <w:t>-e) above the 1990 level of 23,785.7 kt CO</w:t>
      </w:r>
      <w:r w:rsidRPr="00256982">
        <w:rPr>
          <w:vertAlign w:val="subscript"/>
        </w:rPr>
        <w:t>2</w:t>
      </w:r>
      <w:r w:rsidRPr="00256982">
        <w:t xml:space="preserve">-e. This growth in emissions is primarily from </w:t>
      </w:r>
      <w:r w:rsidRPr="00256982">
        <w:rPr>
          <w:i/>
        </w:rPr>
        <w:t>Road transportation</w:t>
      </w:r>
      <w:r w:rsidRPr="00256982">
        <w:t>, which increased by 6,981.5 kt CO</w:t>
      </w:r>
      <w:r w:rsidRPr="00256982">
        <w:rPr>
          <w:vertAlign w:val="subscript"/>
        </w:rPr>
        <w:t>2</w:t>
      </w:r>
      <w:r w:rsidRPr="00256982">
        <w:t xml:space="preserve">-e (93.4 per cent), </w:t>
      </w:r>
      <w:r w:rsidRPr="00256982">
        <w:rPr>
          <w:i/>
        </w:rPr>
        <w:t>Chemicals</w:t>
      </w:r>
      <w:r w:rsidRPr="00256982">
        <w:t>, which increased by 1,059.2 kt CO</w:t>
      </w:r>
      <w:r w:rsidRPr="00256982">
        <w:rPr>
          <w:vertAlign w:val="subscript"/>
        </w:rPr>
        <w:t>2</w:t>
      </w:r>
      <w:r w:rsidRPr="00256982">
        <w:t xml:space="preserve">-e (192.8 per cent), and </w:t>
      </w:r>
      <w:r w:rsidRPr="00256982">
        <w:rPr>
          <w:i/>
        </w:rPr>
        <w:t>Food processing, beverages and tobacco</w:t>
      </w:r>
      <w:r w:rsidRPr="00256982">
        <w:t>, which increased by 1,448.4 kt CO</w:t>
      </w:r>
      <w:r w:rsidRPr="00256982">
        <w:rPr>
          <w:vertAlign w:val="subscript"/>
        </w:rPr>
        <w:t>2</w:t>
      </w:r>
      <w:r w:rsidRPr="00256982">
        <w:t xml:space="preserve">-e (87.4 per cent). Emissions from </w:t>
      </w:r>
      <w:r w:rsidRPr="00256982">
        <w:rPr>
          <w:i/>
        </w:rPr>
        <w:t>Manufacture of solid fuels and other energy industries</w:t>
      </w:r>
      <w:r w:rsidRPr="00256982">
        <w:t xml:space="preserve"> decreased appreciably below the 1990 level, by 1,414.9 kt CO</w:t>
      </w:r>
      <w:r w:rsidRPr="00256982">
        <w:rPr>
          <w:vertAlign w:val="subscript"/>
        </w:rPr>
        <w:t>2</w:t>
      </w:r>
      <w:r w:rsidRPr="00256982">
        <w:t>-e (−82.2 per cent). This decrease is primarily due to the cessation of synthetic gasoline production in 1997.</w:t>
      </w:r>
    </w:p>
    <w:p w14:paraId="04008B98" w14:textId="77777777" w:rsidR="00DE64BC" w:rsidRPr="00256982" w:rsidRDefault="00DE64BC" w:rsidP="00A808C7">
      <w:pPr>
        <w:pStyle w:val="BodyText"/>
      </w:pPr>
      <w:r w:rsidRPr="00256982">
        <w:t>Figure 2.2.7 shows the Energy sector emissions time series from 1990 to 2017. The trend shows emissions increasing up until 2008, after which there is a general decline.</w:t>
      </w:r>
    </w:p>
    <w:p w14:paraId="23F7EBE9" w14:textId="77777777" w:rsidR="00DE64BC" w:rsidRPr="00256982" w:rsidRDefault="00DE64BC" w:rsidP="00886AAC">
      <w:pPr>
        <w:pStyle w:val="Figure"/>
      </w:pPr>
      <w:bookmarkStart w:id="216" w:name="_Ref442370746"/>
      <w:bookmarkStart w:id="217" w:name="_Toc384582744"/>
      <w:bookmarkStart w:id="218" w:name="_Toc384582846"/>
      <w:bookmarkStart w:id="219" w:name="_Toc447275662"/>
      <w:bookmarkStart w:id="220" w:name="_Toc511116926"/>
      <w:bookmarkStart w:id="221" w:name="_Toc5269659"/>
      <w:r w:rsidRPr="00256982">
        <w:t xml:space="preserve">Figure </w:t>
      </w:r>
      <w:bookmarkEnd w:id="216"/>
      <w:r w:rsidRPr="00256982">
        <w:t>2.2.7</w:t>
      </w:r>
      <w:r w:rsidRPr="00256982">
        <w:tab/>
        <w:t>New Zealand’s Energy sector emissions from 1990 to</w:t>
      </w:r>
      <w:bookmarkEnd w:id="217"/>
      <w:bookmarkEnd w:id="218"/>
      <w:bookmarkEnd w:id="219"/>
      <w:r w:rsidRPr="00256982">
        <w:t> </w:t>
      </w:r>
      <w:bookmarkEnd w:id="220"/>
      <w:r w:rsidRPr="00256982">
        <w:t>2017</w:t>
      </w:r>
      <w:bookmarkEnd w:id="221"/>
    </w:p>
    <w:p w14:paraId="79220B21" w14:textId="1FA2D1F5" w:rsidR="00DE64BC" w:rsidRPr="00256982" w:rsidRDefault="00590491" w:rsidP="00DB124F">
      <w:r>
        <w:rPr>
          <w:lang w:eastAsia="en-NZ"/>
        </w:rPr>
        <w:pict w14:anchorId="7EF73DB0">
          <v:shape id="_x0000_i1042" type="#_x0000_t75" style="width:425.25pt;height:201.75pt;visibility:visible" o:gfxdata="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">
            <v:imagedata r:id="rId44" o:title="" croptop="1947f" cropbottom="5640f"/>
            <o:lock v:ext="edit" aspectratio="f"/>
          </v:shape>
        </w:pict>
      </w:r>
    </w:p>
    <w:p w14:paraId="2A11E7C0" w14:textId="77777777" w:rsidR="00DE64BC" w:rsidRPr="00256982" w:rsidRDefault="00DE64BC" w:rsidP="00A808C7">
      <w:pPr>
        <w:pStyle w:val="Heading5"/>
      </w:pPr>
      <w:r w:rsidRPr="00256982">
        <w:t>2016</w:t>
      </w:r>
      <w:r w:rsidRPr="00256982">
        <w:rPr>
          <w:lang w:eastAsia="en-GB"/>
        </w:rPr>
        <w:t>–</w:t>
      </w:r>
      <w:r w:rsidRPr="00256982">
        <w:t>2017</w:t>
      </w:r>
    </w:p>
    <w:p w14:paraId="0BF486D9" w14:textId="77777777" w:rsidR="00DE64BC" w:rsidRPr="00256982" w:rsidRDefault="00DE64BC" w:rsidP="00A808C7">
      <w:pPr>
        <w:pStyle w:val="BodyText"/>
        <w:rPr>
          <w:lang w:eastAsia="en-GB"/>
        </w:rPr>
      </w:pPr>
      <w:r w:rsidRPr="00256982">
        <w:rPr>
          <w:lang w:eastAsia="en-GB"/>
        </w:rPr>
        <w:t xml:space="preserve">Between </w:t>
      </w:r>
      <w:r w:rsidRPr="00256982">
        <w:t xml:space="preserve">2016 </w:t>
      </w:r>
      <w:r w:rsidRPr="00256982">
        <w:rPr>
          <w:lang w:eastAsia="en-GB"/>
        </w:rPr>
        <w:t xml:space="preserve">and </w:t>
      </w:r>
      <w:r w:rsidRPr="00256982">
        <w:t>2017</w:t>
      </w:r>
      <w:r w:rsidRPr="00256982">
        <w:rPr>
          <w:lang w:eastAsia="en-GB"/>
        </w:rPr>
        <w:t>, emissions from the Energy sector increased by</w:t>
      </w:r>
      <w:r w:rsidRPr="00256982">
        <w:t xml:space="preserve"> 1,772.8 </w:t>
      </w:r>
      <w:r w:rsidRPr="00256982">
        <w:rPr>
          <w:lang w:eastAsia="en-GB"/>
        </w:rPr>
        <w:t>kt CO</w:t>
      </w:r>
      <w:r w:rsidRPr="00256982">
        <w:rPr>
          <w:vertAlign w:val="subscript"/>
          <w:lang w:eastAsia="en-GB"/>
        </w:rPr>
        <w:t>2</w:t>
      </w:r>
      <w:r w:rsidRPr="00256982">
        <w:rPr>
          <w:lang w:eastAsia="en-GB"/>
        </w:rPr>
        <w:t>-e (</w:t>
      </w:r>
      <w:r w:rsidRPr="00256982">
        <w:t>5.7 per cent</w:t>
      </w:r>
      <w:r w:rsidRPr="00256982">
        <w:rPr>
          <w:lang w:eastAsia="en-GB"/>
        </w:rPr>
        <w:t xml:space="preserve">). This is primarily due to emissions from the category </w:t>
      </w:r>
      <w:r w:rsidRPr="00256982">
        <w:rPr>
          <w:i/>
          <w:lang w:eastAsia="en-GB"/>
        </w:rPr>
        <w:t>Road transport</w:t>
      </w:r>
      <w:r w:rsidRPr="00256982">
        <w:rPr>
          <w:rFonts w:cs="Arial"/>
          <w:lang w:eastAsia="en-GB"/>
        </w:rPr>
        <w:t>,</w:t>
      </w:r>
      <w:r w:rsidRPr="00256982">
        <w:rPr>
          <w:lang w:eastAsia="en-GB"/>
        </w:rPr>
        <w:t xml:space="preserve"> which increased by </w:t>
      </w:r>
      <w:r w:rsidRPr="00256982">
        <w:t xml:space="preserve">862.5 </w:t>
      </w:r>
      <w:r w:rsidRPr="00256982">
        <w:rPr>
          <w:lang w:eastAsia="en-GB"/>
        </w:rPr>
        <w:t>kt CO</w:t>
      </w:r>
      <w:r w:rsidRPr="00256982">
        <w:rPr>
          <w:vertAlign w:val="subscript"/>
          <w:lang w:eastAsia="en-GB"/>
        </w:rPr>
        <w:t>2</w:t>
      </w:r>
      <w:r w:rsidRPr="00256982">
        <w:rPr>
          <w:lang w:eastAsia="en-GB"/>
        </w:rPr>
        <w:t>-e (</w:t>
      </w:r>
      <w:r w:rsidRPr="00256982">
        <w:t>6.3 per cent</w:t>
      </w:r>
      <w:r w:rsidRPr="00256982">
        <w:rPr>
          <w:lang w:eastAsia="en-GB"/>
        </w:rPr>
        <w:t xml:space="preserve">). The increase was partially offset by a decrease from the category </w:t>
      </w:r>
      <w:r w:rsidRPr="00256982">
        <w:rPr>
          <w:rFonts w:cs="Arial"/>
          <w:i/>
          <w:lang w:eastAsia="en-GB"/>
        </w:rPr>
        <w:t>Chemicals</w:t>
      </w:r>
      <w:r w:rsidRPr="00256982">
        <w:rPr>
          <w:lang w:eastAsia="en-GB"/>
        </w:rPr>
        <w:t>, which decreased by 362.8 kt CO</w:t>
      </w:r>
      <w:r w:rsidRPr="00256982">
        <w:rPr>
          <w:vertAlign w:val="subscript"/>
          <w:lang w:eastAsia="en-GB"/>
        </w:rPr>
        <w:t>2</w:t>
      </w:r>
      <w:r w:rsidRPr="00256982">
        <w:rPr>
          <w:lang w:eastAsia="en-GB"/>
        </w:rPr>
        <w:t>-e (18.4 per cent).</w:t>
      </w:r>
    </w:p>
    <w:p w14:paraId="3EE5DAFE" w14:textId="77777777" w:rsidR="00DE64BC" w:rsidRPr="00256982" w:rsidRDefault="00DE64BC" w:rsidP="00A808C7">
      <w:pPr>
        <w:pStyle w:val="BodyText"/>
      </w:pPr>
      <w:r w:rsidRPr="00256982">
        <w:rPr>
          <w:lang w:eastAsia="en-GB"/>
        </w:rPr>
        <w:t>There was also a 552.9 kt CO</w:t>
      </w:r>
      <w:r w:rsidRPr="00256982">
        <w:rPr>
          <w:vertAlign w:val="subscript"/>
          <w:lang w:eastAsia="en-GB"/>
        </w:rPr>
        <w:t>2</w:t>
      </w:r>
      <w:r w:rsidRPr="00256982">
        <w:rPr>
          <w:lang w:eastAsia="en-GB"/>
        </w:rPr>
        <w:t xml:space="preserve">-e (18.2 per cent) increase in emissions from the </w:t>
      </w:r>
      <w:r w:rsidRPr="00256982">
        <w:rPr>
          <w:i/>
          <w:lang w:eastAsia="en-GB"/>
        </w:rPr>
        <w:t xml:space="preserve">Public electricity and heat production </w:t>
      </w:r>
      <w:r w:rsidRPr="00256982">
        <w:rPr>
          <w:lang w:eastAsia="en-GB"/>
        </w:rPr>
        <w:t>category. This was primarily due to an increase in natural gas-fired generation to meet higher electricity demand and to compensate for lower levels of hydro generation caused by prolonged periods of low rainfall and droughts</w:t>
      </w:r>
      <w:r w:rsidRPr="00256982">
        <w:rPr>
          <w:i/>
        </w:rPr>
        <w:t>.</w:t>
      </w:r>
    </w:p>
    <w:p w14:paraId="130F29E7" w14:textId="77777777" w:rsidR="00DE64BC" w:rsidRPr="00256982" w:rsidRDefault="00DE64BC" w:rsidP="00A72006">
      <w:pPr>
        <w:pStyle w:val="Heading4"/>
      </w:pPr>
      <w:r w:rsidRPr="00256982">
        <w:t>IPPU sector</w:t>
      </w:r>
    </w:p>
    <w:p w14:paraId="47C73E69" w14:textId="77777777" w:rsidR="00DE64BC" w:rsidRPr="00256982" w:rsidRDefault="00DE64BC" w:rsidP="00A808C7">
      <w:pPr>
        <w:pStyle w:val="BodyText"/>
        <w:spacing w:before="100" w:after="100"/>
      </w:pPr>
      <w:r w:rsidRPr="00256982">
        <w:t>The IPPU sector in New Zealand produces CO</w:t>
      </w:r>
      <w:r w:rsidRPr="00256982">
        <w:rPr>
          <w:vertAlign w:val="subscript"/>
        </w:rPr>
        <w:t>2</w:t>
      </w:r>
      <w:r w:rsidRPr="00256982">
        <w:t xml:space="preserve"> (64.7 per cent of IPPU sectoral emissions), fluorinated gases (31.8 per cent of the sector) and smaller amounts of CH</w:t>
      </w:r>
      <w:r w:rsidRPr="00256982">
        <w:rPr>
          <w:vertAlign w:val="subscript"/>
        </w:rPr>
        <w:t>4</w:t>
      </w:r>
      <w:r w:rsidRPr="00256982">
        <w:t xml:space="preserve"> and N</w:t>
      </w:r>
      <w:r w:rsidRPr="00256982">
        <w:rPr>
          <w:vertAlign w:val="subscript"/>
        </w:rPr>
        <w:t>2</w:t>
      </w:r>
      <w:r w:rsidRPr="00256982">
        <w:t xml:space="preserve">O (2.3 per cent and 1.2 per cent respectively). The major source categories in the IPPU sector are </w:t>
      </w:r>
      <w:r w:rsidRPr="00256982">
        <w:rPr>
          <w:i/>
        </w:rPr>
        <w:t>Iron and steel production</w:t>
      </w:r>
      <w:r w:rsidRPr="00256982">
        <w:t xml:space="preserve">, </w:t>
      </w:r>
      <w:r w:rsidRPr="00256982">
        <w:rPr>
          <w:i/>
        </w:rPr>
        <w:t>Refrigeration and air conditioning</w:t>
      </w:r>
      <w:r w:rsidRPr="00256982">
        <w:t xml:space="preserve"> and </w:t>
      </w:r>
      <w:r w:rsidRPr="00256982">
        <w:rPr>
          <w:i/>
        </w:rPr>
        <w:t>Cement production</w:t>
      </w:r>
      <w:r w:rsidRPr="00256982">
        <w:t>.</w:t>
      </w:r>
    </w:p>
    <w:p w14:paraId="41B22487" w14:textId="77777777" w:rsidR="00DE64BC" w:rsidRPr="00256982" w:rsidRDefault="00DE64BC" w:rsidP="00A808C7">
      <w:pPr>
        <w:pStyle w:val="BodyText"/>
        <w:spacing w:before="100" w:after="100"/>
      </w:pPr>
      <w:r w:rsidRPr="00256982">
        <w:lastRenderedPageBreak/>
        <w:t xml:space="preserve">Coal and natural gas are used on a significant scale for energy in the </w:t>
      </w:r>
      <w:r w:rsidRPr="00256982">
        <w:rPr>
          <w:i/>
        </w:rPr>
        <w:t>Mineral industry</w:t>
      </w:r>
      <w:r w:rsidRPr="00256982">
        <w:t xml:space="preserve">, </w:t>
      </w:r>
      <w:r w:rsidRPr="00256982">
        <w:rPr>
          <w:i/>
        </w:rPr>
        <w:t>Chemical industry</w:t>
      </w:r>
      <w:r w:rsidRPr="00256982">
        <w:t xml:space="preserve"> and </w:t>
      </w:r>
      <w:r w:rsidRPr="00256982">
        <w:rPr>
          <w:i/>
        </w:rPr>
        <w:t>Metal industry</w:t>
      </w:r>
      <w:r w:rsidRPr="00256982">
        <w:t xml:space="preserve"> categories. Carbon dioxide and any other emissions from combustion of fuels in these industries are reported under the Energy sector. </w:t>
      </w:r>
    </w:p>
    <w:p w14:paraId="6A301579" w14:textId="77777777" w:rsidR="00DE64BC" w:rsidRPr="00256982" w:rsidRDefault="00DE64BC" w:rsidP="00A808C7">
      <w:pPr>
        <w:pStyle w:val="Heading5"/>
      </w:pPr>
      <w:r w:rsidRPr="00256982">
        <w:t>2017</w:t>
      </w:r>
    </w:p>
    <w:p w14:paraId="51B4B945" w14:textId="77777777" w:rsidR="00DE64BC" w:rsidRPr="00256982" w:rsidRDefault="00DE64BC" w:rsidP="00A808C7">
      <w:pPr>
        <w:pStyle w:val="BodyText"/>
      </w:pPr>
      <w:r w:rsidRPr="00256982">
        <w:t>In 2017, emissions in the IPPU sector contributed 4,968.6 kt CO</w:t>
      </w:r>
      <w:r w:rsidRPr="00256982">
        <w:rPr>
          <w:vertAlign w:val="subscript"/>
        </w:rPr>
        <w:t>2</w:t>
      </w:r>
      <w:r w:rsidRPr="00256982">
        <w:t xml:space="preserve">-e or 6.1 per cent of New Zealand’s gross greenhouse gas emissions. </w:t>
      </w:r>
    </w:p>
    <w:p w14:paraId="1D345EA4" w14:textId="77777777" w:rsidR="00DE64BC" w:rsidRPr="00256982" w:rsidRDefault="00DE64BC" w:rsidP="00A808C7">
      <w:pPr>
        <w:pStyle w:val="BodyText"/>
      </w:pPr>
      <w:r w:rsidRPr="00256982">
        <w:t xml:space="preserve">The largest source category in the IPPU sector is the </w:t>
      </w:r>
      <w:r w:rsidRPr="00256982">
        <w:rPr>
          <w:i/>
        </w:rPr>
        <w:t>Metal industry</w:t>
      </w:r>
      <w:r w:rsidRPr="00256982">
        <w:t>, with substantial CO</w:t>
      </w:r>
      <w:r w:rsidRPr="00256982">
        <w:rPr>
          <w:vertAlign w:val="subscript"/>
        </w:rPr>
        <w:t>2</w:t>
      </w:r>
      <w:r w:rsidRPr="00256982">
        <w:t xml:space="preserve"> emissions from </w:t>
      </w:r>
      <w:r w:rsidRPr="00256982">
        <w:rPr>
          <w:i/>
        </w:rPr>
        <w:t>Iron and steel production</w:t>
      </w:r>
      <w:r w:rsidRPr="00256982">
        <w:t xml:space="preserve"> and </w:t>
      </w:r>
      <w:r w:rsidRPr="00256982">
        <w:rPr>
          <w:i/>
        </w:rPr>
        <w:t>Aluminium production</w:t>
      </w:r>
      <w:r w:rsidRPr="00256982">
        <w:t xml:space="preserve"> categories. The </w:t>
      </w:r>
      <w:r w:rsidRPr="00256982">
        <w:rPr>
          <w:i/>
        </w:rPr>
        <w:t xml:space="preserve">Mineral industry </w:t>
      </w:r>
      <w:r w:rsidRPr="00256982">
        <w:t xml:space="preserve">and </w:t>
      </w:r>
      <w:r w:rsidRPr="00256982">
        <w:rPr>
          <w:i/>
        </w:rPr>
        <w:t>Chemical industry</w:t>
      </w:r>
      <w:r w:rsidRPr="00256982">
        <w:t xml:space="preserve"> categories also contribute significant CO</w:t>
      </w:r>
      <w:r w:rsidRPr="00256982">
        <w:rPr>
          <w:vertAlign w:val="subscript"/>
        </w:rPr>
        <w:t>2</w:t>
      </w:r>
      <w:r w:rsidRPr="00256982">
        <w:t xml:space="preserve"> emissions, and most of the non-CO</w:t>
      </w:r>
      <w:r w:rsidRPr="00256982">
        <w:rPr>
          <w:vertAlign w:val="subscript"/>
        </w:rPr>
        <w:t>2</w:t>
      </w:r>
      <w:r w:rsidRPr="00256982">
        <w:t xml:space="preserve"> emissions come from the </w:t>
      </w:r>
      <w:r w:rsidRPr="00256982">
        <w:rPr>
          <w:i/>
        </w:rPr>
        <w:t>Product uses as substitutes for ODS</w:t>
      </w:r>
      <w:r w:rsidRPr="00256982">
        <w:t xml:space="preserve"> category.</w:t>
      </w:r>
    </w:p>
    <w:p w14:paraId="7D1F737F" w14:textId="77777777" w:rsidR="00DE64BC" w:rsidRPr="00256982" w:rsidRDefault="00DE64BC" w:rsidP="00A808C7">
      <w:pPr>
        <w:pStyle w:val="Heading5"/>
      </w:pPr>
      <w:r w:rsidRPr="00256982">
        <w:t>1990–2017</w:t>
      </w:r>
    </w:p>
    <w:p w14:paraId="3A9EB8A3" w14:textId="77777777" w:rsidR="00DE64BC" w:rsidRPr="00256982" w:rsidRDefault="00DE64BC" w:rsidP="00A808C7">
      <w:pPr>
        <w:pStyle w:val="BodyText"/>
        <w:rPr>
          <w:spacing w:val="-2"/>
        </w:rPr>
      </w:pPr>
      <w:r w:rsidRPr="00256982">
        <w:rPr>
          <w:spacing w:val="-2"/>
        </w:rPr>
        <w:t>IPPU sector emissions in 2017 were 1,388.7 kt CO</w:t>
      </w:r>
      <w:r w:rsidRPr="00256982">
        <w:rPr>
          <w:spacing w:val="-2"/>
          <w:vertAlign w:val="subscript"/>
        </w:rPr>
        <w:t>2</w:t>
      </w:r>
      <w:r w:rsidRPr="00256982">
        <w:rPr>
          <w:spacing w:val="-2"/>
        </w:rPr>
        <w:t>-e (38.8 per cent) higher than emissions in 1990 (3,579.9 kt CO</w:t>
      </w:r>
      <w:r w:rsidRPr="00256982">
        <w:rPr>
          <w:spacing w:val="-2"/>
          <w:vertAlign w:val="subscript"/>
        </w:rPr>
        <w:t>2</w:t>
      </w:r>
      <w:r w:rsidRPr="00256982">
        <w:rPr>
          <w:spacing w:val="-2"/>
        </w:rPr>
        <w:t xml:space="preserve">-e). This increase was mainly driven by increasing emissions from the </w:t>
      </w:r>
      <w:r w:rsidRPr="00256982">
        <w:rPr>
          <w:i/>
          <w:spacing w:val="-2"/>
        </w:rPr>
        <w:t>Product uses as substitutes for ODS</w:t>
      </w:r>
      <w:r w:rsidRPr="00256982">
        <w:rPr>
          <w:spacing w:val="-2"/>
        </w:rPr>
        <w:t xml:space="preserve"> category due to the introduction of HFCs to replace ozone-depleting substances in refrigeration and air conditioning, and to the increased use of household and commercial air conditioning. Carbon dioxide emissions have also increased due to growth in production of cement, metals and ammonia but at a slower rate. There has been a substantial reduction in emissions of PFCs, due to improved management of anode effects in the </w:t>
      </w:r>
      <w:r w:rsidRPr="00256982">
        <w:rPr>
          <w:i/>
          <w:spacing w:val="-2"/>
        </w:rPr>
        <w:t xml:space="preserve">Aluminium production </w:t>
      </w:r>
      <w:r w:rsidRPr="00256982">
        <w:rPr>
          <w:spacing w:val="-2"/>
        </w:rPr>
        <w:t>category, and some reduction in emissions of N</w:t>
      </w:r>
      <w:r w:rsidRPr="00256982">
        <w:rPr>
          <w:spacing w:val="-2"/>
          <w:vertAlign w:val="subscript"/>
        </w:rPr>
        <w:t>2</w:t>
      </w:r>
      <w:r w:rsidRPr="00256982">
        <w:rPr>
          <w:spacing w:val="-2"/>
        </w:rPr>
        <w:t xml:space="preserve">O used for medical applications in the </w:t>
      </w:r>
      <w:r w:rsidRPr="00256982">
        <w:rPr>
          <w:i/>
          <w:spacing w:val="-2"/>
        </w:rPr>
        <w:t>Other product manufacture and use</w:t>
      </w:r>
      <w:r w:rsidRPr="00256982">
        <w:rPr>
          <w:spacing w:val="-2"/>
        </w:rPr>
        <w:t xml:space="preserve"> category. The trends are shown in figure 2.2.8. </w:t>
      </w:r>
    </w:p>
    <w:p w14:paraId="761E1576" w14:textId="77777777" w:rsidR="00DE64BC" w:rsidRPr="00256982" w:rsidRDefault="00DE64BC" w:rsidP="00A808C7">
      <w:pPr>
        <w:pStyle w:val="Figure"/>
      </w:pPr>
      <w:bookmarkStart w:id="222" w:name="_Toc511116927"/>
      <w:bookmarkStart w:id="223" w:name="_Toc5269660"/>
      <w:r w:rsidRPr="00256982">
        <w:t>Figure 2.2.8</w:t>
      </w:r>
      <w:r w:rsidRPr="00256982">
        <w:tab/>
        <w:t>New Zealand’s IPPU sector emissions from 1990 to </w:t>
      </w:r>
      <w:bookmarkEnd w:id="222"/>
      <w:r w:rsidRPr="00256982">
        <w:t>2017</w:t>
      </w:r>
      <w:bookmarkEnd w:id="223"/>
    </w:p>
    <w:p w14:paraId="7B2A3E4F" w14:textId="1E8FF83F" w:rsidR="00DE64BC" w:rsidRPr="00256982" w:rsidRDefault="00590491" w:rsidP="004D3C29">
      <w:pPr>
        <w:spacing w:before="60" w:after="120"/>
      </w:pPr>
      <w:r>
        <w:rPr>
          <w:lang w:eastAsia="en-NZ"/>
        </w:rPr>
        <w:pict w14:anchorId="6E068504">
          <v:shape id="_x0000_i1043" type="#_x0000_t75" style="width:425.25pt;height:187.5pt;visibility:visible" o:gfxdata="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">
            <v:imagedata r:id="rId45" o:title="" cropbottom="5305f"/>
            <o:lock v:ext="edit" aspectratio="f"/>
          </v:shape>
        </w:pict>
      </w:r>
    </w:p>
    <w:p w14:paraId="1EA55303" w14:textId="77777777" w:rsidR="00DE64BC" w:rsidRPr="00256982" w:rsidRDefault="00DE64BC" w:rsidP="00A808C7">
      <w:pPr>
        <w:pStyle w:val="Heading5"/>
        <w:spacing w:before="120"/>
      </w:pPr>
      <w:r w:rsidRPr="00256982">
        <w:t>2016–2017</w:t>
      </w:r>
    </w:p>
    <w:p w14:paraId="476E6CBC" w14:textId="77777777" w:rsidR="00DE64BC" w:rsidRPr="00256982" w:rsidRDefault="00DE64BC" w:rsidP="00A808C7">
      <w:pPr>
        <w:pStyle w:val="BodyText"/>
        <w:rPr>
          <w:spacing w:val="-2"/>
        </w:rPr>
      </w:pPr>
      <w:r w:rsidRPr="00256982">
        <w:rPr>
          <w:spacing w:val="-2"/>
        </w:rPr>
        <w:t>IPPU sector emissions in 2017 were 18.6 kt CO</w:t>
      </w:r>
      <w:r w:rsidRPr="00256982">
        <w:rPr>
          <w:spacing w:val="-2"/>
          <w:vertAlign w:val="subscript"/>
        </w:rPr>
        <w:t>2</w:t>
      </w:r>
      <w:r w:rsidRPr="00256982">
        <w:rPr>
          <w:spacing w:val="-2"/>
        </w:rPr>
        <w:t xml:space="preserve">-e (0.4 per cent) lower than emissions in 2016. This change was mainly a result of a decrease in emissions from the </w:t>
      </w:r>
      <w:r w:rsidRPr="00256982">
        <w:rPr>
          <w:i/>
          <w:spacing w:val="-2"/>
        </w:rPr>
        <w:t xml:space="preserve">Mineral industry </w:t>
      </w:r>
      <w:r w:rsidRPr="00256982">
        <w:rPr>
          <w:spacing w:val="-2"/>
        </w:rPr>
        <w:t>category (57.1 kt CO</w:t>
      </w:r>
      <w:r w:rsidRPr="00256982">
        <w:rPr>
          <w:spacing w:val="-2"/>
          <w:vertAlign w:val="subscript"/>
        </w:rPr>
        <w:t>2</w:t>
      </w:r>
      <w:r w:rsidRPr="00256982">
        <w:rPr>
          <w:spacing w:val="-2"/>
        </w:rPr>
        <w:t xml:space="preserve">-e or 7.9 per cent) offset by an increase in the </w:t>
      </w:r>
      <w:r w:rsidRPr="00256982">
        <w:rPr>
          <w:i/>
          <w:spacing w:val="-2"/>
        </w:rPr>
        <w:t>Metal industry</w:t>
      </w:r>
      <w:r w:rsidRPr="00256982">
        <w:rPr>
          <w:spacing w:val="-2"/>
        </w:rPr>
        <w:t xml:space="preserve"> category (64.7 kt CO</w:t>
      </w:r>
      <w:r w:rsidRPr="00256982">
        <w:rPr>
          <w:spacing w:val="-2"/>
          <w:vertAlign w:val="subscript"/>
        </w:rPr>
        <w:t>2</w:t>
      </w:r>
      <w:r w:rsidRPr="00256982">
        <w:rPr>
          <w:spacing w:val="-2"/>
        </w:rPr>
        <w:noBreakHyphen/>
        <w:t xml:space="preserve">e or 2.8 per cent). These changes were driven by normal year-to-year variation in product outputs. </w:t>
      </w:r>
    </w:p>
    <w:p w14:paraId="724E4F8C" w14:textId="77777777" w:rsidR="00DE64BC" w:rsidRPr="00256982" w:rsidRDefault="00DE64BC" w:rsidP="00A72006">
      <w:pPr>
        <w:pStyle w:val="Heading4"/>
      </w:pPr>
      <w:r w:rsidRPr="00256982">
        <w:t>Agriculture sector</w:t>
      </w:r>
    </w:p>
    <w:p w14:paraId="414E933D" w14:textId="77777777" w:rsidR="00DE64BC" w:rsidRPr="00256982" w:rsidRDefault="00DE64BC" w:rsidP="00A808C7">
      <w:pPr>
        <w:pStyle w:val="BodyText"/>
      </w:pPr>
      <w:r w:rsidRPr="00256982">
        <w:t>The Agriculture sector in New Zealand produces CH</w:t>
      </w:r>
      <w:r w:rsidRPr="00256982">
        <w:rPr>
          <w:vertAlign w:val="subscript"/>
        </w:rPr>
        <w:t>4</w:t>
      </w:r>
      <w:r w:rsidRPr="00256982">
        <w:t xml:space="preserve"> (74.9 per cent of all Agriculture sector emissions), N</w:t>
      </w:r>
      <w:r w:rsidRPr="00256982">
        <w:rPr>
          <w:vertAlign w:val="subscript"/>
        </w:rPr>
        <w:t>2</w:t>
      </w:r>
      <w:r w:rsidRPr="00256982">
        <w:t>O (22.4 per cent of the sector) and smaller amounts of CO</w:t>
      </w:r>
      <w:r w:rsidRPr="00256982">
        <w:rPr>
          <w:vertAlign w:val="subscript"/>
        </w:rPr>
        <w:t>2</w:t>
      </w:r>
      <w:r w:rsidRPr="00256982">
        <w:t xml:space="preserve"> (2.7 per cent of the sector). Trends in Agriculture sector emissions are largely driven by the populations of the ruminant livestock categories (dairy cattle, non-dairy cattle, sheep and deer).</w:t>
      </w:r>
    </w:p>
    <w:p w14:paraId="7E735BDB" w14:textId="77777777" w:rsidR="00DE64BC" w:rsidRPr="00256982" w:rsidRDefault="00DE64BC" w:rsidP="00A808C7">
      <w:pPr>
        <w:pStyle w:val="BodyText"/>
      </w:pPr>
      <w:r w:rsidRPr="00256982">
        <w:lastRenderedPageBreak/>
        <w:t xml:space="preserve">The largest contributing categories in the Agriculture sector are </w:t>
      </w:r>
      <w:r w:rsidRPr="00256982">
        <w:rPr>
          <w:i/>
        </w:rPr>
        <w:t>Enteric fermentation from dairy cattle</w:t>
      </w:r>
      <w:r w:rsidRPr="00256982">
        <w:t xml:space="preserve"> and </w:t>
      </w:r>
      <w:r w:rsidRPr="00256982">
        <w:rPr>
          <w:i/>
        </w:rPr>
        <w:t>Agricultural soils</w:t>
      </w:r>
      <w:r w:rsidRPr="00256982">
        <w:t xml:space="preserve">. Emissions from the Agriculture sector reflect not only livestock numbers but also the type of livestock farmed in New Zealand and their productivity. </w:t>
      </w:r>
    </w:p>
    <w:p w14:paraId="2A97D274" w14:textId="77777777" w:rsidR="00DE64BC" w:rsidRPr="00256982" w:rsidRDefault="00DE64BC" w:rsidP="00A808C7">
      <w:pPr>
        <w:pStyle w:val="BodyText"/>
      </w:pPr>
      <w:r w:rsidRPr="00256982">
        <w:t>Several drivers affect the emission trends for both CH</w:t>
      </w:r>
      <w:r w:rsidRPr="00256982">
        <w:rPr>
          <w:vertAlign w:val="subscript"/>
        </w:rPr>
        <w:t>4</w:t>
      </w:r>
      <w:r w:rsidRPr="00256982">
        <w:t xml:space="preserve"> and N</w:t>
      </w:r>
      <w:r w:rsidRPr="00256982">
        <w:rPr>
          <w:vertAlign w:val="subscript"/>
        </w:rPr>
        <w:t>2</w:t>
      </w:r>
      <w:r w:rsidRPr="00256982">
        <w:t xml:space="preserve">O in the sector. These include: </w:t>
      </w:r>
    </w:p>
    <w:p w14:paraId="1D716337" w14:textId="77777777" w:rsidR="00DE64BC" w:rsidRPr="00256982" w:rsidRDefault="00DE64BC" w:rsidP="0036046B">
      <w:pPr>
        <w:pStyle w:val="Bullet"/>
        <w:numPr>
          <w:ilvl w:val="0"/>
          <w:numId w:val="8"/>
        </w:numPr>
        <w:rPr>
          <w:spacing w:val="-2"/>
        </w:rPr>
      </w:pPr>
      <w:r w:rsidRPr="00256982">
        <w:rPr>
          <w:spacing w:val="-2"/>
        </w:rPr>
        <w:t>the populations of the main types of livestock farmed in New Zealand have changed significantly over time. The number of dairy cattle has increased, while the populations of sheep and beef cattle have decreased as the relative profitability of dairy products (compared with sheep and beef products) has risen (see figures 5.1.3a and 5.1.3b in chapter 5)</w:t>
      </w:r>
    </w:p>
    <w:p w14:paraId="21F7FBDD" w14:textId="77777777" w:rsidR="00DE64BC" w:rsidRPr="00256982" w:rsidRDefault="00DE64BC" w:rsidP="0036046B">
      <w:pPr>
        <w:pStyle w:val="Bullet"/>
        <w:numPr>
          <w:ilvl w:val="0"/>
          <w:numId w:val="8"/>
        </w:numPr>
      </w:pPr>
      <w:r w:rsidRPr="00256982">
        <w:t>increased livestock productivity (milk and meat yield per head) achieved by New Zealand farmers since 1990 have resulted in increased feed intake per animal to meet higher energy demands. Increased feed intake results in increased CH</w:t>
      </w:r>
      <w:r w:rsidRPr="00256982">
        <w:rPr>
          <w:vertAlign w:val="subscript"/>
        </w:rPr>
        <w:t>4</w:t>
      </w:r>
      <w:r w:rsidRPr="00256982">
        <w:t xml:space="preserve"> and N</w:t>
      </w:r>
      <w:r w:rsidRPr="00256982">
        <w:rPr>
          <w:vertAlign w:val="subscript"/>
        </w:rPr>
        <w:t>2</w:t>
      </w:r>
      <w:r w:rsidRPr="00256982">
        <w:t>O emissions per animal</w:t>
      </w:r>
    </w:p>
    <w:p w14:paraId="418620AE" w14:textId="77777777" w:rsidR="00DE64BC" w:rsidRPr="00256982" w:rsidRDefault="00DE64BC" w:rsidP="0036046B">
      <w:pPr>
        <w:pStyle w:val="Bullet"/>
        <w:numPr>
          <w:ilvl w:val="0"/>
          <w:numId w:val="8"/>
        </w:numPr>
      </w:pPr>
      <w:r w:rsidRPr="00256982">
        <w:t xml:space="preserve">the incidence of droughts. For example, droughts in 2008, 2013, 2015 and 2016 reduced national agricultural production and emissions </w:t>
      </w:r>
    </w:p>
    <w:p w14:paraId="51A0936B" w14:textId="77777777" w:rsidR="00DE64BC" w:rsidRPr="00256982" w:rsidRDefault="00DE64BC" w:rsidP="0036046B">
      <w:pPr>
        <w:pStyle w:val="Bullet"/>
        <w:numPr>
          <w:ilvl w:val="0"/>
          <w:numId w:val="8"/>
        </w:numPr>
      </w:pPr>
      <w:r w:rsidRPr="00256982">
        <w:t>commodity price fluctuations. The dairy sector was also affected by low milk prices in 2015, which resulted in reduced dairy cattle numbers, milk production and emissions</w:t>
      </w:r>
    </w:p>
    <w:p w14:paraId="18445268" w14:textId="77777777" w:rsidR="00DE64BC" w:rsidRPr="00256982" w:rsidRDefault="00DE64BC" w:rsidP="0036046B">
      <w:pPr>
        <w:pStyle w:val="Bullet"/>
        <w:numPr>
          <w:ilvl w:val="0"/>
          <w:numId w:val="8"/>
        </w:numPr>
      </w:pPr>
      <w:r w:rsidRPr="00256982">
        <w:t>the area of land used for agriculture. The Agriculture sector uses 46.0 per cent of New Zealand’s land area, mostly for grazing. Since 1990, the area used for sheep, beef and deer grazing has decreased by 30.6 per cent while the area used for dairy grazing has increased by 68.0 per cent (Statistics New Zealand, 2018)</w:t>
      </w:r>
    </w:p>
    <w:p w14:paraId="101A0DCA" w14:textId="77777777" w:rsidR="00DE64BC" w:rsidRPr="00256982" w:rsidRDefault="00DE64BC" w:rsidP="0036046B">
      <w:pPr>
        <w:pStyle w:val="Bullet"/>
        <w:numPr>
          <w:ilvl w:val="0"/>
          <w:numId w:val="8"/>
        </w:numPr>
      </w:pPr>
      <w:r w:rsidRPr="00256982">
        <w:t xml:space="preserve">the use of nitrogen fertiliser. The amount of synthetic nitrogen fertiliser applied to agricultural land has increased by almost 650 per cent since 1990. </w:t>
      </w:r>
    </w:p>
    <w:p w14:paraId="528FC617" w14:textId="77777777" w:rsidR="00DE64BC" w:rsidRPr="00256982" w:rsidRDefault="00DE64BC" w:rsidP="00A808C7">
      <w:pPr>
        <w:pStyle w:val="Heading5"/>
      </w:pPr>
      <w:r w:rsidRPr="00256982">
        <w:t>2017</w:t>
      </w:r>
    </w:p>
    <w:p w14:paraId="70AF33AC" w14:textId="77777777" w:rsidR="00DE64BC" w:rsidRPr="00256982" w:rsidRDefault="00DE64BC" w:rsidP="00A808C7">
      <w:pPr>
        <w:pStyle w:val="BodyText"/>
      </w:pPr>
      <w:r w:rsidRPr="00256982">
        <w:t>In 2017, the Agriculture sector contributed 38,880.7 kt CO</w:t>
      </w:r>
      <w:r w:rsidRPr="00256982">
        <w:rPr>
          <w:vertAlign w:val="subscript"/>
        </w:rPr>
        <w:t>2</w:t>
      </w:r>
      <w:r w:rsidRPr="00256982">
        <w:t xml:space="preserve">-e (48.1 per cent of New Zealand’s gross emissions) (figure 2.2.9). </w:t>
      </w:r>
    </w:p>
    <w:p w14:paraId="0C5E4D17" w14:textId="77777777" w:rsidR="00DE64BC" w:rsidRPr="00256982" w:rsidRDefault="00DE64BC" w:rsidP="00A808C7">
      <w:pPr>
        <w:pStyle w:val="BodyText"/>
      </w:pPr>
      <w:r w:rsidRPr="00256982">
        <w:t>The largest source of emissions from the Agriculture sector in 2017 was CH</w:t>
      </w:r>
      <w:r w:rsidRPr="00256982">
        <w:rPr>
          <w:vertAlign w:val="subscript"/>
        </w:rPr>
        <w:t>4</w:t>
      </w:r>
      <w:r w:rsidRPr="00256982">
        <w:t xml:space="preserve"> emissions from the </w:t>
      </w:r>
      <w:r w:rsidRPr="00256982">
        <w:rPr>
          <w:i/>
        </w:rPr>
        <w:t>Enteric fermentation</w:t>
      </w:r>
      <w:r w:rsidRPr="00256982">
        <w:t xml:space="preserve"> category (71.1 per cent of the total emissions from the sector) and N</w:t>
      </w:r>
      <w:r w:rsidRPr="00256982">
        <w:rPr>
          <w:vertAlign w:val="subscript"/>
        </w:rPr>
        <w:t>2</w:t>
      </w:r>
      <w:r w:rsidRPr="00256982">
        <w:t xml:space="preserve">O emissions from the </w:t>
      </w:r>
      <w:r w:rsidRPr="00256982">
        <w:rPr>
          <w:i/>
        </w:rPr>
        <w:t>Agricultural soils</w:t>
      </w:r>
      <w:r w:rsidRPr="00256982">
        <w:t xml:space="preserve"> category (22.0 per cent of the total emissions from the sector).</w:t>
      </w:r>
    </w:p>
    <w:p w14:paraId="18C02BB9" w14:textId="77777777" w:rsidR="00DE64BC" w:rsidRPr="00256982" w:rsidRDefault="00DE64BC" w:rsidP="00A808C7">
      <w:pPr>
        <w:pStyle w:val="Figure"/>
      </w:pPr>
      <w:bookmarkStart w:id="224" w:name="_Toc481751981"/>
      <w:bookmarkStart w:id="225" w:name="_Toc511116928"/>
      <w:bookmarkStart w:id="226" w:name="_Toc5269661"/>
      <w:r w:rsidRPr="00256982">
        <w:t>Figure 2.2.9</w:t>
      </w:r>
      <w:r w:rsidRPr="00256982">
        <w:tab/>
        <w:t>New Zealand’s Agriculture sector emissions from 1990 to </w:t>
      </w:r>
      <w:bookmarkEnd w:id="224"/>
      <w:bookmarkEnd w:id="225"/>
      <w:r w:rsidRPr="00256982">
        <w:t>2017</w:t>
      </w:r>
      <w:bookmarkEnd w:id="226"/>
    </w:p>
    <w:p w14:paraId="1F5A0CCF" w14:textId="77777777" w:rsidR="00DE64BC" w:rsidRPr="00256982" w:rsidRDefault="00590491" w:rsidP="00A808C7">
      <w:r>
        <w:rPr>
          <w:lang w:eastAsia="en-NZ"/>
        </w:rPr>
        <w:pict w14:anchorId="0B29E2DE">
          <v:shape id="_x0000_i1044" type="#_x0000_t75" style="width:417.75pt;height:230.25pt;visibility:visible" o:gfxdata="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">
            <v:imagedata r:id="rId46" o:title="" croptop="3000f" cropbottom="1494f"/>
            <o:lock v:ext="edit" aspectratio="f"/>
          </v:shape>
        </w:pict>
      </w:r>
    </w:p>
    <w:p w14:paraId="5CAA284E" w14:textId="77777777" w:rsidR="00DE64BC" w:rsidRPr="00256982" w:rsidRDefault="00DE64BC" w:rsidP="004D3C29">
      <w:pPr>
        <w:pStyle w:val="Heading5"/>
      </w:pPr>
      <w:r w:rsidRPr="00256982">
        <w:lastRenderedPageBreak/>
        <w:t xml:space="preserve">1990–2017 </w:t>
      </w:r>
    </w:p>
    <w:p w14:paraId="06D920A4" w14:textId="77777777" w:rsidR="00DE64BC" w:rsidRPr="00256982" w:rsidRDefault="00DE64BC" w:rsidP="00A808C7">
      <w:pPr>
        <w:pStyle w:val="BodyText"/>
      </w:pPr>
      <w:r w:rsidRPr="00256982">
        <w:t>In 2017, New Zealand’s Agriculture sector emissions were 4,623.5 kt CO</w:t>
      </w:r>
      <w:r w:rsidRPr="00256982">
        <w:rPr>
          <w:vertAlign w:val="subscript"/>
        </w:rPr>
        <w:t>2</w:t>
      </w:r>
      <w:r w:rsidRPr="00256982">
        <w:t>-e (13.5 per cent) above the 1990 level of 34,257.2 kt CO</w:t>
      </w:r>
      <w:r w:rsidRPr="00256982">
        <w:rPr>
          <w:vertAlign w:val="subscript"/>
        </w:rPr>
        <w:t>2</w:t>
      </w:r>
      <w:r w:rsidRPr="00256982">
        <w:t>-e. This increase is primarily due to a 1,877.0 kt CO</w:t>
      </w:r>
      <w:r w:rsidRPr="00256982">
        <w:rPr>
          <w:vertAlign w:val="subscript"/>
        </w:rPr>
        <w:t>2</w:t>
      </w:r>
      <w:r w:rsidRPr="00256982">
        <w:t>-e (28.1 per cent) increase in N</w:t>
      </w:r>
      <w:r w:rsidRPr="00256982">
        <w:rPr>
          <w:vertAlign w:val="subscript"/>
        </w:rPr>
        <w:t>2</w:t>
      </w:r>
      <w:r w:rsidRPr="00256982">
        <w:t xml:space="preserve">O emissions from the </w:t>
      </w:r>
      <w:r w:rsidRPr="00256982">
        <w:rPr>
          <w:i/>
        </w:rPr>
        <w:t>Agricultural soils</w:t>
      </w:r>
      <w:r w:rsidRPr="00256982">
        <w:t xml:space="preserve"> category and a 1,225.8 kt CO</w:t>
      </w:r>
      <w:r w:rsidRPr="00256982">
        <w:rPr>
          <w:vertAlign w:val="subscript"/>
        </w:rPr>
        <w:t>2</w:t>
      </w:r>
      <w:r w:rsidRPr="00256982">
        <w:noBreakHyphen/>
        <w:t>e (4.6 per cent) increase in CH</w:t>
      </w:r>
      <w:r w:rsidRPr="00256982">
        <w:rPr>
          <w:vertAlign w:val="subscript"/>
        </w:rPr>
        <w:t>4</w:t>
      </w:r>
      <w:r w:rsidRPr="00256982">
        <w:t xml:space="preserve"> emissions from the </w:t>
      </w:r>
      <w:r w:rsidRPr="00256982">
        <w:rPr>
          <w:i/>
        </w:rPr>
        <w:t>Enteric fermentation</w:t>
      </w:r>
      <w:r w:rsidRPr="00256982">
        <w:t xml:space="preserve"> category. The main drivers for these changes were an approximately 650 per cent increase in synthetic nitrogen fertiliser applied since 1990 and an 89.6 per cent increase in the size of the national dairy herd over the same time period.</w:t>
      </w:r>
      <w:r w:rsidRPr="00256982">
        <w:rPr>
          <w:rStyle w:val="FootnoteReference"/>
        </w:rPr>
        <w:footnoteReference w:id="24"/>
      </w:r>
      <w:r w:rsidRPr="00256982">
        <w:t xml:space="preserve"> Falls of 52.5 per cent in the sheep population and 21.4 per cent in the non-dairy cattle population partially offset these increases.</w:t>
      </w:r>
    </w:p>
    <w:p w14:paraId="52C5E10F" w14:textId="77777777" w:rsidR="00DE64BC" w:rsidRPr="00256982" w:rsidRDefault="00DE64BC" w:rsidP="00A808C7">
      <w:pPr>
        <w:pStyle w:val="Heading5"/>
        <w:spacing w:before="200"/>
      </w:pPr>
      <w:r w:rsidRPr="00256982">
        <w:t xml:space="preserve">2016–2017 </w:t>
      </w:r>
    </w:p>
    <w:p w14:paraId="0C57E01B" w14:textId="77777777" w:rsidR="00DE64BC" w:rsidRPr="00256982" w:rsidRDefault="00DE64BC" w:rsidP="00A808C7">
      <w:pPr>
        <w:pStyle w:val="BodyText"/>
        <w:spacing w:before="100" w:after="100"/>
      </w:pPr>
      <w:r w:rsidRPr="00256982">
        <w:t>Total agricultural emissions in 2017 were 45.1 kt CO</w:t>
      </w:r>
      <w:r w:rsidRPr="00256982">
        <w:rPr>
          <w:vertAlign w:val="subscript"/>
        </w:rPr>
        <w:t>2</w:t>
      </w:r>
      <w:r w:rsidRPr="00256982">
        <w:t xml:space="preserve">-e (0.1 per cent) less than in 2016. This decrease was due to a small fall in the sheep and dairy cattle populations, despite an increase in the population of beef cattle (see figure 5.1.3b in chapter 5). </w:t>
      </w:r>
    </w:p>
    <w:p w14:paraId="223D359D" w14:textId="77777777" w:rsidR="00DE64BC" w:rsidRPr="00256982" w:rsidRDefault="00DE64BC" w:rsidP="00A808C7">
      <w:pPr>
        <w:pStyle w:val="BodyText"/>
        <w:spacing w:before="100" w:after="100"/>
      </w:pPr>
      <w:r w:rsidRPr="00256982">
        <w:t>Emissions from sheep fell by 89.9 kt CO</w:t>
      </w:r>
      <w:r w:rsidRPr="00256982">
        <w:rPr>
          <w:vertAlign w:val="subscript"/>
        </w:rPr>
        <w:t>2</w:t>
      </w:r>
      <w:r w:rsidRPr="00256982">
        <w:t>-e (0.9 per cent) between 2016 and 2017. This was primarily caused by a small decrease in the number of sheep (0.4 per cent). Emissions from non</w:t>
      </w:r>
      <w:r w:rsidRPr="00256982">
        <w:noBreakHyphen/>
        <w:t>dairy cattle were 88.6 kt CO</w:t>
      </w:r>
      <w:r w:rsidRPr="00256982">
        <w:rPr>
          <w:vertAlign w:val="subscript"/>
        </w:rPr>
        <w:t>2</w:t>
      </w:r>
      <w:r w:rsidRPr="00256982">
        <w:t>-e (1.4 per cent) higher in 2017, due to an increase in the number of animals in the non-dairy cattle population (2.1 per cent) and increased production per animal. The carcass weights of beef animals also increased by around 2.0 per cent between 2016 and 2017.</w:t>
      </w:r>
    </w:p>
    <w:p w14:paraId="213E9EA8" w14:textId="77777777" w:rsidR="00DE64BC" w:rsidRPr="00256982" w:rsidRDefault="00DE64BC" w:rsidP="00A808C7">
      <w:pPr>
        <w:pStyle w:val="BodyText"/>
        <w:spacing w:before="100" w:after="100"/>
      </w:pPr>
      <w:r w:rsidRPr="00256982">
        <w:t>There was a 32.5 kt CO</w:t>
      </w:r>
      <w:r w:rsidRPr="00256982">
        <w:rPr>
          <w:vertAlign w:val="subscript"/>
        </w:rPr>
        <w:t>2</w:t>
      </w:r>
      <w:r w:rsidRPr="00256982">
        <w:t xml:space="preserve">-e (0.2 per cent) decrease in emissions from dairy cattle between 2016 and 2017. This was due to a decrease in the national dairy herd (1.5 per cent). The dairy industry only experienced marginal productivity gains, total milk production increased by 0.1 per cent in 2017. </w:t>
      </w:r>
    </w:p>
    <w:p w14:paraId="7A59459B" w14:textId="77777777" w:rsidR="00DE64BC" w:rsidRPr="00256982" w:rsidRDefault="00DE64BC" w:rsidP="00A808C7">
      <w:pPr>
        <w:pStyle w:val="BodyText"/>
      </w:pPr>
      <w:r w:rsidRPr="00256982">
        <w:t>There was also a significant decrease (10.7 per cent) in emissions from liming representing 54.8 kt CO</w:t>
      </w:r>
      <w:r w:rsidRPr="00256982">
        <w:rPr>
          <w:vertAlign w:val="subscript"/>
        </w:rPr>
        <w:t>2</w:t>
      </w:r>
      <w:r w:rsidRPr="00256982">
        <w:t>. This was offset by an increase in N</w:t>
      </w:r>
      <w:r w:rsidRPr="00256982">
        <w:rPr>
          <w:vertAlign w:val="subscript"/>
        </w:rPr>
        <w:t>2</w:t>
      </w:r>
      <w:r w:rsidRPr="00256982">
        <w:t>O emissions from synthetic nitrogen fertiliser of 33.4 kt CO</w:t>
      </w:r>
      <w:r w:rsidRPr="00256982">
        <w:rPr>
          <w:vertAlign w:val="subscript"/>
        </w:rPr>
        <w:t>2</w:t>
      </w:r>
      <w:r w:rsidRPr="00256982">
        <w:t>-e (2.5 per cent), and CO</w:t>
      </w:r>
      <w:r w:rsidRPr="00256982">
        <w:rPr>
          <w:vertAlign w:val="subscript"/>
        </w:rPr>
        <w:t>2</w:t>
      </w:r>
      <w:r w:rsidRPr="00256982">
        <w:t xml:space="preserve"> from urea 13.9 kt CO</w:t>
      </w:r>
      <w:r w:rsidRPr="00256982">
        <w:rPr>
          <w:vertAlign w:val="subscript"/>
        </w:rPr>
        <w:t>2</w:t>
      </w:r>
      <w:r w:rsidRPr="00256982">
        <w:t xml:space="preserve"> (2.4 per cent).</w:t>
      </w:r>
    </w:p>
    <w:p w14:paraId="4DD03C73" w14:textId="77777777" w:rsidR="00DE64BC" w:rsidRPr="00256982" w:rsidRDefault="00DE64BC" w:rsidP="00A72006">
      <w:pPr>
        <w:pStyle w:val="Heading4"/>
      </w:pPr>
      <w:r w:rsidRPr="00256982">
        <w:t>LULUCF sector</w:t>
      </w:r>
    </w:p>
    <w:p w14:paraId="48ABEC68" w14:textId="77777777" w:rsidR="00DE64BC" w:rsidRPr="00256982" w:rsidRDefault="00DE64BC" w:rsidP="00A808C7">
      <w:pPr>
        <w:pStyle w:val="BodyText"/>
      </w:pPr>
      <w:bookmarkStart w:id="227" w:name="_Toc447275665"/>
      <w:r w:rsidRPr="00256982">
        <w:t>The following information on LULUCF summarises reporting under the Convention. LULUCF activities under the Kyoto Protocol are covered in section 2.3.</w:t>
      </w:r>
    </w:p>
    <w:p w14:paraId="06992974" w14:textId="77777777" w:rsidR="00DE64BC" w:rsidRPr="00256982" w:rsidRDefault="00DE64BC" w:rsidP="00A808C7">
      <w:pPr>
        <w:pStyle w:val="Heading5"/>
      </w:pPr>
      <w:r w:rsidRPr="00256982">
        <w:t>2017</w:t>
      </w:r>
    </w:p>
    <w:p w14:paraId="3CD7E82F" w14:textId="77777777" w:rsidR="00DE64BC" w:rsidRPr="00256982" w:rsidRDefault="00DE64BC" w:rsidP="00A808C7">
      <w:pPr>
        <w:pStyle w:val="BodyText"/>
      </w:pPr>
      <w:r w:rsidRPr="00256982">
        <w:t xml:space="preserve">In 2017, the LULUCF sector under the Convention was a sink with a net emissions value of </w:t>
      </w:r>
      <w:r w:rsidRPr="00256982">
        <w:br/>
        <w:t>–23,958.4 kt CO</w:t>
      </w:r>
      <w:r w:rsidRPr="00256982">
        <w:rPr>
          <w:vertAlign w:val="subscript"/>
        </w:rPr>
        <w:t>2</w:t>
      </w:r>
      <w:r w:rsidRPr="00256982">
        <w:t>-e. This offsets 29.6 per cent of New Zealand’s gross emissions. The category contributing the most to both removals and emissions is Forest land remaining forest land. This is because large removals of CO</w:t>
      </w:r>
      <w:r w:rsidRPr="00256982">
        <w:rPr>
          <w:vertAlign w:val="subscript"/>
        </w:rPr>
        <w:t xml:space="preserve">2 </w:t>
      </w:r>
      <w:r w:rsidRPr="00256982">
        <w:t>result from tree growth in this category and there are large emissions from the sustainable harvest of New Zealand’s plantation forests.</w:t>
      </w:r>
    </w:p>
    <w:p w14:paraId="41F330E2" w14:textId="77777777" w:rsidR="00DE64BC" w:rsidRPr="00256982" w:rsidRDefault="00DE64BC" w:rsidP="00A808C7">
      <w:pPr>
        <w:pStyle w:val="Heading5"/>
      </w:pPr>
      <w:r w:rsidRPr="00256982">
        <w:t xml:space="preserve">1990–2017 </w:t>
      </w:r>
    </w:p>
    <w:p w14:paraId="29A737D4" w14:textId="77777777" w:rsidR="00DE64BC" w:rsidRPr="00256982" w:rsidRDefault="00DE64BC" w:rsidP="00A808C7">
      <w:pPr>
        <w:pStyle w:val="BodyText"/>
      </w:pPr>
      <w:r w:rsidRPr="00256982">
        <w:t xml:space="preserve">For the entire period 1990–2017, the LULUCF sector represented a net sink, that is, the total removals from the sector surpassed its total emissions. As a result, the total net emissions from the sector were negative for each reported year. </w:t>
      </w:r>
    </w:p>
    <w:p w14:paraId="0F157ECF" w14:textId="77777777" w:rsidR="00DE64BC" w:rsidRPr="00256982" w:rsidRDefault="00DE64BC" w:rsidP="00A808C7">
      <w:pPr>
        <w:pStyle w:val="BodyText"/>
      </w:pPr>
      <w:r w:rsidRPr="00256982">
        <w:t xml:space="preserve">From 1990 to 2017, net emissions from LULUCF increased by </w:t>
      </w:r>
      <w:r w:rsidRPr="00256982">
        <w:rPr>
          <w:spacing w:val="-2"/>
        </w:rPr>
        <w:t>7,203.3</w:t>
      </w:r>
      <w:r w:rsidRPr="00256982">
        <w:t xml:space="preserve"> kt CO</w:t>
      </w:r>
      <w:r w:rsidRPr="00256982">
        <w:rPr>
          <w:vertAlign w:val="subscript"/>
        </w:rPr>
        <w:t>2</w:t>
      </w:r>
      <w:r w:rsidRPr="00256982">
        <w:t>-e (23.1 per cent) from the 1990 level of –</w:t>
      </w:r>
      <w:r w:rsidRPr="00256982">
        <w:rPr>
          <w:spacing w:val="-2"/>
          <w:lang w:eastAsia="en-NZ"/>
        </w:rPr>
        <w:t>31,161.8</w:t>
      </w:r>
      <w:r w:rsidRPr="00256982">
        <w:t xml:space="preserve"> kt CO</w:t>
      </w:r>
      <w:r w:rsidRPr="00256982">
        <w:rPr>
          <w:vertAlign w:val="subscript"/>
        </w:rPr>
        <w:t>2</w:t>
      </w:r>
      <w:r w:rsidRPr="00256982">
        <w:t xml:space="preserve">-e (see figure 2.2.10). The increase in net emissions in the </w:t>
      </w:r>
      <w:r w:rsidRPr="00256982">
        <w:rPr>
          <w:i/>
        </w:rPr>
        <w:t xml:space="preserve">Forest land </w:t>
      </w:r>
      <w:r w:rsidRPr="00256982">
        <w:t xml:space="preserve">category is due to higher levels of harvesting occurring in 2017, because a larger </w:t>
      </w:r>
      <w:r w:rsidRPr="00256982">
        <w:lastRenderedPageBreak/>
        <w:t xml:space="preserve">proportion of the production forest estate is at harvest age. The increase in net emissions in the </w:t>
      </w:r>
      <w:r w:rsidRPr="00256982">
        <w:rPr>
          <w:i/>
        </w:rPr>
        <w:t>Grassland</w:t>
      </w:r>
      <w:r w:rsidRPr="00256982">
        <w:t xml:space="preserve"> category is due to higher levels of deforestation occurring in 2017 than in 1990.</w:t>
      </w:r>
    </w:p>
    <w:p w14:paraId="46AE86EB" w14:textId="77777777" w:rsidR="00DE64BC" w:rsidRPr="00256982" w:rsidRDefault="00DE64BC" w:rsidP="00A808C7">
      <w:pPr>
        <w:pStyle w:val="BodyText"/>
      </w:pPr>
      <w:r w:rsidRPr="00256982">
        <w:t>The fluctuations in net removals from LULUCF (see figure 2.2.6) are influenced by harvesting and deforestation rates. Harvesting rates are driven by a number of factors, particularly tree age and log prices. Deforestation rates are driven largely by the relative profitability of forestry compared with alternative land uses. The increase in net emissions between 2004 and 2007 was largely due to the increase in planted forest deforestation that occurred leading up to 2008, immediately prior to the introduction of the New Zealand Emissions Trading Scheme.</w:t>
      </w:r>
      <w:r w:rsidRPr="00256982">
        <w:rPr>
          <w:vertAlign w:val="superscript"/>
        </w:rPr>
        <w:footnoteReference w:id="25"/>
      </w:r>
      <w:r w:rsidRPr="00256982">
        <w:t xml:space="preserve"> Emissions were subsequently markedly lower in 2008. The level of harvesting initially remained fairly flat but has been on an increasing trend since 2010.</w:t>
      </w:r>
    </w:p>
    <w:p w14:paraId="307AB64C" w14:textId="77777777" w:rsidR="00DE64BC" w:rsidRPr="00256982" w:rsidRDefault="00DE64BC" w:rsidP="00A808C7">
      <w:pPr>
        <w:pStyle w:val="Figure"/>
        <w:spacing w:after="0"/>
      </w:pPr>
      <w:bookmarkStart w:id="228" w:name="_Toc481751982"/>
      <w:bookmarkStart w:id="229" w:name="_Toc511116929"/>
      <w:bookmarkStart w:id="230" w:name="_Toc5269662"/>
      <w:r w:rsidRPr="00256982">
        <w:t>Figure 2.2.10</w:t>
      </w:r>
      <w:r w:rsidRPr="00256982">
        <w:tab/>
        <w:t>New Zealand’s LULUCF sector net emissions from 1990 to</w:t>
      </w:r>
      <w:bookmarkEnd w:id="228"/>
      <w:r w:rsidRPr="00256982">
        <w:t> </w:t>
      </w:r>
      <w:bookmarkEnd w:id="229"/>
      <w:r w:rsidRPr="00256982">
        <w:t>2017</w:t>
      </w:r>
      <w:bookmarkEnd w:id="230"/>
    </w:p>
    <w:p w14:paraId="6EB03BAD" w14:textId="77777777" w:rsidR="00DE64BC" w:rsidRPr="00256982" w:rsidRDefault="00590491" w:rsidP="00A808C7">
      <w:pPr>
        <w:spacing w:before="120" w:after="120"/>
      </w:pPr>
      <w:r>
        <w:rPr>
          <w:lang w:eastAsia="en-NZ"/>
        </w:rPr>
        <w:pict w14:anchorId="60F10E3A">
          <v:shape id="_x0000_i1045" type="#_x0000_t75" style="width:425.25pt;height:201.75pt;visibility:visible" o:gfxdata="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">
            <v:imagedata r:id="rId47" o:title="" croptop="3020f" cropbottom="10290f"/>
            <o:lock v:ext="edit" aspectratio="f"/>
          </v:shape>
        </w:pict>
      </w:r>
    </w:p>
    <w:p w14:paraId="79EE5348" w14:textId="77777777" w:rsidR="00DE64BC" w:rsidRPr="00256982" w:rsidRDefault="00DE64BC" w:rsidP="008169FF">
      <w:pPr>
        <w:pStyle w:val="Heading5"/>
      </w:pPr>
      <w:r w:rsidRPr="00256982">
        <w:t>2016–2017</w:t>
      </w:r>
    </w:p>
    <w:p w14:paraId="46FDDFAD" w14:textId="77777777" w:rsidR="00DE64BC" w:rsidRPr="00256982" w:rsidRDefault="00DE64BC" w:rsidP="00A808C7">
      <w:pPr>
        <w:pStyle w:val="BodyText"/>
      </w:pPr>
      <w:r w:rsidRPr="00256982">
        <w:t xml:space="preserve">Between 2016 and 2017, net emissions from the LULUCF sector increased by </w:t>
      </w:r>
      <w:r w:rsidRPr="00256982">
        <w:rPr>
          <w:spacing w:val="-2"/>
        </w:rPr>
        <w:t>873.1 kt CO</w:t>
      </w:r>
      <w:r w:rsidRPr="00256982">
        <w:rPr>
          <w:spacing w:val="-2"/>
          <w:vertAlign w:val="subscript"/>
        </w:rPr>
        <w:t>2</w:t>
      </w:r>
      <w:r w:rsidRPr="00256982">
        <w:rPr>
          <w:spacing w:val="-2"/>
        </w:rPr>
        <w:t>-e (</w:t>
      </w:r>
      <w:r w:rsidRPr="00256982">
        <w:t xml:space="preserve">3.5 per cent). The largest change occurred within the </w:t>
      </w:r>
      <w:r w:rsidRPr="00256982">
        <w:rPr>
          <w:i/>
        </w:rPr>
        <w:t>Forest land</w:t>
      </w:r>
      <w:r w:rsidRPr="00256982">
        <w:t xml:space="preserve"> category because the harvest rate increased and the deforestation rate decreased between 2016 and 2017. This results in higher emissions from harvesting being reported in the </w:t>
      </w:r>
      <w:r w:rsidRPr="00256982">
        <w:rPr>
          <w:i/>
        </w:rPr>
        <w:t xml:space="preserve">Forest land </w:t>
      </w:r>
      <w:r w:rsidRPr="00256982">
        <w:t xml:space="preserve">category. Emissions from the </w:t>
      </w:r>
      <w:r w:rsidRPr="00256982">
        <w:rPr>
          <w:i/>
        </w:rPr>
        <w:t>Grassland</w:t>
      </w:r>
      <w:r w:rsidRPr="00256982">
        <w:t xml:space="preserve"> category decreased due to the reduction in deforestation.</w:t>
      </w:r>
    </w:p>
    <w:bookmarkEnd w:id="227"/>
    <w:p w14:paraId="147AC6B1" w14:textId="77777777" w:rsidR="00DE64BC" w:rsidRPr="00256982" w:rsidRDefault="00DE64BC" w:rsidP="00A72006">
      <w:pPr>
        <w:pStyle w:val="Heading4"/>
      </w:pPr>
      <w:r w:rsidRPr="00256982">
        <w:t>Waste sector</w:t>
      </w:r>
    </w:p>
    <w:p w14:paraId="45253BC8" w14:textId="77777777" w:rsidR="00DE64BC" w:rsidRPr="00256982" w:rsidRDefault="00DE64BC" w:rsidP="00A808C7">
      <w:pPr>
        <w:pStyle w:val="BodyText"/>
        <w:rPr>
          <w:rFonts w:eastAsia="+mn-ea"/>
          <w:b/>
        </w:rPr>
      </w:pPr>
      <w:r w:rsidRPr="00256982">
        <w:rPr>
          <w:rFonts w:eastAsia="+mn-ea"/>
        </w:rPr>
        <w:t>The Waste sector in New Zealand produces mainly CH</w:t>
      </w:r>
      <w:r w:rsidRPr="00256982">
        <w:rPr>
          <w:rFonts w:eastAsia="+mn-ea"/>
          <w:vertAlign w:val="subscript"/>
        </w:rPr>
        <w:t>4</w:t>
      </w:r>
      <w:r w:rsidRPr="00256982">
        <w:rPr>
          <w:rFonts w:eastAsia="+mn-ea"/>
        </w:rPr>
        <w:t xml:space="preserve"> emissions (96.8 per cent) followed by N</w:t>
      </w:r>
      <w:r w:rsidRPr="00256982">
        <w:rPr>
          <w:rFonts w:eastAsia="+mn-ea"/>
          <w:vertAlign w:val="subscript"/>
        </w:rPr>
        <w:t>2</w:t>
      </w:r>
      <w:r w:rsidRPr="00256982">
        <w:rPr>
          <w:rFonts w:eastAsia="+mn-ea"/>
        </w:rPr>
        <w:t>O emissions (3.1 per cent) and CO</w:t>
      </w:r>
      <w:r w:rsidRPr="00256982">
        <w:rPr>
          <w:rFonts w:eastAsia="+mn-ea"/>
          <w:vertAlign w:val="subscript"/>
        </w:rPr>
        <w:t>2</w:t>
      </w:r>
      <w:r w:rsidRPr="00256982">
        <w:rPr>
          <w:rFonts w:eastAsia="+mn-ea"/>
        </w:rPr>
        <w:t xml:space="preserve"> emissions (0.09 per cent). There are also emissions of CO</w:t>
      </w:r>
      <w:r w:rsidRPr="00256982">
        <w:rPr>
          <w:rFonts w:eastAsia="+mn-ea"/>
          <w:vertAlign w:val="subscript"/>
        </w:rPr>
        <w:t>2</w:t>
      </w:r>
      <w:r w:rsidRPr="00256982">
        <w:rPr>
          <w:rFonts w:eastAsia="+mn-ea"/>
        </w:rPr>
        <w:t xml:space="preserve"> from the disposal of solid waste. These emissions are biogenic in origin and, therefore, are not reported in line with the 2006 </w:t>
      </w:r>
      <w:r w:rsidRPr="00256982">
        <w:t>Intergovernmental Panel on Climate Change</w:t>
      </w:r>
      <w:r w:rsidRPr="00256982">
        <w:rPr>
          <w:rFonts w:eastAsia="+mn-ea"/>
        </w:rPr>
        <w:t xml:space="preserve"> Guidelines (IPCC, 2006).</w:t>
      </w:r>
    </w:p>
    <w:p w14:paraId="40734C6F" w14:textId="77777777" w:rsidR="00DE64BC" w:rsidRPr="00256982" w:rsidRDefault="00DE64BC" w:rsidP="00A808C7">
      <w:pPr>
        <w:pStyle w:val="Heading5"/>
      </w:pPr>
      <w:r w:rsidRPr="00256982">
        <w:t>2017</w:t>
      </w:r>
    </w:p>
    <w:p w14:paraId="224823EE" w14:textId="77777777" w:rsidR="00DE64BC" w:rsidRPr="00256982" w:rsidRDefault="00DE64BC" w:rsidP="00A808C7">
      <w:pPr>
        <w:pStyle w:val="BodyText"/>
        <w:rPr>
          <w:spacing w:val="-2"/>
        </w:rPr>
      </w:pPr>
      <w:r w:rsidRPr="00256982">
        <w:rPr>
          <w:spacing w:val="-2"/>
        </w:rPr>
        <w:t xml:space="preserve">In 2017, emissions from the Waste sector contributed </w:t>
      </w:r>
      <w:r w:rsidRPr="00256982">
        <w:t>4,124.7</w:t>
      </w:r>
      <w:r w:rsidRPr="00256982">
        <w:rPr>
          <w:spacing w:val="-2"/>
        </w:rPr>
        <w:t xml:space="preserve"> kt CO</w:t>
      </w:r>
      <w:r w:rsidRPr="00256982">
        <w:rPr>
          <w:spacing w:val="-2"/>
          <w:vertAlign w:val="subscript"/>
        </w:rPr>
        <w:t>2</w:t>
      </w:r>
      <w:r w:rsidRPr="00256982">
        <w:rPr>
          <w:spacing w:val="-2"/>
        </w:rPr>
        <w:t xml:space="preserve">-e or 5.1 per cent of New Zealand’s gross GHG emissions. The largest source category is the </w:t>
      </w:r>
      <w:r w:rsidRPr="00256982">
        <w:rPr>
          <w:i/>
          <w:spacing w:val="-2"/>
        </w:rPr>
        <w:t>Solid waste disposal</w:t>
      </w:r>
      <w:r w:rsidRPr="00256982">
        <w:rPr>
          <w:spacing w:val="-2"/>
        </w:rPr>
        <w:t xml:space="preserve"> category.</w:t>
      </w:r>
    </w:p>
    <w:p w14:paraId="449720A0" w14:textId="77777777" w:rsidR="00DE64BC" w:rsidRPr="00256982" w:rsidRDefault="00DE64BC" w:rsidP="00A808C7">
      <w:pPr>
        <w:pStyle w:val="Heading5"/>
      </w:pPr>
      <w:r w:rsidRPr="00256982">
        <w:lastRenderedPageBreak/>
        <w:t>1990–2017</w:t>
      </w:r>
    </w:p>
    <w:p w14:paraId="74CB78AE" w14:textId="77777777" w:rsidR="00DE64BC" w:rsidRPr="00256982" w:rsidRDefault="00DE64BC" w:rsidP="00A808C7">
      <w:pPr>
        <w:pStyle w:val="BodyText"/>
        <w:rPr>
          <w:rFonts w:eastAsia="+mn-ea"/>
        </w:rPr>
      </w:pPr>
      <w:r w:rsidRPr="00256982">
        <w:rPr>
          <w:rFonts w:eastAsia="+mn-ea"/>
        </w:rPr>
        <w:t>Total Waste sector emissions in 2017 were 82.9 kt CO</w:t>
      </w:r>
      <w:r w:rsidRPr="00256982">
        <w:rPr>
          <w:rFonts w:eastAsia="+mn-ea"/>
          <w:vertAlign w:val="subscript"/>
        </w:rPr>
        <w:t>2</w:t>
      </w:r>
      <w:r w:rsidRPr="00256982">
        <w:rPr>
          <w:rFonts w:eastAsia="+mn-ea"/>
        </w:rPr>
        <w:t>-e (2.1 per cent) above 1990 emissions of 4,041.9 kt CO</w:t>
      </w:r>
      <w:r w:rsidRPr="00256982">
        <w:rPr>
          <w:rFonts w:eastAsia="+mn-ea"/>
          <w:vertAlign w:val="subscript"/>
        </w:rPr>
        <w:t>2</w:t>
      </w:r>
      <w:r w:rsidRPr="00256982">
        <w:rPr>
          <w:rFonts w:eastAsia="+mn-ea"/>
        </w:rPr>
        <w:t>-e. Annual emissions increased between 1990 and 2002, peaking at 4,844.5 kt CO</w:t>
      </w:r>
      <w:r w:rsidRPr="00256982">
        <w:rPr>
          <w:rFonts w:eastAsia="+mn-ea"/>
          <w:vertAlign w:val="subscript"/>
        </w:rPr>
        <w:t>2</w:t>
      </w:r>
      <w:r w:rsidRPr="00256982">
        <w:rPr>
          <w:rFonts w:eastAsia="+mn-ea"/>
        </w:rPr>
        <w:noBreakHyphen/>
        <w:t>e in 2002, and have generally decreased since that time. The increase between 1990 and 2002 was the result of ongoing growth in population and economic activity. This resulted in increasing volumes of solid waste and wastewater for the whole of the time series. Waste sector emissions have been trending down since 2005, in spite of these increasing volumes.</w:t>
      </w:r>
      <w:r w:rsidRPr="00256982" w:rsidDel="001D789A">
        <w:rPr>
          <w:rFonts w:eastAsia="+mn-ea"/>
        </w:rPr>
        <w:t xml:space="preserve"> </w:t>
      </w:r>
      <w:r w:rsidRPr="00256982">
        <w:rPr>
          <w:rFonts w:eastAsia="+mn-ea"/>
        </w:rPr>
        <w:t xml:space="preserve">This is due to improvements in the management of solid waste disposal at municipal landfills, particularly increased </w:t>
      </w:r>
      <w:r w:rsidRPr="00256982">
        <w:t>CH</w:t>
      </w:r>
      <w:r w:rsidRPr="00256982">
        <w:rPr>
          <w:vertAlign w:val="subscript"/>
        </w:rPr>
        <w:t>4</w:t>
      </w:r>
      <w:r w:rsidRPr="00256982">
        <w:rPr>
          <w:rFonts w:eastAsia="+mn-ea"/>
        </w:rPr>
        <w:t xml:space="preserve"> recovery. </w:t>
      </w:r>
      <w:r w:rsidRPr="00256982">
        <w:t>The trends are shown in figure 2.2.11 and figures 7.1.1 and 7.1.2 in chapter 7.</w:t>
      </w:r>
    </w:p>
    <w:p w14:paraId="3CE1B441" w14:textId="77777777" w:rsidR="00DE64BC" w:rsidRPr="00256982" w:rsidRDefault="00DE64BC" w:rsidP="00A808C7">
      <w:pPr>
        <w:pStyle w:val="Figure"/>
      </w:pPr>
      <w:bookmarkStart w:id="231" w:name="_Toc511116930"/>
      <w:bookmarkStart w:id="232" w:name="_Toc5269663"/>
      <w:r w:rsidRPr="00256982">
        <w:t>Figure 2.2.11</w:t>
      </w:r>
      <w:r w:rsidRPr="00256982">
        <w:tab/>
        <w:t>New Zealand’s Waste sector emissions from 1990 to </w:t>
      </w:r>
      <w:bookmarkEnd w:id="231"/>
      <w:r w:rsidRPr="00256982">
        <w:t>2017</w:t>
      </w:r>
      <w:bookmarkEnd w:id="232"/>
    </w:p>
    <w:p w14:paraId="39CD03FF" w14:textId="4269C40A" w:rsidR="00DE64BC" w:rsidRPr="00256982" w:rsidRDefault="00590491" w:rsidP="00A808C7">
      <w:pPr>
        <w:spacing w:before="60" w:after="60"/>
      </w:pPr>
      <w:r>
        <w:rPr>
          <w:lang w:eastAsia="en-NZ"/>
        </w:rPr>
        <w:pict w14:anchorId="1ABBAE06">
          <v:shape id="_x0000_i1046" type="#_x0000_t75" style="width:417.75pt;height:201.75pt;visibility:visible" o:gfxdata="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">
            <v:imagedata r:id="rId48" o:title="" cropbottom="5400f"/>
            <o:lock v:ext="edit" aspectratio="f"/>
          </v:shape>
        </w:pict>
      </w:r>
    </w:p>
    <w:p w14:paraId="091F1413" w14:textId="77777777" w:rsidR="00DE64BC" w:rsidRPr="00256982" w:rsidRDefault="00DE64BC" w:rsidP="00A808C7">
      <w:pPr>
        <w:pStyle w:val="Heading5"/>
      </w:pPr>
      <w:r w:rsidRPr="00256982">
        <w:t>2016–2017</w:t>
      </w:r>
    </w:p>
    <w:p w14:paraId="0851C67E" w14:textId="77777777" w:rsidR="00DE64BC" w:rsidRPr="00256982" w:rsidRDefault="00DE64BC" w:rsidP="00A808C7">
      <w:pPr>
        <w:pStyle w:val="BodyText"/>
      </w:pPr>
      <w:r w:rsidRPr="00256982">
        <w:t>Total Waste sector emissions in 2017 were 8.3 kt CO</w:t>
      </w:r>
      <w:r w:rsidRPr="00256982">
        <w:rPr>
          <w:vertAlign w:val="subscript"/>
        </w:rPr>
        <w:t>2</w:t>
      </w:r>
      <w:r w:rsidRPr="00256982">
        <w:t>-e (0.2 per cent) higher than emissions in 2016. This increase is largely the result of increases in CH</w:t>
      </w:r>
      <w:r w:rsidRPr="00256982">
        <w:rPr>
          <w:vertAlign w:val="subscript"/>
        </w:rPr>
        <w:t>4</w:t>
      </w:r>
      <w:r w:rsidRPr="00256982">
        <w:t xml:space="preserve"> emissions in the </w:t>
      </w:r>
      <w:r w:rsidRPr="00256982">
        <w:rPr>
          <w:i/>
        </w:rPr>
        <w:t>Solid waste disposal</w:t>
      </w:r>
      <w:r w:rsidRPr="00256982">
        <w:t xml:space="preserve"> category, mostly due to a net reduction in CH</w:t>
      </w:r>
      <w:r w:rsidRPr="00256982">
        <w:rPr>
          <w:vertAlign w:val="subscript"/>
        </w:rPr>
        <w:t>4</w:t>
      </w:r>
      <w:r w:rsidRPr="00256982">
        <w:t xml:space="preserve"> recovery rates.</w:t>
      </w:r>
    </w:p>
    <w:p w14:paraId="44387BFB" w14:textId="77777777" w:rsidR="00DE64BC" w:rsidRPr="00256982" w:rsidRDefault="00DE64BC" w:rsidP="001D3490">
      <w:pPr>
        <w:pStyle w:val="Heading2"/>
      </w:pPr>
      <w:bookmarkStart w:id="233" w:name="_Toc448321503"/>
      <w:bookmarkStart w:id="234" w:name="_Toc511116580"/>
      <w:bookmarkStart w:id="235" w:name="_Toc5269342"/>
      <w:r w:rsidRPr="00256982">
        <w:t xml:space="preserve">2.3 </w:t>
      </w:r>
      <w:r w:rsidRPr="00256982">
        <w:tab/>
        <w:t>Activities under Article 3.3 and Article 3.4</w:t>
      </w:r>
      <w:r w:rsidRPr="00256982">
        <w:br/>
        <w:t>of the Kyoto Protocol</w:t>
      </w:r>
      <w:bookmarkEnd w:id="233"/>
      <w:bookmarkEnd w:id="234"/>
      <w:bookmarkEnd w:id="235"/>
      <w:r w:rsidRPr="00256982">
        <w:t xml:space="preserve"> </w:t>
      </w:r>
    </w:p>
    <w:p w14:paraId="45F92C77" w14:textId="77777777" w:rsidR="00DE64BC" w:rsidRPr="00256982" w:rsidRDefault="00DE64BC" w:rsidP="00A808C7">
      <w:pPr>
        <w:pStyle w:val="BodyText"/>
        <w:spacing w:after="100"/>
      </w:pPr>
      <w:r w:rsidRPr="00256982">
        <w:t>In 2017, net emissions from land subject to Article 3.3 and Article 3.4 activities under the Kyoto Protocol were –30,506.9 kt CO</w:t>
      </w:r>
      <w:r w:rsidRPr="00256982">
        <w:rPr>
          <w:vertAlign w:val="subscript"/>
        </w:rPr>
        <w:t>2</w:t>
      </w:r>
      <w:r w:rsidRPr="00256982">
        <w:t>-e</w:t>
      </w:r>
      <w:r w:rsidRPr="00256982">
        <w:rPr>
          <w:rStyle w:val="FootnoteReference"/>
        </w:rPr>
        <w:footnoteReference w:id="26"/>
      </w:r>
      <w:r w:rsidRPr="00256982">
        <w:t xml:space="preserve"> (see table 2.3.1). This estimate includes net removals from the growth of all forest types and emissions from:</w:t>
      </w:r>
    </w:p>
    <w:p w14:paraId="032BBABC" w14:textId="77777777" w:rsidR="00DE64BC" w:rsidRPr="00256982" w:rsidRDefault="00DE64BC" w:rsidP="0036046B">
      <w:pPr>
        <w:pStyle w:val="Bullet"/>
        <w:numPr>
          <w:ilvl w:val="0"/>
          <w:numId w:val="8"/>
        </w:numPr>
      </w:pPr>
      <w:r w:rsidRPr="00256982">
        <w:t xml:space="preserve">decay of harvested wood products from </w:t>
      </w:r>
      <w:r w:rsidRPr="00256982">
        <w:rPr>
          <w:i/>
        </w:rPr>
        <w:t>Afforestation and reforestation</w:t>
      </w:r>
      <w:r w:rsidRPr="00256982">
        <w:t xml:space="preserve"> and </w:t>
      </w:r>
      <w:r w:rsidRPr="00256982">
        <w:rPr>
          <w:i/>
        </w:rPr>
        <w:t>Forest management</w:t>
      </w:r>
      <w:r w:rsidRPr="00256982">
        <w:t xml:space="preserve"> land</w:t>
      </w:r>
    </w:p>
    <w:p w14:paraId="3FA7682F" w14:textId="77777777" w:rsidR="00DE64BC" w:rsidRPr="00256982" w:rsidRDefault="00DE64BC" w:rsidP="0036046B">
      <w:pPr>
        <w:pStyle w:val="Bullet"/>
        <w:numPr>
          <w:ilvl w:val="0"/>
          <w:numId w:val="8"/>
        </w:numPr>
      </w:pPr>
      <w:r w:rsidRPr="00256982">
        <w:rPr>
          <w:i/>
        </w:rPr>
        <w:t>Deforestation</w:t>
      </w:r>
      <w:r w:rsidRPr="00256982">
        <w:t xml:space="preserve"> of all forest types </w:t>
      </w:r>
    </w:p>
    <w:p w14:paraId="14549B29" w14:textId="77777777" w:rsidR="00DE64BC" w:rsidRPr="00256982" w:rsidRDefault="00DE64BC" w:rsidP="0036046B">
      <w:pPr>
        <w:pStyle w:val="Bullet"/>
        <w:numPr>
          <w:ilvl w:val="0"/>
          <w:numId w:val="8"/>
        </w:numPr>
      </w:pPr>
      <w:r w:rsidRPr="00256982">
        <w:t xml:space="preserve">conversion of land to post-1989 forest </w:t>
      </w:r>
    </w:p>
    <w:p w14:paraId="0CD13456" w14:textId="77777777" w:rsidR="00DE64BC" w:rsidRPr="00256982" w:rsidRDefault="00DE64BC" w:rsidP="0036046B">
      <w:pPr>
        <w:pStyle w:val="Bullet"/>
        <w:numPr>
          <w:ilvl w:val="0"/>
          <w:numId w:val="8"/>
        </w:numPr>
      </w:pPr>
      <w:r w:rsidRPr="00256982">
        <w:t>biomass burning</w:t>
      </w:r>
    </w:p>
    <w:p w14:paraId="50D182CF" w14:textId="77777777" w:rsidR="00DE64BC" w:rsidRPr="00256982" w:rsidRDefault="00DE64BC" w:rsidP="0036046B">
      <w:pPr>
        <w:pStyle w:val="Bullet"/>
        <w:numPr>
          <w:ilvl w:val="0"/>
          <w:numId w:val="8"/>
        </w:numPr>
      </w:pPr>
      <w:r w:rsidRPr="00256982">
        <w:t xml:space="preserve">soil disturbance associated with land-use conversion. </w:t>
      </w:r>
    </w:p>
    <w:p w14:paraId="1094288D" w14:textId="77777777" w:rsidR="00DE64BC" w:rsidRPr="00256982" w:rsidRDefault="00DE64BC" w:rsidP="00A808C7">
      <w:pPr>
        <w:pStyle w:val="BodyText"/>
        <w:spacing w:after="100"/>
      </w:pPr>
      <w:r w:rsidRPr="00256982">
        <w:lastRenderedPageBreak/>
        <w:t>New Zealand’s estimates for emissions and removals from activities under Article 3.3 and Article 3.4 of the Kyoto Protocol do not include emissions associated with nitrogenous fertiliser use on afforested and reforested land, because these are reported and accounted for in the Agriculture</w:t>
      </w:r>
      <w:r w:rsidRPr="00256982">
        <w:rPr>
          <w:i/>
        </w:rPr>
        <w:t xml:space="preserve"> </w:t>
      </w:r>
      <w:r w:rsidRPr="00256982">
        <w:t>sector. The notation key IE (included elsewhere) is used for this in the common reporting format tables.</w:t>
      </w:r>
    </w:p>
    <w:p w14:paraId="1EE46B89" w14:textId="77777777" w:rsidR="00DE64BC" w:rsidRPr="00256982" w:rsidRDefault="00DE64BC" w:rsidP="00A808C7">
      <w:pPr>
        <w:pStyle w:val="BodyText"/>
        <w:spacing w:after="100"/>
      </w:pPr>
      <w:r w:rsidRPr="00256982">
        <w:t xml:space="preserve">Accounting rules apply to activities under the Kyoto Protocol. Application of one of these rules, called carbon equivalent forests, means that the area of new forest planting is different from the area of </w:t>
      </w:r>
      <w:r w:rsidRPr="00256982">
        <w:rPr>
          <w:i/>
        </w:rPr>
        <w:t>Afforestation</w:t>
      </w:r>
      <w:r w:rsidRPr="00256982">
        <w:t xml:space="preserve"> for some years, and the area of forest clearance and land conversion is different from the area of </w:t>
      </w:r>
      <w:r w:rsidRPr="00256982">
        <w:rPr>
          <w:i/>
        </w:rPr>
        <w:t>Deforestation</w:t>
      </w:r>
      <w:r w:rsidRPr="00256982">
        <w:t>. These accounting rules are explained further in chapter 11.</w:t>
      </w:r>
    </w:p>
    <w:p w14:paraId="3BFE3718" w14:textId="77777777" w:rsidR="00DE64BC" w:rsidRPr="00256982" w:rsidRDefault="00DE64BC" w:rsidP="003A3F0A">
      <w:pPr>
        <w:pStyle w:val="Heading5"/>
        <w:spacing w:before="220"/>
      </w:pPr>
      <w:r w:rsidRPr="00256982">
        <w:t>Afforestation and reforestation</w:t>
      </w:r>
    </w:p>
    <w:p w14:paraId="229462C5" w14:textId="77777777" w:rsidR="00DE64BC" w:rsidRPr="00256982" w:rsidRDefault="00DE64BC" w:rsidP="00A808C7">
      <w:pPr>
        <w:pStyle w:val="BodyText"/>
        <w:spacing w:after="100"/>
      </w:pPr>
      <w:r w:rsidRPr="00256982">
        <w:t>The net area of post-1989 forest as at the end of 2017 is 680,086</w:t>
      </w:r>
      <w:r w:rsidRPr="00256982">
        <w:rPr>
          <w:rFonts w:cs="Arial"/>
          <w:color w:val="000000"/>
          <w:szCs w:val="16"/>
        </w:rPr>
        <w:t xml:space="preserve"> </w:t>
      </w:r>
      <w:r w:rsidRPr="00256982">
        <w:t>hectares.</w:t>
      </w:r>
      <w:r w:rsidRPr="00256982">
        <w:rPr>
          <w:rStyle w:val="FootnoteReference"/>
        </w:rPr>
        <w:footnoteReference w:id="27"/>
      </w:r>
      <w:r w:rsidRPr="00256982">
        <w:t xml:space="preserve"> The net area is the total area of new forest established since 1990 (710,432 hectares) minus the </w:t>
      </w:r>
      <w:r w:rsidRPr="00256982">
        <w:rPr>
          <w:i/>
        </w:rPr>
        <w:t>Deforestation</w:t>
      </w:r>
      <w:r w:rsidRPr="00256982">
        <w:t xml:space="preserve"> of post-1989 forest that has occurred since 1 January 1990 (30,347</w:t>
      </w:r>
      <w:r w:rsidRPr="00256982">
        <w:rPr>
          <w:rFonts w:cs="Arial"/>
          <w:bCs/>
          <w:color w:val="000000"/>
          <w:szCs w:val="16"/>
        </w:rPr>
        <w:t> </w:t>
      </w:r>
      <w:r w:rsidRPr="00256982">
        <w:t xml:space="preserve">hectares). Net removals for land included under </w:t>
      </w:r>
      <w:r w:rsidRPr="00256982">
        <w:rPr>
          <w:i/>
        </w:rPr>
        <w:t>Afforestation and reforestation</w:t>
      </w:r>
      <w:r w:rsidRPr="00256982">
        <w:t xml:space="preserve"> in 2017 are 17,610.0 kt CO</w:t>
      </w:r>
      <w:r w:rsidRPr="00256982">
        <w:rPr>
          <w:vertAlign w:val="subscript"/>
        </w:rPr>
        <w:t>2</w:t>
      </w:r>
      <w:r w:rsidRPr="00256982">
        <w:t>-e, including 1,416.1 kt CO</w:t>
      </w:r>
      <w:r w:rsidRPr="00256982">
        <w:rPr>
          <w:vertAlign w:val="subscript"/>
        </w:rPr>
        <w:t>2</w:t>
      </w:r>
      <w:r w:rsidRPr="00256982">
        <w:t xml:space="preserve">-e from the </w:t>
      </w:r>
      <w:r w:rsidRPr="00256982">
        <w:rPr>
          <w:i/>
        </w:rPr>
        <w:t>Harvested wood products</w:t>
      </w:r>
      <w:r w:rsidRPr="00256982">
        <w:t xml:space="preserve"> category.</w:t>
      </w:r>
    </w:p>
    <w:p w14:paraId="319DEB3F" w14:textId="77777777" w:rsidR="00DE64BC" w:rsidRPr="00256982" w:rsidRDefault="00DE64BC" w:rsidP="003A3F0A">
      <w:pPr>
        <w:pStyle w:val="Heading5"/>
        <w:spacing w:before="220"/>
      </w:pPr>
      <w:r w:rsidRPr="00256982">
        <w:t xml:space="preserve">Deforestation </w:t>
      </w:r>
    </w:p>
    <w:p w14:paraId="125694E6" w14:textId="77777777" w:rsidR="00DE64BC" w:rsidRPr="00256982" w:rsidRDefault="00DE64BC" w:rsidP="00A808C7">
      <w:pPr>
        <w:pStyle w:val="BodyText"/>
        <w:spacing w:after="100"/>
      </w:pPr>
      <w:r w:rsidRPr="00256982">
        <w:t xml:space="preserve">The area deforested between 1 January 1990 and 31 December 2017 is </w:t>
      </w:r>
      <w:r w:rsidRPr="00256982">
        <w:rPr>
          <w:rFonts w:cs="Arial"/>
          <w:color w:val="000000"/>
          <w:szCs w:val="16"/>
        </w:rPr>
        <w:t>200,161 </w:t>
      </w:r>
      <w:r w:rsidRPr="00256982">
        <w:t>hectares.</w:t>
      </w:r>
      <w:r w:rsidRPr="00256982">
        <w:rPr>
          <w:rStyle w:val="FootnoteReference"/>
        </w:rPr>
        <w:footnoteReference w:id="28"/>
      </w:r>
      <w:r w:rsidRPr="00256982">
        <w:t xml:space="preserve"> The area subject to </w:t>
      </w:r>
      <w:r w:rsidRPr="00256982">
        <w:rPr>
          <w:i/>
        </w:rPr>
        <w:t>Deforestation</w:t>
      </w:r>
      <w:r w:rsidRPr="00256982">
        <w:t xml:space="preserve"> in 2017 is estimated as </w:t>
      </w:r>
      <w:r w:rsidRPr="00256982">
        <w:rPr>
          <w:rFonts w:cs="Arial"/>
          <w:color w:val="000000"/>
          <w:szCs w:val="16"/>
        </w:rPr>
        <w:t>2,947 </w:t>
      </w:r>
      <w:r w:rsidRPr="00256982">
        <w:t>hectares.</w:t>
      </w:r>
      <w:r w:rsidRPr="00256982">
        <w:rPr>
          <w:rStyle w:val="FootnoteReference"/>
        </w:rPr>
        <w:t>8</w:t>
      </w:r>
      <w:r w:rsidRPr="00256982">
        <w:t xml:space="preserve"> In 2017, net emissions from </w:t>
      </w:r>
      <w:r w:rsidRPr="00256982">
        <w:rPr>
          <w:i/>
        </w:rPr>
        <w:t>Deforestation</w:t>
      </w:r>
      <w:r w:rsidRPr="00256982">
        <w:t xml:space="preserve"> were 1,657.0 kt CO</w:t>
      </w:r>
      <w:r w:rsidRPr="00256982">
        <w:rPr>
          <w:vertAlign w:val="subscript"/>
        </w:rPr>
        <w:t>2</w:t>
      </w:r>
      <w:r w:rsidRPr="00256982">
        <w:t>-e, compared with 2,050.5 kt CO</w:t>
      </w:r>
      <w:r w:rsidRPr="00256982">
        <w:rPr>
          <w:vertAlign w:val="subscript"/>
        </w:rPr>
        <w:t>2</w:t>
      </w:r>
      <w:r w:rsidRPr="00256982">
        <w:t>-e in 2016 (19.2 per cent decrease).</w:t>
      </w:r>
    </w:p>
    <w:p w14:paraId="1E9AFA32" w14:textId="77777777" w:rsidR="00DE64BC" w:rsidRPr="00256982" w:rsidRDefault="00DE64BC" w:rsidP="003A3F0A">
      <w:pPr>
        <w:pStyle w:val="Heading5"/>
        <w:spacing w:before="220"/>
      </w:pPr>
      <w:r w:rsidRPr="00256982">
        <w:t>Forest management</w:t>
      </w:r>
    </w:p>
    <w:p w14:paraId="3A7D244F" w14:textId="77777777" w:rsidR="00DE64BC" w:rsidRPr="00256982" w:rsidRDefault="00DE64BC" w:rsidP="00A808C7">
      <w:pPr>
        <w:pStyle w:val="BodyText"/>
        <w:spacing w:before="100" w:after="100"/>
      </w:pPr>
      <w:r w:rsidRPr="00256982">
        <w:t xml:space="preserve">The total area reported under </w:t>
      </w:r>
      <w:r w:rsidRPr="00256982">
        <w:rPr>
          <w:i/>
        </w:rPr>
        <w:t>Forest management</w:t>
      </w:r>
      <w:r w:rsidRPr="00256982">
        <w:t xml:space="preserve"> at the end of 2017 was 9,245,248 hectares, equivalent to 34.3 per cent of New Zealand’s total land area. This category includes all land that was forest at 1 January 1990 and has not been deforested since 1990. Net removals on this land in 2017 were 14,553.9 kt CO</w:t>
      </w:r>
      <w:r w:rsidRPr="00256982">
        <w:rPr>
          <w:vertAlign w:val="subscript"/>
        </w:rPr>
        <w:t>2</w:t>
      </w:r>
      <w:r w:rsidRPr="00256982">
        <w:t>-e, including net removals of 9,751.4 kt CO</w:t>
      </w:r>
      <w:r w:rsidRPr="00256982">
        <w:rPr>
          <w:vertAlign w:val="subscript"/>
        </w:rPr>
        <w:t>2</w:t>
      </w:r>
      <w:r w:rsidRPr="00256982">
        <w:t xml:space="preserve">-e from the </w:t>
      </w:r>
      <w:r w:rsidRPr="00256982">
        <w:rPr>
          <w:i/>
        </w:rPr>
        <w:t>Harvested wood products</w:t>
      </w:r>
      <w:r w:rsidRPr="00256982">
        <w:t xml:space="preserve"> category.</w:t>
      </w:r>
    </w:p>
    <w:p w14:paraId="6DE6C3DD" w14:textId="77777777" w:rsidR="00DE64BC" w:rsidRPr="00256982" w:rsidRDefault="00DE64BC" w:rsidP="003A3F0A">
      <w:pPr>
        <w:pStyle w:val="Heading5"/>
        <w:spacing w:before="220"/>
      </w:pPr>
      <w:r w:rsidRPr="00256982">
        <w:t>Accounting quantity</w:t>
      </w:r>
    </w:p>
    <w:p w14:paraId="48F4D4F8" w14:textId="77777777" w:rsidR="00DE64BC" w:rsidRPr="00256982" w:rsidRDefault="00DE64BC" w:rsidP="003A3F0A">
      <w:pPr>
        <w:pStyle w:val="BodyText"/>
        <w:spacing w:after="100"/>
      </w:pPr>
      <w:r w:rsidRPr="00256982">
        <w:t xml:space="preserve">For the second commitment period of the Kyoto Protocol, there are new rules for accounting under the Kyoto Protocol. These include: </w:t>
      </w:r>
    </w:p>
    <w:p w14:paraId="739B0648" w14:textId="77777777" w:rsidR="00DE64BC" w:rsidRPr="00256982" w:rsidRDefault="00DE64BC" w:rsidP="0036046B">
      <w:pPr>
        <w:pStyle w:val="Bullet"/>
        <w:numPr>
          <w:ilvl w:val="0"/>
          <w:numId w:val="8"/>
        </w:numPr>
        <w:spacing w:after="100"/>
      </w:pPr>
      <w:r w:rsidRPr="00256982">
        <w:t>the ability to account for changes in the Harvested wood products category for Afforestation and reforestation and Forest management land</w:t>
      </w:r>
    </w:p>
    <w:p w14:paraId="1D4CF058" w14:textId="77777777" w:rsidR="00DE64BC" w:rsidRPr="00256982" w:rsidRDefault="00DE64BC" w:rsidP="0036046B">
      <w:pPr>
        <w:pStyle w:val="Bullet"/>
        <w:numPr>
          <w:ilvl w:val="0"/>
          <w:numId w:val="8"/>
        </w:numPr>
        <w:spacing w:after="100"/>
      </w:pPr>
      <w:r w:rsidRPr="00256982">
        <w:t xml:space="preserve">the ability to exclude from accounting emissions and removals due to natural disturbance </w:t>
      </w:r>
    </w:p>
    <w:p w14:paraId="2BAD20EF" w14:textId="77777777" w:rsidR="00DE64BC" w:rsidRPr="00256982" w:rsidRDefault="00DE64BC" w:rsidP="0036046B">
      <w:pPr>
        <w:pStyle w:val="Bullet"/>
        <w:numPr>
          <w:ilvl w:val="0"/>
          <w:numId w:val="8"/>
        </w:numPr>
        <w:spacing w:after="100"/>
      </w:pPr>
      <w:r w:rsidRPr="00256982">
        <w:t xml:space="preserve">the ability to account for emissions and removals on land that meets the criteria of carbon equivalent forests under </w:t>
      </w:r>
      <w:r w:rsidRPr="00256982">
        <w:rPr>
          <w:i/>
        </w:rPr>
        <w:t>Forest management</w:t>
      </w:r>
      <w:r w:rsidRPr="00256982">
        <w:t xml:space="preserve"> that would otherwise be accounted for under </w:t>
      </w:r>
      <w:r w:rsidRPr="00256982">
        <w:rPr>
          <w:i/>
        </w:rPr>
        <w:t>Afforestation and reforestation</w:t>
      </w:r>
      <w:r w:rsidRPr="00256982">
        <w:t xml:space="preserve"> and </w:t>
      </w:r>
      <w:r w:rsidRPr="00256982">
        <w:rPr>
          <w:i/>
        </w:rPr>
        <w:t>Deforestation</w:t>
      </w:r>
    </w:p>
    <w:p w14:paraId="2BD536CF" w14:textId="77777777" w:rsidR="00DE64BC" w:rsidRPr="00256982" w:rsidRDefault="00DE64BC" w:rsidP="0036046B">
      <w:pPr>
        <w:pStyle w:val="Bullet"/>
        <w:numPr>
          <w:ilvl w:val="0"/>
          <w:numId w:val="8"/>
        </w:numPr>
        <w:spacing w:after="100"/>
      </w:pPr>
      <w:r w:rsidRPr="00256982">
        <w:t xml:space="preserve">the ability to account for </w:t>
      </w:r>
      <w:r w:rsidRPr="00256982">
        <w:rPr>
          <w:i/>
        </w:rPr>
        <w:t>Forest management</w:t>
      </w:r>
      <w:r w:rsidRPr="00256982">
        <w:t xml:space="preserve"> against a forest management reference level</w:t>
      </w:r>
    </w:p>
    <w:p w14:paraId="2DA46FB4" w14:textId="77777777" w:rsidR="00DE64BC" w:rsidRPr="00256982" w:rsidRDefault="00DE64BC" w:rsidP="0036046B">
      <w:pPr>
        <w:pStyle w:val="Bullet"/>
        <w:numPr>
          <w:ilvl w:val="0"/>
          <w:numId w:val="8"/>
        </w:numPr>
      </w:pPr>
      <w:r w:rsidRPr="00256982">
        <w:t xml:space="preserve">the ability to set the </w:t>
      </w:r>
      <w:r w:rsidRPr="00256982">
        <w:rPr>
          <w:i/>
        </w:rPr>
        <w:t>Forest management</w:t>
      </w:r>
      <w:r w:rsidRPr="00256982">
        <w:t xml:space="preserve"> cap at 3.5 per cent of a country’s base year emissions excluding LULUCF multiplied by the number of years in the commitment period.</w:t>
      </w:r>
    </w:p>
    <w:p w14:paraId="185E1154" w14:textId="77777777" w:rsidR="00DE64BC" w:rsidRPr="00256982" w:rsidRDefault="00DE64BC" w:rsidP="00A808C7">
      <w:pPr>
        <w:pStyle w:val="BodyText"/>
      </w:pPr>
      <w:r w:rsidRPr="00256982">
        <w:lastRenderedPageBreak/>
        <w:t xml:space="preserve">New Zealand’s accounting quantity has been presented in table 2.3.1 as the sum of emissions and removals from </w:t>
      </w:r>
      <w:r w:rsidRPr="00256982">
        <w:rPr>
          <w:i/>
        </w:rPr>
        <w:t>Afforestation and reforestation</w:t>
      </w:r>
      <w:r w:rsidRPr="00256982">
        <w:t xml:space="preserve"> and </w:t>
      </w:r>
      <w:r w:rsidRPr="00256982">
        <w:rPr>
          <w:i/>
        </w:rPr>
        <w:t>Deforestation</w:t>
      </w:r>
      <w:r w:rsidRPr="00256982">
        <w:t xml:space="preserve">. This is because forest management accounting rules mean that emissions for </w:t>
      </w:r>
      <w:r w:rsidRPr="00256982">
        <w:rPr>
          <w:i/>
        </w:rPr>
        <w:t>Forest management</w:t>
      </w:r>
      <w:r w:rsidRPr="00256982">
        <w:t xml:space="preserve"> are expected to equal the reference level over the commitment period if business-as-usual levels of harvesting (based on estimates as at 2009) are maintained.</w:t>
      </w:r>
    </w:p>
    <w:p w14:paraId="6BCB7B2F" w14:textId="77777777" w:rsidR="00DE64BC" w:rsidRPr="00256982" w:rsidRDefault="00DE64BC" w:rsidP="00A808C7">
      <w:pPr>
        <w:pStyle w:val="Table"/>
      </w:pPr>
      <w:bookmarkStart w:id="236" w:name="_Toc5269443"/>
      <w:r w:rsidRPr="00256982">
        <w:t>Table 2.3.1</w:t>
      </w:r>
      <w:r w:rsidRPr="00256982">
        <w:tab/>
        <w:t>New Zealand’s net emissions and removals from land subject to activities</w:t>
      </w:r>
      <w:r w:rsidRPr="00256982">
        <w:br/>
        <w:t>under Article 3.3 and Forest management under Article 3.4 of the Kyoto Protocol</w:t>
      </w:r>
      <w:bookmarkEnd w:id="236"/>
    </w:p>
    <w:tbl>
      <w:tblPr>
        <w:tblW w:w="8462" w:type="dxa"/>
        <w:tblInd w:w="108" w:type="dxa"/>
        <w:tblLayout w:type="fixed"/>
        <w:tblLook w:val="04A0" w:firstRow="1" w:lastRow="0" w:firstColumn="1" w:lastColumn="0" w:noHBand="0" w:noVBand="1"/>
      </w:tblPr>
      <w:tblGrid>
        <w:gridCol w:w="2727"/>
        <w:gridCol w:w="1147"/>
        <w:gridCol w:w="1147"/>
        <w:gridCol w:w="1147"/>
        <w:gridCol w:w="1147"/>
        <w:gridCol w:w="1147"/>
      </w:tblGrid>
      <w:tr w:rsidR="00DE64BC" w:rsidRPr="00256982" w14:paraId="2B3762FD" w14:textId="77777777" w:rsidTr="00A808C7">
        <w:tc>
          <w:tcPr>
            <w:tcW w:w="2727" w:type="dxa"/>
            <w:tcBorders>
              <w:top w:val="single" w:sz="4" w:space="0" w:color="365F91"/>
              <w:left w:val="nil"/>
              <w:bottom w:val="single" w:sz="4" w:space="0" w:color="365F91"/>
              <w:right w:val="nil"/>
            </w:tcBorders>
            <w:shd w:val="clear" w:color="000000" w:fill="365F91"/>
            <w:vAlign w:val="center"/>
            <w:hideMark/>
          </w:tcPr>
          <w:p w14:paraId="7841B8B3" w14:textId="77777777" w:rsidR="00DE64BC" w:rsidRPr="00256982" w:rsidRDefault="00DE64BC" w:rsidP="00A808C7">
            <w:pPr>
              <w:pStyle w:val="TableTextBold"/>
              <w:keepNext/>
              <w:jc w:val="right"/>
              <w:rPr>
                <w:noProof w:val="0"/>
                <w:color w:val="FFFFFF"/>
              </w:rPr>
            </w:pPr>
            <w:r w:rsidRPr="00256982">
              <w:rPr>
                <w:noProof w:val="0"/>
                <w:color w:val="FFFFFF"/>
              </w:rPr>
              <w:t> </w:t>
            </w:r>
          </w:p>
        </w:tc>
        <w:tc>
          <w:tcPr>
            <w:tcW w:w="1147" w:type="dxa"/>
            <w:tcBorders>
              <w:top w:val="single" w:sz="4" w:space="0" w:color="365F91"/>
              <w:left w:val="nil"/>
              <w:bottom w:val="single" w:sz="4" w:space="0" w:color="365F91"/>
              <w:right w:val="nil"/>
            </w:tcBorders>
            <w:shd w:val="clear" w:color="000000" w:fill="365F91"/>
            <w:vAlign w:val="center"/>
            <w:hideMark/>
          </w:tcPr>
          <w:p w14:paraId="0C57AA56" w14:textId="77777777" w:rsidR="00DE64BC" w:rsidRPr="00256982" w:rsidRDefault="00DE64BC" w:rsidP="00A808C7">
            <w:pPr>
              <w:pStyle w:val="TableTextBold"/>
              <w:keepNext/>
              <w:jc w:val="right"/>
              <w:rPr>
                <w:noProof w:val="0"/>
                <w:color w:val="FFFFFF"/>
              </w:rPr>
            </w:pPr>
            <w:r w:rsidRPr="00256982">
              <w:rPr>
                <w:noProof w:val="0"/>
                <w:color w:val="FFFFFF"/>
              </w:rPr>
              <w:t>2013</w:t>
            </w:r>
          </w:p>
        </w:tc>
        <w:tc>
          <w:tcPr>
            <w:tcW w:w="1147" w:type="dxa"/>
            <w:tcBorders>
              <w:top w:val="single" w:sz="4" w:space="0" w:color="365F91"/>
              <w:left w:val="nil"/>
              <w:bottom w:val="single" w:sz="4" w:space="0" w:color="365F91"/>
              <w:right w:val="nil"/>
            </w:tcBorders>
            <w:shd w:val="clear" w:color="000000" w:fill="365F91"/>
            <w:vAlign w:val="center"/>
            <w:hideMark/>
          </w:tcPr>
          <w:p w14:paraId="1A2E49BC" w14:textId="77777777" w:rsidR="00DE64BC" w:rsidRPr="00256982" w:rsidRDefault="00DE64BC" w:rsidP="00A808C7">
            <w:pPr>
              <w:pStyle w:val="TableTextBold"/>
              <w:keepNext/>
              <w:jc w:val="right"/>
              <w:rPr>
                <w:noProof w:val="0"/>
                <w:color w:val="FFFFFF"/>
              </w:rPr>
            </w:pPr>
            <w:r w:rsidRPr="00256982">
              <w:rPr>
                <w:noProof w:val="0"/>
                <w:color w:val="FFFFFF"/>
              </w:rPr>
              <w:t>2014</w:t>
            </w:r>
          </w:p>
        </w:tc>
        <w:tc>
          <w:tcPr>
            <w:tcW w:w="1147" w:type="dxa"/>
            <w:tcBorders>
              <w:top w:val="single" w:sz="4" w:space="0" w:color="365F91"/>
              <w:left w:val="nil"/>
              <w:bottom w:val="single" w:sz="4" w:space="0" w:color="365F91"/>
              <w:right w:val="nil"/>
            </w:tcBorders>
            <w:shd w:val="clear" w:color="000000" w:fill="365F91"/>
            <w:vAlign w:val="center"/>
            <w:hideMark/>
          </w:tcPr>
          <w:p w14:paraId="7CCF7661" w14:textId="77777777" w:rsidR="00DE64BC" w:rsidRPr="00256982" w:rsidRDefault="00DE64BC" w:rsidP="00A808C7">
            <w:pPr>
              <w:pStyle w:val="TableTextBold"/>
              <w:keepNext/>
              <w:jc w:val="right"/>
              <w:rPr>
                <w:noProof w:val="0"/>
                <w:color w:val="FFFFFF"/>
              </w:rPr>
            </w:pPr>
            <w:r w:rsidRPr="00256982">
              <w:rPr>
                <w:noProof w:val="0"/>
                <w:color w:val="FFFFFF"/>
              </w:rPr>
              <w:t>2015</w:t>
            </w:r>
          </w:p>
        </w:tc>
        <w:tc>
          <w:tcPr>
            <w:tcW w:w="1147" w:type="dxa"/>
            <w:tcBorders>
              <w:top w:val="single" w:sz="4" w:space="0" w:color="365F91"/>
              <w:left w:val="nil"/>
              <w:bottom w:val="single" w:sz="4" w:space="0" w:color="365F91"/>
              <w:right w:val="nil"/>
            </w:tcBorders>
            <w:shd w:val="clear" w:color="000000" w:fill="365F91"/>
            <w:vAlign w:val="center"/>
            <w:hideMark/>
          </w:tcPr>
          <w:p w14:paraId="3DFD5336" w14:textId="77777777" w:rsidR="00DE64BC" w:rsidRPr="00256982" w:rsidRDefault="00DE64BC" w:rsidP="00A808C7">
            <w:pPr>
              <w:pStyle w:val="TableTextBold"/>
              <w:keepNext/>
              <w:jc w:val="right"/>
              <w:rPr>
                <w:noProof w:val="0"/>
                <w:color w:val="FFFFFF"/>
              </w:rPr>
            </w:pPr>
            <w:r w:rsidRPr="00256982">
              <w:rPr>
                <w:noProof w:val="0"/>
                <w:color w:val="FFFFFF"/>
              </w:rPr>
              <w:t>2016</w:t>
            </w:r>
          </w:p>
        </w:tc>
        <w:tc>
          <w:tcPr>
            <w:tcW w:w="1147" w:type="dxa"/>
            <w:tcBorders>
              <w:top w:val="single" w:sz="4" w:space="0" w:color="365F91"/>
              <w:left w:val="nil"/>
              <w:bottom w:val="single" w:sz="4" w:space="0" w:color="365F91"/>
              <w:right w:val="nil"/>
            </w:tcBorders>
            <w:shd w:val="clear" w:color="000000" w:fill="365F91"/>
          </w:tcPr>
          <w:p w14:paraId="3A6E0EB7" w14:textId="77777777" w:rsidR="00DE64BC" w:rsidRPr="00256982" w:rsidRDefault="00DE64BC" w:rsidP="00A808C7">
            <w:pPr>
              <w:pStyle w:val="TableTextBold"/>
              <w:keepNext/>
              <w:jc w:val="right"/>
              <w:rPr>
                <w:noProof w:val="0"/>
                <w:color w:val="FFFFFF"/>
              </w:rPr>
            </w:pPr>
            <w:r w:rsidRPr="00256982">
              <w:rPr>
                <w:noProof w:val="0"/>
                <w:color w:val="FFFFFF"/>
              </w:rPr>
              <w:t>2017</w:t>
            </w:r>
            <w:r w:rsidRPr="00256982">
              <w:rPr>
                <w:noProof w:val="0"/>
                <w:color w:val="FFFFFF"/>
                <w:vertAlign w:val="superscript"/>
              </w:rPr>
              <w:t>P</w:t>
            </w:r>
          </w:p>
        </w:tc>
      </w:tr>
      <w:tr w:rsidR="00DE64BC" w:rsidRPr="00256982" w14:paraId="61B77C7D" w14:textId="77777777" w:rsidTr="00A808C7">
        <w:tc>
          <w:tcPr>
            <w:tcW w:w="2727" w:type="dxa"/>
            <w:tcBorders>
              <w:top w:val="single" w:sz="4" w:space="0" w:color="365F91"/>
              <w:left w:val="nil"/>
              <w:bottom w:val="single" w:sz="4" w:space="0" w:color="auto"/>
              <w:right w:val="nil"/>
            </w:tcBorders>
            <w:shd w:val="clear" w:color="auto" w:fill="auto"/>
            <w:vAlign w:val="center"/>
            <w:hideMark/>
          </w:tcPr>
          <w:p w14:paraId="06DD5BF4" w14:textId="77777777" w:rsidR="00DE64BC" w:rsidRPr="00256982" w:rsidRDefault="00DE64BC" w:rsidP="00A808C7">
            <w:pPr>
              <w:pStyle w:val="TableTextBold"/>
              <w:keepNext/>
              <w:rPr>
                <w:noProof w:val="0"/>
                <w:lang w:eastAsia="en-NZ"/>
              </w:rPr>
            </w:pPr>
            <w:r w:rsidRPr="00256982">
              <w:rPr>
                <w:noProof w:val="0"/>
                <w:lang w:eastAsia="en-NZ"/>
              </w:rPr>
              <w:t>Afforestation and reforestation</w:t>
            </w:r>
          </w:p>
        </w:tc>
        <w:tc>
          <w:tcPr>
            <w:tcW w:w="1147" w:type="dxa"/>
            <w:tcBorders>
              <w:top w:val="single" w:sz="4" w:space="0" w:color="365F91"/>
              <w:left w:val="nil"/>
              <w:bottom w:val="single" w:sz="4" w:space="0" w:color="auto"/>
              <w:right w:val="nil"/>
            </w:tcBorders>
            <w:shd w:val="clear" w:color="auto" w:fill="auto"/>
            <w:noWrap/>
            <w:vAlign w:val="bottom"/>
            <w:hideMark/>
          </w:tcPr>
          <w:p w14:paraId="751D6386" w14:textId="77777777" w:rsidR="00DE64BC" w:rsidRPr="00256982" w:rsidRDefault="00DE64BC" w:rsidP="00A808C7">
            <w:pPr>
              <w:pStyle w:val="TableTextBold"/>
              <w:rPr>
                <w:rFonts w:ascii="Calibri" w:hAnsi="Calibri"/>
                <w:noProof w:val="0"/>
                <w:szCs w:val="22"/>
                <w:lang w:eastAsia="en-NZ"/>
              </w:rPr>
            </w:pPr>
          </w:p>
        </w:tc>
        <w:tc>
          <w:tcPr>
            <w:tcW w:w="1147" w:type="dxa"/>
            <w:tcBorders>
              <w:top w:val="single" w:sz="4" w:space="0" w:color="365F91"/>
              <w:left w:val="nil"/>
              <w:bottom w:val="single" w:sz="4" w:space="0" w:color="auto"/>
              <w:right w:val="nil"/>
            </w:tcBorders>
            <w:shd w:val="clear" w:color="auto" w:fill="auto"/>
            <w:noWrap/>
            <w:vAlign w:val="bottom"/>
            <w:hideMark/>
          </w:tcPr>
          <w:p w14:paraId="037FFB40" w14:textId="77777777" w:rsidR="00DE64BC" w:rsidRPr="00256982" w:rsidRDefault="00DE64BC" w:rsidP="00A808C7">
            <w:pPr>
              <w:pStyle w:val="TableTextBold"/>
              <w:rPr>
                <w:rFonts w:ascii="Calibri" w:hAnsi="Calibri"/>
                <w:noProof w:val="0"/>
                <w:szCs w:val="22"/>
                <w:lang w:eastAsia="en-NZ"/>
              </w:rPr>
            </w:pPr>
          </w:p>
        </w:tc>
        <w:tc>
          <w:tcPr>
            <w:tcW w:w="1147" w:type="dxa"/>
            <w:tcBorders>
              <w:top w:val="single" w:sz="4" w:space="0" w:color="365F91"/>
              <w:left w:val="nil"/>
              <w:bottom w:val="single" w:sz="4" w:space="0" w:color="auto"/>
              <w:right w:val="nil"/>
            </w:tcBorders>
            <w:shd w:val="clear" w:color="auto" w:fill="auto"/>
            <w:noWrap/>
            <w:vAlign w:val="bottom"/>
            <w:hideMark/>
          </w:tcPr>
          <w:p w14:paraId="5FD68B8F" w14:textId="77777777" w:rsidR="00DE64BC" w:rsidRPr="00256982" w:rsidRDefault="00DE64BC" w:rsidP="00A808C7">
            <w:pPr>
              <w:pStyle w:val="TableTextBold"/>
              <w:rPr>
                <w:rFonts w:ascii="Calibri" w:hAnsi="Calibri"/>
                <w:noProof w:val="0"/>
                <w:szCs w:val="22"/>
                <w:lang w:eastAsia="en-NZ"/>
              </w:rPr>
            </w:pPr>
          </w:p>
        </w:tc>
        <w:tc>
          <w:tcPr>
            <w:tcW w:w="1147" w:type="dxa"/>
            <w:tcBorders>
              <w:top w:val="single" w:sz="4" w:space="0" w:color="365F91"/>
              <w:left w:val="nil"/>
              <w:bottom w:val="single" w:sz="4" w:space="0" w:color="auto"/>
              <w:right w:val="nil"/>
            </w:tcBorders>
            <w:shd w:val="clear" w:color="auto" w:fill="auto"/>
            <w:noWrap/>
            <w:vAlign w:val="bottom"/>
            <w:hideMark/>
          </w:tcPr>
          <w:p w14:paraId="44B4C776" w14:textId="77777777" w:rsidR="00DE64BC" w:rsidRPr="00256982" w:rsidRDefault="00DE64BC" w:rsidP="00A808C7">
            <w:pPr>
              <w:pStyle w:val="TableTextBold"/>
              <w:rPr>
                <w:rFonts w:ascii="Calibri" w:hAnsi="Calibri"/>
                <w:noProof w:val="0"/>
                <w:szCs w:val="22"/>
                <w:lang w:eastAsia="en-NZ"/>
              </w:rPr>
            </w:pPr>
          </w:p>
        </w:tc>
        <w:tc>
          <w:tcPr>
            <w:tcW w:w="1147" w:type="dxa"/>
            <w:tcBorders>
              <w:top w:val="single" w:sz="4" w:space="0" w:color="365F91"/>
              <w:left w:val="nil"/>
              <w:bottom w:val="single" w:sz="4" w:space="0" w:color="auto"/>
              <w:right w:val="nil"/>
            </w:tcBorders>
          </w:tcPr>
          <w:p w14:paraId="6654E3E4" w14:textId="77777777" w:rsidR="00DE64BC" w:rsidRPr="00256982" w:rsidRDefault="00DE64BC" w:rsidP="00A808C7">
            <w:pPr>
              <w:pStyle w:val="TableTextBold"/>
              <w:rPr>
                <w:rFonts w:ascii="Calibri" w:hAnsi="Calibri"/>
                <w:noProof w:val="0"/>
                <w:szCs w:val="22"/>
                <w:lang w:eastAsia="en-NZ"/>
              </w:rPr>
            </w:pPr>
          </w:p>
        </w:tc>
      </w:tr>
      <w:tr w:rsidR="00DE64BC" w:rsidRPr="00256982" w14:paraId="6F538596" w14:textId="77777777" w:rsidTr="00A808C7">
        <w:tc>
          <w:tcPr>
            <w:tcW w:w="2727" w:type="dxa"/>
            <w:tcBorders>
              <w:top w:val="single" w:sz="4" w:space="0" w:color="auto"/>
              <w:left w:val="nil"/>
              <w:right w:val="nil"/>
            </w:tcBorders>
            <w:shd w:val="clear" w:color="auto" w:fill="auto"/>
            <w:vAlign w:val="center"/>
            <w:hideMark/>
          </w:tcPr>
          <w:p w14:paraId="572FBF5F" w14:textId="77777777" w:rsidR="00DE64BC" w:rsidRPr="00256982" w:rsidRDefault="00DE64BC" w:rsidP="00A808C7">
            <w:pPr>
              <w:pStyle w:val="TableText"/>
              <w:rPr>
                <w:lang w:eastAsia="en-NZ"/>
              </w:rPr>
            </w:pPr>
            <w:r w:rsidRPr="00256982">
              <w:rPr>
                <w:lang w:eastAsia="en-NZ"/>
              </w:rPr>
              <w:t>Net cumulative area since 1990 (hectares)</w:t>
            </w:r>
          </w:p>
        </w:tc>
        <w:tc>
          <w:tcPr>
            <w:tcW w:w="1147" w:type="dxa"/>
            <w:tcBorders>
              <w:top w:val="single" w:sz="4" w:space="0" w:color="auto"/>
              <w:left w:val="nil"/>
              <w:right w:val="nil"/>
            </w:tcBorders>
            <w:shd w:val="clear" w:color="auto" w:fill="auto"/>
            <w:hideMark/>
          </w:tcPr>
          <w:p w14:paraId="5DCD71EE" w14:textId="77777777" w:rsidR="00DE64BC" w:rsidRPr="00256982" w:rsidRDefault="00DE64BC" w:rsidP="00A808C7">
            <w:pPr>
              <w:pStyle w:val="TableText"/>
              <w:jc w:val="right"/>
              <w:rPr>
                <w:lang w:eastAsia="en-NZ"/>
              </w:rPr>
            </w:pPr>
            <w:r w:rsidRPr="00256982">
              <w:t>670,107</w:t>
            </w:r>
          </w:p>
        </w:tc>
        <w:tc>
          <w:tcPr>
            <w:tcW w:w="1147" w:type="dxa"/>
            <w:tcBorders>
              <w:top w:val="single" w:sz="4" w:space="0" w:color="auto"/>
              <w:left w:val="nil"/>
              <w:right w:val="nil"/>
            </w:tcBorders>
            <w:shd w:val="clear" w:color="auto" w:fill="auto"/>
            <w:hideMark/>
          </w:tcPr>
          <w:p w14:paraId="2D98B02C" w14:textId="77777777" w:rsidR="00DE64BC" w:rsidRPr="00256982" w:rsidRDefault="00DE64BC" w:rsidP="00A808C7">
            <w:pPr>
              <w:pStyle w:val="TableText"/>
              <w:jc w:val="right"/>
              <w:rPr>
                <w:lang w:eastAsia="en-NZ"/>
              </w:rPr>
            </w:pPr>
            <w:r w:rsidRPr="00256982">
              <w:t>671,838</w:t>
            </w:r>
          </w:p>
        </w:tc>
        <w:tc>
          <w:tcPr>
            <w:tcW w:w="1147" w:type="dxa"/>
            <w:tcBorders>
              <w:top w:val="single" w:sz="4" w:space="0" w:color="auto"/>
              <w:left w:val="nil"/>
              <w:right w:val="nil"/>
            </w:tcBorders>
            <w:shd w:val="clear" w:color="auto" w:fill="auto"/>
            <w:hideMark/>
          </w:tcPr>
          <w:p w14:paraId="55AB535C" w14:textId="77777777" w:rsidR="00DE64BC" w:rsidRPr="00256982" w:rsidRDefault="00DE64BC" w:rsidP="00A808C7">
            <w:pPr>
              <w:pStyle w:val="TableText"/>
              <w:jc w:val="right"/>
              <w:rPr>
                <w:lang w:eastAsia="en-NZ"/>
              </w:rPr>
            </w:pPr>
            <w:r w:rsidRPr="00256982">
              <w:t>673,671</w:t>
            </w:r>
          </w:p>
        </w:tc>
        <w:tc>
          <w:tcPr>
            <w:tcW w:w="1147" w:type="dxa"/>
            <w:tcBorders>
              <w:top w:val="single" w:sz="4" w:space="0" w:color="auto"/>
              <w:left w:val="nil"/>
              <w:right w:val="nil"/>
            </w:tcBorders>
            <w:shd w:val="clear" w:color="auto" w:fill="auto"/>
            <w:hideMark/>
          </w:tcPr>
          <w:p w14:paraId="28A9E649" w14:textId="77777777" w:rsidR="00DE64BC" w:rsidRPr="00256982" w:rsidRDefault="00DE64BC" w:rsidP="00A808C7">
            <w:pPr>
              <w:pStyle w:val="TableText"/>
              <w:jc w:val="right"/>
              <w:rPr>
                <w:lang w:eastAsia="en-NZ"/>
              </w:rPr>
            </w:pPr>
            <w:r w:rsidRPr="00256982">
              <w:t>675,569</w:t>
            </w:r>
          </w:p>
        </w:tc>
        <w:tc>
          <w:tcPr>
            <w:tcW w:w="1147" w:type="dxa"/>
            <w:tcBorders>
              <w:top w:val="single" w:sz="4" w:space="0" w:color="auto"/>
              <w:left w:val="nil"/>
              <w:right w:val="nil"/>
            </w:tcBorders>
          </w:tcPr>
          <w:p w14:paraId="18F44DA6" w14:textId="77777777" w:rsidR="00DE64BC" w:rsidRPr="00256982" w:rsidRDefault="00DE64BC" w:rsidP="00A808C7">
            <w:pPr>
              <w:pStyle w:val="TableText"/>
              <w:jc w:val="right"/>
            </w:pPr>
            <w:r w:rsidRPr="00256982">
              <w:t>680,086</w:t>
            </w:r>
          </w:p>
        </w:tc>
      </w:tr>
      <w:tr w:rsidR="00DE64BC" w:rsidRPr="00256982" w14:paraId="7E55CA27" w14:textId="77777777" w:rsidTr="00A808C7">
        <w:tc>
          <w:tcPr>
            <w:tcW w:w="2727" w:type="dxa"/>
            <w:tcBorders>
              <w:left w:val="nil"/>
              <w:right w:val="nil"/>
            </w:tcBorders>
            <w:shd w:val="clear" w:color="auto" w:fill="auto"/>
            <w:vAlign w:val="center"/>
            <w:hideMark/>
          </w:tcPr>
          <w:p w14:paraId="7238B2BE" w14:textId="77777777" w:rsidR="00DE64BC" w:rsidRPr="00256982" w:rsidRDefault="00DE64BC" w:rsidP="00A808C7">
            <w:pPr>
              <w:pStyle w:val="TableText"/>
              <w:rPr>
                <w:lang w:eastAsia="en-NZ"/>
              </w:rPr>
            </w:pPr>
            <w:r w:rsidRPr="00256982">
              <w:rPr>
                <w:lang w:eastAsia="en-NZ"/>
              </w:rPr>
              <w:t>Area in calendar year (hectares)</w:t>
            </w:r>
          </w:p>
        </w:tc>
        <w:tc>
          <w:tcPr>
            <w:tcW w:w="1147" w:type="dxa"/>
            <w:tcBorders>
              <w:left w:val="nil"/>
              <w:right w:val="nil"/>
            </w:tcBorders>
            <w:shd w:val="clear" w:color="auto" w:fill="auto"/>
            <w:hideMark/>
          </w:tcPr>
          <w:p w14:paraId="042E088E" w14:textId="77777777" w:rsidR="00DE64BC" w:rsidRPr="00256982" w:rsidRDefault="00DE64BC" w:rsidP="00A808C7">
            <w:pPr>
              <w:pStyle w:val="TableText"/>
              <w:jc w:val="right"/>
              <w:rPr>
                <w:lang w:eastAsia="en-NZ"/>
              </w:rPr>
            </w:pPr>
            <w:r w:rsidRPr="00256982">
              <w:t>4,078</w:t>
            </w:r>
          </w:p>
        </w:tc>
        <w:tc>
          <w:tcPr>
            <w:tcW w:w="1147" w:type="dxa"/>
            <w:tcBorders>
              <w:left w:val="nil"/>
              <w:right w:val="nil"/>
            </w:tcBorders>
            <w:shd w:val="clear" w:color="auto" w:fill="auto"/>
            <w:hideMark/>
          </w:tcPr>
          <w:p w14:paraId="750AE7DB" w14:textId="77777777" w:rsidR="00DE64BC" w:rsidRPr="00256982" w:rsidRDefault="00DE64BC" w:rsidP="00A808C7">
            <w:pPr>
              <w:pStyle w:val="TableText"/>
              <w:jc w:val="right"/>
              <w:rPr>
                <w:lang w:eastAsia="en-NZ"/>
              </w:rPr>
            </w:pPr>
            <w:r w:rsidRPr="00256982">
              <w:t>2,957</w:t>
            </w:r>
          </w:p>
        </w:tc>
        <w:tc>
          <w:tcPr>
            <w:tcW w:w="1147" w:type="dxa"/>
            <w:tcBorders>
              <w:left w:val="nil"/>
              <w:right w:val="nil"/>
            </w:tcBorders>
            <w:shd w:val="clear" w:color="auto" w:fill="auto"/>
            <w:hideMark/>
          </w:tcPr>
          <w:p w14:paraId="3E6DA635" w14:textId="77777777" w:rsidR="00DE64BC" w:rsidRPr="00256982" w:rsidRDefault="00DE64BC" w:rsidP="00A808C7">
            <w:pPr>
              <w:pStyle w:val="TableText"/>
              <w:jc w:val="right"/>
              <w:rPr>
                <w:lang w:eastAsia="en-NZ"/>
              </w:rPr>
            </w:pPr>
            <w:r w:rsidRPr="00256982">
              <w:t>3,397</w:t>
            </w:r>
          </w:p>
        </w:tc>
        <w:tc>
          <w:tcPr>
            <w:tcW w:w="1147" w:type="dxa"/>
            <w:tcBorders>
              <w:left w:val="nil"/>
              <w:right w:val="nil"/>
            </w:tcBorders>
            <w:shd w:val="clear" w:color="auto" w:fill="auto"/>
            <w:hideMark/>
          </w:tcPr>
          <w:p w14:paraId="0F8E1D98" w14:textId="77777777" w:rsidR="00DE64BC" w:rsidRPr="00256982" w:rsidRDefault="00DE64BC" w:rsidP="00A808C7">
            <w:pPr>
              <w:pStyle w:val="TableText"/>
              <w:jc w:val="right"/>
              <w:rPr>
                <w:lang w:eastAsia="en-NZ"/>
              </w:rPr>
            </w:pPr>
            <w:r w:rsidRPr="00256982">
              <w:t>2,958</w:t>
            </w:r>
          </w:p>
        </w:tc>
        <w:tc>
          <w:tcPr>
            <w:tcW w:w="1147" w:type="dxa"/>
            <w:tcBorders>
              <w:left w:val="nil"/>
              <w:right w:val="nil"/>
            </w:tcBorders>
          </w:tcPr>
          <w:p w14:paraId="5A11F7A1" w14:textId="77777777" w:rsidR="00DE64BC" w:rsidRPr="00256982" w:rsidRDefault="00DE64BC" w:rsidP="00A808C7">
            <w:pPr>
              <w:pStyle w:val="TableText"/>
              <w:jc w:val="right"/>
            </w:pPr>
            <w:r w:rsidRPr="00256982">
              <w:t>4,979</w:t>
            </w:r>
          </w:p>
        </w:tc>
      </w:tr>
      <w:tr w:rsidR="00DE64BC" w:rsidRPr="00256982" w14:paraId="518B6266" w14:textId="77777777" w:rsidTr="00A808C7">
        <w:tc>
          <w:tcPr>
            <w:tcW w:w="2727" w:type="dxa"/>
            <w:tcBorders>
              <w:left w:val="nil"/>
              <w:bottom w:val="single" w:sz="8" w:space="0" w:color="44546A"/>
              <w:right w:val="nil"/>
            </w:tcBorders>
            <w:shd w:val="clear" w:color="auto" w:fill="auto"/>
            <w:vAlign w:val="center"/>
            <w:hideMark/>
          </w:tcPr>
          <w:p w14:paraId="3C39453C" w14:textId="77777777" w:rsidR="00DE64BC" w:rsidRPr="00256982" w:rsidRDefault="00DE64BC" w:rsidP="00A808C7">
            <w:pPr>
              <w:pStyle w:val="TableText"/>
              <w:rPr>
                <w:lang w:eastAsia="en-NZ"/>
              </w:rPr>
            </w:pPr>
            <w:r w:rsidRPr="00256982">
              <w:rPr>
                <w:lang w:eastAsia="en-NZ"/>
              </w:rPr>
              <w:t>Net emissions in calendar year (kt CO</w:t>
            </w:r>
            <w:r w:rsidRPr="00256982">
              <w:rPr>
                <w:vertAlign w:val="subscript"/>
                <w:lang w:eastAsia="en-NZ"/>
              </w:rPr>
              <w:t>2</w:t>
            </w:r>
            <w:r w:rsidRPr="00256982">
              <w:rPr>
                <w:lang w:eastAsia="en-NZ"/>
              </w:rPr>
              <w:t>-e)</w:t>
            </w:r>
          </w:p>
        </w:tc>
        <w:tc>
          <w:tcPr>
            <w:tcW w:w="1147" w:type="dxa"/>
            <w:tcBorders>
              <w:left w:val="nil"/>
              <w:bottom w:val="single" w:sz="8" w:space="0" w:color="44546A"/>
              <w:right w:val="nil"/>
            </w:tcBorders>
            <w:shd w:val="clear" w:color="auto" w:fill="auto"/>
            <w:hideMark/>
          </w:tcPr>
          <w:p w14:paraId="7C21ED6E" w14:textId="77777777" w:rsidR="00DE64BC" w:rsidRPr="00256982" w:rsidRDefault="00DE64BC" w:rsidP="00A808C7">
            <w:pPr>
              <w:pStyle w:val="TableText"/>
              <w:jc w:val="right"/>
              <w:rPr>
                <w:lang w:eastAsia="en-NZ"/>
              </w:rPr>
            </w:pPr>
            <w:r w:rsidRPr="00256982">
              <w:t xml:space="preserve">–17,405.7 </w:t>
            </w:r>
          </w:p>
        </w:tc>
        <w:tc>
          <w:tcPr>
            <w:tcW w:w="1147" w:type="dxa"/>
            <w:tcBorders>
              <w:left w:val="nil"/>
              <w:bottom w:val="single" w:sz="8" w:space="0" w:color="44546A"/>
              <w:right w:val="nil"/>
            </w:tcBorders>
            <w:shd w:val="clear" w:color="auto" w:fill="auto"/>
            <w:hideMark/>
          </w:tcPr>
          <w:p w14:paraId="3C9E7E9C" w14:textId="77777777" w:rsidR="00DE64BC" w:rsidRPr="00256982" w:rsidRDefault="00DE64BC" w:rsidP="00A808C7">
            <w:pPr>
              <w:pStyle w:val="TableText"/>
              <w:jc w:val="right"/>
              <w:rPr>
                <w:lang w:eastAsia="en-NZ"/>
              </w:rPr>
            </w:pPr>
            <w:r w:rsidRPr="00256982">
              <w:t xml:space="preserve">–17,591.4 </w:t>
            </w:r>
          </w:p>
        </w:tc>
        <w:tc>
          <w:tcPr>
            <w:tcW w:w="1147" w:type="dxa"/>
            <w:tcBorders>
              <w:left w:val="nil"/>
              <w:bottom w:val="single" w:sz="8" w:space="0" w:color="44546A"/>
              <w:right w:val="nil"/>
            </w:tcBorders>
            <w:shd w:val="clear" w:color="auto" w:fill="auto"/>
            <w:hideMark/>
          </w:tcPr>
          <w:p w14:paraId="276C0502" w14:textId="77777777" w:rsidR="00DE64BC" w:rsidRPr="00256982" w:rsidRDefault="00DE64BC" w:rsidP="00A808C7">
            <w:pPr>
              <w:pStyle w:val="TableText"/>
              <w:jc w:val="right"/>
              <w:rPr>
                <w:lang w:eastAsia="en-NZ"/>
              </w:rPr>
            </w:pPr>
            <w:r w:rsidRPr="00256982">
              <w:t xml:space="preserve">–17,766.7 </w:t>
            </w:r>
          </w:p>
        </w:tc>
        <w:tc>
          <w:tcPr>
            <w:tcW w:w="1147" w:type="dxa"/>
            <w:tcBorders>
              <w:left w:val="nil"/>
              <w:bottom w:val="single" w:sz="8" w:space="0" w:color="44546A"/>
              <w:right w:val="nil"/>
            </w:tcBorders>
            <w:shd w:val="clear" w:color="auto" w:fill="auto"/>
            <w:hideMark/>
          </w:tcPr>
          <w:p w14:paraId="7608EB80" w14:textId="77777777" w:rsidR="00DE64BC" w:rsidRPr="00256982" w:rsidRDefault="00DE64BC" w:rsidP="00A808C7">
            <w:pPr>
              <w:pStyle w:val="TableText"/>
              <w:jc w:val="right"/>
              <w:rPr>
                <w:lang w:eastAsia="en-NZ"/>
              </w:rPr>
            </w:pPr>
            <w:r w:rsidRPr="00256982">
              <w:t xml:space="preserve">–17,810.4 </w:t>
            </w:r>
          </w:p>
        </w:tc>
        <w:tc>
          <w:tcPr>
            <w:tcW w:w="1147" w:type="dxa"/>
            <w:tcBorders>
              <w:left w:val="nil"/>
              <w:bottom w:val="single" w:sz="8" w:space="0" w:color="44546A"/>
              <w:right w:val="nil"/>
            </w:tcBorders>
          </w:tcPr>
          <w:p w14:paraId="4F3F7C2B" w14:textId="77777777" w:rsidR="00DE64BC" w:rsidRPr="00256982" w:rsidRDefault="00DE64BC" w:rsidP="00A808C7">
            <w:pPr>
              <w:pStyle w:val="TableText"/>
              <w:jc w:val="right"/>
            </w:pPr>
            <w:r w:rsidRPr="00256982">
              <w:t xml:space="preserve">–17,610.0 </w:t>
            </w:r>
          </w:p>
        </w:tc>
      </w:tr>
      <w:tr w:rsidR="00DE64BC" w:rsidRPr="00256982" w14:paraId="00ED3A3B" w14:textId="77777777" w:rsidTr="00A808C7">
        <w:tc>
          <w:tcPr>
            <w:tcW w:w="2727" w:type="dxa"/>
            <w:tcBorders>
              <w:top w:val="nil"/>
              <w:left w:val="nil"/>
              <w:bottom w:val="single" w:sz="4" w:space="0" w:color="auto"/>
              <w:right w:val="nil"/>
            </w:tcBorders>
            <w:shd w:val="clear" w:color="auto" w:fill="auto"/>
            <w:vAlign w:val="center"/>
            <w:hideMark/>
          </w:tcPr>
          <w:p w14:paraId="6B4AC8A8" w14:textId="77777777" w:rsidR="00DE64BC" w:rsidRPr="00256982" w:rsidRDefault="00DE64BC" w:rsidP="00A808C7">
            <w:pPr>
              <w:pStyle w:val="TableTextBold"/>
              <w:rPr>
                <w:noProof w:val="0"/>
                <w:lang w:eastAsia="en-NZ"/>
              </w:rPr>
            </w:pPr>
            <w:r w:rsidRPr="00256982">
              <w:rPr>
                <w:noProof w:val="0"/>
                <w:lang w:eastAsia="en-NZ"/>
              </w:rPr>
              <w:t>Deforestation</w:t>
            </w:r>
          </w:p>
        </w:tc>
        <w:tc>
          <w:tcPr>
            <w:tcW w:w="1147" w:type="dxa"/>
            <w:tcBorders>
              <w:top w:val="nil"/>
              <w:left w:val="nil"/>
              <w:bottom w:val="single" w:sz="4" w:space="0" w:color="auto"/>
              <w:right w:val="nil"/>
            </w:tcBorders>
            <w:shd w:val="clear" w:color="auto" w:fill="auto"/>
            <w:hideMark/>
          </w:tcPr>
          <w:p w14:paraId="2F00BA8F" w14:textId="77777777" w:rsidR="00DE64BC" w:rsidRPr="00256982" w:rsidRDefault="00DE64BC" w:rsidP="00A808C7">
            <w:pPr>
              <w:pStyle w:val="TableTextBold"/>
              <w:rPr>
                <w:noProof w:val="0"/>
                <w:lang w:eastAsia="en-NZ"/>
              </w:rPr>
            </w:pPr>
          </w:p>
        </w:tc>
        <w:tc>
          <w:tcPr>
            <w:tcW w:w="1147" w:type="dxa"/>
            <w:tcBorders>
              <w:top w:val="nil"/>
              <w:left w:val="nil"/>
              <w:bottom w:val="single" w:sz="4" w:space="0" w:color="auto"/>
              <w:right w:val="nil"/>
            </w:tcBorders>
            <w:shd w:val="clear" w:color="auto" w:fill="auto"/>
            <w:hideMark/>
          </w:tcPr>
          <w:p w14:paraId="4A01DE95" w14:textId="77777777" w:rsidR="00DE64BC" w:rsidRPr="00256982" w:rsidRDefault="00DE64BC" w:rsidP="00A808C7">
            <w:pPr>
              <w:pStyle w:val="TableTextBold"/>
              <w:rPr>
                <w:noProof w:val="0"/>
                <w:lang w:eastAsia="en-NZ"/>
              </w:rPr>
            </w:pPr>
          </w:p>
        </w:tc>
        <w:tc>
          <w:tcPr>
            <w:tcW w:w="1147" w:type="dxa"/>
            <w:tcBorders>
              <w:top w:val="nil"/>
              <w:left w:val="nil"/>
              <w:bottom w:val="single" w:sz="4" w:space="0" w:color="auto"/>
              <w:right w:val="nil"/>
            </w:tcBorders>
            <w:shd w:val="clear" w:color="auto" w:fill="auto"/>
            <w:hideMark/>
          </w:tcPr>
          <w:p w14:paraId="44C4E3C7" w14:textId="77777777" w:rsidR="00DE64BC" w:rsidRPr="00256982" w:rsidRDefault="00DE64BC" w:rsidP="00A808C7">
            <w:pPr>
              <w:pStyle w:val="TableTextBold"/>
              <w:rPr>
                <w:noProof w:val="0"/>
                <w:lang w:eastAsia="en-NZ"/>
              </w:rPr>
            </w:pPr>
          </w:p>
        </w:tc>
        <w:tc>
          <w:tcPr>
            <w:tcW w:w="1147" w:type="dxa"/>
            <w:tcBorders>
              <w:top w:val="nil"/>
              <w:left w:val="nil"/>
              <w:bottom w:val="single" w:sz="4" w:space="0" w:color="auto"/>
              <w:right w:val="nil"/>
            </w:tcBorders>
            <w:shd w:val="clear" w:color="auto" w:fill="auto"/>
            <w:hideMark/>
          </w:tcPr>
          <w:p w14:paraId="5063277A" w14:textId="77777777" w:rsidR="00DE64BC" w:rsidRPr="00256982" w:rsidRDefault="00DE64BC" w:rsidP="00A808C7">
            <w:pPr>
              <w:pStyle w:val="TableTextBold"/>
              <w:rPr>
                <w:noProof w:val="0"/>
                <w:lang w:eastAsia="en-NZ"/>
              </w:rPr>
            </w:pPr>
          </w:p>
        </w:tc>
        <w:tc>
          <w:tcPr>
            <w:tcW w:w="1147" w:type="dxa"/>
            <w:tcBorders>
              <w:top w:val="nil"/>
              <w:left w:val="nil"/>
              <w:bottom w:val="single" w:sz="4" w:space="0" w:color="auto"/>
              <w:right w:val="nil"/>
            </w:tcBorders>
          </w:tcPr>
          <w:p w14:paraId="06EE5987" w14:textId="77777777" w:rsidR="00DE64BC" w:rsidRPr="00256982" w:rsidRDefault="00DE64BC" w:rsidP="00A808C7">
            <w:pPr>
              <w:pStyle w:val="TableTextBold"/>
              <w:rPr>
                <w:noProof w:val="0"/>
              </w:rPr>
            </w:pPr>
          </w:p>
        </w:tc>
      </w:tr>
      <w:tr w:rsidR="00DE64BC" w:rsidRPr="00256982" w14:paraId="12A7C71B" w14:textId="77777777" w:rsidTr="00A808C7">
        <w:tc>
          <w:tcPr>
            <w:tcW w:w="2727" w:type="dxa"/>
            <w:tcBorders>
              <w:top w:val="single" w:sz="4" w:space="0" w:color="auto"/>
              <w:left w:val="nil"/>
              <w:right w:val="nil"/>
            </w:tcBorders>
            <w:shd w:val="clear" w:color="auto" w:fill="auto"/>
            <w:vAlign w:val="center"/>
            <w:hideMark/>
          </w:tcPr>
          <w:p w14:paraId="27DFA707" w14:textId="77777777" w:rsidR="00DE64BC" w:rsidRPr="00256982" w:rsidRDefault="00DE64BC" w:rsidP="00A808C7">
            <w:pPr>
              <w:pStyle w:val="TableText"/>
              <w:rPr>
                <w:lang w:eastAsia="en-NZ"/>
              </w:rPr>
            </w:pPr>
            <w:r w:rsidRPr="00256982">
              <w:rPr>
                <w:lang w:eastAsia="en-NZ"/>
              </w:rPr>
              <w:t>Net cumulative area since 1990 (hectares)</w:t>
            </w:r>
          </w:p>
        </w:tc>
        <w:tc>
          <w:tcPr>
            <w:tcW w:w="1147" w:type="dxa"/>
            <w:tcBorders>
              <w:top w:val="single" w:sz="4" w:space="0" w:color="auto"/>
              <w:left w:val="nil"/>
              <w:right w:val="nil"/>
            </w:tcBorders>
            <w:shd w:val="clear" w:color="auto" w:fill="auto"/>
            <w:hideMark/>
          </w:tcPr>
          <w:p w14:paraId="4A1776DC" w14:textId="77777777" w:rsidR="00DE64BC" w:rsidRPr="00256982" w:rsidRDefault="00DE64BC" w:rsidP="00A808C7">
            <w:pPr>
              <w:pStyle w:val="TableText"/>
              <w:jc w:val="right"/>
              <w:rPr>
                <w:lang w:eastAsia="en-NZ"/>
              </w:rPr>
            </w:pPr>
            <w:r w:rsidRPr="00256982">
              <w:t>179,699</w:t>
            </w:r>
          </w:p>
        </w:tc>
        <w:tc>
          <w:tcPr>
            <w:tcW w:w="1147" w:type="dxa"/>
            <w:tcBorders>
              <w:top w:val="single" w:sz="4" w:space="0" w:color="auto"/>
              <w:left w:val="nil"/>
              <w:right w:val="nil"/>
            </w:tcBorders>
            <w:shd w:val="clear" w:color="auto" w:fill="auto"/>
            <w:hideMark/>
          </w:tcPr>
          <w:p w14:paraId="0137A78F" w14:textId="77777777" w:rsidR="00DE64BC" w:rsidRPr="00256982" w:rsidRDefault="00DE64BC" w:rsidP="00A808C7">
            <w:pPr>
              <w:pStyle w:val="TableText"/>
              <w:jc w:val="right"/>
              <w:rPr>
                <w:lang w:eastAsia="en-NZ"/>
              </w:rPr>
            </w:pPr>
            <w:r w:rsidRPr="00256982">
              <w:t>187,350</w:t>
            </w:r>
          </w:p>
        </w:tc>
        <w:tc>
          <w:tcPr>
            <w:tcW w:w="1147" w:type="dxa"/>
            <w:tcBorders>
              <w:top w:val="single" w:sz="4" w:space="0" w:color="auto"/>
              <w:left w:val="nil"/>
              <w:right w:val="nil"/>
            </w:tcBorders>
            <w:shd w:val="clear" w:color="auto" w:fill="auto"/>
            <w:hideMark/>
          </w:tcPr>
          <w:p w14:paraId="4F23DBA3" w14:textId="77777777" w:rsidR="00DE64BC" w:rsidRPr="00256982" w:rsidRDefault="00DE64BC" w:rsidP="00A808C7">
            <w:pPr>
              <w:pStyle w:val="TableText"/>
              <w:jc w:val="right"/>
              <w:rPr>
                <w:lang w:eastAsia="en-NZ"/>
              </w:rPr>
            </w:pPr>
            <w:r w:rsidRPr="00256982">
              <w:t>193,591</w:t>
            </w:r>
          </w:p>
        </w:tc>
        <w:tc>
          <w:tcPr>
            <w:tcW w:w="1147" w:type="dxa"/>
            <w:tcBorders>
              <w:top w:val="single" w:sz="4" w:space="0" w:color="auto"/>
              <w:left w:val="nil"/>
              <w:right w:val="nil"/>
            </w:tcBorders>
            <w:shd w:val="clear" w:color="auto" w:fill="auto"/>
            <w:hideMark/>
          </w:tcPr>
          <w:p w14:paraId="2DADC905" w14:textId="77777777" w:rsidR="00DE64BC" w:rsidRPr="00256982" w:rsidRDefault="00DE64BC" w:rsidP="00A808C7">
            <w:pPr>
              <w:pStyle w:val="TableText"/>
              <w:jc w:val="right"/>
              <w:rPr>
                <w:lang w:eastAsia="en-NZ"/>
              </w:rPr>
            </w:pPr>
            <w:r w:rsidRPr="00256982">
              <w:t>197,214</w:t>
            </w:r>
          </w:p>
        </w:tc>
        <w:tc>
          <w:tcPr>
            <w:tcW w:w="1147" w:type="dxa"/>
            <w:tcBorders>
              <w:top w:val="single" w:sz="4" w:space="0" w:color="auto"/>
              <w:left w:val="nil"/>
              <w:right w:val="nil"/>
            </w:tcBorders>
          </w:tcPr>
          <w:p w14:paraId="7F058AB9" w14:textId="77777777" w:rsidR="00DE64BC" w:rsidRPr="00256982" w:rsidRDefault="00DE64BC" w:rsidP="00A808C7">
            <w:pPr>
              <w:pStyle w:val="TableText"/>
              <w:jc w:val="right"/>
            </w:pPr>
            <w:r w:rsidRPr="00256982">
              <w:t>200,161</w:t>
            </w:r>
          </w:p>
        </w:tc>
      </w:tr>
      <w:tr w:rsidR="00DE64BC" w:rsidRPr="00256982" w14:paraId="419ED610" w14:textId="77777777" w:rsidTr="00A808C7">
        <w:tc>
          <w:tcPr>
            <w:tcW w:w="2727" w:type="dxa"/>
            <w:tcBorders>
              <w:left w:val="nil"/>
              <w:right w:val="nil"/>
            </w:tcBorders>
            <w:shd w:val="clear" w:color="auto" w:fill="auto"/>
            <w:vAlign w:val="center"/>
            <w:hideMark/>
          </w:tcPr>
          <w:p w14:paraId="498E1FDD" w14:textId="77777777" w:rsidR="00DE64BC" w:rsidRPr="00256982" w:rsidRDefault="00DE64BC" w:rsidP="00A808C7">
            <w:pPr>
              <w:pStyle w:val="TableText"/>
              <w:rPr>
                <w:lang w:eastAsia="en-NZ"/>
              </w:rPr>
            </w:pPr>
            <w:r w:rsidRPr="00256982">
              <w:rPr>
                <w:lang w:eastAsia="en-NZ"/>
              </w:rPr>
              <w:t>Area in calendar year (hectares)</w:t>
            </w:r>
          </w:p>
        </w:tc>
        <w:tc>
          <w:tcPr>
            <w:tcW w:w="1147" w:type="dxa"/>
            <w:tcBorders>
              <w:left w:val="nil"/>
              <w:right w:val="nil"/>
            </w:tcBorders>
            <w:shd w:val="clear" w:color="auto" w:fill="auto"/>
            <w:hideMark/>
          </w:tcPr>
          <w:p w14:paraId="6C693EF1" w14:textId="77777777" w:rsidR="00DE64BC" w:rsidRPr="00256982" w:rsidRDefault="00DE64BC" w:rsidP="00A808C7">
            <w:pPr>
              <w:pStyle w:val="TableText"/>
              <w:jc w:val="right"/>
              <w:rPr>
                <w:lang w:eastAsia="en-NZ"/>
              </w:rPr>
            </w:pPr>
            <w:r w:rsidRPr="00256982">
              <w:t xml:space="preserve"> 15,160 </w:t>
            </w:r>
          </w:p>
        </w:tc>
        <w:tc>
          <w:tcPr>
            <w:tcW w:w="1147" w:type="dxa"/>
            <w:tcBorders>
              <w:left w:val="nil"/>
              <w:right w:val="nil"/>
            </w:tcBorders>
            <w:shd w:val="clear" w:color="auto" w:fill="auto"/>
            <w:hideMark/>
          </w:tcPr>
          <w:p w14:paraId="1CA0A5B4" w14:textId="77777777" w:rsidR="00DE64BC" w:rsidRPr="00256982" w:rsidRDefault="00DE64BC" w:rsidP="00A808C7">
            <w:pPr>
              <w:pStyle w:val="TableText"/>
              <w:jc w:val="right"/>
              <w:rPr>
                <w:lang w:eastAsia="en-NZ"/>
              </w:rPr>
            </w:pPr>
            <w:r w:rsidRPr="00256982">
              <w:t xml:space="preserve"> 7,651 </w:t>
            </w:r>
          </w:p>
        </w:tc>
        <w:tc>
          <w:tcPr>
            <w:tcW w:w="1147" w:type="dxa"/>
            <w:tcBorders>
              <w:left w:val="nil"/>
              <w:right w:val="nil"/>
            </w:tcBorders>
            <w:shd w:val="clear" w:color="auto" w:fill="auto"/>
            <w:hideMark/>
          </w:tcPr>
          <w:p w14:paraId="5A01B17F" w14:textId="77777777" w:rsidR="00DE64BC" w:rsidRPr="00256982" w:rsidRDefault="00DE64BC" w:rsidP="00A808C7">
            <w:pPr>
              <w:pStyle w:val="TableText"/>
              <w:jc w:val="right"/>
              <w:rPr>
                <w:lang w:eastAsia="en-NZ"/>
              </w:rPr>
            </w:pPr>
            <w:r w:rsidRPr="00256982">
              <w:t xml:space="preserve"> 6,241 </w:t>
            </w:r>
          </w:p>
        </w:tc>
        <w:tc>
          <w:tcPr>
            <w:tcW w:w="1147" w:type="dxa"/>
            <w:tcBorders>
              <w:left w:val="nil"/>
              <w:right w:val="nil"/>
            </w:tcBorders>
            <w:shd w:val="clear" w:color="auto" w:fill="auto"/>
            <w:hideMark/>
          </w:tcPr>
          <w:p w14:paraId="0E033D71" w14:textId="77777777" w:rsidR="00DE64BC" w:rsidRPr="00256982" w:rsidRDefault="00DE64BC" w:rsidP="00A808C7">
            <w:pPr>
              <w:pStyle w:val="TableText"/>
              <w:jc w:val="right"/>
              <w:rPr>
                <w:lang w:eastAsia="en-NZ"/>
              </w:rPr>
            </w:pPr>
            <w:r w:rsidRPr="00256982">
              <w:t xml:space="preserve"> 3,623 </w:t>
            </w:r>
          </w:p>
        </w:tc>
        <w:tc>
          <w:tcPr>
            <w:tcW w:w="1147" w:type="dxa"/>
            <w:tcBorders>
              <w:left w:val="nil"/>
              <w:right w:val="nil"/>
            </w:tcBorders>
          </w:tcPr>
          <w:p w14:paraId="2D58C589" w14:textId="77777777" w:rsidR="00DE64BC" w:rsidRPr="00256982" w:rsidRDefault="00DE64BC" w:rsidP="00A808C7">
            <w:pPr>
              <w:pStyle w:val="TableText"/>
              <w:jc w:val="right"/>
            </w:pPr>
            <w:r w:rsidRPr="00256982">
              <w:t xml:space="preserve"> 2,947 </w:t>
            </w:r>
          </w:p>
        </w:tc>
      </w:tr>
      <w:tr w:rsidR="00DE64BC" w:rsidRPr="00256982" w14:paraId="5C83DC80" w14:textId="77777777" w:rsidTr="00A808C7">
        <w:tc>
          <w:tcPr>
            <w:tcW w:w="2727" w:type="dxa"/>
            <w:tcBorders>
              <w:left w:val="nil"/>
              <w:bottom w:val="single" w:sz="8" w:space="0" w:color="44546A"/>
              <w:right w:val="nil"/>
            </w:tcBorders>
            <w:shd w:val="clear" w:color="auto" w:fill="auto"/>
            <w:vAlign w:val="center"/>
            <w:hideMark/>
          </w:tcPr>
          <w:p w14:paraId="0586ED9F" w14:textId="77777777" w:rsidR="00DE64BC" w:rsidRPr="00256982" w:rsidRDefault="00DE64BC" w:rsidP="00A808C7">
            <w:pPr>
              <w:pStyle w:val="TableText"/>
              <w:rPr>
                <w:lang w:eastAsia="en-NZ"/>
              </w:rPr>
            </w:pPr>
            <w:r w:rsidRPr="00256982">
              <w:rPr>
                <w:lang w:eastAsia="en-NZ"/>
              </w:rPr>
              <w:t>Net emissions in calendar year (kt CO</w:t>
            </w:r>
            <w:r w:rsidRPr="00256982">
              <w:rPr>
                <w:vertAlign w:val="subscript"/>
                <w:lang w:eastAsia="en-NZ"/>
              </w:rPr>
              <w:t>2</w:t>
            </w:r>
            <w:r w:rsidRPr="00256982">
              <w:rPr>
                <w:lang w:eastAsia="en-NZ"/>
              </w:rPr>
              <w:t>-e)</w:t>
            </w:r>
          </w:p>
        </w:tc>
        <w:tc>
          <w:tcPr>
            <w:tcW w:w="1147" w:type="dxa"/>
            <w:tcBorders>
              <w:left w:val="nil"/>
              <w:bottom w:val="single" w:sz="8" w:space="0" w:color="44546A"/>
              <w:right w:val="nil"/>
            </w:tcBorders>
            <w:shd w:val="clear" w:color="auto" w:fill="auto"/>
            <w:hideMark/>
          </w:tcPr>
          <w:p w14:paraId="24569D04" w14:textId="77777777" w:rsidR="00DE64BC" w:rsidRPr="00256982" w:rsidRDefault="00DE64BC" w:rsidP="00A808C7">
            <w:pPr>
              <w:pStyle w:val="TableText"/>
              <w:jc w:val="right"/>
              <w:rPr>
                <w:lang w:eastAsia="en-NZ"/>
              </w:rPr>
            </w:pPr>
            <w:r w:rsidRPr="00256982">
              <w:t>10,110.8</w:t>
            </w:r>
          </w:p>
        </w:tc>
        <w:tc>
          <w:tcPr>
            <w:tcW w:w="1147" w:type="dxa"/>
            <w:tcBorders>
              <w:left w:val="nil"/>
              <w:bottom w:val="single" w:sz="8" w:space="0" w:color="44546A"/>
              <w:right w:val="nil"/>
            </w:tcBorders>
            <w:shd w:val="clear" w:color="auto" w:fill="auto"/>
            <w:hideMark/>
          </w:tcPr>
          <w:p w14:paraId="29D27B65" w14:textId="77777777" w:rsidR="00DE64BC" w:rsidRPr="00256982" w:rsidRDefault="00DE64BC" w:rsidP="00A808C7">
            <w:pPr>
              <w:pStyle w:val="TableText"/>
              <w:jc w:val="right"/>
              <w:rPr>
                <w:lang w:eastAsia="en-NZ"/>
              </w:rPr>
            </w:pPr>
            <w:r w:rsidRPr="00256982">
              <w:t>5,115.8</w:t>
            </w:r>
          </w:p>
        </w:tc>
        <w:tc>
          <w:tcPr>
            <w:tcW w:w="1147" w:type="dxa"/>
            <w:tcBorders>
              <w:left w:val="nil"/>
              <w:bottom w:val="single" w:sz="8" w:space="0" w:color="44546A"/>
              <w:right w:val="nil"/>
            </w:tcBorders>
            <w:shd w:val="clear" w:color="auto" w:fill="auto"/>
            <w:hideMark/>
          </w:tcPr>
          <w:p w14:paraId="0AD49C79" w14:textId="77777777" w:rsidR="00DE64BC" w:rsidRPr="00256982" w:rsidRDefault="00DE64BC" w:rsidP="00A808C7">
            <w:pPr>
              <w:pStyle w:val="TableText"/>
              <w:jc w:val="right"/>
              <w:rPr>
                <w:lang w:eastAsia="en-NZ"/>
              </w:rPr>
            </w:pPr>
            <w:r w:rsidRPr="00256982">
              <w:t>3,912.9</w:t>
            </w:r>
          </w:p>
        </w:tc>
        <w:tc>
          <w:tcPr>
            <w:tcW w:w="1147" w:type="dxa"/>
            <w:tcBorders>
              <w:left w:val="nil"/>
              <w:bottom w:val="single" w:sz="8" w:space="0" w:color="44546A"/>
              <w:right w:val="nil"/>
            </w:tcBorders>
            <w:shd w:val="clear" w:color="auto" w:fill="auto"/>
            <w:hideMark/>
          </w:tcPr>
          <w:p w14:paraId="19838C13" w14:textId="77777777" w:rsidR="00DE64BC" w:rsidRPr="00256982" w:rsidRDefault="00DE64BC" w:rsidP="00A808C7">
            <w:pPr>
              <w:pStyle w:val="TableText"/>
              <w:jc w:val="right"/>
              <w:rPr>
                <w:lang w:eastAsia="en-NZ"/>
              </w:rPr>
            </w:pPr>
            <w:r w:rsidRPr="00256982">
              <w:t>2,050.5</w:t>
            </w:r>
          </w:p>
        </w:tc>
        <w:tc>
          <w:tcPr>
            <w:tcW w:w="1147" w:type="dxa"/>
            <w:tcBorders>
              <w:left w:val="nil"/>
              <w:bottom w:val="single" w:sz="8" w:space="0" w:color="44546A"/>
              <w:right w:val="nil"/>
            </w:tcBorders>
          </w:tcPr>
          <w:p w14:paraId="66A17EA1" w14:textId="77777777" w:rsidR="00DE64BC" w:rsidRPr="00256982" w:rsidRDefault="00DE64BC" w:rsidP="00A808C7">
            <w:pPr>
              <w:pStyle w:val="TableText"/>
              <w:jc w:val="right"/>
            </w:pPr>
            <w:r w:rsidRPr="00256982">
              <w:t>1,657.0</w:t>
            </w:r>
          </w:p>
        </w:tc>
      </w:tr>
      <w:tr w:rsidR="00DE64BC" w:rsidRPr="00256982" w14:paraId="76249B1F" w14:textId="77777777" w:rsidTr="00A808C7">
        <w:tc>
          <w:tcPr>
            <w:tcW w:w="2727" w:type="dxa"/>
            <w:tcBorders>
              <w:top w:val="nil"/>
              <w:left w:val="nil"/>
              <w:bottom w:val="single" w:sz="4" w:space="0" w:color="auto"/>
              <w:right w:val="nil"/>
            </w:tcBorders>
            <w:shd w:val="clear" w:color="auto" w:fill="auto"/>
            <w:vAlign w:val="center"/>
            <w:hideMark/>
          </w:tcPr>
          <w:p w14:paraId="49AEF790" w14:textId="77777777" w:rsidR="00DE64BC" w:rsidRPr="00256982" w:rsidRDefault="00DE64BC" w:rsidP="00A808C7">
            <w:pPr>
              <w:pStyle w:val="TableTextBold"/>
              <w:rPr>
                <w:noProof w:val="0"/>
                <w:lang w:eastAsia="en-NZ"/>
              </w:rPr>
            </w:pPr>
            <w:r w:rsidRPr="00256982">
              <w:rPr>
                <w:noProof w:val="0"/>
                <w:lang w:eastAsia="en-NZ"/>
              </w:rPr>
              <w:t>Forest management</w:t>
            </w:r>
          </w:p>
        </w:tc>
        <w:tc>
          <w:tcPr>
            <w:tcW w:w="1147" w:type="dxa"/>
            <w:tcBorders>
              <w:top w:val="nil"/>
              <w:left w:val="nil"/>
              <w:bottom w:val="single" w:sz="4" w:space="0" w:color="auto"/>
              <w:right w:val="nil"/>
            </w:tcBorders>
            <w:shd w:val="clear" w:color="auto" w:fill="auto"/>
            <w:hideMark/>
          </w:tcPr>
          <w:p w14:paraId="585C19B7" w14:textId="77777777" w:rsidR="00DE64BC" w:rsidRPr="00256982" w:rsidRDefault="00DE64BC" w:rsidP="00A808C7">
            <w:pPr>
              <w:pStyle w:val="TableTextBold"/>
              <w:rPr>
                <w:noProof w:val="0"/>
                <w:lang w:eastAsia="en-NZ"/>
              </w:rPr>
            </w:pPr>
          </w:p>
        </w:tc>
        <w:tc>
          <w:tcPr>
            <w:tcW w:w="1147" w:type="dxa"/>
            <w:tcBorders>
              <w:top w:val="nil"/>
              <w:left w:val="nil"/>
              <w:bottom w:val="single" w:sz="4" w:space="0" w:color="auto"/>
              <w:right w:val="nil"/>
            </w:tcBorders>
            <w:shd w:val="clear" w:color="auto" w:fill="auto"/>
            <w:hideMark/>
          </w:tcPr>
          <w:p w14:paraId="6053697B" w14:textId="77777777" w:rsidR="00DE64BC" w:rsidRPr="00256982" w:rsidRDefault="00DE64BC" w:rsidP="00A808C7">
            <w:pPr>
              <w:pStyle w:val="TableTextBold"/>
              <w:rPr>
                <w:noProof w:val="0"/>
                <w:lang w:eastAsia="en-NZ"/>
              </w:rPr>
            </w:pPr>
          </w:p>
        </w:tc>
        <w:tc>
          <w:tcPr>
            <w:tcW w:w="1147" w:type="dxa"/>
            <w:tcBorders>
              <w:top w:val="nil"/>
              <w:left w:val="nil"/>
              <w:bottom w:val="single" w:sz="4" w:space="0" w:color="auto"/>
              <w:right w:val="nil"/>
            </w:tcBorders>
            <w:shd w:val="clear" w:color="auto" w:fill="auto"/>
            <w:hideMark/>
          </w:tcPr>
          <w:p w14:paraId="7B027204" w14:textId="77777777" w:rsidR="00DE64BC" w:rsidRPr="00256982" w:rsidRDefault="00DE64BC" w:rsidP="00A808C7">
            <w:pPr>
              <w:pStyle w:val="TableTextBold"/>
              <w:rPr>
                <w:noProof w:val="0"/>
                <w:lang w:eastAsia="en-NZ"/>
              </w:rPr>
            </w:pPr>
          </w:p>
        </w:tc>
        <w:tc>
          <w:tcPr>
            <w:tcW w:w="1147" w:type="dxa"/>
            <w:tcBorders>
              <w:top w:val="nil"/>
              <w:left w:val="nil"/>
              <w:bottom w:val="single" w:sz="4" w:space="0" w:color="auto"/>
              <w:right w:val="nil"/>
            </w:tcBorders>
            <w:shd w:val="clear" w:color="auto" w:fill="auto"/>
            <w:hideMark/>
          </w:tcPr>
          <w:p w14:paraId="27DCF798" w14:textId="77777777" w:rsidR="00DE64BC" w:rsidRPr="00256982" w:rsidRDefault="00DE64BC" w:rsidP="00A808C7">
            <w:pPr>
              <w:pStyle w:val="TableTextBold"/>
              <w:rPr>
                <w:noProof w:val="0"/>
                <w:lang w:eastAsia="en-NZ"/>
              </w:rPr>
            </w:pPr>
          </w:p>
        </w:tc>
        <w:tc>
          <w:tcPr>
            <w:tcW w:w="1147" w:type="dxa"/>
            <w:tcBorders>
              <w:top w:val="nil"/>
              <w:left w:val="nil"/>
              <w:bottom w:val="single" w:sz="4" w:space="0" w:color="auto"/>
              <w:right w:val="nil"/>
            </w:tcBorders>
          </w:tcPr>
          <w:p w14:paraId="63134AAC" w14:textId="77777777" w:rsidR="00DE64BC" w:rsidRPr="00256982" w:rsidRDefault="00DE64BC" w:rsidP="00A808C7">
            <w:pPr>
              <w:pStyle w:val="TableTextBold"/>
              <w:rPr>
                <w:noProof w:val="0"/>
              </w:rPr>
            </w:pPr>
          </w:p>
        </w:tc>
      </w:tr>
      <w:tr w:rsidR="00DE64BC" w:rsidRPr="00256982" w14:paraId="233E86B5" w14:textId="77777777" w:rsidTr="00A808C7">
        <w:tc>
          <w:tcPr>
            <w:tcW w:w="2727" w:type="dxa"/>
            <w:tcBorders>
              <w:top w:val="single" w:sz="4" w:space="0" w:color="auto"/>
              <w:left w:val="nil"/>
              <w:right w:val="nil"/>
            </w:tcBorders>
            <w:shd w:val="clear" w:color="auto" w:fill="auto"/>
            <w:vAlign w:val="center"/>
            <w:hideMark/>
          </w:tcPr>
          <w:p w14:paraId="755FF104" w14:textId="77777777" w:rsidR="00DE64BC" w:rsidRPr="00256982" w:rsidRDefault="00DE64BC" w:rsidP="00A808C7">
            <w:pPr>
              <w:pStyle w:val="TableText"/>
              <w:rPr>
                <w:lang w:eastAsia="en-NZ"/>
              </w:rPr>
            </w:pPr>
            <w:r w:rsidRPr="00256982">
              <w:rPr>
                <w:lang w:eastAsia="en-NZ"/>
              </w:rPr>
              <w:t>Area included (hectares)</w:t>
            </w:r>
          </w:p>
        </w:tc>
        <w:tc>
          <w:tcPr>
            <w:tcW w:w="1147" w:type="dxa"/>
            <w:tcBorders>
              <w:top w:val="single" w:sz="4" w:space="0" w:color="auto"/>
              <w:left w:val="nil"/>
              <w:right w:val="nil"/>
            </w:tcBorders>
            <w:shd w:val="clear" w:color="auto" w:fill="auto"/>
            <w:hideMark/>
          </w:tcPr>
          <w:p w14:paraId="7CAE10EC" w14:textId="77777777" w:rsidR="00DE64BC" w:rsidRPr="00256982" w:rsidRDefault="00DE64BC" w:rsidP="00A808C7">
            <w:pPr>
              <w:pStyle w:val="TableText"/>
              <w:jc w:val="right"/>
              <w:rPr>
                <w:lang w:eastAsia="en-NZ"/>
              </w:rPr>
            </w:pPr>
            <w:r w:rsidRPr="00256982">
              <w:t>9,259,045</w:t>
            </w:r>
          </w:p>
        </w:tc>
        <w:tc>
          <w:tcPr>
            <w:tcW w:w="1147" w:type="dxa"/>
            <w:tcBorders>
              <w:top w:val="single" w:sz="4" w:space="0" w:color="auto"/>
              <w:left w:val="nil"/>
              <w:right w:val="nil"/>
            </w:tcBorders>
            <w:shd w:val="clear" w:color="auto" w:fill="auto"/>
            <w:hideMark/>
          </w:tcPr>
          <w:p w14:paraId="3CCC3248" w14:textId="77777777" w:rsidR="00DE64BC" w:rsidRPr="00256982" w:rsidRDefault="00DE64BC" w:rsidP="00A808C7">
            <w:pPr>
              <w:pStyle w:val="TableText"/>
              <w:jc w:val="right"/>
              <w:rPr>
                <w:lang w:eastAsia="en-NZ"/>
              </w:rPr>
            </w:pPr>
            <w:r w:rsidRPr="00256982">
              <w:t>9,252,620</w:t>
            </w:r>
          </w:p>
        </w:tc>
        <w:tc>
          <w:tcPr>
            <w:tcW w:w="1147" w:type="dxa"/>
            <w:tcBorders>
              <w:top w:val="single" w:sz="4" w:space="0" w:color="auto"/>
              <w:left w:val="nil"/>
              <w:right w:val="nil"/>
            </w:tcBorders>
            <w:shd w:val="clear" w:color="auto" w:fill="auto"/>
            <w:hideMark/>
          </w:tcPr>
          <w:p w14:paraId="00B1DA70" w14:textId="77777777" w:rsidR="00DE64BC" w:rsidRPr="00256982" w:rsidRDefault="00DE64BC" w:rsidP="00A808C7">
            <w:pPr>
              <w:pStyle w:val="TableText"/>
              <w:jc w:val="right"/>
              <w:rPr>
                <w:lang w:eastAsia="en-NZ"/>
              </w:rPr>
            </w:pPr>
            <w:r w:rsidRPr="00256982">
              <w:t>9,247,943</w:t>
            </w:r>
          </w:p>
        </w:tc>
        <w:tc>
          <w:tcPr>
            <w:tcW w:w="1147" w:type="dxa"/>
            <w:tcBorders>
              <w:top w:val="single" w:sz="4" w:space="0" w:color="auto"/>
              <w:left w:val="nil"/>
              <w:right w:val="nil"/>
            </w:tcBorders>
            <w:shd w:val="clear" w:color="auto" w:fill="auto"/>
            <w:hideMark/>
          </w:tcPr>
          <w:p w14:paraId="4215ABD7" w14:textId="77777777" w:rsidR="00DE64BC" w:rsidRPr="00256982" w:rsidRDefault="00DE64BC" w:rsidP="00A808C7">
            <w:pPr>
              <w:pStyle w:val="TableText"/>
              <w:jc w:val="right"/>
              <w:rPr>
                <w:lang w:eastAsia="en-NZ"/>
              </w:rPr>
            </w:pPr>
            <w:r w:rsidRPr="00256982">
              <w:t>9,246,176</w:t>
            </w:r>
          </w:p>
        </w:tc>
        <w:tc>
          <w:tcPr>
            <w:tcW w:w="1147" w:type="dxa"/>
            <w:tcBorders>
              <w:top w:val="single" w:sz="4" w:space="0" w:color="auto"/>
              <w:left w:val="nil"/>
              <w:right w:val="nil"/>
            </w:tcBorders>
          </w:tcPr>
          <w:p w14:paraId="546E36F0" w14:textId="77777777" w:rsidR="00DE64BC" w:rsidRPr="00256982" w:rsidRDefault="00DE64BC" w:rsidP="00A808C7">
            <w:pPr>
              <w:pStyle w:val="TableText"/>
              <w:jc w:val="right"/>
            </w:pPr>
            <w:r w:rsidRPr="00256982">
              <w:t>9,245,248</w:t>
            </w:r>
          </w:p>
        </w:tc>
      </w:tr>
      <w:tr w:rsidR="00DE64BC" w:rsidRPr="00256982" w14:paraId="4C2BE5C1" w14:textId="77777777" w:rsidTr="00A808C7">
        <w:tc>
          <w:tcPr>
            <w:tcW w:w="2727" w:type="dxa"/>
            <w:tcBorders>
              <w:left w:val="nil"/>
              <w:bottom w:val="single" w:sz="4" w:space="0" w:color="auto"/>
              <w:right w:val="nil"/>
            </w:tcBorders>
            <w:shd w:val="clear" w:color="auto" w:fill="auto"/>
            <w:vAlign w:val="center"/>
            <w:hideMark/>
          </w:tcPr>
          <w:p w14:paraId="30C28859" w14:textId="77777777" w:rsidR="00DE64BC" w:rsidRPr="00256982" w:rsidRDefault="00DE64BC" w:rsidP="00A808C7">
            <w:pPr>
              <w:pStyle w:val="TableText"/>
              <w:rPr>
                <w:lang w:eastAsia="en-NZ"/>
              </w:rPr>
            </w:pPr>
            <w:r w:rsidRPr="00256982">
              <w:rPr>
                <w:lang w:eastAsia="en-NZ"/>
              </w:rPr>
              <w:t>Net emissions in calendar year (kt CO</w:t>
            </w:r>
            <w:r w:rsidRPr="00256982">
              <w:rPr>
                <w:vertAlign w:val="subscript"/>
                <w:lang w:eastAsia="en-NZ"/>
              </w:rPr>
              <w:t>2</w:t>
            </w:r>
            <w:r w:rsidRPr="00256982">
              <w:rPr>
                <w:lang w:eastAsia="en-NZ"/>
              </w:rPr>
              <w:t>-e)</w:t>
            </w:r>
          </w:p>
        </w:tc>
        <w:tc>
          <w:tcPr>
            <w:tcW w:w="1147" w:type="dxa"/>
            <w:tcBorders>
              <w:left w:val="nil"/>
              <w:bottom w:val="single" w:sz="4" w:space="0" w:color="auto"/>
              <w:right w:val="nil"/>
            </w:tcBorders>
            <w:shd w:val="clear" w:color="auto" w:fill="auto"/>
            <w:hideMark/>
          </w:tcPr>
          <w:p w14:paraId="31F599D2" w14:textId="77777777" w:rsidR="00DE64BC" w:rsidRPr="00256982" w:rsidRDefault="00DE64BC" w:rsidP="00A808C7">
            <w:pPr>
              <w:pStyle w:val="TableText"/>
              <w:jc w:val="right"/>
              <w:rPr>
                <w:lang w:eastAsia="en-NZ"/>
              </w:rPr>
            </w:pPr>
            <w:r w:rsidRPr="00256982">
              <w:t xml:space="preserve">–22,258.7 </w:t>
            </w:r>
          </w:p>
        </w:tc>
        <w:tc>
          <w:tcPr>
            <w:tcW w:w="1147" w:type="dxa"/>
            <w:tcBorders>
              <w:left w:val="nil"/>
              <w:bottom w:val="single" w:sz="4" w:space="0" w:color="auto"/>
              <w:right w:val="nil"/>
            </w:tcBorders>
            <w:shd w:val="clear" w:color="auto" w:fill="auto"/>
            <w:hideMark/>
          </w:tcPr>
          <w:p w14:paraId="361ADED0" w14:textId="77777777" w:rsidR="00DE64BC" w:rsidRPr="00256982" w:rsidRDefault="00DE64BC" w:rsidP="00A808C7">
            <w:pPr>
              <w:pStyle w:val="TableText"/>
              <w:jc w:val="right"/>
              <w:rPr>
                <w:lang w:eastAsia="en-NZ"/>
              </w:rPr>
            </w:pPr>
            <w:r w:rsidRPr="00256982">
              <w:t xml:space="preserve">–20,552.2 </w:t>
            </w:r>
          </w:p>
        </w:tc>
        <w:tc>
          <w:tcPr>
            <w:tcW w:w="1147" w:type="dxa"/>
            <w:tcBorders>
              <w:left w:val="nil"/>
              <w:bottom w:val="single" w:sz="4" w:space="0" w:color="auto"/>
              <w:right w:val="nil"/>
            </w:tcBorders>
            <w:shd w:val="clear" w:color="auto" w:fill="auto"/>
            <w:hideMark/>
          </w:tcPr>
          <w:p w14:paraId="3FE29D04" w14:textId="77777777" w:rsidR="00DE64BC" w:rsidRPr="00256982" w:rsidRDefault="00DE64BC" w:rsidP="00A808C7">
            <w:pPr>
              <w:pStyle w:val="TableText"/>
              <w:jc w:val="right"/>
              <w:rPr>
                <w:lang w:eastAsia="en-NZ"/>
              </w:rPr>
            </w:pPr>
            <w:r w:rsidRPr="00256982">
              <w:t xml:space="preserve">–18,331.9 </w:t>
            </w:r>
          </w:p>
        </w:tc>
        <w:tc>
          <w:tcPr>
            <w:tcW w:w="1147" w:type="dxa"/>
            <w:tcBorders>
              <w:left w:val="nil"/>
              <w:bottom w:val="single" w:sz="4" w:space="0" w:color="auto"/>
              <w:right w:val="nil"/>
            </w:tcBorders>
            <w:shd w:val="clear" w:color="auto" w:fill="auto"/>
            <w:hideMark/>
          </w:tcPr>
          <w:p w14:paraId="73AE78EB" w14:textId="77777777" w:rsidR="00DE64BC" w:rsidRPr="00256982" w:rsidRDefault="00DE64BC" w:rsidP="00A808C7">
            <w:pPr>
              <w:pStyle w:val="TableText"/>
              <w:jc w:val="right"/>
              <w:rPr>
                <w:lang w:eastAsia="en-NZ"/>
              </w:rPr>
            </w:pPr>
            <w:r w:rsidRPr="00256982">
              <w:t xml:space="preserve">–15,731.4 </w:t>
            </w:r>
          </w:p>
        </w:tc>
        <w:tc>
          <w:tcPr>
            <w:tcW w:w="1147" w:type="dxa"/>
            <w:tcBorders>
              <w:left w:val="nil"/>
              <w:bottom w:val="single" w:sz="4" w:space="0" w:color="auto"/>
              <w:right w:val="nil"/>
            </w:tcBorders>
          </w:tcPr>
          <w:p w14:paraId="0761C0BE" w14:textId="77777777" w:rsidR="00DE64BC" w:rsidRPr="00256982" w:rsidRDefault="00DE64BC" w:rsidP="00A808C7">
            <w:pPr>
              <w:pStyle w:val="TableText"/>
              <w:jc w:val="right"/>
            </w:pPr>
            <w:r w:rsidRPr="00256982">
              <w:t xml:space="preserve">–14,553.9 </w:t>
            </w:r>
          </w:p>
        </w:tc>
      </w:tr>
      <w:tr w:rsidR="00DE64BC" w:rsidRPr="00256982" w14:paraId="040348E8" w14:textId="77777777" w:rsidTr="00A808C7">
        <w:tc>
          <w:tcPr>
            <w:tcW w:w="2727" w:type="dxa"/>
            <w:tcBorders>
              <w:top w:val="single" w:sz="4" w:space="0" w:color="auto"/>
              <w:left w:val="nil"/>
              <w:bottom w:val="single" w:sz="8" w:space="0" w:color="44546A"/>
              <w:right w:val="nil"/>
            </w:tcBorders>
            <w:shd w:val="clear" w:color="auto" w:fill="auto"/>
            <w:vAlign w:val="center"/>
            <w:hideMark/>
          </w:tcPr>
          <w:p w14:paraId="4B1A07D0" w14:textId="77777777" w:rsidR="00DE64BC" w:rsidRPr="00256982" w:rsidRDefault="00DE64BC" w:rsidP="00A808C7">
            <w:pPr>
              <w:pStyle w:val="TableTextBold"/>
              <w:rPr>
                <w:noProof w:val="0"/>
                <w:lang w:eastAsia="en-NZ"/>
              </w:rPr>
            </w:pPr>
            <w:r w:rsidRPr="00256982">
              <w:rPr>
                <w:noProof w:val="0"/>
                <w:lang w:eastAsia="en-NZ"/>
              </w:rPr>
              <w:t>Total area included (hectares)</w:t>
            </w:r>
          </w:p>
        </w:tc>
        <w:tc>
          <w:tcPr>
            <w:tcW w:w="1147" w:type="dxa"/>
            <w:tcBorders>
              <w:top w:val="single" w:sz="4" w:space="0" w:color="auto"/>
              <w:left w:val="nil"/>
              <w:bottom w:val="single" w:sz="8" w:space="0" w:color="44546A"/>
              <w:right w:val="nil"/>
            </w:tcBorders>
            <w:shd w:val="clear" w:color="auto" w:fill="auto"/>
            <w:hideMark/>
          </w:tcPr>
          <w:p w14:paraId="40AA8337" w14:textId="77777777" w:rsidR="00DE64BC" w:rsidRPr="00256982" w:rsidRDefault="00DE64BC" w:rsidP="00A808C7">
            <w:pPr>
              <w:pStyle w:val="TableTextBold"/>
              <w:jc w:val="right"/>
              <w:rPr>
                <w:noProof w:val="0"/>
                <w:lang w:eastAsia="en-NZ"/>
              </w:rPr>
            </w:pPr>
            <w:r w:rsidRPr="00256982">
              <w:rPr>
                <w:noProof w:val="0"/>
              </w:rPr>
              <w:t>10,108,851</w:t>
            </w:r>
          </w:p>
        </w:tc>
        <w:tc>
          <w:tcPr>
            <w:tcW w:w="1147" w:type="dxa"/>
            <w:tcBorders>
              <w:top w:val="single" w:sz="4" w:space="0" w:color="auto"/>
              <w:left w:val="nil"/>
              <w:bottom w:val="single" w:sz="8" w:space="0" w:color="44546A"/>
              <w:right w:val="nil"/>
            </w:tcBorders>
            <w:shd w:val="clear" w:color="auto" w:fill="auto"/>
            <w:hideMark/>
          </w:tcPr>
          <w:p w14:paraId="6878A7D9" w14:textId="77777777" w:rsidR="00DE64BC" w:rsidRPr="00256982" w:rsidRDefault="00DE64BC" w:rsidP="00A808C7">
            <w:pPr>
              <w:pStyle w:val="TableTextBold"/>
              <w:jc w:val="right"/>
              <w:rPr>
                <w:noProof w:val="0"/>
                <w:lang w:eastAsia="en-NZ"/>
              </w:rPr>
            </w:pPr>
            <w:r w:rsidRPr="00256982">
              <w:rPr>
                <w:noProof w:val="0"/>
              </w:rPr>
              <w:t>10,111,808</w:t>
            </w:r>
          </w:p>
        </w:tc>
        <w:tc>
          <w:tcPr>
            <w:tcW w:w="1147" w:type="dxa"/>
            <w:tcBorders>
              <w:top w:val="single" w:sz="4" w:space="0" w:color="auto"/>
              <w:left w:val="nil"/>
              <w:bottom w:val="single" w:sz="8" w:space="0" w:color="44546A"/>
              <w:right w:val="nil"/>
            </w:tcBorders>
            <w:shd w:val="clear" w:color="auto" w:fill="auto"/>
            <w:hideMark/>
          </w:tcPr>
          <w:p w14:paraId="77CC2BFC" w14:textId="77777777" w:rsidR="00DE64BC" w:rsidRPr="00256982" w:rsidRDefault="00DE64BC" w:rsidP="00A808C7">
            <w:pPr>
              <w:pStyle w:val="TableTextBold"/>
              <w:jc w:val="right"/>
              <w:rPr>
                <w:noProof w:val="0"/>
                <w:lang w:eastAsia="en-NZ"/>
              </w:rPr>
            </w:pPr>
            <w:r w:rsidRPr="00256982">
              <w:rPr>
                <w:noProof w:val="0"/>
              </w:rPr>
              <w:t>10,115,205</w:t>
            </w:r>
          </w:p>
        </w:tc>
        <w:tc>
          <w:tcPr>
            <w:tcW w:w="1147" w:type="dxa"/>
            <w:tcBorders>
              <w:top w:val="single" w:sz="4" w:space="0" w:color="auto"/>
              <w:left w:val="nil"/>
              <w:bottom w:val="single" w:sz="8" w:space="0" w:color="44546A"/>
              <w:right w:val="nil"/>
            </w:tcBorders>
            <w:shd w:val="clear" w:color="auto" w:fill="auto"/>
            <w:hideMark/>
          </w:tcPr>
          <w:p w14:paraId="6EC061EC" w14:textId="77777777" w:rsidR="00DE64BC" w:rsidRPr="00256982" w:rsidRDefault="00DE64BC" w:rsidP="00A808C7">
            <w:pPr>
              <w:pStyle w:val="TableTextBold"/>
              <w:jc w:val="right"/>
              <w:rPr>
                <w:noProof w:val="0"/>
                <w:lang w:eastAsia="en-NZ"/>
              </w:rPr>
            </w:pPr>
            <w:r w:rsidRPr="00256982">
              <w:rPr>
                <w:noProof w:val="0"/>
              </w:rPr>
              <w:t>10,118,960</w:t>
            </w:r>
          </w:p>
        </w:tc>
        <w:tc>
          <w:tcPr>
            <w:tcW w:w="1147" w:type="dxa"/>
            <w:tcBorders>
              <w:top w:val="single" w:sz="4" w:space="0" w:color="auto"/>
              <w:left w:val="nil"/>
              <w:bottom w:val="single" w:sz="8" w:space="0" w:color="44546A"/>
              <w:right w:val="nil"/>
            </w:tcBorders>
          </w:tcPr>
          <w:p w14:paraId="657992D8" w14:textId="77777777" w:rsidR="00DE64BC" w:rsidRPr="00256982" w:rsidRDefault="00DE64BC" w:rsidP="00A808C7">
            <w:pPr>
              <w:pStyle w:val="TableTextBold"/>
              <w:jc w:val="right"/>
              <w:rPr>
                <w:noProof w:val="0"/>
              </w:rPr>
            </w:pPr>
            <w:r w:rsidRPr="00256982">
              <w:rPr>
                <w:noProof w:val="0"/>
              </w:rPr>
              <w:t>10,125,495</w:t>
            </w:r>
          </w:p>
        </w:tc>
      </w:tr>
      <w:tr w:rsidR="00DE64BC" w:rsidRPr="00256982" w14:paraId="39D4DA29" w14:textId="77777777" w:rsidTr="00A808C7">
        <w:tc>
          <w:tcPr>
            <w:tcW w:w="2727" w:type="dxa"/>
            <w:tcBorders>
              <w:top w:val="nil"/>
              <w:left w:val="nil"/>
              <w:bottom w:val="single" w:sz="8" w:space="0" w:color="44546A"/>
              <w:right w:val="nil"/>
            </w:tcBorders>
            <w:shd w:val="clear" w:color="auto" w:fill="auto"/>
            <w:vAlign w:val="center"/>
            <w:hideMark/>
          </w:tcPr>
          <w:p w14:paraId="0D1096FE" w14:textId="77777777" w:rsidR="00DE64BC" w:rsidRPr="00256982" w:rsidRDefault="00DE64BC" w:rsidP="00A808C7">
            <w:pPr>
              <w:pStyle w:val="TableTextBold"/>
              <w:rPr>
                <w:noProof w:val="0"/>
                <w:lang w:eastAsia="en-NZ"/>
              </w:rPr>
            </w:pPr>
            <w:r w:rsidRPr="00256982">
              <w:rPr>
                <w:noProof w:val="0"/>
                <w:lang w:eastAsia="en-NZ"/>
              </w:rPr>
              <w:t>Net emissions in calendar year (kt CO</w:t>
            </w:r>
            <w:r w:rsidRPr="00256982">
              <w:rPr>
                <w:noProof w:val="0"/>
                <w:vertAlign w:val="subscript"/>
                <w:lang w:eastAsia="en-NZ"/>
              </w:rPr>
              <w:t>2</w:t>
            </w:r>
            <w:r w:rsidRPr="00256982">
              <w:rPr>
                <w:noProof w:val="0"/>
                <w:lang w:eastAsia="en-NZ"/>
              </w:rPr>
              <w:t>-e)</w:t>
            </w:r>
          </w:p>
        </w:tc>
        <w:tc>
          <w:tcPr>
            <w:tcW w:w="1147" w:type="dxa"/>
            <w:tcBorders>
              <w:top w:val="nil"/>
              <w:left w:val="nil"/>
              <w:bottom w:val="single" w:sz="8" w:space="0" w:color="44546A"/>
              <w:right w:val="nil"/>
            </w:tcBorders>
            <w:shd w:val="clear" w:color="auto" w:fill="auto"/>
            <w:hideMark/>
          </w:tcPr>
          <w:p w14:paraId="507D5647" w14:textId="77777777" w:rsidR="00DE64BC" w:rsidRPr="00256982" w:rsidRDefault="00DE64BC" w:rsidP="00A808C7">
            <w:pPr>
              <w:pStyle w:val="TableTextBold"/>
              <w:jc w:val="right"/>
              <w:rPr>
                <w:noProof w:val="0"/>
                <w:lang w:eastAsia="en-NZ"/>
              </w:rPr>
            </w:pPr>
            <w:r w:rsidRPr="00256982">
              <w:rPr>
                <w:noProof w:val="0"/>
              </w:rPr>
              <w:t xml:space="preserve">–29,553.5 </w:t>
            </w:r>
          </w:p>
        </w:tc>
        <w:tc>
          <w:tcPr>
            <w:tcW w:w="1147" w:type="dxa"/>
            <w:tcBorders>
              <w:top w:val="nil"/>
              <w:left w:val="nil"/>
              <w:bottom w:val="single" w:sz="8" w:space="0" w:color="44546A"/>
              <w:right w:val="nil"/>
            </w:tcBorders>
            <w:shd w:val="clear" w:color="auto" w:fill="auto"/>
            <w:hideMark/>
          </w:tcPr>
          <w:p w14:paraId="7363D0FC" w14:textId="77777777" w:rsidR="00DE64BC" w:rsidRPr="00256982" w:rsidRDefault="00DE64BC" w:rsidP="00A808C7">
            <w:pPr>
              <w:pStyle w:val="TableTextBold"/>
              <w:jc w:val="right"/>
              <w:rPr>
                <w:noProof w:val="0"/>
                <w:lang w:eastAsia="en-NZ"/>
              </w:rPr>
            </w:pPr>
            <w:r w:rsidRPr="00256982">
              <w:rPr>
                <w:noProof w:val="0"/>
              </w:rPr>
              <w:t xml:space="preserve">–33,027.8 </w:t>
            </w:r>
          </w:p>
        </w:tc>
        <w:tc>
          <w:tcPr>
            <w:tcW w:w="1147" w:type="dxa"/>
            <w:tcBorders>
              <w:top w:val="nil"/>
              <w:left w:val="nil"/>
              <w:bottom w:val="single" w:sz="8" w:space="0" w:color="44546A"/>
              <w:right w:val="nil"/>
            </w:tcBorders>
            <w:shd w:val="clear" w:color="auto" w:fill="auto"/>
            <w:hideMark/>
          </w:tcPr>
          <w:p w14:paraId="575542AA" w14:textId="77777777" w:rsidR="00DE64BC" w:rsidRPr="00256982" w:rsidRDefault="00DE64BC" w:rsidP="00A808C7">
            <w:pPr>
              <w:pStyle w:val="TableTextBold"/>
              <w:jc w:val="right"/>
              <w:rPr>
                <w:noProof w:val="0"/>
                <w:lang w:eastAsia="en-NZ"/>
              </w:rPr>
            </w:pPr>
            <w:r w:rsidRPr="00256982">
              <w:rPr>
                <w:noProof w:val="0"/>
              </w:rPr>
              <w:t xml:space="preserve">–32,185.7 </w:t>
            </w:r>
          </w:p>
        </w:tc>
        <w:tc>
          <w:tcPr>
            <w:tcW w:w="1147" w:type="dxa"/>
            <w:tcBorders>
              <w:top w:val="nil"/>
              <w:left w:val="nil"/>
              <w:bottom w:val="single" w:sz="8" w:space="0" w:color="44546A"/>
              <w:right w:val="nil"/>
            </w:tcBorders>
            <w:shd w:val="clear" w:color="auto" w:fill="auto"/>
            <w:hideMark/>
          </w:tcPr>
          <w:p w14:paraId="7CEB5BFB" w14:textId="77777777" w:rsidR="00DE64BC" w:rsidRPr="00256982" w:rsidRDefault="00DE64BC" w:rsidP="00A808C7">
            <w:pPr>
              <w:pStyle w:val="TableTextBold"/>
              <w:jc w:val="right"/>
              <w:rPr>
                <w:noProof w:val="0"/>
                <w:lang w:eastAsia="en-NZ"/>
              </w:rPr>
            </w:pPr>
            <w:r w:rsidRPr="00256982">
              <w:rPr>
                <w:noProof w:val="0"/>
              </w:rPr>
              <w:t xml:space="preserve">–31,491.3 </w:t>
            </w:r>
          </w:p>
        </w:tc>
        <w:tc>
          <w:tcPr>
            <w:tcW w:w="1147" w:type="dxa"/>
            <w:tcBorders>
              <w:top w:val="nil"/>
              <w:left w:val="nil"/>
              <w:bottom w:val="single" w:sz="8" w:space="0" w:color="44546A"/>
              <w:right w:val="nil"/>
            </w:tcBorders>
          </w:tcPr>
          <w:p w14:paraId="6C349F6C" w14:textId="77777777" w:rsidR="00DE64BC" w:rsidRPr="00256982" w:rsidRDefault="00DE64BC" w:rsidP="00A808C7">
            <w:pPr>
              <w:pStyle w:val="TableTextBold"/>
              <w:jc w:val="right"/>
              <w:rPr>
                <w:noProof w:val="0"/>
              </w:rPr>
            </w:pPr>
            <w:r w:rsidRPr="00256982">
              <w:rPr>
                <w:noProof w:val="0"/>
              </w:rPr>
              <w:t xml:space="preserve">–30,506.9 </w:t>
            </w:r>
          </w:p>
        </w:tc>
      </w:tr>
      <w:tr w:rsidR="00DE64BC" w:rsidRPr="00256982" w14:paraId="75C2D5DD" w14:textId="77777777" w:rsidTr="00A808C7">
        <w:tc>
          <w:tcPr>
            <w:tcW w:w="2727" w:type="dxa"/>
            <w:tcBorders>
              <w:top w:val="nil"/>
              <w:left w:val="nil"/>
              <w:bottom w:val="single" w:sz="8" w:space="0" w:color="44546A"/>
              <w:right w:val="nil"/>
            </w:tcBorders>
            <w:shd w:val="clear" w:color="auto" w:fill="auto"/>
            <w:vAlign w:val="center"/>
            <w:hideMark/>
          </w:tcPr>
          <w:p w14:paraId="35C22E56" w14:textId="77777777" w:rsidR="00DE64BC" w:rsidRPr="00256982" w:rsidRDefault="00DE64BC" w:rsidP="00A808C7">
            <w:pPr>
              <w:pStyle w:val="Tableboldblue"/>
              <w:rPr>
                <w:lang w:eastAsia="en-NZ"/>
              </w:rPr>
            </w:pPr>
            <w:r w:rsidRPr="00256982">
              <w:rPr>
                <w:lang w:eastAsia="en-NZ"/>
              </w:rPr>
              <w:t>Accounting quantity (kt CO</w:t>
            </w:r>
            <w:r w:rsidRPr="00256982">
              <w:rPr>
                <w:vertAlign w:val="subscript"/>
                <w:lang w:eastAsia="en-NZ"/>
              </w:rPr>
              <w:t>2</w:t>
            </w:r>
            <w:r w:rsidRPr="00256982">
              <w:rPr>
                <w:lang w:eastAsia="en-NZ"/>
              </w:rPr>
              <w:t>-e)</w:t>
            </w:r>
          </w:p>
        </w:tc>
        <w:tc>
          <w:tcPr>
            <w:tcW w:w="1147" w:type="dxa"/>
            <w:tcBorders>
              <w:top w:val="nil"/>
              <w:left w:val="nil"/>
              <w:bottom w:val="single" w:sz="8" w:space="0" w:color="44546A"/>
              <w:right w:val="nil"/>
            </w:tcBorders>
            <w:shd w:val="clear" w:color="auto" w:fill="auto"/>
            <w:hideMark/>
          </w:tcPr>
          <w:p w14:paraId="7578721B" w14:textId="77777777" w:rsidR="00DE64BC" w:rsidRPr="00256982" w:rsidRDefault="00DE64BC" w:rsidP="00A808C7">
            <w:pPr>
              <w:pStyle w:val="Tableboldblue"/>
              <w:jc w:val="right"/>
              <w:rPr>
                <w:lang w:eastAsia="en-NZ"/>
              </w:rPr>
            </w:pPr>
            <w:r w:rsidRPr="00256982">
              <w:t xml:space="preserve">–7,294.8 </w:t>
            </w:r>
          </w:p>
        </w:tc>
        <w:tc>
          <w:tcPr>
            <w:tcW w:w="1147" w:type="dxa"/>
            <w:tcBorders>
              <w:top w:val="nil"/>
              <w:left w:val="nil"/>
              <w:bottom w:val="single" w:sz="8" w:space="0" w:color="44546A"/>
              <w:right w:val="nil"/>
            </w:tcBorders>
            <w:shd w:val="clear" w:color="auto" w:fill="auto"/>
            <w:hideMark/>
          </w:tcPr>
          <w:p w14:paraId="28BE5FFC" w14:textId="77777777" w:rsidR="00DE64BC" w:rsidRPr="00256982" w:rsidRDefault="00DE64BC" w:rsidP="00A808C7">
            <w:pPr>
              <w:pStyle w:val="Tableboldblue"/>
              <w:jc w:val="right"/>
              <w:rPr>
                <w:lang w:eastAsia="en-NZ"/>
              </w:rPr>
            </w:pPr>
            <w:r w:rsidRPr="00256982">
              <w:t xml:space="preserve">–12,475.6 </w:t>
            </w:r>
          </w:p>
        </w:tc>
        <w:tc>
          <w:tcPr>
            <w:tcW w:w="1147" w:type="dxa"/>
            <w:tcBorders>
              <w:top w:val="nil"/>
              <w:left w:val="nil"/>
              <w:bottom w:val="single" w:sz="8" w:space="0" w:color="44546A"/>
              <w:right w:val="nil"/>
            </w:tcBorders>
            <w:shd w:val="clear" w:color="auto" w:fill="auto"/>
            <w:hideMark/>
          </w:tcPr>
          <w:p w14:paraId="2A7508DC" w14:textId="77777777" w:rsidR="00DE64BC" w:rsidRPr="00256982" w:rsidRDefault="00DE64BC" w:rsidP="00A808C7">
            <w:pPr>
              <w:pStyle w:val="Tableboldblue"/>
              <w:jc w:val="right"/>
              <w:rPr>
                <w:lang w:eastAsia="en-NZ"/>
              </w:rPr>
            </w:pPr>
            <w:r w:rsidRPr="00256982">
              <w:t xml:space="preserve">–13,853.9 </w:t>
            </w:r>
          </w:p>
        </w:tc>
        <w:tc>
          <w:tcPr>
            <w:tcW w:w="1147" w:type="dxa"/>
            <w:tcBorders>
              <w:top w:val="nil"/>
              <w:left w:val="nil"/>
              <w:bottom w:val="single" w:sz="8" w:space="0" w:color="44546A"/>
              <w:right w:val="nil"/>
            </w:tcBorders>
            <w:shd w:val="clear" w:color="auto" w:fill="auto"/>
            <w:hideMark/>
          </w:tcPr>
          <w:p w14:paraId="66E1B03E" w14:textId="77777777" w:rsidR="00DE64BC" w:rsidRPr="00256982" w:rsidRDefault="00DE64BC" w:rsidP="00A808C7">
            <w:pPr>
              <w:pStyle w:val="Tableboldblue"/>
              <w:jc w:val="right"/>
              <w:rPr>
                <w:lang w:eastAsia="en-NZ"/>
              </w:rPr>
            </w:pPr>
            <w:r w:rsidRPr="00256982">
              <w:t xml:space="preserve">–15,759.9 </w:t>
            </w:r>
          </w:p>
        </w:tc>
        <w:tc>
          <w:tcPr>
            <w:tcW w:w="1147" w:type="dxa"/>
            <w:tcBorders>
              <w:top w:val="nil"/>
              <w:left w:val="nil"/>
              <w:bottom w:val="single" w:sz="8" w:space="0" w:color="44546A"/>
              <w:right w:val="nil"/>
            </w:tcBorders>
          </w:tcPr>
          <w:p w14:paraId="7B332FEF" w14:textId="77777777" w:rsidR="00DE64BC" w:rsidRPr="00256982" w:rsidRDefault="00DE64BC" w:rsidP="00A808C7">
            <w:pPr>
              <w:pStyle w:val="Tableboldblue"/>
              <w:jc w:val="right"/>
            </w:pPr>
            <w:r w:rsidRPr="00256982">
              <w:t xml:space="preserve">–15,953.0 </w:t>
            </w:r>
          </w:p>
        </w:tc>
      </w:tr>
    </w:tbl>
    <w:p w14:paraId="4E936ACF" w14:textId="77777777" w:rsidR="00DE64BC" w:rsidRPr="00256982" w:rsidRDefault="00DE64BC" w:rsidP="00A808C7">
      <w:pPr>
        <w:pStyle w:val="Noteundertable"/>
      </w:pPr>
      <w:r w:rsidRPr="00256982">
        <w:rPr>
          <w:b/>
        </w:rPr>
        <w:t>Note:</w:t>
      </w:r>
      <w:r w:rsidRPr="00256982">
        <w:t xml:space="preserve"> </w:t>
      </w:r>
      <w:r w:rsidRPr="00256982">
        <w:tab/>
        <w:t xml:space="preserve">The areas stated are as at 31 December 2017. They are net areas, that is, areas of afforestation and reforestation that were deforested during the period are only included in the figures as deforestation. P = provisional figure (all figures in this table for 2017 are provisional). </w:t>
      </w:r>
      <w:r w:rsidRPr="00256982">
        <w:rPr>
          <w:i/>
        </w:rPr>
        <w:t>Afforestation and deforestation</w:t>
      </w:r>
      <w:r w:rsidRPr="00256982">
        <w:t xml:space="preserve"> areas differ from those reported in chapter 6 because the carbon equivalent forest provision has been applied to some of these areas and they are reported under </w:t>
      </w:r>
      <w:r w:rsidRPr="00256982">
        <w:rPr>
          <w:i/>
        </w:rPr>
        <w:t>Forest management</w:t>
      </w:r>
      <w:r w:rsidRPr="00256982">
        <w:t xml:space="preserve">. This is explained in more detail in chapter 11. </w:t>
      </w:r>
      <w:r w:rsidRPr="00256982">
        <w:rPr>
          <w:szCs w:val="16"/>
        </w:rPr>
        <w:t>Net removals are expressed as a negative value to help clarify that the value is a removal and not an emission.</w:t>
      </w:r>
      <w:r w:rsidRPr="00256982">
        <w:t xml:space="preserve"> Columns may not total due to rounding. </w:t>
      </w:r>
    </w:p>
    <w:p w14:paraId="087553DB" w14:textId="77777777" w:rsidR="00DE64BC" w:rsidRPr="00256982" w:rsidRDefault="00DE64BC" w:rsidP="00A808C7">
      <w:pPr>
        <w:pStyle w:val="Noteundertable"/>
        <w:spacing w:before="0"/>
      </w:pPr>
      <w:r w:rsidRPr="00256982">
        <w:rPr>
          <w:b/>
        </w:rPr>
        <w:tab/>
      </w:r>
      <w:r w:rsidRPr="00256982">
        <w:t>The accounting quantity is calculated as the sum of</w:t>
      </w:r>
      <w:r w:rsidRPr="00256982" w:rsidDel="00136EDD">
        <w:t xml:space="preserve"> </w:t>
      </w:r>
      <w:r w:rsidRPr="00256982">
        <w:t xml:space="preserve">emissions and removals from afforestation, reforestation and deforestation, given the changes to the accounting rules for the second commitment period. </w:t>
      </w:r>
    </w:p>
    <w:p w14:paraId="181EA512" w14:textId="77777777" w:rsidR="00DE64BC" w:rsidRPr="00256982" w:rsidRDefault="00DE64BC" w:rsidP="00A72006">
      <w:pPr>
        <w:pStyle w:val="Heading4"/>
      </w:pPr>
      <w:r w:rsidRPr="00256982">
        <w:t>Tokelau</w:t>
      </w:r>
    </w:p>
    <w:p w14:paraId="6AAF52F7" w14:textId="77777777" w:rsidR="00DE64BC" w:rsidRPr="00256982" w:rsidRDefault="00DE64BC" w:rsidP="00A808C7">
      <w:pPr>
        <w:pStyle w:val="BodyText"/>
        <w:rPr>
          <w:rFonts w:eastAsia="+mn-ea"/>
          <w:b/>
        </w:rPr>
      </w:pPr>
      <w:r w:rsidRPr="00256982">
        <w:rPr>
          <w:rFonts w:eastAsia="+mn-ea"/>
        </w:rPr>
        <w:t>Tokelau produces mainly CO</w:t>
      </w:r>
      <w:r w:rsidRPr="00256982">
        <w:rPr>
          <w:rFonts w:eastAsia="+mn-ea"/>
          <w:vertAlign w:val="subscript"/>
        </w:rPr>
        <w:t>2</w:t>
      </w:r>
      <w:r w:rsidRPr="00256982">
        <w:rPr>
          <w:rFonts w:eastAsia="+mn-ea"/>
        </w:rPr>
        <w:t xml:space="preserve"> emissions (67.6 per cent) largely coming from the </w:t>
      </w:r>
      <w:r w:rsidRPr="00256982">
        <w:rPr>
          <w:rFonts w:eastAsia="+mn-ea"/>
          <w:i/>
        </w:rPr>
        <w:t>Domestic navigation</w:t>
      </w:r>
      <w:r w:rsidRPr="00256982">
        <w:rPr>
          <w:rFonts w:eastAsia="+mn-ea"/>
        </w:rPr>
        <w:t xml:space="preserve"> category, followed by CH</w:t>
      </w:r>
      <w:r w:rsidRPr="00256982">
        <w:rPr>
          <w:rFonts w:eastAsia="+mn-ea"/>
          <w:vertAlign w:val="subscript"/>
        </w:rPr>
        <w:t>4</w:t>
      </w:r>
      <w:r w:rsidRPr="00256982">
        <w:rPr>
          <w:rFonts w:eastAsia="+mn-ea"/>
        </w:rPr>
        <w:t xml:space="preserve"> emissions (20.5 per cent) and N</w:t>
      </w:r>
      <w:r w:rsidRPr="00256982">
        <w:rPr>
          <w:rFonts w:eastAsia="+mn-ea"/>
          <w:vertAlign w:val="subscript"/>
        </w:rPr>
        <w:t>2</w:t>
      </w:r>
      <w:r w:rsidRPr="00256982">
        <w:rPr>
          <w:rFonts w:eastAsia="+mn-ea"/>
        </w:rPr>
        <w:t>O emissions (2.1 per cent) mostly from the Waste sector. There are also emissions of HFCs from the use of refrigerants (9.8 per cent).</w:t>
      </w:r>
    </w:p>
    <w:p w14:paraId="630ECD1B" w14:textId="77777777" w:rsidR="00DE64BC" w:rsidRPr="00256982" w:rsidRDefault="00DE64BC" w:rsidP="00A808C7">
      <w:pPr>
        <w:pStyle w:val="Heading5"/>
      </w:pPr>
      <w:r w:rsidRPr="00256982">
        <w:t>2017</w:t>
      </w:r>
    </w:p>
    <w:p w14:paraId="49DF7CEB" w14:textId="77777777" w:rsidR="00DE64BC" w:rsidRPr="00256982" w:rsidRDefault="00DE64BC" w:rsidP="00A808C7">
      <w:pPr>
        <w:pStyle w:val="BodyText"/>
        <w:rPr>
          <w:spacing w:val="-2"/>
        </w:rPr>
      </w:pPr>
      <w:r w:rsidRPr="00256982">
        <w:t>The total amount of all GHGs from all sources in Tokelau in 2017 was 2.86 kt CO</w:t>
      </w:r>
      <w:r w:rsidRPr="00256982">
        <w:rPr>
          <w:vertAlign w:val="subscript"/>
        </w:rPr>
        <w:t>2</w:t>
      </w:r>
      <w:r w:rsidRPr="00256982">
        <w:t>-e, contributing approximately 0.004 per cent to New Zealand’s gross emissions.</w:t>
      </w:r>
      <w:r w:rsidRPr="00256982">
        <w:rPr>
          <w:spacing w:val="-2"/>
        </w:rPr>
        <w:t xml:space="preserve"> The largest source category was the </w:t>
      </w:r>
      <w:r w:rsidRPr="00256982">
        <w:rPr>
          <w:i/>
          <w:spacing w:val="-2"/>
        </w:rPr>
        <w:t>Domestic navigation</w:t>
      </w:r>
      <w:r w:rsidRPr="00256982">
        <w:rPr>
          <w:spacing w:val="-2"/>
        </w:rPr>
        <w:t xml:space="preserve"> category contributing </w:t>
      </w:r>
      <w:r w:rsidRPr="00256982">
        <w:t>1.61 kt CO</w:t>
      </w:r>
      <w:r w:rsidRPr="00256982">
        <w:rPr>
          <w:vertAlign w:val="subscript"/>
        </w:rPr>
        <w:t>2</w:t>
      </w:r>
      <w:r w:rsidRPr="00256982">
        <w:t>-e (84.5 per cent of all energy emissions and 56.4 per cent of the total emissions from Tokelau)</w:t>
      </w:r>
      <w:r w:rsidRPr="00256982">
        <w:rPr>
          <w:spacing w:val="-2"/>
        </w:rPr>
        <w:t>.</w:t>
      </w:r>
    </w:p>
    <w:p w14:paraId="1DC823BB" w14:textId="77777777" w:rsidR="00DE64BC" w:rsidRPr="00256982" w:rsidRDefault="00DE64BC" w:rsidP="00A808C7">
      <w:pPr>
        <w:pStyle w:val="Heading5"/>
      </w:pPr>
      <w:r w:rsidRPr="00256982">
        <w:lastRenderedPageBreak/>
        <w:t>1990–2017</w:t>
      </w:r>
    </w:p>
    <w:p w14:paraId="220F870A" w14:textId="77777777" w:rsidR="00DE64BC" w:rsidRPr="00256982" w:rsidRDefault="00DE64BC" w:rsidP="00A808C7">
      <w:pPr>
        <w:pStyle w:val="BodyText"/>
      </w:pPr>
      <w:r w:rsidRPr="00256982">
        <w:t>In 1990, the total emissions from Tokelau were 3.64 kt CO</w:t>
      </w:r>
      <w:r w:rsidRPr="00256982">
        <w:rPr>
          <w:vertAlign w:val="subscript"/>
        </w:rPr>
        <w:t>2</w:t>
      </w:r>
      <w:r w:rsidRPr="00256982">
        <w:t>-e. Between 1990 and 2017, the total emissions decreased by 21.3 per cent (0.78 kt CO</w:t>
      </w:r>
      <w:r w:rsidRPr="00256982">
        <w:rPr>
          <w:vertAlign w:val="subscript"/>
        </w:rPr>
        <w:t>2</w:t>
      </w:r>
      <w:r w:rsidRPr="00256982">
        <w:t>-e) to 2.86 kt CO</w:t>
      </w:r>
      <w:r w:rsidRPr="00256982">
        <w:rPr>
          <w:vertAlign w:val="subscript"/>
        </w:rPr>
        <w:t>2</w:t>
      </w:r>
      <w:r w:rsidRPr="00256982">
        <w:t>-e in 2017.</w:t>
      </w:r>
    </w:p>
    <w:p w14:paraId="48BC56C2" w14:textId="77777777" w:rsidR="00DE64BC" w:rsidRPr="00256982" w:rsidRDefault="00DE64BC" w:rsidP="00A808C7">
      <w:pPr>
        <w:pStyle w:val="BodyText"/>
        <w:rPr>
          <w:rFonts w:eastAsia="+mn-ea"/>
        </w:rPr>
      </w:pPr>
      <w:r w:rsidRPr="00256982">
        <w:t xml:space="preserve">The emission categories that contributed the most to this change in gross emissions were </w:t>
      </w:r>
      <w:r w:rsidRPr="00256982">
        <w:rPr>
          <w:i/>
        </w:rPr>
        <w:t>Public electricity and heat production</w:t>
      </w:r>
      <w:r w:rsidRPr="00256982">
        <w:t xml:space="preserve"> and</w:t>
      </w:r>
      <w:r w:rsidRPr="00256982">
        <w:rPr>
          <w:i/>
        </w:rPr>
        <w:t xml:space="preserve"> Refrigeration and air conditioning</w:t>
      </w:r>
      <w:r w:rsidRPr="00256982">
        <w:t>. The main driver underpinning the change was switching to a 100 per cent solar photovoltaics energy system by the end of 2012. That resulted in a significant drop in consumption of imported petroleum products (by approximately 82 per cent) used for electricity production in Tokelau and a decrease of energy emissions from 2011. The decrease in emissions from the Energy sector was somewhat offset by a 0.28 kt CO</w:t>
      </w:r>
      <w:r w:rsidRPr="00256982">
        <w:rPr>
          <w:vertAlign w:val="subscript"/>
        </w:rPr>
        <w:t>2</w:t>
      </w:r>
      <w:r w:rsidRPr="00256982">
        <w:t>-e increase from consumption of HFCs between 1990 and 2017 as the use of fridges and freezers became more common in Tokelau.</w:t>
      </w:r>
      <w:r w:rsidRPr="00256982">
        <w:rPr>
          <w:rFonts w:eastAsia="+mn-ea"/>
        </w:rPr>
        <w:t xml:space="preserve"> </w:t>
      </w:r>
      <w:r w:rsidRPr="00256982">
        <w:t>The trends are shown in figure 2.3.1 and figure 8.4 in chapter 8.</w:t>
      </w:r>
    </w:p>
    <w:p w14:paraId="7C593F4B" w14:textId="77777777" w:rsidR="00DE64BC" w:rsidRPr="00256982" w:rsidRDefault="00DE64BC" w:rsidP="00A808C7">
      <w:pPr>
        <w:pStyle w:val="Figure"/>
        <w:spacing w:after="0"/>
      </w:pPr>
      <w:bookmarkStart w:id="237" w:name="_Toc5269664"/>
      <w:r w:rsidRPr="00256982">
        <w:t>Figure 2.3.1</w:t>
      </w:r>
      <w:r w:rsidRPr="00256982">
        <w:tab/>
        <w:t>Greenhouse gas emissions from Tokelau 1990 to 2017</w:t>
      </w:r>
      <w:bookmarkEnd w:id="237"/>
    </w:p>
    <w:p w14:paraId="06DE12E4" w14:textId="77777777" w:rsidR="00DE64BC" w:rsidRPr="00256982" w:rsidRDefault="00590491" w:rsidP="00A808C7">
      <w:pPr>
        <w:pStyle w:val="BodyText"/>
      </w:pPr>
      <w:r>
        <w:rPr>
          <w:lang w:eastAsia="en-NZ"/>
        </w:rPr>
        <w:pict w14:anchorId="2D0FE5B0">
          <v:shape id="_x0000_i1047" type="#_x0000_t75" style="width:425.25pt;height:223.5pt;visibility:visible" o:gfxdata="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">
            <v:imagedata r:id="rId49" o:title="" croptop="973f" cropbottom="1160f"/>
            <o:lock v:ext="edit" aspectratio="f"/>
          </v:shape>
        </w:pict>
      </w:r>
    </w:p>
    <w:p w14:paraId="10876503" w14:textId="77777777" w:rsidR="00DE64BC" w:rsidRPr="00256982" w:rsidRDefault="00DE64BC" w:rsidP="00A808C7">
      <w:pPr>
        <w:pStyle w:val="Heading5"/>
      </w:pPr>
      <w:r w:rsidRPr="00256982">
        <w:t>2016–2017</w:t>
      </w:r>
    </w:p>
    <w:p w14:paraId="353ACFB3" w14:textId="77777777" w:rsidR="00DE64BC" w:rsidRPr="00256982" w:rsidRDefault="00DE64BC" w:rsidP="00A808C7">
      <w:pPr>
        <w:pStyle w:val="BodyText"/>
      </w:pPr>
      <w:r w:rsidRPr="00256982">
        <w:t>There was no significant change in emissions from Tokelau between 2016 and 2017 (0.02 kt CO</w:t>
      </w:r>
      <w:r w:rsidRPr="00256982">
        <w:rPr>
          <w:vertAlign w:val="subscript"/>
        </w:rPr>
        <w:t>2</w:t>
      </w:r>
      <w:r w:rsidRPr="00256982">
        <w:noBreakHyphen/>
        <w:t xml:space="preserve">e or 0.7 per cent). </w:t>
      </w:r>
    </w:p>
    <w:p w14:paraId="2C3ED4EE" w14:textId="77777777" w:rsidR="00DE64BC" w:rsidRPr="00256982" w:rsidRDefault="00DE64BC" w:rsidP="003A3F0A">
      <w:pPr>
        <w:pStyle w:val="Heading2"/>
        <w:spacing w:before="0" w:after="360"/>
      </w:pPr>
      <w:r w:rsidRPr="00256982">
        <w:br w:type="page"/>
      </w:r>
      <w:bookmarkStart w:id="238" w:name="_Toc448321504"/>
      <w:bookmarkStart w:id="239" w:name="_Toc511116581"/>
      <w:bookmarkStart w:id="240" w:name="_Toc5269343"/>
      <w:r w:rsidRPr="00256982">
        <w:lastRenderedPageBreak/>
        <w:t>Chapter 2: Reference</w:t>
      </w:r>
      <w:bookmarkEnd w:id="238"/>
      <w:bookmarkEnd w:id="239"/>
      <w:r w:rsidRPr="00256982">
        <w:t>s</w:t>
      </w:r>
      <w:bookmarkEnd w:id="240"/>
    </w:p>
    <w:p w14:paraId="017B6C35" w14:textId="77777777" w:rsidR="00DE64BC" w:rsidRPr="00256982" w:rsidRDefault="00DE64BC" w:rsidP="00A808C7">
      <w:pPr>
        <w:pStyle w:val="References"/>
      </w:pPr>
      <w:r w:rsidRPr="00256982">
        <w:t xml:space="preserve">IPCC. 2006. Eggleston HS, Buendia L, Miwa K, Ngara T, Tanabe K (eds). </w:t>
      </w:r>
      <w:r w:rsidRPr="00256982">
        <w:rPr>
          <w:i/>
        </w:rPr>
        <w:t>2006 IPCC Guidelines for National Greenhouse Gas Inventories. Volume 5. Waste</w:t>
      </w:r>
      <w:r w:rsidRPr="00256982">
        <w:t xml:space="preserve">. IPCC National Greenhouse Gas Inventories Programme. Japan: Institute for Global Environmental Strategies for IPCC. </w:t>
      </w:r>
    </w:p>
    <w:p w14:paraId="76F2D423" w14:textId="77777777" w:rsidR="00DE64BC" w:rsidRPr="00256982" w:rsidRDefault="00DE64BC" w:rsidP="00A808C7">
      <w:pPr>
        <w:pStyle w:val="References"/>
        <w:rPr>
          <w:szCs w:val="22"/>
        </w:rPr>
      </w:pPr>
      <w:r w:rsidRPr="00256982">
        <w:rPr>
          <w:szCs w:val="22"/>
        </w:rPr>
        <w:t xml:space="preserve">Ministry for the Environment. 2016. </w:t>
      </w:r>
      <w:r w:rsidRPr="00256982">
        <w:rPr>
          <w:i/>
          <w:lang w:eastAsia="en-NZ"/>
        </w:rPr>
        <w:t xml:space="preserve">New Zealand’s Initial Report to </w:t>
      </w:r>
      <w:r w:rsidRPr="00256982">
        <w:rPr>
          <w:i/>
          <w:szCs w:val="22"/>
        </w:rPr>
        <w:t>Facilitate the Calculation of its Emissions Budget for the Period 2013 to 2020</w:t>
      </w:r>
      <w:r w:rsidRPr="00256982">
        <w:rPr>
          <w:szCs w:val="22"/>
        </w:rPr>
        <w:t>. Wellington: Ministry for the Environment.</w:t>
      </w:r>
    </w:p>
    <w:p w14:paraId="5CC14D55" w14:textId="77777777" w:rsidR="00DE64BC" w:rsidRPr="00256982" w:rsidRDefault="00DE64BC" w:rsidP="008169FF">
      <w:pPr>
        <w:pStyle w:val="References"/>
      </w:pPr>
      <w:r w:rsidRPr="00256982">
        <w:t>Statistics New Zealand</w:t>
      </w:r>
      <w:r w:rsidRPr="00256982">
        <w:rPr>
          <w:i/>
        </w:rPr>
        <w:t xml:space="preserve">. </w:t>
      </w:r>
      <w:r w:rsidRPr="00256982">
        <w:t>2018</w:t>
      </w:r>
      <w:r w:rsidRPr="00256982">
        <w:rPr>
          <w:i/>
        </w:rPr>
        <w:t xml:space="preserve">. Agricultural Production Survey. </w:t>
      </w:r>
      <w:r w:rsidRPr="00256982">
        <w:t>Wellington: Statistics New Zealand.</w:t>
      </w:r>
    </w:p>
    <w:p w14:paraId="7EC09C9A" w14:textId="77777777" w:rsidR="00DE64BC" w:rsidRPr="00256982" w:rsidRDefault="00DE64BC" w:rsidP="008169FF">
      <w:pPr>
        <w:pStyle w:val="References"/>
      </w:pPr>
    </w:p>
    <w:p w14:paraId="3E44C146" w14:textId="77777777" w:rsidR="00DE64BC" w:rsidRPr="00256982" w:rsidRDefault="00DE64BC" w:rsidP="00A808C7">
      <w:pPr>
        <w:pStyle w:val="Heading1"/>
      </w:pPr>
      <w:r w:rsidRPr="00256982">
        <w:br w:type="page"/>
      </w:r>
      <w:bookmarkStart w:id="241" w:name="_Toc5269344"/>
      <w:r w:rsidRPr="00256982">
        <w:lastRenderedPageBreak/>
        <w:t>Chapter 3: Energy</w:t>
      </w:r>
      <w:bookmarkEnd w:id="241"/>
    </w:p>
    <w:p w14:paraId="6EB761AF" w14:textId="77777777" w:rsidR="00DE64BC" w:rsidRPr="00256982" w:rsidRDefault="00DE64BC" w:rsidP="007F73BB">
      <w:pPr>
        <w:pStyle w:val="Heading2"/>
        <w:spacing w:before="240"/>
      </w:pPr>
      <w:bookmarkStart w:id="242" w:name="_Toc321398808"/>
      <w:bookmarkStart w:id="243" w:name="_Toc384581634"/>
      <w:bookmarkStart w:id="244" w:name="_Toc448321506"/>
      <w:bookmarkStart w:id="245" w:name="_Toc481751368"/>
      <w:bookmarkStart w:id="246" w:name="_Toc5269345"/>
      <w:r w:rsidRPr="00256982">
        <w:t>3.1</w:t>
      </w:r>
      <w:r w:rsidRPr="00256982">
        <w:tab/>
        <w:t>Sector overview</w:t>
      </w:r>
      <w:bookmarkEnd w:id="242"/>
      <w:bookmarkEnd w:id="243"/>
      <w:bookmarkEnd w:id="244"/>
      <w:bookmarkEnd w:id="245"/>
      <w:bookmarkEnd w:id="246"/>
    </w:p>
    <w:p w14:paraId="0C2B6CD1" w14:textId="77777777" w:rsidR="00DE64BC" w:rsidRPr="00256982" w:rsidRDefault="00DE64BC" w:rsidP="007F73BB">
      <w:pPr>
        <w:pStyle w:val="Heading3"/>
        <w:spacing w:before="240"/>
      </w:pPr>
      <w:r w:rsidRPr="00256982">
        <w:t>3.1.1</w:t>
      </w:r>
      <w:r w:rsidRPr="00256982">
        <w:tab/>
        <w:t>Introduction</w:t>
      </w:r>
    </w:p>
    <w:p w14:paraId="78FA3350" w14:textId="77777777" w:rsidR="00DE64BC" w:rsidRPr="00256982" w:rsidRDefault="00DE64BC" w:rsidP="00A808C7">
      <w:pPr>
        <w:pStyle w:val="BodyText"/>
      </w:pPr>
      <w:r w:rsidRPr="00256982">
        <w:t xml:space="preserve">In New Zealand, the Energy sector covers both: </w:t>
      </w:r>
    </w:p>
    <w:p w14:paraId="318F7667" w14:textId="77777777" w:rsidR="00DE64BC" w:rsidRPr="00256982" w:rsidRDefault="00DE64BC" w:rsidP="0036046B">
      <w:pPr>
        <w:pStyle w:val="Bullet"/>
        <w:numPr>
          <w:ilvl w:val="0"/>
          <w:numId w:val="8"/>
        </w:numPr>
      </w:pPr>
      <w:r w:rsidRPr="00256982">
        <w:t xml:space="preserve">combustion emissions resulting from fuel being burned to produce useful energy </w:t>
      </w:r>
    </w:p>
    <w:p w14:paraId="67BE2E73" w14:textId="77777777" w:rsidR="00DE64BC" w:rsidRPr="00256982" w:rsidRDefault="00DE64BC" w:rsidP="0036046B">
      <w:pPr>
        <w:pStyle w:val="Bullet"/>
        <w:numPr>
          <w:ilvl w:val="0"/>
          <w:numId w:val="8"/>
        </w:numPr>
      </w:pPr>
      <w:r w:rsidRPr="00256982">
        <w:t>fugitive emissions, for example: </w:t>
      </w:r>
    </w:p>
    <w:p w14:paraId="0608D43D" w14:textId="77777777" w:rsidR="00DE64BC" w:rsidRPr="00256982" w:rsidRDefault="00DE64BC" w:rsidP="00DE64BC">
      <w:pPr>
        <w:pStyle w:val="Sub-bullet"/>
      </w:pPr>
      <w:r w:rsidRPr="00256982">
        <w:t xml:space="preserve">production, transmission and storage of fuels </w:t>
      </w:r>
    </w:p>
    <w:p w14:paraId="1BC2CF33" w14:textId="77777777" w:rsidR="00DE64BC" w:rsidRPr="00256982" w:rsidRDefault="00DE64BC" w:rsidP="00DE64BC">
      <w:pPr>
        <w:pStyle w:val="Sub-bullet"/>
      </w:pPr>
      <w:r w:rsidRPr="00256982">
        <w:t xml:space="preserve">non-productive combustion </w:t>
      </w:r>
    </w:p>
    <w:p w14:paraId="1B93A35B" w14:textId="77777777" w:rsidR="00DE64BC" w:rsidRPr="00256982" w:rsidRDefault="00DE64BC" w:rsidP="00DE64BC">
      <w:pPr>
        <w:pStyle w:val="Sub-bullet"/>
      </w:pPr>
      <w:r w:rsidRPr="00256982">
        <w:t>venting of carbon dioxide (CO</w:t>
      </w:r>
      <w:r w:rsidRPr="00256982">
        <w:rPr>
          <w:vertAlign w:val="subscript"/>
        </w:rPr>
        <w:t>2</w:t>
      </w:r>
      <w:r w:rsidRPr="00256982">
        <w:t>) at natural gas treatment plants</w:t>
      </w:r>
    </w:p>
    <w:p w14:paraId="09EEAD02" w14:textId="77777777" w:rsidR="00DE64BC" w:rsidRPr="00256982" w:rsidRDefault="00DE64BC" w:rsidP="00DE64BC">
      <w:pPr>
        <w:pStyle w:val="Sub-bullet"/>
      </w:pPr>
      <w:r w:rsidRPr="00256982">
        <w:t xml:space="preserve">emissions from geothermal fields. </w:t>
      </w:r>
    </w:p>
    <w:p w14:paraId="246FDC20" w14:textId="77777777" w:rsidR="00DE64BC" w:rsidRPr="00256982" w:rsidRDefault="00DE64BC" w:rsidP="00A808C7">
      <w:pPr>
        <w:pStyle w:val="BodyText"/>
      </w:pPr>
      <w:r w:rsidRPr="00256982">
        <w:t xml:space="preserve">Historically, combustion emissions from </w:t>
      </w:r>
      <w:r w:rsidRPr="00256982">
        <w:rPr>
          <w:i/>
        </w:rPr>
        <w:t>Road transportation</w:t>
      </w:r>
      <w:r w:rsidRPr="00256982">
        <w:t xml:space="preserve"> and </w:t>
      </w:r>
      <w:r w:rsidRPr="00256982">
        <w:rPr>
          <w:i/>
        </w:rPr>
        <w:t>Public electricity and heat production</w:t>
      </w:r>
      <w:r w:rsidRPr="00256982">
        <w:t xml:space="preserve"> constituted the largest share of domestic emissions from the Energy sector in New Zealand. New Zealand has one of the highest rates of car ownership among members of the Organisation for Economic Co-operation and Development (OECD) and a relatively old vehicle fleet (average age of light passenger fleet was approximately 14 years in 2015). Most freight is transported by trucks, with smaller quantities transported by rail and coastal shipping. </w:t>
      </w:r>
    </w:p>
    <w:p w14:paraId="725C8C84" w14:textId="77777777" w:rsidR="00DE64BC" w:rsidRPr="00256982" w:rsidRDefault="00DE64BC" w:rsidP="00A808C7">
      <w:pPr>
        <w:pStyle w:val="BodyText"/>
      </w:pPr>
      <w:r w:rsidRPr="00256982">
        <w:t>Due to its sparse population and rural-based economy, New Zealand’s domestic transport emissions per capita are high, when compared with many other Annex I countries.</w:t>
      </w:r>
    </w:p>
    <w:p w14:paraId="63879C70" w14:textId="77777777" w:rsidR="00DE64BC" w:rsidRPr="00256982" w:rsidRDefault="00DE64BC" w:rsidP="00A808C7">
      <w:pPr>
        <w:pStyle w:val="BodyText"/>
      </w:pPr>
      <w:r w:rsidRPr="00256982">
        <w:t>Electricity generation from the combustion of coal, oil and gas supports New Zealand’s highly renewable electricity system. In 2017, fossil fuel thermal plants provided 18 per cent of New Zealand’s total electricity supply, which is very low by international standards. This is due to the high proportion of demand met by hydro generation, as well as other renewable sources such as geothermal and wind. While this provides a strong base in good hydro years, electricity emissions remain sensitive to rainfall in the key catchment areas. New Zealand has low levels of hydro lake storage, compared with other countries where hydro features prominently in their electricity supply.</w:t>
      </w:r>
    </w:p>
    <w:p w14:paraId="64895186" w14:textId="77777777" w:rsidR="00DE64BC" w:rsidRPr="00256982" w:rsidRDefault="00DE64BC" w:rsidP="00A808C7">
      <w:pPr>
        <w:pStyle w:val="BodyText"/>
      </w:pPr>
      <w:r w:rsidRPr="00256982">
        <w:t>Fugitive emissions present a relatively minor portion of New Zealand’s energy emissions profile. The main sources of New Zealand’s fugitive emissions include coal mining operations, production and processing of natural gas (largely venting and flaring) and geothermal operations (largely for electricity generation).</w:t>
      </w:r>
    </w:p>
    <w:p w14:paraId="03095D8C" w14:textId="77777777" w:rsidR="00DE64BC" w:rsidRPr="00256982" w:rsidRDefault="00DE64BC" w:rsidP="00A808C7">
      <w:pPr>
        <w:pStyle w:val="BodyText"/>
      </w:pPr>
      <w:r w:rsidRPr="00256982">
        <w:t>Beginning with the 2019 submission, New Zealand is reporting emissions from Tokelau, which is a dependent territory of New Zealand. Emissions from Tokelau for all activities are reported in annex 7 of the National Inventory Report and within the ‘Other’ sector in the common reporting format (CRF) tables. This is due to the significantly different methods applied and the prohibitive complexity of integrating emissions within the main sectors. Therefore, all emissions reported in this sector are from New Zealand excluding Tokelau. Please refer to chapter 8 and annex 7 for details of methods applied and the emissions for Tokelau.</w:t>
      </w:r>
    </w:p>
    <w:p w14:paraId="19566B80" w14:textId="77777777" w:rsidR="00DE64BC" w:rsidRPr="00256982" w:rsidRDefault="00DE64BC" w:rsidP="00A808C7">
      <w:pPr>
        <w:pStyle w:val="Heading5"/>
      </w:pPr>
      <w:r w:rsidRPr="00256982">
        <w:lastRenderedPageBreak/>
        <w:t>2017</w:t>
      </w:r>
    </w:p>
    <w:p w14:paraId="2366C45A" w14:textId="77777777" w:rsidR="00DE64BC" w:rsidRPr="00256982" w:rsidRDefault="00DE64BC" w:rsidP="00A808C7">
      <w:pPr>
        <w:pStyle w:val="BodyText"/>
        <w:spacing w:before="100" w:after="100"/>
      </w:pPr>
      <w:r w:rsidRPr="00256982">
        <w:t>In 2017, the Energy sector produced 32,876.6 kilotonnes carbon dioxide equivalent (kt CO</w:t>
      </w:r>
      <w:r w:rsidRPr="00256982">
        <w:rPr>
          <w:vertAlign w:val="subscript"/>
        </w:rPr>
        <w:t>2</w:t>
      </w:r>
      <w:r w:rsidRPr="00256982">
        <w:t xml:space="preserve">-e) emissions, representing 40.7 per cent of New Zealand’s gross greenhouse gas emissions. The largest sources of emissions in the Energy sector were </w:t>
      </w:r>
      <w:r w:rsidRPr="00256982">
        <w:rPr>
          <w:i/>
        </w:rPr>
        <w:t>Road transportation</w:t>
      </w:r>
      <w:r w:rsidRPr="00256982">
        <w:t>, contributing 14,456.7 kt CO</w:t>
      </w:r>
      <w:r w:rsidRPr="00256982">
        <w:rPr>
          <w:vertAlign w:val="subscript"/>
        </w:rPr>
        <w:t>2</w:t>
      </w:r>
      <w:r w:rsidRPr="00256982">
        <w:t xml:space="preserve">-e (44.0 per cent), and </w:t>
      </w:r>
      <w:r w:rsidRPr="00256982">
        <w:rPr>
          <w:i/>
        </w:rPr>
        <w:t>Public electricity and heat production</w:t>
      </w:r>
      <w:r w:rsidRPr="00256982">
        <w:t>, contributing 3,596.2 kt CO</w:t>
      </w:r>
      <w:r w:rsidRPr="00256982">
        <w:rPr>
          <w:vertAlign w:val="subscript"/>
        </w:rPr>
        <w:t>2</w:t>
      </w:r>
      <w:r w:rsidRPr="00256982">
        <w:t>-e (10.9 per cent) to energy emissions.</w:t>
      </w:r>
    </w:p>
    <w:p w14:paraId="388779AD" w14:textId="77777777" w:rsidR="00DE64BC" w:rsidRPr="00256982" w:rsidRDefault="00DE64BC" w:rsidP="00A808C7">
      <w:pPr>
        <w:pStyle w:val="Heading5"/>
        <w:rPr>
          <w:lang w:eastAsia="en-GB"/>
        </w:rPr>
      </w:pPr>
      <w:r w:rsidRPr="00256982">
        <w:rPr>
          <w:lang w:eastAsia="en-GB"/>
        </w:rPr>
        <w:t>1990–</w:t>
      </w:r>
      <w:r w:rsidRPr="00256982">
        <w:t>2017</w:t>
      </w:r>
    </w:p>
    <w:p w14:paraId="4053B88A" w14:textId="77777777" w:rsidR="00DE64BC" w:rsidRPr="00256982" w:rsidRDefault="00DE64BC" w:rsidP="00A808C7">
      <w:pPr>
        <w:pStyle w:val="BodyText"/>
        <w:spacing w:before="100" w:after="100"/>
      </w:pPr>
      <w:r w:rsidRPr="00256982">
        <w:t>In 2017, emissions from the Energy sector had increased by 38.2 per cent (9,090.9 kt) above the 1990 level of 23,785.7 kt CO</w:t>
      </w:r>
      <w:r w:rsidRPr="00256982">
        <w:rPr>
          <w:vertAlign w:val="subscript"/>
        </w:rPr>
        <w:t>2</w:t>
      </w:r>
      <w:r w:rsidRPr="00256982">
        <w:t xml:space="preserve">-e. This growth in emissions is primarily from </w:t>
      </w:r>
      <w:r w:rsidRPr="00256982">
        <w:rPr>
          <w:i/>
        </w:rPr>
        <w:t>Road transportation</w:t>
      </w:r>
      <w:r w:rsidRPr="00256982">
        <w:t>, which increased by 6,981.5 kt CO</w:t>
      </w:r>
      <w:r w:rsidRPr="00256982">
        <w:rPr>
          <w:vertAlign w:val="subscript"/>
        </w:rPr>
        <w:t>2</w:t>
      </w:r>
      <w:r w:rsidRPr="00256982">
        <w:t xml:space="preserve">-e (93.4 per cent), </w:t>
      </w:r>
      <w:r w:rsidRPr="00256982">
        <w:rPr>
          <w:i/>
        </w:rPr>
        <w:t>Chemicals</w:t>
      </w:r>
      <w:r w:rsidRPr="00256982">
        <w:t>, which increased by 1,059.2 kt CO</w:t>
      </w:r>
      <w:r w:rsidRPr="00256982">
        <w:rPr>
          <w:vertAlign w:val="subscript"/>
        </w:rPr>
        <w:t>2</w:t>
      </w:r>
      <w:r w:rsidRPr="00256982">
        <w:t xml:space="preserve">-e (192.8 per cent), and </w:t>
      </w:r>
      <w:r w:rsidRPr="00256982">
        <w:rPr>
          <w:i/>
        </w:rPr>
        <w:t>Food processing, beverages and tobacco</w:t>
      </w:r>
      <w:r w:rsidRPr="00256982">
        <w:t>, which increased by 1,448.4 kt CO</w:t>
      </w:r>
      <w:r w:rsidRPr="00256982">
        <w:rPr>
          <w:vertAlign w:val="subscript"/>
        </w:rPr>
        <w:t>2</w:t>
      </w:r>
      <w:r w:rsidRPr="00256982">
        <w:t xml:space="preserve">-e (87.4 per cent). Emissions from 1.A.1.c </w:t>
      </w:r>
      <w:r w:rsidRPr="00256982">
        <w:rPr>
          <w:i/>
        </w:rPr>
        <w:t>Manufacture of solid fuels and other energy industries</w:t>
      </w:r>
      <w:r w:rsidRPr="00256982">
        <w:t xml:space="preserve"> decreased appreciably below its 1990 level, by 1,414.9 kt CO</w:t>
      </w:r>
      <w:r w:rsidRPr="00256982">
        <w:rPr>
          <w:vertAlign w:val="subscript"/>
        </w:rPr>
        <w:t>2</w:t>
      </w:r>
      <w:r w:rsidRPr="00256982">
        <w:t>-e (−82.2 per cent). This decrease is primarily due to the cessation of synthetic gasoline production in 1997.</w:t>
      </w:r>
    </w:p>
    <w:p w14:paraId="66DB660A" w14:textId="77777777" w:rsidR="00DE64BC" w:rsidRPr="00256982" w:rsidRDefault="00DE64BC" w:rsidP="00A808C7">
      <w:pPr>
        <w:pStyle w:val="BodyText"/>
      </w:pPr>
      <w:r w:rsidRPr="00256982">
        <w:t>Figure 3.1.1 shows the time series from 1990 to 2017. The trend of emissions was increasing until around 2005, after which there has been a general decline.</w:t>
      </w:r>
    </w:p>
    <w:p w14:paraId="09E67AA8" w14:textId="77777777" w:rsidR="00DE64BC" w:rsidRPr="00256982" w:rsidRDefault="00DE64BC" w:rsidP="00A808C7">
      <w:pPr>
        <w:pStyle w:val="Figure"/>
      </w:pPr>
      <w:bookmarkStart w:id="247" w:name="_Toc443060810"/>
      <w:bookmarkStart w:id="248" w:name="_Toc447275667"/>
      <w:bookmarkStart w:id="249" w:name="_Toc481751984"/>
      <w:bookmarkStart w:id="250" w:name="_Toc5269665"/>
      <w:r w:rsidRPr="00256982">
        <w:t>Figure 3.1.</w:t>
      </w:r>
      <w:r w:rsidR="00304077">
        <w:rPr>
          <w:noProof/>
        </w:rPr>
        <w:fldChar w:fldCharType="begin"/>
      </w:r>
      <w:r w:rsidR="00304077">
        <w:rPr>
          <w:noProof/>
        </w:rPr>
        <w:instrText xml:space="preserve"> SEQ Figure \* ARABIC \s 2 </w:instrText>
      </w:r>
      <w:r w:rsidR="00304077">
        <w:rPr>
          <w:noProof/>
        </w:rPr>
        <w:fldChar w:fldCharType="separate"/>
      </w:r>
      <w:r w:rsidR="00D0418C">
        <w:rPr>
          <w:noProof/>
        </w:rPr>
        <w:t>1</w:t>
      </w:r>
      <w:r w:rsidR="00304077">
        <w:rPr>
          <w:noProof/>
        </w:rPr>
        <w:fldChar w:fldCharType="end"/>
      </w:r>
      <w:r w:rsidRPr="00256982">
        <w:tab/>
        <w:t>New Zealand’s Energy sector emissions</w:t>
      </w:r>
      <w:bookmarkEnd w:id="247"/>
      <w:bookmarkEnd w:id="248"/>
      <w:bookmarkEnd w:id="249"/>
      <w:bookmarkEnd w:id="250"/>
    </w:p>
    <w:p w14:paraId="69FC3D85" w14:textId="77777777" w:rsidR="00DE64BC" w:rsidRPr="00256982" w:rsidRDefault="00590491" w:rsidP="00A808C7">
      <w:r>
        <w:rPr>
          <w:lang w:eastAsia="en-NZ"/>
        </w:rPr>
        <w:pict w14:anchorId="55EB4BAE">
          <v:shape id="_x0000_i1048" type="#_x0000_t75" style="width:417.75pt;height:208.5pt;visibility:visible">
            <v:imagedata r:id="rId50" o:title="fig_3_1_1_energy_emissions"/>
          </v:shape>
        </w:pict>
      </w:r>
    </w:p>
    <w:p w14:paraId="0CD103E4" w14:textId="77777777" w:rsidR="00DE64BC" w:rsidRPr="00256982" w:rsidRDefault="00DE64BC" w:rsidP="00A808C7">
      <w:pPr>
        <w:pStyle w:val="Heading5"/>
      </w:pPr>
      <w:r w:rsidRPr="00256982">
        <w:t>2016–2017</w:t>
      </w:r>
    </w:p>
    <w:p w14:paraId="498EFCDF" w14:textId="77777777" w:rsidR="00DE64BC" w:rsidRPr="00256982" w:rsidRDefault="00DE64BC" w:rsidP="00A808C7">
      <w:pPr>
        <w:pStyle w:val="BodyText"/>
        <w:spacing w:before="100" w:after="100"/>
        <w:rPr>
          <w:lang w:eastAsia="en-GB"/>
        </w:rPr>
      </w:pPr>
      <w:r w:rsidRPr="00256982">
        <w:rPr>
          <w:lang w:eastAsia="en-GB"/>
        </w:rPr>
        <w:t xml:space="preserve">Between </w:t>
      </w:r>
      <w:r w:rsidRPr="00256982">
        <w:t xml:space="preserve">2016 </w:t>
      </w:r>
      <w:r w:rsidRPr="00256982">
        <w:rPr>
          <w:lang w:eastAsia="en-GB"/>
        </w:rPr>
        <w:t xml:space="preserve">and </w:t>
      </w:r>
      <w:r w:rsidRPr="00256982">
        <w:t>2017</w:t>
      </w:r>
      <w:r w:rsidRPr="00256982">
        <w:rPr>
          <w:lang w:eastAsia="en-GB"/>
        </w:rPr>
        <w:t>, emissions from the Energy sector increased by</w:t>
      </w:r>
      <w:r w:rsidRPr="00256982">
        <w:t xml:space="preserve"> 1,772.8 </w:t>
      </w:r>
      <w:r w:rsidRPr="00256982">
        <w:rPr>
          <w:lang w:eastAsia="en-GB"/>
        </w:rPr>
        <w:t>kt CO</w:t>
      </w:r>
      <w:r w:rsidRPr="00256982">
        <w:rPr>
          <w:vertAlign w:val="subscript"/>
          <w:lang w:eastAsia="en-GB"/>
        </w:rPr>
        <w:t>2</w:t>
      </w:r>
      <w:r w:rsidRPr="00256982">
        <w:rPr>
          <w:lang w:eastAsia="en-GB"/>
        </w:rPr>
        <w:t>-e (</w:t>
      </w:r>
      <w:r w:rsidRPr="00256982">
        <w:t>5.7 per cent</w:t>
      </w:r>
      <w:r w:rsidRPr="00256982">
        <w:rPr>
          <w:lang w:eastAsia="en-GB"/>
        </w:rPr>
        <w:t xml:space="preserve">). This is primarily due to emissions from category 1.A.3.b </w:t>
      </w:r>
      <w:r w:rsidRPr="00256982">
        <w:rPr>
          <w:i/>
          <w:lang w:eastAsia="en-GB"/>
        </w:rPr>
        <w:t>Road transport</w:t>
      </w:r>
      <w:r w:rsidRPr="00256982">
        <w:rPr>
          <w:rFonts w:cs="Arial"/>
          <w:lang w:eastAsia="en-GB"/>
        </w:rPr>
        <w:t>,</w:t>
      </w:r>
      <w:r w:rsidRPr="00256982">
        <w:rPr>
          <w:lang w:eastAsia="en-GB"/>
        </w:rPr>
        <w:t xml:space="preserve"> which increased by </w:t>
      </w:r>
      <w:r w:rsidRPr="00256982">
        <w:t xml:space="preserve">862.5 </w:t>
      </w:r>
      <w:r w:rsidRPr="00256982">
        <w:rPr>
          <w:lang w:eastAsia="en-GB"/>
        </w:rPr>
        <w:t>kt CO</w:t>
      </w:r>
      <w:r w:rsidRPr="00256982">
        <w:rPr>
          <w:vertAlign w:val="subscript"/>
          <w:lang w:eastAsia="en-GB"/>
        </w:rPr>
        <w:t>2</w:t>
      </w:r>
      <w:r w:rsidRPr="00256982">
        <w:rPr>
          <w:lang w:eastAsia="en-GB"/>
        </w:rPr>
        <w:t>-e (</w:t>
      </w:r>
      <w:r w:rsidRPr="00256982">
        <w:t>6.3 per cent</w:t>
      </w:r>
      <w:r w:rsidRPr="00256982">
        <w:rPr>
          <w:lang w:eastAsia="en-GB"/>
        </w:rPr>
        <w:t xml:space="preserve">). The increase was partially offset by a decrease from category </w:t>
      </w:r>
      <w:r w:rsidRPr="00256982">
        <w:rPr>
          <w:rFonts w:cs="Arial"/>
          <w:lang w:eastAsia="en-GB"/>
        </w:rPr>
        <w:t xml:space="preserve">1.A.2.c </w:t>
      </w:r>
      <w:r w:rsidRPr="00256982">
        <w:rPr>
          <w:rFonts w:cs="Arial"/>
          <w:i/>
          <w:lang w:eastAsia="en-GB"/>
        </w:rPr>
        <w:t>Chemicals</w:t>
      </w:r>
      <w:r w:rsidRPr="00256982">
        <w:rPr>
          <w:lang w:eastAsia="en-GB"/>
        </w:rPr>
        <w:t xml:space="preserve">, which </w:t>
      </w:r>
      <w:r w:rsidRPr="00256982">
        <w:t>decreased by 362.8 kt</w:t>
      </w:r>
      <w:r w:rsidRPr="00256982">
        <w:rPr>
          <w:lang w:eastAsia="en-GB"/>
        </w:rPr>
        <w:t xml:space="preserve"> CO</w:t>
      </w:r>
      <w:r w:rsidRPr="00256982">
        <w:rPr>
          <w:vertAlign w:val="subscript"/>
          <w:lang w:eastAsia="en-GB"/>
        </w:rPr>
        <w:t>2</w:t>
      </w:r>
      <w:r w:rsidRPr="00256982">
        <w:rPr>
          <w:lang w:eastAsia="en-GB"/>
        </w:rPr>
        <w:t>-e (</w:t>
      </w:r>
      <w:r w:rsidRPr="00256982">
        <w:t>−18.4 per cent</w:t>
      </w:r>
      <w:r w:rsidRPr="00256982">
        <w:rPr>
          <w:lang w:eastAsia="en-GB"/>
        </w:rPr>
        <w:t>).</w:t>
      </w:r>
    </w:p>
    <w:p w14:paraId="0D87D5F3" w14:textId="77777777" w:rsidR="00DE64BC" w:rsidRPr="00256982" w:rsidRDefault="00DE64BC" w:rsidP="00A808C7">
      <w:pPr>
        <w:pStyle w:val="BodyText"/>
      </w:pPr>
      <w:r w:rsidRPr="00256982">
        <w:rPr>
          <w:lang w:eastAsia="en-GB"/>
        </w:rPr>
        <w:t>There was also a 552.9</w:t>
      </w:r>
      <w:r w:rsidRPr="00256982">
        <w:t xml:space="preserve"> </w:t>
      </w:r>
      <w:r w:rsidRPr="00256982">
        <w:rPr>
          <w:lang w:eastAsia="en-GB"/>
        </w:rPr>
        <w:t>kt CO</w:t>
      </w:r>
      <w:r w:rsidRPr="00256982">
        <w:rPr>
          <w:szCs w:val="14"/>
          <w:vertAlign w:val="subscript"/>
          <w:lang w:eastAsia="en-GB"/>
        </w:rPr>
        <w:t>2</w:t>
      </w:r>
      <w:r w:rsidRPr="00256982">
        <w:rPr>
          <w:lang w:eastAsia="en-GB"/>
        </w:rPr>
        <w:t>-e (</w:t>
      </w:r>
      <w:r w:rsidRPr="00256982">
        <w:t>18.2 per cent</w:t>
      </w:r>
      <w:r w:rsidRPr="00256982">
        <w:rPr>
          <w:lang w:eastAsia="en-GB"/>
        </w:rPr>
        <w:t xml:space="preserve">) increase in emissions for category 1.A.1.a </w:t>
      </w:r>
      <w:r w:rsidRPr="00256982">
        <w:rPr>
          <w:i/>
          <w:lang w:eastAsia="en-GB"/>
        </w:rPr>
        <w:t>Public electricity and heat production</w:t>
      </w:r>
      <w:r w:rsidRPr="00256982">
        <w:rPr>
          <w:lang w:eastAsia="en-GB"/>
        </w:rPr>
        <w:t>. This was primarily due to an increase in natural gas-fired generation to meet higher electricity demand and compensate for lower levels of hydro and wind generation</w:t>
      </w:r>
      <w:r w:rsidRPr="00256982">
        <w:rPr>
          <w:i/>
        </w:rPr>
        <w:t>.</w:t>
      </w:r>
    </w:p>
    <w:p w14:paraId="2F278413" w14:textId="77777777" w:rsidR="00DE64BC" w:rsidRPr="00256982" w:rsidRDefault="00DE64BC" w:rsidP="001D3490">
      <w:pPr>
        <w:pStyle w:val="Heading3"/>
      </w:pPr>
      <w:r w:rsidRPr="00256982">
        <w:t>3.1.2</w:t>
      </w:r>
      <w:r w:rsidRPr="00256982">
        <w:tab/>
        <w:t>Key categories for Energy sector emissions</w:t>
      </w:r>
    </w:p>
    <w:p w14:paraId="1A029A9B" w14:textId="77777777" w:rsidR="00DE64BC" w:rsidRPr="00256982" w:rsidRDefault="00DE64BC" w:rsidP="00A808C7">
      <w:pPr>
        <w:pStyle w:val="BodyText"/>
        <w:spacing w:before="100" w:after="100"/>
      </w:pPr>
      <w:r w:rsidRPr="00256982">
        <w:t>Details of New Zealand’s key category analysis are in chapter 1, section 1.5. The key categories in the Energy sector are listed in table 3.1.1.</w:t>
      </w:r>
    </w:p>
    <w:p w14:paraId="70F1EDA5" w14:textId="77777777" w:rsidR="00DE64BC" w:rsidRPr="00256982" w:rsidRDefault="00DE64BC" w:rsidP="00A808C7">
      <w:pPr>
        <w:pStyle w:val="Table"/>
      </w:pPr>
      <w:bookmarkStart w:id="251" w:name="_Toc451176060"/>
      <w:bookmarkStart w:id="252" w:name="_Toc481751486"/>
      <w:bookmarkStart w:id="253" w:name="_Toc507496588"/>
      <w:bookmarkStart w:id="254" w:name="_Toc5269444"/>
      <w:bookmarkStart w:id="255" w:name="_Toc384582165"/>
      <w:bookmarkStart w:id="256" w:name="_Toc443060844"/>
      <w:r w:rsidRPr="00256982">
        <w:lastRenderedPageBreak/>
        <w:t xml:space="preserve">Table 3.1.1 </w:t>
      </w:r>
      <w:r w:rsidRPr="00256982">
        <w:tab/>
        <w:t>Key categories in the Energy sector</w:t>
      </w:r>
      <w:bookmarkEnd w:id="251"/>
      <w:bookmarkEnd w:id="252"/>
      <w:bookmarkEnd w:id="253"/>
      <w:bookmarkEnd w:id="254"/>
    </w:p>
    <w:tbl>
      <w:tblPr>
        <w:tblW w:w="8562" w:type="dxa"/>
        <w:tblInd w:w="108" w:type="dxa"/>
        <w:tblBorders>
          <w:top w:val="single" w:sz="4" w:space="0" w:color="365F91"/>
          <w:bottom w:val="single" w:sz="4" w:space="0" w:color="365F91"/>
          <w:insideH w:val="single" w:sz="4" w:space="0" w:color="365F91"/>
          <w:insideV w:val="single" w:sz="4" w:space="0" w:color="365F91"/>
        </w:tblBorders>
        <w:tblLayout w:type="fixed"/>
        <w:tblLook w:val="04A0" w:firstRow="1" w:lastRow="0" w:firstColumn="1" w:lastColumn="0" w:noHBand="0" w:noVBand="1"/>
      </w:tblPr>
      <w:tblGrid>
        <w:gridCol w:w="1301"/>
        <w:gridCol w:w="5190"/>
        <w:gridCol w:w="731"/>
        <w:gridCol w:w="1340"/>
      </w:tblGrid>
      <w:tr w:rsidR="00DE64BC" w:rsidRPr="00256982" w14:paraId="067067FC" w14:textId="77777777" w:rsidTr="00880733">
        <w:trPr>
          <w:tblHeader/>
        </w:trPr>
        <w:tc>
          <w:tcPr>
            <w:tcW w:w="1301" w:type="dxa"/>
            <w:tcBorders>
              <w:right w:val="nil"/>
            </w:tcBorders>
            <w:shd w:val="clear" w:color="auto" w:fill="365F91"/>
            <w:noWrap/>
            <w:vAlign w:val="bottom"/>
            <w:hideMark/>
          </w:tcPr>
          <w:p w14:paraId="0C36BBC5" w14:textId="77777777" w:rsidR="00DE64BC" w:rsidRPr="00256982" w:rsidRDefault="00DE64BC" w:rsidP="00A808C7">
            <w:pPr>
              <w:pStyle w:val="TableTextBold"/>
              <w:keepNext/>
              <w:rPr>
                <w:noProof w:val="0"/>
                <w:color w:val="FFFFFF"/>
              </w:rPr>
            </w:pPr>
            <w:r w:rsidRPr="00256982">
              <w:rPr>
                <w:noProof w:val="0"/>
                <w:color w:val="FFFFFF"/>
              </w:rPr>
              <w:t>CRF category code</w:t>
            </w:r>
          </w:p>
        </w:tc>
        <w:tc>
          <w:tcPr>
            <w:tcW w:w="5190" w:type="dxa"/>
            <w:tcBorders>
              <w:left w:val="nil"/>
              <w:right w:val="nil"/>
            </w:tcBorders>
            <w:shd w:val="clear" w:color="auto" w:fill="365F91"/>
            <w:noWrap/>
            <w:vAlign w:val="bottom"/>
            <w:hideMark/>
          </w:tcPr>
          <w:p w14:paraId="2ACE2C8A" w14:textId="77777777" w:rsidR="00DE64BC" w:rsidRPr="00256982" w:rsidRDefault="00DE64BC" w:rsidP="00A808C7">
            <w:pPr>
              <w:pStyle w:val="TableTextBold"/>
              <w:keepNext/>
              <w:rPr>
                <w:noProof w:val="0"/>
                <w:color w:val="FFFFFF"/>
              </w:rPr>
            </w:pPr>
            <w:r w:rsidRPr="00256982">
              <w:rPr>
                <w:noProof w:val="0"/>
                <w:color w:val="FFFFFF"/>
              </w:rPr>
              <w:t>IPCC categories</w:t>
            </w:r>
          </w:p>
        </w:tc>
        <w:tc>
          <w:tcPr>
            <w:tcW w:w="731" w:type="dxa"/>
            <w:tcBorders>
              <w:left w:val="nil"/>
              <w:right w:val="nil"/>
            </w:tcBorders>
            <w:shd w:val="clear" w:color="auto" w:fill="365F91"/>
            <w:noWrap/>
            <w:vAlign w:val="bottom"/>
            <w:hideMark/>
          </w:tcPr>
          <w:p w14:paraId="428F77E9" w14:textId="77777777" w:rsidR="00DE64BC" w:rsidRPr="00256982" w:rsidRDefault="00DE64BC" w:rsidP="00A808C7">
            <w:pPr>
              <w:pStyle w:val="TableTextBold"/>
              <w:keepNext/>
              <w:jc w:val="center"/>
              <w:rPr>
                <w:noProof w:val="0"/>
                <w:color w:val="FFFFFF"/>
              </w:rPr>
            </w:pPr>
            <w:r w:rsidRPr="00256982">
              <w:rPr>
                <w:noProof w:val="0"/>
                <w:color w:val="FFFFFF"/>
              </w:rPr>
              <w:t>Gas</w:t>
            </w:r>
          </w:p>
        </w:tc>
        <w:tc>
          <w:tcPr>
            <w:tcW w:w="1340" w:type="dxa"/>
            <w:tcBorders>
              <w:left w:val="nil"/>
            </w:tcBorders>
            <w:shd w:val="clear" w:color="auto" w:fill="365F91"/>
            <w:noWrap/>
            <w:vAlign w:val="bottom"/>
            <w:hideMark/>
          </w:tcPr>
          <w:p w14:paraId="14F7EDF4" w14:textId="77777777" w:rsidR="00DE64BC" w:rsidRPr="00256982" w:rsidRDefault="00DE64BC" w:rsidP="00A808C7">
            <w:pPr>
              <w:pStyle w:val="TableTextBold"/>
              <w:keepNext/>
              <w:rPr>
                <w:noProof w:val="0"/>
                <w:color w:val="FFFFFF"/>
              </w:rPr>
            </w:pPr>
            <w:r w:rsidRPr="00256982">
              <w:rPr>
                <w:noProof w:val="0"/>
                <w:color w:val="FFFFFF"/>
              </w:rPr>
              <w:t>Criteria for identification</w:t>
            </w:r>
          </w:p>
        </w:tc>
      </w:tr>
      <w:tr w:rsidR="00DE64BC" w:rsidRPr="00256982" w14:paraId="42141736" w14:textId="77777777" w:rsidTr="00880733">
        <w:tc>
          <w:tcPr>
            <w:tcW w:w="1301" w:type="dxa"/>
            <w:tcBorders>
              <w:right w:val="nil"/>
            </w:tcBorders>
            <w:shd w:val="clear" w:color="auto" w:fill="auto"/>
            <w:noWrap/>
            <w:hideMark/>
          </w:tcPr>
          <w:p w14:paraId="2151E6D2" w14:textId="77777777" w:rsidR="00DE64BC" w:rsidRPr="00256982" w:rsidRDefault="00DE64BC" w:rsidP="00A808C7">
            <w:pPr>
              <w:pStyle w:val="TableText"/>
              <w:keepNext/>
            </w:pPr>
            <w:r w:rsidRPr="00256982">
              <w:rPr>
                <w:rFonts w:cs="Arial"/>
                <w:color w:val="000000"/>
              </w:rPr>
              <w:t>1.A.1.a</w:t>
            </w:r>
          </w:p>
        </w:tc>
        <w:tc>
          <w:tcPr>
            <w:tcW w:w="5190" w:type="dxa"/>
            <w:tcBorders>
              <w:left w:val="nil"/>
              <w:right w:val="nil"/>
            </w:tcBorders>
            <w:shd w:val="clear" w:color="auto" w:fill="auto"/>
            <w:noWrap/>
            <w:hideMark/>
          </w:tcPr>
          <w:p w14:paraId="5E10C993" w14:textId="77777777" w:rsidR="00DE64BC" w:rsidRPr="00256982" w:rsidRDefault="00DE64BC" w:rsidP="00A808C7">
            <w:pPr>
              <w:pStyle w:val="TableText"/>
            </w:pPr>
            <w:r w:rsidRPr="00256982">
              <w:rPr>
                <w:rFonts w:cs="Arial"/>
                <w:color w:val="000000"/>
              </w:rPr>
              <w:t>Energy Industries – Public Electricity and Heat Production Gaseous Fuels</w:t>
            </w:r>
          </w:p>
        </w:tc>
        <w:tc>
          <w:tcPr>
            <w:tcW w:w="731" w:type="dxa"/>
            <w:tcBorders>
              <w:left w:val="nil"/>
              <w:right w:val="nil"/>
            </w:tcBorders>
            <w:shd w:val="clear" w:color="auto" w:fill="auto"/>
            <w:noWrap/>
            <w:hideMark/>
          </w:tcPr>
          <w:p w14:paraId="4511EA96" w14:textId="77777777" w:rsidR="00DE64BC" w:rsidRPr="00256982" w:rsidRDefault="00DE64BC" w:rsidP="00A808C7">
            <w:pPr>
              <w:pStyle w:val="TableText"/>
              <w:jc w:val="center"/>
            </w:pPr>
            <w:r w:rsidRPr="00256982">
              <w:rPr>
                <w:rFonts w:cs="Arial"/>
                <w:color w:val="000000"/>
              </w:rPr>
              <w:t>CO</w:t>
            </w:r>
            <w:r w:rsidRPr="00256982">
              <w:rPr>
                <w:rFonts w:cs="Arial"/>
                <w:color w:val="000000"/>
                <w:vertAlign w:val="subscript"/>
              </w:rPr>
              <w:t>2</w:t>
            </w:r>
          </w:p>
        </w:tc>
        <w:tc>
          <w:tcPr>
            <w:tcW w:w="1340" w:type="dxa"/>
            <w:tcBorders>
              <w:left w:val="nil"/>
            </w:tcBorders>
            <w:shd w:val="clear" w:color="auto" w:fill="auto"/>
            <w:noWrap/>
            <w:hideMark/>
          </w:tcPr>
          <w:p w14:paraId="5B6162B1" w14:textId="77777777" w:rsidR="00DE64BC" w:rsidRPr="00256982" w:rsidRDefault="00DE64BC" w:rsidP="00A808C7">
            <w:pPr>
              <w:pStyle w:val="TableText"/>
            </w:pPr>
            <w:r w:rsidRPr="00256982">
              <w:rPr>
                <w:rFonts w:cs="Arial"/>
                <w:color w:val="000000"/>
              </w:rPr>
              <w:t>L1, T1</w:t>
            </w:r>
          </w:p>
        </w:tc>
      </w:tr>
      <w:tr w:rsidR="00DE64BC" w:rsidRPr="00256982" w14:paraId="19026009" w14:textId="77777777" w:rsidTr="00880733">
        <w:tc>
          <w:tcPr>
            <w:tcW w:w="1301" w:type="dxa"/>
            <w:tcBorders>
              <w:right w:val="nil"/>
            </w:tcBorders>
            <w:shd w:val="clear" w:color="auto" w:fill="auto"/>
            <w:noWrap/>
            <w:hideMark/>
          </w:tcPr>
          <w:p w14:paraId="17CB5693" w14:textId="77777777" w:rsidR="00DE64BC" w:rsidRPr="00256982" w:rsidRDefault="00DE64BC" w:rsidP="00A808C7">
            <w:pPr>
              <w:pStyle w:val="TableText"/>
              <w:keepNext/>
            </w:pPr>
            <w:r w:rsidRPr="00256982">
              <w:rPr>
                <w:rFonts w:cs="Arial"/>
                <w:color w:val="000000"/>
              </w:rPr>
              <w:t>1.A.1.a</w:t>
            </w:r>
          </w:p>
        </w:tc>
        <w:tc>
          <w:tcPr>
            <w:tcW w:w="5190" w:type="dxa"/>
            <w:tcBorders>
              <w:left w:val="nil"/>
              <w:right w:val="nil"/>
            </w:tcBorders>
            <w:shd w:val="clear" w:color="auto" w:fill="auto"/>
            <w:noWrap/>
            <w:hideMark/>
          </w:tcPr>
          <w:p w14:paraId="6EC504B7" w14:textId="77777777" w:rsidR="00DE64BC" w:rsidRPr="00256982" w:rsidRDefault="00DE64BC" w:rsidP="00A808C7">
            <w:pPr>
              <w:pStyle w:val="TableText"/>
            </w:pPr>
            <w:r w:rsidRPr="00256982">
              <w:rPr>
                <w:rFonts w:cs="Arial"/>
                <w:color w:val="000000"/>
              </w:rPr>
              <w:t>Energy Industries – Public Electricity and Heat Production Solid Fuels</w:t>
            </w:r>
          </w:p>
        </w:tc>
        <w:tc>
          <w:tcPr>
            <w:tcW w:w="731" w:type="dxa"/>
            <w:tcBorders>
              <w:left w:val="nil"/>
              <w:right w:val="nil"/>
            </w:tcBorders>
            <w:shd w:val="clear" w:color="auto" w:fill="auto"/>
            <w:noWrap/>
            <w:hideMark/>
          </w:tcPr>
          <w:p w14:paraId="1752CCFB" w14:textId="77777777" w:rsidR="00DE64BC" w:rsidRPr="00256982" w:rsidRDefault="00DE64BC" w:rsidP="00A808C7">
            <w:pPr>
              <w:pStyle w:val="TableText"/>
              <w:jc w:val="center"/>
            </w:pPr>
            <w:r w:rsidRPr="00256982">
              <w:rPr>
                <w:rFonts w:cs="Arial"/>
                <w:color w:val="000000"/>
              </w:rPr>
              <w:t>CO</w:t>
            </w:r>
            <w:r w:rsidRPr="00256982">
              <w:rPr>
                <w:rFonts w:cs="Arial"/>
                <w:color w:val="000000"/>
                <w:vertAlign w:val="subscript"/>
              </w:rPr>
              <w:t>2</w:t>
            </w:r>
          </w:p>
        </w:tc>
        <w:tc>
          <w:tcPr>
            <w:tcW w:w="1340" w:type="dxa"/>
            <w:tcBorders>
              <w:left w:val="nil"/>
            </w:tcBorders>
            <w:shd w:val="clear" w:color="auto" w:fill="auto"/>
            <w:noWrap/>
            <w:hideMark/>
          </w:tcPr>
          <w:p w14:paraId="5E8E6D42" w14:textId="77777777" w:rsidR="00DE64BC" w:rsidRPr="00256982" w:rsidRDefault="00DE64BC" w:rsidP="00A808C7">
            <w:pPr>
              <w:pStyle w:val="TableText"/>
            </w:pPr>
            <w:r w:rsidRPr="00256982">
              <w:rPr>
                <w:rFonts w:cs="Arial"/>
                <w:color w:val="000000"/>
              </w:rPr>
              <w:t>L1</w:t>
            </w:r>
          </w:p>
        </w:tc>
      </w:tr>
      <w:tr w:rsidR="00DE64BC" w:rsidRPr="00256982" w14:paraId="1877F5FD" w14:textId="77777777" w:rsidTr="00880733">
        <w:tc>
          <w:tcPr>
            <w:tcW w:w="1301" w:type="dxa"/>
            <w:tcBorders>
              <w:right w:val="nil"/>
            </w:tcBorders>
            <w:shd w:val="clear" w:color="auto" w:fill="auto"/>
            <w:noWrap/>
            <w:hideMark/>
          </w:tcPr>
          <w:p w14:paraId="0B2AF1B2" w14:textId="77777777" w:rsidR="00DE64BC" w:rsidRPr="00256982" w:rsidRDefault="00DE64BC" w:rsidP="00A808C7">
            <w:pPr>
              <w:pStyle w:val="TableText"/>
            </w:pPr>
            <w:r w:rsidRPr="00256982">
              <w:rPr>
                <w:rFonts w:cs="Arial"/>
                <w:color w:val="000000"/>
              </w:rPr>
              <w:t>1.A.1.b</w:t>
            </w:r>
          </w:p>
        </w:tc>
        <w:tc>
          <w:tcPr>
            <w:tcW w:w="5190" w:type="dxa"/>
            <w:tcBorders>
              <w:left w:val="nil"/>
              <w:right w:val="nil"/>
            </w:tcBorders>
            <w:shd w:val="clear" w:color="auto" w:fill="auto"/>
            <w:noWrap/>
            <w:hideMark/>
          </w:tcPr>
          <w:p w14:paraId="0986E487" w14:textId="77777777" w:rsidR="00DE64BC" w:rsidRPr="00256982" w:rsidRDefault="00DE64BC" w:rsidP="00A808C7">
            <w:pPr>
              <w:pStyle w:val="TableText"/>
            </w:pPr>
            <w:r w:rsidRPr="00256982">
              <w:rPr>
                <w:rFonts w:cs="Arial"/>
                <w:color w:val="000000"/>
              </w:rPr>
              <w:t>Energy Industries – Petroleum Refining Liquid Fuels</w:t>
            </w:r>
          </w:p>
        </w:tc>
        <w:tc>
          <w:tcPr>
            <w:tcW w:w="731" w:type="dxa"/>
            <w:tcBorders>
              <w:left w:val="nil"/>
              <w:right w:val="nil"/>
            </w:tcBorders>
            <w:shd w:val="clear" w:color="auto" w:fill="auto"/>
            <w:noWrap/>
            <w:hideMark/>
          </w:tcPr>
          <w:p w14:paraId="16F9BEA0" w14:textId="77777777" w:rsidR="00DE64BC" w:rsidRPr="00256982" w:rsidRDefault="00DE64BC" w:rsidP="00A808C7">
            <w:pPr>
              <w:pStyle w:val="TableText"/>
              <w:jc w:val="center"/>
            </w:pPr>
            <w:r w:rsidRPr="00256982">
              <w:rPr>
                <w:rFonts w:cs="Arial"/>
                <w:color w:val="000000"/>
              </w:rPr>
              <w:t>CO</w:t>
            </w:r>
            <w:r w:rsidRPr="00256982">
              <w:rPr>
                <w:rFonts w:cs="Arial"/>
                <w:color w:val="000000"/>
                <w:vertAlign w:val="subscript"/>
              </w:rPr>
              <w:t>2</w:t>
            </w:r>
          </w:p>
        </w:tc>
        <w:tc>
          <w:tcPr>
            <w:tcW w:w="1340" w:type="dxa"/>
            <w:tcBorders>
              <w:left w:val="nil"/>
            </w:tcBorders>
            <w:shd w:val="clear" w:color="auto" w:fill="auto"/>
            <w:noWrap/>
            <w:hideMark/>
          </w:tcPr>
          <w:p w14:paraId="0612C0B8" w14:textId="77777777" w:rsidR="00DE64BC" w:rsidRPr="00256982" w:rsidRDefault="00DE64BC" w:rsidP="00A808C7">
            <w:pPr>
              <w:pStyle w:val="TableText"/>
            </w:pPr>
            <w:r w:rsidRPr="00256982">
              <w:rPr>
                <w:rFonts w:cs="Arial"/>
                <w:color w:val="000000"/>
              </w:rPr>
              <w:t>L1, T1</w:t>
            </w:r>
          </w:p>
        </w:tc>
      </w:tr>
      <w:tr w:rsidR="00DE64BC" w:rsidRPr="00256982" w14:paraId="1FC50D51" w14:textId="77777777" w:rsidTr="00880733">
        <w:tc>
          <w:tcPr>
            <w:tcW w:w="1301" w:type="dxa"/>
            <w:tcBorders>
              <w:right w:val="nil"/>
            </w:tcBorders>
            <w:shd w:val="clear" w:color="auto" w:fill="auto"/>
            <w:noWrap/>
            <w:hideMark/>
          </w:tcPr>
          <w:p w14:paraId="4D24A5A7" w14:textId="77777777" w:rsidR="00DE64BC" w:rsidRPr="00256982" w:rsidRDefault="00DE64BC" w:rsidP="00A808C7">
            <w:pPr>
              <w:pStyle w:val="TableText"/>
            </w:pPr>
            <w:r w:rsidRPr="00256982">
              <w:rPr>
                <w:rFonts w:cs="Arial"/>
                <w:color w:val="000000"/>
              </w:rPr>
              <w:t>1.A.1.b</w:t>
            </w:r>
          </w:p>
        </w:tc>
        <w:tc>
          <w:tcPr>
            <w:tcW w:w="5190" w:type="dxa"/>
            <w:tcBorders>
              <w:left w:val="nil"/>
              <w:right w:val="nil"/>
            </w:tcBorders>
            <w:shd w:val="clear" w:color="auto" w:fill="auto"/>
            <w:noWrap/>
            <w:hideMark/>
          </w:tcPr>
          <w:p w14:paraId="11F3E118" w14:textId="77777777" w:rsidR="00DE64BC" w:rsidRPr="00256982" w:rsidRDefault="00DE64BC" w:rsidP="00A808C7">
            <w:pPr>
              <w:pStyle w:val="TableText"/>
            </w:pPr>
            <w:r w:rsidRPr="00256982">
              <w:rPr>
                <w:rFonts w:cs="Arial"/>
                <w:color w:val="000000"/>
              </w:rPr>
              <w:t>Energy Industries – Petroleum Refining Gaseous Fuels</w:t>
            </w:r>
          </w:p>
        </w:tc>
        <w:tc>
          <w:tcPr>
            <w:tcW w:w="731" w:type="dxa"/>
            <w:tcBorders>
              <w:left w:val="nil"/>
              <w:right w:val="nil"/>
            </w:tcBorders>
            <w:shd w:val="clear" w:color="auto" w:fill="auto"/>
            <w:noWrap/>
            <w:hideMark/>
          </w:tcPr>
          <w:p w14:paraId="540F1EFF" w14:textId="77777777" w:rsidR="00DE64BC" w:rsidRPr="00256982" w:rsidRDefault="00DE64BC" w:rsidP="00A808C7">
            <w:pPr>
              <w:pStyle w:val="TableText"/>
              <w:jc w:val="center"/>
            </w:pPr>
            <w:r w:rsidRPr="00256982">
              <w:rPr>
                <w:rFonts w:cs="Arial"/>
                <w:color w:val="000000"/>
              </w:rPr>
              <w:t>CO</w:t>
            </w:r>
            <w:r w:rsidRPr="00256982">
              <w:rPr>
                <w:rFonts w:cs="Arial"/>
                <w:color w:val="000000"/>
                <w:vertAlign w:val="subscript"/>
              </w:rPr>
              <w:t>2</w:t>
            </w:r>
          </w:p>
        </w:tc>
        <w:tc>
          <w:tcPr>
            <w:tcW w:w="1340" w:type="dxa"/>
            <w:tcBorders>
              <w:left w:val="nil"/>
            </w:tcBorders>
            <w:shd w:val="clear" w:color="auto" w:fill="auto"/>
            <w:noWrap/>
            <w:hideMark/>
          </w:tcPr>
          <w:p w14:paraId="63250F33" w14:textId="77777777" w:rsidR="00DE64BC" w:rsidRPr="00256982" w:rsidRDefault="00DE64BC" w:rsidP="00A808C7">
            <w:pPr>
              <w:pStyle w:val="TableText"/>
            </w:pPr>
            <w:r w:rsidRPr="00256982">
              <w:rPr>
                <w:rFonts w:cs="Arial"/>
                <w:color w:val="000000"/>
              </w:rPr>
              <w:t>T1</w:t>
            </w:r>
          </w:p>
        </w:tc>
      </w:tr>
      <w:tr w:rsidR="00DE64BC" w:rsidRPr="00256982" w14:paraId="50D3ED21" w14:textId="77777777" w:rsidTr="00880733">
        <w:tc>
          <w:tcPr>
            <w:tcW w:w="1301" w:type="dxa"/>
            <w:tcBorders>
              <w:right w:val="nil"/>
            </w:tcBorders>
            <w:shd w:val="clear" w:color="auto" w:fill="auto"/>
            <w:noWrap/>
            <w:hideMark/>
          </w:tcPr>
          <w:p w14:paraId="659CA494" w14:textId="77777777" w:rsidR="00DE64BC" w:rsidRPr="00256982" w:rsidRDefault="00DE64BC" w:rsidP="00A808C7">
            <w:pPr>
              <w:pStyle w:val="TableText"/>
            </w:pPr>
            <w:r w:rsidRPr="00256982">
              <w:rPr>
                <w:rFonts w:cs="Arial"/>
                <w:color w:val="000000"/>
              </w:rPr>
              <w:t>1.A.1.c</w:t>
            </w:r>
          </w:p>
        </w:tc>
        <w:tc>
          <w:tcPr>
            <w:tcW w:w="5190" w:type="dxa"/>
            <w:tcBorders>
              <w:left w:val="nil"/>
              <w:right w:val="nil"/>
            </w:tcBorders>
            <w:shd w:val="clear" w:color="auto" w:fill="auto"/>
            <w:noWrap/>
            <w:hideMark/>
          </w:tcPr>
          <w:p w14:paraId="4562BEE5" w14:textId="77777777" w:rsidR="00DE64BC" w:rsidRPr="00256982" w:rsidRDefault="00DE64BC" w:rsidP="00A808C7">
            <w:pPr>
              <w:pStyle w:val="TableText"/>
            </w:pPr>
            <w:r w:rsidRPr="00256982">
              <w:rPr>
                <w:rFonts w:cs="Arial"/>
                <w:color w:val="000000"/>
              </w:rPr>
              <w:t>Energy Industries – Manufacture of Solid Fuels and Other Energy Industries Gaseous Fuels</w:t>
            </w:r>
          </w:p>
        </w:tc>
        <w:tc>
          <w:tcPr>
            <w:tcW w:w="731" w:type="dxa"/>
            <w:tcBorders>
              <w:left w:val="nil"/>
              <w:right w:val="nil"/>
            </w:tcBorders>
            <w:shd w:val="clear" w:color="auto" w:fill="auto"/>
            <w:noWrap/>
            <w:hideMark/>
          </w:tcPr>
          <w:p w14:paraId="78423E11" w14:textId="77777777" w:rsidR="00DE64BC" w:rsidRPr="00256982" w:rsidRDefault="00DE64BC" w:rsidP="00A808C7">
            <w:pPr>
              <w:pStyle w:val="TableText"/>
              <w:jc w:val="center"/>
            </w:pPr>
            <w:r w:rsidRPr="00256982">
              <w:rPr>
                <w:rFonts w:cs="Arial"/>
                <w:color w:val="000000"/>
              </w:rPr>
              <w:t>CO</w:t>
            </w:r>
            <w:r w:rsidRPr="00256982">
              <w:rPr>
                <w:rFonts w:cs="Arial"/>
                <w:color w:val="000000"/>
                <w:vertAlign w:val="subscript"/>
              </w:rPr>
              <w:t>2</w:t>
            </w:r>
          </w:p>
        </w:tc>
        <w:tc>
          <w:tcPr>
            <w:tcW w:w="1340" w:type="dxa"/>
            <w:tcBorders>
              <w:left w:val="nil"/>
            </w:tcBorders>
            <w:shd w:val="clear" w:color="auto" w:fill="auto"/>
            <w:noWrap/>
            <w:hideMark/>
          </w:tcPr>
          <w:p w14:paraId="2053FB14" w14:textId="77777777" w:rsidR="00DE64BC" w:rsidRPr="00256982" w:rsidRDefault="00DE64BC" w:rsidP="00A808C7">
            <w:pPr>
              <w:pStyle w:val="TableText"/>
            </w:pPr>
            <w:r w:rsidRPr="00256982">
              <w:rPr>
                <w:rFonts w:cs="Arial"/>
                <w:color w:val="000000"/>
              </w:rPr>
              <w:t>L1, T1</w:t>
            </w:r>
          </w:p>
        </w:tc>
      </w:tr>
      <w:tr w:rsidR="00DE64BC" w:rsidRPr="00256982" w14:paraId="636D9D92" w14:textId="77777777" w:rsidTr="00880733">
        <w:tc>
          <w:tcPr>
            <w:tcW w:w="1301" w:type="dxa"/>
            <w:tcBorders>
              <w:right w:val="nil"/>
            </w:tcBorders>
            <w:shd w:val="clear" w:color="auto" w:fill="auto"/>
            <w:noWrap/>
            <w:hideMark/>
          </w:tcPr>
          <w:p w14:paraId="6D3CF409" w14:textId="77777777" w:rsidR="00DE64BC" w:rsidRPr="00256982" w:rsidRDefault="00DE64BC" w:rsidP="00A808C7">
            <w:pPr>
              <w:pStyle w:val="TableText"/>
            </w:pPr>
            <w:r w:rsidRPr="00256982">
              <w:rPr>
                <w:rFonts w:cs="Arial"/>
                <w:color w:val="000000"/>
              </w:rPr>
              <w:t>1.A.2.c</w:t>
            </w:r>
          </w:p>
        </w:tc>
        <w:tc>
          <w:tcPr>
            <w:tcW w:w="5190" w:type="dxa"/>
            <w:tcBorders>
              <w:left w:val="nil"/>
              <w:right w:val="nil"/>
            </w:tcBorders>
            <w:shd w:val="clear" w:color="auto" w:fill="auto"/>
            <w:noWrap/>
            <w:hideMark/>
          </w:tcPr>
          <w:p w14:paraId="566AF06F" w14:textId="77777777" w:rsidR="00DE64BC" w:rsidRPr="00256982" w:rsidRDefault="00DE64BC" w:rsidP="00A808C7">
            <w:pPr>
              <w:pStyle w:val="TableText"/>
            </w:pPr>
            <w:r w:rsidRPr="00256982">
              <w:rPr>
                <w:rFonts w:cs="Arial"/>
                <w:color w:val="000000"/>
              </w:rPr>
              <w:t>Manufacturing Industries and Construction – Chemicals Gaseous Fuels</w:t>
            </w:r>
          </w:p>
        </w:tc>
        <w:tc>
          <w:tcPr>
            <w:tcW w:w="731" w:type="dxa"/>
            <w:tcBorders>
              <w:left w:val="nil"/>
              <w:right w:val="nil"/>
            </w:tcBorders>
            <w:shd w:val="clear" w:color="auto" w:fill="auto"/>
            <w:noWrap/>
            <w:hideMark/>
          </w:tcPr>
          <w:p w14:paraId="5F96B334" w14:textId="77777777" w:rsidR="00DE64BC" w:rsidRPr="00256982" w:rsidRDefault="00DE64BC" w:rsidP="00A808C7">
            <w:pPr>
              <w:pStyle w:val="TableText"/>
              <w:jc w:val="center"/>
            </w:pPr>
            <w:r w:rsidRPr="00256982">
              <w:rPr>
                <w:rFonts w:cs="Arial"/>
                <w:color w:val="000000"/>
              </w:rPr>
              <w:t>CO</w:t>
            </w:r>
            <w:r w:rsidRPr="00256982">
              <w:rPr>
                <w:rFonts w:cs="Arial"/>
                <w:color w:val="000000"/>
                <w:vertAlign w:val="subscript"/>
              </w:rPr>
              <w:t>2</w:t>
            </w:r>
          </w:p>
        </w:tc>
        <w:tc>
          <w:tcPr>
            <w:tcW w:w="1340" w:type="dxa"/>
            <w:tcBorders>
              <w:left w:val="nil"/>
            </w:tcBorders>
            <w:shd w:val="clear" w:color="auto" w:fill="auto"/>
            <w:noWrap/>
            <w:hideMark/>
          </w:tcPr>
          <w:p w14:paraId="3365CCC6" w14:textId="77777777" w:rsidR="00DE64BC" w:rsidRPr="00256982" w:rsidRDefault="00DE64BC" w:rsidP="00A808C7">
            <w:pPr>
              <w:pStyle w:val="TableText"/>
            </w:pPr>
            <w:r w:rsidRPr="00256982">
              <w:rPr>
                <w:rFonts w:cs="Arial"/>
                <w:color w:val="000000"/>
              </w:rPr>
              <w:t>L1, T1</w:t>
            </w:r>
          </w:p>
        </w:tc>
      </w:tr>
      <w:tr w:rsidR="00DE64BC" w:rsidRPr="00256982" w14:paraId="7D752B83" w14:textId="77777777" w:rsidTr="00880733">
        <w:tc>
          <w:tcPr>
            <w:tcW w:w="1301" w:type="dxa"/>
            <w:tcBorders>
              <w:right w:val="nil"/>
            </w:tcBorders>
            <w:shd w:val="clear" w:color="auto" w:fill="auto"/>
            <w:noWrap/>
            <w:hideMark/>
          </w:tcPr>
          <w:p w14:paraId="7F42DB7A" w14:textId="77777777" w:rsidR="00DE64BC" w:rsidRPr="00256982" w:rsidRDefault="00DE64BC" w:rsidP="00A808C7">
            <w:pPr>
              <w:pStyle w:val="TableText"/>
            </w:pPr>
            <w:r w:rsidRPr="00256982">
              <w:rPr>
                <w:rFonts w:cs="Arial"/>
                <w:color w:val="000000"/>
              </w:rPr>
              <w:t>1.A.2.d</w:t>
            </w:r>
          </w:p>
        </w:tc>
        <w:tc>
          <w:tcPr>
            <w:tcW w:w="5190" w:type="dxa"/>
            <w:tcBorders>
              <w:left w:val="nil"/>
              <w:right w:val="nil"/>
            </w:tcBorders>
            <w:shd w:val="clear" w:color="auto" w:fill="auto"/>
            <w:noWrap/>
            <w:hideMark/>
          </w:tcPr>
          <w:p w14:paraId="42EAD7AC" w14:textId="77777777" w:rsidR="00DE64BC" w:rsidRPr="00256982" w:rsidRDefault="00DE64BC" w:rsidP="00A808C7">
            <w:pPr>
              <w:pStyle w:val="TableText"/>
            </w:pPr>
            <w:r w:rsidRPr="00256982">
              <w:rPr>
                <w:rFonts w:cs="Arial"/>
                <w:color w:val="000000"/>
              </w:rPr>
              <w:t>Manufacturing Industries and Construction – Pulp, Paper and Print Gaseous Fuels</w:t>
            </w:r>
          </w:p>
        </w:tc>
        <w:tc>
          <w:tcPr>
            <w:tcW w:w="731" w:type="dxa"/>
            <w:tcBorders>
              <w:left w:val="nil"/>
              <w:right w:val="nil"/>
            </w:tcBorders>
            <w:shd w:val="clear" w:color="auto" w:fill="auto"/>
            <w:noWrap/>
            <w:hideMark/>
          </w:tcPr>
          <w:p w14:paraId="4660C12B" w14:textId="77777777" w:rsidR="00DE64BC" w:rsidRPr="00256982" w:rsidRDefault="00DE64BC" w:rsidP="00A808C7">
            <w:pPr>
              <w:pStyle w:val="TableText"/>
              <w:jc w:val="center"/>
            </w:pPr>
            <w:r w:rsidRPr="00256982">
              <w:rPr>
                <w:rFonts w:cs="Arial"/>
                <w:color w:val="000000"/>
              </w:rPr>
              <w:t>CO</w:t>
            </w:r>
            <w:r w:rsidRPr="00256982">
              <w:rPr>
                <w:rFonts w:cs="Arial"/>
                <w:color w:val="000000"/>
                <w:vertAlign w:val="subscript"/>
              </w:rPr>
              <w:t>2</w:t>
            </w:r>
          </w:p>
        </w:tc>
        <w:tc>
          <w:tcPr>
            <w:tcW w:w="1340" w:type="dxa"/>
            <w:tcBorders>
              <w:left w:val="nil"/>
            </w:tcBorders>
            <w:shd w:val="clear" w:color="auto" w:fill="auto"/>
            <w:noWrap/>
            <w:hideMark/>
          </w:tcPr>
          <w:p w14:paraId="08DF66BE" w14:textId="77777777" w:rsidR="00DE64BC" w:rsidRPr="00256982" w:rsidRDefault="00DE64BC" w:rsidP="00A808C7">
            <w:pPr>
              <w:pStyle w:val="TableText"/>
            </w:pPr>
            <w:r w:rsidRPr="00256982">
              <w:rPr>
                <w:rFonts w:cs="Arial"/>
                <w:color w:val="000000"/>
              </w:rPr>
              <w:t>L1</w:t>
            </w:r>
          </w:p>
        </w:tc>
      </w:tr>
      <w:tr w:rsidR="00DE64BC" w:rsidRPr="00256982" w14:paraId="538D78A0" w14:textId="77777777" w:rsidTr="00880733">
        <w:tc>
          <w:tcPr>
            <w:tcW w:w="1301" w:type="dxa"/>
            <w:tcBorders>
              <w:right w:val="nil"/>
            </w:tcBorders>
            <w:shd w:val="clear" w:color="auto" w:fill="auto"/>
            <w:noWrap/>
            <w:hideMark/>
          </w:tcPr>
          <w:p w14:paraId="13132C0A" w14:textId="77777777" w:rsidR="00DE64BC" w:rsidRPr="00256982" w:rsidRDefault="00DE64BC" w:rsidP="00A808C7">
            <w:pPr>
              <w:pStyle w:val="TableText"/>
            </w:pPr>
            <w:r w:rsidRPr="00256982">
              <w:rPr>
                <w:rFonts w:cs="Arial"/>
                <w:color w:val="000000"/>
              </w:rPr>
              <w:t>1.A.2.e</w:t>
            </w:r>
          </w:p>
        </w:tc>
        <w:tc>
          <w:tcPr>
            <w:tcW w:w="5190" w:type="dxa"/>
            <w:tcBorders>
              <w:left w:val="nil"/>
              <w:right w:val="nil"/>
            </w:tcBorders>
            <w:shd w:val="clear" w:color="auto" w:fill="auto"/>
            <w:noWrap/>
            <w:hideMark/>
          </w:tcPr>
          <w:p w14:paraId="618D4164" w14:textId="77777777" w:rsidR="00DE64BC" w:rsidRPr="00256982" w:rsidRDefault="00DE64BC" w:rsidP="00A808C7">
            <w:pPr>
              <w:pStyle w:val="TableText"/>
            </w:pPr>
            <w:r w:rsidRPr="00256982">
              <w:rPr>
                <w:rFonts w:cs="Arial"/>
                <w:color w:val="000000"/>
              </w:rPr>
              <w:t>Manufacturing Industries and Construction – Food Processing, Beverages and Tobacco Solid Fuels</w:t>
            </w:r>
          </w:p>
        </w:tc>
        <w:tc>
          <w:tcPr>
            <w:tcW w:w="731" w:type="dxa"/>
            <w:tcBorders>
              <w:left w:val="nil"/>
              <w:right w:val="nil"/>
            </w:tcBorders>
            <w:shd w:val="clear" w:color="auto" w:fill="auto"/>
            <w:noWrap/>
            <w:hideMark/>
          </w:tcPr>
          <w:p w14:paraId="0312774B" w14:textId="77777777" w:rsidR="00DE64BC" w:rsidRPr="00256982" w:rsidRDefault="00DE64BC" w:rsidP="00A808C7">
            <w:pPr>
              <w:pStyle w:val="TableText"/>
              <w:jc w:val="center"/>
            </w:pPr>
            <w:r w:rsidRPr="00256982">
              <w:rPr>
                <w:rFonts w:cs="Arial"/>
                <w:color w:val="000000"/>
              </w:rPr>
              <w:t>CO</w:t>
            </w:r>
            <w:r w:rsidRPr="00256982">
              <w:rPr>
                <w:rFonts w:cs="Arial"/>
                <w:color w:val="000000"/>
                <w:vertAlign w:val="subscript"/>
              </w:rPr>
              <w:t>2</w:t>
            </w:r>
          </w:p>
        </w:tc>
        <w:tc>
          <w:tcPr>
            <w:tcW w:w="1340" w:type="dxa"/>
            <w:tcBorders>
              <w:left w:val="nil"/>
            </w:tcBorders>
            <w:shd w:val="clear" w:color="auto" w:fill="auto"/>
            <w:noWrap/>
            <w:hideMark/>
          </w:tcPr>
          <w:p w14:paraId="7677232D" w14:textId="77777777" w:rsidR="00DE64BC" w:rsidRPr="00256982" w:rsidRDefault="00DE64BC" w:rsidP="00A808C7">
            <w:pPr>
              <w:pStyle w:val="TableText"/>
            </w:pPr>
            <w:r w:rsidRPr="00256982">
              <w:rPr>
                <w:rFonts w:cs="Arial"/>
                <w:color w:val="000000"/>
              </w:rPr>
              <w:t>L1, T1</w:t>
            </w:r>
          </w:p>
        </w:tc>
      </w:tr>
      <w:tr w:rsidR="00DE64BC" w:rsidRPr="00256982" w14:paraId="3AEC08A3" w14:textId="77777777" w:rsidTr="00880733">
        <w:tc>
          <w:tcPr>
            <w:tcW w:w="1301" w:type="dxa"/>
            <w:tcBorders>
              <w:right w:val="nil"/>
            </w:tcBorders>
            <w:shd w:val="clear" w:color="auto" w:fill="auto"/>
            <w:noWrap/>
            <w:hideMark/>
          </w:tcPr>
          <w:p w14:paraId="755965AB" w14:textId="77777777" w:rsidR="00DE64BC" w:rsidRPr="00256982" w:rsidRDefault="00DE64BC" w:rsidP="00A808C7">
            <w:pPr>
              <w:pStyle w:val="TableText"/>
            </w:pPr>
            <w:r w:rsidRPr="00256982">
              <w:rPr>
                <w:rFonts w:cs="Arial"/>
                <w:color w:val="000000"/>
              </w:rPr>
              <w:t>1.A.2.e</w:t>
            </w:r>
          </w:p>
        </w:tc>
        <w:tc>
          <w:tcPr>
            <w:tcW w:w="5190" w:type="dxa"/>
            <w:tcBorders>
              <w:left w:val="nil"/>
              <w:right w:val="nil"/>
            </w:tcBorders>
            <w:shd w:val="clear" w:color="auto" w:fill="auto"/>
            <w:noWrap/>
            <w:hideMark/>
          </w:tcPr>
          <w:p w14:paraId="019E3F45" w14:textId="77777777" w:rsidR="00DE64BC" w:rsidRPr="00256982" w:rsidRDefault="00DE64BC" w:rsidP="00A808C7">
            <w:pPr>
              <w:pStyle w:val="TableText"/>
            </w:pPr>
            <w:r w:rsidRPr="00256982">
              <w:rPr>
                <w:rFonts w:cs="Arial"/>
                <w:color w:val="000000"/>
              </w:rPr>
              <w:t>Manufacturing Industries and Construction – Food Processing, Beverages and Tobacco Gaseous Fuels</w:t>
            </w:r>
          </w:p>
        </w:tc>
        <w:tc>
          <w:tcPr>
            <w:tcW w:w="731" w:type="dxa"/>
            <w:tcBorders>
              <w:left w:val="nil"/>
              <w:right w:val="nil"/>
            </w:tcBorders>
            <w:shd w:val="clear" w:color="auto" w:fill="auto"/>
            <w:noWrap/>
            <w:hideMark/>
          </w:tcPr>
          <w:p w14:paraId="2EEDEE25" w14:textId="77777777" w:rsidR="00DE64BC" w:rsidRPr="00256982" w:rsidRDefault="00DE64BC" w:rsidP="00A808C7">
            <w:pPr>
              <w:pStyle w:val="TableText"/>
              <w:jc w:val="center"/>
            </w:pPr>
            <w:r w:rsidRPr="00256982">
              <w:rPr>
                <w:rFonts w:cs="Arial"/>
                <w:color w:val="000000"/>
              </w:rPr>
              <w:t>CO</w:t>
            </w:r>
            <w:r w:rsidRPr="00256982">
              <w:rPr>
                <w:rFonts w:cs="Arial"/>
                <w:color w:val="000000"/>
                <w:vertAlign w:val="subscript"/>
              </w:rPr>
              <w:t>2</w:t>
            </w:r>
          </w:p>
        </w:tc>
        <w:tc>
          <w:tcPr>
            <w:tcW w:w="1340" w:type="dxa"/>
            <w:tcBorders>
              <w:left w:val="nil"/>
            </w:tcBorders>
            <w:shd w:val="clear" w:color="auto" w:fill="auto"/>
            <w:noWrap/>
            <w:hideMark/>
          </w:tcPr>
          <w:p w14:paraId="78D5BE22" w14:textId="77777777" w:rsidR="00DE64BC" w:rsidRPr="00256982" w:rsidRDefault="00DE64BC" w:rsidP="00A808C7">
            <w:pPr>
              <w:pStyle w:val="TableText"/>
            </w:pPr>
            <w:r w:rsidRPr="00256982">
              <w:rPr>
                <w:rFonts w:cs="Arial"/>
                <w:color w:val="000000"/>
              </w:rPr>
              <w:t>L1, T1</w:t>
            </w:r>
          </w:p>
        </w:tc>
      </w:tr>
      <w:tr w:rsidR="00DE64BC" w:rsidRPr="00256982" w14:paraId="74053754" w14:textId="77777777" w:rsidTr="00880733">
        <w:tc>
          <w:tcPr>
            <w:tcW w:w="1301" w:type="dxa"/>
            <w:tcBorders>
              <w:right w:val="nil"/>
            </w:tcBorders>
            <w:shd w:val="clear" w:color="auto" w:fill="auto"/>
            <w:noWrap/>
            <w:hideMark/>
          </w:tcPr>
          <w:p w14:paraId="0C143534" w14:textId="77777777" w:rsidR="00DE64BC" w:rsidRPr="00256982" w:rsidRDefault="00DE64BC" w:rsidP="00A808C7">
            <w:pPr>
              <w:pStyle w:val="TableText"/>
            </w:pPr>
            <w:r w:rsidRPr="00256982">
              <w:rPr>
                <w:rFonts w:cs="Arial"/>
                <w:color w:val="000000"/>
              </w:rPr>
              <w:t>1.A.2.e</w:t>
            </w:r>
          </w:p>
        </w:tc>
        <w:tc>
          <w:tcPr>
            <w:tcW w:w="5190" w:type="dxa"/>
            <w:tcBorders>
              <w:left w:val="nil"/>
              <w:right w:val="nil"/>
            </w:tcBorders>
            <w:shd w:val="clear" w:color="auto" w:fill="auto"/>
            <w:noWrap/>
            <w:hideMark/>
          </w:tcPr>
          <w:p w14:paraId="7E49B326" w14:textId="77777777" w:rsidR="00DE64BC" w:rsidRPr="00256982" w:rsidRDefault="00DE64BC" w:rsidP="00A808C7">
            <w:pPr>
              <w:pStyle w:val="TableText"/>
            </w:pPr>
            <w:r w:rsidRPr="00256982">
              <w:rPr>
                <w:rFonts w:cs="Arial"/>
                <w:color w:val="000000"/>
              </w:rPr>
              <w:t>Manufacturing Industries and Construction – Food Processing, Beverages and Tobacco Liquid Fuels</w:t>
            </w:r>
          </w:p>
        </w:tc>
        <w:tc>
          <w:tcPr>
            <w:tcW w:w="731" w:type="dxa"/>
            <w:tcBorders>
              <w:left w:val="nil"/>
              <w:right w:val="nil"/>
            </w:tcBorders>
            <w:shd w:val="clear" w:color="auto" w:fill="auto"/>
            <w:noWrap/>
            <w:hideMark/>
          </w:tcPr>
          <w:p w14:paraId="6C6ABFE6" w14:textId="77777777" w:rsidR="00DE64BC" w:rsidRPr="00256982" w:rsidRDefault="00DE64BC" w:rsidP="00A808C7">
            <w:pPr>
              <w:pStyle w:val="TableText"/>
              <w:jc w:val="center"/>
            </w:pPr>
            <w:r w:rsidRPr="00256982">
              <w:rPr>
                <w:rFonts w:cs="Arial"/>
                <w:color w:val="000000"/>
              </w:rPr>
              <w:t>CO</w:t>
            </w:r>
            <w:r w:rsidRPr="00256982">
              <w:rPr>
                <w:rFonts w:cs="Arial"/>
                <w:color w:val="000000"/>
                <w:vertAlign w:val="subscript"/>
              </w:rPr>
              <w:t>2</w:t>
            </w:r>
          </w:p>
        </w:tc>
        <w:tc>
          <w:tcPr>
            <w:tcW w:w="1340" w:type="dxa"/>
            <w:tcBorders>
              <w:left w:val="nil"/>
            </w:tcBorders>
            <w:shd w:val="clear" w:color="auto" w:fill="auto"/>
            <w:noWrap/>
            <w:hideMark/>
          </w:tcPr>
          <w:p w14:paraId="5650C793" w14:textId="77777777" w:rsidR="00DE64BC" w:rsidRPr="00256982" w:rsidRDefault="00DE64BC" w:rsidP="00A808C7">
            <w:pPr>
              <w:pStyle w:val="TableText"/>
            </w:pPr>
            <w:r w:rsidRPr="00256982">
              <w:rPr>
                <w:rFonts w:cs="Arial"/>
                <w:color w:val="000000"/>
              </w:rPr>
              <w:t>L1</w:t>
            </w:r>
          </w:p>
        </w:tc>
      </w:tr>
      <w:tr w:rsidR="00DE64BC" w:rsidRPr="00256982" w14:paraId="447EC109" w14:textId="77777777" w:rsidTr="00880733">
        <w:tc>
          <w:tcPr>
            <w:tcW w:w="1301" w:type="dxa"/>
            <w:tcBorders>
              <w:right w:val="nil"/>
            </w:tcBorders>
            <w:shd w:val="clear" w:color="auto" w:fill="auto"/>
            <w:noWrap/>
            <w:hideMark/>
          </w:tcPr>
          <w:p w14:paraId="0728850F" w14:textId="77777777" w:rsidR="00DE64BC" w:rsidRPr="00256982" w:rsidRDefault="00DE64BC" w:rsidP="00A808C7">
            <w:pPr>
              <w:pStyle w:val="TableText"/>
            </w:pPr>
            <w:r w:rsidRPr="00256982">
              <w:rPr>
                <w:rFonts w:cs="Arial"/>
                <w:color w:val="000000"/>
              </w:rPr>
              <w:t>1.A.2.f</w:t>
            </w:r>
          </w:p>
        </w:tc>
        <w:tc>
          <w:tcPr>
            <w:tcW w:w="5190" w:type="dxa"/>
            <w:tcBorders>
              <w:left w:val="nil"/>
              <w:right w:val="nil"/>
            </w:tcBorders>
            <w:shd w:val="clear" w:color="auto" w:fill="auto"/>
            <w:noWrap/>
            <w:hideMark/>
          </w:tcPr>
          <w:p w14:paraId="38854786" w14:textId="77777777" w:rsidR="00DE64BC" w:rsidRPr="00256982" w:rsidRDefault="00DE64BC" w:rsidP="00A808C7">
            <w:pPr>
              <w:pStyle w:val="TableText"/>
            </w:pPr>
            <w:r w:rsidRPr="00256982">
              <w:rPr>
                <w:rFonts w:cs="Arial"/>
                <w:color w:val="000000"/>
              </w:rPr>
              <w:t>Manufacturing Industries and Construction – Non-metallic Minerals Solid Fuels</w:t>
            </w:r>
          </w:p>
        </w:tc>
        <w:tc>
          <w:tcPr>
            <w:tcW w:w="731" w:type="dxa"/>
            <w:tcBorders>
              <w:left w:val="nil"/>
              <w:right w:val="nil"/>
            </w:tcBorders>
            <w:shd w:val="clear" w:color="auto" w:fill="auto"/>
            <w:noWrap/>
            <w:hideMark/>
          </w:tcPr>
          <w:p w14:paraId="6C15A68F" w14:textId="77777777" w:rsidR="00DE64BC" w:rsidRPr="00256982" w:rsidRDefault="00DE64BC" w:rsidP="00A808C7">
            <w:pPr>
              <w:pStyle w:val="TableText"/>
              <w:jc w:val="center"/>
            </w:pPr>
            <w:r w:rsidRPr="00256982">
              <w:rPr>
                <w:rFonts w:cs="Arial"/>
                <w:color w:val="000000"/>
              </w:rPr>
              <w:t>CO</w:t>
            </w:r>
            <w:r w:rsidRPr="00256982">
              <w:rPr>
                <w:rFonts w:cs="Arial"/>
                <w:color w:val="000000"/>
                <w:vertAlign w:val="subscript"/>
              </w:rPr>
              <w:t>2</w:t>
            </w:r>
          </w:p>
        </w:tc>
        <w:tc>
          <w:tcPr>
            <w:tcW w:w="1340" w:type="dxa"/>
            <w:tcBorders>
              <w:left w:val="nil"/>
            </w:tcBorders>
            <w:shd w:val="clear" w:color="auto" w:fill="auto"/>
            <w:noWrap/>
            <w:hideMark/>
          </w:tcPr>
          <w:p w14:paraId="15A3B5B6" w14:textId="77777777" w:rsidR="00DE64BC" w:rsidRPr="00256982" w:rsidRDefault="00DE64BC" w:rsidP="00A808C7">
            <w:pPr>
              <w:pStyle w:val="TableText"/>
            </w:pPr>
            <w:r w:rsidRPr="00256982">
              <w:rPr>
                <w:rFonts w:cs="Arial"/>
                <w:color w:val="000000"/>
              </w:rPr>
              <w:t>L1, T1</w:t>
            </w:r>
          </w:p>
        </w:tc>
      </w:tr>
      <w:tr w:rsidR="00DE64BC" w:rsidRPr="00256982" w14:paraId="1560CDAE" w14:textId="77777777" w:rsidTr="00880733">
        <w:tc>
          <w:tcPr>
            <w:tcW w:w="1301" w:type="dxa"/>
            <w:tcBorders>
              <w:right w:val="nil"/>
            </w:tcBorders>
            <w:shd w:val="clear" w:color="auto" w:fill="auto"/>
            <w:noWrap/>
            <w:hideMark/>
          </w:tcPr>
          <w:p w14:paraId="4DC05FC5" w14:textId="77777777" w:rsidR="00DE64BC" w:rsidRPr="00256982" w:rsidRDefault="00DE64BC" w:rsidP="00A808C7">
            <w:pPr>
              <w:pStyle w:val="TableText"/>
            </w:pPr>
            <w:r w:rsidRPr="00256982">
              <w:rPr>
                <w:rFonts w:cs="Arial"/>
                <w:color w:val="000000"/>
              </w:rPr>
              <w:t>1.A.2.g.iii</w:t>
            </w:r>
          </w:p>
        </w:tc>
        <w:tc>
          <w:tcPr>
            <w:tcW w:w="5190" w:type="dxa"/>
            <w:tcBorders>
              <w:left w:val="nil"/>
              <w:right w:val="nil"/>
            </w:tcBorders>
            <w:shd w:val="clear" w:color="auto" w:fill="auto"/>
            <w:noWrap/>
            <w:hideMark/>
          </w:tcPr>
          <w:p w14:paraId="6826D8D0" w14:textId="77777777" w:rsidR="00DE64BC" w:rsidRPr="00256982" w:rsidRDefault="00DE64BC" w:rsidP="00A808C7">
            <w:pPr>
              <w:pStyle w:val="TableText"/>
            </w:pPr>
            <w:r w:rsidRPr="00256982">
              <w:rPr>
                <w:rFonts w:cs="Arial"/>
                <w:color w:val="000000"/>
              </w:rPr>
              <w:t>Other (please specify) – Mining (excluding fuels) and Quarrying Liquid Fuels</w:t>
            </w:r>
          </w:p>
        </w:tc>
        <w:tc>
          <w:tcPr>
            <w:tcW w:w="731" w:type="dxa"/>
            <w:tcBorders>
              <w:left w:val="nil"/>
              <w:right w:val="nil"/>
            </w:tcBorders>
            <w:shd w:val="clear" w:color="auto" w:fill="auto"/>
            <w:noWrap/>
            <w:hideMark/>
          </w:tcPr>
          <w:p w14:paraId="35589202" w14:textId="77777777" w:rsidR="00DE64BC" w:rsidRPr="00256982" w:rsidRDefault="00DE64BC" w:rsidP="00A808C7">
            <w:pPr>
              <w:pStyle w:val="TableText"/>
              <w:jc w:val="center"/>
            </w:pPr>
            <w:r w:rsidRPr="00256982">
              <w:rPr>
                <w:rFonts w:cs="Arial"/>
                <w:color w:val="000000"/>
              </w:rPr>
              <w:t>CO</w:t>
            </w:r>
            <w:r w:rsidRPr="00256982">
              <w:rPr>
                <w:rFonts w:cs="Arial"/>
                <w:color w:val="000000"/>
                <w:vertAlign w:val="subscript"/>
              </w:rPr>
              <w:t>2</w:t>
            </w:r>
          </w:p>
        </w:tc>
        <w:tc>
          <w:tcPr>
            <w:tcW w:w="1340" w:type="dxa"/>
            <w:tcBorders>
              <w:left w:val="nil"/>
            </w:tcBorders>
            <w:shd w:val="clear" w:color="auto" w:fill="auto"/>
            <w:noWrap/>
            <w:hideMark/>
          </w:tcPr>
          <w:p w14:paraId="21E62687" w14:textId="77777777" w:rsidR="00DE64BC" w:rsidRPr="00256982" w:rsidRDefault="00DE64BC" w:rsidP="00A808C7">
            <w:pPr>
              <w:pStyle w:val="TableText"/>
            </w:pPr>
            <w:r w:rsidRPr="00256982">
              <w:rPr>
                <w:rFonts w:cs="Arial"/>
                <w:color w:val="000000"/>
              </w:rPr>
              <w:t>L1, T1</w:t>
            </w:r>
          </w:p>
        </w:tc>
      </w:tr>
      <w:tr w:rsidR="00DE64BC" w:rsidRPr="00256982" w14:paraId="5D3EE194" w14:textId="77777777" w:rsidTr="00880733">
        <w:tc>
          <w:tcPr>
            <w:tcW w:w="1301" w:type="dxa"/>
            <w:tcBorders>
              <w:right w:val="nil"/>
            </w:tcBorders>
            <w:shd w:val="clear" w:color="auto" w:fill="auto"/>
            <w:noWrap/>
            <w:hideMark/>
          </w:tcPr>
          <w:p w14:paraId="3DBF4E60" w14:textId="77777777" w:rsidR="00DE64BC" w:rsidRPr="00256982" w:rsidRDefault="00DE64BC" w:rsidP="00A808C7">
            <w:pPr>
              <w:pStyle w:val="TableText"/>
            </w:pPr>
            <w:r w:rsidRPr="00256982">
              <w:rPr>
                <w:rFonts w:cs="Arial"/>
                <w:color w:val="000000"/>
              </w:rPr>
              <w:t>1.A.2.g.viii</w:t>
            </w:r>
          </w:p>
        </w:tc>
        <w:tc>
          <w:tcPr>
            <w:tcW w:w="5190" w:type="dxa"/>
            <w:tcBorders>
              <w:left w:val="nil"/>
              <w:right w:val="nil"/>
            </w:tcBorders>
            <w:shd w:val="clear" w:color="auto" w:fill="auto"/>
            <w:noWrap/>
            <w:hideMark/>
          </w:tcPr>
          <w:p w14:paraId="6F2E7B42" w14:textId="77777777" w:rsidR="00DE64BC" w:rsidRPr="00256982" w:rsidRDefault="00DE64BC" w:rsidP="00A808C7">
            <w:pPr>
              <w:pStyle w:val="TableText"/>
            </w:pPr>
            <w:r w:rsidRPr="00256982">
              <w:rPr>
                <w:rFonts w:cs="Arial"/>
                <w:color w:val="000000"/>
              </w:rPr>
              <w:t>Other (please specify) – Other (please specify) Liquid Fuels</w:t>
            </w:r>
          </w:p>
        </w:tc>
        <w:tc>
          <w:tcPr>
            <w:tcW w:w="731" w:type="dxa"/>
            <w:tcBorders>
              <w:left w:val="nil"/>
              <w:right w:val="nil"/>
            </w:tcBorders>
            <w:shd w:val="clear" w:color="auto" w:fill="auto"/>
            <w:noWrap/>
            <w:hideMark/>
          </w:tcPr>
          <w:p w14:paraId="653B90A1" w14:textId="77777777" w:rsidR="00DE64BC" w:rsidRPr="00256982" w:rsidRDefault="00DE64BC" w:rsidP="00A808C7">
            <w:pPr>
              <w:pStyle w:val="TableText"/>
              <w:jc w:val="center"/>
            </w:pPr>
            <w:r w:rsidRPr="00256982">
              <w:rPr>
                <w:rFonts w:cs="Arial"/>
                <w:color w:val="000000"/>
              </w:rPr>
              <w:t>CO</w:t>
            </w:r>
            <w:r w:rsidRPr="00256982">
              <w:rPr>
                <w:rFonts w:cs="Arial"/>
                <w:color w:val="000000"/>
                <w:vertAlign w:val="subscript"/>
              </w:rPr>
              <w:t>2</w:t>
            </w:r>
          </w:p>
        </w:tc>
        <w:tc>
          <w:tcPr>
            <w:tcW w:w="1340" w:type="dxa"/>
            <w:tcBorders>
              <w:left w:val="nil"/>
            </w:tcBorders>
            <w:shd w:val="clear" w:color="auto" w:fill="auto"/>
            <w:noWrap/>
            <w:hideMark/>
          </w:tcPr>
          <w:p w14:paraId="392861DB" w14:textId="77777777" w:rsidR="00DE64BC" w:rsidRPr="00256982" w:rsidRDefault="00DE64BC" w:rsidP="00A808C7">
            <w:pPr>
              <w:pStyle w:val="TableText"/>
            </w:pPr>
            <w:r w:rsidRPr="00256982">
              <w:rPr>
                <w:rFonts w:cs="Arial"/>
                <w:color w:val="000000"/>
              </w:rPr>
              <w:t>T1</w:t>
            </w:r>
          </w:p>
        </w:tc>
      </w:tr>
      <w:tr w:rsidR="00DE64BC" w:rsidRPr="00256982" w14:paraId="023E3AF4" w14:textId="77777777" w:rsidTr="00880733">
        <w:tc>
          <w:tcPr>
            <w:tcW w:w="1301" w:type="dxa"/>
            <w:tcBorders>
              <w:right w:val="nil"/>
            </w:tcBorders>
            <w:shd w:val="clear" w:color="auto" w:fill="auto"/>
            <w:noWrap/>
            <w:hideMark/>
          </w:tcPr>
          <w:p w14:paraId="5060CE7F" w14:textId="77777777" w:rsidR="00DE64BC" w:rsidRPr="00256982" w:rsidRDefault="00DE64BC" w:rsidP="00A808C7">
            <w:pPr>
              <w:pStyle w:val="TableText"/>
            </w:pPr>
            <w:r w:rsidRPr="00256982">
              <w:rPr>
                <w:rFonts w:cs="Arial"/>
                <w:color w:val="000000"/>
              </w:rPr>
              <w:t>1.A.2.g.viii</w:t>
            </w:r>
          </w:p>
        </w:tc>
        <w:tc>
          <w:tcPr>
            <w:tcW w:w="5190" w:type="dxa"/>
            <w:tcBorders>
              <w:left w:val="nil"/>
              <w:right w:val="nil"/>
            </w:tcBorders>
            <w:shd w:val="clear" w:color="auto" w:fill="auto"/>
            <w:noWrap/>
            <w:hideMark/>
          </w:tcPr>
          <w:p w14:paraId="2CDEAEE9" w14:textId="77777777" w:rsidR="00DE64BC" w:rsidRPr="00256982" w:rsidRDefault="00DE64BC" w:rsidP="00A808C7">
            <w:pPr>
              <w:pStyle w:val="TableText"/>
            </w:pPr>
            <w:r w:rsidRPr="00256982">
              <w:rPr>
                <w:rFonts w:cs="Arial"/>
                <w:color w:val="000000"/>
              </w:rPr>
              <w:t>Other (please specify) – Other (please specify) Solid fuels</w:t>
            </w:r>
          </w:p>
        </w:tc>
        <w:tc>
          <w:tcPr>
            <w:tcW w:w="731" w:type="dxa"/>
            <w:tcBorders>
              <w:left w:val="nil"/>
              <w:right w:val="nil"/>
            </w:tcBorders>
            <w:shd w:val="clear" w:color="auto" w:fill="auto"/>
            <w:noWrap/>
            <w:hideMark/>
          </w:tcPr>
          <w:p w14:paraId="75E8F323" w14:textId="77777777" w:rsidR="00DE64BC" w:rsidRPr="00256982" w:rsidRDefault="00DE64BC" w:rsidP="00A808C7">
            <w:pPr>
              <w:pStyle w:val="TableText"/>
              <w:jc w:val="center"/>
            </w:pPr>
            <w:r w:rsidRPr="00256982">
              <w:rPr>
                <w:rFonts w:cs="Arial"/>
                <w:color w:val="000000"/>
              </w:rPr>
              <w:t>CO</w:t>
            </w:r>
            <w:r w:rsidRPr="00256982">
              <w:rPr>
                <w:rFonts w:cs="Arial"/>
                <w:color w:val="000000"/>
                <w:vertAlign w:val="subscript"/>
              </w:rPr>
              <w:t>2</w:t>
            </w:r>
          </w:p>
        </w:tc>
        <w:tc>
          <w:tcPr>
            <w:tcW w:w="1340" w:type="dxa"/>
            <w:tcBorders>
              <w:left w:val="nil"/>
            </w:tcBorders>
            <w:shd w:val="clear" w:color="auto" w:fill="auto"/>
            <w:noWrap/>
            <w:hideMark/>
          </w:tcPr>
          <w:p w14:paraId="04C48566" w14:textId="77777777" w:rsidR="00DE64BC" w:rsidRPr="00256982" w:rsidRDefault="00DE64BC" w:rsidP="00A808C7">
            <w:pPr>
              <w:pStyle w:val="TableText"/>
            </w:pPr>
            <w:r w:rsidRPr="00256982">
              <w:rPr>
                <w:rFonts w:cs="Arial"/>
                <w:color w:val="000000"/>
              </w:rPr>
              <w:t>T1</w:t>
            </w:r>
          </w:p>
        </w:tc>
      </w:tr>
      <w:tr w:rsidR="00DE64BC" w:rsidRPr="00256982" w14:paraId="07C9C78D" w14:textId="77777777" w:rsidTr="00880733">
        <w:tc>
          <w:tcPr>
            <w:tcW w:w="1301" w:type="dxa"/>
            <w:tcBorders>
              <w:right w:val="nil"/>
            </w:tcBorders>
            <w:shd w:val="clear" w:color="auto" w:fill="auto"/>
            <w:noWrap/>
            <w:hideMark/>
          </w:tcPr>
          <w:p w14:paraId="28684C27" w14:textId="77777777" w:rsidR="00DE64BC" w:rsidRPr="00256982" w:rsidRDefault="00DE64BC" w:rsidP="00A808C7">
            <w:pPr>
              <w:pStyle w:val="TableText"/>
            </w:pPr>
            <w:r w:rsidRPr="00256982">
              <w:rPr>
                <w:rFonts w:cs="Arial"/>
                <w:color w:val="000000"/>
              </w:rPr>
              <w:t>1.A.3.a</w:t>
            </w:r>
          </w:p>
        </w:tc>
        <w:tc>
          <w:tcPr>
            <w:tcW w:w="5190" w:type="dxa"/>
            <w:tcBorders>
              <w:left w:val="nil"/>
              <w:right w:val="nil"/>
            </w:tcBorders>
            <w:shd w:val="clear" w:color="auto" w:fill="auto"/>
            <w:noWrap/>
            <w:hideMark/>
          </w:tcPr>
          <w:p w14:paraId="443E3FC6" w14:textId="77777777" w:rsidR="00DE64BC" w:rsidRPr="00256982" w:rsidRDefault="00DE64BC" w:rsidP="00A808C7">
            <w:pPr>
              <w:pStyle w:val="TableText"/>
            </w:pPr>
            <w:r w:rsidRPr="00256982">
              <w:rPr>
                <w:rFonts w:cs="Arial"/>
                <w:color w:val="000000"/>
              </w:rPr>
              <w:t>Domestic Aviation – Jet Kerosene</w:t>
            </w:r>
          </w:p>
        </w:tc>
        <w:tc>
          <w:tcPr>
            <w:tcW w:w="731" w:type="dxa"/>
            <w:tcBorders>
              <w:left w:val="nil"/>
              <w:right w:val="nil"/>
            </w:tcBorders>
            <w:shd w:val="clear" w:color="auto" w:fill="auto"/>
            <w:noWrap/>
            <w:hideMark/>
          </w:tcPr>
          <w:p w14:paraId="232163FA" w14:textId="77777777" w:rsidR="00DE64BC" w:rsidRPr="00256982" w:rsidRDefault="00DE64BC" w:rsidP="00A808C7">
            <w:pPr>
              <w:pStyle w:val="TableText"/>
              <w:jc w:val="center"/>
            </w:pPr>
            <w:r w:rsidRPr="00256982">
              <w:rPr>
                <w:rFonts w:cs="Arial"/>
                <w:color w:val="000000"/>
              </w:rPr>
              <w:t>CO</w:t>
            </w:r>
            <w:r w:rsidRPr="00256982">
              <w:rPr>
                <w:rFonts w:cs="Arial"/>
                <w:color w:val="000000"/>
                <w:vertAlign w:val="subscript"/>
              </w:rPr>
              <w:t>2</w:t>
            </w:r>
          </w:p>
        </w:tc>
        <w:tc>
          <w:tcPr>
            <w:tcW w:w="1340" w:type="dxa"/>
            <w:tcBorders>
              <w:left w:val="nil"/>
            </w:tcBorders>
            <w:shd w:val="clear" w:color="auto" w:fill="auto"/>
            <w:noWrap/>
            <w:hideMark/>
          </w:tcPr>
          <w:p w14:paraId="53052784" w14:textId="77777777" w:rsidR="00DE64BC" w:rsidRPr="00256982" w:rsidRDefault="00DE64BC" w:rsidP="00A808C7">
            <w:pPr>
              <w:pStyle w:val="TableText"/>
            </w:pPr>
            <w:r w:rsidRPr="00256982">
              <w:rPr>
                <w:rFonts w:cs="Arial"/>
                <w:color w:val="000000"/>
              </w:rPr>
              <w:t>L1, T1</w:t>
            </w:r>
          </w:p>
        </w:tc>
      </w:tr>
      <w:tr w:rsidR="00DE64BC" w:rsidRPr="00256982" w14:paraId="3697557D" w14:textId="77777777" w:rsidTr="00880733">
        <w:tc>
          <w:tcPr>
            <w:tcW w:w="1301" w:type="dxa"/>
            <w:tcBorders>
              <w:right w:val="nil"/>
            </w:tcBorders>
            <w:shd w:val="clear" w:color="auto" w:fill="auto"/>
            <w:noWrap/>
            <w:hideMark/>
          </w:tcPr>
          <w:p w14:paraId="62F92278" w14:textId="77777777" w:rsidR="00DE64BC" w:rsidRPr="00256982" w:rsidRDefault="00DE64BC" w:rsidP="00A808C7">
            <w:pPr>
              <w:pStyle w:val="TableText"/>
            </w:pPr>
            <w:r w:rsidRPr="00256982">
              <w:rPr>
                <w:rFonts w:cs="Arial"/>
                <w:color w:val="000000"/>
              </w:rPr>
              <w:t>1.A.3.b</w:t>
            </w:r>
          </w:p>
        </w:tc>
        <w:tc>
          <w:tcPr>
            <w:tcW w:w="5190" w:type="dxa"/>
            <w:tcBorders>
              <w:left w:val="nil"/>
              <w:right w:val="nil"/>
            </w:tcBorders>
            <w:shd w:val="clear" w:color="auto" w:fill="auto"/>
            <w:noWrap/>
            <w:hideMark/>
          </w:tcPr>
          <w:p w14:paraId="0AAC42EB" w14:textId="77777777" w:rsidR="00DE64BC" w:rsidRPr="00256982" w:rsidRDefault="00DE64BC" w:rsidP="00A808C7">
            <w:pPr>
              <w:pStyle w:val="TableText"/>
            </w:pPr>
            <w:r w:rsidRPr="00256982">
              <w:rPr>
                <w:color w:val="000000"/>
              </w:rPr>
              <w:t>Transport – Road Transportation Liquid Fuels</w:t>
            </w:r>
          </w:p>
        </w:tc>
        <w:tc>
          <w:tcPr>
            <w:tcW w:w="731" w:type="dxa"/>
            <w:tcBorders>
              <w:left w:val="nil"/>
              <w:right w:val="nil"/>
            </w:tcBorders>
            <w:shd w:val="clear" w:color="auto" w:fill="auto"/>
            <w:noWrap/>
            <w:hideMark/>
          </w:tcPr>
          <w:p w14:paraId="0D8FE560" w14:textId="77777777" w:rsidR="00DE64BC" w:rsidRPr="00256982" w:rsidRDefault="00DE64BC" w:rsidP="00A808C7">
            <w:pPr>
              <w:pStyle w:val="TableText"/>
              <w:jc w:val="center"/>
            </w:pPr>
            <w:r w:rsidRPr="00256982">
              <w:rPr>
                <w:rFonts w:cs="Arial"/>
                <w:color w:val="000000"/>
              </w:rPr>
              <w:t>CO</w:t>
            </w:r>
            <w:r w:rsidRPr="00256982">
              <w:rPr>
                <w:rFonts w:cs="Arial"/>
                <w:color w:val="000000"/>
                <w:vertAlign w:val="subscript"/>
              </w:rPr>
              <w:t>2</w:t>
            </w:r>
          </w:p>
        </w:tc>
        <w:tc>
          <w:tcPr>
            <w:tcW w:w="1340" w:type="dxa"/>
            <w:tcBorders>
              <w:left w:val="nil"/>
            </w:tcBorders>
            <w:shd w:val="clear" w:color="auto" w:fill="auto"/>
            <w:noWrap/>
            <w:hideMark/>
          </w:tcPr>
          <w:p w14:paraId="645F4999" w14:textId="77777777" w:rsidR="00DE64BC" w:rsidRPr="00256982" w:rsidRDefault="00DE64BC" w:rsidP="00A808C7">
            <w:pPr>
              <w:pStyle w:val="TableText"/>
            </w:pPr>
            <w:r w:rsidRPr="00256982">
              <w:rPr>
                <w:rFonts w:cs="Arial"/>
                <w:color w:val="000000"/>
              </w:rPr>
              <w:t>L1, T1</w:t>
            </w:r>
          </w:p>
        </w:tc>
      </w:tr>
      <w:tr w:rsidR="00DE64BC" w:rsidRPr="00256982" w14:paraId="194AA4AC" w14:textId="77777777" w:rsidTr="00880733">
        <w:tc>
          <w:tcPr>
            <w:tcW w:w="1301" w:type="dxa"/>
            <w:tcBorders>
              <w:right w:val="nil"/>
            </w:tcBorders>
            <w:shd w:val="clear" w:color="auto" w:fill="auto"/>
            <w:noWrap/>
            <w:hideMark/>
          </w:tcPr>
          <w:p w14:paraId="66B76D41" w14:textId="77777777" w:rsidR="00DE64BC" w:rsidRPr="00256982" w:rsidRDefault="00DE64BC" w:rsidP="00A808C7">
            <w:pPr>
              <w:pStyle w:val="TableText"/>
            </w:pPr>
            <w:r w:rsidRPr="00256982">
              <w:rPr>
                <w:rFonts w:cs="Arial"/>
                <w:color w:val="000000"/>
              </w:rPr>
              <w:t>1.A.3.b</w:t>
            </w:r>
          </w:p>
        </w:tc>
        <w:tc>
          <w:tcPr>
            <w:tcW w:w="5190" w:type="dxa"/>
            <w:tcBorders>
              <w:left w:val="nil"/>
              <w:right w:val="nil"/>
            </w:tcBorders>
            <w:shd w:val="clear" w:color="auto" w:fill="auto"/>
            <w:noWrap/>
            <w:hideMark/>
          </w:tcPr>
          <w:p w14:paraId="25E75671" w14:textId="77777777" w:rsidR="00DE64BC" w:rsidRPr="00256982" w:rsidRDefault="00DE64BC" w:rsidP="00A808C7">
            <w:pPr>
              <w:pStyle w:val="TableText"/>
            </w:pPr>
            <w:r w:rsidRPr="00256982">
              <w:rPr>
                <w:color w:val="000000"/>
              </w:rPr>
              <w:t xml:space="preserve">Transport – Road Transportation </w:t>
            </w:r>
            <w:r w:rsidRPr="00256982">
              <w:rPr>
                <w:rFonts w:cs="Arial"/>
                <w:color w:val="000000"/>
              </w:rPr>
              <w:t>Gaseous Fuels</w:t>
            </w:r>
          </w:p>
        </w:tc>
        <w:tc>
          <w:tcPr>
            <w:tcW w:w="731" w:type="dxa"/>
            <w:tcBorders>
              <w:left w:val="nil"/>
              <w:right w:val="nil"/>
            </w:tcBorders>
            <w:shd w:val="clear" w:color="auto" w:fill="auto"/>
            <w:noWrap/>
            <w:hideMark/>
          </w:tcPr>
          <w:p w14:paraId="36EC023F" w14:textId="77777777" w:rsidR="00DE64BC" w:rsidRPr="00256982" w:rsidRDefault="00DE64BC" w:rsidP="00A808C7">
            <w:pPr>
              <w:pStyle w:val="TableText"/>
              <w:jc w:val="center"/>
            </w:pPr>
            <w:r w:rsidRPr="00256982">
              <w:rPr>
                <w:rFonts w:cs="Arial"/>
                <w:color w:val="000000"/>
              </w:rPr>
              <w:t>CO</w:t>
            </w:r>
            <w:r w:rsidRPr="00256982">
              <w:rPr>
                <w:rFonts w:cs="Arial"/>
                <w:color w:val="000000"/>
                <w:vertAlign w:val="subscript"/>
              </w:rPr>
              <w:t>2</w:t>
            </w:r>
          </w:p>
        </w:tc>
        <w:tc>
          <w:tcPr>
            <w:tcW w:w="1340" w:type="dxa"/>
            <w:tcBorders>
              <w:left w:val="nil"/>
            </w:tcBorders>
            <w:shd w:val="clear" w:color="auto" w:fill="auto"/>
            <w:noWrap/>
            <w:hideMark/>
          </w:tcPr>
          <w:p w14:paraId="171EF285" w14:textId="77777777" w:rsidR="00DE64BC" w:rsidRPr="00256982" w:rsidRDefault="00DE64BC" w:rsidP="00A808C7">
            <w:pPr>
              <w:pStyle w:val="TableText"/>
            </w:pPr>
            <w:r w:rsidRPr="00256982">
              <w:rPr>
                <w:rFonts w:cs="Arial"/>
                <w:color w:val="000000"/>
              </w:rPr>
              <w:t>T1</w:t>
            </w:r>
          </w:p>
        </w:tc>
      </w:tr>
      <w:tr w:rsidR="00DE64BC" w:rsidRPr="00256982" w14:paraId="79A14460" w14:textId="77777777" w:rsidTr="00880733">
        <w:tc>
          <w:tcPr>
            <w:tcW w:w="1301" w:type="dxa"/>
            <w:tcBorders>
              <w:right w:val="nil"/>
            </w:tcBorders>
            <w:shd w:val="clear" w:color="auto" w:fill="auto"/>
            <w:noWrap/>
            <w:hideMark/>
          </w:tcPr>
          <w:p w14:paraId="5F9C117B" w14:textId="77777777" w:rsidR="00DE64BC" w:rsidRPr="00256982" w:rsidRDefault="00DE64BC" w:rsidP="00A808C7">
            <w:pPr>
              <w:pStyle w:val="TableText"/>
            </w:pPr>
            <w:r w:rsidRPr="00256982">
              <w:rPr>
                <w:rFonts w:cs="Arial"/>
                <w:color w:val="000000"/>
              </w:rPr>
              <w:t>1.A.3.d</w:t>
            </w:r>
          </w:p>
        </w:tc>
        <w:tc>
          <w:tcPr>
            <w:tcW w:w="5190" w:type="dxa"/>
            <w:tcBorders>
              <w:left w:val="nil"/>
              <w:right w:val="nil"/>
            </w:tcBorders>
            <w:shd w:val="clear" w:color="auto" w:fill="auto"/>
            <w:noWrap/>
            <w:hideMark/>
          </w:tcPr>
          <w:p w14:paraId="015781F7" w14:textId="77777777" w:rsidR="00DE64BC" w:rsidRPr="00256982" w:rsidRDefault="00DE64BC" w:rsidP="00A808C7">
            <w:pPr>
              <w:pStyle w:val="TableText"/>
            </w:pPr>
            <w:r w:rsidRPr="00256982">
              <w:rPr>
                <w:rFonts w:cs="Arial"/>
                <w:color w:val="000000"/>
              </w:rPr>
              <w:t>Domestic Navigation – Residual Fuel Oil</w:t>
            </w:r>
          </w:p>
        </w:tc>
        <w:tc>
          <w:tcPr>
            <w:tcW w:w="731" w:type="dxa"/>
            <w:tcBorders>
              <w:left w:val="nil"/>
              <w:right w:val="nil"/>
            </w:tcBorders>
            <w:shd w:val="clear" w:color="auto" w:fill="auto"/>
            <w:noWrap/>
            <w:hideMark/>
          </w:tcPr>
          <w:p w14:paraId="152191E3" w14:textId="77777777" w:rsidR="00DE64BC" w:rsidRPr="00256982" w:rsidRDefault="00DE64BC" w:rsidP="00A808C7">
            <w:pPr>
              <w:pStyle w:val="TableText"/>
              <w:jc w:val="center"/>
            </w:pPr>
            <w:r w:rsidRPr="00256982">
              <w:rPr>
                <w:rFonts w:cs="Arial"/>
                <w:color w:val="000000"/>
              </w:rPr>
              <w:t>CO</w:t>
            </w:r>
            <w:r w:rsidRPr="00256982">
              <w:rPr>
                <w:rFonts w:cs="Arial"/>
                <w:color w:val="000000"/>
                <w:vertAlign w:val="subscript"/>
              </w:rPr>
              <w:t>2</w:t>
            </w:r>
          </w:p>
        </w:tc>
        <w:tc>
          <w:tcPr>
            <w:tcW w:w="1340" w:type="dxa"/>
            <w:tcBorders>
              <w:left w:val="nil"/>
            </w:tcBorders>
            <w:shd w:val="clear" w:color="auto" w:fill="auto"/>
            <w:noWrap/>
            <w:hideMark/>
          </w:tcPr>
          <w:p w14:paraId="43E66AF0" w14:textId="77777777" w:rsidR="00DE64BC" w:rsidRPr="00256982" w:rsidRDefault="00DE64BC" w:rsidP="00A808C7">
            <w:pPr>
              <w:pStyle w:val="TableText"/>
            </w:pPr>
            <w:r w:rsidRPr="00256982">
              <w:rPr>
                <w:rFonts w:cs="Arial"/>
                <w:color w:val="000000"/>
              </w:rPr>
              <w:t>L1</w:t>
            </w:r>
          </w:p>
        </w:tc>
      </w:tr>
      <w:tr w:rsidR="00DE64BC" w:rsidRPr="00256982" w14:paraId="59087297" w14:textId="77777777" w:rsidTr="00880733">
        <w:tc>
          <w:tcPr>
            <w:tcW w:w="1301" w:type="dxa"/>
            <w:tcBorders>
              <w:right w:val="nil"/>
            </w:tcBorders>
            <w:shd w:val="clear" w:color="auto" w:fill="auto"/>
            <w:noWrap/>
            <w:hideMark/>
          </w:tcPr>
          <w:p w14:paraId="3AC90E76" w14:textId="77777777" w:rsidR="00DE64BC" w:rsidRPr="00256982" w:rsidRDefault="00DE64BC" w:rsidP="00A808C7">
            <w:pPr>
              <w:pStyle w:val="TableText"/>
            </w:pPr>
            <w:r w:rsidRPr="00256982">
              <w:rPr>
                <w:rFonts w:cs="Arial"/>
                <w:color w:val="000000"/>
              </w:rPr>
              <w:t>1.A.4.a</w:t>
            </w:r>
          </w:p>
        </w:tc>
        <w:tc>
          <w:tcPr>
            <w:tcW w:w="5190" w:type="dxa"/>
            <w:tcBorders>
              <w:left w:val="nil"/>
              <w:right w:val="nil"/>
            </w:tcBorders>
            <w:shd w:val="clear" w:color="auto" w:fill="auto"/>
            <w:noWrap/>
            <w:hideMark/>
          </w:tcPr>
          <w:p w14:paraId="4E3C9ACF" w14:textId="77777777" w:rsidR="00DE64BC" w:rsidRPr="00256982" w:rsidRDefault="00DE64BC" w:rsidP="00A808C7">
            <w:pPr>
              <w:pStyle w:val="TableText"/>
            </w:pPr>
            <w:r w:rsidRPr="00256982">
              <w:rPr>
                <w:rFonts w:cs="Arial"/>
                <w:color w:val="000000"/>
              </w:rPr>
              <w:t>Other Sectors – Commercial/Institutional Gaseous Fuels</w:t>
            </w:r>
          </w:p>
        </w:tc>
        <w:tc>
          <w:tcPr>
            <w:tcW w:w="731" w:type="dxa"/>
            <w:tcBorders>
              <w:left w:val="nil"/>
              <w:right w:val="nil"/>
            </w:tcBorders>
            <w:shd w:val="clear" w:color="auto" w:fill="auto"/>
            <w:noWrap/>
            <w:hideMark/>
          </w:tcPr>
          <w:p w14:paraId="060BDE28" w14:textId="77777777" w:rsidR="00DE64BC" w:rsidRPr="00256982" w:rsidRDefault="00DE64BC" w:rsidP="00A808C7">
            <w:pPr>
              <w:pStyle w:val="TableText"/>
              <w:jc w:val="center"/>
            </w:pPr>
            <w:r w:rsidRPr="00256982">
              <w:rPr>
                <w:rFonts w:cs="Arial"/>
                <w:color w:val="000000"/>
              </w:rPr>
              <w:t>CO</w:t>
            </w:r>
            <w:r w:rsidRPr="00256982">
              <w:rPr>
                <w:rFonts w:cs="Arial"/>
                <w:color w:val="000000"/>
                <w:vertAlign w:val="subscript"/>
              </w:rPr>
              <w:t>2</w:t>
            </w:r>
          </w:p>
        </w:tc>
        <w:tc>
          <w:tcPr>
            <w:tcW w:w="1340" w:type="dxa"/>
            <w:tcBorders>
              <w:left w:val="nil"/>
            </w:tcBorders>
            <w:shd w:val="clear" w:color="auto" w:fill="auto"/>
            <w:noWrap/>
            <w:hideMark/>
          </w:tcPr>
          <w:p w14:paraId="105647AD" w14:textId="77777777" w:rsidR="00DE64BC" w:rsidRPr="00256982" w:rsidRDefault="00DE64BC" w:rsidP="00A808C7">
            <w:pPr>
              <w:pStyle w:val="TableText"/>
            </w:pPr>
            <w:r w:rsidRPr="00256982">
              <w:rPr>
                <w:rFonts w:cs="Arial"/>
                <w:color w:val="000000"/>
              </w:rPr>
              <w:t>L1, T1</w:t>
            </w:r>
          </w:p>
        </w:tc>
      </w:tr>
      <w:tr w:rsidR="00DE64BC" w:rsidRPr="00256982" w14:paraId="6D247EA3" w14:textId="77777777" w:rsidTr="00880733">
        <w:tc>
          <w:tcPr>
            <w:tcW w:w="1301" w:type="dxa"/>
            <w:tcBorders>
              <w:right w:val="nil"/>
            </w:tcBorders>
            <w:shd w:val="clear" w:color="auto" w:fill="auto"/>
            <w:noWrap/>
            <w:hideMark/>
          </w:tcPr>
          <w:p w14:paraId="3420F448" w14:textId="77777777" w:rsidR="00DE64BC" w:rsidRPr="00256982" w:rsidRDefault="00DE64BC" w:rsidP="00A808C7">
            <w:pPr>
              <w:pStyle w:val="TableText"/>
            </w:pPr>
            <w:r w:rsidRPr="00256982">
              <w:rPr>
                <w:rFonts w:cs="Arial"/>
                <w:color w:val="000000"/>
              </w:rPr>
              <w:t>1.A.4.a</w:t>
            </w:r>
          </w:p>
        </w:tc>
        <w:tc>
          <w:tcPr>
            <w:tcW w:w="5190" w:type="dxa"/>
            <w:tcBorders>
              <w:left w:val="nil"/>
              <w:right w:val="nil"/>
            </w:tcBorders>
            <w:shd w:val="clear" w:color="auto" w:fill="auto"/>
            <w:noWrap/>
            <w:hideMark/>
          </w:tcPr>
          <w:p w14:paraId="6F48376F" w14:textId="77777777" w:rsidR="00DE64BC" w:rsidRPr="00256982" w:rsidRDefault="00DE64BC" w:rsidP="00A808C7">
            <w:pPr>
              <w:pStyle w:val="TableText"/>
            </w:pPr>
            <w:r w:rsidRPr="00256982">
              <w:rPr>
                <w:rFonts w:cs="Arial"/>
                <w:color w:val="000000"/>
              </w:rPr>
              <w:t>Other Sectors – Commercial/Institutional Liquid Fuels</w:t>
            </w:r>
          </w:p>
        </w:tc>
        <w:tc>
          <w:tcPr>
            <w:tcW w:w="731" w:type="dxa"/>
            <w:tcBorders>
              <w:left w:val="nil"/>
              <w:right w:val="nil"/>
            </w:tcBorders>
            <w:shd w:val="clear" w:color="auto" w:fill="auto"/>
            <w:noWrap/>
            <w:hideMark/>
          </w:tcPr>
          <w:p w14:paraId="40838FE4" w14:textId="77777777" w:rsidR="00DE64BC" w:rsidRPr="00256982" w:rsidRDefault="00DE64BC" w:rsidP="00A808C7">
            <w:pPr>
              <w:pStyle w:val="TableText"/>
              <w:jc w:val="center"/>
            </w:pPr>
            <w:r w:rsidRPr="00256982">
              <w:rPr>
                <w:rFonts w:cs="Arial"/>
                <w:color w:val="000000"/>
              </w:rPr>
              <w:t>CO</w:t>
            </w:r>
            <w:r w:rsidRPr="00256982">
              <w:rPr>
                <w:rFonts w:cs="Arial"/>
                <w:color w:val="000000"/>
                <w:vertAlign w:val="subscript"/>
              </w:rPr>
              <w:t>2</w:t>
            </w:r>
          </w:p>
        </w:tc>
        <w:tc>
          <w:tcPr>
            <w:tcW w:w="1340" w:type="dxa"/>
            <w:tcBorders>
              <w:left w:val="nil"/>
            </w:tcBorders>
            <w:shd w:val="clear" w:color="auto" w:fill="auto"/>
            <w:noWrap/>
            <w:hideMark/>
          </w:tcPr>
          <w:p w14:paraId="1233ED55" w14:textId="77777777" w:rsidR="00DE64BC" w:rsidRPr="00256982" w:rsidRDefault="00DE64BC" w:rsidP="00A808C7">
            <w:pPr>
              <w:pStyle w:val="TableText"/>
            </w:pPr>
            <w:r w:rsidRPr="00256982">
              <w:rPr>
                <w:rFonts w:cs="Arial"/>
                <w:color w:val="000000"/>
              </w:rPr>
              <w:t>L1, T1</w:t>
            </w:r>
          </w:p>
        </w:tc>
      </w:tr>
      <w:tr w:rsidR="00DE64BC" w:rsidRPr="00256982" w14:paraId="4614E2D5" w14:textId="77777777" w:rsidTr="00880733">
        <w:tc>
          <w:tcPr>
            <w:tcW w:w="1301" w:type="dxa"/>
            <w:tcBorders>
              <w:right w:val="nil"/>
            </w:tcBorders>
            <w:shd w:val="clear" w:color="auto" w:fill="auto"/>
            <w:noWrap/>
          </w:tcPr>
          <w:p w14:paraId="2C1B2C3A" w14:textId="77777777" w:rsidR="00DE64BC" w:rsidRPr="00256982" w:rsidRDefault="00DE64BC" w:rsidP="00A808C7">
            <w:pPr>
              <w:pStyle w:val="TableText"/>
              <w:rPr>
                <w:rFonts w:cs="Arial"/>
                <w:color w:val="000000"/>
              </w:rPr>
            </w:pPr>
            <w:r w:rsidRPr="00256982">
              <w:rPr>
                <w:rFonts w:cs="Arial"/>
                <w:color w:val="000000"/>
              </w:rPr>
              <w:t>1.A.4.a</w:t>
            </w:r>
          </w:p>
        </w:tc>
        <w:tc>
          <w:tcPr>
            <w:tcW w:w="5190" w:type="dxa"/>
            <w:tcBorders>
              <w:left w:val="nil"/>
              <w:right w:val="nil"/>
            </w:tcBorders>
            <w:shd w:val="clear" w:color="auto" w:fill="auto"/>
            <w:noWrap/>
          </w:tcPr>
          <w:p w14:paraId="297C6E09" w14:textId="77777777" w:rsidR="00DE64BC" w:rsidRPr="00256982" w:rsidRDefault="00DE64BC" w:rsidP="00A808C7">
            <w:pPr>
              <w:pStyle w:val="TableText"/>
              <w:rPr>
                <w:rFonts w:cs="Arial"/>
                <w:color w:val="000000"/>
              </w:rPr>
            </w:pPr>
            <w:r w:rsidRPr="00256982">
              <w:rPr>
                <w:rFonts w:cs="Arial"/>
                <w:color w:val="000000"/>
              </w:rPr>
              <w:t>Other Sectors – Commercial/Institutional Solid Fuels</w:t>
            </w:r>
          </w:p>
        </w:tc>
        <w:tc>
          <w:tcPr>
            <w:tcW w:w="731" w:type="dxa"/>
            <w:tcBorders>
              <w:left w:val="nil"/>
              <w:right w:val="nil"/>
            </w:tcBorders>
            <w:shd w:val="clear" w:color="auto" w:fill="auto"/>
            <w:noWrap/>
          </w:tcPr>
          <w:p w14:paraId="25961541" w14:textId="77777777" w:rsidR="00DE64BC" w:rsidRPr="00256982" w:rsidRDefault="00DE64BC" w:rsidP="00A808C7">
            <w:pPr>
              <w:pStyle w:val="TableText"/>
              <w:jc w:val="center"/>
              <w:rPr>
                <w:rFonts w:cs="Arial"/>
                <w:color w:val="000000"/>
              </w:rPr>
            </w:pPr>
            <w:r w:rsidRPr="00256982">
              <w:rPr>
                <w:rFonts w:cs="Arial"/>
                <w:color w:val="000000"/>
              </w:rPr>
              <w:t>CO</w:t>
            </w:r>
            <w:r w:rsidRPr="00256982">
              <w:rPr>
                <w:rFonts w:cs="Arial"/>
                <w:color w:val="000000"/>
                <w:vertAlign w:val="subscript"/>
              </w:rPr>
              <w:t>2</w:t>
            </w:r>
          </w:p>
        </w:tc>
        <w:tc>
          <w:tcPr>
            <w:tcW w:w="1340" w:type="dxa"/>
            <w:tcBorders>
              <w:left w:val="nil"/>
            </w:tcBorders>
            <w:shd w:val="clear" w:color="auto" w:fill="auto"/>
            <w:noWrap/>
          </w:tcPr>
          <w:p w14:paraId="09BA2B1E" w14:textId="77777777" w:rsidR="00DE64BC" w:rsidRPr="00256982" w:rsidRDefault="00DE64BC" w:rsidP="00A808C7">
            <w:pPr>
              <w:pStyle w:val="TableText"/>
              <w:rPr>
                <w:rFonts w:cs="Arial"/>
                <w:color w:val="000000"/>
              </w:rPr>
            </w:pPr>
            <w:r w:rsidRPr="00256982">
              <w:rPr>
                <w:rFonts w:cs="Arial"/>
                <w:color w:val="000000"/>
              </w:rPr>
              <w:t>T1</w:t>
            </w:r>
          </w:p>
        </w:tc>
      </w:tr>
      <w:tr w:rsidR="00DE64BC" w:rsidRPr="00256982" w14:paraId="1CB73015" w14:textId="77777777" w:rsidTr="00880733">
        <w:tc>
          <w:tcPr>
            <w:tcW w:w="1301" w:type="dxa"/>
            <w:tcBorders>
              <w:right w:val="nil"/>
            </w:tcBorders>
            <w:shd w:val="clear" w:color="auto" w:fill="auto"/>
            <w:noWrap/>
            <w:hideMark/>
          </w:tcPr>
          <w:p w14:paraId="2A4EE36A" w14:textId="77777777" w:rsidR="00DE64BC" w:rsidRPr="00256982" w:rsidRDefault="00DE64BC" w:rsidP="00A808C7">
            <w:pPr>
              <w:pStyle w:val="TableText"/>
            </w:pPr>
            <w:r w:rsidRPr="00256982">
              <w:rPr>
                <w:rFonts w:cs="Arial"/>
                <w:color w:val="000000"/>
              </w:rPr>
              <w:t>1.A.4.b</w:t>
            </w:r>
          </w:p>
        </w:tc>
        <w:tc>
          <w:tcPr>
            <w:tcW w:w="5190" w:type="dxa"/>
            <w:tcBorders>
              <w:left w:val="nil"/>
              <w:right w:val="nil"/>
            </w:tcBorders>
            <w:shd w:val="clear" w:color="auto" w:fill="auto"/>
            <w:noWrap/>
            <w:hideMark/>
          </w:tcPr>
          <w:p w14:paraId="2F7731C6" w14:textId="77777777" w:rsidR="00DE64BC" w:rsidRPr="00256982" w:rsidRDefault="00DE64BC" w:rsidP="00A808C7">
            <w:pPr>
              <w:pStyle w:val="TableText"/>
            </w:pPr>
            <w:r w:rsidRPr="00256982">
              <w:rPr>
                <w:rFonts w:cs="Arial"/>
                <w:color w:val="000000"/>
              </w:rPr>
              <w:t>Other Sectors – Residential Gaseous Fuels</w:t>
            </w:r>
          </w:p>
        </w:tc>
        <w:tc>
          <w:tcPr>
            <w:tcW w:w="731" w:type="dxa"/>
            <w:tcBorders>
              <w:left w:val="nil"/>
              <w:right w:val="nil"/>
            </w:tcBorders>
            <w:shd w:val="clear" w:color="auto" w:fill="auto"/>
            <w:noWrap/>
            <w:hideMark/>
          </w:tcPr>
          <w:p w14:paraId="0ABD51B9" w14:textId="77777777" w:rsidR="00DE64BC" w:rsidRPr="00256982" w:rsidRDefault="00DE64BC" w:rsidP="00A808C7">
            <w:pPr>
              <w:pStyle w:val="TableText"/>
              <w:jc w:val="center"/>
            </w:pPr>
            <w:r w:rsidRPr="00256982">
              <w:rPr>
                <w:rFonts w:cs="Arial"/>
                <w:color w:val="000000"/>
              </w:rPr>
              <w:t>CO</w:t>
            </w:r>
            <w:r w:rsidRPr="00256982">
              <w:rPr>
                <w:rFonts w:cs="Arial"/>
                <w:color w:val="000000"/>
                <w:vertAlign w:val="subscript"/>
              </w:rPr>
              <w:t>2</w:t>
            </w:r>
          </w:p>
        </w:tc>
        <w:tc>
          <w:tcPr>
            <w:tcW w:w="1340" w:type="dxa"/>
            <w:tcBorders>
              <w:left w:val="nil"/>
            </w:tcBorders>
            <w:shd w:val="clear" w:color="auto" w:fill="auto"/>
            <w:noWrap/>
            <w:hideMark/>
          </w:tcPr>
          <w:p w14:paraId="1BF4E30D" w14:textId="77777777" w:rsidR="00DE64BC" w:rsidRPr="00256982" w:rsidRDefault="00DE64BC" w:rsidP="00A808C7">
            <w:pPr>
              <w:pStyle w:val="TableText"/>
            </w:pPr>
            <w:r w:rsidRPr="00256982">
              <w:rPr>
                <w:rFonts w:cs="Arial"/>
                <w:color w:val="000000"/>
              </w:rPr>
              <w:t>L1, T1</w:t>
            </w:r>
          </w:p>
        </w:tc>
      </w:tr>
      <w:tr w:rsidR="00DE64BC" w:rsidRPr="00256982" w14:paraId="7CA74DA4" w14:textId="77777777" w:rsidTr="00880733">
        <w:tc>
          <w:tcPr>
            <w:tcW w:w="1301" w:type="dxa"/>
            <w:tcBorders>
              <w:right w:val="nil"/>
            </w:tcBorders>
            <w:shd w:val="clear" w:color="auto" w:fill="auto"/>
            <w:noWrap/>
          </w:tcPr>
          <w:p w14:paraId="3ABC5E9C" w14:textId="77777777" w:rsidR="00DE64BC" w:rsidRPr="00256982" w:rsidRDefault="00DE64BC" w:rsidP="00A808C7">
            <w:pPr>
              <w:pStyle w:val="TableText"/>
              <w:rPr>
                <w:rFonts w:cs="Arial"/>
                <w:color w:val="000000"/>
              </w:rPr>
            </w:pPr>
            <w:r w:rsidRPr="00256982">
              <w:rPr>
                <w:color w:val="000000"/>
              </w:rPr>
              <w:t>1.A.4.b</w:t>
            </w:r>
          </w:p>
        </w:tc>
        <w:tc>
          <w:tcPr>
            <w:tcW w:w="5190" w:type="dxa"/>
            <w:tcBorders>
              <w:left w:val="nil"/>
              <w:right w:val="nil"/>
            </w:tcBorders>
            <w:shd w:val="clear" w:color="auto" w:fill="auto"/>
            <w:noWrap/>
          </w:tcPr>
          <w:p w14:paraId="67865D5D" w14:textId="77777777" w:rsidR="00DE64BC" w:rsidRPr="00256982" w:rsidRDefault="00DE64BC" w:rsidP="00A808C7">
            <w:pPr>
              <w:pStyle w:val="TableText"/>
              <w:rPr>
                <w:rFonts w:cs="Arial"/>
                <w:color w:val="000000"/>
              </w:rPr>
            </w:pPr>
            <w:r w:rsidRPr="00256982">
              <w:rPr>
                <w:color w:val="000000"/>
              </w:rPr>
              <w:t>Other Sectors – Residential Liquid Fuels</w:t>
            </w:r>
          </w:p>
        </w:tc>
        <w:tc>
          <w:tcPr>
            <w:tcW w:w="731" w:type="dxa"/>
            <w:tcBorders>
              <w:left w:val="nil"/>
              <w:right w:val="nil"/>
            </w:tcBorders>
            <w:shd w:val="clear" w:color="auto" w:fill="auto"/>
            <w:noWrap/>
          </w:tcPr>
          <w:p w14:paraId="28B898B2" w14:textId="77777777" w:rsidR="00DE64BC" w:rsidRPr="00256982" w:rsidRDefault="00DE64BC" w:rsidP="00A808C7">
            <w:pPr>
              <w:pStyle w:val="TableText"/>
              <w:jc w:val="center"/>
              <w:rPr>
                <w:rFonts w:cs="Arial"/>
                <w:color w:val="000000"/>
              </w:rPr>
            </w:pPr>
            <w:r w:rsidRPr="00256982">
              <w:rPr>
                <w:color w:val="000000"/>
              </w:rPr>
              <w:t>CO</w:t>
            </w:r>
            <w:r w:rsidRPr="00256982">
              <w:rPr>
                <w:color w:val="000000"/>
                <w:vertAlign w:val="subscript"/>
              </w:rPr>
              <w:t>2</w:t>
            </w:r>
          </w:p>
        </w:tc>
        <w:tc>
          <w:tcPr>
            <w:tcW w:w="1340" w:type="dxa"/>
            <w:tcBorders>
              <w:left w:val="nil"/>
            </w:tcBorders>
            <w:shd w:val="clear" w:color="auto" w:fill="auto"/>
            <w:noWrap/>
          </w:tcPr>
          <w:p w14:paraId="4CC6AB52" w14:textId="77777777" w:rsidR="00DE64BC" w:rsidRPr="00256982" w:rsidRDefault="00DE64BC" w:rsidP="00A808C7">
            <w:pPr>
              <w:pStyle w:val="TableText"/>
              <w:rPr>
                <w:rFonts w:cs="Arial"/>
                <w:color w:val="000000"/>
              </w:rPr>
            </w:pPr>
            <w:r w:rsidRPr="00256982">
              <w:rPr>
                <w:color w:val="000000"/>
              </w:rPr>
              <w:t>L1</w:t>
            </w:r>
          </w:p>
        </w:tc>
      </w:tr>
      <w:tr w:rsidR="00DE64BC" w:rsidRPr="00256982" w14:paraId="59959B81" w14:textId="77777777" w:rsidTr="00880733">
        <w:tc>
          <w:tcPr>
            <w:tcW w:w="1301" w:type="dxa"/>
            <w:tcBorders>
              <w:right w:val="nil"/>
            </w:tcBorders>
            <w:shd w:val="clear" w:color="auto" w:fill="auto"/>
            <w:noWrap/>
            <w:hideMark/>
          </w:tcPr>
          <w:p w14:paraId="395A7926" w14:textId="77777777" w:rsidR="00DE64BC" w:rsidRPr="00256982" w:rsidRDefault="00DE64BC" w:rsidP="00A808C7">
            <w:pPr>
              <w:pStyle w:val="TableText"/>
            </w:pPr>
            <w:r w:rsidRPr="00256982">
              <w:rPr>
                <w:rFonts w:cs="Arial"/>
                <w:color w:val="000000"/>
              </w:rPr>
              <w:t>1.A.4.b</w:t>
            </w:r>
          </w:p>
        </w:tc>
        <w:tc>
          <w:tcPr>
            <w:tcW w:w="5190" w:type="dxa"/>
            <w:tcBorders>
              <w:left w:val="nil"/>
              <w:right w:val="nil"/>
            </w:tcBorders>
            <w:shd w:val="clear" w:color="auto" w:fill="auto"/>
            <w:noWrap/>
            <w:hideMark/>
          </w:tcPr>
          <w:p w14:paraId="5EE68849" w14:textId="77777777" w:rsidR="00DE64BC" w:rsidRPr="00256982" w:rsidRDefault="00DE64BC" w:rsidP="00A808C7">
            <w:pPr>
              <w:pStyle w:val="TableText"/>
            </w:pPr>
            <w:r w:rsidRPr="00256982">
              <w:rPr>
                <w:rFonts w:cs="Arial"/>
                <w:color w:val="000000"/>
              </w:rPr>
              <w:t>Other Sectors – Residential Solid Fuels</w:t>
            </w:r>
          </w:p>
        </w:tc>
        <w:tc>
          <w:tcPr>
            <w:tcW w:w="731" w:type="dxa"/>
            <w:tcBorders>
              <w:left w:val="nil"/>
              <w:right w:val="nil"/>
            </w:tcBorders>
            <w:shd w:val="clear" w:color="auto" w:fill="auto"/>
            <w:noWrap/>
            <w:hideMark/>
          </w:tcPr>
          <w:p w14:paraId="4D073E6C" w14:textId="77777777" w:rsidR="00DE64BC" w:rsidRPr="00256982" w:rsidRDefault="00DE64BC" w:rsidP="00A808C7">
            <w:pPr>
              <w:pStyle w:val="TableText"/>
              <w:jc w:val="center"/>
            </w:pPr>
            <w:r w:rsidRPr="00256982">
              <w:rPr>
                <w:rFonts w:cs="Arial"/>
                <w:color w:val="000000"/>
              </w:rPr>
              <w:t>CO</w:t>
            </w:r>
            <w:r w:rsidRPr="00256982">
              <w:rPr>
                <w:rFonts w:cs="Arial"/>
                <w:color w:val="000000"/>
                <w:vertAlign w:val="subscript"/>
              </w:rPr>
              <w:t>2</w:t>
            </w:r>
          </w:p>
        </w:tc>
        <w:tc>
          <w:tcPr>
            <w:tcW w:w="1340" w:type="dxa"/>
            <w:tcBorders>
              <w:left w:val="nil"/>
            </w:tcBorders>
            <w:shd w:val="clear" w:color="auto" w:fill="auto"/>
            <w:noWrap/>
            <w:hideMark/>
          </w:tcPr>
          <w:p w14:paraId="29F29046" w14:textId="77777777" w:rsidR="00DE64BC" w:rsidRPr="00256982" w:rsidRDefault="00DE64BC" w:rsidP="00A808C7">
            <w:pPr>
              <w:pStyle w:val="TableText"/>
            </w:pPr>
            <w:r w:rsidRPr="00256982">
              <w:rPr>
                <w:rFonts w:cs="Arial"/>
                <w:color w:val="000000"/>
              </w:rPr>
              <w:t>T1</w:t>
            </w:r>
          </w:p>
        </w:tc>
      </w:tr>
      <w:tr w:rsidR="00DE64BC" w:rsidRPr="00256982" w14:paraId="02ED7394" w14:textId="77777777" w:rsidTr="00880733">
        <w:tc>
          <w:tcPr>
            <w:tcW w:w="1301" w:type="dxa"/>
            <w:tcBorders>
              <w:right w:val="nil"/>
            </w:tcBorders>
            <w:shd w:val="clear" w:color="auto" w:fill="auto"/>
            <w:noWrap/>
            <w:hideMark/>
          </w:tcPr>
          <w:p w14:paraId="5B7B880B" w14:textId="77777777" w:rsidR="00DE64BC" w:rsidRPr="00256982" w:rsidRDefault="00DE64BC" w:rsidP="00A808C7">
            <w:pPr>
              <w:pStyle w:val="TableText"/>
            </w:pPr>
            <w:r w:rsidRPr="00256982">
              <w:rPr>
                <w:rFonts w:cs="Arial"/>
                <w:color w:val="000000"/>
              </w:rPr>
              <w:t>1.A.4.c</w:t>
            </w:r>
          </w:p>
        </w:tc>
        <w:tc>
          <w:tcPr>
            <w:tcW w:w="5190" w:type="dxa"/>
            <w:tcBorders>
              <w:left w:val="nil"/>
              <w:right w:val="nil"/>
            </w:tcBorders>
            <w:shd w:val="clear" w:color="auto" w:fill="auto"/>
            <w:noWrap/>
            <w:hideMark/>
          </w:tcPr>
          <w:p w14:paraId="2D1EE238" w14:textId="77777777" w:rsidR="00DE64BC" w:rsidRPr="00256982" w:rsidRDefault="00DE64BC" w:rsidP="00A808C7">
            <w:pPr>
              <w:pStyle w:val="TableText"/>
            </w:pPr>
            <w:r w:rsidRPr="00256982">
              <w:rPr>
                <w:rFonts w:cs="Arial"/>
                <w:color w:val="000000"/>
              </w:rPr>
              <w:t>Other Sectors – Agriculture/Forestry/Fishing Liquid Fuels</w:t>
            </w:r>
          </w:p>
        </w:tc>
        <w:tc>
          <w:tcPr>
            <w:tcW w:w="731" w:type="dxa"/>
            <w:tcBorders>
              <w:left w:val="nil"/>
              <w:right w:val="nil"/>
            </w:tcBorders>
            <w:shd w:val="clear" w:color="auto" w:fill="auto"/>
            <w:noWrap/>
            <w:hideMark/>
          </w:tcPr>
          <w:p w14:paraId="14D9381E" w14:textId="77777777" w:rsidR="00DE64BC" w:rsidRPr="00256982" w:rsidRDefault="00DE64BC" w:rsidP="00A808C7">
            <w:pPr>
              <w:pStyle w:val="TableText"/>
              <w:jc w:val="center"/>
            </w:pPr>
            <w:r w:rsidRPr="00256982">
              <w:rPr>
                <w:rFonts w:cs="Arial"/>
                <w:color w:val="000000"/>
              </w:rPr>
              <w:t>CO</w:t>
            </w:r>
            <w:r w:rsidRPr="00256982">
              <w:rPr>
                <w:rFonts w:cs="Arial"/>
                <w:color w:val="000000"/>
                <w:vertAlign w:val="subscript"/>
              </w:rPr>
              <w:t>2</w:t>
            </w:r>
          </w:p>
        </w:tc>
        <w:tc>
          <w:tcPr>
            <w:tcW w:w="1340" w:type="dxa"/>
            <w:tcBorders>
              <w:left w:val="nil"/>
            </w:tcBorders>
            <w:shd w:val="clear" w:color="auto" w:fill="auto"/>
            <w:noWrap/>
            <w:hideMark/>
          </w:tcPr>
          <w:p w14:paraId="6C4A8C18" w14:textId="77777777" w:rsidR="00DE64BC" w:rsidRPr="00256982" w:rsidRDefault="00DE64BC" w:rsidP="00A808C7">
            <w:pPr>
              <w:pStyle w:val="TableText"/>
            </w:pPr>
            <w:r w:rsidRPr="00256982">
              <w:rPr>
                <w:rFonts w:cs="Arial"/>
                <w:color w:val="000000"/>
              </w:rPr>
              <w:t>L1, T1</w:t>
            </w:r>
          </w:p>
        </w:tc>
      </w:tr>
      <w:tr w:rsidR="00DE64BC" w:rsidRPr="00256982" w14:paraId="0757A2FB" w14:textId="77777777" w:rsidTr="00880733">
        <w:tc>
          <w:tcPr>
            <w:tcW w:w="1301" w:type="dxa"/>
            <w:tcBorders>
              <w:right w:val="nil"/>
            </w:tcBorders>
            <w:shd w:val="clear" w:color="auto" w:fill="auto"/>
            <w:noWrap/>
          </w:tcPr>
          <w:p w14:paraId="6A7795CF" w14:textId="77777777" w:rsidR="00DE64BC" w:rsidRPr="00256982" w:rsidRDefault="00DE64BC" w:rsidP="00A808C7">
            <w:pPr>
              <w:pStyle w:val="TableText"/>
              <w:rPr>
                <w:rFonts w:cs="Arial"/>
                <w:color w:val="000000"/>
              </w:rPr>
            </w:pPr>
            <w:r w:rsidRPr="00256982">
              <w:rPr>
                <w:rFonts w:cs="Arial"/>
                <w:color w:val="000000"/>
              </w:rPr>
              <w:t>1.A.4.c</w:t>
            </w:r>
          </w:p>
        </w:tc>
        <w:tc>
          <w:tcPr>
            <w:tcW w:w="5190" w:type="dxa"/>
            <w:tcBorders>
              <w:left w:val="nil"/>
              <w:right w:val="nil"/>
            </w:tcBorders>
            <w:shd w:val="clear" w:color="auto" w:fill="auto"/>
            <w:noWrap/>
          </w:tcPr>
          <w:p w14:paraId="08BB0404" w14:textId="77777777" w:rsidR="00DE64BC" w:rsidRPr="00256982" w:rsidRDefault="00DE64BC" w:rsidP="00A808C7">
            <w:pPr>
              <w:pStyle w:val="TableText"/>
              <w:rPr>
                <w:rFonts w:cs="Arial"/>
                <w:color w:val="000000"/>
              </w:rPr>
            </w:pPr>
            <w:r w:rsidRPr="00256982">
              <w:rPr>
                <w:rFonts w:cs="Arial"/>
                <w:color w:val="000000"/>
              </w:rPr>
              <w:t>Other Sectors – Agriculture/Forestry/Fishing Solid Fuels</w:t>
            </w:r>
          </w:p>
        </w:tc>
        <w:tc>
          <w:tcPr>
            <w:tcW w:w="731" w:type="dxa"/>
            <w:tcBorders>
              <w:left w:val="nil"/>
              <w:right w:val="nil"/>
            </w:tcBorders>
            <w:shd w:val="clear" w:color="auto" w:fill="auto"/>
            <w:noWrap/>
          </w:tcPr>
          <w:p w14:paraId="0995C175" w14:textId="77777777" w:rsidR="00DE64BC" w:rsidRPr="00256982" w:rsidRDefault="00DE64BC" w:rsidP="00A808C7">
            <w:pPr>
              <w:pStyle w:val="TableText"/>
              <w:jc w:val="center"/>
              <w:rPr>
                <w:rFonts w:cs="Arial"/>
                <w:color w:val="000000"/>
              </w:rPr>
            </w:pPr>
            <w:r w:rsidRPr="00256982">
              <w:rPr>
                <w:rFonts w:cs="Arial"/>
                <w:color w:val="000000"/>
              </w:rPr>
              <w:t>CO</w:t>
            </w:r>
            <w:r w:rsidRPr="00256982">
              <w:rPr>
                <w:rFonts w:cs="Arial"/>
                <w:color w:val="000000"/>
                <w:vertAlign w:val="subscript"/>
              </w:rPr>
              <w:t>2</w:t>
            </w:r>
          </w:p>
        </w:tc>
        <w:tc>
          <w:tcPr>
            <w:tcW w:w="1340" w:type="dxa"/>
            <w:tcBorders>
              <w:left w:val="nil"/>
            </w:tcBorders>
            <w:shd w:val="clear" w:color="auto" w:fill="auto"/>
            <w:noWrap/>
          </w:tcPr>
          <w:p w14:paraId="512B5B3A" w14:textId="77777777" w:rsidR="00DE64BC" w:rsidRPr="00256982" w:rsidRDefault="00DE64BC" w:rsidP="00A808C7">
            <w:pPr>
              <w:pStyle w:val="TableText"/>
              <w:rPr>
                <w:rFonts w:cs="Arial"/>
                <w:color w:val="000000"/>
              </w:rPr>
            </w:pPr>
            <w:r w:rsidRPr="00256982">
              <w:rPr>
                <w:rFonts w:cs="Arial"/>
                <w:color w:val="000000"/>
              </w:rPr>
              <w:t>L1, T1</w:t>
            </w:r>
          </w:p>
        </w:tc>
      </w:tr>
      <w:tr w:rsidR="00DE64BC" w:rsidRPr="00256982" w14:paraId="7C302D63" w14:textId="77777777" w:rsidTr="00880733">
        <w:tc>
          <w:tcPr>
            <w:tcW w:w="1301" w:type="dxa"/>
            <w:tcBorders>
              <w:right w:val="nil"/>
            </w:tcBorders>
            <w:shd w:val="clear" w:color="auto" w:fill="auto"/>
            <w:noWrap/>
          </w:tcPr>
          <w:p w14:paraId="481421AB" w14:textId="77777777" w:rsidR="00DE64BC" w:rsidRPr="00256982" w:rsidRDefault="00DE64BC" w:rsidP="00A808C7">
            <w:pPr>
              <w:pStyle w:val="TableText"/>
            </w:pPr>
            <w:r w:rsidRPr="00256982">
              <w:rPr>
                <w:rFonts w:cs="Arial"/>
                <w:color w:val="000000"/>
              </w:rPr>
              <w:t>1.B.1.a.1</w:t>
            </w:r>
          </w:p>
        </w:tc>
        <w:tc>
          <w:tcPr>
            <w:tcW w:w="5190" w:type="dxa"/>
            <w:tcBorders>
              <w:left w:val="nil"/>
              <w:right w:val="nil"/>
            </w:tcBorders>
            <w:shd w:val="clear" w:color="auto" w:fill="auto"/>
            <w:noWrap/>
          </w:tcPr>
          <w:p w14:paraId="475C7696" w14:textId="77777777" w:rsidR="00DE64BC" w:rsidRPr="00256982" w:rsidRDefault="00DE64BC" w:rsidP="00A808C7">
            <w:pPr>
              <w:pStyle w:val="TableText"/>
            </w:pPr>
            <w:r w:rsidRPr="00256982">
              <w:rPr>
                <w:rFonts w:cs="Arial"/>
                <w:color w:val="000000"/>
              </w:rPr>
              <w:t>Coal Mining and Handling – Underground Mines</w:t>
            </w:r>
          </w:p>
        </w:tc>
        <w:tc>
          <w:tcPr>
            <w:tcW w:w="731" w:type="dxa"/>
            <w:tcBorders>
              <w:left w:val="nil"/>
              <w:right w:val="nil"/>
            </w:tcBorders>
            <w:shd w:val="clear" w:color="auto" w:fill="auto"/>
            <w:noWrap/>
          </w:tcPr>
          <w:p w14:paraId="413E2DB0" w14:textId="77777777" w:rsidR="00DE64BC" w:rsidRPr="00256982" w:rsidRDefault="00DE64BC" w:rsidP="00A808C7">
            <w:pPr>
              <w:pStyle w:val="TableText"/>
              <w:jc w:val="center"/>
            </w:pPr>
            <w:r w:rsidRPr="00256982">
              <w:rPr>
                <w:rFonts w:cs="Arial"/>
                <w:color w:val="000000"/>
              </w:rPr>
              <w:t>CH</w:t>
            </w:r>
            <w:r w:rsidRPr="00256982">
              <w:rPr>
                <w:rFonts w:cs="Arial"/>
                <w:color w:val="000000"/>
                <w:vertAlign w:val="subscript"/>
              </w:rPr>
              <w:t>4</w:t>
            </w:r>
          </w:p>
        </w:tc>
        <w:tc>
          <w:tcPr>
            <w:tcW w:w="1340" w:type="dxa"/>
            <w:tcBorders>
              <w:left w:val="nil"/>
            </w:tcBorders>
            <w:shd w:val="clear" w:color="auto" w:fill="auto"/>
            <w:noWrap/>
          </w:tcPr>
          <w:p w14:paraId="096B8093" w14:textId="77777777" w:rsidR="00DE64BC" w:rsidRPr="00256982" w:rsidRDefault="00DE64BC" w:rsidP="00A808C7">
            <w:pPr>
              <w:pStyle w:val="TableText"/>
            </w:pPr>
            <w:r w:rsidRPr="00256982">
              <w:rPr>
                <w:rFonts w:cs="Arial"/>
                <w:color w:val="000000"/>
              </w:rPr>
              <w:t>T1</w:t>
            </w:r>
          </w:p>
        </w:tc>
      </w:tr>
      <w:tr w:rsidR="00DE64BC" w:rsidRPr="00256982" w14:paraId="05DF488E" w14:textId="77777777" w:rsidTr="00880733">
        <w:tc>
          <w:tcPr>
            <w:tcW w:w="1301" w:type="dxa"/>
            <w:tcBorders>
              <w:right w:val="nil"/>
            </w:tcBorders>
            <w:shd w:val="clear" w:color="auto" w:fill="auto"/>
            <w:noWrap/>
          </w:tcPr>
          <w:p w14:paraId="5F4A32B0" w14:textId="77777777" w:rsidR="00DE64BC" w:rsidRPr="00256982" w:rsidRDefault="00DE64BC" w:rsidP="00A808C7">
            <w:pPr>
              <w:pStyle w:val="TableText"/>
            </w:pPr>
            <w:r w:rsidRPr="00256982">
              <w:rPr>
                <w:rFonts w:cs="Arial"/>
                <w:color w:val="000000"/>
              </w:rPr>
              <w:t>1.B.2.b.5</w:t>
            </w:r>
          </w:p>
        </w:tc>
        <w:tc>
          <w:tcPr>
            <w:tcW w:w="5190" w:type="dxa"/>
            <w:tcBorders>
              <w:left w:val="nil"/>
              <w:right w:val="nil"/>
            </w:tcBorders>
            <w:shd w:val="clear" w:color="auto" w:fill="auto"/>
            <w:noWrap/>
          </w:tcPr>
          <w:p w14:paraId="3C87705D" w14:textId="77777777" w:rsidR="00DE64BC" w:rsidRPr="00256982" w:rsidRDefault="00DE64BC" w:rsidP="00A808C7">
            <w:pPr>
              <w:pStyle w:val="TableText"/>
            </w:pPr>
            <w:r w:rsidRPr="00256982">
              <w:rPr>
                <w:rFonts w:cs="Arial"/>
                <w:color w:val="000000"/>
              </w:rPr>
              <w:t>Natural Gas – Distribution</w:t>
            </w:r>
          </w:p>
        </w:tc>
        <w:tc>
          <w:tcPr>
            <w:tcW w:w="731" w:type="dxa"/>
            <w:tcBorders>
              <w:left w:val="nil"/>
              <w:right w:val="nil"/>
            </w:tcBorders>
            <w:shd w:val="clear" w:color="auto" w:fill="auto"/>
            <w:noWrap/>
          </w:tcPr>
          <w:p w14:paraId="32EE853D" w14:textId="77777777" w:rsidR="00DE64BC" w:rsidRPr="00256982" w:rsidRDefault="00DE64BC" w:rsidP="00A808C7">
            <w:pPr>
              <w:pStyle w:val="TableText"/>
              <w:jc w:val="center"/>
            </w:pPr>
            <w:r w:rsidRPr="00256982">
              <w:rPr>
                <w:rFonts w:cs="Arial"/>
                <w:color w:val="000000"/>
              </w:rPr>
              <w:t>CH</w:t>
            </w:r>
            <w:r w:rsidRPr="00256982">
              <w:rPr>
                <w:rFonts w:cs="Arial"/>
                <w:color w:val="000000"/>
                <w:vertAlign w:val="subscript"/>
              </w:rPr>
              <w:t>4</w:t>
            </w:r>
          </w:p>
        </w:tc>
        <w:tc>
          <w:tcPr>
            <w:tcW w:w="1340" w:type="dxa"/>
            <w:tcBorders>
              <w:left w:val="nil"/>
            </w:tcBorders>
            <w:shd w:val="clear" w:color="auto" w:fill="auto"/>
            <w:noWrap/>
          </w:tcPr>
          <w:p w14:paraId="037A4CC1" w14:textId="77777777" w:rsidR="00DE64BC" w:rsidRPr="00256982" w:rsidRDefault="00DE64BC" w:rsidP="00A808C7">
            <w:pPr>
              <w:pStyle w:val="TableText"/>
            </w:pPr>
            <w:r w:rsidRPr="00256982">
              <w:rPr>
                <w:rFonts w:cs="Arial"/>
                <w:color w:val="000000"/>
              </w:rPr>
              <w:t>L1, T1</w:t>
            </w:r>
          </w:p>
        </w:tc>
      </w:tr>
      <w:tr w:rsidR="00DE64BC" w:rsidRPr="00256982" w14:paraId="01863A9E" w14:textId="77777777" w:rsidTr="00880733">
        <w:tc>
          <w:tcPr>
            <w:tcW w:w="1301" w:type="dxa"/>
            <w:tcBorders>
              <w:right w:val="nil"/>
            </w:tcBorders>
            <w:shd w:val="clear" w:color="auto" w:fill="auto"/>
            <w:noWrap/>
          </w:tcPr>
          <w:p w14:paraId="61EF2B27" w14:textId="77777777" w:rsidR="00DE64BC" w:rsidRPr="00256982" w:rsidRDefault="00DE64BC" w:rsidP="00A808C7">
            <w:pPr>
              <w:pStyle w:val="TableText"/>
            </w:pPr>
            <w:r w:rsidRPr="00256982">
              <w:rPr>
                <w:rFonts w:cs="Arial"/>
                <w:color w:val="000000"/>
              </w:rPr>
              <w:t>1.B.2.c.1.ii</w:t>
            </w:r>
          </w:p>
        </w:tc>
        <w:tc>
          <w:tcPr>
            <w:tcW w:w="5190" w:type="dxa"/>
            <w:tcBorders>
              <w:left w:val="nil"/>
              <w:right w:val="nil"/>
            </w:tcBorders>
            <w:shd w:val="clear" w:color="auto" w:fill="auto"/>
            <w:noWrap/>
          </w:tcPr>
          <w:p w14:paraId="2F576085" w14:textId="77777777" w:rsidR="00DE64BC" w:rsidRPr="00256982" w:rsidRDefault="00DE64BC" w:rsidP="00A808C7">
            <w:pPr>
              <w:pStyle w:val="TableText"/>
            </w:pPr>
            <w:r w:rsidRPr="00256982">
              <w:rPr>
                <w:rFonts w:cs="Arial"/>
                <w:color w:val="000000"/>
              </w:rPr>
              <w:t>Venting – Gas</w:t>
            </w:r>
          </w:p>
        </w:tc>
        <w:tc>
          <w:tcPr>
            <w:tcW w:w="731" w:type="dxa"/>
            <w:tcBorders>
              <w:left w:val="nil"/>
              <w:right w:val="nil"/>
            </w:tcBorders>
            <w:shd w:val="clear" w:color="auto" w:fill="auto"/>
            <w:noWrap/>
          </w:tcPr>
          <w:p w14:paraId="461E90A1" w14:textId="77777777" w:rsidR="00DE64BC" w:rsidRPr="00256982" w:rsidRDefault="00DE64BC" w:rsidP="00A808C7">
            <w:pPr>
              <w:pStyle w:val="TableText"/>
              <w:jc w:val="center"/>
            </w:pPr>
            <w:r w:rsidRPr="00256982">
              <w:rPr>
                <w:rFonts w:cs="Arial"/>
                <w:color w:val="000000"/>
              </w:rPr>
              <w:t>CO</w:t>
            </w:r>
            <w:r w:rsidRPr="00256982">
              <w:rPr>
                <w:rFonts w:cs="Arial"/>
                <w:color w:val="000000"/>
                <w:vertAlign w:val="subscript"/>
              </w:rPr>
              <w:t>2</w:t>
            </w:r>
          </w:p>
        </w:tc>
        <w:tc>
          <w:tcPr>
            <w:tcW w:w="1340" w:type="dxa"/>
            <w:tcBorders>
              <w:left w:val="nil"/>
            </w:tcBorders>
            <w:shd w:val="clear" w:color="auto" w:fill="auto"/>
            <w:noWrap/>
          </w:tcPr>
          <w:p w14:paraId="1D9F40D0" w14:textId="77777777" w:rsidR="00DE64BC" w:rsidRPr="00256982" w:rsidRDefault="00DE64BC" w:rsidP="00A808C7">
            <w:pPr>
              <w:pStyle w:val="TableText"/>
            </w:pPr>
            <w:r w:rsidRPr="00256982">
              <w:rPr>
                <w:rFonts w:cs="Arial"/>
                <w:color w:val="000000"/>
              </w:rPr>
              <w:t>L1, T1</w:t>
            </w:r>
          </w:p>
        </w:tc>
      </w:tr>
      <w:tr w:rsidR="00DE64BC" w:rsidRPr="00256982" w14:paraId="1A582510" w14:textId="77777777" w:rsidTr="00880733">
        <w:tc>
          <w:tcPr>
            <w:tcW w:w="1301" w:type="dxa"/>
            <w:tcBorders>
              <w:right w:val="nil"/>
            </w:tcBorders>
            <w:shd w:val="clear" w:color="auto" w:fill="auto"/>
            <w:noWrap/>
          </w:tcPr>
          <w:p w14:paraId="158364B7" w14:textId="77777777" w:rsidR="00DE64BC" w:rsidRPr="00256982" w:rsidRDefault="00DE64BC" w:rsidP="00A808C7">
            <w:pPr>
              <w:pStyle w:val="TableText"/>
            </w:pPr>
            <w:r w:rsidRPr="00256982">
              <w:rPr>
                <w:rFonts w:cs="Arial"/>
                <w:color w:val="000000"/>
              </w:rPr>
              <w:t>1.B.2.c.2.iii</w:t>
            </w:r>
          </w:p>
        </w:tc>
        <w:tc>
          <w:tcPr>
            <w:tcW w:w="5190" w:type="dxa"/>
            <w:tcBorders>
              <w:left w:val="nil"/>
              <w:right w:val="nil"/>
            </w:tcBorders>
            <w:shd w:val="clear" w:color="auto" w:fill="auto"/>
            <w:noWrap/>
          </w:tcPr>
          <w:p w14:paraId="6CBB857D" w14:textId="77777777" w:rsidR="00DE64BC" w:rsidRPr="00256982" w:rsidRDefault="00DE64BC" w:rsidP="00A808C7">
            <w:pPr>
              <w:pStyle w:val="TableText"/>
            </w:pPr>
            <w:r w:rsidRPr="00256982">
              <w:rPr>
                <w:rFonts w:cs="Arial"/>
                <w:color w:val="000000"/>
              </w:rPr>
              <w:t>Flaring – Combined</w:t>
            </w:r>
          </w:p>
        </w:tc>
        <w:tc>
          <w:tcPr>
            <w:tcW w:w="731" w:type="dxa"/>
            <w:tcBorders>
              <w:left w:val="nil"/>
              <w:right w:val="nil"/>
            </w:tcBorders>
            <w:shd w:val="clear" w:color="auto" w:fill="auto"/>
            <w:noWrap/>
          </w:tcPr>
          <w:p w14:paraId="70FCFCEA" w14:textId="77777777" w:rsidR="00DE64BC" w:rsidRPr="00256982" w:rsidRDefault="00DE64BC" w:rsidP="00A808C7">
            <w:pPr>
              <w:pStyle w:val="TableText"/>
              <w:jc w:val="center"/>
            </w:pPr>
            <w:r w:rsidRPr="00256982">
              <w:rPr>
                <w:rFonts w:cs="Arial"/>
                <w:color w:val="000000"/>
              </w:rPr>
              <w:t>CO</w:t>
            </w:r>
            <w:r w:rsidRPr="00256982">
              <w:rPr>
                <w:rFonts w:cs="Arial"/>
                <w:color w:val="000000"/>
                <w:vertAlign w:val="subscript"/>
              </w:rPr>
              <w:t>2</w:t>
            </w:r>
          </w:p>
        </w:tc>
        <w:tc>
          <w:tcPr>
            <w:tcW w:w="1340" w:type="dxa"/>
            <w:tcBorders>
              <w:left w:val="nil"/>
            </w:tcBorders>
            <w:shd w:val="clear" w:color="auto" w:fill="auto"/>
            <w:noWrap/>
          </w:tcPr>
          <w:p w14:paraId="347F7FD7" w14:textId="77777777" w:rsidR="00DE64BC" w:rsidRPr="00256982" w:rsidRDefault="00DE64BC" w:rsidP="00A808C7">
            <w:pPr>
              <w:pStyle w:val="TableText"/>
            </w:pPr>
            <w:r w:rsidRPr="00256982">
              <w:rPr>
                <w:rFonts w:cs="Arial"/>
                <w:color w:val="000000"/>
              </w:rPr>
              <w:t>L1, T1</w:t>
            </w:r>
          </w:p>
        </w:tc>
      </w:tr>
      <w:tr w:rsidR="00DE64BC" w:rsidRPr="00256982" w14:paraId="01B348E2" w14:textId="77777777" w:rsidTr="00880733">
        <w:tc>
          <w:tcPr>
            <w:tcW w:w="1301" w:type="dxa"/>
            <w:tcBorders>
              <w:right w:val="nil"/>
            </w:tcBorders>
            <w:shd w:val="clear" w:color="auto" w:fill="auto"/>
            <w:noWrap/>
          </w:tcPr>
          <w:p w14:paraId="42929501" w14:textId="77777777" w:rsidR="00DE64BC" w:rsidRPr="00256982" w:rsidRDefault="00DE64BC" w:rsidP="00A808C7">
            <w:pPr>
              <w:pStyle w:val="TableText"/>
            </w:pPr>
            <w:r w:rsidRPr="00256982">
              <w:rPr>
                <w:rFonts w:cs="Arial"/>
                <w:color w:val="000000"/>
              </w:rPr>
              <w:t>1.B.2.d</w:t>
            </w:r>
          </w:p>
        </w:tc>
        <w:tc>
          <w:tcPr>
            <w:tcW w:w="5190" w:type="dxa"/>
            <w:tcBorders>
              <w:left w:val="nil"/>
              <w:right w:val="nil"/>
            </w:tcBorders>
            <w:shd w:val="clear" w:color="auto" w:fill="auto"/>
            <w:noWrap/>
          </w:tcPr>
          <w:p w14:paraId="0C6B1811" w14:textId="77777777" w:rsidR="00DE64BC" w:rsidRPr="00256982" w:rsidRDefault="00DE64BC" w:rsidP="00A808C7">
            <w:pPr>
              <w:pStyle w:val="TableText"/>
            </w:pPr>
            <w:r w:rsidRPr="00256982">
              <w:rPr>
                <w:rFonts w:cs="Arial"/>
                <w:color w:val="000000"/>
              </w:rPr>
              <w:t>Other (please specify) – Geothermal</w:t>
            </w:r>
          </w:p>
        </w:tc>
        <w:tc>
          <w:tcPr>
            <w:tcW w:w="731" w:type="dxa"/>
            <w:tcBorders>
              <w:left w:val="nil"/>
              <w:right w:val="nil"/>
            </w:tcBorders>
            <w:shd w:val="clear" w:color="auto" w:fill="auto"/>
            <w:noWrap/>
          </w:tcPr>
          <w:p w14:paraId="0386E958" w14:textId="77777777" w:rsidR="00DE64BC" w:rsidRPr="00256982" w:rsidRDefault="00DE64BC" w:rsidP="00A808C7">
            <w:pPr>
              <w:pStyle w:val="TableText"/>
              <w:jc w:val="center"/>
            </w:pPr>
            <w:r w:rsidRPr="00256982">
              <w:rPr>
                <w:rFonts w:cs="Arial"/>
                <w:color w:val="000000"/>
              </w:rPr>
              <w:t>CO</w:t>
            </w:r>
            <w:r w:rsidRPr="00256982">
              <w:rPr>
                <w:rFonts w:cs="Arial"/>
                <w:color w:val="000000"/>
                <w:vertAlign w:val="subscript"/>
              </w:rPr>
              <w:t>2</w:t>
            </w:r>
          </w:p>
        </w:tc>
        <w:tc>
          <w:tcPr>
            <w:tcW w:w="1340" w:type="dxa"/>
            <w:tcBorders>
              <w:left w:val="nil"/>
            </w:tcBorders>
            <w:shd w:val="clear" w:color="auto" w:fill="auto"/>
            <w:noWrap/>
          </w:tcPr>
          <w:p w14:paraId="69B28C0A" w14:textId="77777777" w:rsidR="00DE64BC" w:rsidRPr="00256982" w:rsidRDefault="00DE64BC" w:rsidP="00A808C7">
            <w:pPr>
              <w:pStyle w:val="TableText"/>
            </w:pPr>
            <w:r w:rsidRPr="00256982">
              <w:rPr>
                <w:rFonts w:cs="Arial"/>
                <w:color w:val="000000"/>
              </w:rPr>
              <w:t>L1, T1</w:t>
            </w:r>
          </w:p>
        </w:tc>
      </w:tr>
      <w:tr w:rsidR="00DE64BC" w:rsidRPr="00256982" w14:paraId="1AADFF4E" w14:textId="77777777" w:rsidTr="00880733">
        <w:tc>
          <w:tcPr>
            <w:tcW w:w="1301" w:type="dxa"/>
            <w:tcBorders>
              <w:right w:val="nil"/>
            </w:tcBorders>
            <w:shd w:val="clear" w:color="auto" w:fill="auto"/>
            <w:noWrap/>
          </w:tcPr>
          <w:p w14:paraId="55FFB322" w14:textId="77777777" w:rsidR="00DE64BC" w:rsidRPr="00256982" w:rsidRDefault="00DE64BC" w:rsidP="00A808C7">
            <w:pPr>
              <w:pStyle w:val="TableText"/>
            </w:pPr>
            <w:r w:rsidRPr="00256982">
              <w:rPr>
                <w:rFonts w:cs="Arial"/>
                <w:color w:val="000000"/>
              </w:rPr>
              <w:t>1.B.2.d</w:t>
            </w:r>
          </w:p>
        </w:tc>
        <w:tc>
          <w:tcPr>
            <w:tcW w:w="5190" w:type="dxa"/>
            <w:tcBorders>
              <w:left w:val="nil"/>
              <w:right w:val="nil"/>
            </w:tcBorders>
            <w:shd w:val="clear" w:color="auto" w:fill="auto"/>
            <w:noWrap/>
          </w:tcPr>
          <w:p w14:paraId="4D87FF90" w14:textId="77777777" w:rsidR="00DE64BC" w:rsidRPr="00256982" w:rsidRDefault="00DE64BC" w:rsidP="00A808C7">
            <w:pPr>
              <w:pStyle w:val="TableText"/>
            </w:pPr>
            <w:r w:rsidRPr="00256982">
              <w:rPr>
                <w:rFonts w:cs="Arial"/>
                <w:color w:val="000000"/>
              </w:rPr>
              <w:t>Other (please specify) – Geothermal</w:t>
            </w:r>
          </w:p>
        </w:tc>
        <w:tc>
          <w:tcPr>
            <w:tcW w:w="731" w:type="dxa"/>
            <w:tcBorders>
              <w:left w:val="nil"/>
              <w:right w:val="nil"/>
            </w:tcBorders>
            <w:shd w:val="clear" w:color="auto" w:fill="auto"/>
            <w:noWrap/>
          </w:tcPr>
          <w:p w14:paraId="75640A7B" w14:textId="77777777" w:rsidR="00DE64BC" w:rsidRPr="00256982" w:rsidRDefault="00DE64BC" w:rsidP="00A808C7">
            <w:pPr>
              <w:pStyle w:val="TableText"/>
              <w:jc w:val="center"/>
            </w:pPr>
            <w:r w:rsidRPr="00256982">
              <w:rPr>
                <w:rFonts w:cs="Arial"/>
                <w:color w:val="000000"/>
              </w:rPr>
              <w:t>CH</w:t>
            </w:r>
            <w:r w:rsidRPr="00256982">
              <w:rPr>
                <w:rFonts w:cs="Arial"/>
                <w:color w:val="000000"/>
                <w:vertAlign w:val="subscript"/>
              </w:rPr>
              <w:t>4</w:t>
            </w:r>
          </w:p>
        </w:tc>
        <w:tc>
          <w:tcPr>
            <w:tcW w:w="1340" w:type="dxa"/>
            <w:tcBorders>
              <w:left w:val="nil"/>
            </w:tcBorders>
            <w:shd w:val="clear" w:color="auto" w:fill="auto"/>
            <w:noWrap/>
          </w:tcPr>
          <w:p w14:paraId="19F3025A" w14:textId="77777777" w:rsidR="00DE64BC" w:rsidRPr="00256982" w:rsidRDefault="00DE64BC" w:rsidP="00A808C7">
            <w:pPr>
              <w:pStyle w:val="TableText"/>
            </w:pPr>
            <w:r w:rsidRPr="00256982">
              <w:rPr>
                <w:rFonts w:cs="Arial"/>
                <w:color w:val="000000"/>
              </w:rPr>
              <w:t>T1</w:t>
            </w:r>
          </w:p>
        </w:tc>
      </w:tr>
    </w:tbl>
    <w:p w14:paraId="20280730" w14:textId="77777777" w:rsidR="00DE64BC" w:rsidRPr="00256982" w:rsidRDefault="00DE64BC" w:rsidP="00A808C7">
      <w:pPr>
        <w:pStyle w:val="Noteundertable"/>
      </w:pPr>
      <w:r w:rsidRPr="00256982">
        <w:rPr>
          <w:b/>
        </w:rPr>
        <w:t>Note</w:t>
      </w:r>
      <w:r w:rsidRPr="00256982">
        <w:t xml:space="preserve">: </w:t>
      </w:r>
      <w:r w:rsidRPr="00256982">
        <w:tab/>
        <w:t>L1 means a key category is identified under the level analysis – approach 1 and T1 is trend analysis – approach 1. See chapter 1 for more information.</w:t>
      </w:r>
      <w:bookmarkEnd w:id="255"/>
      <w:bookmarkEnd w:id="256"/>
    </w:p>
    <w:p w14:paraId="3AA88A97" w14:textId="77777777" w:rsidR="00DE64BC" w:rsidRPr="00256982" w:rsidRDefault="00DE64BC" w:rsidP="001D3490">
      <w:pPr>
        <w:pStyle w:val="Heading2"/>
      </w:pPr>
      <w:bookmarkStart w:id="257" w:name="_Toc384581635"/>
      <w:bookmarkStart w:id="258" w:name="_Toc448321507"/>
      <w:bookmarkStart w:id="259" w:name="_Toc481751369"/>
      <w:bookmarkStart w:id="260" w:name="_Toc5269346"/>
      <w:r w:rsidRPr="00256982">
        <w:lastRenderedPageBreak/>
        <w:t>3.2</w:t>
      </w:r>
      <w:r w:rsidRPr="00256982">
        <w:tab/>
        <w:t>Background information</w:t>
      </w:r>
      <w:bookmarkEnd w:id="257"/>
      <w:bookmarkEnd w:id="258"/>
      <w:bookmarkEnd w:id="259"/>
      <w:bookmarkEnd w:id="260"/>
    </w:p>
    <w:p w14:paraId="6ED987A3" w14:textId="77777777" w:rsidR="00DE64BC" w:rsidRPr="00256982" w:rsidRDefault="00DE64BC" w:rsidP="007F73BB">
      <w:pPr>
        <w:pStyle w:val="Heading3"/>
        <w:spacing w:before="240"/>
      </w:pPr>
      <w:r w:rsidRPr="00256982">
        <w:t>3.2.1</w:t>
      </w:r>
      <w:r w:rsidRPr="00256982">
        <w:tab/>
        <w:t>New Zealand sectoral methodology</w:t>
      </w:r>
    </w:p>
    <w:p w14:paraId="2A356EAE" w14:textId="77777777" w:rsidR="00DE64BC" w:rsidRPr="00256982" w:rsidRDefault="00DE64BC" w:rsidP="00A808C7">
      <w:pPr>
        <w:pStyle w:val="BodyText"/>
        <w:spacing w:before="100" w:after="100"/>
        <w:rPr>
          <w:lang w:eastAsia="en-GB"/>
        </w:rPr>
      </w:pPr>
      <w:r w:rsidRPr="00256982">
        <w:rPr>
          <w:lang w:eastAsia="en-GB"/>
        </w:rPr>
        <w:t xml:space="preserve">Greenhouse gas emissions from the Energy sector are calculated using a detailed sectoral approach. This bottom-up approach is demand based; it involves processing energy data collected on a regular basis through various surveys. For verification, New Zealand has also applied the </w:t>
      </w:r>
      <w:r w:rsidRPr="00256982">
        <w:t>Intergovernmental Panel on Climate Change</w:t>
      </w:r>
      <w:r w:rsidRPr="00256982">
        <w:rPr>
          <w:lang w:eastAsia="en-GB"/>
        </w:rPr>
        <w:t xml:space="preserve"> (IPCC) reference approach to estimate </w:t>
      </w:r>
      <w:r w:rsidRPr="00256982">
        <w:t>CO</w:t>
      </w:r>
      <w:r w:rsidRPr="00256982">
        <w:rPr>
          <w:vertAlign w:val="subscript"/>
        </w:rPr>
        <w:t>2</w:t>
      </w:r>
      <w:r w:rsidRPr="00256982">
        <w:rPr>
          <w:lang w:eastAsia="en-GB"/>
        </w:rPr>
        <w:t xml:space="preserve"> emissions from fuel combustion for the time series 1990–</w:t>
      </w:r>
      <w:r w:rsidRPr="00256982">
        <w:t xml:space="preserve">2017 </w:t>
      </w:r>
      <w:r w:rsidRPr="00256982">
        <w:rPr>
          <w:lang w:eastAsia="en-GB"/>
        </w:rPr>
        <w:t xml:space="preserve">(see annex 4). </w:t>
      </w:r>
    </w:p>
    <w:p w14:paraId="5EE3C36E" w14:textId="77777777" w:rsidR="00DE64BC" w:rsidRPr="00256982" w:rsidRDefault="00DE64BC" w:rsidP="00A808C7">
      <w:pPr>
        <w:pStyle w:val="BodyText"/>
        <w:spacing w:before="100" w:after="100"/>
        <w:rPr>
          <w:lang w:eastAsia="en-GB"/>
        </w:rPr>
      </w:pPr>
      <w:r w:rsidRPr="00256982">
        <w:rPr>
          <w:lang w:eastAsia="en-GB"/>
        </w:rPr>
        <w:t xml:space="preserve">The activity data used for the sectoral approach are referred to as ‘observed’ energy-use figures. These are based on surveys and questionnaires administered by the Ministry of Business, Innovation and Employment (MBIE). The differences between ‘calculated’ and ‘observed’ figures are reported as statistical differences in the energy balance tables released along with </w:t>
      </w:r>
      <w:r w:rsidRPr="00256982">
        <w:rPr>
          <w:i/>
          <w:iCs/>
          <w:lang w:eastAsia="en-GB"/>
        </w:rPr>
        <w:t xml:space="preserve">Energy in New Zealand </w:t>
      </w:r>
      <w:r w:rsidRPr="00256982">
        <w:rPr>
          <w:lang w:eastAsia="en-GB"/>
        </w:rPr>
        <w:t xml:space="preserve">(MBIE, 2018). Note that, due to the intervening time between the publication of </w:t>
      </w:r>
      <w:r w:rsidRPr="00256982">
        <w:rPr>
          <w:i/>
          <w:lang w:eastAsia="en-GB"/>
        </w:rPr>
        <w:t>Energy in New Zealand</w:t>
      </w:r>
      <w:r w:rsidRPr="00256982">
        <w:rPr>
          <w:lang w:eastAsia="en-GB"/>
        </w:rPr>
        <w:t xml:space="preserve"> and the preparation of this submission, some data revisions may have occurred.</w:t>
      </w:r>
    </w:p>
    <w:p w14:paraId="62CD31F8" w14:textId="77777777" w:rsidR="00DE64BC" w:rsidRPr="00256982" w:rsidRDefault="00DE64BC" w:rsidP="007F73BB">
      <w:pPr>
        <w:pStyle w:val="Heading3"/>
        <w:spacing w:before="280"/>
      </w:pPr>
      <w:bookmarkStart w:id="261" w:name="_Ref379915380"/>
      <w:r w:rsidRPr="00256982">
        <w:t>3.2.2</w:t>
      </w:r>
      <w:r w:rsidRPr="00256982">
        <w:tab/>
        <w:t>International bunker fuels</w:t>
      </w:r>
      <w:bookmarkEnd w:id="261"/>
    </w:p>
    <w:p w14:paraId="7502DD38" w14:textId="77777777" w:rsidR="00DE64BC" w:rsidRPr="00256982" w:rsidRDefault="00DE64BC" w:rsidP="00A808C7">
      <w:pPr>
        <w:pStyle w:val="BodyText"/>
        <w:spacing w:before="100" w:after="100"/>
        <w:rPr>
          <w:lang w:eastAsia="en-GB"/>
        </w:rPr>
      </w:pPr>
      <w:r w:rsidRPr="00256982">
        <w:rPr>
          <w:lang w:eastAsia="en-GB"/>
        </w:rPr>
        <w:t>The data on fuel use by international transportation are collected and published online by MBIE (2018). This data release uses information from oil company survey returns (</w:t>
      </w:r>
      <w:r w:rsidRPr="00256982">
        <w:rPr>
          <w:i/>
          <w:iCs/>
          <w:lang w:eastAsia="en-GB"/>
        </w:rPr>
        <w:t xml:space="preserve">Delivery of Petroleum Fuels by Industry </w:t>
      </w:r>
      <w:r w:rsidRPr="00256982">
        <w:rPr>
          <w:iCs/>
          <w:lang w:eastAsia="en-GB"/>
        </w:rPr>
        <w:t>(</w:t>
      </w:r>
      <w:r w:rsidRPr="00256982">
        <w:rPr>
          <w:lang w:eastAsia="en-GB"/>
        </w:rPr>
        <w:t xml:space="preserve">DPFI) and </w:t>
      </w:r>
      <w:r w:rsidRPr="00256982">
        <w:rPr>
          <w:i/>
        </w:rPr>
        <w:t>Monthly Oil Supply</w:t>
      </w:r>
      <w:r w:rsidRPr="00256982">
        <w:t xml:space="preserve"> (</w:t>
      </w:r>
      <w:r w:rsidRPr="00256982">
        <w:rPr>
          <w:lang w:eastAsia="en-GB"/>
        </w:rPr>
        <w:t>MOS) as explained below) provided to MBIE.</w:t>
      </w:r>
    </w:p>
    <w:p w14:paraId="09ED9D4A" w14:textId="77777777" w:rsidR="00DE64BC" w:rsidRPr="00256982" w:rsidRDefault="00DE64BC" w:rsidP="00A808C7">
      <w:pPr>
        <w:pStyle w:val="BodyText"/>
        <w:spacing w:before="100" w:after="100"/>
        <w:rPr>
          <w:lang w:eastAsia="en-GB"/>
        </w:rPr>
      </w:pPr>
      <w:r w:rsidRPr="00256982">
        <w:rPr>
          <w:lang w:eastAsia="en-GB"/>
        </w:rPr>
        <w:t xml:space="preserve">Data on fuel use by domestic transport are sourced from the quarterly </w:t>
      </w:r>
      <w:r w:rsidRPr="00256982">
        <w:rPr>
          <w:iCs/>
          <w:lang w:eastAsia="en-GB"/>
        </w:rPr>
        <w:t>DPFI survey</w:t>
      </w:r>
      <w:r w:rsidRPr="00256982">
        <w:rPr>
          <w:i/>
          <w:iCs/>
          <w:lang w:eastAsia="en-GB"/>
        </w:rPr>
        <w:t xml:space="preserve"> </w:t>
      </w:r>
      <w:r w:rsidRPr="00256982">
        <w:rPr>
          <w:lang w:eastAsia="en-GB"/>
        </w:rPr>
        <w:t>conducted by MBIE.</w:t>
      </w:r>
    </w:p>
    <w:p w14:paraId="7BB7E1BE" w14:textId="77777777" w:rsidR="00DE64BC" w:rsidRPr="00256982" w:rsidRDefault="00DE64BC" w:rsidP="00A808C7">
      <w:pPr>
        <w:pStyle w:val="BodyText"/>
        <w:spacing w:before="100" w:after="100"/>
        <w:rPr>
          <w:rFonts w:cs="Arial"/>
          <w:spacing w:val="-2"/>
          <w:lang w:eastAsia="en-GB"/>
        </w:rPr>
      </w:pPr>
      <w:r w:rsidRPr="00256982">
        <w:t xml:space="preserve">Some of the international bunkers data in CRF table 1.A.b are from the MOS survey, whereas the international bunkers data in CRF table 1.D are from the DPFI survey. The DPFI survey is a quarterly sectoral breakdown of observed demand (i.e., actual sales figures for different industries, one of which is international bunkers). The MOS survey is collected monthly and is a liquid fuels supply balance provided by companies selling fuels, of which one category is ‘international bunkers’. Companies that respond to the DPFI survey are asked to reconcile their figures with their figures in the MOS survey. Discrepancies between the surveys are usually very small, and the companies explain differences between the two data sets as the MOS survey following a top-down approach and the DPFI following a bottom-up approach. Furthermore, the MOS and DPFI surveys are usually completed by different sections from within the fuel companies. Also, note that the </w:t>
      </w:r>
      <w:r w:rsidRPr="00256982">
        <w:rPr>
          <w:i/>
        </w:rPr>
        <w:t>Other fuels</w:t>
      </w:r>
      <w:r w:rsidRPr="00256982">
        <w:t xml:space="preserve"> category is not covered in the DPFI so data must come from the MOS.</w:t>
      </w:r>
    </w:p>
    <w:p w14:paraId="585C2943" w14:textId="77777777" w:rsidR="00DE64BC" w:rsidRPr="00256982" w:rsidRDefault="00DE64BC" w:rsidP="00A808C7">
      <w:pPr>
        <w:pStyle w:val="BodyText"/>
        <w:spacing w:before="100" w:after="100"/>
        <w:rPr>
          <w:rFonts w:cs="Arial"/>
          <w:lang w:eastAsia="en-GB"/>
        </w:rPr>
      </w:pPr>
      <w:r w:rsidRPr="00256982">
        <w:t>International bunker fuel is not subject to goods and services tax (GST) in New Zealand, whereas fuel sold for fishing vessels, coastal shipping and so on is subject to GST. The liquid fuel retailers are able to accurately eliminate international bunker sales because GST is not charged on these sales.</w:t>
      </w:r>
    </w:p>
    <w:p w14:paraId="62A7D743" w14:textId="77777777" w:rsidR="00DE64BC" w:rsidRPr="00256982" w:rsidRDefault="00DE64BC" w:rsidP="007F73BB">
      <w:pPr>
        <w:pStyle w:val="Heading3"/>
        <w:spacing w:before="280"/>
      </w:pPr>
      <w:r w:rsidRPr="00256982">
        <w:t>3.2.3</w:t>
      </w:r>
      <w:r w:rsidRPr="00256982">
        <w:tab/>
        <w:t>Feedstock and other non-energy use of fuels</w:t>
      </w:r>
    </w:p>
    <w:p w14:paraId="5BFA2311" w14:textId="77777777" w:rsidR="00DE64BC" w:rsidRPr="00256982" w:rsidRDefault="00DE64BC" w:rsidP="00A808C7">
      <w:pPr>
        <w:pStyle w:val="BodyText"/>
        <w:spacing w:before="100" w:after="100"/>
        <w:rPr>
          <w:lang w:eastAsia="en-GB"/>
        </w:rPr>
      </w:pPr>
      <w:r w:rsidRPr="00256982">
        <w:rPr>
          <w:lang w:eastAsia="en-GB"/>
        </w:rPr>
        <w:t>For some industrial companies, the fuels supplied are used both as fuels for combustion and as feedstocks. In these instances, process-related emissions are calculated by taking the fraction of carbon stored or sequestered in the final product (based on industry production and chemical composition of the product) and subtracting this from the fuel supplied as feedstock. This difference is assumed to be the amount of carbon emitted as CO</w:t>
      </w:r>
      <w:r w:rsidRPr="00256982">
        <w:rPr>
          <w:vertAlign w:val="subscript"/>
          <w:lang w:eastAsia="en-GB"/>
        </w:rPr>
        <w:t>2</w:t>
      </w:r>
      <w:r w:rsidRPr="00256982">
        <w:rPr>
          <w:sz w:val="14"/>
          <w:szCs w:val="14"/>
          <w:lang w:eastAsia="en-GB"/>
        </w:rPr>
        <w:t xml:space="preserve"> </w:t>
      </w:r>
      <w:r w:rsidRPr="00256982">
        <w:rPr>
          <w:lang w:eastAsia="en-GB"/>
        </w:rPr>
        <w:t>and is reported both in the Industrial Processes and Product Use (IPPU) sector and in CRF table 1.AD. Other fuel materials, such as bitumen, also contribute to emissions that are reported in the IPPU sector and (where appropriate) in table 1.AD.</w:t>
      </w:r>
    </w:p>
    <w:p w14:paraId="26203B70" w14:textId="77777777" w:rsidR="00DE64BC" w:rsidRPr="00256982" w:rsidRDefault="00DE64BC" w:rsidP="00A808C7">
      <w:pPr>
        <w:pStyle w:val="BodyText"/>
      </w:pPr>
      <w:r w:rsidRPr="00256982">
        <w:lastRenderedPageBreak/>
        <w:t>In New Zealand, these non-energy fuels are as follows:</w:t>
      </w:r>
    </w:p>
    <w:p w14:paraId="3D94FF9E" w14:textId="77777777" w:rsidR="00DE64BC" w:rsidRPr="00256982" w:rsidRDefault="00DE64BC" w:rsidP="000F6318">
      <w:pPr>
        <w:pStyle w:val="Bullet"/>
      </w:pPr>
      <w:r w:rsidRPr="00256982">
        <w:t xml:space="preserve">The carbon in the natural gas used as feedstock to produce methanol is all considered to be stored in the product and therefore has no associated CO2 emissions. The balance of the carbon is oxidised and results in CO2. Emissions from fuel used for combustion are reported in 1.A.2.c. </w:t>
      </w:r>
    </w:p>
    <w:p w14:paraId="181F38A0" w14:textId="77777777" w:rsidR="00DE64BC" w:rsidRPr="00256982" w:rsidRDefault="00DE64BC" w:rsidP="000F6318">
      <w:pPr>
        <w:pStyle w:val="Bullet"/>
      </w:pPr>
      <w:r w:rsidRPr="00256982">
        <w:t>All ammonia produced in New Zealand is processed into urea. Carbon dioxide emissions from the use of natural gas in ammonia production (feedstock) are reported under the IPPU sector and are included in CRF table 1.AD. Emissions from fuel used for combustion are reported in 1.A.2.c.</w:t>
      </w:r>
    </w:p>
    <w:p w14:paraId="00CC1F01" w14:textId="77777777" w:rsidR="00DE64BC" w:rsidRPr="00256982" w:rsidRDefault="00DE64BC" w:rsidP="000F6318">
      <w:pPr>
        <w:pStyle w:val="Bullet"/>
      </w:pPr>
      <w:r w:rsidRPr="00256982">
        <w:t>Bitumen produced in New Zealand is not used as a fuel but rather by the companies Fulton Hogan and Downer EDI as a road construction material (non-energy use). Bitumen therefore has no associated direct emissions. Indirect emissions are reported in the IPPU sector.</w:t>
      </w:r>
    </w:p>
    <w:p w14:paraId="31CE2AC7" w14:textId="77777777" w:rsidR="00DE64BC" w:rsidRPr="00256982" w:rsidRDefault="00DE64BC" w:rsidP="000F6318">
      <w:pPr>
        <w:pStyle w:val="Bullet"/>
      </w:pPr>
      <w:r w:rsidRPr="00256982">
        <w:t xml:space="preserve">Coal used in steel production at New Zealand Steel Limited is used as a reductant, which is part of an industrial process. Therefore, all emissions from this coal are reported under the IPPU sector rather than the Energy sector. </w:t>
      </w:r>
    </w:p>
    <w:p w14:paraId="4D4BDDB9" w14:textId="77777777" w:rsidR="00DE64BC" w:rsidRPr="00256982" w:rsidRDefault="00DE64BC" w:rsidP="00A808C7">
      <w:pPr>
        <w:pStyle w:val="BodyText"/>
        <w:rPr>
          <w:lang w:eastAsia="en-GB"/>
        </w:rPr>
      </w:pPr>
      <w:r w:rsidRPr="00256982">
        <w:rPr>
          <w:lang w:eastAsia="en-GB"/>
        </w:rPr>
        <w:t>For the four industries using natural gas as feedstock, the fraction of carbon stored is given in table 3.2.1. Emissions for individual products are withheld because of confidentiality concerns.</w:t>
      </w:r>
    </w:p>
    <w:p w14:paraId="7285E7D8" w14:textId="77777777" w:rsidR="00DE64BC" w:rsidRPr="00256982" w:rsidRDefault="00DE64BC" w:rsidP="00A808C7">
      <w:pPr>
        <w:pStyle w:val="Table"/>
      </w:pPr>
      <w:bookmarkStart w:id="262" w:name="_Toc507496589"/>
      <w:bookmarkStart w:id="263" w:name="_Toc5269445"/>
      <w:r w:rsidRPr="00256982">
        <w:t xml:space="preserve">Table 3.2.1 </w:t>
      </w:r>
      <w:r w:rsidRPr="00256982">
        <w:tab/>
        <w:t>Use of natural gas as a feedstock in New Zealand</w:t>
      </w:r>
      <w:bookmarkEnd w:id="262"/>
      <w:bookmarkEnd w:id="263"/>
    </w:p>
    <w:tbl>
      <w:tblPr>
        <w:tblW w:w="8505" w:type="dxa"/>
        <w:tblInd w:w="108" w:type="dxa"/>
        <w:tblBorders>
          <w:top w:val="single" w:sz="4" w:space="0" w:color="365F91"/>
          <w:bottom w:val="single" w:sz="4" w:space="0" w:color="365F91"/>
          <w:insideH w:val="single" w:sz="4" w:space="0" w:color="365F91"/>
          <w:insideV w:val="single" w:sz="4" w:space="0" w:color="365F91"/>
        </w:tblBorders>
        <w:tblLayout w:type="fixed"/>
        <w:tblLook w:val="04A0" w:firstRow="1" w:lastRow="0" w:firstColumn="1" w:lastColumn="0" w:noHBand="0" w:noVBand="1"/>
      </w:tblPr>
      <w:tblGrid>
        <w:gridCol w:w="1701"/>
        <w:gridCol w:w="2268"/>
        <w:gridCol w:w="2032"/>
        <w:gridCol w:w="2504"/>
      </w:tblGrid>
      <w:tr w:rsidR="00DE64BC" w:rsidRPr="00256982" w14:paraId="61DCB1F7" w14:textId="77777777" w:rsidTr="00A808C7">
        <w:trPr>
          <w:tblHeader/>
        </w:trPr>
        <w:tc>
          <w:tcPr>
            <w:tcW w:w="1701" w:type="dxa"/>
            <w:shd w:val="clear" w:color="auto" w:fill="365F91"/>
            <w:noWrap/>
            <w:vAlign w:val="bottom"/>
            <w:hideMark/>
          </w:tcPr>
          <w:p w14:paraId="161C45B4" w14:textId="77777777" w:rsidR="00DE64BC" w:rsidRPr="00256982" w:rsidRDefault="00DE64BC" w:rsidP="00A808C7">
            <w:pPr>
              <w:pStyle w:val="TableTextBold"/>
              <w:keepNext/>
              <w:rPr>
                <w:noProof w:val="0"/>
                <w:color w:val="FFFFFF"/>
              </w:rPr>
            </w:pPr>
            <w:r w:rsidRPr="00256982">
              <w:rPr>
                <w:noProof w:val="0"/>
                <w:color w:val="FFFFFF"/>
              </w:rPr>
              <w:t>Product</w:t>
            </w:r>
          </w:p>
        </w:tc>
        <w:tc>
          <w:tcPr>
            <w:tcW w:w="2268" w:type="dxa"/>
            <w:shd w:val="clear" w:color="auto" w:fill="365F91"/>
            <w:noWrap/>
            <w:vAlign w:val="bottom"/>
            <w:hideMark/>
          </w:tcPr>
          <w:p w14:paraId="55AAC429" w14:textId="77777777" w:rsidR="00DE64BC" w:rsidRPr="00256982" w:rsidRDefault="00DE64BC" w:rsidP="00A808C7">
            <w:pPr>
              <w:pStyle w:val="TableTextBold"/>
              <w:keepNext/>
              <w:rPr>
                <w:noProof w:val="0"/>
                <w:color w:val="FFFFFF"/>
              </w:rPr>
            </w:pPr>
            <w:r w:rsidRPr="00256982">
              <w:rPr>
                <w:noProof w:val="0"/>
                <w:color w:val="FFFFFF"/>
              </w:rPr>
              <w:t>Percentage of carbon stored</w:t>
            </w:r>
          </w:p>
        </w:tc>
        <w:tc>
          <w:tcPr>
            <w:tcW w:w="2032" w:type="dxa"/>
            <w:shd w:val="clear" w:color="auto" w:fill="365F91"/>
            <w:noWrap/>
            <w:vAlign w:val="bottom"/>
            <w:hideMark/>
          </w:tcPr>
          <w:p w14:paraId="13343476" w14:textId="77777777" w:rsidR="00DE64BC" w:rsidRPr="00256982" w:rsidRDefault="00DE64BC" w:rsidP="00A808C7">
            <w:pPr>
              <w:pStyle w:val="TableTextBold"/>
              <w:keepNext/>
              <w:rPr>
                <w:noProof w:val="0"/>
                <w:color w:val="FFFFFF"/>
              </w:rPr>
            </w:pPr>
            <w:r w:rsidRPr="00256982">
              <w:rPr>
                <w:noProof w:val="0"/>
                <w:color w:val="FFFFFF"/>
              </w:rPr>
              <w:t>Energy use reported under</w:t>
            </w:r>
          </w:p>
        </w:tc>
        <w:tc>
          <w:tcPr>
            <w:tcW w:w="2504" w:type="dxa"/>
            <w:shd w:val="clear" w:color="auto" w:fill="365F91"/>
            <w:noWrap/>
            <w:vAlign w:val="bottom"/>
            <w:hideMark/>
          </w:tcPr>
          <w:p w14:paraId="54CD44FE" w14:textId="77777777" w:rsidR="00DE64BC" w:rsidRPr="00256982" w:rsidRDefault="00DE64BC" w:rsidP="00A808C7">
            <w:pPr>
              <w:pStyle w:val="TableTextBold"/>
              <w:keepNext/>
              <w:rPr>
                <w:noProof w:val="0"/>
                <w:color w:val="FFFFFF"/>
              </w:rPr>
            </w:pPr>
            <w:r w:rsidRPr="00256982">
              <w:rPr>
                <w:noProof w:val="0"/>
                <w:color w:val="FFFFFF"/>
              </w:rPr>
              <w:t>Non-energy use reported under</w:t>
            </w:r>
          </w:p>
        </w:tc>
      </w:tr>
      <w:tr w:rsidR="00DE64BC" w:rsidRPr="00256982" w14:paraId="4148E40F" w14:textId="77777777" w:rsidTr="00A808C7">
        <w:tc>
          <w:tcPr>
            <w:tcW w:w="1701" w:type="dxa"/>
            <w:shd w:val="clear" w:color="auto" w:fill="auto"/>
            <w:noWrap/>
            <w:hideMark/>
          </w:tcPr>
          <w:p w14:paraId="6AA44DEF" w14:textId="77777777" w:rsidR="00DE64BC" w:rsidRPr="00256982" w:rsidRDefault="00DE64BC" w:rsidP="00A808C7">
            <w:pPr>
              <w:pStyle w:val="TableText"/>
            </w:pPr>
            <w:r w:rsidRPr="00256982">
              <w:t>Methanol</w:t>
            </w:r>
          </w:p>
        </w:tc>
        <w:tc>
          <w:tcPr>
            <w:tcW w:w="2268" w:type="dxa"/>
            <w:shd w:val="clear" w:color="auto" w:fill="auto"/>
            <w:noWrap/>
            <w:hideMark/>
          </w:tcPr>
          <w:p w14:paraId="3C4EB7AB" w14:textId="77777777" w:rsidR="00DE64BC" w:rsidRPr="00256982" w:rsidRDefault="00DE64BC" w:rsidP="00A808C7">
            <w:pPr>
              <w:pStyle w:val="TableText"/>
            </w:pPr>
            <w:r w:rsidRPr="00256982">
              <w:rPr>
                <w:rFonts w:cs="Arial"/>
                <w:color w:val="000000"/>
              </w:rPr>
              <w:t>100</w:t>
            </w:r>
          </w:p>
        </w:tc>
        <w:tc>
          <w:tcPr>
            <w:tcW w:w="2032" w:type="dxa"/>
            <w:shd w:val="clear" w:color="auto" w:fill="auto"/>
            <w:noWrap/>
            <w:hideMark/>
          </w:tcPr>
          <w:p w14:paraId="32E8FFE7" w14:textId="77777777" w:rsidR="00DE64BC" w:rsidRPr="00256982" w:rsidRDefault="00DE64BC" w:rsidP="00A808C7">
            <w:pPr>
              <w:pStyle w:val="TableText"/>
            </w:pPr>
            <w:r w:rsidRPr="00256982">
              <w:rPr>
                <w:rFonts w:cs="Arial"/>
                <w:color w:val="000000"/>
              </w:rPr>
              <w:t>1.A.2.c.</w:t>
            </w:r>
          </w:p>
        </w:tc>
        <w:tc>
          <w:tcPr>
            <w:tcW w:w="2504" w:type="dxa"/>
            <w:shd w:val="clear" w:color="auto" w:fill="auto"/>
            <w:noWrap/>
            <w:hideMark/>
          </w:tcPr>
          <w:p w14:paraId="2FAE0029" w14:textId="77777777" w:rsidR="00DE64BC" w:rsidRPr="00256982" w:rsidRDefault="00DE64BC" w:rsidP="00A808C7">
            <w:pPr>
              <w:pStyle w:val="TableText"/>
            </w:pPr>
            <w:r w:rsidRPr="00256982">
              <w:t>N/A</w:t>
            </w:r>
          </w:p>
        </w:tc>
      </w:tr>
      <w:tr w:rsidR="00DE64BC" w:rsidRPr="00256982" w14:paraId="1A94CE5C" w14:textId="77777777" w:rsidTr="00A808C7">
        <w:tc>
          <w:tcPr>
            <w:tcW w:w="1701" w:type="dxa"/>
            <w:shd w:val="clear" w:color="auto" w:fill="auto"/>
            <w:noWrap/>
          </w:tcPr>
          <w:p w14:paraId="2461F203" w14:textId="77777777" w:rsidR="00DE64BC" w:rsidRPr="00256982" w:rsidRDefault="00DE64BC" w:rsidP="00A808C7">
            <w:pPr>
              <w:pStyle w:val="TableText"/>
            </w:pPr>
            <w:r w:rsidRPr="00256982">
              <w:t>Urea</w:t>
            </w:r>
          </w:p>
        </w:tc>
        <w:tc>
          <w:tcPr>
            <w:tcW w:w="2268" w:type="dxa"/>
            <w:shd w:val="clear" w:color="auto" w:fill="auto"/>
            <w:noWrap/>
          </w:tcPr>
          <w:p w14:paraId="5C8E1968" w14:textId="77777777" w:rsidR="00DE64BC" w:rsidRPr="00256982" w:rsidRDefault="00DE64BC" w:rsidP="00A808C7">
            <w:pPr>
              <w:pStyle w:val="TableText"/>
              <w:rPr>
                <w:rFonts w:cs="Arial"/>
                <w:color w:val="000000"/>
              </w:rPr>
            </w:pPr>
            <w:r w:rsidRPr="00256982">
              <w:rPr>
                <w:rFonts w:cs="Arial"/>
                <w:color w:val="000000"/>
              </w:rPr>
              <w:t>80–93</w:t>
            </w:r>
            <w:r w:rsidRPr="00256982">
              <w:rPr>
                <w:rStyle w:val="FootnoteReference"/>
                <w:rFonts w:cs="Arial"/>
                <w:color w:val="000000"/>
              </w:rPr>
              <w:footnoteReference w:id="29"/>
            </w:r>
          </w:p>
        </w:tc>
        <w:tc>
          <w:tcPr>
            <w:tcW w:w="2032" w:type="dxa"/>
            <w:shd w:val="clear" w:color="auto" w:fill="auto"/>
            <w:noWrap/>
          </w:tcPr>
          <w:p w14:paraId="52718D16" w14:textId="77777777" w:rsidR="00DE64BC" w:rsidRPr="00256982" w:rsidRDefault="00DE64BC" w:rsidP="00A808C7">
            <w:pPr>
              <w:pStyle w:val="TableText"/>
              <w:rPr>
                <w:rFonts w:cs="Arial"/>
                <w:color w:val="000000"/>
              </w:rPr>
            </w:pPr>
            <w:r w:rsidRPr="00256982">
              <w:rPr>
                <w:rFonts w:cs="Arial"/>
                <w:color w:val="000000"/>
              </w:rPr>
              <w:t>1.A.2.c.</w:t>
            </w:r>
          </w:p>
        </w:tc>
        <w:tc>
          <w:tcPr>
            <w:tcW w:w="2504" w:type="dxa"/>
            <w:shd w:val="clear" w:color="auto" w:fill="auto"/>
            <w:noWrap/>
          </w:tcPr>
          <w:p w14:paraId="693E6AD1" w14:textId="77777777" w:rsidR="00DE64BC" w:rsidRPr="00256982" w:rsidRDefault="00DE64BC" w:rsidP="00A808C7">
            <w:pPr>
              <w:pStyle w:val="TableText"/>
            </w:pPr>
            <w:r w:rsidRPr="00256982">
              <w:t>2.B.1</w:t>
            </w:r>
          </w:p>
        </w:tc>
      </w:tr>
      <w:tr w:rsidR="00DE64BC" w:rsidRPr="00256982" w14:paraId="0D9873C3" w14:textId="77777777" w:rsidTr="00A808C7">
        <w:tc>
          <w:tcPr>
            <w:tcW w:w="1701" w:type="dxa"/>
            <w:shd w:val="clear" w:color="auto" w:fill="auto"/>
            <w:noWrap/>
          </w:tcPr>
          <w:p w14:paraId="59BD719E" w14:textId="77777777" w:rsidR="00DE64BC" w:rsidRPr="00256982" w:rsidRDefault="00DE64BC" w:rsidP="00A808C7">
            <w:pPr>
              <w:pStyle w:val="TableText"/>
            </w:pPr>
            <w:r w:rsidRPr="00256982">
              <w:t>Hydrogen</w:t>
            </w:r>
          </w:p>
        </w:tc>
        <w:tc>
          <w:tcPr>
            <w:tcW w:w="2268" w:type="dxa"/>
            <w:shd w:val="clear" w:color="auto" w:fill="auto"/>
            <w:noWrap/>
          </w:tcPr>
          <w:p w14:paraId="53BC9E34" w14:textId="77777777" w:rsidR="00DE64BC" w:rsidRPr="00256982" w:rsidRDefault="00DE64BC" w:rsidP="00A808C7">
            <w:pPr>
              <w:pStyle w:val="TableText"/>
              <w:rPr>
                <w:rFonts w:cs="Arial"/>
                <w:color w:val="000000"/>
              </w:rPr>
            </w:pPr>
            <w:r w:rsidRPr="00256982">
              <w:rPr>
                <w:rFonts w:cs="Arial"/>
                <w:color w:val="000000"/>
              </w:rPr>
              <w:t>0</w:t>
            </w:r>
          </w:p>
        </w:tc>
        <w:tc>
          <w:tcPr>
            <w:tcW w:w="2032" w:type="dxa"/>
            <w:shd w:val="clear" w:color="auto" w:fill="auto"/>
            <w:noWrap/>
          </w:tcPr>
          <w:p w14:paraId="060E08A3" w14:textId="77777777" w:rsidR="00DE64BC" w:rsidRPr="00256982" w:rsidRDefault="00DE64BC" w:rsidP="00A808C7">
            <w:pPr>
              <w:pStyle w:val="TableText"/>
              <w:rPr>
                <w:rFonts w:cs="Arial"/>
                <w:color w:val="000000"/>
              </w:rPr>
            </w:pPr>
            <w:r w:rsidRPr="00256982">
              <w:rPr>
                <w:rFonts w:cs="Arial"/>
                <w:color w:val="000000"/>
              </w:rPr>
              <w:t>1.A.2.c.</w:t>
            </w:r>
          </w:p>
        </w:tc>
        <w:tc>
          <w:tcPr>
            <w:tcW w:w="2504" w:type="dxa"/>
            <w:shd w:val="clear" w:color="auto" w:fill="auto"/>
            <w:noWrap/>
          </w:tcPr>
          <w:p w14:paraId="636DFD3A" w14:textId="77777777" w:rsidR="00DE64BC" w:rsidRPr="00256982" w:rsidRDefault="00DE64BC" w:rsidP="00A808C7">
            <w:pPr>
              <w:pStyle w:val="TableText"/>
            </w:pPr>
            <w:r w:rsidRPr="00256982">
              <w:t>2.B.10</w:t>
            </w:r>
          </w:p>
        </w:tc>
      </w:tr>
      <w:tr w:rsidR="00DE64BC" w:rsidRPr="00256982" w14:paraId="492FD9E6" w14:textId="77777777" w:rsidTr="00A808C7">
        <w:tc>
          <w:tcPr>
            <w:tcW w:w="1701" w:type="dxa"/>
            <w:shd w:val="clear" w:color="auto" w:fill="auto"/>
            <w:noWrap/>
          </w:tcPr>
          <w:p w14:paraId="2C9DC394" w14:textId="77777777" w:rsidR="00DE64BC" w:rsidRPr="00256982" w:rsidRDefault="00DE64BC" w:rsidP="00A808C7">
            <w:pPr>
              <w:pStyle w:val="TableText"/>
            </w:pPr>
            <w:r w:rsidRPr="00256982">
              <w:t>Steel</w:t>
            </w:r>
          </w:p>
        </w:tc>
        <w:tc>
          <w:tcPr>
            <w:tcW w:w="2268" w:type="dxa"/>
            <w:shd w:val="clear" w:color="auto" w:fill="auto"/>
            <w:noWrap/>
          </w:tcPr>
          <w:p w14:paraId="3B64C009" w14:textId="77777777" w:rsidR="00DE64BC" w:rsidRPr="00256982" w:rsidRDefault="00DE64BC" w:rsidP="00A808C7">
            <w:pPr>
              <w:pStyle w:val="TableText"/>
              <w:rPr>
                <w:rFonts w:cs="Arial"/>
                <w:color w:val="000000"/>
              </w:rPr>
            </w:pPr>
            <w:r w:rsidRPr="00256982">
              <w:rPr>
                <w:rFonts w:cs="Arial"/>
                <w:color w:val="000000"/>
              </w:rPr>
              <w:t>0</w:t>
            </w:r>
          </w:p>
        </w:tc>
        <w:tc>
          <w:tcPr>
            <w:tcW w:w="2032" w:type="dxa"/>
            <w:shd w:val="clear" w:color="auto" w:fill="auto"/>
            <w:noWrap/>
          </w:tcPr>
          <w:p w14:paraId="2327E6BF" w14:textId="77777777" w:rsidR="00DE64BC" w:rsidRPr="00256982" w:rsidRDefault="00DE64BC" w:rsidP="00A808C7">
            <w:pPr>
              <w:pStyle w:val="TableText"/>
              <w:rPr>
                <w:rFonts w:cs="Arial"/>
                <w:color w:val="000000"/>
              </w:rPr>
            </w:pPr>
            <w:r w:rsidRPr="00256982">
              <w:rPr>
                <w:rFonts w:cs="Arial"/>
                <w:color w:val="000000"/>
              </w:rPr>
              <w:t>1.A.2.a</w:t>
            </w:r>
          </w:p>
        </w:tc>
        <w:tc>
          <w:tcPr>
            <w:tcW w:w="2504" w:type="dxa"/>
            <w:shd w:val="clear" w:color="auto" w:fill="auto"/>
            <w:noWrap/>
          </w:tcPr>
          <w:p w14:paraId="4CCC002F" w14:textId="77777777" w:rsidR="00DE64BC" w:rsidRPr="00256982" w:rsidRDefault="00DE64BC" w:rsidP="00A808C7">
            <w:pPr>
              <w:pStyle w:val="TableText"/>
            </w:pPr>
            <w:r w:rsidRPr="00256982">
              <w:t>2.C.1</w:t>
            </w:r>
          </w:p>
        </w:tc>
      </w:tr>
    </w:tbl>
    <w:p w14:paraId="4BC729B1" w14:textId="77777777" w:rsidR="00DE64BC" w:rsidRPr="00256982" w:rsidRDefault="00DE64BC" w:rsidP="00A808C7">
      <w:pPr>
        <w:pStyle w:val="BodyText"/>
        <w:spacing w:before="240"/>
        <w:rPr>
          <w:lang w:eastAsia="en-GB"/>
        </w:rPr>
      </w:pPr>
      <w:r w:rsidRPr="00256982">
        <w:rPr>
          <w:lang w:eastAsia="en-GB"/>
        </w:rPr>
        <w:t>The available data on natural gas supplied for methanol production do not allow feedstock to be clearly distinguished from gas for combustion. The quantity of feedstock gas is therefore calculated using a carbon balance based on the quantity of methanol produced. Natural gas used for energy generation is then calculated as total gas consumed minus feedstock gas. These figures may differ slightly from those reported online by MBIE, which are based on natural gas energy use and non-energy use as reported by the plant operator. Regarding urea, the split of feedstock gas and fuel gas is provided by the company. Although most of the carbon in feedstock gas used for urea production is stored in the product, this carbon is later emitted when the urea is used on farms as fertiliser. These emissions are reported in the Agriculture sector under urea application (all ammonia produced in New Zealand is processed into urea).</w:t>
      </w:r>
    </w:p>
    <w:p w14:paraId="32973CAD" w14:textId="77777777" w:rsidR="00DE64BC" w:rsidRPr="00256982" w:rsidRDefault="00DE64BC" w:rsidP="00A808C7">
      <w:pPr>
        <w:pStyle w:val="BodyText"/>
        <w:rPr>
          <w:lang w:eastAsia="en-GB"/>
        </w:rPr>
      </w:pPr>
      <w:r w:rsidRPr="00256982">
        <w:rPr>
          <w:lang w:eastAsia="en-GB"/>
        </w:rPr>
        <w:t xml:space="preserve">Emissions from synthetic gasoline production are reported under the </w:t>
      </w:r>
      <w:r w:rsidRPr="00256982">
        <w:rPr>
          <w:i/>
          <w:lang w:eastAsia="en-GB"/>
        </w:rPr>
        <w:t>Manufacture of solid fuels and other energy industries</w:t>
      </w:r>
      <w:r w:rsidRPr="00256982">
        <w:rPr>
          <w:lang w:eastAsia="en-GB"/>
        </w:rPr>
        <w:t xml:space="preserve"> category. Synthetic gasoline production in New Zealand ceased in 1997.</w:t>
      </w:r>
    </w:p>
    <w:p w14:paraId="6EFF765C" w14:textId="77777777" w:rsidR="00DE64BC" w:rsidRPr="00256982" w:rsidRDefault="00DE64BC" w:rsidP="00A808C7">
      <w:pPr>
        <w:pStyle w:val="BodyText"/>
        <w:rPr>
          <w:lang w:eastAsia="en-GB"/>
        </w:rPr>
      </w:pPr>
      <w:r w:rsidRPr="00256982">
        <w:rPr>
          <w:lang w:eastAsia="en-GB"/>
        </w:rPr>
        <w:t>The split of natural gas consumed for energy use versus non-energy use across the time series is shown in figure 3.2.1, and a table giving the energy versus non-energy use data for natural gas is included in annex 4, section A.4.4. Details of natural gas use for the various non-energy uses are covered under the IPPU sector (chapter 4).</w:t>
      </w:r>
    </w:p>
    <w:p w14:paraId="596CAC7E" w14:textId="77777777" w:rsidR="00DE64BC" w:rsidRPr="00256982" w:rsidRDefault="00DE64BC" w:rsidP="00A808C7">
      <w:pPr>
        <w:pStyle w:val="Figure"/>
      </w:pPr>
      <w:bookmarkStart w:id="264" w:name="_Toc481751985"/>
      <w:bookmarkStart w:id="265" w:name="_Toc5269666"/>
      <w:r w:rsidRPr="00256982">
        <w:lastRenderedPageBreak/>
        <w:t>Figure 3.2.</w:t>
      </w:r>
      <w:r w:rsidR="00304077">
        <w:rPr>
          <w:noProof/>
        </w:rPr>
        <w:fldChar w:fldCharType="begin"/>
      </w:r>
      <w:r w:rsidR="00304077">
        <w:rPr>
          <w:noProof/>
        </w:rPr>
        <w:instrText xml:space="preserve"> SEQ Figure \* ARABIC \s 2 </w:instrText>
      </w:r>
      <w:r w:rsidR="00304077">
        <w:rPr>
          <w:noProof/>
        </w:rPr>
        <w:fldChar w:fldCharType="separate"/>
      </w:r>
      <w:r w:rsidR="00D0418C">
        <w:rPr>
          <w:noProof/>
        </w:rPr>
        <w:t>1</w:t>
      </w:r>
      <w:r w:rsidR="00304077">
        <w:rPr>
          <w:noProof/>
        </w:rPr>
        <w:fldChar w:fldCharType="end"/>
      </w:r>
      <w:r w:rsidRPr="00256982">
        <w:tab/>
        <w:t>Natural gas consumption by end use type</w:t>
      </w:r>
      <w:bookmarkEnd w:id="264"/>
      <w:bookmarkEnd w:id="265"/>
      <w:r w:rsidRPr="00256982">
        <w:t xml:space="preserve"> </w:t>
      </w:r>
    </w:p>
    <w:p w14:paraId="39224E64" w14:textId="77777777" w:rsidR="00DE64BC" w:rsidRPr="00256982" w:rsidRDefault="00590491" w:rsidP="00A808C7">
      <w:pPr>
        <w:pStyle w:val="BodyText"/>
        <w:spacing w:before="0" w:after="60"/>
        <w:rPr>
          <w:lang w:eastAsia="en-GB"/>
        </w:rPr>
      </w:pPr>
      <w:r>
        <w:rPr>
          <w:lang w:eastAsia="en-NZ"/>
        </w:rPr>
        <w:pict w14:anchorId="3EC33BA3">
          <v:shape id="_x0000_i1049" type="#_x0000_t75" style="width:396pt;height:187.5pt;visibility:visible">
            <v:imagedata r:id="rId51" o:title="fig_3_2_1_natural_gas_consumption" cropbottom="2453f"/>
          </v:shape>
        </w:pict>
      </w:r>
    </w:p>
    <w:p w14:paraId="74262C64" w14:textId="77777777" w:rsidR="00DE64BC" w:rsidRPr="00256982" w:rsidRDefault="00DE64BC" w:rsidP="001D3490">
      <w:pPr>
        <w:pStyle w:val="Heading3"/>
      </w:pPr>
      <w:r w:rsidRPr="00256982">
        <w:t>3.2.4</w:t>
      </w:r>
      <w:r w:rsidRPr="00256982">
        <w:tab/>
        <w:t>Carbon dioxide capture from flue gases and subsequent carbon dioxide</w:t>
      </w:r>
      <w:r w:rsidRPr="00256982">
        <w:rPr>
          <w:sz w:val="18"/>
          <w:szCs w:val="18"/>
        </w:rPr>
        <w:t xml:space="preserve"> </w:t>
      </w:r>
      <w:r w:rsidRPr="00256982">
        <w:t>storage</w:t>
      </w:r>
    </w:p>
    <w:p w14:paraId="7781DEE7" w14:textId="77777777" w:rsidR="00DE64BC" w:rsidRPr="00256982" w:rsidRDefault="00DE64BC" w:rsidP="00A808C7">
      <w:pPr>
        <w:pStyle w:val="BodyText"/>
      </w:pPr>
      <w:r w:rsidRPr="00256982">
        <w:rPr>
          <w:lang w:eastAsia="en-GB"/>
        </w:rPr>
        <w:t>There was no CO</w:t>
      </w:r>
      <w:r w:rsidRPr="00256982">
        <w:rPr>
          <w:vertAlign w:val="subscript"/>
          <w:lang w:eastAsia="en-GB"/>
        </w:rPr>
        <w:t>2</w:t>
      </w:r>
      <w:r w:rsidRPr="00256982">
        <w:rPr>
          <w:sz w:val="14"/>
          <w:szCs w:val="14"/>
          <w:lang w:eastAsia="en-GB"/>
        </w:rPr>
        <w:t xml:space="preserve"> </w:t>
      </w:r>
      <w:r w:rsidRPr="00256982">
        <w:rPr>
          <w:lang w:eastAsia="en-GB"/>
        </w:rPr>
        <w:t>capture from flue gases and subsequent CO</w:t>
      </w:r>
      <w:r w:rsidRPr="00256982">
        <w:rPr>
          <w:vertAlign w:val="subscript"/>
          <w:lang w:eastAsia="en-GB"/>
        </w:rPr>
        <w:t>2</w:t>
      </w:r>
      <w:r w:rsidRPr="00256982">
        <w:rPr>
          <w:sz w:val="14"/>
          <w:szCs w:val="14"/>
          <w:lang w:eastAsia="en-GB"/>
        </w:rPr>
        <w:t xml:space="preserve"> </w:t>
      </w:r>
      <w:r w:rsidRPr="00256982">
        <w:rPr>
          <w:lang w:eastAsia="en-GB"/>
        </w:rPr>
        <w:t xml:space="preserve">storage occurring in New Zealand between 1990 and </w:t>
      </w:r>
      <w:r w:rsidRPr="00256982">
        <w:t>2017</w:t>
      </w:r>
      <w:r w:rsidRPr="00256982">
        <w:rPr>
          <w:lang w:eastAsia="en-GB"/>
        </w:rPr>
        <w:t>.</w:t>
      </w:r>
    </w:p>
    <w:p w14:paraId="4C513762" w14:textId="77777777" w:rsidR="00DE64BC" w:rsidRPr="00256982" w:rsidRDefault="00DE64BC" w:rsidP="001D3490">
      <w:pPr>
        <w:pStyle w:val="Heading3"/>
      </w:pPr>
      <w:r w:rsidRPr="00256982">
        <w:t>3.2.5</w:t>
      </w:r>
      <w:r w:rsidRPr="00256982">
        <w:tab/>
        <w:t>Country-specific issues</w:t>
      </w:r>
    </w:p>
    <w:p w14:paraId="62C680FE" w14:textId="77777777" w:rsidR="00DE64BC" w:rsidRPr="00256982" w:rsidRDefault="00DE64BC" w:rsidP="00A808C7">
      <w:pPr>
        <w:pStyle w:val="BodyText"/>
      </w:pPr>
      <w:r w:rsidRPr="00256982">
        <w:rPr>
          <w:lang w:eastAsia="en-GB"/>
        </w:rPr>
        <w:t>Reporting for the Energy sector presents an issue related to the IPCC Guidelines (IPCC, 2006). The issue is described below.</w:t>
      </w:r>
    </w:p>
    <w:p w14:paraId="744F7AAB" w14:textId="77777777" w:rsidR="00DE64BC" w:rsidRPr="00256982" w:rsidRDefault="00DE64BC" w:rsidP="00A72006">
      <w:pPr>
        <w:pStyle w:val="Heading4"/>
      </w:pPr>
      <w:r w:rsidRPr="00256982">
        <w:rPr>
          <w:lang w:eastAsia="en-GB"/>
        </w:rPr>
        <w:t>Sectoral approach – Methanol production</w:t>
      </w:r>
    </w:p>
    <w:p w14:paraId="2821EFA1" w14:textId="77777777" w:rsidR="00DE64BC" w:rsidRPr="00256982" w:rsidRDefault="00DE64BC" w:rsidP="00A808C7">
      <w:pPr>
        <w:pStyle w:val="BodyText"/>
        <w:rPr>
          <w:lang w:eastAsia="en-GB"/>
        </w:rPr>
      </w:pPr>
      <w:r w:rsidRPr="00256982">
        <w:t xml:space="preserve">The sector activity data does not include non-energy use of fuels. As a result, subtraction of emissions is not needed to account for the sequestration of carbon in methanol. Also, due to confidentiality concerns raised by New Zealand’s sole methanol producer, emissions from methanol production were previously reported under 1.A.2.c </w:t>
      </w:r>
      <w:r w:rsidRPr="00256982">
        <w:rPr>
          <w:i/>
        </w:rPr>
        <w:t>Chemicals</w:t>
      </w:r>
      <w:r w:rsidRPr="00256982">
        <w:t xml:space="preserve">, rather than in the IPPU sector. Following the 2013 expert review team (ERT) recommendation, the natural gas used for production of methanol was split into fuel gas and feedstock gas. The emissions from the fuel portion are reported in the CRF category 1.A.2.c </w:t>
      </w:r>
      <w:r w:rsidRPr="00256982">
        <w:rPr>
          <w:i/>
        </w:rPr>
        <w:t>Chemicals</w:t>
      </w:r>
      <w:r w:rsidRPr="00256982">
        <w:t xml:space="preserve"> in the Energy sector, and the emissions from the feedstock portion are described in chapter 4 (IPPU sector), section 4.3.2. </w:t>
      </w:r>
    </w:p>
    <w:p w14:paraId="38F2B08E" w14:textId="77777777" w:rsidR="00DE64BC" w:rsidRPr="00256982" w:rsidRDefault="00DE64BC" w:rsidP="001D3490">
      <w:pPr>
        <w:pStyle w:val="Heading3"/>
      </w:pPr>
      <w:r w:rsidRPr="00256982">
        <w:t>3.2.6</w:t>
      </w:r>
      <w:r w:rsidRPr="00256982">
        <w:tab/>
        <w:t>New Zealand energy balance</w:t>
      </w:r>
    </w:p>
    <w:p w14:paraId="516C12D9" w14:textId="77777777" w:rsidR="00DE64BC" w:rsidRPr="00256982" w:rsidRDefault="00DE64BC" w:rsidP="00A808C7">
      <w:pPr>
        <w:pStyle w:val="BodyText"/>
        <w:rPr>
          <w:iCs/>
          <w:spacing w:val="-2"/>
          <w:lang w:eastAsia="en-GB"/>
        </w:rPr>
      </w:pPr>
      <w:r w:rsidRPr="00256982">
        <w:rPr>
          <w:spacing w:val="-2"/>
        </w:rPr>
        <w:t xml:space="preserve">New Zealand’s energy balance, along with comprehensive information and analysis of energy supply and demand, is published annually in </w:t>
      </w:r>
      <w:r w:rsidRPr="00256982">
        <w:rPr>
          <w:i/>
          <w:spacing w:val="-2"/>
        </w:rPr>
        <w:t>Energy in New Zealand</w:t>
      </w:r>
      <w:r w:rsidRPr="00256982">
        <w:rPr>
          <w:spacing w:val="-2"/>
        </w:rPr>
        <w:t xml:space="preserve"> (MBIE, 2018). It covers energy statistics, including supply and demand by fuel types, energy balance tables, pricing information and international comparisons. An electronic copy of this report is available online at:</w:t>
      </w:r>
      <w:hyperlink w:history="1">
        <w:r w:rsidRPr="00256982">
          <w:rPr>
            <w:rStyle w:val="Hyperlink"/>
            <w:spacing w:val="-2"/>
          </w:rPr>
          <w:t xml:space="preserve"> </w:t>
        </w:r>
        <w:r w:rsidRPr="00256982">
          <w:rPr>
            <w:spacing w:val="-2"/>
          </w:rPr>
          <w:t>www.mbie.govt.nz/building-and-energy/energy-and-natural-resources/energy-statistics-and-modelling/energy-publications-and-technical-papers/energy-in-new-zealand/.</w:t>
        </w:r>
        <w:r w:rsidRPr="00256982">
          <w:rPr>
            <w:rStyle w:val="Hyperlink"/>
            <w:spacing w:val="-2"/>
          </w:rPr>
          <w:t xml:space="preserve"> </w:t>
        </w:r>
      </w:hyperlink>
    </w:p>
    <w:p w14:paraId="3A1BF1D0" w14:textId="77777777" w:rsidR="00DE64BC" w:rsidRPr="00256982" w:rsidRDefault="00DE64BC" w:rsidP="001D3490">
      <w:pPr>
        <w:pStyle w:val="Heading2"/>
      </w:pPr>
      <w:bookmarkStart w:id="266" w:name="_Toc321398810"/>
      <w:bookmarkStart w:id="267" w:name="_Toc384581636"/>
      <w:bookmarkStart w:id="268" w:name="_Toc448321508"/>
      <w:bookmarkStart w:id="269" w:name="_Toc481751370"/>
      <w:bookmarkStart w:id="270" w:name="_Toc5269347"/>
      <w:r w:rsidRPr="00256982">
        <w:lastRenderedPageBreak/>
        <w:t>3.3</w:t>
      </w:r>
      <w:r w:rsidRPr="00256982">
        <w:tab/>
        <w:t>Fuel combustion (CRF 1.A)</w:t>
      </w:r>
      <w:bookmarkEnd w:id="266"/>
      <w:bookmarkEnd w:id="267"/>
      <w:bookmarkEnd w:id="268"/>
      <w:bookmarkEnd w:id="269"/>
      <w:bookmarkEnd w:id="270"/>
    </w:p>
    <w:p w14:paraId="5D189061" w14:textId="77777777" w:rsidR="00DE64BC" w:rsidRPr="00256982" w:rsidRDefault="00DE64BC" w:rsidP="000F6318">
      <w:pPr>
        <w:pStyle w:val="Heading3"/>
        <w:spacing w:before="240"/>
      </w:pPr>
      <w:bookmarkStart w:id="271" w:name="_Ref442177031"/>
      <w:r w:rsidRPr="00256982">
        <w:t>3.3.1</w:t>
      </w:r>
      <w:r w:rsidRPr="00256982">
        <w:tab/>
        <w:t>Sector-wide information</w:t>
      </w:r>
      <w:bookmarkEnd w:id="271"/>
    </w:p>
    <w:p w14:paraId="1267AE96" w14:textId="77777777" w:rsidR="00DE64BC" w:rsidRPr="00256982" w:rsidRDefault="00DE64BC" w:rsidP="00A72006">
      <w:pPr>
        <w:pStyle w:val="Heading4"/>
      </w:pPr>
      <w:r w:rsidRPr="00256982">
        <w:rPr>
          <w:lang w:eastAsia="en-GB"/>
        </w:rPr>
        <w:t>Description</w:t>
      </w:r>
    </w:p>
    <w:p w14:paraId="2EA15FB3" w14:textId="77777777" w:rsidR="00DE64BC" w:rsidRPr="00256982" w:rsidRDefault="00DE64BC" w:rsidP="00A808C7">
      <w:pPr>
        <w:pStyle w:val="BodyText"/>
        <w:spacing w:before="100"/>
        <w:rPr>
          <w:lang w:eastAsia="en-GB"/>
        </w:rPr>
      </w:pPr>
      <w:r w:rsidRPr="00256982">
        <w:rPr>
          <w:lang w:eastAsia="en-GB"/>
        </w:rPr>
        <w:t xml:space="preserve">The </w:t>
      </w:r>
      <w:r w:rsidRPr="00256982">
        <w:rPr>
          <w:i/>
          <w:lang w:eastAsia="en-GB"/>
        </w:rPr>
        <w:t>Fuel combustion</w:t>
      </w:r>
      <w:r w:rsidRPr="00256982">
        <w:rPr>
          <w:lang w:eastAsia="en-GB"/>
        </w:rPr>
        <w:t xml:space="preserve"> category reports all fuel combustion activities from 1.A.1 </w:t>
      </w:r>
      <w:r w:rsidRPr="00256982">
        <w:rPr>
          <w:i/>
          <w:lang w:eastAsia="en-GB"/>
        </w:rPr>
        <w:t>Energy industries</w:t>
      </w:r>
      <w:r w:rsidRPr="00256982">
        <w:rPr>
          <w:lang w:eastAsia="en-GB"/>
        </w:rPr>
        <w:t xml:space="preserve">, 1.A.2 </w:t>
      </w:r>
      <w:r w:rsidRPr="00256982">
        <w:rPr>
          <w:i/>
          <w:lang w:eastAsia="en-GB"/>
        </w:rPr>
        <w:t>Manufacturing industries and construction</w:t>
      </w:r>
      <w:r w:rsidRPr="00256982">
        <w:rPr>
          <w:lang w:eastAsia="en-GB"/>
        </w:rPr>
        <w:t xml:space="preserve">, 1.A.3 </w:t>
      </w:r>
      <w:r w:rsidRPr="00256982">
        <w:rPr>
          <w:i/>
          <w:lang w:eastAsia="en-GB"/>
        </w:rPr>
        <w:t>Transport</w:t>
      </w:r>
      <w:r w:rsidRPr="00256982">
        <w:rPr>
          <w:lang w:eastAsia="en-GB"/>
        </w:rPr>
        <w:t xml:space="preserve"> and 1.A.4 </w:t>
      </w:r>
      <w:r w:rsidRPr="00256982">
        <w:rPr>
          <w:i/>
          <w:lang w:eastAsia="en-GB"/>
        </w:rPr>
        <w:t>Other sectors</w:t>
      </w:r>
      <w:r w:rsidRPr="00256982">
        <w:rPr>
          <w:lang w:eastAsia="en-GB"/>
        </w:rPr>
        <w:t xml:space="preserve"> categories (see figure 3.3.1). These categories use common activity data sources and emission factors. The CRF tables require energy emissions to be reported by category. Apportioning energy activity data across categories is not as accurate as apportioning activity data by fuel type because of difficulties in allocating liquid fuel to the appropriate categories.</w:t>
      </w:r>
    </w:p>
    <w:p w14:paraId="7FE11A22" w14:textId="77777777" w:rsidR="00DE64BC" w:rsidRPr="00256982" w:rsidRDefault="00DE64BC" w:rsidP="00A808C7">
      <w:pPr>
        <w:pStyle w:val="BodyText"/>
        <w:spacing w:before="100"/>
        <w:rPr>
          <w:lang w:eastAsia="en-GB"/>
        </w:rPr>
      </w:pPr>
      <w:r w:rsidRPr="00256982">
        <w:rPr>
          <w:lang w:eastAsia="en-GB"/>
        </w:rPr>
        <w:t>Information about methodologies, emission factors, uncertainty, and quality control and assurance for each of the categories is discussed below.</w:t>
      </w:r>
    </w:p>
    <w:p w14:paraId="79B48ED2" w14:textId="77777777" w:rsidR="00DE64BC" w:rsidRPr="00256982" w:rsidRDefault="00DE64BC" w:rsidP="00A808C7">
      <w:pPr>
        <w:pStyle w:val="Figure"/>
      </w:pPr>
      <w:bookmarkStart w:id="272" w:name="_Toc321399324"/>
      <w:bookmarkStart w:id="273" w:name="_Toc384582850"/>
      <w:bookmarkStart w:id="274" w:name="_Toc443060811"/>
      <w:bookmarkStart w:id="275" w:name="_Toc447275668"/>
      <w:bookmarkStart w:id="276" w:name="_Toc481751986"/>
      <w:bookmarkStart w:id="277" w:name="_Toc5269667"/>
      <w:r w:rsidRPr="00256982">
        <w:t>Figure 3.3.</w:t>
      </w:r>
      <w:r w:rsidR="00304077">
        <w:rPr>
          <w:noProof/>
        </w:rPr>
        <w:fldChar w:fldCharType="begin"/>
      </w:r>
      <w:r w:rsidR="00304077">
        <w:rPr>
          <w:noProof/>
        </w:rPr>
        <w:instrText xml:space="preserve"> SEQ Figure \* ARABIC \s 2 </w:instrText>
      </w:r>
      <w:r w:rsidR="00304077">
        <w:rPr>
          <w:noProof/>
        </w:rPr>
        <w:fldChar w:fldCharType="separate"/>
      </w:r>
      <w:r w:rsidR="00D0418C">
        <w:rPr>
          <w:noProof/>
        </w:rPr>
        <w:t>1</w:t>
      </w:r>
      <w:r w:rsidR="00304077">
        <w:rPr>
          <w:noProof/>
        </w:rPr>
        <w:fldChar w:fldCharType="end"/>
      </w:r>
      <w:r w:rsidRPr="00256982">
        <w:tab/>
        <w:t>Change in New Zealand’s emissions from the fuel combustion categories (1990–</w:t>
      </w:r>
      <w:bookmarkEnd w:id="272"/>
      <w:r w:rsidRPr="00256982">
        <w:t>2017)</w:t>
      </w:r>
      <w:bookmarkEnd w:id="273"/>
      <w:bookmarkEnd w:id="274"/>
      <w:bookmarkEnd w:id="275"/>
      <w:bookmarkEnd w:id="276"/>
      <w:bookmarkEnd w:id="277"/>
    </w:p>
    <w:p w14:paraId="1ED813E3" w14:textId="77777777" w:rsidR="00DE64BC" w:rsidRPr="00256982" w:rsidRDefault="00590491" w:rsidP="00A808C7">
      <w:r>
        <w:rPr>
          <w:lang w:eastAsia="en-NZ"/>
        </w:rPr>
        <w:pict w14:anchorId="62D3A57E">
          <v:shape id="_x0000_i1050" type="#_x0000_t75" style="width:417.75pt;height:201.75pt;visibility:visible">
            <v:imagedata r:id="rId52" o:title="fig_3_3_1_change_in_emissions" cropbottom="2957f"/>
          </v:shape>
        </w:pict>
      </w:r>
    </w:p>
    <w:p w14:paraId="627FC035" w14:textId="77777777" w:rsidR="00DE64BC" w:rsidRPr="00256982" w:rsidRDefault="00DE64BC" w:rsidP="00A72006">
      <w:pPr>
        <w:pStyle w:val="Heading4"/>
      </w:pPr>
      <w:r w:rsidRPr="00256982">
        <w:rPr>
          <w:lang w:eastAsia="en-GB"/>
        </w:rPr>
        <w:t>Methodological issues</w:t>
      </w:r>
    </w:p>
    <w:p w14:paraId="59FD9BCD" w14:textId="77777777" w:rsidR="00DE64BC" w:rsidRPr="00256982" w:rsidRDefault="00DE64BC" w:rsidP="00A808C7">
      <w:pPr>
        <w:pStyle w:val="BodyText"/>
        <w:rPr>
          <w:lang w:eastAsia="en-GB"/>
        </w:rPr>
      </w:pPr>
      <w:r w:rsidRPr="00256982">
        <w:rPr>
          <w:lang w:eastAsia="en-GB"/>
        </w:rPr>
        <w:t>Energy emissions are compiled using MBIE’s energy statistics, along with relevant New Zealand-specific emission factors. Unless otherwise noted in the relevant section, CO</w:t>
      </w:r>
      <w:r w:rsidRPr="00256982">
        <w:rPr>
          <w:vertAlign w:val="subscript"/>
          <w:lang w:eastAsia="en-GB"/>
        </w:rPr>
        <w:t>2</w:t>
      </w:r>
      <w:r w:rsidRPr="00256982">
        <w:rPr>
          <w:lang w:eastAsia="en-GB"/>
        </w:rPr>
        <w:t xml:space="preserve"> emissions are calculated by multiplying a country-specific emission factor for the given fuel by the relevant activity data using an IPCC 2006 Tier 2 method. Non-CO</w:t>
      </w:r>
      <w:r w:rsidRPr="00256982">
        <w:rPr>
          <w:vertAlign w:val="subscript"/>
          <w:lang w:eastAsia="en-GB"/>
        </w:rPr>
        <w:t>2 </w:t>
      </w:r>
      <w:r w:rsidRPr="00256982">
        <w:rPr>
          <w:lang w:eastAsia="en-GB"/>
        </w:rPr>
        <w:t>emissions are calculated using IPCC 2006 default emission factors, unless otherwise noted.</w:t>
      </w:r>
    </w:p>
    <w:p w14:paraId="714EEC8C" w14:textId="77777777" w:rsidR="00DE64BC" w:rsidRPr="00256982" w:rsidRDefault="00DE64BC" w:rsidP="00A72006">
      <w:pPr>
        <w:pStyle w:val="Heading4"/>
      </w:pPr>
      <w:r w:rsidRPr="00256982">
        <w:rPr>
          <w:lang w:eastAsia="en-GB"/>
        </w:rPr>
        <w:t xml:space="preserve">Activity data </w:t>
      </w:r>
    </w:p>
    <w:p w14:paraId="7BD5B855" w14:textId="77777777" w:rsidR="00DE64BC" w:rsidRPr="00256982" w:rsidRDefault="00DE64BC" w:rsidP="00A808C7">
      <w:pPr>
        <w:pStyle w:val="Heading5"/>
        <w:spacing w:before="120"/>
      </w:pPr>
      <w:r w:rsidRPr="00256982">
        <w:rPr>
          <w:lang w:eastAsia="en-GB"/>
        </w:rPr>
        <w:t>Liquid fuels</w:t>
      </w:r>
    </w:p>
    <w:p w14:paraId="510D9049" w14:textId="77777777" w:rsidR="00DE64BC" w:rsidRPr="00256982" w:rsidRDefault="00DE64BC" w:rsidP="00A808C7">
      <w:pPr>
        <w:pStyle w:val="BodyText"/>
        <w:rPr>
          <w:lang w:eastAsia="en-GB"/>
        </w:rPr>
      </w:pPr>
      <w:r w:rsidRPr="00256982">
        <w:rPr>
          <w:lang w:eastAsia="en-GB"/>
        </w:rPr>
        <w:t xml:space="preserve">The primary source of liquid fuel consumption data is the </w:t>
      </w:r>
      <w:r w:rsidRPr="00256982">
        <w:rPr>
          <w:iCs/>
          <w:lang w:eastAsia="en-GB"/>
        </w:rPr>
        <w:t>DPFI.</w:t>
      </w:r>
      <w:r w:rsidRPr="00256982">
        <w:rPr>
          <w:lang w:eastAsia="en-GB"/>
        </w:rPr>
        <w:t xml:space="preserve"> MBIE</w:t>
      </w:r>
      <w:r w:rsidRPr="00256982" w:rsidDel="007D581E">
        <w:rPr>
          <w:lang w:eastAsia="en-GB"/>
        </w:rPr>
        <w:t xml:space="preserve"> </w:t>
      </w:r>
      <w:r w:rsidRPr="00256982">
        <w:rPr>
          <w:lang w:eastAsia="en-GB"/>
        </w:rPr>
        <w:t xml:space="preserve">began conducting the DPFI in 2009. Before this, the survey was conducted by Statistics New Zealand (Stats NZ). The quarterly survey includes liquid fuel sales data collected from the four major oil companies and an independent oil company. The purpose of the survey is to provide data on the amount of fuel delivered by all oil companies to end users and other distribution outlets. Each oil company in New Zealand supplies MBIE with the volume of petroleum fuels delivered to resellers and the industrial, commercial and residential sectors. </w:t>
      </w:r>
    </w:p>
    <w:p w14:paraId="106520A8" w14:textId="77777777" w:rsidR="00DE64BC" w:rsidRPr="00256982" w:rsidRDefault="00DE64BC" w:rsidP="00A808C7">
      <w:pPr>
        <w:pStyle w:val="BodyText"/>
        <w:keepLines/>
        <w:spacing w:before="100" w:after="100"/>
        <w:rPr>
          <w:lang w:eastAsia="en-GB"/>
        </w:rPr>
      </w:pPr>
      <w:r w:rsidRPr="00256982">
        <w:rPr>
          <w:lang w:eastAsia="en-GB"/>
        </w:rPr>
        <w:lastRenderedPageBreak/>
        <w:t>Petroleum fuels data are currently collected in volume units (thousand litres). Before 2009, data were collected in metric tonnes. Year-specific calorific values are used for all liquid fuels, reflecting changes in liquid fuel properties over time. Annual fuel property data are provided by New Zealand’s sole refinery.</w:t>
      </w:r>
    </w:p>
    <w:p w14:paraId="12A2823C" w14:textId="77777777" w:rsidR="00DE64BC" w:rsidRPr="00256982" w:rsidRDefault="00DE64BC" w:rsidP="00A808C7">
      <w:pPr>
        <w:pStyle w:val="BodyText"/>
        <w:spacing w:before="100" w:after="100"/>
        <w:rPr>
          <w:lang w:eastAsia="en-GB"/>
        </w:rPr>
      </w:pPr>
      <w:r w:rsidRPr="00256982">
        <w:rPr>
          <w:lang w:eastAsia="en-GB"/>
        </w:rPr>
        <w:t>Emissions from fuel sold for use in international transport (e.g., international bunker fuels) are reported separately as a memo item, as required (IPCC, 2006).</w:t>
      </w:r>
    </w:p>
    <w:p w14:paraId="7F6AE9EC" w14:textId="77777777" w:rsidR="00DE64BC" w:rsidRPr="00256982" w:rsidRDefault="00DE64BC" w:rsidP="00A808C7">
      <w:pPr>
        <w:pStyle w:val="BodyText"/>
        <w:spacing w:before="100" w:after="100"/>
      </w:pPr>
      <w:r w:rsidRPr="00256982">
        <w:t>An MBIE-commissioned survey in 2008 on liquid fuel use (MBIE</w:t>
      </w:r>
      <w:r w:rsidRPr="00256982">
        <w:rPr>
          <w:lang w:eastAsia="en-GB"/>
        </w:rPr>
        <w:t>, 2008</w:t>
      </w:r>
      <w:r w:rsidRPr="00256982">
        <w:t>) found that there were, at the time, 19 independent fuel distribution companies operating in New Zealand that resell fuel bought wholesale from the oil companies. It further found that this on</w:t>
      </w:r>
      <w:r w:rsidRPr="00256982">
        <w:noBreakHyphen/>
        <w:t xml:space="preserve">selling resulted in over-allocation of liquid fuel activity data to the </w:t>
      </w:r>
      <w:r w:rsidRPr="00256982">
        <w:rPr>
          <w:i/>
        </w:rPr>
        <w:t>Transport</w:t>
      </w:r>
      <w:r w:rsidRPr="00256982">
        <w:t xml:space="preserve"> category, because most fuel purchased from the distribution companies was used by the </w:t>
      </w:r>
      <w:r w:rsidRPr="00256982">
        <w:rPr>
          <w:i/>
        </w:rPr>
        <w:t>Agriculture/Forestry/Fishing</w:t>
      </w:r>
      <w:r w:rsidRPr="00256982">
        <w:t xml:space="preserve"> category. The study recommended starting an annual survey of deliveries of gasoline and diesel to each sector by independent distributors. These data were then used to correctly allocate sales of liquid fuels by small resellers to the appropriate sector.</w:t>
      </w:r>
    </w:p>
    <w:p w14:paraId="439CF06E" w14:textId="77777777" w:rsidR="00DE64BC" w:rsidRPr="00256982" w:rsidRDefault="00DE64BC" w:rsidP="00A808C7">
      <w:pPr>
        <w:pStyle w:val="BodyText"/>
        <w:spacing w:before="100" w:after="100"/>
      </w:pPr>
      <w:r w:rsidRPr="00256982">
        <w:t xml:space="preserve">The </w:t>
      </w:r>
      <w:r w:rsidRPr="00256982">
        <w:rPr>
          <w:i/>
        </w:rPr>
        <w:t>Annual Liquid Fuel Survey</w:t>
      </w:r>
      <w:r w:rsidRPr="00256982">
        <w:t xml:space="preserve"> was started in 2009 (for the 2008 calendar year) and found that the independent fuel distribution companies delivered 18 per cent of New Zealand’s total diesel consumption and 3 per cent of New Zealand’s total gasoline consumption. Using these data, each company’s deliveries between 1990 and 2006 were estimated, because no information was available for these years. The report </w:t>
      </w:r>
      <w:r w:rsidRPr="00256982">
        <w:rPr>
          <w:i/>
        </w:rPr>
        <w:t>Delivering the Diesel – Liquid Fuel Deliveries in New Zealand 1990–2008</w:t>
      </w:r>
      <w:r w:rsidRPr="00256982">
        <w:t xml:space="preserve"> (MBIE, 2010) outlines in further detail the methodology employed to perform this calculation.</w:t>
      </w:r>
    </w:p>
    <w:p w14:paraId="76C082CD" w14:textId="77777777" w:rsidR="00DE64BC" w:rsidRPr="00256982" w:rsidRDefault="00DE64BC" w:rsidP="00A808C7">
      <w:pPr>
        <w:pStyle w:val="Heading5"/>
      </w:pPr>
      <w:r w:rsidRPr="00256982">
        <w:rPr>
          <w:lang w:eastAsia="en-GB"/>
        </w:rPr>
        <w:t>Solid fuels</w:t>
      </w:r>
    </w:p>
    <w:p w14:paraId="5266E051" w14:textId="77777777" w:rsidR="00DE64BC" w:rsidRPr="00256982" w:rsidRDefault="00DE64BC" w:rsidP="00A808C7">
      <w:pPr>
        <w:pStyle w:val="BodyText"/>
        <w:spacing w:before="100" w:after="100"/>
        <w:rPr>
          <w:lang w:eastAsia="en-GB"/>
        </w:rPr>
      </w:pPr>
      <w:r w:rsidRPr="00256982">
        <w:rPr>
          <w:lang w:eastAsia="en-GB"/>
        </w:rPr>
        <w:t xml:space="preserve">Since 2009, MBIE has conducted the </w:t>
      </w:r>
      <w:r w:rsidRPr="00256982">
        <w:rPr>
          <w:i/>
          <w:iCs/>
          <w:lang w:eastAsia="en-GB"/>
        </w:rPr>
        <w:t>New Zealand Quarterly Statistical Return of Coal Production and Sales</w:t>
      </w:r>
      <w:r w:rsidRPr="00256982">
        <w:rPr>
          <w:lang w:eastAsia="en-GB"/>
        </w:rPr>
        <w:t xml:space="preserve">, previously conducted by </w:t>
      </w:r>
      <w:r w:rsidRPr="00256982">
        <w:t>Stats NZ</w:t>
      </w:r>
      <w:r w:rsidRPr="00256982">
        <w:rPr>
          <w:lang w:eastAsia="en-GB"/>
        </w:rPr>
        <w:t>. The survey covers coal produced and sold by coal producers in New Zealand. The three grades of coal surveyed are bituminous, sub-bituminous and lignite.</w:t>
      </w:r>
    </w:p>
    <w:p w14:paraId="4FB8685B" w14:textId="77777777" w:rsidR="00DE64BC" w:rsidRPr="00256982" w:rsidRDefault="00DE64BC" w:rsidP="00A808C7">
      <w:pPr>
        <w:pStyle w:val="BodyText"/>
        <w:spacing w:before="100" w:after="100"/>
        <w:rPr>
          <w:lang w:eastAsia="en-GB"/>
        </w:rPr>
      </w:pPr>
      <w:r w:rsidRPr="00256982">
        <w:rPr>
          <w:lang w:eastAsia="en-GB"/>
        </w:rPr>
        <w:t xml:space="preserve">The </w:t>
      </w:r>
      <w:r w:rsidRPr="00256982">
        <w:rPr>
          <w:i/>
          <w:iCs/>
          <w:lang w:eastAsia="en-GB"/>
        </w:rPr>
        <w:t xml:space="preserve">Quarterly Statistical Return of Coal Production and Sales </w:t>
      </w:r>
      <w:r w:rsidRPr="00256982">
        <w:rPr>
          <w:lang w:eastAsia="en-GB"/>
        </w:rPr>
        <w:t xml:space="preserve">splits coal sold into over 20 industries, using the Australian and New Zealand Standard Industrial Classification 2006 (Australian Bureau of Statistics and Statistics New Zealand, 2006). Before 2009, when </w:t>
      </w:r>
      <w:r w:rsidRPr="00256982">
        <w:t>Stats NZ</w:t>
      </w:r>
      <w:r w:rsidRPr="00256982">
        <w:rPr>
          <w:lang w:eastAsia="en-GB"/>
        </w:rPr>
        <w:t xml:space="preserve"> ran the survey, coal sold was attributed to seven sectors. </w:t>
      </w:r>
    </w:p>
    <w:p w14:paraId="7088383B" w14:textId="77777777" w:rsidR="00DE64BC" w:rsidRPr="00256982" w:rsidRDefault="00DE64BC" w:rsidP="00A808C7">
      <w:pPr>
        <w:pStyle w:val="BodyText"/>
        <w:spacing w:before="100" w:after="100"/>
        <w:rPr>
          <w:lang w:eastAsia="en-GB"/>
        </w:rPr>
      </w:pPr>
      <w:r w:rsidRPr="00256982">
        <w:rPr>
          <w:lang w:eastAsia="en-GB"/>
        </w:rPr>
        <w:t>All solid fuel used for iron and steel manufacture is reported under the IPPU sector, to avoid double counting.</w:t>
      </w:r>
    </w:p>
    <w:p w14:paraId="34E23315" w14:textId="77777777" w:rsidR="00DE64BC" w:rsidRPr="00256982" w:rsidRDefault="00DE64BC" w:rsidP="00A808C7">
      <w:pPr>
        <w:pStyle w:val="Heading5"/>
        <w:rPr>
          <w:lang w:eastAsia="en-GB"/>
        </w:rPr>
      </w:pPr>
      <w:r w:rsidRPr="00256982">
        <w:rPr>
          <w:lang w:eastAsia="en-GB"/>
        </w:rPr>
        <w:t>Gaseous fuels</w:t>
      </w:r>
    </w:p>
    <w:p w14:paraId="64CE8C03" w14:textId="77777777" w:rsidR="00DE64BC" w:rsidRPr="00256982" w:rsidRDefault="00DE64BC" w:rsidP="00A808C7">
      <w:pPr>
        <w:pStyle w:val="BodyText"/>
        <w:spacing w:before="100" w:after="100"/>
        <w:rPr>
          <w:lang w:eastAsia="en-GB"/>
        </w:rPr>
      </w:pPr>
      <w:r w:rsidRPr="00256982">
        <w:rPr>
          <w:lang w:eastAsia="en-GB"/>
        </w:rPr>
        <w:t xml:space="preserve">MBIE receives activity data on gaseous fuels from a variety of sources. Individual natural gas field operators provide information on the amount of gas extracted, vented, flared and for own use at each gas field. Information on processed gas, including the Kapuni gas field, and information on gas transmission and distribution throughout New Zealand, is provided by the operator of the Kapuni Gas Treatment Plant and gas distribution networks. </w:t>
      </w:r>
    </w:p>
    <w:p w14:paraId="62DE31B2" w14:textId="77777777" w:rsidR="00DE64BC" w:rsidRPr="00256982" w:rsidRDefault="00DE64BC" w:rsidP="00A808C7">
      <w:pPr>
        <w:pStyle w:val="BodyText"/>
        <w:spacing w:before="100" w:after="100"/>
        <w:rPr>
          <w:lang w:eastAsia="en-GB"/>
        </w:rPr>
      </w:pPr>
      <w:r w:rsidRPr="00256982">
        <w:rPr>
          <w:lang w:eastAsia="en-GB"/>
        </w:rPr>
        <w:t>Large users of gas, including electricity generation companies, provide their activity data directly to MBIE. Finally, MBIE surveys retailers and wholesalers on a quarterly basis to obtain activity data from industrial, commercial and residential natural gas users.</w:t>
      </w:r>
    </w:p>
    <w:p w14:paraId="01255501" w14:textId="77777777" w:rsidR="00DE64BC" w:rsidRPr="00256982" w:rsidRDefault="00DE64BC" w:rsidP="00A808C7">
      <w:pPr>
        <w:pStyle w:val="BodyText"/>
        <w:spacing w:before="100" w:after="100"/>
        <w:rPr>
          <w:rFonts w:cs="Arial"/>
          <w:lang w:eastAsia="en-GB"/>
        </w:rPr>
      </w:pPr>
      <w:r w:rsidRPr="00256982">
        <w:rPr>
          <w:rFonts w:cs="Arial"/>
          <w:lang w:eastAsia="en-GB"/>
        </w:rPr>
        <w:t xml:space="preserve">In response to ERT recommendations, all fuel combustion for electricity auto-production was disaggregated into the appropriate sector, rather than reported in 1.A.2.g </w:t>
      </w:r>
      <w:r w:rsidRPr="00256982">
        <w:rPr>
          <w:rFonts w:cs="Arial"/>
          <w:i/>
          <w:lang w:eastAsia="en-GB"/>
        </w:rPr>
        <w:t>Manufacturing industries and construction – other</w:t>
      </w:r>
      <w:r w:rsidRPr="00256982">
        <w:rPr>
          <w:rFonts w:cs="Arial"/>
          <w:lang w:eastAsia="en-GB"/>
        </w:rPr>
        <w:t>. This improvement was implemented in the 2013 submission and resulted in a reduction in unallocated industrial emissions and increases in various manufacturing and construction categories. For further information, see section 3.3.7.</w:t>
      </w:r>
    </w:p>
    <w:p w14:paraId="103ACAF4" w14:textId="77777777" w:rsidR="00DE64BC" w:rsidRPr="00256982" w:rsidRDefault="00DE64BC" w:rsidP="00A808C7">
      <w:pPr>
        <w:pStyle w:val="Heading5"/>
        <w:rPr>
          <w:lang w:eastAsia="en-GB"/>
        </w:rPr>
      </w:pPr>
      <w:r w:rsidRPr="00256982">
        <w:rPr>
          <w:lang w:eastAsia="en-GB"/>
        </w:rPr>
        <w:lastRenderedPageBreak/>
        <w:t>Biomass</w:t>
      </w:r>
    </w:p>
    <w:p w14:paraId="3A889FF9" w14:textId="77777777" w:rsidR="00DE64BC" w:rsidRPr="00256982" w:rsidRDefault="00DE64BC" w:rsidP="00A808C7">
      <w:pPr>
        <w:pStyle w:val="BodyText"/>
        <w:spacing w:after="100"/>
        <w:rPr>
          <w:lang w:eastAsia="en-GB"/>
        </w:rPr>
      </w:pPr>
      <w:r w:rsidRPr="00256982">
        <w:rPr>
          <w:lang w:eastAsia="en-GB"/>
        </w:rPr>
        <w:t xml:space="preserve">Activity data for the use of biomass come from a number of different sources. Electricity and co-generation data are received by MBIE from electricity generators. </w:t>
      </w:r>
    </w:p>
    <w:p w14:paraId="266DF4AE" w14:textId="77777777" w:rsidR="00DE64BC" w:rsidRPr="00256982" w:rsidRDefault="00DE64BC" w:rsidP="0036046B">
      <w:pPr>
        <w:pStyle w:val="Bullet"/>
        <w:numPr>
          <w:ilvl w:val="0"/>
          <w:numId w:val="8"/>
        </w:numPr>
        <w:spacing w:after="100"/>
      </w:pPr>
      <w:r w:rsidRPr="00256982">
        <w:t>New Zealand reports emissions from landfill gas, sewage waste gas, sludge gas (derived from cattle effluent at the Tirau dairy processing facility) and commercial biogas use. Before 2013, New Zealand only reported emissions from landfill gas, sewage waste gas and commercial biogas use.</w:t>
      </w:r>
    </w:p>
    <w:p w14:paraId="63507181" w14:textId="77777777" w:rsidR="00DE64BC" w:rsidRPr="00256982" w:rsidRDefault="00DE64BC" w:rsidP="0036046B">
      <w:pPr>
        <w:pStyle w:val="Bullet"/>
        <w:numPr>
          <w:ilvl w:val="0"/>
          <w:numId w:val="8"/>
        </w:numPr>
        <w:spacing w:after="100"/>
      </w:pPr>
      <w:r w:rsidRPr="00256982">
        <w:t>New Zealand’s gas biomass emissions are estimates based on electricity generation data (some of which are also estimated). No direct data are available on gas biomass emissions from landfills or sewage treatment facilities. See below for details of the estimation methodology of landfill gas and sewage waste gas.</w:t>
      </w:r>
    </w:p>
    <w:p w14:paraId="201F47D8" w14:textId="77777777" w:rsidR="00DE64BC" w:rsidRPr="00256982" w:rsidRDefault="00DE64BC" w:rsidP="0036046B">
      <w:pPr>
        <w:pStyle w:val="Bullet"/>
        <w:numPr>
          <w:ilvl w:val="0"/>
          <w:numId w:val="8"/>
        </w:numPr>
        <w:spacing w:after="100"/>
      </w:pPr>
      <w:r w:rsidRPr="00256982">
        <w:t>Gas biomass is also thought to be used by some local government councils; however, MBIE has no information on this use. At some point, information was collected, but the small quantities and materially insignificant emissions mean that MBIE has not focused on collecting these data for many years. A standing estimate (unchanged) has been included since 2006, but the source of this number is unknown. Emissions continue to be reported under this category to ensure there is no under-reporting, given there is anecdotally some use outside of electricity generation and industry.</w:t>
      </w:r>
    </w:p>
    <w:p w14:paraId="6B13E51C" w14:textId="77777777" w:rsidR="00DE64BC" w:rsidRPr="00256982" w:rsidRDefault="00DE64BC" w:rsidP="0036046B">
      <w:pPr>
        <w:pStyle w:val="Bullet"/>
        <w:numPr>
          <w:ilvl w:val="0"/>
          <w:numId w:val="8"/>
        </w:numPr>
        <w:spacing w:after="100"/>
      </w:pPr>
      <w:r w:rsidRPr="00256982">
        <w:t>No information is collected on flared gas biomass.</w:t>
      </w:r>
    </w:p>
    <w:p w14:paraId="7549537D" w14:textId="77777777" w:rsidR="00DE64BC" w:rsidRPr="00256982" w:rsidRDefault="00DE64BC" w:rsidP="0036046B">
      <w:pPr>
        <w:pStyle w:val="Bullet"/>
        <w:numPr>
          <w:ilvl w:val="0"/>
          <w:numId w:val="8"/>
        </w:numPr>
        <w:spacing w:after="100"/>
      </w:pPr>
      <w:r w:rsidRPr="00256982">
        <w:t>The only gas biomass direct-use data that have been collected are for the Tirau dairy processing facility (and only one data point, which has been used for all years where it is believed the plant has emitted).</w:t>
      </w:r>
    </w:p>
    <w:p w14:paraId="1914C70B" w14:textId="77777777" w:rsidR="00DE64BC" w:rsidRPr="00256982" w:rsidRDefault="00DE64BC" w:rsidP="00A808C7">
      <w:pPr>
        <w:pStyle w:val="Heading5"/>
      </w:pPr>
      <w:r w:rsidRPr="00256982">
        <w:t>Information on how gas biomass emissions are estimated based on electricity generation data</w:t>
      </w:r>
    </w:p>
    <w:p w14:paraId="4D24A260" w14:textId="77777777" w:rsidR="00DE64BC" w:rsidRPr="00256982" w:rsidRDefault="00DE64BC" w:rsidP="0036046B">
      <w:pPr>
        <w:pStyle w:val="Bullet"/>
        <w:numPr>
          <w:ilvl w:val="0"/>
          <w:numId w:val="8"/>
        </w:numPr>
        <w:spacing w:before="120" w:after="100"/>
      </w:pPr>
      <w:r w:rsidRPr="00256982">
        <w:t xml:space="preserve">Electricity generation data are collected for 15 individual plants. At 31 December 2012, New Zealand gas biomass generation was known to include the following: </w:t>
      </w:r>
    </w:p>
    <w:p w14:paraId="11760B41" w14:textId="77777777" w:rsidR="00DE64BC" w:rsidRPr="00256982" w:rsidRDefault="00DE64BC" w:rsidP="00DE64BC">
      <w:pPr>
        <w:pStyle w:val="Sub-bullet"/>
        <w:spacing w:after="100"/>
      </w:pPr>
      <w:r w:rsidRPr="00256982">
        <w:t>11 landfill facilities, totalling 29.4 megawatts (MW). These facilities are electricity only (some landfill gas was used to heat a swimming pool in Christchurch before the Christchurch earthquake of February 2011, but that facility suffered major earthquake damage and has been removed. A new trigeneration facility has been built.)</w:t>
      </w:r>
    </w:p>
    <w:p w14:paraId="789A6FF0" w14:textId="77777777" w:rsidR="00DE64BC" w:rsidRPr="00256982" w:rsidRDefault="00DE64BC" w:rsidP="00DE64BC">
      <w:pPr>
        <w:pStyle w:val="Sub-bullet"/>
        <w:spacing w:after="100"/>
      </w:pPr>
      <w:r w:rsidRPr="00256982">
        <w:t>four wastewater treatment facilities, totalling 11.3 MW. These are all co</w:t>
      </w:r>
      <w:r w:rsidRPr="00256982">
        <w:noBreakHyphen/>
        <w:t>generation facilities that provide heat and electricity for the processing of sewage.</w:t>
      </w:r>
    </w:p>
    <w:p w14:paraId="57C53449" w14:textId="77777777" w:rsidR="00DE64BC" w:rsidRPr="00256982" w:rsidRDefault="00DE64BC" w:rsidP="00A808C7">
      <w:pPr>
        <w:pStyle w:val="Sub-bullet"/>
        <w:numPr>
          <w:ilvl w:val="0"/>
          <w:numId w:val="0"/>
        </w:numPr>
        <w:spacing w:after="100"/>
        <w:ind w:left="426"/>
      </w:pPr>
      <w:r w:rsidRPr="00256982">
        <w:t>Note: Accurate information is not available on the exact type of generation plant used at these individual facilities, although it is known to be a combination of gas turbines, internal combustion engines and some steam turbine facilities.</w:t>
      </w:r>
    </w:p>
    <w:p w14:paraId="4373B627" w14:textId="77777777" w:rsidR="00DE64BC" w:rsidRPr="00256982" w:rsidRDefault="00DE64BC" w:rsidP="0036046B">
      <w:pPr>
        <w:pStyle w:val="Bullet"/>
        <w:numPr>
          <w:ilvl w:val="0"/>
          <w:numId w:val="8"/>
        </w:numPr>
        <w:spacing w:after="100"/>
      </w:pPr>
      <w:r w:rsidRPr="00256982">
        <w:t>Generation data are collected for each year ending 31 March, with generation assumed to be distributed equally across quarters to estimate December year-end generation.</w:t>
      </w:r>
    </w:p>
    <w:p w14:paraId="491FC3A5" w14:textId="77777777" w:rsidR="00DE64BC" w:rsidRPr="00256982" w:rsidRDefault="00DE64BC" w:rsidP="00DE64BC">
      <w:pPr>
        <w:pStyle w:val="Sub-bullet"/>
        <w:spacing w:after="100"/>
      </w:pPr>
      <w:r w:rsidRPr="00256982">
        <w:t>Generation data are usually collected from all 15 plants. However, in some years, estimates are made based on the previous year’s generation.</w:t>
      </w:r>
    </w:p>
    <w:p w14:paraId="62A163BC" w14:textId="18390633" w:rsidR="00DE64BC" w:rsidRPr="00256982" w:rsidRDefault="00DE64BC" w:rsidP="0036046B">
      <w:pPr>
        <w:pStyle w:val="Bullet"/>
        <w:numPr>
          <w:ilvl w:val="0"/>
          <w:numId w:val="8"/>
        </w:numPr>
        <w:spacing w:after="100"/>
      </w:pPr>
      <w:r w:rsidRPr="00256982">
        <w:t>Fuel input information for generation is not collected for small generators (those less than 10 MW), to minimise the burden on respondents and ensure MBIE receives some information rather than nothing. Estimates of fuel input are made on the assumption of 30</w:t>
      </w:r>
      <w:r w:rsidR="00846B89" w:rsidRPr="00256982">
        <w:t> </w:t>
      </w:r>
      <w:r w:rsidRPr="00256982">
        <w:t xml:space="preserve">per cent efficiency based on gross generation. </w:t>
      </w:r>
    </w:p>
    <w:p w14:paraId="647C187C" w14:textId="77777777" w:rsidR="00DE64BC" w:rsidRPr="00256982" w:rsidRDefault="00DE64BC" w:rsidP="00DE64BC">
      <w:pPr>
        <w:pStyle w:val="Sub-bullet"/>
        <w:spacing w:after="100"/>
      </w:pPr>
      <w:r w:rsidRPr="00256982">
        <w:t xml:space="preserve">All generation data collected are assumed to be net generation – that is, parasitic load has already been excluded. They are then scaled up using default net to gross generation factors sourced from the International Energy Agency. For all thermal generation, the net to gross factor is assumed to be 1.07 (i.e., an additional 7 per cent of electricity is generated but used within the plant itself). Fuel input estimates are then </w:t>
      </w:r>
      <w:r w:rsidRPr="00256982">
        <w:lastRenderedPageBreak/>
        <w:t>calculated based on the gross generation using a default electrical efficiency factor of 30 per cent. This estimated quantity of biogas is used as total biogas for energy purposes. Biogas use estimates for landfill gas and sewage waste gas are calculated and reported in petajoules (PJ).</w:t>
      </w:r>
    </w:p>
    <w:p w14:paraId="07C42A30" w14:textId="77777777" w:rsidR="00DE64BC" w:rsidRPr="00256982" w:rsidRDefault="00DE64BC" w:rsidP="00DE64BC">
      <w:pPr>
        <w:pStyle w:val="Sub-bullet"/>
        <w:spacing w:after="100"/>
      </w:pPr>
      <w:r w:rsidRPr="00256982">
        <w:t>Energy quantities of gas biomass are then converted into greenhouse gas emissions using default IPCC emission factors. These factors are as follows:</w:t>
      </w:r>
    </w:p>
    <w:p w14:paraId="0B931E73" w14:textId="77777777" w:rsidR="00DE64BC" w:rsidRPr="00256982" w:rsidRDefault="00DE64BC" w:rsidP="0036046B">
      <w:pPr>
        <w:pStyle w:val="Bullet"/>
        <w:numPr>
          <w:ilvl w:val="0"/>
          <w:numId w:val="7"/>
        </w:numPr>
        <w:spacing w:after="100"/>
        <w:ind w:left="1191"/>
      </w:pPr>
      <w:r w:rsidRPr="00256982">
        <w:t>CO</w:t>
      </w:r>
      <w:r w:rsidRPr="00256982">
        <w:rPr>
          <w:vertAlign w:val="subscript"/>
        </w:rPr>
        <w:t>2</w:t>
      </w:r>
      <w:r w:rsidRPr="00256982">
        <w:t xml:space="preserve"> – 13.4</w:t>
      </w:r>
      <w:r w:rsidRPr="00256982">
        <w:rPr>
          <w:sz w:val="16"/>
        </w:rPr>
        <w:t xml:space="preserve"> </w:t>
      </w:r>
      <w:r w:rsidRPr="00256982">
        <w:t>kt carbon/PJ or 49.17</w:t>
      </w:r>
      <w:r w:rsidRPr="00256982">
        <w:rPr>
          <w:sz w:val="16"/>
        </w:rPr>
        <w:t xml:space="preserve"> </w:t>
      </w:r>
      <w:r w:rsidRPr="00256982">
        <w:t>kt CO</w:t>
      </w:r>
      <w:r w:rsidRPr="00256982">
        <w:rPr>
          <w:vertAlign w:val="subscript"/>
        </w:rPr>
        <w:t>2</w:t>
      </w:r>
      <w:r w:rsidRPr="00256982">
        <w:t>/PJ. This is derived from the IPCC default net emission factor (it is assumed that the net emission factor is 10 per cent less than the gross emission factor)</w:t>
      </w:r>
    </w:p>
    <w:p w14:paraId="2603DF4C" w14:textId="77777777" w:rsidR="00DE64BC" w:rsidRPr="00256982" w:rsidRDefault="00DE64BC" w:rsidP="0036046B">
      <w:pPr>
        <w:pStyle w:val="Bullet"/>
        <w:numPr>
          <w:ilvl w:val="0"/>
          <w:numId w:val="7"/>
        </w:numPr>
        <w:spacing w:after="100"/>
        <w:ind w:left="1191"/>
      </w:pPr>
      <w:r w:rsidRPr="00256982">
        <w:t>methane (CH</w:t>
      </w:r>
      <w:r w:rsidRPr="00256982">
        <w:rPr>
          <w:vertAlign w:val="subscript"/>
        </w:rPr>
        <w:t>4</w:t>
      </w:r>
      <w:r w:rsidRPr="00256982">
        <w:t>) – 0.9 t/PJ</w:t>
      </w:r>
    </w:p>
    <w:p w14:paraId="7D9A1EF4" w14:textId="77777777" w:rsidR="00DE64BC" w:rsidRPr="00256982" w:rsidRDefault="00DE64BC" w:rsidP="0036046B">
      <w:pPr>
        <w:pStyle w:val="Bullet"/>
        <w:numPr>
          <w:ilvl w:val="0"/>
          <w:numId w:val="7"/>
        </w:numPr>
        <w:ind w:left="1191"/>
      </w:pPr>
      <w:r w:rsidRPr="00256982">
        <w:rPr>
          <w:rFonts w:cs="Arial"/>
          <w:szCs w:val="22"/>
        </w:rPr>
        <w:t>nitrous oxide</w:t>
      </w:r>
      <w:r w:rsidRPr="00256982">
        <w:t xml:space="preserve"> (N</w:t>
      </w:r>
      <w:r w:rsidRPr="00256982">
        <w:rPr>
          <w:vertAlign w:val="subscript"/>
        </w:rPr>
        <w:t>2</w:t>
      </w:r>
      <w:r w:rsidRPr="00256982">
        <w:t>O) – 0.09 t/PJ.</w:t>
      </w:r>
    </w:p>
    <w:p w14:paraId="1CA26743" w14:textId="77777777" w:rsidR="00DE64BC" w:rsidRPr="00256982" w:rsidRDefault="00DE64BC" w:rsidP="0036046B">
      <w:pPr>
        <w:pStyle w:val="Bullet"/>
        <w:numPr>
          <w:ilvl w:val="0"/>
          <w:numId w:val="8"/>
        </w:numPr>
      </w:pPr>
      <w:r w:rsidRPr="00256982">
        <w:t>Emissions from gas biomass are a very small part of New Zealand’s emissions inventory. Given this situation, MBIE believes the current process is sufficient for estimating emissions from gas biomass. Efforts to improve emissions quality would be better focused on other areas.</w:t>
      </w:r>
    </w:p>
    <w:p w14:paraId="1D60291E" w14:textId="77777777" w:rsidR="00DE64BC" w:rsidRPr="00256982" w:rsidRDefault="00DE64BC" w:rsidP="00A808C7">
      <w:pPr>
        <w:pStyle w:val="BodyText"/>
        <w:spacing w:before="100" w:after="100"/>
        <w:rPr>
          <w:lang w:eastAsia="en-GB"/>
        </w:rPr>
      </w:pPr>
      <w:r w:rsidRPr="00256982">
        <w:rPr>
          <w:lang w:eastAsia="en-GB"/>
        </w:rPr>
        <w:t xml:space="preserve">Residential biomass data are estimated based on information on the proportion of households with wood burning heaters (Census of Population and Dwellings, see below) and data from the Building Research Association of New Zealand (BRANZ, 2002) on the average amount of energy used by households that use wood for heating. Finally, industrial biomass data are based on the report </w:t>
      </w:r>
      <w:r w:rsidRPr="00256982">
        <w:rPr>
          <w:i/>
          <w:lang w:eastAsia="en-GB"/>
        </w:rPr>
        <w:t xml:space="preserve">Heat Plant in New Zealand </w:t>
      </w:r>
      <w:r w:rsidRPr="00256982">
        <w:rPr>
          <w:lang w:eastAsia="en-GB"/>
        </w:rPr>
        <w:t>(Bioenergy Association of New Zealand, 2011).</w:t>
      </w:r>
    </w:p>
    <w:p w14:paraId="0D162B15" w14:textId="77777777" w:rsidR="00DE64BC" w:rsidRPr="00256982" w:rsidRDefault="00DE64BC" w:rsidP="00A808C7">
      <w:pPr>
        <w:pStyle w:val="BodyText"/>
        <w:spacing w:before="100" w:after="100"/>
      </w:pPr>
      <w:r w:rsidRPr="00256982">
        <w:t>The census is the official count of how many people and dwellings are in New Zealand. It takes a snapshot of the people in New Zealand and the places where people live. Up until 2006, the census was undertaken every five years from the end of World War Two. In 2011, the national census was cancelled due to the Christchurch earthquakes, which caused major disruption. In March 2013, a new census was held (after seven years). The next census was conducted in 2018, but these data are yet to be released by Stats NZ.</w:t>
      </w:r>
    </w:p>
    <w:p w14:paraId="267F8D89" w14:textId="77777777" w:rsidR="00DE64BC" w:rsidRPr="00256982" w:rsidRDefault="00DE64BC" w:rsidP="00A808C7">
      <w:pPr>
        <w:pStyle w:val="BodyText"/>
        <w:spacing w:before="100" w:after="100"/>
      </w:pPr>
      <w:r w:rsidRPr="00256982">
        <w:t>For this inventory, complete data from the 2006 census were used (see http://archive.stats.govt.nz/Census/2006-census.aspx). The census collects information on the heating fuels used for housing in New Zealand.</w:t>
      </w:r>
    </w:p>
    <w:p w14:paraId="0665907F" w14:textId="77777777" w:rsidR="00DE64BC" w:rsidRPr="00256982" w:rsidRDefault="00DE64BC" w:rsidP="00A808C7">
      <w:pPr>
        <w:pStyle w:val="BodyText"/>
        <w:spacing w:before="100" w:after="100"/>
      </w:pPr>
      <w:r w:rsidRPr="00256982">
        <w:t xml:space="preserve">In 2006, 40.9 per cent of households used wood at some stage as a heating fuel. Based on 2006 census population figures, this equates to 574,482 households in 2006. The 2002 </w:t>
      </w:r>
      <w:r w:rsidRPr="00256982">
        <w:rPr>
          <w:lang w:eastAsia="en-GB"/>
        </w:rPr>
        <w:t>BRANZ</w:t>
      </w:r>
      <w:r w:rsidRPr="00256982">
        <w:t xml:space="preserve"> Household Energy End-use Project (HEEP) found that, on average, households using wood used 13.7 gigajoules</w:t>
      </w:r>
      <w:r w:rsidRPr="00256982" w:rsidDel="007A4510">
        <w:t xml:space="preserve"> </w:t>
      </w:r>
      <w:r w:rsidRPr="00256982">
        <w:t>(GJ) per annum (BRANZ, 2002). For the wood-use numbers, the estimated number of households using wood has been multiplied by the estimated use of wood per household. So, in 2006: 574,482 households × 13.7 GJ/household = 7.8 PJ.</w:t>
      </w:r>
    </w:p>
    <w:p w14:paraId="016515CF" w14:textId="77777777" w:rsidR="00DE64BC" w:rsidRPr="00256982" w:rsidRDefault="00DE64BC" w:rsidP="00A808C7">
      <w:pPr>
        <w:pStyle w:val="BodyText"/>
        <w:spacing w:before="100" w:after="100"/>
      </w:pPr>
      <w:r w:rsidRPr="00256982">
        <w:t>Since 2006, the trends have been extrapolated (declining percentage of households using wood). When new census data is processed, the estimates from 2007 onwards will be revised. Calorific values used in the HEEP study are not available.</w:t>
      </w:r>
    </w:p>
    <w:p w14:paraId="1E02461F" w14:textId="77777777" w:rsidR="00DE64BC" w:rsidRPr="00256982" w:rsidRDefault="00DE64BC" w:rsidP="00A808C7">
      <w:pPr>
        <w:pStyle w:val="BodyText"/>
        <w:spacing w:before="100" w:after="100"/>
        <w:rPr>
          <w:rFonts w:cs="Arial"/>
          <w:lang w:eastAsia="en-GB"/>
        </w:rPr>
      </w:pPr>
      <w:r w:rsidRPr="00256982">
        <w:rPr>
          <w:rFonts w:cs="Arial"/>
          <w:lang w:eastAsia="en-GB"/>
        </w:rPr>
        <w:t xml:space="preserve">Liquid biofuel activity data are based on information collected under the </w:t>
      </w:r>
      <w:r w:rsidRPr="00256982">
        <w:rPr>
          <w:rFonts w:cs="Arial"/>
          <w:i/>
          <w:lang w:eastAsia="en-GB"/>
        </w:rPr>
        <w:t>Petroleum or Engine Fuel Monitoring Levy</w:t>
      </w:r>
      <w:r w:rsidRPr="00256982">
        <w:rPr>
          <w:rFonts w:cs="Arial"/>
          <w:lang w:eastAsia="en-GB"/>
        </w:rPr>
        <w:t xml:space="preserve"> as reported in MBIE quarterly online data releases. </w:t>
      </w:r>
    </w:p>
    <w:p w14:paraId="5848D546" w14:textId="77777777" w:rsidR="00DE64BC" w:rsidRPr="00256982" w:rsidRDefault="00DE64BC" w:rsidP="00A808C7">
      <w:pPr>
        <w:pStyle w:val="Heading5"/>
        <w:spacing w:before="200"/>
      </w:pPr>
      <w:r w:rsidRPr="00256982">
        <w:rPr>
          <w:lang w:eastAsia="en-GB"/>
        </w:rPr>
        <w:t>Electricity auto-production</w:t>
      </w:r>
    </w:p>
    <w:p w14:paraId="7D2AC4BE" w14:textId="77777777" w:rsidR="00DE64BC" w:rsidRPr="00256982" w:rsidRDefault="00DE64BC" w:rsidP="00A808C7">
      <w:pPr>
        <w:pStyle w:val="BodyText"/>
        <w:spacing w:before="100" w:after="100"/>
        <w:rPr>
          <w:lang w:eastAsia="en-GB"/>
        </w:rPr>
      </w:pPr>
      <w:r w:rsidRPr="00256982">
        <w:rPr>
          <w:lang w:eastAsia="en-GB"/>
        </w:rPr>
        <w:t xml:space="preserve">In response to ERT recommendations, this submission disaggregates all combustion for electricity auto-production into the appropriate sector, rather than in 1.A.2.g </w:t>
      </w:r>
      <w:r w:rsidRPr="00256982">
        <w:rPr>
          <w:i/>
          <w:lang w:eastAsia="en-GB"/>
        </w:rPr>
        <w:t>Manufacturing industries and construction –</w:t>
      </w:r>
      <w:r w:rsidRPr="00256982">
        <w:rPr>
          <w:lang w:eastAsia="en-GB"/>
        </w:rPr>
        <w:t xml:space="preserve"> </w:t>
      </w:r>
      <w:r w:rsidRPr="00256982">
        <w:rPr>
          <w:i/>
          <w:lang w:eastAsia="en-GB"/>
        </w:rPr>
        <w:t>other</w:t>
      </w:r>
      <w:r w:rsidRPr="00256982">
        <w:rPr>
          <w:lang w:eastAsia="en-GB"/>
        </w:rPr>
        <w:t xml:space="preserve"> as in previous submissions. This improvement has resulted in a reduction in unallocated industrial emissions and increases in various manufacturing and construction categories. </w:t>
      </w:r>
    </w:p>
    <w:p w14:paraId="6CCA9B2A" w14:textId="77777777" w:rsidR="00DE64BC" w:rsidRPr="00256982" w:rsidRDefault="00DE64BC" w:rsidP="00A72006">
      <w:pPr>
        <w:pStyle w:val="Heading4"/>
      </w:pPr>
      <w:r w:rsidRPr="00256982">
        <w:rPr>
          <w:lang w:eastAsia="en-GB"/>
        </w:rPr>
        <w:lastRenderedPageBreak/>
        <w:t>Emission factors</w:t>
      </w:r>
    </w:p>
    <w:p w14:paraId="33AF9B10" w14:textId="77777777" w:rsidR="00DE64BC" w:rsidRPr="00256982" w:rsidRDefault="00DE64BC" w:rsidP="00A808C7">
      <w:pPr>
        <w:pStyle w:val="BodyText"/>
        <w:spacing w:after="100"/>
        <w:rPr>
          <w:lang w:eastAsia="en-GB"/>
        </w:rPr>
      </w:pPr>
      <w:r w:rsidRPr="00256982">
        <w:rPr>
          <w:lang w:eastAsia="en-GB"/>
        </w:rPr>
        <w:t>New Zealand emission factors are based on gross calorific values. A list of emission factors for CO</w:t>
      </w:r>
      <w:r w:rsidRPr="00256982">
        <w:rPr>
          <w:vertAlign w:val="subscript"/>
          <w:lang w:eastAsia="en-GB"/>
        </w:rPr>
        <w:t>2</w:t>
      </w:r>
      <w:r w:rsidRPr="00256982">
        <w:rPr>
          <w:lang w:eastAsia="en-GB"/>
        </w:rPr>
        <w:t xml:space="preserve">, </w:t>
      </w:r>
      <w:r w:rsidRPr="00256982">
        <w:t>CH</w:t>
      </w:r>
      <w:r w:rsidRPr="00256982">
        <w:rPr>
          <w:vertAlign w:val="subscript"/>
        </w:rPr>
        <w:t>4</w:t>
      </w:r>
      <w:r w:rsidRPr="00256982">
        <w:rPr>
          <w:lang w:eastAsia="en-GB"/>
        </w:rPr>
        <w:t xml:space="preserve"> and </w:t>
      </w:r>
      <w:r w:rsidRPr="00256982">
        <w:t>N</w:t>
      </w:r>
      <w:r w:rsidRPr="00256982">
        <w:rPr>
          <w:vertAlign w:val="subscript"/>
        </w:rPr>
        <w:t>2</w:t>
      </w:r>
      <w:r w:rsidRPr="00256982">
        <w:t>O</w:t>
      </w:r>
      <w:r w:rsidRPr="00256982">
        <w:rPr>
          <w:lang w:eastAsia="en-GB"/>
        </w:rPr>
        <w:t xml:space="preserve"> for all fuel types is provided in annex 4, tables A4.1 to A4.4. The characteristics of liquid, solid and gaseous fuels and biomass used in New Zealand are described under each of the fuel sections below. Where a New Zealand-specific value is not available, New Zealand uses either the IPCC value that best reflects New Zealand conditions or the mid-point value from the IPCC range. All emission factors from the IPCC are converted from net calorific value to gross calorific value. New Zealand adopts the OECD and International Energy Agency assumptions to make these conversions.</w:t>
      </w:r>
    </w:p>
    <w:p w14:paraId="72DC7194" w14:textId="77777777" w:rsidR="00DE64BC" w:rsidRPr="00256982" w:rsidRDefault="00DE64BC" w:rsidP="0036046B">
      <w:pPr>
        <w:pStyle w:val="Bullet"/>
        <w:numPr>
          <w:ilvl w:val="0"/>
          <w:numId w:val="8"/>
        </w:numPr>
        <w:tabs>
          <w:tab w:val="left" w:pos="2835"/>
        </w:tabs>
      </w:pPr>
      <w:r w:rsidRPr="00256982">
        <w:t xml:space="preserve">Gaseous fuels: </w:t>
      </w:r>
      <w:r w:rsidRPr="00256982">
        <w:tab/>
        <w:t>Gross Emission Factor = 0.90 x Net Emission Factor</w:t>
      </w:r>
    </w:p>
    <w:p w14:paraId="0DFE2086" w14:textId="77777777" w:rsidR="00DE64BC" w:rsidRPr="00256982" w:rsidRDefault="00DE64BC" w:rsidP="0036046B">
      <w:pPr>
        <w:pStyle w:val="Bullet"/>
        <w:numPr>
          <w:ilvl w:val="0"/>
          <w:numId w:val="8"/>
        </w:numPr>
        <w:tabs>
          <w:tab w:val="left" w:pos="2835"/>
        </w:tabs>
      </w:pPr>
      <w:r w:rsidRPr="00256982">
        <w:t>Liquid and solid fuels:</w:t>
      </w:r>
      <w:r w:rsidRPr="00256982">
        <w:tab/>
        <w:t>Gross Emission Factor = 0.95 x Net Emission Factor</w:t>
      </w:r>
    </w:p>
    <w:p w14:paraId="69325B91" w14:textId="77777777" w:rsidR="00DE64BC" w:rsidRPr="00256982" w:rsidRDefault="00DE64BC" w:rsidP="0036046B">
      <w:pPr>
        <w:pStyle w:val="Bullet"/>
        <w:numPr>
          <w:ilvl w:val="0"/>
          <w:numId w:val="8"/>
        </w:numPr>
        <w:tabs>
          <w:tab w:val="left" w:pos="2835"/>
        </w:tabs>
      </w:pPr>
      <w:r w:rsidRPr="00256982">
        <w:t>Wood:</w:t>
      </w:r>
      <w:r w:rsidRPr="00256982">
        <w:tab/>
        <w:t>Gross Emission Factor = 0.80 x Net Emission Factor</w:t>
      </w:r>
    </w:p>
    <w:p w14:paraId="4BEFADEE" w14:textId="77777777" w:rsidR="00DE64BC" w:rsidRPr="00256982" w:rsidRDefault="00DE64BC" w:rsidP="00A808C7">
      <w:pPr>
        <w:pStyle w:val="Heading5"/>
      </w:pPr>
      <w:r w:rsidRPr="00256982">
        <w:rPr>
          <w:lang w:eastAsia="en-GB"/>
        </w:rPr>
        <w:t>Liquid fuels</w:t>
      </w:r>
    </w:p>
    <w:p w14:paraId="44F05EA6" w14:textId="77777777" w:rsidR="00DE64BC" w:rsidRPr="00256982" w:rsidRDefault="00DE64BC" w:rsidP="00A808C7">
      <w:pPr>
        <w:pStyle w:val="BodyText"/>
        <w:rPr>
          <w:lang w:eastAsia="en-GB"/>
        </w:rPr>
      </w:pPr>
      <w:r w:rsidRPr="00256982">
        <w:rPr>
          <w:lang w:eastAsia="en-GB"/>
        </w:rPr>
        <w:t xml:space="preserve">Where possible, </w:t>
      </w:r>
      <w:r w:rsidRPr="00256982">
        <w:rPr>
          <w:rFonts w:cs="Arial"/>
          <w:lang w:eastAsia="en-GB"/>
        </w:rPr>
        <w:t>CO</w:t>
      </w:r>
      <w:r w:rsidRPr="00256982">
        <w:rPr>
          <w:rFonts w:cs="Arial"/>
          <w:vertAlign w:val="subscript"/>
          <w:lang w:eastAsia="en-GB"/>
        </w:rPr>
        <w:t>2</w:t>
      </w:r>
      <w:r w:rsidRPr="00256982">
        <w:rPr>
          <w:lang w:eastAsia="en-GB"/>
        </w:rPr>
        <w:t xml:space="preserve"> emission factors for liquid fuels are calculated on an annual basis. Carbon dioxide emission factors are calculated from Refining New Zealand data on the carbon content and calorific values of the fuels that they produce. For non-CO</w:t>
      </w:r>
      <w:r w:rsidRPr="00256982">
        <w:rPr>
          <w:vertAlign w:val="subscript"/>
          <w:lang w:eastAsia="en-GB"/>
        </w:rPr>
        <w:t>2</w:t>
      </w:r>
      <w:r w:rsidRPr="00256982">
        <w:rPr>
          <w:lang w:eastAsia="en-GB"/>
        </w:rPr>
        <w:t xml:space="preserve"> emissions, IPCC default values are used unless otherwise specified in the relevant section. Annex 4, section A4.1, includes further information on liquid fuel emission factors, including a time series of gross calorific values.</w:t>
      </w:r>
    </w:p>
    <w:p w14:paraId="546BE251" w14:textId="77777777" w:rsidR="00DE64BC" w:rsidRPr="00256982" w:rsidRDefault="00DE64BC" w:rsidP="00A808C7">
      <w:pPr>
        <w:pStyle w:val="Heading5"/>
        <w:rPr>
          <w:lang w:eastAsia="en-GB"/>
        </w:rPr>
      </w:pPr>
      <w:r w:rsidRPr="00256982">
        <w:rPr>
          <w:lang w:eastAsia="en-GB"/>
        </w:rPr>
        <w:t>Solid fuels</w:t>
      </w:r>
    </w:p>
    <w:p w14:paraId="49D6195D" w14:textId="77777777" w:rsidR="00DE64BC" w:rsidRPr="00256982" w:rsidRDefault="00DE64BC" w:rsidP="00A808C7">
      <w:pPr>
        <w:pStyle w:val="BodyText"/>
        <w:rPr>
          <w:lang w:eastAsia="en-GB"/>
        </w:rPr>
      </w:pPr>
      <w:r w:rsidRPr="00256982">
        <w:rPr>
          <w:lang w:eastAsia="en-GB"/>
        </w:rPr>
        <w:t xml:space="preserve">Emission factors for solid fuels were updated for the 2016 submission across the time series from 1990 to 2008, in response to a 2013 ERT recommendation (FCCC/ARR/2013/NZL, paragraph 32) (UNFCCC, 2014). A comprehensive list of carbon content by coal mine is not currently available. A review of New Zealand’s coal emission factors in preparation for the </w:t>
      </w:r>
      <w:r w:rsidRPr="00256982">
        <w:t>New Zealand Emissions Trading Scheme</w:t>
      </w:r>
      <w:r w:rsidRPr="00256982">
        <w:rPr>
          <w:lang w:eastAsia="en-GB"/>
        </w:rPr>
        <w:t xml:space="preserve"> (NZ ETS) (CRL Energy Ltd, 2009) recommended re</w:t>
      </w:r>
      <w:r w:rsidRPr="00256982">
        <w:rPr>
          <w:lang w:eastAsia="en-GB"/>
        </w:rPr>
        <w:noBreakHyphen/>
        <w:t xml:space="preserve">weighting the current default emission factors to 2007 production rather than continuing with those in the </w:t>
      </w:r>
      <w:r w:rsidRPr="00256982">
        <w:rPr>
          <w:i/>
          <w:lang w:eastAsia="en-GB"/>
        </w:rPr>
        <w:t xml:space="preserve">New Zealand Energy Information Handbook </w:t>
      </w:r>
      <w:r w:rsidRPr="00256982">
        <w:rPr>
          <w:lang w:eastAsia="en-GB"/>
        </w:rPr>
        <w:t xml:space="preserve">(Baines, 1993). However, following the recommendation of the ERT review (FCCC/ARR/2013/NZL, paragraph 32) (UNFCCC, 2014) of New Zealand’s 2013 submission, the emission factors between 1990 and 2008 have been interpolated. </w:t>
      </w:r>
    </w:p>
    <w:p w14:paraId="3597D9C1" w14:textId="77777777" w:rsidR="00DE64BC" w:rsidRPr="00256982" w:rsidRDefault="00DE64BC" w:rsidP="00A808C7">
      <w:pPr>
        <w:pStyle w:val="BodyText"/>
        <w:keepLines/>
        <w:rPr>
          <w:lang w:eastAsia="en-GB"/>
        </w:rPr>
      </w:pPr>
      <w:r w:rsidRPr="00256982">
        <w:rPr>
          <w:lang w:eastAsia="en-GB"/>
        </w:rPr>
        <w:t>Also, the emission factor used to calculate emissions from coal use in the public electricity and heat production sector has been weighted to reflect the combustion of imported coal. A time series of the effect of this weighting is included in annex 4 (table A4.2).</w:t>
      </w:r>
    </w:p>
    <w:p w14:paraId="1D899A35" w14:textId="77777777" w:rsidR="00DE64BC" w:rsidRPr="00256982" w:rsidRDefault="00DE64BC" w:rsidP="00A808C7">
      <w:pPr>
        <w:pStyle w:val="Heading5"/>
        <w:rPr>
          <w:lang w:eastAsia="en-GB"/>
        </w:rPr>
      </w:pPr>
      <w:r w:rsidRPr="00256982">
        <w:rPr>
          <w:lang w:eastAsia="en-GB"/>
        </w:rPr>
        <w:t>Gaseous fuels</w:t>
      </w:r>
    </w:p>
    <w:p w14:paraId="42ED959B" w14:textId="77777777" w:rsidR="00DE64BC" w:rsidRPr="00256982" w:rsidRDefault="00DE64BC" w:rsidP="00A808C7">
      <w:pPr>
        <w:pStyle w:val="BodyText"/>
        <w:rPr>
          <w:lang w:eastAsia="en-GB"/>
        </w:rPr>
      </w:pPr>
      <w:r w:rsidRPr="00256982">
        <w:rPr>
          <w:lang w:eastAsia="en-GB"/>
        </w:rPr>
        <w:t xml:space="preserve">New Zealand’s gaseous fuel emission factors are above the IPCC 2006 default range, because New Zealand natural gas fields tend to have higher </w:t>
      </w:r>
      <w:r w:rsidRPr="00256982">
        <w:rPr>
          <w:rFonts w:cs="Arial"/>
          <w:lang w:eastAsia="en-GB"/>
        </w:rPr>
        <w:t>CO</w:t>
      </w:r>
      <w:r w:rsidRPr="00256982">
        <w:rPr>
          <w:rFonts w:cs="Arial"/>
          <w:vertAlign w:val="subscript"/>
          <w:lang w:eastAsia="en-GB"/>
        </w:rPr>
        <w:t>2</w:t>
      </w:r>
      <w:r w:rsidRPr="00256982">
        <w:rPr>
          <w:lang w:eastAsia="en-GB"/>
        </w:rPr>
        <w:t xml:space="preserve"> content than most international gas fields. This is verified by regular gas composition analysis. Emission factors for 2017 from all fields, along with the production weighted average, are included in annex 4.</w:t>
      </w:r>
    </w:p>
    <w:p w14:paraId="2F91378C" w14:textId="77777777" w:rsidR="00DE64BC" w:rsidRPr="00256982" w:rsidRDefault="00DE64BC" w:rsidP="00A808C7">
      <w:pPr>
        <w:pStyle w:val="BodyText"/>
        <w:rPr>
          <w:lang w:eastAsia="en-GB"/>
        </w:rPr>
      </w:pPr>
      <w:r w:rsidRPr="00256982">
        <w:rPr>
          <w:lang w:eastAsia="en-GB"/>
        </w:rPr>
        <w:t>The annual gaseous fuel emission factor is the calculated weighted average for all of the natural gas production fields. The emission factor takes into account gas compositional data from all gas fields. This method provides increased accuracy because the decline in production from both the Maui and Kapuni gas fields has been replaced by other new gas fields (for example, Pohokura) coming on stream. This emission factor fluctuates slightly from year to year, mainly due to the relative production volume at different gas fields in a given year.</w:t>
      </w:r>
    </w:p>
    <w:p w14:paraId="710CC056" w14:textId="77777777" w:rsidR="00DE64BC" w:rsidRPr="00256982" w:rsidRDefault="00DE64BC" w:rsidP="00A808C7">
      <w:pPr>
        <w:pStyle w:val="BodyText"/>
        <w:rPr>
          <w:lang w:eastAsia="en-GB"/>
        </w:rPr>
      </w:pPr>
      <w:r w:rsidRPr="00256982">
        <w:rPr>
          <w:lang w:eastAsia="en-GB"/>
        </w:rPr>
        <w:lastRenderedPageBreak/>
        <w:t xml:space="preserve">The Kapuni gas field has particularly high </w:t>
      </w:r>
      <w:r w:rsidRPr="00256982">
        <w:rPr>
          <w:rFonts w:cs="Arial"/>
          <w:lang w:eastAsia="en-GB"/>
        </w:rPr>
        <w:t>CO</w:t>
      </w:r>
      <w:r w:rsidRPr="00256982">
        <w:rPr>
          <w:rFonts w:cs="Arial"/>
          <w:vertAlign w:val="subscript"/>
          <w:lang w:eastAsia="en-GB"/>
        </w:rPr>
        <w:t xml:space="preserve">2 </w:t>
      </w:r>
      <w:r w:rsidRPr="00256982">
        <w:rPr>
          <w:lang w:eastAsia="en-GB"/>
        </w:rPr>
        <w:t xml:space="preserve">content. Historically, this field has been valued by the petrochemicals industry as a feedstock. However, most of the gas from this field is now treated, and the excess </w:t>
      </w:r>
      <w:r w:rsidRPr="00256982">
        <w:rPr>
          <w:rFonts w:cs="Arial"/>
          <w:lang w:eastAsia="en-GB"/>
        </w:rPr>
        <w:t>CO</w:t>
      </w:r>
      <w:r w:rsidRPr="00256982">
        <w:rPr>
          <w:rFonts w:cs="Arial"/>
          <w:vertAlign w:val="subscript"/>
          <w:lang w:eastAsia="en-GB"/>
        </w:rPr>
        <w:t>2</w:t>
      </w:r>
      <w:r w:rsidRPr="00256982">
        <w:rPr>
          <w:lang w:eastAsia="en-GB"/>
        </w:rPr>
        <w:t xml:space="preserve"> is removed at the Kapuni Gas Treatment Plant. Consequently, separate emission factors were used to calculate emissions from Kapuni treated and untreated gas, due to the difference in carbon content (see annex 4, table A4.1). Carbon dioxide removed from raw Kapuni gas then vented is reported under 1.B.2.c.</w:t>
      </w:r>
    </w:p>
    <w:p w14:paraId="113B9237" w14:textId="77777777" w:rsidR="00DE64BC" w:rsidRPr="00256982" w:rsidRDefault="00DE64BC" w:rsidP="00A808C7">
      <w:pPr>
        <w:pStyle w:val="Heading5"/>
        <w:rPr>
          <w:lang w:eastAsia="en-GB"/>
        </w:rPr>
      </w:pPr>
      <w:r w:rsidRPr="00256982">
        <w:rPr>
          <w:lang w:eastAsia="en-GB"/>
        </w:rPr>
        <w:t>Biomass</w:t>
      </w:r>
    </w:p>
    <w:p w14:paraId="3564FBE8" w14:textId="77777777" w:rsidR="00DE64BC" w:rsidRPr="00256982" w:rsidRDefault="00DE64BC" w:rsidP="00A808C7">
      <w:pPr>
        <w:pStyle w:val="BodyText"/>
        <w:rPr>
          <w:lang w:eastAsia="en-GB"/>
        </w:rPr>
      </w:pPr>
      <w:r w:rsidRPr="00256982">
        <w:rPr>
          <w:lang w:eastAsia="en-GB"/>
        </w:rPr>
        <w:t xml:space="preserve">The emission factors for wood combustion are calculated from the IPCC 2006 default emission factors. This assumes that the net calorific value is 20 per cent lower than the gross calorific value (IPCC, 2006). Carbon dioxide emissions from wood used for energy production are reported as a memo item and are not included in the estimate of New Zealand’s total greenhouse gas emissions (IPCC, 2006). Carbon dioxide emission factors for liquid biofuels are sourced from the </w:t>
      </w:r>
      <w:r w:rsidRPr="00256982">
        <w:rPr>
          <w:i/>
          <w:iCs/>
          <w:lang w:eastAsia="en-GB"/>
        </w:rPr>
        <w:t xml:space="preserve">New Zealand Energy Information Handbook </w:t>
      </w:r>
      <w:r w:rsidRPr="00256982">
        <w:rPr>
          <w:lang w:eastAsia="en-GB"/>
        </w:rPr>
        <w:t xml:space="preserve">(Baines, 1993), while </w:t>
      </w:r>
      <w:r w:rsidRPr="00256982">
        <w:t>CH</w:t>
      </w:r>
      <w:r w:rsidRPr="00256982">
        <w:rPr>
          <w:vertAlign w:val="subscript"/>
        </w:rPr>
        <w:t>4</w:t>
      </w:r>
      <w:r w:rsidRPr="00256982">
        <w:rPr>
          <w:lang w:eastAsia="en-GB"/>
        </w:rPr>
        <w:t xml:space="preserve"> and </w:t>
      </w:r>
      <w:r w:rsidRPr="00256982">
        <w:t>N</w:t>
      </w:r>
      <w:r w:rsidRPr="00256982">
        <w:rPr>
          <w:vertAlign w:val="subscript"/>
        </w:rPr>
        <w:t>2</w:t>
      </w:r>
      <w:r w:rsidRPr="00256982">
        <w:t>O</w:t>
      </w:r>
      <w:r w:rsidRPr="00256982">
        <w:rPr>
          <w:lang w:eastAsia="en-GB"/>
        </w:rPr>
        <w:t xml:space="preserve"> emission factors are IPCC 2006 default emission factors.</w:t>
      </w:r>
    </w:p>
    <w:p w14:paraId="7E20C865" w14:textId="77777777" w:rsidR="00DE64BC" w:rsidRPr="00256982" w:rsidRDefault="00DE64BC" w:rsidP="001D3490">
      <w:pPr>
        <w:pStyle w:val="Heading3"/>
        <w:rPr>
          <w:lang w:eastAsia="en-GB"/>
        </w:rPr>
      </w:pPr>
      <w:r w:rsidRPr="00256982">
        <w:rPr>
          <w:lang w:eastAsia="en-GB"/>
        </w:rPr>
        <w:t xml:space="preserve">3.3.2 </w:t>
      </w:r>
      <w:r w:rsidRPr="00256982">
        <w:rPr>
          <w:lang w:eastAsia="en-GB"/>
        </w:rPr>
        <w:tab/>
        <w:t>Sector-wide improvements</w:t>
      </w:r>
    </w:p>
    <w:p w14:paraId="4AB4D815" w14:textId="77777777" w:rsidR="00DE64BC" w:rsidRPr="00256982" w:rsidRDefault="00DE64BC" w:rsidP="00A808C7">
      <w:pPr>
        <w:pStyle w:val="BodyText"/>
        <w:rPr>
          <w:lang w:eastAsia="en-GB"/>
        </w:rPr>
      </w:pPr>
      <w:r w:rsidRPr="00256982">
        <w:rPr>
          <w:lang w:eastAsia="en-GB"/>
        </w:rPr>
        <w:t>The system for tracking and calculating emissions within the Energy sector was migrated to the R programming language. This migration allowed for improved checking and correction of existing calculations and records, especially for historical data.</w:t>
      </w:r>
    </w:p>
    <w:p w14:paraId="16D26E2E" w14:textId="77777777" w:rsidR="00DE64BC" w:rsidRPr="00256982" w:rsidRDefault="00DE64BC" w:rsidP="00A808C7">
      <w:pPr>
        <w:pStyle w:val="BodyText"/>
        <w:rPr>
          <w:lang w:eastAsia="en-GB"/>
        </w:rPr>
      </w:pPr>
      <w:r w:rsidRPr="00256982">
        <w:t>All source-specific improvements are discussed in their corresponding sections.</w:t>
      </w:r>
    </w:p>
    <w:p w14:paraId="21D9984E" w14:textId="77777777" w:rsidR="00DE64BC" w:rsidRPr="00256982" w:rsidRDefault="00DE64BC" w:rsidP="001D3490">
      <w:pPr>
        <w:pStyle w:val="Heading3"/>
      </w:pPr>
      <w:r w:rsidRPr="00256982">
        <w:t>3.3.3</w:t>
      </w:r>
      <w:r w:rsidRPr="00256982">
        <w:tab/>
        <w:t>Sector-wide planned improvements</w:t>
      </w:r>
    </w:p>
    <w:p w14:paraId="33B4A7A7" w14:textId="77777777" w:rsidR="00DE64BC" w:rsidRPr="00256982" w:rsidRDefault="00DE64BC" w:rsidP="00A808C7">
      <w:pPr>
        <w:pStyle w:val="BodyText"/>
      </w:pPr>
      <w:r w:rsidRPr="00256982">
        <w:t xml:space="preserve">All source-specific planned improvements are discussed in their corresponding sections. </w:t>
      </w:r>
    </w:p>
    <w:p w14:paraId="349077CD" w14:textId="77777777" w:rsidR="00DE64BC" w:rsidRPr="00256982" w:rsidRDefault="00DE64BC" w:rsidP="00A808C7">
      <w:pPr>
        <w:pStyle w:val="BodyText"/>
        <w:rPr>
          <w:lang w:eastAsia="en-GB"/>
        </w:rPr>
      </w:pPr>
      <w:r w:rsidRPr="00256982">
        <w:t>MBIE will continue to examine the use</w:t>
      </w:r>
      <w:r w:rsidRPr="00256982">
        <w:rPr>
          <w:lang w:eastAsia="en-GB"/>
        </w:rPr>
        <w:t xml:space="preserve"> of more specific solid fuel CO</w:t>
      </w:r>
      <w:r w:rsidRPr="00256982">
        <w:rPr>
          <w:vertAlign w:val="subscript"/>
          <w:lang w:eastAsia="en-GB"/>
        </w:rPr>
        <w:t>2</w:t>
      </w:r>
      <w:r w:rsidRPr="00256982">
        <w:rPr>
          <w:lang w:eastAsia="en-GB"/>
        </w:rPr>
        <w:t xml:space="preserve"> emission factors. </w:t>
      </w:r>
    </w:p>
    <w:p w14:paraId="2550CDEA" w14:textId="77777777" w:rsidR="00DE64BC" w:rsidRPr="00256982" w:rsidRDefault="00DE64BC" w:rsidP="001D3490">
      <w:pPr>
        <w:pStyle w:val="Heading3"/>
      </w:pPr>
      <w:r w:rsidRPr="00256982">
        <w:t>3.3.4</w:t>
      </w:r>
      <w:r w:rsidRPr="00256982">
        <w:tab/>
        <w:t>Sector-wide quality assurance/quality control (QA/QC)</w:t>
      </w:r>
    </w:p>
    <w:p w14:paraId="27F846B4" w14:textId="77777777" w:rsidR="00DE64BC" w:rsidRPr="00256982" w:rsidRDefault="00DE64BC" w:rsidP="00A808C7">
      <w:pPr>
        <w:pStyle w:val="BodyText"/>
      </w:pPr>
      <w:r w:rsidRPr="00256982">
        <w:rPr>
          <w:lang w:eastAsia="en-GB"/>
        </w:rPr>
        <w:t xml:space="preserve">In the preparation of this inventory, the </w:t>
      </w:r>
      <w:r w:rsidRPr="00256982">
        <w:rPr>
          <w:i/>
          <w:lang w:eastAsia="en-GB"/>
        </w:rPr>
        <w:t>Fugitive</w:t>
      </w:r>
      <w:r w:rsidRPr="00256982">
        <w:rPr>
          <w:lang w:eastAsia="en-GB"/>
        </w:rPr>
        <w:t xml:space="preserve"> category underwent Tier 1 quality-assurance and quality-control checks as recommended in the 2006 IPCC Guidelines. These include regular control sums throughout systems to verify system integrity, time-series consistency checks on activity data and consistency checks on implied emission factors at the industry–plant level, where possible. </w:t>
      </w:r>
      <w:r w:rsidRPr="00256982">
        <w:t>Figure 3.3.2</w:t>
      </w:r>
      <w:r w:rsidRPr="00256982">
        <w:rPr>
          <w:lang w:eastAsia="en-GB"/>
        </w:rPr>
        <w:t xml:space="preserve"> describes the quality control process map for the Energy sector.</w:t>
      </w:r>
    </w:p>
    <w:p w14:paraId="7ABD1FCF" w14:textId="77777777" w:rsidR="00DE64BC" w:rsidRPr="00256982" w:rsidRDefault="00DE64BC" w:rsidP="00A808C7">
      <w:pPr>
        <w:pStyle w:val="Figure"/>
      </w:pPr>
      <w:bookmarkStart w:id="278" w:name="_Ref442370883"/>
      <w:bookmarkStart w:id="279" w:name="_Toc384582852"/>
      <w:bookmarkStart w:id="280" w:name="_Ref442370874"/>
      <w:bookmarkStart w:id="281" w:name="_Toc443060812"/>
      <w:bookmarkStart w:id="282" w:name="_Toc447275669"/>
      <w:bookmarkStart w:id="283" w:name="_Toc481751987"/>
      <w:bookmarkStart w:id="284" w:name="_Toc5269668"/>
      <w:r w:rsidRPr="00256982">
        <w:lastRenderedPageBreak/>
        <w:t>Figure 3.3.</w:t>
      </w:r>
      <w:r w:rsidR="00304077">
        <w:rPr>
          <w:noProof/>
        </w:rPr>
        <w:fldChar w:fldCharType="begin"/>
      </w:r>
      <w:r w:rsidR="00304077">
        <w:rPr>
          <w:noProof/>
        </w:rPr>
        <w:instrText xml:space="preserve"> SEQ Figure \* ARABIC \s 2 </w:instrText>
      </w:r>
      <w:r w:rsidR="00304077">
        <w:rPr>
          <w:noProof/>
        </w:rPr>
        <w:fldChar w:fldCharType="separate"/>
      </w:r>
      <w:r w:rsidR="00D0418C">
        <w:rPr>
          <w:noProof/>
        </w:rPr>
        <w:t>2</w:t>
      </w:r>
      <w:r w:rsidR="00304077">
        <w:rPr>
          <w:noProof/>
        </w:rPr>
        <w:fldChar w:fldCharType="end"/>
      </w:r>
      <w:bookmarkEnd w:id="278"/>
      <w:r w:rsidRPr="00256982">
        <w:t xml:space="preserve"> </w:t>
      </w:r>
      <w:r w:rsidRPr="00256982">
        <w:tab/>
        <w:t>Energy sector quality control process map</w:t>
      </w:r>
      <w:bookmarkEnd w:id="279"/>
      <w:bookmarkEnd w:id="280"/>
      <w:bookmarkEnd w:id="281"/>
      <w:bookmarkEnd w:id="282"/>
      <w:bookmarkEnd w:id="283"/>
      <w:bookmarkEnd w:id="284"/>
    </w:p>
    <w:p w14:paraId="447A3FC9" w14:textId="77777777" w:rsidR="00DE64BC" w:rsidRPr="00256982" w:rsidRDefault="00DE64BC" w:rsidP="00A808C7">
      <w:pPr>
        <w:spacing w:after="120"/>
        <w:jc w:val="center"/>
      </w:pPr>
      <w:r w:rsidRPr="00256982">
        <w:object w:dxaOrig="11534" w:dyaOrig="14474" w14:anchorId="6C80C556">
          <v:shape id="_x0000_i1051" type="#_x0000_t75" style="width:402.75pt;height:518.25pt" o:ole="">
            <v:imagedata r:id="rId53" o:title="" croptop="854f" cropbottom="509f"/>
          </v:shape>
          <o:OLEObject Type="Embed" ProgID="Visio.Drawing.11" ShapeID="_x0000_i1051" DrawAspect="Content" ObjectID="_1616241186" r:id="rId54"/>
        </w:object>
      </w:r>
    </w:p>
    <w:p w14:paraId="20EDD7F7" w14:textId="77777777" w:rsidR="00DE64BC" w:rsidRPr="00256982" w:rsidRDefault="00DE64BC" w:rsidP="00A808C7">
      <w:pPr>
        <w:pStyle w:val="BodyText"/>
      </w:pPr>
      <w:r w:rsidRPr="00256982">
        <w:rPr>
          <w:lang w:eastAsia="en-GB"/>
        </w:rPr>
        <w:t xml:space="preserve">As discussed in section 3.1, the reference approach provides a good, high-level quality check for activity data. A significant deviation (greater than 5 per cent) indicates a likely issue. </w:t>
      </w:r>
    </w:p>
    <w:p w14:paraId="5F82DF51" w14:textId="77777777" w:rsidR="00DE64BC" w:rsidRPr="00256982" w:rsidRDefault="00DE64BC" w:rsidP="00A808C7">
      <w:pPr>
        <w:pStyle w:val="BodyText"/>
        <w:rPr>
          <w:lang w:eastAsia="en-GB"/>
        </w:rPr>
      </w:pPr>
      <w:r w:rsidRPr="00256982">
        <w:rPr>
          <w:lang w:eastAsia="en-GB"/>
        </w:rPr>
        <w:t>Implied CO</w:t>
      </w:r>
      <w:r w:rsidRPr="00256982">
        <w:rPr>
          <w:vertAlign w:val="subscript"/>
          <w:lang w:eastAsia="en-GB"/>
        </w:rPr>
        <w:t>2</w:t>
      </w:r>
      <w:r w:rsidRPr="00256982">
        <w:rPr>
          <w:lang w:eastAsia="en-GB"/>
        </w:rPr>
        <w:t xml:space="preserve"> emission factors for combustion of liquid, solid and gaseous fuels from this inventory were compared with those in the IPCC Emission Factor Database, 2012, and converted to gross values for comparability with the New Zealand energy system. </w:t>
      </w:r>
    </w:p>
    <w:p w14:paraId="3ABE164B" w14:textId="77777777" w:rsidR="00DE64BC" w:rsidRPr="00256982" w:rsidRDefault="00DE64BC" w:rsidP="00A808C7">
      <w:pPr>
        <w:pStyle w:val="BodyText"/>
        <w:rPr>
          <w:lang w:eastAsia="en-GB"/>
        </w:rPr>
      </w:pPr>
      <w:r w:rsidRPr="00256982">
        <w:t>Figure 3.3.3</w:t>
      </w:r>
      <w:r w:rsidRPr="00256982">
        <w:rPr>
          <w:lang w:eastAsia="en-GB"/>
        </w:rPr>
        <w:t xml:space="preserve">, </w:t>
      </w:r>
      <w:r w:rsidRPr="00256982">
        <w:t>figure 3.3.4</w:t>
      </w:r>
      <w:r w:rsidRPr="00256982">
        <w:rPr>
          <w:lang w:eastAsia="en-GB"/>
        </w:rPr>
        <w:t xml:space="preserve"> and </w:t>
      </w:r>
      <w:r w:rsidRPr="00256982">
        <w:t>figure 3.3.5</w:t>
      </w:r>
      <w:r w:rsidRPr="00256982">
        <w:rPr>
          <w:lang w:eastAsia="en-GB"/>
        </w:rPr>
        <w:t xml:space="preserve"> weight the upper, lower and middle IPCC 2006 emission factor ranges according to observed fuel consumption in New Zealand for the given year. For example, the top of the IPCC range for liquid fuels was calculated using the top of the IPCC 2006 emission factor range for each liquid fuel and observed New Zealand activity data for each liquid fuel. </w:t>
      </w:r>
    </w:p>
    <w:p w14:paraId="296A1C5B" w14:textId="77777777" w:rsidR="00DE64BC" w:rsidRPr="00256982" w:rsidRDefault="00DE64BC" w:rsidP="00A808C7">
      <w:pPr>
        <w:pStyle w:val="BodyText"/>
        <w:rPr>
          <w:lang w:eastAsia="en-GB"/>
        </w:rPr>
      </w:pPr>
      <w:r w:rsidRPr="00256982">
        <w:rPr>
          <w:lang w:eastAsia="en-GB"/>
        </w:rPr>
        <w:lastRenderedPageBreak/>
        <w:t xml:space="preserve">The sum of all these emissions was then divided by the total observed liquid fuel combustion to obtain an implied emission factor weighted by New Zealand liquid fuel use. This was repeated for all fuel groups and years for the high, low and mid-points of the IPCC 2006 ranges. </w:t>
      </w:r>
    </w:p>
    <w:p w14:paraId="66CE921E" w14:textId="77777777" w:rsidR="00DE64BC" w:rsidRPr="00256982" w:rsidRDefault="00DE64BC" w:rsidP="00A808C7">
      <w:pPr>
        <w:pStyle w:val="BodyText"/>
        <w:rPr>
          <w:lang w:eastAsia="en-GB"/>
        </w:rPr>
      </w:pPr>
      <w:r w:rsidRPr="00256982">
        <w:rPr>
          <w:lang w:eastAsia="en-GB"/>
        </w:rPr>
        <w:t>With the exception of gaseous fuels (as discussed in section 3.3.1), each fuel type falls within the IPCC default range.</w:t>
      </w:r>
    </w:p>
    <w:p w14:paraId="1DC8788B" w14:textId="77777777" w:rsidR="00DE64BC" w:rsidRPr="00256982" w:rsidRDefault="00DE64BC" w:rsidP="00A808C7">
      <w:pPr>
        <w:pStyle w:val="Figure"/>
      </w:pPr>
      <w:bookmarkStart w:id="285" w:name="_Ref442369949"/>
      <w:bookmarkStart w:id="286" w:name="_Toc321399325"/>
      <w:bookmarkStart w:id="287" w:name="_Toc384582853"/>
      <w:bookmarkStart w:id="288" w:name="_Toc443060813"/>
      <w:bookmarkStart w:id="289" w:name="_Toc447275670"/>
      <w:bookmarkStart w:id="290" w:name="_Toc481751988"/>
      <w:bookmarkStart w:id="291" w:name="_Toc5269669"/>
      <w:r w:rsidRPr="00256982">
        <w:t>Figure 3.3.</w:t>
      </w:r>
      <w:r w:rsidR="00304077">
        <w:rPr>
          <w:noProof/>
        </w:rPr>
        <w:fldChar w:fldCharType="begin"/>
      </w:r>
      <w:r w:rsidR="00304077">
        <w:rPr>
          <w:noProof/>
        </w:rPr>
        <w:instrText xml:space="preserve"> SEQ Figure \* ARABIC \s 2 </w:instrText>
      </w:r>
      <w:r w:rsidR="00304077">
        <w:rPr>
          <w:noProof/>
        </w:rPr>
        <w:fldChar w:fldCharType="separate"/>
      </w:r>
      <w:r w:rsidR="00D0418C">
        <w:rPr>
          <w:noProof/>
        </w:rPr>
        <w:t>3</w:t>
      </w:r>
      <w:r w:rsidR="00304077">
        <w:rPr>
          <w:noProof/>
        </w:rPr>
        <w:fldChar w:fldCharType="end"/>
      </w:r>
      <w:bookmarkEnd w:id="285"/>
      <w:r w:rsidRPr="00256982">
        <w:t xml:space="preserve"> </w:t>
      </w:r>
      <w:r w:rsidRPr="00256982">
        <w:tab/>
        <w:t>Carbon dioxide implied emission factor (IEF) – Liquid fuel combustion</w:t>
      </w:r>
      <w:bookmarkEnd w:id="286"/>
      <w:bookmarkEnd w:id="287"/>
      <w:bookmarkEnd w:id="288"/>
      <w:bookmarkEnd w:id="289"/>
      <w:bookmarkEnd w:id="290"/>
      <w:r w:rsidRPr="00256982">
        <w:t xml:space="preserve"> (1990–2017)</w:t>
      </w:r>
      <w:bookmarkEnd w:id="291"/>
    </w:p>
    <w:p w14:paraId="2EC538B3" w14:textId="77777777" w:rsidR="00DE64BC" w:rsidRPr="00256982" w:rsidRDefault="00590491" w:rsidP="00A808C7">
      <w:r>
        <w:rPr>
          <w:lang w:eastAsia="en-NZ"/>
        </w:rPr>
        <w:pict w14:anchorId="231F6A08">
          <v:shape id="_x0000_i1052" type="#_x0000_t75" style="width:425.25pt;height:208.5pt;visibility:visible">
            <v:imagedata r:id="rId55" o:title="fig_3_3_3_liquid_fuels" cropbottom="2679f" cropright="518f"/>
          </v:shape>
        </w:pict>
      </w:r>
    </w:p>
    <w:p w14:paraId="5F1CFA73" w14:textId="77777777" w:rsidR="00DE64BC" w:rsidRPr="00256982" w:rsidRDefault="00DE64BC" w:rsidP="00A808C7">
      <w:pPr>
        <w:rPr>
          <w:sz w:val="18"/>
        </w:rPr>
      </w:pPr>
    </w:p>
    <w:p w14:paraId="75C0FC4B" w14:textId="77777777" w:rsidR="00DE64BC" w:rsidRPr="00256982" w:rsidRDefault="00DE64BC" w:rsidP="00A808C7">
      <w:pPr>
        <w:pStyle w:val="Figure"/>
      </w:pPr>
      <w:bookmarkStart w:id="292" w:name="_Ref442369961"/>
      <w:bookmarkStart w:id="293" w:name="_Toc321399326"/>
      <w:bookmarkStart w:id="294" w:name="_Toc384582854"/>
      <w:bookmarkStart w:id="295" w:name="_Toc443060814"/>
      <w:bookmarkStart w:id="296" w:name="_Toc447275671"/>
      <w:bookmarkStart w:id="297" w:name="_Toc481751989"/>
      <w:bookmarkStart w:id="298" w:name="_Toc5269670"/>
      <w:r w:rsidRPr="00256982">
        <w:t>Figure 3.3.</w:t>
      </w:r>
      <w:r w:rsidR="00304077">
        <w:rPr>
          <w:noProof/>
        </w:rPr>
        <w:fldChar w:fldCharType="begin"/>
      </w:r>
      <w:r w:rsidR="00304077">
        <w:rPr>
          <w:noProof/>
        </w:rPr>
        <w:instrText xml:space="preserve"> SEQ Figure \* ARABIC \s 2 </w:instrText>
      </w:r>
      <w:r w:rsidR="00304077">
        <w:rPr>
          <w:noProof/>
        </w:rPr>
        <w:fldChar w:fldCharType="separate"/>
      </w:r>
      <w:r w:rsidR="00D0418C">
        <w:rPr>
          <w:noProof/>
        </w:rPr>
        <w:t>4</w:t>
      </w:r>
      <w:r w:rsidR="00304077">
        <w:rPr>
          <w:noProof/>
        </w:rPr>
        <w:fldChar w:fldCharType="end"/>
      </w:r>
      <w:bookmarkEnd w:id="292"/>
      <w:r w:rsidRPr="00256982">
        <w:t xml:space="preserve"> </w:t>
      </w:r>
      <w:r w:rsidRPr="00256982">
        <w:tab/>
        <w:t>Carbon dioxide implied emission factor (IEF) – Solid fuel combustion</w:t>
      </w:r>
      <w:bookmarkEnd w:id="293"/>
      <w:bookmarkEnd w:id="294"/>
      <w:bookmarkEnd w:id="295"/>
      <w:bookmarkEnd w:id="296"/>
      <w:bookmarkEnd w:id="297"/>
      <w:r w:rsidRPr="00256982">
        <w:t xml:space="preserve"> (1990–2017)</w:t>
      </w:r>
      <w:bookmarkEnd w:id="298"/>
    </w:p>
    <w:p w14:paraId="079BC661" w14:textId="77777777" w:rsidR="00DE64BC" w:rsidRPr="00256982" w:rsidRDefault="00590491" w:rsidP="00A808C7">
      <w:r>
        <w:rPr>
          <w:lang w:eastAsia="en-NZ"/>
        </w:rPr>
        <w:pict w14:anchorId="07337D11">
          <v:shape id="_x0000_i1053" type="#_x0000_t75" style="width:417.75pt;height:208.5pt;visibility:visible">
            <v:imagedata r:id="rId56" o:title="fig_3_3_4_solid_fuels" cropbottom="2451f" cropright="903f"/>
          </v:shape>
        </w:pict>
      </w:r>
    </w:p>
    <w:p w14:paraId="7E1637E6" w14:textId="77777777" w:rsidR="00DE64BC" w:rsidRPr="00256982" w:rsidRDefault="00DE64BC" w:rsidP="00A808C7">
      <w:pPr>
        <w:rPr>
          <w:lang w:eastAsia="en-GB"/>
        </w:rPr>
      </w:pPr>
    </w:p>
    <w:p w14:paraId="356B6964" w14:textId="77777777" w:rsidR="00DE64BC" w:rsidRPr="00256982" w:rsidRDefault="00DE64BC" w:rsidP="00A808C7">
      <w:pPr>
        <w:pStyle w:val="Figure"/>
        <w:spacing w:after="0"/>
        <w:rPr>
          <w:lang w:eastAsia="en-GB"/>
        </w:rPr>
      </w:pPr>
      <w:bookmarkStart w:id="299" w:name="_Ref442369964"/>
      <w:bookmarkStart w:id="300" w:name="_Toc321399327"/>
      <w:bookmarkStart w:id="301" w:name="_Toc384582855"/>
      <w:bookmarkStart w:id="302" w:name="_Toc443060815"/>
      <w:bookmarkStart w:id="303" w:name="_Toc447275672"/>
      <w:bookmarkStart w:id="304" w:name="_Toc481751990"/>
      <w:bookmarkStart w:id="305" w:name="_Toc5269671"/>
      <w:r w:rsidRPr="00256982">
        <w:lastRenderedPageBreak/>
        <w:t>Figure 3.3.</w:t>
      </w:r>
      <w:r w:rsidR="00304077">
        <w:rPr>
          <w:noProof/>
        </w:rPr>
        <w:fldChar w:fldCharType="begin"/>
      </w:r>
      <w:r w:rsidR="00304077">
        <w:rPr>
          <w:noProof/>
        </w:rPr>
        <w:instrText xml:space="preserve"> SEQ Figure \* ARABIC \s 2 </w:instrText>
      </w:r>
      <w:r w:rsidR="00304077">
        <w:rPr>
          <w:noProof/>
        </w:rPr>
        <w:fldChar w:fldCharType="separate"/>
      </w:r>
      <w:r w:rsidR="00D0418C">
        <w:rPr>
          <w:noProof/>
        </w:rPr>
        <w:t>5</w:t>
      </w:r>
      <w:r w:rsidR="00304077">
        <w:rPr>
          <w:noProof/>
        </w:rPr>
        <w:fldChar w:fldCharType="end"/>
      </w:r>
      <w:bookmarkEnd w:id="299"/>
      <w:r w:rsidRPr="00256982">
        <w:rPr>
          <w:lang w:eastAsia="en-GB"/>
        </w:rPr>
        <w:tab/>
        <w:t xml:space="preserve">Carbon dioxide implied emission factor </w:t>
      </w:r>
      <w:r w:rsidRPr="00256982">
        <w:t>(IEF)</w:t>
      </w:r>
      <w:r w:rsidRPr="00256982">
        <w:rPr>
          <w:lang w:eastAsia="en-GB"/>
        </w:rPr>
        <w:t xml:space="preserve"> – Gaseous fuel combustion</w:t>
      </w:r>
      <w:bookmarkEnd w:id="300"/>
      <w:bookmarkEnd w:id="301"/>
      <w:bookmarkEnd w:id="302"/>
      <w:bookmarkEnd w:id="303"/>
      <w:bookmarkEnd w:id="304"/>
      <w:r w:rsidRPr="00256982">
        <w:rPr>
          <w:lang w:eastAsia="en-GB"/>
        </w:rPr>
        <w:t xml:space="preserve"> </w:t>
      </w:r>
      <w:r w:rsidRPr="00256982">
        <w:t>(1990–2017)</w:t>
      </w:r>
      <w:bookmarkEnd w:id="305"/>
    </w:p>
    <w:p w14:paraId="74B6FE76" w14:textId="77777777" w:rsidR="00DE64BC" w:rsidRPr="00256982" w:rsidRDefault="00590491" w:rsidP="00A808C7">
      <w:pPr>
        <w:rPr>
          <w:lang w:eastAsia="en-GB"/>
        </w:rPr>
      </w:pPr>
      <w:r>
        <w:rPr>
          <w:lang w:eastAsia="en-NZ"/>
        </w:rPr>
        <w:pict w14:anchorId="5D51A594">
          <v:shape id="_x0000_i1054" type="#_x0000_t75" style="width:425.25pt;height:201.75pt;visibility:visible">
            <v:imagedata r:id="rId57" o:title="fig_3_3_5_gaseous_fuels" cropbottom="2462f" cropright="527f"/>
          </v:shape>
        </w:pict>
      </w:r>
    </w:p>
    <w:p w14:paraId="2B4CEC9B" w14:textId="77777777" w:rsidR="00DE64BC" w:rsidRPr="00256982" w:rsidRDefault="00DE64BC" w:rsidP="00A808C7">
      <w:pPr>
        <w:pStyle w:val="Noteundertable"/>
      </w:pPr>
      <w:r w:rsidRPr="00256982">
        <w:rPr>
          <w:b/>
        </w:rPr>
        <w:t>Note:</w:t>
      </w:r>
      <w:r w:rsidRPr="00256982">
        <w:t xml:space="preserve"> </w:t>
      </w:r>
      <w:r w:rsidRPr="00256982">
        <w:tab/>
        <w:t>As discussed in section 3.3.1 under ‘Emission factors’, carbon dioxide emission factors for New Zealand natural gas fields are established through gas composition analysis and are known to be high by international standards.</w:t>
      </w:r>
    </w:p>
    <w:p w14:paraId="411DB3FA" w14:textId="77777777" w:rsidR="00DE64BC" w:rsidRPr="00256982" w:rsidRDefault="00DE64BC" w:rsidP="001D3490">
      <w:pPr>
        <w:pStyle w:val="Heading3"/>
      </w:pPr>
      <w:r w:rsidRPr="00256982">
        <w:t>3.3.5</w:t>
      </w:r>
      <w:r w:rsidRPr="00256982">
        <w:tab/>
        <w:t>Uncertainties and time-series consistency</w:t>
      </w:r>
    </w:p>
    <w:p w14:paraId="2B8E441B" w14:textId="77777777" w:rsidR="00DE64BC" w:rsidRPr="00256982" w:rsidRDefault="00DE64BC" w:rsidP="00A808C7">
      <w:pPr>
        <w:pStyle w:val="BodyText"/>
        <w:rPr>
          <w:lang w:eastAsia="en-GB"/>
        </w:rPr>
      </w:pPr>
      <w:r w:rsidRPr="00256982">
        <w:rPr>
          <w:lang w:eastAsia="en-GB"/>
        </w:rPr>
        <w:t>Uncertainty in greenhouse gas emissions from fuel combustion varies, depending on the type of greenhouse gas. The uncertainty in CO</w:t>
      </w:r>
      <w:r w:rsidRPr="00256982">
        <w:rPr>
          <w:vertAlign w:val="subscript"/>
          <w:lang w:eastAsia="en-GB"/>
        </w:rPr>
        <w:t>2</w:t>
      </w:r>
      <w:r w:rsidRPr="00256982">
        <w:rPr>
          <w:sz w:val="14"/>
          <w:szCs w:val="14"/>
          <w:lang w:eastAsia="en-GB"/>
        </w:rPr>
        <w:t xml:space="preserve"> </w:t>
      </w:r>
      <w:r w:rsidRPr="00256982">
        <w:rPr>
          <w:lang w:eastAsia="en-GB"/>
        </w:rPr>
        <w:t>emissions is relatively low. This is important because CO</w:t>
      </w:r>
      <w:r w:rsidRPr="00256982">
        <w:rPr>
          <w:vertAlign w:val="subscript"/>
          <w:lang w:eastAsia="en-GB"/>
        </w:rPr>
        <w:t>2</w:t>
      </w:r>
      <w:r w:rsidRPr="00256982">
        <w:rPr>
          <w:lang w:eastAsia="en-GB"/>
        </w:rPr>
        <w:t xml:space="preserve"> emissions comprised 96.5 per cent of </w:t>
      </w:r>
      <w:r w:rsidRPr="00256982">
        <w:t>CO</w:t>
      </w:r>
      <w:r w:rsidRPr="00256982">
        <w:rPr>
          <w:vertAlign w:val="subscript"/>
        </w:rPr>
        <w:t>2</w:t>
      </w:r>
      <w:r w:rsidRPr="00256982">
        <w:t>-e</w:t>
      </w:r>
      <w:r w:rsidRPr="00256982">
        <w:rPr>
          <w:lang w:eastAsia="en-GB"/>
        </w:rPr>
        <w:t xml:space="preserve"> emissions from fuel combustion in New Zealand in 2017. By comparison, emissions of the non-</w:t>
      </w:r>
      <w:r w:rsidRPr="00256982">
        <w:t>CO</w:t>
      </w:r>
      <w:r w:rsidRPr="00256982">
        <w:rPr>
          <w:vertAlign w:val="subscript"/>
        </w:rPr>
        <w:t>2</w:t>
      </w:r>
      <w:r w:rsidRPr="00256982">
        <w:rPr>
          <w:sz w:val="14"/>
          <w:szCs w:val="14"/>
          <w:lang w:eastAsia="en-GB"/>
        </w:rPr>
        <w:t xml:space="preserve"> </w:t>
      </w:r>
      <w:r w:rsidRPr="00256982">
        <w:rPr>
          <w:lang w:eastAsia="en-GB"/>
        </w:rPr>
        <w:t xml:space="preserve">gases are much less certain because emissions vary with combustion conditions. Uncertainties for </w:t>
      </w:r>
      <w:r w:rsidRPr="00256982">
        <w:t>CO</w:t>
      </w:r>
      <w:r w:rsidRPr="00256982">
        <w:rPr>
          <w:vertAlign w:val="subscript"/>
        </w:rPr>
        <w:t>2</w:t>
      </w:r>
      <w:r w:rsidRPr="00256982">
        <w:rPr>
          <w:lang w:eastAsia="en-GB"/>
        </w:rPr>
        <w:t xml:space="preserve">, </w:t>
      </w:r>
      <w:r w:rsidRPr="00256982">
        <w:t>CH</w:t>
      </w:r>
      <w:r w:rsidRPr="00256982">
        <w:rPr>
          <w:vertAlign w:val="subscript"/>
        </w:rPr>
        <w:t>4</w:t>
      </w:r>
      <w:r w:rsidRPr="00256982">
        <w:rPr>
          <w:lang w:eastAsia="en-GB"/>
        </w:rPr>
        <w:t xml:space="preserve"> and </w:t>
      </w:r>
      <w:r w:rsidRPr="00256982">
        <w:t>N</w:t>
      </w:r>
      <w:r w:rsidRPr="00256982">
        <w:rPr>
          <w:vertAlign w:val="subscript"/>
        </w:rPr>
        <w:t>2</w:t>
      </w:r>
      <w:r w:rsidRPr="00256982">
        <w:t>O</w:t>
      </w:r>
      <w:r w:rsidRPr="00256982">
        <w:rPr>
          <w:lang w:eastAsia="en-GB"/>
        </w:rPr>
        <w:t xml:space="preserve"> activity data and emission factors are supplied in table 3.3.1. Many of the non-</w:t>
      </w:r>
      <w:r w:rsidRPr="00256982">
        <w:t>CO</w:t>
      </w:r>
      <w:r w:rsidRPr="00256982">
        <w:rPr>
          <w:vertAlign w:val="subscript"/>
        </w:rPr>
        <w:t>2</w:t>
      </w:r>
      <w:r w:rsidRPr="00256982">
        <w:rPr>
          <w:sz w:val="14"/>
          <w:szCs w:val="14"/>
          <w:lang w:eastAsia="en-GB"/>
        </w:rPr>
        <w:t xml:space="preserve"> </w:t>
      </w:r>
      <w:r w:rsidRPr="00256982">
        <w:rPr>
          <w:lang w:eastAsia="en-GB"/>
        </w:rPr>
        <w:t>emission factors used by New Zealand are the IPCC default values. Further detailed information around uncertainties for each fuel type can be found in annex 4, sections A4.1, A4.2 and A4.3.</w:t>
      </w:r>
    </w:p>
    <w:p w14:paraId="0BD781D3" w14:textId="77777777" w:rsidR="00DE64BC" w:rsidRPr="00256982" w:rsidRDefault="00DE64BC" w:rsidP="00A808C7">
      <w:pPr>
        <w:pStyle w:val="Table"/>
      </w:pPr>
      <w:bookmarkStart w:id="306" w:name="_Toc384582169"/>
      <w:bookmarkStart w:id="307" w:name="_Toc443060845"/>
      <w:bookmarkStart w:id="308" w:name="_Toc451176061"/>
      <w:bookmarkStart w:id="309" w:name="_Toc481751487"/>
      <w:bookmarkStart w:id="310" w:name="_Toc507496590"/>
      <w:bookmarkStart w:id="311" w:name="_Toc5269446"/>
      <w:r w:rsidRPr="00256982">
        <w:t>Table 3.3.1</w:t>
      </w:r>
      <w:r w:rsidRPr="00256982">
        <w:tab/>
        <w:t>Uncertainty for New Zealand’s Energy sector emission estimates</w:t>
      </w:r>
      <w:bookmarkEnd w:id="306"/>
      <w:bookmarkEnd w:id="307"/>
      <w:bookmarkEnd w:id="308"/>
      <w:bookmarkEnd w:id="309"/>
      <w:bookmarkEnd w:id="310"/>
      <w:bookmarkEnd w:id="311"/>
    </w:p>
    <w:tbl>
      <w:tblPr>
        <w:tblW w:w="8562" w:type="dxa"/>
        <w:tblInd w:w="108" w:type="dxa"/>
        <w:tblBorders>
          <w:top w:val="single" w:sz="4" w:space="0" w:color="1F497D"/>
          <w:bottom w:val="single" w:sz="4" w:space="0" w:color="1F497D"/>
          <w:insideH w:val="single" w:sz="4" w:space="0" w:color="1F497D"/>
          <w:insideV w:val="single" w:sz="4" w:space="0" w:color="1F497D"/>
        </w:tblBorders>
        <w:tblLook w:val="0420" w:firstRow="1" w:lastRow="0" w:firstColumn="0" w:lastColumn="0" w:noHBand="0" w:noVBand="1"/>
      </w:tblPr>
      <w:tblGrid>
        <w:gridCol w:w="548"/>
        <w:gridCol w:w="4615"/>
        <w:gridCol w:w="1668"/>
        <w:gridCol w:w="1731"/>
      </w:tblGrid>
      <w:tr w:rsidR="00DE64BC" w:rsidRPr="00256982" w14:paraId="4E97FF70" w14:textId="77777777" w:rsidTr="00A808C7">
        <w:trPr>
          <w:tblHeader/>
        </w:trPr>
        <w:tc>
          <w:tcPr>
            <w:tcW w:w="320" w:type="pct"/>
            <w:tcBorders>
              <w:right w:val="single" w:sz="4" w:space="0" w:color="365F91"/>
            </w:tcBorders>
            <w:shd w:val="clear" w:color="auto" w:fill="365F91"/>
            <w:noWrap/>
            <w:vAlign w:val="bottom"/>
            <w:hideMark/>
          </w:tcPr>
          <w:p w14:paraId="659C301A" w14:textId="77777777" w:rsidR="00DE64BC" w:rsidRPr="00256982" w:rsidRDefault="00DE64BC" w:rsidP="00A808C7">
            <w:pPr>
              <w:pStyle w:val="TableTextBold"/>
              <w:rPr>
                <w:noProof w:val="0"/>
                <w:color w:val="FFFFFF"/>
              </w:rPr>
            </w:pPr>
          </w:p>
        </w:tc>
        <w:tc>
          <w:tcPr>
            <w:tcW w:w="2695" w:type="pct"/>
            <w:tcBorders>
              <w:top w:val="single" w:sz="4" w:space="0" w:color="365F91"/>
              <w:left w:val="single" w:sz="4" w:space="0" w:color="365F91"/>
              <w:bottom w:val="single" w:sz="4" w:space="0" w:color="365F91"/>
              <w:right w:val="single" w:sz="4" w:space="0" w:color="365F91"/>
            </w:tcBorders>
            <w:shd w:val="clear" w:color="auto" w:fill="365F91"/>
            <w:noWrap/>
            <w:vAlign w:val="bottom"/>
            <w:hideMark/>
          </w:tcPr>
          <w:p w14:paraId="33EE34FB" w14:textId="77777777" w:rsidR="00DE64BC" w:rsidRPr="00256982" w:rsidRDefault="00DE64BC" w:rsidP="00A808C7">
            <w:pPr>
              <w:pStyle w:val="TableTextBold"/>
              <w:rPr>
                <w:noProof w:val="0"/>
                <w:color w:val="FFFFFF"/>
              </w:rPr>
            </w:pPr>
            <w:r w:rsidRPr="00256982">
              <w:rPr>
                <w:noProof w:val="0"/>
                <w:color w:val="FFFFFF"/>
              </w:rPr>
              <w:t xml:space="preserve">Category </w:t>
            </w:r>
          </w:p>
        </w:tc>
        <w:tc>
          <w:tcPr>
            <w:tcW w:w="974" w:type="pct"/>
            <w:tcBorders>
              <w:top w:val="single" w:sz="4" w:space="0" w:color="365F91"/>
              <w:left w:val="single" w:sz="4" w:space="0" w:color="365F91"/>
              <w:bottom w:val="single" w:sz="4" w:space="0" w:color="365F91"/>
              <w:right w:val="single" w:sz="4" w:space="0" w:color="365F91"/>
            </w:tcBorders>
            <w:shd w:val="clear" w:color="auto" w:fill="365F91"/>
            <w:vAlign w:val="bottom"/>
            <w:hideMark/>
          </w:tcPr>
          <w:p w14:paraId="54734B5D" w14:textId="77777777" w:rsidR="00DE64BC" w:rsidRPr="00256982" w:rsidRDefault="00DE64BC" w:rsidP="00A808C7">
            <w:pPr>
              <w:pStyle w:val="TableTextBold"/>
              <w:jc w:val="center"/>
              <w:rPr>
                <w:noProof w:val="0"/>
                <w:color w:val="FFFFFF"/>
              </w:rPr>
            </w:pPr>
            <w:r w:rsidRPr="00256982">
              <w:rPr>
                <w:noProof w:val="0"/>
                <w:color w:val="FFFFFF"/>
              </w:rPr>
              <w:t>Activity data uncertainty (%)</w:t>
            </w:r>
          </w:p>
        </w:tc>
        <w:tc>
          <w:tcPr>
            <w:tcW w:w="1011" w:type="pct"/>
            <w:tcBorders>
              <w:left w:val="single" w:sz="4" w:space="0" w:color="365F91"/>
            </w:tcBorders>
            <w:shd w:val="clear" w:color="auto" w:fill="365F91"/>
            <w:vAlign w:val="bottom"/>
            <w:hideMark/>
          </w:tcPr>
          <w:p w14:paraId="661F01E1" w14:textId="77777777" w:rsidR="00DE64BC" w:rsidRPr="00256982" w:rsidRDefault="00DE64BC" w:rsidP="00A808C7">
            <w:pPr>
              <w:pStyle w:val="TableTextBold"/>
              <w:jc w:val="center"/>
              <w:rPr>
                <w:noProof w:val="0"/>
                <w:color w:val="FFFFFF"/>
              </w:rPr>
            </w:pPr>
            <w:r w:rsidRPr="00256982">
              <w:rPr>
                <w:noProof w:val="0"/>
                <w:color w:val="FFFFFF"/>
              </w:rPr>
              <w:t>Emission factor uncertainty (%)</w:t>
            </w:r>
          </w:p>
        </w:tc>
      </w:tr>
      <w:tr w:rsidR="00DE64BC" w:rsidRPr="00256982" w14:paraId="11B151F9" w14:textId="77777777" w:rsidTr="00A808C7">
        <w:tc>
          <w:tcPr>
            <w:tcW w:w="320" w:type="pct"/>
            <w:tcBorders>
              <w:right w:val="single" w:sz="4" w:space="0" w:color="365F91"/>
            </w:tcBorders>
            <w:shd w:val="clear" w:color="auto" w:fill="auto"/>
            <w:noWrap/>
            <w:hideMark/>
          </w:tcPr>
          <w:p w14:paraId="382F3857" w14:textId="77777777" w:rsidR="00DE64BC" w:rsidRPr="00256982" w:rsidRDefault="00DE64BC" w:rsidP="00A808C7">
            <w:pPr>
              <w:pStyle w:val="TableText"/>
              <w:spacing w:after="50"/>
            </w:pPr>
            <w:r w:rsidRPr="00256982">
              <w:t>CO</w:t>
            </w:r>
            <w:r w:rsidRPr="00256982">
              <w:rPr>
                <w:vertAlign w:val="subscript"/>
              </w:rPr>
              <w:t>2</w:t>
            </w:r>
          </w:p>
        </w:tc>
        <w:tc>
          <w:tcPr>
            <w:tcW w:w="2695" w:type="pct"/>
            <w:tcBorders>
              <w:top w:val="single" w:sz="4" w:space="0" w:color="365F91"/>
              <w:left w:val="single" w:sz="4" w:space="0" w:color="365F91"/>
              <w:bottom w:val="single" w:sz="4" w:space="0" w:color="365F91"/>
              <w:right w:val="single" w:sz="4" w:space="0" w:color="365F91"/>
            </w:tcBorders>
            <w:shd w:val="clear" w:color="auto" w:fill="auto"/>
            <w:noWrap/>
            <w:hideMark/>
          </w:tcPr>
          <w:p w14:paraId="0691347B" w14:textId="77777777" w:rsidR="00DE64BC" w:rsidRPr="00256982" w:rsidRDefault="00DE64BC" w:rsidP="00A808C7">
            <w:pPr>
              <w:pStyle w:val="TableText"/>
              <w:spacing w:after="50"/>
            </w:pPr>
            <w:r w:rsidRPr="00256982">
              <w:t>Liquid fuels</w:t>
            </w:r>
          </w:p>
        </w:tc>
        <w:tc>
          <w:tcPr>
            <w:tcW w:w="974" w:type="pct"/>
            <w:tcBorders>
              <w:top w:val="single" w:sz="4" w:space="0" w:color="365F91"/>
              <w:left w:val="single" w:sz="4" w:space="0" w:color="365F91"/>
              <w:bottom w:val="single" w:sz="4" w:space="0" w:color="365F91"/>
              <w:right w:val="single" w:sz="4" w:space="0" w:color="365F91"/>
            </w:tcBorders>
            <w:shd w:val="clear" w:color="auto" w:fill="auto"/>
            <w:noWrap/>
            <w:hideMark/>
          </w:tcPr>
          <w:p w14:paraId="0B97021E" w14:textId="77777777" w:rsidR="00DE64BC" w:rsidRPr="00256982" w:rsidRDefault="00DE64BC" w:rsidP="00A808C7">
            <w:pPr>
              <w:pStyle w:val="TableText"/>
              <w:spacing w:after="50"/>
              <w:jc w:val="center"/>
            </w:pPr>
            <w:r w:rsidRPr="00256982">
              <w:t>1.2</w:t>
            </w:r>
          </w:p>
        </w:tc>
        <w:tc>
          <w:tcPr>
            <w:tcW w:w="1011" w:type="pct"/>
            <w:tcBorders>
              <w:left w:val="single" w:sz="4" w:space="0" w:color="365F91"/>
            </w:tcBorders>
            <w:shd w:val="clear" w:color="auto" w:fill="auto"/>
            <w:noWrap/>
            <w:hideMark/>
          </w:tcPr>
          <w:p w14:paraId="3B38EB8D" w14:textId="77777777" w:rsidR="00DE64BC" w:rsidRPr="00256982" w:rsidRDefault="00DE64BC" w:rsidP="00A808C7">
            <w:pPr>
              <w:pStyle w:val="TableText"/>
              <w:spacing w:after="50"/>
              <w:jc w:val="center"/>
            </w:pPr>
            <w:r w:rsidRPr="00256982">
              <w:t>±0.5</w:t>
            </w:r>
          </w:p>
        </w:tc>
      </w:tr>
      <w:tr w:rsidR="00DE64BC" w:rsidRPr="00256982" w14:paraId="386BDBEC" w14:textId="77777777" w:rsidTr="00A808C7">
        <w:tc>
          <w:tcPr>
            <w:tcW w:w="320" w:type="pct"/>
            <w:tcBorders>
              <w:right w:val="single" w:sz="4" w:space="0" w:color="365F91"/>
            </w:tcBorders>
            <w:shd w:val="clear" w:color="auto" w:fill="auto"/>
            <w:noWrap/>
            <w:hideMark/>
          </w:tcPr>
          <w:p w14:paraId="5AA27773" w14:textId="77777777" w:rsidR="00DE64BC" w:rsidRPr="00256982" w:rsidRDefault="00DE64BC" w:rsidP="00A808C7">
            <w:pPr>
              <w:pStyle w:val="TableText"/>
              <w:spacing w:before="50" w:after="50"/>
            </w:pPr>
            <w:r w:rsidRPr="00256982">
              <w:t> </w:t>
            </w:r>
          </w:p>
        </w:tc>
        <w:tc>
          <w:tcPr>
            <w:tcW w:w="2695" w:type="pct"/>
            <w:tcBorders>
              <w:top w:val="single" w:sz="4" w:space="0" w:color="365F91"/>
              <w:left w:val="single" w:sz="4" w:space="0" w:color="365F91"/>
              <w:bottom w:val="single" w:sz="4" w:space="0" w:color="365F91"/>
              <w:right w:val="single" w:sz="4" w:space="0" w:color="365F91"/>
            </w:tcBorders>
            <w:shd w:val="clear" w:color="auto" w:fill="auto"/>
            <w:noWrap/>
            <w:hideMark/>
          </w:tcPr>
          <w:p w14:paraId="25CD673F" w14:textId="77777777" w:rsidR="00DE64BC" w:rsidRPr="00256982" w:rsidRDefault="00DE64BC" w:rsidP="00A808C7">
            <w:pPr>
              <w:pStyle w:val="TableText"/>
              <w:spacing w:before="50" w:after="50"/>
            </w:pPr>
            <w:r w:rsidRPr="00256982">
              <w:t>Solid fuels</w:t>
            </w:r>
          </w:p>
        </w:tc>
        <w:tc>
          <w:tcPr>
            <w:tcW w:w="974" w:type="pct"/>
            <w:tcBorders>
              <w:top w:val="single" w:sz="4" w:space="0" w:color="365F91"/>
              <w:left w:val="single" w:sz="4" w:space="0" w:color="365F91"/>
              <w:bottom w:val="single" w:sz="4" w:space="0" w:color="365F91"/>
              <w:right w:val="single" w:sz="4" w:space="0" w:color="365F91"/>
            </w:tcBorders>
            <w:shd w:val="clear" w:color="auto" w:fill="auto"/>
            <w:noWrap/>
            <w:hideMark/>
          </w:tcPr>
          <w:p w14:paraId="53FEA803" w14:textId="77777777" w:rsidR="00DE64BC" w:rsidRPr="00256982" w:rsidRDefault="00DE64BC" w:rsidP="00A808C7">
            <w:pPr>
              <w:pStyle w:val="TableText"/>
              <w:spacing w:before="50" w:after="50"/>
              <w:jc w:val="center"/>
            </w:pPr>
            <w:r w:rsidRPr="00256982">
              <w:t>4.0</w:t>
            </w:r>
          </w:p>
        </w:tc>
        <w:tc>
          <w:tcPr>
            <w:tcW w:w="1011" w:type="pct"/>
            <w:tcBorders>
              <w:left w:val="single" w:sz="4" w:space="0" w:color="365F91"/>
            </w:tcBorders>
            <w:shd w:val="clear" w:color="auto" w:fill="auto"/>
            <w:noWrap/>
            <w:hideMark/>
          </w:tcPr>
          <w:p w14:paraId="6B8069E8" w14:textId="77777777" w:rsidR="00DE64BC" w:rsidRPr="00256982" w:rsidRDefault="00DE64BC" w:rsidP="00A808C7">
            <w:pPr>
              <w:pStyle w:val="TableText"/>
              <w:spacing w:before="50" w:after="50"/>
              <w:jc w:val="center"/>
            </w:pPr>
            <w:r w:rsidRPr="00256982">
              <w:t>±2.2</w:t>
            </w:r>
          </w:p>
        </w:tc>
      </w:tr>
      <w:tr w:rsidR="00DE64BC" w:rsidRPr="00256982" w14:paraId="63F96D58" w14:textId="77777777" w:rsidTr="00A808C7">
        <w:tc>
          <w:tcPr>
            <w:tcW w:w="320" w:type="pct"/>
            <w:tcBorders>
              <w:right w:val="single" w:sz="4" w:space="0" w:color="365F91"/>
            </w:tcBorders>
            <w:shd w:val="clear" w:color="auto" w:fill="auto"/>
            <w:noWrap/>
            <w:hideMark/>
          </w:tcPr>
          <w:p w14:paraId="1CE0C347" w14:textId="77777777" w:rsidR="00DE64BC" w:rsidRPr="00256982" w:rsidRDefault="00DE64BC" w:rsidP="00A808C7">
            <w:pPr>
              <w:pStyle w:val="TableText"/>
              <w:spacing w:before="50" w:after="50"/>
            </w:pPr>
            <w:r w:rsidRPr="00256982">
              <w:t> </w:t>
            </w:r>
          </w:p>
        </w:tc>
        <w:tc>
          <w:tcPr>
            <w:tcW w:w="2695" w:type="pct"/>
            <w:tcBorders>
              <w:top w:val="single" w:sz="4" w:space="0" w:color="365F91"/>
              <w:left w:val="single" w:sz="4" w:space="0" w:color="365F91"/>
              <w:bottom w:val="single" w:sz="4" w:space="0" w:color="365F91"/>
              <w:right w:val="single" w:sz="4" w:space="0" w:color="365F91"/>
            </w:tcBorders>
            <w:shd w:val="clear" w:color="auto" w:fill="auto"/>
            <w:noWrap/>
            <w:hideMark/>
          </w:tcPr>
          <w:p w14:paraId="75B04CC3" w14:textId="77777777" w:rsidR="00DE64BC" w:rsidRPr="00256982" w:rsidRDefault="00DE64BC" w:rsidP="00A808C7">
            <w:pPr>
              <w:pStyle w:val="TableText"/>
              <w:spacing w:before="50" w:after="50"/>
            </w:pPr>
            <w:r w:rsidRPr="00256982">
              <w:t>Gaseous fuels</w:t>
            </w:r>
          </w:p>
        </w:tc>
        <w:tc>
          <w:tcPr>
            <w:tcW w:w="974" w:type="pct"/>
            <w:tcBorders>
              <w:top w:val="single" w:sz="4" w:space="0" w:color="365F91"/>
              <w:left w:val="single" w:sz="4" w:space="0" w:color="365F91"/>
              <w:bottom w:val="single" w:sz="4" w:space="0" w:color="365F91"/>
              <w:right w:val="single" w:sz="4" w:space="0" w:color="365F91"/>
            </w:tcBorders>
            <w:shd w:val="clear" w:color="auto" w:fill="auto"/>
            <w:noWrap/>
            <w:hideMark/>
          </w:tcPr>
          <w:p w14:paraId="077DCA1B" w14:textId="77777777" w:rsidR="00DE64BC" w:rsidRPr="00256982" w:rsidRDefault="00DE64BC" w:rsidP="00A808C7">
            <w:pPr>
              <w:pStyle w:val="TableText"/>
              <w:spacing w:before="50" w:after="50"/>
              <w:jc w:val="center"/>
            </w:pPr>
            <w:r w:rsidRPr="00256982">
              <w:t>0.3</w:t>
            </w:r>
          </w:p>
        </w:tc>
        <w:tc>
          <w:tcPr>
            <w:tcW w:w="1011" w:type="pct"/>
            <w:tcBorders>
              <w:left w:val="single" w:sz="4" w:space="0" w:color="365F91"/>
            </w:tcBorders>
            <w:shd w:val="clear" w:color="auto" w:fill="auto"/>
            <w:noWrap/>
            <w:hideMark/>
          </w:tcPr>
          <w:p w14:paraId="7FBF2B9F" w14:textId="77777777" w:rsidR="00DE64BC" w:rsidRPr="00256982" w:rsidRDefault="00DE64BC" w:rsidP="00A808C7">
            <w:pPr>
              <w:pStyle w:val="TableText"/>
              <w:spacing w:before="50" w:after="50"/>
              <w:jc w:val="center"/>
            </w:pPr>
            <w:r w:rsidRPr="00256982">
              <w:t>±2.6</w:t>
            </w:r>
          </w:p>
        </w:tc>
      </w:tr>
      <w:tr w:rsidR="00DE64BC" w:rsidRPr="00256982" w14:paraId="1D320179" w14:textId="77777777" w:rsidTr="00A808C7">
        <w:tc>
          <w:tcPr>
            <w:tcW w:w="320" w:type="pct"/>
            <w:tcBorders>
              <w:right w:val="single" w:sz="4" w:space="0" w:color="365F91"/>
            </w:tcBorders>
            <w:shd w:val="clear" w:color="auto" w:fill="auto"/>
            <w:noWrap/>
            <w:hideMark/>
          </w:tcPr>
          <w:p w14:paraId="72E4A919" w14:textId="77777777" w:rsidR="00DE64BC" w:rsidRPr="00256982" w:rsidRDefault="00DE64BC" w:rsidP="00A808C7">
            <w:pPr>
              <w:pStyle w:val="TableText"/>
              <w:spacing w:before="50" w:after="50"/>
            </w:pPr>
            <w:r w:rsidRPr="00256982">
              <w:t> </w:t>
            </w:r>
          </w:p>
        </w:tc>
        <w:tc>
          <w:tcPr>
            <w:tcW w:w="2695" w:type="pct"/>
            <w:tcBorders>
              <w:top w:val="single" w:sz="4" w:space="0" w:color="365F91"/>
              <w:left w:val="single" w:sz="4" w:space="0" w:color="365F91"/>
              <w:bottom w:val="single" w:sz="4" w:space="0" w:color="365F91"/>
              <w:right w:val="single" w:sz="4" w:space="0" w:color="365F91"/>
            </w:tcBorders>
            <w:shd w:val="clear" w:color="auto" w:fill="auto"/>
            <w:noWrap/>
            <w:hideMark/>
          </w:tcPr>
          <w:p w14:paraId="49382602" w14:textId="77777777" w:rsidR="00DE64BC" w:rsidRPr="00256982" w:rsidRDefault="00DE64BC" w:rsidP="00A808C7">
            <w:pPr>
              <w:pStyle w:val="TableText"/>
              <w:spacing w:before="50" w:after="50"/>
            </w:pPr>
            <w:r w:rsidRPr="00256982">
              <w:t>Fugitive – geothermal</w:t>
            </w:r>
          </w:p>
        </w:tc>
        <w:tc>
          <w:tcPr>
            <w:tcW w:w="974" w:type="pct"/>
            <w:tcBorders>
              <w:top w:val="single" w:sz="4" w:space="0" w:color="365F91"/>
              <w:left w:val="single" w:sz="4" w:space="0" w:color="365F91"/>
              <w:bottom w:val="single" w:sz="4" w:space="0" w:color="365F91"/>
              <w:right w:val="single" w:sz="4" w:space="0" w:color="365F91"/>
            </w:tcBorders>
            <w:shd w:val="clear" w:color="auto" w:fill="auto"/>
            <w:noWrap/>
            <w:hideMark/>
          </w:tcPr>
          <w:p w14:paraId="0A16F35F" w14:textId="77777777" w:rsidR="00DE64BC" w:rsidRPr="00256982" w:rsidRDefault="00DE64BC" w:rsidP="00A808C7">
            <w:pPr>
              <w:pStyle w:val="TableText"/>
              <w:spacing w:before="50" w:after="50"/>
              <w:jc w:val="center"/>
            </w:pPr>
            <w:r w:rsidRPr="00256982">
              <w:t>5.0</w:t>
            </w:r>
          </w:p>
        </w:tc>
        <w:tc>
          <w:tcPr>
            <w:tcW w:w="1011" w:type="pct"/>
            <w:tcBorders>
              <w:left w:val="single" w:sz="4" w:space="0" w:color="365F91"/>
            </w:tcBorders>
            <w:shd w:val="clear" w:color="auto" w:fill="auto"/>
            <w:noWrap/>
            <w:hideMark/>
          </w:tcPr>
          <w:p w14:paraId="2D83326B" w14:textId="77777777" w:rsidR="00DE64BC" w:rsidRPr="00256982" w:rsidRDefault="00DE64BC" w:rsidP="00A808C7">
            <w:pPr>
              <w:pStyle w:val="TableText"/>
              <w:spacing w:before="50" w:after="50"/>
              <w:jc w:val="center"/>
            </w:pPr>
            <w:r w:rsidRPr="00256982">
              <w:t>±5.0</w:t>
            </w:r>
          </w:p>
        </w:tc>
      </w:tr>
      <w:tr w:rsidR="00DE64BC" w:rsidRPr="00256982" w14:paraId="13D02D89" w14:textId="77777777" w:rsidTr="00A808C7">
        <w:tc>
          <w:tcPr>
            <w:tcW w:w="320" w:type="pct"/>
            <w:tcBorders>
              <w:right w:val="single" w:sz="4" w:space="0" w:color="365F91"/>
            </w:tcBorders>
            <w:shd w:val="clear" w:color="auto" w:fill="auto"/>
            <w:noWrap/>
            <w:hideMark/>
          </w:tcPr>
          <w:p w14:paraId="226F4731" w14:textId="77777777" w:rsidR="00DE64BC" w:rsidRPr="00256982" w:rsidRDefault="00DE64BC" w:rsidP="00A808C7">
            <w:pPr>
              <w:pStyle w:val="TableText"/>
              <w:spacing w:before="50" w:after="50"/>
            </w:pPr>
            <w:r w:rsidRPr="00256982">
              <w:t> </w:t>
            </w:r>
          </w:p>
        </w:tc>
        <w:tc>
          <w:tcPr>
            <w:tcW w:w="2695" w:type="pct"/>
            <w:tcBorders>
              <w:top w:val="single" w:sz="4" w:space="0" w:color="365F91"/>
              <w:left w:val="single" w:sz="4" w:space="0" w:color="365F91"/>
              <w:bottom w:val="single" w:sz="4" w:space="0" w:color="365F91"/>
              <w:right w:val="single" w:sz="4" w:space="0" w:color="365F91"/>
            </w:tcBorders>
            <w:shd w:val="clear" w:color="auto" w:fill="auto"/>
            <w:noWrap/>
            <w:hideMark/>
          </w:tcPr>
          <w:p w14:paraId="220ADA2D" w14:textId="77777777" w:rsidR="00DE64BC" w:rsidRPr="00256982" w:rsidRDefault="00DE64BC" w:rsidP="00A808C7">
            <w:pPr>
              <w:pStyle w:val="TableText"/>
              <w:spacing w:before="50" w:after="50"/>
            </w:pPr>
            <w:r w:rsidRPr="00256982">
              <w:t>Fugitive – venting/flaring</w:t>
            </w:r>
          </w:p>
        </w:tc>
        <w:tc>
          <w:tcPr>
            <w:tcW w:w="974" w:type="pct"/>
            <w:tcBorders>
              <w:top w:val="single" w:sz="4" w:space="0" w:color="365F91"/>
              <w:left w:val="single" w:sz="4" w:space="0" w:color="365F91"/>
              <w:bottom w:val="single" w:sz="4" w:space="0" w:color="365F91"/>
              <w:right w:val="single" w:sz="4" w:space="0" w:color="365F91"/>
            </w:tcBorders>
            <w:shd w:val="clear" w:color="auto" w:fill="auto"/>
            <w:noWrap/>
            <w:hideMark/>
          </w:tcPr>
          <w:p w14:paraId="1560ACBE" w14:textId="77777777" w:rsidR="00DE64BC" w:rsidRPr="00256982" w:rsidRDefault="00DE64BC" w:rsidP="00A808C7">
            <w:pPr>
              <w:pStyle w:val="TableText"/>
              <w:spacing w:before="50" w:after="50"/>
              <w:jc w:val="center"/>
            </w:pPr>
            <w:r w:rsidRPr="00256982">
              <w:t>0.3</w:t>
            </w:r>
          </w:p>
        </w:tc>
        <w:tc>
          <w:tcPr>
            <w:tcW w:w="1011" w:type="pct"/>
            <w:tcBorders>
              <w:left w:val="single" w:sz="4" w:space="0" w:color="365F91"/>
            </w:tcBorders>
            <w:shd w:val="clear" w:color="auto" w:fill="auto"/>
            <w:noWrap/>
            <w:hideMark/>
          </w:tcPr>
          <w:p w14:paraId="38CFB7EF" w14:textId="77777777" w:rsidR="00DE64BC" w:rsidRPr="00256982" w:rsidRDefault="00DE64BC" w:rsidP="00A808C7">
            <w:pPr>
              <w:pStyle w:val="TableText"/>
              <w:spacing w:before="50" w:after="50"/>
              <w:jc w:val="center"/>
            </w:pPr>
            <w:r w:rsidRPr="00256982">
              <w:t>±2.6</w:t>
            </w:r>
          </w:p>
        </w:tc>
      </w:tr>
      <w:tr w:rsidR="00DE64BC" w:rsidRPr="00256982" w14:paraId="06351C91" w14:textId="77777777" w:rsidTr="00A808C7">
        <w:tc>
          <w:tcPr>
            <w:tcW w:w="320" w:type="pct"/>
            <w:tcBorders>
              <w:right w:val="single" w:sz="4" w:space="0" w:color="365F91"/>
            </w:tcBorders>
            <w:shd w:val="clear" w:color="auto" w:fill="auto"/>
            <w:noWrap/>
            <w:hideMark/>
          </w:tcPr>
          <w:p w14:paraId="346F8EDA" w14:textId="77777777" w:rsidR="00DE64BC" w:rsidRPr="00256982" w:rsidRDefault="00DE64BC" w:rsidP="00A808C7">
            <w:pPr>
              <w:pStyle w:val="TableText"/>
              <w:spacing w:before="50" w:after="50"/>
            </w:pPr>
            <w:r w:rsidRPr="00256982">
              <w:t> </w:t>
            </w:r>
          </w:p>
        </w:tc>
        <w:tc>
          <w:tcPr>
            <w:tcW w:w="2695" w:type="pct"/>
            <w:tcBorders>
              <w:top w:val="single" w:sz="4" w:space="0" w:color="365F91"/>
              <w:left w:val="single" w:sz="4" w:space="0" w:color="365F91"/>
              <w:bottom w:val="single" w:sz="4" w:space="0" w:color="365F91"/>
              <w:right w:val="single" w:sz="4" w:space="0" w:color="365F91"/>
            </w:tcBorders>
            <w:shd w:val="clear" w:color="auto" w:fill="auto"/>
            <w:noWrap/>
            <w:hideMark/>
          </w:tcPr>
          <w:p w14:paraId="36C80FDF" w14:textId="77777777" w:rsidR="00DE64BC" w:rsidRPr="00256982" w:rsidRDefault="00DE64BC" w:rsidP="00A808C7">
            <w:pPr>
              <w:pStyle w:val="TableText"/>
              <w:spacing w:before="50" w:after="50"/>
            </w:pPr>
            <w:r w:rsidRPr="00256982">
              <w:t>Fugitive – oil and gas production and transport</w:t>
            </w:r>
          </w:p>
        </w:tc>
        <w:tc>
          <w:tcPr>
            <w:tcW w:w="974" w:type="pct"/>
            <w:tcBorders>
              <w:top w:val="single" w:sz="4" w:space="0" w:color="365F91"/>
              <w:left w:val="single" w:sz="4" w:space="0" w:color="365F91"/>
              <w:bottom w:val="single" w:sz="4" w:space="0" w:color="365F91"/>
              <w:right w:val="single" w:sz="4" w:space="0" w:color="365F91"/>
            </w:tcBorders>
            <w:shd w:val="clear" w:color="auto" w:fill="auto"/>
            <w:noWrap/>
            <w:hideMark/>
          </w:tcPr>
          <w:p w14:paraId="3415AD36" w14:textId="77777777" w:rsidR="00DE64BC" w:rsidRPr="00256982" w:rsidRDefault="00DE64BC" w:rsidP="00A808C7">
            <w:pPr>
              <w:pStyle w:val="TableText"/>
              <w:spacing w:before="50" w:after="50"/>
              <w:jc w:val="center"/>
            </w:pPr>
            <w:r w:rsidRPr="00256982">
              <w:t>5.0</w:t>
            </w:r>
          </w:p>
        </w:tc>
        <w:tc>
          <w:tcPr>
            <w:tcW w:w="1011" w:type="pct"/>
            <w:tcBorders>
              <w:left w:val="single" w:sz="4" w:space="0" w:color="365F91"/>
            </w:tcBorders>
            <w:shd w:val="clear" w:color="auto" w:fill="auto"/>
            <w:noWrap/>
            <w:hideMark/>
          </w:tcPr>
          <w:p w14:paraId="3EA2CA3B" w14:textId="77777777" w:rsidR="00DE64BC" w:rsidRPr="00256982" w:rsidRDefault="00DE64BC" w:rsidP="00A808C7">
            <w:pPr>
              <w:pStyle w:val="TableText"/>
              <w:spacing w:before="50" w:after="50"/>
              <w:jc w:val="center"/>
            </w:pPr>
            <w:r w:rsidRPr="00256982">
              <w:t>±100.0</w:t>
            </w:r>
          </w:p>
        </w:tc>
      </w:tr>
      <w:tr w:rsidR="00DE64BC" w:rsidRPr="00256982" w14:paraId="07C29D36" w14:textId="77777777" w:rsidTr="00A808C7">
        <w:tc>
          <w:tcPr>
            <w:tcW w:w="320" w:type="pct"/>
            <w:tcBorders>
              <w:right w:val="single" w:sz="4" w:space="0" w:color="365F91"/>
            </w:tcBorders>
            <w:shd w:val="clear" w:color="auto" w:fill="auto"/>
            <w:noWrap/>
            <w:hideMark/>
          </w:tcPr>
          <w:p w14:paraId="3E95A611" w14:textId="77777777" w:rsidR="00DE64BC" w:rsidRPr="00256982" w:rsidRDefault="00DE64BC" w:rsidP="00A808C7">
            <w:pPr>
              <w:pStyle w:val="TableText"/>
              <w:spacing w:before="50" w:after="50"/>
            </w:pPr>
            <w:r w:rsidRPr="00256982">
              <w:t> </w:t>
            </w:r>
          </w:p>
        </w:tc>
        <w:tc>
          <w:tcPr>
            <w:tcW w:w="2695" w:type="pct"/>
            <w:tcBorders>
              <w:top w:val="single" w:sz="4" w:space="0" w:color="365F91"/>
              <w:left w:val="single" w:sz="4" w:space="0" w:color="365F91"/>
              <w:bottom w:val="single" w:sz="4" w:space="0" w:color="365F91"/>
              <w:right w:val="single" w:sz="4" w:space="0" w:color="365F91"/>
            </w:tcBorders>
            <w:shd w:val="clear" w:color="auto" w:fill="auto"/>
            <w:noWrap/>
            <w:hideMark/>
          </w:tcPr>
          <w:p w14:paraId="0E10A748" w14:textId="77777777" w:rsidR="00DE64BC" w:rsidRPr="00256982" w:rsidRDefault="00DE64BC" w:rsidP="00A808C7">
            <w:pPr>
              <w:pStyle w:val="TableText"/>
              <w:spacing w:before="50" w:after="50"/>
            </w:pPr>
            <w:r w:rsidRPr="00256982">
              <w:t>Fugitive – transmission and distribution</w:t>
            </w:r>
          </w:p>
        </w:tc>
        <w:tc>
          <w:tcPr>
            <w:tcW w:w="974" w:type="pct"/>
            <w:tcBorders>
              <w:top w:val="single" w:sz="4" w:space="0" w:color="365F91"/>
              <w:left w:val="single" w:sz="4" w:space="0" w:color="365F91"/>
              <w:bottom w:val="single" w:sz="4" w:space="0" w:color="365F91"/>
              <w:right w:val="single" w:sz="4" w:space="0" w:color="365F91"/>
            </w:tcBorders>
            <w:shd w:val="clear" w:color="auto" w:fill="auto"/>
            <w:noWrap/>
            <w:hideMark/>
          </w:tcPr>
          <w:p w14:paraId="2FEE251D" w14:textId="77777777" w:rsidR="00DE64BC" w:rsidRPr="00256982" w:rsidRDefault="00DE64BC" w:rsidP="00A808C7">
            <w:pPr>
              <w:pStyle w:val="TableText"/>
              <w:spacing w:before="50" w:after="50"/>
              <w:jc w:val="center"/>
            </w:pPr>
            <w:r w:rsidRPr="00256982">
              <w:t>0.3</w:t>
            </w:r>
          </w:p>
        </w:tc>
        <w:tc>
          <w:tcPr>
            <w:tcW w:w="1011" w:type="pct"/>
            <w:tcBorders>
              <w:left w:val="single" w:sz="4" w:space="0" w:color="365F91"/>
            </w:tcBorders>
            <w:shd w:val="clear" w:color="auto" w:fill="auto"/>
            <w:noWrap/>
            <w:hideMark/>
          </w:tcPr>
          <w:p w14:paraId="5E12869A" w14:textId="77777777" w:rsidR="00DE64BC" w:rsidRPr="00256982" w:rsidRDefault="00DE64BC" w:rsidP="00A808C7">
            <w:pPr>
              <w:pStyle w:val="TableText"/>
              <w:spacing w:before="50" w:after="50"/>
              <w:jc w:val="center"/>
            </w:pPr>
            <w:r w:rsidRPr="00256982">
              <w:t>±100.0</w:t>
            </w:r>
          </w:p>
        </w:tc>
      </w:tr>
      <w:tr w:rsidR="00DE64BC" w:rsidRPr="00256982" w14:paraId="4225A12E" w14:textId="77777777" w:rsidTr="00A808C7">
        <w:tc>
          <w:tcPr>
            <w:tcW w:w="320" w:type="pct"/>
            <w:tcBorders>
              <w:right w:val="single" w:sz="4" w:space="0" w:color="365F91"/>
            </w:tcBorders>
            <w:shd w:val="clear" w:color="auto" w:fill="auto"/>
            <w:noWrap/>
            <w:hideMark/>
          </w:tcPr>
          <w:p w14:paraId="5015DD3C" w14:textId="77777777" w:rsidR="00DE64BC" w:rsidRPr="00256982" w:rsidRDefault="00DE64BC" w:rsidP="00A808C7">
            <w:pPr>
              <w:pStyle w:val="TableText"/>
              <w:spacing w:before="50" w:after="50"/>
            </w:pPr>
            <w:r w:rsidRPr="00256982">
              <w:t>CH</w:t>
            </w:r>
            <w:r w:rsidRPr="00256982">
              <w:rPr>
                <w:vertAlign w:val="subscript"/>
              </w:rPr>
              <w:t>4</w:t>
            </w:r>
          </w:p>
        </w:tc>
        <w:tc>
          <w:tcPr>
            <w:tcW w:w="2695" w:type="pct"/>
            <w:tcBorders>
              <w:top w:val="single" w:sz="4" w:space="0" w:color="365F91"/>
              <w:left w:val="single" w:sz="4" w:space="0" w:color="365F91"/>
              <w:bottom w:val="single" w:sz="4" w:space="0" w:color="365F91"/>
              <w:right w:val="single" w:sz="4" w:space="0" w:color="365F91"/>
            </w:tcBorders>
            <w:shd w:val="clear" w:color="auto" w:fill="auto"/>
            <w:noWrap/>
            <w:hideMark/>
          </w:tcPr>
          <w:p w14:paraId="71D51E9C" w14:textId="77777777" w:rsidR="00DE64BC" w:rsidRPr="00256982" w:rsidRDefault="00DE64BC" w:rsidP="00A808C7">
            <w:pPr>
              <w:pStyle w:val="TableText"/>
              <w:spacing w:before="50" w:after="50"/>
            </w:pPr>
            <w:r w:rsidRPr="00256982">
              <w:t>Liquid fuels</w:t>
            </w:r>
          </w:p>
        </w:tc>
        <w:tc>
          <w:tcPr>
            <w:tcW w:w="974" w:type="pct"/>
            <w:tcBorders>
              <w:top w:val="single" w:sz="4" w:space="0" w:color="365F91"/>
              <w:left w:val="single" w:sz="4" w:space="0" w:color="365F91"/>
              <w:bottom w:val="single" w:sz="4" w:space="0" w:color="365F91"/>
              <w:right w:val="single" w:sz="4" w:space="0" w:color="365F91"/>
            </w:tcBorders>
            <w:shd w:val="clear" w:color="auto" w:fill="auto"/>
            <w:noWrap/>
            <w:hideMark/>
          </w:tcPr>
          <w:p w14:paraId="18044262" w14:textId="77777777" w:rsidR="00DE64BC" w:rsidRPr="00256982" w:rsidRDefault="00DE64BC" w:rsidP="00A808C7">
            <w:pPr>
              <w:pStyle w:val="TableText"/>
              <w:spacing w:before="50" w:after="50"/>
              <w:jc w:val="center"/>
            </w:pPr>
            <w:r w:rsidRPr="00256982">
              <w:t>1.2</w:t>
            </w:r>
          </w:p>
        </w:tc>
        <w:tc>
          <w:tcPr>
            <w:tcW w:w="1011" w:type="pct"/>
            <w:tcBorders>
              <w:left w:val="single" w:sz="4" w:space="0" w:color="365F91"/>
            </w:tcBorders>
            <w:shd w:val="clear" w:color="auto" w:fill="auto"/>
            <w:noWrap/>
            <w:hideMark/>
          </w:tcPr>
          <w:p w14:paraId="767358E1" w14:textId="77777777" w:rsidR="00DE64BC" w:rsidRPr="00256982" w:rsidRDefault="00DE64BC" w:rsidP="00A808C7">
            <w:pPr>
              <w:pStyle w:val="TableText"/>
              <w:spacing w:before="50" w:after="50"/>
              <w:jc w:val="center"/>
            </w:pPr>
            <w:r w:rsidRPr="00256982">
              <w:t>±50.0</w:t>
            </w:r>
          </w:p>
        </w:tc>
      </w:tr>
      <w:tr w:rsidR="00DE64BC" w:rsidRPr="00256982" w14:paraId="64D30549" w14:textId="77777777" w:rsidTr="00A808C7">
        <w:tc>
          <w:tcPr>
            <w:tcW w:w="320" w:type="pct"/>
            <w:tcBorders>
              <w:right w:val="single" w:sz="4" w:space="0" w:color="365F91"/>
            </w:tcBorders>
            <w:shd w:val="clear" w:color="auto" w:fill="auto"/>
            <w:noWrap/>
            <w:hideMark/>
          </w:tcPr>
          <w:p w14:paraId="38A53BDA" w14:textId="77777777" w:rsidR="00DE64BC" w:rsidRPr="00256982" w:rsidRDefault="00DE64BC" w:rsidP="00A808C7">
            <w:pPr>
              <w:pStyle w:val="TableText"/>
              <w:spacing w:before="50" w:after="50"/>
            </w:pPr>
            <w:r w:rsidRPr="00256982">
              <w:t> </w:t>
            </w:r>
          </w:p>
        </w:tc>
        <w:tc>
          <w:tcPr>
            <w:tcW w:w="2695" w:type="pct"/>
            <w:tcBorders>
              <w:top w:val="single" w:sz="4" w:space="0" w:color="365F91"/>
              <w:left w:val="single" w:sz="4" w:space="0" w:color="365F91"/>
              <w:bottom w:val="single" w:sz="4" w:space="0" w:color="365F91"/>
              <w:right w:val="single" w:sz="4" w:space="0" w:color="365F91"/>
            </w:tcBorders>
            <w:shd w:val="clear" w:color="auto" w:fill="auto"/>
            <w:noWrap/>
            <w:hideMark/>
          </w:tcPr>
          <w:p w14:paraId="35F5E161" w14:textId="77777777" w:rsidR="00DE64BC" w:rsidRPr="00256982" w:rsidRDefault="00DE64BC" w:rsidP="00A808C7">
            <w:pPr>
              <w:pStyle w:val="TableText"/>
              <w:spacing w:before="50" w:after="50"/>
            </w:pPr>
            <w:r w:rsidRPr="00256982">
              <w:t>Solid fuels</w:t>
            </w:r>
          </w:p>
        </w:tc>
        <w:tc>
          <w:tcPr>
            <w:tcW w:w="974" w:type="pct"/>
            <w:tcBorders>
              <w:top w:val="single" w:sz="4" w:space="0" w:color="365F91"/>
              <w:left w:val="single" w:sz="4" w:space="0" w:color="365F91"/>
              <w:bottom w:val="single" w:sz="4" w:space="0" w:color="365F91"/>
              <w:right w:val="single" w:sz="4" w:space="0" w:color="365F91"/>
            </w:tcBorders>
            <w:shd w:val="clear" w:color="auto" w:fill="auto"/>
            <w:noWrap/>
            <w:hideMark/>
          </w:tcPr>
          <w:p w14:paraId="34D40F25" w14:textId="77777777" w:rsidR="00DE64BC" w:rsidRPr="00256982" w:rsidRDefault="00DE64BC" w:rsidP="00A808C7">
            <w:pPr>
              <w:pStyle w:val="TableText"/>
              <w:spacing w:before="50" w:after="50"/>
              <w:jc w:val="center"/>
            </w:pPr>
            <w:r w:rsidRPr="00256982">
              <w:t>4.0</w:t>
            </w:r>
          </w:p>
        </w:tc>
        <w:tc>
          <w:tcPr>
            <w:tcW w:w="1011" w:type="pct"/>
            <w:tcBorders>
              <w:left w:val="single" w:sz="4" w:space="0" w:color="365F91"/>
            </w:tcBorders>
            <w:shd w:val="clear" w:color="auto" w:fill="auto"/>
            <w:noWrap/>
            <w:hideMark/>
          </w:tcPr>
          <w:p w14:paraId="4655CE2A" w14:textId="77777777" w:rsidR="00DE64BC" w:rsidRPr="00256982" w:rsidRDefault="00DE64BC" w:rsidP="00A808C7">
            <w:pPr>
              <w:pStyle w:val="TableText"/>
              <w:spacing w:before="50" w:after="50"/>
              <w:jc w:val="center"/>
            </w:pPr>
            <w:r w:rsidRPr="00256982">
              <w:t>±50.0</w:t>
            </w:r>
          </w:p>
        </w:tc>
      </w:tr>
      <w:tr w:rsidR="00DE64BC" w:rsidRPr="00256982" w14:paraId="1F66526D" w14:textId="77777777" w:rsidTr="00A808C7">
        <w:tc>
          <w:tcPr>
            <w:tcW w:w="320" w:type="pct"/>
            <w:tcBorders>
              <w:right w:val="single" w:sz="4" w:space="0" w:color="365F91"/>
            </w:tcBorders>
            <w:shd w:val="clear" w:color="auto" w:fill="auto"/>
            <w:noWrap/>
            <w:hideMark/>
          </w:tcPr>
          <w:p w14:paraId="0E7EAE2B" w14:textId="77777777" w:rsidR="00DE64BC" w:rsidRPr="00256982" w:rsidRDefault="00DE64BC" w:rsidP="00A808C7">
            <w:pPr>
              <w:pStyle w:val="TableText"/>
              <w:spacing w:before="50" w:after="50"/>
            </w:pPr>
            <w:r w:rsidRPr="00256982">
              <w:t> </w:t>
            </w:r>
          </w:p>
        </w:tc>
        <w:tc>
          <w:tcPr>
            <w:tcW w:w="2695" w:type="pct"/>
            <w:tcBorders>
              <w:top w:val="single" w:sz="4" w:space="0" w:color="365F91"/>
              <w:left w:val="single" w:sz="4" w:space="0" w:color="365F91"/>
              <w:bottom w:val="single" w:sz="4" w:space="0" w:color="365F91"/>
              <w:right w:val="single" w:sz="4" w:space="0" w:color="365F91"/>
            </w:tcBorders>
            <w:shd w:val="clear" w:color="auto" w:fill="auto"/>
            <w:noWrap/>
            <w:hideMark/>
          </w:tcPr>
          <w:p w14:paraId="2CEC69A2" w14:textId="77777777" w:rsidR="00DE64BC" w:rsidRPr="00256982" w:rsidRDefault="00DE64BC" w:rsidP="00A808C7">
            <w:pPr>
              <w:pStyle w:val="TableText"/>
              <w:spacing w:before="50" w:after="50"/>
            </w:pPr>
            <w:r w:rsidRPr="00256982">
              <w:t>Gaseous fuels</w:t>
            </w:r>
          </w:p>
        </w:tc>
        <w:tc>
          <w:tcPr>
            <w:tcW w:w="974" w:type="pct"/>
            <w:tcBorders>
              <w:top w:val="single" w:sz="4" w:space="0" w:color="365F91"/>
              <w:left w:val="single" w:sz="4" w:space="0" w:color="365F91"/>
              <w:bottom w:val="single" w:sz="4" w:space="0" w:color="365F91"/>
              <w:right w:val="single" w:sz="4" w:space="0" w:color="365F91"/>
            </w:tcBorders>
            <w:shd w:val="clear" w:color="auto" w:fill="auto"/>
            <w:noWrap/>
            <w:hideMark/>
          </w:tcPr>
          <w:p w14:paraId="049D46AB" w14:textId="77777777" w:rsidR="00DE64BC" w:rsidRPr="00256982" w:rsidRDefault="00DE64BC" w:rsidP="00A808C7">
            <w:pPr>
              <w:pStyle w:val="TableText"/>
              <w:spacing w:before="50" w:after="50"/>
              <w:jc w:val="center"/>
            </w:pPr>
            <w:r w:rsidRPr="00256982">
              <w:t>0.3</w:t>
            </w:r>
          </w:p>
        </w:tc>
        <w:tc>
          <w:tcPr>
            <w:tcW w:w="1011" w:type="pct"/>
            <w:tcBorders>
              <w:left w:val="single" w:sz="4" w:space="0" w:color="365F91"/>
            </w:tcBorders>
            <w:shd w:val="clear" w:color="auto" w:fill="auto"/>
            <w:noWrap/>
            <w:hideMark/>
          </w:tcPr>
          <w:p w14:paraId="20ACC74B" w14:textId="77777777" w:rsidR="00DE64BC" w:rsidRPr="00256982" w:rsidRDefault="00DE64BC" w:rsidP="00A808C7">
            <w:pPr>
              <w:pStyle w:val="TableText"/>
              <w:spacing w:before="50" w:after="50"/>
              <w:jc w:val="center"/>
            </w:pPr>
            <w:r w:rsidRPr="00256982">
              <w:t>±50.0</w:t>
            </w:r>
          </w:p>
        </w:tc>
      </w:tr>
      <w:tr w:rsidR="00DE64BC" w:rsidRPr="00256982" w14:paraId="44A44BED" w14:textId="77777777" w:rsidTr="00A808C7">
        <w:tc>
          <w:tcPr>
            <w:tcW w:w="320" w:type="pct"/>
            <w:tcBorders>
              <w:right w:val="single" w:sz="4" w:space="0" w:color="365F91"/>
            </w:tcBorders>
            <w:shd w:val="clear" w:color="auto" w:fill="auto"/>
            <w:noWrap/>
            <w:hideMark/>
          </w:tcPr>
          <w:p w14:paraId="3374F2B2" w14:textId="77777777" w:rsidR="00DE64BC" w:rsidRPr="00256982" w:rsidRDefault="00DE64BC" w:rsidP="00A808C7">
            <w:pPr>
              <w:pStyle w:val="TableText"/>
              <w:spacing w:before="50" w:after="50"/>
            </w:pPr>
            <w:r w:rsidRPr="00256982">
              <w:t> </w:t>
            </w:r>
          </w:p>
        </w:tc>
        <w:tc>
          <w:tcPr>
            <w:tcW w:w="2695" w:type="pct"/>
            <w:tcBorders>
              <w:top w:val="single" w:sz="4" w:space="0" w:color="365F91"/>
              <w:left w:val="single" w:sz="4" w:space="0" w:color="365F91"/>
              <w:bottom w:val="single" w:sz="4" w:space="0" w:color="365F91"/>
              <w:right w:val="single" w:sz="4" w:space="0" w:color="365F91"/>
            </w:tcBorders>
            <w:shd w:val="clear" w:color="auto" w:fill="auto"/>
            <w:noWrap/>
            <w:hideMark/>
          </w:tcPr>
          <w:p w14:paraId="288F5B00" w14:textId="77777777" w:rsidR="00DE64BC" w:rsidRPr="00256982" w:rsidRDefault="00DE64BC" w:rsidP="00A808C7">
            <w:pPr>
              <w:pStyle w:val="TableText"/>
              <w:spacing w:before="50" w:after="50"/>
            </w:pPr>
            <w:r w:rsidRPr="00256982">
              <w:t>Biomass</w:t>
            </w:r>
          </w:p>
        </w:tc>
        <w:tc>
          <w:tcPr>
            <w:tcW w:w="974" w:type="pct"/>
            <w:tcBorders>
              <w:top w:val="single" w:sz="4" w:space="0" w:color="365F91"/>
              <w:left w:val="single" w:sz="4" w:space="0" w:color="365F91"/>
              <w:bottom w:val="single" w:sz="4" w:space="0" w:color="365F91"/>
              <w:right w:val="single" w:sz="4" w:space="0" w:color="365F91"/>
            </w:tcBorders>
            <w:shd w:val="clear" w:color="auto" w:fill="auto"/>
            <w:noWrap/>
            <w:hideMark/>
          </w:tcPr>
          <w:p w14:paraId="1EA2DBA7" w14:textId="77777777" w:rsidR="00DE64BC" w:rsidRPr="00256982" w:rsidRDefault="00DE64BC" w:rsidP="00A808C7">
            <w:pPr>
              <w:pStyle w:val="TableText"/>
              <w:spacing w:before="50" w:after="50"/>
              <w:jc w:val="center"/>
            </w:pPr>
            <w:r w:rsidRPr="00256982">
              <w:t>50.0</w:t>
            </w:r>
          </w:p>
        </w:tc>
        <w:tc>
          <w:tcPr>
            <w:tcW w:w="1011" w:type="pct"/>
            <w:tcBorders>
              <w:left w:val="single" w:sz="4" w:space="0" w:color="365F91"/>
            </w:tcBorders>
            <w:shd w:val="clear" w:color="auto" w:fill="auto"/>
            <w:noWrap/>
            <w:hideMark/>
          </w:tcPr>
          <w:p w14:paraId="68D16889" w14:textId="77777777" w:rsidR="00DE64BC" w:rsidRPr="00256982" w:rsidRDefault="00DE64BC" w:rsidP="00A808C7">
            <w:pPr>
              <w:pStyle w:val="TableText"/>
              <w:spacing w:before="50" w:after="50"/>
              <w:jc w:val="center"/>
            </w:pPr>
            <w:r w:rsidRPr="00256982">
              <w:t>±50.0</w:t>
            </w:r>
          </w:p>
        </w:tc>
      </w:tr>
      <w:tr w:rsidR="00DE64BC" w:rsidRPr="00256982" w14:paraId="5127279E" w14:textId="77777777" w:rsidTr="00A808C7">
        <w:tc>
          <w:tcPr>
            <w:tcW w:w="320" w:type="pct"/>
            <w:tcBorders>
              <w:right w:val="single" w:sz="4" w:space="0" w:color="365F91"/>
            </w:tcBorders>
            <w:shd w:val="clear" w:color="auto" w:fill="auto"/>
            <w:noWrap/>
            <w:hideMark/>
          </w:tcPr>
          <w:p w14:paraId="6E019C1C" w14:textId="77777777" w:rsidR="00DE64BC" w:rsidRPr="00256982" w:rsidRDefault="00DE64BC" w:rsidP="00A808C7">
            <w:pPr>
              <w:pStyle w:val="TableText"/>
              <w:spacing w:before="50" w:after="50"/>
            </w:pPr>
            <w:r w:rsidRPr="00256982">
              <w:t> </w:t>
            </w:r>
          </w:p>
        </w:tc>
        <w:tc>
          <w:tcPr>
            <w:tcW w:w="2695" w:type="pct"/>
            <w:tcBorders>
              <w:top w:val="single" w:sz="4" w:space="0" w:color="365F91"/>
              <w:left w:val="single" w:sz="4" w:space="0" w:color="365F91"/>
              <w:bottom w:val="single" w:sz="4" w:space="0" w:color="365F91"/>
              <w:right w:val="single" w:sz="4" w:space="0" w:color="365F91"/>
            </w:tcBorders>
            <w:shd w:val="clear" w:color="auto" w:fill="auto"/>
            <w:noWrap/>
            <w:hideMark/>
          </w:tcPr>
          <w:p w14:paraId="4ECED648" w14:textId="77777777" w:rsidR="00DE64BC" w:rsidRPr="00256982" w:rsidRDefault="00DE64BC" w:rsidP="00A808C7">
            <w:pPr>
              <w:pStyle w:val="TableText"/>
              <w:spacing w:before="50" w:after="50"/>
            </w:pPr>
            <w:r w:rsidRPr="00256982">
              <w:t>Fugitive – geothermal</w:t>
            </w:r>
          </w:p>
        </w:tc>
        <w:tc>
          <w:tcPr>
            <w:tcW w:w="974" w:type="pct"/>
            <w:tcBorders>
              <w:top w:val="single" w:sz="4" w:space="0" w:color="365F91"/>
              <w:left w:val="single" w:sz="4" w:space="0" w:color="365F91"/>
              <w:bottom w:val="single" w:sz="4" w:space="0" w:color="365F91"/>
              <w:right w:val="single" w:sz="4" w:space="0" w:color="365F91"/>
            </w:tcBorders>
            <w:shd w:val="clear" w:color="auto" w:fill="auto"/>
            <w:noWrap/>
            <w:hideMark/>
          </w:tcPr>
          <w:p w14:paraId="6FFF6896" w14:textId="77777777" w:rsidR="00DE64BC" w:rsidRPr="00256982" w:rsidRDefault="00DE64BC" w:rsidP="00A808C7">
            <w:pPr>
              <w:pStyle w:val="TableText"/>
              <w:spacing w:before="50" w:after="50"/>
              <w:jc w:val="center"/>
            </w:pPr>
            <w:r w:rsidRPr="00256982">
              <w:t>5.0</w:t>
            </w:r>
          </w:p>
        </w:tc>
        <w:tc>
          <w:tcPr>
            <w:tcW w:w="1011" w:type="pct"/>
            <w:tcBorders>
              <w:left w:val="single" w:sz="4" w:space="0" w:color="365F91"/>
            </w:tcBorders>
            <w:shd w:val="clear" w:color="auto" w:fill="auto"/>
            <w:noWrap/>
            <w:hideMark/>
          </w:tcPr>
          <w:p w14:paraId="345C39EE" w14:textId="77777777" w:rsidR="00DE64BC" w:rsidRPr="00256982" w:rsidRDefault="00DE64BC" w:rsidP="00A808C7">
            <w:pPr>
              <w:pStyle w:val="TableText"/>
              <w:spacing w:before="50" w:after="50"/>
              <w:jc w:val="center"/>
            </w:pPr>
            <w:r w:rsidRPr="00256982">
              <w:t>±5.0</w:t>
            </w:r>
          </w:p>
        </w:tc>
      </w:tr>
      <w:tr w:rsidR="00DE64BC" w:rsidRPr="00256982" w14:paraId="0DD0DF60" w14:textId="77777777" w:rsidTr="00A808C7">
        <w:tc>
          <w:tcPr>
            <w:tcW w:w="320" w:type="pct"/>
            <w:tcBorders>
              <w:right w:val="single" w:sz="4" w:space="0" w:color="365F91"/>
            </w:tcBorders>
            <w:shd w:val="clear" w:color="auto" w:fill="auto"/>
            <w:noWrap/>
            <w:hideMark/>
          </w:tcPr>
          <w:p w14:paraId="6627AF2A" w14:textId="77777777" w:rsidR="00DE64BC" w:rsidRPr="00256982" w:rsidRDefault="00DE64BC" w:rsidP="00A808C7">
            <w:pPr>
              <w:pStyle w:val="TableText"/>
              <w:spacing w:before="50" w:after="50"/>
            </w:pPr>
            <w:r w:rsidRPr="00256982">
              <w:t> </w:t>
            </w:r>
          </w:p>
        </w:tc>
        <w:tc>
          <w:tcPr>
            <w:tcW w:w="2695" w:type="pct"/>
            <w:tcBorders>
              <w:top w:val="single" w:sz="4" w:space="0" w:color="365F91"/>
              <w:left w:val="single" w:sz="4" w:space="0" w:color="365F91"/>
              <w:bottom w:val="single" w:sz="4" w:space="0" w:color="365F91"/>
              <w:right w:val="single" w:sz="4" w:space="0" w:color="365F91"/>
            </w:tcBorders>
            <w:shd w:val="clear" w:color="auto" w:fill="auto"/>
            <w:noWrap/>
            <w:hideMark/>
          </w:tcPr>
          <w:p w14:paraId="1B77C523" w14:textId="77777777" w:rsidR="00DE64BC" w:rsidRPr="00256982" w:rsidRDefault="00DE64BC" w:rsidP="00A808C7">
            <w:pPr>
              <w:pStyle w:val="TableText"/>
              <w:spacing w:before="50" w:after="50"/>
            </w:pPr>
            <w:r w:rsidRPr="00256982">
              <w:t>Fugitive – venting/flaring</w:t>
            </w:r>
          </w:p>
        </w:tc>
        <w:tc>
          <w:tcPr>
            <w:tcW w:w="974" w:type="pct"/>
            <w:tcBorders>
              <w:top w:val="single" w:sz="4" w:space="0" w:color="365F91"/>
              <w:left w:val="single" w:sz="4" w:space="0" w:color="365F91"/>
              <w:bottom w:val="single" w:sz="4" w:space="0" w:color="365F91"/>
              <w:right w:val="single" w:sz="4" w:space="0" w:color="365F91"/>
            </w:tcBorders>
            <w:shd w:val="clear" w:color="auto" w:fill="auto"/>
            <w:noWrap/>
            <w:hideMark/>
          </w:tcPr>
          <w:p w14:paraId="5CD29240" w14:textId="77777777" w:rsidR="00DE64BC" w:rsidRPr="00256982" w:rsidRDefault="00DE64BC" w:rsidP="00A808C7">
            <w:pPr>
              <w:pStyle w:val="TableText"/>
              <w:spacing w:before="50" w:after="50"/>
              <w:jc w:val="center"/>
            </w:pPr>
            <w:r w:rsidRPr="00256982">
              <w:t>0.3</w:t>
            </w:r>
          </w:p>
        </w:tc>
        <w:tc>
          <w:tcPr>
            <w:tcW w:w="1011" w:type="pct"/>
            <w:tcBorders>
              <w:left w:val="single" w:sz="4" w:space="0" w:color="365F91"/>
            </w:tcBorders>
            <w:shd w:val="clear" w:color="auto" w:fill="auto"/>
            <w:noWrap/>
            <w:hideMark/>
          </w:tcPr>
          <w:p w14:paraId="1541867B" w14:textId="77777777" w:rsidR="00DE64BC" w:rsidRPr="00256982" w:rsidRDefault="00DE64BC" w:rsidP="00A808C7">
            <w:pPr>
              <w:pStyle w:val="TableText"/>
              <w:spacing w:before="50" w:after="50"/>
              <w:jc w:val="center"/>
            </w:pPr>
            <w:r w:rsidRPr="00256982">
              <w:t>±50.0</w:t>
            </w:r>
          </w:p>
        </w:tc>
      </w:tr>
      <w:tr w:rsidR="00DE64BC" w:rsidRPr="00256982" w14:paraId="4E7FD4F8" w14:textId="77777777" w:rsidTr="00A808C7">
        <w:tc>
          <w:tcPr>
            <w:tcW w:w="320" w:type="pct"/>
            <w:tcBorders>
              <w:right w:val="single" w:sz="4" w:space="0" w:color="365F91"/>
            </w:tcBorders>
            <w:shd w:val="clear" w:color="auto" w:fill="auto"/>
            <w:noWrap/>
            <w:hideMark/>
          </w:tcPr>
          <w:p w14:paraId="21160C51" w14:textId="77777777" w:rsidR="00DE64BC" w:rsidRPr="00256982" w:rsidRDefault="00DE64BC" w:rsidP="00A808C7">
            <w:pPr>
              <w:pStyle w:val="TableText"/>
              <w:spacing w:before="50" w:after="50"/>
            </w:pPr>
            <w:r w:rsidRPr="00256982">
              <w:t> </w:t>
            </w:r>
          </w:p>
        </w:tc>
        <w:tc>
          <w:tcPr>
            <w:tcW w:w="2695" w:type="pct"/>
            <w:tcBorders>
              <w:top w:val="single" w:sz="4" w:space="0" w:color="365F91"/>
              <w:left w:val="single" w:sz="4" w:space="0" w:color="365F91"/>
              <w:bottom w:val="single" w:sz="4" w:space="0" w:color="365F91"/>
              <w:right w:val="single" w:sz="4" w:space="0" w:color="365F91"/>
            </w:tcBorders>
            <w:shd w:val="clear" w:color="auto" w:fill="auto"/>
            <w:noWrap/>
            <w:hideMark/>
          </w:tcPr>
          <w:p w14:paraId="65E339DE" w14:textId="77777777" w:rsidR="00DE64BC" w:rsidRPr="00256982" w:rsidRDefault="00DE64BC" w:rsidP="00A808C7">
            <w:pPr>
              <w:pStyle w:val="TableText"/>
              <w:spacing w:before="50" w:after="50"/>
            </w:pPr>
            <w:r w:rsidRPr="00256982">
              <w:t>Fugitive – coal mining and handling</w:t>
            </w:r>
          </w:p>
        </w:tc>
        <w:tc>
          <w:tcPr>
            <w:tcW w:w="974" w:type="pct"/>
            <w:tcBorders>
              <w:top w:val="single" w:sz="4" w:space="0" w:color="365F91"/>
              <w:left w:val="single" w:sz="4" w:space="0" w:color="365F91"/>
              <w:bottom w:val="single" w:sz="4" w:space="0" w:color="365F91"/>
              <w:right w:val="single" w:sz="4" w:space="0" w:color="365F91"/>
            </w:tcBorders>
            <w:shd w:val="clear" w:color="auto" w:fill="auto"/>
            <w:noWrap/>
            <w:hideMark/>
          </w:tcPr>
          <w:p w14:paraId="592FED90" w14:textId="77777777" w:rsidR="00DE64BC" w:rsidRPr="00256982" w:rsidRDefault="00DE64BC" w:rsidP="00A808C7">
            <w:pPr>
              <w:pStyle w:val="TableText"/>
              <w:spacing w:before="50" w:after="50"/>
              <w:jc w:val="center"/>
            </w:pPr>
            <w:r w:rsidRPr="00256982">
              <w:t>4.0</w:t>
            </w:r>
          </w:p>
        </w:tc>
        <w:tc>
          <w:tcPr>
            <w:tcW w:w="1011" w:type="pct"/>
            <w:tcBorders>
              <w:left w:val="single" w:sz="4" w:space="0" w:color="365F91"/>
            </w:tcBorders>
            <w:shd w:val="clear" w:color="auto" w:fill="auto"/>
            <w:noWrap/>
            <w:hideMark/>
          </w:tcPr>
          <w:p w14:paraId="1EB98714" w14:textId="77777777" w:rsidR="00DE64BC" w:rsidRPr="00256982" w:rsidRDefault="00DE64BC" w:rsidP="00A808C7">
            <w:pPr>
              <w:pStyle w:val="TableText"/>
              <w:spacing w:before="50" w:after="50"/>
              <w:jc w:val="center"/>
            </w:pPr>
            <w:r w:rsidRPr="00256982">
              <w:t>±50.0</w:t>
            </w:r>
          </w:p>
        </w:tc>
      </w:tr>
      <w:tr w:rsidR="00DE64BC" w:rsidRPr="00256982" w14:paraId="39EF2AFA" w14:textId="77777777" w:rsidTr="00A808C7">
        <w:tc>
          <w:tcPr>
            <w:tcW w:w="320" w:type="pct"/>
            <w:tcBorders>
              <w:right w:val="single" w:sz="4" w:space="0" w:color="365F91"/>
            </w:tcBorders>
            <w:shd w:val="clear" w:color="auto" w:fill="auto"/>
            <w:noWrap/>
            <w:hideMark/>
          </w:tcPr>
          <w:p w14:paraId="191A0B9B" w14:textId="77777777" w:rsidR="00DE64BC" w:rsidRPr="00256982" w:rsidRDefault="00DE64BC" w:rsidP="00A808C7">
            <w:pPr>
              <w:pStyle w:val="TableText"/>
              <w:spacing w:before="50" w:after="50"/>
            </w:pPr>
            <w:r w:rsidRPr="00256982">
              <w:t> </w:t>
            </w:r>
          </w:p>
        </w:tc>
        <w:tc>
          <w:tcPr>
            <w:tcW w:w="2695" w:type="pct"/>
            <w:tcBorders>
              <w:top w:val="single" w:sz="4" w:space="0" w:color="365F91"/>
              <w:left w:val="single" w:sz="4" w:space="0" w:color="365F91"/>
              <w:bottom w:val="single" w:sz="4" w:space="0" w:color="365F91"/>
              <w:right w:val="single" w:sz="4" w:space="0" w:color="365F91"/>
            </w:tcBorders>
            <w:shd w:val="clear" w:color="auto" w:fill="auto"/>
            <w:noWrap/>
            <w:hideMark/>
          </w:tcPr>
          <w:p w14:paraId="173C0729" w14:textId="77777777" w:rsidR="00DE64BC" w:rsidRPr="00256982" w:rsidRDefault="00DE64BC" w:rsidP="00A808C7">
            <w:pPr>
              <w:pStyle w:val="TableText"/>
              <w:spacing w:before="50" w:after="50"/>
            </w:pPr>
            <w:r w:rsidRPr="00256982">
              <w:t>Fugitive – transmission and distribution</w:t>
            </w:r>
          </w:p>
        </w:tc>
        <w:tc>
          <w:tcPr>
            <w:tcW w:w="974" w:type="pct"/>
            <w:tcBorders>
              <w:top w:val="single" w:sz="4" w:space="0" w:color="365F91"/>
              <w:left w:val="single" w:sz="4" w:space="0" w:color="365F91"/>
              <w:bottom w:val="single" w:sz="4" w:space="0" w:color="365F91"/>
              <w:right w:val="single" w:sz="4" w:space="0" w:color="365F91"/>
            </w:tcBorders>
            <w:shd w:val="clear" w:color="auto" w:fill="auto"/>
            <w:noWrap/>
            <w:hideMark/>
          </w:tcPr>
          <w:p w14:paraId="74EB7F2A" w14:textId="77777777" w:rsidR="00DE64BC" w:rsidRPr="00256982" w:rsidRDefault="00DE64BC" w:rsidP="00A808C7">
            <w:pPr>
              <w:pStyle w:val="TableText"/>
              <w:spacing w:before="50" w:after="50"/>
              <w:jc w:val="center"/>
            </w:pPr>
            <w:r w:rsidRPr="00256982">
              <w:t>0.3</w:t>
            </w:r>
          </w:p>
        </w:tc>
        <w:tc>
          <w:tcPr>
            <w:tcW w:w="1011" w:type="pct"/>
            <w:tcBorders>
              <w:left w:val="single" w:sz="4" w:space="0" w:color="365F91"/>
            </w:tcBorders>
            <w:shd w:val="clear" w:color="auto" w:fill="auto"/>
            <w:noWrap/>
            <w:hideMark/>
          </w:tcPr>
          <w:p w14:paraId="097A7535" w14:textId="77777777" w:rsidR="00DE64BC" w:rsidRPr="00256982" w:rsidRDefault="00DE64BC" w:rsidP="00A808C7">
            <w:pPr>
              <w:pStyle w:val="TableText"/>
              <w:spacing w:before="50" w:after="50"/>
              <w:jc w:val="center"/>
            </w:pPr>
            <w:r w:rsidRPr="00256982">
              <w:t>±100.0</w:t>
            </w:r>
          </w:p>
        </w:tc>
      </w:tr>
      <w:tr w:rsidR="00DE64BC" w:rsidRPr="00256982" w14:paraId="0B878295" w14:textId="77777777" w:rsidTr="00A808C7">
        <w:tc>
          <w:tcPr>
            <w:tcW w:w="320" w:type="pct"/>
            <w:tcBorders>
              <w:right w:val="single" w:sz="4" w:space="0" w:color="365F91"/>
            </w:tcBorders>
            <w:shd w:val="clear" w:color="auto" w:fill="auto"/>
            <w:noWrap/>
            <w:hideMark/>
          </w:tcPr>
          <w:p w14:paraId="27507F8E" w14:textId="77777777" w:rsidR="00DE64BC" w:rsidRPr="00256982" w:rsidRDefault="00DE64BC" w:rsidP="00A808C7">
            <w:pPr>
              <w:pStyle w:val="TableText"/>
              <w:spacing w:before="50" w:after="50"/>
            </w:pPr>
            <w:r w:rsidRPr="00256982">
              <w:t> </w:t>
            </w:r>
          </w:p>
        </w:tc>
        <w:tc>
          <w:tcPr>
            <w:tcW w:w="2695" w:type="pct"/>
            <w:tcBorders>
              <w:top w:val="single" w:sz="4" w:space="0" w:color="365F91"/>
              <w:left w:val="single" w:sz="4" w:space="0" w:color="365F91"/>
              <w:bottom w:val="single" w:sz="4" w:space="0" w:color="365F91"/>
              <w:right w:val="single" w:sz="4" w:space="0" w:color="365F91"/>
            </w:tcBorders>
            <w:shd w:val="clear" w:color="auto" w:fill="auto"/>
            <w:noWrap/>
            <w:hideMark/>
          </w:tcPr>
          <w:p w14:paraId="563A300B" w14:textId="77777777" w:rsidR="00DE64BC" w:rsidRPr="00256982" w:rsidRDefault="00DE64BC" w:rsidP="00A808C7">
            <w:pPr>
              <w:pStyle w:val="TableText"/>
              <w:spacing w:before="50" w:after="50"/>
            </w:pPr>
            <w:r w:rsidRPr="00256982">
              <w:t>Fugitive – oil and gas exploration and production</w:t>
            </w:r>
          </w:p>
        </w:tc>
        <w:tc>
          <w:tcPr>
            <w:tcW w:w="974" w:type="pct"/>
            <w:tcBorders>
              <w:top w:val="single" w:sz="4" w:space="0" w:color="365F91"/>
              <w:left w:val="single" w:sz="4" w:space="0" w:color="365F91"/>
              <w:bottom w:val="single" w:sz="4" w:space="0" w:color="365F91"/>
              <w:right w:val="single" w:sz="4" w:space="0" w:color="365F91"/>
            </w:tcBorders>
            <w:shd w:val="clear" w:color="auto" w:fill="auto"/>
            <w:noWrap/>
            <w:hideMark/>
          </w:tcPr>
          <w:p w14:paraId="1151FE73" w14:textId="77777777" w:rsidR="00DE64BC" w:rsidRPr="00256982" w:rsidRDefault="00DE64BC" w:rsidP="00A808C7">
            <w:pPr>
              <w:pStyle w:val="TableText"/>
              <w:spacing w:before="50" w:after="50"/>
              <w:jc w:val="center"/>
            </w:pPr>
            <w:r w:rsidRPr="00256982">
              <w:t>0.3</w:t>
            </w:r>
          </w:p>
        </w:tc>
        <w:tc>
          <w:tcPr>
            <w:tcW w:w="1011" w:type="pct"/>
            <w:tcBorders>
              <w:left w:val="single" w:sz="4" w:space="0" w:color="365F91"/>
            </w:tcBorders>
            <w:shd w:val="clear" w:color="auto" w:fill="auto"/>
            <w:noWrap/>
            <w:hideMark/>
          </w:tcPr>
          <w:p w14:paraId="119B3D33" w14:textId="77777777" w:rsidR="00DE64BC" w:rsidRPr="00256982" w:rsidRDefault="00DE64BC" w:rsidP="00A808C7">
            <w:pPr>
              <w:pStyle w:val="TableText"/>
              <w:spacing w:before="50" w:after="50"/>
              <w:jc w:val="center"/>
            </w:pPr>
            <w:r w:rsidRPr="00256982">
              <w:t>±100.0</w:t>
            </w:r>
          </w:p>
        </w:tc>
      </w:tr>
      <w:tr w:rsidR="00DE64BC" w:rsidRPr="00256982" w14:paraId="6C9C9BF7" w14:textId="77777777" w:rsidTr="00A808C7">
        <w:tc>
          <w:tcPr>
            <w:tcW w:w="320" w:type="pct"/>
            <w:tcBorders>
              <w:right w:val="single" w:sz="4" w:space="0" w:color="365F91"/>
            </w:tcBorders>
            <w:shd w:val="clear" w:color="auto" w:fill="auto"/>
            <w:noWrap/>
            <w:hideMark/>
          </w:tcPr>
          <w:p w14:paraId="68A93251" w14:textId="77777777" w:rsidR="00DE64BC" w:rsidRPr="00256982" w:rsidRDefault="00DE64BC" w:rsidP="00A808C7">
            <w:pPr>
              <w:pStyle w:val="TableText"/>
              <w:spacing w:before="50" w:after="50"/>
            </w:pPr>
            <w:r w:rsidRPr="00256982">
              <w:t> </w:t>
            </w:r>
          </w:p>
        </w:tc>
        <w:tc>
          <w:tcPr>
            <w:tcW w:w="2695" w:type="pct"/>
            <w:tcBorders>
              <w:top w:val="single" w:sz="4" w:space="0" w:color="365F91"/>
              <w:left w:val="single" w:sz="4" w:space="0" w:color="365F91"/>
              <w:bottom w:val="single" w:sz="4" w:space="0" w:color="365F91"/>
              <w:right w:val="single" w:sz="4" w:space="0" w:color="365F91"/>
            </w:tcBorders>
            <w:shd w:val="clear" w:color="auto" w:fill="auto"/>
            <w:noWrap/>
            <w:hideMark/>
          </w:tcPr>
          <w:p w14:paraId="3DFC435D" w14:textId="77777777" w:rsidR="00DE64BC" w:rsidRPr="00256982" w:rsidRDefault="00DE64BC" w:rsidP="00A808C7">
            <w:pPr>
              <w:pStyle w:val="TableText"/>
              <w:spacing w:before="50" w:after="50"/>
            </w:pPr>
            <w:r w:rsidRPr="00256982">
              <w:t>Fugitive – oil transportation</w:t>
            </w:r>
          </w:p>
        </w:tc>
        <w:tc>
          <w:tcPr>
            <w:tcW w:w="974" w:type="pct"/>
            <w:tcBorders>
              <w:top w:val="single" w:sz="4" w:space="0" w:color="365F91"/>
              <w:left w:val="single" w:sz="4" w:space="0" w:color="365F91"/>
              <w:bottom w:val="single" w:sz="4" w:space="0" w:color="365F91"/>
              <w:right w:val="single" w:sz="4" w:space="0" w:color="365F91"/>
            </w:tcBorders>
            <w:shd w:val="clear" w:color="auto" w:fill="auto"/>
            <w:noWrap/>
            <w:hideMark/>
          </w:tcPr>
          <w:p w14:paraId="11B11CE2" w14:textId="77777777" w:rsidR="00DE64BC" w:rsidRPr="00256982" w:rsidRDefault="00DE64BC" w:rsidP="00A808C7">
            <w:pPr>
              <w:pStyle w:val="TableText"/>
              <w:spacing w:before="50" w:after="50"/>
              <w:jc w:val="center"/>
            </w:pPr>
            <w:r w:rsidRPr="00256982">
              <w:t>5.0</w:t>
            </w:r>
          </w:p>
        </w:tc>
        <w:tc>
          <w:tcPr>
            <w:tcW w:w="1011" w:type="pct"/>
            <w:tcBorders>
              <w:left w:val="single" w:sz="4" w:space="0" w:color="365F91"/>
            </w:tcBorders>
            <w:shd w:val="clear" w:color="auto" w:fill="auto"/>
            <w:noWrap/>
            <w:hideMark/>
          </w:tcPr>
          <w:p w14:paraId="52ADB243" w14:textId="77777777" w:rsidR="00DE64BC" w:rsidRPr="00256982" w:rsidRDefault="00DE64BC" w:rsidP="00A808C7">
            <w:pPr>
              <w:pStyle w:val="TableText"/>
              <w:spacing w:before="50" w:after="50"/>
              <w:jc w:val="center"/>
            </w:pPr>
            <w:r w:rsidRPr="00256982">
              <w:t>±50.0</w:t>
            </w:r>
          </w:p>
        </w:tc>
      </w:tr>
      <w:tr w:rsidR="00DE64BC" w:rsidRPr="00256982" w14:paraId="4417D499" w14:textId="77777777" w:rsidTr="00A808C7">
        <w:tc>
          <w:tcPr>
            <w:tcW w:w="320" w:type="pct"/>
            <w:tcBorders>
              <w:right w:val="single" w:sz="4" w:space="0" w:color="365F91"/>
            </w:tcBorders>
            <w:shd w:val="clear" w:color="auto" w:fill="auto"/>
            <w:noWrap/>
            <w:hideMark/>
          </w:tcPr>
          <w:p w14:paraId="4F183496" w14:textId="77777777" w:rsidR="00DE64BC" w:rsidRPr="00256982" w:rsidRDefault="00DE64BC" w:rsidP="00A808C7">
            <w:pPr>
              <w:pStyle w:val="TableText"/>
              <w:spacing w:before="50" w:after="50"/>
            </w:pPr>
            <w:r w:rsidRPr="00256982">
              <w:lastRenderedPageBreak/>
              <w:t>N</w:t>
            </w:r>
            <w:r w:rsidRPr="00256982">
              <w:rPr>
                <w:vertAlign w:val="subscript"/>
              </w:rPr>
              <w:t>2</w:t>
            </w:r>
            <w:r w:rsidRPr="00256982">
              <w:t>O</w:t>
            </w:r>
          </w:p>
        </w:tc>
        <w:tc>
          <w:tcPr>
            <w:tcW w:w="2695" w:type="pct"/>
            <w:tcBorders>
              <w:top w:val="single" w:sz="4" w:space="0" w:color="365F91"/>
              <w:left w:val="single" w:sz="4" w:space="0" w:color="365F91"/>
              <w:bottom w:val="single" w:sz="4" w:space="0" w:color="365F91"/>
              <w:right w:val="single" w:sz="4" w:space="0" w:color="365F91"/>
            </w:tcBorders>
            <w:shd w:val="clear" w:color="auto" w:fill="auto"/>
            <w:noWrap/>
            <w:hideMark/>
          </w:tcPr>
          <w:p w14:paraId="6EA64105" w14:textId="77777777" w:rsidR="00DE64BC" w:rsidRPr="00256982" w:rsidRDefault="00DE64BC" w:rsidP="00A808C7">
            <w:pPr>
              <w:pStyle w:val="TableText"/>
              <w:spacing w:before="50" w:after="50"/>
            </w:pPr>
            <w:r w:rsidRPr="00256982">
              <w:t>Liquid fuels</w:t>
            </w:r>
          </w:p>
        </w:tc>
        <w:tc>
          <w:tcPr>
            <w:tcW w:w="974" w:type="pct"/>
            <w:tcBorders>
              <w:top w:val="single" w:sz="4" w:space="0" w:color="365F91"/>
              <w:left w:val="single" w:sz="4" w:space="0" w:color="365F91"/>
              <w:bottom w:val="single" w:sz="4" w:space="0" w:color="365F91"/>
              <w:right w:val="single" w:sz="4" w:space="0" w:color="365F91"/>
            </w:tcBorders>
            <w:shd w:val="clear" w:color="auto" w:fill="auto"/>
            <w:noWrap/>
            <w:hideMark/>
          </w:tcPr>
          <w:p w14:paraId="7B19578C" w14:textId="77777777" w:rsidR="00DE64BC" w:rsidRPr="00256982" w:rsidRDefault="00DE64BC" w:rsidP="00A808C7">
            <w:pPr>
              <w:pStyle w:val="TableText"/>
              <w:spacing w:before="50" w:after="50"/>
              <w:jc w:val="center"/>
            </w:pPr>
            <w:r w:rsidRPr="00256982">
              <w:t>1.2</w:t>
            </w:r>
          </w:p>
        </w:tc>
        <w:tc>
          <w:tcPr>
            <w:tcW w:w="1011" w:type="pct"/>
            <w:tcBorders>
              <w:left w:val="single" w:sz="4" w:space="0" w:color="365F91"/>
            </w:tcBorders>
            <w:shd w:val="clear" w:color="auto" w:fill="auto"/>
            <w:noWrap/>
            <w:hideMark/>
          </w:tcPr>
          <w:p w14:paraId="16408415" w14:textId="77777777" w:rsidR="00DE64BC" w:rsidRPr="00256982" w:rsidRDefault="00DE64BC" w:rsidP="00A808C7">
            <w:pPr>
              <w:pStyle w:val="TableText"/>
              <w:spacing w:before="50" w:after="50"/>
              <w:jc w:val="center"/>
            </w:pPr>
            <w:r w:rsidRPr="00256982">
              <w:t>±50.0</w:t>
            </w:r>
          </w:p>
        </w:tc>
      </w:tr>
      <w:tr w:rsidR="00DE64BC" w:rsidRPr="00256982" w14:paraId="6D50D91B" w14:textId="77777777" w:rsidTr="00A808C7">
        <w:tc>
          <w:tcPr>
            <w:tcW w:w="320" w:type="pct"/>
            <w:tcBorders>
              <w:right w:val="single" w:sz="4" w:space="0" w:color="365F91"/>
            </w:tcBorders>
            <w:shd w:val="clear" w:color="auto" w:fill="auto"/>
            <w:noWrap/>
            <w:hideMark/>
          </w:tcPr>
          <w:p w14:paraId="6143C98C" w14:textId="77777777" w:rsidR="00DE64BC" w:rsidRPr="00256982" w:rsidRDefault="00DE64BC" w:rsidP="00A808C7">
            <w:pPr>
              <w:pStyle w:val="TableText"/>
              <w:spacing w:before="50" w:after="50"/>
            </w:pPr>
            <w:r w:rsidRPr="00256982">
              <w:t> </w:t>
            </w:r>
          </w:p>
        </w:tc>
        <w:tc>
          <w:tcPr>
            <w:tcW w:w="2695" w:type="pct"/>
            <w:tcBorders>
              <w:top w:val="single" w:sz="4" w:space="0" w:color="365F91"/>
              <w:left w:val="single" w:sz="4" w:space="0" w:color="365F91"/>
              <w:bottom w:val="single" w:sz="4" w:space="0" w:color="365F91"/>
              <w:right w:val="single" w:sz="4" w:space="0" w:color="365F91"/>
            </w:tcBorders>
            <w:shd w:val="clear" w:color="auto" w:fill="auto"/>
            <w:noWrap/>
            <w:hideMark/>
          </w:tcPr>
          <w:p w14:paraId="0097E325" w14:textId="77777777" w:rsidR="00DE64BC" w:rsidRPr="00256982" w:rsidRDefault="00DE64BC" w:rsidP="00A808C7">
            <w:pPr>
              <w:pStyle w:val="TableText"/>
              <w:spacing w:before="50" w:after="50"/>
            </w:pPr>
            <w:r w:rsidRPr="00256982">
              <w:t>Solid fuels</w:t>
            </w:r>
          </w:p>
        </w:tc>
        <w:tc>
          <w:tcPr>
            <w:tcW w:w="974" w:type="pct"/>
            <w:tcBorders>
              <w:top w:val="single" w:sz="4" w:space="0" w:color="365F91"/>
              <w:left w:val="single" w:sz="4" w:space="0" w:color="365F91"/>
              <w:bottom w:val="single" w:sz="4" w:space="0" w:color="365F91"/>
              <w:right w:val="single" w:sz="4" w:space="0" w:color="365F91"/>
            </w:tcBorders>
            <w:shd w:val="clear" w:color="auto" w:fill="auto"/>
            <w:noWrap/>
            <w:hideMark/>
          </w:tcPr>
          <w:p w14:paraId="5DF1A967" w14:textId="77777777" w:rsidR="00DE64BC" w:rsidRPr="00256982" w:rsidRDefault="00DE64BC" w:rsidP="00A808C7">
            <w:pPr>
              <w:pStyle w:val="TableText"/>
              <w:spacing w:before="50" w:after="50"/>
              <w:jc w:val="center"/>
            </w:pPr>
            <w:r w:rsidRPr="00256982">
              <w:t>4.0</w:t>
            </w:r>
          </w:p>
        </w:tc>
        <w:tc>
          <w:tcPr>
            <w:tcW w:w="1011" w:type="pct"/>
            <w:tcBorders>
              <w:left w:val="single" w:sz="4" w:space="0" w:color="365F91"/>
            </w:tcBorders>
            <w:shd w:val="clear" w:color="auto" w:fill="auto"/>
            <w:noWrap/>
            <w:hideMark/>
          </w:tcPr>
          <w:p w14:paraId="1AFCBFA5" w14:textId="77777777" w:rsidR="00DE64BC" w:rsidRPr="00256982" w:rsidRDefault="00DE64BC" w:rsidP="00A808C7">
            <w:pPr>
              <w:pStyle w:val="TableText"/>
              <w:spacing w:before="50" w:after="50"/>
              <w:jc w:val="center"/>
            </w:pPr>
            <w:r w:rsidRPr="00256982">
              <w:t>±50.0</w:t>
            </w:r>
          </w:p>
        </w:tc>
      </w:tr>
      <w:tr w:rsidR="00DE64BC" w:rsidRPr="00256982" w14:paraId="12E46D9E" w14:textId="77777777" w:rsidTr="00A808C7">
        <w:tc>
          <w:tcPr>
            <w:tcW w:w="320" w:type="pct"/>
            <w:tcBorders>
              <w:right w:val="single" w:sz="4" w:space="0" w:color="365F91"/>
            </w:tcBorders>
            <w:shd w:val="clear" w:color="auto" w:fill="auto"/>
            <w:noWrap/>
            <w:hideMark/>
          </w:tcPr>
          <w:p w14:paraId="51A5DB8A" w14:textId="77777777" w:rsidR="00DE64BC" w:rsidRPr="00256982" w:rsidRDefault="00DE64BC" w:rsidP="00A808C7">
            <w:pPr>
              <w:pStyle w:val="TableText"/>
              <w:spacing w:before="50" w:after="50"/>
            </w:pPr>
            <w:r w:rsidRPr="00256982">
              <w:t> </w:t>
            </w:r>
          </w:p>
        </w:tc>
        <w:tc>
          <w:tcPr>
            <w:tcW w:w="2695" w:type="pct"/>
            <w:tcBorders>
              <w:top w:val="single" w:sz="4" w:space="0" w:color="365F91"/>
              <w:left w:val="single" w:sz="4" w:space="0" w:color="365F91"/>
              <w:bottom w:val="single" w:sz="4" w:space="0" w:color="365F91"/>
              <w:right w:val="single" w:sz="4" w:space="0" w:color="365F91"/>
            </w:tcBorders>
            <w:shd w:val="clear" w:color="auto" w:fill="auto"/>
            <w:noWrap/>
            <w:hideMark/>
          </w:tcPr>
          <w:p w14:paraId="62E42B5A" w14:textId="77777777" w:rsidR="00DE64BC" w:rsidRPr="00256982" w:rsidRDefault="00DE64BC" w:rsidP="00A808C7">
            <w:pPr>
              <w:pStyle w:val="TableText"/>
              <w:spacing w:before="50" w:after="50"/>
            </w:pPr>
            <w:r w:rsidRPr="00256982">
              <w:t>Gaseous fuels</w:t>
            </w:r>
          </w:p>
        </w:tc>
        <w:tc>
          <w:tcPr>
            <w:tcW w:w="974" w:type="pct"/>
            <w:tcBorders>
              <w:top w:val="single" w:sz="4" w:space="0" w:color="365F91"/>
              <w:left w:val="single" w:sz="4" w:space="0" w:color="365F91"/>
              <w:bottom w:val="single" w:sz="4" w:space="0" w:color="365F91"/>
              <w:right w:val="single" w:sz="4" w:space="0" w:color="365F91"/>
            </w:tcBorders>
            <w:shd w:val="clear" w:color="auto" w:fill="auto"/>
            <w:noWrap/>
            <w:hideMark/>
          </w:tcPr>
          <w:p w14:paraId="665FFCF3" w14:textId="77777777" w:rsidR="00DE64BC" w:rsidRPr="00256982" w:rsidRDefault="00DE64BC" w:rsidP="00A808C7">
            <w:pPr>
              <w:pStyle w:val="TableText"/>
              <w:spacing w:before="50" w:after="50"/>
              <w:jc w:val="center"/>
            </w:pPr>
            <w:r w:rsidRPr="00256982">
              <w:t>0.3</w:t>
            </w:r>
          </w:p>
        </w:tc>
        <w:tc>
          <w:tcPr>
            <w:tcW w:w="1011" w:type="pct"/>
            <w:tcBorders>
              <w:left w:val="single" w:sz="4" w:space="0" w:color="365F91"/>
            </w:tcBorders>
            <w:shd w:val="clear" w:color="auto" w:fill="auto"/>
            <w:noWrap/>
            <w:hideMark/>
          </w:tcPr>
          <w:p w14:paraId="0B77EDA4" w14:textId="77777777" w:rsidR="00DE64BC" w:rsidRPr="00256982" w:rsidRDefault="00DE64BC" w:rsidP="00A808C7">
            <w:pPr>
              <w:pStyle w:val="TableText"/>
              <w:spacing w:before="50" w:after="50"/>
              <w:jc w:val="center"/>
            </w:pPr>
            <w:r w:rsidRPr="00256982">
              <w:t>±50.0</w:t>
            </w:r>
          </w:p>
        </w:tc>
      </w:tr>
      <w:tr w:rsidR="00DE64BC" w:rsidRPr="00256982" w14:paraId="19247809" w14:textId="77777777" w:rsidTr="00A808C7">
        <w:tc>
          <w:tcPr>
            <w:tcW w:w="320" w:type="pct"/>
            <w:tcBorders>
              <w:right w:val="single" w:sz="4" w:space="0" w:color="365F91"/>
            </w:tcBorders>
            <w:shd w:val="clear" w:color="auto" w:fill="auto"/>
            <w:noWrap/>
          </w:tcPr>
          <w:p w14:paraId="604E1359" w14:textId="77777777" w:rsidR="00DE64BC" w:rsidRPr="00256982" w:rsidRDefault="00DE64BC" w:rsidP="00A808C7">
            <w:pPr>
              <w:pStyle w:val="TableText"/>
              <w:spacing w:before="50" w:after="50"/>
            </w:pPr>
          </w:p>
        </w:tc>
        <w:tc>
          <w:tcPr>
            <w:tcW w:w="2695" w:type="pct"/>
            <w:tcBorders>
              <w:top w:val="single" w:sz="4" w:space="0" w:color="365F91"/>
              <w:left w:val="single" w:sz="4" w:space="0" w:color="365F91"/>
              <w:bottom w:val="single" w:sz="4" w:space="0" w:color="365F91"/>
              <w:right w:val="single" w:sz="4" w:space="0" w:color="365F91"/>
            </w:tcBorders>
            <w:shd w:val="clear" w:color="auto" w:fill="auto"/>
            <w:noWrap/>
          </w:tcPr>
          <w:p w14:paraId="2E492C14" w14:textId="77777777" w:rsidR="00DE64BC" w:rsidRPr="00256982" w:rsidRDefault="00DE64BC" w:rsidP="00A808C7">
            <w:pPr>
              <w:pStyle w:val="TableText"/>
              <w:spacing w:before="50" w:after="50"/>
            </w:pPr>
            <w:r w:rsidRPr="00256982">
              <w:t>Fugitive – venting/flaring</w:t>
            </w:r>
          </w:p>
        </w:tc>
        <w:tc>
          <w:tcPr>
            <w:tcW w:w="974" w:type="pct"/>
            <w:tcBorders>
              <w:top w:val="single" w:sz="4" w:space="0" w:color="365F91"/>
              <w:left w:val="single" w:sz="4" w:space="0" w:color="365F91"/>
              <w:bottom w:val="single" w:sz="4" w:space="0" w:color="365F91"/>
              <w:right w:val="single" w:sz="4" w:space="0" w:color="365F91"/>
            </w:tcBorders>
            <w:shd w:val="clear" w:color="auto" w:fill="auto"/>
            <w:noWrap/>
          </w:tcPr>
          <w:p w14:paraId="482CC093" w14:textId="77777777" w:rsidR="00DE64BC" w:rsidRPr="00256982" w:rsidRDefault="00DE64BC" w:rsidP="00A808C7">
            <w:pPr>
              <w:pStyle w:val="TableText"/>
              <w:spacing w:before="50" w:after="50"/>
              <w:jc w:val="center"/>
            </w:pPr>
            <w:r w:rsidRPr="00256982">
              <w:t>5.0</w:t>
            </w:r>
          </w:p>
        </w:tc>
        <w:tc>
          <w:tcPr>
            <w:tcW w:w="1011" w:type="pct"/>
            <w:tcBorders>
              <w:left w:val="single" w:sz="4" w:space="0" w:color="365F91"/>
            </w:tcBorders>
            <w:shd w:val="clear" w:color="auto" w:fill="auto"/>
            <w:noWrap/>
          </w:tcPr>
          <w:p w14:paraId="77E4A1EA" w14:textId="77777777" w:rsidR="00DE64BC" w:rsidRPr="00256982" w:rsidRDefault="00DE64BC" w:rsidP="00A808C7">
            <w:pPr>
              <w:pStyle w:val="TableText"/>
              <w:spacing w:before="50" w:after="50"/>
              <w:jc w:val="center"/>
            </w:pPr>
            <w:r w:rsidRPr="00256982">
              <w:t>±100.0</w:t>
            </w:r>
          </w:p>
        </w:tc>
      </w:tr>
      <w:tr w:rsidR="00DE64BC" w:rsidRPr="00256982" w14:paraId="2BBAC010" w14:textId="77777777" w:rsidTr="00A808C7">
        <w:tc>
          <w:tcPr>
            <w:tcW w:w="320" w:type="pct"/>
            <w:tcBorders>
              <w:right w:val="single" w:sz="4" w:space="0" w:color="365F91"/>
            </w:tcBorders>
            <w:shd w:val="clear" w:color="auto" w:fill="auto"/>
            <w:noWrap/>
            <w:hideMark/>
          </w:tcPr>
          <w:p w14:paraId="271DA5A5" w14:textId="77777777" w:rsidR="00DE64BC" w:rsidRPr="00256982" w:rsidRDefault="00DE64BC" w:rsidP="00A808C7">
            <w:pPr>
              <w:pStyle w:val="TableText"/>
              <w:spacing w:before="50" w:after="50"/>
            </w:pPr>
            <w:r w:rsidRPr="00256982">
              <w:t> </w:t>
            </w:r>
          </w:p>
        </w:tc>
        <w:tc>
          <w:tcPr>
            <w:tcW w:w="2695" w:type="pct"/>
            <w:tcBorders>
              <w:top w:val="single" w:sz="4" w:space="0" w:color="365F91"/>
              <w:left w:val="single" w:sz="4" w:space="0" w:color="365F91"/>
              <w:bottom w:val="single" w:sz="4" w:space="0" w:color="365F91"/>
              <w:right w:val="single" w:sz="4" w:space="0" w:color="365F91"/>
            </w:tcBorders>
            <w:shd w:val="clear" w:color="auto" w:fill="auto"/>
            <w:noWrap/>
            <w:hideMark/>
          </w:tcPr>
          <w:p w14:paraId="37688382" w14:textId="77777777" w:rsidR="00DE64BC" w:rsidRPr="00256982" w:rsidRDefault="00DE64BC" w:rsidP="00A808C7">
            <w:pPr>
              <w:pStyle w:val="TableText"/>
              <w:spacing w:before="50" w:after="50"/>
            </w:pPr>
            <w:r w:rsidRPr="00256982">
              <w:t>Biomass</w:t>
            </w:r>
          </w:p>
        </w:tc>
        <w:tc>
          <w:tcPr>
            <w:tcW w:w="974" w:type="pct"/>
            <w:tcBorders>
              <w:top w:val="single" w:sz="4" w:space="0" w:color="365F91"/>
              <w:left w:val="single" w:sz="4" w:space="0" w:color="365F91"/>
              <w:bottom w:val="single" w:sz="4" w:space="0" w:color="365F91"/>
              <w:right w:val="single" w:sz="4" w:space="0" w:color="365F91"/>
            </w:tcBorders>
            <w:shd w:val="clear" w:color="auto" w:fill="auto"/>
            <w:noWrap/>
            <w:hideMark/>
          </w:tcPr>
          <w:p w14:paraId="3F89E087" w14:textId="77777777" w:rsidR="00DE64BC" w:rsidRPr="00256982" w:rsidRDefault="00DE64BC" w:rsidP="00A808C7">
            <w:pPr>
              <w:pStyle w:val="TableText"/>
              <w:spacing w:before="50" w:after="50"/>
              <w:jc w:val="center"/>
            </w:pPr>
            <w:r w:rsidRPr="00256982">
              <w:t>50.0</w:t>
            </w:r>
          </w:p>
        </w:tc>
        <w:tc>
          <w:tcPr>
            <w:tcW w:w="1011" w:type="pct"/>
            <w:tcBorders>
              <w:left w:val="single" w:sz="4" w:space="0" w:color="365F91"/>
            </w:tcBorders>
            <w:shd w:val="clear" w:color="auto" w:fill="auto"/>
            <w:noWrap/>
            <w:hideMark/>
          </w:tcPr>
          <w:p w14:paraId="27776DC4" w14:textId="77777777" w:rsidR="00DE64BC" w:rsidRPr="00256982" w:rsidRDefault="00DE64BC" w:rsidP="00A808C7">
            <w:pPr>
              <w:pStyle w:val="TableText"/>
              <w:spacing w:before="50" w:after="50"/>
              <w:jc w:val="center"/>
            </w:pPr>
            <w:r w:rsidRPr="00256982">
              <w:t>±50.0</w:t>
            </w:r>
          </w:p>
        </w:tc>
      </w:tr>
    </w:tbl>
    <w:p w14:paraId="3666E0B5" w14:textId="77777777" w:rsidR="00DE64BC" w:rsidRPr="00256982" w:rsidRDefault="00DE64BC" w:rsidP="00A808C7">
      <w:pPr>
        <w:pStyle w:val="BodyText"/>
        <w:spacing w:before="240"/>
      </w:pPr>
      <w:r w:rsidRPr="00256982">
        <w:rPr>
          <w:lang w:eastAsia="en-GB"/>
        </w:rPr>
        <w:t>New Zealand uses the percentage difference between annual calculated consumer energy from supply-side surveys and annual observed consumer energy from demand-side surveys to estimate activity data uncertainty. As a result, activity data uncertainty can vary significantly from year to year.</w:t>
      </w:r>
    </w:p>
    <w:p w14:paraId="23C750C1" w14:textId="77777777" w:rsidR="00DE64BC" w:rsidRPr="00256982" w:rsidRDefault="00DE64BC" w:rsidP="001D3490">
      <w:pPr>
        <w:pStyle w:val="Heading3"/>
      </w:pPr>
      <w:r w:rsidRPr="00256982">
        <w:t>3.3.6</w:t>
      </w:r>
      <w:r w:rsidRPr="00256982">
        <w:tab/>
        <w:t>Fuel combustion: Energy industries (CRF 1.A.1)</w:t>
      </w:r>
    </w:p>
    <w:p w14:paraId="3071BD27" w14:textId="77777777" w:rsidR="00DE64BC" w:rsidRPr="00256982" w:rsidRDefault="00DE64BC" w:rsidP="00A72006">
      <w:pPr>
        <w:pStyle w:val="Heading4"/>
      </w:pPr>
      <w:r w:rsidRPr="00256982">
        <w:rPr>
          <w:lang w:eastAsia="en-GB"/>
        </w:rPr>
        <w:t>Description</w:t>
      </w:r>
    </w:p>
    <w:p w14:paraId="16724E1F" w14:textId="77777777" w:rsidR="00DE64BC" w:rsidRPr="00256982" w:rsidRDefault="00DE64BC" w:rsidP="00A808C7">
      <w:pPr>
        <w:pStyle w:val="BodyText"/>
        <w:rPr>
          <w:lang w:eastAsia="en-GB"/>
        </w:rPr>
      </w:pPr>
      <w:r w:rsidRPr="00256982">
        <w:rPr>
          <w:lang w:eastAsia="en-GB"/>
        </w:rPr>
        <w:t xml:space="preserve">This category includes combustion for public electricity and heat production, petroleum refining and the manufacture of solid fuels and other energy industries. The latter category includes estimates for natural gas in oil and gas extraction and from natural gas in synthetic gasoline production. The excess </w:t>
      </w:r>
      <w:r w:rsidRPr="00256982">
        <w:t>CO</w:t>
      </w:r>
      <w:r w:rsidRPr="00256982">
        <w:rPr>
          <w:vertAlign w:val="subscript"/>
        </w:rPr>
        <w:t>2</w:t>
      </w:r>
      <w:r w:rsidRPr="00256982">
        <w:rPr>
          <w:sz w:val="14"/>
          <w:szCs w:val="14"/>
          <w:lang w:eastAsia="en-GB"/>
        </w:rPr>
        <w:t xml:space="preserve"> </w:t>
      </w:r>
      <w:r w:rsidRPr="00256982">
        <w:rPr>
          <w:lang w:eastAsia="en-GB"/>
        </w:rPr>
        <w:t xml:space="preserve">removed from Kapuni gas at the Kapuni Gas Treatment Plant has also been reported under the </w:t>
      </w:r>
      <w:r w:rsidRPr="00256982">
        <w:rPr>
          <w:i/>
          <w:lang w:eastAsia="en-GB"/>
        </w:rPr>
        <w:t>Manufacture of solid fuels and other energy industries</w:t>
      </w:r>
      <w:r w:rsidRPr="00256982">
        <w:rPr>
          <w:lang w:eastAsia="en-GB"/>
        </w:rPr>
        <w:t xml:space="preserve"> category because of confidentiality concerns.</w:t>
      </w:r>
    </w:p>
    <w:p w14:paraId="3A2BC3A5" w14:textId="77777777" w:rsidR="00DE64BC" w:rsidRPr="00256982" w:rsidRDefault="00DE64BC" w:rsidP="00A808C7">
      <w:pPr>
        <w:pStyle w:val="BodyText"/>
        <w:rPr>
          <w:lang w:eastAsia="en-GB"/>
        </w:rPr>
      </w:pPr>
      <w:r w:rsidRPr="00256982">
        <w:rPr>
          <w:lang w:eastAsia="en-GB"/>
        </w:rPr>
        <w:t xml:space="preserve">In </w:t>
      </w:r>
      <w:r w:rsidRPr="00256982">
        <w:t>2017</w:t>
      </w:r>
      <w:r w:rsidRPr="00256982">
        <w:rPr>
          <w:lang w:eastAsia="en-GB"/>
        </w:rPr>
        <w:t xml:space="preserve">, emissions in category 1.A.1 </w:t>
      </w:r>
      <w:r w:rsidRPr="00256982">
        <w:rPr>
          <w:i/>
          <w:lang w:eastAsia="en-GB"/>
        </w:rPr>
        <w:t>Energy industries</w:t>
      </w:r>
      <w:r w:rsidRPr="00256982">
        <w:rPr>
          <w:lang w:eastAsia="en-GB"/>
        </w:rPr>
        <w:t xml:space="preserve"> totalled </w:t>
      </w:r>
      <w:r w:rsidRPr="00256982">
        <w:t xml:space="preserve">4,748.2 </w:t>
      </w:r>
      <w:r w:rsidRPr="00256982">
        <w:rPr>
          <w:lang w:eastAsia="en-GB"/>
        </w:rPr>
        <w:t>kt CO</w:t>
      </w:r>
      <w:r w:rsidRPr="00256982">
        <w:rPr>
          <w:vertAlign w:val="subscript"/>
          <w:lang w:eastAsia="en-GB"/>
        </w:rPr>
        <w:t>2</w:t>
      </w:r>
      <w:r w:rsidRPr="00256982">
        <w:rPr>
          <w:lang w:eastAsia="en-GB"/>
        </w:rPr>
        <w:t>-e (</w:t>
      </w:r>
      <w:r w:rsidRPr="00256982">
        <w:t>14.4 per cent</w:t>
      </w:r>
      <w:r w:rsidRPr="00256982">
        <w:rPr>
          <w:lang w:eastAsia="en-GB"/>
        </w:rPr>
        <w:t xml:space="preserve"> of the Energy sector emissions). Emissions from energy industries have </w:t>
      </w:r>
      <w:r w:rsidRPr="00256982">
        <w:t xml:space="preserve">decreased by 1,255.7 </w:t>
      </w:r>
      <w:r w:rsidRPr="00256982">
        <w:rPr>
          <w:lang w:eastAsia="en-GB"/>
        </w:rPr>
        <w:t>kt CO</w:t>
      </w:r>
      <w:r w:rsidRPr="00256982">
        <w:rPr>
          <w:vertAlign w:val="subscript"/>
          <w:lang w:eastAsia="en-GB"/>
        </w:rPr>
        <w:t>2</w:t>
      </w:r>
      <w:r w:rsidRPr="00256982">
        <w:rPr>
          <w:lang w:eastAsia="en-GB"/>
        </w:rPr>
        <w:t>-e (</w:t>
      </w:r>
      <w:r w:rsidRPr="00256982">
        <w:t>−</w:t>
      </w:r>
      <w:r w:rsidRPr="00256982">
        <w:rPr>
          <w:lang w:eastAsia="en-GB"/>
        </w:rPr>
        <w:t>20.9</w:t>
      </w:r>
      <w:r w:rsidRPr="00256982">
        <w:t xml:space="preserve"> per cent</w:t>
      </w:r>
      <w:r w:rsidRPr="00256982">
        <w:rPr>
          <w:lang w:eastAsia="en-GB"/>
        </w:rPr>
        <w:t xml:space="preserve">) since the 1990 level of </w:t>
      </w:r>
      <w:r w:rsidRPr="00256982">
        <w:t xml:space="preserve">6,003.9 </w:t>
      </w:r>
      <w:r w:rsidRPr="00256982">
        <w:rPr>
          <w:lang w:eastAsia="en-GB"/>
        </w:rPr>
        <w:t>kt CO</w:t>
      </w:r>
      <w:r w:rsidRPr="00256982">
        <w:rPr>
          <w:vertAlign w:val="subscript"/>
          <w:lang w:eastAsia="en-GB"/>
        </w:rPr>
        <w:t>2</w:t>
      </w:r>
      <w:r w:rsidRPr="00256982">
        <w:rPr>
          <w:lang w:eastAsia="en-GB"/>
        </w:rPr>
        <w:t xml:space="preserve">-e. Category 1.A.1.a </w:t>
      </w:r>
      <w:r w:rsidRPr="00256982">
        <w:rPr>
          <w:i/>
          <w:lang w:eastAsia="en-GB"/>
        </w:rPr>
        <w:t>Public electricity and heat production</w:t>
      </w:r>
      <w:r w:rsidRPr="00256982">
        <w:rPr>
          <w:lang w:eastAsia="en-GB"/>
        </w:rPr>
        <w:t xml:space="preserve"> accounted for </w:t>
      </w:r>
      <w:r w:rsidRPr="00256982">
        <w:t xml:space="preserve">3,596.2 </w:t>
      </w:r>
      <w:r w:rsidRPr="00256982">
        <w:rPr>
          <w:lang w:eastAsia="en-GB"/>
        </w:rPr>
        <w:t>kt CO</w:t>
      </w:r>
      <w:r w:rsidRPr="00256982">
        <w:rPr>
          <w:vertAlign w:val="subscript"/>
          <w:lang w:eastAsia="en-GB"/>
        </w:rPr>
        <w:t>2</w:t>
      </w:r>
      <w:r w:rsidRPr="00256982">
        <w:rPr>
          <w:lang w:eastAsia="en-GB"/>
        </w:rPr>
        <w:t xml:space="preserve">-e of emissions from the </w:t>
      </w:r>
      <w:r w:rsidRPr="00256982">
        <w:rPr>
          <w:i/>
          <w:lang w:eastAsia="en-GB"/>
        </w:rPr>
        <w:t>Energy industries</w:t>
      </w:r>
      <w:r w:rsidRPr="00256982">
        <w:rPr>
          <w:lang w:eastAsia="en-GB"/>
        </w:rPr>
        <w:t xml:space="preserve"> category in </w:t>
      </w:r>
      <w:r w:rsidRPr="00256982">
        <w:t>2017</w:t>
      </w:r>
      <w:r w:rsidRPr="00256982">
        <w:rPr>
          <w:lang w:eastAsia="en-GB"/>
        </w:rPr>
        <w:t>. This is an increase of 94.0</w:t>
      </w:r>
      <w:r w:rsidRPr="00256982">
        <w:t xml:space="preserve"> </w:t>
      </w:r>
      <w:r w:rsidRPr="00256982">
        <w:rPr>
          <w:lang w:eastAsia="en-GB"/>
        </w:rPr>
        <w:t>kt CO</w:t>
      </w:r>
      <w:r w:rsidRPr="00256982">
        <w:rPr>
          <w:vertAlign w:val="subscript"/>
          <w:lang w:eastAsia="en-GB"/>
        </w:rPr>
        <w:t>2</w:t>
      </w:r>
      <w:r w:rsidRPr="00256982">
        <w:rPr>
          <w:lang w:eastAsia="en-GB"/>
        </w:rPr>
        <w:noBreakHyphen/>
        <w:t>e (2.7</w:t>
      </w:r>
      <w:r w:rsidRPr="00256982">
        <w:t xml:space="preserve"> per cent</w:t>
      </w:r>
      <w:r w:rsidRPr="00256982">
        <w:rPr>
          <w:lang w:eastAsia="en-GB"/>
        </w:rPr>
        <w:t xml:space="preserve">) from the 1990 level of </w:t>
      </w:r>
      <w:r w:rsidRPr="00256982">
        <w:t xml:space="preserve">3,502.3 </w:t>
      </w:r>
      <w:r w:rsidRPr="00256982">
        <w:rPr>
          <w:lang w:eastAsia="en-GB"/>
        </w:rPr>
        <w:t>kt CO</w:t>
      </w:r>
      <w:r w:rsidRPr="00256982">
        <w:rPr>
          <w:vertAlign w:val="subscript"/>
          <w:lang w:eastAsia="en-GB"/>
        </w:rPr>
        <w:t>2</w:t>
      </w:r>
      <w:r w:rsidRPr="00256982">
        <w:rPr>
          <w:lang w:eastAsia="en-GB"/>
        </w:rPr>
        <w:t>-e.</w:t>
      </w:r>
    </w:p>
    <w:p w14:paraId="3BFD5640" w14:textId="77777777" w:rsidR="00DE64BC" w:rsidRPr="00256982" w:rsidRDefault="00DE64BC" w:rsidP="00A72006">
      <w:pPr>
        <w:pStyle w:val="Heading4"/>
      </w:pPr>
      <w:r w:rsidRPr="00256982">
        <w:rPr>
          <w:lang w:eastAsia="en-GB"/>
        </w:rPr>
        <w:t xml:space="preserve">Changes in emissions between </w:t>
      </w:r>
      <w:r w:rsidRPr="00256982">
        <w:t xml:space="preserve">2016 </w:t>
      </w:r>
      <w:r w:rsidRPr="00256982">
        <w:rPr>
          <w:lang w:eastAsia="en-GB"/>
        </w:rPr>
        <w:t xml:space="preserve">and </w:t>
      </w:r>
      <w:r w:rsidRPr="00256982">
        <w:t>2017</w:t>
      </w:r>
    </w:p>
    <w:p w14:paraId="00E2AFC4" w14:textId="77777777" w:rsidR="00DE64BC" w:rsidRPr="00256982" w:rsidRDefault="00DE64BC" w:rsidP="00A808C7">
      <w:pPr>
        <w:pStyle w:val="BodyText"/>
        <w:rPr>
          <w:lang w:eastAsia="en-GB"/>
        </w:rPr>
      </w:pPr>
      <w:r w:rsidRPr="00256982">
        <w:rPr>
          <w:lang w:eastAsia="en-GB"/>
        </w:rPr>
        <w:t xml:space="preserve">Between </w:t>
      </w:r>
      <w:r w:rsidRPr="00256982">
        <w:t xml:space="preserve">2016 </w:t>
      </w:r>
      <w:r w:rsidRPr="00256982">
        <w:rPr>
          <w:lang w:eastAsia="en-GB"/>
        </w:rPr>
        <w:t xml:space="preserve">and </w:t>
      </w:r>
      <w:r w:rsidRPr="00256982">
        <w:t>2017</w:t>
      </w:r>
      <w:r w:rsidRPr="00256982">
        <w:rPr>
          <w:lang w:eastAsia="en-GB"/>
        </w:rPr>
        <w:t xml:space="preserve">, there was an </w:t>
      </w:r>
      <w:r w:rsidRPr="00256982">
        <w:t xml:space="preserve">increase of 552.9 </w:t>
      </w:r>
      <w:r w:rsidRPr="00256982">
        <w:rPr>
          <w:lang w:eastAsia="en-GB"/>
        </w:rPr>
        <w:t>kt CO</w:t>
      </w:r>
      <w:r w:rsidRPr="00256982">
        <w:rPr>
          <w:vertAlign w:val="subscript"/>
          <w:lang w:eastAsia="en-GB"/>
        </w:rPr>
        <w:t>2</w:t>
      </w:r>
      <w:r w:rsidRPr="00256982">
        <w:rPr>
          <w:lang w:eastAsia="en-GB"/>
        </w:rPr>
        <w:t>-e (18.2</w:t>
      </w:r>
      <w:r w:rsidRPr="00256982">
        <w:t xml:space="preserve"> per cent</w:t>
      </w:r>
      <w:r w:rsidRPr="00256982">
        <w:rPr>
          <w:lang w:eastAsia="en-GB"/>
        </w:rPr>
        <w:t xml:space="preserve">) in emissions from 1.A.1.a </w:t>
      </w:r>
      <w:r w:rsidRPr="00256982">
        <w:rPr>
          <w:i/>
          <w:lang w:eastAsia="en-GB"/>
        </w:rPr>
        <w:t>Public electricity and heat production</w:t>
      </w:r>
      <w:r w:rsidRPr="00256982">
        <w:rPr>
          <w:lang w:eastAsia="en-GB"/>
        </w:rPr>
        <w:t>. This was largely because the</w:t>
      </w:r>
      <w:r w:rsidRPr="00256982">
        <w:t xml:space="preserve"> share of electricity generated from renewable energy sources was 81.9 per cent in 2017, down from 84.9 per cent in 2016. This resulted in increased gas and coal-fired generation over the year, which together </w:t>
      </w:r>
      <w:r w:rsidRPr="00256982">
        <w:rPr>
          <w:lang w:eastAsia="en-GB"/>
        </w:rPr>
        <w:t xml:space="preserve">increased 21.3 per cent from </w:t>
      </w:r>
      <w:r w:rsidRPr="00256982">
        <w:t>2016</w:t>
      </w:r>
      <w:r w:rsidRPr="00256982">
        <w:rPr>
          <w:lang w:eastAsia="en-GB"/>
        </w:rPr>
        <w:t>.</w:t>
      </w:r>
    </w:p>
    <w:p w14:paraId="137DB5DE" w14:textId="77777777" w:rsidR="00DE64BC" w:rsidRPr="00256982" w:rsidRDefault="00DE64BC" w:rsidP="00A808C7">
      <w:pPr>
        <w:pStyle w:val="BodyText"/>
      </w:pPr>
      <w:r w:rsidRPr="00256982">
        <w:t xml:space="preserve">Key categories identified in the 2017 level and trend assessment for the </w:t>
      </w:r>
      <w:r w:rsidRPr="00256982">
        <w:rPr>
          <w:i/>
        </w:rPr>
        <w:t>Energy industries</w:t>
      </w:r>
      <w:r w:rsidRPr="00256982">
        <w:t xml:space="preserve"> category are given in table 3.3.2.</w:t>
      </w:r>
    </w:p>
    <w:p w14:paraId="58B6B9F3" w14:textId="77777777" w:rsidR="00DE64BC" w:rsidRPr="00256982" w:rsidRDefault="00DE64BC" w:rsidP="00A808C7">
      <w:pPr>
        <w:pStyle w:val="Table"/>
      </w:pPr>
      <w:bookmarkStart w:id="312" w:name="_Toc5269447"/>
      <w:r w:rsidRPr="00256982">
        <w:t>Table 3.3.2</w:t>
      </w:r>
      <w:r w:rsidRPr="00256982">
        <w:tab/>
        <w:t>Key categories for 1.A.1 Energy industries</w:t>
      </w:r>
      <w:bookmarkEnd w:id="312"/>
    </w:p>
    <w:tbl>
      <w:tblPr>
        <w:tblW w:w="8562" w:type="dxa"/>
        <w:tblInd w:w="108" w:type="dxa"/>
        <w:tblBorders>
          <w:top w:val="single" w:sz="4" w:space="0" w:color="1F497D"/>
          <w:bottom w:val="single" w:sz="4" w:space="0" w:color="1F497D"/>
          <w:insideH w:val="single" w:sz="4" w:space="0" w:color="1F497D"/>
          <w:insideV w:val="single" w:sz="4" w:space="0" w:color="1F497D"/>
        </w:tblBorders>
        <w:tblLayout w:type="fixed"/>
        <w:tblLook w:val="0420" w:firstRow="1" w:lastRow="0" w:firstColumn="0" w:lastColumn="0" w:noHBand="0" w:noVBand="1"/>
      </w:tblPr>
      <w:tblGrid>
        <w:gridCol w:w="4562"/>
        <w:gridCol w:w="1416"/>
        <w:gridCol w:w="1134"/>
        <w:gridCol w:w="1450"/>
      </w:tblGrid>
      <w:tr w:rsidR="00DE64BC" w:rsidRPr="00256982" w14:paraId="79B502D7" w14:textId="77777777" w:rsidTr="00A808C7">
        <w:trPr>
          <w:tblHeader/>
        </w:trPr>
        <w:tc>
          <w:tcPr>
            <w:tcW w:w="2664" w:type="pct"/>
            <w:tcBorders>
              <w:right w:val="single" w:sz="4" w:space="0" w:color="365F91"/>
            </w:tcBorders>
            <w:shd w:val="clear" w:color="auto" w:fill="365F91"/>
            <w:noWrap/>
            <w:vAlign w:val="bottom"/>
            <w:hideMark/>
          </w:tcPr>
          <w:p w14:paraId="75087C5F" w14:textId="77777777" w:rsidR="00DE64BC" w:rsidRPr="00256982" w:rsidRDefault="00DE64BC" w:rsidP="00A808C7">
            <w:pPr>
              <w:pStyle w:val="TableTextBold"/>
              <w:rPr>
                <w:noProof w:val="0"/>
                <w:color w:val="FFFFFF"/>
              </w:rPr>
            </w:pPr>
          </w:p>
        </w:tc>
        <w:tc>
          <w:tcPr>
            <w:tcW w:w="827" w:type="pct"/>
            <w:tcBorders>
              <w:top w:val="single" w:sz="4" w:space="0" w:color="365F91"/>
              <w:left w:val="single" w:sz="4" w:space="0" w:color="365F91"/>
              <w:bottom w:val="single" w:sz="4" w:space="0" w:color="365F91"/>
              <w:right w:val="single" w:sz="4" w:space="0" w:color="365F91"/>
            </w:tcBorders>
            <w:shd w:val="clear" w:color="auto" w:fill="365F91"/>
            <w:noWrap/>
            <w:vAlign w:val="bottom"/>
            <w:hideMark/>
          </w:tcPr>
          <w:p w14:paraId="61984FFB" w14:textId="77777777" w:rsidR="00DE64BC" w:rsidRPr="00256982" w:rsidRDefault="00DE64BC" w:rsidP="00A808C7">
            <w:pPr>
              <w:pStyle w:val="TableTextBold"/>
              <w:rPr>
                <w:noProof w:val="0"/>
                <w:color w:val="FFFFFF"/>
              </w:rPr>
            </w:pPr>
            <w:r w:rsidRPr="00256982">
              <w:rPr>
                <w:noProof w:val="0"/>
                <w:color w:val="FFFFFF"/>
              </w:rPr>
              <w:t>Liquid fuels</w:t>
            </w:r>
          </w:p>
        </w:tc>
        <w:tc>
          <w:tcPr>
            <w:tcW w:w="662" w:type="pct"/>
            <w:tcBorders>
              <w:top w:val="single" w:sz="4" w:space="0" w:color="365F91"/>
              <w:left w:val="single" w:sz="4" w:space="0" w:color="365F91"/>
              <w:bottom w:val="single" w:sz="4" w:space="0" w:color="365F91"/>
              <w:right w:val="single" w:sz="4" w:space="0" w:color="365F91"/>
            </w:tcBorders>
            <w:shd w:val="clear" w:color="auto" w:fill="365F91"/>
            <w:vAlign w:val="bottom"/>
            <w:hideMark/>
          </w:tcPr>
          <w:p w14:paraId="2B41399C" w14:textId="77777777" w:rsidR="00DE64BC" w:rsidRPr="00256982" w:rsidRDefault="00DE64BC" w:rsidP="00A808C7">
            <w:pPr>
              <w:pStyle w:val="TableTextBold"/>
              <w:rPr>
                <w:noProof w:val="0"/>
                <w:color w:val="FFFFFF"/>
              </w:rPr>
            </w:pPr>
            <w:r w:rsidRPr="00256982">
              <w:rPr>
                <w:noProof w:val="0"/>
                <w:color w:val="FFFFFF"/>
              </w:rPr>
              <w:t>Solid fuels</w:t>
            </w:r>
          </w:p>
        </w:tc>
        <w:tc>
          <w:tcPr>
            <w:tcW w:w="847" w:type="pct"/>
            <w:tcBorders>
              <w:left w:val="single" w:sz="4" w:space="0" w:color="365F91"/>
            </w:tcBorders>
            <w:shd w:val="clear" w:color="auto" w:fill="365F91"/>
            <w:vAlign w:val="bottom"/>
            <w:hideMark/>
          </w:tcPr>
          <w:p w14:paraId="004BDEF5" w14:textId="77777777" w:rsidR="00DE64BC" w:rsidRPr="00256982" w:rsidRDefault="00DE64BC" w:rsidP="00A808C7">
            <w:pPr>
              <w:pStyle w:val="TableTextBold"/>
              <w:rPr>
                <w:noProof w:val="0"/>
                <w:color w:val="FFFFFF"/>
              </w:rPr>
            </w:pPr>
            <w:r w:rsidRPr="00256982">
              <w:rPr>
                <w:noProof w:val="0"/>
                <w:color w:val="FFFFFF"/>
              </w:rPr>
              <w:t>Gaseous fuels</w:t>
            </w:r>
          </w:p>
        </w:tc>
      </w:tr>
      <w:tr w:rsidR="00DE64BC" w:rsidRPr="00256982" w14:paraId="713920D5" w14:textId="77777777" w:rsidTr="00A808C7">
        <w:tc>
          <w:tcPr>
            <w:tcW w:w="2664" w:type="pct"/>
            <w:tcBorders>
              <w:right w:val="single" w:sz="4" w:space="0" w:color="365F91"/>
            </w:tcBorders>
            <w:shd w:val="clear" w:color="auto" w:fill="auto"/>
            <w:noWrap/>
            <w:hideMark/>
          </w:tcPr>
          <w:p w14:paraId="303AE7E5" w14:textId="77777777" w:rsidR="00DE64BC" w:rsidRPr="00256982" w:rsidRDefault="00DE64BC" w:rsidP="00A808C7">
            <w:pPr>
              <w:pStyle w:val="TableText"/>
              <w:spacing w:before="50" w:after="50"/>
            </w:pPr>
            <w:r w:rsidRPr="00256982">
              <w:t>Public electricity and heat production – CO</w:t>
            </w:r>
            <w:r w:rsidRPr="00256982">
              <w:rPr>
                <w:vertAlign w:val="subscript"/>
              </w:rPr>
              <w:t>2</w:t>
            </w:r>
          </w:p>
        </w:tc>
        <w:tc>
          <w:tcPr>
            <w:tcW w:w="827" w:type="pct"/>
            <w:tcBorders>
              <w:top w:val="single" w:sz="4" w:space="0" w:color="365F91"/>
              <w:left w:val="single" w:sz="4" w:space="0" w:color="365F91"/>
              <w:bottom w:val="single" w:sz="4" w:space="0" w:color="365F91"/>
              <w:right w:val="single" w:sz="4" w:space="0" w:color="365F91"/>
            </w:tcBorders>
            <w:shd w:val="clear" w:color="auto" w:fill="auto"/>
            <w:noWrap/>
            <w:hideMark/>
          </w:tcPr>
          <w:p w14:paraId="5EDF12BB" w14:textId="77777777" w:rsidR="00DE64BC" w:rsidRPr="00256982" w:rsidRDefault="00DE64BC" w:rsidP="00A808C7">
            <w:pPr>
              <w:pStyle w:val="TableText"/>
              <w:spacing w:before="50" w:after="50"/>
            </w:pPr>
          </w:p>
        </w:tc>
        <w:tc>
          <w:tcPr>
            <w:tcW w:w="662" w:type="pct"/>
            <w:tcBorders>
              <w:top w:val="single" w:sz="4" w:space="0" w:color="365F91"/>
              <w:left w:val="single" w:sz="4" w:space="0" w:color="365F91"/>
              <w:bottom w:val="single" w:sz="4" w:space="0" w:color="365F91"/>
              <w:right w:val="single" w:sz="4" w:space="0" w:color="365F91"/>
            </w:tcBorders>
            <w:shd w:val="clear" w:color="auto" w:fill="auto"/>
            <w:noWrap/>
            <w:hideMark/>
          </w:tcPr>
          <w:p w14:paraId="2EDE8845" w14:textId="75396D3D" w:rsidR="00DE64BC" w:rsidRPr="00256982" w:rsidRDefault="00DE64BC" w:rsidP="00F44F55">
            <w:pPr>
              <w:pStyle w:val="TableText"/>
              <w:spacing w:before="50" w:after="50"/>
            </w:pPr>
            <w:r w:rsidRPr="00256982">
              <w:t>Level</w:t>
            </w:r>
          </w:p>
        </w:tc>
        <w:tc>
          <w:tcPr>
            <w:tcW w:w="847" w:type="pct"/>
            <w:tcBorders>
              <w:left w:val="single" w:sz="4" w:space="0" w:color="365F91"/>
            </w:tcBorders>
            <w:shd w:val="clear" w:color="auto" w:fill="auto"/>
            <w:noWrap/>
            <w:hideMark/>
          </w:tcPr>
          <w:p w14:paraId="2A1E8DF8" w14:textId="77777777" w:rsidR="00DE64BC" w:rsidRPr="00256982" w:rsidRDefault="00DE64BC" w:rsidP="00A808C7">
            <w:pPr>
              <w:pStyle w:val="TableText"/>
              <w:spacing w:before="50" w:after="50"/>
            </w:pPr>
            <w:r w:rsidRPr="00256982">
              <w:t>Level, trend</w:t>
            </w:r>
          </w:p>
        </w:tc>
      </w:tr>
      <w:tr w:rsidR="00DE64BC" w:rsidRPr="00256982" w14:paraId="470B308E" w14:textId="77777777" w:rsidTr="00A808C7">
        <w:tc>
          <w:tcPr>
            <w:tcW w:w="2664" w:type="pct"/>
            <w:tcBorders>
              <w:right w:val="single" w:sz="4" w:space="0" w:color="365F91"/>
            </w:tcBorders>
            <w:shd w:val="clear" w:color="auto" w:fill="auto"/>
            <w:noWrap/>
            <w:hideMark/>
          </w:tcPr>
          <w:p w14:paraId="37AD7EFE" w14:textId="77777777" w:rsidR="00DE64BC" w:rsidRPr="00256982" w:rsidRDefault="00DE64BC" w:rsidP="00A808C7">
            <w:pPr>
              <w:pStyle w:val="TableText"/>
              <w:spacing w:before="50" w:after="50"/>
            </w:pPr>
            <w:r w:rsidRPr="00256982">
              <w:t>Petroleum refining – CO</w:t>
            </w:r>
            <w:r w:rsidRPr="00256982">
              <w:rPr>
                <w:vertAlign w:val="subscript"/>
              </w:rPr>
              <w:t>2</w:t>
            </w:r>
          </w:p>
        </w:tc>
        <w:tc>
          <w:tcPr>
            <w:tcW w:w="827" w:type="pct"/>
            <w:tcBorders>
              <w:top w:val="single" w:sz="4" w:space="0" w:color="365F91"/>
              <w:left w:val="single" w:sz="4" w:space="0" w:color="365F91"/>
              <w:bottom w:val="single" w:sz="4" w:space="0" w:color="365F91"/>
              <w:right w:val="single" w:sz="4" w:space="0" w:color="365F91"/>
            </w:tcBorders>
            <w:shd w:val="clear" w:color="auto" w:fill="auto"/>
            <w:noWrap/>
            <w:hideMark/>
          </w:tcPr>
          <w:p w14:paraId="15EDBA9B" w14:textId="77777777" w:rsidR="00DE64BC" w:rsidRPr="00256982" w:rsidRDefault="00DE64BC" w:rsidP="00A808C7">
            <w:pPr>
              <w:pStyle w:val="TableText"/>
              <w:spacing w:before="50" w:after="50"/>
            </w:pPr>
            <w:r w:rsidRPr="00256982">
              <w:t>Level, trend</w:t>
            </w:r>
          </w:p>
        </w:tc>
        <w:tc>
          <w:tcPr>
            <w:tcW w:w="662" w:type="pct"/>
            <w:tcBorders>
              <w:top w:val="single" w:sz="4" w:space="0" w:color="365F91"/>
              <w:left w:val="single" w:sz="4" w:space="0" w:color="365F91"/>
              <w:bottom w:val="single" w:sz="4" w:space="0" w:color="365F91"/>
              <w:right w:val="single" w:sz="4" w:space="0" w:color="365F91"/>
            </w:tcBorders>
            <w:shd w:val="clear" w:color="auto" w:fill="auto"/>
            <w:noWrap/>
          </w:tcPr>
          <w:p w14:paraId="5C1C881A" w14:textId="77777777" w:rsidR="00DE64BC" w:rsidRPr="00256982" w:rsidRDefault="00DE64BC" w:rsidP="00A808C7">
            <w:pPr>
              <w:pStyle w:val="TableText"/>
              <w:spacing w:before="50" w:after="50"/>
              <w:jc w:val="center"/>
            </w:pPr>
          </w:p>
        </w:tc>
        <w:tc>
          <w:tcPr>
            <w:tcW w:w="847" w:type="pct"/>
            <w:tcBorders>
              <w:left w:val="single" w:sz="4" w:space="0" w:color="365F91"/>
            </w:tcBorders>
            <w:shd w:val="clear" w:color="auto" w:fill="auto"/>
            <w:noWrap/>
            <w:hideMark/>
          </w:tcPr>
          <w:p w14:paraId="4D9E2556" w14:textId="77777777" w:rsidR="00DE64BC" w:rsidRPr="00256982" w:rsidRDefault="00DE64BC" w:rsidP="00A808C7">
            <w:pPr>
              <w:pStyle w:val="TableText"/>
              <w:spacing w:before="50" w:after="50"/>
            </w:pPr>
            <w:r w:rsidRPr="00256982">
              <w:t>Trend</w:t>
            </w:r>
          </w:p>
        </w:tc>
      </w:tr>
      <w:tr w:rsidR="00DE64BC" w:rsidRPr="00256982" w14:paraId="5501AA5C" w14:textId="77777777" w:rsidTr="00A808C7">
        <w:tc>
          <w:tcPr>
            <w:tcW w:w="2664" w:type="pct"/>
            <w:tcBorders>
              <w:right w:val="single" w:sz="4" w:space="0" w:color="365F91"/>
            </w:tcBorders>
            <w:shd w:val="clear" w:color="auto" w:fill="auto"/>
            <w:noWrap/>
          </w:tcPr>
          <w:p w14:paraId="13528909" w14:textId="77777777" w:rsidR="00DE64BC" w:rsidRPr="00256982" w:rsidRDefault="00DE64BC" w:rsidP="00A808C7">
            <w:pPr>
              <w:pStyle w:val="TableText"/>
              <w:spacing w:before="50" w:after="50"/>
            </w:pPr>
            <w:r w:rsidRPr="00256982">
              <w:t>Manufacture of solid fuels and other energy industries – CO</w:t>
            </w:r>
            <w:r w:rsidRPr="00256982">
              <w:rPr>
                <w:vertAlign w:val="subscript"/>
              </w:rPr>
              <w:t>2</w:t>
            </w:r>
          </w:p>
        </w:tc>
        <w:tc>
          <w:tcPr>
            <w:tcW w:w="827" w:type="pct"/>
            <w:tcBorders>
              <w:top w:val="single" w:sz="4" w:space="0" w:color="365F91"/>
              <w:left w:val="single" w:sz="4" w:space="0" w:color="365F91"/>
              <w:bottom w:val="single" w:sz="4" w:space="0" w:color="365F91"/>
              <w:right w:val="single" w:sz="4" w:space="0" w:color="365F91"/>
            </w:tcBorders>
            <w:shd w:val="clear" w:color="auto" w:fill="auto"/>
            <w:noWrap/>
          </w:tcPr>
          <w:p w14:paraId="605FE2C1" w14:textId="77777777" w:rsidR="00DE64BC" w:rsidRPr="00256982" w:rsidRDefault="00DE64BC" w:rsidP="00A808C7">
            <w:pPr>
              <w:pStyle w:val="TableText"/>
              <w:spacing w:before="50" w:after="50"/>
            </w:pPr>
          </w:p>
        </w:tc>
        <w:tc>
          <w:tcPr>
            <w:tcW w:w="662" w:type="pct"/>
            <w:tcBorders>
              <w:top w:val="single" w:sz="4" w:space="0" w:color="365F91"/>
              <w:left w:val="single" w:sz="4" w:space="0" w:color="365F91"/>
              <w:bottom w:val="single" w:sz="4" w:space="0" w:color="365F91"/>
              <w:right w:val="single" w:sz="4" w:space="0" w:color="365F91"/>
            </w:tcBorders>
            <w:shd w:val="clear" w:color="auto" w:fill="auto"/>
            <w:noWrap/>
          </w:tcPr>
          <w:p w14:paraId="598AE0B3" w14:textId="77777777" w:rsidR="00DE64BC" w:rsidRPr="00256982" w:rsidRDefault="00DE64BC" w:rsidP="00A808C7">
            <w:pPr>
              <w:pStyle w:val="TableText"/>
              <w:spacing w:before="50" w:after="50"/>
              <w:jc w:val="center"/>
            </w:pPr>
          </w:p>
        </w:tc>
        <w:tc>
          <w:tcPr>
            <w:tcW w:w="847" w:type="pct"/>
            <w:tcBorders>
              <w:left w:val="single" w:sz="4" w:space="0" w:color="365F91"/>
            </w:tcBorders>
            <w:shd w:val="clear" w:color="auto" w:fill="auto"/>
            <w:noWrap/>
          </w:tcPr>
          <w:p w14:paraId="3FDB2405" w14:textId="77777777" w:rsidR="00DE64BC" w:rsidRPr="00256982" w:rsidRDefault="00DE64BC" w:rsidP="00A808C7">
            <w:pPr>
              <w:pStyle w:val="TableText"/>
              <w:spacing w:before="50" w:after="50"/>
            </w:pPr>
            <w:r w:rsidRPr="00256982">
              <w:t>Level, trend</w:t>
            </w:r>
          </w:p>
        </w:tc>
      </w:tr>
    </w:tbl>
    <w:p w14:paraId="3BF15D65" w14:textId="77777777" w:rsidR="00DE64BC" w:rsidRPr="00256982" w:rsidRDefault="00DE64BC" w:rsidP="00A808C7">
      <w:pPr>
        <w:pStyle w:val="BodyText"/>
        <w:spacing w:before="240"/>
        <w:rPr>
          <w:lang w:eastAsia="en-GB"/>
        </w:rPr>
      </w:pPr>
      <w:r w:rsidRPr="00256982">
        <w:rPr>
          <w:lang w:eastAsia="en-GB"/>
        </w:rPr>
        <w:t xml:space="preserve">New Zealand’s electricity generation is dominated by hydroelectric generation. For the </w:t>
      </w:r>
      <w:r w:rsidRPr="00256982">
        <w:t>2017</w:t>
      </w:r>
      <w:r w:rsidRPr="00256982">
        <w:rPr>
          <w:lang w:eastAsia="en-GB"/>
        </w:rPr>
        <w:t xml:space="preserve"> calendar year, hydro generation provided 58.1 per cent of New Zealand’s electricity generation. A further 17.4 per cent came from geothermal, 4.9 per cent from wind, 1.3 per cent from biomass and 0.2 per cent from solar. The remaining 18.1 per cent was provided by fossil fuel thermal generation plants using gas, coal and oil (MBIE, </w:t>
      </w:r>
      <w:r w:rsidRPr="00256982">
        <w:t>2018</w:t>
      </w:r>
      <w:r w:rsidRPr="00256982">
        <w:rPr>
          <w:lang w:eastAsia="en-GB"/>
        </w:rPr>
        <w:t>).</w:t>
      </w:r>
    </w:p>
    <w:p w14:paraId="3598BA98" w14:textId="77777777" w:rsidR="00DE64BC" w:rsidRPr="00256982" w:rsidRDefault="00DE64BC" w:rsidP="00A808C7">
      <w:pPr>
        <w:pStyle w:val="BodyText"/>
        <w:rPr>
          <w:lang w:eastAsia="en-GB"/>
        </w:rPr>
      </w:pPr>
      <w:r w:rsidRPr="00256982">
        <w:rPr>
          <w:lang w:eastAsia="en-GB"/>
        </w:rPr>
        <w:lastRenderedPageBreak/>
        <w:t xml:space="preserve">Greenhouse gas emissions from the </w:t>
      </w:r>
      <w:r w:rsidRPr="00256982">
        <w:rPr>
          <w:i/>
          <w:lang w:eastAsia="en-GB"/>
        </w:rPr>
        <w:t>Public electricity and heat production</w:t>
      </w:r>
      <w:r w:rsidRPr="00256982">
        <w:rPr>
          <w:lang w:eastAsia="en-GB"/>
        </w:rPr>
        <w:t xml:space="preserve"> category show large year-to-year fluctuations between 1990 and </w:t>
      </w:r>
      <w:r w:rsidRPr="00256982">
        <w:t>2017</w:t>
      </w:r>
      <w:r w:rsidRPr="00256982">
        <w:rPr>
          <w:lang w:eastAsia="en-GB"/>
        </w:rPr>
        <w:t xml:space="preserve">. These fluctuations can also be seen over the time series for New Zealand’s gross emissions. The fluctuations are influenced by the close inverse relationship between thermal and renewable generation (see </w:t>
      </w:r>
      <w:r w:rsidRPr="00256982">
        <w:t>figure 3.3.6</w:t>
      </w:r>
      <w:r w:rsidRPr="00256982">
        <w:rPr>
          <w:lang w:eastAsia="en-GB"/>
        </w:rPr>
        <w:t>). In a dry year, where low rainfall affects most of New Zealand’s hydroelectric lake levels, the shortfall is made up by thermal electricity generation. New Zealand’s hydro resources have limited storage capacity; total reservoir storage is only around 10 per cent of New Zealand’s annual demand. Hence, regular rainfall throughout the year is needed to sustain a high level of hydro generation. Electricity generation in a ‘normal’ hydro year does not require significant use of natural gas and coal, while a ‘dry’ hydro year necessitates higher utilisation of natural gas and coal.</w:t>
      </w:r>
    </w:p>
    <w:p w14:paraId="3F3B16F6" w14:textId="77777777" w:rsidR="00DE64BC" w:rsidRPr="00256982" w:rsidRDefault="00DE64BC" w:rsidP="00A808C7">
      <w:pPr>
        <w:pStyle w:val="Figure"/>
        <w:rPr>
          <w:lang w:eastAsia="en-GB"/>
        </w:rPr>
      </w:pPr>
      <w:bookmarkStart w:id="313" w:name="_Ref442370451"/>
      <w:bookmarkStart w:id="314" w:name="_Toc321399328"/>
      <w:bookmarkStart w:id="315" w:name="_Toc384582856"/>
      <w:bookmarkStart w:id="316" w:name="_Toc443060816"/>
      <w:bookmarkStart w:id="317" w:name="_Toc447275673"/>
      <w:bookmarkStart w:id="318" w:name="_Toc481751991"/>
      <w:bookmarkStart w:id="319" w:name="_Toc5269672"/>
      <w:r w:rsidRPr="00256982">
        <w:t>Figure 3.3.</w:t>
      </w:r>
      <w:r w:rsidR="00304077">
        <w:rPr>
          <w:noProof/>
        </w:rPr>
        <w:fldChar w:fldCharType="begin"/>
      </w:r>
      <w:r w:rsidR="00304077">
        <w:rPr>
          <w:noProof/>
        </w:rPr>
        <w:instrText xml:space="preserve"> SEQ Figure \* ARABIC \s 2 </w:instrText>
      </w:r>
      <w:r w:rsidR="00304077">
        <w:rPr>
          <w:noProof/>
        </w:rPr>
        <w:fldChar w:fldCharType="separate"/>
      </w:r>
      <w:r w:rsidR="00D0418C">
        <w:rPr>
          <w:noProof/>
        </w:rPr>
        <w:t>6</w:t>
      </w:r>
      <w:r w:rsidR="00304077">
        <w:rPr>
          <w:noProof/>
        </w:rPr>
        <w:fldChar w:fldCharType="end"/>
      </w:r>
      <w:bookmarkEnd w:id="313"/>
      <w:r w:rsidRPr="00256982">
        <w:rPr>
          <w:lang w:eastAsia="en-GB"/>
        </w:rPr>
        <w:tab/>
        <w:t xml:space="preserve">New Zealand’s </w:t>
      </w:r>
      <w:r w:rsidRPr="00256982">
        <w:t>electricity</w:t>
      </w:r>
      <w:r w:rsidRPr="00256982">
        <w:rPr>
          <w:lang w:eastAsia="en-GB"/>
        </w:rPr>
        <w:t xml:space="preserve"> generation by source</w:t>
      </w:r>
      <w:bookmarkEnd w:id="314"/>
      <w:bookmarkEnd w:id="315"/>
      <w:bookmarkEnd w:id="316"/>
      <w:bookmarkEnd w:id="317"/>
      <w:bookmarkEnd w:id="318"/>
      <w:bookmarkEnd w:id="319"/>
    </w:p>
    <w:p w14:paraId="58ECA89E" w14:textId="77777777" w:rsidR="00DE64BC" w:rsidRPr="00256982" w:rsidRDefault="00590491" w:rsidP="00A808C7">
      <w:pPr>
        <w:rPr>
          <w:lang w:eastAsia="en-GB"/>
        </w:rPr>
      </w:pPr>
      <w:r>
        <w:rPr>
          <w:lang w:eastAsia="en-NZ"/>
        </w:rPr>
        <w:pict w14:anchorId="204A05A5">
          <v:shape id="_x0000_i1055" type="#_x0000_t75" style="width:425.25pt;height:208.5pt;visibility:visible">
            <v:imagedata r:id="rId58" o:title="fig_3_3_6_electricity_generation_by_source" cropbottom="3349f" cropright="1460f"/>
          </v:shape>
        </w:pict>
      </w:r>
    </w:p>
    <w:p w14:paraId="0A0D99A8" w14:textId="77777777" w:rsidR="00DE64BC" w:rsidRPr="00256982" w:rsidRDefault="00DE64BC" w:rsidP="00A72006">
      <w:pPr>
        <w:pStyle w:val="Heading4"/>
      </w:pPr>
      <w:r w:rsidRPr="00256982">
        <w:rPr>
          <w:lang w:eastAsia="en-GB"/>
        </w:rPr>
        <w:t>Methodological issues</w:t>
      </w:r>
    </w:p>
    <w:p w14:paraId="46CC76DB" w14:textId="77777777" w:rsidR="00DE64BC" w:rsidRPr="00256982" w:rsidRDefault="00DE64BC" w:rsidP="00A808C7">
      <w:pPr>
        <w:pStyle w:val="Heading5"/>
        <w:spacing w:before="160"/>
      </w:pPr>
      <w:r w:rsidRPr="00256982">
        <w:rPr>
          <w:lang w:eastAsia="en-GB"/>
        </w:rPr>
        <w:t>1.A.1.c Manufacture of solid fuels and other energy industries</w:t>
      </w:r>
    </w:p>
    <w:p w14:paraId="2CF88B92" w14:textId="77777777" w:rsidR="00DE64BC" w:rsidRPr="00256982" w:rsidRDefault="00DE64BC" w:rsidP="00A808C7">
      <w:pPr>
        <w:pStyle w:val="BodyText"/>
        <w:rPr>
          <w:lang w:eastAsia="en-GB"/>
        </w:rPr>
      </w:pPr>
      <w:r w:rsidRPr="00256982">
        <w:rPr>
          <w:lang w:eastAsia="en-GB"/>
        </w:rPr>
        <w:t>Methanex New Zealand produced synthetic gasoline until 1997. A Tier 2 methodology was used to estimate CO</w:t>
      </w:r>
      <w:r w:rsidRPr="00256982">
        <w:rPr>
          <w:vertAlign w:val="subscript"/>
          <w:lang w:eastAsia="en-GB"/>
        </w:rPr>
        <w:t>2</w:t>
      </w:r>
      <w:r w:rsidRPr="00256982">
        <w:rPr>
          <w:lang w:eastAsia="en-GB"/>
        </w:rPr>
        <w:t xml:space="preserve"> emissions based on the annual weighted average gas emission factor. </w:t>
      </w:r>
    </w:p>
    <w:p w14:paraId="560F3BFA" w14:textId="77777777" w:rsidR="00DE64BC" w:rsidRPr="00256982" w:rsidRDefault="00DE64BC" w:rsidP="00A808C7">
      <w:pPr>
        <w:pStyle w:val="BodyText"/>
        <w:rPr>
          <w:lang w:eastAsia="en-GB"/>
        </w:rPr>
      </w:pPr>
      <w:r w:rsidRPr="00256982">
        <w:rPr>
          <w:lang w:eastAsia="en-GB"/>
        </w:rPr>
        <w:t xml:space="preserve">In this submission, combustion related to pipeline transport has been recategorised from 1.A.1.c to 1.A.3.e.i </w:t>
      </w:r>
      <w:r w:rsidRPr="00256982">
        <w:rPr>
          <w:i/>
          <w:lang w:eastAsia="en-GB"/>
        </w:rPr>
        <w:t>Pipeline transport</w:t>
      </w:r>
      <w:r w:rsidRPr="00256982">
        <w:rPr>
          <w:lang w:eastAsia="en-GB"/>
        </w:rPr>
        <w:t>.</w:t>
      </w:r>
    </w:p>
    <w:p w14:paraId="217CBACB" w14:textId="77777777" w:rsidR="00DE64BC" w:rsidRPr="00256982" w:rsidRDefault="00DE64BC" w:rsidP="00A72006">
      <w:pPr>
        <w:pStyle w:val="Heading4"/>
        <w:rPr>
          <w:lang w:eastAsia="en-GB"/>
        </w:rPr>
      </w:pPr>
      <w:r w:rsidRPr="00256982">
        <w:rPr>
          <w:lang w:eastAsia="en-GB"/>
        </w:rPr>
        <w:t>Activity data</w:t>
      </w:r>
    </w:p>
    <w:p w14:paraId="4916B079" w14:textId="77777777" w:rsidR="00DE64BC" w:rsidRPr="00256982" w:rsidRDefault="00DE64BC" w:rsidP="00A808C7">
      <w:pPr>
        <w:pStyle w:val="Heading5"/>
        <w:spacing w:before="160"/>
      </w:pPr>
      <w:r w:rsidRPr="00256982">
        <w:rPr>
          <w:lang w:eastAsia="en-GB"/>
        </w:rPr>
        <w:t>1.A.1.a Public electricity and heat production</w:t>
      </w:r>
    </w:p>
    <w:p w14:paraId="067CEAAD" w14:textId="77777777" w:rsidR="00DE64BC" w:rsidRPr="00256982" w:rsidRDefault="00DE64BC" w:rsidP="00A808C7">
      <w:pPr>
        <w:pStyle w:val="BodyText"/>
        <w:rPr>
          <w:lang w:eastAsia="en-GB"/>
        </w:rPr>
      </w:pPr>
      <w:r w:rsidRPr="00256982">
        <w:rPr>
          <w:lang w:eastAsia="en-GB"/>
        </w:rPr>
        <w:t>All thermal electricity generators provide figures to MBIE for the amount of coal, natural gas and oil used for electricity generation. Greenhouse gas emissions from geothermal electricity generation are reported under 1.B.2.d.</w:t>
      </w:r>
    </w:p>
    <w:p w14:paraId="0143A4BA" w14:textId="77777777" w:rsidR="00DE64BC" w:rsidRPr="00256982" w:rsidRDefault="00DE64BC" w:rsidP="00A808C7">
      <w:pPr>
        <w:pStyle w:val="BodyText"/>
        <w:rPr>
          <w:lang w:eastAsia="en-GB"/>
        </w:rPr>
      </w:pPr>
      <w:r w:rsidRPr="00256982">
        <w:rPr>
          <w:lang w:eastAsia="en-GB"/>
        </w:rPr>
        <w:t xml:space="preserve">Around 5 per cent of New Zealand’s electricity is supplied by co-generation (also known as combined heat and power) (MBIE, </w:t>
      </w:r>
      <w:r w:rsidRPr="00256982">
        <w:t>2018</w:t>
      </w:r>
      <w:r w:rsidRPr="00256982">
        <w:rPr>
          <w:lang w:eastAsia="en-GB"/>
        </w:rPr>
        <w:t xml:space="preserve">). Most of the major co-generation plants are attached to large industrial facilities that consume most of the generated electricity and heat. </w:t>
      </w:r>
    </w:p>
    <w:p w14:paraId="1B1317B0" w14:textId="77777777" w:rsidR="00DE64BC" w:rsidRPr="00256982" w:rsidRDefault="00DE64BC" w:rsidP="00A808C7">
      <w:pPr>
        <w:pStyle w:val="BodyText"/>
        <w:rPr>
          <w:lang w:eastAsia="en-GB"/>
        </w:rPr>
      </w:pPr>
      <w:r w:rsidRPr="00256982">
        <w:rPr>
          <w:lang w:eastAsia="en-GB"/>
        </w:rPr>
        <w:t xml:space="preserve">Six co-generation plants that fit the IPCC 2006 definition of public electricity and heat production produce electricity as their primary purpose. The emissions from these plants are included under the </w:t>
      </w:r>
      <w:r w:rsidRPr="00256982">
        <w:rPr>
          <w:i/>
          <w:lang w:eastAsia="en-GB"/>
        </w:rPr>
        <w:t>Public electricity and heat production</w:t>
      </w:r>
      <w:r w:rsidRPr="00256982">
        <w:rPr>
          <w:lang w:eastAsia="en-GB"/>
        </w:rPr>
        <w:t xml:space="preserve"> category, while emissions from other co-generation plants are included within the </w:t>
      </w:r>
      <w:r w:rsidRPr="00256982">
        <w:rPr>
          <w:i/>
          <w:lang w:eastAsia="en-GB"/>
        </w:rPr>
        <w:t>Manufacturing industries and construction</w:t>
      </w:r>
      <w:r w:rsidRPr="00256982">
        <w:rPr>
          <w:lang w:eastAsia="en-GB"/>
        </w:rPr>
        <w:t xml:space="preserve"> category (section 3.3.7). </w:t>
      </w:r>
    </w:p>
    <w:p w14:paraId="4680838B" w14:textId="77777777" w:rsidR="00DE64BC" w:rsidRPr="00256982" w:rsidRDefault="00DE64BC" w:rsidP="00A808C7">
      <w:pPr>
        <w:pStyle w:val="BodyText"/>
        <w:rPr>
          <w:lang w:eastAsia="en-GB"/>
        </w:rPr>
      </w:pPr>
      <w:r w:rsidRPr="00256982">
        <w:rPr>
          <w:lang w:eastAsia="en-GB"/>
        </w:rPr>
        <w:lastRenderedPageBreak/>
        <w:t>To establish a consistent approach to on-site generation, MBIE developed a decision tree to guide the allocation of associated fuel consumption and identify whether the plant is a main activity electricity generator or an autoproducer (see figure</w:t>
      </w:r>
      <w:r w:rsidRPr="00256982">
        <w:t xml:space="preserve"> 3.3.7</w:t>
      </w:r>
      <w:r w:rsidRPr="00256982">
        <w:rPr>
          <w:lang w:eastAsia="en-GB"/>
        </w:rPr>
        <w:t>).</w:t>
      </w:r>
    </w:p>
    <w:p w14:paraId="4B435136" w14:textId="77777777" w:rsidR="00DE64BC" w:rsidRPr="00256982" w:rsidRDefault="00DE64BC" w:rsidP="00A808C7">
      <w:pPr>
        <w:pStyle w:val="Figure"/>
      </w:pPr>
      <w:bookmarkStart w:id="320" w:name="_Ref442370479"/>
      <w:bookmarkStart w:id="321" w:name="_Toc321399329"/>
      <w:bookmarkStart w:id="322" w:name="_Toc384582857"/>
      <w:bookmarkStart w:id="323" w:name="_Toc443060817"/>
      <w:bookmarkStart w:id="324" w:name="_Toc447275674"/>
      <w:bookmarkStart w:id="325" w:name="_Toc481751992"/>
      <w:bookmarkStart w:id="326" w:name="_Toc5269673"/>
      <w:r w:rsidRPr="00256982">
        <w:t>Figure 3.3.</w:t>
      </w:r>
      <w:r w:rsidR="00304077">
        <w:rPr>
          <w:noProof/>
        </w:rPr>
        <w:fldChar w:fldCharType="begin"/>
      </w:r>
      <w:r w:rsidR="00304077">
        <w:rPr>
          <w:noProof/>
        </w:rPr>
        <w:instrText xml:space="preserve"> SEQ Figure \* ARABIC \s 2 </w:instrText>
      </w:r>
      <w:r w:rsidR="00304077">
        <w:rPr>
          <w:noProof/>
        </w:rPr>
        <w:fldChar w:fldCharType="separate"/>
      </w:r>
      <w:r w:rsidR="00D0418C">
        <w:rPr>
          <w:noProof/>
        </w:rPr>
        <w:t>7</w:t>
      </w:r>
      <w:r w:rsidR="00304077">
        <w:rPr>
          <w:noProof/>
        </w:rPr>
        <w:fldChar w:fldCharType="end"/>
      </w:r>
      <w:bookmarkEnd w:id="320"/>
      <w:r w:rsidRPr="00256982">
        <w:rPr>
          <w:lang w:eastAsia="en-GB"/>
        </w:rPr>
        <w:tab/>
        <w:t xml:space="preserve">Decision tree </w:t>
      </w:r>
      <w:bookmarkEnd w:id="321"/>
      <w:r w:rsidRPr="00256982">
        <w:rPr>
          <w:lang w:eastAsia="en-GB"/>
        </w:rPr>
        <w:t>to identify a main activity electricity generator or an autoproducer</w:t>
      </w:r>
      <w:bookmarkEnd w:id="322"/>
      <w:bookmarkEnd w:id="323"/>
      <w:bookmarkEnd w:id="324"/>
      <w:bookmarkEnd w:id="325"/>
      <w:bookmarkEnd w:id="326"/>
    </w:p>
    <w:p w14:paraId="708F6160" w14:textId="77777777" w:rsidR="00DE64BC" w:rsidRPr="00256982" w:rsidRDefault="00DE64BC" w:rsidP="00A808C7">
      <w:pPr>
        <w:pStyle w:val="BodyText"/>
        <w:spacing w:before="0"/>
        <w:ind w:left="851"/>
      </w:pPr>
      <w:r w:rsidRPr="00256982">
        <w:object w:dxaOrig="6684" w:dyaOrig="4591" w14:anchorId="52C74D7A">
          <v:shape id="_x0000_i1056" type="#_x0000_t75" style="width:280.5pt;height:194.25pt" o:ole="">
            <v:imagedata r:id="rId59" o:title=""/>
          </v:shape>
          <o:OLEObject Type="Embed" ProgID="Visio.Drawing.11" ShapeID="_x0000_i1056" DrawAspect="Content" ObjectID="_1616241187" r:id="rId60"/>
        </w:object>
      </w:r>
    </w:p>
    <w:p w14:paraId="47979B22" w14:textId="77777777" w:rsidR="00DE64BC" w:rsidRPr="00256982" w:rsidRDefault="00DE64BC" w:rsidP="00A808C7">
      <w:pPr>
        <w:pStyle w:val="Heading5"/>
        <w:spacing w:before="360"/>
      </w:pPr>
      <w:r w:rsidRPr="00256982">
        <w:rPr>
          <w:lang w:eastAsia="en-GB"/>
        </w:rPr>
        <w:t xml:space="preserve">1.A.1.b </w:t>
      </w:r>
      <w:r w:rsidRPr="00256982">
        <w:t>Petroleum</w:t>
      </w:r>
      <w:r w:rsidRPr="00256982">
        <w:rPr>
          <w:lang w:eastAsia="en-GB"/>
        </w:rPr>
        <w:t xml:space="preserve"> refining</w:t>
      </w:r>
    </w:p>
    <w:p w14:paraId="1E27398D" w14:textId="77777777" w:rsidR="00DE64BC" w:rsidRPr="00256982" w:rsidRDefault="00DE64BC" w:rsidP="00A808C7">
      <w:pPr>
        <w:pStyle w:val="BodyText"/>
        <w:keepLines/>
        <w:rPr>
          <w:lang w:eastAsia="en-GB"/>
        </w:rPr>
      </w:pPr>
      <w:r w:rsidRPr="00256982">
        <w:rPr>
          <w:lang w:eastAsia="en-GB"/>
        </w:rPr>
        <w:t xml:space="preserve">Refining New Zealand provides annual activity data and emission factors for each type of fuel being consumed at the site. The fuel-type specific emission factors were adopted under the Government’s Projects to Reduce Emissions in 2003 (Ministry for the Environment, 2009). </w:t>
      </w:r>
    </w:p>
    <w:p w14:paraId="61D793AA" w14:textId="77777777" w:rsidR="00DE64BC" w:rsidRPr="00256982" w:rsidRDefault="00DE64BC" w:rsidP="00A808C7">
      <w:pPr>
        <w:pStyle w:val="BodyText"/>
        <w:rPr>
          <w:lang w:eastAsia="en-GB"/>
        </w:rPr>
      </w:pPr>
      <w:r w:rsidRPr="00256982">
        <w:rPr>
          <w:lang w:eastAsia="en-GB"/>
        </w:rPr>
        <w:t xml:space="preserve">Refinery gas is obtained during the distillation of crude oil and production of oil products. As a result, emissions from its combustion are implicitly included under liquid fuels in the reference approach. </w:t>
      </w:r>
    </w:p>
    <w:p w14:paraId="2648B880" w14:textId="77777777" w:rsidR="00DE64BC" w:rsidRPr="00256982" w:rsidRDefault="00DE64BC" w:rsidP="00A808C7">
      <w:pPr>
        <w:pStyle w:val="Heading5"/>
        <w:rPr>
          <w:lang w:eastAsia="en-GB"/>
        </w:rPr>
      </w:pPr>
      <w:r w:rsidRPr="00256982">
        <w:rPr>
          <w:iCs w:val="0"/>
          <w:lang w:eastAsia="en-GB"/>
        </w:rPr>
        <w:t>1.A.1.c.ii</w:t>
      </w:r>
      <w:r w:rsidRPr="00256982">
        <w:rPr>
          <w:i w:val="0"/>
          <w:iCs w:val="0"/>
          <w:lang w:eastAsia="en-GB"/>
        </w:rPr>
        <w:t xml:space="preserve"> </w:t>
      </w:r>
      <w:r w:rsidRPr="00256982">
        <w:rPr>
          <w:lang w:eastAsia="en-GB"/>
        </w:rPr>
        <w:t xml:space="preserve">Manufacture of solid fuels and other energy industries </w:t>
      </w:r>
      <w:r w:rsidRPr="00256982">
        <w:rPr>
          <w:lang w:eastAsia="en-GB"/>
        </w:rPr>
        <w:br/>
        <w:t>– Other energy industries</w:t>
      </w:r>
    </w:p>
    <w:p w14:paraId="4EDAD4E0" w14:textId="77777777" w:rsidR="00DE64BC" w:rsidRPr="00256982" w:rsidRDefault="00DE64BC" w:rsidP="00A808C7">
      <w:pPr>
        <w:pStyle w:val="BodyText"/>
        <w:rPr>
          <w:lang w:eastAsia="en-GB"/>
        </w:rPr>
      </w:pPr>
      <w:r w:rsidRPr="00256982">
        <w:rPr>
          <w:lang w:eastAsia="en-GB"/>
        </w:rPr>
        <w:t xml:space="preserve">Activity data for the useful combustion (own use) of natural gas during oil and gas extraction are provided to MBIE by each individual gas and/or oil field operator. Some crude oil is also combusted (own use) during oil and gas extraction. The quantity is reported directly by the oil and/or gas field operator to MBIE. </w:t>
      </w:r>
    </w:p>
    <w:p w14:paraId="3C256F11" w14:textId="77777777" w:rsidR="00DE64BC" w:rsidRPr="00256982" w:rsidRDefault="00DE64BC" w:rsidP="00A808C7">
      <w:pPr>
        <w:pStyle w:val="BodyText"/>
        <w:rPr>
          <w:lang w:eastAsia="en-GB"/>
        </w:rPr>
      </w:pPr>
      <w:r w:rsidRPr="00256982">
        <w:rPr>
          <w:lang w:eastAsia="en-GB"/>
        </w:rPr>
        <w:t>Emissions from natural gas combustion (own use) for the purpose of natural gas transmission are reported directly by the transmission network operator to MBIE. Emissions from natural gas combustion (own use) for the purpose of natural gas processing are reported directly by the plant operator to MBIE.</w:t>
      </w:r>
    </w:p>
    <w:p w14:paraId="0322A2EA" w14:textId="77777777" w:rsidR="00DE64BC" w:rsidRPr="00256982" w:rsidRDefault="00DE64BC" w:rsidP="00A808C7">
      <w:pPr>
        <w:pStyle w:val="BodyText"/>
        <w:rPr>
          <w:lang w:eastAsia="en-GB"/>
        </w:rPr>
      </w:pPr>
      <w:r w:rsidRPr="00256982">
        <w:rPr>
          <w:lang w:eastAsia="en-GB"/>
        </w:rPr>
        <w:t>Losses and own use of coal by coal mining entities are reported as a single item, so data on on</w:t>
      </w:r>
      <w:r w:rsidRPr="00256982">
        <w:rPr>
          <w:lang w:eastAsia="en-GB"/>
        </w:rPr>
        <w:noBreakHyphen/>
        <w:t>site coal use are not available. Coal mines often provide a bathhouse for miners to bathe and unwind after a hard shift at the coalface. In the past, hot water was supplied by a coal-fired boiler; however, the last of these at the Stockton mine closed in the mid-1980s. The expert opinion of coal industry specialists is that on-site coal use does not occur because any water boilers on site are now fuelled by natural gas or electricity.</w:t>
      </w:r>
    </w:p>
    <w:p w14:paraId="62D0A646" w14:textId="77777777" w:rsidR="00DE64BC" w:rsidRPr="00256982" w:rsidRDefault="00DE64BC" w:rsidP="00A72006">
      <w:pPr>
        <w:pStyle w:val="Heading4"/>
      </w:pPr>
      <w:r w:rsidRPr="00256982">
        <w:rPr>
          <w:lang w:eastAsia="en-GB"/>
        </w:rPr>
        <w:lastRenderedPageBreak/>
        <w:t>Emission factors</w:t>
      </w:r>
    </w:p>
    <w:p w14:paraId="7987BF45" w14:textId="77777777" w:rsidR="00DE64BC" w:rsidRPr="00256982" w:rsidRDefault="00DE64BC" w:rsidP="00A808C7">
      <w:pPr>
        <w:pStyle w:val="Heading5"/>
        <w:spacing w:before="120"/>
      </w:pPr>
      <w:r w:rsidRPr="00256982">
        <w:rPr>
          <w:lang w:eastAsia="en-GB"/>
        </w:rPr>
        <w:t>Gaseous fuels</w:t>
      </w:r>
    </w:p>
    <w:p w14:paraId="67C1A3DD" w14:textId="77777777" w:rsidR="00DE64BC" w:rsidRPr="00256982" w:rsidRDefault="00DE64BC" w:rsidP="00A808C7">
      <w:pPr>
        <w:pStyle w:val="BodyText"/>
        <w:rPr>
          <w:sz w:val="16"/>
          <w:szCs w:val="16"/>
          <w:lang w:eastAsia="en-GB"/>
        </w:rPr>
      </w:pPr>
      <w:r w:rsidRPr="00256982">
        <w:rPr>
          <w:lang w:eastAsia="en-GB"/>
        </w:rPr>
        <w:t>As mentioned in section 3.3.1, New Zealand’s natural gas emission factor fluctuates from year to year, mainly due to the different mixture of gas fields that produced gas in that year. New Zealand gas fields also have higher CO</w:t>
      </w:r>
      <w:r w:rsidRPr="00256982">
        <w:rPr>
          <w:vertAlign w:val="subscript"/>
          <w:lang w:eastAsia="en-GB"/>
        </w:rPr>
        <w:t>2</w:t>
      </w:r>
      <w:r w:rsidRPr="00256982">
        <w:rPr>
          <w:lang w:eastAsia="en-GB"/>
        </w:rPr>
        <w:t xml:space="preserve"> content than most international gas fields. This is particularly evident in the </w:t>
      </w:r>
      <w:r w:rsidRPr="00256982">
        <w:rPr>
          <w:i/>
          <w:lang w:eastAsia="en-GB"/>
        </w:rPr>
        <w:t>Public electricity and heat production</w:t>
      </w:r>
      <w:r w:rsidRPr="00256982">
        <w:rPr>
          <w:lang w:eastAsia="en-GB"/>
        </w:rPr>
        <w:t xml:space="preserve"> category.</w:t>
      </w:r>
      <w:r w:rsidRPr="00256982">
        <w:rPr>
          <w:sz w:val="16"/>
          <w:szCs w:val="16"/>
          <w:lang w:eastAsia="en-GB"/>
        </w:rPr>
        <w:t xml:space="preserve"> </w:t>
      </w:r>
    </w:p>
    <w:p w14:paraId="0AB84169" w14:textId="77777777" w:rsidR="00DE64BC" w:rsidRPr="00256982" w:rsidRDefault="00DE64BC" w:rsidP="00A72006">
      <w:pPr>
        <w:pStyle w:val="Heading4"/>
      </w:pPr>
      <w:r w:rsidRPr="00256982">
        <w:rPr>
          <w:lang w:eastAsia="en-GB"/>
        </w:rPr>
        <w:t>Uncertainties and time-series consistency</w:t>
      </w:r>
    </w:p>
    <w:p w14:paraId="59B210BD" w14:textId="77777777" w:rsidR="00DE64BC" w:rsidRPr="00256982" w:rsidRDefault="00DE64BC" w:rsidP="00A808C7">
      <w:pPr>
        <w:pStyle w:val="BodyText"/>
        <w:rPr>
          <w:lang w:eastAsia="en-GB"/>
        </w:rPr>
      </w:pPr>
      <w:r w:rsidRPr="00256982">
        <w:rPr>
          <w:lang w:eastAsia="en-GB"/>
        </w:rPr>
        <w:t>Uncertainties in emissions and activity data estimates for this category are relevant to the entire Fuel combustion sector (see table 3.3.1).</w:t>
      </w:r>
    </w:p>
    <w:p w14:paraId="1F391A53" w14:textId="77777777" w:rsidR="00DE64BC" w:rsidRPr="00256982" w:rsidRDefault="00DE64BC" w:rsidP="00A72006">
      <w:pPr>
        <w:pStyle w:val="Heading4"/>
        <w:rPr>
          <w:lang w:eastAsia="en-GB"/>
        </w:rPr>
      </w:pPr>
      <w:r w:rsidRPr="00256982">
        <w:rPr>
          <w:lang w:eastAsia="en-GB"/>
        </w:rPr>
        <w:t>Source-specific QA/QC and verification</w:t>
      </w:r>
    </w:p>
    <w:p w14:paraId="6CB398B3" w14:textId="77777777" w:rsidR="00DE64BC" w:rsidRPr="00256982" w:rsidRDefault="00DE64BC" w:rsidP="00A808C7">
      <w:pPr>
        <w:pStyle w:val="BodyText"/>
        <w:rPr>
          <w:lang w:eastAsia="en-GB"/>
        </w:rPr>
      </w:pPr>
      <w:r w:rsidRPr="00256982">
        <w:rPr>
          <w:lang w:eastAsia="en-GB"/>
        </w:rPr>
        <w:t xml:space="preserve">In the preparation of this inventory, the </w:t>
      </w:r>
      <w:r w:rsidRPr="00256982">
        <w:rPr>
          <w:i/>
          <w:lang w:eastAsia="en-GB"/>
        </w:rPr>
        <w:t>Energy industries</w:t>
      </w:r>
      <w:r w:rsidRPr="00256982">
        <w:rPr>
          <w:lang w:eastAsia="en-GB"/>
        </w:rPr>
        <w:t xml:space="preserve"> category underwent Tier 1 quality-assurance and quality-control checks as recommended in the 2006 IPCC Guidelines. These include regular control sums throughout systems, to verify system integrity, and consistency checks on implied emission factors.</w:t>
      </w:r>
    </w:p>
    <w:p w14:paraId="40F5EDDC" w14:textId="77777777" w:rsidR="00DE64BC" w:rsidRPr="00256982" w:rsidRDefault="00DE64BC" w:rsidP="00A72006">
      <w:pPr>
        <w:pStyle w:val="Heading4"/>
        <w:rPr>
          <w:lang w:eastAsia="en-GB"/>
        </w:rPr>
      </w:pPr>
      <w:r w:rsidRPr="00256982">
        <w:rPr>
          <w:lang w:eastAsia="en-GB"/>
        </w:rPr>
        <w:t>Source-specific recalculations</w:t>
      </w:r>
    </w:p>
    <w:p w14:paraId="35B2DAE1" w14:textId="77777777" w:rsidR="00DE64BC" w:rsidRPr="00256982" w:rsidRDefault="00DE64BC" w:rsidP="00A808C7">
      <w:pPr>
        <w:pStyle w:val="BodyText"/>
        <w:rPr>
          <w:lang w:eastAsia="en-GB"/>
        </w:rPr>
      </w:pPr>
      <w:r w:rsidRPr="00256982">
        <w:rPr>
          <w:lang w:eastAsia="en-GB"/>
        </w:rPr>
        <w:t>Updated activity data have been provided by some plant operators for the quantity of natural gas consumed for electricity generation. This has resulted in some recalculations for recent years.</w:t>
      </w:r>
    </w:p>
    <w:p w14:paraId="2983A7EE" w14:textId="77777777" w:rsidR="00DE64BC" w:rsidRPr="00256982" w:rsidRDefault="00DE64BC" w:rsidP="001D3490">
      <w:pPr>
        <w:pStyle w:val="Heading3"/>
      </w:pPr>
      <w:bookmarkStart w:id="327" w:name="_Ref442360713"/>
      <w:r w:rsidRPr="00256982">
        <w:t>3.3.7</w:t>
      </w:r>
      <w:r w:rsidRPr="00256982">
        <w:tab/>
        <w:t>Fuel combustion: Manufacturing industries and construction (CRF 1.A.2)</w:t>
      </w:r>
      <w:bookmarkEnd w:id="327"/>
    </w:p>
    <w:p w14:paraId="3ACE2629" w14:textId="77777777" w:rsidR="00DE64BC" w:rsidRPr="00256982" w:rsidRDefault="00DE64BC" w:rsidP="00A72006">
      <w:pPr>
        <w:pStyle w:val="Heading4"/>
      </w:pPr>
      <w:r w:rsidRPr="00256982">
        <w:rPr>
          <w:lang w:eastAsia="en-GB"/>
        </w:rPr>
        <w:t>Description</w:t>
      </w:r>
    </w:p>
    <w:p w14:paraId="119ABE6D" w14:textId="77777777" w:rsidR="00DE64BC" w:rsidRPr="00256982" w:rsidRDefault="00DE64BC" w:rsidP="00A808C7">
      <w:pPr>
        <w:pStyle w:val="BodyText"/>
        <w:rPr>
          <w:lang w:eastAsia="en-GB"/>
        </w:rPr>
      </w:pPr>
      <w:r w:rsidRPr="00256982">
        <w:rPr>
          <w:lang w:eastAsia="en-GB"/>
        </w:rPr>
        <w:t>This category comprises emissions from fossil fuels combusted in iron and steel, other non-ferrous metals, chemicals, pulp, paper and print, food processing, beverages and tobacco, and other uses. Emissions from co-generation plants that do not meet the definition of co-generation as provided in the IPCC Guidelines are included in this category.</w:t>
      </w:r>
    </w:p>
    <w:p w14:paraId="788812AB" w14:textId="77777777" w:rsidR="00DE64BC" w:rsidRPr="00256982" w:rsidRDefault="00DE64BC" w:rsidP="00A808C7">
      <w:pPr>
        <w:pStyle w:val="BodyText"/>
        <w:rPr>
          <w:lang w:eastAsia="en-GB"/>
        </w:rPr>
      </w:pPr>
      <w:r w:rsidRPr="00256982">
        <w:rPr>
          <w:lang w:eastAsia="en-GB"/>
        </w:rPr>
        <w:t xml:space="preserve">In </w:t>
      </w:r>
      <w:r w:rsidRPr="00256982">
        <w:t>2017</w:t>
      </w:r>
      <w:r w:rsidRPr="00256982">
        <w:rPr>
          <w:lang w:eastAsia="en-GB"/>
        </w:rPr>
        <w:t xml:space="preserve">, emissions from the 1.A.2 </w:t>
      </w:r>
      <w:r w:rsidRPr="00256982">
        <w:rPr>
          <w:i/>
          <w:lang w:eastAsia="en-GB"/>
        </w:rPr>
        <w:t>Manufacturing industries and construction</w:t>
      </w:r>
      <w:r w:rsidRPr="00256982">
        <w:rPr>
          <w:lang w:eastAsia="en-GB"/>
        </w:rPr>
        <w:t xml:space="preserve"> category accounted for </w:t>
      </w:r>
      <w:r w:rsidRPr="00256982">
        <w:t xml:space="preserve">6,979.9 </w:t>
      </w:r>
      <w:r w:rsidRPr="00256982">
        <w:rPr>
          <w:lang w:eastAsia="en-GB"/>
        </w:rPr>
        <w:t>kt CO</w:t>
      </w:r>
      <w:r w:rsidRPr="00256982">
        <w:rPr>
          <w:vertAlign w:val="subscript"/>
          <w:lang w:eastAsia="en-GB"/>
        </w:rPr>
        <w:t>2</w:t>
      </w:r>
      <w:r w:rsidRPr="00256982">
        <w:rPr>
          <w:lang w:eastAsia="en-GB"/>
        </w:rPr>
        <w:t>-e (</w:t>
      </w:r>
      <w:r w:rsidRPr="00256982">
        <w:t>21.2 per cent</w:t>
      </w:r>
      <w:r w:rsidRPr="00256982">
        <w:rPr>
          <w:lang w:eastAsia="en-GB"/>
        </w:rPr>
        <w:t xml:space="preserve">) emissions from the Energy sector. Emissions from this category were </w:t>
      </w:r>
      <w:r w:rsidRPr="00256982">
        <w:t xml:space="preserve">2,219.6 </w:t>
      </w:r>
      <w:r w:rsidRPr="00256982">
        <w:rPr>
          <w:lang w:eastAsia="en-GB"/>
        </w:rPr>
        <w:t>kt CO</w:t>
      </w:r>
      <w:r w:rsidRPr="00256982">
        <w:rPr>
          <w:vertAlign w:val="subscript"/>
          <w:lang w:eastAsia="en-GB"/>
        </w:rPr>
        <w:t>2</w:t>
      </w:r>
      <w:r w:rsidRPr="00256982">
        <w:rPr>
          <w:lang w:eastAsia="en-GB"/>
        </w:rPr>
        <w:t>-e (</w:t>
      </w:r>
      <w:r w:rsidRPr="00256982">
        <w:t>46.6 per cent</w:t>
      </w:r>
      <w:r w:rsidRPr="00256982">
        <w:rPr>
          <w:lang w:eastAsia="en-GB"/>
        </w:rPr>
        <w:t xml:space="preserve">) above the 1990 level of </w:t>
      </w:r>
      <w:r w:rsidRPr="00256982">
        <w:t xml:space="preserve">4,760.3 </w:t>
      </w:r>
      <w:r w:rsidRPr="00256982">
        <w:rPr>
          <w:lang w:eastAsia="en-GB"/>
        </w:rPr>
        <w:t>kt CO</w:t>
      </w:r>
      <w:r w:rsidRPr="00256982">
        <w:rPr>
          <w:vertAlign w:val="subscript"/>
          <w:lang w:eastAsia="en-GB"/>
        </w:rPr>
        <w:t>2</w:t>
      </w:r>
      <w:r w:rsidRPr="00256982">
        <w:rPr>
          <w:lang w:eastAsia="en-GB"/>
        </w:rPr>
        <w:t xml:space="preserve">-e. A decline in methanol production in 2003–04 caused a significant reduction in emissions from this category. Methanol production is the largest source of emissions in category 1.A.2.c </w:t>
      </w:r>
      <w:r w:rsidRPr="00256982">
        <w:rPr>
          <w:i/>
          <w:lang w:eastAsia="en-GB"/>
        </w:rPr>
        <w:t>Chemicals</w:t>
      </w:r>
      <w:r w:rsidRPr="00256982">
        <w:rPr>
          <w:lang w:eastAsia="en-GB"/>
        </w:rPr>
        <w:t>. Methanex New Zealand has restarted previously mothballed plants and operated all three of its plants during 2017.</w:t>
      </w:r>
    </w:p>
    <w:p w14:paraId="1741175F" w14:textId="77777777" w:rsidR="00DE64BC" w:rsidRPr="00256982" w:rsidRDefault="00DE64BC" w:rsidP="00A72006">
      <w:pPr>
        <w:pStyle w:val="Heading4"/>
        <w:rPr>
          <w:lang w:eastAsia="en-GB"/>
        </w:rPr>
      </w:pPr>
      <w:r w:rsidRPr="00256982">
        <w:rPr>
          <w:lang w:eastAsia="en-GB"/>
        </w:rPr>
        <w:t xml:space="preserve">Changes in emissions between </w:t>
      </w:r>
      <w:r w:rsidRPr="00256982">
        <w:t xml:space="preserve">2016 </w:t>
      </w:r>
      <w:r w:rsidRPr="00256982">
        <w:rPr>
          <w:lang w:eastAsia="en-GB"/>
        </w:rPr>
        <w:t xml:space="preserve">and </w:t>
      </w:r>
      <w:r w:rsidRPr="00256982">
        <w:t>2017</w:t>
      </w:r>
    </w:p>
    <w:p w14:paraId="372A44B2" w14:textId="77777777" w:rsidR="00DE64BC" w:rsidRPr="00256982" w:rsidRDefault="00DE64BC" w:rsidP="00A808C7">
      <w:pPr>
        <w:pStyle w:val="BodyText"/>
        <w:rPr>
          <w:lang w:eastAsia="en-GB"/>
        </w:rPr>
      </w:pPr>
      <w:r w:rsidRPr="00256982">
        <w:rPr>
          <w:lang w:eastAsia="en-GB"/>
        </w:rPr>
        <w:t xml:space="preserve">Between </w:t>
      </w:r>
      <w:r w:rsidRPr="00256982">
        <w:t>2016</w:t>
      </w:r>
      <w:r w:rsidRPr="00256982">
        <w:rPr>
          <w:lang w:eastAsia="en-GB"/>
        </w:rPr>
        <w:t xml:space="preserve"> and </w:t>
      </w:r>
      <w:r w:rsidRPr="00256982">
        <w:t>2017</w:t>
      </w:r>
      <w:r w:rsidRPr="00256982">
        <w:rPr>
          <w:lang w:eastAsia="en-GB"/>
        </w:rPr>
        <w:t xml:space="preserve">, emissions from the </w:t>
      </w:r>
      <w:r w:rsidRPr="00256982">
        <w:rPr>
          <w:i/>
          <w:lang w:eastAsia="en-GB"/>
        </w:rPr>
        <w:t>Manufacturing industries and construction</w:t>
      </w:r>
      <w:r w:rsidRPr="00256982">
        <w:rPr>
          <w:lang w:eastAsia="en-GB"/>
        </w:rPr>
        <w:t xml:space="preserve"> category increased by </w:t>
      </w:r>
      <w:r w:rsidRPr="00256982">
        <w:t xml:space="preserve">226.8 </w:t>
      </w:r>
      <w:r w:rsidRPr="00256982">
        <w:rPr>
          <w:lang w:eastAsia="en-GB"/>
        </w:rPr>
        <w:t>kt CO</w:t>
      </w:r>
      <w:r w:rsidRPr="00256982">
        <w:rPr>
          <w:vertAlign w:val="subscript"/>
          <w:lang w:eastAsia="en-GB"/>
        </w:rPr>
        <w:t>2</w:t>
      </w:r>
      <w:r w:rsidRPr="00256982">
        <w:rPr>
          <w:lang w:eastAsia="en-GB"/>
        </w:rPr>
        <w:t>-e (</w:t>
      </w:r>
      <w:r w:rsidRPr="00256982">
        <w:t>3.4 per cent</w:t>
      </w:r>
      <w:r w:rsidRPr="00256982">
        <w:rPr>
          <w:lang w:eastAsia="en-GB"/>
        </w:rPr>
        <w:t xml:space="preserve">). This was driven chiefly by an increase in emissions from the </w:t>
      </w:r>
      <w:r w:rsidRPr="00256982">
        <w:rPr>
          <w:i/>
          <w:lang w:eastAsia="en-GB"/>
        </w:rPr>
        <w:t>Food processing, beverages and tobacco</w:t>
      </w:r>
      <w:r w:rsidRPr="00256982">
        <w:rPr>
          <w:lang w:eastAsia="en-GB"/>
        </w:rPr>
        <w:t xml:space="preserve"> category, up </w:t>
      </w:r>
      <w:r w:rsidRPr="00256982">
        <w:t xml:space="preserve">402.6 </w:t>
      </w:r>
      <w:r w:rsidRPr="00256982">
        <w:rPr>
          <w:lang w:eastAsia="en-GB"/>
        </w:rPr>
        <w:t>kt CO</w:t>
      </w:r>
      <w:r w:rsidRPr="00256982">
        <w:rPr>
          <w:vertAlign w:val="subscript"/>
          <w:lang w:eastAsia="en-GB"/>
        </w:rPr>
        <w:t>2</w:t>
      </w:r>
      <w:r w:rsidRPr="00256982">
        <w:rPr>
          <w:lang w:eastAsia="en-GB"/>
        </w:rPr>
        <w:t>-e (</w:t>
      </w:r>
      <w:r w:rsidRPr="00256982">
        <w:t>14.9 per cent</w:t>
      </w:r>
      <w:r w:rsidRPr="00256982">
        <w:rPr>
          <w:lang w:eastAsia="en-GB"/>
        </w:rPr>
        <w:t>) from 2016.</w:t>
      </w:r>
    </w:p>
    <w:p w14:paraId="6B9A2871" w14:textId="77777777" w:rsidR="00DE64BC" w:rsidRPr="00256982" w:rsidRDefault="00DE64BC" w:rsidP="00A808C7">
      <w:pPr>
        <w:pStyle w:val="BodyText"/>
      </w:pPr>
      <w:r w:rsidRPr="00256982">
        <w:t xml:space="preserve">Key categories identified in the 2017 level and trend assessment for the </w:t>
      </w:r>
      <w:r w:rsidRPr="00256982">
        <w:rPr>
          <w:i/>
        </w:rPr>
        <w:t>Manufacturing industries and construction</w:t>
      </w:r>
      <w:r w:rsidRPr="00256982">
        <w:t xml:space="preserve"> category are given in table 3.3.3.</w:t>
      </w:r>
    </w:p>
    <w:p w14:paraId="140E77B5" w14:textId="77777777" w:rsidR="00DE64BC" w:rsidRPr="00256982" w:rsidRDefault="00DE64BC" w:rsidP="00A808C7">
      <w:pPr>
        <w:pStyle w:val="Table"/>
      </w:pPr>
      <w:bookmarkStart w:id="328" w:name="_Toc5269448"/>
      <w:r w:rsidRPr="00256982">
        <w:lastRenderedPageBreak/>
        <w:t>Table 3.3.3</w:t>
      </w:r>
      <w:r w:rsidRPr="00256982">
        <w:tab/>
        <w:t>Key categories for 1.A.2 Manufacturing industries and construction</w:t>
      </w:r>
      <w:bookmarkEnd w:id="328"/>
    </w:p>
    <w:tbl>
      <w:tblPr>
        <w:tblW w:w="8562" w:type="dxa"/>
        <w:tblInd w:w="108" w:type="dxa"/>
        <w:tblBorders>
          <w:top w:val="single" w:sz="4" w:space="0" w:color="1F497D"/>
          <w:bottom w:val="single" w:sz="4" w:space="0" w:color="1F497D"/>
          <w:insideH w:val="single" w:sz="4" w:space="0" w:color="1F497D"/>
          <w:insideV w:val="single" w:sz="4" w:space="0" w:color="1F497D"/>
        </w:tblBorders>
        <w:tblLayout w:type="fixed"/>
        <w:tblLook w:val="0420" w:firstRow="1" w:lastRow="0" w:firstColumn="0" w:lastColumn="0" w:noHBand="0" w:noVBand="1"/>
      </w:tblPr>
      <w:tblGrid>
        <w:gridCol w:w="3795"/>
        <w:gridCol w:w="1671"/>
        <w:gridCol w:w="1519"/>
        <w:gridCol w:w="1577"/>
      </w:tblGrid>
      <w:tr w:rsidR="00DE64BC" w:rsidRPr="00256982" w14:paraId="568880FD" w14:textId="77777777" w:rsidTr="00A808C7">
        <w:trPr>
          <w:tblHeader/>
        </w:trPr>
        <w:tc>
          <w:tcPr>
            <w:tcW w:w="2216" w:type="pct"/>
            <w:tcBorders>
              <w:right w:val="single" w:sz="4" w:space="0" w:color="365F91"/>
            </w:tcBorders>
            <w:shd w:val="clear" w:color="auto" w:fill="365F91"/>
            <w:noWrap/>
            <w:vAlign w:val="bottom"/>
            <w:hideMark/>
          </w:tcPr>
          <w:p w14:paraId="0A130996" w14:textId="77777777" w:rsidR="00DE64BC" w:rsidRPr="00256982" w:rsidRDefault="00DE64BC" w:rsidP="00A808C7">
            <w:pPr>
              <w:pStyle w:val="TableTextBold"/>
              <w:rPr>
                <w:noProof w:val="0"/>
                <w:color w:val="FFFFFF"/>
              </w:rPr>
            </w:pPr>
            <w:r w:rsidRPr="00256982">
              <w:rPr>
                <w:noProof w:val="0"/>
                <w:color w:val="FFFFFF"/>
              </w:rPr>
              <w:t xml:space="preserve">Category </w:t>
            </w:r>
          </w:p>
        </w:tc>
        <w:tc>
          <w:tcPr>
            <w:tcW w:w="976" w:type="pct"/>
            <w:tcBorders>
              <w:top w:val="single" w:sz="4" w:space="0" w:color="365F91"/>
              <w:left w:val="single" w:sz="4" w:space="0" w:color="365F91"/>
              <w:bottom w:val="single" w:sz="4" w:space="0" w:color="365F91"/>
              <w:right w:val="single" w:sz="4" w:space="0" w:color="365F91"/>
            </w:tcBorders>
            <w:shd w:val="clear" w:color="auto" w:fill="365F91"/>
            <w:noWrap/>
            <w:vAlign w:val="bottom"/>
            <w:hideMark/>
          </w:tcPr>
          <w:p w14:paraId="17638720" w14:textId="77777777" w:rsidR="00DE64BC" w:rsidRPr="00256982" w:rsidRDefault="00DE64BC" w:rsidP="00A808C7">
            <w:pPr>
              <w:pStyle w:val="TableTextBold"/>
              <w:rPr>
                <w:noProof w:val="0"/>
                <w:color w:val="FFFFFF"/>
              </w:rPr>
            </w:pPr>
            <w:r w:rsidRPr="00256982">
              <w:rPr>
                <w:noProof w:val="0"/>
                <w:color w:val="FFFFFF"/>
              </w:rPr>
              <w:t>Liquid fuels</w:t>
            </w:r>
          </w:p>
        </w:tc>
        <w:tc>
          <w:tcPr>
            <w:tcW w:w="887" w:type="pct"/>
            <w:tcBorders>
              <w:top w:val="single" w:sz="4" w:space="0" w:color="365F91"/>
              <w:left w:val="single" w:sz="4" w:space="0" w:color="365F91"/>
              <w:bottom w:val="single" w:sz="4" w:space="0" w:color="365F91"/>
              <w:right w:val="single" w:sz="4" w:space="0" w:color="365F91"/>
            </w:tcBorders>
            <w:shd w:val="clear" w:color="auto" w:fill="365F91"/>
            <w:vAlign w:val="bottom"/>
            <w:hideMark/>
          </w:tcPr>
          <w:p w14:paraId="6043A2FA" w14:textId="77777777" w:rsidR="00DE64BC" w:rsidRPr="00256982" w:rsidRDefault="00DE64BC" w:rsidP="00A808C7">
            <w:pPr>
              <w:pStyle w:val="TableTextBold"/>
              <w:rPr>
                <w:noProof w:val="0"/>
                <w:color w:val="FFFFFF"/>
              </w:rPr>
            </w:pPr>
            <w:r w:rsidRPr="00256982">
              <w:rPr>
                <w:noProof w:val="0"/>
                <w:color w:val="FFFFFF"/>
              </w:rPr>
              <w:t>Solid fuels</w:t>
            </w:r>
          </w:p>
        </w:tc>
        <w:tc>
          <w:tcPr>
            <w:tcW w:w="921" w:type="pct"/>
            <w:tcBorders>
              <w:left w:val="single" w:sz="4" w:space="0" w:color="365F91"/>
            </w:tcBorders>
            <w:shd w:val="clear" w:color="auto" w:fill="365F91"/>
            <w:vAlign w:val="bottom"/>
            <w:hideMark/>
          </w:tcPr>
          <w:p w14:paraId="1DD02E2F" w14:textId="77777777" w:rsidR="00DE64BC" w:rsidRPr="00256982" w:rsidRDefault="00DE64BC" w:rsidP="00A808C7">
            <w:pPr>
              <w:pStyle w:val="TableTextBold"/>
              <w:rPr>
                <w:noProof w:val="0"/>
                <w:color w:val="FFFFFF"/>
              </w:rPr>
            </w:pPr>
            <w:r w:rsidRPr="00256982">
              <w:rPr>
                <w:noProof w:val="0"/>
                <w:color w:val="FFFFFF"/>
              </w:rPr>
              <w:t>Gaseous fuels</w:t>
            </w:r>
          </w:p>
        </w:tc>
      </w:tr>
      <w:tr w:rsidR="00DE64BC" w:rsidRPr="00256982" w14:paraId="266CCA16" w14:textId="77777777" w:rsidTr="00A808C7">
        <w:tc>
          <w:tcPr>
            <w:tcW w:w="2216" w:type="pct"/>
            <w:tcBorders>
              <w:right w:val="single" w:sz="4" w:space="0" w:color="365F91"/>
            </w:tcBorders>
            <w:shd w:val="clear" w:color="auto" w:fill="auto"/>
            <w:noWrap/>
            <w:hideMark/>
          </w:tcPr>
          <w:p w14:paraId="4DC9416D" w14:textId="77777777" w:rsidR="00DE64BC" w:rsidRPr="00256982" w:rsidRDefault="00DE64BC" w:rsidP="00A808C7">
            <w:pPr>
              <w:pStyle w:val="TableText"/>
            </w:pPr>
            <w:r w:rsidRPr="00256982">
              <w:t>Chemicals – CO</w:t>
            </w:r>
            <w:r w:rsidRPr="00256982">
              <w:rPr>
                <w:vertAlign w:val="subscript"/>
              </w:rPr>
              <w:t>2</w:t>
            </w:r>
          </w:p>
        </w:tc>
        <w:tc>
          <w:tcPr>
            <w:tcW w:w="976" w:type="pct"/>
            <w:tcBorders>
              <w:top w:val="single" w:sz="4" w:space="0" w:color="365F91"/>
              <w:left w:val="single" w:sz="4" w:space="0" w:color="365F91"/>
              <w:bottom w:val="single" w:sz="4" w:space="0" w:color="365F91"/>
              <w:right w:val="single" w:sz="4" w:space="0" w:color="365F91"/>
            </w:tcBorders>
            <w:shd w:val="clear" w:color="auto" w:fill="auto"/>
            <w:noWrap/>
            <w:hideMark/>
          </w:tcPr>
          <w:p w14:paraId="3CDFD26E" w14:textId="77777777" w:rsidR="00DE64BC" w:rsidRPr="00256982" w:rsidRDefault="00DE64BC" w:rsidP="00A808C7">
            <w:pPr>
              <w:pStyle w:val="TableText"/>
            </w:pPr>
          </w:p>
        </w:tc>
        <w:tc>
          <w:tcPr>
            <w:tcW w:w="887" w:type="pct"/>
            <w:tcBorders>
              <w:top w:val="single" w:sz="4" w:space="0" w:color="365F91"/>
              <w:left w:val="single" w:sz="4" w:space="0" w:color="365F91"/>
              <w:bottom w:val="single" w:sz="4" w:space="0" w:color="365F91"/>
              <w:right w:val="single" w:sz="4" w:space="0" w:color="365F91"/>
            </w:tcBorders>
            <w:shd w:val="clear" w:color="auto" w:fill="auto"/>
            <w:noWrap/>
            <w:hideMark/>
          </w:tcPr>
          <w:p w14:paraId="7198AC03" w14:textId="77777777" w:rsidR="00DE64BC" w:rsidRPr="00256982" w:rsidRDefault="00DE64BC" w:rsidP="00A808C7">
            <w:pPr>
              <w:pStyle w:val="TableText"/>
            </w:pPr>
          </w:p>
        </w:tc>
        <w:tc>
          <w:tcPr>
            <w:tcW w:w="921" w:type="pct"/>
            <w:tcBorders>
              <w:left w:val="single" w:sz="4" w:space="0" w:color="365F91"/>
            </w:tcBorders>
            <w:shd w:val="clear" w:color="auto" w:fill="auto"/>
            <w:noWrap/>
            <w:hideMark/>
          </w:tcPr>
          <w:p w14:paraId="090BD811" w14:textId="77777777" w:rsidR="00DE64BC" w:rsidRPr="00256982" w:rsidRDefault="00DE64BC" w:rsidP="00A808C7">
            <w:pPr>
              <w:pStyle w:val="TableText"/>
            </w:pPr>
            <w:r w:rsidRPr="00256982">
              <w:t>Level, trend</w:t>
            </w:r>
          </w:p>
        </w:tc>
      </w:tr>
      <w:tr w:rsidR="00DE64BC" w:rsidRPr="00256982" w14:paraId="13A6E999" w14:textId="77777777" w:rsidTr="00A808C7">
        <w:tc>
          <w:tcPr>
            <w:tcW w:w="2216" w:type="pct"/>
            <w:tcBorders>
              <w:right w:val="single" w:sz="4" w:space="0" w:color="365F91"/>
            </w:tcBorders>
            <w:shd w:val="clear" w:color="auto" w:fill="auto"/>
            <w:noWrap/>
            <w:hideMark/>
          </w:tcPr>
          <w:p w14:paraId="36917387" w14:textId="77777777" w:rsidR="00DE64BC" w:rsidRPr="00256982" w:rsidRDefault="00DE64BC" w:rsidP="00A808C7">
            <w:pPr>
              <w:pStyle w:val="TableText"/>
            </w:pPr>
            <w:r w:rsidRPr="00256982">
              <w:t>Pulp, paper and print – CO</w:t>
            </w:r>
            <w:r w:rsidRPr="00256982">
              <w:rPr>
                <w:vertAlign w:val="subscript"/>
              </w:rPr>
              <w:t>2</w:t>
            </w:r>
          </w:p>
        </w:tc>
        <w:tc>
          <w:tcPr>
            <w:tcW w:w="976" w:type="pct"/>
            <w:tcBorders>
              <w:top w:val="single" w:sz="4" w:space="0" w:color="365F91"/>
              <w:left w:val="single" w:sz="4" w:space="0" w:color="365F91"/>
              <w:bottom w:val="single" w:sz="4" w:space="0" w:color="365F91"/>
              <w:right w:val="single" w:sz="4" w:space="0" w:color="365F91"/>
            </w:tcBorders>
            <w:shd w:val="clear" w:color="auto" w:fill="auto"/>
            <w:noWrap/>
            <w:hideMark/>
          </w:tcPr>
          <w:p w14:paraId="0509CB1A" w14:textId="77777777" w:rsidR="00DE64BC" w:rsidRPr="00256982" w:rsidRDefault="00DE64BC" w:rsidP="00A808C7">
            <w:pPr>
              <w:pStyle w:val="TableText"/>
            </w:pPr>
          </w:p>
        </w:tc>
        <w:tc>
          <w:tcPr>
            <w:tcW w:w="887" w:type="pct"/>
            <w:tcBorders>
              <w:top w:val="single" w:sz="4" w:space="0" w:color="365F91"/>
              <w:left w:val="single" w:sz="4" w:space="0" w:color="365F91"/>
              <w:bottom w:val="single" w:sz="4" w:space="0" w:color="365F91"/>
              <w:right w:val="single" w:sz="4" w:space="0" w:color="365F91"/>
            </w:tcBorders>
            <w:shd w:val="clear" w:color="auto" w:fill="auto"/>
            <w:noWrap/>
          </w:tcPr>
          <w:p w14:paraId="63C15BBE" w14:textId="77777777" w:rsidR="00DE64BC" w:rsidRPr="00256982" w:rsidRDefault="00DE64BC" w:rsidP="00A808C7">
            <w:pPr>
              <w:pStyle w:val="TableText"/>
              <w:jc w:val="center"/>
            </w:pPr>
          </w:p>
        </w:tc>
        <w:tc>
          <w:tcPr>
            <w:tcW w:w="921" w:type="pct"/>
            <w:tcBorders>
              <w:left w:val="single" w:sz="4" w:space="0" w:color="365F91"/>
            </w:tcBorders>
            <w:shd w:val="clear" w:color="auto" w:fill="auto"/>
            <w:noWrap/>
            <w:hideMark/>
          </w:tcPr>
          <w:p w14:paraId="0BE963D0" w14:textId="77777777" w:rsidR="00DE64BC" w:rsidRPr="00256982" w:rsidRDefault="00DE64BC" w:rsidP="00A808C7">
            <w:pPr>
              <w:pStyle w:val="TableText"/>
            </w:pPr>
            <w:r w:rsidRPr="00256982">
              <w:t>Level</w:t>
            </w:r>
          </w:p>
        </w:tc>
      </w:tr>
      <w:tr w:rsidR="00DE64BC" w:rsidRPr="00256982" w14:paraId="690DAAD7" w14:textId="77777777" w:rsidTr="00A808C7">
        <w:tc>
          <w:tcPr>
            <w:tcW w:w="2216" w:type="pct"/>
            <w:tcBorders>
              <w:right w:val="single" w:sz="4" w:space="0" w:color="365F91"/>
            </w:tcBorders>
            <w:shd w:val="clear" w:color="auto" w:fill="auto"/>
            <w:noWrap/>
          </w:tcPr>
          <w:p w14:paraId="055C4D8E" w14:textId="77777777" w:rsidR="00DE64BC" w:rsidRPr="00256982" w:rsidRDefault="00DE64BC" w:rsidP="00A808C7">
            <w:pPr>
              <w:pStyle w:val="TableText"/>
            </w:pPr>
            <w:r w:rsidRPr="00256982">
              <w:t>Food processing, beverages and tobacco – CO</w:t>
            </w:r>
            <w:r w:rsidRPr="00256982">
              <w:rPr>
                <w:vertAlign w:val="subscript"/>
              </w:rPr>
              <w:t>2</w:t>
            </w:r>
          </w:p>
        </w:tc>
        <w:tc>
          <w:tcPr>
            <w:tcW w:w="976" w:type="pct"/>
            <w:tcBorders>
              <w:top w:val="single" w:sz="4" w:space="0" w:color="365F91"/>
              <w:left w:val="single" w:sz="4" w:space="0" w:color="365F91"/>
              <w:bottom w:val="single" w:sz="4" w:space="0" w:color="365F91"/>
              <w:right w:val="single" w:sz="4" w:space="0" w:color="365F91"/>
            </w:tcBorders>
            <w:shd w:val="clear" w:color="auto" w:fill="auto"/>
            <w:noWrap/>
          </w:tcPr>
          <w:p w14:paraId="4117F230" w14:textId="5BEE9A1B" w:rsidR="00DE64BC" w:rsidRPr="00256982" w:rsidRDefault="00DE64BC" w:rsidP="0038559C">
            <w:pPr>
              <w:pStyle w:val="TableText"/>
            </w:pPr>
            <w:r w:rsidRPr="00256982">
              <w:t xml:space="preserve">Level, </w:t>
            </w:r>
          </w:p>
        </w:tc>
        <w:tc>
          <w:tcPr>
            <w:tcW w:w="887" w:type="pct"/>
            <w:tcBorders>
              <w:top w:val="single" w:sz="4" w:space="0" w:color="365F91"/>
              <w:left w:val="single" w:sz="4" w:space="0" w:color="365F91"/>
              <w:bottom w:val="single" w:sz="4" w:space="0" w:color="365F91"/>
              <w:right w:val="single" w:sz="4" w:space="0" w:color="365F91"/>
            </w:tcBorders>
            <w:shd w:val="clear" w:color="auto" w:fill="auto"/>
            <w:noWrap/>
          </w:tcPr>
          <w:p w14:paraId="4EB2FEB8" w14:textId="77777777" w:rsidR="00DE64BC" w:rsidRPr="00256982" w:rsidRDefault="00DE64BC" w:rsidP="00B570AA">
            <w:pPr>
              <w:pStyle w:val="TableText"/>
            </w:pPr>
            <w:r w:rsidRPr="00256982">
              <w:t>Level, trend</w:t>
            </w:r>
          </w:p>
        </w:tc>
        <w:tc>
          <w:tcPr>
            <w:tcW w:w="921" w:type="pct"/>
            <w:tcBorders>
              <w:left w:val="single" w:sz="4" w:space="0" w:color="365F91"/>
            </w:tcBorders>
            <w:shd w:val="clear" w:color="auto" w:fill="auto"/>
            <w:noWrap/>
          </w:tcPr>
          <w:p w14:paraId="43E2A62B" w14:textId="77777777" w:rsidR="00DE64BC" w:rsidRPr="00256982" w:rsidRDefault="00DE64BC" w:rsidP="00A808C7">
            <w:pPr>
              <w:pStyle w:val="TableText"/>
            </w:pPr>
            <w:r w:rsidRPr="00256982">
              <w:t>Level, trend</w:t>
            </w:r>
          </w:p>
        </w:tc>
      </w:tr>
      <w:tr w:rsidR="00DE64BC" w:rsidRPr="00256982" w14:paraId="7C86518A" w14:textId="77777777" w:rsidTr="00A808C7">
        <w:tc>
          <w:tcPr>
            <w:tcW w:w="2216" w:type="pct"/>
            <w:tcBorders>
              <w:right w:val="single" w:sz="4" w:space="0" w:color="365F91"/>
            </w:tcBorders>
            <w:shd w:val="clear" w:color="auto" w:fill="auto"/>
            <w:noWrap/>
          </w:tcPr>
          <w:p w14:paraId="4C5FF789" w14:textId="77777777" w:rsidR="00DE64BC" w:rsidRPr="00256982" w:rsidRDefault="00DE64BC" w:rsidP="00A808C7">
            <w:pPr>
              <w:pStyle w:val="TableText"/>
            </w:pPr>
            <w:r w:rsidRPr="00256982">
              <w:t>Other – mining and construction – CO</w:t>
            </w:r>
            <w:r w:rsidRPr="00256982">
              <w:rPr>
                <w:vertAlign w:val="subscript"/>
              </w:rPr>
              <w:t>2</w:t>
            </w:r>
          </w:p>
        </w:tc>
        <w:tc>
          <w:tcPr>
            <w:tcW w:w="976" w:type="pct"/>
            <w:tcBorders>
              <w:top w:val="single" w:sz="4" w:space="0" w:color="365F91"/>
              <w:left w:val="single" w:sz="4" w:space="0" w:color="365F91"/>
              <w:bottom w:val="single" w:sz="4" w:space="0" w:color="365F91"/>
              <w:right w:val="single" w:sz="4" w:space="0" w:color="365F91"/>
            </w:tcBorders>
            <w:shd w:val="clear" w:color="auto" w:fill="auto"/>
            <w:noWrap/>
          </w:tcPr>
          <w:p w14:paraId="18A81F29" w14:textId="3E0461B7" w:rsidR="00DE64BC" w:rsidRPr="00256982" w:rsidRDefault="00DE64BC" w:rsidP="00A808C7">
            <w:pPr>
              <w:pStyle w:val="TableText"/>
            </w:pPr>
            <w:r w:rsidRPr="00256982">
              <w:t>Level, trend</w:t>
            </w:r>
          </w:p>
        </w:tc>
        <w:tc>
          <w:tcPr>
            <w:tcW w:w="887" w:type="pct"/>
            <w:tcBorders>
              <w:top w:val="single" w:sz="4" w:space="0" w:color="365F91"/>
              <w:left w:val="single" w:sz="4" w:space="0" w:color="365F91"/>
              <w:bottom w:val="single" w:sz="4" w:space="0" w:color="365F91"/>
              <w:right w:val="single" w:sz="4" w:space="0" w:color="365F91"/>
            </w:tcBorders>
            <w:shd w:val="clear" w:color="auto" w:fill="auto"/>
            <w:noWrap/>
          </w:tcPr>
          <w:p w14:paraId="04C019F3" w14:textId="77777777" w:rsidR="00DE64BC" w:rsidRPr="00256982" w:rsidRDefault="00DE64BC" w:rsidP="00B570AA">
            <w:pPr>
              <w:pStyle w:val="TableText"/>
            </w:pPr>
          </w:p>
        </w:tc>
        <w:tc>
          <w:tcPr>
            <w:tcW w:w="921" w:type="pct"/>
            <w:tcBorders>
              <w:left w:val="single" w:sz="4" w:space="0" w:color="365F91"/>
            </w:tcBorders>
            <w:shd w:val="clear" w:color="auto" w:fill="auto"/>
            <w:noWrap/>
          </w:tcPr>
          <w:p w14:paraId="58B03FA4" w14:textId="77777777" w:rsidR="00DE64BC" w:rsidRPr="00256982" w:rsidRDefault="00DE64BC" w:rsidP="00A808C7">
            <w:pPr>
              <w:pStyle w:val="TableText"/>
            </w:pPr>
          </w:p>
        </w:tc>
      </w:tr>
      <w:tr w:rsidR="00DE64BC" w:rsidRPr="00256982" w14:paraId="5DC737DC" w14:textId="77777777" w:rsidTr="00A808C7">
        <w:tc>
          <w:tcPr>
            <w:tcW w:w="2216" w:type="pct"/>
            <w:tcBorders>
              <w:right w:val="single" w:sz="4" w:space="0" w:color="365F91"/>
            </w:tcBorders>
            <w:shd w:val="clear" w:color="auto" w:fill="auto"/>
            <w:noWrap/>
          </w:tcPr>
          <w:p w14:paraId="47F3089A" w14:textId="77777777" w:rsidR="00DE64BC" w:rsidRPr="00256982" w:rsidRDefault="00DE64BC" w:rsidP="00A808C7">
            <w:pPr>
              <w:pStyle w:val="TableText"/>
            </w:pPr>
            <w:r w:rsidRPr="00256982">
              <w:t>Other – non-metallic minerals – CO</w:t>
            </w:r>
            <w:r w:rsidRPr="00256982">
              <w:rPr>
                <w:vertAlign w:val="subscript"/>
              </w:rPr>
              <w:t>2</w:t>
            </w:r>
          </w:p>
        </w:tc>
        <w:tc>
          <w:tcPr>
            <w:tcW w:w="976" w:type="pct"/>
            <w:tcBorders>
              <w:top w:val="single" w:sz="4" w:space="0" w:color="365F91"/>
              <w:left w:val="single" w:sz="4" w:space="0" w:color="365F91"/>
              <w:bottom w:val="single" w:sz="4" w:space="0" w:color="365F91"/>
              <w:right w:val="single" w:sz="4" w:space="0" w:color="365F91"/>
            </w:tcBorders>
            <w:shd w:val="clear" w:color="auto" w:fill="auto"/>
            <w:noWrap/>
          </w:tcPr>
          <w:p w14:paraId="519DE452" w14:textId="77777777" w:rsidR="00DE64BC" w:rsidRPr="00256982" w:rsidRDefault="00DE64BC" w:rsidP="00A808C7">
            <w:pPr>
              <w:pStyle w:val="TableText"/>
            </w:pPr>
          </w:p>
        </w:tc>
        <w:tc>
          <w:tcPr>
            <w:tcW w:w="887" w:type="pct"/>
            <w:tcBorders>
              <w:top w:val="single" w:sz="4" w:space="0" w:color="365F91"/>
              <w:left w:val="single" w:sz="4" w:space="0" w:color="365F91"/>
              <w:bottom w:val="single" w:sz="4" w:space="0" w:color="365F91"/>
              <w:right w:val="single" w:sz="4" w:space="0" w:color="365F91"/>
            </w:tcBorders>
            <w:shd w:val="clear" w:color="auto" w:fill="auto"/>
            <w:noWrap/>
          </w:tcPr>
          <w:p w14:paraId="314CF89A" w14:textId="77777777" w:rsidR="00DE64BC" w:rsidRPr="00256982" w:rsidRDefault="00DE64BC" w:rsidP="00B570AA">
            <w:pPr>
              <w:pStyle w:val="TableText"/>
            </w:pPr>
            <w:r w:rsidRPr="00256982">
              <w:t>Level, trend</w:t>
            </w:r>
          </w:p>
        </w:tc>
        <w:tc>
          <w:tcPr>
            <w:tcW w:w="921" w:type="pct"/>
            <w:tcBorders>
              <w:left w:val="single" w:sz="4" w:space="0" w:color="365F91"/>
            </w:tcBorders>
            <w:shd w:val="clear" w:color="auto" w:fill="auto"/>
            <w:noWrap/>
          </w:tcPr>
          <w:p w14:paraId="70EA0B7A" w14:textId="77777777" w:rsidR="00DE64BC" w:rsidRPr="00256982" w:rsidRDefault="00DE64BC" w:rsidP="00A808C7">
            <w:pPr>
              <w:pStyle w:val="TableText"/>
            </w:pPr>
          </w:p>
        </w:tc>
      </w:tr>
      <w:tr w:rsidR="00DE64BC" w:rsidRPr="00256982" w14:paraId="1C38A35B" w14:textId="77777777" w:rsidTr="00A808C7">
        <w:tc>
          <w:tcPr>
            <w:tcW w:w="2216" w:type="pct"/>
            <w:tcBorders>
              <w:right w:val="single" w:sz="4" w:space="0" w:color="365F91"/>
            </w:tcBorders>
            <w:shd w:val="clear" w:color="auto" w:fill="auto"/>
            <w:noWrap/>
          </w:tcPr>
          <w:p w14:paraId="3EB6EC88" w14:textId="77777777" w:rsidR="00DE64BC" w:rsidRPr="00256982" w:rsidRDefault="00DE64BC" w:rsidP="00A808C7">
            <w:pPr>
              <w:pStyle w:val="TableText"/>
            </w:pPr>
            <w:r w:rsidRPr="00256982">
              <w:t>Other – other non-specified – CO</w:t>
            </w:r>
            <w:r w:rsidRPr="00256982">
              <w:rPr>
                <w:vertAlign w:val="subscript"/>
              </w:rPr>
              <w:t>2</w:t>
            </w:r>
          </w:p>
        </w:tc>
        <w:tc>
          <w:tcPr>
            <w:tcW w:w="976" w:type="pct"/>
            <w:tcBorders>
              <w:top w:val="single" w:sz="4" w:space="0" w:color="365F91"/>
              <w:left w:val="single" w:sz="4" w:space="0" w:color="365F91"/>
              <w:bottom w:val="single" w:sz="4" w:space="0" w:color="365F91"/>
              <w:right w:val="single" w:sz="4" w:space="0" w:color="365F91"/>
            </w:tcBorders>
            <w:shd w:val="clear" w:color="auto" w:fill="auto"/>
            <w:noWrap/>
          </w:tcPr>
          <w:p w14:paraId="0A9CEFAE" w14:textId="014C7375" w:rsidR="00DE64BC" w:rsidRPr="00256982" w:rsidRDefault="00DE64BC" w:rsidP="00A808C7">
            <w:pPr>
              <w:pStyle w:val="TableText"/>
            </w:pPr>
            <w:r w:rsidRPr="00256982">
              <w:t>, trend</w:t>
            </w:r>
          </w:p>
        </w:tc>
        <w:tc>
          <w:tcPr>
            <w:tcW w:w="887" w:type="pct"/>
            <w:tcBorders>
              <w:top w:val="single" w:sz="4" w:space="0" w:color="365F91"/>
              <w:left w:val="single" w:sz="4" w:space="0" w:color="365F91"/>
              <w:bottom w:val="single" w:sz="4" w:space="0" w:color="365F91"/>
              <w:right w:val="single" w:sz="4" w:space="0" w:color="365F91"/>
            </w:tcBorders>
            <w:shd w:val="clear" w:color="auto" w:fill="auto"/>
            <w:noWrap/>
          </w:tcPr>
          <w:p w14:paraId="41A3AA9F" w14:textId="77777777" w:rsidR="00DE64BC" w:rsidRPr="00256982" w:rsidRDefault="00DE64BC" w:rsidP="00B570AA">
            <w:pPr>
              <w:pStyle w:val="TableText"/>
            </w:pPr>
            <w:r w:rsidRPr="00256982">
              <w:t>Trend</w:t>
            </w:r>
          </w:p>
        </w:tc>
        <w:tc>
          <w:tcPr>
            <w:tcW w:w="921" w:type="pct"/>
            <w:tcBorders>
              <w:left w:val="single" w:sz="4" w:space="0" w:color="365F91"/>
            </w:tcBorders>
            <w:shd w:val="clear" w:color="auto" w:fill="auto"/>
            <w:noWrap/>
          </w:tcPr>
          <w:p w14:paraId="3ED56962" w14:textId="77777777" w:rsidR="00DE64BC" w:rsidRPr="00256982" w:rsidRDefault="00DE64BC" w:rsidP="00A808C7">
            <w:pPr>
              <w:pStyle w:val="TableText"/>
            </w:pPr>
          </w:p>
        </w:tc>
      </w:tr>
    </w:tbl>
    <w:p w14:paraId="43DF89DD" w14:textId="77777777" w:rsidR="00DE64BC" w:rsidRPr="00256982" w:rsidRDefault="00DE64BC" w:rsidP="00845454">
      <w:pPr>
        <w:pStyle w:val="Heading4"/>
        <w:spacing w:before="360"/>
      </w:pPr>
      <w:r w:rsidRPr="00256982">
        <w:rPr>
          <w:lang w:eastAsia="en-GB"/>
        </w:rPr>
        <w:t>Methodological issues</w:t>
      </w:r>
    </w:p>
    <w:p w14:paraId="71B8B8C7" w14:textId="77777777" w:rsidR="00DE64BC" w:rsidRPr="00256982" w:rsidRDefault="00DE64BC" w:rsidP="00A808C7">
      <w:pPr>
        <w:pStyle w:val="BodyText"/>
        <w:rPr>
          <w:lang w:eastAsia="en-GB"/>
        </w:rPr>
      </w:pPr>
      <w:r w:rsidRPr="00256982">
        <w:rPr>
          <w:lang w:eastAsia="en-GB"/>
        </w:rPr>
        <w:t xml:space="preserve">To ensure there is no double counting of emissions, in some instances, emissions from the use of solid fuels and gaseous fuels are excluded from this category because they are accounted for under the IPPU sector. New Zealand Steel Limited uses coal as a reducing agent in the steel-making process. In accordance with 2006 IPCC Guidelines, the emissions from this are included in the IPPU sector rather than the Energy sector. In a number of instances, natural gas is excluded from the </w:t>
      </w:r>
      <w:r w:rsidRPr="00256982">
        <w:rPr>
          <w:i/>
          <w:lang w:eastAsia="en-GB"/>
        </w:rPr>
        <w:t>Manufacturing industries and construction</w:t>
      </w:r>
      <w:r w:rsidRPr="00256982">
        <w:rPr>
          <w:lang w:eastAsia="en-GB"/>
        </w:rPr>
        <w:t xml:space="preserve"> category because it is accounted for under the IPPU sector. This includes urea production, hydrogen production and some of the natural gas used by New Zealand Steel (New Zealand Steel separately reports its emissions from natural gas as part of the combustion process and natural gas as part of the chemical process).</w:t>
      </w:r>
    </w:p>
    <w:p w14:paraId="56958DCC" w14:textId="77777777" w:rsidR="00DE64BC" w:rsidRPr="00256982" w:rsidRDefault="00DE64BC" w:rsidP="00A72006">
      <w:pPr>
        <w:pStyle w:val="Heading4"/>
        <w:rPr>
          <w:lang w:eastAsia="en-GB"/>
        </w:rPr>
      </w:pPr>
      <w:r w:rsidRPr="00256982">
        <w:rPr>
          <w:lang w:eastAsia="en-GB"/>
        </w:rPr>
        <w:t>Activity data</w:t>
      </w:r>
    </w:p>
    <w:p w14:paraId="426DAD57" w14:textId="77777777" w:rsidR="00DE64BC" w:rsidRPr="00256982" w:rsidRDefault="00DE64BC" w:rsidP="00A808C7">
      <w:pPr>
        <w:pStyle w:val="BodyText"/>
        <w:spacing w:before="100"/>
      </w:pPr>
      <w:r w:rsidRPr="00256982">
        <w:rPr>
          <w:lang w:eastAsia="en-GB"/>
        </w:rPr>
        <w:t>The previous submission further disaggregated e</w:t>
      </w:r>
      <w:r w:rsidRPr="00256982">
        <w:t xml:space="preserve">missions formerly reported under category 1.A.2.g </w:t>
      </w:r>
      <w:r w:rsidRPr="00256982">
        <w:rPr>
          <w:i/>
        </w:rPr>
        <w:t>Manufacturing industries and construction</w:t>
      </w:r>
      <w:r w:rsidRPr="00256982">
        <w:t xml:space="preserve"> – </w:t>
      </w:r>
      <w:r w:rsidRPr="00256982">
        <w:rPr>
          <w:i/>
        </w:rPr>
        <w:t>other</w:t>
      </w:r>
      <w:r w:rsidRPr="00256982">
        <w:t xml:space="preserve"> into specific categories. This resulted in the </w:t>
      </w:r>
      <w:r w:rsidRPr="00256982">
        <w:rPr>
          <w:i/>
        </w:rPr>
        <w:t>Other</w:t>
      </w:r>
      <w:r w:rsidRPr="00256982">
        <w:t xml:space="preserve"> category becoming much smaller. </w:t>
      </w:r>
    </w:p>
    <w:p w14:paraId="049FC178" w14:textId="77777777" w:rsidR="00DE64BC" w:rsidRPr="00256982" w:rsidRDefault="00DE64BC" w:rsidP="00A808C7">
      <w:pPr>
        <w:pStyle w:val="BodyText"/>
        <w:spacing w:before="100"/>
      </w:pPr>
      <w:r w:rsidRPr="00256982">
        <w:rPr>
          <w:rFonts w:cs="Arial"/>
          <w:spacing w:val="-2"/>
        </w:rPr>
        <w:t xml:space="preserve">Energy balance tables released with </w:t>
      </w:r>
      <w:r w:rsidRPr="00256982">
        <w:rPr>
          <w:rFonts w:cs="Arial"/>
          <w:i/>
          <w:spacing w:val="-2"/>
        </w:rPr>
        <w:t>Energy in</w:t>
      </w:r>
      <w:r w:rsidRPr="00256982">
        <w:rPr>
          <w:rFonts w:cs="Arial"/>
          <w:spacing w:val="-2"/>
        </w:rPr>
        <w:t xml:space="preserve"> </w:t>
      </w:r>
      <w:r w:rsidRPr="00256982">
        <w:rPr>
          <w:rFonts w:cs="Arial"/>
          <w:i/>
          <w:spacing w:val="-2"/>
        </w:rPr>
        <w:t xml:space="preserve">New Zealand </w:t>
      </w:r>
      <w:r w:rsidRPr="00256982">
        <w:rPr>
          <w:spacing w:val="-2"/>
        </w:rPr>
        <w:t>(MBIE, 2018) split out industrial uses of energy using the Australian and New Zealand Standard Industrial Classification 2006. This was possible because of the collection of more detailed information from the various surveys used to compile the energy balance tables since 2009</w:t>
      </w:r>
      <w:r w:rsidRPr="00256982">
        <w:t>.</w:t>
      </w:r>
    </w:p>
    <w:p w14:paraId="7FCDCA6B" w14:textId="77777777" w:rsidR="00DE64BC" w:rsidRPr="00256982" w:rsidRDefault="00DE64BC" w:rsidP="00A808C7">
      <w:pPr>
        <w:pStyle w:val="BodyText"/>
        <w:spacing w:before="100"/>
        <w:rPr>
          <w:rFonts w:cs="Arial"/>
          <w:spacing w:val="-2"/>
        </w:rPr>
      </w:pPr>
      <w:r w:rsidRPr="00256982">
        <w:rPr>
          <w:spacing w:val="-2"/>
        </w:rPr>
        <w:t xml:space="preserve">This has allowed a further disaggregation of the </w:t>
      </w:r>
      <w:r w:rsidRPr="00256982">
        <w:rPr>
          <w:i/>
          <w:spacing w:val="-2"/>
        </w:rPr>
        <w:t>Manufacturing industries and construction</w:t>
      </w:r>
      <w:r w:rsidRPr="00256982">
        <w:rPr>
          <w:spacing w:val="-2"/>
        </w:rPr>
        <w:t xml:space="preserve"> category and, therefore, greater transparency. Where actual survey data are not available at the required level</w:t>
      </w:r>
      <w:r w:rsidRPr="00256982">
        <w:rPr>
          <w:rFonts w:cs="Arial"/>
          <w:spacing w:val="-2"/>
        </w:rPr>
        <w:t>, estimates of the energy use across these categories have been made to ensure time-series consistency. These are described in further detail below.</w:t>
      </w:r>
    </w:p>
    <w:p w14:paraId="14DB630F" w14:textId="77777777" w:rsidR="00DE64BC" w:rsidRPr="00256982" w:rsidRDefault="00DE64BC" w:rsidP="00A808C7">
      <w:pPr>
        <w:pStyle w:val="Heading5"/>
        <w:spacing w:before="200"/>
      </w:pPr>
      <w:r w:rsidRPr="00256982">
        <w:t>Solid fuels</w:t>
      </w:r>
    </w:p>
    <w:p w14:paraId="3F73F76A" w14:textId="77777777" w:rsidR="00DE64BC" w:rsidRPr="00256982" w:rsidRDefault="00DE64BC" w:rsidP="00A808C7">
      <w:pPr>
        <w:pStyle w:val="BodyText"/>
        <w:spacing w:after="100"/>
      </w:pPr>
      <w:r w:rsidRPr="00256982">
        <w:t xml:space="preserve">In 2010, the disaggregation of the </w:t>
      </w:r>
      <w:r w:rsidRPr="00256982">
        <w:rPr>
          <w:i/>
        </w:rPr>
        <w:t>Manufacturing industries and construction</w:t>
      </w:r>
      <w:r w:rsidRPr="00256982">
        <w:t xml:space="preserve"> category for coal was implemented within the energy greenhouse gas data system. This was the first time the category was disaggregated and it was applied from 2009. These percentage splits, based on 2009 data, were applied to activity data for the annual inventory submission across the whole time series (back to 1990). However, during 2014, the coal data system at MBIE was revised to internally disaggregate manufacturing industries based on a 2011 survey of major coal users. Therefore, applying the disaggregation procedure previously used within the greenhouse gas data system is no longer necessary. </w:t>
      </w:r>
    </w:p>
    <w:p w14:paraId="5EE7637D" w14:textId="77777777" w:rsidR="00DE64BC" w:rsidRPr="00256982" w:rsidRDefault="00DE64BC" w:rsidP="00A808C7">
      <w:pPr>
        <w:pStyle w:val="BodyText"/>
        <w:spacing w:after="100"/>
      </w:pPr>
      <w:r w:rsidRPr="00256982">
        <w:t xml:space="preserve">From 2009 onwards, the coal sales survey conducted by MBIE provides data at a more disaggregated level. </w:t>
      </w:r>
    </w:p>
    <w:p w14:paraId="6DE0A546" w14:textId="77777777" w:rsidR="00DE64BC" w:rsidRPr="00256982" w:rsidRDefault="00DE64BC" w:rsidP="00A808C7">
      <w:pPr>
        <w:pStyle w:val="Heading5"/>
        <w:spacing w:before="200"/>
      </w:pPr>
      <w:r w:rsidRPr="00256982">
        <w:lastRenderedPageBreak/>
        <w:t>Solid biomass</w:t>
      </w:r>
    </w:p>
    <w:p w14:paraId="5E3159BA" w14:textId="77777777" w:rsidR="00DE64BC" w:rsidRPr="00256982" w:rsidRDefault="00DE64BC" w:rsidP="00A808C7">
      <w:pPr>
        <w:pStyle w:val="BodyText"/>
      </w:pPr>
      <w:r w:rsidRPr="00256982">
        <w:t xml:space="preserve">The Bioenergy Association of New Zealand conducted a 2006 Heat Plant Survey of </w:t>
      </w:r>
      <w:r w:rsidRPr="00256982">
        <w:rPr>
          <w:lang w:eastAsia="en-GB"/>
        </w:rPr>
        <w:t>New Zealand (</w:t>
      </w:r>
      <w:r w:rsidRPr="00256982">
        <w:t>Bioenergy Association of New Zealand, 2011)</w:t>
      </w:r>
      <w:r w:rsidRPr="00256982">
        <w:rPr>
          <w:lang w:eastAsia="en-GB"/>
        </w:rPr>
        <w:t xml:space="preserve"> to gain information on heat plant (boiler) capacity and use in New Zealand. One area this survey examined was solid biomass use in New Zealand industrial companies (see table 3.3.4). The survey shows that most solid biomass in New Zealand is used by the wood processing industry. The industrial splits from the survey were used to separate out solid biomass activity data for the inventory. These splits were applied across the whole time series (back to 1990) for activity data and </w:t>
      </w:r>
      <w:r w:rsidRPr="00256982">
        <w:t>CO</w:t>
      </w:r>
      <w:r w:rsidRPr="00256982">
        <w:rPr>
          <w:vertAlign w:val="subscript"/>
        </w:rPr>
        <w:t>2</w:t>
      </w:r>
      <w:r w:rsidRPr="00256982">
        <w:t>, CH</w:t>
      </w:r>
      <w:r w:rsidRPr="00256982">
        <w:rPr>
          <w:vertAlign w:val="subscript"/>
        </w:rPr>
        <w:t>4</w:t>
      </w:r>
      <w:r w:rsidRPr="00256982">
        <w:t xml:space="preserve"> and N</w:t>
      </w:r>
      <w:r w:rsidRPr="00256982">
        <w:rPr>
          <w:vertAlign w:val="subscript"/>
        </w:rPr>
        <w:t>2</w:t>
      </w:r>
      <w:r w:rsidRPr="00256982">
        <w:t>O emissions.</w:t>
      </w:r>
    </w:p>
    <w:p w14:paraId="264C129B" w14:textId="14526A07" w:rsidR="00DE64BC" w:rsidRPr="00256982" w:rsidRDefault="00DE64BC" w:rsidP="00A808C7">
      <w:pPr>
        <w:pStyle w:val="Table"/>
      </w:pPr>
      <w:bookmarkStart w:id="329" w:name="_Toc321399159"/>
      <w:bookmarkStart w:id="330" w:name="_Toc384582171"/>
      <w:bookmarkStart w:id="331" w:name="_Toc443060846"/>
      <w:bookmarkStart w:id="332" w:name="_Toc451176062"/>
      <w:bookmarkStart w:id="333" w:name="_Toc481751488"/>
      <w:bookmarkStart w:id="334" w:name="_Toc507496591"/>
      <w:bookmarkStart w:id="335" w:name="_Toc5269449"/>
      <w:r w:rsidRPr="00256982">
        <w:t xml:space="preserve">Table 3.3.4 </w:t>
      </w:r>
      <w:r w:rsidRPr="00256982">
        <w:tab/>
        <w:t>Solid biomass splits for 2006 that were used to disaggregate the Manufacturing industries and construction category between 1990</w:t>
      </w:r>
      <w:r w:rsidR="00C53888" w:rsidRPr="00256982">
        <w:t> </w:t>
      </w:r>
      <w:r w:rsidRPr="00256982">
        <w:t>and</w:t>
      </w:r>
      <w:bookmarkEnd w:id="329"/>
      <w:bookmarkEnd w:id="330"/>
      <w:bookmarkEnd w:id="331"/>
      <w:bookmarkEnd w:id="332"/>
      <w:bookmarkEnd w:id="333"/>
      <w:bookmarkEnd w:id="334"/>
      <w:r w:rsidR="00C53888" w:rsidRPr="00256982">
        <w:t> </w:t>
      </w:r>
      <w:r w:rsidRPr="00256982">
        <w:t>2017</w:t>
      </w:r>
      <w:bookmarkEnd w:id="335"/>
    </w:p>
    <w:tbl>
      <w:tblPr>
        <w:tblW w:w="8562" w:type="dxa"/>
        <w:tblInd w:w="108" w:type="dxa"/>
        <w:tblBorders>
          <w:top w:val="single" w:sz="4" w:space="0" w:color="365F91"/>
          <w:bottom w:val="single" w:sz="4" w:space="0" w:color="365F91"/>
          <w:insideH w:val="single" w:sz="4" w:space="0" w:color="365F91"/>
          <w:insideV w:val="single" w:sz="4" w:space="0" w:color="365F91"/>
        </w:tblBorders>
        <w:tblLook w:val="04A0" w:firstRow="1" w:lastRow="0" w:firstColumn="1" w:lastColumn="0" w:noHBand="0" w:noVBand="1"/>
      </w:tblPr>
      <w:tblGrid>
        <w:gridCol w:w="1863"/>
        <w:gridCol w:w="4857"/>
        <w:gridCol w:w="1842"/>
      </w:tblGrid>
      <w:tr w:rsidR="00DE64BC" w:rsidRPr="00256982" w14:paraId="4B076E15" w14:textId="77777777" w:rsidTr="00A808C7">
        <w:trPr>
          <w:tblHeader/>
        </w:trPr>
        <w:tc>
          <w:tcPr>
            <w:tcW w:w="1752" w:type="dxa"/>
            <w:shd w:val="clear" w:color="auto" w:fill="365F91"/>
            <w:vAlign w:val="bottom"/>
          </w:tcPr>
          <w:p w14:paraId="4F729C93" w14:textId="77777777" w:rsidR="00DE64BC" w:rsidRPr="00256982" w:rsidRDefault="00DE64BC" w:rsidP="00A808C7">
            <w:pPr>
              <w:pStyle w:val="TableTextBold"/>
              <w:keepNext/>
              <w:spacing w:before="40" w:after="40"/>
              <w:rPr>
                <w:bCs/>
                <w:noProof w:val="0"/>
                <w:color w:val="FFFFFF"/>
                <w:szCs w:val="22"/>
              </w:rPr>
            </w:pPr>
            <w:r w:rsidRPr="00256982">
              <w:rPr>
                <w:bCs/>
                <w:noProof w:val="0"/>
                <w:color w:val="FFFFFF"/>
                <w:szCs w:val="22"/>
              </w:rPr>
              <w:t>CRF category code</w:t>
            </w:r>
          </w:p>
        </w:tc>
        <w:tc>
          <w:tcPr>
            <w:tcW w:w="4567" w:type="dxa"/>
            <w:shd w:val="clear" w:color="auto" w:fill="365F91"/>
            <w:vAlign w:val="bottom"/>
          </w:tcPr>
          <w:p w14:paraId="7AED8C30" w14:textId="77777777" w:rsidR="00DE64BC" w:rsidRPr="00256982" w:rsidRDefault="00DE64BC" w:rsidP="00A808C7">
            <w:pPr>
              <w:pStyle w:val="TableTextBold"/>
              <w:spacing w:before="40" w:after="40"/>
              <w:rPr>
                <w:bCs/>
                <w:noProof w:val="0"/>
                <w:color w:val="FFFFFF"/>
                <w:szCs w:val="22"/>
              </w:rPr>
            </w:pPr>
            <w:r w:rsidRPr="00256982">
              <w:rPr>
                <w:bCs/>
                <w:noProof w:val="0"/>
                <w:color w:val="FFFFFF"/>
                <w:szCs w:val="22"/>
              </w:rPr>
              <w:t>Manufacturing industries and construction category</w:t>
            </w:r>
          </w:p>
        </w:tc>
        <w:tc>
          <w:tcPr>
            <w:tcW w:w="1732" w:type="dxa"/>
            <w:shd w:val="clear" w:color="auto" w:fill="365F91"/>
            <w:vAlign w:val="bottom"/>
          </w:tcPr>
          <w:p w14:paraId="06281702" w14:textId="77777777" w:rsidR="00DE64BC" w:rsidRPr="00256982" w:rsidRDefault="00DE64BC" w:rsidP="00A808C7">
            <w:pPr>
              <w:pStyle w:val="TableTextBold"/>
              <w:spacing w:before="40" w:after="40"/>
              <w:jc w:val="center"/>
              <w:rPr>
                <w:noProof w:val="0"/>
                <w:color w:val="FFFFFF"/>
              </w:rPr>
            </w:pPr>
            <w:r w:rsidRPr="00256982">
              <w:rPr>
                <w:noProof w:val="0"/>
                <w:color w:val="FFFFFF"/>
              </w:rPr>
              <w:t>Per cent</w:t>
            </w:r>
          </w:p>
        </w:tc>
      </w:tr>
      <w:tr w:rsidR="00DE64BC" w:rsidRPr="00256982" w14:paraId="3DDE9102" w14:textId="77777777" w:rsidTr="00A808C7">
        <w:tc>
          <w:tcPr>
            <w:tcW w:w="1752" w:type="dxa"/>
            <w:shd w:val="clear" w:color="auto" w:fill="auto"/>
            <w:vAlign w:val="center"/>
          </w:tcPr>
          <w:p w14:paraId="77170AF8" w14:textId="77777777" w:rsidR="00DE64BC" w:rsidRPr="00256982" w:rsidRDefault="00DE64BC" w:rsidP="00A808C7">
            <w:pPr>
              <w:pStyle w:val="TableText"/>
            </w:pPr>
            <w:r w:rsidRPr="00256982">
              <w:t>1.A.2.a</w:t>
            </w:r>
          </w:p>
        </w:tc>
        <w:tc>
          <w:tcPr>
            <w:tcW w:w="4567" w:type="dxa"/>
            <w:shd w:val="clear" w:color="auto" w:fill="auto"/>
            <w:vAlign w:val="center"/>
          </w:tcPr>
          <w:p w14:paraId="4A0CC926" w14:textId="77777777" w:rsidR="00DE64BC" w:rsidRPr="00256982" w:rsidRDefault="00DE64BC" w:rsidP="00A808C7">
            <w:pPr>
              <w:pStyle w:val="TableText"/>
            </w:pPr>
            <w:r w:rsidRPr="00256982">
              <w:t>Iron and steel</w:t>
            </w:r>
          </w:p>
        </w:tc>
        <w:tc>
          <w:tcPr>
            <w:tcW w:w="1732" w:type="dxa"/>
            <w:shd w:val="clear" w:color="auto" w:fill="auto"/>
            <w:vAlign w:val="center"/>
          </w:tcPr>
          <w:p w14:paraId="678D96C9" w14:textId="77777777" w:rsidR="00DE64BC" w:rsidRPr="00256982" w:rsidRDefault="00DE64BC" w:rsidP="00A808C7">
            <w:pPr>
              <w:pStyle w:val="TableText"/>
              <w:jc w:val="center"/>
            </w:pPr>
            <w:r w:rsidRPr="00256982">
              <w:t>NO</w:t>
            </w:r>
          </w:p>
        </w:tc>
      </w:tr>
      <w:tr w:rsidR="00DE64BC" w:rsidRPr="00256982" w14:paraId="178B782A" w14:textId="77777777" w:rsidTr="00A808C7">
        <w:tc>
          <w:tcPr>
            <w:tcW w:w="1752" w:type="dxa"/>
            <w:shd w:val="clear" w:color="auto" w:fill="auto"/>
            <w:vAlign w:val="center"/>
          </w:tcPr>
          <w:p w14:paraId="1E6DDA76" w14:textId="77777777" w:rsidR="00DE64BC" w:rsidRPr="00256982" w:rsidRDefault="00DE64BC" w:rsidP="00A808C7">
            <w:pPr>
              <w:pStyle w:val="TableText"/>
            </w:pPr>
            <w:r w:rsidRPr="00256982">
              <w:t>1.A.2.b</w:t>
            </w:r>
          </w:p>
        </w:tc>
        <w:tc>
          <w:tcPr>
            <w:tcW w:w="4567" w:type="dxa"/>
            <w:shd w:val="clear" w:color="auto" w:fill="auto"/>
            <w:vAlign w:val="center"/>
          </w:tcPr>
          <w:p w14:paraId="7762A772" w14:textId="77777777" w:rsidR="00DE64BC" w:rsidRPr="00256982" w:rsidRDefault="00DE64BC" w:rsidP="00A808C7">
            <w:pPr>
              <w:pStyle w:val="TableText"/>
            </w:pPr>
            <w:r w:rsidRPr="00256982">
              <w:t>Non-ferrous metals</w:t>
            </w:r>
          </w:p>
        </w:tc>
        <w:tc>
          <w:tcPr>
            <w:tcW w:w="1732" w:type="dxa"/>
            <w:shd w:val="clear" w:color="auto" w:fill="auto"/>
            <w:vAlign w:val="center"/>
          </w:tcPr>
          <w:p w14:paraId="1EBEC4AA" w14:textId="77777777" w:rsidR="00DE64BC" w:rsidRPr="00256982" w:rsidRDefault="00DE64BC" w:rsidP="00A808C7">
            <w:pPr>
              <w:pStyle w:val="TableText"/>
              <w:jc w:val="center"/>
            </w:pPr>
            <w:r w:rsidRPr="00256982">
              <w:t>NO</w:t>
            </w:r>
          </w:p>
        </w:tc>
      </w:tr>
      <w:tr w:rsidR="00DE64BC" w:rsidRPr="00256982" w14:paraId="3EFF4398" w14:textId="77777777" w:rsidTr="00A808C7">
        <w:tc>
          <w:tcPr>
            <w:tcW w:w="1752" w:type="dxa"/>
            <w:shd w:val="clear" w:color="auto" w:fill="auto"/>
            <w:vAlign w:val="center"/>
          </w:tcPr>
          <w:p w14:paraId="5C8DA4E5" w14:textId="77777777" w:rsidR="00DE64BC" w:rsidRPr="00256982" w:rsidRDefault="00DE64BC" w:rsidP="00A808C7">
            <w:pPr>
              <w:pStyle w:val="TableText"/>
            </w:pPr>
            <w:r w:rsidRPr="00256982">
              <w:t>1.A.2.c</w:t>
            </w:r>
          </w:p>
        </w:tc>
        <w:tc>
          <w:tcPr>
            <w:tcW w:w="4567" w:type="dxa"/>
            <w:shd w:val="clear" w:color="auto" w:fill="auto"/>
            <w:vAlign w:val="center"/>
          </w:tcPr>
          <w:p w14:paraId="40FBC387" w14:textId="77777777" w:rsidR="00DE64BC" w:rsidRPr="00256982" w:rsidRDefault="00DE64BC" w:rsidP="00A808C7">
            <w:pPr>
              <w:pStyle w:val="TableText"/>
            </w:pPr>
            <w:r w:rsidRPr="00256982">
              <w:t>Chemicals</w:t>
            </w:r>
          </w:p>
        </w:tc>
        <w:tc>
          <w:tcPr>
            <w:tcW w:w="1732" w:type="dxa"/>
            <w:shd w:val="clear" w:color="auto" w:fill="auto"/>
            <w:vAlign w:val="center"/>
          </w:tcPr>
          <w:p w14:paraId="1588DFD2" w14:textId="77777777" w:rsidR="00DE64BC" w:rsidRPr="00256982" w:rsidRDefault="00DE64BC" w:rsidP="00A808C7">
            <w:pPr>
              <w:pStyle w:val="TableText"/>
              <w:jc w:val="center"/>
            </w:pPr>
            <w:r w:rsidRPr="00256982">
              <w:t>NO</w:t>
            </w:r>
          </w:p>
        </w:tc>
      </w:tr>
      <w:tr w:rsidR="00DE64BC" w:rsidRPr="00256982" w14:paraId="07A4394C" w14:textId="77777777" w:rsidTr="00A808C7">
        <w:tc>
          <w:tcPr>
            <w:tcW w:w="1752" w:type="dxa"/>
            <w:shd w:val="clear" w:color="auto" w:fill="auto"/>
            <w:vAlign w:val="center"/>
          </w:tcPr>
          <w:p w14:paraId="61D102EC" w14:textId="77777777" w:rsidR="00DE64BC" w:rsidRPr="00256982" w:rsidRDefault="00DE64BC" w:rsidP="00A808C7">
            <w:pPr>
              <w:pStyle w:val="TableText"/>
            </w:pPr>
            <w:r w:rsidRPr="00256982">
              <w:t>1.A.2.d</w:t>
            </w:r>
          </w:p>
        </w:tc>
        <w:tc>
          <w:tcPr>
            <w:tcW w:w="4567" w:type="dxa"/>
            <w:shd w:val="clear" w:color="auto" w:fill="auto"/>
            <w:vAlign w:val="center"/>
          </w:tcPr>
          <w:p w14:paraId="2A69F65F" w14:textId="77777777" w:rsidR="00DE64BC" w:rsidRPr="00256982" w:rsidRDefault="00DE64BC" w:rsidP="00A808C7">
            <w:pPr>
              <w:pStyle w:val="TableText"/>
            </w:pPr>
            <w:r w:rsidRPr="00256982">
              <w:t>Pulp, paper and print</w:t>
            </w:r>
          </w:p>
        </w:tc>
        <w:tc>
          <w:tcPr>
            <w:tcW w:w="1732" w:type="dxa"/>
            <w:shd w:val="clear" w:color="auto" w:fill="auto"/>
            <w:vAlign w:val="center"/>
          </w:tcPr>
          <w:p w14:paraId="3E1D5DCC" w14:textId="77777777" w:rsidR="00DE64BC" w:rsidRPr="00256982" w:rsidRDefault="00DE64BC" w:rsidP="00A808C7">
            <w:pPr>
              <w:pStyle w:val="TableText"/>
              <w:jc w:val="center"/>
            </w:pPr>
            <w:r w:rsidRPr="00256982">
              <w:t>99.94</w:t>
            </w:r>
          </w:p>
        </w:tc>
      </w:tr>
      <w:tr w:rsidR="00DE64BC" w:rsidRPr="00256982" w14:paraId="4F02197C" w14:textId="77777777" w:rsidTr="00A808C7">
        <w:tc>
          <w:tcPr>
            <w:tcW w:w="1752" w:type="dxa"/>
            <w:shd w:val="clear" w:color="auto" w:fill="auto"/>
            <w:vAlign w:val="center"/>
          </w:tcPr>
          <w:p w14:paraId="4236D873" w14:textId="77777777" w:rsidR="00DE64BC" w:rsidRPr="00256982" w:rsidRDefault="00DE64BC" w:rsidP="00A808C7">
            <w:pPr>
              <w:pStyle w:val="TableText"/>
            </w:pPr>
            <w:r w:rsidRPr="00256982">
              <w:t>1.A.2.e</w:t>
            </w:r>
          </w:p>
        </w:tc>
        <w:tc>
          <w:tcPr>
            <w:tcW w:w="4567" w:type="dxa"/>
            <w:shd w:val="clear" w:color="auto" w:fill="auto"/>
            <w:vAlign w:val="center"/>
          </w:tcPr>
          <w:p w14:paraId="4D1A8453" w14:textId="77777777" w:rsidR="00DE64BC" w:rsidRPr="00256982" w:rsidRDefault="00DE64BC" w:rsidP="00A808C7">
            <w:pPr>
              <w:pStyle w:val="TableText"/>
            </w:pPr>
            <w:r w:rsidRPr="00256982">
              <w:t>Food processing, beverages and tobacco</w:t>
            </w:r>
          </w:p>
        </w:tc>
        <w:tc>
          <w:tcPr>
            <w:tcW w:w="1732" w:type="dxa"/>
            <w:shd w:val="clear" w:color="auto" w:fill="auto"/>
            <w:vAlign w:val="center"/>
          </w:tcPr>
          <w:p w14:paraId="0D53481C" w14:textId="77777777" w:rsidR="00DE64BC" w:rsidRPr="00256982" w:rsidRDefault="00DE64BC" w:rsidP="00A808C7">
            <w:pPr>
              <w:pStyle w:val="TableText"/>
              <w:jc w:val="center"/>
            </w:pPr>
            <w:r w:rsidRPr="00256982">
              <w:t>0.05</w:t>
            </w:r>
          </w:p>
        </w:tc>
      </w:tr>
      <w:tr w:rsidR="00DE64BC" w:rsidRPr="00256982" w14:paraId="23842986" w14:textId="77777777" w:rsidTr="00A808C7">
        <w:tc>
          <w:tcPr>
            <w:tcW w:w="1752" w:type="dxa"/>
            <w:shd w:val="clear" w:color="auto" w:fill="auto"/>
            <w:vAlign w:val="center"/>
          </w:tcPr>
          <w:p w14:paraId="1E98968C" w14:textId="77777777" w:rsidR="00DE64BC" w:rsidRPr="00256982" w:rsidRDefault="00DE64BC" w:rsidP="00A808C7">
            <w:pPr>
              <w:pStyle w:val="TableText"/>
            </w:pPr>
            <w:r w:rsidRPr="00256982">
              <w:t>1.A.2.g</w:t>
            </w:r>
          </w:p>
        </w:tc>
        <w:tc>
          <w:tcPr>
            <w:tcW w:w="4567" w:type="dxa"/>
            <w:shd w:val="clear" w:color="auto" w:fill="auto"/>
            <w:vAlign w:val="center"/>
          </w:tcPr>
          <w:p w14:paraId="5ED42CEF" w14:textId="77777777" w:rsidR="00DE64BC" w:rsidRPr="00256982" w:rsidRDefault="00DE64BC" w:rsidP="00A808C7">
            <w:pPr>
              <w:pStyle w:val="TableText"/>
            </w:pPr>
            <w:r w:rsidRPr="00256982">
              <w:t>Other – mining and construction</w:t>
            </w:r>
          </w:p>
        </w:tc>
        <w:tc>
          <w:tcPr>
            <w:tcW w:w="1732" w:type="dxa"/>
            <w:shd w:val="clear" w:color="auto" w:fill="auto"/>
            <w:vAlign w:val="center"/>
          </w:tcPr>
          <w:p w14:paraId="0CCCAFE2" w14:textId="77777777" w:rsidR="00DE64BC" w:rsidRPr="00256982" w:rsidRDefault="00DE64BC" w:rsidP="00A808C7">
            <w:pPr>
              <w:pStyle w:val="TableText"/>
              <w:jc w:val="center"/>
            </w:pPr>
            <w:r w:rsidRPr="00256982">
              <w:t>NO</w:t>
            </w:r>
          </w:p>
        </w:tc>
      </w:tr>
      <w:tr w:rsidR="00DE64BC" w:rsidRPr="00256982" w14:paraId="3BE53DE1" w14:textId="77777777" w:rsidTr="00A808C7">
        <w:tc>
          <w:tcPr>
            <w:tcW w:w="1752" w:type="dxa"/>
            <w:shd w:val="clear" w:color="auto" w:fill="auto"/>
            <w:vAlign w:val="center"/>
          </w:tcPr>
          <w:p w14:paraId="2039CAE7" w14:textId="77777777" w:rsidR="00DE64BC" w:rsidRPr="00256982" w:rsidRDefault="00DE64BC" w:rsidP="00A808C7">
            <w:pPr>
              <w:pStyle w:val="TableText"/>
            </w:pPr>
            <w:r w:rsidRPr="00256982">
              <w:t>1.A.2.g</w:t>
            </w:r>
          </w:p>
        </w:tc>
        <w:tc>
          <w:tcPr>
            <w:tcW w:w="4567" w:type="dxa"/>
            <w:shd w:val="clear" w:color="auto" w:fill="auto"/>
            <w:vAlign w:val="center"/>
          </w:tcPr>
          <w:p w14:paraId="6429D5DC" w14:textId="77777777" w:rsidR="00DE64BC" w:rsidRPr="00256982" w:rsidRDefault="00DE64BC" w:rsidP="00A808C7">
            <w:pPr>
              <w:pStyle w:val="TableText"/>
            </w:pPr>
            <w:r w:rsidRPr="00256982">
              <w:t>Other – textiles</w:t>
            </w:r>
          </w:p>
        </w:tc>
        <w:tc>
          <w:tcPr>
            <w:tcW w:w="1732" w:type="dxa"/>
            <w:shd w:val="clear" w:color="auto" w:fill="auto"/>
            <w:vAlign w:val="center"/>
          </w:tcPr>
          <w:p w14:paraId="33FE3FE0" w14:textId="77777777" w:rsidR="00DE64BC" w:rsidRPr="00256982" w:rsidRDefault="00DE64BC" w:rsidP="00A808C7">
            <w:pPr>
              <w:pStyle w:val="TableText"/>
              <w:jc w:val="center"/>
            </w:pPr>
            <w:r w:rsidRPr="00256982">
              <w:t>NO</w:t>
            </w:r>
          </w:p>
        </w:tc>
      </w:tr>
      <w:tr w:rsidR="00DE64BC" w:rsidRPr="00256982" w14:paraId="2E69E429" w14:textId="77777777" w:rsidTr="00A808C7">
        <w:tc>
          <w:tcPr>
            <w:tcW w:w="1752" w:type="dxa"/>
            <w:shd w:val="clear" w:color="auto" w:fill="auto"/>
            <w:vAlign w:val="center"/>
          </w:tcPr>
          <w:p w14:paraId="6483C1D8" w14:textId="77777777" w:rsidR="00DE64BC" w:rsidRPr="00256982" w:rsidRDefault="00DE64BC" w:rsidP="00A808C7">
            <w:pPr>
              <w:pStyle w:val="TableText"/>
            </w:pPr>
            <w:r w:rsidRPr="00256982">
              <w:t>1.A.2.f</w:t>
            </w:r>
          </w:p>
        </w:tc>
        <w:tc>
          <w:tcPr>
            <w:tcW w:w="4567" w:type="dxa"/>
            <w:shd w:val="clear" w:color="auto" w:fill="auto"/>
            <w:vAlign w:val="center"/>
          </w:tcPr>
          <w:p w14:paraId="2DB064E5" w14:textId="77777777" w:rsidR="00DE64BC" w:rsidRPr="00256982" w:rsidRDefault="00DE64BC" w:rsidP="00A808C7">
            <w:pPr>
              <w:pStyle w:val="TableText"/>
            </w:pPr>
            <w:r w:rsidRPr="00256982">
              <w:t>Other – non-metallic minerals</w:t>
            </w:r>
          </w:p>
        </w:tc>
        <w:tc>
          <w:tcPr>
            <w:tcW w:w="1732" w:type="dxa"/>
            <w:shd w:val="clear" w:color="auto" w:fill="auto"/>
            <w:vAlign w:val="center"/>
          </w:tcPr>
          <w:p w14:paraId="631B6E78" w14:textId="77777777" w:rsidR="00DE64BC" w:rsidRPr="00256982" w:rsidRDefault="00DE64BC" w:rsidP="00A808C7">
            <w:pPr>
              <w:pStyle w:val="TableText"/>
              <w:jc w:val="center"/>
            </w:pPr>
            <w:r w:rsidRPr="00256982">
              <w:t>NO</w:t>
            </w:r>
          </w:p>
        </w:tc>
      </w:tr>
      <w:tr w:rsidR="00DE64BC" w:rsidRPr="00256982" w14:paraId="2E42AD3D" w14:textId="77777777" w:rsidTr="00A808C7">
        <w:tc>
          <w:tcPr>
            <w:tcW w:w="1752" w:type="dxa"/>
            <w:shd w:val="clear" w:color="auto" w:fill="auto"/>
            <w:vAlign w:val="center"/>
          </w:tcPr>
          <w:p w14:paraId="2F62C852" w14:textId="77777777" w:rsidR="00DE64BC" w:rsidRPr="00256982" w:rsidRDefault="00DE64BC" w:rsidP="00A808C7">
            <w:pPr>
              <w:pStyle w:val="TableText"/>
            </w:pPr>
            <w:r w:rsidRPr="00256982">
              <w:t>1.A.2.f</w:t>
            </w:r>
          </w:p>
        </w:tc>
        <w:tc>
          <w:tcPr>
            <w:tcW w:w="4567" w:type="dxa"/>
            <w:shd w:val="clear" w:color="auto" w:fill="auto"/>
            <w:vAlign w:val="center"/>
          </w:tcPr>
          <w:p w14:paraId="7BABB9F1" w14:textId="77777777" w:rsidR="00DE64BC" w:rsidRPr="00256982" w:rsidRDefault="00DE64BC" w:rsidP="00A808C7">
            <w:pPr>
              <w:pStyle w:val="TableText"/>
            </w:pPr>
            <w:r w:rsidRPr="00256982">
              <w:t xml:space="preserve">Other – manufacturing of machinery </w:t>
            </w:r>
          </w:p>
        </w:tc>
        <w:tc>
          <w:tcPr>
            <w:tcW w:w="1732" w:type="dxa"/>
            <w:shd w:val="clear" w:color="auto" w:fill="auto"/>
            <w:vAlign w:val="center"/>
          </w:tcPr>
          <w:p w14:paraId="06094FAF" w14:textId="77777777" w:rsidR="00DE64BC" w:rsidRPr="00256982" w:rsidRDefault="00DE64BC" w:rsidP="00A808C7">
            <w:pPr>
              <w:pStyle w:val="TableText"/>
              <w:jc w:val="center"/>
            </w:pPr>
            <w:r w:rsidRPr="00256982">
              <w:t>NO</w:t>
            </w:r>
          </w:p>
        </w:tc>
      </w:tr>
      <w:tr w:rsidR="00DE64BC" w:rsidRPr="00256982" w14:paraId="01D24542" w14:textId="77777777" w:rsidTr="00A808C7">
        <w:tc>
          <w:tcPr>
            <w:tcW w:w="1752" w:type="dxa"/>
            <w:shd w:val="clear" w:color="auto" w:fill="auto"/>
            <w:vAlign w:val="center"/>
          </w:tcPr>
          <w:p w14:paraId="4EFCCDA2" w14:textId="77777777" w:rsidR="00DE64BC" w:rsidRPr="00256982" w:rsidRDefault="00DE64BC" w:rsidP="00A808C7">
            <w:pPr>
              <w:pStyle w:val="TableText"/>
            </w:pPr>
            <w:r w:rsidRPr="00256982">
              <w:t>1.A.2.g</w:t>
            </w:r>
          </w:p>
        </w:tc>
        <w:tc>
          <w:tcPr>
            <w:tcW w:w="4567" w:type="dxa"/>
            <w:shd w:val="clear" w:color="auto" w:fill="auto"/>
            <w:vAlign w:val="center"/>
          </w:tcPr>
          <w:p w14:paraId="53699CD6" w14:textId="77777777" w:rsidR="00DE64BC" w:rsidRPr="00256982" w:rsidRDefault="00DE64BC" w:rsidP="00A808C7">
            <w:pPr>
              <w:pStyle w:val="TableText"/>
            </w:pPr>
            <w:r w:rsidRPr="00256982">
              <w:t>Other – non-specified</w:t>
            </w:r>
          </w:p>
        </w:tc>
        <w:tc>
          <w:tcPr>
            <w:tcW w:w="1732" w:type="dxa"/>
            <w:shd w:val="clear" w:color="auto" w:fill="auto"/>
            <w:vAlign w:val="center"/>
          </w:tcPr>
          <w:p w14:paraId="15B2A78B" w14:textId="77777777" w:rsidR="00DE64BC" w:rsidRPr="00256982" w:rsidRDefault="00DE64BC" w:rsidP="00A808C7">
            <w:pPr>
              <w:pStyle w:val="TableText"/>
              <w:jc w:val="center"/>
            </w:pPr>
            <w:r w:rsidRPr="00256982">
              <w:t>0.01</w:t>
            </w:r>
          </w:p>
        </w:tc>
      </w:tr>
    </w:tbl>
    <w:p w14:paraId="7AB7AC92" w14:textId="77777777" w:rsidR="00DE64BC" w:rsidRPr="00256982" w:rsidRDefault="00DE64BC" w:rsidP="00A808C7">
      <w:pPr>
        <w:pStyle w:val="Noteundertable"/>
        <w:spacing w:after="60"/>
      </w:pPr>
      <w:r w:rsidRPr="00256982">
        <w:rPr>
          <w:b/>
        </w:rPr>
        <w:t>Note:</w:t>
      </w:r>
      <w:r w:rsidRPr="00256982">
        <w:t xml:space="preserve"> </w:t>
      </w:r>
      <w:r w:rsidRPr="00256982">
        <w:tab/>
        <w:t>NO = not occurring. Survey data indicate that solid biomass combustion does not occur in the sectors.</w:t>
      </w:r>
    </w:p>
    <w:p w14:paraId="736454B3" w14:textId="77777777" w:rsidR="00DE64BC" w:rsidRPr="00256982" w:rsidRDefault="00DE64BC" w:rsidP="00A808C7">
      <w:pPr>
        <w:pStyle w:val="Heading5"/>
        <w:spacing w:before="200"/>
      </w:pPr>
      <w:r w:rsidRPr="00256982">
        <w:t>Gas biomass</w:t>
      </w:r>
    </w:p>
    <w:p w14:paraId="6B124AF0" w14:textId="77777777" w:rsidR="00DE64BC" w:rsidRPr="00256982" w:rsidRDefault="00DE64BC" w:rsidP="00A808C7">
      <w:pPr>
        <w:pStyle w:val="BodyText"/>
      </w:pPr>
      <w:r w:rsidRPr="00256982">
        <w:t>Sludge gas is produced at the Tirau dairy processing facility. Cattle effluent is used to produce sludge gas that is used to raise heat for the milk processing facility, which is open from September through to December each year. See section 3.3.1 (Biomass) for further information.</w:t>
      </w:r>
    </w:p>
    <w:p w14:paraId="37D1D964" w14:textId="77777777" w:rsidR="00DE64BC" w:rsidRPr="00256982" w:rsidRDefault="00DE64BC" w:rsidP="00A808C7">
      <w:pPr>
        <w:pStyle w:val="BodyText"/>
      </w:pPr>
      <w:r w:rsidRPr="00256982">
        <w:t>Sludge gas is not metered or analysed at the site, but estimates of flow rate and CH</w:t>
      </w:r>
      <w:r w:rsidRPr="00256982">
        <w:rPr>
          <w:vertAlign w:val="subscript"/>
        </w:rPr>
        <w:t>4</w:t>
      </w:r>
      <w:r w:rsidRPr="00256982">
        <w:t xml:space="preserve"> content were obtained from the facility manager for the 2011 reporting year. MBIE then used these data to calculate an estimate of the total energy content, which was then confirmed by the facility manager. </w:t>
      </w:r>
    </w:p>
    <w:p w14:paraId="088DA314" w14:textId="77777777" w:rsidR="00DE64BC" w:rsidRPr="00256982" w:rsidRDefault="00DE64BC" w:rsidP="00A808C7">
      <w:pPr>
        <w:pStyle w:val="BodyText"/>
      </w:pPr>
      <w:r w:rsidRPr="00256982">
        <w:t>The facility has operated in the same fashion since its construction in the late 1980s. Therefore this estimate was assumed to be valid across the time series.</w:t>
      </w:r>
    </w:p>
    <w:p w14:paraId="3CB5F043" w14:textId="77777777" w:rsidR="00DE64BC" w:rsidRPr="00256982" w:rsidRDefault="00DE64BC" w:rsidP="00A808C7">
      <w:pPr>
        <w:pStyle w:val="Heading5"/>
      </w:pPr>
      <w:r w:rsidRPr="00256982">
        <w:t>Liquid fuels (diesel, gasoline and fuel oil)</w:t>
      </w:r>
    </w:p>
    <w:p w14:paraId="2ACF0472" w14:textId="77777777" w:rsidR="00DE64BC" w:rsidRPr="00256982" w:rsidRDefault="00DE64BC" w:rsidP="00A808C7">
      <w:pPr>
        <w:pStyle w:val="BodyText"/>
      </w:pPr>
      <w:r w:rsidRPr="00256982">
        <w:t xml:space="preserve">As mentioned in section 3.3.1 (Liquid fuels), New Zealand uses the </w:t>
      </w:r>
      <w:r w:rsidRPr="00256982">
        <w:rPr>
          <w:i/>
        </w:rPr>
        <w:t xml:space="preserve">Annual Liquid Fuel Survey </w:t>
      </w:r>
      <w:r w:rsidRPr="00256982">
        <w:t xml:space="preserve">to capture sales by independent distributors. With this information, some liquid fuel demand that would otherwise be allocated to national transport is reallocated to the correct sector’s demand. In terms of the Energy sector emission estimates, emissions attributed to category 1.A.3 </w:t>
      </w:r>
      <w:r w:rsidRPr="00256982">
        <w:rPr>
          <w:i/>
        </w:rPr>
        <w:t>Transport</w:t>
      </w:r>
      <w:r w:rsidRPr="00256982">
        <w:t xml:space="preserve"> decrease by around 20 per cent as a result of this reallocation, and emissions attributed to other categories, such as 1.A.4.c </w:t>
      </w:r>
      <w:r w:rsidRPr="00256982">
        <w:rPr>
          <w:i/>
        </w:rPr>
        <w:t>Agriculture/forestry/fishing</w:t>
      </w:r>
      <w:r w:rsidRPr="00256982">
        <w:t>, increase significantly.</w:t>
      </w:r>
    </w:p>
    <w:p w14:paraId="62EA558A" w14:textId="77777777" w:rsidR="00DE64BC" w:rsidRPr="00256982" w:rsidRDefault="00DE64BC" w:rsidP="00A808C7">
      <w:pPr>
        <w:pStyle w:val="BodyText"/>
      </w:pPr>
      <w:r w:rsidRPr="00256982">
        <w:t xml:space="preserve">Following ERT recommendations (2007 in-country review), New Zealand began to disaggregate liquid fuel combustion in the 1.A.2 </w:t>
      </w:r>
      <w:r w:rsidRPr="00256982">
        <w:rPr>
          <w:i/>
        </w:rPr>
        <w:t>Manufacturing industries and construction</w:t>
      </w:r>
      <w:r w:rsidRPr="00256982">
        <w:t xml:space="preserve"> category for the 2011 inventory. Diesel and gasoline consumption were disaggregated for the 2012 submission, and the method has been extended to include fuel oil for this submission.</w:t>
      </w:r>
    </w:p>
    <w:p w14:paraId="52E07DF3" w14:textId="77777777" w:rsidR="00DE64BC" w:rsidRPr="00256982" w:rsidRDefault="00DE64BC" w:rsidP="00A808C7">
      <w:pPr>
        <w:pStyle w:val="BodyText"/>
      </w:pPr>
      <w:r w:rsidRPr="00256982">
        <w:lastRenderedPageBreak/>
        <w:t xml:space="preserve">While data are not collected at this level of detail in energy surveys for liquid fuels, New Zealand has produced estimates based on Stats NZ survey data. Stats NZ conducted a industrial and trade energy use survey (Stats NZ, 2017), which assessed energy consumption and end use across manufacturing industries for the 2016 calendar year. </w:t>
      </w:r>
    </w:p>
    <w:p w14:paraId="094CC5EC" w14:textId="77777777" w:rsidR="00DE64BC" w:rsidRPr="00256982" w:rsidRDefault="00DE64BC" w:rsidP="00A808C7">
      <w:pPr>
        <w:pStyle w:val="BodyText"/>
      </w:pPr>
      <w:r w:rsidRPr="00256982">
        <w:t xml:space="preserve">These splits, along with category gross domestic product (GDP) data from Stats NZ for the period, were used to calculate implied energy intensities (PJ per unit of GDP) for each category for diesel, gasoline and fuel oil. These intensities were then applied to Stats NZ GDP data across the time series and scaled to match the fuel sales reported for all manufacturing industries and construction to estimate activity data for each category. </w:t>
      </w:r>
    </w:p>
    <w:p w14:paraId="61519EC3" w14:textId="77777777" w:rsidR="00DE64BC" w:rsidRPr="00256982" w:rsidRDefault="00DE64BC" w:rsidP="00A808C7">
      <w:pPr>
        <w:pStyle w:val="BodyText"/>
      </w:pPr>
      <w:r w:rsidRPr="00256982">
        <w:t>By disaggregating into categories, more accurate estimates of stationary versus mobile combustion for diesel were also able to be made, resulting in small changes to the emissions from manufacturing industries and construction.</w:t>
      </w:r>
    </w:p>
    <w:p w14:paraId="1344893E" w14:textId="77777777" w:rsidR="00DE64BC" w:rsidRPr="00256982" w:rsidRDefault="00DE64BC" w:rsidP="00A808C7">
      <w:pPr>
        <w:pStyle w:val="BodyText"/>
      </w:pPr>
      <w:r w:rsidRPr="00256982">
        <w:t xml:space="preserve">Disaggregating the </w:t>
      </w:r>
      <w:r w:rsidRPr="00256982">
        <w:rPr>
          <w:i/>
        </w:rPr>
        <w:t>Manufacturing industries and construction</w:t>
      </w:r>
      <w:r w:rsidRPr="00256982">
        <w:t xml:space="preserve"> category for solid fuels, solid biomass, gasoline and diesel has led to a significant decrease in the </w:t>
      </w:r>
      <w:r w:rsidRPr="00256982">
        <w:rPr>
          <w:i/>
        </w:rPr>
        <w:t>Other – not specified</w:t>
      </w:r>
      <w:r w:rsidRPr="00256982">
        <w:t xml:space="preserve"> category (1.A.2.g) under </w:t>
      </w:r>
      <w:r w:rsidRPr="00256982">
        <w:rPr>
          <w:i/>
        </w:rPr>
        <w:t>Manufacturing industries and construction</w:t>
      </w:r>
      <w:r w:rsidRPr="00256982">
        <w:t xml:space="preserve">. The splits are shown in </w:t>
      </w:r>
      <w:r w:rsidRPr="00256982">
        <w:fldChar w:fldCharType="begin"/>
      </w:r>
      <w:r w:rsidRPr="00256982">
        <w:instrText xml:space="preserve"> REF _Ref445300349 \* lower \h  \* MERGEFORMAT </w:instrText>
      </w:r>
      <w:r w:rsidRPr="00256982">
        <w:fldChar w:fldCharType="separate"/>
      </w:r>
      <w:r w:rsidR="00D0418C" w:rsidRPr="00256982">
        <w:t>figure 3.3.</w:t>
      </w:r>
      <w:r w:rsidR="00D0418C">
        <w:t>8</w:t>
      </w:r>
      <w:r w:rsidRPr="00256982">
        <w:fldChar w:fldCharType="end"/>
      </w:r>
      <w:r w:rsidRPr="00256982">
        <w:t xml:space="preserve">, </w:t>
      </w:r>
      <w:r w:rsidRPr="00256982">
        <w:fldChar w:fldCharType="begin"/>
      </w:r>
      <w:r w:rsidRPr="00256982">
        <w:instrText xml:space="preserve"> REF _Ref445300362 \* lower \h  \* MERGEFORMAT </w:instrText>
      </w:r>
      <w:r w:rsidRPr="00256982">
        <w:fldChar w:fldCharType="separate"/>
      </w:r>
      <w:r w:rsidR="00D0418C" w:rsidRPr="00256982">
        <w:t>figure 3.3.</w:t>
      </w:r>
      <w:r w:rsidR="00D0418C">
        <w:rPr>
          <w:noProof/>
        </w:rPr>
        <w:t>9</w:t>
      </w:r>
      <w:r w:rsidRPr="00256982">
        <w:fldChar w:fldCharType="end"/>
      </w:r>
      <w:r w:rsidRPr="00256982">
        <w:t>figure 3.3.9 and figure 3.3.10.</w:t>
      </w:r>
    </w:p>
    <w:p w14:paraId="4751C04D" w14:textId="6E937B4A" w:rsidR="00DE64BC" w:rsidRPr="00256982" w:rsidRDefault="00DE64BC" w:rsidP="00A808C7">
      <w:pPr>
        <w:pStyle w:val="Figure"/>
        <w:spacing w:after="60"/>
      </w:pPr>
      <w:bookmarkStart w:id="336" w:name="_Ref445300349"/>
      <w:bookmarkStart w:id="337" w:name="_Toc5269674"/>
      <w:bookmarkStart w:id="338" w:name="_Toc321399330"/>
      <w:bookmarkStart w:id="339" w:name="_Toc384582858"/>
      <w:bookmarkStart w:id="340" w:name="_Toc443060818"/>
      <w:bookmarkStart w:id="341" w:name="_Toc447275675"/>
      <w:bookmarkStart w:id="342" w:name="_Toc481751993"/>
      <w:r w:rsidRPr="00256982">
        <w:t>Figure 3.3.</w:t>
      </w:r>
      <w:r w:rsidR="00304077">
        <w:rPr>
          <w:noProof/>
        </w:rPr>
        <w:fldChar w:fldCharType="begin"/>
      </w:r>
      <w:r w:rsidR="00304077">
        <w:rPr>
          <w:noProof/>
        </w:rPr>
        <w:instrText xml:space="preserve"> SEQ Figure \* ARABIC \s 2 </w:instrText>
      </w:r>
      <w:r w:rsidR="00304077">
        <w:rPr>
          <w:noProof/>
        </w:rPr>
        <w:fldChar w:fldCharType="separate"/>
      </w:r>
      <w:r w:rsidR="00D0418C">
        <w:rPr>
          <w:noProof/>
        </w:rPr>
        <w:t>8</w:t>
      </w:r>
      <w:r w:rsidR="00304077">
        <w:rPr>
          <w:noProof/>
        </w:rPr>
        <w:fldChar w:fldCharType="end"/>
      </w:r>
      <w:bookmarkEnd w:id="336"/>
      <w:r w:rsidRPr="00256982">
        <w:t xml:space="preserve"> </w:t>
      </w:r>
      <w:r w:rsidRPr="00256982">
        <w:tab/>
        <w:t>Splits used for Manufacturing industries and construction category</w:t>
      </w:r>
      <w:r w:rsidR="0006123B" w:rsidRPr="00256982">
        <w:t xml:space="preserve"> </w:t>
      </w:r>
      <w:r w:rsidRPr="00256982">
        <w:t>– Gasoline</w:t>
      </w:r>
      <w:bookmarkEnd w:id="337"/>
      <w:r w:rsidRPr="00256982">
        <w:t xml:space="preserve"> </w:t>
      </w:r>
    </w:p>
    <w:bookmarkEnd w:id="338"/>
    <w:bookmarkEnd w:id="339"/>
    <w:bookmarkEnd w:id="340"/>
    <w:bookmarkEnd w:id="341"/>
    <w:bookmarkEnd w:id="342"/>
    <w:p w14:paraId="264B2D54" w14:textId="77777777" w:rsidR="00DE64BC" w:rsidRPr="00256982" w:rsidRDefault="00590491" w:rsidP="00A808C7">
      <w:pPr>
        <w:pStyle w:val="BodyText"/>
        <w:spacing w:before="0"/>
      </w:pPr>
      <w:r>
        <w:rPr>
          <w:lang w:eastAsia="en-NZ"/>
        </w:rPr>
        <w:pict w14:anchorId="42F4268C">
          <v:shape id="_x0000_i1057" type="#_x0000_t75" style="width:425.25pt;height:201.75pt;visibility:visible">
            <v:imagedata r:id="rId61" o:title="fig_3_3_8_manufacturing_splits_petrol" cropbottom="2512f"/>
          </v:shape>
        </w:pict>
      </w:r>
    </w:p>
    <w:p w14:paraId="2D16C3D0" w14:textId="77777777" w:rsidR="00DE64BC" w:rsidRPr="00256982" w:rsidRDefault="00DE64BC" w:rsidP="00A808C7">
      <w:pPr>
        <w:pStyle w:val="Figure"/>
        <w:spacing w:after="60"/>
      </w:pPr>
      <w:bookmarkStart w:id="343" w:name="_Ref445300362"/>
      <w:bookmarkStart w:id="344" w:name="_Toc5269675"/>
      <w:bookmarkStart w:id="345" w:name="_Toc321399331"/>
      <w:bookmarkStart w:id="346" w:name="_Toc384582859"/>
      <w:bookmarkStart w:id="347" w:name="_Toc443060819"/>
      <w:bookmarkStart w:id="348" w:name="_Toc447275676"/>
      <w:bookmarkStart w:id="349" w:name="_Toc481751994"/>
      <w:r w:rsidRPr="00256982">
        <w:t>Figure 3.3.</w:t>
      </w:r>
      <w:r w:rsidR="00304077">
        <w:rPr>
          <w:noProof/>
        </w:rPr>
        <w:fldChar w:fldCharType="begin"/>
      </w:r>
      <w:r w:rsidR="00304077">
        <w:rPr>
          <w:noProof/>
        </w:rPr>
        <w:instrText xml:space="preserve"> SEQ Figure \* ARABIC \s 2 </w:instrText>
      </w:r>
      <w:r w:rsidR="00304077">
        <w:rPr>
          <w:noProof/>
        </w:rPr>
        <w:fldChar w:fldCharType="separate"/>
      </w:r>
      <w:r w:rsidR="00D0418C">
        <w:rPr>
          <w:noProof/>
        </w:rPr>
        <w:t>9</w:t>
      </w:r>
      <w:r w:rsidR="00304077">
        <w:rPr>
          <w:noProof/>
        </w:rPr>
        <w:fldChar w:fldCharType="end"/>
      </w:r>
      <w:bookmarkEnd w:id="343"/>
      <w:r w:rsidRPr="00256982">
        <w:t xml:space="preserve"> </w:t>
      </w:r>
      <w:r w:rsidRPr="00256982">
        <w:tab/>
        <w:t>Splits used for Manufacturing industries and construction category – Diesel</w:t>
      </w:r>
      <w:bookmarkEnd w:id="344"/>
      <w:r w:rsidRPr="00256982">
        <w:t xml:space="preserve"> </w:t>
      </w:r>
      <w:bookmarkEnd w:id="345"/>
      <w:bookmarkEnd w:id="346"/>
      <w:bookmarkEnd w:id="347"/>
      <w:bookmarkEnd w:id="348"/>
      <w:bookmarkEnd w:id="349"/>
    </w:p>
    <w:p w14:paraId="5D62C34D" w14:textId="77777777" w:rsidR="00DE64BC" w:rsidRPr="00256982" w:rsidRDefault="00590491" w:rsidP="00A808C7">
      <w:r>
        <w:rPr>
          <w:lang w:eastAsia="en-NZ"/>
        </w:rPr>
        <w:pict w14:anchorId="2B77B1E9">
          <v:shape id="_x0000_i1058" type="#_x0000_t75" style="width:425.25pt;height:201.75pt;visibility:visible">
            <v:imagedata r:id="rId62" o:title="fig_3_3_9_manufacturing_splits_diesel" cropbottom="3360f"/>
          </v:shape>
        </w:pict>
      </w:r>
    </w:p>
    <w:p w14:paraId="30EB386A" w14:textId="77777777" w:rsidR="00DE64BC" w:rsidRPr="00256982" w:rsidRDefault="00DE64BC" w:rsidP="00A808C7">
      <w:pPr>
        <w:pStyle w:val="Figure"/>
        <w:spacing w:after="60"/>
      </w:pPr>
      <w:bookmarkStart w:id="350" w:name="_Ref445300369"/>
      <w:bookmarkStart w:id="351" w:name="_Toc5269676"/>
      <w:bookmarkStart w:id="352" w:name="_Toc384582860"/>
      <w:bookmarkStart w:id="353" w:name="_Toc443060820"/>
      <w:bookmarkStart w:id="354" w:name="_Toc447275677"/>
      <w:bookmarkStart w:id="355" w:name="_Toc481751995"/>
      <w:r w:rsidRPr="00256982">
        <w:lastRenderedPageBreak/>
        <w:t>Figure 3.3.</w:t>
      </w:r>
      <w:r w:rsidR="00304077">
        <w:rPr>
          <w:noProof/>
        </w:rPr>
        <w:fldChar w:fldCharType="begin"/>
      </w:r>
      <w:r w:rsidR="00304077">
        <w:rPr>
          <w:noProof/>
        </w:rPr>
        <w:instrText xml:space="preserve"> SEQ Figure \* ARABIC \s 2 </w:instrText>
      </w:r>
      <w:r w:rsidR="00304077">
        <w:rPr>
          <w:noProof/>
        </w:rPr>
        <w:fldChar w:fldCharType="separate"/>
      </w:r>
      <w:r w:rsidR="00D0418C">
        <w:rPr>
          <w:noProof/>
        </w:rPr>
        <w:t>10</w:t>
      </w:r>
      <w:r w:rsidR="00304077">
        <w:rPr>
          <w:noProof/>
        </w:rPr>
        <w:fldChar w:fldCharType="end"/>
      </w:r>
      <w:bookmarkEnd w:id="350"/>
      <w:r w:rsidRPr="00256982">
        <w:t xml:space="preserve"> </w:t>
      </w:r>
      <w:r w:rsidRPr="00256982">
        <w:tab/>
        <w:t>Splits used for Manufacturing industries and construction category – Fuel oil</w:t>
      </w:r>
      <w:bookmarkEnd w:id="351"/>
      <w:r w:rsidRPr="00256982">
        <w:t xml:space="preserve"> </w:t>
      </w:r>
      <w:bookmarkEnd w:id="352"/>
      <w:bookmarkEnd w:id="353"/>
      <w:bookmarkEnd w:id="354"/>
      <w:bookmarkEnd w:id="355"/>
    </w:p>
    <w:p w14:paraId="4AE0135F" w14:textId="77777777" w:rsidR="00DE64BC" w:rsidRPr="00256982" w:rsidRDefault="00590491" w:rsidP="00A808C7">
      <w:pPr>
        <w:spacing w:after="60"/>
      </w:pPr>
      <w:r>
        <w:rPr>
          <w:lang w:eastAsia="en-NZ"/>
        </w:rPr>
        <w:pict w14:anchorId="29F10473">
          <v:shape id="_x0000_i1059" type="#_x0000_t75" style="width:425.25pt;height:201.75pt;visibility:visible">
            <v:imagedata r:id="rId63" o:title="fig_3_3_10_manufacturing_splits_fuel_oil" cropbottom="3144f"/>
          </v:shape>
        </w:pict>
      </w:r>
    </w:p>
    <w:p w14:paraId="11540DB0" w14:textId="77777777" w:rsidR="00DE64BC" w:rsidRPr="00256982" w:rsidRDefault="00DE64BC" w:rsidP="00A808C7">
      <w:pPr>
        <w:pStyle w:val="Heading5"/>
      </w:pPr>
      <w:r w:rsidRPr="00256982">
        <w:t>Gaseous fuels</w:t>
      </w:r>
    </w:p>
    <w:p w14:paraId="609DDB2C" w14:textId="77777777" w:rsidR="00DE64BC" w:rsidRPr="00256982" w:rsidRDefault="00DE64BC" w:rsidP="00A808C7">
      <w:pPr>
        <w:pStyle w:val="BodyText"/>
        <w:rPr>
          <w:spacing w:val="-2"/>
        </w:rPr>
      </w:pPr>
      <w:r w:rsidRPr="00256982">
        <w:rPr>
          <w:spacing w:val="-2"/>
        </w:rPr>
        <w:t>Annual natural gas consumption statistics are published by MBIE. A review of the allocation of natural gas consumption data was undertaken in 2011 by MBIE. The purpose of this review was to address time-series discontinuities in the sectoral breakdown for some sectors prior to 2006. Several inconsistencies in sector reporting were found, along with a considerable amount of missing data for sectoral breakdowns. Inconsistencies from 2003–05 were due to changing surveys over time. Inconsistencies or missing data prior to 2003 were re</w:t>
      </w:r>
      <w:r w:rsidRPr="00256982">
        <w:rPr>
          <w:spacing w:val="-2"/>
        </w:rPr>
        <w:noBreakHyphen/>
        <w:t>worked and re-estimated. These missing data comprised around 40 per cent of total natural gas use (which was not altered at a total level but only reallocated by sector).</w:t>
      </w:r>
    </w:p>
    <w:p w14:paraId="22EE16B4" w14:textId="77777777" w:rsidR="00DE64BC" w:rsidRPr="00256982" w:rsidRDefault="00DE64BC" w:rsidP="00A808C7">
      <w:pPr>
        <w:pStyle w:val="BodyText"/>
      </w:pPr>
      <w:r w:rsidRPr="00256982">
        <w:t>Where necessary, new estimates of gas consumption were made depending on data availability. The chosen data source in order of preference was as follows.</w:t>
      </w:r>
    </w:p>
    <w:p w14:paraId="22E9CA90" w14:textId="77777777" w:rsidR="00DE64BC" w:rsidRPr="00256982" w:rsidRDefault="00DE64BC" w:rsidP="0036046B">
      <w:pPr>
        <w:pStyle w:val="Bullet"/>
        <w:numPr>
          <w:ilvl w:val="0"/>
          <w:numId w:val="8"/>
        </w:numPr>
      </w:pPr>
      <w:r w:rsidRPr="00256982">
        <w:t xml:space="preserve">Data from major consumers of natural gas were used if available because they are more reliable, accurate and easily classified by sector. </w:t>
      </w:r>
    </w:p>
    <w:p w14:paraId="7E0CC19D" w14:textId="77777777" w:rsidR="00DE64BC" w:rsidRPr="00256982" w:rsidRDefault="00DE64BC" w:rsidP="0036046B">
      <w:pPr>
        <w:pStyle w:val="Bullet"/>
        <w:numPr>
          <w:ilvl w:val="0"/>
          <w:numId w:val="8"/>
        </w:numPr>
      </w:pPr>
      <w:r w:rsidRPr="00256982">
        <w:t xml:space="preserve">Where these data were not available, natural gas retailers’ reported sales by sector were used. </w:t>
      </w:r>
    </w:p>
    <w:p w14:paraId="4A6C92EE" w14:textId="77777777" w:rsidR="00DE64BC" w:rsidRPr="00256982" w:rsidRDefault="00DE64BC" w:rsidP="0036046B">
      <w:pPr>
        <w:pStyle w:val="Bullet"/>
        <w:numPr>
          <w:ilvl w:val="0"/>
          <w:numId w:val="8"/>
        </w:numPr>
      </w:pPr>
      <w:r w:rsidRPr="00256982">
        <w:t xml:space="preserve">If these data were also not available, then estimates based on regressions using GDP data were used. GDP output/production data were used along with assumptions about energy intensity/consumption of categories (to as detailed a level as possible). </w:t>
      </w:r>
    </w:p>
    <w:p w14:paraId="424D87B5" w14:textId="77777777" w:rsidR="00DE64BC" w:rsidRPr="00256982" w:rsidRDefault="00DE64BC" w:rsidP="00A808C7">
      <w:pPr>
        <w:pStyle w:val="BodyText"/>
        <w:rPr>
          <w:spacing w:val="-2"/>
        </w:rPr>
      </w:pPr>
      <w:r w:rsidRPr="00256982">
        <w:rPr>
          <w:spacing w:val="-2"/>
        </w:rPr>
        <w:t xml:space="preserve">Because a number of sector classifications are represented by only one or two major natural gas consumers, data from major consumers were sometimes able to be used as the first preference, but not always. Where there are industries with many major natural gas consumers, gas retailers’ reported sales by sector were used, though these can, at times, exhibit data-quality issues. </w:t>
      </w:r>
    </w:p>
    <w:p w14:paraId="335BFD07" w14:textId="77777777" w:rsidR="00DE64BC" w:rsidRPr="00256982" w:rsidRDefault="00DE64BC" w:rsidP="00A808C7">
      <w:pPr>
        <w:pStyle w:val="BodyText"/>
      </w:pPr>
      <w:r w:rsidRPr="00256982">
        <w:t>A review was also undertaken in 2014 by MBIE covering data going back to 1999. Several sales previously identified as wholesale sales (i.e., gas bought to be on-sold) were in fact sold to consumers, but at ‘wholesale’ (lower) prices. Work was done to correct the classifications of these sales, based on customer name, to their relevant sectors.</w:t>
      </w:r>
    </w:p>
    <w:p w14:paraId="6B06B9F3" w14:textId="77777777" w:rsidR="00DE64BC" w:rsidRPr="00256982" w:rsidRDefault="00DE64BC" w:rsidP="00A808C7">
      <w:pPr>
        <w:pStyle w:val="Heading5"/>
        <w:rPr>
          <w:lang w:eastAsia="en-GB"/>
        </w:rPr>
      </w:pPr>
      <w:r w:rsidRPr="00256982">
        <w:rPr>
          <w:lang w:eastAsia="en-GB"/>
        </w:rPr>
        <w:t>1.A.2.a Iron and steel</w:t>
      </w:r>
    </w:p>
    <w:p w14:paraId="7C189942" w14:textId="77777777" w:rsidR="00DE64BC" w:rsidRPr="00256982" w:rsidRDefault="00DE64BC" w:rsidP="00A808C7">
      <w:pPr>
        <w:pStyle w:val="BodyText"/>
        <w:rPr>
          <w:lang w:eastAsia="en-GB"/>
        </w:rPr>
      </w:pPr>
      <w:r w:rsidRPr="00256982">
        <w:rPr>
          <w:lang w:eastAsia="en-GB"/>
        </w:rPr>
        <w:t xml:space="preserve">Activity data for coal used in iron and steel production are reported to MBIE by New Zealand Steel Limited. A considerable amount of coal is used in the production of iron. Most of the coal is used in the direct reduction process to remove oxygen from iron-sand. However, all emissions </w:t>
      </w:r>
      <w:r w:rsidRPr="00256982">
        <w:rPr>
          <w:lang w:eastAsia="en-GB"/>
        </w:rPr>
        <w:lastRenderedPageBreak/>
        <w:t xml:space="preserve">from the use of coal are included in the IPPU sector because the primary purpose of the coal is to produce iron (IPCC, 2006). A small amount of </w:t>
      </w:r>
      <w:r w:rsidRPr="00256982">
        <w:t xml:space="preserve">natural </w:t>
      </w:r>
      <w:r w:rsidRPr="00256982">
        <w:rPr>
          <w:lang w:eastAsia="en-GB"/>
        </w:rPr>
        <w:t xml:space="preserve">gas is used in the production of iron and steel to provide energy for the process and is reported under the Energy sector in 1.A.2.a </w:t>
      </w:r>
      <w:r w:rsidRPr="00256982">
        <w:rPr>
          <w:i/>
          <w:lang w:eastAsia="en-GB"/>
        </w:rPr>
        <w:t>Iron and steel</w:t>
      </w:r>
      <w:r w:rsidRPr="00256982">
        <w:rPr>
          <w:lang w:eastAsia="en-GB"/>
        </w:rPr>
        <w:t>.</w:t>
      </w:r>
    </w:p>
    <w:p w14:paraId="56BC6E17" w14:textId="77777777" w:rsidR="00DE64BC" w:rsidRPr="00256982" w:rsidRDefault="00DE64BC" w:rsidP="00A808C7">
      <w:pPr>
        <w:pStyle w:val="Heading5"/>
        <w:rPr>
          <w:lang w:eastAsia="en-GB"/>
        </w:rPr>
      </w:pPr>
      <w:r w:rsidRPr="00256982">
        <w:rPr>
          <w:lang w:eastAsia="en-GB"/>
        </w:rPr>
        <w:t>1.A.2.c Chemicals</w:t>
      </w:r>
    </w:p>
    <w:p w14:paraId="15D83E9A" w14:textId="77777777" w:rsidR="00DE64BC" w:rsidRPr="00256982" w:rsidRDefault="00DE64BC" w:rsidP="00A808C7">
      <w:pPr>
        <w:pStyle w:val="BodyText"/>
        <w:rPr>
          <w:lang w:eastAsia="en-GB"/>
        </w:rPr>
      </w:pPr>
      <w:r w:rsidRPr="00256982">
        <w:rPr>
          <w:lang w:eastAsia="en-GB"/>
        </w:rPr>
        <w:t xml:space="preserve">The </w:t>
      </w:r>
      <w:r w:rsidRPr="00256982">
        <w:rPr>
          <w:i/>
          <w:lang w:eastAsia="en-GB"/>
        </w:rPr>
        <w:t>Chemicals</w:t>
      </w:r>
      <w:r w:rsidRPr="00256982">
        <w:rPr>
          <w:lang w:eastAsia="en-GB"/>
        </w:rPr>
        <w:t xml:space="preserve"> category includes estimates from the following sub-industries:</w:t>
      </w:r>
    </w:p>
    <w:p w14:paraId="23E6500C" w14:textId="77777777" w:rsidR="00DE64BC" w:rsidRPr="00256982" w:rsidRDefault="00DE64BC" w:rsidP="0036046B">
      <w:pPr>
        <w:pStyle w:val="Bullet"/>
        <w:numPr>
          <w:ilvl w:val="0"/>
          <w:numId w:val="8"/>
        </w:numPr>
      </w:pPr>
      <w:r w:rsidRPr="00256982">
        <w:t>industrial gases and synthetic resin</w:t>
      </w:r>
    </w:p>
    <w:p w14:paraId="55999561" w14:textId="77777777" w:rsidR="00DE64BC" w:rsidRPr="00256982" w:rsidRDefault="00DE64BC" w:rsidP="0036046B">
      <w:pPr>
        <w:pStyle w:val="Bullet"/>
        <w:numPr>
          <w:ilvl w:val="0"/>
          <w:numId w:val="8"/>
        </w:numPr>
      </w:pPr>
      <w:r w:rsidRPr="00256982">
        <w:t>organic industrial chemicals</w:t>
      </w:r>
    </w:p>
    <w:p w14:paraId="00048CD9" w14:textId="77777777" w:rsidR="00DE64BC" w:rsidRPr="00256982" w:rsidRDefault="00DE64BC" w:rsidP="0036046B">
      <w:pPr>
        <w:pStyle w:val="Bullet"/>
        <w:numPr>
          <w:ilvl w:val="0"/>
          <w:numId w:val="8"/>
        </w:numPr>
      </w:pPr>
      <w:r w:rsidRPr="00256982">
        <w:t>inorganic industrial chemicals, other chemical production, rubber and plastic products.</w:t>
      </w:r>
    </w:p>
    <w:p w14:paraId="499C15CE" w14:textId="77777777" w:rsidR="00DE64BC" w:rsidRPr="00256982" w:rsidRDefault="00DE64BC" w:rsidP="00A808C7">
      <w:pPr>
        <w:pStyle w:val="BodyText"/>
      </w:pPr>
      <w:r w:rsidRPr="00256982">
        <w:t xml:space="preserve">The quantity of natural gas used for the production of methanol and ammonia (and, subsequently, urea) has been split into feedstock gas (which is included in 2.B.8.a and 2.B.1 respectively) and energy-use gas (which is included in 1.A.2.c </w:t>
      </w:r>
      <w:r w:rsidRPr="00256982">
        <w:rPr>
          <w:i/>
        </w:rPr>
        <w:t>Chemicals</w:t>
      </w:r>
      <w:r w:rsidRPr="00256982">
        <w:t>). Further details are included in chapter 4 (IPPU sector).</w:t>
      </w:r>
    </w:p>
    <w:p w14:paraId="03FD69CA" w14:textId="77777777" w:rsidR="00DE64BC" w:rsidRPr="00256982" w:rsidRDefault="00DE64BC" w:rsidP="00A808C7">
      <w:pPr>
        <w:pStyle w:val="BodyText"/>
        <w:rPr>
          <w:rFonts w:cs="Arial"/>
          <w:lang w:eastAsia="en-GB"/>
        </w:rPr>
      </w:pPr>
      <w:r w:rsidRPr="00256982">
        <w:rPr>
          <w:lang w:eastAsia="en-GB"/>
        </w:rPr>
        <w:t>The activity data for methanol production are supplied directly by Methanex New Zealand. Until 2004, methanol was produced at two plants by Methanex New Zealand. In November 2004, production at the Motunui plant was halted and the plant re-opened in late 2008. Methanex New Zealand exports most of this methanol.</w:t>
      </w:r>
    </w:p>
    <w:p w14:paraId="2BD02594" w14:textId="77777777" w:rsidR="00DE64BC" w:rsidRPr="00256982" w:rsidRDefault="00DE64BC" w:rsidP="00A808C7">
      <w:pPr>
        <w:pStyle w:val="BodyText"/>
        <w:rPr>
          <w:rFonts w:cs="Arial"/>
          <w:lang w:eastAsia="en-GB"/>
        </w:rPr>
      </w:pPr>
      <w:r w:rsidRPr="00256982">
        <w:rPr>
          <w:rFonts w:cs="Arial"/>
          <w:lang w:eastAsia="en-GB"/>
        </w:rPr>
        <w:t xml:space="preserve">Methanex is the sole methanol producer in New Zealand and considers its </w:t>
      </w:r>
      <w:r w:rsidRPr="00256982">
        <w:t xml:space="preserve">natural </w:t>
      </w:r>
      <w:r w:rsidRPr="00256982">
        <w:rPr>
          <w:rFonts w:cs="Arial"/>
          <w:lang w:eastAsia="en-GB"/>
        </w:rPr>
        <w:t xml:space="preserve">gas consumption to be commercially sensitive information. New Zealand takes a Tier 2 (IPCC, 2006) approach to estimating emissions from methanol production that uses </w:t>
      </w:r>
      <w:r w:rsidRPr="00256982">
        <w:t xml:space="preserve">natural </w:t>
      </w:r>
      <w:r w:rsidRPr="00256982">
        <w:rPr>
          <w:rFonts w:cs="Arial"/>
          <w:lang w:eastAsia="en-GB"/>
        </w:rPr>
        <w:t xml:space="preserve">gas consumption at the plant along with country- and field-specific emission factors to calculate potential emissions before deducting the carbon sequestered in the end product. </w:t>
      </w:r>
    </w:p>
    <w:p w14:paraId="6B3E6545" w14:textId="77777777" w:rsidR="00DE64BC" w:rsidRPr="00256982" w:rsidRDefault="00DE64BC" w:rsidP="00A808C7">
      <w:pPr>
        <w:pStyle w:val="BodyText"/>
        <w:rPr>
          <w:lang w:eastAsia="en-GB"/>
        </w:rPr>
      </w:pPr>
      <w:r w:rsidRPr="00256982">
        <w:rPr>
          <w:lang w:eastAsia="en-GB"/>
        </w:rPr>
        <w:t xml:space="preserve">The major non-fuel-related emissions from the methanol process are </w:t>
      </w:r>
      <w:r w:rsidRPr="00256982">
        <w:t>CH</w:t>
      </w:r>
      <w:r w:rsidRPr="00256982">
        <w:rPr>
          <w:vertAlign w:val="subscript"/>
        </w:rPr>
        <w:t>4</w:t>
      </w:r>
      <w:r w:rsidRPr="00256982">
        <w:rPr>
          <w:sz w:val="14"/>
          <w:szCs w:val="14"/>
          <w:lang w:eastAsia="en-GB"/>
        </w:rPr>
        <w:t xml:space="preserve"> </w:t>
      </w:r>
      <w:r w:rsidRPr="00256982">
        <w:rPr>
          <w:lang w:eastAsia="en-GB"/>
        </w:rPr>
        <w:t xml:space="preserve">and </w:t>
      </w:r>
      <w:r w:rsidRPr="00256982">
        <w:t>non-methane volatile organic compounds</w:t>
      </w:r>
      <w:r w:rsidRPr="00256982">
        <w:rPr>
          <w:lang w:eastAsia="en-GB"/>
        </w:rPr>
        <w:t>.</w:t>
      </w:r>
    </w:p>
    <w:p w14:paraId="53C00558" w14:textId="77777777" w:rsidR="00DE64BC" w:rsidRPr="00256982" w:rsidRDefault="00DE64BC" w:rsidP="00A808C7">
      <w:pPr>
        <w:pStyle w:val="Heading5"/>
        <w:rPr>
          <w:lang w:eastAsia="en-GB"/>
        </w:rPr>
      </w:pPr>
      <w:r w:rsidRPr="00256982">
        <w:rPr>
          <w:lang w:eastAsia="en-GB"/>
        </w:rPr>
        <w:t>On-site electricity generation</w:t>
      </w:r>
    </w:p>
    <w:p w14:paraId="0899F5C9" w14:textId="77777777" w:rsidR="00DE64BC" w:rsidRPr="00256982" w:rsidRDefault="00DE64BC" w:rsidP="00A808C7">
      <w:pPr>
        <w:pStyle w:val="BodyText"/>
        <w:rPr>
          <w:lang w:eastAsia="en-GB"/>
        </w:rPr>
      </w:pPr>
      <w:r w:rsidRPr="00256982">
        <w:rPr>
          <w:lang w:eastAsia="en-GB"/>
        </w:rPr>
        <w:t xml:space="preserve">As mentioned in section </w:t>
      </w:r>
      <w:r w:rsidRPr="00256982">
        <w:t>3.3.1</w:t>
      </w:r>
      <w:r w:rsidRPr="00256982">
        <w:rPr>
          <w:lang w:eastAsia="en-GB"/>
        </w:rPr>
        <w:t xml:space="preserve">, on-site electricity generation is allocated to either the </w:t>
      </w:r>
      <w:r w:rsidRPr="00256982">
        <w:rPr>
          <w:i/>
          <w:lang w:eastAsia="en-GB"/>
        </w:rPr>
        <w:t>Public electricity and heat production</w:t>
      </w:r>
      <w:r w:rsidRPr="00256982">
        <w:rPr>
          <w:lang w:eastAsia="en-GB"/>
        </w:rPr>
        <w:t xml:space="preserve"> category or the sector in which the associated plant operates, using the decision tree shown in figure</w:t>
      </w:r>
      <w:r w:rsidRPr="00256982">
        <w:t xml:space="preserve"> 3.3.7</w:t>
      </w:r>
      <w:r w:rsidRPr="00256982">
        <w:rPr>
          <w:lang w:eastAsia="en-GB"/>
        </w:rPr>
        <w:t xml:space="preserve">. </w:t>
      </w:r>
    </w:p>
    <w:p w14:paraId="1576DA51" w14:textId="77777777" w:rsidR="00DE64BC" w:rsidRPr="00256982" w:rsidRDefault="00DE64BC" w:rsidP="00A72006">
      <w:pPr>
        <w:pStyle w:val="Heading4"/>
        <w:rPr>
          <w:lang w:eastAsia="en-GB"/>
        </w:rPr>
      </w:pPr>
      <w:r w:rsidRPr="00256982">
        <w:t>Uncertainties</w:t>
      </w:r>
      <w:r w:rsidRPr="00256982">
        <w:rPr>
          <w:lang w:eastAsia="en-GB"/>
        </w:rPr>
        <w:t xml:space="preserve"> and time-series consistency</w:t>
      </w:r>
    </w:p>
    <w:p w14:paraId="0BA2150B" w14:textId="77777777" w:rsidR="00DE64BC" w:rsidRPr="00256982" w:rsidRDefault="00DE64BC" w:rsidP="00A808C7">
      <w:pPr>
        <w:pStyle w:val="BodyText"/>
        <w:rPr>
          <w:lang w:eastAsia="en-GB"/>
        </w:rPr>
      </w:pPr>
      <w:r w:rsidRPr="00256982">
        <w:rPr>
          <w:lang w:eastAsia="en-GB"/>
        </w:rPr>
        <w:t>Uncertainties in emission and activity data estimates are those relevant to the entire Energy sector (annex 4, sections A4.1, A4.2 and A4.3).</w:t>
      </w:r>
    </w:p>
    <w:p w14:paraId="640E02A3" w14:textId="77777777" w:rsidR="00DE64BC" w:rsidRPr="00256982" w:rsidRDefault="00DE64BC" w:rsidP="00A72006">
      <w:pPr>
        <w:pStyle w:val="Heading4"/>
        <w:rPr>
          <w:lang w:eastAsia="en-GB"/>
        </w:rPr>
      </w:pPr>
      <w:r w:rsidRPr="00256982">
        <w:rPr>
          <w:lang w:eastAsia="en-GB"/>
        </w:rPr>
        <w:t>Source-specific QA/QC and verification</w:t>
      </w:r>
    </w:p>
    <w:p w14:paraId="08881789" w14:textId="77777777" w:rsidR="00DE64BC" w:rsidRPr="00256982" w:rsidRDefault="00DE64BC" w:rsidP="00A808C7">
      <w:pPr>
        <w:pStyle w:val="BodyText"/>
        <w:rPr>
          <w:lang w:eastAsia="en-GB"/>
        </w:rPr>
      </w:pPr>
      <w:r w:rsidRPr="00256982">
        <w:rPr>
          <w:lang w:eastAsia="en-GB"/>
        </w:rPr>
        <w:t xml:space="preserve">In the preparation of this inventory, the </w:t>
      </w:r>
      <w:r w:rsidRPr="00256982">
        <w:rPr>
          <w:i/>
          <w:lang w:eastAsia="en-GB"/>
        </w:rPr>
        <w:t>Manufacturing industries and construction</w:t>
      </w:r>
      <w:r w:rsidRPr="00256982">
        <w:rPr>
          <w:lang w:eastAsia="en-GB"/>
        </w:rPr>
        <w:t xml:space="preserve"> category underwent Tier 1 quality-assurance and quality-control checks as recommended in the 2006 IPCC Guidelines. These include regular control sums throughout systems, to verify system integrity, and time-series consistency checks.</w:t>
      </w:r>
    </w:p>
    <w:p w14:paraId="67FBA0F5" w14:textId="77777777" w:rsidR="00DE64BC" w:rsidRPr="00256982" w:rsidRDefault="00DE64BC" w:rsidP="00A72006">
      <w:pPr>
        <w:pStyle w:val="Heading4"/>
        <w:rPr>
          <w:lang w:eastAsia="en-GB"/>
        </w:rPr>
      </w:pPr>
      <w:r w:rsidRPr="00256982">
        <w:rPr>
          <w:lang w:eastAsia="en-GB"/>
        </w:rPr>
        <w:t>Source-specific recalculations</w:t>
      </w:r>
    </w:p>
    <w:p w14:paraId="3B5ACE11" w14:textId="77777777" w:rsidR="00DE64BC" w:rsidRPr="00256982" w:rsidRDefault="00DE64BC" w:rsidP="00A808C7">
      <w:pPr>
        <w:pStyle w:val="BodyText"/>
        <w:rPr>
          <w:lang w:eastAsia="en-GB"/>
        </w:rPr>
      </w:pPr>
      <w:r w:rsidRPr="00256982">
        <w:rPr>
          <w:lang w:eastAsia="en-GB"/>
        </w:rPr>
        <w:t>Some historical energy demand data may have been revised due to revisions in data provided by companies. This has resulted in minor revisions in activity data and corresponding emissions for some years.</w:t>
      </w:r>
    </w:p>
    <w:p w14:paraId="25A02DB5" w14:textId="77777777" w:rsidR="00DE64BC" w:rsidRPr="00256982" w:rsidRDefault="00DE64BC" w:rsidP="001D3490">
      <w:pPr>
        <w:pStyle w:val="Heading3"/>
      </w:pPr>
      <w:r w:rsidRPr="00256982">
        <w:lastRenderedPageBreak/>
        <w:t>3.3.8</w:t>
      </w:r>
      <w:r w:rsidRPr="00256982">
        <w:tab/>
        <w:t>Fuel combustion: Transport (CRF 1.A.3)</w:t>
      </w:r>
    </w:p>
    <w:p w14:paraId="0D062FD4" w14:textId="77777777" w:rsidR="00DE64BC" w:rsidRPr="00256982" w:rsidRDefault="00DE64BC" w:rsidP="00A72006">
      <w:pPr>
        <w:pStyle w:val="Heading4"/>
      </w:pPr>
      <w:r w:rsidRPr="00256982">
        <w:rPr>
          <w:lang w:eastAsia="en-GB"/>
        </w:rPr>
        <w:t>Description</w:t>
      </w:r>
    </w:p>
    <w:p w14:paraId="41659EE6" w14:textId="77777777" w:rsidR="00DE64BC" w:rsidRPr="00256982" w:rsidRDefault="00DE64BC" w:rsidP="00A808C7">
      <w:pPr>
        <w:pStyle w:val="BodyText"/>
        <w:rPr>
          <w:lang w:eastAsia="en-GB"/>
        </w:rPr>
      </w:pPr>
      <w:r w:rsidRPr="00256982">
        <w:rPr>
          <w:lang w:eastAsia="en-GB"/>
        </w:rPr>
        <w:t>This category includes emissions from fuels combusted during domestic transportation, such as civil aviation, road, rail and domestic marine transport. Emissions from international marine and aviation bunkers are reported as memo items and are not included in New Zealand’s total emissions.</w:t>
      </w:r>
    </w:p>
    <w:p w14:paraId="728DB0F2" w14:textId="77777777" w:rsidR="00DE64BC" w:rsidRPr="00256982" w:rsidRDefault="00DE64BC" w:rsidP="00A808C7">
      <w:pPr>
        <w:pStyle w:val="BodyText"/>
        <w:rPr>
          <w:lang w:eastAsia="en-GB"/>
        </w:rPr>
      </w:pPr>
      <w:r w:rsidRPr="00256982">
        <w:rPr>
          <w:lang w:eastAsia="en-GB"/>
        </w:rPr>
        <w:t xml:space="preserve">In </w:t>
      </w:r>
      <w:r w:rsidRPr="00256982">
        <w:t>2017</w:t>
      </w:r>
      <w:r w:rsidRPr="00256982">
        <w:rPr>
          <w:lang w:eastAsia="en-GB"/>
        </w:rPr>
        <w:t xml:space="preserve">, category 1.A.3 </w:t>
      </w:r>
      <w:r w:rsidRPr="00256982">
        <w:rPr>
          <w:i/>
          <w:lang w:eastAsia="en-GB"/>
        </w:rPr>
        <w:t>Transport</w:t>
      </w:r>
      <w:r w:rsidRPr="00256982">
        <w:rPr>
          <w:lang w:eastAsia="en-GB"/>
        </w:rPr>
        <w:t xml:space="preserve"> was responsible for </w:t>
      </w:r>
      <w:r w:rsidRPr="00256982">
        <w:t xml:space="preserve">15,935.7 </w:t>
      </w:r>
      <w:r w:rsidRPr="00256982">
        <w:rPr>
          <w:lang w:eastAsia="en-GB"/>
        </w:rPr>
        <w:t>kt CO</w:t>
      </w:r>
      <w:r w:rsidRPr="00256982">
        <w:rPr>
          <w:vertAlign w:val="subscript"/>
          <w:lang w:eastAsia="en-GB"/>
        </w:rPr>
        <w:t>2</w:t>
      </w:r>
      <w:r w:rsidRPr="00256982">
        <w:rPr>
          <w:lang w:eastAsia="en-GB"/>
        </w:rPr>
        <w:t>-e (</w:t>
      </w:r>
      <w:r w:rsidRPr="00256982">
        <w:t>48.5 per cent</w:t>
      </w:r>
      <w:r w:rsidRPr="00256982">
        <w:rPr>
          <w:lang w:eastAsia="en-GB"/>
        </w:rPr>
        <w:t xml:space="preserve"> of emissions from the Energy sector), or 19.7 per cent of gross national emissions. Emissions have increased </w:t>
      </w:r>
      <w:r w:rsidRPr="00256982">
        <w:t xml:space="preserve">7,163.5 </w:t>
      </w:r>
      <w:r w:rsidRPr="00256982">
        <w:rPr>
          <w:lang w:eastAsia="en-GB"/>
        </w:rPr>
        <w:t>kt CO</w:t>
      </w:r>
      <w:r w:rsidRPr="00256982">
        <w:rPr>
          <w:vertAlign w:val="subscript"/>
          <w:lang w:eastAsia="en-GB"/>
        </w:rPr>
        <w:t>2</w:t>
      </w:r>
      <w:r w:rsidRPr="00256982">
        <w:rPr>
          <w:lang w:eastAsia="en-GB"/>
        </w:rPr>
        <w:t>-e (</w:t>
      </w:r>
      <w:r w:rsidRPr="00256982">
        <w:t>81.7 per cent</w:t>
      </w:r>
      <w:r w:rsidRPr="00256982">
        <w:rPr>
          <w:lang w:eastAsia="en-GB"/>
        </w:rPr>
        <w:t xml:space="preserve">) from the </w:t>
      </w:r>
      <w:r w:rsidRPr="00256982">
        <w:t xml:space="preserve">8,772.3 </w:t>
      </w:r>
      <w:r w:rsidRPr="00256982">
        <w:rPr>
          <w:lang w:eastAsia="en-GB"/>
        </w:rPr>
        <w:t>kt CO</w:t>
      </w:r>
      <w:r w:rsidRPr="00256982">
        <w:rPr>
          <w:vertAlign w:val="subscript"/>
          <w:lang w:eastAsia="en-GB"/>
        </w:rPr>
        <w:t>2</w:t>
      </w:r>
      <w:r w:rsidRPr="00256982">
        <w:rPr>
          <w:lang w:eastAsia="en-GB"/>
        </w:rPr>
        <w:t xml:space="preserve">-e emitted in 1990. The transport emissions profile in </w:t>
      </w:r>
      <w:r w:rsidRPr="00256982">
        <w:t>2017</w:t>
      </w:r>
      <w:r w:rsidRPr="00256982">
        <w:rPr>
          <w:lang w:eastAsia="en-GB"/>
        </w:rPr>
        <w:t xml:space="preserve"> was dominated by emissions from category 1.A.3.b </w:t>
      </w:r>
      <w:r w:rsidRPr="00256982">
        <w:rPr>
          <w:i/>
          <w:lang w:eastAsia="en-GB"/>
        </w:rPr>
        <w:t>Road transportation</w:t>
      </w:r>
      <w:r w:rsidRPr="00256982">
        <w:rPr>
          <w:lang w:eastAsia="en-GB"/>
        </w:rPr>
        <w:t xml:space="preserve">. In </w:t>
      </w:r>
      <w:r w:rsidRPr="00256982">
        <w:t>2017</w:t>
      </w:r>
      <w:r w:rsidRPr="00256982">
        <w:rPr>
          <w:lang w:eastAsia="en-GB"/>
        </w:rPr>
        <w:t xml:space="preserve">, road transport accounted for </w:t>
      </w:r>
      <w:r w:rsidRPr="00256982">
        <w:t>14,456.7 </w:t>
      </w:r>
      <w:r w:rsidRPr="00256982">
        <w:rPr>
          <w:lang w:eastAsia="en-GB"/>
        </w:rPr>
        <w:t>kt CO</w:t>
      </w:r>
      <w:r w:rsidRPr="00256982">
        <w:rPr>
          <w:vertAlign w:val="subscript"/>
          <w:lang w:eastAsia="en-GB"/>
        </w:rPr>
        <w:t>2</w:t>
      </w:r>
      <w:r w:rsidRPr="00256982">
        <w:rPr>
          <w:lang w:eastAsia="en-GB"/>
        </w:rPr>
        <w:t>-e (</w:t>
      </w:r>
      <w:r w:rsidRPr="00256982">
        <w:t>90.7 per cent</w:t>
      </w:r>
      <w:r w:rsidRPr="00256982">
        <w:rPr>
          <w:lang w:eastAsia="en-GB"/>
        </w:rPr>
        <w:t xml:space="preserve">) of total transport emissions. This is an increase of </w:t>
      </w:r>
      <w:r w:rsidRPr="00256982">
        <w:t xml:space="preserve">6,981.5 </w:t>
      </w:r>
      <w:r w:rsidRPr="00256982">
        <w:rPr>
          <w:lang w:eastAsia="en-GB"/>
        </w:rPr>
        <w:t>kt CO</w:t>
      </w:r>
      <w:r w:rsidRPr="00256982">
        <w:rPr>
          <w:vertAlign w:val="subscript"/>
          <w:lang w:eastAsia="en-GB"/>
        </w:rPr>
        <w:t>2</w:t>
      </w:r>
      <w:r w:rsidRPr="00256982">
        <w:rPr>
          <w:lang w:eastAsia="en-GB"/>
        </w:rPr>
        <w:t>-e (</w:t>
      </w:r>
      <w:r w:rsidRPr="00256982">
        <w:t>93.4 per cent</w:t>
      </w:r>
      <w:r w:rsidRPr="00256982">
        <w:rPr>
          <w:lang w:eastAsia="en-GB"/>
        </w:rPr>
        <w:t xml:space="preserve">) from the 1990 level of </w:t>
      </w:r>
      <w:r w:rsidRPr="00256982">
        <w:t xml:space="preserve">7,475.3 </w:t>
      </w:r>
      <w:r w:rsidRPr="00256982">
        <w:rPr>
          <w:lang w:eastAsia="en-GB"/>
        </w:rPr>
        <w:t>kt CO</w:t>
      </w:r>
      <w:r w:rsidRPr="00256982">
        <w:rPr>
          <w:vertAlign w:val="subscript"/>
          <w:lang w:eastAsia="en-GB"/>
        </w:rPr>
        <w:t>2</w:t>
      </w:r>
      <w:r w:rsidRPr="00256982">
        <w:rPr>
          <w:lang w:eastAsia="en-GB"/>
        </w:rPr>
        <w:t xml:space="preserve">-e. </w:t>
      </w:r>
    </w:p>
    <w:p w14:paraId="40CA3A7C" w14:textId="77777777" w:rsidR="00DE64BC" w:rsidRPr="00256982" w:rsidRDefault="00DE64BC" w:rsidP="00A72006">
      <w:pPr>
        <w:pStyle w:val="Heading4"/>
        <w:rPr>
          <w:lang w:eastAsia="en-GB"/>
        </w:rPr>
      </w:pPr>
      <w:r w:rsidRPr="00256982">
        <w:rPr>
          <w:lang w:eastAsia="en-GB"/>
        </w:rPr>
        <w:t xml:space="preserve">Changes in emissions between </w:t>
      </w:r>
      <w:r w:rsidRPr="00256982">
        <w:t>2016</w:t>
      </w:r>
      <w:r w:rsidRPr="00256982">
        <w:rPr>
          <w:lang w:eastAsia="en-GB"/>
        </w:rPr>
        <w:t xml:space="preserve"> and </w:t>
      </w:r>
      <w:r w:rsidRPr="00256982">
        <w:t>2017</w:t>
      </w:r>
    </w:p>
    <w:p w14:paraId="29328994" w14:textId="77777777" w:rsidR="00DE64BC" w:rsidRPr="00256982" w:rsidRDefault="00DE64BC" w:rsidP="00A808C7">
      <w:pPr>
        <w:pStyle w:val="BodyText"/>
        <w:rPr>
          <w:lang w:eastAsia="en-GB"/>
        </w:rPr>
      </w:pPr>
      <w:r w:rsidRPr="00256982">
        <w:rPr>
          <w:lang w:eastAsia="en-GB"/>
        </w:rPr>
        <w:t xml:space="preserve">Between </w:t>
      </w:r>
      <w:r w:rsidRPr="00256982">
        <w:t>2016</w:t>
      </w:r>
      <w:r w:rsidRPr="00256982">
        <w:rPr>
          <w:lang w:eastAsia="en-GB"/>
        </w:rPr>
        <w:t xml:space="preserve"> and </w:t>
      </w:r>
      <w:r w:rsidRPr="00256982">
        <w:t>2017</w:t>
      </w:r>
      <w:r w:rsidRPr="00256982">
        <w:rPr>
          <w:lang w:eastAsia="en-GB"/>
        </w:rPr>
        <w:t xml:space="preserve">, emissions from transport increased by </w:t>
      </w:r>
      <w:r w:rsidRPr="00256982">
        <w:t xml:space="preserve">930.6 </w:t>
      </w:r>
      <w:r w:rsidRPr="00256982">
        <w:rPr>
          <w:lang w:eastAsia="en-GB"/>
        </w:rPr>
        <w:t>kt CO</w:t>
      </w:r>
      <w:r w:rsidRPr="00256982">
        <w:rPr>
          <w:vertAlign w:val="subscript"/>
          <w:lang w:eastAsia="en-GB"/>
        </w:rPr>
        <w:t>2</w:t>
      </w:r>
      <w:r w:rsidRPr="00256982">
        <w:rPr>
          <w:lang w:eastAsia="en-GB"/>
        </w:rPr>
        <w:t>-e (</w:t>
      </w:r>
      <w:r w:rsidRPr="00256982">
        <w:t>6.2 per cent</w:t>
      </w:r>
      <w:r w:rsidRPr="00256982">
        <w:rPr>
          <w:lang w:eastAsia="en-GB"/>
        </w:rPr>
        <w:t xml:space="preserve">). </w:t>
      </w:r>
    </w:p>
    <w:p w14:paraId="12D4C723" w14:textId="77777777" w:rsidR="00DE64BC" w:rsidRPr="00256982" w:rsidRDefault="00DE64BC" w:rsidP="00A808C7">
      <w:pPr>
        <w:pStyle w:val="BodyText"/>
      </w:pPr>
      <w:r w:rsidRPr="00256982">
        <w:t xml:space="preserve">Key categories identified in the 2017 level and trend assessment for the </w:t>
      </w:r>
      <w:r w:rsidRPr="00256982">
        <w:rPr>
          <w:i/>
          <w:lang w:eastAsia="en-GB"/>
        </w:rPr>
        <w:t>Transport</w:t>
      </w:r>
      <w:r w:rsidRPr="00256982">
        <w:t xml:space="preserve"> category are given in table 3.3.5.</w:t>
      </w:r>
    </w:p>
    <w:p w14:paraId="07E8516D" w14:textId="77777777" w:rsidR="00DE64BC" w:rsidRPr="00256982" w:rsidRDefault="00DE64BC" w:rsidP="00A808C7">
      <w:pPr>
        <w:pStyle w:val="Table"/>
      </w:pPr>
      <w:bookmarkStart w:id="356" w:name="_Toc5269450"/>
      <w:r w:rsidRPr="00256982">
        <w:t>Table 3.3.5</w:t>
      </w:r>
      <w:r w:rsidRPr="00256982">
        <w:tab/>
        <w:t>Key categories for 1.A.3 Transport</w:t>
      </w:r>
      <w:bookmarkEnd w:id="356"/>
    </w:p>
    <w:tbl>
      <w:tblPr>
        <w:tblW w:w="8562" w:type="dxa"/>
        <w:tblInd w:w="108" w:type="dxa"/>
        <w:tblBorders>
          <w:top w:val="single" w:sz="4" w:space="0" w:color="1F497D"/>
          <w:bottom w:val="single" w:sz="4" w:space="0" w:color="1F497D"/>
          <w:insideH w:val="single" w:sz="4" w:space="0" w:color="1F497D"/>
          <w:insideV w:val="single" w:sz="4" w:space="0" w:color="1F497D"/>
        </w:tblBorders>
        <w:tblLayout w:type="fixed"/>
        <w:tblLook w:val="0420" w:firstRow="1" w:lastRow="0" w:firstColumn="0" w:lastColumn="0" w:noHBand="0" w:noVBand="1"/>
      </w:tblPr>
      <w:tblGrid>
        <w:gridCol w:w="3795"/>
        <w:gridCol w:w="1671"/>
        <w:gridCol w:w="1519"/>
        <w:gridCol w:w="1577"/>
      </w:tblGrid>
      <w:tr w:rsidR="00DE64BC" w:rsidRPr="00256982" w14:paraId="0EBE71DF" w14:textId="77777777" w:rsidTr="00A808C7">
        <w:trPr>
          <w:cantSplit/>
          <w:tblHeader/>
        </w:trPr>
        <w:tc>
          <w:tcPr>
            <w:tcW w:w="2216" w:type="pct"/>
            <w:tcBorders>
              <w:right w:val="single" w:sz="4" w:space="0" w:color="365F91"/>
            </w:tcBorders>
            <w:shd w:val="clear" w:color="auto" w:fill="365F91"/>
            <w:noWrap/>
            <w:vAlign w:val="bottom"/>
            <w:hideMark/>
          </w:tcPr>
          <w:p w14:paraId="76886F8D" w14:textId="77777777" w:rsidR="00DE64BC" w:rsidRPr="00256982" w:rsidRDefault="00DE64BC" w:rsidP="00A808C7">
            <w:pPr>
              <w:pStyle w:val="TableTextBold"/>
              <w:keepNext/>
              <w:rPr>
                <w:noProof w:val="0"/>
                <w:color w:val="FFFFFF"/>
              </w:rPr>
            </w:pPr>
          </w:p>
        </w:tc>
        <w:tc>
          <w:tcPr>
            <w:tcW w:w="976" w:type="pct"/>
            <w:tcBorders>
              <w:top w:val="single" w:sz="4" w:space="0" w:color="365F91"/>
              <w:left w:val="single" w:sz="4" w:space="0" w:color="365F91"/>
              <w:bottom w:val="single" w:sz="4" w:space="0" w:color="365F91"/>
              <w:right w:val="single" w:sz="4" w:space="0" w:color="365F91"/>
            </w:tcBorders>
            <w:shd w:val="clear" w:color="auto" w:fill="365F91"/>
            <w:noWrap/>
            <w:vAlign w:val="bottom"/>
            <w:hideMark/>
          </w:tcPr>
          <w:p w14:paraId="6B2C73D3" w14:textId="77777777" w:rsidR="00DE64BC" w:rsidRPr="00256982" w:rsidRDefault="00DE64BC" w:rsidP="00A808C7">
            <w:pPr>
              <w:pStyle w:val="TableTextBold"/>
              <w:rPr>
                <w:noProof w:val="0"/>
                <w:color w:val="FFFFFF"/>
              </w:rPr>
            </w:pPr>
            <w:r w:rsidRPr="00256982">
              <w:rPr>
                <w:noProof w:val="0"/>
                <w:color w:val="FFFFFF"/>
              </w:rPr>
              <w:t>Liquid fuels</w:t>
            </w:r>
          </w:p>
        </w:tc>
        <w:tc>
          <w:tcPr>
            <w:tcW w:w="887" w:type="pct"/>
            <w:tcBorders>
              <w:top w:val="single" w:sz="4" w:space="0" w:color="365F91"/>
              <w:left w:val="single" w:sz="4" w:space="0" w:color="365F91"/>
              <w:bottom w:val="single" w:sz="4" w:space="0" w:color="365F91"/>
              <w:right w:val="single" w:sz="4" w:space="0" w:color="365F91"/>
            </w:tcBorders>
            <w:shd w:val="clear" w:color="auto" w:fill="365F91"/>
            <w:vAlign w:val="bottom"/>
            <w:hideMark/>
          </w:tcPr>
          <w:p w14:paraId="23644C62" w14:textId="77777777" w:rsidR="00DE64BC" w:rsidRPr="00256982" w:rsidRDefault="00DE64BC" w:rsidP="00A808C7">
            <w:pPr>
              <w:pStyle w:val="TableTextBold"/>
              <w:rPr>
                <w:noProof w:val="0"/>
                <w:color w:val="FFFFFF"/>
              </w:rPr>
            </w:pPr>
            <w:r w:rsidRPr="00256982">
              <w:rPr>
                <w:noProof w:val="0"/>
                <w:color w:val="FFFFFF"/>
              </w:rPr>
              <w:t>Solid fuels</w:t>
            </w:r>
          </w:p>
        </w:tc>
        <w:tc>
          <w:tcPr>
            <w:tcW w:w="921" w:type="pct"/>
            <w:tcBorders>
              <w:left w:val="single" w:sz="4" w:space="0" w:color="365F91"/>
            </w:tcBorders>
            <w:shd w:val="clear" w:color="auto" w:fill="365F91"/>
            <w:vAlign w:val="bottom"/>
            <w:hideMark/>
          </w:tcPr>
          <w:p w14:paraId="59D30046" w14:textId="77777777" w:rsidR="00DE64BC" w:rsidRPr="00256982" w:rsidRDefault="00DE64BC" w:rsidP="00A808C7">
            <w:pPr>
              <w:pStyle w:val="TableTextBold"/>
              <w:rPr>
                <w:noProof w:val="0"/>
                <w:color w:val="FFFFFF"/>
              </w:rPr>
            </w:pPr>
            <w:r w:rsidRPr="00256982">
              <w:rPr>
                <w:noProof w:val="0"/>
                <w:color w:val="FFFFFF"/>
              </w:rPr>
              <w:t>Gaseous fuels</w:t>
            </w:r>
          </w:p>
        </w:tc>
      </w:tr>
      <w:tr w:rsidR="00DE64BC" w:rsidRPr="00256982" w14:paraId="075E33AC" w14:textId="77777777" w:rsidTr="00A808C7">
        <w:trPr>
          <w:cantSplit/>
        </w:trPr>
        <w:tc>
          <w:tcPr>
            <w:tcW w:w="2216" w:type="pct"/>
            <w:tcBorders>
              <w:right w:val="single" w:sz="4" w:space="0" w:color="365F91"/>
            </w:tcBorders>
            <w:shd w:val="clear" w:color="auto" w:fill="auto"/>
            <w:noWrap/>
            <w:hideMark/>
          </w:tcPr>
          <w:p w14:paraId="3B2335D4" w14:textId="77777777" w:rsidR="00DE64BC" w:rsidRPr="00256982" w:rsidRDefault="00DE64BC" w:rsidP="00A808C7">
            <w:pPr>
              <w:pStyle w:val="TableText"/>
            </w:pPr>
            <w:r w:rsidRPr="00256982">
              <w:t>Domestic Aviation – CO</w:t>
            </w:r>
            <w:r w:rsidRPr="00256982">
              <w:rPr>
                <w:vertAlign w:val="subscript"/>
              </w:rPr>
              <w:t>2</w:t>
            </w:r>
          </w:p>
        </w:tc>
        <w:tc>
          <w:tcPr>
            <w:tcW w:w="976" w:type="pct"/>
            <w:tcBorders>
              <w:top w:val="single" w:sz="4" w:space="0" w:color="365F91"/>
              <w:left w:val="single" w:sz="4" w:space="0" w:color="365F91"/>
              <w:bottom w:val="single" w:sz="4" w:space="0" w:color="365F91"/>
              <w:right w:val="single" w:sz="4" w:space="0" w:color="365F91"/>
            </w:tcBorders>
            <w:shd w:val="clear" w:color="auto" w:fill="auto"/>
            <w:noWrap/>
            <w:hideMark/>
          </w:tcPr>
          <w:p w14:paraId="50D4DA3C" w14:textId="77777777" w:rsidR="00DE64BC" w:rsidRPr="00256982" w:rsidRDefault="00DE64BC" w:rsidP="00A808C7">
            <w:pPr>
              <w:pStyle w:val="TableText"/>
            </w:pPr>
            <w:r w:rsidRPr="00256982">
              <w:t>Level, trend</w:t>
            </w:r>
          </w:p>
        </w:tc>
        <w:tc>
          <w:tcPr>
            <w:tcW w:w="887" w:type="pct"/>
            <w:tcBorders>
              <w:top w:val="single" w:sz="4" w:space="0" w:color="365F91"/>
              <w:left w:val="single" w:sz="4" w:space="0" w:color="365F91"/>
              <w:bottom w:val="single" w:sz="4" w:space="0" w:color="365F91"/>
              <w:right w:val="single" w:sz="4" w:space="0" w:color="365F91"/>
            </w:tcBorders>
            <w:shd w:val="clear" w:color="auto" w:fill="auto"/>
            <w:noWrap/>
            <w:hideMark/>
          </w:tcPr>
          <w:p w14:paraId="10C50FEF" w14:textId="77777777" w:rsidR="00DE64BC" w:rsidRPr="00256982" w:rsidRDefault="00DE64BC" w:rsidP="00A808C7">
            <w:pPr>
              <w:pStyle w:val="TableText"/>
            </w:pPr>
          </w:p>
        </w:tc>
        <w:tc>
          <w:tcPr>
            <w:tcW w:w="921" w:type="pct"/>
            <w:tcBorders>
              <w:left w:val="single" w:sz="4" w:space="0" w:color="365F91"/>
            </w:tcBorders>
            <w:shd w:val="clear" w:color="auto" w:fill="auto"/>
            <w:noWrap/>
            <w:hideMark/>
          </w:tcPr>
          <w:p w14:paraId="7300F905" w14:textId="77777777" w:rsidR="00DE64BC" w:rsidRPr="00256982" w:rsidRDefault="00DE64BC" w:rsidP="00A808C7">
            <w:pPr>
              <w:pStyle w:val="TableText"/>
            </w:pPr>
          </w:p>
        </w:tc>
      </w:tr>
      <w:tr w:rsidR="00DE64BC" w:rsidRPr="00256982" w14:paraId="1C58D9B0" w14:textId="77777777" w:rsidTr="00A808C7">
        <w:trPr>
          <w:cantSplit/>
        </w:trPr>
        <w:tc>
          <w:tcPr>
            <w:tcW w:w="2216" w:type="pct"/>
            <w:tcBorders>
              <w:right w:val="single" w:sz="4" w:space="0" w:color="365F91"/>
            </w:tcBorders>
            <w:shd w:val="clear" w:color="auto" w:fill="auto"/>
            <w:noWrap/>
            <w:hideMark/>
          </w:tcPr>
          <w:p w14:paraId="43F114E4" w14:textId="77777777" w:rsidR="00DE64BC" w:rsidRPr="00256982" w:rsidRDefault="00DE64BC" w:rsidP="00A808C7">
            <w:pPr>
              <w:pStyle w:val="TableText"/>
            </w:pPr>
            <w:r w:rsidRPr="00256982">
              <w:t>Road Transportation – CO</w:t>
            </w:r>
            <w:r w:rsidRPr="00256982">
              <w:rPr>
                <w:vertAlign w:val="subscript"/>
              </w:rPr>
              <w:t>2</w:t>
            </w:r>
          </w:p>
        </w:tc>
        <w:tc>
          <w:tcPr>
            <w:tcW w:w="976" w:type="pct"/>
            <w:tcBorders>
              <w:top w:val="single" w:sz="4" w:space="0" w:color="365F91"/>
              <w:left w:val="single" w:sz="4" w:space="0" w:color="365F91"/>
              <w:bottom w:val="single" w:sz="4" w:space="0" w:color="365F91"/>
              <w:right w:val="single" w:sz="4" w:space="0" w:color="365F91"/>
            </w:tcBorders>
            <w:shd w:val="clear" w:color="auto" w:fill="auto"/>
            <w:noWrap/>
            <w:hideMark/>
          </w:tcPr>
          <w:p w14:paraId="12BB4CA4" w14:textId="77777777" w:rsidR="00DE64BC" w:rsidRPr="00256982" w:rsidRDefault="00DE64BC" w:rsidP="00A808C7">
            <w:pPr>
              <w:pStyle w:val="TableText"/>
            </w:pPr>
            <w:r w:rsidRPr="00256982">
              <w:t>Level, trend</w:t>
            </w:r>
          </w:p>
        </w:tc>
        <w:tc>
          <w:tcPr>
            <w:tcW w:w="887" w:type="pct"/>
            <w:tcBorders>
              <w:top w:val="single" w:sz="4" w:space="0" w:color="365F91"/>
              <w:left w:val="single" w:sz="4" w:space="0" w:color="365F91"/>
              <w:bottom w:val="single" w:sz="4" w:space="0" w:color="365F91"/>
              <w:right w:val="single" w:sz="4" w:space="0" w:color="365F91"/>
            </w:tcBorders>
            <w:shd w:val="clear" w:color="auto" w:fill="auto"/>
            <w:noWrap/>
          </w:tcPr>
          <w:p w14:paraId="3677F2F1" w14:textId="77777777" w:rsidR="00DE64BC" w:rsidRPr="00256982" w:rsidRDefault="00DE64BC" w:rsidP="00A808C7">
            <w:pPr>
              <w:pStyle w:val="TableText"/>
            </w:pPr>
          </w:p>
        </w:tc>
        <w:tc>
          <w:tcPr>
            <w:tcW w:w="921" w:type="pct"/>
            <w:tcBorders>
              <w:left w:val="single" w:sz="4" w:space="0" w:color="365F91"/>
            </w:tcBorders>
            <w:shd w:val="clear" w:color="auto" w:fill="auto"/>
            <w:noWrap/>
            <w:hideMark/>
          </w:tcPr>
          <w:p w14:paraId="32AFC658" w14:textId="77777777" w:rsidR="00DE64BC" w:rsidRPr="00256982" w:rsidRDefault="00DE64BC" w:rsidP="00A808C7">
            <w:pPr>
              <w:pStyle w:val="TableText"/>
            </w:pPr>
            <w:r w:rsidRPr="00256982">
              <w:t>Trend</w:t>
            </w:r>
          </w:p>
        </w:tc>
      </w:tr>
      <w:tr w:rsidR="00DE64BC" w:rsidRPr="00256982" w14:paraId="3ED25341" w14:textId="77777777" w:rsidTr="00A808C7">
        <w:trPr>
          <w:cantSplit/>
        </w:trPr>
        <w:tc>
          <w:tcPr>
            <w:tcW w:w="2216" w:type="pct"/>
            <w:tcBorders>
              <w:right w:val="single" w:sz="4" w:space="0" w:color="365F91"/>
            </w:tcBorders>
            <w:shd w:val="clear" w:color="auto" w:fill="auto"/>
            <w:noWrap/>
          </w:tcPr>
          <w:p w14:paraId="17A405DD" w14:textId="77777777" w:rsidR="00DE64BC" w:rsidRPr="00256982" w:rsidRDefault="00DE64BC" w:rsidP="00A808C7">
            <w:pPr>
              <w:pStyle w:val="TableText"/>
            </w:pPr>
            <w:r w:rsidRPr="00256982">
              <w:t>Domestic Navigation – CO</w:t>
            </w:r>
            <w:r w:rsidRPr="00256982">
              <w:rPr>
                <w:vertAlign w:val="subscript"/>
              </w:rPr>
              <w:t>2</w:t>
            </w:r>
          </w:p>
        </w:tc>
        <w:tc>
          <w:tcPr>
            <w:tcW w:w="976" w:type="pct"/>
            <w:tcBorders>
              <w:top w:val="single" w:sz="4" w:space="0" w:color="365F91"/>
              <w:left w:val="single" w:sz="4" w:space="0" w:color="365F91"/>
              <w:bottom w:val="single" w:sz="4" w:space="0" w:color="365F91"/>
              <w:right w:val="single" w:sz="4" w:space="0" w:color="365F91"/>
            </w:tcBorders>
            <w:shd w:val="clear" w:color="auto" w:fill="auto"/>
            <w:noWrap/>
          </w:tcPr>
          <w:p w14:paraId="0A81A95C" w14:textId="77777777" w:rsidR="00DE64BC" w:rsidRPr="00256982" w:rsidRDefault="00DE64BC" w:rsidP="00A808C7">
            <w:pPr>
              <w:pStyle w:val="TableText"/>
            </w:pPr>
            <w:r w:rsidRPr="00256982">
              <w:t>Level</w:t>
            </w:r>
          </w:p>
        </w:tc>
        <w:tc>
          <w:tcPr>
            <w:tcW w:w="887" w:type="pct"/>
            <w:tcBorders>
              <w:top w:val="single" w:sz="4" w:space="0" w:color="365F91"/>
              <w:left w:val="single" w:sz="4" w:space="0" w:color="365F91"/>
              <w:bottom w:val="single" w:sz="4" w:space="0" w:color="365F91"/>
              <w:right w:val="single" w:sz="4" w:space="0" w:color="365F91"/>
            </w:tcBorders>
            <w:shd w:val="clear" w:color="auto" w:fill="auto"/>
            <w:noWrap/>
          </w:tcPr>
          <w:p w14:paraId="2B4AD922" w14:textId="77777777" w:rsidR="00DE64BC" w:rsidRPr="00256982" w:rsidRDefault="00DE64BC" w:rsidP="00A808C7">
            <w:pPr>
              <w:pStyle w:val="TableText"/>
            </w:pPr>
          </w:p>
        </w:tc>
        <w:tc>
          <w:tcPr>
            <w:tcW w:w="921" w:type="pct"/>
            <w:tcBorders>
              <w:left w:val="single" w:sz="4" w:space="0" w:color="365F91"/>
            </w:tcBorders>
            <w:shd w:val="clear" w:color="auto" w:fill="auto"/>
            <w:noWrap/>
          </w:tcPr>
          <w:p w14:paraId="7178B55B" w14:textId="77777777" w:rsidR="00DE64BC" w:rsidRPr="00256982" w:rsidRDefault="00DE64BC" w:rsidP="00A808C7">
            <w:pPr>
              <w:pStyle w:val="TableText"/>
            </w:pPr>
          </w:p>
        </w:tc>
      </w:tr>
    </w:tbl>
    <w:p w14:paraId="25D0AD5F" w14:textId="77777777" w:rsidR="00DE64BC" w:rsidRPr="00256982" w:rsidRDefault="00DE64BC" w:rsidP="005C19FE">
      <w:pPr>
        <w:pStyle w:val="Heading4"/>
        <w:spacing w:before="360"/>
      </w:pPr>
      <w:r w:rsidRPr="00256982">
        <w:rPr>
          <w:lang w:eastAsia="en-GB"/>
        </w:rPr>
        <w:t>Methodological issues</w:t>
      </w:r>
    </w:p>
    <w:p w14:paraId="5197D74C" w14:textId="77777777" w:rsidR="00DE64BC" w:rsidRPr="00256982" w:rsidRDefault="00DE64BC" w:rsidP="00336A51">
      <w:pPr>
        <w:pStyle w:val="Heading5"/>
      </w:pPr>
      <w:r w:rsidRPr="00256982">
        <w:rPr>
          <w:lang w:eastAsia="en-GB"/>
        </w:rPr>
        <w:t xml:space="preserve">1.A.3.a </w:t>
      </w:r>
      <w:r w:rsidRPr="00256982">
        <w:t>Civil</w:t>
      </w:r>
      <w:r w:rsidRPr="00256982">
        <w:rPr>
          <w:lang w:eastAsia="en-GB"/>
        </w:rPr>
        <w:t xml:space="preserve"> aviation</w:t>
      </w:r>
    </w:p>
    <w:p w14:paraId="492B6AE1" w14:textId="77777777" w:rsidR="00DE64BC" w:rsidRPr="00256982" w:rsidRDefault="00DE64BC" w:rsidP="00A808C7">
      <w:pPr>
        <w:pStyle w:val="BodyText"/>
        <w:rPr>
          <w:lang w:eastAsia="en-GB"/>
        </w:rPr>
      </w:pPr>
      <w:r w:rsidRPr="00256982">
        <w:rPr>
          <w:lang w:eastAsia="en-GB"/>
        </w:rPr>
        <w:t xml:space="preserve">A Tier 1 approach (IPCC, 2006) that does not use landing and take-off cycles has been taken to estimate emissions from the </w:t>
      </w:r>
      <w:r w:rsidRPr="00256982">
        <w:rPr>
          <w:i/>
          <w:lang w:eastAsia="en-GB"/>
        </w:rPr>
        <w:t>Civil aviation</w:t>
      </w:r>
      <w:r w:rsidRPr="00256982">
        <w:rPr>
          <w:lang w:eastAsia="en-GB"/>
        </w:rPr>
        <w:t xml:space="preserve"> category. Given the uncertainty surrounding </w:t>
      </w:r>
      <w:r w:rsidRPr="00256982">
        <w:t>CH</w:t>
      </w:r>
      <w:r w:rsidRPr="00256982">
        <w:rPr>
          <w:vertAlign w:val="subscript"/>
        </w:rPr>
        <w:t>4</w:t>
      </w:r>
      <w:r w:rsidRPr="00256982">
        <w:rPr>
          <w:lang w:eastAsia="en-GB"/>
        </w:rPr>
        <w:t xml:space="preserve"> and </w:t>
      </w:r>
      <w:r w:rsidRPr="00256982">
        <w:t>N</w:t>
      </w:r>
      <w:r w:rsidRPr="00256982">
        <w:rPr>
          <w:vertAlign w:val="subscript"/>
        </w:rPr>
        <w:t>2</w:t>
      </w:r>
      <w:r w:rsidRPr="00256982">
        <w:t>O</w:t>
      </w:r>
      <w:r w:rsidRPr="00256982">
        <w:rPr>
          <w:lang w:eastAsia="en-GB"/>
        </w:rPr>
        <w:t xml:space="preserve"> emission factors for landing and take-off cycles, a Tier 2 approach to estimating non-CO</w:t>
      </w:r>
      <w:r w:rsidRPr="00256982">
        <w:rPr>
          <w:vertAlign w:val="subscript"/>
          <w:lang w:eastAsia="en-GB"/>
        </w:rPr>
        <w:t>2</w:t>
      </w:r>
      <w:r w:rsidRPr="00256982">
        <w:rPr>
          <w:lang w:eastAsia="en-GB"/>
        </w:rPr>
        <w:t xml:space="preserve"> emissions would not necessarily reduce uncertainty (IPCC, 2006).</w:t>
      </w:r>
    </w:p>
    <w:p w14:paraId="21B025A3" w14:textId="77777777" w:rsidR="00DE64BC" w:rsidRPr="00256982" w:rsidRDefault="00DE64BC" w:rsidP="00A808C7">
      <w:pPr>
        <w:pStyle w:val="Heading5"/>
        <w:rPr>
          <w:lang w:eastAsia="en-GB"/>
        </w:rPr>
      </w:pPr>
      <w:r w:rsidRPr="00256982">
        <w:rPr>
          <w:szCs w:val="22"/>
        </w:rPr>
        <w:t xml:space="preserve">1.A.3.b </w:t>
      </w:r>
      <w:r w:rsidRPr="00256982">
        <w:rPr>
          <w:lang w:eastAsia="en-GB"/>
        </w:rPr>
        <w:t xml:space="preserve">Road </w:t>
      </w:r>
      <w:r w:rsidRPr="00256982">
        <w:t>transportation</w:t>
      </w:r>
    </w:p>
    <w:p w14:paraId="7DA0A744" w14:textId="77777777" w:rsidR="00DE64BC" w:rsidRPr="00256982" w:rsidRDefault="00DE64BC" w:rsidP="00A808C7">
      <w:pPr>
        <w:pStyle w:val="BodyText"/>
        <w:rPr>
          <w:lang w:eastAsia="en-GB"/>
        </w:rPr>
      </w:pPr>
      <w:r w:rsidRPr="00256982">
        <w:rPr>
          <w:lang w:eastAsia="en-GB"/>
        </w:rPr>
        <w:t xml:space="preserve">The IPCC 2006 Tier 2 approach was used to calculate </w:t>
      </w:r>
      <w:r w:rsidRPr="00256982">
        <w:t>CO</w:t>
      </w:r>
      <w:r w:rsidRPr="00256982">
        <w:rPr>
          <w:vertAlign w:val="subscript"/>
        </w:rPr>
        <w:t>2</w:t>
      </w:r>
      <w:r w:rsidRPr="00256982">
        <w:rPr>
          <w:sz w:val="14"/>
          <w:szCs w:val="14"/>
          <w:lang w:eastAsia="en-GB"/>
        </w:rPr>
        <w:t xml:space="preserve"> </w:t>
      </w:r>
      <w:r w:rsidRPr="00256982">
        <w:rPr>
          <w:lang w:eastAsia="en-GB"/>
        </w:rPr>
        <w:t xml:space="preserve">emissions from </w:t>
      </w:r>
      <w:r w:rsidRPr="00256982">
        <w:rPr>
          <w:i/>
          <w:lang w:eastAsia="en-GB"/>
        </w:rPr>
        <w:t>Road transportation</w:t>
      </w:r>
      <w:r w:rsidRPr="00256982">
        <w:rPr>
          <w:lang w:eastAsia="en-GB"/>
        </w:rPr>
        <w:t xml:space="preserve"> using New Zealand-specific emission factors. The emission factors were calculated using data provided by New Zealand’s sole oil refinery for oil products and the weighted average emission factor of New Zealand </w:t>
      </w:r>
      <w:r w:rsidRPr="00256982">
        <w:t xml:space="preserve">natural </w:t>
      </w:r>
      <w:r w:rsidRPr="00256982">
        <w:rPr>
          <w:lang w:eastAsia="en-GB"/>
        </w:rPr>
        <w:t xml:space="preserve">gas fields for compressed natural gas (CNG). </w:t>
      </w:r>
    </w:p>
    <w:p w14:paraId="173DDFBB" w14:textId="77777777" w:rsidR="00DE64BC" w:rsidRPr="00256982" w:rsidRDefault="00DE64BC" w:rsidP="00A808C7">
      <w:pPr>
        <w:pStyle w:val="BodyText"/>
        <w:rPr>
          <w:lang w:eastAsia="en-GB"/>
        </w:rPr>
      </w:pPr>
      <w:r w:rsidRPr="00256982">
        <w:rPr>
          <w:lang w:eastAsia="en-GB"/>
        </w:rPr>
        <w:t xml:space="preserve">Since the 2012 submission, New Zealand has used a Tier 3 (IPCC, 2006) methodology to estimate </w:t>
      </w:r>
      <w:r w:rsidRPr="00256982">
        <w:t>CH</w:t>
      </w:r>
      <w:r w:rsidRPr="00256982">
        <w:rPr>
          <w:vertAlign w:val="subscript"/>
        </w:rPr>
        <w:t>4</w:t>
      </w:r>
      <w:r w:rsidRPr="00256982">
        <w:rPr>
          <w:lang w:eastAsia="en-GB"/>
        </w:rPr>
        <w:t xml:space="preserve"> and </w:t>
      </w:r>
      <w:r w:rsidRPr="00256982">
        <w:t>N</w:t>
      </w:r>
      <w:r w:rsidRPr="00256982">
        <w:rPr>
          <w:vertAlign w:val="subscript"/>
        </w:rPr>
        <w:t>2</w:t>
      </w:r>
      <w:r w:rsidRPr="00256982">
        <w:t>O</w:t>
      </w:r>
      <w:r w:rsidRPr="00256982">
        <w:rPr>
          <w:lang w:eastAsia="en-GB"/>
        </w:rPr>
        <w:t xml:space="preserve"> emissions from road transport. Data collected by New Zealand’s Ministry of Transport provide comprehensive information on vehicle-kilometres-travelled by vehicle class and fuel type from 2001–</w:t>
      </w:r>
      <w:r w:rsidRPr="00256982">
        <w:t>16</w:t>
      </w:r>
      <w:r w:rsidRPr="00256982">
        <w:rPr>
          <w:lang w:eastAsia="en-GB"/>
        </w:rPr>
        <w:t>. Before 2001, insufficient data were available, so good practice guidance was used in choosing the splicing method to ensure time-series consistency.</w:t>
      </w:r>
    </w:p>
    <w:p w14:paraId="3BBCBE82" w14:textId="77777777" w:rsidR="00DE64BC" w:rsidRPr="00256982" w:rsidRDefault="00DE64BC" w:rsidP="00A808C7">
      <w:pPr>
        <w:pStyle w:val="BodyText"/>
        <w:keepNext/>
      </w:pPr>
      <w:r w:rsidRPr="00256982">
        <w:lastRenderedPageBreak/>
        <w:t>The current New Zealand vehicle fleet is split evenly between vehicles:</w:t>
      </w:r>
    </w:p>
    <w:p w14:paraId="52E55632" w14:textId="77777777" w:rsidR="00DE64BC" w:rsidRPr="00256982" w:rsidRDefault="00DE64BC" w:rsidP="0036046B">
      <w:pPr>
        <w:pStyle w:val="Bullet"/>
        <w:numPr>
          <w:ilvl w:val="0"/>
          <w:numId w:val="8"/>
        </w:numPr>
      </w:pPr>
      <w:r w:rsidRPr="00256982">
        <w:t>manufactured in New Zealand</w:t>
      </w:r>
      <w:r w:rsidRPr="00256982">
        <w:rPr>
          <w:vertAlign w:val="superscript"/>
        </w:rPr>
        <w:footnoteReference w:id="30"/>
      </w:r>
      <w:r w:rsidRPr="00256982">
        <w:t xml:space="preserve"> or imported for sale as new vehicles</w:t>
      </w:r>
    </w:p>
    <w:p w14:paraId="43289541" w14:textId="77777777" w:rsidR="00DE64BC" w:rsidRPr="00256982" w:rsidRDefault="00DE64BC" w:rsidP="0036046B">
      <w:pPr>
        <w:pStyle w:val="Bullet"/>
        <w:numPr>
          <w:ilvl w:val="0"/>
          <w:numId w:val="8"/>
        </w:numPr>
      </w:pPr>
      <w:r w:rsidRPr="00256982">
        <w:t>produced and used in Japan and then imported into New Zealand.</w:t>
      </w:r>
    </w:p>
    <w:p w14:paraId="06F2B755" w14:textId="77777777" w:rsidR="00DE64BC" w:rsidRPr="00256982" w:rsidRDefault="00DE64BC" w:rsidP="00A808C7">
      <w:pPr>
        <w:pStyle w:val="BodyText"/>
      </w:pPr>
      <w:r w:rsidRPr="00256982">
        <w:t>This split has been relatively constant for the past eight years.</w:t>
      </w:r>
    </w:p>
    <w:p w14:paraId="286FEDC1" w14:textId="77777777" w:rsidR="00DE64BC" w:rsidRPr="00256982" w:rsidRDefault="00DE64BC" w:rsidP="00A808C7">
      <w:pPr>
        <w:pStyle w:val="BodyText"/>
      </w:pPr>
      <w:r w:rsidRPr="00256982">
        <w:t>For this reason, when estimating emissions from road transport, the New Zealand vehicle fleet (and associated CH</w:t>
      </w:r>
      <w:r w:rsidRPr="00256982">
        <w:rPr>
          <w:vertAlign w:val="subscript"/>
        </w:rPr>
        <w:t>4</w:t>
      </w:r>
      <w:r w:rsidRPr="00256982">
        <w:t xml:space="preserve"> and N</w:t>
      </w:r>
      <w:r w:rsidRPr="00256982">
        <w:rPr>
          <w:vertAlign w:val="subscript"/>
        </w:rPr>
        <w:t>2</w:t>
      </w:r>
      <w:r w:rsidRPr="00256982">
        <w:t xml:space="preserve">O emissions) is split into the ‘new vehicle fleet’ and ‘used vehicle fleet’ (based on a vehicle’s year of manufacture rather than when they are first added to the New Zealand fleet). </w:t>
      </w:r>
    </w:p>
    <w:p w14:paraId="6900CF97" w14:textId="77777777" w:rsidR="00DE64BC" w:rsidRPr="00256982" w:rsidRDefault="00DE64BC" w:rsidP="00A808C7">
      <w:pPr>
        <w:pStyle w:val="BodyText"/>
      </w:pPr>
      <w:r w:rsidRPr="00256982">
        <w:t>New vehicles were allocated an appropriate vehicle class from the COPERT 4 model (European Environment Agency, 2007), and used Japanese vehicles were allocated emission factors as per categories from the Japanese Ministry of the Environment. These emission factors are broken down by:</w:t>
      </w:r>
    </w:p>
    <w:p w14:paraId="5F28C2D3" w14:textId="77777777" w:rsidR="00DE64BC" w:rsidRPr="00256982" w:rsidRDefault="00DE64BC" w:rsidP="0036046B">
      <w:pPr>
        <w:pStyle w:val="Bullet"/>
        <w:numPr>
          <w:ilvl w:val="0"/>
          <w:numId w:val="8"/>
        </w:numPr>
      </w:pPr>
      <w:r w:rsidRPr="00256982">
        <w:t>vehicle type</w:t>
      </w:r>
    </w:p>
    <w:p w14:paraId="39C6F2DE" w14:textId="77777777" w:rsidR="00DE64BC" w:rsidRPr="00256982" w:rsidRDefault="00DE64BC" w:rsidP="0036046B">
      <w:pPr>
        <w:pStyle w:val="Bullet"/>
        <w:numPr>
          <w:ilvl w:val="0"/>
          <w:numId w:val="8"/>
        </w:numPr>
      </w:pPr>
      <w:r w:rsidRPr="00256982">
        <w:t xml:space="preserve">fuel type </w:t>
      </w:r>
    </w:p>
    <w:p w14:paraId="205FFCCD" w14:textId="77777777" w:rsidR="00DE64BC" w:rsidRPr="00256982" w:rsidRDefault="00DE64BC" w:rsidP="0036046B">
      <w:pPr>
        <w:pStyle w:val="Bullet"/>
        <w:numPr>
          <w:ilvl w:val="0"/>
          <w:numId w:val="8"/>
        </w:numPr>
      </w:pPr>
      <w:r w:rsidRPr="00256982">
        <w:t xml:space="preserve">vehicle weight class </w:t>
      </w:r>
    </w:p>
    <w:p w14:paraId="1D720942" w14:textId="77777777" w:rsidR="00DE64BC" w:rsidRPr="00256982" w:rsidRDefault="00DE64BC" w:rsidP="0036046B">
      <w:pPr>
        <w:pStyle w:val="Bullet"/>
        <w:numPr>
          <w:ilvl w:val="0"/>
          <w:numId w:val="8"/>
        </w:numPr>
      </w:pPr>
      <w:r w:rsidRPr="00256982">
        <w:t>year of manufacture.</w:t>
      </w:r>
    </w:p>
    <w:p w14:paraId="3AD9F913" w14:textId="77777777" w:rsidR="00DE64BC" w:rsidRPr="00256982" w:rsidRDefault="00DE64BC" w:rsidP="00A808C7">
      <w:pPr>
        <w:pStyle w:val="BodyText"/>
      </w:pPr>
      <w:r w:rsidRPr="00256982">
        <w:t xml:space="preserve">Due to the presence of expensive catalysts, many used vehicles imported into New Zealand had their catalytic converters removed before being exported from Japan. The Ministry of Transport undertook several testing studies to determine the proportion of catalytic converters that are removed in Japan before export. </w:t>
      </w:r>
    </w:p>
    <w:p w14:paraId="57352E69" w14:textId="77777777" w:rsidR="00DE64BC" w:rsidRPr="00256982" w:rsidRDefault="00DE64BC" w:rsidP="00A808C7">
      <w:pPr>
        <w:pStyle w:val="BodyText"/>
      </w:pPr>
      <w:r w:rsidRPr="00256982">
        <w:t>Information on non-CO</w:t>
      </w:r>
      <w:r w:rsidRPr="00256982">
        <w:rPr>
          <w:vertAlign w:val="subscript"/>
        </w:rPr>
        <w:t>2</w:t>
      </w:r>
      <w:r w:rsidRPr="00256982">
        <w:t xml:space="preserve"> emission factors can be found in annex 4, table A4.7.</w:t>
      </w:r>
    </w:p>
    <w:p w14:paraId="2E424A30" w14:textId="77777777" w:rsidR="00DE64BC" w:rsidRPr="00256982" w:rsidRDefault="00DE64BC" w:rsidP="00A808C7">
      <w:pPr>
        <w:pStyle w:val="BodyText"/>
      </w:pPr>
      <w:r w:rsidRPr="00256982">
        <w:t xml:space="preserve">Vehicle-kilometres-travelled were sourced from national six-monthly warrant of fitness inspections. These were further split into travel type (urban, rural, highway, motorway) using New Zealand’s Road Assessment and Maintenance Management system. </w:t>
      </w:r>
    </w:p>
    <w:p w14:paraId="4024D753" w14:textId="77777777" w:rsidR="00DE64BC" w:rsidRPr="00256982" w:rsidRDefault="00DE64BC" w:rsidP="00A808C7">
      <w:pPr>
        <w:pStyle w:val="BodyText"/>
      </w:pPr>
      <w:r w:rsidRPr="00256982">
        <w:t xml:space="preserve">The </w:t>
      </w:r>
      <w:r w:rsidRPr="00256982">
        <w:rPr>
          <w:i/>
        </w:rPr>
        <w:t>New Zealand Travel Survey</w:t>
      </w:r>
      <w:r w:rsidRPr="00256982">
        <w:t xml:space="preserve"> (Ministry of Transport, 2010) is used to further split the ‘urban’ travel type into cold and hot starts. This survey provides detailed trip-by-trip information on travel type. These data were used to establish the percentage of light-vehicle urban travel that was cold and hot starts.</w:t>
      </w:r>
    </w:p>
    <w:p w14:paraId="6065545B" w14:textId="77777777" w:rsidR="00DE64BC" w:rsidRPr="00256982" w:rsidRDefault="00DE64BC" w:rsidP="00A808C7">
      <w:pPr>
        <w:pStyle w:val="BodyText"/>
      </w:pPr>
      <w:r w:rsidRPr="00256982">
        <w:rPr>
          <w:lang w:eastAsia="en-GB"/>
        </w:rPr>
        <w:t xml:space="preserve">MBIE </w:t>
      </w:r>
      <w:r w:rsidRPr="00256982">
        <w:t>and the Ministry for the Environment met with the Australian inventory reporting team in July 2011 to conduct a review of proposed methodologies for calculating emissions of CH</w:t>
      </w:r>
      <w:r w:rsidRPr="00256982">
        <w:rPr>
          <w:vertAlign w:val="subscript"/>
        </w:rPr>
        <w:t>4</w:t>
      </w:r>
      <w:r w:rsidRPr="00256982">
        <w:t xml:space="preserve"> and N</w:t>
      </w:r>
      <w:r w:rsidRPr="00256982">
        <w:rPr>
          <w:vertAlign w:val="subscript"/>
        </w:rPr>
        <w:t>2</w:t>
      </w:r>
      <w:r w:rsidRPr="00256982">
        <w:t xml:space="preserve">O associated with road transport. New Zealand’s Tier 3 approach for road transport was presented, resulting in a recommendation from the Australian team that the new methodology be adopted for the 2012 submission, and that New Zealand attempt to use the IPCC-recommended approach to selecting splicing techniques to choose an appropriate splicing method. In this, New Zealand applied splicing techniques following the 2006 IPCC Guidelines on the method selection approach. </w:t>
      </w:r>
    </w:p>
    <w:p w14:paraId="2A6212A8" w14:textId="77777777" w:rsidR="00DE64BC" w:rsidRPr="00256982" w:rsidRDefault="00DE64BC" w:rsidP="00336A51">
      <w:pPr>
        <w:pStyle w:val="Heading6"/>
      </w:pPr>
      <w:r w:rsidRPr="00256982">
        <w:t>Time-series consistency</w:t>
      </w:r>
    </w:p>
    <w:p w14:paraId="0F728A94" w14:textId="77777777" w:rsidR="00DE64BC" w:rsidRPr="00256982" w:rsidRDefault="00DE64BC" w:rsidP="00A808C7">
      <w:pPr>
        <w:pStyle w:val="BodyText"/>
        <w:spacing w:before="100" w:after="100"/>
        <w:rPr>
          <w:lang w:eastAsia="en-GB"/>
        </w:rPr>
      </w:pPr>
      <w:bookmarkStart w:id="357" w:name="_Toc321399334"/>
      <w:r w:rsidRPr="00256982">
        <w:rPr>
          <w:lang w:eastAsia="en-GB"/>
        </w:rPr>
        <w:t xml:space="preserve">The data available for applying the Tier 3 methodology between 1990 and 2000 were insufficient, so combining the methods to form a complete time series (splicing) was necessary. To establish the most appropriate splicing method, emissions were calculated using the Tier 1 methodology for the period 2001–16. These emissions were compared against those calculated </w:t>
      </w:r>
      <w:r w:rsidRPr="00256982">
        <w:rPr>
          <w:lang w:eastAsia="en-GB"/>
        </w:rPr>
        <w:lastRenderedPageBreak/>
        <w:t>using the Tier 3 methodology, to determine the relationship between the two series (see </w:t>
      </w:r>
      <w:r w:rsidRPr="00256982">
        <w:t>figure 3.3.11</w:t>
      </w:r>
      <w:r w:rsidRPr="00256982">
        <w:rPr>
          <w:lang w:eastAsia="en-GB"/>
        </w:rPr>
        <w:t xml:space="preserve">). The guidance for the method selection process is provided in table 5.1 (volume 2) of the 2006 IPCC Guidelines. </w:t>
      </w:r>
    </w:p>
    <w:p w14:paraId="383B178C" w14:textId="77777777" w:rsidR="00DE64BC" w:rsidRPr="00256982" w:rsidRDefault="00DE64BC" w:rsidP="00A808C7">
      <w:pPr>
        <w:pStyle w:val="Figure"/>
        <w:spacing w:before="100" w:after="100"/>
      </w:pPr>
      <w:bookmarkStart w:id="358" w:name="_Ref442370701"/>
      <w:bookmarkStart w:id="359" w:name="_Toc384582863"/>
      <w:bookmarkStart w:id="360" w:name="_Toc443060823"/>
      <w:bookmarkStart w:id="361" w:name="_Toc447275680"/>
      <w:bookmarkStart w:id="362" w:name="_Toc481751998"/>
      <w:bookmarkStart w:id="363" w:name="_Toc5269677"/>
      <w:r w:rsidRPr="00256982">
        <w:t>Figure 3.3.</w:t>
      </w:r>
      <w:r w:rsidR="00304077">
        <w:rPr>
          <w:noProof/>
        </w:rPr>
        <w:fldChar w:fldCharType="begin"/>
      </w:r>
      <w:r w:rsidR="00304077">
        <w:rPr>
          <w:noProof/>
        </w:rPr>
        <w:instrText xml:space="preserve"> SEQ Figure \* ARABIC \s 2 </w:instrText>
      </w:r>
      <w:r w:rsidR="00304077">
        <w:rPr>
          <w:noProof/>
        </w:rPr>
        <w:fldChar w:fldCharType="separate"/>
      </w:r>
      <w:r w:rsidR="00D0418C">
        <w:rPr>
          <w:noProof/>
        </w:rPr>
        <w:t>11</w:t>
      </w:r>
      <w:r w:rsidR="00304077">
        <w:rPr>
          <w:noProof/>
        </w:rPr>
        <w:fldChar w:fldCharType="end"/>
      </w:r>
      <w:bookmarkEnd w:id="358"/>
      <w:r w:rsidRPr="00256982">
        <w:rPr>
          <w:lang w:eastAsia="en-GB"/>
        </w:rPr>
        <w:t xml:space="preserve"> </w:t>
      </w:r>
      <w:r w:rsidRPr="00256982">
        <w:rPr>
          <w:lang w:eastAsia="en-GB"/>
        </w:rPr>
        <w:tab/>
        <w:t>Splicing method decision tree for gasoline emissions</w:t>
      </w:r>
      <w:bookmarkEnd w:id="357"/>
      <w:bookmarkEnd w:id="359"/>
      <w:bookmarkEnd w:id="360"/>
      <w:bookmarkEnd w:id="361"/>
      <w:bookmarkEnd w:id="362"/>
      <w:bookmarkEnd w:id="363"/>
    </w:p>
    <w:p w14:paraId="4E033026" w14:textId="77777777" w:rsidR="00DE64BC" w:rsidRPr="00256982" w:rsidRDefault="00DE64BC" w:rsidP="00A808C7">
      <w:pPr>
        <w:pStyle w:val="BodyText"/>
        <w:spacing w:before="0" w:after="240"/>
        <w:jc w:val="center"/>
        <w:rPr>
          <w:lang w:eastAsia="en-NZ"/>
        </w:rPr>
      </w:pPr>
      <w:r w:rsidRPr="00256982">
        <w:object w:dxaOrig="18690" w:dyaOrig="15625" w14:anchorId="1E446A39">
          <v:shape id="_x0000_i1060" type="#_x0000_t75" style="width:381pt;height:367.5pt" o:ole="">
            <v:imagedata r:id="rId64" o:title=""/>
          </v:shape>
          <o:OLEObject Type="Embed" ProgID="Visio.Drawing.11" ShapeID="_x0000_i1060" DrawAspect="Content" ObjectID="_1616241188" r:id="rId65"/>
        </w:object>
      </w:r>
    </w:p>
    <w:p w14:paraId="6B5AF6EC" w14:textId="77777777" w:rsidR="00DE64BC" w:rsidRPr="00256982" w:rsidRDefault="00DE64BC" w:rsidP="00A808C7">
      <w:pPr>
        <w:pStyle w:val="BodyText"/>
        <w:spacing w:before="240"/>
      </w:pPr>
      <w:r w:rsidRPr="00256982">
        <w:rPr>
          <w:lang w:eastAsia="en-GB"/>
        </w:rPr>
        <w:t>For all fuels, interpolation was considered inappropriate due to the size of the block of unavailable data and the lack of data from before the missing bloc</w:t>
      </w:r>
      <w:r w:rsidRPr="00256982">
        <w:t xml:space="preserve">k (1990–2000). </w:t>
      </w:r>
    </w:p>
    <w:p w14:paraId="1BBFA2C3" w14:textId="77777777" w:rsidR="00DE64BC" w:rsidRPr="00256982" w:rsidRDefault="00DE64BC" w:rsidP="00A808C7">
      <w:pPr>
        <w:pStyle w:val="BodyText"/>
        <w:spacing w:before="100" w:after="60"/>
      </w:pPr>
      <w:r w:rsidRPr="00256982">
        <w:t>For emission estimates from liquefied petroleu</w:t>
      </w:r>
      <w:r w:rsidRPr="00256982">
        <w:rPr>
          <w:lang w:eastAsia="en-GB"/>
        </w:rPr>
        <w:t xml:space="preserve">m gas (LPG), the relationship between Tier 1 and Tier 3 appears nearly constant for both </w:t>
      </w:r>
      <w:r w:rsidRPr="00256982">
        <w:t>N</w:t>
      </w:r>
      <w:r w:rsidRPr="00256982">
        <w:rPr>
          <w:vertAlign w:val="subscript"/>
        </w:rPr>
        <w:t>2</w:t>
      </w:r>
      <w:r w:rsidRPr="00256982">
        <w:t>O</w:t>
      </w:r>
      <w:r w:rsidRPr="00256982">
        <w:rPr>
          <w:lang w:eastAsia="en-GB"/>
        </w:rPr>
        <w:t xml:space="preserve"> and </w:t>
      </w:r>
      <w:r w:rsidRPr="00256982">
        <w:t>CH</w:t>
      </w:r>
      <w:r w:rsidRPr="00256982">
        <w:rPr>
          <w:vertAlign w:val="subscript"/>
        </w:rPr>
        <w:t>4</w:t>
      </w:r>
      <w:r w:rsidRPr="00256982">
        <w:rPr>
          <w:lang w:eastAsia="en-GB"/>
        </w:rPr>
        <w:t xml:space="preserve"> from 2001 until 2002. As a result, the overlap method was used (IPCC, 2006), with:</w:t>
      </w:r>
    </w:p>
    <w:p w14:paraId="21D3E364" w14:textId="77777777" w:rsidR="00DE64BC" w:rsidRPr="00256982" w:rsidRDefault="00590491" w:rsidP="00A808C7">
      <w:pPr>
        <w:pStyle w:val="BodyText"/>
        <w:spacing w:before="0"/>
        <w:jc w:val="center"/>
        <w:rPr>
          <w:rFonts w:cs="Arial"/>
          <w:lang w:eastAsia="en-GB"/>
        </w:rPr>
      </w:pPr>
      <w:r>
        <w:pict w14:anchorId="41ABDA42">
          <v:shape id="_x0000_i1061" type="#_x0000_t75" style="width:108pt;height:36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5&lt;/o:Version&gt;&lt;/o:DocumentProperties&gt;&lt;w:docPr&gt;&lt;w:view w:val=&quot;print&quot;/&gt;&lt;w:zoom w:percent=&quot;110&quot;/&gt;&lt;w:doNotEmbedSystemFonts/&gt;&lt;w:activeWritingStyle w:lang=&quot;EN-NZ&quot; w:vendorID=&quot;64&quot; w:dllVersion=&quot;131078&quot; w:nlCheck=&quot;on&quot; w:optionSet=&quot;1&quot;/&gt;&lt;w:stylePaneFormatFilter w:val=&quot;5804&quot;/&gt;&lt;w:defaultTabStop w:val=&quot;720&quot;/&gt;&lt;w:evenAndOddHeaders/&gt;&lt;w:drawingGridHorizontalSpacing w:val=&quot;187&quot;/&gt;&lt;w:displayVerticalDrawingGridEvery w:val=&quot;2&quot;/&gt;&lt;w:characterSpacingControl w:val=&quot;DontCompress&quot;/&gt;&lt;w:optimizeForBrowser/&gt;&lt;w:validateAgainstSchema/&gt;&lt;w:saveInvalidXML w:val=&quot;off&quot;/&gt;&lt;w:ignoreMixedContent w:val=&quot;off&quot;/&gt;&lt;w:alwaysShowPlaceholderText w:val=&quot;off&quot;/&gt;&lt;w:compat&gt;&lt;w:suppressBottomSpacing/&gt;&lt;w:suppressTopSpacing/&gt;&lt;w:doNotUseHTMLParagraphAutoSpacing/&gt;&lt;w:breakWrappedTables/&gt;&lt;w:snapToGridInCell/&gt;&lt;w:wrapTextWithPunct/&gt;&lt;w:useAsianBreakRules/&gt;&lt;w:useWord2002TableStyleRules/&gt;&lt;/w:compat&gt;&lt;wsp:rsids&gt;&lt;wsp:rsidRoot wsp:val=&quot;005D65CD&quot;/&gt;&lt;wsp:rsid wsp:val=&quot;00001716&quot;/&gt;&lt;wsp:rsid wsp:val=&quot;00007ABB&quot;/&gt;&lt;wsp:rsid wsp:val=&quot;00021ACF&quot;/&gt;&lt;wsp:rsid wsp:val=&quot;00027E55&quot;/&gt;&lt;wsp:rsid wsp:val=&quot;00032A28&quot;/&gt;&lt;wsp:rsid wsp:val=&quot;00035185&quot;/&gt;&lt;wsp:rsid wsp:val=&quot;00050008&quot;/&gt;&lt;wsp:rsid wsp:val=&quot;00063242&quot;/&gt;&lt;wsp:rsid wsp:val=&quot;0006464B&quot;/&gt;&lt;wsp:rsid wsp:val=&quot;00096E4B&quot;/&gt;&lt;wsp:rsid wsp:val=&quot;000C20A6&quot;/&gt;&lt;wsp:rsid wsp:val=&quot;000F4B13&quot;/&gt;&lt;wsp:rsid wsp:val=&quot;000F4DEF&quot;/&gt;&lt;wsp:rsid wsp:val=&quot;00105304&quot;/&gt;&lt;wsp:rsid wsp:val=&quot;00116E1B&quot;/&gt;&lt;wsp:rsid wsp:val=&quot;001221C3&quot;/&gt;&lt;wsp:rsid wsp:val=&quot;001367CC&quot;/&gt;&lt;wsp:rsid wsp:val=&quot;00136D68&quot;/&gt;&lt;wsp:rsid wsp:val=&quot;00153F5A&quot;/&gt;&lt;wsp:rsid wsp:val=&quot;00180951&quot;/&gt;&lt;wsp:rsid wsp:val=&quot;001970E1&quot;/&gt;&lt;wsp:rsid wsp:val=&quot;001A1997&quot;/&gt;&lt;wsp:rsid wsp:val=&quot;001B6FD2&quot;/&gt;&lt;wsp:rsid wsp:val=&quot;001D6FDD&quot;/&gt;&lt;wsp:rsid wsp:val=&quot;001F3A64&quot;/&gt;&lt;wsp:rsid wsp:val=&quot;00207ABF&quot;/&gt;&lt;wsp:rsid wsp:val=&quot;00215A8D&quot;/&gt;&lt;wsp:rsid wsp:val=&quot;00240B42&quot;/&gt;&lt;wsp:rsid wsp:val=&quot;00260B48&quot;/&gt;&lt;wsp:rsid wsp:val=&quot;0028581A&quot;/&gt;&lt;wsp:rsid wsp:val=&quot;002868D3&quot;/&gt;&lt;wsp:rsid wsp:val=&quot;00295B2A&quot;/&gt;&lt;wsp:rsid wsp:val=&quot;002A1361&quot;/&gt;&lt;wsp:rsid wsp:val=&quot;002A49D7&quot;/&gt;&lt;wsp:rsid wsp:val=&quot;002B1C5A&quot;/&gt;&lt;wsp:rsid wsp:val=&quot;002B3284&quot;/&gt;&lt;wsp:rsid wsp:val=&quot;002C5BAB&quot;/&gt;&lt;wsp:rsid wsp:val=&quot;002D183B&quot;/&gt;&lt;wsp:rsid wsp:val=&quot;002D60DB&quot;/&gt;&lt;wsp:rsid wsp:val=&quot;002D6A54&quot;/&gt;&lt;wsp:rsid wsp:val=&quot;002F134A&quot;/&gt;&lt;wsp:rsid wsp:val=&quot;002F4B7A&quot;/&gt;&lt;wsp:rsid wsp:val=&quot;00302D84&quot;/&gt;&lt;wsp:rsid wsp:val=&quot;0031460F&quot;/&gt;&lt;wsp:rsid wsp:val=&quot;00315760&quot;/&gt;&lt;wsp:rsid wsp:val=&quot;0037590E&quot;/&gt;&lt;wsp:rsid wsp:val=&quot;00377186&quot;/&gt;&lt;wsp:rsid wsp:val=&quot;00383207&quot;/&gt;&lt;wsp:rsid wsp:val=&quot;00385FAA&quot;/&gt;&lt;wsp:rsid wsp:val=&quot;003972EF&quot;/&gt;&lt;wsp:rsid wsp:val=&quot;0039735B&quot;/&gt;&lt;wsp:rsid wsp:val=&quot;00397D2B&quot;/&gt;&lt;wsp:rsid wsp:val=&quot;003A5006&quot;/&gt;&lt;wsp:rsid wsp:val=&quot;003A6412&quot;/&gt;&lt;wsp:rsid wsp:val=&quot;003B0E3E&quot;/&gt;&lt;wsp:rsid wsp:val=&quot;003B290B&quot;/&gt;&lt;wsp:rsid wsp:val=&quot;003C2615&quot;/&gt;&lt;wsp:rsid wsp:val=&quot;003D0318&quot;/&gt;&lt;wsp:rsid wsp:val=&quot;003D5417&quot;/&gt;&lt;wsp:rsid wsp:val=&quot;00400F92&quot;/&gt;&lt;wsp:rsid wsp:val=&quot;0042424B&quot;/&gt;&lt;wsp:rsid wsp:val=&quot;00430D5D&quot;/&gt;&lt;wsp:rsid wsp:val=&quot;00432417&quot;/&gt;&lt;wsp:rsid wsp:val=&quot;0045652C&quot;/&gt;&lt;wsp:rsid wsp:val=&quot;00457A36&quot;/&gt;&lt;wsp:rsid wsp:val=&quot;00462497&quot;/&gt;&lt;wsp:rsid wsp:val=&quot;00477106&quot;/&gt;&lt;wsp:rsid wsp:val=&quot;0048003F&quot;/&gt;&lt;wsp:rsid wsp:val=&quot;004805A3&quot;/&gt;&lt;wsp:rsid wsp:val=&quot;004837BC&quot;/&gt;&lt;wsp:rsid wsp:val=&quot;00490EB0&quot;/&gt;&lt;wsp:rsid wsp:val=&quot;004A618E&quot;/&gt;&lt;wsp:rsid wsp:val=&quot;004B0E61&quot;/&gt;&lt;wsp:rsid wsp:val=&quot;004E4B2C&quot;/&gt;&lt;wsp:rsid wsp:val=&quot;004F1572&quot;/&gt;&lt;wsp:rsid wsp:val=&quot;00502321&quot;/&gt;&lt;wsp:rsid wsp:val=&quot;00526270&quot;/&gt;&lt;wsp:rsid wsp:val=&quot;00534210&quot;/&gt;&lt;wsp:rsid wsp:val=&quot;00546A6A&quot;/&gt;&lt;wsp:rsid wsp:val=&quot;005630B0&quot;/&gt;&lt;wsp:rsid wsp:val=&quot;005660CD&quot;/&gt;&lt;wsp:rsid wsp:val=&quot;005720F2&quot;/&gt;&lt;wsp:rsid wsp:val=&quot;00596603&quot;/&gt;&lt;wsp:rsid wsp:val=&quot;005A4C13&quot;/&gt;&lt;wsp:rsid wsp:val=&quot;005B08A8&quot;/&gt;&lt;wsp:rsid wsp:val=&quot;005B76A4&quot;/&gt;&lt;wsp:rsid wsp:val=&quot;005C3384&quot;/&gt;&lt;wsp:rsid wsp:val=&quot;005C416E&quot;/&gt;&lt;wsp:rsid wsp:val=&quot;005C43C1&quot;/&gt;&lt;wsp:rsid wsp:val=&quot;005D1C3A&quot;/&gt;&lt;wsp:rsid wsp:val=&quot;005D65CD&quot;/&gt;&lt;wsp:rsid wsp:val=&quot;005E43DD&quot;/&gt;&lt;wsp:rsid wsp:val=&quot;005E4516&quot;/&gt;&lt;wsp:rsid wsp:val=&quot;00600179&quot;/&gt;&lt;wsp:rsid wsp:val=&quot;00603FC0&quot;/&gt;&lt;wsp:rsid wsp:val=&quot;00636BF0&quot;/&gt;&lt;wsp:rsid wsp:val=&quot;00646B6D&quot;/&gt;&lt;wsp:rsid wsp:val=&quot;00655908&quot;/&gt;&lt;wsp:rsid wsp:val=&quot;006654F8&quot;/&gt;&lt;wsp:rsid wsp:val=&quot;00665768&quot;/&gt;&lt;wsp:rsid wsp:val=&quot;00667291&quot;/&gt;&lt;wsp:rsid wsp:val=&quot;00686249&quot;/&gt;&lt;wsp:rsid wsp:val=&quot;00687504&quot;/&gt;&lt;wsp:rsid wsp:val=&quot;006A171F&quot;/&gt;&lt;wsp:rsid wsp:val=&quot;006A4E5F&quot;/&gt;&lt;wsp:rsid wsp:val=&quot;006C40EC&quot;/&gt;&lt;wsp:rsid wsp:val=&quot;006C5037&quot;/&gt;&lt;wsp:rsid wsp:val=&quot;006D4600&quot;/&gt;&lt;wsp:rsid wsp:val=&quot;006E0A2C&quot;/&gt;&lt;wsp:rsid wsp:val=&quot;006E202B&quot;/&gt;&lt;wsp:rsid wsp:val=&quot;006E57B5&quot;/&gt;&lt;wsp:rsid wsp:val=&quot;00702FA0&quot;/&gt;&lt;wsp:rsid wsp:val=&quot;00715782&quot;/&gt;&lt;wsp:rsid wsp:val=&quot;00724218&quot;/&gt;&lt;wsp:rsid wsp:val=&quot;00737E65&quot;/&gt;&lt;wsp:rsid wsp:val=&quot;0074030A&quot;/&gt;&lt;wsp:rsid wsp:val=&quot;00752B70&quot;/&gt;&lt;wsp:rsid wsp:val=&quot;00762043&quot;/&gt;&lt;wsp:rsid wsp:val=&quot;007633C2&quot;/&gt;&lt;wsp:rsid wsp:val=&quot;00765A47&quot;/&gt;&lt;wsp:rsid wsp:val=&quot;00770E82&quot;/&gt;&lt;wsp:rsid wsp:val=&quot;00772E94&quot;/&gt;&lt;wsp:rsid wsp:val=&quot;007B028B&quot;/&gt;&lt;wsp:rsid wsp:val=&quot;007B1D71&quot;/&gt;&lt;wsp:rsid wsp:val=&quot;007C00D0&quot;/&gt;&lt;wsp:rsid wsp:val=&quot;007C2186&quot;/&gt;&lt;wsp:rsid wsp:val=&quot;007F2233&quot;/&gt;&lt;wsp:rsid wsp:val=&quot;0080694B&quot;/&gt;&lt;wsp:rsid wsp:val=&quot;0081779C&quot;/&gt;&lt;wsp:rsid wsp:val=&quot;00831D0D&quot;/&gt;&lt;wsp:rsid wsp:val=&quot;00832DEE&quot;/&gt;&lt;wsp:rsid wsp:val=&quot;0084330D&quot;/&gt;&lt;wsp:rsid wsp:val=&quot;00855A8A&quot;/&gt;&lt;wsp:rsid wsp:val=&quot;008A2EC5&quot;/&gt;&lt;wsp:rsid wsp:val=&quot;008A7E6B&quot;/&gt;&lt;wsp:rsid wsp:val=&quot;008B77F5&quot;/&gt;&lt;wsp:rsid wsp:val=&quot;008C0279&quot;/&gt;&lt;wsp:rsid wsp:val=&quot;008C4A63&quot;/&gt;&lt;wsp:rsid wsp:val=&quot;008C68EE&quot;/&gt;&lt;wsp:rsid wsp:val=&quot;008C7F68&quot;/&gt;&lt;wsp:rsid wsp:val=&quot;008E380C&quot;/&gt;&lt;wsp:rsid wsp:val=&quot;008F25D2&quot;/&gt;&lt;wsp:rsid wsp:val=&quot;008F50EC&quot;/&gt;&lt;wsp:rsid wsp:val=&quot;00914CC6&quot;/&gt;&lt;wsp:rsid wsp:val=&quot;00926D02&quot;/&gt;&lt;wsp:rsid wsp:val=&quot;0092751F&quot;/&gt;&lt;wsp:rsid wsp:val=&quot;00932067&quot;/&gt;&lt;wsp:rsid wsp:val=&quot;0093594A&quot;/&gt;&lt;wsp:rsid wsp:val=&quot;00955D73&quot;/&gt;&lt;wsp:rsid wsp:val=&quot;0096512C&quot;/&gt;&lt;wsp:rsid wsp:val=&quot;0096540A&quot;/&gt;&lt;wsp:rsid wsp:val=&quot;009975FC&quot;/&gt;&lt;wsp:rsid wsp:val=&quot;009C3D9F&quot;/&gt;&lt;wsp:rsid wsp:val=&quot;009C5D2A&quot;/&gt;&lt;wsp:rsid wsp:val=&quot;009F2774&quot;/&gt;&lt;wsp:rsid wsp:val=&quot;00A331E7&quot;/&gt;&lt;wsp:rsid wsp:val=&quot;00A41C3C&quot;/&gt;&lt;wsp:rsid wsp:val=&quot;00A51519&quot;/&gt;&lt;wsp:rsid wsp:val=&quot;00A530B7&quot;/&gt;&lt;wsp:rsid wsp:val=&quot;00A72195&quot;/&gt;&lt;wsp:rsid wsp:val=&quot;00A9767D&quot;/&gt;&lt;wsp:rsid wsp:val=&quot;00AB2710&quot;/&gt;&lt;wsp:rsid wsp:val=&quot;00AD184B&quot;/&gt;&lt;wsp:rsid wsp:val=&quot;00AD4D63&quot;/&gt;&lt;wsp:rsid wsp:val=&quot;00AE7FE2&quot;/&gt;&lt;wsp:rsid wsp:val=&quot;00B0566D&quot;/&gt;&lt;wsp:rsid wsp:val=&quot;00B35BD9&quot;/&gt;&lt;wsp:rsid wsp:val=&quot;00B37DE8&quot;/&gt;&lt;wsp:rsid wsp:val=&quot;00B44BA5&quot;/&gt;&lt;wsp:rsid wsp:val=&quot;00B676C4&quot;/&gt;&lt;wsp:rsid wsp:val=&quot;00BA5F7E&quot;/&gt;&lt;wsp:rsid wsp:val=&quot;00BC7E76&quot;/&gt;&lt;wsp:rsid wsp:val=&quot;00BD06BD&quot;/&gt;&lt;wsp:rsid wsp:val=&quot;00BF12F6&quot;/&gt;&lt;wsp:rsid wsp:val=&quot;00BF4AD0&quot;/&gt;&lt;wsp:rsid wsp:val=&quot;00C00765&quot;/&gt;&lt;wsp:rsid wsp:val=&quot;00C10464&quot;/&gt;&lt;wsp:rsid wsp:val=&quot;00C119C2&quot;/&gt;&lt;wsp:rsid wsp:val=&quot;00C17E2E&quot;/&gt;&lt;wsp:rsid wsp:val=&quot;00C21B54&quot;/&gt;&lt;wsp:rsid wsp:val=&quot;00C40967&quot;/&gt;&lt;wsp:rsid wsp:val=&quot;00C600E2&quot;/&gt;&lt;wsp:rsid wsp:val=&quot;00C63D43&quot;/&gt;&lt;wsp:rsid wsp:val=&quot;00C713BC&quot;/&gt;&lt;wsp:rsid wsp:val=&quot;00C74134&quot;/&gt;&lt;wsp:rsid wsp:val=&quot;00C823B1&quot;/&gt;&lt;wsp:rsid wsp:val=&quot;00CA271E&quot;/&gt;&lt;wsp:rsid wsp:val=&quot;00CB1488&quot;/&gt;&lt;wsp:rsid wsp:val=&quot;00CB7414&quot;/&gt;&lt;wsp:rsid wsp:val=&quot;00D01CFE&quot;/&gt;&lt;wsp:rsid wsp:val=&quot;00D07C4B&quot;/&gt;&lt;wsp:rsid wsp:val=&quot;00D11EB1&quot;/&gt;&lt;wsp:rsid wsp:val=&quot;00D225D8&quot;/&gt;&lt;wsp:rsid wsp:val=&quot;00D33A2E&quot;/&gt;&lt;wsp:rsid wsp:val=&quot;00D511A1&quot;/&gt;&lt;wsp:rsid wsp:val=&quot;00D67702&quot;/&gt;&lt;wsp:rsid wsp:val=&quot;00D82BA4&quot;/&gt;&lt;wsp:rsid wsp:val=&quot;00D872BF&quot;/&gt;&lt;wsp:rsid wsp:val=&quot;00DD3092&quot;/&gt;&lt;wsp:rsid wsp:val=&quot;00DE01F6&quot;/&gt;&lt;wsp:rsid wsp:val=&quot;00DE2998&quot;/&gt;&lt;wsp:rsid wsp:val=&quot;00DE4223&quot;/&gt;&lt;wsp:rsid wsp:val=&quot;00DE6B60&quot;/&gt;&lt;wsp:rsid wsp:val=&quot;00E06D10&quot;/&gt;&lt;wsp:rsid wsp:val=&quot;00E20458&quot;/&gt;&lt;wsp:rsid wsp:val=&quot;00E20CA5&quot;/&gt;&lt;wsp:rsid wsp:val=&quot;00E22581&quot;/&gt;&lt;wsp:rsid wsp:val=&quot;00E518D8&quot;/&gt;&lt;wsp:rsid wsp:val=&quot;00E56487&quot;/&gt;&lt;wsp:rsid wsp:val=&quot;00E853F3&quot;/&gt;&lt;wsp:rsid wsp:val=&quot;00EC2491&quot;/&gt;&lt;wsp:rsid wsp:val=&quot;00ED2C42&quot;/&gt;&lt;wsp:rsid wsp:val=&quot;00EF019E&quot;/&gt;&lt;wsp:rsid wsp:val=&quot;00EF3B2B&quot;/&gt;&lt;wsp:rsid wsp:val=&quot;00F00EE9&quot;/&gt;&lt;wsp:rsid wsp:val=&quot;00F15A37&quot;/&gt;&lt;wsp:rsid wsp:val=&quot;00F379DD&quot;/&gt;&lt;wsp:rsid wsp:val=&quot;00F44419&quot;/&gt;&lt;wsp:rsid wsp:val=&quot;00F47244&quot;/&gt;&lt;wsp:rsid wsp:val=&quot;00F56325&quot;/&gt;&lt;wsp:rsid wsp:val=&quot;00F84A92&quot;/&gt;&lt;wsp:rsid wsp:val=&quot;00F92B57&quot;/&gt;&lt;wsp:rsid wsp:val=&quot;00FA4DEF&quot;/&gt;&lt;wsp:rsid wsp:val=&quot;00FA5F45&quot;/&gt;&lt;wsp:rsid wsp:val=&quot;00FA7522&quot;/&gt;&lt;wsp:rsid wsp:val=&quot;00FC2C59&quot;/&gt;&lt;wsp:rsid wsp:val=&quot;00FD178C&quot;/&gt;&lt;wsp:rsid wsp:val=&quot;00FE1BB8&quot;/&gt;&lt;/wsp:rsids&gt;&lt;/w:docPr&gt;&lt;w:body&gt;&lt;wx:sect&gt;&lt;w:p wsp:rsidR=&quot;00000000&quot; wsp:rsidRPr=&quot;006C40EC&quot; wsp:rsidRDefault=&quot;006C40EC&quot; wsp:rsidP=&quot;006C40EC&quot;&gt;&lt;m:oMathPara&gt;&lt;m:oMath&gt;&lt;m:sSub&gt;&lt;m:sSubPr&gt;&lt;m:ctrlPr&gt;&lt;w:rPr&gt;&lt;w:rFonts w:ascii=&quot;Cambria Math&quot; w:h-ansi=&quot;Cambria Math&quot; w:cs=&quot;Arial&quot;/&gt;&lt;wx:font wx:val=&quot;Cambria Math&quot;/&gt;&lt;w:i/&gt;&lt;w:i-cs/&gt;&lt;w:lang w:fareast=&quot;EN-GB&quot;/&gt;&lt;/w:rPr&gt;&lt;/m:ctrlPr&gt;&lt;/m:sSubPr&gt;&lt;m:e&gt;&lt;m:r&gt;&lt;w:rPr&gt;&lt;w:rFonts w:ascii=&quot;Cambria Math&quot; w:h-ansi=&quot;Cambria Math&quot; w:cs=&quot;Arial&quot;/&gt;&lt;wx:font wx:val=&quot;Cambria Math&quot;/&gt;&lt;w:i/&gt;&lt;w:lang w:fareast=&quot;EN-GB&quot;/&gt;&lt;/w:rPr&gt;&lt;m:t&gt;y&lt;/m:t&gt;&lt;/m:r&gt;&lt;/m:e&gt;&lt;m:sub&gt;&lt;m:r&gt;&lt;w:rPr&gt;&lt;w:rFonts w:ascii=&quot;Cambria Math&quot; w:h-ansi=&quot;Cambria Math&quot; w:cs=&quot;Arial&quot;/&gt;&lt;wx:font wx:val=&quot;Cambria Math&quot;/&gt;&lt;w:i/&gt;&lt;w:lang w:fareast=&quot;EN-GB&quot;/&gt;&lt;/w:rPr&gt;&lt;m:t&gt;t&lt;/m:t&gt;&lt;/m:r&gt;&lt;/m:sub&gt;&lt;/m:sSub&gt;&lt;m:r&gt;&lt;w:rPr&gt;&lt;w:rFonts w:ascii=&quot;Cambria Math&quot; w:h-ansi=&quot;Cambria Math&quot; w:cs=&quot;Arial&quot;/&gt;&lt;wx:font wx:val=&quot;Cambria Math&quot;/&gt;&lt;w:i/&gt;&lt;w:lang w:fareast=&quot;EN-GB&quot;/&gt;&lt;/w:rPr&gt;&lt;m:t&gt;=&lt;/m:t&gt;&lt;/m:r&gt;&lt;m:sSub&gt;&lt;m:sSubPr&gt;&lt;m:ctrlPr&gt;&lt;w:rPr&gt;&lt;w:rFonts w:ascii=&quot;Cambria Math&quot; w:h-ansi=&quot;Cambria Math&quot; w:cs=&quot;Arial&quot;/&gt;&lt;wx:font wx:val=&quot;Cambria Math&quot;/&gt;&lt;w:i/&gt;&lt;w:i-cs/&gt;&lt;w:lang w:fareast=&quot;EN-GB&quot;/&gt;&lt;/w:rPr&gt;&lt;/m:ctrlPr&gt;&lt;/m:sSubPr&gt;&lt;m:e&gt;&lt;m:r&gt;&lt;w:rPr&gt;&lt;w:rFonts w:ascii=&quot;Cambria Math&quot; w:h-ansi=&quot;Cambria Math&quot; w:cs=&quot;Arial&quot;/&gt;&lt;wx:font wx:val=&quot;Cambria Math&quot;/&gt;&lt;w:i/&gt;&lt;w:lang w:fareast=&quot;EN-GB&quot;/&gt;&lt;/w:rPr&gt;&lt;m:t&gt;x&lt;/m:t&gt;&lt;/m:r&gt;&lt;/m:e&gt;&lt;m:sub&gt;&lt;m:r&gt;&lt;w:rPr&gt;&lt;w:rFonts w:ascii=&quot;Cambria Math&quot; w:h-ansi=&quot;Cambria Math&quot; w:cs=&quot;Arial&quot;/&gt;&lt;wx:font wx:val=&quot;Cambria Math&quot;/&gt;&lt;w:i/&gt;&lt;w:lang w:fareast=&quot;EN-GB&quot;/&gt;&lt;/w:rPr&gt;&lt;m:t&gt;t&lt;/m:t&gt;&lt;/m:r&gt;&lt;/m:sub&gt;&lt;/m:sSub&gt;&lt;m:d&gt;&lt;m:dPr&gt;&lt;m:ctrlPr&gt;&lt;w:rPr&gt;&lt;w:rFonts w:ascii=&quot;Cambria Math&quot; w:h-ansi=&quot;Cambria Math&quot; w:cs=&quot;Arial&quot;/&gt;&lt;wx:font wx:val=&quot;Cambria Math&quot;/&gt;&lt;w:i/&gt;&lt;w:i-cs/&gt;&lt;w:lang w:fareast=&quot;EN-GB&quot;/&gt;&lt;/w:rPr&gt;&lt;/m:ctrlPr&gt;&lt;/m:dPr&gt;&lt;m:e&gt;&lt;m:nary&gt;&lt;m:naryPr&gt;&lt;m:chr m:val=&quot;âˆ‘&quot;/&gt;&lt;m:limLoc m:val=&quot;undOvr&quot;/&gt;&lt;m:ctrlPr&gt;&lt;w:rPr&gt;&lt;w:rFonts w:ascii=&quot;Cambria Math&quot; w:h-ansi=&quot;Cambria Math&quot; w:cs=&quot;Arial&quot;/&gt;&lt;wx:font wx:val=&quot;Cambria Math&quot;/&gt;&lt;w:i/&gt;&lt;w:i-cs/&gt;&lt;w:lang w:fareast=&quot;EN-GB&quot;/&gt;&lt;/w:rPr&gt;&lt;/m:ctrlPr&gt;&lt;/m:naryPr&gt;&lt;m:sub&gt;&lt;m:r&gt;&lt;w:rPr&gt;&lt;w:rFonts w:ascii=&quot;Cambria Math&quot; w:h-ansi=&quot;Cambria Math&quot; w:cs=&quot;Arial&quot;/&gt;&lt;wx:font wx:val=&quot;Cambria Math&quot;/&gt;&lt;w:i/&gt;&lt;w:lang w:fareast=&quot;EN-GB&quot;/&gt;&lt;/w:rPr&gt;&lt;m:t&gt;i=m&lt;/m:t&gt;&lt;/m:r&gt;&lt;/m:sub&gt;&lt;m:sup&gt;&lt;m:r&gt;&lt;w:rPr&gt;&lt;w:rFonts w:ascii=&quot;Cambria Math&quot; w:h-ansi=&quot;Cambria Math&quot; w:cs=&quot;Arial&quot;/&gt;&lt;wx:font wx:val=&quot;Cambria Math&quot;/&gt;&lt;w:i/&gt;&lt;w:lang w:fareast=&quot;EN-GB&quot;/&gt;&lt;/w:rPr&gt;&lt;m:t&gt;n&lt;/m:t&gt;&lt;/m:r&gt;&lt;/m:sup&gt;&lt;m:e&gt;&lt;m:sSub&gt;&lt;m:sSubPr&gt;&lt;m:ctrlPr&gt;&lt;w:rPr&gt;&lt;w:rFonts w:ascii=&quot;Cambria Math&quot; w:h-ansi=&quot;Cambria Math&quot; w:cs=&quot;Arial&quot;/&gt;&lt;wx:font wx:val=&quot;Cambria Math&quot;/&gt;&lt;w:i/&gt;&lt;w:i-cs/&gt;&lt;w:lang w:fareast=&quot;EN-GB&quot;/&gt;&lt;/w:rPr&gt;&lt;/m:ctrlPr&gt;&lt;/m:sSubPr&gt;&lt;m:e&gt;&lt;m:r&gt;&lt;w:rPr&gt;&lt;w:rFonts w:ascii=&quot;Cambria Math&quot; w:h-ansi=&quot;Cambria Math&quot; w:cs=&quot;Arial&quot;/&gt;&lt;wx:font wx:val=&quot;Cambria Math&quot;/&gt;&lt;w:i/&gt;&lt;w:lang w:fareast=&quot;EN-GB&quot;/&gt;&lt;/w:rPr&gt;&lt;m:t&gt;y&lt;/m:t&gt;&lt;/m:r&gt;&lt;/m:e&gt;&lt;m:sub&gt;&lt;m:r&gt;&lt;w:rPr&gt;&lt;w:rFonts w:ascii=&quot;Cambria Math&quot; w:h-ansi=&quot;Cambria Math&quot; w:cs=&quot;Arial&quot;/&gt;&lt;wx:font wx:val=&quot;Cambria Math&quot;/&gt;&lt;w:i/&gt;&lt;w:lang w:fareast=&quot;EN-GB&quot;/&gt;&lt;/w:rPr&gt;&lt;m:t&gt;i&lt;/m:t&gt;&lt;/m:r&gt;&lt;/m:sub&gt;&lt;/m:sSub&gt;&lt;/m:e&gt;&lt;/m:nary&gt;&lt;m:r&gt;&lt;w:rPr&gt;&lt;w:rFonts w:ascii=&quot;Cambria Math&quot; w:h-ansi=&quot;Cambria Math&quot; w:cs=&quot;Arial&quot;/&gt;&lt;wx:font wx:val=&quot;Cambria Math&quot;/&gt;&lt;w:i/&gt;&lt;w:lang w:fareast=&quot;EN-GB&quot;/&gt;&lt;/w:rPr&gt;&lt;m:t&gt;/&lt;/m:t&gt;&lt;/m:r&gt;&lt;m:nary&gt;&lt;m:naryPr&gt;&lt;m:chr m:val=&quot;âˆ‘&quot;/&gt;&lt;m:limLoc m:val=&quot;undOvr&quot;/&gt;&lt;m:ctrlPr&gt;&lt;w:rPr&gt;&lt;w:rFonts w:ascii=&quot;Cambria Math&quot; w:h-ansi=&quot;Cambria Math&quot; w:cs=&quot;Arial&quot;/&gt;&lt;wx:font wx:val=&quot;Cambria Math&quot;/&gt;&lt;w:i/&gt;&lt;w:i-cs/&gt;&lt;w:lang w:fareast=&quot;EN-GB&quot;/&gt;&lt;/w:rPr&gt;&lt;/m:ctrlPr&gt;&lt;/m:naryPr&gt;&lt;m:sub&gt;&lt;m:r&gt;&lt;w:rPr&gt;&lt;w:rFonts w:ascii=&quot;Cambria Math&quot; w:h-ansi=&quot;Cambria Math&quot; w:cs=&quot;Arial&quot;/&gt;&lt;wx:font wx:val=&quot;Cambria Math&quot;/&gt;&lt;w:i/&gt;&lt;w:lang w:fareast=&quot;EN-GB&quot;/&gt;&lt;/w:rPr&gt;&lt;m:t&gt;i=m&lt;/m:t&gt;&lt;/m:r&gt;&lt;/m:sub&gt;&lt;m:sup&gt;&lt;m:r&gt;&lt;w:rPr&gt;&lt;w:rFonts w:ascii=&quot;Cambria Math&quot; w:h-ansi=&quot;Cambria Math&quot; w:cs=&quot;Arial&quot;/&gt;&lt;wx:font wx:val=&quot;Cambria Math&quot;/&gt;&lt;w:i/&gt;&lt;w:lang w:fareast=&quot;EN-GB&quot;/&gt;&lt;/w:rPr&gt;&lt;m:t&gt;n&lt;/m:t&gt;&lt;/m:r&gt;&lt;/m:sup&gt;&lt;m:e&gt;&lt;m:sSub&gt;&lt;m:sSubPr&gt;&lt;m:ctrlPr&gt;&lt;w:rPr&gt;&lt;w:rFonts w:ascii=&quot;Cambria Math&quot; w:h-ansi=&quot;Cambria Math&quot; w:cs=&quot;Arial&quot;/&gt;&lt;wx:font wx:val=&quot;Cambria Math&quot;/&gt;&lt;w:i/&gt;&lt;w:i-cs/&gt;&lt;w:lang w:fareast=&quot;EN-GB&quot;/&gt;&lt;/w:rPr&gt;&lt;/m:ctrlPr&gt;&lt;/m:sSubPr&gt;&lt;m:e&gt;&lt;m:r&gt;&lt;w:rPr&gt;&lt;w:rFonts w:ascii=&quot;Cambria Math&quot; w:h-ansi=&quot;Cambria Math&quot; w:cs=&quot;Arial&quot;/&gt;&lt;wx:font wx:val=&quot;Cambria Math&quot;/&gt;&lt;w:i/&gt;&lt;w:lang w:fareast=&quot;EN-GB&quot;/&gt;&lt;/w:rPr&gt;&lt;m:t&gt;x&lt;/m:t&gt;&lt;/m:r&gt;&lt;/m:e&gt;&lt;m:sub&gt;&lt;m:r&gt;&lt;w:rPr&gt;&lt;w:rFonts w:ascii=&quot;Cambria Math&quot; w:h-ansi=&quot;Cambria Math&quot; w:cs=&quot;Arial&quot;/&gt;&lt;wx:font wx:val=&quot;Cambria Math&quot;/&gt;&lt;w:i/&gt;&lt;w:lang w:fareast=&quot;EN-GB&quot;/&gt;&lt;/w:rPr&gt;&lt;m:t&gt;i&lt;/m:t&gt;&lt;/m:r&gt;&lt;/m:sub&gt;&lt;/m:sSub&gt;&lt;/m:e&gt;&lt;/m:nary&gt;&lt;/m:e&gt;&lt;/m:d&gt;&lt;/m:oMath&gt;&lt;/m:oMathPara&gt;&lt;/w:p&gt;&lt;w:sectPr wsp:rsidR=&quot;00000000&quot; wsp:rsidRPr=&quot;006C40EC&quot;&gt;&lt;w:pgSz w:w=&quot;12240&quot; w:h=&quot;15840&quot;/&gt;&lt;w:pgMar w:top=&quot;1440&quot; w:right=&quot;1440&quot; w:bottom=&quot;1440&quot; w:left=&quot;1440&quot; w:header=&quot;720&quot; w:footer=&quot;720&quot; w:gutter=&quot;0&quot;/&gt;&lt;w:cols w:space=&quot;720&quot;/&gt;&lt;/w:sectPr&gt;&lt;/wx:sect&gt;&lt;/w:body&gt;&lt;/w:wordDocument&gt;">
            <v:imagedata r:id="rId66" o:title="" chromakey="white"/>
          </v:shape>
        </w:pict>
      </w:r>
    </w:p>
    <w:p w14:paraId="58C730EB" w14:textId="77777777" w:rsidR="00DE64BC" w:rsidRPr="00256982" w:rsidRDefault="00DE64BC" w:rsidP="00A808C7">
      <w:pPr>
        <w:pStyle w:val="BodyText"/>
        <w:ind w:left="1134" w:hanging="1134"/>
        <w:jc w:val="left"/>
      </w:pPr>
      <w:r w:rsidRPr="00256982">
        <w:rPr>
          <w:lang w:eastAsia="en-GB"/>
        </w:rPr>
        <w:t xml:space="preserve">Where: </w:t>
      </w:r>
      <w:r w:rsidRPr="00256982">
        <w:rPr>
          <w:lang w:eastAsia="en-GB"/>
        </w:rPr>
        <w:tab/>
      </w:r>
      <w:r w:rsidRPr="00256982">
        <w:rPr>
          <w:i/>
        </w:rPr>
        <w:t>y</w:t>
      </w:r>
      <w:r w:rsidRPr="00256982">
        <w:rPr>
          <w:vertAlign w:val="subscript"/>
        </w:rPr>
        <w:t>t</w:t>
      </w:r>
      <w:r w:rsidRPr="00256982">
        <w:t xml:space="preserve"> is the recalculated emission estimate computed using the overlap method</w:t>
      </w:r>
    </w:p>
    <w:p w14:paraId="6CAC8D0C" w14:textId="77777777" w:rsidR="00DE64BC" w:rsidRPr="00256982" w:rsidRDefault="00DE64BC" w:rsidP="00A808C7">
      <w:pPr>
        <w:pStyle w:val="Sub-bullet"/>
        <w:numPr>
          <w:ilvl w:val="0"/>
          <w:numId w:val="0"/>
        </w:numPr>
        <w:ind w:left="1134"/>
      </w:pPr>
      <w:r w:rsidRPr="00256982">
        <w:rPr>
          <w:i/>
        </w:rPr>
        <w:t>x</w:t>
      </w:r>
      <w:r w:rsidRPr="00256982">
        <w:rPr>
          <w:vertAlign w:val="subscript"/>
        </w:rPr>
        <w:t>t</w:t>
      </w:r>
      <w:r w:rsidRPr="00256982">
        <w:t xml:space="preserve"> is the estimate developed using the previous method</w:t>
      </w:r>
    </w:p>
    <w:p w14:paraId="32ABF1DB" w14:textId="77777777" w:rsidR="00DE64BC" w:rsidRPr="00256982" w:rsidRDefault="00DE64BC" w:rsidP="00A808C7">
      <w:pPr>
        <w:pStyle w:val="Sub-bullet"/>
        <w:numPr>
          <w:ilvl w:val="0"/>
          <w:numId w:val="0"/>
        </w:numPr>
        <w:ind w:left="1134"/>
      </w:pPr>
      <w:r w:rsidRPr="00256982">
        <w:rPr>
          <w:i/>
        </w:rPr>
        <w:t>y</w:t>
      </w:r>
      <w:r w:rsidRPr="00256982">
        <w:rPr>
          <w:i/>
          <w:vertAlign w:val="subscript"/>
        </w:rPr>
        <w:t>i</w:t>
      </w:r>
      <w:r w:rsidRPr="00256982">
        <w:t xml:space="preserve"> and </w:t>
      </w:r>
      <w:r w:rsidRPr="00256982">
        <w:rPr>
          <w:i/>
        </w:rPr>
        <w:t>x</w:t>
      </w:r>
      <w:r w:rsidRPr="00256982">
        <w:rPr>
          <w:i/>
          <w:vertAlign w:val="subscript"/>
        </w:rPr>
        <w:t>i</w:t>
      </w:r>
      <w:r w:rsidRPr="00256982">
        <w:t xml:space="preserve"> are the estimates prepared using the new and previously used methods during the period of overlap, as denoted by years </w:t>
      </w:r>
      <w:r w:rsidRPr="00256982">
        <w:rPr>
          <w:i/>
        </w:rPr>
        <w:t>m</w:t>
      </w:r>
      <w:r w:rsidRPr="00256982">
        <w:t xml:space="preserve"> through </w:t>
      </w:r>
      <w:r w:rsidRPr="00256982">
        <w:rPr>
          <w:i/>
        </w:rPr>
        <w:t>n</w:t>
      </w:r>
      <w:r w:rsidRPr="00256982">
        <w:t>.</w:t>
      </w:r>
    </w:p>
    <w:p w14:paraId="096A3900" w14:textId="77777777" w:rsidR="00DE64BC" w:rsidRPr="00256982" w:rsidRDefault="00DE64BC" w:rsidP="00A808C7">
      <w:pPr>
        <w:pStyle w:val="BodyText"/>
        <w:spacing w:after="60"/>
        <w:rPr>
          <w:lang w:eastAsia="en-GB"/>
        </w:rPr>
      </w:pPr>
      <w:r w:rsidRPr="00256982">
        <w:rPr>
          <w:lang w:eastAsia="en-GB"/>
        </w:rPr>
        <w:t xml:space="preserve">However, for gasoline and diesel vehicles, the ratio Tier 3:Tier 1 appears to change approximately linearly with time. While surrogates for Ministry of Transport data were available (fuel consumption), their use resulted in a step-change that is unlikely to be </w:t>
      </w:r>
      <w:r w:rsidRPr="00256982">
        <w:rPr>
          <w:lang w:eastAsia="en-GB"/>
        </w:rPr>
        <w:lastRenderedPageBreak/>
        <w:t>representative of road transport emissions for the period. While the trend in emissions was not consistent over time, the trend of the Tier 3:Tier 1 ratio emission estimates showed a strong linear relationship with time. As a result, a hybrid method of overlap and trend extrapolation was chosen with:</w:t>
      </w:r>
    </w:p>
    <w:p w14:paraId="4B1971B1" w14:textId="77777777" w:rsidR="00DE64BC" w:rsidRPr="00256982" w:rsidRDefault="00590491" w:rsidP="00A808C7">
      <w:pPr>
        <w:pStyle w:val="BodyText"/>
        <w:spacing w:before="0"/>
        <w:jc w:val="center"/>
      </w:pPr>
      <w:r>
        <w:pict w14:anchorId="78E0EFBD">
          <v:shape id="_x0000_i1062" type="#_x0000_t75" style="width:1in;height:21.7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5&lt;/o:Version&gt;&lt;/o:DocumentProperties&gt;&lt;w:docPr&gt;&lt;w:view w:val=&quot;print&quot;/&gt;&lt;w:zoom w:percent=&quot;110&quot;/&gt;&lt;w:doNotEmbedSystemFonts/&gt;&lt;w:activeWritingStyle w:lang=&quot;EN-NZ&quot; w:vendorID=&quot;64&quot; w:dllVersion=&quot;131078&quot; w:nlCheck=&quot;on&quot; w:optionSet=&quot;1&quot;/&gt;&lt;w:stylePaneFormatFilter w:val=&quot;5804&quot;/&gt;&lt;w:defaultTabStop w:val=&quot;720&quot;/&gt;&lt;w:evenAndOddHeaders/&gt;&lt;w:drawingGridHorizontalSpacing w:val=&quot;187&quot;/&gt;&lt;w:displayVerticalDrawingGridEvery w:val=&quot;2&quot;/&gt;&lt;w:characterSpacingControl w:val=&quot;DontCompress&quot;/&gt;&lt;w:optimizeForBrowser/&gt;&lt;w:validateAgainstSchema/&gt;&lt;w:saveInvalidXML w:val=&quot;off&quot;/&gt;&lt;w:ignoreMixedContent w:val=&quot;off&quot;/&gt;&lt;w:alwaysShowPlaceholderText w:val=&quot;off&quot;/&gt;&lt;w:compat&gt;&lt;w:suppressBottomSpacing/&gt;&lt;w:suppressTopSpacing/&gt;&lt;w:doNotUseHTMLParagraphAutoSpacing/&gt;&lt;w:breakWrappedTables/&gt;&lt;w:snapToGridInCell/&gt;&lt;w:wrapTextWithPunct/&gt;&lt;w:useAsianBreakRules/&gt;&lt;w:useWord2002TableStyleRules/&gt;&lt;/w:compat&gt;&lt;wsp:rsids&gt;&lt;wsp:rsidRoot wsp:val=&quot;005D65CD&quot;/&gt;&lt;wsp:rsid wsp:val=&quot;00001716&quot;/&gt;&lt;wsp:rsid wsp:val=&quot;00007ABB&quot;/&gt;&lt;wsp:rsid wsp:val=&quot;00021ACF&quot;/&gt;&lt;wsp:rsid wsp:val=&quot;00027E55&quot;/&gt;&lt;wsp:rsid wsp:val=&quot;00032A28&quot;/&gt;&lt;wsp:rsid wsp:val=&quot;00035185&quot;/&gt;&lt;wsp:rsid wsp:val=&quot;00050008&quot;/&gt;&lt;wsp:rsid wsp:val=&quot;00063242&quot;/&gt;&lt;wsp:rsid wsp:val=&quot;0006464B&quot;/&gt;&lt;wsp:rsid wsp:val=&quot;00096E4B&quot;/&gt;&lt;wsp:rsid wsp:val=&quot;000C20A6&quot;/&gt;&lt;wsp:rsid wsp:val=&quot;000F4B13&quot;/&gt;&lt;wsp:rsid wsp:val=&quot;000F4DEF&quot;/&gt;&lt;wsp:rsid wsp:val=&quot;00105304&quot;/&gt;&lt;wsp:rsid wsp:val=&quot;00116E1B&quot;/&gt;&lt;wsp:rsid wsp:val=&quot;001221C3&quot;/&gt;&lt;wsp:rsid wsp:val=&quot;001367CC&quot;/&gt;&lt;wsp:rsid wsp:val=&quot;00136D68&quot;/&gt;&lt;wsp:rsid wsp:val=&quot;00153F5A&quot;/&gt;&lt;wsp:rsid wsp:val=&quot;00180951&quot;/&gt;&lt;wsp:rsid wsp:val=&quot;001970E1&quot;/&gt;&lt;wsp:rsid wsp:val=&quot;001A1997&quot;/&gt;&lt;wsp:rsid wsp:val=&quot;001B6FD2&quot;/&gt;&lt;wsp:rsid wsp:val=&quot;001D6FDD&quot;/&gt;&lt;wsp:rsid wsp:val=&quot;001F3A64&quot;/&gt;&lt;wsp:rsid wsp:val=&quot;00207ABF&quot;/&gt;&lt;wsp:rsid wsp:val=&quot;00215A8D&quot;/&gt;&lt;wsp:rsid wsp:val=&quot;00240B42&quot;/&gt;&lt;wsp:rsid wsp:val=&quot;00260B48&quot;/&gt;&lt;wsp:rsid wsp:val=&quot;0028581A&quot;/&gt;&lt;wsp:rsid wsp:val=&quot;002868D3&quot;/&gt;&lt;wsp:rsid wsp:val=&quot;00295B2A&quot;/&gt;&lt;wsp:rsid wsp:val=&quot;002A1361&quot;/&gt;&lt;wsp:rsid wsp:val=&quot;002A49D7&quot;/&gt;&lt;wsp:rsid wsp:val=&quot;002B1C5A&quot;/&gt;&lt;wsp:rsid wsp:val=&quot;002B3284&quot;/&gt;&lt;wsp:rsid wsp:val=&quot;002C5BAB&quot;/&gt;&lt;wsp:rsid wsp:val=&quot;002D183B&quot;/&gt;&lt;wsp:rsid wsp:val=&quot;002D60DB&quot;/&gt;&lt;wsp:rsid wsp:val=&quot;002D6A54&quot;/&gt;&lt;wsp:rsid wsp:val=&quot;002F134A&quot;/&gt;&lt;wsp:rsid wsp:val=&quot;002F4B7A&quot;/&gt;&lt;wsp:rsid wsp:val=&quot;00302D84&quot;/&gt;&lt;wsp:rsid wsp:val=&quot;0031460F&quot;/&gt;&lt;wsp:rsid wsp:val=&quot;00315760&quot;/&gt;&lt;wsp:rsid wsp:val=&quot;0037590E&quot;/&gt;&lt;wsp:rsid wsp:val=&quot;00377186&quot;/&gt;&lt;wsp:rsid wsp:val=&quot;00383207&quot;/&gt;&lt;wsp:rsid wsp:val=&quot;00385FAA&quot;/&gt;&lt;wsp:rsid wsp:val=&quot;003972EF&quot;/&gt;&lt;wsp:rsid wsp:val=&quot;0039735B&quot;/&gt;&lt;wsp:rsid wsp:val=&quot;00397D2B&quot;/&gt;&lt;wsp:rsid wsp:val=&quot;003A5006&quot;/&gt;&lt;wsp:rsid wsp:val=&quot;003A6412&quot;/&gt;&lt;wsp:rsid wsp:val=&quot;003B0E3E&quot;/&gt;&lt;wsp:rsid wsp:val=&quot;003B290B&quot;/&gt;&lt;wsp:rsid wsp:val=&quot;003C2615&quot;/&gt;&lt;wsp:rsid wsp:val=&quot;003D0318&quot;/&gt;&lt;wsp:rsid wsp:val=&quot;003D5417&quot;/&gt;&lt;wsp:rsid wsp:val=&quot;00400F92&quot;/&gt;&lt;wsp:rsid wsp:val=&quot;0042424B&quot;/&gt;&lt;wsp:rsid wsp:val=&quot;00430D5D&quot;/&gt;&lt;wsp:rsid wsp:val=&quot;00432417&quot;/&gt;&lt;wsp:rsid wsp:val=&quot;0045652C&quot;/&gt;&lt;wsp:rsid wsp:val=&quot;00457A36&quot;/&gt;&lt;wsp:rsid wsp:val=&quot;00462497&quot;/&gt;&lt;wsp:rsid wsp:val=&quot;00477106&quot;/&gt;&lt;wsp:rsid wsp:val=&quot;0048003F&quot;/&gt;&lt;wsp:rsid wsp:val=&quot;004805A3&quot;/&gt;&lt;wsp:rsid wsp:val=&quot;004837BC&quot;/&gt;&lt;wsp:rsid wsp:val=&quot;00490EB0&quot;/&gt;&lt;wsp:rsid wsp:val=&quot;004A618E&quot;/&gt;&lt;wsp:rsid wsp:val=&quot;004B0E61&quot;/&gt;&lt;wsp:rsid wsp:val=&quot;004E4B2C&quot;/&gt;&lt;wsp:rsid wsp:val=&quot;004F1572&quot;/&gt;&lt;wsp:rsid wsp:val=&quot;00502321&quot;/&gt;&lt;wsp:rsid wsp:val=&quot;00526270&quot;/&gt;&lt;wsp:rsid wsp:val=&quot;00534210&quot;/&gt;&lt;wsp:rsid wsp:val=&quot;00546A6A&quot;/&gt;&lt;wsp:rsid wsp:val=&quot;005630B0&quot;/&gt;&lt;wsp:rsid wsp:val=&quot;005660CD&quot;/&gt;&lt;wsp:rsid wsp:val=&quot;005720F2&quot;/&gt;&lt;wsp:rsid wsp:val=&quot;00596603&quot;/&gt;&lt;wsp:rsid wsp:val=&quot;005A4C13&quot;/&gt;&lt;wsp:rsid wsp:val=&quot;005B08A8&quot;/&gt;&lt;wsp:rsid wsp:val=&quot;005B76A4&quot;/&gt;&lt;wsp:rsid wsp:val=&quot;005C3384&quot;/&gt;&lt;wsp:rsid wsp:val=&quot;005C416E&quot;/&gt;&lt;wsp:rsid wsp:val=&quot;005C43C1&quot;/&gt;&lt;wsp:rsid wsp:val=&quot;005D1C3A&quot;/&gt;&lt;wsp:rsid wsp:val=&quot;005D65CD&quot;/&gt;&lt;wsp:rsid wsp:val=&quot;005E43DD&quot;/&gt;&lt;wsp:rsid wsp:val=&quot;005E4516&quot;/&gt;&lt;wsp:rsid wsp:val=&quot;00600179&quot;/&gt;&lt;wsp:rsid wsp:val=&quot;00603FC0&quot;/&gt;&lt;wsp:rsid wsp:val=&quot;00636BF0&quot;/&gt;&lt;wsp:rsid wsp:val=&quot;00646B6D&quot;/&gt;&lt;wsp:rsid wsp:val=&quot;00655908&quot;/&gt;&lt;wsp:rsid wsp:val=&quot;006654F8&quot;/&gt;&lt;wsp:rsid wsp:val=&quot;00665768&quot;/&gt;&lt;wsp:rsid wsp:val=&quot;00667291&quot;/&gt;&lt;wsp:rsid wsp:val=&quot;00686249&quot;/&gt;&lt;wsp:rsid wsp:val=&quot;00687504&quot;/&gt;&lt;wsp:rsid wsp:val=&quot;006A171F&quot;/&gt;&lt;wsp:rsid wsp:val=&quot;006A4E5F&quot;/&gt;&lt;wsp:rsid wsp:val=&quot;006C5037&quot;/&gt;&lt;wsp:rsid wsp:val=&quot;006D4600&quot;/&gt;&lt;wsp:rsid wsp:val=&quot;006E0A2C&quot;/&gt;&lt;wsp:rsid wsp:val=&quot;006E202B&quot;/&gt;&lt;wsp:rsid wsp:val=&quot;006E57B5&quot;/&gt;&lt;wsp:rsid wsp:val=&quot;00702FA0&quot;/&gt;&lt;wsp:rsid wsp:val=&quot;00715782&quot;/&gt;&lt;wsp:rsid wsp:val=&quot;00724218&quot;/&gt;&lt;wsp:rsid wsp:val=&quot;00737E65&quot;/&gt;&lt;wsp:rsid wsp:val=&quot;0074030A&quot;/&gt;&lt;wsp:rsid wsp:val=&quot;00752B70&quot;/&gt;&lt;wsp:rsid wsp:val=&quot;00762043&quot;/&gt;&lt;wsp:rsid wsp:val=&quot;007633C2&quot;/&gt;&lt;wsp:rsid wsp:val=&quot;00765A47&quot;/&gt;&lt;wsp:rsid wsp:val=&quot;00770E82&quot;/&gt;&lt;wsp:rsid wsp:val=&quot;00772E94&quot;/&gt;&lt;wsp:rsid wsp:val=&quot;007B028B&quot;/&gt;&lt;wsp:rsid wsp:val=&quot;007B1D71&quot;/&gt;&lt;wsp:rsid wsp:val=&quot;007C00D0&quot;/&gt;&lt;wsp:rsid wsp:val=&quot;007C2186&quot;/&gt;&lt;wsp:rsid wsp:val=&quot;007F2233&quot;/&gt;&lt;wsp:rsid wsp:val=&quot;0080694B&quot;/&gt;&lt;wsp:rsid wsp:val=&quot;0081779C&quot;/&gt;&lt;wsp:rsid wsp:val=&quot;00831D0D&quot;/&gt;&lt;wsp:rsid wsp:val=&quot;00832DEE&quot;/&gt;&lt;wsp:rsid wsp:val=&quot;0084330D&quot;/&gt;&lt;wsp:rsid wsp:val=&quot;00855A8A&quot;/&gt;&lt;wsp:rsid wsp:val=&quot;008A2EC5&quot;/&gt;&lt;wsp:rsid wsp:val=&quot;008A7E6B&quot;/&gt;&lt;wsp:rsid wsp:val=&quot;008B77F5&quot;/&gt;&lt;wsp:rsid wsp:val=&quot;008C0279&quot;/&gt;&lt;wsp:rsid wsp:val=&quot;008C4A63&quot;/&gt;&lt;wsp:rsid wsp:val=&quot;008C68EE&quot;/&gt;&lt;wsp:rsid wsp:val=&quot;008C7F68&quot;/&gt;&lt;wsp:rsid wsp:val=&quot;008E380C&quot;/&gt;&lt;wsp:rsid wsp:val=&quot;008F25D2&quot;/&gt;&lt;wsp:rsid wsp:val=&quot;008F50EC&quot;/&gt;&lt;wsp:rsid wsp:val=&quot;00914CC6&quot;/&gt;&lt;wsp:rsid wsp:val=&quot;00926D02&quot;/&gt;&lt;wsp:rsid wsp:val=&quot;0092751F&quot;/&gt;&lt;wsp:rsid wsp:val=&quot;00932067&quot;/&gt;&lt;wsp:rsid wsp:val=&quot;0093594A&quot;/&gt;&lt;wsp:rsid wsp:val=&quot;00955D73&quot;/&gt;&lt;wsp:rsid wsp:val=&quot;0096512C&quot;/&gt;&lt;wsp:rsid wsp:val=&quot;0096540A&quot;/&gt;&lt;wsp:rsid wsp:val=&quot;009975FC&quot;/&gt;&lt;wsp:rsid wsp:val=&quot;009C3D9F&quot;/&gt;&lt;wsp:rsid wsp:val=&quot;009C5D2A&quot;/&gt;&lt;wsp:rsid wsp:val=&quot;009F2774&quot;/&gt;&lt;wsp:rsid wsp:val=&quot;00A331E7&quot;/&gt;&lt;wsp:rsid wsp:val=&quot;00A41C3C&quot;/&gt;&lt;wsp:rsid wsp:val=&quot;00A51519&quot;/&gt;&lt;wsp:rsid wsp:val=&quot;00A530B7&quot;/&gt;&lt;wsp:rsid wsp:val=&quot;00A72195&quot;/&gt;&lt;wsp:rsid wsp:val=&quot;00A9767D&quot;/&gt;&lt;wsp:rsid wsp:val=&quot;00AB2710&quot;/&gt;&lt;wsp:rsid wsp:val=&quot;00AD184B&quot;/&gt;&lt;wsp:rsid wsp:val=&quot;00AD4D63&quot;/&gt;&lt;wsp:rsid wsp:val=&quot;00AE7FE2&quot;/&gt;&lt;wsp:rsid wsp:val=&quot;00B0566D&quot;/&gt;&lt;wsp:rsid wsp:val=&quot;00B35BD9&quot;/&gt;&lt;wsp:rsid wsp:val=&quot;00B37DE8&quot;/&gt;&lt;wsp:rsid wsp:val=&quot;00B44BA5&quot;/&gt;&lt;wsp:rsid wsp:val=&quot;00B676C4&quot;/&gt;&lt;wsp:rsid wsp:val=&quot;00BA5F7E&quot;/&gt;&lt;wsp:rsid wsp:val=&quot;00BC7E76&quot;/&gt;&lt;wsp:rsid wsp:val=&quot;00BD06BD&quot;/&gt;&lt;wsp:rsid wsp:val=&quot;00BF12F6&quot;/&gt;&lt;wsp:rsid wsp:val=&quot;00BF4AD0&quot;/&gt;&lt;wsp:rsid wsp:val=&quot;00C00765&quot;/&gt;&lt;wsp:rsid wsp:val=&quot;00C10464&quot;/&gt;&lt;wsp:rsid wsp:val=&quot;00C119C2&quot;/&gt;&lt;wsp:rsid wsp:val=&quot;00C17E2E&quot;/&gt;&lt;wsp:rsid wsp:val=&quot;00C21B54&quot;/&gt;&lt;wsp:rsid wsp:val=&quot;00C40967&quot;/&gt;&lt;wsp:rsid wsp:val=&quot;00C600E2&quot;/&gt;&lt;wsp:rsid wsp:val=&quot;00C63D43&quot;/&gt;&lt;wsp:rsid wsp:val=&quot;00C713BC&quot;/&gt;&lt;wsp:rsid wsp:val=&quot;00C74134&quot;/&gt;&lt;wsp:rsid wsp:val=&quot;00C823B1&quot;/&gt;&lt;wsp:rsid wsp:val=&quot;00CA271E&quot;/&gt;&lt;wsp:rsid wsp:val=&quot;00CB1488&quot;/&gt;&lt;wsp:rsid wsp:val=&quot;00CB7414&quot;/&gt;&lt;wsp:rsid wsp:val=&quot;00D01CFE&quot;/&gt;&lt;wsp:rsid wsp:val=&quot;00D07C4B&quot;/&gt;&lt;wsp:rsid wsp:val=&quot;00D11EB1&quot;/&gt;&lt;wsp:rsid wsp:val=&quot;00D225D8&quot;/&gt;&lt;wsp:rsid wsp:val=&quot;00D33A2E&quot;/&gt;&lt;wsp:rsid wsp:val=&quot;00D511A1&quot;/&gt;&lt;wsp:rsid wsp:val=&quot;00D67702&quot;/&gt;&lt;wsp:rsid wsp:val=&quot;00D82BA4&quot;/&gt;&lt;wsp:rsid wsp:val=&quot;00D872BF&quot;/&gt;&lt;wsp:rsid wsp:val=&quot;00DD3092&quot;/&gt;&lt;wsp:rsid wsp:val=&quot;00DE01F6&quot;/&gt;&lt;wsp:rsid wsp:val=&quot;00DE2998&quot;/&gt;&lt;wsp:rsid wsp:val=&quot;00DE4223&quot;/&gt;&lt;wsp:rsid wsp:val=&quot;00DE6B60&quot;/&gt;&lt;wsp:rsid wsp:val=&quot;00E06D10&quot;/&gt;&lt;wsp:rsid wsp:val=&quot;00E20458&quot;/&gt;&lt;wsp:rsid wsp:val=&quot;00E20CA5&quot;/&gt;&lt;wsp:rsid wsp:val=&quot;00E22581&quot;/&gt;&lt;wsp:rsid wsp:val=&quot;00E30B74&quot;/&gt;&lt;wsp:rsid wsp:val=&quot;00E518D8&quot;/&gt;&lt;wsp:rsid wsp:val=&quot;00E56487&quot;/&gt;&lt;wsp:rsid wsp:val=&quot;00E853F3&quot;/&gt;&lt;wsp:rsid wsp:val=&quot;00EC2491&quot;/&gt;&lt;wsp:rsid wsp:val=&quot;00ED2C42&quot;/&gt;&lt;wsp:rsid wsp:val=&quot;00EF019E&quot;/&gt;&lt;wsp:rsid wsp:val=&quot;00EF3B2B&quot;/&gt;&lt;wsp:rsid wsp:val=&quot;00F00EE9&quot;/&gt;&lt;wsp:rsid wsp:val=&quot;00F15A37&quot;/&gt;&lt;wsp:rsid wsp:val=&quot;00F379DD&quot;/&gt;&lt;wsp:rsid wsp:val=&quot;00F44419&quot;/&gt;&lt;wsp:rsid wsp:val=&quot;00F47244&quot;/&gt;&lt;wsp:rsid wsp:val=&quot;00F56325&quot;/&gt;&lt;wsp:rsid wsp:val=&quot;00F84A92&quot;/&gt;&lt;wsp:rsid wsp:val=&quot;00F92B57&quot;/&gt;&lt;wsp:rsid wsp:val=&quot;00FA4DEF&quot;/&gt;&lt;wsp:rsid wsp:val=&quot;00FA5F45&quot;/&gt;&lt;wsp:rsid wsp:val=&quot;00FA7522&quot;/&gt;&lt;wsp:rsid wsp:val=&quot;00FC2C59&quot;/&gt;&lt;wsp:rsid wsp:val=&quot;00FD178C&quot;/&gt;&lt;wsp:rsid wsp:val=&quot;00FE1BB8&quot;/&gt;&lt;/wsp:rsids&gt;&lt;/w:docPr&gt;&lt;w:body&gt;&lt;wx:sect&gt;&lt;w:p wsp:rsidR=&quot;00000000&quot; wsp:rsidRPr=&quot;00E30B74&quot; wsp:rsidRDefault=&quot;00E30B74&quot; wsp:rsidP=&quot;00E30B74&quot;&gt;&lt;m:oMathPara&gt;&lt;m:oMath&gt;&lt;m:sSub&gt;&lt;m:sSubPr&gt;&lt;m:ctrlPr&gt;&lt;w:rPr&gt;&lt;w:rFonts w:ascii=&quot;Cambria Math&quot; w:h-ansi=&quot;Cambria Math&quot; w:cs=&quot;Arial&quot;/&gt;&lt;wx:font wx:val=&quot;Cambria Math&quot;/&gt;&lt;w:i/&gt;&lt;w:i-cs/&gt;&lt;w:lang w:fareast=&quot;EN-GB&quot;/&gt;&lt;/w:rPr&gt;&lt;/m:ctrlPr&gt;&lt;/m:sSubPr&gt;&lt;m:e&gt;&lt;m:r&gt;&lt;w:rPr&gt;&lt;w:rFonts w:ascii=&quot;Cambria Math&quot; w:h-ansi=&quot;Cambria Math&quot; w:cs=&quot;Arial&quot;/&gt;&lt;wx:font wx:val=&quot;Cambria Math&quot;/&gt;&lt;w:i/&gt;&lt;w:lang w:fareast=&quot;EN-GB&quot;/&gt;&lt;/w:rPr&gt;&lt;m:t&gt;y&lt;/m:t&gt;&lt;/m:r&gt;&lt;/m:e&gt;&lt;m:sub&gt;&lt;m:r&gt;&lt;w:rPr&gt;&lt;w:rFonts w:ascii=&quot;Cambria Math&quot; w:h-ansi=&quot;Cambria Math&quot; w:cs=&quot;Arial&quot;/&gt;&lt;wx:font wx:val=&quot;Cambria Math&quot;/&gt;&lt;w:i/&gt;&lt;w:lang w:fareast=&quot;EN-GB&quot;/&gt;&lt;/w:rPr&gt;&lt;m:t&gt;t&lt;/m:t&gt;&lt;/m:r&gt;&lt;/m:sub&gt;&lt;/m:sSub&gt;&lt;m:r&gt;&lt;w:rPr&gt;&lt;w:rFonts w:ascii=&quot;Cambria Math&quot; w:h-ansi=&quot;Cambria Math&quot; w:cs=&quot;Arial&quot;/&gt;&lt;wx:font wx:val=&quot;Cambria Math&quot;/&gt;&lt;w:i/&gt;&lt;w:lang w:fareast=&quot;EN-GB&quot;/&gt;&lt;/w:rPr&gt;&lt;m:t&gt;=(at+b)&lt;/m:t&gt;&lt;/m:r&gt;&lt;m:sSub&gt;&lt;m:sSubPr&gt;&lt;m:ctrlPr&gt;&lt;w:rPr&gt;&lt;w:rFonts w:ascii=&quot;Cambria Math&quot; w:h-ansi=&quot;Cambria Math&quot; w:cs=&quot;Arial&quot;/&gt;&lt;wx:font wx:val=&quot;Cambria Math&quot;/&gt;&lt;w:i/&gt;&lt;w:i-cs/&gt;&lt;w:lang w:fareast=&quot;EN-GB&quot;/&gt;&lt;/w:rPr&gt;&lt;/m:ctrlPr&gt;&lt;/m:sSubPr&gt;&lt;m:e&gt;&lt;m:r&gt;&lt;w:rPr&gt;&lt;w:rFonts w:ascii=&quot;Cambria Math&quot; w:h-ansi=&quot;Cambria Math&quot; w:cs=&quot;Arial&quot;/&gt;&lt;wx:font wx:val=&quot;Cambria Math&quot;/&gt;&lt;w:i/&gt;&lt;w:lang w:fareast=&quot;EN-GB&quot;/&gt;&lt;/w:rPr&gt;&lt;m:t&gt;x&lt;/m:t&gt;&lt;/m:r&gt;&lt;/m:e&gt;&lt;m:sub&gt;&lt;m:r&gt;&lt;w:rPr&gt;&lt;w:rFonts w:ascii=&quot;Cambria Math&quot; w:h-ansi=&quot;Cambria Math&quot; w:cs=&quot;Arial&quot;/&gt;&lt;wx:font wx:val=&quot;Cambria Math&quot;/&gt;&lt;w:i/&gt;&lt;w:lang w:fareast=&quot;EN-GB&quot;/&gt;&lt;/w:rPr&gt;&lt;m:t&gt;t&lt;/m:t&gt;&lt;/m:r&gt;&lt;/m:sub&gt;&lt;/m:sSub&gt;&lt;/m:oMath&gt;&lt;/m:oMathPara&gt;&lt;/w:p&gt;&lt;w:sectPr wsp:rsidR=&quot;00000000&quot; wsp:rsidRPr=&quot;00E30B74&quot;&gt;&lt;w:pgSz w:w=&quot;12240&quot; w:h=&quot;15840&quot;/&gt;&lt;w:pgMar w:top=&quot;1440&quot; w:right=&quot;1440&quot; w:bottom=&quot;1440&quot; w:left=&quot;1440&quot; w:header=&quot;720&quot; w:footer=&quot;720&quot; w:gutter=&quot;0&quot;/&gt;&lt;w:cols w:space=&quot;720&quot;/&gt;&lt;/w:sectPr&gt;&lt;/wx:sect&gt;&lt;/w:body&gt;&lt;/w:wordDocument&gt;">
            <v:imagedata r:id="rId67" o:title="" chromakey="white"/>
          </v:shape>
        </w:pict>
      </w:r>
    </w:p>
    <w:p w14:paraId="2A2B7216" w14:textId="77777777" w:rsidR="00DE64BC" w:rsidRPr="00256982" w:rsidRDefault="00DE64BC" w:rsidP="00A808C7">
      <w:pPr>
        <w:pStyle w:val="BodyText"/>
        <w:spacing w:before="60"/>
        <w:ind w:left="964" w:hanging="964"/>
        <w:jc w:val="left"/>
      </w:pPr>
      <w:r w:rsidRPr="00256982">
        <w:rPr>
          <w:lang w:eastAsia="en-GB"/>
        </w:rPr>
        <w:t xml:space="preserve">Where: </w:t>
      </w:r>
      <w:r w:rsidRPr="00256982">
        <w:rPr>
          <w:lang w:eastAsia="en-GB"/>
        </w:rPr>
        <w:tab/>
      </w:r>
      <w:r w:rsidRPr="00256982">
        <w:rPr>
          <w:i/>
        </w:rPr>
        <w:t>t</w:t>
      </w:r>
      <w:r w:rsidRPr="00256982">
        <w:t xml:space="preserve"> is the year for which a new estimate is required</w:t>
      </w:r>
    </w:p>
    <w:p w14:paraId="5FC48736" w14:textId="77777777" w:rsidR="00DE64BC" w:rsidRPr="00256982" w:rsidRDefault="00DE64BC" w:rsidP="00A808C7">
      <w:pPr>
        <w:spacing w:after="120"/>
        <w:ind w:left="964" w:hanging="964"/>
        <w:jc w:val="left"/>
      </w:pPr>
      <w:r w:rsidRPr="00256982">
        <w:rPr>
          <w:i/>
        </w:rPr>
        <w:tab/>
        <w:t>a</w:t>
      </w:r>
      <w:r w:rsidRPr="00256982">
        <w:t xml:space="preserve"> is the slope of the line achieved by regressing Tier 3:Tier 1 for the overlap period</w:t>
      </w:r>
    </w:p>
    <w:p w14:paraId="11841EED" w14:textId="77777777" w:rsidR="00DE64BC" w:rsidRPr="00256982" w:rsidRDefault="00DE64BC" w:rsidP="00A808C7">
      <w:pPr>
        <w:spacing w:after="120"/>
        <w:ind w:left="964" w:hanging="964"/>
        <w:jc w:val="left"/>
      </w:pPr>
      <w:r w:rsidRPr="00256982">
        <w:rPr>
          <w:i/>
        </w:rPr>
        <w:tab/>
        <w:t>b</w:t>
      </w:r>
      <w:r w:rsidRPr="00256982">
        <w:t xml:space="preserve"> is the intercept of the line achieved by regressing Tier 3:Tier 1 for the overlap period</w:t>
      </w:r>
    </w:p>
    <w:p w14:paraId="14A32AB0" w14:textId="77777777" w:rsidR="00DE64BC" w:rsidRPr="00256982" w:rsidRDefault="00DE64BC" w:rsidP="00A808C7">
      <w:pPr>
        <w:spacing w:after="120"/>
        <w:ind w:left="964" w:hanging="964"/>
        <w:jc w:val="left"/>
      </w:pPr>
      <w:r w:rsidRPr="00256982">
        <w:tab/>
      </w:r>
      <w:r w:rsidRPr="00256982">
        <w:rPr>
          <w:i/>
        </w:rPr>
        <w:t>x</w:t>
      </w:r>
      <w:r w:rsidRPr="00256982">
        <w:rPr>
          <w:i/>
          <w:vertAlign w:val="subscript"/>
        </w:rPr>
        <w:t>t</w:t>
      </w:r>
      <w:r w:rsidRPr="00256982">
        <w:t xml:space="preserve"> is the estimate for year </w:t>
      </w:r>
      <w:r w:rsidRPr="00256982">
        <w:rPr>
          <w:i/>
        </w:rPr>
        <w:t>t</w:t>
      </w:r>
      <w:r w:rsidRPr="00256982">
        <w:t xml:space="preserve"> using the previous methodology.</w:t>
      </w:r>
    </w:p>
    <w:p w14:paraId="52A96B71" w14:textId="77777777" w:rsidR="00DE64BC" w:rsidRPr="00256982" w:rsidRDefault="00DE64BC" w:rsidP="00A808C7">
      <w:pPr>
        <w:pStyle w:val="BodyText"/>
        <w:rPr>
          <w:lang w:eastAsia="en-GB"/>
        </w:rPr>
      </w:pPr>
      <w:r w:rsidRPr="00256982">
        <w:rPr>
          <w:lang w:eastAsia="en-GB"/>
        </w:rPr>
        <w:t>The relationship between Tier 3 and Tier 1 emissions is linear from 2001 to 2005 (inclusive) for both CH</w:t>
      </w:r>
      <w:r w:rsidRPr="00256982">
        <w:rPr>
          <w:vertAlign w:val="subscript"/>
          <w:lang w:eastAsia="en-GB"/>
        </w:rPr>
        <w:t>4</w:t>
      </w:r>
      <w:r w:rsidRPr="00256982">
        <w:rPr>
          <w:lang w:eastAsia="en-GB"/>
        </w:rPr>
        <w:t xml:space="preserve"> and N</w:t>
      </w:r>
      <w:r w:rsidRPr="00256982">
        <w:rPr>
          <w:vertAlign w:val="subscript"/>
          <w:lang w:eastAsia="en-GB"/>
        </w:rPr>
        <w:t>2</w:t>
      </w:r>
      <w:r w:rsidRPr="00256982">
        <w:rPr>
          <w:lang w:eastAsia="en-GB"/>
        </w:rPr>
        <w:t>O. This relationship was extrapolated back to the beginning of the time series to derive a factor by which to multiply the Tier 1 estimate for a given year.</w:t>
      </w:r>
    </w:p>
    <w:p w14:paraId="488BAF28" w14:textId="77777777" w:rsidR="00DE64BC" w:rsidRPr="00256982" w:rsidRDefault="00DE64BC" w:rsidP="00336A51">
      <w:pPr>
        <w:pStyle w:val="Heading6"/>
      </w:pPr>
      <w:r w:rsidRPr="00256982">
        <w:t>Dual-fuel vehicles</w:t>
      </w:r>
    </w:p>
    <w:p w14:paraId="31CB7AF5" w14:textId="77777777" w:rsidR="00DE64BC" w:rsidRPr="00256982" w:rsidRDefault="00DE64BC" w:rsidP="00A808C7">
      <w:pPr>
        <w:pStyle w:val="BodyText"/>
        <w:rPr>
          <w:lang w:eastAsia="en-GB"/>
        </w:rPr>
      </w:pPr>
      <w:r w:rsidRPr="00256982">
        <w:rPr>
          <w:lang w:eastAsia="en-GB"/>
        </w:rPr>
        <w:t xml:space="preserve">Vehicle-kilometres-travelled data collected by the Ministry of Transport allocate vehicles using dual fuels (LPG–gasoline and CNG–gasoline) to the </w:t>
      </w:r>
      <w:r w:rsidRPr="00256982">
        <w:rPr>
          <w:i/>
          <w:lang w:eastAsia="en-GB"/>
        </w:rPr>
        <w:t>Gasoline</w:t>
      </w:r>
      <w:r w:rsidRPr="00256982">
        <w:rPr>
          <w:lang w:eastAsia="en-GB"/>
        </w:rPr>
        <w:t xml:space="preserve"> category. Historically, non-CO</w:t>
      </w:r>
      <w:r w:rsidRPr="00256982">
        <w:rPr>
          <w:vertAlign w:val="subscript"/>
          <w:lang w:eastAsia="en-GB"/>
        </w:rPr>
        <w:t>2</w:t>
      </w:r>
      <w:r w:rsidRPr="00256982">
        <w:rPr>
          <w:lang w:eastAsia="en-GB"/>
        </w:rPr>
        <w:t xml:space="preserve"> emission factors have been lower for LPG than those for gasoline. Analysis undertaken to remove activity data from gasoline to be allocated to LPG resulted in a slight decrease in overall emissions. As a result, the reallocation was not made due to a desire to be conservative when applying methods that would lead to net emission reductions.</w:t>
      </w:r>
    </w:p>
    <w:p w14:paraId="6638D248" w14:textId="77777777" w:rsidR="00DE64BC" w:rsidRPr="00256982" w:rsidRDefault="00DE64BC" w:rsidP="00A808C7">
      <w:pPr>
        <w:pStyle w:val="BodyText"/>
        <w:rPr>
          <w:lang w:eastAsia="en-GB"/>
        </w:rPr>
      </w:pPr>
      <w:r w:rsidRPr="00256982">
        <w:rPr>
          <w:lang w:eastAsia="en-GB"/>
        </w:rPr>
        <w:t xml:space="preserve">The amount of natural gas used in vehicles on New Zealand roads was significantly larger in 1990 than it was in </w:t>
      </w:r>
      <w:r w:rsidRPr="00256982">
        <w:t>2017.</w:t>
      </w:r>
      <w:r w:rsidRPr="00256982">
        <w:rPr>
          <w:lang w:eastAsia="en-GB"/>
        </w:rPr>
        <w:t xml:space="preserve"> In 2017, almost all natural gas in road transport was used in buses. For the purposes of time-series consistency, the new methodology was considered incomparable with the previous methodology due to fundamental differences in the type of activity that the two methods represent. The </w:t>
      </w:r>
      <w:r w:rsidRPr="00256982">
        <w:t>CH</w:t>
      </w:r>
      <w:r w:rsidRPr="00256982">
        <w:rPr>
          <w:vertAlign w:val="subscript"/>
        </w:rPr>
        <w:t>4</w:t>
      </w:r>
      <w:r w:rsidRPr="00256982">
        <w:rPr>
          <w:lang w:eastAsia="en-GB"/>
        </w:rPr>
        <w:t xml:space="preserve"> emission factors (tonnes CH</w:t>
      </w:r>
      <w:r w:rsidRPr="00256982">
        <w:rPr>
          <w:vertAlign w:val="subscript"/>
          <w:lang w:eastAsia="en-GB"/>
        </w:rPr>
        <w:t>4</w:t>
      </w:r>
      <w:r w:rsidRPr="00256982">
        <w:rPr>
          <w:lang w:eastAsia="en-GB"/>
        </w:rPr>
        <w:t>/PJ) from a purpose-built natural gas (CNG) bus are known to be significantly lower than those from a light passenger vehicle built to run on gasoline then converted to use natural gas.</w:t>
      </w:r>
    </w:p>
    <w:p w14:paraId="2CE806B9" w14:textId="77777777" w:rsidR="00DE64BC" w:rsidRPr="00256982" w:rsidRDefault="00DE64BC" w:rsidP="00A808C7">
      <w:pPr>
        <w:pStyle w:val="BodyText"/>
        <w:rPr>
          <w:lang w:eastAsia="en-GB"/>
        </w:rPr>
      </w:pPr>
      <w:r w:rsidRPr="00256982">
        <w:rPr>
          <w:lang w:eastAsia="en-GB"/>
        </w:rPr>
        <w:t>To ensure that emissions were not underestimated, an estimate of the energy used in CNG buses was made. The remaining natural gas was then assumed to be combusted in converted light passenger vehicles, and an IPCC default emission factor was used to estimate the associated emissions.</w:t>
      </w:r>
    </w:p>
    <w:p w14:paraId="5C56B6A1" w14:textId="77777777" w:rsidR="00DE64BC" w:rsidRPr="00256982" w:rsidRDefault="00DE64BC" w:rsidP="00336A51">
      <w:pPr>
        <w:pStyle w:val="Heading6"/>
      </w:pPr>
      <w:r w:rsidRPr="00256982">
        <w:t>Blended biofuels</w:t>
      </w:r>
    </w:p>
    <w:p w14:paraId="05A92D03" w14:textId="77777777" w:rsidR="00DE64BC" w:rsidRPr="00256982" w:rsidRDefault="00DE64BC" w:rsidP="00A808C7">
      <w:pPr>
        <w:pStyle w:val="BodyText"/>
        <w:rPr>
          <w:lang w:eastAsia="en-GB"/>
        </w:rPr>
      </w:pPr>
      <w:r w:rsidRPr="00256982">
        <w:rPr>
          <w:lang w:eastAsia="en-GB"/>
        </w:rPr>
        <w:t xml:space="preserve">Small volumes of bio-gasoline and biodiesel are sold blended with mineral oil products and combusted in the </w:t>
      </w:r>
      <w:r w:rsidRPr="00256982">
        <w:rPr>
          <w:i/>
          <w:lang w:eastAsia="en-GB"/>
        </w:rPr>
        <w:t>Road transportation</w:t>
      </w:r>
      <w:r w:rsidRPr="00256982">
        <w:rPr>
          <w:lang w:eastAsia="en-GB"/>
        </w:rPr>
        <w:t xml:space="preserve"> category (data exists from 2007 onwards). To ensure that liquid biofuel combustion is considered in the inventory, the energy split was calculated (i.e., gasoline as a share of combined gasoline and bio-gasoline or mineral diesel as a share of mineral diesel and biodiesel). The new estimate was then multiplied by this factor to account for gasoline and diesel not combusted. The emissions from the combustion of biofuels were then estimated using a Tier 1 methodology, as in previous inventories. </w:t>
      </w:r>
    </w:p>
    <w:p w14:paraId="46307C7E" w14:textId="77777777" w:rsidR="00DE64BC" w:rsidRPr="00256982" w:rsidRDefault="00DE64BC" w:rsidP="00A808C7">
      <w:pPr>
        <w:pStyle w:val="Heading5"/>
      </w:pPr>
      <w:r w:rsidRPr="00256982">
        <w:rPr>
          <w:lang w:eastAsia="en-GB"/>
        </w:rPr>
        <w:t>1.A.3.c Railways</w:t>
      </w:r>
    </w:p>
    <w:p w14:paraId="4D24D4A6" w14:textId="77777777" w:rsidR="00DE64BC" w:rsidRPr="00256982" w:rsidRDefault="00DE64BC" w:rsidP="00A808C7">
      <w:pPr>
        <w:pStyle w:val="BodyText"/>
        <w:rPr>
          <w:lang w:eastAsia="en-GB"/>
        </w:rPr>
      </w:pPr>
      <w:r w:rsidRPr="00256982">
        <w:rPr>
          <w:lang w:eastAsia="en-GB"/>
        </w:rPr>
        <w:t>Non-CO</w:t>
      </w:r>
      <w:r w:rsidRPr="00256982">
        <w:rPr>
          <w:vertAlign w:val="subscript"/>
          <w:lang w:eastAsia="en-GB"/>
        </w:rPr>
        <w:t>2</w:t>
      </w:r>
      <w:r w:rsidRPr="00256982">
        <w:rPr>
          <w:lang w:eastAsia="en-GB"/>
        </w:rPr>
        <w:t xml:space="preserve"> emissions from the </w:t>
      </w:r>
      <w:r w:rsidRPr="00256982">
        <w:rPr>
          <w:i/>
          <w:lang w:eastAsia="en-GB"/>
        </w:rPr>
        <w:t>Railways</w:t>
      </w:r>
      <w:r w:rsidRPr="00256982">
        <w:rPr>
          <w:lang w:eastAsia="en-GB"/>
        </w:rPr>
        <w:t xml:space="preserve"> category (including both liquid and solid fuels) were estimated using a Tier 1 approach (IPCC, 2006).</w:t>
      </w:r>
    </w:p>
    <w:p w14:paraId="18FECD35" w14:textId="77777777" w:rsidR="00DE64BC" w:rsidRPr="00256982" w:rsidRDefault="00DE64BC" w:rsidP="00A808C7">
      <w:pPr>
        <w:pStyle w:val="Heading5"/>
        <w:rPr>
          <w:lang w:eastAsia="en-GB"/>
        </w:rPr>
      </w:pPr>
      <w:r w:rsidRPr="00256982">
        <w:rPr>
          <w:lang w:eastAsia="en-GB"/>
        </w:rPr>
        <w:lastRenderedPageBreak/>
        <w:t>1.A.3.d Navigation (domestic marine transport)</w:t>
      </w:r>
    </w:p>
    <w:p w14:paraId="0213291F" w14:textId="77777777" w:rsidR="00DE64BC" w:rsidRPr="00256982" w:rsidRDefault="00DE64BC" w:rsidP="00A808C7">
      <w:pPr>
        <w:pStyle w:val="BodyText"/>
        <w:rPr>
          <w:lang w:eastAsia="en-GB"/>
        </w:rPr>
      </w:pPr>
      <w:r w:rsidRPr="00256982">
        <w:rPr>
          <w:lang w:eastAsia="en-GB"/>
        </w:rPr>
        <w:t>Non-CO</w:t>
      </w:r>
      <w:r w:rsidRPr="00256982">
        <w:rPr>
          <w:vertAlign w:val="subscript"/>
          <w:lang w:eastAsia="en-GB"/>
        </w:rPr>
        <w:t>2</w:t>
      </w:r>
      <w:r w:rsidRPr="00256982">
        <w:rPr>
          <w:lang w:eastAsia="en-GB"/>
        </w:rPr>
        <w:t xml:space="preserve"> emissions from the </w:t>
      </w:r>
      <w:r w:rsidRPr="00256982">
        <w:rPr>
          <w:i/>
          <w:lang w:eastAsia="en-GB"/>
        </w:rPr>
        <w:t>Navigation</w:t>
      </w:r>
      <w:r w:rsidRPr="00256982">
        <w:rPr>
          <w:lang w:eastAsia="en-GB"/>
        </w:rPr>
        <w:t xml:space="preserve"> category in New Zealand were estimated using a Tier 1 approach (IPCC, 2006).</w:t>
      </w:r>
    </w:p>
    <w:p w14:paraId="341D4CF3" w14:textId="77777777" w:rsidR="00DE64BC" w:rsidRPr="00256982" w:rsidRDefault="00DE64BC" w:rsidP="00A808C7">
      <w:pPr>
        <w:pStyle w:val="Heading5"/>
        <w:rPr>
          <w:lang w:eastAsia="en-GB"/>
        </w:rPr>
      </w:pPr>
      <w:r w:rsidRPr="00256982">
        <w:rPr>
          <w:lang w:eastAsia="en-GB"/>
        </w:rPr>
        <w:t>1.A.3.e Other transportation</w:t>
      </w:r>
    </w:p>
    <w:p w14:paraId="631DD314" w14:textId="77777777" w:rsidR="00DE64BC" w:rsidRPr="00256982" w:rsidRDefault="00DE64BC" w:rsidP="00A808C7">
      <w:pPr>
        <w:pStyle w:val="BodyText"/>
        <w:rPr>
          <w:lang w:eastAsia="en-GB"/>
        </w:rPr>
      </w:pPr>
      <w:r w:rsidRPr="00256982">
        <w:rPr>
          <w:lang w:eastAsia="en-GB"/>
        </w:rPr>
        <w:t xml:space="preserve">Combustion related to pipeline transport has been recategorised from 1.A.1.c to 1.A.3.e.i </w:t>
      </w:r>
      <w:r w:rsidRPr="00256982">
        <w:rPr>
          <w:i/>
          <w:lang w:eastAsia="en-GB"/>
        </w:rPr>
        <w:t>Pipeline transport</w:t>
      </w:r>
      <w:r w:rsidRPr="00256982">
        <w:rPr>
          <w:lang w:eastAsia="en-GB"/>
        </w:rPr>
        <w:t xml:space="preserve"> in response to feedback received from the ERT during the 2017 review week.</w:t>
      </w:r>
    </w:p>
    <w:p w14:paraId="0A379E14" w14:textId="77777777" w:rsidR="00DE64BC" w:rsidRPr="00256982" w:rsidRDefault="00DE64BC" w:rsidP="00A72006">
      <w:pPr>
        <w:pStyle w:val="Heading4"/>
        <w:rPr>
          <w:lang w:eastAsia="en-GB"/>
        </w:rPr>
      </w:pPr>
      <w:r w:rsidRPr="00256982">
        <w:t>Activity</w:t>
      </w:r>
      <w:r w:rsidRPr="00256982">
        <w:rPr>
          <w:lang w:eastAsia="en-GB"/>
        </w:rPr>
        <w:t xml:space="preserve"> data</w:t>
      </w:r>
    </w:p>
    <w:p w14:paraId="12B829C1" w14:textId="77777777" w:rsidR="00DE64BC" w:rsidRPr="00256982" w:rsidRDefault="00DE64BC" w:rsidP="00A808C7">
      <w:pPr>
        <w:pStyle w:val="Heading5"/>
        <w:rPr>
          <w:lang w:eastAsia="en-GB"/>
        </w:rPr>
      </w:pPr>
      <w:r w:rsidRPr="00256982">
        <w:rPr>
          <w:lang w:eastAsia="en-GB"/>
        </w:rPr>
        <w:t>1.A.3.a Civil aviation</w:t>
      </w:r>
    </w:p>
    <w:p w14:paraId="3E268557" w14:textId="77777777" w:rsidR="00DE64BC" w:rsidRPr="00256982" w:rsidRDefault="00DE64BC" w:rsidP="00A808C7">
      <w:pPr>
        <w:pStyle w:val="BodyText"/>
      </w:pPr>
      <w:r w:rsidRPr="00256982">
        <w:rPr>
          <w:rFonts w:cs="Arial"/>
          <w:lang w:eastAsia="en-GB"/>
        </w:rPr>
        <w:t xml:space="preserve">MBIE </w:t>
      </w:r>
      <w:r w:rsidRPr="00256982">
        <w:t>currently collects aviation fuels used for international and domestic aviation through the </w:t>
      </w:r>
      <w:r w:rsidRPr="00256982">
        <w:rPr>
          <w:rFonts w:cs="Arial"/>
          <w:iCs/>
          <w:spacing w:val="-2"/>
          <w:lang w:eastAsia="en-GB"/>
        </w:rPr>
        <w:t>DPFI</w:t>
      </w:r>
      <w:r w:rsidRPr="00256982">
        <w:t xml:space="preserve">. The respondents to this survey are New Zealand’s four main oil companies, namely: BP, Z Energy (formerly Shell), ExxonMobil and Gull (Gull participates only in </w:t>
      </w:r>
      <w:r w:rsidRPr="00256982">
        <w:rPr>
          <w:lang w:eastAsia="en-GB"/>
        </w:rPr>
        <w:t>gasoline</w:t>
      </w:r>
      <w:r w:rsidRPr="00256982">
        <w:t xml:space="preserve"> and diesel sales). </w:t>
      </w:r>
    </w:p>
    <w:p w14:paraId="66D6253B" w14:textId="77777777" w:rsidR="00DE64BC" w:rsidRPr="00256982" w:rsidRDefault="00DE64BC" w:rsidP="00A808C7">
      <w:pPr>
        <w:pStyle w:val="BodyText"/>
      </w:pPr>
      <w:r w:rsidRPr="00256982">
        <w:rPr>
          <w:lang w:eastAsia="en-GB"/>
        </w:rPr>
        <w:t xml:space="preserve">The distinction between domestic and international flights is based on refuelling at the domestic and international terminals of New Zealand airports. </w:t>
      </w:r>
      <w:r w:rsidRPr="00256982">
        <w:t>The allocation of aviation fuels between domestic and international segments has previously been raised by the ERT. A previous centralised review stated (UNFCCC, 2009):</w:t>
      </w:r>
    </w:p>
    <w:p w14:paraId="405F4557" w14:textId="77777777" w:rsidR="00DE64BC" w:rsidRPr="00256982" w:rsidRDefault="00DE64BC" w:rsidP="005C19FE">
      <w:pPr>
        <w:pStyle w:val="Quote"/>
        <w:spacing w:before="120"/>
        <w:rPr>
          <w:szCs w:val="20"/>
        </w:rPr>
      </w:pPr>
      <w:r w:rsidRPr="00256982">
        <w:rPr>
          <w:szCs w:val="20"/>
        </w:rPr>
        <w:t>The National Inventory Report (NIR) reports that the allocation of fuel consumption between domestic and international air transport is based on refuelling at the domestic and international terminals of New Zealand’s airports. Currently splitting the domestic and international components of fuels used for international flights with a domestic segment was not considered; however, the number of international flights with a domestic segment is considered to be negligible. The Expert Review Team (ERT) notes that in 2006, New Zealand began consultations with the airlines to clarify the situation and improve the relevant Activity Data (AD), and is currently working on a methodology that will allow for better international and domestic fuel use allocation. New Zealand is encouraged to adopt the new approach and report the outcome in its 2010 submissions.</w:t>
      </w:r>
    </w:p>
    <w:p w14:paraId="21F3EC94" w14:textId="77777777" w:rsidR="00DE64BC" w:rsidRPr="00256982" w:rsidRDefault="00DE64BC" w:rsidP="00A808C7">
      <w:pPr>
        <w:pStyle w:val="BodyText"/>
      </w:pPr>
      <w:r w:rsidRPr="00256982">
        <w:t xml:space="preserve">In the </w:t>
      </w:r>
      <w:r w:rsidRPr="00256982">
        <w:rPr>
          <w:rFonts w:cs="Arial"/>
          <w:iCs/>
          <w:spacing w:val="-2"/>
          <w:lang w:eastAsia="en-GB"/>
        </w:rPr>
        <w:t>DPFI</w:t>
      </w:r>
      <w:r w:rsidRPr="00256982">
        <w:t xml:space="preserve">, the oil companies report quantities of different fuels (jet A1, aviation gasoline and kerosene, among others) used for the purposes of international and domestic transport. The companies allocate the fuel to international or domestic transport based on whether or not they charge GST on the fuel sold – GST is not charged when the destination of a flight is outside of New Zealand. </w:t>
      </w:r>
    </w:p>
    <w:p w14:paraId="25C7B8AB" w14:textId="77777777" w:rsidR="00DE64BC" w:rsidRPr="00256982" w:rsidRDefault="00DE64BC" w:rsidP="00A808C7">
      <w:pPr>
        <w:pStyle w:val="BodyText"/>
      </w:pPr>
      <w:r w:rsidRPr="00256982">
        <w:t>Some international flights from New Zealand contain a domestic leg, for example, Christchurch–Auckland–Tokyo. Industry practice is to refuel at both points with sufficient fuel to reach the next destination so that the domestic leg will be coded appropriately. By this logic, fuel used for the domestic leg will attract GST and therefore be coded as domestic, and the international leg, which does not attract GST, will be coded as international.</w:t>
      </w:r>
    </w:p>
    <w:p w14:paraId="7A0435DC" w14:textId="77777777" w:rsidR="00DE64BC" w:rsidRPr="00256982" w:rsidRDefault="00DE64BC" w:rsidP="00A808C7">
      <w:pPr>
        <w:pStyle w:val="BodyText"/>
      </w:pPr>
      <w:r w:rsidRPr="00256982">
        <w:t xml:space="preserve">Although this is a supply-side approach, MBIE believes the split of international and domestic transport to be accurate because BP, Z Energy and ExxonMobil supply 100 per cent of the aviation fuels market in New Zealand. Based on the above findings and consultation, MBIE believes that the current data collection methodology is sufficiently robust to ensure all the domestic aviation fuels are reported accordingly and to avoid missing or misallocation of domestic fuel use. </w:t>
      </w:r>
    </w:p>
    <w:p w14:paraId="0E932C8A" w14:textId="77777777" w:rsidR="00DE64BC" w:rsidRPr="00256982" w:rsidRDefault="00DE64BC" w:rsidP="00A808C7">
      <w:pPr>
        <w:pStyle w:val="Heading5"/>
        <w:rPr>
          <w:lang w:eastAsia="en-GB"/>
        </w:rPr>
      </w:pPr>
      <w:r w:rsidRPr="00256982">
        <w:rPr>
          <w:lang w:eastAsia="en-GB"/>
        </w:rPr>
        <w:lastRenderedPageBreak/>
        <w:t>1.A.3.b Road transportation</w:t>
      </w:r>
    </w:p>
    <w:p w14:paraId="3F206819" w14:textId="77777777" w:rsidR="00DE64BC" w:rsidRPr="00256982" w:rsidRDefault="00DE64BC" w:rsidP="00A808C7">
      <w:pPr>
        <w:pStyle w:val="BodyText"/>
        <w:rPr>
          <w:lang w:eastAsia="en-GB"/>
        </w:rPr>
      </w:pPr>
      <w:r w:rsidRPr="00256982">
        <w:rPr>
          <w:lang w:eastAsia="en-GB"/>
        </w:rPr>
        <w:t xml:space="preserve">Activity data for the </w:t>
      </w:r>
      <w:r w:rsidRPr="00256982">
        <w:rPr>
          <w:i/>
          <w:lang w:eastAsia="en-GB"/>
        </w:rPr>
        <w:t>Road transportation</w:t>
      </w:r>
      <w:r w:rsidRPr="00256982">
        <w:rPr>
          <w:lang w:eastAsia="en-GB"/>
        </w:rPr>
        <w:t xml:space="preserve"> category are provided by the Ministry of Transport’s six-monthly fleet data and MBIE’s national energy statistics. For more information on the use of vehicle fleet data for estimating non-CO</w:t>
      </w:r>
      <w:r w:rsidRPr="00256982">
        <w:rPr>
          <w:vertAlign w:val="subscript"/>
          <w:lang w:eastAsia="en-GB"/>
        </w:rPr>
        <w:t xml:space="preserve">2 </w:t>
      </w:r>
      <w:r w:rsidRPr="00256982">
        <w:rPr>
          <w:lang w:eastAsia="en-GB"/>
        </w:rPr>
        <w:t>emissions, see methodological issues above.</w:t>
      </w:r>
    </w:p>
    <w:p w14:paraId="5946693D" w14:textId="77777777" w:rsidR="00DE64BC" w:rsidRPr="00256982" w:rsidRDefault="00DE64BC" w:rsidP="00A808C7">
      <w:pPr>
        <w:pStyle w:val="BodyText"/>
        <w:rPr>
          <w:lang w:eastAsia="en-GB"/>
        </w:rPr>
      </w:pPr>
      <w:r w:rsidRPr="00256982">
        <w:rPr>
          <w:lang w:eastAsia="en-GB"/>
        </w:rPr>
        <w:t xml:space="preserve">Activity data on the consumption of fuel by the </w:t>
      </w:r>
      <w:r w:rsidRPr="00256982">
        <w:rPr>
          <w:i/>
          <w:lang w:eastAsia="en-GB"/>
        </w:rPr>
        <w:t>Transport</w:t>
      </w:r>
      <w:r w:rsidRPr="00256982">
        <w:rPr>
          <w:lang w:eastAsia="en-GB"/>
        </w:rPr>
        <w:t xml:space="preserve"> category were sourced from the </w:t>
      </w:r>
      <w:r w:rsidRPr="00256982">
        <w:rPr>
          <w:rFonts w:cs="Arial"/>
          <w:iCs/>
          <w:spacing w:val="-2"/>
          <w:lang w:eastAsia="en-GB"/>
        </w:rPr>
        <w:t>DPFI</w:t>
      </w:r>
      <w:r w:rsidRPr="00256982">
        <w:rPr>
          <w:iCs/>
          <w:lang w:eastAsia="en-GB"/>
        </w:rPr>
        <w:t xml:space="preserve"> </w:t>
      </w:r>
      <w:r w:rsidRPr="00256982">
        <w:rPr>
          <w:lang w:eastAsia="en-GB"/>
        </w:rPr>
        <w:t xml:space="preserve">conducted by MBIE. LPG and CNG consumption figures are reported </w:t>
      </w:r>
      <w:r w:rsidRPr="00256982">
        <w:rPr>
          <w:iCs/>
          <w:lang w:eastAsia="en-GB"/>
        </w:rPr>
        <w:t>online by</w:t>
      </w:r>
      <w:r w:rsidRPr="00256982">
        <w:t> </w:t>
      </w:r>
      <w:r w:rsidRPr="00256982">
        <w:rPr>
          <w:lang w:eastAsia="en-GB"/>
        </w:rPr>
        <w:t>MBIE.</w:t>
      </w:r>
    </w:p>
    <w:p w14:paraId="7D40210C" w14:textId="77777777" w:rsidR="00DE64BC" w:rsidRPr="00256982" w:rsidRDefault="00DE64BC" w:rsidP="00A808C7">
      <w:pPr>
        <w:pStyle w:val="BodyText"/>
        <w:rPr>
          <w:spacing w:val="-2"/>
        </w:rPr>
      </w:pPr>
      <w:r w:rsidRPr="00256982">
        <w:rPr>
          <w:spacing w:val="-2"/>
        </w:rPr>
        <w:t xml:space="preserve">As mentioned in section 3.3.1, this inventory continues to use the results of the </w:t>
      </w:r>
      <w:r w:rsidRPr="00256982">
        <w:rPr>
          <w:i/>
          <w:spacing w:val="-2"/>
        </w:rPr>
        <w:t>Annual Liquid Fuel Survey</w:t>
      </w:r>
      <w:r w:rsidRPr="00256982">
        <w:rPr>
          <w:spacing w:val="-2"/>
        </w:rPr>
        <w:t xml:space="preserve"> that began in 2009. The purpose of this survey is to capture the allocation of fuel resold by small independent resellers. In recent years, these independent resellers have accounted for around 30 per cent of national diesel sales and around 8 per cent of national gasoline sales. </w:t>
      </w:r>
    </w:p>
    <w:p w14:paraId="2040CC09" w14:textId="77777777" w:rsidR="00DE64BC" w:rsidRPr="00256982" w:rsidRDefault="00DE64BC" w:rsidP="00A808C7">
      <w:pPr>
        <w:pStyle w:val="BodyText"/>
      </w:pPr>
      <w:r w:rsidRPr="00256982">
        <w:t xml:space="preserve">As a result of resale data captured by the </w:t>
      </w:r>
      <w:r w:rsidRPr="00256982">
        <w:rPr>
          <w:i/>
        </w:rPr>
        <w:t>Annual Liquid Fuel Survey</w:t>
      </w:r>
      <w:r w:rsidRPr="00256982">
        <w:t xml:space="preserve">, emissions that would otherwise be reported under category 1.A.3.b </w:t>
      </w:r>
      <w:r w:rsidRPr="00256982">
        <w:rPr>
          <w:i/>
        </w:rPr>
        <w:t>Road transportation</w:t>
      </w:r>
      <w:r w:rsidRPr="00256982">
        <w:t xml:space="preserve"> are allocated to the correct category.</w:t>
      </w:r>
    </w:p>
    <w:p w14:paraId="70E046B7" w14:textId="77777777" w:rsidR="00DE64BC" w:rsidRPr="00256982" w:rsidRDefault="00DE64BC" w:rsidP="00A808C7">
      <w:pPr>
        <w:pStyle w:val="BodyText"/>
      </w:pPr>
      <w:r w:rsidRPr="00256982">
        <w:t>For time-series consistency, these reallocations were also made from 1990–2008, before the collection of data on the resale of liquid fuel by independent distributors.</w:t>
      </w:r>
    </w:p>
    <w:p w14:paraId="6705C553" w14:textId="77777777" w:rsidR="00DE64BC" w:rsidRPr="00256982" w:rsidRDefault="00DE64BC" w:rsidP="00A808C7">
      <w:pPr>
        <w:pStyle w:val="BodyText"/>
      </w:pPr>
      <w:r w:rsidRPr="00256982">
        <w:t xml:space="preserve">The diesel activity data for the </w:t>
      </w:r>
      <w:r w:rsidRPr="00256982">
        <w:rPr>
          <w:i/>
        </w:rPr>
        <w:t>Road transport</w:t>
      </w:r>
      <w:r w:rsidRPr="00256982">
        <w:t xml:space="preserve"> category are assumed to be the diesel reported for domestic transport, less that reported by KiwiRail in 1.A.3.c </w:t>
      </w:r>
      <w:r w:rsidRPr="00256982">
        <w:rPr>
          <w:i/>
        </w:rPr>
        <w:t>Railways</w:t>
      </w:r>
      <w:r w:rsidRPr="00256982">
        <w:t xml:space="preserve"> and 1.A.3.d </w:t>
      </w:r>
      <w:r w:rsidRPr="00256982">
        <w:rPr>
          <w:i/>
        </w:rPr>
        <w:t>Domestic navigation</w:t>
      </w:r>
      <w:r w:rsidRPr="00256982">
        <w:t xml:space="preserve">, discussed below. </w:t>
      </w:r>
    </w:p>
    <w:p w14:paraId="63700240" w14:textId="77777777" w:rsidR="00DE64BC" w:rsidRPr="00256982" w:rsidRDefault="00DE64BC" w:rsidP="00A808C7">
      <w:pPr>
        <w:pStyle w:val="BodyText"/>
      </w:pPr>
      <w:r w:rsidRPr="00256982">
        <w:t>The fuel sold data have been validated by estimating fuel consumption based on vehicle kilometres using a vehicle fleet model. Over the past decade, the fuel quantity from the fuel use data has been larger than that estimated using kilometres travelled. A number of factors can contribute to differences between the two methods, for example, fuel sold by retailers that is then used for off-road purposes, and the real-world fuel efficiencies of vehicles differing from assumptions used in the vehicle fleet model. Across the time series (2001–15), the average absolute difference is 1.5 per cent for petrol and 4.8 per cent for diesel, which shows that the methods align very closely. This level of agreement compares favourably with the fuel data of other countries.</w:t>
      </w:r>
    </w:p>
    <w:p w14:paraId="5B13502D" w14:textId="77777777" w:rsidR="00DE64BC" w:rsidRPr="00256982" w:rsidRDefault="00DE64BC" w:rsidP="00A808C7">
      <w:pPr>
        <w:pStyle w:val="Heading5"/>
        <w:rPr>
          <w:lang w:eastAsia="en-GB"/>
        </w:rPr>
      </w:pPr>
      <w:r w:rsidRPr="00256982">
        <w:rPr>
          <w:lang w:eastAsia="en-GB"/>
        </w:rPr>
        <w:t>1.A.3.c Railways</w:t>
      </w:r>
    </w:p>
    <w:p w14:paraId="0EF7C304" w14:textId="77777777" w:rsidR="00DE64BC" w:rsidRPr="00256982" w:rsidRDefault="00DE64BC" w:rsidP="00A808C7">
      <w:pPr>
        <w:pStyle w:val="BodyText"/>
        <w:rPr>
          <w:lang w:eastAsia="en-GB"/>
        </w:rPr>
      </w:pPr>
      <w:r w:rsidRPr="00256982">
        <w:rPr>
          <w:lang w:eastAsia="en-GB"/>
        </w:rPr>
        <w:t xml:space="preserve">Activity data for fuel used in this category are obtained directly from KiwiRail, the operator of national rail services. This also includes diesel sold to the metropolitan service operated by Veolia in Auckland. </w:t>
      </w:r>
    </w:p>
    <w:p w14:paraId="52011CCF" w14:textId="77777777" w:rsidR="00DE64BC" w:rsidRPr="00256982" w:rsidRDefault="00DE64BC" w:rsidP="00A808C7">
      <w:pPr>
        <w:pStyle w:val="Heading5"/>
      </w:pPr>
      <w:r w:rsidRPr="00256982">
        <w:rPr>
          <w:lang w:eastAsia="en-GB"/>
        </w:rPr>
        <w:t xml:space="preserve">1.A.3.d Domestic navigation </w:t>
      </w:r>
    </w:p>
    <w:p w14:paraId="0FBB1F6C" w14:textId="77777777" w:rsidR="00DE64BC" w:rsidRPr="00256982" w:rsidRDefault="00DE64BC" w:rsidP="00A808C7">
      <w:pPr>
        <w:pStyle w:val="BodyText"/>
        <w:rPr>
          <w:lang w:eastAsia="en-GB"/>
        </w:rPr>
      </w:pPr>
      <w:r w:rsidRPr="00256982">
        <w:rPr>
          <w:lang w:eastAsia="en-GB"/>
        </w:rPr>
        <w:t xml:space="preserve">Fuel oil activity data on fuel use by domestic transport are sourced from the quarterly </w:t>
      </w:r>
      <w:r w:rsidRPr="00256982">
        <w:rPr>
          <w:rFonts w:cs="Arial"/>
          <w:iCs/>
          <w:spacing w:val="-2"/>
          <w:lang w:eastAsia="en-GB"/>
        </w:rPr>
        <w:t>DPFI</w:t>
      </w:r>
      <w:r w:rsidRPr="00256982">
        <w:rPr>
          <w:i/>
          <w:iCs/>
          <w:lang w:eastAsia="en-GB"/>
        </w:rPr>
        <w:t xml:space="preserve"> </w:t>
      </w:r>
      <w:r w:rsidRPr="00256982">
        <w:rPr>
          <w:lang w:eastAsia="en-GB"/>
        </w:rPr>
        <w:t xml:space="preserve">conducted by MBIE. The DPFI provides monthly marine diesel supply figures that are added to diesel consumption data provided by KiwiRail (the operator of inter-island ferries) to obtain total diesel consumption in the </w:t>
      </w:r>
      <w:r w:rsidRPr="00256982">
        <w:rPr>
          <w:i/>
          <w:lang w:eastAsia="en-GB"/>
        </w:rPr>
        <w:t>Domestic navigation</w:t>
      </w:r>
      <w:r w:rsidRPr="00256982">
        <w:rPr>
          <w:lang w:eastAsia="en-GB"/>
        </w:rPr>
        <w:t xml:space="preserve"> sector. New Zealand-specific emission factors have been used to estimate </w:t>
      </w:r>
      <w:r w:rsidRPr="00256982">
        <w:t>CO</w:t>
      </w:r>
      <w:r w:rsidRPr="00256982">
        <w:rPr>
          <w:vertAlign w:val="subscript"/>
        </w:rPr>
        <w:t>2</w:t>
      </w:r>
      <w:r w:rsidRPr="00256982">
        <w:rPr>
          <w:sz w:val="14"/>
          <w:szCs w:val="14"/>
          <w:lang w:eastAsia="en-GB"/>
        </w:rPr>
        <w:t xml:space="preserve"> </w:t>
      </w:r>
      <w:r w:rsidRPr="00256982">
        <w:rPr>
          <w:lang w:eastAsia="en-GB"/>
        </w:rPr>
        <w:t xml:space="preserve">emissions and, because of insufficient data, the IPCC 2006 default emission factors have been used to estimate </w:t>
      </w:r>
      <w:r w:rsidRPr="00256982">
        <w:t>CH</w:t>
      </w:r>
      <w:r w:rsidRPr="00256982">
        <w:rPr>
          <w:vertAlign w:val="subscript"/>
        </w:rPr>
        <w:t>4</w:t>
      </w:r>
      <w:r w:rsidRPr="00256982">
        <w:rPr>
          <w:sz w:val="14"/>
          <w:szCs w:val="14"/>
          <w:lang w:eastAsia="en-GB"/>
        </w:rPr>
        <w:t xml:space="preserve"> </w:t>
      </w:r>
      <w:r w:rsidRPr="00256982">
        <w:rPr>
          <w:lang w:eastAsia="en-GB"/>
        </w:rPr>
        <w:t xml:space="preserve">and </w:t>
      </w:r>
      <w:r w:rsidRPr="00256982">
        <w:t>N</w:t>
      </w:r>
      <w:r w:rsidRPr="00256982">
        <w:rPr>
          <w:vertAlign w:val="subscript"/>
        </w:rPr>
        <w:t>2</w:t>
      </w:r>
      <w:r w:rsidRPr="00256982">
        <w:t>O</w:t>
      </w:r>
      <w:r w:rsidRPr="00256982">
        <w:rPr>
          <w:lang w:eastAsia="en-GB"/>
        </w:rPr>
        <w:t xml:space="preserve"> emissions.</w:t>
      </w:r>
    </w:p>
    <w:p w14:paraId="18B12D21" w14:textId="77777777" w:rsidR="00DE64BC" w:rsidRPr="00256982" w:rsidRDefault="00DE64BC" w:rsidP="00A808C7">
      <w:pPr>
        <w:pStyle w:val="BodyText"/>
      </w:pPr>
      <w:r w:rsidRPr="00256982">
        <w:rPr>
          <w:lang w:eastAsia="en-GB"/>
        </w:rPr>
        <w:t xml:space="preserve">Fuel sales to domestic navigation and international marine bunkers are reported separately in national energy data surveys. </w:t>
      </w:r>
      <w:r w:rsidRPr="00256982">
        <w:t>The companies allocate the fuel to international or domestic transport based on whether or not they charge GST on the fuel sold – GST is not charged when the destination of a voyage is outside of New Zealand.</w:t>
      </w:r>
    </w:p>
    <w:p w14:paraId="601D1BFC" w14:textId="77777777" w:rsidR="00DE64BC" w:rsidRPr="00256982" w:rsidRDefault="00DE64BC" w:rsidP="00A808C7">
      <w:pPr>
        <w:pStyle w:val="BodyText"/>
        <w:rPr>
          <w:rFonts w:cs="Arial"/>
          <w:lang w:eastAsia="en-GB"/>
        </w:rPr>
      </w:pPr>
      <w:r w:rsidRPr="00256982">
        <w:lastRenderedPageBreak/>
        <w:t>Historically, the Marsden Point oil refinery produced marine diesel oil (MDO). Production of MDO at the refinery stopped in late 2006. Data collected from the operators of the Interislander Ferry service (KiwiRail) have not included MDO use since 2006. The end to the collection of these data coincided with this operator ceasing a ‘fast ferry’ service between the North Island and South Island – this ferry ran on MDO – whereas the remainder of its fleet runs on fuel oil. There is no significant quantity of diesel used for commercial domestic navigation in New Zealand. There may be smaller quantities of diesel used in private and/or recreational vessels, but this is difficult to estimate. The DPFI would capture these sales as road transport.</w:t>
      </w:r>
    </w:p>
    <w:p w14:paraId="57C779F2" w14:textId="77777777" w:rsidR="00DE64BC" w:rsidRPr="00256982" w:rsidRDefault="00DE64BC" w:rsidP="00A72006">
      <w:pPr>
        <w:pStyle w:val="Heading4"/>
      </w:pPr>
      <w:r w:rsidRPr="00256982">
        <w:rPr>
          <w:lang w:eastAsia="en-GB"/>
        </w:rPr>
        <w:t>Uncertainties and time-series consistency</w:t>
      </w:r>
    </w:p>
    <w:p w14:paraId="1A9E2C3B" w14:textId="77777777" w:rsidR="00DE64BC" w:rsidRPr="00256982" w:rsidRDefault="00DE64BC" w:rsidP="00A808C7">
      <w:pPr>
        <w:pStyle w:val="BodyText"/>
        <w:rPr>
          <w:lang w:eastAsia="en-GB"/>
        </w:rPr>
      </w:pPr>
      <w:r w:rsidRPr="00256982">
        <w:rPr>
          <w:lang w:eastAsia="en-GB"/>
        </w:rPr>
        <w:t xml:space="preserve">Uncertainties in emission estimates from the </w:t>
      </w:r>
      <w:r w:rsidRPr="00256982">
        <w:rPr>
          <w:i/>
          <w:lang w:eastAsia="en-GB"/>
        </w:rPr>
        <w:t>Transport</w:t>
      </w:r>
      <w:r w:rsidRPr="00256982">
        <w:rPr>
          <w:lang w:eastAsia="en-GB"/>
        </w:rPr>
        <w:t xml:space="preserve"> category are relevant to the entire </w:t>
      </w:r>
      <w:r w:rsidRPr="00256982">
        <w:rPr>
          <w:i/>
          <w:lang w:eastAsia="en-GB"/>
        </w:rPr>
        <w:t>Fuel combustion</w:t>
      </w:r>
      <w:r w:rsidRPr="00256982">
        <w:rPr>
          <w:lang w:eastAsia="en-GB"/>
        </w:rPr>
        <w:t xml:space="preserve"> sector (see table 3.3.1).</w:t>
      </w:r>
    </w:p>
    <w:p w14:paraId="41139BD1" w14:textId="77777777" w:rsidR="00DE64BC" w:rsidRPr="00256982" w:rsidRDefault="00DE64BC" w:rsidP="00A72006">
      <w:pPr>
        <w:pStyle w:val="Heading4"/>
        <w:rPr>
          <w:lang w:eastAsia="en-GB"/>
        </w:rPr>
      </w:pPr>
      <w:r w:rsidRPr="00256982">
        <w:rPr>
          <w:lang w:eastAsia="en-GB"/>
        </w:rPr>
        <w:t>Source-specific QA/QC and verification</w:t>
      </w:r>
    </w:p>
    <w:p w14:paraId="284D663C" w14:textId="77777777" w:rsidR="00DE64BC" w:rsidRPr="00256982" w:rsidRDefault="00DE64BC" w:rsidP="00A808C7">
      <w:pPr>
        <w:pStyle w:val="BodyText"/>
      </w:pPr>
      <w:r w:rsidRPr="00256982">
        <w:rPr>
          <w:lang w:eastAsia="en-GB"/>
        </w:rPr>
        <w:t xml:space="preserve">In the preparation of this inventory, the </w:t>
      </w:r>
      <w:r w:rsidRPr="00256982">
        <w:rPr>
          <w:i/>
          <w:lang w:eastAsia="en-GB"/>
        </w:rPr>
        <w:t>Transport</w:t>
      </w:r>
      <w:r w:rsidRPr="00256982">
        <w:rPr>
          <w:lang w:eastAsia="en-GB"/>
        </w:rPr>
        <w:t xml:space="preserve"> category underwent Tier 1 quality-assurance and quality-control checks as recommended in the 2006 IPCC Guidelines. These include regular control sums throughout systems, to verify system integrity, and time-series consistency checks.</w:t>
      </w:r>
    </w:p>
    <w:p w14:paraId="3C57E650" w14:textId="77777777" w:rsidR="00DE64BC" w:rsidRPr="00256982" w:rsidRDefault="00DE64BC" w:rsidP="00A808C7">
      <w:pPr>
        <w:pStyle w:val="BodyText"/>
        <w:rPr>
          <w:lang w:eastAsia="en-GB"/>
        </w:rPr>
      </w:pPr>
      <w:r w:rsidRPr="00256982">
        <w:rPr>
          <w:lang w:eastAsia="en-GB"/>
        </w:rPr>
        <w:t xml:space="preserve">Comparisons of international implied emission factors across the time series (1990–2012), and those resulting from the new Tier 3 methodology for </w:t>
      </w:r>
      <w:r w:rsidRPr="00256982">
        <w:t>CH</w:t>
      </w:r>
      <w:r w:rsidRPr="00256982">
        <w:rPr>
          <w:vertAlign w:val="subscript"/>
        </w:rPr>
        <w:t>4</w:t>
      </w:r>
      <w:r w:rsidRPr="00256982">
        <w:rPr>
          <w:lang w:eastAsia="en-GB"/>
        </w:rPr>
        <w:t xml:space="preserve"> and </w:t>
      </w:r>
      <w:r w:rsidRPr="00256982">
        <w:t>N</w:t>
      </w:r>
      <w:r w:rsidRPr="00256982">
        <w:rPr>
          <w:vertAlign w:val="subscript"/>
        </w:rPr>
        <w:t>2</w:t>
      </w:r>
      <w:r w:rsidRPr="00256982">
        <w:t>O</w:t>
      </w:r>
      <w:r w:rsidRPr="00256982">
        <w:rPr>
          <w:lang w:eastAsia="en-GB"/>
        </w:rPr>
        <w:t xml:space="preserve"> emissions from road transport, were made using data from the UNFCCC website. </w:t>
      </w:r>
    </w:p>
    <w:p w14:paraId="132B4EBA" w14:textId="77777777" w:rsidR="00DE64BC" w:rsidRPr="00256982" w:rsidRDefault="00DE64BC" w:rsidP="00A72006">
      <w:pPr>
        <w:pStyle w:val="Heading4"/>
        <w:rPr>
          <w:lang w:eastAsia="en-GB"/>
        </w:rPr>
      </w:pPr>
      <w:r w:rsidRPr="00256982">
        <w:rPr>
          <w:lang w:eastAsia="en-GB"/>
        </w:rPr>
        <w:t>Source-specific recalculations</w:t>
      </w:r>
    </w:p>
    <w:p w14:paraId="7F77E9DE" w14:textId="77777777" w:rsidR="00DE64BC" w:rsidRPr="00256982" w:rsidRDefault="00DE64BC" w:rsidP="00A808C7">
      <w:pPr>
        <w:pStyle w:val="BodyText"/>
        <w:rPr>
          <w:lang w:eastAsia="en-GB"/>
        </w:rPr>
      </w:pPr>
      <w:r w:rsidRPr="00256982">
        <w:rPr>
          <w:lang w:eastAsia="en-GB"/>
        </w:rPr>
        <w:t xml:space="preserve">Minor revisions to historical data have been made within the oil data system at MBIE. The method used to model emissions for the </w:t>
      </w:r>
      <w:r w:rsidRPr="00256982">
        <w:rPr>
          <w:i/>
          <w:lang w:eastAsia="en-GB"/>
        </w:rPr>
        <w:t xml:space="preserve">Road transportation </w:t>
      </w:r>
      <w:r w:rsidRPr="00256982">
        <w:rPr>
          <w:lang w:eastAsia="en-GB"/>
        </w:rPr>
        <w:t>category in the period 1990–2000 has been updated to improve consistency between fuels and vehicle types.</w:t>
      </w:r>
    </w:p>
    <w:p w14:paraId="3653E19C" w14:textId="77777777" w:rsidR="00DE64BC" w:rsidRPr="00256982" w:rsidRDefault="00DE64BC" w:rsidP="00A72006">
      <w:pPr>
        <w:pStyle w:val="Heading4"/>
        <w:rPr>
          <w:lang w:eastAsia="en-GB"/>
        </w:rPr>
      </w:pPr>
      <w:r w:rsidRPr="00256982">
        <w:rPr>
          <w:lang w:eastAsia="en-GB"/>
        </w:rPr>
        <w:t>Source-specific improvements</w:t>
      </w:r>
    </w:p>
    <w:p w14:paraId="4B02F02B" w14:textId="77777777" w:rsidR="00DE64BC" w:rsidRPr="00256982" w:rsidRDefault="00DE64BC" w:rsidP="00A808C7">
      <w:pPr>
        <w:pStyle w:val="BodyText"/>
        <w:rPr>
          <w:lang w:eastAsia="en-GB"/>
        </w:rPr>
      </w:pPr>
      <w:r w:rsidRPr="00256982">
        <w:rPr>
          <w:lang w:eastAsia="en-GB"/>
        </w:rPr>
        <w:t xml:space="preserve">For this submission, biodiesel has been disaggregated into the biogenic fraction and the fossil fraction. The biodiesel biogenic fraction continues to be classified as </w:t>
      </w:r>
      <w:r w:rsidRPr="00256982">
        <w:rPr>
          <w:i/>
          <w:lang w:eastAsia="en-GB"/>
        </w:rPr>
        <w:t>Biomass</w:t>
      </w:r>
      <w:r w:rsidRPr="00256982">
        <w:rPr>
          <w:lang w:eastAsia="en-GB"/>
        </w:rPr>
        <w:t xml:space="preserve">, while the biodiesel fossil fraction is classified as </w:t>
      </w:r>
      <w:r w:rsidRPr="00256982">
        <w:rPr>
          <w:i/>
          <w:lang w:eastAsia="en-GB"/>
        </w:rPr>
        <w:t>Other fossil fuels</w:t>
      </w:r>
      <w:r w:rsidRPr="00256982">
        <w:rPr>
          <w:lang w:eastAsia="en-GB"/>
        </w:rPr>
        <w:t>. Biodiesel produced and consumed in New Zealand is generally fatty acid methyl ester (FAME). To produce FAME, vegetable oil or animal fat is trans-esterified with methanol, which is assumed to be of fossil origin. Consequently, every single molecule of FAME contains one fossil carbon atom. While the exact fraction of fossil carbon in FAME depends on the nature of the feedstock oil, a value of 5.4 per cent is assumed based on measurements of a range of biodiesels from Reddy et al. (2008). As a result, part of the CO</w:t>
      </w:r>
      <w:r w:rsidRPr="00256982">
        <w:rPr>
          <w:vertAlign w:val="subscript"/>
          <w:lang w:eastAsia="en-GB"/>
        </w:rPr>
        <w:t>2</w:t>
      </w:r>
      <w:r w:rsidRPr="00256982">
        <w:rPr>
          <w:lang w:eastAsia="en-GB"/>
        </w:rPr>
        <w:t xml:space="preserve"> emissions previously reported as biomass memo items are now included in the national total emissions.</w:t>
      </w:r>
    </w:p>
    <w:p w14:paraId="4AC47AEF" w14:textId="77777777" w:rsidR="00DE64BC" w:rsidRPr="00256982" w:rsidRDefault="00DE64BC" w:rsidP="00A808C7">
      <w:pPr>
        <w:pStyle w:val="BodyText"/>
        <w:rPr>
          <w:lang w:eastAsia="en-GB"/>
        </w:rPr>
      </w:pPr>
      <w:r w:rsidRPr="00256982">
        <w:rPr>
          <w:lang w:eastAsia="en-GB"/>
        </w:rPr>
        <w:t>For 2017, the Ministry of Transport has implemented several improvements for its estimates of non-CO</w:t>
      </w:r>
      <w:r w:rsidRPr="00256982">
        <w:rPr>
          <w:vertAlign w:val="subscript"/>
          <w:lang w:eastAsia="en-GB"/>
        </w:rPr>
        <w:t>2</w:t>
      </w:r>
      <w:r w:rsidRPr="00256982">
        <w:rPr>
          <w:lang w:eastAsia="en-GB"/>
        </w:rPr>
        <w:t xml:space="preserve"> emissions from road transport: First, new emission factors for Euro 5 and 6 vehicles have been used, where previously these vehicles were treated as Euro 4/IV. Second, t</w:t>
      </w:r>
      <w:r w:rsidRPr="00256982">
        <w:t xml:space="preserve">he European Monitoring and Evaluation Programme/European Environment Agency emission inventory guidebook was updated in late 2016 (European Environment Agency, 2016). Some of the emission factors for Euro 4 and earlier vehicles were also updated in the latest version of the guidebook. Moreover, detailed emission factors were provided for heavy duty trucks in different gross vehicle mass bands. </w:t>
      </w:r>
    </w:p>
    <w:p w14:paraId="6EAD1071" w14:textId="77777777" w:rsidR="00DE64BC" w:rsidRPr="00256982" w:rsidRDefault="00DE64BC" w:rsidP="00A72006">
      <w:pPr>
        <w:pStyle w:val="Heading4"/>
      </w:pPr>
      <w:r w:rsidRPr="00256982">
        <w:rPr>
          <w:lang w:eastAsia="en-GB"/>
        </w:rPr>
        <w:lastRenderedPageBreak/>
        <w:t>Source-specific planned improvements</w:t>
      </w:r>
    </w:p>
    <w:p w14:paraId="005CB54B" w14:textId="77777777" w:rsidR="00DE64BC" w:rsidRPr="00256982" w:rsidRDefault="00DE64BC" w:rsidP="00A808C7">
      <w:pPr>
        <w:pStyle w:val="BodyText"/>
      </w:pPr>
      <w:r w:rsidRPr="00256982">
        <w:rPr>
          <w:lang w:eastAsia="en-GB"/>
        </w:rPr>
        <w:t>MBIE is discussing with the Ministry of Transport the possibility of incorporating the results of a new aviation emissions model in the inventory estimates (for CH</w:t>
      </w:r>
      <w:r w:rsidRPr="00256982">
        <w:rPr>
          <w:vertAlign w:val="subscript"/>
          <w:lang w:eastAsia="en-GB"/>
        </w:rPr>
        <w:t>4</w:t>
      </w:r>
      <w:r w:rsidRPr="00256982">
        <w:rPr>
          <w:lang w:eastAsia="en-GB"/>
        </w:rPr>
        <w:t xml:space="preserve"> and N</w:t>
      </w:r>
      <w:r w:rsidRPr="00256982">
        <w:rPr>
          <w:vertAlign w:val="subscript"/>
          <w:lang w:eastAsia="en-GB"/>
        </w:rPr>
        <w:t>2</w:t>
      </w:r>
      <w:r w:rsidRPr="00256982">
        <w:rPr>
          <w:lang w:eastAsia="en-GB"/>
        </w:rPr>
        <w:t xml:space="preserve">O emissions). This will require time and resources to progress if it is deemed to be a worthwhile improvement. An update will be reported in the next annual submission. </w:t>
      </w:r>
    </w:p>
    <w:p w14:paraId="7FA3A3A2" w14:textId="77777777" w:rsidR="00DE64BC" w:rsidRPr="00256982" w:rsidRDefault="00DE64BC" w:rsidP="00C13667">
      <w:pPr>
        <w:pStyle w:val="Heading3"/>
        <w:spacing w:before="280"/>
      </w:pPr>
      <w:r w:rsidRPr="00256982">
        <w:t>3.3.9</w:t>
      </w:r>
      <w:r w:rsidRPr="00256982">
        <w:tab/>
        <w:t>Fuel combustion: Other sectors (CRF 1.A.4)</w:t>
      </w:r>
    </w:p>
    <w:p w14:paraId="43C97032" w14:textId="77777777" w:rsidR="00DE64BC" w:rsidRPr="00256982" w:rsidRDefault="00DE64BC" w:rsidP="00A72006">
      <w:pPr>
        <w:pStyle w:val="Heading4"/>
      </w:pPr>
      <w:r w:rsidRPr="00256982">
        <w:rPr>
          <w:lang w:eastAsia="en-GB"/>
        </w:rPr>
        <w:t>Description</w:t>
      </w:r>
    </w:p>
    <w:p w14:paraId="21E1F712" w14:textId="77777777" w:rsidR="00DE64BC" w:rsidRPr="00256982" w:rsidRDefault="00DE64BC" w:rsidP="00A808C7">
      <w:pPr>
        <w:pStyle w:val="BodyText"/>
        <w:spacing w:before="100" w:after="100"/>
        <w:rPr>
          <w:lang w:eastAsia="en-GB"/>
        </w:rPr>
      </w:pPr>
      <w:r w:rsidRPr="00256982">
        <w:rPr>
          <w:lang w:eastAsia="en-GB"/>
        </w:rPr>
        <w:t xml:space="preserve">The category 1.A.4 </w:t>
      </w:r>
      <w:r w:rsidRPr="00256982">
        <w:rPr>
          <w:i/>
          <w:lang w:eastAsia="en-GB"/>
        </w:rPr>
        <w:t>Other sectors</w:t>
      </w:r>
      <w:r w:rsidRPr="00256982">
        <w:rPr>
          <w:lang w:eastAsia="en-GB"/>
        </w:rPr>
        <w:t xml:space="preserve"> comprises emissions from fuels combusted in the </w:t>
      </w:r>
      <w:r w:rsidRPr="00256982">
        <w:rPr>
          <w:i/>
          <w:lang w:eastAsia="en-GB"/>
        </w:rPr>
        <w:t>Commercial/institutional</w:t>
      </w:r>
      <w:r w:rsidRPr="00256982">
        <w:rPr>
          <w:lang w:eastAsia="en-GB"/>
        </w:rPr>
        <w:t xml:space="preserve">, </w:t>
      </w:r>
      <w:r w:rsidRPr="00256982">
        <w:rPr>
          <w:i/>
          <w:lang w:eastAsia="en-GB"/>
        </w:rPr>
        <w:t>Residential</w:t>
      </w:r>
      <w:r w:rsidRPr="00256982">
        <w:rPr>
          <w:lang w:eastAsia="en-GB"/>
        </w:rPr>
        <w:t xml:space="preserve"> and </w:t>
      </w:r>
      <w:r w:rsidRPr="00256982">
        <w:rPr>
          <w:i/>
          <w:lang w:eastAsia="en-GB"/>
        </w:rPr>
        <w:t>Agriculture/forestry/fishing</w:t>
      </w:r>
      <w:r w:rsidRPr="00256982">
        <w:rPr>
          <w:lang w:eastAsia="en-GB"/>
        </w:rPr>
        <w:t xml:space="preserve"> categories.</w:t>
      </w:r>
    </w:p>
    <w:p w14:paraId="74D03D43" w14:textId="77777777" w:rsidR="00DE64BC" w:rsidRPr="00256982" w:rsidRDefault="00DE64BC" w:rsidP="00A808C7">
      <w:pPr>
        <w:pStyle w:val="BodyText"/>
        <w:spacing w:before="100" w:after="100"/>
      </w:pPr>
      <w:r w:rsidRPr="00256982">
        <w:rPr>
          <w:lang w:eastAsia="en-GB"/>
        </w:rPr>
        <w:t xml:space="preserve">In </w:t>
      </w:r>
      <w:r w:rsidRPr="00256982">
        <w:t>2017</w:t>
      </w:r>
      <w:r w:rsidRPr="00256982">
        <w:rPr>
          <w:lang w:eastAsia="en-GB"/>
        </w:rPr>
        <w:t xml:space="preserve">, the </w:t>
      </w:r>
      <w:r w:rsidRPr="00256982">
        <w:rPr>
          <w:i/>
          <w:lang w:eastAsia="en-GB"/>
        </w:rPr>
        <w:t>Fuel combustion – other sectors</w:t>
      </w:r>
      <w:r w:rsidRPr="00256982">
        <w:rPr>
          <w:lang w:eastAsia="en-GB"/>
        </w:rPr>
        <w:t xml:space="preserve"> category accounted for </w:t>
      </w:r>
      <w:r w:rsidRPr="00256982">
        <w:t xml:space="preserve">3,272.5 </w:t>
      </w:r>
      <w:r w:rsidRPr="00256982">
        <w:rPr>
          <w:lang w:eastAsia="en-GB"/>
        </w:rPr>
        <w:t>kt CO</w:t>
      </w:r>
      <w:r w:rsidRPr="00256982">
        <w:rPr>
          <w:vertAlign w:val="subscript"/>
          <w:lang w:eastAsia="en-GB"/>
        </w:rPr>
        <w:t>2</w:t>
      </w:r>
      <w:r w:rsidRPr="00256982">
        <w:rPr>
          <w:lang w:eastAsia="en-GB"/>
        </w:rPr>
        <w:t>-e (</w:t>
      </w:r>
      <w:r w:rsidRPr="00256982">
        <w:t>10.0 per cent</w:t>
      </w:r>
      <w:r w:rsidRPr="00256982">
        <w:rPr>
          <w:lang w:eastAsia="en-GB"/>
        </w:rPr>
        <w:t xml:space="preserve"> of the emissions from the Energy sector). This is an increase of </w:t>
      </w:r>
      <w:r w:rsidRPr="00256982">
        <w:t xml:space="preserve">360.4 </w:t>
      </w:r>
      <w:r w:rsidRPr="00256982">
        <w:rPr>
          <w:lang w:eastAsia="en-GB"/>
        </w:rPr>
        <w:t>kt CO</w:t>
      </w:r>
      <w:r w:rsidRPr="00256982">
        <w:rPr>
          <w:vertAlign w:val="subscript"/>
          <w:lang w:eastAsia="en-GB"/>
        </w:rPr>
        <w:t>2</w:t>
      </w:r>
      <w:r w:rsidRPr="00256982">
        <w:rPr>
          <w:lang w:eastAsia="en-GB"/>
        </w:rPr>
        <w:t>-e (</w:t>
      </w:r>
      <w:r w:rsidRPr="00256982">
        <w:t>12.4 per cent</w:t>
      </w:r>
      <w:r w:rsidRPr="00256982">
        <w:rPr>
          <w:lang w:eastAsia="en-GB"/>
        </w:rPr>
        <w:t xml:space="preserve">) from the 1990 value of </w:t>
      </w:r>
      <w:r w:rsidRPr="00256982">
        <w:t xml:space="preserve">2,912.1 </w:t>
      </w:r>
      <w:r w:rsidRPr="00256982">
        <w:rPr>
          <w:lang w:eastAsia="en-GB"/>
        </w:rPr>
        <w:t>kt CO</w:t>
      </w:r>
      <w:r w:rsidRPr="00256982">
        <w:rPr>
          <w:vertAlign w:val="subscript"/>
          <w:lang w:eastAsia="en-GB"/>
        </w:rPr>
        <w:t>2</w:t>
      </w:r>
      <w:r w:rsidRPr="00256982">
        <w:rPr>
          <w:lang w:eastAsia="en-GB"/>
        </w:rPr>
        <w:t>-e.</w:t>
      </w:r>
    </w:p>
    <w:p w14:paraId="73CB175E" w14:textId="77777777" w:rsidR="00DE64BC" w:rsidRPr="00256982" w:rsidRDefault="00DE64BC" w:rsidP="00A72006">
      <w:pPr>
        <w:pStyle w:val="Heading4"/>
        <w:rPr>
          <w:lang w:eastAsia="en-GB"/>
        </w:rPr>
      </w:pPr>
      <w:r w:rsidRPr="00256982">
        <w:rPr>
          <w:lang w:eastAsia="en-GB"/>
        </w:rPr>
        <w:t xml:space="preserve">Changes in emissions between </w:t>
      </w:r>
      <w:r w:rsidRPr="00256982">
        <w:t>2016</w:t>
      </w:r>
      <w:r w:rsidRPr="00256982">
        <w:rPr>
          <w:lang w:eastAsia="en-GB"/>
        </w:rPr>
        <w:t xml:space="preserve"> and </w:t>
      </w:r>
      <w:r w:rsidRPr="00256982">
        <w:t>2017</w:t>
      </w:r>
    </w:p>
    <w:p w14:paraId="514C5DDE" w14:textId="77777777" w:rsidR="00DE64BC" w:rsidRPr="00256982" w:rsidRDefault="00DE64BC" w:rsidP="00A808C7">
      <w:pPr>
        <w:pStyle w:val="BodyText"/>
        <w:rPr>
          <w:lang w:eastAsia="en-GB"/>
        </w:rPr>
      </w:pPr>
      <w:r w:rsidRPr="00256982">
        <w:rPr>
          <w:lang w:eastAsia="en-GB"/>
        </w:rPr>
        <w:t xml:space="preserve">Between </w:t>
      </w:r>
      <w:r w:rsidRPr="00256982">
        <w:t xml:space="preserve">2016 </w:t>
      </w:r>
      <w:r w:rsidRPr="00256982">
        <w:rPr>
          <w:lang w:eastAsia="en-GB"/>
        </w:rPr>
        <w:t xml:space="preserve">and </w:t>
      </w:r>
      <w:r w:rsidRPr="00256982">
        <w:t>2017</w:t>
      </w:r>
      <w:r w:rsidRPr="00256982">
        <w:rPr>
          <w:lang w:eastAsia="en-GB"/>
        </w:rPr>
        <w:t xml:space="preserve">, emissions from 1.A.4 </w:t>
      </w:r>
      <w:r w:rsidRPr="00256982">
        <w:rPr>
          <w:i/>
          <w:lang w:eastAsia="en-GB"/>
        </w:rPr>
        <w:t>Other sectors</w:t>
      </w:r>
      <w:r w:rsidRPr="00256982">
        <w:rPr>
          <w:lang w:eastAsia="en-GB"/>
        </w:rPr>
        <w:t xml:space="preserve"> </w:t>
      </w:r>
      <w:r w:rsidRPr="00256982">
        <w:t xml:space="preserve">increased by 107.4 </w:t>
      </w:r>
      <w:r w:rsidRPr="00256982">
        <w:rPr>
          <w:lang w:eastAsia="en-GB"/>
        </w:rPr>
        <w:t>kt CO</w:t>
      </w:r>
      <w:r w:rsidRPr="00256982">
        <w:rPr>
          <w:szCs w:val="22"/>
          <w:vertAlign w:val="subscript"/>
          <w:lang w:eastAsia="en-GB"/>
        </w:rPr>
        <w:t>2</w:t>
      </w:r>
      <w:r w:rsidRPr="00256982">
        <w:rPr>
          <w:lang w:eastAsia="en-GB"/>
        </w:rPr>
        <w:t>-e (3.4</w:t>
      </w:r>
      <w:r w:rsidRPr="00256982">
        <w:t> per cent</w:t>
      </w:r>
      <w:r w:rsidRPr="00256982">
        <w:rPr>
          <w:lang w:eastAsia="en-GB"/>
        </w:rPr>
        <w:t xml:space="preserve">). </w:t>
      </w:r>
    </w:p>
    <w:p w14:paraId="79B9FD10" w14:textId="77777777" w:rsidR="00DE64BC" w:rsidRPr="00256982" w:rsidRDefault="00DE64BC" w:rsidP="00A808C7">
      <w:pPr>
        <w:pStyle w:val="BodyText"/>
      </w:pPr>
      <w:r w:rsidRPr="00256982">
        <w:t xml:space="preserve">Key categories identified in the 2017 level and trend assessment for the </w:t>
      </w:r>
      <w:r w:rsidRPr="00256982">
        <w:rPr>
          <w:i/>
        </w:rPr>
        <w:t>Other sectors</w:t>
      </w:r>
      <w:r w:rsidRPr="00256982">
        <w:t xml:space="preserve"> category are given in table 3.3.6.</w:t>
      </w:r>
    </w:p>
    <w:p w14:paraId="6F2E52D5" w14:textId="61A683A1" w:rsidR="00DE64BC" w:rsidRPr="00256982" w:rsidRDefault="00DE64BC" w:rsidP="00A808C7">
      <w:pPr>
        <w:pStyle w:val="Table"/>
      </w:pPr>
      <w:bookmarkStart w:id="364" w:name="_Toc5269451"/>
      <w:r w:rsidRPr="00256982">
        <w:t>Table 3.3.6</w:t>
      </w:r>
      <w:r w:rsidRPr="00256982">
        <w:tab/>
        <w:t>Key categories for 1.A.</w:t>
      </w:r>
      <w:r w:rsidR="00EF04D7">
        <w:t>4</w:t>
      </w:r>
      <w:r w:rsidR="007F7F59">
        <w:t xml:space="preserve"> </w:t>
      </w:r>
      <w:r w:rsidRPr="00256982">
        <w:rPr>
          <w:lang w:eastAsia="en-GB"/>
        </w:rPr>
        <w:t>Other sectors</w:t>
      </w:r>
      <w:bookmarkEnd w:id="364"/>
    </w:p>
    <w:tbl>
      <w:tblPr>
        <w:tblW w:w="8562" w:type="dxa"/>
        <w:tblInd w:w="108" w:type="dxa"/>
        <w:tblBorders>
          <w:top w:val="single" w:sz="4" w:space="0" w:color="1F497D"/>
          <w:bottom w:val="single" w:sz="4" w:space="0" w:color="1F497D"/>
          <w:insideH w:val="single" w:sz="4" w:space="0" w:color="1F497D"/>
          <w:insideV w:val="single" w:sz="4" w:space="0" w:color="1F497D"/>
        </w:tblBorders>
        <w:tblLayout w:type="fixed"/>
        <w:tblLook w:val="0420" w:firstRow="1" w:lastRow="0" w:firstColumn="0" w:lastColumn="0" w:noHBand="0" w:noVBand="1"/>
      </w:tblPr>
      <w:tblGrid>
        <w:gridCol w:w="3795"/>
        <w:gridCol w:w="1671"/>
        <w:gridCol w:w="1519"/>
        <w:gridCol w:w="1577"/>
      </w:tblGrid>
      <w:tr w:rsidR="00DE64BC" w:rsidRPr="00256982" w14:paraId="02E75EE2" w14:textId="77777777" w:rsidTr="00A808C7">
        <w:trPr>
          <w:tblHeader/>
        </w:trPr>
        <w:tc>
          <w:tcPr>
            <w:tcW w:w="2216" w:type="pct"/>
            <w:tcBorders>
              <w:right w:val="single" w:sz="4" w:space="0" w:color="365F91"/>
            </w:tcBorders>
            <w:shd w:val="clear" w:color="auto" w:fill="365F91"/>
            <w:noWrap/>
            <w:vAlign w:val="bottom"/>
            <w:hideMark/>
          </w:tcPr>
          <w:p w14:paraId="5F2CB7AD" w14:textId="77777777" w:rsidR="00DE64BC" w:rsidRPr="00256982" w:rsidRDefault="00DE64BC" w:rsidP="00A808C7">
            <w:pPr>
              <w:pStyle w:val="TableTextBold"/>
              <w:spacing w:before="50" w:after="50"/>
              <w:rPr>
                <w:noProof w:val="0"/>
                <w:color w:val="FFFFFF"/>
              </w:rPr>
            </w:pPr>
          </w:p>
        </w:tc>
        <w:tc>
          <w:tcPr>
            <w:tcW w:w="976" w:type="pct"/>
            <w:tcBorders>
              <w:top w:val="single" w:sz="4" w:space="0" w:color="365F91"/>
              <w:left w:val="single" w:sz="4" w:space="0" w:color="365F91"/>
              <w:bottom w:val="single" w:sz="4" w:space="0" w:color="365F91"/>
              <w:right w:val="single" w:sz="4" w:space="0" w:color="365F91"/>
            </w:tcBorders>
            <w:shd w:val="clear" w:color="auto" w:fill="365F91"/>
            <w:noWrap/>
            <w:vAlign w:val="bottom"/>
            <w:hideMark/>
          </w:tcPr>
          <w:p w14:paraId="518F6341" w14:textId="77777777" w:rsidR="00DE64BC" w:rsidRPr="00256982" w:rsidRDefault="00DE64BC" w:rsidP="00A808C7">
            <w:pPr>
              <w:pStyle w:val="TableTextBold"/>
              <w:spacing w:before="50" w:after="50"/>
              <w:rPr>
                <w:noProof w:val="0"/>
                <w:color w:val="FFFFFF"/>
              </w:rPr>
            </w:pPr>
            <w:r w:rsidRPr="00256982">
              <w:rPr>
                <w:noProof w:val="0"/>
                <w:color w:val="FFFFFF"/>
              </w:rPr>
              <w:t>Liquid fuels</w:t>
            </w:r>
          </w:p>
        </w:tc>
        <w:tc>
          <w:tcPr>
            <w:tcW w:w="887" w:type="pct"/>
            <w:tcBorders>
              <w:top w:val="single" w:sz="4" w:space="0" w:color="365F91"/>
              <w:left w:val="single" w:sz="4" w:space="0" w:color="365F91"/>
              <w:bottom w:val="single" w:sz="4" w:space="0" w:color="365F91"/>
              <w:right w:val="single" w:sz="4" w:space="0" w:color="365F91"/>
            </w:tcBorders>
            <w:shd w:val="clear" w:color="auto" w:fill="365F91"/>
            <w:vAlign w:val="bottom"/>
            <w:hideMark/>
          </w:tcPr>
          <w:p w14:paraId="04DF94AD" w14:textId="77777777" w:rsidR="00DE64BC" w:rsidRPr="00256982" w:rsidRDefault="00DE64BC" w:rsidP="00A808C7">
            <w:pPr>
              <w:pStyle w:val="TableTextBold"/>
              <w:spacing w:before="50" w:after="50"/>
              <w:rPr>
                <w:noProof w:val="0"/>
                <w:color w:val="FFFFFF"/>
              </w:rPr>
            </w:pPr>
            <w:r w:rsidRPr="00256982">
              <w:rPr>
                <w:noProof w:val="0"/>
                <w:color w:val="FFFFFF"/>
              </w:rPr>
              <w:t>Solid fuels</w:t>
            </w:r>
          </w:p>
        </w:tc>
        <w:tc>
          <w:tcPr>
            <w:tcW w:w="921" w:type="pct"/>
            <w:tcBorders>
              <w:left w:val="single" w:sz="4" w:space="0" w:color="365F91"/>
            </w:tcBorders>
            <w:shd w:val="clear" w:color="auto" w:fill="365F91"/>
            <w:vAlign w:val="bottom"/>
            <w:hideMark/>
          </w:tcPr>
          <w:p w14:paraId="10575F15" w14:textId="77777777" w:rsidR="00DE64BC" w:rsidRPr="00256982" w:rsidRDefault="00DE64BC" w:rsidP="00A808C7">
            <w:pPr>
              <w:pStyle w:val="TableTextBold"/>
              <w:spacing w:before="50" w:after="50"/>
              <w:rPr>
                <w:noProof w:val="0"/>
                <w:color w:val="FFFFFF"/>
              </w:rPr>
            </w:pPr>
            <w:r w:rsidRPr="00256982">
              <w:rPr>
                <w:noProof w:val="0"/>
                <w:color w:val="FFFFFF"/>
              </w:rPr>
              <w:t>Gaseous fuels</w:t>
            </w:r>
          </w:p>
        </w:tc>
      </w:tr>
      <w:tr w:rsidR="00DE64BC" w:rsidRPr="00256982" w14:paraId="17248932" w14:textId="77777777" w:rsidTr="00A808C7">
        <w:tc>
          <w:tcPr>
            <w:tcW w:w="2216" w:type="pct"/>
            <w:tcBorders>
              <w:right w:val="single" w:sz="4" w:space="0" w:color="365F91"/>
            </w:tcBorders>
            <w:shd w:val="clear" w:color="auto" w:fill="auto"/>
            <w:noWrap/>
            <w:hideMark/>
          </w:tcPr>
          <w:p w14:paraId="012FA4B3" w14:textId="77777777" w:rsidR="00DE64BC" w:rsidRPr="00256982" w:rsidRDefault="00DE64BC" w:rsidP="00A808C7">
            <w:pPr>
              <w:pStyle w:val="TableText"/>
              <w:spacing w:before="50" w:after="50"/>
            </w:pPr>
            <w:r w:rsidRPr="00256982">
              <w:t>Commercial/institutional – CO</w:t>
            </w:r>
            <w:r w:rsidRPr="00256982">
              <w:rPr>
                <w:vertAlign w:val="subscript"/>
              </w:rPr>
              <w:t>2</w:t>
            </w:r>
          </w:p>
        </w:tc>
        <w:tc>
          <w:tcPr>
            <w:tcW w:w="976" w:type="pct"/>
            <w:tcBorders>
              <w:top w:val="single" w:sz="4" w:space="0" w:color="365F91"/>
              <w:left w:val="single" w:sz="4" w:space="0" w:color="365F91"/>
              <w:bottom w:val="single" w:sz="4" w:space="0" w:color="365F91"/>
              <w:right w:val="single" w:sz="4" w:space="0" w:color="365F91"/>
            </w:tcBorders>
            <w:shd w:val="clear" w:color="auto" w:fill="auto"/>
            <w:noWrap/>
            <w:hideMark/>
          </w:tcPr>
          <w:p w14:paraId="1BCE1B08" w14:textId="77777777" w:rsidR="00DE64BC" w:rsidRPr="00256982" w:rsidRDefault="00DE64BC" w:rsidP="00A808C7">
            <w:pPr>
              <w:pStyle w:val="TableText"/>
              <w:spacing w:before="50" w:after="50"/>
            </w:pPr>
            <w:r w:rsidRPr="00256982">
              <w:t>Level, trend</w:t>
            </w:r>
          </w:p>
        </w:tc>
        <w:tc>
          <w:tcPr>
            <w:tcW w:w="887" w:type="pct"/>
            <w:tcBorders>
              <w:top w:val="single" w:sz="4" w:space="0" w:color="365F91"/>
              <w:left w:val="single" w:sz="4" w:space="0" w:color="365F91"/>
              <w:bottom w:val="single" w:sz="4" w:space="0" w:color="365F91"/>
              <w:right w:val="single" w:sz="4" w:space="0" w:color="365F91"/>
            </w:tcBorders>
            <w:shd w:val="clear" w:color="auto" w:fill="auto"/>
            <w:noWrap/>
            <w:hideMark/>
          </w:tcPr>
          <w:p w14:paraId="4CEFCEA0" w14:textId="762666B3" w:rsidR="00DE64BC" w:rsidRPr="00256982" w:rsidRDefault="0038559C" w:rsidP="00A808C7">
            <w:pPr>
              <w:pStyle w:val="TableText"/>
              <w:spacing w:before="50" w:after="50"/>
            </w:pPr>
            <w:r>
              <w:t>Trend</w:t>
            </w:r>
          </w:p>
        </w:tc>
        <w:tc>
          <w:tcPr>
            <w:tcW w:w="921" w:type="pct"/>
            <w:tcBorders>
              <w:left w:val="single" w:sz="4" w:space="0" w:color="365F91"/>
            </w:tcBorders>
            <w:shd w:val="clear" w:color="auto" w:fill="auto"/>
            <w:noWrap/>
            <w:hideMark/>
          </w:tcPr>
          <w:p w14:paraId="26D6BD2F" w14:textId="77777777" w:rsidR="00DE64BC" w:rsidRPr="00256982" w:rsidRDefault="00DE64BC" w:rsidP="00A808C7">
            <w:pPr>
              <w:pStyle w:val="TableText"/>
              <w:spacing w:before="50" w:after="50"/>
            </w:pPr>
            <w:r w:rsidRPr="00256982">
              <w:t>Level, trend</w:t>
            </w:r>
          </w:p>
        </w:tc>
      </w:tr>
      <w:tr w:rsidR="00DE64BC" w:rsidRPr="00256982" w14:paraId="0CD98B77" w14:textId="77777777" w:rsidTr="00A808C7">
        <w:tc>
          <w:tcPr>
            <w:tcW w:w="2216" w:type="pct"/>
            <w:tcBorders>
              <w:right w:val="single" w:sz="4" w:space="0" w:color="365F91"/>
            </w:tcBorders>
            <w:shd w:val="clear" w:color="auto" w:fill="auto"/>
            <w:noWrap/>
            <w:hideMark/>
          </w:tcPr>
          <w:p w14:paraId="6FB003D3" w14:textId="77777777" w:rsidR="00DE64BC" w:rsidRPr="00256982" w:rsidRDefault="00DE64BC" w:rsidP="00A808C7">
            <w:pPr>
              <w:pStyle w:val="TableText"/>
              <w:spacing w:before="50" w:after="50"/>
            </w:pPr>
            <w:r w:rsidRPr="00256982">
              <w:t>Residential – CO</w:t>
            </w:r>
            <w:r w:rsidRPr="00256982">
              <w:rPr>
                <w:vertAlign w:val="subscript"/>
              </w:rPr>
              <w:t>2</w:t>
            </w:r>
          </w:p>
        </w:tc>
        <w:tc>
          <w:tcPr>
            <w:tcW w:w="976" w:type="pct"/>
            <w:tcBorders>
              <w:top w:val="single" w:sz="4" w:space="0" w:color="365F91"/>
              <w:left w:val="single" w:sz="4" w:space="0" w:color="365F91"/>
              <w:bottom w:val="single" w:sz="4" w:space="0" w:color="365F91"/>
              <w:right w:val="single" w:sz="4" w:space="0" w:color="365F91"/>
            </w:tcBorders>
            <w:shd w:val="clear" w:color="auto" w:fill="auto"/>
            <w:noWrap/>
            <w:hideMark/>
          </w:tcPr>
          <w:p w14:paraId="4E8FAC7D" w14:textId="77777777" w:rsidR="00DE64BC" w:rsidRPr="00256982" w:rsidRDefault="00DE64BC" w:rsidP="00A808C7">
            <w:pPr>
              <w:pStyle w:val="TableText"/>
              <w:spacing w:before="50" w:after="50"/>
            </w:pPr>
            <w:r w:rsidRPr="00256982">
              <w:t>Level</w:t>
            </w:r>
          </w:p>
        </w:tc>
        <w:tc>
          <w:tcPr>
            <w:tcW w:w="887" w:type="pct"/>
            <w:tcBorders>
              <w:top w:val="single" w:sz="4" w:space="0" w:color="365F91"/>
              <w:left w:val="single" w:sz="4" w:space="0" w:color="365F91"/>
              <w:bottom w:val="single" w:sz="4" w:space="0" w:color="365F91"/>
              <w:right w:val="single" w:sz="4" w:space="0" w:color="365F91"/>
            </w:tcBorders>
            <w:shd w:val="clear" w:color="auto" w:fill="auto"/>
            <w:noWrap/>
          </w:tcPr>
          <w:p w14:paraId="78D9148B" w14:textId="77777777" w:rsidR="00DE64BC" w:rsidRPr="00256982" w:rsidRDefault="00DE64BC" w:rsidP="00A808C7">
            <w:pPr>
              <w:pStyle w:val="TableText"/>
              <w:spacing w:before="50" w:after="50"/>
            </w:pPr>
            <w:r w:rsidRPr="00256982">
              <w:t>Trend</w:t>
            </w:r>
          </w:p>
        </w:tc>
        <w:tc>
          <w:tcPr>
            <w:tcW w:w="921" w:type="pct"/>
            <w:tcBorders>
              <w:left w:val="single" w:sz="4" w:space="0" w:color="365F91"/>
            </w:tcBorders>
            <w:shd w:val="clear" w:color="auto" w:fill="auto"/>
            <w:noWrap/>
            <w:hideMark/>
          </w:tcPr>
          <w:p w14:paraId="3AF6103B" w14:textId="77777777" w:rsidR="00DE64BC" w:rsidRPr="00256982" w:rsidRDefault="00DE64BC" w:rsidP="00A808C7">
            <w:pPr>
              <w:pStyle w:val="TableText"/>
              <w:spacing w:before="50" w:after="50"/>
            </w:pPr>
            <w:r w:rsidRPr="00256982">
              <w:t>Level, trend</w:t>
            </w:r>
          </w:p>
        </w:tc>
      </w:tr>
      <w:tr w:rsidR="00DE64BC" w:rsidRPr="00256982" w14:paraId="178F9617" w14:textId="77777777" w:rsidTr="00A808C7">
        <w:tc>
          <w:tcPr>
            <w:tcW w:w="2216" w:type="pct"/>
            <w:tcBorders>
              <w:right w:val="single" w:sz="4" w:space="0" w:color="365F91"/>
            </w:tcBorders>
            <w:shd w:val="clear" w:color="auto" w:fill="auto"/>
            <w:noWrap/>
          </w:tcPr>
          <w:p w14:paraId="10C81A84" w14:textId="77777777" w:rsidR="00DE64BC" w:rsidRPr="00256982" w:rsidRDefault="00DE64BC" w:rsidP="00A808C7">
            <w:pPr>
              <w:pStyle w:val="TableText"/>
              <w:spacing w:before="50" w:after="50"/>
            </w:pPr>
            <w:r w:rsidRPr="00256982">
              <w:t>Agriculture/forestry/fishing – CO</w:t>
            </w:r>
            <w:r w:rsidRPr="00256982">
              <w:rPr>
                <w:vertAlign w:val="subscript"/>
              </w:rPr>
              <w:t>2</w:t>
            </w:r>
          </w:p>
        </w:tc>
        <w:tc>
          <w:tcPr>
            <w:tcW w:w="976" w:type="pct"/>
            <w:tcBorders>
              <w:top w:val="single" w:sz="4" w:space="0" w:color="365F91"/>
              <w:left w:val="single" w:sz="4" w:space="0" w:color="365F91"/>
              <w:bottom w:val="single" w:sz="4" w:space="0" w:color="365F91"/>
              <w:right w:val="single" w:sz="4" w:space="0" w:color="365F91"/>
            </w:tcBorders>
            <w:shd w:val="clear" w:color="auto" w:fill="auto"/>
            <w:noWrap/>
          </w:tcPr>
          <w:p w14:paraId="67ADFBF6" w14:textId="3844505A" w:rsidR="00DE64BC" w:rsidRPr="00256982" w:rsidRDefault="00DE64BC" w:rsidP="00A808C7">
            <w:pPr>
              <w:pStyle w:val="TableText"/>
              <w:spacing w:before="50" w:after="50"/>
            </w:pPr>
            <w:r w:rsidRPr="00256982">
              <w:t>Level</w:t>
            </w:r>
            <w:r w:rsidR="0038559C">
              <w:t>, trend</w:t>
            </w:r>
          </w:p>
        </w:tc>
        <w:tc>
          <w:tcPr>
            <w:tcW w:w="887" w:type="pct"/>
            <w:tcBorders>
              <w:top w:val="single" w:sz="4" w:space="0" w:color="365F91"/>
              <w:left w:val="single" w:sz="4" w:space="0" w:color="365F91"/>
              <w:bottom w:val="single" w:sz="4" w:space="0" w:color="365F91"/>
              <w:right w:val="single" w:sz="4" w:space="0" w:color="365F91"/>
            </w:tcBorders>
            <w:shd w:val="clear" w:color="auto" w:fill="auto"/>
            <w:noWrap/>
          </w:tcPr>
          <w:p w14:paraId="18A80D8C" w14:textId="483B79EE" w:rsidR="00DE64BC" w:rsidRPr="00256982" w:rsidRDefault="0038559C" w:rsidP="00A808C7">
            <w:pPr>
              <w:pStyle w:val="TableText"/>
              <w:spacing w:before="50" w:after="50"/>
            </w:pPr>
            <w:r>
              <w:t>Level, trend</w:t>
            </w:r>
          </w:p>
        </w:tc>
        <w:tc>
          <w:tcPr>
            <w:tcW w:w="921" w:type="pct"/>
            <w:tcBorders>
              <w:left w:val="single" w:sz="4" w:space="0" w:color="365F91"/>
            </w:tcBorders>
            <w:shd w:val="clear" w:color="auto" w:fill="auto"/>
            <w:noWrap/>
          </w:tcPr>
          <w:p w14:paraId="021C6D09" w14:textId="77777777" w:rsidR="00DE64BC" w:rsidRPr="00256982" w:rsidRDefault="00DE64BC" w:rsidP="00A808C7">
            <w:pPr>
              <w:pStyle w:val="TableText"/>
              <w:spacing w:before="50" w:after="50"/>
            </w:pPr>
          </w:p>
        </w:tc>
      </w:tr>
    </w:tbl>
    <w:p w14:paraId="7A7D9D16" w14:textId="77777777" w:rsidR="00DE64BC" w:rsidRPr="00256982" w:rsidRDefault="00DE64BC" w:rsidP="00EA6905">
      <w:pPr>
        <w:pStyle w:val="Heading4"/>
        <w:spacing w:before="360"/>
      </w:pPr>
      <w:r w:rsidRPr="00256982">
        <w:rPr>
          <w:lang w:eastAsia="en-GB"/>
        </w:rPr>
        <w:t>Methodological issues</w:t>
      </w:r>
    </w:p>
    <w:p w14:paraId="400056B2" w14:textId="77777777" w:rsidR="00DE64BC" w:rsidRPr="00256982" w:rsidRDefault="00DE64BC" w:rsidP="00A808C7">
      <w:pPr>
        <w:pStyle w:val="BodyText"/>
        <w:rPr>
          <w:lang w:eastAsia="en-GB"/>
        </w:rPr>
      </w:pPr>
      <w:r w:rsidRPr="00256982">
        <w:rPr>
          <w:lang w:eastAsia="en-GB"/>
        </w:rPr>
        <w:t>There are no notable methodological issues in this category.</w:t>
      </w:r>
    </w:p>
    <w:p w14:paraId="680AAE52" w14:textId="77777777" w:rsidR="00DE64BC" w:rsidRPr="00256982" w:rsidRDefault="00DE64BC" w:rsidP="00A72006">
      <w:pPr>
        <w:pStyle w:val="Heading4"/>
        <w:rPr>
          <w:lang w:eastAsia="en-GB"/>
        </w:rPr>
      </w:pPr>
      <w:r w:rsidRPr="00256982">
        <w:rPr>
          <w:lang w:eastAsia="en-GB"/>
        </w:rPr>
        <w:t>Activity data</w:t>
      </w:r>
    </w:p>
    <w:p w14:paraId="7CCE80D0" w14:textId="77777777" w:rsidR="00DE64BC" w:rsidRPr="00256982" w:rsidRDefault="00DE64BC" w:rsidP="00A808C7">
      <w:pPr>
        <w:pStyle w:val="Heading5"/>
        <w:spacing w:before="120"/>
      </w:pPr>
      <w:r w:rsidRPr="00256982">
        <w:t>Liquid fuels</w:t>
      </w:r>
    </w:p>
    <w:p w14:paraId="1930A387" w14:textId="77777777" w:rsidR="00DE64BC" w:rsidRPr="00256982" w:rsidRDefault="00DE64BC" w:rsidP="00A808C7">
      <w:pPr>
        <w:pStyle w:val="BodyText"/>
        <w:spacing w:before="100" w:after="100"/>
      </w:pPr>
      <w:r w:rsidRPr="00256982">
        <w:t xml:space="preserve">As mentioned in section 3.3.1, this inventory continues to use the results of the </w:t>
      </w:r>
      <w:r w:rsidRPr="00256982">
        <w:rPr>
          <w:i/>
        </w:rPr>
        <w:t>Annual Liquid Fuel Survey</w:t>
      </w:r>
      <w:r w:rsidRPr="00256982">
        <w:t xml:space="preserve"> that began in 2009. The purpose of this survey is to capture the allocation of fuel resold by small independent resellers. In recent years, these independent resellers accounted for around 30 per cent of national diesel deliveries and around 8 per cent of national gasoline deliveries. </w:t>
      </w:r>
    </w:p>
    <w:p w14:paraId="79FE1E2C" w14:textId="77777777" w:rsidR="00DE64BC" w:rsidRPr="00256982" w:rsidRDefault="00DE64BC" w:rsidP="00A808C7">
      <w:pPr>
        <w:pStyle w:val="BodyText"/>
        <w:spacing w:before="100" w:after="100"/>
      </w:pPr>
      <w:r w:rsidRPr="00256982">
        <w:t xml:space="preserve">As the result of resale data captured by the </w:t>
      </w:r>
      <w:r w:rsidRPr="00256982">
        <w:rPr>
          <w:i/>
        </w:rPr>
        <w:t>Annual Liquid Fuel Survey</w:t>
      </w:r>
      <w:r w:rsidRPr="00256982">
        <w:t xml:space="preserve">, emissions that would otherwise be reported under category 1.A.3.b </w:t>
      </w:r>
      <w:r w:rsidRPr="00256982">
        <w:rPr>
          <w:i/>
        </w:rPr>
        <w:t>Road transportation</w:t>
      </w:r>
      <w:r w:rsidRPr="00256982">
        <w:t xml:space="preserve"> are allocated to the correct category.</w:t>
      </w:r>
    </w:p>
    <w:p w14:paraId="24D87DAA" w14:textId="77777777" w:rsidR="00DE64BC" w:rsidRPr="00256982" w:rsidRDefault="00DE64BC" w:rsidP="00A808C7">
      <w:pPr>
        <w:pStyle w:val="BodyText"/>
        <w:spacing w:before="100" w:after="100"/>
      </w:pPr>
      <w:r w:rsidRPr="00256982">
        <w:t>For time-series consistency, these reallocations are also made from 1990 to 2008, before the collection of data on the resale of liquid fuel by small, independent distributors began.</w:t>
      </w:r>
    </w:p>
    <w:p w14:paraId="2059AA04" w14:textId="77777777" w:rsidR="00DE64BC" w:rsidRPr="00256982" w:rsidRDefault="00DE64BC" w:rsidP="00A808C7">
      <w:pPr>
        <w:pStyle w:val="BodyText"/>
        <w:spacing w:before="100" w:after="100"/>
      </w:pPr>
      <w:r w:rsidRPr="00256982">
        <w:t xml:space="preserve">As mentioned in section 3.3.7 (Activity data, Liquid fuels), historical national energy sales surveys captured fuel use by mining operations under ‘other primary industry’. For consistency with the IPCC Guidelines, this inventory uses data provided by Stats NZ’s </w:t>
      </w:r>
      <w:r w:rsidRPr="00256982">
        <w:rPr>
          <w:i/>
        </w:rPr>
        <w:t>Energy Use Survey</w:t>
      </w:r>
      <w:r w:rsidRPr="00256982">
        <w:t xml:space="preserve"> </w:t>
      </w:r>
      <w:r w:rsidRPr="00256982">
        <w:lastRenderedPageBreak/>
        <w:t>(</w:t>
      </w:r>
      <w:r w:rsidRPr="00256982">
        <w:rPr>
          <w:lang w:eastAsia="en-GB"/>
        </w:rPr>
        <w:t xml:space="preserve">Stats NZ, 2017) </w:t>
      </w:r>
      <w:r w:rsidRPr="00256982">
        <w:t>to estimate the split of historical ‘other primary industry’ activity for fuel oil between forestry and logging, and mining (see table 3.3.7). There is insufficient historical data to extrapolate a historical trend for this split: instead, activity splits are interpolated between the two surveys and assumed to be constant for the period 1990–2008.</w:t>
      </w:r>
    </w:p>
    <w:p w14:paraId="2ADC2B54" w14:textId="77777777" w:rsidR="00DE64BC" w:rsidRPr="00256982" w:rsidRDefault="00DE64BC" w:rsidP="00A808C7">
      <w:pPr>
        <w:pStyle w:val="Table"/>
        <w:rPr>
          <w:color w:val="FFFFFF"/>
        </w:rPr>
      </w:pPr>
      <w:bookmarkStart w:id="365" w:name="_Toc321399160"/>
      <w:bookmarkStart w:id="366" w:name="_Toc384582867"/>
      <w:bookmarkStart w:id="367" w:name="_Toc443060847"/>
      <w:bookmarkStart w:id="368" w:name="_Toc451176063"/>
      <w:bookmarkStart w:id="369" w:name="_Toc481751489"/>
      <w:bookmarkStart w:id="370" w:name="_Toc507496592"/>
      <w:bookmarkStart w:id="371" w:name="_Toc5269452"/>
      <w:r w:rsidRPr="00256982">
        <w:t xml:space="preserve">Table 3.3.7 </w:t>
      </w:r>
      <w:r w:rsidRPr="00256982">
        <w:tab/>
        <w:t>Split of fuel oil activity for ‘other primary industry’</w:t>
      </w:r>
      <w:bookmarkEnd w:id="365"/>
      <w:bookmarkEnd w:id="366"/>
      <w:bookmarkEnd w:id="367"/>
      <w:bookmarkEnd w:id="368"/>
      <w:bookmarkEnd w:id="369"/>
      <w:bookmarkEnd w:id="370"/>
      <w:bookmarkEnd w:id="371"/>
      <w:r w:rsidRPr="00256982">
        <w:rPr>
          <w:color w:val="FFFFFF"/>
        </w:rPr>
        <w:t xml:space="preserve"> </w:t>
      </w:r>
    </w:p>
    <w:tbl>
      <w:tblPr>
        <w:tblW w:w="8562" w:type="dxa"/>
        <w:tblInd w:w="108" w:type="dxa"/>
        <w:tblBorders>
          <w:top w:val="single" w:sz="4" w:space="0" w:color="365F91"/>
          <w:bottom w:val="single" w:sz="4" w:space="0" w:color="365F91"/>
          <w:insideH w:val="single" w:sz="4" w:space="0" w:color="365F91"/>
        </w:tblBorders>
        <w:tblLayout w:type="fixed"/>
        <w:tblLook w:val="04A0" w:firstRow="1" w:lastRow="0" w:firstColumn="1" w:lastColumn="0" w:noHBand="0" w:noVBand="1"/>
      </w:tblPr>
      <w:tblGrid>
        <w:gridCol w:w="2312"/>
        <w:gridCol w:w="3106"/>
        <w:gridCol w:w="3144"/>
      </w:tblGrid>
      <w:tr w:rsidR="00DE64BC" w:rsidRPr="00256982" w14:paraId="1CDD19EE" w14:textId="77777777" w:rsidTr="00A808C7">
        <w:trPr>
          <w:cantSplit/>
        </w:trPr>
        <w:tc>
          <w:tcPr>
            <w:tcW w:w="1350" w:type="pct"/>
            <w:shd w:val="clear" w:color="auto" w:fill="365F91"/>
            <w:vAlign w:val="bottom"/>
          </w:tcPr>
          <w:p w14:paraId="5B77011E" w14:textId="77777777" w:rsidR="00DE64BC" w:rsidRPr="00256982" w:rsidRDefault="00DE64BC" w:rsidP="00A808C7">
            <w:pPr>
              <w:pStyle w:val="TableTextBold"/>
              <w:keepNext/>
              <w:spacing w:before="50" w:after="50"/>
              <w:rPr>
                <w:noProof w:val="0"/>
                <w:color w:val="FFFFFF"/>
              </w:rPr>
            </w:pPr>
            <w:r w:rsidRPr="00256982">
              <w:rPr>
                <w:noProof w:val="0"/>
                <w:color w:val="FFFFFF"/>
              </w:rPr>
              <w:t>Activity</w:t>
            </w:r>
          </w:p>
        </w:tc>
        <w:tc>
          <w:tcPr>
            <w:tcW w:w="1814" w:type="pct"/>
            <w:shd w:val="clear" w:color="auto" w:fill="365F91"/>
            <w:vAlign w:val="bottom"/>
          </w:tcPr>
          <w:p w14:paraId="7F72C04C" w14:textId="77777777" w:rsidR="00DE64BC" w:rsidRPr="00256982" w:rsidRDefault="00DE64BC" w:rsidP="00A808C7">
            <w:pPr>
              <w:pStyle w:val="TableTextBold"/>
              <w:keepNext/>
              <w:spacing w:before="50" w:after="50"/>
              <w:jc w:val="center"/>
              <w:rPr>
                <w:noProof w:val="0"/>
                <w:color w:val="FFFFFF"/>
              </w:rPr>
            </w:pPr>
            <w:r w:rsidRPr="00256982">
              <w:rPr>
                <w:noProof w:val="0"/>
                <w:color w:val="FFFFFF"/>
              </w:rPr>
              <w:t>Energy Use Survey 2008 (%)</w:t>
            </w:r>
          </w:p>
        </w:tc>
        <w:tc>
          <w:tcPr>
            <w:tcW w:w="1836" w:type="pct"/>
            <w:shd w:val="clear" w:color="auto" w:fill="365F91"/>
            <w:vAlign w:val="bottom"/>
          </w:tcPr>
          <w:p w14:paraId="70483318" w14:textId="77777777" w:rsidR="00DE64BC" w:rsidRPr="00256982" w:rsidRDefault="00DE64BC" w:rsidP="00A808C7">
            <w:pPr>
              <w:pStyle w:val="TableTextBold"/>
              <w:keepNext/>
              <w:spacing w:before="50" w:after="50"/>
              <w:jc w:val="center"/>
              <w:rPr>
                <w:noProof w:val="0"/>
                <w:color w:val="FFFFFF"/>
              </w:rPr>
            </w:pPr>
            <w:r w:rsidRPr="00256982">
              <w:rPr>
                <w:noProof w:val="0"/>
                <w:color w:val="FFFFFF"/>
              </w:rPr>
              <w:t>Energy Use Survey 2016 (%)</w:t>
            </w:r>
          </w:p>
        </w:tc>
      </w:tr>
      <w:tr w:rsidR="00DE64BC" w:rsidRPr="00256982" w14:paraId="2D3C550E" w14:textId="77777777" w:rsidTr="00A808C7">
        <w:trPr>
          <w:cantSplit/>
          <w:trHeight w:val="250"/>
        </w:trPr>
        <w:tc>
          <w:tcPr>
            <w:tcW w:w="1350" w:type="pct"/>
          </w:tcPr>
          <w:p w14:paraId="69387CD3" w14:textId="77777777" w:rsidR="00DE64BC" w:rsidRPr="00256982" w:rsidRDefault="00DE64BC" w:rsidP="00A808C7">
            <w:pPr>
              <w:pStyle w:val="TableText"/>
              <w:spacing w:before="50" w:after="50"/>
            </w:pPr>
            <w:r w:rsidRPr="00256982">
              <w:t>Forestry and logging</w:t>
            </w:r>
          </w:p>
        </w:tc>
        <w:tc>
          <w:tcPr>
            <w:tcW w:w="1814" w:type="pct"/>
            <w:vAlign w:val="center"/>
          </w:tcPr>
          <w:p w14:paraId="3719A1CA" w14:textId="77777777" w:rsidR="00DE64BC" w:rsidRPr="00256982" w:rsidRDefault="00DE64BC" w:rsidP="00A808C7">
            <w:pPr>
              <w:pStyle w:val="TableText"/>
              <w:spacing w:before="50" w:after="50"/>
              <w:jc w:val="center"/>
            </w:pPr>
            <w:r w:rsidRPr="00256982">
              <w:t>51.3</w:t>
            </w:r>
          </w:p>
        </w:tc>
        <w:tc>
          <w:tcPr>
            <w:tcW w:w="1836" w:type="pct"/>
            <w:vAlign w:val="center"/>
          </w:tcPr>
          <w:p w14:paraId="6D6094E0" w14:textId="77777777" w:rsidR="00DE64BC" w:rsidRPr="00256982" w:rsidRDefault="00DE64BC" w:rsidP="00A808C7">
            <w:pPr>
              <w:pStyle w:val="TableText"/>
              <w:spacing w:before="50" w:after="50"/>
              <w:jc w:val="center"/>
            </w:pPr>
            <w:r w:rsidRPr="00256982">
              <w:t>9.1</w:t>
            </w:r>
          </w:p>
        </w:tc>
      </w:tr>
      <w:tr w:rsidR="00DE64BC" w:rsidRPr="00256982" w14:paraId="032494B0" w14:textId="77777777" w:rsidTr="00A808C7">
        <w:trPr>
          <w:cantSplit/>
        </w:trPr>
        <w:tc>
          <w:tcPr>
            <w:tcW w:w="1350" w:type="pct"/>
          </w:tcPr>
          <w:p w14:paraId="7E97C157" w14:textId="77777777" w:rsidR="00DE64BC" w:rsidRPr="00256982" w:rsidRDefault="00DE64BC" w:rsidP="00A808C7">
            <w:pPr>
              <w:pStyle w:val="TableText"/>
              <w:spacing w:before="50" w:after="50"/>
            </w:pPr>
            <w:r w:rsidRPr="00256982">
              <w:t>Mining</w:t>
            </w:r>
          </w:p>
        </w:tc>
        <w:tc>
          <w:tcPr>
            <w:tcW w:w="1814" w:type="pct"/>
            <w:vAlign w:val="center"/>
          </w:tcPr>
          <w:p w14:paraId="1EE11CD8" w14:textId="77777777" w:rsidR="00DE64BC" w:rsidRPr="00256982" w:rsidRDefault="00DE64BC" w:rsidP="00A808C7">
            <w:pPr>
              <w:pStyle w:val="TableText"/>
              <w:spacing w:before="50" w:after="50"/>
              <w:jc w:val="center"/>
            </w:pPr>
            <w:r w:rsidRPr="00256982">
              <w:t>48.7</w:t>
            </w:r>
          </w:p>
        </w:tc>
        <w:tc>
          <w:tcPr>
            <w:tcW w:w="1836" w:type="pct"/>
            <w:vAlign w:val="center"/>
          </w:tcPr>
          <w:p w14:paraId="3D1C5639" w14:textId="77777777" w:rsidR="00DE64BC" w:rsidRPr="00256982" w:rsidRDefault="00DE64BC" w:rsidP="00A808C7">
            <w:pPr>
              <w:pStyle w:val="TableText"/>
              <w:spacing w:before="50" w:after="50"/>
              <w:jc w:val="center"/>
            </w:pPr>
            <w:r w:rsidRPr="00256982">
              <w:t>90.9</w:t>
            </w:r>
          </w:p>
        </w:tc>
      </w:tr>
    </w:tbl>
    <w:p w14:paraId="2D68DE75" w14:textId="77777777" w:rsidR="00DE64BC" w:rsidRPr="00256982" w:rsidRDefault="00DE64BC" w:rsidP="00A808C7">
      <w:pPr>
        <w:pStyle w:val="Heading5"/>
        <w:spacing w:before="320"/>
      </w:pPr>
      <w:r w:rsidRPr="00256982">
        <w:t>Solid fuels</w:t>
      </w:r>
    </w:p>
    <w:p w14:paraId="2B2B0307" w14:textId="77777777" w:rsidR="00DE64BC" w:rsidRPr="00256982" w:rsidRDefault="00DE64BC" w:rsidP="00A808C7">
      <w:pPr>
        <w:pStyle w:val="BodyText"/>
        <w:spacing w:before="100" w:after="100"/>
      </w:pPr>
      <w:r w:rsidRPr="00256982">
        <w:t xml:space="preserve">In 2010, it was discovered that some coal reported as sold to the commercial sector was in fact being on-sold. As a result, some activity previously reported under the </w:t>
      </w:r>
      <w:r w:rsidRPr="00256982">
        <w:rPr>
          <w:i/>
        </w:rPr>
        <w:t xml:space="preserve">Commercial </w:t>
      </w:r>
      <w:r w:rsidRPr="00256982">
        <w:t>category has been reallocated to the Agriculture sector. This on-selling is assumed to continue across the time series 1990–2017.</w:t>
      </w:r>
    </w:p>
    <w:p w14:paraId="2C1FE9D4" w14:textId="77777777" w:rsidR="00DE64BC" w:rsidRPr="00256982" w:rsidRDefault="00DE64BC" w:rsidP="00A808C7">
      <w:pPr>
        <w:pStyle w:val="Heading5"/>
        <w:spacing w:before="200"/>
      </w:pPr>
      <w:r w:rsidRPr="00256982">
        <w:t>Solid biomass</w:t>
      </w:r>
    </w:p>
    <w:p w14:paraId="5F5A2C07" w14:textId="77777777" w:rsidR="00DE64BC" w:rsidRPr="00256982" w:rsidRDefault="00DE64BC" w:rsidP="00A808C7">
      <w:pPr>
        <w:pStyle w:val="BodyText"/>
        <w:spacing w:before="100" w:after="100"/>
      </w:pPr>
      <w:r w:rsidRPr="00256982">
        <w:t xml:space="preserve">Residential combustion of biomass is estimated using household number estimates from Stats NZ, along with five-yearly census figures estimating the percentage of households using biomass for heating. Interpolation is used to estimate shares for intermediate years. </w:t>
      </w:r>
    </w:p>
    <w:p w14:paraId="2157E35C" w14:textId="77777777" w:rsidR="00DE64BC" w:rsidRPr="00256982" w:rsidRDefault="00DE64BC" w:rsidP="00A808C7">
      <w:pPr>
        <w:pStyle w:val="BodyText"/>
        <w:spacing w:before="100" w:after="100"/>
      </w:pPr>
      <w:r w:rsidRPr="00256982">
        <w:t xml:space="preserve">The energy content of biomass burned in each household that uses biomass for heat was estimated by the study </w:t>
      </w:r>
      <w:r w:rsidRPr="00256982">
        <w:rPr>
          <w:i/>
        </w:rPr>
        <w:t>Energy Use in New Zealand Households</w:t>
      </w:r>
      <w:r w:rsidRPr="00256982">
        <w:t xml:space="preserve"> (BRANZ, 2002).</w:t>
      </w:r>
    </w:p>
    <w:p w14:paraId="43B9F998" w14:textId="77777777" w:rsidR="00DE64BC" w:rsidRPr="00256982" w:rsidRDefault="00DE64BC" w:rsidP="00A808C7">
      <w:pPr>
        <w:pStyle w:val="Heading5"/>
        <w:spacing w:before="200"/>
      </w:pPr>
      <w:r w:rsidRPr="00256982">
        <w:t>Gaseous fuels</w:t>
      </w:r>
    </w:p>
    <w:p w14:paraId="50A90666" w14:textId="77777777" w:rsidR="00DE64BC" w:rsidRPr="00256982" w:rsidRDefault="00DE64BC" w:rsidP="00A808C7">
      <w:pPr>
        <w:pStyle w:val="BodyText"/>
        <w:spacing w:before="100" w:after="100"/>
      </w:pPr>
      <w:r w:rsidRPr="00256982">
        <w:t>Annual natural gas consumption statistics are published by MBIE. Reviews of all natural gas consumption data were undertaken in 2011 and 2014 by MBIE. For further information, see section 3.3.7 (Activity data, Gaseous fuels).</w:t>
      </w:r>
    </w:p>
    <w:p w14:paraId="7F674A26" w14:textId="77777777" w:rsidR="00DE64BC" w:rsidRPr="00256982" w:rsidRDefault="00DE64BC" w:rsidP="00A72006">
      <w:pPr>
        <w:pStyle w:val="Heading4"/>
        <w:rPr>
          <w:lang w:eastAsia="en-GB"/>
        </w:rPr>
      </w:pPr>
      <w:r w:rsidRPr="00256982">
        <w:rPr>
          <w:lang w:eastAsia="en-GB"/>
        </w:rPr>
        <w:t>Uncertainties and time-series consistency</w:t>
      </w:r>
    </w:p>
    <w:p w14:paraId="38947E81" w14:textId="77777777" w:rsidR="00DE64BC" w:rsidRPr="00256982" w:rsidRDefault="00DE64BC" w:rsidP="00A808C7">
      <w:pPr>
        <w:pStyle w:val="BodyText"/>
        <w:spacing w:before="100" w:after="100"/>
        <w:rPr>
          <w:lang w:eastAsia="en-GB"/>
        </w:rPr>
      </w:pPr>
      <w:r w:rsidRPr="00256982">
        <w:rPr>
          <w:lang w:eastAsia="en-GB"/>
        </w:rPr>
        <w:t>Uncertainties in emission estimates for data from other sectors are relevant to the entire Energy sector (see table 3.3.1).</w:t>
      </w:r>
    </w:p>
    <w:p w14:paraId="33C5E784" w14:textId="77777777" w:rsidR="00DE64BC" w:rsidRPr="00256982" w:rsidRDefault="00DE64BC" w:rsidP="00A72006">
      <w:pPr>
        <w:pStyle w:val="Heading4"/>
        <w:rPr>
          <w:lang w:eastAsia="en-GB"/>
        </w:rPr>
      </w:pPr>
      <w:r w:rsidRPr="00256982">
        <w:rPr>
          <w:lang w:eastAsia="en-GB"/>
        </w:rPr>
        <w:t>Source-specific QA/QC and verification</w:t>
      </w:r>
    </w:p>
    <w:p w14:paraId="4A4F85D3" w14:textId="77777777" w:rsidR="00DE64BC" w:rsidRPr="00256982" w:rsidRDefault="00DE64BC" w:rsidP="00A808C7">
      <w:pPr>
        <w:pStyle w:val="BodyText"/>
        <w:spacing w:before="100" w:after="100"/>
        <w:rPr>
          <w:lang w:eastAsia="en-GB"/>
        </w:rPr>
      </w:pPr>
      <w:r w:rsidRPr="00256982">
        <w:rPr>
          <w:lang w:eastAsia="en-GB"/>
        </w:rPr>
        <w:t xml:space="preserve">In the preparation of this inventory, the </w:t>
      </w:r>
      <w:r w:rsidRPr="00256982">
        <w:rPr>
          <w:i/>
          <w:lang w:eastAsia="en-GB"/>
        </w:rPr>
        <w:t>Other sectors</w:t>
      </w:r>
      <w:r w:rsidRPr="00256982">
        <w:rPr>
          <w:lang w:eastAsia="en-GB"/>
        </w:rPr>
        <w:t xml:space="preserve"> category underwent Tier 1 quality-assurance and quality-control checks as recommended in the 2006 IPCC Guidelines. These include regular control sums throughout systems, to verify system integrity, and consistency checks of implied emission factors.</w:t>
      </w:r>
    </w:p>
    <w:p w14:paraId="67CDC571" w14:textId="77777777" w:rsidR="00DE64BC" w:rsidRPr="00256982" w:rsidRDefault="00DE64BC" w:rsidP="00A72006">
      <w:pPr>
        <w:pStyle w:val="Heading4"/>
        <w:rPr>
          <w:lang w:eastAsia="en-GB"/>
        </w:rPr>
      </w:pPr>
      <w:r w:rsidRPr="00256982">
        <w:rPr>
          <w:lang w:eastAsia="en-GB"/>
        </w:rPr>
        <w:t>Source-specific recalculations</w:t>
      </w:r>
    </w:p>
    <w:p w14:paraId="5C1C7F6D" w14:textId="77777777" w:rsidR="00DE64BC" w:rsidRPr="00256982" w:rsidRDefault="00DE64BC" w:rsidP="00A808C7">
      <w:pPr>
        <w:pStyle w:val="BodyText"/>
        <w:spacing w:before="100" w:after="100"/>
        <w:rPr>
          <w:lang w:eastAsia="en-GB"/>
        </w:rPr>
      </w:pPr>
      <w:r w:rsidRPr="00256982">
        <w:rPr>
          <w:lang w:eastAsia="en-GB"/>
        </w:rPr>
        <w:t>Some minor recalculations may have occurred across the time series due to revisions of activity data provided by the energy data team at MBIE.</w:t>
      </w:r>
    </w:p>
    <w:p w14:paraId="4C5170B5" w14:textId="77777777" w:rsidR="00DE64BC" w:rsidRPr="00256982" w:rsidRDefault="00DE64BC" w:rsidP="00A72006">
      <w:pPr>
        <w:pStyle w:val="Heading4"/>
        <w:rPr>
          <w:lang w:eastAsia="en-GB"/>
        </w:rPr>
      </w:pPr>
      <w:r w:rsidRPr="00256982">
        <w:rPr>
          <w:lang w:eastAsia="en-GB"/>
        </w:rPr>
        <w:t>Source-specific improvements</w:t>
      </w:r>
    </w:p>
    <w:p w14:paraId="6B5DB01C" w14:textId="77777777" w:rsidR="00DE64BC" w:rsidRPr="00256982" w:rsidRDefault="00DE64BC" w:rsidP="00A808C7">
      <w:pPr>
        <w:pStyle w:val="BodyText"/>
        <w:rPr>
          <w:lang w:eastAsia="en-GB"/>
        </w:rPr>
      </w:pPr>
      <w:r w:rsidRPr="00256982">
        <w:rPr>
          <w:lang w:eastAsia="en-GB"/>
        </w:rPr>
        <w:t xml:space="preserve">Activity and emissions data for the </w:t>
      </w:r>
      <w:r w:rsidRPr="00256982">
        <w:rPr>
          <w:i/>
          <w:lang w:eastAsia="en-GB"/>
        </w:rPr>
        <w:t xml:space="preserve">Agriculture/forestry/fishing </w:t>
      </w:r>
      <w:r w:rsidRPr="00256982">
        <w:rPr>
          <w:lang w:eastAsia="en-GB"/>
        </w:rPr>
        <w:t>category are now reported separately by activity type (stationary combustion, mobile use, and fishing).</w:t>
      </w:r>
    </w:p>
    <w:p w14:paraId="043A12A5" w14:textId="77777777" w:rsidR="00DE64BC" w:rsidRPr="00256982" w:rsidRDefault="00DE64BC" w:rsidP="00A72006">
      <w:pPr>
        <w:pStyle w:val="Heading4"/>
        <w:rPr>
          <w:lang w:eastAsia="en-GB"/>
        </w:rPr>
      </w:pPr>
      <w:r w:rsidRPr="00256982">
        <w:rPr>
          <w:lang w:eastAsia="en-GB"/>
        </w:rPr>
        <w:t>Source-specific planned improvements</w:t>
      </w:r>
    </w:p>
    <w:p w14:paraId="42E9E9C8" w14:textId="77777777" w:rsidR="00DE64BC" w:rsidRPr="00256982" w:rsidRDefault="00DE64BC" w:rsidP="00A808C7">
      <w:pPr>
        <w:pStyle w:val="BodyText"/>
        <w:rPr>
          <w:b/>
          <w:bCs/>
          <w:szCs w:val="24"/>
          <w:lang w:eastAsia="en-GB"/>
        </w:rPr>
      </w:pPr>
      <w:r w:rsidRPr="00256982">
        <w:rPr>
          <w:lang w:eastAsia="en-GB"/>
        </w:rPr>
        <w:t xml:space="preserve">There are no planned improvements for this category. </w:t>
      </w:r>
    </w:p>
    <w:p w14:paraId="22BA6D15" w14:textId="77777777" w:rsidR="00DE64BC" w:rsidRPr="00256982" w:rsidRDefault="00DE64BC" w:rsidP="001D3490">
      <w:pPr>
        <w:pStyle w:val="Heading2"/>
      </w:pPr>
      <w:bookmarkStart w:id="372" w:name="_Toc321398811"/>
      <w:bookmarkStart w:id="373" w:name="_Toc384581637"/>
      <w:bookmarkStart w:id="374" w:name="_Toc448321509"/>
      <w:bookmarkStart w:id="375" w:name="_Toc481751371"/>
      <w:bookmarkStart w:id="376" w:name="_Toc5269348"/>
      <w:r w:rsidRPr="00256982">
        <w:lastRenderedPageBreak/>
        <w:t>3.4</w:t>
      </w:r>
      <w:r w:rsidRPr="00256982">
        <w:tab/>
        <w:t>Fugitive emissions from fuels (CRF 1.B)</w:t>
      </w:r>
      <w:bookmarkEnd w:id="372"/>
      <w:bookmarkEnd w:id="373"/>
      <w:bookmarkEnd w:id="374"/>
      <w:bookmarkEnd w:id="375"/>
      <w:bookmarkEnd w:id="376"/>
    </w:p>
    <w:p w14:paraId="64F786C8" w14:textId="77777777" w:rsidR="00DE64BC" w:rsidRPr="00256982" w:rsidRDefault="00DE64BC" w:rsidP="00A808C7">
      <w:pPr>
        <w:pStyle w:val="BodyText"/>
        <w:rPr>
          <w:lang w:eastAsia="en-GB"/>
        </w:rPr>
      </w:pPr>
      <w:r w:rsidRPr="00256982">
        <w:rPr>
          <w:lang w:eastAsia="en-GB"/>
        </w:rPr>
        <w:t xml:space="preserve">Fugitive emissions arise from the production, processing, transmission, storage and use of fossil fuels, and from non-productive combustion. This category comprises two subcategories: </w:t>
      </w:r>
      <w:r w:rsidRPr="00256982">
        <w:rPr>
          <w:i/>
          <w:lang w:eastAsia="en-GB"/>
        </w:rPr>
        <w:t>Solid fuels</w:t>
      </w:r>
      <w:r w:rsidRPr="00256982">
        <w:rPr>
          <w:lang w:eastAsia="en-GB"/>
        </w:rPr>
        <w:t xml:space="preserve"> and </w:t>
      </w:r>
      <w:r w:rsidRPr="00256982">
        <w:rPr>
          <w:i/>
          <w:lang w:eastAsia="en-GB"/>
        </w:rPr>
        <w:t>Oil and natural gas</w:t>
      </w:r>
      <w:r w:rsidRPr="00256982">
        <w:rPr>
          <w:lang w:eastAsia="en-GB"/>
        </w:rPr>
        <w:t>.</w:t>
      </w:r>
    </w:p>
    <w:p w14:paraId="06FAA3CA" w14:textId="77777777" w:rsidR="00DE64BC" w:rsidRPr="00256982" w:rsidRDefault="00DE64BC" w:rsidP="00A808C7">
      <w:pPr>
        <w:pStyle w:val="BodyText"/>
        <w:rPr>
          <w:lang w:eastAsia="en-GB"/>
        </w:rPr>
      </w:pPr>
      <w:r w:rsidRPr="00256982">
        <w:rPr>
          <w:lang w:eastAsia="en-GB"/>
        </w:rPr>
        <w:t xml:space="preserve">In </w:t>
      </w:r>
      <w:r w:rsidRPr="00256982">
        <w:t>2017</w:t>
      </w:r>
      <w:r w:rsidRPr="00256982">
        <w:rPr>
          <w:lang w:eastAsia="en-GB"/>
        </w:rPr>
        <w:t xml:space="preserve">, fugitive emissions from fuels accounted for </w:t>
      </w:r>
      <w:r w:rsidRPr="00256982">
        <w:t xml:space="preserve">1,940.3 </w:t>
      </w:r>
      <w:r w:rsidRPr="00256982">
        <w:rPr>
          <w:lang w:eastAsia="en-GB"/>
        </w:rPr>
        <w:t>kt CO</w:t>
      </w:r>
      <w:r w:rsidRPr="00256982">
        <w:rPr>
          <w:vertAlign w:val="subscript"/>
          <w:lang w:eastAsia="en-GB"/>
        </w:rPr>
        <w:t>2</w:t>
      </w:r>
      <w:r w:rsidRPr="00256982">
        <w:rPr>
          <w:lang w:eastAsia="en-GB"/>
        </w:rPr>
        <w:t>-e (</w:t>
      </w:r>
      <w:r w:rsidRPr="00256982">
        <w:t>5.9 per cent</w:t>
      </w:r>
      <w:r w:rsidRPr="00256982">
        <w:rPr>
          <w:lang w:eastAsia="en-GB"/>
        </w:rPr>
        <w:t xml:space="preserve">) of emissions from the Energy sector. This is an increase of </w:t>
      </w:r>
      <w:r w:rsidRPr="00256982">
        <w:t xml:space="preserve">603.1 </w:t>
      </w:r>
      <w:r w:rsidRPr="00256982">
        <w:rPr>
          <w:lang w:eastAsia="en-GB"/>
        </w:rPr>
        <w:t>kt CO</w:t>
      </w:r>
      <w:r w:rsidRPr="00256982">
        <w:rPr>
          <w:vertAlign w:val="subscript"/>
          <w:lang w:eastAsia="en-GB"/>
        </w:rPr>
        <w:t>2</w:t>
      </w:r>
      <w:r w:rsidRPr="00256982">
        <w:rPr>
          <w:lang w:eastAsia="en-GB"/>
        </w:rPr>
        <w:t>-e (</w:t>
      </w:r>
      <w:r w:rsidRPr="00256982">
        <w:t>45.1 per cent</w:t>
      </w:r>
      <w:r w:rsidRPr="00256982">
        <w:rPr>
          <w:lang w:eastAsia="en-GB"/>
        </w:rPr>
        <w:t xml:space="preserve">) from the 1990 level of </w:t>
      </w:r>
      <w:r w:rsidRPr="00256982">
        <w:t xml:space="preserve">1,337.1 </w:t>
      </w:r>
      <w:r w:rsidRPr="00256982">
        <w:rPr>
          <w:lang w:eastAsia="en-GB"/>
        </w:rPr>
        <w:t>kt CO</w:t>
      </w:r>
      <w:r w:rsidRPr="00256982">
        <w:rPr>
          <w:vertAlign w:val="subscript"/>
          <w:lang w:eastAsia="en-GB"/>
        </w:rPr>
        <w:t>2</w:t>
      </w:r>
      <w:r w:rsidRPr="00256982">
        <w:rPr>
          <w:lang w:eastAsia="en-GB"/>
        </w:rPr>
        <w:t>-e.</w:t>
      </w:r>
    </w:p>
    <w:p w14:paraId="586A3CE5" w14:textId="77777777" w:rsidR="00DE64BC" w:rsidRPr="00256982" w:rsidRDefault="00DE64BC" w:rsidP="00A72006">
      <w:pPr>
        <w:pStyle w:val="Heading4"/>
        <w:rPr>
          <w:lang w:eastAsia="en-GB"/>
        </w:rPr>
      </w:pPr>
      <w:r w:rsidRPr="00256982">
        <w:rPr>
          <w:lang w:eastAsia="en-GB"/>
        </w:rPr>
        <w:t xml:space="preserve">Changes in emissions between </w:t>
      </w:r>
      <w:r w:rsidRPr="00256982">
        <w:t xml:space="preserve">2016 </w:t>
      </w:r>
      <w:r w:rsidRPr="00256982">
        <w:rPr>
          <w:lang w:eastAsia="en-GB"/>
        </w:rPr>
        <w:t xml:space="preserve">and </w:t>
      </w:r>
      <w:r w:rsidRPr="00256982">
        <w:t>2017</w:t>
      </w:r>
    </w:p>
    <w:p w14:paraId="7EAF0616" w14:textId="77777777" w:rsidR="00DE64BC" w:rsidRPr="00256982" w:rsidRDefault="00DE64BC" w:rsidP="00A808C7">
      <w:pPr>
        <w:pStyle w:val="BodyText"/>
      </w:pPr>
      <w:r w:rsidRPr="00256982">
        <w:rPr>
          <w:lang w:eastAsia="en-GB"/>
        </w:rPr>
        <w:t xml:space="preserve">Between </w:t>
      </w:r>
      <w:r w:rsidRPr="00256982">
        <w:t>2016</w:t>
      </w:r>
      <w:r w:rsidRPr="00256982">
        <w:rPr>
          <w:lang w:eastAsia="en-GB"/>
        </w:rPr>
        <w:t xml:space="preserve"> and </w:t>
      </w:r>
      <w:r w:rsidRPr="00256982">
        <w:t>2017</w:t>
      </w:r>
      <w:r w:rsidRPr="00256982">
        <w:rPr>
          <w:lang w:eastAsia="en-GB"/>
        </w:rPr>
        <w:t>, fugitive emissions from fuels</w:t>
      </w:r>
      <w:r w:rsidRPr="00256982">
        <w:t xml:space="preserve"> decreased by 71.0 </w:t>
      </w:r>
      <w:r w:rsidRPr="00256982">
        <w:rPr>
          <w:lang w:eastAsia="en-GB"/>
        </w:rPr>
        <w:t>kt CO</w:t>
      </w:r>
      <w:r w:rsidRPr="00256982">
        <w:rPr>
          <w:szCs w:val="14"/>
          <w:vertAlign w:val="subscript"/>
          <w:lang w:eastAsia="en-GB"/>
        </w:rPr>
        <w:t>2</w:t>
      </w:r>
      <w:r w:rsidRPr="00256982">
        <w:rPr>
          <w:lang w:eastAsia="en-GB"/>
        </w:rPr>
        <w:t>-e (</w:t>
      </w:r>
      <w:r w:rsidRPr="00256982">
        <w:t>−3.5 per cent</w:t>
      </w:r>
      <w:r w:rsidRPr="00256982">
        <w:rPr>
          <w:lang w:eastAsia="en-GB"/>
        </w:rPr>
        <w:t xml:space="preserve">). This was primarily the result of decreased activity in category 1.B.1 </w:t>
      </w:r>
      <w:r w:rsidRPr="00256982">
        <w:rPr>
          <w:i/>
          <w:lang w:eastAsia="en-GB"/>
        </w:rPr>
        <w:t>Solid fuels</w:t>
      </w:r>
      <w:r w:rsidRPr="00256982">
        <w:rPr>
          <w:i/>
        </w:rPr>
        <w:t>.</w:t>
      </w:r>
    </w:p>
    <w:p w14:paraId="1B898596" w14:textId="77777777" w:rsidR="00DE64BC" w:rsidRPr="00256982" w:rsidRDefault="00DE64BC" w:rsidP="00A808C7">
      <w:pPr>
        <w:pStyle w:val="BodyText"/>
      </w:pPr>
      <w:r w:rsidRPr="00256982">
        <w:t xml:space="preserve">Key categories identified in the 2017 level and trend assessment for the </w:t>
      </w:r>
      <w:r w:rsidRPr="00256982">
        <w:rPr>
          <w:i/>
          <w:lang w:eastAsia="en-GB"/>
        </w:rPr>
        <w:t>Fugitive emissions</w:t>
      </w:r>
      <w:r w:rsidRPr="00256982">
        <w:t xml:space="preserve"> category are given in table 3.4.1.</w:t>
      </w:r>
    </w:p>
    <w:p w14:paraId="05D68E42" w14:textId="79CEDAAC" w:rsidR="00DE64BC" w:rsidRPr="00256982" w:rsidRDefault="00DE64BC" w:rsidP="00A808C7">
      <w:pPr>
        <w:pStyle w:val="Table"/>
      </w:pPr>
      <w:bookmarkStart w:id="377" w:name="_Toc5269453"/>
      <w:r w:rsidRPr="00256982">
        <w:t>Table 3.4.1</w:t>
      </w:r>
      <w:r w:rsidRPr="00256982">
        <w:tab/>
        <w:t>Key categories for 1.</w:t>
      </w:r>
      <w:r w:rsidR="00EF04D7">
        <w:t>B</w:t>
      </w:r>
      <w:r w:rsidRPr="00256982">
        <w:t>.1 Fugitive emissions</w:t>
      </w:r>
      <w:bookmarkEnd w:id="377"/>
    </w:p>
    <w:tbl>
      <w:tblPr>
        <w:tblW w:w="8562" w:type="dxa"/>
        <w:tblInd w:w="108" w:type="dxa"/>
        <w:tblBorders>
          <w:top w:val="single" w:sz="4" w:space="0" w:color="1F497D"/>
          <w:bottom w:val="single" w:sz="4" w:space="0" w:color="1F497D"/>
          <w:insideH w:val="single" w:sz="4" w:space="0" w:color="1F497D"/>
          <w:insideV w:val="single" w:sz="4" w:space="0" w:color="1F497D"/>
        </w:tblBorders>
        <w:tblLayout w:type="fixed"/>
        <w:tblLook w:val="0420" w:firstRow="1" w:lastRow="0" w:firstColumn="0" w:lastColumn="0" w:noHBand="0" w:noVBand="1"/>
      </w:tblPr>
      <w:tblGrid>
        <w:gridCol w:w="4651"/>
        <w:gridCol w:w="2050"/>
        <w:gridCol w:w="1861"/>
      </w:tblGrid>
      <w:tr w:rsidR="00DE64BC" w:rsidRPr="00256982" w14:paraId="14B35E72" w14:textId="77777777" w:rsidTr="00A808C7">
        <w:trPr>
          <w:cantSplit/>
          <w:tblHeader/>
        </w:trPr>
        <w:tc>
          <w:tcPr>
            <w:tcW w:w="2716" w:type="pct"/>
            <w:tcBorders>
              <w:right w:val="single" w:sz="4" w:space="0" w:color="365F91"/>
            </w:tcBorders>
            <w:shd w:val="clear" w:color="auto" w:fill="365F91"/>
            <w:noWrap/>
            <w:vAlign w:val="bottom"/>
            <w:hideMark/>
          </w:tcPr>
          <w:p w14:paraId="131C2763" w14:textId="77777777" w:rsidR="00DE64BC" w:rsidRPr="00256982" w:rsidRDefault="00DE64BC" w:rsidP="00A808C7">
            <w:pPr>
              <w:pStyle w:val="TableTextBold"/>
              <w:rPr>
                <w:noProof w:val="0"/>
                <w:color w:val="FFFFFF"/>
              </w:rPr>
            </w:pPr>
            <w:r w:rsidRPr="00256982">
              <w:rPr>
                <w:noProof w:val="0"/>
                <w:color w:val="FFFFFF"/>
              </w:rPr>
              <w:t>Subcategory</w:t>
            </w:r>
          </w:p>
        </w:tc>
        <w:tc>
          <w:tcPr>
            <w:tcW w:w="1197" w:type="pct"/>
            <w:tcBorders>
              <w:top w:val="single" w:sz="4" w:space="0" w:color="365F91"/>
              <w:left w:val="single" w:sz="4" w:space="0" w:color="365F91"/>
              <w:bottom w:val="single" w:sz="4" w:space="0" w:color="365F91"/>
              <w:right w:val="single" w:sz="4" w:space="0" w:color="365F91"/>
            </w:tcBorders>
            <w:shd w:val="clear" w:color="auto" w:fill="365F91"/>
            <w:noWrap/>
            <w:vAlign w:val="bottom"/>
            <w:hideMark/>
          </w:tcPr>
          <w:p w14:paraId="3A1FB74A" w14:textId="77777777" w:rsidR="00DE64BC" w:rsidRPr="00256982" w:rsidRDefault="00DE64BC" w:rsidP="00A808C7">
            <w:pPr>
              <w:pStyle w:val="TableTextBold"/>
              <w:rPr>
                <w:noProof w:val="0"/>
                <w:color w:val="FFFFFF"/>
              </w:rPr>
            </w:pPr>
            <w:r w:rsidRPr="00256982">
              <w:rPr>
                <w:noProof w:val="0"/>
                <w:color w:val="FFFFFF"/>
              </w:rPr>
              <w:t>CO</w:t>
            </w:r>
            <w:r w:rsidRPr="00256982">
              <w:rPr>
                <w:noProof w:val="0"/>
                <w:color w:val="FFFFFF"/>
                <w:vertAlign w:val="subscript"/>
              </w:rPr>
              <w:t>2</w:t>
            </w:r>
          </w:p>
        </w:tc>
        <w:tc>
          <w:tcPr>
            <w:tcW w:w="1087" w:type="pct"/>
            <w:tcBorders>
              <w:top w:val="single" w:sz="4" w:space="0" w:color="365F91"/>
              <w:left w:val="single" w:sz="4" w:space="0" w:color="365F91"/>
              <w:bottom w:val="single" w:sz="4" w:space="0" w:color="365F91"/>
              <w:right w:val="nil"/>
            </w:tcBorders>
            <w:shd w:val="clear" w:color="auto" w:fill="365F91"/>
            <w:vAlign w:val="bottom"/>
            <w:hideMark/>
          </w:tcPr>
          <w:p w14:paraId="6DC75FCE" w14:textId="77777777" w:rsidR="00DE64BC" w:rsidRPr="00256982" w:rsidRDefault="00DE64BC" w:rsidP="00A808C7">
            <w:pPr>
              <w:pStyle w:val="TableTextBold"/>
              <w:rPr>
                <w:noProof w:val="0"/>
                <w:color w:val="FFFFFF"/>
              </w:rPr>
            </w:pPr>
            <w:r w:rsidRPr="00256982">
              <w:rPr>
                <w:noProof w:val="0"/>
                <w:color w:val="FFFFFF"/>
              </w:rPr>
              <w:t>CH</w:t>
            </w:r>
            <w:r w:rsidRPr="00256982">
              <w:rPr>
                <w:noProof w:val="0"/>
                <w:color w:val="FFFFFF"/>
                <w:vertAlign w:val="subscript"/>
              </w:rPr>
              <w:t>4</w:t>
            </w:r>
          </w:p>
        </w:tc>
      </w:tr>
      <w:tr w:rsidR="00DE64BC" w:rsidRPr="00256982" w14:paraId="2E9D4D5B" w14:textId="77777777" w:rsidTr="00A808C7">
        <w:trPr>
          <w:cantSplit/>
        </w:trPr>
        <w:tc>
          <w:tcPr>
            <w:tcW w:w="2716" w:type="pct"/>
            <w:tcBorders>
              <w:right w:val="single" w:sz="4" w:space="0" w:color="365F91"/>
            </w:tcBorders>
            <w:shd w:val="clear" w:color="auto" w:fill="auto"/>
            <w:noWrap/>
            <w:hideMark/>
          </w:tcPr>
          <w:p w14:paraId="403AF196" w14:textId="77777777" w:rsidR="00DE64BC" w:rsidRPr="00256982" w:rsidRDefault="00DE64BC" w:rsidP="00A808C7">
            <w:pPr>
              <w:pStyle w:val="TableText"/>
            </w:pPr>
            <w:r w:rsidRPr="00256982">
              <w:t>Coal mining and handling – underground</w:t>
            </w:r>
          </w:p>
        </w:tc>
        <w:tc>
          <w:tcPr>
            <w:tcW w:w="1197" w:type="pct"/>
            <w:tcBorders>
              <w:top w:val="single" w:sz="4" w:space="0" w:color="365F91"/>
              <w:left w:val="single" w:sz="4" w:space="0" w:color="365F91"/>
              <w:bottom w:val="single" w:sz="4" w:space="0" w:color="365F91"/>
              <w:right w:val="single" w:sz="4" w:space="0" w:color="365F91"/>
            </w:tcBorders>
            <w:shd w:val="clear" w:color="auto" w:fill="auto"/>
            <w:noWrap/>
            <w:hideMark/>
          </w:tcPr>
          <w:p w14:paraId="3052EDD8" w14:textId="77777777" w:rsidR="00DE64BC" w:rsidRPr="00256982" w:rsidRDefault="00DE64BC" w:rsidP="00A808C7">
            <w:pPr>
              <w:pStyle w:val="TableText"/>
            </w:pPr>
          </w:p>
        </w:tc>
        <w:tc>
          <w:tcPr>
            <w:tcW w:w="1087" w:type="pct"/>
            <w:tcBorders>
              <w:top w:val="single" w:sz="4" w:space="0" w:color="365F91"/>
              <w:left w:val="single" w:sz="4" w:space="0" w:color="365F91"/>
              <w:bottom w:val="single" w:sz="4" w:space="0" w:color="365F91"/>
              <w:right w:val="nil"/>
            </w:tcBorders>
            <w:shd w:val="clear" w:color="auto" w:fill="auto"/>
            <w:noWrap/>
            <w:hideMark/>
          </w:tcPr>
          <w:p w14:paraId="787B55F3" w14:textId="77777777" w:rsidR="00DE64BC" w:rsidRPr="00256982" w:rsidRDefault="00DE64BC" w:rsidP="00A808C7">
            <w:pPr>
              <w:pStyle w:val="TableText"/>
            </w:pPr>
            <w:r w:rsidRPr="00256982">
              <w:t>Trend</w:t>
            </w:r>
          </w:p>
        </w:tc>
      </w:tr>
      <w:tr w:rsidR="00DE64BC" w:rsidRPr="00256982" w14:paraId="52B27357" w14:textId="77777777" w:rsidTr="00A808C7">
        <w:trPr>
          <w:cantSplit/>
        </w:trPr>
        <w:tc>
          <w:tcPr>
            <w:tcW w:w="2716" w:type="pct"/>
            <w:tcBorders>
              <w:right w:val="single" w:sz="4" w:space="0" w:color="365F91"/>
            </w:tcBorders>
            <w:shd w:val="clear" w:color="auto" w:fill="auto"/>
            <w:noWrap/>
            <w:hideMark/>
          </w:tcPr>
          <w:p w14:paraId="63AD5C1F" w14:textId="77777777" w:rsidR="00DE64BC" w:rsidRPr="00256982" w:rsidRDefault="00DE64BC" w:rsidP="00A808C7">
            <w:pPr>
              <w:pStyle w:val="TableText"/>
            </w:pPr>
            <w:r w:rsidRPr="00256982">
              <w:t>Natural gas – distribution</w:t>
            </w:r>
          </w:p>
        </w:tc>
        <w:tc>
          <w:tcPr>
            <w:tcW w:w="1197" w:type="pct"/>
            <w:tcBorders>
              <w:top w:val="single" w:sz="4" w:space="0" w:color="365F91"/>
              <w:left w:val="single" w:sz="4" w:space="0" w:color="365F91"/>
              <w:bottom w:val="single" w:sz="4" w:space="0" w:color="365F91"/>
              <w:right w:val="single" w:sz="4" w:space="0" w:color="365F91"/>
            </w:tcBorders>
            <w:shd w:val="clear" w:color="auto" w:fill="auto"/>
            <w:noWrap/>
            <w:hideMark/>
          </w:tcPr>
          <w:p w14:paraId="0CB3F6B8" w14:textId="77777777" w:rsidR="00DE64BC" w:rsidRPr="00256982" w:rsidRDefault="00DE64BC" w:rsidP="00A808C7">
            <w:pPr>
              <w:pStyle w:val="TableText"/>
            </w:pPr>
          </w:p>
        </w:tc>
        <w:tc>
          <w:tcPr>
            <w:tcW w:w="1087" w:type="pct"/>
            <w:tcBorders>
              <w:top w:val="single" w:sz="4" w:space="0" w:color="365F91"/>
              <w:left w:val="single" w:sz="4" w:space="0" w:color="365F91"/>
              <w:bottom w:val="single" w:sz="4" w:space="0" w:color="365F91"/>
              <w:right w:val="nil"/>
            </w:tcBorders>
            <w:shd w:val="clear" w:color="auto" w:fill="auto"/>
            <w:noWrap/>
          </w:tcPr>
          <w:p w14:paraId="6F0CA212" w14:textId="77777777" w:rsidR="00DE64BC" w:rsidRPr="00256982" w:rsidRDefault="00DE64BC" w:rsidP="00A808C7">
            <w:pPr>
              <w:pStyle w:val="TableText"/>
            </w:pPr>
            <w:r w:rsidRPr="00256982">
              <w:t>Level, trend</w:t>
            </w:r>
          </w:p>
        </w:tc>
      </w:tr>
      <w:tr w:rsidR="00DE64BC" w:rsidRPr="00256982" w14:paraId="7A7C75B9" w14:textId="77777777" w:rsidTr="00A808C7">
        <w:trPr>
          <w:cantSplit/>
        </w:trPr>
        <w:tc>
          <w:tcPr>
            <w:tcW w:w="2716" w:type="pct"/>
            <w:tcBorders>
              <w:right w:val="single" w:sz="4" w:space="0" w:color="365F91"/>
            </w:tcBorders>
            <w:shd w:val="clear" w:color="auto" w:fill="auto"/>
            <w:noWrap/>
          </w:tcPr>
          <w:p w14:paraId="22FFB28A" w14:textId="77777777" w:rsidR="00DE64BC" w:rsidRPr="00256982" w:rsidRDefault="00DE64BC" w:rsidP="00A808C7">
            <w:pPr>
              <w:pStyle w:val="TableText"/>
            </w:pPr>
            <w:r w:rsidRPr="00256982">
              <w:t>Venting – gas</w:t>
            </w:r>
          </w:p>
        </w:tc>
        <w:tc>
          <w:tcPr>
            <w:tcW w:w="1197" w:type="pct"/>
            <w:tcBorders>
              <w:top w:val="single" w:sz="4" w:space="0" w:color="365F91"/>
              <w:left w:val="single" w:sz="4" w:space="0" w:color="365F91"/>
              <w:bottom w:val="single" w:sz="4" w:space="0" w:color="365F91"/>
              <w:right w:val="single" w:sz="4" w:space="0" w:color="365F91"/>
            </w:tcBorders>
            <w:shd w:val="clear" w:color="auto" w:fill="auto"/>
            <w:noWrap/>
          </w:tcPr>
          <w:p w14:paraId="46711B1E" w14:textId="77777777" w:rsidR="00DE64BC" w:rsidRPr="00256982" w:rsidRDefault="00DE64BC" w:rsidP="00A808C7">
            <w:pPr>
              <w:pStyle w:val="TableText"/>
            </w:pPr>
            <w:r w:rsidRPr="00256982">
              <w:t>Level, trend</w:t>
            </w:r>
          </w:p>
        </w:tc>
        <w:tc>
          <w:tcPr>
            <w:tcW w:w="1087" w:type="pct"/>
            <w:tcBorders>
              <w:top w:val="single" w:sz="4" w:space="0" w:color="365F91"/>
              <w:left w:val="single" w:sz="4" w:space="0" w:color="365F91"/>
              <w:bottom w:val="single" w:sz="4" w:space="0" w:color="365F91"/>
              <w:right w:val="nil"/>
            </w:tcBorders>
            <w:shd w:val="clear" w:color="auto" w:fill="auto"/>
            <w:noWrap/>
          </w:tcPr>
          <w:p w14:paraId="7C2A3692" w14:textId="77777777" w:rsidR="00DE64BC" w:rsidRPr="00256982" w:rsidRDefault="00DE64BC" w:rsidP="00A808C7">
            <w:pPr>
              <w:pStyle w:val="TableText"/>
            </w:pPr>
          </w:p>
        </w:tc>
      </w:tr>
      <w:tr w:rsidR="00DE64BC" w:rsidRPr="00256982" w14:paraId="3265B458" w14:textId="77777777" w:rsidTr="00A808C7">
        <w:trPr>
          <w:cantSplit/>
        </w:trPr>
        <w:tc>
          <w:tcPr>
            <w:tcW w:w="2716" w:type="pct"/>
            <w:tcBorders>
              <w:right w:val="single" w:sz="4" w:space="0" w:color="365F91"/>
            </w:tcBorders>
            <w:shd w:val="clear" w:color="auto" w:fill="auto"/>
            <w:noWrap/>
          </w:tcPr>
          <w:p w14:paraId="13BD2F9F" w14:textId="77777777" w:rsidR="00DE64BC" w:rsidRPr="00256982" w:rsidRDefault="00DE64BC" w:rsidP="00A808C7">
            <w:pPr>
              <w:pStyle w:val="TableText"/>
            </w:pPr>
            <w:r w:rsidRPr="00256982">
              <w:t>Flaring – combined</w:t>
            </w:r>
          </w:p>
        </w:tc>
        <w:tc>
          <w:tcPr>
            <w:tcW w:w="1197" w:type="pct"/>
            <w:tcBorders>
              <w:top w:val="single" w:sz="4" w:space="0" w:color="365F91"/>
              <w:left w:val="single" w:sz="4" w:space="0" w:color="365F91"/>
              <w:bottom w:val="single" w:sz="4" w:space="0" w:color="365F91"/>
              <w:right w:val="single" w:sz="4" w:space="0" w:color="365F91"/>
            </w:tcBorders>
            <w:shd w:val="clear" w:color="auto" w:fill="auto"/>
            <w:noWrap/>
          </w:tcPr>
          <w:p w14:paraId="5BD8B283" w14:textId="77777777" w:rsidR="00DE64BC" w:rsidRPr="00256982" w:rsidRDefault="00DE64BC" w:rsidP="00A808C7">
            <w:pPr>
              <w:pStyle w:val="TableText"/>
            </w:pPr>
            <w:r w:rsidRPr="00256982">
              <w:t>Level, trend</w:t>
            </w:r>
          </w:p>
        </w:tc>
        <w:tc>
          <w:tcPr>
            <w:tcW w:w="1087" w:type="pct"/>
            <w:tcBorders>
              <w:top w:val="single" w:sz="4" w:space="0" w:color="365F91"/>
              <w:left w:val="single" w:sz="4" w:space="0" w:color="365F91"/>
              <w:bottom w:val="single" w:sz="4" w:space="0" w:color="365F91"/>
              <w:right w:val="nil"/>
            </w:tcBorders>
            <w:shd w:val="clear" w:color="auto" w:fill="auto"/>
            <w:noWrap/>
          </w:tcPr>
          <w:p w14:paraId="23453DEF" w14:textId="77777777" w:rsidR="00DE64BC" w:rsidRPr="00256982" w:rsidRDefault="00DE64BC" w:rsidP="00A808C7">
            <w:pPr>
              <w:pStyle w:val="TableText"/>
              <w:jc w:val="center"/>
            </w:pPr>
          </w:p>
        </w:tc>
      </w:tr>
      <w:tr w:rsidR="00DE64BC" w:rsidRPr="00256982" w14:paraId="253FF140" w14:textId="77777777" w:rsidTr="00A808C7">
        <w:trPr>
          <w:cantSplit/>
        </w:trPr>
        <w:tc>
          <w:tcPr>
            <w:tcW w:w="2716" w:type="pct"/>
            <w:tcBorders>
              <w:right w:val="single" w:sz="4" w:space="0" w:color="365F91"/>
            </w:tcBorders>
            <w:shd w:val="clear" w:color="auto" w:fill="auto"/>
            <w:noWrap/>
          </w:tcPr>
          <w:p w14:paraId="02C4687E" w14:textId="77777777" w:rsidR="00DE64BC" w:rsidRPr="00256982" w:rsidRDefault="00DE64BC" w:rsidP="00A808C7">
            <w:pPr>
              <w:pStyle w:val="TableText"/>
            </w:pPr>
            <w:r w:rsidRPr="00256982">
              <w:t>Other – geothermal</w:t>
            </w:r>
          </w:p>
        </w:tc>
        <w:tc>
          <w:tcPr>
            <w:tcW w:w="1197" w:type="pct"/>
            <w:tcBorders>
              <w:top w:val="single" w:sz="4" w:space="0" w:color="365F91"/>
              <w:left w:val="single" w:sz="4" w:space="0" w:color="365F91"/>
              <w:bottom w:val="single" w:sz="4" w:space="0" w:color="365F91"/>
              <w:right w:val="single" w:sz="4" w:space="0" w:color="365F91"/>
            </w:tcBorders>
            <w:shd w:val="clear" w:color="auto" w:fill="auto"/>
            <w:noWrap/>
          </w:tcPr>
          <w:p w14:paraId="43E9590E" w14:textId="77777777" w:rsidR="00DE64BC" w:rsidRPr="00256982" w:rsidRDefault="00DE64BC" w:rsidP="00A808C7">
            <w:pPr>
              <w:pStyle w:val="TableText"/>
            </w:pPr>
            <w:r w:rsidRPr="00256982">
              <w:t>Level, trend</w:t>
            </w:r>
          </w:p>
        </w:tc>
        <w:tc>
          <w:tcPr>
            <w:tcW w:w="1087" w:type="pct"/>
            <w:tcBorders>
              <w:top w:val="single" w:sz="4" w:space="0" w:color="365F91"/>
              <w:left w:val="single" w:sz="4" w:space="0" w:color="365F91"/>
              <w:bottom w:val="single" w:sz="4" w:space="0" w:color="365F91"/>
              <w:right w:val="nil"/>
            </w:tcBorders>
            <w:shd w:val="clear" w:color="auto" w:fill="auto"/>
            <w:noWrap/>
          </w:tcPr>
          <w:p w14:paraId="6A0A392A" w14:textId="77777777" w:rsidR="00DE64BC" w:rsidRPr="00256982" w:rsidRDefault="00DE64BC" w:rsidP="00A808C7">
            <w:pPr>
              <w:pStyle w:val="TableText"/>
            </w:pPr>
            <w:r w:rsidRPr="00256982">
              <w:t>Trend</w:t>
            </w:r>
          </w:p>
        </w:tc>
      </w:tr>
    </w:tbl>
    <w:p w14:paraId="2116FACB" w14:textId="77777777" w:rsidR="00DE64BC" w:rsidRPr="00256982" w:rsidRDefault="00DE64BC" w:rsidP="001D3490">
      <w:pPr>
        <w:pStyle w:val="Heading3"/>
      </w:pPr>
      <w:r w:rsidRPr="00256982">
        <w:t>3.4.1</w:t>
      </w:r>
      <w:r w:rsidRPr="00256982">
        <w:tab/>
        <w:t>Fugitive emissions from fuels: Solid fuels (CRF 1.B.1)</w:t>
      </w:r>
    </w:p>
    <w:p w14:paraId="09A00FB9" w14:textId="77777777" w:rsidR="00DE64BC" w:rsidRPr="00256982" w:rsidRDefault="00DE64BC" w:rsidP="00A72006">
      <w:pPr>
        <w:pStyle w:val="Heading4"/>
      </w:pPr>
      <w:r w:rsidRPr="00256982">
        <w:rPr>
          <w:lang w:eastAsia="en-GB"/>
        </w:rPr>
        <w:t>Description</w:t>
      </w:r>
    </w:p>
    <w:p w14:paraId="5C87D4BE" w14:textId="77777777" w:rsidR="00DE64BC" w:rsidRPr="00256982" w:rsidRDefault="00DE64BC" w:rsidP="00A808C7">
      <w:pPr>
        <w:pStyle w:val="BodyText"/>
        <w:rPr>
          <w:lang w:eastAsia="en-GB"/>
        </w:rPr>
      </w:pPr>
      <w:r w:rsidRPr="00256982">
        <w:rPr>
          <w:lang w:eastAsia="en-GB"/>
        </w:rPr>
        <w:t xml:space="preserve">In </w:t>
      </w:r>
      <w:r w:rsidRPr="00256982">
        <w:t>2017</w:t>
      </w:r>
      <w:r w:rsidRPr="00256982">
        <w:rPr>
          <w:lang w:eastAsia="en-GB"/>
        </w:rPr>
        <w:t xml:space="preserve">, fugitive emissions from the </w:t>
      </w:r>
      <w:r w:rsidRPr="00256982">
        <w:rPr>
          <w:i/>
          <w:lang w:eastAsia="en-GB"/>
        </w:rPr>
        <w:t>Solid fuels</w:t>
      </w:r>
      <w:r w:rsidRPr="00256982">
        <w:rPr>
          <w:lang w:eastAsia="en-GB"/>
        </w:rPr>
        <w:t xml:space="preserve"> category produced </w:t>
      </w:r>
      <w:r w:rsidRPr="00256982">
        <w:t xml:space="preserve">132.1 </w:t>
      </w:r>
      <w:r w:rsidRPr="00256982">
        <w:rPr>
          <w:lang w:eastAsia="en-GB"/>
        </w:rPr>
        <w:t>kt CO</w:t>
      </w:r>
      <w:r w:rsidRPr="00256982">
        <w:rPr>
          <w:vertAlign w:val="subscript"/>
          <w:lang w:eastAsia="en-GB"/>
        </w:rPr>
        <w:t>2</w:t>
      </w:r>
      <w:r w:rsidRPr="00256982">
        <w:rPr>
          <w:lang w:eastAsia="en-GB"/>
        </w:rPr>
        <w:t>-e (</w:t>
      </w:r>
      <w:r w:rsidRPr="00256982">
        <w:t>6.8 per cent</w:t>
      </w:r>
      <w:r w:rsidRPr="00256982">
        <w:rPr>
          <w:lang w:eastAsia="en-GB"/>
        </w:rPr>
        <w:t xml:space="preserve">) of emissions from the </w:t>
      </w:r>
      <w:r w:rsidRPr="00256982">
        <w:rPr>
          <w:i/>
          <w:lang w:eastAsia="en-GB"/>
        </w:rPr>
        <w:t>Fugitive emissions</w:t>
      </w:r>
      <w:r w:rsidRPr="00256982">
        <w:rPr>
          <w:lang w:eastAsia="en-GB"/>
        </w:rPr>
        <w:t xml:space="preserve"> category. This is a </w:t>
      </w:r>
      <w:r w:rsidRPr="00256982">
        <w:t>decrease of 196.2 </w:t>
      </w:r>
      <w:r w:rsidRPr="00256982">
        <w:rPr>
          <w:lang w:eastAsia="en-GB"/>
        </w:rPr>
        <w:t>kt CO</w:t>
      </w:r>
      <w:r w:rsidRPr="00256982">
        <w:rPr>
          <w:vertAlign w:val="subscript"/>
          <w:lang w:eastAsia="en-GB"/>
        </w:rPr>
        <w:t>2</w:t>
      </w:r>
      <w:r w:rsidRPr="00256982">
        <w:rPr>
          <w:lang w:eastAsia="en-GB"/>
        </w:rPr>
        <w:t xml:space="preserve">-e </w:t>
      </w:r>
      <w:r w:rsidRPr="00256982">
        <w:rPr>
          <w:lang w:eastAsia="en-GB"/>
        </w:rPr>
        <w:br/>
        <w:t>(</w:t>
      </w:r>
      <w:r w:rsidRPr="00256982">
        <w:t>−59.8 per cent</w:t>
      </w:r>
      <w:r w:rsidRPr="00256982">
        <w:rPr>
          <w:lang w:eastAsia="en-GB"/>
        </w:rPr>
        <w:t xml:space="preserve">) from the </w:t>
      </w:r>
      <w:r w:rsidRPr="00256982">
        <w:t xml:space="preserve">328.2 </w:t>
      </w:r>
      <w:r w:rsidRPr="00256982">
        <w:rPr>
          <w:lang w:eastAsia="en-GB"/>
        </w:rPr>
        <w:t>kt CO</w:t>
      </w:r>
      <w:r w:rsidRPr="00256982">
        <w:rPr>
          <w:vertAlign w:val="subscript"/>
          <w:lang w:eastAsia="en-GB"/>
        </w:rPr>
        <w:t>2</w:t>
      </w:r>
      <w:r w:rsidRPr="00256982">
        <w:rPr>
          <w:lang w:eastAsia="en-GB"/>
        </w:rPr>
        <w:t>-e reported for 1990.</w:t>
      </w:r>
    </w:p>
    <w:p w14:paraId="61F96120" w14:textId="77777777" w:rsidR="00DE64BC" w:rsidRPr="00256982" w:rsidRDefault="00DE64BC" w:rsidP="00A808C7">
      <w:pPr>
        <w:pStyle w:val="BodyText"/>
        <w:rPr>
          <w:lang w:eastAsia="en-GB"/>
        </w:rPr>
      </w:pPr>
      <w:r w:rsidRPr="00256982">
        <w:rPr>
          <w:lang w:eastAsia="en-GB"/>
        </w:rPr>
        <w:t xml:space="preserve">Between </w:t>
      </w:r>
      <w:r w:rsidRPr="00256982">
        <w:t xml:space="preserve">2016 </w:t>
      </w:r>
      <w:r w:rsidRPr="00256982">
        <w:rPr>
          <w:lang w:eastAsia="en-GB"/>
        </w:rPr>
        <w:t xml:space="preserve">and </w:t>
      </w:r>
      <w:r w:rsidRPr="00256982">
        <w:t>2017</w:t>
      </w:r>
      <w:r w:rsidRPr="00256982">
        <w:rPr>
          <w:lang w:eastAsia="en-GB"/>
        </w:rPr>
        <w:t xml:space="preserve">, fugitive emissions from the </w:t>
      </w:r>
      <w:r w:rsidRPr="00256982">
        <w:rPr>
          <w:i/>
          <w:lang w:eastAsia="en-GB"/>
        </w:rPr>
        <w:t>Solid fuels</w:t>
      </w:r>
      <w:r w:rsidRPr="00256982">
        <w:rPr>
          <w:lang w:eastAsia="en-GB"/>
        </w:rPr>
        <w:t xml:space="preserve"> category </w:t>
      </w:r>
      <w:r w:rsidRPr="00256982">
        <w:t>decreased by 39.7 </w:t>
      </w:r>
      <w:r w:rsidRPr="00256982">
        <w:rPr>
          <w:lang w:eastAsia="en-GB"/>
        </w:rPr>
        <w:t>kt CO</w:t>
      </w:r>
      <w:r w:rsidRPr="00256982">
        <w:rPr>
          <w:vertAlign w:val="subscript"/>
          <w:lang w:eastAsia="en-GB"/>
        </w:rPr>
        <w:t>2</w:t>
      </w:r>
      <w:r w:rsidRPr="00256982">
        <w:rPr>
          <w:lang w:eastAsia="en-GB"/>
        </w:rPr>
        <w:t>-e (−</w:t>
      </w:r>
      <w:r w:rsidRPr="00256982">
        <w:t>23.1 per cent</w:t>
      </w:r>
      <w:r w:rsidRPr="00256982">
        <w:rPr>
          <w:lang w:eastAsia="en-GB"/>
        </w:rPr>
        <w:t>) as a result of decreased production from both underground and surface mines.</w:t>
      </w:r>
    </w:p>
    <w:p w14:paraId="370FFC3D" w14:textId="77777777" w:rsidR="00DE64BC" w:rsidRPr="00256982" w:rsidRDefault="00DE64BC" w:rsidP="00A808C7">
      <w:pPr>
        <w:pStyle w:val="BodyText"/>
        <w:rPr>
          <w:lang w:eastAsia="en-GB"/>
        </w:rPr>
      </w:pPr>
      <w:r w:rsidRPr="00256982">
        <w:rPr>
          <w:lang w:eastAsia="en-GB"/>
        </w:rPr>
        <w:t xml:space="preserve">New Zealand’s fugitive emissions from the </w:t>
      </w:r>
      <w:r w:rsidRPr="00256982">
        <w:rPr>
          <w:i/>
          <w:lang w:eastAsia="en-GB"/>
        </w:rPr>
        <w:t>Solid fuels</w:t>
      </w:r>
      <w:r w:rsidRPr="00256982">
        <w:rPr>
          <w:lang w:eastAsia="en-GB"/>
        </w:rPr>
        <w:t xml:space="preserve"> category are a by-product of coal-mining operations. Methane is created during coal formation. The amount of </w:t>
      </w:r>
      <w:r w:rsidRPr="00256982">
        <w:t>CH</w:t>
      </w:r>
      <w:r w:rsidRPr="00256982">
        <w:rPr>
          <w:vertAlign w:val="subscript"/>
        </w:rPr>
        <w:t>4</w:t>
      </w:r>
      <w:r w:rsidRPr="00256982">
        <w:rPr>
          <w:szCs w:val="22"/>
          <w:lang w:eastAsia="en-GB"/>
        </w:rPr>
        <w:t xml:space="preserve"> </w:t>
      </w:r>
      <w:r w:rsidRPr="00256982">
        <w:rPr>
          <w:lang w:eastAsia="en-GB"/>
        </w:rPr>
        <w:t xml:space="preserve">released during coal mining is dependent on the coal grade and the depth of the coal seam. This includes the emissions from post-underground mining activities such as coal processing, transportation and use. In </w:t>
      </w:r>
      <w:r w:rsidRPr="00256982">
        <w:t>2017</w:t>
      </w:r>
      <w:r w:rsidRPr="00256982">
        <w:rPr>
          <w:lang w:eastAsia="en-GB"/>
        </w:rPr>
        <w:t xml:space="preserve">, New Zealand coal production was 2.9 million tonnes, similar to the </w:t>
      </w:r>
      <w:r w:rsidRPr="00256982">
        <w:t>2016</w:t>
      </w:r>
      <w:r w:rsidRPr="00256982">
        <w:rPr>
          <w:lang w:eastAsia="en-GB"/>
        </w:rPr>
        <w:t xml:space="preserve"> production level. T</w:t>
      </w:r>
      <w:r w:rsidRPr="00256982">
        <w:t xml:space="preserve">here are less than 20 active coal mines operating New Zealand; as of 2019, none are underground. The two largest open-cast operations, at Stockton and Rotowaro, account for the majority of national production. For further information and data on the coal mining industry refer to </w:t>
      </w:r>
      <w:r w:rsidRPr="00256982">
        <w:rPr>
          <w:i/>
        </w:rPr>
        <w:t>Energy in New Zealand</w:t>
      </w:r>
      <w:r w:rsidRPr="00256982">
        <w:t xml:space="preserve"> (MBIE, 2018).</w:t>
      </w:r>
    </w:p>
    <w:p w14:paraId="7B4C9469" w14:textId="77777777" w:rsidR="00DE64BC" w:rsidRPr="00256982" w:rsidRDefault="00DE64BC" w:rsidP="00A808C7">
      <w:pPr>
        <w:pStyle w:val="BodyText"/>
        <w:rPr>
          <w:lang w:eastAsia="en-GB"/>
        </w:rPr>
      </w:pPr>
      <w:r w:rsidRPr="00256982">
        <w:rPr>
          <w:lang w:eastAsia="en-GB"/>
        </w:rPr>
        <w:t xml:space="preserve">At the end of </w:t>
      </w:r>
      <w:r w:rsidRPr="00256982">
        <w:t>2017</w:t>
      </w:r>
      <w:r w:rsidRPr="00256982">
        <w:rPr>
          <w:lang w:eastAsia="en-GB"/>
        </w:rPr>
        <w:t xml:space="preserve">, there was no known flaring or capture of </w:t>
      </w:r>
      <w:r w:rsidRPr="00256982">
        <w:t>CH</w:t>
      </w:r>
      <w:r w:rsidRPr="00256982">
        <w:rPr>
          <w:vertAlign w:val="subscript"/>
        </w:rPr>
        <w:t>4</w:t>
      </w:r>
      <w:r w:rsidRPr="00256982">
        <w:t xml:space="preserve"> </w:t>
      </w:r>
      <w:r w:rsidRPr="00256982">
        <w:rPr>
          <w:lang w:eastAsia="en-GB"/>
        </w:rPr>
        <w:t>at coal mines in New Zealand. Pilot schemes of both coal seam gas and underground coal gasification began in 2012, but these projects have not progressed.</w:t>
      </w:r>
    </w:p>
    <w:p w14:paraId="43E681B2" w14:textId="77777777" w:rsidR="00DE64BC" w:rsidRPr="00256982" w:rsidRDefault="00DE64BC" w:rsidP="00A72006">
      <w:pPr>
        <w:pStyle w:val="Heading4"/>
        <w:rPr>
          <w:lang w:eastAsia="en-GB"/>
        </w:rPr>
      </w:pPr>
      <w:r w:rsidRPr="00256982">
        <w:rPr>
          <w:lang w:eastAsia="en-GB"/>
        </w:rPr>
        <w:lastRenderedPageBreak/>
        <w:t>Methodological issues</w:t>
      </w:r>
    </w:p>
    <w:p w14:paraId="7D0A65BF" w14:textId="77777777" w:rsidR="00DE64BC" w:rsidRPr="00256982" w:rsidRDefault="00DE64BC" w:rsidP="00A808C7">
      <w:pPr>
        <w:pStyle w:val="BodyText"/>
        <w:spacing w:after="100"/>
        <w:rPr>
          <w:szCs w:val="22"/>
          <w:lang w:eastAsia="ko-KR"/>
        </w:rPr>
      </w:pPr>
      <w:r w:rsidRPr="00256982">
        <w:rPr>
          <w:lang w:eastAsia="en-GB"/>
        </w:rPr>
        <w:t xml:space="preserve">The New Zealand-specific emission factor for underground mining of sub-bituminous coal is used to calculate </w:t>
      </w:r>
      <w:r w:rsidRPr="00256982">
        <w:t>CH</w:t>
      </w:r>
      <w:r w:rsidRPr="00256982">
        <w:rPr>
          <w:vertAlign w:val="subscript"/>
        </w:rPr>
        <w:t>4</w:t>
      </w:r>
      <w:r w:rsidRPr="00256982">
        <w:rPr>
          <w:sz w:val="14"/>
          <w:szCs w:val="14"/>
          <w:lang w:eastAsia="en-GB"/>
        </w:rPr>
        <w:t xml:space="preserve"> </w:t>
      </w:r>
      <w:r w:rsidRPr="00256982">
        <w:rPr>
          <w:lang w:eastAsia="en-GB"/>
        </w:rPr>
        <w:t xml:space="preserve">emissions (Beamish and Vance, 1992). </w:t>
      </w:r>
      <w:r w:rsidRPr="00256982">
        <w:rPr>
          <w:szCs w:val="22"/>
          <w:lang w:eastAsia="en-GB"/>
        </w:rPr>
        <w:t>T</w:t>
      </w:r>
      <w:r w:rsidRPr="00256982">
        <w:rPr>
          <w:szCs w:val="22"/>
          <w:lang w:eastAsia="ko-KR"/>
        </w:rPr>
        <w:t>he sub-bituminous emission factor (EF) derived from Beamish and Vance is considered to be reliable because the EF (12.1 t/kt) is:</w:t>
      </w:r>
    </w:p>
    <w:p w14:paraId="12EE59A9" w14:textId="77777777" w:rsidR="00DE64BC" w:rsidRPr="00256982" w:rsidRDefault="00DE64BC" w:rsidP="0036046B">
      <w:pPr>
        <w:pStyle w:val="Sub-lista"/>
        <w:numPr>
          <w:ilvl w:val="0"/>
          <w:numId w:val="5"/>
        </w:numPr>
        <w:tabs>
          <w:tab w:val="clear" w:pos="794"/>
        </w:tabs>
        <w:spacing w:after="100"/>
        <w:ind w:left="397"/>
        <w:rPr>
          <w:lang w:val="en-NZ"/>
        </w:rPr>
      </w:pPr>
      <w:r w:rsidRPr="00256982">
        <w:rPr>
          <w:lang w:val="en-NZ"/>
        </w:rPr>
        <w:t>well within the 2006 IPCC default range of 6.7–16.75 t/kt</w:t>
      </w:r>
    </w:p>
    <w:p w14:paraId="5CF252E1" w14:textId="77777777" w:rsidR="00DE64BC" w:rsidRPr="00256982" w:rsidRDefault="00DE64BC" w:rsidP="0036046B">
      <w:pPr>
        <w:pStyle w:val="Sub-lista"/>
        <w:numPr>
          <w:ilvl w:val="0"/>
          <w:numId w:val="5"/>
        </w:numPr>
        <w:tabs>
          <w:tab w:val="clear" w:pos="794"/>
        </w:tabs>
        <w:spacing w:after="100"/>
        <w:ind w:left="397"/>
        <w:rPr>
          <w:lang w:val="en-NZ"/>
        </w:rPr>
      </w:pPr>
      <w:r w:rsidRPr="00256982">
        <w:rPr>
          <w:lang w:val="en-NZ"/>
        </w:rPr>
        <w:t>largely based on data for the most significant sub-bituminous coal mine in New Zealand (Huntly East mine), which has continued production since 1988 and has remained the most significant producing mine.</w:t>
      </w:r>
    </w:p>
    <w:p w14:paraId="57625B34" w14:textId="77777777" w:rsidR="00DE64BC" w:rsidRPr="00256982" w:rsidRDefault="00DE64BC" w:rsidP="00A808C7">
      <w:pPr>
        <w:pStyle w:val="BodyText"/>
        <w:spacing w:after="100"/>
        <w:rPr>
          <w:lang w:eastAsia="ko-KR"/>
        </w:rPr>
      </w:pPr>
      <w:r w:rsidRPr="00256982">
        <w:rPr>
          <w:lang w:eastAsia="ko-KR"/>
        </w:rPr>
        <w:t>The EF for underground mining of bituminous coal is taken from the 2006 IPCC Guidelines. It is noted that any bituminous EF derived from Beamish and Vance (1992) would not be reliable, and should not be used, for the following reasons.</w:t>
      </w:r>
    </w:p>
    <w:p w14:paraId="7351AF15" w14:textId="77777777" w:rsidR="00DE64BC" w:rsidRPr="00256982" w:rsidRDefault="00DE64BC" w:rsidP="0036046B">
      <w:pPr>
        <w:pStyle w:val="Sub-lista"/>
        <w:numPr>
          <w:ilvl w:val="0"/>
          <w:numId w:val="10"/>
        </w:numPr>
        <w:tabs>
          <w:tab w:val="clear" w:pos="794"/>
        </w:tabs>
        <w:spacing w:after="100"/>
        <w:ind w:left="397"/>
        <w:rPr>
          <w:lang w:val="en-NZ"/>
        </w:rPr>
      </w:pPr>
      <w:r w:rsidRPr="00256982">
        <w:rPr>
          <w:lang w:val="en-NZ"/>
        </w:rPr>
        <w:t>The derived EF (35.28 t CH</w:t>
      </w:r>
      <w:r w:rsidRPr="00256982">
        <w:rPr>
          <w:vertAlign w:val="subscript"/>
          <w:lang w:val="en-NZ"/>
        </w:rPr>
        <w:t>4</w:t>
      </w:r>
      <w:r w:rsidRPr="00256982">
        <w:rPr>
          <w:lang w:val="en-NZ"/>
        </w:rPr>
        <w:t>/kt) is more than double the high default 2006 IPCC value. Using such an EF that is so far out of line with the default values would require a strong justification.</w:t>
      </w:r>
    </w:p>
    <w:p w14:paraId="1FB6A6A0" w14:textId="77777777" w:rsidR="00DE64BC" w:rsidRPr="00256982" w:rsidRDefault="00DE64BC" w:rsidP="0036046B">
      <w:pPr>
        <w:pStyle w:val="Sub-lista"/>
        <w:numPr>
          <w:ilvl w:val="0"/>
          <w:numId w:val="5"/>
        </w:numPr>
        <w:tabs>
          <w:tab w:val="clear" w:pos="794"/>
        </w:tabs>
        <w:spacing w:after="100"/>
        <w:ind w:left="397"/>
        <w:rPr>
          <w:lang w:val="en-NZ"/>
        </w:rPr>
      </w:pPr>
      <w:r w:rsidRPr="00256982">
        <w:rPr>
          <w:lang w:val="en-NZ"/>
        </w:rPr>
        <w:t>New Zealand already has the highest implied EF for underground mining among Annex I Parties. Dramatically increasing the EF further still would not be in the interests of comparability.</w:t>
      </w:r>
    </w:p>
    <w:p w14:paraId="3D23147A" w14:textId="77777777" w:rsidR="00DE64BC" w:rsidRPr="00256982" w:rsidRDefault="00DE64BC" w:rsidP="0036046B">
      <w:pPr>
        <w:pStyle w:val="Sub-lista"/>
        <w:numPr>
          <w:ilvl w:val="0"/>
          <w:numId w:val="5"/>
        </w:numPr>
        <w:tabs>
          <w:tab w:val="clear" w:pos="794"/>
        </w:tabs>
        <w:spacing w:after="100"/>
        <w:ind w:left="397"/>
        <w:rPr>
          <w:lang w:val="en-NZ"/>
        </w:rPr>
      </w:pPr>
      <w:r w:rsidRPr="00256982">
        <w:rPr>
          <w:lang w:val="en-NZ"/>
        </w:rPr>
        <w:t>The bituminous data are based on production of only 125 kt and so represent a very small sample size (compared with the sub-bituminous mines, where the data are based on production of 655 kt). The small sample size significantly increases the uncertainty.</w:t>
      </w:r>
    </w:p>
    <w:p w14:paraId="05D569AF" w14:textId="77777777" w:rsidR="00DE64BC" w:rsidRPr="00256982" w:rsidRDefault="00DE64BC" w:rsidP="0036046B">
      <w:pPr>
        <w:pStyle w:val="Sub-lista"/>
        <w:numPr>
          <w:ilvl w:val="0"/>
          <w:numId w:val="5"/>
        </w:numPr>
        <w:tabs>
          <w:tab w:val="clear" w:pos="794"/>
        </w:tabs>
        <w:spacing w:after="100"/>
        <w:ind w:left="397"/>
        <w:rPr>
          <w:lang w:val="en-NZ"/>
        </w:rPr>
      </w:pPr>
      <w:r w:rsidRPr="00256982">
        <w:rPr>
          <w:lang w:val="en-NZ"/>
        </w:rPr>
        <w:t>Beamish and Vance’s study is based on data from 1988, for just eight bituminous coal mines. These data are out of date, because all of these mines are no longer producing, and bituminous coal production comes from entirely different underground mines, to which the suggested EFs may not be applicable.</w:t>
      </w:r>
    </w:p>
    <w:p w14:paraId="67441E7C" w14:textId="77777777" w:rsidR="00DE64BC" w:rsidRPr="00256982" w:rsidRDefault="00DE64BC" w:rsidP="00A808C7">
      <w:pPr>
        <w:pStyle w:val="BodyText"/>
        <w:rPr>
          <w:lang w:eastAsia="en-GB"/>
        </w:rPr>
      </w:pPr>
      <w:r w:rsidRPr="00256982">
        <w:rPr>
          <w:lang w:eastAsia="en-GB"/>
        </w:rPr>
        <w:t>Emission factors for the other subcategories, for example, surface mining, are sourced from the 2006 IPCC Guidelines.</w:t>
      </w:r>
    </w:p>
    <w:p w14:paraId="3B5278ED" w14:textId="77777777" w:rsidR="00DE64BC" w:rsidRPr="00256982" w:rsidRDefault="00DE64BC" w:rsidP="00A808C7">
      <w:pPr>
        <w:pStyle w:val="Heading5"/>
        <w:rPr>
          <w:lang w:eastAsia="en-GB"/>
        </w:rPr>
      </w:pPr>
      <w:r w:rsidRPr="00256982">
        <w:rPr>
          <w:lang w:eastAsia="en-GB"/>
        </w:rPr>
        <w:t>Activity data</w:t>
      </w:r>
    </w:p>
    <w:p w14:paraId="65F5FBEE" w14:textId="77777777" w:rsidR="00DE64BC" w:rsidRPr="00256982" w:rsidRDefault="00DE64BC" w:rsidP="00A808C7">
      <w:pPr>
        <w:pStyle w:val="BodyText"/>
        <w:rPr>
          <w:lang w:eastAsia="en-GB"/>
        </w:rPr>
      </w:pPr>
      <w:r w:rsidRPr="00256982">
        <w:rPr>
          <w:lang w:eastAsia="en-GB"/>
        </w:rPr>
        <w:t>Activity data for this category are collected from MBIE’s coal production survey. This survey gathers quarterly data on coal production by mine type (underground and/or surface) and rank (coking, bituminous, sub-bituminous, lignite).</w:t>
      </w:r>
    </w:p>
    <w:p w14:paraId="28CEBF84" w14:textId="77777777" w:rsidR="00DE64BC" w:rsidRPr="00256982" w:rsidRDefault="00DE64BC" w:rsidP="00A808C7">
      <w:pPr>
        <w:pStyle w:val="Heading5"/>
        <w:rPr>
          <w:lang w:eastAsia="en-GB"/>
        </w:rPr>
      </w:pPr>
      <w:r w:rsidRPr="00256982">
        <w:rPr>
          <w:lang w:eastAsia="en-GB"/>
        </w:rPr>
        <w:t>Abandoned underground mines (1.B.1.a.1.iii)</w:t>
      </w:r>
    </w:p>
    <w:p w14:paraId="1E95ED91" w14:textId="77777777" w:rsidR="00DE64BC" w:rsidRPr="00256982" w:rsidRDefault="00DE64BC" w:rsidP="00A808C7">
      <w:pPr>
        <w:pStyle w:val="BodyText"/>
      </w:pPr>
      <w:r w:rsidRPr="00256982">
        <w:rPr>
          <w:lang w:eastAsia="en-GB"/>
        </w:rPr>
        <w:t>MBIE has been conducting an investigation (including seeking expert advice) to ascertain whether or not activity in this category is occurring. According to the 2006 IPCC Guidelines, mines of only a few acres in size should be disregarded, and, additionally, non-gassy mines and flooded mines are presumed to have negligible emissions. Most New Zealand mines are small by European standards and can be disregarded. The first stage of the project was completed in 2016 and concluded that the activity is not occurring (NO) in the North Island: details are given in table 3.4.2. The second stage of the project, focusing on the South Island, remains on hold due to the unavailability of data, but expert opinion indicates it is likely that the activity is also NO for most of the time series. A mine plans database has been made available online (</w:t>
      </w:r>
      <w:hyperlink r:id="rId68" w:history="1">
        <w:r w:rsidRPr="00256982">
          <w:t>www.nzpam.govt.nz/maps-geoscience/nz-mine-plans)</w:t>
        </w:r>
      </w:hyperlink>
      <w:r w:rsidRPr="00256982">
        <w:t>, although this is still a work in progress.</w:t>
      </w:r>
    </w:p>
    <w:p w14:paraId="78C79981" w14:textId="77777777" w:rsidR="00DE64BC" w:rsidRPr="00256982" w:rsidRDefault="00DE64BC" w:rsidP="00A808C7">
      <w:pPr>
        <w:pStyle w:val="BodyText"/>
        <w:rPr>
          <w:lang w:eastAsia="en-GB"/>
        </w:rPr>
      </w:pPr>
      <w:r w:rsidRPr="00256982">
        <w:rPr>
          <w:lang w:eastAsia="en-GB"/>
        </w:rPr>
        <w:t>Activity data in the form of CH</w:t>
      </w:r>
      <w:r w:rsidRPr="00256982">
        <w:rPr>
          <w:vertAlign w:val="subscript"/>
          <w:lang w:eastAsia="en-GB"/>
        </w:rPr>
        <w:t>4</w:t>
      </w:r>
      <w:r w:rsidRPr="00256982">
        <w:rPr>
          <w:lang w:eastAsia="en-GB"/>
        </w:rPr>
        <w:t xml:space="preserve"> output derived from mine ventilation measurements have been obtained from mine operators for those mines where data exist. Those mines have now closed and are flooded. Source-specific details are not provided so as to maintain confidentiality. Recovery and/or flaring of abandoned mine CH</w:t>
      </w:r>
      <w:r w:rsidRPr="00256982">
        <w:rPr>
          <w:vertAlign w:val="subscript"/>
          <w:lang w:eastAsia="en-GB"/>
        </w:rPr>
        <w:t>4</w:t>
      </w:r>
      <w:r w:rsidRPr="00256982">
        <w:rPr>
          <w:lang w:eastAsia="en-GB"/>
        </w:rPr>
        <w:t xml:space="preserve"> does not occur.</w:t>
      </w:r>
    </w:p>
    <w:p w14:paraId="1C58F528" w14:textId="77777777" w:rsidR="00DE64BC" w:rsidRPr="00256982" w:rsidRDefault="00DE64BC" w:rsidP="00A808C7">
      <w:pPr>
        <w:pStyle w:val="Table"/>
        <w:rPr>
          <w:rFonts w:cs="Arial"/>
          <w:iCs/>
          <w:szCs w:val="22"/>
          <w:lang w:eastAsia="en-GB"/>
        </w:rPr>
      </w:pPr>
      <w:bookmarkStart w:id="378" w:name="_Toc443060848"/>
      <w:bookmarkStart w:id="379" w:name="_Toc451176064"/>
      <w:bookmarkStart w:id="380" w:name="_Toc481751490"/>
      <w:bookmarkStart w:id="381" w:name="_Toc507496593"/>
      <w:bookmarkStart w:id="382" w:name="_Toc5269454"/>
      <w:r w:rsidRPr="00256982">
        <w:lastRenderedPageBreak/>
        <w:t xml:space="preserve">Table 3.4.2 </w:t>
      </w:r>
      <w:r w:rsidRPr="00256982">
        <w:tab/>
        <w:t>Details of abandoned underground mines in the North Island</w:t>
      </w:r>
      <w:bookmarkEnd w:id="378"/>
      <w:bookmarkEnd w:id="379"/>
      <w:bookmarkEnd w:id="380"/>
      <w:bookmarkEnd w:id="381"/>
      <w:bookmarkEnd w:id="382"/>
      <w:r w:rsidRPr="00256982">
        <w:rPr>
          <w:rFonts w:cs="Arial"/>
          <w:iCs/>
          <w:szCs w:val="22"/>
          <w:lang w:eastAsia="en-GB"/>
        </w:rPr>
        <w:t xml:space="preserve"> </w:t>
      </w:r>
    </w:p>
    <w:tbl>
      <w:tblPr>
        <w:tblW w:w="8562" w:type="dxa"/>
        <w:tblInd w:w="108" w:type="dxa"/>
        <w:tblBorders>
          <w:top w:val="single" w:sz="4" w:space="0" w:color="365F91"/>
          <w:bottom w:val="single" w:sz="4" w:space="0" w:color="365F91"/>
          <w:insideH w:val="single" w:sz="4" w:space="0" w:color="365F91"/>
        </w:tblBorders>
        <w:tblLayout w:type="fixed"/>
        <w:tblCellMar>
          <w:right w:w="85" w:type="dxa"/>
        </w:tblCellMar>
        <w:tblLook w:val="04A0" w:firstRow="1" w:lastRow="0" w:firstColumn="1" w:lastColumn="0" w:noHBand="0" w:noVBand="1"/>
      </w:tblPr>
      <w:tblGrid>
        <w:gridCol w:w="1568"/>
        <w:gridCol w:w="1656"/>
        <w:gridCol w:w="5338"/>
      </w:tblGrid>
      <w:tr w:rsidR="00DE64BC" w:rsidRPr="00256982" w14:paraId="46011077" w14:textId="77777777" w:rsidTr="00A808C7">
        <w:trPr>
          <w:cantSplit/>
        </w:trPr>
        <w:tc>
          <w:tcPr>
            <w:tcW w:w="1474" w:type="dxa"/>
            <w:shd w:val="clear" w:color="auto" w:fill="365F91"/>
            <w:vAlign w:val="bottom"/>
          </w:tcPr>
          <w:p w14:paraId="1BC1CCC9" w14:textId="77777777" w:rsidR="00DE64BC" w:rsidRPr="00256982" w:rsidRDefault="00DE64BC" w:rsidP="00A808C7">
            <w:pPr>
              <w:pStyle w:val="TableTextBold"/>
              <w:keepNext/>
              <w:spacing w:before="40" w:after="40"/>
              <w:rPr>
                <w:noProof w:val="0"/>
                <w:color w:val="FFFFFF"/>
              </w:rPr>
            </w:pPr>
            <w:r w:rsidRPr="00256982">
              <w:rPr>
                <w:noProof w:val="0"/>
                <w:color w:val="FFFFFF"/>
              </w:rPr>
              <w:t>Region/coalfield</w:t>
            </w:r>
          </w:p>
        </w:tc>
        <w:tc>
          <w:tcPr>
            <w:tcW w:w="1557" w:type="dxa"/>
            <w:shd w:val="clear" w:color="auto" w:fill="365F91"/>
            <w:vAlign w:val="bottom"/>
          </w:tcPr>
          <w:p w14:paraId="74D9F8E8" w14:textId="77777777" w:rsidR="00DE64BC" w:rsidRPr="00256982" w:rsidRDefault="00DE64BC" w:rsidP="00A808C7">
            <w:pPr>
              <w:pStyle w:val="TableTextBold"/>
              <w:spacing w:before="40" w:after="40"/>
              <w:rPr>
                <w:rFonts w:cs="Arial"/>
                <w:noProof w:val="0"/>
                <w:color w:val="FFFFFF"/>
              </w:rPr>
            </w:pPr>
            <w:r w:rsidRPr="00256982">
              <w:rPr>
                <w:rFonts w:cs="Arial"/>
                <w:noProof w:val="0"/>
                <w:color w:val="FFFFFF"/>
              </w:rPr>
              <w:t>Significant mine</w:t>
            </w:r>
          </w:p>
        </w:tc>
        <w:tc>
          <w:tcPr>
            <w:tcW w:w="5019" w:type="dxa"/>
            <w:shd w:val="clear" w:color="auto" w:fill="365F91"/>
            <w:vAlign w:val="bottom"/>
          </w:tcPr>
          <w:p w14:paraId="692EDDD5" w14:textId="77777777" w:rsidR="00DE64BC" w:rsidRPr="00256982" w:rsidRDefault="00DE64BC" w:rsidP="00A808C7">
            <w:pPr>
              <w:pStyle w:val="TableTextBold"/>
              <w:spacing w:before="40" w:after="40"/>
              <w:rPr>
                <w:rFonts w:cs="Arial"/>
                <w:noProof w:val="0"/>
                <w:color w:val="FFFFFF"/>
              </w:rPr>
            </w:pPr>
            <w:r w:rsidRPr="00256982">
              <w:rPr>
                <w:rFonts w:cs="Arial"/>
                <w:noProof w:val="0"/>
                <w:color w:val="FFFFFF"/>
              </w:rPr>
              <w:t>Status</w:t>
            </w:r>
          </w:p>
        </w:tc>
      </w:tr>
      <w:tr w:rsidR="00DE64BC" w:rsidRPr="00256982" w14:paraId="1DC2AF7D" w14:textId="77777777" w:rsidTr="00A808C7">
        <w:trPr>
          <w:cantSplit/>
          <w:trHeight w:val="250"/>
        </w:trPr>
        <w:tc>
          <w:tcPr>
            <w:tcW w:w="1474" w:type="dxa"/>
            <w:tcBorders>
              <w:bottom w:val="single" w:sz="4" w:space="0" w:color="365F91"/>
            </w:tcBorders>
          </w:tcPr>
          <w:p w14:paraId="31E18823" w14:textId="77777777" w:rsidR="00DE64BC" w:rsidRPr="00256982" w:rsidRDefault="00DE64BC" w:rsidP="00A808C7">
            <w:pPr>
              <w:pStyle w:val="TableText"/>
            </w:pPr>
            <w:r w:rsidRPr="00256982">
              <w:t>Northland</w:t>
            </w:r>
          </w:p>
        </w:tc>
        <w:tc>
          <w:tcPr>
            <w:tcW w:w="1557" w:type="dxa"/>
          </w:tcPr>
          <w:p w14:paraId="34307790" w14:textId="77777777" w:rsidR="00DE64BC" w:rsidRPr="00256982" w:rsidRDefault="00DE64BC" w:rsidP="00A808C7">
            <w:pPr>
              <w:pStyle w:val="TableText"/>
            </w:pPr>
            <w:r w:rsidRPr="00256982">
              <w:t>Kamo</w:t>
            </w:r>
          </w:p>
        </w:tc>
        <w:tc>
          <w:tcPr>
            <w:tcW w:w="5019" w:type="dxa"/>
          </w:tcPr>
          <w:p w14:paraId="4267A8C7" w14:textId="77777777" w:rsidR="00DE64BC" w:rsidRPr="00256982" w:rsidRDefault="00DE64BC" w:rsidP="00A808C7">
            <w:pPr>
              <w:pStyle w:val="TableText"/>
            </w:pPr>
            <w:r w:rsidRPr="00256982">
              <w:t>Only one significant mine; flooded</w:t>
            </w:r>
          </w:p>
        </w:tc>
      </w:tr>
      <w:tr w:rsidR="00DE64BC" w:rsidRPr="00256982" w14:paraId="6D0EE393" w14:textId="77777777" w:rsidTr="00A808C7">
        <w:trPr>
          <w:cantSplit/>
        </w:trPr>
        <w:tc>
          <w:tcPr>
            <w:tcW w:w="1474" w:type="dxa"/>
            <w:tcBorders>
              <w:bottom w:val="nil"/>
            </w:tcBorders>
          </w:tcPr>
          <w:p w14:paraId="50D3160A" w14:textId="77777777" w:rsidR="00DE64BC" w:rsidRPr="00256982" w:rsidRDefault="00DE64BC" w:rsidP="00A808C7">
            <w:pPr>
              <w:pStyle w:val="TableText"/>
            </w:pPr>
            <w:r w:rsidRPr="00256982">
              <w:t>Waikato</w:t>
            </w:r>
          </w:p>
        </w:tc>
        <w:tc>
          <w:tcPr>
            <w:tcW w:w="1557" w:type="dxa"/>
          </w:tcPr>
          <w:p w14:paraId="4D017059" w14:textId="77777777" w:rsidR="00DE64BC" w:rsidRPr="00256982" w:rsidRDefault="00DE64BC" w:rsidP="00A808C7">
            <w:pPr>
              <w:pStyle w:val="TableText"/>
            </w:pPr>
            <w:r w:rsidRPr="00256982">
              <w:t>Rotowaro mines</w:t>
            </w:r>
          </w:p>
        </w:tc>
        <w:tc>
          <w:tcPr>
            <w:tcW w:w="5019" w:type="dxa"/>
          </w:tcPr>
          <w:p w14:paraId="4B3FE3B1" w14:textId="77777777" w:rsidR="00DE64BC" w:rsidRPr="00256982" w:rsidRDefault="00DE64BC" w:rsidP="00A808C7">
            <w:pPr>
              <w:pStyle w:val="TableText"/>
            </w:pPr>
            <w:r w:rsidRPr="00256982">
              <w:t>Underground mines either flooded or subsequently opencast mined</w:t>
            </w:r>
          </w:p>
        </w:tc>
      </w:tr>
      <w:tr w:rsidR="00DE64BC" w:rsidRPr="00256982" w14:paraId="44CFF636" w14:textId="77777777" w:rsidTr="00A808C7">
        <w:trPr>
          <w:cantSplit/>
        </w:trPr>
        <w:tc>
          <w:tcPr>
            <w:tcW w:w="1474" w:type="dxa"/>
            <w:tcBorders>
              <w:top w:val="nil"/>
              <w:bottom w:val="nil"/>
            </w:tcBorders>
          </w:tcPr>
          <w:p w14:paraId="6F3D7C48" w14:textId="77777777" w:rsidR="00DE64BC" w:rsidRPr="00256982" w:rsidRDefault="00DE64BC" w:rsidP="00A808C7">
            <w:pPr>
              <w:pStyle w:val="TableText"/>
            </w:pPr>
          </w:p>
        </w:tc>
        <w:tc>
          <w:tcPr>
            <w:tcW w:w="1557" w:type="dxa"/>
          </w:tcPr>
          <w:p w14:paraId="24D5B5FE" w14:textId="77777777" w:rsidR="00DE64BC" w:rsidRPr="00256982" w:rsidRDefault="00DE64BC" w:rsidP="00A808C7">
            <w:pPr>
              <w:pStyle w:val="TableText"/>
            </w:pPr>
            <w:r w:rsidRPr="00256982">
              <w:t>Huntly West</w:t>
            </w:r>
          </w:p>
        </w:tc>
        <w:tc>
          <w:tcPr>
            <w:tcW w:w="5019" w:type="dxa"/>
          </w:tcPr>
          <w:p w14:paraId="35B3910A" w14:textId="77777777" w:rsidR="00DE64BC" w:rsidRPr="00256982" w:rsidRDefault="00DE64BC" w:rsidP="00A808C7">
            <w:pPr>
              <w:pStyle w:val="TableText"/>
            </w:pPr>
            <w:r w:rsidRPr="00256982">
              <w:t>Flooded</w:t>
            </w:r>
          </w:p>
        </w:tc>
      </w:tr>
      <w:tr w:rsidR="00DE64BC" w:rsidRPr="00256982" w14:paraId="460DB769" w14:textId="77777777" w:rsidTr="00A808C7">
        <w:trPr>
          <w:cantSplit/>
        </w:trPr>
        <w:tc>
          <w:tcPr>
            <w:tcW w:w="1474" w:type="dxa"/>
            <w:tcBorders>
              <w:top w:val="nil"/>
            </w:tcBorders>
          </w:tcPr>
          <w:p w14:paraId="79255DB0" w14:textId="77777777" w:rsidR="00DE64BC" w:rsidRPr="00256982" w:rsidRDefault="00DE64BC" w:rsidP="00A808C7">
            <w:pPr>
              <w:pStyle w:val="TableText"/>
            </w:pPr>
          </w:p>
        </w:tc>
        <w:tc>
          <w:tcPr>
            <w:tcW w:w="1557" w:type="dxa"/>
          </w:tcPr>
          <w:p w14:paraId="2988349B" w14:textId="77777777" w:rsidR="00DE64BC" w:rsidRPr="00256982" w:rsidRDefault="00DE64BC" w:rsidP="00A808C7">
            <w:pPr>
              <w:pStyle w:val="TableText"/>
            </w:pPr>
            <w:r w:rsidRPr="00256982">
              <w:t>Taupiri/Ralphs</w:t>
            </w:r>
          </w:p>
        </w:tc>
        <w:tc>
          <w:tcPr>
            <w:tcW w:w="5019" w:type="dxa"/>
          </w:tcPr>
          <w:p w14:paraId="6956E7F6" w14:textId="77777777" w:rsidR="00DE64BC" w:rsidRPr="00256982" w:rsidRDefault="00DE64BC" w:rsidP="00A808C7">
            <w:pPr>
              <w:pStyle w:val="TableText"/>
            </w:pPr>
            <w:r w:rsidRPr="00256982">
              <w:t>Mines under Huntly township; flooded</w:t>
            </w:r>
          </w:p>
        </w:tc>
      </w:tr>
      <w:tr w:rsidR="00DE64BC" w:rsidRPr="00256982" w14:paraId="7AA72464" w14:textId="77777777" w:rsidTr="00A808C7">
        <w:trPr>
          <w:cantSplit/>
        </w:trPr>
        <w:tc>
          <w:tcPr>
            <w:tcW w:w="1474" w:type="dxa"/>
          </w:tcPr>
          <w:p w14:paraId="17421854" w14:textId="77777777" w:rsidR="00DE64BC" w:rsidRPr="00256982" w:rsidRDefault="00DE64BC" w:rsidP="00A808C7">
            <w:pPr>
              <w:pStyle w:val="TableText"/>
            </w:pPr>
            <w:r w:rsidRPr="00256982">
              <w:t>Taranaki</w:t>
            </w:r>
          </w:p>
        </w:tc>
        <w:tc>
          <w:tcPr>
            <w:tcW w:w="1557" w:type="dxa"/>
          </w:tcPr>
          <w:p w14:paraId="5DAC188B" w14:textId="77777777" w:rsidR="00DE64BC" w:rsidRPr="00256982" w:rsidRDefault="00DE64BC" w:rsidP="00A808C7">
            <w:pPr>
              <w:pStyle w:val="TableText"/>
            </w:pPr>
            <w:r w:rsidRPr="00256982">
              <w:t>Tatu</w:t>
            </w:r>
          </w:p>
        </w:tc>
        <w:tc>
          <w:tcPr>
            <w:tcW w:w="5019" w:type="dxa"/>
          </w:tcPr>
          <w:p w14:paraId="2E367805" w14:textId="77777777" w:rsidR="00DE64BC" w:rsidRPr="00256982" w:rsidRDefault="00DE64BC" w:rsidP="00A808C7">
            <w:pPr>
              <w:pStyle w:val="TableText"/>
            </w:pPr>
            <w:r w:rsidRPr="00256982">
              <w:t>Only one significant mine; flooded</w:t>
            </w:r>
          </w:p>
        </w:tc>
      </w:tr>
    </w:tbl>
    <w:p w14:paraId="792C0297" w14:textId="77777777" w:rsidR="00DE64BC" w:rsidRPr="00256982" w:rsidRDefault="00DE64BC" w:rsidP="00EA6905">
      <w:pPr>
        <w:pStyle w:val="Heading4"/>
        <w:spacing w:before="360"/>
        <w:rPr>
          <w:lang w:eastAsia="en-GB"/>
        </w:rPr>
      </w:pPr>
      <w:r w:rsidRPr="00256982">
        <w:rPr>
          <w:lang w:eastAsia="en-GB"/>
        </w:rPr>
        <w:t>Uncertainties and time-series consistency</w:t>
      </w:r>
    </w:p>
    <w:p w14:paraId="286C5B36" w14:textId="77777777" w:rsidR="00DE64BC" w:rsidRPr="00256982" w:rsidRDefault="00DE64BC" w:rsidP="00A808C7">
      <w:pPr>
        <w:pStyle w:val="BodyText"/>
        <w:rPr>
          <w:spacing w:val="-2"/>
          <w:lang w:eastAsia="en-GB"/>
        </w:rPr>
      </w:pPr>
      <w:r w:rsidRPr="00256982">
        <w:rPr>
          <w:spacing w:val="-2"/>
          <w:lang w:eastAsia="en-GB"/>
        </w:rPr>
        <w:t>Uncertainties in fugitive emissions are relevant to the entire Energy sector (see table 3.3.1).</w:t>
      </w:r>
    </w:p>
    <w:p w14:paraId="5FF3DFF0" w14:textId="77777777" w:rsidR="00DE64BC" w:rsidRPr="00256982" w:rsidRDefault="00DE64BC" w:rsidP="00A72006">
      <w:pPr>
        <w:pStyle w:val="Heading4"/>
        <w:rPr>
          <w:lang w:eastAsia="en-GB"/>
        </w:rPr>
      </w:pPr>
      <w:r w:rsidRPr="00256982">
        <w:rPr>
          <w:lang w:eastAsia="en-GB"/>
        </w:rPr>
        <w:t>Source-specific QA/QC and verification</w:t>
      </w:r>
    </w:p>
    <w:p w14:paraId="29E2D24E" w14:textId="77777777" w:rsidR="00DE64BC" w:rsidRPr="00256982" w:rsidRDefault="00DE64BC" w:rsidP="00A808C7">
      <w:pPr>
        <w:pStyle w:val="BodyText"/>
        <w:rPr>
          <w:lang w:eastAsia="en-GB"/>
        </w:rPr>
      </w:pPr>
      <w:r w:rsidRPr="00256982">
        <w:rPr>
          <w:lang w:eastAsia="en-GB"/>
        </w:rPr>
        <w:t xml:space="preserve">In the preparation of this inventory, the </w:t>
      </w:r>
      <w:r w:rsidRPr="00256982">
        <w:rPr>
          <w:i/>
          <w:lang w:eastAsia="en-GB"/>
        </w:rPr>
        <w:t>Fugitive emissions</w:t>
      </w:r>
      <w:r w:rsidRPr="00256982">
        <w:rPr>
          <w:lang w:eastAsia="en-GB"/>
        </w:rPr>
        <w:t xml:space="preserve"> category underwent Tier 1 quality-assurance and quality-control checks, as recommended in the 2006 IPCC Guidelines. These include regular control sums throughout systems, to verify system integrity, and consistency checks of implied emission factors.</w:t>
      </w:r>
    </w:p>
    <w:p w14:paraId="7DAAC530" w14:textId="77777777" w:rsidR="00DE64BC" w:rsidRPr="00256982" w:rsidRDefault="00DE64BC" w:rsidP="00A72006">
      <w:pPr>
        <w:pStyle w:val="Heading4"/>
        <w:rPr>
          <w:lang w:eastAsia="en-GB"/>
        </w:rPr>
      </w:pPr>
      <w:r w:rsidRPr="00256982">
        <w:rPr>
          <w:lang w:eastAsia="en-GB"/>
        </w:rPr>
        <w:t>Source-specific recalculations</w:t>
      </w:r>
    </w:p>
    <w:p w14:paraId="1B5BADE3" w14:textId="77777777" w:rsidR="00DE64BC" w:rsidRPr="00256982" w:rsidRDefault="00DE64BC" w:rsidP="00A808C7">
      <w:pPr>
        <w:pStyle w:val="BodyText"/>
        <w:rPr>
          <w:lang w:eastAsia="en-GB"/>
        </w:rPr>
      </w:pPr>
      <w:r w:rsidRPr="00256982">
        <w:rPr>
          <w:lang w:eastAsia="en-GB"/>
        </w:rPr>
        <w:t>Historical coal production data have been revised due to revisions in data provided by companies. This has resulted in minor revisions in activity data and corresponding emissions for some years.</w:t>
      </w:r>
    </w:p>
    <w:p w14:paraId="272AA33A" w14:textId="77777777" w:rsidR="00DE64BC" w:rsidRPr="00256982" w:rsidRDefault="00DE64BC" w:rsidP="00A72006">
      <w:pPr>
        <w:pStyle w:val="Heading4"/>
        <w:rPr>
          <w:lang w:eastAsia="en-GB"/>
        </w:rPr>
      </w:pPr>
      <w:r w:rsidRPr="00256982">
        <w:rPr>
          <w:lang w:eastAsia="en-GB"/>
        </w:rPr>
        <w:t>Source-specific planned improvements</w:t>
      </w:r>
    </w:p>
    <w:p w14:paraId="29C49FAB" w14:textId="77777777" w:rsidR="00DE64BC" w:rsidRPr="00256982" w:rsidRDefault="00DE64BC" w:rsidP="00A808C7">
      <w:pPr>
        <w:pStyle w:val="BodyText"/>
        <w:rPr>
          <w:b/>
          <w:bCs/>
          <w:szCs w:val="24"/>
          <w:lang w:eastAsia="en-GB"/>
        </w:rPr>
      </w:pPr>
      <w:r w:rsidRPr="00256982">
        <w:rPr>
          <w:lang w:eastAsia="en-GB"/>
        </w:rPr>
        <w:t xml:space="preserve">There are no planned improvements for this category. </w:t>
      </w:r>
    </w:p>
    <w:p w14:paraId="772E346A" w14:textId="77777777" w:rsidR="00DE64BC" w:rsidRPr="00256982" w:rsidRDefault="00DE64BC" w:rsidP="001D3490">
      <w:pPr>
        <w:pStyle w:val="Heading3"/>
      </w:pPr>
      <w:r w:rsidRPr="00256982">
        <w:t>3.4.2</w:t>
      </w:r>
      <w:r w:rsidRPr="00256982">
        <w:tab/>
        <w:t>Fugitive emissions from fuels: Oil and natural gas and other emissions from energy production (CRF 1.B.2)</w:t>
      </w:r>
    </w:p>
    <w:p w14:paraId="429DC9C8" w14:textId="77777777" w:rsidR="00DE64BC" w:rsidRPr="00256982" w:rsidRDefault="00DE64BC" w:rsidP="00A72006">
      <w:pPr>
        <w:pStyle w:val="Heading4"/>
      </w:pPr>
      <w:r w:rsidRPr="00256982">
        <w:rPr>
          <w:lang w:eastAsia="en-GB"/>
        </w:rPr>
        <w:t>Description</w:t>
      </w:r>
    </w:p>
    <w:p w14:paraId="3A52E07D" w14:textId="77777777" w:rsidR="00DE64BC" w:rsidRPr="00256982" w:rsidRDefault="00DE64BC" w:rsidP="00A808C7">
      <w:pPr>
        <w:pStyle w:val="BodyText"/>
      </w:pPr>
      <w:r w:rsidRPr="00256982">
        <w:rPr>
          <w:lang w:eastAsia="en-GB"/>
        </w:rPr>
        <w:t xml:space="preserve">In </w:t>
      </w:r>
      <w:r w:rsidRPr="00256982">
        <w:t>2017</w:t>
      </w:r>
      <w:r w:rsidRPr="00256982">
        <w:rPr>
          <w:lang w:eastAsia="en-GB"/>
        </w:rPr>
        <w:t xml:space="preserve">, fugitive emissions from the </w:t>
      </w:r>
      <w:r w:rsidRPr="00256982">
        <w:rPr>
          <w:i/>
          <w:lang w:eastAsia="en-GB"/>
        </w:rPr>
        <w:t>Oil and natural gas</w:t>
      </w:r>
      <w:r w:rsidRPr="00256982">
        <w:rPr>
          <w:lang w:eastAsia="en-GB"/>
        </w:rPr>
        <w:t xml:space="preserve"> category contributed 1,808.2</w:t>
      </w:r>
      <w:r w:rsidRPr="00256982">
        <w:t> </w:t>
      </w:r>
      <w:r w:rsidRPr="00256982">
        <w:rPr>
          <w:lang w:eastAsia="en-GB"/>
        </w:rPr>
        <w:t>kt CO</w:t>
      </w:r>
      <w:r w:rsidRPr="00256982">
        <w:rPr>
          <w:vertAlign w:val="subscript"/>
          <w:lang w:eastAsia="en-GB"/>
        </w:rPr>
        <w:t>2</w:t>
      </w:r>
      <w:r w:rsidRPr="00256982">
        <w:rPr>
          <w:lang w:eastAsia="en-GB"/>
        </w:rPr>
        <w:t>-e (</w:t>
      </w:r>
      <w:r w:rsidRPr="00256982">
        <w:t>93.2 per cent</w:t>
      </w:r>
      <w:r w:rsidRPr="00256982">
        <w:rPr>
          <w:lang w:eastAsia="en-GB"/>
        </w:rPr>
        <w:t xml:space="preserve">) to emissions from the </w:t>
      </w:r>
      <w:r w:rsidRPr="00256982">
        <w:rPr>
          <w:i/>
          <w:lang w:eastAsia="en-GB"/>
        </w:rPr>
        <w:t>Fugitive emissions</w:t>
      </w:r>
      <w:r w:rsidRPr="00256982">
        <w:rPr>
          <w:lang w:eastAsia="en-GB"/>
        </w:rPr>
        <w:t xml:space="preserve"> category. This is an increase of </w:t>
      </w:r>
      <w:r w:rsidRPr="00256982">
        <w:t>799.3 </w:t>
      </w:r>
      <w:r w:rsidRPr="00256982">
        <w:rPr>
          <w:lang w:eastAsia="en-GB"/>
        </w:rPr>
        <w:t>kt CO</w:t>
      </w:r>
      <w:r w:rsidRPr="00256982">
        <w:rPr>
          <w:vertAlign w:val="subscript"/>
          <w:lang w:eastAsia="en-GB"/>
        </w:rPr>
        <w:t>2</w:t>
      </w:r>
      <w:r w:rsidRPr="00256982">
        <w:rPr>
          <w:lang w:eastAsia="en-GB"/>
        </w:rPr>
        <w:t>-e (79.2</w:t>
      </w:r>
      <w:r w:rsidRPr="00256982">
        <w:t xml:space="preserve"> per cent</w:t>
      </w:r>
      <w:r w:rsidRPr="00256982">
        <w:rPr>
          <w:lang w:eastAsia="en-GB"/>
        </w:rPr>
        <w:t xml:space="preserve">) from </w:t>
      </w:r>
      <w:r w:rsidRPr="00256982">
        <w:t xml:space="preserve">1,008.9 </w:t>
      </w:r>
      <w:r w:rsidRPr="00256982">
        <w:rPr>
          <w:lang w:eastAsia="en-GB"/>
        </w:rPr>
        <w:t>kt CO</w:t>
      </w:r>
      <w:r w:rsidRPr="00256982">
        <w:rPr>
          <w:vertAlign w:val="subscript"/>
          <w:lang w:eastAsia="en-GB"/>
        </w:rPr>
        <w:t>2</w:t>
      </w:r>
      <w:r w:rsidRPr="00256982">
        <w:rPr>
          <w:lang w:eastAsia="en-GB"/>
        </w:rPr>
        <w:t xml:space="preserve">-e in 1990. </w:t>
      </w:r>
    </w:p>
    <w:p w14:paraId="187AE54B" w14:textId="77777777" w:rsidR="00DE64BC" w:rsidRPr="00256982" w:rsidRDefault="00DE64BC" w:rsidP="00A808C7">
      <w:pPr>
        <w:pStyle w:val="BodyText"/>
        <w:rPr>
          <w:lang w:eastAsia="en-GB"/>
        </w:rPr>
      </w:pPr>
      <w:r w:rsidRPr="00256982">
        <w:rPr>
          <w:lang w:eastAsia="en-GB"/>
        </w:rPr>
        <w:t xml:space="preserve">A source of emissions from the production and processing of natural gas is the Kapuni Gas Treatment Plant. The plant removes </w:t>
      </w:r>
      <w:r w:rsidRPr="00256982">
        <w:t>CO</w:t>
      </w:r>
      <w:r w:rsidRPr="00256982">
        <w:rPr>
          <w:vertAlign w:val="subscript"/>
        </w:rPr>
        <w:t>2</w:t>
      </w:r>
      <w:r w:rsidRPr="00256982">
        <w:rPr>
          <w:sz w:val="14"/>
          <w:szCs w:val="14"/>
          <w:lang w:eastAsia="en-GB"/>
        </w:rPr>
        <w:t xml:space="preserve"> </w:t>
      </w:r>
      <w:r w:rsidRPr="00256982">
        <w:rPr>
          <w:lang w:eastAsia="en-GB"/>
        </w:rPr>
        <w:t xml:space="preserve">from a portion of the Kapuni gas (a high </w:t>
      </w:r>
      <w:r w:rsidRPr="00256982">
        <w:t>CO</w:t>
      </w:r>
      <w:r w:rsidRPr="00256982">
        <w:rPr>
          <w:vertAlign w:val="subscript"/>
        </w:rPr>
        <w:t>2</w:t>
      </w:r>
      <w:r w:rsidRPr="00256982">
        <w:rPr>
          <w:sz w:val="14"/>
          <w:szCs w:val="14"/>
          <w:lang w:eastAsia="en-GB"/>
        </w:rPr>
        <w:t xml:space="preserve"> </w:t>
      </w:r>
      <w:r w:rsidRPr="00256982">
        <w:rPr>
          <w:lang w:eastAsia="en-GB"/>
        </w:rPr>
        <w:t>gas when untreated) before it enters the national transmission network. This is reported in CRF table 1.B.2.c.2.</w:t>
      </w:r>
    </w:p>
    <w:p w14:paraId="3DBB2578" w14:textId="77777777" w:rsidR="00DE64BC" w:rsidRPr="00256982" w:rsidRDefault="00DE64BC" w:rsidP="00A808C7">
      <w:pPr>
        <w:pStyle w:val="BodyText"/>
        <w:rPr>
          <w:lang w:eastAsia="en-GB"/>
        </w:rPr>
      </w:pPr>
      <w:r w:rsidRPr="00256982">
        <w:rPr>
          <w:lang w:eastAsia="en-GB"/>
        </w:rPr>
        <w:t xml:space="preserve">The large increase in </w:t>
      </w:r>
      <w:r w:rsidRPr="00256982">
        <w:t>CO</w:t>
      </w:r>
      <w:r w:rsidRPr="00256982">
        <w:rPr>
          <w:vertAlign w:val="subscript"/>
        </w:rPr>
        <w:t>2</w:t>
      </w:r>
      <w:r w:rsidRPr="00256982">
        <w:rPr>
          <w:sz w:val="14"/>
          <w:szCs w:val="14"/>
          <w:lang w:eastAsia="en-GB"/>
        </w:rPr>
        <w:t xml:space="preserve"> </w:t>
      </w:r>
      <w:r w:rsidRPr="00256982">
        <w:rPr>
          <w:lang w:eastAsia="en-GB"/>
        </w:rPr>
        <w:t>emissions from the Kapuni</w:t>
      </w:r>
      <w:r w:rsidRPr="00256982" w:rsidDel="00F31629">
        <w:rPr>
          <w:lang w:eastAsia="en-GB"/>
        </w:rPr>
        <w:t xml:space="preserve"> </w:t>
      </w:r>
      <w:r w:rsidRPr="00256982">
        <w:rPr>
          <w:lang w:eastAsia="en-GB"/>
        </w:rPr>
        <w:t>plant between 2003 and 2004 and between 2004 and 2005 is related to the drop in methanol production. Carbon dioxide previously sequestered during this separation process is now released as fugitive emissions from venting at the plant.</w:t>
      </w:r>
    </w:p>
    <w:p w14:paraId="4F994169" w14:textId="77777777" w:rsidR="00DE64BC" w:rsidRPr="00256982" w:rsidRDefault="00DE64BC" w:rsidP="00A808C7">
      <w:pPr>
        <w:pStyle w:val="BodyText"/>
        <w:rPr>
          <w:lang w:eastAsia="en-GB"/>
        </w:rPr>
      </w:pPr>
      <w:r w:rsidRPr="00256982">
        <w:rPr>
          <w:lang w:eastAsia="en-GB"/>
        </w:rPr>
        <w:t>While emissions from the Kapuni</w:t>
      </w:r>
      <w:r w:rsidRPr="00256982" w:rsidDel="00F31629">
        <w:rPr>
          <w:lang w:eastAsia="en-GB"/>
        </w:rPr>
        <w:t xml:space="preserve"> </w:t>
      </w:r>
      <w:r w:rsidRPr="00256982">
        <w:rPr>
          <w:lang w:eastAsia="en-GB"/>
        </w:rPr>
        <w:t>plant may include traces of CH</w:t>
      </w:r>
      <w:r w:rsidRPr="00256982">
        <w:rPr>
          <w:vertAlign w:val="subscript"/>
          <w:lang w:eastAsia="en-GB"/>
        </w:rPr>
        <w:t>4</w:t>
      </w:r>
      <w:r w:rsidRPr="00256982">
        <w:rPr>
          <w:lang w:eastAsia="en-GB"/>
        </w:rPr>
        <w:t>, the level of these emissions has been determined to be insignificant in comparison with national emissions: a conservative estimate (using default emission factors from the 2006 IPCC guidelines) gives approximately 1.5 kt CO</w:t>
      </w:r>
      <w:r w:rsidRPr="00256982">
        <w:rPr>
          <w:vertAlign w:val="subscript"/>
          <w:lang w:eastAsia="en-GB"/>
        </w:rPr>
        <w:t>2</w:t>
      </w:r>
      <w:r w:rsidRPr="00256982">
        <w:rPr>
          <w:lang w:eastAsia="en-GB"/>
        </w:rPr>
        <w:t>-e per year.</w:t>
      </w:r>
    </w:p>
    <w:p w14:paraId="456F4AA9" w14:textId="77777777" w:rsidR="00DE64BC" w:rsidRPr="00256982" w:rsidRDefault="00DE64BC" w:rsidP="00A808C7">
      <w:pPr>
        <w:pStyle w:val="BodyText"/>
        <w:rPr>
          <w:lang w:eastAsia="en-GB"/>
        </w:rPr>
      </w:pPr>
      <w:r w:rsidRPr="00256982">
        <w:rPr>
          <w:lang w:eastAsia="en-GB"/>
        </w:rPr>
        <w:lastRenderedPageBreak/>
        <w:t xml:space="preserve">Carbon dioxide is also produced when natural gas is flared at the wellheads of other fields. The combustion efficiency of flaring is 95 per cent to 99 per cent, leaving some fugitive </w:t>
      </w:r>
      <w:r w:rsidRPr="00256982">
        <w:t>CH</w:t>
      </w:r>
      <w:r w:rsidRPr="00256982">
        <w:rPr>
          <w:vertAlign w:val="subscript"/>
        </w:rPr>
        <w:t>4</w:t>
      </w:r>
      <w:r w:rsidRPr="00256982">
        <w:rPr>
          <w:lang w:eastAsia="en-GB"/>
        </w:rPr>
        <w:t xml:space="preserve"> emissions as a result of incomplete combustion. </w:t>
      </w:r>
    </w:p>
    <w:p w14:paraId="5990165A" w14:textId="77777777" w:rsidR="00DE64BC" w:rsidRPr="00256982" w:rsidRDefault="00DE64BC" w:rsidP="00A808C7">
      <w:pPr>
        <w:pStyle w:val="BodyText"/>
        <w:rPr>
          <w:lang w:eastAsia="en-GB"/>
        </w:rPr>
      </w:pPr>
      <w:r w:rsidRPr="00256982">
        <w:rPr>
          <w:lang w:eastAsia="en-GB"/>
        </w:rPr>
        <w:t xml:space="preserve">Fugitive emissions also occur in transmission and distribution within the </w:t>
      </w:r>
      <w:r w:rsidRPr="00256982">
        <w:t xml:space="preserve">natural </w:t>
      </w:r>
      <w:r w:rsidRPr="00256982">
        <w:rPr>
          <w:lang w:eastAsia="en-GB"/>
        </w:rPr>
        <w:t>gas transmission pipeline system. However, these emissions are relatively minor in comparison with those from venting and flaring.</w:t>
      </w:r>
    </w:p>
    <w:p w14:paraId="07B65630" w14:textId="77777777" w:rsidR="00DE64BC" w:rsidRPr="00256982" w:rsidRDefault="00DE64BC" w:rsidP="00A808C7">
      <w:pPr>
        <w:pStyle w:val="BodyText"/>
        <w:rPr>
          <w:lang w:eastAsia="en-GB"/>
        </w:rPr>
      </w:pPr>
      <w:r w:rsidRPr="00256982">
        <w:rPr>
          <w:lang w:eastAsia="en-GB"/>
        </w:rPr>
        <w:t xml:space="preserve">The </w:t>
      </w:r>
      <w:r w:rsidRPr="00256982">
        <w:rPr>
          <w:i/>
          <w:lang w:eastAsia="en-GB"/>
        </w:rPr>
        <w:t>Oil and natural gas</w:t>
      </w:r>
      <w:r w:rsidRPr="00256982">
        <w:rPr>
          <w:lang w:eastAsia="en-GB"/>
        </w:rPr>
        <w:t xml:space="preserve"> category also includes estimates for emissions from geothermal operations. While some of the energy from geothermal fields is transformed into electricity, emissions from geothermal electricity generation are reported under the </w:t>
      </w:r>
      <w:r w:rsidRPr="00256982">
        <w:rPr>
          <w:i/>
          <w:lang w:eastAsia="en-GB"/>
        </w:rPr>
        <w:t>Fugitive emissions</w:t>
      </w:r>
      <w:r w:rsidRPr="00256982">
        <w:rPr>
          <w:lang w:eastAsia="en-GB"/>
        </w:rPr>
        <w:t xml:space="preserve"> category because they are not the result of fuel combustion, unlike the emissions reported under the </w:t>
      </w:r>
      <w:r w:rsidRPr="00256982">
        <w:rPr>
          <w:i/>
          <w:lang w:eastAsia="en-GB"/>
        </w:rPr>
        <w:t>Energy industries</w:t>
      </w:r>
      <w:r w:rsidRPr="00256982">
        <w:rPr>
          <w:lang w:eastAsia="en-GB"/>
        </w:rPr>
        <w:t xml:space="preserve"> category. Geothermal facilities supplying geothermal fluid for generating electricity or industrial heat are subject to the Climate Change (Stationary Energy and Industrial Processes) Regulations 2009, and are required to participate in the NZ ETS. Geothermal sites, where there is no use of geothermal steam for energy production, have been excluded from the inventory. Operations falling outside the scope of the regulations are not included in the inventory due to a lack of data, methodology and emission factors. Besides this, such sites – rather than using high temperature geothermal steam – use low temperature hot water, which does not carry high levels of dissolved gases, and any emissions are not significant. Naturally occurring sites do not contribute any anthropogenic emissions.</w:t>
      </w:r>
    </w:p>
    <w:p w14:paraId="79151A98" w14:textId="77777777" w:rsidR="00DE64BC" w:rsidRPr="00256982" w:rsidRDefault="00DE64BC" w:rsidP="00A808C7">
      <w:pPr>
        <w:pStyle w:val="BodyText"/>
        <w:rPr>
          <w:lang w:eastAsia="en-GB"/>
        </w:rPr>
      </w:pPr>
      <w:r w:rsidRPr="00256982">
        <w:rPr>
          <w:lang w:eastAsia="en-GB"/>
        </w:rPr>
        <w:t xml:space="preserve">In </w:t>
      </w:r>
      <w:r w:rsidRPr="00256982">
        <w:t>2017</w:t>
      </w:r>
      <w:r w:rsidRPr="00256982">
        <w:rPr>
          <w:lang w:eastAsia="en-GB"/>
        </w:rPr>
        <w:t xml:space="preserve">, emissions from geothermal operations were </w:t>
      </w:r>
      <w:r w:rsidRPr="00256982">
        <w:t xml:space="preserve">814.8 </w:t>
      </w:r>
      <w:r w:rsidRPr="00256982">
        <w:rPr>
          <w:lang w:eastAsia="en-GB"/>
        </w:rPr>
        <w:t>kt CO</w:t>
      </w:r>
      <w:r w:rsidRPr="00256982">
        <w:rPr>
          <w:vertAlign w:val="subscript"/>
          <w:lang w:eastAsia="en-GB"/>
        </w:rPr>
        <w:t>2</w:t>
      </w:r>
      <w:r w:rsidRPr="00256982">
        <w:rPr>
          <w:lang w:eastAsia="en-GB"/>
        </w:rPr>
        <w:t xml:space="preserve">-e, an increase of </w:t>
      </w:r>
      <w:r w:rsidRPr="00256982">
        <w:t>531.4 </w:t>
      </w:r>
      <w:r w:rsidRPr="00256982">
        <w:rPr>
          <w:lang w:eastAsia="en-GB"/>
        </w:rPr>
        <w:t>kt CO</w:t>
      </w:r>
      <w:r w:rsidRPr="00256982">
        <w:rPr>
          <w:vertAlign w:val="subscript"/>
          <w:lang w:eastAsia="en-GB"/>
        </w:rPr>
        <w:t>2</w:t>
      </w:r>
      <w:r w:rsidRPr="00256982">
        <w:rPr>
          <w:lang w:eastAsia="en-GB"/>
        </w:rPr>
        <w:t>-e (187.5</w:t>
      </w:r>
      <w:r w:rsidRPr="00256982">
        <w:t xml:space="preserve"> per cent</w:t>
      </w:r>
      <w:r w:rsidRPr="00256982">
        <w:rPr>
          <w:lang w:eastAsia="en-GB"/>
        </w:rPr>
        <w:t xml:space="preserve">) from the 1990 level of </w:t>
      </w:r>
      <w:r w:rsidRPr="00256982">
        <w:t xml:space="preserve">283.4 </w:t>
      </w:r>
      <w:r w:rsidRPr="00256982">
        <w:rPr>
          <w:lang w:eastAsia="en-GB"/>
        </w:rPr>
        <w:t>kt CO</w:t>
      </w:r>
      <w:r w:rsidRPr="00256982">
        <w:rPr>
          <w:vertAlign w:val="subscript"/>
          <w:lang w:eastAsia="en-GB"/>
        </w:rPr>
        <w:t>2</w:t>
      </w:r>
      <w:r w:rsidRPr="00256982">
        <w:rPr>
          <w:lang w:eastAsia="en-GB"/>
        </w:rPr>
        <w:t>-e.</w:t>
      </w:r>
    </w:p>
    <w:p w14:paraId="39AA2B09" w14:textId="77777777" w:rsidR="00DE64BC" w:rsidRPr="00256982" w:rsidRDefault="00DE64BC" w:rsidP="00A808C7">
      <w:pPr>
        <w:pStyle w:val="BodyText"/>
      </w:pPr>
      <w:r w:rsidRPr="00256982">
        <w:t xml:space="preserve">Between 2016 and 2017, emissions from geothermal sources decreased by 2.1 per cent. </w:t>
      </w:r>
    </w:p>
    <w:p w14:paraId="5041CED0" w14:textId="77777777" w:rsidR="00DE64BC" w:rsidRPr="00256982" w:rsidRDefault="00DE64BC" w:rsidP="00A72006">
      <w:pPr>
        <w:pStyle w:val="Heading4"/>
      </w:pPr>
      <w:r w:rsidRPr="00256982">
        <w:rPr>
          <w:lang w:eastAsia="en-GB"/>
        </w:rPr>
        <w:t>Methodological issues</w:t>
      </w:r>
    </w:p>
    <w:p w14:paraId="07A7D38A" w14:textId="77777777" w:rsidR="00DE64BC" w:rsidRPr="00256982" w:rsidRDefault="00DE64BC" w:rsidP="00A808C7">
      <w:pPr>
        <w:pStyle w:val="BodyText"/>
        <w:rPr>
          <w:lang w:eastAsia="en-GB"/>
        </w:rPr>
      </w:pPr>
      <w:r w:rsidRPr="00256982">
        <w:rPr>
          <w:lang w:eastAsia="en-GB"/>
        </w:rPr>
        <w:t>Unless noted otherwise, CO</w:t>
      </w:r>
      <w:r w:rsidRPr="00256982">
        <w:rPr>
          <w:vertAlign w:val="subscript"/>
          <w:lang w:eastAsia="en-GB"/>
        </w:rPr>
        <w:t>2</w:t>
      </w:r>
      <w:r w:rsidRPr="00256982">
        <w:rPr>
          <w:lang w:eastAsia="en-GB"/>
        </w:rPr>
        <w:t xml:space="preserve"> and CH</w:t>
      </w:r>
      <w:r w:rsidRPr="00256982">
        <w:rPr>
          <w:vertAlign w:val="subscript"/>
          <w:lang w:eastAsia="en-GB"/>
        </w:rPr>
        <w:t>4</w:t>
      </w:r>
      <w:r w:rsidRPr="00256982">
        <w:rPr>
          <w:lang w:eastAsia="en-GB"/>
        </w:rPr>
        <w:t xml:space="preserve"> emissions from sources within this category have been calculated using the IPCC Tier 2 approach, and N</w:t>
      </w:r>
      <w:r w:rsidRPr="00256982">
        <w:rPr>
          <w:vertAlign w:val="subscript"/>
          <w:lang w:eastAsia="en-GB"/>
        </w:rPr>
        <w:t>2</w:t>
      </w:r>
      <w:r w:rsidRPr="00256982">
        <w:rPr>
          <w:lang w:eastAsia="en-GB"/>
        </w:rPr>
        <w:t>O emissions were calculated using the default Tier 1 approach (IPCC, 2006).</w:t>
      </w:r>
    </w:p>
    <w:p w14:paraId="4C6AFDAB" w14:textId="77777777" w:rsidR="00DE64BC" w:rsidRPr="00256982" w:rsidRDefault="00DE64BC" w:rsidP="00A808C7">
      <w:pPr>
        <w:pStyle w:val="Heading5"/>
        <w:rPr>
          <w:lang w:eastAsia="en-GB"/>
        </w:rPr>
      </w:pPr>
      <w:r w:rsidRPr="00256982">
        <w:rPr>
          <w:lang w:eastAsia="en-GB"/>
        </w:rPr>
        <w:t>Ozone precursors and sulphur dioxide from oil refining</w:t>
      </w:r>
    </w:p>
    <w:p w14:paraId="3F926D3A" w14:textId="77777777" w:rsidR="00DE64BC" w:rsidRPr="00256982" w:rsidRDefault="00DE64BC" w:rsidP="00A808C7">
      <w:pPr>
        <w:pStyle w:val="BodyText"/>
        <w:spacing w:after="80"/>
        <w:rPr>
          <w:lang w:eastAsia="en-GB"/>
        </w:rPr>
      </w:pPr>
      <w:r w:rsidRPr="00256982">
        <w:rPr>
          <w:lang w:eastAsia="en-GB"/>
        </w:rPr>
        <w:t>New Zealand has only one oil refinery that has a hydro cracker rather than a catalytic cracker. Therefore, no emissions come from fluid catalytic cracking but they do come from sulphur recovery plants and storage and handling.</w:t>
      </w:r>
    </w:p>
    <w:p w14:paraId="6F751752" w14:textId="77777777" w:rsidR="00DE64BC" w:rsidRPr="00256982" w:rsidRDefault="00DE64BC" w:rsidP="00A808C7">
      <w:pPr>
        <w:pStyle w:val="Heading5"/>
      </w:pPr>
      <w:r w:rsidRPr="00256982">
        <w:t>1.B.2.c Venting and flaring</w:t>
      </w:r>
    </w:p>
    <w:p w14:paraId="7A0C890A" w14:textId="77777777" w:rsidR="00DE64BC" w:rsidRPr="00256982" w:rsidRDefault="00DE64BC" w:rsidP="00A808C7">
      <w:pPr>
        <w:pStyle w:val="BodyText"/>
        <w:spacing w:after="80"/>
      </w:pPr>
      <w:r w:rsidRPr="00256982">
        <w:t>Oil and natural gas fields in New Zealand produce a mixture consisting of variable ratios of natural gas, crude oil, condensate and natural gas liquids. Hence emissions for this category are reported under ‘combined’. The activity data are directly reported by field operators.</w:t>
      </w:r>
    </w:p>
    <w:p w14:paraId="4DF24655" w14:textId="77777777" w:rsidR="00DE64BC" w:rsidRPr="00256982" w:rsidRDefault="00DE64BC" w:rsidP="00A808C7">
      <w:pPr>
        <w:pStyle w:val="BodyText"/>
        <w:spacing w:after="80"/>
      </w:pPr>
      <w:r w:rsidRPr="00256982">
        <w:t>Venting of CO</w:t>
      </w:r>
      <w:r w:rsidRPr="00256982">
        <w:rPr>
          <w:vertAlign w:val="subscript"/>
        </w:rPr>
        <w:t>2</w:t>
      </w:r>
      <w:r w:rsidRPr="00256982">
        <w:t xml:space="preserve"> resulting from hydrogen production at oil refineries is included in the IPPU sector so as to protect the confidentiality of individual companies (see chapter 4, for further information).</w:t>
      </w:r>
    </w:p>
    <w:p w14:paraId="628114E7" w14:textId="77777777" w:rsidR="00DE64BC" w:rsidRPr="00256982" w:rsidRDefault="00DE64BC" w:rsidP="00A808C7">
      <w:pPr>
        <w:pStyle w:val="Heading5"/>
      </w:pPr>
      <w:r w:rsidRPr="00256982">
        <w:t xml:space="preserve">1.B.2.d </w:t>
      </w:r>
      <w:r w:rsidRPr="00256982">
        <w:rPr>
          <w:lang w:eastAsia="en-GB"/>
        </w:rPr>
        <w:t>Geothermal</w:t>
      </w:r>
    </w:p>
    <w:p w14:paraId="0D0BBC96" w14:textId="77777777" w:rsidR="00DE64BC" w:rsidRPr="00256982" w:rsidRDefault="00DE64BC" w:rsidP="00A808C7">
      <w:pPr>
        <w:pStyle w:val="BodyText"/>
      </w:pPr>
      <w:r w:rsidRPr="00256982">
        <w:t>When geothermal fluid is discharged, some CO</w:t>
      </w:r>
      <w:r w:rsidRPr="00256982">
        <w:rPr>
          <w:vertAlign w:val="subscript"/>
        </w:rPr>
        <w:t>2</w:t>
      </w:r>
      <w:r w:rsidRPr="00256982">
        <w:t xml:space="preserve"> and small amounts of CH</w:t>
      </w:r>
      <w:r w:rsidRPr="00256982">
        <w:rPr>
          <w:vertAlign w:val="subscript"/>
        </w:rPr>
        <w:t>4</w:t>
      </w:r>
      <w:r w:rsidRPr="00256982">
        <w:t xml:space="preserve"> are also released. The emissions released during electricity generation using geothermal fluid are reported in this inventory. Figure 3.4.1 shows a schematic diagram of a typical New Zealand geothermal flash power station. </w:t>
      </w:r>
    </w:p>
    <w:p w14:paraId="164E71BB" w14:textId="77777777" w:rsidR="00DE64BC" w:rsidRPr="00256982" w:rsidRDefault="00DE64BC" w:rsidP="00A808C7">
      <w:pPr>
        <w:pStyle w:val="BodyText"/>
      </w:pPr>
      <w:r w:rsidRPr="00256982">
        <w:lastRenderedPageBreak/>
        <w:t>Estimates of CO</w:t>
      </w:r>
      <w:r w:rsidRPr="00256982">
        <w:rPr>
          <w:vertAlign w:val="subscript"/>
        </w:rPr>
        <w:t>2</w:t>
      </w:r>
      <w:r w:rsidRPr="00256982">
        <w:t xml:space="preserve"> and CH</w:t>
      </w:r>
      <w:r w:rsidRPr="00256982">
        <w:rPr>
          <w:vertAlign w:val="subscript"/>
        </w:rPr>
        <w:t>4</w:t>
      </w:r>
      <w:r w:rsidRPr="00256982">
        <w:t xml:space="preserve"> emissions for the </w:t>
      </w:r>
      <w:r w:rsidRPr="00256982">
        <w:rPr>
          <w:i/>
        </w:rPr>
        <w:t>Geothermal</w:t>
      </w:r>
      <w:r w:rsidRPr="00256982">
        <w:t xml:space="preserve"> category are obtained directly from the geothermal power companies. There are around 15 geothermal power stations in New Zealand – most of these are owned (or partly owned) by two major power companies. Two examples of methodologies used to estimate emissions by these companies are explained below.</w:t>
      </w:r>
    </w:p>
    <w:p w14:paraId="5A6DBEFD" w14:textId="77777777" w:rsidR="00DE64BC" w:rsidRPr="00256982" w:rsidRDefault="00DE64BC" w:rsidP="00A808C7">
      <w:pPr>
        <w:pStyle w:val="Figure"/>
        <w:spacing w:after="60"/>
      </w:pPr>
      <w:bookmarkStart w:id="383" w:name="_Ref442370730"/>
      <w:bookmarkStart w:id="384" w:name="_Toc321399339"/>
      <w:bookmarkStart w:id="385" w:name="_Toc384582868"/>
      <w:bookmarkStart w:id="386" w:name="_Toc443060827"/>
      <w:bookmarkStart w:id="387" w:name="_Toc447275684"/>
      <w:bookmarkStart w:id="388" w:name="_Toc481752001"/>
      <w:bookmarkStart w:id="389" w:name="_Toc5269678"/>
      <w:r w:rsidRPr="00256982">
        <w:t>Figure 3.4.</w:t>
      </w:r>
      <w:r w:rsidR="00304077">
        <w:rPr>
          <w:noProof/>
        </w:rPr>
        <w:fldChar w:fldCharType="begin"/>
      </w:r>
      <w:r w:rsidR="00304077">
        <w:rPr>
          <w:noProof/>
        </w:rPr>
        <w:instrText xml:space="preserve"> SEQ Figure \* ARABIC \s 2 </w:instrText>
      </w:r>
      <w:r w:rsidR="00304077">
        <w:rPr>
          <w:noProof/>
        </w:rPr>
        <w:fldChar w:fldCharType="separate"/>
      </w:r>
      <w:r w:rsidR="00D0418C">
        <w:rPr>
          <w:noProof/>
        </w:rPr>
        <w:t>1</w:t>
      </w:r>
      <w:r w:rsidR="00304077">
        <w:rPr>
          <w:noProof/>
        </w:rPr>
        <w:fldChar w:fldCharType="end"/>
      </w:r>
      <w:bookmarkEnd w:id="383"/>
      <w:r w:rsidRPr="00256982">
        <w:t xml:space="preserve"> </w:t>
      </w:r>
      <w:r w:rsidRPr="00256982">
        <w:tab/>
        <w:t>Schematic diagram of the use of geothermal fluid for electricity generation – as at Wairakei and Ohaaki geothermal stations (New Zealand Institute of Chemistry, 1998)</w:t>
      </w:r>
      <w:bookmarkEnd w:id="384"/>
      <w:bookmarkEnd w:id="385"/>
      <w:bookmarkEnd w:id="386"/>
      <w:bookmarkEnd w:id="387"/>
      <w:bookmarkEnd w:id="388"/>
      <w:bookmarkEnd w:id="389"/>
    </w:p>
    <w:p w14:paraId="3F44E89F" w14:textId="77777777" w:rsidR="00DE64BC" w:rsidRPr="00256982" w:rsidRDefault="00DE64BC" w:rsidP="00A808C7">
      <w:pPr>
        <w:spacing w:after="120"/>
        <w:jc w:val="center"/>
      </w:pPr>
      <w:r w:rsidRPr="00256982">
        <w:object w:dxaOrig="8557" w:dyaOrig="8011" w14:anchorId="685A16BA">
          <v:shape id="_x0000_i1063" type="#_x0000_t75" style="width:331.5pt;height:309.75pt" o:ole="">
            <v:imagedata r:id="rId69" o:title=""/>
          </v:shape>
          <o:OLEObject Type="Embed" ProgID="Visio.Drawing.11" ShapeID="_x0000_i1063" DrawAspect="Content" ObjectID="_1616241189" r:id="rId70"/>
        </w:object>
      </w:r>
    </w:p>
    <w:p w14:paraId="519CE724" w14:textId="77777777" w:rsidR="00DE64BC" w:rsidRPr="00256982" w:rsidRDefault="00DE64BC" w:rsidP="00A808C7">
      <w:pPr>
        <w:pStyle w:val="BodyText"/>
        <w:spacing w:before="100" w:after="100"/>
      </w:pPr>
      <w:r w:rsidRPr="00256982">
        <w:t>Emissions from geothermal have increased greatly in recent years. These increases are driven by an increase in geothermal emissions related to electricity generation, particularly with the additions of the 100 MW Kawerau geothermal plant since late 2008, Nga Awa Purua and Te Huka since 2010, Ngatamariki since 2013 and Te Mihi since 2014.</w:t>
      </w:r>
    </w:p>
    <w:p w14:paraId="0B5C1F95" w14:textId="77777777" w:rsidR="00DE64BC" w:rsidRPr="00256982" w:rsidRDefault="00DE64BC" w:rsidP="00A808C7">
      <w:pPr>
        <w:pStyle w:val="BodyText"/>
        <w:spacing w:before="100" w:after="100"/>
        <w:rPr>
          <w:rFonts w:cs="Arial"/>
          <w:lang w:eastAsia="en-GB"/>
        </w:rPr>
      </w:pPr>
      <w:r w:rsidRPr="00256982">
        <w:rPr>
          <w:rFonts w:cs="Arial"/>
          <w:lang w:eastAsia="en-GB"/>
        </w:rPr>
        <w:t xml:space="preserve">The schedules to the Climate Change Response Act 2002 create obligations for people carrying out certain activities to report greenhouse gas emissions as part of the NZ ETS. The Climate Change (Stationary Energy and Industrial Processes) Regulations 2009 and Climate Change (Liquid Fossil Fuels) Amendment Regulations 2009 set out the data collection requirements and methods for participants in those sectors to calculate their emissions, including prescribed default emission factors (DEFs). </w:t>
      </w:r>
    </w:p>
    <w:p w14:paraId="68343FE3" w14:textId="77777777" w:rsidR="00DE64BC" w:rsidRPr="00256982" w:rsidRDefault="00DE64BC" w:rsidP="00A808C7">
      <w:pPr>
        <w:pStyle w:val="BodyText"/>
        <w:spacing w:before="100" w:after="100"/>
        <w:rPr>
          <w:spacing w:val="-2"/>
          <w:lang w:eastAsia="en-GB"/>
        </w:rPr>
      </w:pPr>
      <w:r w:rsidRPr="00256982">
        <w:rPr>
          <w:spacing w:val="-2"/>
          <w:lang w:eastAsia="en-GB"/>
        </w:rPr>
        <w:t>The Climate Change (Unique Emissions Factors) Regulations 2009 outline requirements for participants in certain sectors to calculate a unique emissions factor (UEF) and apply for approval to use it in place of a DEF to calculate and report on emissions. Sectors that are eligible to apply for a UEF are a class of:</w:t>
      </w:r>
    </w:p>
    <w:p w14:paraId="3783E07A" w14:textId="77777777" w:rsidR="00DE64BC" w:rsidRPr="00256982" w:rsidRDefault="00DE64BC" w:rsidP="00DE64BC">
      <w:pPr>
        <w:pStyle w:val="Bullet"/>
      </w:pPr>
      <w:r w:rsidRPr="00256982">
        <w:t>liquid fossil fuel</w:t>
      </w:r>
    </w:p>
    <w:p w14:paraId="59476935" w14:textId="77777777" w:rsidR="00DE64BC" w:rsidRPr="00256982" w:rsidRDefault="00DE64BC" w:rsidP="00DE64BC">
      <w:pPr>
        <w:pStyle w:val="Bullet"/>
      </w:pPr>
      <w:r w:rsidRPr="00256982">
        <w:t>coal</w:t>
      </w:r>
    </w:p>
    <w:p w14:paraId="239BFBA2" w14:textId="77777777" w:rsidR="00DE64BC" w:rsidRPr="00256982" w:rsidRDefault="00DE64BC" w:rsidP="00DE64BC">
      <w:pPr>
        <w:pStyle w:val="Bullet"/>
      </w:pPr>
      <w:r w:rsidRPr="00256982">
        <w:t>natural gas – CH</w:t>
      </w:r>
      <w:r w:rsidRPr="00256982">
        <w:rPr>
          <w:vertAlign w:val="subscript"/>
        </w:rPr>
        <w:t>4</w:t>
      </w:r>
      <w:r w:rsidRPr="00256982">
        <w:t xml:space="preserve"> and N</w:t>
      </w:r>
      <w:r w:rsidRPr="00256982">
        <w:rPr>
          <w:vertAlign w:val="subscript"/>
        </w:rPr>
        <w:t>2</w:t>
      </w:r>
      <w:r w:rsidRPr="00256982">
        <w:t>O</w:t>
      </w:r>
    </w:p>
    <w:p w14:paraId="3211467A" w14:textId="77777777" w:rsidR="00DE64BC" w:rsidRPr="00256982" w:rsidRDefault="00DE64BC" w:rsidP="00DE64BC">
      <w:pPr>
        <w:pStyle w:val="Bullet"/>
      </w:pPr>
      <w:r w:rsidRPr="00256982">
        <w:t>geothermal fluid</w:t>
      </w:r>
    </w:p>
    <w:p w14:paraId="5BC97AE1" w14:textId="77777777" w:rsidR="00DE64BC" w:rsidRPr="00256982" w:rsidRDefault="00DE64BC" w:rsidP="00DE64BC">
      <w:pPr>
        <w:pStyle w:val="Bullet"/>
      </w:pPr>
      <w:r w:rsidRPr="00256982">
        <w:t>used oil, waste oil, used tyres or waste.</w:t>
      </w:r>
    </w:p>
    <w:p w14:paraId="5B7BEB4B" w14:textId="77777777" w:rsidR="00DE64BC" w:rsidRPr="00256982" w:rsidRDefault="00DE64BC" w:rsidP="00A808C7">
      <w:pPr>
        <w:pStyle w:val="BodyText"/>
        <w:rPr>
          <w:lang w:eastAsia="en-GB"/>
        </w:rPr>
      </w:pPr>
      <w:r w:rsidRPr="00256982">
        <w:rPr>
          <w:lang w:eastAsia="en-GB"/>
        </w:rPr>
        <w:lastRenderedPageBreak/>
        <w:t xml:space="preserve">The 2010 year was the first calendar year in which operators could apply for UEFs. MBIE received five applications relating to the use of UEFs of geothermal fluid for that calendar year. These five approved UEFs were then adopted for the inventory after careful assessment of the materiality impact and time-series consistency. </w:t>
      </w:r>
    </w:p>
    <w:p w14:paraId="3BFE891E" w14:textId="77777777" w:rsidR="00DE64BC" w:rsidRPr="00256982" w:rsidRDefault="00DE64BC" w:rsidP="00A808C7">
      <w:pPr>
        <w:pStyle w:val="BodyText"/>
        <w:rPr>
          <w:lang w:eastAsia="en-GB"/>
        </w:rPr>
      </w:pPr>
      <w:r w:rsidRPr="00256982">
        <w:rPr>
          <w:lang w:eastAsia="en-GB"/>
        </w:rPr>
        <w:t>Because 2010 was the introduction year, MBIE made a judgement that the UEF would apply only to years for which sufficient data are available, that is, from 2010 onward. This submission continues with this approach. From 1990 to 2009, emissions are calculated using field-specific DEFs. Emissions from 2010 onwards are calculated using UEFs where available and field-specific DEFs otherwise.</w:t>
      </w:r>
    </w:p>
    <w:p w14:paraId="2EDF1AD1" w14:textId="77777777" w:rsidR="00DE64BC" w:rsidRPr="00256982" w:rsidRDefault="00DE64BC" w:rsidP="00A808C7">
      <w:pPr>
        <w:pStyle w:val="BodyText"/>
        <w:spacing w:after="240"/>
        <w:rPr>
          <w:lang w:eastAsia="en-GB"/>
        </w:rPr>
      </w:pPr>
      <w:r w:rsidRPr="00256982">
        <w:rPr>
          <w:lang w:eastAsia="en-GB"/>
        </w:rPr>
        <w:t>When several years of UEF data are available for comparison, the 1990–2009 emission factors for each affected field will be reviewed.</w:t>
      </w:r>
    </w:p>
    <w:tbl>
      <w:tblPr>
        <w:tblW w:w="8505" w:type="dxa"/>
        <w:tblInd w:w="2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4" w:type="dxa"/>
          <w:right w:w="284" w:type="dxa"/>
        </w:tblCellMar>
        <w:tblLook w:val="04A0" w:firstRow="1" w:lastRow="0" w:firstColumn="1" w:lastColumn="0" w:noHBand="0" w:noVBand="1"/>
      </w:tblPr>
      <w:tblGrid>
        <w:gridCol w:w="8505"/>
      </w:tblGrid>
      <w:tr w:rsidR="00DE64BC" w:rsidRPr="00256982" w14:paraId="0589F755" w14:textId="77777777" w:rsidTr="00FC5421">
        <w:tc>
          <w:tcPr>
            <w:tcW w:w="7938" w:type="dxa"/>
            <w:shd w:val="clear" w:color="auto" w:fill="auto"/>
          </w:tcPr>
          <w:p w14:paraId="40149260" w14:textId="77777777" w:rsidR="00DE64BC" w:rsidRPr="00256982" w:rsidRDefault="00DE64BC" w:rsidP="00FC5421">
            <w:pPr>
              <w:pStyle w:val="Heading6"/>
              <w:rPr>
                <w:rFonts w:eastAsia="Calibri"/>
                <w:sz w:val="20"/>
              </w:rPr>
            </w:pPr>
            <w:r w:rsidRPr="00256982">
              <w:rPr>
                <w:rFonts w:eastAsia="Calibri"/>
                <w:sz w:val="20"/>
              </w:rPr>
              <w:t>Geothermal methodology for Company A</w:t>
            </w:r>
          </w:p>
          <w:p w14:paraId="70404D88" w14:textId="77777777" w:rsidR="00DE64BC" w:rsidRPr="00256982" w:rsidRDefault="00DE64BC" w:rsidP="00A808C7">
            <w:pPr>
              <w:pStyle w:val="BodyText"/>
              <w:rPr>
                <w:rFonts w:eastAsia="Calibri"/>
                <w:sz w:val="20"/>
              </w:rPr>
            </w:pPr>
            <w:r w:rsidRPr="00256982">
              <w:rPr>
                <w:rFonts w:eastAsia="Calibri"/>
                <w:sz w:val="20"/>
              </w:rPr>
              <w:t xml:space="preserve">At Company A, quarterly gas sampling analysis is conducted to measure the amount of </w:t>
            </w:r>
            <w:r w:rsidRPr="00256982">
              <w:rPr>
                <w:sz w:val="20"/>
              </w:rPr>
              <w:t>CO</w:t>
            </w:r>
            <w:r w:rsidRPr="00256982">
              <w:rPr>
                <w:sz w:val="20"/>
                <w:vertAlign w:val="subscript"/>
              </w:rPr>
              <w:t>2</w:t>
            </w:r>
            <w:r w:rsidRPr="00256982">
              <w:rPr>
                <w:rFonts w:eastAsia="Calibri"/>
                <w:sz w:val="20"/>
              </w:rPr>
              <w:t xml:space="preserve"> and </w:t>
            </w:r>
            <w:r w:rsidRPr="00256982">
              <w:rPr>
                <w:sz w:val="20"/>
              </w:rPr>
              <w:t>CH</w:t>
            </w:r>
            <w:r w:rsidRPr="00256982">
              <w:rPr>
                <w:sz w:val="20"/>
                <w:vertAlign w:val="subscript"/>
              </w:rPr>
              <w:t>4</w:t>
            </w:r>
            <w:r w:rsidRPr="00256982">
              <w:rPr>
                <w:rFonts w:eastAsia="Calibri"/>
                <w:sz w:val="20"/>
              </w:rPr>
              <w:t xml:space="preserve"> in the steam. Gas samples are collected at the inlet to the electricity generation station and at the extraction process when gas is dissolved in the condensate (wastewater).</w:t>
            </w:r>
          </w:p>
          <w:p w14:paraId="6DEB4062" w14:textId="77777777" w:rsidR="00DE64BC" w:rsidRPr="00256982" w:rsidRDefault="00DE64BC" w:rsidP="00A808C7">
            <w:pPr>
              <w:pStyle w:val="BodyText"/>
              <w:rPr>
                <w:rFonts w:eastAsia="Calibri"/>
                <w:sz w:val="20"/>
              </w:rPr>
            </w:pPr>
            <w:r w:rsidRPr="00256982">
              <w:rPr>
                <w:rFonts w:eastAsia="Calibri"/>
                <w:sz w:val="20"/>
              </w:rPr>
              <w:t xml:space="preserve">The concentration of </w:t>
            </w:r>
            <w:r w:rsidRPr="00256982">
              <w:rPr>
                <w:sz w:val="20"/>
              </w:rPr>
              <w:t>CO</w:t>
            </w:r>
            <w:r w:rsidRPr="00256982">
              <w:rPr>
                <w:sz w:val="20"/>
                <w:vertAlign w:val="subscript"/>
              </w:rPr>
              <w:t>2</w:t>
            </w:r>
            <w:r w:rsidRPr="00256982">
              <w:rPr>
                <w:rFonts w:eastAsia="Calibri"/>
                <w:sz w:val="20"/>
              </w:rPr>
              <w:t xml:space="preserve"> (e.g., 0.612 per cent) and </w:t>
            </w:r>
            <w:r w:rsidRPr="00256982">
              <w:rPr>
                <w:sz w:val="20"/>
              </w:rPr>
              <w:t>CH</w:t>
            </w:r>
            <w:r w:rsidRPr="00256982">
              <w:rPr>
                <w:sz w:val="20"/>
                <w:vertAlign w:val="subscript"/>
              </w:rPr>
              <w:t>4</w:t>
            </w:r>
            <w:r w:rsidRPr="00256982">
              <w:rPr>
                <w:rFonts w:eastAsia="Calibri"/>
                <w:sz w:val="20"/>
              </w:rPr>
              <w:t xml:space="preserve"> (e.g., 0.0029 per cent) by weight of discharged steam is then calculated by carrying out a mass balance.</w:t>
            </w:r>
          </w:p>
          <w:p w14:paraId="7511D1AE" w14:textId="77777777" w:rsidR="00DE64BC" w:rsidRPr="00256982" w:rsidRDefault="00DE64BC" w:rsidP="00A808C7">
            <w:pPr>
              <w:spacing w:before="60"/>
              <w:rPr>
                <w:rFonts w:eastAsia="Calibri"/>
                <w:i/>
                <w:sz w:val="20"/>
              </w:rPr>
            </w:pPr>
            <w:r w:rsidRPr="00256982">
              <w:rPr>
                <w:rFonts w:eastAsia="Calibri"/>
                <w:i/>
                <w:sz w:val="20"/>
              </w:rPr>
              <w:t xml:space="preserve">‘Gas discharged to atmosphere’ = ‘Gas to electricity generation station’ </w:t>
            </w:r>
            <w:r w:rsidRPr="00256982">
              <w:rPr>
                <w:sz w:val="20"/>
              </w:rPr>
              <w:t>–</w:t>
            </w:r>
            <w:r w:rsidRPr="00256982">
              <w:rPr>
                <w:rFonts w:eastAsia="Calibri"/>
                <w:i/>
                <w:sz w:val="20"/>
              </w:rPr>
              <w:t xml:space="preserve"> ‘Gas dissolved in condensate’</w:t>
            </w:r>
          </w:p>
          <w:p w14:paraId="47A5F792" w14:textId="77777777" w:rsidR="00DE64BC" w:rsidRPr="00256982" w:rsidRDefault="00DE64BC" w:rsidP="00A808C7">
            <w:pPr>
              <w:pStyle w:val="BodyText"/>
              <w:rPr>
                <w:rFonts w:eastAsia="Calibri"/>
                <w:sz w:val="20"/>
              </w:rPr>
            </w:pPr>
            <w:r w:rsidRPr="00256982">
              <w:rPr>
                <w:rFonts w:eastAsia="Calibri"/>
                <w:sz w:val="20"/>
              </w:rPr>
              <w:t xml:space="preserve">Company A also collects information on the average steam flow (tonnes of steam per hour) to the electricity generation station. This average steam flow is based on an annual average (e.g., 582.3 tonnes of steam per hour). </w:t>
            </w:r>
          </w:p>
          <w:p w14:paraId="45178384" w14:textId="77777777" w:rsidR="00DE64BC" w:rsidRPr="00256982" w:rsidRDefault="00DE64BC" w:rsidP="00A808C7">
            <w:pPr>
              <w:pStyle w:val="BodyText"/>
              <w:spacing w:before="80" w:after="80"/>
              <w:rPr>
                <w:rFonts w:eastAsia="Calibri"/>
                <w:sz w:val="20"/>
              </w:rPr>
            </w:pPr>
            <w:r w:rsidRPr="00256982">
              <w:rPr>
                <w:rFonts w:eastAsia="Calibri"/>
                <w:sz w:val="20"/>
              </w:rPr>
              <w:t xml:space="preserve">Therefore, working out </w:t>
            </w:r>
            <w:r w:rsidRPr="00256982">
              <w:rPr>
                <w:sz w:val="20"/>
              </w:rPr>
              <w:t>CO</w:t>
            </w:r>
            <w:r w:rsidRPr="00256982">
              <w:rPr>
                <w:sz w:val="20"/>
                <w:vertAlign w:val="subscript"/>
              </w:rPr>
              <w:t>2</w:t>
            </w:r>
            <w:r w:rsidRPr="00256982">
              <w:rPr>
                <w:rFonts w:eastAsia="Calibri"/>
                <w:sz w:val="20"/>
              </w:rPr>
              <w:t xml:space="preserve"> emissions discharged to atmosphere involves the following calculations.</w:t>
            </w:r>
          </w:p>
          <w:p w14:paraId="321D32E0" w14:textId="77777777" w:rsidR="00DE64BC" w:rsidRPr="00256982" w:rsidRDefault="00DE64BC" w:rsidP="00A808C7">
            <w:pPr>
              <w:pStyle w:val="BodyText"/>
              <w:spacing w:before="80" w:after="80"/>
              <w:rPr>
                <w:rFonts w:eastAsia="Calibri"/>
                <w:sz w:val="20"/>
              </w:rPr>
            </w:pPr>
            <w:r w:rsidRPr="00256982">
              <w:rPr>
                <w:rFonts w:eastAsia="Calibri"/>
                <w:sz w:val="20"/>
              </w:rPr>
              <w:t xml:space="preserve">Average discharge per hour is calculated as: </w:t>
            </w:r>
          </w:p>
          <w:p w14:paraId="25357FA3" w14:textId="77777777" w:rsidR="00DE64BC" w:rsidRPr="00256982" w:rsidRDefault="00DE64BC" w:rsidP="00A808C7">
            <w:pPr>
              <w:jc w:val="center"/>
              <w:rPr>
                <w:rFonts w:eastAsia="Calibri"/>
                <w:sz w:val="20"/>
              </w:rPr>
            </w:pPr>
            <w:r w:rsidRPr="00256982">
              <w:rPr>
                <w:rFonts w:eastAsia="Calibri"/>
                <w:position w:val="-28"/>
                <w:sz w:val="20"/>
              </w:rPr>
              <w:object w:dxaOrig="6380" w:dyaOrig="660" w14:anchorId="6326BB27">
                <v:shape id="_x0000_i1064" type="#_x0000_t75" style="width:338.25pt;height:43.5pt" o:ole="">
                  <v:imagedata r:id="rId71" o:title="" cropright="9261f"/>
                </v:shape>
                <o:OLEObject Type="Embed" ProgID="Equation.3" ShapeID="_x0000_i1064" DrawAspect="Content" ObjectID="_1616241190" r:id="rId72"/>
              </w:object>
            </w:r>
          </w:p>
          <w:p w14:paraId="106E55E7" w14:textId="77777777" w:rsidR="00DE64BC" w:rsidRPr="00256982" w:rsidRDefault="00DE64BC" w:rsidP="00A808C7">
            <w:pPr>
              <w:spacing w:before="120" w:after="120"/>
              <w:rPr>
                <w:rFonts w:eastAsia="Calibri"/>
                <w:sz w:val="20"/>
              </w:rPr>
            </w:pPr>
            <w:r w:rsidRPr="00256982">
              <w:rPr>
                <w:rFonts w:eastAsia="Calibri"/>
                <w:sz w:val="20"/>
              </w:rPr>
              <w:t>And the total discharge per year is:</w:t>
            </w:r>
          </w:p>
          <w:p w14:paraId="73E22F8B" w14:textId="77777777" w:rsidR="00DE64BC" w:rsidRPr="00256982" w:rsidRDefault="00DE64BC" w:rsidP="00A808C7">
            <w:pPr>
              <w:jc w:val="center"/>
              <w:rPr>
                <w:rFonts w:eastAsia="Calibri"/>
                <w:sz w:val="20"/>
              </w:rPr>
            </w:pPr>
            <w:r w:rsidRPr="00256982">
              <w:rPr>
                <w:rFonts w:eastAsia="Calibri"/>
                <w:position w:val="-28"/>
                <w:sz w:val="20"/>
              </w:rPr>
              <w:object w:dxaOrig="6420" w:dyaOrig="680" w14:anchorId="5FE6C259">
                <v:shape id="_x0000_i1065" type="#_x0000_t75" style="width:2in;height:36pt" o:ole="">
                  <v:imagedata r:id="rId73" o:title="" cropleft="41456f"/>
                </v:shape>
                <o:OLEObject Type="Embed" ProgID="Equation.3" ShapeID="_x0000_i1065" DrawAspect="Content" ObjectID="_1616241191" r:id="rId74"/>
              </w:object>
            </w:r>
            <w:r w:rsidRPr="00256982">
              <w:rPr>
                <w:rFonts w:eastAsia="Calibri"/>
                <w:sz w:val="20"/>
              </w:rPr>
              <w:t xml:space="preserve">= 31,230 tonnes of </w:t>
            </w:r>
            <w:r w:rsidRPr="00256982">
              <w:rPr>
                <w:sz w:val="20"/>
              </w:rPr>
              <w:t>CO</w:t>
            </w:r>
            <w:r w:rsidRPr="00256982">
              <w:rPr>
                <w:sz w:val="20"/>
                <w:vertAlign w:val="subscript"/>
              </w:rPr>
              <w:t>2</w:t>
            </w:r>
            <w:r w:rsidRPr="00256982">
              <w:rPr>
                <w:rFonts w:eastAsia="Calibri"/>
                <w:sz w:val="20"/>
              </w:rPr>
              <w:t>.</w:t>
            </w:r>
          </w:p>
          <w:p w14:paraId="4746E347" w14:textId="77777777" w:rsidR="00DE64BC" w:rsidRPr="00256982" w:rsidRDefault="00DE64BC" w:rsidP="00FC5421">
            <w:pPr>
              <w:spacing w:before="120" w:after="240"/>
              <w:rPr>
                <w:rFonts w:eastAsia="Calibri"/>
                <w:sz w:val="20"/>
                <w:highlight w:val="yellow"/>
              </w:rPr>
            </w:pPr>
            <w:r w:rsidRPr="00256982">
              <w:rPr>
                <w:rFonts w:eastAsia="Calibri"/>
                <w:sz w:val="20"/>
              </w:rPr>
              <w:t xml:space="preserve">Using the same methodology above will yield 149 tonnes of </w:t>
            </w:r>
            <w:r w:rsidRPr="00256982">
              <w:rPr>
                <w:sz w:val="20"/>
              </w:rPr>
              <w:t>CH</w:t>
            </w:r>
            <w:r w:rsidRPr="00256982">
              <w:rPr>
                <w:sz w:val="20"/>
                <w:vertAlign w:val="subscript"/>
              </w:rPr>
              <w:t>4</w:t>
            </w:r>
            <w:r w:rsidRPr="00256982">
              <w:rPr>
                <w:rFonts w:eastAsia="Calibri"/>
                <w:sz w:val="20"/>
                <w:vertAlign w:val="subscript"/>
              </w:rPr>
              <w:t xml:space="preserve">. </w:t>
            </w:r>
            <w:r w:rsidRPr="00256982">
              <w:rPr>
                <w:rFonts w:eastAsia="Calibri"/>
                <w:sz w:val="20"/>
              </w:rPr>
              <w:t xml:space="preserve">The overall emission for Company A is therefore 34,359 tonnes of </w:t>
            </w:r>
            <w:r w:rsidRPr="00256982">
              <w:rPr>
                <w:sz w:val="20"/>
              </w:rPr>
              <w:t>CO</w:t>
            </w:r>
            <w:r w:rsidRPr="00256982">
              <w:rPr>
                <w:sz w:val="20"/>
                <w:vertAlign w:val="subscript"/>
              </w:rPr>
              <w:t>2</w:t>
            </w:r>
            <w:r w:rsidRPr="00256982">
              <w:rPr>
                <w:rFonts w:eastAsia="Calibri"/>
                <w:sz w:val="20"/>
              </w:rPr>
              <w:t xml:space="preserve">-e emissions. </w:t>
            </w:r>
          </w:p>
        </w:tc>
      </w:tr>
    </w:tbl>
    <w:p w14:paraId="18E237DF" w14:textId="77777777" w:rsidR="00DE64BC" w:rsidRPr="00256982" w:rsidRDefault="00DE64BC" w:rsidP="00FC5421">
      <w:pPr>
        <w:pStyle w:val="BodyText"/>
        <w:spacing w:before="0"/>
      </w:pPr>
    </w:p>
    <w:tbl>
      <w:tblPr>
        <w:tblW w:w="8505" w:type="dxa"/>
        <w:tblInd w:w="2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4" w:type="dxa"/>
          <w:right w:w="284" w:type="dxa"/>
        </w:tblCellMar>
        <w:tblLook w:val="04A0" w:firstRow="1" w:lastRow="0" w:firstColumn="1" w:lastColumn="0" w:noHBand="0" w:noVBand="1"/>
      </w:tblPr>
      <w:tblGrid>
        <w:gridCol w:w="8505"/>
      </w:tblGrid>
      <w:tr w:rsidR="00DE64BC" w:rsidRPr="00256982" w14:paraId="2B407E3E" w14:textId="77777777" w:rsidTr="00FC5421">
        <w:tc>
          <w:tcPr>
            <w:tcW w:w="7938" w:type="dxa"/>
            <w:shd w:val="clear" w:color="auto" w:fill="auto"/>
          </w:tcPr>
          <w:p w14:paraId="39861E22" w14:textId="77777777" w:rsidR="00DE64BC" w:rsidRPr="00256982" w:rsidRDefault="00DE64BC" w:rsidP="00FC5421">
            <w:pPr>
              <w:pStyle w:val="Heading6"/>
              <w:keepNext w:val="0"/>
              <w:keepLines w:val="0"/>
              <w:rPr>
                <w:rFonts w:eastAsia="Calibri"/>
                <w:sz w:val="20"/>
              </w:rPr>
            </w:pPr>
            <w:r w:rsidRPr="00256982">
              <w:rPr>
                <w:rFonts w:eastAsia="Calibri"/>
                <w:sz w:val="20"/>
              </w:rPr>
              <w:t>Geothermal methodology for Company B</w:t>
            </w:r>
          </w:p>
          <w:p w14:paraId="693EDA10" w14:textId="77777777" w:rsidR="00DE64BC" w:rsidRPr="00256982" w:rsidRDefault="00DE64BC" w:rsidP="00FC5421">
            <w:pPr>
              <w:pStyle w:val="BodyText"/>
              <w:spacing w:after="240"/>
              <w:rPr>
                <w:rFonts w:eastAsia="Calibri"/>
                <w:sz w:val="20"/>
              </w:rPr>
            </w:pPr>
            <w:r w:rsidRPr="00256982">
              <w:rPr>
                <w:rFonts w:eastAsia="Calibri"/>
                <w:sz w:val="20"/>
              </w:rPr>
              <w:t xml:space="preserve">At Company B, spot measurements of both </w:t>
            </w:r>
            <w:r w:rsidRPr="00256982">
              <w:rPr>
                <w:sz w:val="20"/>
              </w:rPr>
              <w:t>CO</w:t>
            </w:r>
            <w:r w:rsidRPr="00256982">
              <w:rPr>
                <w:sz w:val="20"/>
                <w:vertAlign w:val="subscript"/>
              </w:rPr>
              <w:t>2</w:t>
            </w:r>
            <w:r w:rsidRPr="00256982">
              <w:rPr>
                <w:rFonts w:eastAsia="Calibri"/>
                <w:sz w:val="20"/>
              </w:rPr>
              <w:t xml:space="preserve"> and </w:t>
            </w:r>
            <w:r w:rsidRPr="00256982">
              <w:rPr>
                <w:sz w:val="20"/>
              </w:rPr>
              <w:t>CH</w:t>
            </w:r>
            <w:r w:rsidRPr="00256982">
              <w:rPr>
                <w:sz w:val="20"/>
                <w:vertAlign w:val="subscript"/>
              </w:rPr>
              <w:t>4</w:t>
            </w:r>
            <w:r w:rsidRPr="00256982">
              <w:rPr>
                <w:rFonts w:eastAsia="Calibri"/>
                <w:sz w:val="20"/>
              </w:rPr>
              <w:t xml:space="preserve"> concentrations are taken at the inlet steam when the power stations are operating normally. The net megawatt-hours of electricity generated that day are then used to calculate the emission factor. This implied emission factor is then multiplied by the annual amount of electricity generated to work out the annual emissions for each power station.</w:t>
            </w:r>
          </w:p>
        </w:tc>
      </w:tr>
    </w:tbl>
    <w:p w14:paraId="6437CF9C" w14:textId="77777777" w:rsidR="00DE64BC" w:rsidRPr="00256982" w:rsidRDefault="00DE64BC" w:rsidP="00A72006">
      <w:pPr>
        <w:pStyle w:val="Heading4"/>
      </w:pPr>
      <w:r w:rsidRPr="00256982">
        <w:rPr>
          <w:lang w:eastAsia="en-GB"/>
        </w:rPr>
        <w:lastRenderedPageBreak/>
        <w:t>Activity data</w:t>
      </w:r>
    </w:p>
    <w:p w14:paraId="4C2491A0" w14:textId="77777777" w:rsidR="00DE64BC" w:rsidRPr="00256982" w:rsidRDefault="00DE64BC" w:rsidP="00A808C7">
      <w:pPr>
        <w:pStyle w:val="Heading5"/>
        <w:rPr>
          <w:lang w:eastAsia="en-GB"/>
        </w:rPr>
      </w:pPr>
      <w:r w:rsidRPr="00256982">
        <w:rPr>
          <w:lang w:eastAsia="en-GB"/>
        </w:rPr>
        <w:t>1.B.2.a.1 Exploration</w:t>
      </w:r>
    </w:p>
    <w:p w14:paraId="31F38DEE" w14:textId="77777777" w:rsidR="00DE64BC" w:rsidRPr="00256982" w:rsidRDefault="00DE64BC" w:rsidP="00A808C7">
      <w:pPr>
        <w:pStyle w:val="BodyText"/>
        <w:rPr>
          <w:lang w:eastAsia="en-GB"/>
        </w:rPr>
      </w:pPr>
      <w:r w:rsidRPr="00256982">
        <w:rPr>
          <w:lang w:eastAsia="en-GB"/>
        </w:rPr>
        <w:t>Activity data are the number of wells drilled in each year as reported by New Zealand Petroleum and Minerals (MBIE, 2018). Data were only available for the years from 2001 onwards, so estimates were made by extrapolation for the years preceding 2001.</w:t>
      </w:r>
    </w:p>
    <w:p w14:paraId="67989F07" w14:textId="77777777" w:rsidR="00DE64BC" w:rsidRPr="00256982" w:rsidRDefault="00DE64BC" w:rsidP="00A808C7">
      <w:pPr>
        <w:pStyle w:val="Heading5"/>
        <w:rPr>
          <w:lang w:eastAsia="en-GB"/>
        </w:rPr>
      </w:pPr>
      <w:r w:rsidRPr="00256982">
        <w:rPr>
          <w:lang w:eastAsia="en-GB"/>
        </w:rPr>
        <w:t>1.B.2.a.3 Transport</w:t>
      </w:r>
    </w:p>
    <w:p w14:paraId="6519B8E4" w14:textId="77777777" w:rsidR="00DE64BC" w:rsidRPr="00256982" w:rsidRDefault="00DE64BC" w:rsidP="00A808C7">
      <w:pPr>
        <w:pStyle w:val="BodyText"/>
      </w:pPr>
      <w:r w:rsidRPr="00256982">
        <w:rPr>
          <w:lang w:eastAsia="en-GB"/>
        </w:rPr>
        <w:t xml:space="preserve">The activity data are New Zealand’s total production of crude oil (MBIE, 2018). </w:t>
      </w:r>
    </w:p>
    <w:p w14:paraId="26D6EB81" w14:textId="77777777" w:rsidR="00DE64BC" w:rsidRPr="00256982" w:rsidRDefault="00DE64BC" w:rsidP="00A808C7">
      <w:pPr>
        <w:pStyle w:val="Heading5"/>
        <w:rPr>
          <w:lang w:eastAsia="en-GB"/>
        </w:rPr>
      </w:pPr>
      <w:r w:rsidRPr="00256982">
        <w:rPr>
          <w:lang w:eastAsia="en-GB"/>
        </w:rPr>
        <w:t>1.B.2.a.4 Refining</w:t>
      </w:r>
    </w:p>
    <w:p w14:paraId="1E158430" w14:textId="77777777" w:rsidR="00DE64BC" w:rsidRPr="00256982" w:rsidRDefault="00DE64BC" w:rsidP="00A808C7">
      <w:pPr>
        <w:pStyle w:val="BodyText"/>
        <w:rPr>
          <w:lang w:eastAsia="en-GB"/>
        </w:rPr>
      </w:pPr>
      <w:r w:rsidRPr="00256982">
        <w:rPr>
          <w:lang w:eastAsia="en-GB"/>
        </w:rPr>
        <w:t xml:space="preserve">Activity data are total intake at New Zealand’s sole oil refinery (MBIE, 2018). </w:t>
      </w:r>
    </w:p>
    <w:p w14:paraId="3A7CF47D" w14:textId="77777777" w:rsidR="00DE64BC" w:rsidRPr="00256982" w:rsidRDefault="00DE64BC" w:rsidP="00A808C7">
      <w:pPr>
        <w:pStyle w:val="Heading5"/>
        <w:rPr>
          <w:lang w:eastAsia="en-GB"/>
        </w:rPr>
      </w:pPr>
      <w:r w:rsidRPr="00256982">
        <w:rPr>
          <w:lang w:eastAsia="en-GB"/>
        </w:rPr>
        <w:t>1.B.2.a.5 Distribution of oil products</w:t>
      </w:r>
    </w:p>
    <w:p w14:paraId="66BC2B16" w14:textId="77777777" w:rsidR="00DE64BC" w:rsidRPr="00256982" w:rsidRDefault="00DE64BC" w:rsidP="00A808C7">
      <w:pPr>
        <w:pStyle w:val="BodyText"/>
        <w:rPr>
          <w:lang w:eastAsia="en-GB"/>
        </w:rPr>
      </w:pPr>
      <w:r w:rsidRPr="00256982">
        <w:rPr>
          <w:lang w:eastAsia="en-GB"/>
        </w:rPr>
        <w:t>Activity data are New Zealand’s total consumption of gasoline (MBIE, 2018).</w:t>
      </w:r>
    </w:p>
    <w:p w14:paraId="5BCDD65D" w14:textId="77777777" w:rsidR="00DE64BC" w:rsidRPr="00256982" w:rsidRDefault="00DE64BC" w:rsidP="00A808C7">
      <w:pPr>
        <w:pStyle w:val="Heading5"/>
        <w:rPr>
          <w:lang w:eastAsia="en-GB"/>
        </w:rPr>
      </w:pPr>
      <w:r w:rsidRPr="00256982">
        <w:rPr>
          <w:lang w:eastAsia="en-GB"/>
        </w:rPr>
        <w:t>1.B.2.b.3 Processing</w:t>
      </w:r>
    </w:p>
    <w:p w14:paraId="02A592CB" w14:textId="77777777" w:rsidR="00DE64BC" w:rsidRPr="00256982" w:rsidRDefault="00DE64BC" w:rsidP="00A808C7">
      <w:pPr>
        <w:pStyle w:val="BodyText"/>
        <w:rPr>
          <w:lang w:eastAsia="en-GB"/>
        </w:rPr>
      </w:pPr>
      <w:r w:rsidRPr="00256982">
        <w:rPr>
          <w:lang w:eastAsia="en-GB"/>
        </w:rPr>
        <w:t>Venting of CO</w:t>
      </w:r>
      <w:r w:rsidRPr="00256982">
        <w:rPr>
          <w:vertAlign w:val="subscript"/>
          <w:lang w:eastAsia="en-GB"/>
        </w:rPr>
        <w:t>2</w:t>
      </w:r>
      <w:r w:rsidRPr="00256982">
        <w:rPr>
          <w:lang w:eastAsia="en-GB"/>
        </w:rPr>
        <w:t xml:space="preserve"> is reported under 1.B.2.c.2 in accordance with a previous ERT recommendation. No activity data is available.</w:t>
      </w:r>
    </w:p>
    <w:p w14:paraId="24FD2387" w14:textId="77777777" w:rsidR="00DE64BC" w:rsidRPr="00256982" w:rsidRDefault="00DE64BC" w:rsidP="00A808C7">
      <w:pPr>
        <w:pStyle w:val="Heading5"/>
        <w:rPr>
          <w:lang w:eastAsia="en-GB"/>
        </w:rPr>
      </w:pPr>
      <w:r w:rsidRPr="00256982">
        <w:rPr>
          <w:lang w:eastAsia="en-GB"/>
        </w:rPr>
        <w:t>1.B.2.b.4 Transmission and 1.B.2.b.5 Distribution</w:t>
      </w:r>
    </w:p>
    <w:p w14:paraId="1E48CB36" w14:textId="77777777" w:rsidR="00DE64BC" w:rsidRPr="00256982" w:rsidRDefault="00DE64BC" w:rsidP="00A808C7">
      <w:pPr>
        <w:pStyle w:val="BodyText"/>
        <w:rPr>
          <w:lang w:eastAsia="en-GB"/>
        </w:rPr>
      </w:pPr>
      <w:r w:rsidRPr="00256982">
        <w:rPr>
          <w:lang w:eastAsia="en-GB"/>
        </w:rPr>
        <w:t xml:space="preserve">Carbon dioxide and </w:t>
      </w:r>
      <w:r w:rsidRPr="00256982">
        <w:t>CH</w:t>
      </w:r>
      <w:r w:rsidRPr="00256982">
        <w:rPr>
          <w:vertAlign w:val="subscript"/>
        </w:rPr>
        <w:t>4</w:t>
      </w:r>
      <w:r w:rsidRPr="00256982">
        <w:rPr>
          <w:sz w:val="14"/>
          <w:szCs w:val="14"/>
          <w:lang w:eastAsia="en-GB"/>
        </w:rPr>
        <w:t xml:space="preserve"> </w:t>
      </w:r>
      <w:r w:rsidRPr="00256982">
        <w:rPr>
          <w:lang w:eastAsia="en-GB"/>
        </w:rPr>
        <w:t xml:space="preserve">emissions from gas leakage mainly occur from low-pressure distribution pipelines rather than from high-pressure transmission pipelines. Emissions from transmission and distribution are reported separately. </w:t>
      </w:r>
    </w:p>
    <w:p w14:paraId="69A8A6F0" w14:textId="77777777" w:rsidR="00DE64BC" w:rsidRPr="00256982" w:rsidRDefault="00DE64BC" w:rsidP="00A808C7">
      <w:pPr>
        <w:pStyle w:val="BodyText"/>
      </w:pPr>
      <w:r w:rsidRPr="00256982">
        <w:rPr>
          <w:lang w:eastAsia="en-GB"/>
        </w:rPr>
        <w:t>Emissions from the high-pressure transmission system were provided by the system operator. N</w:t>
      </w:r>
      <w:r w:rsidRPr="00256982">
        <w:t>atural gas transmission losses included both direct leakage of CH</w:t>
      </w:r>
      <w:r w:rsidRPr="00256982">
        <w:rPr>
          <w:vertAlign w:val="subscript"/>
        </w:rPr>
        <w:t>4</w:t>
      </w:r>
      <w:r w:rsidRPr="00256982">
        <w:t xml:space="preserve"> and CO</w:t>
      </w:r>
      <w:r w:rsidRPr="00256982">
        <w:rPr>
          <w:vertAlign w:val="subscript"/>
        </w:rPr>
        <w:t>2</w:t>
      </w:r>
      <w:r w:rsidRPr="00256982">
        <w:t xml:space="preserve"> and gas lost and/or used when starting lines compressors. Data are provided for GJ of CH</w:t>
      </w:r>
      <w:r w:rsidRPr="00256982">
        <w:rPr>
          <w:vertAlign w:val="subscript"/>
        </w:rPr>
        <w:t>4</w:t>
      </w:r>
      <w:r w:rsidRPr="00256982">
        <w:t xml:space="preserve"> and tonnes of CO</w:t>
      </w:r>
      <w:r w:rsidRPr="00256982">
        <w:rPr>
          <w:vertAlign w:val="subscript"/>
        </w:rPr>
        <w:t>2</w:t>
      </w:r>
      <w:r w:rsidRPr="00256982">
        <w:t>. Gigajoules of CH</w:t>
      </w:r>
      <w:r w:rsidRPr="00256982">
        <w:rPr>
          <w:vertAlign w:val="subscript"/>
        </w:rPr>
        <w:t>4</w:t>
      </w:r>
      <w:r w:rsidRPr="00256982">
        <w:t xml:space="preserve"> are converted to tonnes of CH</w:t>
      </w:r>
      <w:r w:rsidRPr="00256982">
        <w:rPr>
          <w:vertAlign w:val="subscript"/>
        </w:rPr>
        <w:t>4</w:t>
      </w:r>
      <w:r w:rsidRPr="00256982">
        <w:t xml:space="preserve"> using the Ministry for the Environment’s standard conversion factor for CH</w:t>
      </w:r>
      <w:r w:rsidRPr="00256982">
        <w:rPr>
          <w:vertAlign w:val="subscript"/>
        </w:rPr>
        <w:t>4</w:t>
      </w:r>
      <w:r w:rsidRPr="00256982">
        <w:t xml:space="preserve"> of 55.6 t/GJ. New Zealand has a high-pressure transmission network nearly 3,500 kilometres in length. It joins most North Island cities (natural gas is only available in New Zealand’s North Island). No time series of the total length of the transmission lines is available; however, expert opinion is that it would have been nearly constant since 1990.</w:t>
      </w:r>
    </w:p>
    <w:p w14:paraId="06193A9B" w14:textId="77777777" w:rsidR="00DE64BC" w:rsidRPr="00256982" w:rsidRDefault="00DE64BC" w:rsidP="00A808C7">
      <w:pPr>
        <w:pStyle w:val="BodyText"/>
      </w:pPr>
      <w:r w:rsidRPr="00256982">
        <w:t>New Zealand bases distribution loss emissions on information about gas entering the distribution network, which is administrative data collected at the ‘gas gate’ by the gas industry regulator (the Gas Industry Company). It does not follow the alternative approach of using survey information collected from gas retailers on the amount of gas sold and metered at the individual customer (household, small business) level.</w:t>
      </w:r>
    </w:p>
    <w:p w14:paraId="10E9F1A0" w14:textId="77777777" w:rsidR="00DE64BC" w:rsidRPr="00256982" w:rsidRDefault="00DE64BC" w:rsidP="00A808C7">
      <w:pPr>
        <w:pStyle w:val="BodyText"/>
        <w:rPr>
          <w:lang w:eastAsia="en-GB"/>
        </w:rPr>
      </w:pPr>
      <w:r w:rsidRPr="00256982">
        <w:rPr>
          <w:lang w:eastAsia="en-GB"/>
        </w:rPr>
        <w:t>Of the gas entering the low-pressure distribution system, 1.75 per cent (</w:t>
      </w:r>
      <w:r w:rsidRPr="00256982">
        <w:t>which is based on consultation between the Government and the Gas Association of New Zealand, an industry group</w:t>
      </w:r>
      <w:r w:rsidRPr="00256982">
        <w:rPr>
          <w:lang w:eastAsia="en-GB"/>
        </w:rPr>
        <w:t xml:space="preserve">) is assumed to be lost through leakage. Consequently, the amount of natural gas leaked from the low-pressure distribution system is assumed to be 1.75 per cent of the gas entering the distribution system, and </w:t>
      </w:r>
      <w:r w:rsidRPr="00256982">
        <w:t>CO</w:t>
      </w:r>
      <w:r w:rsidRPr="00256982">
        <w:rPr>
          <w:vertAlign w:val="subscript"/>
        </w:rPr>
        <w:t>2</w:t>
      </w:r>
      <w:r w:rsidRPr="00256982">
        <w:rPr>
          <w:sz w:val="14"/>
          <w:szCs w:val="14"/>
          <w:lang w:eastAsia="en-GB"/>
        </w:rPr>
        <w:t xml:space="preserve"> </w:t>
      </w:r>
      <w:r w:rsidRPr="00256982">
        <w:rPr>
          <w:lang w:eastAsia="en-GB"/>
        </w:rPr>
        <w:t xml:space="preserve">and </w:t>
      </w:r>
      <w:r w:rsidRPr="00256982">
        <w:t>CH</w:t>
      </w:r>
      <w:r w:rsidRPr="00256982">
        <w:rPr>
          <w:vertAlign w:val="subscript"/>
        </w:rPr>
        <w:t>4</w:t>
      </w:r>
      <w:r w:rsidRPr="00256982">
        <w:rPr>
          <w:sz w:val="14"/>
          <w:szCs w:val="14"/>
          <w:lang w:eastAsia="en-GB"/>
        </w:rPr>
        <w:t xml:space="preserve"> </w:t>
      </w:r>
      <w:r w:rsidRPr="00256982">
        <w:rPr>
          <w:lang w:eastAsia="en-GB"/>
        </w:rPr>
        <w:t>emissions are calculated based on the natural gas composition data provided by the system operator.</w:t>
      </w:r>
    </w:p>
    <w:p w14:paraId="79E74C21" w14:textId="77777777" w:rsidR="00DE64BC" w:rsidRPr="00256982" w:rsidRDefault="00DE64BC" w:rsidP="00A808C7">
      <w:pPr>
        <w:pStyle w:val="Heading5"/>
        <w:rPr>
          <w:lang w:eastAsia="en-GB"/>
        </w:rPr>
      </w:pPr>
      <w:r w:rsidRPr="00256982">
        <w:rPr>
          <w:lang w:eastAsia="en-GB"/>
        </w:rPr>
        <w:lastRenderedPageBreak/>
        <w:t xml:space="preserve">1.B.2.b.4 Natural gas storage </w:t>
      </w:r>
    </w:p>
    <w:p w14:paraId="3960995B" w14:textId="77777777" w:rsidR="00DE64BC" w:rsidRPr="00256982" w:rsidRDefault="00DE64BC" w:rsidP="00A808C7">
      <w:pPr>
        <w:pStyle w:val="BodyText"/>
      </w:pPr>
      <w:r w:rsidRPr="00256982">
        <w:t xml:space="preserve">Natural gas storage occurs at the Ahuroa gas storage facility. Ahuroa is a depleted gas field that can hold 5–10 PJ of natural gas at any one point. A significant portion of this gas is used to run Contact Energy’s Stratford gas peaking plant, which consists of two 100 MW open cycle gas turbine units. </w:t>
      </w:r>
    </w:p>
    <w:p w14:paraId="49E80C34" w14:textId="77777777" w:rsidR="00DE64BC" w:rsidRPr="00256982" w:rsidRDefault="00DE64BC" w:rsidP="00A808C7">
      <w:pPr>
        <w:pStyle w:val="Heading5"/>
        <w:rPr>
          <w:lang w:eastAsia="en-GB"/>
        </w:rPr>
      </w:pPr>
      <w:r w:rsidRPr="00256982">
        <w:rPr>
          <w:lang w:eastAsia="en-GB"/>
        </w:rPr>
        <w:t>1.B.2.c Venting and fla</w:t>
      </w:r>
      <w:r w:rsidRPr="00256982">
        <w:t>r</w:t>
      </w:r>
      <w:r w:rsidRPr="00256982">
        <w:rPr>
          <w:lang w:eastAsia="en-GB"/>
        </w:rPr>
        <w:t>ing</w:t>
      </w:r>
    </w:p>
    <w:p w14:paraId="6629000E" w14:textId="77777777" w:rsidR="00DE64BC" w:rsidRPr="00256982" w:rsidRDefault="00DE64BC" w:rsidP="00A808C7">
      <w:pPr>
        <w:pStyle w:val="BodyText"/>
        <w:rPr>
          <w:lang w:eastAsia="en-GB"/>
        </w:rPr>
      </w:pPr>
      <w:r w:rsidRPr="00256982">
        <w:rPr>
          <w:lang w:eastAsia="en-GB"/>
        </w:rPr>
        <w:t xml:space="preserve">Data on the amount of </w:t>
      </w:r>
      <w:r w:rsidRPr="00256982">
        <w:t xml:space="preserve">natural </w:t>
      </w:r>
      <w:r w:rsidRPr="00256982">
        <w:rPr>
          <w:lang w:eastAsia="en-GB"/>
        </w:rPr>
        <w:t xml:space="preserve">gas flared or vented are reported directly by the gas field operator. </w:t>
      </w:r>
    </w:p>
    <w:p w14:paraId="4DF3F8C5" w14:textId="77777777" w:rsidR="00DE64BC" w:rsidRPr="00256982" w:rsidRDefault="00DE64BC" w:rsidP="00A808C7">
      <w:pPr>
        <w:pStyle w:val="BodyText"/>
        <w:rPr>
          <w:lang w:eastAsia="en-GB"/>
        </w:rPr>
      </w:pPr>
      <w:r w:rsidRPr="00256982">
        <w:rPr>
          <w:lang w:eastAsia="en-GB"/>
        </w:rPr>
        <w:t xml:space="preserve">The operator of the Kapuni Gas Treatment Plant, supplies estimates of </w:t>
      </w:r>
      <w:r w:rsidRPr="00256982">
        <w:t>CO</w:t>
      </w:r>
      <w:r w:rsidRPr="00256982">
        <w:rPr>
          <w:vertAlign w:val="subscript"/>
        </w:rPr>
        <w:t>2</w:t>
      </w:r>
      <w:r w:rsidRPr="00256982">
        <w:rPr>
          <w:sz w:val="14"/>
          <w:szCs w:val="14"/>
          <w:lang w:eastAsia="en-GB"/>
        </w:rPr>
        <w:t xml:space="preserve"> </w:t>
      </w:r>
      <w:r w:rsidRPr="00256982">
        <w:rPr>
          <w:lang w:eastAsia="en-GB"/>
        </w:rPr>
        <w:t>vented during the processing of natural gas.</w:t>
      </w:r>
    </w:p>
    <w:p w14:paraId="239B75AF" w14:textId="77777777" w:rsidR="00DE64BC" w:rsidRPr="00256982" w:rsidRDefault="00DE64BC" w:rsidP="00A72006">
      <w:pPr>
        <w:pStyle w:val="Heading4"/>
        <w:rPr>
          <w:lang w:eastAsia="en-GB"/>
        </w:rPr>
      </w:pPr>
      <w:r w:rsidRPr="00256982">
        <w:rPr>
          <w:lang w:eastAsia="en-GB"/>
        </w:rPr>
        <w:t>Emission factors</w:t>
      </w:r>
    </w:p>
    <w:p w14:paraId="1DFE856E" w14:textId="77777777" w:rsidR="00DE64BC" w:rsidRPr="00256982" w:rsidRDefault="00DE64BC" w:rsidP="00A808C7">
      <w:pPr>
        <w:pStyle w:val="BodyText"/>
        <w:rPr>
          <w:lang w:eastAsia="en-GB"/>
        </w:rPr>
      </w:pPr>
      <w:r w:rsidRPr="00256982">
        <w:rPr>
          <w:lang w:eastAsia="en-GB"/>
        </w:rPr>
        <w:t>Unless noted otherwise, default IPCC emission factors have been used.</w:t>
      </w:r>
    </w:p>
    <w:p w14:paraId="4851920B" w14:textId="77777777" w:rsidR="00DE64BC" w:rsidRPr="00256982" w:rsidRDefault="00DE64BC" w:rsidP="00A72006">
      <w:pPr>
        <w:pStyle w:val="Heading4"/>
        <w:rPr>
          <w:lang w:eastAsia="en-GB"/>
        </w:rPr>
      </w:pPr>
      <w:r w:rsidRPr="00256982">
        <w:rPr>
          <w:lang w:eastAsia="en-GB"/>
        </w:rPr>
        <w:t>Uncertainties and time-series consistency</w:t>
      </w:r>
    </w:p>
    <w:p w14:paraId="7C5C9BF7" w14:textId="77777777" w:rsidR="00DE64BC" w:rsidRPr="00256982" w:rsidRDefault="00DE64BC" w:rsidP="00A808C7">
      <w:pPr>
        <w:pStyle w:val="BodyText"/>
        <w:rPr>
          <w:lang w:eastAsia="en-GB"/>
        </w:rPr>
      </w:pPr>
      <w:r w:rsidRPr="00256982">
        <w:rPr>
          <w:lang w:eastAsia="en-GB"/>
        </w:rPr>
        <w:t>The time series of data from the various geothermal fields varies in completeness – some historical data are not available. The individual geothermal fields each produce varying levels of output and emissions so the overall implied emission factors display a certain amount of natural variation.</w:t>
      </w:r>
    </w:p>
    <w:p w14:paraId="07D8491F" w14:textId="77777777" w:rsidR="00DE64BC" w:rsidRPr="00256982" w:rsidRDefault="00DE64BC" w:rsidP="00A72006">
      <w:pPr>
        <w:pStyle w:val="Heading4"/>
        <w:rPr>
          <w:lang w:eastAsia="en-GB"/>
        </w:rPr>
      </w:pPr>
      <w:r w:rsidRPr="00256982">
        <w:rPr>
          <w:lang w:eastAsia="en-GB"/>
        </w:rPr>
        <w:t>Source-specific QA/QC and verification</w:t>
      </w:r>
    </w:p>
    <w:p w14:paraId="0F79DD71" w14:textId="77777777" w:rsidR="00DE64BC" w:rsidRPr="00256982" w:rsidRDefault="00DE64BC" w:rsidP="00A808C7">
      <w:pPr>
        <w:pStyle w:val="BodyText"/>
        <w:rPr>
          <w:lang w:eastAsia="en-GB"/>
        </w:rPr>
      </w:pPr>
      <w:r w:rsidRPr="00256982">
        <w:rPr>
          <w:lang w:eastAsia="en-GB"/>
        </w:rPr>
        <w:t xml:space="preserve">In the preparation of this inventory, the </w:t>
      </w:r>
      <w:r w:rsidRPr="00256982">
        <w:rPr>
          <w:i/>
          <w:lang w:eastAsia="en-GB"/>
        </w:rPr>
        <w:t>Fugitive emissions</w:t>
      </w:r>
      <w:r w:rsidRPr="00256982">
        <w:rPr>
          <w:lang w:eastAsia="en-GB"/>
        </w:rPr>
        <w:t xml:space="preserve"> category underwent Tier 1 quality-assurance and quality-control checks as recommended in the 2006 IPCC Guidelines. These include regular control sums throughout systems, to verify system integrity, and consistency checks of implied emission factors.</w:t>
      </w:r>
    </w:p>
    <w:p w14:paraId="5130EDD9" w14:textId="77777777" w:rsidR="00DE64BC" w:rsidRPr="00256982" w:rsidRDefault="00DE64BC" w:rsidP="00A72006">
      <w:pPr>
        <w:pStyle w:val="Heading4"/>
        <w:rPr>
          <w:lang w:eastAsia="en-GB"/>
        </w:rPr>
      </w:pPr>
      <w:r w:rsidRPr="00256982">
        <w:rPr>
          <w:lang w:eastAsia="en-GB"/>
        </w:rPr>
        <w:t>Source-specific planned improvements</w:t>
      </w:r>
    </w:p>
    <w:p w14:paraId="5D2187B4" w14:textId="77777777" w:rsidR="00DE64BC" w:rsidRPr="00256982" w:rsidRDefault="00DE64BC" w:rsidP="00A808C7">
      <w:pPr>
        <w:pStyle w:val="BodyText"/>
        <w:rPr>
          <w:lang w:eastAsia="en-GB"/>
        </w:rPr>
      </w:pPr>
      <w:r w:rsidRPr="00256982">
        <w:rPr>
          <w:lang w:eastAsia="en-GB"/>
        </w:rPr>
        <w:t>As the data set of verified unique emission factors for individual geothermal fields and coal mines obtained from the NZ ETS grows, New Zealand will consider methods of incorporating these data to improve the accuracy of estimates.</w:t>
      </w:r>
    </w:p>
    <w:p w14:paraId="6A5FF77A" w14:textId="77777777" w:rsidR="00DE64BC" w:rsidRPr="00256982" w:rsidRDefault="00DE64BC" w:rsidP="00E01CCF">
      <w:pPr>
        <w:pStyle w:val="Heading2"/>
        <w:spacing w:before="0" w:after="360"/>
      </w:pPr>
      <w:r w:rsidRPr="00256982">
        <w:br w:type="page"/>
      </w:r>
      <w:bookmarkStart w:id="390" w:name="_Toc384581638"/>
      <w:bookmarkStart w:id="391" w:name="_Toc448321510"/>
      <w:bookmarkStart w:id="392" w:name="_Toc481751372"/>
      <w:bookmarkStart w:id="393" w:name="_Toc5269349"/>
      <w:r w:rsidRPr="00256982">
        <w:lastRenderedPageBreak/>
        <w:t>Chapter 3: References</w:t>
      </w:r>
      <w:bookmarkEnd w:id="390"/>
      <w:bookmarkEnd w:id="391"/>
      <w:bookmarkEnd w:id="392"/>
      <w:bookmarkEnd w:id="393"/>
      <w:r w:rsidR="007350B6" w:rsidRPr="00256982">
        <w:t xml:space="preserve"> </w:t>
      </w:r>
    </w:p>
    <w:p w14:paraId="7EA60385" w14:textId="77777777" w:rsidR="00DE64BC" w:rsidRPr="00256982" w:rsidRDefault="00DE64BC" w:rsidP="00A808C7">
      <w:pPr>
        <w:pStyle w:val="References"/>
        <w:rPr>
          <w:lang w:eastAsia="en-GB"/>
        </w:rPr>
      </w:pPr>
      <w:r w:rsidRPr="00256982">
        <w:rPr>
          <w:lang w:eastAsia="en-GB"/>
        </w:rPr>
        <w:t xml:space="preserve">Australian Bureau of Statistics and Statistics New Zealand. 2006. </w:t>
      </w:r>
      <w:r w:rsidRPr="00256982">
        <w:rPr>
          <w:i/>
          <w:iCs/>
          <w:lang w:eastAsia="en-GB"/>
        </w:rPr>
        <w:t xml:space="preserve">Australian and New Zealand Standard Industrial Classification Revision 1.0. </w:t>
      </w:r>
      <w:r w:rsidRPr="00256982">
        <w:rPr>
          <w:lang w:eastAsia="en-GB"/>
        </w:rPr>
        <w:t>Canberra: Australian Bureau of Statistics.</w:t>
      </w:r>
    </w:p>
    <w:p w14:paraId="41E1FD5A" w14:textId="77777777" w:rsidR="00DE64BC" w:rsidRPr="00256982" w:rsidRDefault="00DE64BC" w:rsidP="00A808C7">
      <w:pPr>
        <w:pStyle w:val="References"/>
        <w:rPr>
          <w:lang w:eastAsia="en-GB"/>
        </w:rPr>
      </w:pPr>
      <w:r w:rsidRPr="00256982">
        <w:rPr>
          <w:lang w:eastAsia="en-GB"/>
        </w:rPr>
        <w:t xml:space="preserve">Baines JT. 1993. </w:t>
      </w:r>
      <w:r w:rsidRPr="00256982">
        <w:rPr>
          <w:i/>
          <w:iCs/>
          <w:lang w:eastAsia="en-GB"/>
        </w:rPr>
        <w:t>New Zealand Energy Information Handbook</w:t>
      </w:r>
      <w:r w:rsidRPr="00256982">
        <w:rPr>
          <w:lang w:eastAsia="en-GB"/>
        </w:rPr>
        <w:t>. Christchurch: Taylor Baines and Associates.</w:t>
      </w:r>
    </w:p>
    <w:p w14:paraId="15C13F3D" w14:textId="77777777" w:rsidR="00DE64BC" w:rsidRPr="00256982" w:rsidRDefault="00DE64BC" w:rsidP="00A808C7">
      <w:pPr>
        <w:pStyle w:val="References"/>
        <w:rPr>
          <w:lang w:eastAsia="en-GB"/>
        </w:rPr>
      </w:pPr>
      <w:r w:rsidRPr="00256982">
        <w:rPr>
          <w:lang w:eastAsia="en-GB"/>
        </w:rPr>
        <w:t xml:space="preserve">Beamish BB, Vance WE. 1992. Greenhouse Gas Contributions from Coal Mining in Australia and New Zealand. </w:t>
      </w:r>
      <w:r w:rsidRPr="00256982">
        <w:rPr>
          <w:i/>
          <w:iCs/>
          <w:lang w:eastAsia="en-GB"/>
        </w:rPr>
        <w:t xml:space="preserve">Journal of the Royal Society of New Zealand </w:t>
      </w:r>
      <w:r w:rsidRPr="00256982">
        <w:rPr>
          <w:lang w:eastAsia="en-GB"/>
        </w:rPr>
        <w:t>22(2).</w:t>
      </w:r>
    </w:p>
    <w:p w14:paraId="31A3BCF6" w14:textId="77777777" w:rsidR="00DE64BC" w:rsidRPr="00256982" w:rsidRDefault="00DE64BC" w:rsidP="00A808C7">
      <w:pPr>
        <w:pStyle w:val="References"/>
        <w:rPr>
          <w:lang w:eastAsia="en-GB"/>
        </w:rPr>
      </w:pPr>
      <w:r w:rsidRPr="00256982">
        <w:rPr>
          <w:spacing w:val="-2"/>
          <w:lang w:eastAsia="en-GB"/>
        </w:rPr>
        <w:t xml:space="preserve">Bioenergy Association of New Zealand. 2011. </w:t>
      </w:r>
      <w:r w:rsidRPr="00256982">
        <w:rPr>
          <w:i/>
          <w:spacing w:val="-2"/>
          <w:lang w:eastAsia="en-GB"/>
        </w:rPr>
        <w:t>Heat Plant in New Zealand</w:t>
      </w:r>
      <w:r w:rsidRPr="00256982">
        <w:rPr>
          <w:spacing w:val="-2"/>
          <w:lang w:eastAsia="en-GB"/>
        </w:rPr>
        <w:t>. Retrieved from</w:t>
      </w:r>
      <w:r w:rsidRPr="00256982">
        <w:rPr>
          <w:spacing w:val="-2"/>
        </w:rPr>
        <w:t> www.bioenergy.org.nz/documents/resource/heat-plant-database-report-august-2011.pdf (March 2017)</w:t>
      </w:r>
      <w:r w:rsidRPr="00256982">
        <w:t>.</w:t>
      </w:r>
    </w:p>
    <w:p w14:paraId="7194ECE0" w14:textId="77777777" w:rsidR="00DE64BC" w:rsidRPr="00256982" w:rsidRDefault="00DE64BC" w:rsidP="00A808C7">
      <w:pPr>
        <w:pStyle w:val="References"/>
        <w:rPr>
          <w:lang w:eastAsia="en-GB"/>
        </w:rPr>
      </w:pPr>
      <w:r w:rsidRPr="00256982">
        <w:rPr>
          <w:lang w:eastAsia="en-GB"/>
        </w:rPr>
        <w:t xml:space="preserve">BRANZ. 2002. </w:t>
      </w:r>
      <w:r w:rsidRPr="00256982">
        <w:rPr>
          <w:i/>
          <w:iCs/>
          <w:lang w:eastAsia="en-GB"/>
        </w:rPr>
        <w:t>Energy Use in New Zealand Households</w:t>
      </w:r>
      <w:r w:rsidRPr="00256982">
        <w:rPr>
          <w:lang w:eastAsia="en-GB"/>
        </w:rPr>
        <w:t>. Porirua, Wellington: Building Research Association of New Zealand.</w:t>
      </w:r>
    </w:p>
    <w:p w14:paraId="79504076" w14:textId="77777777" w:rsidR="00DE64BC" w:rsidRPr="00256982" w:rsidRDefault="00DE64BC" w:rsidP="00A808C7">
      <w:pPr>
        <w:pStyle w:val="References"/>
        <w:rPr>
          <w:lang w:eastAsia="en-GB"/>
        </w:rPr>
      </w:pPr>
      <w:r w:rsidRPr="00256982">
        <w:rPr>
          <w:lang w:eastAsia="en-GB"/>
        </w:rPr>
        <w:t xml:space="preserve">CRL Energy Ltd. 2009. </w:t>
      </w:r>
      <w:r w:rsidRPr="00256982">
        <w:rPr>
          <w:i/>
          <w:iCs/>
          <w:lang w:eastAsia="en-GB"/>
        </w:rPr>
        <w:t>Reviewing Default Emission Factors in Draft Stationary Energy and Industrial Processes.</w:t>
      </w:r>
      <w:r w:rsidRPr="00256982">
        <w:rPr>
          <w:lang w:eastAsia="en-GB"/>
        </w:rPr>
        <w:t xml:space="preserve"> Contract report prepared for the Ministry for the Environment. Wellington: Ministry for the Environment. Retrieved from</w:t>
      </w:r>
      <w:r w:rsidRPr="00256982">
        <w:t xml:space="preserve"> </w:t>
      </w:r>
      <w:hyperlink r:id="rId75" w:history="1">
        <w:r w:rsidRPr="00256982">
          <w:t>www.climatechange.govt.nz/consultation /energy/review-default-emissions-factors.pdf</w:t>
        </w:r>
      </w:hyperlink>
      <w:r w:rsidRPr="00256982">
        <w:t xml:space="preserve"> (Ma</w:t>
      </w:r>
      <w:r w:rsidRPr="00256982">
        <w:rPr>
          <w:lang w:eastAsia="en-GB"/>
        </w:rPr>
        <w:t>rch 2017).</w:t>
      </w:r>
    </w:p>
    <w:p w14:paraId="16C5EF13" w14:textId="77777777" w:rsidR="00DE64BC" w:rsidRPr="00256982" w:rsidRDefault="00DE64BC" w:rsidP="00A808C7">
      <w:pPr>
        <w:pStyle w:val="References"/>
      </w:pPr>
      <w:r w:rsidRPr="00256982">
        <w:t xml:space="preserve">Climate Change (Stationary Energy and Industrial Processes) Regulations 2009 (as at 1 January 2018) </w:t>
      </w:r>
      <w:hyperlink r:id="rId76" w:history="1">
        <w:r w:rsidRPr="00256982">
          <w:t>www.legislation.govt.nz/regulation/public/2009/0285/latest/DLM2394207.html</w:t>
        </w:r>
      </w:hyperlink>
    </w:p>
    <w:p w14:paraId="42715749" w14:textId="77777777" w:rsidR="00DE64BC" w:rsidRPr="00256982" w:rsidRDefault="00DE64BC" w:rsidP="00A808C7">
      <w:pPr>
        <w:pStyle w:val="References"/>
      </w:pPr>
      <w:r w:rsidRPr="00256982">
        <w:t>Climate Change (Liquid Fossil Fuels) Amendment Regulations 2009 (as at 29 December 2015) www.legislation.govt.nz/regulation/public/2008/0356/latest/DLM1635638.html</w:t>
      </w:r>
    </w:p>
    <w:p w14:paraId="112E6BE1" w14:textId="77777777" w:rsidR="00DE64BC" w:rsidRPr="00256982" w:rsidRDefault="00DE64BC" w:rsidP="00A808C7">
      <w:pPr>
        <w:pStyle w:val="References"/>
      </w:pPr>
      <w:r w:rsidRPr="00256982">
        <w:t>Climate Change (Unique Emissions Factors) Regulations 2009 (as at 1 January 2018) www.legislation.govt.nz/regulation/public/2009/0286/latest/DLM2378401.html</w:t>
      </w:r>
    </w:p>
    <w:p w14:paraId="3CED60D8" w14:textId="77777777" w:rsidR="00DE64BC" w:rsidRPr="00256982" w:rsidRDefault="00DE64BC" w:rsidP="00A808C7">
      <w:pPr>
        <w:pStyle w:val="References"/>
        <w:rPr>
          <w:lang w:eastAsia="en-GB"/>
        </w:rPr>
      </w:pPr>
      <w:r w:rsidRPr="00256982">
        <w:rPr>
          <w:lang w:eastAsia="en-GB"/>
        </w:rPr>
        <w:t xml:space="preserve">European Environment Agency. 2007. </w:t>
      </w:r>
      <w:r w:rsidRPr="00256982">
        <w:rPr>
          <w:i/>
          <w:iCs/>
          <w:lang w:eastAsia="en-GB"/>
        </w:rPr>
        <w:t>EMEP/CORINAIR Emission Inventory Guidebook – 2007</w:t>
      </w:r>
      <w:r w:rsidRPr="00256982">
        <w:rPr>
          <w:iCs/>
          <w:lang w:eastAsia="en-GB"/>
        </w:rPr>
        <w:t>. Copenhagen:</w:t>
      </w:r>
      <w:r w:rsidRPr="00256982">
        <w:rPr>
          <w:lang w:eastAsia="en-GB"/>
        </w:rPr>
        <w:t xml:space="preserve"> European Environment Agency.</w:t>
      </w:r>
    </w:p>
    <w:p w14:paraId="79A90A98" w14:textId="77777777" w:rsidR="00DE64BC" w:rsidRPr="00256982" w:rsidRDefault="00DE64BC" w:rsidP="00A808C7">
      <w:pPr>
        <w:pStyle w:val="References"/>
        <w:rPr>
          <w:lang w:eastAsia="en-GB"/>
        </w:rPr>
      </w:pPr>
      <w:r w:rsidRPr="00256982">
        <w:rPr>
          <w:lang w:eastAsia="en-GB"/>
        </w:rPr>
        <w:t xml:space="preserve">European Environment Agency. 2016. </w:t>
      </w:r>
      <w:r w:rsidRPr="00256982">
        <w:rPr>
          <w:i/>
          <w:lang w:eastAsia="en-GB"/>
        </w:rPr>
        <w:t>EMEP/EEA Air Pollutant Emission Inventory Guidebook 2016: Technical guidance to prepare national emission inventories</w:t>
      </w:r>
      <w:r w:rsidRPr="00256982">
        <w:rPr>
          <w:lang w:eastAsia="en-GB"/>
        </w:rPr>
        <w:t xml:space="preserve">. </w:t>
      </w:r>
      <w:r w:rsidRPr="00256982">
        <w:rPr>
          <w:iCs/>
          <w:lang w:eastAsia="en-GB"/>
        </w:rPr>
        <w:t>Copenhagen</w:t>
      </w:r>
      <w:r w:rsidRPr="00256982">
        <w:rPr>
          <w:lang w:eastAsia="en-GB"/>
        </w:rPr>
        <w:t>: European Environment Agency.</w:t>
      </w:r>
    </w:p>
    <w:p w14:paraId="65085809" w14:textId="77777777" w:rsidR="00DE64BC" w:rsidRPr="00256982" w:rsidRDefault="00DE64BC" w:rsidP="00A808C7">
      <w:pPr>
        <w:pStyle w:val="References"/>
      </w:pPr>
      <w:r w:rsidRPr="00256982">
        <w:t xml:space="preserve">IPCC. 2006. Eggleston HS, Buendia L, Miwa K, Ngara T, Tanabe K (eds). </w:t>
      </w:r>
      <w:r w:rsidRPr="00256982">
        <w:rPr>
          <w:i/>
        </w:rPr>
        <w:t>2006 IPCC Guidelines for National Greenhouse Gas Inventories. Volume 2. Energy</w:t>
      </w:r>
      <w:r w:rsidRPr="00256982">
        <w:t>. IPCC National Greenhouse Gas Inventories Programme. Japan: Institute for Global Environmental Strategies for IPCC.</w:t>
      </w:r>
    </w:p>
    <w:p w14:paraId="0C2643FD" w14:textId="77777777" w:rsidR="00DE64BC" w:rsidRPr="00256982" w:rsidRDefault="00DE64BC" w:rsidP="00A808C7">
      <w:pPr>
        <w:pStyle w:val="References"/>
      </w:pPr>
      <w:r w:rsidRPr="00256982">
        <w:t xml:space="preserve">MBIE. 2008. </w:t>
      </w:r>
      <w:r w:rsidRPr="00256982">
        <w:rPr>
          <w:i/>
          <w:iCs/>
        </w:rPr>
        <w:t>Liquid Fuel Use in New Zealand</w:t>
      </w:r>
      <w:r w:rsidRPr="00256982">
        <w:t xml:space="preserve">. </w:t>
      </w:r>
      <w:r w:rsidRPr="00256982">
        <w:rPr>
          <w:lang w:eastAsia="en-GB"/>
        </w:rPr>
        <w:t xml:space="preserve">Wellington: </w:t>
      </w:r>
      <w:r w:rsidRPr="00256982">
        <w:t>Ministry of Business, Innovation and Employment</w:t>
      </w:r>
      <w:r w:rsidRPr="00256982">
        <w:rPr>
          <w:lang w:eastAsia="en-GB"/>
        </w:rPr>
        <w:t xml:space="preserve">. </w:t>
      </w:r>
      <w:r w:rsidRPr="00256982">
        <w:t xml:space="preserve">Retrieved from </w:t>
      </w:r>
      <w:hyperlink r:id="rId77" w:history="1">
        <w:r w:rsidRPr="00256982">
          <w:t>www.med.govt.nz/sectors-industries/energy/energy-modelling/technical-papers/liquid-fuels-use-in-new-zealand</w:t>
        </w:r>
      </w:hyperlink>
      <w:r w:rsidRPr="00256982">
        <w:t xml:space="preserve"> (March 2013).</w:t>
      </w:r>
    </w:p>
    <w:p w14:paraId="330AF7E9" w14:textId="77777777" w:rsidR="00DE64BC" w:rsidRPr="00256982" w:rsidRDefault="00DE64BC" w:rsidP="00A808C7">
      <w:pPr>
        <w:pStyle w:val="References"/>
      </w:pPr>
      <w:r w:rsidRPr="00256982">
        <w:t xml:space="preserve">MBIE. 2010. </w:t>
      </w:r>
      <w:r w:rsidRPr="00256982">
        <w:rPr>
          <w:i/>
        </w:rPr>
        <w:t>Delivering the Diesel – Liquid Fuel Deliveries in New Zealand 1990–2008</w:t>
      </w:r>
      <w:r w:rsidRPr="00256982">
        <w:t xml:space="preserve">. </w:t>
      </w:r>
      <w:r w:rsidRPr="00256982">
        <w:rPr>
          <w:lang w:eastAsia="en-GB"/>
        </w:rPr>
        <w:t xml:space="preserve">Wellington: </w:t>
      </w:r>
      <w:r w:rsidRPr="00256982">
        <w:t>Ministry of Business, Innovation and Employment</w:t>
      </w:r>
      <w:r w:rsidRPr="00256982">
        <w:rPr>
          <w:lang w:eastAsia="en-GB"/>
        </w:rPr>
        <w:t xml:space="preserve">. </w:t>
      </w:r>
      <w:r w:rsidRPr="00256982">
        <w:t xml:space="preserve">Retrieved from </w:t>
      </w:r>
      <w:hyperlink r:id="rId78" w:history="1">
        <w:r w:rsidRPr="00256982">
          <w:rPr>
            <w:rStyle w:val="Hyperlink"/>
            <w:color w:val="auto"/>
          </w:rPr>
          <w:t>www.med.govt.nz/sectors-industries/energy/energy-modelling/technical-papers/delivering-the-diesel-liquid-fuel-deliveries-in-new-zealand-1990-2008</w:t>
        </w:r>
      </w:hyperlink>
      <w:r w:rsidRPr="00256982">
        <w:t xml:space="preserve"> (March 2013).</w:t>
      </w:r>
    </w:p>
    <w:p w14:paraId="46D5658F" w14:textId="77777777" w:rsidR="00DE64BC" w:rsidRPr="00256982" w:rsidRDefault="00DE64BC" w:rsidP="00A808C7">
      <w:pPr>
        <w:pStyle w:val="References"/>
        <w:rPr>
          <w:lang w:eastAsia="en-GB"/>
        </w:rPr>
      </w:pPr>
      <w:r w:rsidRPr="00256982">
        <w:rPr>
          <w:lang w:eastAsia="en-GB"/>
        </w:rPr>
        <w:t>M</w:t>
      </w:r>
      <w:r w:rsidRPr="00256982">
        <w:t>BIE</w:t>
      </w:r>
      <w:r w:rsidRPr="00256982">
        <w:rPr>
          <w:lang w:eastAsia="en-GB"/>
        </w:rPr>
        <w:t xml:space="preserve">. 2018. </w:t>
      </w:r>
      <w:r w:rsidRPr="00256982">
        <w:rPr>
          <w:i/>
          <w:iCs/>
          <w:lang w:eastAsia="en-GB"/>
        </w:rPr>
        <w:t>Energy in New Zealand</w:t>
      </w:r>
      <w:r w:rsidRPr="00256982">
        <w:rPr>
          <w:lang w:eastAsia="en-GB"/>
        </w:rPr>
        <w:t xml:space="preserve">. Wellington: </w:t>
      </w:r>
      <w:r w:rsidRPr="00256982">
        <w:t>Ministry of Business, Innovation and Employment</w:t>
      </w:r>
      <w:r w:rsidRPr="00256982">
        <w:rPr>
          <w:lang w:eastAsia="en-GB"/>
        </w:rPr>
        <w:t xml:space="preserve">. </w:t>
      </w:r>
      <w:r w:rsidRPr="00256982">
        <w:t xml:space="preserve">Retrieved from </w:t>
      </w:r>
      <w:hyperlink r:id="rId79" w:history="1">
        <w:r w:rsidRPr="00256982">
          <w:t>www.mbie.govt.nz/building-and-energy/energy-and-natural-resources/energy-statistics-and-modelling/energy-publications-and-technical-papers/energy-in-new-zealand</w:t>
        </w:r>
      </w:hyperlink>
      <w:r w:rsidRPr="00256982" w:rsidDel="001A736D">
        <w:rPr>
          <w:rStyle w:val="Hyperlink"/>
          <w:color w:val="auto"/>
        </w:rPr>
        <w:t xml:space="preserve"> </w:t>
      </w:r>
      <w:r w:rsidRPr="00256982">
        <w:t>(September 2018).</w:t>
      </w:r>
    </w:p>
    <w:p w14:paraId="03A5F678" w14:textId="77777777" w:rsidR="00DE64BC" w:rsidRPr="00256982" w:rsidRDefault="00DE64BC" w:rsidP="00A808C7">
      <w:pPr>
        <w:pStyle w:val="References"/>
      </w:pPr>
      <w:r w:rsidRPr="00256982">
        <w:rPr>
          <w:lang w:eastAsia="en-GB"/>
        </w:rPr>
        <w:t xml:space="preserve">Ministry for the Environment. 2009. </w:t>
      </w:r>
      <w:r w:rsidRPr="00256982">
        <w:rPr>
          <w:i/>
          <w:iCs/>
          <w:lang w:eastAsia="en-GB"/>
        </w:rPr>
        <w:t>Projects to Reduce Emissions (PRE)</w:t>
      </w:r>
      <w:r w:rsidRPr="00256982">
        <w:rPr>
          <w:iCs/>
          <w:lang w:eastAsia="en-GB"/>
        </w:rPr>
        <w:t xml:space="preserve">. </w:t>
      </w:r>
      <w:r w:rsidRPr="00256982">
        <w:rPr>
          <w:lang w:eastAsia="en-GB"/>
        </w:rPr>
        <w:t xml:space="preserve">Wellington: </w:t>
      </w:r>
      <w:r w:rsidRPr="00256982">
        <w:t>Ministry for the Environment</w:t>
      </w:r>
      <w:r w:rsidRPr="00256982">
        <w:rPr>
          <w:lang w:eastAsia="en-GB"/>
        </w:rPr>
        <w:t xml:space="preserve">. </w:t>
      </w:r>
      <w:r w:rsidRPr="00256982">
        <w:rPr>
          <w:iCs/>
          <w:lang w:eastAsia="en-GB"/>
        </w:rPr>
        <w:t>Retrieved from</w:t>
      </w:r>
      <w:r w:rsidRPr="00256982">
        <w:rPr>
          <w:i/>
          <w:iCs/>
          <w:lang w:eastAsia="en-GB"/>
        </w:rPr>
        <w:t xml:space="preserve"> </w:t>
      </w:r>
      <w:hyperlink r:id="rId80" w:history="1">
        <w:r w:rsidRPr="00256982">
          <w:t>www.mfe.govt.nz/issues/climate/policies-initiatives/projects</w:t>
        </w:r>
      </w:hyperlink>
      <w:r w:rsidRPr="00256982">
        <w:t xml:space="preserve"> (March 2012)</w:t>
      </w:r>
      <w:r w:rsidRPr="00256982">
        <w:rPr>
          <w:lang w:eastAsia="en-GB"/>
        </w:rPr>
        <w:t xml:space="preserve">. </w:t>
      </w:r>
    </w:p>
    <w:p w14:paraId="10ED1311" w14:textId="77777777" w:rsidR="00DE64BC" w:rsidRPr="00256982" w:rsidRDefault="00DE64BC" w:rsidP="00A808C7">
      <w:pPr>
        <w:pStyle w:val="References"/>
      </w:pPr>
      <w:r w:rsidRPr="00256982">
        <w:t xml:space="preserve">Ministry of Transport. 2010. </w:t>
      </w:r>
      <w:r w:rsidRPr="00256982">
        <w:rPr>
          <w:i/>
        </w:rPr>
        <w:t xml:space="preserve">New Zealand Travel Survey. </w:t>
      </w:r>
      <w:r w:rsidRPr="00256982">
        <w:rPr>
          <w:lang w:eastAsia="en-GB"/>
        </w:rPr>
        <w:t xml:space="preserve">Wellington: </w:t>
      </w:r>
      <w:r w:rsidRPr="00256982">
        <w:t xml:space="preserve">Ministry of Transport. Retrieved from </w:t>
      </w:r>
      <w:hyperlink r:id="rId81" w:history="1">
        <w:r w:rsidRPr="00256982">
          <w:t>www.transport.govt.nz/research/Pages/TravelSurvey.aspx</w:t>
        </w:r>
      </w:hyperlink>
      <w:r w:rsidRPr="00256982">
        <w:t xml:space="preserve"> (March 2012).</w:t>
      </w:r>
    </w:p>
    <w:p w14:paraId="720132DD" w14:textId="77777777" w:rsidR="00DE64BC" w:rsidRPr="00256982" w:rsidRDefault="00DE64BC" w:rsidP="00A808C7">
      <w:pPr>
        <w:pStyle w:val="References"/>
      </w:pPr>
      <w:r w:rsidRPr="00256982">
        <w:t xml:space="preserve">New Zealand Institute of Chemistry. 1998. </w:t>
      </w:r>
      <w:r w:rsidRPr="00256982">
        <w:rPr>
          <w:i/>
        </w:rPr>
        <w:t>Chemical Processes in New Zealand Auckland</w:t>
      </w:r>
      <w:r w:rsidRPr="00256982">
        <w:t>. Christchurch: New Zealand Institute of Chemistry.</w:t>
      </w:r>
    </w:p>
    <w:p w14:paraId="33093143" w14:textId="77777777" w:rsidR="00DE64BC" w:rsidRPr="00256982" w:rsidRDefault="00DE64BC" w:rsidP="00A808C7">
      <w:pPr>
        <w:pStyle w:val="References"/>
      </w:pPr>
      <w:r w:rsidRPr="00256982">
        <w:t xml:space="preserve">Reddy CM, DeMello JA, Carmichael CA, Peacock EE, Xu L, Arey JS. 2008. Determination of biodiesel blending percentages using natural abundance radiocarbon analysis: Testing the accuracy of retail biodiesel blends. </w:t>
      </w:r>
      <w:r w:rsidRPr="00256982">
        <w:rPr>
          <w:i/>
        </w:rPr>
        <w:t>Environmental Science Technology</w:t>
      </w:r>
      <w:r w:rsidRPr="00256982">
        <w:t xml:space="preserve"> 42(7): 2476–2482.</w:t>
      </w:r>
    </w:p>
    <w:p w14:paraId="02B39D41" w14:textId="77777777" w:rsidR="00DE64BC" w:rsidRPr="00256982" w:rsidRDefault="00DE64BC" w:rsidP="00A808C7">
      <w:pPr>
        <w:pStyle w:val="References"/>
        <w:rPr>
          <w:lang w:eastAsia="en-GB"/>
        </w:rPr>
      </w:pPr>
      <w:r w:rsidRPr="00256982">
        <w:rPr>
          <w:lang w:eastAsia="en-GB"/>
        </w:rPr>
        <w:lastRenderedPageBreak/>
        <w:t xml:space="preserve">Stats NZ. 2017. </w:t>
      </w:r>
      <w:r w:rsidRPr="00256982">
        <w:rPr>
          <w:i/>
          <w:lang w:eastAsia="en-GB"/>
        </w:rPr>
        <w:t>Energy Use Survey</w:t>
      </w:r>
      <w:r w:rsidRPr="00256982">
        <w:rPr>
          <w:lang w:eastAsia="en-GB"/>
        </w:rPr>
        <w:t xml:space="preserve">. </w:t>
      </w:r>
      <w:r w:rsidRPr="00256982">
        <w:t xml:space="preserve">Wellington: Stats NZ. </w:t>
      </w:r>
      <w:r w:rsidRPr="00256982">
        <w:rPr>
          <w:lang w:eastAsia="en-GB"/>
        </w:rPr>
        <w:t>Retrieved from www.stats.govt.nz/information-releases/new-zealand-energy-use-2017 (February 2019).</w:t>
      </w:r>
    </w:p>
    <w:p w14:paraId="3FA465C9" w14:textId="77777777" w:rsidR="00DE64BC" w:rsidRPr="00256982" w:rsidRDefault="00DE64BC" w:rsidP="00A808C7">
      <w:pPr>
        <w:pStyle w:val="References"/>
      </w:pPr>
      <w:r w:rsidRPr="00256982">
        <w:t xml:space="preserve">UNFCCC. 2009. FCCC/ARR/2008/NZL. </w:t>
      </w:r>
      <w:r w:rsidRPr="00256982">
        <w:rPr>
          <w:i/>
        </w:rPr>
        <w:t>Report of the Individual Review of the Greenhouse Gas Inventories of New Zealand Submitted in 2007 and 2008</w:t>
      </w:r>
      <w:r w:rsidRPr="00256982">
        <w:t>. Centralised Review.</w:t>
      </w:r>
    </w:p>
    <w:p w14:paraId="20E19914" w14:textId="77777777" w:rsidR="00DE64BC" w:rsidRPr="00256982" w:rsidRDefault="00DE64BC" w:rsidP="00A808C7">
      <w:pPr>
        <w:autoSpaceDE w:val="0"/>
        <w:autoSpaceDN w:val="0"/>
        <w:adjustRightInd w:val="0"/>
        <w:spacing w:after="120"/>
        <w:jc w:val="left"/>
        <w:rPr>
          <w:sz w:val="20"/>
        </w:rPr>
      </w:pPr>
      <w:r w:rsidRPr="00256982">
        <w:rPr>
          <w:sz w:val="20"/>
        </w:rPr>
        <w:t>UNFCCC. 2014. FCCC/ARR/2013/NZL.</w:t>
      </w:r>
      <w:r w:rsidRPr="00256982">
        <w:rPr>
          <w:i/>
          <w:sz w:val="20"/>
        </w:rPr>
        <w:t xml:space="preserve"> Report of the individual review of the annual submission of New Zealand submitted in 2013. </w:t>
      </w:r>
      <w:r w:rsidRPr="00256982">
        <w:rPr>
          <w:sz w:val="20"/>
        </w:rPr>
        <w:t>Centralised Review.</w:t>
      </w:r>
    </w:p>
    <w:p w14:paraId="09BA6292" w14:textId="77777777" w:rsidR="00DE64BC" w:rsidRPr="00256982" w:rsidRDefault="00DE64BC" w:rsidP="00A808C7"/>
    <w:p w14:paraId="4E642765" w14:textId="77777777" w:rsidR="00806461" w:rsidRPr="00256982" w:rsidRDefault="00DE64BC" w:rsidP="00806461">
      <w:pPr>
        <w:pStyle w:val="Heading1"/>
      </w:pPr>
      <w:r w:rsidRPr="00256982">
        <w:br w:type="page"/>
      </w:r>
      <w:bookmarkStart w:id="394" w:name="_Toc5269350"/>
      <w:r w:rsidR="00806461" w:rsidRPr="00256982">
        <w:lastRenderedPageBreak/>
        <w:t>Chapter 4: Industrial Processes and Product Use (IPPU)</w:t>
      </w:r>
      <w:bookmarkEnd w:id="394"/>
    </w:p>
    <w:p w14:paraId="73483BE8" w14:textId="77777777" w:rsidR="00806461" w:rsidRPr="00256982" w:rsidRDefault="00806461" w:rsidP="00E01CCF">
      <w:pPr>
        <w:pStyle w:val="Heading2"/>
        <w:spacing w:before="240"/>
      </w:pPr>
      <w:bookmarkStart w:id="395" w:name="_Toc448321512"/>
      <w:bookmarkStart w:id="396" w:name="_Toc5269351"/>
      <w:r w:rsidRPr="00256982">
        <w:t xml:space="preserve">4.1 </w:t>
      </w:r>
      <w:r w:rsidRPr="00256982">
        <w:tab/>
        <w:t>Sector overview</w:t>
      </w:r>
      <w:bookmarkEnd w:id="395"/>
      <w:bookmarkEnd w:id="396"/>
    </w:p>
    <w:p w14:paraId="352F3AE7" w14:textId="77777777" w:rsidR="00806461" w:rsidRPr="00256982" w:rsidRDefault="00806461" w:rsidP="00E01CCF">
      <w:pPr>
        <w:pStyle w:val="Heading3"/>
        <w:spacing w:before="240"/>
      </w:pPr>
      <w:r w:rsidRPr="00256982">
        <w:t xml:space="preserve">4.1.1 </w:t>
      </w:r>
      <w:r w:rsidRPr="00256982">
        <w:tab/>
        <w:t>IPPU sector in New Zealand</w:t>
      </w:r>
    </w:p>
    <w:p w14:paraId="6FF38110" w14:textId="77777777" w:rsidR="00806461" w:rsidRPr="00256982" w:rsidRDefault="00806461" w:rsidP="00806461">
      <w:pPr>
        <w:pStyle w:val="BodyText"/>
      </w:pPr>
      <w:r w:rsidRPr="00256982">
        <w:t>New Zealand has a relatively small number of industrial processing plants emitting non-energy related greenhouse gases. Carbon dioxide (CO</w:t>
      </w:r>
      <w:r w:rsidRPr="00256982">
        <w:rPr>
          <w:vertAlign w:val="subscript"/>
        </w:rPr>
        <w:t>2</w:t>
      </w:r>
      <w:r w:rsidRPr="00256982">
        <w:t>), methane (CH</w:t>
      </w:r>
      <w:r w:rsidRPr="00256982">
        <w:rPr>
          <w:vertAlign w:val="subscript"/>
        </w:rPr>
        <w:t>4</w:t>
      </w:r>
      <w:r w:rsidRPr="00256982">
        <w:t>) and nitrous oxide (N</w:t>
      </w:r>
      <w:r w:rsidRPr="00256982">
        <w:rPr>
          <w:vertAlign w:val="subscript"/>
        </w:rPr>
        <w:t>2</w:t>
      </w:r>
      <w:r w:rsidRPr="00256982">
        <w:t xml:space="preserve">O) emissions from eight distinct industrial processes in New Zealand are reported in the IPPU sector. These are: </w:t>
      </w:r>
    </w:p>
    <w:p w14:paraId="6BAB3826" w14:textId="77777777" w:rsidR="00806461" w:rsidRPr="00256982" w:rsidRDefault="00806461" w:rsidP="00E01CCF">
      <w:pPr>
        <w:pStyle w:val="Bullet"/>
      </w:pPr>
      <w:r w:rsidRPr="00256982">
        <w:t xml:space="preserve">calcination of limestone in cement production </w:t>
      </w:r>
    </w:p>
    <w:p w14:paraId="2295F507" w14:textId="77777777" w:rsidR="00806461" w:rsidRPr="00256982" w:rsidRDefault="00806461" w:rsidP="00E01CCF">
      <w:pPr>
        <w:pStyle w:val="Bullet"/>
      </w:pPr>
      <w:r w:rsidRPr="00256982">
        <w:t xml:space="preserve">calcination of limestone in burnt and slaked lime production </w:t>
      </w:r>
    </w:p>
    <w:p w14:paraId="6DE5E4AF" w14:textId="77777777" w:rsidR="00806461" w:rsidRPr="00256982" w:rsidRDefault="00806461" w:rsidP="00E01CCF">
      <w:pPr>
        <w:pStyle w:val="Bullet"/>
      </w:pPr>
      <w:r w:rsidRPr="00256982">
        <w:t xml:space="preserve">production of ammonia, which is further processed into urea </w:t>
      </w:r>
    </w:p>
    <w:p w14:paraId="2782F0EE" w14:textId="77777777" w:rsidR="00806461" w:rsidRPr="00256982" w:rsidRDefault="00806461" w:rsidP="00E01CCF">
      <w:pPr>
        <w:pStyle w:val="Bullet"/>
      </w:pPr>
      <w:r w:rsidRPr="00256982">
        <w:t xml:space="preserve">production of methanol </w:t>
      </w:r>
    </w:p>
    <w:p w14:paraId="6561AEE7" w14:textId="77777777" w:rsidR="00806461" w:rsidRPr="00256982" w:rsidRDefault="00806461" w:rsidP="00E01CCF">
      <w:pPr>
        <w:pStyle w:val="Bullet"/>
      </w:pPr>
      <w:r w:rsidRPr="00256982">
        <w:t xml:space="preserve">production of hydrogen in oil refining and for making hydrogen peroxide </w:t>
      </w:r>
    </w:p>
    <w:p w14:paraId="6F7FC8F4" w14:textId="77777777" w:rsidR="00806461" w:rsidRPr="00256982" w:rsidRDefault="00806461" w:rsidP="00E01CCF">
      <w:pPr>
        <w:pStyle w:val="Bullet"/>
      </w:pPr>
      <w:r w:rsidRPr="00256982">
        <w:t xml:space="preserve">production of steel, from iron sand and from scrap steel </w:t>
      </w:r>
    </w:p>
    <w:p w14:paraId="144D2E35" w14:textId="77777777" w:rsidR="00806461" w:rsidRPr="00256982" w:rsidRDefault="00806461" w:rsidP="00E01CCF">
      <w:pPr>
        <w:pStyle w:val="Bullet"/>
      </w:pPr>
      <w:r w:rsidRPr="00256982">
        <w:t xml:space="preserve">oxidation of anodes in aluminium smelting </w:t>
      </w:r>
    </w:p>
    <w:p w14:paraId="6FF25A94" w14:textId="77777777" w:rsidR="00806461" w:rsidRPr="00256982" w:rsidRDefault="00806461" w:rsidP="00E01CCF">
      <w:pPr>
        <w:pStyle w:val="Bullet"/>
      </w:pPr>
      <w:r w:rsidRPr="00256982">
        <w:t xml:space="preserve">use of soda ash and limestone in glass making. </w:t>
      </w:r>
    </w:p>
    <w:p w14:paraId="3F89C9DD" w14:textId="77777777" w:rsidR="00806461" w:rsidRPr="00256982" w:rsidRDefault="00806461" w:rsidP="00806461">
      <w:pPr>
        <w:pStyle w:val="BodyText"/>
      </w:pPr>
      <w:r w:rsidRPr="00256982">
        <w:t>Hydrofluorocarbons (HFCs) and perfluorocarbons (PFCs) are used in a large number of products and in refrigeration and air conditioning equipment. Some recovered HFCs are exported for destruction. Perfluorocarbons are also emitted as a result of anode effects in aluminium smelting. Sulphur hexafluoride (SF</w:t>
      </w:r>
      <w:r w:rsidRPr="00256982">
        <w:rPr>
          <w:vertAlign w:val="subscript"/>
        </w:rPr>
        <w:t>6</w:t>
      </w:r>
      <w:r w:rsidRPr="00256982">
        <w:t>) is used in the electricity distribution sector and for small-scale medical and scientific applications. Historically, a very small amount of SF</w:t>
      </w:r>
      <w:r w:rsidRPr="00256982">
        <w:rPr>
          <w:vertAlign w:val="subscript"/>
        </w:rPr>
        <w:t>6</w:t>
      </w:r>
      <w:r w:rsidRPr="00256982">
        <w:t xml:space="preserve"> has been used for magnesium casting. There is no production of any fluorinated chemicals in New Zealand; they are all imported. </w:t>
      </w:r>
    </w:p>
    <w:p w14:paraId="241204EB" w14:textId="77777777" w:rsidR="00806461" w:rsidRPr="00256982" w:rsidRDefault="00806461" w:rsidP="00806461">
      <w:pPr>
        <w:pStyle w:val="BodyText"/>
      </w:pPr>
      <w:r w:rsidRPr="00256982">
        <w:t>Small amounts of CO</w:t>
      </w:r>
      <w:r w:rsidRPr="00256982">
        <w:rPr>
          <w:vertAlign w:val="subscript"/>
        </w:rPr>
        <w:t>2</w:t>
      </w:r>
      <w:r w:rsidRPr="00256982">
        <w:t xml:space="preserve"> are reported from the use of lubricants and paraffin wax, imported calcium carbide, carbonates in kaolin clay used for ceramics production, and secondary lead production (recycling of lead-acid batteries). No other emission sources for direct greenhouse gases are applicable to New Zealand and no other activity data are available. Some indirect greenhouse gas emissions are reported from fertiliser, formaldehyde and other industries. </w:t>
      </w:r>
    </w:p>
    <w:p w14:paraId="625378D8" w14:textId="77777777" w:rsidR="00806461" w:rsidRPr="00256982" w:rsidRDefault="00806461" w:rsidP="00806461">
      <w:pPr>
        <w:pStyle w:val="BodyText"/>
      </w:pPr>
      <w:r w:rsidRPr="00256982">
        <w:t>Beginning with the 2019 submission, New Zealand is reporting emissions from Tokelau, which is a dependent territory of New Zealand. Emissions from Tokelau for all activities are reported in annex 7 of the National Inventory Report and within the ‘Other’ sector in the common reporting format (CRF) tables. This is due to the significantly different methods applied and the prohibitive complexity of integrating emissions within the main sectors. Therefore, all emissions reported in this sector are from New Zealand excluding Tokelau. Please refer to chapter 8 and annex 7 for details of methods applied and the emissions for Tokelau.</w:t>
      </w:r>
    </w:p>
    <w:p w14:paraId="374FEFA1" w14:textId="77777777" w:rsidR="00806461" w:rsidRPr="00256982" w:rsidRDefault="00806461" w:rsidP="001D3490">
      <w:pPr>
        <w:pStyle w:val="Heading3"/>
      </w:pPr>
      <w:r w:rsidRPr="00256982">
        <w:t xml:space="preserve">4.1.2 </w:t>
      </w:r>
      <w:r w:rsidRPr="00256982">
        <w:tab/>
        <w:t>Emissions summary</w:t>
      </w:r>
    </w:p>
    <w:p w14:paraId="10A8C251" w14:textId="77777777" w:rsidR="00806461" w:rsidRPr="00256982" w:rsidRDefault="00806461" w:rsidP="00806461">
      <w:pPr>
        <w:pStyle w:val="BodyText"/>
      </w:pPr>
      <w:r w:rsidRPr="00256982">
        <w:t>The IPPU sector in New Zealand produces CO</w:t>
      </w:r>
      <w:r w:rsidRPr="00256982">
        <w:rPr>
          <w:vertAlign w:val="subscript"/>
        </w:rPr>
        <w:t>2</w:t>
      </w:r>
      <w:r w:rsidRPr="00256982">
        <w:t xml:space="preserve"> emissions (64.7 per cent), fluorinated gases (31.8 per cent) and smaller amounts of CH</w:t>
      </w:r>
      <w:r w:rsidRPr="00256982">
        <w:rPr>
          <w:vertAlign w:val="subscript"/>
        </w:rPr>
        <w:t>4</w:t>
      </w:r>
      <w:r w:rsidRPr="00256982">
        <w:t xml:space="preserve"> and N</w:t>
      </w:r>
      <w:r w:rsidRPr="00256982">
        <w:rPr>
          <w:vertAlign w:val="subscript"/>
        </w:rPr>
        <w:t>2</w:t>
      </w:r>
      <w:r w:rsidRPr="00256982">
        <w:t xml:space="preserve">O. Coal and natural gas are also used on a </w:t>
      </w:r>
      <w:r w:rsidRPr="00256982">
        <w:lastRenderedPageBreak/>
        <w:t xml:space="preserve">significant scale for energy in the </w:t>
      </w:r>
      <w:r w:rsidRPr="00256982">
        <w:rPr>
          <w:i/>
        </w:rPr>
        <w:t>Mineral industry</w:t>
      </w:r>
      <w:r w:rsidRPr="00256982">
        <w:t xml:space="preserve">, </w:t>
      </w:r>
      <w:r w:rsidRPr="00256982">
        <w:rPr>
          <w:i/>
        </w:rPr>
        <w:t>Chemical industry</w:t>
      </w:r>
      <w:r w:rsidRPr="00256982">
        <w:t xml:space="preserve"> and </w:t>
      </w:r>
      <w:r w:rsidRPr="00256982">
        <w:rPr>
          <w:i/>
        </w:rPr>
        <w:t>Metal industry</w:t>
      </w:r>
      <w:r w:rsidRPr="00256982">
        <w:t xml:space="preserve"> source categories. Carbon dioxide and any other emissions from combustion of fuels in these industries are reported under the Energy sector. </w:t>
      </w:r>
    </w:p>
    <w:p w14:paraId="35335433" w14:textId="77777777" w:rsidR="00806461" w:rsidRPr="00256982" w:rsidRDefault="00806461" w:rsidP="00806461">
      <w:pPr>
        <w:pStyle w:val="Heading5"/>
      </w:pPr>
      <w:r w:rsidRPr="00256982">
        <w:t>2017</w:t>
      </w:r>
    </w:p>
    <w:p w14:paraId="0D31F9E7" w14:textId="77777777" w:rsidR="00806461" w:rsidRPr="00256982" w:rsidRDefault="00806461" w:rsidP="00806461">
      <w:pPr>
        <w:pStyle w:val="BodyText"/>
      </w:pPr>
      <w:r w:rsidRPr="00256982">
        <w:t>In 2017, emissions in the IPPU sector contributed 4,968.6 kilotonnes carbon dioxide equivalent (kt CO</w:t>
      </w:r>
      <w:r w:rsidRPr="00256982">
        <w:rPr>
          <w:vertAlign w:val="subscript"/>
        </w:rPr>
        <w:t>2</w:t>
      </w:r>
      <w:r w:rsidRPr="00256982">
        <w:t xml:space="preserve">-e), or 6.1 per cent, of New Zealand’s gross greenhouse gas emissions. </w:t>
      </w:r>
    </w:p>
    <w:p w14:paraId="514CD06F" w14:textId="77777777" w:rsidR="00806461" w:rsidRPr="00256982" w:rsidRDefault="00806461" w:rsidP="00806461">
      <w:pPr>
        <w:pStyle w:val="BodyText"/>
      </w:pPr>
      <w:r w:rsidRPr="00256982">
        <w:t xml:space="preserve">The emissions by source category are shown in table 4.1.1. The largest source category is the </w:t>
      </w:r>
      <w:r w:rsidRPr="00256982">
        <w:rPr>
          <w:i/>
        </w:rPr>
        <w:t>Metal industry</w:t>
      </w:r>
      <w:r w:rsidRPr="00256982">
        <w:t xml:space="preserve"> category, with substantial CO</w:t>
      </w:r>
      <w:r w:rsidRPr="00256982">
        <w:rPr>
          <w:vertAlign w:val="subscript"/>
        </w:rPr>
        <w:t>2</w:t>
      </w:r>
      <w:r w:rsidRPr="00256982">
        <w:t xml:space="preserve"> emissions from the </w:t>
      </w:r>
      <w:r w:rsidRPr="00256982">
        <w:rPr>
          <w:i/>
        </w:rPr>
        <w:t>Iron and steel production</w:t>
      </w:r>
      <w:r w:rsidRPr="00256982">
        <w:t xml:space="preserve"> and </w:t>
      </w:r>
      <w:r w:rsidRPr="00256982">
        <w:rPr>
          <w:i/>
        </w:rPr>
        <w:t>Aluminium production</w:t>
      </w:r>
      <w:r w:rsidRPr="00256982">
        <w:t xml:space="preserve"> categories, as well as PFCs from the </w:t>
      </w:r>
      <w:r w:rsidRPr="00256982">
        <w:rPr>
          <w:i/>
        </w:rPr>
        <w:t>Aluminium production</w:t>
      </w:r>
      <w:r w:rsidRPr="00256982">
        <w:t xml:space="preserve"> category in earlier years. The </w:t>
      </w:r>
      <w:r w:rsidRPr="00256982">
        <w:rPr>
          <w:i/>
        </w:rPr>
        <w:t xml:space="preserve">Mineral industry </w:t>
      </w:r>
      <w:r w:rsidRPr="00256982">
        <w:t xml:space="preserve">and </w:t>
      </w:r>
      <w:r w:rsidRPr="00256982">
        <w:rPr>
          <w:i/>
        </w:rPr>
        <w:t>Chemical industry</w:t>
      </w:r>
      <w:r w:rsidRPr="00256982">
        <w:t xml:space="preserve"> categories also contribute significant CO</w:t>
      </w:r>
      <w:r w:rsidRPr="00256982">
        <w:rPr>
          <w:vertAlign w:val="subscript"/>
        </w:rPr>
        <w:t>2</w:t>
      </w:r>
      <w:r w:rsidRPr="00256982">
        <w:t xml:space="preserve"> emissions, and most of the non-CO</w:t>
      </w:r>
      <w:r w:rsidRPr="00256982">
        <w:rPr>
          <w:vertAlign w:val="subscript"/>
        </w:rPr>
        <w:t>2</w:t>
      </w:r>
      <w:r w:rsidRPr="00256982">
        <w:t xml:space="preserve"> emissions come from the </w:t>
      </w:r>
      <w:r w:rsidRPr="00256982">
        <w:rPr>
          <w:i/>
        </w:rPr>
        <w:t>Product uses as substitutes for ODS</w:t>
      </w:r>
      <w:r w:rsidRPr="00256982">
        <w:t xml:space="preserve"> category. </w:t>
      </w:r>
    </w:p>
    <w:p w14:paraId="0AE5110A" w14:textId="77777777" w:rsidR="00806461" w:rsidRPr="00256982" w:rsidRDefault="00806461" w:rsidP="00806461">
      <w:pPr>
        <w:pStyle w:val="Heading5"/>
      </w:pPr>
      <w:r w:rsidRPr="00256982">
        <w:t>1990–2017</w:t>
      </w:r>
    </w:p>
    <w:p w14:paraId="10CB5087" w14:textId="77777777" w:rsidR="00806461" w:rsidRPr="00256982" w:rsidRDefault="00806461" w:rsidP="00806461">
      <w:pPr>
        <w:pStyle w:val="BodyText"/>
      </w:pPr>
      <w:r w:rsidRPr="00256982">
        <w:t>IPPU sector emissions in 2017 were 1,388.7 kt CO</w:t>
      </w:r>
      <w:r w:rsidRPr="00256982">
        <w:rPr>
          <w:vertAlign w:val="subscript"/>
        </w:rPr>
        <w:t>2</w:t>
      </w:r>
      <w:r w:rsidRPr="00256982">
        <w:t>-e (38.8 per cent) higher than emissions in 1990 (3,579.9 kt CO</w:t>
      </w:r>
      <w:r w:rsidRPr="00256982">
        <w:rPr>
          <w:vertAlign w:val="subscript"/>
        </w:rPr>
        <w:t>2</w:t>
      </w:r>
      <w:r w:rsidRPr="00256982">
        <w:t xml:space="preserve">-e). This increase was mainly driven by increasing emissions from the </w:t>
      </w:r>
      <w:r w:rsidRPr="00256982">
        <w:rPr>
          <w:i/>
        </w:rPr>
        <w:t xml:space="preserve">Product uses as substitutes for ODS </w:t>
      </w:r>
      <w:r w:rsidRPr="00256982">
        <w:t xml:space="preserve">category, due to the introduction of HFCs to replace ozone-depleting substances (ODS) in refrigeration and air conditioning and to the increased use of household and commercial air conditioning. Carbon dioxide emissions have also increased due to increased production of cement, metals and ammonia but at a slower rate. There has been a substantial reduction in emissions of PFCs due to improved management of anode effects in the </w:t>
      </w:r>
      <w:r w:rsidRPr="00256982">
        <w:rPr>
          <w:i/>
        </w:rPr>
        <w:t>Aluminium production</w:t>
      </w:r>
      <w:r w:rsidRPr="00256982">
        <w:t xml:space="preserve"> category and some reduction in emissions of N</w:t>
      </w:r>
      <w:r w:rsidRPr="00256982">
        <w:rPr>
          <w:vertAlign w:val="subscript"/>
        </w:rPr>
        <w:t>2</w:t>
      </w:r>
      <w:r w:rsidRPr="00256982">
        <w:t xml:space="preserve">O used for medical applications in the </w:t>
      </w:r>
      <w:r w:rsidRPr="00256982">
        <w:rPr>
          <w:i/>
        </w:rPr>
        <w:t>Other product manufacture and use</w:t>
      </w:r>
      <w:r w:rsidRPr="00256982">
        <w:t xml:space="preserve"> category. The trends are shown in figures 4.1.1 and 4.1.2. </w:t>
      </w:r>
    </w:p>
    <w:p w14:paraId="62DCFEBE" w14:textId="77777777" w:rsidR="00806461" w:rsidRPr="00256982" w:rsidRDefault="00806461" w:rsidP="00806461">
      <w:pPr>
        <w:pStyle w:val="Heading5"/>
      </w:pPr>
      <w:r w:rsidRPr="00256982">
        <w:t>2016–2017</w:t>
      </w:r>
    </w:p>
    <w:p w14:paraId="5325A599" w14:textId="77777777" w:rsidR="00806461" w:rsidRPr="00256982" w:rsidRDefault="00806461" w:rsidP="00806461">
      <w:pPr>
        <w:pStyle w:val="BodyText"/>
      </w:pPr>
      <w:r w:rsidRPr="00256982">
        <w:t>IPPU sector emissions in 2017 were 18.6 kt CO</w:t>
      </w:r>
      <w:r w:rsidRPr="00256982">
        <w:rPr>
          <w:vertAlign w:val="subscript"/>
        </w:rPr>
        <w:t>2</w:t>
      </w:r>
      <w:r w:rsidRPr="00256982">
        <w:t xml:space="preserve">-e (0.4 per cent) lower than emissions in 2016. This change was the net result of an increase in emissions from the </w:t>
      </w:r>
      <w:r w:rsidRPr="00256982">
        <w:rPr>
          <w:i/>
        </w:rPr>
        <w:t>Metal industry</w:t>
      </w:r>
      <w:r w:rsidRPr="00256982">
        <w:t xml:space="preserve"> category (64.7 kt CO</w:t>
      </w:r>
      <w:r w:rsidRPr="00256982">
        <w:rPr>
          <w:vertAlign w:val="subscript"/>
        </w:rPr>
        <w:t>2</w:t>
      </w:r>
      <w:r w:rsidRPr="00256982">
        <w:t xml:space="preserve">-e or 2.8 per cent) offset by decreases in the </w:t>
      </w:r>
      <w:r w:rsidRPr="00256982">
        <w:rPr>
          <w:i/>
        </w:rPr>
        <w:t>Mineral industry</w:t>
      </w:r>
      <w:r w:rsidRPr="00256982">
        <w:t xml:space="preserve"> (57.1 kt CO</w:t>
      </w:r>
      <w:r w:rsidRPr="00256982">
        <w:rPr>
          <w:vertAlign w:val="subscript"/>
        </w:rPr>
        <w:t>2</w:t>
      </w:r>
      <w:r w:rsidRPr="00256982">
        <w:t xml:space="preserve">-e or 7.9 per cent) and other categories, all driven by varying production rates. </w:t>
      </w:r>
    </w:p>
    <w:p w14:paraId="664ED1F8" w14:textId="77777777" w:rsidR="00806461" w:rsidRPr="00256982" w:rsidRDefault="00806461" w:rsidP="00806461">
      <w:pPr>
        <w:pStyle w:val="Table"/>
      </w:pPr>
      <w:bookmarkStart w:id="397" w:name="_Toc414531402"/>
      <w:bookmarkStart w:id="398" w:name="_Toc451176065"/>
      <w:bookmarkStart w:id="399" w:name="_Toc5269455"/>
      <w:r w:rsidRPr="00256982">
        <w:t xml:space="preserve">Table 4.1.1 </w:t>
      </w:r>
      <w:r w:rsidRPr="00256982">
        <w:tab/>
        <w:t>New Zealand’s greenhouse gas emissions for the IPPU sector</w:t>
      </w:r>
      <w:r w:rsidRPr="00256982">
        <w:br/>
        <w:t>by source category</w:t>
      </w:r>
      <w:bookmarkEnd w:id="397"/>
      <w:r w:rsidRPr="00256982">
        <w:t xml:space="preserve"> in 1990 and </w:t>
      </w:r>
      <w:bookmarkEnd w:id="398"/>
      <w:r w:rsidRPr="00256982">
        <w:t>2017</w:t>
      </w:r>
      <w:bookmarkEnd w:id="399"/>
    </w:p>
    <w:tbl>
      <w:tblPr>
        <w:tblW w:w="8562" w:type="dxa"/>
        <w:tblInd w:w="108" w:type="dxa"/>
        <w:tblBorders>
          <w:top w:val="single" w:sz="4" w:space="0" w:color="365F91"/>
          <w:bottom w:val="single" w:sz="4" w:space="0" w:color="365F91"/>
          <w:insideH w:val="single" w:sz="4" w:space="0" w:color="365F91"/>
        </w:tblBorders>
        <w:tblLayout w:type="fixed"/>
        <w:tblLook w:val="04A0" w:firstRow="1" w:lastRow="0" w:firstColumn="1" w:lastColumn="0" w:noHBand="0" w:noVBand="1"/>
      </w:tblPr>
      <w:tblGrid>
        <w:gridCol w:w="2334"/>
        <w:gridCol w:w="911"/>
        <w:gridCol w:w="913"/>
        <w:gridCol w:w="1216"/>
        <w:gridCol w:w="1366"/>
        <w:gridCol w:w="914"/>
        <w:gridCol w:w="908"/>
      </w:tblGrid>
      <w:tr w:rsidR="00806461" w:rsidRPr="00256982" w14:paraId="78B35FDD" w14:textId="77777777" w:rsidTr="00E01CCF">
        <w:tc>
          <w:tcPr>
            <w:tcW w:w="1363" w:type="pct"/>
            <w:tcBorders>
              <w:top w:val="single" w:sz="4" w:space="0" w:color="365F91"/>
              <w:left w:val="nil"/>
              <w:bottom w:val="single" w:sz="4" w:space="0" w:color="365F91"/>
              <w:right w:val="nil"/>
            </w:tcBorders>
            <w:shd w:val="clear" w:color="auto" w:fill="365F91"/>
            <w:vAlign w:val="bottom"/>
          </w:tcPr>
          <w:p w14:paraId="78DA0CCE" w14:textId="77777777" w:rsidR="00806461" w:rsidRPr="00256982" w:rsidRDefault="00806461">
            <w:pPr>
              <w:pStyle w:val="TableTextBold"/>
              <w:jc w:val="center"/>
              <w:rPr>
                <w:noProof w:val="0"/>
                <w:color w:val="FFFFFF"/>
              </w:rPr>
            </w:pPr>
          </w:p>
        </w:tc>
        <w:tc>
          <w:tcPr>
            <w:tcW w:w="1065" w:type="pct"/>
            <w:gridSpan w:val="2"/>
            <w:tcBorders>
              <w:top w:val="single" w:sz="4" w:space="0" w:color="365F91"/>
              <w:left w:val="nil"/>
              <w:bottom w:val="single" w:sz="4" w:space="0" w:color="365F91"/>
              <w:right w:val="nil"/>
            </w:tcBorders>
            <w:shd w:val="clear" w:color="auto" w:fill="365F91"/>
            <w:vAlign w:val="bottom"/>
            <w:hideMark/>
          </w:tcPr>
          <w:p w14:paraId="602A2263" w14:textId="77777777" w:rsidR="00806461" w:rsidRPr="00256982" w:rsidRDefault="00806461">
            <w:pPr>
              <w:pStyle w:val="TableTextBold"/>
              <w:jc w:val="center"/>
              <w:rPr>
                <w:noProof w:val="0"/>
                <w:color w:val="FFFFFF"/>
              </w:rPr>
            </w:pPr>
            <w:r w:rsidRPr="00256982">
              <w:rPr>
                <w:noProof w:val="0"/>
                <w:color w:val="FFFFFF"/>
              </w:rPr>
              <w:t xml:space="preserve">Emissions </w:t>
            </w:r>
            <w:r w:rsidRPr="00256982">
              <w:rPr>
                <w:noProof w:val="0"/>
                <w:color w:val="FFFFFF"/>
              </w:rPr>
              <w:br/>
              <w:t>(kt CO</w:t>
            </w:r>
            <w:r w:rsidRPr="00256982">
              <w:rPr>
                <w:noProof w:val="0"/>
                <w:color w:val="FFFFFF"/>
                <w:vertAlign w:val="subscript"/>
              </w:rPr>
              <w:t>2</w:t>
            </w:r>
            <w:r w:rsidRPr="00256982">
              <w:rPr>
                <w:noProof w:val="0"/>
                <w:color w:val="FFFFFF"/>
              </w:rPr>
              <w:t>-e)</w:t>
            </w:r>
          </w:p>
        </w:tc>
        <w:tc>
          <w:tcPr>
            <w:tcW w:w="710" w:type="pct"/>
            <w:tcBorders>
              <w:top w:val="single" w:sz="4" w:space="0" w:color="365F91"/>
              <w:left w:val="nil"/>
              <w:bottom w:val="single" w:sz="4" w:space="0" w:color="365F91"/>
              <w:right w:val="nil"/>
            </w:tcBorders>
            <w:shd w:val="clear" w:color="auto" w:fill="365F91"/>
            <w:vAlign w:val="bottom"/>
            <w:hideMark/>
          </w:tcPr>
          <w:p w14:paraId="4B760B01" w14:textId="77777777" w:rsidR="00806461" w:rsidRPr="00256982" w:rsidRDefault="00806461">
            <w:pPr>
              <w:pStyle w:val="TableTextBold"/>
              <w:jc w:val="center"/>
              <w:rPr>
                <w:noProof w:val="0"/>
                <w:color w:val="FFFFFF"/>
              </w:rPr>
            </w:pPr>
            <w:r w:rsidRPr="00256982">
              <w:rPr>
                <w:noProof w:val="0"/>
                <w:color w:val="FFFFFF"/>
              </w:rPr>
              <w:t>Difference (kt CO</w:t>
            </w:r>
            <w:r w:rsidRPr="00256982">
              <w:rPr>
                <w:noProof w:val="0"/>
                <w:color w:val="FFFFFF"/>
                <w:vertAlign w:val="subscript"/>
              </w:rPr>
              <w:t>2</w:t>
            </w:r>
            <w:r w:rsidRPr="00256982">
              <w:rPr>
                <w:noProof w:val="0"/>
                <w:color w:val="FFFFFF"/>
              </w:rPr>
              <w:t>-e)</w:t>
            </w:r>
          </w:p>
        </w:tc>
        <w:tc>
          <w:tcPr>
            <w:tcW w:w="798" w:type="pct"/>
            <w:tcBorders>
              <w:top w:val="single" w:sz="4" w:space="0" w:color="365F91"/>
              <w:left w:val="nil"/>
              <w:bottom w:val="single" w:sz="4" w:space="0" w:color="365F91"/>
              <w:right w:val="nil"/>
            </w:tcBorders>
            <w:shd w:val="clear" w:color="auto" w:fill="365F91"/>
            <w:vAlign w:val="bottom"/>
            <w:hideMark/>
          </w:tcPr>
          <w:p w14:paraId="0A90F371" w14:textId="77777777" w:rsidR="00806461" w:rsidRPr="00256982" w:rsidRDefault="00806461">
            <w:pPr>
              <w:pStyle w:val="TableTextBold"/>
              <w:jc w:val="center"/>
              <w:rPr>
                <w:noProof w:val="0"/>
                <w:color w:val="FFFFFF"/>
              </w:rPr>
            </w:pPr>
            <w:r w:rsidRPr="00256982">
              <w:rPr>
                <w:noProof w:val="0"/>
                <w:color w:val="FFFFFF"/>
              </w:rPr>
              <w:t>Change (percentage)</w:t>
            </w:r>
          </w:p>
        </w:tc>
        <w:tc>
          <w:tcPr>
            <w:tcW w:w="1064" w:type="pct"/>
            <w:gridSpan w:val="2"/>
            <w:tcBorders>
              <w:top w:val="single" w:sz="4" w:space="0" w:color="365F91"/>
              <w:left w:val="nil"/>
              <w:bottom w:val="single" w:sz="4" w:space="0" w:color="365F91"/>
              <w:right w:val="nil"/>
            </w:tcBorders>
            <w:shd w:val="clear" w:color="auto" w:fill="365F91"/>
            <w:vAlign w:val="bottom"/>
            <w:hideMark/>
          </w:tcPr>
          <w:p w14:paraId="75D7F3DD" w14:textId="77777777" w:rsidR="00806461" w:rsidRPr="00256982" w:rsidRDefault="00806461">
            <w:pPr>
              <w:pStyle w:val="TableTextBold"/>
              <w:jc w:val="center"/>
              <w:rPr>
                <w:noProof w:val="0"/>
                <w:color w:val="FFFFFF"/>
              </w:rPr>
            </w:pPr>
            <w:r w:rsidRPr="00256982">
              <w:rPr>
                <w:noProof w:val="0"/>
                <w:color w:val="FFFFFF"/>
              </w:rPr>
              <w:t>Share (percentage)</w:t>
            </w:r>
          </w:p>
        </w:tc>
      </w:tr>
      <w:tr w:rsidR="00806461" w:rsidRPr="00256982" w14:paraId="77D17D5A" w14:textId="77777777" w:rsidTr="00E01CCF">
        <w:tc>
          <w:tcPr>
            <w:tcW w:w="1363" w:type="pct"/>
            <w:tcBorders>
              <w:top w:val="single" w:sz="4" w:space="0" w:color="365F91"/>
              <w:left w:val="nil"/>
              <w:bottom w:val="single" w:sz="4" w:space="0" w:color="365F91"/>
              <w:right w:val="nil"/>
            </w:tcBorders>
            <w:shd w:val="clear" w:color="auto" w:fill="365F91"/>
            <w:vAlign w:val="bottom"/>
            <w:hideMark/>
          </w:tcPr>
          <w:p w14:paraId="1471A7C9" w14:textId="77777777" w:rsidR="00806461" w:rsidRPr="00256982" w:rsidRDefault="00806461">
            <w:pPr>
              <w:pStyle w:val="TableTextBold"/>
              <w:rPr>
                <w:noProof w:val="0"/>
                <w:color w:val="FFFFFF"/>
              </w:rPr>
            </w:pPr>
            <w:r w:rsidRPr="00256982">
              <w:rPr>
                <w:noProof w:val="0"/>
                <w:color w:val="FFFFFF"/>
              </w:rPr>
              <w:t>Source category</w:t>
            </w:r>
          </w:p>
        </w:tc>
        <w:tc>
          <w:tcPr>
            <w:tcW w:w="532" w:type="pct"/>
            <w:tcBorders>
              <w:top w:val="single" w:sz="4" w:space="0" w:color="365F91"/>
              <w:left w:val="nil"/>
              <w:bottom w:val="single" w:sz="4" w:space="0" w:color="365F91"/>
              <w:right w:val="nil"/>
            </w:tcBorders>
            <w:shd w:val="clear" w:color="auto" w:fill="365F91"/>
            <w:vAlign w:val="bottom"/>
            <w:hideMark/>
          </w:tcPr>
          <w:p w14:paraId="673E7F4B" w14:textId="77777777" w:rsidR="00806461" w:rsidRPr="00256982" w:rsidRDefault="00806461">
            <w:pPr>
              <w:pStyle w:val="TableTextBold"/>
              <w:jc w:val="right"/>
              <w:rPr>
                <w:noProof w:val="0"/>
                <w:color w:val="FFFFFF"/>
              </w:rPr>
            </w:pPr>
            <w:r w:rsidRPr="00256982">
              <w:rPr>
                <w:noProof w:val="0"/>
                <w:color w:val="FFFFFF"/>
              </w:rPr>
              <w:t>1990</w:t>
            </w:r>
          </w:p>
        </w:tc>
        <w:tc>
          <w:tcPr>
            <w:tcW w:w="533" w:type="pct"/>
            <w:tcBorders>
              <w:top w:val="single" w:sz="4" w:space="0" w:color="365F91"/>
              <w:left w:val="nil"/>
              <w:bottom w:val="single" w:sz="4" w:space="0" w:color="365F91"/>
              <w:right w:val="nil"/>
            </w:tcBorders>
            <w:shd w:val="clear" w:color="auto" w:fill="365F91"/>
            <w:vAlign w:val="bottom"/>
            <w:hideMark/>
          </w:tcPr>
          <w:p w14:paraId="63A63FB4" w14:textId="77777777" w:rsidR="00806461" w:rsidRPr="00256982" w:rsidRDefault="00806461">
            <w:pPr>
              <w:pStyle w:val="TableTextBold"/>
              <w:jc w:val="right"/>
              <w:rPr>
                <w:noProof w:val="0"/>
                <w:color w:val="FFFFFF"/>
              </w:rPr>
            </w:pPr>
            <w:r w:rsidRPr="00256982">
              <w:rPr>
                <w:noProof w:val="0"/>
                <w:color w:val="FFFFFF"/>
              </w:rPr>
              <w:t>2017</w:t>
            </w:r>
          </w:p>
        </w:tc>
        <w:tc>
          <w:tcPr>
            <w:tcW w:w="710" w:type="pct"/>
            <w:tcBorders>
              <w:top w:val="single" w:sz="4" w:space="0" w:color="365F91"/>
              <w:left w:val="nil"/>
              <w:bottom w:val="single" w:sz="4" w:space="0" w:color="365F91"/>
              <w:right w:val="nil"/>
            </w:tcBorders>
            <w:shd w:val="clear" w:color="auto" w:fill="365F91"/>
            <w:vAlign w:val="bottom"/>
            <w:hideMark/>
          </w:tcPr>
          <w:p w14:paraId="7BE6C5F6" w14:textId="77777777" w:rsidR="00806461" w:rsidRPr="00256982" w:rsidRDefault="00806461">
            <w:pPr>
              <w:pStyle w:val="TableTextBold"/>
              <w:jc w:val="right"/>
              <w:rPr>
                <w:noProof w:val="0"/>
                <w:color w:val="FFFFFF"/>
              </w:rPr>
            </w:pPr>
            <w:r w:rsidRPr="00256982">
              <w:rPr>
                <w:noProof w:val="0"/>
                <w:color w:val="FFFFFF"/>
              </w:rPr>
              <w:t>1990–2017</w:t>
            </w:r>
          </w:p>
        </w:tc>
        <w:tc>
          <w:tcPr>
            <w:tcW w:w="798" w:type="pct"/>
            <w:tcBorders>
              <w:top w:val="single" w:sz="4" w:space="0" w:color="365F91"/>
              <w:left w:val="nil"/>
              <w:bottom w:val="single" w:sz="4" w:space="0" w:color="365F91"/>
              <w:right w:val="nil"/>
            </w:tcBorders>
            <w:shd w:val="clear" w:color="auto" w:fill="365F91"/>
            <w:vAlign w:val="bottom"/>
            <w:hideMark/>
          </w:tcPr>
          <w:p w14:paraId="5F456BF2" w14:textId="77777777" w:rsidR="00806461" w:rsidRPr="00256982" w:rsidRDefault="00806461">
            <w:pPr>
              <w:pStyle w:val="TableTextBold"/>
              <w:jc w:val="right"/>
              <w:rPr>
                <w:noProof w:val="0"/>
                <w:color w:val="FFFFFF"/>
              </w:rPr>
            </w:pPr>
            <w:r w:rsidRPr="00256982">
              <w:rPr>
                <w:noProof w:val="0"/>
                <w:color w:val="FFFFFF"/>
              </w:rPr>
              <w:t>1990–2017</w:t>
            </w:r>
          </w:p>
        </w:tc>
        <w:tc>
          <w:tcPr>
            <w:tcW w:w="534" w:type="pct"/>
            <w:tcBorders>
              <w:top w:val="single" w:sz="4" w:space="0" w:color="365F91"/>
              <w:left w:val="nil"/>
              <w:bottom w:val="single" w:sz="4" w:space="0" w:color="365F91"/>
              <w:right w:val="nil"/>
            </w:tcBorders>
            <w:shd w:val="clear" w:color="auto" w:fill="365F91"/>
            <w:vAlign w:val="bottom"/>
            <w:hideMark/>
          </w:tcPr>
          <w:p w14:paraId="054B0D3E" w14:textId="77777777" w:rsidR="00806461" w:rsidRPr="00256982" w:rsidRDefault="00806461">
            <w:pPr>
              <w:pStyle w:val="TableTextBold"/>
              <w:jc w:val="right"/>
              <w:rPr>
                <w:noProof w:val="0"/>
                <w:color w:val="FFFFFF"/>
              </w:rPr>
            </w:pPr>
            <w:r w:rsidRPr="00256982">
              <w:rPr>
                <w:noProof w:val="0"/>
                <w:color w:val="FFFFFF"/>
              </w:rPr>
              <w:t>1990</w:t>
            </w:r>
          </w:p>
        </w:tc>
        <w:tc>
          <w:tcPr>
            <w:tcW w:w="530" w:type="pct"/>
            <w:tcBorders>
              <w:top w:val="single" w:sz="4" w:space="0" w:color="365F91"/>
              <w:left w:val="nil"/>
              <w:bottom w:val="single" w:sz="4" w:space="0" w:color="365F91"/>
              <w:right w:val="nil"/>
            </w:tcBorders>
            <w:shd w:val="clear" w:color="auto" w:fill="365F91"/>
            <w:vAlign w:val="bottom"/>
            <w:hideMark/>
          </w:tcPr>
          <w:p w14:paraId="2B47AD56" w14:textId="77777777" w:rsidR="00806461" w:rsidRPr="00256982" w:rsidRDefault="00806461">
            <w:pPr>
              <w:pStyle w:val="TableTextBold"/>
              <w:jc w:val="right"/>
              <w:rPr>
                <w:noProof w:val="0"/>
                <w:color w:val="FFFFFF"/>
              </w:rPr>
            </w:pPr>
            <w:r w:rsidRPr="00256982">
              <w:rPr>
                <w:noProof w:val="0"/>
                <w:color w:val="FFFFFF"/>
              </w:rPr>
              <w:t>2017</w:t>
            </w:r>
          </w:p>
        </w:tc>
      </w:tr>
      <w:tr w:rsidR="00806461" w:rsidRPr="00256982" w14:paraId="7008A658" w14:textId="77777777" w:rsidTr="00E01CCF">
        <w:trPr>
          <w:trHeight w:val="250"/>
        </w:trPr>
        <w:tc>
          <w:tcPr>
            <w:tcW w:w="1363" w:type="pct"/>
            <w:tcBorders>
              <w:top w:val="single" w:sz="4" w:space="0" w:color="365F91"/>
              <w:left w:val="nil"/>
              <w:bottom w:val="single" w:sz="4" w:space="0" w:color="365F91"/>
              <w:right w:val="nil"/>
            </w:tcBorders>
            <w:hideMark/>
          </w:tcPr>
          <w:p w14:paraId="3AC2DFFB" w14:textId="77777777" w:rsidR="00806461" w:rsidRPr="00256982" w:rsidRDefault="00806461">
            <w:pPr>
              <w:pStyle w:val="TableText"/>
            </w:pPr>
            <w:r w:rsidRPr="00256982">
              <w:t>Mineral industry (2.A)</w:t>
            </w:r>
          </w:p>
        </w:tc>
        <w:tc>
          <w:tcPr>
            <w:tcW w:w="532" w:type="pct"/>
            <w:tcBorders>
              <w:top w:val="single" w:sz="4" w:space="0" w:color="365F91"/>
              <w:left w:val="nil"/>
              <w:bottom w:val="single" w:sz="4" w:space="0" w:color="365F91"/>
              <w:right w:val="nil"/>
            </w:tcBorders>
            <w:hideMark/>
          </w:tcPr>
          <w:p w14:paraId="61176471" w14:textId="77777777" w:rsidR="00806461" w:rsidRPr="00256982" w:rsidRDefault="00806461">
            <w:pPr>
              <w:pStyle w:val="TableText"/>
              <w:jc w:val="right"/>
            </w:pPr>
            <w:r w:rsidRPr="00256982">
              <w:t>561.9</w:t>
            </w:r>
          </w:p>
        </w:tc>
        <w:tc>
          <w:tcPr>
            <w:tcW w:w="533" w:type="pct"/>
            <w:tcBorders>
              <w:top w:val="single" w:sz="4" w:space="0" w:color="365F91"/>
              <w:left w:val="nil"/>
              <w:bottom w:val="single" w:sz="4" w:space="0" w:color="365F91"/>
              <w:right w:val="nil"/>
            </w:tcBorders>
            <w:hideMark/>
          </w:tcPr>
          <w:p w14:paraId="59752F19" w14:textId="77777777" w:rsidR="00806461" w:rsidRPr="00256982" w:rsidRDefault="00806461">
            <w:pPr>
              <w:pStyle w:val="TableText"/>
              <w:jc w:val="right"/>
            </w:pPr>
            <w:r w:rsidRPr="00256982">
              <w:t>669.7</w:t>
            </w:r>
          </w:p>
        </w:tc>
        <w:tc>
          <w:tcPr>
            <w:tcW w:w="710" w:type="pct"/>
            <w:tcBorders>
              <w:top w:val="single" w:sz="4" w:space="0" w:color="365F91"/>
              <w:left w:val="nil"/>
              <w:bottom w:val="single" w:sz="4" w:space="0" w:color="365F91"/>
              <w:right w:val="nil"/>
            </w:tcBorders>
            <w:hideMark/>
          </w:tcPr>
          <w:p w14:paraId="7F9CA912" w14:textId="77777777" w:rsidR="00806461" w:rsidRPr="00256982" w:rsidRDefault="00806461">
            <w:pPr>
              <w:pStyle w:val="TableText"/>
              <w:jc w:val="right"/>
            </w:pPr>
            <w:r w:rsidRPr="00256982">
              <w:t>107.8</w:t>
            </w:r>
          </w:p>
        </w:tc>
        <w:tc>
          <w:tcPr>
            <w:tcW w:w="798" w:type="pct"/>
            <w:tcBorders>
              <w:top w:val="single" w:sz="4" w:space="0" w:color="365F91"/>
              <w:left w:val="nil"/>
              <w:bottom w:val="single" w:sz="4" w:space="0" w:color="365F91"/>
              <w:right w:val="nil"/>
            </w:tcBorders>
            <w:hideMark/>
          </w:tcPr>
          <w:p w14:paraId="380F1352" w14:textId="77777777" w:rsidR="00806461" w:rsidRPr="00256982" w:rsidRDefault="00806461">
            <w:pPr>
              <w:pStyle w:val="TableText"/>
              <w:jc w:val="right"/>
            </w:pPr>
            <w:r w:rsidRPr="00256982">
              <w:t>19.2</w:t>
            </w:r>
          </w:p>
        </w:tc>
        <w:tc>
          <w:tcPr>
            <w:tcW w:w="534" w:type="pct"/>
            <w:tcBorders>
              <w:top w:val="single" w:sz="4" w:space="0" w:color="365F91"/>
              <w:left w:val="nil"/>
              <w:bottom w:val="single" w:sz="4" w:space="0" w:color="365F91"/>
              <w:right w:val="nil"/>
            </w:tcBorders>
            <w:hideMark/>
          </w:tcPr>
          <w:p w14:paraId="35650D54" w14:textId="77777777" w:rsidR="00806461" w:rsidRPr="00256982" w:rsidRDefault="00806461">
            <w:pPr>
              <w:pStyle w:val="TableText"/>
              <w:jc w:val="right"/>
            </w:pPr>
            <w:r w:rsidRPr="00256982">
              <w:t>15.7</w:t>
            </w:r>
          </w:p>
        </w:tc>
        <w:tc>
          <w:tcPr>
            <w:tcW w:w="530" w:type="pct"/>
            <w:tcBorders>
              <w:top w:val="single" w:sz="4" w:space="0" w:color="365F91"/>
              <w:left w:val="nil"/>
              <w:bottom w:val="single" w:sz="4" w:space="0" w:color="365F91"/>
              <w:right w:val="nil"/>
            </w:tcBorders>
            <w:hideMark/>
          </w:tcPr>
          <w:p w14:paraId="00BD0F82" w14:textId="77777777" w:rsidR="00806461" w:rsidRPr="00256982" w:rsidRDefault="00806461">
            <w:pPr>
              <w:pStyle w:val="TableText"/>
              <w:jc w:val="right"/>
            </w:pPr>
            <w:r w:rsidRPr="00256982">
              <w:t>13.5</w:t>
            </w:r>
          </w:p>
        </w:tc>
      </w:tr>
      <w:tr w:rsidR="00806461" w:rsidRPr="00256982" w14:paraId="7D0469A8" w14:textId="77777777" w:rsidTr="00E01CCF">
        <w:tc>
          <w:tcPr>
            <w:tcW w:w="1363" w:type="pct"/>
            <w:tcBorders>
              <w:top w:val="single" w:sz="4" w:space="0" w:color="365F91"/>
              <w:left w:val="nil"/>
              <w:bottom w:val="single" w:sz="4" w:space="0" w:color="365F91"/>
              <w:right w:val="nil"/>
            </w:tcBorders>
            <w:hideMark/>
          </w:tcPr>
          <w:p w14:paraId="16E2800C" w14:textId="77777777" w:rsidR="00806461" w:rsidRPr="00256982" w:rsidRDefault="00806461">
            <w:pPr>
              <w:pStyle w:val="TableText"/>
            </w:pPr>
            <w:r w:rsidRPr="00256982">
              <w:t>Chemical industry (2.B)</w:t>
            </w:r>
          </w:p>
        </w:tc>
        <w:tc>
          <w:tcPr>
            <w:tcW w:w="532" w:type="pct"/>
            <w:tcBorders>
              <w:top w:val="single" w:sz="4" w:space="0" w:color="365F91"/>
              <w:left w:val="nil"/>
              <w:bottom w:val="single" w:sz="4" w:space="0" w:color="365F91"/>
              <w:right w:val="nil"/>
            </w:tcBorders>
            <w:hideMark/>
          </w:tcPr>
          <w:p w14:paraId="0A5717F7" w14:textId="77777777" w:rsidR="00806461" w:rsidRPr="00256982" w:rsidRDefault="00806461">
            <w:pPr>
              <w:pStyle w:val="TableText"/>
              <w:jc w:val="right"/>
            </w:pPr>
            <w:r w:rsidRPr="00256982">
              <w:t>203.0</w:t>
            </w:r>
          </w:p>
        </w:tc>
        <w:tc>
          <w:tcPr>
            <w:tcW w:w="533" w:type="pct"/>
            <w:tcBorders>
              <w:top w:val="single" w:sz="4" w:space="0" w:color="365F91"/>
              <w:left w:val="nil"/>
              <w:bottom w:val="single" w:sz="4" w:space="0" w:color="365F91"/>
              <w:right w:val="nil"/>
            </w:tcBorders>
            <w:hideMark/>
          </w:tcPr>
          <w:p w14:paraId="4A3F1CC5" w14:textId="77777777" w:rsidR="00806461" w:rsidRPr="00256982" w:rsidRDefault="00806461">
            <w:pPr>
              <w:pStyle w:val="TableText"/>
              <w:jc w:val="right"/>
            </w:pPr>
            <w:r w:rsidRPr="00256982">
              <w:t>305.1</w:t>
            </w:r>
          </w:p>
        </w:tc>
        <w:tc>
          <w:tcPr>
            <w:tcW w:w="710" w:type="pct"/>
            <w:tcBorders>
              <w:top w:val="single" w:sz="4" w:space="0" w:color="365F91"/>
              <w:left w:val="nil"/>
              <w:bottom w:val="single" w:sz="4" w:space="0" w:color="365F91"/>
              <w:right w:val="nil"/>
            </w:tcBorders>
            <w:hideMark/>
          </w:tcPr>
          <w:p w14:paraId="723F9AB0" w14:textId="77777777" w:rsidR="00806461" w:rsidRPr="00256982" w:rsidRDefault="00806461">
            <w:pPr>
              <w:pStyle w:val="TableText"/>
              <w:jc w:val="right"/>
            </w:pPr>
            <w:r w:rsidRPr="00256982">
              <w:t>102.1</w:t>
            </w:r>
          </w:p>
        </w:tc>
        <w:tc>
          <w:tcPr>
            <w:tcW w:w="798" w:type="pct"/>
            <w:tcBorders>
              <w:top w:val="single" w:sz="4" w:space="0" w:color="365F91"/>
              <w:left w:val="nil"/>
              <w:bottom w:val="single" w:sz="4" w:space="0" w:color="365F91"/>
              <w:right w:val="nil"/>
            </w:tcBorders>
            <w:hideMark/>
          </w:tcPr>
          <w:p w14:paraId="0D1E4C13" w14:textId="77777777" w:rsidR="00806461" w:rsidRPr="00256982" w:rsidRDefault="00806461">
            <w:pPr>
              <w:pStyle w:val="TableText"/>
              <w:jc w:val="right"/>
            </w:pPr>
            <w:r w:rsidRPr="00256982">
              <w:t>50.3</w:t>
            </w:r>
          </w:p>
        </w:tc>
        <w:tc>
          <w:tcPr>
            <w:tcW w:w="534" w:type="pct"/>
            <w:tcBorders>
              <w:top w:val="single" w:sz="4" w:space="0" w:color="365F91"/>
              <w:left w:val="nil"/>
              <w:bottom w:val="single" w:sz="4" w:space="0" w:color="365F91"/>
              <w:right w:val="nil"/>
            </w:tcBorders>
            <w:hideMark/>
          </w:tcPr>
          <w:p w14:paraId="5E592B60" w14:textId="77777777" w:rsidR="00806461" w:rsidRPr="00256982" w:rsidRDefault="00806461">
            <w:pPr>
              <w:pStyle w:val="TableText"/>
              <w:jc w:val="right"/>
            </w:pPr>
            <w:r w:rsidRPr="00256982">
              <w:t>5.7</w:t>
            </w:r>
          </w:p>
        </w:tc>
        <w:tc>
          <w:tcPr>
            <w:tcW w:w="530" w:type="pct"/>
            <w:tcBorders>
              <w:top w:val="single" w:sz="4" w:space="0" w:color="365F91"/>
              <w:left w:val="nil"/>
              <w:bottom w:val="single" w:sz="4" w:space="0" w:color="365F91"/>
              <w:right w:val="nil"/>
            </w:tcBorders>
            <w:hideMark/>
          </w:tcPr>
          <w:p w14:paraId="1DE1DDBD" w14:textId="77777777" w:rsidR="00806461" w:rsidRPr="00256982" w:rsidRDefault="00806461">
            <w:pPr>
              <w:pStyle w:val="TableText"/>
              <w:jc w:val="right"/>
            </w:pPr>
            <w:r w:rsidRPr="00256982">
              <w:t>6.1</w:t>
            </w:r>
          </w:p>
        </w:tc>
      </w:tr>
      <w:tr w:rsidR="00806461" w:rsidRPr="00256982" w14:paraId="2126D5DF" w14:textId="77777777" w:rsidTr="00E01CCF">
        <w:tc>
          <w:tcPr>
            <w:tcW w:w="1363" w:type="pct"/>
            <w:tcBorders>
              <w:top w:val="single" w:sz="4" w:space="0" w:color="365F91"/>
              <w:left w:val="nil"/>
              <w:bottom w:val="single" w:sz="4" w:space="0" w:color="365F91"/>
              <w:right w:val="nil"/>
            </w:tcBorders>
            <w:hideMark/>
          </w:tcPr>
          <w:p w14:paraId="2D56559B" w14:textId="77777777" w:rsidR="00806461" w:rsidRPr="00256982" w:rsidRDefault="00806461">
            <w:pPr>
              <w:pStyle w:val="TableText"/>
            </w:pPr>
            <w:r w:rsidRPr="00256982">
              <w:t>Metal industry (2.C)</w:t>
            </w:r>
          </w:p>
        </w:tc>
        <w:tc>
          <w:tcPr>
            <w:tcW w:w="532" w:type="pct"/>
            <w:tcBorders>
              <w:top w:val="single" w:sz="4" w:space="0" w:color="365F91"/>
              <w:left w:val="nil"/>
              <w:bottom w:val="single" w:sz="4" w:space="0" w:color="365F91"/>
              <w:right w:val="nil"/>
            </w:tcBorders>
            <w:hideMark/>
          </w:tcPr>
          <w:p w14:paraId="641EF3A6" w14:textId="77777777" w:rsidR="00806461" w:rsidRPr="00256982" w:rsidRDefault="00806461">
            <w:pPr>
              <w:pStyle w:val="TableText"/>
              <w:jc w:val="right"/>
            </w:pPr>
            <w:r w:rsidRPr="00256982">
              <w:t>2,670.2</w:t>
            </w:r>
          </w:p>
        </w:tc>
        <w:tc>
          <w:tcPr>
            <w:tcW w:w="533" w:type="pct"/>
            <w:tcBorders>
              <w:top w:val="single" w:sz="4" w:space="0" w:color="365F91"/>
              <w:left w:val="nil"/>
              <w:bottom w:val="single" w:sz="4" w:space="0" w:color="365F91"/>
              <w:right w:val="nil"/>
            </w:tcBorders>
            <w:hideMark/>
          </w:tcPr>
          <w:p w14:paraId="12760711" w14:textId="77777777" w:rsidR="00806461" w:rsidRPr="00256982" w:rsidRDefault="00806461">
            <w:pPr>
              <w:pStyle w:val="TableText"/>
              <w:jc w:val="right"/>
            </w:pPr>
            <w:r w:rsidRPr="00256982">
              <w:t>2,364.9</w:t>
            </w:r>
          </w:p>
        </w:tc>
        <w:tc>
          <w:tcPr>
            <w:tcW w:w="710" w:type="pct"/>
            <w:tcBorders>
              <w:top w:val="single" w:sz="4" w:space="0" w:color="365F91"/>
              <w:left w:val="nil"/>
              <w:bottom w:val="single" w:sz="4" w:space="0" w:color="365F91"/>
              <w:right w:val="nil"/>
            </w:tcBorders>
            <w:hideMark/>
          </w:tcPr>
          <w:p w14:paraId="54F9CFE5" w14:textId="77777777" w:rsidR="00806461" w:rsidRPr="00256982" w:rsidRDefault="00806461">
            <w:pPr>
              <w:pStyle w:val="TableText"/>
              <w:jc w:val="right"/>
            </w:pPr>
            <w:r w:rsidRPr="00256982">
              <w:t>–305.3</w:t>
            </w:r>
          </w:p>
        </w:tc>
        <w:tc>
          <w:tcPr>
            <w:tcW w:w="798" w:type="pct"/>
            <w:tcBorders>
              <w:top w:val="single" w:sz="4" w:space="0" w:color="365F91"/>
              <w:left w:val="nil"/>
              <w:bottom w:val="single" w:sz="4" w:space="0" w:color="365F91"/>
              <w:right w:val="nil"/>
            </w:tcBorders>
            <w:hideMark/>
          </w:tcPr>
          <w:p w14:paraId="0EA9714A" w14:textId="77777777" w:rsidR="00806461" w:rsidRPr="00256982" w:rsidRDefault="00806461">
            <w:pPr>
              <w:pStyle w:val="TableText"/>
              <w:jc w:val="right"/>
            </w:pPr>
            <w:r w:rsidRPr="00256982">
              <w:t>–11.4</w:t>
            </w:r>
          </w:p>
        </w:tc>
        <w:tc>
          <w:tcPr>
            <w:tcW w:w="534" w:type="pct"/>
            <w:tcBorders>
              <w:top w:val="single" w:sz="4" w:space="0" w:color="365F91"/>
              <w:left w:val="nil"/>
              <w:bottom w:val="single" w:sz="4" w:space="0" w:color="365F91"/>
              <w:right w:val="nil"/>
            </w:tcBorders>
            <w:hideMark/>
          </w:tcPr>
          <w:p w14:paraId="156BE958" w14:textId="77777777" w:rsidR="00806461" w:rsidRPr="00256982" w:rsidRDefault="00806461">
            <w:pPr>
              <w:pStyle w:val="TableText"/>
              <w:jc w:val="right"/>
            </w:pPr>
            <w:r w:rsidRPr="00256982">
              <w:t>74.6</w:t>
            </w:r>
          </w:p>
        </w:tc>
        <w:tc>
          <w:tcPr>
            <w:tcW w:w="530" w:type="pct"/>
            <w:tcBorders>
              <w:top w:val="single" w:sz="4" w:space="0" w:color="365F91"/>
              <w:left w:val="nil"/>
              <w:bottom w:val="single" w:sz="4" w:space="0" w:color="365F91"/>
              <w:right w:val="nil"/>
            </w:tcBorders>
            <w:hideMark/>
          </w:tcPr>
          <w:p w14:paraId="67E3970E" w14:textId="77777777" w:rsidR="00806461" w:rsidRPr="00256982" w:rsidRDefault="00806461">
            <w:pPr>
              <w:pStyle w:val="TableText"/>
              <w:jc w:val="right"/>
            </w:pPr>
            <w:r w:rsidRPr="00256982">
              <w:t>47.6</w:t>
            </w:r>
          </w:p>
        </w:tc>
      </w:tr>
      <w:tr w:rsidR="00806461" w:rsidRPr="00256982" w14:paraId="49ABC6F2" w14:textId="77777777" w:rsidTr="00E01CCF">
        <w:tc>
          <w:tcPr>
            <w:tcW w:w="1363" w:type="pct"/>
            <w:tcBorders>
              <w:top w:val="single" w:sz="4" w:space="0" w:color="365F91"/>
              <w:left w:val="nil"/>
              <w:bottom w:val="single" w:sz="4" w:space="0" w:color="365F91"/>
              <w:right w:val="nil"/>
            </w:tcBorders>
            <w:hideMark/>
          </w:tcPr>
          <w:p w14:paraId="69E7810F" w14:textId="77777777" w:rsidR="00806461" w:rsidRPr="00256982" w:rsidRDefault="00806461">
            <w:pPr>
              <w:pStyle w:val="TableText"/>
            </w:pPr>
            <w:r w:rsidRPr="00256982">
              <w:t>Non-energy products from fuels and solvent use (2.D)</w:t>
            </w:r>
          </w:p>
        </w:tc>
        <w:tc>
          <w:tcPr>
            <w:tcW w:w="532" w:type="pct"/>
            <w:tcBorders>
              <w:top w:val="single" w:sz="4" w:space="0" w:color="365F91"/>
              <w:left w:val="nil"/>
              <w:bottom w:val="single" w:sz="4" w:space="0" w:color="365F91"/>
              <w:right w:val="nil"/>
            </w:tcBorders>
            <w:hideMark/>
          </w:tcPr>
          <w:p w14:paraId="714F0D5D" w14:textId="77777777" w:rsidR="00806461" w:rsidRPr="00256982" w:rsidRDefault="00806461">
            <w:pPr>
              <w:pStyle w:val="TableText"/>
              <w:jc w:val="right"/>
            </w:pPr>
            <w:r w:rsidRPr="00256982">
              <w:t>25.1</w:t>
            </w:r>
          </w:p>
        </w:tc>
        <w:tc>
          <w:tcPr>
            <w:tcW w:w="533" w:type="pct"/>
            <w:tcBorders>
              <w:top w:val="single" w:sz="4" w:space="0" w:color="365F91"/>
              <w:left w:val="nil"/>
              <w:bottom w:val="single" w:sz="4" w:space="0" w:color="365F91"/>
              <w:right w:val="nil"/>
            </w:tcBorders>
            <w:hideMark/>
          </w:tcPr>
          <w:p w14:paraId="00C09EBA" w14:textId="77777777" w:rsidR="00806461" w:rsidRPr="00256982" w:rsidRDefault="00806461">
            <w:pPr>
              <w:pStyle w:val="TableText"/>
              <w:jc w:val="right"/>
            </w:pPr>
            <w:r w:rsidRPr="00256982">
              <w:t>46.7</w:t>
            </w:r>
          </w:p>
        </w:tc>
        <w:tc>
          <w:tcPr>
            <w:tcW w:w="710" w:type="pct"/>
            <w:tcBorders>
              <w:top w:val="single" w:sz="4" w:space="0" w:color="365F91"/>
              <w:left w:val="nil"/>
              <w:bottom w:val="single" w:sz="4" w:space="0" w:color="365F91"/>
              <w:right w:val="nil"/>
            </w:tcBorders>
            <w:hideMark/>
          </w:tcPr>
          <w:p w14:paraId="7895F572" w14:textId="77777777" w:rsidR="00806461" w:rsidRPr="00256982" w:rsidRDefault="00806461">
            <w:pPr>
              <w:pStyle w:val="TableText"/>
              <w:jc w:val="right"/>
            </w:pPr>
            <w:r w:rsidRPr="00256982">
              <w:t>21.6</w:t>
            </w:r>
          </w:p>
        </w:tc>
        <w:tc>
          <w:tcPr>
            <w:tcW w:w="798" w:type="pct"/>
            <w:tcBorders>
              <w:top w:val="single" w:sz="4" w:space="0" w:color="365F91"/>
              <w:left w:val="nil"/>
              <w:bottom w:val="single" w:sz="4" w:space="0" w:color="365F91"/>
              <w:right w:val="nil"/>
            </w:tcBorders>
            <w:hideMark/>
          </w:tcPr>
          <w:p w14:paraId="2BF6193E" w14:textId="77777777" w:rsidR="00806461" w:rsidRPr="00256982" w:rsidRDefault="00806461">
            <w:pPr>
              <w:pStyle w:val="TableText"/>
              <w:jc w:val="right"/>
            </w:pPr>
            <w:r w:rsidRPr="00256982">
              <w:t>85.8</w:t>
            </w:r>
          </w:p>
        </w:tc>
        <w:tc>
          <w:tcPr>
            <w:tcW w:w="534" w:type="pct"/>
            <w:tcBorders>
              <w:top w:val="single" w:sz="4" w:space="0" w:color="365F91"/>
              <w:left w:val="nil"/>
              <w:bottom w:val="single" w:sz="4" w:space="0" w:color="365F91"/>
              <w:right w:val="nil"/>
            </w:tcBorders>
            <w:hideMark/>
          </w:tcPr>
          <w:p w14:paraId="1B332416" w14:textId="77777777" w:rsidR="00806461" w:rsidRPr="00256982" w:rsidRDefault="00806461">
            <w:pPr>
              <w:pStyle w:val="TableText"/>
              <w:jc w:val="right"/>
            </w:pPr>
            <w:r w:rsidRPr="00256982">
              <w:t>0.7</w:t>
            </w:r>
          </w:p>
        </w:tc>
        <w:tc>
          <w:tcPr>
            <w:tcW w:w="530" w:type="pct"/>
            <w:tcBorders>
              <w:top w:val="single" w:sz="4" w:space="0" w:color="365F91"/>
              <w:left w:val="nil"/>
              <w:bottom w:val="single" w:sz="4" w:space="0" w:color="365F91"/>
              <w:right w:val="nil"/>
            </w:tcBorders>
            <w:hideMark/>
          </w:tcPr>
          <w:p w14:paraId="13FC1B30" w14:textId="77777777" w:rsidR="00806461" w:rsidRPr="00256982" w:rsidRDefault="00806461">
            <w:pPr>
              <w:pStyle w:val="TableText"/>
              <w:jc w:val="right"/>
            </w:pPr>
            <w:r w:rsidRPr="00256982">
              <w:t>0.9</w:t>
            </w:r>
          </w:p>
        </w:tc>
      </w:tr>
      <w:tr w:rsidR="00806461" w:rsidRPr="00256982" w14:paraId="34A6AB84" w14:textId="77777777" w:rsidTr="00E01CCF">
        <w:tc>
          <w:tcPr>
            <w:tcW w:w="1363" w:type="pct"/>
            <w:tcBorders>
              <w:top w:val="single" w:sz="4" w:space="0" w:color="365F91"/>
              <w:left w:val="nil"/>
              <w:bottom w:val="single" w:sz="4" w:space="0" w:color="365F91"/>
              <w:right w:val="nil"/>
            </w:tcBorders>
            <w:hideMark/>
          </w:tcPr>
          <w:p w14:paraId="5DFC08D4" w14:textId="77777777" w:rsidR="00806461" w:rsidRPr="00256982" w:rsidRDefault="00806461">
            <w:pPr>
              <w:pStyle w:val="TableText"/>
            </w:pPr>
            <w:r w:rsidRPr="00256982">
              <w:t>Product uses as substitutes for ODS (2.F)</w:t>
            </w:r>
          </w:p>
        </w:tc>
        <w:tc>
          <w:tcPr>
            <w:tcW w:w="532" w:type="pct"/>
            <w:tcBorders>
              <w:top w:val="single" w:sz="4" w:space="0" w:color="365F91"/>
              <w:left w:val="nil"/>
              <w:bottom w:val="single" w:sz="4" w:space="0" w:color="365F91"/>
              <w:right w:val="nil"/>
            </w:tcBorders>
            <w:hideMark/>
          </w:tcPr>
          <w:p w14:paraId="28EBA1D5" w14:textId="77777777" w:rsidR="00806461" w:rsidRPr="00256982" w:rsidRDefault="00806461">
            <w:pPr>
              <w:pStyle w:val="TableText"/>
              <w:jc w:val="right"/>
            </w:pPr>
            <w:r w:rsidRPr="00256982">
              <w:t>–</w:t>
            </w:r>
          </w:p>
        </w:tc>
        <w:tc>
          <w:tcPr>
            <w:tcW w:w="533" w:type="pct"/>
            <w:tcBorders>
              <w:top w:val="single" w:sz="4" w:space="0" w:color="365F91"/>
              <w:left w:val="nil"/>
              <w:bottom w:val="single" w:sz="4" w:space="0" w:color="365F91"/>
              <w:right w:val="nil"/>
            </w:tcBorders>
            <w:hideMark/>
          </w:tcPr>
          <w:p w14:paraId="72AC22AC" w14:textId="77777777" w:rsidR="00806461" w:rsidRPr="00256982" w:rsidRDefault="00806461">
            <w:pPr>
              <w:pStyle w:val="TableText"/>
              <w:jc w:val="right"/>
            </w:pPr>
            <w:r w:rsidRPr="00256982">
              <w:t>1,505.4</w:t>
            </w:r>
          </w:p>
        </w:tc>
        <w:tc>
          <w:tcPr>
            <w:tcW w:w="710" w:type="pct"/>
            <w:tcBorders>
              <w:top w:val="single" w:sz="4" w:space="0" w:color="365F91"/>
              <w:left w:val="nil"/>
              <w:bottom w:val="single" w:sz="4" w:space="0" w:color="365F91"/>
              <w:right w:val="nil"/>
            </w:tcBorders>
            <w:hideMark/>
          </w:tcPr>
          <w:p w14:paraId="50BB0676" w14:textId="77777777" w:rsidR="00806461" w:rsidRPr="00256982" w:rsidRDefault="00806461">
            <w:pPr>
              <w:pStyle w:val="TableText"/>
              <w:jc w:val="right"/>
            </w:pPr>
            <w:r w:rsidRPr="00256982">
              <w:t>1,505.4</w:t>
            </w:r>
          </w:p>
        </w:tc>
        <w:tc>
          <w:tcPr>
            <w:tcW w:w="798" w:type="pct"/>
            <w:tcBorders>
              <w:top w:val="single" w:sz="4" w:space="0" w:color="365F91"/>
              <w:left w:val="nil"/>
              <w:bottom w:val="single" w:sz="4" w:space="0" w:color="365F91"/>
              <w:right w:val="nil"/>
            </w:tcBorders>
            <w:hideMark/>
          </w:tcPr>
          <w:p w14:paraId="31F3BEF3" w14:textId="77777777" w:rsidR="00806461" w:rsidRPr="00256982" w:rsidRDefault="00806461">
            <w:pPr>
              <w:pStyle w:val="TableText"/>
              <w:jc w:val="right"/>
            </w:pPr>
            <w:r w:rsidRPr="00256982">
              <w:t>–</w:t>
            </w:r>
          </w:p>
        </w:tc>
        <w:tc>
          <w:tcPr>
            <w:tcW w:w="534" w:type="pct"/>
            <w:tcBorders>
              <w:top w:val="single" w:sz="4" w:space="0" w:color="365F91"/>
              <w:left w:val="nil"/>
              <w:bottom w:val="single" w:sz="4" w:space="0" w:color="365F91"/>
              <w:right w:val="nil"/>
            </w:tcBorders>
            <w:hideMark/>
          </w:tcPr>
          <w:p w14:paraId="6EF14133" w14:textId="77777777" w:rsidR="00806461" w:rsidRPr="00256982" w:rsidRDefault="00806461">
            <w:pPr>
              <w:pStyle w:val="TableText"/>
              <w:jc w:val="right"/>
            </w:pPr>
            <w:r w:rsidRPr="00256982">
              <w:t>–</w:t>
            </w:r>
          </w:p>
        </w:tc>
        <w:tc>
          <w:tcPr>
            <w:tcW w:w="530" w:type="pct"/>
            <w:tcBorders>
              <w:top w:val="single" w:sz="4" w:space="0" w:color="365F91"/>
              <w:left w:val="nil"/>
              <w:bottom w:val="single" w:sz="4" w:space="0" w:color="365F91"/>
              <w:right w:val="nil"/>
            </w:tcBorders>
            <w:hideMark/>
          </w:tcPr>
          <w:p w14:paraId="385F21F6" w14:textId="77777777" w:rsidR="00806461" w:rsidRPr="00256982" w:rsidRDefault="00806461">
            <w:pPr>
              <w:pStyle w:val="TableText"/>
              <w:jc w:val="right"/>
            </w:pPr>
            <w:r w:rsidRPr="00256982">
              <w:t>30.3</w:t>
            </w:r>
          </w:p>
        </w:tc>
      </w:tr>
      <w:tr w:rsidR="00806461" w:rsidRPr="00256982" w14:paraId="02A9F41E" w14:textId="77777777" w:rsidTr="00E01CCF">
        <w:tc>
          <w:tcPr>
            <w:tcW w:w="1363" w:type="pct"/>
            <w:tcBorders>
              <w:top w:val="single" w:sz="4" w:space="0" w:color="365F91"/>
              <w:left w:val="nil"/>
              <w:bottom w:val="single" w:sz="4" w:space="0" w:color="365F91"/>
              <w:right w:val="nil"/>
            </w:tcBorders>
            <w:hideMark/>
          </w:tcPr>
          <w:p w14:paraId="790EB5ED" w14:textId="77777777" w:rsidR="00806461" w:rsidRPr="00256982" w:rsidRDefault="00806461">
            <w:pPr>
              <w:pStyle w:val="TableText"/>
            </w:pPr>
            <w:r w:rsidRPr="00256982">
              <w:t>Other product manufacture and use (2.G)</w:t>
            </w:r>
          </w:p>
        </w:tc>
        <w:tc>
          <w:tcPr>
            <w:tcW w:w="532" w:type="pct"/>
            <w:tcBorders>
              <w:top w:val="single" w:sz="4" w:space="0" w:color="365F91"/>
              <w:left w:val="nil"/>
              <w:bottom w:val="single" w:sz="4" w:space="0" w:color="365F91"/>
              <w:right w:val="nil"/>
            </w:tcBorders>
            <w:hideMark/>
          </w:tcPr>
          <w:p w14:paraId="4466302C" w14:textId="77777777" w:rsidR="00806461" w:rsidRPr="00256982" w:rsidRDefault="00806461">
            <w:pPr>
              <w:pStyle w:val="TableText"/>
              <w:jc w:val="right"/>
            </w:pPr>
            <w:r w:rsidRPr="00256982">
              <w:t>119.7</w:t>
            </w:r>
          </w:p>
        </w:tc>
        <w:tc>
          <w:tcPr>
            <w:tcW w:w="533" w:type="pct"/>
            <w:tcBorders>
              <w:top w:val="single" w:sz="4" w:space="0" w:color="365F91"/>
              <w:left w:val="nil"/>
              <w:bottom w:val="single" w:sz="4" w:space="0" w:color="365F91"/>
              <w:right w:val="nil"/>
            </w:tcBorders>
            <w:hideMark/>
          </w:tcPr>
          <w:p w14:paraId="1F52D131" w14:textId="77777777" w:rsidR="00806461" w:rsidRPr="00256982" w:rsidRDefault="00806461">
            <w:pPr>
              <w:pStyle w:val="TableText"/>
              <w:jc w:val="right"/>
            </w:pPr>
            <w:r w:rsidRPr="00256982">
              <w:t>76.8</w:t>
            </w:r>
          </w:p>
        </w:tc>
        <w:tc>
          <w:tcPr>
            <w:tcW w:w="710" w:type="pct"/>
            <w:tcBorders>
              <w:top w:val="single" w:sz="4" w:space="0" w:color="365F91"/>
              <w:left w:val="nil"/>
              <w:bottom w:val="single" w:sz="4" w:space="0" w:color="365F91"/>
              <w:right w:val="nil"/>
            </w:tcBorders>
            <w:hideMark/>
          </w:tcPr>
          <w:p w14:paraId="47300A09" w14:textId="77777777" w:rsidR="00806461" w:rsidRPr="00256982" w:rsidRDefault="00806461">
            <w:pPr>
              <w:pStyle w:val="TableText"/>
              <w:jc w:val="right"/>
            </w:pPr>
            <w:r w:rsidRPr="00256982">
              <w:t>–42.9</w:t>
            </w:r>
          </w:p>
        </w:tc>
        <w:tc>
          <w:tcPr>
            <w:tcW w:w="798" w:type="pct"/>
            <w:tcBorders>
              <w:top w:val="single" w:sz="4" w:space="0" w:color="365F91"/>
              <w:left w:val="nil"/>
              <w:bottom w:val="single" w:sz="4" w:space="0" w:color="365F91"/>
              <w:right w:val="nil"/>
            </w:tcBorders>
            <w:hideMark/>
          </w:tcPr>
          <w:p w14:paraId="18FDCED1" w14:textId="77777777" w:rsidR="00806461" w:rsidRPr="00256982" w:rsidRDefault="00806461">
            <w:pPr>
              <w:pStyle w:val="TableText"/>
              <w:jc w:val="right"/>
            </w:pPr>
            <w:r w:rsidRPr="00256982">
              <w:t>–35.8</w:t>
            </w:r>
          </w:p>
        </w:tc>
        <w:tc>
          <w:tcPr>
            <w:tcW w:w="534" w:type="pct"/>
            <w:tcBorders>
              <w:top w:val="single" w:sz="4" w:space="0" w:color="365F91"/>
              <w:left w:val="nil"/>
              <w:bottom w:val="single" w:sz="4" w:space="0" w:color="365F91"/>
              <w:right w:val="nil"/>
            </w:tcBorders>
            <w:hideMark/>
          </w:tcPr>
          <w:p w14:paraId="5BF3EFB5" w14:textId="77777777" w:rsidR="00806461" w:rsidRPr="00256982" w:rsidRDefault="00806461">
            <w:pPr>
              <w:pStyle w:val="TableText"/>
              <w:jc w:val="right"/>
            </w:pPr>
            <w:r w:rsidRPr="00256982">
              <w:t>3.3</w:t>
            </w:r>
          </w:p>
        </w:tc>
        <w:tc>
          <w:tcPr>
            <w:tcW w:w="530" w:type="pct"/>
            <w:tcBorders>
              <w:top w:val="single" w:sz="4" w:space="0" w:color="365F91"/>
              <w:left w:val="nil"/>
              <w:bottom w:val="single" w:sz="4" w:space="0" w:color="365F91"/>
              <w:right w:val="nil"/>
            </w:tcBorders>
            <w:hideMark/>
          </w:tcPr>
          <w:p w14:paraId="383FCD0B" w14:textId="77777777" w:rsidR="00806461" w:rsidRPr="00256982" w:rsidRDefault="00806461">
            <w:pPr>
              <w:pStyle w:val="TableText"/>
              <w:jc w:val="right"/>
            </w:pPr>
            <w:r w:rsidRPr="00256982">
              <w:t>1.5</w:t>
            </w:r>
          </w:p>
        </w:tc>
      </w:tr>
      <w:tr w:rsidR="00806461" w:rsidRPr="00256982" w14:paraId="485CD23B" w14:textId="77777777" w:rsidTr="00E01CCF">
        <w:tc>
          <w:tcPr>
            <w:tcW w:w="1363" w:type="pct"/>
            <w:tcBorders>
              <w:top w:val="single" w:sz="4" w:space="0" w:color="365F91"/>
              <w:left w:val="nil"/>
              <w:bottom w:val="single" w:sz="4" w:space="0" w:color="365F91"/>
              <w:right w:val="nil"/>
            </w:tcBorders>
            <w:hideMark/>
          </w:tcPr>
          <w:p w14:paraId="4D06E390" w14:textId="77777777" w:rsidR="00806461" w:rsidRPr="00256982" w:rsidRDefault="00806461">
            <w:pPr>
              <w:pStyle w:val="Tableboldblue"/>
            </w:pPr>
            <w:r w:rsidRPr="00256982">
              <w:t>Total</w:t>
            </w:r>
          </w:p>
        </w:tc>
        <w:tc>
          <w:tcPr>
            <w:tcW w:w="532" w:type="pct"/>
            <w:tcBorders>
              <w:top w:val="single" w:sz="4" w:space="0" w:color="365F91"/>
              <w:left w:val="nil"/>
              <w:bottom w:val="single" w:sz="4" w:space="0" w:color="365F91"/>
              <w:right w:val="nil"/>
            </w:tcBorders>
            <w:hideMark/>
          </w:tcPr>
          <w:p w14:paraId="1C54DBCA" w14:textId="77777777" w:rsidR="00806461" w:rsidRPr="00256982" w:rsidRDefault="00806461">
            <w:pPr>
              <w:pStyle w:val="Tableboldblue"/>
              <w:jc w:val="right"/>
            </w:pPr>
            <w:r w:rsidRPr="00256982">
              <w:t>3,579.9</w:t>
            </w:r>
          </w:p>
        </w:tc>
        <w:tc>
          <w:tcPr>
            <w:tcW w:w="533" w:type="pct"/>
            <w:tcBorders>
              <w:top w:val="single" w:sz="4" w:space="0" w:color="365F91"/>
              <w:left w:val="nil"/>
              <w:bottom w:val="single" w:sz="4" w:space="0" w:color="365F91"/>
              <w:right w:val="nil"/>
            </w:tcBorders>
            <w:hideMark/>
          </w:tcPr>
          <w:p w14:paraId="7E80A201" w14:textId="77777777" w:rsidR="00806461" w:rsidRPr="00256982" w:rsidRDefault="00806461">
            <w:pPr>
              <w:pStyle w:val="Tableboldblue"/>
              <w:jc w:val="right"/>
            </w:pPr>
            <w:r w:rsidRPr="00256982">
              <w:t>4,968.6</w:t>
            </w:r>
          </w:p>
        </w:tc>
        <w:tc>
          <w:tcPr>
            <w:tcW w:w="710" w:type="pct"/>
            <w:tcBorders>
              <w:top w:val="single" w:sz="4" w:space="0" w:color="365F91"/>
              <w:left w:val="nil"/>
              <w:bottom w:val="single" w:sz="4" w:space="0" w:color="365F91"/>
              <w:right w:val="nil"/>
            </w:tcBorders>
            <w:hideMark/>
          </w:tcPr>
          <w:p w14:paraId="27D40776" w14:textId="77777777" w:rsidR="00806461" w:rsidRPr="00256982" w:rsidRDefault="00806461">
            <w:pPr>
              <w:pStyle w:val="Tableboldblue"/>
              <w:jc w:val="right"/>
            </w:pPr>
            <w:r w:rsidRPr="00256982">
              <w:t>1,388.7</w:t>
            </w:r>
          </w:p>
        </w:tc>
        <w:tc>
          <w:tcPr>
            <w:tcW w:w="798" w:type="pct"/>
            <w:tcBorders>
              <w:top w:val="single" w:sz="4" w:space="0" w:color="365F91"/>
              <w:left w:val="nil"/>
              <w:bottom w:val="single" w:sz="4" w:space="0" w:color="365F91"/>
              <w:right w:val="nil"/>
            </w:tcBorders>
            <w:hideMark/>
          </w:tcPr>
          <w:p w14:paraId="0C2F0087" w14:textId="77777777" w:rsidR="00806461" w:rsidRPr="00256982" w:rsidRDefault="00806461">
            <w:pPr>
              <w:pStyle w:val="Tableboldblue"/>
              <w:jc w:val="right"/>
            </w:pPr>
            <w:r w:rsidRPr="00256982">
              <w:t>38.8</w:t>
            </w:r>
          </w:p>
        </w:tc>
        <w:tc>
          <w:tcPr>
            <w:tcW w:w="534" w:type="pct"/>
            <w:tcBorders>
              <w:top w:val="single" w:sz="4" w:space="0" w:color="365F91"/>
              <w:left w:val="nil"/>
              <w:bottom w:val="single" w:sz="4" w:space="0" w:color="365F91"/>
              <w:right w:val="nil"/>
            </w:tcBorders>
            <w:hideMark/>
          </w:tcPr>
          <w:p w14:paraId="0233F98A" w14:textId="77777777" w:rsidR="00806461" w:rsidRPr="00256982" w:rsidRDefault="00806461">
            <w:pPr>
              <w:pStyle w:val="Tableboldblue"/>
              <w:jc w:val="right"/>
            </w:pPr>
            <w:r w:rsidRPr="00256982">
              <w:t>–</w:t>
            </w:r>
          </w:p>
        </w:tc>
        <w:tc>
          <w:tcPr>
            <w:tcW w:w="530" w:type="pct"/>
            <w:tcBorders>
              <w:top w:val="single" w:sz="4" w:space="0" w:color="365F91"/>
              <w:left w:val="nil"/>
              <w:bottom w:val="single" w:sz="4" w:space="0" w:color="365F91"/>
              <w:right w:val="nil"/>
            </w:tcBorders>
            <w:hideMark/>
          </w:tcPr>
          <w:p w14:paraId="1EF8C2FB" w14:textId="77777777" w:rsidR="00806461" w:rsidRPr="00256982" w:rsidRDefault="00806461">
            <w:pPr>
              <w:pStyle w:val="Tableboldblue"/>
              <w:jc w:val="right"/>
            </w:pPr>
            <w:r w:rsidRPr="00256982">
              <w:t>–</w:t>
            </w:r>
          </w:p>
        </w:tc>
      </w:tr>
    </w:tbl>
    <w:p w14:paraId="2BF9F102" w14:textId="77777777" w:rsidR="00806461" w:rsidRPr="00256982" w:rsidRDefault="00806461" w:rsidP="00806461">
      <w:pPr>
        <w:pStyle w:val="Noteundertable"/>
      </w:pPr>
      <w:r w:rsidRPr="00256982">
        <w:rPr>
          <w:b/>
        </w:rPr>
        <w:t>Note:</w:t>
      </w:r>
      <w:r w:rsidRPr="00256982">
        <w:tab/>
        <w:t>Columns may not sum due to rounding.</w:t>
      </w:r>
    </w:p>
    <w:p w14:paraId="2E9FAFD2" w14:textId="77777777" w:rsidR="00806461" w:rsidRPr="00256982" w:rsidRDefault="00806461" w:rsidP="00806461">
      <w:pPr>
        <w:pStyle w:val="Figure"/>
        <w:spacing w:after="0"/>
      </w:pPr>
      <w:bookmarkStart w:id="400" w:name="_Toc447275685"/>
      <w:bookmarkStart w:id="401" w:name="_Toc414531599"/>
      <w:bookmarkStart w:id="402" w:name="_Toc378853331"/>
      <w:bookmarkStart w:id="403" w:name="_Toc5269679"/>
      <w:r w:rsidRPr="00256982">
        <w:lastRenderedPageBreak/>
        <w:t>Figure 4.1.1</w:t>
      </w:r>
      <w:r w:rsidRPr="00256982">
        <w:tab/>
        <w:t>New Zealand’s annual emissions from the IPPU sector from 1990 to </w:t>
      </w:r>
      <w:bookmarkEnd w:id="400"/>
      <w:bookmarkEnd w:id="401"/>
      <w:bookmarkEnd w:id="402"/>
      <w:r w:rsidRPr="00256982">
        <w:t>2017</w:t>
      </w:r>
      <w:bookmarkEnd w:id="403"/>
    </w:p>
    <w:bookmarkStart w:id="404" w:name="_Toc447275686"/>
    <w:bookmarkStart w:id="405" w:name="_Toc414531600"/>
    <w:bookmarkStart w:id="406" w:name="_Toc378853332"/>
    <w:p w14:paraId="3F28D9D0" w14:textId="77777777" w:rsidR="00806461" w:rsidRPr="00256982" w:rsidRDefault="00806461" w:rsidP="00806461">
      <w:pPr>
        <w:pStyle w:val="BodyText"/>
        <w:spacing w:after="0"/>
      </w:pPr>
      <w:r w:rsidRPr="00256982">
        <w:object w:dxaOrig="7935" w:dyaOrig="4410" w14:anchorId="32BAC1D9">
          <v:shape id="Chart 6" o:spid="_x0000_i1066" type="#_x0000_t75" style="width:396pt;height:223.5pt;visibility:visible" o:ole="">
            <v:imagedata r:id="rId82" o:title=""/>
            <o:lock v:ext="edit" aspectratio="f"/>
          </v:shape>
          <o:OLEObject Type="Embed" ProgID="Excel.Sheet.8" ShapeID="Chart 6" DrawAspect="Content" ObjectID="_1616241192" r:id="rId83">
            <o:FieldCodes>\s</o:FieldCodes>
          </o:OLEObject>
        </w:object>
      </w:r>
    </w:p>
    <w:p w14:paraId="1D38E831" w14:textId="77777777" w:rsidR="00806461" w:rsidRPr="00256982" w:rsidRDefault="00806461" w:rsidP="00806461">
      <w:pPr>
        <w:pStyle w:val="Figure"/>
        <w:spacing w:after="0"/>
      </w:pPr>
      <w:bookmarkStart w:id="407" w:name="_Toc5269680"/>
      <w:r w:rsidRPr="00256982">
        <w:t>Figure 4.1.2</w:t>
      </w:r>
      <w:r w:rsidRPr="00256982">
        <w:tab/>
        <w:t xml:space="preserve">Change in New Zealand’s emissions from the IPPU sector from 1990 to </w:t>
      </w:r>
      <w:bookmarkEnd w:id="404"/>
      <w:bookmarkEnd w:id="405"/>
      <w:bookmarkEnd w:id="406"/>
      <w:r w:rsidRPr="00256982">
        <w:t>2017</w:t>
      </w:r>
      <w:bookmarkEnd w:id="407"/>
    </w:p>
    <w:p w14:paraId="2B305B4C" w14:textId="77777777" w:rsidR="00806461" w:rsidRPr="00256982" w:rsidRDefault="00806461" w:rsidP="00806461">
      <w:pPr>
        <w:pStyle w:val="BodyText"/>
        <w:spacing w:before="0" w:after="0"/>
      </w:pPr>
      <w:r w:rsidRPr="00256982">
        <w:object w:dxaOrig="8100" w:dyaOrig="3675" w14:anchorId="41AB82CA">
          <v:shape id="_x0000_i1067" type="#_x0000_t75" style="width:403.5pt;height:180pt" o:ole="">
            <v:imagedata r:id="rId84" o:title="" croptop="4592f"/>
            <o:lock v:ext="edit" aspectratio="f"/>
          </v:shape>
          <o:OLEObject Type="Embed" ProgID="Excel.Sheet.8" ShapeID="_x0000_i1067" DrawAspect="Content" ObjectID="_1616241193" r:id="rId85">
            <o:FieldCodes>\s</o:FieldCodes>
          </o:OLEObject>
        </w:object>
      </w:r>
      <w:r w:rsidR="00590491">
        <w:pict w14:anchorId="6BC55ADE">
          <v:shapetype id="_x0000_t202" coordsize="21600,21600" o:spt="202" path="m,l,21600r21600,l21600,xe">
            <v:stroke joinstyle="miter"/>
            <v:path gradientshapeok="t" o:connecttype="rect"/>
          </v:shapetype>
          <v:shape id="Text Box 7" o:spid="_x0000_s1032" type="#_x0000_t202" style="position:absolute;left:0;text-align:left;margin-left:249.3pt;margin-top:90.4pt;width:26.05pt;height:12.4pt;z-index:3;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" filled="f" stroked="f" strokeweight=".5pt">
            <v:path arrowok="t"/>
            <v:textbox inset="0,0,0,0">
              <w:txbxContent>
                <w:p w14:paraId="79794E72" w14:textId="77777777" w:rsidR="00D0418C" w:rsidRDefault="00D0418C" w:rsidP="00806461">
                  <w:pPr>
                    <w:pStyle w:val="NormalWeb"/>
                    <w:spacing w:before="0" w:beforeAutospacing="0" w:after="0" w:afterAutospacing="0"/>
                    <w:jc w:val="center"/>
                    <w:rPr>
                      <w:lang w:val="en-NZ"/>
                    </w:rPr>
                  </w:pPr>
                  <w:r>
                    <w:rPr>
                      <w:rFonts w:ascii="Arial" w:hAnsi="Arial"/>
                      <w:b/>
                      <w:bCs/>
                      <w:sz w:val="16"/>
                      <w:szCs w:val="16"/>
                      <w:lang w:val="en-NZ"/>
                    </w:rPr>
                    <w:t>NO</w:t>
                  </w:r>
                </w:p>
              </w:txbxContent>
            </v:textbox>
          </v:shape>
        </w:pict>
      </w:r>
      <w:r w:rsidR="00590491">
        <w:pict w14:anchorId="0D3BEE8A">
          <v:group id="Group 2" o:spid="_x0000_s1026" style="position:absolute;left:0;text-align:left;margin-left:62.35pt;margin-top:77pt;width:314.85pt;height:24.85pt;z-index:2;mso-position-horizontal-relative:text;mso-position-vertical-relative:text" coordsize="39990,3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">
            <v:shape id="Text Box 4" o:spid="_x0000_s1027" type="#_x0000_t202" style="position:absolute;width:3308;height:157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Rmgv78A&#10;AADbAAAADwAAAGRycy9kb3ducmV2LnhtbERPy6rCMBDdC/5DGOHuNNXFVapRxAcqFwpVP2BsxrbY&#10;TEoTtf69uSC4m8N5zmzRmko8qHGlZQXDQQSCOLO65FzB+bTtT0A4j6yxskwKXuRgMe92Zhhr++SU&#10;HkefixDCLkYFhfd1LKXLCjLoBrYmDtzVNgZ9gE0udYPPEG4qOYqiX2mw5NBQYE2rgrLb8W4UTPK/&#10;4SFJfHLYycuay1G7qS+pUj+9djkF4an1X/HHvddh/hj+fwkHyPk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FGaC/vwAAANsAAAAPAAAAAAAAAAAAAAAAAJgCAABkcnMvZG93bnJl&#10;di54bWxQSwUGAAAAAAQABAD1AAAAhAMAAAAA&#10;" stroked="f" strokeweight=".5pt">
              <v:fill opacity="0" color2="#767676" o:opacity2="0" rotate="t" focus="100%" type="gradient"/>
              <v:textbox inset="0,0,0,0">
                <w:txbxContent>
                  <w:p w14:paraId="0C01A9CA" w14:textId="77777777" w:rsidR="00D0418C" w:rsidRDefault="00D0418C" w:rsidP="00806461">
                    <w:pPr>
                      <w:pStyle w:val="NormalWeb"/>
                      <w:spacing w:before="0" w:beforeAutospacing="0" w:after="0" w:afterAutospacing="0"/>
                      <w:jc w:val="center"/>
                      <w:rPr>
                        <w:lang w:val="en-NZ"/>
                      </w:rPr>
                    </w:pPr>
                    <w:r>
                      <w:rPr>
                        <w:rFonts w:ascii="Arial" w:hAnsi="Arial"/>
                        <w:b/>
                        <w:bCs/>
                        <w:sz w:val="16"/>
                        <w:szCs w:val="16"/>
                        <w:lang w:val="en-NZ"/>
                      </w:rPr>
                      <w:t>108</w:t>
                    </w:r>
                  </w:p>
                </w:txbxContent>
              </v:textbox>
            </v:shape>
            <v:shape id="Text Box 5" o:spid="_x0000_s1028" type="#_x0000_t202" style="position:absolute;left:5866;top:1479;width:3309;height:157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uZbTMUA&#10;AADbAAAADwAAAGRycy9kb3ducmV2LnhtbESPzU7DQAyE70i8w8pI3OimHCoUuq0QPxKHAm0Bqb2Z&#10;rEkist5o103D29cHJG62Zjzzeb4cQ2cGSrmN7GA6KcAQV9G3XDv4eH+6ugGTBdljF5kc/FKG5eL8&#10;bI6lj0fe0LCV2mgI5xIdNCJ9aW2uGgqYJ7EnVu07poCia6qtT3jU8NDZ66KY2YAta0ODPd03VP1s&#10;D8FBt8tp9VXIfnioX2T9Zg+fj9NX5y4vxrtbMEKj/Jv/rp+94ius/qID2MU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5ltMxQAAANsAAAAPAAAAAAAAAAAAAAAAAJgCAABkcnMv&#10;ZG93bnJldi54bWxQSwUGAAAAAAQABAD1AAAAigMAAAAA&#10;" filled="f" stroked="f" strokeweight=".5pt">
              <v:textbox inset="0,0,0,0">
                <w:txbxContent>
                  <w:p w14:paraId="17BDFD55" w14:textId="77777777" w:rsidR="00D0418C" w:rsidRDefault="00D0418C" w:rsidP="00806461">
                    <w:pPr>
                      <w:pStyle w:val="NormalWeb"/>
                      <w:spacing w:before="0" w:beforeAutospacing="0" w:after="0" w:afterAutospacing="0"/>
                      <w:jc w:val="center"/>
                    </w:pPr>
                    <w:r>
                      <w:rPr>
                        <w:rFonts w:ascii="Arial" w:hAnsi="Arial"/>
                        <w:b/>
                        <w:bCs/>
                        <w:sz w:val="16"/>
                        <w:szCs w:val="16"/>
                      </w:rPr>
                      <w:t>102</w:t>
                    </w:r>
                  </w:p>
                </w:txbxContent>
              </v:textbox>
            </v:shape>
            <v:shape id="_x0000_s1029" type="#_x0000_t202" style="position:absolute;left:18023;top:1479;width:3309;height:157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cOno8EA&#10;AADbAAAADwAAAGRycy9kb3ducmV2LnhtbERPTWvCQBC9F/wPyxS81U0Llja6igilXqRUq3gcsmMS&#10;zc6m2TGJ/94tFLzN433OdN67SrXUhNKzgedRAoo487bk3MDP9uPpDVQQZIuVZzJwpQDz2eBhiqn1&#10;HX9Tu5FcxRAOKRooROpU65AV5DCMfE0cuaNvHEqETa5tg10Md5V+SZJX7bDk2FBgTcuCsvPm4gxs&#10;/efp1O2T9vdrzLsDjdfnXMSY4WO/mIAS6uUu/nevbJz/Dn+/xAP07A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XDp6PBAAAA2wAAAA8AAAAAAAAAAAAAAAAAmAIAAGRycy9kb3du&#10;cmV2LnhtbFBLBQYAAAAABAAEAPUAAACGAwAAAAA=&#10;" filled="f" stroked="f" strokeweight=".5pt">
              <v:path arrowok="t"/>
              <v:textbox inset="0,0,0,0">
                <w:txbxContent>
                  <w:p w14:paraId="645FF011" w14:textId="77777777" w:rsidR="00D0418C" w:rsidRDefault="00D0418C" w:rsidP="00806461">
                    <w:pPr>
                      <w:pStyle w:val="NormalWeb"/>
                      <w:spacing w:before="0" w:beforeAutospacing="0" w:after="0" w:afterAutospacing="0"/>
                      <w:jc w:val="center"/>
                      <w:rPr>
                        <w:lang w:val="en-NZ"/>
                      </w:rPr>
                    </w:pPr>
                    <w:r>
                      <w:rPr>
                        <w:rFonts w:ascii="Arial" w:hAnsi="Arial"/>
                        <w:b/>
                        <w:bCs/>
                        <w:sz w:val="16"/>
                        <w:szCs w:val="16"/>
                        <w:lang w:val="en-NZ"/>
                      </w:rPr>
                      <w:t>22</w:t>
                    </w:r>
                  </w:p>
                </w:txbxContent>
              </v:textbox>
            </v:shape>
            <v:shape id="Text Box 8" o:spid="_x0000_s1030" type="#_x0000_t202" style="position:absolute;left:36681;top:1585;width:3309;height:157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XEg8AA&#10;AADbAAAADwAAAGRycy9kb3ducmV2LnhtbERPS2vCQBC+F/wPywje6kbBIqmrlILYi5T6wuOQnSbR&#10;7GzMTpP037sHwePH916seleplppQejYwGSegiDNvS84NHPbr1zmoIMgWK89k4J8CrJaDlwWm1nf8&#10;Q+1OchVDOKRooBCpU61DVpDDMPY1ceR+feNQImxybRvsYrir9DRJ3rTDkmNDgTV9FpRdd3/OwN5v&#10;LpfulLS37xkfzzTbXnMRY0bD/uMdlFAvT/HD/WUNTOP6+CX+AL28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OpXEg8AAAADbAAAADwAAAAAAAAAAAAAAAACYAgAAZHJzL2Rvd25y&#10;ZXYueG1sUEsFBgAAAAAEAAQA9QAAAIUDAAAAAA==&#10;" filled="f" stroked="f" strokeweight=".5pt">
              <v:path arrowok="t"/>
              <v:textbox inset="0,0,0,0">
                <w:txbxContent>
                  <w:p w14:paraId="6DC2984F" w14:textId="77777777" w:rsidR="00D0418C" w:rsidRDefault="00D0418C" w:rsidP="00806461">
                    <w:pPr>
                      <w:pStyle w:val="NormalWeb"/>
                      <w:spacing w:before="0" w:beforeAutospacing="0" w:after="0" w:afterAutospacing="0"/>
                      <w:jc w:val="center"/>
                    </w:pPr>
                    <w:r>
                      <w:rPr>
                        <w:rFonts w:ascii="Arial" w:hAnsi="Arial"/>
                        <w:b/>
                        <w:bCs/>
                        <w:sz w:val="16"/>
                        <w:szCs w:val="16"/>
                      </w:rPr>
                      <w:t>–43</w:t>
                    </w:r>
                  </w:p>
                </w:txbxContent>
              </v:textbox>
            </v:shape>
            <v:shape id="Text Box 9" o:spid="_x0000_s1031" type="#_x0000_t202" style="position:absolute;left:31501;top:1479;width:3309;height:157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04nQcQA&#10;AADbAAAADwAAAGRycy9kb3ducmV2LnhtbESPUWvCMBSF34X9h3AHvmnaDuzsjDIEYaAMdGO+Xpq7&#10;pqy5KUnU6q9fBgMfD+ec73AWq8F24kw+tI4V5NMMBHHtdMuNgs+PzeQZRIjIGjvHpOBKAVbLh9EC&#10;K+0uvKfzITYiQThUqMDE2FdShtqQxTB1PXHyvp23GJP0jdQeLwluO1lk2UxabDktGOxpbaj+OZys&#10;gqMpi92+nM23+Ze+bfP+/an0J6XGj8PrC4hIQ7yH/9tvWkGRw9+X9APk8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dOJ0HEAAAA2wAAAA8AAAAAAAAAAAAAAAAAmAIAAGRycy9k&#10;b3ducmV2LnhtbFBLBQYAAAAABAAEAPUAAACJAwAAAAA=&#10;" fillcolor="window" stroked="f" strokeweight=".5pt">
              <v:fill opacity="9766f"/>
              <v:path arrowok="t"/>
              <v:textbox inset="0,0,0,0">
                <w:txbxContent>
                  <w:p w14:paraId="631D041C" w14:textId="77777777" w:rsidR="00D0418C" w:rsidRDefault="00D0418C" w:rsidP="00806461">
                    <w:pPr>
                      <w:pStyle w:val="NormalWeb"/>
                      <w:spacing w:before="0" w:beforeAutospacing="0" w:after="0" w:afterAutospacing="0"/>
                      <w:jc w:val="center"/>
                    </w:pPr>
                    <w:r>
                      <w:rPr>
                        <w:rFonts w:ascii="Arial" w:hAnsi="Arial"/>
                        <w:b/>
                        <w:bCs/>
                        <w:sz w:val="16"/>
                        <w:szCs w:val="16"/>
                      </w:rPr>
                      <w:t>1,505</w:t>
                    </w:r>
                  </w:p>
                </w:txbxContent>
              </v:textbox>
            </v:shape>
          </v:group>
        </w:pict>
      </w:r>
    </w:p>
    <w:p w14:paraId="792B2EA0" w14:textId="77777777" w:rsidR="00806461" w:rsidRPr="00256982" w:rsidRDefault="00806461" w:rsidP="00806461">
      <w:pPr>
        <w:pStyle w:val="Noteundertable"/>
        <w:spacing w:after="60"/>
        <w:rPr>
          <w:rFonts w:cs="Arial"/>
        </w:rPr>
      </w:pPr>
      <w:r w:rsidRPr="00256982">
        <w:rPr>
          <w:rFonts w:cs="Arial"/>
          <w:b/>
        </w:rPr>
        <w:t>Note:</w:t>
      </w:r>
      <w:r w:rsidRPr="00256982">
        <w:rPr>
          <w:rFonts w:cs="Arial"/>
        </w:rPr>
        <w:tab/>
      </w:r>
      <w:r w:rsidRPr="00256982">
        <w:t xml:space="preserve">Emissions from the </w:t>
      </w:r>
      <w:r w:rsidRPr="00256982">
        <w:rPr>
          <w:i/>
        </w:rPr>
        <w:t>Electronics industry</w:t>
      </w:r>
      <w:r w:rsidRPr="00256982">
        <w:t xml:space="preserve"> are not occurring (NO).</w:t>
      </w:r>
    </w:p>
    <w:p w14:paraId="08A89CED" w14:textId="77777777" w:rsidR="00806461" w:rsidRPr="00256982" w:rsidRDefault="00806461" w:rsidP="001D3490">
      <w:pPr>
        <w:pStyle w:val="Heading3"/>
      </w:pPr>
      <w:r w:rsidRPr="00256982">
        <w:t>4.1.3</w:t>
      </w:r>
      <w:r w:rsidRPr="00256982">
        <w:tab/>
        <w:t>Key categories for IPPU sector emissions</w:t>
      </w:r>
    </w:p>
    <w:p w14:paraId="4798D9AF" w14:textId="77777777" w:rsidR="00806461" w:rsidRPr="00256982" w:rsidRDefault="00806461" w:rsidP="00806461">
      <w:pPr>
        <w:pStyle w:val="BodyText"/>
        <w:keepNext/>
      </w:pPr>
      <w:r w:rsidRPr="00256982">
        <w:t xml:space="preserve">Details of New Zealand’s key category analysis are in chapter 1, section 1.5. The key categories in the IPPU sector are listed in table 4.1.2. </w:t>
      </w:r>
    </w:p>
    <w:p w14:paraId="4DE3E125" w14:textId="77777777" w:rsidR="00806461" w:rsidRPr="00256982" w:rsidRDefault="00806461" w:rsidP="00806461">
      <w:pPr>
        <w:pStyle w:val="Table"/>
        <w:spacing w:before="100"/>
      </w:pPr>
      <w:bookmarkStart w:id="408" w:name="_Toc451176066"/>
      <w:bookmarkStart w:id="409" w:name="_Toc5269456"/>
      <w:r w:rsidRPr="00256982">
        <w:t xml:space="preserve">Table 4.1.2 </w:t>
      </w:r>
      <w:r w:rsidRPr="00256982">
        <w:tab/>
        <w:t>Key categories in the IPPU sector</w:t>
      </w:r>
      <w:bookmarkEnd w:id="408"/>
      <w:bookmarkEnd w:id="409"/>
      <w:r w:rsidRPr="00256982">
        <w:t xml:space="preserve"> </w:t>
      </w:r>
    </w:p>
    <w:tbl>
      <w:tblPr>
        <w:tblW w:w="8562" w:type="dxa"/>
        <w:tblInd w:w="108" w:type="dxa"/>
        <w:tblBorders>
          <w:top w:val="single" w:sz="4" w:space="0" w:color="365F91"/>
          <w:bottom w:val="single" w:sz="4" w:space="0" w:color="365F91"/>
          <w:insideH w:val="single" w:sz="4" w:space="0" w:color="365F91"/>
        </w:tblBorders>
        <w:tblLook w:val="04A0" w:firstRow="1" w:lastRow="0" w:firstColumn="1" w:lastColumn="0" w:noHBand="0" w:noVBand="1"/>
      </w:tblPr>
      <w:tblGrid>
        <w:gridCol w:w="1700"/>
        <w:gridCol w:w="4469"/>
        <w:gridCol w:w="920"/>
        <w:gridCol w:w="1473"/>
      </w:tblGrid>
      <w:tr w:rsidR="00806461" w:rsidRPr="00256982" w14:paraId="4B577D15" w14:textId="77777777" w:rsidTr="00806461">
        <w:trPr>
          <w:trHeight w:val="462"/>
          <w:tblHeader/>
        </w:trPr>
        <w:tc>
          <w:tcPr>
            <w:tcW w:w="993" w:type="pct"/>
            <w:tcBorders>
              <w:top w:val="single" w:sz="4" w:space="0" w:color="365F91"/>
              <w:left w:val="nil"/>
              <w:bottom w:val="single" w:sz="4" w:space="0" w:color="365F91"/>
              <w:right w:val="nil"/>
            </w:tcBorders>
            <w:shd w:val="clear" w:color="auto" w:fill="365F91"/>
            <w:vAlign w:val="bottom"/>
            <w:hideMark/>
          </w:tcPr>
          <w:p w14:paraId="3A4128BA" w14:textId="77777777" w:rsidR="00806461" w:rsidRPr="00256982" w:rsidRDefault="00806461">
            <w:pPr>
              <w:pStyle w:val="TableTextBold"/>
              <w:spacing w:before="50" w:after="50"/>
              <w:rPr>
                <w:noProof w:val="0"/>
                <w:color w:val="FFFFFF"/>
              </w:rPr>
            </w:pPr>
            <w:r w:rsidRPr="00256982">
              <w:rPr>
                <w:noProof w:val="0"/>
                <w:color w:val="FFFFFF"/>
              </w:rPr>
              <w:t>CRF category code</w:t>
            </w:r>
          </w:p>
        </w:tc>
        <w:tc>
          <w:tcPr>
            <w:tcW w:w="2609" w:type="pct"/>
            <w:tcBorders>
              <w:top w:val="single" w:sz="4" w:space="0" w:color="365F91"/>
              <w:left w:val="nil"/>
              <w:bottom w:val="single" w:sz="4" w:space="0" w:color="365F91"/>
              <w:right w:val="nil"/>
            </w:tcBorders>
            <w:shd w:val="clear" w:color="auto" w:fill="365F91"/>
            <w:vAlign w:val="bottom"/>
            <w:hideMark/>
          </w:tcPr>
          <w:p w14:paraId="70C42AB4" w14:textId="77777777" w:rsidR="00806461" w:rsidRPr="00256982" w:rsidRDefault="00806461">
            <w:pPr>
              <w:pStyle w:val="TableTextBold"/>
              <w:spacing w:before="50" w:after="50"/>
              <w:rPr>
                <w:noProof w:val="0"/>
                <w:color w:val="FFFFFF"/>
              </w:rPr>
            </w:pPr>
            <w:r w:rsidRPr="00256982">
              <w:rPr>
                <w:noProof w:val="0"/>
                <w:color w:val="FFFFFF"/>
              </w:rPr>
              <w:t>IPCC categories</w:t>
            </w:r>
          </w:p>
        </w:tc>
        <w:tc>
          <w:tcPr>
            <w:tcW w:w="537" w:type="pct"/>
            <w:tcBorders>
              <w:top w:val="single" w:sz="4" w:space="0" w:color="365F91"/>
              <w:left w:val="nil"/>
              <w:bottom w:val="single" w:sz="4" w:space="0" w:color="365F91"/>
              <w:right w:val="nil"/>
            </w:tcBorders>
            <w:shd w:val="clear" w:color="auto" w:fill="365F91"/>
            <w:vAlign w:val="bottom"/>
            <w:hideMark/>
          </w:tcPr>
          <w:p w14:paraId="30A73201" w14:textId="77777777" w:rsidR="00806461" w:rsidRPr="00256982" w:rsidRDefault="00806461">
            <w:pPr>
              <w:pStyle w:val="TableTextBold"/>
              <w:spacing w:before="50" w:after="50"/>
              <w:jc w:val="center"/>
              <w:rPr>
                <w:noProof w:val="0"/>
                <w:color w:val="FFFFFF"/>
              </w:rPr>
            </w:pPr>
            <w:r w:rsidRPr="00256982">
              <w:rPr>
                <w:noProof w:val="0"/>
                <w:color w:val="FFFFFF"/>
              </w:rPr>
              <w:t>Gas</w:t>
            </w:r>
          </w:p>
        </w:tc>
        <w:tc>
          <w:tcPr>
            <w:tcW w:w="860" w:type="pct"/>
            <w:tcBorders>
              <w:top w:val="single" w:sz="4" w:space="0" w:color="365F91"/>
              <w:left w:val="nil"/>
              <w:bottom w:val="single" w:sz="4" w:space="0" w:color="365F91"/>
              <w:right w:val="nil"/>
            </w:tcBorders>
            <w:shd w:val="clear" w:color="auto" w:fill="365F91"/>
            <w:vAlign w:val="bottom"/>
            <w:hideMark/>
          </w:tcPr>
          <w:p w14:paraId="19361886" w14:textId="77777777" w:rsidR="00806461" w:rsidRPr="00256982" w:rsidRDefault="00806461">
            <w:pPr>
              <w:pStyle w:val="TableTextBold"/>
              <w:spacing w:before="50" w:after="50"/>
              <w:rPr>
                <w:noProof w:val="0"/>
                <w:color w:val="FFFFFF"/>
              </w:rPr>
            </w:pPr>
            <w:r w:rsidRPr="00256982">
              <w:rPr>
                <w:noProof w:val="0"/>
                <w:color w:val="FFFFFF"/>
              </w:rPr>
              <w:t>Criteria for identification</w:t>
            </w:r>
          </w:p>
        </w:tc>
      </w:tr>
      <w:tr w:rsidR="00806461" w:rsidRPr="00256982" w14:paraId="0A4A42E0" w14:textId="77777777" w:rsidTr="00806461">
        <w:trPr>
          <w:trHeight w:val="250"/>
        </w:trPr>
        <w:tc>
          <w:tcPr>
            <w:tcW w:w="993" w:type="pct"/>
            <w:tcBorders>
              <w:top w:val="single" w:sz="4" w:space="0" w:color="365F91"/>
              <w:left w:val="nil"/>
              <w:bottom w:val="single" w:sz="4" w:space="0" w:color="365F91"/>
              <w:right w:val="nil"/>
            </w:tcBorders>
            <w:shd w:val="clear" w:color="auto" w:fill="FFFFFF"/>
            <w:hideMark/>
          </w:tcPr>
          <w:p w14:paraId="76667581" w14:textId="77777777" w:rsidR="00806461" w:rsidRPr="00256982" w:rsidRDefault="00806461">
            <w:pPr>
              <w:pStyle w:val="TableText"/>
              <w:spacing w:before="50" w:after="50"/>
            </w:pPr>
            <w:r w:rsidRPr="00256982">
              <w:t>2.A.1</w:t>
            </w:r>
          </w:p>
        </w:tc>
        <w:tc>
          <w:tcPr>
            <w:tcW w:w="2609" w:type="pct"/>
            <w:tcBorders>
              <w:top w:val="single" w:sz="4" w:space="0" w:color="365F91"/>
              <w:left w:val="nil"/>
              <w:bottom w:val="single" w:sz="4" w:space="0" w:color="365F91"/>
              <w:right w:val="nil"/>
            </w:tcBorders>
            <w:shd w:val="clear" w:color="auto" w:fill="FFFFFF"/>
            <w:vAlign w:val="center"/>
            <w:hideMark/>
          </w:tcPr>
          <w:p w14:paraId="53B6BEC3" w14:textId="77777777" w:rsidR="00806461" w:rsidRPr="00256982" w:rsidRDefault="00806461">
            <w:pPr>
              <w:pStyle w:val="TableText"/>
              <w:spacing w:before="50" w:after="50"/>
              <w:rPr>
                <w:color w:val="000000"/>
                <w:szCs w:val="16"/>
                <w:lang w:eastAsia="en-NZ"/>
              </w:rPr>
            </w:pPr>
            <w:r w:rsidRPr="00256982">
              <w:rPr>
                <w:color w:val="000000"/>
                <w:szCs w:val="16"/>
                <w:lang w:eastAsia="en-NZ"/>
              </w:rPr>
              <w:t>Mineral Industry – Cement Production</w:t>
            </w:r>
          </w:p>
        </w:tc>
        <w:tc>
          <w:tcPr>
            <w:tcW w:w="537" w:type="pct"/>
            <w:tcBorders>
              <w:top w:val="single" w:sz="4" w:space="0" w:color="365F91"/>
              <w:left w:val="nil"/>
              <w:bottom w:val="single" w:sz="4" w:space="0" w:color="365F91"/>
              <w:right w:val="nil"/>
            </w:tcBorders>
            <w:shd w:val="clear" w:color="auto" w:fill="FFFFFF"/>
            <w:vAlign w:val="center"/>
            <w:hideMark/>
          </w:tcPr>
          <w:p w14:paraId="24C12412" w14:textId="77777777" w:rsidR="00806461" w:rsidRPr="00256982" w:rsidRDefault="00806461">
            <w:pPr>
              <w:pStyle w:val="TableText"/>
              <w:spacing w:before="50" w:after="50"/>
              <w:jc w:val="center"/>
              <w:rPr>
                <w:color w:val="000000"/>
                <w:szCs w:val="16"/>
                <w:lang w:eastAsia="en-NZ"/>
              </w:rPr>
            </w:pPr>
            <w:r w:rsidRPr="00256982">
              <w:rPr>
                <w:color w:val="000000"/>
                <w:szCs w:val="16"/>
                <w:lang w:eastAsia="en-NZ"/>
              </w:rPr>
              <w:t>CO</w:t>
            </w:r>
            <w:r w:rsidRPr="00256982">
              <w:rPr>
                <w:color w:val="000000"/>
                <w:szCs w:val="16"/>
                <w:vertAlign w:val="subscript"/>
                <w:lang w:eastAsia="en-NZ"/>
              </w:rPr>
              <w:t>2</w:t>
            </w:r>
          </w:p>
        </w:tc>
        <w:tc>
          <w:tcPr>
            <w:tcW w:w="860" w:type="pct"/>
            <w:tcBorders>
              <w:top w:val="single" w:sz="4" w:space="0" w:color="365F91"/>
              <w:left w:val="nil"/>
              <w:bottom w:val="single" w:sz="4" w:space="0" w:color="365F91"/>
              <w:right w:val="nil"/>
            </w:tcBorders>
            <w:shd w:val="clear" w:color="auto" w:fill="FFFFFF"/>
            <w:vAlign w:val="center"/>
            <w:hideMark/>
          </w:tcPr>
          <w:p w14:paraId="2091893A" w14:textId="77777777" w:rsidR="00806461" w:rsidRPr="00256982" w:rsidRDefault="00806461">
            <w:pPr>
              <w:pStyle w:val="TableText"/>
              <w:spacing w:before="50" w:after="50"/>
              <w:rPr>
                <w:color w:val="000000"/>
                <w:szCs w:val="16"/>
                <w:lang w:eastAsia="en-NZ"/>
              </w:rPr>
            </w:pPr>
            <w:r w:rsidRPr="00256982">
              <w:rPr>
                <w:color w:val="000000"/>
                <w:szCs w:val="16"/>
                <w:lang w:eastAsia="en-NZ"/>
              </w:rPr>
              <w:t>L1, T1</w:t>
            </w:r>
          </w:p>
        </w:tc>
      </w:tr>
      <w:tr w:rsidR="00806461" w:rsidRPr="00256982" w14:paraId="3AB951BC" w14:textId="77777777" w:rsidTr="00806461">
        <w:trPr>
          <w:trHeight w:val="305"/>
        </w:trPr>
        <w:tc>
          <w:tcPr>
            <w:tcW w:w="993" w:type="pct"/>
            <w:tcBorders>
              <w:top w:val="single" w:sz="4" w:space="0" w:color="365F91"/>
              <w:left w:val="nil"/>
              <w:bottom w:val="single" w:sz="4" w:space="0" w:color="365F91"/>
              <w:right w:val="nil"/>
            </w:tcBorders>
            <w:shd w:val="clear" w:color="auto" w:fill="FFFFFF"/>
            <w:hideMark/>
          </w:tcPr>
          <w:p w14:paraId="5DF445D1" w14:textId="77777777" w:rsidR="00806461" w:rsidRPr="00256982" w:rsidRDefault="00806461">
            <w:pPr>
              <w:pStyle w:val="TableText"/>
              <w:spacing w:before="50" w:after="50"/>
            </w:pPr>
            <w:r w:rsidRPr="00256982">
              <w:t>2.C.1</w:t>
            </w:r>
          </w:p>
        </w:tc>
        <w:tc>
          <w:tcPr>
            <w:tcW w:w="2609" w:type="pct"/>
            <w:tcBorders>
              <w:top w:val="single" w:sz="4" w:space="0" w:color="365F91"/>
              <w:left w:val="nil"/>
              <w:bottom w:val="single" w:sz="4" w:space="0" w:color="365F91"/>
              <w:right w:val="nil"/>
            </w:tcBorders>
            <w:shd w:val="clear" w:color="auto" w:fill="FFFFFF"/>
            <w:vAlign w:val="center"/>
            <w:hideMark/>
          </w:tcPr>
          <w:p w14:paraId="7F2756D6" w14:textId="77777777" w:rsidR="00806461" w:rsidRPr="00256982" w:rsidRDefault="00806461">
            <w:pPr>
              <w:pStyle w:val="TableText"/>
              <w:spacing w:before="50" w:after="50"/>
              <w:rPr>
                <w:color w:val="000000"/>
                <w:szCs w:val="16"/>
                <w:lang w:eastAsia="en-NZ"/>
              </w:rPr>
            </w:pPr>
            <w:r w:rsidRPr="00256982">
              <w:rPr>
                <w:color w:val="000000"/>
                <w:szCs w:val="16"/>
                <w:lang w:eastAsia="en-NZ"/>
              </w:rPr>
              <w:t>Metal Industry – Iron and Steel Production</w:t>
            </w:r>
          </w:p>
        </w:tc>
        <w:tc>
          <w:tcPr>
            <w:tcW w:w="537" w:type="pct"/>
            <w:tcBorders>
              <w:top w:val="single" w:sz="4" w:space="0" w:color="365F91"/>
              <w:left w:val="nil"/>
              <w:bottom w:val="single" w:sz="4" w:space="0" w:color="365F91"/>
              <w:right w:val="nil"/>
            </w:tcBorders>
            <w:shd w:val="clear" w:color="auto" w:fill="FFFFFF"/>
            <w:vAlign w:val="center"/>
            <w:hideMark/>
          </w:tcPr>
          <w:p w14:paraId="233B4FDF" w14:textId="77777777" w:rsidR="00806461" w:rsidRPr="00256982" w:rsidRDefault="00806461">
            <w:pPr>
              <w:pStyle w:val="TableText"/>
              <w:spacing w:before="50" w:after="50"/>
              <w:jc w:val="center"/>
              <w:rPr>
                <w:color w:val="000000"/>
                <w:szCs w:val="16"/>
                <w:lang w:eastAsia="en-NZ"/>
              </w:rPr>
            </w:pPr>
            <w:r w:rsidRPr="00256982">
              <w:rPr>
                <w:color w:val="000000"/>
                <w:szCs w:val="16"/>
                <w:lang w:eastAsia="en-NZ"/>
              </w:rPr>
              <w:t>CO</w:t>
            </w:r>
            <w:r w:rsidRPr="00256982">
              <w:rPr>
                <w:color w:val="000000"/>
                <w:szCs w:val="16"/>
                <w:vertAlign w:val="subscript"/>
                <w:lang w:eastAsia="en-NZ"/>
              </w:rPr>
              <w:t>2</w:t>
            </w:r>
          </w:p>
        </w:tc>
        <w:tc>
          <w:tcPr>
            <w:tcW w:w="860" w:type="pct"/>
            <w:tcBorders>
              <w:top w:val="single" w:sz="4" w:space="0" w:color="365F91"/>
              <w:left w:val="nil"/>
              <w:bottom w:val="single" w:sz="4" w:space="0" w:color="365F91"/>
              <w:right w:val="nil"/>
            </w:tcBorders>
            <w:shd w:val="clear" w:color="auto" w:fill="FFFFFF"/>
            <w:vAlign w:val="center"/>
            <w:hideMark/>
          </w:tcPr>
          <w:p w14:paraId="3573E8DE" w14:textId="77777777" w:rsidR="00806461" w:rsidRPr="00256982" w:rsidRDefault="00806461">
            <w:pPr>
              <w:pStyle w:val="TableText"/>
              <w:spacing w:before="50" w:after="50"/>
              <w:rPr>
                <w:color w:val="000000"/>
                <w:szCs w:val="16"/>
                <w:lang w:eastAsia="en-NZ"/>
              </w:rPr>
            </w:pPr>
            <w:r w:rsidRPr="00256982">
              <w:rPr>
                <w:color w:val="000000"/>
                <w:szCs w:val="16"/>
                <w:lang w:eastAsia="en-NZ"/>
              </w:rPr>
              <w:t>L1, T1</w:t>
            </w:r>
          </w:p>
        </w:tc>
      </w:tr>
      <w:tr w:rsidR="00806461" w:rsidRPr="00256982" w14:paraId="71933DA4" w14:textId="77777777" w:rsidTr="00806461">
        <w:trPr>
          <w:trHeight w:val="305"/>
        </w:trPr>
        <w:tc>
          <w:tcPr>
            <w:tcW w:w="993" w:type="pct"/>
            <w:tcBorders>
              <w:top w:val="single" w:sz="4" w:space="0" w:color="365F91"/>
              <w:left w:val="nil"/>
              <w:bottom w:val="single" w:sz="4" w:space="0" w:color="365F91"/>
              <w:right w:val="nil"/>
            </w:tcBorders>
            <w:shd w:val="clear" w:color="auto" w:fill="FFFFFF"/>
            <w:hideMark/>
          </w:tcPr>
          <w:p w14:paraId="72815EE7" w14:textId="77777777" w:rsidR="00806461" w:rsidRPr="00256982" w:rsidRDefault="00806461">
            <w:pPr>
              <w:pStyle w:val="TableText"/>
              <w:spacing w:before="50" w:after="50"/>
            </w:pPr>
            <w:r w:rsidRPr="00256982">
              <w:t>2.C.3</w:t>
            </w:r>
          </w:p>
        </w:tc>
        <w:tc>
          <w:tcPr>
            <w:tcW w:w="2609" w:type="pct"/>
            <w:tcBorders>
              <w:top w:val="single" w:sz="4" w:space="0" w:color="365F91"/>
              <w:left w:val="nil"/>
              <w:bottom w:val="single" w:sz="4" w:space="0" w:color="365F91"/>
              <w:right w:val="nil"/>
            </w:tcBorders>
            <w:shd w:val="clear" w:color="auto" w:fill="FFFFFF"/>
            <w:vAlign w:val="center"/>
            <w:hideMark/>
          </w:tcPr>
          <w:p w14:paraId="6822BA4D" w14:textId="77777777" w:rsidR="00806461" w:rsidRPr="00256982" w:rsidRDefault="00806461">
            <w:pPr>
              <w:pStyle w:val="TableText"/>
              <w:spacing w:before="50" w:after="50"/>
              <w:rPr>
                <w:color w:val="000000"/>
                <w:szCs w:val="16"/>
                <w:lang w:eastAsia="en-NZ"/>
              </w:rPr>
            </w:pPr>
            <w:r w:rsidRPr="00256982">
              <w:rPr>
                <w:color w:val="000000"/>
                <w:szCs w:val="16"/>
                <w:lang w:eastAsia="en-NZ"/>
              </w:rPr>
              <w:t>Metal Industry – Aluminium Production</w:t>
            </w:r>
          </w:p>
        </w:tc>
        <w:tc>
          <w:tcPr>
            <w:tcW w:w="537" w:type="pct"/>
            <w:tcBorders>
              <w:top w:val="single" w:sz="4" w:space="0" w:color="365F91"/>
              <w:left w:val="nil"/>
              <w:bottom w:val="single" w:sz="4" w:space="0" w:color="365F91"/>
              <w:right w:val="nil"/>
            </w:tcBorders>
            <w:shd w:val="clear" w:color="auto" w:fill="FFFFFF"/>
            <w:vAlign w:val="center"/>
            <w:hideMark/>
          </w:tcPr>
          <w:p w14:paraId="17521BE1" w14:textId="77777777" w:rsidR="00806461" w:rsidRPr="00256982" w:rsidRDefault="00806461">
            <w:pPr>
              <w:pStyle w:val="TableText"/>
              <w:spacing w:before="50" w:after="50"/>
              <w:jc w:val="center"/>
              <w:rPr>
                <w:color w:val="000000"/>
                <w:szCs w:val="16"/>
                <w:lang w:eastAsia="en-NZ"/>
              </w:rPr>
            </w:pPr>
            <w:r w:rsidRPr="00256982">
              <w:rPr>
                <w:color w:val="000000"/>
                <w:szCs w:val="16"/>
                <w:lang w:eastAsia="en-NZ"/>
              </w:rPr>
              <w:t>CO</w:t>
            </w:r>
            <w:r w:rsidRPr="00256982">
              <w:rPr>
                <w:color w:val="000000"/>
                <w:szCs w:val="16"/>
                <w:vertAlign w:val="subscript"/>
                <w:lang w:eastAsia="en-NZ"/>
              </w:rPr>
              <w:t>2</w:t>
            </w:r>
          </w:p>
        </w:tc>
        <w:tc>
          <w:tcPr>
            <w:tcW w:w="860" w:type="pct"/>
            <w:tcBorders>
              <w:top w:val="single" w:sz="4" w:space="0" w:color="365F91"/>
              <w:left w:val="nil"/>
              <w:bottom w:val="single" w:sz="4" w:space="0" w:color="365F91"/>
              <w:right w:val="nil"/>
            </w:tcBorders>
            <w:shd w:val="clear" w:color="auto" w:fill="FFFFFF"/>
            <w:vAlign w:val="center"/>
            <w:hideMark/>
          </w:tcPr>
          <w:p w14:paraId="44043C89" w14:textId="77777777" w:rsidR="00806461" w:rsidRPr="00256982" w:rsidRDefault="00806461">
            <w:pPr>
              <w:pStyle w:val="TableText"/>
              <w:spacing w:before="50" w:after="50"/>
              <w:rPr>
                <w:color w:val="000000"/>
                <w:szCs w:val="16"/>
                <w:lang w:eastAsia="en-NZ"/>
              </w:rPr>
            </w:pPr>
            <w:r w:rsidRPr="00256982">
              <w:rPr>
                <w:color w:val="000000"/>
                <w:szCs w:val="16"/>
                <w:lang w:eastAsia="en-NZ"/>
              </w:rPr>
              <w:t>L1</w:t>
            </w:r>
          </w:p>
        </w:tc>
      </w:tr>
      <w:tr w:rsidR="00806461" w:rsidRPr="00256982" w14:paraId="39A56C26" w14:textId="77777777" w:rsidTr="00806461">
        <w:trPr>
          <w:trHeight w:val="305"/>
        </w:trPr>
        <w:tc>
          <w:tcPr>
            <w:tcW w:w="993" w:type="pct"/>
            <w:tcBorders>
              <w:top w:val="single" w:sz="4" w:space="0" w:color="365F91"/>
              <w:left w:val="nil"/>
              <w:bottom w:val="single" w:sz="4" w:space="0" w:color="365F91"/>
              <w:right w:val="nil"/>
            </w:tcBorders>
            <w:shd w:val="clear" w:color="auto" w:fill="FFFFFF"/>
            <w:hideMark/>
          </w:tcPr>
          <w:p w14:paraId="38B0AFAB" w14:textId="77777777" w:rsidR="00806461" w:rsidRPr="00256982" w:rsidRDefault="00806461">
            <w:pPr>
              <w:pStyle w:val="TableText"/>
              <w:spacing w:before="50" w:after="50"/>
            </w:pPr>
            <w:r w:rsidRPr="00256982">
              <w:t>2.C.3</w:t>
            </w:r>
          </w:p>
        </w:tc>
        <w:tc>
          <w:tcPr>
            <w:tcW w:w="2609" w:type="pct"/>
            <w:tcBorders>
              <w:top w:val="single" w:sz="4" w:space="0" w:color="365F91"/>
              <w:left w:val="nil"/>
              <w:bottom w:val="single" w:sz="4" w:space="0" w:color="365F91"/>
              <w:right w:val="nil"/>
            </w:tcBorders>
            <w:shd w:val="clear" w:color="auto" w:fill="FFFFFF"/>
            <w:vAlign w:val="center"/>
            <w:hideMark/>
          </w:tcPr>
          <w:p w14:paraId="6D500CF5" w14:textId="77777777" w:rsidR="00806461" w:rsidRPr="00256982" w:rsidRDefault="00806461">
            <w:pPr>
              <w:pStyle w:val="TableText"/>
              <w:spacing w:before="50" w:after="50"/>
              <w:rPr>
                <w:color w:val="000000"/>
                <w:szCs w:val="16"/>
                <w:lang w:eastAsia="en-NZ"/>
              </w:rPr>
            </w:pPr>
            <w:r w:rsidRPr="00256982">
              <w:rPr>
                <w:color w:val="000000"/>
                <w:szCs w:val="16"/>
                <w:lang w:eastAsia="en-NZ"/>
              </w:rPr>
              <w:t>Metal Industry – Aluminium Production</w:t>
            </w:r>
          </w:p>
        </w:tc>
        <w:tc>
          <w:tcPr>
            <w:tcW w:w="537" w:type="pct"/>
            <w:tcBorders>
              <w:top w:val="single" w:sz="4" w:space="0" w:color="365F91"/>
              <w:left w:val="nil"/>
              <w:bottom w:val="single" w:sz="4" w:space="0" w:color="365F91"/>
              <w:right w:val="nil"/>
            </w:tcBorders>
            <w:shd w:val="clear" w:color="auto" w:fill="FFFFFF"/>
            <w:vAlign w:val="center"/>
            <w:hideMark/>
          </w:tcPr>
          <w:p w14:paraId="330E0B0A" w14:textId="77777777" w:rsidR="00806461" w:rsidRPr="00256982" w:rsidRDefault="00806461">
            <w:pPr>
              <w:pStyle w:val="TableText"/>
              <w:spacing w:before="50" w:after="50"/>
              <w:jc w:val="center"/>
              <w:rPr>
                <w:color w:val="000000"/>
                <w:szCs w:val="16"/>
                <w:lang w:eastAsia="en-NZ"/>
              </w:rPr>
            </w:pPr>
            <w:r w:rsidRPr="00256982">
              <w:rPr>
                <w:color w:val="000000"/>
                <w:szCs w:val="16"/>
                <w:lang w:eastAsia="en-NZ"/>
              </w:rPr>
              <w:t>PFCs</w:t>
            </w:r>
          </w:p>
        </w:tc>
        <w:tc>
          <w:tcPr>
            <w:tcW w:w="860" w:type="pct"/>
            <w:tcBorders>
              <w:top w:val="single" w:sz="4" w:space="0" w:color="365F91"/>
              <w:left w:val="nil"/>
              <w:bottom w:val="single" w:sz="4" w:space="0" w:color="365F91"/>
              <w:right w:val="nil"/>
            </w:tcBorders>
            <w:shd w:val="clear" w:color="auto" w:fill="FFFFFF"/>
            <w:vAlign w:val="center"/>
            <w:hideMark/>
          </w:tcPr>
          <w:p w14:paraId="3CCA582C" w14:textId="77777777" w:rsidR="00806461" w:rsidRPr="00256982" w:rsidRDefault="00806461">
            <w:pPr>
              <w:pStyle w:val="TableText"/>
              <w:spacing w:before="50" w:after="50"/>
              <w:rPr>
                <w:color w:val="000000"/>
                <w:szCs w:val="16"/>
                <w:lang w:eastAsia="en-NZ"/>
              </w:rPr>
            </w:pPr>
            <w:r w:rsidRPr="00256982">
              <w:rPr>
                <w:color w:val="000000"/>
                <w:szCs w:val="16"/>
                <w:lang w:eastAsia="en-NZ"/>
              </w:rPr>
              <w:t>T1</w:t>
            </w:r>
          </w:p>
        </w:tc>
      </w:tr>
      <w:tr w:rsidR="00806461" w:rsidRPr="00256982" w14:paraId="7A01FB71" w14:textId="77777777" w:rsidTr="00806461">
        <w:trPr>
          <w:trHeight w:val="305"/>
        </w:trPr>
        <w:tc>
          <w:tcPr>
            <w:tcW w:w="993" w:type="pct"/>
            <w:tcBorders>
              <w:top w:val="single" w:sz="4" w:space="0" w:color="365F91"/>
              <w:left w:val="nil"/>
              <w:bottom w:val="single" w:sz="4" w:space="0" w:color="365F91"/>
              <w:right w:val="nil"/>
            </w:tcBorders>
            <w:shd w:val="clear" w:color="auto" w:fill="FFFFFF"/>
            <w:hideMark/>
          </w:tcPr>
          <w:p w14:paraId="1A32B151" w14:textId="77777777" w:rsidR="00806461" w:rsidRPr="00256982" w:rsidRDefault="00806461">
            <w:pPr>
              <w:pStyle w:val="TableText"/>
              <w:spacing w:before="50" w:after="50"/>
            </w:pPr>
            <w:r w:rsidRPr="00256982">
              <w:t>2.F.1</w:t>
            </w:r>
          </w:p>
        </w:tc>
        <w:tc>
          <w:tcPr>
            <w:tcW w:w="2609" w:type="pct"/>
            <w:tcBorders>
              <w:top w:val="single" w:sz="4" w:space="0" w:color="365F91"/>
              <w:left w:val="nil"/>
              <w:bottom w:val="single" w:sz="4" w:space="0" w:color="365F91"/>
              <w:right w:val="nil"/>
            </w:tcBorders>
            <w:shd w:val="clear" w:color="auto" w:fill="FFFFFF"/>
            <w:vAlign w:val="center"/>
            <w:hideMark/>
          </w:tcPr>
          <w:p w14:paraId="25C93D27" w14:textId="77777777" w:rsidR="00806461" w:rsidRPr="00256982" w:rsidRDefault="00806461">
            <w:pPr>
              <w:pStyle w:val="TableText"/>
              <w:spacing w:before="50" w:after="50"/>
              <w:rPr>
                <w:color w:val="000000"/>
                <w:szCs w:val="16"/>
                <w:lang w:eastAsia="en-NZ"/>
              </w:rPr>
            </w:pPr>
            <w:r w:rsidRPr="00256982">
              <w:rPr>
                <w:color w:val="000000"/>
                <w:szCs w:val="16"/>
                <w:lang w:eastAsia="en-NZ"/>
              </w:rPr>
              <w:t>Product Uses as Substitutes for ODS – Refrigeration and Air Conditioning</w:t>
            </w:r>
          </w:p>
        </w:tc>
        <w:tc>
          <w:tcPr>
            <w:tcW w:w="537" w:type="pct"/>
            <w:tcBorders>
              <w:top w:val="single" w:sz="4" w:space="0" w:color="365F91"/>
              <w:left w:val="nil"/>
              <w:bottom w:val="single" w:sz="4" w:space="0" w:color="365F91"/>
              <w:right w:val="nil"/>
            </w:tcBorders>
            <w:shd w:val="clear" w:color="auto" w:fill="FFFFFF"/>
            <w:vAlign w:val="center"/>
            <w:hideMark/>
          </w:tcPr>
          <w:p w14:paraId="343BDB02" w14:textId="77777777" w:rsidR="00806461" w:rsidRPr="00256982" w:rsidRDefault="00806461">
            <w:pPr>
              <w:pStyle w:val="TableText"/>
              <w:spacing w:before="50" w:after="50"/>
              <w:jc w:val="center"/>
              <w:rPr>
                <w:color w:val="000000"/>
                <w:szCs w:val="16"/>
                <w:lang w:eastAsia="en-NZ"/>
              </w:rPr>
            </w:pPr>
            <w:r w:rsidRPr="00256982">
              <w:rPr>
                <w:color w:val="000000"/>
                <w:szCs w:val="16"/>
                <w:lang w:eastAsia="en-NZ"/>
              </w:rPr>
              <w:t>HFCs</w:t>
            </w:r>
          </w:p>
        </w:tc>
        <w:tc>
          <w:tcPr>
            <w:tcW w:w="860" w:type="pct"/>
            <w:tcBorders>
              <w:top w:val="single" w:sz="4" w:space="0" w:color="365F91"/>
              <w:left w:val="nil"/>
              <w:bottom w:val="single" w:sz="4" w:space="0" w:color="365F91"/>
              <w:right w:val="nil"/>
            </w:tcBorders>
            <w:shd w:val="clear" w:color="auto" w:fill="FFFFFF"/>
            <w:vAlign w:val="center"/>
            <w:hideMark/>
          </w:tcPr>
          <w:p w14:paraId="774DAD65" w14:textId="77777777" w:rsidR="00806461" w:rsidRPr="00256982" w:rsidRDefault="00806461">
            <w:pPr>
              <w:pStyle w:val="TableText"/>
              <w:spacing w:before="50" w:after="50"/>
              <w:rPr>
                <w:color w:val="000000"/>
                <w:szCs w:val="16"/>
                <w:lang w:eastAsia="en-NZ"/>
              </w:rPr>
            </w:pPr>
            <w:r w:rsidRPr="00256982">
              <w:rPr>
                <w:color w:val="000000"/>
                <w:szCs w:val="16"/>
                <w:lang w:eastAsia="en-NZ"/>
              </w:rPr>
              <w:t>L1, T1</w:t>
            </w:r>
          </w:p>
        </w:tc>
      </w:tr>
      <w:tr w:rsidR="00806461" w:rsidRPr="00256982" w14:paraId="785BEA37" w14:textId="77777777" w:rsidTr="00806461">
        <w:trPr>
          <w:trHeight w:val="305"/>
        </w:trPr>
        <w:tc>
          <w:tcPr>
            <w:tcW w:w="993" w:type="pct"/>
            <w:tcBorders>
              <w:top w:val="single" w:sz="4" w:space="0" w:color="365F91"/>
              <w:left w:val="nil"/>
              <w:bottom w:val="single" w:sz="4" w:space="0" w:color="365F91"/>
              <w:right w:val="nil"/>
            </w:tcBorders>
            <w:shd w:val="clear" w:color="auto" w:fill="FFFFFF"/>
            <w:hideMark/>
          </w:tcPr>
          <w:p w14:paraId="391812B7" w14:textId="77777777" w:rsidR="00806461" w:rsidRPr="00256982" w:rsidRDefault="00806461">
            <w:pPr>
              <w:pStyle w:val="TableText"/>
              <w:spacing w:before="50" w:after="50"/>
            </w:pPr>
            <w:r w:rsidRPr="00256982">
              <w:t>2.F.4</w:t>
            </w:r>
          </w:p>
        </w:tc>
        <w:tc>
          <w:tcPr>
            <w:tcW w:w="2609" w:type="pct"/>
            <w:tcBorders>
              <w:top w:val="single" w:sz="4" w:space="0" w:color="365F91"/>
              <w:left w:val="nil"/>
              <w:bottom w:val="single" w:sz="4" w:space="0" w:color="365F91"/>
              <w:right w:val="nil"/>
            </w:tcBorders>
            <w:shd w:val="clear" w:color="auto" w:fill="FFFFFF"/>
            <w:vAlign w:val="center"/>
            <w:hideMark/>
          </w:tcPr>
          <w:p w14:paraId="6B92C946" w14:textId="77777777" w:rsidR="00806461" w:rsidRPr="00256982" w:rsidRDefault="00806461">
            <w:pPr>
              <w:pStyle w:val="TableText"/>
              <w:spacing w:before="50" w:after="50"/>
              <w:rPr>
                <w:color w:val="000000"/>
                <w:szCs w:val="16"/>
                <w:lang w:eastAsia="en-NZ"/>
              </w:rPr>
            </w:pPr>
            <w:r w:rsidRPr="00256982">
              <w:rPr>
                <w:color w:val="000000"/>
                <w:szCs w:val="16"/>
                <w:lang w:eastAsia="en-NZ"/>
              </w:rPr>
              <w:t>Product Uses as Substitutes for ODS – Aerosols</w:t>
            </w:r>
          </w:p>
        </w:tc>
        <w:tc>
          <w:tcPr>
            <w:tcW w:w="537" w:type="pct"/>
            <w:tcBorders>
              <w:top w:val="single" w:sz="4" w:space="0" w:color="365F91"/>
              <w:left w:val="nil"/>
              <w:bottom w:val="single" w:sz="4" w:space="0" w:color="365F91"/>
              <w:right w:val="nil"/>
            </w:tcBorders>
            <w:shd w:val="clear" w:color="auto" w:fill="FFFFFF"/>
            <w:vAlign w:val="center"/>
            <w:hideMark/>
          </w:tcPr>
          <w:p w14:paraId="7940779D" w14:textId="77777777" w:rsidR="00806461" w:rsidRPr="00256982" w:rsidRDefault="00806461">
            <w:pPr>
              <w:pStyle w:val="TableText"/>
              <w:spacing w:before="50" w:after="50"/>
              <w:jc w:val="center"/>
              <w:rPr>
                <w:color w:val="000000"/>
                <w:szCs w:val="16"/>
                <w:lang w:eastAsia="en-NZ"/>
              </w:rPr>
            </w:pPr>
            <w:r w:rsidRPr="00256982">
              <w:rPr>
                <w:color w:val="000000"/>
                <w:szCs w:val="16"/>
                <w:lang w:eastAsia="en-NZ"/>
              </w:rPr>
              <w:t>HFCs</w:t>
            </w:r>
          </w:p>
        </w:tc>
        <w:tc>
          <w:tcPr>
            <w:tcW w:w="860" w:type="pct"/>
            <w:tcBorders>
              <w:top w:val="single" w:sz="4" w:space="0" w:color="365F91"/>
              <w:left w:val="nil"/>
              <w:bottom w:val="single" w:sz="4" w:space="0" w:color="365F91"/>
              <w:right w:val="nil"/>
            </w:tcBorders>
            <w:shd w:val="clear" w:color="auto" w:fill="FFFFFF"/>
            <w:vAlign w:val="center"/>
            <w:hideMark/>
          </w:tcPr>
          <w:p w14:paraId="3939C589" w14:textId="77777777" w:rsidR="00806461" w:rsidRPr="00256982" w:rsidRDefault="00806461">
            <w:pPr>
              <w:pStyle w:val="TableText"/>
              <w:spacing w:before="50" w:after="50"/>
              <w:rPr>
                <w:color w:val="000000"/>
                <w:szCs w:val="16"/>
                <w:lang w:eastAsia="en-NZ"/>
              </w:rPr>
            </w:pPr>
            <w:r w:rsidRPr="00256982">
              <w:rPr>
                <w:color w:val="000000"/>
                <w:szCs w:val="16"/>
                <w:lang w:eastAsia="en-NZ"/>
              </w:rPr>
              <w:t>T1</w:t>
            </w:r>
          </w:p>
        </w:tc>
      </w:tr>
    </w:tbl>
    <w:p w14:paraId="79352AD3" w14:textId="77777777" w:rsidR="00806461" w:rsidRPr="00256982" w:rsidRDefault="00806461" w:rsidP="00806461">
      <w:pPr>
        <w:pStyle w:val="Noteundertable"/>
        <w:jc w:val="left"/>
      </w:pPr>
      <w:r w:rsidRPr="00256982">
        <w:rPr>
          <w:rFonts w:cs="Arial"/>
          <w:b/>
        </w:rPr>
        <w:t>Note:</w:t>
      </w:r>
      <w:r w:rsidRPr="00256982">
        <w:rPr>
          <w:rFonts w:cs="Arial"/>
        </w:rPr>
        <w:tab/>
      </w:r>
      <w:r w:rsidRPr="00256982">
        <w:t>L1 means a key category is identified under the level analysis – approach 1 and T1 is trend analysis – approach 1. Refer to chapter 1 for more information.</w:t>
      </w:r>
    </w:p>
    <w:p w14:paraId="07B8E1C2" w14:textId="77777777" w:rsidR="00806461" w:rsidRPr="00256982" w:rsidRDefault="00806461" w:rsidP="001D3490">
      <w:pPr>
        <w:pStyle w:val="Heading3"/>
      </w:pPr>
      <w:r w:rsidRPr="00256982">
        <w:lastRenderedPageBreak/>
        <w:t>4.1.4</w:t>
      </w:r>
      <w:r w:rsidRPr="00256982">
        <w:tab/>
        <w:t>Methodological issues for the IPPU sector</w:t>
      </w:r>
    </w:p>
    <w:p w14:paraId="5AB981C1" w14:textId="77777777" w:rsidR="00806461" w:rsidRPr="00256982" w:rsidRDefault="00806461" w:rsidP="00806461">
      <w:pPr>
        <w:pStyle w:val="BodyText"/>
        <w:rPr>
          <w:rFonts w:eastAsia="+mn-ea"/>
        </w:rPr>
      </w:pPr>
      <w:r w:rsidRPr="00256982">
        <w:rPr>
          <w:rFonts w:eastAsia="+mn-ea"/>
        </w:rPr>
        <w:t xml:space="preserve">Activity data in the IPPU sector have been derived from a variety of sources. In the </w:t>
      </w:r>
      <w:r w:rsidRPr="00256982">
        <w:rPr>
          <w:rFonts w:eastAsia="+mn-ea"/>
          <w:i/>
        </w:rPr>
        <w:t>Mineral industry</w:t>
      </w:r>
      <w:r w:rsidRPr="00256982">
        <w:rPr>
          <w:rFonts w:eastAsia="+mn-ea"/>
        </w:rPr>
        <w:t xml:space="preserve"> category, the primary data source is emissions data reported under the New Zealand Emissions Trading Scheme (NZ ETS). For the </w:t>
      </w:r>
      <w:r w:rsidRPr="00256982">
        <w:rPr>
          <w:rFonts w:eastAsia="+mn-ea"/>
          <w:i/>
        </w:rPr>
        <w:t>Chemical industry</w:t>
      </w:r>
      <w:r w:rsidRPr="00256982">
        <w:rPr>
          <w:rFonts w:eastAsia="+mn-ea"/>
        </w:rPr>
        <w:t xml:space="preserve"> and </w:t>
      </w:r>
      <w:r w:rsidRPr="00256982">
        <w:rPr>
          <w:rFonts w:eastAsia="+mn-ea"/>
          <w:i/>
        </w:rPr>
        <w:t>Metal industry</w:t>
      </w:r>
      <w:r w:rsidRPr="00256982">
        <w:rPr>
          <w:rFonts w:eastAsia="+mn-ea"/>
        </w:rPr>
        <w:t xml:space="preserve"> categories, data (including activity data) are provided to the Ministry of Business, Innovation and Employment (MBIE) in response to an annual survey. </w:t>
      </w:r>
    </w:p>
    <w:p w14:paraId="19B39E62" w14:textId="77777777" w:rsidR="00806461" w:rsidRPr="00256982" w:rsidRDefault="00806461" w:rsidP="00806461">
      <w:pPr>
        <w:pStyle w:val="BodyText"/>
        <w:rPr>
          <w:rFonts w:eastAsia="+mn-ea"/>
        </w:rPr>
      </w:pPr>
      <w:r w:rsidRPr="00256982">
        <w:rPr>
          <w:rFonts w:eastAsia="+mn-ea"/>
        </w:rPr>
        <w:t xml:space="preserve">For some large-scale activities in the </w:t>
      </w:r>
      <w:r w:rsidRPr="00256982">
        <w:rPr>
          <w:rFonts w:eastAsia="+mn-ea"/>
          <w:i/>
        </w:rPr>
        <w:t>Mineral industry</w:t>
      </w:r>
      <w:r w:rsidRPr="00256982">
        <w:rPr>
          <w:rFonts w:eastAsia="+mn-ea"/>
        </w:rPr>
        <w:t xml:space="preserve">, </w:t>
      </w:r>
      <w:r w:rsidRPr="00256982">
        <w:rPr>
          <w:rFonts w:eastAsia="+mn-ea"/>
          <w:i/>
        </w:rPr>
        <w:t>Chemical industry</w:t>
      </w:r>
      <w:r w:rsidRPr="00256982">
        <w:rPr>
          <w:rFonts w:eastAsia="+mn-ea"/>
        </w:rPr>
        <w:t xml:space="preserve"> and </w:t>
      </w:r>
      <w:r w:rsidRPr="00256982">
        <w:rPr>
          <w:rFonts w:eastAsia="+mn-ea"/>
          <w:i/>
        </w:rPr>
        <w:t>Metal industry</w:t>
      </w:r>
      <w:r w:rsidRPr="00256982">
        <w:rPr>
          <w:rFonts w:eastAsia="+mn-ea"/>
        </w:rPr>
        <w:t xml:space="preserve"> categories, which are carried out by only one or two companies in New Zealand, activity data are reported as confidential in the CRF tables. </w:t>
      </w:r>
    </w:p>
    <w:p w14:paraId="1ACFE434" w14:textId="77777777" w:rsidR="00806461" w:rsidRPr="00256982" w:rsidRDefault="00806461" w:rsidP="00806461">
      <w:pPr>
        <w:pStyle w:val="BodyText"/>
        <w:rPr>
          <w:rFonts w:eastAsia="+mn-ea"/>
        </w:rPr>
      </w:pPr>
      <w:r w:rsidRPr="00256982">
        <w:rPr>
          <w:rFonts w:eastAsia="+mn-ea"/>
        </w:rPr>
        <w:t xml:space="preserve">Emissions data for glass production (2.A.3) are reported in 2.A.4 to aggregate the data with other sources and preserve confidentiality. Also, data on emissions from hydrogen making at the Marsden Point oil refinery are reported in the </w:t>
      </w:r>
      <w:r w:rsidRPr="00256982">
        <w:rPr>
          <w:rFonts w:eastAsia="+mn-ea"/>
          <w:i/>
        </w:rPr>
        <w:t>Chemical industry</w:t>
      </w:r>
      <w:r w:rsidRPr="00256982">
        <w:rPr>
          <w:rFonts w:eastAsia="+mn-ea"/>
        </w:rPr>
        <w:t xml:space="preserve"> source category. This allows data from New Zealand’s only industrial hydrogen making process, which is smaller in scale than refining, to be aggregated and kept confidential. </w:t>
      </w:r>
    </w:p>
    <w:p w14:paraId="3472671F" w14:textId="77777777" w:rsidR="00806461" w:rsidRPr="00256982" w:rsidRDefault="00806461" w:rsidP="00806461">
      <w:pPr>
        <w:pStyle w:val="BodyText"/>
        <w:rPr>
          <w:rFonts w:eastAsia="+mn-ea"/>
        </w:rPr>
      </w:pPr>
      <w:r w:rsidRPr="00256982">
        <w:rPr>
          <w:rFonts w:eastAsia="+mn-ea"/>
        </w:rPr>
        <w:t xml:space="preserve">For the </w:t>
      </w:r>
      <w:r w:rsidRPr="00256982">
        <w:rPr>
          <w:rFonts w:eastAsia="+mn-ea"/>
          <w:i/>
        </w:rPr>
        <w:t>Product uses as substitutes for ODS</w:t>
      </w:r>
      <w:r w:rsidRPr="00256982">
        <w:rPr>
          <w:rFonts w:eastAsia="+mn-ea"/>
        </w:rPr>
        <w:t xml:space="preserve"> source category, updated activity data have been obtained by a detailed annual survey covering the electrical, refrigeration and other industry participants (CRL Energy, unpublished(c)) as well as importers of HFCs and other substances in this source category. </w:t>
      </w:r>
    </w:p>
    <w:p w14:paraId="23EAEE00" w14:textId="77777777" w:rsidR="00806461" w:rsidRPr="00256982" w:rsidRDefault="00806461" w:rsidP="00806461">
      <w:pPr>
        <w:pStyle w:val="BodyText"/>
      </w:pPr>
      <w:r w:rsidRPr="00256982">
        <w:t>New Zealand uses a combination of Tier 1 and Tier 2 methodologies for the IPPU sector. Tier 2 methods are used for all key categories with the exception of CH</w:t>
      </w:r>
      <w:r w:rsidRPr="00256982">
        <w:rPr>
          <w:vertAlign w:val="subscript"/>
        </w:rPr>
        <w:t>4</w:t>
      </w:r>
      <w:r w:rsidRPr="00256982">
        <w:t xml:space="preserve"> emissions from methanol production (CRF 2.B.8) for which no Tier 2 method is available. </w:t>
      </w:r>
    </w:p>
    <w:p w14:paraId="06B93265" w14:textId="77777777" w:rsidR="00806461" w:rsidRPr="00256982" w:rsidRDefault="00806461" w:rsidP="00806461">
      <w:pPr>
        <w:pStyle w:val="BodyText"/>
        <w:rPr>
          <w:rFonts w:eastAsia="+mn-ea"/>
        </w:rPr>
      </w:pPr>
      <w:r w:rsidRPr="00256982">
        <w:rPr>
          <w:rFonts w:eastAsia="+mn-ea"/>
        </w:rPr>
        <w:t xml:space="preserve">For small amounts of indirect greenhouse gas emissions reported in the </w:t>
      </w:r>
      <w:r w:rsidRPr="00256982">
        <w:rPr>
          <w:rFonts w:eastAsia="+mn-ea"/>
          <w:i/>
        </w:rPr>
        <w:t>Chemical industry</w:t>
      </w:r>
      <w:r w:rsidRPr="00256982">
        <w:rPr>
          <w:rFonts w:eastAsia="+mn-ea"/>
        </w:rPr>
        <w:t xml:space="preserve"> category and the </w:t>
      </w:r>
      <w:r w:rsidRPr="00256982">
        <w:rPr>
          <w:rFonts w:eastAsia="+mn-ea"/>
          <w:i/>
        </w:rPr>
        <w:t>Other product manufacture and use</w:t>
      </w:r>
      <w:r w:rsidRPr="00256982">
        <w:rPr>
          <w:rFonts w:eastAsia="+mn-ea"/>
        </w:rPr>
        <w:t xml:space="preserve"> category, data were obtained by a detailed industry survey and analysis (CRL Energy, unpublished(a)). Emissions and activity data have been extrapolated for the years since 2006. </w:t>
      </w:r>
    </w:p>
    <w:p w14:paraId="09CF0F9B" w14:textId="77777777" w:rsidR="00806461" w:rsidRPr="00256982" w:rsidRDefault="00806461" w:rsidP="00806461">
      <w:pPr>
        <w:pStyle w:val="BodyText"/>
      </w:pPr>
      <w:r w:rsidRPr="00256982">
        <w:t xml:space="preserve">Country-specific emission factors have been used where available, including for emissions of indirect greenhouse gases. </w:t>
      </w:r>
    </w:p>
    <w:p w14:paraId="679668A6" w14:textId="77777777" w:rsidR="00806461" w:rsidRPr="00256982" w:rsidRDefault="00806461" w:rsidP="001D3490">
      <w:pPr>
        <w:pStyle w:val="Heading3"/>
      </w:pPr>
      <w:r w:rsidRPr="00256982">
        <w:t>4.1.5</w:t>
      </w:r>
      <w:r w:rsidRPr="00256982">
        <w:tab/>
        <w:t>Uncertainties</w:t>
      </w:r>
    </w:p>
    <w:p w14:paraId="1039A31E" w14:textId="77777777" w:rsidR="00806461" w:rsidRPr="00256982" w:rsidRDefault="00806461" w:rsidP="00806461">
      <w:pPr>
        <w:pStyle w:val="BodyText"/>
      </w:pPr>
      <w:r w:rsidRPr="00256982">
        <w:t>The uncertainties are discussed under each category. Intergovernmental Panel on Climate Change (IPCC) default uncertainties have been used in nearly all cases.</w:t>
      </w:r>
    </w:p>
    <w:p w14:paraId="0E335E37" w14:textId="77777777" w:rsidR="00806461" w:rsidRPr="00256982" w:rsidRDefault="00806461" w:rsidP="00806461">
      <w:pPr>
        <w:pStyle w:val="BodyText"/>
      </w:pPr>
      <w:r w:rsidRPr="00256982">
        <w:t xml:space="preserve">Country-specific estimates of uncertainty have been made in the </w:t>
      </w:r>
      <w:r w:rsidRPr="00256982">
        <w:rPr>
          <w:rFonts w:eastAsia="+mn-ea"/>
          <w:i/>
        </w:rPr>
        <w:t>Product uses as substitutes for ODS</w:t>
      </w:r>
      <w:r w:rsidRPr="00256982">
        <w:rPr>
          <w:rFonts w:eastAsia="+mn-ea"/>
        </w:rPr>
        <w:t xml:space="preserve"> source category, reflecting the variable quality of data provided by a large number of survey respondents, and have been updated for this submission</w:t>
      </w:r>
      <w:r w:rsidRPr="00256982">
        <w:t xml:space="preserve">. </w:t>
      </w:r>
    </w:p>
    <w:p w14:paraId="63B20CD1" w14:textId="77777777" w:rsidR="00806461" w:rsidRPr="00256982" w:rsidRDefault="00806461" w:rsidP="001D3490">
      <w:pPr>
        <w:pStyle w:val="Heading3"/>
      </w:pPr>
      <w:r w:rsidRPr="00256982">
        <w:t>4.1.6</w:t>
      </w:r>
      <w:r w:rsidRPr="00256982">
        <w:tab/>
        <w:t>Verification</w:t>
      </w:r>
    </w:p>
    <w:p w14:paraId="40A2878A" w14:textId="77777777" w:rsidR="00806461" w:rsidRPr="00256982" w:rsidRDefault="00806461" w:rsidP="00806461">
      <w:pPr>
        <w:pStyle w:val="BodyText"/>
      </w:pPr>
      <w:r w:rsidRPr="00256982">
        <w:t>The inventory agency (the Ministry for the Environment) verified information on CO</w:t>
      </w:r>
      <w:r w:rsidRPr="00256982">
        <w:rPr>
          <w:vertAlign w:val="subscript"/>
        </w:rPr>
        <w:t>2</w:t>
      </w:r>
      <w:r w:rsidRPr="00256982">
        <w:t xml:space="preserve"> emissions reported in the </w:t>
      </w:r>
      <w:r w:rsidRPr="00256982">
        <w:rPr>
          <w:i/>
        </w:rPr>
        <w:t>Iron and steel production</w:t>
      </w:r>
      <w:r w:rsidRPr="00256982">
        <w:t xml:space="preserve"> category against information provided by these industries as participants in the NZ ETS. </w:t>
      </w:r>
    </w:p>
    <w:p w14:paraId="36369C44" w14:textId="77777777" w:rsidR="00806461" w:rsidRPr="00256982" w:rsidRDefault="00806461" w:rsidP="00806461">
      <w:pPr>
        <w:pStyle w:val="BodyText"/>
      </w:pPr>
      <w:r w:rsidRPr="00256982">
        <w:t xml:space="preserve">For PFCs in the </w:t>
      </w:r>
      <w:r w:rsidRPr="00256982">
        <w:rPr>
          <w:i/>
        </w:rPr>
        <w:t>Aluminium production</w:t>
      </w:r>
      <w:r w:rsidRPr="00256982">
        <w:t xml:space="preserve"> category and for CO</w:t>
      </w:r>
      <w:r w:rsidRPr="00256982">
        <w:rPr>
          <w:vertAlign w:val="subscript"/>
        </w:rPr>
        <w:t>2</w:t>
      </w:r>
      <w:r w:rsidRPr="00256982">
        <w:t xml:space="preserve"> in the </w:t>
      </w:r>
      <w:r w:rsidRPr="00256982">
        <w:rPr>
          <w:i/>
        </w:rPr>
        <w:t>Mineral industry</w:t>
      </w:r>
      <w:r w:rsidRPr="00256982">
        <w:t xml:space="preserve"> category, the NZ ETS is used as a primary data source. Verification will be done over time as ETS returns are verified by the agency that administers the NZ ETS, but no specific verification has been possible for this submission. </w:t>
      </w:r>
    </w:p>
    <w:p w14:paraId="68159C17" w14:textId="77777777" w:rsidR="00806461" w:rsidRPr="00256982" w:rsidRDefault="00806461" w:rsidP="00806461">
      <w:pPr>
        <w:pStyle w:val="BodyText"/>
      </w:pPr>
      <w:r w:rsidRPr="00256982">
        <w:lastRenderedPageBreak/>
        <w:t xml:space="preserve">All data supplied in response to annual surveys (for the </w:t>
      </w:r>
      <w:r w:rsidRPr="00256982">
        <w:rPr>
          <w:i/>
        </w:rPr>
        <w:t>Chemical industry</w:t>
      </w:r>
      <w:r w:rsidRPr="00256982">
        <w:t xml:space="preserve">, </w:t>
      </w:r>
      <w:r w:rsidRPr="00256982">
        <w:rPr>
          <w:i/>
        </w:rPr>
        <w:t>Metal industry</w:t>
      </w:r>
      <w:r w:rsidRPr="00256982">
        <w:t xml:space="preserve"> and </w:t>
      </w:r>
      <w:r w:rsidRPr="00256982">
        <w:rPr>
          <w:i/>
        </w:rPr>
        <w:t>Product uses as substitutes for ODS</w:t>
      </w:r>
      <w:r w:rsidRPr="00256982">
        <w:t xml:space="preserve"> categories) were verified against national totals where possible and anomalous data followed up and checked. </w:t>
      </w:r>
    </w:p>
    <w:p w14:paraId="201211D2" w14:textId="77777777" w:rsidR="00806461" w:rsidRPr="00256982" w:rsidRDefault="00806461" w:rsidP="001D3490">
      <w:pPr>
        <w:pStyle w:val="Heading3"/>
      </w:pPr>
      <w:r w:rsidRPr="00256982">
        <w:t>4.1.7</w:t>
      </w:r>
      <w:r w:rsidRPr="00256982">
        <w:tab/>
        <w:t>Recalculations and improvements</w:t>
      </w:r>
    </w:p>
    <w:p w14:paraId="70427B9B" w14:textId="77777777" w:rsidR="00806461" w:rsidRPr="00256982" w:rsidRDefault="00806461" w:rsidP="00806461">
      <w:pPr>
        <w:pStyle w:val="BodyText"/>
      </w:pPr>
      <w:r w:rsidRPr="00256982">
        <w:t xml:space="preserve">In the </w:t>
      </w:r>
      <w:r w:rsidRPr="00256982">
        <w:rPr>
          <w:i/>
        </w:rPr>
        <w:t>Product uses as substitutes for ODS</w:t>
      </w:r>
      <w:r w:rsidRPr="00256982">
        <w:t xml:space="preserve"> source category, activity data and emissions for refrigeration and air conditioning are disaggregated by sub-application. For submissions up to 2015, only mobile air conditioning was reported separately. </w:t>
      </w:r>
    </w:p>
    <w:p w14:paraId="418CCCBD" w14:textId="77777777" w:rsidR="00806461" w:rsidRPr="00256982" w:rsidRDefault="00806461" w:rsidP="00806461">
      <w:pPr>
        <w:pStyle w:val="BodyText"/>
      </w:pPr>
      <w:r w:rsidRPr="00256982">
        <w:t xml:space="preserve">For this submission, emissions from refrigeration and air conditioning for all years have been recalculated to better account for fluctuations in import volumes and refrigerant stockpiled by importers. </w:t>
      </w:r>
    </w:p>
    <w:p w14:paraId="519749FF" w14:textId="77777777" w:rsidR="00806461" w:rsidRPr="00256982" w:rsidRDefault="00806461" w:rsidP="00A72006">
      <w:pPr>
        <w:pStyle w:val="Heading4"/>
      </w:pPr>
      <w:r w:rsidRPr="00256982">
        <w:t>Expert review team comments</w:t>
      </w:r>
    </w:p>
    <w:p w14:paraId="33FEA596" w14:textId="77777777" w:rsidR="00806461" w:rsidRPr="00256982" w:rsidRDefault="00806461" w:rsidP="00806461">
      <w:pPr>
        <w:pStyle w:val="BodyText"/>
      </w:pPr>
      <w:r w:rsidRPr="00256982">
        <w:t xml:space="preserve">Expert review teams (ERTs) have recommended that New Zealand continue efforts to address the transparency of activity data in the </w:t>
      </w:r>
      <w:r w:rsidRPr="00256982">
        <w:rPr>
          <w:i/>
        </w:rPr>
        <w:t>Mineral industry</w:t>
      </w:r>
      <w:r w:rsidRPr="00256982">
        <w:t xml:space="preserve">, </w:t>
      </w:r>
      <w:r w:rsidRPr="00256982">
        <w:rPr>
          <w:i/>
        </w:rPr>
        <w:t>Chemical industry</w:t>
      </w:r>
      <w:r w:rsidRPr="00256982">
        <w:t xml:space="preserve"> and </w:t>
      </w:r>
      <w:r w:rsidRPr="00256982">
        <w:rPr>
          <w:i/>
        </w:rPr>
        <w:t>Metal industry</w:t>
      </w:r>
      <w:r w:rsidRPr="00256982">
        <w:t xml:space="preserve"> categories. This relates to activity data that are reported as confidential. Commercial confidentiality remains an issue for this and future submissions. </w:t>
      </w:r>
    </w:p>
    <w:p w14:paraId="4B233F30" w14:textId="77777777" w:rsidR="00806461" w:rsidRPr="00256982" w:rsidRDefault="00806461" w:rsidP="00806461">
      <w:pPr>
        <w:pStyle w:val="BodyText"/>
      </w:pPr>
      <w:r w:rsidRPr="00256982">
        <w:t xml:space="preserve">The ERT recommended that New Zealand improves the documentation of reporting in the </w:t>
      </w:r>
      <w:r w:rsidRPr="00256982">
        <w:rPr>
          <w:i/>
        </w:rPr>
        <w:t>Product uses as substitutes for ODS</w:t>
      </w:r>
      <w:r w:rsidRPr="00256982">
        <w:t xml:space="preserve"> and </w:t>
      </w:r>
      <w:r w:rsidRPr="00256982">
        <w:rPr>
          <w:i/>
        </w:rPr>
        <w:t>Other product manufacture and use</w:t>
      </w:r>
      <w:r w:rsidRPr="00256982">
        <w:t xml:space="preserve"> categories. The descriptions in these categories in the inventory continue to be updated in each submission, and the source material can be made available for review teams. </w:t>
      </w:r>
    </w:p>
    <w:p w14:paraId="223BEA28" w14:textId="77777777" w:rsidR="00806461" w:rsidRPr="00256982" w:rsidRDefault="00806461" w:rsidP="001D3490">
      <w:pPr>
        <w:pStyle w:val="Heading3"/>
      </w:pPr>
      <w:r w:rsidRPr="00256982">
        <w:t>4.1.8</w:t>
      </w:r>
      <w:r w:rsidRPr="00256982">
        <w:tab/>
        <w:t>Quality assurance and quality control (QA/QC) processes</w:t>
      </w:r>
    </w:p>
    <w:p w14:paraId="6F92D293" w14:textId="77777777" w:rsidR="00806461" w:rsidRPr="00256982" w:rsidRDefault="00806461" w:rsidP="00806461">
      <w:pPr>
        <w:pStyle w:val="BodyText"/>
        <w:spacing w:before="240"/>
      </w:pPr>
      <w:bookmarkStart w:id="410" w:name="_Toc447275687"/>
      <w:bookmarkStart w:id="411" w:name="_Toc414531601"/>
      <w:r w:rsidRPr="00256982">
        <w:t xml:space="preserve">Tier 1 quality checks were carried out on all data collected for this sector, with minor exceptions where data do not require updating. Figure 4.1.3 describes the quality control process map for the IPPU sector. Verification against independent data sources was possible only in specific cases, such as comparison of NZ ETS returns against data submitted in response to surveys. </w:t>
      </w:r>
    </w:p>
    <w:p w14:paraId="6EA54DA2" w14:textId="77777777" w:rsidR="00806461" w:rsidRPr="00256982" w:rsidRDefault="00806461" w:rsidP="00806461">
      <w:pPr>
        <w:pStyle w:val="Figure"/>
        <w:spacing w:before="240"/>
      </w:pPr>
      <w:bookmarkStart w:id="412" w:name="_Toc5269681"/>
      <w:r w:rsidRPr="00256982">
        <w:lastRenderedPageBreak/>
        <w:t xml:space="preserve">Figure 4.1.3 </w:t>
      </w:r>
      <w:r w:rsidRPr="00256982">
        <w:tab/>
        <w:t>Example: Tier 1 quality checks for the IPPU sector</w:t>
      </w:r>
      <w:bookmarkEnd w:id="410"/>
      <w:bookmarkEnd w:id="411"/>
      <w:bookmarkEnd w:id="412"/>
    </w:p>
    <w:p w14:paraId="56A01FFC" w14:textId="77777777" w:rsidR="00806461" w:rsidRPr="00256982" w:rsidRDefault="00806461" w:rsidP="009E792C">
      <w:pPr>
        <w:spacing w:before="80" w:after="120"/>
      </w:pPr>
      <w:r w:rsidRPr="00256982">
        <w:object w:dxaOrig="8070" w:dyaOrig="4950" w14:anchorId="4F3AC939">
          <v:shape id="_x0000_i1068" type="#_x0000_t75" style="width:402.75pt;height:244.5pt" o:ole="">
            <v:imagedata r:id="rId86" o:title="" cropbottom="4344f"/>
          </v:shape>
          <o:OLEObject Type="Embed" ProgID="Visio.Drawing.11" ShapeID="_x0000_i1068" DrawAspect="Content" ObjectID="_1616241194" r:id="rId87"/>
        </w:object>
      </w:r>
    </w:p>
    <w:p w14:paraId="57F7E22F" w14:textId="77777777" w:rsidR="00806461" w:rsidRPr="00256982" w:rsidRDefault="00806461" w:rsidP="001D3490">
      <w:pPr>
        <w:pStyle w:val="Heading2"/>
      </w:pPr>
      <w:bookmarkStart w:id="413" w:name="_Toc448321513"/>
      <w:bookmarkStart w:id="414" w:name="_Toc414531293"/>
      <w:bookmarkStart w:id="415" w:name="_Toc5269352"/>
      <w:r w:rsidRPr="00256982">
        <w:t>4.2</w:t>
      </w:r>
      <w:r w:rsidRPr="00256982">
        <w:tab/>
        <w:t>Mineral industry (2.A)</w:t>
      </w:r>
      <w:bookmarkEnd w:id="413"/>
      <w:bookmarkEnd w:id="414"/>
      <w:bookmarkEnd w:id="415"/>
    </w:p>
    <w:p w14:paraId="5BAD0488" w14:textId="77777777" w:rsidR="00806461" w:rsidRPr="00256982" w:rsidRDefault="00806461" w:rsidP="009E792C">
      <w:pPr>
        <w:pStyle w:val="Heading3"/>
        <w:spacing w:before="240"/>
      </w:pPr>
      <w:r w:rsidRPr="00256982">
        <w:t>4.2.1</w:t>
      </w:r>
      <w:r w:rsidRPr="00256982">
        <w:tab/>
        <w:t>Description</w:t>
      </w:r>
    </w:p>
    <w:p w14:paraId="1793BEFC" w14:textId="77777777" w:rsidR="00806461" w:rsidRPr="00256982" w:rsidRDefault="00806461" w:rsidP="00806461">
      <w:pPr>
        <w:pStyle w:val="BodyText"/>
      </w:pPr>
      <w:r w:rsidRPr="00256982">
        <w:t xml:space="preserve">Emissions from the </w:t>
      </w:r>
      <w:r w:rsidRPr="00256982">
        <w:rPr>
          <w:i/>
        </w:rPr>
        <w:t>Mineral industry</w:t>
      </w:r>
      <w:r w:rsidRPr="00256982">
        <w:t xml:space="preserve"> source category include CO</w:t>
      </w:r>
      <w:r w:rsidRPr="00256982">
        <w:rPr>
          <w:vertAlign w:val="subscript"/>
        </w:rPr>
        <w:t>2</w:t>
      </w:r>
      <w:r w:rsidRPr="00256982">
        <w:t xml:space="preserve"> from the calcination of limestone for cement and lime, and from the use of soda ash and limestone in the production of glass, aluminium, and iron and steel. Only CO</w:t>
      </w:r>
      <w:r w:rsidRPr="00256982">
        <w:rPr>
          <w:vertAlign w:val="subscript"/>
        </w:rPr>
        <w:t>2</w:t>
      </w:r>
      <w:r w:rsidRPr="00256982">
        <w:t xml:space="preserve"> from calcination is reported here. Any emissions from the combustion of fuel to provide heat for these activities are reported in the </w:t>
      </w:r>
      <w:r w:rsidRPr="00256982">
        <w:rPr>
          <w:i/>
        </w:rPr>
        <w:t>Energy</w:t>
      </w:r>
      <w:r w:rsidRPr="00256982">
        <w:t xml:space="preserve"> sector. </w:t>
      </w:r>
    </w:p>
    <w:p w14:paraId="1A127A67" w14:textId="77777777" w:rsidR="00806461" w:rsidRPr="00256982" w:rsidRDefault="00806461" w:rsidP="00806461">
      <w:pPr>
        <w:pStyle w:val="BodyText"/>
      </w:pPr>
      <w:r w:rsidRPr="00256982">
        <w:t xml:space="preserve">Only one cement production facility is now operating in New Zealand, a dry-process plant operated by Golden Bay Cement Ltd near Whangarei. Holcim New Zealand Ltd has operated a wet-process cement plant at Cape Foulwind, on the west coast of the South Island, but this plant was closed at the end of June 2016 and Holcim is now marketing cement made from imported clinker. Another, smaller cement company (Lee Cement Ltd) operated only from 1995 to 1998. These facilities produce clinker from the calcination of limestone and process it into Portland cement and general purpose cement. </w:t>
      </w:r>
    </w:p>
    <w:p w14:paraId="51EE8561" w14:textId="77777777" w:rsidR="00806461" w:rsidRPr="00256982" w:rsidRDefault="00806461" w:rsidP="00806461">
      <w:pPr>
        <w:pStyle w:val="BodyText"/>
      </w:pPr>
      <w:r w:rsidRPr="00256982">
        <w:t xml:space="preserve">Three companies (McDonald’s Lime Ltd, Websters Hydrated Lime Company and Perry Resources Ltd) have a history of making burnt and slaked lime at five different facilities in New Zealand. The industry has been consolidated over time and two companies (Graymont New Zealand and Websters Hydrated Lime Company) now produce all of New Zealand’s burnt and slaked lime. </w:t>
      </w:r>
    </w:p>
    <w:p w14:paraId="467FAA69" w14:textId="77777777" w:rsidR="00806461" w:rsidRPr="00256982" w:rsidRDefault="00806461" w:rsidP="00806461">
      <w:pPr>
        <w:pStyle w:val="BodyText"/>
      </w:pPr>
      <w:r w:rsidRPr="00256982">
        <w:t>Small amounts of indirect emissions (sulphur dioxide (SO</w:t>
      </w:r>
      <w:r w:rsidRPr="00256982">
        <w:rPr>
          <w:vertAlign w:val="subscript"/>
        </w:rPr>
        <w:t>2</w:t>
      </w:r>
      <w:r w:rsidRPr="00256982">
        <w:t xml:space="preserve">) only) from the </w:t>
      </w:r>
      <w:r w:rsidRPr="00256982">
        <w:rPr>
          <w:i/>
        </w:rPr>
        <w:t>Cement production</w:t>
      </w:r>
      <w:r w:rsidRPr="00256982">
        <w:t xml:space="preserve"> category are also reported. Some emissions of SO</w:t>
      </w:r>
      <w:r w:rsidRPr="00256982">
        <w:rPr>
          <w:vertAlign w:val="subscript"/>
        </w:rPr>
        <w:t>2</w:t>
      </w:r>
      <w:r w:rsidRPr="00256982">
        <w:t xml:space="preserve"> from the </w:t>
      </w:r>
      <w:r w:rsidRPr="00256982">
        <w:rPr>
          <w:i/>
        </w:rPr>
        <w:t>Lime production</w:t>
      </w:r>
      <w:r w:rsidRPr="00256982">
        <w:t xml:space="preserve"> category were estimated in 2006 (CRL Energy, </w:t>
      </w:r>
      <w:r w:rsidRPr="00256982">
        <w:rPr>
          <w:rFonts w:eastAsia="+mn-ea"/>
        </w:rPr>
        <w:t>unpublished(a)</w:t>
      </w:r>
      <w:r w:rsidRPr="00256982">
        <w:t>), but there is currently no provision in the CRF to report this. Some additional SO</w:t>
      </w:r>
      <w:r w:rsidRPr="00256982">
        <w:rPr>
          <w:vertAlign w:val="subscript"/>
        </w:rPr>
        <w:t>2</w:t>
      </w:r>
      <w:r w:rsidRPr="00256982">
        <w:t xml:space="preserve"> is derived from sulphur in coal or waste oil used as fuel in cement and lime kilns, and this is reported in the </w:t>
      </w:r>
      <w:r w:rsidRPr="00256982">
        <w:rPr>
          <w:i/>
        </w:rPr>
        <w:t>Energy</w:t>
      </w:r>
      <w:r w:rsidRPr="00256982">
        <w:t xml:space="preserve"> sector. </w:t>
      </w:r>
    </w:p>
    <w:p w14:paraId="2AB9659F" w14:textId="77777777" w:rsidR="00806461" w:rsidRPr="00256982" w:rsidRDefault="00806461" w:rsidP="00806461">
      <w:pPr>
        <w:pStyle w:val="BodyText"/>
      </w:pPr>
      <w:r w:rsidRPr="00256982">
        <w:t xml:space="preserve">Two companies are making glass in New Zealand, with emissions from the use of soda ash and limestone in the process. O-I New Zealand makes container glass and Tasman Insulation New Zealand Ltd makes smaller amounts of glass for building insulation products. </w:t>
      </w:r>
    </w:p>
    <w:p w14:paraId="257C58AF" w14:textId="77777777" w:rsidR="00806461" w:rsidRPr="00256982" w:rsidRDefault="00806461" w:rsidP="00806461">
      <w:pPr>
        <w:pStyle w:val="BodyText"/>
      </w:pPr>
      <w:r w:rsidRPr="00256982">
        <w:lastRenderedPageBreak/>
        <w:t xml:space="preserve">Limestone and soda ash are also used in the steel and aluminium industries and would normally be reported in the </w:t>
      </w:r>
      <w:r w:rsidRPr="00256982">
        <w:rPr>
          <w:i/>
        </w:rPr>
        <w:t>Metal industry</w:t>
      </w:r>
      <w:r w:rsidRPr="00256982">
        <w:t xml:space="preserve"> source category. Emissions from this use of mineral inputs are reported in the </w:t>
      </w:r>
      <w:r w:rsidRPr="00256982">
        <w:rPr>
          <w:i/>
        </w:rPr>
        <w:t xml:space="preserve">Mineral industry </w:t>
      </w:r>
      <w:r w:rsidRPr="00256982">
        <w:t>source</w:t>
      </w:r>
      <w:r w:rsidRPr="00256982">
        <w:rPr>
          <w:i/>
        </w:rPr>
        <w:t xml:space="preserve"> </w:t>
      </w:r>
      <w:r w:rsidRPr="00256982">
        <w:t xml:space="preserve">category (see 4.2.2 below), to protect the confidentiality of data provided by the two glass companies. </w:t>
      </w:r>
    </w:p>
    <w:p w14:paraId="2E62F5D6" w14:textId="77777777" w:rsidR="00806461" w:rsidRPr="00256982" w:rsidRDefault="00806461" w:rsidP="00806461">
      <w:pPr>
        <w:pStyle w:val="BodyText"/>
      </w:pPr>
      <w:r w:rsidRPr="00256982">
        <w:t>A very small amount of CO</w:t>
      </w:r>
      <w:r w:rsidRPr="00256982">
        <w:rPr>
          <w:vertAlign w:val="subscript"/>
        </w:rPr>
        <w:t>2</w:t>
      </w:r>
      <w:r w:rsidRPr="00256982">
        <w:t xml:space="preserve"> is reported from the use of kaolin clays in ceramics production. </w:t>
      </w:r>
    </w:p>
    <w:p w14:paraId="257DD86D" w14:textId="77777777" w:rsidR="00806461" w:rsidRPr="00256982" w:rsidRDefault="00806461" w:rsidP="00806461">
      <w:pPr>
        <w:pStyle w:val="BodyText"/>
      </w:pPr>
      <w:r w:rsidRPr="00256982">
        <w:t>The only key category is CO</w:t>
      </w:r>
      <w:r w:rsidRPr="00256982">
        <w:rPr>
          <w:vertAlign w:val="subscript"/>
        </w:rPr>
        <w:t>2</w:t>
      </w:r>
      <w:r w:rsidRPr="00256982">
        <w:t xml:space="preserve"> emissions from the </w:t>
      </w:r>
      <w:r w:rsidRPr="00256982">
        <w:rPr>
          <w:i/>
        </w:rPr>
        <w:t>Cement production</w:t>
      </w:r>
      <w:r w:rsidRPr="00256982">
        <w:t xml:space="preserve"> category (level assessment). No sources were identified as key categories in the trend assessment. </w:t>
      </w:r>
    </w:p>
    <w:p w14:paraId="67E4A496" w14:textId="77777777" w:rsidR="00806461" w:rsidRPr="00256982" w:rsidRDefault="00806461" w:rsidP="00806461">
      <w:pPr>
        <w:pStyle w:val="BodyText"/>
      </w:pPr>
      <w:r w:rsidRPr="00256982">
        <w:t xml:space="preserve">In 2017, the </w:t>
      </w:r>
      <w:r w:rsidRPr="00256982">
        <w:rPr>
          <w:i/>
        </w:rPr>
        <w:t>Mineral industry</w:t>
      </w:r>
      <w:r w:rsidRPr="00256982">
        <w:t xml:space="preserve"> source category accounted for 669.7 kt CO</w:t>
      </w:r>
      <w:r w:rsidRPr="00256982">
        <w:rPr>
          <w:vertAlign w:val="subscript"/>
        </w:rPr>
        <w:t>2</w:t>
      </w:r>
      <w:r w:rsidRPr="00256982">
        <w:t>-e (13.5 per cent) of emissions from the IPPU sector. This is 107.8 kt (19.2 per cent) above the 1990 emissions, driven by increasing production of cement, lime and glass containers. However, emissions in 2015 were 876.3 kt CO</w:t>
      </w:r>
      <w:r w:rsidRPr="00256982">
        <w:rPr>
          <w:vertAlign w:val="subscript"/>
        </w:rPr>
        <w:t>2</w:t>
      </w:r>
      <w:r w:rsidRPr="00256982">
        <w:t xml:space="preserve">-e. Emissions have decreased since 2015 due to the closure of the Holcim cement plant. </w:t>
      </w:r>
    </w:p>
    <w:p w14:paraId="498B0A46" w14:textId="77777777" w:rsidR="00806461" w:rsidRPr="00256982" w:rsidRDefault="00806461" w:rsidP="00806461">
      <w:pPr>
        <w:pStyle w:val="BodyText"/>
        <w:rPr>
          <w:spacing w:val="-2"/>
        </w:rPr>
      </w:pPr>
      <w:r w:rsidRPr="00256982">
        <w:rPr>
          <w:spacing w:val="-2"/>
        </w:rPr>
        <w:t xml:space="preserve">Changes in the national standards for cement, in 1995 and 2010, allowed increasing amounts of other minerals to be added to clinker in formulating cement. Various cement products sold in New Zealand contain limestone and fly ash as mineral additions. This allowed a reduction in emissions per tonne of cement produced (Cement and Concrete Association of New Zealand, 1995). </w:t>
      </w:r>
    </w:p>
    <w:p w14:paraId="7615FBF7" w14:textId="77777777" w:rsidR="00806461" w:rsidRPr="00256982" w:rsidRDefault="00806461" w:rsidP="001D3490">
      <w:pPr>
        <w:pStyle w:val="Heading3"/>
      </w:pPr>
      <w:r w:rsidRPr="00256982">
        <w:t xml:space="preserve">4.2.2 </w:t>
      </w:r>
      <w:r w:rsidRPr="00256982">
        <w:tab/>
        <w:t>Methodological issues</w:t>
      </w:r>
    </w:p>
    <w:p w14:paraId="44701915" w14:textId="77777777" w:rsidR="00806461" w:rsidRPr="00256982" w:rsidRDefault="00806461" w:rsidP="00A72006">
      <w:pPr>
        <w:pStyle w:val="Heading4"/>
        <w:rPr>
          <w:bCs/>
          <w:iCs/>
        </w:rPr>
      </w:pPr>
      <w:r w:rsidRPr="00256982">
        <w:t>Choice of activity data</w:t>
      </w:r>
    </w:p>
    <w:p w14:paraId="1B7F1944" w14:textId="77777777" w:rsidR="00806461" w:rsidRPr="00256982" w:rsidRDefault="00806461" w:rsidP="00806461">
      <w:pPr>
        <w:pStyle w:val="Heading5"/>
      </w:pPr>
      <w:r w:rsidRPr="00256982">
        <w:t>Use of NZ ETS data</w:t>
      </w:r>
    </w:p>
    <w:p w14:paraId="75F908FC" w14:textId="77777777" w:rsidR="00806461" w:rsidRPr="00256982" w:rsidRDefault="00806461" w:rsidP="00806461">
      <w:pPr>
        <w:pStyle w:val="BodyText"/>
      </w:pPr>
      <w:r w:rsidRPr="00256982">
        <w:t>Firms that use limestone or soda ash in the production of clinker (for cement), burnt or slaked lime, or glass have had emission reporting obligations under the NZ ETS since 2010. The emission returns submitted by participants in the NZ ETS are the primary source of data for CO</w:t>
      </w:r>
      <w:r w:rsidRPr="00256982">
        <w:rPr>
          <w:vertAlign w:val="subscript"/>
        </w:rPr>
        <w:t>2</w:t>
      </w:r>
      <w:r w:rsidRPr="00256982">
        <w:t xml:space="preserve"> emissions from these categories. </w:t>
      </w:r>
    </w:p>
    <w:p w14:paraId="6DDAB018" w14:textId="77777777" w:rsidR="00806461" w:rsidRPr="00256982" w:rsidRDefault="00806461" w:rsidP="00806461">
      <w:pPr>
        <w:pStyle w:val="BodyText"/>
      </w:pPr>
      <w:r w:rsidRPr="00256982">
        <w:t xml:space="preserve">The Environmental Protection Authority (EPA) administers and audits the emission returns submitted by participants. Data submitted by NZ ETS participants are protected by stringent provisions relating to commercial confidentiality. However, under section 149 of the Climate Change Response Act 2002, the inventory agency may request information from the EPA for the purpose of compiling New Zealand’s annual national inventory report. </w:t>
      </w:r>
    </w:p>
    <w:p w14:paraId="79A26EFE" w14:textId="77777777" w:rsidR="00806461" w:rsidRPr="00256982" w:rsidRDefault="00806461" w:rsidP="00806461">
      <w:pPr>
        <w:pStyle w:val="BodyText"/>
      </w:pPr>
      <w:r w:rsidRPr="00256982">
        <w:t xml:space="preserve">Those NZ ETS participants who apply for an allocation of emission units in any year also report the amount of product that they make in the calendar year. This includes production of clinker, container glass and burnt lime, including any burnt lime that is subsequently made into slaked lime (calcium hydroxide). </w:t>
      </w:r>
    </w:p>
    <w:p w14:paraId="6789043A" w14:textId="77777777" w:rsidR="00806461" w:rsidRPr="00256982" w:rsidRDefault="00806461" w:rsidP="00806461">
      <w:pPr>
        <w:pStyle w:val="Heading5"/>
      </w:pPr>
      <w:r w:rsidRPr="00256982">
        <w:t>Cement production (2.A.1)</w:t>
      </w:r>
    </w:p>
    <w:p w14:paraId="0E740BF3" w14:textId="77777777" w:rsidR="00806461" w:rsidRPr="00256982" w:rsidRDefault="00806461" w:rsidP="00806461">
      <w:pPr>
        <w:pStyle w:val="BodyText"/>
      </w:pPr>
      <w:r w:rsidRPr="00256982">
        <w:t xml:space="preserve">In 2017, the </w:t>
      </w:r>
      <w:r w:rsidRPr="00256982">
        <w:rPr>
          <w:i/>
        </w:rPr>
        <w:t>Cement production</w:t>
      </w:r>
      <w:r w:rsidRPr="00256982">
        <w:t xml:space="preserve"> category accounted for 443.8 kt CO</w:t>
      </w:r>
      <w:r w:rsidRPr="00256982">
        <w:rPr>
          <w:vertAlign w:val="subscript"/>
        </w:rPr>
        <w:t>2</w:t>
      </w:r>
      <w:r w:rsidRPr="00256982">
        <w:t xml:space="preserve">-e (66.3 per cent) of emissions from the </w:t>
      </w:r>
      <w:r w:rsidRPr="00256982">
        <w:rPr>
          <w:i/>
        </w:rPr>
        <w:t>Mineral industry</w:t>
      </w:r>
      <w:r w:rsidRPr="00256982">
        <w:t xml:space="preserve"> category. The activity data used are the amounts of clinker produced by the cement plants. Calculation of emissions from clinker production is done on a plant-specific basis by the companies in preparing their ETS returns. Because historically there have been only two companies in the cement sector in New Zealand, and now there is only one, the activity data for the </w:t>
      </w:r>
      <w:r w:rsidRPr="00256982">
        <w:rPr>
          <w:i/>
        </w:rPr>
        <w:t>Cement production</w:t>
      </w:r>
      <w:r w:rsidRPr="00256982">
        <w:t xml:space="preserve"> category are not reported and have been shown as confidential in the CRF tables. For the years up to 2009, activity and emissions data were supplied by the cement companies to MBIE. From 2010, the companies’ ETS returns have been used as the data source.</w:t>
      </w:r>
    </w:p>
    <w:p w14:paraId="14FB2BD1" w14:textId="77777777" w:rsidR="00806461" w:rsidRPr="00256982" w:rsidRDefault="00806461" w:rsidP="00806461">
      <w:pPr>
        <w:pStyle w:val="Heading5"/>
      </w:pPr>
      <w:r w:rsidRPr="00256982">
        <w:lastRenderedPageBreak/>
        <w:t>Lime production (2.A.2)</w:t>
      </w:r>
    </w:p>
    <w:p w14:paraId="02CCAFCB" w14:textId="77777777" w:rsidR="00806461" w:rsidRPr="00256982" w:rsidRDefault="00806461" w:rsidP="00806461">
      <w:pPr>
        <w:pStyle w:val="BodyText"/>
      </w:pPr>
      <w:r w:rsidRPr="00256982">
        <w:t xml:space="preserve">In 2017, the </w:t>
      </w:r>
      <w:r w:rsidRPr="00256982">
        <w:rPr>
          <w:i/>
        </w:rPr>
        <w:t>Lime production</w:t>
      </w:r>
      <w:r w:rsidRPr="00256982">
        <w:t xml:space="preserve"> category accounted for 138.9 kt CO</w:t>
      </w:r>
      <w:r w:rsidRPr="00256982">
        <w:rPr>
          <w:vertAlign w:val="subscript"/>
        </w:rPr>
        <w:t>2</w:t>
      </w:r>
      <w:r w:rsidRPr="00256982">
        <w:t xml:space="preserve">-e (20.7 per cent) of emissions from the </w:t>
      </w:r>
      <w:r w:rsidRPr="00256982">
        <w:rPr>
          <w:i/>
        </w:rPr>
        <w:t>Mineral industry</w:t>
      </w:r>
      <w:r w:rsidRPr="00256982">
        <w:t xml:space="preserve"> category. The activity data used are the amounts of burnt lime or calcium oxide (CaO) produced, regardless of whether it is subsequently made into calcium hydroxide (Ca(OH)</w:t>
      </w:r>
      <w:r w:rsidRPr="00256982">
        <w:rPr>
          <w:vertAlign w:val="subscript"/>
        </w:rPr>
        <w:t>2</w:t>
      </w:r>
      <w:r w:rsidRPr="00256982">
        <w:t xml:space="preserve">). </w:t>
      </w:r>
    </w:p>
    <w:p w14:paraId="0180C170" w14:textId="77777777" w:rsidR="00806461" w:rsidRPr="00256982" w:rsidRDefault="00806461" w:rsidP="00806461">
      <w:pPr>
        <w:pStyle w:val="BodyText"/>
      </w:pPr>
      <w:r w:rsidRPr="00256982">
        <w:t>Activity data and emissions data were supplied annually by the lime companies to MBIE until 2009. This included the amount of burnt lime produced each year. From 2010, lime companies have reported CO</w:t>
      </w:r>
      <w:r w:rsidRPr="00256982">
        <w:rPr>
          <w:vertAlign w:val="subscript"/>
        </w:rPr>
        <w:t>2</w:t>
      </w:r>
      <w:r w:rsidRPr="00256982">
        <w:t xml:space="preserve"> emissions and the amounts of pure CaO in the lime that they produce in their reporting to the NZ ETS regulator. </w:t>
      </w:r>
    </w:p>
    <w:p w14:paraId="43898C21" w14:textId="77777777" w:rsidR="00806461" w:rsidRPr="00256982" w:rsidRDefault="00806461" w:rsidP="00806461">
      <w:pPr>
        <w:pStyle w:val="Heading5"/>
      </w:pPr>
      <w:r w:rsidRPr="00256982">
        <w:t xml:space="preserve">Glass production (2.A.3) </w:t>
      </w:r>
    </w:p>
    <w:p w14:paraId="0ED19F6F" w14:textId="77777777" w:rsidR="00806461" w:rsidRPr="00256982" w:rsidRDefault="00806461" w:rsidP="00806461">
      <w:pPr>
        <w:pStyle w:val="BodyText"/>
      </w:pPr>
      <w:r w:rsidRPr="00256982">
        <w:t xml:space="preserve">Activity and emissions data for the </w:t>
      </w:r>
      <w:r w:rsidRPr="00256982">
        <w:rPr>
          <w:i/>
        </w:rPr>
        <w:t>Glass production</w:t>
      </w:r>
      <w:r w:rsidRPr="00256982">
        <w:t xml:space="preserve"> category are provided on a confidential basis by the two companies that produce glass in New Zealand and are not reported in the CRF tables (2.A.3). Emissions from the use of soda ash and limestone in glass making are reported in the </w:t>
      </w:r>
      <w:r w:rsidRPr="00256982">
        <w:rPr>
          <w:i/>
        </w:rPr>
        <w:t>Other process uses of carbonates</w:t>
      </w:r>
      <w:r w:rsidRPr="00256982">
        <w:t xml:space="preserve"> (CRF 2.A.4) category and are aggregated with other relatively small amounts of CO</w:t>
      </w:r>
      <w:r w:rsidRPr="00256982">
        <w:rPr>
          <w:vertAlign w:val="subscript"/>
        </w:rPr>
        <w:t>2</w:t>
      </w:r>
      <w:r w:rsidRPr="00256982">
        <w:t xml:space="preserve"> emissions that derive from the calcination of limestone and soda ash. </w:t>
      </w:r>
    </w:p>
    <w:p w14:paraId="1ADE16B4" w14:textId="77777777" w:rsidR="00806461" w:rsidRPr="00256982" w:rsidRDefault="00806461" w:rsidP="00806461">
      <w:pPr>
        <w:pStyle w:val="Heading5"/>
      </w:pPr>
      <w:r w:rsidRPr="00256982">
        <w:t>Other process uses of carbonates (2.A.4)</w:t>
      </w:r>
    </w:p>
    <w:p w14:paraId="5519C5C4" w14:textId="77777777" w:rsidR="00806461" w:rsidRPr="00256982" w:rsidRDefault="00806461" w:rsidP="00806461">
      <w:pPr>
        <w:pStyle w:val="BodyText"/>
      </w:pPr>
      <w:r w:rsidRPr="00256982">
        <w:t>To preserve the confid</w:t>
      </w:r>
      <w:r w:rsidRPr="00256982">
        <w:rPr>
          <w:rStyle w:val="BodyTextChar"/>
        </w:rPr>
        <w:t>e</w:t>
      </w:r>
      <w:r w:rsidRPr="00256982">
        <w:t xml:space="preserve">ntiality of data provided by the two glass companies (above), the data reported in the </w:t>
      </w:r>
      <w:r w:rsidRPr="00256982">
        <w:rPr>
          <w:i/>
        </w:rPr>
        <w:t>Glass production</w:t>
      </w:r>
      <w:r w:rsidRPr="00256982">
        <w:t xml:space="preserve"> category have been aggregated as follows and reported in the </w:t>
      </w:r>
      <w:r w:rsidRPr="00256982">
        <w:rPr>
          <w:i/>
        </w:rPr>
        <w:t>Other process uses of carbonates</w:t>
      </w:r>
      <w:r w:rsidRPr="00256982">
        <w:t xml:space="preserve"> category: </w:t>
      </w:r>
    </w:p>
    <w:p w14:paraId="58C4C9E4" w14:textId="77777777" w:rsidR="00806461" w:rsidRPr="00256982" w:rsidRDefault="00806461" w:rsidP="0036046B">
      <w:pPr>
        <w:pStyle w:val="Bullet"/>
        <w:numPr>
          <w:ilvl w:val="0"/>
          <w:numId w:val="12"/>
        </w:numPr>
      </w:pPr>
      <w:r w:rsidRPr="00256982">
        <w:t>emissions from a relatively small amount of soda ash used by New Zealand Aluminium Smelters Ltd at the Tiwai Point smelter are reported in CRF 2.A.4.b (</w:t>
      </w:r>
      <w:r w:rsidRPr="00256982">
        <w:rPr>
          <w:i/>
        </w:rPr>
        <w:t>Other uses of soda ash</w:t>
      </w:r>
      <w:r w:rsidRPr="00256982">
        <w:t>) and aggregated with the CO</w:t>
      </w:r>
      <w:r w:rsidRPr="00256982">
        <w:rPr>
          <w:vertAlign w:val="subscript"/>
        </w:rPr>
        <w:t>2</w:t>
      </w:r>
      <w:r w:rsidRPr="00256982">
        <w:t xml:space="preserve"> emissions from soda ash used in glass making </w:t>
      </w:r>
    </w:p>
    <w:p w14:paraId="108219EE" w14:textId="77777777" w:rsidR="00806461" w:rsidRPr="00256982" w:rsidRDefault="00806461" w:rsidP="0036046B">
      <w:pPr>
        <w:pStyle w:val="Bullet"/>
        <w:numPr>
          <w:ilvl w:val="0"/>
          <w:numId w:val="12"/>
        </w:numPr>
      </w:pPr>
      <w:r w:rsidRPr="00256982">
        <w:t>emissions from a relatively small amount of limestone used by New Zealand Steel Limited are reported in CRF 2.A.4.d (</w:t>
      </w:r>
      <w:r w:rsidRPr="00256982">
        <w:rPr>
          <w:i/>
        </w:rPr>
        <w:t>Other</w:t>
      </w:r>
      <w:r w:rsidRPr="00256982">
        <w:t xml:space="preserve">) and aggregated with emissions from limestone used in glass making. </w:t>
      </w:r>
    </w:p>
    <w:p w14:paraId="6A297ABA" w14:textId="77777777" w:rsidR="00806461" w:rsidRPr="00256982" w:rsidRDefault="00806461" w:rsidP="00806461">
      <w:pPr>
        <w:pStyle w:val="BodyText"/>
      </w:pPr>
      <w:r w:rsidRPr="00256982">
        <w:t>The amounts of soda ash and limestone used are reported as activity data in these two tables. Also, because the limestone emissions cannot be fully disaggregated in the data provided by New Zealand Steel, an extremely small amount of CO</w:t>
      </w:r>
      <w:r w:rsidRPr="00256982">
        <w:rPr>
          <w:vertAlign w:val="subscript"/>
        </w:rPr>
        <w:t>2</w:t>
      </w:r>
      <w:r w:rsidRPr="00256982">
        <w:t xml:space="preserve"> from coke and electrode use at the steel plant is also included (see section 4.4.2). </w:t>
      </w:r>
    </w:p>
    <w:p w14:paraId="54562569" w14:textId="77777777" w:rsidR="00806461" w:rsidRPr="00256982" w:rsidRDefault="00806461" w:rsidP="00806461">
      <w:pPr>
        <w:pStyle w:val="BodyText"/>
      </w:pPr>
      <w:r w:rsidRPr="00256982">
        <w:t xml:space="preserve">Data on glass making for the years up to 2006 were provided by the companies (CRL Energy, </w:t>
      </w:r>
      <w:r w:rsidRPr="00256982">
        <w:rPr>
          <w:rFonts w:eastAsia="+mn-ea"/>
        </w:rPr>
        <w:t>unpublished(c)</w:t>
      </w:r>
      <w:r w:rsidRPr="00256982">
        <w:t xml:space="preserve">) and updated for the years 2007–09 by survey requests from MBIE. Data on limestone and soda ash use were based on the companies’ records where available. In the case of one glass-making facility, some historical emissions data had to be estimated based only on glass production rates, because actual limestone and soda ash use was not recorded before 2006. </w:t>
      </w:r>
    </w:p>
    <w:p w14:paraId="07E5FFF2" w14:textId="77777777" w:rsidR="00806461" w:rsidRPr="00256982" w:rsidRDefault="00806461" w:rsidP="00806461">
      <w:pPr>
        <w:pStyle w:val="BodyText"/>
      </w:pPr>
      <w:r w:rsidRPr="00256982">
        <w:t xml:space="preserve">For 2010–17, the glass companies’ NZ ETS returns are used. </w:t>
      </w:r>
    </w:p>
    <w:p w14:paraId="1D988F61" w14:textId="77777777" w:rsidR="00806461" w:rsidRPr="00256982" w:rsidRDefault="00806461" w:rsidP="00806461">
      <w:pPr>
        <w:pStyle w:val="BodyText"/>
      </w:pPr>
      <w:r w:rsidRPr="00256982">
        <w:t>A very small amount of CO</w:t>
      </w:r>
      <w:r w:rsidRPr="00256982">
        <w:rPr>
          <w:vertAlign w:val="subscript"/>
        </w:rPr>
        <w:t>2</w:t>
      </w:r>
      <w:r w:rsidRPr="00256982">
        <w:t xml:space="preserve"> is reported from the use of kaolin clays in ceramics production (2.A.4.a). The activity data used are the approximate amount of kaolin clay produced for this purpose (Christie et al., 1999). In the absence of better data, the rate of production is assumed constant for the whole time series. Emissions from ground limestone used in liming agricultural soils are reported in the Agriculture sector. </w:t>
      </w:r>
    </w:p>
    <w:p w14:paraId="00C13304" w14:textId="77777777" w:rsidR="00806461" w:rsidRPr="00256982" w:rsidRDefault="00806461" w:rsidP="00A72006">
      <w:pPr>
        <w:pStyle w:val="Heading4"/>
        <w:rPr>
          <w:bCs/>
          <w:iCs/>
        </w:rPr>
      </w:pPr>
      <w:r w:rsidRPr="00256982">
        <w:lastRenderedPageBreak/>
        <w:t>Choice of methods</w:t>
      </w:r>
    </w:p>
    <w:p w14:paraId="0ECECB77" w14:textId="77777777" w:rsidR="00806461" w:rsidRPr="00256982" w:rsidRDefault="00806461" w:rsidP="00806461">
      <w:pPr>
        <w:pStyle w:val="BodyText"/>
      </w:pPr>
      <w:r w:rsidRPr="00256982">
        <w:t xml:space="preserve">For the years up to 2009, cement emissions were calculated using the methodology specified in the </w:t>
      </w:r>
      <w:r w:rsidRPr="00256982">
        <w:rPr>
          <w:i/>
        </w:rPr>
        <w:t>Cement CO</w:t>
      </w:r>
      <w:r w:rsidRPr="00256982">
        <w:rPr>
          <w:i/>
          <w:vertAlign w:val="subscript"/>
        </w:rPr>
        <w:t>2</w:t>
      </w:r>
      <w:r w:rsidRPr="00256982">
        <w:rPr>
          <w:i/>
        </w:rPr>
        <w:t xml:space="preserve"> Protocol</w:t>
      </w:r>
      <w:r w:rsidRPr="00256982">
        <w:t xml:space="preserve"> (World Business Council for Sustainable Development, 2005), which uses plant-specific emission factors based on the CaO and magnesium oxide (MgO) content of clinker produced. This also includes an adjustment for emissions due to cement kiln dust. This calculation is consistent with the IPCC Tier 2 method (IPCC, 2006a). </w:t>
      </w:r>
    </w:p>
    <w:p w14:paraId="2E6051C0" w14:textId="77777777" w:rsidR="00806461" w:rsidRPr="00256982" w:rsidRDefault="00806461" w:rsidP="00806461">
      <w:pPr>
        <w:pStyle w:val="BodyText"/>
      </w:pPr>
      <w:r w:rsidRPr="00256982">
        <w:t>Emissions for lime up to 2009 were calculated using the IPCC Tier 1 method and the default emission factor of 0.75 tonnes CO</w:t>
      </w:r>
      <w:r w:rsidRPr="00256982">
        <w:rPr>
          <w:vertAlign w:val="subscript"/>
        </w:rPr>
        <w:t>2</w:t>
      </w:r>
      <w:r w:rsidRPr="00256982">
        <w:t xml:space="preserve"> per tonne of burnt lime produced. For glass making, the IPCC Tier 1 method and default emission factors were also used for the years up to 2009. </w:t>
      </w:r>
    </w:p>
    <w:p w14:paraId="402CF699" w14:textId="77777777" w:rsidR="00806461" w:rsidRPr="00256982" w:rsidRDefault="00806461" w:rsidP="00806461">
      <w:pPr>
        <w:pStyle w:val="BodyText"/>
      </w:pPr>
      <w:r w:rsidRPr="00256982">
        <w:t xml:space="preserve">For NZ ETS reporting in the </w:t>
      </w:r>
      <w:r w:rsidRPr="00256982">
        <w:rPr>
          <w:i/>
        </w:rPr>
        <w:t>Mineral industry</w:t>
      </w:r>
      <w:r w:rsidRPr="00256982">
        <w:t xml:space="preserve"> source category (from 2010), the methodologies used are specified in the Climate Change (Stationary Energy and Industrial Processes) Regulations 2009 (New Zealand Government, 2018). These methods require firms making clinker or burnt lime to report CO</w:t>
      </w:r>
      <w:r w:rsidRPr="00256982">
        <w:rPr>
          <w:vertAlign w:val="subscript"/>
        </w:rPr>
        <w:t>2</w:t>
      </w:r>
      <w:r w:rsidRPr="00256982">
        <w:t xml:space="preserve"> emissions calculated from the amount of pure product made from calcination. In calculating their emissions, NZ ETS participants who make clinker or lime are required to determine and report the amounts of pure CaO and MgO in the clinker or burnt lime produced, and in kiln dust if relevant. The emissions are calculated from this chemical composition. The calculation of total emissions can be summarised as: </w:t>
      </w:r>
    </w:p>
    <w:p w14:paraId="17FD247D" w14:textId="77777777" w:rsidR="00806461" w:rsidRPr="00256982" w:rsidRDefault="00806461" w:rsidP="00806461">
      <w:pPr>
        <w:pStyle w:val="BodyText"/>
        <w:jc w:val="center"/>
        <w:rPr>
          <w:rFonts w:ascii="Cambria Math" w:hAnsi="Cambria Math"/>
          <w:i/>
          <w:szCs w:val="22"/>
        </w:rPr>
      </w:pPr>
      <w:r w:rsidRPr="00256982">
        <w:rPr>
          <w:rFonts w:ascii="Cambria Math" w:hAnsi="Cambria Math"/>
          <w:i/>
          <w:szCs w:val="22"/>
        </w:rPr>
        <w:t>TE = 0.7848 × A + 1.0919 × B + 0.7848 × C</w:t>
      </w:r>
    </w:p>
    <w:p w14:paraId="656D838F" w14:textId="77777777" w:rsidR="00806461" w:rsidRPr="00256982" w:rsidRDefault="00806461" w:rsidP="00806461">
      <w:pPr>
        <w:pStyle w:val="BodyText"/>
        <w:keepNext/>
        <w:spacing w:after="0"/>
        <w:ind w:left="992" w:hanging="992"/>
      </w:pPr>
      <w:r w:rsidRPr="00256982">
        <w:t>Where: A is the amount of CaO produced</w:t>
      </w:r>
    </w:p>
    <w:p w14:paraId="355CEEF9" w14:textId="77777777" w:rsidR="00806461" w:rsidRPr="00256982" w:rsidRDefault="00806461" w:rsidP="00806461">
      <w:pPr>
        <w:pStyle w:val="BodyText"/>
        <w:spacing w:before="100" w:after="0"/>
        <w:ind w:left="992" w:hanging="272"/>
      </w:pPr>
      <w:r w:rsidRPr="00256982">
        <w:t>B is the amount of MgO produced</w:t>
      </w:r>
    </w:p>
    <w:p w14:paraId="4948A11F" w14:textId="77777777" w:rsidR="00806461" w:rsidRPr="00256982" w:rsidRDefault="00806461" w:rsidP="00806461">
      <w:pPr>
        <w:pStyle w:val="BodyText"/>
        <w:spacing w:before="100"/>
        <w:ind w:left="992" w:hanging="272"/>
      </w:pPr>
      <w:r w:rsidRPr="00256982">
        <w:t>C is the amount of kiln dust produced</w:t>
      </w:r>
    </w:p>
    <w:p w14:paraId="0259F3DD" w14:textId="77777777" w:rsidR="00806461" w:rsidRPr="00256982" w:rsidRDefault="00806461" w:rsidP="00806461">
      <w:pPr>
        <w:pStyle w:val="BodyText"/>
      </w:pPr>
      <w:r w:rsidRPr="00256982">
        <w:t xml:space="preserve">Similarly, based on NZ ETS regulations (New Zealand Government, 2017), NZ ETS participants who make glass report the amounts of pure limestone, dolomite and soda ash that they use in the process. This is consistent with the Tier 3 methods in volume 3, Industrial Processes and Product Use, of the IPCC Guidelines (IPCC, 2006a) but is described as country specific in the CRF. </w:t>
      </w:r>
    </w:p>
    <w:p w14:paraId="4FED1158" w14:textId="77777777" w:rsidR="00806461" w:rsidRPr="00256982" w:rsidRDefault="00806461" w:rsidP="00806461">
      <w:pPr>
        <w:pStyle w:val="BodyText"/>
      </w:pPr>
      <w:r w:rsidRPr="00256982">
        <w:t xml:space="preserve">NZ ETS participants in this category are not required to report annually on the specific methods that they have used to determine the amounts of pure CaO, MgO, and other compounds that they report in their NZ ETS returns. They are required to keep this information available and it is verified periodically by the NZ ETS regulator. </w:t>
      </w:r>
    </w:p>
    <w:p w14:paraId="54BF2F51" w14:textId="77777777" w:rsidR="00806461" w:rsidRPr="00256982" w:rsidRDefault="00806461" w:rsidP="00806461">
      <w:pPr>
        <w:pStyle w:val="BodyText"/>
      </w:pPr>
      <w:r w:rsidRPr="00256982">
        <w:t>All other emissions use Tier 1 methods. This includes the small amount of SO</w:t>
      </w:r>
      <w:r w:rsidRPr="00256982">
        <w:rPr>
          <w:vertAlign w:val="subscript"/>
        </w:rPr>
        <w:t>2</w:t>
      </w:r>
      <w:r w:rsidRPr="00256982">
        <w:t xml:space="preserve"> emissions reported for cement production. Emissions of SO</w:t>
      </w:r>
      <w:r w:rsidRPr="00256982">
        <w:rPr>
          <w:vertAlign w:val="subscript"/>
        </w:rPr>
        <w:t>2</w:t>
      </w:r>
      <w:r w:rsidRPr="00256982">
        <w:t xml:space="preserve"> from lime production were also estimated in 2006 (CRL Energy, </w:t>
      </w:r>
      <w:r w:rsidRPr="00256982">
        <w:rPr>
          <w:rFonts w:eastAsia="+mn-ea"/>
        </w:rPr>
        <w:t>unpublished(a)</w:t>
      </w:r>
      <w:r w:rsidRPr="00256982">
        <w:t>). These used a country-specific emission factor of 0.5 kilograms SO</w:t>
      </w:r>
      <w:r w:rsidRPr="00256982">
        <w:rPr>
          <w:vertAlign w:val="subscript"/>
        </w:rPr>
        <w:t>2</w:t>
      </w:r>
      <w:r w:rsidRPr="00256982">
        <w:t xml:space="preserve"> per tonne of burnt lime produced, derived from plant measurements carried out in earlier years. There is no provision in the CRF to report these emissions, however. </w:t>
      </w:r>
    </w:p>
    <w:p w14:paraId="458718CE" w14:textId="77777777" w:rsidR="00806461" w:rsidRPr="00256982" w:rsidRDefault="00806461" w:rsidP="00A72006">
      <w:pPr>
        <w:pStyle w:val="Heading4"/>
        <w:rPr>
          <w:bCs/>
          <w:iCs/>
        </w:rPr>
      </w:pPr>
      <w:r w:rsidRPr="00256982">
        <w:t>Choice of emission factors</w:t>
      </w:r>
    </w:p>
    <w:p w14:paraId="6ACF83A1" w14:textId="77777777" w:rsidR="00806461" w:rsidRPr="00256982" w:rsidRDefault="00806461" w:rsidP="00806461">
      <w:pPr>
        <w:pStyle w:val="BodyText"/>
      </w:pPr>
      <w:r w:rsidRPr="00256982">
        <w:t xml:space="preserve">All calculations made for NZ ETS reporting and used in the </w:t>
      </w:r>
      <w:r w:rsidRPr="00256982">
        <w:rPr>
          <w:i/>
        </w:rPr>
        <w:t>Mineral industry</w:t>
      </w:r>
      <w:r w:rsidRPr="00256982">
        <w:t xml:space="preserve"> source category are based on plant-specific analysis. </w:t>
      </w:r>
    </w:p>
    <w:p w14:paraId="35F9ADCD" w14:textId="77777777" w:rsidR="00806461" w:rsidRPr="00256982" w:rsidRDefault="00806461" w:rsidP="00806461">
      <w:pPr>
        <w:pStyle w:val="BodyText"/>
      </w:pPr>
      <w:r w:rsidRPr="00256982">
        <w:t>The small amounts of SO</w:t>
      </w:r>
      <w:r w:rsidRPr="00256982">
        <w:rPr>
          <w:vertAlign w:val="subscript"/>
        </w:rPr>
        <w:t>2</w:t>
      </w:r>
      <w:r w:rsidRPr="00256982">
        <w:t xml:space="preserve"> emitted in the </w:t>
      </w:r>
      <w:r w:rsidRPr="00256982">
        <w:rPr>
          <w:i/>
        </w:rPr>
        <w:t>Cement production</w:t>
      </w:r>
      <w:r w:rsidRPr="00256982">
        <w:t xml:space="preserve"> category are estimated using plant-specific emission factors taken from mass balance data derived for the two cement plants in 2002 and 2005 (CRL Energy, </w:t>
      </w:r>
      <w:r w:rsidRPr="00256982">
        <w:rPr>
          <w:rFonts w:eastAsia="+mn-ea"/>
        </w:rPr>
        <w:t>unpublished(a)</w:t>
      </w:r>
      <w:r w:rsidRPr="00256982">
        <w:t xml:space="preserve">). </w:t>
      </w:r>
    </w:p>
    <w:p w14:paraId="468D641E" w14:textId="77777777" w:rsidR="00806461" w:rsidRPr="00256982" w:rsidRDefault="00806461" w:rsidP="00806461">
      <w:pPr>
        <w:pStyle w:val="BodyText"/>
      </w:pPr>
      <w:r w:rsidRPr="00256982">
        <w:lastRenderedPageBreak/>
        <w:t>For the very small emissions of CO</w:t>
      </w:r>
      <w:r w:rsidRPr="00256982">
        <w:rPr>
          <w:vertAlign w:val="subscript"/>
        </w:rPr>
        <w:t>2</w:t>
      </w:r>
      <w:r w:rsidRPr="00256982">
        <w:t xml:space="preserve"> from the </w:t>
      </w:r>
      <w:r w:rsidRPr="00256982">
        <w:rPr>
          <w:i/>
        </w:rPr>
        <w:t>Ceramics</w:t>
      </w:r>
      <w:r w:rsidRPr="00256982">
        <w:t xml:space="preserve"> (2.A.4.a) category a country-specific emission factor of 0.1 per cent of carbonates (as equivalent calcium carbonate) in local kaolin clay is used. </w:t>
      </w:r>
    </w:p>
    <w:p w14:paraId="3946BA26" w14:textId="77777777" w:rsidR="00806461" w:rsidRPr="00256982" w:rsidRDefault="00806461" w:rsidP="00806461">
      <w:pPr>
        <w:pStyle w:val="BodyText"/>
      </w:pPr>
      <w:r w:rsidRPr="00256982">
        <w:t xml:space="preserve">Other emission factors used are IPCC defaults. </w:t>
      </w:r>
    </w:p>
    <w:p w14:paraId="6960292E" w14:textId="77777777" w:rsidR="00806461" w:rsidRPr="00256982" w:rsidRDefault="00806461" w:rsidP="001D3490">
      <w:pPr>
        <w:pStyle w:val="Heading3"/>
      </w:pPr>
      <w:r w:rsidRPr="00256982">
        <w:t xml:space="preserve">4.2.3 </w:t>
      </w:r>
      <w:r w:rsidRPr="00256982">
        <w:tab/>
        <w:t>Uncertainties and time-series consistency</w:t>
      </w:r>
    </w:p>
    <w:p w14:paraId="2918C0B3" w14:textId="77777777" w:rsidR="00806461" w:rsidRPr="00256982" w:rsidRDefault="00806461" w:rsidP="00A72006">
      <w:pPr>
        <w:pStyle w:val="Heading4"/>
        <w:rPr>
          <w:bCs/>
          <w:iCs/>
        </w:rPr>
      </w:pPr>
      <w:r w:rsidRPr="00256982">
        <w:t>Uncertainties</w:t>
      </w:r>
    </w:p>
    <w:p w14:paraId="35A55796" w14:textId="77777777" w:rsidR="00806461" w:rsidRPr="00256982" w:rsidRDefault="00806461" w:rsidP="00806461">
      <w:pPr>
        <w:pStyle w:val="BodyText"/>
      </w:pPr>
      <w:r w:rsidRPr="00256982">
        <w:t>IPCC default uncertainties have been used for all CO</w:t>
      </w:r>
      <w:r w:rsidRPr="00256982">
        <w:rPr>
          <w:vertAlign w:val="subscript"/>
        </w:rPr>
        <w:t>2</w:t>
      </w:r>
      <w:r w:rsidRPr="00256982">
        <w:t xml:space="preserve"> emissions from the </w:t>
      </w:r>
      <w:r w:rsidRPr="00256982">
        <w:rPr>
          <w:i/>
        </w:rPr>
        <w:t>Mineral industry</w:t>
      </w:r>
      <w:r w:rsidRPr="00256982">
        <w:t xml:space="preserve"> category (see table 4.2.1). For SO</w:t>
      </w:r>
      <w:r w:rsidRPr="00256982">
        <w:rPr>
          <w:vertAlign w:val="subscript"/>
        </w:rPr>
        <w:t>2</w:t>
      </w:r>
      <w:r w:rsidRPr="00256982">
        <w:t xml:space="preserve"> emissions in the </w:t>
      </w:r>
      <w:r w:rsidRPr="00256982">
        <w:rPr>
          <w:i/>
        </w:rPr>
        <w:t>Cement production</w:t>
      </w:r>
      <w:r w:rsidRPr="00256982">
        <w:t xml:space="preserve"> category, an uncertainty of ±40 per cent was estimated based on the variance between surveys when these emissions were determined (CRL Energy, </w:t>
      </w:r>
      <w:r w:rsidRPr="00256982">
        <w:rPr>
          <w:rFonts w:eastAsia="+mn-ea"/>
        </w:rPr>
        <w:t>unpublished(a)</w:t>
      </w:r>
      <w:r w:rsidRPr="00256982">
        <w:t xml:space="preserve">). </w:t>
      </w:r>
    </w:p>
    <w:p w14:paraId="231DF70D" w14:textId="77777777" w:rsidR="00806461" w:rsidRPr="00256982" w:rsidRDefault="00806461" w:rsidP="00806461">
      <w:pPr>
        <w:pStyle w:val="Table"/>
      </w:pPr>
      <w:bookmarkStart w:id="416" w:name="_Toc451176067"/>
      <w:bookmarkStart w:id="417" w:name="_Toc414531404"/>
      <w:bookmarkStart w:id="418" w:name="_Toc5269457"/>
      <w:r w:rsidRPr="00256982">
        <w:t>Table 4.2.1</w:t>
      </w:r>
      <w:r w:rsidRPr="00256982">
        <w:tab/>
        <w:t>Uncertainty in emissions from mineral products</w:t>
      </w:r>
      <w:bookmarkEnd w:id="416"/>
      <w:bookmarkEnd w:id="417"/>
      <w:bookmarkEnd w:id="418"/>
    </w:p>
    <w:tbl>
      <w:tblPr>
        <w:tblW w:w="8562" w:type="dxa"/>
        <w:tblInd w:w="108" w:type="dxa"/>
        <w:tblBorders>
          <w:top w:val="single" w:sz="6" w:space="0" w:color="365F91"/>
          <w:bottom w:val="single" w:sz="6" w:space="0" w:color="365F91"/>
          <w:insideH w:val="single" w:sz="6" w:space="0" w:color="365F91"/>
        </w:tblBorders>
        <w:tblLook w:val="04A0" w:firstRow="1" w:lastRow="0" w:firstColumn="1" w:lastColumn="0" w:noHBand="0" w:noVBand="1"/>
      </w:tblPr>
      <w:tblGrid>
        <w:gridCol w:w="2694"/>
        <w:gridCol w:w="2835"/>
        <w:gridCol w:w="3033"/>
      </w:tblGrid>
      <w:tr w:rsidR="00806461" w:rsidRPr="00256982" w14:paraId="0EE68D1A" w14:textId="77777777" w:rsidTr="00806461">
        <w:tc>
          <w:tcPr>
            <w:tcW w:w="2694" w:type="dxa"/>
            <w:tcBorders>
              <w:top w:val="single" w:sz="4" w:space="0" w:color="365F91"/>
              <w:left w:val="nil"/>
              <w:bottom w:val="single" w:sz="4" w:space="0" w:color="365F91"/>
              <w:right w:val="nil"/>
            </w:tcBorders>
            <w:shd w:val="clear" w:color="auto" w:fill="365F91"/>
            <w:hideMark/>
          </w:tcPr>
          <w:p w14:paraId="4F9B743B" w14:textId="77777777" w:rsidR="00806461" w:rsidRPr="00256982" w:rsidRDefault="00806461">
            <w:pPr>
              <w:pStyle w:val="TableTextBold"/>
              <w:keepNext/>
              <w:spacing w:after="50"/>
              <w:rPr>
                <w:noProof w:val="0"/>
                <w:color w:val="FFFFFF"/>
              </w:rPr>
            </w:pPr>
            <w:r w:rsidRPr="00256982">
              <w:rPr>
                <w:noProof w:val="0"/>
                <w:color w:val="FFFFFF"/>
              </w:rPr>
              <w:t>Mineral product</w:t>
            </w:r>
          </w:p>
        </w:tc>
        <w:tc>
          <w:tcPr>
            <w:tcW w:w="2835" w:type="dxa"/>
            <w:tcBorders>
              <w:top w:val="single" w:sz="4" w:space="0" w:color="365F91"/>
              <w:left w:val="nil"/>
              <w:bottom w:val="single" w:sz="4" w:space="0" w:color="365F91"/>
              <w:right w:val="nil"/>
            </w:tcBorders>
            <w:shd w:val="clear" w:color="auto" w:fill="365F91"/>
            <w:hideMark/>
          </w:tcPr>
          <w:p w14:paraId="19C6D25A" w14:textId="77777777" w:rsidR="00806461" w:rsidRPr="00256982" w:rsidRDefault="00806461">
            <w:pPr>
              <w:pStyle w:val="TableTextBold"/>
              <w:spacing w:after="50"/>
              <w:rPr>
                <w:noProof w:val="0"/>
                <w:color w:val="FFFFFF"/>
              </w:rPr>
            </w:pPr>
            <w:r w:rsidRPr="00256982">
              <w:rPr>
                <w:noProof w:val="0"/>
                <w:color w:val="FFFFFF"/>
              </w:rPr>
              <w:t>Uncertainty in activity data (%)</w:t>
            </w:r>
          </w:p>
        </w:tc>
        <w:tc>
          <w:tcPr>
            <w:tcW w:w="3033" w:type="dxa"/>
            <w:tcBorders>
              <w:top w:val="single" w:sz="4" w:space="0" w:color="365F91"/>
              <w:left w:val="nil"/>
              <w:bottom w:val="single" w:sz="4" w:space="0" w:color="365F91"/>
              <w:right w:val="nil"/>
            </w:tcBorders>
            <w:shd w:val="clear" w:color="auto" w:fill="365F91"/>
            <w:hideMark/>
          </w:tcPr>
          <w:p w14:paraId="7B809524" w14:textId="77777777" w:rsidR="00806461" w:rsidRPr="00256982" w:rsidRDefault="00806461">
            <w:pPr>
              <w:pStyle w:val="TableTextBold"/>
              <w:spacing w:after="50"/>
              <w:rPr>
                <w:noProof w:val="0"/>
                <w:color w:val="FFFFFF"/>
              </w:rPr>
            </w:pPr>
            <w:r w:rsidRPr="00256982">
              <w:rPr>
                <w:noProof w:val="0"/>
                <w:color w:val="FFFFFF"/>
              </w:rPr>
              <w:t>Uncertainty in emission factors (%)</w:t>
            </w:r>
          </w:p>
        </w:tc>
      </w:tr>
      <w:tr w:rsidR="00806461" w:rsidRPr="00256982" w14:paraId="19541677" w14:textId="77777777" w:rsidTr="00806461">
        <w:tc>
          <w:tcPr>
            <w:tcW w:w="2694" w:type="dxa"/>
            <w:tcBorders>
              <w:top w:val="single" w:sz="4" w:space="0" w:color="365F91"/>
              <w:left w:val="nil"/>
              <w:bottom w:val="single" w:sz="6" w:space="0" w:color="365F91"/>
              <w:right w:val="nil"/>
            </w:tcBorders>
            <w:shd w:val="clear" w:color="auto" w:fill="FFFFFF"/>
            <w:hideMark/>
          </w:tcPr>
          <w:p w14:paraId="3DBFDE36" w14:textId="77777777" w:rsidR="00806461" w:rsidRPr="00256982" w:rsidRDefault="00806461">
            <w:pPr>
              <w:pStyle w:val="TableText"/>
              <w:keepNext/>
              <w:spacing w:after="50"/>
            </w:pPr>
            <w:r w:rsidRPr="00256982">
              <w:t>Cement: CaO content of clinker</w:t>
            </w:r>
          </w:p>
        </w:tc>
        <w:tc>
          <w:tcPr>
            <w:tcW w:w="2835" w:type="dxa"/>
            <w:tcBorders>
              <w:top w:val="single" w:sz="4" w:space="0" w:color="365F91"/>
              <w:left w:val="nil"/>
              <w:bottom w:val="single" w:sz="6" w:space="0" w:color="365F91"/>
              <w:right w:val="nil"/>
            </w:tcBorders>
            <w:shd w:val="clear" w:color="auto" w:fill="FFFFFF"/>
            <w:hideMark/>
          </w:tcPr>
          <w:p w14:paraId="04BC8733" w14:textId="77777777" w:rsidR="00806461" w:rsidRPr="00256982" w:rsidRDefault="00806461">
            <w:pPr>
              <w:pStyle w:val="TableText"/>
              <w:spacing w:after="50"/>
            </w:pPr>
            <w:r w:rsidRPr="00256982">
              <w:t>±1</w:t>
            </w:r>
          </w:p>
        </w:tc>
        <w:tc>
          <w:tcPr>
            <w:tcW w:w="3033" w:type="dxa"/>
            <w:tcBorders>
              <w:top w:val="single" w:sz="4" w:space="0" w:color="365F91"/>
              <w:left w:val="nil"/>
              <w:bottom w:val="single" w:sz="6" w:space="0" w:color="365F91"/>
              <w:right w:val="nil"/>
            </w:tcBorders>
            <w:shd w:val="clear" w:color="auto" w:fill="FFFFFF"/>
            <w:hideMark/>
          </w:tcPr>
          <w:p w14:paraId="4F9B713D" w14:textId="77777777" w:rsidR="00806461" w:rsidRPr="00256982" w:rsidRDefault="00806461">
            <w:pPr>
              <w:pStyle w:val="TableText"/>
              <w:spacing w:after="50"/>
            </w:pPr>
            <w:r w:rsidRPr="00256982">
              <w:t>±1</w:t>
            </w:r>
          </w:p>
        </w:tc>
      </w:tr>
      <w:tr w:rsidR="00806461" w:rsidRPr="00256982" w14:paraId="747F0127" w14:textId="77777777" w:rsidTr="00806461">
        <w:tc>
          <w:tcPr>
            <w:tcW w:w="2694" w:type="dxa"/>
            <w:tcBorders>
              <w:top w:val="single" w:sz="6" w:space="0" w:color="365F91"/>
              <w:left w:val="nil"/>
              <w:bottom w:val="single" w:sz="6" w:space="0" w:color="365F91"/>
              <w:right w:val="nil"/>
            </w:tcBorders>
            <w:shd w:val="clear" w:color="auto" w:fill="FFFFFF"/>
            <w:hideMark/>
          </w:tcPr>
          <w:p w14:paraId="49EE9CE2" w14:textId="77777777" w:rsidR="00806461" w:rsidRPr="00256982" w:rsidRDefault="00806461">
            <w:pPr>
              <w:pStyle w:val="TableText"/>
              <w:spacing w:after="50"/>
            </w:pPr>
            <w:r w:rsidRPr="00256982">
              <w:t>Cement: kiln dust</w:t>
            </w:r>
          </w:p>
        </w:tc>
        <w:tc>
          <w:tcPr>
            <w:tcW w:w="2835" w:type="dxa"/>
            <w:tcBorders>
              <w:top w:val="single" w:sz="6" w:space="0" w:color="365F91"/>
              <w:left w:val="nil"/>
              <w:bottom w:val="single" w:sz="6" w:space="0" w:color="365F91"/>
              <w:right w:val="nil"/>
            </w:tcBorders>
            <w:shd w:val="clear" w:color="auto" w:fill="FFFFFF"/>
            <w:hideMark/>
          </w:tcPr>
          <w:p w14:paraId="62057925" w14:textId="77777777" w:rsidR="00806461" w:rsidRPr="00256982" w:rsidRDefault="00806461">
            <w:pPr>
              <w:pStyle w:val="TableText"/>
              <w:spacing w:after="50"/>
            </w:pPr>
            <w:r w:rsidRPr="00256982">
              <w:t>±1</w:t>
            </w:r>
          </w:p>
        </w:tc>
        <w:tc>
          <w:tcPr>
            <w:tcW w:w="3033" w:type="dxa"/>
            <w:tcBorders>
              <w:top w:val="single" w:sz="6" w:space="0" w:color="365F91"/>
              <w:left w:val="nil"/>
              <w:bottom w:val="single" w:sz="6" w:space="0" w:color="365F91"/>
              <w:right w:val="nil"/>
            </w:tcBorders>
            <w:shd w:val="clear" w:color="auto" w:fill="FFFFFF"/>
            <w:hideMark/>
          </w:tcPr>
          <w:p w14:paraId="070561A1" w14:textId="77777777" w:rsidR="00806461" w:rsidRPr="00256982" w:rsidRDefault="00806461">
            <w:pPr>
              <w:pStyle w:val="TableText"/>
              <w:spacing w:after="50"/>
            </w:pPr>
            <w:r w:rsidRPr="00256982">
              <w:t>±5</w:t>
            </w:r>
          </w:p>
        </w:tc>
      </w:tr>
      <w:tr w:rsidR="00806461" w:rsidRPr="00256982" w14:paraId="15F97063" w14:textId="77777777" w:rsidTr="00806461">
        <w:tc>
          <w:tcPr>
            <w:tcW w:w="2694" w:type="dxa"/>
            <w:tcBorders>
              <w:top w:val="single" w:sz="6" w:space="0" w:color="365F91"/>
              <w:left w:val="nil"/>
              <w:bottom w:val="single" w:sz="6" w:space="0" w:color="365F91"/>
              <w:right w:val="nil"/>
            </w:tcBorders>
            <w:shd w:val="clear" w:color="auto" w:fill="FFFFFF"/>
            <w:hideMark/>
          </w:tcPr>
          <w:p w14:paraId="475C20B1" w14:textId="77777777" w:rsidR="00806461" w:rsidRPr="00256982" w:rsidRDefault="00806461">
            <w:pPr>
              <w:pStyle w:val="TableText"/>
              <w:spacing w:after="50"/>
            </w:pPr>
            <w:r w:rsidRPr="00256982">
              <w:t>Cement (SO</w:t>
            </w:r>
            <w:r w:rsidRPr="00256982">
              <w:rPr>
                <w:vertAlign w:val="subscript"/>
              </w:rPr>
              <w:t>2</w:t>
            </w:r>
            <w:r w:rsidRPr="00256982">
              <w:t>)</w:t>
            </w:r>
          </w:p>
        </w:tc>
        <w:tc>
          <w:tcPr>
            <w:tcW w:w="2835" w:type="dxa"/>
            <w:tcBorders>
              <w:top w:val="single" w:sz="6" w:space="0" w:color="365F91"/>
              <w:left w:val="nil"/>
              <w:bottom w:val="single" w:sz="6" w:space="0" w:color="365F91"/>
              <w:right w:val="nil"/>
            </w:tcBorders>
            <w:shd w:val="clear" w:color="auto" w:fill="FFFFFF"/>
            <w:hideMark/>
          </w:tcPr>
          <w:p w14:paraId="345EF2F4" w14:textId="77777777" w:rsidR="00806461" w:rsidRPr="00256982" w:rsidRDefault="00806461">
            <w:pPr>
              <w:pStyle w:val="TableText"/>
              <w:spacing w:after="50"/>
            </w:pPr>
            <w:r w:rsidRPr="00256982">
              <w:t>±1</w:t>
            </w:r>
          </w:p>
        </w:tc>
        <w:tc>
          <w:tcPr>
            <w:tcW w:w="3033" w:type="dxa"/>
            <w:tcBorders>
              <w:top w:val="single" w:sz="6" w:space="0" w:color="365F91"/>
              <w:left w:val="nil"/>
              <w:bottom w:val="single" w:sz="6" w:space="0" w:color="365F91"/>
              <w:right w:val="nil"/>
            </w:tcBorders>
            <w:shd w:val="clear" w:color="auto" w:fill="FFFFFF"/>
            <w:hideMark/>
          </w:tcPr>
          <w:p w14:paraId="399B4D83" w14:textId="77777777" w:rsidR="00806461" w:rsidRPr="00256982" w:rsidRDefault="00806461">
            <w:pPr>
              <w:pStyle w:val="TableText"/>
              <w:spacing w:after="50"/>
            </w:pPr>
            <w:r w:rsidRPr="00256982">
              <w:t>±40</w:t>
            </w:r>
          </w:p>
        </w:tc>
      </w:tr>
      <w:tr w:rsidR="00806461" w:rsidRPr="00256982" w14:paraId="1DA73095" w14:textId="77777777" w:rsidTr="00806461">
        <w:tc>
          <w:tcPr>
            <w:tcW w:w="2694" w:type="dxa"/>
            <w:tcBorders>
              <w:top w:val="single" w:sz="6" w:space="0" w:color="365F91"/>
              <w:left w:val="nil"/>
              <w:bottom w:val="single" w:sz="6" w:space="0" w:color="365F91"/>
              <w:right w:val="nil"/>
            </w:tcBorders>
            <w:shd w:val="clear" w:color="auto" w:fill="FFFFFF"/>
            <w:hideMark/>
          </w:tcPr>
          <w:p w14:paraId="1D59389E" w14:textId="77777777" w:rsidR="00806461" w:rsidRPr="00256982" w:rsidRDefault="00806461">
            <w:pPr>
              <w:pStyle w:val="TableText"/>
              <w:spacing w:after="50"/>
            </w:pPr>
            <w:r w:rsidRPr="00256982">
              <w:t>Lime (CO</w:t>
            </w:r>
            <w:r w:rsidRPr="00256982">
              <w:rPr>
                <w:vertAlign w:val="subscript"/>
              </w:rPr>
              <w:t>2</w:t>
            </w:r>
            <w:r w:rsidRPr="00256982">
              <w:t>)</w:t>
            </w:r>
          </w:p>
        </w:tc>
        <w:tc>
          <w:tcPr>
            <w:tcW w:w="2835" w:type="dxa"/>
            <w:tcBorders>
              <w:top w:val="single" w:sz="6" w:space="0" w:color="365F91"/>
              <w:left w:val="nil"/>
              <w:bottom w:val="single" w:sz="6" w:space="0" w:color="365F91"/>
              <w:right w:val="nil"/>
            </w:tcBorders>
            <w:shd w:val="clear" w:color="auto" w:fill="FFFFFF"/>
            <w:hideMark/>
          </w:tcPr>
          <w:p w14:paraId="02DDD726" w14:textId="77777777" w:rsidR="00806461" w:rsidRPr="00256982" w:rsidRDefault="00806461">
            <w:pPr>
              <w:pStyle w:val="TableText"/>
              <w:spacing w:after="50"/>
            </w:pPr>
            <w:r w:rsidRPr="00256982">
              <w:t>±2</w:t>
            </w:r>
          </w:p>
        </w:tc>
        <w:tc>
          <w:tcPr>
            <w:tcW w:w="3033" w:type="dxa"/>
            <w:tcBorders>
              <w:top w:val="single" w:sz="6" w:space="0" w:color="365F91"/>
              <w:left w:val="nil"/>
              <w:bottom w:val="single" w:sz="6" w:space="0" w:color="365F91"/>
              <w:right w:val="nil"/>
            </w:tcBorders>
            <w:shd w:val="clear" w:color="auto" w:fill="FFFFFF"/>
            <w:hideMark/>
          </w:tcPr>
          <w:p w14:paraId="139386CD" w14:textId="77777777" w:rsidR="00806461" w:rsidRPr="00256982" w:rsidRDefault="00806461">
            <w:pPr>
              <w:pStyle w:val="TableText"/>
              <w:spacing w:after="50"/>
            </w:pPr>
            <w:r w:rsidRPr="00256982">
              <w:t>±2</w:t>
            </w:r>
          </w:p>
        </w:tc>
      </w:tr>
      <w:tr w:rsidR="00806461" w:rsidRPr="00256982" w14:paraId="575382C5" w14:textId="77777777" w:rsidTr="00806461">
        <w:tc>
          <w:tcPr>
            <w:tcW w:w="2694" w:type="dxa"/>
            <w:tcBorders>
              <w:top w:val="single" w:sz="6" w:space="0" w:color="365F91"/>
              <w:left w:val="nil"/>
              <w:bottom w:val="single" w:sz="6" w:space="0" w:color="365F91"/>
              <w:right w:val="nil"/>
            </w:tcBorders>
            <w:shd w:val="clear" w:color="auto" w:fill="FFFFFF"/>
            <w:hideMark/>
          </w:tcPr>
          <w:p w14:paraId="31FF80E6" w14:textId="77777777" w:rsidR="00806461" w:rsidRPr="00256982" w:rsidRDefault="00806461">
            <w:pPr>
              <w:pStyle w:val="TableText"/>
              <w:spacing w:after="50"/>
            </w:pPr>
            <w:r w:rsidRPr="00256982">
              <w:t>Glass (SO</w:t>
            </w:r>
            <w:r w:rsidRPr="00256982">
              <w:rPr>
                <w:vertAlign w:val="subscript"/>
              </w:rPr>
              <w:t>2</w:t>
            </w:r>
            <w:r w:rsidRPr="00256982">
              <w:t>)</w:t>
            </w:r>
          </w:p>
        </w:tc>
        <w:tc>
          <w:tcPr>
            <w:tcW w:w="2835" w:type="dxa"/>
            <w:tcBorders>
              <w:top w:val="single" w:sz="6" w:space="0" w:color="365F91"/>
              <w:left w:val="nil"/>
              <w:bottom w:val="single" w:sz="6" w:space="0" w:color="365F91"/>
              <w:right w:val="nil"/>
            </w:tcBorders>
            <w:shd w:val="clear" w:color="auto" w:fill="FFFFFF"/>
            <w:hideMark/>
          </w:tcPr>
          <w:p w14:paraId="3200B6F2" w14:textId="77777777" w:rsidR="00806461" w:rsidRPr="00256982" w:rsidRDefault="00806461">
            <w:pPr>
              <w:pStyle w:val="TableText"/>
              <w:spacing w:after="50"/>
            </w:pPr>
            <w:r w:rsidRPr="00256982">
              <w:t>±5</w:t>
            </w:r>
          </w:p>
        </w:tc>
        <w:tc>
          <w:tcPr>
            <w:tcW w:w="3033" w:type="dxa"/>
            <w:tcBorders>
              <w:top w:val="single" w:sz="6" w:space="0" w:color="365F91"/>
              <w:left w:val="nil"/>
              <w:bottom w:val="single" w:sz="6" w:space="0" w:color="365F91"/>
              <w:right w:val="nil"/>
            </w:tcBorders>
            <w:shd w:val="clear" w:color="auto" w:fill="FFFFFF"/>
            <w:hideMark/>
          </w:tcPr>
          <w:p w14:paraId="60772F03" w14:textId="77777777" w:rsidR="00806461" w:rsidRPr="00256982" w:rsidRDefault="00806461">
            <w:pPr>
              <w:pStyle w:val="TableText"/>
              <w:spacing w:after="50"/>
            </w:pPr>
            <w:r w:rsidRPr="00256982">
              <w:t>±10</w:t>
            </w:r>
          </w:p>
        </w:tc>
      </w:tr>
      <w:tr w:rsidR="00806461" w:rsidRPr="00256982" w14:paraId="45E594A9" w14:textId="77777777" w:rsidTr="00806461">
        <w:tc>
          <w:tcPr>
            <w:tcW w:w="2694" w:type="dxa"/>
            <w:tcBorders>
              <w:top w:val="single" w:sz="6" w:space="0" w:color="365F91"/>
              <w:left w:val="nil"/>
              <w:bottom w:val="single" w:sz="6" w:space="0" w:color="365F91"/>
              <w:right w:val="nil"/>
            </w:tcBorders>
            <w:shd w:val="clear" w:color="auto" w:fill="FFFFFF"/>
            <w:hideMark/>
          </w:tcPr>
          <w:p w14:paraId="39CCA2FF" w14:textId="77777777" w:rsidR="00806461" w:rsidRPr="00256982" w:rsidRDefault="00806461">
            <w:pPr>
              <w:pStyle w:val="TableText"/>
              <w:spacing w:after="50"/>
            </w:pPr>
            <w:r w:rsidRPr="00256982">
              <w:t>Glass (NMVOC)</w:t>
            </w:r>
          </w:p>
        </w:tc>
        <w:tc>
          <w:tcPr>
            <w:tcW w:w="2835" w:type="dxa"/>
            <w:tcBorders>
              <w:top w:val="single" w:sz="6" w:space="0" w:color="365F91"/>
              <w:left w:val="nil"/>
              <w:bottom w:val="single" w:sz="6" w:space="0" w:color="365F91"/>
              <w:right w:val="nil"/>
            </w:tcBorders>
            <w:shd w:val="clear" w:color="auto" w:fill="FFFFFF"/>
            <w:hideMark/>
          </w:tcPr>
          <w:p w14:paraId="7A95EBE5" w14:textId="77777777" w:rsidR="00806461" w:rsidRPr="00256982" w:rsidRDefault="00806461">
            <w:pPr>
              <w:pStyle w:val="TableText"/>
              <w:spacing w:after="50"/>
            </w:pPr>
            <w:r w:rsidRPr="00256982">
              <w:t>±5</w:t>
            </w:r>
          </w:p>
        </w:tc>
        <w:tc>
          <w:tcPr>
            <w:tcW w:w="3033" w:type="dxa"/>
            <w:tcBorders>
              <w:top w:val="single" w:sz="6" w:space="0" w:color="365F91"/>
              <w:left w:val="nil"/>
              <w:bottom w:val="single" w:sz="6" w:space="0" w:color="365F91"/>
              <w:right w:val="nil"/>
            </w:tcBorders>
            <w:shd w:val="clear" w:color="auto" w:fill="FFFFFF"/>
            <w:hideMark/>
          </w:tcPr>
          <w:p w14:paraId="6487B988" w14:textId="77777777" w:rsidR="00806461" w:rsidRPr="00256982" w:rsidRDefault="00806461">
            <w:pPr>
              <w:pStyle w:val="TableText"/>
              <w:spacing w:after="50"/>
            </w:pPr>
            <w:r w:rsidRPr="00256982">
              <w:t>±50</w:t>
            </w:r>
          </w:p>
        </w:tc>
      </w:tr>
    </w:tbl>
    <w:p w14:paraId="1384F3B6" w14:textId="77777777" w:rsidR="00806461" w:rsidRPr="00256982" w:rsidRDefault="00806461" w:rsidP="00AD4CF4">
      <w:pPr>
        <w:pStyle w:val="Heading4"/>
        <w:spacing w:before="360"/>
        <w:rPr>
          <w:bCs/>
          <w:iCs/>
        </w:rPr>
      </w:pPr>
      <w:r w:rsidRPr="00256982">
        <w:t>Time-series consistency</w:t>
      </w:r>
    </w:p>
    <w:p w14:paraId="6E863833" w14:textId="77777777" w:rsidR="00806461" w:rsidRPr="00256982" w:rsidRDefault="00806461" w:rsidP="00806461">
      <w:pPr>
        <w:pStyle w:val="BodyText"/>
      </w:pPr>
      <w:r w:rsidRPr="00256982">
        <w:t xml:space="preserve">Because of the change to using NZ ETS data for cement and lime, and the use of slightly different calculation methods for these emissions, the reported activity data for lime production is not fully consistent through the time series. For the years up to 2013, a default emission factor was used, based on the amount of burnt lime produced. For 2014–17, NZ ETS returns are the data source. The companies carry out analysis and report the net amount of pure CaO as well as gross amounts made to the NZ ETS regulator, and consequently the implied emission factor reflects small year-to-year changes in composition. </w:t>
      </w:r>
    </w:p>
    <w:p w14:paraId="2E26E760" w14:textId="77777777" w:rsidR="00806461" w:rsidRPr="00256982" w:rsidRDefault="00806461" w:rsidP="001D3490">
      <w:pPr>
        <w:pStyle w:val="Heading3"/>
      </w:pPr>
      <w:r w:rsidRPr="00256982">
        <w:t>4.2.4</w:t>
      </w:r>
      <w:r w:rsidRPr="00256982">
        <w:tab/>
        <w:t>Source-specific QA/QC and verification</w:t>
      </w:r>
    </w:p>
    <w:p w14:paraId="2587289D" w14:textId="77777777" w:rsidR="00806461" w:rsidRPr="00256982" w:rsidRDefault="00806461" w:rsidP="00806461">
      <w:pPr>
        <w:pStyle w:val="BodyText"/>
      </w:pPr>
      <w:r w:rsidRPr="00256982">
        <w:t>For this submission, data for all CO</w:t>
      </w:r>
      <w:r w:rsidRPr="00256982">
        <w:rPr>
          <w:vertAlign w:val="subscript"/>
        </w:rPr>
        <w:t>2</w:t>
      </w:r>
      <w:r w:rsidRPr="00256982">
        <w:t xml:space="preserve"> emissions in the </w:t>
      </w:r>
      <w:r w:rsidRPr="00256982">
        <w:rPr>
          <w:i/>
        </w:rPr>
        <w:t>Mineral industry</w:t>
      </w:r>
      <w:r w:rsidRPr="00256982">
        <w:t xml:space="preserve"> source category underwent Tier 1 quality checks in the preparation of this inventory. The only key category is CO</w:t>
      </w:r>
      <w:r w:rsidRPr="00256982">
        <w:rPr>
          <w:vertAlign w:val="subscript"/>
        </w:rPr>
        <w:t>2</w:t>
      </w:r>
      <w:r w:rsidRPr="00256982">
        <w:t xml:space="preserve"> emissions from </w:t>
      </w:r>
      <w:r w:rsidRPr="00256982">
        <w:rPr>
          <w:i/>
        </w:rPr>
        <w:t>Cement production</w:t>
      </w:r>
      <w:r w:rsidRPr="00256982">
        <w:t xml:space="preserve">. </w:t>
      </w:r>
    </w:p>
    <w:p w14:paraId="4D2DE79A" w14:textId="77777777" w:rsidR="00806461" w:rsidRPr="00256982" w:rsidRDefault="00806461" w:rsidP="00806461">
      <w:pPr>
        <w:pStyle w:val="BodyText"/>
      </w:pPr>
      <w:r w:rsidRPr="00256982">
        <w:t xml:space="preserve">Verification of activity data from independent sources is not currently possible. The EPA carries out verification of NZ ETS participants’ submitted data on a rotating basis, and, as these verifications occur, the inventory agency will make use of the resulting information to verify the emissions data where possible. </w:t>
      </w:r>
    </w:p>
    <w:p w14:paraId="751ACD3E" w14:textId="77777777" w:rsidR="00806461" w:rsidRPr="00256982" w:rsidRDefault="00806461" w:rsidP="001D3490">
      <w:pPr>
        <w:pStyle w:val="Heading3"/>
      </w:pPr>
      <w:r w:rsidRPr="00256982">
        <w:t>4.2.5</w:t>
      </w:r>
      <w:r w:rsidRPr="00256982">
        <w:tab/>
        <w:t>Source-specific recalculations</w:t>
      </w:r>
    </w:p>
    <w:p w14:paraId="2040BC9C" w14:textId="77777777" w:rsidR="00806461" w:rsidRPr="00256982" w:rsidRDefault="00806461" w:rsidP="00806461">
      <w:pPr>
        <w:pStyle w:val="BodyText"/>
      </w:pPr>
      <w:r w:rsidRPr="00256982">
        <w:t xml:space="preserve">There are no recalculations for the </w:t>
      </w:r>
      <w:r w:rsidRPr="00256982">
        <w:rPr>
          <w:i/>
        </w:rPr>
        <w:t>Mineral industry</w:t>
      </w:r>
      <w:r w:rsidRPr="00256982">
        <w:t xml:space="preserve"> source category in this submission. </w:t>
      </w:r>
    </w:p>
    <w:p w14:paraId="6E907487" w14:textId="77777777" w:rsidR="00806461" w:rsidRPr="00256982" w:rsidRDefault="00806461" w:rsidP="00806461">
      <w:pPr>
        <w:pStyle w:val="BodyText"/>
      </w:pPr>
      <w:r w:rsidRPr="00256982">
        <w:t xml:space="preserve">The reported activity data for lime production in the years 2014 and 2015 were recalculated for the 2018 submission to ensure greater consistency. Previously, the amount of pure CaO made was reported for these years. </w:t>
      </w:r>
    </w:p>
    <w:p w14:paraId="36D3404D" w14:textId="77777777" w:rsidR="00806461" w:rsidRPr="00256982" w:rsidRDefault="00806461" w:rsidP="001D3490">
      <w:pPr>
        <w:pStyle w:val="Heading3"/>
      </w:pPr>
      <w:r w:rsidRPr="00256982">
        <w:lastRenderedPageBreak/>
        <w:t>4.2.6</w:t>
      </w:r>
      <w:r w:rsidRPr="00256982">
        <w:tab/>
        <w:t>Source-specific planned improvements</w:t>
      </w:r>
    </w:p>
    <w:p w14:paraId="61569B1E" w14:textId="77777777" w:rsidR="00806461" w:rsidRPr="00256982" w:rsidRDefault="00806461" w:rsidP="00806461">
      <w:pPr>
        <w:pStyle w:val="BodyText"/>
      </w:pPr>
      <w:r w:rsidRPr="00256982">
        <w:t xml:space="preserve">The inventory agency has worked with the companies in the </w:t>
      </w:r>
      <w:r w:rsidRPr="00256982">
        <w:rPr>
          <w:i/>
        </w:rPr>
        <w:t>Mineral industry</w:t>
      </w:r>
      <w:r w:rsidRPr="00256982">
        <w:t xml:space="preserve"> source category to improve transparency and confidence in the data provided. However, concerns about the confidentiality of data provided by the cement and glass companies, including data submitted as part of their compliance with NZ ETS obligations, remain a barrier to further improvements in transparency for this source category. </w:t>
      </w:r>
    </w:p>
    <w:p w14:paraId="5289C33C" w14:textId="77777777" w:rsidR="00806461" w:rsidRPr="00256982" w:rsidRDefault="00806461" w:rsidP="001D3490">
      <w:pPr>
        <w:pStyle w:val="Heading2"/>
      </w:pPr>
      <w:bookmarkStart w:id="419" w:name="_Toc448321514"/>
      <w:bookmarkStart w:id="420" w:name="_Toc5269353"/>
      <w:r w:rsidRPr="00256982">
        <w:t>4.3</w:t>
      </w:r>
      <w:r w:rsidRPr="00256982">
        <w:tab/>
        <w:t>Chemical industry (2.B)</w:t>
      </w:r>
      <w:bookmarkEnd w:id="419"/>
      <w:bookmarkEnd w:id="420"/>
    </w:p>
    <w:p w14:paraId="0A13BFDF" w14:textId="77777777" w:rsidR="00806461" w:rsidRPr="00256982" w:rsidRDefault="00806461" w:rsidP="00391D8B">
      <w:pPr>
        <w:pStyle w:val="Heading3"/>
        <w:spacing w:before="240"/>
      </w:pPr>
      <w:r w:rsidRPr="00256982">
        <w:t>4.3.1</w:t>
      </w:r>
      <w:r w:rsidRPr="00256982">
        <w:tab/>
        <w:t>Description</w:t>
      </w:r>
    </w:p>
    <w:p w14:paraId="32B49725" w14:textId="77777777" w:rsidR="00806461" w:rsidRPr="00256982" w:rsidRDefault="00806461" w:rsidP="00806461">
      <w:pPr>
        <w:pStyle w:val="BodyText"/>
      </w:pPr>
      <w:r w:rsidRPr="00256982">
        <w:t>The significant chemical processes occurring in New Zealand are the production of urea, methanol, superphosphate fertiliser, hydrogen peroxide, formaldehyde and ethanol. In addition, a substantial amount of hydrogen is made at the Marsden Point oil refinery, and CO</w:t>
      </w:r>
      <w:r w:rsidRPr="00256982">
        <w:rPr>
          <w:vertAlign w:val="subscript"/>
        </w:rPr>
        <w:t>2</w:t>
      </w:r>
      <w:r w:rsidRPr="00256982">
        <w:t xml:space="preserve"> emissions from this process are reported in the </w:t>
      </w:r>
      <w:r w:rsidRPr="00256982">
        <w:rPr>
          <w:i/>
        </w:rPr>
        <w:t>Chemical industry</w:t>
      </w:r>
      <w:r w:rsidRPr="00256982">
        <w:t xml:space="preserve"> category. No other relevant chemical products (such as nitric acid, adipic acid or ethylene) are produced in New Zealand. </w:t>
      </w:r>
    </w:p>
    <w:p w14:paraId="551724B5" w14:textId="77777777" w:rsidR="00806461" w:rsidRPr="00256982" w:rsidRDefault="00806461" w:rsidP="00806461">
      <w:pPr>
        <w:pStyle w:val="BodyText"/>
      </w:pPr>
      <w:r w:rsidRPr="00256982">
        <w:t>Ammonia is made at one site in Taranaki by the catalytic steam reforming of natural gas. The ammonia produced is further processed into urea. Emissions of CO</w:t>
      </w:r>
      <w:r w:rsidRPr="00256982">
        <w:rPr>
          <w:vertAlign w:val="subscript"/>
        </w:rPr>
        <w:t>2</w:t>
      </w:r>
      <w:r w:rsidRPr="00256982">
        <w:t xml:space="preserve"> arise from the fraction of process CO</w:t>
      </w:r>
      <w:r w:rsidRPr="00256982">
        <w:rPr>
          <w:vertAlign w:val="subscript"/>
        </w:rPr>
        <w:t>2</w:t>
      </w:r>
      <w:r w:rsidRPr="00256982">
        <w:t xml:space="preserve"> that is not recovered for urea production. Essentially, all of the urea product is used as a fertiliser in New Zealand. The emissions associated with agricultural use of urea (both manufactured in New Zealand and imported) are reported in the Agriculture sector (CRF 3.H). A small amount of urea is also used for catalytic reduction of diesel exhaust emissions. The emissions of CO</w:t>
      </w:r>
      <w:r w:rsidRPr="00256982">
        <w:rPr>
          <w:vertAlign w:val="subscript"/>
        </w:rPr>
        <w:t>2</w:t>
      </w:r>
      <w:r w:rsidRPr="00256982">
        <w:t xml:space="preserve"> from this use of urea are considered to be insignificant. </w:t>
      </w:r>
    </w:p>
    <w:p w14:paraId="73E80B6B" w14:textId="77777777" w:rsidR="00806461" w:rsidRPr="00256982" w:rsidRDefault="00806461" w:rsidP="00806461">
      <w:pPr>
        <w:pStyle w:val="BodyText"/>
        <w:spacing w:before="100" w:after="100"/>
      </w:pPr>
      <w:r w:rsidRPr="00256982">
        <w:t xml:space="preserve">Methane emissions are reported from the production of methanol, which is made from natural gas feedstock at two sites in Taranaki. From 1990 to 1997, a large proportion of the methanol made in New Zealand was processed into synthetic gasoline for transport use. All emissions associated with the production of gasoline, including the synthetic gasoline produced from 1990 to 1997, are reported in the Energy sector (chapter 3, sections 3.2 and 3.3). From 1998 on, all methanol made in New Zealand has been chemical methanol for export, and therefore all process emissions from the methanol plants have been reported in the IPPU sector. </w:t>
      </w:r>
    </w:p>
    <w:p w14:paraId="280AF5A5" w14:textId="77777777" w:rsidR="00806461" w:rsidRPr="00256982" w:rsidRDefault="00806461" w:rsidP="00806461">
      <w:pPr>
        <w:pStyle w:val="BodyText"/>
        <w:spacing w:before="100" w:after="100"/>
      </w:pPr>
      <w:r w:rsidRPr="00256982">
        <w:t>A small amount of CO</w:t>
      </w:r>
      <w:r w:rsidRPr="00256982">
        <w:rPr>
          <w:vertAlign w:val="subscript"/>
        </w:rPr>
        <w:t>2</w:t>
      </w:r>
      <w:r w:rsidRPr="00256982">
        <w:t xml:space="preserve"> is reported from the use of imported calcium carbide, which is used to produce acetylene for welding. No carbides are manufactured in New Zealand. </w:t>
      </w:r>
    </w:p>
    <w:p w14:paraId="477E7277" w14:textId="77777777" w:rsidR="00806461" w:rsidRPr="00256982" w:rsidRDefault="00806461" w:rsidP="00806461">
      <w:pPr>
        <w:pStyle w:val="BodyText"/>
        <w:spacing w:before="100" w:after="100"/>
      </w:pPr>
      <w:r w:rsidRPr="00256982">
        <w:t>Some indirect emissions (oxides of nitrogen (NO</w:t>
      </w:r>
      <w:r w:rsidRPr="00256982">
        <w:rPr>
          <w:vertAlign w:val="subscript"/>
        </w:rPr>
        <w:t>x</w:t>
      </w:r>
      <w:r w:rsidRPr="00256982">
        <w:t>), carbon monoxide (CO), non-methane volatile organic compounds (NMVOCs) and SO</w:t>
      </w:r>
      <w:r w:rsidRPr="00256982">
        <w:rPr>
          <w:vertAlign w:val="subscript"/>
        </w:rPr>
        <w:t>2</w:t>
      </w:r>
      <w:r w:rsidRPr="00256982">
        <w:t xml:space="preserve">) are reported from methanol, formaldehyde, ethanol, and superphosphate fertiliser production. </w:t>
      </w:r>
    </w:p>
    <w:p w14:paraId="58FA098F" w14:textId="77777777" w:rsidR="00806461" w:rsidRPr="00256982" w:rsidRDefault="00806461" w:rsidP="00806461">
      <w:pPr>
        <w:pStyle w:val="BodyText"/>
        <w:spacing w:before="100" w:after="100"/>
      </w:pPr>
      <w:r w:rsidRPr="00256982">
        <w:t xml:space="preserve">Emissions from the </w:t>
      </w:r>
      <w:r w:rsidRPr="00256982">
        <w:rPr>
          <w:i/>
        </w:rPr>
        <w:t>Chemical industry</w:t>
      </w:r>
      <w:r w:rsidRPr="00256982">
        <w:t xml:space="preserve"> source category in 2017 were 305.1 kt CO</w:t>
      </w:r>
      <w:r w:rsidRPr="00256982">
        <w:rPr>
          <w:vertAlign w:val="subscript"/>
        </w:rPr>
        <w:t>2</w:t>
      </w:r>
      <w:r w:rsidRPr="00256982">
        <w:t>-e (6.1 per cent) of emissions from the IPPU sector. This is 102.1 kt CO</w:t>
      </w:r>
      <w:r w:rsidRPr="00256982">
        <w:rPr>
          <w:vertAlign w:val="subscript"/>
        </w:rPr>
        <w:t>2</w:t>
      </w:r>
      <w:r w:rsidRPr="00256982">
        <w:t>-e (50.3 per cent) above the 1990 level. The increase has been driven by increasing production of ammonia and methanol, and increasing demand for transport fuels, which has increased the demand for hydrogen as an intermediate in oil refining. However, emissions in 2015 were 389.0 kt CO</w:t>
      </w:r>
      <w:r w:rsidRPr="00256982">
        <w:rPr>
          <w:vertAlign w:val="subscript"/>
        </w:rPr>
        <w:t>2</w:t>
      </w:r>
      <w:r w:rsidRPr="00256982">
        <w:t xml:space="preserve">-e. Emissions have decreased in 2016 and 2017 due to lower rates of production for hydrogen and urea. </w:t>
      </w:r>
    </w:p>
    <w:p w14:paraId="0B4D93FC" w14:textId="77777777" w:rsidR="00806461" w:rsidRPr="00256982" w:rsidRDefault="00806461" w:rsidP="00806461">
      <w:pPr>
        <w:pStyle w:val="BodyText"/>
      </w:pPr>
      <w:r w:rsidRPr="00256982">
        <w:t xml:space="preserve">The only key category in the </w:t>
      </w:r>
      <w:r w:rsidRPr="00256982">
        <w:rPr>
          <w:i/>
        </w:rPr>
        <w:t>Chemical industry</w:t>
      </w:r>
      <w:r w:rsidRPr="00256982">
        <w:t xml:space="preserve"> source category is </w:t>
      </w:r>
      <w:r w:rsidRPr="00256982">
        <w:rPr>
          <w:i/>
        </w:rPr>
        <w:t>Methanol</w:t>
      </w:r>
      <w:r w:rsidRPr="00256982">
        <w:t xml:space="preserve"> (trend assessment). </w:t>
      </w:r>
    </w:p>
    <w:p w14:paraId="3A32E6A4" w14:textId="77777777" w:rsidR="00806461" w:rsidRPr="00256982" w:rsidRDefault="00806461" w:rsidP="001D3490">
      <w:pPr>
        <w:pStyle w:val="Heading3"/>
      </w:pPr>
      <w:r w:rsidRPr="00256982">
        <w:lastRenderedPageBreak/>
        <w:t xml:space="preserve">4.3.2 </w:t>
      </w:r>
      <w:r w:rsidRPr="00256982">
        <w:tab/>
        <w:t>Methodological issues</w:t>
      </w:r>
    </w:p>
    <w:p w14:paraId="4DC6EEFB" w14:textId="77777777" w:rsidR="00806461" w:rsidRPr="00256982" w:rsidRDefault="00806461" w:rsidP="00A72006">
      <w:pPr>
        <w:pStyle w:val="Heading4"/>
        <w:rPr>
          <w:bCs/>
          <w:iCs/>
        </w:rPr>
      </w:pPr>
      <w:r w:rsidRPr="00256982">
        <w:t>Choice of activity data</w:t>
      </w:r>
    </w:p>
    <w:p w14:paraId="63CADF02" w14:textId="77777777" w:rsidR="00806461" w:rsidRPr="00256982" w:rsidRDefault="00806461" w:rsidP="00806461">
      <w:pPr>
        <w:pStyle w:val="Heading5"/>
        <w:spacing w:before="160"/>
      </w:pPr>
      <w:r w:rsidRPr="00256982">
        <w:t>Ammonia and urea (2.B.1)</w:t>
      </w:r>
    </w:p>
    <w:p w14:paraId="78DA4908" w14:textId="77777777" w:rsidR="00806461" w:rsidRPr="00256982" w:rsidRDefault="00806461" w:rsidP="00806461">
      <w:pPr>
        <w:pStyle w:val="BodyText"/>
      </w:pPr>
      <w:r w:rsidRPr="00256982">
        <w:t xml:space="preserve">Data on the production of urea are supplied to MBIE by Ballance Agri-Nutrients Limited, which operates the ammonia–urea production plant. The activity data reported are the production of ammonia, which is back-estimated from the amount of urea produced on the basis of a site-specific conversion factor that reflects the actual rate of conversion of ammonia to urea achieved in this plant. </w:t>
      </w:r>
    </w:p>
    <w:p w14:paraId="6930BB07" w14:textId="77777777" w:rsidR="00806461" w:rsidRPr="00256982" w:rsidRDefault="00806461" w:rsidP="00806461">
      <w:pPr>
        <w:pStyle w:val="Heading5"/>
      </w:pPr>
      <w:r w:rsidRPr="00256982">
        <w:t>Calcium carbide (2.B.5.b)</w:t>
      </w:r>
    </w:p>
    <w:p w14:paraId="0D83F6F4" w14:textId="77777777" w:rsidR="00806461" w:rsidRPr="00256982" w:rsidRDefault="00806461" w:rsidP="00806461">
      <w:pPr>
        <w:pStyle w:val="BodyText"/>
      </w:pPr>
      <w:r w:rsidRPr="00256982">
        <w:t xml:space="preserve">A small amount of calcium carbide is imported to New Zealand and used to produce acetylene gas for welding. The approximate amount of calcium carbide imported is used as activity data. </w:t>
      </w:r>
    </w:p>
    <w:p w14:paraId="1AA5A857" w14:textId="77777777" w:rsidR="00806461" w:rsidRPr="00256982" w:rsidRDefault="00806461" w:rsidP="00806461">
      <w:pPr>
        <w:pStyle w:val="Heading5"/>
      </w:pPr>
      <w:r w:rsidRPr="00256982">
        <w:t>Methanol (2.B.8.a)</w:t>
      </w:r>
    </w:p>
    <w:p w14:paraId="6037BFD6" w14:textId="77777777" w:rsidR="00806461" w:rsidRPr="00256982" w:rsidRDefault="00806461" w:rsidP="00806461">
      <w:pPr>
        <w:pStyle w:val="BodyText"/>
      </w:pPr>
      <w:r w:rsidRPr="00256982">
        <w:t xml:space="preserve">Data on methanol production (chemical methanol produced for export) are supplied to MBIE by Methanex, which operates the two methanol plants. </w:t>
      </w:r>
    </w:p>
    <w:p w14:paraId="55C7515A" w14:textId="77777777" w:rsidR="00806461" w:rsidRPr="00256982" w:rsidRDefault="00806461" w:rsidP="00806461">
      <w:pPr>
        <w:pStyle w:val="Heading5"/>
      </w:pPr>
      <w:r w:rsidRPr="00256982">
        <w:t>Hydrogen (2.B.10)</w:t>
      </w:r>
    </w:p>
    <w:p w14:paraId="5A88D704" w14:textId="77777777" w:rsidR="00806461" w:rsidRPr="00256982" w:rsidRDefault="00806461" w:rsidP="00806461">
      <w:pPr>
        <w:pStyle w:val="BodyText"/>
      </w:pPr>
      <w:r w:rsidRPr="00256982">
        <w:t>Most of the hydrogen produced in New Zealand is made by Refining New Zealand Ltd at the Marsden Point oil refinery. Another company, Evonik Limited, produces a small amount of hydrogen, which is converted to hydrogen peroxide. In both cases, the hydrogen is produced from CH</w:t>
      </w:r>
      <w:r w:rsidRPr="00256982">
        <w:rPr>
          <w:vertAlign w:val="subscript"/>
        </w:rPr>
        <w:t>4</w:t>
      </w:r>
      <w:r w:rsidRPr="00256982">
        <w:t xml:space="preserve"> (from refinery gas and natural gas) and steam. Carbon dioxide is a by-product of the reaction and is vented to the atmosphere. </w:t>
      </w:r>
    </w:p>
    <w:p w14:paraId="4EAD8ED1" w14:textId="77777777" w:rsidR="00806461" w:rsidRPr="00256982" w:rsidRDefault="00806461" w:rsidP="00806461">
      <w:pPr>
        <w:pStyle w:val="BodyText"/>
      </w:pPr>
      <w:r w:rsidRPr="00256982">
        <w:t xml:space="preserve">The activity data reported are the amount of hydrogen produced, as reported to MBIE by the plant operators. </w:t>
      </w:r>
    </w:p>
    <w:p w14:paraId="734CC403" w14:textId="77777777" w:rsidR="00806461" w:rsidRPr="00256982" w:rsidRDefault="00806461" w:rsidP="00806461">
      <w:pPr>
        <w:pStyle w:val="Heading5"/>
      </w:pPr>
      <w:r w:rsidRPr="00256982">
        <w:t xml:space="preserve">Fertiliser, formaldehyde and ethanol (2.B.10) </w:t>
      </w:r>
    </w:p>
    <w:p w14:paraId="630889FE" w14:textId="77777777" w:rsidR="00806461" w:rsidRPr="00256982" w:rsidRDefault="00806461" w:rsidP="00806461">
      <w:pPr>
        <w:pStyle w:val="BodyText"/>
      </w:pPr>
      <w:r w:rsidRPr="00256982">
        <w:t>Some indirect emissions (SO</w:t>
      </w:r>
      <w:r w:rsidRPr="00256982">
        <w:rPr>
          <w:vertAlign w:val="subscript"/>
        </w:rPr>
        <w:t>2</w:t>
      </w:r>
      <w:r w:rsidRPr="00256982">
        <w:t xml:space="preserve"> and NMVOCs) are also reported from the production of ethanol for purposes other than food and drink, superphosphate fertiliser, and formaldehyde. </w:t>
      </w:r>
    </w:p>
    <w:p w14:paraId="59A2CC7C" w14:textId="77777777" w:rsidR="00806461" w:rsidRPr="00256982" w:rsidRDefault="00806461" w:rsidP="00A72006">
      <w:pPr>
        <w:pStyle w:val="Heading4"/>
        <w:rPr>
          <w:bCs/>
          <w:iCs/>
        </w:rPr>
      </w:pPr>
      <w:r w:rsidRPr="00256982">
        <w:t>Choice of methods</w:t>
      </w:r>
    </w:p>
    <w:p w14:paraId="558B8A83" w14:textId="77777777" w:rsidR="00806461" w:rsidRPr="00256982" w:rsidRDefault="00806461" w:rsidP="00806461">
      <w:pPr>
        <w:pStyle w:val="Heading5"/>
        <w:spacing w:before="160"/>
      </w:pPr>
      <w:r w:rsidRPr="00256982">
        <w:t>Ammonia and urea (2.B.1)</w:t>
      </w:r>
    </w:p>
    <w:p w14:paraId="654D98C8" w14:textId="77777777" w:rsidR="00806461" w:rsidRPr="00256982" w:rsidRDefault="00806461" w:rsidP="00806461">
      <w:pPr>
        <w:pStyle w:val="BodyText"/>
      </w:pPr>
      <w:r w:rsidRPr="00256982">
        <w:t>The CO</w:t>
      </w:r>
      <w:r w:rsidRPr="00256982">
        <w:rPr>
          <w:vertAlign w:val="subscript"/>
        </w:rPr>
        <w:t>2</w:t>
      </w:r>
      <w:r w:rsidRPr="00256982">
        <w:t xml:space="preserve"> emissions are estimated from a Tier 2 carbon balance, based on the feedstock gas used. The emissions are derived from all carbon in the feedstock gas used, less carbon recovered for urea production and remaining in the urea product (IPCC, 2006a). Note that only gas used as feedstock is included in this calculation. Gas used for combustion is reported in the Energy sector under the </w:t>
      </w:r>
      <w:r w:rsidRPr="00256982">
        <w:rPr>
          <w:i/>
        </w:rPr>
        <w:t>Manufacturing industries and construction</w:t>
      </w:r>
      <w:r w:rsidRPr="00256982">
        <w:t xml:space="preserve"> source category (CRF 1.A.2). </w:t>
      </w:r>
    </w:p>
    <w:p w14:paraId="6CEB1EA6" w14:textId="77777777" w:rsidR="00806461" w:rsidRPr="00256982" w:rsidRDefault="00806461" w:rsidP="00806461">
      <w:pPr>
        <w:pStyle w:val="Heading5"/>
      </w:pPr>
      <w:r w:rsidRPr="00256982">
        <w:t>Calcium carbide (2.B.5.b)</w:t>
      </w:r>
    </w:p>
    <w:p w14:paraId="1303B906" w14:textId="77777777" w:rsidR="00806461" w:rsidRPr="00256982" w:rsidRDefault="00806461" w:rsidP="00806461">
      <w:pPr>
        <w:pStyle w:val="BodyText"/>
      </w:pPr>
      <w:r w:rsidRPr="00256982">
        <w:t xml:space="preserve">The Tier 1 method is used. </w:t>
      </w:r>
    </w:p>
    <w:p w14:paraId="10DDD241" w14:textId="77777777" w:rsidR="00806461" w:rsidRPr="00256982" w:rsidRDefault="00806461" w:rsidP="00806461">
      <w:pPr>
        <w:pStyle w:val="Heading5"/>
      </w:pPr>
      <w:r w:rsidRPr="00256982">
        <w:t>Methanol (2.B.8 and 2.B.8.a)</w:t>
      </w:r>
    </w:p>
    <w:p w14:paraId="28D7CE7F" w14:textId="77777777" w:rsidR="00806461" w:rsidRPr="00256982" w:rsidRDefault="00806461" w:rsidP="00806461">
      <w:pPr>
        <w:pStyle w:val="BodyText"/>
      </w:pPr>
      <w:r w:rsidRPr="00256982">
        <w:t xml:space="preserve">Data on the natural gas used for methanol production are also supplied to MBIE by the plant operators. However, the available data on gas supplied to the methanol plants do not allow for feedstock to be clearly distinguished from gas used for combustion. Also, close to 100 per cent </w:t>
      </w:r>
      <w:r w:rsidRPr="00256982">
        <w:lastRenderedPageBreak/>
        <w:t>of the carbon in feedstock gas is converted to methanol. Therefore, no significant CO</w:t>
      </w:r>
      <w:r w:rsidRPr="00256982">
        <w:rPr>
          <w:vertAlign w:val="subscript"/>
        </w:rPr>
        <w:t>2</w:t>
      </w:r>
      <w:r w:rsidRPr="00256982">
        <w:t xml:space="preserve"> emissions can be clearly related to the process. The IPCC Guidelines do not provide a method for estimation of any CO</w:t>
      </w:r>
      <w:r w:rsidRPr="00256982">
        <w:rPr>
          <w:vertAlign w:val="subscript"/>
        </w:rPr>
        <w:t>2</w:t>
      </w:r>
      <w:r w:rsidRPr="00256982">
        <w:t xml:space="preserve"> emissions from this process (IPCC, 2006a). Any small amount of process CO</w:t>
      </w:r>
      <w:r w:rsidRPr="00256982">
        <w:rPr>
          <w:vertAlign w:val="subscript"/>
        </w:rPr>
        <w:t>2</w:t>
      </w:r>
      <w:r w:rsidRPr="00256982">
        <w:t xml:space="preserve"> emissions from the methanol production process is included in the Energy sector (1.A.2), along with the much larger amount of combustion-related emissions from the methanol plants. </w:t>
      </w:r>
    </w:p>
    <w:p w14:paraId="7A19B187" w14:textId="77777777" w:rsidR="00806461" w:rsidRPr="00256982" w:rsidRDefault="00806461" w:rsidP="00806461">
      <w:pPr>
        <w:pStyle w:val="BodyText"/>
      </w:pPr>
      <w:r w:rsidRPr="00256982">
        <w:t>Fugitive CH</w:t>
      </w:r>
      <w:r w:rsidRPr="00256982">
        <w:rPr>
          <w:vertAlign w:val="subscript"/>
        </w:rPr>
        <w:t>4</w:t>
      </w:r>
      <w:r w:rsidRPr="00256982">
        <w:t xml:space="preserve"> from the methanol manufacturing process is estimated using the Tier 1 method. Emissions of NO</w:t>
      </w:r>
      <w:r w:rsidRPr="00256982">
        <w:rPr>
          <w:vertAlign w:val="subscript"/>
        </w:rPr>
        <w:t>x</w:t>
      </w:r>
      <w:r w:rsidRPr="00256982">
        <w:t xml:space="preserve">, CO and NMVOC are also reported. </w:t>
      </w:r>
    </w:p>
    <w:p w14:paraId="46BC8E9D" w14:textId="77777777" w:rsidR="00806461" w:rsidRPr="00256982" w:rsidRDefault="00806461" w:rsidP="00806461">
      <w:pPr>
        <w:pStyle w:val="Heading5"/>
      </w:pPr>
      <w:r w:rsidRPr="00256982">
        <w:t>Hydrogen (2.B.10)</w:t>
      </w:r>
    </w:p>
    <w:p w14:paraId="4AB7FF91" w14:textId="77777777" w:rsidR="00806461" w:rsidRPr="00256982" w:rsidRDefault="00806461" w:rsidP="00806461">
      <w:pPr>
        <w:pStyle w:val="BodyText"/>
      </w:pPr>
      <w:r w:rsidRPr="00256982">
        <w:t>Emissions of CO</w:t>
      </w:r>
      <w:r w:rsidRPr="00256982">
        <w:rPr>
          <w:vertAlign w:val="subscript"/>
        </w:rPr>
        <w:t>2</w:t>
      </w:r>
      <w:r w:rsidRPr="00256982">
        <w:t xml:space="preserve"> from hydrogen production are calculated using the Tier 2 methodology, based on feedstock composition (IPCC, 2006a). The required data are supplied directly to MBIE by the two production companies. </w:t>
      </w:r>
    </w:p>
    <w:p w14:paraId="0FD4320C" w14:textId="77777777" w:rsidR="00806461" w:rsidRPr="00256982" w:rsidRDefault="00806461" w:rsidP="00A72006">
      <w:pPr>
        <w:pStyle w:val="Heading4"/>
      </w:pPr>
      <w:r w:rsidRPr="00256982">
        <w:t>Choice of emission factors</w:t>
      </w:r>
    </w:p>
    <w:p w14:paraId="5A90BE11" w14:textId="77777777" w:rsidR="00806461" w:rsidRPr="00256982" w:rsidRDefault="00806461" w:rsidP="00806461">
      <w:pPr>
        <w:pStyle w:val="Heading5"/>
        <w:spacing w:before="160"/>
      </w:pPr>
      <w:r w:rsidRPr="00256982">
        <w:t>Carbon dioxide and methane</w:t>
      </w:r>
    </w:p>
    <w:p w14:paraId="7DD8657E" w14:textId="77777777" w:rsidR="00806461" w:rsidRPr="00256982" w:rsidRDefault="00806461" w:rsidP="00806461">
      <w:pPr>
        <w:pStyle w:val="BodyText"/>
      </w:pPr>
      <w:r w:rsidRPr="00256982">
        <w:t>For ammonia production, the carbon content of each type of natural gas (up to three types taken from different natural gas fields, and mixed pipeline gas) used as feedstock determines country-specific CO</w:t>
      </w:r>
      <w:r w:rsidRPr="00256982">
        <w:rPr>
          <w:vertAlign w:val="subscript"/>
        </w:rPr>
        <w:t>2</w:t>
      </w:r>
      <w:r w:rsidRPr="00256982">
        <w:t xml:space="preserve"> emission factors. </w:t>
      </w:r>
    </w:p>
    <w:p w14:paraId="71BA9260" w14:textId="77777777" w:rsidR="00806461" w:rsidRPr="00256982" w:rsidRDefault="00806461" w:rsidP="00806461">
      <w:pPr>
        <w:pStyle w:val="BodyText"/>
        <w:rPr>
          <w:spacing w:val="-2"/>
        </w:rPr>
      </w:pPr>
      <w:r w:rsidRPr="00256982">
        <w:rPr>
          <w:spacing w:val="-2"/>
        </w:rPr>
        <w:t>In some years, these emission factors are higher than Tier 1 default emission factors, due to the use of untreated high-CO</w:t>
      </w:r>
      <w:r w:rsidRPr="00256982">
        <w:rPr>
          <w:spacing w:val="-2"/>
          <w:vertAlign w:val="subscript"/>
        </w:rPr>
        <w:t>2</w:t>
      </w:r>
      <w:r w:rsidRPr="00256982">
        <w:rPr>
          <w:spacing w:val="-2"/>
        </w:rPr>
        <w:t xml:space="preserve"> gas from the Kapuni field as part of the feedstock at this plant. This gas has a carbon content factor (CCF</w:t>
      </w:r>
      <w:r w:rsidRPr="00256982">
        <w:rPr>
          <w:spacing w:val="-2"/>
          <w:vertAlign w:val="subscript"/>
        </w:rPr>
        <w:t>i</w:t>
      </w:r>
      <w:r w:rsidRPr="00256982">
        <w:rPr>
          <w:spacing w:val="-2"/>
        </w:rPr>
        <w:t xml:space="preserve">) of approximately 22.5 kilograms per gigajoule in comparison with the default of 15.3 kilograms per gigajoule. Kapuni gas was not used in 2017, however. </w:t>
      </w:r>
    </w:p>
    <w:p w14:paraId="1D8E539B" w14:textId="77777777" w:rsidR="00806461" w:rsidRPr="00256982" w:rsidRDefault="00806461" w:rsidP="00806461">
      <w:pPr>
        <w:pStyle w:val="BodyText"/>
      </w:pPr>
      <w:r w:rsidRPr="00256982">
        <w:t>For hydrogen production, site-specific (for refinery gas) and field-specific (for natural gas) emission factors are used to determine the CO</w:t>
      </w:r>
      <w:r w:rsidRPr="00256982">
        <w:rPr>
          <w:vertAlign w:val="subscript"/>
        </w:rPr>
        <w:t>2</w:t>
      </w:r>
      <w:r w:rsidRPr="00256982">
        <w:t xml:space="preserve"> emissions from the feedstock gas streams used. In 2017, the implied emission factor was 5.6 tonnes of CO</w:t>
      </w:r>
      <w:r w:rsidRPr="00256982">
        <w:rPr>
          <w:vertAlign w:val="subscript"/>
        </w:rPr>
        <w:t>2</w:t>
      </w:r>
      <w:r w:rsidRPr="00256982">
        <w:t xml:space="preserve"> per tonne of hydrogen produced.</w:t>
      </w:r>
    </w:p>
    <w:p w14:paraId="782A15FB" w14:textId="77777777" w:rsidR="00806461" w:rsidRPr="00256982" w:rsidRDefault="00806461" w:rsidP="00806461">
      <w:pPr>
        <w:pStyle w:val="BodyText"/>
      </w:pPr>
      <w:r w:rsidRPr="00256982">
        <w:t>IPCC default emission factors are used to estimate emissions of CH</w:t>
      </w:r>
      <w:r w:rsidRPr="00256982">
        <w:rPr>
          <w:vertAlign w:val="subscript"/>
        </w:rPr>
        <w:t>4</w:t>
      </w:r>
      <w:r w:rsidRPr="00256982">
        <w:t xml:space="preserve"> from methanol manufacture and CO</w:t>
      </w:r>
      <w:r w:rsidRPr="00256982">
        <w:rPr>
          <w:vertAlign w:val="subscript"/>
        </w:rPr>
        <w:t>2</w:t>
      </w:r>
      <w:r w:rsidRPr="00256982">
        <w:t xml:space="preserve"> from calcium carbide use (IPCC, 2006a). No other information on these emission sources is available. </w:t>
      </w:r>
    </w:p>
    <w:p w14:paraId="019A32A0" w14:textId="77777777" w:rsidR="00806461" w:rsidRPr="00256982" w:rsidRDefault="00806461" w:rsidP="00806461">
      <w:pPr>
        <w:pStyle w:val="Heading5"/>
        <w:spacing w:before="200"/>
      </w:pPr>
      <w:r w:rsidRPr="00256982">
        <w:t>Indirect emissions</w:t>
      </w:r>
    </w:p>
    <w:p w14:paraId="1394E218" w14:textId="77777777" w:rsidR="00806461" w:rsidRPr="00256982" w:rsidRDefault="00806461" w:rsidP="00806461">
      <w:pPr>
        <w:pStyle w:val="BodyText"/>
        <w:spacing w:before="100" w:after="100"/>
      </w:pPr>
      <w:r w:rsidRPr="00256982">
        <w:t>Indirect emissions of NO</w:t>
      </w:r>
      <w:r w:rsidRPr="00256982">
        <w:rPr>
          <w:vertAlign w:val="subscript"/>
        </w:rPr>
        <w:t>x</w:t>
      </w:r>
      <w:r w:rsidRPr="00256982">
        <w:t xml:space="preserve">, CO and NMVOC from methanol production are reported (2.B.8) with emission factors estimated by Methanex (CRL Energy, </w:t>
      </w:r>
      <w:r w:rsidRPr="00256982">
        <w:rPr>
          <w:rFonts w:eastAsia="+mn-ea"/>
        </w:rPr>
        <w:t>unpublished(a)</w:t>
      </w:r>
      <w:r w:rsidRPr="00256982">
        <w:t>). The emission factors for NO</w:t>
      </w:r>
      <w:r w:rsidRPr="00256982">
        <w:rPr>
          <w:vertAlign w:val="subscript"/>
        </w:rPr>
        <w:t>x</w:t>
      </w:r>
      <w:r w:rsidRPr="00256982">
        <w:t xml:space="preserve"> and CO were derived from site measurements, and the emission factor for NMVOC is based on American Petroleum Institute methods for estimating vapour emissions from storage tanks. </w:t>
      </w:r>
    </w:p>
    <w:p w14:paraId="51B26E83" w14:textId="77777777" w:rsidR="00806461" w:rsidRPr="00256982" w:rsidRDefault="00806461" w:rsidP="00806461">
      <w:pPr>
        <w:pStyle w:val="BodyText"/>
        <w:spacing w:before="100" w:after="100"/>
      </w:pPr>
      <w:r w:rsidRPr="00256982">
        <w:t xml:space="preserve">Some indirect greenhouse gas emissions are also reported for superphosphate fertiliser, formaldehyde and ethanol production (2.B.10). The emission factors used are country-specific (CRL Energy </w:t>
      </w:r>
      <w:r w:rsidRPr="00256982">
        <w:rPr>
          <w:rFonts w:eastAsia="+mn-ea"/>
        </w:rPr>
        <w:t>unpublished(a)</w:t>
      </w:r>
      <w:r w:rsidRPr="00256982">
        <w:t xml:space="preserve">) and are as shown in table 4.3.1. </w:t>
      </w:r>
    </w:p>
    <w:p w14:paraId="45467AFB" w14:textId="77777777" w:rsidR="00806461" w:rsidRPr="00256982" w:rsidRDefault="00806461" w:rsidP="00806461">
      <w:pPr>
        <w:pStyle w:val="Table"/>
      </w:pPr>
      <w:bookmarkStart w:id="421" w:name="_Toc451176068"/>
      <w:bookmarkStart w:id="422" w:name="_Toc5269458"/>
      <w:r w:rsidRPr="00256982">
        <w:t>Table 4.3.1</w:t>
      </w:r>
      <w:r w:rsidRPr="00256982">
        <w:tab/>
        <w:t>Country-specific emission factors for indirect emissions</w:t>
      </w:r>
      <w:bookmarkEnd w:id="421"/>
      <w:bookmarkEnd w:id="422"/>
    </w:p>
    <w:tbl>
      <w:tblPr>
        <w:tblW w:w="8562" w:type="dxa"/>
        <w:tblInd w:w="108" w:type="dxa"/>
        <w:tblBorders>
          <w:top w:val="single" w:sz="6" w:space="0" w:color="365F91"/>
          <w:bottom w:val="single" w:sz="6" w:space="0" w:color="365F91"/>
          <w:insideH w:val="single" w:sz="6" w:space="0" w:color="365F91"/>
        </w:tblBorders>
        <w:tblLook w:val="04A0" w:firstRow="1" w:lastRow="0" w:firstColumn="1" w:lastColumn="0" w:noHBand="0" w:noVBand="1"/>
      </w:tblPr>
      <w:tblGrid>
        <w:gridCol w:w="2977"/>
        <w:gridCol w:w="2239"/>
        <w:gridCol w:w="3346"/>
      </w:tblGrid>
      <w:tr w:rsidR="00806461" w:rsidRPr="00256982" w14:paraId="49FB974D" w14:textId="77777777" w:rsidTr="00806461">
        <w:tc>
          <w:tcPr>
            <w:tcW w:w="2977" w:type="dxa"/>
            <w:tcBorders>
              <w:top w:val="single" w:sz="4" w:space="0" w:color="365F91"/>
              <w:left w:val="nil"/>
              <w:bottom w:val="single" w:sz="4" w:space="0" w:color="365F91"/>
              <w:right w:val="nil"/>
            </w:tcBorders>
            <w:shd w:val="clear" w:color="auto" w:fill="365F91"/>
            <w:hideMark/>
          </w:tcPr>
          <w:p w14:paraId="3BE8DA2F" w14:textId="77777777" w:rsidR="00806461" w:rsidRPr="00256982" w:rsidRDefault="00806461">
            <w:pPr>
              <w:pStyle w:val="TableTextBold"/>
              <w:spacing w:before="50" w:after="50"/>
              <w:rPr>
                <w:noProof w:val="0"/>
                <w:color w:val="FFFFFF"/>
              </w:rPr>
            </w:pPr>
            <w:r w:rsidRPr="00256982">
              <w:rPr>
                <w:noProof w:val="0"/>
                <w:color w:val="FFFFFF"/>
              </w:rPr>
              <w:t>Activity</w:t>
            </w:r>
          </w:p>
        </w:tc>
        <w:tc>
          <w:tcPr>
            <w:tcW w:w="2239" w:type="dxa"/>
            <w:tcBorders>
              <w:top w:val="single" w:sz="4" w:space="0" w:color="365F91"/>
              <w:left w:val="nil"/>
              <w:bottom w:val="single" w:sz="4" w:space="0" w:color="365F91"/>
              <w:right w:val="nil"/>
            </w:tcBorders>
            <w:shd w:val="clear" w:color="auto" w:fill="365F91"/>
            <w:hideMark/>
          </w:tcPr>
          <w:p w14:paraId="6F06FF3C" w14:textId="77777777" w:rsidR="00806461" w:rsidRPr="00256982" w:rsidRDefault="00806461">
            <w:pPr>
              <w:pStyle w:val="TableTextBold"/>
              <w:spacing w:before="50" w:after="50"/>
              <w:rPr>
                <w:noProof w:val="0"/>
                <w:color w:val="FFFFFF"/>
              </w:rPr>
            </w:pPr>
            <w:r w:rsidRPr="00256982">
              <w:rPr>
                <w:noProof w:val="0"/>
                <w:color w:val="FFFFFF"/>
              </w:rPr>
              <w:t>Emissions of</w:t>
            </w:r>
          </w:p>
        </w:tc>
        <w:tc>
          <w:tcPr>
            <w:tcW w:w="3346" w:type="dxa"/>
            <w:tcBorders>
              <w:top w:val="single" w:sz="4" w:space="0" w:color="365F91"/>
              <w:left w:val="nil"/>
              <w:bottom w:val="single" w:sz="4" w:space="0" w:color="365F91"/>
              <w:right w:val="nil"/>
            </w:tcBorders>
            <w:shd w:val="clear" w:color="auto" w:fill="365F91"/>
            <w:hideMark/>
          </w:tcPr>
          <w:p w14:paraId="7A7A898B" w14:textId="77777777" w:rsidR="00806461" w:rsidRPr="00256982" w:rsidRDefault="00806461">
            <w:pPr>
              <w:pStyle w:val="TableTextBold"/>
              <w:spacing w:before="50" w:after="50"/>
              <w:rPr>
                <w:noProof w:val="0"/>
                <w:color w:val="FFFFFF"/>
              </w:rPr>
            </w:pPr>
            <w:r w:rsidRPr="00256982">
              <w:rPr>
                <w:noProof w:val="0"/>
                <w:color w:val="FFFFFF"/>
              </w:rPr>
              <w:t>Emission factor</w:t>
            </w:r>
          </w:p>
        </w:tc>
      </w:tr>
      <w:tr w:rsidR="00806461" w:rsidRPr="00256982" w14:paraId="48A5333B" w14:textId="77777777" w:rsidTr="00806461">
        <w:tc>
          <w:tcPr>
            <w:tcW w:w="2977" w:type="dxa"/>
            <w:tcBorders>
              <w:top w:val="single" w:sz="4" w:space="0" w:color="365F91"/>
              <w:left w:val="nil"/>
              <w:bottom w:val="single" w:sz="6" w:space="0" w:color="365F91"/>
              <w:right w:val="nil"/>
            </w:tcBorders>
            <w:shd w:val="clear" w:color="auto" w:fill="FFFFFF"/>
            <w:hideMark/>
          </w:tcPr>
          <w:p w14:paraId="53E83DE9" w14:textId="77777777" w:rsidR="00806461" w:rsidRPr="00256982" w:rsidRDefault="00806461">
            <w:pPr>
              <w:pStyle w:val="TableText"/>
              <w:spacing w:before="50" w:after="50"/>
            </w:pPr>
            <w:r w:rsidRPr="00256982">
              <w:t>Superphosphate fertiliser production</w:t>
            </w:r>
          </w:p>
        </w:tc>
        <w:tc>
          <w:tcPr>
            <w:tcW w:w="2239" w:type="dxa"/>
            <w:tcBorders>
              <w:top w:val="single" w:sz="4" w:space="0" w:color="365F91"/>
              <w:left w:val="nil"/>
              <w:bottom w:val="single" w:sz="6" w:space="0" w:color="365F91"/>
              <w:right w:val="nil"/>
            </w:tcBorders>
            <w:shd w:val="clear" w:color="auto" w:fill="FFFFFF"/>
            <w:hideMark/>
          </w:tcPr>
          <w:p w14:paraId="0F9C04CA" w14:textId="77777777" w:rsidR="00806461" w:rsidRPr="00256982" w:rsidRDefault="00806461">
            <w:pPr>
              <w:pStyle w:val="TableText"/>
              <w:spacing w:before="50" w:after="50"/>
            </w:pPr>
            <w:r w:rsidRPr="00256982">
              <w:t>SO</w:t>
            </w:r>
            <w:r w:rsidRPr="00256982">
              <w:rPr>
                <w:vertAlign w:val="subscript"/>
              </w:rPr>
              <w:t>2</w:t>
            </w:r>
          </w:p>
        </w:tc>
        <w:tc>
          <w:tcPr>
            <w:tcW w:w="3346" w:type="dxa"/>
            <w:tcBorders>
              <w:top w:val="single" w:sz="4" w:space="0" w:color="365F91"/>
              <w:left w:val="nil"/>
              <w:bottom w:val="single" w:sz="6" w:space="0" w:color="365F91"/>
              <w:right w:val="nil"/>
            </w:tcBorders>
            <w:shd w:val="clear" w:color="auto" w:fill="FFFFFF"/>
            <w:hideMark/>
          </w:tcPr>
          <w:p w14:paraId="6F70777F" w14:textId="77777777" w:rsidR="00806461" w:rsidRPr="00256982" w:rsidRDefault="00806461">
            <w:pPr>
              <w:pStyle w:val="TableText"/>
              <w:spacing w:before="50" w:after="50"/>
            </w:pPr>
            <w:r w:rsidRPr="00256982">
              <w:t>1.5 kg per tonne of H2SO4</w:t>
            </w:r>
          </w:p>
        </w:tc>
      </w:tr>
      <w:tr w:rsidR="00806461" w:rsidRPr="00256982" w14:paraId="1AA36965" w14:textId="77777777" w:rsidTr="00806461">
        <w:tc>
          <w:tcPr>
            <w:tcW w:w="2977" w:type="dxa"/>
            <w:tcBorders>
              <w:top w:val="single" w:sz="6" w:space="0" w:color="365F91"/>
              <w:left w:val="nil"/>
              <w:bottom w:val="single" w:sz="6" w:space="0" w:color="365F91"/>
              <w:right w:val="nil"/>
            </w:tcBorders>
            <w:shd w:val="clear" w:color="auto" w:fill="FFFFFF"/>
            <w:hideMark/>
          </w:tcPr>
          <w:p w14:paraId="04AB2E16" w14:textId="77777777" w:rsidR="00806461" w:rsidRPr="00256982" w:rsidRDefault="00806461">
            <w:pPr>
              <w:pStyle w:val="TableText"/>
              <w:spacing w:before="50" w:after="50"/>
            </w:pPr>
            <w:r w:rsidRPr="00256982">
              <w:t xml:space="preserve">Formaldehyde production </w:t>
            </w:r>
          </w:p>
        </w:tc>
        <w:tc>
          <w:tcPr>
            <w:tcW w:w="2239" w:type="dxa"/>
            <w:tcBorders>
              <w:top w:val="single" w:sz="6" w:space="0" w:color="365F91"/>
              <w:left w:val="nil"/>
              <w:bottom w:val="single" w:sz="6" w:space="0" w:color="365F91"/>
              <w:right w:val="nil"/>
            </w:tcBorders>
            <w:shd w:val="clear" w:color="auto" w:fill="FFFFFF"/>
            <w:hideMark/>
          </w:tcPr>
          <w:p w14:paraId="3613B8B1" w14:textId="77777777" w:rsidR="00806461" w:rsidRPr="00256982" w:rsidRDefault="00806461">
            <w:pPr>
              <w:pStyle w:val="TableText"/>
              <w:spacing w:before="50" w:after="50"/>
            </w:pPr>
            <w:r w:rsidRPr="00256982">
              <w:t>NMVOCs</w:t>
            </w:r>
          </w:p>
        </w:tc>
        <w:tc>
          <w:tcPr>
            <w:tcW w:w="3346" w:type="dxa"/>
            <w:tcBorders>
              <w:top w:val="single" w:sz="6" w:space="0" w:color="365F91"/>
              <w:left w:val="nil"/>
              <w:bottom w:val="single" w:sz="6" w:space="0" w:color="365F91"/>
              <w:right w:val="nil"/>
            </w:tcBorders>
            <w:shd w:val="clear" w:color="auto" w:fill="FFFFFF"/>
            <w:hideMark/>
          </w:tcPr>
          <w:p w14:paraId="2DA128B5" w14:textId="77777777" w:rsidR="00806461" w:rsidRPr="00256982" w:rsidRDefault="00806461">
            <w:pPr>
              <w:pStyle w:val="TableText"/>
              <w:spacing w:before="50" w:after="50"/>
            </w:pPr>
            <w:r w:rsidRPr="00256982">
              <w:t>1.5 kg per tonne of formaldehyde</w:t>
            </w:r>
          </w:p>
        </w:tc>
      </w:tr>
      <w:tr w:rsidR="00806461" w:rsidRPr="00256982" w14:paraId="0B0587AF" w14:textId="77777777" w:rsidTr="00806461">
        <w:tc>
          <w:tcPr>
            <w:tcW w:w="2977" w:type="dxa"/>
            <w:tcBorders>
              <w:top w:val="single" w:sz="6" w:space="0" w:color="365F91"/>
              <w:left w:val="nil"/>
              <w:bottom w:val="single" w:sz="6" w:space="0" w:color="365F91"/>
              <w:right w:val="nil"/>
            </w:tcBorders>
            <w:shd w:val="clear" w:color="auto" w:fill="FFFFFF"/>
            <w:hideMark/>
          </w:tcPr>
          <w:p w14:paraId="0A0EFFAB" w14:textId="77777777" w:rsidR="00806461" w:rsidRPr="00256982" w:rsidRDefault="00806461">
            <w:pPr>
              <w:pStyle w:val="TableText"/>
              <w:spacing w:before="50" w:after="50"/>
            </w:pPr>
            <w:r w:rsidRPr="00256982">
              <w:t>Ethanol production</w:t>
            </w:r>
          </w:p>
        </w:tc>
        <w:tc>
          <w:tcPr>
            <w:tcW w:w="2239" w:type="dxa"/>
            <w:tcBorders>
              <w:top w:val="single" w:sz="6" w:space="0" w:color="365F91"/>
              <w:left w:val="nil"/>
              <w:bottom w:val="single" w:sz="6" w:space="0" w:color="365F91"/>
              <w:right w:val="nil"/>
            </w:tcBorders>
            <w:shd w:val="clear" w:color="auto" w:fill="FFFFFF"/>
            <w:hideMark/>
          </w:tcPr>
          <w:p w14:paraId="7C72EA88" w14:textId="77777777" w:rsidR="00806461" w:rsidRPr="00256982" w:rsidRDefault="00806461">
            <w:pPr>
              <w:pStyle w:val="TableText"/>
              <w:spacing w:before="50" w:after="50"/>
            </w:pPr>
            <w:r w:rsidRPr="00256982">
              <w:t>NMVOCs</w:t>
            </w:r>
          </w:p>
        </w:tc>
        <w:tc>
          <w:tcPr>
            <w:tcW w:w="3346" w:type="dxa"/>
            <w:tcBorders>
              <w:top w:val="single" w:sz="6" w:space="0" w:color="365F91"/>
              <w:left w:val="nil"/>
              <w:bottom w:val="single" w:sz="6" w:space="0" w:color="365F91"/>
              <w:right w:val="nil"/>
            </w:tcBorders>
            <w:shd w:val="clear" w:color="auto" w:fill="FFFFFF"/>
            <w:hideMark/>
          </w:tcPr>
          <w:p w14:paraId="5F9C5213" w14:textId="77777777" w:rsidR="00806461" w:rsidRPr="00256982" w:rsidRDefault="00806461">
            <w:pPr>
              <w:pStyle w:val="TableText"/>
              <w:spacing w:before="50" w:after="50"/>
            </w:pPr>
            <w:r w:rsidRPr="00256982">
              <w:t>6 g NMVOC per litre of ethanol</w:t>
            </w:r>
          </w:p>
        </w:tc>
      </w:tr>
    </w:tbl>
    <w:p w14:paraId="6E3303D0" w14:textId="77777777" w:rsidR="00806461" w:rsidRPr="00256982" w:rsidRDefault="00806461" w:rsidP="001D3490">
      <w:pPr>
        <w:pStyle w:val="Heading3"/>
      </w:pPr>
      <w:r w:rsidRPr="00256982">
        <w:lastRenderedPageBreak/>
        <w:t xml:space="preserve">4.3.3 </w:t>
      </w:r>
      <w:r w:rsidRPr="00256982">
        <w:tab/>
        <w:t>Uncertainties and time-series consistency</w:t>
      </w:r>
    </w:p>
    <w:p w14:paraId="36262817" w14:textId="77777777" w:rsidR="00806461" w:rsidRPr="00256982" w:rsidRDefault="00806461" w:rsidP="00A72006">
      <w:pPr>
        <w:pStyle w:val="Heading4"/>
        <w:rPr>
          <w:bCs/>
          <w:iCs/>
        </w:rPr>
      </w:pPr>
      <w:r w:rsidRPr="00256982">
        <w:t>Uncertainties</w:t>
      </w:r>
    </w:p>
    <w:p w14:paraId="70DCD8FD" w14:textId="77777777" w:rsidR="00806461" w:rsidRPr="00256982" w:rsidRDefault="00806461" w:rsidP="00806461">
      <w:pPr>
        <w:pStyle w:val="BodyText"/>
        <w:rPr>
          <w:i/>
        </w:rPr>
      </w:pPr>
      <w:r w:rsidRPr="00256982">
        <w:t>The IPCC default uncertainties have been used for CO</w:t>
      </w:r>
      <w:r w:rsidRPr="00256982">
        <w:rPr>
          <w:vertAlign w:val="subscript"/>
        </w:rPr>
        <w:t>2</w:t>
      </w:r>
      <w:r w:rsidRPr="00256982">
        <w:t xml:space="preserve"> and most non-CO</w:t>
      </w:r>
      <w:r w:rsidRPr="00256982">
        <w:rPr>
          <w:vertAlign w:val="subscript"/>
        </w:rPr>
        <w:t>2</w:t>
      </w:r>
      <w:r w:rsidRPr="00256982">
        <w:t xml:space="preserve"> emissions from this source category, as shown in table 4.3.2. </w:t>
      </w:r>
    </w:p>
    <w:p w14:paraId="637D4B8F" w14:textId="77777777" w:rsidR="00806461" w:rsidRPr="00256982" w:rsidRDefault="00806461" w:rsidP="00806461">
      <w:pPr>
        <w:pStyle w:val="Table"/>
      </w:pPr>
      <w:bookmarkStart w:id="423" w:name="_Toc451176069"/>
      <w:bookmarkStart w:id="424" w:name="_Toc5269459"/>
      <w:r w:rsidRPr="00256982">
        <w:t>Table 4.3.2</w:t>
      </w:r>
      <w:r w:rsidRPr="00256982">
        <w:tab/>
        <w:t xml:space="preserve">Uncertainty in emissions from the </w:t>
      </w:r>
      <w:r w:rsidRPr="00256982">
        <w:rPr>
          <w:i/>
        </w:rPr>
        <w:t>Chemical industry</w:t>
      </w:r>
      <w:r w:rsidRPr="00256982">
        <w:t xml:space="preserve"> source category</w:t>
      </w:r>
      <w:bookmarkEnd w:id="423"/>
      <w:bookmarkEnd w:id="424"/>
    </w:p>
    <w:tbl>
      <w:tblPr>
        <w:tblW w:w="8562" w:type="dxa"/>
        <w:tblInd w:w="108" w:type="dxa"/>
        <w:tblBorders>
          <w:top w:val="single" w:sz="6" w:space="0" w:color="365F91"/>
          <w:bottom w:val="single" w:sz="6" w:space="0" w:color="365F91"/>
          <w:insideH w:val="single" w:sz="6" w:space="0" w:color="365F91"/>
        </w:tblBorders>
        <w:tblLook w:val="04A0" w:firstRow="1" w:lastRow="0" w:firstColumn="1" w:lastColumn="0" w:noHBand="0" w:noVBand="1"/>
      </w:tblPr>
      <w:tblGrid>
        <w:gridCol w:w="2491"/>
        <w:gridCol w:w="2949"/>
        <w:gridCol w:w="3122"/>
      </w:tblGrid>
      <w:tr w:rsidR="00806461" w:rsidRPr="00256982" w14:paraId="11C679B7" w14:textId="77777777" w:rsidTr="00806461">
        <w:tc>
          <w:tcPr>
            <w:tcW w:w="2036" w:type="dxa"/>
            <w:tcBorders>
              <w:top w:val="single" w:sz="4" w:space="0" w:color="365F91"/>
              <w:left w:val="nil"/>
              <w:bottom w:val="single" w:sz="4" w:space="0" w:color="365F91"/>
              <w:right w:val="nil"/>
            </w:tcBorders>
            <w:shd w:val="clear" w:color="auto" w:fill="365F91"/>
            <w:hideMark/>
          </w:tcPr>
          <w:p w14:paraId="58C88B48" w14:textId="77777777" w:rsidR="00806461" w:rsidRPr="00256982" w:rsidRDefault="00806461">
            <w:pPr>
              <w:pStyle w:val="TableTextBold"/>
              <w:keepNext/>
              <w:spacing w:before="50" w:after="50"/>
              <w:rPr>
                <w:noProof w:val="0"/>
                <w:color w:val="FFFFFF"/>
              </w:rPr>
            </w:pPr>
            <w:r w:rsidRPr="00256982">
              <w:rPr>
                <w:noProof w:val="0"/>
                <w:color w:val="FFFFFF"/>
              </w:rPr>
              <w:t>Product</w:t>
            </w:r>
          </w:p>
        </w:tc>
        <w:tc>
          <w:tcPr>
            <w:tcW w:w="2410" w:type="dxa"/>
            <w:tcBorders>
              <w:top w:val="single" w:sz="4" w:space="0" w:color="365F91"/>
              <w:left w:val="nil"/>
              <w:bottom w:val="single" w:sz="4" w:space="0" w:color="365F91"/>
              <w:right w:val="nil"/>
            </w:tcBorders>
            <w:shd w:val="clear" w:color="auto" w:fill="365F91"/>
            <w:hideMark/>
          </w:tcPr>
          <w:p w14:paraId="20943D4C" w14:textId="77777777" w:rsidR="00806461" w:rsidRPr="00256982" w:rsidRDefault="00806461">
            <w:pPr>
              <w:pStyle w:val="TableTextBold"/>
              <w:keepNext/>
              <w:spacing w:before="50" w:after="50"/>
              <w:rPr>
                <w:noProof w:val="0"/>
                <w:color w:val="FFFFFF"/>
              </w:rPr>
            </w:pPr>
            <w:r w:rsidRPr="00256982">
              <w:rPr>
                <w:noProof w:val="0"/>
                <w:color w:val="FFFFFF"/>
              </w:rPr>
              <w:t>Uncertainty in activity data (%)</w:t>
            </w:r>
          </w:p>
        </w:tc>
        <w:tc>
          <w:tcPr>
            <w:tcW w:w="2551" w:type="dxa"/>
            <w:tcBorders>
              <w:top w:val="single" w:sz="4" w:space="0" w:color="365F91"/>
              <w:left w:val="nil"/>
              <w:bottom w:val="single" w:sz="4" w:space="0" w:color="365F91"/>
              <w:right w:val="nil"/>
            </w:tcBorders>
            <w:shd w:val="clear" w:color="auto" w:fill="365F91"/>
            <w:hideMark/>
          </w:tcPr>
          <w:p w14:paraId="720054EA" w14:textId="77777777" w:rsidR="00806461" w:rsidRPr="00256982" w:rsidRDefault="00806461">
            <w:pPr>
              <w:pStyle w:val="TableTextBold"/>
              <w:keepNext/>
              <w:spacing w:before="50" w:after="50"/>
              <w:rPr>
                <w:noProof w:val="0"/>
                <w:color w:val="FFFFFF"/>
              </w:rPr>
            </w:pPr>
            <w:r w:rsidRPr="00256982">
              <w:rPr>
                <w:noProof w:val="0"/>
                <w:color w:val="FFFFFF"/>
              </w:rPr>
              <w:t>Uncertainty in emission factors (%)</w:t>
            </w:r>
          </w:p>
        </w:tc>
      </w:tr>
      <w:tr w:rsidR="00806461" w:rsidRPr="00256982" w14:paraId="5AA8195C" w14:textId="77777777" w:rsidTr="00806461">
        <w:tc>
          <w:tcPr>
            <w:tcW w:w="2036" w:type="dxa"/>
            <w:tcBorders>
              <w:top w:val="single" w:sz="4" w:space="0" w:color="365F91"/>
              <w:left w:val="nil"/>
              <w:bottom w:val="single" w:sz="6" w:space="0" w:color="365F91"/>
              <w:right w:val="nil"/>
            </w:tcBorders>
            <w:shd w:val="clear" w:color="auto" w:fill="FFFFFF"/>
            <w:hideMark/>
          </w:tcPr>
          <w:p w14:paraId="063819C1" w14:textId="77777777" w:rsidR="00806461" w:rsidRPr="00256982" w:rsidRDefault="00806461">
            <w:pPr>
              <w:pStyle w:val="TableText"/>
              <w:keepNext/>
              <w:spacing w:before="50" w:after="50"/>
            </w:pPr>
            <w:r w:rsidRPr="00256982">
              <w:t>Ammonia</w:t>
            </w:r>
          </w:p>
        </w:tc>
        <w:tc>
          <w:tcPr>
            <w:tcW w:w="2410" w:type="dxa"/>
            <w:tcBorders>
              <w:top w:val="single" w:sz="4" w:space="0" w:color="365F91"/>
              <w:left w:val="nil"/>
              <w:bottom w:val="single" w:sz="6" w:space="0" w:color="365F91"/>
              <w:right w:val="nil"/>
            </w:tcBorders>
            <w:shd w:val="clear" w:color="auto" w:fill="FFFFFF"/>
            <w:hideMark/>
          </w:tcPr>
          <w:p w14:paraId="3140C466" w14:textId="77777777" w:rsidR="00806461" w:rsidRPr="00256982" w:rsidRDefault="00806461">
            <w:pPr>
              <w:pStyle w:val="TableText"/>
              <w:keepNext/>
              <w:spacing w:before="50" w:after="50"/>
            </w:pPr>
            <w:r w:rsidRPr="00256982">
              <w:t>±2</w:t>
            </w:r>
          </w:p>
        </w:tc>
        <w:tc>
          <w:tcPr>
            <w:tcW w:w="2551" w:type="dxa"/>
            <w:tcBorders>
              <w:top w:val="single" w:sz="4" w:space="0" w:color="365F91"/>
              <w:left w:val="nil"/>
              <w:bottom w:val="single" w:sz="6" w:space="0" w:color="365F91"/>
              <w:right w:val="nil"/>
            </w:tcBorders>
            <w:shd w:val="clear" w:color="auto" w:fill="FFFFFF"/>
            <w:hideMark/>
          </w:tcPr>
          <w:p w14:paraId="1CBB5B3E" w14:textId="77777777" w:rsidR="00806461" w:rsidRPr="00256982" w:rsidRDefault="00806461">
            <w:pPr>
              <w:pStyle w:val="TableText"/>
              <w:keepNext/>
              <w:spacing w:before="50" w:after="50"/>
            </w:pPr>
            <w:r w:rsidRPr="00256982">
              <w:t>±6 (CO</w:t>
            </w:r>
            <w:r w:rsidRPr="00256982">
              <w:rPr>
                <w:vertAlign w:val="subscript"/>
              </w:rPr>
              <w:t>2</w:t>
            </w:r>
            <w:r w:rsidRPr="00256982">
              <w:t>)</w:t>
            </w:r>
          </w:p>
        </w:tc>
      </w:tr>
      <w:tr w:rsidR="00806461" w:rsidRPr="00256982" w14:paraId="26727B53" w14:textId="77777777" w:rsidTr="00806461">
        <w:tc>
          <w:tcPr>
            <w:tcW w:w="2036" w:type="dxa"/>
            <w:tcBorders>
              <w:top w:val="single" w:sz="6" w:space="0" w:color="365F91"/>
              <w:left w:val="nil"/>
              <w:bottom w:val="single" w:sz="6" w:space="0" w:color="365F91"/>
              <w:right w:val="nil"/>
            </w:tcBorders>
            <w:shd w:val="clear" w:color="auto" w:fill="FFFFFF"/>
            <w:hideMark/>
          </w:tcPr>
          <w:p w14:paraId="7DE1D554" w14:textId="77777777" w:rsidR="00806461" w:rsidRPr="00256982" w:rsidRDefault="00806461">
            <w:pPr>
              <w:pStyle w:val="TableText"/>
              <w:keepNext/>
              <w:spacing w:before="50" w:after="50"/>
            </w:pPr>
            <w:r w:rsidRPr="00256982">
              <w:t>Calcium carbide</w:t>
            </w:r>
          </w:p>
        </w:tc>
        <w:tc>
          <w:tcPr>
            <w:tcW w:w="2410" w:type="dxa"/>
            <w:tcBorders>
              <w:top w:val="single" w:sz="6" w:space="0" w:color="365F91"/>
              <w:left w:val="nil"/>
              <w:bottom w:val="single" w:sz="6" w:space="0" w:color="365F91"/>
              <w:right w:val="nil"/>
            </w:tcBorders>
            <w:shd w:val="clear" w:color="auto" w:fill="FFFFFF"/>
            <w:hideMark/>
          </w:tcPr>
          <w:p w14:paraId="5BC201D5" w14:textId="77777777" w:rsidR="00806461" w:rsidRPr="00256982" w:rsidRDefault="00806461">
            <w:pPr>
              <w:pStyle w:val="TableText"/>
              <w:keepNext/>
              <w:spacing w:before="50" w:after="50"/>
            </w:pPr>
            <w:r w:rsidRPr="00256982">
              <w:t>±50</w:t>
            </w:r>
          </w:p>
        </w:tc>
        <w:tc>
          <w:tcPr>
            <w:tcW w:w="2551" w:type="dxa"/>
            <w:tcBorders>
              <w:top w:val="single" w:sz="6" w:space="0" w:color="365F91"/>
              <w:left w:val="nil"/>
              <w:bottom w:val="single" w:sz="6" w:space="0" w:color="365F91"/>
              <w:right w:val="nil"/>
            </w:tcBorders>
            <w:shd w:val="clear" w:color="auto" w:fill="FFFFFF"/>
            <w:hideMark/>
          </w:tcPr>
          <w:p w14:paraId="3CCD2E35" w14:textId="77777777" w:rsidR="00806461" w:rsidRPr="00256982" w:rsidRDefault="00806461">
            <w:pPr>
              <w:pStyle w:val="TableText"/>
              <w:keepNext/>
              <w:spacing w:before="50" w:after="50"/>
            </w:pPr>
            <w:r w:rsidRPr="00256982">
              <w:t>±50</w:t>
            </w:r>
          </w:p>
        </w:tc>
      </w:tr>
      <w:tr w:rsidR="00806461" w:rsidRPr="00256982" w14:paraId="065F93E2" w14:textId="77777777" w:rsidTr="00806461">
        <w:tc>
          <w:tcPr>
            <w:tcW w:w="2036" w:type="dxa"/>
            <w:tcBorders>
              <w:top w:val="single" w:sz="6" w:space="0" w:color="365F91"/>
              <w:left w:val="nil"/>
              <w:bottom w:val="single" w:sz="6" w:space="0" w:color="365F91"/>
              <w:right w:val="nil"/>
            </w:tcBorders>
            <w:shd w:val="clear" w:color="auto" w:fill="FFFFFF"/>
            <w:hideMark/>
          </w:tcPr>
          <w:p w14:paraId="10F1F15A" w14:textId="77777777" w:rsidR="00806461" w:rsidRPr="00256982" w:rsidRDefault="00806461">
            <w:pPr>
              <w:pStyle w:val="TableText"/>
              <w:keepNext/>
              <w:spacing w:before="50" w:after="50"/>
            </w:pPr>
            <w:r w:rsidRPr="00256982">
              <w:t>Formaldehyde</w:t>
            </w:r>
          </w:p>
        </w:tc>
        <w:tc>
          <w:tcPr>
            <w:tcW w:w="2410" w:type="dxa"/>
            <w:tcBorders>
              <w:top w:val="single" w:sz="6" w:space="0" w:color="365F91"/>
              <w:left w:val="nil"/>
              <w:bottom w:val="single" w:sz="6" w:space="0" w:color="365F91"/>
              <w:right w:val="nil"/>
            </w:tcBorders>
            <w:shd w:val="clear" w:color="auto" w:fill="FFFFFF"/>
            <w:hideMark/>
          </w:tcPr>
          <w:p w14:paraId="2CC4C723" w14:textId="77777777" w:rsidR="00806461" w:rsidRPr="00256982" w:rsidRDefault="00806461">
            <w:pPr>
              <w:pStyle w:val="TableText"/>
              <w:keepNext/>
              <w:spacing w:before="50" w:after="50"/>
            </w:pPr>
            <w:r w:rsidRPr="00256982">
              <w:t>±2</w:t>
            </w:r>
          </w:p>
        </w:tc>
        <w:tc>
          <w:tcPr>
            <w:tcW w:w="2551" w:type="dxa"/>
            <w:tcBorders>
              <w:top w:val="single" w:sz="6" w:space="0" w:color="365F91"/>
              <w:left w:val="nil"/>
              <w:bottom w:val="single" w:sz="6" w:space="0" w:color="365F91"/>
              <w:right w:val="nil"/>
            </w:tcBorders>
            <w:shd w:val="clear" w:color="auto" w:fill="FFFFFF"/>
            <w:hideMark/>
          </w:tcPr>
          <w:p w14:paraId="14186175" w14:textId="77777777" w:rsidR="00806461" w:rsidRPr="00256982" w:rsidRDefault="00806461">
            <w:pPr>
              <w:pStyle w:val="TableText"/>
              <w:keepNext/>
              <w:spacing w:before="50" w:after="50"/>
            </w:pPr>
            <w:r w:rsidRPr="00256982">
              <w:t>±50 (NMVOCs)</w:t>
            </w:r>
          </w:p>
        </w:tc>
      </w:tr>
      <w:tr w:rsidR="00806461" w:rsidRPr="00256982" w14:paraId="2E611616" w14:textId="77777777" w:rsidTr="00806461">
        <w:tc>
          <w:tcPr>
            <w:tcW w:w="2036" w:type="dxa"/>
            <w:tcBorders>
              <w:top w:val="single" w:sz="6" w:space="0" w:color="365F91"/>
              <w:left w:val="nil"/>
              <w:bottom w:val="single" w:sz="6" w:space="0" w:color="365F91"/>
              <w:right w:val="nil"/>
            </w:tcBorders>
            <w:shd w:val="clear" w:color="auto" w:fill="FFFFFF"/>
            <w:hideMark/>
          </w:tcPr>
          <w:p w14:paraId="1BB8F86E" w14:textId="77777777" w:rsidR="00806461" w:rsidRPr="00256982" w:rsidRDefault="00806461">
            <w:pPr>
              <w:pStyle w:val="TableText"/>
              <w:keepNext/>
              <w:spacing w:before="50" w:after="50"/>
            </w:pPr>
            <w:r w:rsidRPr="00256982">
              <w:t>Hydrogen</w:t>
            </w:r>
          </w:p>
        </w:tc>
        <w:tc>
          <w:tcPr>
            <w:tcW w:w="2410" w:type="dxa"/>
            <w:tcBorders>
              <w:top w:val="single" w:sz="6" w:space="0" w:color="365F91"/>
              <w:left w:val="nil"/>
              <w:bottom w:val="single" w:sz="6" w:space="0" w:color="365F91"/>
              <w:right w:val="nil"/>
            </w:tcBorders>
            <w:shd w:val="clear" w:color="auto" w:fill="FFFFFF"/>
            <w:hideMark/>
          </w:tcPr>
          <w:p w14:paraId="221F57B3" w14:textId="77777777" w:rsidR="00806461" w:rsidRPr="00256982" w:rsidRDefault="00806461">
            <w:pPr>
              <w:pStyle w:val="TableText"/>
              <w:keepNext/>
              <w:spacing w:before="50" w:after="50"/>
            </w:pPr>
            <w:r w:rsidRPr="00256982">
              <w:t>±2</w:t>
            </w:r>
          </w:p>
        </w:tc>
        <w:tc>
          <w:tcPr>
            <w:tcW w:w="2551" w:type="dxa"/>
            <w:tcBorders>
              <w:top w:val="single" w:sz="6" w:space="0" w:color="365F91"/>
              <w:left w:val="nil"/>
              <w:bottom w:val="single" w:sz="6" w:space="0" w:color="365F91"/>
              <w:right w:val="nil"/>
            </w:tcBorders>
            <w:shd w:val="clear" w:color="auto" w:fill="FFFFFF"/>
            <w:hideMark/>
          </w:tcPr>
          <w:p w14:paraId="2774294C" w14:textId="77777777" w:rsidR="00806461" w:rsidRPr="00256982" w:rsidRDefault="00806461">
            <w:pPr>
              <w:pStyle w:val="TableText"/>
              <w:keepNext/>
              <w:spacing w:before="50" w:after="50"/>
            </w:pPr>
            <w:r w:rsidRPr="00256982">
              <w:t>±6</w:t>
            </w:r>
          </w:p>
        </w:tc>
      </w:tr>
      <w:tr w:rsidR="00806461" w:rsidRPr="00256982" w14:paraId="1CB2E3B4" w14:textId="77777777" w:rsidTr="00806461">
        <w:tc>
          <w:tcPr>
            <w:tcW w:w="2036" w:type="dxa"/>
            <w:tcBorders>
              <w:top w:val="single" w:sz="6" w:space="0" w:color="365F91"/>
              <w:left w:val="nil"/>
              <w:bottom w:val="single" w:sz="6" w:space="0" w:color="365F91"/>
              <w:right w:val="nil"/>
            </w:tcBorders>
            <w:shd w:val="clear" w:color="auto" w:fill="FFFFFF"/>
            <w:hideMark/>
          </w:tcPr>
          <w:p w14:paraId="5D991CC9" w14:textId="77777777" w:rsidR="00806461" w:rsidRPr="00256982" w:rsidRDefault="00806461">
            <w:pPr>
              <w:pStyle w:val="TableText"/>
              <w:keepNext/>
              <w:spacing w:before="50" w:after="50"/>
            </w:pPr>
            <w:r w:rsidRPr="00256982">
              <w:t>Methanol</w:t>
            </w:r>
          </w:p>
        </w:tc>
        <w:tc>
          <w:tcPr>
            <w:tcW w:w="2410" w:type="dxa"/>
            <w:tcBorders>
              <w:top w:val="single" w:sz="6" w:space="0" w:color="365F91"/>
              <w:left w:val="nil"/>
              <w:bottom w:val="single" w:sz="6" w:space="0" w:color="365F91"/>
              <w:right w:val="nil"/>
            </w:tcBorders>
            <w:shd w:val="clear" w:color="auto" w:fill="FFFFFF"/>
            <w:hideMark/>
          </w:tcPr>
          <w:p w14:paraId="55F24035" w14:textId="77777777" w:rsidR="00806461" w:rsidRPr="00256982" w:rsidRDefault="00806461">
            <w:pPr>
              <w:pStyle w:val="TableText"/>
              <w:spacing w:before="50" w:after="50"/>
            </w:pPr>
            <w:r w:rsidRPr="00256982">
              <w:t>±2</w:t>
            </w:r>
          </w:p>
        </w:tc>
        <w:tc>
          <w:tcPr>
            <w:tcW w:w="2551" w:type="dxa"/>
            <w:tcBorders>
              <w:top w:val="single" w:sz="6" w:space="0" w:color="365F91"/>
              <w:left w:val="nil"/>
              <w:bottom w:val="single" w:sz="6" w:space="0" w:color="365F91"/>
              <w:right w:val="nil"/>
            </w:tcBorders>
            <w:shd w:val="clear" w:color="auto" w:fill="FFFFFF"/>
            <w:hideMark/>
          </w:tcPr>
          <w:p w14:paraId="49960E64" w14:textId="77777777" w:rsidR="00806461" w:rsidRPr="00256982" w:rsidRDefault="00806461">
            <w:pPr>
              <w:pStyle w:val="TableText"/>
              <w:spacing w:before="50" w:after="50"/>
            </w:pPr>
            <w:r w:rsidRPr="00256982">
              <w:t>±50 (NOx and CO)</w:t>
            </w:r>
            <w:r w:rsidRPr="00256982">
              <w:br/>
              <w:t>±30 (NMVOCs)</w:t>
            </w:r>
            <w:r w:rsidRPr="00256982">
              <w:br/>
              <w:t>±80 (CH</w:t>
            </w:r>
            <w:r w:rsidRPr="00256982">
              <w:rPr>
                <w:vertAlign w:val="subscript"/>
              </w:rPr>
              <w:t>4</w:t>
            </w:r>
            <w:r w:rsidRPr="00256982">
              <w:t>)</w:t>
            </w:r>
          </w:p>
        </w:tc>
      </w:tr>
      <w:tr w:rsidR="00806461" w:rsidRPr="00256982" w14:paraId="414D5A1B" w14:textId="77777777" w:rsidTr="00806461">
        <w:tc>
          <w:tcPr>
            <w:tcW w:w="2036" w:type="dxa"/>
            <w:tcBorders>
              <w:top w:val="single" w:sz="6" w:space="0" w:color="365F91"/>
              <w:left w:val="nil"/>
              <w:bottom w:val="single" w:sz="6" w:space="0" w:color="365F91"/>
              <w:right w:val="nil"/>
            </w:tcBorders>
            <w:shd w:val="clear" w:color="auto" w:fill="FFFFFF"/>
            <w:hideMark/>
          </w:tcPr>
          <w:p w14:paraId="15D62DE9" w14:textId="77777777" w:rsidR="00806461" w:rsidRPr="00256982" w:rsidRDefault="00806461">
            <w:pPr>
              <w:pStyle w:val="TableText"/>
              <w:spacing w:before="50" w:after="50"/>
            </w:pPr>
            <w:r w:rsidRPr="00256982">
              <w:t>Superphosphate</w:t>
            </w:r>
          </w:p>
        </w:tc>
        <w:tc>
          <w:tcPr>
            <w:tcW w:w="2410" w:type="dxa"/>
            <w:tcBorders>
              <w:top w:val="single" w:sz="6" w:space="0" w:color="365F91"/>
              <w:left w:val="nil"/>
              <w:bottom w:val="single" w:sz="6" w:space="0" w:color="365F91"/>
              <w:right w:val="nil"/>
            </w:tcBorders>
            <w:shd w:val="clear" w:color="auto" w:fill="FFFFFF"/>
            <w:hideMark/>
          </w:tcPr>
          <w:p w14:paraId="54ABFBFD" w14:textId="77777777" w:rsidR="00806461" w:rsidRPr="00256982" w:rsidRDefault="00806461">
            <w:pPr>
              <w:pStyle w:val="TableText"/>
              <w:spacing w:before="50" w:after="50"/>
            </w:pPr>
            <w:r w:rsidRPr="00256982">
              <w:t>±10</w:t>
            </w:r>
          </w:p>
        </w:tc>
        <w:tc>
          <w:tcPr>
            <w:tcW w:w="2551" w:type="dxa"/>
            <w:tcBorders>
              <w:top w:val="single" w:sz="6" w:space="0" w:color="365F91"/>
              <w:left w:val="nil"/>
              <w:bottom w:val="single" w:sz="6" w:space="0" w:color="365F91"/>
              <w:right w:val="nil"/>
            </w:tcBorders>
            <w:shd w:val="clear" w:color="auto" w:fill="FFFFFF"/>
            <w:hideMark/>
          </w:tcPr>
          <w:p w14:paraId="64EF0987" w14:textId="77777777" w:rsidR="00806461" w:rsidRPr="00256982" w:rsidRDefault="00806461">
            <w:pPr>
              <w:pStyle w:val="TableText"/>
              <w:spacing w:before="50" w:after="50"/>
            </w:pPr>
            <w:r w:rsidRPr="00256982">
              <w:t>±25–60 (varies by site)</w:t>
            </w:r>
          </w:p>
        </w:tc>
      </w:tr>
      <w:tr w:rsidR="00806461" w:rsidRPr="00256982" w14:paraId="00C72464" w14:textId="77777777" w:rsidTr="00806461">
        <w:tc>
          <w:tcPr>
            <w:tcW w:w="2036" w:type="dxa"/>
            <w:tcBorders>
              <w:top w:val="single" w:sz="6" w:space="0" w:color="365F91"/>
              <w:left w:val="nil"/>
              <w:bottom w:val="single" w:sz="6" w:space="0" w:color="365F91"/>
              <w:right w:val="nil"/>
            </w:tcBorders>
            <w:shd w:val="clear" w:color="auto" w:fill="FFFFFF"/>
            <w:hideMark/>
          </w:tcPr>
          <w:p w14:paraId="4F86A463" w14:textId="77777777" w:rsidR="00806461" w:rsidRPr="00256982" w:rsidRDefault="00806461">
            <w:pPr>
              <w:pStyle w:val="TableText"/>
              <w:spacing w:before="50" w:after="50"/>
            </w:pPr>
            <w:r w:rsidRPr="00256982">
              <w:t>Sulphuric acid</w:t>
            </w:r>
          </w:p>
        </w:tc>
        <w:tc>
          <w:tcPr>
            <w:tcW w:w="2410" w:type="dxa"/>
            <w:tcBorders>
              <w:top w:val="single" w:sz="6" w:space="0" w:color="365F91"/>
              <w:left w:val="nil"/>
              <w:bottom w:val="single" w:sz="6" w:space="0" w:color="365F91"/>
              <w:right w:val="nil"/>
            </w:tcBorders>
            <w:shd w:val="clear" w:color="auto" w:fill="FFFFFF"/>
            <w:hideMark/>
          </w:tcPr>
          <w:p w14:paraId="7B5D36FD" w14:textId="77777777" w:rsidR="00806461" w:rsidRPr="00256982" w:rsidRDefault="00806461">
            <w:pPr>
              <w:pStyle w:val="TableText"/>
              <w:spacing w:before="50" w:after="50"/>
            </w:pPr>
            <w:r w:rsidRPr="00256982">
              <w:t>±10</w:t>
            </w:r>
          </w:p>
        </w:tc>
        <w:tc>
          <w:tcPr>
            <w:tcW w:w="2551" w:type="dxa"/>
            <w:tcBorders>
              <w:top w:val="single" w:sz="6" w:space="0" w:color="365F91"/>
              <w:left w:val="nil"/>
              <w:bottom w:val="single" w:sz="6" w:space="0" w:color="365F91"/>
              <w:right w:val="nil"/>
            </w:tcBorders>
            <w:shd w:val="clear" w:color="auto" w:fill="FFFFFF"/>
            <w:hideMark/>
          </w:tcPr>
          <w:p w14:paraId="42137D9F" w14:textId="77777777" w:rsidR="00806461" w:rsidRPr="00256982" w:rsidRDefault="00806461">
            <w:pPr>
              <w:pStyle w:val="TableText"/>
              <w:spacing w:before="50" w:after="50"/>
            </w:pPr>
            <w:r w:rsidRPr="00256982">
              <w:t>±15</w:t>
            </w:r>
          </w:p>
        </w:tc>
      </w:tr>
    </w:tbl>
    <w:p w14:paraId="72CBCBD2" w14:textId="77777777" w:rsidR="00806461" w:rsidRPr="00256982" w:rsidRDefault="00806461" w:rsidP="00AD4CF4">
      <w:pPr>
        <w:pStyle w:val="Heading4"/>
        <w:spacing w:before="360"/>
        <w:rPr>
          <w:bCs/>
          <w:iCs/>
        </w:rPr>
      </w:pPr>
      <w:r w:rsidRPr="00256982">
        <w:t>Time-series consistency</w:t>
      </w:r>
    </w:p>
    <w:p w14:paraId="0F5719AD" w14:textId="77777777" w:rsidR="00806461" w:rsidRPr="00256982" w:rsidRDefault="00806461" w:rsidP="00806461">
      <w:pPr>
        <w:pStyle w:val="BodyText"/>
        <w:spacing w:before="100" w:after="100"/>
      </w:pPr>
      <w:r w:rsidRPr="00256982">
        <w:t>The implied emission factor for CO</w:t>
      </w:r>
      <w:r w:rsidRPr="00256982">
        <w:rPr>
          <w:vertAlign w:val="subscript"/>
        </w:rPr>
        <w:t>2</w:t>
      </w:r>
      <w:r w:rsidRPr="00256982">
        <w:t xml:space="preserve"> in ammonia production has reduced by about 5.0 per cent through the time series, reflecting higher plant utilisation and some improvements in plant efficiency. Because ammonia is made at a single site in New Zealand, the implied emission factor may also vary from year to year as a result of maintenance shutdowns and other events that affect plant performance. </w:t>
      </w:r>
    </w:p>
    <w:p w14:paraId="1B80AD89" w14:textId="77777777" w:rsidR="00806461" w:rsidRPr="00256982" w:rsidRDefault="00806461" w:rsidP="00806461">
      <w:pPr>
        <w:pStyle w:val="BodyText"/>
        <w:spacing w:before="100" w:after="100"/>
      </w:pPr>
      <w:r w:rsidRPr="00256982">
        <w:t xml:space="preserve">The implied emission factor for hydrogen production (2.B.10) also varies from year to year due mainly to changes in refinery gas composition. </w:t>
      </w:r>
    </w:p>
    <w:p w14:paraId="328E1046" w14:textId="77777777" w:rsidR="00806461" w:rsidRPr="00256982" w:rsidRDefault="00806461" w:rsidP="00806461">
      <w:pPr>
        <w:pStyle w:val="BodyText"/>
        <w:spacing w:before="100" w:after="100"/>
      </w:pPr>
      <w:r w:rsidRPr="00256982">
        <w:t xml:space="preserve">Other implied emission factors in this source category only reflect the default emission factors used. </w:t>
      </w:r>
    </w:p>
    <w:p w14:paraId="0F132D6B" w14:textId="77777777" w:rsidR="00806461" w:rsidRPr="00256982" w:rsidRDefault="00806461" w:rsidP="001D3490">
      <w:pPr>
        <w:pStyle w:val="Heading3"/>
      </w:pPr>
      <w:r w:rsidRPr="00256982">
        <w:t>4.3.4</w:t>
      </w:r>
      <w:r w:rsidRPr="00256982">
        <w:tab/>
        <w:t>Source-specific QA/QC and verification</w:t>
      </w:r>
    </w:p>
    <w:p w14:paraId="6DC20922" w14:textId="77777777" w:rsidR="00806461" w:rsidRPr="00256982" w:rsidRDefault="00806461" w:rsidP="00806461">
      <w:pPr>
        <w:pStyle w:val="BodyText"/>
      </w:pPr>
      <w:r w:rsidRPr="00256982">
        <w:t xml:space="preserve">The </w:t>
      </w:r>
      <w:r w:rsidRPr="00256982">
        <w:rPr>
          <w:i/>
        </w:rPr>
        <w:t xml:space="preserve">Chemical industry </w:t>
      </w:r>
      <w:r w:rsidRPr="00256982">
        <w:t xml:space="preserve">source category contains one key category; </w:t>
      </w:r>
      <w:r w:rsidRPr="00256982">
        <w:rPr>
          <w:i/>
        </w:rPr>
        <w:t>Petrochemical and carbon black</w:t>
      </w:r>
      <w:r w:rsidRPr="00256982">
        <w:t xml:space="preserve"> (for CH</w:t>
      </w:r>
      <w:r w:rsidRPr="00256982">
        <w:rPr>
          <w:vertAlign w:val="subscript"/>
        </w:rPr>
        <w:t>4</w:t>
      </w:r>
      <w:r w:rsidRPr="00256982">
        <w:t xml:space="preserve"> emissions in methane production). The data for these emissions underwent Tier 1 quality checks in the preparation of this inventory. Submission of data under the NZ ETS allows some verification of activity data.</w:t>
      </w:r>
    </w:p>
    <w:p w14:paraId="47E53E15" w14:textId="77777777" w:rsidR="00806461" w:rsidRPr="00256982" w:rsidRDefault="00806461" w:rsidP="001D3490">
      <w:pPr>
        <w:pStyle w:val="Heading3"/>
      </w:pPr>
      <w:r w:rsidRPr="00256982">
        <w:t>4.3.5</w:t>
      </w:r>
      <w:r w:rsidRPr="00256982">
        <w:tab/>
        <w:t>Source-specific recalculations</w:t>
      </w:r>
    </w:p>
    <w:p w14:paraId="408B98A6" w14:textId="77777777" w:rsidR="00806461" w:rsidRPr="00256982" w:rsidRDefault="00806461" w:rsidP="00806461">
      <w:pPr>
        <w:pStyle w:val="BodyText"/>
      </w:pPr>
      <w:r w:rsidRPr="00256982">
        <w:t xml:space="preserve">There are no recalculations for this source category. </w:t>
      </w:r>
    </w:p>
    <w:p w14:paraId="466BFD28" w14:textId="77777777" w:rsidR="00806461" w:rsidRPr="00256982" w:rsidRDefault="00806461" w:rsidP="001D3490">
      <w:pPr>
        <w:pStyle w:val="Heading3"/>
      </w:pPr>
      <w:r w:rsidRPr="00256982">
        <w:t>4.3.6</w:t>
      </w:r>
      <w:r w:rsidRPr="00256982">
        <w:tab/>
        <w:t>Source-specific planned improvements</w:t>
      </w:r>
    </w:p>
    <w:p w14:paraId="37DBD41A" w14:textId="77777777" w:rsidR="00806461" w:rsidRPr="00256982" w:rsidRDefault="00806461" w:rsidP="00806461">
      <w:pPr>
        <w:pStyle w:val="BodyText"/>
      </w:pPr>
      <w:r w:rsidRPr="00256982">
        <w:t>There are no planned improvements for this source category.</w:t>
      </w:r>
    </w:p>
    <w:p w14:paraId="0764CADB" w14:textId="77777777" w:rsidR="00806461" w:rsidRPr="00256982" w:rsidRDefault="00806461" w:rsidP="001D3490">
      <w:pPr>
        <w:pStyle w:val="Heading2"/>
      </w:pPr>
      <w:bookmarkStart w:id="425" w:name="_Toc448321515"/>
      <w:bookmarkStart w:id="426" w:name="_Toc5269354"/>
      <w:r w:rsidRPr="00256982">
        <w:lastRenderedPageBreak/>
        <w:t>4.4</w:t>
      </w:r>
      <w:r w:rsidRPr="00256982">
        <w:tab/>
        <w:t>Metal industry (2.C)</w:t>
      </w:r>
      <w:bookmarkEnd w:id="425"/>
      <w:bookmarkEnd w:id="426"/>
    </w:p>
    <w:p w14:paraId="40C6EC21" w14:textId="77777777" w:rsidR="00806461" w:rsidRPr="00256982" w:rsidRDefault="00806461" w:rsidP="00391D8B">
      <w:pPr>
        <w:pStyle w:val="Heading3"/>
        <w:spacing w:before="240"/>
      </w:pPr>
      <w:r w:rsidRPr="00256982">
        <w:t>4.4.1</w:t>
      </w:r>
      <w:r w:rsidRPr="00256982">
        <w:tab/>
        <w:t>Description</w:t>
      </w:r>
    </w:p>
    <w:p w14:paraId="2A5D8D26" w14:textId="77777777" w:rsidR="00806461" w:rsidRPr="00256982" w:rsidRDefault="00806461" w:rsidP="00806461">
      <w:pPr>
        <w:pStyle w:val="BodyText"/>
      </w:pPr>
      <w:r w:rsidRPr="00256982">
        <w:t xml:space="preserve">The main emissions in the </w:t>
      </w:r>
      <w:r w:rsidRPr="00256982">
        <w:rPr>
          <w:i/>
        </w:rPr>
        <w:t>Metal industry</w:t>
      </w:r>
      <w:r w:rsidRPr="00256982">
        <w:t xml:space="preserve"> source category in New Zealand are from iron and steel production (from iron sand and from recycled scrap steel) and from aluminium production. New Zealand has no production of coke, sinter or ferroalloys. </w:t>
      </w:r>
    </w:p>
    <w:p w14:paraId="61FCB881" w14:textId="77777777" w:rsidR="00806461" w:rsidRPr="00256982" w:rsidRDefault="00806461" w:rsidP="00806461">
      <w:pPr>
        <w:pStyle w:val="BodyText"/>
      </w:pPr>
      <w:r w:rsidRPr="00256982">
        <w:t xml:space="preserve">There are two steel producing sites in New Zealand. New Zealand Steel Limited produces iron using an ‘alternative iron-making process’, from titanomagnetite iron sand (Ure, 2000). This iron-making process involves the direct reduction of iron oxide contained in the sand, with sub-bituminous coal (which forms a reactive char) as the reductant. There is no coke production and no use of blast furnaces. The iron produced is then processed into steel. </w:t>
      </w:r>
    </w:p>
    <w:p w14:paraId="373F1491" w14:textId="77777777" w:rsidR="00806461" w:rsidRPr="00256982" w:rsidRDefault="00806461" w:rsidP="00806461">
      <w:pPr>
        <w:pStyle w:val="BodyText"/>
      </w:pPr>
      <w:r w:rsidRPr="00256982">
        <w:t xml:space="preserve">Pacific Steel Limited has, until recently, operated an electric arc furnace at a separate site to process recycled scrap steel. The owners of New Zealand Steel Limited bought the Pacific Steel Limited production assets in 2015, and all of New Zealand’s steel-making capacity is now integrated at the New Zealand Steel site. Steel billet production at the Pacific Steel plant, using recycled scrap, stopped in October 2015. As a result, all production in New Zealand is now based on newly produced iron – there is no domestic production using recycled steel scrap. </w:t>
      </w:r>
    </w:p>
    <w:p w14:paraId="0A04C124" w14:textId="77777777" w:rsidR="00806461" w:rsidRPr="00256982" w:rsidRDefault="00806461" w:rsidP="00806461">
      <w:pPr>
        <w:pStyle w:val="BodyText"/>
      </w:pPr>
      <w:r w:rsidRPr="00256982">
        <w:t xml:space="preserve">There is one aluminium smelter in New Zealand, operated by New Zealand Aluminium Smelters Limited (NZAS). The plant produces aluminium by smelting imported bauxite using centre-work prebake technology. Carbon dioxide and PFC emissions from aluminium production are reported. </w:t>
      </w:r>
    </w:p>
    <w:p w14:paraId="737239F9" w14:textId="77777777" w:rsidR="00806461" w:rsidRPr="00256982" w:rsidRDefault="00806461" w:rsidP="00806461">
      <w:pPr>
        <w:pStyle w:val="BodyText"/>
      </w:pPr>
      <w:r w:rsidRPr="00256982">
        <w:t>Very small amounts of emissions are also reported from secondary lead production (from the recycling of lead-acid batteries) from 1990 to 2015 and from use of SF</w:t>
      </w:r>
      <w:r w:rsidRPr="00256982">
        <w:rPr>
          <w:vertAlign w:val="subscript"/>
        </w:rPr>
        <w:t>6</w:t>
      </w:r>
      <w:r w:rsidRPr="00256982">
        <w:t xml:space="preserve"> in a magnesium foundry from 1990 to 1999. </w:t>
      </w:r>
    </w:p>
    <w:p w14:paraId="0026F2A2" w14:textId="77777777" w:rsidR="00806461" w:rsidRPr="00256982" w:rsidRDefault="00806461" w:rsidP="00806461">
      <w:pPr>
        <w:pStyle w:val="BodyText"/>
      </w:pPr>
      <w:r w:rsidRPr="00256982">
        <w:t xml:space="preserve">Key categories in the </w:t>
      </w:r>
      <w:r w:rsidRPr="00256982">
        <w:rPr>
          <w:i/>
        </w:rPr>
        <w:t>Metal industry</w:t>
      </w:r>
      <w:r w:rsidRPr="00256982">
        <w:t xml:space="preserve"> source category are CO</w:t>
      </w:r>
      <w:r w:rsidRPr="00256982">
        <w:rPr>
          <w:vertAlign w:val="subscript"/>
        </w:rPr>
        <w:t>2</w:t>
      </w:r>
      <w:r w:rsidRPr="00256982">
        <w:t xml:space="preserve"> emissions from </w:t>
      </w:r>
      <w:r w:rsidRPr="00256982">
        <w:rPr>
          <w:i/>
        </w:rPr>
        <w:t xml:space="preserve">Iron and steel production </w:t>
      </w:r>
      <w:r w:rsidRPr="00256982">
        <w:t xml:space="preserve">and from </w:t>
      </w:r>
      <w:r w:rsidRPr="00256982">
        <w:rPr>
          <w:i/>
        </w:rPr>
        <w:t>Aluminium production</w:t>
      </w:r>
      <w:r w:rsidRPr="00256982">
        <w:t xml:space="preserve">, and PFCs from </w:t>
      </w:r>
      <w:r w:rsidRPr="00256982">
        <w:rPr>
          <w:i/>
        </w:rPr>
        <w:t>Aluminium production</w:t>
      </w:r>
      <w:r w:rsidRPr="00256982">
        <w:t xml:space="preserve">. </w:t>
      </w:r>
    </w:p>
    <w:p w14:paraId="7136D6FD" w14:textId="77777777" w:rsidR="00806461" w:rsidRPr="00256982" w:rsidRDefault="00806461" w:rsidP="00806461">
      <w:pPr>
        <w:tabs>
          <w:tab w:val="left" w:pos="-142"/>
        </w:tabs>
      </w:pPr>
      <w:r w:rsidRPr="00256982">
        <w:t xml:space="preserve">Emissions from the </w:t>
      </w:r>
      <w:r w:rsidRPr="00256982">
        <w:rPr>
          <w:i/>
        </w:rPr>
        <w:t>Metal industry</w:t>
      </w:r>
      <w:r w:rsidRPr="00256982">
        <w:t xml:space="preserve"> source category in 2017 were 2,364.9 kt CO</w:t>
      </w:r>
      <w:r w:rsidRPr="00256982">
        <w:rPr>
          <w:vertAlign w:val="subscript"/>
        </w:rPr>
        <w:t>2</w:t>
      </w:r>
      <w:r w:rsidRPr="00256982">
        <w:t>-e (47.6 per cent) of emissions from the IPPU sector. This is 305.3 kt CO</w:t>
      </w:r>
      <w:r w:rsidRPr="00256982">
        <w:rPr>
          <w:vertAlign w:val="subscript"/>
        </w:rPr>
        <w:t>2</w:t>
      </w:r>
      <w:r w:rsidRPr="00256982">
        <w:t>-e (11.4 per cent) below the 1990 level. The decrease has been driven by a reduction in emissions of PFCs in aluminium smelting, which has been partly offset by increasing CO</w:t>
      </w:r>
      <w:r w:rsidRPr="00256982">
        <w:rPr>
          <w:vertAlign w:val="subscript"/>
        </w:rPr>
        <w:t>2</w:t>
      </w:r>
      <w:r w:rsidRPr="00256982">
        <w:t xml:space="preserve"> emissions due to increasing production of steel and aluminium. Emissions in 2016 were 2,300.2 kt CO</w:t>
      </w:r>
      <w:r w:rsidRPr="00256982">
        <w:rPr>
          <w:vertAlign w:val="subscript"/>
        </w:rPr>
        <w:t>2</w:t>
      </w:r>
      <w:r w:rsidRPr="00256982">
        <w:t xml:space="preserve">-e, which was lower than previous years due to the closure of the Pacific Steel plant and the cessation of lead battery recycling. Emissions have increased again in 2017 due to an increase in steel production. </w:t>
      </w:r>
    </w:p>
    <w:p w14:paraId="5FE29335" w14:textId="77777777" w:rsidR="00806461" w:rsidRPr="00256982" w:rsidRDefault="00806461" w:rsidP="001D3490">
      <w:pPr>
        <w:pStyle w:val="Heading3"/>
      </w:pPr>
      <w:r w:rsidRPr="00256982">
        <w:t xml:space="preserve">4.4.2 </w:t>
      </w:r>
      <w:r w:rsidRPr="00256982">
        <w:tab/>
        <w:t>Methodological issues</w:t>
      </w:r>
    </w:p>
    <w:p w14:paraId="123644AE" w14:textId="77777777" w:rsidR="00806461" w:rsidRPr="00256982" w:rsidRDefault="00806461" w:rsidP="00A72006">
      <w:pPr>
        <w:pStyle w:val="Heading4"/>
        <w:rPr>
          <w:bCs/>
          <w:iCs/>
        </w:rPr>
      </w:pPr>
      <w:r w:rsidRPr="00256982">
        <w:t>Choice of activity data</w:t>
      </w:r>
    </w:p>
    <w:p w14:paraId="46F57451" w14:textId="77777777" w:rsidR="00806461" w:rsidRPr="00256982" w:rsidRDefault="00806461" w:rsidP="00806461">
      <w:pPr>
        <w:pStyle w:val="Heading5"/>
        <w:spacing w:before="200"/>
      </w:pPr>
      <w:r w:rsidRPr="00256982">
        <w:t>Iron and steel production (2.C.1 and 2.C.1.a)</w:t>
      </w:r>
    </w:p>
    <w:p w14:paraId="517C2E9A" w14:textId="77777777" w:rsidR="00806461" w:rsidRPr="00256982" w:rsidRDefault="00806461" w:rsidP="00806461">
      <w:pPr>
        <w:pStyle w:val="BodyText"/>
      </w:pPr>
      <w:r w:rsidRPr="00256982">
        <w:t xml:space="preserve">In 2017, the </w:t>
      </w:r>
      <w:r w:rsidRPr="00256982">
        <w:rPr>
          <w:i/>
        </w:rPr>
        <w:t>Iron and steel production</w:t>
      </w:r>
      <w:r w:rsidRPr="00256982">
        <w:t xml:space="preserve"> category accounted for 1,758.3 kt CO</w:t>
      </w:r>
      <w:r w:rsidRPr="00256982">
        <w:rPr>
          <w:vertAlign w:val="subscript"/>
        </w:rPr>
        <w:t>2</w:t>
      </w:r>
      <w:r w:rsidRPr="00256982">
        <w:t xml:space="preserve">-e (74.3 per cent) of emissions from the </w:t>
      </w:r>
      <w:r w:rsidRPr="00256982">
        <w:rPr>
          <w:i/>
        </w:rPr>
        <w:t>Metal industry</w:t>
      </w:r>
      <w:r w:rsidRPr="00256982">
        <w:t xml:space="preserve"> source category. The activity data (tonnes of steel produced) are provided to MBIE, by two steel producers up to 2015 and now by one; they are regarded as commercially confidential and are reported as confidential in the CRF. </w:t>
      </w:r>
    </w:p>
    <w:p w14:paraId="2414A85B" w14:textId="77777777" w:rsidR="00806461" w:rsidRPr="00256982" w:rsidRDefault="00806461" w:rsidP="00806461">
      <w:pPr>
        <w:pStyle w:val="BodyText"/>
      </w:pPr>
      <w:r w:rsidRPr="00256982">
        <w:t>Most of the CO</w:t>
      </w:r>
      <w:r w:rsidRPr="00256982">
        <w:rPr>
          <w:vertAlign w:val="subscript"/>
        </w:rPr>
        <w:t>2</w:t>
      </w:r>
      <w:r w:rsidRPr="00256982">
        <w:t xml:space="preserve"> emissions from the </w:t>
      </w:r>
      <w:r w:rsidRPr="00256982">
        <w:rPr>
          <w:i/>
        </w:rPr>
        <w:t>Iron and steel production</w:t>
      </w:r>
      <w:r w:rsidRPr="00256982">
        <w:t xml:space="preserve"> category are produced through the production of iron from titanomagnetite iron sand. Nearly all of the emissions in this process come from the use of sub-bituminous coal as a reducing agent. There is no carbon in the iron sand used by New Zealand Steel Limited (table 4.4.1). </w:t>
      </w:r>
    </w:p>
    <w:p w14:paraId="478B7FCD" w14:textId="77777777" w:rsidR="00806461" w:rsidRPr="00256982" w:rsidRDefault="00806461" w:rsidP="00806461">
      <w:pPr>
        <w:pStyle w:val="Table"/>
      </w:pPr>
      <w:bookmarkStart w:id="427" w:name="_Toc451176070"/>
      <w:bookmarkStart w:id="428" w:name="_Toc352504954"/>
      <w:bookmarkStart w:id="429" w:name="_Toc5269460"/>
      <w:r w:rsidRPr="00256982">
        <w:lastRenderedPageBreak/>
        <w:t>Table 4.4.1</w:t>
      </w:r>
      <w:r w:rsidRPr="00256982">
        <w:tab/>
        <w:t>Typical analysis from New Zealand Steel Limited of the primary concentrate (provided by New Zealand Steel Limited)</w:t>
      </w:r>
      <w:bookmarkEnd w:id="427"/>
      <w:bookmarkEnd w:id="428"/>
      <w:bookmarkEnd w:id="429"/>
    </w:p>
    <w:tbl>
      <w:tblPr>
        <w:tblW w:w="0" w:type="auto"/>
        <w:jc w:val="center"/>
        <w:tblBorders>
          <w:bottom w:val="single" w:sz="4" w:space="0" w:color="auto"/>
        </w:tblBorders>
        <w:tblLayout w:type="fixed"/>
        <w:tblLook w:val="04A0" w:firstRow="1" w:lastRow="0" w:firstColumn="1" w:lastColumn="0" w:noHBand="0" w:noVBand="1"/>
      </w:tblPr>
      <w:tblGrid>
        <w:gridCol w:w="1242"/>
        <w:gridCol w:w="1448"/>
      </w:tblGrid>
      <w:tr w:rsidR="00806461" w:rsidRPr="00256982" w14:paraId="2D07364E" w14:textId="77777777" w:rsidTr="00806461">
        <w:trPr>
          <w:tblHeader/>
          <w:jc w:val="center"/>
        </w:trPr>
        <w:tc>
          <w:tcPr>
            <w:tcW w:w="1242" w:type="dxa"/>
            <w:tcBorders>
              <w:top w:val="single" w:sz="4" w:space="0" w:color="365F91"/>
              <w:left w:val="nil"/>
              <w:bottom w:val="single" w:sz="4" w:space="0" w:color="365F91"/>
              <w:right w:val="nil"/>
            </w:tcBorders>
            <w:shd w:val="clear" w:color="auto" w:fill="365F91"/>
            <w:hideMark/>
          </w:tcPr>
          <w:p w14:paraId="4DB2C605" w14:textId="77777777" w:rsidR="00806461" w:rsidRPr="00256982" w:rsidRDefault="00806461">
            <w:pPr>
              <w:pStyle w:val="TableTextBold"/>
              <w:spacing w:before="40" w:after="40"/>
              <w:jc w:val="center"/>
              <w:rPr>
                <w:noProof w:val="0"/>
                <w:color w:val="FFFFFF"/>
              </w:rPr>
            </w:pPr>
            <w:r w:rsidRPr="00256982">
              <w:rPr>
                <w:noProof w:val="0"/>
                <w:color w:val="FFFFFF"/>
              </w:rPr>
              <w:t>Element</w:t>
            </w:r>
          </w:p>
        </w:tc>
        <w:tc>
          <w:tcPr>
            <w:tcW w:w="1448" w:type="dxa"/>
            <w:tcBorders>
              <w:top w:val="single" w:sz="4" w:space="0" w:color="365F91"/>
              <w:left w:val="nil"/>
              <w:bottom w:val="single" w:sz="4" w:space="0" w:color="365F91"/>
              <w:right w:val="nil"/>
            </w:tcBorders>
            <w:shd w:val="clear" w:color="auto" w:fill="365F91"/>
            <w:hideMark/>
          </w:tcPr>
          <w:p w14:paraId="5E6392E5" w14:textId="77777777" w:rsidR="00806461" w:rsidRPr="00256982" w:rsidRDefault="00806461">
            <w:pPr>
              <w:pStyle w:val="TableTextBold"/>
              <w:spacing w:before="40" w:after="40"/>
              <w:jc w:val="center"/>
              <w:rPr>
                <w:noProof w:val="0"/>
                <w:color w:val="FFFFFF"/>
              </w:rPr>
            </w:pPr>
            <w:r w:rsidRPr="00256982">
              <w:rPr>
                <w:noProof w:val="0"/>
                <w:color w:val="FFFFFF"/>
              </w:rPr>
              <w:t>Result (%)</w:t>
            </w:r>
          </w:p>
        </w:tc>
      </w:tr>
      <w:tr w:rsidR="00806461" w:rsidRPr="00256982" w14:paraId="2668D835" w14:textId="77777777" w:rsidTr="00806461">
        <w:trPr>
          <w:jc w:val="center"/>
        </w:trPr>
        <w:tc>
          <w:tcPr>
            <w:tcW w:w="1242" w:type="dxa"/>
            <w:tcBorders>
              <w:top w:val="single" w:sz="4" w:space="0" w:color="365F91"/>
              <w:left w:val="nil"/>
              <w:bottom w:val="single" w:sz="4" w:space="0" w:color="365F91"/>
              <w:right w:val="single" w:sz="4" w:space="0" w:color="365F91"/>
            </w:tcBorders>
            <w:vAlign w:val="center"/>
            <w:hideMark/>
          </w:tcPr>
          <w:p w14:paraId="08BB2362" w14:textId="77777777" w:rsidR="00806461" w:rsidRPr="00256982" w:rsidRDefault="00806461">
            <w:pPr>
              <w:pStyle w:val="TableText"/>
              <w:spacing w:before="40" w:after="40"/>
              <w:jc w:val="center"/>
              <w:rPr>
                <w:i/>
                <w:vertAlign w:val="subscript"/>
              </w:rPr>
            </w:pPr>
            <w:r w:rsidRPr="00256982">
              <w:t>Fe</w:t>
            </w:r>
            <w:r w:rsidRPr="00256982">
              <w:rPr>
                <w:vertAlign w:val="subscript"/>
              </w:rPr>
              <w:t>3</w:t>
            </w:r>
            <w:r w:rsidRPr="00256982">
              <w:t>O</w:t>
            </w:r>
            <w:r w:rsidRPr="00256982">
              <w:rPr>
                <w:vertAlign w:val="subscript"/>
              </w:rPr>
              <w:t>4</w:t>
            </w:r>
          </w:p>
        </w:tc>
        <w:tc>
          <w:tcPr>
            <w:tcW w:w="1448" w:type="dxa"/>
            <w:tcBorders>
              <w:top w:val="single" w:sz="4" w:space="0" w:color="365F91"/>
              <w:left w:val="single" w:sz="4" w:space="0" w:color="365F91"/>
              <w:bottom w:val="single" w:sz="4" w:space="0" w:color="365F91"/>
              <w:right w:val="nil"/>
            </w:tcBorders>
            <w:vAlign w:val="center"/>
            <w:hideMark/>
          </w:tcPr>
          <w:p w14:paraId="0E49204D" w14:textId="77777777" w:rsidR="00806461" w:rsidRPr="00256982" w:rsidRDefault="00806461">
            <w:pPr>
              <w:pStyle w:val="TableText"/>
              <w:spacing w:before="40" w:after="40"/>
              <w:ind w:right="454"/>
              <w:jc w:val="right"/>
              <w:rPr>
                <w:i/>
              </w:rPr>
            </w:pPr>
            <w:r w:rsidRPr="00256982">
              <w:t>81.4</w:t>
            </w:r>
          </w:p>
        </w:tc>
      </w:tr>
      <w:tr w:rsidR="00806461" w:rsidRPr="00256982" w14:paraId="062678A8" w14:textId="77777777" w:rsidTr="00806461">
        <w:trPr>
          <w:jc w:val="center"/>
        </w:trPr>
        <w:tc>
          <w:tcPr>
            <w:tcW w:w="1242" w:type="dxa"/>
            <w:tcBorders>
              <w:top w:val="single" w:sz="4" w:space="0" w:color="365F91"/>
              <w:left w:val="nil"/>
              <w:bottom w:val="single" w:sz="4" w:space="0" w:color="365F91"/>
              <w:right w:val="single" w:sz="4" w:space="0" w:color="365F91"/>
            </w:tcBorders>
            <w:vAlign w:val="center"/>
            <w:hideMark/>
          </w:tcPr>
          <w:p w14:paraId="1F3B1F81" w14:textId="77777777" w:rsidR="00806461" w:rsidRPr="00256982" w:rsidRDefault="00806461">
            <w:pPr>
              <w:pStyle w:val="TableText"/>
              <w:spacing w:before="40" w:after="40"/>
              <w:jc w:val="center"/>
              <w:rPr>
                <w:i/>
                <w:vertAlign w:val="subscript"/>
              </w:rPr>
            </w:pPr>
            <w:r w:rsidRPr="00256982">
              <w:t>TiO</w:t>
            </w:r>
            <w:r w:rsidRPr="00256982">
              <w:rPr>
                <w:vertAlign w:val="subscript"/>
              </w:rPr>
              <w:t>2</w:t>
            </w:r>
          </w:p>
        </w:tc>
        <w:tc>
          <w:tcPr>
            <w:tcW w:w="1448" w:type="dxa"/>
            <w:tcBorders>
              <w:top w:val="single" w:sz="4" w:space="0" w:color="365F91"/>
              <w:left w:val="single" w:sz="4" w:space="0" w:color="365F91"/>
              <w:bottom w:val="single" w:sz="4" w:space="0" w:color="365F91"/>
              <w:right w:val="nil"/>
            </w:tcBorders>
            <w:vAlign w:val="center"/>
            <w:hideMark/>
          </w:tcPr>
          <w:p w14:paraId="3A345ED2" w14:textId="77777777" w:rsidR="00806461" w:rsidRPr="00256982" w:rsidRDefault="00806461">
            <w:pPr>
              <w:pStyle w:val="TableText"/>
              <w:spacing w:before="40" w:after="40"/>
              <w:ind w:right="454"/>
              <w:jc w:val="right"/>
              <w:rPr>
                <w:i/>
              </w:rPr>
            </w:pPr>
            <w:r w:rsidRPr="00256982">
              <w:t>7.9</w:t>
            </w:r>
          </w:p>
        </w:tc>
      </w:tr>
      <w:tr w:rsidR="00806461" w:rsidRPr="00256982" w14:paraId="29108DAA" w14:textId="77777777" w:rsidTr="00806461">
        <w:trPr>
          <w:jc w:val="center"/>
        </w:trPr>
        <w:tc>
          <w:tcPr>
            <w:tcW w:w="1242" w:type="dxa"/>
            <w:tcBorders>
              <w:top w:val="single" w:sz="4" w:space="0" w:color="365F91"/>
              <w:left w:val="nil"/>
              <w:bottom w:val="single" w:sz="4" w:space="0" w:color="365F91"/>
              <w:right w:val="single" w:sz="4" w:space="0" w:color="365F91"/>
            </w:tcBorders>
            <w:vAlign w:val="center"/>
            <w:hideMark/>
          </w:tcPr>
          <w:p w14:paraId="0CEF7AC2" w14:textId="77777777" w:rsidR="00806461" w:rsidRPr="00256982" w:rsidRDefault="00806461">
            <w:pPr>
              <w:pStyle w:val="TableText"/>
              <w:spacing w:before="40" w:after="40"/>
              <w:jc w:val="center"/>
              <w:rPr>
                <w:i/>
                <w:vertAlign w:val="subscript"/>
              </w:rPr>
            </w:pPr>
            <w:r w:rsidRPr="00256982">
              <w:t>Al</w:t>
            </w:r>
            <w:r w:rsidRPr="00256982">
              <w:rPr>
                <w:vertAlign w:val="subscript"/>
              </w:rPr>
              <w:t>2</w:t>
            </w:r>
            <w:r w:rsidRPr="00256982">
              <w:t>O</w:t>
            </w:r>
            <w:r w:rsidRPr="00256982">
              <w:rPr>
                <w:vertAlign w:val="subscript"/>
              </w:rPr>
              <w:t>3</w:t>
            </w:r>
          </w:p>
        </w:tc>
        <w:tc>
          <w:tcPr>
            <w:tcW w:w="1448" w:type="dxa"/>
            <w:tcBorders>
              <w:top w:val="single" w:sz="4" w:space="0" w:color="365F91"/>
              <w:left w:val="single" w:sz="4" w:space="0" w:color="365F91"/>
              <w:bottom w:val="single" w:sz="4" w:space="0" w:color="365F91"/>
              <w:right w:val="nil"/>
            </w:tcBorders>
            <w:vAlign w:val="center"/>
            <w:hideMark/>
          </w:tcPr>
          <w:p w14:paraId="5A452104" w14:textId="77777777" w:rsidR="00806461" w:rsidRPr="00256982" w:rsidRDefault="00806461">
            <w:pPr>
              <w:pStyle w:val="TableText"/>
              <w:spacing w:before="40" w:after="40"/>
              <w:ind w:right="454"/>
              <w:jc w:val="right"/>
              <w:rPr>
                <w:i/>
              </w:rPr>
            </w:pPr>
            <w:r w:rsidRPr="00256982">
              <w:t>3.7</w:t>
            </w:r>
          </w:p>
        </w:tc>
      </w:tr>
      <w:tr w:rsidR="00806461" w:rsidRPr="00256982" w14:paraId="19E5D4A1" w14:textId="77777777" w:rsidTr="00806461">
        <w:trPr>
          <w:jc w:val="center"/>
        </w:trPr>
        <w:tc>
          <w:tcPr>
            <w:tcW w:w="1242" w:type="dxa"/>
            <w:tcBorders>
              <w:top w:val="single" w:sz="4" w:space="0" w:color="365F91"/>
              <w:left w:val="nil"/>
              <w:bottom w:val="single" w:sz="4" w:space="0" w:color="365F91"/>
              <w:right w:val="single" w:sz="4" w:space="0" w:color="365F91"/>
            </w:tcBorders>
            <w:vAlign w:val="center"/>
            <w:hideMark/>
          </w:tcPr>
          <w:p w14:paraId="7B178C38" w14:textId="77777777" w:rsidR="00806461" w:rsidRPr="00256982" w:rsidRDefault="00806461">
            <w:pPr>
              <w:pStyle w:val="TableText"/>
              <w:spacing w:before="40" w:after="40"/>
              <w:jc w:val="center"/>
              <w:rPr>
                <w:i/>
              </w:rPr>
            </w:pPr>
            <w:r w:rsidRPr="00256982">
              <w:t>MgO</w:t>
            </w:r>
          </w:p>
        </w:tc>
        <w:tc>
          <w:tcPr>
            <w:tcW w:w="1448" w:type="dxa"/>
            <w:tcBorders>
              <w:top w:val="single" w:sz="4" w:space="0" w:color="365F91"/>
              <w:left w:val="single" w:sz="4" w:space="0" w:color="365F91"/>
              <w:bottom w:val="single" w:sz="4" w:space="0" w:color="365F91"/>
              <w:right w:val="nil"/>
            </w:tcBorders>
            <w:vAlign w:val="center"/>
            <w:hideMark/>
          </w:tcPr>
          <w:p w14:paraId="516B3BE6" w14:textId="77777777" w:rsidR="00806461" w:rsidRPr="00256982" w:rsidRDefault="00806461">
            <w:pPr>
              <w:pStyle w:val="TableText"/>
              <w:spacing w:before="40" w:after="40"/>
              <w:ind w:right="454"/>
              <w:jc w:val="right"/>
              <w:rPr>
                <w:i/>
              </w:rPr>
            </w:pPr>
            <w:r w:rsidRPr="00256982">
              <w:t>2.9</w:t>
            </w:r>
          </w:p>
        </w:tc>
      </w:tr>
      <w:tr w:rsidR="00806461" w:rsidRPr="00256982" w14:paraId="1FB47C52" w14:textId="77777777" w:rsidTr="00806461">
        <w:trPr>
          <w:jc w:val="center"/>
        </w:trPr>
        <w:tc>
          <w:tcPr>
            <w:tcW w:w="1242" w:type="dxa"/>
            <w:tcBorders>
              <w:top w:val="single" w:sz="4" w:space="0" w:color="365F91"/>
              <w:left w:val="nil"/>
              <w:bottom w:val="single" w:sz="4" w:space="0" w:color="365F91"/>
              <w:right w:val="single" w:sz="4" w:space="0" w:color="365F91"/>
            </w:tcBorders>
            <w:vAlign w:val="center"/>
            <w:hideMark/>
          </w:tcPr>
          <w:p w14:paraId="211AD173" w14:textId="77777777" w:rsidR="00806461" w:rsidRPr="00256982" w:rsidRDefault="00806461">
            <w:pPr>
              <w:pStyle w:val="TableText"/>
              <w:spacing w:before="40" w:after="40"/>
              <w:jc w:val="center"/>
              <w:rPr>
                <w:i/>
                <w:vertAlign w:val="subscript"/>
              </w:rPr>
            </w:pPr>
            <w:r w:rsidRPr="00256982">
              <w:t>SiO</w:t>
            </w:r>
            <w:r w:rsidRPr="00256982">
              <w:rPr>
                <w:vertAlign w:val="subscript"/>
              </w:rPr>
              <w:t>2</w:t>
            </w:r>
          </w:p>
        </w:tc>
        <w:tc>
          <w:tcPr>
            <w:tcW w:w="1448" w:type="dxa"/>
            <w:tcBorders>
              <w:top w:val="single" w:sz="4" w:space="0" w:color="365F91"/>
              <w:left w:val="single" w:sz="4" w:space="0" w:color="365F91"/>
              <w:bottom w:val="single" w:sz="4" w:space="0" w:color="365F91"/>
              <w:right w:val="nil"/>
            </w:tcBorders>
            <w:vAlign w:val="center"/>
            <w:hideMark/>
          </w:tcPr>
          <w:p w14:paraId="1CE1DBA8" w14:textId="77777777" w:rsidR="00806461" w:rsidRPr="00256982" w:rsidRDefault="00806461">
            <w:pPr>
              <w:pStyle w:val="TableText"/>
              <w:spacing w:before="40" w:after="40"/>
              <w:ind w:right="454"/>
              <w:jc w:val="right"/>
              <w:rPr>
                <w:i/>
              </w:rPr>
            </w:pPr>
            <w:r w:rsidRPr="00256982">
              <w:t>2.3</w:t>
            </w:r>
          </w:p>
        </w:tc>
      </w:tr>
      <w:tr w:rsidR="00806461" w:rsidRPr="00256982" w14:paraId="1FF08BD1" w14:textId="77777777" w:rsidTr="00806461">
        <w:trPr>
          <w:jc w:val="center"/>
        </w:trPr>
        <w:tc>
          <w:tcPr>
            <w:tcW w:w="1242" w:type="dxa"/>
            <w:tcBorders>
              <w:top w:val="single" w:sz="4" w:space="0" w:color="365F91"/>
              <w:left w:val="nil"/>
              <w:bottom w:val="single" w:sz="4" w:space="0" w:color="365F91"/>
              <w:right w:val="single" w:sz="4" w:space="0" w:color="365F91"/>
            </w:tcBorders>
            <w:vAlign w:val="center"/>
            <w:hideMark/>
          </w:tcPr>
          <w:p w14:paraId="6A1229C8" w14:textId="77777777" w:rsidR="00806461" w:rsidRPr="00256982" w:rsidRDefault="00806461">
            <w:pPr>
              <w:pStyle w:val="TableText"/>
              <w:spacing w:before="40" w:after="40"/>
              <w:jc w:val="center"/>
              <w:rPr>
                <w:i/>
              </w:rPr>
            </w:pPr>
            <w:r w:rsidRPr="00256982">
              <w:t>MnO</w:t>
            </w:r>
          </w:p>
        </w:tc>
        <w:tc>
          <w:tcPr>
            <w:tcW w:w="1448" w:type="dxa"/>
            <w:tcBorders>
              <w:top w:val="single" w:sz="4" w:space="0" w:color="365F91"/>
              <w:left w:val="single" w:sz="4" w:space="0" w:color="365F91"/>
              <w:bottom w:val="single" w:sz="4" w:space="0" w:color="365F91"/>
              <w:right w:val="nil"/>
            </w:tcBorders>
            <w:vAlign w:val="center"/>
            <w:hideMark/>
          </w:tcPr>
          <w:p w14:paraId="55D9CF3F" w14:textId="77777777" w:rsidR="00806461" w:rsidRPr="00256982" w:rsidRDefault="00806461">
            <w:pPr>
              <w:pStyle w:val="TableText"/>
              <w:spacing w:before="40" w:after="40"/>
              <w:ind w:right="454"/>
              <w:jc w:val="right"/>
              <w:rPr>
                <w:i/>
              </w:rPr>
            </w:pPr>
            <w:r w:rsidRPr="00256982">
              <w:t>0.6</w:t>
            </w:r>
          </w:p>
        </w:tc>
      </w:tr>
      <w:tr w:rsidR="00806461" w:rsidRPr="00256982" w14:paraId="1C71E65B" w14:textId="77777777" w:rsidTr="00806461">
        <w:trPr>
          <w:jc w:val="center"/>
        </w:trPr>
        <w:tc>
          <w:tcPr>
            <w:tcW w:w="1242" w:type="dxa"/>
            <w:tcBorders>
              <w:top w:val="single" w:sz="4" w:space="0" w:color="365F91"/>
              <w:left w:val="nil"/>
              <w:bottom w:val="single" w:sz="4" w:space="0" w:color="365F91"/>
              <w:right w:val="single" w:sz="4" w:space="0" w:color="365F91"/>
            </w:tcBorders>
            <w:vAlign w:val="center"/>
            <w:hideMark/>
          </w:tcPr>
          <w:p w14:paraId="6A3081ED" w14:textId="77777777" w:rsidR="00806461" w:rsidRPr="00256982" w:rsidRDefault="00806461">
            <w:pPr>
              <w:pStyle w:val="TableText"/>
              <w:spacing w:before="40" w:after="40"/>
              <w:jc w:val="center"/>
              <w:rPr>
                <w:i/>
              </w:rPr>
            </w:pPr>
            <w:r w:rsidRPr="00256982">
              <w:t>CaO</w:t>
            </w:r>
          </w:p>
        </w:tc>
        <w:tc>
          <w:tcPr>
            <w:tcW w:w="1448" w:type="dxa"/>
            <w:tcBorders>
              <w:top w:val="single" w:sz="4" w:space="0" w:color="365F91"/>
              <w:left w:val="single" w:sz="4" w:space="0" w:color="365F91"/>
              <w:bottom w:val="single" w:sz="4" w:space="0" w:color="365F91"/>
              <w:right w:val="nil"/>
            </w:tcBorders>
            <w:vAlign w:val="center"/>
            <w:hideMark/>
          </w:tcPr>
          <w:p w14:paraId="61F5595B" w14:textId="77777777" w:rsidR="00806461" w:rsidRPr="00256982" w:rsidRDefault="00806461">
            <w:pPr>
              <w:pStyle w:val="TableText"/>
              <w:spacing w:before="40" w:after="40"/>
              <w:ind w:right="454"/>
              <w:jc w:val="right"/>
              <w:rPr>
                <w:i/>
              </w:rPr>
            </w:pPr>
            <w:r w:rsidRPr="00256982">
              <w:t>0.5</w:t>
            </w:r>
          </w:p>
        </w:tc>
      </w:tr>
      <w:tr w:rsidR="00806461" w:rsidRPr="00256982" w14:paraId="1D558C73" w14:textId="77777777" w:rsidTr="00806461">
        <w:trPr>
          <w:jc w:val="center"/>
        </w:trPr>
        <w:tc>
          <w:tcPr>
            <w:tcW w:w="1242" w:type="dxa"/>
            <w:tcBorders>
              <w:top w:val="single" w:sz="4" w:space="0" w:color="365F91"/>
              <w:left w:val="nil"/>
              <w:bottom w:val="single" w:sz="4" w:space="0" w:color="365F91"/>
              <w:right w:val="single" w:sz="4" w:space="0" w:color="365F91"/>
            </w:tcBorders>
            <w:vAlign w:val="center"/>
            <w:hideMark/>
          </w:tcPr>
          <w:p w14:paraId="589EF2EB" w14:textId="77777777" w:rsidR="00806461" w:rsidRPr="00256982" w:rsidRDefault="00806461">
            <w:pPr>
              <w:pStyle w:val="TableText"/>
              <w:spacing w:before="40" w:after="40"/>
              <w:jc w:val="center"/>
              <w:rPr>
                <w:i/>
                <w:vertAlign w:val="subscript"/>
              </w:rPr>
            </w:pPr>
            <w:r w:rsidRPr="00256982">
              <w:t>V</w:t>
            </w:r>
            <w:r w:rsidRPr="00256982">
              <w:rPr>
                <w:vertAlign w:val="subscript"/>
              </w:rPr>
              <w:t>2</w:t>
            </w:r>
            <w:r w:rsidRPr="00256982">
              <w:t>O</w:t>
            </w:r>
            <w:r w:rsidRPr="00256982">
              <w:rPr>
                <w:vertAlign w:val="subscript"/>
              </w:rPr>
              <w:t>3</w:t>
            </w:r>
          </w:p>
        </w:tc>
        <w:tc>
          <w:tcPr>
            <w:tcW w:w="1448" w:type="dxa"/>
            <w:tcBorders>
              <w:top w:val="single" w:sz="4" w:space="0" w:color="365F91"/>
              <w:left w:val="single" w:sz="4" w:space="0" w:color="365F91"/>
              <w:bottom w:val="single" w:sz="4" w:space="0" w:color="365F91"/>
              <w:right w:val="nil"/>
            </w:tcBorders>
            <w:vAlign w:val="center"/>
            <w:hideMark/>
          </w:tcPr>
          <w:p w14:paraId="64DA149C" w14:textId="77777777" w:rsidR="00806461" w:rsidRPr="00256982" w:rsidRDefault="00806461">
            <w:pPr>
              <w:pStyle w:val="TableText"/>
              <w:spacing w:before="40" w:after="40"/>
              <w:ind w:right="454"/>
              <w:jc w:val="right"/>
              <w:rPr>
                <w:i/>
              </w:rPr>
            </w:pPr>
            <w:r w:rsidRPr="00256982">
              <w:t>0.5</w:t>
            </w:r>
          </w:p>
        </w:tc>
      </w:tr>
      <w:tr w:rsidR="00806461" w:rsidRPr="00256982" w14:paraId="031A51F4" w14:textId="77777777" w:rsidTr="00806461">
        <w:trPr>
          <w:jc w:val="center"/>
        </w:trPr>
        <w:tc>
          <w:tcPr>
            <w:tcW w:w="1242" w:type="dxa"/>
            <w:tcBorders>
              <w:top w:val="single" w:sz="4" w:space="0" w:color="365F91"/>
              <w:left w:val="nil"/>
              <w:bottom w:val="single" w:sz="4" w:space="0" w:color="365F91"/>
              <w:right w:val="single" w:sz="4" w:space="0" w:color="365F91"/>
            </w:tcBorders>
            <w:vAlign w:val="center"/>
            <w:hideMark/>
          </w:tcPr>
          <w:p w14:paraId="75F9E134" w14:textId="77777777" w:rsidR="00806461" w:rsidRPr="00256982" w:rsidRDefault="00806461">
            <w:pPr>
              <w:pStyle w:val="TableText"/>
              <w:spacing w:before="40" w:after="40"/>
              <w:jc w:val="center"/>
              <w:rPr>
                <w:i/>
              </w:rPr>
            </w:pPr>
            <w:r w:rsidRPr="00256982">
              <w:t>Zn</w:t>
            </w:r>
          </w:p>
        </w:tc>
        <w:tc>
          <w:tcPr>
            <w:tcW w:w="1448" w:type="dxa"/>
            <w:tcBorders>
              <w:top w:val="single" w:sz="4" w:space="0" w:color="365F91"/>
              <w:left w:val="single" w:sz="4" w:space="0" w:color="365F91"/>
              <w:bottom w:val="single" w:sz="4" w:space="0" w:color="365F91"/>
              <w:right w:val="nil"/>
            </w:tcBorders>
            <w:vAlign w:val="center"/>
            <w:hideMark/>
          </w:tcPr>
          <w:p w14:paraId="0E418865" w14:textId="77777777" w:rsidR="00806461" w:rsidRPr="00256982" w:rsidRDefault="00806461">
            <w:pPr>
              <w:pStyle w:val="TableText"/>
              <w:spacing w:before="40" w:after="40"/>
              <w:ind w:right="454"/>
              <w:jc w:val="right"/>
              <w:rPr>
                <w:i/>
              </w:rPr>
            </w:pPr>
            <w:r w:rsidRPr="00256982">
              <w:t>0.1</w:t>
            </w:r>
          </w:p>
        </w:tc>
      </w:tr>
      <w:tr w:rsidR="00806461" w:rsidRPr="00256982" w14:paraId="0E65D6FA" w14:textId="77777777" w:rsidTr="00806461">
        <w:trPr>
          <w:jc w:val="center"/>
        </w:trPr>
        <w:tc>
          <w:tcPr>
            <w:tcW w:w="1242" w:type="dxa"/>
            <w:tcBorders>
              <w:top w:val="single" w:sz="4" w:space="0" w:color="365F91"/>
              <w:left w:val="nil"/>
              <w:bottom w:val="single" w:sz="4" w:space="0" w:color="365F91"/>
              <w:right w:val="single" w:sz="4" w:space="0" w:color="365F91"/>
            </w:tcBorders>
            <w:vAlign w:val="center"/>
            <w:hideMark/>
          </w:tcPr>
          <w:p w14:paraId="23C6A727" w14:textId="77777777" w:rsidR="00806461" w:rsidRPr="00256982" w:rsidRDefault="00806461">
            <w:pPr>
              <w:pStyle w:val="TableText"/>
              <w:spacing w:before="40" w:after="40"/>
              <w:jc w:val="center"/>
              <w:rPr>
                <w:i/>
              </w:rPr>
            </w:pPr>
            <w:r w:rsidRPr="00256982">
              <w:t>Na</w:t>
            </w:r>
            <w:r w:rsidRPr="00256982">
              <w:rPr>
                <w:vertAlign w:val="subscript"/>
              </w:rPr>
              <w:t>2</w:t>
            </w:r>
            <w:r w:rsidRPr="00256982">
              <w:t>O</w:t>
            </w:r>
          </w:p>
        </w:tc>
        <w:tc>
          <w:tcPr>
            <w:tcW w:w="1448" w:type="dxa"/>
            <w:tcBorders>
              <w:top w:val="single" w:sz="4" w:space="0" w:color="365F91"/>
              <w:left w:val="single" w:sz="4" w:space="0" w:color="365F91"/>
              <w:bottom w:val="single" w:sz="4" w:space="0" w:color="365F91"/>
              <w:right w:val="nil"/>
            </w:tcBorders>
            <w:vAlign w:val="center"/>
            <w:hideMark/>
          </w:tcPr>
          <w:p w14:paraId="17074EC7" w14:textId="77777777" w:rsidR="00806461" w:rsidRPr="00256982" w:rsidRDefault="00806461">
            <w:pPr>
              <w:pStyle w:val="TableText"/>
              <w:spacing w:before="40" w:after="40"/>
              <w:ind w:right="454"/>
              <w:jc w:val="right"/>
              <w:rPr>
                <w:i/>
              </w:rPr>
            </w:pPr>
            <w:r w:rsidRPr="00256982">
              <w:t>0.1</w:t>
            </w:r>
          </w:p>
        </w:tc>
      </w:tr>
      <w:tr w:rsidR="00806461" w:rsidRPr="00256982" w14:paraId="3E27618C" w14:textId="77777777" w:rsidTr="00806461">
        <w:trPr>
          <w:jc w:val="center"/>
        </w:trPr>
        <w:tc>
          <w:tcPr>
            <w:tcW w:w="1242" w:type="dxa"/>
            <w:tcBorders>
              <w:top w:val="single" w:sz="4" w:space="0" w:color="365F91"/>
              <w:left w:val="nil"/>
              <w:bottom w:val="single" w:sz="4" w:space="0" w:color="365F91"/>
              <w:right w:val="single" w:sz="4" w:space="0" w:color="365F91"/>
            </w:tcBorders>
            <w:vAlign w:val="center"/>
            <w:hideMark/>
          </w:tcPr>
          <w:p w14:paraId="73F4EE83" w14:textId="77777777" w:rsidR="00806461" w:rsidRPr="00256982" w:rsidRDefault="00806461">
            <w:pPr>
              <w:pStyle w:val="TableText"/>
              <w:spacing w:before="40" w:after="40"/>
              <w:jc w:val="center"/>
              <w:rPr>
                <w:i/>
              </w:rPr>
            </w:pPr>
            <w:r w:rsidRPr="00256982">
              <w:t>Cr</w:t>
            </w:r>
          </w:p>
        </w:tc>
        <w:tc>
          <w:tcPr>
            <w:tcW w:w="1448" w:type="dxa"/>
            <w:tcBorders>
              <w:top w:val="single" w:sz="4" w:space="0" w:color="365F91"/>
              <w:left w:val="single" w:sz="4" w:space="0" w:color="365F91"/>
              <w:bottom w:val="single" w:sz="4" w:space="0" w:color="365F91"/>
              <w:right w:val="nil"/>
            </w:tcBorders>
            <w:vAlign w:val="center"/>
            <w:hideMark/>
          </w:tcPr>
          <w:p w14:paraId="166F128D" w14:textId="77777777" w:rsidR="00806461" w:rsidRPr="00256982" w:rsidRDefault="00806461">
            <w:pPr>
              <w:pStyle w:val="TableText"/>
              <w:spacing w:before="40" w:after="40"/>
              <w:ind w:right="454"/>
              <w:jc w:val="right"/>
              <w:rPr>
                <w:i/>
              </w:rPr>
            </w:pPr>
            <w:r w:rsidRPr="00256982">
              <w:t>0.0</w:t>
            </w:r>
          </w:p>
        </w:tc>
      </w:tr>
      <w:tr w:rsidR="00806461" w:rsidRPr="00256982" w14:paraId="3DCAD4CD" w14:textId="77777777" w:rsidTr="00806461">
        <w:trPr>
          <w:jc w:val="center"/>
        </w:trPr>
        <w:tc>
          <w:tcPr>
            <w:tcW w:w="1242" w:type="dxa"/>
            <w:tcBorders>
              <w:top w:val="single" w:sz="4" w:space="0" w:color="365F91"/>
              <w:left w:val="nil"/>
              <w:bottom w:val="single" w:sz="4" w:space="0" w:color="365F91"/>
              <w:right w:val="single" w:sz="4" w:space="0" w:color="365F91"/>
            </w:tcBorders>
            <w:vAlign w:val="center"/>
            <w:hideMark/>
          </w:tcPr>
          <w:p w14:paraId="07D605CA" w14:textId="77777777" w:rsidR="00806461" w:rsidRPr="00256982" w:rsidRDefault="00806461">
            <w:pPr>
              <w:pStyle w:val="TableText"/>
              <w:spacing w:before="40" w:after="40"/>
              <w:jc w:val="center"/>
              <w:rPr>
                <w:i/>
              </w:rPr>
            </w:pPr>
            <w:r w:rsidRPr="00256982">
              <w:t>P</w:t>
            </w:r>
          </w:p>
        </w:tc>
        <w:tc>
          <w:tcPr>
            <w:tcW w:w="1448" w:type="dxa"/>
            <w:tcBorders>
              <w:top w:val="single" w:sz="4" w:space="0" w:color="365F91"/>
              <w:left w:val="single" w:sz="4" w:space="0" w:color="365F91"/>
              <w:bottom w:val="single" w:sz="4" w:space="0" w:color="365F91"/>
              <w:right w:val="nil"/>
            </w:tcBorders>
            <w:vAlign w:val="center"/>
            <w:hideMark/>
          </w:tcPr>
          <w:p w14:paraId="38A8C643" w14:textId="77777777" w:rsidR="00806461" w:rsidRPr="00256982" w:rsidRDefault="00806461">
            <w:pPr>
              <w:pStyle w:val="TableText"/>
              <w:spacing w:before="40" w:after="40"/>
              <w:ind w:right="454"/>
              <w:jc w:val="right"/>
              <w:rPr>
                <w:i/>
              </w:rPr>
            </w:pPr>
            <w:r w:rsidRPr="00256982">
              <w:t>0.0</w:t>
            </w:r>
          </w:p>
        </w:tc>
      </w:tr>
      <w:tr w:rsidR="00806461" w:rsidRPr="00256982" w14:paraId="56B03D98" w14:textId="77777777" w:rsidTr="00806461">
        <w:trPr>
          <w:jc w:val="center"/>
        </w:trPr>
        <w:tc>
          <w:tcPr>
            <w:tcW w:w="1242" w:type="dxa"/>
            <w:tcBorders>
              <w:top w:val="single" w:sz="4" w:space="0" w:color="365F91"/>
              <w:left w:val="nil"/>
              <w:bottom w:val="single" w:sz="4" w:space="0" w:color="365F91"/>
              <w:right w:val="single" w:sz="4" w:space="0" w:color="365F91"/>
            </w:tcBorders>
            <w:vAlign w:val="center"/>
            <w:hideMark/>
          </w:tcPr>
          <w:p w14:paraId="29529BDC" w14:textId="77777777" w:rsidR="00806461" w:rsidRPr="00256982" w:rsidRDefault="00806461">
            <w:pPr>
              <w:pStyle w:val="TableText"/>
              <w:spacing w:before="40" w:after="40"/>
              <w:jc w:val="center"/>
              <w:rPr>
                <w:i/>
              </w:rPr>
            </w:pPr>
            <w:r w:rsidRPr="00256982">
              <w:t>K</w:t>
            </w:r>
            <w:r w:rsidRPr="00256982">
              <w:rPr>
                <w:vertAlign w:val="subscript"/>
              </w:rPr>
              <w:t>2</w:t>
            </w:r>
            <w:r w:rsidRPr="00256982">
              <w:t>O</w:t>
            </w:r>
          </w:p>
        </w:tc>
        <w:tc>
          <w:tcPr>
            <w:tcW w:w="1448" w:type="dxa"/>
            <w:tcBorders>
              <w:top w:val="single" w:sz="4" w:space="0" w:color="365F91"/>
              <w:left w:val="single" w:sz="4" w:space="0" w:color="365F91"/>
              <w:bottom w:val="single" w:sz="4" w:space="0" w:color="365F91"/>
              <w:right w:val="nil"/>
            </w:tcBorders>
            <w:vAlign w:val="center"/>
            <w:hideMark/>
          </w:tcPr>
          <w:p w14:paraId="6132032A" w14:textId="77777777" w:rsidR="00806461" w:rsidRPr="00256982" w:rsidRDefault="00806461">
            <w:pPr>
              <w:pStyle w:val="TableText"/>
              <w:spacing w:before="40" w:after="40"/>
              <w:ind w:right="454"/>
              <w:jc w:val="right"/>
              <w:rPr>
                <w:i/>
              </w:rPr>
            </w:pPr>
            <w:r w:rsidRPr="00256982">
              <w:t>0.0</w:t>
            </w:r>
          </w:p>
        </w:tc>
      </w:tr>
      <w:tr w:rsidR="00806461" w:rsidRPr="00256982" w14:paraId="2D233425" w14:textId="77777777" w:rsidTr="00806461">
        <w:trPr>
          <w:jc w:val="center"/>
        </w:trPr>
        <w:tc>
          <w:tcPr>
            <w:tcW w:w="1242" w:type="dxa"/>
            <w:tcBorders>
              <w:top w:val="single" w:sz="4" w:space="0" w:color="365F91"/>
              <w:left w:val="nil"/>
              <w:bottom w:val="single" w:sz="4" w:space="0" w:color="365F91"/>
              <w:right w:val="single" w:sz="4" w:space="0" w:color="365F91"/>
            </w:tcBorders>
            <w:vAlign w:val="center"/>
            <w:hideMark/>
          </w:tcPr>
          <w:p w14:paraId="4237DA2B" w14:textId="77777777" w:rsidR="00806461" w:rsidRPr="00256982" w:rsidRDefault="00806461">
            <w:pPr>
              <w:pStyle w:val="TableText"/>
              <w:spacing w:before="40" w:after="40"/>
              <w:jc w:val="center"/>
              <w:rPr>
                <w:i/>
              </w:rPr>
            </w:pPr>
            <w:r w:rsidRPr="00256982">
              <w:t>Cu</w:t>
            </w:r>
          </w:p>
        </w:tc>
        <w:tc>
          <w:tcPr>
            <w:tcW w:w="1448" w:type="dxa"/>
            <w:tcBorders>
              <w:top w:val="single" w:sz="4" w:space="0" w:color="365F91"/>
              <w:left w:val="single" w:sz="4" w:space="0" w:color="365F91"/>
              <w:bottom w:val="single" w:sz="4" w:space="0" w:color="365F91"/>
              <w:right w:val="nil"/>
            </w:tcBorders>
            <w:vAlign w:val="center"/>
            <w:hideMark/>
          </w:tcPr>
          <w:p w14:paraId="73B97750" w14:textId="77777777" w:rsidR="00806461" w:rsidRPr="00256982" w:rsidRDefault="00806461">
            <w:pPr>
              <w:pStyle w:val="TableText"/>
              <w:spacing w:before="40" w:after="40"/>
              <w:ind w:right="454"/>
              <w:jc w:val="right"/>
              <w:rPr>
                <w:i/>
              </w:rPr>
            </w:pPr>
            <w:r w:rsidRPr="00256982">
              <w:t>0.0</w:t>
            </w:r>
          </w:p>
        </w:tc>
      </w:tr>
      <w:tr w:rsidR="00806461" w:rsidRPr="00256982" w14:paraId="167939C7" w14:textId="77777777" w:rsidTr="00806461">
        <w:trPr>
          <w:jc w:val="center"/>
        </w:trPr>
        <w:tc>
          <w:tcPr>
            <w:tcW w:w="1242" w:type="dxa"/>
            <w:tcBorders>
              <w:top w:val="single" w:sz="4" w:space="0" w:color="365F91"/>
              <w:left w:val="nil"/>
              <w:bottom w:val="single" w:sz="4" w:space="0" w:color="365F91"/>
              <w:right w:val="single" w:sz="4" w:space="0" w:color="365F91"/>
            </w:tcBorders>
            <w:vAlign w:val="center"/>
            <w:hideMark/>
          </w:tcPr>
          <w:p w14:paraId="3A94417D" w14:textId="77777777" w:rsidR="00806461" w:rsidRPr="00256982" w:rsidRDefault="00806461">
            <w:pPr>
              <w:pStyle w:val="TableText"/>
              <w:spacing w:before="40" w:after="40"/>
              <w:jc w:val="center"/>
              <w:rPr>
                <w:i/>
              </w:rPr>
            </w:pPr>
            <w:r w:rsidRPr="00256982">
              <w:t>Sum</w:t>
            </w:r>
          </w:p>
        </w:tc>
        <w:tc>
          <w:tcPr>
            <w:tcW w:w="1448" w:type="dxa"/>
            <w:tcBorders>
              <w:top w:val="single" w:sz="4" w:space="0" w:color="365F91"/>
              <w:left w:val="single" w:sz="4" w:space="0" w:color="365F91"/>
              <w:bottom w:val="single" w:sz="4" w:space="0" w:color="365F91"/>
              <w:right w:val="nil"/>
            </w:tcBorders>
            <w:vAlign w:val="center"/>
            <w:hideMark/>
          </w:tcPr>
          <w:p w14:paraId="64A12E47" w14:textId="77777777" w:rsidR="00806461" w:rsidRPr="00256982" w:rsidRDefault="00806461">
            <w:pPr>
              <w:pStyle w:val="TableText"/>
              <w:spacing w:before="40" w:after="40"/>
              <w:ind w:right="454"/>
              <w:jc w:val="right"/>
              <w:rPr>
                <w:i/>
              </w:rPr>
            </w:pPr>
            <w:r w:rsidRPr="00256982">
              <w:t>100.0</w:t>
            </w:r>
          </w:p>
        </w:tc>
      </w:tr>
    </w:tbl>
    <w:p w14:paraId="43AA54EB" w14:textId="77777777" w:rsidR="00806461" w:rsidRPr="00256982" w:rsidRDefault="00806461" w:rsidP="00391D8B">
      <w:pPr>
        <w:pStyle w:val="BodyText"/>
        <w:keepNext/>
        <w:spacing w:before="240"/>
      </w:pPr>
      <w:r w:rsidRPr="00256982">
        <w:t>Figure 4.2.1 shows a simplified illustration of steel production in New Zealand.</w:t>
      </w:r>
    </w:p>
    <w:p w14:paraId="78889C1A" w14:textId="77777777" w:rsidR="00806461" w:rsidRPr="00256982" w:rsidRDefault="00806461" w:rsidP="00806461">
      <w:pPr>
        <w:pStyle w:val="Figure"/>
        <w:spacing w:after="0"/>
      </w:pPr>
      <w:bookmarkStart w:id="430" w:name="_Toc5269682"/>
      <w:r w:rsidRPr="00256982">
        <w:t xml:space="preserve">Figure 4.2.1 </w:t>
      </w:r>
      <w:r w:rsidRPr="00256982">
        <w:tab/>
        <w:t>Simplified schematic of iron and steel production in New Zealand</w:t>
      </w:r>
      <w:bookmarkEnd w:id="430"/>
    </w:p>
    <w:p w14:paraId="2BD97E65" w14:textId="77777777" w:rsidR="00806461" w:rsidRPr="00256982" w:rsidRDefault="00590491" w:rsidP="00806461">
      <w:pPr>
        <w:pStyle w:val="BodyText"/>
      </w:pPr>
      <w:r>
        <w:rPr>
          <w:lang w:eastAsia="en-NZ"/>
        </w:rPr>
        <w:pict w14:anchorId="1D46662D">
          <v:shape id="Picture 1" o:spid="_x0000_i1069" type="#_x0000_t75" style="width:417.75pt;height:252.75pt;visibility:visible">
            <v:imagedata r:id="rId88" o:title="" croptop="17447f" cropbottom="9401f" cropleft="13869f" cropright="17542f"/>
          </v:shape>
        </w:pict>
      </w:r>
    </w:p>
    <w:p w14:paraId="51D2A05D" w14:textId="77777777" w:rsidR="00806461" w:rsidRPr="00256982" w:rsidRDefault="00806461" w:rsidP="00806461">
      <w:pPr>
        <w:pStyle w:val="BodyText"/>
      </w:pPr>
      <w:r w:rsidRPr="00256982">
        <w:t>Nearly all of the carbon entering the process is from coal used as a reductant in the iron-making process, and nearly all of this is emitted as CO</w:t>
      </w:r>
      <w:r w:rsidRPr="00256982">
        <w:rPr>
          <w:vertAlign w:val="subscript"/>
        </w:rPr>
        <w:t>2</w:t>
      </w:r>
      <w:r w:rsidRPr="00256982">
        <w:t xml:space="preserve"> in two waste gas streams: </w:t>
      </w:r>
    </w:p>
    <w:p w14:paraId="185EE80E" w14:textId="77777777" w:rsidR="00806461" w:rsidRPr="00256982" w:rsidRDefault="00806461" w:rsidP="0036046B">
      <w:pPr>
        <w:pStyle w:val="Bullet"/>
        <w:numPr>
          <w:ilvl w:val="0"/>
          <w:numId w:val="12"/>
        </w:numPr>
      </w:pPr>
      <w:r w:rsidRPr="00256982">
        <w:t>gas generated in multihearth furnaces used to heat and dry concentrated iron sand and coal – this gas contains excess volatiles from the coal</w:t>
      </w:r>
    </w:p>
    <w:p w14:paraId="0BF91384" w14:textId="77777777" w:rsidR="00806461" w:rsidRPr="00256982" w:rsidRDefault="00806461" w:rsidP="0036046B">
      <w:pPr>
        <w:pStyle w:val="Bullet"/>
        <w:numPr>
          <w:ilvl w:val="0"/>
          <w:numId w:val="12"/>
        </w:numPr>
      </w:pPr>
      <w:r w:rsidRPr="00256982">
        <w:t xml:space="preserve">gas generated in rotary reduction kilns used to convert oxide in the iron sand to iron – this gas is rich in CO. </w:t>
      </w:r>
    </w:p>
    <w:p w14:paraId="6D6E6BCB" w14:textId="77777777" w:rsidR="00806461" w:rsidRPr="00256982" w:rsidRDefault="00806461" w:rsidP="00806461">
      <w:pPr>
        <w:pStyle w:val="BodyText"/>
      </w:pPr>
      <w:r w:rsidRPr="00256982">
        <w:t xml:space="preserve">All of this waste gas is combusted in ‘afterburners’ and used for electricity production. It would not be acceptable for gas containing coal volatiles or CO to be emitted without this combustion stage. There is no other flaring or disposal mode for the waste gases. </w:t>
      </w:r>
    </w:p>
    <w:p w14:paraId="402A3778" w14:textId="77777777" w:rsidR="00806461" w:rsidRPr="00256982" w:rsidRDefault="00806461" w:rsidP="00806461">
      <w:pPr>
        <w:pStyle w:val="BodyText"/>
      </w:pPr>
      <w:r w:rsidRPr="00256982">
        <w:lastRenderedPageBreak/>
        <w:t>Much smaller amounts of CO</w:t>
      </w:r>
      <w:r w:rsidRPr="00256982">
        <w:rPr>
          <w:vertAlign w:val="subscript"/>
        </w:rPr>
        <w:t>2</w:t>
      </w:r>
      <w:r w:rsidRPr="00256982">
        <w:t xml:space="preserve"> are derived from limestone added to the multihearth furnaces, and from additives and natural gas used in melters and steel making. </w:t>
      </w:r>
    </w:p>
    <w:p w14:paraId="2E9EBFA6" w14:textId="77777777" w:rsidR="00806461" w:rsidRPr="00256982" w:rsidRDefault="00806461" w:rsidP="00806461">
      <w:pPr>
        <w:pStyle w:val="Heading5"/>
      </w:pPr>
      <w:r w:rsidRPr="00256982">
        <w:t>Aluminium production (2.C.3)</w:t>
      </w:r>
    </w:p>
    <w:p w14:paraId="1B2B20F8" w14:textId="77777777" w:rsidR="00806461" w:rsidRPr="00256982" w:rsidRDefault="00806461" w:rsidP="00837FBE">
      <w:pPr>
        <w:pStyle w:val="BodyText"/>
        <w:spacing w:before="100"/>
      </w:pPr>
      <w:r w:rsidRPr="00256982">
        <w:t>Carbon dioxide is emitted during the oxidation of carbon anodes. The two PFCs tetrafluoromethane (CF</w:t>
      </w:r>
      <w:r w:rsidRPr="00256982">
        <w:rPr>
          <w:vertAlign w:val="subscript"/>
        </w:rPr>
        <w:t>4</w:t>
      </w:r>
      <w:r w:rsidRPr="00256982">
        <w:t>) and hexafluoroethane (C</w:t>
      </w:r>
      <w:r w:rsidRPr="00256982">
        <w:rPr>
          <w:vertAlign w:val="subscript"/>
        </w:rPr>
        <w:t>2</w:t>
      </w:r>
      <w:r w:rsidRPr="00256982">
        <w:t>F</w:t>
      </w:r>
      <w:r w:rsidRPr="00256982">
        <w:rPr>
          <w:vertAlign w:val="subscript"/>
        </w:rPr>
        <w:t>6</w:t>
      </w:r>
      <w:r w:rsidRPr="00256982">
        <w:t xml:space="preserve">) are emitted from the reduction cells used for smelting during anode effects. An anode effect occurs when the aluminium oxide concentration in the cell is low. The emissions from combustion of various fuels used in aluminium production (heavy fuel oil, liquefied petroleum gas, petrol and diesel) are reported in the Energy sector. </w:t>
      </w:r>
    </w:p>
    <w:p w14:paraId="609C7F84" w14:textId="77777777" w:rsidR="00806461" w:rsidRPr="00256982" w:rsidRDefault="00806461" w:rsidP="00837FBE">
      <w:pPr>
        <w:pStyle w:val="BodyText"/>
        <w:spacing w:before="100"/>
      </w:pPr>
      <w:r w:rsidRPr="00256982">
        <w:t xml:space="preserve">In 2017, the </w:t>
      </w:r>
      <w:r w:rsidRPr="00256982">
        <w:rPr>
          <w:i/>
        </w:rPr>
        <w:t>Aluminium production</w:t>
      </w:r>
      <w:r w:rsidRPr="00256982">
        <w:t xml:space="preserve"> category accounted for 606.6 kt CO</w:t>
      </w:r>
      <w:r w:rsidRPr="00256982">
        <w:rPr>
          <w:vertAlign w:val="subscript"/>
        </w:rPr>
        <w:t>2</w:t>
      </w:r>
      <w:r w:rsidRPr="00256982">
        <w:t xml:space="preserve">-e (25.7 per cent) of emissions from the </w:t>
      </w:r>
      <w:r w:rsidRPr="00256982">
        <w:rPr>
          <w:i/>
        </w:rPr>
        <w:t>Metal industry</w:t>
      </w:r>
      <w:r w:rsidRPr="00256982">
        <w:t xml:space="preserve"> category. Activity data (production of hot metal aluminium from the smelter) and estimates of CO</w:t>
      </w:r>
      <w:r w:rsidRPr="00256982">
        <w:rPr>
          <w:vertAlign w:val="subscript"/>
        </w:rPr>
        <w:t xml:space="preserve">2 </w:t>
      </w:r>
      <w:r w:rsidRPr="00256982">
        <w:t>and PFC emissions were supplied by NZAS to MBIE until 2010. From 2011 to 2017, the CO</w:t>
      </w:r>
      <w:r w:rsidRPr="00256982">
        <w:rPr>
          <w:vertAlign w:val="subscript"/>
        </w:rPr>
        <w:t>2</w:t>
      </w:r>
      <w:r w:rsidRPr="00256982">
        <w:t xml:space="preserve"> and PFC emissions data and activity data have been sourced from the company’s NZ ETS reporting. </w:t>
      </w:r>
    </w:p>
    <w:p w14:paraId="6ED4D859" w14:textId="77777777" w:rsidR="00806461" w:rsidRPr="00256982" w:rsidRDefault="00806461" w:rsidP="00806461">
      <w:pPr>
        <w:pStyle w:val="Heading5"/>
      </w:pPr>
      <w:r w:rsidRPr="00256982">
        <w:t>Magnesium and other metal production</w:t>
      </w:r>
    </w:p>
    <w:p w14:paraId="767CAFA9" w14:textId="77777777" w:rsidR="00806461" w:rsidRPr="00256982" w:rsidRDefault="00806461" w:rsidP="00837FBE">
      <w:pPr>
        <w:pStyle w:val="BodyText"/>
        <w:spacing w:before="100"/>
      </w:pPr>
      <w:r w:rsidRPr="00256982">
        <w:t>From 1990 to 1999 a very small amount of SF</w:t>
      </w:r>
      <w:r w:rsidRPr="00256982">
        <w:rPr>
          <w:vertAlign w:val="subscript"/>
        </w:rPr>
        <w:t>6</w:t>
      </w:r>
      <w:r w:rsidRPr="00256982">
        <w:t xml:space="preserve"> was used as a cover gas in a magnesium foundry. Emissions are estimated based on an approximate estimate of the amount of SF</w:t>
      </w:r>
      <w:r w:rsidRPr="00256982">
        <w:rPr>
          <w:vertAlign w:val="subscript"/>
        </w:rPr>
        <w:t>6</w:t>
      </w:r>
      <w:r w:rsidRPr="00256982">
        <w:t xml:space="preserve"> that was used (2.C.4). No other activity data are available (CRL Energy, </w:t>
      </w:r>
      <w:r w:rsidRPr="00256982">
        <w:rPr>
          <w:rFonts w:eastAsia="+mn-ea"/>
        </w:rPr>
        <w:t>unpublished(b)</w:t>
      </w:r>
      <w:r w:rsidRPr="00256982">
        <w:t xml:space="preserve">). </w:t>
      </w:r>
    </w:p>
    <w:p w14:paraId="286BE4CD" w14:textId="77777777" w:rsidR="00806461" w:rsidRPr="00256982" w:rsidRDefault="00806461" w:rsidP="00837FBE">
      <w:pPr>
        <w:pStyle w:val="BodyText"/>
        <w:spacing w:before="100"/>
      </w:pPr>
      <w:r w:rsidRPr="00256982">
        <w:t>A very small amount of CO</w:t>
      </w:r>
      <w:r w:rsidRPr="00256982">
        <w:rPr>
          <w:vertAlign w:val="subscript"/>
        </w:rPr>
        <w:t>2</w:t>
      </w:r>
      <w:r w:rsidRPr="00256982">
        <w:t xml:space="preserve"> emissions was also reported from secondary lead production between 1990 and 2015, with the approximate recycled lead output as the activity data. This production has now stopped. The only other metal production that occurs in New Zealand is gold and silver mining. No emissions are reported from these activities. </w:t>
      </w:r>
    </w:p>
    <w:p w14:paraId="4E35506F" w14:textId="77777777" w:rsidR="00806461" w:rsidRPr="00256982" w:rsidRDefault="00806461" w:rsidP="00A72006">
      <w:pPr>
        <w:pStyle w:val="Heading4"/>
      </w:pPr>
      <w:r w:rsidRPr="00256982">
        <w:t>Choice of methods</w:t>
      </w:r>
    </w:p>
    <w:p w14:paraId="6E5B827F" w14:textId="77777777" w:rsidR="00806461" w:rsidRPr="00256982" w:rsidRDefault="00806461" w:rsidP="00806461">
      <w:pPr>
        <w:pStyle w:val="Heading5"/>
        <w:spacing w:before="160"/>
      </w:pPr>
      <w:r w:rsidRPr="00256982">
        <w:t>Iron and steel production (2.C.1 and 2.C.1.a)</w:t>
      </w:r>
    </w:p>
    <w:p w14:paraId="47AA299D" w14:textId="77777777" w:rsidR="00806461" w:rsidRPr="00256982" w:rsidRDefault="00806461" w:rsidP="00837FBE">
      <w:pPr>
        <w:pStyle w:val="BodyText"/>
        <w:spacing w:before="100" w:after="100"/>
      </w:pPr>
      <w:r w:rsidRPr="00256982">
        <w:t>The IPCC Tier 2 approach is used for calculating CO</w:t>
      </w:r>
      <w:r w:rsidRPr="00256982">
        <w:rPr>
          <w:vertAlign w:val="subscript"/>
        </w:rPr>
        <w:t>2</w:t>
      </w:r>
      <w:r w:rsidRPr="00256982">
        <w:t xml:space="preserve"> emissions from the iron and steel plant operated by New Zealand Steel Limited. Emissions from pig iron and steel production are not estimated separately because all of the iron made is processed into steel. This is a mass balance approach in which all carbon in inputs is assumed to be emitted, except the small amount sequestered in the steel produced. </w:t>
      </w:r>
    </w:p>
    <w:p w14:paraId="660B4007" w14:textId="77777777" w:rsidR="00806461" w:rsidRPr="00256982" w:rsidRDefault="00806461" w:rsidP="00837FBE">
      <w:pPr>
        <w:pStyle w:val="BodyText"/>
        <w:spacing w:before="100" w:after="100"/>
      </w:pPr>
      <w:r w:rsidRPr="00256982">
        <w:t>Most of the input carbon comes from the coal used as a reductant. There are also some CO</w:t>
      </w:r>
      <w:r w:rsidRPr="00256982">
        <w:rPr>
          <w:vertAlign w:val="subscript"/>
        </w:rPr>
        <w:t>2</w:t>
      </w:r>
      <w:r w:rsidRPr="00256982">
        <w:t xml:space="preserve"> emissions from the use of limestone in iron and steel production. These emissions are reported in the </w:t>
      </w:r>
      <w:r w:rsidRPr="00256982">
        <w:rPr>
          <w:i/>
        </w:rPr>
        <w:t>Mineral industry</w:t>
      </w:r>
      <w:r w:rsidRPr="00256982">
        <w:t xml:space="preserve"> source category (2.A.4.d), to preserve the confidentiality of data on limestone use supplied by companies in the </w:t>
      </w:r>
      <w:r w:rsidRPr="00256982">
        <w:rPr>
          <w:i/>
        </w:rPr>
        <w:t>Glass production</w:t>
      </w:r>
      <w:r w:rsidRPr="00256982">
        <w:t xml:space="preserve"> category. A very small amount of CO</w:t>
      </w:r>
      <w:r w:rsidRPr="00256982">
        <w:rPr>
          <w:vertAlign w:val="subscript"/>
        </w:rPr>
        <w:t>2</w:t>
      </w:r>
      <w:r w:rsidRPr="00256982">
        <w:t xml:space="preserve"> from other carbon-containing inputs (coke and electrodes) is also included. </w:t>
      </w:r>
    </w:p>
    <w:p w14:paraId="58A43E22" w14:textId="77777777" w:rsidR="00806461" w:rsidRPr="00256982" w:rsidRDefault="00806461" w:rsidP="00837FBE">
      <w:pPr>
        <w:pStyle w:val="BodyText"/>
        <w:spacing w:before="100" w:after="100"/>
      </w:pPr>
      <w:r w:rsidRPr="00256982">
        <w:t xml:space="preserve">Emissions from the production of steel by Pacific Steel have also been estimated using the Tier 2 mass balance approach. The average carbon content (0.20 per cent by mass) in the finished product is subtracted from the total carbon in inputs to obtain the amount of carbon emitted. Due to limited process data collected and retained by Pacific Steel in the past, emissions for the years 1990 to 1999 were calculated using the average of the implied emission factors for 2000–08 based on production volume. </w:t>
      </w:r>
    </w:p>
    <w:p w14:paraId="2FF08647" w14:textId="77777777" w:rsidR="00806461" w:rsidRPr="00256982" w:rsidRDefault="00806461" w:rsidP="00806461">
      <w:pPr>
        <w:pStyle w:val="Heading5"/>
      </w:pPr>
      <w:r w:rsidRPr="00256982">
        <w:t>Aluminium production (2.C.3)</w:t>
      </w:r>
    </w:p>
    <w:p w14:paraId="395C2929" w14:textId="77777777" w:rsidR="00806461" w:rsidRPr="00256982" w:rsidRDefault="00806461" w:rsidP="00837FBE">
      <w:pPr>
        <w:pStyle w:val="BodyText"/>
        <w:spacing w:before="100"/>
      </w:pPr>
      <w:r w:rsidRPr="00256982">
        <w:t>NZAS calculates the process CO</w:t>
      </w:r>
      <w:r w:rsidRPr="00256982">
        <w:rPr>
          <w:vertAlign w:val="subscript"/>
        </w:rPr>
        <w:t>2</w:t>
      </w:r>
      <w:r w:rsidRPr="00256982">
        <w:t xml:space="preserve"> emissions using the International Aluminium Institute’s Tier 3 method (International Aluminium Institute, 2006, equations 1–3), which is compliant with the IPCC 2006a Tier 2 method. The same method is used in NZ ETS reporting for aluminium </w:t>
      </w:r>
      <w:r w:rsidRPr="00256982">
        <w:lastRenderedPageBreak/>
        <w:t xml:space="preserve">smelting. This method breaks the prebake anode process into three stages: baked anode consumption, pitch volatiles consumption and packing coke consumption. </w:t>
      </w:r>
    </w:p>
    <w:p w14:paraId="1FA3DBCB" w14:textId="77777777" w:rsidR="00806461" w:rsidRPr="00256982" w:rsidRDefault="00806461" w:rsidP="00806461">
      <w:pPr>
        <w:pStyle w:val="BodyText"/>
      </w:pPr>
      <w:r w:rsidRPr="00256982">
        <w:t>Also, NZAS adds soda ash to the reduction cells to maintain the electrolyte chemical composition. This results in CO</w:t>
      </w:r>
      <w:r w:rsidRPr="00256982">
        <w:rPr>
          <w:vertAlign w:val="subscript"/>
        </w:rPr>
        <w:t>2</w:t>
      </w:r>
      <w:r w:rsidRPr="00256982">
        <w:t xml:space="preserve"> emissions as a by-product. These emissions are reported in the </w:t>
      </w:r>
      <w:r w:rsidRPr="00256982">
        <w:rPr>
          <w:i/>
        </w:rPr>
        <w:t>Mineral industry</w:t>
      </w:r>
      <w:r w:rsidRPr="00256982">
        <w:t xml:space="preserve"> source category (2.A.4.b), to preserve the confidentiality of data on soda ash use supplied by companies in the </w:t>
      </w:r>
      <w:r w:rsidRPr="00256982">
        <w:rPr>
          <w:i/>
        </w:rPr>
        <w:t>Glass production</w:t>
      </w:r>
      <w:r w:rsidRPr="00256982">
        <w:t xml:space="preserve"> category. </w:t>
      </w:r>
    </w:p>
    <w:p w14:paraId="6C33C2AD" w14:textId="77777777" w:rsidR="00806461" w:rsidRPr="00256982" w:rsidRDefault="00806461" w:rsidP="00806461">
      <w:pPr>
        <w:pStyle w:val="BodyText"/>
      </w:pPr>
      <w:r w:rsidRPr="00256982">
        <w:t>Data on the duration of anode effects at the smelter are available for 1993 and later years. Perfluorocarbon (CF</w:t>
      </w:r>
      <w:r w:rsidRPr="00256982">
        <w:rPr>
          <w:vertAlign w:val="subscript"/>
        </w:rPr>
        <w:t>4</w:t>
      </w:r>
      <w:r w:rsidRPr="00256982">
        <w:t xml:space="preserve"> and C</w:t>
      </w:r>
      <w:r w:rsidRPr="00256982">
        <w:rPr>
          <w:vertAlign w:val="subscript"/>
        </w:rPr>
        <w:t>2</w:t>
      </w:r>
      <w:r w:rsidRPr="00256982">
        <w:t>F</w:t>
      </w:r>
      <w:r w:rsidRPr="00256982">
        <w:rPr>
          <w:vertAlign w:val="subscript"/>
        </w:rPr>
        <w:t>6</w:t>
      </w:r>
      <w:r w:rsidRPr="00256982">
        <w:t xml:space="preserve">) emissions from aluminium production are estimated using: </w:t>
      </w:r>
    </w:p>
    <w:p w14:paraId="18C04F13" w14:textId="77777777" w:rsidR="00806461" w:rsidRPr="00256982" w:rsidRDefault="00806461" w:rsidP="0036046B">
      <w:pPr>
        <w:pStyle w:val="Bullet"/>
        <w:numPr>
          <w:ilvl w:val="0"/>
          <w:numId w:val="12"/>
        </w:numPr>
      </w:pPr>
      <w:r w:rsidRPr="00256982">
        <w:t xml:space="preserve">the IPCC Tier 1 method for the years 1990 and 1991. The data needed to apply a Tier 2 method are not available </w:t>
      </w:r>
    </w:p>
    <w:p w14:paraId="24A658DB" w14:textId="77777777" w:rsidR="00806461" w:rsidRPr="00256982" w:rsidRDefault="00806461" w:rsidP="0036046B">
      <w:pPr>
        <w:pStyle w:val="Bullet"/>
        <w:numPr>
          <w:ilvl w:val="0"/>
          <w:numId w:val="12"/>
        </w:numPr>
      </w:pPr>
      <w:r w:rsidRPr="00256982">
        <w:t xml:space="preserve">interpolation for 1992; at this time, there was still no recording of anode effect duration </w:t>
      </w:r>
    </w:p>
    <w:p w14:paraId="1CAB91F1" w14:textId="77777777" w:rsidR="00806461" w:rsidRPr="00256982" w:rsidRDefault="00806461" w:rsidP="0036046B">
      <w:pPr>
        <w:pStyle w:val="Bullet"/>
        <w:numPr>
          <w:ilvl w:val="0"/>
          <w:numId w:val="12"/>
        </w:numPr>
      </w:pPr>
      <w:r w:rsidRPr="00256982">
        <w:t xml:space="preserve">the IPCC Tier 2 method (using slope coefficients) from 1993 to 2017. This methodology is replicated in the reporting requirements the company now uses in its NZ ETS returns. </w:t>
      </w:r>
    </w:p>
    <w:p w14:paraId="7D0A8FDB" w14:textId="77777777" w:rsidR="00806461" w:rsidRPr="00256982" w:rsidRDefault="00806461" w:rsidP="00806461">
      <w:pPr>
        <w:pStyle w:val="BodyText"/>
        <w:rPr>
          <w:spacing w:val="-2"/>
        </w:rPr>
      </w:pPr>
      <w:r w:rsidRPr="00256982">
        <w:rPr>
          <w:spacing w:val="-2"/>
        </w:rPr>
        <w:t xml:space="preserve">There are no current plans to directly measure PFC emissions at the smelter, so it is not likely that site-specific slope coefficients (required for the use of Tier 3) will be available for some time. </w:t>
      </w:r>
    </w:p>
    <w:p w14:paraId="193DC570" w14:textId="77777777" w:rsidR="00806461" w:rsidRPr="00256982" w:rsidRDefault="00806461" w:rsidP="00806461">
      <w:pPr>
        <w:pStyle w:val="Heading5"/>
      </w:pPr>
      <w:r w:rsidRPr="00256982">
        <w:t>Magnesium production (2.C.4)</w:t>
      </w:r>
    </w:p>
    <w:p w14:paraId="71CC1D58" w14:textId="77777777" w:rsidR="00806461" w:rsidRPr="00256982" w:rsidRDefault="00806461" w:rsidP="00806461">
      <w:pPr>
        <w:pStyle w:val="BodyText"/>
      </w:pPr>
      <w:r w:rsidRPr="00256982">
        <w:t>Emissions are estimated based on an approximate estimate of the amount of SF</w:t>
      </w:r>
      <w:r w:rsidRPr="00256982">
        <w:rPr>
          <w:vertAlign w:val="subscript"/>
        </w:rPr>
        <w:t>6</w:t>
      </w:r>
      <w:r w:rsidRPr="00256982">
        <w:t xml:space="preserve"> that was used as cover gas and on the basis that all SF</w:t>
      </w:r>
      <w:r w:rsidRPr="00256982">
        <w:rPr>
          <w:vertAlign w:val="subscript"/>
        </w:rPr>
        <w:t>6</w:t>
      </w:r>
      <w:r w:rsidRPr="00256982">
        <w:t xml:space="preserve"> used is emitted. The method is Tier 1. </w:t>
      </w:r>
    </w:p>
    <w:p w14:paraId="3E8EB9FF" w14:textId="77777777" w:rsidR="00806461" w:rsidRPr="00256982" w:rsidRDefault="00806461" w:rsidP="00806461">
      <w:pPr>
        <w:pStyle w:val="Heading5"/>
      </w:pPr>
      <w:r w:rsidRPr="00256982">
        <w:t>Lead production (2.C.5)</w:t>
      </w:r>
    </w:p>
    <w:p w14:paraId="04823D63" w14:textId="77777777" w:rsidR="00806461" w:rsidRPr="00256982" w:rsidRDefault="00806461" w:rsidP="00806461">
      <w:pPr>
        <w:pStyle w:val="BodyText"/>
      </w:pPr>
      <w:r w:rsidRPr="00256982">
        <w:t xml:space="preserve">The Tier 1 methodology is used. </w:t>
      </w:r>
    </w:p>
    <w:p w14:paraId="1379B8F6" w14:textId="77777777" w:rsidR="00806461" w:rsidRPr="00256982" w:rsidRDefault="00806461" w:rsidP="00A72006">
      <w:pPr>
        <w:pStyle w:val="Heading4"/>
        <w:rPr>
          <w:bCs/>
          <w:iCs/>
        </w:rPr>
      </w:pPr>
      <w:r w:rsidRPr="00256982">
        <w:t>Choice of emission factors</w:t>
      </w:r>
    </w:p>
    <w:p w14:paraId="3FB97F79" w14:textId="77777777" w:rsidR="00806461" w:rsidRPr="00256982" w:rsidRDefault="00806461" w:rsidP="00806461">
      <w:pPr>
        <w:pStyle w:val="Heading5"/>
        <w:spacing w:before="160"/>
      </w:pPr>
      <w:r w:rsidRPr="00256982">
        <w:t>Carbon dioxide</w:t>
      </w:r>
    </w:p>
    <w:p w14:paraId="4A5C1115" w14:textId="77777777" w:rsidR="00806461" w:rsidRPr="00256982" w:rsidRDefault="00806461" w:rsidP="00806461">
      <w:pPr>
        <w:pStyle w:val="BodyText"/>
      </w:pPr>
      <w:r w:rsidRPr="00256982">
        <w:t>Plant-specific emission factors are applied for the sub-bituminous coal used as a reducing agent in iron and steel production. For the early years, the coal emission factor was 0.0937 tonnes of CO</w:t>
      </w:r>
      <w:r w:rsidRPr="00256982">
        <w:rPr>
          <w:vertAlign w:val="subscript"/>
        </w:rPr>
        <w:t>2</w:t>
      </w:r>
      <w:r w:rsidRPr="00256982">
        <w:t xml:space="preserve"> per gigajoule. Plant-specific emission factors are also used for other carbon-containing inputs in both the </w:t>
      </w:r>
      <w:r w:rsidRPr="00256982">
        <w:rPr>
          <w:i/>
        </w:rPr>
        <w:t>Iron and steel production</w:t>
      </w:r>
      <w:r w:rsidRPr="00256982">
        <w:t xml:space="preserve"> and </w:t>
      </w:r>
      <w:r w:rsidRPr="00256982">
        <w:rPr>
          <w:i/>
        </w:rPr>
        <w:t>Aluminium production</w:t>
      </w:r>
      <w:r w:rsidRPr="00256982">
        <w:t xml:space="preserve"> categories. </w:t>
      </w:r>
    </w:p>
    <w:p w14:paraId="49084173" w14:textId="77777777" w:rsidR="00806461" w:rsidRPr="00256982" w:rsidRDefault="00806461" w:rsidP="00806461">
      <w:pPr>
        <w:pStyle w:val="BodyText"/>
      </w:pPr>
      <w:r w:rsidRPr="00256982">
        <w:t>For secondary lead production, the IPCC default emission factor (0.2 tonnes of CO</w:t>
      </w:r>
      <w:r w:rsidRPr="00256982">
        <w:rPr>
          <w:vertAlign w:val="subscript"/>
        </w:rPr>
        <w:t>2</w:t>
      </w:r>
      <w:r w:rsidRPr="00256982">
        <w:t xml:space="preserve"> per tonne of lead recycled) is used. </w:t>
      </w:r>
    </w:p>
    <w:p w14:paraId="5CC3A50E" w14:textId="77777777" w:rsidR="00806461" w:rsidRPr="00256982" w:rsidRDefault="00806461" w:rsidP="00806461">
      <w:pPr>
        <w:pStyle w:val="Heading5"/>
        <w:spacing w:before="200"/>
      </w:pPr>
      <w:r w:rsidRPr="00256982">
        <w:t>Perfluorocarbons and SF</w:t>
      </w:r>
      <w:r w:rsidRPr="00256982">
        <w:rPr>
          <w:vertAlign w:val="subscript"/>
        </w:rPr>
        <w:t>6</w:t>
      </w:r>
      <w:r w:rsidRPr="00256982">
        <w:t xml:space="preserve"> </w:t>
      </w:r>
    </w:p>
    <w:p w14:paraId="589FE07A" w14:textId="77777777" w:rsidR="00806461" w:rsidRPr="00256982" w:rsidRDefault="00806461" w:rsidP="00806461">
      <w:pPr>
        <w:pStyle w:val="BodyText"/>
      </w:pPr>
      <w:r w:rsidRPr="00256982">
        <w:t>Default emission factors (slope coefficients) are used for emissions of CF</w:t>
      </w:r>
      <w:r w:rsidRPr="00256982">
        <w:rPr>
          <w:vertAlign w:val="subscript"/>
        </w:rPr>
        <w:t>4</w:t>
      </w:r>
      <w:r w:rsidRPr="00256982">
        <w:t xml:space="preserve"> and C</w:t>
      </w:r>
      <w:r w:rsidRPr="00256982">
        <w:rPr>
          <w:vertAlign w:val="subscript"/>
        </w:rPr>
        <w:t>2</w:t>
      </w:r>
      <w:r w:rsidRPr="00256982">
        <w:t>F</w:t>
      </w:r>
      <w:r w:rsidRPr="00256982">
        <w:rPr>
          <w:vertAlign w:val="subscript"/>
        </w:rPr>
        <w:t>6</w:t>
      </w:r>
      <w:r w:rsidRPr="00256982">
        <w:t xml:space="preserve"> from aluminium production. For the emissions in 1990 to 1992, when data on the duration of anode effects are not available and a Tier 1 method is used, the default emission factors of 0.4 kilograms CF</w:t>
      </w:r>
      <w:r w:rsidRPr="00256982">
        <w:rPr>
          <w:vertAlign w:val="subscript"/>
        </w:rPr>
        <w:t>4</w:t>
      </w:r>
      <w:r w:rsidRPr="00256982">
        <w:t xml:space="preserve"> and 0.04 kilograms C</w:t>
      </w:r>
      <w:r w:rsidRPr="00256982">
        <w:rPr>
          <w:vertAlign w:val="subscript"/>
        </w:rPr>
        <w:t>2</w:t>
      </w:r>
      <w:r w:rsidRPr="00256982">
        <w:t>F</w:t>
      </w:r>
      <w:r w:rsidRPr="00256982">
        <w:rPr>
          <w:vertAlign w:val="subscript"/>
        </w:rPr>
        <w:t>6</w:t>
      </w:r>
      <w:r w:rsidRPr="00256982">
        <w:t xml:space="preserve"> per tonne of aluminium are used. </w:t>
      </w:r>
    </w:p>
    <w:p w14:paraId="087392B9" w14:textId="77777777" w:rsidR="00806461" w:rsidRPr="00256982" w:rsidRDefault="00806461" w:rsidP="00806461">
      <w:pPr>
        <w:pStyle w:val="BodyText"/>
      </w:pPr>
      <w:r w:rsidRPr="00256982">
        <w:t>Emissions of SF</w:t>
      </w:r>
      <w:r w:rsidRPr="00256982">
        <w:rPr>
          <w:vertAlign w:val="subscript"/>
        </w:rPr>
        <w:t>6</w:t>
      </w:r>
      <w:r w:rsidRPr="00256982">
        <w:t xml:space="preserve"> used in magnesium casting are considered to be immediate. </w:t>
      </w:r>
    </w:p>
    <w:p w14:paraId="54D073FC" w14:textId="77777777" w:rsidR="00806461" w:rsidRPr="00256982" w:rsidRDefault="00806461" w:rsidP="00806461">
      <w:pPr>
        <w:pStyle w:val="Heading5"/>
        <w:spacing w:before="200"/>
      </w:pPr>
      <w:r w:rsidRPr="00256982">
        <w:t>Indirect emissions</w:t>
      </w:r>
    </w:p>
    <w:p w14:paraId="5BFE6DE7" w14:textId="77777777" w:rsidR="00806461" w:rsidRPr="00256982" w:rsidRDefault="00806461" w:rsidP="00806461">
      <w:pPr>
        <w:pStyle w:val="BodyText"/>
      </w:pPr>
      <w:r w:rsidRPr="00256982">
        <w:t>Emissions of indirect greenhouse gases (CO, SO</w:t>
      </w:r>
      <w:r w:rsidRPr="00256982">
        <w:rPr>
          <w:vertAlign w:val="subscript"/>
        </w:rPr>
        <w:t>2</w:t>
      </w:r>
      <w:r w:rsidRPr="00256982">
        <w:t xml:space="preserve"> and NO</w:t>
      </w:r>
      <w:r w:rsidRPr="00256982">
        <w:rPr>
          <w:vertAlign w:val="subscript"/>
        </w:rPr>
        <w:t>x</w:t>
      </w:r>
      <w:r w:rsidRPr="00256982">
        <w:t xml:space="preserve">) are reported for the </w:t>
      </w:r>
      <w:r w:rsidRPr="00256982">
        <w:rPr>
          <w:i/>
        </w:rPr>
        <w:t>Iron and steel</w:t>
      </w:r>
      <w:r w:rsidRPr="00256982">
        <w:t xml:space="preserve"> </w:t>
      </w:r>
      <w:r w:rsidRPr="00256982">
        <w:rPr>
          <w:i/>
        </w:rPr>
        <w:t>production</w:t>
      </w:r>
      <w:r w:rsidRPr="00256982">
        <w:t xml:space="preserve"> and </w:t>
      </w:r>
      <w:r w:rsidRPr="00256982">
        <w:rPr>
          <w:i/>
        </w:rPr>
        <w:t>Aluminium production</w:t>
      </w:r>
      <w:r w:rsidRPr="00256982">
        <w:t xml:space="preserve"> categories. These are based on a mass balance calculation (for SO</w:t>
      </w:r>
      <w:r w:rsidRPr="00256982">
        <w:rPr>
          <w:vertAlign w:val="subscript"/>
        </w:rPr>
        <w:t>2</w:t>
      </w:r>
      <w:r w:rsidRPr="00256982">
        <w:t xml:space="preserve">) and a mix of plant-specific emission factors and IPCC defaults for other gases (CRL Energy, </w:t>
      </w:r>
      <w:r w:rsidRPr="00256982">
        <w:rPr>
          <w:rFonts w:eastAsia="+mn-ea"/>
        </w:rPr>
        <w:t>unpublished(a)</w:t>
      </w:r>
      <w:r w:rsidRPr="00256982">
        <w:t xml:space="preserve">). </w:t>
      </w:r>
    </w:p>
    <w:p w14:paraId="4ACB0B36" w14:textId="77777777" w:rsidR="00806461" w:rsidRPr="00256982" w:rsidRDefault="00806461" w:rsidP="001D3490">
      <w:pPr>
        <w:pStyle w:val="Heading3"/>
      </w:pPr>
      <w:r w:rsidRPr="00256982">
        <w:lastRenderedPageBreak/>
        <w:t xml:space="preserve">4.4.3 </w:t>
      </w:r>
      <w:r w:rsidRPr="00256982">
        <w:tab/>
        <w:t>Uncertainties and time-series consistency</w:t>
      </w:r>
    </w:p>
    <w:p w14:paraId="6A79FDB7" w14:textId="77777777" w:rsidR="00806461" w:rsidRPr="00256982" w:rsidRDefault="00806461" w:rsidP="00A72006">
      <w:pPr>
        <w:pStyle w:val="Heading4"/>
        <w:rPr>
          <w:bCs/>
          <w:iCs/>
        </w:rPr>
      </w:pPr>
      <w:r w:rsidRPr="00256982">
        <w:t>Uncertainties</w:t>
      </w:r>
    </w:p>
    <w:p w14:paraId="65075348" w14:textId="77777777" w:rsidR="00806461" w:rsidRPr="00256982" w:rsidRDefault="00806461" w:rsidP="00806461">
      <w:pPr>
        <w:pStyle w:val="BodyText"/>
      </w:pPr>
      <w:r w:rsidRPr="00256982">
        <w:t>IPCC default uncertainties have been used for activity data (see table 4.4.2). For the CO</w:t>
      </w:r>
      <w:r w:rsidRPr="00256982">
        <w:rPr>
          <w:vertAlign w:val="subscript"/>
        </w:rPr>
        <w:t>2</w:t>
      </w:r>
      <w:r w:rsidRPr="00256982">
        <w:t xml:space="preserve"> emission factors in the </w:t>
      </w:r>
      <w:r w:rsidRPr="00256982">
        <w:rPr>
          <w:i/>
        </w:rPr>
        <w:t>Iron and steel production</w:t>
      </w:r>
      <w:r w:rsidRPr="00256982">
        <w:t xml:space="preserve"> category, an uncertainty of ±7 per cent was assessed to reflect some uncertainty in the carbon content of the product. An uncertainty of ±30 per cent was assessed for PFCs reflecting the use of Tier 1 methods for the first three years. The uncertainties for indirect gases were assessed on a site-specific basis at the time the data were collected (CRL Energy, </w:t>
      </w:r>
      <w:r w:rsidRPr="00256982">
        <w:rPr>
          <w:rFonts w:eastAsia="+mn-ea"/>
        </w:rPr>
        <w:t>unpublished(a)</w:t>
      </w:r>
      <w:r w:rsidRPr="00256982">
        <w:t xml:space="preserve">). </w:t>
      </w:r>
    </w:p>
    <w:p w14:paraId="6512F062" w14:textId="77777777" w:rsidR="00806461" w:rsidRPr="00256982" w:rsidRDefault="00806461" w:rsidP="00806461">
      <w:pPr>
        <w:pStyle w:val="Table"/>
      </w:pPr>
      <w:bookmarkStart w:id="431" w:name="_Toc451176071"/>
      <w:bookmarkStart w:id="432" w:name="_Toc5269461"/>
      <w:r w:rsidRPr="00256982">
        <w:t>Table 4.4.2</w:t>
      </w:r>
      <w:r w:rsidRPr="00256982">
        <w:tab/>
        <w:t>Uncertainty in emissions from the metal industry</w:t>
      </w:r>
      <w:bookmarkEnd w:id="431"/>
      <w:bookmarkEnd w:id="432"/>
    </w:p>
    <w:tbl>
      <w:tblPr>
        <w:tblW w:w="8562" w:type="dxa"/>
        <w:tblInd w:w="108" w:type="dxa"/>
        <w:tblBorders>
          <w:top w:val="single" w:sz="6" w:space="0" w:color="365F91"/>
          <w:bottom w:val="single" w:sz="6" w:space="0" w:color="365F91"/>
          <w:insideH w:val="single" w:sz="6" w:space="0" w:color="365F91"/>
        </w:tblBorders>
        <w:tblLook w:val="04A0" w:firstRow="1" w:lastRow="0" w:firstColumn="1" w:lastColumn="0" w:noHBand="0" w:noVBand="1"/>
      </w:tblPr>
      <w:tblGrid>
        <w:gridCol w:w="2435"/>
        <w:gridCol w:w="2976"/>
        <w:gridCol w:w="3151"/>
      </w:tblGrid>
      <w:tr w:rsidR="00806461" w:rsidRPr="00256982" w14:paraId="673C6F15" w14:textId="77777777" w:rsidTr="00806461">
        <w:tc>
          <w:tcPr>
            <w:tcW w:w="2435" w:type="dxa"/>
            <w:tcBorders>
              <w:top w:val="single" w:sz="4" w:space="0" w:color="365F91"/>
              <w:left w:val="nil"/>
              <w:bottom w:val="single" w:sz="4" w:space="0" w:color="365F91"/>
              <w:right w:val="nil"/>
            </w:tcBorders>
            <w:shd w:val="clear" w:color="auto" w:fill="365F91"/>
            <w:hideMark/>
          </w:tcPr>
          <w:p w14:paraId="229CC9C7" w14:textId="77777777" w:rsidR="00806461" w:rsidRPr="00256982" w:rsidRDefault="00806461">
            <w:pPr>
              <w:pStyle w:val="TableTextBold"/>
              <w:keepNext/>
              <w:rPr>
                <w:noProof w:val="0"/>
                <w:color w:val="FFFFFF"/>
              </w:rPr>
            </w:pPr>
            <w:r w:rsidRPr="00256982">
              <w:rPr>
                <w:noProof w:val="0"/>
                <w:color w:val="FFFFFF"/>
              </w:rPr>
              <w:t>Category</w:t>
            </w:r>
          </w:p>
        </w:tc>
        <w:tc>
          <w:tcPr>
            <w:tcW w:w="2976" w:type="dxa"/>
            <w:tcBorders>
              <w:top w:val="single" w:sz="4" w:space="0" w:color="365F91"/>
              <w:left w:val="nil"/>
              <w:bottom w:val="single" w:sz="4" w:space="0" w:color="365F91"/>
              <w:right w:val="nil"/>
            </w:tcBorders>
            <w:shd w:val="clear" w:color="auto" w:fill="365F91"/>
            <w:hideMark/>
          </w:tcPr>
          <w:p w14:paraId="73F59987" w14:textId="77777777" w:rsidR="00806461" w:rsidRPr="00256982" w:rsidRDefault="00806461">
            <w:pPr>
              <w:pStyle w:val="TableTextBold"/>
              <w:keepNext/>
              <w:rPr>
                <w:noProof w:val="0"/>
                <w:color w:val="FFFFFF"/>
              </w:rPr>
            </w:pPr>
            <w:r w:rsidRPr="00256982">
              <w:rPr>
                <w:noProof w:val="0"/>
                <w:color w:val="FFFFFF"/>
              </w:rPr>
              <w:t>Uncertainty in activity data (%)</w:t>
            </w:r>
          </w:p>
        </w:tc>
        <w:tc>
          <w:tcPr>
            <w:tcW w:w="3151" w:type="dxa"/>
            <w:tcBorders>
              <w:top w:val="single" w:sz="4" w:space="0" w:color="365F91"/>
              <w:left w:val="nil"/>
              <w:bottom w:val="single" w:sz="4" w:space="0" w:color="365F91"/>
              <w:right w:val="nil"/>
            </w:tcBorders>
            <w:shd w:val="clear" w:color="auto" w:fill="365F91"/>
            <w:hideMark/>
          </w:tcPr>
          <w:p w14:paraId="300FBFC3" w14:textId="77777777" w:rsidR="00806461" w:rsidRPr="00256982" w:rsidRDefault="00806461">
            <w:pPr>
              <w:pStyle w:val="TableTextBold"/>
              <w:keepNext/>
              <w:rPr>
                <w:noProof w:val="0"/>
                <w:color w:val="FFFFFF"/>
              </w:rPr>
            </w:pPr>
            <w:r w:rsidRPr="00256982">
              <w:rPr>
                <w:noProof w:val="0"/>
                <w:color w:val="FFFFFF"/>
              </w:rPr>
              <w:t>Uncertainty in emission factors (%)</w:t>
            </w:r>
          </w:p>
        </w:tc>
      </w:tr>
      <w:tr w:rsidR="00806461" w:rsidRPr="00256982" w14:paraId="517F5B48" w14:textId="77777777" w:rsidTr="00806461">
        <w:tc>
          <w:tcPr>
            <w:tcW w:w="2435" w:type="dxa"/>
            <w:tcBorders>
              <w:top w:val="single" w:sz="4" w:space="0" w:color="365F91"/>
              <w:left w:val="nil"/>
              <w:bottom w:val="single" w:sz="6" w:space="0" w:color="365F91"/>
              <w:right w:val="nil"/>
            </w:tcBorders>
            <w:shd w:val="clear" w:color="auto" w:fill="FFFFFF"/>
            <w:hideMark/>
          </w:tcPr>
          <w:p w14:paraId="147E7144" w14:textId="77777777" w:rsidR="00806461" w:rsidRPr="00256982" w:rsidRDefault="00806461">
            <w:pPr>
              <w:pStyle w:val="TableText"/>
              <w:keepNext/>
            </w:pPr>
            <w:r w:rsidRPr="00256982">
              <w:t>Iron and steel (CO</w:t>
            </w:r>
            <w:r w:rsidRPr="00256982">
              <w:rPr>
                <w:vertAlign w:val="subscript"/>
              </w:rPr>
              <w:t>2</w:t>
            </w:r>
            <w:r w:rsidRPr="00256982">
              <w:t>)</w:t>
            </w:r>
          </w:p>
        </w:tc>
        <w:tc>
          <w:tcPr>
            <w:tcW w:w="2976" w:type="dxa"/>
            <w:tcBorders>
              <w:top w:val="single" w:sz="4" w:space="0" w:color="365F91"/>
              <w:left w:val="nil"/>
              <w:bottom w:val="single" w:sz="6" w:space="0" w:color="365F91"/>
              <w:right w:val="nil"/>
            </w:tcBorders>
            <w:shd w:val="clear" w:color="auto" w:fill="FFFFFF"/>
            <w:hideMark/>
          </w:tcPr>
          <w:p w14:paraId="51CC021D" w14:textId="77777777" w:rsidR="00806461" w:rsidRPr="00256982" w:rsidRDefault="00806461">
            <w:pPr>
              <w:pStyle w:val="TableText"/>
              <w:keepNext/>
              <w:ind w:right="964"/>
              <w:jc w:val="right"/>
            </w:pPr>
            <w:r w:rsidRPr="00256982">
              <w:t>±5</w:t>
            </w:r>
          </w:p>
        </w:tc>
        <w:tc>
          <w:tcPr>
            <w:tcW w:w="3151" w:type="dxa"/>
            <w:tcBorders>
              <w:top w:val="single" w:sz="4" w:space="0" w:color="365F91"/>
              <w:left w:val="nil"/>
              <w:bottom w:val="single" w:sz="6" w:space="0" w:color="365F91"/>
              <w:right w:val="nil"/>
            </w:tcBorders>
            <w:shd w:val="clear" w:color="auto" w:fill="FFFFFF"/>
            <w:hideMark/>
          </w:tcPr>
          <w:p w14:paraId="1A79E628" w14:textId="77777777" w:rsidR="00806461" w:rsidRPr="00256982" w:rsidRDefault="00806461">
            <w:pPr>
              <w:pStyle w:val="TableText"/>
              <w:keepNext/>
              <w:ind w:right="964"/>
              <w:jc w:val="right"/>
            </w:pPr>
            <w:r w:rsidRPr="00256982">
              <w:t>±7</w:t>
            </w:r>
          </w:p>
        </w:tc>
      </w:tr>
      <w:tr w:rsidR="00806461" w:rsidRPr="00256982" w14:paraId="79EA98A4" w14:textId="77777777" w:rsidTr="00806461">
        <w:tc>
          <w:tcPr>
            <w:tcW w:w="2435" w:type="dxa"/>
            <w:tcBorders>
              <w:top w:val="single" w:sz="6" w:space="0" w:color="365F91"/>
              <w:left w:val="nil"/>
              <w:bottom w:val="single" w:sz="6" w:space="0" w:color="365F91"/>
              <w:right w:val="nil"/>
            </w:tcBorders>
            <w:shd w:val="clear" w:color="auto" w:fill="FFFFFF"/>
            <w:hideMark/>
          </w:tcPr>
          <w:p w14:paraId="1DDDAF54" w14:textId="77777777" w:rsidR="00806461" w:rsidRPr="00256982" w:rsidRDefault="00806461">
            <w:pPr>
              <w:pStyle w:val="TableText"/>
              <w:keepNext/>
            </w:pPr>
            <w:r w:rsidRPr="00256982">
              <w:t>Iron and steel (CO)</w:t>
            </w:r>
          </w:p>
        </w:tc>
        <w:tc>
          <w:tcPr>
            <w:tcW w:w="2976" w:type="dxa"/>
            <w:tcBorders>
              <w:top w:val="single" w:sz="6" w:space="0" w:color="365F91"/>
              <w:left w:val="nil"/>
              <w:bottom w:val="single" w:sz="6" w:space="0" w:color="365F91"/>
              <w:right w:val="nil"/>
            </w:tcBorders>
            <w:shd w:val="clear" w:color="auto" w:fill="FFFFFF"/>
            <w:hideMark/>
          </w:tcPr>
          <w:p w14:paraId="5C9BD8A5" w14:textId="77777777" w:rsidR="00806461" w:rsidRPr="00256982" w:rsidRDefault="00806461">
            <w:pPr>
              <w:pStyle w:val="TableText"/>
              <w:keepNext/>
              <w:ind w:right="964"/>
              <w:jc w:val="right"/>
            </w:pPr>
            <w:r w:rsidRPr="00256982">
              <w:t>±5</w:t>
            </w:r>
          </w:p>
        </w:tc>
        <w:tc>
          <w:tcPr>
            <w:tcW w:w="3151" w:type="dxa"/>
            <w:tcBorders>
              <w:top w:val="single" w:sz="6" w:space="0" w:color="365F91"/>
              <w:left w:val="nil"/>
              <w:bottom w:val="single" w:sz="6" w:space="0" w:color="365F91"/>
              <w:right w:val="nil"/>
            </w:tcBorders>
            <w:shd w:val="clear" w:color="auto" w:fill="FFFFFF"/>
            <w:hideMark/>
          </w:tcPr>
          <w:p w14:paraId="61D31572" w14:textId="77777777" w:rsidR="00806461" w:rsidRPr="00256982" w:rsidRDefault="00806461">
            <w:pPr>
              <w:pStyle w:val="TableText"/>
              <w:keepNext/>
              <w:ind w:right="964"/>
              <w:jc w:val="right"/>
            </w:pPr>
            <w:r w:rsidRPr="00256982">
              <w:t>±30</w:t>
            </w:r>
          </w:p>
        </w:tc>
      </w:tr>
      <w:tr w:rsidR="00806461" w:rsidRPr="00256982" w14:paraId="0C6947E0" w14:textId="77777777" w:rsidTr="00806461">
        <w:tc>
          <w:tcPr>
            <w:tcW w:w="2435" w:type="dxa"/>
            <w:tcBorders>
              <w:top w:val="single" w:sz="6" w:space="0" w:color="365F91"/>
              <w:left w:val="nil"/>
              <w:bottom w:val="single" w:sz="6" w:space="0" w:color="365F91"/>
              <w:right w:val="nil"/>
            </w:tcBorders>
            <w:shd w:val="clear" w:color="auto" w:fill="FFFFFF"/>
            <w:hideMark/>
          </w:tcPr>
          <w:p w14:paraId="37EED0CD" w14:textId="77777777" w:rsidR="00806461" w:rsidRPr="00256982" w:rsidRDefault="00806461">
            <w:pPr>
              <w:pStyle w:val="TableText"/>
            </w:pPr>
            <w:r w:rsidRPr="00256982">
              <w:t>Iron and steel (NO</w:t>
            </w:r>
            <w:r w:rsidRPr="00256982">
              <w:rPr>
                <w:vertAlign w:val="subscript"/>
              </w:rPr>
              <w:t>x</w:t>
            </w:r>
            <w:r w:rsidRPr="00256982">
              <w:t>)</w:t>
            </w:r>
          </w:p>
        </w:tc>
        <w:tc>
          <w:tcPr>
            <w:tcW w:w="2976" w:type="dxa"/>
            <w:tcBorders>
              <w:top w:val="single" w:sz="6" w:space="0" w:color="365F91"/>
              <w:left w:val="nil"/>
              <w:bottom w:val="single" w:sz="6" w:space="0" w:color="365F91"/>
              <w:right w:val="nil"/>
            </w:tcBorders>
            <w:shd w:val="clear" w:color="auto" w:fill="FFFFFF"/>
            <w:hideMark/>
          </w:tcPr>
          <w:p w14:paraId="5FCD20D0" w14:textId="77777777" w:rsidR="00806461" w:rsidRPr="00256982" w:rsidRDefault="00806461">
            <w:pPr>
              <w:pStyle w:val="TableText"/>
              <w:ind w:right="964"/>
              <w:jc w:val="right"/>
            </w:pPr>
            <w:r w:rsidRPr="00256982">
              <w:t>±5</w:t>
            </w:r>
          </w:p>
        </w:tc>
        <w:tc>
          <w:tcPr>
            <w:tcW w:w="3151" w:type="dxa"/>
            <w:tcBorders>
              <w:top w:val="single" w:sz="6" w:space="0" w:color="365F91"/>
              <w:left w:val="nil"/>
              <w:bottom w:val="single" w:sz="6" w:space="0" w:color="365F91"/>
              <w:right w:val="nil"/>
            </w:tcBorders>
            <w:shd w:val="clear" w:color="auto" w:fill="FFFFFF"/>
            <w:hideMark/>
          </w:tcPr>
          <w:p w14:paraId="5B70AB52" w14:textId="77777777" w:rsidR="00806461" w:rsidRPr="00256982" w:rsidRDefault="00806461">
            <w:pPr>
              <w:pStyle w:val="TableText"/>
              <w:ind w:right="964"/>
              <w:jc w:val="right"/>
            </w:pPr>
            <w:r w:rsidRPr="00256982">
              <w:t>±70</w:t>
            </w:r>
          </w:p>
        </w:tc>
      </w:tr>
      <w:tr w:rsidR="00806461" w:rsidRPr="00256982" w14:paraId="28AD5EF8" w14:textId="77777777" w:rsidTr="00806461">
        <w:tc>
          <w:tcPr>
            <w:tcW w:w="2435" w:type="dxa"/>
            <w:tcBorders>
              <w:top w:val="single" w:sz="6" w:space="0" w:color="365F91"/>
              <w:left w:val="nil"/>
              <w:bottom w:val="single" w:sz="6" w:space="0" w:color="365F91"/>
              <w:right w:val="nil"/>
            </w:tcBorders>
            <w:shd w:val="clear" w:color="auto" w:fill="FFFFFF"/>
            <w:hideMark/>
          </w:tcPr>
          <w:p w14:paraId="3DF7231C" w14:textId="77777777" w:rsidR="00806461" w:rsidRPr="00256982" w:rsidRDefault="00806461">
            <w:pPr>
              <w:pStyle w:val="TableText"/>
            </w:pPr>
            <w:r w:rsidRPr="00256982">
              <w:t>Aluminium (CO</w:t>
            </w:r>
            <w:r w:rsidRPr="00256982">
              <w:rPr>
                <w:vertAlign w:val="subscript"/>
              </w:rPr>
              <w:t>2</w:t>
            </w:r>
            <w:r w:rsidRPr="00256982">
              <w:t>)</w:t>
            </w:r>
          </w:p>
        </w:tc>
        <w:tc>
          <w:tcPr>
            <w:tcW w:w="2976" w:type="dxa"/>
            <w:tcBorders>
              <w:top w:val="single" w:sz="6" w:space="0" w:color="365F91"/>
              <w:left w:val="nil"/>
              <w:bottom w:val="single" w:sz="6" w:space="0" w:color="365F91"/>
              <w:right w:val="nil"/>
            </w:tcBorders>
            <w:shd w:val="clear" w:color="auto" w:fill="FFFFFF"/>
            <w:hideMark/>
          </w:tcPr>
          <w:p w14:paraId="4D0AAEA1" w14:textId="77777777" w:rsidR="00806461" w:rsidRPr="00256982" w:rsidRDefault="00806461">
            <w:pPr>
              <w:pStyle w:val="TableText"/>
              <w:ind w:right="964"/>
              <w:jc w:val="right"/>
            </w:pPr>
            <w:r w:rsidRPr="00256982">
              <w:t>±5</w:t>
            </w:r>
          </w:p>
        </w:tc>
        <w:tc>
          <w:tcPr>
            <w:tcW w:w="3151" w:type="dxa"/>
            <w:tcBorders>
              <w:top w:val="single" w:sz="6" w:space="0" w:color="365F91"/>
              <w:left w:val="nil"/>
              <w:bottom w:val="single" w:sz="6" w:space="0" w:color="365F91"/>
              <w:right w:val="nil"/>
            </w:tcBorders>
            <w:shd w:val="clear" w:color="auto" w:fill="FFFFFF"/>
            <w:hideMark/>
          </w:tcPr>
          <w:p w14:paraId="2DDA3EF1" w14:textId="77777777" w:rsidR="00806461" w:rsidRPr="00256982" w:rsidRDefault="00806461">
            <w:pPr>
              <w:pStyle w:val="TableText"/>
              <w:ind w:right="964"/>
              <w:jc w:val="right"/>
            </w:pPr>
            <w:r w:rsidRPr="00256982">
              <w:t>±2</w:t>
            </w:r>
          </w:p>
        </w:tc>
      </w:tr>
      <w:tr w:rsidR="00806461" w:rsidRPr="00256982" w14:paraId="5ED559AD" w14:textId="77777777" w:rsidTr="00806461">
        <w:tc>
          <w:tcPr>
            <w:tcW w:w="2435" w:type="dxa"/>
            <w:tcBorders>
              <w:top w:val="single" w:sz="6" w:space="0" w:color="365F91"/>
              <w:left w:val="nil"/>
              <w:bottom w:val="single" w:sz="6" w:space="0" w:color="365F91"/>
              <w:right w:val="nil"/>
            </w:tcBorders>
            <w:shd w:val="clear" w:color="auto" w:fill="FFFFFF"/>
            <w:hideMark/>
          </w:tcPr>
          <w:p w14:paraId="1E212B82" w14:textId="77777777" w:rsidR="00806461" w:rsidRPr="00256982" w:rsidRDefault="00806461">
            <w:pPr>
              <w:pStyle w:val="TableText"/>
            </w:pPr>
            <w:r w:rsidRPr="00256982">
              <w:t>Aluminium (PFCs)</w:t>
            </w:r>
          </w:p>
        </w:tc>
        <w:tc>
          <w:tcPr>
            <w:tcW w:w="2976" w:type="dxa"/>
            <w:tcBorders>
              <w:top w:val="single" w:sz="6" w:space="0" w:color="365F91"/>
              <w:left w:val="nil"/>
              <w:bottom w:val="single" w:sz="6" w:space="0" w:color="365F91"/>
              <w:right w:val="nil"/>
            </w:tcBorders>
            <w:shd w:val="clear" w:color="auto" w:fill="FFFFFF"/>
            <w:hideMark/>
          </w:tcPr>
          <w:p w14:paraId="798EE4C7" w14:textId="77777777" w:rsidR="00806461" w:rsidRPr="00256982" w:rsidRDefault="00806461">
            <w:pPr>
              <w:pStyle w:val="TableText"/>
              <w:ind w:right="964"/>
              <w:jc w:val="right"/>
            </w:pPr>
            <w:r w:rsidRPr="00256982">
              <w:t>±5</w:t>
            </w:r>
          </w:p>
        </w:tc>
        <w:tc>
          <w:tcPr>
            <w:tcW w:w="3151" w:type="dxa"/>
            <w:tcBorders>
              <w:top w:val="single" w:sz="6" w:space="0" w:color="365F91"/>
              <w:left w:val="nil"/>
              <w:bottom w:val="single" w:sz="6" w:space="0" w:color="365F91"/>
              <w:right w:val="nil"/>
            </w:tcBorders>
            <w:shd w:val="clear" w:color="auto" w:fill="FFFFFF"/>
            <w:hideMark/>
          </w:tcPr>
          <w:p w14:paraId="79EB9C3A" w14:textId="77777777" w:rsidR="00806461" w:rsidRPr="00256982" w:rsidRDefault="00806461">
            <w:pPr>
              <w:pStyle w:val="TableText"/>
              <w:ind w:right="964"/>
              <w:jc w:val="right"/>
            </w:pPr>
            <w:r w:rsidRPr="00256982">
              <w:t>±30</w:t>
            </w:r>
          </w:p>
        </w:tc>
      </w:tr>
      <w:tr w:rsidR="00806461" w:rsidRPr="00256982" w14:paraId="05F08D57" w14:textId="77777777" w:rsidTr="00806461">
        <w:tc>
          <w:tcPr>
            <w:tcW w:w="2435" w:type="dxa"/>
            <w:tcBorders>
              <w:top w:val="single" w:sz="6" w:space="0" w:color="365F91"/>
              <w:left w:val="nil"/>
              <w:bottom w:val="single" w:sz="6" w:space="0" w:color="365F91"/>
              <w:right w:val="nil"/>
            </w:tcBorders>
            <w:shd w:val="clear" w:color="auto" w:fill="FFFFFF"/>
            <w:hideMark/>
          </w:tcPr>
          <w:p w14:paraId="39DE1E63" w14:textId="77777777" w:rsidR="00806461" w:rsidRPr="00256982" w:rsidRDefault="00806461">
            <w:pPr>
              <w:pStyle w:val="TableText"/>
            </w:pPr>
            <w:r w:rsidRPr="00256982">
              <w:t>Aluminium (SO</w:t>
            </w:r>
            <w:r w:rsidRPr="00256982">
              <w:rPr>
                <w:vertAlign w:val="subscript"/>
              </w:rPr>
              <w:t>2</w:t>
            </w:r>
            <w:r w:rsidRPr="00256982">
              <w:t>)</w:t>
            </w:r>
          </w:p>
        </w:tc>
        <w:tc>
          <w:tcPr>
            <w:tcW w:w="2976" w:type="dxa"/>
            <w:tcBorders>
              <w:top w:val="single" w:sz="6" w:space="0" w:color="365F91"/>
              <w:left w:val="nil"/>
              <w:bottom w:val="single" w:sz="6" w:space="0" w:color="365F91"/>
              <w:right w:val="nil"/>
            </w:tcBorders>
            <w:shd w:val="clear" w:color="auto" w:fill="FFFFFF"/>
            <w:hideMark/>
          </w:tcPr>
          <w:p w14:paraId="19407BF5" w14:textId="77777777" w:rsidR="00806461" w:rsidRPr="00256982" w:rsidRDefault="00806461">
            <w:pPr>
              <w:pStyle w:val="TableText"/>
              <w:ind w:right="964"/>
              <w:jc w:val="right"/>
            </w:pPr>
            <w:r w:rsidRPr="00256982">
              <w:t>±5</w:t>
            </w:r>
          </w:p>
        </w:tc>
        <w:tc>
          <w:tcPr>
            <w:tcW w:w="3151" w:type="dxa"/>
            <w:tcBorders>
              <w:top w:val="single" w:sz="6" w:space="0" w:color="365F91"/>
              <w:left w:val="nil"/>
              <w:bottom w:val="single" w:sz="6" w:space="0" w:color="365F91"/>
              <w:right w:val="nil"/>
            </w:tcBorders>
            <w:shd w:val="clear" w:color="auto" w:fill="FFFFFF"/>
            <w:hideMark/>
          </w:tcPr>
          <w:p w14:paraId="59E01E20" w14:textId="77777777" w:rsidR="00806461" w:rsidRPr="00256982" w:rsidRDefault="00806461">
            <w:pPr>
              <w:pStyle w:val="TableText"/>
              <w:ind w:right="964"/>
              <w:jc w:val="right"/>
            </w:pPr>
            <w:r w:rsidRPr="00256982">
              <w:t>±5</w:t>
            </w:r>
          </w:p>
        </w:tc>
      </w:tr>
      <w:tr w:rsidR="00806461" w:rsidRPr="00256982" w14:paraId="39EDD3D1" w14:textId="77777777" w:rsidTr="00806461">
        <w:tc>
          <w:tcPr>
            <w:tcW w:w="2435" w:type="dxa"/>
            <w:tcBorders>
              <w:top w:val="single" w:sz="6" w:space="0" w:color="365F91"/>
              <w:left w:val="nil"/>
              <w:bottom w:val="single" w:sz="6" w:space="0" w:color="365F91"/>
              <w:right w:val="nil"/>
            </w:tcBorders>
            <w:shd w:val="clear" w:color="auto" w:fill="FFFFFF"/>
            <w:hideMark/>
          </w:tcPr>
          <w:p w14:paraId="786B02AB" w14:textId="77777777" w:rsidR="00806461" w:rsidRPr="00256982" w:rsidRDefault="00806461">
            <w:pPr>
              <w:pStyle w:val="TableText"/>
            </w:pPr>
            <w:r w:rsidRPr="00256982">
              <w:t>Aluminium (CO)</w:t>
            </w:r>
          </w:p>
        </w:tc>
        <w:tc>
          <w:tcPr>
            <w:tcW w:w="2976" w:type="dxa"/>
            <w:tcBorders>
              <w:top w:val="single" w:sz="6" w:space="0" w:color="365F91"/>
              <w:left w:val="nil"/>
              <w:bottom w:val="single" w:sz="6" w:space="0" w:color="365F91"/>
              <w:right w:val="nil"/>
            </w:tcBorders>
            <w:shd w:val="clear" w:color="auto" w:fill="FFFFFF"/>
            <w:hideMark/>
          </w:tcPr>
          <w:p w14:paraId="3C523F93" w14:textId="77777777" w:rsidR="00806461" w:rsidRPr="00256982" w:rsidRDefault="00806461">
            <w:pPr>
              <w:pStyle w:val="TableText"/>
              <w:ind w:right="964"/>
              <w:jc w:val="right"/>
            </w:pPr>
            <w:r w:rsidRPr="00256982">
              <w:t>±5</w:t>
            </w:r>
          </w:p>
        </w:tc>
        <w:tc>
          <w:tcPr>
            <w:tcW w:w="3151" w:type="dxa"/>
            <w:tcBorders>
              <w:top w:val="single" w:sz="6" w:space="0" w:color="365F91"/>
              <w:left w:val="nil"/>
              <w:bottom w:val="single" w:sz="6" w:space="0" w:color="365F91"/>
              <w:right w:val="nil"/>
            </w:tcBorders>
            <w:shd w:val="clear" w:color="auto" w:fill="FFFFFF"/>
            <w:hideMark/>
          </w:tcPr>
          <w:p w14:paraId="3A5DC225" w14:textId="77777777" w:rsidR="00806461" w:rsidRPr="00256982" w:rsidRDefault="00806461">
            <w:pPr>
              <w:pStyle w:val="TableText"/>
              <w:ind w:right="964"/>
              <w:jc w:val="right"/>
            </w:pPr>
            <w:r w:rsidRPr="00256982">
              <w:t>±40</w:t>
            </w:r>
          </w:p>
        </w:tc>
      </w:tr>
      <w:tr w:rsidR="00806461" w:rsidRPr="00256982" w14:paraId="773CD905" w14:textId="77777777" w:rsidTr="00806461">
        <w:tc>
          <w:tcPr>
            <w:tcW w:w="2435" w:type="dxa"/>
            <w:tcBorders>
              <w:top w:val="single" w:sz="6" w:space="0" w:color="365F91"/>
              <w:left w:val="nil"/>
              <w:bottom w:val="single" w:sz="6" w:space="0" w:color="365F91"/>
              <w:right w:val="nil"/>
            </w:tcBorders>
            <w:shd w:val="clear" w:color="auto" w:fill="FFFFFF"/>
            <w:hideMark/>
          </w:tcPr>
          <w:p w14:paraId="73E3D29D" w14:textId="77777777" w:rsidR="00806461" w:rsidRPr="00256982" w:rsidRDefault="00806461">
            <w:pPr>
              <w:pStyle w:val="TableText"/>
            </w:pPr>
            <w:r w:rsidRPr="00256982">
              <w:t>Aluminium (NO</w:t>
            </w:r>
            <w:r w:rsidRPr="00256982">
              <w:rPr>
                <w:vertAlign w:val="subscript"/>
              </w:rPr>
              <w:t>x</w:t>
            </w:r>
            <w:r w:rsidRPr="00256982">
              <w:t>)</w:t>
            </w:r>
          </w:p>
        </w:tc>
        <w:tc>
          <w:tcPr>
            <w:tcW w:w="2976" w:type="dxa"/>
            <w:tcBorders>
              <w:top w:val="single" w:sz="6" w:space="0" w:color="365F91"/>
              <w:left w:val="nil"/>
              <w:bottom w:val="single" w:sz="6" w:space="0" w:color="365F91"/>
              <w:right w:val="nil"/>
            </w:tcBorders>
            <w:shd w:val="clear" w:color="auto" w:fill="FFFFFF"/>
            <w:hideMark/>
          </w:tcPr>
          <w:p w14:paraId="0613BB23" w14:textId="77777777" w:rsidR="00806461" w:rsidRPr="00256982" w:rsidRDefault="00806461">
            <w:pPr>
              <w:pStyle w:val="TableText"/>
              <w:ind w:right="964"/>
              <w:jc w:val="right"/>
            </w:pPr>
            <w:r w:rsidRPr="00256982">
              <w:t>±5</w:t>
            </w:r>
          </w:p>
        </w:tc>
        <w:tc>
          <w:tcPr>
            <w:tcW w:w="3151" w:type="dxa"/>
            <w:tcBorders>
              <w:top w:val="single" w:sz="6" w:space="0" w:color="365F91"/>
              <w:left w:val="nil"/>
              <w:bottom w:val="single" w:sz="6" w:space="0" w:color="365F91"/>
              <w:right w:val="nil"/>
            </w:tcBorders>
            <w:shd w:val="clear" w:color="auto" w:fill="FFFFFF"/>
            <w:hideMark/>
          </w:tcPr>
          <w:p w14:paraId="3DFEE8FC" w14:textId="77777777" w:rsidR="00806461" w:rsidRPr="00256982" w:rsidRDefault="00806461">
            <w:pPr>
              <w:pStyle w:val="TableText"/>
              <w:ind w:right="964"/>
              <w:jc w:val="right"/>
            </w:pPr>
            <w:r w:rsidRPr="00256982">
              <w:t>±50</w:t>
            </w:r>
          </w:p>
        </w:tc>
      </w:tr>
      <w:tr w:rsidR="00806461" w:rsidRPr="00256982" w14:paraId="47D4E366" w14:textId="77777777" w:rsidTr="00806461">
        <w:tc>
          <w:tcPr>
            <w:tcW w:w="2435" w:type="dxa"/>
            <w:tcBorders>
              <w:top w:val="single" w:sz="6" w:space="0" w:color="365F91"/>
              <w:left w:val="nil"/>
              <w:bottom w:val="single" w:sz="6" w:space="0" w:color="365F91"/>
              <w:right w:val="nil"/>
            </w:tcBorders>
            <w:shd w:val="clear" w:color="auto" w:fill="FFFFFF"/>
            <w:hideMark/>
          </w:tcPr>
          <w:p w14:paraId="745E8DF9" w14:textId="77777777" w:rsidR="00806461" w:rsidRPr="00256982" w:rsidRDefault="00806461">
            <w:pPr>
              <w:pStyle w:val="TableText"/>
            </w:pPr>
            <w:r w:rsidRPr="00256982">
              <w:t>Magnesium (SF</w:t>
            </w:r>
            <w:r w:rsidRPr="00256982">
              <w:rPr>
                <w:vertAlign w:val="subscript"/>
              </w:rPr>
              <w:t>6</w:t>
            </w:r>
            <w:r w:rsidRPr="00256982">
              <w:t>)</w:t>
            </w:r>
          </w:p>
        </w:tc>
        <w:tc>
          <w:tcPr>
            <w:tcW w:w="2976" w:type="dxa"/>
            <w:tcBorders>
              <w:top w:val="single" w:sz="6" w:space="0" w:color="365F91"/>
              <w:left w:val="nil"/>
              <w:bottom w:val="single" w:sz="6" w:space="0" w:color="365F91"/>
              <w:right w:val="nil"/>
            </w:tcBorders>
            <w:shd w:val="clear" w:color="auto" w:fill="FFFFFF"/>
            <w:hideMark/>
          </w:tcPr>
          <w:p w14:paraId="6A797EB8" w14:textId="77777777" w:rsidR="00806461" w:rsidRPr="00256982" w:rsidRDefault="00806461">
            <w:pPr>
              <w:pStyle w:val="TableText"/>
              <w:ind w:right="964"/>
              <w:jc w:val="right"/>
            </w:pPr>
            <w:r w:rsidRPr="00256982">
              <w:t>±100</w:t>
            </w:r>
          </w:p>
        </w:tc>
        <w:tc>
          <w:tcPr>
            <w:tcW w:w="3151" w:type="dxa"/>
            <w:tcBorders>
              <w:top w:val="single" w:sz="6" w:space="0" w:color="365F91"/>
              <w:left w:val="nil"/>
              <w:bottom w:val="single" w:sz="6" w:space="0" w:color="365F91"/>
              <w:right w:val="nil"/>
            </w:tcBorders>
            <w:shd w:val="clear" w:color="auto" w:fill="FFFFFF"/>
            <w:hideMark/>
          </w:tcPr>
          <w:p w14:paraId="51FF3D06" w14:textId="77777777" w:rsidR="00806461" w:rsidRPr="00256982" w:rsidRDefault="00806461">
            <w:pPr>
              <w:pStyle w:val="TableText"/>
              <w:ind w:right="964"/>
              <w:jc w:val="right"/>
            </w:pPr>
            <w:r w:rsidRPr="00256982">
              <w:t>–</w:t>
            </w:r>
          </w:p>
        </w:tc>
      </w:tr>
      <w:tr w:rsidR="00806461" w:rsidRPr="00256982" w14:paraId="18E8761C" w14:textId="77777777" w:rsidTr="00806461">
        <w:tc>
          <w:tcPr>
            <w:tcW w:w="2435" w:type="dxa"/>
            <w:tcBorders>
              <w:top w:val="single" w:sz="6" w:space="0" w:color="365F91"/>
              <w:left w:val="nil"/>
              <w:bottom w:val="single" w:sz="6" w:space="0" w:color="365F91"/>
              <w:right w:val="nil"/>
            </w:tcBorders>
            <w:shd w:val="clear" w:color="auto" w:fill="FFFFFF"/>
            <w:hideMark/>
          </w:tcPr>
          <w:p w14:paraId="4D24A030" w14:textId="77777777" w:rsidR="00806461" w:rsidRPr="00256982" w:rsidRDefault="00806461">
            <w:pPr>
              <w:pStyle w:val="TableText"/>
            </w:pPr>
            <w:r w:rsidRPr="00256982">
              <w:t>Lead (CO</w:t>
            </w:r>
            <w:r w:rsidRPr="00256982">
              <w:rPr>
                <w:vertAlign w:val="subscript"/>
              </w:rPr>
              <w:t>2</w:t>
            </w:r>
            <w:r w:rsidRPr="00256982">
              <w:t>)</w:t>
            </w:r>
          </w:p>
        </w:tc>
        <w:tc>
          <w:tcPr>
            <w:tcW w:w="2976" w:type="dxa"/>
            <w:tcBorders>
              <w:top w:val="single" w:sz="6" w:space="0" w:color="365F91"/>
              <w:left w:val="nil"/>
              <w:bottom w:val="single" w:sz="6" w:space="0" w:color="365F91"/>
              <w:right w:val="nil"/>
            </w:tcBorders>
            <w:shd w:val="clear" w:color="auto" w:fill="FFFFFF"/>
            <w:hideMark/>
          </w:tcPr>
          <w:p w14:paraId="11222D01" w14:textId="77777777" w:rsidR="00806461" w:rsidRPr="00256982" w:rsidRDefault="00806461">
            <w:pPr>
              <w:pStyle w:val="TableText"/>
              <w:ind w:right="964"/>
              <w:jc w:val="right"/>
            </w:pPr>
            <w:r w:rsidRPr="00256982">
              <w:t>±50</w:t>
            </w:r>
          </w:p>
        </w:tc>
        <w:tc>
          <w:tcPr>
            <w:tcW w:w="3151" w:type="dxa"/>
            <w:tcBorders>
              <w:top w:val="single" w:sz="6" w:space="0" w:color="365F91"/>
              <w:left w:val="nil"/>
              <w:bottom w:val="single" w:sz="6" w:space="0" w:color="365F91"/>
              <w:right w:val="nil"/>
            </w:tcBorders>
            <w:shd w:val="clear" w:color="auto" w:fill="FFFFFF"/>
            <w:hideMark/>
          </w:tcPr>
          <w:p w14:paraId="6725317D" w14:textId="77777777" w:rsidR="00806461" w:rsidRPr="00256982" w:rsidRDefault="00806461">
            <w:pPr>
              <w:pStyle w:val="TableText"/>
              <w:ind w:right="964"/>
              <w:jc w:val="right"/>
            </w:pPr>
            <w:r w:rsidRPr="00256982">
              <w:t>±50</w:t>
            </w:r>
          </w:p>
        </w:tc>
      </w:tr>
    </w:tbl>
    <w:p w14:paraId="2907C0A7" w14:textId="77777777" w:rsidR="00806461" w:rsidRPr="00256982" w:rsidRDefault="00806461" w:rsidP="00AD4CF4">
      <w:pPr>
        <w:pStyle w:val="Heading4"/>
        <w:spacing w:before="360"/>
        <w:rPr>
          <w:bCs/>
          <w:iCs/>
        </w:rPr>
      </w:pPr>
      <w:r w:rsidRPr="00256982">
        <w:t>Time-series consistency</w:t>
      </w:r>
    </w:p>
    <w:p w14:paraId="29768E27" w14:textId="77777777" w:rsidR="00806461" w:rsidRPr="00256982" w:rsidRDefault="00806461" w:rsidP="00806461">
      <w:pPr>
        <w:pStyle w:val="BodyText"/>
      </w:pPr>
      <w:r w:rsidRPr="00256982">
        <w:t>The implied emission factors for PFC emissions from aluminium production fluctuated over the time series between 1990 and 1998. The introduction of monitoring at the aluminium smelter in 1993 contributed to process and management improvements that reduced the frequency and duration of anode effects. This improvement process continued. Since 1998, emissions have been lower and relatively stable, due to the much better control of anode effects (see table 4.4.3).</w:t>
      </w:r>
    </w:p>
    <w:p w14:paraId="44382C95" w14:textId="77777777" w:rsidR="00806461" w:rsidRPr="00256982" w:rsidRDefault="00806461" w:rsidP="00806461">
      <w:pPr>
        <w:pStyle w:val="Table"/>
      </w:pPr>
      <w:bookmarkStart w:id="433" w:name="_Toc451176072"/>
      <w:bookmarkStart w:id="434" w:name="_Toc5269462"/>
      <w:r w:rsidRPr="00256982">
        <w:t>Table 4.4.3</w:t>
      </w:r>
      <w:r w:rsidRPr="00256982">
        <w:tab/>
        <w:t>Explanation of variations in New Zealand’s aluminium emissions</w:t>
      </w:r>
      <w:bookmarkEnd w:id="433"/>
      <w:bookmarkEnd w:id="434"/>
      <w:r w:rsidRPr="00256982">
        <w:t xml:space="preserve"> </w:t>
      </w:r>
    </w:p>
    <w:tbl>
      <w:tblPr>
        <w:tblW w:w="8562" w:type="dxa"/>
        <w:tblInd w:w="108" w:type="dxa"/>
        <w:tblLayout w:type="fixed"/>
        <w:tblLook w:val="04A0" w:firstRow="1" w:lastRow="0" w:firstColumn="1" w:lastColumn="0" w:noHBand="0" w:noVBand="1"/>
      </w:tblPr>
      <w:tblGrid>
        <w:gridCol w:w="3816"/>
        <w:gridCol w:w="4746"/>
      </w:tblGrid>
      <w:tr w:rsidR="00806461" w:rsidRPr="00256982" w14:paraId="5E13896D" w14:textId="77777777" w:rsidTr="00B6460B">
        <w:trPr>
          <w:tblHeader/>
        </w:trPr>
        <w:tc>
          <w:tcPr>
            <w:tcW w:w="3563" w:type="dxa"/>
            <w:tcBorders>
              <w:top w:val="single" w:sz="4" w:space="0" w:color="365F91"/>
              <w:left w:val="nil"/>
              <w:bottom w:val="single" w:sz="4" w:space="0" w:color="365F91"/>
              <w:right w:val="nil"/>
            </w:tcBorders>
            <w:shd w:val="clear" w:color="auto" w:fill="365F91"/>
            <w:hideMark/>
          </w:tcPr>
          <w:p w14:paraId="3A1335BB" w14:textId="77777777" w:rsidR="00806461" w:rsidRPr="00256982" w:rsidRDefault="00806461">
            <w:pPr>
              <w:pStyle w:val="TableTextBold"/>
              <w:keepNext/>
              <w:rPr>
                <w:noProof w:val="0"/>
                <w:color w:val="FFFFFF"/>
              </w:rPr>
            </w:pPr>
            <w:r w:rsidRPr="00256982">
              <w:rPr>
                <w:noProof w:val="0"/>
                <w:color w:val="FFFFFF"/>
              </w:rPr>
              <w:t>Variation in emissions</w:t>
            </w:r>
          </w:p>
        </w:tc>
        <w:tc>
          <w:tcPr>
            <w:tcW w:w="4432" w:type="dxa"/>
            <w:tcBorders>
              <w:top w:val="single" w:sz="4" w:space="0" w:color="365F91"/>
              <w:left w:val="nil"/>
              <w:bottom w:val="single" w:sz="4" w:space="0" w:color="365F91"/>
              <w:right w:val="nil"/>
            </w:tcBorders>
            <w:shd w:val="clear" w:color="auto" w:fill="365F91"/>
            <w:hideMark/>
          </w:tcPr>
          <w:p w14:paraId="0E012C77" w14:textId="77777777" w:rsidR="00806461" w:rsidRPr="00256982" w:rsidRDefault="00806461">
            <w:pPr>
              <w:pStyle w:val="TableTextBold"/>
              <w:rPr>
                <w:noProof w:val="0"/>
                <w:color w:val="FFFFFF"/>
              </w:rPr>
            </w:pPr>
            <w:r w:rsidRPr="00256982">
              <w:rPr>
                <w:noProof w:val="0"/>
                <w:color w:val="FFFFFF"/>
              </w:rPr>
              <w:t>Reason for variation</w:t>
            </w:r>
          </w:p>
        </w:tc>
      </w:tr>
      <w:tr w:rsidR="00806461" w:rsidRPr="00256982" w14:paraId="1932F7EA" w14:textId="77777777" w:rsidTr="00B6460B">
        <w:tc>
          <w:tcPr>
            <w:tcW w:w="3563" w:type="dxa"/>
            <w:tcBorders>
              <w:top w:val="single" w:sz="4" w:space="0" w:color="365F91"/>
              <w:left w:val="nil"/>
              <w:bottom w:val="single" w:sz="4" w:space="0" w:color="365F91"/>
              <w:right w:val="nil"/>
            </w:tcBorders>
            <w:hideMark/>
          </w:tcPr>
          <w:p w14:paraId="2E8BFD48" w14:textId="77777777" w:rsidR="00806461" w:rsidRPr="00256982" w:rsidRDefault="00806461">
            <w:pPr>
              <w:pStyle w:val="TableText"/>
              <w:rPr>
                <w:i/>
              </w:rPr>
            </w:pPr>
            <w:r w:rsidRPr="00256982">
              <w:t>Increase in CO</w:t>
            </w:r>
            <w:r w:rsidRPr="00256982">
              <w:rPr>
                <w:vertAlign w:val="subscript"/>
              </w:rPr>
              <w:t>2</w:t>
            </w:r>
            <w:r w:rsidRPr="00256982">
              <w:t xml:space="preserve"> and PFC emissions in 1996</w:t>
            </w:r>
          </w:p>
        </w:tc>
        <w:tc>
          <w:tcPr>
            <w:tcW w:w="4432" w:type="dxa"/>
            <w:tcBorders>
              <w:top w:val="single" w:sz="4" w:space="0" w:color="365F91"/>
              <w:left w:val="nil"/>
              <w:bottom w:val="single" w:sz="4" w:space="0" w:color="365F91"/>
              <w:right w:val="nil"/>
            </w:tcBorders>
            <w:hideMark/>
          </w:tcPr>
          <w:p w14:paraId="4B806F19" w14:textId="77777777" w:rsidR="00806461" w:rsidRPr="00256982" w:rsidRDefault="00806461">
            <w:pPr>
              <w:pStyle w:val="TableText"/>
              <w:rPr>
                <w:i/>
              </w:rPr>
            </w:pPr>
            <w:r w:rsidRPr="00256982">
              <w:t>Commissioning of Line 4 cells</w:t>
            </w:r>
          </w:p>
        </w:tc>
      </w:tr>
      <w:tr w:rsidR="00806461" w:rsidRPr="00256982" w14:paraId="2FB257A7" w14:textId="77777777" w:rsidTr="00B6460B">
        <w:tc>
          <w:tcPr>
            <w:tcW w:w="3563" w:type="dxa"/>
            <w:tcBorders>
              <w:top w:val="single" w:sz="4" w:space="0" w:color="365F91"/>
              <w:left w:val="nil"/>
              <w:bottom w:val="nil"/>
              <w:right w:val="nil"/>
            </w:tcBorders>
            <w:hideMark/>
          </w:tcPr>
          <w:p w14:paraId="535D79B7" w14:textId="77777777" w:rsidR="00806461" w:rsidRPr="00256982" w:rsidRDefault="00806461">
            <w:pPr>
              <w:pStyle w:val="TableText"/>
              <w:rPr>
                <w:i/>
              </w:rPr>
            </w:pPr>
            <w:r w:rsidRPr="00256982">
              <w:t>Decrease in CO</w:t>
            </w:r>
            <w:r w:rsidRPr="00256982">
              <w:rPr>
                <w:vertAlign w:val="subscript"/>
              </w:rPr>
              <w:t xml:space="preserve">2 </w:t>
            </w:r>
            <w:r w:rsidRPr="00256982">
              <w:t>emissions in 1995</w:t>
            </w:r>
          </w:p>
        </w:tc>
        <w:tc>
          <w:tcPr>
            <w:tcW w:w="4432" w:type="dxa"/>
            <w:tcBorders>
              <w:top w:val="single" w:sz="4" w:space="0" w:color="365F91"/>
              <w:left w:val="nil"/>
              <w:bottom w:val="nil"/>
              <w:right w:val="nil"/>
            </w:tcBorders>
            <w:hideMark/>
          </w:tcPr>
          <w:p w14:paraId="441333AD" w14:textId="77777777" w:rsidR="00806461" w:rsidRPr="00256982" w:rsidRDefault="00806461">
            <w:pPr>
              <w:pStyle w:val="TableText"/>
              <w:rPr>
                <w:i/>
              </w:rPr>
            </w:pPr>
            <w:r w:rsidRPr="00256982">
              <w:t>Good anode performance, compared with 1994 and 1996</w:t>
            </w:r>
          </w:p>
        </w:tc>
      </w:tr>
      <w:tr w:rsidR="00806461" w:rsidRPr="00256982" w14:paraId="100FEB02" w14:textId="77777777" w:rsidTr="00B6460B">
        <w:tc>
          <w:tcPr>
            <w:tcW w:w="3563" w:type="dxa"/>
            <w:hideMark/>
          </w:tcPr>
          <w:p w14:paraId="67D97968" w14:textId="77777777" w:rsidR="00806461" w:rsidRPr="00256982" w:rsidRDefault="00806461">
            <w:pPr>
              <w:pStyle w:val="TableText"/>
              <w:rPr>
                <w:i/>
              </w:rPr>
            </w:pPr>
            <w:r w:rsidRPr="00256982">
              <w:t>Decrease in CO</w:t>
            </w:r>
            <w:r w:rsidRPr="00256982">
              <w:rPr>
                <w:vertAlign w:val="subscript"/>
              </w:rPr>
              <w:t xml:space="preserve">2 </w:t>
            </w:r>
            <w:r w:rsidRPr="00256982">
              <w:t>emissions in 1998</w:t>
            </w:r>
          </w:p>
        </w:tc>
        <w:tc>
          <w:tcPr>
            <w:tcW w:w="4432" w:type="dxa"/>
            <w:hideMark/>
          </w:tcPr>
          <w:p w14:paraId="1D137F86" w14:textId="77777777" w:rsidR="00806461" w:rsidRPr="00256982" w:rsidRDefault="00806461">
            <w:pPr>
              <w:pStyle w:val="TableText"/>
              <w:rPr>
                <w:i/>
              </w:rPr>
            </w:pPr>
            <w:r w:rsidRPr="00256982">
              <w:t>Good anode performance</w:t>
            </w:r>
          </w:p>
        </w:tc>
      </w:tr>
      <w:tr w:rsidR="00806461" w:rsidRPr="00256982" w14:paraId="419372FA" w14:textId="77777777" w:rsidTr="00B6460B">
        <w:tc>
          <w:tcPr>
            <w:tcW w:w="3563" w:type="dxa"/>
            <w:hideMark/>
          </w:tcPr>
          <w:p w14:paraId="4DB76F76" w14:textId="77777777" w:rsidR="00806461" w:rsidRPr="00256982" w:rsidRDefault="00806461">
            <w:pPr>
              <w:pStyle w:val="TableText"/>
              <w:rPr>
                <w:i/>
              </w:rPr>
            </w:pPr>
            <w:r w:rsidRPr="00256982">
              <w:t>Decrease in CO</w:t>
            </w:r>
            <w:r w:rsidRPr="00256982">
              <w:rPr>
                <w:vertAlign w:val="subscript"/>
              </w:rPr>
              <w:t>2</w:t>
            </w:r>
            <w:r w:rsidRPr="00256982">
              <w:t xml:space="preserve"> emissions in 2001, 2003 and 2006</w:t>
            </w:r>
          </w:p>
        </w:tc>
        <w:tc>
          <w:tcPr>
            <w:tcW w:w="4432" w:type="dxa"/>
            <w:hideMark/>
          </w:tcPr>
          <w:p w14:paraId="113BE380" w14:textId="77777777" w:rsidR="00806461" w:rsidRPr="00256982" w:rsidRDefault="00806461">
            <w:pPr>
              <w:pStyle w:val="TableText"/>
              <w:rPr>
                <w:i/>
              </w:rPr>
            </w:pPr>
            <w:r w:rsidRPr="00256982">
              <w:t>Fewer cells operating from reduced aluminium production due to reduced electricity supply</w:t>
            </w:r>
          </w:p>
        </w:tc>
      </w:tr>
      <w:tr w:rsidR="00806461" w:rsidRPr="00256982" w14:paraId="420FFED8" w14:textId="77777777" w:rsidTr="00B6460B">
        <w:trPr>
          <w:trHeight w:val="201"/>
        </w:trPr>
        <w:tc>
          <w:tcPr>
            <w:tcW w:w="3563" w:type="dxa"/>
          </w:tcPr>
          <w:p w14:paraId="50AEB39E" w14:textId="77777777" w:rsidR="00806461" w:rsidRPr="00256982" w:rsidRDefault="00806461">
            <w:pPr>
              <w:pStyle w:val="TableText"/>
              <w:rPr>
                <w:i/>
              </w:rPr>
            </w:pPr>
          </w:p>
        </w:tc>
        <w:tc>
          <w:tcPr>
            <w:tcW w:w="4432" w:type="dxa"/>
            <w:hideMark/>
          </w:tcPr>
          <w:p w14:paraId="592D8339" w14:textId="77777777" w:rsidR="00806461" w:rsidRPr="00256982" w:rsidRDefault="00806461">
            <w:pPr>
              <w:pStyle w:val="TableText"/>
              <w:rPr>
                <w:i/>
              </w:rPr>
            </w:pPr>
            <w:r w:rsidRPr="00256982">
              <w:t>Good anode performance contributed in 2001</w:t>
            </w:r>
          </w:p>
        </w:tc>
      </w:tr>
      <w:tr w:rsidR="00806461" w:rsidRPr="00256982" w14:paraId="12844E56" w14:textId="77777777" w:rsidTr="00B6460B">
        <w:tc>
          <w:tcPr>
            <w:tcW w:w="3563" w:type="dxa"/>
            <w:hideMark/>
          </w:tcPr>
          <w:p w14:paraId="7AB075D6" w14:textId="77777777" w:rsidR="00806461" w:rsidRPr="00256982" w:rsidRDefault="00806461">
            <w:pPr>
              <w:pStyle w:val="TableText"/>
              <w:rPr>
                <w:i/>
              </w:rPr>
            </w:pPr>
            <w:r w:rsidRPr="00256982">
              <w:t>Increase in CO</w:t>
            </w:r>
            <w:r w:rsidRPr="00256982">
              <w:rPr>
                <w:vertAlign w:val="subscript"/>
              </w:rPr>
              <w:t xml:space="preserve">2 </w:t>
            </w:r>
            <w:r w:rsidRPr="00256982">
              <w:t>emissions in 1996</w:t>
            </w:r>
          </w:p>
        </w:tc>
        <w:tc>
          <w:tcPr>
            <w:tcW w:w="4432" w:type="dxa"/>
            <w:hideMark/>
          </w:tcPr>
          <w:p w14:paraId="5EA59CFC" w14:textId="77777777" w:rsidR="00806461" w:rsidRPr="00256982" w:rsidRDefault="00806461">
            <w:pPr>
              <w:pStyle w:val="TableText"/>
              <w:rPr>
                <w:i/>
              </w:rPr>
            </w:pPr>
            <w:r w:rsidRPr="00256982">
              <w:t>All cells operating, including introduction of additional cells</w:t>
            </w:r>
          </w:p>
        </w:tc>
      </w:tr>
      <w:tr w:rsidR="00806461" w:rsidRPr="00256982" w14:paraId="065DAFFF" w14:textId="77777777" w:rsidTr="00B6460B">
        <w:tc>
          <w:tcPr>
            <w:tcW w:w="3563" w:type="dxa"/>
            <w:tcBorders>
              <w:top w:val="nil"/>
              <w:left w:val="nil"/>
              <w:bottom w:val="single" w:sz="4" w:space="0" w:color="365F91"/>
              <w:right w:val="nil"/>
            </w:tcBorders>
          </w:tcPr>
          <w:p w14:paraId="78BDE419" w14:textId="77777777" w:rsidR="00806461" w:rsidRPr="00256982" w:rsidRDefault="00806461">
            <w:pPr>
              <w:pStyle w:val="TableText"/>
              <w:rPr>
                <w:i/>
              </w:rPr>
            </w:pPr>
          </w:p>
        </w:tc>
        <w:tc>
          <w:tcPr>
            <w:tcW w:w="4432" w:type="dxa"/>
            <w:tcBorders>
              <w:top w:val="nil"/>
              <w:left w:val="nil"/>
              <w:bottom w:val="single" w:sz="4" w:space="0" w:color="365F91"/>
              <w:right w:val="nil"/>
            </w:tcBorders>
            <w:hideMark/>
          </w:tcPr>
          <w:p w14:paraId="27E48F64" w14:textId="77777777" w:rsidR="00806461" w:rsidRPr="00256982" w:rsidRDefault="00806461">
            <w:pPr>
              <w:pStyle w:val="TableText"/>
              <w:rPr>
                <w:i/>
              </w:rPr>
            </w:pPr>
            <w:r w:rsidRPr="00256982">
              <w:t>Increasing aluminium production rate from the cells</w:t>
            </w:r>
          </w:p>
        </w:tc>
      </w:tr>
      <w:tr w:rsidR="00806461" w:rsidRPr="00256982" w14:paraId="39737D50" w14:textId="77777777" w:rsidTr="00B6460B">
        <w:tc>
          <w:tcPr>
            <w:tcW w:w="3563" w:type="dxa"/>
            <w:tcBorders>
              <w:top w:val="single" w:sz="4" w:space="0" w:color="365F91"/>
              <w:left w:val="nil"/>
              <w:bottom w:val="nil"/>
              <w:right w:val="nil"/>
            </w:tcBorders>
            <w:hideMark/>
          </w:tcPr>
          <w:p w14:paraId="533573BF" w14:textId="77777777" w:rsidR="00806461" w:rsidRPr="00256982" w:rsidRDefault="00806461">
            <w:pPr>
              <w:pStyle w:val="TableText"/>
              <w:rPr>
                <w:i/>
              </w:rPr>
            </w:pPr>
            <w:r w:rsidRPr="00256982">
              <w:t>Decrease in PFC emissions in 1995</w:t>
            </w:r>
          </w:p>
        </w:tc>
        <w:tc>
          <w:tcPr>
            <w:tcW w:w="4432" w:type="dxa"/>
            <w:tcBorders>
              <w:top w:val="single" w:sz="4" w:space="0" w:color="365F91"/>
              <w:left w:val="nil"/>
              <w:bottom w:val="nil"/>
              <w:right w:val="nil"/>
            </w:tcBorders>
            <w:hideMark/>
          </w:tcPr>
          <w:p w14:paraId="44A6435F" w14:textId="77777777" w:rsidR="00806461" w:rsidRPr="00256982" w:rsidRDefault="00806461">
            <w:pPr>
              <w:pStyle w:val="TableText"/>
              <w:rPr>
                <w:i/>
              </w:rPr>
            </w:pPr>
            <w:r w:rsidRPr="00256982">
              <w:t xml:space="preserve">Reduced anode frequencies </w:t>
            </w:r>
          </w:p>
        </w:tc>
      </w:tr>
      <w:tr w:rsidR="00806461" w:rsidRPr="00256982" w14:paraId="3A89698C" w14:textId="77777777" w:rsidTr="00B6460B">
        <w:tc>
          <w:tcPr>
            <w:tcW w:w="3563" w:type="dxa"/>
          </w:tcPr>
          <w:p w14:paraId="1E9B2BD3" w14:textId="77777777" w:rsidR="00806461" w:rsidRPr="00256982" w:rsidRDefault="00806461">
            <w:pPr>
              <w:pStyle w:val="TableText"/>
              <w:rPr>
                <w:i/>
              </w:rPr>
            </w:pPr>
          </w:p>
        </w:tc>
        <w:tc>
          <w:tcPr>
            <w:tcW w:w="4432" w:type="dxa"/>
            <w:hideMark/>
          </w:tcPr>
          <w:p w14:paraId="41ECF540" w14:textId="77777777" w:rsidR="00806461" w:rsidRPr="00256982" w:rsidRDefault="00806461">
            <w:pPr>
              <w:pStyle w:val="TableText"/>
              <w:rPr>
                <w:i/>
              </w:rPr>
            </w:pPr>
            <w:r w:rsidRPr="00256982">
              <w:t>The implementation of the change control strategy to all reduction cells</w:t>
            </w:r>
          </w:p>
        </w:tc>
      </w:tr>
      <w:tr w:rsidR="00806461" w:rsidRPr="00256982" w14:paraId="00F7B6F0" w14:textId="77777777" w:rsidTr="00B6460B">
        <w:tc>
          <w:tcPr>
            <w:tcW w:w="3563" w:type="dxa"/>
          </w:tcPr>
          <w:p w14:paraId="44A2FCC5" w14:textId="77777777" w:rsidR="00806461" w:rsidRPr="00256982" w:rsidRDefault="00806461">
            <w:pPr>
              <w:pStyle w:val="TableText"/>
              <w:rPr>
                <w:i/>
              </w:rPr>
            </w:pPr>
          </w:p>
        </w:tc>
        <w:tc>
          <w:tcPr>
            <w:tcW w:w="4432" w:type="dxa"/>
            <w:hideMark/>
          </w:tcPr>
          <w:p w14:paraId="3BC7F466" w14:textId="77777777" w:rsidR="00806461" w:rsidRPr="00256982" w:rsidRDefault="00806461">
            <w:pPr>
              <w:pStyle w:val="TableText"/>
              <w:rPr>
                <w:i/>
              </w:rPr>
            </w:pPr>
            <w:r w:rsidRPr="00256982">
              <w:t>Repairs made to cells exerting higher frequencies</w:t>
            </w:r>
          </w:p>
        </w:tc>
      </w:tr>
      <w:tr w:rsidR="00806461" w:rsidRPr="00256982" w14:paraId="5AA75659" w14:textId="77777777" w:rsidTr="00B6460B">
        <w:tc>
          <w:tcPr>
            <w:tcW w:w="3563" w:type="dxa"/>
            <w:hideMark/>
          </w:tcPr>
          <w:p w14:paraId="3A31CC69" w14:textId="77777777" w:rsidR="00806461" w:rsidRPr="00256982" w:rsidRDefault="00806461">
            <w:pPr>
              <w:pStyle w:val="TableText"/>
              <w:rPr>
                <w:i/>
              </w:rPr>
            </w:pPr>
            <w:r w:rsidRPr="00256982">
              <w:t>PFC emissions remained high in 1997</w:t>
            </w:r>
          </w:p>
        </w:tc>
        <w:tc>
          <w:tcPr>
            <w:tcW w:w="4432" w:type="dxa"/>
            <w:hideMark/>
          </w:tcPr>
          <w:p w14:paraId="237BACF7" w14:textId="77777777" w:rsidR="00806461" w:rsidRPr="00256982" w:rsidRDefault="00806461">
            <w:pPr>
              <w:pStyle w:val="TableText"/>
              <w:rPr>
                <w:i/>
              </w:rPr>
            </w:pPr>
            <w:r w:rsidRPr="00256982">
              <w:t>Instability over the whole plant as the operating parameters were tuned for the material coming from the newly commissioned dry scrubbing equipment (removes the fluoride and particulate from the main stack discharge)</w:t>
            </w:r>
          </w:p>
        </w:tc>
      </w:tr>
      <w:tr w:rsidR="00806461" w:rsidRPr="00256982" w14:paraId="76F092BB" w14:textId="77777777" w:rsidTr="00B6460B">
        <w:tc>
          <w:tcPr>
            <w:tcW w:w="3563" w:type="dxa"/>
            <w:hideMark/>
          </w:tcPr>
          <w:p w14:paraId="60A86D45" w14:textId="77777777" w:rsidR="00806461" w:rsidRPr="00256982" w:rsidRDefault="00806461">
            <w:pPr>
              <w:pStyle w:val="TableText"/>
              <w:rPr>
                <w:i/>
              </w:rPr>
            </w:pPr>
            <w:r w:rsidRPr="00256982">
              <w:lastRenderedPageBreak/>
              <w:t>Decrease in PFC emissions in 1998</w:t>
            </w:r>
          </w:p>
        </w:tc>
        <w:tc>
          <w:tcPr>
            <w:tcW w:w="4432" w:type="dxa"/>
            <w:hideMark/>
          </w:tcPr>
          <w:p w14:paraId="3874E135" w14:textId="77777777" w:rsidR="00806461" w:rsidRPr="00256982" w:rsidRDefault="00806461">
            <w:pPr>
              <w:pStyle w:val="TableText"/>
              <w:rPr>
                <w:i/>
              </w:rPr>
            </w:pPr>
            <w:r w:rsidRPr="00256982">
              <w:t xml:space="preserve">Cell operating parameter control from the introduction of modified software. This software has improved the detection of an anode-effect onset and will initiate actions to prevent the anode effect from occurring </w:t>
            </w:r>
          </w:p>
        </w:tc>
      </w:tr>
      <w:tr w:rsidR="00806461" w:rsidRPr="00256982" w14:paraId="334F20DD" w14:textId="77777777" w:rsidTr="00B6460B">
        <w:tc>
          <w:tcPr>
            <w:tcW w:w="3563" w:type="dxa"/>
            <w:tcBorders>
              <w:top w:val="nil"/>
              <w:left w:val="nil"/>
              <w:bottom w:val="single" w:sz="4" w:space="0" w:color="365F91"/>
              <w:right w:val="nil"/>
            </w:tcBorders>
            <w:hideMark/>
          </w:tcPr>
          <w:p w14:paraId="063A0008" w14:textId="77777777" w:rsidR="00806461" w:rsidRPr="00256982" w:rsidRDefault="00806461">
            <w:pPr>
              <w:pStyle w:val="TableText"/>
              <w:rPr>
                <w:i/>
              </w:rPr>
            </w:pPr>
            <w:r w:rsidRPr="00256982">
              <w:t>PFCs remain relatively static in 2001, 2003 and 2006</w:t>
            </w:r>
          </w:p>
        </w:tc>
        <w:tc>
          <w:tcPr>
            <w:tcW w:w="4432" w:type="dxa"/>
            <w:tcBorders>
              <w:top w:val="nil"/>
              <w:left w:val="nil"/>
              <w:bottom w:val="single" w:sz="4" w:space="0" w:color="365F91"/>
              <w:right w:val="nil"/>
            </w:tcBorders>
            <w:hideMark/>
          </w:tcPr>
          <w:p w14:paraId="7A1FDC30" w14:textId="77777777" w:rsidR="00806461" w:rsidRPr="00256982" w:rsidRDefault="00806461">
            <w:pPr>
              <w:pStyle w:val="TableText"/>
              <w:rPr>
                <w:i/>
              </w:rPr>
            </w:pPr>
            <w:r w:rsidRPr="00256982">
              <w:t>Increased emissions from restarting the cells</w:t>
            </w:r>
          </w:p>
        </w:tc>
      </w:tr>
    </w:tbl>
    <w:p w14:paraId="7DAC88D6" w14:textId="77777777" w:rsidR="00806461" w:rsidRPr="00256982" w:rsidRDefault="00806461" w:rsidP="00B6460B">
      <w:pPr>
        <w:pStyle w:val="Heading3"/>
        <w:spacing w:before="400"/>
      </w:pPr>
      <w:r w:rsidRPr="00256982">
        <w:t>4.4.4</w:t>
      </w:r>
      <w:r w:rsidRPr="00256982">
        <w:tab/>
        <w:t>Source-specific QA/QC and verification</w:t>
      </w:r>
    </w:p>
    <w:p w14:paraId="5F0A6FAE" w14:textId="77777777" w:rsidR="00806461" w:rsidRPr="00256982" w:rsidRDefault="00806461" w:rsidP="00806461">
      <w:pPr>
        <w:pStyle w:val="BodyText"/>
        <w:keepLines/>
      </w:pPr>
      <w:r w:rsidRPr="00256982">
        <w:t xml:space="preserve">The two key categories in the </w:t>
      </w:r>
      <w:r w:rsidRPr="00256982">
        <w:rPr>
          <w:i/>
        </w:rPr>
        <w:t>Metal industry</w:t>
      </w:r>
      <w:r w:rsidRPr="00256982">
        <w:t xml:space="preserve"> source category are CO</w:t>
      </w:r>
      <w:r w:rsidRPr="00256982">
        <w:rPr>
          <w:vertAlign w:val="subscript"/>
        </w:rPr>
        <w:t>2</w:t>
      </w:r>
      <w:r w:rsidRPr="00256982">
        <w:t xml:space="preserve"> emissions from </w:t>
      </w:r>
      <w:r w:rsidRPr="00256982">
        <w:rPr>
          <w:i/>
        </w:rPr>
        <w:t>Iron and steel production</w:t>
      </w:r>
      <w:r w:rsidRPr="00256982">
        <w:t xml:space="preserve"> and </w:t>
      </w:r>
      <w:r w:rsidRPr="00256982">
        <w:rPr>
          <w:i/>
        </w:rPr>
        <w:t>Aluminium production</w:t>
      </w:r>
      <w:r w:rsidRPr="00256982">
        <w:t xml:space="preserve">, and PFCs from </w:t>
      </w:r>
      <w:r w:rsidRPr="00256982">
        <w:rPr>
          <w:i/>
        </w:rPr>
        <w:t>Aluminium production</w:t>
      </w:r>
      <w:r w:rsidRPr="00256982">
        <w:t xml:space="preserve">. The data for all direct emissions in this source category underwent Tier 1 quality checks in the preparation of this inventory. </w:t>
      </w:r>
    </w:p>
    <w:p w14:paraId="2E6B3C74" w14:textId="77777777" w:rsidR="00806461" w:rsidRPr="00256982" w:rsidRDefault="00806461" w:rsidP="001D3490">
      <w:pPr>
        <w:pStyle w:val="Heading3"/>
      </w:pPr>
      <w:r w:rsidRPr="00256982">
        <w:t>4.4.5</w:t>
      </w:r>
      <w:r w:rsidRPr="00256982">
        <w:tab/>
        <w:t>Source-specific recalculations</w:t>
      </w:r>
    </w:p>
    <w:p w14:paraId="62FB0A9A" w14:textId="77777777" w:rsidR="00806461" w:rsidRPr="00256982" w:rsidRDefault="00806461" w:rsidP="00806461">
      <w:pPr>
        <w:pStyle w:val="BodyText"/>
      </w:pPr>
      <w:r w:rsidRPr="00256982">
        <w:t xml:space="preserve">Secondary lead production (from recycled lead-acid batteries) was reported for the first time in the 2016 submission. There are no recalculations for this submission. </w:t>
      </w:r>
    </w:p>
    <w:p w14:paraId="53D29554" w14:textId="77777777" w:rsidR="00806461" w:rsidRPr="00256982" w:rsidRDefault="00806461" w:rsidP="001D3490">
      <w:pPr>
        <w:pStyle w:val="Heading3"/>
      </w:pPr>
      <w:r w:rsidRPr="00256982">
        <w:t>4.4.6</w:t>
      </w:r>
      <w:r w:rsidRPr="00256982">
        <w:tab/>
        <w:t>Source-specific planned improvements</w:t>
      </w:r>
    </w:p>
    <w:p w14:paraId="50B79A1F" w14:textId="77777777" w:rsidR="00806461" w:rsidRPr="00256982" w:rsidRDefault="00806461" w:rsidP="00806461">
      <w:pPr>
        <w:pStyle w:val="BodyText"/>
      </w:pPr>
      <w:r w:rsidRPr="00256982">
        <w:t xml:space="preserve">There are no planned improvements for this source category. </w:t>
      </w:r>
    </w:p>
    <w:p w14:paraId="2EA0729A" w14:textId="5AE7D3F5" w:rsidR="00806461" w:rsidRPr="00256982" w:rsidRDefault="00806461" w:rsidP="001D3490">
      <w:pPr>
        <w:pStyle w:val="Heading2"/>
      </w:pPr>
      <w:bookmarkStart w:id="435" w:name="_Toc448321516"/>
      <w:bookmarkStart w:id="436" w:name="_Toc5269355"/>
      <w:r w:rsidRPr="00256982">
        <w:t>4.5</w:t>
      </w:r>
      <w:r w:rsidRPr="00256982">
        <w:tab/>
        <w:t>Non-energy products from fuels and solvent use</w:t>
      </w:r>
      <w:r w:rsidR="00B6460B" w:rsidRPr="00256982">
        <w:t> </w:t>
      </w:r>
      <w:r w:rsidRPr="00256982">
        <w:t>(2.D)</w:t>
      </w:r>
      <w:bookmarkEnd w:id="435"/>
      <w:bookmarkEnd w:id="436"/>
    </w:p>
    <w:p w14:paraId="5C594187" w14:textId="77777777" w:rsidR="00806461" w:rsidRPr="00256982" w:rsidRDefault="00806461" w:rsidP="00B6460B">
      <w:pPr>
        <w:pStyle w:val="Heading3"/>
        <w:spacing w:before="240"/>
      </w:pPr>
      <w:r w:rsidRPr="00256982">
        <w:t>4.5.1</w:t>
      </w:r>
      <w:r w:rsidRPr="00256982">
        <w:tab/>
        <w:t>Description</w:t>
      </w:r>
    </w:p>
    <w:p w14:paraId="6733D219" w14:textId="77777777" w:rsidR="00806461" w:rsidRPr="00256982" w:rsidRDefault="00806461" w:rsidP="00806461">
      <w:pPr>
        <w:pStyle w:val="BodyText"/>
      </w:pPr>
      <w:r w:rsidRPr="00256982">
        <w:t xml:space="preserve">The emissions reported in the </w:t>
      </w:r>
      <w:r w:rsidRPr="00256982">
        <w:rPr>
          <w:i/>
        </w:rPr>
        <w:t>Non-energy products from fuels and solvent use</w:t>
      </w:r>
      <w:r w:rsidRPr="00256982">
        <w:t xml:space="preserve"> source category include CO</w:t>
      </w:r>
      <w:r w:rsidRPr="00256982">
        <w:rPr>
          <w:vertAlign w:val="subscript"/>
        </w:rPr>
        <w:t>2</w:t>
      </w:r>
      <w:r w:rsidRPr="00256982">
        <w:t xml:space="preserve"> from the use of lubricants and a very small amount from the use of paraffin wax, some of which is likely to be used for candles. </w:t>
      </w:r>
    </w:p>
    <w:p w14:paraId="4A10052A" w14:textId="77777777" w:rsidR="00806461" w:rsidRPr="00256982" w:rsidRDefault="00806461" w:rsidP="00806461">
      <w:pPr>
        <w:pStyle w:val="BodyText"/>
      </w:pPr>
      <w:r w:rsidRPr="00256982">
        <w:t>In addition, for this submission, a small amount of CO</w:t>
      </w:r>
      <w:r w:rsidRPr="00256982">
        <w:rPr>
          <w:vertAlign w:val="subscript"/>
        </w:rPr>
        <w:t>2</w:t>
      </w:r>
      <w:r w:rsidRPr="00256982">
        <w:t xml:space="preserve"> is reported from the use of urea-based catalysts in diesel exhaust fluid (DEF) for control of NO</w:t>
      </w:r>
      <w:r w:rsidRPr="00256982">
        <w:rPr>
          <w:vertAlign w:val="subscript"/>
        </w:rPr>
        <w:t>x</w:t>
      </w:r>
      <w:r w:rsidRPr="00256982">
        <w:t xml:space="preserve"> emissions in diesel engine exhaust gas. These emissions are associated with transport, and the method used is given in volume 2, Energy, of the 2006 IPCC Guidelines (IPCC, 2006b); however, the CRF does not appear to allow for them to be reported in the Energy sector, so they are placed in 2.D.3. </w:t>
      </w:r>
    </w:p>
    <w:p w14:paraId="63A2EE4D" w14:textId="77777777" w:rsidR="00806461" w:rsidRPr="00256982" w:rsidRDefault="00806461" w:rsidP="00806461">
      <w:pPr>
        <w:pStyle w:val="BodyText"/>
        <w:spacing w:after="100"/>
      </w:pPr>
      <w:r w:rsidRPr="00256982">
        <w:t xml:space="preserve">Some emissions of indirect greenhouse gases (mainly NMVOCs) are estimated and reported from: </w:t>
      </w:r>
    </w:p>
    <w:p w14:paraId="7C9CFC33" w14:textId="77777777" w:rsidR="00806461" w:rsidRPr="00256982" w:rsidRDefault="00806461" w:rsidP="00B6460B">
      <w:pPr>
        <w:pStyle w:val="Bullet"/>
      </w:pPr>
      <w:r w:rsidRPr="00256982">
        <w:t xml:space="preserve">the use of asphalt in road paving and roofing applications </w:t>
      </w:r>
    </w:p>
    <w:p w14:paraId="2D8436E0" w14:textId="77777777" w:rsidR="00806461" w:rsidRPr="00256982" w:rsidRDefault="00806461" w:rsidP="00B6460B">
      <w:pPr>
        <w:pStyle w:val="Bullet"/>
      </w:pPr>
      <w:r w:rsidRPr="00256982">
        <w:t xml:space="preserve">painting </w:t>
      </w:r>
    </w:p>
    <w:p w14:paraId="4439FD13" w14:textId="77777777" w:rsidR="00806461" w:rsidRPr="00256982" w:rsidRDefault="00806461" w:rsidP="00B6460B">
      <w:pPr>
        <w:pStyle w:val="Bullet"/>
      </w:pPr>
      <w:r w:rsidRPr="00256982">
        <w:t>degreasing and dry cleaning</w:t>
      </w:r>
    </w:p>
    <w:p w14:paraId="7FAEA999" w14:textId="77777777" w:rsidR="00806461" w:rsidRPr="00256982" w:rsidRDefault="00806461" w:rsidP="00B6460B">
      <w:pPr>
        <w:pStyle w:val="Bullet"/>
      </w:pPr>
      <w:r w:rsidRPr="00256982">
        <w:t>use of solvents in printing</w:t>
      </w:r>
    </w:p>
    <w:p w14:paraId="6AAD61C5" w14:textId="77777777" w:rsidR="00806461" w:rsidRPr="00256982" w:rsidRDefault="00806461" w:rsidP="00B6460B">
      <w:pPr>
        <w:pStyle w:val="Bullet"/>
      </w:pPr>
      <w:r w:rsidRPr="00256982">
        <w:t xml:space="preserve">general domestic and commercial use of solvents. </w:t>
      </w:r>
    </w:p>
    <w:p w14:paraId="188CA0E7" w14:textId="77777777" w:rsidR="00806461" w:rsidRPr="00256982" w:rsidRDefault="00806461" w:rsidP="00806461">
      <w:pPr>
        <w:pStyle w:val="BodyText"/>
      </w:pPr>
      <w:r w:rsidRPr="00256982">
        <w:t xml:space="preserve">Emissions from the </w:t>
      </w:r>
      <w:r w:rsidRPr="00256982">
        <w:rPr>
          <w:i/>
        </w:rPr>
        <w:t>Non-energy products from fuels and solvent use</w:t>
      </w:r>
      <w:r w:rsidRPr="00256982">
        <w:t xml:space="preserve"> source category in 2017 were 46.7 kt CO</w:t>
      </w:r>
      <w:r w:rsidRPr="00256982">
        <w:rPr>
          <w:vertAlign w:val="subscript"/>
        </w:rPr>
        <w:t>2</w:t>
      </w:r>
      <w:r w:rsidRPr="00256982">
        <w:t xml:space="preserve">-e (0.9 per cent) of emissions from the IPPU sector. </w:t>
      </w:r>
    </w:p>
    <w:p w14:paraId="66058BB1" w14:textId="77777777" w:rsidR="00806461" w:rsidRPr="00256982" w:rsidRDefault="00806461" w:rsidP="00806461">
      <w:r w:rsidRPr="00256982">
        <w:t xml:space="preserve">There are no key categories. </w:t>
      </w:r>
    </w:p>
    <w:p w14:paraId="7DCCF3F7" w14:textId="77777777" w:rsidR="00806461" w:rsidRPr="00256982" w:rsidRDefault="00806461" w:rsidP="001D3490">
      <w:pPr>
        <w:pStyle w:val="Heading3"/>
      </w:pPr>
      <w:r w:rsidRPr="00256982">
        <w:lastRenderedPageBreak/>
        <w:t xml:space="preserve">4.5.2 </w:t>
      </w:r>
      <w:r w:rsidRPr="00256982">
        <w:tab/>
        <w:t>Methodological issues</w:t>
      </w:r>
    </w:p>
    <w:p w14:paraId="3AB855CC" w14:textId="77777777" w:rsidR="00806461" w:rsidRPr="00256982" w:rsidRDefault="00806461" w:rsidP="00A72006">
      <w:pPr>
        <w:pStyle w:val="Heading4"/>
        <w:rPr>
          <w:bCs/>
          <w:iCs/>
        </w:rPr>
      </w:pPr>
      <w:r w:rsidRPr="00256982">
        <w:t>Choice of activity data</w:t>
      </w:r>
    </w:p>
    <w:p w14:paraId="4CC051BE" w14:textId="77777777" w:rsidR="00806461" w:rsidRPr="00256982" w:rsidRDefault="00806461" w:rsidP="00440459">
      <w:pPr>
        <w:pStyle w:val="Heading5"/>
        <w:spacing w:before="160"/>
      </w:pPr>
      <w:r w:rsidRPr="00256982">
        <w:t>Lubricant use (2.D.1)</w:t>
      </w:r>
    </w:p>
    <w:p w14:paraId="090CCFAD" w14:textId="77777777" w:rsidR="00806461" w:rsidRPr="00256982" w:rsidRDefault="00806461" w:rsidP="00806461">
      <w:pPr>
        <w:pStyle w:val="BodyText"/>
      </w:pPr>
      <w:r w:rsidRPr="00256982">
        <w:t xml:space="preserve">Data reported to MBIE by the industry provide estimates of the amount of lubricants imported into New Zealand in each calendar year and the amounts in stock at the start and end of the year. This allows the amount of lubricants used in the year to be estimated. </w:t>
      </w:r>
    </w:p>
    <w:p w14:paraId="4B87D7AB" w14:textId="77777777" w:rsidR="00806461" w:rsidRPr="00256982" w:rsidRDefault="00806461" w:rsidP="00806461">
      <w:pPr>
        <w:pStyle w:val="BodyText"/>
      </w:pPr>
      <w:r w:rsidRPr="00256982">
        <w:t xml:space="preserve">However, this information is only available for the years 2011 to 2017 and is considered to be unreliable for 2011 to 2014 due to under-reporting of imports. For earlier years, the activity data have been estimated by assuming that the amount of lubricant used was proportional to the amount of transport fuel used in New Zealand in the year. Also, because apparent use fluctuates from year to year, and it is unlikely such variations are reflected in actual lubricant use and emissions, averaging is used to estimate emissions for 2015–17. </w:t>
      </w:r>
    </w:p>
    <w:p w14:paraId="3569A153" w14:textId="77777777" w:rsidR="00806461" w:rsidRPr="00256982" w:rsidRDefault="00806461" w:rsidP="00806461">
      <w:pPr>
        <w:pStyle w:val="Heading5"/>
      </w:pPr>
      <w:r w:rsidRPr="00256982">
        <w:t>Paraffin wax use (2.D.2)</w:t>
      </w:r>
    </w:p>
    <w:p w14:paraId="305EBDB4" w14:textId="77777777" w:rsidR="00806461" w:rsidRPr="00256982" w:rsidRDefault="00806461" w:rsidP="00806461">
      <w:pPr>
        <w:pStyle w:val="BodyText"/>
      </w:pPr>
      <w:r w:rsidRPr="00256982">
        <w:t xml:space="preserve">A small amount of paraffin wax is imported into New Zealand. There is no reliable data on import volumes, so the activity data have been estimated from an estimate of the value of imports. This is only available for 2005 to 2011, and the activity data for other years have been assumed to be the same. </w:t>
      </w:r>
    </w:p>
    <w:p w14:paraId="3DA05FFB" w14:textId="77777777" w:rsidR="00806461" w:rsidRPr="00256982" w:rsidRDefault="00806461" w:rsidP="00806461">
      <w:pPr>
        <w:pStyle w:val="Heading5"/>
      </w:pPr>
      <w:r w:rsidRPr="00256982">
        <w:t>Use of urea-based catalysts in transport (2.D.3)</w:t>
      </w:r>
    </w:p>
    <w:p w14:paraId="4C8F05DC" w14:textId="77777777" w:rsidR="00806461" w:rsidRPr="00256982" w:rsidRDefault="00806461" w:rsidP="00806461">
      <w:pPr>
        <w:pStyle w:val="BodyText"/>
      </w:pPr>
      <w:r w:rsidRPr="00256982">
        <w:t xml:space="preserve">The activity data (quantity of DEF used) are estimated from total sales of diesel, with the assessment that 33 per cent of fuel is used in heavy vehicles and 51 per cent of the heavy vehicle fleet currently uses DEF. The amounts for years up to 2016 are estimated by back-casting the uptake of vehicles that require DEF over time. </w:t>
      </w:r>
    </w:p>
    <w:p w14:paraId="25E0B56C" w14:textId="77777777" w:rsidR="00806461" w:rsidRPr="00256982" w:rsidRDefault="00806461" w:rsidP="00806461">
      <w:pPr>
        <w:pStyle w:val="Heading5"/>
      </w:pPr>
      <w:r w:rsidRPr="00256982">
        <w:t>Asphalt paving and roofing and solvent use (2.D.3)</w:t>
      </w:r>
    </w:p>
    <w:p w14:paraId="389CA44F" w14:textId="77777777" w:rsidR="00806461" w:rsidRPr="00256982" w:rsidRDefault="00806461" w:rsidP="00806461">
      <w:pPr>
        <w:pStyle w:val="BodyText"/>
      </w:pPr>
      <w:r w:rsidRPr="00256982">
        <w:t xml:space="preserve">Three main bitumen production companies are operating in New Zealand that provide materials for road paving. Data on bitumen production and emission rates were provided by these companies (CRL Energy, </w:t>
      </w:r>
      <w:r w:rsidRPr="00256982">
        <w:rPr>
          <w:rFonts w:eastAsia="+mn-ea"/>
        </w:rPr>
        <w:t>unpublished(a)</w:t>
      </w:r>
      <w:r w:rsidRPr="00256982">
        <w:t xml:space="preserve">). One company is also manufacturing asphalt roofing in New Zealand. </w:t>
      </w:r>
    </w:p>
    <w:p w14:paraId="6C584DC1" w14:textId="77777777" w:rsidR="00806461" w:rsidRPr="00256982" w:rsidRDefault="00806461" w:rsidP="00806461">
      <w:pPr>
        <w:pStyle w:val="BodyText"/>
      </w:pPr>
      <w:r w:rsidRPr="00256982">
        <w:t xml:space="preserve">Solvent use was estimated in 2006 (CRL Energy, </w:t>
      </w:r>
      <w:r w:rsidRPr="00256982">
        <w:rPr>
          <w:rFonts w:eastAsia="+mn-ea"/>
        </w:rPr>
        <w:t>unpublished(a)</w:t>
      </w:r>
      <w:r w:rsidRPr="00256982">
        <w:t xml:space="preserve">) and, for all of these sources, activity data for the years up to 2005 have been extrapolated for 2006–17 in the absence of any updated information. </w:t>
      </w:r>
    </w:p>
    <w:p w14:paraId="12ABC3E7" w14:textId="77777777" w:rsidR="00806461" w:rsidRPr="00256982" w:rsidRDefault="00806461" w:rsidP="00A72006">
      <w:pPr>
        <w:pStyle w:val="Heading4"/>
      </w:pPr>
      <w:r w:rsidRPr="00256982">
        <w:t>Choice of methods</w:t>
      </w:r>
    </w:p>
    <w:p w14:paraId="62871FDA" w14:textId="77777777" w:rsidR="00806461" w:rsidRPr="00256982" w:rsidRDefault="00806461" w:rsidP="00806461">
      <w:pPr>
        <w:pStyle w:val="BodyText"/>
      </w:pPr>
      <w:r w:rsidRPr="00256982">
        <w:t xml:space="preserve">Tier 1 methods (IPCC, 2006a and 2006b) are used to estimate all emissions in this category. Only approximate activity data are available, with no country-specific information on the amounts of lubricant and paraffin wax used for specific applications. For this reason, the IPCC Tier 1 approach is used (IPCC, 2006a). </w:t>
      </w:r>
    </w:p>
    <w:p w14:paraId="74DDCB1A" w14:textId="77777777" w:rsidR="00806461" w:rsidRPr="00256982" w:rsidRDefault="00806461" w:rsidP="00A72006">
      <w:pPr>
        <w:pStyle w:val="Heading4"/>
        <w:rPr>
          <w:bCs/>
          <w:iCs/>
        </w:rPr>
      </w:pPr>
      <w:r w:rsidRPr="00256982">
        <w:t>Choice of emission factors</w:t>
      </w:r>
    </w:p>
    <w:p w14:paraId="7BC5ADA3" w14:textId="77777777" w:rsidR="00806461" w:rsidRPr="00256982" w:rsidRDefault="00806461" w:rsidP="00440459">
      <w:pPr>
        <w:pStyle w:val="Heading5"/>
        <w:spacing w:before="160"/>
      </w:pPr>
      <w:r w:rsidRPr="00256982">
        <w:t>Lubricant use (2.D.1) and paraffin wax use (2.D.2)</w:t>
      </w:r>
    </w:p>
    <w:p w14:paraId="69A33688" w14:textId="77777777" w:rsidR="00806461" w:rsidRPr="00256982" w:rsidRDefault="00806461" w:rsidP="00806461">
      <w:pPr>
        <w:pStyle w:val="BodyText"/>
      </w:pPr>
      <w:r w:rsidRPr="00256982">
        <w:t xml:space="preserve">Default emission factors (carbon content and ‘oxidised during use’ factor) are used. </w:t>
      </w:r>
    </w:p>
    <w:p w14:paraId="356FE409" w14:textId="77777777" w:rsidR="00806461" w:rsidRPr="00256982" w:rsidRDefault="00806461" w:rsidP="00806461">
      <w:pPr>
        <w:pStyle w:val="Heading5"/>
      </w:pPr>
      <w:r w:rsidRPr="00256982">
        <w:lastRenderedPageBreak/>
        <w:t>Use of urea-based catalysts in transport (2.D.3)</w:t>
      </w:r>
    </w:p>
    <w:p w14:paraId="208C04F0" w14:textId="77777777" w:rsidR="00806461" w:rsidRPr="00256982" w:rsidRDefault="00806461" w:rsidP="00806461">
      <w:pPr>
        <w:pStyle w:val="BodyText"/>
      </w:pPr>
      <w:r w:rsidRPr="00256982">
        <w:t xml:space="preserve">Default emission factors are used. DEF sold in New Zealand conforms with international norms and contains 32.5 per cent urea, which is the default value. </w:t>
      </w:r>
    </w:p>
    <w:p w14:paraId="36A63298" w14:textId="77777777" w:rsidR="00806461" w:rsidRPr="00256982" w:rsidRDefault="00806461" w:rsidP="00806461">
      <w:pPr>
        <w:pStyle w:val="Heading5"/>
      </w:pPr>
      <w:r w:rsidRPr="00256982">
        <w:t>Asphalt paving and roofing and solvent use (2.D.3)</w:t>
      </w:r>
    </w:p>
    <w:p w14:paraId="20EFCF08" w14:textId="77777777" w:rsidR="00806461" w:rsidRPr="00256982" w:rsidRDefault="00806461" w:rsidP="00806461">
      <w:pPr>
        <w:pStyle w:val="BodyText"/>
      </w:pPr>
      <w:r w:rsidRPr="00256982">
        <w:t xml:space="preserve">The bitumen content of road paving used in New Zealand is about 6 per cent, which is lower than commonly used in most countries. The NMVOC emissions from road paving are calculated using a country-specific method based on the fraction of bitumen in asphalt used in road paving material, the fraction of solvent added to bitumen and an assessment that 75 per cent of the solvent added will be emitted (see table 4.5.1). </w:t>
      </w:r>
    </w:p>
    <w:p w14:paraId="2AE62945" w14:textId="77777777" w:rsidR="00806461" w:rsidRPr="00256982" w:rsidRDefault="00806461" w:rsidP="00806461">
      <w:pPr>
        <w:pStyle w:val="Table"/>
      </w:pPr>
      <w:bookmarkStart w:id="437" w:name="_Toc451176073"/>
      <w:bookmarkStart w:id="438" w:name="_Toc5269463"/>
      <w:r w:rsidRPr="00256982">
        <w:t xml:space="preserve">Table 4.5.1 </w:t>
      </w:r>
      <w:r w:rsidRPr="00256982">
        <w:tab/>
        <w:t>Calculation of NMVOC emissions from road paving</w:t>
      </w:r>
      <w:bookmarkEnd w:id="437"/>
      <w:bookmarkEnd w:id="438"/>
    </w:p>
    <w:tbl>
      <w:tblPr>
        <w:tblW w:w="8562" w:type="dxa"/>
        <w:tblInd w:w="108" w:type="dxa"/>
        <w:tblLook w:val="04A0" w:firstRow="1" w:lastRow="0" w:firstColumn="1" w:lastColumn="0" w:noHBand="0" w:noVBand="1"/>
      </w:tblPr>
      <w:tblGrid>
        <w:gridCol w:w="8562"/>
      </w:tblGrid>
      <w:tr w:rsidR="00806461" w:rsidRPr="00256982" w14:paraId="11A985A5" w14:textId="77777777" w:rsidTr="00440459">
        <w:tc>
          <w:tcPr>
            <w:tcW w:w="4565" w:type="dxa"/>
            <w:tcBorders>
              <w:top w:val="single" w:sz="4" w:space="0" w:color="365F91"/>
              <w:left w:val="nil"/>
              <w:bottom w:val="single" w:sz="4" w:space="0" w:color="365F91"/>
              <w:right w:val="nil"/>
            </w:tcBorders>
            <w:shd w:val="clear" w:color="auto" w:fill="365F91"/>
            <w:hideMark/>
          </w:tcPr>
          <w:p w14:paraId="5AC9FADB" w14:textId="77777777" w:rsidR="00806461" w:rsidRPr="00256982" w:rsidRDefault="00806461">
            <w:pPr>
              <w:pStyle w:val="TableTextBold"/>
              <w:rPr>
                <w:noProof w:val="0"/>
                <w:color w:val="FFFFFF"/>
                <w:sz w:val="18"/>
                <w:szCs w:val="18"/>
              </w:rPr>
            </w:pPr>
            <w:r w:rsidRPr="00256982">
              <w:rPr>
                <w:noProof w:val="0"/>
                <w:color w:val="FFFFFF"/>
              </w:rPr>
              <w:t>Calculation of NMVOC emissions from road paving</w:t>
            </w:r>
          </w:p>
        </w:tc>
      </w:tr>
      <w:tr w:rsidR="00806461" w:rsidRPr="00256982" w14:paraId="64463E63" w14:textId="77777777" w:rsidTr="00440459">
        <w:tc>
          <w:tcPr>
            <w:tcW w:w="4565" w:type="dxa"/>
            <w:tcBorders>
              <w:top w:val="single" w:sz="4" w:space="0" w:color="365F91"/>
              <w:left w:val="nil"/>
              <w:bottom w:val="single" w:sz="4" w:space="0" w:color="365F91"/>
              <w:right w:val="nil"/>
            </w:tcBorders>
            <w:hideMark/>
          </w:tcPr>
          <w:p w14:paraId="2F78B581" w14:textId="77777777" w:rsidR="00806461" w:rsidRPr="00256982" w:rsidRDefault="00806461" w:rsidP="0023070D">
            <w:pPr>
              <w:pStyle w:val="TableText"/>
              <w:spacing w:before="50" w:after="50"/>
            </w:pPr>
            <w:r w:rsidRPr="00256982">
              <w:t xml:space="preserve">NMVOC emitted = A × B × C × D </w:t>
            </w:r>
          </w:p>
          <w:p w14:paraId="44D7CFEF" w14:textId="77777777" w:rsidR="00806461" w:rsidRPr="00256982" w:rsidRDefault="00806461" w:rsidP="0023070D">
            <w:pPr>
              <w:pStyle w:val="TableText"/>
              <w:spacing w:before="50" w:after="50"/>
            </w:pPr>
            <w:r w:rsidRPr="00256982">
              <w:t xml:space="preserve">Where: </w:t>
            </w:r>
          </w:p>
          <w:p w14:paraId="2650D4E6" w14:textId="77777777" w:rsidR="00806461" w:rsidRPr="00256982" w:rsidRDefault="00806461" w:rsidP="0023070D">
            <w:pPr>
              <w:pStyle w:val="TableText"/>
              <w:spacing w:before="50" w:after="50"/>
              <w:rPr>
                <w:rFonts w:ascii="Calibri" w:hAnsi="Calibri" w:cs="Calibri"/>
              </w:rPr>
            </w:pPr>
            <w:r w:rsidRPr="00256982">
              <w:t>A = road paving material used (kt)</w:t>
            </w:r>
          </w:p>
          <w:p w14:paraId="06044391" w14:textId="77777777" w:rsidR="00806461" w:rsidRPr="00256982" w:rsidRDefault="00806461" w:rsidP="0023070D">
            <w:pPr>
              <w:pStyle w:val="TableText"/>
              <w:spacing w:before="50" w:after="50"/>
            </w:pPr>
            <w:r w:rsidRPr="00256982">
              <w:t>B = fraction by weight of bitumen in asphalt</w:t>
            </w:r>
          </w:p>
          <w:p w14:paraId="6CA0B424" w14:textId="77777777" w:rsidR="00806461" w:rsidRPr="00256982" w:rsidRDefault="00806461" w:rsidP="0023070D">
            <w:pPr>
              <w:pStyle w:val="TableText"/>
              <w:spacing w:before="50" w:after="50"/>
            </w:pPr>
            <w:r w:rsidRPr="00256982">
              <w:t>C = fraction of solvent added to bitumen (0.04)</w:t>
            </w:r>
          </w:p>
          <w:p w14:paraId="6C2BB832" w14:textId="77777777" w:rsidR="00806461" w:rsidRPr="00256982" w:rsidRDefault="00806461" w:rsidP="0023070D">
            <w:pPr>
              <w:pStyle w:val="TableText"/>
              <w:spacing w:before="50" w:after="50"/>
            </w:pPr>
            <w:r w:rsidRPr="00256982">
              <w:t>D = fraction of solvent emitted (0.75)</w:t>
            </w:r>
          </w:p>
        </w:tc>
      </w:tr>
    </w:tbl>
    <w:p w14:paraId="75D44F47" w14:textId="77777777" w:rsidR="00806461" w:rsidRPr="00256982" w:rsidRDefault="00806461" w:rsidP="00806461">
      <w:pPr>
        <w:pStyle w:val="BodyText"/>
        <w:spacing w:before="240"/>
      </w:pPr>
      <w:r w:rsidRPr="00256982">
        <w:t xml:space="preserve">The fraction of bitumen in asphalt used in road paving materials was reduced over time as methods of laying roading improved (see table 4.5.2). </w:t>
      </w:r>
    </w:p>
    <w:p w14:paraId="6CF24589" w14:textId="77777777" w:rsidR="00806461" w:rsidRPr="00256982" w:rsidRDefault="00806461" w:rsidP="00806461">
      <w:pPr>
        <w:pStyle w:val="Table"/>
      </w:pPr>
      <w:bookmarkStart w:id="439" w:name="_Toc451176074"/>
      <w:bookmarkStart w:id="440" w:name="_Toc5269464"/>
      <w:r w:rsidRPr="00256982">
        <w:t xml:space="preserve">Table 4.5.2 </w:t>
      </w:r>
      <w:r w:rsidRPr="00256982">
        <w:tab/>
        <w:t>Fraction of bitumen in road paving material</w:t>
      </w:r>
      <w:bookmarkEnd w:id="439"/>
      <w:bookmarkEnd w:id="440"/>
    </w:p>
    <w:tbl>
      <w:tblPr>
        <w:tblW w:w="8562" w:type="dxa"/>
        <w:tblInd w:w="108" w:type="dxa"/>
        <w:tblLook w:val="04A0" w:firstRow="1" w:lastRow="0" w:firstColumn="1" w:lastColumn="0" w:noHBand="0" w:noVBand="1"/>
      </w:tblPr>
      <w:tblGrid>
        <w:gridCol w:w="3417"/>
        <w:gridCol w:w="5145"/>
      </w:tblGrid>
      <w:tr w:rsidR="00806461" w:rsidRPr="00256982" w14:paraId="4F27DAFD" w14:textId="77777777" w:rsidTr="00440459">
        <w:tc>
          <w:tcPr>
            <w:tcW w:w="2263" w:type="dxa"/>
            <w:tcBorders>
              <w:top w:val="single" w:sz="4" w:space="0" w:color="365F91"/>
              <w:left w:val="nil"/>
              <w:bottom w:val="single" w:sz="4" w:space="0" w:color="365F91"/>
              <w:right w:val="nil"/>
            </w:tcBorders>
            <w:shd w:val="clear" w:color="auto" w:fill="365F91"/>
            <w:hideMark/>
          </w:tcPr>
          <w:p w14:paraId="25628498" w14:textId="77777777" w:rsidR="00806461" w:rsidRPr="00256982" w:rsidRDefault="00806461" w:rsidP="0023070D">
            <w:pPr>
              <w:pStyle w:val="TableTextBold"/>
              <w:spacing w:before="50"/>
              <w:rPr>
                <w:bCs/>
                <w:noProof w:val="0"/>
                <w:color w:val="FFFFFF"/>
              </w:rPr>
            </w:pPr>
            <w:r w:rsidRPr="00256982">
              <w:rPr>
                <w:noProof w:val="0"/>
                <w:color w:val="FFFFFF"/>
              </w:rPr>
              <w:t>Reporting years</w:t>
            </w:r>
          </w:p>
        </w:tc>
        <w:tc>
          <w:tcPr>
            <w:tcW w:w="3407" w:type="dxa"/>
            <w:tcBorders>
              <w:top w:val="single" w:sz="4" w:space="0" w:color="365F91"/>
              <w:left w:val="nil"/>
              <w:bottom w:val="single" w:sz="4" w:space="0" w:color="365F91"/>
              <w:right w:val="nil"/>
            </w:tcBorders>
            <w:shd w:val="clear" w:color="auto" w:fill="365F91"/>
            <w:hideMark/>
          </w:tcPr>
          <w:p w14:paraId="4F857D61" w14:textId="77777777" w:rsidR="00806461" w:rsidRPr="00256982" w:rsidRDefault="00806461" w:rsidP="0023070D">
            <w:pPr>
              <w:pStyle w:val="TableTextBold"/>
              <w:spacing w:before="50"/>
              <w:rPr>
                <w:bCs/>
                <w:noProof w:val="0"/>
                <w:color w:val="FFFFFF"/>
              </w:rPr>
            </w:pPr>
            <w:r w:rsidRPr="00256982">
              <w:rPr>
                <w:noProof w:val="0"/>
                <w:color w:val="FFFFFF"/>
              </w:rPr>
              <w:t>Fraction by weight of bitumen in asphalt (B above)</w:t>
            </w:r>
          </w:p>
        </w:tc>
      </w:tr>
      <w:tr w:rsidR="00806461" w:rsidRPr="00256982" w14:paraId="2E323058" w14:textId="77777777" w:rsidTr="00440459">
        <w:tc>
          <w:tcPr>
            <w:tcW w:w="2263" w:type="dxa"/>
            <w:tcBorders>
              <w:top w:val="single" w:sz="4" w:space="0" w:color="365F91"/>
              <w:left w:val="nil"/>
              <w:bottom w:val="nil"/>
              <w:right w:val="nil"/>
            </w:tcBorders>
            <w:hideMark/>
          </w:tcPr>
          <w:p w14:paraId="4708F334" w14:textId="77777777" w:rsidR="00806461" w:rsidRPr="00256982" w:rsidRDefault="00806461" w:rsidP="0023070D">
            <w:pPr>
              <w:pStyle w:val="TableText"/>
              <w:spacing w:before="50"/>
            </w:pPr>
            <w:r w:rsidRPr="00256982">
              <w:t xml:space="preserve">1990–2001 </w:t>
            </w:r>
          </w:p>
        </w:tc>
        <w:tc>
          <w:tcPr>
            <w:tcW w:w="3407" w:type="dxa"/>
            <w:tcBorders>
              <w:top w:val="single" w:sz="4" w:space="0" w:color="365F91"/>
              <w:left w:val="nil"/>
              <w:bottom w:val="nil"/>
              <w:right w:val="nil"/>
            </w:tcBorders>
            <w:hideMark/>
          </w:tcPr>
          <w:p w14:paraId="3D66DCD2" w14:textId="77777777" w:rsidR="00806461" w:rsidRPr="00256982" w:rsidRDefault="00806461" w:rsidP="0023070D">
            <w:pPr>
              <w:pStyle w:val="TableText"/>
              <w:spacing w:before="50"/>
            </w:pPr>
            <w:r w:rsidRPr="00256982">
              <w:t>0.80</w:t>
            </w:r>
          </w:p>
        </w:tc>
      </w:tr>
      <w:tr w:rsidR="00806461" w:rsidRPr="00256982" w14:paraId="600B94EF" w14:textId="77777777" w:rsidTr="00440459">
        <w:tc>
          <w:tcPr>
            <w:tcW w:w="2263" w:type="dxa"/>
            <w:hideMark/>
          </w:tcPr>
          <w:p w14:paraId="56756174" w14:textId="77777777" w:rsidR="00806461" w:rsidRPr="00256982" w:rsidRDefault="00806461" w:rsidP="0023070D">
            <w:pPr>
              <w:pStyle w:val="TableText"/>
              <w:spacing w:before="50"/>
            </w:pPr>
            <w:r w:rsidRPr="00256982">
              <w:t>2002–2003</w:t>
            </w:r>
          </w:p>
        </w:tc>
        <w:tc>
          <w:tcPr>
            <w:tcW w:w="3407" w:type="dxa"/>
            <w:hideMark/>
          </w:tcPr>
          <w:p w14:paraId="702895E6" w14:textId="77777777" w:rsidR="00806461" w:rsidRPr="00256982" w:rsidRDefault="00806461" w:rsidP="0023070D">
            <w:pPr>
              <w:pStyle w:val="TableText"/>
              <w:spacing w:before="50"/>
            </w:pPr>
            <w:r w:rsidRPr="00256982">
              <w:t>0.65</w:t>
            </w:r>
          </w:p>
        </w:tc>
      </w:tr>
      <w:tr w:rsidR="00806461" w:rsidRPr="00256982" w14:paraId="1D70CD0D" w14:textId="77777777" w:rsidTr="00440459">
        <w:tc>
          <w:tcPr>
            <w:tcW w:w="2263" w:type="dxa"/>
            <w:tcBorders>
              <w:top w:val="nil"/>
              <w:left w:val="nil"/>
              <w:bottom w:val="single" w:sz="4" w:space="0" w:color="365F91"/>
              <w:right w:val="nil"/>
            </w:tcBorders>
            <w:hideMark/>
          </w:tcPr>
          <w:p w14:paraId="375D82BF" w14:textId="77777777" w:rsidR="00806461" w:rsidRPr="00256982" w:rsidRDefault="00806461" w:rsidP="0023070D">
            <w:pPr>
              <w:pStyle w:val="TableText"/>
              <w:spacing w:before="50"/>
            </w:pPr>
            <w:r w:rsidRPr="00256982">
              <w:t>2004–2017</w:t>
            </w:r>
          </w:p>
        </w:tc>
        <w:tc>
          <w:tcPr>
            <w:tcW w:w="3407" w:type="dxa"/>
            <w:tcBorders>
              <w:top w:val="nil"/>
              <w:left w:val="nil"/>
              <w:bottom w:val="single" w:sz="4" w:space="0" w:color="365F91"/>
              <w:right w:val="nil"/>
            </w:tcBorders>
            <w:hideMark/>
          </w:tcPr>
          <w:p w14:paraId="196D9EC6" w14:textId="77777777" w:rsidR="00806461" w:rsidRPr="00256982" w:rsidRDefault="00806461" w:rsidP="0023070D">
            <w:pPr>
              <w:pStyle w:val="TableText"/>
              <w:spacing w:before="50"/>
            </w:pPr>
            <w:r w:rsidRPr="00256982">
              <w:t>0.60</w:t>
            </w:r>
          </w:p>
        </w:tc>
      </w:tr>
    </w:tbl>
    <w:p w14:paraId="0B772B44" w14:textId="77777777" w:rsidR="00806461" w:rsidRPr="00256982" w:rsidRDefault="00806461" w:rsidP="00806461">
      <w:pPr>
        <w:pStyle w:val="BodyText"/>
        <w:spacing w:before="240"/>
      </w:pPr>
      <w:r w:rsidRPr="00256982">
        <w:t xml:space="preserve">For asphalt used as roofing material, IPCC default emission factors of 0.05 kilograms NMVOC and 0.0095 kilograms CO per tonne of product have been used. </w:t>
      </w:r>
    </w:p>
    <w:p w14:paraId="75C38460" w14:textId="77777777" w:rsidR="00806461" w:rsidRPr="00256982" w:rsidRDefault="00806461" w:rsidP="0023070D">
      <w:pPr>
        <w:pStyle w:val="Heading3"/>
        <w:spacing w:before="240"/>
      </w:pPr>
      <w:r w:rsidRPr="00256982">
        <w:t xml:space="preserve">4.5.3 </w:t>
      </w:r>
      <w:r w:rsidRPr="00256982">
        <w:tab/>
        <w:t>Uncertainties and time-series consistency</w:t>
      </w:r>
    </w:p>
    <w:p w14:paraId="68BA4B50" w14:textId="77777777" w:rsidR="00806461" w:rsidRPr="00256982" w:rsidRDefault="00806461" w:rsidP="00A72006">
      <w:pPr>
        <w:pStyle w:val="Heading4"/>
        <w:rPr>
          <w:bCs/>
          <w:iCs/>
        </w:rPr>
      </w:pPr>
      <w:r w:rsidRPr="00256982">
        <w:t>Uncertainties</w:t>
      </w:r>
    </w:p>
    <w:p w14:paraId="4DE82064" w14:textId="77777777" w:rsidR="00806461" w:rsidRPr="00256982" w:rsidRDefault="00806461" w:rsidP="00806461">
      <w:pPr>
        <w:pStyle w:val="BodyText"/>
      </w:pPr>
      <w:r w:rsidRPr="00256982">
        <w:t>IPCC default uncertainty is estimated for CO</w:t>
      </w:r>
      <w:r w:rsidRPr="00256982">
        <w:rPr>
          <w:vertAlign w:val="subscript"/>
        </w:rPr>
        <w:t>2</w:t>
      </w:r>
      <w:r w:rsidRPr="00256982">
        <w:t xml:space="preserve"> from lubricant use. The uncertainties used for indirect emissions in this source category are a mix of defaults and country specific. These uncertainties are shown in table 4.5.3. </w:t>
      </w:r>
    </w:p>
    <w:p w14:paraId="5D2F7E7C" w14:textId="77777777" w:rsidR="00806461" w:rsidRPr="00256982" w:rsidRDefault="00806461" w:rsidP="00806461">
      <w:pPr>
        <w:pStyle w:val="Table"/>
      </w:pPr>
      <w:bookmarkStart w:id="441" w:name="_Toc451176075"/>
      <w:bookmarkStart w:id="442" w:name="_Toc5269465"/>
      <w:r w:rsidRPr="00256982">
        <w:t>Table 4.5.3</w:t>
      </w:r>
      <w:r w:rsidRPr="00256982">
        <w:tab/>
        <w:t>Uncertainty in emissions in non-energy products from fuels and solvent use</w:t>
      </w:r>
      <w:bookmarkEnd w:id="441"/>
      <w:bookmarkEnd w:id="442"/>
    </w:p>
    <w:tbl>
      <w:tblPr>
        <w:tblW w:w="8562" w:type="dxa"/>
        <w:tblInd w:w="108" w:type="dxa"/>
        <w:tblBorders>
          <w:top w:val="single" w:sz="6" w:space="0" w:color="365F91"/>
          <w:bottom w:val="single" w:sz="6" w:space="0" w:color="365F91"/>
          <w:insideH w:val="single" w:sz="6" w:space="0" w:color="365F91"/>
        </w:tblBorders>
        <w:tblCellMar>
          <w:left w:w="85" w:type="dxa"/>
          <w:right w:w="85" w:type="dxa"/>
        </w:tblCellMar>
        <w:tblLook w:val="04A0" w:firstRow="1" w:lastRow="0" w:firstColumn="1" w:lastColumn="0" w:noHBand="0" w:noVBand="1"/>
      </w:tblPr>
      <w:tblGrid>
        <w:gridCol w:w="3014"/>
        <w:gridCol w:w="2714"/>
        <w:gridCol w:w="2834"/>
      </w:tblGrid>
      <w:tr w:rsidR="00806461" w:rsidRPr="00256982" w14:paraId="0F3C8DC5" w14:textId="77777777" w:rsidTr="0023070D">
        <w:tc>
          <w:tcPr>
            <w:tcW w:w="2835" w:type="dxa"/>
            <w:tcBorders>
              <w:top w:val="single" w:sz="4" w:space="0" w:color="365F91"/>
              <w:left w:val="nil"/>
              <w:bottom w:val="single" w:sz="4" w:space="0" w:color="365F91"/>
              <w:right w:val="nil"/>
            </w:tcBorders>
            <w:shd w:val="clear" w:color="auto" w:fill="365F91"/>
            <w:hideMark/>
          </w:tcPr>
          <w:p w14:paraId="021432F1" w14:textId="77777777" w:rsidR="00806461" w:rsidRPr="00256982" w:rsidRDefault="00806461" w:rsidP="0023070D">
            <w:pPr>
              <w:pStyle w:val="TableTextBold"/>
              <w:keepNext/>
              <w:spacing w:before="50" w:after="50"/>
              <w:rPr>
                <w:noProof w:val="0"/>
                <w:color w:val="FFFFFF"/>
              </w:rPr>
            </w:pPr>
            <w:r w:rsidRPr="00256982">
              <w:rPr>
                <w:noProof w:val="0"/>
                <w:color w:val="FFFFFF"/>
              </w:rPr>
              <w:t>Category</w:t>
            </w:r>
          </w:p>
        </w:tc>
        <w:tc>
          <w:tcPr>
            <w:tcW w:w="2552" w:type="dxa"/>
            <w:tcBorders>
              <w:top w:val="single" w:sz="4" w:space="0" w:color="365F91"/>
              <w:left w:val="nil"/>
              <w:bottom w:val="single" w:sz="4" w:space="0" w:color="365F91"/>
              <w:right w:val="nil"/>
            </w:tcBorders>
            <w:shd w:val="clear" w:color="auto" w:fill="365F91"/>
            <w:hideMark/>
          </w:tcPr>
          <w:p w14:paraId="5BF2FD7F" w14:textId="77777777" w:rsidR="00806461" w:rsidRPr="00256982" w:rsidRDefault="00806461" w:rsidP="0023070D">
            <w:pPr>
              <w:pStyle w:val="TableTextBold"/>
              <w:spacing w:before="50" w:after="50"/>
              <w:rPr>
                <w:noProof w:val="0"/>
                <w:color w:val="FFFFFF"/>
              </w:rPr>
            </w:pPr>
            <w:r w:rsidRPr="00256982">
              <w:rPr>
                <w:noProof w:val="0"/>
                <w:color w:val="FFFFFF"/>
              </w:rPr>
              <w:t>Uncertainty in activity data (%)</w:t>
            </w:r>
          </w:p>
        </w:tc>
        <w:tc>
          <w:tcPr>
            <w:tcW w:w="2665" w:type="dxa"/>
            <w:tcBorders>
              <w:top w:val="single" w:sz="4" w:space="0" w:color="365F91"/>
              <w:left w:val="nil"/>
              <w:bottom w:val="single" w:sz="4" w:space="0" w:color="365F91"/>
              <w:right w:val="nil"/>
            </w:tcBorders>
            <w:shd w:val="clear" w:color="auto" w:fill="365F91"/>
            <w:tcMar>
              <w:right w:w="57" w:type="dxa"/>
            </w:tcMar>
            <w:hideMark/>
          </w:tcPr>
          <w:p w14:paraId="13F3E8F4" w14:textId="77777777" w:rsidR="00806461" w:rsidRPr="00256982" w:rsidRDefault="00806461" w:rsidP="0023070D">
            <w:pPr>
              <w:pStyle w:val="TableTextBold"/>
              <w:spacing w:before="50" w:after="50"/>
              <w:rPr>
                <w:noProof w:val="0"/>
                <w:color w:val="FFFFFF"/>
              </w:rPr>
            </w:pPr>
            <w:r w:rsidRPr="00256982">
              <w:rPr>
                <w:noProof w:val="0"/>
                <w:color w:val="FFFFFF"/>
              </w:rPr>
              <w:t>Uncertainty in emission factors (%)</w:t>
            </w:r>
          </w:p>
        </w:tc>
      </w:tr>
      <w:tr w:rsidR="00806461" w:rsidRPr="00256982" w14:paraId="61B5474E" w14:textId="77777777" w:rsidTr="0023070D">
        <w:tc>
          <w:tcPr>
            <w:tcW w:w="2835" w:type="dxa"/>
            <w:tcBorders>
              <w:top w:val="single" w:sz="4" w:space="0" w:color="365F91"/>
              <w:left w:val="nil"/>
              <w:bottom w:val="single" w:sz="6" w:space="0" w:color="365F91"/>
              <w:right w:val="nil"/>
            </w:tcBorders>
            <w:shd w:val="clear" w:color="auto" w:fill="FFFFFF"/>
            <w:hideMark/>
          </w:tcPr>
          <w:p w14:paraId="211769BA" w14:textId="77777777" w:rsidR="00806461" w:rsidRPr="00256982" w:rsidRDefault="00806461" w:rsidP="0023070D">
            <w:pPr>
              <w:pStyle w:val="TableText"/>
              <w:spacing w:before="50" w:after="50"/>
            </w:pPr>
            <w:r w:rsidRPr="00256982">
              <w:t>Lubricant use</w:t>
            </w:r>
          </w:p>
        </w:tc>
        <w:tc>
          <w:tcPr>
            <w:tcW w:w="2552" w:type="dxa"/>
            <w:tcBorders>
              <w:top w:val="single" w:sz="4" w:space="0" w:color="365F91"/>
              <w:left w:val="nil"/>
              <w:bottom w:val="single" w:sz="6" w:space="0" w:color="365F91"/>
              <w:right w:val="nil"/>
            </w:tcBorders>
            <w:shd w:val="clear" w:color="auto" w:fill="FFFFFF"/>
            <w:hideMark/>
          </w:tcPr>
          <w:p w14:paraId="1A3FD007" w14:textId="77777777" w:rsidR="00806461" w:rsidRPr="00256982" w:rsidRDefault="00806461" w:rsidP="0023070D">
            <w:pPr>
              <w:pStyle w:val="TableText"/>
              <w:spacing w:before="50" w:after="50"/>
              <w:jc w:val="center"/>
            </w:pPr>
            <w:r w:rsidRPr="00256982">
              <w:t>±20</w:t>
            </w:r>
          </w:p>
        </w:tc>
        <w:tc>
          <w:tcPr>
            <w:tcW w:w="2665" w:type="dxa"/>
            <w:tcBorders>
              <w:top w:val="single" w:sz="4" w:space="0" w:color="365F91"/>
              <w:left w:val="nil"/>
              <w:bottom w:val="single" w:sz="6" w:space="0" w:color="365F91"/>
              <w:right w:val="nil"/>
            </w:tcBorders>
            <w:shd w:val="clear" w:color="auto" w:fill="FFFFFF"/>
            <w:tcMar>
              <w:right w:w="57" w:type="dxa"/>
            </w:tcMar>
            <w:hideMark/>
          </w:tcPr>
          <w:p w14:paraId="1D1C4CA6" w14:textId="77777777" w:rsidR="00806461" w:rsidRPr="00256982" w:rsidRDefault="00806461" w:rsidP="0023070D">
            <w:pPr>
              <w:pStyle w:val="TableText"/>
              <w:spacing w:before="50" w:after="50"/>
              <w:ind w:right="964"/>
              <w:jc w:val="right"/>
            </w:pPr>
            <w:r w:rsidRPr="00256982">
              <w:t>±50</w:t>
            </w:r>
          </w:p>
        </w:tc>
      </w:tr>
      <w:tr w:rsidR="00806461" w:rsidRPr="00256982" w14:paraId="09C209DA" w14:textId="77777777" w:rsidTr="0023070D">
        <w:tc>
          <w:tcPr>
            <w:tcW w:w="2835" w:type="dxa"/>
            <w:tcBorders>
              <w:top w:val="single" w:sz="6" w:space="0" w:color="365F91"/>
              <w:left w:val="nil"/>
              <w:bottom w:val="single" w:sz="6" w:space="0" w:color="365F91"/>
              <w:right w:val="nil"/>
            </w:tcBorders>
            <w:shd w:val="clear" w:color="auto" w:fill="FFFFFF"/>
            <w:hideMark/>
          </w:tcPr>
          <w:p w14:paraId="027D74B9" w14:textId="77777777" w:rsidR="00806461" w:rsidRPr="00256982" w:rsidRDefault="00806461" w:rsidP="0023070D">
            <w:pPr>
              <w:pStyle w:val="TableText"/>
              <w:spacing w:before="50" w:after="50"/>
            </w:pPr>
            <w:r w:rsidRPr="00256982">
              <w:t>Paraffin wax use</w:t>
            </w:r>
          </w:p>
        </w:tc>
        <w:tc>
          <w:tcPr>
            <w:tcW w:w="2552" w:type="dxa"/>
            <w:tcBorders>
              <w:top w:val="single" w:sz="6" w:space="0" w:color="365F91"/>
              <w:left w:val="nil"/>
              <w:bottom w:val="single" w:sz="6" w:space="0" w:color="365F91"/>
              <w:right w:val="nil"/>
            </w:tcBorders>
            <w:shd w:val="clear" w:color="auto" w:fill="FFFFFF"/>
            <w:hideMark/>
          </w:tcPr>
          <w:p w14:paraId="21F39A93" w14:textId="77777777" w:rsidR="00806461" w:rsidRPr="00256982" w:rsidRDefault="00806461" w:rsidP="0023070D">
            <w:pPr>
              <w:pStyle w:val="TableText"/>
              <w:spacing w:before="50" w:after="50"/>
              <w:jc w:val="center"/>
            </w:pPr>
            <w:r w:rsidRPr="00256982">
              <w:t>±20</w:t>
            </w:r>
          </w:p>
        </w:tc>
        <w:tc>
          <w:tcPr>
            <w:tcW w:w="2665" w:type="dxa"/>
            <w:tcBorders>
              <w:top w:val="single" w:sz="6" w:space="0" w:color="365F91"/>
              <w:left w:val="nil"/>
              <w:bottom w:val="single" w:sz="6" w:space="0" w:color="365F91"/>
              <w:right w:val="nil"/>
            </w:tcBorders>
            <w:shd w:val="clear" w:color="auto" w:fill="FFFFFF"/>
            <w:tcMar>
              <w:right w:w="57" w:type="dxa"/>
            </w:tcMar>
            <w:hideMark/>
          </w:tcPr>
          <w:p w14:paraId="197DCA2E" w14:textId="77777777" w:rsidR="00806461" w:rsidRPr="00256982" w:rsidRDefault="00806461" w:rsidP="0023070D">
            <w:pPr>
              <w:pStyle w:val="TableText"/>
              <w:spacing w:before="50" w:after="50"/>
              <w:ind w:right="964"/>
              <w:jc w:val="right"/>
            </w:pPr>
            <w:r w:rsidRPr="00256982">
              <w:t>±100</w:t>
            </w:r>
          </w:p>
        </w:tc>
      </w:tr>
      <w:tr w:rsidR="00806461" w:rsidRPr="00256982" w14:paraId="6AB073BF" w14:textId="77777777" w:rsidTr="0023070D">
        <w:tc>
          <w:tcPr>
            <w:tcW w:w="2835" w:type="dxa"/>
            <w:tcBorders>
              <w:top w:val="single" w:sz="6" w:space="0" w:color="365F91"/>
              <w:left w:val="nil"/>
              <w:bottom w:val="single" w:sz="6" w:space="0" w:color="365F91"/>
              <w:right w:val="nil"/>
            </w:tcBorders>
            <w:shd w:val="clear" w:color="auto" w:fill="FFFFFF"/>
            <w:hideMark/>
          </w:tcPr>
          <w:p w14:paraId="74009A14" w14:textId="77777777" w:rsidR="00806461" w:rsidRPr="00256982" w:rsidRDefault="00806461" w:rsidP="0023070D">
            <w:pPr>
              <w:pStyle w:val="TableText"/>
              <w:spacing w:before="50" w:after="50"/>
            </w:pPr>
            <w:r w:rsidRPr="00256982">
              <w:t>Asphalt road paving</w:t>
            </w:r>
          </w:p>
        </w:tc>
        <w:tc>
          <w:tcPr>
            <w:tcW w:w="2552" w:type="dxa"/>
            <w:tcBorders>
              <w:top w:val="single" w:sz="6" w:space="0" w:color="365F91"/>
              <w:left w:val="nil"/>
              <w:bottom w:val="single" w:sz="6" w:space="0" w:color="365F91"/>
              <w:right w:val="nil"/>
            </w:tcBorders>
            <w:shd w:val="clear" w:color="auto" w:fill="FFFFFF"/>
            <w:hideMark/>
          </w:tcPr>
          <w:p w14:paraId="5623DFB5" w14:textId="77777777" w:rsidR="00806461" w:rsidRPr="00256982" w:rsidRDefault="00806461" w:rsidP="0023070D">
            <w:pPr>
              <w:pStyle w:val="TableText"/>
              <w:spacing w:before="50" w:after="50"/>
              <w:jc w:val="center"/>
            </w:pPr>
            <w:r w:rsidRPr="00256982">
              <w:t>±40</w:t>
            </w:r>
          </w:p>
        </w:tc>
        <w:tc>
          <w:tcPr>
            <w:tcW w:w="2665" w:type="dxa"/>
            <w:tcBorders>
              <w:top w:val="single" w:sz="6" w:space="0" w:color="365F91"/>
              <w:left w:val="nil"/>
              <w:bottom w:val="single" w:sz="6" w:space="0" w:color="365F91"/>
              <w:right w:val="nil"/>
            </w:tcBorders>
            <w:shd w:val="clear" w:color="auto" w:fill="FFFFFF"/>
            <w:tcMar>
              <w:right w:w="57" w:type="dxa"/>
            </w:tcMar>
            <w:hideMark/>
          </w:tcPr>
          <w:p w14:paraId="394A1911" w14:textId="77777777" w:rsidR="00806461" w:rsidRPr="00256982" w:rsidRDefault="00806461" w:rsidP="0023070D">
            <w:pPr>
              <w:pStyle w:val="TableText"/>
              <w:spacing w:before="50" w:after="50"/>
              <w:ind w:right="964"/>
              <w:jc w:val="right"/>
            </w:pPr>
            <w:r w:rsidRPr="00256982">
              <w:t>±40</w:t>
            </w:r>
          </w:p>
        </w:tc>
      </w:tr>
      <w:tr w:rsidR="00806461" w:rsidRPr="00256982" w14:paraId="7B75BE3E" w14:textId="77777777" w:rsidTr="0023070D">
        <w:tc>
          <w:tcPr>
            <w:tcW w:w="2835" w:type="dxa"/>
            <w:tcBorders>
              <w:top w:val="single" w:sz="6" w:space="0" w:color="365F91"/>
              <w:left w:val="nil"/>
              <w:bottom w:val="single" w:sz="6" w:space="0" w:color="365F91"/>
              <w:right w:val="nil"/>
            </w:tcBorders>
            <w:shd w:val="clear" w:color="auto" w:fill="FFFFFF"/>
            <w:hideMark/>
          </w:tcPr>
          <w:p w14:paraId="0E5546AC" w14:textId="77777777" w:rsidR="00806461" w:rsidRPr="00256982" w:rsidRDefault="00806461" w:rsidP="0023070D">
            <w:pPr>
              <w:pStyle w:val="TableText"/>
              <w:spacing w:before="50" w:after="50"/>
            </w:pPr>
            <w:r w:rsidRPr="00256982">
              <w:t>Asphalt roofing</w:t>
            </w:r>
          </w:p>
        </w:tc>
        <w:tc>
          <w:tcPr>
            <w:tcW w:w="2552" w:type="dxa"/>
            <w:tcBorders>
              <w:top w:val="single" w:sz="6" w:space="0" w:color="365F91"/>
              <w:left w:val="nil"/>
              <w:bottom w:val="single" w:sz="6" w:space="0" w:color="365F91"/>
              <w:right w:val="nil"/>
            </w:tcBorders>
            <w:shd w:val="clear" w:color="auto" w:fill="FFFFFF"/>
            <w:hideMark/>
          </w:tcPr>
          <w:p w14:paraId="7884F79E" w14:textId="77777777" w:rsidR="00806461" w:rsidRPr="00256982" w:rsidRDefault="00806461" w:rsidP="0023070D">
            <w:pPr>
              <w:pStyle w:val="TableText"/>
              <w:spacing w:before="50" w:after="50"/>
              <w:jc w:val="center"/>
            </w:pPr>
            <w:r w:rsidRPr="00256982">
              <w:t>±50</w:t>
            </w:r>
          </w:p>
        </w:tc>
        <w:tc>
          <w:tcPr>
            <w:tcW w:w="2665" w:type="dxa"/>
            <w:tcBorders>
              <w:top w:val="single" w:sz="6" w:space="0" w:color="365F91"/>
              <w:left w:val="nil"/>
              <w:bottom w:val="single" w:sz="6" w:space="0" w:color="365F91"/>
              <w:right w:val="nil"/>
            </w:tcBorders>
            <w:shd w:val="clear" w:color="auto" w:fill="FFFFFF"/>
            <w:tcMar>
              <w:right w:w="57" w:type="dxa"/>
            </w:tcMar>
            <w:hideMark/>
          </w:tcPr>
          <w:p w14:paraId="201C5F03" w14:textId="77777777" w:rsidR="00806461" w:rsidRPr="00256982" w:rsidRDefault="00806461" w:rsidP="0023070D">
            <w:pPr>
              <w:pStyle w:val="TableText"/>
              <w:spacing w:before="50" w:after="50"/>
              <w:ind w:right="964"/>
              <w:jc w:val="right"/>
            </w:pPr>
            <w:r w:rsidRPr="00256982">
              <w:t>±40</w:t>
            </w:r>
          </w:p>
        </w:tc>
      </w:tr>
      <w:tr w:rsidR="00806461" w:rsidRPr="00256982" w14:paraId="5734FA92" w14:textId="77777777" w:rsidTr="0023070D">
        <w:tc>
          <w:tcPr>
            <w:tcW w:w="2835" w:type="dxa"/>
            <w:tcBorders>
              <w:top w:val="single" w:sz="6" w:space="0" w:color="365F91"/>
              <w:left w:val="nil"/>
              <w:bottom w:val="single" w:sz="6" w:space="0" w:color="365F91"/>
              <w:right w:val="nil"/>
            </w:tcBorders>
            <w:shd w:val="clear" w:color="auto" w:fill="FFFFFF"/>
            <w:hideMark/>
          </w:tcPr>
          <w:p w14:paraId="6F104DA7" w14:textId="77777777" w:rsidR="00806461" w:rsidRPr="00256982" w:rsidRDefault="00806461" w:rsidP="0023070D">
            <w:pPr>
              <w:pStyle w:val="TableText"/>
              <w:spacing w:before="50" w:after="50"/>
            </w:pPr>
            <w:r w:rsidRPr="00256982">
              <w:t>Paint application</w:t>
            </w:r>
          </w:p>
        </w:tc>
        <w:tc>
          <w:tcPr>
            <w:tcW w:w="2552" w:type="dxa"/>
            <w:tcBorders>
              <w:top w:val="single" w:sz="6" w:space="0" w:color="365F91"/>
              <w:left w:val="nil"/>
              <w:bottom w:val="single" w:sz="6" w:space="0" w:color="365F91"/>
              <w:right w:val="nil"/>
            </w:tcBorders>
            <w:shd w:val="clear" w:color="auto" w:fill="FFFFFF"/>
            <w:hideMark/>
          </w:tcPr>
          <w:p w14:paraId="5F7FE6B1" w14:textId="77777777" w:rsidR="00806461" w:rsidRPr="00256982" w:rsidRDefault="00806461" w:rsidP="0023070D">
            <w:pPr>
              <w:pStyle w:val="TableText"/>
              <w:spacing w:before="50" w:after="50"/>
              <w:jc w:val="center"/>
            </w:pPr>
            <w:r w:rsidRPr="00256982">
              <w:t>±40</w:t>
            </w:r>
          </w:p>
        </w:tc>
        <w:tc>
          <w:tcPr>
            <w:tcW w:w="2665" w:type="dxa"/>
            <w:tcBorders>
              <w:top w:val="single" w:sz="6" w:space="0" w:color="365F91"/>
              <w:left w:val="nil"/>
              <w:bottom w:val="single" w:sz="6" w:space="0" w:color="365F91"/>
              <w:right w:val="nil"/>
            </w:tcBorders>
            <w:shd w:val="clear" w:color="auto" w:fill="FFFFFF"/>
            <w:tcMar>
              <w:right w:w="57" w:type="dxa"/>
            </w:tcMar>
            <w:hideMark/>
          </w:tcPr>
          <w:p w14:paraId="48C20B36" w14:textId="77777777" w:rsidR="00806461" w:rsidRPr="00256982" w:rsidRDefault="00806461" w:rsidP="0023070D">
            <w:pPr>
              <w:pStyle w:val="TableText"/>
              <w:spacing w:before="50" w:after="50"/>
              <w:ind w:right="964"/>
              <w:jc w:val="right"/>
            </w:pPr>
            <w:r w:rsidRPr="00256982">
              <w:t>±50</w:t>
            </w:r>
          </w:p>
        </w:tc>
      </w:tr>
      <w:tr w:rsidR="00806461" w:rsidRPr="00256982" w14:paraId="5F3D4408" w14:textId="77777777" w:rsidTr="0023070D">
        <w:tc>
          <w:tcPr>
            <w:tcW w:w="2835" w:type="dxa"/>
            <w:tcBorders>
              <w:top w:val="single" w:sz="6" w:space="0" w:color="365F91"/>
              <w:left w:val="nil"/>
              <w:bottom w:val="single" w:sz="6" w:space="0" w:color="365F91"/>
              <w:right w:val="nil"/>
            </w:tcBorders>
            <w:shd w:val="clear" w:color="auto" w:fill="FFFFFF"/>
            <w:hideMark/>
          </w:tcPr>
          <w:p w14:paraId="267D98B8" w14:textId="77777777" w:rsidR="00806461" w:rsidRPr="00256982" w:rsidRDefault="00806461" w:rsidP="0023070D">
            <w:pPr>
              <w:pStyle w:val="TableText"/>
              <w:spacing w:before="50" w:after="50"/>
            </w:pPr>
            <w:r w:rsidRPr="00256982">
              <w:t>Degreasing and dry cleaning</w:t>
            </w:r>
          </w:p>
        </w:tc>
        <w:tc>
          <w:tcPr>
            <w:tcW w:w="2552" w:type="dxa"/>
            <w:tcBorders>
              <w:top w:val="single" w:sz="6" w:space="0" w:color="365F91"/>
              <w:left w:val="nil"/>
              <w:bottom w:val="single" w:sz="6" w:space="0" w:color="365F91"/>
              <w:right w:val="nil"/>
            </w:tcBorders>
            <w:shd w:val="clear" w:color="auto" w:fill="FFFFFF"/>
            <w:hideMark/>
          </w:tcPr>
          <w:p w14:paraId="3B5890FA" w14:textId="77777777" w:rsidR="00806461" w:rsidRPr="00256982" w:rsidRDefault="00806461" w:rsidP="0023070D">
            <w:pPr>
              <w:pStyle w:val="TableText"/>
              <w:spacing w:before="50" w:after="50"/>
              <w:jc w:val="center"/>
            </w:pPr>
            <w:r w:rsidRPr="00256982">
              <w:t>±40</w:t>
            </w:r>
          </w:p>
        </w:tc>
        <w:tc>
          <w:tcPr>
            <w:tcW w:w="2665" w:type="dxa"/>
            <w:tcBorders>
              <w:top w:val="single" w:sz="6" w:space="0" w:color="365F91"/>
              <w:left w:val="nil"/>
              <w:bottom w:val="single" w:sz="6" w:space="0" w:color="365F91"/>
              <w:right w:val="nil"/>
            </w:tcBorders>
            <w:shd w:val="clear" w:color="auto" w:fill="FFFFFF"/>
            <w:tcMar>
              <w:right w:w="57" w:type="dxa"/>
            </w:tcMar>
            <w:hideMark/>
          </w:tcPr>
          <w:p w14:paraId="4FBEA142" w14:textId="77777777" w:rsidR="00806461" w:rsidRPr="00256982" w:rsidRDefault="00806461" w:rsidP="0023070D">
            <w:pPr>
              <w:pStyle w:val="TableText"/>
              <w:spacing w:before="50" w:after="50"/>
              <w:ind w:right="964"/>
              <w:jc w:val="right"/>
            </w:pPr>
            <w:r w:rsidRPr="00256982">
              <w:t>±60</w:t>
            </w:r>
          </w:p>
        </w:tc>
      </w:tr>
      <w:tr w:rsidR="00806461" w:rsidRPr="00256982" w14:paraId="0DE2E4B7" w14:textId="77777777" w:rsidTr="0023070D">
        <w:tc>
          <w:tcPr>
            <w:tcW w:w="2835" w:type="dxa"/>
            <w:tcBorders>
              <w:top w:val="single" w:sz="6" w:space="0" w:color="365F91"/>
              <w:left w:val="nil"/>
              <w:bottom w:val="single" w:sz="6" w:space="0" w:color="365F91"/>
              <w:right w:val="nil"/>
            </w:tcBorders>
            <w:shd w:val="clear" w:color="auto" w:fill="FFFFFF"/>
            <w:hideMark/>
          </w:tcPr>
          <w:p w14:paraId="4C67C5B1" w14:textId="77777777" w:rsidR="00806461" w:rsidRPr="00256982" w:rsidRDefault="00806461" w:rsidP="0023070D">
            <w:pPr>
              <w:pStyle w:val="TableText"/>
              <w:spacing w:before="50" w:after="50"/>
            </w:pPr>
            <w:r w:rsidRPr="00256982">
              <w:t>Printing</w:t>
            </w:r>
          </w:p>
        </w:tc>
        <w:tc>
          <w:tcPr>
            <w:tcW w:w="2552" w:type="dxa"/>
            <w:tcBorders>
              <w:top w:val="single" w:sz="6" w:space="0" w:color="365F91"/>
              <w:left w:val="nil"/>
              <w:bottom w:val="single" w:sz="6" w:space="0" w:color="365F91"/>
              <w:right w:val="nil"/>
            </w:tcBorders>
            <w:shd w:val="clear" w:color="auto" w:fill="FFFFFF"/>
            <w:hideMark/>
          </w:tcPr>
          <w:p w14:paraId="4417E886" w14:textId="77777777" w:rsidR="00806461" w:rsidRPr="00256982" w:rsidRDefault="00806461" w:rsidP="0023070D">
            <w:pPr>
              <w:pStyle w:val="TableText"/>
              <w:spacing w:before="50" w:after="50"/>
              <w:jc w:val="center"/>
            </w:pPr>
            <w:r w:rsidRPr="00256982">
              <w:t>±50</w:t>
            </w:r>
          </w:p>
        </w:tc>
        <w:tc>
          <w:tcPr>
            <w:tcW w:w="2665" w:type="dxa"/>
            <w:tcBorders>
              <w:top w:val="single" w:sz="6" w:space="0" w:color="365F91"/>
              <w:left w:val="nil"/>
              <w:bottom w:val="single" w:sz="6" w:space="0" w:color="365F91"/>
              <w:right w:val="nil"/>
            </w:tcBorders>
            <w:shd w:val="clear" w:color="auto" w:fill="FFFFFF"/>
            <w:tcMar>
              <w:right w:w="57" w:type="dxa"/>
            </w:tcMar>
            <w:hideMark/>
          </w:tcPr>
          <w:p w14:paraId="6440329F" w14:textId="77777777" w:rsidR="00806461" w:rsidRPr="00256982" w:rsidRDefault="00806461" w:rsidP="0023070D">
            <w:pPr>
              <w:pStyle w:val="TableText"/>
              <w:spacing w:before="50" w:after="50"/>
              <w:ind w:right="964"/>
              <w:jc w:val="right"/>
            </w:pPr>
            <w:r w:rsidRPr="00256982">
              <w:t>±50</w:t>
            </w:r>
          </w:p>
        </w:tc>
      </w:tr>
      <w:tr w:rsidR="00806461" w:rsidRPr="00256982" w14:paraId="73788312" w14:textId="77777777" w:rsidTr="0023070D">
        <w:tc>
          <w:tcPr>
            <w:tcW w:w="2835" w:type="dxa"/>
            <w:tcBorders>
              <w:top w:val="single" w:sz="6" w:space="0" w:color="365F91"/>
              <w:left w:val="nil"/>
              <w:bottom w:val="single" w:sz="6" w:space="0" w:color="365F91"/>
              <w:right w:val="nil"/>
            </w:tcBorders>
            <w:shd w:val="clear" w:color="auto" w:fill="FFFFFF"/>
            <w:hideMark/>
          </w:tcPr>
          <w:p w14:paraId="546D09FC" w14:textId="77777777" w:rsidR="00806461" w:rsidRPr="00256982" w:rsidRDefault="00806461" w:rsidP="0023070D">
            <w:pPr>
              <w:pStyle w:val="TableText"/>
              <w:spacing w:before="50" w:after="50"/>
            </w:pPr>
            <w:r w:rsidRPr="00256982">
              <w:t>Domestic and commercial solvent use</w:t>
            </w:r>
          </w:p>
        </w:tc>
        <w:tc>
          <w:tcPr>
            <w:tcW w:w="2552" w:type="dxa"/>
            <w:tcBorders>
              <w:top w:val="single" w:sz="6" w:space="0" w:color="365F91"/>
              <w:left w:val="nil"/>
              <w:bottom w:val="single" w:sz="6" w:space="0" w:color="365F91"/>
              <w:right w:val="nil"/>
            </w:tcBorders>
            <w:shd w:val="clear" w:color="auto" w:fill="FFFFFF"/>
            <w:hideMark/>
          </w:tcPr>
          <w:p w14:paraId="7624E9A7" w14:textId="77777777" w:rsidR="00806461" w:rsidRPr="00256982" w:rsidRDefault="00806461" w:rsidP="0023070D">
            <w:pPr>
              <w:pStyle w:val="TableText"/>
              <w:spacing w:before="50" w:after="50"/>
              <w:jc w:val="center"/>
            </w:pPr>
            <w:r w:rsidRPr="00256982">
              <w:t>±50</w:t>
            </w:r>
          </w:p>
        </w:tc>
        <w:tc>
          <w:tcPr>
            <w:tcW w:w="2665" w:type="dxa"/>
            <w:tcBorders>
              <w:top w:val="single" w:sz="6" w:space="0" w:color="365F91"/>
              <w:left w:val="nil"/>
              <w:bottom w:val="single" w:sz="6" w:space="0" w:color="365F91"/>
              <w:right w:val="nil"/>
            </w:tcBorders>
            <w:shd w:val="clear" w:color="auto" w:fill="FFFFFF"/>
            <w:tcMar>
              <w:right w:w="57" w:type="dxa"/>
            </w:tcMar>
            <w:hideMark/>
          </w:tcPr>
          <w:p w14:paraId="01249519" w14:textId="77777777" w:rsidR="00806461" w:rsidRPr="00256982" w:rsidRDefault="00806461" w:rsidP="0023070D">
            <w:pPr>
              <w:pStyle w:val="TableText"/>
              <w:spacing w:before="50" w:after="50"/>
              <w:ind w:right="964"/>
              <w:jc w:val="right"/>
            </w:pPr>
            <w:r w:rsidRPr="00256982">
              <w:t>±60</w:t>
            </w:r>
          </w:p>
        </w:tc>
      </w:tr>
    </w:tbl>
    <w:p w14:paraId="71494312" w14:textId="77777777" w:rsidR="00806461" w:rsidRPr="00256982" w:rsidRDefault="00806461" w:rsidP="00A72006">
      <w:pPr>
        <w:pStyle w:val="Heading4"/>
        <w:rPr>
          <w:bCs/>
          <w:iCs/>
        </w:rPr>
      </w:pPr>
      <w:r w:rsidRPr="00256982">
        <w:lastRenderedPageBreak/>
        <w:t>Time-series consistency</w:t>
      </w:r>
    </w:p>
    <w:p w14:paraId="229F06BF" w14:textId="41622744" w:rsidR="00806461" w:rsidRPr="00256982" w:rsidRDefault="00806461" w:rsidP="007A7194">
      <w:pPr>
        <w:pStyle w:val="BodyText"/>
        <w:spacing w:before="100" w:after="100"/>
      </w:pPr>
      <w:r w:rsidRPr="00256982">
        <w:t>For CO</w:t>
      </w:r>
      <w:r w:rsidRPr="00256982">
        <w:rPr>
          <w:vertAlign w:val="subscript"/>
        </w:rPr>
        <w:t>2</w:t>
      </w:r>
      <w:r w:rsidRPr="00256982">
        <w:t xml:space="preserve"> emissions in this source category, the activity data have been extrapolated and emission factors are defaults. The implied emissions factors and time-series consistency reflect</w:t>
      </w:r>
      <w:r w:rsidR="007A7194" w:rsidRPr="00256982">
        <w:t> </w:t>
      </w:r>
      <w:r w:rsidRPr="00256982">
        <w:t xml:space="preserve">this. </w:t>
      </w:r>
    </w:p>
    <w:p w14:paraId="49D294F1" w14:textId="77777777" w:rsidR="00806461" w:rsidRPr="00256982" w:rsidRDefault="00806461" w:rsidP="007A7194">
      <w:pPr>
        <w:pStyle w:val="Heading3"/>
        <w:spacing w:before="320"/>
      </w:pPr>
      <w:r w:rsidRPr="00256982">
        <w:t>4.5.4</w:t>
      </w:r>
      <w:r w:rsidRPr="00256982">
        <w:tab/>
        <w:t>Source-specific QA/QC and verification</w:t>
      </w:r>
    </w:p>
    <w:p w14:paraId="2EA8CD4D" w14:textId="77777777" w:rsidR="00806461" w:rsidRPr="00256982" w:rsidRDefault="00806461" w:rsidP="007A7194">
      <w:pPr>
        <w:pStyle w:val="BodyText"/>
        <w:spacing w:before="100" w:after="100"/>
      </w:pPr>
      <w:r w:rsidRPr="00256982">
        <w:rPr>
          <w:i/>
        </w:rPr>
        <w:t>Non-energy products from fuels and solvent use</w:t>
      </w:r>
      <w:r w:rsidRPr="00256982">
        <w:t xml:space="preserve"> is a non-key category. Verification of the data from independent sources was not feasible.</w:t>
      </w:r>
    </w:p>
    <w:p w14:paraId="1CD8BE18" w14:textId="77777777" w:rsidR="00806461" w:rsidRPr="00256982" w:rsidRDefault="00806461" w:rsidP="007A7194">
      <w:pPr>
        <w:pStyle w:val="Heading3"/>
        <w:spacing w:before="320"/>
      </w:pPr>
      <w:r w:rsidRPr="00256982">
        <w:t>4.5.5</w:t>
      </w:r>
      <w:r w:rsidRPr="00256982">
        <w:tab/>
        <w:t>Source-specific recalculations</w:t>
      </w:r>
    </w:p>
    <w:p w14:paraId="42015E42" w14:textId="77777777" w:rsidR="00806461" w:rsidRPr="00256982" w:rsidRDefault="00806461" w:rsidP="007A7194">
      <w:pPr>
        <w:pStyle w:val="BodyText"/>
        <w:spacing w:before="100" w:after="100"/>
      </w:pPr>
      <w:r w:rsidRPr="00256982">
        <w:t xml:space="preserve">Import quantities for lubricants have been reassessed resulting in small changes to the reported emissions for the entire time series. As indicated above, this is because it is unlikely that the observed year-to-year variation in import quantities is reflected in actual emissions, and import data for some years are unreliable due to under reporting. </w:t>
      </w:r>
    </w:p>
    <w:p w14:paraId="4989E504" w14:textId="77777777" w:rsidR="00806461" w:rsidRPr="00256982" w:rsidRDefault="00806461" w:rsidP="007A7194">
      <w:pPr>
        <w:pStyle w:val="Heading3"/>
        <w:spacing w:before="320"/>
      </w:pPr>
      <w:r w:rsidRPr="00256982">
        <w:t>4.5.6</w:t>
      </w:r>
      <w:r w:rsidRPr="00256982">
        <w:tab/>
        <w:t>Source-specific planned improvements</w:t>
      </w:r>
    </w:p>
    <w:p w14:paraId="4A239887" w14:textId="77777777" w:rsidR="00806461" w:rsidRPr="00256982" w:rsidRDefault="00806461" w:rsidP="007A7194">
      <w:pPr>
        <w:pStyle w:val="BodyText"/>
        <w:spacing w:before="100" w:after="100"/>
      </w:pPr>
      <w:r w:rsidRPr="00256982">
        <w:t xml:space="preserve">This source category is not a priority for improvement, due to the small scale of emissions. The inventory agency will make use of improved activity data where possible, particularly for lubricants and urea-based catalysts. </w:t>
      </w:r>
    </w:p>
    <w:p w14:paraId="529F5739" w14:textId="77777777" w:rsidR="00806461" w:rsidRPr="00256982" w:rsidRDefault="00806461" w:rsidP="001D3490">
      <w:pPr>
        <w:pStyle w:val="Heading2"/>
      </w:pPr>
      <w:bookmarkStart w:id="443" w:name="_Toc448321517"/>
      <w:bookmarkStart w:id="444" w:name="_Toc5269356"/>
      <w:r w:rsidRPr="00256982">
        <w:t>4.6</w:t>
      </w:r>
      <w:r w:rsidRPr="00256982">
        <w:tab/>
        <w:t>Electronics industry (2.E)</w:t>
      </w:r>
      <w:bookmarkEnd w:id="443"/>
      <w:bookmarkEnd w:id="444"/>
    </w:p>
    <w:p w14:paraId="45E1F9ED" w14:textId="77777777" w:rsidR="00806461" w:rsidRPr="00256982" w:rsidRDefault="00806461" w:rsidP="007A7194">
      <w:pPr>
        <w:pStyle w:val="BodyText"/>
        <w:spacing w:before="100" w:after="100"/>
      </w:pPr>
      <w:r w:rsidRPr="00256982">
        <w:t xml:space="preserve">New Zealand has no significant industry engaged in the manufacture of electronic products, and no emissions are reported in this source category. </w:t>
      </w:r>
    </w:p>
    <w:p w14:paraId="093DD93C" w14:textId="77777777" w:rsidR="00806461" w:rsidRPr="00256982" w:rsidRDefault="00806461" w:rsidP="001D3490">
      <w:pPr>
        <w:pStyle w:val="Heading2"/>
      </w:pPr>
      <w:bookmarkStart w:id="445" w:name="_Toc448321518"/>
      <w:bookmarkStart w:id="446" w:name="_Toc5269357"/>
      <w:r w:rsidRPr="00256982">
        <w:t>4.7</w:t>
      </w:r>
      <w:r w:rsidRPr="00256982">
        <w:tab/>
        <w:t>Product uses as substitutes for ODS (2.F)</w:t>
      </w:r>
      <w:bookmarkEnd w:id="445"/>
      <w:bookmarkEnd w:id="446"/>
    </w:p>
    <w:p w14:paraId="24C387FF" w14:textId="77777777" w:rsidR="00806461" w:rsidRPr="00256982" w:rsidRDefault="00806461" w:rsidP="007A7194">
      <w:pPr>
        <w:pStyle w:val="Heading3"/>
        <w:spacing w:before="240"/>
      </w:pPr>
      <w:r w:rsidRPr="00256982">
        <w:t>4.7.1</w:t>
      </w:r>
      <w:r w:rsidRPr="00256982">
        <w:tab/>
        <w:t>Description</w:t>
      </w:r>
    </w:p>
    <w:p w14:paraId="7C451A20" w14:textId="77777777" w:rsidR="00806461" w:rsidRPr="00256982" w:rsidRDefault="00806461" w:rsidP="007A7194">
      <w:pPr>
        <w:pStyle w:val="BodyText"/>
        <w:spacing w:before="100" w:after="100"/>
      </w:pPr>
      <w:r w:rsidRPr="00256982">
        <w:t xml:space="preserve">HFCs and small amounts of PFCs are used in a wide range of equipment and products, including refrigeration and air conditioning systems and aerosols. No HFCs or PFCs are manufactured in New Zealand; they are all imported. PFCs are also emitted from the aluminium-smelting process and these emissions are reported in the </w:t>
      </w:r>
      <w:r w:rsidRPr="00256982">
        <w:rPr>
          <w:i/>
        </w:rPr>
        <w:t>Metal industry</w:t>
      </w:r>
      <w:r w:rsidRPr="00256982">
        <w:t xml:space="preserve"> source category (2.C.3.b). </w:t>
      </w:r>
    </w:p>
    <w:p w14:paraId="02082B53" w14:textId="77777777" w:rsidR="00806461" w:rsidRPr="00256982" w:rsidRDefault="00806461" w:rsidP="007A7194">
      <w:pPr>
        <w:pStyle w:val="BodyText"/>
        <w:spacing w:before="100" w:after="100"/>
      </w:pPr>
      <w:r w:rsidRPr="00256982">
        <w:t xml:space="preserve">The use of these gases, almost entirely HFCs, has increased since the mid-1990s when chlorofluorocarbons (CFCs) and hydrochlorofluorocarbons (HCFCs) began to be phased out under the Montreal Protocol. In New Zealand, the Ozone Layer Protection Act 1996 sets out a programme for phasing out the use of ODS. </w:t>
      </w:r>
    </w:p>
    <w:p w14:paraId="0E72BFA2" w14:textId="43C99633" w:rsidR="00806461" w:rsidRPr="00256982" w:rsidRDefault="00806461" w:rsidP="007A7194">
      <w:pPr>
        <w:pStyle w:val="BodyText"/>
        <w:spacing w:before="100" w:after="100"/>
      </w:pPr>
      <w:r w:rsidRPr="00256982">
        <w:rPr>
          <w:lang w:eastAsia="en-NZ"/>
        </w:rPr>
        <w:t xml:space="preserve">In 2017, emissions in the </w:t>
      </w:r>
      <w:r w:rsidRPr="00256982">
        <w:rPr>
          <w:i/>
          <w:lang w:eastAsia="en-NZ"/>
        </w:rPr>
        <w:t>Product uses as substitutes for ODS</w:t>
      </w:r>
      <w:r w:rsidRPr="00256982">
        <w:rPr>
          <w:lang w:eastAsia="en-NZ"/>
        </w:rPr>
        <w:t xml:space="preserve"> category were 1,505.4 kt CO</w:t>
      </w:r>
      <w:r w:rsidRPr="00256982">
        <w:rPr>
          <w:vertAlign w:val="subscript"/>
          <w:lang w:eastAsia="en-NZ"/>
        </w:rPr>
        <w:t>2</w:t>
      </w:r>
      <w:r w:rsidRPr="00256982">
        <w:rPr>
          <w:lang w:eastAsia="en-NZ"/>
        </w:rPr>
        <w:t>-e or 30.3 per cent of emissions from the IPPU sector. This was a decrease of 17.6 kt CO</w:t>
      </w:r>
      <w:r w:rsidRPr="00256982">
        <w:rPr>
          <w:vertAlign w:val="subscript"/>
          <w:lang w:eastAsia="en-NZ"/>
        </w:rPr>
        <w:t>2</w:t>
      </w:r>
      <w:r w:rsidRPr="00256982">
        <w:rPr>
          <w:lang w:eastAsia="en-NZ"/>
        </w:rPr>
        <w:t>-e (1.2</w:t>
      </w:r>
      <w:r w:rsidR="007A7194" w:rsidRPr="00256982">
        <w:rPr>
          <w:lang w:eastAsia="en-NZ"/>
        </w:rPr>
        <w:t> </w:t>
      </w:r>
      <w:r w:rsidRPr="00256982">
        <w:rPr>
          <w:lang w:eastAsia="en-NZ"/>
        </w:rPr>
        <w:t>per cent) from the 2016 level of 1,523.0 kt CO</w:t>
      </w:r>
      <w:r w:rsidRPr="00256982">
        <w:rPr>
          <w:vertAlign w:val="subscript"/>
          <w:lang w:eastAsia="en-NZ"/>
        </w:rPr>
        <w:t>2</w:t>
      </w:r>
      <w:r w:rsidRPr="00256982">
        <w:rPr>
          <w:lang w:eastAsia="en-NZ"/>
        </w:rPr>
        <w:t xml:space="preserve">-e. </w:t>
      </w:r>
      <w:r w:rsidRPr="00256982">
        <w:t xml:space="preserve">No HFCs or PFCs were used in 1990. The first consumption of HFCs in New Zealand was reported in 1992 and the first consumption of PFCs in 1995. </w:t>
      </w:r>
    </w:p>
    <w:p w14:paraId="632E7155" w14:textId="77777777" w:rsidR="00806461" w:rsidRPr="00256982" w:rsidRDefault="00806461" w:rsidP="007A7194">
      <w:pPr>
        <w:pStyle w:val="BodyText"/>
        <w:spacing w:before="100" w:after="100"/>
      </w:pPr>
      <w:r w:rsidRPr="00256982">
        <w:t xml:space="preserve">Most of these emissions come from the use of HFCs in the </w:t>
      </w:r>
      <w:r w:rsidRPr="00256982">
        <w:rPr>
          <w:i/>
        </w:rPr>
        <w:t>Refrigeration and air conditioning</w:t>
      </w:r>
      <w:r w:rsidRPr="00256982">
        <w:t xml:space="preserve"> category. Emissions from the use of HFCs in </w:t>
      </w:r>
      <w:r w:rsidRPr="00256982">
        <w:rPr>
          <w:i/>
        </w:rPr>
        <w:t>Refrigeration and air conditioning</w:t>
      </w:r>
      <w:r w:rsidRPr="00256982">
        <w:t xml:space="preserve"> (level assessment and trend assessment) and HFCs in the </w:t>
      </w:r>
      <w:r w:rsidRPr="00256982">
        <w:rPr>
          <w:i/>
        </w:rPr>
        <w:t>Aerosols</w:t>
      </w:r>
      <w:r w:rsidRPr="00256982">
        <w:t xml:space="preserve"> category (trend assessment) were identified as key categories.</w:t>
      </w:r>
    </w:p>
    <w:p w14:paraId="07BEC5AA" w14:textId="77777777" w:rsidR="00806461" w:rsidRPr="00256982" w:rsidRDefault="00806461" w:rsidP="001D3490">
      <w:pPr>
        <w:pStyle w:val="Heading3"/>
      </w:pPr>
      <w:r w:rsidRPr="00256982">
        <w:lastRenderedPageBreak/>
        <w:t xml:space="preserve">4.7.2 </w:t>
      </w:r>
      <w:r w:rsidRPr="00256982">
        <w:tab/>
        <w:t>Methodological issues</w:t>
      </w:r>
    </w:p>
    <w:p w14:paraId="3CB1C0EE" w14:textId="77777777" w:rsidR="00806461" w:rsidRPr="00256982" w:rsidRDefault="00806461" w:rsidP="00A72006">
      <w:pPr>
        <w:pStyle w:val="Heading4"/>
        <w:rPr>
          <w:bCs/>
          <w:iCs/>
        </w:rPr>
      </w:pPr>
      <w:r w:rsidRPr="00256982">
        <w:t>Choice of activity data</w:t>
      </w:r>
    </w:p>
    <w:p w14:paraId="0A4350D1" w14:textId="77777777" w:rsidR="00806461" w:rsidRPr="00256982" w:rsidRDefault="00806461" w:rsidP="00806461">
      <w:pPr>
        <w:pStyle w:val="BodyText"/>
      </w:pPr>
      <w:r w:rsidRPr="00256982">
        <w:t xml:space="preserve">Most of the activity data for the </w:t>
      </w:r>
      <w:r w:rsidRPr="00256982">
        <w:rPr>
          <w:i/>
        </w:rPr>
        <w:t>Product uses as substitutes for ODS</w:t>
      </w:r>
      <w:r w:rsidRPr="00256982">
        <w:t xml:space="preserve"> source category are collected using annual surveys of companies that import, distribute and export refrigerants and other synthetic gases, manufacture or import products containing them or use them on a significant scale (CRL Energy, </w:t>
      </w:r>
      <w:r w:rsidRPr="00256982">
        <w:rPr>
          <w:rFonts w:eastAsia="+mn-ea"/>
        </w:rPr>
        <w:t>unpublished(c)</w:t>
      </w:r>
      <w:r w:rsidRPr="00256982">
        <w:t xml:space="preserve">). </w:t>
      </w:r>
    </w:p>
    <w:p w14:paraId="53801A0C" w14:textId="77777777" w:rsidR="00806461" w:rsidRPr="00256982" w:rsidRDefault="00806461" w:rsidP="00806461">
      <w:pPr>
        <w:pStyle w:val="Heading5"/>
      </w:pPr>
      <w:r w:rsidRPr="00256982">
        <w:t>Refrigeration and air conditioning (2.F.1)</w:t>
      </w:r>
    </w:p>
    <w:p w14:paraId="74741A12" w14:textId="77777777" w:rsidR="00806461" w:rsidRPr="00256982" w:rsidRDefault="00806461" w:rsidP="00806461">
      <w:pPr>
        <w:pStyle w:val="BodyText"/>
      </w:pPr>
      <w:r w:rsidRPr="00256982">
        <w:t xml:space="preserve">New Zealand imports substantial amounts of new refrigerant both in bulk and in factory-charged equipment. Both bulk chemical and equipment charged in New Zealand are exported but on a smaller scale. Data on bulk imports and exports of refrigerant, and factory-charged imported and exported equipment, were obtained using a survey questionnaire and follow up for completeness. </w:t>
      </w:r>
    </w:p>
    <w:p w14:paraId="25190AF8" w14:textId="77777777" w:rsidR="00806461" w:rsidRPr="00256982" w:rsidRDefault="00806461" w:rsidP="00806461">
      <w:pPr>
        <w:pStyle w:val="BodyText"/>
      </w:pPr>
      <w:r w:rsidRPr="00256982">
        <w:t xml:space="preserve">These items of activity data are used to estimate the annual sales of new refrigerant and the total charge of new equipment, for input into the mass balance equation used to estimate emissions of each compound for each sub-application. </w:t>
      </w:r>
    </w:p>
    <w:p w14:paraId="4CC68B42" w14:textId="77777777" w:rsidR="00806461" w:rsidRPr="00256982" w:rsidRDefault="00806461" w:rsidP="00806461">
      <w:pPr>
        <w:pStyle w:val="BodyText"/>
      </w:pPr>
      <w:r w:rsidRPr="00256982">
        <w:t xml:space="preserve">Annual sales and the charge in new equipment are calculated as shown in box 7.3 in the IPCC Guidelines (2006a) (see box 4.1). </w:t>
      </w:r>
    </w:p>
    <w:p w14:paraId="77D94188" w14:textId="77777777" w:rsidR="00806461" w:rsidRPr="00256982" w:rsidRDefault="00806461" w:rsidP="00806461">
      <w:pPr>
        <w:pStyle w:val="BodyText"/>
        <w:rPr>
          <w:b/>
          <w:sz w:val="20"/>
        </w:rPr>
      </w:pPr>
      <w:r w:rsidRPr="00256982">
        <w:rPr>
          <w:rFonts w:ascii="Arial" w:hAnsi="Arial" w:cs="Arial"/>
          <w:b/>
          <w:i/>
          <w:sz w:val="18"/>
        </w:rPr>
        <w:t>Box 4.1</w:t>
      </w:r>
    </w:p>
    <w:p w14:paraId="64B40773" w14:textId="77777777" w:rsidR="00806461" w:rsidRPr="00256982" w:rsidRDefault="00806461" w:rsidP="00806461">
      <w:pPr>
        <w:pStyle w:val="BoxHeading"/>
        <w:jc w:val="center"/>
        <w:rPr>
          <w:sz w:val="20"/>
          <w:lang w:eastAsia="en-GB"/>
        </w:rPr>
      </w:pPr>
      <w:r w:rsidRPr="00256982">
        <w:rPr>
          <w:sz w:val="20"/>
          <w:lang w:eastAsia="en-GB"/>
        </w:rPr>
        <w:t>IPCC (2006a) first equation in box 7.3</w:t>
      </w:r>
    </w:p>
    <w:p w14:paraId="698EA928" w14:textId="77777777" w:rsidR="00806461" w:rsidRPr="00256982" w:rsidRDefault="00806461" w:rsidP="00806461">
      <w:pPr>
        <w:pStyle w:val="Box"/>
        <w:spacing w:after="120"/>
        <w:rPr>
          <w:b/>
          <w:sz w:val="18"/>
          <w:szCs w:val="18"/>
          <w:lang w:eastAsia="en-GB"/>
        </w:rPr>
      </w:pPr>
      <w:r w:rsidRPr="00256982">
        <w:rPr>
          <w:b/>
          <w:sz w:val="18"/>
          <w:szCs w:val="18"/>
          <w:lang w:eastAsia="en-GB"/>
        </w:rPr>
        <w:t xml:space="preserve">Annual Sales of New Refrigerant </w:t>
      </w:r>
    </w:p>
    <w:p w14:paraId="20FC5054" w14:textId="77777777" w:rsidR="00806461" w:rsidRPr="00256982" w:rsidRDefault="00806461" w:rsidP="00806461">
      <w:pPr>
        <w:pStyle w:val="Box"/>
        <w:spacing w:after="120"/>
        <w:rPr>
          <w:sz w:val="18"/>
          <w:szCs w:val="18"/>
          <w:lang w:eastAsia="en-GB"/>
        </w:rPr>
      </w:pPr>
      <w:r w:rsidRPr="00256982">
        <w:rPr>
          <w:sz w:val="18"/>
          <w:szCs w:val="18"/>
          <w:lang w:eastAsia="en-GB"/>
        </w:rPr>
        <w:t>= Domestically Manufactured Chemical</w:t>
      </w:r>
    </w:p>
    <w:p w14:paraId="0AA27678" w14:textId="77777777" w:rsidR="00806461" w:rsidRPr="00256982" w:rsidRDefault="00806461" w:rsidP="00806461">
      <w:pPr>
        <w:pStyle w:val="Box"/>
        <w:spacing w:after="120"/>
        <w:rPr>
          <w:sz w:val="18"/>
          <w:szCs w:val="18"/>
          <w:lang w:eastAsia="en-GB"/>
        </w:rPr>
      </w:pPr>
      <w:r w:rsidRPr="00256982">
        <w:rPr>
          <w:sz w:val="18"/>
          <w:szCs w:val="18"/>
          <w:lang w:eastAsia="en-GB"/>
        </w:rPr>
        <w:t>+ Imported Bulk Chemical ― Exported Bulk Chemical</w:t>
      </w:r>
    </w:p>
    <w:p w14:paraId="15A785CE" w14:textId="77777777" w:rsidR="00806461" w:rsidRPr="00256982" w:rsidRDefault="00806461" w:rsidP="00806461">
      <w:pPr>
        <w:pStyle w:val="Box"/>
        <w:spacing w:after="120"/>
        <w:rPr>
          <w:sz w:val="18"/>
          <w:szCs w:val="18"/>
          <w:lang w:eastAsia="en-GB"/>
        </w:rPr>
      </w:pPr>
      <w:r w:rsidRPr="00256982">
        <w:rPr>
          <w:sz w:val="18"/>
          <w:szCs w:val="18"/>
          <w:lang w:eastAsia="en-GB"/>
        </w:rPr>
        <w:t>+ Chemical Contained in Factory Charged Imported Equipment</w:t>
      </w:r>
    </w:p>
    <w:p w14:paraId="56C4E9C1" w14:textId="77777777" w:rsidR="00806461" w:rsidRPr="00256982" w:rsidRDefault="00806461" w:rsidP="00806461">
      <w:pPr>
        <w:pStyle w:val="Box"/>
        <w:spacing w:after="120"/>
        <w:rPr>
          <w:sz w:val="18"/>
          <w:szCs w:val="18"/>
          <w:lang w:eastAsia="en-GB"/>
        </w:rPr>
      </w:pPr>
      <w:r w:rsidRPr="00256982">
        <w:rPr>
          <w:sz w:val="18"/>
          <w:szCs w:val="18"/>
        </w:rPr>
        <w:t>–</w:t>
      </w:r>
      <w:r w:rsidRPr="00256982">
        <w:rPr>
          <w:sz w:val="18"/>
          <w:szCs w:val="18"/>
          <w:lang w:eastAsia="en-GB"/>
        </w:rPr>
        <w:t xml:space="preserve"> Chemical Contained in Factory Charged Exported Equipment.</w:t>
      </w:r>
    </w:p>
    <w:p w14:paraId="5B487A9C" w14:textId="77777777" w:rsidR="00806461" w:rsidRPr="00256982" w:rsidRDefault="00806461" w:rsidP="00806461">
      <w:pPr>
        <w:pStyle w:val="Box"/>
        <w:spacing w:before="120" w:after="120"/>
        <w:rPr>
          <w:b/>
          <w:sz w:val="18"/>
          <w:szCs w:val="18"/>
          <w:lang w:eastAsia="en-GB"/>
        </w:rPr>
      </w:pPr>
      <w:r w:rsidRPr="00256982">
        <w:rPr>
          <w:b/>
          <w:sz w:val="18"/>
          <w:szCs w:val="18"/>
          <w:lang w:eastAsia="en-GB"/>
        </w:rPr>
        <w:t xml:space="preserve">Total Charge of New Equipment </w:t>
      </w:r>
    </w:p>
    <w:p w14:paraId="0694A94A" w14:textId="77777777" w:rsidR="00806461" w:rsidRPr="00256982" w:rsidRDefault="00806461" w:rsidP="00806461">
      <w:pPr>
        <w:pStyle w:val="Box"/>
        <w:spacing w:after="120"/>
        <w:rPr>
          <w:sz w:val="18"/>
          <w:szCs w:val="18"/>
          <w:lang w:eastAsia="en-GB"/>
        </w:rPr>
      </w:pPr>
      <w:r w:rsidRPr="00256982">
        <w:rPr>
          <w:sz w:val="18"/>
          <w:szCs w:val="18"/>
          <w:lang w:eastAsia="en-GB"/>
        </w:rPr>
        <w:t>= Chemical to Charge Domestically Manufactured Equipment that is not Factory Charged</w:t>
      </w:r>
    </w:p>
    <w:p w14:paraId="102F1D9B" w14:textId="77777777" w:rsidR="00806461" w:rsidRPr="00256982" w:rsidRDefault="00806461" w:rsidP="00806461">
      <w:pPr>
        <w:pStyle w:val="Box"/>
        <w:spacing w:after="120"/>
        <w:rPr>
          <w:sz w:val="18"/>
          <w:szCs w:val="18"/>
          <w:lang w:eastAsia="en-GB"/>
        </w:rPr>
      </w:pPr>
      <w:r w:rsidRPr="00256982">
        <w:rPr>
          <w:sz w:val="18"/>
          <w:szCs w:val="18"/>
          <w:lang w:eastAsia="en-GB"/>
        </w:rPr>
        <w:t xml:space="preserve">+ Chemical to Charge Domestically Manufactured Equipment that is Factory Charged </w:t>
      </w:r>
    </w:p>
    <w:p w14:paraId="7A8F6CBE" w14:textId="77777777" w:rsidR="00806461" w:rsidRPr="00256982" w:rsidRDefault="00806461" w:rsidP="00806461">
      <w:pPr>
        <w:pStyle w:val="Box"/>
        <w:spacing w:after="120"/>
        <w:rPr>
          <w:sz w:val="18"/>
          <w:szCs w:val="18"/>
          <w:lang w:eastAsia="en-GB"/>
        </w:rPr>
      </w:pPr>
      <w:r w:rsidRPr="00256982">
        <w:rPr>
          <w:sz w:val="18"/>
          <w:szCs w:val="18"/>
          <w:lang w:eastAsia="en-GB"/>
        </w:rPr>
        <w:t>+ Chemical to Charge Imported Equipment that is not Factory Charged</w:t>
      </w:r>
    </w:p>
    <w:p w14:paraId="6B4BA005" w14:textId="77777777" w:rsidR="00806461" w:rsidRPr="00256982" w:rsidRDefault="00806461" w:rsidP="00806461">
      <w:pPr>
        <w:pStyle w:val="Box"/>
        <w:spacing w:after="120"/>
        <w:rPr>
          <w:sz w:val="18"/>
          <w:szCs w:val="18"/>
          <w:lang w:eastAsia="en-GB"/>
        </w:rPr>
      </w:pPr>
      <w:r w:rsidRPr="00256982">
        <w:rPr>
          <w:sz w:val="18"/>
          <w:szCs w:val="18"/>
          <w:lang w:eastAsia="en-GB"/>
        </w:rPr>
        <w:t xml:space="preserve">+ Chemical Contained in Factory Charged Imported Equipment </w:t>
      </w:r>
    </w:p>
    <w:p w14:paraId="4F46C857" w14:textId="77777777" w:rsidR="00806461" w:rsidRPr="00256982" w:rsidRDefault="00806461" w:rsidP="00CC4FF7">
      <w:pPr>
        <w:pStyle w:val="Box"/>
        <w:spacing w:after="120"/>
        <w:rPr>
          <w:sz w:val="18"/>
          <w:szCs w:val="18"/>
          <w:lang w:eastAsia="en-GB"/>
        </w:rPr>
      </w:pPr>
      <w:r w:rsidRPr="00256982">
        <w:rPr>
          <w:sz w:val="18"/>
          <w:szCs w:val="18"/>
          <w:lang w:eastAsia="en-GB"/>
        </w:rPr>
        <w:t>– Chemical Contained in Factory Charged Exported Equipment.</w:t>
      </w:r>
    </w:p>
    <w:p w14:paraId="69809A6E" w14:textId="77777777" w:rsidR="00806461" w:rsidRPr="00256982" w:rsidRDefault="00806461" w:rsidP="00806461">
      <w:pPr>
        <w:pStyle w:val="BodyText"/>
        <w:spacing w:before="240"/>
      </w:pPr>
      <w:r w:rsidRPr="00256982">
        <w:t xml:space="preserve">There is no domestically manufactured chemical in New Zealand. </w:t>
      </w:r>
    </w:p>
    <w:p w14:paraId="05B14C3A" w14:textId="77777777" w:rsidR="00806461" w:rsidRPr="00256982" w:rsidRDefault="00806461" w:rsidP="00806461">
      <w:pPr>
        <w:pStyle w:val="BodyText"/>
      </w:pPr>
      <w:r w:rsidRPr="00256982">
        <w:t xml:space="preserve">Detailed, but not complete, information on the supplies and banks of chemical in each sub-application was obtained from surveys and follow-up calls to request specific data. </w:t>
      </w:r>
    </w:p>
    <w:p w14:paraId="7DC5ED83" w14:textId="77777777" w:rsidR="00806461" w:rsidRPr="00256982" w:rsidRDefault="00806461" w:rsidP="00806461">
      <w:pPr>
        <w:pStyle w:val="BodyText"/>
      </w:pPr>
      <w:r w:rsidRPr="00256982">
        <w:t xml:space="preserve">This information has been used to assess the mass balance for each sub-application. However, the attribution of bulk chemical to individual sub-applications is not as accurate as the data on total amounts of each chemical imported. It is consistently difficult to attribute bulk chemical accurately to a specific sub-application. </w:t>
      </w:r>
    </w:p>
    <w:p w14:paraId="2D35AD62" w14:textId="77777777" w:rsidR="00806461" w:rsidRPr="00256982" w:rsidRDefault="00806461" w:rsidP="00806461">
      <w:pPr>
        <w:pStyle w:val="BodyText"/>
      </w:pPr>
      <w:r w:rsidRPr="00256982">
        <w:lastRenderedPageBreak/>
        <w:t xml:space="preserve">The accurate attribution of bulk chemical to a specific year of use is also challenging, due to large year-to-year variations in the amounts imported. Imports to New Zealand are variable at any time, due to the small amounts of some refrigerants that are used. In addition, import volumes have fluctuated at various times due to price changes. </w:t>
      </w:r>
    </w:p>
    <w:p w14:paraId="7F494690" w14:textId="77777777" w:rsidR="00806461" w:rsidRPr="00256982" w:rsidRDefault="00806461" w:rsidP="00806461">
      <w:pPr>
        <w:pStyle w:val="BodyText"/>
      </w:pPr>
      <w:r w:rsidRPr="00256982">
        <w:t xml:space="preserve">For the </w:t>
      </w:r>
      <w:r w:rsidRPr="00256982">
        <w:rPr>
          <w:i/>
        </w:rPr>
        <w:t>Mobile air conditioning</w:t>
      </w:r>
      <w:r w:rsidRPr="00256982">
        <w:t xml:space="preserve"> sub-application, only HFC-134a is used in New Zealand, and has been since 1994. Data on vehicle registrations and fleet numbers were provided by the New Zealand Transport Agency and inform a model of the fleet. Estimates of the annual amount added to the bank, and first-fill emissions, are based on a good understanding of the number of new cars, trucks and buses with air conditioning added to the fleet each year. The results of the survey of bulk importers and distributors were also used to help determine the amount of HFC-134a sold for mobile air conditioning. </w:t>
      </w:r>
    </w:p>
    <w:p w14:paraId="39250AD5" w14:textId="77777777" w:rsidR="00806461" w:rsidRPr="00256982" w:rsidRDefault="00806461" w:rsidP="00806461">
      <w:pPr>
        <w:pStyle w:val="BodyText"/>
      </w:pPr>
      <w:r w:rsidRPr="00256982">
        <w:t>In 2009,</w:t>
      </w:r>
      <w:r w:rsidRPr="00256982">
        <w:rPr>
          <w:spacing w:val="-2"/>
        </w:rPr>
        <w:t xml:space="preserve"> the average charge of HFC-134a in vehicle air conditioning systems added to the bank at that time was estimated to be as</w:t>
      </w:r>
      <w:r w:rsidRPr="00256982">
        <w:t xml:space="preserve"> shown in table 4.7.1, based on IPCC defaults and information from the industry. </w:t>
      </w:r>
    </w:p>
    <w:p w14:paraId="5D1D656B" w14:textId="77777777" w:rsidR="00806461" w:rsidRPr="00256982" w:rsidRDefault="00806461" w:rsidP="00806461">
      <w:pPr>
        <w:pStyle w:val="Table"/>
      </w:pPr>
      <w:bookmarkStart w:id="447" w:name="_Toc451176076"/>
      <w:bookmarkStart w:id="448" w:name="_Toc5269466"/>
      <w:r w:rsidRPr="00256982">
        <w:t>Table 4.7.1</w:t>
      </w:r>
      <w:r w:rsidRPr="00256982">
        <w:tab/>
        <w:t>Average charge of HFC-134a in mobile air conditioners, 2009</w:t>
      </w:r>
      <w:bookmarkEnd w:id="447"/>
      <w:bookmarkEnd w:id="448"/>
    </w:p>
    <w:tbl>
      <w:tblPr>
        <w:tblW w:w="8562" w:type="dxa"/>
        <w:tblInd w:w="108" w:type="dxa"/>
        <w:tblBorders>
          <w:top w:val="single" w:sz="6" w:space="0" w:color="365F91"/>
          <w:bottom w:val="single" w:sz="6" w:space="0" w:color="365F91"/>
          <w:insideH w:val="single" w:sz="6" w:space="0" w:color="365F91"/>
        </w:tblBorders>
        <w:tblLook w:val="04A0" w:firstRow="1" w:lastRow="0" w:firstColumn="1" w:lastColumn="0" w:noHBand="0" w:noVBand="1"/>
      </w:tblPr>
      <w:tblGrid>
        <w:gridCol w:w="2740"/>
        <w:gridCol w:w="2911"/>
        <w:gridCol w:w="2911"/>
      </w:tblGrid>
      <w:tr w:rsidR="00806461" w:rsidRPr="00256982" w14:paraId="1DC8EA90" w14:textId="77777777" w:rsidTr="00CC4FF7">
        <w:tc>
          <w:tcPr>
            <w:tcW w:w="2540" w:type="dxa"/>
            <w:tcBorders>
              <w:top w:val="single" w:sz="4" w:space="0" w:color="365F91"/>
              <w:left w:val="nil"/>
              <w:bottom w:val="single" w:sz="4" w:space="0" w:color="365F91"/>
              <w:right w:val="nil"/>
            </w:tcBorders>
            <w:shd w:val="clear" w:color="auto" w:fill="365F91"/>
            <w:hideMark/>
          </w:tcPr>
          <w:p w14:paraId="4BC8A41E" w14:textId="77777777" w:rsidR="00806461" w:rsidRPr="00256982" w:rsidRDefault="00806461">
            <w:pPr>
              <w:pStyle w:val="TableTextBold"/>
              <w:rPr>
                <w:noProof w:val="0"/>
                <w:color w:val="FFFFFF"/>
              </w:rPr>
            </w:pPr>
            <w:r w:rsidRPr="00256982">
              <w:rPr>
                <w:noProof w:val="0"/>
                <w:color w:val="FFFFFF"/>
              </w:rPr>
              <w:t>Charge for cars and vans (g)</w:t>
            </w:r>
          </w:p>
        </w:tc>
        <w:tc>
          <w:tcPr>
            <w:tcW w:w="2699" w:type="dxa"/>
            <w:tcBorders>
              <w:top w:val="single" w:sz="4" w:space="0" w:color="365F91"/>
              <w:left w:val="nil"/>
              <w:bottom w:val="single" w:sz="4" w:space="0" w:color="365F91"/>
              <w:right w:val="nil"/>
            </w:tcBorders>
            <w:shd w:val="clear" w:color="auto" w:fill="365F91"/>
            <w:hideMark/>
          </w:tcPr>
          <w:p w14:paraId="6B4D0277" w14:textId="77777777" w:rsidR="00806461" w:rsidRPr="00256982" w:rsidRDefault="00806461">
            <w:pPr>
              <w:pStyle w:val="TableTextBold"/>
              <w:rPr>
                <w:noProof w:val="0"/>
                <w:color w:val="FFFFFF"/>
              </w:rPr>
            </w:pPr>
            <w:r w:rsidRPr="00256982">
              <w:rPr>
                <w:noProof w:val="0"/>
                <w:color w:val="FFFFFF"/>
              </w:rPr>
              <w:t>Charge for heavy trucks (g)</w:t>
            </w:r>
          </w:p>
        </w:tc>
        <w:tc>
          <w:tcPr>
            <w:tcW w:w="2699" w:type="dxa"/>
            <w:tcBorders>
              <w:top w:val="single" w:sz="4" w:space="0" w:color="365F91"/>
              <w:left w:val="nil"/>
              <w:bottom w:val="single" w:sz="4" w:space="0" w:color="365F91"/>
              <w:right w:val="nil"/>
            </w:tcBorders>
            <w:shd w:val="clear" w:color="auto" w:fill="365F91"/>
            <w:hideMark/>
          </w:tcPr>
          <w:p w14:paraId="04647AD5" w14:textId="77777777" w:rsidR="00806461" w:rsidRPr="00256982" w:rsidRDefault="00806461">
            <w:pPr>
              <w:pStyle w:val="TableTextBold"/>
              <w:rPr>
                <w:noProof w:val="0"/>
                <w:color w:val="FFFFFF"/>
              </w:rPr>
            </w:pPr>
            <w:r w:rsidRPr="00256982">
              <w:rPr>
                <w:noProof w:val="0"/>
                <w:color w:val="FFFFFF"/>
              </w:rPr>
              <w:t>Charge for buses (g)</w:t>
            </w:r>
          </w:p>
        </w:tc>
      </w:tr>
      <w:tr w:rsidR="00806461" w:rsidRPr="00256982" w14:paraId="2E62637F" w14:textId="77777777" w:rsidTr="00CC4FF7">
        <w:tc>
          <w:tcPr>
            <w:tcW w:w="2540" w:type="dxa"/>
            <w:tcBorders>
              <w:top w:val="single" w:sz="4" w:space="0" w:color="365F91"/>
              <w:left w:val="nil"/>
              <w:bottom w:val="single" w:sz="6" w:space="0" w:color="365F91"/>
              <w:right w:val="nil"/>
            </w:tcBorders>
            <w:shd w:val="clear" w:color="auto" w:fill="FFFFFF"/>
            <w:hideMark/>
          </w:tcPr>
          <w:p w14:paraId="3FDB5E18" w14:textId="77777777" w:rsidR="00806461" w:rsidRPr="00256982" w:rsidRDefault="00806461">
            <w:pPr>
              <w:pStyle w:val="TableText"/>
            </w:pPr>
            <w:r w:rsidRPr="00256982">
              <w:t>600</w:t>
            </w:r>
          </w:p>
        </w:tc>
        <w:tc>
          <w:tcPr>
            <w:tcW w:w="2699" w:type="dxa"/>
            <w:tcBorders>
              <w:top w:val="single" w:sz="4" w:space="0" w:color="365F91"/>
              <w:left w:val="nil"/>
              <w:bottom w:val="single" w:sz="6" w:space="0" w:color="365F91"/>
              <w:right w:val="nil"/>
            </w:tcBorders>
            <w:shd w:val="clear" w:color="auto" w:fill="FFFFFF"/>
            <w:hideMark/>
          </w:tcPr>
          <w:p w14:paraId="5DB59901" w14:textId="77777777" w:rsidR="00806461" w:rsidRPr="00256982" w:rsidRDefault="00806461">
            <w:pPr>
              <w:pStyle w:val="TableText"/>
            </w:pPr>
            <w:r w:rsidRPr="00256982">
              <w:t>800</w:t>
            </w:r>
          </w:p>
        </w:tc>
        <w:tc>
          <w:tcPr>
            <w:tcW w:w="2699" w:type="dxa"/>
            <w:tcBorders>
              <w:top w:val="single" w:sz="4" w:space="0" w:color="365F91"/>
              <w:left w:val="nil"/>
              <w:bottom w:val="single" w:sz="6" w:space="0" w:color="365F91"/>
              <w:right w:val="nil"/>
            </w:tcBorders>
            <w:shd w:val="clear" w:color="auto" w:fill="FFFFFF"/>
            <w:hideMark/>
          </w:tcPr>
          <w:p w14:paraId="1ABBB6D9" w14:textId="77777777" w:rsidR="00806461" w:rsidRPr="00256982" w:rsidRDefault="00806461">
            <w:pPr>
              <w:pStyle w:val="TableText"/>
            </w:pPr>
            <w:r w:rsidRPr="00256982">
              <w:t>4,000</w:t>
            </w:r>
          </w:p>
        </w:tc>
      </w:tr>
    </w:tbl>
    <w:p w14:paraId="0F8FCF9D" w14:textId="77777777" w:rsidR="00806461" w:rsidRPr="00256982" w:rsidRDefault="00806461" w:rsidP="00CC4FF7">
      <w:pPr>
        <w:pStyle w:val="BodyText"/>
        <w:spacing w:before="240"/>
      </w:pPr>
      <w:r w:rsidRPr="00256982">
        <w:t xml:space="preserve">These amounts were higher in earlier years, with the charge in a car air conditioner at approximately 700 grams in 2000. New Zealand imports a large variety of vehicles, many of them used cars, and it is not feasible to obtain accurate and up-to-date statistics on the refrigerant charge in these vehicles. Based on this earlier trend, the average charges in vehicles added to the fleet are assessed to reduce by 2.0 per cent per year for 2010–17. Limited information on some of the models imported indicates that the ongoing trend to reduce these charges has continued after 2009 (CRL Energy Ltd, unpublished(c)). </w:t>
      </w:r>
    </w:p>
    <w:p w14:paraId="1B1C70A9" w14:textId="77777777" w:rsidR="00806461" w:rsidRPr="00256982" w:rsidRDefault="00806461" w:rsidP="00806461">
      <w:pPr>
        <w:pStyle w:val="Heading5"/>
      </w:pPr>
      <w:r w:rsidRPr="00256982">
        <w:t>Foam blowing agents (2.F.2)</w:t>
      </w:r>
    </w:p>
    <w:p w14:paraId="2D1AC6D5" w14:textId="77777777" w:rsidR="00806461" w:rsidRPr="00256982" w:rsidRDefault="00806461" w:rsidP="00806461">
      <w:pPr>
        <w:pStyle w:val="BodyText"/>
        <w:rPr>
          <w:spacing w:val="-2"/>
        </w:rPr>
      </w:pPr>
      <w:r w:rsidRPr="00256982">
        <w:rPr>
          <w:spacing w:val="-2"/>
        </w:rPr>
        <w:t xml:space="preserve">Only closed-cell foams are produced in New Zealand. Companies importing and using HFCs for foam blowing have provided data on the gas imported and used in response to an annual survey. In addition, some information is available on the quantities of HFCs contained in insulating foam in refrigerators and freezers that are imported from Mexico and the United States of America. </w:t>
      </w:r>
    </w:p>
    <w:p w14:paraId="774A9F22" w14:textId="77777777" w:rsidR="00806461" w:rsidRPr="00256982" w:rsidRDefault="00806461" w:rsidP="00806461">
      <w:pPr>
        <w:pStyle w:val="Heading5"/>
      </w:pPr>
      <w:r w:rsidRPr="00256982">
        <w:t>Fire protection (2.F.3)</w:t>
      </w:r>
    </w:p>
    <w:p w14:paraId="04C7DFAE" w14:textId="77777777" w:rsidR="00806461" w:rsidRPr="00256982" w:rsidRDefault="00806461" w:rsidP="00806461">
      <w:pPr>
        <w:pStyle w:val="BodyText"/>
        <w:rPr>
          <w:spacing w:val="-2"/>
        </w:rPr>
      </w:pPr>
      <w:r w:rsidRPr="00256982">
        <w:rPr>
          <w:spacing w:val="-2"/>
        </w:rPr>
        <w:t xml:space="preserve">Three companies in New Zealand import and supply fire protection equipment that contains HFC-227ea, with two other firms installing small amounts in marine fire protection systems. This gas has been used since 1994 as a substitute for ODS. No other HFCs or PFCs are used. The companies provide data on the amount imported in equipment in response to an annual survey. </w:t>
      </w:r>
    </w:p>
    <w:p w14:paraId="02DCC14C" w14:textId="77777777" w:rsidR="00806461" w:rsidRPr="00256982" w:rsidRDefault="00806461" w:rsidP="00806461">
      <w:pPr>
        <w:pStyle w:val="Heading5"/>
      </w:pPr>
      <w:r w:rsidRPr="00256982">
        <w:t>Aerosols (2.F.4)</w:t>
      </w:r>
    </w:p>
    <w:p w14:paraId="69F04517" w14:textId="77777777" w:rsidR="00806461" w:rsidRPr="00256982" w:rsidRDefault="00806461" w:rsidP="00806461">
      <w:pPr>
        <w:pStyle w:val="BodyText"/>
      </w:pPr>
      <w:r w:rsidRPr="00256982">
        <w:t xml:space="preserve">Most of the HFC use and emissions in this category are for medical use in metered dose inhalers (MDIs). MDIs that use HFC-134a were introduced in 1995, and all MDIs sold in New Zealand from 2012 have used HFCs as the propellant. Nearly all of the propellant in MDIs is HFC-134a, but a small amount of HFC-227ea is also used. Also, approximately 12.0 per cent of MDIs now sold do not use a propellant at all. </w:t>
      </w:r>
    </w:p>
    <w:p w14:paraId="4197844F" w14:textId="77777777" w:rsidR="00806461" w:rsidRPr="00256982" w:rsidRDefault="00806461" w:rsidP="00806461">
      <w:pPr>
        <w:pStyle w:val="BodyText"/>
      </w:pPr>
      <w:r w:rsidRPr="00256982">
        <w:t xml:space="preserve">All MDIs used in New Zealand are imported. The government pharmaceutical purchasing agency (Pharmac) supplies annual data on the sales of MDIs. </w:t>
      </w:r>
    </w:p>
    <w:p w14:paraId="6CBBAC54" w14:textId="77777777" w:rsidR="00806461" w:rsidRPr="00256982" w:rsidRDefault="00806461" w:rsidP="00806461">
      <w:pPr>
        <w:pStyle w:val="BodyText"/>
      </w:pPr>
      <w:r w:rsidRPr="00256982">
        <w:lastRenderedPageBreak/>
        <w:t xml:space="preserve">Most of the MDIs imported and sold in New Zealand contain either 200 or 120 doses and either 15 grams or 9.5 grams of HFC-134a propellant per inhaler. An approximate weighted average is used to estimate emissions for each propellant, per dose: </w:t>
      </w:r>
    </w:p>
    <w:p w14:paraId="76CF065A" w14:textId="77777777" w:rsidR="00806461" w:rsidRPr="00256982" w:rsidRDefault="00806461" w:rsidP="00B10937">
      <w:pPr>
        <w:pStyle w:val="Bullet"/>
      </w:pPr>
      <w:r w:rsidRPr="00256982">
        <w:t>81.4 milligrams of HFC-134a; or</w:t>
      </w:r>
    </w:p>
    <w:p w14:paraId="7F33A400" w14:textId="77777777" w:rsidR="00806461" w:rsidRPr="00256982" w:rsidRDefault="00806461" w:rsidP="0036046B">
      <w:pPr>
        <w:pStyle w:val="Bullet"/>
        <w:numPr>
          <w:ilvl w:val="0"/>
          <w:numId w:val="11"/>
        </w:numPr>
        <w:ind w:left="397" w:hanging="397"/>
      </w:pPr>
      <w:r w:rsidRPr="00256982">
        <w:t xml:space="preserve">66.9 milligrams of HFC-227ea. </w:t>
      </w:r>
    </w:p>
    <w:p w14:paraId="7B279732" w14:textId="77777777" w:rsidR="00806461" w:rsidRPr="00256982" w:rsidRDefault="00806461" w:rsidP="00806461">
      <w:pPr>
        <w:pStyle w:val="BodyText"/>
      </w:pPr>
      <w:r w:rsidRPr="00256982">
        <w:t xml:space="preserve">HFC-134a is the only HFC propellant used in non-medical aerosols in New Zealand. </w:t>
      </w:r>
    </w:p>
    <w:p w14:paraId="38E05B77" w14:textId="77777777" w:rsidR="00806461" w:rsidRPr="00256982" w:rsidRDefault="00806461" w:rsidP="00806461">
      <w:pPr>
        <w:pStyle w:val="BodyText"/>
      </w:pPr>
      <w:r w:rsidRPr="00256982">
        <w:t xml:space="preserve">All non-MDI aerosols used in New Zealand now are imported, with the propellant charge already in place. Up until 2014, one company loaded specialised aerosols in New Zealand with HFC-134a as the propellant. This activity is no longer carried out. </w:t>
      </w:r>
    </w:p>
    <w:p w14:paraId="1221B947" w14:textId="77777777" w:rsidR="00806461" w:rsidRPr="00256982" w:rsidRDefault="00806461" w:rsidP="00806461">
      <w:pPr>
        <w:pStyle w:val="BodyText"/>
      </w:pPr>
      <w:r w:rsidRPr="00256982">
        <w:t xml:space="preserve">Nearly all of the aerosol cans that are imported and sold in New Zealand use hydrocarbon propellants, with only a few specialised applications using HFCs. </w:t>
      </w:r>
    </w:p>
    <w:p w14:paraId="32CD927D" w14:textId="77777777" w:rsidR="00806461" w:rsidRPr="00256982" w:rsidRDefault="00806461" w:rsidP="00806461">
      <w:pPr>
        <w:pStyle w:val="BodyText"/>
      </w:pPr>
      <w:r w:rsidRPr="00256982">
        <w:t>Information on the imports, manufacture and use of non-MDI aerosol products has been sourced from the Aerosol Association of Australia/New Zealand, from survey data supplied by importers and by the one New Zealand aerosol manufacturer that previously used HFC</w:t>
      </w:r>
      <w:r w:rsidRPr="00256982">
        <w:noBreakHyphen/>
        <w:t xml:space="preserve">134a. </w:t>
      </w:r>
    </w:p>
    <w:p w14:paraId="13799A02" w14:textId="77777777" w:rsidR="00806461" w:rsidRPr="00256982" w:rsidRDefault="00806461" w:rsidP="00806461">
      <w:pPr>
        <w:pStyle w:val="BodyText"/>
      </w:pPr>
      <w:r w:rsidRPr="00256982">
        <w:t xml:space="preserve">Import data – regardless of the source – are not complete or reliable because the aerosol market is diffuse and the available data do not clearly distinguish aerosols that contain HFCs from the much greater number containing hydrocarbons. </w:t>
      </w:r>
    </w:p>
    <w:p w14:paraId="3B15F4FA" w14:textId="77777777" w:rsidR="00806461" w:rsidRPr="00256982" w:rsidRDefault="00806461" w:rsidP="00806461">
      <w:pPr>
        <w:pStyle w:val="BodyText"/>
      </w:pPr>
      <w:r w:rsidRPr="00256982">
        <w:t xml:space="preserve">Survey data have provided some incomplete estimates of imports containing HFCs, accounting, for example, for 6.6 tonnes of HFC-134a in 2006. By combining this information with data from the New Zealand manufacturer, an assessment has been made of the proportion of HFC-134a in aerosol products sold in New Zealand: </w:t>
      </w:r>
    </w:p>
    <w:p w14:paraId="5463E1C7" w14:textId="77777777" w:rsidR="00806461" w:rsidRPr="00256982" w:rsidRDefault="00806461" w:rsidP="00B10937">
      <w:pPr>
        <w:pStyle w:val="Bullet"/>
      </w:pPr>
      <w:r w:rsidRPr="00256982">
        <w:t xml:space="preserve">zero from 1990 to 1995, when HFC propellant had not yet been introduced </w:t>
      </w:r>
    </w:p>
    <w:p w14:paraId="16D969A9" w14:textId="77777777" w:rsidR="00806461" w:rsidRPr="00256982" w:rsidRDefault="00806461" w:rsidP="00B10937">
      <w:pPr>
        <w:pStyle w:val="Bullet"/>
      </w:pPr>
      <w:r w:rsidRPr="00256982">
        <w:t xml:space="preserve">phased in from 1996 to 2000 reaching 1 per cent in 2000 </w:t>
      </w:r>
    </w:p>
    <w:p w14:paraId="2DB72E1F" w14:textId="77777777" w:rsidR="00806461" w:rsidRPr="00256982" w:rsidRDefault="00806461" w:rsidP="00B10937">
      <w:pPr>
        <w:pStyle w:val="Bullet"/>
      </w:pPr>
      <w:r w:rsidRPr="00256982">
        <w:t xml:space="preserve">1 per cent (approximately 17 tonnes of HFC-134a annually) for all later years. </w:t>
      </w:r>
    </w:p>
    <w:p w14:paraId="677117CD" w14:textId="77777777" w:rsidR="00806461" w:rsidRPr="00256982" w:rsidRDefault="00806461" w:rsidP="00B10937">
      <w:pPr>
        <w:pStyle w:val="BodyText"/>
      </w:pPr>
      <w:r w:rsidRPr="00256982">
        <w:t>For all non-MDI aerosol products using HFC propellant, the average propellant charge is assessed to be 84 grams of HFC-134a.</w:t>
      </w:r>
    </w:p>
    <w:p w14:paraId="78AB0AAE" w14:textId="77777777" w:rsidR="00806461" w:rsidRPr="00256982" w:rsidRDefault="00806461" w:rsidP="00A72006">
      <w:pPr>
        <w:pStyle w:val="Heading4"/>
      </w:pPr>
      <w:r w:rsidRPr="00256982">
        <w:t>Choice of methods</w:t>
      </w:r>
    </w:p>
    <w:p w14:paraId="54C5B50A" w14:textId="77777777" w:rsidR="00806461" w:rsidRPr="00256982" w:rsidRDefault="00806461" w:rsidP="00806461">
      <w:pPr>
        <w:pStyle w:val="Heading5"/>
      </w:pPr>
      <w:r w:rsidRPr="00256982">
        <w:t>Refrigeration and air conditioning (2.F.1)</w:t>
      </w:r>
    </w:p>
    <w:p w14:paraId="3FBF15FA" w14:textId="77777777" w:rsidR="00806461" w:rsidRPr="00256982" w:rsidRDefault="00806461" w:rsidP="00806461">
      <w:pPr>
        <w:pStyle w:val="BodyText"/>
      </w:pPr>
      <w:r w:rsidRPr="00256982">
        <w:t xml:space="preserve">The Tier 2b mass balance approach is used to estimate emissions from the </w:t>
      </w:r>
      <w:r w:rsidRPr="00256982">
        <w:rPr>
          <w:i/>
        </w:rPr>
        <w:t>Refrigeration and air conditioning</w:t>
      </w:r>
      <w:r w:rsidRPr="00256982">
        <w:t xml:space="preserve"> source category. This method is used because quite complete and accurate data are available on bulk imports of the refrigerants used for these applications. The alternative Tier 2a approach would require bottom-up data on the charges, leakage rates and population of a great variety of equipment items. This information is not available. </w:t>
      </w:r>
    </w:p>
    <w:p w14:paraId="20BAED64" w14:textId="77777777" w:rsidR="00806461" w:rsidRPr="00256982" w:rsidRDefault="00806461" w:rsidP="00806461">
      <w:pPr>
        <w:pStyle w:val="BodyText"/>
      </w:pPr>
      <w:r w:rsidRPr="00256982">
        <w:t xml:space="preserve">The mass balance approach uses equation 7.9 in the IPCC Guidelines (2006a) (box 4.2). </w:t>
      </w:r>
    </w:p>
    <w:p w14:paraId="3E31D970" w14:textId="77777777" w:rsidR="00806461" w:rsidRPr="00256982" w:rsidRDefault="00806461" w:rsidP="00806461">
      <w:pPr>
        <w:pStyle w:val="BodyText"/>
        <w:keepNext/>
        <w:rPr>
          <w:rFonts w:ascii="Arial" w:hAnsi="Arial" w:cs="Arial"/>
          <w:i/>
          <w:sz w:val="20"/>
        </w:rPr>
      </w:pPr>
      <w:r w:rsidRPr="00256982">
        <w:rPr>
          <w:rFonts w:ascii="Arial" w:hAnsi="Arial" w:cs="Arial"/>
          <w:b/>
          <w:i/>
          <w:sz w:val="18"/>
          <w:szCs w:val="18"/>
        </w:rPr>
        <w:t>Box 4.2</w:t>
      </w:r>
    </w:p>
    <w:p w14:paraId="196F7BCD" w14:textId="77777777" w:rsidR="00806461" w:rsidRPr="00256982" w:rsidRDefault="00806461" w:rsidP="00B10937">
      <w:pPr>
        <w:pStyle w:val="BoxHeading"/>
        <w:keepNext/>
        <w:jc w:val="center"/>
        <w:rPr>
          <w:sz w:val="20"/>
          <w:lang w:eastAsia="en-GB"/>
        </w:rPr>
      </w:pPr>
      <w:r w:rsidRPr="00256982">
        <w:rPr>
          <w:sz w:val="20"/>
          <w:lang w:eastAsia="en-GB"/>
        </w:rPr>
        <w:t>IPCC (2006a) equation 7.9</w:t>
      </w:r>
    </w:p>
    <w:p w14:paraId="64ED2057" w14:textId="77777777" w:rsidR="00806461" w:rsidRPr="00256982" w:rsidRDefault="00806461" w:rsidP="00806461">
      <w:pPr>
        <w:pStyle w:val="Box"/>
        <w:jc w:val="center"/>
        <w:rPr>
          <w:sz w:val="18"/>
          <w:lang w:eastAsia="en-GB"/>
        </w:rPr>
      </w:pPr>
      <w:r w:rsidRPr="00256982">
        <w:rPr>
          <w:b/>
          <w:sz w:val="18"/>
          <w:lang w:eastAsia="en-GB"/>
        </w:rPr>
        <w:t xml:space="preserve">Emissions </w:t>
      </w:r>
      <w:r w:rsidRPr="00256982">
        <w:rPr>
          <w:sz w:val="18"/>
          <w:lang w:eastAsia="en-GB"/>
        </w:rPr>
        <w:t>= Annual Sales of New Refrigerant ― Total Charge of New Equipment + Original Total Charge of Retiring Equipment ― Amount of Intentional Destruction</w:t>
      </w:r>
    </w:p>
    <w:p w14:paraId="77FEA4A2" w14:textId="77777777" w:rsidR="00806461" w:rsidRPr="00256982" w:rsidRDefault="00806461" w:rsidP="00806461">
      <w:pPr>
        <w:pStyle w:val="BodyText"/>
        <w:spacing w:before="240"/>
      </w:pPr>
      <w:r w:rsidRPr="00256982">
        <w:lastRenderedPageBreak/>
        <w:t xml:space="preserve">Spreadsheet models have been used to represent the refrigerant consumption and banks. Estimates have been made for the six sub-applications: household refrigeration, commercial refrigeration, industrial refrigeration, transport refrigeration, stationary air conditioning and mobile air conditioning. </w:t>
      </w:r>
    </w:p>
    <w:p w14:paraId="7EFEE4CB" w14:textId="77777777" w:rsidR="00806461" w:rsidRPr="00256982" w:rsidRDefault="00806461" w:rsidP="00806461">
      <w:pPr>
        <w:pStyle w:val="BodyText"/>
      </w:pPr>
      <w:r w:rsidRPr="00256982">
        <w:t xml:space="preserve">There is no facility for the intentional destruction of HFCs or PFCs from this application in New Zealand. Some HFCs are exported for destruction in Australia, and the amounts recovered for destruction are reported. </w:t>
      </w:r>
    </w:p>
    <w:p w14:paraId="139C2906" w14:textId="77777777" w:rsidR="00806461" w:rsidRPr="00256982" w:rsidRDefault="00806461" w:rsidP="00806461">
      <w:pPr>
        <w:pStyle w:val="Heading5"/>
      </w:pPr>
      <w:r w:rsidRPr="00256982">
        <w:t>Other (2.F.2, 2.F.3 and 2.F.4)</w:t>
      </w:r>
    </w:p>
    <w:p w14:paraId="68DE8698" w14:textId="77777777" w:rsidR="00806461" w:rsidRPr="00256982" w:rsidRDefault="00806461" w:rsidP="00806461">
      <w:pPr>
        <w:pStyle w:val="BodyText"/>
      </w:pPr>
      <w:r w:rsidRPr="00256982">
        <w:t xml:space="preserve">The IPCC Tier 1a method is used for foam blowing agents and fire protection equipment. </w:t>
      </w:r>
    </w:p>
    <w:p w14:paraId="3BDE76FF" w14:textId="77777777" w:rsidR="00806461" w:rsidRPr="00256982" w:rsidRDefault="00806461" w:rsidP="00806461">
      <w:pPr>
        <w:pStyle w:val="BodyText"/>
      </w:pPr>
      <w:r w:rsidRPr="00256982">
        <w:t xml:space="preserve">Aerosol emissions are calculated using the IPCC Tier 1a/2a method (IPCC, 2006a, equation 7.6). Tier 2a requires subdividing these emissions by sub-application. In this submission, emissions from MDIs are reported separately as a sub-application (2.F.4.a), but insufficient data are available to further subdivide aerosol products by sub-application. All other aerosol products are reported together (2.F.4.b). </w:t>
      </w:r>
    </w:p>
    <w:p w14:paraId="6087DF30" w14:textId="77777777" w:rsidR="00806461" w:rsidRPr="00256982" w:rsidRDefault="00806461" w:rsidP="00A72006">
      <w:pPr>
        <w:pStyle w:val="Heading4"/>
        <w:rPr>
          <w:bCs/>
          <w:iCs/>
        </w:rPr>
      </w:pPr>
      <w:r w:rsidRPr="00256982">
        <w:t>Choice of emission factors</w:t>
      </w:r>
    </w:p>
    <w:p w14:paraId="578A2A60" w14:textId="77777777" w:rsidR="00806461" w:rsidRPr="00256982" w:rsidRDefault="00806461" w:rsidP="00806461">
      <w:pPr>
        <w:pStyle w:val="Heading5"/>
      </w:pPr>
      <w:r w:rsidRPr="00256982">
        <w:t>Refrigeration and air conditioning (2.F.1)</w:t>
      </w:r>
    </w:p>
    <w:p w14:paraId="6A887AF7" w14:textId="77777777" w:rsidR="00806461" w:rsidRPr="00256982" w:rsidRDefault="00806461" w:rsidP="00806461">
      <w:pPr>
        <w:pStyle w:val="BodyText"/>
      </w:pPr>
      <w:r w:rsidRPr="00256982">
        <w:t xml:space="preserve">The emission factors used in each sub-application (other than mobile air conditioning) were assessed using a combination of IPCC defaults, information from the New Zealand industry and expert judgement. </w:t>
      </w:r>
    </w:p>
    <w:p w14:paraId="10E24A9F" w14:textId="77777777" w:rsidR="00806461" w:rsidRPr="00256982" w:rsidRDefault="00806461" w:rsidP="00806461">
      <w:pPr>
        <w:pStyle w:val="BodyText"/>
      </w:pPr>
      <w:r w:rsidRPr="00256982">
        <w:t xml:space="preserve">In addition, the annual leakage rates were adjusted in some cases, to ensure that the total results for all sub-applications were consistent with the much more complete and accurate data available to estimate the total mass balance (for all five sub-applications) for each chemical (CRL Energy, </w:t>
      </w:r>
      <w:r w:rsidRPr="00256982">
        <w:rPr>
          <w:rFonts w:eastAsia="+mn-ea"/>
        </w:rPr>
        <w:t>unpublished(c)</w:t>
      </w:r>
      <w:r w:rsidRPr="00256982">
        <w:t xml:space="preserve">). For each chemical, this has meant that one of the sub-applications is treated as a residual and is, consequently, subject to greater year-to-year variation. </w:t>
      </w:r>
    </w:p>
    <w:p w14:paraId="54557706" w14:textId="77777777" w:rsidR="00806461" w:rsidRPr="00256982" w:rsidRDefault="00806461" w:rsidP="00806461">
      <w:pPr>
        <w:pStyle w:val="BodyText"/>
      </w:pPr>
      <w:r w:rsidRPr="00256982">
        <w:t>These emission factors are detailed in the report by CRL Energy (</w:t>
      </w:r>
      <w:r w:rsidRPr="00256982">
        <w:rPr>
          <w:rFonts w:eastAsia="+mn-ea"/>
        </w:rPr>
        <w:t>unpublished(c)</w:t>
      </w:r>
      <w:r w:rsidRPr="00256982">
        <w:t xml:space="preserve">). </w:t>
      </w:r>
    </w:p>
    <w:p w14:paraId="6DC40309" w14:textId="77777777" w:rsidR="00806461" w:rsidRPr="00256982" w:rsidRDefault="00806461" w:rsidP="00806461">
      <w:pPr>
        <w:pStyle w:val="BodyText"/>
      </w:pPr>
      <w:r w:rsidRPr="00256982">
        <w:t xml:space="preserve">For mobile air conditioning, the emission factors used are shown in table 4.7.2. </w:t>
      </w:r>
    </w:p>
    <w:p w14:paraId="13B552A7" w14:textId="77777777" w:rsidR="00806461" w:rsidRPr="00256982" w:rsidRDefault="00806461" w:rsidP="00806461">
      <w:pPr>
        <w:pStyle w:val="Table"/>
      </w:pPr>
      <w:bookmarkStart w:id="449" w:name="_Toc451176077"/>
      <w:bookmarkStart w:id="450" w:name="_Toc5269467"/>
      <w:r w:rsidRPr="00256982">
        <w:t>Table 4.7.2</w:t>
      </w:r>
      <w:r w:rsidRPr="00256982">
        <w:tab/>
        <w:t>Emission factors for mobile air conditioning</w:t>
      </w:r>
      <w:bookmarkEnd w:id="449"/>
      <w:bookmarkEnd w:id="450"/>
    </w:p>
    <w:tbl>
      <w:tblPr>
        <w:tblW w:w="8562" w:type="dxa"/>
        <w:tblInd w:w="108" w:type="dxa"/>
        <w:tblBorders>
          <w:top w:val="single" w:sz="6" w:space="0" w:color="365F91"/>
          <w:bottom w:val="single" w:sz="6" w:space="0" w:color="365F91"/>
          <w:insideH w:val="single" w:sz="6" w:space="0" w:color="365F91"/>
        </w:tblBorders>
        <w:tblLook w:val="04A0" w:firstRow="1" w:lastRow="0" w:firstColumn="1" w:lastColumn="0" w:noHBand="0" w:noVBand="1"/>
      </w:tblPr>
      <w:tblGrid>
        <w:gridCol w:w="2740"/>
        <w:gridCol w:w="2911"/>
        <w:gridCol w:w="2911"/>
      </w:tblGrid>
      <w:tr w:rsidR="00806461" w:rsidRPr="00256982" w14:paraId="10934BD4" w14:textId="77777777" w:rsidTr="00835C2B">
        <w:tc>
          <w:tcPr>
            <w:tcW w:w="2268" w:type="dxa"/>
            <w:tcBorders>
              <w:top w:val="single" w:sz="4" w:space="0" w:color="365F91"/>
              <w:left w:val="nil"/>
              <w:bottom w:val="single" w:sz="4" w:space="0" w:color="365F91"/>
              <w:right w:val="nil"/>
            </w:tcBorders>
            <w:shd w:val="clear" w:color="auto" w:fill="365F91"/>
            <w:hideMark/>
          </w:tcPr>
          <w:p w14:paraId="2E30972D" w14:textId="77777777" w:rsidR="00806461" w:rsidRPr="00256982" w:rsidRDefault="00806461">
            <w:pPr>
              <w:pStyle w:val="TableTextBold"/>
              <w:rPr>
                <w:noProof w:val="0"/>
                <w:color w:val="FFFFFF"/>
              </w:rPr>
            </w:pPr>
            <w:r w:rsidRPr="00256982">
              <w:rPr>
                <w:noProof w:val="0"/>
                <w:color w:val="FFFFFF"/>
              </w:rPr>
              <w:t>First fill (%)</w:t>
            </w:r>
          </w:p>
        </w:tc>
        <w:tc>
          <w:tcPr>
            <w:tcW w:w="2409" w:type="dxa"/>
            <w:tcBorders>
              <w:top w:val="single" w:sz="4" w:space="0" w:color="365F91"/>
              <w:left w:val="nil"/>
              <w:bottom w:val="single" w:sz="4" w:space="0" w:color="365F91"/>
              <w:right w:val="nil"/>
            </w:tcBorders>
            <w:shd w:val="clear" w:color="auto" w:fill="365F91"/>
            <w:hideMark/>
          </w:tcPr>
          <w:p w14:paraId="19247044" w14:textId="77777777" w:rsidR="00806461" w:rsidRPr="00256982" w:rsidRDefault="00806461">
            <w:pPr>
              <w:pStyle w:val="TableTextBold"/>
              <w:rPr>
                <w:noProof w:val="0"/>
                <w:color w:val="FFFFFF"/>
              </w:rPr>
            </w:pPr>
            <w:r w:rsidRPr="00256982">
              <w:rPr>
                <w:noProof w:val="0"/>
                <w:color w:val="FFFFFF"/>
              </w:rPr>
              <w:t>Operation (%)</w:t>
            </w:r>
          </w:p>
        </w:tc>
        <w:tc>
          <w:tcPr>
            <w:tcW w:w="2409" w:type="dxa"/>
            <w:tcBorders>
              <w:top w:val="single" w:sz="4" w:space="0" w:color="365F91"/>
              <w:left w:val="nil"/>
              <w:bottom w:val="single" w:sz="4" w:space="0" w:color="365F91"/>
              <w:right w:val="nil"/>
            </w:tcBorders>
            <w:shd w:val="clear" w:color="auto" w:fill="365F91"/>
            <w:hideMark/>
          </w:tcPr>
          <w:p w14:paraId="25F3AF28" w14:textId="77777777" w:rsidR="00806461" w:rsidRPr="00256982" w:rsidRDefault="00806461">
            <w:pPr>
              <w:pStyle w:val="TableTextBold"/>
              <w:rPr>
                <w:noProof w:val="0"/>
                <w:color w:val="FFFFFF"/>
              </w:rPr>
            </w:pPr>
            <w:r w:rsidRPr="00256982">
              <w:rPr>
                <w:noProof w:val="0"/>
                <w:color w:val="FFFFFF"/>
              </w:rPr>
              <w:t>End of life (%)</w:t>
            </w:r>
          </w:p>
        </w:tc>
      </w:tr>
      <w:tr w:rsidR="00806461" w:rsidRPr="00256982" w14:paraId="15C001EA" w14:textId="77777777" w:rsidTr="00835C2B">
        <w:tc>
          <w:tcPr>
            <w:tcW w:w="2268" w:type="dxa"/>
            <w:tcBorders>
              <w:top w:val="single" w:sz="4" w:space="0" w:color="365F91"/>
              <w:left w:val="nil"/>
              <w:bottom w:val="single" w:sz="6" w:space="0" w:color="365F91"/>
              <w:right w:val="nil"/>
            </w:tcBorders>
            <w:shd w:val="clear" w:color="auto" w:fill="FFFFFF"/>
            <w:hideMark/>
          </w:tcPr>
          <w:p w14:paraId="7DD0C3A0" w14:textId="77777777" w:rsidR="00806461" w:rsidRPr="00256982" w:rsidRDefault="00806461">
            <w:pPr>
              <w:pStyle w:val="TableText"/>
            </w:pPr>
            <w:r w:rsidRPr="00256982">
              <w:t>0.5</w:t>
            </w:r>
          </w:p>
        </w:tc>
        <w:tc>
          <w:tcPr>
            <w:tcW w:w="2409" w:type="dxa"/>
            <w:tcBorders>
              <w:top w:val="single" w:sz="4" w:space="0" w:color="365F91"/>
              <w:left w:val="nil"/>
              <w:bottom w:val="single" w:sz="6" w:space="0" w:color="365F91"/>
              <w:right w:val="nil"/>
            </w:tcBorders>
            <w:shd w:val="clear" w:color="auto" w:fill="FFFFFF"/>
            <w:hideMark/>
          </w:tcPr>
          <w:p w14:paraId="4CEDD97E" w14:textId="77777777" w:rsidR="00806461" w:rsidRPr="00256982" w:rsidRDefault="00806461">
            <w:pPr>
              <w:pStyle w:val="TableText"/>
            </w:pPr>
            <w:r w:rsidRPr="00256982">
              <w:t>10.0</w:t>
            </w:r>
          </w:p>
        </w:tc>
        <w:tc>
          <w:tcPr>
            <w:tcW w:w="2409" w:type="dxa"/>
            <w:tcBorders>
              <w:top w:val="single" w:sz="4" w:space="0" w:color="365F91"/>
              <w:left w:val="nil"/>
              <w:bottom w:val="single" w:sz="6" w:space="0" w:color="365F91"/>
              <w:right w:val="nil"/>
            </w:tcBorders>
            <w:shd w:val="clear" w:color="auto" w:fill="FFFFFF"/>
            <w:hideMark/>
          </w:tcPr>
          <w:p w14:paraId="5BBDA717" w14:textId="77777777" w:rsidR="00806461" w:rsidRPr="00256982" w:rsidRDefault="00806461">
            <w:pPr>
              <w:pStyle w:val="TableText"/>
            </w:pPr>
            <w:r w:rsidRPr="00256982">
              <w:t>50.0</w:t>
            </w:r>
          </w:p>
        </w:tc>
      </w:tr>
    </w:tbl>
    <w:p w14:paraId="02161859" w14:textId="77777777" w:rsidR="00806461" w:rsidRPr="00256982" w:rsidRDefault="00806461" w:rsidP="00806461">
      <w:pPr>
        <w:pStyle w:val="Heading5"/>
        <w:spacing w:before="360"/>
      </w:pPr>
      <w:r w:rsidRPr="00256982">
        <w:t>Foam blowing agents (2.F.2)</w:t>
      </w:r>
    </w:p>
    <w:p w14:paraId="24B0B380" w14:textId="77777777" w:rsidR="00806461" w:rsidRPr="00256982" w:rsidRDefault="00806461" w:rsidP="00806461">
      <w:pPr>
        <w:pStyle w:val="BodyText"/>
      </w:pPr>
      <w:r w:rsidRPr="00256982">
        <w:t xml:space="preserve">The IPCC default emission factors for closed-cell foam are used, that is, assuming 10.0 per cent loss in the first year of use and 4.5 per cent in each of the following 20 years. </w:t>
      </w:r>
    </w:p>
    <w:p w14:paraId="29E2EC94" w14:textId="77777777" w:rsidR="00806461" w:rsidRPr="00256982" w:rsidRDefault="00806461" w:rsidP="00806461">
      <w:pPr>
        <w:pStyle w:val="Heading5"/>
      </w:pPr>
      <w:r w:rsidRPr="00256982">
        <w:t>Fire protection (2.F.3)</w:t>
      </w:r>
    </w:p>
    <w:p w14:paraId="019AA14B" w14:textId="77777777" w:rsidR="00806461" w:rsidRPr="00256982" w:rsidRDefault="00806461" w:rsidP="00806461">
      <w:pPr>
        <w:pStyle w:val="BodyText"/>
      </w:pPr>
      <w:r w:rsidRPr="00256982">
        <w:t xml:space="preserve">For fire protection equipment, a country-specific emission factor of 0.015 (1.5 per cent of the charge lost in leakage each year) is used. This estimate is based on information from one major supplier of these systems, which was able to supply records of the amount of HFC-227ea it used to replace leakage and accidental discharges. </w:t>
      </w:r>
    </w:p>
    <w:p w14:paraId="242A5E37" w14:textId="77777777" w:rsidR="00806461" w:rsidRPr="00256982" w:rsidRDefault="00806461" w:rsidP="00806461">
      <w:pPr>
        <w:pStyle w:val="Heading5"/>
      </w:pPr>
      <w:r w:rsidRPr="00256982">
        <w:lastRenderedPageBreak/>
        <w:t>Aerosols (2.F.4)</w:t>
      </w:r>
    </w:p>
    <w:p w14:paraId="086D1EA7" w14:textId="77777777" w:rsidR="00806461" w:rsidRPr="00256982" w:rsidRDefault="00806461" w:rsidP="00806461">
      <w:pPr>
        <w:pStyle w:val="BodyText"/>
      </w:pPr>
      <w:r w:rsidRPr="00256982">
        <w:t xml:space="preserve">Aerosol emissions are considered to be prompt (emitted in the first year or two after manufacture or import) and so the default emission factor of 50.0 per cent of the initial charge emitted per year is applied. </w:t>
      </w:r>
    </w:p>
    <w:p w14:paraId="5D3DB443" w14:textId="77777777" w:rsidR="00806461" w:rsidRPr="00256982" w:rsidRDefault="00806461" w:rsidP="001D3490">
      <w:pPr>
        <w:pStyle w:val="Heading3"/>
      </w:pPr>
      <w:r w:rsidRPr="00256982">
        <w:t xml:space="preserve">4.7.3 </w:t>
      </w:r>
      <w:r w:rsidRPr="00256982">
        <w:tab/>
        <w:t>Uncertainties and time-series consistency</w:t>
      </w:r>
    </w:p>
    <w:p w14:paraId="23394A64" w14:textId="77777777" w:rsidR="00806461" w:rsidRPr="00256982" w:rsidRDefault="00806461" w:rsidP="00A72006">
      <w:pPr>
        <w:pStyle w:val="Heading4"/>
        <w:rPr>
          <w:bCs/>
          <w:iCs/>
        </w:rPr>
      </w:pPr>
      <w:r w:rsidRPr="00256982">
        <w:t>Uncertainties</w:t>
      </w:r>
    </w:p>
    <w:p w14:paraId="67E7AA9A" w14:textId="77777777" w:rsidR="00806461" w:rsidRPr="00256982" w:rsidRDefault="00806461" w:rsidP="00806461">
      <w:pPr>
        <w:pStyle w:val="BodyText"/>
      </w:pPr>
      <w:r w:rsidRPr="00256982">
        <w:t xml:space="preserve">Data on bulk imports of refrigerant gases in the </w:t>
      </w:r>
      <w:r w:rsidRPr="00256982">
        <w:rPr>
          <w:i/>
        </w:rPr>
        <w:t>Refrigeration and air conditioning</w:t>
      </w:r>
      <w:r w:rsidRPr="00256982">
        <w:t xml:space="preserve"> category are complete and accurate with uncertainty of ±5 per cent. Data on the amount imported in factory-charged equipment, and the amount in retired equipment, are much less accurate, and uncertainties are estimated for each sub-application based on expert judgement. </w:t>
      </w:r>
    </w:p>
    <w:p w14:paraId="3D88D2B4" w14:textId="77777777" w:rsidR="00806461" w:rsidRPr="00256982" w:rsidRDefault="00806461" w:rsidP="00806461">
      <w:pPr>
        <w:pStyle w:val="BodyText"/>
      </w:pPr>
      <w:r w:rsidRPr="00256982">
        <w:t xml:space="preserve">Uncertainties in this source category have been estimated for each sub-application, and table 4.7.3 summarises the uncertainties for each category. For the </w:t>
      </w:r>
      <w:r w:rsidRPr="00256982">
        <w:rPr>
          <w:i/>
        </w:rPr>
        <w:t>Refrigeration and air conditioning</w:t>
      </w:r>
      <w:r w:rsidRPr="00256982">
        <w:t xml:space="preserve"> category, uncertainty is attributed only to the activity data. </w:t>
      </w:r>
    </w:p>
    <w:p w14:paraId="4508076D" w14:textId="77777777" w:rsidR="00806461" w:rsidRPr="00256982" w:rsidRDefault="00806461" w:rsidP="00806461">
      <w:pPr>
        <w:pStyle w:val="Table"/>
      </w:pPr>
      <w:bookmarkStart w:id="451" w:name="_Toc451176078"/>
      <w:bookmarkStart w:id="452" w:name="_Toc5269468"/>
      <w:r w:rsidRPr="00256982">
        <w:t xml:space="preserve">Table 4.7.3 </w:t>
      </w:r>
      <w:r w:rsidRPr="00256982">
        <w:tab/>
        <w:t>New Zealand’s uncertainties in product uses as substitutes for ODS</w:t>
      </w:r>
      <w:bookmarkEnd w:id="451"/>
      <w:bookmarkEnd w:id="452"/>
      <w:r w:rsidRPr="00256982">
        <w:t xml:space="preserve"> </w:t>
      </w:r>
    </w:p>
    <w:tbl>
      <w:tblPr>
        <w:tblW w:w="8562" w:type="dxa"/>
        <w:tblInd w:w="108" w:type="dxa"/>
        <w:tblLook w:val="04A0" w:firstRow="1" w:lastRow="0" w:firstColumn="1" w:lastColumn="0" w:noHBand="0" w:noVBand="1"/>
      </w:tblPr>
      <w:tblGrid>
        <w:gridCol w:w="2892"/>
        <w:gridCol w:w="2678"/>
        <w:gridCol w:w="2992"/>
      </w:tblGrid>
      <w:tr w:rsidR="00806461" w:rsidRPr="00256982" w14:paraId="03C2187E" w14:textId="77777777" w:rsidTr="004C4C3C">
        <w:trPr>
          <w:trHeight w:val="309"/>
        </w:trPr>
        <w:tc>
          <w:tcPr>
            <w:tcW w:w="2603" w:type="dxa"/>
            <w:tcBorders>
              <w:top w:val="single" w:sz="4" w:space="0" w:color="365F91"/>
              <w:left w:val="nil"/>
              <w:bottom w:val="single" w:sz="4" w:space="0" w:color="365F91"/>
              <w:right w:val="nil"/>
            </w:tcBorders>
            <w:shd w:val="clear" w:color="auto" w:fill="365F91"/>
            <w:hideMark/>
          </w:tcPr>
          <w:p w14:paraId="6011B7BD" w14:textId="77777777" w:rsidR="00806461" w:rsidRPr="00256982" w:rsidRDefault="00806461">
            <w:pPr>
              <w:pStyle w:val="TableTextBold"/>
              <w:rPr>
                <w:bCs/>
                <w:noProof w:val="0"/>
                <w:color w:val="FFFFFF"/>
              </w:rPr>
            </w:pPr>
            <w:r w:rsidRPr="00256982">
              <w:rPr>
                <w:noProof w:val="0"/>
                <w:color w:val="FFFFFF"/>
              </w:rPr>
              <w:t>Source category</w:t>
            </w:r>
          </w:p>
        </w:tc>
        <w:tc>
          <w:tcPr>
            <w:tcW w:w="2410" w:type="dxa"/>
            <w:tcBorders>
              <w:top w:val="single" w:sz="4" w:space="0" w:color="365F91"/>
              <w:left w:val="nil"/>
              <w:bottom w:val="single" w:sz="4" w:space="0" w:color="365F91"/>
              <w:right w:val="nil"/>
            </w:tcBorders>
            <w:shd w:val="clear" w:color="auto" w:fill="365F91"/>
            <w:hideMark/>
          </w:tcPr>
          <w:p w14:paraId="22C2B104" w14:textId="77777777" w:rsidR="00806461" w:rsidRPr="00256982" w:rsidRDefault="00806461">
            <w:pPr>
              <w:pStyle w:val="TableTextBold"/>
              <w:rPr>
                <w:bCs/>
                <w:noProof w:val="0"/>
                <w:color w:val="FFFFFF"/>
              </w:rPr>
            </w:pPr>
            <w:r w:rsidRPr="00256982">
              <w:rPr>
                <w:noProof w:val="0"/>
                <w:color w:val="FFFFFF"/>
              </w:rPr>
              <w:t>Uncertainty in activity data (%)</w:t>
            </w:r>
          </w:p>
        </w:tc>
        <w:tc>
          <w:tcPr>
            <w:tcW w:w="2693" w:type="dxa"/>
            <w:tcBorders>
              <w:top w:val="single" w:sz="4" w:space="0" w:color="365F91"/>
              <w:left w:val="nil"/>
              <w:bottom w:val="single" w:sz="4" w:space="0" w:color="365F91"/>
              <w:right w:val="nil"/>
            </w:tcBorders>
            <w:shd w:val="clear" w:color="auto" w:fill="365F91"/>
            <w:hideMark/>
          </w:tcPr>
          <w:p w14:paraId="220DBAC0" w14:textId="77777777" w:rsidR="00806461" w:rsidRPr="00256982" w:rsidRDefault="00806461">
            <w:pPr>
              <w:pStyle w:val="TableTextBold"/>
              <w:rPr>
                <w:noProof w:val="0"/>
                <w:color w:val="FFFFFF"/>
              </w:rPr>
            </w:pPr>
            <w:r w:rsidRPr="00256982">
              <w:rPr>
                <w:noProof w:val="0"/>
                <w:color w:val="FFFFFF"/>
              </w:rPr>
              <w:t>Uncertainty in emission factors (%)</w:t>
            </w:r>
          </w:p>
        </w:tc>
      </w:tr>
      <w:tr w:rsidR="00806461" w:rsidRPr="00256982" w14:paraId="4DB8B75C" w14:textId="77777777" w:rsidTr="004C4C3C">
        <w:tc>
          <w:tcPr>
            <w:tcW w:w="2603" w:type="dxa"/>
            <w:tcBorders>
              <w:top w:val="single" w:sz="4" w:space="0" w:color="365F91"/>
              <w:left w:val="nil"/>
              <w:bottom w:val="nil"/>
              <w:right w:val="nil"/>
            </w:tcBorders>
            <w:hideMark/>
          </w:tcPr>
          <w:p w14:paraId="48324ADA" w14:textId="77777777" w:rsidR="00806461" w:rsidRPr="00256982" w:rsidRDefault="00806461">
            <w:pPr>
              <w:pStyle w:val="TableText"/>
            </w:pPr>
            <w:r w:rsidRPr="00256982">
              <w:t>Refrigeration and air conditioning</w:t>
            </w:r>
          </w:p>
        </w:tc>
        <w:tc>
          <w:tcPr>
            <w:tcW w:w="2410" w:type="dxa"/>
            <w:tcBorders>
              <w:top w:val="single" w:sz="4" w:space="0" w:color="365F91"/>
              <w:left w:val="nil"/>
              <w:bottom w:val="nil"/>
              <w:right w:val="nil"/>
            </w:tcBorders>
            <w:hideMark/>
          </w:tcPr>
          <w:p w14:paraId="4C6E660F" w14:textId="77777777" w:rsidR="00806461" w:rsidRPr="00256982" w:rsidRDefault="00806461">
            <w:pPr>
              <w:pStyle w:val="TableText"/>
            </w:pPr>
            <w:r w:rsidRPr="00256982">
              <w:t>±32</w:t>
            </w:r>
          </w:p>
        </w:tc>
        <w:tc>
          <w:tcPr>
            <w:tcW w:w="2693" w:type="dxa"/>
            <w:tcBorders>
              <w:top w:val="single" w:sz="4" w:space="0" w:color="365F91"/>
              <w:left w:val="nil"/>
              <w:bottom w:val="nil"/>
              <w:right w:val="nil"/>
            </w:tcBorders>
            <w:hideMark/>
          </w:tcPr>
          <w:p w14:paraId="424E379F" w14:textId="77777777" w:rsidR="00806461" w:rsidRPr="00256982" w:rsidRDefault="00806461">
            <w:pPr>
              <w:pStyle w:val="TableText"/>
            </w:pPr>
            <w:r w:rsidRPr="00256982">
              <w:t>N/A</w:t>
            </w:r>
          </w:p>
        </w:tc>
      </w:tr>
      <w:tr w:rsidR="00806461" w:rsidRPr="00256982" w14:paraId="49F1A61E" w14:textId="77777777" w:rsidTr="004C4C3C">
        <w:tc>
          <w:tcPr>
            <w:tcW w:w="2603" w:type="dxa"/>
            <w:hideMark/>
          </w:tcPr>
          <w:p w14:paraId="425F3424" w14:textId="77777777" w:rsidR="00806461" w:rsidRPr="00256982" w:rsidRDefault="00806461">
            <w:pPr>
              <w:pStyle w:val="TableText"/>
            </w:pPr>
            <w:r w:rsidRPr="00256982">
              <w:t>Foam blowing agents</w:t>
            </w:r>
          </w:p>
        </w:tc>
        <w:tc>
          <w:tcPr>
            <w:tcW w:w="2410" w:type="dxa"/>
            <w:hideMark/>
          </w:tcPr>
          <w:p w14:paraId="59601C3F" w14:textId="77777777" w:rsidR="00806461" w:rsidRPr="00256982" w:rsidRDefault="00806461">
            <w:pPr>
              <w:pStyle w:val="TableText"/>
            </w:pPr>
            <w:r w:rsidRPr="00256982">
              <w:t>±12</w:t>
            </w:r>
          </w:p>
        </w:tc>
        <w:tc>
          <w:tcPr>
            <w:tcW w:w="2693" w:type="dxa"/>
            <w:hideMark/>
          </w:tcPr>
          <w:p w14:paraId="57288E8D" w14:textId="77777777" w:rsidR="00806461" w:rsidRPr="00256982" w:rsidRDefault="00806461">
            <w:pPr>
              <w:pStyle w:val="TableText"/>
            </w:pPr>
            <w:r w:rsidRPr="00256982">
              <w:t>±50</w:t>
            </w:r>
          </w:p>
        </w:tc>
      </w:tr>
      <w:tr w:rsidR="00806461" w:rsidRPr="00256982" w14:paraId="20759373" w14:textId="77777777" w:rsidTr="004C4C3C">
        <w:tc>
          <w:tcPr>
            <w:tcW w:w="2603" w:type="dxa"/>
            <w:hideMark/>
          </w:tcPr>
          <w:p w14:paraId="567EA025" w14:textId="77777777" w:rsidR="00806461" w:rsidRPr="00256982" w:rsidRDefault="00806461">
            <w:pPr>
              <w:pStyle w:val="TableText"/>
            </w:pPr>
            <w:r w:rsidRPr="00256982">
              <w:t>Aerosols</w:t>
            </w:r>
          </w:p>
        </w:tc>
        <w:tc>
          <w:tcPr>
            <w:tcW w:w="2410" w:type="dxa"/>
            <w:hideMark/>
          </w:tcPr>
          <w:p w14:paraId="52D27DB6" w14:textId="77777777" w:rsidR="00806461" w:rsidRPr="00256982" w:rsidRDefault="00806461">
            <w:pPr>
              <w:pStyle w:val="TableText"/>
            </w:pPr>
            <w:r w:rsidRPr="00256982">
              <w:t>±25</w:t>
            </w:r>
          </w:p>
        </w:tc>
        <w:tc>
          <w:tcPr>
            <w:tcW w:w="2693" w:type="dxa"/>
            <w:hideMark/>
          </w:tcPr>
          <w:p w14:paraId="702D99E3" w14:textId="77777777" w:rsidR="00806461" w:rsidRPr="00256982" w:rsidRDefault="00806461">
            <w:pPr>
              <w:pStyle w:val="TableText"/>
            </w:pPr>
            <w:r w:rsidRPr="00256982">
              <w:t>±10</w:t>
            </w:r>
          </w:p>
        </w:tc>
      </w:tr>
      <w:tr w:rsidR="00806461" w:rsidRPr="00256982" w14:paraId="5DE4BCAD" w14:textId="77777777" w:rsidTr="004C4C3C">
        <w:tc>
          <w:tcPr>
            <w:tcW w:w="2603" w:type="dxa"/>
            <w:tcBorders>
              <w:top w:val="nil"/>
              <w:left w:val="nil"/>
              <w:bottom w:val="single" w:sz="4" w:space="0" w:color="365F91"/>
              <w:right w:val="nil"/>
            </w:tcBorders>
            <w:hideMark/>
          </w:tcPr>
          <w:p w14:paraId="59A67187" w14:textId="77777777" w:rsidR="00806461" w:rsidRPr="00256982" w:rsidRDefault="00806461">
            <w:pPr>
              <w:pStyle w:val="TableText"/>
            </w:pPr>
            <w:r w:rsidRPr="00256982">
              <w:t>Fire protection</w:t>
            </w:r>
          </w:p>
        </w:tc>
        <w:tc>
          <w:tcPr>
            <w:tcW w:w="2410" w:type="dxa"/>
            <w:tcBorders>
              <w:top w:val="nil"/>
              <w:left w:val="nil"/>
              <w:bottom w:val="single" w:sz="4" w:space="0" w:color="365F91"/>
              <w:right w:val="nil"/>
            </w:tcBorders>
            <w:hideMark/>
          </w:tcPr>
          <w:p w14:paraId="615E1E35" w14:textId="77777777" w:rsidR="00806461" w:rsidRPr="00256982" w:rsidRDefault="00806461">
            <w:pPr>
              <w:pStyle w:val="TableText"/>
            </w:pPr>
            <w:r w:rsidRPr="00256982">
              <w:t>±10</w:t>
            </w:r>
          </w:p>
        </w:tc>
        <w:tc>
          <w:tcPr>
            <w:tcW w:w="2693" w:type="dxa"/>
            <w:tcBorders>
              <w:top w:val="nil"/>
              <w:left w:val="nil"/>
              <w:bottom w:val="single" w:sz="4" w:space="0" w:color="365F91"/>
              <w:right w:val="nil"/>
            </w:tcBorders>
            <w:hideMark/>
          </w:tcPr>
          <w:p w14:paraId="72B9D31C" w14:textId="77777777" w:rsidR="00806461" w:rsidRPr="00256982" w:rsidRDefault="00806461">
            <w:pPr>
              <w:pStyle w:val="TableText"/>
            </w:pPr>
            <w:r w:rsidRPr="00256982">
              <w:t>±41</w:t>
            </w:r>
          </w:p>
        </w:tc>
      </w:tr>
    </w:tbl>
    <w:p w14:paraId="2B271B15" w14:textId="77777777" w:rsidR="00806461" w:rsidRPr="00256982" w:rsidRDefault="00806461" w:rsidP="00806461">
      <w:pPr>
        <w:pStyle w:val="Noteundertable"/>
      </w:pPr>
      <w:r w:rsidRPr="00256982">
        <w:rPr>
          <w:b/>
        </w:rPr>
        <w:t>Note:</w:t>
      </w:r>
      <w:r w:rsidRPr="00256982">
        <w:t xml:space="preserve"> NA = not applicable. </w:t>
      </w:r>
    </w:p>
    <w:p w14:paraId="1646AD21" w14:textId="77777777" w:rsidR="00806461" w:rsidRPr="00256982" w:rsidRDefault="00806461" w:rsidP="00A72006">
      <w:pPr>
        <w:pStyle w:val="Heading4"/>
      </w:pPr>
      <w:r w:rsidRPr="00256982">
        <w:t>Time-series consistency</w:t>
      </w:r>
    </w:p>
    <w:p w14:paraId="306C7CD1" w14:textId="77777777" w:rsidR="00806461" w:rsidRPr="00256982" w:rsidRDefault="00806461" w:rsidP="00806461">
      <w:pPr>
        <w:pStyle w:val="BodyText"/>
      </w:pPr>
      <w:r w:rsidRPr="00256982">
        <w:t xml:space="preserve">Significant stockpiling of refrigerant gases occurred in anticipation of NZ ETS obligations in 2013, and some stockpiling appears to have occurred in other years in response to low NZ ETS unit prices. This has meant that stockpiling needed to be taken into account in applying the mass balance approach to calculate emissions. Some year-to-year variation in the emissions from refrigeration and air conditioning may indicate that there are also random changes in stocks from year to year that cannot be accurately assessed from available data. </w:t>
      </w:r>
    </w:p>
    <w:p w14:paraId="4CFD2FBF" w14:textId="77777777" w:rsidR="00806461" w:rsidRPr="00256982" w:rsidRDefault="00806461" w:rsidP="001D3490">
      <w:pPr>
        <w:pStyle w:val="Heading3"/>
      </w:pPr>
      <w:r w:rsidRPr="00256982">
        <w:t>4.7.4</w:t>
      </w:r>
      <w:r w:rsidRPr="00256982">
        <w:tab/>
        <w:t>Source-specific QA/QC and verification</w:t>
      </w:r>
    </w:p>
    <w:p w14:paraId="281D99B7" w14:textId="77777777" w:rsidR="00806461" w:rsidRPr="00256982" w:rsidRDefault="00806461" w:rsidP="00A72006">
      <w:pPr>
        <w:pStyle w:val="Heading4"/>
      </w:pPr>
      <w:r w:rsidRPr="00256982">
        <w:t>Refrigeration and air conditioning (2.F.1)</w:t>
      </w:r>
    </w:p>
    <w:p w14:paraId="129EC777" w14:textId="77777777" w:rsidR="00806461" w:rsidRPr="00256982" w:rsidRDefault="00806461" w:rsidP="00806461">
      <w:pPr>
        <w:pStyle w:val="BodyText"/>
      </w:pPr>
      <w:r w:rsidRPr="00256982">
        <w:t xml:space="preserve">Use of HFCs in </w:t>
      </w:r>
      <w:r w:rsidRPr="00256982">
        <w:rPr>
          <w:i/>
        </w:rPr>
        <w:t>Refrigeration and air conditioning</w:t>
      </w:r>
      <w:r w:rsidRPr="00256982">
        <w:t xml:space="preserve"> was a key category. In the preparation of this inventory, the data on HFCs underwent Tier 1 quality checks. During data collection and calculation, activity data provided by industry were verified against national totals where possible, and unreturned questionnaires and anomalous data were followed up and verified to ensure a complete and accurate record of activity data. </w:t>
      </w:r>
    </w:p>
    <w:p w14:paraId="7056ECBB" w14:textId="77777777" w:rsidR="00806461" w:rsidRPr="00256982" w:rsidRDefault="00806461" w:rsidP="00806461">
      <w:pPr>
        <w:pStyle w:val="BodyText"/>
      </w:pPr>
      <w:r w:rsidRPr="00256982">
        <w:t xml:space="preserve">For the years up to 2001, the survey data supplied by importers on bulk HFC imports were verified by comparison with import data supplied by Statistics New Zealand. The Ministry of Economic Development compiled a detailed breakdown of bulk HFCs using this data and information from import licences for a range of mixtures, such as HFCs and HCFCs. This analysis has not been carried out since 2001, due to restricted access to commercially sensitive import data. Consequently, this independent check on the total imports reported by bulk chemical suppliers is no longer available. </w:t>
      </w:r>
    </w:p>
    <w:p w14:paraId="51C4AD3B" w14:textId="1F83307B" w:rsidR="00806461" w:rsidRPr="00256982" w:rsidRDefault="00806461" w:rsidP="00806461">
      <w:pPr>
        <w:pStyle w:val="BodyText"/>
      </w:pPr>
      <w:r w:rsidRPr="00256982">
        <w:lastRenderedPageBreak/>
        <w:t>Survey data provided by Fisher and Paykel Limited (the largest importer and manufacturer) were used to compare with total import data where possible. In addition, bulk importers now</w:t>
      </w:r>
      <w:r w:rsidR="004B5E70" w:rsidRPr="00256982">
        <w:t> </w:t>
      </w:r>
      <w:r w:rsidRPr="00256982">
        <w:t>submit NZ ETS returns, which are used to verify the information on import volumes where</w:t>
      </w:r>
      <w:r w:rsidR="004B5E70" w:rsidRPr="00256982">
        <w:t> </w:t>
      </w:r>
      <w:r w:rsidRPr="00256982">
        <w:t xml:space="preserve">possible. </w:t>
      </w:r>
    </w:p>
    <w:p w14:paraId="01368E79" w14:textId="77777777" w:rsidR="00806461" w:rsidRPr="00256982" w:rsidRDefault="00806461" w:rsidP="00806461">
      <w:pPr>
        <w:pStyle w:val="BodyText"/>
      </w:pPr>
      <w:r w:rsidRPr="00256982">
        <w:t xml:space="preserve">There are no other key categories. Data underwent Tier 1 quality checks. </w:t>
      </w:r>
    </w:p>
    <w:p w14:paraId="250469DC" w14:textId="77777777" w:rsidR="00806461" w:rsidRPr="00256982" w:rsidRDefault="00806461" w:rsidP="001D3490">
      <w:pPr>
        <w:pStyle w:val="Heading3"/>
      </w:pPr>
      <w:r w:rsidRPr="00256982">
        <w:t>4.7.5</w:t>
      </w:r>
      <w:r w:rsidRPr="00256982">
        <w:tab/>
        <w:t>Source-specific recalculations</w:t>
      </w:r>
    </w:p>
    <w:p w14:paraId="355DF5B7" w14:textId="77777777" w:rsidR="00806461" w:rsidRPr="00256982" w:rsidRDefault="00806461" w:rsidP="00806461">
      <w:pPr>
        <w:pStyle w:val="BodyText"/>
      </w:pPr>
      <w:r w:rsidRPr="00256982">
        <w:t xml:space="preserve">In the 2018 inventory submission, emissions from the </w:t>
      </w:r>
      <w:r w:rsidRPr="00256982">
        <w:rPr>
          <w:i/>
        </w:rPr>
        <w:t>Refrigeration and air conditioning</w:t>
      </w:r>
      <w:r w:rsidRPr="00256982">
        <w:t xml:space="preserve"> source category were recalculated as a result of small changes to the amounts of chemical in banks following stockpiling by importers. Also, as from the 2018 submission, HFCs exported for destruction are reported as intentional destruction. In earlier submissions, this was excluded from the CRF tables because the destruction does not take place in New Zealand.</w:t>
      </w:r>
    </w:p>
    <w:p w14:paraId="70A835D2" w14:textId="77777777" w:rsidR="00806461" w:rsidRPr="00256982" w:rsidRDefault="00806461" w:rsidP="00806461">
      <w:pPr>
        <w:pStyle w:val="BodyText"/>
      </w:pPr>
      <w:r w:rsidRPr="00256982">
        <w:t xml:space="preserve">For this submission, a more thorough reassessment has been made, to ensure the reported emissions are not unduly affected by stockpiling and any other fluctuations in import volumes from time to time. </w:t>
      </w:r>
    </w:p>
    <w:p w14:paraId="0025B4AA" w14:textId="77777777" w:rsidR="00806461" w:rsidRPr="00256982" w:rsidRDefault="00806461" w:rsidP="00806461">
      <w:pPr>
        <w:pStyle w:val="BodyText"/>
      </w:pPr>
      <w:r w:rsidRPr="00256982">
        <w:t>The impact of recalculation is to increase the 2016 emissions by 136.0 kt CO</w:t>
      </w:r>
      <w:r w:rsidRPr="00256982">
        <w:rPr>
          <w:vertAlign w:val="subscript"/>
        </w:rPr>
        <w:t>2</w:t>
      </w:r>
      <w:r w:rsidRPr="00256982">
        <w:t xml:space="preserve">-e. All recalculations of this type are changes to the timing of emissions, attributing them to a different year, and would not be likely to affect total emissions if they are averaged over a longer period. </w:t>
      </w:r>
    </w:p>
    <w:p w14:paraId="419080E6" w14:textId="77777777" w:rsidR="00806461" w:rsidRPr="00256982" w:rsidRDefault="00806461" w:rsidP="001D3490">
      <w:pPr>
        <w:pStyle w:val="Heading3"/>
      </w:pPr>
      <w:r w:rsidRPr="00256982">
        <w:t>4.7.6</w:t>
      </w:r>
      <w:r w:rsidRPr="00256982">
        <w:tab/>
        <w:t>Source-specific planned improvements</w:t>
      </w:r>
    </w:p>
    <w:p w14:paraId="5FADD8A9" w14:textId="77777777" w:rsidR="00806461" w:rsidRPr="00256982" w:rsidRDefault="00806461" w:rsidP="00806461">
      <w:pPr>
        <w:pStyle w:val="BodyText"/>
      </w:pPr>
      <w:r w:rsidRPr="00256982">
        <w:t xml:space="preserve">There are no specific planned improvements for this source category. Improved information on the charge in mobile air conditioners is expected to become available over time. Also, there are still significant year-to-year variations in emissions from the </w:t>
      </w:r>
      <w:r w:rsidRPr="00256982">
        <w:rPr>
          <w:i/>
        </w:rPr>
        <w:t xml:space="preserve">Refrigeration and air conditioning </w:t>
      </w:r>
      <w:r w:rsidRPr="00256982">
        <w:t xml:space="preserve">source category, which are an indication that improvements can be made by better accounting for stockpiling of bulk chemical. This will be investigated for future submissions. </w:t>
      </w:r>
    </w:p>
    <w:p w14:paraId="2B5DC335" w14:textId="77777777" w:rsidR="00806461" w:rsidRPr="00256982" w:rsidRDefault="00806461" w:rsidP="001D3490">
      <w:pPr>
        <w:pStyle w:val="Heading2"/>
      </w:pPr>
      <w:bookmarkStart w:id="453" w:name="_Toc448321519"/>
      <w:bookmarkStart w:id="454" w:name="_Toc5269358"/>
      <w:r w:rsidRPr="00256982">
        <w:t>4.8</w:t>
      </w:r>
      <w:r w:rsidRPr="00256982">
        <w:tab/>
        <w:t>Other product manufacture and use (2.G)</w:t>
      </w:r>
      <w:bookmarkEnd w:id="453"/>
      <w:bookmarkEnd w:id="454"/>
    </w:p>
    <w:p w14:paraId="47168CBD" w14:textId="77777777" w:rsidR="00806461" w:rsidRPr="00256982" w:rsidRDefault="00806461" w:rsidP="004C4C3C">
      <w:pPr>
        <w:pStyle w:val="Heading3"/>
        <w:spacing w:before="240"/>
      </w:pPr>
      <w:r w:rsidRPr="00256982">
        <w:t>4.8.1</w:t>
      </w:r>
      <w:r w:rsidRPr="00256982">
        <w:tab/>
        <w:t>Description</w:t>
      </w:r>
    </w:p>
    <w:p w14:paraId="47220940" w14:textId="77777777" w:rsidR="00806461" w:rsidRPr="00256982" w:rsidRDefault="00806461" w:rsidP="00806461">
      <w:pPr>
        <w:pStyle w:val="BodyText"/>
        <w:rPr>
          <w:lang w:eastAsia="en-NZ"/>
        </w:rPr>
      </w:pPr>
      <w:r w:rsidRPr="00256982">
        <w:rPr>
          <w:lang w:eastAsia="en-NZ"/>
        </w:rPr>
        <w:t xml:space="preserve">This source category in New Zealand comprises emissions from: </w:t>
      </w:r>
    </w:p>
    <w:p w14:paraId="7FC9A6E0" w14:textId="77777777" w:rsidR="00806461" w:rsidRPr="00256982" w:rsidRDefault="00806461" w:rsidP="0036046B">
      <w:pPr>
        <w:pStyle w:val="Bullet"/>
        <w:numPr>
          <w:ilvl w:val="0"/>
          <w:numId w:val="11"/>
        </w:numPr>
        <w:ind w:left="397" w:hanging="397"/>
        <w:rPr>
          <w:lang w:eastAsia="en-NZ"/>
        </w:rPr>
      </w:pPr>
      <w:r w:rsidRPr="00256982">
        <w:rPr>
          <w:lang w:eastAsia="en-NZ"/>
        </w:rPr>
        <w:t>use of SF</w:t>
      </w:r>
      <w:r w:rsidRPr="00256982">
        <w:rPr>
          <w:vertAlign w:val="subscript"/>
          <w:lang w:eastAsia="en-NZ"/>
        </w:rPr>
        <w:t>6</w:t>
      </w:r>
      <w:r w:rsidRPr="00256982">
        <w:rPr>
          <w:lang w:eastAsia="en-NZ"/>
        </w:rPr>
        <w:t xml:space="preserve"> as an insulant and as an arc-extinguishing agent in electrical switchgear </w:t>
      </w:r>
    </w:p>
    <w:p w14:paraId="7613DC47" w14:textId="77777777" w:rsidR="00806461" w:rsidRPr="00256982" w:rsidRDefault="00806461" w:rsidP="0036046B">
      <w:pPr>
        <w:pStyle w:val="Bullet"/>
        <w:numPr>
          <w:ilvl w:val="0"/>
          <w:numId w:val="11"/>
        </w:numPr>
        <w:ind w:left="397" w:hanging="397"/>
        <w:rPr>
          <w:lang w:eastAsia="en-NZ"/>
        </w:rPr>
      </w:pPr>
      <w:r w:rsidRPr="00256982">
        <w:rPr>
          <w:lang w:eastAsia="en-NZ"/>
        </w:rPr>
        <w:t>use of SF</w:t>
      </w:r>
      <w:r w:rsidRPr="00256982">
        <w:rPr>
          <w:vertAlign w:val="subscript"/>
          <w:lang w:eastAsia="en-NZ"/>
        </w:rPr>
        <w:t>6</w:t>
      </w:r>
      <w:r w:rsidRPr="00256982">
        <w:rPr>
          <w:lang w:eastAsia="en-NZ"/>
        </w:rPr>
        <w:t xml:space="preserve"> in eye surgery </w:t>
      </w:r>
    </w:p>
    <w:p w14:paraId="72F68833" w14:textId="77777777" w:rsidR="00806461" w:rsidRPr="00256982" w:rsidRDefault="00806461" w:rsidP="0036046B">
      <w:pPr>
        <w:pStyle w:val="Bullet"/>
        <w:numPr>
          <w:ilvl w:val="0"/>
          <w:numId w:val="11"/>
        </w:numPr>
        <w:ind w:left="397" w:hanging="397"/>
        <w:rPr>
          <w:lang w:eastAsia="en-NZ"/>
        </w:rPr>
      </w:pPr>
      <w:r w:rsidRPr="00256982">
        <w:rPr>
          <w:lang w:eastAsia="en-NZ"/>
        </w:rPr>
        <w:t>use of PFCs (C</w:t>
      </w:r>
      <w:r w:rsidRPr="00256982">
        <w:rPr>
          <w:vertAlign w:val="subscript"/>
          <w:lang w:eastAsia="en-NZ"/>
        </w:rPr>
        <w:t>2</w:t>
      </w:r>
      <w:r w:rsidRPr="00256982">
        <w:rPr>
          <w:lang w:eastAsia="en-NZ"/>
        </w:rPr>
        <w:t>F</w:t>
      </w:r>
      <w:r w:rsidRPr="00256982">
        <w:rPr>
          <w:vertAlign w:val="subscript"/>
          <w:lang w:eastAsia="en-NZ"/>
        </w:rPr>
        <w:t>6</w:t>
      </w:r>
      <w:r w:rsidRPr="00256982">
        <w:rPr>
          <w:lang w:eastAsia="en-NZ"/>
        </w:rPr>
        <w:t xml:space="preserve"> and perfluoropropane (C</w:t>
      </w:r>
      <w:r w:rsidRPr="00256982">
        <w:rPr>
          <w:vertAlign w:val="subscript"/>
          <w:lang w:eastAsia="en-NZ"/>
        </w:rPr>
        <w:t>3</w:t>
      </w:r>
      <w:r w:rsidRPr="00256982">
        <w:rPr>
          <w:lang w:eastAsia="en-NZ"/>
        </w:rPr>
        <w:t>F</w:t>
      </w:r>
      <w:r w:rsidRPr="00256982">
        <w:rPr>
          <w:vertAlign w:val="subscript"/>
          <w:lang w:eastAsia="en-NZ"/>
        </w:rPr>
        <w:t>8</w:t>
      </w:r>
      <w:r w:rsidRPr="00256982">
        <w:rPr>
          <w:lang w:eastAsia="en-NZ"/>
        </w:rPr>
        <w:t xml:space="preserve">)) in eye surgery </w:t>
      </w:r>
    </w:p>
    <w:p w14:paraId="76D408D5" w14:textId="77777777" w:rsidR="00806461" w:rsidRPr="00256982" w:rsidRDefault="00806461" w:rsidP="0036046B">
      <w:pPr>
        <w:pStyle w:val="Bullet"/>
        <w:numPr>
          <w:ilvl w:val="0"/>
          <w:numId w:val="11"/>
        </w:numPr>
        <w:ind w:left="397" w:hanging="397"/>
        <w:rPr>
          <w:lang w:eastAsia="en-NZ"/>
        </w:rPr>
      </w:pPr>
      <w:r w:rsidRPr="00256982">
        <w:rPr>
          <w:lang w:eastAsia="en-NZ"/>
        </w:rPr>
        <w:t>use of SF</w:t>
      </w:r>
      <w:r w:rsidRPr="00256982">
        <w:rPr>
          <w:vertAlign w:val="subscript"/>
          <w:lang w:eastAsia="en-NZ"/>
        </w:rPr>
        <w:t>6</w:t>
      </w:r>
      <w:r w:rsidRPr="00256982">
        <w:rPr>
          <w:lang w:eastAsia="en-NZ"/>
        </w:rPr>
        <w:t xml:space="preserve"> as a tracer gas in scientific experiments </w:t>
      </w:r>
    </w:p>
    <w:p w14:paraId="3F63BA68" w14:textId="77777777" w:rsidR="00806461" w:rsidRPr="00256982" w:rsidRDefault="00806461" w:rsidP="0036046B">
      <w:pPr>
        <w:pStyle w:val="Bullet"/>
        <w:numPr>
          <w:ilvl w:val="0"/>
          <w:numId w:val="11"/>
        </w:numPr>
        <w:ind w:left="397" w:hanging="397"/>
        <w:rPr>
          <w:lang w:eastAsia="en-NZ"/>
        </w:rPr>
      </w:pPr>
      <w:r w:rsidRPr="00256982">
        <w:rPr>
          <w:lang w:eastAsia="en-NZ"/>
        </w:rPr>
        <w:t>possible other uses of SF</w:t>
      </w:r>
      <w:r w:rsidRPr="00256982">
        <w:rPr>
          <w:vertAlign w:val="subscript"/>
          <w:lang w:eastAsia="en-NZ"/>
        </w:rPr>
        <w:t>6</w:t>
      </w:r>
      <w:r w:rsidRPr="00256982">
        <w:rPr>
          <w:lang w:eastAsia="en-NZ"/>
        </w:rPr>
        <w:t>, such as in vehicle tyres and industrial equipment</w:t>
      </w:r>
    </w:p>
    <w:p w14:paraId="6FF2F854" w14:textId="77777777" w:rsidR="00806461" w:rsidRPr="00256982" w:rsidRDefault="00806461" w:rsidP="0036046B">
      <w:pPr>
        <w:pStyle w:val="Bullet"/>
        <w:numPr>
          <w:ilvl w:val="0"/>
          <w:numId w:val="11"/>
        </w:numPr>
        <w:ind w:left="397" w:hanging="397"/>
        <w:rPr>
          <w:lang w:eastAsia="en-NZ"/>
        </w:rPr>
      </w:pPr>
      <w:r w:rsidRPr="00256982">
        <w:rPr>
          <w:lang w:eastAsia="en-NZ"/>
        </w:rPr>
        <w:t>medical uses of N</w:t>
      </w:r>
      <w:r w:rsidRPr="00256982">
        <w:rPr>
          <w:vertAlign w:val="subscript"/>
          <w:lang w:eastAsia="en-NZ"/>
        </w:rPr>
        <w:t>2</w:t>
      </w:r>
      <w:r w:rsidRPr="00256982">
        <w:rPr>
          <w:lang w:eastAsia="en-NZ"/>
        </w:rPr>
        <w:t xml:space="preserve">O. </w:t>
      </w:r>
    </w:p>
    <w:p w14:paraId="572D9278" w14:textId="77777777" w:rsidR="00806461" w:rsidRPr="00256982" w:rsidRDefault="00806461" w:rsidP="00806461">
      <w:pPr>
        <w:pStyle w:val="BodyText"/>
        <w:rPr>
          <w:lang w:eastAsia="en-NZ"/>
        </w:rPr>
      </w:pPr>
      <w:r w:rsidRPr="00256982">
        <w:rPr>
          <w:lang w:eastAsia="en-NZ"/>
        </w:rPr>
        <w:t>There are no emissions of nitrogen trifluoride (NF</w:t>
      </w:r>
      <w:r w:rsidRPr="00256982">
        <w:rPr>
          <w:vertAlign w:val="subscript"/>
          <w:lang w:eastAsia="en-NZ"/>
        </w:rPr>
        <w:t>3</w:t>
      </w:r>
      <w:r w:rsidRPr="00256982">
        <w:rPr>
          <w:lang w:eastAsia="en-NZ"/>
        </w:rPr>
        <w:t>) in New Zealand. Small amounts of indirect emissions (NMVOC and SO</w:t>
      </w:r>
      <w:r w:rsidRPr="00256982">
        <w:rPr>
          <w:vertAlign w:val="subscript"/>
          <w:lang w:eastAsia="en-NZ"/>
        </w:rPr>
        <w:t>2</w:t>
      </w:r>
      <w:r w:rsidRPr="00256982">
        <w:rPr>
          <w:lang w:eastAsia="en-NZ"/>
        </w:rPr>
        <w:t xml:space="preserve">) are reported from the manufacture of food and drink, pulp and paper, and board products (fibreboard and particleboard). </w:t>
      </w:r>
    </w:p>
    <w:p w14:paraId="0A58EB6D" w14:textId="52A668FB" w:rsidR="00806461" w:rsidRPr="00256982" w:rsidRDefault="00806461" w:rsidP="00806461">
      <w:pPr>
        <w:pStyle w:val="BodyText"/>
        <w:rPr>
          <w:lang w:eastAsia="en-NZ"/>
        </w:rPr>
      </w:pPr>
      <w:r w:rsidRPr="00256982">
        <w:rPr>
          <w:lang w:eastAsia="en-NZ"/>
        </w:rPr>
        <w:t xml:space="preserve">There are no key categories in this source category. </w:t>
      </w:r>
    </w:p>
    <w:p w14:paraId="104C624F" w14:textId="77777777" w:rsidR="00806461" w:rsidRPr="00256982" w:rsidRDefault="00806461" w:rsidP="0024542F">
      <w:pPr>
        <w:pStyle w:val="BodyText"/>
        <w:spacing w:before="100" w:after="100"/>
      </w:pPr>
      <w:r w:rsidRPr="00256982">
        <w:rPr>
          <w:lang w:eastAsia="en-NZ"/>
        </w:rPr>
        <w:lastRenderedPageBreak/>
        <w:t>In 2017, net emissions of SF</w:t>
      </w:r>
      <w:r w:rsidRPr="00256982">
        <w:rPr>
          <w:vertAlign w:val="subscript"/>
          <w:lang w:eastAsia="en-NZ"/>
        </w:rPr>
        <w:t>6</w:t>
      </w:r>
      <w:r w:rsidRPr="00256982">
        <w:rPr>
          <w:lang w:eastAsia="en-NZ"/>
        </w:rPr>
        <w:t xml:space="preserve"> and N</w:t>
      </w:r>
      <w:r w:rsidRPr="00256982">
        <w:rPr>
          <w:vertAlign w:val="subscript"/>
          <w:lang w:eastAsia="en-NZ"/>
        </w:rPr>
        <w:t>2</w:t>
      </w:r>
      <w:r w:rsidRPr="00256982">
        <w:rPr>
          <w:lang w:eastAsia="en-NZ"/>
        </w:rPr>
        <w:t xml:space="preserve">O from the </w:t>
      </w:r>
      <w:r w:rsidRPr="00256982">
        <w:rPr>
          <w:i/>
          <w:lang w:eastAsia="en-NZ"/>
        </w:rPr>
        <w:t>Other product manufacture and use</w:t>
      </w:r>
      <w:r w:rsidRPr="00256982">
        <w:rPr>
          <w:lang w:eastAsia="en-NZ"/>
        </w:rPr>
        <w:t xml:space="preserve"> category totalled 76.8 </w:t>
      </w:r>
      <w:r w:rsidRPr="00256982">
        <w:t>kt CO</w:t>
      </w:r>
      <w:r w:rsidRPr="00256982">
        <w:rPr>
          <w:vertAlign w:val="subscript"/>
        </w:rPr>
        <w:t>2</w:t>
      </w:r>
      <w:r w:rsidRPr="00256982">
        <w:t>-e or 1.5 per cent of emissions from the IPPU sector. This is a decrease of 42.9 kt (35.8 per cent) from the emissions in 1990, driven by a reduction in the importation and use of N</w:t>
      </w:r>
      <w:r w:rsidRPr="00256982">
        <w:rPr>
          <w:vertAlign w:val="subscript"/>
        </w:rPr>
        <w:t>2</w:t>
      </w:r>
      <w:r w:rsidRPr="00256982">
        <w:t xml:space="preserve">O over time. </w:t>
      </w:r>
    </w:p>
    <w:p w14:paraId="5D641C88" w14:textId="77777777" w:rsidR="00806461" w:rsidRPr="00256982" w:rsidRDefault="00806461" w:rsidP="0024542F">
      <w:pPr>
        <w:pStyle w:val="Heading3"/>
        <w:spacing w:before="320"/>
      </w:pPr>
      <w:r w:rsidRPr="00256982">
        <w:t xml:space="preserve">4.8.2 </w:t>
      </w:r>
      <w:r w:rsidRPr="00256982">
        <w:tab/>
        <w:t>Methodological issues</w:t>
      </w:r>
    </w:p>
    <w:p w14:paraId="64A77135" w14:textId="77777777" w:rsidR="00806461" w:rsidRPr="00256982" w:rsidRDefault="00806461" w:rsidP="00A72006">
      <w:pPr>
        <w:pStyle w:val="Heading4"/>
      </w:pPr>
      <w:r w:rsidRPr="00256982">
        <w:t>Choice of activity data</w:t>
      </w:r>
    </w:p>
    <w:p w14:paraId="06AEFC5D" w14:textId="77777777" w:rsidR="00806461" w:rsidRPr="00256982" w:rsidRDefault="00806461" w:rsidP="0024542F">
      <w:pPr>
        <w:pStyle w:val="BodyText"/>
        <w:spacing w:before="100" w:after="100"/>
      </w:pPr>
      <w:r w:rsidRPr="00256982">
        <w:t>Companies importing or using SF</w:t>
      </w:r>
      <w:r w:rsidRPr="00256982">
        <w:rPr>
          <w:vertAlign w:val="subscript"/>
        </w:rPr>
        <w:t>6</w:t>
      </w:r>
      <w:r w:rsidRPr="00256982">
        <w:t xml:space="preserve"> and N</w:t>
      </w:r>
      <w:r w:rsidRPr="00256982">
        <w:rPr>
          <w:vertAlign w:val="subscript"/>
        </w:rPr>
        <w:t>2</w:t>
      </w:r>
      <w:r w:rsidRPr="00256982">
        <w:t>O provided data on their imports and holdings in response to an annual survey. In addition, companies that use SF</w:t>
      </w:r>
      <w:r w:rsidRPr="00256982">
        <w:rPr>
          <w:vertAlign w:val="subscript"/>
        </w:rPr>
        <w:t>6</w:t>
      </w:r>
      <w:r w:rsidRPr="00256982">
        <w:t xml:space="preserve"> in electrical equipment, and have more than 1 tonne of the gas in operating equipment, report their holdings and emissions in NZ ETS returns. </w:t>
      </w:r>
    </w:p>
    <w:p w14:paraId="021423CD" w14:textId="77777777" w:rsidR="00806461" w:rsidRPr="00256982" w:rsidRDefault="00806461" w:rsidP="00806461">
      <w:pPr>
        <w:pStyle w:val="Heading5"/>
      </w:pPr>
      <w:r w:rsidRPr="00256982">
        <w:t>Electrical equipment (2.G.1)</w:t>
      </w:r>
    </w:p>
    <w:p w14:paraId="59AE22CC" w14:textId="77777777" w:rsidR="00806461" w:rsidRPr="00256982" w:rsidRDefault="00806461" w:rsidP="0024542F">
      <w:pPr>
        <w:pStyle w:val="BodyText"/>
        <w:spacing w:after="100"/>
      </w:pPr>
      <w:r w:rsidRPr="00256982">
        <w:t>Data on bulk imports of SF</w:t>
      </w:r>
      <w:r w:rsidRPr="00256982">
        <w:rPr>
          <w:vertAlign w:val="subscript"/>
        </w:rPr>
        <w:t>6</w:t>
      </w:r>
      <w:r w:rsidRPr="00256982">
        <w:t xml:space="preserve"> and the charge in installed equipment were supplied by New Zealand’s only manufacturer of relevant electrical equipment (ABB Limited) and by the electricity transmission and generation companies. The transmission and generation companies import SF</w:t>
      </w:r>
      <w:r w:rsidRPr="00256982">
        <w:rPr>
          <w:vertAlign w:val="subscript"/>
        </w:rPr>
        <w:t>6</w:t>
      </w:r>
      <w:r w:rsidRPr="00256982">
        <w:t xml:space="preserve"> for their own use. </w:t>
      </w:r>
    </w:p>
    <w:p w14:paraId="0879D637" w14:textId="77777777" w:rsidR="00806461" w:rsidRPr="00256982" w:rsidRDefault="00806461" w:rsidP="00806461">
      <w:pPr>
        <w:pStyle w:val="Heading5"/>
      </w:pPr>
      <w:r w:rsidRPr="00256982">
        <w:t>Sulphur hexafluoride and PFCs from other product use (2.G.2)</w:t>
      </w:r>
    </w:p>
    <w:p w14:paraId="451BA7E3" w14:textId="3AFCCE58" w:rsidR="00806461" w:rsidRPr="00256982" w:rsidRDefault="00806461" w:rsidP="0024542F">
      <w:pPr>
        <w:pStyle w:val="BodyText"/>
        <w:spacing w:before="100" w:after="100"/>
      </w:pPr>
      <w:r w:rsidRPr="00256982">
        <w:t>One company (BOC Limited) imported SF</w:t>
      </w:r>
      <w:r w:rsidRPr="00256982">
        <w:rPr>
          <w:vertAlign w:val="subscript"/>
        </w:rPr>
        <w:t>6</w:t>
      </w:r>
      <w:r w:rsidRPr="00256982">
        <w:t xml:space="preserve"> into New Zealand (for uses other than electrical switchgear) until 2012. There is no other known importer, and some users appear to have been using previously imported supplies since that time. The current usage rate is assessed (from earlier importation rates) to be approximately 120 kilograms per year. This is made up of 30</w:t>
      </w:r>
      <w:r w:rsidR="004B5E70" w:rsidRPr="00256982">
        <w:t> </w:t>
      </w:r>
      <w:r w:rsidRPr="00256982">
        <w:t xml:space="preserve">kilograms for medical use, 50 kilograms for scientific use and 40 kilograms for other uses. </w:t>
      </w:r>
    </w:p>
    <w:p w14:paraId="51049A3D" w14:textId="77777777" w:rsidR="00806461" w:rsidRPr="00256982" w:rsidRDefault="00806461" w:rsidP="0024542F">
      <w:pPr>
        <w:pStyle w:val="BodyText"/>
        <w:spacing w:before="100" w:after="100"/>
      </w:pPr>
      <w:r w:rsidRPr="00256982">
        <w:t>Extremely small amounts of C</w:t>
      </w:r>
      <w:r w:rsidRPr="00256982">
        <w:rPr>
          <w:vertAlign w:val="subscript"/>
        </w:rPr>
        <w:t>2</w:t>
      </w:r>
      <w:r w:rsidRPr="00256982">
        <w:t>F</w:t>
      </w:r>
      <w:r w:rsidRPr="00256982">
        <w:rPr>
          <w:vertAlign w:val="subscript"/>
        </w:rPr>
        <w:t>6</w:t>
      </w:r>
      <w:r w:rsidRPr="00256982">
        <w:t xml:space="preserve"> and C</w:t>
      </w:r>
      <w:r w:rsidRPr="00256982">
        <w:rPr>
          <w:vertAlign w:val="subscript"/>
        </w:rPr>
        <w:t>3</w:t>
      </w:r>
      <w:r w:rsidRPr="00256982">
        <w:t>F</w:t>
      </w:r>
      <w:r w:rsidRPr="00256982">
        <w:rPr>
          <w:vertAlign w:val="subscript"/>
        </w:rPr>
        <w:t>8</w:t>
      </w:r>
      <w:r w:rsidRPr="00256982">
        <w:t xml:space="preserve"> are imported into New Zealand for use in a specialised type of eye surgery. The importer provided information on the amount imported: between 0.1 kilogram and 0.3 kilograms per year. </w:t>
      </w:r>
    </w:p>
    <w:p w14:paraId="389DE9C8" w14:textId="77777777" w:rsidR="00806461" w:rsidRPr="00256982" w:rsidRDefault="00806461" w:rsidP="0024542F">
      <w:pPr>
        <w:pStyle w:val="BodyText"/>
        <w:spacing w:before="100" w:after="100"/>
      </w:pPr>
      <w:r w:rsidRPr="00256982">
        <w:t>Enquiries to importers and the tyre industry indicate that there is no use of SF</w:t>
      </w:r>
      <w:r w:rsidRPr="00256982">
        <w:rPr>
          <w:vertAlign w:val="subscript"/>
        </w:rPr>
        <w:t>6</w:t>
      </w:r>
      <w:r w:rsidRPr="00256982">
        <w:t xml:space="preserve"> in New Zealand for other applications such as tyres and shoes. </w:t>
      </w:r>
    </w:p>
    <w:p w14:paraId="1D1E6C69" w14:textId="77777777" w:rsidR="00806461" w:rsidRPr="00256982" w:rsidRDefault="00806461" w:rsidP="00806461">
      <w:pPr>
        <w:pStyle w:val="Heading5"/>
      </w:pPr>
      <w:r w:rsidRPr="00256982">
        <w:t>Nitrous oxide from product uses (2.G.3)</w:t>
      </w:r>
    </w:p>
    <w:p w14:paraId="3331A7F3" w14:textId="77777777" w:rsidR="00806461" w:rsidRPr="00256982" w:rsidRDefault="00806461" w:rsidP="0024542F">
      <w:pPr>
        <w:pStyle w:val="BodyText"/>
        <w:spacing w:before="100" w:after="100"/>
      </w:pPr>
      <w:r w:rsidRPr="00256982">
        <w:t>Data on the import quantities of N</w:t>
      </w:r>
      <w:r w:rsidRPr="00256982">
        <w:rPr>
          <w:vertAlign w:val="subscript"/>
        </w:rPr>
        <w:t>2</w:t>
      </w:r>
      <w:r w:rsidRPr="00256982">
        <w:t>O were available from the New Zealand Customs Service and Statistics New Zealand from 2005, but some of these are considered unreliable due to classification errors by importers. Survey responses from companies that sell N</w:t>
      </w:r>
      <w:r w:rsidRPr="00256982">
        <w:rPr>
          <w:vertAlign w:val="subscript"/>
        </w:rPr>
        <w:t>2</w:t>
      </w:r>
      <w:r w:rsidRPr="00256982">
        <w:t xml:space="preserve">O and import data have been assessed together to estimate the total imports, which vary between 181 tonnes and 205 tonnes per year (CRL Energy, </w:t>
      </w:r>
      <w:r w:rsidRPr="00256982">
        <w:rPr>
          <w:rFonts w:eastAsia="+mn-ea"/>
        </w:rPr>
        <w:t>unpublished(c)</w:t>
      </w:r>
      <w:r w:rsidRPr="00256982">
        <w:t xml:space="preserve">). </w:t>
      </w:r>
    </w:p>
    <w:p w14:paraId="1304EAC6" w14:textId="77777777" w:rsidR="00806461" w:rsidRPr="00256982" w:rsidRDefault="00806461" w:rsidP="00A72006">
      <w:pPr>
        <w:pStyle w:val="Heading4"/>
        <w:rPr>
          <w:bCs/>
          <w:iCs/>
        </w:rPr>
      </w:pPr>
      <w:r w:rsidRPr="00256982">
        <w:t>Choice of methods</w:t>
      </w:r>
    </w:p>
    <w:p w14:paraId="3EAF6B12" w14:textId="77777777" w:rsidR="00806461" w:rsidRPr="00256982" w:rsidRDefault="00806461" w:rsidP="0024542F">
      <w:pPr>
        <w:pStyle w:val="Heading5"/>
        <w:spacing w:before="120"/>
      </w:pPr>
      <w:r w:rsidRPr="00256982">
        <w:t>Electrical equipment (2.G.1)</w:t>
      </w:r>
    </w:p>
    <w:p w14:paraId="6AAB73C5" w14:textId="77777777" w:rsidR="00806461" w:rsidRPr="00256982" w:rsidRDefault="00806461" w:rsidP="00806461">
      <w:pPr>
        <w:pStyle w:val="BodyText"/>
      </w:pPr>
      <w:r w:rsidRPr="00256982">
        <w:t xml:space="preserve">The national grid company, Transpower, and several of the larger electricity generation companies have supplied stocks and usage data that are detailed enough to allow the use of a Tier 3 approach for the years 2003 to 2017. This uses a mass balance calculation for closed pressure equipment and an emission factor calculation for sealed pressure equipment. </w:t>
      </w:r>
    </w:p>
    <w:p w14:paraId="4E852B6D" w14:textId="77777777" w:rsidR="00806461" w:rsidRPr="00256982" w:rsidRDefault="00806461" w:rsidP="00806461">
      <w:pPr>
        <w:pStyle w:val="BodyText"/>
      </w:pPr>
      <w:r w:rsidRPr="00256982">
        <w:t xml:space="preserve">For all data prior to 2003, and for the other distribution companies that do not have ETS reporting obligations and have not provided detailed data, a Tier 1 approach is used. </w:t>
      </w:r>
    </w:p>
    <w:p w14:paraId="65DFCCC9" w14:textId="77777777" w:rsidR="00806461" w:rsidRPr="00256982" w:rsidRDefault="00806461" w:rsidP="0024542F">
      <w:pPr>
        <w:pStyle w:val="BodyText"/>
        <w:spacing w:before="100" w:after="100"/>
      </w:pPr>
      <w:r w:rsidRPr="00256982">
        <w:t xml:space="preserve">Both approaches account for emissions from the operation and disposal of equipment. </w:t>
      </w:r>
    </w:p>
    <w:p w14:paraId="55C03334" w14:textId="77777777" w:rsidR="00806461" w:rsidRPr="00256982" w:rsidRDefault="00806461" w:rsidP="00806461">
      <w:pPr>
        <w:pStyle w:val="Heading5"/>
      </w:pPr>
      <w:r w:rsidRPr="00256982">
        <w:lastRenderedPageBreak/>
        <w:t xml:space="preserve">Other </w:t>
      </w:r>
    </w:p>
    <w:p w14:paraId="49793937" w14:textId="77777777" w:rsidR="00806461" w:rsidRPr="00256982" w:rsidRDefault="00806461" w:rsidP="00806461">
      <w:pPr>
        <w:pStyle w:val="BodyText"/>
      </w:pPr>
      <w:r w:rsidRPr="00256982">
        <w:t>Because the quantities are small and the emissions are all considered to be prompt, Tier 1 methods are used for all other emissions in this source category. All SF</w:t>
      </w:r>
      <w:r w:rsidRPr="00256982">
        <w:rPr>
          <w:vertAlign w:val="subscript"/>
        </w:rPr>
        <w:t>6</w:t>
      </w:r>
      <w:r w:rsidRPr="00256982">
        <w:t xml:space="preserve"> or N</w:t>
      </w:r>
      <w:r w:rsidRPr="00256982">
        <w:rPr>
          <w:vertAlign w:val="subscript"/>
        </w:rPr>
        <w:t>2</w:t>
      </w:r>
      <w:r w:rsidRPr="00256982">
        <w:t xml:space="preserve">O that is imported is assumed to be sold and emitted. </w:t>
      </w:r>
    </w:p>
    <w:p w14:paraId="4A94DF54" w14:textId="77777777" w:rsidR="00806461" w:rsidRPr="00256982" w:rsidRDefault="00806461" w:rsidP="00A72006">
      <w:pPr>
        <w:pStyle w:val="Heading4"/>
        <w:rPr>
          <w:bCs/>
          <w:iCs/>
        </w:rPr>
      </w:pPr>
      <w:r w:rsidRPr="00256982">
        <w:t>Choice of emission factors</w:t>
      </w:r>
    </w:p>
    <w:p w14:paraId="4C486604" w14:textId="77777777" w:rsidR="00806461" w:rsidRPr="00256982" w:rsidRDefault="00806461" w:rsidP="00806461">
      <w:pPr>
        <w:pStyle w:val="Heading5"/>
      </w:pPr>
      <w:r w:rsidRPr="00256982">
        <w:t>Electrical equipment (2.G.1)</w:t>
      </w:r>
    </w:p>
    <w:p w14:paraId="107E92C1" w14:textId="77777777" w:rsidR="00806461" w:rsidRPr="00256982" w:rsidRDefault="00806461" w:rsidP="00806461">
      <w:pPr>
        <w:pStyle w:val="BodyText"/>
      </w:pPr>
      <w:r w:rsidRPr="00256982">
        <w:t xml:space="preserve">Default emission factors (loss rates and disposal emissions) have been used, where an emission factor is required, for sealed pressure equipment and where a Tier 1 method has had to be used. Factors based on Europe have been used, because these are based on a study that distinguished between sealed and closed equipment types (IPCC, 2006a). </w:t>
      </w:r>
    </w:p>
    <w:p w14:paraId="62D0ADC9" w14:textId="77777777" w:rsidR="00806461" w:rsidRPr="00256982" w:rsidRDefault="00806461" w:rsidP="00806461">
      <w:pPr>
        <w:pStyle w:val="BodyText"/>
      </w:pPr>
      <w:r w:rsidRPr="00256982">
        <w:t xml:space="preserve">Improved information from surveys has allowed the use of these two different equipment types in New Zealand to be better disaggregated over time, and the choice of emission factors is now more accurate than in previous submissions (CRL Energy, </w:t>
      </w:r>
      <w:r w:rsidRPr="00256982">
        <w:rPr>
          <w:rFonts w:eastAsia="+mn-ea"/>
        </w:rPr>
        <w:t>unpublished(c)</w:t>
      </w:r>
      <w:r w:rsidRPr="00256982">
        <w:t>). However, this distinction is not always clear and remains a source of uncertainty. Units that are described as sealed can sometimes be topped up with SF</w:t>
      </w:r>
      <w:r w:rsidRPr="00256982">
        <w:rPr>
          <w:vertAlign w:val="subscript"/>
        </w:rPr>
        <w:t>6</w:t>
      </w:r>
      <w:r w:rsidRPr="00256982">
        <w:t xml:space="preserve"> in service. </w:t>
      </w:r>
    </w:p>
    <w:p w14:paraId="7AA7D048" w14:textId="77777777" w:rsidR="00806461" w:rsidRPr="00256982" w:rsidRDefault="00806461" w:rsidP="00806461">
      <w:pPr>
        <w:pStyle w:val="Heading5"/>
      </w:pPr>
      <w:r w:rsidRPr="00256982">
        <w:t xml:space="preserve">Other </w:t>
      </w:r>
    </w:p>
    <w:p w14:paraId="12EE5950" w14:textId="77777777" w:rsidR="00806461" w:rsidRPr="00256982" w:rsidRDefault="00806461" w:rsidP="00806461">
      <w:pPr>
        <w:pStyle w:val="BodyText"/>
      </w:pPr>
      <w:r w:rsidRPr="00256982">
        <w:t>Emissions of SF</w:t>
      </w:r>
      <w:r w:rsidRPr="00256982">
        <w:rPr>
          <w:vertAlign w:val="subscript"/>
        </w:rPr>
        <w:t>6</w:t>
      </w:r>
      <w:r w:rsidRPr="00256982">
        <w:t xml:space="preserve"> and other gases for all other applications are assumed to be prompt, and an emission factor of 50 per cent or 100 per cent is used, as appropriate. </w:t>
      </w:r>
    </w:p>
    <w:p w14:paraId="5CE50EFA" w14:textId="77777777" w:rsidR="00806461" w:rsidRPr="00256982" w:rsidRDefault="00806461" w:rsidP="001D3490">
      <w:pPr>
        <w:pStyle w:val="Heading3"/>
      </w:pPr>
      <w:r w:rsidRPr="00256982">
        <w:t xml:space="preserve">4.8.3 </w:t>
      </w:r>
      <w:r w:rsidRPr="00256982">
        <w:tab/>
        <w:t>Uncertainties and time-series consistency</w:t>
      </w:r>
    </w:p>
    <w:p w14:paraId="5A7C8082" w14:textId="77777777" w:rsidR="00806461" w:rsidRPr="00256982" w:rsidRDefault="00806461" w:rsidP="00A72006">
      <w:pPr>
        <w:pStyle w:val="Heading4"/>
        <w:rPr>
          <w:bCs/>
          <w:iCs/>
        </w:rPr>
      </w:pPr>
      <w:r w:rsidRPr="00256982">
        <w:t>Uncertainties</w:t>
      </w:r>
    </w:p>
    <w:p w14:paraId="755AE672" w14:textId="77777777" w:rsidR="00806461" w:rsidRPr="00256982" w:rsidRDefault="00806461" w:rsidP="00806461">
      <w:pPr>
        <w:pStyle w:val="BodyText"/>
      </w:pPr>
      <w:r w:rsidRPr="00256982">
        <w:t>A mix of expert judgement and IPCC default uncertainties has been used for emissions in this source category (see table 4.8.1). IPCC (2006a) recommends the use of expert judgement for sources such as N</w:t>
      </w:r>
      <w:r w:rsidRPr="00256982">
        <w:rPr>
          <w:vertAlign w:val="subscript"/>
        </w:rPr>
        <w:t>2</w:t>
      </w:r>
      <w:r w:rsidRPr="00256982">
        <w:t xml:space="preserve">O from product uses, because the uncertainties vary from country to country. For categories other than </w:t>
      </w:r>
      <w:r w:rsidRPr="00256982">
        <w:rPr>
          <w:i/>
        </w:rPr>
        <w:t>Electrical equipment</w:t>
      </w:r>
      <w:r w:rsidRPr="00256982">
        <w:t xml:space="preserve">, there is no uncertainty in emission factors because emissions are considered to be immediate. </w:t>
      </w:r>
    </w:p>
    <w:p w14:paraId="3B47A0D8" w14:textId="77777777" w:rsidR="00806461" w:rsidRPr="00256982" w:rsidRDefault="00806461" w:rsidP="00806461">
      <w:pPr>
        <w:pStyle w:val="Table"/>
      </w:pPr>
      <w:bookmarkStart w:id="455" w:name="_Toc451176079"/>
      <w:bookmarkStart w:id="456" w:name="_Toc5269469"/>
      <w:r w:rsidRPr="00256982">
        <w:t>Table 4.8.1</w:t>
      </w:r>
      <w:r w:rsidRPr="00256982">
        <w:tab/>
        <w:t>Uncertainty in emissions from other product manufacture and use</w:t>
      </w:r>
      <w:bookmarkEnd w:id="455"/>
      <w:bookmarkEnd w:id="456"/>
    </w:p>
    <w:tbl>
      <w:tblPr>
        <w:tblW w:w="8562" w:type="dxa"/>
        <w:tblInd w:w="108" w:type="dxa"/>
        <w:tblBorders>
          <w:top w:val="single" w:sz="6" w:space="0" w:color="365F91"/>
          <w:bottom w:val="single" w:sz="6" w:space="0" w:color="365F91"/>
          <w:insideH w:val="single" w:sz="6" w:space="0" w:color="365F91"/>
        </w:tblBorders>
        <w:tblLook w:val="04A0" w:firstRow="1" w:lastRow="0" w:firstColumn="1" w:lastColumn="0" w:noHBand="0" w:noVBand="1"/>
      </w:tblPr>
      <w:tblGrid>
        <w:gridCol w:w="3002"/>
        <w:gridCol w:w="2551"/>
        <w:gridCol w:w="3009"/>
      </w:tblGrid>
      <w:tr w:rsidR="00806461" w:rsidRPr="00256982" w14:paraId="7CBEF484" w14:textId="77777777" w:rsidTr="0024542F">
        <w:tc>
          <w:tcPr>
            <w:tcW w:w="3002" w:type="dxa"/>
            <w:tcBorders>
              <w:top w:val="single" w:sz="4" w:space="0" w:color="365F91"/>
              <w:left w:val="nil"/>
              <w:bottom w:val="single" w:sz="4" w:space="0" w:color="365F91"/>
              <w:right w:val="nil"/>
            </w:tcBorders>
            <w:shd w:val="clear" w:color="auto" w:fill="365F91"/>
            <w:hideMark/>
          </w:tcPr>
          <w:p w14:paraId="45F25B01" w14:textId="77777777" w:rsidR="00806461" w:rsidRPr="00256982" w:rsidRDefault="00806461">
            <w:pPr>
              <w:pStyle w:val="TableTextBold"/>
              <w:keepNext/>
              <w:rPr>
                <w:noProof w:val="0"/>
                <w:color w:val="FFFFFF"/>
              </w:rPr>
            </w:pPr>
            <w:r w:rsidRPr="00256982">
              <w:rPr>
                <w:noProof w:val="0"/>
                <w:color w:val="FFFFFF"/>
              </w:rPr>
              <w:t>Category</w:t>
            </w:r>
          </w:p>
        </w:tc>
        <w:tc>
          <w:tcPr>
            <w:tcW w:w="2551" w:type="dxa"/>
            <w:tcBorders>
              <w:top w:val="single" w:sz="4" w:space="0" w:color="365F91"/>
              <w:left w:val="nil"/>
              <w:bottom w:val="single" w:sz="4" w:space="0" w:color="365F91"/>
              <w:right w:val="nil"/>
            </w:tcBorders>
            <w:shd w:val="clear" w:color="auto" w:fill="365F91"/>
            <w:hideMark/>
          </w:tcPr>
          <w:p w14:paraId="7D9A1BB6" w14:textId="77777777" w:rsidR="00806461" w:rsidRPr="00256982" w:rsidRDefault="00806461">
            <w:pPr>
              <w:pStyle w:val="TableTextBold"/>
              <w:keepNext/>
              <w:rPr>
                <w:noProof w:val="0"/>
                <w:color w:val="FFFFFF"/>
              </w:rPr>
            </w:pPr>
            <w:r w:rsidRPr="00256982">
              <w:rPr>
                <w:noProof w:val="0"/>
                <w:color w:val="FFFFFF"/>
              </w:rPr>
              <w:t>Uncertainty in activity data (%)</w:t>
            </w:r>
          </w:p>
        </w:tc>
        <w:tc>
          <w:tcPr>
            <w:tcW w:w="3009" w:type="dxa"/>
            <w:tcBorders>
              <w:top w:val="single" w:sz="4" w:space="0" w:color="365F91"/>
              <w:left w:val="nil"/>
              <w:bottom w:val="single" w:sz="4" w:space="0" w:color="365F91"/>
              <w:right w:val="nil"/>
            </w:tcBorders>
            <w:shd w:val="clear" w:color="auto" w:fill="365F91"/>
            <w:hideMark/>
          </w:tcPr>
          <w:p w14:paraId="1C2619F8" w14:textId="77777777" w:rsidR="00806461" w:rsidRPr="00256982" w:rsidRDefault="00806461">
            <w:pPr>
              <w:pStyle w:val="TableTextBold"/>
              <w:keepNext/>
              <w:rPr>
                <w:noProof w:val="0"/>
                <w:color w:val="FFFFFF"/>
              </w:rPr>
            </w:pPr>
            <w:r w:rsidRPr="00256982">
              <w:rPr>
                <w:noProof w:val="0"/>
                <w:color w:val="FFFFFF"/>
              </w:rPr>
              <w:t>Uncertainty in emission factors (%)</w:t>
            </w:r>
          </w:p>
        </w:tc>
      </w:tr>
      <w:tr w:rsidR="00806461" w:rsidRPr="00256982" w14:paraId="4366F57D" w14:textId="77777777" w:rsidTr="0024542F">
        <w:tc>
          <w:tcPr>
            <w:tcW w:w="3002" w:type="dxa"/>
            <w:tcBorders>
              <w:top w:val="single" w:sz="4" w:space="0" w:color="365F91"/>
              <w:left w:val="nil"/>
              <w:bottom w:val="single" w:sz="6" w:space="0" w:color="365F91"/>
              <w:right w:val="nil"/>
            </w:tcBorders>
            <w:shd w:val="clear" w:color="auto" w:fill="FFFFFF"/>
            <w:hideMark/>
          </w:tcPr>
          <w:p w14:paraId="44B75959" w14:textId="77777777" w:rsidR="00806461" w:rsidRPr="00256982" w:rsidRDefault="00806461">
            <w:pPr>
              <w:pStyle w:val="TableText"/>
              <w:keepNext/>
            </w:pPr>
            <w:r w:rsidRPr="00256982">
              <w:t>Electrical equipment</w:t>
            </w:r>
          </w:p>
        </w:tc>
        <w:tc>
          <w:tcPr>
            <w:tcW w:w="2551" w:type="dxa"/>
            <w:tcBorders>
              <w:top w:val="single" w:sz="4" w:space="0" w:color="365F91"/>
              <w:left w:val="nil"/>
              <w:bottom w:val="single" w:sz="6" w:space="0" w:color="365F91"/>
              <w:right w:val="nil"/>
            </w:tcBorders>
            <w:shd w:val="clear" w:color="auto" w:fill="FFFFFF"/>
            <w:hideMark/>
          </w:tcPr>
          <w:p w14:paraId="48EB8CAA" w14:textId="77777777" w:rsidR="00806461" w:rsidRPr="00256982" w:rsidRDefault="00806461">
            <w:pPr>
              <w:pStyle w:val="TableText"/>
              <w:keepNext/>
            </w:pPr>
            <w:r w:rsidRPr="00256982">
              <w:t>±36</w:t>
            </w:r>
          </w:p>
        </w:tc>
        <w:tc>
          <w:tcPr>
            <w:tcW w:w="3009" w:type="dxa"/>
            <w:tcBorders>
              <w:top w:val="single" w:sz="4" w:space="0" w:color="365F91"/>
              <w:left w:val="nil"/>
              <w:bottom w:val="single" w:sz="6" w:space="0" w:color="365F91"/>
              <w:right w:val="nil"/>
            </w:tcBorders>
            <w:shd w:val="clear" w:color="auto" w:fill="FFFFFF"/>
            <w:hideMark/>
          </w:tcPr>
          <w:p w14:paraId="0F802DBA" w14:textId="77777777" w:rsidR="00806461" w:rsidRPr="00256982" w:rsidRDefault="00806461">
            <w:pPr>
              <w:pStyle w:val="TableText"/>
              <w:keepNext/>
            </w:pPr>
            <w:r w:rsidRPr="00256982">
              <w:t xml:space="preserve">±30–60 </w:t>
            </w:r>
          </w:p>
        </w:tc>
      </w:tr>
      <w:tr w:rsidR="00806461" w:rsidRPr="00256982" w14:paraId="777A3A53" w14:textId="77777777" w:rsidTr="0024542F">
        <w:tc>
          <w:tcPr>
            <w:tcW w:w="3002" w:type="dxa"/>
            <w:tcBorders>
              <w:top w:val="single" w:sz="6" w:space="0" w:color="365F91"/>
              <w:left w:val="nil"/>
              <w:bottom w:val="single" w:sz="6" w:space="0" w:color="365F91"/>
              <w:right w:val="nil"/>
            </w:tcBorders>
            <w:shd w:val="clear" w:color="auto" w:fill="FFFFFF"/>
            <w:hideMark/>
          </w:tcPr>
          <w:p w14:paraId="5FE489BC" w14:textId="77777777" w:rsidR="00806461" w:rsidRPr="00256982" w:rsidRDefault="00806461">
            <w:pPr>
              <w:pStyle w:val="TableText"/>
              <w:keepNext/>
            </w:pPr>
            <w:r w:rsidRPr="00256982">
              <w:t>Medical and other product use (SF</w:t>
            </w:r>
            <w:r w:rsidRPr="00256982">
              <w:rPr>
                <w:vertAlign w:val="subscript"/>
              </w:rPr>
              <w:t>6</w:t>
            </w:r>
            <w:r w:rsidRPr="00256982">
              <w:t>)</w:t>
            </w:r>
          </w:p>
        </w:tc>
        <w:tc>
          <w:tcPr>
            <w:tcW w:w="2551" w:type="dxa"/>
            <w:tcBorders>
              <w:top w:val="single" w:sz="6" w:space="0" w:color="365F91"/>
              <w:left w:val="nil"/>
              <w:bottom w:val="single" w:sz="6" w:space="0" w:color="365F91"/>
              <w:right w:val="nil"/>
            </w:tcBorders>
            <w:shd w:val="clear" w:color="auto" w:fill="FFFFFF"/>
            <w:hideMark/>
          </w:tcPr>
          <w:p w14:paraId="5D84DC85" w14:textId="77777777" w:rsidR="00806461" w:rsidRPr="00256982" w:rsidRDefault="00806461" w:rsidP="000219C8">
            <w:pPr>
              <w:pStyle w:val="TableText"/>
              <w:keepNext/>
              <w:spacing w:after="0"/>
            </w:pPr>
            <w:r w:rsidRPr="00256982">
              <w:t>±60 (2005–17)</w:t>
            </w:r>
          </w:p>
          <w:p w14:paraId="4D0CB162" w14:textId="77777777" w:rsidR="00806461" w:rsidRPr="00256982" w:rsidRDefault="00806461" w:rsidP="000219C8">
            <w:pPr>
              <w:pStyle w:val="TableText"/>
              <w:keepNext/>
              <w:spacing w:before="20"/>
            </w:pPr>
            <w:r w:rsidRPr="00256982">
              <w:t>±80 (2000–04)</w:t>
            </w:r>
          </w:p>
        </w:tc>
        <w:tc>
          <w:tcPr>
            <w:tcW w:w="3009" w:type="dxa"/>
            <w:tcBorders>
              <w:top w:val="single" w:sz="6" w:space="0" w:color="365F91"/>
              <w:left w:val="nil"/>
              <w:bottom w:val="single" w:sz="6" w:space="0" w:color="365F91"/>
              <w:right w:val="nil"/>
            </w:tcBorders>
            <w:shd w:val="clear" w:color="auto" w:fill="FFFFFF"/>
            <w:hideMark/>
          </w:tcPr>
          <w:p w14:paraId="7AFDD8FC" w14:textId="77777777" w:rsidR="00806461" w:rsidRPr="00256982" w:rsidRDefault="00806461">
            <w:pPr>
              <w:pStyle w:val="TableText"/>
              <w:keepNext/>
            </w:pPr>
            <w:r w:rsidRPr="00256982">
              <w:t>–</w:t>
            </w:r>
          </w:p>
        </w:tc>
      </w:tr>
      <w:tr w:rsidR="00806461" w:rsidRPr="00256982" w14:paraId="217FC454" w14:textId="77777777" w:rsidTr="0024542F">
        <w:tc>
          <w:tcPr>
            <w:tcW w:w="3002" w:type="dxa"/>
            <w:tcBorders>
              <w:top w:val="single" w:sz="6" w:space="0" w:color="365F91"/>
              <w:left w:val="nil"/>
              <w:bottom w:val="single" w:sz="6" w:space="0" w:color="365F91"/>
              <w:right w:val="nil"/>
            </w:tcBorders>
            <w:shd w:val="clear" w:color="auto" w:fill="FFFFFF"/>
            <w:hideMark/>
          </w:tcPr>
          <w:p w14:paraId="271C68E2" w14:textId="77777777" w:rsidR="00806461" w:rsidRPr="00256982" w:rsidRDefault="00806461">
            <w:pPr>
              <w:pStyle w:val="TableText"/>
            </w:pPr>
            <w:r w:rsidRPr="00256982">
              <w:t>Medical and other product use (PFCs)</w:t>
            </w:r>
          </w:p>
        </w:tc>
        <w:tc>
          <w:tcPr>
            <w:tcW w:w="2551" w:type="dxa"/>
            <w:tcBorders>
              <w:top w:val="single" w:sz="6" w:space="0" w:color="365F91"/>
              <w:left w:val="nil"/>
              <w:bottom w:val="single" w:sz="6" w:space="0" w:color="365F91"/>
              <w:right w:val="nil"/>
            </w:tcBorders>
            <w:shd w:val="clear" w:color="auto" w:fill="FFFFFF"/>
            <w:hideMark/>
          </w:tcPr>
          <w:p w14:paraId="07F05AC8" w14:textId="77777777" w:rsidR="00806461" w:rsidRPr="00256982" w:rsidRDefault="00806461">
            <w:pPr>
              <w:pStyle w:val="TableText"/>
            </w:pPr>
            <w:r w:rsidRPr="00256982">
              <w:t>±80</w:t>
            </w:r>
          </w:p>
        </w:tc>
        <w:tc>
          <w:tcPr>
            <w:tcW w:w="3009" w:type="dxa"/>
            <w:tcBorders>
              <w:top w:val="single" w:sz="6" w:space="0" w:color="365F91"/>
              <w:left w:val="nil"/>
              <w:bottom w:val="single" w:sz="6" w:space="0" w:color="365F91"/>
              <w:right w:val="nil"/>
            </w:tcBorders>
            <w:shd w:val="clear" w:color="auto" w:fill="FFFFFF"/>
            <w:hideMark/>
          </w:tcPr>
          <w:p w14:paraId="2AD7525F" w14:textId="77777777" w:rsidR="00806461" w:rsidRPr="00256982" w:rsidRDefault="00806461">
            <w:pPr>
              <w:pStyle w:val="TableText"/>
            </w:pPr>
            <w:r w:rsidRPr="00256982">
              <w:t>–</w:t>
            </w:r>
          </w:p>
        </w:tc>
      </w:tr>
      <w:tr w:rsidR="00806461" w:rsidRPr="00256982" w14:paraId="5B470151" w14:textId="77777777" w:rsidTr="0024542F">
        <w:tc>
          <w:tcPr>
            <w:tcW w:w="3002" w:type="dxa"/>
            <w:tcBorders>
              <w:top w:val="single" w:sz="6" w:space="0" w:color="365F91"/>
              <w:left w:val="nil"/>
              <w:bottom w:val="single" w:sz="6" w:space="0" w:color="365F91"/>
              <w:right w:val="nil"/>
            </w:tcBorders>
            <w:shd w:val="clear" w:color="auto" w:fill="FFFFFF"/>
            <w:hideMark/>
          </w:tcPr>
          <w:p w14:paraId="3D9B9EBC" w14:textId="77777777" w:rsidR="00806461" w:rsidRPr="00256982" w:rsidRDefault="00806461">
            <w:pPr>
              <w:pStyle w:val="TableText"/>
            </w:pPr>
            <w:r w:rsidRPr="00256982">
              <w:t>N</w:t>
            </w:r>
            <w:r w:rsidRPr="00256982">
              <w:rPr>
                <w:vertAlign w:val="subscript"/>
              </w:rPr>
              <w:t>2</w:t>
            </w:r>
            <w:r w:rsidRPr="00256982">
              <w:t>O from other product uses</w:t>
            </w:r>
          </w:p>
        </w:tc>
        <w:tc>
          <w:tcPr>
            <w:tcW w:w="2551" w:type="dxa"/>
            <w:tcBorders>
              <w:top w:val="single" w:sz="6" w:space="0" w:color="365F91"/>
              <w:left w:val="nil"/>
              <w:bottom w:val="single" w:sz="6" w:space="0" w:color="365F91"/>
              <w:right w:val="nil"/>
            </w:tcBorders>
            <w:shd w:val="clear" w:color="auto" w:fill="FFFFFF"/>
            <w:hideMark/>
          </w:tcPr>
          <w:p w14:paraId="1625726F" w14:textId="77777777" w:rsidR="00806461" w:rsidRPr="00256982" w:rsidRDefault="00806461" w:rsidP="000219C8">
            <w:pPr>
              <w:pStyle w:val="TableText"/>
              <w:spacing w:after="0"/>
            </w:pPr>
            <w:r w:rsidRPr="00256982">
              <w:t>±30 (2002–12)</w:t>
            </w:r>
          </w:p>
          <w:p w14:paraId="35A3C186" w14:textId="77777777" w:rsidR="00806461" w:rsidRPr="00256982" w:rsidRDefault="00806461" w:rsidP="000219C8">
            <w:pPr>
              <w:pStyle w:val="TableText"/>
              <w:spacing w:before="20"/>
            </w:pPr>
            <w:r w:rsidRPr="00256982">
              <w:t>±5 (2013–17)</w:t>
            </w:r>
          </w:p>
        </w:tc>
        <w:tc>
          <w:tcPr>
            <w:tcW w:w="3009" w:type="dxa"/>
            <w:tcBorders>
              <w:top w:val="single" w:sz="6" w:space="0" w:color="365F91"/>
              <w:left w:val="nil"/>
              <w:bottom w:val="single" w:sz="6" w:space="0" w:color="365F91"/>
              <w:right w:val="nil"/>
            </w:tcBorders>
            <w:shd w:val="clear" w:color="auto" w:fill="FFFFFF"/>
            <w:hideMark/>
          </w:tcPr>
          <w:p w14:paraId="66440A2B" w14:textId="77777777" w:rsidR="00806461" w:rsidRPr="00256982" w:rsidRDefault="00806461">
            <w:pPr>
              <w:pStyle w:val="TableText"/>
            </w:pPr>
            <w:r w:rsidRPr="00256982">
              <w:t>–</w:t>
            </w:r>
          </w:p>
        </w:tc>
      </w:tr>
    </w:tbl>
    <w:p w14:paraId="4E0A5744" w14:textId="77777777" w:rsidR="00806461" w:rsidRPr="00256982" w:rsidRDefault="00806461" w:rsidP="004B5E70">
      <w:pPr>
        <w:pStyle w:val="Heading4"/>
        <w:spacing w:before="360"/>
        <w:rPr>
          <w:bCs/>
          <w:iCs/>
        </w:rPr>
      </w:pPr>
      <w:r w:rsidRPr="00256982">
        <w:t>Time-series consistency</w:t>
      </w:r>
    </w:p>
    <w:p w14:paraId="7DC2B98B" w14:textId="77777777" w:rsidR="00806461" w:rsidRPr="00256982" w:rsidRDefault="00806461" w:rsidP="00806461">
      <w:pPr>
        <w:pStyle w:val="BodyText"/>
      </w:pPr>
      <w:r w:rsidRPr="00256982">
        <w:t xml:space="preserve">The implied emissions factors for the </w:t>
      </w:r>
      <w:r w:rsidRPr="00256982">
        <w:rPr>
          <w:i/>
        </w:rPr>
        <w:t>Electrical equipment</w:t>
      </w:r>
      <w:r w:rsidRPr="00256982">
        <w:t xml:space="preserve"> category have declined, due to improvements both in data quality and the actual management of SF</w:t>
      </w:r>
      <w:r w:rsidRPr="00256982">
        <w:rPr>
          <w:vertAlign w:val="subscript"/>
        </w:rPr>
        <w:t>6</w:t>
      </w:r>
      <w:r w:rsidRPr="00256982">
        <w:t xml:space="preserve"> emissions by Transpower over time.</w:t>
      </w:r>
    </w:p>
    <w:p w14:paraId="325514A4" w14:textId="77777777" w:rsidR="00806461" w:rsidRPr="00256982" w:rsidRDefault="00806461" w:rsidP="001D3490">
      <w:pPr>
        <w:pStyle w:val="Heading3"/>
      </w:pPr>
      <w:r w:rsidRPr="00256982">
        <w:t>4.8.4</w:t>
      </w:r>
      <w:r w:rsidRPr="00256982">
        <w:tab/>
        <w:t>Source-specific QA/QC and verification</w:t>
      </w:r>
    </w:p>
    <w:p w14:paraId="050596E5" w14:textId="77777777" w:rsidR="00806461" w:rsidRPr="00256982" w:rsidRDefault="00806461" w:rsidP="00806461">
      <w:pPr>
        <w:pStyle w:val="BodyText"/>
      </w:pPr>
      <w:r w:rsidRPr="00256982">
        <w:rPr>
          <w:i/>
        </w:rPr>
        <w:t xml:space="preserve">Other product manufacture and use </w:t>
      </w:r>
      <w:r w:rsidRPr="00256982">
        <w:t xml:space="preserve">was a non-key category. </w:t>
      </w:r>
    </w:p>
    <w:p w14:paraId="427A9553" w14:textId="77777777" w:rsidR="00806461" w:rsidRPr="00256982" w:rsidRDefault="00806461" w:rsidP="001D3490">
      <w:pPr>
        <w:pStyle w:val="Heading3"/>
      </w:pPr>
      <w:r w:rsidRPr="00256982">
        <w:lastRenderedPageBreak/>
        <w:t>4.8.5</w:t>
      </w:r>
      <w:r w:rsidRPr="00256982">
        <w:tab/>
        <w:t>Source-specific recalculations</w:t>
      </w:r>
    </w:p>
    <w:p w14:paraId="73BF6B97" w14:textId="77777777" w:rsidR="00806461" w:rsidRPr="00256982" w:rsidRDefault="00806461" w:rsidP="00806461">
      <w:pPr>
        <w:pStyle w:val="BodyText"/>
      </w:pPr>
      <w:r w:rsidRPr="00256982">
        <w:t xml:space="preserve">A small recalculation was made in the 2018 submission. </w:t>
      </w:r>
    </w:p>
    <w:p w14:paraId="118F62EA" w14:textId="098B938D" w:rsidR="00806461" w:rsidRPr="00256982" w:rsidRDefault="00806461" w:rsidP="00806461">
      <w:pPr>
        <w:pStyle w:val="BodyText"/>
      </w:pPr>
      <w:r w:rsidRPr="00256982">
        <w:t>For this submission, one of the local electricity network companies reported on a reassessment of its equipment and SF</w:t>
      </w:r>
      <w:r w:rsidRPr="00256982">
        <w:rPr>
          <w:vertAlign w:val="subscript"/>
        </w:rPr>
        <w:t>6</w:t>
      </w:r>
      <w:r w:rsidRPr="00256982">
        <w:t xml:space="preserve"> stocks, which has resulted in a further small recalculation of emissions for 2014 to 2016. This has increased 2016 emissions by 0.</w:t>
      </w:r>
      <w:r w:rsidR="00D24599">
        <w:t>3</w:t>
      </w:r>
      <w:r w:rsidRPr="00256982">
        <w:t> kt CO</w:t>
      </w:r>
      <w:r w:rsidRPr="00256982">
        <w:rPr>
          <w:vertAlign w:val="subscript"/>
        </w:rPr>
        <w:t>2</w:t>
      </w:r>
      <w:r w:rsidRPr="00256982">
        <w:t xml:space="preserve">-e. </w:t>
      </w:r>
    </w:p>
    <w:p w14:paraId="44D26394" w14:textId="77777777" w:rsidR="00806461" w:rsidRPr="00256982" w:rsidRDefault="00806461" w:rsidP="001D3490">
      <w:pPr>
        <w:pStyle w:val="Heading3"/>
      </w:pPr>
      <w:r w:rsidRPr="00256982">
        <w:t>4.8.6</w:t>
      </w:r>
      <w:r w:rsidRPr="00256982">
        <w:tab/>
        <w:t>Source-specific planned improvements</w:t>
      </w:r>
    </w:p>
    <w:p w14:paraId="564303EC" w14:textId="77777777" w:rsidR="00806461" w:rsidRPr="00256982" w:rsidRDefault="00806461" w:rsidP="00806461">
      <w:pPr>
        <w:pStyle w:val="BodyText"/>
      </w:pPr>
      <w:r w:rsidRPr="00256982">
        <w:t xml:space="preserve">For the </w:t>
      </w:r>
      <w:r w:rsidRPr="00256982">
        <w:rPr>
          <w:i/>
        </w:rPr>
        <w:t>Electrical equipment</w:t>
      </w:r>
      <w:r w:rsidRPr="00256982">
        <w:t xml:space="preserve"> category, it is expected that further improved activity data and more detailed reporting on stocks of SF</w:t>
      </w:r>
      <w:r w:rsidRPr="00256982">
        <w:rPr>
          <w:vertAlign w:val="subscript"/>
        </w:rPr>
        <w:t>6</w:t>
      </w:r>
      <w:r w:rsidRPr="00256982">
        <w:t xml:space="preserve"> will become available over time from NZ ETS reporting and from surveys, as SF</w:t>
      </w:r>
      <w:r w:rsidRPr="00256982">
        <w:rPr>
          <w:vertAlign w:val="subscript"/>
        </w:rPr>
        <w:t>6</w:t>
      </w:r>
      <w:r w:rsidRPr="00256982">
        <w:t xml:space="preserve"> handling practices in the industry improve. Better information should enable the consistent use of Tier 2 or Tier 3 methods for this category in future submissions. </w:t>
      </w:r>
    </w:p>
    <w:p w14:paraId="63FA68CC" w14:textId="77777777" w:rsidR="00806461" w:rsidRPr="00256982" w:rsidRDefault="00806461" w:rsidP="000219C8">
      <w:pPr>
        <w:pStyle w:val="Heading2"/>
        <w:spacing w:before="0" w:after="360"/>
      </w:pPr>
      <w:r w:rsidRPr="00256982">
        <w:br w:type="page"/>
      </w:r>
      <w:bookmarkStart w:id="457" w:name="_Toc448321520"/>
      <w:bookmarkStart w:id="458" w:name="_Toc5269359"/>
      <w:r w:rsidRPr="00256982">
        <w:lastRenderedPageBreak/>
        <w:t>Chapter 4: References</w:t>
      </w:r>
      <w:bookmarkEnd w:id="457"/>
      <w:bookmarkEnd w:id="458"/>
    </w:p>
    <w:p w14:paraId="189341D0" w14:textId="77777777" w:rsidR="00806461" w:rsidRPr="00256982" w:rsidRDefault="00806461" w:rsidP="00806461">
      <w:pPr>
        <w:pStyle w:val="References"/>
      </w:pPr>
      <w:r w:rsidRPr="00256982">
        <w:t xml:space="preserve">Cement and Concrete Association of New Zealand. 1995. The State of the Standards. </w:t>
      </w:r>
      <w:r w:rsidRPr="00256982">
        <w:rPr>
          <w:i/>
        </w:rPr>
        <w:t>New Zealand Concrete Construction October/November 1995</w:t>
      </w:r>
      <w:r w:rsidRPr="00256982">
        <w:t xml:space="preserve">. p 40. </w:t>
      </w:r>
    </w:p>
    <w:p w14:paraId="64508B06" w14:textId="77777777" w:rsidR="00806461" w:rsidRPr="00256982" w:rsidRDefault="00806461" w:rsidP="00806461">
      <w:pPr>
        <w:pStyle w:val="References"/>
      </w:pPr>
      <w:r w:rsidRPr="00256982">
        <w:t xml:space="preserve">Christie T, Thompson B, Brathwaite B. 1999. </w:t>
      </w:r>
      <w:r w:rsidRPr="00256982">
        <w:rPr>
          <w:i/>
        </w:rPr>
        <w:t>Mineral Commodity Report 20 – Clays</w:t>
      </w:r>
      <w:r w:rsidRPr="00256982">
        <w:t>.</w:t>
      </w:r>
      <w:r w:rsidRPr="00256982">
        <w:rPr>
          <w:i/>
        </w:rPr>
        <w:t xml:space="preserve"> </w:t>
      </w:r>
      <w:r w:rsidRPr="00256982">
        <w:t xml:space="preserve">Wellington: Institute of Geological and Nuclear Sciences. </w:t>
      </w:r>
    </w:p>
    <w:p w14:paraId="00F24372" w14:textId="77777777" w:rsidR="00806461" w:rsidRPr="00256982" w:rsidRDefault="00806461" w:rsidP="00806461">
      <w:pPr>
        <w:pStyle w:val="References"/>
      </w:pPr>
      <w:r w:rsidRPr="00256982">
        <w:t>CRL Energy Ltd. Unpublished(a). Hennessy W, Maxwell D. Inventory of HFC, PFC and SF</w:t>
      </w:r>
      <w:r w:rsidRPr="00256982">
        <w:rPr>
          <w:vertAlign w:val="subscript"/>
        </w:rPr>
        <w:t>6</w:t>
      </w:r>
      <w:r w:rsidRPr="00256982">
        <w:t xml:space="preserve"> Emissions for New Zealand 2004–2005. A report by CRL Energy Ltd to the Ministry for the Environment in 2006.</w:t>
      </w:r>
    </w:p>
    <w:p w14:paraId="69120CDB" w14:textId="77777777" w:rsidR="00806461" w:rsidRPr="00256982" w:rsidRDefault="00806461" w:rsidP="00806461">
      <w:pPr>
        <w:pStyle w:val="References"/>
      </w:pPr>
      <w:r w:rsidRPr="00256982">
        <w:t>CRL Energy Ltd. Unpublished(b). Hennessy W, Maxwell D. Inventory of Non-CO</w:t>
      </w:r>
      <w:r w:rsidRPr="00256982">
        <w:rPr>
          <w:vertAlign w:val="subscript"/>
        </w:rPr>
        <w:t>2</w:t>
      </w:r>
      <w:r w:rsidRPr="00256982">
        <w:t xml:space="preserve"> Greenhouse Gas Emissions from Industrial Sources and Solvents for New Zealand 2004–2005. A report by CRL Energy Ltd to the Ministry for the Environment in 2006.</w:t>
      </w:r>
    </w:p>
    <w:p w14:paraId="74842059" w14:textId="0D1B3CF1" w:rsidR="00806461" w:rsidRPr="00256982" w:rsidRDefault="00806461" w:rsidP="00806461">
      <w:pPr>
        <w:pStyle w:val="References"/>
      </w:pPr>
      <w:r w:rsidRPr="00256982">
        <w:t>CRL Energy Ltd. Unpublished(c). Hennessy W. Inventory of HFC, SF</w:t>
      </w:r>
      <w:r w:rsidRPr="00256982">
        <w:rPr>
          <w:vertAlign w:val="subscript"/>
        </w:rPr>
        <w:t>6</w:t>
      </w:r>
      <w:r w:rsidRPr="00256982">
        <w:t xml:space="preserve"> and Other Industrial Process Emissions for New Zealand 2017. A report by CRL Energy Ltd to the Ministry for the Environment in</w:t>
      </w:r>
      <w:r w:rsidR="000219C8" w:rsidRPr="00256982">
        <w:t> </w:t>
      </w:r>
      <w:r w:rsidRPr="00256982">
        <w:t xml:space="preserve">2018. </w:t>
      </w:r>
    </w:p>
    <w:p w14:paraId="0BD9E621" w14:textId="77777777" w:rsidR="00806461" w:rsidRPr="00256982" w:rsidRDefault="00806461" w:rsidP="00806461">
      <w:pPr>
        <w:pStyle w:val="References"/>
      </w:pPr>
      <w:r w:rsidRPr="00256982">
        <w:t xml:space="preserve">International Aluminium Institute. 2006. </w:t>
      </w:r>
      <w:r w:rsidRPr="00256982">
        <w:rPr>
          <w:i/>
        </w:rPr>
        <w:t>The Aluminium Sector Greenhouse Gas Protocol</w:t>
      </w:r>
      <w:r w:rsidRPr="00256982">
        <w:t xml:space="preserve">. London: International Aluminium Institute. </w:t>
      </w:r>
    </w:p>
    <w:p w14:paraId="415E33C4" w14:textId="77777777" w:rsidR="00806461" w:rsidRPr="00256982" w:rsidRDefault="00806461" w:rsidP="00806461">
      <w:pPr>
        <w:pStyle w:val="References"/>
      </w:pPr>
      <w:r w:rsidRPr="00256982">
        <w:t xml:space="preserve">IPCC. 2006a. Eggleston HS, Buendia L, Miwa K, Ngara T, Tanabe K (eds). </w:t>
      </w:r>
      <w:r w:rsidRPr="00256982">
        <w:rPr>
          <w:i/>
        </w:rPr>
        <w:t>2006 IPCC</w:t>
      </w:r>
      <w:r w:rsidRPr="00256982">
        <w:t xml:space="preserve"> </w:t>
      </w:r>
      <w:r w:rsidRPr="00256982">
        <w:rPr>
          <w:i/>
        </w:rPr>
        <w:t>Guidelines for National Greenhouse Gas Inventories. Volume 3. Industrial Processes and Product Use</w:t>
      </w:r>
      <w:r w:rsidRPr="00256982">
        <w:t>. IPCC National Greenhouse Gas Inventories Programme. Published for the IPCC by the Institute for Global Environmental Strategies: Japan.</w:t>
      </w:r>
    </w:p>
    <w:p w14:paraId="55F4AD62" w14:textId="77777777" w:rsidR="00806461" w:rsidRPr="00256982" w:rsidRDefault="00806461" w:rsidP="00806461">
      <w:pPr>
        <w:pStyle w:val="References"/>
      </w:pPr>
      <w:r w:rsidRPr="00256982">
        <w:t xml:space="preserve">IPCC 2006b. Eggleston HS, Buendia L, Miwa K, Ngara T, Tanabe K (eds). </w:t>
      </w:r>
      <w:r w:rsidRPr="00256982">
        <w:rPr>
          <w:i/>
          <w:iCs/>
        </w:rPr>
        <w:t>2006 IPCC Guidelines for National Greenhouse Gas Inventories. Volume 2. Energy</w:t>
      </w:r>
      <w:r w:rsidRPr="00256982">
        <w:t>. IPCC National Greenhouse Gas Inventories Programme. Japan: Institute for Global Environmental Strategies for IPCC.</w:t>
      </w:r>
    </w:p>
    <w:p w14:paraId="26AC77DF" w14:textId="77777777" w:rsidR="00806461" w:rsidRPr="00256982" w:rsidRDefault="00806461" w:rsidP="00806461">
      <w:pPr>
        <w:pStyle w:val="References"/>
      </w:pPr>
      <w:r w:rsidRPr="00256982">
        <w:t xml:space="preserve">New Zealand Government. 2018. Climate Change (Stationary Energy and Industrial Processes) Regulations 2009. Retrieved from </w:t>
      </w:r>
      <w:hyperlink r:id="rId89" w:history="1">
        <w:r w:rsidRPr="00256982">
          <w:t>www.legislation.govt.nz/regulation/public/2009/0285/latest/ DLM2394207.html</w:t>
        </w:r>
      </w:hyperlink>
      <w:r w:rsidRPr="00256982">
        <w:t xml:space="preserve"> (20 February 2019).</w:t>
      </w:r>
    </w:p>
    <w:p w14:paraId="417F75BC" w14:textId="77777777" w:rsidR="00806461" w:rsidRPr="00256982" w:rsidRDefault="00806461" w:rsidP="00806461">
      <w:pPr>
        <w:pStyle w:val="References"/>
      </w:pPr>
      <w:r w:rsidRPr="00256982">
        <w:t xml:space="preserve">Ure CR. 2000. </w:t>
      </w:r>
      <w:r w:rsidRPr="00256982">
        <w:rPr>
          <w:i/>
        </w:rPr>
        <w:t>Alternative Iron-making at BHP New Zealand Steel.</w:t>
      </w:r>
      <w:r w:rsidRPr="00256982">
        <w:t xml:space="preserve"> In: 58th Electric Furnace Conference and 17th Process Technology Conference Proceedings. Orlando, FL, United States of America: Iron and Steel Society. 12–15 November 2000. pp 535–546.</w:t>
      </w:r>
    </w:p>
    <w:p w14:paraId="51D49153" w14:textId="77777777" w:rsidR="00806461" w:rsidRPr="00256982" w:rsidRDefault="00806461" w:rsidP="00806461">
      <w:pPr>
        <w:pStyle w:val="References"/>
      </w:pPr>
      <w:r w:rsidRPr="00256982">
        <w:t xml:space="preserve">World Business Council for Sustainable Development. 2005. </w:t>
      </w:r>
      <w:r w:rsidRPr="00256982">
        <w:rPr>
          <w:i/>
        </w:rPr>
        <w:t>The Cement CO</w:t>
      </w:r>
      <w:r w:rsidRPr="00256982">
        <w:rPr>
          <w:i/>
          <w:vertAlign w:val="subscript"/>
        </w:rPr>
        <w:t>2</w:t>
      </w:r>
      <w:r w:rsidRPr="00256982">
        <w:rPr>
          <w:i/>
        </w:rPr>
        <w:t xml:space="preserve"> Protocol: CO</w:t>
      </w:r>
      <w:r w:rsidRPr="00256982">
        <w:rPr>
          <w:i/>
          <w:vertAlign w:val="subscript"/>
        </w:rPr>
        <w:t>2</w:t>
      </w:r>
      <w:r w:rsidRPr="00256982">
        <w:rPr>
          <w:i/>
        </w:rPr>
        <w:t xml:space="preserve"> Accounting and Reporting Standard for the Cement Industry</w:t>
      </w:r>
      <w:r w:rsidRPr="00256982">
        <w:t xml:space="preserve">. Switzerland: World Business Council for Sustainable Development. </w:t>
      </w:r>
    </w:p>
    <w:p w14:paraId="62D809CC" w14:textId="77777777" w:rsidR="00806461" w:rsidRPr="00256982" w:rsidRDefault="00806461" w:rsidP="00806461">
      <w:pPr>
        <w:pStyle w:val="References"/>
      </w:pPr>
    </w:p>
    <w:p w14:paraId="35E47EBA" w14:textId="06AD0B07" w:rsidR="005A10D4" w:rsidRPr="00256982" w:rsidRDefault="005A10D4" w:rsidP="0068777C">
      <w:pPr>
        <w:pStyle w:val="Heading1"/>
      </w:pPr>
      <w:r w:rsidRPr="00256982">
        <w:br w:type="page"/>
      </w:r>
      <w:bookmarkStart w:id="459" w:name="_Toc5269360"/>
      <w:r w:rsidR="0068777C" w:rsidRPr="00256982">
        <w:lastRenderedPageBreak/>
        <w:t>Chapter 5: Agriculture</w:t>
      </w:r>
      <w:bookmarkEnd w:id="459"/>
    </w:p>
    <w:p w14:paraId="33CECA4B" w14:textId="77777777" w:rsidR="0068777C" w:rsidRPr="00256982" w:rsidRDefault="0068777C" w:rsidP="0068777C">
      <w:pPr>
        <w:pStyle w:val="Heading2"/>
        <w:spacing w:before="240"/>
        <w:rPr>
          <w:b w:val="0"/>
        </w:rPr>
      </w:pPr>
      <w:bookmarkStart w:id="460" w:name="_Toc481751384"/>
      <w:bookmarkStart w:id="461" w:name="_Toc511116599"/>
      <w:bookmarkStart w:id="462" w:name="_Toc5269361"/>
      <w:r w:rsidRPr="00256982">
        <w:t xml:space="preserve">5.1 </w:t>
      </w:r>
      <w:r w:rsidRPr="00256982">
        <w:tab/>
        <w:t>Sector overview</w:t>
      </w:r>
      <w:bookmarkEnd w:id="460"/>
      <w:bookmarkEnd w:id="461"/>
      <w:bookmarkEnd w:id="462"/>
    </w:p>
    <w:p w14:paraId="1F336E00" w14:textId="77777777" w:rsidR="0068777C" w:rsidRPr="00256982" w:rsidRDefault="0068777C" w:rsidP="0068777C">
      <w:pPr>
        <w:pStyle w:val="BodyText"/>
      </w:pPr>
      <w:r w:rsidRPr="00256982">
        <w:t>In 2017, the Agriculture sector contributed 38,880.7 kilotonnes carbon dioxide equivalent (kt CO</w:t>
      </w:r>
      <w:r w:rsidRPr="00256982">
        <w:rPr>
          <w:vertAlign w:val="subscript"/>
        </w:rPr>
        <w:t>2</w:t>
      </w:r>
      <w:r w:rsidRPr="00256982">
        <w:t>-e) emissions, representing 48.1 per cent of New Zealand’s gross emissions. In 2017, 71.1 per cent (27,646.6 kt CO</w:t>
      </w:r>
      <w:r w:rsidRPr="00256982">
        <w:rPr>
          <w:vertAlign w:val="subscript"/>
        </w:rPr>
        <w:t>2</w:t>
      </w:r>
      <w:r w:rsidRPr="00256982">
        <w:t xml:space="preserve">-e) of the total emissions from the Agriculture sector were from </w:t>
      </w:r>
      <w:r w:rsidRPr="00256982">
        <w:rPr>
          <w:i/>
        </w:rPr>
        <w:t>Enteric fermentation</w:t>
      </w:r>
      <w:r w:rsidRPr="00256982">
        <w:t>, followed by 22.0 per cent (8,566.2 kt CO</w:t>
      </w:r>
      <w:r w:rsidRPr="00256982">
        <w:rPr>
          <w:vertAlign w:val="subscript"/>
        </w:rPr>
        <w:t>2</w:t>
      </w:r>
      <w:r w:rsidRPr="00256982">
        <w:t xml:space="preserve">-e) from </w:t>
      </w:r>
      <w:r w:rsidRPr="00256982">
        <w:rPr>
          <w:i/>
        </w:rPr>
        <w:t>Agricultural soils</w:t>
      </w:r>
      <w:r w:rsidRPr="00256982">
        <w:t xml:space="preserve">, 4.1 per cent from </w:t>
      </w:r>
      <w:r w:rsidRPr="00256982">
        <w:rPr>
          <w:i/>
        </w:rPr>
        <w:t>Manure management</w:t>
      </w:r>
      <w:r w:rsidRPr="00256982">
        <w:t xml:space="preserve">, 1.5 per cent from </w:t>
      </w:r>
      <w:r w:rsidRPr="00256982">
        <w:rPr>
          <w:i/>
        </w:rPr>
        <w:t>Urea application</w:t>
      </w:r>
      <w:r w:rsidRPr="00256982">
        <w:t xml:space="preserve">, 1.2 per cent from </w:t>
      </w:r>
      <w:r w:rsidRPr="00256982">
        <w:rPr>
          <w:i/>
        </w:rPr>
        <w:t>Liming</w:t>
      </w:r>
      <w:r w:rsidRPr="00256982">
        <w:t xml:space="preserve"> and 0.1 per cent from </w:t>
      </w:r>
      <w:r w:rsidRPr="00256982">
        <w:rPr>
          <w:i/>
        </w:rPr>
        <w:t>Field burning of agricultural residues</w:t>
      </w:r>
      <w:r w:rsidRPr="00256982">
        <w:t xml:space="preserve"> (see table 5.1.1). Methane (CH</w:t>
      </w:r>
      <w:r w:rsidRPr="00256982">
        <w:rPr>
          <w:vertAlign w:val="subscript"/>
        </w:rPr>
        <w:t>4</w:t>
      </w:r>
      <w:r w:rsidRPr="00256982">
        <w:t xml:space="preserve">) emissions from </w:t>
      </w:r>
      <w:r w:rsidRPr="00256982">
        <w:rPr>
          <w:i/>
        </w:rPr>
        <w:t>Enteric fermentation</w:t>
      </w:r>
      <w:r w:rsidRPr="00256982">
        <w:t xml:space="preserve"> were 34.2 per cent of New Zealand’s gross emissions, and nitrous oxide (N</w:t>
      </w:r>
      <w:r w:rsidRPr="00256982">
        <w:rPr>
          <w:vertAlign w:val="subscript"/>
        </w:rPr>
        <w:t>2</w:t>
      </w:r>
      <w:r w:rsidRPr="00256982">
        <w:t xml:space="preserve">O) emissions from the </w:t>
      </w:r>
      <w:r w:rsidRPr="00256982">
        <w:rPr>
          <w:i/>
        </w:rPr>
        <w:t>Agricultural soils</w:t>
      </w:r>
      <w:r w:rsidRPr="00256982">
        <w:t xml:space="preserve"> category were 10.6 per cent of New Zealand’s gross emissions. </w:t>
      </w:r>
    </w:p>
    <w:p w14:paraId="130FA5CF" w14:textId="31DBED7F" w:rsidR="0068777C" w:rsidRPr="00256982" w:rsidRDefault="0068777C" w:rsidP="0068777C">
      <w:pPr>
        <w:pStyle w:val="BodyText"/>
        <w:rPr>
          <w:spacing w:val="-2"/>
        </w:rPr>
      </w:pPr>
      <w:r w:rsidRPr="00256982">
        <w:rPr>
          <w:spacing w:val="-2"/>
        </w:rPr>
        <w:t>Emissions have increased by 4,623.5 kt CO</w:t>
      </w:r>
      <w:r w:rsidRPr="00256982">
        <w:rPr>
          <w:spacing w:val="-2"/>
          <w:vertAlign w:val="subscript"/>
        </w:rPr>
        <w:t>2</w:t>
      </w:r>
      <w:r w:rsidRPr="00256982">
        <w:rPr>
          <w:spacing w:val="-2"/>
        </w:rPr>
        <w:t>-e (13.5 per cent) from the 1990 level of 34,257.2 kt CO</w:t>
      </w:r>
      <w:r w:rsidRPr="00256982">
        <w:rPr>
          <w:spacing w:val="-2"/>
          <w:vertAlign w:val="subscript"/>
        </w:rPr>
        <w:t>2</w:t>
      </w:r>
      <w:r w:rsidRPr="00256982">
        <w:rPr>
          <w:spacing w:val="-2"/>
        </w:rPr>
        <w:t>-e (see figure 5.1.1). The increase since 1990 is primarily due to a 1,877.0 kt CO</w:t>
      </w:r>
      <w:r w:rsidRPr="00256982">
        <w:rPr>
          <w:spacing w:val="-2"/>
          <w:vertAlign w:val="subscript"/>
        </w:rPr>
        <w:t>2</w:t>
      </w:r>
      <w:r w:rsidRPr="00256982">
        <w:rPr>
          <w:spacing w:val="-2"/>
        </w:rPr>
        <w:t>-e (28.1 per cent) increase in N</w:t>
      </w:r>
      <w:r w:rsidRPr="00256982">
        <w:rPr>
          <w:spacing w:val="-2"/>
          <w:vertAlign w:val="subscript"/>
        </w:rPr>
        <w:t>2</w:t>
      </w:r>
      <w:r w:rsidRPr="00256982">
        <w:rPr>
          <w:spacing w:val="-2"/>
        </w:rPr>
        <w:t xml:space="preserve">O emissions from the </w:t>
      </w:r>
      <w:r w:rsidRPr="00256982">
        <w:rPr>
          <w:i/>
          <w:spacing w:val="-2"/>
        </w:rPr>
        <w:t>Agricultural soils</w:t>
      </w:r>
      <w:r w:rsidRPr="00256982">
        <w:rPr>
          <w:spacing w:val="-2"/>
        </w:rPr>
        <w:t xml:space="preserve"> category and a 1,225.8 kt CO</w:t>
      </w:r>
      <w:r w:rsidRPr="00256982">
        <w:rPr>
          <w:spacing w:val="-2"/>
          <w:vertAlign w:val="subscript"/>
        </w:rPr>
        <w:t>2</w:t>
      </w:r>
      <w:r w:rsidRPr="00256982">
        <w:rPr>
          <w:spacing w:val="-2"/>
        </w:rPr>
        <w:noBreakHyphen/>
        <w:t>e (4.6 per cent) increase in CH</w:t>
      </w:r>
      <w:r w:rsidRPr="00256982">
        <w:rPr>
          <w:spacing w:val="-2"/>
          <w:vertAlign w:val="subscript"/>
        </w:rPr>
        <w:t>4</w:t>
      </w:r>
      <w:r w:rsidRPr="00256982">
        <w:rPr>
          <w:spacing w:val="-2"/>
        </w:rPr>
        <w:t xml:space="preserve"> emissions from the </w:t>
      </w:r>
      <w:r w:rsidRPr="00256982">
        <w:rPr>
          <w:i/>
          <w:spacing w:val="-2"/>
        </w:rPr>
        <w:t>Enteric fermentation</w:t>
      </w:r>
      <w:r w:rsidRPr="00256982">
        <w:rPr>
          <w:spacing w:val="-2"/>
        </w:rPr>
        <w:t xml:space="preserve"> category (see figure 5.1.2). The main drivers for this change in emissions are an increase in the application of synthetic nitrogen fertiliser of about 650 per cent since 1990 and an 89.6 per cent increase in the dairy herd population. These increases have been partially offset by a decrease of 52.5 per cent in the sheep population and a decrease of 21.4 per cent in the non-dairy cattle population since 1990. </w:t>
      </w:r>
    </w:p>
    <w:p w14:paraId="5A58A554" w14:textId="77777777" w:rsidR="0068777C" w:rsidRPr="00256982" w:rsidRDefault="0068777C" w:rsidP="0068777C">
      <w:pPr>
        <w:pStyle w:val="Figure"/>
        <w:rPr>
          <w:highlight w:val="green"/>
        </w:rPr>
      </w:pPr>
      <w:bookmarkStart w:id="463" w:name="_Toc235955682"/>
      <w:bookmarkStart w:id="464" w:name="_Toc288316891"/>
      <w:bookmarkStart w:id="465" w:name="_Toc352505144"/>
      <w:bookmarkStart w:id="466" w:name="_Toc481752006"/>
      <w:bookmarkStart w:id="467" w:name="_Toc507158459"/>
      <w:bookmarkStart w:id="468" w:name="_Toc511116953"/>
      <w:bookmarkStart w:id="469" w:name="_Toc5269683"/>
      <w:r w:rsidRPr="00256982">
        <w:t>Figure 5.1.1</w:t>
      </w:r>
      <w:r w:rsidRPr="00256982">
        <w:tab/>
        <w:t>New Zealand’s Agriculture sector emissions from 1990 to</w:t>
      </w:r>
      <w:bookmarkEnd w:id="463"/>
      <w:bookmarkEnd w:id="464"/>
      <w:bookmarkEnd w:id="465"/>
      <w:bookmarkEnd w:id="466"/>
      <w:r w:rsidRPr="00256982">
        <w:t> 2017</w:t>
      </w:r>
      <w:bookmarkEnd w:id="467"/>
      <w:bookmarkEnd w:id="468"/>
      <w:bookmarkEnd w:id="469"/>
    </w:p>
    <w:p w14:paraId="15CB6B06" w14:textId="58A39826" w:rsidR="0068777C" w:rsidRPr="00256982" w:rsidRDefault="00590491" w:rsidP="0068777C">
      <w:pPr>
        <w:pStyle w:val="BodyText"/>
        <w:spacing w:before="0"/>
        <w:rPr>
          <w:highlight w:val="yellow"/>
        </w:rPr>
      </w:pPr>
      <w:bookmarkStart w:id="470" w:name="_Toc507158460"/>
      <w:r>
        <w:rPr>
          <w:lang w:eastAsia="en-NZ"/>
        </w:rPr>
        <w:pict w14:anchorId="1B057975">
          <v:shape id="Chart 58" o:spid="_x0000_i1070" type="#_x0000_t75" style="width:417.75pt;height:224.25pt;visibility:visible" o:gfxdata="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">
            <v:imagedata r:id="rId90" o:title="" croptop="1788f" cropbottom="1433f"/>
            <o:lock v:ext="edit" aspectratio="f"/>
          </v:shape>
        </w:pict>
      </w:r>
      <w:r w:rsidR="0068777C" w:rsidRPr="00256982" w:rsidDel="004C2D0C">
        <w:rPr>
          <w:highlight w:val="yellow"/>
        </w:rPr>
        <w:t xml:space="preserve"> </w:t>
      </w:r>
      <w:bookmarkEnd w:id="470"/>
    </w:p>
    <w:p w14:paraId="14C48839" w14:textId="77777777" w:rsidR="0068777C" w:rsidRPr="00256982" w:rsidRDefault="0068777C" w:rsidP="0068777C">
      <w:pPr>
        <w:pStyle w:val="Figure"/>
      </w:pPr>
      <w:bookmarkStart w:id="471" w:name="_Toc481752007"/>
      <w:bookmarkStart w:id="472" w:name="_Toc507158461"/>
      <w:bookmarkStart w:id="473" w:name="_Toc511116954"/>
      <w:bookmarkStart w:id="474" w:name="_Toc5269684"/>
      <w:r w:rsidRPr="00256982">
        <w:lastRenderedPageBreak/>
        <w:t>Figure 5.1.2</w:t>
      </w:r>
      <w:r w:rsidRPr="00256982">
        <w:tab/>
        <w:t>Change in New Zealand’s emissions from the Agriculture sector from 1990 to</w:t>
      </w:r>
      <w:bookmarkEnd w:id="471"/>
      <w:r w:rsidRPr="00256982">
        <w:t> 201</w:t>
      </w:r>
      <w:bookmarkEnd w:id="472"/>
      <w:bookmarkEnd w:id="473"/>
      <w:r w:rsidRPr="00256982">
        <w:t>7</w:t>
      </w:r>
      <w:bookmarkEnd w:id="474"/>
    </w:p>
    <w:p w14:paraId="52AAA489" w14:textId="1710DC4C" w:rsidR="0068777C" w:rsidRPr="00256982" w:rsidRDefault="00590491" w:rsidP="0068777C">
      <w:pPr>
        <w:pStyle w:val="BodyText"/>
        <w:spacing w:before="0"/>
      </w:pPr>
      <w:r>
        <w:rPr>
          <w:lang w:eastAsia="en-NZ"/>
        </w:rPr>
        <w:pict w14:anchorId="496CAD3D">
          <v:shape id="Chart 59" o:spid="_x0000_i1071" type="#_x0000_t75" style="width:426pt;height:249pt;visibility:visible" o:gfxdata="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">
            <v:imagedata r:id="rId91" o:title=""/>
            <o:lock v:ext="edit" aspectratio="f"/>
          </v:shape>
        </w:pict>
      </w:r>
    </w:p>
    <w:p w14:paraId="7776ED97" w14:textId="77777777" w:rsidR="0068777C" w:rsidRPr="00256982" w:rsidRDefault="0068777C" w:rsidP="0068777C">
      <w:pPr>
        <w:pStyle w:val="Noteundertable"/>
      </w:pPr>
      <w:r w:rsidRPr="00256982">
        <w:rPr>
          <w:b/>
        </w:rPr>
        <w:t>Note:</w:t>
      </w:r>
      <w:r w:rsidRPr="00256982">
        <w:t xml:space="preserve"> </w:t>
      </w:r>
      <w:r w:rsidRPr="00256982">
        <w:tab/>
        <w:t xml:space="preserve">Rice cultivation does not occur (NO) in New Zealand. Emissions from other carbon-containing fertilisers are not estimated (NE). </w:t>
      </w:r>
    </w:p>
    <w:p w14:paraId="2885A12F" w14:textId="77777777" w:rsidR="0068777C" w:rsidRPr="00256982" w:rsidRDefault="0068777C" w:rsidP="0068777C">
      <w:pPr>
        <w:pStyle w:val="Table"/>
        <w:spacing w:before="240"/>
      </w:pPr>
      <w:bookmarkStart w:id="475" w:name="_Toc481751506"/>
      <w:bookmarkStart w:id="476" w:name="_Toc507158596"/>
      <w:bookmarkStart w:id="477" w:name="_Toc511116730"/>
      <w:bookmarkStart w:id="478" w:name="_Toc5269470"/>
      <w:r w:rsidRPr="00256982">
        <w:t xml:space="preserve">Table 5.1.1 </w:t>
      </w:r>
      <w:r w:rsidRPr="00256982">
        <w:tab/>
        <w:t>Trends and relative contribution of New Zealand’s agricultural greenhouse gas emissions by category between 1990 and</w:t>
      </w:r>
      <w:bookmarkEnd w:id="475"/>
      <w:r w:rsidRPr="00256982">
        <w:t> 201</w:t>
      </w:r>
      <w:bookmarkEnd w:id="476"/>
      <w:bookmarkEnd w:id="477"/>
      <w:r w:rsidRPr="00256982">
        <w:t>7</w:t>
      </w:r>
      <w:bookmarkEnd w:id="478"/>
    </w:p>
    <w:tbl>
      <w:tblPr>
        <w:tblW w:w="8562" w:type="dxa"/>
        <w:tblInd w:w="108" w:type="dxa"/>
        <w:tblBorders>
          <w:top w:val="single" w:sz="4" w:space="0" w:color="365F91"/>
          <w:left w:val="single" w:sz="4" w:space="0" w:color="365F91"/>
          <w:bottom w:val="single" w:sz="4" w:space="0" w:color="365F91"/>
          <w:right w:val="single" w:sz="4" w:space="0" w:color="365F91"/>
          <w:insideH w:val="single" w:sz="4" w:space="0" w:color="365F91"/>
        </w:tblBorders>
        <w:tblLayout w:type="fixed"/>
        <w:tblLook w:val="04A0" w:firstRow="1" w:lastRow="0" w:firstColumn="1" w:lastColumn="0" w:noHBand="0" w:noVBand="1"/>
      </w:tblPr>
      <w:tblGrid>
        <w:gridCol w:w="2711"/>
        <w:gridCol w:w="855"/>
        <w:gridCol w:w="857"/>
        <w:gridCol w:w="1284"/>
        <w:gridCol w:w="1142"/>
        <w:gridCol w:w="857"/>
        <w:gridCol w:w="856"/>
      </w:tblGrid>
      <w:tr w:rsidR="0068777C" w:rsidRPr="00256982" w14:paraId="7D9CDD39" w14:textId="77777777" w:rsidTr="00DF3C07">
        <w:tc>
          <w:tcPr>
            <w:tcW w:w="2694" w:type="dxa"/>
            <w:vMerge w:val="restart"/>
            <w:tcBorders>
              <w:left w:val="nil"/>
            </w:tcBorders>
            <w:shd w:val="clear" w:color="auto" w:fill="365F91"/>
            <w:vAlign w:val="bottom"/>
          </w:tcPr>
          <w:p w14:paraId="29854E22" w14:textId="77777777" w:rsidR="0068777C" w:rsidRPr="00256982" w:rsidRDefault="0068777C" w:rsidP="0068777C">
            <w:pPr>
              <w:pStyle w:val="TableTextBold"/>
              <w:rPr>
                <w:noProof w:val="0"/>
                <w:color w:val="FFFFFF"/>
              </w:rPr>
            </w:pPr>
            <w:r w:rsidRPr="00256982">
              <w:rPr>
                <w:noProof w:val="0"/>
                <w:color w:val="FFFFFF"/>
              </w:rPr>
              <w:t>Category</w:t>
            </w:r>
          </w:p>
        </w:tc>
        <w:tc>
          <w:tcPr>
            <w:tcW w:w="1701" w:type="dxa"/>
            <w:gridSpan w:val="2"/>
            <w:shd w:val="clear" w:color="auto" w:fill="365F91"/>
            <w:vAlign w:val="bottom"/>
          </w:tcPr>
          <w:p w14:paraId="7A1341D2" w14:textId="77777777" w:rsidR="0068777C" w:rsidRPr="00256982" w:rsidRDefault="0068777C" w:rsidP="0068777C">
            <w:pPr>
              <w:pStyle w:val="TableTextBold"/>
              <w:spacing w:after="0"/>
              <w:jc w:val="center"/>
              <w:rPr>
                <w:noProof w:val="0"/>
                <w:color w:val="FFFFFF"/>
              </w:rPr>
            </w:pPr>
            <w:r w:rsidRPr="00256982">
              <w:rPr>
                <w:noProof w:val="0"/>
                <w:color w:val="FFFFFF"/>
              </w:rPr>
              <w:t>Emissions</w:t>
            </w:r>
            <w:r w:rsidRPr="00256982">
              <w:rPr>
                <w:noProof w:val="0"/>
                <w:color w:val="FFFFFF"/>
              </w:rPr>
              <w:br/>
              <w:t>(kt CO</w:t>
            </w:r>
            <w:r w:rsidRPr="00256982">
              <w:rPr>
                <w:noProof w:val="0"/>
                <w:color w:val="FFFFFF"/>
                <w:vertAlign w:val="subscript"/>
              </w:rPr>
              <w:t>2</w:t>
            </w:r>
            <w:r w:rsidRPr="00256982">
              <w:rPr>
                <w:noProof w:val="0"/>
                <w:color w:val="FFFFFF"/>
              </w:rPr>
              <w:t>-e)</w:t>
            </w:r>
          </w:p>
        </w:tc>
        <w:tc>
          <w:tcPr>
            <w:tcW w:w="1275" w:type="dxa"/>
            <w:shd w:val="clear" w:color="auto" w:fill="365F91"/>
            <w:vAlign w:val="bottom"/>
          </w:tcPr>
          <w:p w14:paraId="4FD0FC77" w14:textId="77777777" w:rsidR="0068777C" w:rsidRPr="00256982" w:rsidRDefault="0068777C" w:rsidP="0068777C">
            <w:pPr>
              <w:pStyle w:val="TableTextBold"/>
              <w:spacing w:after="0"/>
              <w:jc w:val="center"/>
              <w:rPr>
                <w:noProof w:val="0"/>
                <w:color w:val="FFFFFF"/>
              </w:rPr>
            </w:pPr>
            <w:r w:rsidRPr="00256982">
              <w:rPr>
                <w:noProof w:val="0"/>
                <w:color w:val="FFFFFF"/>
              </w:rPr>
              <w:t>Change</w:t>
            </w:r>
            <w:r w:rsidRPr="00256982">
              <w:rPr>
                <w:noProof w:val="0"/>
                <w:color w:val="FFFFFF"/>
              </w:rPr>
              <w:br/>
              <w:t>(percentage)</w:t>
            </w:r>
          </w:p>
        </w:tc>
        <w:tc>
          <w:tcPr>
            <w:tcW w:w="1134" w:type="dxa"/>
            <w:shd w:val="clear" w:color="auto" w:fill="365F91"/>
            <w:vAlign w:val="bottom"/>
          </w:tcPr>
          <w:p w14:paraId="1F723FB8" w14:textId="77777777" w:rsidR="0068777C" w:rsidRPr="00256982" w:rsidRDefault="0068777C" w:rsidP="0068777C">
            <w:pPr>
              <w:pStyle w:val="TableTextBold"/>
              <w:spacing w:after="0"/>
              <w:jc w:val="center"/>
              <w:rPr>
                <w:noProof w:val="0"/>
                <w:color w:val="FFFFFF"/>
              </w:rPr>
            </w:pPr>
            <w:r w:rsidRPr="00256982">
              <w:rPr>
                <w:noProof w:val="0"/>
                <w:color w:val="FFFFFF"/>
              </w:rPr>
              <w:t>Difference</w:t>
            </w:r>
            <w:r w:rsidRPr="00256982">
              <w:rPr>
                <w:noProof w:val="0"/>
                <w:color w:val="FFFFFF"/>
              </w:rPr>
              <w:br/>
              <w:t>(kt CO</w:t>
            </w:r>
            <w:r w:rsidRPr="00256982">
              <w:rPr>
                <w:noProof w:val="0"/>
                <w:color w:val="FFFFFF"/>
                <w:vertAlign w:val="subscript"/>
              </w:rPr>
              <w:t>2</w:t>
            </w:r>
            <w:r w:rsidRPr="00256982">
              <w:rPr>
                <w:noProof w:val="0"/>
                <w:color w:val="FFFFFF"/>
              </w:rPr>
              <w:t>-e)</w:t>
            </w:r>
          </w:p>
        </w:tc>
        <w:tc>
          <w:tcPr>
            <w:tcW w:w="1701" w:type="dxa"/>
            <w:gridSpan w:val="2"/>
            <w:tcBorders>
              <w:right w:val="nil"/>
            </w:tcBorders>
            <w:shd w:val="clear" w:color="auto" w:fill="365F91"/>
            <w:vAlign w:val="bottom"/>
          </w:tcPr>
          <w:p w14:paraId="7D032B30" w14:textId="77777777" w:rsidR="0068777C" w:rsidRPr="00256982" w:rsidRDefault="0068777C" w:rsidP="0068777C">
            <w:pPr>
              <w:pStyle w:val="TableTextBold"/>
              <w:spacing w:after="0"/>
              <w:jc w:val="center"/>
              <w:rPr>
                <w:noProof w:val="0"/>
                <w:color w:val="FFFFFF"/>
              </w:rPr>
            </w:pPr>
            <w:r w:rsidRPr="00256982">
              <w:rPr>
                <w:noProof w:val="0"/>
                <w:color w:val="FFFFFF"/>
              </w:rPr>
              <w:t>Share (percentage) of sector</w:t>
            </w:r>
          </w:p>
        </w:tc>
      </w:tr>
      <w:tr w:rsidR="0068777C" w:rsidRPr="00256982" w14:paraId="7315456A" w14:textId="77777777" w:rsidTr="00DF3C07">
        <w:tc>
          <w:tcPr>
            <w:tcW w:w="2694" w:type="dxa"/>
            <w:vMerge/>
            <w:tcBorders>
              <w:left w:val="nil"/>
            </w:tcBorders>
            <w:shd w:val="clear" w:color="auto" w:fill="365F91"/>
          </w:tcPr>
          <w:p w14:paraId="05DFDF9A" w14:textId="77777777" w:rsidR="0068777C" w:rsidRPr="00256982" w:rsidRDefault="0068777C" w:rsidP="0068777C">
            <w:pPr>
              <w:spacing w:before="60" w:after="60"/>
              <w:rPr>
                <w:rFonts w:ascii="Arial" w:hAnsi="Arial" w:cs="Arial"/>
                <w:b/>
                <w:i/>
                <w:color w:val="FFFFFF"/>
                <w:sz w:val="16"/>
                <w:szCs w:val="16"/>
              </w:rPr>
            </w:pPr>
          </w:p>
        </w:tc>
        <w:tc>
          <w:tcPr>
            <w:tcW w:w="850" w:type="dxa"/>
            <w:shd w:val="clear" w:color="auto" w:fill="365F91"/>
            <w:vAlign w:val="bottom"/>
          </w:tcPr>
          <w:p w14:paraId="7891CF37" w14:textId="77777777" w:rsidR="0068777C" w:rsidRPr="00256982" w:rsidRDefault="0068777C" w:rsidP="0068777C">
            <w:pPr>
              <w:pStyle w:val="TableTextBold"/>
              <w:spacing w:before="0"/>
              <w:jc w:val="center"/>
              <w:rPr>
                <w:noProof w:val="0"/>
                <w:color w:val="FFFFFF"/>
              </w:rPr>
            </w:pPr>
            <w:r w:rsidRPr="00256982">
              <w:rPr>
                <w:noProof w:val="0"/>
                <w:color w:val="FFFFFF"/>
              </w:rPr>
              <w:t>1990</w:t>
            </w:r>
          </w:p>
        </w:tc>
        <w:tc>
          <w:tcPr>
            <w:tcW w:w="851" w:type="dxa"/>
            <w:shd w:val="clear" w:color="auto" w:fill="365F91"/>
            <w:vAlign w:val="bottom"/>
          </w:tcPr>
          <w:p w14:paraId="0CC75AA2" w14:textId="77777777" w:rsidR="0068777C" w:rsidRPr="00256982" w:rsidRDefault="0068777C" w:rsidP="0068777C">
            <w:pPr>
              <w:pStyle w:val="TableTextBold"/>
              <w:spacing w:before="0"/>
              <w:jc w:val="center"/>
              <w:rPr>
                <w:noProof w:val="0"/>
                <w:color w:val="FFFFFF"/>
              </w:rPr>
            </w:pPr>
            <w:r w:rsidRPr="00256982">
              <w:rPr>
                <w:noProof w:val="0"/>
                <w:color w:val="FFFFFF"/>
              </w:rPr>
              <w:t>2017</w:t>
            </w:r>
          </w:p>
        </w:tc>
        <w:tc>
          <w:tcPr>
            <w:tcW w:w="1275" w:type="dxa"/>
            <w:shd w:val="clear" w:color="auto" w:fill="365F91"/>
            <w:vAlign w:val="bottom"/>
          </w:tcPr>
          <w:p w14:paraId="56ECB0D2" w14:textId="77777777" w:rsidR="0068777C" w:rsidRPr="00256982" w:rsidRDefault="0068777C" w:rsidP="0068777C">
            <w:pPr>
              <w:pStyle w:val="TableTextBold"/>
              <w:jc w:val="center"/>
              <w:rPr>
                <w:noProof w:val="0"/>
                <w:color w:val="FFFFFF"/>
              </w:rPr>
            </w:pPr>
            <w:r w:rsidRPr="00256982">
              <w:rPr>
                <w:noProof w:val="0"/>
                <w:color w:val="FFFFFF"/>
              </w:rPr>
              <w:t>1990–2017</w:t>
            </w:r>
          </w:p>
        </w:tc>
        <w:tc>
          <w:tcPr>
            <w:tcW w:w="1134" w:type="dxa"/>
            <w:shd w:val="clear" w:color="auto" w:fill="365F91"/>
            <w:vAlign w:val="bottom"/>
          </w:tcPr>
          <w:p w14:paraId="51485C6D" w14:textId="77777777" w:rsidR="0068777C" w:rsidRPr="00256982" w:rsidRDefault="0068777C" w:rsidP="0068777C">
            <w:pPr>
              <w:pStyle w:val="TableTextBold"/>
              <w:jc w:val="center"/>
              <w:rPr>
                <w:noProof w:val="0"/>
                <w:color w:val="FFFFFF"/>
              </w:rPr>
            </w:pPr>
            <w:r w:rsidRPr="00256982">
              <w:rPr>
                <w:noProof w:val="0"/>
                <w:color w:val="FFFFFF"/>
              </w:rPr>
              <w:t>1990–2017</w:t>
            </w:r>
          </w:p>
        </w:tc>
        <w:tc>
          <w:tcPr>
            <w:tcW w:w="851" w:type="dxa"/>
            <w:shd w:val="clear" w:color="auto" w:fill="365F91"/>
            <w:tcMar>
              <w:right w:w="85" w:type="dxa"/>
            </w:tcMar>
          </w:tcPr>
          <w:p w14:paraId="600EB044" w14:textId="77777777" w:rsidR="0068777C" w:rsidRPr="00256982" w:rsidRDefault="0068777C" w:rsidP="0068777C">
            <w:pPr>
              <w:pStyle w:val="TableTextBold"/>
              <w:jc w:val="center"/>
              <w:rPr>
                <w:noProof w:val="0"/>
                <w:color w:val="FFFFFF"/>
              </w:rPr>
            </w:pPr>
            <w:r w:rsidRPr="00256982">
              <w:rPr>
                <w:noProof w:val="0"/>
                <w:color w:val="FFFFFF"/>
              </w:rPr>
              <w:t xml:space="preserve">1990 </w:t>
            </w:r>
          </w:p>
        </w:tc>
        <w:tc>
          <w:tcPr>
            <w:tcW w:w="850" w:type="dxa"/>
            <w:tcBorders>
              <w:right w:val="nil"/>
            </w:tcBorders>
            <w:shd w:val="clear" w:color="auto" w:fill="365F91"/>
            <w:tcMar>
              <w:right w:w="85" w:type="dxa"/>
            </w:tcMar>
          </w:tcPr>
          <w:p w14:paraId="2E8D0568" w14:textId="77777777" w:rsidR="0068777C" w:rsidRPr="00256982" w:rsidRDefault="0068777C" w:rsidP="0068777C">
            <w:pPr>
              <w:pStyle w:val="TableTextBold"/>
              <w:jc w:val="center"/>
              <w:rPr>
                <w:noProof w:val="0"/>
                <w:color w:val="FFFFFF"/>
              </w:rPr>
            </w:pPr>
            <w:r w:rsidRPr="00256982">
              <w:rPr>
                <w:noProof w:val="0"/>
                <w:color w:val="FFFFFF"/>
              </w:rPr>
              <w:t>2017</w:t>
            </w:r>
          </w:p>
        </w:tc>
      </w:tr>
      <w:tr w:rsidR="0068777C" w:rsidRPr="00256982" w14:paraId="029B63AA" w14:textId="77777777" w:rsidTr="00DF3C07">
        <w:tc>
          <w:tcPr>
            <w:tcW w:w="2694" w:type="dxa"/>
            <w:tcBorders>
              <w:left w:val="nil"/>
            </w:tcBorders>
            <w:shd w:val="clear" w:color="auto" w:fill="auto"/>
            <w:vAlign w:val="bottom"/>
          </w:tcPr>
          <w:p w14:paraId="1214DD29" w14:textId="77777777" w:rsidR="0068777C" w:rsidRPr="00256982" w:rsidRDefault="0068777C" w:rsidP="00DF3C07">
            <w:pPr>
              <w:pStyle w:val="TableText"/>
            </w:pPr>
            <w:r w:rsidRPr="00256982">
              <w:t>Enteric fermentation (CRF 3.A)</w:t>
            </w:r>
          </w:p>
        </w:tc>
        <w:tc>
          <w:tcPr>
            <w:tcW w:w="850" w:type="dxa"/>
            <w:shd w:val="clear" w:color="auto" w:fill="auto"/>
            <w:vAlign w:val="bottom"/>
          </w:tcPr>
          <w:p w14:paraId="457525DE" w14:textId="77777777" w:rsidR="0068777C" w:rsidRPr="00256982" w:rsidRDefault="0068777C" w:rsidP="00DF3C07">
            <w:pPr>
              <w:pStyle w:val="TableText"/>
              <w:jc w:val="right"/>
            </w:pPr>
            <w:r w:rsidRPr="00256982">
              <w:t>26,420.7</w:t>
            </w:r>
          </w:p>
        </w:tc>
        <w:tc>
          <w:tcPr>
            <w:tcW w:w="851" w:type="dxa"/>
            <w:shd w:val="clear" w:color="auto" w:fill="auto"/>
            <w:vAlign w:val="bottom"/>
          </w:tcPr>
          <w:p w14:paraId="3A3A836D" w14:textId="77777777" w:rsidR="0068777C" w:rsidRPr="00256982" w:rsidRDefault="0068777C" w:rsidP="00DF3C07">
            <w:pPr>
              <w:pStyle w:val="TableText"/>
              <w:jc w:val="right"/>
            </w:pPr>
            <w:r w:rsidRPr="00256982">
              <w:t>27,646.6</w:t>
            </w:r>
          </w:p>
        </w:tc>
        <w:tc>
          <w:tcPr>
            <w:tcW w:w="1275" w:type="dxa"/>
            <w:shd w:val="clear" w:color="auto" w:fill="auto"/>
            <w:vAlign w:val="bottom"/>
          </w:tcPr>
          <w:p w14:paraId="71D0B4E7" w14:textId="77777777" w:rsidR="0068777C" w:rsidRPr="00256982" w:rsidRDefault="0068777C" w:rsidP="00DF3C07">
            <w:pPr>
              <w:pStyle w:val="TableText"/>
              <w:jc w:val="right"/>
            </w:pPr>
            <w:r w:rsidRPr="00256982">
              <w:t>4.6</w:t>
            </w:r>
          </w:p>
        </w:tc>
        <w:tc>
          <w:tcPr>
            <w:tcW w:w="1134" w:type="dxa"/>
            <w:shd w:val="clear" w:color="auto" w:fill="auto"/>
            <w:vAlign w:val="bottom"/>
          </w:tcPr>
          <w:p w14:paraId="6EB8E69E" w14:textId="77777777" w:rsidR="0068777C" w:rsidRPr="00256982" w:rsidRDefault="0068777C" w:rsidP="00DF3C07">
            <w:pPr>
              <w:pStyle w:val="TableText"/>
              <w:jc w:val="right"/>
            </w:pPr>
            <w:r w:rsidRPr="00256982">
              <w:t>1,225.8</w:t>
            </w:r>
          </w:p>
        </w:tc>
        <w:tc>
          <w:tcPr>
            <w:tcW w:w="851" w:type="dxa"/>
            <w:shd w:val="clear" w:color="auto" w:fill="auto"/>
            <w:vAlign w:val="bottom"/>
          </w:tcPr>
          <w:p w14:paraId="46744065" w14:textId="77777777" w:rsidR="0068777C" w:rsidRPr="00256982" w:rsidRDefault="0068777C" w:rsidP="00DF3C07">
            <w:pPr>
              <w:pStyle w:val="TableText"/>
              <w:jc w:val="right"/>
            </w:pPr>
            <w:r w:rsidRPr="00256982">
              <w:t>77.1</w:t>
            </w:r>
          </w:p>
        </w:tc>
        <w:tc>
          <w:tcPr>
            <w:tcW w:w="850" w:type="dxa"/>
            <w:tcBorders>
              <w:right w:val="nil"/>
            </w:tcBorders>
            <w:shd w:val="clear" w:color="auto" w:fill="auto"/>
            <w:vAlign w:val="bottom"/>
          </w:tcPr>
          <w:p w14:paraId="74D74C6A" w14:textId="77777777" w:rsidR="0068777C" w:rsidRPr="00256982" w:rsidRDefault="0068777C" w:rsidP="00DF3C07">
            <w:pPr>
              <w:pStyle w:val="TableText"/>
              <w:jc w:val="right"/>
            </w:pPr>
            <w:r w:rsidRPr="00256982">
              <w:t>71.1</w:t>
            </w:r>
          </w:p>
        </w:tc>
      </w:tr>
      <w:tr w:rsidR="0068777C" w:rsidRPr="00256982" w14:paraId="69C6997E" w14:textId="77777777" w:rsidTr="00DF3C07">
        <w:tc>
          <w:tcPr>
            <w:tcW w:w="2694" w:type="dxa"/>
            <w:tcBorders>
              <w:left w:val="nil"/>
            </w:tcBorders>
            <w:shd w:val="clear" w:color="auto" w:fill="auto"/>
            <w:vAlign w:val="bottom"/>
          </w:tcPr>
          <w:p w14:paraId="1E4B2CA1" w14:textId="77777777" w:rsidR="0068777C" w:rsidRPr="00256982" w:rsidRDefault="0068777C" w:rsidP="00DF3C07">
            <w:pPr>
              <w:pStyle w:val="TableText"/>
            </w:pPr>
            <w:r w:rsidRPr="00256982">
              <w:t>Manure management (CRF 3.B)</w:t>
            </w:r>
          </w:p>
        </w:tc>
        <w:tc>
          <w:tcPr>
            <w:tcW w:w="850" w:type="dxa"/>
            <w:shd w:val="clear" w:color="auto" w:fill="auto"/>
            <w:vAlign w:val="bottom"/>
          </w:tcPr>
          <w:p w14:paraId="44FBD4FD" w14:textId="77777777" w:rsidR="0068777C" w:rsidRPr="00256982" w:rsidRDefault="0068777C" w:rsidP="00DF3C07">
            <w:pPr>
              <w:pStyle w:val="TableText"/>
              <w:jc w:val="right"/>
            </w:pPr>
            <w:r w:rsidRPr="00256982">
              <w:t>720.7</w:t>
            </w:r>
          </w:p>
        </w:tc>
        <w:tc>
          <w:tcPr>
            <w:tcW w:w="851" w:type="dxa"/>
            <w:shd w:val="clear" w:color="auto" w:fill="auto"/>
            <w:vAlign w:val="bottom"/>
          </w:tcPr>
          <w:p w14:paraId="0C26B6BE" w14:textId="77777777" w:rsidR="0068777C" w:rsidRPr="00256982" w:rsidRDefault="0068777C" w:rsidP="00DF3C07">
            <w:pPr>
              <w:pStyle w:val="TableText"/>
              <w:jc w:val="right"/>
            </w:pPr>
            <w:r w:rsidRPr="00256982">
              <w:t>1,596.8</w:t>
            </w:r>
          </w:p>
        </w:tc>
        <w:tc>
          <w:tcPr>
            <w:tcW w:w="1275" w:type="dxa"/>
            <w:shd w:val="clear" w:color="auto" w:fill="auto"/>
            <w:vAlign w:val="bottom"/>
          </w:tcPr>
          <w:p w14:paraId="443D5FC7" w14:textId="77777777" w:rsidR="0068777C" w:rsidRPr="00256982" w:rsidRDefault="0068777C" w:rsidP="00DF3C07">
            <w:pPr>
              <w:pStyle w:val="TableText"/>
              <w:jc w:val="right"/>
            </w:pPr>
            <w:r w:rsidRPr="00256982">
              <w:t>121.5</w:t>
            </w:r>
          </w:p>
        </w:tc>
        <w:tc>
          <w:tcPr>
            <w:tcW w:w="1134" w:type="dxa"/>
            <w:shd w:val="clear" w:color="auto" w:fill="auto"/>
            <w:vAlign w:val="bottom"/>
          </w:tcPr>
          <w:p w14:paraId="01903D73" w14:textId="77777777" w:rsidR="0068777C" w:rsidRPr="00256982" w:rsidRDefault="0068777C" w:rsidP="00DF3C07">
            <w:pPr>
              <w:pStyle w:val="TableText"/>
              <w:jc w:val="right"/>
            </w:pPr>
            <w:r w:rsidRPr="00256982">
              <w:t>876.0</w:t>
            </w:r>
          </w:p>
        </w:tc>
        <w:tc>
          <w:tcPr>
            <w:tcW w:w="851" w:type="dxa"/>
            <w:shd w:val="clear" w:color="auto" w:fill="auto"/>
            <w:vAlign w:val="bottom"/>
          </w:tcPr>
          <w:p w14:paraId="15920453" w14:textId="77777777" w:rsidR="0068777C" w:rsidRPr="00256982" w:rsidRDefault="0068777C" w:rsidP="00DF3C07">
            <w:pPr>
              <w:pStyle w:val="TableText"/>
              <w:jc w:val="right"/>
            </w:pPr>
            <w:r w:rsidRPr="00256982">
              <w:t>2.1</w:t>
            </w:r>
          </w:p>
        </w:tc>
        <w:tc>
          <w:tcPr>
            <w:tcW w:w="850" w:type="dxa"/>
            <w:tcBorders>
              <w:right w:val="nil"/>
            </w:tcBorders>
            <w:shd w:val="clear" w:color="auto" w:fill="auto"/>
            <w:vAlign w:val="bottom"/>
          </w:tcPr>
          <w:p w14:paraId="1DBCA9B0" w14:textId="77777777" w:rsidR="0068777C" w:rsidRPr="00256982" w:rsidRDefault="0068777C" w:rsidP="00DF3C07">
            <w:pPr>
              <w:pStyle w:val="TableText"/>
              <w:jc w:val="right"/>
            </w:pPr>
            <w:r w:rsidRPr="00256982">
              <w:t>4.1</w:t>
            </w:r>
          </w:p>
        </w:tc>
      </w:tr>
      <w:tr w:rsidR="0068777C" w:rsidRPr="00256982" w14:paraId="69B6E65B" w14:textId="77777777" w:rsidTr="00DF3C07">
        <w:tc>
          <w:tcPr>
            <w:tcW w:w="2694" w:type="dxa"/>
            <w:tcBorders>
              <w:left w:val="nil"/>
            </w:tcBorders>
            <w:shd w:val="clear" w:color="auto" w:fill="auto"/>
            <w:vAlign w:val="bottom"/>
          </w:tcPr>
          <w:p w14:paraId="02FB6316" w14:textId="77777777" w:rsidR="0068777C" w:rsidRPr="00256982" w:rsidRDefault="0068777C" w:rsidP="00DF3C07">
            <w:pPr>
              <w:pStyle w:val="TableText"/>
            </w:pPr>
            <w:r w:rsidRPr="00256982">
              <w:t>Rice cultivation (CRF 3.C)</w:t>
            </w:r>
          </w:p>
        </w:tc>
        <w:tc>
          <w:tcPr>
            <w:tcW w:w="850" w:type="dxa"/>
            <w:shd w:val="clear" w:color="auto" w:fill="auto"/>
            <w:vAlign w:val="bottom"/>
          </w:tcPr>
          <w:p w14:paraId="0114F8CB" w14:textId="77777777" w:rsidR="0068777C" w:rsidRPr="00256982" w:rsidRDefault="0068777C" w:rsidP="00DF3C07">
            <w:pPr>
              <w:pStyle w:val="TableText"/>
              <w:jc w:val="right"/>
            </w:pPr>
            <w:r w:rsidRPr="00256982">
              <w:t>NO</w:t>
            </w:r>
          </w:p>
        </w:tc>
        <w:tc>
          <w:tcPr>
            <w:tcW w:w="851" w:type="dxa"/>
            <w:shd w:val="clear" w:color="auto" w:fill="auto"/>
            <w:vAlign w:val="bottom"/>
          </w:tcPr>
          <w:p w14:paraId="1C994743" w14:textId="77777777" w:rsidR="0068777C" w:rsidRPr="00256982" w:rsidRDefault="0068777C" w:rsidP="00DF3C07">
            <w:pPr>
              <w:pStyle w:val="TableText"/>
              <w:jc w:val="right"/>
              <w:rPr>
                <w:szCs w:val="16"/>
              </w:rPr>
            </w:pPr>
            <w:r w:rsidRPr="00256982">
              <w:t>NO</w:t>
            </w:r>
          </w:p>
        </w:tc>
        <w:tc>
          <w:tcPr>
            <w:tcW w:w="1275" w:type="dxa"/>
            <w:shd w:val="clear" w:color="auto" w:fill="auto"/>
            <w:vAlign w:val="bottom"/>
          </w:tcPr>
          <w:p w14:paraId="3F4F92B3" w14:textId="77777777" w:rsidR="0068777C" w:rsidRPr="00256982" w:rsidRDefault="0068777C" w:rsidP="00DF3C07">
            <w:pPr>
              <w:pStyle w:val="TableText"/>
              <w:jc w:val="right"/>
            </w:pPr>
            <w:r w:rsidRPr="00256982">
              <w:t>–</w:t>
            </w:r>
          </w:p>
        </w:tc>
        <w:tc>
          <w:tcPr>
            <w:tcW w:w="1134" w:type="dxa"/>
            <w:shd w:val="clear" w:color="auto" w:fill="auto"/>
            <w:vAlign w:val="bottom"/>
          </w:tcPr>
          <w:p w14:paraId="6ABBC104" w14:textId="77777777" w:rsidR="0068777C" w:rsidRPr="00256982" w:rsidRDefault="0068777C" w:rsidP="00DF3C07">
            <w:pPr>
              <w:pStyle w:val="TableText"/>
              <w:jc w:val="right"/>
            </w:pPr>
            <w:r w:rsidRPr="00256982">
              <w:t>–</w:t>
            </w:r>
          </w:p>
        </w:tc>
        <w:tc>
          <w:tcPr>
            <w:tcW w:w="851" w:type="dxa"/>
            <w:shd w:val="clear" w:color="auto" w:fill="auto"/>
            <w:vAlign w:val="bottom"/>
          </w:tcPr>
          <w:p w14:paraId="3FE8B2D6" w14:textId="77777777" w:rsidR="0068777C" w:rsidRPr="00256982" w:rsidRDefault="0068777C" w:rsidP="00DF3C07">
            <w:pPr>
              <w:pStyle w:val="TableText"/>
              <w:jc w:val="right"/>
            </w:pPr>
            <w:r w:rsidRPr="00256982">
              <w:t>–</w:t>
            </w:r>
          </w:p>
        </w:tc>
        <w:tc>
          <w:tcPr>
            <w:tcW w:w="850" w:type="dxa"/>
            <w:tcBorders>
              <w:right w:val="nil"/>
            </w:tcBorders>
            <w:shd w:val="clear" w:color="auto" w:fill="auto"/>
            <w:vAlign w:val="bottom"/>
          </w:tcPr>
          <w:p w14:paraId="5D21834C" w14:textId="77777777" w:rsidR="0068777C" w:rsidRPr="00256982" w:rsidRDefault="0068777C" w:rsidP="00DF3C07">
            <w:pPr>
              <w:pStyle w:val="TableText"/>
              <w:jc w:val="right"/>
            </w:pPr>
            <w:r w:rsidRPr="00256982">
              <w:t>–</w:t>
            </w:r>
          </w:p>
        </w:tc>
      </w:tr>
      <w:tr w:rsidR="0068777C" w:rsidRPr="00256982" w14:paraId="34FCF281" w14:textId="77777777" w:rsidTr="00DF3C07">
        <w:tc>
          <w:tcPr>
            <w:tcW w:w="2694" w:type="dxa"/>
            <w:tcBorders>
              <w:left w:val="nil"/>
            </w:tcBorders>
            <w:shd w:val="clear" w:color="auto" w:fill="auto"/>
            <w:vAlign w:val="bottom"/>
          </w:tcPr>
          <w:p w14:paraId="28B0128B" w14:textId="77777777" w:rsidR="0068777C" w:rsidRPr="00256982" w:rsidRDefault="0068777C" w:rsidP="00DF3C07">
            <w:pPr>
              <w:pStyle w:val="TableText"/>
            </w:pPr>
            <w:r w:rsidRPr="00256982">
              <w:t>Agricultural soils (CRF 3.D)</w:t>
            </w:r>
          </w:p>
        </w:tc>
        <w:tc>
          <w:tcPr>
            <w:tcW w:w="850" w:type="dxa"/>
            <w:shd w:val="clear" w:color="auto" w:fill="auto"/>
            <w:vAlign w:val="bottom"/>
          </w:tcPr>
          <w:p w14:paraId="05C41E0A" w14:textId="77777777" w:rsidR="0068777C" w:rsidRPr="00256982" w:rsidRDefault="0068777C" w:rsidP="00DF3C07">
            <w:pPr>
              <w:pStyle w:val="TableText"/>
              <w:jc w:val="right"/>
            </w:pPr>
            <w:r w:rsidRPr="00256982">
              <w:t>6,689.1</w:t>
            </w:r>
          </w:p>
        </w:tc>
        <w:tc>
          <w:tcPr>
            <w:tcW w:w="851" w:type="dxa"/>
            <w:shd w:val="clear" w:color="auto" w:fill="auto"/>
            <w:vAlign w:val="bottom"/>
          </w:tcPr>
          <w:p w14:paraId="4FC11A4F" w14:textId="77777777" w:rsidR="0068777C" w:rsidRPr="00256982" w:rsidRDefault="0068777C" w:rsidP="00DF3C07">
            <w:pPr>
              <w:pStyle w:val="TableText"/>
              <w:jc w:val="right"/>
            </w:pPr>
            <w:r w:rsidRPr="00256982">
              <w:t>8,566.2</w:t>
            </w:r>
          </w:p>
        </w:tc>
        <w:tc>
          <w:tcPr>
            <w:tcW w:w="1275" w:type="dxa"/>
            <w:shd w:val="clear" w:color="auto" w:fill="auto"/>
            <w:vAlign w:val="bottom"/>
          </w:tcPr>
          <w:p w14:paraId="3E1B16C6" w14:textId="77777777" w:rsidR="0068777C" w:rsidRPr="00256982" w:rsidRDefault="0068777C" w:rsidP="00DF3C07">
            <w:pPr>
              <w:pStyle w:val="TableText"/>
              <w:jc w:val="right"/>
            </w:pPr>
            <w:r w:rsidRPr="00256982">
              <w:t>28.1</w:t>
            </w:r>
          </w:p>
        </w:tc>
        <w:tc>
          <w:tcPr>
            <w:tcW w:w="1134" w:type="dxa"/>
            <w:shd w:val="clear" w:color="auto" w:fill="auto"/>
            <w:vAlign w:val="bottom"/>
          </w:tcPr>
          <w:p w14:paraId="30458E1C" w14:textId="77777777" w:rsidR="0068777C" w:rsidRPr="00256982" w:rsidRDefault="0068777C" w:rsidP="00DF3C07">
            <w:pPr>
              <w:pStyle w:val="TableText"/>
              <w:jc w:val="right"/>
            </w:pPr>
            <w:r w:rsidRPr="00256982">
              <w:t>1,877.0</w:t>
            </w:r>
          </w:p>
        </w:tc>
        <w:tc>
          <w:tcPr>
            <w:tcW w:w="851" w:type="dxa"/>
            <w:shd w:val="clear" w:color="auto" w:fill="auto"/>
            <w:vAlign w:val="bottom"/>
          </w:tcPr>
          <w:p w14:paraId="77699C63" w14:textId="77777777" w:rsidR="0068777C" w:rsidRPr="00256982" w:rsidRDefault="0068777C" w:rsidP="00DF3C07">
            <w:pPr>
              <w:pStyle w:val="TableText"/>
              <w:jc w:val="right"/>
            </w:pPr>
            <w:r w:rsidRPr="00256982">
              <w:t>19.5</w:t>
            </w:r>
          </w:p>
        </w:tc>
        <w:tc>
          <w:tcPr>
            <w:tcW w:w="850" w:type="dxa"/>
            <w:tcBorders>
              <w:right w:val="nil"/>
            </w:tcBorders>
            <w:shd w:val="clear" w:color="auto" w:fill="auto"/>
            <w:vAlign w:val="bottom"/>
          </w:tcPr>
          <w:p w14:paraId="29A18876" w14:textId="77777777" w:rsidR="0068777C" w:rsidRPr="00256982" w:rsidRDefault="0068777C" w:rsidP="00DF3C07">
            <w:pPr>
              <w:pStyle w:val="TableText"/>
              <w:jc w:val="right"/>
            </w:pPr>
            <w:r w:rsidRPr="00256982">
              <w:t>22.0</w:t>
            </w:r>
          </w:p>
        </w:tc>
      </w:tr>
      <w:tr w:rsidR="0068777C" w:rsidRPr="00256982" w14:paraId="0ED96968" w14:textId="77777777" w:rsidTr="00DF3C07">
        <w:tc>
          <w:tcPr>
            <w:tcW w:w="2694" w:type="dxa"/>
            <w:tcBorders>
              <w:left w:val="nil"/>
            </w:tcBorders>
            <w:shd w:val="clear" w:color="auto" w:fill="auto"/>
            <w:vAlign w:val="bottom"/>
          </w:tcPr>
          <w:p w14:paraId="66F01E52" w14:textId="77777777" w:rsidR="0068777C" w:rsidRPr="00256982" w:rsidRDefault="0068777C" w:rsidP="00DF3C07">
            <w:pPr>
              <w:pStyle w:val="TableText"/>
            </w:pPr>
            <w:r w:rsidRPr="00256982">
              <w:t>Field burning of agricultural residues (CRF 3.F)</w:t>
            </w:r>
          </w:p>
        </w:tc>
        <w:tc>
          <w:tcPr>
            <w:tcW w:w="850" w:type="dxa"/>
            <w:shd w:val="clear" w:color="auto" w:fill="auto"/>
            <w:vAlign w:val="bottom"/>
          </w:tcPr>
          <w:p w14:paraId="24C8195D" w14:textId="77777777" w:rsidR="0068777C" w:rsidRPr="00256982" w:rsidRDefault="0068777C" w:rsidP="00DF3C07">
            <w:pPr>
              <w:pStyle w:val="TableText"/>
              <w:jc w:val="right"/>
            </w:pPr>
            <w:r w:rsidRPr="00256982">
              <w:t>27.4</w:t>
            </w:r>
          </w:p>
        </w:tc>
        <w:tc>
          <w:tcPr>
            <w:tcW w:w="851" w:type="dxa"/>
            <w:shd w:val="clear" w:color="auto" w:fill="auto"/>
            <w:vAlign w:val="bottom"/>
          </w:tcPr>
          <w:p w14:paraId="2B81DC01" w14:textId="77777777" w:rsidR="0068777C" w:rsidRPr="00256982" w:rsidRDefault="0068777C" w:rsidP="00DF3C07">
            <w:pPr>
              <w:pStyle w:val="TableText"/>
              <w:jc w:val="right"/>
            </w:pPr>
            <w:r w:rsidRPr="00256982">
              <w:t>23.4</w:t>
            </w:r>
          </w:p>
        </w:tc>
        <w:tc>
          <w:tcPr>
            <w:tcW w:w="1275" w:type="dxa"/>
            <w:shd w:val="clear" w:color="auto" w:fill="auto"/>
            <w:vAlign w:val="bottom"/>
          </w:tcPr>
          <w:p w14:paraId="2FE1D653" w14:textId="74ED1800" w:rsidR="0068777C" w:rsidRPr="00256982" w:rsidRDefault="004B5E70" w:rsidP="00DF3C07">
            <w:pPr>
              <w:pStyle w:val="TableText"/>
              <w:jc w:val="right"/>
            </w:pPr>
            <w:r w:rsidRPr="00256982">
              <w:t>–</w:t>
            </w:r>
            <w:r w:rsidR="0068777C" w:rsidRPr="00256982">
              <w:t>14.7</w:t>
            </w:r>
          </w:p>
        </w:tc>
        <w:tc>
          <w:tcPr>
            <w:tcW w:w="1134" w:type="dxa"/>
            <w:shd w:val="clear" w:color="auto" w:fill="auto"/>
            <w:vAlign w:val="bottom"/>
          </w:tcPr>
          <w:p w14:paraId="05E7FE54" w14:textId="1DC75367" w:rsidR="0068777C" w:rsidRPr="00256982" w:rsidRDefault="004B5E70" w:rsidP="00DF3C07">
            <w:pPr>
              <w:pStyle w:val="TableText"/>
              <w:jc w:val="right"/>
            </w:pPr>
            <w:r w:rsidRPr="00256982">
              <w:t>–</w:t>
            </w:r>
            <w:r w:rsidR="0068777C" w:rsidRPr="00256982">
              <w:t>4.0</w:t>
            </w:r>
          </w:p>
        </w:tc>
        <w:tc>
          <w:tcPr>
            <w:tcW w:w="851" w:type="dxa"/>
            <w:shd w:val="clear" w:color="auto" w:fill="auto"/>
            <w:vAlign w:val="bottom"/>
          </w:tcPr>
          <w:p w14:paraId="30149DA1" w14:textId="77777777" w:rsidR="0068777C" w:rsidRPr="00256982" w:rsidRDefault="0068777C" w:rsidP="00DF3C07">
            <w:pPr>
              <w:pStyle w:val="TableText"/>
              <w:jc w:val="right"/>
            </w:pPr>
            <w:r w:rsidRPr="00256982">
              <w:t>0.1</w:t>
            </w:r>
          </w:p>
        </w:tc>
        <w:tc>
          <w:tcPr>
            <w:tcW w:w="850" w:type="dxa"/>
            <w:tcBorders>
              <w:right w:val="nil"/>
            </w:tcBorders>
            <w:shd w:val="clear" w:color="auto" w:fill="auto"/>
            <w:vAlign w:val="bottom"/>
          </w:tcPr>
          <w:p w14:paraId="21EFFD69" w14:textId="77777777" w:rsidR="0068777C" w:rsidRPr="00256982" w:rsidRDefault="0068777C" w:rsidP="00DF3C07">
            <w:pPr>
              <w:pStyle w:val="TableText"/>
              <w:jc w:val="right"/>
            </w:pPr>
            <w:r w:rsidRPr="00256982">
              <w:t>0.1</w:t>
            </w:r>
          </w:p>
        </w:tc>
      </w:tr>
      <w:tr w:rsidR="0068777C" w:rsidRPr="00256982" w14:paraId="0911BB23" w14:textId="77777777" w:rsidTr="00DF3C07">
        <w:tc>
          <w:tcPr>
            <w:tcW w:w="2694" w:type="dxa"/>
            <w:tcBorders>
              <w:left w:val="nil"/>
            </w:tcBorders>
            <w:shd w:val="clear" w:color="auto" w:fill="auto"/>
            <w:vAlign w:val="bottom"/>
          </w:tcPr>
          <w:p w14:paraId="45AD8077" w14:textId="77777777" w:rsidR="0068777C" w:rsidRPr="00256982" w:rsidRDefault="0068777C" w:rsidP="00DF3C07">
            <w:pPr>
              <w:pStyle w:val="TableText"/>
            </w:pPr>
            <w:r w:rsidRPr="00256982">
              <w:t>Liming CO</w:t>
            </w:r>
            <w:r w:rsidRPr="00256982">
              <w:rPr>
                <w:vertAlign w:val="subscript"/>
              </w:rPr>
              <w:t>2</w:t>
            </w:r>
            <w:r w:rsidRPr="00256982">
              <w:t xml:space="preserve"> emissions (CRF 3.G)</w:t>
            </w:r>
          </w:p>
        </w:tc>
        <w:tc>
          <w:tcPr>
            <w:tcW w:w="850" w:type="dxa"/>
            <w:shd w:val="clear" w:color="auto" w:fill="auto"/>
            <w:vAlign w:val="bottom"/>
          </w:tcPr>
          <w:p w14:paraId="2C262C39" w14:textId="77777777" w:rsidR="0068777C" w:rsidRPr="00256982" w:rsidRDefault="0068777C" w:rsidP="00DF3C07">
            <w:pPr>
              <w:pStyle w:val="TableText"/>
              <w:jc w:val="right"/>
            </w:pPr>
            <w:r w:rsidRPr="00256982">
              <w:t>360.1</w:t>
            </w:r>
          </w:p>
        </w:tc>
        <w:tc>
          <w:tcPr>
            <w:tcW w:w="851" w:type="dxa"/>
            <w:shd w:val="clear" w:color="auto" w:fill="auto"/>
            <w:vAlign w:val="bottom"/>
          </w:tcPr>
          <w:p w14:paraId="4F7B5C20" w14:textId="77777777" w:rsidR="0068777C" w:rsidRPr="00256982" w:rsidRDefault="0068777C" w:rsidP="00DF3C07">
            <w:pPr>
              <w:pStyle w:val="TableText"/>
              <w:jc w:val="right"/>
            </w:pPr>
            <w:r w:rsidRPr="00256982">
              <w:t>459.6</w:t>
            </w:r>
          </w:p>
        </w:tc>
        <w:tc>
          <w:tcPr>
            <w:tcW w:w="1275" w:type="dxa"/>
            <w:shd w:val="clear" w:color="auto" w:fill="auto"/>
            <w:vAlign w:val="bottom"/>
          </w:tcPr>
          <w:p w14:paraId="4A8A1429" w14:textId="77777777" w:rsidR="0068777C" w:rsidRPr="00256982" w:rsidRDefault="0068777C" w:rsidP="00DF3C07">
            <w:pPr>
              <w:pStyle w:val="TableText"/>
              <w:jc w:val="right"/>
            </w:pPr>
            <w:r w:rsidRPr="00256982">
              <w:t>27.6</w:t>
            </w:r>
          </w:p>
        </w:tc>
        <w:tc>
          <w:tcPr>
            <w:tcW w:w="1134" w:type="dxa"/>
            <w:shd w:val="clear" w:color="auto" w:fill="auto"/>
            <w:vAlign w:val="bottom"/>
          </w:tcPr>
          <w:p w14:paraId="2E344F3F" w14:textId="77777777" w:rsidR="0068777C" w:rsidRPr="00256982" w:rsidRDefault="0068777C" w:rsidP="00DF3C07">
            <w:pPr>
              <w:pStyle w:val="TableText"/>
              <w:jc w:val="right"/>
            </w:pPr>
            <w:r w:rsidRPr="00256982">
              <w:t>99.5</w:t>
            </w:r>
          </w:p>
        </w:tc>
        <w:tc>
          <w:tcPr>
            <w:tcW w:w="851" w:type="dxa"/>
            <w:shd w:val="clear" w:color="auto" w:fill="auto"/>
            <w:vAlign w:val="bottom"/>
          </w:tcPr>
          <w:p w14:paraId="27D10260" w14:textId="77777777" w:rsidR="0068777C" w:rsidRPr="00256982" w:rsidRDefault="0068777C" w:rsidP="00DF3C07">
            <w:pPr>
              <w:pStyle w:val="TableText"/>
              <w:jc w:val="right"/>
            </w:pPr>
            <w:r w:rsidRPr="00256982">
              <w:t>1.1</w:t>
            </w:r>
          </w:p>
        </w:tc>
        <w:tc>
          <w:tcPr>
            <w:tcW w:w="850" w:type="dxa"/>
            <w:tcBorders>
              <w:right w:val="nil"/>
            </w:tcBorders>
            <w:shd w:val="clear" w:color="auto" w:fill="auto"/>
            <w:vAlign w:val="bottom"/>
          </w:tcPr>
          <w:p w14:paraId="1854D23A" w14:textId="77777777" w:rsidR="0068777C" w:rsidRPr="00256982" w:rsidRDefault="0068777C" w:rsidP="00DF3C07">
            <w:pPr>
              <w:pStyle w:val="TableText"/>
              <w:jc w:val="right"/>
            </w:pPr>
            <w:r w:rsidRPr="00256982">
              <w:t>1.2</w:t>
            </w:r>
          </w:p>
        </w:tc>
      </w:tr>
      <w:tr w:rsidR="0068777C" w:rsidRPr="00256982" w14:paraId="30648887" w14:textId="77777777" w:rsidTr="00DF3C07">
        <w:tc>
          <w:tcPr>
            <w:tcW w:w="2694" w:type="dxa"/>
            <w:tcBorders>
              <w:left w:val="nil"/>
            </w:tcBorders>
            <w:shd w:val="clear" w:color="auto" w:fill="auto"/>
            <w:vAlign w:val="bottom"/>
          </w:tcPr>
          <w:p w14:paraId="0844ECCF" w14:textId="77777777" w:rsidR="0068777C" w:rsidRPr="00256982" w:rsidRDefault="0068777C" w:rsidP="00DF3C07">
            <w:pPr>
              <w:pStyle w:val="TableText"/>
            </w:pPr>
            <w:r w:rsidRPr="00256982">
              <w:t>Urea application CO</w:t>
            </w:r>
            <w:r w:rsidRPr="00256982">
              <w:rPr>
                <w:vertAlign w:val="subscript"/>
              </w:rPr>
              <w:t>2</w:t>
            </w:r>
            <w:r w:rsidRPr="00256982">
              <w:t xml:space="preserve"> emissions (CRF 3.H)</w:t>
            </w:r>
          </w:p>
        </w:tc>
        <w:tc>
          <w:tcPr>
            <w:tcW w:w="850" w:type="dxa"/>
            <w:shd w:val="clear" w:color="auto" w:fill="auto"/>
            <w:vAlign w:val="bottom"/>
          </w:tcPr>
          <w:p w14:paraId="573D726D" w14:textId="77777777" w:rsidR="0068777C" w:rsidRPr="00256982" w:rsidRDefault="0068777C" w:rsidP="00DF3C07">
            <w:pPr>
              <w:pStyle w:val="TableText"/>
              <w:jc w:val="right"/>
            </w:pPr>
            <w:r w:rsidRPr="00256982">
              <w:t>39.2</w:t>
            </w:r>
          </w:p>
        </w:tc>
        <w:tc>
          <w:tcPr>
            <w:tcW w:w="851" w:type="dxa"/>
            <w:shd w:val="clear" w:color="auto" w:fill="auto"/>
            <w:vAlign w:val="bottom"/>
          </w:tcPr>
          <w:p w14:paraId="6B5BA666" w14:textId="77777777" w:rsidR="0068777C" w:rsidRPr="00256982" w:rsidRDefault="0068777C" w:rsidP="00DF3C07">
            <w:pPr>
              <w:pStyle w:val="TableText"/>
              <w:jc w:val="right"/>
            </w:pPr>
            <w:r w:rsidRPr="00256982">
              <w:t>588.3</w:t>
            </w:r>
          </w:p>
        </w:tc>
        <w:tc>
          <w:tcPr>
            <w:tcW w:w="1275" w:type="dxa"/>
            <w:shd w:val="clear" w:color="auto" w:fill="auto"/>
            <w:vAlign w:val="bottom"/>
          </w:tcPr>
          <w:p w14:paraId="360B78FD" w14:textId="02D74AB9" w:rsidR="0068777C" w:rsidRPr="00256982" w:rsidRDefault="0068777C" w:rsidP="00DF3C07">
            <w:pPr>
              <w:pStyle w:val="TableText"/>
              <w:jc w:val="right"/>
            </w:pPr>
            <w:r w:rsidRPr="00256982">
              <w:t>1</w:t>
            </w:r>
            <w:r w:rsidR="004B5E70" w:rsidRPr="00256982">
              <w:t>,</w:t>
            </w:r>
            <w:r w:rsidRPr="00256982">
              <w:t>400.9</w:t>
            </w:r>
          </w:p>
        </w:tc>
        <w:tc>
          <w:tcPr>
            <w:tcW w:w="1134" w:type="dxa"/>
            <w:shd w:val="clear" w:color="auto" w:fill="auto"/>
            <w:vAlign w:val="bottom"/>
          </w:tcPr>
          <w:p w14:paraId="712D44F8" w14:textId="77777777" w:rsidR="0068777C" w:rsidRPr="00256982" w:rsidRDefault="0068777C" w:rsidP="00DF3C07">
            <w:pPr>
              <w:pStyle w:val="TableText"/>
              <w:jc w:val="right"/>
            </w:pPr>
            <w:r w:rsidRPr="00256982">
              <w:t>549.1</w:t>
            </w:r>
          </w:p>
        </w:tc>
        <w:tc>
          <w:tcPr>
            <w:tcW w:w="851" w:type="dxa"/>
            <w:shd w:val="clear" w:color="auto" w:fill="auto"/>
            <w:vAlign w:val="bottom"/>
          </w:tcPr>
          <w:p w14:paraId="70BBCDBC" w14:textId="77777777" w:rsidR="0068777C" w:rsidRPr="00256982" w:rsidRDefault="0068777C" w:rsidP="00DF3C07">
            <w:pPr>
              <w:pStyle w:val="TableText"/>
              <w:jc w:val="right"/>
            </w:pPr>
            <w:r w:rsidRPr="00256982">
              <w:t>0.1</w:t>
            </w:r>
          </w:p>
        </w:tc>
        <w:tc>
          <w:tcPr>
            <w:tcW w:w="850" w:type="dxa"/>
            <w:tcBorders>
              <w:right w:val="nil"/>
            </w:tcBorders>
            <w:shd w:val="clear" w:color="auto" w:fill="auto"/>
            <w:vAlign w:val="bottom"/>
          </w:tcPr>
          <w:p w14:paraId="6FD09802" w14:textId="77777777" w:rsidR="0068777C" w:rsidRPr="00256982" w:rsidRDefault="0068777C" w:rsidP="00DF3C07">
            <w:pPr>
              <w:pStyle w:val="TableText"/>
              <w:jc w:val="right"/>
            </w:pPr>
            <w:r w:rsidRPr="00256982">
              <w:t>1.5</w:t>
            </w:r>
          </w:p>
        </w:tc>
      </w:tr>
      <w:tr w:rsidR="0068777C" w:rsidRPr="00256982" w14:paraId="12A3F153" w14:textId="77777777" w:rsidTr="00DF3C07">
        <w:tc>
          <w:tcPr>
            <w:tcW w:w="2694" w:type="dxa"/>
            <w:tcBorders>
              <w:left w:val="nil"/>
            </w:tcBorders>
            <w:shd w:val="clear" w:color="auto" w:fill="auto"/>
            <w:vAlign w:val="bottom"/>
          </w:tcPr>
          <w:p w14:paraId="1BD66A01" w14:textId="77777777" w:rsidR="0068777C" w:rsidRPr="00256982" w:rsidRDefault="0068777C" w:rsidP="00DF3C07">
            <w:pPr>
              <w:pStyle w:val="TableText"/>
            </w:pPr>
            <w:r w:rsidRPr="00256982">
              <w:t>Other carbon-containing fertilisers (CRF 3.I)</w:t>
            </w:r>
          </w:p>
        </w:tc>
        <w:tc>
          <w:tcPr>
            <w:tcW w:w="850" w:type="dxa"/>
            <w:shd w:val="clear" w:color="auto" w:fill="auto"/>
            <w:vAlign w:val="bottom"/>
          </w:tcPr>
          <w:p w14:paraId="0BAD5C5E" w14:textId="77777777" w:rsidR="0068777C" w:rsidRPr="00256982" w:rsidRDefault="0068777C" w:rsidP="00DF3C07">
            <w:pPr>
              <w:pStyle w:val="TableText"/>
              <w:jc w:val="right"/>
            </w:pPr>
            <w:r w:rsidRPr="00256982">
              <w:t>NE</w:t>
            </w:r>
          </w:p>
        </w:tc>
        <w:tc>
          <w:tcPr>
            <w:tcW w:w="851" w:type="dxa"/>
            <w:shd w:val="clear" w:color="auto" w:fill="auto"/>
            <w:vAlign w:val="bottom"/>
          </w:tcPr>
          <w:p w14:paraId="14BD37E0" w14:textId="77777777" w:rsidR="0068777C" w:rsidRPr="00256982" w:rsidRDefault="0068777C" w:rsidP="00DF3C07">
            <w:pPr>
              <w:pStyle w:val="TableText"/>
              <w:jc w:val="right"/>
              <w:rPr>
                <w:szCs w:val="16"/>
              </w:rPr>
            </w:pPr>
            <w:r w:rsidRPr="00256982">
              <w:t>NE</w:t>
            </w:r>
          </w:p>
        </w:tc>
        <w:tc>
          <w:tcPr>
            <w:tcW w:w="1275" w:type="dxa"/>
            <w:shd w:val="clear" w:color="auto" w:fill="auto"/>
            <w:vAlign w:val="bottom"/>
          </w:tcPr>
          <w:p w14:paraId="3A1548EB" w14:textId="77777777" w:rsidR="0068777C" w:rsidRPr="00256982" w:rsidRDefault="0068777C" w:rsidP="00DF3C07">
            <w:pPr>
              <w:pStyle w:val="TableText"/>
              <w:jc w:val="right"/>
            </w:pPr>
            <w:r w:rsidRPr="00256982">
              <w:t>–</w:t>
            </w:r>
          </w:p>
        </w:tc>
        <w:tc>
          <w:tcPr>
            <w:tcW w:w="1134" w:type="dxa"/>
            <w:shd w:val="clear" w:color="auto" w:fill="auto"/>
            <w:vAlign w:val="bottom"/>
          </w:tcPr>
          <w:p w14:paraId="5D9B3038" w14:textId="77777777" w:rsidR="0068777C" w:rsidRPr="00256982" w:rsidRDefault="0068777C" w:rsidP="00DF3C07">
            <w:pPr>
              <w:pStyle w:val="TableText"/>
              <w:jc w:val="right"/>
            </w:pPr>
            <w:r w:rsidRPr="00256982">
              <w:t>–</w:t>
            </w:r>
          </w:p>
        </w:tc>
        <w:tc>
          <w:tcPr>
            <w:tcW w:w="851" w:type="dxa"/>
            <w:shd w:val="clear" w:color="auto" w:fill="auto"/>
            <w:vAlign w:val="bottom"/>
          </w:tcPr>
          <w:p w14:paraId="2595ADCF" w14:textId="77777777" w:rsidR="0068777C" w:rsidRPr="00256982" w:rsidRDefault="0068777C" w:rsidP="00DF3C07">
            <w:pPr>
              <w:pStyle w:val="TableText"/>
              <w:jc w:val="right"/>
            </w:pPr>
            <w:r w:rsidRPr="00256982">
              <w:t>–</w:t>
            </w:r>
          </w:p>
        </w:tc>
        <w:tc>
          <w:tcPr>
            <w:tcW w:w="850" w:type="dxa"/>
            <w:tcBorders>
              <w:right w:val="nil"/>
            </w:tcBorders>
            <w:shd w:val="clear" w:color="auto" w:fill="auto"/>
            <w:vAlign w:val="bottom"/>
          </w:tcPr>
          <w:p w14:paraId="7A39B364" w14:textId="77777777" w:rsidR="0068777C" w:rsidRPr="00256982" w:rsidRDefault="0068777C" w:rsidP="00DF3C07">
            <w:pPr>
              <w:pStyle w:val="TableText"/>
              <w:jc w:val="right"/>
            </w:pPr>
            <w:r w:rsidRPr="00256982">
              <w:t>–</w:t>
            </w:r>
          </w:p>
        </w:tc>
      </w:tr>
    </w:tbl>
    <w:p w14:paraId="366DC981" w14:textId="77777777" w:rsidR="0068777C" w:rsidRPr="00256982" w:rsidRDefault="0068777C" w:rsidP="0068777C">
      <w:pPr>
        <w:pStyle w:val="Noteundertable"/>
      </w:pPr>
      <w:r w:rsidRPr="00256982">
        <w:rPr>
          <w:b/>
        </w:rPr>
        <w:t>Note:</w:t>
      </w:r>
      <w:r w:rsidRPr="00256982">
        <w:t xml:space="preserve"> </w:t>
      </w:r>
      <w:r w:rsidRPr="00256982">
        <w:tab/>
        <w:t>NO = not occurring, NE = not estimated. Percentages presented are calculated from unrounded values.</w:t>
      </w:r>
    </w:p>
    <w:p w14:paraId="2CD8373A" w14:textId="77777777" w:rsidR="0068777C" w:rsidRPr="00256982" w:rsidRDefault="0068777C" w:rsidP="0068777C">
      <w:pPr>
        <w:pStyle w:val="BodyText"/>
      </w:pPr>
      <w:r w:rsidRPr="00256982">
        <w:t>Agriculture is a major component of the New Zealand economy, and exports from agricultural products (excluding fisheries and forestry) comprise 62.6 per cent of the total value of merchandise exports (Statistics New Zealand, 2018a).The production of land</w:t>
      </w:r>
      <w:r w:rsidRPr="00256982">
        <w:noBreakHyphen/>
        <w:t>based agricultural products in New Zealand is helped by the favourable temperate climate and the pastoral farming practices used in New Zealand. These practices include the use of year-round extensive outdoor pastoral grazing systems, nitrogen fixation by legumes and synthetic nitrogen fertiliser use.</w:t>
      </w:r>
    </w:p>
    <w:p w14:paraId="7DCB6BFB" w14:textId="77777777" w:rsidR="0068777C" w:rsidRPr="00256982" w:rsidRDefault="0068777C" w:rsidP="0068777C">
      <w:pPr>
        <w:pStyle w:val="BodyText"/>
      </w:pPr>
      <w:r w:rsidRPr="00256982">
        <w:t xml:space="preserve">Dairy cattle, non-dairy cattle (beef), sheep and deer are grazed outside all year round, and intensive housing of major ruminant livestock species is not practised widely in New Zealand. As part of normal day-to-day management, dairy farmers may temporarily take animals off </w:t>
      </w:r>
      <w:r w:rsidRPr="00256982">
        <w:lastRenderedPageBreak/>
        <w:t>regular grazing areas in an effort to prevent damage to soils and any subsequent loss in pasture growth, although these off-paddock sites are also mainly outside. This means that New Zealand has a much lower proportion of agricultural emissions from manure management, compared with other Annex I Parties. For further information about New Zealand’s agricultural growing conditions, see section 2.9 (National circumstances, Agriculture) of New Zealand’s Seventh National Communication.</w:t>
      </w:r>
      <w:r w:rsidRPr="00256982">
        <w:rPr>
          <w:rStyle w:val="FootnoteReference"/>
        </w:rPr>
        <w:footnoteReference w:id="31"/>
      </w:r>
      <w:r w:rsidRPr="00256982">
        <w:t xml:space="preserve"> </w:t>
      </w:r>
    </w:p>
    <w:p w14:paraId="7FFA7A0F" w14:textId="77777777" w:rsidR="0068777C" w:rsidRPr="00256982" w:rsidRDefault="0068777C" w:rsidP="0068777C">
      <w:pPr>
        <w:pStyle w:val="BodyText"/>
      </w:pPr>
      <w:r w:rsidRPr="00256982">
        <w:t>Beginning with the 2019 submission, New Zealand is reporting emissions from Tokelau, which is a dependent territory of New Zealand. Emissions from Tokelau for all activities are reported in annex 7 of the National Inventory Report and within the ‘Other’ sector in the common reporting format (CRF) tables. This is due to the significantly different methods applied and the prohibitive complexity of integrating emissions within the main sectors. Therefore, all emissions reported in this sector are from New Zealand excluding Tokelau. Please refer to chapter 8 and annex 7 for details of methods applied and the emissions for Tokelau.</w:t>
      </w:r>
    </w:p>
    <w:p w14:paraId="472997A5" w14:textId="77777777" w:rsidR="0068777C" w:rsidRPr="00256982" w:rsidRDefault="0068777C" w:rsidP="0068777C">
      <w:pPr>
        <w:pStyle w:val="Heading3"/>
        <w:rPr>
          <w:b w:val="0"/>
        </w:rPr>
      </w:pPr>
      <w:r w:rsidRPr="00256982">
        <w:t>5.1.1</w:t>
      </w:r>
      <w:r w:rsidRPr="00256982">
        <w:tab/>
        <w:t xml:space="preserve">Trends in the Agriculture sector </w:t>
      </w:r>
    </w:p>
    <w:p w14:paraId="21AB7B12" w14:textId="77777777" w:rsidR="0068777C" w:rsidRPr="00256982" w:rsidRDefault="0068777C" w:rsidP="0068777C">
      <w:pPr>
        <w:pStyle w:val="BodyText"/>
      </w:pPr>
      <w:r w:rsidRPr="00256982">
        <w:t xml:space="preserve">Trends in Agriculture sector emissions are largely driven by the populations of the ruminant livestock categories (dairy cattle, non-dairy cattle, sheep and deer). In 1990 and 2017 respectively, 96.0 per cent and 91.7 per cent of agricultural emissions originated from these ruminant livestock categories. </w:t>
      </w:r>
    </w:p>
    <w:p w14:paraId="4A9D2B1E" w14:textId="77777777" w:rsidR="0068777C" w:rsidRPr="00256982" w:rsidRDefault="0068777C" w:rsidP="0068777C">
      <w:pPr>
        <w:pStyle w:val="BodyText"/>
      </w:pPr>
      <w:r w:rsidRPr="00256982">
        <w:t xml:space="preserve">Since 1990, there have been changes in the proportions of the main livestock categories farmed in New Zealand (see figures 5.1.3a and 5.1.3b). The number of dairy cattle has increased while the population of sheep and beef cattle has decreased, reflecting increases in the relative profitability of dairy farming. </w:t>
      </w:r>
    </w:p>
    <w:p w14:paraId="0A8C05FA" w14:textId="77777777" w:rsidR="0068777C" w:rsidRPr="00256982" w:rsidRDefault="0068777C" w:rsidP="0068777C">
      <w:pPr>
        <w:pStyle w:val="Figure"/>
      </w:pPr>
      <w:bookmarkStart w:id="479" w:name="_Toc507158462"/>
      <w:bookmarkStart w:id="480" w:name="_Toc511116955"/>
      <w:bookmarkStart w:id="481" w:name="_Toc5269685"/>
      <w:r w:rsidRPr="00256982">
        <w:lastRenderedPageBreak/>
        <w:t xml:space="preserve">Figure 5.1.3a </w:t>
      </w:r>
      <w:r w:rsidRPr="00256982">
        <w:tab/>
        <w:t>Populations of New Zealand’s dairy cattle, non-dairy cattle and deer from 1990 to 2017 (June year ending)</w:t>
      </w:r>
      <w:bookmarkEnd w:id="479"/>
      <w:bookmarkEnd w:id="480"/>
      <w:bookmarkEnd w:id="481"/>
      <w:r w:rsidRPr="00256982">
        <w:t xml:space="preserve"> </w:t>
      </w:r>
    </w:p>
    <w:p w14:paraId="38CE06C3" w14:textId="4EAD10C2" w:rsidR="0068777C" w:rsidRPr="00256982" w:rsidRDefault="00590491" w:rsidP="0068777C">
      <w:r>
        <w:rPr>
          <w:lang w:eastAsia="en-NZ"/>
        </w:rPr>
        <w:pict w14:anchorId="3F3F21DB">
          <v:shape id="_x0000_i1072" type="#_x0000_t75" style="width:426pt;height:281.25pt;visibility:visible" o:gfxdata="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">
            <v:imagedata r:id="rId92" o:title="" croptop="2574f"/>
            <o:lock v:ext="edit" aspectratio="f"/>
          </v:shape>
        </w:pict>
      </w:r>
    </w:p>
    <w:p w14:paraId="52E6307E" w14:textId="77777777" w:rsidR="0068777C" w:rsidRPr="00256982" w:rsidRDefault="0068777C" w:rsidP="00DF3C07">
      <w:pPr>
        <w:pStyle w:val="Source"/>
        <w:spacing w:after="120"/>
      </w:pPr>
      <w:r w:rsidRPr="00256982">
        <w:rPr>
          <w:b/>
        </w:rPr>
        <w:t xml:space="preserve">Source: </w:t>
      </w:r>
      <w:r w:rsidRPr="00256982">
        <w:t>Statistics New Zealand</w:t>
      </w:r>
    </w:p>
    <w:p w14:paraId="63DF40D1" w14:textId="77777777" w:rsidR="0068777C" w:rsidRPr="00256982" w:rsidRDefault="0068777C" w:rsidP="0068777C">
      <w:pPr>
        <w:pStyle w:val="Figure"/>
      </w:pPr>
      <w:bookmarkStart w:id="482" w:name="_Toc507158463"/>
      <w:bookmarkStart w:id="483" w:name="_Toc511116956"/>
      <w:bookmarkStart w:id="484" w:name="_Toc5269686"/>
      <w:r w:rsidRPr="00256982">
        <w:t xml:space="preserve">Figure 5.1.3b </w:t>
      </w:r>
      <w:r w:rsidRPr="00256982">
        <w:tab/>
        <w:t>Population of New Zealand’s sheep from 1990 to 2017 (June year ending)</w:t>
      </w:r>
      <w:bookmarkEnd w:id="482"/>
      <w:bookmarkEnd w:id="483"/>
      <w:bookmarkEnd w:id="484"/>
    </w:p>
    <w:bookmarkStart w:id="485" w:name="_Toc507158464"/>
    <w:bookmarkEnd w:id="485"/>
    <w:bookmarkStart w:id="486" w:name="_MON_1606658241"/>
    <w:bookmarkEnd w:id="486"/>
    <w:p w14:paraId="06C6731D" w14:textId="77777777" w:rsidR="0068777C" w:rsidRPr="00256982" w:rsidRDefault="0068777C" w:rsidP="0068777C">
      <w:pPr>
        <w:pStyle w:val="BodyText"/>
        <w:spacing w:before="60" w:after="0"/>
      </w:pPr>
      <w:r w:rsidRPr="00256982">
        <w:object w:dxaOrig="8505" w:dyaOrig="4530" w14:anchorId="24EC8C36">
          <v:shape id="_x0000_i1073" type="#_x0000_t75" style="width:426pt;height:225pt" o:ole="">
            <v:imagedata r:id="rId93" o:title="" cropbottom="-29f"/>
            <o:lock v:ext="edit" aspectratio="f"/>
          </v:shape>
          <o:OLEObject Type="Embed" ProgID="Excel.Sheet.8" ShapeID="_x0000_i1073" DrawAspect="Content" ObjectID="_1616241195" r:id="rId94">
            <o:FieldCodes>\s</o:FieldCodes>
          </o:OLEObject>
        </w:object>
      </w:r>
      <w:bookmarkStart w:id="487" w:name="_MON_1606658001"/>
      <w:bookmarkEnd w:id="487"/>
    </w:p>
    <w:p w14:paraId="063AC334" w14:textId="77777777" w:rsidR="0068777C" w:rsidRPr="00256982" w:rsidRDefault="0068777C" w:rsidP="0068777C">
      <w:pPr>
        <w:pStyle w:val="Source"/>
      </w:pPr>
      <w:bookmarkStart w:id="488" w:name="_Toc507158465"/>
      <w:r w:rsidRPr="00256982">
        <w:rPr>
          <w:b/>
        </w:rPr>
        <w:t>Source:</w:t>
      </w:r>
      <w:r w:rsidRPr="00256982">
        <w:t xml:space="preserve"> Statistics New Zealand</w:t>
      </w:r>
      <w:bookmarkEnd w:id="488"/>
      <w:r w:rsidRPr="00256982">
        <w:t xml:space="preserve"> </w:t>
      </w:r>
    </w:p>
    <w:p w14:paraId="175F670D" w14:textId="77777777" w:rsidR="0068777C" w:rsidRPr="00256982" w:rsidRDefault="0068777C" w:rsidP="0068777C">
      <w:pPr>
        <w:pStyle w:val="Heading5"/>
        <w:spacing w:before="360"/>
        <w:rPr>
          <w:b/>
        </w:rPr>
      </w:pPr>
      <w:r w:rsidRPr="00256982">
        <w:lastRenderedPageBreak/>
        <w:t>Effect of productivity improvements, climatic events and commodity prices on i</w:t>
      </w:r>
      <w:r w:rsidRPr="00256982">
        <w:rPr>
          <w:bCs w:val="0"/>
          <w:iCs w:val="0"/>
        </w:rPr>
        <w:t>mplied</w:t>
      </w:r>
      <w:r w:rsidRPr="00256982">
        <w:t> emission factors</w:t>
      </w:r>
    </w:p>
    <w:p w14:paraId="42012A4D" w14:textId="77777777" w:rsidR="0068777C" w:rsidRPr="00256982" w:rsidRDefault="0068777C" w:rsidP="00DF3C07">
      <w:pPr>
        <w:pStyle w:val="BodyText"/>
      </w:pPr>
      <w:r w:rsidRPr="00256982">
        <w:t>There has been a gradual increase in the implied CH</w:t>
      </w:r>
      <w:r w:rsidRPr="00256982">
        <w:rPr>
          <w:vertAlign w:val="subscript"/>
        </w:rPr>
        <w:t>4</w:t>
      </w:r>
      <w:r w:rsidRPr="00256982">
        <w:t xml:space="preserve"> and N</w:t>
      </w:r>
      <w:r w:rsidRPr="00256982">
        <w:rPr>
          <w:vertAlign w:val="subscript"/>
        </w:rPr>
        <w:t>2</w:t>
      </w:r>
      <w:r w:rsidRPr="00256982">
        <w:t>O emission factors</w:t>
      </w:r>
      <w:r w:rsidRPr="00256982">
        <w:rPr>
          <w:rStyle w:val="FootnoteReference"/>
        </w:rPr>
        <w:footnoteReference w:id="32"/>
      </w:r>
      <w:r w:rsidRPr="00256982">
        <w:t xml:space="preserve"> per head of the major livestock species farmed in New Zealand. This trend reflects the increased levels of productivity (milk and meat yield per head) achieved by New Zealand farmers between 1990 and 2017. Increases in animal liveweight and milk yield per animal require increased feed intake per animal to meet higher energy demands, which results in higher CH</w:t>
      </w:r>
      <w:r w:rsidRPr="00256982">
        <w:rPr>
          <w:vertAlign w:val="subscript"/>
        </w:rPr>
        <w:t>4</w:t>
      </w:r>
      <w:r w:rsidRPr="00256982">
        <w:t xml:space="preserve"> and N</w:t>
      </w:r>
      <w:r w:rsidRPr="00256982">
        <w:rPr>
          <w:vertAlign w:val="subscript"/>
        </w:rPr>
        <w:t>2</w:t>
      </w:r>
      <w:r w:rsidRPr="00256982">
        <w:t>O emissions per animal (i.e., higher implied emission factors (IEFs)). Since 1990, emissions per unit of product (emissions intensity) have decreased.</w:t>
      </w:r>
    </w:p>
    <w:p w14:paraId="41C097E0" w14:textId="77777777" w:rsidR="0068777C" w:rsidRPr="00256982" w:rsidRDefault="0068777C" w:rsidP="0068777C">
      <w:pPr>
        <w:pStyle w:val="BodyText"/>
      </w:pPr>
      <w:r w:rsidRPr="00256982">
        <w:t xml:space="preserve">The use of year-round extensive outdoor pastoral grazing systems means New Zealand production is dependent on how much pasture can be grown on land managed by farmers. Pasture growth is strongly influenced by weather and climatic events, such as droughts and floods, and changes in commodity prices. These factors can cause large changes in per-animal productivity and mean that IEFs can be noticeably different in adjacent years. In 2008, a nationwide drought affected both livestock numbers and animal performance, resulting in lower livestock emissions, which are reflected in overall agricultural emissions (see figure 5.1.1). The livestock population and IEFs started to increase after the drought, once seasonal growing conditions improved. </w:t>
      </w:r>
    </w:p>
    <w:p w14:paraId="148F464B" w14:textId="5BF0EDAA" w:rsidR="0068777C" w:rsidRPr="00256982" w:rsidRDefault="0068777C" w:rsidP="0068777C">
      <w:pPr>
        <w:pStyle w:val="BodyText"/>
      </w:pPr>
      <w:r w:rsidRPr="00256982">
        <w:t>Figure 5.1.4 overlays milk production per dairy cow with the implied enteric fermentation emission factors for dairy cattle from 1990 to 2017. The figure shows that, while per cow productivity has trended upward, there is a significant amount of inter-annual variability, which</w:t>
      </w:r>
      <w:r w:rsidR="004B5E70" w:rsidRPr="00256982">
        <w:t> </w:t>
      </w:r>
      <w:r w:rsidRPr="00256982">
        <w:t>is influenced by climatic conditions. It also shows that the IEFs are affected by these changes in productivity.</w:t>
      </w:r>
    </w:p>
    <w:p w14:paraId="57885D86" w14:textId="6E9553D7" w:rsidR="0068777C" w:rsidRPr="00256982" w:rsidRDefault="0068777C" w:rsidP="0068777C">
      <w:pPr>
        <w:pStyle w:val="Figure"/>
      </w:pPr>
      <w:bookmarkStart w:id="489" w:name="_Toc507158466"/>
      <w:bookmarkStart w:id="490" w:name="_Toc511116957"/>
      <w:bookmarkStart w:id="491" w:name="_Toc5269687"/>
      <w:r w:rsidRPr="00256982">
        <w:t>Figure 5.1.4</w:t>
      </w:r>
      <w:r w:rsidRPr="00256982">
        <w:tab/>
        <w:t>Dairy milk productivity and implied enteric fermentation emission factors for dairy cows from</w:t>
      </w:r>
      <w:r w:rsidR="00DF3C07" w:rsidRPr="00256982">
        <w:t> </w:t>
      </w:r>
      <w:r w:rsidRPr="00256982">
        <w:t>1990 to 2017</w:t>
      </w:r>
      <w:bookmarkEnd w:id="489"/>
      <w:bookmarkEnd w:id="490"/>
      <w:bookmarkEnd w:id="491"/>
    </w:p>
    <w:p w14:paraId="2578B2F3" w14:textId="245F51A9" w:rsidR="0068777C" w:rsidRPr="00256982" w:rsidRDefault="00590491" w:rsidP="0068777C">
      <w:pPr>
        <w:pStyle w:val="BodyText"/>
        <w:spacing w:before="60" w:after="0"/>
      </w:pPr>
      <w:r>
        <w:rPr>
          <w:lang w:eastAsia="en-NZ"/>
        </w:rPr>
        <w:pict w14:anchorId="0D434388">
          <v:shape id="Chart 60" o:spid="_x0000_i1074" type="#_x0000_t75" style="width:420.75pt;height:265.5pt;visibility:visible" o:gfxdata="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">
            <v:imagedata r:id="rId95" o:title="" croptop="1135f"/>
            <o:lock v:ext="edit" aspectratio="f"/>
          </v:shape>
        </w:pict>
      </w:r>
      <w:r w:rsidR="0068777C" w:rsidRPr="00256982" w:rsidDel="003545A0">
        <w:t xml:space="preserve"> </w:t>
      </w:r>
    </w:p>
    <w:p w14:paraId="2275E2E1" w14:textId="77777777" w:rsidR="0068777C" w:rsidRPr="00256982" w:rsidRDefault="0068777C" w:rsidP="00133C9D">
      <w:pPr>
        <w:pStyle w:val="Noteundertable"/>
      </w:pPr>
      <w:r w:rsidRPr="00256982">
        <w:rPr>
          <w:b/>
        </w:rPr>
        <w:t>Note:</w:t>
      </w:r>
      <w:r w:rsidRPr="00256982">
        <w:t xml:space="preserve"> </w:t>
      </w:r>
      <w:r w:rsidRPr="00256982">
        <w:tab/>
        <w:t>Milk production per cow is calculated by dividing total milk production by dairy cattle population (excluding replacements and breeding bulls).</w:t>
      </w:r>
    </w:p>
    <w:p w14:paraId="1F8D99F9" w14:textId="77777777" w:rsidR="0068777C" w:rsidRPr="00256982" w:rsidRDefault="0068777C" w:rsidP="0068777C">
      <w:pPr>
        <w:pStyle w:val="BodyText"/>
      </w:pPr>
      <w:r w:rsidRPr="00256982">
        <w:lastRenderedPageBreak/>
        <w:t>Figure 5.1.5 overlays data on the average heifer carcass weight with the implied enteric fermentation emission factors for beef cattle for each year from 1990 to 2017. The figure shows that changes in carcass weights fluctuate with changes in the enteric fermentation IEFs.</w:t>
      </w:r>
    </w:p>
    <w:p w14:paraId="16589CD5" w14:textId="7EFDE4B3" w:rsidR="0068777C" w:rsidRPr="00256982" w:rsidRDefault="0068777C" w:rsidP="0068777C">
      <w:pPr>
        <w:pStyle w:val="Figure"/>
      </w:pPr>
      <w:bookmarkStart w:id="492" w:name="_Toc507158467"/>
      <w:bookmarkStart w:id="493" w:name="_Toc511116958"/>
      <w:bookmarkStart w:id="494" w:name="_Toc5269688"/>
      <w:r w:rsidRPr="00256982">
        <w:t>Figure 5.1.5</w:t>
      </w:r>
      <w:r w:rsidRPr="00256982">
        <w:tab/>
        <w:t>Heifer carcass weights and implied enteric fermentation emission factors for beef cattle from</w:t>
      </w:r>
      <w:r w:rsidR="00133C9D" w:rsidRPr="00256982">
        <w:t> </w:t>
      </w:r>
      <w:r w:rsidRPr="00256982">
        <w:t>1990 to 201</w:t>
      </w:r>
      <w:bookmarkEnd w:id="492"/>
      <w:bookmarkEnd w:id="493"/>
      <w:r w:rsidRPr="00256982">
        <w:t>7</w:t>
      </w:r>
      <w:bookmarkEnd w:id="494"/>
    </w:p>
    <w:p w14:paraId="608553C5" w14:textId="776BDFDA" w:rsidR="0068777C" w:rsidRPr="00256982" w:rsidRDefault="00590491" w:rsidP="0068777C">
      <w:pPr>
        <w:spacing w:after="120"/>
      </w:pPr>
      <w:r>
        <w:rPr>
          <w:lang w:eastAsia="en-NZ"/>
        </w:rPr>
        <w:pict w14:anchorId="4B894749">
          <v:shape id="Chart 61" o:spid="_x0000_i1075" type="#_x0000_t75" style="width:420.75pt;height:262.5pt;visibility:visible" o:gfxdata="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">
            <v:imagedata r:id="rId96" o:title="" croptop="1134f"/>
            <o:lock v:ext="edit" aspectratio="f"/>
          </v:shape>
        </w:pict>
      </w:r>
      <w:r w:rsidR="0068777C" w:rsidRPr="00256982" w:rsidDel="00717CFA">
        <w:t xml:space="preserve"> </w:t>
      </w:r>
    </w:p>
    <w:p w14:paraId="75EB95D6" w14:textId="77777777" w:rsidR="0068777C" w:rsidRPr="00256982" w:rsidRDefault="0068777C" w:rsidP="0068777C">
      <w:pPr>
        <w:pStyle w:val="BodyText"/>
      </w:pPr>
      <w:r w:rsidRPr="00256982">
        <w:t>Figure 5.1.6 overlays data on the average adult ewe carcass weight (excluding hoggets and rams) with the enteric fermentation IEFs for sheep for each year from 1990 to 2017. The figure shows there is a large amount of inter-annual variability in IEF values and carcass weights, reflecting variability in climate. Changes in carcass weights fluctuate with changes in the enteric fermentation IEF.</w:t>
      </w:r>
    </w:p>
    <w:p w14:paraId="69E03ACF" w14:textId="77777777" w:rsidR="0068777C" w:rsidRPr="00256982" w:rsidRDefault="0068777C" w:rsidP="0068777C">
      <w:pPr>
        <w:pStyle w:val="Figure"/>
      </w:pPr>
      <w:bookmarkStart w:id="495" w:name="_Toc507158468"/>
      <w:bookmarkStart w:id="496" w:name="_Toc511116959"/>
      <w:bookmarkStart w:id="497" w:name="_Toc5269689"/>
      <w:r w:rsidRPr="00256982">
        <w:t>Figure 5.1.6</w:t>
      </w:r>
      <w:r w:rsidRPr="00256982">
        <w:tab/>
        <w:t>Sheep carcass weights and implied enteric fermentation emission factors for sheep from 1990 to 201</w:t>
      </w:r>
      <w:bookmarkEnd w:id="495"/>
      <w:bookmarkEnd w:id="496"/>
      <w:r w:rsidRPr="00256982">
        <w:t>7</w:t>
      </w:r>
      <w:bookmarkEnd w:id="497"/>
      <w:r w:rsidRPr="00256982">
        <w:t xml:space="preserve"> </w:t>
      </w:r>
    </w:p>
    <w:p w14:paraId="5A3D1201" w14:textId="15DB491F" w:rsidR="0068777C" w:rsidRPr="00256982" w:rsidRDefault="00590491" w:rsidP="0068777C">
      <w:pPr>
        <w:jc w:val="center"/>
      </w:pPr>
      <w:r>
        <w:rPr>
          <w:lang w:eastAsia="en-NZ"/>
        </w:rPr>
        <w:pict w14:anchorId="55DCF28C">
          <v:shape id="Chart 62" o:spid="_x0000_i1076" type="#_x0000_t75" style="width:414pt;height:249pt;visibility:visible" o:gfxdata="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">
            <v:imagedata r:id="rId97" o:title="" croptop="1946f" cropbottom="3081f"/>
            <o:lock v:ext="edit" aspectratio="f"/>
          </v:shape>
        </w:pict>
      </w:r>
      <w:r w:rsidR="0068777C" w:rsidRPr="00256982" w:rsidDel="007565B8">
        <w:t xml:space="preserve"> </w:t>
      </w:r>
    </w:p>
    <w:p w14:paraId="73E8A566" w14:textId="77777777" w:rsidR="0068777C" w:rsidRPr="00256982" w:rsidRDefault="0068777C" w:rsidP="0068777C">
      <w:pPr>
        <w:pStyle w:val="Heading5"/>
      </w:pPr>
      <w:r w:rsidRPr="00256982">
        <w:lastRenderedPageBreak/>
        <w:t>Land used for agriculture</w:t>
      </w:r>
    </w:p>
    <w:p w14:paraId="3F1E2F9E" w14:textId="77777777" w:rsidR="0068777C" w:rsidRPr="00256982" w:rsidRDefault="0068777C" w:rsidP="0068777C">
      <w:pPr>
        <w:pStyle w:val="BodyText"/>
        <w:spacing w:after="100"/>
        <w:rPr>
          <w:strike/>
        </w:rPr>
      </w:pPr>
      <w:r w:rsidRPr="00256982">
        <w:t xml:space="preserve">Agriculture and horticulture activities (excluding forestry) use 45.2 per cent of New Zealand’s land area, which is mostly used for grazing livestock. Since 1990, the area used for sheep, beef and deer grazing has decreased by 30.6 per cent while the area used for dairy grazing has increased by 68.0 per cent (Statistics New Zealand, 2018c). </w:t>
      </w:r>
    </w:p>
    <w:p w14:paraId="04159A17" w14:textId="77777777" w:rsidR="0068777C" w:rsidRPr="00256982" w:rsidRDefault="0068777C" w:rsidP="0068777C">
      <w:pPr>
        <w:pStyle w:val="Heading5"/>
      </w:pPr>
      <w:r w:rsidRPr="00256982">
        <w:rPr>
          <w:rFonts w:cs="Arial"/>
        </w:rPr>
        <w:t>Nitrogen</w:t>
      </w:r>
      <w:r w:rsidRPr="00256982">
        <w:rPr>
          <w:rFonts w:ascii="Times New Roman" w:hAnsi="Times New Roman"/>
        </w:rPr>
        <w:t xml:space="preserve"> </w:t>
      </w:r>
      <w:r w:rsidRPr="00256982">
        <w:t>fertiliser use</w:t>
      </w:r>
    </w:p>
    <w:p w14:paraId="4BC52817" w14:textId="77777777" w:rsidR="0068777C" w:rsidRPr="00256982" w:rsidRDefault="0068777C" w:rsidP="0068777C">
      <w:pPr>
        <w:pStyle w:val="BodyText"/>
        <w:spacing w:after="100"/>
      </w:pPr>
      <w:r w:rsidRPr="00256982">
        <w:t>Synthetic nitrogen fertiliser applied to agricultural land has increased by approximately 650 per cent since 1990. In 1990 and 2017 respectively, 0.8 per cent and 4.3 per cent of agricultural emissions originated from N</w:t>
      </w:r>
      <w:r w:rsidRPr="00256982">
        <w:rPr>
          <w:vertAlign w:val="subscript"/>
        </w:rPr>
        <w:t>2</w:t>
      </w:r>
      <w:r w:rsidRPr="00256982">
        <w:t>O from synthetic nitrogen fertiliser, and 0.1 per cent and 1.5 per cent came from carbon dioxide (CO</w:t>
      </w:r>
      <w:r w:rsidRPr="00256982">
        <w:rPr>
          <w:vertAlign w:val="subscript"/>
        </w:rPr>
        <w:t>2</w:t>
      </w:r>
      <w:r w:rsidRPr="00256982">
        <w:t xml:space="preserve">) from synthetic urea fertiliser. Total emissions from synthetic nitrogen fertiliser (including urea) have increased from 0.9 per cent to 5.8 per cent of agricultural emissions. </w:t>
      </w:r>
    </w:p>
    <w:p w14:paraId="659FDBFC" w14:textId="77777777" w:rsidR="0068777C" w:rsidRPr="00256982" w:rsidRDefault="0068777C" w:rsidP="00A72006">
      <w:pPr>
        <w:pStyle w:val="Heading4"/>
      </w:pPr>
      <w:r w:rsidRPr="00256982">
        <w:t xml:space="preserve">Changes in emissions between 2016 and 2017 </w:t>
      </w:r>
    </w:p>
    <w:p w14:paraId="40C74663" w14:textId="77777777" w:rsidR="0068777C" w:rsidRPr="00256982" w:rsidRDefault="0068777C" w:rsidP="0068777C">
      <w:pPr>
        <w:pStyle w:val="BodyText"/>
        <w:spacing w:after="100"/>
      </w:pPr>
      <w:r w:rsidRPr="00256982">
        <w:t>Total agricultural emissions in 2017 were 45.1 kt CO</w:t>
      </w:r>
      <w:r w:rsidRPr="00256982">
        <w:rPr>
          <w:vertAlign w:val="subscript"/>
        </w:rPr>
        <w:t>2</w:t>
      </w:r>
      <w:r w:rsidRPr="00256982">
        <w:t>-e (0.1 per cent) lower than 2016 emissions, as a decrease in emissions from sheep was offset by an increase in emissions from non-dairy cattle.</w:t>
      </w:r>
    </w:p>
    <w:p w14:paraId="37E416C3" w14:textId="4CC99B74" w:rsidR="0068777C" w:rsidRPr="00256982" w:rsidRDefault="0068777C" w:rsidP="0068777C">
      <w:pPr>
        <w:pStyle w:val="BodyText"/>
        <w:spacing w:after="100"/>
      </w:pPr>
      <w:r w:rsidRPr="00256982">
        <w:t>Emissions from sheep decreased by 89.9 kt CO</w:t>
      </w:r>
      <w:r w:rsidRPr="00256982">
        <w:rPr>
          <w:vertAlign w:val="subscript"/>
        </w:rPr>
        <w:t>2</w:t>
      </w:r>
      <w:r w:rsidRPr="00256982">
        <w:t>-e (0.9 per cent), from 10,378.4 kt CO</w:t>
      </w:r>
      <w:r w:rsidRPr="00256982">
        <w:rPr>
          <w:vertAlign w:val="subscript"/>
        </w:rPr>
        <w:t>2</w:t>
      </w:r>
      <w:r w:rsidRPr="00256982">
        <w:t>-e in 2016 to 10,288.5 kt CO</w:t>
      </w:r>
      <w:r w:rsidRPr="00256982">
        <w:rPr>
          <w:vertAlign w:val="subscript"/>
        </w:rPr>
        <w:t>2</w:t>
      </w:r>
      <w:r w:rsidRPr="00256982">
        <w:t>-e in 2017. The sheep population fell by 113,125 animals in 2017 (0.4</w:t>
      </w:r>
      <w:r w:rsidR="0064442E" w:rsidRPr="00256982">
        <w:t> </w:t>
      </w:r>
      <w:r w:rsidRPr="00256982">
        <w:t>per cent).</w:t>
      </w:r>
    </w:p>
    <w:p w14:paraId="444A05AA" w14:textId="77777777" w:rsidR="0068777C" w:rsidRPr="00256982" w:rsidRDefault="0068777C" w:rsidP="0068777C">
      <w:pPr>
        <w:pStyle w:val="BodyText"/>
      </w:pPr>
      <w:r w:rsidRPr="00256982">
        <w:t>Emissions from non-dairy (beef) cattle increased by 88.6 kt CO</w:t>
      </w:r>
      <w:r w:rsidRPr="00256982">
        <w:rPr>
          <w:vertAlign w:val="subscript"/>
        </w:rPr>
        <w:t>2</w:t>
      </w:r>
      <w:r w:rsidRPr="00256982">
        <w:t>-e (1.4 per cent) in 2017, as the non-dairy cattle population increased by 75,883 animals (2.1 per cent).</w:t>
      </w:r>
      <w:r w:rsidRPr="00256982" w:rsidDel="00136196">
        <w:t xml:space="preserve"> </w:t>
      </w:r>
    </w:p>
    <w:p w14:paraId="66C827E4" w14:textId="77777777" w:rsidR="0068777C" w:rsidRPr="00256982" w:rsidRDefault="0068777C" w:rsidP="0068777C">
      <w:pPr>
        <w:pStyle w:val="BodyText"/>
        <w:spacing w:after="100"/>
      </w:pPr>
      <w:r w:rsidRPr="00256982">
        <w:t>Emissions from dairy cattle decreased by 32.5 kt CO</w:t>
      </w:r>
      <w:r w:rsidRPr="00256982">
        <w:rPr>
          <w:vertAlign w:val="subscript"/>
        </w:rPr>
        <w:t>2</w:t>
      </w:r>
      <w:r w:rsidRPr="00256982">
        <w:t>-e (0.2 per cent), from 18,231.7 kt CO</w:t>
      </w:r>
      <w:r w:rsidRPr="00256982">
        <w:rPr>
          <w:vertAlign w:val="subscript"/>
        </w:rPr>
        <w:t>2</w:t>
      </w:r>
      <w:r w:rsidRPr="00256982">
        <w:t>-e in 2016 to 18,199.1 kt CO</w:t>
      </w:r>
      <w:r w:rsidRPr="00256982">
        <w:rPr>
          <w:vertAlign w:val="subscript"/>
        </w:rPr>
        <w:t>2</w:t>
      </w:r>
      <w:r w:rsidRPr="00256982">
        <w:t xml:space="preserve">-e in 2017. The size of the national dairy herd decreased between 2016 and 2017 by 96,510 animals (1.5 per cent), although total milk production was slightly higher (0.1 per cent) (LIC and DairyNZ, 2018). </w:t>
      </w:r>
    </w:p>
    <w:p w14:paraId="27AF4D91" w14:textId="77777777" w:rsidR="0068777C" w:rsidRPr="00256982" w:rsidRDefault="0068777C" w:rsidP="0068777C">
      <w:pPr>
        <w:pStyle w:val="BodyText"/>
      </w:pPr>
      <w:r w:rsidRPr="00256982">
        <w:t>Emissions from liming fell by 54.8 kt CO</w:t>
      </w:r>
      <w:r w:rsidRPr="00256982">
        <w:rPr>
          <w:vertAlign w:val="subscript"/>
        </w:rPr>
        <w:t>2</w:t>
      </w:r>
      <w:r w:rsidRPr="00256982">
        <w:t>-e (10.7 per cent) in 2017, due to a large decrease (217,102 tonnes (27 percent)) in the use of limestone.</w:t>
      </w:r>
    </w:p>
    <w:p w14:paraId="0B3F7132" w14:textId="77777777" w:rsidR="0068777C" w:rsidRPr="00256982" w:rsidRDefault="0068777C" w:rsidP="0068777C">
      <w:pPr>
        <w:pStyle w:val="BodyText"/>
      </w:pPr>
      <w:r w:rsidRPr="00256982">
        <w:t>In 2017, N</w:t>
      </w:r>
      <w:r w:rsidRPr="00256982">
        <w:rPr>
          <w:vertAlign w:val="subscript"/>
        </w:rPr>
        <w:t>2</w:t>
      </w:r>
      <w:r w:rsidRPr="00256982">
        <w:t>O emissions from synthetic nitrogen fertiliser increased by 39.5 kt CO</w:t>
      </w:r>
      <w:r w:rsidRPr="00256982">
        <w:rPr>
          <w:vertAlign w:val="subscript"/>
        </w:rPr>
        <w:t>2</w:t>
      </w:r>
      <w:r w:rsidRPr="00256982">
        <w:t>-e (2.4 per cent). Carbon dioxide emissions from urea use fell by 13.9 kt CO</w:t>
      </w:r>
      <w:r w:rsidRPr="00256982">
        <w:rPr>
          <w:vertAlign w:val="subscript"/>
        </w:rPr>
        <w:t>2</w:t>
      </w:r>
      <w:r w:rsidRPr="00256982">
        <w:t>-e (2.4 per cent).</w:t>
      </w:r>
    </w:p>
    <w:p w14:paraId="1BE64383" w14:textId="77777777" w:rsidR="0068777C" w:rsidRPr="00256982" w:rsidRDefault="0068777C" w:rsidP="0068777C">
      <w:pPr>
        <w:pStyle w:val="Heading3"/>
        <w:rPr>
          <w:b w:val="0"/>
        </w:rPr>
      </w:pPr>
      <w:r w:rsidRPr="00256982">
        <w:t xml:space="preserve">5.1.2 </w:t>
      </w:r>
      <w:r w:rsidRPr="00256982">
        <w:tab/>
        <w:t xml:space="preserve">Key categories for Agriculture sector emissions </w:t>
      </w:r>
    </w:p>
    <w:p w14:paraId="6BB8C2D7" w14:textId="77777777" w:rsidR="0068777C" w:rsidRPr="00256982" w:rsidRDefault="0068777C" w:rsidP="0068777C">
      <w:pPr>
        <w:pStyle w:val="BodyText"/>
      </w:pPr>
      <w:r w:rsidRPr="00256982">
        <w:t xml:space="preserve">Details of New Zealand’s analysis of key categories are in chapter 1, section 1.5. The key categories in the Agriculture sector are listed in table 5.1.2. </w:t>
      </w:r>
    </w:p>
    <w:p w14:paraId="2A17B289" w14:textId="77777777" w:rsidR="0068777C" w:rsidRPr="00256982" w:rsidRDefault="0068777C" w:rsidP="0068777C">
      <w:pPr>
        <w:pStyle w:val="Table"/>
      </w:pPr>
      <w:bookmarkStart w:id="498" w:name="_Toc481751507"/>
      <w:bookmarkStart w:id="499" w:name="_Toc507158597"/>
      <w:bookmarkStart w:id="500" w:name="_Toc511116731"/>
      <w:bookmarkStart w:id="501" w:name="_Toc5269471"/>
      <w:r w:rsidRPr="00256982">
        <w:t xml:space="preserve">Table 5.1.2 </w:t>
      </w:r>
      <w:r w:rsidRPr="00256982">
        <w:tab/>
        <w:t>Key categories in the Agriculture sector</w:t>
      </w:r>
      <w:bookmarkEnd w:id="498"/>
      <w:bookmarkEnd w:id="499"/>
      <w:bookmarkEnd w:id="500"/>
      <w:bookmarkEnd w:id="501"/>
    </w:p>
    <w:tbl>
      <w:tblPr>
        <w:tblW w:w="8562" w:type="dxa"/>
        <w:tblInd w:w="108" w:type="dxa"/>
        <w:tblBorders>
          <w:top w:val="single" w:sz="4" w:space="0" w:color="365F91"/>
          <w:bottom w:val="single" w:sz="4" w:space="0" w:color="365F91"/>
          <w:insideH w:val="single" w:sz="4" w:space="0" w:color="365F91"/>
        </w:tblBorders>
        <w:tblLook w:val="04A0" w:firstRow="1" w:lastRow="0" w:firstColumn="1" w:lastColumn="0" w:noHBand="0" w:noVBand="1"/>
      </w:tblPr>
      <w:tblGrid>
        <w:gridCol w:w="1284"/>
        <w:gridCol w:w="5137"/>
        <w:gridCol w:w="858"/>
        <w:gridCol w:w="1283"/>
      </w:tblGrid>
      <w:tr w:rsidR="0068777C" w:rsidRPr="00256982" w14:paraId="63648399" w14:textId="77777777" w:rsidTr="0064442E">
        <w:trPr>
          <w:trHeight w:val="462"/>
          <w:tblHeader/>
        </w:trPr>
        <w:tc>
          <w:tcPr>
            <w:tcW w:w="750" w:type="pct"/>
            <w:tcBorders>
              <w:top w:val="single" w:sz="4" w:space="0" w:color="365F91"/>
              <w:left w:val="nil"/>
              <w:bottom w:val="single" w:sz="4" w:space="0" w:color="365F91"/>
              <w:right w:val="nil"/>
            </w:tcBorders>
            <w:shd w:val="clear" w:color="000000" w:fill="365F91"/>
            <w:vAlign w:val="bottom"/>
          </w:tcPr>
          <w:p w14:paraId="6A28F221" w14:textId="77777777" w:rsidR="0068777C" w:rsidRPr="00256982" w:rsidRDefault="0068777C" w:rsidP="0068777C">
            <w:pPr>
              <w:pStyle w:val="TableTextBold"/>
              <w:keepNext/>
              <w:rPr>
                <w:noProof w:val="0"/>
                <w:color w:val="FFFFFF"/>
              </w:rPr>
            </w:pPr>
            <w:r w:rsidRPr="00256982">
              <w:rPr>
                <w:noProof w:val="0"/>
                <w:color w:val="FFFFFF"/>
              </w:rPr>
              <w:t>CRF category code</w:t>
            </w:r>
          </w:p>
        </w:tc>
        <w:tc>
          <w:tcPr>
            <w:tcW w:w="3000" w:type="pct"/>
            <w:tcBorders>
              <w:top w:val="single" w:sz="4" w:space="0" w:color="365F91"/>
              <w:left w:val="nil"/>
              <w:bottom w:val="single" w:sz="4" w:space="0" w:color="365F91"/>
              <w:right w:val="nil"/>
            </w:tcBorders>
            <w:shd w:val="clear" w:color="000000" w:fill="365F91"/>
            <w:vAlign w:val="bottom"/>
          </w:tcPr>
          <w:p w14:paraId="3FDDDD51" w14:textId="77777777" w:rsidR="0068777C" w:rsidRPr="00256982" w:rsidRDefault="0068777C" w:rsidP="0068777C">
            <w:pPr>
              <w:pStyle w:val="TableTextBold"/>
              <w:rPr>
                <w:noProof w:val="0"/>
                <w:color w:val="FFFFFF"/>
              </w:rPr>
            </w:pPr>
            <w:r w:rsidRPr="00256982">
              <w:rPr>
                <w:noProof w:val="0"/>
                <w:color w:val="FFFFFF"/>
              </w:rPr>
              <w:t>IPCC categories</w:t>
            </w:r>
          </w:p>
        </w:tc>
        <w:tc>
          <w:tcPr>
            <w:tcW w:w="501" w:type="pct"/>
            <w:tcBorders>
              <w:top w:val="single" w:sz="4" w:space="0" w:color="365F91"/>
              <w:left w:val="nil"/>
              <w:bottom w:val="single" w:sz="4" w:space="0" w:color="365F91"/>
              <w:right w:val="nil"/>
            </w:tcBorders>
            <w:shd w:val="clear" w:color="000000" w:fill="365F91"/>
            <w:vAlign w:val="bottom"/>
          </w:tcPr>
          <w:p w14:paraId="3D803389" w14:textId="77777777" w:rsidR="0068777C" w:rsidRPr="00256982" w:rsidRDefault="0068777C" w:rsidP="0068777C">
            <w:pPr>
              <w:pStyle w:val="TableTextBold"/>
              <w:jc w:val="center"/>
              <w:rPr>
                <w:noProof w:val="0"/>
                <w:color w:val="FFFFFF"/>
              </w:rPr>
            </w:pPr>
            <w:r w:rsidRPr="00256982">
              <w:rPr>
                <w:noProof w:val="0"/>
                <w:color w:val="FFFFFF"/>
              </w:rPr>
              <w:t>Gas</w:t>
            </w:r>
          </w:p>
        </w:tc>
        <w:tc>
          <w:tcPr>
            <w:tcW w:w="749" w:type="pct"/>
            <w:tcBorders>
              <w:top w:val="single" w:sz="4" w:space="0" w:color="365F91"/>
              <w:left w:val="nil"/>
              <w:bottom w:val="single" w:sz="4" w:space="0" w:color="365F91"/>
              <w:right w:val="nil"/>
            </w:tcBorders>
            <w:shd w:val="clear" w:color="000000" w:fill="365F91"/>
            <w:vAlign w:val="bottom"/>
          </w:tcPr>
          <w:p w14:paraId="7A45D0B4" w14:textId="77777777" w:rsidR="0068777C" w:rsidRPr="00256982" w:rsidRDefault="0068777C" w:rsidP="0068777C">
            <w:pPr>
              <w:pStyle w:val="TableTextBold"/>
              <w:rPr>
                <w:noProof w:val="0"/>
                <w:color w:val="FFFFFF"/>
              </w:rPr>
            </w:pPr>
            <w:r w:rsidRPr="00256982">
              <w:rPr>
                <w:noProof w:val="0"/>
                <w:color w:val="FFFFFF"/>
              </w:rPr>
              <w:t>Criteria for identification</w:t>
            </w:r>
          </w:p>
        </w:tc>
      </w:tr>
      <w:tr w:rsidR="0068777C" w:rsidRPr="00256982" w14:paraId="3A76E594" w14:textId="77777777" w:rsidTr="0064442E">
        <w:trPr>
          <w:trHeight w:val="250"/>
        </w:trPr>
        <w:tc>
          <w:tcPr>
            <w:tcW w:w="750" w:type="pct"/>
            <w:tcBorders>
              <w:top w:val="single" w:sz="4" w:space="0" w:color="365F91"/>
            </w:tcBorders>
            <w:shd w:val="clear" w:color="auto" w:fill="FFFFFF"/>
          </w:tcPr>
          <w:p w14:paraId="22196850" w14:textId="77777777" w:rsidR="0068777C" w:rsidRPr="00256982" w:rsidRDefault="0068777C" w:rsidP="0068777C">
            <w:pPr>
              <w:pStyle w:val="TableText"/>
              <w:spacing w:before="50" w:after="50"/>
            </w:pPr>
            <w:r w:rsidRPr="00256982">
              <w:rPr>
                <w:rFonts w:cs="Arial"/>
                <w:color w:val="000000"/>
                <w:szCs w:val="16"/>
              </w:rPr>
              <w:t>3.A.1</w:t>
            </w:r>
          </w:p>
        </w:tc>
        <w:tc>
          <w:tcPr>
            <w:tcW w:w="3000" w:type="pct"/>
            <w:tcBorders>
              <w:top w:val="single" w:sz="4" w:space="0" w:color="365F91"/>
            </w:tcBorders>
            <w:shd w:val="clear" w:color="auto" w:fill="FFFFFF"/>
          </w:tcPr>
          <w:p w14:paraId="43C395D6" w14:textId="77777777" w:rsidR="0068777C" w:rsidRPr="00256982" w:rsidRDefault="0068777C" w:rsidP="0068777C">
            <w:pPr>
              <w:pStyle w:val="TableText"/>
              <w:spacing w:before="50" w:after="50"/>
            </w:pPr>
            <w:r w:rsidRPr="00256982">
              <w:rPr>
                <w:rFonts w:cs="Arial"/>
                <w:color w:val="000000"/>
                <w:szCs w:val="16"/>
              </w:rPr>
              <w:t>Option A – Dairy Cattle</w:t>
            </w:r>
          </w:p>
        </w:tc>
        <w:tc>
          <w:tcPr>
            <w:tcW w:w="501" w:type="pct"/>
            <w:tcBorders>
              <w:top w:val="single" w:sz="4" w:space="0" w:color="365F91"/>
            </w:tcBorders>
            <w:shd w:val="clear" w:color="auto" w:fill="FFFFFF"/>
          </w:tcPr>
          <w:p w14:paraId="4158053D" w14:textId="77777777" w:rsidR="0068777C" w:rsidRPr="00256982" w:rsidRDefault="0068777C" w:rsidP="0068777C">
            <w:pPr>
              <w:pStyle w:val="TableText"/>
              <w:spacing w:before="50" w:after="50"/>
              <w:jc w:val="center"/>
            </w:pPr>
            <w:r w:rsidRPr="00256982">
              <w:rPr>
                <w:rFonts w:cs="Arial"/>
                <w:color w:val="000000"/>
                <w:szCs w:val="16"/>
              </w:rPr>
              <w:t>CH</w:t>
            </w:r>
            <w:r w:rsidRPr="00256982">
              <w:rPr>
                <w:rFonts w:cs="Arial"/>
                <w:color w:val="000000"/>
                <w:szCs w:val="16"/>
                <w:vertAlign w:val="subscript"/>
              </w:rPr>
              <w:t>4</w:t>
            </w:r>
          </w:p>
        </w:tc>
        <w:tc>
          <w:tcPr>
            <w:tcW w:w="749" w:type="pct"/>
            <w:tcBorders>
              <w:top w:val="single" w:sz="4" w:space="0" w:color="365F91"/>
            </w:tcBorders>
            <w:shd w:val="clear" w:color="auto" w:fill="FFFFFF"/>
          </w:tcPr>
          <w:p w14:paraId="68CDCE79" w14:textId="77777777" w:rsidR="0068777C" w:rsidRPr="00256982" w:rsidRDefault="0068777C" w:rsidP="0068777C">
            <w:pPr>
              <w:pStyle w:val="TableText"/>
              <w:spacing w:before="50" w:after="50"/>
            </w:pPr>
            <w:r w:rsidRPr="00256982">
              <w:rPr>
                <w:rFonts w:cs="Arial"/>
                <w:color w:val="000000"/>
                <w:szCs w:val="16"/>
              </w:rPr>
              <w:t>L1, T1</w:t>
            </w:r>
          </w:p>
        </w:tc>
      </w:tr>
      <w:tr w:rsidR="0068777C" w:rsidRPr="00256982" w14:paraId="3BD1680E" w14:textId="77777777" w:rsidTr="0064442E">
        <w:tc>
          <w:tcPr>
            <w:tcW w:w="750" w:type="pct"/>
            <w:shd w:val="clear" w:color="auto" w:fill="FFFFFF"/>
          </w:tcPr>
          <w:p w14:paraId="7E522EA3" w14:textId="77777777" w:rsidR="0068777C" w:rsidRPr="00256982" w:rsidRDefault="0068777C" w:rsidP="0068777C">
            <w:pPr>
              <w:pStyle w:val="TableText"/>
              <w:spacing w:before="50" w:after="50"/>
            </w:pPr>
            <w:r w:rsidRPr="00256982">
              <w:rPr>
                <w:rFonts w:cs="Arial"/>
                <w:color w:val="000000"/>
                <w:szCs w:val="16"/>
              </w:rPr>
              <w:t>3.A.1</w:t>
            </w:r>
          </w:p>
        </w:tc>
        <w:tc>
          <w:tcPr>
            <w:tcW w:w="3000" w:type="pct"/>
            <w:shd w:val="clear" w:color="auto" w:fill="FFFFFF"/>
          </w:tcPr>
          <w:p w14:paraId="31D4152F" w14:textId="77777777" w:rsidR="0068777C" w:rsidRPr="00256982" w:rsidRDefault="0068777C" w:rsidP="0068777C">
            <w:pPr>
              <w:pStyle w:val="TableText"/>
              <w:spacing w:before="50" w:after="50"/>
            </w:pPr>
            <w:r w:rsidRPr="00256982">
              <w:rPr>
                <w:rFonts w:cs="Arial"/>
                <w:color w:val="000000"/>
                <w:szCs w:val="16"/>
              </w:rPr>
              <w:t>Option A – Non-Dairy Cattle</w:t>
            </w:r>
          </w:p>
        </w:tc>
        <w:tc>
          <w:tcPr>
            <w:tcW w:w="501" w:type="pct"/>
            <w:shd w:val="clear" w:color="auto" w:fill="FFFFFF"/>
          </w:tcPr>
          <w:p w14:paraId="303D6A31" w14:textId="77777777" w:rsidR="0068777C" w:rsidRPr="00256982" w:rsidRDefault="0068777C" w:rsidP="0068777C">
            <w:pPr>
              <w:pStyle w:val="TableText"/>
              <w:spacing w:before="50" w:after="50"/>
              <w:jc w:val="center"/>
            </w:pPr>
            <w:r w:rsidRPr="00256982">
              <w:rPr>
                <w:rFonts w:cs="Arial"/>
                <w:color w:val="000000"/>
                <w:szCs w:val="16"/>
              </w:rPr>
              <w:t>CH</w:t>
            </w:r>
            <w:r w:rsidRPr="00256982">
              <w:rPr>
                <w:rFonts w:cs="Arial"/>
                <w:color w:val="000000"/>
                <w:szCs w:val="16"/>
                <w:vertAlign w:val="subscript"/>
              </w:rPr>
              <w:t>4</w:t>
            </w:r>
          </w:p>
        </w:tc>
        <w:tc>
          <w:tcPr>
            <w:tcW w:w="749" w:type="pct"/>
            <w:shd w:val="clear" w:color="auto" w:fill="FFFFFF"/>
          </w:tcPr>
          <w:p w14:paraId="3F1FA388" w14:textId="77777777" w:rsidR="0068777C" w:rsidRPr="00256982" w:rsidRDefault="0068777C" w:rsidP="0068777C">
            <w:pPr>
              <w:pStyle w:val="TableText"/>
              <w:spacing w:before="50" w:after="50"/>
            </w:pPr>
            <w:r w:rsidRPr="00256982">
              <w:rPr>
                <w:rFonts w:cs="Arial"/>
                <w:color w:val="000000"/>
                <w:szCs w:val="16"/>
              </w:rPr>
              <w:t>L1, T1</w:t>
            </w:r>
          </w:p>
        </w:tc>
      </w:tr>
      <w:tr w:rsidR="0068777C" w:rsidRPr="00256982" w14:paraId="2BEDDBF2" w14:textId="77777777" w:rsidTr="0064442E">
        <w:tc>
          <w:tcPr>
            <w:tcW w:w="750" w:type="pct"/>
            <w:shd w:val="clear" w:color="auto" w:fill="FFFFFF"/>
          </w:tcPr>
          <w:p w14:paraId="6B91BE25" w14:textId="77777777" w:rsidR="0068777C" w:rsidRPr="00256982" w:rsidRDefault="0068777C" w:rsidP="0068777C">
            <w:pPr>
              <w:pStyle w:val="TableText"/>
              <w:spacing w:before="50" w:after="50"/>
            </w:pPr>
            <w:r w:rsidRPr="00256982">
              <w:rPr>
                <w:rFonts w:cs="Arial"/>
                <w:color w:val="000000"/>
                <w:szCs w:val="16"/>
              </w:rPr>
              <w:t>3.A.2</w:t>
            </w:r>
          </w:p>
        </w:tc>
        <w:tc>
          <w:tcPr>
            <w:tcW w:w="3000" w:type="pct"/>
            <w:shd w:val="clear" w:color="auto" w:fill="FFFFFF"/>
          </w:tcPr>
          <w:p w14:paraId="51388235" w14:textId="77777777" w:rsidR="0068777C" w:rsidRPr="00256982" w:rsidRDefault="0068777C" w:rsidP="0068777C">
            <w:pPr>
              <w:pStyle w:val="TableText"/>
              <w:spacing w:before="50" w:after="50"/>
            </w:pPr>
            <w:r w:rsidRPr="00256982">
              <w:t>Other (please specify) – Sheep</w:t>
            </w:r>
          </w:p>
        </w:tc>
        <w:tc>
          <w:tcPr>
            <w:tcW w:w="501" w:type="pct"/>
            <w:shd w:val="clear" w:color="auto" w:fill="FFFFFF"/>
          </w:tcPr>
          <w:p w14:paraId="7FE81353" w14:textId="77777777" w:rsidR="0068777C" w:rsidRPr="00256982" w:rsidRDefault="0068777C" w:rsidP="0068777C">
            <w:pPr>
              <w:pStyle w:val="TableText"/>
              <w:spacing w:before="50" w:after="50"/>
              <w:jc w:val="center"/>
            </w:pPr>
            <w:r w:rsidRPr="00256982">
              <w:rPr>
                <w:rFonts w:cs="Arial"/>
                <w:color w:val="000000"/>
                <w:szCs w:val="16"/>
              </w:rPr>
              <w:t>CH</w:t>
            </w:r>
            <w:r w:rsidRPr="00256982">
              <w:rPr>
                <w:rFonts w:cs="Arial"/>
                <w:color w:val="000000"/>
                <w:szCs w:val="16"/>
                <w:vertAlign w:val="subscript"/>
              </w:rPr>
              <w:t>4</w:t>
            </w:r>
          </w:p>
        </w:tc>
        <w:tc>
          <w:tcPr>
            <w:tcW w:w="749" w:type="pct"/>
            <w:shd w:val="clear" w:color="auto" w:fill="FFFFFF"/>
          </w:tcPr>
          <w:p w14:paraId="053A62D3" w14:textId="77777777" w:rsidR="0068777C" w:rsidRPr="00256982" w:rsidRDefault="0068777C" w:rsidP="0068777C">
            <w:pPr>
              <w:pStyle w:val="TableText"/>
              <w:spacing w:before="50" w:after="50"/>
            </w:pPr>
            <w:r w:rsidRPr="00256982">
              <w:rPr>
                <w:rFonts w:cs="Arial"/>
                <w:color w:val="000000"/>
                <w:szCs w:val="16"/>
              </w:rPr>
              <w:t>L1, T1</w:t>
            </w:r>
          </w:p>
        </w:tc>
      </w:tr>
      <w:tr w:rsidR="0068777C" w:rsidRPr="00256982" w14:paraId="0B2D57D8" w14:textId="77777777" w:rsidTr="0064442E">
        <w:tc>
          <w:tcPr>
            <w:tcW w:w="750" w:type="pct"/>
            <w:shd w:val="clear" w:color="auto" w:fill="FFFFFF"/>
          </w:tcPr>
          <w:p w14:paraId="5F1B9B98" w14:textId="77777777" w:rsidR="0068777C" w:rsidRPr="00256982" w:rsidRDefault="0068777C" w:rsidP="0068777C">
            <w:pPr>
              <w:pStyle w:val="TableText"/>
              <w:spacing w:before="50" w:after="50"/>
            </w:pPr>
            <w:r w:rsidRPr="00256982">
              <w:rPr>
                <w:rFonts w:cs="Arial"/>
                <w:color w:val="000000"/>
                <w:szCs w:val="16"/>
              </w:rPr>
              <w:t>3.A.4</w:t>
            </w:r>
          </w:p>
        </w:tc>
        <w:tc>
          <w:tcPr>
            <w:tcW w:w="3000" w:type="pct"/>
            <w:shd w:val="clear" w:color="auto" w:fill="FFFFFF"/>
          </w:tcPr>
          <w:p w14:paraId="412CF767" w14:textId="77777777" w:rsidR="0068777C" w:rsidRPr="00256982" w:rsidRDefault="0068777C" w:rsidP="0068777C">
            <w:pPr>
              <w:pStyle w:val="TableText"/>
              <w:spacing w:before="50" w:after="50"/>
            </w:pPr>
            <w:r w:rsidRPr="00256982">
              <w:rPr>
                <w:rFonts w:cs="Arial"/>
                <w:color w:val="000000"/>
                <w:szCs w:val="16"/>
              </w:rPr>
              <w:t>Other livestock – Deer</w:t>
            </w:r>
          </w:p>
        </w:tc>
        <w:tc>
          <w:tcPr>
            <w:tcW w:w="501" w:type="pct"/>
            <w:shd w:val="clear" w:color="auto" w:fill="FFFFFF"/>
          </w:tcPr>
          <w:p w14:paraId="751BF472" w14:textId="77777777" w:rsidR="0068777C" w:rsidRPr="00256982" w:rsidRDefault="0068777C" w:rsidP="0068777C">
            <w:pPr>
              <w:pStyle w:val="TableText"/>
              <w:spacing w:before="50" w:after="50"/>
              <w:jc w:val="center"/>
            </w:pPr>
            <w:r w:rsidRPr="00256982">
              <w:rPr>
                <w:rFonts w:cs="Arial"/>
                <w:color w:val="000000"/>
                <w:szCs w:val="16"/>
              </w:rPr>
              <w:t>CH</w:t>
            </w:r>
            <w:r w:rsidRPr="00256982">
              <w:rPr>
                <w:rFonts w:cs="Arial"/>
                <w:color w:val="000000"/>
                <w:szCs w:val="16"/>
                <w:vertAlign w:val="subscript"/>
              </w:rPr>
              <w:t>4</w:t>
            </w:r>
          </w:p>
        </w:tc>
        <w:tc>
          <w:tcPr>
            <w:tcW w:w="749" w:type="pct"/>
            <w:shd w:val="clear" w:color="auto" w:fill="FFFFFF"/>
          </w:tcPr>
          <w:p w14:paraId="4C7DA4F0" w14:textId="77777777" w:rsidR="0068777C" w:rsidRPr="00256982" w:rsidRDefault="0068777C" w:rsidP="0068777C">
            <w:pPr>
              <w:pStyle w:val="TableText"/>
              <w:spacing w:before="50" w:after="50"/>
            </w:pPr>
            <w:r w:rsidRPr="00256982">
              <w:rPr>
                <w:rFonts w:cs="Arial"/>
                <w:color w:val="000000"/>
                <w:szCs w:val="16"/>
              </w:rPr>
              <w:t>L1</w:t>
            </w:r>
          </w:p>
        </w:tc>
      </w:tr>
      <w:tr w:rsidR="0068777C" w:rsidRPr="00256982" w14:paraId="3807A0F4" w14:textId="77777777" w:rsidTr="0064442E">
        <w:tc>
          <w:tcPr>
            <w:tcW w:w="750" w:type="pct"/>
            <w:shd w:val="clear" w:color="auto" w:fill="FFFFFF"/>
          </w:tcPr>
          <w:p w14:paraId="658FA5F9" w14:textId="77777777" w:rsidR="0068777C" w:rsidRPr="00256982" w:rsidRDefault="0068777C" w:rsidP="0068777C">
            <w:pPr>
              <w:pStyle w:val="TableText"/>
              <w:spacing w:before="50" w:after="50"/>
            </w:pPr>
            <w:r w:rsidRPr="00256982">
              <w:rPr>
                <w:rFonts w:cs="Arial"/>
                <w:color w:val="000000"/>
                <w:szCs w:val="16"/>
              </w:rPr>
              <w:t>3.A.4</w:t>
            </w:r>
          </w:p>
        </w:tc>
        <w:tc>
          <w:tcPr>
            <w:tcW w:w="3000" w:type="pct"/>
            <w:shd w:val="clear" w:color="auto" w:fill="FFFFFF"/>
          </w:tcPr>
          <w:p w14:paraId="52DF3D9D" w14:textId="77777777" w:rsidR="0068777C" w:rsidRPr="00256982" w:rsidRDefault="0068777C" w:rsidP="0068777C">
            <w:pPr>
              <w:pStyle w:val="TableText"/>
              <w:spacing w:before="50" w:after="50"/>
            </w:pPr>
            <w:r w:rsidRPr="00256982">
              <w:rPr>
                <w:rFonts w:cs="Arial"/>
                <w:color w:val="000000"/>
                <w:szCs w:val="16"/>
              </w:rPr>
              <w:t>Other livestock – Goats</w:t>
            </w:r>
          </w:p>
        </w:tc>
        <w:tc>
          <w:tcPr>
            <w:tcW w:w="501" w:type="pct"/>
            <w:shd w:val="clear" w:color="auto" w:fill="FFFFFF"/>
          </w:tcPr>
          <w:p w14:paraId="594B890C" w14:textId="77777777" w:rsidR="0068777C" w:rsidRPr="00256982" w:rsidRDefault="0068777C" w:rsidP="0068777C">
            <w:pPr>
              <w:pStyle w:val="TableText"/>
              <w:spacing w:before="50" w:after="50"/>
              <w:jc w:val="center"/>
            </w:pPr>
            <w:r w:rsidRPr="00256982">
              <w:rPr>
                <w:rFonts w:cs="Arial"/>
                <w:color w:val="000000"/>
                <w:szCs w:val="16"/>
              </w:rPr>
              <w:t>CH</w:t>
            </w:r>
            <w:r w:rsidRPr="00256982">
              <w:rPr>
                <w:rFonts w:cs="Arial"/>
                <w:color w:val="000000"/>
                <w:szCs w:val="16"/>
                <w:vertAlign w:val="subscript"/>
              </w:rPr>
              <w:t>4</w:t>
            </w:r>
          </w:p>
        </w:tc>
        <w:tc>
          <w:tcPr>
            <w:tcW w:w="749" w:type="pct"/>
            <w:shd w:val="clear" w:color="auto" w:fill="FFFFFF"/>
          </w:tcPr>
          <w:p w14:paraId="41D58978" w14:textId="77777777" w:rsidR="0068777C" w:rsidRPr="00256982" w:rsidRDefault="0068777C" w:rsidP="0068777C">
            <w:pPr>
              <w:pStyle w:val="TableText"/>
              <w:spacing w:before="50" w:after="50"/>
            </w:pPr>
            <w:r w:rsidRPr="00256982">
              <w:rPr>
                <w:rFonts w:cs="Arial"/>
                <w:color w:val="000000"/>
                <w:szCs w:val="16"/>
              </w:rPr>
              <w:t>T1</w:t>
            </w:r>
          </w:p>
        </w:tc>
      </w:tr>
      <w:tr w:rsidR="0068777C" w:rsidRPr="00256982" w14:paraId="13022EC8" w14:textId="77777777" w:rsidTr="0064442E">
        <w:tc>
          <w:tcPr>
            <w:tcW w:w="750" w:type="pct"/>
            <w:shd w:val="clear" w:color="auto" w:fill="FFFFFF"/>
          </w:tcPr>
          <w:p w14:paraId="17B67ABF" w14:textId="77777777" w:rsidR="0068777C" w:rsidRPr="00256982" w:rsidRDefault="0068777C" w:rsidP="0068777C">
            <w:pPr>
              <w:pStyle w:val="TableText"/>
              <w:spacing w:before="50" w:after="50"/>
            </w:pPr>
            <w:r w:rsidRPr="00256982">
              <w:rPr>
                <w:rFonts w:cs="Arial"/>
                <w:color w:val="000000"/>
                <w:szCs w:val="16"/>
              </w:rPr>
              <w:t>3.B.1.1</w:t>
            </w:r>
          </w:p>
        </w:tc>
        <w:tc>
          <w:tcPr>
            <w:tcW w:w="3000" w:type="pct"/>
            <w:shd w:val="clear" w:color="auto" w:fill="FFFFFF"/>
          </w:tcPr>
          <w:p w14:paraId="4E8FBD83" w14:textId="77777777" w:rsidR="0068777C" w:rsidRPr="00256982" w:rsidRDefault="0068777C" w:rsidP="0068777C">
            <w:pPr>
              <w:pStyle w:val="TableText"/>
              <w:spacing w:before="50" w:after="50"/>
            </w:pPr>
            <w:r w:rsidRPr="00256982">
              <w:rPr>
                <w:rFonts w:cs="Arial"/>
                <w:color w:val="000000"/>
                <w:szCs w:val="16"/>
              </w:rPr>
              <w:t>Option A – Dairy Cattle</w:t>
            </w:r>
          </w:p>
        </w:tc>
        <w:tc>
          <w:tcPr>
            <w:tcW w:w="501" w:type="pct"/>
            <w:shd w:val="clear" w:color="auto" w:fill="FFFFFF"/>
          </w:tcPr>
          <w:p w14:paraId="7B663968" w14:textId="77777777" w:rsidR="0068777C" w:rsidRPr="00256982" w:rsidRDefault="0068777C" w:rsidP="0068777C">
            <w:pPr>
              <w:pStyle w:val="TableText"/>
              <w:spacing w:before="50" w:after="50"/>
              <w:jc w:val="center"/>
            </w:pPr>
            <w:r w:rsidRPr="00256982">
              <w:rPr>
                <w:rFonts w:cs="Arial"/>
                <w:color w:val="000000"/>
                <w:szCs w:val="16"/>
              </w:rPr>
              <w:t>CH</w:t>
            </w:r>
            <w:r w:rsidRPr="00256982">
              <w:rPr>
                <w:rFonts w:cs="Arial"/>
                <w:color w:val="000000"/>
                <w:szCs w:val="16"/>
                <w:vertAlign w:val="subscript"/>
              </w:rPr>
              <w:t>4</w:t>
            </w:r>
          </w:p>
        </w:tc>
        <w:tc>
          <w:tcPr>
            <w:tcW w:w="749" w:type="pct"/>
            <w:shd w:val="clear" w:color="auto" w:fill="FFFFFF"/>
          </w:tcPr>
          <w:p w14:paraId="1BB53D6D" w14:textId="77777777" w:rsidR="0068777C" w:rsidRPr="00256982" w:rsidRDefault="0068777C" w:rsidP="0068777C">
            <w:pPr>
              <w:pStyle w:val="TableText"/>
              <w:spacing w:before="50" w:after="50"/>
            </w:pPr>
            <w:r w:rsidRPr="00256982">
              <w:rPr>
                <w:rFonts w:cs="Arial"/>
                <w:color w:val="000000"/>
                <w:szCs w:val="16"/>
              </w:rPr>
              <w:t>L1, T1</w:t>
            </w:r>
          </w:p>
        </w:tc>
      </w:tr>
      <w:tr w:rsidR="0068777C" w:rsidRPr="00256982" w14:paraId="7D80C4B5" w14:textId="77777777" w:rsidTr="0064442E">
        <w:tc>
          <w:tcPr>
            <w:tcW w:w="750" w:type="pct"/>
            <w:shd w:val="clear" w:color="auto" w:fill="FFFFFF"/>
          </w:tcPr>
          <w:p w14:paraId="55C95A43" w14:textId="77777777" w:rsidR="0068777C" w:rsidRPr="00256982" w:rsidRDefault="0068777C" w:rsidP="0068777C">
            <w:pPr>
              <w:pStyle w:val="TableText"/>
              <w:spacing w:before="50" w:after="50"/>
            </w:pPr>
            <w:r w:rsidRPr="00256982">
              <w:rPr>
                <w:rFonts w:cs="Arial"/>
                <w:color w:val="000000"/>
                <w:szCs w:val="16"/>
              </w:rPr>
              <w:lastRenderedPageBreak/>
              <w:t>3.D.1.1</w:t>
            </w:r>
          </w:p>
        </w:tc>
        <w:tc>
          <w:tcPr>
            <w:tcW w:w="3000" w:type="pct"/>
            <w:shd w:val="clear" w:color="auto" w:fill="FFFFFF"/>
          </w:tcPr>
          <w:p w14:paraId="2898B19B" w14:textId="77777777" w:rsidR="0068777C" w:rsidRPr="00256982" w:rsidRDefault="0068777C" w:rsidP="0068777C">
            <w:pPr>
              <w:pStyle w:val="TableText"/>
              <w:spacing w:before="50" w:after="50"/>
            </w:pPr>
            <w:r w:rsidRPr="00256982">
              <w:rPr>
                <w:rFonts w:cs="Arial"/>
                <w:color w:val="000000"/>
                <w:szCs w:val="16"/>
              </w:rPr>
              <w:t>Direct N</w:t>
            </w:r>
            <w:r w:rsidRPr="00256982">
              <w:rPr>
                <w:rFonts w:cs="Arial"/>
                <w:color w:val="000000"/>
                <w:szCs w:val="16"/>
                <w:vertAlign w:val="subscript"/>
              </w:rPr>
              <w:t>2</w:t>
            </w:r>
            <w:r w:rsidRPr="00256982">
              <w:rPr>
                <w:rFonts w:cs="Arial"/>
                <w:color w:val="000000"/>
                <w:szCs w:val="16"/>
              </w:rPr>
              <w:t>O Emissions from Managed Soils – Inorganic N Fertilisers</w:t>
            </w:r>
          </w:p>
        </w:tc>
        <w:tc>
          <w:tcPr>
            <w:tcW w:w="501" w:type="pct"/>
            <w:shd w:val="clear" w:color="auto" w:fill="FFFFFF"/>
          </w:tcPr>
          <w:p w14:paraId="04E2450E" w14:textId="77777777" w:rsidR="0068777C" w:rsidRPr="00256982" w:rsidRDefault="0068777C" w:rsidP="0068777C">
            <w:pPr>
              <w:pStyle w:val="TableText"/>
              <w:spacing w:before="50" w:after="50"/>
              <w:jc w:val="center"/>
            </w:pPr>
            <w:r w:rsidRPr="00256982">
              <w:rPr>
                <w:rFonts w:cs="Arial"/>
                <w:color w:val="000000"/>
                <w:szCs w:val="16"/>
              </w:rPr>
              <w:t>N</w:t>
            </w:r>
            <w:r w:rsidRPr="00256982">
              <w:rPr>
                <w:rFonts w:cs="Arial"/>
                <w:color w:val="000000"/>
                <w:szCs w:val="16"/>
                <w:vertAlign w:val="subscript"/>
              </w:rPr>
              <w:t>2</w:t>
            </w:r>
            <w:r w:rsidRPr="00256982">
              <w:rPr>
                <w:rFonts w:cs="Arial"/>
                <w:color w:val="000000"/>
                <w:szCs w:val="16"/>
              </w:rPr>
              <w:t>O</w:t>
            </w:r>
          </w:p>
        </w:tc>
        <w:tc>
          <w:tcPr>
            <w:tcW w:w="749" w:type="pct"/>
            <w:shd w:val="clear" w:color="auto" w:fill="FFFFFF"/>
          </w:tcPr>
          <w:p w14:paraId="777FD0F8" w14:textId="77777777" w:rsidR="0068777C" w:rsidRPr="00256982" w:rsidRDefault="0068777C" w:rsidP="0068777C">
            <w:pPr>
              <w:pStyle w:val="TableText"/>
              <w:spacing w:before="50" w:after="50"/>
            </w:pPr>
            <w:r w:rsidRPr="00256982">
              <w:rPr>
                <w:rFonts w:cs="Arial"/>
                <w:color w:val="000000"/>
                <w:szCs w:val="16"/>
              </w:rPr>
              <w:t>L1, T1</w:t>
            </w:r>
          </w:p>
        </w:tc>
      </w:tr>
      <w:tr w:rsidR="0068777C" w:rsidRPr="00256982" w14:paraId="6214904C" w14:textId="77777777" w:rsidTr="0064442E">
        <w:tc>
          <w:tcPr>
            <w:tcW w:w="750" w:type="pct"/>
            <w:shd w:val="clear" w:color="auto" w:fill="FFFFFF"/>
          </w:tcPr>
          <w:p w14:paraId="50075574" w14:textId="77777777" w:rsidR="0068777C" w:rsidRPr="00256982" w:rsidRDefault="0068777C" w:rsidP="0068777C">
            <w:pPr>
              <w:pStyle w:val="TableText"/>
              <w:spacing w:before="50" w:after="50"/>
            </w:pPr>
            <w:r w:rsidRPr="00256982">
              <w:rPr>
                <w:rFonts w:cs="Arial"/>
                <w:color w:val="000000"/>
                <w:szCs w:val="16"/>
              </w:rPr>
              <w:t>3.D.1.3</w:t>
            </w:r>
          </w:p>
        </w:tc>
        <w:tc>
          <w:tcPr>
            <w:tcW w:w="3000" w:type="pct"/>
            <w:shd w:val="clear" w:color="auto" w:fill="FFFFFF"/>
          </w:tcPr>
          <w:p w14:paraId="44662D2A" w14:textId="77777777" w:rsidR="0068777C" w:rsidRPr="00256982" w:rsidRDefault="0068777C" w:rsidP="0068777C">
            <w:pPr>
              <w:pStyle w:val="TableText"/>
              <w:spacing w:before="50" w:after="50"/>
            </w:pPr>
            <w:r w:rsidRPr="00256982">
              <w:rPr>
                <w:rFonts w:cs="Arial"/>
                <w:color w:val="000000"/>
                <w:szCs w:val="16"/>
              </w:rPr>
              <w:t>Direct N</w:t>
            </w:r>
            <w:r w:rsidRPr="00256982">
              <w:rPr>
                <w:rFonts w:cs="Arial"/>
                <w:color w:val="000000"/>
                <w:szCs w:val="16"/>
                <w:vertAlign w:val="subscript"/>
              </w:rPr>
              <w:t>2</w:t>
            </w:r>
            <w:r w:rsidRPr="00256982">
              <w:rPr>
                <w:rFonts w:cs="Arial"/>
                <w:color w:val="000000"/>
                <w:szCs w:val="16"/>
              </w:rPr>
              <w:t>O Emissions from Managed Soils – Urine and Dung Deposited by Grazing Animals</w:t>
            </w:r>
          </w:p>
        </w:tc>
        <w:tc>
          <w:tcPr>
            <w:tcW w:w="501" w:type="pct"/>
            <w:shd w:val="clear" w:color="auto" w:fill="FFFFFF"/>
          </w:tcPr>
          <w:p w14:paraId="1EDF7EEC" w14:textId="77777777" w:rsidR="0068777C" w:rsidRPr="00256982" w:rsidRDefault="0068777C" w:rsidP="0068777C">
            <w:pPr>
              <w:pStyle w:val="TableText"/>
              <w:spacing w:before="50" w:after="50"/>
              <w:jc w:val="center"/>
            </w:pPr>
            <w:r w:rsidRPr="00256982">
              <w:rPr>
                <w:rFonts w:cs="Arial"/>
                <w:color w:val="000000"/>
                <w:szCs w:val="16"/>
              </w:rPr>
              <w:t>N</w:t>
            </w:r>
            <w:r w:rsidRPr="00256982">
              <w:rPr>
                <w:rFonts w:cs="Arial"/>
                <w:color w:val="000000"/>
                <w:szCs w:val="16"/>
                <w:vertAlign w:val="subscript"/>
              </w:rPr>
              <w:t>2</w:t>
            </w:r>
            <w:r w:rsidRPr="00256982">
              <w:rPr>
                <w:rFonts w:cs="Arial"/>
                <w:color w:val="000000"/>
                <w:szCs w:val="16"/>
              </w:rPr>
              <w:t>O</w:t>
            </w:r>
          </w:p>
        </w:tc>
        <w:tc>
          <w:tcPr>
            <w:tcW w:w="749" w:type="pct"/>
            <w:shd w:val="clear" w:color="auto" w:fill="FFFFFF"/>
          </w:tcPr>
          <w:p w14:paraId="7F14F554" w14:textId="77777777" w:rsidR="0068777C" w:rsidRPr="00256982" w:rsidRDefault="0068777C" w:rsidP="0068777C">
            <w:pPr>
              <w:pStyle w:val="TableText"/>
              <w:spacing w:before="50" w:after="50"/>
            </w:pPr>
            <w:r w:rsidRPr="00256982">
              <w:rPr>
                <w:rFonts w:cs="Arial"/>
                <w:color w:val="000000"/>
                <w:szCs w:val="16"/>
              </w:rPr>
              <w:t>L1, T1</w:t>
            </w:r>
          </w:p>
        </w:tc>
      </w:tr>
      <w:tr w:rsidR="0068777C" w:rsidRPr="00256982" w14:paraId="215BAA9D" w14:textId="77777777" w:rsidTr="0064442E">
        <w:tc>
          <w:tcPr>
            <w:tcW w:w="750" w:type="pct"/>
            <w:shd w:val="clear" w:color="auto" w:fill="FFFFFF"/>
          </w:tcPr>
          <w:p w14:paraId="49F0AC52" w14:textId="77777777" w:rsidR="0068777C" w:rsidRPr="00256982" w:rsidRDefault="0068777C" w:rsidP="0068777C">
            <w:pPr>
              <w:pStyle w:val="TableText"/>
              <w:spacing w:before="50" w:after="50"/>
            </w:pPr>
            <w:r w:rsidRPr="00256982">
              <w:rPr>
                <w:rFonts w:cs="Arial"/>
                <w:color w:val="000000"/>
                <w:szCs w:val="16"/>
              </w:rPr>
              <w:t>3.D.1.4</w:t>
            </w:r>
          </w:p>
        </w:tc>
        <w:tc>
          <w:tcPr>
            <w:tcW w:w="3000" w:type="pct"/>
            <w:shd w:val="clear" w:color="auto" w:fill="FFFFFF"/>
          </w:tcPr>
          <w:p w14:paraId="310F912B" w14:textId="77777777" w:rsidR="0068777C" w:rsidRPr="00256982" w:rsidRDefault="0068777C" w:rsidP="0068777C">
            <w:pPr>
              <w:pStyle w:val="TableText"/>
              <w:spacing w:before="50" w:after="50"/>
            </w:pPr>
            <w:r w:rsidRPr="00256982">
              <w:rPr>
                <w:rFonts w:cs="Arial"/>
                <w:color w:val="000000"/>
                <w:szCs w:val="16"/>
              </w:rPr>
              <w:t>Direct N</w:t>
            </w:r>
            <w:r w:rsidRPr="00256982">
              <w:rPr>
                <w:rFonts w:cs="Arial"/>
                <w:color w:val="000000"/>
                <w:szCs w:val="16"/>
                <w:vertAlign w:val="subscript"/>
              </w:rPr>
              <w:t>2</w:t>
            </w:r>
            <w:r w:rsidRPr="00256982">
              <w:rPr>
                <w:rFonts w:cs="Arial"/>
                <w:color w:val="000000"/>
                <w:szCs w:val="16"/>
              </w:rPr>
              <w:t>O Emissions from Managed Soils – Crop Residues</w:t>
            </w:r>
          </w:p>
        </w:tc>
        <w:tc>
          <w:tcPr>
            <w:tcW w:w="501" w:type="pct"/>
            <w:shd w:val="clear" w:color="auto" w:fill="FFFFFF"/>
          </w:tcPr>
          <w:p w14:paraId="3D40EE1F" w14:textId="77777777" w:rsidR="0068777C" w:rsidRPr="00256982" w:rsidRDefault="0068777C" w:rsidP="0068777C">
            <w:pPr>
              <w:pStyle w:val="TableText"/>
              <w:spacing w:before="50" w:after="50"/>
              <w:jc w:val="center"/>
            </w:pPr>
            <w:r w:rsidRPr="00256982">
              <w:rPr>
                <w:rFonts w:cs="Arial"/>
                <w:color w:val="000000"/>
                <w:szCs w:val="16"/>
              </w:rPr>
              <w:t>N</w:t>
            </w:r>
            <w:r w:rsidRPr="00256982">
              <w:rPr>
                <w:rFonts w:cs="Arial"/>
                <w:color w:val="000000"/>
                <w:szCs w:val="16"/>
                <w:vertAlign w:val="subscript"/>
              </w:rPr>
              <w:t>2</w:t>
            </w:r>
            <w:r w:rsidRPr="00256982">
              <w:rPr>
                <w:rFonts w:cs="Arial"/>
                <w:color w:val="000000"/>
                <w:szCs w:val="16"/>
              </w:rPr>
              <w:t>O</w:t>
            </w:r>
          </w:p>
        </w:tc>
        <w:tc>
          <w:tcPr>
            <w:tcW w:w="749" w:type="pct"/>
            <w:shd w:val="clear" w:color="auto" w:fill="FFFFFF"/>
          </w:tcPr>
          <w:p w14:paraId="7EFBEA62" w14:textId="77777777" w:rsidR="0068777C" w:rsidRPr="00256982" w:rsidRDefault="0068777C" w:rsidP="0068777C">
            <w:pPr>
              <w:pStyle w:val="TableText"/>
              <w:spacing w:before="50" w:after="50"/>
            </w:pPr>
            <w:r w:rsidRPr="00256982">
              <w:rPr>
                <w:rFonts w:cs="Arial"/>
                <w:color w:val="000000"/>
                <w:szCs w:val="16"/>
              </w:rPr>
              <w:t>L1</w:t>
            </w:r>
          </w:p>
        </w:tc>
      </w:tr>
      <w:tr w:rsidR="0068777C" w:rsidRPr="00256982" w14:paraId="1E1E9912" w14:textId="77777777" w:rsidTr="0064442E">
        <w:tc>
          <w:tcPr>
            <w:tcW w:w="750" w:type="pct"/>
            <w:shd w:val="clear" w:color="auto" w:fill="FFFFFF"/>
          </w:tcPr>
          <w:p w14:paraId="54AD09FF" w14:textId="77777777" w:rsidR="0068777C" w:rsidRPr="00256982" w:rsidRDefault="0068777C" w:rsidP="0068777C">
            <w:pPr>
              <w:pStyle w:val="TableText"/>
              <w:spacing w:before="50" w:after="50"/>
            </w:pPr>
            <w:r w:rsidRPr="00256982">
              <w:rPr>
                <w:rFonts w:cs="Arial"/>
                <w:color w:val="000000"/>
                <w:szCs w:val="16"/>
              </w:rPr>
              <w:t>3.D.2.1</w:t>
            </w:r>
          </w:p>
        </w:tc>
        <w:tc>
          <w:tcPr>
            <w:tcW w:w="3000" w:type="pct"/>
            <w:shd w:val="clear" w:color="auto" w:fill="FFFFFF"/>
          </w:tcPr>
          <w:p w14:paraId="0D6567FD" w14:textId="77777777" w:rsidR="0068777C" w:rsidRPr="00256982" w:rsidRDefault="0068777C" w:rsidP="0068777C">
            <w:pPr>
              <w:pStyle w:val="TableText"/>
              <w:spacing w:before="50" w:after="50"/>
            </w:pPr>
            <w:r w:rsidRPr="00256982">
              <w:rPr>
                <w:rFonts w:cs="Arial"/>
                <w:color w:val="000000"/>
                <w:szCs w:val="16"/>
              </w:rPr>
              <w:t>Indirect N</w:t>
            </w:r>
            <w:r w:rsidRPr="00256982">
              <w:rPr>
                <w:rFonts w:cs="Arial"/>
                <w:color w:val="000000"/>
                <w:szCs w:val="16"/>
                <w:vertAlign w:val="subscript"/>
              </w:rPr>
              <w:t>2</w:t>
            </w:r>
            <w:r w:rsidRPr="00256982">
              <w:rPr>
                <w:rFonts w:cs="Arial"/>
                <w:color w:val="000000"/>
                <w:szCs w:val="16"/>
              </w:rPr>
              <w:t>O Emissions from Managed Soils – Atmospheric Deposition</w:t>
            </w:r>
          </w:p>
        </w:tc>
        <w:tc>
          <w:tcPr>
            <w:tcW w:w="501" w:type="pct"/>
            <w:shd w:val="clear" w:color="auto" w:fill="FFFFFF"/>
          </w:tcPr>
          <w:p w14:paraId="0652FB0D" w14:textId="77777777" w:rsidR="0068777C" w:rsidRPr="00256982" w:rsidRDefault="0068777C" w:rsidP="0068777C">
            <w:pPr>
              <w:pStyle w:val="TableText"/>
              <w:spacing w:before="50" w:after="50"/>
              <w:jc w:val="center"/>
            </w:pPr>
            <w:r w:rsidRPr="00256982">
              <w:rPr>
                <w:rFonts w:cs="Arial"/>
                <w:color w:val="000000"/>
                <w:szCs w:val="16"/>
              </w:rPr>
              <w:t>N</w:t>
            </w:r>
            <w:r w:rsidRPr="00256982">
              <w:rPr>
                <w:rFonts w:cs="Arial"/>
                <w:color w:val="000000"/>
                <w:szCs w:val="16"/>
                <w:vertAlign w:val="subscript"/>
              </w:rPr>
              <w:t>2</w:t>
            </w:r>
            <w:r w:rsidRPr="00256982">
              <w:rPr>
                <w:rFonts w:cs="Arial"/>
                <w:color w:val="000000"/>
                <w:szCs w:val="16"/>
              </w:rPr>
              <w:t>O</w:t>
            </w:r>
          </w:p>
        </w:tc>
        <w:tc>
          <w:tcPr>
            <w:tcW w:w="749" w:type="pct"/>
            <w:shd w:val="clear" w:color="auto" w:fill="FFFFFF"/>
          </w:tcPr>
          <w:p w14:paraId="3875E6A8" w14:textId="77777777" w:rsidR="0068777C" w:rsidRPr="00256982" w:rsidRDefault="0068777C" w:rsidP="0068777C">
            <w:pPr>
              <w:pStyle w:val="TableText"/>
              <w:spacing w:before="50" w:after="50"/>
            </w:pPr>
            <w:r w:rsidRPr="00256982">
              <w:rPr>
                <w:rFonts w:cs="Arial"/>
                <w:color w:val="000000"/>
                <w:szCs w:val="16"/>
              </w:rPr>
              <w:t>L1</w:t>
            </w:r>
          </w:p>
        </w:tc>
      </w:tr>
      <w:tr w:rsidR="0068777C" w:rsidRPr="00256982" w14:paraId="59F02E37" w14:textId="77777777" w:rsidTr="0064442E">
        <w:tc>
          <w:tcPr>
            <w:tcW w:w="750" w:type="pct"/>
            <w:shd w:val="clear" w:color="auto" w:fill="FFFFFF"/>
          </w:tcPr>
          <w:p w14:paraId="16E2F972" w14:textId="77777777" w:rsidR="0068777C" w:rsidRPr="00256982" w:rsidRDefault="0068777C" w:rsidP="0068777C">
            <w:pPr>
              <w:pStyle w:val="TableText"/>
              <w:spacing w:before="50" w:after="50"/>
            </w:pPr>
            <w:r w:rsidRPr="00256982">
              <w:rPr>
                <w:rFonts w:cs="Arial"/>
                <w:color w:val="000000"/>
                <w:szCs w:val="16"/>
              </w:rPr>
              <w:t>3.D.2.2</w:t>
            </w:r>
          </w:p>
        </w:tc>
        <w:tc>
          <w:tcPr>
            <w:tcW w:w="3000" w:type="pct"/>
            <w:shd w:val="clear" w:color="auto" w:fill="FFFFFF"/>
          </w:tcPr>
          <w:p w14:paraId="1C883CD8" w14:textId="77777777" w:rsidR="0068777C" w:rsidRPr="00256982" w:rsidRDefault="0068777C" w:rsidP="0068777C">
            <w:pPr>
              <w:pStyle w:val="TableText"/>
              <w:spacing w:before="50" w:after="50"/>
            </w:pPr>
            <w:r w:rsidRPr="00256982">
              <w:rPr>
                <w:rFonts w:cs="Arial"/>
                <w:color w:val="000000"/>
                <w:szCs w:val="16"/>
              </w:rPr>
              <w:t>Indirect N</w:t>
            </w:r>
            <w:r w:rsidRPr="00256982">
              <w:rPr>
                <w:rFonts w:cs="Arial"/>
                <w:color w:val="000000"/>
                <w:szCs w:val="16"/>
                <w:vertAlign w:val="subscript"/>
              </w:rPr>
              <w:t>2</w:t>
            </w:r>
            <w:r w:rsidRPr="00256982">
              <w:rPr>
                <w:rFonts w:cs="Arial"/>
                <w:color w:val="000000"/>
                <w:szCs w:val="16"/>
              </w:rPr>
              <w:t>O Emissions from Managed Soils – Nitrogen Leaching and Run-off</w:t>
            </w:r>
          </w:p>
        </w:tc>
        <w:tc>
          <w:tcPr>
            <w:tcW w:w="501" w:type="pct"/>
            <w:shd w:val="clear" w:color="auto" w:fill="FFFFFF"/>
          </w:tcPr>
          <w:p w14:paraId="3192E750" w14:textId="77777777" w:rsidR="0068777C" w:rsidRPr="00256982" w:rsidRDefault="0068777C" w:rsidP="0068777C">
            <w:pPr>
              <w:pStyle w:val="TableText"/>
              <w:spacing w:before="50" w:after="50"/>
              <w:jc w:val="center"/>
            </w:pPr>
            <w:r w:rsidRPr="00256982">
              <w:rPr>
                <w:rFonts w:cs="Arial"/>
                <w:color w:val="000000"/>
                <w:szCs w:val="16"/>
              </w:rPr>
              <w:t>N</w:t>
            </w:r>
            <w:r w:rsidRPr="00256982">
              <w:rPr>
                <w:rFonts w:cs="Arial"/>
                <w:color w:val="000000"/>
                <w:szCs w:val="16"/>
                <w:vertAlign w:val="subscript"/>
              </w:rPr>
              <w:t>2</w:t>
            </w:r>
            <w:r w:rsidRPr="00256982">
              <w:rPr>
                <w:rFonts w:cs="Arial"/>
                <w:color w:val="000000"/>
                <w:szCs w:val="16"/>
              </w:rPr>
              <w:t>O</w:t>
            </w:r>
          </w:p>
        </w:tc>
        <w:tc>
          <w:tcPr>
            <w:tcW w:w="749" w:type="pct"/>
            <w:shd w:val="clear" w:color="auto" w:fill="FFFFFF"/>
          </w:tcPr>
          <w:p w14:paraId="6BC0AE6B" w14:textId="77777777" w:rsidR="0068777C" w:rsidRPr="00256982" w:rsidRDefault="0068777C" w:rsidP="0068777C">
            <w:pPr>
              <w:pStyle w:val="TableText"/>
              <w:spacing w:before="50" w:after="50"/>
            </w:pPr>
            <w:r w:rsidRPr="00256982">
              <w:rPr>
                <w:rFonts w:cs="Arial"/>
                <w:color w:val="000000"/>
                <w:szCs w:val="16"/>
              </w:rPr>
              <w:t>L1</w:t>
            </w:r>
          </w:p>
        </w:tc>
      </w:tr>
      <w:tr w:rsidR="0068777C" w:rsidRPr="00256982" w14:paraId="08F0022B" w14:textId="77777777" w:rsidTr="0064442E">
        <w:tc>
          <w:tcPr>
            <w:tcW w:w="750" w:type="pct"/>
            <w:shd w:val="clear" w:color="auto" w:fill="FFFFFF"/>
          </w:tcPr>
          <w:p w14:paraId="6E29CAD2" w14:textId="77777777" w:rsidR="0068777C" w:rsidRPr="00256982" w:rsidRDefault="0068777C" w:rsidP="0068777C">
            <w:pPr>
              <w:pStyle w:val="TableText"/>
              <w:spacing w:before="50" w:after="50"/>
            </w:pPr>
            <w:r w:rsidRPr="00256982">
              <w:rPr>
                <w:rFonts w:cs="Arial"/>
                <w:color w:val="000000"/>
                <w:szCs w:val="16"/>
              </w:rPr>
              <w:t>3.G</w:t>
            </w:r>
          </w:p>
        </w:tc>
        <w:tc>
          <w:tcPr>
            <w:tcW w:w="3000" w:type="pct"/>
            <w:shd w:val="clear" w:color="auto" w:fill="FFFFFF"/>
          </w:tcPr>
          <w:p w14:paraId="5456C822" w14:textId="77777777" w:rsidR="0068777C" w:rsidRPr="00256982" w:rsidRDefault="0068777C" w:rsidP="0068777C">
            <w:pPr>
              <w:pStyle w:val="TableText"/>
              <w:spacing w:before="50" w:after="50"/>
            </w:pPr>
            <w:r w:rsidRPr="00256982">
              <w:rPr>
                <w:rFonts w:cs="Arial"/>
                <w:color w:val="000000"/>
                <w:szCs w:val="16"/>
              </w:rPr>
              <w:t>Agriculture – Liming</w:t>
            </w:r>
          </w:p>
        </w:tc>
        <w:tc>
          <w:tcPr>
            <w:tcW w:w="501" w:type="pct"/>
            <w:shd w:val="clear" w:color="auto" w:fill="FFFFFF"/>
          </w:tcPr>
          <w:p w14:paraId="2048A548" w14:textId="77777777" w:rsidR="0068777C" w:rsidRPr="00256982" w:rsidRDefault="0068777C" w:rsidP="0068777C">
            <w:pPr>
              <w:pStyle w:val="TableText"/>
              <w:spacing w:before="50" w:after="50"/>
              <w:jc w:val="center"/>
            </w:pPr>
            <w:r w:rsidRPr="00256982">
              <w:rPr>
                <w:rFonts w:cs="Arial"/>
                <w:color w:val="000000"/>
                <w:szCs w:val="16"/>
              </w:rPr>
              <w:t>CO</w:t>
            </w:r>
            <w:r w:rsidRPr="00256982">
              <w:rPr>
                <w:rFonts w:cs="Arial"/>
                <w:color w:val="000000"/>
                <w:szCs w:val="16"/>
                <w:vertAlign w:val="subscript"/>
              </w:rPr>
              <w:t>2</w:t>
            </w:r>
          </w:p>
        </w:tc>
        <w:tc>
          <w:tcPr>
            <w:tcW w:w="749" w:type="pct"/>
            <w:shd w:val="clear" w:color="auto" w:fill="FFFFFF"/>
          </w:tcPr>
          <w:p w14:paraId="1DF98856" w14:textId="77777777" w:rsidR="0068777C" w:rsidRPr="00256982" w:rsidRDefault="0068777C" w:rsidP="0068777C">
            <w:pPr>
              <w:pStyle w:val="TableText"/>
              <w:spacing w:before="50" w:after="50"/>
            </w:pPr>
            <w:r w:rsidRPr="00256982">
              <w:rPr>
                <w:rFonts w:cs="Arial"/>
                <w:color w:val="000000"/>
                <w:szCs w:val="16"/>
              </w:rPr>
              <w:t>L1</w:t>
            </w:r>
          </w:p>
        </w:tc>
      </w:tr>
      <w:tr w:rsidR="0068777C" w:rsidRPr="00256982" w14:paraId="2C5334CF" w14:textId="77777777" w:rsidTr="0064442E">
        <w:tc>
          <w:tcPr>
            <w:tcW w:w="750" w:type="pct"/>
            <w:shd w:val="clear" w:color="auto" w:fill="FFFFFF"/>
          </w:tcPr>
          <w:p w14:paraId="7A8FE490" w14:textId="77777777" w:rsidR="0068777C" w:rsidRPr="00256982" w:rsidRDefault="0068777C" w:rsidP="0068777C">
            <w:pPr>
              <w:pStyle w:val="TableText"/>
              <w:spacing w:before="50" w:after="50"/>
            </w:pPr>
            <w:r w:rsidRPr="00256982">
              <w:rPr>
                <w:rFonts w:cs="Arial"/>
                <w:color w:val="000000"/>
                <w:szCs w:val="16"/>
              </w:rPr>
              <w:t>3.H</w:t>
            </w:r>
          </w:p>
        </w:tc>
        <w:tc>
          <w:tcPr>
            <w:tcW w:w="3000" w:type="pct"/>
            <w:shd w:val="clear" w:color="auto" w:fill="FFFFFF"/>
          </w:tcPr>
          <w:p w14:paraId="7D406A4F" w14:textId="77777777" w:rsidR="0068777C" w:rsidRPr="00256982" w:rsidRDefault="0068777C" w:rsidP="0068777C">
            <w:pPr>
              <w:pStyle w:val="TableText"/>
              <w:spacing w:before="50" w:after="50"/>
            </w:pPr>
            <w:r w:rsidRPr="00256982">
              <w:rPr>
                <w:rFonts w:cs="Arial"/>
                <w:color w:val="000000"/>
                <w:szCs w:val="16"/>
              </w:rPr>
              <w:t>Agriculture – Urea Application</w:t>
            </w:r>
          </w:p>
        </w:tc>
        <w:tc>
          <w:tcPr>
            <w:tcW w:w="501" w:type="pct"/>
            <w:shd w:val="clear" w:color="auto" w:fill="FFFFFF"/>
          </w:tcPr>
          <w:p w14:paraId="2B3B5E99" w14:textId="77777777" w:rsidR="0068777C" w:rsidRPr="00256982" w:rsidRDefault="0068777C" w:rsidP="0068777C">
            <w:pPr>
              <w:pStyle w:val="TableText"/>
              <w:spacing w:before="50" w:after="50"/>
              <w:jc w:val="center"/>
            </w:pPr>
            <w:r w:rsidRPr="00256982">
              <w:rPr>
                <w:rFonts w:cs="Arial"/>
                <w:color w:val="000000"/>
                <w:szCs w:val="16"/>
              </w:rPr>
              <w:t>CO</w:t>
            </w:r>
            <w:r w:rsidRPr="00256982">
              <w:rPr>
                <w:rFonts w:cs="Arial"/>
                <w:color w:val="000000"/>
                <w:szCs w:val="16"/>
                <w:vertAlign w:val="subscript"/>
              </w:rPr>
              <w:t>2</w:t>
            </w:r>
          </w:p>
        </w:tc>
        <w:tc>
          <w:tcPr>
            <w:tcW w:w="749" w:type="pct"/>
            <w:shd w:val="clear" w:color="auto" w:fill="FFFFFF"/>
          </w:tcPr>
          <w:p w14:paraId="1FA8DDD7" w14:textId="77777777" w:rsidR="0068777C" w:rsidRPr="00256982" w:rsidRDefault="0068777C" w:rsidP="0068777C">
            <w:pPr>
              <w:pStyle w:val="TableText"/>
              <w:spacing w:before="50" w:after="50"/>
            </w:pPr>
            <w:r w:rsidRPr="00256982">
              <w:rPr>
                <w:rFonts w:cs="Arial"/>
                <w:color w:val="000000"/>
                <w:szCs w:val="16"/>
              </w:rPr>
              <w:t>L1, T1</w:t>
            </w:r>
          </w:p>
        </w:tc>
      </w:tr>
    </w:tbl>
    <w:p w14:paraId="0F1DA96B" w14:textId="77777777" w:rsidR="0068777C" w:rsidRPr="00256982" w:rsidRDefault="0068777C" w:rsidP="0068777C">
      <w:pPr>
        <w:pStyle w:val="Noteundertable"/>
      </w:pPr>
      <w:r w:rsidRPr="00256982">
        <w:rPr>
          <w:b/>
        </w:rPr>
        <w:t>Note</w:t>
      </w:r>
      <w:r w:rsidRPr="00256982">
        <w:t xml:space="preserve">: </w:t>
      </w:r>
      <w:r w:rsidRPr="00256982">
        <w:tab/>
        <w:t>L1 means a key category is identified under the level analysis – approach 1 and T1 is trend analysis – approach 1. See chapter 1 for more information.</w:t>
      </w:r>
    </w:p>
    <w:p w14:paraId="7FF91488" w14:textId="77777777" w:rsidR="0068777C" w:rsidRPr="00256982" w:rsidRDefault="0068777C" w:rsidP="000233E5">
      <w:pPr>
        <w:pStyle w:val="Heading3"/>
        <w:spacing w:before="240"/>
        <w:rPr>
          <w:b w:val="0"/>
        </w:rPr>
      </w:pPr>
      <w:r w:rsidRPr="00256982">
        <w:t xml:space="preserve">5.1.3 </w:t>
      </w:r>
      <w:r w:rsidRPr="00256982">
        <w:tab/>
        <w:t xml:space="preserve">Methodological issues for the Agriculture sector </w:t>
      </w:r>
    </w:p>
    <w:p w14:paraId="11959B1F" w14:textId="77777777" w:rsidR="0068777C" w:rsidRPr="00256982" w:rsidRDefault="0068777C" w:rsidP="0068777C">
      <w:pPr>
        <w:pStyle w:val="BodyText"/>
      </w:pPr>
      <w:r w:rsidRPr="00256982">
        <w:t>New Zealand uses a range of models and tiers appropriate to the size of the different emission categories. Tier 2 methodologies are used to estimate emissions from dairy cattle, beef cattle, sheep, deer, nitrogen fertilisers and crops, while Tier 1 methodologies are used to estimate emissions from other animals and liming.</w:t>
      </w:r>
    </w:p>
    <w:p w14:paraId="336CB586" w14:textId="77777777" w:rsidR="0068777C" w:rsidRPr="00256982" w:rsidRDefault="0068777C" w:rsidP="0068777C">
      <w:pPr>
        <w:pStyle w:val="BodyText"/>
      </w:pPr>
      <w:r w:rsidRPr="00256982">
        <w:t xml:space="preserve">In 2017, 91.7 per cent of New Zealand’s agricultural emissions were from four ruminant livestock categories: </w:t>
      </w:r>
      <w:r w:rsidRPr="00256982">
        <w:rPr>
          <w:i/>
        </w:rPr>
        <w:t>Dairy cattle</w:t>
      </w:r>
      <w:r w:rsidRPr="00256982">
        <w:t xml:space="preserve">, </w:t>
      </w:r>
      <w:r w:rsidRPr="00256982">
        <w:rPr>
          <w:i/>
        </w:rPr>
        <w:t>Non-dairy cattle</w:t>
      </w:r>
      <w:r w:rsidRPr="00256982">
        <w:t>,</w:t>
      </w:r>
      <w:r w:rsidRPr="00256982">
        <w:rPr>
          <w:i/>
        </w:rPr>
        <w:t xml:space="preserve"> Sheep</w:t>
      </w:r>
      <w:r w:rsidRPr="00256982">
        <w:t xml:space="preserve"> and </w:t>
      </w:r>
      <w:r w:rsidRPr="00256982">
        <w:rPr>
          <w:i/>
        </w:rPr>
        <w:t>Deer</w:t>
      </w:r>
      <w:r w:rsidRPr="00256982">
        <w:t xml:space="preserve"> (referred to in this chapter as the ‘major’ livestock categories). New Zealand uses a detailed livestock population characterisation (see annex 3, table A3.1.2) and a complex ruminant animal nutrition and energy model to support the calculation of emissions from these livestock.</w:t>
      </w:r>
    </w:p>
    <w:p w14:paraId="6C7CB789" w14:textId="77777777" w:rsidR="0068777C" w:rsidRPr="00256982" w:rsidRDefault="0068777C" w:rsidP="0068777C">
      <w:pPr>
        <w:pStyle w:val="BodyText"/>
      </w:pPr>
      <w:r w:rsidRPr="00256982">
        <w:t>Other livestock species (</w:t>
      </w:r>
      <w:r w:rsidRPr="00256982">
        <w:rPr>
          <w:i/>
          <w:iCs/>
        </w:rPr>
        <w:t>Swine</w:t>
      </w:r>
      <w:r w:rsidRPr="00256982">
        <w:t xml:space="preserve">, </w:t>
      </w:r>
      <w:r w:rsidRPr="00256982">
        <w:rPr>
          <w:i/>
          <w:iCs/>
        </w:rPr>
        <w:t>Goats</w:t>
      </w:r>
      <w:r w:rsidRPr="00256982">
        <w:t>,</w:t>
      </w:r>
      <w:r w:rsidRPr="00256982">
        <w:rPr>
          <w:i/>
          <w:iCs/>
        </w:rPr>
        <w:t xml:space="preserve"> Horses</w:t>
      </w:r>
      <w:r w:rsidRPr="00256982">
        <w:t>,</w:t>
      </w:r>
      <w:r w:rsidRPr="00256982">
        <w:rPr>
          <w:i/>
          <w:iCs/>
        </w:rPr>
        <w:t xml:space="preserve"> Llamas and alpacas</w:t>
      </w:r>
      <w:r w:rsidRPr="00256982">
        <w:t>,</w:t>
      </w:r>
      <w:r w:rsidRPr="00256982">
        <w:rPr>
          <w:i/>
          <w:iCs/>
        </w:rPr>
        <w:t xml:space="preserve"> Mules and asses</w:t>
      </w:r>
      <w:r w:rsidRPr="00256982">
        <w:rPr>
          <w:iCs/>
        </w:rPr>
        <w:t>,</w:t>
      </w:r>
      <w:r w:rsidRPr="00256982">
        <w:t xml:space="preserve"> and </w:t>
      </w:r>
      <w:r w:rsidRPr="00256982">
        <w:rPr>
          <w:i/>
          <w:iCs/>
        </w:rPr>
        <w:t>Poultry</w:t>
      </w:r>
      <w:r w:rsidRPr="00256982">
        <w:t xml:space="preserve"> – referred to as ‘minor’ livestock categories) account for only 0.5 per cent of New Zealand’s agricultural emissions. These are estimated using Tier 1 methods. New Zealand uses country-specific emission methods and factors to estimate emissions for these minor livestock species, where information is available. </w:t>
      </w:r>
    </w:p>
    <w:p w14:paraId="0799E527" w14:textId="77777777" w:rsidR="0068777C" w:rsidRPr="00256982" w:rsidRDefault="0068777C" w:rsidP="0068777C">
      <w:pPr>
        <w:pStyle w:val="BodyText"/>
      </w:pPr>
      <w:r w:rsidRPr="00256982">
        <w:t>Direct and indirect N</w:t>
      </w:r>
      <w:r w:rsidRPr="00256982">
        <w:rPr>
          <w:vertAlign w:val="subscript"/>
        </w:rPr>
        <w:t>2</w:t>
      </w:r>
      <w:r w:rsidRPr="00256982">
        <w:t xml:space="preserve">O emissions from synthetic nitrogen fertiliser accounted for 4.3 per cent of New Zealand’s agricultural emissions and are calculated using country-specific emission factors. Carbon dioxide emissions from liming and urea contributed a combined 2.7 per cent towards 2017 total agricultural emissions. The remaining 0.8 per cent of New Zealand’s agricultural emissions are due to organic fertiliser, crop residue returned to the soil, cropland cultivation (histosols and nitrogen mineralisation) and cropland burning. Emissions from crop residues and the burning of some agriculture residues are calculated using a Tier 2 method. </w:t>
      </w:r>
    </w:p>
    <w:p w14:paraId="35F8CFAD" w14:textId="77777777" w:rsidR="0068777C" w:rsidRPr="00256982" w:rsidRDefault="0068777C" w:rsidP="0068777C">
      <w:pPr>
        <w:pStyle w:val="BodyText"/>
      </w:pPr>
      <w:r w:rsidRPr="00256982">
        <w:t xml:space="preserve">Further technical detail is provided in the inventory methodology document on the Ministry for Primary Industries website (www.mpi.govt.nz/dmsdocument/13906-detailed-methodologies-for-agricultural-greenhouse-gas-emission-calculation) and in the methodological issues section for each category in this document. The approach for determining livestock nutritional and energy requirements is described in the following paragraphs. </w:t>
      </w:r>
    </w:p>
    <w:p w14:paraId="2543F6C4" w14:textId="77777777" w:rsidR="0068777C" w:rsidRPr="00256982" w:rsidRDefault="0068777C" w:rsidP="00A72006">
      <w:pPr>
        <w:pStyle w:val="Heading4"/>
      </w:pPr>
      <w:r w:rsidRPr="00256982">
        <w:t xml:space="preserve">Description of the Tier 2 model for determining emissions from energy requirements for major ruminant livestock categories </w:t>
      </w:r>
    </w:p>
    <w:p w14:paraId="3B5E8BA7" w14:textId="77777777" w:rsidR="0068777C" w:rsidRPr="00256982" w:rsidRDefault="0068777C" w:rsidP="0068777C">
      <w:pPr>
        <w:pStyle w:val="BodyText"/>
      </w:pPr>
      <w:r w:rsidRPr="00256982">
        <w:t xml:space="preserve">A Tier 2 inventory model has been developed to calculate emissions from the major ruminant livestock categories (Clark et al., 2003), in line with good practice guidelines (IPCC, 2000, 2006). The national model is constantly being improved through new research. New Zealand’s modelling for the major livestock categories is considered to be close to a Tier 3 methodology, </w:t>
      </w:r>
      <w:r w:rsidRPr="00256982">
        <w:lastRenderedPageBreak/>
        <w:t xml:space="preserve">because of its employment of country-specific emission factors and the use of monthly data intervals for livestock populations, animal productivity and pasture quality. Figure 5.1.7 outlines the methodology used to estimate emissions for the four major livestock categories. </w:t>
      </w:r>
    </w:p>
    <w:p w14:paraId="35206654" w14:textId="77777777" w:rsidR="0068777C" w:rsidRPr="00256982" w:rsidRDefault="0068777C" w:rsidP="0068777C">
      <w:pPr>
        <w:pStyle w:val="BodyText"/>
      </w:pPr>
      <w:r w:rsidRPr="00256982">
        <w:t>Agricultural production (meat, milk and wool) and livestock population data are combined with data on the total metabolisable energy (ME) content of the animal’s diet. This is used to determine the level of feed intake required to meet total annual productivity levels of the livestock categories, which is then multiplied by a CH</w:t>
      </w:r>
      <w:r w:rsidRPr="00256982">
        <w:rPr>
          <w:vertAlign w:val="subscript"/>
        </w:rPr>
        <w:t>4</w:t>
      </w:r>
      <w:r w:rsidRPr="00256982">
        <w:t xml:space="preserve"> emission factor (or a suitable alternative methodology) to calculate CH</w:t>
      </w:r>
      <w:r w:rsidRPr="00256982">
        <w:rPr>
          <w:vertAlign w:val="subscript"/>
        </w:rPr>
        <w:t>4</w:t>
      </w:r>
      <w:r w:rsidRPr="00256982">
        <w:t xml:space="preserve"> emissions from enteric fermentation. Information on the nitrogen content of feed is used with dry-matter intake (DMI) to calculate nitrogen intake and excretion, and N</w:t>
      </w:r>
      <w:r w:rsidRPr="00256982">
        <w:rPr>
          <w:vertAlign w:val="subscript"/>
        </w:rPr>
        <w:t>2</w:t>
      </w:r>
      <w:r w:rsidRPr="00256982">
        <w:t>O emissions.</w:t>
      </w:r>
    </w:p>
    <w:p w14:paraId="37026421" w14:textId="77777777" w:rsidR="0068777C" w:rsidRPr="00256982" w:rsidRDefault="0068777C" w:rsidP="00A72006">
      <w:pPr>
        <w:pStyle w:val="Figure"/>
      </w:pPr>
      <w:bookmarkStart w:id="502" w:name="_Toc481752010"/>
      <w:bookmarkStart w:id="503" w:name="_Toc507158469"/>
      <w:bookmarkStart w:id="504" w:name="_Toc511116960"/>
      <w:bookmarkStart w:id="505" w:name="_Toc5269690"/>
      <w:r w:rsidRPr="00256982">
        <w:t xml:space="preserve">Figure 5.1.7 </w:t>
      </w:r>
      <w:r w:rsidRPr="00256982">
        <w:tab/>
        <w:t>Simplified methodology for calculating emissions for major ruminant livestock categories</w:t>
      </w:r>
      <w:bookmarkEnd w:id="502"/>
      <w:bookmarkEnd w:id="503"/>
      <w:bookmarkEnd w:id="504"/>
      <w:bookmarkEnd w:id="505"/>
    </w:p>
    <w:p w14:paraId="71C827FE" w14:textId="18536DD5" w:rsidR="0068777C" w:rsidRPr="00256982" w:rsidRDefault="000233E5" w:rsidP="0068777C">
      <w:pPr>
        <w:jc w:val="center"/>
      </w:pPr>
      <w:r w:rsidRPr="00256982">
        <w:rPr>
          <w:rFonts w:ascii="Calibri" w:eastAsia="Calibri" w:hAnsi="Calibri"/>
          <w:szCs w:val="22"/>
        </w:rPr>
        <w:object w:dxaOrig="14670" w:dyaOrig="13470" w14:anchorId="21CBC8F6">
          <v:shape id="_x0000_i1077" type="#_x0000_t75" style="width:330pt;height:365.25pt" o:ole="">
            <v:imagedata r:id="rId98" o:title="" cropbottom="1320f" cropright="12005f"/>
          </v:shape>
          <o:OLEObject Type="Embed" ProgID="Visio.Drawing.15" ShapeID="_x0000_i1077" DrawAspect="Content" ObjectID="_1616241196" r:id="rId99"/>
        </w:object>
      </w:r>
    </w:p>
    <w:p w14:paraId="26B32B98" w14:textId="77777777" w:rsidR="0068777C" w:rsidRPr="00256982" w:rsidRDefault="0068777C" w:rsidP="000233E5">
      <w:pPr>
        <w:pStyle w:val="Noteundertable"/>
        <w:spacing w:before="0"/>
      </w:pPr>
      <w:r w:rsidRPr="00256982">
        <w:rPr>
          <w:b/>
        </w:rPr>
        <w:t xml:space="preserve">Note: </w:t>
      </w:r>
      <w:r w:rsidRPr="00256982">
        <w:tab/>
        <w:t>CH</w:t>
      </w:r>
      <w:r w:rsidRPr="00256982">
        <w:rPr>
          <w:vertAlign w:val="subscript"/>
        </w:rPr>
        <w:t>4</w:t>
      </w:r>
      <w:r w:rsidRPr="00256982">
        <w:t xml:space="preserve"> = methane; DM = dry matter; kg = kilogram; N</w:t>
      </w:r>
      <w:r w:rsidRPr="00256982">
        <w:rPr>
          <w:vertAlign w:val="subscript"/>
        </w:rPr>
        <w:t>2</w:t>
      </w:r>
      <w:r w:rsidRPr="00256982">
        <w:t>O = nitrous oxide.</w:t>
      </w:r>
    </w:p>
    <w:p w14:paraId="429C247C" w14:textId="77777777" w:rsidR="0068777C" w:rsidRPr="00256982" w:rsidRDefault="0068777C" w:rsidP="000233E5">
      <w:pPr>
        <w:pStyle w:val="BodyText"/>
        <w:spacing w:after="60"/>
      </w:pPr>
      <w:r w:rsidRPr="00256982">
        <w:t>The main emissions from ruminant livestock are CH</w:t>
      </w:r>
      <w:r w:rsidRPr="00256982">
        <w:rPr>
          <w:vertAlign w:val="subscript"/>
        </w:rPr>
        <w:t>4</w:t>
      </w:r>
      <w:r w:rsidRPr="00256982">
        <w:t xml:space="preserve"> from enteric fermentation and N</w:t>
      </w:r>
      <w:r w:rsidRPr="00256982">
        <w:rPr>
          <w:vertAlign w:val="subscript"/>
        </w:rPr>
        <w:t>2</w:t>
      </w:r>
      <w:r w:rsidRPr="00256982">
        <w:t>O from manure (urine and dung). The level of these emissions is a function of livestock energy requirements and the energy concentration of the feed, which determine the level of required feed intake (DMI):</w:t>
      </w:r>
    </w:p>
    <w:p w14:paraId="7B3080B6" w14:textId="02161925" w:rsidR="0068777C" w:rsidRPr="00256982" w:rsidRDefault="00590491" w:rsidP="0068777C">
      <w:pPr>
        <w:spacing w:after="120"/>
        <w:jc w:val="center"/>
      </w:pPr>
      <w:r>
        <w:pict w14:anchorId="287DEDBC">
          <v:shape id="_x0000_i1078" type="#_x0000_t75" style="width:78.75pt;height:24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5&lt;/o:Version&gt;&lt;/o:DocumentProperties&gt;&lt;w:docPr&gt;&lt;w:view w:val=&quot;print&quot;/&gt;&lt;w:zoom w:percent=&quot;110&quot;/&gt;&lt;w:doNotEmbedSystemFonts/&gt;&lt;w:activeWritingStyle w:lang=&quot;EN-NZ&quot; w:vendorID=&quot;64&quot; w:dllVersion=&quot;131078&quot; w:nlCheck=&quot;on&quot; w:optionSet=&quot;1&quot;/&gt;&lt;w:stylePaneFormatFilter w:val=&quot;5804&quot;/&gt;&lt;w:defaultTabStop w:val=&quot;720&quot;/&gt;&lt;w:evenAndOddHeaders/&gt;&lt;w:drawingGridHorizontalSpacing w:val=&quot;187&quot;/&gt;&lt;w:displayVerticalDrawingGridEvery w:val=&quot;2&quot;/&gt;&lt;w:characterSpacingControl w:val=&quot;DontCompress&quot;/&gt;&lt;w:optimizeForBrowser/&gt;&lt;w:validateAgainstSchema/&gt;&lt;w:saveInvalidXML w:val=&quot;off&quot;/&gt;&lt;w:ignoreMixedContent w:val=&quot;off&quot;/&gt;&lt;w:alwaysShowPlaceholderText w:val=&quot;off&quot;/&gt;&lt;w:compat&gt;&lt;w:suppressBottomSpacing/&gt;&lt;w:suppressSpBfAfterPgBrk/&gt;&lt;w:doNotUseHTMLParagraphAutoSpacing/&gt;&lt;w:breakWrappedTables/&gt;&lt;w:snapToGridInCell/&gt;&lt;w:wrapTextWithPunct/&gt;&lt;w:useAsianBreakRules/&gt;&lt;w:useWord2002TableStyleRules/&gt;&lt;/w:compat&gt;&lt;wsp:rsids&gt;&lt;wsp:rsidRoot wsp:val=&quot;00702030&quot;/&gt;&lt;wsp:rsid wsp:val=&quot;00001716&quot;/&gt;&lt;wsp:rsid wsp:val=&quot;00007ABB&quot;/&gt;&lt;wsp:rsid wsp:val=&quot;00013566&quot;/&gt;&lt;wsp:rsid wsp:val=&quot;00015CFC&quot;/&gt;&lt;wsp:rsid wsp:val=&quot;000219C8&quot;/&gt;&lt;wsp:rsid wsp:val=&quot;00021ACF&quot;/&gt;&lt;wsp:rsid wsp:val=&quot;00027E55&quot;/&gt;&lt;wsp:rsid wsp:val=&quot;00032A28&quot;/&gt;&lt;wsp:rsid wsp:val=&quot;00035185&quot;/&gt;&lt;wsp:rsid wsp:val=&quot;00050008&quot;/&gt;&lt;wsp:rsid wsp:val=&quot;0006123B&quot;/&gt;&lt;wsp:rsid wsp:val=&quot;00084588&quot;/&gt;&lt;wsp:rsid wsp:val=&quot;000A3774&quot;/&gt;&lt;wsp:rsid wsp:val=&quot;000C20A6&quot;/&gt;&lt;wsp:rsid wsp:val=&quot;000E1498&quot;/&gt;&lt;wsp:rsid wsp:val=&quot;000F4DEF&quot;/&gt;&lt;wsp:rsid wsp:val=&quot;000F6318&quot;/&gt;&lt;wsp:rsid wsp:val=&quot;00116E1B&quot;/&gt;&lt;wsp:rsid wsp:val=&quot;001221C3&quot;/&gt;&lt;wsp:rsid wsp:val=&quot;00134FC2&quot;/&gt;&lt;wsp:rsid wsp:val=&quot;00153F5A&quot;/&gt;&lt;wsp:rsid wsp:val=&quot;001970E1&quot;/&gt;&lt;wsp:rsid wsp:val=&quot;001A1997&quot;/&gt;&lt;wsp:rsid wsp:val=&quot;001B6FD2&quot;/&gt;&lt;wsp:rsid wsp:val=&quot;001D3490&quot;/&gt;&lt;wsp:rsid wsp:val=&quot;00207ABF&quot;/&gt;&lt;wsp:rsid wsp:val=&quot;0023070D&quot;/&gt;&lt;wsp:rsid wsp:val=&quot;00240B42&quot;/&gt;&lt;wsp:rsid wsp:val=&quot;0024542F&quot;/&gt;&lt;wsp:rsid wsp:val=&quot;00260B48&quot;/&gt;&lt;wsp:rsid wsp:val=&quot;00273218&quot;/&gt;&lt;wsp:rsid wsp:val=&quot;0028581A&quot;/&gt;&lt;wsp:rsid wsp:val=&quot;002868D3&quot;/&gt;&lt;wsp:rsid wsp:val=&quot;00295B2A&quot;/&gt;&lt;wsp:rsid wsp:val=&quot;002A1361&quot;/&gt;&lt;wsp:rsid wsp:val=&quot;002A49D7&quot;/&gt;&lt;wsp:rsid wsp:val=&quot;002B1C5A&quot;/&gt;&lt;wsp:rsid wsp:val=&quot;002B3284&quot;/&gt;&lt;wsp:rsid wsp:val=&quot;002B6594&quot;/&gt;&lt;wsp:rsid wsp:val=&quot;002D60DB&quot;/&gt;&lt;wsp:rsid wsp:val=&quot;002D6A54&quot;/&gt;&lt;wsp:rsid wsp:val=&quot;002F134A&quot;/&gt;&lt;wsp:rsid wsp:val=&quot;00302D84&quot;/&gt;&lt;wsp:rsid wsp:val=&quot;00315760&quot;/&gt;&lt;wsp:rsid wsp:val=&quot;00333ACA&quot;/&gt;&lt;wsp:rsid wsp:val=&quot;00336A51&quot;/&gt;&lt;wsp:rsid wsp:val=&quot;0037590E&quot;/&gt;&lt;wsp:rsid wsp:val=&quot;00377186&quot;/&gt;&lt;wsp:rsid wsp:val=&quot;00383207&quot;/&gt;&lt;wsp:rsid wsp:val=&quot;00391D8B&quot;/&gt;&lt;wsp:rsid wsp:val=&quot;003972EF&quot;/&gt;&lt;wsp:rsid wsp:val=&quot;00397D2B&quot;/&gt;&lt;wsp:rsid wsp:val=&quot;003A3F0A&quot;/&gt;&lt;wsp:rsid wsp:val=&quot;003A5006&quot;/&gt;&lt;wsp:rsid wsp:val=&quot;003C2615&quot;/&gt;&lt;wsp:rsid wsp:val=&quot;003D0318&quot;/&gt;&lt;wsp:rsid wsp:val=&quot;003D5417&quot;/&gt;&lt;wsp:rsid wsp:val=&quot;00400F92&quot;/&gt;&lt;wsp:rsid wsp:val=&quot;0042424B&quot;/&gt;&lt;wsp:rsid wsp:val=&quot;00430D5D&quot;/&gt;&lt;wsp:rsid wsp:val=&quot;00440459&quot;/&gt;&lt;wsp:rsid wsp:val=&quot;0045652C&quot;/&gt;&lt;wsp:rsid wsp:val=&quot;00462497&quot;/&gt;&lt;wsp:rsid wsp:val=&quot;004805A3&quot;/&gt;&lt;wsp:rsid wsp:val=&quot;00490EB0&quot;/&gt;&lt;wsp:rsid wsp:val=&quot;00494545&quot;/&gt;&lt;wsp:rsid wsp:val=&quot;004A618E&quot;/&gt;&lt;wsp:rsid wsp:val=&quot;004C4C3C&quot;/&gt;&lt;wsp:rsid wsp:val=&quot;004D3C29&quot;/&gt;&lt;wsp:rsid wsp:val=&quot;004E4B2C&quot;/&gt;&lt;wsp:rsid wsp:val=&quot;004F1572&quot;/&gt;&lt;wsp:rsid wsp:val=&quot;005072D0&quot;/&gt;&lt;wsp:rsid wsp:val=&quot;00511420&quot;/&gt;&lt;wsp:rsid wsp:val=&quot;00526270&quot;/&gt;&lt;wsp:rsid wsp:val=&quot;00534210&quot;/&gt;&lt;wsp:rsid wsp:val=&quot;00546A6A&quot;/&gt;&lt;wsp:rsid wsp:val=&quot;005630B0&quot;/&gt;&lt;wsp:rsid wsp:val=&quot;005660CD&quot;/&gt;&lt;wsp:rsid wsp:val=&quot;005720F2&quot;/&gt;&lt;wsp:rsid wsp:val=&quot;00596603&quot;/&gt;&lt;wsp:rsid wsp:val=&quot;005A10D4&quot;/&gt;&lt;wsp:rsid wsp:val=&quot;005A1E61&quot;/&gt;&lt;wsp:rsid wsp:val=&quot;005B76A4&quot;/&gt;&lt;wsp:rsid wsp:val=&quot;005C3384&quot;/&gt;&lt;wsp:rsid wsp:val=&quot;005C416E&quot;/&gt;&lt;wsp:rsid wsp:val=&quot;005D1C3A&quot;/&gt;&lt;wsp:rsid wsp:val=&quot;005E43DD&quot;/&gt;&lt;wsp:rsid wsp:val=&quot;00600179&quot;/&gt;&lt;wsp:rsid wsp:val=&quot;00603FC0&quot;/&gt;&lt;wsp:rsid wsp:val=&quot;00611ECD&quot;/&gt;&lt;wsp:rsid wsp:val=&quot;00636BF0&quot;/&gt;&lt;wsp:rsid wsp:val=&quot;00646B6D&quot;/&gt;&lt;wsp:rsid wsp:val=&quot;00655908&quot;/&gt;&lt;wsp:rsid wsp:val=&quot;006654F8&quot;/&gt;&lt;wsp:rsid wsp:val=&quot;00665768&quot;/&gt;&lt;wsp:rsid wsp:val=&quot;00667291&quot;/&gt;&lt;wsp:rsid wsp:val=&quot;00686249&quot;/&gt;&lt;wsp:rsid wsp:val=&quot;00687504&quot;/&gt;&lt;wsp:rsid wsp:val=&quot;0068777C&quot;/&gt;&lt;wsp:rsid wsp:val=&quot;006A171F&quot;/&gt;&lt;wsp:rsid wsp:val=&quot;006A4E5F&quot;/&gt;&lt;wsp:rsid wsp:val=&quot;006D4600&quot;/&gt;&lt;wsp:rsid wsp:val=&quot;006E0A2C&quot;/&gt;&lt;wsp:rsid wsp:val=&quot;006E202B&quot;/&gt;&lt;wsp:rsid wsp:val=&quot;006E57B5&quot;/&gt;&lt;wsp:rsid wsp:val=&quot;006E6AE2&quot;/&gt;&lt;wsp:rsid wsp:val=&quot;006F0CF5&quot;/&gt;&lt;wsp:rsid wsp:val=&quot;00702030&quot;/&gt;&lt;wsp:rsid wsp:val=&quot;00702FA0&quot;/&gt;&lt;wsp:rsid wsp:val=&quot;00724218&quot;/&gt;&lt;wsp:rsid wsp:val=&quot;007350B6&quot;/&gt;&lt;wsp:rsid wsp:val=&quot;00737E65&quot;/&gt;&lt;wsp:rsid wsp:val=&quot;0074030A&quot;/&gt;&lt;wsp:rsid wsp:val=&quot;00753965&quot;/&gt;&lt;wsp:rsid wsp:val=&quot;00762043&quot;/&gt;&lt;wsp:rsid wsp:val=&quot;007633C2&quot;/&gt;&lt;wsp:rsid wsp:val=&quot;00765A47&quot;/&gt;&lt;wsp:rsid wsp:val=&quot;00770E82&quot;/&gt;&lt;wsp:rsid wsp:val=&quot;00772E94&quot;/&gt;&lt;wsp:rsid wsp:val=&quot;00773278&quot;/&gt;&lt;wsp:rsid wsp:val=&quot;007A1993&quot;/&gt;&lt;wsp:rsid wsp:val=&quot;007A7194&quot;/&gt;&lt;wsp:rsid wsp:val=&quot;007B028B&quot;/&gt;&lt;wsp:rsid wsp:val=&quot;007B1D71&quot;/&gt;&lt;wsp:rsid wsp:val=&quot;007C00D0&quot;/&gt;&lt;wsp:rsid wsp:val=&quot;007C2186&quot;/&gt;&lt;wsp:rsid wsp:val=&quot;007F2233&quot;/&gt;&lt;wsp:rsid wsp:val=&quot;007F73BB&quot;/&gt;&lt;wsp:rsid wsp:val=&quot;00806461&quot;/&gt;&lt;wsp:rsid wsp:val=&quot;0080694B&quot;/&gt;&lt;wsp:rsid wsp:val=&quot;0081779C&quot;/&gt;&lt;wsp:rsid wsp:val=&quot;00831D0D&quot;/&gt;&lt;wsp:rsid wsp:val=&quot;00832DEE&quot;/&gt;&lt;wsp:rsid wsp:val=&quot;00835C2B&quot;/&gt;&lt;wsp:rsid wsp:val=&quot;00837FBE&quot;/&gt;&lt;wsp:rsid wsp:val=&quot;00846B89&quot;/&gt;&lt;wsp:rsid wsp:val=&quot;00855A8A&quot;/&gt;&lt;wsp:rsid wsp:val=&quot;00886AAC&quot;/&gt;&lt;wsp:rsid wsp:val=&quot;008A2EC5&quot;/&gt;&lt;wsp:rsid wsp:val=&quot;008B77F5&quot;/&gt;&lt;wsp:rsid wsp:val=&quot;008C0279&quot;/&gt;&lt;wsp:rsid wsp:val=&quot;008C7F68&quot;/&gt;&lt;wsp:rsid wsp:val=&quot;008E380C&quot;/&gt;&lt;wsp:rsid wsp:val=&quot;008F25D2&quot;/&gt;&lt;wsp:rsid wsp:val=&quot;008F50EC&quot;/&gt;&lt;wsp:rsid wsp:val=&quot;00906C96&quot;/&gt;&lt;wsp:rsid wsp:val=&quot;00914CC6&quot;/&gt;&lt;wsp:rsid wsp:val=&quot;0092751F&quot;/&gt;&lt;wsp:rsid wsp:val=&quot;00932067&quot;/&gt;&lt;wsp:rsid wsp:val=&quot;0093594A&quot;/&gt;&lt;wsp:rsid wsp:val=&quot;00945379&quot;/&gt;&lt;wsp:rsid wsp:val=&quot;00955D73&quot;/&gt;&lt;wsp:rsid wsp:val=&quot;0096512C&quot;/&gt;&lt;wsp:rsid wsp:val=&quot;0096540A&quot;/&gt;&lt;wsp:rsid wsp:val=&quot;009A0D25&quot;/&gt;&lt;wsp:rsid wsp:val=&quot;009C5D2A&quot;/&gt;&lt;wsp:rsid wsp:val=&quot;009E792C&quot;/&gt;&lt;wsp:rsid wsp:val=&quot;00A331E7&quot;/&gt;&lt;wsp:rsid wsp:val=&quot;00A41C3C&quot;/&gt;&lt;wsp:rsid wsp:val=&quot;00A42C52&quot;/&gt;&lt;wsp:rsid wsp:val=&quot;00A808C7&quot;/&gt;&lt;wsp:rsid wsp:val=&quot;00AB2710&quot;/&gt;&lt;wsp:rsid wsp:val=&quot;00AD184B&quot;/&gt;&lt;wsp:rsid wsp:val=&quot;00B0566D&quot;/&gt;&lt;wsp:rsid wsp:val=&quot;00B10937&quot;/&gt;&lt;wsp:rsid wsp:val=&quot;00B35BD9&quot;/&gt;&lt;wsp:rsid wsp:val=&quot;00B37DE8&quot;/&gt;&lt;wsp:rsid wsp:val=&quot;00B448C0&quot;/&gt;&lt;wsp:rsid wsp:val=&quot;00B44BA5&quot;/&gt;&lt;wsp:rsid wsp:val=&quot;00B6460B&quot;/&gt;&lt;wsp:rsid wsp:val=&quot;00BA5F7E&quot;/&gt;&lt;wsp:rsid wsp:val=&quot;00BC7E76&quot;/&gt;&lt;wsp:rsid wsp:val=&quot;00BF12F6&quot;/&gt;&lt;wsp:rsid wsp:val=&quot;00C00765&quot;/&gt;&lt;wsp:rsid wsp:val=&quot;00C10464&quot;/&gt;&lt;wsp:rsid wsp:val=&quot;00C119C2&quot;/&gt;&lt;wsp:rsid wsp:val=&quot;00C13667&quot;/&gt;&lt;wsp:rsid wsp:val=&quot;00C21B54&quot;/&gt;&lt;wsp:rsid wsp:val=&quot;00C40967&quot;/&gt;&lt;wsp:rsid wsp:val=&quot;00C463D8&quot;/&gt;&lt;wsp:rsid wsp:val=&quot;00C55A30&quot;/&gt;&lt;wsp:rsid wsp:val=&quot;00C600E2&quot;/&gt;&lt;wsp:rsid wsp:val=&quot;00C63D43&quot;/&gt;&lt;wsp:rsid wsp:val=&quot;00C74134&quot;/&gt;&lt;wsp:rsid wsp:val=&quot;00C823B1&quot;/&gt;&lt;wsp:rsid wsp:val=&quot;00C9625F&quot;/&gt;&lt;wsp:rsid wsp:val=&quot;00CA271E&quot;/&gt;&lt;wsp:rsid wsp:val=&quot;00CB1488&quot;/&gt;&lt;wsp:rsid wsp:val=&quot;00CB7414&quot;/&gt;&lt;wsp:rsid wsp:val=&quot;00CC4FF7&quot;/&gt;&lt;wsp:rsid wsp:val=&quot;00D01CFE&quot;/&gt;&lt;wsp:rsid wsp:val=&quot;00D07C4B&quot;/&gt;&lt;wsp:rsid wsp:val=&quot;00D225D8&quot;/&gt;&lt;wsp:rsid wsp:val=&quot;00D33A2E&quot;/&gt;&lt;wsp:rsid wsp:val=&quot;00D4311F&quot;/&gt;&lt;wsp:rsid wsp:val=&quot;00D511A1&quot;/&gt;&lt;wsp:rsid wsp:val=&quot;00D872BF&quot;/&gt;&lt;wsp:rsid wsp:val=&quot;00DB124F&quot;/&gt;&lt;wsp:rsid wsp:val=&quot;00DE01F6&quot;/&gt;&lt;wsp:rsid wsp:val=&quot;00DE2998&quot;/&gt;&lt;wsp:rsid wsp:val=&quot;00DE4223&quot;/&gt;&lt;wsp:rsid wsp:val=&quot;00DE64BC&quot;/&gt;&lt;wsp:rsid wsp:val=&quot;00DE6B60&quot;/&gt;&lt;wsp:rsid wsp:val=&quot;00E01CCF&quot;/&gt;&lt;wsp:rsid wsp:val=&quot;00E06D10&quot;/&gt;&lt;wsp:rsid wsp:val=&quot;00E20458&quot;/&gt;&lt;wsp:rsid wsp:val=&quot;00E56487&quot;/&gt;&lt;wsp:rsid wsp:val=&quot;00E853F3&quot;/&gt;&lt;wsp:rsid wsp:val=&quot;00EC2491&quot;/&gt;&lt;wsp:rsid wsp:val=&quot;00EC3056&quot;/&gt;&lt;wsp:rsid wsp:val=&quot;00ED2C42&quot;/&gt;&lt;wsp:rsid wsp:val=&quot;00EF3B2B&quot;/&gt;&lt;wsp:rsid wsp:val=&quot;00F00EE9&quot;/&gt;&lt;wsp:rsid wsp:val=&quot;00F379DD&quot;/&gt;&lt;wsp:rsid wsp:val=&quot;00F47244&quot;/&gt;&lt;wsp:rsid wsp:val=&quot;00FA5F45&quot;/&gt;&lt;wsp:rsid wsp:val=&quot;00FA7522&quot;/&gt;&lt;wsp:rsid wsp:val=&quot;00FC2C59&quot;/&gt;&lt;wsp:rsid wsp:val=&quot;00FC5421&quot;/&gt;&lt;wsp:rsid wsp:val=&quot;00FD178C&quot;/&gt;&lt;wsp:rsid wsp:val=&quot;00FF67A7&quot;/&gt;&lt;/wsp:rsids&gt;&lt;/w:docPr&gt;&lt;w:body&gt;&lt;wx:sect&gt;&lt;w:p wsp:rsidR=&quot;00000000&quot; wsp:rsidRPr=&quot;00945379&quot; wsp:rsidRDefault=&quot;00945379&quot; wsp:rsidP=&quot;00945379&quot;&gt;&lt;m:oMathPara&gt;&lt;m:oMath&gt;&lt;m:r&gt;&lt;w:rPr&gt;&lt;w:rFonts w:ascii=&quot;Cambria Math&quot; w:h-ansi=&quot;Cambria Math&quot;/&gt;&lt;wx:font wx:val=&quot;Cambria Math&quot;/&gt;&lt;w:i/&gt;&lt;/w:rPr&gt;&lt;m:t&gt;DMI=&lt;/m:t&gt;&lt;/m:r&gt;&lt;m:f&gt;&lt;m:fPr&gt;&lt;m:ctrlPr&gt;&lt;w:rPr&gt;&lt;w:rFonts w:ascii=&quot;Cambria Math&quot; w:h-ansi=&quot;Cambria Math&quot;/&gt;&lt;wx:font wx:val=&quot;Cambria Math&quot;/&gt;&lt;w:i/&gt;&lt;/w:rPr&gt;&lt;/m:ctrlPr&gt;&lt;/m:fPr&gt;&lt;m:num&gt;&lt;m:r&gt;&lt;w:rPr&gt;&lt;w:rFonts w:ascii=&quot;Cambria Math&quot; w:h-ansi=&quot;Cambria Math&quot;/&gt;&lt;wx:font wx:val=&quot;Cambria Math&quot;/&gt;&lt;w:i/&gt;&lt;/w:rPr&gt;&lt;m:t&gt;M&lt;/m:t&gt;&lt;/m:r&gt;&lt;m:sSub&gt;&lt;m:sSubPr&gt;&lt;m:ctrlPr&gt;&lt;w:rPr&gt;&lt;w:rFonts w:ascii=&quot;Cambria Math&quot; w:h-ansi=&quot;Cambria Math&quot;/&gt;&lt;wx:font wx:val=&quot;Cambria Math&quot;/&gt;&lt;w:i/&gt;&lt;/w:rPr&gt;&lt;/m:ctrlPr&gt;&lt;/m:sSubPr&gt;&lt;m:e&gt;&lt;m:r&gt;&lt;w:rPr&gt;&lt;w:rFonts w:ascii=&quot;Cambria Math&quot; w:h-ansi=&quot;Cambria Math&quot;/&gt;&lt;wx:font wx:val=&quot;Cambria Math&quot;/&gt;&lt;w:i/&gt;&lt;/w:rPr&gt;&lt;m:t&gt;E&lt;/m:t&gt;&lt;/m:r&gt;&lt;/m:e&gt;&lt;m:sub&gt;&lt;m:r&gt;&lt;w:rPr&gt;&lt;w:rFonts w:ascii=&quot;Cambria Math&quot; w:h-ansi=&quot;Cambria Math&quot;/&gt;&lt;wx:font wx:val=&quot;Cambria Math&quot;/&gt;&lt;w:i/&gt;&lt;/w:rPr&gt;&lt;m:t&gt;TOTAL&lt;/m:t&gt;&lt;/m:r&gt;&lt;/m:sub&gt;&lt;/m:sSub&gt;&lt;/m:num&gt;&lt;m:den&gt;&lt;m:r&gt;&lt;w:rPr&gt;&lt;w:rFonts w:ascii=&quot;Cambria Math&quot; w:h-ansi=&quot;Cambria Math&quot;/&gt;&lt;wx:font wx:val=&quot;Cambria Math&quot;/&gt;&lt;w:i/&gt;&lt;/w:rPr&gt;&lt;m:t&gt;E&lt;/m:t&gt;&lt;/m:r&gt;&lt;/m:den&gt;&lt;/m:f&gt;&lt;/m:oMath&gt;&lt;/m:oMathPara&gt;&lt;/w:p&gt;&lt;w:sectPr wsp:rsidR=&quot;00000000&quot; wsp:rsidRPr=&quot;00945379&quot;&gt;&lt;w:pgSz w:w=&quot;12240&quot; w:h=&quot;15840&quot;/&gt;&lt;w:pgMar w:top=&quot;1440&quot; w:right=&quot;1440&quot; w:bottom=&quot;1440&quot; w:left=&quot;1440&quot; w:header=&quot;720&quot; w:footer=&quot;720&quot; w:gutter=&quot;0&quot;/&gt;&lt;w:cols w:space=&quot;720&quot;/&gt;&lt;/w:sectPr&gt;&lt;/wx:sect&gt;&lt;/w:body&gt;&lt;/w:wordDocument&gt;">
            <v:imagedata r:id="rId100" o:title="" chromakey="white"/>
          </v:shape>
        </w:pict>
      </w:r>
    </w:p>
    <w:p w14:paraId="0EC6B3E4" w14:textId="77777777" w:rsidR="0068777C" w:rsidRPr="00256982" w:rsidRDefault="0068777C" w:rsidP="000233E5">
      <w:pPr>
        <w:spacing w:before="120" w:after="60"/>
        <w:ind w:left="993" w:hanging="993"/>
      </w:pPr>
      <w:r w:rsidRPr="00256982">
        <w:t>Where:</w:t>
      </w:r>
      <w:r w:rsidRPr="00256982">
        <w:tab/>
        <w:t>DMI is the dry-matter intake (kg)</w:t>
      </w:r>
    </w:p>
    <w:p w14:paraId="77EFE959" w14:textId="77777777" w:rsidR="0068777C" w:rsidRPr="00256982" w:rsidRDefault="0068777C" w:rsidP="000233E5">
      <w:pPr>
        <w:spacing w:before="60" w:after="60"/>
        <w:ind w:left="993" w:hanging="993"/>
      </w:pPr>
      <w:r w:rsidRPr="00256982">
        <w:tab/>
        <w:t>ME</w:t>
      </w:r>
      <w:r w:rsidRPr="00256982">
        <w:rPr>
          <w:vertAlign w:val="subscript"/>
        </w:rPr>
        <w:t>TOTAL</w:t>
      </w:r>
      <w:r w:rsidRPr="00256982">
        <w:t xml:space="preserve"> is the total metabolisable energy requirement of the animal (kJ), and</w:t>
      </w:r>
    </w:p>
    <w:p w14:paraId="49D7EC06" w14:textId="77777777" w:rsidR="0068777C" w:rsidRPr="00256982" w:rsidRDefault="0068777C" w:rsidP="000233E5">
      <w:pPr>
        <w:spacing w:before="60" w:after="120"/>
        <w:ind w:left="993" w:hanging="993"/>
      </w:pPr>
      <w:r w:rsidRPr="00256982">
        <w:tab/>
        <w:t>E is the energy concentration in the feed (kJ/kg dry matter).</w:t>
      </w:r>
    </w:p>
    <w:p w14:paraId="7B868335" w14:textId="77777777" w:rsidR="0068777C" w:rsidRPr="00256982" w:rsidRDefault="0068777C" w:rsidP="0068777C">
      <w:pPr>
        <w:pStyle w:val="Heading5"/>
      </w:pPr>
      <w:r w:rsidRPr="00256982">
        <w:lastRenderedPageBreak/>
        <w:t>Calculating metabolisable energy requirements (ME</w:t>
      </w:r>
      <w:r w:rsidRPr="00256982">
        <w:rPr>
          <w:vertAlign w:val="subscript"/>
        </w:rPr>
        <w:t>TOTAL</w:t>
      </w:r>
      <w:r w:rsidRPr="00256982">
        <w:t xml:space="preserve">) </w:t>
      </w:r>
    </w:p>
    <w:p w14:paraId="72649112" w14:textId="77777777" w:rsidR="0068777C" w:rsidRPr="00256982" w:rsidRDefault="0068777C" w:rsidP="0068777C">
      <w:pPr>
        <w:spacing w:before="120" w:after="120"/>
      </w:pPr>
      <w:r w:rsidRPr="00256982">
        <w:t xml:space="preserve">For dairy cattle, non-dairy cattle and sheep, the approach for calculating the total ME requirement was developed in Australia by the Commonwealth Scientific and Industrial Research Organisation (CSIRO, 1990). These algorithms have been chosen because they specifically include methods to estimate the energy requirements of grazing ruminants, which is the predominant feeding method used in New Zealand. All calculations are performed on a monthly basis. The equation below is derived from the general equation used in the Australian feeding standards and adjusted to suit New Zealand conditions. </w:t>
      </w:r>
    </w:p>
    <w:p w14:paraId="171E5375" w14:textId="77777777" w:rsidR="0068777C" w:rsidRPr="00256982" w:rsidRDefault="0068777C" w:rsidP="0068777C">
      <w:pPr>
        <w:pStyle w:val="BodyText"/>
        <w:keepNext/>
      </w:pPr>
      <w:r w:rsidRPr="00256982">
        <w:t>The total energy required is made up of:</w:t>
      </w:r>
    </w:p>
    <w:p w14:paraId="017462FC" w14:textId="77777777" w:rsidR="0068777C" w:rsidRPr="00256982" w:rsidRDefault="0068777C" w:rsidP="0036046B">
      <w:pPr>
        <w:pStyle w:val="Bullet"/>
        <w:numPr>
          <w:ilvl w:val="0"/>
          <w:numId w:val="8"/>
        </w:numPr>
      </w:pPr>
      <w:r w:rsidRPr="00256982">
        <w:t>energy required to maintain animal weight, which is a function of the animal’s liveweight, gender, breed and stage of maturity (ME</w:t>
      </w:r>
      <w:r w:rsidRPr="00256982">
        <w:rPr>
          <w:vertAlign w:val="subscript"/>
        </w:rPr>
        <w:t>BASAL</w:t>
      </w:r>
      <w:r w:rsidRPr="00256982">
        <w:t>)</w:t>
      </w:r>
    </w:p>
    <w:p w14:paraId="690608DA" w14:textId="77777777" w:rsidR="0068777C" w:rsidRPr="00256982" w:rsidRDefault="0068777C" w:rsidP="0036046B">
      <w:pPr>
        <w:pStyle w:val="Bullet"/>
        <w:numPr>
          <w:ilvl w:val="0"/>
          <w:numId w:val="8"/>
        </w:numPr>
      </w:pPr>
      <w:r w:rsidRPr="00256982">
        <w:t xml:space="preserve">energy required for the given level of productivity (milk yield and liveweight gain for dairy and beef production respectively) and physiological state (e.g., pregnant or lactating) </w:t>
      </w:r>
    </w:p>
    <w:p w14:paraId="278E92F3" w14:textId="77777777" w:rsidR="0068777C" w:rsidRPr="00256982" w:rsidRDefault="0068777C" w:rsidP="0036046B">
      <w:pPr>
        <w:pStyle w:val="Bullet"/>
        <w:numPr>
          <w:ilvl w:val="0"/>
          <w:numId w:val="8"/>
        </w:numPr>
      </w:pPr>
      <w:r w:rsidRPr="00256982">
        <w:t>the additional amount of energy expended during grazing, compared with similar housed animals (ME</w:t>
      </w:r>
      <w:r w:rsidRPr="00256982">
        <w:rPr>
          <w:vertAlign w:val="subscript"/>
        </w:rPr>
        <w:t>GRAZE</w:t>
      </w:r>
      <w:r w:rsidRPr="00256982">
        <w:t xml:space="preserve">). </w:t>
      </w:r>
    </w:p>
    <w:p w14:paraId="23A84DF8" w14:textId="31A8CB44" w:rsidR="0068777C" w:rsidRPr="00256982" w:rsidRDefault="00590491" w:rsidP="0068777C">
      <w:pPr>
        <w:spacing w:before="60" w:after="120"/>
        <w:jc w:val="center"/>
      </w:pPr>
      <w:r>
        <w:pict w14:anchorId="450A27E1">
          <v:shape id="_x0000_i1079" type="#_x0000_t75" style="width:235.5pt;height:14.2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5&lt;/o:Version&gt;&lt;/o:DocumentProperties&gt;&lt;w:docPr&gt;&lt;w:view w:val=&quot;print&quot;/&gt;&lt;w:zoom w:percent=&quot;110&quot;/&gt;&lt;w:doNotEmbedSystemFonts/&gt;&lt;w:activeWritingStyle w:lang=&quot;EN-NZ&quot; w:vendorID=&quot;64&quot; w:dllVersion=&quot;131078&quot; w:nlCheck=&quot;on&quot; w:optionSet=&quot;1&quot;/&gt;&lt;w:stylePaneFormatFilter w:val=&quot;5804&quot;/&gt;&lt;w:defaultTabStop w:val=&quot;720&quot;/&gt;&lt;w:evenAndOddHeaders/&gt;&lt;w:drawingGridHorizontalSpacing w:val=&quot;187&quot;/&gt;&lt;w:displayVerticalDrawingGridEvery w:val=&quot;2&quot;/&gt;&lt;w:characterSpacingControl w:val=&quot;DontCompress&quot;/&gt;&lt;w:optimizeForBrowser/&gt;&lt;w:validateAgainstSchema/&gt;&lt;w:saveInvalidXML w:val=&quot;off&quot;/&gt;&lt;w:ignoreMixedContent w:val=&quot;off&quot;/&gt;&lt;w:alwaysShowPlaceholderText w:val=&quot;off&quot;/&gt;&lt;w:compat&gt;&lt;w:suppressBottomSpacing/&gt;&lt;w:suppressSpBfAfterPgBrk/&gt;&lt;w:doNotUseHTMLParagraphAutoSpacing/&gt;&lt;w:breakWrappedTables/&gt;&lt;w:snapToGridInCell/&gt;&lt;w:wrapTextWithPunct/&gt;&lt;w:useAsianBreakRules/&gt;&lt;w:useWord2002TableStyleRules/&gt;&lt;/w:compat&gt;&lt;wsp:rsids&gt;&lt;wsp:rsidRoot wsp:val=&quot;00702030&quot;/&gt;&lt;wsp:rsid wsp:val=&quot;00001716&quot;/&gt;&lt;wsp:rsid wsp:val=&quot;00007ABB&quot;/&gt;&lt;wsp:rsid wsp:val=&quot;00013566&quot;/&gt;&lt;wsp:rsid wsp:val=&quot;00015CFC&quot;/&gt;&lt;wsp:rsid wsp:val=&quot;000219C8&quot;/&gt;&lt;wsp:rsid wsp:val=&quot;00021ACF&quot;/&gt;&lt;wsp:rsid wsp:val=&quot;00027E55&quot;/&gt;&lt;wsp:rsid wsp:val=&quot;00032A28&quot;/&gt;&lt;wsp:rsid wsp:val=&quot;00035185&quot;/&gt;&lt;wsp:rsid wsp:val=&quot;00050008&quot;/&gt;&lt;wsp:rsid wsp:val=&quot;0006123B&quot;/&gt;&lt;wsp:rsid wsp:val=&quot;00084588&quot;/&gt;&lt;wsp:rsid wsp:val=&quot;000A3774&quot;/&gt;&lt;wsp:rsid wsp:val=&quot;000C20A6&quot;/&gt;&lt;wsp:rsid wsp:val=&quot;000E1498&quot;/&gt;&lt;wsp:rsid wsp:val=&quot;000F4DEF&quot;/&gt;&lt;wsp:rsid wsp:val=&quot;000F6318&quot;/&gt;&lt;wsp:rsid wsp:val=&quot;00116E1B&quot;/&gt;&lt;wsp:rsid wsp:val=&quot;001221C3&quot;/&gt;&lt;wsp:rsid wsp:val=&quot;00134FC2&quot;/&gt;&lt;wsp:rsid wsp:val=&quot;00153F5A&quot;/&gt;&lt;wsp:rsid wsp:val=&quot;001970E1&quot;/&gt;&lt;wsp:rsid wsp:val=&quot;001A1997&quot;/&gt;&lt;wsp:rsid wsp:val=&quot;001B6FD2&quot;/&gt;&lt;wsp:rsid wsp:val=&quot;001D3490&quot;/&gt;&lt;wsp:rsid wsp:val=&quot;00207ABF&quot;/&gt;&lt;wsp:rsid wsp:val=&quot;0023070D&quot;/&gt;&lt;wsp:rsid wsp:val=&quot;00240B42&quot;/&gt;&lt;wsp:rsid wsp:val=&quot;0024542F&quot;/&gt;&lt;wsp:rsid wsp:val=&quot;00260B48&quot;/&gt;&lt;wsp:rsid wsp:val=&quot;00273218&quot;/&gt;&lt;wsp:rsid wsp:val=&quot;0028581A&quot;/&gt;&lt;wsp:rsid wsp:val=&quot;002868D3&quot;/&gt;&lt;wsp:rsid wsp:val=&quot;00295B2A&quot;/&gt;&lt;wsp:rsid wsp:val=&quot;002A1361&quot;/&gt;&lt;wsp:rsid wsp:val=&quot;002A49D7&quot;/&gt;&lt;wsp:rsid wsp:val=&quot;002B1C5A&quot;/&gt;&lt;wsp:rsid wsp:val=&quot;002B3284&quot;/&gt;&lt;wsp:rsid wsp:val=&quot;002B6594&quot;/&gt;&lt;wsp:rsid wsp:val=&quot;002D60DB&quot;/&gt;&lt;wsp:rsid wsp:val=&quot;002D6A54&quot;/&gt;&lt;wsp:rsid wsp:val=&quot;002F134A&quot;/&gt;&lt;wsp:rsid wsp:val=&quot;00302D84&quot;/&gt;&lt;wsp:rsid wsp:val=&quot;00315760&quot;/&gt;&lt;wsp:rsid wsp:val=&quot;00333ACA&quot;/&gt;&lt;wsp:rsid wsp:val=&quot;00336A51&quot;/&gt;&lt;wsp:rsid wsp:val=&quot;0037590E&quot;/&gt;&lt;wsp:rsid wsp:val=&quot;00377186&quot;/&gt;&lt;wsp:rsid wsp:val=&quot;00383207&quot;/&gt;&lt;wsp:rsid wsp:val=&quot;00391D8B&quot;/&gt;&lt;wsp:rsid wsp:val=&quot;003972EF&quot;/&gt;&lt;wsp:rsid wsp:val=&quot;00397D2B&quot;/&gt;&lt;wsp:rsid wsp:val=&quot;003A3F0A&quot;/&gt;&lt;wsp:rsid wsp:val=&quot;003A5006&quot;/&gt;&lt;wsp:rsid wsp:val=&quot;003C2615&quot;/&gt;&lt;wsp:rsid wsp:val=&quot;003D0318&quot;/&gt;&lt;wsp:rsid wsp:val=&quot;003D5417&quot;/&gt;&lt;wsp:rsid wsp:val=&quot;00400F92&quot;/&gt;&lt;wsp:rsid wsp:val=&quot;0042424B&quot;/&gt;&lt;wsp:rsid wsp:val=&quot;00430D5D&quot;/&gt;&lt;wsp:rsid wsp:val=&quot;00440459&quot;/&gt;&lt;wsp:rsid wsp:val=&quot;0045652C&quot;/&gt;&lt;wsp:rsid wsp:val=&quot;00462497&quot;/&gt;&lt;wsp:rsid wsp:val=&quot;004805A3&quot;/&gt;&lt;wsp:rsid wsp:val=&quot;00490EB0&quot;/&gt;&lt;wsp:rsid wsp:val=&quot;00494545&quot;/&gt;&lt;wsp:rsid wsp:val=&quot;004A618E&quot;/&gt;&lt;wsp:rsid wsp:val=&quot;004C4C3C&quot;/&gt;&lt;wsp:rsid wsp:val=&quot;004D3C29&quot;/&gt;&lt;wsp:rsid wsp:val=&quot;004E4B2C&quot;/&gt;&lt;wsp:rsid wsp:val=&quot;004F1572&quot;/&gt;&lt;wsp:rsid wsp:val=&quot;005072D0&quot;/&gt;&lt;wsp:rsid wsp:val=&quot;00511420&quot;/&gt;&lt;wsp:rsid wsp:val=&quot;00526270&quot;/&gt;&lt;wsp:rsid wsp:val=&quot;00534210&quot;/&gt;&lt;wsp:rsid wsp:val=&quot;00546A6A&quot;/&gt;&lt;wsp:rsid wsp:val=&quot;005630B0&quot;/&gt;&lt;wsp:rsid wsp:val=&quot;005660CD&quot;/&gt;&lt;wsp:rsid wsp:val=&quot;005720F2&quot;/&gt;&lt;wsp:rsid wsp:val=&quot;00596603&quot;/&gt;&lt;wsp:rsid wsp:val=&quot;005A10D4&quot;/&gt;&lt;wsp:rsid wsp:val=&quot;005A1E61&quot;/&gt;&lt;wsp:rsid wsp:val=&quot;005B76A4&quot;/&gt;&lt;wsp:rsid wsp:val=&quot;005C3384&quot;/&gt;&lt;wsp:rsid wsp:val=&quot;005C416E&quot;/&gt;&lt;wsp:rsid wsp:val=&quot;005D1C3A&quot;/&gt;&lt;wsp:rsid wsp:val=&quot;005E43DD&quot;/&gt;&lt;wsp:rsid wsp:val=&quot;00600179&quot;/&gt;&lt;wsp:rsid wsp:val=&quot;00603FC0&quot;/&gt;&lt;wsp:rsid wsp:val=&quot;00611ECD&quot;/&gt;&lt;wsp:rsid wsp:val=&quot;00636BF0&quot;/&gt;&lt;wsp:rsid wsp:val=&quot;00646B6D&quot;/&gt;&lt;wsp:rsid wsp:val=&quot;00655908&quot;/&gt;&lt;wsp:rsid wsp:val=&quot;006654F8&quot;/&gt;&lt;wsp:rsid wsp:val=&quot;00665768&quot;/&gt;&lt;wsp:rsid wsp:val=&quot;00667291&quot;/&gt;&lt;wsp:rsid wsp:val=&quot;00686249&quot;/&gt;&lt;wsp:rsid wsp:val=&quot;00687504&quot;/&gt;&lt;wsp:rsid wsp:val=&quot;0068777C&quot;/&gt;&lt;wsp:rsid wsp:val=&quot;006A171F&quot;/&gt;&lt;wsp:rsid wsp:val=&quot;006A4E5F&quot;/&gt;&lt;wsp:rsid wsp:val=&quot;006D4600&quot;/&gt;&lt;wsp:rsid wsp:val=&quot;006E0A2C&quot;/&gt;&lt;wsp:rsid wsp:val=&quot;006E202B&quot;/&gt;&lt;wsp:rsid wsp:val=&quot;006E57B5&quot;/&gt;&lt;wsp:rsid wsp:val=&quot;006E6AE2&quot;/&gt;&lt;wsp:rsid wsp:val=&quot;006F0CF5&quot;/&gt;&lt;wsp:rsid wsp:val=&quot;00702030&quot;/&gt;&lt;wsp:rsid wsp:val=&quot;00702FA0&quot;/&gt;&lt;wsp:rsid wsp:val=&quot;00724218&quot;/&gt;&lt;wsp:rsid wsp:val=&quot;007350B6&quot;/&gt;&lt;wsp:rsid wsp:val=&quot;00737E65&quot;/&gt;&lt;wsp:rsid wsp:val=&quot;0074030A&quot;/&gt;&lt;wsp:rsid wsp:val=&quot;00753965&quot;/&gt;&lt;wsp:rsid wsp:val=&quot;00762043&quot;/&gt;&lt;wsp:rsid wsp:val=&quot;007633C2&quot;/&gt;&lt;wsp:rsid wsp:val=&quot;00765A47&quot;/&gt;&lt;wsp:rsid wsp:val=&quot;00770E82&quot;/&gt;&lt;wsp:rsid wsp:val=&quot;00772E94&quot;/&gt;&lt;wsp:rsid wsp:val=&quot;00773278&quot;/&gt;&lt;wsp:rsid wsp:val=&quot;007A1993&quot;/&gt;&lt;wsp:rsid wsp:val=&quot;007A7194&quot;/&gt;&lt;wsp:rsid wsp:val=&quot;007B028B&quot;/&gt;&lt;wsp:rsid wsp:val=&quot;007B1D71&quot;/&gt;&lt;wsp:rsid wsp:val=&quot;007C00D0&quot;/&gt;&lt;wsp:rsid wsp:val=&quot;007C2186&quot;/&gt;&lt;wsp:rsid wsp:val=&quot;007F2233&quot;/&gt;&lt;wsp:rsid wsp:val=&quot;007F73BB&quot;/&gt;&lt;wsp:rsid wsp:val=&quot;00806461&quot;/&gt;&lt;wsp:rsid wsp:val=&quot;0080694B&quot;/&gt;&lt;wsp:rsid wsp:val=&quot;0081779C&quot;/&gt;&lt;wsp:rsid wsp:val=&quot;00831D0D&quot;/&gt;&lt;wsp:rsid wsp:val=&quot;00832DEE&quot;/&gt;&lt;wsp:rsid wsp:val=&quot;00835C2B&quot;/&gt;&lt;wsp:rsid wsp:val=&quot;00837FBE&quot;/&gt;&lt;wsp:rsid wsp:val=&quot;00846B89&quot;/&gt;&lt;wsp:rsid wsp:val=&quot;00855A8A&quot;/&gt;&lt;wsp:rsid wsp:val=&quot;00886AAC&quot;/&gt;&lt;wsp:rsid wsp:val=&quot;008A2EC5&quot;/&gt;&lt;wsp:rsid wsp:val=&quot;008B77F5&quot;/&gt;&lt;wsp:rsid wsp:val=&quot;008C0279&quot;/&gt;&lt;wsp:rsid wsp:val=&quot;008C7F68&quot;/&gt;&lt;wsp:rsid wsp:val=&quot;008E380C&quot;/&gt;&lt;wsp:rsid wsp:val=&quot;008F25D2&quot;/&gt;&lt;wsp:rsid wsp:val=&quot;008F50EC&quot;/&gt;&lt;wsp:rsid wsp:val=&quot;00906C96&quot;/&gt;&lt;wsp:rsid wsp:val=&quot;00914CC6&quot;/&gt;&lt;wsp:rsid wsp:val=&quot;0092751F&quot;/&gt;&lt;wsp:rsid wsp:val=&quot;00932067&quot;/&gt;&lt;wsp:rsid wsp:val=&quot;0093594A&quot;/&gt;&lt;wsp:rsid wsp:val=&quot;00955D73&quot;/&gt;&lt;wsp:rsid wsp:val=&quot;0096512C&quot;/&gt;&lt;wsp:rsid wsp:val=&quot;0096540A&quot;/&gt;&lt;wsp:rsid wsp:val=&quot;009A0D25&quot;/&gt;&lt;wsp:rsid wsp:val=&quot;009C5D2A&quot;/&gt;&lt;wsp:rsid wsp:val=&quot;009E792C&quot;/&gt;&lt;wsp:rsid wsp:val=&quot;00A331E7&quot;/&gt;&lt;wsp:rsid wsp:val=&quot;00A41C3C&quot;/&gt;&lt;wsp:rsid wsp:val=&quot;00A42C52&quot;/&gt;&lt;wsp:rsid wsp:val=&quot;00A808C7&quot;/&gt;&lt;wsp:rsid wsp:val=&quot;00AB2710&quot;/&gt;&lt;wsp:rsid wsp:val=&quot;00AD184B&quot;/&gt;&lt;wsp:rsid wsp:val=&quot;00B0566D&quot;/&gt;&lt;wsp:rsid wsp:val=&quot;00B10937&quot;/&gt;&lt;wsp:rsid wsp:val=&quot;00B35BD9&quot;/&gt;&lt;wsp:rsid wsp:val=&quot;00B37DE8&quot;/&gt;&lt;wsp:rsid wsp:val=&quot;00B448C0&quot;/&gt;&lt;wsp:rsid wsp:val=&quot;00B44BA5&quot;/&gt;&lt;wsp:rsid wsp:val=&quot;00B6460B&quot;/&gt;&lt;wsp:rsid wsp:val=&quot;00BA5F7E&quot;/&gt;&lt;wsp:rsid wsp:val=&quot;00BC7E76&quot;/&gt;&lt;wsp:rsid wsp:val=&quot;00BF12F6&quot;/&gt;&lt;wsp:rsid wsp:val=&quot;00C00765&quot;/&gt;&lt;wsp:rsid wsp:val=&quot;00C10464&quot;/&gt;&lt;wsp:rsid wsp:val=&quot;00C119C2&quot;/&gt;&lt;wsp:rsid wsp:val=&quot;00C13667&quot;/&gt;&lt;wsp:rsid wsp:val=&quot;00C21B54&quot;/&gt;&lt;wsp:rsid wsp:val=&quot;00C40967&quot;/&gt;&lt;wsp:rsid wsp:val=&quot;00C463D8&quot;/&gt;&lt;wsp:rsid wsp:val=&quot;00C55A30&quot;/&gt;&lt;wsp:rsid wsp:val=&quot;00C600E2&quot;/&gt;&lt;wsp:rsid wsp:val=&quot;00C63D43&quot;/&gt;&lt;wsp:rsid wsp:val=&quot;00C74134&quot;/&gt;&lt;wsp:rsid wsp:val=&quot;00C823B1&quot;/&gt;&lt;wsp:rsid wsp:val=&quot;00C9625F&quot;/&gt;&lt;wsp:rsid wsp:val=&quot;00CA271E&quot;/&gt;&lt;wsp:rsid wsp:val=&quot;00CB1488&quot;/&gt;&lt;wsp:rsid wsp:val=&quot;00CB7414&quot;/&gt;&lt;wsp:rsid wsp:val=&quot;00CC4FF7&quot;/&gt;&lt;wsp:rsid wsp:val=&quot;00D01CFE&quot;/&gt;&lt;wsp:rsid wsp:val=&quot;00D07C4B&quot;/&gt;&lt;wsp:rsid wsp:val=&quot;00D225D8&quot;/&gt;&lt;wsp:rsid wsp:val=&quot;00D33A2E&quot;/&gt;&lt;wsp:rsid wsp:val=&quot;00D4311F&quot;/&gt;&lt;wsp:rsid wsp:val=&quot;00D511A1&quot;/&gt;&lt;wsp:rsid wsp:val=&quot;00D872BF&quot;/&gt;&lt;wsp:rsid wsp:val=&quot;00DB124F&quot;/&gt;&lt;wsp:rsid wsp:val=&quot;00DE01F6&quot;/&gt;&lt;wsp:rsid wsp:val=&quot;00DE2998&quot;/&gt;&lt;wsp:rsid wsp:val=&quot;00DE4223&quot;/&gt;&lt;wsp:rsid wsp:val=&quot;00DE64BC&quot;/&gt;&lt;wsp:rsid wsp:val=&quot;00DE6B60&quot;/&gt;&lt;wsp:rsid wsp:val=&quot;00E01CCF&quot;/&gt;&lt;wsp:rsid wsp:val=&quot;00E06D10&quot;/&gt;&lt;wsp:rsid wsp:val=&quot;00E20458&quot;/&gt;&lt;wsp:rsid wsp:val=&quot;00E56487&quot;/&gt;&lt;wsp:rsid wsp:val=&quot;00E853F3&quot;/&gt;&lt;wsp:rsid wsp:val=&quot;00EC2491&quot;/&gt;&lt;wsp:rsid wsp:val=&quot;00EC3056&quot;/&gt;&lt;wsp:rsid wsp:val=&quot;00ED2C42&quot;/&gt;&lt;wsp:rsid wsp:val=&quot;00EF3B2B&quot;/&gt;&lt;wsp:rsid wsp:val=&quot;00F00EE9&quot;/&gt;&lt;wsp:rsid wsp:val=&quot;00F379DD&quot;/&gt;&lt;wsp:rsid wsp:val=&quot;00F47244&quot;/&gt;&lt;wsp:rsid wsp:val=&quot;00F5553F&quot;/&gt;&lt;wsp:rsid wsp:val=&quot;00FA5F45&quot;/&gt;&lt;wsp:rsid wsp:val=&quot;00FA7522&quot;/&gt;&lt;wsp:rsid wsp:val=&quot;00FC2C59&quot;/&gt;&lt;wsp:rsid wsp:val=&quot;00FC5421&quot;/&gt;&lt;wsp:rsid wsp:val=&quot;00FD178C&quot;/&gt;&lt;wsp:rsid wsp:val=&quot;00FF67A7&quot;/&gt;&lt;/wsp:rsids&gt;&lt;/w:docPr&gt;&lt;w:body&gt;&lt;wx:sect&gt;&lt;w:p wsp:rsidR=&quot;00000000&quot; wsp:rsidRPr=&quot;00F5553F&quot; wsp:rsidRDefault=&quot;00F5553F&quot; wsp:rsidP=&quot;00F5553F&quot;&gt;&lt;m:oMathPara&gt;&lt;m:oMath&gt;&lt;m:r&gt;&lt;w:rPr&gt;&lt;w:rFonts w:ascii=&quot;Cambria Math&quot; w:h-ansi=&quot;Cambria Math&quot;/&gt;&lt;wx:font wx:val=&quot;Cambria Math&quot;/&gt;&lt;w:i/&gt;&lt;/w:rPr&gt;&lt;m:t&gt;M&lt;/m:t&gt;&lt;/m:r&gt;&lt;m:sSub&gt;&lt;m:sSubPr&gt;&lt;m:ctrlPr&gt;&lt;w:rPr&gt;&lt;w:rFonts w:ascii=&quot;Cambria Math&quot; w:h-ansi=&quot;Cambria Math&quot;/&gt;&lt;wx:font wx:val=&quot;Cambria Math&quot;/&gt;&lt;/w:rPr&gt;&lt;/m:ctrlPr&gt;&lt;/m:sSubPr&gt;&lt;m:e&gt;&lt;m:r&gt;&lt;w:rPr&gt;&lt;w:rFonts w:ascii=&quot;Cambria Math&quot; w:h-ansi=&quot;Cambria Math&quot;/&gt;&lt;wx:font wx:val=&quot;Cambria Math&quot;/&gt;&lt;w:i/&gt;&lt;/w:rPr&gt;&lt;m:t&gt;E&lt;/m:t&gt;&lt;/m:r&gt;&lt;/m:e&gt;&lt;m:sub&gt;&lt;m:r&gt;&lt;w:rPr&gt;&lt;w:rFonts w:ascii=&quot;Cambria Math&quot; w:h-ansi=&quot;Cambria Math&quot;/&gt;&lt;wx:font wx:val=&quot;Cambria Math&quot;/&gt;&lt;w:i/&gt;&lt;/w:rPr&gt;&lt;m:t&gt;TOTAL&lt;/m:t&gt;&lt;/m:r&gt;&lt;/m:sub&gt;&lt;/m:sSub&gt;&lt;m:r&gt;&lt;m:rPr&gt;&lt;m:sty m:val=&quot;p&quot;/&gt;&lt;/m:rPr&gt;&lt;w:rPr&gt;&lt;w:rFonts w:ascii=&quot;Cambria Math&quot; w:h-ansi=&quot;Cambria Math&quot;/&gt;&lt;wx:font wx:val=&quot;Cambria Math&quot;/&gt;&lt;/w:rPr&gt;&lt;m:t&gt;=&lt;/m:t&gt;&lt;/m:r&gt;&lt;m:sSub&gt;&lt;m:sSubPr&gt;&lt;m:ctrlPr&gt;&lt;w:rPr&gt;&lt;w:rFonts w:ascii=&quot;Cambria Math&quot; w:h-ansi=&quot;Cambria Math&quot;/&gt;&lt;wx:font wx:val=&quot;Cambria Math&quot;/&gt;&lt;/w:rPr&gt;&lt;/m:ctrlPr&gt;&lt;/m:sSubPr&gt;&lt;m:e&gt;&lt;m:r&gt;&lt;w:rPr&gt;&lt;w:rFonts w:ascii=&quot;Cambria Math&quot; w:h-ansi=&quot;Cambria Math&quot;/&gt;&lt;wx:font wx:val=&quot;Cambria Math&quot;/&gt;&lt;w:i/&gt;&lt;/w:rPr&gt;&lt;m:t&gt;ME&lt;/m:t&gt;&lt;/m:r&gt;&lt;/m:e&gt;&lt;m:sub&gt;&lt;m:r&gt;&lt;w:rPr&gt;&lt;w:rFonts w:ascii=&quot;Cambria Math&quot; w:h-ansi=&quot;Cambria Math&quot;/&gt;&lt;wx:font wx:val=&quot;Cambria Math&quot;/&gt;&lt;w:i/&gt;&lt;/w:rPr&gt;&lt;m:t&gt;BASAL&lt;/m:t&gt;&lt;/m:r&gt;&lt;/m:sub&gt;&lt;/m:sSub&gt;&lt;m:r&gt;&lt;m:rPr&gt;&lt;m:sty m:val=&quot;p&quot;/&gt;&lt;/m:rPr&gt;&lt;w:rPr&gt;&lt;w:rFonts w:ascii=&quot;Cambria Math&quot; w:h-ansi=&quot;Cambria Math&quot;/&gt;&lt;wx:font wx:val=&quot;Cambria Math&quot;/&gt;&lt;/w:rPr&gt;&lt;m:t&gt;+1.1&lt;/m:t&gt;&lt;/m:r&gt;&lt;m:sSub&gt;&lt;m:sSubPr&gt;&lt;m:ctrlPr&gt;&lt;w:rPr&gt;&lt;w:rFonts w:ascii=&quot;Cambria Math&quot; w:h-ansi=&quot;Cambria Math&quot;/&gt;&lt;wx:font wx:val=&quot;Cambria Math&quot;/&gt;&lt;/w:rPr&gt;&lt;/m:ctrlPr&gt;&lt;/m:sSubPr&gt;&lt;m:e&gt;&lt;m:r&gt;&lt;w:rPr&gt;&lt;w:rFonts w:ascii=&quot;Cambria Math&quot; w:h-ansi=&quot;Cambria Math&quot;/&gt;&lt;wx:font wx:val=&quot;Cambria Math&quot;/&gt;&lt;w:i/&gt;&lt;/w:rPr&gt;&lt;m:t&gt;ME&lt;/m:t&gt;&lt;/m:r&gt;&lt;/m:e&gt;&lt;m:sub&gt;&lt;m:r&gt;&lt;w:rPr&gt;&lt;w:rFonts w:ascii=&quot;Cambria Math&quot; w:h-ansi=&quot;Cambria Math&quot;/&gt;&lt;wx:font wx:val=&quot;Cambria Math&quot;/&gt;&lt;w:i/&gt;&lt;/w:rPr&gt;&lt;m:t&gt;P&lt;/m:t&gt;&lt;/m:r&gt;&lt;/m:sub&gt;&lt;/m:sSub&gt;&lt;m:r&gt;&lt;m:rPr&gt;&lt;m:sty m:val=&quot;p&quot;/&gt;&lt;/m:rPr&gt;&lt;w:rPr&gt;&lt;w:rFonts w:ascii=&quot;Cambria Math&quot; w:h-ansi=&quot;Cambria Math&quot;/&gt;&lt;wx:font wx:val=&quot;Cambria Math&quot;/&gt;&lt;/w:rPr&gt;&lt;m:t&gt;+&lt;/m:t&gt;&lt;/m:r&gt;&lt;m:sSub&gt;&lt;m:sSubPr&gt;&lt;m:ctrlPr&gt;&lt;w:rPr&gt;&lt;w:rFonts w:ascii=&quot;Cambria Math&quot; w:h-ansi=&quot;Cambria Math&quot;/&gt;&lt;wx:font wx:val=&quot;Cambria Math&quot;/&gt;&lt;/w:rPr&gt;&lt;/m:ctrlPr&gt;&lt;/m:sSubPr&gt;&lt;m:e&gt;&lt;m:r&gt;&lt;w:rPr&gt;&lt;w:rFonts w:ascii=&quot;Cambria Math&quot; w:h-ansi=&quot;Cambria Math&quot;/&gt;&lt;wx:font wx:val=&quot;Cambria Math&quot;/&gt;&lt;w:i/&gt;&lt;/w:rPr&gt;&lt;m:t&gt;ME&lt;/m:t&gt;&lt;/m:r&gt;&lt;/m:e&gt;&lt;m:sub&gt;&lt;m:r&gt;&lt;w:rPr&gt;&lt;w:rFonts w:ascii=&quot;Cambria Math&quot; w:h-ansi=&quot;Cambria Math&quot;/&gt;&lt;wx:font wx:val=&quot;Cambria Math&quot;/&gt;&lt;w:i/&gt;&lt;/w:rPr&gt;&lt;m:t&gt;GRAZE&lt;/m:t&gt;&lt;/m:r&gt;&lt;/m:sub&gt;&lt;/m:sSub&gt;&lt;m:r&gt;&lt;w:rPr&gt;&lt;w:rFonts w:ascii=&quot;Cambria Math&quot; w:h-ansi=&quot;Cambria Math&quot;/&gt;&lt;wx:font wx:val=&quot;Cambria Math&quot;/&gt;&lt;w:i/&gt;&lt;/w:rPr&gt;&lt;m:t&gt;+&lt;/m:t&gt;&lt;/m:r&gt;&lt;m:sSub&gt;&lt;m:sSubPr&gt;&lt;m:ctrlPr&gt;&lt;w:rPr&gt;&lt;w:rFonts w:ascii=&quot;Cambria Math&quot; w:h-ansi=&quot;Cambria Math&quot;/&gt;&lt;wx:font wx:val=&quot;Cambria Math&quot;/&gt;&lt;w:i/&gt;&lt;/w:rPr&gt;&lt;/m:ctrlPr&gt;&lt;/m:sSubPr&gt;&lt;m:e&gt;&lt;m:r&gt;&lt;w:rPr&gt;&lt;w:rFonts w:ascii=&quot;Cambria Math&quot; w:h-ansi=&quot;Cambria Math&quot;/&gt;&lt;wx:font wx:val=&quot;Cambria Math&quot;/&gt;&lt;w:i/&gt;&lt;/w:rPr&gt;&lt;m:t&gt;ME&lt;/m:t&gt;&lt;/m:r&gt;&lt;/m:e&gt;&lt;m:sub&gt;&lt;m:r&gt;&lt;w:rPr&gt;&lt;w:rFonts w:ascii=&quot;Cambria Math&quot; w:h-ansi=&quot;Cambria Math&quot;/&gt;&lt;wx:font wx:val=&quot;Cambria Math&quot;/&gt;&lt;w:i/&gt;&lt;/w:rPr&gt;&lt;m:t&gt;c&lt;/m:t&gt;&lt;/m:r&gt;&lt;/m:sub&gt;&lt;/m:sSub&gt;&lt;/m:oMath&gt;&lt;/m:oMathPara&gt;&lt;/w:p&gt;&lt;w:sectPr wsp:rsidR=&quot;00000000&quot; wsp:rsidRPr=&quot;00F5553F&quot;&gt;&lt;w:pgSz w:w=&quot;12240&quot; w:h=&quot;15840&quot;/&gt;&lt;w:pgMar w:top=&quot;1440&quot; w:right=&quot;1440&quot; w:bottom=&quot;1440&quot; w:left=&quot;1440&quot; w:header=&quot;720&quot; w:footer=&quot;720&quot; w:gutter=&quot;0&quot;/&gt;&lt;w:cols w:space=&quot;720&quot;/&gt;&lt;/w:sectPr&gt;&lt;/wx:sect&gt;&lt;/w:body&gt;&lt;/w:wordDocument&gt;">
            <v:imagedata r:id="rId101" o:title="" chromakey="white"/>
          </v:shape>
        </w:pict>
      </w:r>
    </w:p>
    <w:p w14:paraId="0AC3E6D5" w14:textId="77777777" w:rsidR="0068777C" w:rsidRPr="00256982" w:rsidRDefault="0068777C" w:rsidP="0068777C">
      <w:pPr>
        <w:tabs>
          <w:tab w:val="left" w:pos="993"/>
        </w:tabs>
        <w:spacing w:before="120"/>
      </w:pPr>
      <w:r w:rsidRPr="00256982">
        <w:t xml:space="preserve">Where: </w:t>
      </w:r>
      <w:r w:rsidRPr="00256982">
        <w:tab/>
        <w:t>ME</w:t>
      </w:r>
      <w:r w:rsidRPr="00256982">
        <w:rPr>
          <w:vertAlign w:val="subscript"/>
        </w:rPr>
        <w:t>BASAL</w:t>
      </w:r>
      <w:r w:rsidRPr="00256982">
        <w:t xml:space="preserve"> is the energy requirement for maintenance</w:t>
      </w:r>
    </w:p>
    <w:p w14:paraId="187B34A6" w14:textId="77777777" w:rsidR="0068777C" w:rsidRPr="00256982" w:rsidRDefault="0068777C" w:rsidP="0068777C">
      <w:pPr>
        <w:spacing w:before="120"/>
        <w:ind w:left="993" w:hanging="993"/>
      </w:pPr>
      <w:r w:rsidRPr="00256982">
        <w:tab/>
        <w:t>ME</w:t>
      </w:r>
      <w:r w:rsidRPr="00256982">
        <w:rPr>
          <w:vertAlign w:val="subscript"/>
        </w:rPr>
        <w:t>P</w:t>
      </w:r>
      <w:r w:rsidRPr="00256982">
        <w:t xml:space="preserve"> is the energy used directly for production (meat, milk, wool and so on) </w:t>
      </w:r>
    </w:p>
    <w:p w14:paraId="499F91C8" w14:textId="77777777" w:rsidR="0068777C" w:rsidRPr="00256982" w:rsidRDefault="0068777C" w:rsidP="0068777C">
      <w:pPr>
        <w:tabs>
          <w:tab w:val="left" w:pos="993"/>
        </w:tabs>
        <w:spacing w:before="120"/>
      </w:pPr>
      <w:r w:rsidRPr="00256982">
        <w:tab/>
        <w:t>ME</w:t>
      </w:r>
      <w:r w:rsidRPr="00256982">
        <w:rPr>
          <w:vertAlign w:val="subscript"/>
        </w:rPr>
        <w:t>GRAZE</w:t>
      </w:r>
      <w:r w:rsidRPr="00256982">
        <w:t xml:space="preserve"> is the additional energy required by grazing livestock, and</w:t>
      </w:r>
    </w:p>
    <w:p w14:paraId="09A87875" w14:textId="77777777" w:rsidR="0068777C" w:rsidRPr="00256982" w:rsidRDefault="0068777C" w:rsidP="0068777C">
      <w:pPr>
        <w:tabs>
          <w:tab w:val="left" w:pos="993"/>
        </w:tabs>
        <w:spacing w:before="120"/>
      </w:pPr>
      <w:r w:rsidRPr="00256982">
        <w:tab/>
        <w:t>ME</w:t>
      </w:r>
      <w:r w:rsidRPr="00256982">
        <w:rPr>
          <w:vertAlign w:val="subscript"/>
        </w:rPr>
        <w:t>c</w:t>
      </w:r>
      <w:r w:rsidRPr="00256982">
        <w:t xml:space="preserve"> is the energy used for gestation or growth of the conceptus (MJ/d)</w:t>
      </w:r>
    </w:p>
    <w:p w14:paraId="1F21C8F8" w14:textId="77777777" w:rsidR="0068777C" w:rsidRPr="00256982" w:rsidRDefault="0068777C" w:rsidP="0068777C">
      <w:pPr>
        <w:tabs>
          <w:tab w:val="left" w:pos="1418"/>
        </w:tabs>
        <w:spacing w:before="120" w:after="120"/>
      </w:pPr>
      <w:r w:rsidRPr="00256982">
        <w:t>And:</w:t>
      </w:r>
    </w:p>
    <w:p w14:paraId="6E2788DD" w14:textId="452A5A20" w:rsidR="0068777C" w:rsidRPr="00256982" w:rsidRDefault="00590491" w:rsidP="0068777C">
      <w:pPr>
        <w:tabs>
          <w:tab w:val="left" w:pos="1418"/>
        </w:tabs>
        <w:spacing w:before="120" w:after="120"/>
        <w:jc w:val="center"/>
      </w:pPr>
      <w:r>
        <w:pict w14:anchorId="5B5ACAFE">
          <v:shape id="_x0000_i1080" type="#_x0000_t75" style="width:328.5pt;height:29.2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5&lt;/o:Version&gt;&lt;/o:DocumentProperties&gt;&lt;w:docPr&gt;&lt;w:view w:val=&quot;print&quot;/&gt;&lt;w:zoom w:percent=&quot;110&quot;/&gt;&lt;w:doNotEmbedSystemFonts/&gt;&lt;w:activeWritingStyle w:lang=&quot;EN-NZ&quot; w:vendorID=&quot;64&quot; w:dllVersion=&quot;131078&quot; w:nlCheck=&quot;on&quot; w:optionSet=&quot;1&quot;/&gt;&lt;w:stylePaneFormatFilter w:val=&quot;5804&quot;/&gt;&lt;w:defaultTabStop w:val=&quot;720&quot;/&gt;&lt;w:evenAndOddHeaders/&gt;&lt;w:drawingGridHorizontalSpacing w:val=&quot;187&quot;/&gt;&lt;w:displayVerticalDrawingGridEvery w:val=&quot;2&quot;/&gt;&lt;w:characterSpacingControl w:val=&quot;DontCompress&quot;/&gt;&lt;w:optimizeForBrowser/&gt;&lt;w:validateAgainstSchema/&gt;&lt;w:saveInvalidXML w:val=&quot;off&quot;/&gt;&lt;w:ignoreMixedContent w:val=&quot;off&quot;/&gt;&lt;w:alwaysShowPlaceholderText w:val=&quot;off&quot;/&gt;&lt;w:compat&gt;&lt;w:suppressBottomSpacing/&gt;&lt;w:suppressSpBfAfterPgBrk/&gt;&lt;w:doNotUseHTMLParagraphAutoSpacing/&gt;&lt;w:breakWrappedTables/&gt;&lt;w:snapToGridInCell/&gt;&lt;w:wrapTextWithPunct/&gt;&lt;w:useAsianBreakRules/&gt;&lt;w:useWord2002TableStyleRules/&gt;&lt;/w:compat&gt;&lt;wsp:rsids&gt;&lt;wsp:rsidRoot wsp:val=&quot;00702030&quot;/&gt;&lt;wsp:rsid wsp:val=&quot;00001716&quot;/&gt;&lt;wsp:rsid wsp:val=&quot;00007ABB&quot;/&gt;&lt;wsp:rsid wsp:val=&quot;00013566&quot;/&gt;&lt;wsp:rsid wsp:val=&quot;00015CFC&quot;/&gt;&lt;wsp:rsid wsp:val=&quot;000219C8&quot;/&gt;&lt;wsp:rsid wsp:val=&quot;00021ACF&quot;/&gt;&lt;wsp:rsid wsp:val=&quot;00027E55&quot;/&gt;&lt;wsp:rsid wsp:val=&quot;00032A28&quot;/&gt;&lt;wsp:rsid wsp:val=&quot;00035185&quot;/&gt;&lt;wsp:rsid wsp:val=&quot;00050008&quot;/&gt;&lt;wsp:rsid wsp:val=&quot;0006123B&quot;/&gt;&lt;wsp:rsid wsp:val=&quot;00084588&quot;/&gt;&lt;wsp:rsid wsp:val=&quot;000A3774&quot;/&gt;&lt;wsp:rsid wsp:val=&quot;000C20A6&quot;/&gt;&lt;wsp:rsid wsp:val=&quot;000E1498&quot;/&gt;&lt;wsp:rsid wsp:val=&quot;000F4DEF&quot;/&gt;&lt;wsp:rsid wsp:val=&quot;000F6318&quot;/&gt;&lt;wsp:rsid wsp:val=&quot;00116E1B&quot;/&gt;&lt;wsp:rsid wsp:val=&quot;001221C3&quot;/&gt;&lt;wsp:rsid wsp:val=&quot;00134FC2&quot;/&gt;&lt;wsp:rsid wsp:val=&quot;00153F5A&quot;/&gt;&lt;wsp:rsid wsp:val=&quot;001970E1&quot;/&gt;&lt;wsp:rsid wsp:val=&quot;001A1997&quot;/&gt;&lt;wsp:rsid wsp:val=&quot;001B6FD2&quot;/&gt;&lt;wsp:rsid wsp:val=&quot;001D3490&quot;/&gt;&lt;wsp:rsid wsp:val=&quot;00207ABF&quot;/&gt;&lt;wsp:rsid wsp:val=&quot;0023070D&quot;/&gt;&lt;wsp:rsid wsp:val=&quot;00240B42&quot;/&gt;&lt;wsp:rsid wsp:val=&quot;0024542F&quot;/&gt;&lt;wsp:rsid wsp:val=&quot;00260B48&quot;/&gt;&lt;wsp:rsid wsp:val=&quot;00273218&quot;/&gt;&lt;wsp:rsid wsp:val=&quot;0028581A&quot;/&gt;&lt;wsp:rsid wsp:val=&quot;002868D3&quot;/&gt;&lt;wsp:rsid wsp:val=&quot;00295B2A&quot;/&gt;&lt;wsp:rsid wsp:val=&quot;002A1361&quot;/&gt;&lt;wsp:rsid wsp:val=&quot;002A49D7&quot;/&gt;&lt;wsp:rsid wsp:val=&quot;002B1C5A&quot;/&gt;&lt;wsp:rsid wsp:val=&quot;002B3284&quot;/&gt;&lt;wsp:rsid wsp:val=&quot;002B6594&quot;/&gt;&lt;wsp:rsid wsp:val=&quot;002D60DB&quot;/&gt;&lt;wsp:rsid wsp:val=&quot;002D6A54&quot;/&gt;&lt;wsp:rsid wsp:val=&quot;002F134A&quot;/&gt;&lt;wsp:rsid wsp:val=&quot;00302D84&quot;/&gt;&lt;wsp:rsid wsp:val=&quot;00315760&quot;/&gt;&lt;wsp:rsid wsp:val=&quot;00333ACA&quot;/&gt;&lt;wsp:rsid wsp:val=&quot;00336A51&quot;/&gt;&lt;wsp:rsid wsp:val=&quot;0037590E&quot;/&gt;&lt;wsp:rsid wsp:val=&quot;00377186&quot;/&gt;&lt;wsp:rsid wsp:val=&quot;00383207&quot;/&gt;&lt;wsp:rsid wsp:val=&quot;00391D8B&quot;/&gt;&lt;wsp:rsid wsp:val=&quot;003972EF&quot;/&gt;&lt;wsp:rsid wsp:val=&quot;00397D2B&quot;/&gt;&lt;wsp:rsid wsp:val=&quot;003A3F0A&quot;/&gt;&lt;wsp:rsid wsp:val=&quot;003A5006&quot;/&gt;&lt;wsp:rsid wsp:val=&quot;003C2615&quot;/&gt;&lt;wsp:rsid wsp:val=&quot;003D0318&quot;/&gt;&lt;wsp:rsid wsp:val=&quot;003D5417&quot;/&gt;&lt;wsp:rsid wsp:val=&quot;00400F92&quot;/&gt;&lt;wsp:rsid wsp:val=&quot;0042424B&quot;/&gt;&lt;wsp:rsid wsp:val=&quot;00430D5D&quot;/&gt;&lt;wsp:rsid wsp:val=&quot;00440459&quot;/&gt;&lt;wsp:rsid wsp:val=&quot;0045652C&quot;/&gt;&lt;wsp:rsid wsp:val=&quot;00462497&quot;/&gt;&lt;wsp:rsid wsp:val=&quot;004805A3&quot;/&gt;&lt;wsp:rsid wsp:val=&quot;00490EB0&quot;/&gt;&lt;wsp:rsid wsp:val=&quot;00494545&quot;/&gt;&lt;wsp:rsid wsp:val=&quot;004A618E&quot;/&gt;&lt;wsp:rsid wsp:val=&quot;004C4C3C&quot;/&gt;&lt;wsp:rsid wsp:val=&quot;004D3C29&quot;/&gt;&lt;wsp:rsid wsp:val=&quot;004E4B2C&quot;/&gt;&lt;wsp:rsid wsp:val=&quot;004F1572&quot;/&gt;&lt;wsp:rsid wsp:val=&quot;005072D0&quot;/&gt;&lt;wsp:rsid wsp:val=&quot;00511420&quot;/&gt;&lt;wsp:rsid wsp:val=&quot;00526270&quot;/&gt;&lt;wsp:rsid wsp:val=&quot;00534210&quot;/&gt;&lt;wsp:rsid wsp:val=&quot;00546A6A&quot;/&gt;&lt;wsp:rsid wsp:val=&quot;005630B0&quot;/&gt;&lt;wsp:rsid wsp:val=&quot;005660CD&quot;/&gt;&lt;wsp:rsid wsp:val=&quot;005720F2&quot;/&gt;&lt;wsp:rsid wsp:val=&quot;00596603&quot;/&gt;&lt;wsp:rsid wsp:val=&quot;005A10D4&quot;/&gt;&lt;wsp:rsid wsp:val=&quot;005A1E61&quot;/&gt;&lt;wsp:rsid wsp:val=&quot;005B76A4&quot;/&gt;&lt;wsp:rsid wsp:val=&quot;005C3384&quot;/&gt;&lt;wsp:rsid wsp:val=&quot;005C416E&quot;/&gt;&lt;wsp:rsid wsp:val=&quot;005D1C3A&quot;/&gt;&lt;wsp:rsid wsp:val=&quot;005E43DD&quot;/&gt;&lt;wsp:rsid wsp:val=&quot;00600179&quot;/&gt;&lt;wsp:rsid wsp:val=&quot;00603FC0&quot;/&gt;&lt;wsp:rsid wsp:val=&quot;00611ECD&quot;/&gt;&lt;wsp:rsid wsp:val=&quot;00636BF0&quot;/&gt;&lt;wsp:rsid wsp:val=&quot;00646B6D&quot;/&gt;&lt;wsp:rsid wsp:val=&quot;00655908&quot;/&gt;&lt;wsp:rsid wsp:val=&quot;006654F8&quot;/&gt;&lt;wsp:rsid wsp:val=&quot;00665768&quot;/&gt;&lt;wsp:rsid wsp:val=&quot;00667291&quot;/&gt;&lt;wsp:rsid wsp:val=&quot;00686249&quot;/&gt;&lt;wsp:rsid wsp:val=&quot;00687504&quot;/&gt;&lt;wsp:rsid wsp:val=&quot;0068777C&quot;/&gt;&lt;wsp:rsid wsp:val=&quot;006A171F&quot;/&gt;&lt;wsp:rsid wsp:val=&quot;006A4E5F&quot;/&gt;&lt;wsp:rsid wsp:val=&quot;006D4600&quot;/&gt;&lt;wsp:rsid wsp:val=&quot;006E0A2C&quot;/&gt;&lt;wsp:rsid wsp:val=&quot;006E202B&quot;/&gt;&lt;wsp:rsid wsp:val=&quot;006E57B5&quot;/&gt;&lt;wsp:rsid wsp:val=&quot;006E6AE2&quot;/&gt;&lt;wsp:rsid wsp:val=&quot;006F0CF5&quot;/&gt;&lt;wsp:rsid wsp:val=&quot;00702030&quot;/&gt;&lt;wsp:rsid wsp:val=&quot;00702FA0&quot;/&gt;&lt;wsp:rsid wsp:val=&quot;00724218&quot;/&gt;&lt;wsp:rsid wsp:val=&quot;007350B6&quot;/&gt;&lt;wsp:rsid wsp:val=&quot;00737E65&quot;/&gt;&lt;wsp:rsid wsp:val=&quot;0074030A&quot;/&gt;&lt;wsp:rsid wsp:val=&quot;00753965&quot;/&gt;&lt;wsp:rsid wsp:val=&quot;00762043&quot;/&gt;&lt;wsp:rsid wsp:val=&quot;007633C2&quot;/&gt;&lt;wsp:rsid wsp:val=&quot;00765A47&quot;/&gt;&lt;wsp:rsid wsp:val=&quot;00770E82&quot;/&gt;&lt;wsp:rsid wsp:val=&quot;00772E94&quot;/&gt;&lt;wsp:rsid wsp:val=&quot;00773278&quot;/&gt;&lt;wsp:rsid wsp:val=&quot;007A1993&quot;/&gt;&lt;wsp:rsid wsp:val=&quot;007A7194&quot;/&gt;&lt;wsp:rsid wsp:val=&quot;007B028B&quot;/&gt;&lt;wsp:rsid wsp:val=&quot;007B1D71&quot;/&gt;&lt;wsp:rsid wsp:val=&quot;007C00D0&quot;/&gt;&lt;wsp:rsid wsp:val=&quot;007C2186&quot;/&gt;&lt;wsp:rsid wsp:val=&quot;007F2233&quot;/&gt;&lt;wsp:rsid wsp:val=&quot;007F73BB&quot;/&gt;&lt;wsp:rsid wsp:val=&quot;00806461&quot;/&gt;&lt;wsp:rsid wsp:val=&quot;0080694B&quot;/&gt;&lt;wsp:rsid wsp:val=&quot;0081779C&quot;/&gt;&lt;wsp:rsid wsp:val=&quot;00831D0D&quot;/&gt;&lt;wsp:rsid wsp:val=&quot;00832DEE&quot;/&gt;&lt;wsp:rsid wsp:val=&quot;00835C2B&quot;/&gt;&lt;wsp:rsid wsp:val=&quot;00837FBE&quot;/&gt;&lt;wsp:rsid wsp:val=&quot;00846B89&quot;/&gt;&lt;wsp:rsid wsp:val=&quot;00855A8A&quot;/&gt;&lt;wsp:rsid wsp:val=&quot;00886AAC&quot;/&gt;&lt;wsp:rsid wsp:val=&quot;008A2EC5&quot;/&gt;&lt;wsp:rsid wsp:val=&quot;008B77F5&quot;/&gt;&lt;wsp:rsid wsp:val=&quot;008C0279&quot;/&gt;&lt;wsp:rsid wsp:val=&quot;008C7F68&quot;/&gt;&lt;wsp:rsid wsp:val=&quot;008E380C&quot;/&gt;&lt;wsp:rsid wsp:val=&quot;008F25D2&quot;/&gt;&lt;wsp:rsid wsp:val=&quot;008F50EC&quot;/&gt;&lt;wsp:rsid wsp:val=&quot;009043C6&quot;/&gt;&lt;wsp:rsid wsp:val=&quot;00906C96&quot;/&gt;&lt;wsp:rsid wsp:val=&quot;00914CC6&quot;/&gt;&lt;wsp:rsid wsp:val=&quot;0092751F&quot;/&gt;&lt;wsp:rsid wsp:val=&quot;00932067&quot;/&gt;&lt;wsp:rsid wsp:val=&quot;0093594A&quot;/&gt;&lt;wsp:rsid wsp:val=&quot;00955D73&quot;/&gt;&lt;wsp:rsid wsp:val=&quot;0096512C&quot;/&gt;&lt;wsp:rsid wsp:val=&quot;0096540A&quot;/&gt;&lt;wsp:rsid wsp:val=&quot;009A0D25&quot;/&gt;&lt;wsp:rsid wsp:val=&quot;009C5D2A&quot;/&gt;&lt;wsp:rsid wsp:val=&quot;009E792C&quot;/&gt;&lt;wsp:rsid wsp:val=&quot;00A331E7&quot;/&gt;&lt;wsp:rsid wsp:val=&quot;00A41C3C&quot;/&gt;&lt;wsp:rsid wsp:val=&quot;00A42C52&quot;/&gt;&lt;wsp:rsid wsp:val=&quot;00A808C7&quot;/&gt;&lt;wsp:rsid wsp:val=&quot;00AB2710&quot;/&gt;&lt;wsp:rsid wsp:val=&quot;00AD184B&quot;/&gt;&lt;wsp:rsid wsp:val=&quot;00B0566D&quot;/&gt;&lt;wsp:rsid wsp:val=&quot;00B10937&quot;/&gt;&lt;wsp:rsid wsp:val=&quot;00B35BD9&quot;/&gt;&lt;wsp:rsid wsp:val=&quot;00B37DE8&quot;/&gt;&lt;wsp:rsid wsp:val=&quot;00B448C0&quot;/&gt;&lt;wsp:rsid wsp:val=&quot;00B44BA5&quot;/&gt;&lt;wsp:rsid wsp:val=&quot;00B6460B&quot;/&gt;&lt;wsp:rsid wsp:val=&quot;00BA5F7E&quot;/&gt;&lt;wsp:rsid wsp:val=&quot;00BC7E76&quot;/&gt;&lt;wsp:rsid wsp:val=&quot;00BF12F6&quot;/&gt;&lt;wsp:rsid wsp:val=&quot;00C00765&quot;/&gt;&lt;wsp:rsid wsp:val=&quot;00C10464&quot;/&gt;&lt;wsp:rsid wsp:val=&quot;00C119C2&quot;/&gt;&lt;wsp:rsid wsp:val=&quot;00C13667&quot;/&gt;&lt;wsp:rsid wsp:val=&quot;00C21B54&quot;/&gt;&lt;wsp:rsid wsp:val=&quot;00C40967&quot;/&gt;&lt;wsp:rsid wsp:val=&quot;00C463D8&quot;/&gt;&lt;wsp:rsid wsp:val=&quot;00C55A30&quot;/&gt;&lt;wsp:rsid wsp:val=&quot;00C600E2&quot;/&gt;&lt;wsp:rsid wsp:val=&quot;00C63D43&quot;/&gt;&lt;wsp:rsid wsp:val=&quot;00C74134&quot;/&gt;&lt;wsp:rsid wsp:val=&quot;00C823B1&quot;/&gt;&lt;wsp:rsid wsp:val=&quot;00C9625F&quot;/&gt;&lt;wsp:rsid wsp:val=&quot;00CA271E&quot;/&gt;&lt;wsp:rsid wsp:val=&quot;00CB1488&quot;/&gt;&lt;wsp:rsid wsp:val=&quot;00CB7414&quot;/&gt;&lt;wsp:rsid wsp:val=&quot;00CC4FF7&quot;/&gt;&lt;wsp:rsid wsp:val=&quot;00D01CFE&quot;/&gt;&lt;wsp:rsid wsp:val=&quot;00D07C4B&quot;/&gt;&lt;wsp:rsid wsp:val=&quot;00D225D8&quot;/&gt;&lt;wsp:rsid wsp:val=&quot;00D33A2E&quot;/&gt;&lt;wsp:rsid wsp:val=&quot;00D4311F&quot;/&gt;&lt;wsp:rsid wsp:val=&quot;00D511A1&quot;/&gt;&lt;wsp:rsid wsp:val=&quot;00D872BF&quot;/&gt;&lt;wsp:rsid wsp:val=&quot;00DB124F&quot;/&gt;&lt;wsp:rsid wsp:val=&quot;00DE01F6&quot;/&gt;&lt;wsp:rsid wsp:val=&quot;00DE2998&quot;/&gt;&lt;wsp:rsid wsp:val=&quot;00DE4223&quot;/&gt;&lt;wsp:rsid wsp:val=&quot;00DE64BC&quot;/&gt;&lt;wsp:rsid wsp:val=&quot;00DE6B60&quot;/&gt;&lt;wsp:rsid wsp:val=&quot;00E01CCF&quot;/&gt;&lt;wsp:rsid wsp:val=&quot;00E06D10&quot;/&gt;&lt;wsp:rsid wsp:val=&quot;00E20458&quot;/&gt;&lt;wsp:rsid wsp:val=&quot;00E56487&quot;/&gt;&lt;wsp:rsid wsp:val=&quot;00E853F3&quot;/&gt;&lt;wsp:rsid wsp:val=&quot;00EC2491&quot;/&gt;&lt;wsp:rsid wsp:val=&quot;00EC3056&quot;/&gt;&lt;wsp:rsid wsp:val=&quot;00ED2C42&quot;/&gt;&lt;wsp:rsid wsp:val=&quot;00EF3B2B&quot;/&gt;&lt;wsp:rsid wsp:val=&quot;00F00EE9&quot;/&gt;&lt;wsp:rsid wsp:val=&quot;00F379DD&quot;/&gt;&lt;wsp:rsid wsp:val=&quot;00F47244&quot;/&gt;&lt;wsp:rsid wsp:val=&quot;00FA5F45&quot;/&gt;&lt;wsp:rsid wsp:val=&quot;00FA7522&quot;/&gt;&lt;wsp:rsid wsp:val=&quot;00FC2C59&quot;/&gt;&lt;wsp:rsid wsp:val=&quot;00FC5421&quot;/&gt;&lt;wsp:rsid wsp:val=&quot;00FD178C&quot;/&gt;&lt;wsp:rsid wsp:val=&quot;00FF67A7&quot;/&gt;&lt;/wsp:rsids&gt;&lt;/w:docPr&gt;&lt;w:body&gt;&lt;wx:sect&gt;&lt;w:p wsp:rsidR=&quot;00000000&quot; wsp:rsidRPr=&quot;009043C6&quot; wsp:rsidRDefault=&quot;009043C6&quot; wsp:rsidP=&quot;009043C6&quot;&gt;&lt;m:oMathPara&gt;&lt;m:oMath&gt;&lt;m:r&gt;&lt;w:rPr&gt;&lt;w:rFonts w:ascii=&quot;Cambria Math&quot; w:h-ansi=&quot;Cambria Math&quot;/&gt;&lt;wx:font wx:val=&quot;Cambria Math&quot;/&gt;&lt;w:i/&gt;&lt;/w:rPr&gt;&lt;m:t&gt;M&lt;/m:t&gt;&lt;/m:r&gt;&lt;m:sSub&gt;&lt;m:sSubPr&gt;&lt;m:ctrlPr&gt;&lt;w:rPr&gt;&lt;w:rFonts w:ascii=&quot;Cambria Math&quot; w:h-ansi=&quot;Cambria Math&quot;/&gt;&lt;wx:font wx:val=&quot;Cambria Math&quot;/&gt;&lt;/w:rPr&gt;&lt;/m:ctrlPr&gt;&lt;/m:sSubPr&gt;&lt;m:e&gt;&lt;m:r&gt;&lt;w:rPr&gt;&lt;w:rFonts w:ascii=&quot;Cambria Math&quot; w:h-ansi=&quot;Cambria Math&quot;/&gt;&lt;wx:font wx:val=&quot;Cambria Math&quot;/&gt;&lt;w:i/&gt;&lt;/w:rPr&gt;&lt;m:t&gt;E&lt;/m:t&gt;&lt;/m:r&gt;&lt;/m:e&gt;&lt;m:sub&gt;&lt;m:r&gt;&lt;w:rPr&gt;&lt;w:rFonts w:ascii=&quot;Cambria Math&quot; w:h-ansi=&quot;Cambria Math&quot;/&gt;&lt;wx:font wx:val=&quot;Cambria Math&quot;/&gt;&lt;w:i/&gt;&lt;/w:rPr&gt;&lt;m:t&gt;TOTAL&lt;/m:t&gt;&lt;/m:r&gt;&lt;/m:sub&gt;&lt;/m:sSub&gt;&lt;m:r&gt;&lt;m:rPr&gt;&lt;m:sty m:val=&quot;p&quot;/&gt;&lt;/m:rPr&gt;&lt;w:rPr&gt;&lt;w:rFonts w:ascii=&quot;Cambria Math&quot; w:h-ansi=&quot;Cambria Math&quot;/&gt;&lt;wx:font wx:val=&quot;Cambria Math&quot;/&gt;&lt;/w:rPr&gt;&lt;m:t&gt;=&lt;/m:t&gt;&lt;/m:r&gt;&lt;m:f&gt;&lt;m:fPr&gt;&lt;m:ctrlPr&gt;&lt;w:rPr&gt;&lt;w:rFonts w:ascii=&quot;Cambria Math&quot; w:h-ansi=&quot;Cambria Math&quot;/&gt;&lt;wx:font wx:val=&quot;Cambria Math&quot;/&gt;&lt;/w:rPr&gt;&lt;/m:ctrlPr&gt;&lt;/m:fPr&gt;&lt;m:num&gt;&lt;m:r&gt;&lt;w:rPr&gt;&lt;w:rFonts w:ascii=&quot;Cambria Math&quot; w:h-ansi=&quot;Cambria Math&quot;/&gt;&lt;wx:font wx:val=&quot;Cambria Math&quot;/&gt;&lt;w:i/&gt;&lt;/w:rPr&gt;&lt;m:t&gt;KSM&lt;/m:t&gt;&lt;/m:r&gt;&lt;m:r&gt;&lt;m:rPr&gt;&lt;m:sty m:val=&quot;p&quot;/&gt;&lt;/m:rPr&gt;&lt;w:rPr&gt;&lt;w:rFonts w:ascii=&quot;Cambria Math&quot; w:h-ansi=&quot;Cambria Math&quot;/&gt;&lt;wx:font wx:val=&quot;Cambria Math&quot;/&gt;&lt;/w:rPr&gt;&lt;m:t&gt;(0.28&lt;/m:t&gt;&lt;/m:r&gt;&lt;m:sSup&gt;&lt;m:sSupPr&gt;&lt;m:ctrlPr&gt;&lt;w:rPr&gt;&lt;w:rFonts w:ascii=&quot;Cambria Math&quot; w:h-ansi=&quot;Cambria Math&quot;/&gt;&lt;wx:font wx:val=&quot;Cambria Math&quot;/&gt;&lt;/w:rPr&gt;&lt;/m:ctrlPr&gt;&lt;/m:sSupPr&gt;&lt;m:e&gt;&lt;m:r&gt;&lt;w:rPr&gt;&lt;w:rFonts w:ascii=&quot;Cambria Math&quot; w:h-ansi=&quot;Cambria Math&quot;/&gt;&lt;wx:font wx:val=&quot;Cambria Math&quot;/&gt;&lt;w:i/&gt;&lt;/w:rPr&gt;&lt;m:t&gt;W&lt;/m:t&gt;&lt;/m:r&gt;&lt;/m:e&gt;&lt;m:sup&gt;&lt;m:r&gt;&lt;m:rPr&gt;&lt;m:sty m:val=&quot;p&quot;/&gt;&lt;/m:rPr&gt;&lt;w:rPr&gt;&lt;w:rFonts w:ascii=&quot;Cambria Math&quot; w:h-ansi=&quot;Cambria Math&quot;/&gt;&lt;wx:font wx:val=&quot;Cambria Math&quot;/&gt;&lt;/w:rPr&gt;&lt;m:t&gt;0.75&lt;/m:t&gt;&lt;/m:r&gt;&lt;/m:sup&gt;&lt;/m:sSup&gt;&lt;m:func&gt;&lt;m:funcPr&gt;&lt;m:ctrlPr&gt;&lt;w:rPr&gt;&lt;w:rFonts w:ascii=&quot;Cambria Math&quot; w:h-ansi=&quot;Cambria Math&quot;/&gt;&lt;wx:font wx:val=&quot;Cambria Math&quot;/&gt;&lt;/w:rPr&gt;&lt;/m:ctrlPr&gt;&lt;/m:funcPr&gt;&lt;m:fName&gt;&lt;m:r&gt;&lt;m:rPr&gt;&lt;m:sty m:val=&quot;p&quot;/&gt;&lt;/m:rPr&gt;&lt;w:rPr&gt;&lt;w:rFonts w:ascii=&quot;Cambria Math&quot; w:h-ansi=&quot;Cambria Math&quot;/&gt;&lt;wx:font wx:val=&quot;Cambria Math&quot;/&gt;&lt;/w:rPr&gt;&lt;m:t&gt;exp&lt;/m:t&gt;&lt;/m:r&gt;&lt;/m:fName&gt;&lt;m:e&gt;&lt;m:d&gt;&lt;m:dPr&gt;&lt;m:ctrlPr&gt;&lt;w:rPr&gt;&lt;w:rFonts w:ascii=&quot;Cambria Math&quot; w:h-ansi=&quot;Cambria Math&quot;/&gt;&lt;wx:font wx:val=&quot;Cambria Math&quot;/&gt;&lt;/w:rPr&gt;&lt;/m:ctrlPr&gt;&lt;/m:dPr&gt;&lt;m:e&gt;&lt;m:r&gt;&lt;m:rPr&gt;&lt;m:sty m:val=&quot;p&quot;/&gt;&lt;/m:rPr&gt;&lt;w:rPr&gt;&lt;w:rFonts w:ascii=&quot;Cambria Math&quot; w:h-ansi=&quot;Cambria Math&quot;/&gt;&lt;wx:font wx:val=&quot;Cambria Math&quot;/&gt;&lt;/w:rPr&gt;&lt;m:t&gt;-0.03&lt;/m:t&gt;&lt;/m:r&gt;&lt;m:r&gt;&lt;w:rPr&gt;&lt;w:rFonts w:ascii=&quot;Cambria Math&quot; w:h-ansi=&quot;Cambria Math&quot;/&gt;&lt;wx:font wx:val=&quot;Cambria Math&quot;/&gt;&lt;w:i/&gt;&lt;/w:rPr&gt;&lt;m:t&gt;A&lt;/m:t&gt;&lt;/m:r&gt;&lt;/m:e&gt;&lt;/m:d&gt;&lt;/m:e&gt;&lt;/m:func&gt;&lt;m:r&gt;&lt;m:rPr&gt;&lt;m:sty m:val=&quot;p&quot;/&gt;&lt;/m:rPr&gt;&lt;w:rPr&gt;&lt;w:rFonts w:ascii=&quot;Cambria Math&quot; w:h-ansi=&quot;Cambria Math&quot;/&gt;&lt;wx:font wx:val=&quot;Cambria Math&quot;/&gt;&lt;/w:rPr&gt;&lt;m:t&gt;)&lt;/m:t&gt;&lt;/m:r&gt;&lt;/m:num&gt;&lt;m:den&gt;&lt;m:sSub&gt;&lt;m:sSubPr&gt;&lt;m:ctrlPr&gt;&lt;w:rPr&gt;&lt;w:rFonts w:ascii=&quot;Cambria Math&quot; w:h-ansi=&quot;Cambria Math&quot;/&gt;&lt;wx:font wx:val=&quot;Cambria Math&quot;/&gt;&lt;/w:rPr&gt;&lt;/m:ctrlPr&gt;&lt;/m:sSubPr&gt;&lt;m:e&gt;&lt;m:r&gt;&lt;w:rPr&gt;&lt;w:rFonts w:ascii=&quot;Cambria Math&quot; w:h-ansi=&quot;Cambria Math&quot;/&gt;&lt;wx:font wx:val=&quot;Cambria Math&quot;/&gt;&lt;w:i/&gt;&lt;/w:rPr&gt;&lt;m:t&gt;k&lt;/m:t&gt;&lt;/m:r&gt;&lt;/m:e&gt;&lt;m:sub&gt;&lt;m:r&gt;&lt;w:rPr&gt;&lt;w:rFonts w:ascii=&quot;Cambria Math&quot; w:h-ansi=&quot;Cambria Math&quot;/&gt;&lt;wx:font wx:val=&quot;Cambria Math&quot;/&gt;&lt;w:i/&gt;&lt;/w:rPr&gt;&lt;m:t&gt;m&lt;/m:t&gt;&lt;/m:r&gt;&lt;/m:sub&gt;&lt;/m:sSub&gt;&lt;/m:den&gt;&lt;/m:f&gt;&lt;m:r&gt;&lt;m:rPr&gt;&lt;m:sty m:val=&quot;p&quot;/&gt;&lt;/m:rPr&gt;&lt;w:rPr&gt;&lt;w:rFonts w:ascii=&quot;Cambria Math&quot; w:h-ansi=&quot;Cambria Math&quot;/&gt;&lt;wx:font wx:val=&quot;Cambria Math&quot;/&gt;&lt;/w:rPr&gt;&lt;m:t&gt;+1.1&lt;/m:t&gt;&lt;/m:r&gt;&lt;m:sSub&gt;&lt;m:sSubPr&gt;&lt;m:ctrlPr&gt;&lt;w:rPr&gt;&lt;w:rFonts w:ascii=&quot;Cambria Math&quot; w:h-ansi=&quot;Cambria Math&quot;/&gt;&lt;wx:font wx:val=&quot;Cambria Math&quot;/&gt;&lt;/w:rPr&gt;&lt;/m:ctrlPr&gt;&lt;/m:sSubPr&gt;&lt;m:e&gt;&lt;m:r&gt;&lt;w:rPr&gt;&lt;w:rFonts w:ascii=&quot;Cambria Math&quot; w:h-ansi=&quot;Cambria Math&quot;/&gt;&lt;wx:font wx:val=&quot;Cambria Math&quot;/&gt;&lt;w:i/&gt;&lt;/w:rPr&gt;&lt;m:t&gt;ME&lt;/m:t&gt;&lt;/m:r&gt;&lt;/m:e&gt;&lt;m:sub&gt;&lt;m:r&gt;&lt;w:rPr&gt;&lt;w:rFonts w:ascii=&quot;Cambria Math&quot; w:h-ansi=&quot;Cambria Math&quot;/&gt;&lt;wx:font wx:val=&quot;Cambria Math&quot;/&gt;&lt;w:i/&gt;&lt;/w:rPr&gt;&lt;m:t&gt;P&lt;/m:t&gt;&lt;/m:r&gt;&lt;/m:sub&gt;&lt;/m:sSub&gt;&lt;m:r&gt;&lt;m:rPr&gt;&lt;m:sty m:val=&quot;p&quot;/&gt;&lt;/m:rPr&gt;&lt;w:rPr&gt;&lt;w:rFonts w:ascii=&quot;Cambria Math&quot; w:h-ansi=&quot;Cambria Math&quot;/&gt;&lt;wx:font wx:val=&quot;Cambria Math&quot;/&gt;&lt;/w:rPr&gt;&lt;m:t&gt;+&lt;/m:t&gt;&lt;/m:r&gt;&lt;m:f&gt;&lt;m:fPr&gt;&lt;m:ctrlPr&gt;&lt;w:rPr&gt;&lt;w:rFonts w:ascii=&quot;Cambria Math&quot; w:h-ansi=&quot;Cambria Math&quot;/&gt;&lt;wx:font wx:val=&quot;Cambria Math&quot;/&gt;&lt;/w:rPr&gt;&lt;/m:ctrlPr&gt;&lt;/m:fPr&gt;&lt;m:num&gt;&lt;m:sSub&gt;&lt;m:sSubPr&gt;&lt;m:ctrlPr&gt;&lt;w:rPr&gt;&lt;w:rFonts w:ascii=&quot;Cambria Math&quot; w:h-ansi=&quot;Cambria Math&quot;/&gt;&lt;wx:font wx:val=&quot;Cambria Math&quot;/&gt;&lt;/w:rPr&gt;&lt;/m:ctrlPr&gt;&lt;/m:sSubPr&gt;&lt;m:e&gt;&lt;m:r&gt;&lt;w:rPr&gt;&lt;w:rFonts w:ascii=&quot;Cambria Math&quot; w:h-ansi=&quot;Cambria Math&quot;/&gt;&lt;wx:font wx:val=&quot;Cambria Math&quot;/&gt;&lt;w:i/&gt;&lt;/w:rPr&gt;&lt;m:t&gt;E&lt;/m:t&gt;&lt;/m:r&gt;&lt;/m:e&gt;&lt;m:sub&gt;&lt;m:r&gt;&lt;w:rPr&gt;&lt;w:rFonts w:ascii=&quot;Cambria Math&quot; w:h-ansi=&quot;Cambria Math&quot;/&gt;&lt;wx:font wx:val=&quot;Cambria Math&quot;/&gt;&lt;w:i/&gt;&lt;/w:rPr&gt;&lt;m:t&gt;GRAZE&lt;/m:t&gt;&lt;/m:r&gt;&lt;/m:sub&gt;&lt;/m:sSub&gt;&lt;/m:num&gt;&lt;m:den&gt;&lt;m:sSub&gt;&lt;m:sSubPr&gt;&lt;m:ctrlPr&gt;&lt;w:rPr&gt;&lt;w:rFonts w:ascii=&quot;Cambria Math&quot; w:h-ansi=&quot;Cambria Math&quot;/&gt;&lt;wx:font wx:val=&quot;Cambria Math&quot;/&gt;&lt;/w:rPr&gt;&lt;/m:ctrlPr&gt;&lt;/m:sSubPr&gt;&lt;m:e&gt;&lt;m:r&gt;&lt;w:rPr&gt;&lt;w:rFonts w:ascii=&quot;Cambria Math&quot; w:h-ansi=&quot;Cambria Math&quot;/&gt;&lt;wx:font wx:val=&quot;Cambria Math&quot;/&gt;&lt;w:i/&gt;&lt;/w:rPr&gt;&lt;m:t&gt;k&lt;/m:t&gt;&lt;/m:r&gt;&lt;/m:e&gt;&lt;m:sub&gt;&lt;m:r&gt;&lt;w:rPr&gt;&lt;w:rFonts w:ascii=&quot;Cambria Math&quot; w:h-ansi=&quot;Cambria Math&quot;/&gt;&lt;wx:font wx:val=&quot;Cambria Math&quot;/&gt;&lt;w:i/&gt;&lt;/w:rPr&gt;&lt;m:t&gt;m&lt;/m:t&gt;&lt;/m:r&gt;&lt;/m:sub&gt;&lt;/m:sSub&gt;&lt;/m:den&gt;&lt;/m:f&gt;&lt;m:r&gt;&lt;w:rPr&gt;&lt;w:rFonts w:ascii=&quot;Cambria Math&quot; w:h-ansi=&quot;Cambria Math&quot;/&gt;&lt;wx:font wx:val=&quot;Cambria Math&quot;/&gt;&lt;w:i/&gt;&lt;/w:rPr&gt;&lt;m:t&gt;+&lt;/m:t&gt;&lt;/m:r&gt;&lt;m:sSub&gt;&lt;m:sSubPr&gt;&lt;m:ctrlPr&gt;&lt;w:rPr&gt;&lt;w:rFonts w:ascii=&quot;Cambria Math&quot; w:h-ansi=&quot;Cambria Math&quot;/&gt;&lt;wx:font wx:val=&quot;Cambria Math&quot;/&gt;&lt;w:i/&gt;&lt;/w:rPr&gt;&lt;/m:ctrlPr&gt;&lt;/m:sSubPr&gt;&lt;m:e&gt;&lt;m:r&gt;&lt;w:rPr&gt;&lt;w:rFonts w:ascii=&quot;Cambria Math&quot; w:h-ansi=&quot;Cambria Math&quot;/&gt;&lt;wx:font wx:val=&quot;Cambria Math&quot;/&gt;&lt;w:i/&gt;&lt;/w:rPr&gt;&lt;m:t&gt;ME&lt;/m:t&gt;&lt;/m:r&gt;&lt;/m:e&gt;&lt;m:sub&gt;&lt;m:r&gt;&lt;w:rPr&gt;&lt;w:rFonts w:ascii=&quot;Cambria Math&quot; w:h-ansi=&quot;Cambria Math&quot;/&gt;&lt;wx:font wx:val=&quot;Cambria Math&quot;/&gt;&lt;w:i/&gt;&lt;/w:rPr&gt;&lt;m:t&gt;c&lt;/m:t&gt;&lt;/m:r&gt;&lt;/m:sub&gt;&lt;/m:sSub&gt;&lt;/m:oMath&gt;&lt;/m:oMathPara&gt;&lt;/w:p&gt;&lt;w:sectPr wsp:rsidR=&quot;00000000&quot; wsp:rsidRPr=&quot;009043C6&quot;&gt;&lt;w:pgSz w:w=&quot;12240&quot; w:h=&quot;15840&quot;/&gt;&lt;w:pgMar w:top=&quot;1440&quot; w:right=&quot;1440&quot; w:bottom=&quot;1440&quot; w:left=&quot;1440&quot; w:header=&quot;720&quot; w:footer=&quot;720&quot; w:gutter=&quot;0&quot;/&gt;&lt;w:cols w:space=&quot;720&quot;/&gt;&lt;/w:sectPr&gt;&lt;/wx:sect&gt;&lt;/w:body&gt;&lt;/w:wordDocument&gt;">
            <v:imagedata r:id="rId102" o:title="" chromakey="white"/>
          </v:shape>
        </w:pict>
      </w:r>
    </w:p>
    <w:p w14:paraId="7DBA7E04" w14:textId="77777777" w:rsidR="0068777C" w:rsidRPr="00256982" w:rsidRDefault="0068777C" w:rsidP="0068777C">
      <w:pPr>
        <w:spacing w:before="120"/>
        <w:ind w:left="993" w:hanging="993"/>
      </w:pPr>
      <w:r w:rsidRPr="00256982">
        <w:t>Where:</w:t>
      </w:r>
      <w:r w:rsidRPr="00256982">
        <w:tab/>
        <w:t>K, S and M are constants defined elsewhere (CSIRO, 1990); K = 1.0 for sheep and 1.4 for cattle, S = 1.0 for females and castrates and 1.15 for entire males, M = 1 for all animals except milk-fed animals. M has been removed from the New Zealand calculations and an adjustment for milk-fed animals is carried out through a milk adjustment factor detailed later</w:t>
      </w:r>
    </w:p>
    <w:p w14:paraId="768169D8" w14:textId="77777777" w:rsidR="0068777C" w:rsidRPr="00256982" w:rsidRDefault="0068777C" w:rsidP="0068777C">
      <w:pPr>
        <w:spacing w:before="120"/>
        <w:ind w:left="993"/>
      </w:pPr>
      <w:r w:rsidRPr="00256982">
        <w:t>W is the liveweight (kg)</w:t>
      </w:r>
    </w:p>
    <w:p w14:paraId="5DC67030" w14:textId="77777777" w:rsidR="0068777C" w:rsidRPr="00256982" w:rsidRDefault="0068777C" w:rsidP="0068777C">
      <w:pPr>
        <w:spacing w:before="120"/>
        <w:ind w:left="993"/>
      </w:pPr>
      <w:r w:rsidRPr="00256982">
        <w:t>A is the age in years, up to a maximum value of 6</w:t>
      </w:r>
    </w:p>
    <w:p w14:paraId="20CAD0DC" w14:textId="77777777" w:rsidR="0068777C" w:rsidRPr="00256982" w:rsidRDefault="0068777C" w:rsidP="0068777C">
      <w:pPr>
        <w:spacing w:before="120"/>
        <w:ind w:left="993"/>
      </w:pPr>
      <w:r w:rsidRPr="00256982">
        <w:t>k</w:t>
      </w:r>
      <w:r w:rsidRPr="00256982">
        <w:rPr>
          <w:vertAlign w:val="subscript"/>
        </w:rPr>
        <w:t>m</w:t>
      </w:r>
      <w:r w:rsidRPr="00256982">
        <w:t xml:space="preserve"> is the net efficiency of use of ME for maintenance, and</w:t>
      </w:r>
    </w:p>
    <w:p w14:paraId="1FBB3F39" w14:textId="77777777" w:rsidR="0068777C" w:rsidRPr="00256982" w:rsidRDefault="0068777C" w:rsidP="0068777C">
      <w:pPr>
        <w:spacing w:before="120" w:after="120"/>
        <w:ind w:left="993"/>
      </w:pPr>
      <w:r w:rsidRPr="00256982">
        <w:t>E</w:t>
      </w:r>
      <w:r w:rsidRPr="00256982">
        <w:rPr>
          <w:vertAlign w:val="subscript"/>
        </w:rPr>
        <w:t>GRAZE</w:t>
      </w:r>
      <w:r w:rsidRPr="00256982">
        <w:t xml:space="preserve"> is the additional energy expenditure of livestock in cold stress.</w:t>
      </w:r>
    </w:p>
    <w:p w14:paraId="6D752321" w14:textId="77777777" w:rsidR="0068777C" w:rsidRPr="00256982" w:rsidRDefault="0068777C" w:rsidP="0068777C">
      <w:pPr>
        <w:pStyle w:val="BodyText"/>
        <w:rPr>
          <w:spacing w:val="-2"/>
        </w:rPr>
      </w:pPr>
      <w:r w:rsidRPr="00256982">
        <w:rPr>
          <w:spacing w:val="-2"/>
        </w:rPr>
        <w:t>Until 2019, the term for gestation (ME</w:t>
      </w:r>
      <w:r w:rsidRPr="00256982">
        <w:rPr>
          <w:spacing w:val="-2"/>
          <w:vertAlign w:val="subscript"/>
        </w:rPr>
        <w:t>c</w:t>
      </w:r>
      <w:r w:rsidRPr="00256982">
        <w:rPr>
          <w:spacing w:val="-2"/>
        </w:rPr>
        <w:t xml:space="preserve">) was included in the production term (which is multiplied by 1.1 in the first equation). This was identified as an error </w:t>
      </w:r>
      <w:r w:rsidRPr="00256982">
        <w:t>(</w:t>
      </w:r>
      <w:r w:rsidRPr="00256982">
        <w:rPr>
          <w:spacing w:val="-2"/>
        </w:rPr>
        <w:t>the ME</w:t>
      </w:r>
      <w:r w:rsidRPr="00256982">
        <w:rPr>
          <w:spacing w:val="-2"/>
          <w:vertAlign w:val="subscript"/>
        </w:rPr>
        <w:t>c</w:t>
      </w:r>
      <w:r w:rsidRPr="00256982">
        <w:rPr>
          <w:spacing w:val="-2"/>
        </w:rPr>
        <w:t xml:space="preserve"> term should </w:t>
      </w:r>
      <w:r w:rsidRPr="00256982">
        <w:rPr>
          <w:i/>
          <w:spacing w:val="-2"/>
        </w:rPr>
        <w:t>not</w:t>
      </w:r>
      <w:r w:rsidRPr="00256982">
        <w:rPr>
          <w:spacing w:val="-2"/>
        </w:rPr>
        <w:t xml:space="preserve"> be included in the production term) and has been corrected in the latest version of the inventory. More information on this error is provided in sections 5.1.5 and 10.1.3.</w:t>
      </w:r>
    </w:p>
    <w:p w14:paraId="41D19662" w14:textId="77777777" w:rsidR="0068777C" w:rsidRPr="00256982" w:rsidRDefault="0068777C" w:rsidP="0068777C">
      <w:pPr>
        <w:pStyle w:val="BodyText"/>
        <w:rPr>
          <w:spacing w:val="-2"/>
        </w:rPr>
      </w:pPr>
      <w:r w:rsidRPr="00256982">
        <w:rPr>
          <w:spacing w:val="-2"/>
        </w:rPr>
        <w:t xml:space="preserve">The CSIRO algorithms take into account animal liveweight and production requirements based on the rate of liveweight gain, gender, milk yield and physiological state (CSIRO, 1990). For further details, see the inventory methodology document on the Ministry for Primary Industries website </w:t>
      </w:r>
      <w:hyperlink r:id="rId103" w:history="1">
        <w:r w:rsidRPr="00256982">
          <w:rPr>
            <w:spacing w:val="-2"/>
          </w:rPr>
          <w:t>(http://mpi.govt.nz/news-and-resources/statistics-and-forecasting/greenhouse-gas-reporting</w:t>
        </w:r>
      </w:hyperlink>
      <w:r w:rsidRPr="00256982">
        <w:rPr>
          <w:spacing w:val="-2"/>
        </w:rPr>
        <w:t>).</w:t>
      </w:r>
    </w:p>
    <w:p w14:paraId="20830EF0" w14:textId="77777777" w:rsidR="0068777C" w:rsidRPr="00256982" w:rsidRDefault="0068777C" w:rsidP="0068777C">
      <w:pPr>
        <w:pStyle w:val="Heading5"/>
        <w:rPr>
          <w:b/>
        </w:rPr>
      </w:pPr>
      <w:r w:rsidRPr="00256982">
        <w:lastRenderedPageBreak/>
        <w:t xml:space="preserve">Monthly diet energy (E) concentration </w:t>
      </w:r>
    </w:p>
    <w:p w14:paraId="5EE0BECA" w14:textId="77777777" w:rsidR="0068777C" w:rsidRPr="00256982" w:rsidRDefault="0068777C" w:rsidP="0068777C">
      <w:pPr>
        <w:pStyle w:val="BodyText"/>
        <w:rPr>
          <w:strike/>
        </w:rPr>
      </w:pPr>
      <w:r w:rsidRPr="00256982">
        <w:t>Dairy cattle, non-dairy cattle, sheep and deer are predominantly fed on pasture all year round. Data sets of estimated monthly energy concentrations of pasture consumed by different livestock are used. These data are reported in the inventory methodology document (Pickering and Gibbs, 2018, appendices 3, 9 and 19) and are derived from published and unpublished research trial data and supplemented with additional data from farm surveys on commercial cattle and sheep farms.</w:t>
      </w:r>
    </w:p>
    <w:p w14:paraId="6F042EA9" w14:textId="77777777" w:rsidR="0068777C" w:rsidRPr="00256982" w:rsidRDefault="0068777C" w:rsidP="0068777C">
      <w:pPr>
        <w:pStyle w:val="BodyText"/>
      </w:pPr>
      <w:r w:rsidRPr="00256982">
        <w:t>To ensure consistency, a single livestock population characterisation and feed-intake estimate is produced by the Tier 2 model. It is used in different parts of the Agriculture sector inventory to estimate CH</w:t>
      </w:r>
      <w:r w:rsidRPr="00256982">
        <w:rPr>
          <w:vertAlign w:val="subscript"/>
        </w:rPr>
        <w:t>4</w:t>
      </w:r>
      <w:r w:rsidRPr="00256982">
        <w:t xml:space="preserve"> emissions for the </w:t>
      </w:r>
      <w:r w:rsidRPr="00256982">
        <w:rPr>
          <w:i/>
        </w:rPr>
        <w:t>Enteric fermentation</w:t>
      </w:r>
      <w:r w:rsidRPr="00256982">
        <w:t xml:space="preserve"> category, CH</w:t>
      </w:r>
      <w:r w:rsidRPr="00256982">
        <w:rPr>
          <w:vertAlign w:val="subscript"/>
        </w:rPr>
        <w:t>4</w:t>
      </w:r>
      <w:r w:rsidRPr="00256982">
        <w:t xml:space="preserve"> and N</w:t>
      </w:r>
      <w:r w:rsidRPr="00256982">
        <w:rPr>
          <w:vertAlign w:val="subscript"/>
        </w:rPr>
        <w:t>2</w:t>
      </w:r>
      <w:r w:rsidRPr="00256982">
        <w:t xml:space="preserve">O emissions for the </w:t>
      </w:r>
      <w:r w:rsidRPr="00256982">
        <w:rPr>
          <w:i/>
        </w:rPr>
        <w:t>Manure management</w:t>
      </w:r>
      <w:r w:rsidRPr="00256982">
        <w:t xml:space="preserve"> category and N</w:t>
      </w:r>
      <w:r w:rsidRPr="00256982">
        <w:rPr>
          <w:vertAlign w:val="subscript"/>
        </w:rPr>
        <w:t>2</w:t>
      </w:r>
      <w:r w:rsidRPr="00256982">
        <w:t>O emissions for urine and dung deposited by grazing animals onto pasture</w:t>
      </w:r>
    </w:p>
    <w:p w14:paraId="0E7EFD16" w14:textId="77777777" w:rsidR="0068777C" w:rsidRPr="00256982" w:rsidRDefault="0068777C" w:rsidP="004B5E70">
      <w:pPr>
        <w:pStyle w:val="Heading3"/>
      </w:pPr>
      <w:r w:rsidRPr="00256982">
        <w:t xml:space="preserve">5.1.4 </w:t>
      </w:r>
      <w:r w:rsidRPr="00256982">
        <w:tab/>
        <w:t>Activity data</w:t>
      </w:r>
    </w:p>
    <w:p w14:paraId="38BFF9DA" w14:textId="77777777" w:rsidR="0068777C" w:rsidRPr="00256982" w:rsidRDefault="0068777C" w:rsidP="00A72006">
      <w:pPr>
        <w:pStyle w:val="Heading4"/>
      </w:pPr>
      <w:r w:rsidRPr="00256982">
        <w:t xml:space="preserve">Major livestock categories </w:t>
      </w:r>
    </w:p>
    <w:p w14:paraId="37E0F743" w14:textId="77777777" w:rsidR="0068777C" w:rsidRPr="00256982" w:rsidRDefault="0068777C" w:rsidP="0068777C">
      <w:pPr>
        <w:pStyle w:val="BodyText"/>
        <w:spacing w:before="100" w:after="100"/>
      </w:pPr>
      <w:r w:rsidRPr="00256982">
        <w:t xml:space="preserve">The Tier 2 methodology developed by New Zealand uses detailed data on livestock population and productivity to calculate livestock energy requirements. Animal population census data are collected by Statistics New Zealand every five years (the Agricultural Production census) and survey statistics are collected annually between censuses (the Agricultural Production survey). Productivity data are available from the Livestock Improvement Corporation (LIC) (dairy statistics) and industry organisations such as Beef + Lamb New Zealand Ltd and Deer Industry New Zealand, which regularly collect animal sector statistics. Statistics on animal carcass weights are collected by the Ministry for Primary Industries and are used to derive liveweights. </w:t>
      </w:r>
    </w:p>
    <w:p w14:paraId="4C7AA1BA" w14:textId="77777777" w:rsidR="0068777C" w:rsidRPr="00256982" w:rsidRDefault="0068777C" w:rsidP="0068777C">
      <w:pPr>
        <w:pStyle w:val="BodyText"/>
        <w:spacing w:before="100" w:after="100"/>
      </w:pPr>
      <w:r w:rsidRPr="00256982">
        <w:t>Most of these data are collected on a June year-end basis but the inventory is calculated on a calendar year. New Zealand uses a June year for animal statistics because this reflects the natural biological cycle for animals in the southern hemisphere. New Zealand’s Tier 2 model has been developed to estimate livestock emissions on a monthly time step, beginning on 1 July of one year and ending on 30 June of the next year. To calculate emissions for a single calendar year (January–December), the calculated emission data from the last six months of a July–June year are combined with the first six months’ emissions of the next July–June year. This approach enables comparisons with the inventories of other countries.</w:t>
      </w:r>
    </w:p>
    <w:p w14:paraId="179B34FD" w14:textId="77777777" w:rsidR="0068777C" w:rsidRPr="00256982" w:rsidRDefault="0068777C" w:rsidP="0068777C">
      <w:pPr>
        <w:pStyle w:val="Heading5"/>
      </w:pPr>
      <w:r w:rsidRPr="00256982">
        <w:t xml:space="preserve">Animal population data </w:t>
      </w:r>
    </w:p>
    <w:p w14:paraId="384C8E46" w14:textId="77777777" w:rsidR="0068777C" w:rsidRPr="00256982" w:rsidRDefault="0068777C" w:rsidP="0068777C">
      <w:pPr>
        <w:pStyle w:val="BodyText"/>
        <w:spacing w:before="100" w:after="100"/>
      </w:pPr>
      <w:r w:rsidRPr="00256982">
        <w:t>Statistics New Zealand collects animal population data on a territorial authority basis. Territorial authorities are the second level of local government in New Zealand, beneath regional councils. Further details about the scope and accuracy of Statistics New Zealand Agricultural Production data collection are provided in annex 3.1. In this submission, provisional 2017 data from Statistics New Zealand was not available, therefore, the 2017 animal population numbers for major livestock categories have been estimated by the Ministry for Primary Industries, and these will be updated with final figures from Statistics New Zealand in the 2020 (1990–2018) submission.</w:t>
      </w:r>
    </w:p>
    <w:p w14:paraId="6BFAEE64" w14:textId="77777777" w:rsidR="0068777C" w:rsidRPr="00256982" w:rsidRDefault="0068777C" w:rsidP="0068777C">
      <w:pPr>
        <w:pStyle w:val="BodyText"/>
        <w:spacing w:before="100" w:after="100"/>
      </w:pPr>
      <w:r w:rsidRPr="00256982">
        <w:t>The New Zealand inventory uses a different population characterisation for pasture-based livestock, compared with that recommended by the Intergovernmental Panel on Climate Change (IPCC) (IPCC, 2000, 2006). The full list of categories for the major livestock populations can be found in annex 3.1 and in the inventory methodology document on the Ministry for Primary Industries website (</w:t>
      </w:r>
      <w:hyperlink r:id="rId104" w:history="1">
        <w:r w:rsidRPr="00256982">
          <w:t>http://mpi.govt.nz/news-and-resources/statistics-and-forecasting/greenhouse-gas-reporting</w:t>
        </w:r>
      </w:hyperlink>
      <w:r w:rsidRPr="00256982">
        <w:t xml:space="preserve">). </w:t>
      </w:r>
    </w:p>
    <w:p w14:paraId="14985FCD" w14:textId="77777777" w:rsidR="0068777C" w:rsidRPr="00256982" w:rsidRDefault="0068777C" w:rsidP="0068777C">
      <w:pPr>
        <w:pStyle w:val="BodyText"/>
        <w:spacing w:before="100" w:after="100"/>
      </w:pPr>
      <w:r w:rsidRPr="00256982">
        <w:lastRenderedPageBreak/>
        <w:t xml:space="preserve">Dairy cattle encompass all cattle that are required to support the milking dairy herd. This includes calves, young growing non-lactating heifers, dry cows and dairy bulls. All other cattle in New Zealand tend to be used for the breeding of animals that are slaughtered for meat consumption. These animals are characterised as non-dairy cattle. These include non-dairy breeding lactating cows used for producing slaughter animals, such as calves, dry cows, bulls and all slaughter classes. A proportion of female calves not required for dairy replacements, and dairy bull calves, also goes into the non-dairy herd and are slaughtered for meat consumption. </w:t>
      </w:r>
    </w:p>
    <w:p w14:paraId="349FFD7C" w14:textId="77777777" w:rsidR="0068777C" w:rsidRPr="00256982" w:rsidRDefault="0068777C" w:rsidP="0068777C">
      <w:pPr>
        <w:pStyle w:val="BodyText"/>
        <w:spacing w:before="100" w:after="100"/>
      </w:pPr>
      <w:r w:rsidRPr="00256982">
        <w:t>A detailed livestock population model is used to calculate monthly populations for dairy cattle, non-dairy cattle, sheep and deer (see annex 3, table A3.1.2 for the full list of categories).</w:t>
      </w:r>
    </w:p>
    <w:p w14:paraId="78CC58DB" w14:textId="77777777" w:rsidR="0068777C" w:rsidRPr="00256982" w:rsidRDefault="0068777C" w:rsidP="0068777C">
      <w:pPr>
        <w:pStyle w:val="BodyText"/>
        <w:spacing w:before="100" w:after="100"/>
        <w:rPr>
          <w:spacing w:val="-2"/>
        </w:rPr>
      </w:pPr>
      <w:r w:rsidRPr="00256982">
        <w:rPr>
          <w:spacing w:val="-2"/>
        </w:rPr>
        <w:t xml:space="preserve">This monthly population delineation has been developed by using industry knowledge and assumptions as detailed in Clark (2008b), Thomson et al., (2010, unpublished) and Suttie (2012). The populations within a year are adjusted on a monthly basis to account for births, deaths and transfers between age groups. This is necessary because the livestock population numbers present and recorded at one point in time may not accurately reflect the numbers present at other times of the year. For example, the majority of lambs are born and slaughtered between August and May so do not appear in the June census or survey data. Additionally, male and female dairy calves not wanted as replacements are usually slaughtered at four days of age or transferred to the non-dairy herd. The monthly population model ensures that the calculated feed demand accurately reflects the status of each livestock category at a particular time of the year. </w:t>
      </w:r>
    </w:p>
    <w:p w14:paraId="5279CF74" w14:textId="77777777" w:rsidR="0068777C" w:rsidRPr="00256982" w:rsidRDefault="0068777C" w:rsidP="0068777C">
      <w:pPr>
        <w:pStyle w:val="BodyText"/>
      </w:pPr>
      <w:r w:rsidRPr="00256982">
        <w:t>Dairy livestock emissions are calculated on a regional council area basis by using regional dairy data from Statistics New Zealand, DairyNZ and LIC. This allows the inventory to take into account regional differences in productivity (Clark, 2008a). This regional emissions assessment is not carried out for other livestock types because regional productivity data are not available.</w:t>
      </w:r>
    </w:p>
    <w:p w14:paraId="261885C2" w14:textId="77777777" w:rsidR="0068777C" w:rsidRPr="00256982" w:rsidRDefault="0068777C" w:rsidP="0068777C">
      <w:pPr>
        <w:pStyle w:val="Heading5"/>
      </w:pPr>
      <w:r w:rsidRPr="00256982">
        <w:t xml:space="preserve">Animal productivity data </w:t>
      </w:r>
    </w:p>
    <w:p w14:paraId="15D03D8B" w14:textId="77777777" w:rsidR="0068777C" w:rsidRPr="00256982" w:rsidRDefault="0068777C" w:rsidP="0068777C">
      <w:pPr>
        <w:pStyle w:val="BodyText"/>
      </w:pPr>
      <w:r w:rsidRPr="00256982">
        <w:t xml:space="preserve">Productivity data are obtained from LIC and DairyNZ (2018), Beef + Lamb New Zealand Ltd (2018) and Deer Industry New Zealand. These are non-governmental, industry levy bodies providing services to the dairy cattle, non-dairy cattle, sheep and deer industries. </w:t>
      </w:r>
    </w:p>
    <w:p w14:paraId="70D5BDB5" w14:textId="77777777" w:rsidR="0068777C" w:rsidRPr="00256982" w:rsidRDefault="0068777C" w:rsidP="0068777C">
      <w:pPr>
        <w:pStyle w:val="BodyText"/>
      </w:pPr>
      <w:r w:rsidRPr="00256982">
        <w:t xml:space="preserve">Slaughter statistics are collected by the Ministry for Primary Industries (www.mpi.govt.nz/news-and-resources/open-data-and-forecasting/agriculture) and are used as a proxy to establish changes in animal liveweight over time. Animal liveweight is derived from published slaughter-weight statistics and general nationally derived killing-out percentages (Clark et al., 2003; Muir et al., 2008; Muir and Thomson, 2010). </w:t>
      </w:r>
    </w:p>
    <w:p w14:paraId="52DBBC25" w14:textId="77777777" w:rsidR="0068777C" w:rsidRPr="00256982" w:rsidRDefault="0068777C" w:rsidP="0068777C">
      <w:pPr>
        <w:pStyle w:val="BodyText"/>
      </w:pPr>
      <w:r w:rsidRPr="00256982">
        <w:t xml:space="preserve">To ensure consistency, the same data sources are used each year. Other information, such as the liveweight of non-dairy cattle and breeding bulls, is collected at irregular intervals from small survey populations. For years when data is not available, expert opinion and extrapolation from existing data are used. </w:t>
      </w:r>
    </w:p>
    <w:p w14:paraId="52CDA6CA" w14:textId="77777777" w:rsidR="0068777C" w:rsidRPr="00256982" w:rsidRDefault="0068777C" w:rsidP="0068777C">
      <w:pPr>
        <w:pStyle w:val="BodyText"/>
      </w:pPr>
      <w:r w:rsidRPr="00256982">
        <w:rPr>
          <w:b/>
          <w:i/>
        </w:rPr>
        <w:t>Dairy cattle – milk production:</w:t>
      </w:r>
      <w:r w:rsidRPr="00256982">
        <w:t xml:space="preserve"> Regional data on milk production, proportions of dairy cattle breeds and animal weights are provided by LIC and published annually. These data are collectively compiled by LIC and DairyNZ. </w:t>
      </w:r>
    </w:p>
    <w:p w14:paraId="36847AEF" w14:textId="77777777" w:rsidR="0068777C" w:rsidRPr="00256982" w:rsidRDefault="0068777C" w:rsidP="0068777C">
      <w:pPr>
        <w:pStyle w:val="BodyText"/>
      </w:pPr>
      <w:r w:rsidRPr="00256982">
        <w:t xml:space="preserve">Data on New Zealand’s total milk production originate from the amount of milk processed through New Zealand dairy factories for both the export and domestic markets. Data on individual animal production are sourced from the Dairy Core Database, the regulated portion of LIC’s database that holds core production data from cow herds tested in New Zealand. Dairy farmers are paid on total kilograms of milk solids (fat and protein) collected. Tankers that collect the milk also meter the milk collected from individual farms, and these meters are regularly calibrated and audited. Milk samples from individual farms are also independently tested for milk solids, milk fat and protein content. </w:t>
      </w:r>
    </w:p>
    <w:p w14:paraId="136CFDB7" w14:textId="77777777" w:rsidR="0068777C" w:rsidRPr="00256982" w:rsidRDefault="0068777C" w:rsidP="0068777C">
      <w:pPr>
        <w:pStyle w:val="BodyText"/>
      </w:pPr>
      <w:r w:rsidRPr="00256982">
        <w:lastRenderedPageBreak/>
        <w:t xml:space="preserve">LIC provides annual milk production data (milk yield and composition), but the Tier 2 livestock model operates on a monthly time step. Monthly milk production is determined by multiplying the assumed proportion of annual milk production for each month by the total annual milk production (see annex 3, table A3.1.3). Milk production commences from mid-July to early August every year, peaking around October–November and declines during autumn (April–May in the southern hemisphere). Milk production is low to non-existent in June and July in most herds (see figure 5.1.8). </w:t>
      </w:r>
    </w:p>
    <w:p w14:paraId="574E159E" w14:textId="77777777" w:rsidR="0068777C" w:rsidRPr="00256982" w:rsidRDefault="0068777C" w:rsidP="0068777C">
      <w:pPr>
        <w:spacing w:before="120" w:after="120"/>
      </w:pPr>
      <w:r w:rsidRPr="00256982">
        <w:t>From 2004, annual milk yields per animal have been obtained and reported as additional data in the CRF tables by dividing the total milk produced by the total number of milking dairy cows and heifers. New Zealand assumes an additional 107 litres of milk is added to the first half of the annual lactation of each cow to allow for milk fed to calves; this assumption was based on a review of the animal energy model and a survey of farmers by Thomson et al. (2010).</w:t>
      </w:r>
    </w:p>
    <w:p w14:paraId="69A03AD1" w14:textId="77777777" w:rsidR="0068777C" w:rsidRPr="00256982" w:rsidRDefault="0068777C" w:rsidP="0068777C">
      <w:pPr>
        <w:pStyle w:val="Figure"/>
      </w:pPr>
      <w:bookmarkStart w:id="506" w:name="_Toc481752011"/>
      <w:bookmarkStart w:id="507" w:name="_Toc507158470"/>
      <w:bookmarkStart w:id="508" w:name="_Toc511116961"/>
      <w:bookmarkStart w:id="509" w:name="_Toc5269691"/>
      <w:r w:rsidRPr="00256982">
        <w:t xml:space="preserve">Figure 5.1.8 </w:t>
      </w:r>
      <w:r w:rsidRPr="00256982">
        <w:tab/>
        <w:t xml:space="preserve">National monthly milk production in New Zealand from 2015 to </w:t>
      </w:r>
      <w:bookmarkEnd w:id="506"/>
      <w:r w:rsidRPr="00256982">
        <w:t>2017</w:t>
      </w:r>
      <w:bookmarkEnd w:id="507"/>
      <w:bookmarkEnd w:id="508"/>
      <w:bookmarkEnd w:id="509"/>
    </w:p>
    <w:p w14:paraId="42FD5DC2" w14:textId="3ADC6ABA" w:rsidR="0068777C" w:rsidRPr="00256982" w:rsidRDefault="00590491" w:rsidP="0068777C">
      <w:pPr>
        <w:jc w:val="center"/>
      </w:pPr>
      <w:r>
        <w:rPr>
          <w:lang w:eastAsia="en-NZ"/>
        </w:rPr>
        <w:pict w14:anchorId="691FD5C2">
          <v:shape id="Chart 63" o:spid="_x0000_i1081" type="#_x0000_t75" style="width:420.75pt;height:222pt;visibility:visible" o:gfxdata="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">
            <v:imagedata r:id="rId105" o:title="" croptop="1167f" cropbottom="1551f" cropright="624f"/>
            <o:lock v:ext="edit" aspectratio="f"/>
          </v:shape>
        </w:pict>
      </w:r>
    </w:p>
    <w:p w14:paraId="0D02C2A8" w14:textId="77777777" w:rsidR="0068777C" w:rsidRPr="00256982" w:rsidRDefault="0068777C" w:rsidP="00135B33">
      <w:pPr>
        <w:pStyle w:val="Source"/>
        <w:spacing w:after="120"/>
        <w:rPr>
          <w:b/>
        </w:rPr>
      </w:pPr>
      <w:r w:rsidRPr="00256982">
        <w:rPr>
          <w:b/>
        </w:rPr>
        <w:t>Source</w:t>
      </w:r>
      <w:r w:rsidRPr="00256982">
        <w:t>: Dairy Companies Association of New Zealand (2018)</w:t>
      </w:r>
    </w:p>
    <w:p w14:paraId="3DF25F14" w14:textId="77777777" w:rsidR="0068777C" w:rsidRPr="00256982" w:rsidRDefault="0068777C" w:rsidP="0068777C">
      <w:pPr>
        <w:pStyle w:val="BodyText"/>
        <w:rPr>
          <w:spacing w:val="-2"/>
        </w:rPr>
      </w:pPr>
      <w:r w:rsidRPr="00256982">
        <w:rPr>
          <w:spacing w:val="-2"/>
        </w:rPr>
        <w:t xml:space="preserve">Before 1993, no productivity data was collected at a territorial authority level, so pre-1993 data have been estimated by extrapolating from the trends observed in existing data from 1994 to 2008. </w:t>
      </w:r>
    </w:p>
    <w:p w14:paraId="16365703" w14:textId="77777777" w:rsidR="0068777C" w:rsidRPr="00256982" w:rsidRDefault="0068777C" w:rsidP="0068777C">
      <w:pPr>
        <w:pStyle w:val="BodyText"/>
      </w:pPr>
      <w:r w:rsidRPr="00256982">
        <w:t>Before 2004, not all productivity data required could be collected from LIC at a territorial authority level. From 1993–2003, annual milk yield per cow was determined by the following equation:</w:t>
      </w:r>
    </w:p>
    <w:bookmarkStart w:id="510" w:name="_MON_1579592448"/>
    <w:bookmarkEnd w:id="510"/>
    <w:p w14:paraId="3DB4D246" w14:textId="77777777" w:rsidR="0068777C" w:rsidRPr="00256982" w:rsidRDefault="0068777C" w:rsidP="0068777C">
      <w:pPr>
        <w:pStyle w:val="BodyText"/>
        <w:spacing w:before="60"/>
      </w:pPr>
      <w:r w:rsidRPr="00256982">
        <w:object w:dxaOrig="7349" w:dyaOrig="549" w14:anchorId="21E95AF0">
          <v:shape id="_x0000_i1082" type="#_x0000_t75" style="width:365.25pt;height:30pt" o:ole="">
            <v:imagedata r:id="rId106" o:title=""/>
          </v:shape>
          <o:OLEObject Type="Embed" ProgID="Word.Document.12" ShapeID="_x0000_i1082" DrawAspect="Content" ObjectID="_1616241197" r:id="rId107">
            <o:FieldCodes>\s</o:FieldCodes>
          </o:OLEObject>
        </w:object>
      </w:r>
    </w:p>
    <w:p w14:paraId="5CF3AC82" w14:textId="77777777" w:rsidR="0068777C" w:rsidRPr="00256982" w:rsidRDefault="0068777C" w:rsidP="0068777C">
      <w:pPr>
        <w:pStyle w:val="BodyText"/>
      </w:pPr>
      <w:r w:rsidRPr="00256982">
        <w:t xml:space="preserve">From 2004 onwards, productivity data has been collected by LIC at a similar territorial authority level as the livestock population data collected by Statistics New Zealand. Ministry for Primary Industries officials aggregate these territorial data up into the regional council boundaries used for the population data. </w:t>
      </w:r>
    </w:p>
    <w:p w14:paraId="0B2DD258" w14:textId="77777777" w:rsidR="0068777C" w:rsidRPr="00256982" w:rsidRDefault="0068777C" w:rsidP="0068777C">
      <w:pPr>
        <w:pStyle w:val="BodyText"/>
      </w:pPr>
      <w:r w:rsidRPr="00256982">
        <w:t xml:space="preserve">Approximately 53.2 per cent of all dairy cattle in milk were tested by LIC for liveweight and milk production, along with the milk tested for milk fat and protein levels in 2017 (LIC and DairyNZ, 2018). LIC also does genetic testing to identify key breeding stock and their genetic background. Genetic improvement has contributed significantly to the per-animal productivity improvements in the New Zealand dairy cattle herd (LIC, 2009). </w:t>
      </w:r>
    </w:p>
    <w:p w14:paraId="77EB28A5" w14:textId="77777777" w:rsidR="0068777C" w:rsidRPr="00256982" w:rsidRDefault="0068777C" w:rsidP="0068777C">
      <w:pPr>
        <w:pStyle w:val="BodyText"/>
      </w:pPr>
      <w:r w:rsidRPr="00256982">
        <w:lastRenderedPageBreak/>
        <w:t xml:space="preserve">New Zealand’s dairy production per animal is lower, compared with other developed countries. This is because New Zealand has predominantly pasture-based dairy systems rather than the housed grain-fed systems used in Europe and North America. </w:t>
      </w:r>
    </w:p>
    <w:p w14:paraId="1383485E" w14:textId="77777777" w:rsidR="0068777C" w:rsidRPr="00256982" w:rsidRDefault="0068777C" w:rsidP="0068777C">
      <w:pPr>
        <w:pStyle w:val="BodyText"/>
      </w:pPr>
      <w:r w:rsidRPr="00256982">
        <w:rPr>
          <w:b/>
          <w:i/>
        </w:rPr>
        <w:t xml:space="preserve">Dairy cattle – liveweight: </w:t>
      </w:r>
      <w:r w:rsidRPr="00256982">
        <w:t xml:space="preserve">Average liveweight data for dairy cows are obtained by taking into </w:t>
      </w:r>
      <w:r w:rsidRPr="00256982">
        <w:rPr>
          <w:spacing w:val="-2"/>
        </w:rPr>
        <w:t>account the proportion of each breed in the national herd and its age structure based on LIC data</w:t>
      </w:r>
      <w:r w:rsidRPr="00256982">
        <w:t xml:space="preserve">. Dairy cow liveweight data are only available from LIC from 1996 onwards and have been </w:t>
      </w:r>
      <w:r w:rsidRPr="00256982">
        <w:rPr>
          <w:spacing w:val="-2"/>
        </w:rPr>
        <w:t>disaggregated into eight regions, with some of these comprising several regional council regions.</w:t>
      </w:r>
      <w:r w:rsidRPr="00256982">
        <w:t xml:space="preserve"> Data from the nine livestock improvement regions were appropriately apportioned to regional council areas. Liveweights prior to 1996 were estimated using the trend in liveweights from 1996 to 2008, together with data on the breed composition of the national herd (LIC, 2009). </w:t>
      </w:r>
    </w:p>
    <w:p w14:paraId="2E7BEC88" w14:textId="77777777" w:rsidR="0068777C" w:rsidRPr="00256982" w:rsidRDefault="0068777C" w:rsidP="0068777C">
      <w:pPr>
        <w:pStyle w:val="BodyText"/>
      </w:pPr>
      <w:r w:rsidRPr="00256982">
        <w:t xml:space="preserve">In the model, replacement dairy animals (calves) are assumed to be approximately 9 per cent of the weight of the average cow at birth and to reach 90 per cent of the weight of the average adult cow at calving (at two years of age) (Clark et al., 2003). Growth between birth and calving is divided into two periods: birth to weaning and weaning to calving. Higher growth rates are applied in the model between birth and weaning, when animals receive milk as part of their diet. Within each period, the same daily growth rate is applied for the entire length of the period. </w:t>
      </w:r>
    </w:p>
    <w:p w14:paraId="632DE197" w14:textId="77777777" w:rsidR="0068777C" w:rsidRPr="00256982" w:rsidRDefault="0068777C" w:rsidP="0068777C">
      <w:pPr>
        <w:pStyle w:val="BodyText"/>
      </w:pPr>
      <w:r w:rsidRPr="00256982">
        <w:t xml:space="preserve">No data are available on the liveweights and performance of most breeding dairy bulls, which can range from the small Jersey breeds through to larger European beef breeds. It is assumed, based on expert opinion and taking into account industry data (Clark et al., 2003), that the average mature weight at 1 January is 500 kilograms and that they grow at 0.5 kilograms per day. This gives an average weight (at the mid-point of the year) of 592 kilograms. This is almost 25 per cent higher than the average weight of a breeding dairy cow but is supported by expert opinion given that some of the bulls will be of a heavier breed (e.g., Friesian and some beef breeds). Total emissions are not highly sensitive to these assumed liveweight values because breeding bulls in the dairy herd are low in number and contribute less than 0.1 per cent of emissions to the dairy sector. </w:t>
      </w:r>
    </w:p>
    <w:p w14:paraId="723442EE" w14:textId="77777777" w:rsidR="0068777C" w:rsidRPr="00256982" w:rsidRDefault="0068777C" w:rsidP="0068777C">
      <w:pPr>
        <w:pStyle w:val="BodyText"/>
      </w:pPr>
      <w:r w:rsidRPr="00256982">
        <w:t xml:space="preserve">In 2017, the New Zealand dairy herd comprised a number of breeds including the Holstein–Friesian/Jersey crossbreed (48.0 per cent of the national cow population in 2017), </w:t>
      </w:r>
      <w:r w:rsidRPr="00256982">
        <w:br/>
        <w:t>Holstein–Friesian (33.0 per cent), Jersey (9.3 per cent), Ayrshire (0.6 per cent) and other breeds (9.1 per cent) (LIC and DairyNZ, 2018).</w:t>
      </w:r>
    </w:p>
    <w:p w14:paraId="59F8A5F0" w14:textId="77777777" w:rsidR="0068777C" w:rsidRPr="00256982" w:rsidRDefault="0068777C" w:rsidP="0068777C">
      <w:pPr>
        <w:pStyle w:val="BodyText"/>
      </w:pPr>
      <w:r w:rsidRPr="00256982">
        <w:t xml:space="preserve">The Holstein–Friesian/Jersey crossbreed has been developed specifically for New Zealand’s pasture-based systems. This breed is approximately 7.5 per cent lighter than a Holstein–Friesian (LIC and DairyNZ, 2018) and has lower maintenance feed requirements. It does less damage to pasture during wet periods due to its lower liveweight, compared with larger cattle breeds. It also has higher milk volumes than the Jersey breed while maintaining a high percentage of milk solids. </w:t>
      </w:r>
    </w:p>
    <w:p w14:paraId="3302BD3B" w14:textId="77777777" w:rsidR="0068777C" w:rsidRPr="00256982" w:rsidRDefault="0068777C" w:rsidP="0068777C">
      <w:pPr>
        <w:pStyle w:val="BodyText"/>
      </w:pPr>
      <w:r w:rsidRPr="00256982">
        <w:rPr>
          <w:b/>
          <w:i/>
        </w:rPr>
        <w:t>Non-dairy cattle:</w:t>
      </w:r>
      <w:r w:rsidRPr="00256982">
        <w:t xml:space="preserve"> The principal source of information for estimating productivity for non-dairy (beef) cattle is livestock slaughter statistics provided by the Ministry for Primary Industries. All growing beef animals are assumed to be slaughtered at two years of age, and the average weight at slaughter for the three categories (</w:t>
      </w:r>
      <w:r w:rsidRPr="00256982">
        <w:rPr>
          <w:i/>
        </w:rPr>
        <w:t>Heifers</w:t>
      </w:r>
      <w:r w:rsidRPr="00256982">
        <w:t xml:space="preserve">, </w:t>
      </w:r>
      <w:r w:rsidRPr="00256982">
        <w:rPr>
          <w:i/>
        </w:rPr>
        <w:t>Steers</w:t>
      </w:r>
      <w:r w:rsidRPr="00256982">
        <w:t xml:space="preserve"> and </w:t>
      </w:r>
      <w:r w:rsidRPr="00256982">
        <w:rPr>
          <w:i/>
        </w:rPr>
        <w:t>Bulls</w:t>
      </w:r>
      <w:r w:rsidRPr="00256982">
        <w:t xml:space="preserve">) is estimated from the carcass weight at slaughter. Liveweights at birth are assumed to be approximately 9 per cent of an adult cow weight for heifers and 10 per cent for steers and bulls (Clark et al., 2003). As with dairy cattle, growth rates of all growing animals are divided into two periods in the model: birth to weaning and weaning to slaughter. Higher growth rates are applied before weaning when animals receive milk as part of their diet. Within each period, the same daily growth rate is applied for the entire period. </w:t>
      </w:r>
    </w:p>
    <w:p w14:paraId="0B22607F" w14:textId="77777777" w:rsidR="0068777C" w:rsidRPr="00256982" w:rsidRDefault="0068777C" w:rsidP="0068777C">
      <w:pPr>
        <w:pStyle w:val="BodyText"/>
      </w:pPr>
      <w:r w:rsidRPr="00256982">
        <w:lastRenderedPageBreak/>
        <w:t>The Ministry for Primary Industries slaughter statistics have only recently begun to separate carcass weights of adult dairy cows and adult beef cows. Therefore, a number of assumptions</w:t>
      </w:r>
      <w:r w:rsidRPr="00256982">
        <w:rPr>
          <w:rStyle w:val="FootnoteReference"/>
        </w:rPr>
        <w:footnoteReference w:id="33"/>
      </w:r>
      <w:r w:rsidRPr="00256982">
        <w:t xml:space="preserve"> are made to estimate the liveweights of breeding beef cows. A total milk yield of 800 litres is assumed to be produced per breeding beef cow, which is then consumed by beef calves (Clark et al., 2003). </w:t>
      </w:r>
    </w:p>
    <w:p w14:paraId="40DC965E" w14:textId="42D7586F" w:rsidR="0068777C" w:rsidRPr="00256982" w:rsidRDefault="0068777C" w:rsidP="0068777C">
      <w:pPr>
        <w:pStyle w:val="BodyText"/>
        <w:keepLines/>
      </w:pPr>
      <w:r w:rsidRPr="00256982">
        <w:rPr>
          <w:b/>
          <w:i/>
        </w:rPr>
        <w:t>Sheep:</w:t>
      </w:r>
      <w:r w:rsidRPr="00256982">
        <w:t xml:space="preserve"> Livestock slaughter statistics from the Ministry for Primary Industries are used to estimate the liveweights of adult sheep and lambs at slaughter, assuming killing-out percentages</w:t>
      </w:r>
      <w:r w:rsidRPr="00256982">
        <w:rPr>
          <w:rStyle w:val="FootnoteReference"/>
        </w:rPr>
        <w:footnoteReference w:id="34"/>
      </w:r>
      <w:r w:rsidRPr="00256982">
        <w:t xml:space="preserve"> of approximately 40 per cent for ewes and 45 per cent for lambs (Thomson et al., 2010). Lamb liveweights at birth are assumed to be 9 per cent of the adult ewe weight, with all lambs assumed to be born on 11 September on average (Thomson et al., 2010). Growing breeding and non</w:t>
      </w:r>
      <w:r w:rsidRPr="00256982">
        <w:noBreakHyphen/>
        <w:t>breeding ewe hoggets are assumed to reach full adult size when subsequently mated at an age of 20 months. Adult wethers are assumed to be the same weight as adult breeding females. No within-year pattern of liveweight change is assumed for either adult wethers or adult ewes. All ewes rearing a lamb are assumed to have a total milk yield of 100</w:t>
      </w:r>
      <w:r w:rsidR="00B615A9" w:rsidRPr="00256982">
        <w:t> </w:t>
      </w:r>
      <w:r w:rsidRPr="00256982">
        <w:t xml:space="preserve">litres. Breeding rams are assumed to weigh 40 per cent more than adult ewes (Clark et al., 2003). Wool growth (greasy fleece growth) is assumed to be 5 kilograms per annum in mature sheep (ewes, rams and wethers) and 2.5 kilograms per annum in growing sheep and lambs. Beef + Lamb New Zealand Ltd, the industry organisation representing the non-dairy cattle and sheep industries, provides estimates of the total wool production from 1990 to 2017 from which the individual fleece weight is estimated (Beef + Lamb New Zealand Ltd, 2018). </w:t>
      </w:r>
    </w:p>
    <w:p w14:paraId="698170C2" w14:textId="77777777" w:rsidR="0068777C" w:rsidRPr="00256982" w:rsidRDefault="0068777C" w:rsidP="0068777C">
      <w:pPr>
        <w:pStyle w:val="BodyText"/>
      </w:pPr>
      <w:r w:rsidRPr="00256982">
        <w:rPr>
          <w:b/>
          <w:i/>
        </w:rPr>
        <w:t>Deer</w:t>
      </w:r>
      <w:r w:rsidRPr="00256982">
        <w:rPr>
          <w:b/>
        </w:rPr>
        <w:t>:</w:t>
      </w:r>
      <w:r w:rsidRPr="00256982">
        <w:t xml:space="preserve"> Liveweights of growing hinds and stags are estimated from Deer Industry New Zealand statistics, assuming a killing-out percentage of 55 per cent. A fawn birth weight of 9 per cent of the adult female weight and a common birth date of mid-November are assumed. Liveweights of breeding stags and hinds are based on a report by Suttie (2012). It is assumed there is no pattern of liveweight change within any given year. The lactation assumptions are 204 litres over 120 days, an average daily lactation yield of 1.7 litres per day (Suttie, 2012). </w:t>
      </w:r>
    </w:p>
    <w:p w14:paraId="25CFAFCD" w14:textId="77777777" w:rsidR="0068777C" w:rsidRPr="00256982" w:rsidRDefault="0068777C" w:rsidP="00A72006">
      <w:pPr>
        <w:pStyle w:val="Heading4"/>
      </w:pPr>
      <w:r w:rsidRPr="00256982">
        <w:t xml:space="preserve">Minor livestock categories </w:t>
      </w:r>
    </w:p>
    <w:p w14:paraId="2B97FF79" w14:textId="77777777" w:rsidR="0068777C" w:rsidRPr="00256982" w:rsidRDefault="0068777C" w:rsidP="0068777C">
      <w:pPr>
        <w:pStyle w:val="BodyText"/>
      </w:pPr>
      <w:r w:rsidRPr="00256982">
        <w:t xml:space="preserve">A Tier 1 methodology is used for goats, horses, mules and asses, swine, poultry and alpacas (IPCC, 2006), using a combination of country-specific and IPCC default emission factors (annex A3.1.2, table A3.1.4). </w:t>
      </w:r>
    </w:p>
    <w:p w14:paraId="0130A10C" w14:textId="77777777" w:rsidR="0068777C" w:rsidRPr="00256982" w:rsidRDefault="0068777C" w:rsidP="0068777C">
      <w:pPr>
        <w:pStyle w:val="BodyText"/>
      </w:pPr>
      <w:r w:rsidRPr="00256982">
        <w:t xml:space="preserve">The populations of goats, horses and swine are reported using data from the Statistics New Zealand Agricultural Production census and survey. Data on the population of alpacas prior to 2010 are provided by Henderson and Cameron (unpublished) based on data from the Alpaca Association New Zealand. Alpaca population data from 2010 onwards are provided by Statistics New Zealand. </w:t>
      </w:r>
    </w:p>
    <w:p w14:paraId="419F05E7" w14:textId="77777777" w:rsidR="0068777C" w:rsidRPr="00256982" w:rsidRDefault="0068777C" w:rsidP="0068777C">
      <w:pPr>
        <w:pStyle w:val="BodyText"/>
      </w:pPr>
      <w:r w:rsidRPr="00256982">
        <w:t xml:space="preserve">There is a small number of buffalo and donkeys in New Zealand. Statistics New Zealand advised that, in 2011, there were 192 buffalo and 141 donkeys. Because the buffalo livestock are used for producing milk (which is then used to produce mozzarella cheese in the restaurant industry), they are reported within the dairy herd, so the notation key IE (included elsewhere) is used for buffalo. </w:t>
      </w:r>
    </w:p>
    <w:p w14:paraId="0CB23FC5" w14:textId="77777777" w:rsidR="0068777C" w:rsidRPr="00256982" w:rsidRDefault="0068777C" w:rsidP="00FB5DA7">
      <w:pPr>
        <w:pStyle w:val="BodyText"/>
        <w:spacing w:before="100" w:after="100"/>
      </w:pPr>
      <w:r w:rsidRPr="00256982">
        <w:lastRenderedPageBreak/>
        <w:t xml:space="preserve">Mules and asses are not farmed commercially or used as working animals in New Zealand. A constant population of 141 donkeys has been included in the inventory under mules and asses. The emissions from these small populations of animals are extremely small relative to the major livestock categories. </w:t>
      </w:r>
    </w:p>
    <w:p w14:paraId="2D452722" w14:textId="77777777" w:rsidR="0068777C" w:rsidRPr="00256982" w:rsidRDefault="0068777C" w:rsidP="009C253F">
      <w:pPr>
        <w:pStyle w:val="BodyText"/>
      </w:pPr>
      <w:r w:rsidRPr="00256982">
        <w:t xml:space="preserve">Statistics New Zealand provides estimates of average annual broiler chicken flock sizes using industry data on the numbers of broilers processed every year since 1990, mortality rates and days alive as suggested by Fick (2010). Statistics New Zealand also obtains estimates of the number of layer hens and other poultry (e.g., ducks, turkeys, emus and ostriches) from the Agricultural Production census and survey. </w:t>
      </w:r>
    </w:p>
    <w:p w14:paraId="50FB1087" w14:textId="77777777" w:rsidR="0068777C" w:rsidRPr="00256982" w:rsidRDefault="0068777C" w:rsidP="00FB5DA7">
      <w:pPr>
        <w:pStyle w:val="BodyText"/>
        <w:spacing w:before="100" w:after="100"/>
      </w:pPr>
      <w:r w:rsidRPr="00256982">
        <w:t xml:space="preserve">The average annual flock size of chickens is determined by the following equation: </w:t>
      </w:r>
    </w:p>
    <w:p w14:paraId="4AB5E854" w14:textId="73D0BF27" w:rsidR="0068777C" w:rsidRPr="00256982" w:rsidRDefault="00590491" w:rsidP="0068777C">
      <w:pPr>
        <w:pStyle w:val="BodyText"/>
        <w:spacing w:before="60"/>
        <w:jc w:val="left"/>
      </w:pPr>
      <w:r>
        <w:rPr>
          <w:lang w:eastAsia="en-NZ"/>
        </w:rPr>
        <w:pict w14:anchorId="28C39FA8">
          <v:shape id="Picture 64" o:spid="_x0000_i1083" type="#_x0000_t75" style="width:404.25pt;height:21.75pt;visibility:visible;mso-wrap-style:square">
            <v:imagedata r:id="rId108" o:title=""/>
          </v:shape>
        </w:pict>
      </w:r>
    </w:p>
    <w:p w14:paraId="3F9EBDD3" w14:textId="77777777" w:rsidR="0068777C" w:rsidRPr="00256982" w:rsidRDefault="0068777C" w:rsidP="0068777C">
      <w:pPr>
        <w:pStyle w:val="BodyText"/>
      </w:pPr>
      <w:r w:rsidRPr="00256982">
        <w:t>Rabbits are considered an agricultural pest, and farming of rabbits or other fur-breeding animals does not occur in New Zealand.</w:t>
      </w:r>
    </w:p>
    <w:p w14:paraId="47E5234A" w14:textId="77777777" w:rsidR="0068777C" w:rsidRPr="00256982" w:rsidRDefault="0068777C" w:rsidP="009C253F">
      <w:pPr>
        <w:pStyle w:val="Heading3"/>
      </w:pPr>
      <w:r w:rsidRPr="00256982">
        <w:t xml:space="preserve">5.1.5 </w:t>
      </w:r>
      <w:r w:rsidRPr="00256982">
        <w:tab/>
        <w:t xml:space="preserve">Recalculations </w:t>
      </w:r>
    </w:p>
    <w:p w14:paraId="3C87AD58" w14:textId="77777777" w:rsidR="0068777C" w:rsidRPr="00256982" w:rsidRDefault="0068777C" w:rsidP="00A72006">
      <w:pPr>
        <w:pStyle w:val="Heading4"/>
      </w:pPr>
      <w:r w:rsidRPr="00256982">
        <w:t xml:space="preserve">Agriculture emissions research </w:t>
      </w:r>
    </w:p>
    <w:p w14:paraId="3C11CC2E" w14:textId="77777777" w:rsidR="0068777C" w:rsidRPr="00256982" w:rsidRDefault="0068777C" w:rsidP="009C253F">
      <w:pPr>
        <w:pStyle w:val="BodyText"/>
      </w:pPr>
      <w:r w:rsidRPr="00256982">
        <w:t>New Zealand has set up a number of research organisations and reference groups to research novel methods and further build an evidence base to enable reductions in biological emissions from agriculture.</w:t>
      </w:r>
    </w:p>
    <w:p w14:paraId="11D2D7EE" w14:textId="3BB00100" w:rsidR="0068777C" w:rsidRPr="00256982" w:rsidRDefault="0068777C" w:rsidP="009C253F">
      <w:pPr>
        <w:pStyle w:val="BodyText"/>
      </w:pPr>
      <w:r w:rsidRPr="00256982">
        <w:t>The New Zealand Agricultural Greenhouse Gas Research Centre (NZAGRC) was set up in 2009. This group comprises New Zealand research providers, including the Pastoral Greenhouse Gas Research Consortium. The aims of the NZAGRC are to contribute to agricultural greenhouse gas understanding and mitigation through research programmes and international collaboration, and to enhance New Zealand’s research capability</w:t>
      </w:r>
      <w:r w:rsidR="00FB5DA7" w:rsidRPr="00256982">
        <w:t xml:space="preserve"> and infrastructure in this </w:t>
      </w:r>
      <w:r w:rsidRPr="00256982">
        <w:t>area.</w:t>
      </w:r>
      <w:r w:rsidR="00FB5DA7" w:rsidRPr="00256982">
        <w:t> </w:t>
      </w:r>
      <w:r w:rsidRPr="00256982">
        <w:t>Its research focuses on ruminant CH</w:t>
      </w:r>
      <w:r w:rsidRPr="00256982">
        <w:rPr>
          <w:vertAlign w:val="subscript"/>
        </w:rPr>
        <w:t>4</w:t>
      </w:r>
      <w:r w:rsidRPr="00256982">
        <w:t>, N</w:t>
      </w:r>
      <w:r w:rsidRPr="00256982">
        <w:rPr>
          <w:vertAlign w:val="subscript"/>
        </w:rPr>
        <w:t>2</w:t>
      </w:r>
      <w:r w:rsidRPr="00256982">
        <w:t>O, soil carbon and emissions from farming systems. Funding is made available through the Ministry for Primary Industries’ Primary Growth Partnership. Relevant research results from the NZAGRC feed into improving the inventory. In most cases, the research is published in national and international peer reviewed science publications.</w:t>
      </w:r>
    </w:p>
    <w:p w14:paraId="60B2896B" w14:textId="77777777" w:rsidR="0068777C" w:rsidRPr="00256982" w:rsidRDefault="0068777C" w:rsidP="009C253F">
      <w:pPr>
        <w:pStyle w:val="BodyText"/>
      </w:pPr>
      <w:r w:rsidRPr="00256982">
        <w:t>The Pastoral Greenhouse Gas Research Consortium was established in 2003 by New Zealand agricultural sector organisations and private companies. It funds research, primarily into mitigation technologies and management practices for ruminants but also to provide information to improve on-farm inventories. The Consortium is funded in partnership between the Government and the Agriculture sector.</w:t>
      </w:r>
    </w:p>
    <w:p w14:paraId="3C4EC468" w14:textId="77777777" w:rsidR="0068777C" w:rsidRPr="00256982" w:rsidRDefault="0068777C" w:rsidP="009C253F">
      <w:pPr>
        <w:pStyle w:val="BodyText"/>
      </w:pPr>
      <w:r w:rsidRPr="00256982">
        <w:t xml:space="preserve">New Zealand is also a founding member of the Global Research Alliance on Agricultural Greenhouse Gases (GRA). The GRA is an international alliance of countries that funds research into meeting the world’s growing demand for food without increasing greenhouse gas emissions. The GRA now has 55 member countries. New Zealand has committed $65 million to the GRA from 2009 to 2020. The GRA funds research in the area of greenhouse gas emissions mitigation and adaptation, and capacity and capability building are supported by this alliance. The GRA has also recently developed flagship programmes to help focus research areas and encourage funding. One of these flagship programmes is dedicated to improving agricultural inventories, and New Zealand is one of the leads for this. </w:t>
      </w:r>
    </w:p>
    <w:p w14:paraId="34D1B142" w14:textId="77777777" w:rsidR="0068777C" w:rsidRPr="00256982" w:rsidRDefault="0068777C" w:rsidP="0068777C">
      <w:pPr>
        <w:pStyle w:val="BodyText"/>
      </w:pPr>
      <w:r w:rsidRPr="00256982">
        <w:t xml:space="preserve">The Ministry for Primary Industries also has a research fund that aims to support continuous improvement of the agricultural greenhouse gas inventory, as required through the United </w:t>
      </w:r>
      <w:r w:rsidRPr="00256982">
        <w:lastRenderedPageBreak/>
        <w:t xml:space="preserve">Nations Framework Convention on Climate Change (UNFCCC) agreed processes, through improving the accuracy of emissions reporting and forecasting. This fund is part of a wider process focused on improving the Agriculture inventory. </w:t>
      </w:r>
    </w:p>
    <w:p w14:paraId="6B8A04E5" w14:textId="77777777" w:rsidR="0068777C" w:rsidRPr="00256982" w:rsidRDefault="0068777C" w:rsidP="00FB5DA7">
      <w:pPr>
        <w:pStyle w:val="Heading5"/>
      </w:pPr>
      <w:r w:rsidRPr="00256982">
        <w:t>Biological Emissions Reference Group</w:t>
      </w:r>
    </w:p>
    <w:p w14:paraId="28EAAFD1" w14:textId="77777777" w:rsidR="0068777C" w:rsidRPr="00256982" w:rsidRDefault="0068777C" w:rsidP="0068777C">
      <w:pPr>
        <w:pStyle w:val="BodyText"/>
      </w:pPr>
      <w:r w:rsidRPr="00256982">
        <w:t xml:space="preserve">The Biological Emissions Reference Group (BERG) was established in 2016. Group members included representatives from agricultural sector organisations and government agencies. The BERG’s purpose was to build a portfolio of evidence covering the opportunities to reduce biological greenhouse gas emissions from New Zealand agriculture, and the costs and benefits of these opportunities and any barriers to their use. </w:t>
      </w:r>
    </w:p>
    <w:p w14:paraId="4E67AAAF" w14:textId="77777777" w:rsidR="0068777C" w:rsidRPr="00256982" w:rsidRDefault="0068777C" w:rsidP="0068777C">
      <w:pPr>
        <w:pStyle w:val="BodyText"/>
      </w:pPr>
      <w:r w:rsidRPr="00256982">
        <w:t>The BERG published its evidence base</w:t>
      </w:r>
      <w:r w:rsidRPr="00256982">
        <w:rPr>
          <w:rStyle w:val="FootnoteReference"/>
        </w:rPr>
        <w:footnoteReference w:id="35"/>
      </w:r>
      <w:r w:rsidRPr="00256982">
        <w:t xml:space="preserve"> in December 2018. This evidence has already informed government agricultural emissions policy, as well as actions farmers can take to reduce their emissions.</w:t>
      </w:r>
    </w:p>
    <w:p w14:paraId="7A0BD988" w14:textId="77777777" w:rsidR="0068777C" w:rsidRPr="00256982" w:rsidRDefault="0068777C" w:rsidP="00A72006">
      <w:pPr>
        <w:pStyle w:val="Heading4"/>
      </w:pPr>
      <w:r w:rsidRPr="00256982">
        <w:t>Recalculation and improvement approval process in the Agriculture inventory</w:t>
      </w:r>
    </w:p>
    <w:p w14:paraId="33A52E11" w14:textId="77777777" w:rsidR="0068777C" w:rsidRPr="00256982" w:rsidRDefault="0068777C" w:rsidP="0068777C">
      <w:pPr>
        <w:pStyle w:val="BodyText"/>
      </w:pPr>
      <w:r w:rsidRPr="00256982">
        <w:t xml:space="preserve">The process for developing improvements and agreeing methodological changes in the Agriculture inventory is shown in figure 5.1.9. </w:t>
      </w:r>
    </w:p>
    <w:p w14:paraId="62E51F29" w14:textId="77777777" w:rsidR="0068777C" w:rsidRPr="00256982" w:rsidRDefault="0068777C" w:rsidP="0068777C">
      <w:pPr>
        <w:pStyle w:val="BodyText"/>
      </w:pPr>
      <w:r w:rsidRPr="00256982">
        <w:t>Two national science and industry expert groups, Methanet and NzOnet,</w:t>
      </w:r>
      <w:r w:rsidRPr="00256982">
        <w:rPr>
          <w:rStyle w:val="FootnoteReference"/>
        </w:rPr>
        <w:footnoteReference w:id="36"/>
      </w:r>
      <w:r w:rsidRPr="00256982">
        <w:t xml:space="preserve"> have been running since the early 2000s. The groups were formed to identify the main direction of research into the CH</w:t>
      </w:r>
      <w:r w:rsidRPr="00256982">
        <w:rPr>
          <w:vertAlign w:val="subscript"/>
        </w:rPr>
        <w:t>4</w:t>
      </w:r>
      <w:r w:rsidRPr="00256982">
        <w:t xml:space="preserve"> and N</w:t>
      </w:r>
      <w:r w:rsidRPr="00256982">
        <w:rPr>
          <w:vertAlign w:val="subscript"/>
        </w:rPr>
        <w:t>2</w:t>
      </w:r>
      <w:r w:rsidRPr="00256982">
        <w:t>O inventory and mitigation, to develop a collaborative approach to improve the quality of CH</w:t>
      </w:r>
      <w:r w:rsidRPr="00256982">
        <w:rPr>
          <w:vertAlign w:val="subscript"/>
        </w:rPr>
        <w:t>4</w:t>
      </w:r>
      <w:r w:rsidRPr="00256982">
        <w:t xml:space="preserve"> and N</w:t>
      </w:r>
      <w:r w:rsidRPr="00256982">
        <w:rPr>
          <w:vertAlign w:val="subscript"/>
        </w:rPr>
        <w:t>2</w:t>
      </w:r>
      <w:r w:rsidRPr="00256982">
        <w:t>O emission data, and build and maintain inventory research capability. These expert groups are supported by the Ministry for Primary Industries. The implementation of the Tier 2 approach for livestock, development of country-specific emission factors and parameters, improved activity data and uncertainty analysis are all examples of research identified, conducted and peer reviewed by these expert groups.</w:t>
      </w:r>
    </w:p>
    <w:p w14:paraId="0AE951B2" w14:textId="77777777" w:rsidR="0068777C" w:rsidRPr="00256982" w:rsidRDefault="0068777C" w:rsidP="0068777C">
      <w:pPr>
        <w:pStyle w:val="BodyText"/>
      </w:pPr>
      <w:r w:rsidRPr="00256982">
        <w:t>Research findings are presented annually at the Greenhouse Gas Inventory Research Conference. New inventory research ideas raised by the two networks provide input into future research. Final decisions on research priorities are made by the Ministry for Primary Industries following discussions between the network leaders and Ministry for the Environment staff. Research is contracted to address specific questions related to gaps in New Zealand’s knowledge and to review, test and improve current parameters used. Draft research reports are reviewed by at least one external independent expert with knowledge in the field and are assessed for their scientific robustness and suitability to be included in the inventory.</w:t>
      </w:r>
    </w:p>
    <w:p w14:paraId="33EFDF6C" w14:textId="77777777" w:rsidR="0068777C" w:rsidRPr="00256982" w:rsidRDefault="0068777C" w:rsidP="0068777C">
      <w:pPr>
        <w:pStyle w:val="BodyText"/>
      </w:pPr>
      <w:r w:rsidRPr="00256982">
        <w:t xml:space="preserve">If the report is suitable for inclusion in the inventory, a briefing and the final report are sent to the Agriculture Inventory Advisory Panel, which meets annually to review proposed changes to the inventory. The Panel, comprises expert representatives from the Ministry for Primary Industries and the Ministry for the Environment, science representatives from the Royal Society of New Zealand and the Methanet and NzOnet expert advisory groups. The Panel is independent of policy and industry influences and has been formed to give advice on whether changes to New Zealand’s agriculture section of the National Inventory Report are scientifically robust and justified. The Panel assesses if the proposed changes have been appropriately researched, using recognised scientific principles, and if there is sufficient scientific evidence to support the recommended changes. </w:t>
      </w:r>
    </w:p>
    <w:p w14:paraId="145B1033" w14:textId="77777777" w:rsidR="0068777C" w:rsidRPr="00256982" w:rsidRDefault="0068777C" w:rsidP="00453950">
      <w:pPr>
        <w:pStyle w:val="BodyText"/>
        <w:spacing w:before="100" w:after="100"/>
        <w:rPr>
          <w:spacing w:val="-2"/>
        </w:rPr>
      </w:pPr>
      <w:r w:rsidRPr="00256982">
        <w:rPr>
          <w:spacing w:val="-2"/>
        </w:rPr>
        <w:lastRenderedPageBreak/>
        <w:t xml:space="preserve">Changes recommended by the Panel are sent to the Deputy Director-General (Policy and Trade) of the Ministry for Primary Industries. The Deputy Director-General approves the changes that will be presented to the Ministry for the Environment for implementation into the annual inventory. </w:t>
      </w:r>
    </w:p>
    <w:p w14:paraId="04891F77" w14:textId="77777777" w:rsidR="0068777C" w:rsidRPr="00256982" w:rsidRDefault="0068777C" w:rsidP="00453950">
      <w:pPr>
        <w:pStyle w:val="BodyText"/>
        <w:spacing w:before="100" w:after="100"/>
      </w:pPr>
      <w:r w:rsidRPr="00256982">
        <w:t xml:space="preserve">During the course of the year, recalculations being considered by all sectors are proposed to the Reporting Governance Group. This group is chaired by the Ministry for the Environment and leads the reporting, modelling and projections of greenhouse gas emissions and removals across government. Further details of the Reporting Governance Group are provided in chapter 1, section 1.2.2. </w:t>
      </w:r>
    </w:p>
    <w:p w14:paraId="1B88CEC8" w14:textId="77777777" w:rsidR="0068777C" w:rsidRPr="00256982" w:rsidRDefault="0068777C" w:rsidP="0068777C">
      <w:pPr>
        <w:pStyle w:val="Figure"/>
      </w:pPr>
      <w:bookmarkStart w:id="511" w:name="_Toc447275694"/>
      <w:bookmarkStart w:id="512" w:name="_Toc481752012"/>
      <w:bookmarkStart w:id="513" w:name="_Toc507158471"/>
      <w:bookmarkStart w:id="514" w:name="_Toc511116962"/>
      <w:bookmarkStart w:id="515" w:name="_Toc5269692"/>
      <w:r w:rsidRPr="00256982">
        <w:t xml:space="preserve">Figure 5.1.9 </w:t>
      </w:r>
      <w:r w:rsidRPr="00256982">
        <w:tab/>
        <w:t>Agriculture sectoral approval process for inventory recalculations and improvements</w:t>
      </w:r>
      <w:bookmarkEnd w:id="511"/>
      <w:bookmarkEnd w:id="512"/>
      <w:bookmarkEnd w:id="513"/>
      <w:bookmarkEnd w:id="514"/>
      <w:bookmarkEnd w:id="515"/>
    </w:p>
    <w:p w14:paraId="6A718B1F" w14:textId="55ABDF58" w:rsidR="0068777C" w:rsidRPr="00256982" w:rsidRDefault="00453950" w:rsidP="0068777C">
      <w:pPr>
        <w:pStyle w:val="BodyText"/>
        <w:spacing w:before="0"/>
        <w:jc w:val="center"/>
        <w:rPr>
          <w:rFonts w:eastAsia="Calibri"/>
        </w:rPr>
      </w:pPr>
      <w:r w:rsidRPr="00256982">
        <w:rPr>
          <w:rFonts w:eastAsia="Calibri"/>
        </w:rPr>
        <w:object w:dxaOrig="14631" w:dyaOrig="24688" w14:anchorId="10526D4D">
          <v:shape id="_x0000_i1084" type="#_x0000_t75" style="width:373.5pt;height:517.5pt" o:ole="">
            <v:imagedata r:id="rId109" o:title="" croptop="1526f" cropbottom="2910f"/>
          </v:shape>
          <o:OLEObject Type="Embed" ProgID="Visio.Drawing.15" ShapeID="_x0000_i1084" DrawAspect="Content" ObjectID="_1616241198" r:id="rId110"/>
        </w:object>
      </w:r>
    </w:p>
    <w:p w14:paraId="20F31482" w14:textId="77777777" w:rsidR="0068777C" w:rsidRPr="00256982" w:rsidRDefault="0068777C" w:rsidP="00453950">
      <w:pPr>
        <w:pStyle w:val="Noteundertable"/>
      </w:pPr>
      <w:r w:rsidRPr="00256982">
        <w:rPr>
          <w:b/>
        </w:rPr>
        <w:t>Note:</w:t>
      </w:r>
      <w:r w:rsidRPr="00256982">
        <w:tab/>
        <w:t xml:space="preserve">AG = agriculture; DDG = Deputy Director-General; MfE = Ministry for the Environment; MPI = Ministry for Primary Industries; NIR = National Inventory Report; RGG = Reporting Governance Group (for the NIR). </w:t>
      </w:r>
    </w:p>
    <w:p w14:paraId="28667673" w14:textId="5B5DDDEB" w:rsidR="0068777C" w:rsidRPr="00256982" w:rsidRDefault="0068777C" w:rsidP="0068777C">
      <w:pPr>
        <w:pStyle w:val="Heading5"/>
        <w:tabs>
          <w:tab w:val="left" w:pos="5805"/>
        </w:tabs>
        <w:spacing w:before="360"/>
      </w:pPr>
      <w:r w:rsidRPr="00256982">
        <w:lastRenderedPageBreak/>
        <w:t>Agriculture Inventor</w:t>
      </w:r>
      <w:r w:rsidR="00453950" w:rsidRPr="00256982">
        <w:t>y Advisory Panel meeting – 2018</w:t>
      </w:r>
    </w:p>
    <w:p w14:paraId="7DDAEE98" w14:textId="77777777" w:rsidR="0068777C" w:rsidRPr="00256982" w:rsidRDefault="0068777C" w:rsidP="0068777C">
      <w:pPr>
        <w:pStyle w:val="BodyText"/>
      </w:pPr>
      <w:r w:rsidRPr="00256982">
        <w:t>The 2018 meeting of the Panel was held on 13 November</w:t>
      </w:r>
      <w:r w:rsidRPr="00256982">
        <w:rPr>
          <w:vanish/>
        </w:rPr>
        <w:t>,</w:t>
      </w:r>
      <w:r w:rsidRPr="00256982">
        <w:t xml:space="preserve"> and considered the following proposed inventory changes: </w:t>
      </w:r>
    </w:p>
    <w:p w14:paraId="53002EBC" w14:textId="77777777" w:rsidR="0068777C" w:rsidRPr="00256982" w:rsidRDefault="0068777C" w:rsidP="0036046B">
      <w:pPr>
        <w:pStyle w:val="Bullet"/>
        <w:numPr>
          <w:ilvl w:val="0"/>
          <w:numId w:val="8"/>
        </w:numPr>
      </w:pPr>
      <w:r w:rsidRPr="00256982">
        <w:t>modifying the N</w:t>
      </w:r>
      <w:r w:rsidRPr="00256982">
        <w:rPr>
          <w:vertAlign w:val="subscript"/>
        </w:rPr>
        <w:t>2</w:t>
      </w:r>
      <w:r w:rsidRPr="00256982">
        <w:t>O emission factors for livestock excreta (EF</w:t>
      </w:r>
      <w:r w:rsidRPr="00256982">
        <w:rPr>
          <w:vertAlign w:val="subscript"/>
        </w:rPr>
        <w:t>3,PRP</w:t>
      </w:r>
      <w:r w:rsidRPr="00256982">
        <w:t>) for dung and urine based on hill slope and livestock type based on a meta-analysis of New Zealand-specific data collected over the past decade</w:t>
      </w:r>
    </w:p>
    <w:p w14:paraId="490DC354" w14:textId="77777777" w:rsidR="0068777C" w:rsidRPr="00256982" w:rsidRDefault="0068777C" w:rsidP="0036046B">
      <w:pPr>
        <w:pStyle w:val="Bullet"/>
        <w:numPr>
          <w:ilvl w:val="0"/>
          <w:numId w:val="8"/>
        </w:numPr>
      </w:pPr>
      <w:r w:rsidRPr="00256982">
        <w:t xml:space="preserve">updating the methodology used to estimate the proportion of nitrogen excretion partitioned between dung and urine </w:t>
      </w:r>
    </w:p>
    <w:p w14:paraId="300B4FF9" w14:textId="77777777" w:rsidR="0068777C" w:rsidRPr="00256982" w:rsidRDefault="0068777C" w:rsidP="0036046B">
      <w:pPr>
        <w:pStyle w:val="Bullet"/>
        <w:numPr>
          <w:ilvl w:val="0"/>
          <w:numId w:val="8"/>
        </w:numPr>
      </w:pPr>
      <w:r w:rsidRPr="00256982">
        <w:t xml:space="preserve">using revised activity data for the proportion of dairy excreta entering anaerobic lagoons. </w:t>
      </w:r>
    </w:p>
    <w:p w14:paraId="3D07D0DC" w14:textId="77777777" w:rsidR="0068777C" w:rsidRPr="00256982" w:rsidRDefault="0068777C" w:rsidP="0068777C">
      <w:pPr>
        <w:pStyle w:val="BodyText"/>
      </w:pPr>
      <w:r w:rsidRPr="00256982">
        <w:t xml:space="preserve">Of the above changes proposed, the latter two (the proportion of nitrogen excretion partitioned between dung and urine, and the use of revised activity data for the proportion of dairy excreta entering anaerobic lagoons) were recommended for inclusion in the 2019 inventory. </w:t>
      </w:r>
    </w:p>
    <w:p w14:paraId="6FE453BF" w14:textId="77777777" w:rsidR="0068777C" w:rsidRPr="00256982" w:rsidRDefault="0068777C" w:rsidP="0068777C">
      <w:pPr>
        <w:pStyle w:val="BodyText"/>
      </w:pPr>
      <w:r w:rsidRPr="00256982">
        <w:t>The Panel did not recommend that the first proposed change (modified N</w:t>
      </w:r>
      <w:r w:rsidRPr="00256982">
        <w:rPr>
          <w:vertAlign w:val="subscript"/>
        </w:rPr>
        <w:t>2</w:t>
      </w:r>
      <w:r w:rsidRPr="00256982">
        <w:t>O emission factor values for EF</w:t>
      </w:r>
      <w:r w:rsidRPr="00256982">
        <w:rPr>
          <w:vertAlign w:val="subscript"/>
        </w:rPr>
        <w:t>3,PRP</w:t>
      </w:r>
      <w:r w:rsidRPr="00256982">
        <w:t xml:space="preserve"> based on hill slope and livestock type) be included in the inventory, and suggested that the meta-analysis be revised to include more data from studies such as those undertaken on flatland and dairy cattle.</w:t>
      </w:r>
    </w:p>
    <w:p w14:paraId="256DBFB3" w14:textId="77777777" w:rsidR="0068777C" w:rsidRPr="00256982" w:rsidRDefault="0068777C" w:rsidP="0068777C">
      <w:pPr>
        <w:pStyle w:val="BodyText"/>
      </w:pPr>
      <w:r w:rsidRPr="00256982">
        <w:t>The Panel also discussed errors in the previous inventory submission relating to the calculation of the ME required for dairy cattle, non-dairy cattle, sheep and deer. Further details on these changes are outlined in section 5.1.3 (Calculating metabolisable energy requirements) and in chapter 10.</w:t>
      </w:r>
    </w:p>
    <w:p w14:paraId="7E5FEC7F" w14:textId="77777777" w:rsidR="0068777C" w:rsidRPr="00256982" w:rsidRDefault="0068777C" w:rsidP="0068777C">
      <w:pPr>
        <w:pStyle w:val="BodyText"/>
      </w:pPr>
      <w:r w:rsidRPr="00256982">
        <w:t>The briefs, reports and minutes of the 2018 Panel meetings (as well as panel meetings for previous years) are all available on the Ministry for Primary Industries website (</w:t>
      </w:r>
      <w:hyperlink r:id="rId111" w:history="1">
        <w:r w:rsidRPr="00256982">
          <w:t>http://mpi.govt.nz/news-and-resources/statistics-and-forecasting/greenhouse-gas-reporting/agricultural-inventory-advisory-panel</w:t>
        </w:r>
      </w:hyperlink>
      <w:r w:rsidRPr="00256982">
        <w:t xml:space="preserve">). </w:t>
      </w:r>
    </w:p>
    <w:p w14:paraId="4100C65D" w14:textId="77777777" w:rsidR="0068777C" w:rsidRPr="00256982" w:rsidRDefault="0068777C" w:rsidP="00A72006">
      <w:pPr>
        <w:pStyle w:val="Heading4"/>
      </w:pPr>
      <w:r w:rsidRPr="00256982">
        <w:t xml:space="preserve">Recalculations approved for the 2019 National Inventory Report submission in the Agriculture sector </w:t>
      </w:r>
    </w:p>
    <w:p w14:paraId="55C6ABEF" w14:textId="77777777" w:rsidR="0068777C" w:rsidRPr="00256982" w:rsidRDefault="0068777C" w:rsidP="0068777C">
      <w:pPr>
        <w:pStyle w:val="BodyText"/>
        <w:spacing w:after="100"/>
        <w:rPr>
          <w:spacing w:val="-2"/>
        </w:rPr>
      </w:pPr>
      <w:r w:rsidRPr="00256982">
        <w:rPr>
          <w:spacing w:val="-2"/>
        </w:rPr>
        <w:t>New Zealand has made the following improvements and corrections to the Agriculture sector in its 2018 annual submission:</w:t>
      </w:r>
    </w:p>
    <w:p w14:paraId="41BEDAF9" w14:textId="77777777" w:rsidR="0068777C" w:rsidRPr="00256982" w:rsidRDefault="0068777C" w:rsidP="00453950">
      <w:pPr>
        <w:pStyle w:val="Bullet"/>
        <w:rPr>
          <w:spacing w:val="-2"/>
        </w:rPr>
      </w:pPr>
      <w:r w:rsidRPr="00256982">
        <w:t>an improvement relating to the use of a new methodology to estimate the proportion of nitrogen excretion partitioned between dung and urine (see section 5.5.5)</w:t>
      </w:r>
    </w:p>
    <w:p w14:paraId="51E3528E" w14:textId="77777777" w:rsidR="0068777C" w:rsidRPr="00256982" w:rsidRDefault="0068777C" w:rsidP="0036046B">
      <w:pPr>
        <w:pStyle w:val="Bullet"/>
        <w:numPr>
          <w:ilvl w:val="0"/>
          <w:numId w:val="8"/>
        </w:numPr>
      </w:pPr>
      <w:r w:rsidRPr="00256982">
        <w:t>an improvement relating to the use of revised activity data for the proportion of dairy excreta entering anaerobic lagoons (see section 5.3.5)</w:t>
      </w:r>
    </w:p>
    <w:p w14:paraId="18E2F219" w14:textId="77777777" w:rsidR="0068777C" w:rsidRPr="00256982" w:rsidRDefault="0068777C" w:rsidP="0036046B">
      <w:pPr>
        <w:pStyle w:val="Bullet"/>
        <w:numPr>
          <w:ilvl w:val="0"/>
          <w:numId w:val="8"/>
        </w:numPr>
        <w:rPr>
          <w:spacing w:val="-2"/>
        </w:rPr>
      </w:pPr>
      <w:r w:rsidRPr="00256982">
        <w:rPr>
          <w:spacing w:val="-2"/>
        </w:rPr>
        <w:t xml:space="preserve">a correction to the equations used to estimate ME requirements for </w:t>
      </w:r>
      <w:r w:rsidRPr="00256982">
        <w:t xml:space="preserve">dairy cattle, non-dairy cattle, sheep and deer </w:t>
      </w:r>
      <w:r w:rsidRPr="00256982">
        <w:rPr>
          <w:spacing w:val="-2"/>
        </w:rPr>
        <w:t>(see section 10.1.3)</w:t>
      </w:r>
    </w:p>
    <w:p w14:paraId="556E5AC2" w14:textId="77777777" w:rsidR="0068777C" w:rsidRPr="00256982" w:rsidRDefault="0068777C" w:rsidP="0036046B">
      <w:pPr>
        <w:pStyle w:val="Bullet"/>
        <w:numPr>
          <w:ilvl w:val="0"/>
          <w:numId w:val="8"/>
        </w:numPr>
        <w:rPr>
          <w:spacing w:val="-2"/>
        </w:rPr>
      </w:pPr>
      <w:r w:rsidRPr="00256982">
        <w:t>minor corrections to the equations</w:t>
      </w:r>
      <w:r w:rsidRPr="00256982">
        <w:rPr>
          <w:spacing w:val="-2"/>
        </w:rPr>
        <w:t xml:space="preserve"> that estimate monthly population changes for sheep and deer (see section 10.1.3).</w:t>
      </w:r>
    </w:p>
    <w:p w14:paraId="059CAEBB" w14:textId="77777777" w:rsidR="0068777C" w:rsidRPr="00256982" w:rsidRDefault="0068777C" w:rsidP="0068777C">
      <w:pPr>
        <w:pStyle w:val="BodyText"/>
        <w:rPr>
          <w:spacing w:val="-2"/>
        </w:rPr>
      </w:pPr>
      <w:r w:rsidRPr="00256982">
        <w:rPr>
          <w:spacing w:val="-2"/>
        </w:rPr>
        <w:t>The implementation of these corrections has resulted in</w:t>
      </w:r>
      <w:r w:rsidRPr="00256982">
        <w:t xml:space="preserve"> </w:t>
      </w:r>
      <w:r w:rsidRPr="00256982">
        <w:rPr>
          <w:spacing w:val="-2"/>
        </w:rPr>
        <w:t>the estimate of Agriculture sector emissions in 2016</w:t>
      </w:r>
      <w:r w:rsidRPr="00256982">
        <w:t xml:space="preserve"> </w:t>
      </w:r>
      <w:r w:rsidRPr="00256982">
        <w:rPr>
          <w:spacing w:val="-2"/>
        </w:rPr>
        <w:t>being</w:t>
      </w:r>
      <w:r w:rsidRPr="00256982">
        <w:t xml:space="preserve"> </w:t>
      </w:r>
      <w:r w:rsidRPr="00256982">
        <w:rPr>
          <w:spacing w:val="-2"/>
        </w:rPr>
        <w:t>0.5 per cent higher in the 2019 submission</w:t>
      </w:r>
      <w:r w:rsidRPr="00256982">
        <w:t xml:space="preserve"> </w:t>
      </w:r>
      <w:r w:rsidRPr="00256982">
        <w:rPr>
          <w:spacing w:val="-2"/>
        </w:rPr>
        <w:t>than the estimate for 2016 Agriculture sector emissions in the 2018 (1990–2016) submission. Further details of these corrections and improvements are provided in the relevant sections as listed above.</w:t>
      </w:r>
    </w:p>
    <w:p w14:paraId="66E7DEC6" w14:textId="77777777" w:rsidR="0068777C" w:rsidRPr="00256982" w:rsidRDefault="0068777C" w:rsidP="0068777C">
      <w:pPr>
        <w:pStyle w:val="Heading3"/>
      </w:pPr>
      <w:r w:rsidRPr="00256982">
        <w:lastRenderedPageBreak/>
        <w:t xml:space="preserve">5.1.6 </w:t>
      </w:r>
      <w:r w:rsidRPr="00256982">
        <w:tab/>
        <w:t>Quality assurance and quality control (QA/QC)</w:t>
      </w:r>
    </w:p>
    <w:p w14:paraId="685A3D86" w14:textId="77777777" w:rsidR="0068777C" w:rsidRPr="00256982" w:rsidRDefault="0068777C" w:rsidP="0068777C">
      <w:pPr>
        <w:pStyle w:val="BodyText"/>
      </w:pPr>
      <w:r w:rsidRPr="00256982">
        <w:t xml:space="preserve">The team responsible for the Agriculture inventory preparation within the Ministry for Primary Industries maintains close contact with the teams responsible for the collation of primary industries (agriculture, horticulture, forestry and fishing) data. These teams liaise with Statistics New Zealand and provide analysis and forecasts of primary industries activity and performance. This arrangement ensures that the inventory preparation team has a good understanding of activity data and agriculture performance. </w:t>
      </w:r>
    </w:p>
    <w:p w14:paraId="68F73796" w14:textId="77777777" w:rsidR="0068777C" w:rsidRPr="00256982" w:rsidRDefault="0068777C" w:rsidP="0068777C">
      <w:pPr>
        <w:pStyle w:val="BodyText"/>
        <w:rPr>
          <w:spacing w:val="-2"/>
        </w:rPr>
      </w:pPr>
      <w:r w:rsidRPr="00256982">
        <w:rPr>
          <w:spacing w:val="-2"/>
        </w:rPr>
        <w:t xml:space="preserve">The connection with Statistics New Zealand ensures that the statistical collection work keeps pace with the changes in the primary industries sector and provides for the tracking of possible new activities and management practices in the primary industries sector. The team responsible for the Agriculture inventory preparation also maintains relationships with organisations that provide additional data, such as Beef + Lamb New Zealand Ltd, LIC, Deer Industry New Zealand, the Poultry Industry Association New Zealand and the Fertiliser Association of New Zealand. </w:t>
      </w:r>
    </w:p>
    <w:p w14:paraId="6F1C63A2" w14:textId="77777777" w:rsidR="0068777C" w:rsidRPr="00256982" w:rsidRDefault="0068777C" w:rsidP="0068777C">
      <w:pPr>
        <w:pStyle w:val="BodyText"/>
      </w:pPr>
      <w:r w:rsidRPr="00256982">
        <w:t xml:space="preserve">The draft inventory is reviewed by Ministry for Primary Industries personnel with expertise in climate change policy, climate change science and livestock farming policy. This ensures that the inventory submission is accurate. The review also ensures that the inventory clearly explains the main causes of agricultural emissions in New Zealand as well as the drivers of changes in emissions from year to year. The results from the inventory are also used to inform domestic and international climate change policy. </w:t>
      </w:r>
    </w:p>
    <w:p w14:paraId="2F273E81" w14:textId="77777777" w:rsidR="0068777C" w:rsidRPr="00256982" w:rsidRDefault="0068777C" w:rsidP="0068777C">
      <w:pPr>
        <w:pStyle w:val="BodyText"/>
      </w:pPr>
      <w:r w:rsidRPr="00256982">
        <w:t xml:space="preserve">The Agriculture inventory experts meet regularly with the team at the Ministry for the Environment that is responsible for coordinating the annual national inventory submission. The Ministry for the Environment monitors the Ministry for Primary Industries’ progress in implementing recommendations from previous expert review reports and on meeting timelines during the year. </w:t>
      </w:r>
    </w:p>
    <w:p w14:paraId="0F95B00F" w14:textId="77777777" w:rsidR="0068777C" w:rsidRPr="00256982" w:rsidRDefault="0068777C" w:rsidP="0068777C">
      <w:pPr>
        <w:pStyle w:val="BodyText"/>
      </w:pPr>
      <w:r w:rsidRPr="00256982">
        <w:t xml:space="preserve">The Ministry for the Environment also manages an internal guidance document ‘New Zealand’s National Inventory System Guidelines for Compiling New Zealand’s Greenhouse Gas Inventory’. This document provides domestic guidelines for sector leaders to follow, including the decisions under the UNFCCC and Kyoto Protocol, and the application of these decisions within the Kyoto Protocol. The document also includes New Zealand’s quality-assurance and quality-control plan followed by all sector leads. </w:t>
      </w:r>
    </w:p>
    <w:p w14:paraId="7C8FF714" w14:textId="77777777" w:rsidR="0068777C" w:rsidRPr="00256982" w:rsidRDefault="0068777C" w:rsidP="0068777C">
      <w:pPr>
        <w:pStyle w:val="BodyText"/>
      </w:pPr>
      <w:r w:rsidRPr="00256982">
        <w:t xml:space="preserve">The Ministry for Primary Industries participates in the annual inventory debrief coordinated by the Ministry for the Environment, to ensure the National Inventory Compiler and each sector lead understand what is working well and where improvements could be made. </w:t>
      </w:r>
    </w:p>
    <w:p w14:paraId="3A06ACFB" w14:textId="77777777" w:rsidR="0068777C" w:rsidRPr="00256982" w:rsidRDefault="0068777C" w:rsidP="0068777C">
      <w:pPr>
        <w:pStyle w:val="BodyText"/>
      </w:pPr>
      <w:r w:rsidRPr="00256982">
        <w:t>In 2016, an external audit firm (Deloitte), with specialist skills in quality-assurance and quality</w:t>
      </w:r>
      <w:r w:rsidRPr="00256982">
        <w:noBreakHyphen/>
        <w:t xml:space="preserve">control management, was engaged to evaluate and improve quality-assurance and quality-control processes for the Agriculture inventory. New Zealand has used this feedback to update and improve the quality-assurance and quality-control methodology. </w:t>
      </w:r>
    </w:p>
    <w:p w14:paraId="2D26F69F" w14:textId="77777777" w:rsidR="0068777C" w:rsidRPr="00256982" w:rsidRDefault="0068777C" w:rsidP="0068777C">
      <w:pPr>
        <w:pStyle w:val="BodyText"/>
      </w:pPr>
      <w:r w:rsidRPr="00256982">
        <w:t xml:space="preserve">A process of quality-control checks is mandated in the internal compilation process and is provided below. </w:t>
      </w:r>
    </w:p>
    <w:p w14:paraId="4ACFF8A5" w14:textId="77777777" w:rsidR="0068777C" w:rsidRPr="00256982" w:rsidRDefault="0068777C" w:rsidP="00453950">
      <w:pPr>
        <w:pStyle w:val="Heading4"/>
        <w:spacing w:after="120"/>
      </w:pPr>
      <w:r w:rsidRPr="00256982">
        <w:t xml:space="preserve">Activity data </w:t>
      </w:r>
    </w:p>
    <w:p w14:paraId="2782A557" w14:textId="77777777" w:rsidR="0068777C" w:rsidRPr="00256982" w:rsidRDefault="0068777C" w:rsidP="0036046B">
      <w:pPr>
        <w:pStyle w:val="Bullet"/>
        <w:numPr>
          <w:ilvl w:val="0"/>
          <w:numId w:val="8"/>
        </w:numPr>
      </w:pPr>
      <w:r w:rsidRPr="00256982">
        <w:t xml:space="preserve">Data inputs and checks are recorded in a data check table, which is signed by the individual staff members performing the data input and the checks. </w:t>
      </w:r>
    </w:p>
    <w:p w14:paraId="5A0DB473" w14:textId="77777777" w:rsidR="0068777C" w:rsidRPr="00256982" w:rsidRDefault="0068777C" w:rsidP="0036046B">
      <w:pPr>
        <w:pStyle w:val="Bullet"/>
        <w:numPr>
          <w:ilvl w:val="0"/>
          <w:numId w:val="8"/>
        </w:numPr>
      </w:pPr>
      <w:r w:rsidRPr="00256982">
        <w:t xml:space="preserve">A comprehensive list of all external data to be collected annually from internal and external sources is included as a part of the data check sheet. </w:t>
      </w:r>
    </w:p>
    <w:p w14:paraId="5AD0824F" w14:textId="77777777" w:rsidR="0068777C" w:rsidRPr="00256982" w:rsidRDefault="0068777C" w:rsidP="0036046B">
      <w:pPr>
        <w:pStyle w:val="Bullet"/>
        <w:numPr>
          <w:ilvl w:val="0"/>
          <w:numId w:val="8"/>
        </w:numPr>
      </w:pPr>
      <w:r w:rsidRPr="00256982">
        <w:lastRenderedPageBreak/>
        <w:t xml:space="preserve">New activity data are cross checked for accuracy and completeness by someone not involved in the data input and primary compilation. </w:t>
      </w:r>
    </w:p>
    <w:p w14:paraId="0C23E512" w14:textId="77777777" w:rsidR="0068777C" w:rsidRPr="00256982" w:rsidRDefault="0068777C" w:rsidP="0036046B">
      <w:pPr>
        <w:pStyle w:val="Bullet"/>
        <w:numPr>
          <w:ilvl w:val="0"/>
          <w:numId w:val="8"/>
        </w:numPr>
      </w:pPr>
      <w:r w:rsidRPr="00256982">
        <w:t xml:space="preserve">New data on activity and year-to-year time variance are reviewed by commodity analysts and economic modellers, to ensure the data are consistent and reflect the domestic situation. </w:t>
      </w:r>
    </w:p>
    <w:p w14:paraId="5817AB3F" w14:textId="77777777" w:rsidR="0068777C" w:rsidRPr="00256982" w:rsidRDefault="0068777C" w:rsidP="0036046B">
      <w:pPr>
        <w:pStyle w:val="Bullet"/>
        <w:numPr>
          <w:ilvl w:val="0"/>
          <w:numId w:val="8"/>
        </w:numPr>
        <w:rPr>
          <w:spacing w:val="-2"/>
        </w:rPr>
      </w:pPr>
      <w:r w:rsidRPr="00256982">
        <w:rPr>
          <w:spacing w:val="-2"/>
        </w:rPr>
        <w:t xml:space="preserve">Where practical, key historical data are rechecked concurrently with updating the latest data. </w:t>
      </w:r>
    </w:p>
    <w:p w14:paraId="1F116336" w14:textId="77777777" w:rsidR="0068777C" w:rsidRPr="00256982" w:rsidRDefault="0068777C" w:rsidP="0036046B">
      <w:pPr>
        <w:pStyle w:val="Bullet"/>
        <w:numPr>
          <w:ilvl w:val="0"/>
          <w:numId w:val="8"/>
        </w:numPr>
      </w:pPr>
      <w:r w:rsidRPr="00256982">
        <w:t xml:space="preserve">The data check table is included with the managerial sign-off materials before delivery to Ministry for the Environment. </w:t>
      </w:r>
    </w:p>
    <w:p w14:paraId="7917C17E" w14:textId="77777777" w:rsidR="0068777C" w:rsidRPr="00256982" w:rsidRDefault="0068777C" w:rsidP="00453950">
      <w:pPr>
        <w:pStyle w:val="Heading4"/>
        <w:spacing w:after="120"/>
      </w:pPr>
      <w:r w:rsidRPr="00256982">
        <w:t xml:space="preserve">Emissions </w:t>
      </w:r>
    </w:p>
    <w:p w14:paraId="1F66E56D" w14:textId="77777777" w:rsidR="0068777C" w:rsidRPr="00256982" w:rsidRDefault="0068777C" w:rsidP="0036046B">
      <w:pPr>
        <w:pStyle w:val="Bullet"/>
        <w:numPr>
          <w:ilvl w:val="0"/>
          <w:numId w:val="8"/>
        </w:numPr>
      </w:pPr>
      <w:r w:rsidRPr="00256982">
        <w:t xml:space="preserve">Implied emission factors are checked over time (1990 to most recent year) and against previous submissions. Any anomalies are investigated. </w:t>
      </w:r>
    </w:p>
    <w:p w14:paraId="497C5ABE" w14:textId="77777777" w:rsidR="0068777C" w:rsidRPr="00256982" w:rsidRDefault="0068777C" w:rsidP="0036046B">
      <w:pPr>
        <w:pStyle w:val="Bullet"/>
        <w:numPr>
          <w:ilvl w:val="0"/>
          <w:numId w:val="8"/>
        </w:numPr>
      </w:pPr>
      <w:r w:rsidRPr="00256982">
        <w:t xml:space="preserve">Key category emissions are compared against Tier 1 default methodologies and against similar Parties, particularly Australia. A challenge for New Zealand is the lack of countries with similar agricultural circumstances and management practices. For example, New Zealand’s major livestock types are almost all kept outdoors on pasture in all seasons. </w:t>
      </w:r>
    </w:p>
    <w:p w14:paraId="42B20430" w14:textId="77777777" w:rsidR="0068777C" w:rsidRPr="00256982" w:rsidRDefault="0068777C" w:rsidP="0036046B">
      <w:pPr>
        <w:pStyle w:val="Bullet"/>
        <w:numPr>
          <w:ilvl w:val="0"/>
          <w:numId w:val="8"/>
        </w:numPr>
      </w:pPr>
      <w:r w:rsidRPr="00256982">
        <w:t>Total emissions and key activity data from the CRF are checked for accuracy against total emissions and activity in the workbooks. Category totals are also checked.</w:t>
      </w:r>
    </w:p>
    <w:p w14:paraId="4257851F" w14:textId="77777777" w:rsidR="0068777C" w:rsidRPr="00256982" w:rsidRDefault="0068777C" w:rsidP="00453950">
      <w:pPr>
        <w:pStyle w:val="Heading4"/>
        <w:spacing w:after="120"/>
      </w:pPr>
      <w:r w:rsidRPr="00256982">
        <w:t xml:space="preserve">Recalculations </w:t>
      </w:r>
    </w:p>
    <w:p w14:paraId="329ACE61" w14:textId="77777777" w:rsidR="0068777C" w:rsidRPr="00256982" w:rsidRDefault="0068777C" w:rsidP="0036046B">
      <w:pPr>
        <w:pStyle w:val="Bullet"/>
        <w:numPr>
          <w:ilvl w:val="0"/>
          <w:numId w:val="8"/>
        </w:numPr>
      </w:pPr>
      <w:r w:rsidRPr="00256982">
        <w:t xml:space="preserve">Recalculations are agreed with the Ministry for the Environment and the Reporting Governance Group every year, before the Agriculture inventory compilation commences. </w:t>
      </w:r>
    </w:p>
    <w:p w14:paraId="77EC2A17" w14:textId="77777777" w:rsidR="0068777C" w:rsidRPr="00256982" w:rsidRDefault="0068777C" w:rsidP="0036046B">
      <w:pPr>
        <w:pStyle w:val="Bullet"/>
        <w:numPr>
          <w:ilvl w:val="0"/>
          <w:numId w:val="8"/>
        </w:numPr>
      </w:pPr>
      <w:r w:rsidRPr="00256982">
        <w:t>Recalculations are compared with previous submissions and, as far as possible, explained and confirmed by the changes in method or activity data.</w:t>
      </w:r>
    </w:p>
    <w:p w14:paraId="3A179FCE" w14:textId="77777777" w:rsidR="0068777C" w:rsidRPr="00256982" w:rsidRDefault="0068777C" w:rsidP="0036046B">
      <w:pPr>
        <w:pStyle w:val="Bullet"/>
        <w:numPr>
          <w:ilvl w:val="0"/>
          <w:numId w:val="8"/>
        </w:numPr>
      </w:pPr>
      <w:r w:rsidRPr="00256982">
        <w:t xml:space="preserve">Anomalous results from recalculations are checked and corrected, if necessary. </w:t>
      </w:r>
    </w:p>
    <w:p w14:paraId="375A6798" w14:textId="77777777" w:rsidR="0068777C" w:rsidRPr="00256982" w:rsidRDefault="0068777C" w:rsidP="0036046B">
      <w:pPr>
        <w:pStyle w:val="Bullet"/>
        <w:numPr>
          <w:ilvl w:val="0"/>
          <w:numId w:val="8"/>
        </w:numPr>
      </w:pPr>
      <w:r w:rsidRPr="00256982">
        <w:t xml:space="preserve">The Agriculture inventory compiler completes recalculation forms, signs the forms and forwards them to the Ministry for the Environment. </w:t>
      </w:r>
    </w:p>
    <w:p w14:paraId="2245102E" w14:textId="77777777" w:rsidR="0068777C" w:rsidRPr="00256982" w:rsidRDefault="0068777C" w:rsidP="00A72006">
      <w:pPr>
        <w:pStyle w:val="Heading4"/>
      </w:pPr>
      <w:r w:rsidRPr="00256982">
        <w:t xml:space="preserve">Periodic reviews </w:t>
      </w:r>
    </w:p>
    <w:p w14:paraId="4E8A8602" w14:textId="77777777" w:rsidR="0068777C" w:rsidRPr="00256982" w:rsidRDefault="0068777C" w:rsidP="0068777C">
      <w:pPr>
        <w:pStyle w:val="BodyText"/>
      </w:pPr>
      <w:r w:rsidRPr="00256982">
        <w:t>Periodic reviews are completed on different aspects of the Agriculture inventory. Examples of these reviews are below.</w:t>
      </w:r>
    </w:p>
    <w:p w14:paraId="3343D7A4" w14:textId="265C6E46" w:rsidR="0068777C" w:rsidRPr="00256982" w:rsidRDefault="0068777C" w:rsidP="0036046B">
      <w:pPr>
        <w:pStyle w:val="Bullet"/>
        <w:numPr>
          <w:ilvl w:val="0"/>
          <w:numId w:val="8"/>
        </w:numPr>
      </w:pPr>
      <w:r w:rsidRPr="00256982">
        <w:t>The livestock population models and productivity parameters have been reviewed (e.g.,</w:t>
      </w:r>
      <w:r w:rsidR="00453950" w:rsidRPr="00256982">
        <w:t> </w:t>
      </w:r>
      <w:r w:rsidRPr="00256982">
        <w:t xml:space="preserve">Thomson et al., 2010). These reviews have also been used to update and improve the Tier 2 model. </w:t>
      </w:r>
    </w:p>
    <w:p w14:paraId="4CB46B0B" w14:textId="77777777" w:rsidR="0068777C" w:rsidRPr="00256982" w:rsidRDefault="0068777C" w:rsidP="0036046B">
      <w:pPr>
        <w:pStyle w:val="Bullet"/>
        <w:numPr>
          <w:ilvl w:val="0"/>
          <w:numId w:val="8"/>
        </w:numPr>
      </w:pPr>
      <w:r w:rsidRPr="00256982">
        <w:t xml:space="preserve">During the 2012 submission, new crops were included in the National Inventory Report and a new complex methodology was implemented. For the 2013 submission, Plant and Food Research, a New Zealand-based scientific research company that has expertise in this area, was hired to review the workbooks, check the formulae and model parameters. </w:t>
      </w:r>
    </w:p>
    <w:p w14:paraId="407B753D" w14:textId="77777777" w:rsidR="0068777C" w:rsidRPr="00256982" w:rsidRDefault="0068777C" w:rsidP="0036046B">
      <w:pPr>
        <w:pStyle w:val="Bullet"/>
        <w:numPr>
          <w:ilvl w:val="0"/>
          <w:numId w:val="8"/>
        </w:numPr>
      </w:pPr>
      <w:r w:rsidRPr="00256982">
        <w:t xml:space="preserve">During the 2015 submission, a mutual bilateral greenhouse gas inventory review was held between Australia and New Zealand, which included the Agriculture sector (Australian Government, unpublished). </w:t>
      </w:r>
    </w:p>
    <w:p w14:paraId="5B4D82BF" w14:textId="77777777" w:rsidR="0068777C" w:rsidRPr="00256982" w:rsidRDefault="0068777C" w:rsidP="0036046B">
      <w:pPr>
        <w:pStyle w:val="Bullet"/>
        <w:numPr>
          <w:ilvl w:val="0"/>
          <w:numId w:val="8"/>
        </w:numPr>
      </w:pPr>
      <w:r w:rsidRPr="00256982">
        <w:t>In 2018, the population models in the inventory model were reviewed. Small errors in the implementation of the population equations in the inventory model were found and have been corrected for the 2019 (1990–2017) submission. For more information on this, see sections 5.1.5 and 10.1.3.</w:t>
      </w:r>
    </w:p>
    <w:p w14:paraId="479DAE35" w14:textId="77777777" w:rsidR="0068777C" w:rsidRPr="00256982" w:rsidRDefault="0068777C" w:rsidP="00453950">
      <w:pPr>
        <w:pStyle w:val="Heading4"/>
        <w:spacing w:after="120"/>
      </w:pPr>
      <w:r w:rsidRPr="00256982">
        <w:lastRenderedPageBreak/>
        <w:t xml:space="preserve">Error checking and reporting </w:t>
      </w:r>
    </w:p>
    <w:p w14:paraId="0730F269" w14:textId="77777777" w:rsidR="0068777C" w:rsidRPr="00256982" w:rsidRDefault="0068777C" w:rsidP="0036046B">
      <w:pPr>
        <w:pStyle w:val="Bullet"/>
        <w:numPr>
          <w:ilvl w:val="0"/>
          <w:numId w:val="8"/>
        </w:numPr>
      </w:pPr>
      <w:r w:rsidRPr="00256982">
        <w:t xml:space="preserve">Errors confirmed during the year are recorded and the National Inventory Compiler is notified. The factors contributing to the error are assessed. </w:t>
      </w:r>
    </w:p>
    <w:p w14:paraId="7BD060BC" w14:textId="77777777" w:rsidR="0068777C" w:rsidRPr="00256982" w:rsidRDefault="0068777C" w:rsidP="0036046B">
      <w:pPr>
        <w:pStyle w:val="Bullet"/>
        <w:numPr>
          <w:ilvl w:val="0"/>
          <w:numId w:val="8"/>
        </w:numPr>
      </w:pPr>
      <w:r w:rsidRPr="00256982">
        <w:t xml:space="preserve">An issues, risks and enhancements register is kept up to date and used to prioritise the resolution of key sources of risk to the Agriculture inventory compilation and results. </w:t>
      </w:r>
    </w:p>
    <w:p w14:paraId="041C0E27" w14:textId="77777777" w:rsidR="0068777C" w:rsidRPr="00256982" w:rsidRDefault="0068777C" w:rsidP="0036046B">
      <w:pPr>
        <w:pStyle w:val="Bullet"/>
        <w:numPr>
          <w:ilvl w:val="0"/>
          <w:numId w:val="8"/>
        </w:numPr>
      </w:pPr>
      <w:r w:rsidRPr="00256982">
        <w:t xml:space="preserve">A checklist of quality-control activities is followed during data collection and entry into the model, data upload to the CRF reporting tool and National Inventory Report chapter preparation. </w:t>
      </w:r>
    </w:p>
    <w:p w14:paraId="43579967" w14:textId="77777777" w:rsidR="0068777C" w:rsidRPr="00256982" w:rsidRDefault="0068777C" w:rsidP="0036046B">
      <w:pPr>
        <w:pStyle w:val="Bullet"/>
        <w:numPr>
          <w:ilvl w:val="0"/>
          <w:numId w:val="8"/>
        </w:numPr>
      </w:pPr>
      <w:r w:rsidRPr="00256982">
        <w:t xml:space="preserve">The Agriculture chapter of the National Inventory Report and the data exported to the CRF reporter are signed off by the chapter compiler, people involved in data checking and the responsible manager. </w:t>
      </w:r>
    </w:p>
    <w:p w14:paraId="12A4D6D8" w14:textId="77777777" w:rsidR="0068777C" w:rsidRPr="00256982" w:rsidRDefault="0068777C" w:rsidP="00453950">
      <w:pPr>
        <w:pStyle w:val="Heading4"/>
        <w:spacing w:after="120"/>
      </w:pPr>
      <w:r w:rsidRPr="00256982">
        <w:t xml:space="preserve">Documentation </w:t>
      </w:r>
    </w:p>
    <w:p w14:paraId="58D2C873" w14:textId="77777777" w:rsidR="0068777C" w:rsidRPr="00256982" w:rsidRDefault="0068777C" w:rsidP="0036046B">
      <w:pPr>
        <w:pStyle w:val="Bullet"/>
        <w:numPr>
          <w:ilvl w:val="0"/>
          <w:numId w:val="8"/>
        </w:numPr>
      </w:pPr>
      <w:r w:rsidRPr="00256982">
        <w:t xml:space="preserve">Internal working instructions are maintained to allow for staff movements. </w:t>
      </w:r>
    </w:p>
    <w:p w14:paraId="2960D585" w14:textId="77777777" w:rsidR="0068777C" w:rsidRPr="00256982" w:rsidRDefault="0068777C" w:rsidP="0036046B">
      <w:pPr>
        <w:pStyle w:val="Bullet"/>
        <w:numPr>
          <w:ilvl w:val="0"/>
          <w:numId w:val="8"/>
        </w:numPr>
      </w:pPr>
      <w:r w:rsidRPr="00256982">
        <w:t xml:space="preserve">Workbooks and calculations are kept on an electronic archiving and management system, enabling wider team access to all workbooks. </w:t>
      </w:r>
    </w:p>
    <w:p w14:paraId="02EC1ED2" w14:textId="77777777" w:rsidR="0068777C" w:rsidRPr="00256982" w:rsidRDefault="0068777C" w:rsidP="0036046B">
      <w:pPr>
        <w:pStyle w:val="Bullet"/>
        <w:numPr>
          <w:ilvl w:val="0"/>
          <w:numId w:val="8"/>
        </w:numPr>
      </w:pPr>
      <w:r w:rsidRPr="00256982">
        <w:t xml:space="preserve">Hyperlinks between check sheets, sign-off documents and workbooks are used to link relevant files on the document management system. </w:t>
      </w:r>
    </w:p>
    <w:p w14:paraId="3767070D" w14:textId="77777777" w:rsidR="0068777C" w:rsidRPr="00256982" w:rsidRDefault="0068777C" w:rsidP="00891A0D">
      <w:pPr>
        <w:pStyle w:val="Heading3"/>
      </w:pPr>
      <w:r w:rsidRPr="00256982">
        <w:t>5.1.7</w:t>
      </w:r>
      <w:r w:rsidRPr="00256982">
        <w:tab/>
        <w:t>Planned improvements</w:t>
      </w:r>
    </w:p>
    <w:p w14:paraId="06865060" w14:textId="77777777" w:rsidR="0068777C" w:rsidRPr="00256982" w:rsidRDefault="0068777C" w:rsidP="0068777C">
      <w:pPr>
        <w:pStyle w:val="BodyText"/>
      </w:pPr>
      <w:r w:rsidRPr="00256982">
        <w:t xml:space="preserve">The Ministry for Primary Industries is undertaking a number of research projects aimed at improving New Zealand’s Agriculture inventory. </w:t>
      </w:r>
    </w:p>
    <w:p w14:paraId="69C62466" w14:textId="77777777" w:rsidR="0068777C" w:rsidRPr="00256982" w:rsidRDefault="0068777C" w:rsidP="0068777C">
      <w:pPr>
        <w:pStyle w:val="BodyText"/>
      </w:pPr>
      <w:r w:rsidRPr="00256982">
        <w:t>Short-term studies in relation to these include:</w:t>
      </w:r>
    </w:p>
    <w:p w14:paraId="716F5FBA" w14:textId="77777777" w:rsidR="0068777C" w:rsidRPr="00256982" w:rsidRDefault="0068777C" w:rsidP="0036046B">
      <w:pPr>
        <w:pStyle w:val="Bullet"/>
        <w:numPr>
          <w:ilvl w:val="0"/>
          <w:numId w:val="8"/>
        </w:numPr>
      </w:pPr>
      <w:r w:rsidRPr="00256982">
        <w:t>research looking at the amount and types of supplemental feed used in the dairy industry</w:t>
      </w:r>
    </w:p>
    <w:p w14:paraId="58B85A61" w14:textId="77777777" w:rsidR="0068777C" w:rsidRPr="00256982" w:rsidRDefault="0068777C" w:rsidP="0036046B">
      <w:pPr>
        <w:pStyle w:val="Bullet"/>
        <w:numPr>
          <w:ilvl w:val="0"/>
          <w:numId w:val="8"/>
        </w:numPr>
      </w:pPr>
      <w:r w:rsidRPr="00256982">
        <w:t xml:space="preserve">a review of the methodology used to estimate liveweight for dairy cattle, beef cattle, sheep and deer </w:t>
      </w:r>
    </w:p>
    <w:p w14:paraId="33702629" w14:textId="77777777" w:rsidR="0068777C" w:rsidRPr="00256982" w:rsidRDefault="0068777C" w:rsidP="0036046B">
      <w:pPr>
        <w:pStyle w:val="Bullet"/>
        <w:numPr>
          <w:ilvl w:val="0"/>
          <w:numId w:val="8"/>
        </w:numPr>
      </w:pPr>
      <w:r w:rsidRPr="00256982">
        <w:t>a review of the methodology and activity data used to estimate emissions from goats</w:t>
      </w:r>
    </w:p>
    <w:p w14:paraId="7074D473" w14:textId="77777777" w:rsidR="0068777C" w:rsidRPr="00256982" w:rsidRDefault="0068777C" w:rsidP="0036046B">
      <w:pPr>
        <w:pStyle w:val="Bullet"/>
        <w:numPr>
          <w:ilvl w:val="0"/>
          <w:numId w:val="8"/>
        </w:numPr>
      </w:pPr>
      <w:r w:rsidRPr="00256982">
        <w:t xml:space="preserve">a review of the models used to estimate monthly population changes for dairy cattle, beef cattle, sheep and deer </w:t>
      </w:r>
    </w:p>
    <w:p w14:paraId="4D072CA6" w14:textId="77777777" w:rsidR="0068777C" w:rsidRPr="00256982" w:rsidRDefault="0068777C" w:rsidP="0036046B">
      <w:pPr>
        <w:pStyle w:val="Bullet"/>
        <w:numPr>
          <w:ilvl w:val="0"/>
          <w:numId w:val="8"/>
        </w:numPr>
      </w:pPr>
      <w:r w:rsidRPr="00256982">
        <w:t>research looking at how the use of manure management systems has changed in New Zealand over time, and the implications for emissions estimates</w:t>
      </w:r>
    </w:p>
    <w:p w14:paraId="2748B34C" w14:textId="77777777" w:rsidR="0068777C" w:rsidRPr="00256982" w:rsidRDefault="0068777C" w:rsidP="0036046B">
      <w:pPr>
        <w:pStyle w:val="Bullet"/>
        <w:numPr>
          <w:ilvl w:val="0"/>
          <w:numId w:val="8"/>
        </w:numPr>
      </w:pPr>
      <w:r w:rsidRPr="00256982">
        <w:t>research on the distance travelled and terrain encountered by grazing livestock, to improve estimates of ME requirements.</w:t>
      </w:r>
    </w:p>
    <w:p w14:paraId="2B134007" w14:textId="77777777" w:rsidR="0068777C" w:rsidRPr="00256982" w:rsidRDefault="0068777C" w:rsidP="0068777C">
      <w:pPr>
        <w:pStyle w:val="BodyText"/>
      </w:pPr>
      <w:r w:rsidRPr="00256982">
        <w:t>Long-term studies focused on improving the Agriculture inventory include:</w:t>
      </w:r>
    </w:p>
    <w:p w14:paraId="1C8C2915" w14:textId="77777777" w:rsidR="0068777C" w:rsidRPr="00256982" w:rsidRDefault="0068777C" w:rsidP="0036046B">
      <w:pPr>
        <w:pStyle w:val="Bullet"/>
        <w:numPr>
          <w:ilvl w:val="0"/>
          <w:numId w:val="8"/>
        </w:numPr>
      </w:pPr>
      <w:r w:rsidRPr="00256982">
        <w:t>improving the relationship between DMI and CH</w:t>
      </w:r>
      <w:r w:rsidRPr="00256982">
        <w:rPr>
          <w:vertAlign w:val="subscript"/>
        </w:rPr>
        <w:t>4</w:t>
      </w:r>
      <w:r w:rsidRPr="00256982">
        <w:t xml:space="preserve"> emissions from cattle</w:t>
      </w:r>
    </w:p>
    <w:p w14:paraId="4810CA9E" w14:textId="77777777" w:rsidR="0068777C" w:rsidRPr="00256982" w:rsidRDefault="0068777C" w:rsidP="0036046B">
      <w:pPr>
        <w:pStyle w:val="Bullet"/>
        <w:numPr>
          <w:ilvl w:val="0"/>
          <w:numId w:val="8"/>
        </w:numPr>
      </w:pPr>
      <w:r w:rsidRPr="00256982">
        <w:t>investigating the effect of land slope on N</w:t>
      </w:r>
      <w:r w:rsidRPr="00256982">
        <w:rPr>
          <w:vertAlign w:val="subscript"/>
        </w:rPr>
        <w:t>2</w:t>
      </w:r>
      <w:r w:rsidRPr="00256982">
        <w:t xml:space="preserve">O emissions from dairy cattle, non-dairy cattle, sheep and/or deer in hill-country pasture </w:t>
      </w:r>
    </w:p>
    <w:p w14:paraId="4739EDE2" w14:textId="77777777" w:rsidR="0068777C" w:rsidRPr="00256982" w:rsidRDefault="0068777C" w:rsidP="0036046B">
      <w:pPr>
        <w:pStyle w:val="Bullet"/>
        <w:numPr>
          <w:ilvl w:val="0"/>
          <w:numId w:val="8"/>
        </w:numPr>
      </w:pPr>
      <w:r w:rsidRPr="00256982">
        <w:t>using inverse modelling techniques to help verify New Zealand’s estimates of CH</w:t>
      </w:r>
      <w:r w:rsidRPr="00256982">
        <w:rPr>
          <w:vertAlign w:val="subscript"/>
        </w:rPr>
        <w:t>4</w:t>
      </w:r>
      <w:r w:rsidRPr="00256982">
        <w:t xml:space="preserve"> emissions</w:t>
      </w:r>
    </w:p>
    <w:p w14:paraId="1467D2D1" w14:textId="77777777" w:rsidR="0068777C" w:rsidRPr="00256982" w:rsidRDefault="0068777C" w:rsidP="0036046B">
      <w:pPr>
        <w:pStyle w:val="Bullet"/>
        <w:numPr>
          <w:ilvl w:val="0"/>
          <w:numId w:val="8"/>
        </w:numPr>
      </w:pPr>
      <w:r w:rsidRPr="00256982">
        <w:t xml:space="preserve">updating national estimates of pasture quality for ME, nitrogen and dry matter digestibility </w:t>
      </w:r>
    </w:p>
    <w:p w14:paraId="6E0F5BFD" w14:textId="77777777" w:rsidR="0068777C" w:rsidRPr="00256982" w:rsidRDefault="0068777C" w:rsidP="0036046B">
      <w:pPr>
        <w:pStyle w:val="Bullet"/>
        <w:numPr>
          <w:ilvl w:val="0"/>
          <w:numId w:val="8"/>
        </w:numPr>
      </w:pPr>
      <w:r w:rsidRPr="00256982">
        <w:t>research to gain a better understanding of the factors causing variability in N</w:t>
      </w:r>
      <w:r w:rsidRPr="00256982">
        <w:rPr>
          <w:vertAlign w:val="subscript"/>
        </w:rPr>
        <w:t>2</w:t>
      </w:r>
      <w:r w:rsidRPr="00256982">
        <w:t>O emissions from livestock excreta on pasture.</w:t>
      </w:r>
    </w:p>
    <w:p w14:paraId="5E48DE5D" w14:textId="77777777" w:rsidR="0068777C" w:rsidRPr="00256982" w:rsidRDefault="0068777C" w:rsidP="0068777C">
      <w:pPr>
        <w:pStyle w:val="BodyText"/>
      </w:pPr>
      <w:r w:rsidRPr="00256982">
        <w:lastRenderedPageBreak/>
        <w:t>These specific planned improvements are discussed in further detail in the relevant sector recalculation sections 5.2.6 (</w:t>
      </w:r>
      <w:r w:rsidRPr="00256982">
        <w:rPr>
          <w:i/>
        </w:rPr>
        <w:t>Enteric fermentation</w:t>
      </w:r>
      <w:r w:rsidRPr="00256982">
        <w:t xml:space="preserve"> (CRF 3.A)), 5.3.6 (</w:t>
      </w:r>
      <w:r w:rsidRPr="00256982">
        <w:rPr>
          <w:i/>
        </w:rPr>
        <w:t>Manure management</w:t>
      </w:r>
      <w:r w:rsidRPr="00256982">
        <w:t xml:space="preserve"> (CRF 3.B)) and 5.5.6 (</w:t>
      </w:r>
      <w:r w:rsidRPr="00256982">
        <w:rPr>
          <w:i/>
        </w:rPr>
        <w:t>Agricultural soils</w:t>
      </w:r>
      <w:r w:rsidRPr="00256982">
        <w:t xml:space="preserve"> (CRF 3.D)). </w:t>
      </w:r>
    </w:p>
    <w:p w14:paraId="2C876D87" w14:textId="77777777" w:rsidR="0068777C" w:rsidRPr="00256982" w:rsidRDefault="0068777C" w:rsidP="0068777C">
      <w:pPr>
        <w:pStyle w:val="Heading2"/>
      </w:pPr>
      <w:bookmarkStart w:id="516" w:name="_Toc352504860"/>
      <w:bookmarkStart w:id="517" w:name="_Toc448321523"/>
      <w:bookmarkStart w:id="518" w:name="_Toc481751385"/>
      <w:bookmarkStart w:id="519" w:name="_Toc511116600"/>
      <w:bookmarkStart w:id="520" w:name="_Toc5269362"/>
      <w:r w:rsidRPr="00256982">
        <w:t>5.2</w:t>
      </w:r>
      <w:r w:rsidRPr="00256982">
        <w:tab/>
        <w:t>Enteric fermentation (CRF 3.A)</w:t>
      </w:r>
      <w:bookmarkEnd w:id="516"/>
      <w:bookmarkEnd w:id="517"/>
      <w:bookmarkEnd w:id="518"/>
      <w:bookmarkEnd w:id="519"/>
      <w:bookmarkEnd w:id="520"/>
    </w:p>
    <w:p w14:paraId="6281A26B" w14:textId="77777777" w:rsidR="0068777C" w:rsidRPr="00256982" w:rsidRDefault="0068777C" w:rsidP="0068777C">
      <w:pPr>
        <w:pStyle w:val="Heading3"/>
        <w:spacing w:before="240"/>
      </w:pPr>
      <w:bookmarkStart w:id="521" w:name="_Toc139253917"/>
      <w:r w:rsidRPr="00256982">
        <w:t>5.2.1</w:t>
      </w:r>
      <w:r w:rsidRPr="00256982">
        <w:tab/>
        <w:t>Description</w:t>
      </w:r>
      <w:bookmarkEnd w:id="521"/>
    </w:p>
    <w:p w14:paraId="2240BC90" w14:textId="77777777" w:rsidR="0068777C" w:rsidRPr="00256982" w:rsidRDefault="0068777C" w:rsidP="0068777C">
      <w:pPr>
        <w:pStyle w:val="BodyText"/>
      </w:pPr>
      <w:r w:rsidRPr="00256982">
        <w:t>Methane is a by-product of digestion in ruminants, for example, in cattle and sheep, and in some non-ruminant animals, such as swine and horses. Within the Agriculture sector, ruminants are the largest source of CH</w:t>
      </w:r>
      <w:r w:rsidRPr="00256982">
        <w:rPr>
          <w:vertAlign w:val="subscript"/>
        </w:rPr>
        <w:t>4</w:t>
      </w:r>
      <w:r w:rsidRPr="00256982">
        <w:t>. The amount of CH</w:t>
      </w:r>
      <w:r w:rsidRPr="00256982">
        <w:rPr>
          <w:vertAlign w:val="subscript"/>
        </w:rPr>
        <w:t>4</w:t>
      </w:r>
      <w:r w:rsidRPr="00256982">
        <w:t xml:space="preserve"> released depends on the quantity of feed consumed, which is determined by the type, age and weight of the animal, animal production, feed quality and the energy expenditure of the animal.</w:t>
      </w:r>
    </w:p>
    <w:p w14:paraId="288EA40D" w14:textId="77777777" w:rsidR="0068777C" w:rsidRPr="00256982" w:rsidRDefault="0068777C" w:rsidP="0068777C">
      <w:pPr>
        <w:pStyle w:val="BodyText"/>
        <w:rPr>
          <w:color w:val="000000"/>
          <w:lang w:eastAsia="en-NZ"/>
        </w:rPr>
      </w:pPr>
      <w:r w:rsidRPr="00256982">
        <w:t>In 2017, enteric fermentation contributed 27,646.6 kt CO</w:t>
      </w:r>
      <w:r w:rsidRPr="00256982">
        <w:rPr>
          <w:vertAlign w:val="subscript"/>
        </w:rPr>
        <w:t>2</w:t>
      </w:r>
      <w:r w:rsidRPr="00256982">
        <w:t>-e to New Zealand’s gross emissions. This represented 34.2 per cent of New Zealand’s gross CO</w:t>
      </w:r>
      <w:r w:rsidRPr="00256982">
        <w:rPr>
          <w:vertAlign w:val="subscript"/>
        </w:rPr>
        <w:t>2</w:t>
      </w:r>
      <w:r w:rsidRPr="00256982">
        <w:t>-e emissions and 71.1 per cent of agricultural emissions. Dairy and non-dairy cattle contributed 13,560.1 kt CO</w:t>
      </w:r>
      <w:r w:rsidRPr="00256982">
        <w:rPr>
          <w:vertAlign w:val="subscript"/>
        </w:rPr>
        <w:t>2</w:t>
      </w:r>
      <w:r w:rsidRPr="00256982">
        <w:t>-e (49.0 per cent) and 5,298.0 kt CO</w:t>
      </w:r>
      <w:r w:rsidRPr="00256982">
        <w:rPr>
          <w:vertAlign w:val="subscript"/>
        </w:rPr>
        <w:t>2</w:t>
      </w:r>
      <w:r w:rsidRPr="00256982">
        <w:t xml:space="preserve">-e (19.2 per cent), respectively, to emissions from the </w:t>
      </w:r>
      <w:r w:rsidRPr="00256982">
        <w:rPr>
          <w:i/>
        </w:rPr>
        <w:t>Enteric fermentation</w:t>
      </w:r>
      <w:r w:rsidRPr="00256982">
        <w:t xml:space="preserve"> category. Sheep contributed 8,253.1 kt CO</w:t>
      </w:r>
      <w:r w:rsidRPr="00256982">
        <w:rPr>
          <w:vertAlign w:val="subscript"/>
        </w:rPr>
        <w:t>2</w:t>
      </w:r>
      <w:r w:rsidRPr="00256982">
        <w:t xml:space="preserve">-e (29.9 per cent) to emissions from this category. Emissions from the </w:t>
      </w:r>
      <w:r w:rsidRPr="00256982">
        <w:rPr>
          <w:i/>
        </w:rPr>
        <w:t>Enteric fermentation</w:t>
      </w:r>
      <w:r w:rsidRPr="00256982">
        <w:t xml:space="preserve"> category in 2017 were 1,225.8 kt CO</w:t>
      </w:r>
      <w:r w:rsidRPr="00256982">
        <w:rPr>
          <w:vertAlign w:val="subscript"/>
        </w:rPr>
        <w:t>2</w:t>
      </w:r>
      <w:r w:rsidRPr="00256982">
        <w:t>-e (4.6 per cent) above the 1990 level of 26,420.7 kt CO</w:t>
      </w:r>
      <w:r w:rsidRPr="00256982">
        <w:rPr>
          <w:vertAlign w:val="subscript"/>
        </w:rPr>
        <w:t>2</w:t>
      </w:r>
      <w:r w:rsidRPr="00256982">
        <w:noBreakHyphen/>
        <w:t>e.</w:t>
      </w:r>
    </w:p>
    <w:p w14:paraId="033841FF" w14:textId="77777777" w:rsidR="0068777C" w:rsidRPr="00256982" w:rsidRDefault="0068777C" w:rsidP="0068777C">
      <w:pPr>
        <w:pStyle w:val="BodyText"/>
      </w:pPr>
      <w:r w:rsidRPr="00256982">
        <w:t xml:space="preserve">Methane emissions from the </w:t>
      </w:r>
      <w:r w:rsidRPr="00256982">
        <w:rPr>
          <w:i/>
          <w:iCs/>
        </w:rPr>
        <w:t>Enteric fermentation</w:t>
      </w:r>
      <w:r w:rsidRPr="00256982">
        <w:t xml:space="preserve"> category from dairy cattle, non-dairy cattle and sheep were identified among the largest key categories for New Zealand in the 2017 level assessment, and were also assessed as key categories in the trend assessment (excluding Land Use, Land-Use Change and Forestry (LULUCF)). The methodology used by New Zealand for calculating CH</w:t>
      </w:r>
      <w:r w:rsidRPr="00256982">
        <w:rPr>
          <w:vertAlign w:val="subscript"/>
        </w:rPr>
        <w:t>4</w:t>
      </w:r>
      <w:r w:rsidRPr="00256982">
        <w:t xml:space="preserve"> emissions from enteric fermentation in domestic livestock is a Tier 2 modelling approach. </w:t>
      </w:r>
    </w:p>
    <w:p w14:paraId="20487AC0" w14:textId="77777777" w:rsidR="0068777C" w:rsidRPr="00256982" w:rsidRDefault="0068777C" w:rsidP="0068777C">
      <w:pPr>
        <w:pStyle w:val="BodyText"/>
      </w:pPr>
      <w:r w:rsidRPr="00256982">
        <w:t xml:space="preserve">Since 1990, there have been changes in the relative sources of emissions within the </w:t>
      </w:r>
      <w:r w:rsidRPr="00256982">
        <w:rPr>
          <w:i/>
        </w:rPr>
        <w:t>Enteric fermentation</w:t>
      </w:r>
      <w:r w:rsidRPr="00256982">
        <w:t xml:space="preserve"> category (see table 5.2.1). The largest increase came from emissions from dairy cattle. In 2017, dairy cattle were responsible for 13,560.1 kt CO</w:t>
      </w:r>
      <w:r w:rsidRPr="00256982">
        <w:rPr>
          <w:vertAlign w:val="subscript"/>
        </w:rPr>
        <w:t>2</w:t>
      </w:r>
      <w:r w:rsidRPr="00256982">
        <w:t>-e, an increase of 7,632.1 kt CO</w:t>
      </w:r>
      <w:r w:rsidRPr="00256982">
        <w:rPr>
          <w:vertAlign w:val="subscript"/>
        </w:rPr>
        <w:t>2</w:t>
      </w:r>
      <w:r w:rsidRPr="00256982">
        <w:noBreakHyphen/>
        <w:t>e (128.7 per cent) from the 1990 level of 5,928.0 kt CO</w:t>
      </w:r>
      <w:r w:rsidRPr="00256982">
        <w:rPr>
          <w:vertAlign w:val="subscript"/>
        </w:rPr>
        <w:t>2</w:t>
      </w:r>
      <w:r w:rsidRPr="00256982">
        <w:t xml:space="preserve">-e. Meanwhile, there have been decreases in emissions from non-dairy cattle, sheep and minor livestock species, such as goats, horses and swine. </w:t>
      </w:r>
    </w:p>
    <w:p w14:paraId="1799EA8D" w14:textId="77777777" w:rsidR="0068777C" w:rsidRPr="00256982" w:rsidRDefault="0068777C" w:rsidP="0068777C">
      <w:pPr>
        <w:pStyle w:val="Table"/>
        <w:tabs>
          <w:tab w:val="left" w:pos="709"/>
        </w:tabs>
      </w:pPr>
      <w:bookmarkStart w:id="522" w:name="_Toc441830868"/>
      <w:bookmarkStart w:id="523" w:name="_Toc451176082"/>
      <w:bookmarkStart w:id="524" w:name="_Toc481751508"/>
      <w:bookmarkStart w:id="525" w:name="_Toc507158598"/>
      <w:bookmarkStart w:id="526" w:name="_Toc511116732"/>
      <w:bookmarkStart w:id="527" w:name="_Toc5269472"/>
      <w:bookmarkStart w:id="528" w:name="_Toc139253918"/>
      <w:r w:rsidRPr="00256982">
        <w:t>Table 5.2.1</w:t>
      </w:r>
      <w:r w:rsidRPr="00256982">
        <w:tab/>
        <w:t xml:space="preserve">Trends and relative contribution of enteric fermentation from livestock categories between 1990 and </w:t>
      </w:r>
      <w:bookmarkEnd w:id="522"/>
      <w:bookmarkEnd w:id="523"/>
      <w:bookmarkEnd w:id="524"/>
      <w:bookmarkEnd w:id="525"/>
      <w:bookmarkEnd w:id="526"/>
      <w:r w:rsidRPr="00256982">
        <w:t>2017</w:t>
      </w:r>
      <w:bookmarkEnd w:id="527"/>
    </w:p>
    <w:tbl>
      <w:tblPr>
        <w:tblW w:w="8562" w:type="dxa"/>
        <w:tblInd w:w="108" w:type="dxa"/>
        <w:tblBorders>
          <w:top w:val="single" w:sz="4" w:space="0" w:color="365F91"/>
          <w:bottom w:val="single" w:sz="4" w:space="0" w:color="365F91"/>
          <w:insideH w:val="single" w:sz="4" w:space="0" w:color="365F91"/>
        </w:tblBorders>
        <w:tblLayout w:type="fixed"/>
        <w:tblLook w:val="04A0" w:firstRow="1" w:lastRow="0" w:firstColumn="1" w:lastColumn="0" w:noHBand="0" w:noVBand="1"/>
      </w:tblPr>
      <w:tblGrid>
        <w:gridCol w:w="1654"/>
        <w:gridCol w:w="1005"/>
        <w:gridCol w:w="1005"/>
        <w:gridCol w:w="809"/>
        <w:gridCol w:w="1067"/>
        <w:gridCol w:w="635"/>
        <w:gridCol w:w="711"/>
        <w:gridCol w:w="800"/>
        <w:gridCol w:w="876"/>
      </w:tblGrid>
      <w:tr w:rsidR="0068777C" w:rsidRPr="00256982" w14:paraId="069CFDC1" w14:textId="77777777" w:rsidTr="00501A5F">
        <w:tc>
          <w:tcPr>
            <w:tcW w:w="1643" w:type="dxa"/>
            <w:vMerge w:val="restart"/>
            <w:shd w:val="clear" w:color="auto" w:fill="365F91"/>
            <w:vAlign w:val="bottom"/>
          </w:tcPr>
          <w:p w14:paraId="06C7E2B1" w14:textId="77777777" w:rsidR="0068777C" w:rsidRPr="00256982" w:rsidRDefault="0068777C" w:rsidP="0068777C">
            <w:pPr>
              <w:pStyle w:val="TableTextBold"/>
              <w:keepNext/>
              <w:rPr>
                <w:noProof w:val="0"/>
                <w:color w:val="FFFFFF"/>
              </w:rPr>
            </w:pPr>
            <w:r w:rsidRPr="00256982">
              <w:rPr>
                <w:noProof w:val="0"/>
                <w:color w:val="FFFFFF"/>
              </w:rPr>
              <w:t>Livestock category</w:t>
            </w:r>
          </w:p>
        </w:tc>
        <w:tc>
          <w:tcPr>
            <w:tcW w:w="1996" w:type="dxa"/>
            <w:gridSpan w:val="2"/>
            <w:vMerge w:val="restart"/>
            <w:shd w:val="clear" w:color="auto" w:fill="365F91"/>
            <w:vAlign w:val="bottom"/>
          </w:tcPr>
          <w:p w14:paraId="3D504E02" w14:textId="77777777" w:rsidR="0068777C" w:rsidRPr="00256982" w:rsidRDefault="0068777C" w:rsidP="0068777C">
            <w:pPr>
              <w:pStyle w:val="TableTextBold"/>
              <w:keepNext/>
              <w:tabs>
                <w:tab w:val="left" w:pos="241"/>
                <w:tab w:val="left" w:pos="1062"/>
              </w:tabs>
              <w:jc w:val="center"/>
              <w:rPr>
                <w:noProof w:val="0"/>
                <w:color w:val="FFFFFF"/>
              </w:rPr>
            </w:pPr>
            <w:r w:rsidRPr="00256982">
              <w:rPr>
                <w:noProof w:val="0"/>
                <w:color w:val="FFFFFF"/>
              </w:rPr>
              <w:t xml:space="preserve">Emissions </w:t>
            </w:r>
            <w:r w:rsidRPr="00256982">
              <w:rPr>
                <w:noProof w:val="0"/>
                <w:color w:val="FFFFFF"/>
              </w:rPr>
              <w:br/>
              <w:t>(kt CO</w:t>
            </w:r>
            <w:r w:rsidRPr="00256982">
              <w:rPr>
                <w:noProof w:val="0"/>
                <w:color w:val="FFFFFF"/>
                <w:vertAlign w:val="subscript"/>
              </w:rPr>
              <w:t>2</w:t>
            </w:r>
            <w:r w:rsidRPr="00256982">
              <w:rPr>
                <w:noProof w:val="0"/>
                <w:color w:val="FFFFFF"/>
              </w:rPr>
              <w:t xml:space="preserve">-e) </w:t>
            </w:r>
            <w:r w:rsidRPr="00256982">
              <w:rPr>
                <w:noProof w:val="0"/>
                <w:color w:val="FFFFFF"/>
              </w:rPr>
              <w:br/>
            </w:r>
            <w:r w:rsidRPr="00256982">
              <w:rPr>
                <w:noProof w:val="0"/>
                <w:color w:val="FFFFFF"/>
              </w:rPr>
              <w:tab/>
              <w:t>1990</w:t>
            </w:r>
            <w:r w:rsidRPr="00256982">
              <w:rPr>
                <w:noProof w:val="0"/>
                <w:color w:val="FFFFFF"/>
              </w:rPr>
              <w:tab/>
              <w:t>2017</w:t>
            </w:r>
          </w:p>
        </w:tc>
        <w:tc>
          <w:tcPr>
            <w:tcW w:w="1864" w:type="dxa"/>
            <w:gridSpan w:val="2"/>
            <w:tcBorders>
              <w:right w:val="nil"/>
            </w:tcBorders>
            <w:shd w:val="clear" w:color="auto" w:fill="365F91"/>
            <w:vAlign w:val="bottom"/>
          </w:tcPr>
          <w:p w14:paraId="4CCD74EC" w14:textId="77777777" w:rsidR="0068777C" w:rsidRPr="00256982" w:rsidRDefault="0068777C" w:rsidP="0068777C">
            <w:pPr>
              <w:pStyle w:val="TableTextBold"/>
              <w:keepNext/>
              <w:jc w:val="center"/>
              <w:rPr>
                <w:noProof w:val="0"/>
                <w:color w:val="FFFFFF"/>
              </w:rPr>
            </w:pPr>
            <w:r w:rsidRPr="00256982">
              <w:rPr>
                <w:noProof w:val="0"/>
                <w:color w:val="FFFFFF"/>
              </w:rPr>
              <w:t>Change from 1990</w:t>
            </w:r>
          </w:p>
        </w:tc>
        <w:tc>
          <w:tcPr>
            <w:tcW w:w="1337" w:type="dxa"/>
            <w:gridSpan w:val="2"/>
            <w:tcBorders>
              <w:top w:val="nil"/>
              <w:left w:val="nil"/>
              <w:bottom w:val="nil"/>
              <w:right w:val="nil"/>
            </w:tcBorders>
            <w:shd w:val="clear" w:color="auto" w:fill="365F91"/>
            <w:vAlign w:val="bottom"/>
          </w:tcPr>
          <w:p w14:paraId="010B658B" w14:textId="77777777" w:rsidR="0068777C" w:rsidRPr="00256982" w:rsidRDefault="0068777C" w:rsidP="0068777C">
            <w:pPr>
              <w:pStyle w:val="TableTextBold"/>
              <w:keepNext/>
              <w:jc w:val="center"/>
              <w:rPr>
                <w:noProof w:val="0"/>
                <w:color w:val="FFFFFF"/>
              </w:rPr>
            </w:pPr>
            <w:r w:rsidRPr="00256982">
              <w:rPr>
                <w:noProof w:val="0"/>
                <w:color w:val="FFFFFF"/>
              </w:rPr>
              <w:t>Share of Enteric fermentation category (%)</w:t>
            </w:r>
          </w:p>
        </w:tc>
        <w:tc>
          <w:tcPr>
            <w:tcW w:w="1665" w:type="dxa"/>
            <w:gridSpan w:val="2"/>
            <w:tcBorders>
              <w:top w:val="nil"/>
              <w:left w:val="nil"/>
              <w:bottom w:val="nil"/>
              <w:right w:val="nil"/>
            </w:tcBorders>
            <w:shd w:val="clear" w:color="auto" w:fill="365F91"/>
            <w:vAlign w:val="bottom"/>
          </w:tcPr>
          <w:p w14:paraId="2D4336E0" w14:textId="77777777" w:rsidR="0068777C" w:rsidRPr="00256982" w:rsidRDefault="0068777C" w:rsidP="0068777C">
            <w:pPr>
              <w:pStyle w:val="TableTextBold"/>
              <w:keepNext/>
              <w:jc w:val="center"/>
              <w:rPr>
                <w:noProof w:val="0"/>
                <w:color w:val="FFFFFF"/>
              </w:rPr>
            </w:pPr>
            <w:r w:rsidRPr="00256982">
              <w:rPr>
                <w:noProof w:val="0"/>
                <w:color w:val="FFFFFF"/>
              </w:rPr>
              <w:t>Share of total Agriculture sector (%)</w:t>
            </w:r>
          </w:p>
        </w:tc>
      </w:tr>
      <w:tr w:rsidR="0068777C" w:rsidRPr="00256982" w14:paraId="2A4E890E" w14:textId="77777777" w:rsidTr="00501A5F">
        <w:tc>
          <w:tcPr>
            <w:tcW w:w="1643" w:type="dxa"/>
            <w:vMerge/>
            <w:shd w:val="clear" w:color="auto" w:fill="365F91"/>
            <w:vAlign w:val="bottom"/>
          </w:tcPr>
          <w:p w14:paraId="4FBF93F1" w14:textId="77777777" w:rsidR="0068777C" w:rsidRPr="00256982" w:rsidRDefault="0068777C" w:rsidP="0068777C">
            <w:pPr>
              <w:pStyle w:val="TableTextBold"/>
              <w:keepNext/>
              <w:rPr>
                <w:noProof w:val="0"/>
                <w:color w:val="FFFFFF"/>
              </w:rPr>
            </w:pPr>
          </w:p>
        </w:tc>
        <w:tc>
          <w:tcPr>
            <w:tcW w:w="1996" w:type="dxa"/>
            <w:gridSpan w:val="2"/>
            <w:vMerge/>
            <w:shd w:val="clear" w:color="auto" w:fill="365F91"/>
            <w:vAlign w:val="bottom"/>
          </w:tcPr>
          <w:p w14:paraId="039B56F0" w14:textId="77777777" w:rsidR="0068777C" w:rsidRPr="00256982" w:rsidRDefault="0068777C" w:rsidP="0068777C">
            <w:pPr>
              <w:pStyle w:val="TableTextBold"/>
              <w:keepNext/>
              <w:jc w:val="center"/>
              <w:rPr>
                <w:noProof w:val="0"/>
                <w:color w:val="FFFFFF"/>
              </w:rPr>
            </w:pPr>
          </w:p>
        </w:tc>
        <w:tc>
          <w:tcPr>
            <w:tcW w:w="804" w:type="dxa"/>
            <w:shd w:val="clear" w:color="auto" w:fill="365F91"/>
            <w:vAlign w:val="bottom"/>
          </w:tcPr>
          <w:p w14:paraId="7962F0D4" w14:textId="77777777" w:rsidR="0068777C" w:rsidRPr="00256982" w:rsidRDefault="0068777C" w:rsidP="0068777C">
            <w:pPr>
              <w:pStyle w:val="TableTextBold"/>
              <w:keepNext/>
              <w:spacing w:before="0"/>
              <w:jc w:val="right"/>
              <w:rPr>
                <w:noProof w:val="0"/>
                <w:color w:val="FFFFFF"/>
              </w:rPr>
            </w:pPr>
            <w:r w:rsidRPr="00256982">
              <w:rPr>
                <w:noProof w:val="0"/>
                <w:color w:val="FFFFFF"/>
              </w:rPr>
              <w:t>%</w:t>
            </w:r>
          </w:p>
        </w:tc>
        <w:tc>
          <w:tcPr>
            <w:tcW w:w="1060" w:type="dxa"/>
            <w:tcBorders>
              <w:right w:val="nil"/>
            </w:tcBorders>
            <w:shd w:val="clear" w:color="auto" w:fill="365F91"/>
            <w:vAlign w:val="bottom"/>
          </w:tcPr>
          <w:p w14:paraId="63BDE555" w14:textId="77777777" w:rsidR="0068777C" w:rsidRPr="00256982" w:rsidRDefault="0068777C" w:rsidP="0068777C">
            <w:pPr>
              <w:pStyle w:val="TableTextBold"/>
              <w:keepNext/>
              <w:spacing w:before="0"/>
              <w:jc w:val="right"/>
              <w:rPr>
                <w:noProof w:val="0"/>
                <w:color w:val="FFFFFF"/>
              </w:rPr>
            </w:pPr>
            <w:r w:rsidRPr="00256982">
              <w:rPr>
                <w:noProof w:val="0"/>
                <w:color w:val="FFFFFF"/>
              </w:rPr>
              <w:t>kt CO</w:t>
            </w:r>
            <w:r w:rsidRPr="00256982">
              <w:rPr>
                <w:noProof w:val="0"/>
                <w:color w:val="FFFFFF"/>
                <w:vertAlign w:val="subscript"/>
              </w:rPr>
              <w:t>2</w:t>
            </w:r>
            <w:r w:rsidRPr="00256982">
              <w:rPr>
                <w:noProof w:val="0"/>
                <w:color w:val="FFFFFF"/>
              </w:rPr>
              <w:t>-e</w:t>
            </w:r>
          </w:p>
        </w:tc>
        <w:tc>
          <w:tcPr>
            <w:tcW w:w="631" w:type="dxa"/>
            <w:tcBorders>
              <w:top w:val="nil"/>
              <w:left w:val="nil"/>
              <w:bottom w:val="nil"/>
              <w:right w:val="nil"/>
            </w:tcBorders>
            <w:shd w:val="clear" w:color="auto" w:fill="365F91"/>
            <w:vAlign w:val="bottom"/>
          </w:tcPr>
          <w:p w14:paraId="0713D283" w14:textId="77777777" w:rsidR="0068777C" w:rsidRPr="00256982" w:rsidRDefault="0068777C" w:rsidP="0068777C">
            <w:pPr>
              <w:pStyle w:val="TableTextBold"/>
              <w:keepNext/>
              <w:spacing w:before="0"/>
              <w:jc w:val="right"/>
              <w:rPr>
                <w:noProof w:val="0"/>
                <w:color w:val="FFFFFF"/>
              </w:rPr>
            </w:pPr>
            <w:r w:rsidRPr="00256982">
              <w:rPr>
                <w:noProof w:val="0"/>
                <w:color w:val="FFFFFF"/>
              </w:rPr>
              <w:t xml:space="preserve">1990 </w:t>
            </w:r>
          </w:p>
        </w:tc>
        <w:tc>
          <w:tcPr>
            <w:tcW w:w="706" w:type="dxa"/>
            <w:tcBorders>
              <w:top w:val="nil"/>
              <w:left w:val="nil"/>
              <w:bottom w:val="nil"/>
              <w:right w:val="nil"/>
            </w:tcBorders>
            <w:shd w:val="clear" w:color="auto" w:fill="365F91"/>
            <w:vAlign w:val="bottom"/>
          </w:tcPr>
          <w:p w14:paraId="1E7F9CE5" w14:textId="77777777" w:rsidR="0068777C" w:rsidRPr="00256982" w:rsidRDefault="0068777C" w:rsidP="0068777C">
            <w:pPr>
              <w:pStyle w:val="TableTextBold"/>
              <w:keepNext/>
              <w:spacing w:before="0"/>
              <w:jc w:val="right"/>
              <w:rPr>
                <w:noProof w:val="0"/>
                <w:color w:val="FFFFFF"/>
              </w:rPr>
            </w:pPr>
            <w:r w:rsidRPr="00256982">
              <w:rPr>
                <w:noProof w:val="0"/>
                <w:color w:val="FFFFFF"/>
              </w:rPr>
              <w:t>2017</w:t>
            </w:r>
          </w:p>
        </w:tc>
        <w:tc>
          <w:tcPr>
            <w:tcW w:w="795" w:type="dxa"/>
            <w:tcBorders>
              <w:top w:val="nil"/>
              <w:left w:val="nil"/>
              <w:bottom w:val="nil"/>
              <w:right w:val="nil"/>
            </w:tcBorders>
            <w:shd w:val="clear" w:color="auto" w:fill="365F91"/>
            <w:vAlign w:val="bottom"/>
          </w:tcPr>
          <w:p w14:paraId="20B2C49A" w14:textId="77777777" w:rsidR="0068777C" w:rsidRPr="00256982" w:rsidRDefault="0068777C" w:rsidP="0068777C">
            <w:pPr>
              <w:pStyle w:val="TableTextBold"/>
              <w:keepNext/>
              <w:spacing w:before="0"/>
              <w:jc w:val="right"/>
              <w:rPr>
                <w:noProof w:val="0"/>
                <w:color w:val="FFFFFF"/>
              </w:rPr>
            </w:pPr>
            <w:r w:rsidRPr="00256982">
              <w:rPr>
                <w:noProof w:val="0"/>
                <w:color w:val="FFFFFF"/>
              </w:rPr>
              <w:t>1990</w:t>
            </w:r>
          </w:p>
        </w:tc>
        <w:tc>
          <w:tcPr>
            <w:tcW w:w="870" w:type="dxa"/>
            <w:tcBorders>
              <w:top w:val="nil"/>
              <w:left w:val="nil"/>
              <w:bottom w:val="nil"/>
              <w:right w:val="nil"/>
            </w:tcBorders>
            <w:shd w:val="clear" w:color="auto" w:fill="365F91"/>
            <w:vAlign w:val="bottom"/>
          </w:tcPr>
          <w:p w14:paraId="052CFF65" w14:textId="77777777" w:rsidR="0068777C" w:rsidRPr="00256982" w:rsidRDefault="0068777C" w:rsidP="0068777C">
            <w:pPr>
              <w:pStyle w:val="TableTextBold"/>
              <w:keepNext/>
              <w:spacing w:before="0"/>
              <w:jc w:val="center"/>
              <w:rPr>
                <w:noProof w:val="0"/>
                <w:color w:val="FFFFFF"/>
              </w:rPr>
            </w:pPr>
            <w:r w:rsidRPr="00256982">
              <w:rPr>
                <w:noProof w:val="0"/>
                <w:color w:val="FFFFFF"/>
              </w:rPr>
              <w:t xml:space="preserve"> 2017</w:t>
            </w:r>
          </w:p>
        </w:tc>
      </w:tr>
      <w:tr w:rsidR="0068777C" w:rsidRPr="00256982" w14:paraId="66263283" w14:textId="77777777" w:rsidTr="00501A5F">
        <w:tc>
          <w:tcPr>
            <w:tcW w:w="1643" w:type="dxa"/>
            <w:shd w:val="clear" w:color="auto" w:fill="auto"/>
          </w:tcPr>
          <w:p w14:paraId="21EC9CE1" w14:textId="77777777" w:rsidR="0068777C" w:rsidRPr="00256982" w:rsidRDefault="0068777C" w:rsidP="00773D22">
            <w:pPr>
              <w:pStyle w:val="TableText"/>
            </w:pPr>
            <w:r w:rsidRPr="00256982">
              <w:t>Dairy cattle</w:t>
            </w:r>
          </w:p>
        </w:tc>
        <w:tc>
          <w:tcPr>
            <w:tcW w:w="998" w:type="dxa"/>
            <w:shd w:val="clear" w:color="auto" w:fill="auto"/>
          </w:tcPr>
          <w:p w14:paraId="0D4B1F76" w14:textId="77777777" w:rsidR="0068777C" w:rsidRPr="00256982" w:rsidRDefault="0068777C" w:rsidP="00773D22">
            <w:pPr>
              <w:pStyle w:val="TableText"/>
              <w:jc w:val="right"/>
            </w:pPr>
            <w:r w:rsidRPr="00256982">
              <w:t>5,928.0</w:t>
            </w:r>
          </w:p>
        </w:tc>
        <w:tc>
          <w:tcPr>
            <w:tcW w:w="998" w:type="dxa"/>
            <w:shd w:val="clear" w:color="auto" w:fill="auto"/>
          </w:tcPr>
          <w:p w14:paraId="16029C6E" w14:textId="77777777" w:rsidR="0068777C" w:rsidRPr="00256982" w:rsidRDefault="0068777C" w:rsidP="00773D22">
            <w:pPr>
              <w:pStyle w:val="TableText"/>
              <w:jc w:val="right"/>
            </w:pPr>
            <w:r w:rsidRPr="00256982">
              <w:t>13,560.1</w:t>
            </w:r>
          </w:p>
        </w:tc>
        <w:tc>
          <w:tcPr>
            <w:tcW w:w="804" w:type="dxa"/>
            <w:shd w:val="clear" w:color="auto" w:fill="auto"/>
          </w:tcPr>
          <w:p w14:paraId="7D37E207" w14:textId="77777777" w:rsidR="0068777C" w:rsidRPr="00256982" w:rsidRDefault="0068777C" w:rsidP="00773D22">
            <w:pPr>
              <w:pStyle w:val="TableText"/>
              <w:jc w:val="right"/>
            </w:pPr>
            <w:r w:rsidRPr="00256982">
              <w:t>128.7</w:t>
            </w:r>
          </w:p>
        </w:tc>
        <w:tc>
          <w:tcPr>
            <w:tcW w:w="1060" w:type="dxa"/>
            <w:shd w:val="clear" w:color="auto" w:fill="auto"/>
          </w:tcPr>
          <w:p w14:paraId="63E71DFA" w14:textId="77777777" w:rsidR="0068777C" w:rsidRPr="00256982" w:rsidRDefault="0068777C" w:rsidP="00773D22">
            <w:pPr>
              <w:pStyle w:val="TableText"/>
              <w:jc w:val="right"/>
            </w:pPr>
            <w:r w:rsidRPr="00256982">
              <w:t>7,632.1</w:t>
            </w:r>
          </w:p>
        </w:tc>
        <w:tc>
          <w:tcPr>
            <w:tcW w:w="631" w:type="dxa"/>
            <w:tcBorders>
              <w:top w:val="nil"/>
            </w:tcBorders>
            <w:shd w:val="clear" w:color="auto" w:fill="auto"/>
          </w:tcPr>
          <w:p w14:paraId="3475EE57" w14:textId="77777777" w:rsidR="0068777C" w:rsidRPr="00256982" w:rsidRDefault="0068777C" w:rsidP="00773D22">
            <w:pPr>
              <w:pStyle w:val="TableText"/>
              <w:jc w:val="right"/>
            </w:pPr>
            <w:r w:rsidRPr="00256982">
              <w:t>22.4</w:t>
            </w:r>
          </w:p>
        </w:tc>
        <w:tc>
          <w:tcPr>
            <w:tcW w:w="706" w:type="dxa"/>
            <w:tcBorders>
              <w:top w:val="nil"/>
            </w:tcBorders>
            <w:shd w:val="clear" w:color="auto" w:fill="auto"/>
          </w:tcPr>
          <w:p w14:paraId="2B455660" w14:textId="77777777" w:rsidR="0068777C" w:rsidRPr="00256982" w:rsidRDefault="0068777C" w:rsidP="00773D22">
            <w:pPr>
              <w:pStyle w:val="TableText"/>
              <w:jc w:val="right"/>
            </w:pPr>
            <w:r w:rsidRPr="00256982">
              <w:t>49.0</w:t>
            </w:r>
          </w:p>
        </w:tc>
        <w:tc>
          <w:tcPr>
            <w:tcW w:w="795" w:type="dxa"/>
            <w:tcBorders>
              <w:top w:val="nil"/>
            </w:tcBorders>
            <w:shd w:val="clear" w:color="auto" w:fill="auto"/>
          </w:tcPr>
          <w:p w14:paraId="1E0F6164" w14:textId="77777777" w:rsidR="0068777C" w:rsidRPr="00256982" w:rsidRDefault="0068777C" w:rsidP="00773D22">
            <w:pPr>
              <w:pStyle w:val="TableText"/>
              <w:jc w:val="right"/>
            </w:pPr>
            <w:r w:rsidRPr="00256982">
              <w:t>17.3</w:t>
            </w:r>
          </w:p>
        </w:tc>
        <w:tc>
          <w:tcPr>
            <w:tcW w:w="870" w:type="dxa"/>
            <w:tcBorders>
              <w:top w:val="nil"/>
            </w:tcBorders>
            <w:shd w:val="clear" w:color="auto" w:fill="auto"/>
          </w:tcPr>
          <w:p w14:paraId="4F17FBDD" w14:textId="77777777" w:rsidR="0068777C" w:rsidRPr="00256982" w:rsidRDefault="0068777C" w:rsidP="00773D22">
            <w:pPr>
              <w:pStyle w:val="TableText"/>
              <w:jc w:val="right"/>
            </w:pPr>
            <w:r w:rsidRPr="00256982">
              <w:t>34.9</w:t>
            </w:r>
          </w:p>
        </w:tc>
      </w:tr>
      <w:tr w:rsidR="0068777C" w:rsidRPr="00256982" w14:paraId="5AE98FE5" w14:textId="77777777" w:rsidTr="00501A5F">
        <w:tc>
          <w:tcPr>
            <w:tcW w:w="1643" w:type="dxa"/>
            <w:shd w:val="clear" w:color="auto" w:fill="auto"/>
          </w:tcPr>
          <w:p w14:paraId="626CB4A3" w14:textId="77777777" w:rsidR="0068777C" w:rsidRPr="00256982" w:rsidRDefault="0068777C" w:rsidP="00773D22">
            <w:pPr>
              <w:pStyle w:val="TableText"/>
            </w:pPr>
            <w:r w:rsidRPr="00256982">
              <w:t>Non-dairy cattle</w:t>
            </w:r>
          </w:p>
        </w:tc>
        <w:tc>
          <w:tcPr>
            <w:tcW w:w="998" w:type="dxa"/>
            <w:shd w:val="clear" w:color="auto" w:fill="auto"/>
          </w:tcPr>
          <w:p w14:paraId="7F5AC460" w14:textId="77777777" w:rsidR="0068777C" w:rsidRPr="00256982" w:rsidRDefault="0068777C" w:rsidP="00773D22">
            <w:pPr>
              <w:pStyle w:val="TableText"/>
              <w:jc w:val="right"/>
            </w:pPr>
            <w:r w:rsidRPr="00256982">
              <w:t>5,723.4</w:t>
            </w:r>
          </w:p>
        </w:tc>
        <w:tc>
          <w:tcPr>
            <w:tcW w:w="998" w:type="dxa"/>
            <w:shd w:val="clear" w:color="auto" w:fill="auto"/>
          </w:tcPr>
          <w:p w14:paraId="582C9E0B" w14:textId="77777777" w:rsidR="0068777C" w:rsidRPr="00256982" w:rsidRDefault="0068777C" w:rsidP="00773D22">
            <w:pPr>
              <w:pStyle w:val="TableText"/>
              <w:jc w:val="right"/>
            </w:pPr>
            <w:r w:rsidRPr="00256982">
              <w:t>5,298.0</w:t>
            </w:r>
          </w:p>
        </w:tc>
        <w:tc>
          <w:tcPr>
            <w:tcW w:w="804" w:type="dxa"/>
            <w:shd w:val="clear" w:color="auto" w:fill="auto"/>
          </w:tcPr>
          <w:p w14:paraId="42B7FFE9" w14:textId="77777777" w:rsidR="0068777C" w:rsidRPr="00256982" w:rsidRDefault="0068777C" w:rsidP="00773D22">
            <w:pPr>
              <w:pStyle w:val="TableText"/>
              <w:jc w:val="right"/>
            </w:pPr>
            <w:r w:rsidRPr="00256982">
              <w:t>–7.4</w:t>
            </w:r>
          </w:p>
        </w:tc>
        <w:tc>
          <w:tcPr>
            <w:tcW w:w="1060" w:type="dxa"/>
            <w:shd w:val="clear" w:color="auto" w:fill="auto"/>
          </w:tcPr>
          <w:p w14:paraId="27E16769" w14:textId="77777777" w:rsidR="0068777C" w:rsidRPr="00256982" w:rsidRDefault="0068777C" w:rsidP="00773D22">
            <w:pPr>
              <w:pStyle w:val="TableText"/>
              <w:jc w:val="right"/>
            </w:pPr>
            <w:r w:rsidRPr="00256982">
              <w:t>–425.4</w:t>
            </w:r>
          </w:p>
        </w:tc>
        <w:tc>
          <w:tcPr>
            <w:tcW w:w="631" w:type="dxa"/>
            <w:shd w:val="clear" w:color="auto" w:fill="auto"/>
          </w:tcPr>
          <w:p w14:paraId="0D48F1DA" w14:textId="77777777" w:rsidR="0068777C" w:rsidRPr="00256982" w:rsidRDefault="0068777C" w:rsidP="00773D22">
            <w:pPr>
              <w:pStyle w:val="TableText"/>
              <w:jc w:val="right"/>
            </w:pPr>
            <w:r w:rsidRPr="00256982">
              <w:t>21.7</w:t>
            </w:r>
          </w:p>
        </w:tc>
        <w:tc>
          <w:tcPr>
            <w:tcW w:w="706" w:type="dxa"/>
            <w:shd w:val="clear" w:color="auto" w:fill="auto"/>
          </w:tcPr>
          <w:p w14:paraId="4272EF58" w14:textId="77777777" w:rsidR="0068777C" w:rsidRPr="00256982" w:rsidRDefault="0068777C" w:rsidP="00773D22">
            <w:pPr>
              <w:pStyle w:val="TableText"/>
              <w:jc w:val="right"/>
            </w:pPr>
            <w:r w:rsidRPr="00256982">
              <w:t>19.2</w:t>
            </w:r>
          </w:p>
        </w:tc>
        <w:tc>
          <w:tcPr>
            <w:tcW w:w="795" w:type="dxa"/>
            <w:shd w:val="clear" w:color="auto" w:fill="auto"/>
          </w:tcPr>
          <w:p w14:paraId="4E54D0D2" w14:textId="77777777" w:rsidR="0068777C" w:rsidRPr="00256982" w:rsidRDefault="0068777C" w:rsidP="00773D22">
            <w:pPr>
              <w:pStyle w:val="TableText"/>
              <w:jc w:val="right"/>
            </w:pPr>
            <w:r w:rsidRPr="00256982">
              <w:t>16.7</w:t>
            </w:r>
          </w:p>
        </w:tc>
        <w:tc>
          <w:tcPr>
            <w:tcW w:w="870" w:type="dxa"/>
            <w:shd w:val="clear" w:color="auto" w:fill="auto"/>
          </w:tcPr>
          <w:p w14:paraId="26DBD791" w14:textId="77777777" w:rsidR="0068777C" w:rsidRPr="00256982" w:rsidRDefault="0068777C" w:rsidP="00773D22">
            <w:pPr>
              <w:pStyle w:val="TableText"/>
              <w:jc w:val="right"/>
            </w:pPr>
            <w:r w:rsidRPr="00256982">
              <w:t>13.6</w:t>
            </w:r>
          </w:p>
        </w:tc>
      </w:tr>
      <w:tr w:rsidR="0068777C" w:rsidRPr="00256982" w14:paraId="61FB5BB1" w14:textId="77777777" w:rsidTr="00501A5F">
        <w:tc>
          <w:tcPr>
            <w:tcW w:w="1643" w:type="dxa"/>
            <w:shd w:val="clear" w:color="auto" w:fill="auto"/>
          </w:tcPr>
          <w:p w14:paraId="4D422333" w14:textId="77777777" w:rsidR="0068777C" w:rsidRPr="00256982" w:rsidRDefault="0068777C" w:rsidP="00773D22">
            <w:pPr>
              <w:pStyle w:val="TableText"/>
            </w:pPr>
            <w:r w:rsidRPr="00256982">
              <w:t>Sheep</w:t>
            </w:r>
          </w:p>
        </w:tc>
        <w:tc>
          <w:tcPr>
            <w:tcW w:w="998" w:type="dxa"/>
            <w:shd w:val="clear" w:color="auto" w:fill="auto"/>
          </w:tcPr>
          <w:p w14:paraId="7D4D41A7" w14:textId="77777777" w:rsidR="0068777C" w:rsidRPr="00256982" w:rsidRDefault="0068777C" w:rsidP="00773D22">
            <w:pPr>
              <w:pStyle w:val="TableText"/>
              <w:jc w:val="right"/>
            </w:pPr>
            <w:r w:rsidRPr="00256982">
              <w:t>14,085.7</w:t>
            </w:r>
          </w:p>
        </w:tc>
        <w:tc>
          <w:tcPr>
            <w:tcW w:w="998" w:type="dxa"/>
            <w:shd w:val="clear" w:color="auto" w:fill="auto"/>
          </w:tcPr>
          <w:p w14:paraId="17DC939D" w14:textId="77777777" w:rsidR="0068777C" w:rsidRPr="00256982" w:rsidRDefault="0068777C" w:rsidP="00773D22">
            <w:pPr>
              <w:pStyle w:val="TableText"/>
              <w:jc w:val="right"/>
            </w:pPr>
            <w:r w:rsidRPr="00256982">
              <w:t>8,253.1</w:t>
            </w:r>
          </w:p>
        </w:tc>
        <w:tc>
          <w:tcPr>
            <w:tcW w:w="804" w:type="dxa"/>
            <w:shd w:val="clear" w:color="auto" w:fill="auto"/>
          </w:tcPr>
          <w:p w14:paraId="0417AFE7" w14:textId="77777777" w:rsidR="0068777C" w:rsidRPr="00256982" w:rsidRDefault="0068777C" w:rsidP="00773D22">
            <w:pPr>
              <w:pStyle w:val="TableText"/>
              <w:jc w:val="right"/>
            </w:pPr>
            <w:r w:rsidRPr="00256982">
              <w:t>–41.4</w:t>
            </w:r>
          </w:p>
        </w:tc>
        <w:tc>
          <w:tcPr>
            <w:tcW w:w="1060" w:type="dxa"/>
            <w:shd w:val="clear" w:color="auto" w:fill="auto"/>
          </w:tcPr>
          <w:p w14:paraId="1BC3D76F" w14:textId="77777777" w:rsidR="0068777C" w:rsidRPr="00256982" w:rsidRDefault="0068777C" w:rsidP="00773D22">
            <w:pPr>
              <w:pStyle w:val="TableText"/>
              <w:jc w:val="right"/>
            </w:pPr>
            <w:r w:rsidRPr="00256982">
              <w:t>–5,832.6</w:t>
            </w:r>
          </w:p>
        </w:tc>
        <w:tc>
          <w:tcPr>
            <w:tcW w:w="631" w:type="dxa"/>
            <w:shd w:val="clear" w:color="auto" w:fill="auto"/>
          </w:tcPr>
          <w:p w14:paraId="432C7EBD" w14:textId="77777777" w:rsidR="0068777C" w:rsidRPr="00256982" w:rsidRDefault="0068777C" w:rsidP="00773D22">
            <w:pPr>
              <w:pStyle w:val="TableText"/>
              <w:jc w:val="right"/>
            </w:pPr>
            <w:r w:rsidRPr="00256982">
              <w:t>53.3</w:t>
            </w:r>
          </w:p>
        </w:tc>
        <w:tc>
          <w:tcPr>
            <w:tcW w:w="706" w:type="dxa"/>
            <w:shd w:val="clear" w:color="auto" w:fill="auto"/>
          </w:tcPr>
          <w:p w14:paraId="1D06E218" w14:textId="77777777" w:rsidR="0068777C" w:rsidRPr="00256982" w:rsidRDefault="0068777C" w:rsidP="00773D22">
            <w:pPr>
              <w:pStyle w:val="TableText"/>
              <w:jc w:val="right"/>
            </w:pPr>
            <w:r w:rsidRPr="00256982">
              <w:t>29.9</w:t>
            </w:r>
          </w:p>
        </w:tc>
        <w:tc>
          <w:tcPr>
            <w:tcW w:w="795" w:type="dxa"/>
            <w:shd w:val="clear" w:color="auto" w:fill="auto"/>
          </w:tcPr>
          <w:p w14:paraId="2C1C667F" w14:textId="77777777" w:rsidR="0068777C" w:rsidRPr="00256982" w:rsidRDefault="0068777C" w:rsidP="00773D22">
            <w:pPr>
              <w:pStyle w:val="TableText"/>
              <w:jc w:val="right"/>
            </w:pPr>
            <w:r w:rsidRPr="00256982">
              <w:t>41.1</w:t>
            </w:r>
          </w:p>
        </w:tc>
        <w:tc>
          <w:tcPr>
            <w:tcW w:w="870" w:type="dxa"/>
            <w:shd w:val="clear" w:color="auto" w:fill="auto"/>
          </w:tcPr>
          <w:p w14:paraId="5894DD51" w14:textId="77777777" w:rsidR="0068777C" w:rsidRPr="00256982" w:rsidRDefault="0068777C" w:rsidP="00773D22">
            <w:pPr>
              <w:pStyle w:val="TableText"/>
              <w:jc w:val="right"/>
            </w:pPr>
            <w:r w:rsidRPr="00256982">
              <w:t>21.2</w:t>
            </w:r>
          </w:p>
        </w:tc>
      </w:tr>
      <w:tr w:rsidR="0068777C" w:rsidRPr="00256982" w14:paraId="4A0587E7" w14:textId="77777777" w:rsidTr="00501A5F">
        <w:tc>
          <w:tcPr>
            <w:tcW w:w="1643" w:type="dxa"/>
            <w:shd w:val="clear" w:color="auto" w:fill="auto"/>
          </w:tcPr>
          <w:p w14:paraId="02F98B64" w14:textId="77777777" w:rsidR="0068777C" w:rsidRPr="00256982" w:rsidRDefault="0068777C" w:rsidP="00773D22">
            <w:pPr>
              <w:pStyle w:val="TableText"/>
            </w:pPr>
            <w:r w:rsidRPr="00256982">
              <w:t>Deer</w:t>
            </w:r>
          </w:p>
        </w:tc>
        <w:tc>
          <w:tcPr>
            <w:tcW w:w="998" w:type="dxa"/>
            <w:shd w:val="clear" w:color="auto" w:fill="auto"/>
          </w:tcPr>
          <w:p w14:paraId="3A6538FF" w14:textId="77777777" w:rsidR="0068777C" w:rsidRPr="00256982" w:rsidRDefault="0068777C" w:rsidP="00773D22">
            <w:pPr>
              <w:pStyle w:val="TableText"/>
              <w:jc w:val="right"/>
            </w:pPr>
            <w:r w:rsidRPr="00256982">
              <w:t>434.1</w:t>
            </w:r>
          </w:p>
        </w:tc>
        <w:tc>
          <w:tcPr>
            <w:tcW w:w="998" w:type="dxa"/>
            <w:shd w:val="clear" w:color="auto" w:fill="auto"/>
          </w:tcPr>
          <w:p w14:paraId="584854EC" w14:textId="77777777" w:rsidR="0068777C" w:rsidRPr="00256982" w:rsidRDefault="0068777C" w:rsidP="00773D22">
            <w:pPr>
              <w:pStyle w:val="TableText"/>
              <w:jc w:val="right"/>
            </w:pPr>
            <w:r w:rsidRPr="00256982">
              <w:t>486.0</w:t>
            </w:r>
          </w:p>
        </w:tc>
        <w:tc>
          <w:tcPr>
            <w:tcW w:w="804" w:type="dxa"/>
            <w:shd w:val="clear" w:color="auto" w:fill="auto"/>
          </w:tcPr>
          <w:p w14:paraId="69EEBABF" w14:textId="77777777" w:rsidR="0068777C" w:rsidRPr="00256982" w:rsidRDefault="0068777C" w:rsidP="00773D22">
            <w:pPr>
              <w:pStyle w:val="TableText"/>
              <w:jc w:val="right"/>
            </w:pPr>
            <w:r w:rsidRPr="00256982">
              <w:t>12.0</w:t>
            </w:r>
          </w:p>
        </w:tc>
        <w:tc>
          <w:tcPr>
            <w:tcW w:w="1060" w:type="dxa"/>
            <w:shd w:val="clear" w:color="auto" w:fill="auto"/>
          </w:tcPr>
          <w:p w14:paraId="067F2980" w14:textId="77777777" w:rsidR="0068777C" w:rsidRPr="00256982" w:rsidRDefault="0068777C" w:rsidP="00773D22">
            <w:pPr>
              <w:pStyle w:val="TableText"/>
              <w:jc w:val="right"/>
            </w:pPr>
            <w:r w:rsidRPr="00256982">
              <w:t>52.0</w:t>
            </w:r>
          </w:p>
        </w:tc>
        <w:tc>
          <w:tcPr>
            <w:tcW w:w="631" w:type="dxa"/>
            <w:shd w:val="clear" w:color="auto" w:fill="auto"/>
          </w:tcPr>
          <w:p w14:paraId="5767CD7E" w14:textId="77777777" w:rsidR="0068777C" w:rsidRPr="00256982" w:rsidRDefault="0068777C" w:rsidP="00773D22">
            <w:pPr>
              <w:pStyle w:val="TableText"/>
              <w:jc w:val="right"/>
            </w:pPr>
            <w:r w:rsidRPr="00256982">
              <w:t>1.6</w:t>
            </w:r>
          </w:p>
        </w:tc>
        <w:tc>
          <w:tcPr>
            <w:tcW w:w="706" w:type="dxa"/>
            <w:shd w:val="clear" w:color="auto" w:fill="auto"/>
          </w:tcPr>
          <w:p w14:paraId="44434B3E" w14:textId="77777777" w:rsidR="0068777C" w:rsidRPr="00256982" w:rsidRDefault="0068777C" w:rsidP="00773D22">
            <w:pPr>
              <w:pStyle w:val="TableText"/>
              <w:jc w:val="right"/>
            </w:pPr>
            <w:r w:rsidRPr="00256982">
              <w:t>1.8</w:t>
            </w:r>
          </w:p>
        </w:tc>
        <w:tc>
          <w:tcPr>
            <w:tcW w:w="795" w:type="dxa"/>
            <w:shd w:val="clear" w:color="auto" w:fill="auto"/>
          </w:tcPr>
          <w:p w14:paraId="64AA55A6" w14:textId="77777777" w:rsidR="0068777C" w:rsidRPr="00256982" w:rsidRDefault="0068777C" w:rsidP="00773D22">
            <w:pPr>
              <w:pStyle w:val="TableText"/>
              <w:jc w:val="right"/>
            </w:pPr>
            <w:r w:rsidRPr="00256982">
              <w:t>1.3</w:t>
            </w:r>
          </w:p>
        </w:tc>
        <w:tc>
          <w:tcPr>
            <w:tcW w:w="870" w:type="dxa"/>
            <w:shd w:val="clear" w:color="auto" w:fill="auto"/>
          </w:tcPr>
          <w:p w14:paraId="75A4B01F" w14:textId="77777777" w:rsidR="0068777C" w:rsidRPr="00256982" w:rsidRDefault="0068777C" w:rsidP="00773D22">
            <w:pPr>
              <w:pStyle w:val="TableText"/>
              <w:jc w:val="right"/>
            </w:pPr>
            <w:r w:rsidRPr="00256982">
              <w:t>1.3</w:t>
            </w:r>
          </w:p>
        </w:tc>
      </w:tr>
      <w:tr w:rsidR="0068777C" w:rsidRPr="00256982" w14:paraId="295A3B9F" w14:textId="77777777" w:rsidTr="00501A5F">
        <w:tc>
          <w:tcPr>
            <w:tcW w:w="1643" w:type="dxa"/>
            <w:shd w:val="clear" w:color="auto" w:fill="auto"/>
          </w:tcPr>
          <w:p w14:paraId="513B7F76" w14:textId="77777777" w:rsidR="0068777C" w:rsidRPr="00256982" w:rsidRDefault="0068777C" w:rsidP="00773D22">
            <w:pPr>
              <w:pStyle w:val="TableText"/>
            </w:pPr>
            <w:r w:rsidRPr="00256982">
              <w:t>Minor livestock</w:t>
            </w:r>
          </w:p>
        </w:tc>
        <w:tc>
          <w:tcPr>
            <w:tcW w:w="998" w:type="dxa"/>
            <w:shd w:val="clear" w:color="auto" w:fill="auto"/>
          </w:tcPr>
          <w:p w14:paraId="7295A3D6" w14:textId="77777777" w:rsidR="0068777C" w:rsidRPr="00256982" w:rsidRDefault="0068777C" w:rsidP="00773D22">
            <w:pPr>
              <w:pStyle w:val="TableText"/>
              <w:jc w:val="right"/>
            </w:pPr>
            <w:r w:rsidRPr="00256982">
              <w:t>249.5</w:t>
            </w:r>
          </w:p>
        </w:tc>
        <w:tc>
          <w:tcPr>
            <w:tcW w:w="998" w:type="dxa"/>
            <w:shd w:val="clear" w:color="auto" w:fill="auto"/>
          </w:tcPr>
          <w:p w14:paraId="71BB3E01" w14:textId="77777777" w:rsidR="0068777C" w:rsidRPr="00256982" w:rsidRDefault="0068777C" w:rsidP="00773D22">
            <w:pPr>
              <w:pStyle w:val="TableText"/>
              <w:jc w:val="right"/>
            </w:pPr>
            <w:r w:rsidRPr="00256982">
              <w:t>49.3</w:t>
            </w:r>
          </w:p>
        </w:tc>
        <w:tc>
          <w:tcPr>
            <w:tcW w:w="804" w:type="dxa"/>
            <w:shd w:val="clear" w:color="auto" w:fill="auto"/>
          </w:tcPr>
          <w:p w14:paraId="3746908B" w14:textId="77777777" w:rsidR="0068777C" w:rsidRPr="00256982" w:rsidRDefault="0068777C" w:rsidP="00773D22">
            <w:pPr>
              <w:pStyle w:val="TableText"/>
              <w:jc w:val="right"/>
            </w:pPr>
            <w:r w:rsidRPr="00256982">
              <w:t>–80.2</w:t>
            </w:r>
          </w:p>
        </w:tc>
        <w:tc>
          <w:tcPr>
            <w:tcW w:w="1060" w:type="dxa"/>
            <w:shd w:val="clear" w:color="auto" w:fill="auto"/>
          </w:tcPr>
          <w:p w14:paraId="2923F8CB" w14:textId="77777777" w:rsidR="0068777C" w:rsidRPr="00256982" w:rsidRDefault="0068777C" w:rsidP="00773D22">
            <w:pPr>
              <w:pStyle w:val="TableText"/>
              <w:jc w:val="right"/>
            </w:pPr>
            <w:r w:rsidRPr="00256982">
              <w:t>–200.2</w:t>
            </w:r>
          </w:p>
        </w:tc>
        <w:tc>
          <w:tcPr>
            <w:tcW w:w="631" w:type="dxa"/>
            <w:shd w:val="clear" w:color="auto" w:fill="auto"/>
          </w:tcPr>
          <w:p w14:paraId="640C447B" w14:textId="77777777" w:rsidR="0068777C" w:rsidRPr="00256982" w:rsidRDefault="0068777C" w:rsidP="00773D22">
            <w:pPr>
              <w:pStyle w:val="TableText"/>
              <w:jc w:val="right"/>
            </w:pPr>
            <w:r w:rsidRPr="00256982">
              <w:t>0.9</w:t>
            </w:r>
          </w:p>
        </w:tc>
        <w:tc>
          <w:tcPr>
            <w:tcW w:w="706" w:type="dxa"/>
            <w:shd w:val="clear" w:color="auto" w:fill="auto"/>
          </w:tcPr>
          <w:p w14:paraId="45AC207D" w14:textId="77777777" w:rsidR="0068777C" w:rsidRPr="00256982" w:rsidRDefault="0068777C" w:rsidP="00773D22">
            <w:pPr>
              <w:pStyle w:val="TableText"/>
              <w:jc w:val="right"/>
            </w:pPr>
            <w:r w:rsidRPr="00256982">
              <w:t>0.2</w:t>
            </w:r>
          </w:p>
        </w:tc>
        <w:tc>
          <w:tcPr>
            <w:tcW w:w="795" w:type="dxa"/>
            <w:shd w:val="clear" w:color="auto" w:fill="auto"/>
          </w:tcPr>
          <w:p w14:paraId="77673446" w14:textId="77777777" w:rsidR="0068777C" w:rsidRPr="00256982" w:rsidRDefault="0068777C" w:rsidP="00773D22">
            <w:pPr>
              <w:pStyle w:val="TableText"/>
              <w:jc w:val="right"/>
            </w:pPr>
            <w:r w:rsidRPr="00256982">
              <w:t>0.7</w:t>
            </w:r>
          </w:p>
        </w:tc>
        <w:tc>
          <w:tcPr>
            <w:tcW w:w="870" w:type="dxa"/>
            <w:shd w:val="clear" w:color="auto" w:fill="auto"/>
          </w:tcPr>
          <w:p w14:paraId="4D4D4B9A" w14:textId="77777777" w:rsidR="0068777C" w:rsidRPr="00256982" w:rsidRDefault="0068777C" w:rsidP="00773D22">
            <w:pPr>
              <w:pStyle w:val="TableText"/>
              <w:jc w:val="right"/>
            </w:pPr>
            <w:r w:rsidRPr="00256982">
              <w:t>0.1</w:t>
            </w:r>
          </w:p>
        </w:tc>
      </w:tr>
    </w:tbl>
    <w:p w14:paraId="05AE1317" w14:textId="77777777" w:rsidR="0068777C" w:rsidRPr="00256982" w:rsidRDefault="0068777C" w:rsidP="0068777C">
      <w:pPr>
        <w:pStyle w:val="Noteundertable"/>
      </w:pPr>
      <w:r w:rsidRPr="00256982">
        <w:rPr>
          <w:b/>
        </w:rPr>
        <w:t>Note</w:t>
      </w:r>
      <w:r w:rsidRPr="00256982">
        <w:t>: Percentages presented are calculated from unrounded values.</w:t>
      </w:r>
    </w:p>
    <w:p w14:paraId="021F020C" w14:textId="77777777" w:rsidR="0068777C" w:rsidRPr="00256982" w:rsidRDefault="0068777C" w:rsidP="0068777C">
      <w:pPr>
        <w:pStyle w:val="Heading3"/>
      </w:pPr>
      <w:r w:rsidRPr="00256982">
        <w:lastRenderedPageBreak/>
        <w:t>5.2.2</w:t>
      </w:r>
      <w:r w:rsidRPr="00256982">
        <w:tab/>
        <w:t>Methodological issues</w:t>
      </w:r>
      <w:bookmarkEnd w:id="528"/>
      <w:r w:rsidRPr="00256982">
        <w:t xml:space="preserve"> </w:t>
      </w:r>
    </w:p>
    <w:p w14:paraId="7A9E2BAC" w14:textId="77777777" w:rsidR="0068777C" w:rsidRPr="00256982" w:rsidRDefault="0068777C" w:rsidP="00A72006">
      <w:pPr>
        <w:pStyle w:val="Heading4"/>
      </w:pPr>
      <w:r w:rsidRPr="00256982">
        <w:t>Emissions from cattle and deer</w:t>
      </w:r>
    </w:p>
    <w:p w14:paraId="20FE50DC" w14:textId="77777777" w:rsidR="0068777C" w:rsidRPr="00256982" w:rsidRDefault="0068777C" w:rsidP="0068777C">
      <w:pPr>
        <w:pStyle w:val="BodyText"/>
      </w:pPr>
      <w:r w:rsidRPr="00256982">
        <w:t>Using the population characterisation and DMI per head calculated by New Zealand’s Tier 2 inventory model (see section 5.1.3), the total amount of CH</w:t>
      </w:r>
      <w:r w:rsidRPr="00256982">
        <w:rPr>
          <w:vertAlign w:val="subscript"/>
        </w:rPr>
        <w:t>4</w:t>
      </w:r>
      <w:r w:rsidRPr="00256982">
        <w:t xml:space="preserve"> emitted for cattle and deer is calculated using a CH</w:t>
      </w:r>
      <w:r w:rsidRPr="00256982">
        <w:rPr>
          <w:vertAlign w:val="subscript"/>
        </w:rPr>
        <w:t>4</w:t>
      </w:r>
      <w:r w:rsidRPr="00256982">
        <w:t xml:space="preserve"> conversion factor for emissions per unit of feed intake per livestock category (see figure 5.2.1). A more complex algorithm has been used to calculate enteric CH</w:t>
      </w:r>
      <w:r w:rsidRPr="00256982">
        <w:rPr>
          <w:vertAlign w:val="subscript"/>
        </w:rPr>
        <w:t>4</w:t>
      </w:r>
      <w:r w:rsidRPr="00256982">
        <w:t xml:space="preserve"> emissions from sheep, which was included for the first time in the 2017 National Inventory Report submission. Enteric CH</w:t>
      </w:r>
      <w:r w:rsidRPr="00256982">
        <w:rPr>
          <w:vertAlign w:val="subscript"/>
        </w:rPr>
        <w:t>4</w:t>
      </w:r>
      <w:r w:rsidRPr="00256982">
        <w:t xml:space="preserve"> emissions from sheep are discussed in the next section.</w:t>
      </w:r>
    </w:p>
    <w:p w14:paraId="5770DD90" w14:textId="77777777" w:rsidR="0068777C" w:rsidRPr="00256982" w:rsidRDefault="0068777C" w:rsidP="0068777C">
      <w:pPr>
        <w:pStyle w:val="Figure"/>
      </w:pPr>
      <w:bookmarkStart w:id="529" w:name="_Toc447275695"/>
      <w:bookmarkStart w:id="530" w:name="_Toc481752013"/>
      <w:bookmarkStart w:id="531" w:name="_Toc507158472"/>
      <w:bookmarkStart w:id="532" w:name="_Toc511116963"/>
      <w:bookmarkStart w:id="533" w:name="_Toc5269693"/>
      <w:bookmarkStart w:id="534" w:name="_Toc288316894"/>
      <w:bookmarkStart w:id="535" w:name="_Toc352505149"/>
      <w:r w:rsidRPr="00256982">
        <w:t>Figure 5.2.1</w:t>
      </w:r>
      <w:r w:rsidRPr="00256982">
        <w:tab/>
        <w:t>Schematic diagram showing how New Zealand’s emissions from enteric fermentation for cattle and deer are calculated</w:t>
      </w:r>
      <w:bookmarkEnd w:id="529"/>
      <w:bookmarkEnd w:id="530"/>
      <w:bookmarkEnd w:id="531"/>
      <w:bookmarkEnd w:id="532"/>
      <w:bookmarkEnd w:id="533"/>
    </w:p>
    <w:p w14:paraId="1FF0CEC2" w14:textId="77777777" w:rsidR="0068777C" w:rsidRPr="00256982" w:rsidRDefault="0068777C" w:rsidP="0068777C">
      <w:pPr>
        <w:pStyle w:val="BodyText"/>
        <w:jc w:val="center"/>
      </w:pPr>
      <w:r w:rsidRPr="00256982">
        <w:rPr>
          <w:rFonts w:eastAsia="Calibri"/>
        </w:rPr>
        <w:object w:dxaOrig="17777" w:dyaOrig="9203" w14:anchorId="4537DAB8">
          <v:shape id="_x0000_i1085" type="#_x0000_t75" style="width:396.75pt;height:209.25pt" o:ole="">
            <v:imagedata r:id="rId112" o:title="" cropright="6980f"/>
          </v:shape>
          <o:OLEObject Type="Embed" ProgID="Visio.Drawing.15" ShapeID="_x0000_i1085" DrawAspect="Content" ObjectID="_1616241199" r:id="rId113"/>
        </w:object>
      </w:r>
    </w:p>
    <w:bookmarkEnd w:id="534"/>
    <w:bookmarkEnd w:id="535"/>
    <w:p w14:paraId="74389C19" w14:textId="77777777" w:rsidR="0068777C" w:rsidRPr="00256982" w:rsidRDefault="0068777C" w:rsidP="0068777C">
      <w:pPr>
        <w:pStyle w:val="Noteundertable"/>
      </w:pPr>
      <w:r w:rsidRPr="00256982">
        <w:rPr>
          <w:b/>
        </w:rPr>
        <w:t>Note:</w:t>
      </w:r>
      <w:r w:rsidRPr="00256982">
        <w:t xml:space="preserve"> </w:t>
      </w:r>
      <w:r w:rsidRPr="00256982">
        <w:tab/>
        <w:t>CH</w:t>
      </w:r>
      <w:r w:rsidRPr="00256982">
        <w:rPr>
          <w:vertAlign w:val="subscript"/>
        </w:rPr>
        <w:t>4</w:t>
      </w:r>
      <w:r w:rsidRPr="00256982">
        <w:t xml:space="preserve"> = methane; DMI = dry-matter intake; GEI = gross energy intake.</w:t>
      </w:r>
    </w:p>
    <w:p w14:paraId="3AC9710E" w14:textId="77777777" w:rsidR="0068777C" w:rsidRPr="00256982" w:rsidRDefault="0068777C" w:rsidP="0068777C">
      <w:pPr>
        <w:pStyle w:val="BodyText"/>
        <w:keepNext/>
        <w:spacing w:before="240" w:after="60"/>
      </w:pPr>
      <w:r w:rsidRPr="00256982">
        <w:t>The equation for the total production of enteric CH</w:t>
      </w:r>
      <w:r w:rsidRPr="00256982">
        <w:rPr>
          <w:vertAlign w:val="subscript"/>
        </w:rPr>
        <w:t>4</w:t>
      </w:r>
      <w:r w:rsidRPr="00256982">
        <w:t xml:space="preserve"> for cattle and deer is:</w:t>
      </w:r>
    </w:p>
    <w:bookmarkStart w:id="536" w:name="_MON_1545052669"/>
    <w:bookmarkEnd w:id="536"/>
    <w:p w14:paraId="5D02F73B" w14:textId="77777777" w:rsidR="0068777C" w:rsidRPr="00256982" w:rsidRDefault="0068777C" w:rsidP="0068777C">
      <w:pPr>
        <w:pStyle w:val="BodyText"/>
        <w:spacing w:after="0"/>
        <w:jc w:val="center"/>
      </w:pPr>
      <w:r w:rsidRPr="00256982">
        <w:object w:dxaOrig="6671" w:dyaOrig="800" w14:anchorId="0ACEA415">
          <v:shape id="_x0000_i1086" type="#_x0000_t75" style="width:330pt;height:42pt" o:ole="">
            <v:imagedata r:id="rId114" o:title=""/>
          </v:shape>
          <o:OLEObject Type="Embed" ProgID="Word.Document.12" ShapeID="_x0000_i1086" DrawAspect="Content" ObjectID="_1616241200" r:id="rId115">
            <o:FieldCodes>\s</o:FieldCodes>
          </o:OLEObject>
        </w:object>
      </w:r>
    </w:p>
    <w:p w14:paraId="55D387C5" w14:textId="77777777" w:rsidR="0068777C" w:rsidRPr="00256982" w:rsidRDefault="0068777C" w:rsidP="0068777C">
      <w:pPr>
        <w:pStyle w:val="BodyText"/>
        <w:keepNext/>
        <w:spacing w:after="0"/>
        <w:ind w:left="964" w:hanging="964"/>
      </w:pPr>
      <w:r w:rsidRPr="00256982">
        <w:t xml:space="preserve">Where: </w:t>
      </w:r>
      <w:r w:rsidRPr="00256982">
        <w:tab/>
        <w:t>CH</w:t>
      </w:r>
      <w:r w:rsidRPr="00256982">
        <w:rPr>
          <w:vertAlign w:val="subscript"/>
        </w:rPr>
        <w:t>4-enteric</w:t>
      </w:r>
      <w:r w:rsidRPr="00256982">
        <w:t xml:space="preserve"> is the methane from enteric fermentation (kg CH</w:t>
      </w:r>
      <w:r w:rsidRPr="00256982">
        <w:rPr>
          <w:vertAlign w:val="subscript"/>
        </w:rPr>
        <w:t>4</w:t>
      </w:r>
      <w:r w:rsidRPr="00256982">
        <w:t>/year)</w:t>
      </w:r>
    </w:p>
    <w:p w14:paraId="2F0C7BA4" w14:textId="77777777" w:rsidR="0068777C" w:rsidRPr="00256982" w:rsidRDefault="0068777C" w:rsidP="0068777C">
      <w:pPr>
        <w:pStyle w:val="BodyText"/>
        <w:keepNext/>
        <w:spacing w:before="80" w:after="0"/>
        <w:ind w:left="964" w:hanging="964"/>
      </w:pPr>
      <w:r w:rsidRPr="00256982">
        <w:tab/>
        <w:t xml:space="preserve">Livestock type is cattle or deer </w:t>
      </w:r>
    </w:p>
    <w:p w14:paraId="0CF00BB6" w14:textId="77777777" w:rsidR="0068777C" w:rsidRPr="00256982" w:rsidRDefault="0068777C" w:rsidP="0068777C">
      <w:pPr>
        <w:pStyle w:val="BodyText"/>
        <w:keepNext/>
        <w:spacing w:before="80" w:after="0"/>
        <w:ind w:left="964" w:hanging="964"/>
      </w:pPr>
      <w:r w:rsidRPr="00256982">
        <w:tab/>
        <w:t>n is the population of each livestock category (head)</w:t>
      </w:r>
    </w:p>
    <w:p w14:paraId="6FFE0361" w14:textId="77777777" w:rsidR="0068777C" w:rsidRPr="00256982" w:rsidRDefault="0068777C" w:rsidP="0068777C">
      <w:pPr>
        <w:pStyle w:val="BodyText"/>
        <w:keepNext/>
        <w:spacing w:before="80" w:after="0"/>
        <w:ind w:left="964" w:hanging="964"/>
      </w:pPr>
      <w:r w:rsidRPr="00256982">
        <w:tab/>
        <w:t>DMI is the dry-matter intake (kg dry matter/head/year), and</w:t>
      </w:r>
    </w:p>
    <w:p w14:paraId="7ED49E44" w14:textId="77777777" w:rsidR="0068777C" w:rsidRPr="00256982" w:rsidRDefault="0068777C" w:rsidP="0068777C">
      <w:pPr>
        <w:pStyle w:val="BodyText"/>
        <w:keepNext/>
        <w:spacing w:before="80"/>
        <w:ind w:left="964" w:hanging="964"/>
      </w:pPr>
      <w:r w:rsidRPr="00256982">
        <w:tab/>
        <w:t>CH</w:t>
      </w:r>
      <w:r w:rsidRPr="00256982">
        <w:rPr>
          <w:vertAlign w:val="subscript"/>
        </w:rPr>
        <w:t>4</w:t>
      </w:r>
      <w:r w:rsidRPr="00256982">
        <w:t xml:space="preserve"> conversion rate is the CH</w:t>
      </w:r>
      <w:r w:rsidRPr="00256982">
        <w:rPr>
          <w:vertAlign w:val="subscript"/>
        </w:rPr>
        <w:t>4</w:t>
      </w:r>
      <w:r w:rsidRPr="00256982">
        <w:t xml:space="preserve"> emissions per unit of feed intake (g CH</w:t>
      </w:r>
      <w:r w:rsidRPr="00256982">
        <w:rPr>
          <w:vertAlign w:val="subscript"/>
        </w:rPr>
        <w:t>4</w:t>
      </w:r>
      <w:r w:rsidRPr="00256982">
        <w:t>/kg DMI) (see table 5.2.2).</w:t>
      </w:r>
    </w:p>
    <w:p w14:paraId="3DC884A0" w14:textId="77777777" w:rsidR="0068777C" w:rsidRPr="00256982" w:rsidRDefault="0068777C" w:rsidP="00A72006">
      <w:pPr>
        <w:pStyle w:val="Heading4"/>
      </w:pPr>
      <w:r w:rsidRPr="00256982">
        <w:t>Emissions from sheep</w:t>
      </w:r>
    </w:p>
    <w:p w14:paraId="5094B395" w14:textId="77777777" w:rsidR="0068777C" w:rsidRPr="00256982" w:rsidRDefault="0068777C" w:rsidP="0068777C">
      <w:pPr>
        <w:pStyle w:val="BodyText"/>
      </w:pPr>
      <w:r w:rsidRPr="00256982">
        <w:t>Enteric CH</w:t>
      </w:r>
      <w:r w:rsidRPr="00256982">
        <w:rPr>
          <w:vertAlign w:val="subscript"/>
        </w:rPr>
        <w:t>4</w:t>
      </w:r>
      <w:r w:rsidRPr="00256982">
        <w:t xml:space="preserve"> emissions from sheep are calculated using a methodology outlined in a peer reviewed paper published by Swainson et al. (2016). This paper analysed a set of recent experiments where CH</w:t>
      </w:r>
      <w:r w:rsidRPr="00256982">
        <w:rPr>
          <w:vertAlign w:val="subscript"/>
        </w:rPr>
        <w:t>4</w:t>
      </w:r>
      <w:r w:rsidRPr="00256982">
        <w:t xml:space="preserve"> emissions from sheep, fed pasture of varying amounts and quality, were measured. The study confirmed that DMI has the largest influence on CH</w:t>
      </w:r>
      <w:r w:rsidRPr="00256982">
        <w:rPr>
          <w:vertAlign w:val="subscript"/>
        </w:rPr>
        <w:t>4</w:t>
      </w:r>
      <w:r w:rsidRPr="00256982">
        <w:t xml:space="preserve"> emissions and that pasture quality (as measured by ME content) had a small but statistically significant effect on emissions from sheep less than one year of age.</w:t>
      </w:r>
    </w:p>
    <w:p w14:paraId="73BA4393" w14:textId="77777777" w:rsidR="0068777C" w:rsidRPr="00256982" w:rsidRDefault="0068777C" w:rsidP="0068777C">
      <w:pPr>
        <w:pStyle w:val="BodyText"/>
      </w:pPr>
      <w:r w:rsidRPr="00256982">
        <w:lastRenderedPageBreak/>
        <w:t>The paper concluded that two log-transformed linear regressions (one for sheep less than one year of age and one for sheep greater than one year of age) provided the best fit for the data and recommended that these equations be used in the National Inventory Report.</w:t>
      </w:r>
      <w:r w:rsidRPr="00256982" w:rsidDel="00970856">
        <w:t xml:space="preserve"> </w:t>
      </w:r>
    </w:p>
    <w:p w14:paraId="4BBF668C" w14:textId="77777777" w:rsidR="0068777C" w:rsidRPr="00256982" w:rsidRDefault="0068777C" w:rsidP="0068777C">
      <w:pPr>
        <w:pStyle w:val="BodyText"/>
        <w:spacing w:after="60"/>
      </w:pPr>
      <w:r w:rsidRPr="00256982">
        <w:t>The equation for the total production of enteric CH</w:t>
      </w:r>
      <w:r w:rsidRPr="00256982">
        <w:rPr>
          <w:vertAlign w:val="subscript"/>
        </w:rPr>
        <w:t>4</w:t>
      </w:r>
      <w:r w:rsidRPr="00256982">
        <w:t xml:space="preserve"> for sheep less than one year of age is:</w:t>
      </w:r>
      <w:r w:rsidRPr="00256982">
        <w:rPr>
          <w:rStyle w:val="FootnoteReference"/>
        </w:rPr>
        <w:footnoteReference w:id="37"/>
      </w:r>
    </w:p>
    <w:p w14:paraId="08CDE45A" w14:textId="59A1AD97" w:rsidR="0068777C" w:rsidRPr="00256982" w:rsidRDefault="00590491" w:rsidP="0068777C">
      <w:pPr>
        <w:pStyle w:val="BodyText"/>
        <w:spacing w:before="0" w:after="0"/>
        <w:jc w:val="center"/>
      </w:pPr>
      <w:r>
        <w:pict w14:anchorId="59B6ECA7">
          <v:shape id="_x0000_i1087" type="#_x0000_t75" style="width:275.25pt;height:37.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5&lt;/o:Version&gt;&lt;/o:DocumentProperties&gt;&lt;w:docPr&gt;&lt;w:view w:val=&quot;print&quot;/&gt;&lt;w:zoom w:percent=&quot;110&quot;/&gt;&lt;w:doNotEmbedSystemFonts/&gt;&lt;w:activeWritingStyle w:lang=&quot;EN-NZ&quot; w:vendorID=&quot;64&quot; w:dllVersion=&quot;131078&quot; w:nlCheck=&quot;on&quot; w:optionSet=&quot;1&quot;/&gt;&lt;w:stylePaneFormatFilter w:val=&quot;5804&quot;/&gt;&lt;w:defaultTabStop w:val=&quot;720&quot;/&gt;&lt;w:evenAndOddHeaders/&gt;&lt;w:drawingGridHorizontalSpacing w:val=&quot;187&quot;/&gt;&lt;w:displayVerticalDrawingGridEvery w:val=&quot;2&quot;/&gt;&lt;w:characterSpacingControl w:val=&quot;DontCompress&quot;/&gt;&lt;w:optimizeForBrowser/&gt;&lt;w:validateAgainstSchema/&gt;&lt;w:saveInvalidXML w:val=&quot;off&quot;/&gt;&lt;w:ignoreMixedContent w:val=&quot;off&quot;/&gt;&lt;w:alwaysShowPlaceholderText w:val=&quot;off&quot;/&gt;&lt;w:compat&gt;&lt;w:suppressBottomSpacing/&gt;&lt;w:suppressSpBfAfterPgBrk/&gt;&lt;w:doNotUseHTMLParagraphAutoSpacing/&gt;&lt;w:breakWrappedTables/&gt;&lt;w:snapToGridInCell/&gt;&lt;w:wrapTextWithPunct/&gt;&lt;w:useAsianBreakRules/&gt;&lt;w:useWord2002TableStyleRules/&gt;&lt;/w:compat&gt;&lt;wsp:rsids&gt;&lt;wsp:rsidRoot wsp:val=&quot;00702030&quot;/&gt;&lt;wsp:rsid wsp:val=&quot;00001716&quot;/&gt;&lt;wsp:rsid wsp:val=&quot;00007ABB&quot;/&gt;&lt;wsp:rsid wsp:val=&quot;00013566&quot;/&gt;&lt;wsp:rsid wsp:val=&quot;00015CFC&quot;/&gt;&lt;wsp:rsid wsp:val=&quot;000219C8&quot;/&gt;&lt;wsp:rsid wsp:val=&quot;00021ACF&quot;/&gt;&lt;wsp:rsid wsp:val=&quot;00027E55&quot;/&gt;&lt;wsp:rsid wsp:val=&quot;00032A28&quot;/&gt;&lt;wsp:rsid wsp:val=&quot;00035185&quot;/&gt;&lt;wsp:rsid wsp:val=&quot;00050008&quot;/&gt;&lt;wsp:rsid wsp:val=&quot;0006123B&quot;/&gt;&lt;wsp:rsid wsp:val=&quot;00084588&quot;/&gt;&lt;wsp:rsid wsp:val=&quot;000A3774&quot;/&gt;&lt;wsp:rsid wsp:val=&quot;000C20A6&quot;/&gt;&lt;wsp:rsid wsp:val=&quot;000E1498&quot;/&gt;&lt;wsp:rsid wsp:val=&quot;000F4DEF&quot;/&gt;&lt;wsp:rsid wsp:val=&quot;000F6318&quot;/&gt;&lt;wsp:rsid wsp:val=&quot;00116E1B&quot;/&gt;&lt;wsp:rsid wsp:val=&quot;001221C3&quot;/&gt;&lt;wsp:rsid wsp:val=&quot;00134FC2&quot;/&gt;&lt;wsp:rsid wsp:val=&quot;00153F5A&quot;/&gt;&lt;wsp:rsid wsp:val=&quot;001970E1&quot;/&gt;&lt;wsp:rsid wsp:val=&quot;001A1997&quot;/&gt;&lt;wsp:rsid wsp:val=&quot;001B6FD2&quot;/&gt;&lt;wsp:rsid wsp:val=&quot;001D3490&quot;/&gt;&lt;wsp:rsid wsp:val=&quot;00207ABF&quot;/&gt;&lt;wsp:rsid wsp:val=&quot;0023070D&quot;/&gt;&lt;wsp:rsid wsp:val=&quot;00240B42&quot;/&gt;&lt;wsp:rsid wsp:val=&quot;0024542F&quot;/&gt;&lt;wsp:rsid wsp:val=&quot;00260B48&quot;/&gt;&lt;wsp:rsid wsp:val=&quot;00273218&quot;/&gt;&lt;wsp:rsid wsp:val=&quot;0028581A&quot;/&gt;&lt;wsp:rsid wsp:val=&quot;002868D3&quot;/&gt;&lt;wsp:rsid wsp:val=&quot;00295B2A&quot;/&gt;&lt;wsp:rsid wsp:val=&quot;002A1361&quot;/&gt;&lt;wsp:rsid wsp:val=&quot;002A49D7&quot;/&gt;&lt;wsp:rsid wsp:val=&quot;002B1C5A&quot;/&gt;&lt;wsp:rsid wsp:val=&quot;002B3284&quot;/&gt;&lt;wsp:rsid wsp:val=&quot;002B6594&quot;/&gt;&lt;wsp:rsid wsp:val=&quot;002C00EE&quot;/&gt;&lt;wsp:rsid wsp:val=&quot;002D60DB&quot;/&gt;&lt;wsp:rsid wsp:val=&quot;002D6A54&quot;/&gt;&lt;wsp:rsid wsp:val=&quot;002F134A&quot;/&gt;&lt;wsp:rsid wsp:val=&quot;00302D84&quot;/&gt;&lt;wsp:rsid wsp:val=&quot;00315760&quot;/&gt;&lt;wsp:rsid wsp:val=&quot;00333ACA&quot;/&gt;&lt;wsp:rsid wsp:val=&quot;00336A51&quot;/&gt;&lt;wsp:rsid wsp:val=&quot;0037590E&quot;/&gt;&lt;wsp:rsid wsp:val=&quot;00377186&quot;/&gt;&lt;wsp:rsid wsp:val=&quot;00383207&quot;/&gt;&lt;wsp:rsid wsp:val=&quot;00391D8B&quot;/&gt;&lt;wsp:rsid wsp:val=&quot;003972EF&quot;/&gt;&lt;wsp:rsid wsp:val=&quot;00397D2B&quot;/&gt;&lt;wsp:rsid wsp:val=&quot;003A3F0A&quot;/&gt;&lt;wsp:rsid wsp:val=&quot;003A5006&quot;/&gt;&lt;wsp:rsid wsp:val=&quot;003C2615&quot;/&gt;&lt;wsp:rsid wsp:val=&quot;003D0318&quot;/&gt;&lt;wsp:rsid wsp:val=&quot;003D5417&quot;/&gt;&lt;wsp:rsid wsp:val=&quot;00400F92&quot;/&gt;&lt;wsp:rsid wsp:val=&quot;0042424B&quot;/&gt;&lt;wsp:rsid wsp:val=&quot;00430D5D&quot;/&gt;&lt;wsp:rsid wsp:val=&quot;00440459&quot;/&gt;&lt;wsp:rsid wsp:val=&quot;0045652C&quot;/&gt;&lt;wsp:rsid wsp:val=&quot;00462497&quot;/&gt;&lt;wsp:rsid wsp:val=&quot;004805A3&quot;/&gt;&lt;wsp:rsid wsp:val=&quot;00490EB0&quot;/&gt;&lt;wsp:rsid wsp:val=&quot;00494545&quot;/&gt;&lt;wsp:rsid wsp:val=&quot;004A618E&quot;/&gt;&lt;wsp:rsid wsp:val=&quot;004C4C3C&quot;/&gt;&lt;wsp:rsid wsp:val=&quot;004D3C29&quot;/&gt;&lt;wsp:rsid wsp:val=&quot;004E4B2C&quot;/&gt;&lt;wsp:rsid wsp:val=&quot;004F1572&quot;/&gt;&lt;wsp:rsid wsp:val=&quot;005072D0&quot;/&gt;&lt;wsp:rsid wsp:val=&quot;00511420&quot;/&gt;&lt;wsp:rsid wsp:val=&quot;00526270&quot;/&gt;&lt;wsp:rsid wsp:val=&quot;00534210&quot;/&gt;&lt;wsp:rsid wsp:val=&quot;00546A6A&quot;/&gt;&lt;wsp:rsid wsp:val=&quot;005630B0&quot;/&gt;&lt;wsp:rsid wsp:val=&quot;005660CD&quot;/&gt;&lt;wsp:rsid wsp:val=&quot;005720F2&quot;/&gt;&lt;wsp:rsid wsp:val=&quot;00596603&quot;/&gt;&lt;wsp:rsid wsp:val=&quot;005A10D4&quot;/&gt;&lt;wsp:rsid wsp:val=&quot;005A1E61&quot;/&gt;&lt;wsp:rsid wsp:val=&quot;005B76A4&quot;/&gt;&lt;wsp:rsid wsp:val=&quot;005C3384&quot;/&gt;&lt;wsp:rsid wsp:val=&quot;005C416E&quot;/&gt;&lt;wsp:rsid wsp:val=&quot;005D1C3A&quot;/&gt;&lt;wsp:rsid wsp:val=&quot;005E43DD&quot;/&gt;&lt;wsp:rsid wsp:val=&quot;00600179&quot;/&gt;&lt;wsp:rsid wsp:val=&quot;00603FC0&quot;/&gt;&lt;wsp:rsid wsp:val=&quot;00611ECD&quot;/&gt;&lt;wsp:rsid wsp:val=&quot;00636BF0&quot;/&gt;&lt;wsp:rsid wsp:val=&quot;00646B6D&quot;/&gt;&lt;wsp:rsid wsp:val=&quot;00655908&quot;/&gt;&lt;wsp:rsid wsp:val=&quot;006654F8&quot;/&gt;&lt;wsp:rsid wsp:val=&quot;00665768&quot;/&gt;&lt;wsp:rsid wsp:val=&quot;00667291&quot;/&gt;&lt;wsp:rsid wsp:val=&quot;00686249&quot;/&gt;&lt;wsp:rsid wsp:val=&quot;00687504&quot;/&gt;&lt;wsp:rsid wsp:val=&quot;0068777C&quot;/&gt;&lt;wsp:rsid wsp:val=&quot;006A171F&quot;/&gt;&lt;wsp:rsid wsp:val=&quot;006A4E5F&quot;/&gt;&lt;wsp:rsid wsp:val=&quot;006D4600&quot;/&gt;&lt;wsp:rsid wsp:val=&quot;006E0A2C&quot;/&gt;&lt;wsp:rsid wsp:val=&quot;006E202B&quot;/&gt;&lt;wsp:rsid wsp:val=&quot;006E57B5&quot;/&gt;&lt;wsp:rsid wsp:val=&quot;006E6AE2&quot;/&gt;&lt;wsp:rsid wsp:val=&quot;006F0CF5&quot;/&gt;&lt;wsp:rsid wsp:val=&quot;00702030&quot;/&gt;&lt;wsp:rsid wsp:val=&quot;00702FA0&quot;/&gt;&lt;wsp:rsid wsp:val=&quot;00724218&quot;/&gt;&lt;wsp:rsid wsp:val=&quot;007350B6&quot;/&gt;&lt;wsp:rsid wsp:val=&quot;00737E65&quot;/&gt;&lt;wsp:rsid wsp:val=&quot;0074030A&quot;/&gt;&lt;wsp:rsid wsp:val=&quot;00753965&quot;/&gt;&lt;wsp:rsid wsp:val=&quot;00762043&quot;/&gt;&lt;wsp:rsid wsp:val=&quot;007633C2&quot;/&gt;&lt;wsp:rsid wsp:val=&quot;00765A47&quot;/&gt;&lt;wsp:rsid wsp:val=&quot;00770E82&quot;/&gt;&lt;wsp:rsid wsp:val=&quot;00772E94&quot;/&gt;&lt;wsp:rsid wsp:val=&quot;00773278&quot;/&gt;&lt;wsp:rsid wsp:val=&quot;007A1993&quot;/&gt;&lt;wsp:rsid wsp:val=&quot;007A7194&quot;/&gt;&lt;wsp:rsid wsp:val=&quot;007B028B&quot;/&gt;&lt;wsp:rsid wsp:val=&quot;007B1D71&quot;/&gt;&lt;wsp:rsid wsp:val=&quot;007C00D0&quot;/&gt;&lt;wsp:rsid wsp:val=&quot;007C2186&quot;/&gt;&lt;wsp:rsid wsp:val=&quot;007F2233&quot;/&gt;&lt;wsp:rsid wsp:val=&quot;007F73BB&quot;/&gt;&lt;wsp:rsid wsp:val=&quot;00806461&quot;/&gt;&lt;wsp:rsid wsp:val=&quot;0080694B&quot;/&gt;&lt;wsp:rsid wsp:val=&quot;0081779C&quot;/&gt;&lt;wsp:rsid wsp:val=&quot;00831D0D&quot;/&gt;&lt;wsp:rsid wsp:val=&quot;00832DEE&quot;/&gt;&lt;wsp:rsid wsp:val=&quot;00835C2B&quot;/&gt;&lt;wsp:rsid wsp:val=&quot;00837FBE&quot;/&gt;&lt;wsp:rsid wsp:val=&quot;00846B89&quot;/&gt;&lt;wsp:rsid wsp:val=&quot;00855A8A&quot;/&gt;&lt;wsp:rsid wsp:val=&quot;00886AAC&quot;/&gt;&lt;wsp:rsid wsp:val=&quot;008A2EC5&quot;/&gt;&lt;wsp:rsid wsp:val=&quot;008B77F5&quot;/&gt;&lt;wsp:rsid wsp:val=&quot;008C0279&quot;/&gt;&lt;wsp:rsid wsp:val=&quot;008C7F68&quot;/&gt;&lt;wsp:rsid wsp:val=&quot;008E380C&quot;/&gt;&lt;wsp:rsid wsp:val=&quot;008F25D2&quot;/&gt;&lt;wsp:rsid wsp:val=&quot;008F50EC&quot;/&gt;&lt;wsp:rsid wsp:val=&quot;00906C96&quot;/&gt;&lt;wsp:rsid wsp:val=&quot;00914CC6&quot;/&gt;&lt;wsp:rsid wsp:val=&quot;0092751F&quot;/&gt;&lt;wsp:rsid wsp:val=&quot;00932067&quot;/&gt;&lt;wsp:rsid wsp:val=&quot;0093594A&quot;/&gt;&lt;wsp:rsid wsp:val=&quot;00955D73&quot;/&gt;&lt;wsp:rsid wsp:val=&quot;0096512C&quot;/&gt;&lt;wsp:rsid wsp:val=&quot;0096540A&quot;/&gt;&lt;wsp:rsid wsp:val=&quot;009A0D25&quot;/&gt;&lt;wsp:rsid wsp:val=&quot;009C5D2A&quot;/&gt;&lt;wsp:rsid wsp:val=&quot;009E792C&quot;/&gt;&lt;wsp:rsid wsp:val=&quot;00A331E7&quot;/&gt;&lt;wsp:rsid wsp:val=&quot;00A41C3C&quot;/&gt;&lt;wsp:rsid wsp:val=&quot;00A42C52&quot;/&gt;&lt;wsp:rsid wsp:val=&quot;00A808C7&quot;/&gt;&lt;wsp:rsid wsp:val=&quot;00AB2710&quot;/&gt;&lt;wsp:rsid wsp:val=&quot;00AD184B&quot;/&gt;&lt;wsp:rsid wsp:val=&quot;00B0566D&quot;/&gt;&lt;wsp:rsid wsp:val=&quot;00B10937&quot;/&gt;&lt;wsp:rsid wsp:val=&quot;00B35BD9&quot;/&gt;&lt;wsp:rsid wsp:val=&quot;00B37DE8&quot;/&gt;&lt;wsp:rsid wsp:val=&quot;00B448C0&quot;/&gt;&lt;wsp:rsid wsp:val=&quot;00B44BA5&quot;/&gt;&lt;wsp:rsid wsp:val=&quot;00B6460B&quot;/&gt;&lt;wsp:rsid wsp:val=&quot;00BA5F7E&quot;/&gt;&lt;wsp:rsid wsp:val=&quot;00BC7E76&quot;/&gt;&lt;wsp:rsid wsp:val=&quot;00BF12F6&quot;/&gt;&lt;wsp:rsid wsp:val=&quot;00C00765&quot;/&gt;&lt;wsp:rsid wsp:val=&quot;00C10464&quot;/&gt;&lt;wsp:rsid wsp:val=&quot;00C119C2&quot;/&gt;&lt;wsp:rsid wsp:val=&quot;00C13667&quot;/&gt;&lt;wsp:rsid wsp:val=&quot;00C21B54&quot;/&gt;&lt;wsp:rsid wsp:val=&quot;00C40967&quot;/&gt;&lt;wsp:rsid wsp:val=&quot;00C463D8&quot;/&gt;&lt;wsp:rsid wsp:val=&quot;00C55A30&quot;/&gt;&lt;wsp:rsid wsp:val=&quot;00C600E2&quot;/&gt;&lt;wsp:rsid wsp:val=&quot;00C63D43&quot;/&gt;&lt;wsp:rsid wsp:val=&quot;00C74134&quot;/&gt;&lt;wsp:rsid wsp:val=&quot;00C823B1&quot;/&gt;&lt;wsp:rsid wsp:val=&quot;00C9625F&quot;/&gt;&lt;wsp:rsid wsp:val=&quot;00CA271E&quot;/&gt;&lt;wsp:rsid wsp:val=&quot;00CB1488&quot;/&gt;&lt;wsp:rsid wsp:val=&quot;00CB7414&quot;/&gt;&lt;wsp:rsid wsp:val=&quot;00CC4FF7&quot;/&gt;&lt;wsp:rsid wsp:val=&quot;00D01CFE&quot;/&gt;&lt;wsp:rsid wsp:val=&quot;00D07C4B&quot;/&gt;&lt;wsp:rsid wsp:val=&quot;00D225D8&quot;/&gt;&lt;wsp:rsid wsp:val=&quot;00D33A2E&quot;/&gt;&lt;wsp:rsid wsp:val=&quot;00D4311F&quot;/&gt;&lt;wsp:rsid wsp:val=&quot;00D511A1&quot;/&gt;&lt;wsp:rsid wsp:val=&quot;00D872BF&quot;/&gt;&lt;wsp:rsid wsp:val=&quot;00DB124F&quot;/&gt;&lt;wsp:rsid wsp:val=&quot;00DE01F6&quot;/&gt;&lt;wsp:rsid wsp:val=&quot;00DE2998&quot;/&gt;&lt;wsp:rsid wsp:val=&quot;00DE4223&quot;/&gt;&lt;wsp:rsid wsp:val=&quot;00DE64BC&quot;/&gt;&lt;wsp:rsid wsp:val=&quot;00DE6B60&quot;/&gt;&lt;wsp:rsid wsp:val=&quot;00E01CCF&quot;/&gt;&lt;wsp:rsid wsp:val=&quot;00E06D10&quot;/&gt;&lt;wsp:rsid wsp:val=&quot;00E20458&quot;/&gt;&lt;wsp:rsid wsp:val=&quot;00E56487&quot;/&gt;&lt;wsp:rsid wsp:val=&quot;00E853F3&quot;/&gt;&lt;wsp:rsid wsp:val=&quot;00EC2491&quot;/&gt;&lt;wsp:rsid wsp:val=&quot;00EC3056&quot;/&gt;&lt;wsp:rsid wsp:val=&quot;00ED2C42&quot;/&gt;&lt;wsp:rsid wsp:val=&quot;00EF3B2B&quot;/&gt;&lt;wsp:rsid wsp:val=&quot;00F00EE9&quot;/&gt;&lt;wsp:rsid wsp:val=&quot;00F379DD&quot;/&gt;&lt;wsp:rsid wsp:val=&quot;00F47244&quot;/&gt;&lt;wsp:rsid wsp:val=&quot;00FA5F45&quot;/&gt;&lt;wsp:rsid wsp:val=&quot;00FA7522&quot;/&gt;&lt;wsp:rsid wsp:val=&quot;00FC2C59&quot;/&gt;&lt;wsp:rsid wsp:val=&quot;00FC5421&quot;/&gt;&lt;wsp:rsid wsp:val=&quot;00FD178C&quot;/&gt;&lt;wsp:rsid wsp:val=&quot;00FF67A7&quot;/&gt;&lt;/wsp:rsids&gt;&lt;/w:docPr&gt;&lt;w:body&gt;&lt;wx:sect&gt;&lt;w:p wsp:rsidR=&quot;00000000&quot; wsp:rsidRPr=&quot;002C00EE&quot; wsp:rsidRDefault=&quot;002C00EE&quot; wsp:rsidP=&quot;002C00EE&quot;&gt;&lt;m:oMathPara&gt;&lt;m:oMath&gt;&lt;m:sSub&gt;&lt;m:sSubPr&gt;&lt;m:ctrlPr&gt;&lt;w:rPr&gt;&lt;w:rFonts w:ascii=&quot;Cambria Math&quot; w:h-ansi=&quot;Cambria Math&quot;/&gt;&lt;wx:font wx:val=&quot;Cambria Math&quot;/&gt;&lt;w:i/&gt;&lt;/w:rPr&gt;&lt;/m:ctrlPr&gt;&lt;/m:sSubPr&gt;&lt;m:e&gt;&lt;m:r&gt;&lt;w:rPr&gt;&lt;w:rFonts w:ascii=&quot;Cambria Math&quot; w:h-ansi=&quot;Cambria Math&quot;/&gt;&lt;wx:font wx:val=&quot;Cambria Math&quot;/&gt;&lt;w:i/&gt;&lt;/w:rPr&gt;&lt;m:t&gt;CH&lt;/m:t&gt;&lt;/m:r&gt;&lt;/m:e&gt;&lt;m:sub&gt;&lt;m:r&gt;&lt;w:rPr&gt;&lt;w:rFonts w:ascii=&quot;Cambria Math&quot; w:h-ansi=&quot;Cambria Math&quot;/&gt;&lt;wx:font wx:val=&quot;Cambria Math&quot;/&gt;&lt;w:i/&gt;&lt;/w:rPr&gt;&lt;m:t&gt;4-enteric&lt;/m:t&gt;&lt;/m:r&gt;&lt;/m:sub&gt;&lt;/m:sSub&gt;&lt;m:r&gt;&lt;w:rPr&gt;&lt;w:rFonts w:ascii=&quot;Cambria Math&quot; w:h-ansi=&quot;Cambria Math&quot;/&gt;&lt;wx:font wx:val=&quot;Cambria Math&quot;/&gt;&lt;w:i/&gt;&lt;/w:rPr&gt;&lt;m:t&gt;= &lt;/m:t&gt;&lt;/m:r&gt;&lt;m:nary&gt;&lt;m:naryPr&gt;&lt;m:chr m:val=&quot;âˆ‘&quot;/&gt;&lt;m:limLoc m:val=&quot;undOvr&quot;/&gt;&lt;m:supHide m:val=&quot;1&quot;/&gt;&lt;m:ctrlPr&gt;&lt;w:rPr&gt;&lt;w:rFonts w:ascii=&quot;Cambria Math&quot; w:h-ansi=&quot;Cambria Math&quot;/&gt;&lt;wx:font wx:val=&quot;Cambria Math&quot;/&gt;&lt;w:i/&gt;&lt;/w:rPr&gt;&lt;/m:ctrlPr&gt;&lt;/m:naryPr&gt;&lt;m:sub&gt;&lt;m:r&gt;&lt;w:rPr&gt;&lt;w:rFonts w:ascii=&quot;Cambria Math&quot; w:h-ansi=&quot;Cambria Math&quot;/&gt;&lt;wx:font wx:val=&quot;Cambria Math&quot;/&gt;&lt;w:i/&gt;&lt;/w:rPr&gt;&lt;m:t&gt;class &lt;/m:t&gt;&lt;/m:r&gt;&lt;/m:sub&gt;&lt;m:sup/&gt;&lt;m:e&gt;&lt;m:nary&gt;&lt;m:naryPr&gt;&lt;m:chr m:val=&quot;âˆ‘&quot;/&gt;&lt;m:limLoc m:val=&quot;undOvr&quot;/&gt;&lt;m:supHide m:val=&quot;1&quot;/&gt;&lt;m:ctrlPr&gt;&lt;w:rPr&gt;&lt;w:rFonts w:ascii=&quot;Cambria Math&quot; w:h-ansi=&quot;Cambria Math&quot;/&gt;&lt;wx:font wx:val=&quot;Cambria Math&quot;/&gt;&lt;w:i/&gt;&lt;/w:rPr&gt;&lt;/m:ctrlPr&gt;&lt;/m:naryPr&gt;&lt;m:sub&gt;&lt;m:r&gt;&lt;w:rPr&gt;&lt;w:rFonts w:ascii=&quot;Cambria Math&quot; w:h-ansi=&quot;Cambria Math&quot;/&gt;&lt;wx:font wx:val=&quot;Cambria Math&quot;/&gt;&lt;w:i/&gt;&lt;/w:rPr&gt;&lt;m:t&gt;month&lt;/m:t&gt;&lt;/m:r&gt;&lt;/m:sub&gt;&lt;m:sup/&gt;&lt;m:e&gt;&lt;m:sSub&gt;&lt;m:sSubPr&gt;&lt;m:ctrlPr&gt;&lt;w:rPr&gt;&lt;w:rFonts w:ascii=&quot;Cambria Math&quot; w:h-ansi=&quot;Cambria Math&quot;/&gt;&lt;wx:font wx:val=&quot;Cambria Math&quot;/&gt;&lt;w:i/&gt;&lt;/w:rPr&gt;&lt;/m:ctrlPr&gt;&lt;/m:sSubPr&gt;&lt;m:e&gt;&lt;m:r&gt;&lt;w:rPr&gt;&lt;w:rFonts w:ascii=&quot;Cambria Math&quot; w:h-ansi=&quot;Cambria Math&quot;/&gt;&lt;wx:font wx:val=&quot;Cambria Math&quot;/&gt;&lt;w:i/&gt;&lt;/w:rPr&gt;&lt;m:t&gt;d&lt;/m:t&gt;&lt;/m:r&gt;&lt;/m:e&gt;&lt;m:sub&gt;&lt;m:r&gt;&lt;w:rPr&gt;&lt;w:rFonts w:ascii=&quot;Cambria Math&quot; w:h-ansi=&quot;Cambria Math&quot;/&gt;&lt;wx:font wx:val=&quot;Cambria Math&quot;/&gt;&lt;w:i/&gt;&lt;/w:rPr&gt;&lt;m:t&gt;m&lt;/m:t&gt;&lt;/m:r&gt;&lt;/m:sub&gt;&lt;/m:sSub&gt;&lt;/m:e&gt;&lt;/m:nary&gt;&lt;m:sSub&gt;&lt;m:sSubPr&gt;&lt;m:ctrlPr&gt;&lt;w:rPr&gt;&lt;w:rFonts w:ascii=&quot;Cambria Math&quot; w:h-ansi=&quot;Cambria Math&quot;/&gt;&lt;wx:font wx:val=&quot;Cambria Math&quot;/&gt;&lt;w:i/&gt;&lt;/w:rPr&gt;&lt;/m:ctrlPr&gt;&lt;/m:sSubPr&gt;&lt;m:e&gt;&lt;m:r&gt;&lt;w:rPr&gt;&lt;w:rFonts w:ascii=&quot;Cambria Math&quot; w:h-ansi=&quot;Cambria Math&quot;/&gt;&lt;wx:font wx:val=&quot;Cambria Math&quot;/&gt;&lt;w:i/&gt;&lt;/w:rPr&gt;&lt;m:t&gt;n&lt;/m:t&gt;&lt;/m:r&gt;&lt;/m:e&gt;&lt;m:sub&gt;&lt;m:r&gt;&lt;w:rPr&gt;&lt;w:rFonts w:ascii=&quot;Cambria Math&quot; w:h-ansi=&quot;Cambria Math&quot;/&gt;&lt;wx:font wx:val=&quot;Cambria Math&quot;/&gt;&lt;w:i/&gt;&lt;/w:rPr&gt;&lt;m:t&gt;cm&lt;/m:t&gt;&lt;/m:r&gt;&lt;/m:sub&gt;&lt;/m:sSub&gt;&lt;m:f&gt;&lt;m:fPr&gt;&lt;m:ctrlPr&gt;&lt;w:rPr&gt;&lt;w:rFonts w:ascii=&quot;Cambria Math&quot; w:h-ansi=&quot;Cambria Math&quot;/&gt;&lt;wx:font wx:val=&quot;Cambria Math&quot;/&gt;&lt;w:i/&gt;&lt;/w:rPr&gt;&lt;/m:ctrlPr&gt;&lt;/m:fPr&gt;&lt;m:num&gt;&lt;m:r&gt;&lt;w:rPr&gt;&lt;w:rFonts w:ascii=&quot;Cambria Math&quot; w:h-ansi=&quot;Cambria Math&quot;/&gt;&lt;wx:font wx:val=&quot;Cambria Math&quot;/&gt;&lt;w:i/&gt;&lt;/w:rPr&gt;&lt;m:t&gt;11.705&lt;/m:t&gt;&lt;/m:r&gt;&lt;/m:num&gt;&lt;m:den&gt;&lt;m:r&gt;&lt;w:rPr&gt;&lt;w:rFonts w:ascii=&quot;Cambria Math&quot; w:h-ansi=&quot;Cambria Math&quot;/&gt;&lt;wx:font wx:val=&quot;Cambria Math&quot;/&gt;&lt;w:i/&gt;&lt;/w:rPr&gt;&lt;m:t&gt;1000&lt;/m:t&gt;&lt;/m:r&gt;&lt;/m:den&gt;&lt;/m:f&gt;&lt;/m:e&gt;&lt;/m:nary&gt;&lt;m:sSup&gt;&lt;m:sSupPr&gt;&lt;m:ctrlPr&gt;&lt;w:rPr&gt;&lt;w:rFonts w:ascii=&quot;Cambria Math&quot; w:h-ansi=&quot;Cambria Math&quot;/&gt;&lt;wx:font wx:val=&quot;Cambria Math&quot;/&gt;&lt;w:i/&gt;&lt;/w:rPr&gt;&lt;/m:ctrlPr&gt;&lt;/m:sSupPr&gt;&lt;m:e&gt;&lt;m:sSup&gt;&lt;m:sSupPr&gt;&lt;m:ctrlPr&gt;&lt;w:rPr&gt;&lt;w:rFonts w:ascii=&quot;Cambria Math&quot; w:h-ansi=&quot;Cambria Math&quot;/&gt;&lt;wx:font wx:val=&quot;Cambria Math&quot;/&gt;&lt;w:i/&gt;&lt;/w:rPr&gt;&lt;/m:ctrlPr&gt;&lt;/m:sSupPr&gt;&lt;m:e&gt;&lt;m:r&gt;&lt;w:rPr&gt;&lt;w:rFonts w:ascii=&quot;Cambria Math&quot; w:h-ansi=&quot;Cambria Math&quot;/&gt;&lt;wx:font wx:val=&quot;Cambria Math&quot;/&gt;&lt;w:i/&gt;&lt;/w:rPr&gt;&lt;m:t&gt;e&lt;/m:t&gt;&lt;/m:r&gt;&lt;/m:e&gt;&lt;m:sup&gt;&lt;m:r&gt;&lt;w:rPr&gt;&lt;w:rFonts w:ascii=&quot;Cambria Math&quot; w:h-ansi=&quot;Cambria Math&quot;/&gt;&lt;wx:font wx:val=&quot;Cambria Math&quot;/&gt;&lt;w:i/&gt;&lt;/w:rPr&gt;&lt;m:t&gt;0.05Ã—ME&lt;/m:t&gt;&lt;/m:r&gt;&lt;/m:sup&gt;&lt;/m:sSup&gt;&lt;m:r&gt;&lt;w:rPr&gt;&lt;w:rFonts w:ascii=&quot;Cambria Math&quot; w:h-ansi=&quot;Cambria Math&quot;/&gt;&lt;wx:font wx:val=&quot;Cambria Math&quot;/&gt;&lt;w:i/&gt;&lt;/w:rPr&gt;&lt;m:t&gt;DMI&lt;/m:t&gt;&lt;/m:r&gt;&lt;/m:e&gt;&lt;m:sup&gt;&lt;m:r&gt;&lt;w:rPr&gt;&lt;w:rFonts w:ascii=&quot;Cambria Math&quot; w:h-ansi=&quot;Cambria Math&quot;/&gt;&lt;wx:font wx:val=&quot;Cambria Math&quot;/&gt;&lt;w:i/&gt;&lt;/w:rPr&gt;&lt;m:t&gt;0.734&lt;/m:t&gt;&lt;/m:r&gt;&lt;/m:sup&gt;&lt;/m:sSup&gt;&lt;/m:oMath&gt;&lt;/m:oMathPara&gt;&lt;/w:p&gt;&lt;w:sectPr wsp:rsidR=&quot;00000000&quot; wsp:rsidRPr=&quot;002C00EE&quot;&gt;&lt;w:pgSz w:w=&quot;12240&quot; w:h=&quot;15840&quot;/&gt;&lt;w:pgMar w:top=&quot;1440&quot; w:right=&quot;1440&quot; w:bottom=&quot;1440&quot; w:left=&quot;1440&quot; w:header=&quot;720&quot; w:footer=&quot;720&quot; w:gutter=&quot;0&quot;/&gt;&lt;w:cols w:space=&quot;720&quot;/&gt;&lt;/w:sectPr&gt;&lt;/wx:sect&gt;&lt;/w:body&gt;&lt;/w:wordDocument&gt;">
            <v:imagedata r:id="rId116" o:title="" chromakey="white"/>
          </v:shape>
        </w:pict>
      </w:r>
    </w:p>
    <w:p w14:paraId="5DBDFBDA" w14:textId="77777777" w:rsidR="0068777C" w:rsidRPr="00256982" w:rsidRDefault="0068777C" w:rsidP="0068777C">
      <w:pPr>
        <w:pStyle w:val="BodyText"/>
        <w:spacing w:before="240" w:after="60"/>
      </w:pPr>
      <w:r w:rsidRPr="00256982">
        <w:t>The equation for the total production of enteric CH</w:t>
      </w:r>
      <w:r w:rsidRPr="00256982">
        <w:rPr>
          <w:vertAlign w:val="subscript"/>
        </w:rPr>
        <w:t>4</w:t>
      </w:r>
      <w:r w:rsidRPr="00256982">
        <w:t xml:space="preserve"> for sheep greater than one year of age is:</w:t>
      </w:r>
      <w:r w:rsidRPr="00256982">
        <w:rPr>
          <w:rStyle w:val="FootnoteReference"/>
        </w:rPr>
        <w:footnoteReference w:id="38"/>
      </w:r>
    </w:p>
    <w:p w14:paraId="5C73CC03" w14:textId="6A776526" w:rsidR="0068777C" w:rsidRPr="00256982" w:rsidRDefault="00590491" w:rsidP="0068777C">
      <w:pPr>
        <w:pStyle w:val="BodyText"/>
        <w:spacing w:before="0"/>
        <w:jc w:val="center"/>
      </w:pPr>
      <w:r>
        <w:pict w14:anchorId="7353A1E9">
          <v:shape id="_x0000_i1088" type="#_x0000_t75" style="width:234.75pt;height:37.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5&lt;/o:Version&gt;&lt;/o:DocumentProperties&gt;&lt;w:docPr&gt;&lt;w:view w:val=&quot;print&quot;/&gt;&lt;w:zoom w:percent=&quot;110&quot;/&gt;&lt;w:doNotEmbedSystemFonts/&gt;&lt;w:activeWritingStyle w:lang=&quot;EN-NZ&quot; w:vendorID=&quot;64&quot; w:dllVersion=&quot;131078&quot; w:nlCheck=&quot;on&quot; w:optionSet=&quot;1&quot;/&gt;&lt;w:stylePaneFormatFilter w:val=&quot;5804&quot;/&gt;&lt;w:defaultTabStop w:val=&quot;720&quot;/&gt;&lt;w:evenAndOddHeaders/&gt;&lt;w:drawingGridHorizontalSpacing w:val=&quot;187&quot;/&gt;&lt;w:displayVerticalDrawingGridEvery w:val=&quot;2&quot;/&gt;&lt;w:characterSpacingControl w:val=&quot;DontCompress&quot;/&gt;&lt;w:optimizeForBrowser/&gt;&lt;w:validateAgainstSchema/&gt;&lt;w:saveInvalidXML w:val=&quot;off&quot;/&gt;&lt;w:ignoreMixedContent w:val=&quot;off&quot;/&gt;&lt;w:alwaysShowPlaceholderText w:val=&quot;off&quot;/&gt;&lt;w:compat&gt;&lt;w:suppressBottomSpacing/&gt;&lt;w:suppressSpBfAfterPgBrk/&gt;&lt;w:doNotUseHTMLParagraphAutoSpacing/&gt;&lt;w:breakWrappedTables/&gt;&lt;w:snapToGridInCell/&gt;&lt;w:wrapTextWithPunct/&gt;&lt;w:useAsianBreakRules/&gt;&lt;w:useWord2002TableStyleRules/&gt;&lt;/w:compat&gt;&lt;wsp:rsids&gt;&lt;wsp:rsidRoot wsp:val=&quot;00702030&quot;/&gt;&lt;wsp:rsid wsp:val=&quot;00001716&quot;/&gt;&lt;wsp:rsid wsp:val=&quot;00007ABB&quot;/&gt;&lt;wsp:rsid wsp:val=&quot;00013566&quot;/&gt;&lt;wsp:rsid wsp:val=&quot;00015CFC&quot;/&gt;&lt;wsp:rsid wsp:val=&quot;000219C8&quot;/&gt;&lt;wsp:rsid wsp:val=&quot;00021ACF&quot;/&gt;&lt;wsp:rsid wsp:val=&quot;00027E55&quot;/&gt;&lt;wsp:rsid wsp:val=&quot;00032A28&quot;/&gt;&lt;wsp:rsid wsp:val=&quot;00035185&quot;/&gt;&lt;wsp:rsid wsp:val=&quot;00050008&quot;/&gt;&lt;wsp:rsid wsp:val=&quot;0006123B&quot;/&gt;&lt;wsp:rsid wsp:val=&quot;00084588&quot;/&gt;&lt;wsp:rsid wsp:val=&quot;000A3774&quot;/&gt;&lt;wsp:rsid wsp:val=&quot;000C20A6&quot;/&gt;&lt;wsp:rsid wsp:val=&quot;000E1498&quot;/&gt;&lt;wsp:rsid wsp:val=&quot;000F4DEF&quot;/&gt;&lt;wsp:rsid wsp:val=&quot;000F6318&quot;/&gt;&lt;wsp:rsid wsp:val=&quot;00116E1B&quot;/&gt;&lt;wsp:rsid wsp:val=&quot;001221C3&quot;/&gt;&lt;wsp:rsid wsp:val=&quot;00134FC2&quot;/&gt;&lt;wsp:rsid wsp:val=&quot;00153F5A&quot;/&gt;&lt;wsp:rsid wsp:val=&quot;001970E1&quot;/&gt;&lt;wsp:rsid wsp:val=&quot;001A1997&quot;/&gt;&lt;wsp:rsid wsp:val=&quot;001B6FD2&quot;/&gt;&lt;wsp:rsid wsp:val=&quot;001D3490&quot;/&gt;&lt;wsp:rsid wsp:val=&quot;00207ABF&quot;/&gt;&lt;wsp:rsid wsp:val=&quot;0023070D&quot;/&gt;&lt;wsp:rsid wsp:val=&quot;00240B42&quot;/&gt;&lt;wsp:rsid wsp:val=&quot;0024542F&quot;/&gt;&lt;wsp:rsid wsp:val=&quot;00260B48&quot;/&gt;&lt;wsp:rsid wsp:val=&quot;00273218&quot;/&gt;&lt;wsp:rsid wsp:val=&quot;0028581A&quot;/&gt;&lt;wsp:rsid wsp:val=&quot;002868D3&quot;/&gt;&lt;wsp:rsid wsp:val=&quot;00295B2A&quot;/&gt;&lt;wsp:rsid wsp:val=&quot;002A1361&quot;/&gt;&lt;wsp:rsid wsp:val=&quot;002A49D7&quot;/&gt;&lt;wsp:rsid wsp:val=&quot;002B1C5A&quot;/&gt;&lt;wsp:rsid wsp:val=&quot;002B3284&quot;/&gt;&lt;wsp:rsid wsp:val=&quot;002B6594&quot;/&gt;&lt;wsp:rsid wsp:val=&quot;002D60DB&quot;/&gt;&lt;wsp:rsid wsp:val=&quot;002D6A54&quot;/&gt;&lt;wsp:rsid wsp:val=&quot;002F134A&quot;/&gt;&lt;wsp:rsid wsp:val=&quot;00302D84&quot;/&gt;&lt;wsp:rsid wsp:val=&quot;00315760&quot;/&gt;&lt;wsp:rsid wsp:val=&quot;00333ACA&quot;/&gt;&lt;wsp:rsid wsp:val=&quot;00336A51&quot;/&gt;&lt;wsp:rsid wsp:val=&quot;0037590E&quot;/&gt;&lt;wsp:rsid wsp:val=&quot;00377186&quot;/&gt;&lt;wsp:rsid wsp:val=&quot;00383207&quot;/&gt;&lt;wsp:rsid wsp:val=&quot;00391D8B&quot;/&gt;&lt;wsp:rsid wsp:val=&quot;003972EF&quot;/&gt;&lt;wsp:rsid wsp:val=&quot;00397D2B&quot;/&gt;&lt;wsp:rsid wsp:val=&quot;003A3F0A&quot;/&gt;&lt;wsp:rsid wsp:val=&quot;003A5006&quot;/&gt;&lt;wsp:rsid wsp:val=&quot;003C2615&quot;/&gt;&lt;wsp:rsid wsp:val=&quot;003D0318&quot;/&gt;&lt;wsp:rsid wsp:val=&quot;003D5417&quot;/&gt;&lt;wsp:rsid wsp:val=&quot;00400F92&quot;/&gt;&lt;wsp:rsid wsp:val=&quot;0042424B&quot;/&gt;&lt;wsp:rsid wsp:val=&quot;00430D5D&quot;/&gt;&lt;wsp:rsid wsp:val=&quot;00440459&quot;/&gt;&lt;wsp:rsid wsp:val=&quot;0045652C&quot;/&gt;&lt;wsp:rsid wsp:val=&quot;00462497&quot;/&gt;&lt;wsp:rsid wsp:val=&quot;004805A3&quot;/&gt;&lt;wsp:rsid wsp:val=&quot;00490EB0&quot;/&gt;&lt;wsp:rsid wsp:val=&quot;00494545&quot;/&gt;&lt;wsp:rsid wsp:val=&quot;004A618E&quot;/&gt;&lt;wsp:rsid wsp:val=&quot;004C4C3C&quot;/&gt;&lt;wsp:rsid wsp:val=&quot;004D3C29&quot;/&gt;&lt;wsp:rsid wsp:val=&quot;004E4B2C&quot;/&gt;&lt;wsp:rsid wsp:val=&quot;004F1572&quot;/&gt;&lt;wsp:rsid wsp:val=&quot;005072D0&quot;/&gt;&lt;wsp:rsid wsp:val=&quot;00511420&quot;/&gt;&lt;wsp:rsid wsp:val=&quot;00526270&quot;/&gt;&lt;wsp:rsid wsp:val=&quot;00534210&quot;/&gt;&lt;wsp:rsid wsp:val=&quot;00546A6A&quot;/&gt;&lt;wsp:rsid wsp:val=&quot;005630B0&quot;/&gt;&lt;wsp:rsid wsp:val=&quot;005660CD&quot;/&gt;&lt;wsp:rsid wsp:val=&quot;005720F2&quot;/&gt;&lt;wsp:rsid wsp:val=&quot;00596603&quot;/&gt;&lt;wsp:rsid wsp:val=&quot;005A10D4&quot;/&gt;&lt;wsp:rsid wsp:val=&quot;005A1E61&quot;/&gt;&lt;wsp:rsid wsp:val=&quot;005B76A4&quot;/&gt;&lt;wsp:rsid wsp:val=&quot;005C3384&quot;/&gt;&lt;wsp:rsid wsp:val=&quot;005C416E&quot;/&gt;&lt;wsp:rsid wsp:val=&quot;005D1C3A&quot;/&gt;&lt;wsp:rsid wsp:val=&quot;005E43DD&quot;/&gt;&lt;wsp:rsid wsp:val=&quot;00600179&quot;/&gt;&lt;wsp:rsid wsp:val=&quot;00603FC0&quot;/&gt;&lt;wsp:rsid wsp:val=&quot;00611ECD&quot;/&gt;&lt;wsp:rsid wsp:val=&quot;00636BF0&quot;/&gt;&lt;wsp:rsid wsp:val=&quot;00646B6D&quot;/&gt;&lt;wsp:rsid wsp:val=&quot;00655908&quot;/&gt;&lt;wsp:rsid wsp:val=&quot;006654F8&quot;/&gt;&lt;wsp:rsid wsp:val=&quot;00665768&quot;/&gt;&lt;wsp:rsid wsp:val=&quot;00667291&quot;/&gt;&lt;wsp:rsid wsp:val=&quot;00686249&quot;/&gt;&lt;wsp:rsid wsp:val=&quot;00687504&quot;/&gt;&lt;wsp:rsid wsp:val=&quot;0068777C&quot;/&gt;&lt;wsp:rsid wsp:val=&quot;006A171F&quot;/&gt;&lt;wsp:rsid wsp:val=&quot;006A4E5F&quot;/&gt;&lt;wsp:rsid wsp:val=&quot;006D4600&quot;/&gt;&lt;wsp:rsid wsp:val=&quot;006E0A2C&quot;/&gt;&lt;wsp:rsid wsp:val=&quot;006E202B&quot;/&gt;&lt;wsp:rsid wsp:val=&quot;006E57B5&quot;/&gt;&lt;wsp:rsid wsp:val=&quot;006E6AE2&quot;/&gt;&lt;wsp:rsid wsp:val=&quot;006F0CF5&quot;/&gt;&lt;wsp:rsid wsp:val=&quot;00702030&quot;/&gt;&lt;wsp:rsid wsp:val=&quot;00702FA0&quot;/&gt;&lt;wsp:rsid wsp:val=&quot;00724218&quot;/&gt;&lt;wsp:rsid wsp:val=&quot;007350B6&quot;/&gt;&lt;wsp:rsid wsp:val=&quot;00737E65&quot;/&gt;&lt;wsp:rsid wsp:val=&quot;0074030A&quot;/&gt;&lt;wsp:rsid wsp:val=&quot;00753965&quot;/&gt;&lt;wsp:rsid wsp:val=&quot;00762043&quot;/&gt;&lt;wsp:rsid wsp:val=&quot;007633C2&quot;/&gt;&lt;wsp:rsid wsp:val=&quot;00765A47&quot;/&gt;&lt;wsp:rsid wsp:val=&quot;00770E82&quot;/&gt;&lt;wsp:rsid wsp:val=&quot;00772E94&quot;/&gt;&lt;wsp:rsid wsp:val=&quot;00773278&quot;/&gt;&lt;wsp:rsid wsp:val=&quot;007A1993&quot;/&gt;&lt;wsp:rsid wsp:val=&quot;007A7194&quot;/&gt;&lt;wsp:rsid wsp:val=&quot;007B028B&quot;/&gt;&lt;wsp:rsid wsp:val=&quot;007B1D71&quot;/&gt;&lt;wsp:rsid wsp:val=&quot;007C00D0&quot;/&gt;&lt;wsp:rsid wsp:val=&quot;007C2186&quot;/&gt;&lt;wsp:rsid wsp:val=&quot;007F2233&quot;/&gt;&lt;wsp:rsid wsp:val=&quot;007F73BB&quot;/&gt;&lt;wsp:rsid wsp:val=&quot;00806461&quot;/&gt;&lt;wsp:rsid wsp:val=&quot;0080694B&quot;/&gt;&lt;wsp:rsid wsp:val=&quot;0081779C&quot;/&gt;&lt;wsp:rsid wsp:val=&quot;00831D0D&quot;/&gt;&lt;wsp:rsid wsp:val=&quot;00832DEE&quot;/&gt;&lt;wsp:rsid wsp:val=&quot;00835C2B&quot;/&gt;&lt;wsp:rsid wsp:val=&quot;00837FBE&quot;/&gt;&lt;wsp:rsid wsp:val=&quot;00846B89&quot;/&gt;&lt;wsp:rsid wsp:val=&quot;00855A8A&quot;/&gt;&lt;wsp:rsid wsp:val=&quot;00886AAC&quot;/&gt;&lt;wsp:rsid wsp:val=&quot;008A2EC5&quot;/&gt;&lt;wsp:rsid wsp:val=&quot;008B77F5&quot;/&gt;&lt;wsp:rsid wsp:val=&quot;008C0279&quot;/&gt;&lt;wsp:rsid wsp:val=&quot;008C7F68&quot;/&gt;&lt;wsp:rsid wsp:val=&quot;008E380C&quot;/&gt;&lt;wsp:rsid wsp:val=&quot;008F25D2&quot;/&gt;&lt;wsp:rsid wsp:val=&quot;008F50EC&quot;/&gt;&lt;wsp:rsid wsp:val=&quot;00906C96&quot;/&gt;&lt;wsp:rsid wsp:val=&quot;00914CC6&quot;/&gt;&lt;wsp:rsid wsp:val=&quot;0092751F&quot;/&gt;&lt;wsp:rsid wsp:val=&quot;00932067&quot;/&gt;&lt;wsp:rsid wsp:val=&quot;0093594A&quot;/&gt;&lt;wsp:rsid wsp:val=&quot;00955D73&quot;/&gt;&lt;wsp:rsid wsp:val=&quot;0096512C&quot;/&gt;&lt;wsp:rsid wsp:val=&quot;0096540A&quot;/&gt;&lt;wsp:rsid wsp:val=&quot;009A0D25&quot;/&gt;&lt;wsp:rsid wsp:val=&quot;009C5D2A&quot;/&gt;&lt;wsp:rsid wsp:val=&quot;009E792C&quot;/&gt;&lt;wsp:rsid wsp:val=&quot;00A331E7&quot;/&gt;&lt;wsp:rsid wsp:val=&quot;00A41C3C&quot;/&gt;&lt;wsp:rsid wsp:val=&quot;00A42C52&quot;/&gt;&lt;wsp:rsid wsp:val=&quot;00A808C7&quot;/&gt;&lt;wsp:rsid wsp:val=&quot;00AB2710&quot;/&gt;&lt;wsp:rsid wsp:val=&quot;00AD184B&quot;/&gt;&lt;wsp:rsid wsp:val=&quot;00B0566D&quot;/&gt;&lt;wsp:rsid wsp:val=&quot;00B10937&quot;/&gt;&lt;wsp:rsid wsp:val=&quot;00B35BD9&quot;/&gt;&lt;wsp:rsid wsp:val=&quot;00B37DE8&quot;/&gt;&lt;wsp:rsid wsp:val=&quot;00B448C0&quot;/&gt;&lt;wsp:rsid wsp:val=&quot;00B44BA5&quot;/&gt;&lt;wsp:rsid wsp:val=&quot;00B6460B&quot;/&gt;&lt;wsp:rsid wsp:val=&quot;00BA5F7E&quot;/&gt;&lt;wsp:rsid wsp:val=&quot;00BC7E76&quot;/&gt;&lt;wsp:rsid wsp:val=&quot;00BF12F6&quot;/&gt;&lt;wsp:rsid wsp:val=&quot;00C00765&quot;/&gt;&lt;wsp:rsid wsp:val=&quot;00C10464&quot;/&gt;&lt;wsp:rsid wsp:val=&quot;00C119C2&quot;/&gt;&lt;wsp:rsid wsp:val=&quot;00C13667&quot;/&gt;&lt;wsp:rsid wsp:val=&quot;00C21B54&quot;/&gt;&lt;wsp:rsid wsp:val=&quot;00C40967&quot;/&gt;&lt;wsp:rsid wsp:val=&quot;00C463D8&quot;/&gt;&lt;wsp:rsid wsp:val=&quot;00C55A30&quot;/&gt;&lt;wsp:rsid wsp:val=&quot;00C600E2&quot;/&gt;&lt;wsp:rsid wsp:val=&quot;00C63D43&quot;/&gt;&lt;wsp:rsid wsp:val=&quot;00C74134&quot;/&gt;&lt;wsp:rsid wsp:val=&quot;00C823B1&quot;/&gt;&lt;wsp:rsid wsp:val=&quot;00C9625F&quot;/&gt;&lt;wsp:rsid wsp:val=&quot;00CA271E&quot;/&gt;&lt;wsp:rsid wsp:val=&quot;00CB1488&quot;/&gt;&lt;wsp:rsid wsp:val=&quot;00CB7414&quot;/&gt;&lt;wsp:rsid wsp:val=&quot;00CC4FF7&quot;/&gt;&lt;wsp:rsid wsp:val=&quot;00D00CC7&quot;/&gt;&lt;wsp:rsid wsp:val=&quot;00D01CFE&quot;/&gt;&lt;wsp:rsid wsp:val=&quot;00D07C4B&quot;/&gt;&lt;wsp:rsid wsp:val=&quot;00D225D8&quot;/&gt;&lt;wsp:rsid wsp:val=&quot;00D33A2E&quot;/&gt;&lt;wsp:rsid wsp:val=&quot;00D4311F&quot;/&gt;&lt;wsp:rsid wsp:val=&quot;00D511A1&quot;/&gt;&lt;wsp:rsid wsp:val=&quot;00D872BF&quot;/&gt;&lt;wsp:rsid wsp:val=&quot;00DB124F&quot;/&gt;&lt;wsp:rsid wsp:val=&quot;00DE01F6&quot;/&gt;&lt;wsp:rsid wsp:val=&quot;00DE2998&quot;/&gt;&lt;wsp:rsid wsp:val=&quot;00DE4223&quot;/&gt;&lt;wsp:rsid wsp:val=&quot;00DE64BC&quot;/&gt;&lt;wsp:rsid wsp:val=&quot;00DE6B60&quot;/&gt;&lt;wsp:rsid wsp:val=&quot;00E01CCF&quot;/&gt;&lt;wsp:rsid wsp:val=&quot;00E06D10&quot;/&gt;&lt;wsp:rsid wsp:val=&quot;00E20458&quot;/&gt;&lt;wsp:rsid wsp:val=&quot;00E56487&quot;/&gt;&lt;wsp:rsid wsp:val=&quot;00E853F3&quot;/&gt;&lt;wsp:rsid wsp:val=&quot;00EC2491&quot;/&gt;&lt;wsp:rsid wsp:val=&quot;00EC3056&quot;/&gt;&lt;wsp:rsid wsp:val=&quot;00ED2C42&quot;/&gt;&lt;wsp:rsid wsp:val=&quot;00EF3B2B&quot;/&gt;&lt;wsp:rsid wsp:val=&quot;00F00EE9&quot;/&gt;&lt;wsp:rsid wsp:val=&quot;00F379DD&quot;/&gt;&lt;wsp:rsid wsp:val=&quot;00F47244&quot;/&gt;&lt;wsp:rsid wsp:val=&quot;00FA5F45&quot;/&gt;&lt;wsp:rsid wsp:val=&quot;00FA7522&quot;/&gt;&lt;wsp:rsid wsp:val=&quot;00FC2C59&quot;/&gt;&lt;wsp:rsid wsp:val=&quot;00FC5421&quot;/&gt;&lt;wsp:rsid wsp:val=&quot;00FD178C&quot;/&gt;&lt;wsp:rsid wsp:val=&quot;00FF67A7&quot;/&gt;&lt;/wsp:rsids&gt;&lt;/w:docPr&gt;&lt;w:body&gt;&lt;wx:sect&gt;&lt;w:p wsp:rsidR=&quot;00000000&quot; wsp:rsidRPr=&quot;00D00CC7&quot; wsp:rsidRDefault=&quot;00D00CC7&quot; wsp:rsidP=&quot;00D00CC7&quot;&gt;&lt;m:oMathPara&gt;&lt;m:oMath&gt;&lt;m:sSub&gt;&lt;m:sSubPr&gt;&lt;m:ctrlPr&gt;&lt;w:rPr&gt;&lt;w:rFonts w:ascii=&quot;Cambria Math&quot; w:h-ansi=&quot;Cambria Math&quot;/&gt;&lt;wx:font wx:val=&quot;Cambria Math&quot;/&gt;&lt;w:i/&gt;&lt;/w:rPr&gt;&lt;/m:ctrlPr&gt;&lt;/m:sSubPr&gt;&lt;m:e&gt;&lt;m:r&gt;&lt;w:rPr&gt;&lt;w:rFonts w:ascii=&quot;Cambria Math&quot; w:h-ansi=&quot;Cambria Math&quot;/&gt;&lt;wx:font wx:val=&quot;Cambria Math&quot;/&gt;&lt;w:i/&gt;&lt;/w:rPr&gt;&lt;m:t&gt;CH&lt;/m:t&gt;&lt;/m:r&gt;&lt;/m:e&gt;&lt;m:sub&gt;&lt;m:r&gt;&lt;w:rPr&gt;&lt;w:rFonts w:ascii=&quot;Cambria Math&quot; w:h-ansi=&quot;Cambria Math&quot;/&gt;&lt;wx:font wx:val=&quot;Cambria Math&quot;/&gt;&lt;w:i/&gt;&lt;/w:rPr&gt;&lt;m:t&gt;4-enteric&lt;/m:t&gt;&lt;/m:r&gt;&lt;/m:sub&gt;&lt;/m:sSub&gt;&lt;m:r&gt;&lt;w:rPr&gt;&lt;w:rFonts w:ascii=&quot;Cambria Math&quot; w:h-ansi=&quot;Cambria Math&quot;/&gt;&lt;wx:font wx:val=&quot;Cambria Math&quot;/&gt;&lt;w:i/&gt;&lt;/w:rPr&gt;&lt;m:t&gt;= &lt;/m:t&gt;&lt;/m:r&gt;&lt;m:nary&gt;&lt;m:naryPr&gt;&lt;m:chr m:val=&quot;âˆ‘&quot;/&gt;&lt;m:limLoc m:val=&quot;undOvr&quot;/&gt;&lt;m:supHide m:val=&quot;1&quot;/&gt;&lt;m:ctrlPr&gt;&lt;w:rPr&gt;&lt;w:rFonts w:ascii=&quot;Cambria Math&quot; w:h-ansi=&quot;Cambria Math&quot;/&gt;&lt;wx:font wx:val=&quot;Cambria Math&quot;/&gt;&lt;w:i/&gt;&lt;/w:rPr&gt;&lt;/m:ctrlPr&gt;&lt;/m:naryPr&gt;&lt;m:sub&gt;&lt;m:r&gt;&lt;w:rPr&gt;&lt;w:rFonts w:ascii=&quot;Cambria Math&quot; w:h-ansi=&quot;Cambria Math&quot;/&gt;&lt;wx:font wx:val=&quot;Cambria Math&quot;/&gt;&lt;w:i/&gt;&lt;/w:rPr&gt;&lt;m:t&gt;class &lt;/m:t&gt;&lt;/m:r&gt;&lt;/m:sub&gt;&lt;m:sup/&gt;&lt;m:e&gt;&lt;m:nary&gt;&lt;m:naryPr&gt;&lt;m:chr m:val=&quot;âˆ‘&quot;/&gt;&lt;m:limLoc m:val=&quot;undOvr&quot;/&gt;&lt;m:supHide m:val=&quot;1&quot;/&gt;&lt;m:ctrlPr&gt;&lt;w:rPr&gt;&lt;w:rFonts w:ascii=&quot;Cambria Math&quot; w:h-ansi=&quot;Cambria Math&quot;/&gt;&lt;wx:font wx:val=&quot;Cambria Math&quot;/&gt;&lt;w:i/&gt;&lt;/w:rPr&gt;&lt;/m:ctrlPr&gt;&lt;/m:naryPr&gt;&lt;m:sub&gt;&lt;m:r&gt;&lt;w:rPr&gt;&lt;w:rFonts w:ascii=&quot;Cambria Math&quot; w:h-ansi=&quot;Cambria Math&quot;/&gt;&lt;wx:font wx:val=&quot;Cambria Math&quot;/&gt;&lt;w:i/&gt;&lt;/w:rPr&gt;&lt;m:t&gt;month&lt;/m:t&gt;&lt;/m:r&gt;&lt;/m:sub&gt;&lt;m:sup/&gt;&lt;m:e&gt;&lt;m:sSub&gt;&lt;m:sSubPr&gt;&lt;m:ctrlPr&gt;&lt;w:rPr&gt;&lt;w:rFonts w:ascii=&quot;Cambria Math&quot; w:h-ansi=&quot;Cambria Math&quot;/&gt;&lt;wx:font wx:val=&quot;Cambria Math&quot;/&gt;&lt;w:i/&gt;&lt;/w:rPr&gt;&lt;/m:ctrlPr&gt;&lt;/m:sSubPr&gt;&lt;m:e&gt;&lt;m:r&gt;&lt;w:rPr&gt;&lt;w:rFonts w:ascii=&quot;Cambria Math&quot; w:h-ansi=&quot;Cambria Math&quot;/&gt;&lt;wx:font wx:val=&quot;Cambria Math&quot;/&gt;&lt;w:i/&gt;&lt;/w:rPr&gt;&lt;m:t&gt;d&lt;/m:t&gt;&lt;/m:r&gt;&lt;/m:e&gt;&lt;m:sub&gt;&lt;m:r&gt;&lt;w:rPr&gt;&lt;w:rFonts w:ascii=&quot;Cambria Math&quot; w:h-ansi=&quot;Cambria Math&quot;/&gt;&lt;wx:font wx:val=&quot;Cambria Math&quot;/&gt;&lt;w:i/&gt;&lt;/w:rPr&gt;&lt;m:t&gt;m&lt;/m:t&gt;&lt;/m:r&gt;&lt;/m:sub&gt;&lt;/m:sSub&gt;&lt;/m:e&gt;&lt;/m:nary&gt;&lt;m:sSub&gt;&lt;m:sSubPr&gt;&lt;m:ctrlPr&gt;&lt;w:rPr&gt;&lt;w:rFonts w:ascii=&quot;Cambria Math&quot; w:h-ansi=&quot;Cambria Math&quot;/&gt;&lt;wx:font wx:val=&quot;Cambria Math&quot;/&gt;&lt;w:i/&gt;&lt;/w:rPr&gt;&lt;/m:ctrlPr&gt;&lt;/m:sSubPr&gt;&lt;m:e&gt;&lt;m:r&gt;&lt;w:rPr&gt;&lt;w:rFonts w:ascii=&quot;Cambria Math&quot; w:h-ansi=&quot;Cambria Math&quot;/&gt;&lt;wx:font wx:val=&quot;Cambria Math&quot;/&gt;&lt;w:i/&gt;&lt;/w:rPr&gt;&lt;m:t&gt;n&lt;/m:t&gt;&lt;/m:r&gt;&lt;/m:e&gt;&lt;m:sub&gt;&lt;m:r&gt;&lt;w:rPr&gt;&lt;w:rFonts w:ascii=&quot;Cambria Math&quot; w:h-ansi=&quot;Cambria Math&quot;/&gt;&lt;wx:font wx:val=&quot;Cambria Math&quot;/&gt;&lt;w:i/&gt;&lt;/w:rPr&gt;&lt;m:t&gt;cm&lt;/m:t&gt;&lt;/m:r&gt;&lt;/m:sub&gt;&lt;/m:sSub&gt;&lt;m:f&gt;&lt;m:fPr&gt;&lt;m:ctrlPr&gt;&lt;w:rPr&gt;&lt;w:rFonts w:ascii=&quot;Cambria Math&quot; w:h-ansi=&quot;Cambria Math&quot;/&gt;&lt;wx:font wx:val=&quot;Cambria Math&quot;/&gt;&lt;w:i/&gt;&lt;/w:rPr&gt;&lt;/m:ctrlPr&gt;&lt;/m:fPr&gt;&lt;m:num&gt;&lt;m:r&gt;&lt;w:rPr&gt;&lt;w:rFonts w:ascii=&quot;Cambria Math&quot; w:h-ansi=&quot;Cambria Math&quot;/&gt;&lt;wx:font wx:val=&quot;Cambria Math&quot;/&gt;&lt;w:i/&gt;&lt;/w:rPr&gt;&lt;m:t&gt;21.977&lt;/m:t&gt;&lt;/m:r&gt;&lt;/m:num&gt;&lt;m:den&gt;&lt;m:r&gt;&lt;w:rPr&gt;&lt;w:rFonts w:ascii=&quot;Cambria Math&quot; w:h-ansi=&quot;Cambria Math&quot;/&gt;&lt;wx:font wx:val=&quot;Cambria Math&quot;/&gt;&lt;w:i/&gt;&lt;/w:rPr&gt;&lt;m:t&gt;1000&lt;/m:t&gt;&lt;/m:r&gt;&lt;/m:den&gt;&lt;/m:f&gt;&lt;/m:e&gt;&lt;/m:nary&gt;&lt;m:sSup&gt;&lt;m:sSupPr&gt;&lt;m:ctrlPr&gt;&lt;w:rPr&gt;&lt;w:rFonts w:ascii=&quot;Cambria Math&quot; w:h-ansi=&quot;Cambria Math&quot;/&gt;&lt;wx:font wx:val=&quot;Cambria Math&quot;/&gt;&lt;w:i/&gt;&lt;/w:rPr&gt;&lt;/m:ctrlPr&gt;&lt;/m:sSupPr&gt;&lt;m:e&gt;&lt;m:r&gt;&lt;w:rPr&gt;&lt;w:rFonts w:ascii=&quot;Cambria Math&quot; w:h-ansi=&quot;Cambria Math&quot;/&gt;&lt;wx:font wx:val=&quot;Cambria Math&quot;/&gt;&lt;w:i/&gt;&lt;/w:rPr&gt;&lt;m:t&gt;DMI&lt;/m:t&gt;&lt;/m:r&gt;&lt;/m:e&gt;&lt;m:sup&gt;&lt;m:r&gt;&lt;w:rPr&gt;&lt;w:rFonts w:ascii=&quot;Cambria Math&quot; w:h-ansi=&quot;Cambria Math&quot;/&gt;&lt;wx:font wx:val=&quot;Cambria Math&quot;/&gt;&lt;w:i/&gt;&lt;/w:rPr&gt;&lt;m:t&gt;0.765&lt;/m:t&gt;&lt;/m:r&gt;&lt;/m:sup&gt;&lt;/m:sSup&gt;&lt;/m:oMath&gt;&lt;/m:oMathPara&gt;&lt;/w:p&gt;&lt;w:sectPr wsp:rsidR=&quot;00000000&quot; wsp:rsidRPr=&quot;00D00CC7&quot;&gt;&lt;w:pgSz w:w=&quot;12240&quot; w:h=&quot;15840&quot;/&gt;&lt;w:pgMar w:top=&quot;1440&quot; w:right=&quot;1440&quot; w:bottom=&quot;1440&quot; w:left=&quot;1440&quot; w:header=&quot;720&quot; w:footer=&quot;720&quot; w:gutter=&quot;0&quot;/&gt;&lt;w:cols w:space=&quot;720&quot;/&gt;&lt;/w:sectPr&gt;&lt;/wx:sect&gt;&lt;/w:body&gt;&lt;/w:wordDocument&gt;">
            <v:imagedata r:id="rId117" o:title="" chromakey="white"/>
          </v:shape>
        </w:pict>
      </w:r>
    </w:p>
    <w:p w14:paraId="6166658E" w14:textId="77777777" w:rsidR="0068777C" w:rsidRPr="00256982" w:rsidRDefault="0068777C" w:rsidP="0068777C">
      <w:pPr>
        <w:pStyle w:val="BodyText"/>
        <w:spacing w:after="0"/>
        <w:ind w:left="964" w:hanging="964"/>
      </w:pPr>
      <w:r w:rsidRPr="00256982">
        <w:t xml:space="preserve">Where: </w:t>
      </w:r>
      <w:r w:rsidRPr="00256982">
        <w:tab/>
        <w:t>CH</w:t>
      </w:r>
      <w:r w:rsidRPr="00256982">
        <w:rPr>
          <w:vertAlign w:val="subscript"/>
        </w:rPr>
        <w:t>4-enteric</w:t>
      </w:r>
      <w:r w:rsidRPr="00256982">
        <w:t xml:space="preserve"> is the total CH</w:t>
      </w:r>
      <w:r w:rsidRPr="00256982">
        <w:rPr>
          <w:vertAlign w:val="subscript"/>
        </w:rPr>
        <w:t>4</w:t>
      </w:r>
      <w:r w:rsidRPr="00256982">
        <w:t xml:space="preserve"> from enteric fermentation (kg CH</w:t>
      </w:r>
      <w:r w:rsidRPr="00256982">
        <w:rPr>
          <w:vertAlign w:val="subscript"/>
        </w:rPr>
        <w:t>4</w:t>
      </w:r>
      <w:r w:rsidRPr="00256982">
        <w:t>/year)</w:t>
      </w:r>
    </w:p>
    <w:p w14:paraId="3052E9F4" w14:textId="77777777" w:rsidR="0068777C" w:rsidRPr="00256982" w:rsidRDefault="0068777C" w:rsidP="0068777C">
      <w:pPr>
        <w:pStyle w:val="BodyText"/>
        <w:spacing w:before="80" w:after="0"/>
        <w:ind w:left="964"/>
        <w:jc w:val="left"/>
      </w:pPr>
      <w:r w:rsidRPr="00256982">
        <w:t>d</w:t>
      </w:r>
      <w:r w:rsidRPr="00256982">
        <w:rPr>
          <w:vertAlign w:val="subscript"/>
        </w:rPr>
        <w:t>m</w:t>
      </w:r>
      <w:r w:rsidRPr="00256982">
        <w:t xml:space="preserve"> is the number of days in month m</w:t>
      </w:r>
    </w:p>
    <w:p w14:paraId="77E608A8" w14:textId="77777777" w:rsidR="0068777C" w:rsidRPr="00256982" w:rsidRDefault="0068777C" w:rsidP="0068777C">
      <w:pPr>
        <w:pStyle w:val="BodyText"/>
        <w:spacing w:before="80" w:after="0"/>
        <w:ind w:left="964"/>
        <w:jc w:val="left"/>
      </w:pPr>
      <w:r w:rsidRPr="00256982">
        <w:t>n</w:t>
      </w:r>
      <w:r w:rsidRPr="00256982">
        <w:rPr>
          <w:vertAlign w:val="subscript"/>
        </w:rPr>
        <w:t>cm</w:t>
      </w:r>
      <w:r w:rsidRPr="00256982">
        <w:t xml:space="preserve"> is the population of sheep in class c during month m (head), greater than one year old</w:t>
      </w:r>
    </w:p>
    <w:p w14:paraId="4EE71F20" w14:textId="77777777" w:rsidR="0068777C" w:rsidRPr="00256982" w:rsidRDefault="0068777C" w:rsidP="0068777C">
      <w:pPr>
        <w:pStyle w:val="BodyText"/>
        <w:spacing w:before="80" w:after="0"/>
        <w:ind w:left="964"/>
        <w:jc w:val="left"/>
      </w:pPr>
      <w:r w:rsidRPr="00256982">
        <w:t>ME is the metabolisable energy concentration of pasture during month m (megajoules of metabolisable energy per kg of dry matter)</w:t>
      </w:r>
    </w:p>
    <w:p w14:paraId="13A1DF7A" w14:textId="77777777" w:rsidR="0068777C" w:rsidRPr="00256982" w:rsidRDefault="0068777C" w:rsidP="0068777C">
      <w:pPr>
        <w:pStyle w:val="BodyText"/>
        <w:spacing w:before="80" w:after="0"/>
        <w:ind w:left="964"/>
        <w:jc w:val="left"/>
      </w:pPr>
      <w:r w:rsidRPr="00256982">
        <w:t>DMI is the daily dry-matter intake of an individual sheep of class c in month m (kg dry matter per head per day), greater than one year old</w:t>
      </w:r>
    </w:p>
    <w:p w14:paraId="4406FE6C" w14:textId="77777777" w:rsidR="0068777C" w:rsidRPr="00256982" w:rsidRDefault="0068777C" w:rsidP="0068777C">
      <w:pPr>
        <w:pStyle w:val="BodyText"/>
        <w:spacing w:before="80" w:after="0"/>
        <w:ind w:left="964"/>
        <w:jc w:val="left"/>
      </w:pPr>
      <w:r w:rsidRPr="00256982">
        <w:t>class refers to the different categories of sheep greater than one year old (e.g., dry ewes, wethers, rams) used in the Agriculture inventory, and</w:t>
      </w:r>
    </w:p>
    <w:p w14:paraId="5B5B4A6D" w14:textId="77777777" w:rsidR="0068777C" w:rsidRPr="00256982" w:rsidRDefault="0068777C" w:rsidP="0068777C">
      <w:pPr>
        <w:pStyle w:val="BodyText"/>
        <w:spacing w:before="80"/>
        <w:ind w:left="964"/>
        <w:jc w:val="left"/>
      </w:pPr>
      <w:r w:rsidRPr="00256982">
        <w:t>month refers to the 12 months of the calendar year.</w:t>
      </w:r>
    </w:p>
    <w:p w14:paraId="58432597" w14:textId="77777777" w:rsidR="0068777C" w:rsidRPr="00256982" w:rsidRDefault="0068777C" w:rsidP="0068777C">
      <w:pPr>
        <w:pStyle w:val="BodyText"/>
      </w:pPr>
      <w:r w:rsidRPr="00256982">
        <w:t>Dry-matter intake per sheep per day is calculated by New Zealand’s Tier 2 inventory model (see section 5.1.3). Monthly values of ME concentration for pasture are provided by Bown, Thomson and Muir, (2013).</w:t>
      </w:r>
    </w:p>
    <w:p w14:paraId="23060493" w14:textId="77777777" w:rsidR="0068777C" w:rsidRPr="00256982" w:rsidRDefault="0068777C" w:rsidP="0068777C">
      <w:pPr>
        <w:pStyle w:val="BodyText"/>
      </w:pPr>
      <w:r w:rsidRPr="00256982">
        <w:t>Prior to the 2017 (1990–2015) National Inventory Report submission, New Zealand used fixed emission factor values to estimate enteric CH</w:t>
      </w:r>
      <w:r w:rsidRPr="00256982">
        <w:rPr>
          <w:vertAlign w:val="subscript"/>
        </w:rPr>
        <w:t xml:space="preserve">4 </w:t>
      </w:r>
      <w:r w:rsidRPr="00256982">
        <w:t>emissions from sheep (Swainson et al., 2016</w:t>
      </w:r>
      <w:r w:rsidRPr="00256982">
        <w:rPr>
          <w:spacing w:val="-2"/>
        </w:rPr>
        <w:t>) of</w:t>
      </w:r>
      <w:r w:rsidRPr="00256982">
        <w:t xml:space="preserve">: </w:t>
      </w:r>
    </w:p>
    <w:p w14:paraId="38EA3267" w14:textId="77777777" w:rsidR="0068777C" w:rsidRPr="00256982" w:rsidRDefault="0068777C" w:rsidP="0036046B">
      <w:pPr>
        <w:pStyle w:val="Bullet"/>
        <w:numPr>
          <w:ilvl w:val="0"/>
          <w:numId w:val="8"/>
        </w:numPr>
      </w:pPr>
      <w:r w:rsidRPr="00256982">
        <w:t>20.9 grams of CH</w:t>
      </w:r>
      <w:r w:rsidRPr="00256982">
        <w:rPr>
          <w:vertAlign w:val="subscript"/>
        </w:rPr>
        <w:t>4</w:t>
      </w:r>
      <w:r w:rsidRPr="00256982">
        <w:t xml:space="preserve"> per kilogram of DMI, for sheep greater than one year old</w:t>
      </w:r>
    </w:p>
    <w:p w14:paraId="0B9C5956" w14:textId="77777777" w:rsidR="0068777C" w:rsidRPr="00256982" w:rsidRDefault="0068777C" w:rsidP="0036046B">
      <w:pPr>
        <w:pStyle w:val="Bullet"/>
        <w:numPr>
          <w:ilvl w:val="0"/>
          <w:numId w:val="8"/>
        </w:numPr>
      </w:pPr>
      <w:r w:rsidRPr="00256982">
        <w:t>16.8 grams of CH</w:t>
      </w:r>
      <w:r w:rsidRPr="00256982">
        <w:rPr>
          <w:vertAlign w:val="subscript"/>
        </w:rPr>
        <w:t>4</w:t>
      </w:r>
      <w:r w:rsidRPr="00256982">
        <w:t xml:space="preserve"> per kilogram of DMI, for sheep less than one year old.</w:t>
      </w:r>
    </w:p>
    <w:p w14:paraId="081BE966" w14:textId="77777777" w:rsidR="0068777C" w:rsidRPr="00256982" w:rsidRDefault="0068777C" w:rsidP="0068777C">
      <w:pPr>
        <w:pStyle w:val="BodyText"/>
      </w:pPr>
      <w:r w:rsidRPr="00256982">
        <w:t>The equation used to calculate enteric CH</w:t>
      </w:r>
      <w:r w:rsidRPr="00256982">
        <w:rPr>
          <w:vertAlign w:val="subscript"/>
        </w:rPr>
        <w:t>4</w:t>
      </w:r>
      <w:r w:rsidRPr="00256982">
        <w:t xml:space="preserve"> emissions from sheep was identical to that currently used to calculate enteric CH</w:t>
      </w:r>
      <w:r w:rsidRPr="00256982">
        <w:rPr>
          <w:vertAlign w:val="subscript"/>
        </w:rPr>
        <w:t>4</w:t>
      </w:r>
      <w:r w:rsidRPr="00256982">
        <w:t xml:space="preserve"> emissions for dairy cattle, non-dairy cattle and deer.</w:t>
      </w:r>
    </w:p>
    <w:p w14:paraId="31D5A787" w14:textId="77777777" w:rsidR="0068777C" w:rsidRPr="00256982" w:rsidRDefault="0068777C" w:rsidP="00A72006">
      <w:pPr>
        <w:pStyle w:val="Heading4"/>
      </w:pPr>
      <w:r w:rsidRPr="00256982">
        <w:t>Methane measurement and modelling</w:t>
      </w:r>
    </w:p>
    <w:p w14:paraId="6C88A5BB" w14:textId="77777777" w:rsidR="0068777C" w:rsidRPr="00256982" w:rsidRDefault="0068777C" w:rsidP="0068777C">
      <w:pPr>
        <w:pStyle w:val="BodyText"/>
      </w:pPr>
      <w:r w:rsidRPr="00256982">
        <w:t>New Zealand uses its own country-specific methodology and emission factors for estimating CH</w:t>
      </w:r>
      <w:r w:rsidRPr="00256982">
        <w:rPr>
          <w:vertAlign w:val="subscript"/>
        </w:rPr>
        <w:t>4</w:t>
      </w:r>
      <w:r w:rsidRPr="00256982">
        <w:t xml:space="preserve"> emissions per unit of feed intake, despite the relatively large number of published algorithms and models of ruminant digestion.</w:t>
      </w:r>
      <w:r w:rsidRPr="00256982">
        <w:rPr>
          <w:rStyle w:val="FootnoteReference"/>
        </w:rPr>
        <w:footnoteReference w:id="39"/>
      </w:r>
      <w:r w:rsidRPr="00256982">
        <w:t xml:space="preserve"> This is because:</w:t>
      </w:r>
    </w:p>
    <w:p w14:paraId="514ADFE8" w14:textId="77777777" w:rsidR="0068777C" w:rsidRPr="00256982" w:rsidRDefault="0068777C" w:rsidP="0036046B">
      <w:pPr>
        <w:pStyle w:val="Bullet"/>
        <w:numPr>
          <w:ilvl w:val="0"/>
          <w:numId w:val="8"/>
        </w:numPr>
      </w:pPr>
      <w:r w:rsidRPr="00256982">
        <w:lastRenderedPageBreak/>
        <w:t>the data requirements of the digestion models make them difficult to use in New Zealand’s National Inventory Report due to New Zealand livestock systems being predominantly pasture based</w:t>
      </w:r>
    </w:p>
    <w:p w14:paraId="407CB38E" w14:textId="77777777" w:rsidR="0068777C" w:rsidRPr="00256982" w:rsidRDefault="0068777C" w:rsidP="0036046B">
      <w:pPr>
        <w:pStyle w:val="Bullet"/>
        <w:numPr>
          <w:ilvl w:val="0"/>
          <w:numId w:val="8"/>
        </w:numPr>
      </w:pPr>
      <w:r w:rsidRPr="00256982">
        <w:t>none of these methods have high predictive power when compared against empirical experimental data (Clark et al., 2003)</w:t>
      </w:r>
    </w:p>
    <w:p w14:paraId="0B01141F" w14:textId="77777777" w:rsidR="0068777C" w:rsidRPr="00256982" w:rsidRDefault="0068777C" w:rsidP="0036046B">
      <w:pPr>
        <w:pStyle w:val="Bullet"/>
        <w:numPr>
          <w:ilvl w:val="0"/>
          <w:numId w:val="8"/>
        </w:numPr>
      </w:pPr>
      <w:r w:rsidRPr="00256982">
        <w:t xml:space="preserve">the relationships in these models have been mainly derived from animals fed indoors on diets unlike those consumed by New Zealand’s grazing ruminants. </w:t>
      </w:r>
    </w:p>
    <w:p w14:paraId="436DB251" w14:textId="77777777" w:rsidR="0068777C" w:rsidRPr="00256982" w:rsidRDefault="0068777C" w:rsidP="0068777C">
      <w:pPr>
        <w:pStyle w:val="BodyText"/>
        <w:rPr>
          <w:highlight w:val="yellow"/>
        </w:rPr>
      </w:pPr>
      <w:r w:rsidRPr="00256982">
        <w:t>Since 1996, New Zealand scientists have been measuring CH</w:t>
      </w:r>
      <w:r w:rsidRPr="00256982">
        <w:rPr>
          <w:vertAlign w:val="subscript"/>
        </w:rPr>
        <w:t>4</w:t>
      </w:r>
      <w:r w:rsidRPr="00256982">
        <w:t xml:space="preserve"> emissions from grazing cattle and sheep initially using the sulphur hexafluoride (SF</w:t>
      </w:r>
      <w:r w:rsidRPr="00256982">
        <w:rPr>
          <w:vertAlign w:val="subscript"/>
        </w:rPr>
        <w:t>6</w:t>
      </w:r>
      <w:r w:rsidRPr="00256982">
        <w:t>) tracer technique (Lassey et al., 1997; Ulyatt et al., 1999). Research has now moved to using respiration chambers, which are considered the gold standard for assessing CH</w:t>
      </w:r>
      <w:r w:rsidRPr="00256982">
        <w:rPr>
          <w:vertAlign w:val="subscript"/>
        </w:rPr>
        <w:t>4</w:t>
      </w:r>
      <w:r w:rsidRPr="00256982">
        <w:t xml:space="preserve"> emissions from livestock. </w:t>
      </w:r>
    </w:p>
    <w:p w14:paraId="625EAB16" w14:textId="77777777" w:rsidR="0068777C" w:rsidRPr="00256982" w:rsidRDefault="0068777C" w:rsidP="0068777C">
      <w:pPr>
        <w:pStyle w:val="BodyText"/>
        <w:rPr>
          <w:highlight w:val="yellow"/>
        </w:rPr>
      </w:pPr>
      <w:r w:rsidRPr="00256982">
        <w:t>To obtain New Zealand-specific values (or algorithms for sheep emissions), published and unpublished data on CH</w:t>
      </w:r>
      <w:r w:rsidRPr="00256982">
        <w:rPr>
          <w:vertAlign w:val="subscript"/>
        </w:rPr>
        <w:t>4</w:t>
      </w:r>
      <w:r w:rsidRPr="00256982">
        <w:t xml:space="preserve"> emissions from New Zealand were collated and average values (and algorithms) for CH</w:t>
      </w:r>
      <w:r w:rsidRPr="00256982">
        <w:rPr>
          <w:vertAlign w:val="subscript"/>
        </w:rPr>
        <w:t>4</w:t>
      </w:r>
      <w:r w:rsidRPr="00256982">
        <w:t xml:space="preserve"> emissions from different categories of livestock were obtained </w:t>
      </w:r>
      <w:r w:rsidRPr="00256982">
        <w:rPr>
          <w:spacing w:val="-2"/>
        </w:rPr>
        <w:t xml:space="preserve">(Clark et al., 2003; </w:t>
      </w:r>
      <w:r w:rsidRPr="00256982">
        <w:t>Swainson et al., 2016</w:t>
      </w:r>
      <w:r w:rsidRPr="00256982">
        <w:rPr>
          <w:spacing w:val="-2"/>
        </w:rPr>
        <w:t>)</w:t>
      </w:r>
      <w:r w:rsidRPr="00256982">
        <w:t>. Sufficient data were available to obtain values for cattle and to generate a suitable set of algorithms for sheep. The associated data is presented in table 5.2.2 together with the IPCC (2006, tables 10.12 and 10.13) default values for per cent gross energy intake (GEI) used to calculate CH</w:t>
      </w:r>
      <w:r w:rsidRPr="00256982">
        <w:rPr>
          <w:vertAlign w:val="subscript"/>
        </w:rPr>
        <w:t>4</w:t>
      </w:r>
      <w:r w:rsidRPr="00256982">
        <w:t xml:space="preserve">. The New Zealand values for cattle fall within the IPCC range and are applied in this submission. </w:t>
      </w:r>
    </w:p>
    <w:p w14:paraId="64D646C7" w14:textId="77777777" w:rsidR="0068777C" w:rsidRPr="00256982" w:rsidRDefault="0068777C" w:rsidP="0068777C">
      <w:pPr>
        <w:pStyle w:val="Table"/>
      </w:pPr>
      <w:bookmarkStart w:id="537" w:name="_Toc441830869"/>
      <w:bookmarkStart w:id="538" w:name="_Toc451176083"/>
      <w:bookmarkStart w:id="539" w:name="_Toc481751509"/>
      <w:bookmarkStart w:id="540" w:name="_Toc507158599"/>
      <w:bookmarkStart w:id="541" w:name="_Toc511116733"/>
      <w:bookmarkStart w:id="542" w:name="_Toc5269473"/>
      <w:r w:rsidRPr="00256982">
        <w:t>Table 5.2.2</w:t>
      </w:r>
      <w:r w:rsidRPr="00256982">
        <w:tab/>
        <w:t>Methane (CH</w:t>
      </w:r>
      <w:r w:rsidRPr="00256982">
        <w:rPr>
          <w:vertAlign w:val="subscript"/>
        </w:rPr>
        <w:t>4</w:t>
      </w:r>
      <w:r w:rsidRPr="00256982">
        <w:t>) emissions and gross energy intake (GEI) from New Zealand measurements and IPCC (2006) default values</w:t>
      </w:r>
      <w:bookmarkEnd w:id="537"/>
      <w:bookmarkEnd w:id="538"/>
      <w:bookmarkEnd w:id="539"/>
      <w:bookmarkEnd w:id="540"/>
      <w:bookmarkEnd w:id="541"/>
      <w:bookmarkEnd w:id="542"/>
    </w:p>
    <w:tbl>
      <w:tblPr>
        <w:tblW w:w="8505" w:type="dxa"/>
        <w:tblInd w:w="108" w:type="dxa"/>
        <w:tblBorders>
          <w:top w:val="single" w:sz="4" w:space="0" w:color="365F91"/>
          <w:bottom w:val="single" w:sz="4" w:space="0" w:color="365F91"/>
          <w:insideH w:val="single" w:sz="4" w:space="0" w:color="365F91"/>
        </w:tblBorders>
        <w:tblLayout w:type="fixed"/>
        <w:tblLook w:val="0000" w:firstRow="0" w:lastRow="0" w:firstColumn="0" w:lastColumn="0" w:noHBand="0" w:noVBand="0"/>
      </w:tblPr>
      <w:tblGrid>
        <w:gridCol w:w="3828"/>
        <w:gridCol w:w="1134"/>
        <w:gridCol w:w="1559"/>
        <w:gridCol w:w="1984"/>
      </w:tblGrid>
      <w:tr w:rsidR="0068777C" w:rsidRPr="00256982" w14:paraId="4A6EE5C3" w14:textId="77777777" w:rsidTr="0068777C">
        <w:trPr>
          <w:tblHeader/>
        </w:trPr>
        <w:tc>
          <w:tcPr>
            <w:tcW w:w="3828" w:type="dxa"/>
            <w:shd w:val="clear" w:color="auto" w:fill="365F91"/>
            <w:vAlign w:val="bottom"/>
          </w:tcPr>
          <w:p w14:paraId="0B662DB1" w14:textId="77777777" w:rsidR="0068777C" w:rsidRPr="00256982" w:rsidRDefault="0068777C" w:rsidP="0068777C">
            <w:pPr>
              <w:pStyle w:val="TableTextBold"/>
              <w:keepNext/>
              <w:rPr>
                <w:noProof w:val="0"/>
                <w:color w:val="FFFFFF"/>
              </w:rPr>
            </w:pPr>
          </w:p>
        </w:tc>
        <w:tc>
          <w:tcPr>
            <w:tcW w:w="1134" w:type="dxa"/>
            <w:shd w:val="clear" w:color="auto" w:fill="365F91"/>
            <w:vAlign w:val="bottom"/>
          </w:tcPr>
          <w:p w14:paraId="69F39A44" w14:textId="77777777" w:rsidR="0068777C" w:rsidRPr="00256982" w:rsidRDefault="0068777C" w:rsidP="0068777C">
            <w:pPr>
              <w:pStyle w:val="TableTextBold"/>
              <w:keepNext/>
              <w:jc w:val="center"/>
              <w:rPr>
                <w:noProof w:val="0"/>
                <w:color w:val="FFFFFF"/>
              </w:rPr>
            </w:pPr>
            <w:r w:rsidRPr="00256982">
              <w:rPr>
                <w:noProof w:val="0"/>
                <w:color w:val="FFFFFF"/>
              </w:rPr>
              <w:t>Adult cattle</w:t>
            </w:r>
          </w:p>
        </w:tc>
        <w:tc>
          <w:tcPr>
            <w:tcW w:w="1559" w:type="dxa"/>
            <w:shd w:val="clear" w:color="auto" w:fill="365F91"/>
            <w:vAlign w:val="bottom"/>
          </w:tcPr>
          <w:p w14:paraId="41722108" w14:textId="77777777" w:rsidR="0068777C" w:rsidRPr="00256982" w:rsidRDefault="0068777C" w:rsidP="0068777C">
            <w:pPr>
              <w:pStyle w:val="TableTextBold"/>
              <w:keepNext/>
              <w:jc w:val="center"/>
              <w:rPr>
                <w:noProof w:val="0"/>
                <w:color w:val="FFFFFF"/>
              </w:rPr>
            </w:pPr>
            <w:r w:rsidRPr="00256982">
              <w:rPr>
                <w:noProof w:val="0"/>
                <w:color w:val="FFFFFF"/>
              </w:rPr>
              <w:t xml:space="preserve">Adult sheep </w:t>
            </w:r>
            <w:r w:rsidRPr="00256982">
              <w:rPr>
                <w:noProof w:val="0"/>
                <w:color w:val="FFFFFF"/>
              </w:rPr>
              <w:br/>
              <w:t>(&gt; 1 year)</w:t>
            </w:r>
          </w:p>
        </w:tc>
        <w:tc>
          <w:tcPr>
            <w:tcW w:w="1984" w:type="dxa"/>
            <w:shd w:val="clear" w:color="auto" w:fill="365F91"/>
            <w:vAlign w:val="bottom"/>
          </w:tcPr>
          <w:p w14:paraId="526A132F" w14:textId="77777777" w:rsidR="0068777C" w:rsidRPr="00256982" w:rsidRDefault="0068777C" w:rsidP="0068777C">
            <w:pPr>
              <w:pStyle w:val="TableTextBold"/>
              <w:keepNext/>
              <w:jc w:val="center"/>
              <w:rPr>
                <w:noProof w:val="0"/>
                <w:color w:val="FFFFFF"/>
              </w:rPr>
            </w:pPr>
            <w:r w:rsidRPr="00256982">
              <w:rPr>
                <w:noProof w:val="0"/>
                <w:color w:val="FFFFFF"/>
              </w:rPr>
              <w:t>Young sheep (&lt; 1 year)</w:t>
            </w:r>
          </w:p>
        </w:tc>
      </w:tr>
      <w:tr w:rsidR="0068777C" w:rsidRPr="00256982" w14:paraId="388ABF5C" w14:textId="77777777" w:rsidTr="0068777C">
        <w:tc>
          <w:tcPr>
            <w:tcW w:w="3828" w:type="dxa"/>
            <w:vAlign w:val="bottom"/>
          </w:tcPr>
          <w:p w14:paraId="1B715511" w14:textId="77777777" w:rsidR="0068777C" w:rsidRPr="00256982" w:rsidRDefault="0068777C" w:rsidP="0068777C">
            <w:pPr>
              <w:pStyle w:val="TableText"/>
              <w:keepNext/>
            </w:pPr>
            <w:r w:rsidRPr="00256982">
              <w:t>New Zealand CH</w:t>
            </w:r>
            <w:r w:rsidRPr="00256982">
              <w:rPr>
                <w:vertAlign w:val="subscript"/>
              </w:rPr>
              <w:t>4</w:t>
            </w:r>
            <w:r w:rsidRPr="00256982">
              <w:t xml:space="preserve"> emission rates from Clark et al. (2003) and Swainson et al. (2016) (g CH</w:t>
            </w:r>
            <w:r w:rsidRPr="00256982">
              <w:rPr>
                <w:vertAlign w:val="subscript"/>
              </w:rPr>
              <w:t>4</w:t>
            </w:r>
            <w:r w:rsidRPr="00256982">
              <w:t>/kg DM)</w:t>
            </w:r>
          </w:p>
        </w:tc>
        <w:tc>
          <w:tcPr>
            <w:tcW w:w="1134" w:type="dxa"/>
            <w:vAlign w:val="bottom"/>
          </w:tcPr>
          <w:p w14:paraId="65D91DE1" w14:textId="77777777" w:rsidR="0068777C" w:rsidRPr="00256982" w:rsidRDefault="0068777C" w:rsidP="0068777C">
            <w:pPr>
              <w:pStyle w:val="TableText"/>
              <w:keepNext/>
              <w:jc w:val="center"/>
            </w:pPr>
            <w:r w:rsidRPr="00256982">
              <w:t>21.6 × DM</w:t>
            </w:r>
          </w:p>
        </w:tc>
        <w:tc>
          <w:tcPr>
            <w:tcW w:w="1559" w:type="dxa"/>
            <w:vAlign w:val="bottom"/>
          </w:tcPr>
          <w:p w14:paraId="555C1D20" w14:textId="77777777" w:rsidR="0068777C" w:rsidRPr="00256982" w:rsidRDefault="0068777C" w:rsidP="0068777C">
            <w:pPr>
              <w:pStyle w:val="TableText"/>
              <w:keepNext/>
              <w:jc w:val="center"/>
            </w:pPr>
            <w:r w:rsidRPr="00256982">
              <w:t>21.977 × DM</w:t>
            </w:r>
            <w:r w:rsidRPr="00256982">
              <w:rPr>
                <w:vertAlign w:val="superscript"/>
              </w:rPr>
              <w:t>0.765</w:t>
            </w:r>
          </w:p>
        </w:tc>
        <w:tc>
          <w:tcPr>
            <w:tcW w:w="1984" w:type="dxa"/>
            <w:vAlign w:val="bottom"/>
          </w:tcPr>
          <w:p w14:paraId="49D62D0A" w14:textId="77777777" w:rsidR="0068777C" w:rsidRPr="00256982" w:rsidRDefault="0068777C" w:rsidP="0068777C">
            <w:pPr>
              <w:pStyle w:val="TableText"/>
              <w:keepNext/>
              <w:jc w:val="center"/>
            </w:pPr>
            <w:r w:rsidRPr="00256982">
              <w:t>11.705 × e</w:t>
            </w:r>
            <w:r w:rsidRPr="00256982">
              <w:rPr>
                <w:vertAlign w:val="superscript"/>
              </w:rPr>
              <w:t>0.5ME</w:t>
            </w:r>
            <w:r w:rsidRPr="00256982">
              <w:t xml:space="preserve"> × DM</w:t>
            </w:r>
            <w:r w:rsidRPr="00256982">
              <w:rPr>
                <w:vertAlign w:val="superscript"/>
              </w:rPr>
              <w:t>0.734</w:t>
            </w:r>
          </w:p>
        </w:tc>
      </w:tr>
      <w:tr w:rsidR="0068777C" w:rsidRPr="00256982" w14:paraId="3CC6FEEF" w14:textId="77777777" w:rsidTr="0068777C">
        <w:tc>
          <w:tcPr>
            <w:tcW w:w="3828" w:type="dxa"/>
            <w:shd w:val="clear" w:color="auto" w:fill="auto"/>
            <w:vAlign w:val="bottom"/>
          </w:tcPr>
          <w:p w14:paraId="3DDC0763" w14:textId="77777777" w:rsidR="0068777C" w:rsidRPr="00256982" w:rsidRDefault="0068777C" w:rsidP="0068777C">
            <w:pPr>
              <w:pStyle w:val="TableText"/>
            </w:pPr>
            <w:r w:rsidRPr="00256982">
              <w:t>New Zealand data (GEI, %)</w:t>
            </w:r>
          </w:p>
        </w:tc>
        <w:tc>
          <w:tcPr>
            <w:tcW w:w="1134" w:type="dxa"/>
            <w:shd w:val="clear" w:color="auto" w:fill="auto"/>
            <w:vAlign w:val="bottom"/>
          </w:tcPr>
          <w:p w14:paraId="3D142813" w14:textId="77777777" w:rsidR="0068777C" w:rsidRPr="00256982" w:rsidRDefault="0068777C" w:rsidP="0068777C">
            <w:pPr>
              <w:pStyle w:val="TableText"/>
              <w:jc w:val="center"/>
            </w:pPr>
            <w:r w:rsidRPr="00256982">
              <w:t>6.5</w:t>
            </w:r>
          </w:p>
        </w:tc>
        <w:tc>
          <w:tcPr>
            <w:tcW w:w="1559" w:type="dxa"/>
            <w:shd w:val="clear" w:color="auto" w:fill="auto"/>
            <w:vAlign w:val="bottom"/>
          </w:tcPr>
          <w:p w14:paraId="495222D7" w14:textId="77777777" w:rsidR="0068777C" w:rsidRPr="00256982" w:rsidRDefault="0068777C" w:rsidP="0068777C">
            <w:pPr>
              <w:pStyle w:val="TableText"/>
              <w:jc w:val="center"/>
            </w:pPr>
            <w:r w:rsidRPr="00256982">
              <w:t>–</w:t>
            </w:r>
          </w:p>
        </w:tc>
        <w:tc>
          <w:tcPr>
            <w:tcW w:w="1984" w:type="dxa"/>
            <w:shd w:val="clear" w:color="auto" w:fill="auto"/>
            <w:vAlign w:val="bottom"/>
          </w:tcPr>
          <w:p w14:paraId="6F0F65F3" w14:textId="77777777" w:rsidR="0068777C" w:rsidRPr="00256982" w:rsidRDefault="0068777C" w:rsidP="0068777C">
            <w:pPr>
              <w:pStyle w:val="TableText"/>
              <w:jc w:val="center"/>
            </w:pPr>
            <w:r w:rsidRPr="00256982">
              <w:t>–</w:t>
            </w:r>
          </w:p>
        </w:tc>
      </w:tr>
      <w:tr w:rsidR="0068777C" w:rsidRPr="00256982" w14:paraId="0F88D543" w14:textId="77777777" w:rsidTr="0068777C">
        <w:tc>
          <w:tcPr>
            <w:tcW w:w="3828" w:type="dxa"/>
            <w:vAlign w:val="bottom"/>
          </w:tcPr>
          <w:p w14:paraId="392EE0C7" w14:textId="77777777" w:rsidR="0068777C" w:rsidRPr="00256982" w:rsidRDefault="0068777C" w:rsidP="0068777C">
            <w:pPr>
              <w:pStyle w:val="TableText"/>
            </w:pPr>
            <w:r w:rsidRPr="00256982">
              <w:t>IPCC (2006) default Y</w:t>
            </w:r>
            <w:r w:rsidRPr="00256982">
              <w:rPr>
                <w:vertAlign w:val="subscript"/>
              </w:rPr>
              <w:t>m</w:t>
            </w:r>
            <w:r w:rsidRPr="00256982">
              <w:t xml:space="preserve"> values (GEI, %)</w:t>
            </w:r>
          </w:p>
        </w:tc>
        <w:tc>
          <w:tcPr>
            <w:tcW w:w="1134" w:type="dxa"/>
            <w:vAlign w:val="bottom"/>
          </w:tcPr>
          <w:p w14:paraId="567216D8" w14:textId="77777777" w:rsidR="0068777C" w:rsidRPr="00256982" w:rsidRDefault="0068777C" w:rsidP="0068777C">
            <w:pPr>
              <w:pStyle w:val="TableText"/>
              <w:jc w:val="center"/>
            </w:pPr>
            <w:r w:rsidRPr="00256982">
              <w:t>6.5 ± 1.0</w:t>
            </w:r>
          </w:p>
        </w:tc>
        <w:tc>
          <w:tcPr>
            <w:tcW w:w="1559" w:type="dxa"/>
            <w:vAlign w:val="bottom"/>
          </w:tcPr>
          <w:p w14:paraId="71E35387" w14:textId="77777777" w:rsidR="0068777C" w:rsidRPr="00256982" w:rsidRDefault="0068777C" w:rsidP="0068777C">
            <w:pPr>
              <w:pStyle w:val="TableText"/>
              <w:jc w:val="center"/>
            </w:pPr>
            <w:r w:rsidRPr="00256982">
              <w:t>6.5 ± 1.0</w:t>
            </w:r>
          </w:p>
        </w:tc>
        <w:tc>
          <w:tcPr>
            <w:tcW w:w="1984" w:type="dxa"/>
            <w:vAlign w:val="bottom"/>
          </w:tcPr>
          <w:p w14:paraId="390853EF" w14:textId="77777777" w:rsidR="0068777C" w:rsidRPr="00256982" w:rsidRDefault="0068777C" w:rsidP="0068777C">
            <w:pPr>
              <w:pStyle w:val="TableText"/>
              <w:jc w:val="center"/>
            </w:pPr>
            <w:r w:rsidRPr="00256982">
              <w:t>4.5 ± 1.0</w:t>
            </w:r>
          </w:p>
        </w:tc>
      </w:tr>
    </w:tbl>
    <w:p w14:paraId="0F6A323A" w14:textId="77777777" w:rsidR="0068777C" w:rsidRPr="00256982" w:rsidRDefault="0068777C" w:rsidP="0068777C">
      <w:pPr>
        <w:pStyle w:val="Noteundertable"/>
      </w:pPr>
      <w:r w:rsidRPr="00256982">
        <w:rPr>
          <w:b/>
        </w:rPr>
        <w:t xml:space="preserve">Note: </w:t>
      </w:r>
      <w:r w:rsidRPr="00256982">
        <w:tab/>
        <w:t>DM = dry matter; Y</w:t>
      </w:r>
      <w:r w:rsidRPr="00256982">
        <w:rPr>
          <w:vertAlign w:val="subscript"/>
        </w:rPr>
        <w:t>m</w:t>
      </w:r>
      <w:r w:rsidRPr="00256982">
        <w:t xml:space="preserve"> = methane yield, ME = metabolisable energy.</w:t>
      </w:r>
    </w:p>
    <w:p w14:paraId="78158819" w14:textId="77777777" w:rsidR="0068777C" w:rsidRPr="00256982" w:rsidRDefault="0068777C" w:rsidP="0068777C">
      <w:pPr>
        <w:pStyle w:val="BodyText"/>
      </w:pPr>
      <w:r w:rsidRPr="00256982">
        <w:t>The adult dairy cattle value is applied to all dairy and non-dairy cattle, irrespective of age. The average of the adult cow and the (now defunct) CH</w:t>
      </w:r>
      <w:r w:rsidRPr="00256982">
        <w:rPr>
          <w:vertAlign w:val="subscript"/>
        </w:rPr>
        <w:t>4</w:t>
      </w:r>
      <w:r w:rsidRPr="00256982">
        <w:t xml:space="preserve"> emission rate for adult ewes, used in prior versions of the National Inventory Report (21.25 g CH</w:t>
      </w:r>
      <w:r w:rsidRPr="00256982">
        <w:rPr>
          <w:vertAlign w:val="subscript"/>
        </w:rPr>
        <w:t>4</w:t>
      </w:r>
      <w:r w:rsidRPr="00256982">
        <w:t>/kg DMI), is assumed to apply to all deer (Clark et al., 2003). In very young animals receiving a milk diet, no CH</w:t>
      </w:r>
      <w:r w:rsidRPr="00256982">
        <w:rPr>
          <w:vertAlign w:val="subscript"/>
        </w:rPr>
        <w:t>4</w:t>
      </w:r>
      <w:r w:rsidRPr="00256982">
        <w:t xml:space="preserve"> emissions are assumed to arise from the milk portion of the diet. </w:t>
      </w:r>
    </w:p>
    <w:p w14:paraId="6D132DA7" w14:textId="77777777" w:rsidR="0068777C" w:rsidRPr="00256982" w:rsidRDefault="0068777C" w:rsidP="0068777C">
      <w:pPr>
        <w:pStyle w:val="BodyText"/>
        <w:rPr>
          <w:highlight w:val="yellow"/>
        </w:rPr>
      </w:pPr>
      <w:r w:rsidRPr="00256982">
        <w:t>Table 5.2.3 shows a time series of CH</w:t>
      </w:r>
      <w:r w:rsidRPr="00256982">
        <w:rPr>
          <w:vertAlign w:val="subscript"/>
        </w:rPr>
        <w:t>4</w:t>
      </w:r>
      <w:r w:rsidRPr="00256982">
        <w:t xml:space="preserve"> IEFs (total emissions produced per animal type divided by the population of animals) for dairy cattle, non-dairy cattle, sheep and deer. New Zealand experiences significant inter-annual variability in these IEFs, which is explained further in section 5.1.1.</w:t>
      </w:r>
    </w:p>
    <w:p w14:paraId="13CB4234" w14:textId="77777777" w:rsidR="0068777C" w:rsidRPr="00256982" w:rsidRDefault="0068777C" w:rsidP="0068777C">
      <w:pPr>
        <w:pStyle w:val="Table"/>
      </w:pPr>
      <w:bookmarkStart w:id="543" w:name="_Toc441830870"/>
      <w:bookmarkStart w:id="544" w:name="_Toc451176084"/>
      <w:bookmarkStart w:id="545" w:name="_Toc481751510"/>
      <w:bookmarkStart w:id="546" w:name="_Toc507158600"/>
      <w:bookmarkStart w:id="547" w:name="_Toc511116734"/>
      <w:bookmarkStart w:id="548" w:name="_Toc5269474"/>
      <w:r w:rsidRPr="00256982">
        <w:t>Table 5.2.3</w:t>
      </w:r>
      <w:r w:rsidRPr="00256982">
        <w:tab/>
        <w:t>New Zealand’s implied emission factors for enteric fermentation from 1990 to</w:t>
      </w:r>
      <w:bookmarkEnd w:id="543"/>
      <w:bookmarkEnd w:id="544"/>
      <w:bookmarkEnd w:id="545"/>
      <w:r w:rsidRPr="00256982">
        <w:t> 201</w:t>
      </w:r>
      <w:bookmarkEnd w:id="546"/>
      <w:bookmarkEnd w:id="547"/>
      <w:r w:rsidRPr="00256982">
        <w:t>7</w:t>
      </w:r>
      <w:bookmarkEnd w:id="548"/>
    </w:p>
    <w:tbl>
      <w:tblPr>
        <w:tblW w:w="8505" w:type="dxa"/>
        <w:tblInd w:w="108" w:type="dxa"/>
        <w:tblBorders>
          <w:top w:val="single" w:sz="4" w:space="0" w:color="365F91"/>
          <w:bottom w:val="single" w:sz="4" w:space="0" w:color="365F91"/>
          <w:insideH w:val="single" w:sz="4" w:space="0" w:color="365F91"/>
        </w:tblBorders>
        <w:tblLayout w:type="fixed"/>
        <w:tblLook w:val="0000" w:firstRow="0" w:lastRow="0" w:firstColumn="0" w:lastColumn="0" w:noHBand="0" w:noVBand="0"/>
      </w:tblPr>
      <w:tblGrid>
        <w:gridCol w:w="1200"/>
        <w:gridCol w:w="1810"/>
        <w:gridCol w:w="1810"/>
        <w:gridCol w:w="1869"/>
        <w:gridCol w:w="1816"/>
      </w:tblGrid>
      <w:tr w:rsidR="0068777C" w:rsidRPr="00256982" w14:paraId="46553B2B" w14:textId="77777777" w:rsidTr="0068777C">
        <w:trPr>
          <w:tblHeader/>
        </w:trPr>
        <w:tc>
          <w:tcPr>
            <w:tcW w:w="1200" w:type="dxa"/>
            <w:shd w:val="clear" w:color="auto" w:fill="365F91"/>
            <w:vAlign w:val="bottom"/>
          </w:tcPr>
          <w:p w14:paraId="77B772F8" w14:textId="77777777" w:rsidR="0068777C" w:rsidRPr="00256982" w:rsidRDefault="0068777C" w:rsidP="0068777C">
            <w:pPr>
              <w:pStyle w:val="TableTextBold"/>
              <w:keepNext/>
              <w:rPr>
                <w:noProof w:val="0"/>
                <w:color w:val="FFFFFF"/>
                <w:szCs w:val="16"/>
              </w:rPr>
            </w:pPr>
            <w:r w:rsidRPr="00256982">
              <w:rPr>
                <w:noProof w:val="0"/>
                <w:color w:val="FFFFFF"/>
                <w:szCs w:val="16"/>
              </w:rPr>
              <w:t>Year</w:t>
            </w:r>
          </w:p>
        </w:tc>
        <w:tc>
          <w:tcPr>
            <w:tcW w:w="1810" w:type="dxa"/>
            <w:shd w:val="clear" w:color="auto" w:fill="365F91"/>
            <w:vAlign w:val="bottom"/>
          </w:tcPr>
          <w:p w14:paraId="53C28922" w14:textId="77777777" w:rsidR="0068777C" w:rsidRPr="00256982" w:rsidRDefault="0068777C" w:rsidP="0068777C">
            <w:pPr>
              <w:pStyle w:val="TableTextBold"/>
              <w:jc w:val="center"/>
              <w:rPr>
                <w:rFonts w:cs="Arial"/>
                <w:noProof w:val="0"/>
                <w:color w:val="FFFFFF"/>
                <w:szCs w:val="16"/>
              </w:rPr>
            </w:pPr>
            <w:r w:rsidRPr="00256982">
              <w:rPr>
                <w:rFonts w:cs="Arial"/>
                <w:noProof w:val="0"/>
                <w:color w:val="FFFFFF"/>
                <w:szCs w:val="16"/>
              </w:rPr>
              <w:t>Dairy cattle</w:t>
            </w:r>
            <w:r w:rsidRPr="00256982">
              <w:rPr>
                <w:rFonts w:cs="Arial"/>
                <w:noProof w:val="0"/>
                <w:color w:val="FFFFFF"/>
                <w:szCs w:val="16"/>
              </w:rPr>
              <w:br/>
            </w:r>
            <w:r w:rsidRPr="00256982">
              <w:rPr>
                <w:noProof w:val="0"/>
                <w:color w:val="FFFFFF"/>
                <w:szCs w:val="16"/>
              </w:rPr>
              <w:t>(kg CH</w:t>
            </w:r>
            <w:r w:rsidRPr="00256982">
              <w:rPr>
                <w:noProof w:val="0"/>
                <w:color w:val="FFFFFF"/>
                <w:szCs w:val="16"/>
                <w:vertAlign w:val="subscript"/>
              </w:rPr>
              <w:t xml:space="preserve">4 </w:t>
            </w:r>
            <w:r w:rsidRPr="00256982">
              <w:rPr>
                <w:noProof w:val="0"/>
                <w:color w:val="FFFFFF"/>
                <w:szCs w:val="16"/>
              </w:rPr>
              <w:t>per animal per annum)</w:t>
            </w:r>
          </w:p>
        </w:tc>
        <w:tc>
          <w:tcPr>
            <w:tcW w:w="1810" w:type="dxa"/>
            <w:shd w:val="clear" w:color="auto" w:fill="365F91"/>
            <w:vAlign w:val="bottom"/>
          </w:tcPr>
          <w:p w14:paraId="6913ACB3" w14:textId="77777777" w:rsidR="0068777C" w:rsidRPr="00256982" w:rsidRDefault="0068777C" w:rsidP="0068777C">
            <w:pPr>
              <w:pStyle w:val="TableTextBold"/>
              <w:jc w:val="center"/>
              <w:rPr>
                <w:rFonts w:cs="Arial"/>
                <w:noProof w:val="0"/>
                <w:color w:val="FFFFFF"/>
                <w:szCs w:val="16"/>
              </w:rPr>
            </w:pPr>
            <w:r w:rsidRPr="00256982">
              <w:rPr>
                <w:rFonts w:cs="Arial"/>
                <w:noProof w:val="0"/>
                <w:color w:val="FFFFFF"/>
                <w:szCs w:val="16"/>
              </w:rPr>
              <w:t xml:space="preserve">Non-dairy cattle </w:t>
            </w:r>
            <w:r w:rsidRPr="00256982">
              <w:rPr>
                <w:noProof w:val="0"/>
                <w:color w:val="FFFFFF"/>
                <w:szCs w:val="16"/>
              </w:rPr>
              <w:t>(kg CH</w:t>
            </w:r>
            <w:r w:rsidRPr="00256982">
              <w:rPr>
                <w:noProof w:val="0"/>
                <w:color w:val="FFFFFF"/>
                <w:szCs w:val="16"/>
                <w:vertAlign w:val="subscript"/>
              </w:rPr>
              <w:t xml:space="preserve">4 </w:t>
            </w:r>
            <w:r w:rsidRPr="00256982">
              <w:rPr>
                <w:noProof w:val="0"/>
                <w:color w:val="FFFFFF"/>
                <w:szCs w:val="16"/>
              </w:rPr>
              <w:t>per animal per annum)</w:t>
            </w:r>
          </w:p>
        </w:tc>
        <w:tc>
          <w:tcPr>
            <w:tcW w:w="1869" w:type="dxa"/>
            <w:shd w:val="clear" w:color="auto" w:fill="365F91"/>
            <w:vAlign w:val="bottom"/>
          </w:tcPr>
          <w:p w14:paraId="32D53694" w14:textId="77777777" w:rsidR="0068777C" w:rsidRPr="00256982" w:rsidRDefault="0068777C" w:rsidP="0068777C">
            <w:pPr>
              <w:pStyle w:val="TableTextBold"/>
              <w:jc w:val="center"/>
              <w:rPr>
                <w:rFonts w:cs="Arial"/>
                <w:noProof w:val="0"/>
                <w:color w:val="FFFFFF"/>
                <w:szCs w:val="16"/>
              </w:rPr>
            </w:pPr>
            <w:r w:rsidRPr="00256982">
              <w:rPr>
                <w:rFonts w:cs="Arial"/>
                <w:noProof w:val="0"/>
                <w:color w:val="FFFFFF"/>
                <w:szCs w:val="16"/>
              </w:rPr>
              <w:t>Sheep, all</w:t>
            </w:r>
            <w:r w:rsidRPr="00256982">
              <w:rPr>
                <w:rFonts w:cs="Arial"/>
                <w:noProof w:val="0"/>
                <w:color w:val="FFFFFF"/>
                <w:szCs w:val="16"/>
              </w:rPr>
              <w:br/>
            </w:r>
            <w:r w:rsidRPr="00256982">
              <w:rPr>
                <w:noProof w:val="0"/>
                <w:color w:val="FFFFFF"/>
                <w:szCs w:val="16"/>
              </w:rPr>
              <w:t>(kg CH</w:t>
            </w:r>
            <w:r w:rsidRPr="00256982">
              <w:rPr>
                <w:noProof w:val="0"/>
                <w:color w:val="FFFFFF"/>
                <w:szCs w:val="16"/>
                <w:vertAlign w:val="subscript"/>
              </w:rPr>
              <w:t xml:space="preserve">4 </w:t>
            </w:r>
            <w:r w:rsidRPr="00256982">
              <w:rPr>
                <w:noProof w:val="0"/>
                <w:color w:val="FFFFFF"/>
                <w:szCs w:val="16"/>
              </w:rPr>
              <w:t>per animal per annum)</w:t>
            </w:r>
          </w:p>
        </w:tc>
        <w:tc>
          <w:tcPr>
            <w:tcW w:w="1816" w:type="dxa"/>
            <w:shd w:val="clear" w:color="auto" w:fill="365F91"/>
            <w:vAlign w:val="bottom"/>
          </w:tcPr>
          <w:p w14:paraId="389BA6A8" w14:textId="77777777" w:rsidR="0068777C" w:rsidRPr="00256982" w:rsidRDefault="0068777C" w:rsidP="0068777C">
            <w:pPr>
              <w:pStyle w:val="TableTextBold"/>
              <w:jc w:val="center"/>
              <w:rPr>
                <w:rFonts w:cs="Arial"/>
                <w:noProof w:val="0"/>
                <w:color w:val="FFFFFF"/>
                <w:szCs w:val="16"/>
              </w:rPr>
            </w:pPr>
            <w:r w:rsidRPr="00256982">
              <w:rPr>
                <w:rFonts w:cs="Arial"/>
                <w:noProof w:val="0"/>
                <w:color w:val="FFFFFF"/>
                <w:szCs w:val="16"/>
              </w:rPr>
              <w:t xml:space="preserve">Deer </w:t>
            </w:r>
            <w:r w:rsidRPr="00256982">
              <w:rPr>
                <w:noProof w:val="0"/>
                <w:color w:val="FFFFFF"/>
                <w:szCs w:val="16"/>
              </w:rPr>
              <w:t>(kg CH</w:t>
            </w:r>
            <w:r w:rsidRPr="00256982">
              <w:rPr>
                <w:noProof w:val="0"/>
                <w:color w:val="FFFFFF"/>
                <w:szCs w:val="16"/>
                <w:vertAlign w:val="subscript"/>
              </w:rPr>
              <w:t xml:space="preserve">4 </w:t>
            </w:r>
            <w:r w:rsidRPr="00256982">
              <w:rPr>
                <w:noProof w:val="0"/>
                <w:color w:val="FFFFFF"/>
                <w:szCs w:val="16"/>
              </w:rPr>
              <w:t>per animal per annum)</w:t>
            </w:r>
          </w:p>
        </w:tc>
      </w:tr>
      <w:tr w:rsidR="0068777C" w:rsidRPr="00256982" w14:paraId="307176F0" w14:textId="77777777" w:rsidTr="0068777C">
        <w:tc>
          <w:tcPr>
            <w:tcW w:w="1200" w:type="dxa"/>
          </w:tcPr>
          <w:p w14:paraId="4ECBCD0B" w14:textId="77777777" w:rsidR="0068777C" w:rsidRPr="00256982" w:rsidRDefault="0068777C" w:rsidP="0068777C">
            <w:pPr>
              <w:pStyle w:val="TableText"/>
              <w:keepNext/>
              <w:spacing w:before="40" w:after="40"/>
            </w:pPr>
            <w:r w:rsidRPr="00256982">
              <w:t>1990</w:t>
            </w:r>
          </w:p>
        </w:tc>
        <w:tc>
          <w:tcPr>
            <w:tcW w:w="1810" w:type="dxa"/>
          </w:tcPr>
          <w:p w14:paraId="7B85F277" w14:textId="77777777" w:rsidR="0068777C" w:rsidRPr="00256982" w:rsidRDefault="0068777C" w:rsidP="0068777C">
            <w:pPr>
              <w:pStyle w:val="TableText"/>
              <w:spacing w:before="40" w:after="40"/>
              <w:jc w:val="center"/>
            </w:pPr>
            <w:r w:rsidRPr="00256982">
              <w:t>68.9</w:t>
            </w:r>
          </w:p>
        </w:tc>
        <w:tc>
          <w:tcPr>
            <w:tcW w:w="1810" w:type="dxa"/>
          </w:tcPr>
          <w:p w14:paraId="5CB3A668" w14:textId="77777777" w:rsidR="0068777C" w:rsidRPr="00256982" w:rsidRDefault="0068777C" w:rsidP="0068777C">
            <w:pPr>
              <w:pStyle w:val="TableText"/>
              <w:spacing w:before="40" w:after="40"/>
              <w:jc w:val="center"/>
            </w:pPr>
            <w:r w:rsidRPr="00256982">
              <w:t>49.8</w:t>
            </w:r>
          </w:p>
        </w:tc>
        <w:tc>
          <w:tcPr>
            <w:tcW w:w="1869" w:type="dxa"/>
          </w:tcPr>
          <w:p w14:paraId="7303C243" w14:textId="77777777" w:rsidR="0068777C" w:rsidRPr="00256982" w:rsidRDefault="0068777C" w:rsidP="0068777C">
            <w:pPr>
              <w:pStyle w:val="TableText"/>
              <w:spacing w:before="40" w:after="40"/>
              <w:ind w:right="510"/>
              <w:jc w:val="right"/>
            </w:pPr>
            <w:r w:rsidRPr="00256982">
              <w:t>9.7</w:t>
            </w:r>
          </w:p>
        </w:tc>
        <w:tc>
          <w:tcPr>
            <w:tcW w:w="1816" w:type="dxa"/>
          </w:tcPr>
          <w:p w14:paraId="7240866A" w14:textId="77777777" w:rsidR="0068777C" w:rsidRPr="00256982" w:rsidRDefault="0068777C" w:rsidP="0068777C">
            <w:pPr>
              <w:pStyle w:val="TableText"/>
              <w:spacing w:before="40" w:after="40"/>
              <w:jc w:val="center"/>
            </w:pPr>
            <w:r w:rsidRPr="00256982">
              <w:t>17.8</w:t>
            </w:r>
          </w:p>
        </w:tc>
      </w:tr>
      <w:tr w:rsidR="0068777C" w:rsidRPr="00256982" w14:paraId="479017DE" w14:textId="77777777" w:rsidTr="0068777C">
        <w:tc>
          <w:tcPr>
            <w:tcW w:w="1200" w:type="dxa"/>
          </w:tcPr>
          <w:p w14:paraId="0BEC945B" w14:textId="77777777" w:rsidR="0068777C" w:rsidRPr="00256982" w:rsidRDefault="0068777C" w:rsidP="0068777C">
            <w:pPr>
              <w:pStyle w:val="TableText"/>
              <w:spacing w:before="40" w:after="40"/>
            </w:pPr>
            <w:r w:rsidRPr="00256982">
              <w:t>1991</w:t>
            </w:r>
          </w:p>
        </w:tc>
        <w:tc>
          <w:tcPr>
            <w:tcW w:w="1810" w:type="dxa"/>
          </w:tcPr>
          <w:p w14:paraId="0E041F42" w14:textId="77777777" w:rsidR="0068777C" w:rsidRPr="00256982" w:rsidRDefault="0068777C" w:rsidP="0068777C">
            <w:pPr>
              <w:pStyle w:val="TableText"/>
              <w:spacing w:before="40" w:after="40"/>
              <w:jc w:val="center"/>
            </w:pPr>
            <w:r w:rsidRPr="00256982">
              <w:t>71.9</w:t>
            </w:r>
          </w:p>
        </w:tc>
        <w:tc>
          <w:tcPr>
            <w:tcW w:w="1810" w:type="dxa"/>
          </w:tcPr>
          <w:p w14:paraId="4F2FE34B" w14:textId="77777777" w:rsidR="0068777C" w:rsidRPr="00256982" w:rsidRDefault="0068777C" w:rsidP="0068777C">
            <w:pPr>
              <w:pStyle w:val="TableText"/>
              <w:spacing w:before="40" w:after="40"/>
              <w:jc w:val="center"/>
            </w:pPr>
            <w:r w:rsidRPr="00256982">
              <w:t>51.3</w:t>
            </w:r>
          </w:p>
        </w:tc>
        <w:tc>
          <w:tcPr>
            <w:tcW w:w="1869" w:type="dxa"/>
          </w:tcPr>
          <w:p w14:paraId="7B2F968C" w14:textId="77777777" w:rsidR="0068777C" w:rsidRPr="00256982" w:rsidRDefault="0068777C" w:rsidP="0068777C">
            <w:pPr>
              <w:pStyle w:val="TableText"/>
              <w:spacing w:before="40" w:after="40"/>
              <w:ind w:right="510"/>
              <w:jc w:val="right"/>
            </w:pPr>
            <w:r w:rsidRPr="00256982">
              <w:t>9.9</w:t>
            </w:r>
          </w:p>
        </w:tc>
        <w:tc>
          <w:tcPr>
            <w:tcW w:w="1816" w:type="dxa"/>
          </w:tcPr>
          <w:p w14:paraId="6BAF850C" w14:textId="77777777" w:rsidR="0068777C" w:rsidRPr="00256982" w:rsidRDefault="0068777C" w:rsidP="0068777C">
            <w:pPr>
              <w:pStyle w:val="TableText"/>
              <w:spacing w:before="40" w:after="40"/>
              <w:jc w:val="center"/>
            </w:pPr>
            <w:r w:rsidRPr="00256982">
              <w:t>18.2</w:t>
            </w:r>
          </w:p>
        </w:tc>
      </w:tr>
      <w:tr w:rsidR="0068777C" w:rsidRPr="00256982" w14:paraId="2190C2E2" w14:textId="77777777" w:rsidTr="0068777C">
        <w:tc>
          <w:tcPr>
            <w:tcW w:w="1200" w:type="dxa"/>
          </w:tcPr>
          <w:p w14:paraId="7DF078E2" w14:textId="77777777" w:rsidR="0068777C" w:rsidRPr="00256982" w:rsidRDefault="0068777C" w:rsidP="0068777C">
            <w:pPr>
              <w:pStyle w:val="TableText"/>
              <w:spacing w:before="40" w:after="40"/>
            </w:pPr>
            <w:r w:rsidRPr="00256982">
              <w:t>1992</w:t>
            </w:r>
          </w:p>
        </w:tc>
        <w:tc>
          <w:tcPr>
            <w:tcW w:w="1810" w:type="dxa"/>
          </w:tcPr>
          <w:p w14:paraId="0D5A831F" w14:textId="77777777" w:rsidR="0068777C" w:rsidRPr="00256982" w:rsidRDefault="0068777C" w:rsidP="0068777C">
            <w:pPr>
              <w:pStyle w:val="TableText"/>
              <w:spacing w:before="40" w:after="40"/>
              <w:jc w:val="center"/>
            </w:pPr>
            <w:r w:rsidRPr="00256982">
              <w:t>72.5</w:t>
            </w:r>
          </w:p>
        </w:tc>
        <w:tc>
          <w:tcPr>
            <w:tcW w:w="1810" w:type="dxa"/>
          </w:tcPr>
          <w:p w14:paraId="6464EA0A" w14:textId="77777777" w:rsidR="0068777C" w:rsidRPr="00256982" w:rsidRDefault="0068777C" w:rsidP="0068777C">
            <w:pPr>
              <w:pStyle w:val="TableText"/>
              <w:spacing w:before="40" w:after="40"/>
              <w:jc w:val="center"/>
            </w:pPr>
            <w:r w:rsidRPr="00256982">
              <w:t>52.0</w:t>
            </w:r>
          </w:p>
        </w:tc>
        <w:tc>
          <w:tcPr>
            <w:tcW w:w="1869" w:type="dxa"/>
          </w:tcPr>
          <w:p w14:paraId="0E73812A" w14:textId="77777777" w:rsidR="0068777C" w:rsidRPr="00256982" w:rsidRDefault="0068777C" w:rsidP="0068777C">
            <w:pPr>
              <w:pStyle w:val="TableText"/>
              <w:spacing w:before="40" w:after="40"/>
              <w:ind w:right="510"/>
              <w:jc w:val="right"/>
            </w:pPr>
            <w:r w:rsidRPr="00256982">
              <w:t>9.9</w:t>
            </w:r>
          </w:p>
        </w:tc>
        <w:tc>
          <w:tcPr>
            <w:tcW w:w="1816" w:type="dxa"/>
          </w:tcPr>
          <w:p w14:paraId="002EE195" w14:textId="77777777" w:rsidR="0068777C" w:rsidRPr="00256982" w:rsidRDefault="0068777C" w:rsidP="0068777C">
            <w:pPr>
              <w:pStyle w:val="TableText"/>
              <w:spacing w:before="40" w:after="40"/>
              <w:jc w:val="center"/>
            </w:pPr>
            <w:r w:rsidRPr="00256982">
              <w:t>19.0</w:t>
            </w:r>
          </w:p>
        </w:tc>
      </w:tr>
      <w:tr w:rsidR="0068777C" w:rsidRPr="00256982" w14:paraId="24FF6EAE" w14:textId="77777777" w:rsidTr="0068777C">
        <w:tc>
          <w:tcPr>
            <w:tcW w:w="1200" w:type="dxa"/>
          </w:tcPr>
          <w:p w14:paraId="499122F5" w14:textId="77777777" w:rsidR="0068777C" w:rsidRPr="00256982" w:rsidRDefault="0068777C" w:rsidP="0068777C">
            <w:pPr>
              <w:pStyle w:val="TableText"/>
              <w:spacing w:before="40" w:after="40"/>
            </w:pPr>
            <w:r w:rsidRPr="00256982">
              <w:t>1993</w:t>
            </w:r>
          </w:p>
        </w:tc>
        <w:tc>
          <w:tcPr>
            <w:tcW w:w="1810" w:type="dxa"/>
          </w:tcPr>
          <w:p w14:paraId="5FF6E479" w14:textId="77777777" w:rsidR="0068777C" w:rsidRPr="00256982" w:rsidRDefault="0068777C" w:rsidP="0068777C">
            <w:pPr>
              <w:pStyle w:val="TableText"/>
              <w:spacing w:before="40" w:after="40"/>
              <w:jc w:val="center"/>
            </w:pPr>
            <w:r w:rsidRPr="00256982">
              <w:t>73.4</w:t>
            </w:r>
          </w:p>
        </w:tc>
        <w:tc>
          <w:tcPr>
            <w:tcW w:w="1810" w:type="dxa"/>
          </w:tcPr>
          <w:p w14:paraId="1DA7DD23" w14:textId="77777777" w:rsidR="0068777C" w:rsidRPr="00256982" w:rsidRDefault="0068777C" w:rsidP="0068777C">
            <w:pPr>
              <w:pStyle w:val="TableText"/>
              <w:spacing w:before="40" w:after="40"/>
              <w:jc w:val="center"/>
            </w:pPr>
            <w:r w:rsidRPr="00256982">
              <w:t>52.8</w:t>
            </w:r>
          </w:p>
        </w:tc>
        <w:tc>
          <w:tcPr>
            <w:tcW w:w="1869" w:type="dxa"/>
          </w:tcPr>
          <w:p w14:paraId="4BDB3FC3" w14:textId="77777777" w:rsidR="0068777C" w:rsidRPr="00256982" w:rsidRDefault="0068777C" w:rsidP="0068777C">
            <w:pPr>
              <w:pStyle w:val="TableText"/>
              <w:spacing w:before="40" w:after="40"/>
              <w:ind w:right="510"/>
              <w:jc w:val="right"/>
            </w:pPr>
            <w:r w:rsidRPr="00256982">
              <w:t>10.1</w:t>
            </w:r>
          </w:p>
        </w:tc>
        <w:tc>
          <w:tcPr>
            <w:tcW w:w="1816" w:type="dxa"/>
          </w:tcPr>
          <w:p w14:paraId="3529F096" w14:textId="77777777" w:rsidR="0068777C" w:rsidRPr="00256982" w:rsidRDefault="0068777C" w:rsidP="0068777C">
            <w:pPr>
              <w:pStyle w:val="TableText"/>
              <w:spacing w:before="40" w:after="40"/>
              <w:jc w:val="center"/>
            </w:pPr>
            <w:r w:rsidRPr="00256982">
              <w:t>19.5</w:t>
            </w:r>
          </w:p>
        </w:tc>
      </w:tr>
      <w:tr w:rsidR="0068777C" w:rsidRPr="00256982" w14:paraId="5C4E81CC" w14:textId="77777777" w:rsidTr="0068777C">
        <w:tc>
          <w:tcPr>
            <w:tcW w:w="1200" w:type="dxa"/>
          </w:tcPr>
          <w:p w14:paraId="7645C7EC" w14:textId="77777777" w:rsidR="0068777C" w:rsidRPr="00256982" w:rsidRDefault="0068777C" w:rsidP="0068777C">
            <w:pPr>
              <w:pStyle w:val="TableText"/>
              <w:spacing w:before="40" w:after="40"/>
            </w:pPr>
            <w:r w:rsidRPr="00256982">
              <w:t>1994</w:t>
            </w:r>
          </w:p>
        </w:tc>
        <w:tc>
          <w:tcPr>
            <w:tcW w:w="1810" w:type="dxa"/>
          </w:tcPr>
          <w:p w14:paraId="6E13AA35" w14:textId="77777777" w:rsidR="0068777C" w:rsidRPr="00256982" w:rsidRDefault="0068777C" w:rsidP="0068777C">
            <w:pPr>
              <w:pStyle w:val="TableText"/>
              <w:spacing w:before="40" w:after="40"/>
              <w:jc w:val="center"/>
            </w:pPr>
            <w:r w:rsidRPr="00256982">
              <w:t>72.0</w:t>
            </w:r>
          </w:p>
        </w:tc>
        <w:tc>
          <w:tcPr>
            <w:tcW w:w="1810" w:type="dxa"/>
          </w:tcPr>
          <w:p w14:paraId="0375AEAA" w14:textId="77777777" w:rsidR="0068777C" w:rsidRPr="00256982" w:rsidRDefault="0068777C" w:rsidP="0068777C">
            <w:pPr>
              <w:pStyle w:val="TableText"/>
              <w:spacing w:before="40" w:after="40"/>
              <w:jc w:val="center"/>
            </w:pPr>
            <w:r w:rsidRPr="00256982">
              <w:t>53.3</w:t>
            </w:r>
          </w:p>
        </w:tc>
        <w:tc>
          <w:tcPr>
            <w:tcW w:w="1869" w:type="dxa"/>
          </w:tcPr>
          <w:p w14:paraId="54BA6987" w14:textId="77777777" w:rsidR="0068777C" w:rsidRPr="00256982" w:rsidRDefault="0068777C" w:rsidP="0068777C">
            <w:pPr>
              <w:pStyle w:val="TableText"/>
              <w:spacing w:before="40" w:after="40"/>
              <w:ind w:right="510"/>
              <w:jc w:val="right"/>
            </w:pPr>
            <w:r w:rsidRPr="00256982">
              <w:t>10.2</w:t>
            </w:r>
          </w:p>
        </w:tc>
        <w:tc>
          <w:tcPr>
            <w:tcW w:w="1816" w:type="dxa"/>
          </w:tcPr>
          <w:p w14:paraId="0E6F3B9C" w14:textId="77777777" w:rsidR="0068777C" w:rsidRPr="00256982" w:rsidRDefault="0068777C" w:rsidP="0068777C">
            <w:pPr>
              <w:pStyle w:val="TableText"/>
              <w:spacing w:before="40" w:after="40"/>
              <w:jc w:val="center"/>
            </w:pPr>
            <w:r w:rsidRPr="00256982">
              <w:t>19.2</w:t>
            </w:r>
          </w:p>
        </w:tc>
      </w:tr>
      <w:tr w:rsidR="0068777C" w:rsidRPr="00256982" w14:paraId="3D55342D" w14:textId="77777777" w:rsidTr="0068777C">
        <w:tc>
          <w:tcPr>
            <w:tcW w:w="1200" w:type="dxa"/>
          </w:tcPr>
          <w:p w14:paraId="4AD65CCE" w14:textId="77777777" w:rsidR="0068777C" w:rsidRPr="00256982" w:rsidRDefault="0068777C" w:rsidP="0068777C">
            <w:pPr>
              <w:pStyle w:val="TableText"/>
              <w:spacing w:before="40" w:after="40"/>
            </w:pPr>
            <w:r w:rsidRPr="00256982">
              <w:t>1995</w:t>
            </w:r>
          </w:p>
        </w:tc>
        <w:tc>
          <w:tcPr>
            <w:tcW w:w="1810" w:type="dxa"/>
          </w:tcPr>
          <w:p w14:paraId="1CB321AE" w14:textId="77777777" w:rsidR="0068777C" w:rsidRPr="00256982" w:rsidRDefault="0068777C" w:rsidP="0068777C">
            <w:pPr>
              <w:pStyle w:val="TableText"/>
              <w:spacing w:before="40" w:after="40"/>
              <w:jc w:val="center"/>
            </w:pPr>
            <w:r w:rsidRPr="00256982">
              <w:t>71.7</w:t>
            </w:r>
          </w:p>
        </w:tc>
        <w:tc>
          <w:tcPr>
            <w:tcW w:w="1810" w:type="dxa"/>
          </w:tcPr>
          <w:p w14:paraId="1F1FD7B2" w14:textId="77777777" w:rsidR="0068777C" w:rsidRPr="00256982" w:rsidRDefault="0068777C" w:rsidP="0068777C">
            <w:pPr>
              <w:pStyle w:val="TableText"/>
              <w:spacing w:before="40" w:after="40"/>
              <w:jc w:val="center"/>
            </w:pPr>
            <w:r w:rsidRPr="00256982">
              <w:t>52.8</w:t>
            </w:r>
          </w:p>
        </w:tc>
        <w:tc>
          <w:tcPr>
            <w:tcW w:w="1869" w:type="dxa"/>
          </w:tcPr>
          <w:p w14:paraId="23A28615" w14:textId="77777777" w:rsidR="0068777C" w:rsidRPr="00256982" w:rsidRDefault="0068777C" w:rsidP="0068777C">
            <w:pPr>
              <w:pStyle w:val="TableText"/>
              <w:spacing w:before="40" w:after="40"/>
              <w:ind w:right="510"/>
              <w:jc w:val="right"/>
            </w:pPr>
            <w:r w:rsidRPr="00256982">
              <w:t>10.1</w:t>
            </w:r>
          </w:p>
        </w:tc>
        <w:tc>
          <w:tcPr>
            <w:tcW w:w="1816" w:type="dxa"/>
          </w:tcPr>
          <w:p w14:paraId="2CFE92DF" w14:textId="77777777" w:rsidR="0068777C" w:rsidRPr="00256982" w:rsidRDefault="0068777C" w:rsidP="0068777C">
            <w:pPr>
              <w:pStyle w:val="TableText"/>
              <w:spacing w:before="40" w:after="40"/>
              <w:jc w:val="center"/>
            </w:pPr>
            <w:r w:rsidRPr="00256982">
              <w:t>20.0</w:t>
            </w:r>
          </w:p>
        </w:tc>
      </w:tr>
      <w:tr w:rsidR="0068777C" w:rsidRPr="00256982" w14:paraId="7F9FA48B" w14:textId="77777777" w:rsidTr="0068777C">
        <w:tc>
          <w:tcPr>
            <w:tcW w:w="1200" w:type="dxa"/>
          </w:tcPr>
          <w:p w14:paraId="08BF80E9" w14:textId="77777777" w:rsidR="0068777C" w:rsidRPr="00256982" w:rsidRDefault="0068777C" w:rsidP="0068777C">
            <w:pPr>
              <w:pStyle w:val="TableText"/>
              <w:spacing w:before="40" w:after="40"/>
            </w:pPr>
            <w:r w:rsidRPr="00256982">
              <w:lastRenderedPageBreak/>
              <w:t>1996</w:t>
            </w:r>
          </w:p>
        </w:tc>
        <w:tc>
          <w:tcPr>
            <w:tcW w:w="1810" w:type="dxa"/>
          </w:tcPr>
          <w:p w14:paraId="35C126F6" w14:textId="77777777" w:rsidR="0068777C" w:rsidRPr="00256982" w:rsidRDefault="0068777C" w:rsidP="0068777C">
            <w:pPr>
              <w:pStyle w:val="TableText"/>
              <w:spacing w:before="40" w:after="40"/>
              <w:jc w:val="center"/>
            </w:pPr>
            <w:r w:rsidRPr="00256982">
              <w:t>74.1</w:t>
            </w:r>
          </w:p>
        </w:tc>
        <w:tc>
          <w:tcPr>
            <w:tcW w:w="1810" w:type="dxa"/>
          </w:tcPr>
          <w:p w14:paraId="4E008DAC" w14:textId="77777777" w:rsidR="0068777C" w:rsidRPr="00256982" w:rsidRDefault="0068777C" w:rsidP="0068777C">
            <w:pPr>
              <w:pStyle w:val="TableText"/>
              <w:spacing w:before="40" w:after="40"/>
              <w:jc w:val="center"/>
            </w:pPr>
            <w:r w:rsidRPr="00256982">
              <w:t>54.5</w:t>
            </w:r>
          </w:p>
        </w:tc>
        <w:tc>
          <w:tcPr>
            <w:tcW w:w="1869" w:type="dxa"/>
          </w:tcPr>
          <w:p w14:paraId="0647E551" w14:textId="77777777" w:rsidR="0068777C" w:rsidRPr="00256982" w:rsidRDefault="0068777C" w:rsidP="0068777C">
            <w:pPr>
              <w:pStyle w:val="TableText"/>
              <w:spacing w:before="40" w:after="40"/>
              <w:ind w:right="510"/>
              <w:jc w:val="right"/>
            </w:pPr>
            <w:r w:rsidRPr="00256982">
              <w:t>10.5</w:t>
            </w:r>
          </w:p>
        </w:tc>
        <w:tc>
          <w:tcPr>
            <w:tcW w:w="1816" w:type="dxa"/>
          </w:tcPr>
          <w:p w14:paraId="0F350223" w14:textId="77777777" w:rsidR="0068777C" w:rsidRPr="00256982" w:rsidRDefault="0068777C" w:rsidP="0068777C">
            <w:pPr>
              <w:pStyle w:val="TableText"/>
              <w:spacing w:before="40" w:after="40"/>
              <w:jc w:val="center"/>
            </w:pPr>
            <w:r w:rsidRPr="00256982">
              <w:t>20.2</w:t>
            </w:r>
          </w:p>
        </w:tc>
      </w:tr>
      <w:tr w:rsidR="0068777C" w:rsidRPr="00256982" w14:paraId="5585F925" w14:textId="77777777" w:rsidTr="0068777C">
        <w:tc>
          <w:tcPr>
            <w:tcW w:w="1200" w:type="dxa"/>
          </w:tcPr>
          <w:p w14:paraId="2A7872AA" w14:textId="77777777" w:rsidR="0068777C" w:rsidRPr="00256982" w:rsidRDefault="0068777C" w:rsidP="0068777C">
            <w:pPr>
              <w:pStyle w:val="TableText"/>
              <w:spacing w:before="40" w:after="40"/>
            </w:pPr>
            <w:r w:rsidRPr="00256982">
              <w:t>1997</w:t>
            </w:r>
          </w:p>
        </w:tc>
        <w:tc>
          <w:tcPr>
            <w:tcW w:w="1810" w:type="dxa"/>
          </w:tcPr>
          <w:p w14:paraId="69D3BB7F" w14:textId="77777777" w:rsidR="0068777C" w:rsidRPr="00256982" w:rsidRDefault="0068777C" w:rsidP="0068777C">
            <w:pPr>
              <w:pStyle w:val="TableText"/>
              <w:spacing w:before="40" w:after="40"/>
              <w:jc w:val="center"/>
            </w:pPr>
            <w:r w:rsidRPr="00256982">
              <w:t>74.9</w:t>
            </w:r>
          </w:p>
        </w:tc>
        <w:tc>
          <w:tcPr>
            <w:tcW w:w="1810" w:type="dxa"/>
          </w:tcPr>
          <w:p w14:paraId="7ACCEBDF" w14:textId="77777777" w:rsidR="0068777C" w:rsidRPr="00256982" w:rsidRDefault="0068777C" w:rsidP="0068777C">
            <w:pPr>
              <w:pStyle w:val="TableText"/>
              <w:spacing w:before="40" w:after="40"/>
              <w:jc w:val="center"/>
            </w:pPr>
            <w:r w:rsidRPr="00256982">
              <w:t>55.5</w:t>
            </w:r>
          </w:p>
        </w:tc>
        <w:tc>
          <w:tcPr>
            <w:tcW w:w="1869" w:type="dxa"/>
          </w:tcPr>
          <w:p w14:paraId="2281CA11" w14:textId="77777777" w:rsidR="0068777C" w:rsidRPr="00256982" w:rsidRDefault="0068777C" w:rsidP="0068777C">
            <w:pPr>
              <w:pStyle w:val="TableText"/>
              <w:spacing w:before="40" w:after="40"/>
              <w:ind w:right="510"/>
              <w:jc w:val="right"/>
            </w:pPr>
            <w:r w:rsidRPr="00256982">
              <w:t>10.9</w:t>
            </w:r>
          </w:p>
        </w:tc>
        <w:tc>
          <w:tcPr>
            <w:tcW w:w="1816" w:type="dxa"/>
          </w:tcPr>
          <w:p w14:paraId="6831B1FC" w14:textId="77777777" w:rsidR="0068777C" w:rsidRPr="00256982" w:rsidRDefault="0068777C" w:rsidP="0068777C">
            <w:pPr>
              <w:pStyle w:val="TableText"/>
              <w:spacing w:before="40" w:after="40"/>
              <w:jc w:val="center"/>
            </w:pPr>
            <w:r w:rsidRPr="00256982">
              <w:t>20.4</w:t>
            </w:r>
          </w:p>
        </w:tc>
      </w:tr>
      <w:tr w:rsidR="0068777C" w:rsidRPr="00256982" w14:paraId="34BE3A58" w14:textId="77777777" w:rsidTr="0068777C">
        <w:tc>
          <w:tcPr>
            <w:tcW w:w="1200" w:type="dxa"/>
          </w:tcPr>
          <w:p w14:paraId="0FB3F02A" w14:textId="77777777" w:rsidR="0068777C" w:rsidRPr="00256982" w:rsidRDefault="0068777C" w:rsidP="0068777C">
            <w:pPr>
              <w:pStyle w:val="TableText"/>
              <w:spacing w:before="40" w:after="40"/>
            </w:pPr>
            <w:r w:rsidRPr="00256982">
              <w:t>1998</w:t>
            </w:r>
          </w:p>
        </w:tc>
        <w:tc>
          <w:tcPr>
            <w:tcW w:w="1810" w:type="dxa"/>
          </w:tcPr>
          <w:p w14:paraId="05112812" w14:textId="77777777" w:rsidR="0068777C" w:rsidRPr="00256982" w:rsidRDefault="0068777C" w:rsidP="0068777C">
            <w:pPr>
              <w:pStyle w:val="TableText"/>
              <w:spacing w:before="40" w:after="40"/>
              <w:jc w:val="center"/>
            </w:pPr>
            <w:r w:rsidRPr="00256982">
              <w:t>72.9</w:t>
            </w:r>
          </w:p>
        </w:tc>
        <w:tc>
          <w:tcPr>
            <w:tcW w:w="1810" w:type="dxa"/>
          </w:tcPr>
          <w:p w14:paraId="7E3ADF7A" w14:textId="77777777" w:rsidR="0068777C" w:rsidRPr="00256982" w:rsidRDefault="0068777C" w:rsidP="0068777C">
            <w:pPr>
              <w:pStyle w:val="TableText"/>
              <w:spacing w:before="40" w:after="40"/>
              <w:jc w:val="center"/>
            </w:pPr>
            <w:r w:rsidRPr="00256982">
              <w:t>55.6</w:t>
            </w:r>
          </w:p>
        </w:tc>
        <w:tc>
          <w:tcPr>
            <w:tcW w:w="1869" w:type="dxa"/>
          </w:tcPr>
          <w:p w14:paraId="339C3A37" w14:textId="77777777" w:rsidR="0068777C" w:rsidRPr="00256982" w:rsidRDefault="0068777C" w:rsidP="0068777C">
            <w:pPr>
              <w:pStyle w:val="TableText"/>
              <w:spacing w:before="40" w:after="40"/>
              <w:ind w:right="510"/>
              <w:jc w:val="right"/>
            </w:pPr>
            <w:r w:rsidRPr="00256982">
              <w:t>11.0</w:t>
            </w:r>
          </w:p>
        </w:tc>
        <w:tc>
          <w:tcPr>
            <w:tcW w:w="1816" w:type="dxa"/>
          </w:tcPr>
          <w:p w14:paraId="0B72233B" w14:textId="77777777" w:rsidR="0068777C" w:rsidRPr="00256982" w:rsidRDefault="0068777C" w:rsidP="0068777C">
            <w:pPr>
              <w:pStyle w:val="TableText"/>
              <w:spacing w:before="40" w:after="40"/>
              <w:jc w:val="center"/>
            </w:pPr>
            <w:r w:rsidRPr="00256982">
              <w:t>20.5</w:t>
            </w:r>
          </w:p>
        </w:tc>
      </w:tr>
      <w:tr w:rsidR="0068777C" w:rsidRPr="00256982" w14:paraId="0776F554" w14:textId="77777777" w:rsidTr="0068777C">
        <w:tc>
          <w:tcPr>
            <w:tcW w:w="1200" w:type="dxa"/>
          </w:tcPr>
          <w:p w14:paraId="00D10662" w14:textId="77777777" w:rsidR="0068777C" w:rsidRPr="00256982" w:rsidRDefault="0068777C" w:rsidP="0068777C">
            <w:pPr>
              <w:pStyle w:val="TableText"/>
              <w:spacing w:before="40" w:after="40"/>
            </w:pPr>
            <w:r w:rsidRPr="00256982">
              <w:t>1999</w:t>
            </w:r>
          </w:p>
        </w:tc>
        <w:tc>
          <w:tcPr>
            <w:tcW w:w="1810" w:type="dxa"/>
          </w:tcPr>
          <w:p w14:paraId="6DEE8ADB" w14:textId="77777777" w:rsidR="0068777C" w:rsidRPr="00256982" w:rsidRDefault="0068777C" w:rsidP="0068777C">
            <w:pPr>
              <w:pStyle w:val="TableText"/>
              <w:spacing w:before="40" w:after="40"/>
              <w:jc w:val="center"/>
            </w:pPr>
            <w:r w:rsidRPr="00256982">
              <w:t>74.4</w:t>
            </w:r>
          </w:p>
        </w:tc>
        <w:tc>
          <w:tcPr>
            <w:tcW w:w="1810" w:type="dxa"/>
          </w:tcPr>
          <w:p w14:paraId="7351E8AB" w14:textId="77777777" w:rsidR="0068777C" w:rsidRPr="00256982" w:rsidRDefault="0068777C" w:rsidP="0068777C">
            <w:pPr>
              <w:pStyle w:val="TableText"/>
              <w:spacing w:before="40" w:after="40"/>
              <w:jc w:val="center"/>
            </w:pPr>
            <w:r w:rsidRPr="00256982">
              <w:t>54.3</w:t>
            </w:r>
          </w:p>
        </w:tc>
        <w:tc>
          <w:tcPr>
            <w:tcW w:w="1869" w:type="dxa"/>
          </w:tcPr>
          <w:p w14:paraId="2857F044" w14:textId="77777777" w:rsidR="0068777C" w:rsidRPr="00256982" w:rsidRDefault="0068777C" w:rsidP="0068777C">
            <w:pPr>
              <w:pStyle w:val="TableText"/>
              <w:spacing w:before="40" w:after="40"/>
              <w:ind w:right="510"/>
              <w:jc w:val="right"/>
            </w:pPr>
            <w:r w:rsidRPr="00256982">
              <w:t>10.8</w:t>
            </w:r>
          </w:p>
        </w:tc>
        <w:tc>
          <w:tcPr>
            <w:tcW w:w="1816" w:type="dxa"/>
          </w:tcPr>
          <w:p w14:paraId="50A93C31" w14:textId="77777777" w:rsidR="0068777C" w:rsidRPr="00256982" w:rsidRDefault="0068777C" w:rsidP="0068777C">
            <w:pPr>
              <w:pStyle w:val="TableText"/>
              <w:spacing w:before="40" w:after="40"/>
              <w:jc w:val="center"/>
            </w:pPr>
            <w:r w:rsidRPr="00256982">
              <w:t>20.8</w:t>
            </w:r>
          </w:p>
        </w:tc>
      </w:tr>
      <w:tr w:rsidR="0068777C" w:rsidRPr="00256982" w14:paraId="33545C86" w14:textId="77777777" w:rsidTr="0068777C">
        <w:tc>
          <w:tcPr>
            <w:tcW w:w="1200" w:type="dxa"/>
          </w:tcPr>
          <w:p w14:paraId="79AE3C9A" w14:textId="77777777" w:rsidR="0068777C" w:rsidRPr="00256982" w:rsidRDefault="0068777C" w:rsidP="0068777C">
            <w:pPr>
              <w:pStyle w:val="TableText"/>
              <w:spacing w:before="40" w:after="40"/>
            </w:pPr>
            <w:r w:rsidRPr="00256982">
              <w:t>2000</w:t>
            </w:r>
          </w:p>
        </w:tc>
        <w:tc>
          <w:tcPr>
            <w:tcW w:w="1810" w:type="dxa"/>
          </w:tcPr>
          <w:p w14:paraId="2C57DCC7" w14:textId="77777777" w:rsidR="0068777C" w:rsidRPr="00256982" w:rsidRDefault="0068777C" w:rsidP="0068777C">
            <w:pPr>
              <w:pStyle w:val="TableText"/>
              <w:spacing w:before="40" w:after="40"/>
              <w:jc w:val="center"/>
            </w:pPr>
            <w:r w:rsidRPr="00256982">
              <w:t>75.9</w:t>
            </w:r>
          </w:p>
        </w:tc>
        <w:tc>
          <w:tcPr>
            <w:tcW w:w="1810" w:type="dxa"/>
          </w:tcPr>
          <w:p w14:paraId="41BD8972" w14:textId="77777777" w:rsidR="0068777C" w:rsidRPr="00256982" w:rsidRDefault="0068777C" w:rsidP="0068777C">
            <w:pPr>
              <w:pStyle w:val="TableText"/>
              <w:spacing w:before="40" w:after="40"/>
              <w:jc w:val="center"/>
            </w:pPr>
            <w:r w:rsidRPr="00256982">
              <w:t>56.2</w:t>
            </w:r>
          </w:p>
        </w:tc>
        <w:tc>
          <w:tcPr>
            <w:tcW w:w="1869" w:type="dxa"/>
          </w:tcPr>
          <w:p w14:paraId="1F4EBB60" w14:textId="77777777" w:rsidR="0068777C" w:rsidRPr="00256982" w:rsidRDefault="0068777C" w:rsidP="0068777C">
            <w:pPr>
              <w:pStyle w:val="TableText"/>
              <w:spacing w:before="40" w:after="40"/>
              <w:ind w:right="510"/>
              <w:jc w:val="right"/>
            </w:pPr>
            <w:r w:rsidRPr="00256982">
              <w:t>11.2</w:t>
            </w:r>
          </w:p>
        </w:tc>
        <w:tc>
          <w:tcPr>
            <w:tcW w:w="1816" w:type="dxa"/>
          </w:tcPr>
          <w:p w14:paraId="2A770700" w14:textId="77777777" w:rsidR="0068777C" w:rsidRPr="00256982" w:rsidRDefault="0068777C" w:rsidP="0068777C">
            <w:pPr>
              <w:pStyle w:val="TableText"/>
              <w:spacing w:before="40" w:after="40"/>
              <w:jc w:val="center"/>
            </w:pPr>
            <w:r w:rsidRPr="00256982">
              <w:t>21.2</w:t>
            </w:r>
          </w:p>
        </w:tc>
      </w:tr>
      <w:tr w:rsidR="0068777C" w:rsidRPr="00256982" w14:paraId="1AB34019" w14:textId="77777777" w:rsidTr="0068777C">
        <w:tc>
          <w:tcPr>
            <w:tcW w:w="1200" w:type="dxa"/>
          </w:tcPr>
          <w:p w14:paraId="466E4C22" w14:textId="77777777" w:rsidR="0068777C" w:rsidRPr="00256982" w:rsidRDefault="0068777C" w:rsidP="0068777C">
            <w:pPr>
              <w:pStyle w:val="TableText"/>
              <w:spacing w:before="40" w:after="40"/>
            </w:pPr>
            <w:r w:rsidRPr="00256982">
              <w:t>2001</w:t>
            </w:r>
          </w:p>
        </w:tc>
        <w:tc>
          <w:tcPr>
            <w:tcW w:w="1810" w:type="dxa"/>
          </w:tcPr>
          <w:p w14:paraId="106B8AD2" w14:textId="77777777" w:rsidR="0068777C" w:rsidRPr="00256982" w:rsidRDefault="0068777C" w:rsidP="0068777C">
            <w:pPr>
              <w:pStyle w:val="TableText"/>
              <w:spacing w:before="40" w:after="40"/>
              <w:jc w:val="center"/>
            </w:pPr>
            <w:r w:rsidRPr="00256982">
              <w:t>76.9</w:t>
            </w:r>
          </w:p>
        </w:tc>
        <w:tc>
          <w:tcPr>
            <w:tcW w:w="1810" w:type="dxa"/>
          </w:tcPr>
          <w:p w14:paraId="08B9654C" w14:textId="77777777" w:rsidR="0068777C" w:rsidRPr="00256982" w:rsidRDefault="0068777C" w:rsidP="0068777C">
            <w:pPr>
              <w:pStyle w:val="TableText"/>
              <w:spacing w:before="40" w:after="40"/>
              <w:jc w:val="center"/>
            </w:pPr>
            <w:r w:rsidRPr="00256982">
              <w:t>57.3</w:t>
            </w:r>
          </w:p>
        </w:tc>
        <w:tc>
          <w:tcPr>
            <w:tcW w:w="1869" w:type="dxa"/>
          </w:tcPr>
          <w:p w14:paraId="4B6FC144" w14:textId="77777777" w:rsidR="0068777C" w:rsidRPr="00256982" w:rsidRDefault="0068777C" w:rsidP="0068777C">
            <w:pPr>
              <w:pStyle w:val="TableText"/>
              <w:spacing w:before="40" w:after="40"/>
              <w:ind w:right="510"/>
              <w:jc w:val="right"/>
            </w:pPr>
            <w:r w:rsidRPr="00256982">
              <w:t>11.4</w:t>
            </w:r>
          </w:p>
        </w:tc>
        <w:tc>
          <w:tcPr>
            <w:tcW w:w="1816" w:type="dxa"/>
          </w:tcPr>
          <w:p w14:paraId="1956316F" w14:textId="77777777" w:rsidR="0068777C" w:rsidRPr="00256982" w:rsidRDefault="0068777C" w:rsidP="0068777C">
            <w:pPr>
              <w:pStyle w:val="TableText"/>
              <w:spacing w:before="40" w:after="40"/>
              <w:jc w:val="center"/>
            </w:pPr>
            <w:r w:rsidRPr="00256982">
              <w:t>21.1</w:t>
            </w:r>
          </w:p>
        </w:tc>
      </w:tr>
      <w:tr w:rsidR="0068777C" w:rsidRPr="00256982" w14:paraId="2F10E48D" w14:textId="77777777" w:rsidTr="0068777C">
        <w:tc>
          <w:tcPr>
            <w:tcW w:w="1200" w:type="dxa"/>
          </w:tcPr>
          <w:p w14:paraId="69AED193" w14:textId="77777777" w:rsidR="0068777C" w:rsidRPr="00256982" w:rsidRDefault="0068777C" w:rsidP="0068777C">
            <w:pPr>
              <w:pStyle w:val="TableText"/>
              <w:spacing w:before="40" w:after="40"/>
            </w:pPr>
            <w:r w:rsidRPr="00256982">
              <w:t>2002</w:t>
            </w:r>
          </w:p>
        </w:tc>
        <w:tc>
          <w:tcPr>
            <w:tcW w:w="1810" w:type="dxa"/>
          </w:tcPr>
          <w:p w14:paraId="72AAF414" w14:textId="77777777" w:rsidR="0068777C" w:rsidRPr="00256982" w:rsidRDefault="0068777C" w:rsidP="0068777C">
            <w:pPr>
              <w:pStyle w:val="TableText"/>
              <w:spacing w:before="40" w:after="40"/>
              <w:jc w:val="center"/>
            </w:pPr>
            <w:r w:rsidRPr="00256982">
              <w:t>76.4</w:t>
            </w:r>
          </w:p>
        </w:tc>
        <w:tc>
          <w:tcPr>
            <w:tcW w:w="1810" w:type="dxa"/>
          </w:tcPr>
          <w:p w14:paraId="236290E3" w14:textId="77777777" w:rsidR="0068777C" w:rsidRPr="00256982" w:rsidRDefault="0068777C" w:rsidP="0068777C">
            <w:pPr>
              <w:pStyle w:val="TableText"/>
              <w:spacing w:before="40" w:after="40"/>
              <w:jc w:val="center"/>
            </w:pPr>
            <w:r w:rsidRPr="00256982">
              <w:t>57.0</w:t>
            </w:r>
          </w:p>
        </w:tc>
        <w:tc>
          <w:tcPr>
            <w:tcW w:w="1869" w:type="dxa"/>
          </w:tcPr>
          <w:p w14:paraId="175D246B" w14:textId="77777777" w:rsidR="0068777C" w:rsidRPr="00256982" w:rsidRDefault="0068777C" w:rsidP="0068777C">
            <w:pPr>
              <w:pStyle w:val="TableText"/>
              <w:spacing w:before="40" w:after="40"/>
              <w:ind w:right="510"/>
              <w:jc w:val="right"/>
            </w:pPr>
            <w:r w:rsidRPr="00256982">
              <w:t>11.3</w:t>
            </w:r>
          </w:p>
        </w:tc>
        <w:tc>
          <w:tcPr>
            <w:tcW w:w="1816" w:type="dxa"/>
          </w:tcPr>
          <w:p w14:paraId="6B4AC914" w14:textId="77777777" w:rsidR="0068777C" w:rsidRPr="00256982" w:rsidRDefault="0068777C" w:rsidP="0068777C">
            <w:pPr>
              <w:pStyle w:val="TableText"/>
              <w:spacing w:before="40" w:after="40"/>
              <w:jc w:val="center"/>
            </w:pPr>
            <w:r w:rsidRPr="00256982">
              <w:t>21.2</w:t>
            </w:r>
          </w:p>
        </w:tc>
      </w:tr>
      <w:tr w:rsidR="0068777C" w:rsidRPr="00256982" w14:paraId="02547927" w14:textId="77777777" w:rsidTr="0068777C">
        <w:tc>
          <w:tcPr>
            <w:tcW w:w="1200" w:type="dxa"/>
          </w:tcPr>
          <w:p w14:paraId="361CB86F" w14:textId="77777777" w:rsidR="0068777C" w:rsidRPr="00256982" w:rsidRDefault="0068777C" w:rsidP="0068777C">
            <w:pPr>
              <w:pStyle w:val="TableText"/>
              <w:spacing w:before="40" w:after="40"/>
            </w:pPr>
            <w:r w:rsidRPr="00256982">
              <w:t>2003</w:t>
            </w:r>
          </w:p>
        </w:tc>
        <w:tc>
          <w:tcPr>
            <w:tcW w:w="1810" w:type="dxa"/>
          </w:tcPr>
          <w:p w14:paraId="06DC518B" w14:textId="77777777" w:rsidR="0068777C" w:rsidRPr="00256982" w:rsidRDefault="0068777C" w:rsidP="0068777C">
            <w:pPr>
              <w:pStyle w:val="TableText"/>
              <w:spacing w:before="40" w:after="40"/>
              <w:jc w:val="center"/>
            </w:pPr>
            <w:r w:rsidRPr="00256982">
              <w:t>79.2</w:t>
            </w:r>
          </w:p>
        </w:tc>
        <w:tc>
          <w:tcPr>
            <w:tcW w:w="1810" w:type="dxa"/>
          </w:tcPr>
          <w:p w14:paraId="4D310575" w14:textId="77777777" w:rsidR="0068777C" w:rsidRPr="00256982" w:rsidRDefault="0068777C" w:rsidP="0068777C">
            <w:pPr>
              <w:pStyle w:val="TableText"/>
              <w:spacing w:before="40" w:after="40"/>
              <w:jc w:val="center"/>
            </w:pPr>
            <w:r w:rsidRPr="00256982">
              <w:t>56.7</w:t>
            </w:r>
          </w:p>
        </w:tc>
        <w:tc>
          <w:tcPr>
            <w:tcW w:w="1869" w:type="dxa"/>
          </w:tcPr>
          <w:p w14:paraId="6CAB29AD" w14:textId="77777777" w:rsidR="0068777C" w:rsidRPr="00256982" w:rsidRDefault="0068777C" w:rsidP="0068777C">
            <w:pPr>
              <w:pStyle w:val="TableText"/>
              <w:spacing w:before="40" w:after="40"/>
              <w:ind w:right="510"/>
              <w:jc w:val="right"/>
            </w:pPr>
            <w:r w:rsidRPr="00256982">
              <w:t>11.3</w:t>
            </w:r>
          </w:p>
        </w:tc>
        <w:tc>
          <w:tcPr>
            <w:tcW w:w="1816" w:type="dxa"/>
          </w:tcPr>
          <w:p w14:paraId="7D6AB952" w14:textId="77777777" w:rsidR="0068777C" w:rsidRPr="00256982" w:rsidRDefault="0068777C" w:rsidP="0068777C">
            <w:pPr>
              <w:pStyle w:val="TableText"/>
              <w:spacing w:before="40" w:after="40"/>
              <w:jc w:val="center"/>
            </w:pPr>
            <w:r w:rsidRPr="00256982">
              <w:t>21.2</w:t>
            </w:r>
          </w:p>
        </w:tc>
      </w:tr>
      <w:tr w:rsidR="0068777C" w:rsidRPr="00256982" w14:paraId="2F1C045D" w14:textId="77777777" w:rsidTr="0068777C">
        <w:tc>
          <w:tcPr>
            <w:tcW w:w="1200" w:type="dxa"/>
          </w:tcPr>
          <w:p w14:paraId="7DB8721B" w14:textId="77777777" w:rsidR="0068777C" w:rsidRPr="00256982" w:rsidRDefault="0068777C" w:rsidP="0068777C">
            <w:pPr>
              <w:pStyle w:val="TableText"/>
              <w:spacing w:before="40" w:after="40"/>
            </w:pPr>
            <w:r w:rsidRPr="00256982">
              <w:t>2004</w:t>
            </w:r>
          </w:p>
        </w:tc>
        <w:tc>
          <w:tcPr>
            <w:tcW w:w="1810" w:type="dxa"/>
          </w:tcPr>
          <w:p w14:paraId="27FE64B5" w14:textId="77777777" w:rsidR="0068777C" w:rsidRPr="00256982" w:rsidRDefault="0068777C" w:rsidP="0068777C">
            <w:pPr>
              <w:pStyle w:val="TableText"/>
              <w:spacing w:before="40" w:after="40"/>
              <w:jc w:val="center"/>
            </w:pPr>
            <w:r w:rsidRPr="00256982">
              <w:t>78.0</w:t>
            </w:r>
          </w:p>
        </w:tc>
        <w:tc>
          <w:tcPr>
            <w:tcW w:w="1810" w:type="dxa"/>
          </w:tcPr>
          <w:p w14:paraId="656A37B6" w14:textId="77777777" w:rsidR="0068777C" w:rsidRPr="00256982" w:rsidRDefault="0068777C" w:rsidP="0068777C">
            <w:pPr>
              <w:pStyle w:val="TableText"/>
              <w:spacing w:before="40" w:after="40"/>
              <w:jc w:val="center"/>
            </w:pPr>
            <w:r w:rsidRPr="00256982">
              <w:t>57.6</w:t>
            </w:r>
          </w:p>
        </w:tc>
        <w:tc>
          <w:tcPr>
            <w:tcW w:w="1869" w:type="dxa"/>
          </w:tcPr>
          <w:p w14:paraId="36E837A8" w14:textId="77777777" w:rsidR="0068777C" w:rsidRPr="00256982" w:rsidRDefault="0068777C" w:rsidP="0068777C">
            <w:pPr>
              <w:pStyle w:val="TableText"/>
              <w:spacing w:before="40" w:after="40"/>
              <w:ind w:right="510"/>
              <w:jc w:val="right"/>
            </w:pPr>
            <w:r w:rsidRPr="00256982">
              <w:t>11.5</w:t>
            </w:r>
          </w:p>
        </w:tc>
        <w:tc>
          <w:tcPr>
            <w:tcW w:w="1816" w:type="dxa"/>
          </w:tcPr>
          <w:p w14:paraId="05ABE926" w14:textId="77777777" w:rsidR="0068777C" w:rsidRPr="00256982" w:rsidRDefault="0068777C" w:rsidP="0068777C">
            <w:pPr>
              <w:pStyle w:val="TableText"/>
              <w:spacing w:before="40" w:after="40"/>
              <w:jc w:val="center"/>
            </w:pPr>
            <w:r w:rsidRPr="00256982">
              <w:t>21.5</w:t>
            </w:r>
          </w:p>
        </w:tc>
      </w:tr>
      <w:tr w:rsidR="0068777C" w:rsidRPr="00256982" w14:paraId="49EB3D26" w14:textId="77777777" w:rsidTr="0068777C">
        <w:tc>
          <w:tcPr>
            <w:tcW w:w="1200" w:type="dxa"/>
          </w:tcPr>
          <w:p w14:paraId="60E0280B" w14:textId="77777777" w:rsidR="0068777C" w:rsidRPr="00256982" w:rsidRDefault="0068777C" w:rsidP="0068777C">
            <w:pPr>
              <w:pStyle w:val="TableText"/>
              <w:spacing w:before="40" w:after="40"/>
            </w:pPr>
            <w:r w:rsidRPr="00256982">
              <w:t>2005</w:t>
            </w:r>
          </w:p>
        </w:tc>
        <w:tc>
          <w:tcPr>
            <w:tcW w:w="1810" w:type="dxa"/>
          </w:tcPr>
          <w:p w14:paraId="126D1A0C" w14:textId="77777777" w:rsidR="0068777C" w:rsidRPr="00256982" w:rsidRDefault="0068777C" w:rsidP="0068777C">
            <w:pPr>
              <w:pStyle w:val="TableText"/>
              <w:spacing w:before="40" w:after="40"/>
              <w:jc w:val="center"/>
            </w:pPr>
            <w:r w:rsidRPr="00256982">
              <w:t>78.5</w:t>
            </w:r>
          </w:p>
        </w:tc>
        <w:tc>
          <w:tcPr>
            <w:tcW w:w="1810" w:type="dxa"/>
          </w:tcPr>
          <w:p w14:paraId="7E8CEEFC" w14:textId="77777777" w:rsidR="0068777C" w:rsidRPr="00256982" w:rsidRDefault="0068777C" w:rsidP="0068777C">
            <w:pPr>
              <w:pStyle w:val="TableText"/>
              <w:spacing w:before="40" w:after="40"/>
              <w:jc w:val="center"/>
            </w:pPr>
            <w:r w:rsidRPr="00256982">
              <w:t>58.3</w:t>
            </w:r>
          </w:p>
        </w:tc>
        <w:tc>
          <w:tcPr>
            <w:tcW w:w="1869" w:type="dxa"/>
          </w:tcPr>
          <w:p w14:paraId="7FB93553" w14:textId="77777777" w:rsidR="0068777C" w:rsidRPr="00256982" w:rsidRDefault="0068777C" w:rsidP="0068777C">
            <w:pPr>
              <w:pStyle w:val="TableText"/>
              <w:spacing w:before="40" w:after="40"/>
              <w:ind w:right="510"/>
              <w:jc w:val="right"/>
            </w:pPr>
            <w:r w:rsidRPr="00256982">
              <w:t>11.6</w:t>
            </w:r>
          </w:p>
        </w:tc>
        <w:tc>
          <w:tcPr>
            <w:tcW w:w="1816" w:type="dxa"/>
          </w:tcPr>
          <w:p w14:paraId="7F3FB40C" w14:textId="77777777" w:rsidR="0068777C" w:rsidRPr="00256982" w:rsidRDefault="0068777C" w:rsidP="0068777C">
            <w:pPr>
              <w:pStyle w:val="TableText"/>
              <w:spacing w:before="40" w:after="40"/>
              <w:jc w:val="center"/>
            </w:pPr>
            <w:r w:rsidRPr="00256982">
              <w:t>21.9</w:t>
            </w:r>
          </w:p>
        </w:tc>
      </w:tr>
      <w:tr w:rsidR="0068777C" w:rsidRPr="00256982" w14:paraId="725A8D0D" w14:textId="77777777" w:rsidTr="0068777C">
        <w:tc>
          <w:tcPr>
            <w:tcW w:w="1200" w:type="dxa"/>
          </w:tcPr>
          <w:p w14:paraId="6095C055" w14:textId="77777777" w:rsidR="0068777C" w:rsidRPr="00256982" w:rsidRDefault="0068777C" w:rsidP="0068777C">
            <w:pPr>
              <w:pStyle w:val="TableText"/>
              <w:spacing w:before="40" w:after="40"/>
            </w:pPr>
            <w:r w:rsidRPr="00256982">
              <w:t>2006</w:t>
            </w:r>
          </w:p>
        </w:tc>
        <w:tc>
          <w:tcPr>
            <w:tcW w:w="1810" w:type="dxa"/>
          </w:tcPr>
          <w:p w14:paraId="6C005B70" w14:textId="77777777" w:rsidR="0068777C" w:rsidRPr="00256982" w:rsidRDefault="0068777C" w:rsidP="0068777C">
            <w:pPr>
              <w:pStyle w:val="TableText"/>
              <w:spacing w:before="40" w:after="40"/>
              <w:jc w:val="center"/>
            </w:pPr>
            <w:r w:rsidRPr="00256982">
              <w:t>78.3</w:t>
            </w:r>
          </w:p>
        </w:tc>
        <w:tc>
          <w:tcPr>
            <w:tcW w:w="1810" w:type="dxa"/>
          </w:tcPr>
          <w:p w14:paraId="64C0BA5E" w14:textId="77777777" w:rsidR="0068777C" w:rsidRPr="00256982" w:rsidRDefault="0068777C" w:rsidP="0068777C">
            <w:pPr>
              <w:pStyle w:val="TableText"/>
              <w:spacing w:before="40" w:after="40"/>
              <w:jc w:val="center"/>
            </w:pPr>
            <w:r w:rsidRPr="00256982">
              <w:t>59.4</w:t>
            </w:r>
          </w:p>
        </w:tc>
        <w:tc>
          <w:tcPr>
            <w:tcW w:w="1869" w:type="dxa"/>
          </w:tcPr>
          <w:p w14:paraId="50BA8A87" w14:textId="77777777" w:rsidR="0068777C" w:rsidRPr="00256982" w:rsidRDefault="0068777C" w:rsidP="0068777C">
            <w:pPr>
              <w:pStyle w:val="TableText"/>
              <w:spacing w:before="40" w:after="40"/>
              <w:ind w:right="510"/>
              <w:jc w:val="right"/>
            </w:pPr>
            <w:r w:rsidRPr="00256982">
              <w:t>11.5</w:t>
            </w:r>
          </w:p>
        </w:tc>
        <w:tc>
          <w:tcPr>
            <w:tcW w:w="1816" w:type="dxa"/>
          </w:tcPr>
          <w:p w14:paraId="1F6149D7" w14:textId="77777777" w:rsidR="0068777C" w:rsidRPr="00256982" w:rsidRDefault="0068777C" w:rsidP="0068777C">
            <w:pPr>
              <w:pStyle w:val="TableText"/>
              <w:spacing w:before="40" w:after="40"/>
              <w:jc w:val="center"/>
            </w:pPr>
            <w:r w:rsidRPr="00256982">
              <w:t>22.1</w:t>
            </w:r>
          </w:p>
        </w:tc>
      </w:tr>
      <w:tr w:rsidR="0068777C" w:rsidRPr="00256982" w14:paraId="2825D403" w14:textId="77777777" w:rsidTr="0068777C">
        <w:tc>
          <w:tcPr>
            <w:tcW w:w="1200" w:type="dxa"/>
          </w:tcPr>
          <w:p w14:paraId="16E224A9" w14:textId="77777777" w:rsidR="0068777C" w:rsidRPr="00256982" w:rsidRDefault="0068777C" w:rsidP="0068777C">
            <w:pPr>
              <w:pStyle w:val="TableText"/>
              <w:spacing w:before="40" w:after="40"/>
            </w:pPr>
            <w:r w:rsidRPr="00256982">
              <w:t>2007</w:t>
            </w:r>
          </w:p>
        </w:tc>
        <w:tc>
          <w:tcPr>
            <w:tcW w:w="1810" w:type="dxa"/>
          </w:tcPr>
          <w:p w14:paraId="7CA52176" w14:textId="77777777" w:rsidR="0068777C" w:rsidRPr="00256982" w:rsidRDefault="0068777C" w:rsidP="0068777C">
            <w:pPr>
              <w:pStyle w:val="TableText"/>
              <w:spacing w:before="40" w:after="40"/>
              <w:jc w:val="center"/>
            </w:pPr>
            <w:r w:rsidRPr="00256982">
              <w:t>77.3</w:t>
            </w:r>
          </w:p>
        </w:tc>
        <w:tc>
          <w:tcPr>
            <w:tcW w:w="1810" w:type="dxa"/>
          </w:tcPr>
          <w:p w14:paraId="6601A34D" w14:textId="77777777" w:rsidR="0068777C" w:rsidRPr="00256982" w:rsidRDefault="0068777C" w:rsidP="0068777C">
            <w:pPr>
              <w:pStyle w:val="TableText"/>
              <w:spacing w:before="40" w:after="40"/>
              <w:jc w:val="center"/>
            </w:pPr>
            <w:r w:rsidRPr="00256982">
              <w:t>58.7</w:t>
            </w:r>
          </w:p>
        </w:tc>
        <w:tc>
          <w:tcPr>
            <w:tcW w:w="1869" w:type="dxa"/>
          </w:tcPr>
          <w:p w14:paraId="67E2AF7D" w14:textId="77777777" w:rsidR="0068777C" w:rsidRPr="00256982" w:rsidRDefault="0068777C" w:rsidP="0068777C">
            <w:pPr>
              <w:pStyle w:val="TableText"/>
              <w:spacing w:before="40" w:after="40"/>
              <w:ind w:right="510"/>
              <w:jc w:val="right"/>
            </w:pPr>
            <w:r w:rsidRPr="00256982">
              <w:t>11.3</w:t>
            </w:r>
          </w:p>
        </w:tc>
        <w:tc>
          <w:tcPr>
            <w:tcW w:w="1816" w:type="dxa"/>
          </w:tcPr>
          <w:p w14:paraId="7E734B89" w14:textId="77777777" w:rsidR="0068777C" w:rsidRPr="00256982" w:rsidRDefault="0068777C" w:rsidP="0068777C">
            <w:pPr>
              <w:pStyle w:val="TableText"/>
              <w:spacing w:before="40" w:after="40"/>
              <w:jc w:val="center"/>
            </w:pPr>
            <w:r w:rsidRPr="00256982">
              <w:t>22.4</w:t>
            </w:r>
          </w:p>
        </w:tc>
      </w:tr>
      <w:tr w:rsidR="0068777C" w:rsidRPr="00256982" w14:paraId="05116417" w14:textId="77777777" w:rsidTr="0068777C">
        <w:tc>
          <w:tcPr>
            <w:tcW w:w="1200" w:type="dxa"/>
          </w:tcPr>
          <w:p w14:paraId="4E4339B3" w14:textId="77777777" w:rsidR="0068777C" w:rsidRPr="00256982" w:rsidRDefault="0068777C" w:rsidP="0068777C">
            <w:pPr>
              <w:pStyle w:val="TableText"/>
              <w:spacing w:before="40" w:after="40"/>
            </w:pPr>
            <w:r w:rsidRPr="00256982">
              <w:t>2008</w:t>
            </w:r>
          </w:p>
        </w:tc>
        <w:tc>
          <w:tcPr>
            <w:tcW w:w="1810" w:type="dxa"/>
          </w:tcPr>
          <w:p w14:paraId="0409743A" w14:textId="77777777" w:rsidR="0068777C" w:rsidRPr="00256982" w:rsidRDefault="0068777C" w:rsidP="0068777C">
            <w:pPr>
              <w:pStyle w:val="TableText"/>
              <w:spacing w:before="40" w:after="40"/>
              <w:jc w:val="center"/>
            </w:pPr>
            <w:r w:rsidRPr="00256982">
              <w:t>76.2</w:t>
            </w:r>
          </w:p>
        </w:tc>
        <w:tc>
          <w:tcPr>
            <w:tcW w:w="1810" w:type="dxa"/>
          </w:tcPr>
          <w:p w14:paraId="79BC93A2" w14:textId="77777777" w:rsidR="0068777C" w:rsidRPr="00256982" w:rsidRDefault="0068777C" w:rsidP="0068777C">
            <w:pPr>
              <w:pStyle w:val="TableText"/>
              <w:spacing w:before="40" w:after="40"/>
              <w:jc w:val="center"/>
            </w:pPr>
            <w:r w:rsidRPr="00256982">
              <w:t>58.2</w:t>
            </w:r>
          </w:p>
        </w:tc>
        <w:tc>
          <w:tcPr>
            <w:tcW w:w="1869" w:type="dxa"/>
          </w:tcPr>
          <w:p w14:paraId="5278A164" w14:textId="77777777" w:rsidR="0068777C" w:rsidRPr="00256982" w:rsidRDefault="0068777C" w:rsidP="0068777C">
            <w:pPr>
              <w:pStyle w:val="TableText"/>
              <w:spacing w:before="40" w:after="40"/>
              <w:ind w:right="510"/>
              <w:jc w:val="right"/>
            </w:pPr>
            <w:r w:rsidRPr="00256982">
              <w:t>11.6</w:t>
            </w:r>
          </w:p>
        </w:tc>
        <w:tc>
          <w:tcPr>
            <w:tcW w:w="1816" w:type="dxa"/>
          </w:tcPr>
          <w:p w14:paraId="78D456C3" w14:textId="77777777" w:rsidR="0068777C" w:rsidRPr="00256982" w:rsidRDefault="0068777C" w:rsidP="0068777C">
            <w:pPr>
              <w:pStyle w:val="TableText"/>
              <w:spacing w:before="40" w:after="40"/>
              <w:jc w:val="center"/>
            </w:pPr>
            <w:r w:rsidRPr="00256982">
              <w:t>22.5</w:t>
            </w:r>
          </w:p>
        </w:tc>
      </w:tr>
      <w:tr w:rsidR="0068777C" w:rsidRPr="00256982" w14:paraId="6542370E" w14:textId="77777777" w:rsidTr="0068777C">
        <w:tc>
          <w:tcPr>
            <w:tcW w:w="1200" w:type="dxa"/>
          </w:tcPr>
          <w:p w14:paraId="0739738B" w14:textId="77777777" w:rsidR="0068777C" w:rsidRPr="00256982" w:rsidRDefault="0068777C" w:rsidP="0068777C">
            <w:pPr>
              <w:pStyle w:val="TableText"/>
              <w:spacing w:before="40" w:after="40"/>
            </w:pPr>
            <w:r w:rsidRPr="00256982">
              <w:t>2009</w:t>
            </w:r>
          </w:p>
        </w:tc>
        <w:tc>
          <w:tcPr>
            <w:tcW w:w="1810" w:type="dxa"/>
          </w:tcPr>
          <w:p w14:paraId="42123CEA" w14:textId="77777777" w:rsidR="0068777C" w:rsidRPr="00256982" w:rsidRDefault="0068777C" w:rsidP="0068777C">
            <w:pPr>
              <w:pStyle w:val="TableText"/>
              <w:spacing w:before="40" w:after="40"/>
              <w:jc w:val="center"/>
            </w:pPr>
            <w:r w:rsidRPr="00256982">
              <w:t>76.7</w:t>
            </w:r>
          </w:p>
        </w:tc>
        <w:tc>
          <w:tcPr>
            <w:tcW w:w="1810" w:type="dxa"/>
          </w:tcPr>
          <w:p w14:paraId="50B7B74C" w14:textId="77777777" w:rsidR="0068777C" w:rsidRPr="00256982" w:rsidRDefault="0068777C" w:rsidP="0068777C">
            <w:pPr>
              <w:pStyle w:val="TableText"/>
              <w:spacing w:before="40" w:after="40"/>
              <w:jc w:val="center"/>
            </w:pPr>
            <w:r w:rsidRPr="00256982">
              <w:t>57.7</w:t>
            </w:r>
          </w:p>
        </w:tc>
        <w:tc>
          <w:tcPr>
            <w:tcW w:w="1869" w:type="dxa"/>
          </w:tcPr>
          <w:p w14:paraId="32FFB3BB" w14:textId="77777777" w:rsidR="0068777C" w:rsidRPr="00256982" w:rsidRDefault="0068777C" w:rsidP="0068777C">
            <w:pPr>
              <w:pStyle w:val="TableText"/>
              <w:spacing w:before="40" w:after="40"/>
              <w:ind w:right="510"/>
              <w:jc w:val="right"/>
            </w:pPr>
            <w:r w:rsidRPr="00256982">
              <w:t>11.7</w:t>
            </w:r>
          </w:p>
        </w:tc>
        <w:tc>
          <w:tcPr>
            <w:tcW w:w="1816" w:type="dxa"/>
          </w:tcPr>
          <w:p w14:paraId="169ECD99" w14:textId="77777777" w:rsidR="0068777C" w:rsidRPr="00256982" w:rsidRDefault="0068777C" w:rsidP="0068777C">
            <w:pPr>
              <w:pStyle w:val="TableText"/>
              <w:spacing w:before="40" w:after="40"/>
              <w:jc w:val="center"/>
            </w:pPr>
            <w:r w:rsidRPr="00256982">
              <w:t>22.7</w:t>
            </w:r>
          </w:p>
        </w:tc>
      </w:tr>
      <w:tr w:rsidR="0068777C" w:rsidRPr="00256982" w14:paraId="529D3F7C" w14:textId="77777777" w:rsidTr="0068777C">
        <w:tc>
          <w:tcPr>
            <w:tcW w:w="1200" w:type="dxa"/>
          </w:tcPr>
          <w:p w14:paraId="3846F113" w14:textId="77777777" w:rsidR="0068777C" w:rsidRPr="00256982" w:rsidRDefault="0068777C" w:rsidP="0068777C">
            <w:pPr>
              <w:pStyle w:val="TableText"/>
              <w:spacing w:before="40" w:after="40"/>
            </w:pPr>
            <w:r w:rsidRPr="00256982">
              <w:t>2010</w:t>
            </w:r>
          </w:p>
        </w:tc>
        <w:tc>
          <w:tcPr>
            <w:tcW w:w="1810" w:type="dxa"/>
          </w:tcPr>
          <w:p w14:paraId="149B2957" w14:textId="77777777" w:rsidR="0068777C" w:rsidRPr="00256982" w:rsidRDefault="0068777C" w:rsidP="0068777C">
            <w:pPr>
              <w:pStyle w:val="TableText"/>
              <w:spacing w:before="40" w:after="40"/>
              <w:jc w:val="center"/>
            </w:pPr>
            <w:r w:rsidRPr="00256982">
              <w:t>78.6</w:t>
            </w:r>
          </w:p>
        </w:tc>
        <w:tc>
          <w:tcPr>
            <w:tcW w:w="1810" w:type="dxa"/>
          </w:tcPr>
          <w:p w14:paraId="1F8DB45E" w14:textId="77777777" w:rsidR="0068777C" w:rsidRPr="00256982" w:rsidRDefault="0068777C" w:rsidP="0068777C">
            <w:pPr>
              <w:pStyle w:val="TableText"/>
              <w:spacing w:before="40" w:after="40"/>
              <w:jc w:val="center"/>
            </w:pPr>
            <w:r w:rsidRPr="00256982">
              <w:t>57.6</w:t>
            </w:r>
          </w:p>
        </w:tc>
        <w:tc>
          <w:tcPr>
            <w:tcW w:w="1869" w:type="dxa"/>
          </w:tcPr>
          <w:p w14:paraId="1A4D31BF" w14:textId="77777777" w:rsidR="0068777C" w:rsidRPr="00256982" w:rsidRDefault="0068777C" w:rsidP="0068777C">
            <w:pPr>
              <w:pStyle w:val="TableText"/>
              <w:spacing w:before="40" w:after="40"/>
              <w:ind w:right="510"/>
              <w:jc w:val="right"/>
            </w:pPr>
            <w:r w:rsidRPr="00256982">
              <w:t>11.4</w:t>
            </w:r>
          </w:p>
        </w:tc>
        <w:tc>
          <w:tcPr>
            <w:tcW w:w="1816" w:type="dxa"/>
          </w:tcPr>
          <w:p w14:paraId="1E7A3DB0" w14:textId="77777777" w:rsidR="0068777C" w:rsidRPr="00256982" w:rsidRDefault="0068777C" w:rsidP="0068777C">
            <w:pPr>
              <w:pStyle w:val="TableText"/>
              <w:spacing w:before="40" w:after="40"/>
              <w:jc w:val="center"/>
            </w:pPr>
            <w:r w:rsidRPr="00256982">
              <w:t>22.7</w:t>
            </w:r>
          </w:p>
        </w:tc>
      </w:tr>
      <w:tr w:rsidR="0068777C" w:rsidRPr="00256982" w14:paraId="16417557" w14:textId="77777777" w:rsidTr="0068777C">
        <w:tc>
          <w:tcPr>
            <w:tcW w:w="1200" w:type="dxa"/>
          </w:tcPr>
          <w:p w14:paraId="75995AE0" w14:textId="77777777" w:rsidR="0068777C" w:rsidRPr="00256982" w:rsidRDefault="0068777C" w:rsidP="0068777C">
            <w:pPr>
              <w:pStyle w:val="TableText"/>
              <w:spacing w:before="40" w:after="40"/>
            </w:pPr>
            <w:r w:rsidRPr="00256982">
              <w:t>2011</w:t>
            </w:r>
          </w:p>
        </w:tc>
        <w:tc>
          <w:tcPr>
            <w:tcW w:w="1810" w:type="dxa"/>
          </w:tcPr>
          <w:p w14:paraId="1740339F" w14:textId="77777777" w:rsidR="0068777C" w:rsidRPr="00256982" w:rsidRDefault="0068777C" w:rsidP="0068777C">
            <w:pPr>
              <w:pStyle w:val="TableText"/>
              <w:spacing w:before="40" w:after="40"/>
              <w:jc w:val="center"/>
            </w:pPr>
            <w:r w:rsidRPr="00256982">
              <w:t>79.7</w:t>
            </w:r>
          </w:p>
        </w:tc>
        <w:tc>
          <w:tcPr>
            <w:tcW w:w="1810" w:type="dxa"/>
          </w:tcPr>
          <w:p w14:paraId="15091223" w14:textId="77777777" w:rsidR="0068777C" w:rsidRPr="00256982" w:rsidRDefault="0068777C" w:rsidP="0068777C">
            <w:pPr>
              <w:pStyle w:val="TableText"/>
              <w:spacing w:before="40" w:after="40"/>
              <w:jc w:val="center"/>
            </w:pPr>
            <w:r w:rsidRPr="00256982">
              <w:t>58.4</w:t>
            </w:r>
          </w:p>
        </w:tc>
        <w:tc>
          <w:tcPr>
            <w:tcW w:w="1869" w:type="dxa"/>
          </w:tcPr>
          <w:p w14:paraId="1809851C" w14:textId="77777777" w:rsidR="0068777C" w:rsidRPr="00256982" w:rsidRDefault="0068777C" w:rsidP="0068777C">
            <w:pPr>
              <w:pStyle w:val="TableText"/>
              <w:spacing w:before="40" w:after="40"/>
              <w:ind w:right="510"/>
              <w:jc w:val="right"/>
            </w:pPr>
            <w:r w:rsidRPr="00256982">
              <w:t>11.6</w:t>
            </w:r>
          </w:p>
        </w:tc>
        <w:tc>
          <w:tcPr>
            <w:tcW w:w="1816" w:type="dxa"/>
          </w:tcPr>
          <w:p w14:paraId="40444615" w14:textId="77777777" w:rsidR="0068777C" w:rsidRPr="00256982" w:rsidRDefault="0068777C" w:rsidP="0068777C">
            <w:pPr>
              <w:pStyle w:val="TableText"/>
              <w:spacing w:before="40" w:after="40"/>
              <w:jc w:val="center"/>
            </w:pPr>
            <w:r w:rsidRPr="00256982">
              <w:t>22.9</w:t>
            </w:r>
          </w:p>
        </w:tc>
      </w:tr>
      <w:tr w:rsidR="0068777C" w:rsidRPr="00256982" w14:paraId="7C03092E" w14:textId="77777777" w:rsidTr="0068777C">
        <w:tc>
          <w:tcPr>
            <w:tcW w:w="1200" w:type="dxa"/>
          </w:tcPr>
          <w:p w14:paraId="683F38AF" w14:textId="77777777" w:rsidR="0068777C" w:rsidRPr="00256982" w:rsidRDefault="0068777C" w:rsidP="0068777C">
            <w:pPr>
              <w:pStyle w:val="TableText"/>
              <w:spacing w:before="40" w:after="40"/>
            </w:pPr>
            <w:r w:rsidRPr="00256982">
              <w:t>2012</w:t>
            </w:r>
          </w:p>
        </w:tc>
        <w:tc>
          <w:tcPr>
            <w:tcW w:w="1810" w:type="dxa"/>
          </w:tcPr>
          <w:p w14:paraId="5C6E869C" w14:textId="77777777" w:rsidR="0068777C" w:rsidRPr="00256982" w:rsidRDefault="0068777C" w:rsidP="0068777C">
            <w:pPr>
              <w:pStyle w:val="TableText"/>
              <w:spacing w:before="40" w:after="40"/>
              <w:jc w:val="center"/>
            </w:pPr>
            <w:r w:rsidRPr="00256982">
              <w:t>79.6</w:t>
            </w:r>
          </w:p>
        </w:tc>
        <w:tc>
          <w:tcPr>
            <w:tcW w:w="1810" w:type="dxa"/>
          </w:tcPr>
          <w:p w14:paraId="172F043D" w14:textId="77777777" w:rsidR="0068777C" w:rsidRPr="00256982" w:rsidRDefault="0068777C" w:rsidP="0068777C">
            <w:pPr>
              <w:pStyle w:val="TableText"/>
              <w:spacing w:before="40" w:after="40"/>
              <w:jc w:val="center"/>
            </w:pPr>
            <w:r w:rsidRPr="00256982">
              <w:t>59.2</w:t>
            </w:r>
          </w:p>
        </w:tc>
        <w:tc>
          <w:tcPr>
            <w:tcW w:w="1869" w:type="dxa"/>
          </w:tcPr>
          <w:p w14:paraId="01C24B6A" w14:textId="77777777" w:rsidR="0068777C" w:rsidRPr="00256982" w:rsidRDefault="0068777C" w:rsidP="0068777C">
            <w:pPr>
              <w:pStyle w:val="TableText"/>
              <w:spacing w:before="40" w:after="40"/>
              <w:ind w:right="510"/>
              <w:jc w:val="right"/>
            </w:pPr>
            <w:r w:rsidRPr="00256982">
              <w:t>11.7</w:t>
            </w:r>
          </w:p>
        </w:tc>
        <w:tc>
          <w:tcPr>
            <w:tcW w:w="1816" w:type="dxa"/>
          </w:tcPr>
          <w:p w14:paraId="15D3DE47" w14:textId="77777777" w:rsidR="0068777C" w:rsidRPr="00256982" w:rsidRDefault="0068777C" w:rsidP="0068777C">
            <w:pPr>
              <w:pStyle w:val="TableText"/>
              <w:spacing w:before="40" w:after="40"/>
              <w:jc w:val="center"/>
            </w:pPr>
            <w:r w:rsidRPr="00256982">
              <w:t>22.9</w:t>
            </w:r>
          </w:p>
        </w:tc>
      </w:tr>
      <w:tr w:rsidR="0068777C" w:rsidRPr="00256982" w14:paraId="0B4468D3" w14:textId="77777777" w:rsidTr="0068777C">
        <w:tc>
          <w:tcPr>
            <w:tcW w:w="1200" w:type="dxa"/>
          </w:tcPr>
          <w:p w14:paraId="1B84342E" w14:textId="77777777" w:rsidR="0068777C" w:rsidRPr="00256982" w:rsidRDefault="0068777C" w:rsidP="0068777C">
            <w:pPr>
              <w:pStyle w:val="TableText"/>
              <w:spacing w:before="40" w:after="40"/>
            </w:pPr>
            <w:r w:rsidRPr="00256982">
              <w:t>2013</w:t>
            </w:r>
          </w:p>
        </w:tc>
        <w:tc>
          <w:tcPr>
            <w:tcW w:w="1810" w:type="dxa"/>
          </w:tcPr>
          <w:p w14:paraId="39D295F6" w14:textId="77777777" w:rsidR="0068777C" w:rsidRPr="00256982" w:rsidRDefault="0068777C" w:rsidP="0068777C">
            <w:pPr>
              <w:pStyle w:val="TableText"/>
              <w:spacing w:before="40" w:after="40"/>
              <w:jc w:val="center"/>
            </w:pPr>
            <w:r w:rsidRPr="00256982">
              <w:t>81.6</w:t>
            </w:r>
          </w:p>
        </w:tc>
        <w:tc>
          <w:tcPr>
            <w:tcW w:w="1810" w:type="dxa"/>
          </w:tcPr>
          <w:p w14:paraId="5ECFE29F" w14:textId="77777777" w:rsidR="0068777C" w:rsidRPr="00256982" w:rsidRDefault="0068777C" w:rsidP="0068777C">
            <w:pPr>
              <w:pStyle w:val="TableText"/>
              <w:spacing w:before="40" w:after="40"/>
              <w:jc w:val="center"/>
            </w:pPr>
            <w:r w:rsidRPr="00256982">
              <w:t>58.3</w:t>
            </w:r>
          </w:p>
        </w:tc>
        <w:tc>
          <w:tcPr>
            <w:tcW w:w="1869" w:type="dxa"/>
          </w:tcPr>
          <w:p w14:paraId="6835C8F3" w14:textId="77777777" w:rsidR="0068777C" w:rsidRPr="00256982" w:rsidRDefault="0068777C" w:rsidP="0068777C">
            <w:pPr>
              <w:pStyle w:val="TableText"/>
              <w:spacing w:before="40" w:after="40"/>
              <w:ind w:right="510"/>
              <w:jc w:val="right"/>
            </w:pPr>
            <w:r w:rsidRPr="00256982">
              <w:t>11.7</w:t>
            </w:r>
          </w:p>
        </w:tc>
        <w:tc>
          <w:tcPr>
            <w:tcW w:w="1816" w:type="dxa"/>
          </w:tcPr>
          <w:p w14:paraId="726AEE49" w14:textId="77777777" w:rsidR="0068777C" w:rsidRPr="00256982" w:rsidRDefault="0068777C" w:rsidP="0068777C">
            <w:pPr>
              <w:pStyle w:val="TableText"/>
              <w:spacing w:before="40" w:after="40"/>
              <w:jc w:val="center"/>
            </w:pPr>
            <w:r w:rsidRPr="00256982">
              <w:t>22.7</w:t>
            </w:r>
          </w:p>
        </w:tc>
      </w:tr>
      <w:tr w:rsidR="0068777C" w:rsidRPr="00256982" w14:paraId="5006116F" w14:textId="77777777" w:rsidTr="0068777C">
        <w:tc>
          <w:tcPr>
            <w:tcW w:w="1200" w:type="dxa"/>
          </w:tcPr>
          <w:p w14:paraId="5A761555" w14:textId="77777777" w:rsidR="0068777C" w:rsidRPr="00256982" w:rsidRDefault="0068777C" w:rsidP="0068777C">
            <w:pPr>
              <w:pStyle w:val="TableText"/>
              <w:spacing w:before="40" w:after="40"/>
            </w:pPr>
            <w:r w:rsidRPr="00256982">
              <w:t>2014</w:t>
            </w:r>
          </w:p>
        </w:tc>
        <w:tc>
          <w:tcPr>
            <w:tcW w:w="1810" w:type="dxa"/>
          </w:tcPr>
          <w:p w14:paraId="7F1D3DEF" w14:textId="77777777" w:rsidR="0068777C" w:rsidRPr="00256982" w:rsidRDefault="0068777C" w:rsidP="0068777C">
            <w:pPr>
              <w:pStyle w:val="TableText"/>
              <w:spacing w:before="40" w:after="40"/>
              <w:jc w:val="center"/>
            </w:pPr>
            <w:r w:rsidRPr="00256982">
              <w:t>81.8</w:t>
            </w:r>
          </w:p>
        </w:tc>
        <w:tc>
          <w:tcPr>
            <w:tcW w:w="1810" w:type="dxa"/>
          </w:tcPr>
          <w:p w14:paraId="1FDDF4C9" w14:textId="77777777" w:rsidR="0068777C" w:rsidRPr="00256982" w:rsidRDefault="0068777C" w:rsidP="0068777C">
            <w:pPr>
              <w:pStyle w:val="TableText"/>
              <w:spacing w:before="40" w:after="40"/>
              <w:jc w:val="center"/>
            </w:pPr>
            <w:r w:rsidRPr="00256982">
              <w:t>58.0</w:t>
            </w:r>
          </w:p>
        </w:tc>
        <w:tc>
          <w:tcPr>
            <w:tcW w:w="1869" w:type="dxa"/>
          </w:tcPr>
          <w:p w14:paraId="21047958" w14:textId="77777777" w:rsidR="0068777C" w:rsidRPr="00256982" w:rsidRDefault="0068777C" w:rsidP="0068777C">
            <w:pPr>
              <w:pStyle w:val="TableText"/>
              <w:spacing w:before="40" w:after="40"/>
              <w:ind w:right="510"/>
              <w:jc w:val="right"/>
            </w:pPr>
            <w:r w:rsidRPr="00256982">
              <w:t>11.9</w:t>
            </w:r>
          </w:p>
        </w:tc>
        <w:tc>
          <w:tcPr>
            <w:tcW w:w="1816" w:type="dxa"/>
          </w:tcPr>
          <w:p w14:paraId="43AFF2E5" w14:textId="77777777" w:rsidR="0068777C" w:rsidRPr="00256982" w:rsidRDefault="0068777C" w:rsidP="0068777C">
            <w:pPr>
              <w:pStyle w:val="TableText"/>
              <w:spacing w:before="40" w:after="40"/>
              <w:jc w:val="center"/>
            </w:pPr>
            <w:r w:rsidRPr="00256982">
              <w:t>22.9</w:t>
            </w:r>
          </w:p>
        </w:tc>
      </w:tr>
      <w:tr w:rsidR="0068777C" w:rsidRPr="00256982" w14:paraId="26C58E9D" w14:textId="77777777" w:rsidTr="0068777C">
        <w:tc>
          <w:tcPr>
            <w:tcW w:w="1200" w:type="dxa"/>
          </w:tcPr>
          <w:p w14:paraId="13D7ABCA" w14:textId="77777777" w:rsidR="0068777C" w:rsidRPr="00256982" w:rsidRDefault="0068777C" w:rsidP="0068777C">
            <w:pPr>
              <w:pStyle w:val="TableText"/>
              <w:spacing w:before="40" w:after="40"/>
            </w:pPr>
            <w:r w:rsidRPr="00256982">
              <w:t>2015</w:t>
            </w:r>
          </w:p>
        </w:tc>
        <w:tc>
          <w:tcPr>
            <w:tcW w:w="1810" w:type="dxa"/>
          </w:tcPr>
          <w:p w14:paraId="53E61D67" w14:textId="77777777" w:rsidR="0068777C" w:rsidRPr="00256982" w:rsidRDefault="0068777C" w:rsidP="0068777C">
            <w:pPr>
              <w:pStyle w:val="TableText"/>
              <w:spacing w:before="40" w:after="40"/>
              <w:jc w:val="center"/>
            </w:pPr>
            <w:r w:rsidRPr="00256982">
              <w:t>84.0</w:t>
            </w:r>
          </w:p>
        </w:tc>
        <w:tc>
          <w:tcPr>
            <w:tcW w:w="1810" w:type="dxa"/>
          </w:tcPr>
          <w:p w14:paraId="3E02DB06" w14:textId="77777777" w:rsidR="0068777C" w:rsidRPr="00256982" w:rsidRDefault="0068777C" w:rsidP="0068777C">
            <w:pPr>
              <w:pStyle w:val="TableText"/>
              <w:spacing w:before="40" w:after="40"/>
              <w:jc w:val="center"/>
            </w:pPr>
            <w:r w:rsidRPr="00256982">
              <w:t>58.6</w:t>
            </w:r>
          </w:p>
        </w:tc>
        <w:tc>
          <w:tcPr>
            <w:tcW w:w="1869" w:type="dxa"/>
          </w:tcPr>
          <w:p w14:paraId="0E995085" w14:textId="77777777" w:rsidR="0068777C" w:rsidRPr="00256982" w:rsidRDefault="0068777C" w:rsidP="0068777C">
            <w:pPr>
              <w:pStyle w:val="TableText"/>
              <w:spacing w:before="40" w:after="40"/>
              <w:ind w:right="510"/>
              <w:jc w:val="right"/>
            </w:pPr>
            <w:r w:rsidRPr="00256982">
              <w:t>11.9</w:t>
            </w:r>
          </w:p>
        </w:tc>
        <w:tc>
          <w:tcPr>
            <w:tcW w:w="1816" w:type="dxa"/>
          </w:tcPr>
          <w:p w14:paraId="2AB2C1E7" w14:textId="77777777" w:rsidR="0068777C" w:rsidRPr="00256982" w:rsidRDefault="0068777C" w:rsidP="0068777C">
            <w:pPr>
              <w:pStyle w:val="TableText"/>
              <w:spacing w:before="40" w:after="40"/>
              <w:jc w:val="center"/>
            </w:pPr>
            <w:r w:rsidRPr="00256982">
              <w:t>22.9</w:t>
            </w:r>
          </w:p>
        </w:tc>
      </w:tr>
      <w:tr w:rsidR="0068777C" w:rsidRPr="00256982" w14:paraId="7220A286" w14:textId="77777777" w:rsidTr="0068777C">
        <w:tc>
          <w:tcPr>
            <w:tcW w:w="1200" w:type="dxa"/>
          </w:tcPr>
          <w:p w14:paraId="03FCF2C2" w14:textId="77777777" w:rsidR="0068777C" w:rsidRPr="00256982" w:rsidRDefault="0068777C" w:rsidP="0068777C">
            <w:pPr>
              <w:pStyle w:val="TableText"/>
              <w:spacing w:before="40" w:after="40"/>
            </w:pPr>
            <w:r w:rsidRPr="00256982">
              <w:t>2016</w:t>
            </w:r>
          </w:p>
        </w:tc>
        <w:tc>
          <w:tcPr>
            <w:tcW w:w="1810" w:type="dxa"/>
          </w:tcPr>
          <w:p w14:paraId="19F9A82A" w14:textId="77777777" w:rsidR="0068777C" w:rsidRPr="00256982" w:rsidRDefault="0068777C" w:rsidP="0068777C">
            <w:pPr>
              <w:pStyle w:val="TableText"/>
              <w:spacing w:before="40" w:after="40"/>
              <w:jc w:val="center"/>
            </w:pPr>
            <w:r w:rsidRPr="00256982">
              <w:t>82.1</w:t>
            </w:r>
          </w:p>
        </w:tc>
        <w:tc>
          <w:tcPr>
            <w:tcW w:w="1810" w:type="dxa"/>
          </w:tcPr>
          <w:p w14:paraId="19B502C4" w14:textId="77777777" w:rsidR="0068777C" w:rsidRPr="00256982" w:rsidRDefault="0068777C" w:rsidP="0068777C">
            <w:pPr>
              <w:pStyle w:val="TableText"/>
              <w:spacing w:before="40" w:after="40"/>
              <w:jc w:val="center"/>
            </w:pPr>
            <w:r w:rsidRPr="00256982">
              <w:t>59.2</w:t>
            </w:r>
          </w:p>
        </w:tc>
        <w:tc>
          <w:tcPr>
            <w:tcW w:w="1869" w:type="dxa"/>
          </w:tcPr>
          <w:p w14:paraId="5037D2D3" w14:textId="77777777" w:rsidR="0068777C" w:rsidRPr="00256982" w:rsidRDefault="0068777C" w:rsidP="0068777C">
            <w:pPr>
              <w:pStyle w:val="TableText"/>
              <w:spacing w:before="40" w:after="40"/>
              <w:ind w:right="510"/>
              <w:jc w:val="right"/>
            </w:pPr>
            <w:r w:rsidRPr="00256982">
              <w:t>12.1</w:t>
            </w:r>
          </w:p>
        </w:tc>
        <w:tc>
          <w:tcPr>
            <w:tcW w:w="1816" w:type="dxa"/>
          </w:tcPr>
          <w:p w14:paraId="089FB648" w14:textId="77777777" w:rsidR="0068777C" w:rsidRPr="00256982" w:rsidRDefault="0068777C" w:rsidP="0068777C">
            <w:pPr>
              <w:pStyle w:val="TableText"/>
              <w:spacing w:before="40" w:after="40"/>
              <w:jc w:val="center"/>
            </w:pPr>
            <w:r w:rsidRPr="00256982">
              <w:t>23.4</w:t>
            </w:r>
          </w:p>
        </w:tc>
      </w:tr>
      <w:tr w:rsidR="0068777C" w:rsidRPr="00256982" w14:paraId="67E36BCB" w14:textId="77777777" w:rsidTr="0068777C">
        <w:tc>
          <w:tcPr>
            <w:tcW w:w="1200" w:type="dxa"/>
          </w:tcPr>
          <w:p w14:paraId="6907DBA0" w14:textId="77777777" w:rsidR="0068777C" w:rsidRPr="00256982" w:rsidRDefault="0068777C" w:rsidP="0068777C">
            <w:pPr>
              <w:pStyle w:val="TableText"/>
              <w:spacing w:before="40" w:after="40"/>
            </w:pPr>
            <w:r w:rsidRPr="00256982">
              <w:t>2017</w:t>
            </w:r>
          </w:p>
        </w:tc>
        <w:tc>
          <w:tcPr>
            <w:tcW w:w="1810" w:type="dxa"/>
          </w:tcPr>
          <w:p w14:paraId="6D816728" w14:textId="77777777" w:rsidR="0068777C" w:rsidRPr="00256982" w:rsidRDefault="0068777C" w:rsidP="0068777C">
            <w:pPr>
              <w:pStyle w:val="TableText"/>
              <w:spacing w:before="40" w:after="40"/>
              <w:jc w:val="center"/>
            </w:pPr>
            <w:r w:rsidRPr="00256982">
              <w:t>83.2</w:t>
            </w:r>
          </w:p>
        </w:tc>
        <w:tc>
          <w:tcPr>
            <w:tcW w:w="1810" w:type="dxa"/>
          </w:tcPr>
          <w:p w14:paraId="185F682A" w14:textId="77777777" w:rsidR="0068777C" w:rsidRPr="00256982" w:rsidRDefault="0068777C" w:rsidP="0068777C">
            <w:pPr>
              <w:pStyle w:val="TableText"/>
              <w:spacing w:before="40" w:after="40"/>
              <w:jc w:val="center"/>
            </w:pPr>
            <w:r w:rsidRPr="00256982">
              <w:t>58.7</w:t>
            </w:r>
          </w:p>
        </w:tc>
        <w:tc>
          <w:tcPr>
            <w:tcW w:w="1869" w:type="dxa"/>
          </w:tcPr>
          <w:p w14:paraId="1F2BC5D6" w14:textId="77777777" w:rsidR="0068777C" w:rsidRPr="00256982" w:rsidRDefault="0068777C" w:rsidP="0068777C">
            <w:pPr>
              <w:pStyle w:val="TableText"/>
              <w:spacing w:before="40" w:after="40"/>
              <w:ind w:right="510"/>
              <w:jc w:val="right"/>
            </w:pPr>
            <w:r w:rsidRPr="00256982">
              <w:t>12.0</w:t>
            </w:r>
          </w:p>
        </w:tc>
        <w:tc>
          <w:tcPr>
            <w:tcW w:w="1816" w:type="dxa"/>
          </w:tcPr>
          <w:p w14:paraId="6D516D85" w14:textId="77777777" w:rsidR="0068777C" w:rsidRPr="00256982" w:rsidRDefault="0068777C" w:rsidP="0068777C">
            <w:pPr>
              <w:pStyle w:val="TableText"/>
              <w:spacing w:before="40" w:after="40"/>
              <w:jc w:val="center"/>
            </w:pPr>
            <w:r w:rsidRPr="00256982">
              <w:t>23.1</w:t>
            </w:r>
          </w:p>
        </w:tc>
      </w:tr>
    </w:tbl>
    <w:p w14:paraId="1AAB3AEB" w14:textId="77777777" w:rsidR="0068777C" w:rsidRPr="00256982" w:rsidRDefault="0068777C" w:rsidP="00773D22">
      <w:pPr>
        <w:pStyle w:val="Heading4"/>
        <w:spacing w:before="360"/>
      </w:pPr>
      <w:r w:rsidRPr="00256982">
        <w:t>Emissions from minor livestock categories</w:t>
      </w:r>
    </w:p>
    <w:p w14:paraId="35FFF9A0" w14:textId="77777777" w:rsidR="0068777C" w:rsidRPr="00256982" w:rsidRDefault="0068777C" w:rsidP="0068777C">
      <w:pPr>
        <w:pStyle w:val="BodyText"/>
      </w:pPr>
      <w:r w:rsidRPr="00256982">
        <w:t xml:space="preserve">A Tier 1 approach is adopted for the minor livestock categories of </w:t>
      </w:r>
      <w:r w:rsidRPr="00256982">
        <w:rPr>
          <w:i/>
        </w:rPr>
        <w:t>Goats</w:t>
      </w:r>
      <w:r w:rsidRPr="00256982">
        <w:t xml:space="preserve">, </w:t>
      </w:r>
      <w:r w:rsidRPr="00256982">
        <w:rPr>
          <w:i/>
        </w:rPr>
        <w:t>Horses</w:t>
      </w:r>
      <w:r w:rsidRPr="00256982">
        <w:t xml:space="preserve">, </w:t>
      </w:r>
      <w:r w:rsidRPr="00256982">
        <w:rPr>
          <w:i/>
        </w:rPr>
        <w:t>Swine</w:t>
      </w:r>
      <w:r w:rsidRPr="00256982">
        <w:t xml:space="preserve">, </w:t>
      </w:r>
      <w:r w:rsidRPr="00256982">
        <w:rPr>
          <w:i/>
        </w:rPr>
        <w:t>Llamas and alpacas</w:t>
      </w:r>
      <w:r w:rsidRPr="00256982">
        <w:t xml:space="preserve">, and </w:t>
      </w:r>
      <w:r w:rsidRPr="00256982">
        <w:rPr>
          <w:i/>
        </w:rPr>
        <w:t>Mules and asses</w:t>
      </w:r>
      <w:r w:rsidRPr="00256982">
        <w:t>, using either IPCC (2006) default emission factors (horses, alpacas, and mules and asses) or New Zealand country-specific emission factors (goats and swine). These minor livestock species comprised 0.2 per cent of the total enteric CH</w:t>
      </w:r>
      <w:r w:rsidRPr="00256982">
        <w:rPr>
          <w:vertAlign w:val="subscript"/>
        </w:rPr>
        <w:t>4</w:t>
      </w:r>
      <w:r w:rsidRPr="00256982">
        <w:t xml:space="preserve"> emissions in 2017. The populations of goats, horses, pigs, alpacas, and mules and asses are reported using the statistics and assumptions described in section 5.1.4.</w:t>
      </w:r>
    </w:p>
    <w:p w14:paraId="38184811" w14:textId="77777777" w:rsidR="0068777C" w:rsidRPr="00256982" w:rsidRDefault="0068777C" w:rsidP="0068777C">
      <w:pPr>
        <w:pStyle w:val="BodyText"/>
      </w:pPr>
      <w:r w:rsidRPr="00256982">
        <w:rPr>
          <w:b/>
          <w:i/>
        </w:rPr>
        <w:t>Goats:</w:t>
      </w:r>
      <w:r w:rsidRPr="00256982">
        <w:t xml:space="preserve"> From 1990 to 2015, the population of goats declined from 1,062,900 to 74,718. In 2016, the population experienced a significant increase to 112,385, and in 2017 the population declined to 101,076. New Zealand uses a country-specific emission factor for enteric fermentation of 7.4 kg CH</w:t>
      </w:r>
      <w:r w:rsidRPr="00256982">
        <w:rPr>
          <w:vertAlign w:val="subscript"/>
        </w:rPr>
        <w:t>4</w:t>
      </w:r>
      <w:r w:rsidRPr="00256982">
        <w:t>/head for 1990 and 8.5 kg CH</w:t>
      </w:r>
      <w:r w:rsidRPr="00256982">
        <w:rPr>
          <w:vertAlign w:val="subscript"/>
        </w:rPr>
        <w:t>4</w:t>
      </w:r>
      <w:r w:rsidRPr="00256982">
        <w:t>/head for 2009 based on the differing population characteristics for those two years (Lassey, 2011). For the intermediate years between 1990 and 2009 and for 2010 to 2017, the emission factor was calculated based on the goat population, with the assumption that the dairy goat population has remained at a near constant number over time while the rest of the goat population has declined. The emission factor in 2017 was calculated to be 8.1 kg CH</w:t>
      </w:r>
      <w:r w:rsidRPr="00256982">
        <w:rPr>
          <w:vertAlign w:val="subscript"/>
        </w:rPr>
        <w:t>4</w:t>
      </w:r>
      <w:r w:rsidRPr="00256982">
        <w:t xml:space="preserve">/head/year. </w:t>
      </w:r>
    </w:p>
    <w:p w14:paraId="16917EF5" w14:textId="77777777" w:rsidR="0068777C" w:rsidRPr="00256982" w:rsidRDefault="0068777C" w:rsidP="0068777C">
      <w:pPr>
        <w:pStyle w:val="BodyText"/>
      </w:pPr>
      <w:r w:rsidRPr="00256982">
        <w:rPr>
          <w:b/>
          <w:bCs/>
          <w:i/>
          <w:iCs/>
        </w:rPr>
        <w:t>Swine:</w:t>
      </w:r>
      <w:r w:rsidRPr="00256982">
        <w:t xml:space="preserve"> New Zealand uses a Tier 1 approach with country-specific emission factors to determine enteric fermentation emissions from swine and emissions from swine manure management. A country-specific emission factor was developed from research performed by Hill (2012) in which data on the composition of swine diets and industry practices in place to manage waste from production systems were obtained from a survey of 56 swine farms. The information obtained on swine diets and waste management practices was representative of practices from 59 per cent and over 67 per cent of New Zealand pork production respectively. Nutritional information was available for different age classes and categories. Additionally, </w:t>
      </w:r>
      <w:r w:rsidRPr="00256982">
        <w:lastRenderedPageBreak/>
        <w:t>the average value of GEI was adjusted for population and further verified against national animal welfare standards. The country-specific emission factor for enteric fermentation (1.06 kg/CH</w:t>
      </w:r>
      <w:r w:rsidRPr="00256982">
        <w:rPr>
          <w:vertAlign w:val="subscript"/>
        </w:rPr>
        <w:t>4</w:t>
      </w:r>
      <w:r w:rsidRPr="00256982">
        <w:t>/head/year) was developed from industry data on GEI (Hill, 2012). Gross energy data from swine diets were used in the Tier 2 IPCC equation (equation 10.21, IPCC, 2006) to determine the country-specific enteric fermentation emission factor. This factor is then multiplied by population data to obtain the total CH</w:t>
      </w:r>
      <w:r w:rsidRPr="00256982">
        <w:rPr>
          <w:vertAlign w:val="subscript"/>
        </w:rPr>
        <w:t>4</w:t>
      </w:r>
      <w:r w:rsidRPr="00256982">
        <w:t xml:space="preserve"> emissions produced by swine from enteric fermentation for a given inventory year. </w:t>
      </w:r>
    </w:p>
    <w:p w14:paraId="66C03B1E" w14:textId="77777777" w:rsidR="0068777C" w:rsidRPr="00256982" w:rsidRDefault="0068777C" w:rsidP="0068777C">
      <w:pPr>
        <w:pStyle w:val="BodyText"/>
      </w:pPr>
      <w:r w:rsidRPr="00256982">
        <w:t>The New Zealand emission factor for swine is lower than the IPCC (2006) default for developed countries,</w:t>
      </w:r>
      <w:r w:rsidRPr="00256982">
        <w:rPr>
          <w:rStyle w:val="FootnoteReference"/>
        </w:rPr>
        <w:footnoteReference w:id="40"/>
      </w:r>
      <w:r w:rsidRPr="00256982">
        <w:t xml:space="preserve"> which is based on average values derived from 1980s Western German swine production and population statistics. The IPCC (2006) default value for swine is not representative of New Zealand swine systems and does not reflect changes in production due to: improvements in genetic selection, reproductive cycle performance, housing and feed, animal husbandry and herd management. Further information on these factors is provided in the report by Hill (2012). </w:t>
      </w:r>
    </w:p>
    <w:p w14:paraId="77A8DDFD" w14:textId="77777777" w:rsidR="0068777C" w:rsidRPr="00256982" w:rsidRDefault="0068777C" w:rsidP="0068777C">
      <w:pPr>
        <w:pStyle w:val="BodyText"/>
      </w:pPr>
      <w:r w:rsidRPr="00256982">
        <w:rPr>
          <w:b/>
          <w:i/>
        </w:rPr>
        <w:t>Horses:</w:t>
      </w:r>
      <w:r w:rsidRPr="00256982">
        <w:t xml:space="preserve"> The IPCC (2006) default value (18 kg CH</w:t>
      </w:r>
      <w:r w:rsidRPr="00256982">
        <w:rPr>
          <w:vertAlign w:val="subscript"/>
        </w:rPr>
        <w:t>4</w:t>
      </w:r>
      <w:r w:rsidRPr="00256982">
        <w:t>/head/year) is used to estimate emissions from enteric fermentation from horses.</w:t>
      </w:r>
    </w:p>
    <w:p w14:paraId="245928ED" w14:textId="77777777" w:rsidR="0068777C" w:rsidRPr="00256982" w:rsidRDefault="0068777C" w:rsidP="0068777C">
      <w:pPr>
        <w:pStyle w:val="BodyText"/>
      </w:pPr>
      <w:r w:rsidRPr="00256982">
        <w:rPr>
          <w:b/>
          <w:i/>
        </w:rPr>
        <w:t>Llamas and alpacas:</w:t>
      </w:r>
      <w:r w:rsidRPr="00256982">
        <w:t xml:space="preserve"> The IPCC (2006) default value (8 kg CH</w:t>
      </w:r>
      <w:r w:rsidRPr="00256982">
        <w:rPr>
          <w:vertAlign w:val="subscript"/>
        </w:rPr>
        <w:t>4</w:t>
      </w:r>
      <w:r w:rsidRPr="00256982">
        <w:t xml:space="preserve">/head/year) is used to estimate emissions from this category. </w:t>
      </w:r>
    </w:p>
    <w:p w14:paraId="0B83C2E0" w14:textId="77777777" w:rsidR="0068777C" w:rsidRPr="00256982" w:rsidRDefault="0068777C" w:rsidP="0068777C">
      <w:pPr>
        <w:pStyle w:val="BodyText"/>
      </w:pPr>
      <w:r w:rsidRPr="00256982">
        <w:rPr>
          <w:b/>
          <w:i/>
        </w:rPr>
        <w:t>Mules and asses:</w:t>
      </w:r>
      <w:r w:rsidRPr="00256982">
        <w:t xml:space="preserve"> The IPCC (2006) default value is used (10 kg CH</w:t>
      </w:r>
      <w:r w:rsidRPr="00256982">
        <w:rPr>
          <w:vertAlign w:val="subscript"/>
        </w:rPr>
        <w:t>4</w:t>
      </w:r>
      <w:r w:rsidRPr="00256982">
        <w:t>/head/year) to estimate emissions from this category.</w:t>
      </w:r>
    </w:p>
    <w:p w14:paraId="58D7B662" w14:textId="77777777" w:rsidR="0068777C" w:rsidRPr="00256982" w:rsidRDefault="0068777C" w:rsidP="0068777C">
      <w:pPr>
        <w:pStyle w:val="Heading3"/>
      </w:pPr>
      <w:bookmarkStart w:id="549" w:name="_Toc139253919"/>
      <w:r w:rsidRPr="00256982">
        <w:t>5.2.3</w:t>
      </w:r>
      <w:r w:rsidRPr="00256982">
        <w:tab/>
        <w:t>Uncertainties and time-series consistency</w:t>
      </w:r>
      <w:bookmarkEnd w:id="549"/>
    </w:p>
    <w:p w14:paraId="667CB17B" w14:textId="77777777" w:rsidR="0068777C" w:rsidRPr="00256982" w:rsidRDefault="0068777C" w:rsidP="0068777C">
      <w:pPr>
        <w:pStyle w:val="BodyText"/>
        <w:rPr>
          <w:rFonts w:ascii="Arial" w:hAnsi="Arial" w:cs="Arial"/>
        </w:rPr>
      </w:pPr>
      <w:r w:rsidRPr="00256982">
        <w:t>To ensure consistency, a single livestock population characterisation and feed-intake estimate is produced by the Tier 2 model (see annex 3, table A3.1.2). It is used in different parts of the calculations for the National Inventory Report to estimate: CH</w:t>
      </w:r>
      <w:r w:rsidRPr="00256982">
        <w:rPr>
          <w:vertAlign w:val="subscript"/>
        </w:rPr>
        <w:t>4</w:t>
      </w:r>
      <w:r w:rsidRPr="00256982">
        <w:t xml:space="preserve"> emissions for the </w:t>
      </w:r>
      <w:r w:rsidRPr="00256982">
        <w:rPr>
          <w:i/>
        </w:rPr>
        <w:t>Enteric fermentation</w:t>
      </w:r>
      <w:r w:rsidRPr="00256982">
        <w:t xml:space="preserve"> category, CH</w:t>
      </w:r>
      <w:r w:rsidRPr="00256982">
        <w:rPr>
          <w:vertAlign w:val="subscript"/>
        </w:rPr>
        <w:t>4</w:t>
      </w:r>
      <w:r w:rsidRPr="00256982">
        <w:t xml:space="preserve"> and N</w:t>
      </w:r>
      <w:r w:rsidRPr="00256982">
        <w:rPr>
          <w:vertAlign w:val="subscript"/>
        </w:rPr>
        <w:t>2</w:t>
      </w:r>
      <w:r w:rsidRPr="00256982">
        <w:t xml:space="preserve">O emissions for the </w:t>
      </w:r>
      <w:r w:rsidRPr="00256982">
        <w:rPr>
          <w:i/>
        </w:rPr>
        <w:t>Manure management</w:t>
      </w:r>
      <w:r w:rsidRPr="00256982">
        <w:t xml:space="preserve"> category and N</w:t>
      </w:r>
      <w:r w:rsidRPr="00256982">
        <w:rPr>
          <w:vertAlign w:val="subscript"/>
        </w:rPr>
        <w:t>2</w:t>
      </w:r>
      <w:r w:rsidRPr="00256982">
        <w:t xml:space="preserve">O emissions for the </w:t>
      </w:r>
      <w:r w:rsidRPr="00256982">
        <w:rPr>
          <w:i/>
        </w:rPr>
        <w:t>Pasture, range and paddock manure</w:t>
      </w:r>
      <w:r w:rsidRPr="00256982">
        <w:t xml:space="preserve"> category</w:t>
      </w:r>
      <w:r w:rsidRPr="00256982">
        <w:rPr>
          <w:rFonts w:ascii="Arial" w:hAnsi="Arial" w:cs="Arial"/>
        </w:rPr>
        <w:t>.</w:t>
      </w:r>
    </w:p>
    <w:p w14:paraId="58B19A64" w14:textId="77777777" w:rsidR="0068777C" w:rsidRPr="00256982" w:rsidRDefault="0068777C" w:rsidP="00A72006">
      <w:pPr>
        <w:pStyle w:val="Heading4"/>
      </w:pPr>
      <w:r w:rsidRPr="00256982">
        <w:t>Livestock numbers</w:t>
      </w:r>
    </w:p>
    <w:p w14:paraId="307CDEF2" w14:textId="77777777" w:rsidR="0068777C" w:rsidRPr="00256982" w:rsidRDefault="0068777C" w:rsidP="0068777C">
      <w:pPr>
        <w:pStyle w:val="BodyText"/>
      </w:pPr>
      <w:r w:rsidRPr="00256982">
        <w:t xml:space="preserve">The calculations for total enteric fermentation require livestock population numbers. Information on uncertainties and time-series consistency for the livestock population data is included in section 5.1.4 and annex 3.1. </w:t>
      </w:r>
    </w:p>
    <w:p w14:paraId="4181C3FA" w14:textId="77777777" w:rsidR="0068777C" w:rsidRPr="00256982" w:rsidRDefault="0068777C" w:rsidP="00A72006">
      <w:pPr>
        <w:pStyle w:val="Heading4"/>
      </w:pPr>
      <w:r w:rsidRPr="00256982">
        <w:t>Methane emissions from enteric fermentation</w:t>
      </w:r>
    </w:p>
    <w:p w14:paraId="2A483466" w14:textId="77777777" w:rsidR="0068777C" w:rsidRPr="00256982" w:rsidRDefault="0068777C" w:rsidP="0068777C">
      <w:pPr>
        <w:pStyle w:val="BodyText"/>
      </w:pPr>
      <w:r w:rsidRPr="00256982">
        <w:t>In 2009, the Ministry for Primary Industries (then the Ministry of Agriculture and Forestry) commissioned a report that recalculated the uncertainty of the enteric fermentation CH</w:t>
      </w:r>
      <w:r w:rsidRPr="00256982">
        <w:rPr>
          <w:vertAlign w:val="subscript"/>
        </w:rPr>
        <w:t>4</w:t>
      </w:r>
      <w:r w:rsidRPr="00256982">
        <w:t xml:space="preserve"> emissions for sheep and cattle (Kelliher et al., 2009) using a Monte Carlo approach. This work superseded a previous analysis undertaken in 2003 (Clark et al., 2003). The analysis expressed the coefficient of variation according to the standard deviation of the CH</w:t>
      </w:r>
      <w:r w:rsidRPr="00256982">
        <w:rPr>
          <w:vertAlign w:val="subscript"/>
        </w:rPr>
        <w:t>4</w:t>
      </w:r>
      <w:r w:rsidRPr="00256982">
        <w:t xml:space="preserve"> yield. The report (Kelliher et al., 2009) calculated the uncertainty by expressing the coefficient of variation according to the standard deviation of the CH</w:t>
      </w:r>
      <w:r w:rsidRPr="00256982">
        <w:rPr>
          <w:vertAlign w:val="subscript"/>
        </w:rPr>
        <w:t>4</w:t>
      </w:r>
      <w:r w:rsidRPr="00256982">
        <w:t xml:space="preserve"> yield with the larger sample of measurements available by 2009. The analysis was restricted to one diet type: grass–legume pasture, the predominant diet of sheep and cattle in New Zealand. The resulting overall uncertainty of the enteric CH</w:t>
      </w:r>
      <w:r w:rsidRPr="00256982">
        <w:rPr>
          <w:vertAlign w:val="subscript"/>
        </w:rPr>
        <w:t>4</w:t>
      </w:r>
      <w:r w:rsidRPr="00256982">
        <w:t xml:space="preserve"> emissions inventory, expressed as a 95 per cent confidence interval, is ±16 per cent (Kelliher et al., 2009); see table 5.2.4.</w:t>
      </w:r>
    </w:p>
    <w:p w14:paraId="2F0EFA15" w14:textId="77777777" w:rsidR="0068777C" w:rsidRPr="00256982" w:rsidRDefault="0068777C" w:rsidP="0068777C">
      <w:pPr>
        <w:pStyle w:val="Table"/>
      </w:pPr>
      <w:bookmarkStart w:id="550" w:name="_Toc144607406"/>
      <w:bookmarkStart w:id="551" w:name="_Toc144607683"/>
      <w:bookmarkStart w:id="552" w:name="_Toc235955625"/>
      <w:bookmarkStart w:id="553" w:name="_Toc288316750"/>
      <w:bookmarkStart w:id="554" w:name="_Toc352504968"/>
      <w:bookmarkStart w:id="555" w:name="_Toc441830871"/>
      <w:bookmarkStart w:id="556" w:name="_Toc451176085"/>
      <w:bookmarkStart w:id="557" w:name="_Toc481751511"/>
      <w:bookmarkStart w:id="558" w:name="_Toc507158601"/>
      <w:bookmarkStart w:id="559" w:name="_Toc511116735"/>
      <w:bookmarkStart w:id="560" w:name="_Toc5269475"/>
      <w:r w:rsidRPr="00256982">
        <w:lastRenderedPageBreak/>
        <w:t>Table 5.2.4</w:t>
      </w:r>
      <w:r w:rsidRPr="00256982">
        <w:tab/>
        <w:t xml:space="preserve">New Zealand’s uncertainty in the annual estimate of enteric fermentation emissions for 1990 and 2017, estimated using </w:t>
      </w:r>
      <w:bookmarkEnd w:id="550"/>
      <w:bookmarkEnd w:id="551"/>
      <w:bookmarkEnd w:id="552"/>
      <w:r w:rsidRPr="00256982">
        <w:t>the 95 per cent confidence interval (±16 per cent</w:t>
      </w:r>
      <w:bookmarkEnd w:id="553"/>
      <w:bookmarkEnd w:id="554"/>
      <w:r w:rsidRPr="00256982">
        <w:t>)</w:t>
      </w:r>
      <w:bookmarkEnd w:id="555"/>
      <w:bookmarkEnd w:id="556"/>
      <w:bookmarkEnd w:id="557"/>
      <w:bookmarkEnd w:id="558"/>
      <w:bookmarkEnd w:id="559"/>
      <w:bookmarkEnd w:id="560"/>
    </w:p>
    <w:tbl>
      <w:tblPr>
        <w:tblW w:w="8505" w:type="dxa"/>
        <w:tblInd w:w="108" w:type="dxa"/>
        <w:tblBorders>
          <w:top w:val="single" w:sz="4" w:space="0" w:color="365F91"/>
          <w:bottom w:val="single" w:sz="4" w:space="0" w:color="365F91"/>
          <w:insideH w:val="single" w:sz="4" w:space="0" w:color="365F91"/>
        </w:tblBorders>
        <w:tblLook w:val="01E0" w:firstRow="1" w:lastRow="1" w:firstColumn="1" w:lastColumn="1" w:noHBand="0" w:noVBand="0"/>
      </w:tblPr>
      <w:tblGrid>
        <w:gridCol w:w="807"/>
        <w:gridCol w:w="2390"/>
        <w:gridCol w:w="2654"/>
        <w:gridCol w:w="2654"/>
      </w:tblGrid>
      <w:tr w:rsidR="0068777C" w:rsidRPr="00256982" w14:paraId="4C39A5CA" w14:textId="77777777" w:rsidTr="0068777C">
        <w:trPr>
          <w:trHeight w:val="434"/>
        </w:trPr>
        <w:tc>
          <w:tcPr>
            <w:tcW w:w="475" w:type="pct"/>
            <w:shd w:val="clear" w:color="auto" w:fill="365F91"/>
            <w:vAlign w:val="bottom"/>
          </w:tcPr>
          <w:p w14:paraId="6C9CC6FA" w14:textId="77777777" w:rsidR="0068777C" w:rsidRPr="00256982" w:rsidRDefault="0068777C" w:rsidP="0068777C">
            <w:pPr>
              <w:pStyle w:val="TableTextBold"/>
              <w:spacing w:before="40" w:after="40"/>
              <w:rPr>
                <w:noProof w:val="0"/>
                <w:color w:val="FFFFFF"/>
                <w:szCs w:val="16"/>
              </w:rPr>
            </w:pPr>
            <w:r w:rsidRPr="00256982">
              <w:rPr>
                <w:noProof w:val="0"/>
                <w:color w:val="FFFFFF"/>
                <w:szCs w:val="16"/>
              </w:rPr>
              <w:t>Year</w:t>
            </w:r>
          </w:p>
        </w:tc>
        <w:tc>
          <w:tcPr>
            <w:tcW w:w="1405" w:type="pct"/>
            <w:shd w:val="clear" w:color="auto" w:fill="365F91"/>
            <w:vAlign w:val="bottom"/>
          </w:tcPr>
          <w:p w14:paraId="558A4C5F" w14:textId="77777777" w:rsidR="0068777C" w:rsidRPr="00256982" w:rsidRDefault="0068777C" w:rsidP="0068777C">
            <w:pPr>
              <w:pStyle w:val="TableTextBold"/>
              <w:spacing w:before="40" w:after="40"/>
              <w:jc w:val="center"/>
              <w:rPr>
                <w:noProof w:val="0"/>
                <w:color w:val="FFFFFF"/>
                <w:szCs w:val="16"/>
              </w:rPr>
            </w:pPr>
            <w:r w:rsidRPr="00256982">
              <w:rPr>
                <w:noProof w:val="0"/>
                <w:color w:val="FFFFFF"/>
                <w:szCs w:val="16"/>
              </w:rPr>
              <w:t>Enteric CH</w:t>
            </w:r>
            <w:r w:rsidRPr="00256982">
              <w:rPr>
                <w:noProof w:val="0"/>
                <w:color w:val="FFFFFF"/>
                <w:szCs w:val="16"/>
                <w:vertAlign w:val="subscript"/>
              </w:rPr>
              <w:t>4</w:t>
            </w:r>
            <w:r w:rsidRPr="00256982">
              <w:rPr>
                <w:noProof w:val="0"/>
                <w:color w:val="FFFFFF"/>
                <w:szCs w:val="16"/>
              </w:rPr>
              <w:t xml:space="preserve"> emissions </w:t>
            </w:r>
            <w:r w:rsidRPr="00256982">
              <w:rPr>
                <w:noProof w:val="0"/>
                <w:color w:val="FFFFFF"/>
                <w:szCs w:val="16"/>
              </w:rPr>
              <w:br/>
              <w:t>(kt CH</w:t>
            </w:r>
            <w:r w:rsidRPr="00256982">
              <w:rPr>
                <w:noProof w:val="0"/>
                <w:color w:val="FFFFFF"/>
                <w:szCs w:val="16"/>
                <w:vertAlign w:val="subscript"/>
              </w:rPr>
              <w:t>4</w:t>
            </w:r>
            <w:r w:rsidRPr="00256982">
              <w:rPr>
                <w:noProof w:val="0"/>
                <w:color w:val="FFFFFF"/>
                <w:szCs w:val="16"/>
              </w:rPr>
              <w:t>/annum)</w:t>
            </w:r>
          </w:p>
        </w:tc>
        <w:tc>
          <w:tcPr>
            <w:tcW w:w="1560" w:type="pct"/>
            <w:shd w:val="clear" w:color="auto" w:fill="365F91"/>
            <w:vAlign w:val="bottom"/>
          </w:tcPr>
          <w:p w14:paraId="35A0B38D" w14:textId="77777777" w:rsidR="0068777C" w:rsidRPr="00256982" w:rsidRDefault="0068777C" w:rsidP="0068777C">
            <w:pPr>
              <w:pStyle w:val="TableTextBold"/>
              <w:spacing w:before="40" w:after="40"/>
              <w:jc w:val="center"/>
              <w:rPr>
                <w:noProof w:val="0"/>
                <w:color w:val="FFFFFF"/>
                <w:szCs w:val="16"/>
              </w:rPr>
            </w:pPr>
            <w:r w:rsidRPr="00256982">
              <w:rPr>
                <w:noProof w:val="0"/>
                <w:color w:val="FFFFFF"/>
                <w:szCs w:val="16"/>
              </w:rPr>
              <w:t>95% confidence interval minimum</w:t>
            </w:r>
            <w:r w:rsidRPr="00256982">
              <w:rPr>
                <w:noProof w:val="0"/>
                <w:color w:val="FFFFFF"/>
                <w:szCs w:val="16"/>
              </w:rPr>
              <w:br/>
              <w:t xml:space="preserve"> (kt CH</w:t>
            </w:r>
            <w:r w:rsidRPr="00256982">
              <w:rPr>
                <w:noProof w:val="0"/>
                <w:color w:val="FFFFFF"/>
                <w:szCs w:val="16"/>
                <w:vertAlign w:val="subscript"/>
              </w:rPr>
              <w:t>4</w:t>
            </w:r>
            <w:r w:rsidRPr="00256982">
              <w:rPr>
                <w:noProof w:val="0"/>
                <w:color w:val="FFFFFF"/>
                <w:szCs w:val="16"/>
              </w:rPr>
              <w:t>/annum)</w:t>
            </w:r>
          </w:p>
        </w:tc>
        <w:tc>
          <w:tcPr>
            <w:tcW w:w="1560" w:type="pct"/>
            <w:shd w:val="clear" w:color="auto" w:fill="365F91"/>
            <w:vAlign w:val="bottom"/>
          </w:tcPr>
          <w:p w14:paraId="7114F64C" w14:textId="77777777" w:rsidR="0068777C" w:rsidRPr="00256982" w:rsidRDefault="0068777C" w:rsidP="0068777C">
            <w:pPr>
              <w:pStyle w:val="TableTextBold"/>
              <w:spacing w:before="40" w:after="40"/>
              <w:jc w:val="center"/>
              <w:rPr>
                <w:noProof w:val="0"/>
                <w:color w:val="FFFFFF"/>
                <w:szCs w:val="16"/>
              </w:rPr>
            </w:pPr>
            <w:r w:rsidRPr="00256982">
              <w:rPr>
                <w:noProof w:val="0"/>
                <w:color w:val="FFFFFF"/>
                <w:szCs w:val="16"/>
              </w:rPr>
              <w:t xml:space="preserve">95% confidence interval maximum </w:t>
            </w:r>
            <w:r w:rsidRPr="00256982">
              <w:rPr>
                <w:noProof w:val="0"/>
                <w:color w:val="FFFFFF"/>
                <w:szCs w:val="16"/>
              </w:rPr>
              <w:br/>
              <w:t>(kt CH</w:t>
            </w:r>
            <w:r w:rsidRPr="00256982">
              <w:rPr>
                <w:noProof w:val="0"/>
                <w:color w:val="FFFFFF"/>
                <w:szCs w:val="16"/>
                <w:vertAlign w:val="subscript"/>
              </w:rPr>
              <w:t>4</w:t>
            </w:r>
            <w:r w:rsidRPr="00256982">
              <w:rPr>
                <w:noProof w:val="0"/>
                <w:color w:val="FFFFFF"/>
                <w:szCs w:val="16"/>
              </w:rPr>
              <w:t>/annum)</w:t>
            </w:r>
          </w:p>
        </w:tc>
      </w:tr>
      <w:tr w:rsidR="0068777C" w:rsidRPr="00256982" w14:paraId="25C43AEE" w14:textId="77777777" w:rsidTr="0068777C">
        <w:trPr>
          <w:trHeight w:val="247"/>
        </w:trPr>
        <w:tc>
          <w:tcPr>
            <w:tcW w:w="475" w:type="pct"/>
          </w:tcPr>
          <w:p w14:paraId="5A9A0AAD" w14:textId="77777777" w:rsidR="0068777C" w:rsidRPr="00256982" w:rsidRDefault="0068777C" w:rsidP="0068777C">
            <w:pPr>
              <w:pStyle w:val="TableText"/>
              <w:spacing w:before="40" w:after="40"/>
            </w:pPr>
            <w:r w:rsidRPr="00256982">
              <w:t>1990</w:t>
            </w:r>
          </w:p>
        </w:tc>
        <w:tc>
          <w:tcPr>
            <w:tcW w:w="1405" w:type="pct"/>
          </w:tcPr>
          <w:p w14:paraId="629875F2" w14:textId="77777777" w:rsidR="0068777C" w:rsidRPr="00256982" w:rsidRDefault="0068777C" w:rsidP="0068777C">
            <w:pPr>
              <w:pStyle w:val="TableText"/>
              <w:spacing w:before="40" w:after="40"/>
              <w:jc w:val="center"/>
            </w:pPr>
            <w:r w:rsidRPr="00256982">
              <w:t>1,056.8</w:t>
            </w:r>
          </w:p>
        </w:tc>
        <w:tc>
          <w:tcPr>
            <w:tcW w:w="1560" w:type="pct"/>
          </w:tcPr>
          <w:p w14:paraId="0DF1C2B9" w14:textId="77777777" w:rsidR="0068777C" w:rsidRPr="00256982" w:rsidRDefault="0068777C" w:rsidP="0068777C">
            <w:pPr>
              <w:pStyle w:val="TableText"/>
              <w:spacing w:before="40" w:after="40"/>
              <w:jc w:val="center"/>
            </w:pPr>
            <w:r w:rsidRPr="00256982">
              <w:t>887.7</w:t>
            </w:r>
          </w:p>
        </w:tc>
        <w:tc>
          <w:tcPr>
            <w:tcW w:w="1560" w:type="pct"/>
          </w:tcPr>
          <w:p w14:paraId="0EC7E5B6" w14:textId="77777777" w:rsidR="0068777C" w:rsidRPr="00256982" w:rsidRDefault="0068777C" w:rsidP="0068777C">
            <w:pPr>
              <w:pStyle w:val="TableText"/>
              <w:spacing w:before="40" w:after="40"/>
              <w:jc w:val="center"/>
            </w:pPr>
            <w:r w:rsidRPr="00256982">
              <w:t>1,225.9</w:t>
            </w:r>
          </w:p>
        </w:tc>
      </w:tr>
      <w:tr w:rsidR="0068777C" w:rsidRPr="00256982" w14:paraId="03ED4718" w14:textId="77777777" w:rsidTr="0068777C">
        <w:trPr>
          <w:trHeight w:val="247"/>
        </w:trPr>
        <w:tc>
          <w:tcPr>
            <w:tcW w:w="475" w:type="pct"/>
          </w:tcPr>
          <w:p w14:paraId="74157EB2" w14:textId="77777777" w:rsidR="0068777C" w:rsidRPr="00256982" w:rsidRDefault="0068777C" w:rsidP="0068777C">
            <w:pPr>
              <w:pStyle w:val="TableText"/>
              <w:spacing w:before="40" w:after="40"/>
            </w:pPr>
            <w:r w:rsidRPr="00256982">
              <w:t>2017</w:t>
            </w:r>
          </w:p>
        </w:tc>
        <w:tc>
          <w:tcPr>
            <w:tcW w:w="1405" w:type="pct"/>
          </w:tcPr>
          <w:p w14:paraId="77AA6261" w14:textId="77777777" w:rsidR="0068777C" w:rsidRPr="00256982" w:rsidRDefault="0068777C" w:rsidP="0068777C">
            <w:pPr>
              <w:pStyle w:val="TableText"/>
              <w:spacing w:before="40" w:after="40"/>
              <w:jc w:val="center"/>
            </w:pPr>
            <w:r w:rsidRPr="00256982">
              <w:t>1,105.9</w:t>
            </w:r>
          </w:p>
        </w:tc>
        <w:tc>
          <w:tcPr>
            <w:tcW w:w="1560" w:type="pct"/>
          </w:tcPr>
          <w:p w14:paraId="5E8D1CD8" w14:textId="77777777" w:rsidR="0068777C" w:rsidRPr="00256982" w:rsidRDefault="0068777C" w:rsidP="0068777C">
            <w:pPr>
              <w:pStyle w:val="TableText"/>
              <w:spacing w:before="40" w:after="40"/>
              <w:jc w:val="center"/>
            </w:pPr>
            <w:r w:rsidRPr="00256982">
              <w:t>928.9</w:t>
            </w:r>
          </w:p>
        </w:tc>
        <w:tc>
          <w:tcPr>
            <w:tcW w:w="1560" w:type="pct"/>
          </w:tcPr>
          <w:p w14:paraId="6698832D" w14:textId="77777777" w:rsidR="0068777C" w:rsidRPr="00256982" w:rsidRDefault="0068777C" w:rsidP="0068777C">
            <w:pPr>
              <w:pStyle w:val="TableText"/>
              <w:spacing w:before="40" w:after="40"/>
              <w:jc w:val="center"/>
            </w:pPr>
            <w:r w:rsidRPr="00256982">
              <w:t>1,282.8</w:t>
            </w:r>
          </w:p>
        </w:tc>
      </w:tr>
    </w:tbl>
    <w:p w14:paraId="40CD0CDB" w14:textId="77777777" w:rsidR="0068777C" w:rsidRPr="00256982" w:rsidRDefault="0068777C" w:rsidP="0068777C">
      <w:pPr>
        <w:pStyle w:val="Noteundertable"/>
      </w:pPr>
      <w:r w:rsidRPr="00256982">
        <w:rPr>
          <w:b/>
        </w:rPr>
        <w:t xml:space="preserve">Note: </w:t>
      </w:r>
      <w:r w:rsidRPr="00256982">
        <w:rPr>
          <w:b/>
        </w:rPr>
        <w:tab/>
      </w:r>
      <w:r w:rsidRPr="00256982">
        <w:t>The CH</w:t>
      </w:r>
      <w:r w:rsidRPr="00256982">
        <w:rPr>
          <w:vertAlign w:val="subscript"/>
        </w:rPr>
        <w:t>4</w:t>
      </w:r>
      <w:r w:rsidRPr="00256982">
        <w:t xml:space="preserve"> emissions used in the Monte Carlo analysis exclude those from swine, horses, goats, mules and asses, and llamas and alpacas, which represent a small proportion of total CH</w:t>
      </w:r>
      <w:r w:rsidRPr="00256982">
        <w:rPr>
          <w:vertAlign w:val="subscript"/>
        </w:rPr>
        <w:t>4</w:t>
      </w:r>
      <w:r w:rsidRPr="00256982">
        <w:t> emissions.</w:t>
      </w:r>
    </w:p>
    <w:p w14:paraId="1572FCB0" w14:textId="77777777" w:rsidR="0068777C" w:rsidRPr="00256982" w:rsidRDefault="0068777C" w:rsidP="0068777C">
      <w:pPr>
        <w:pStyle w:val="BodyText"/>
      </w:pPr>
      <w:r w:rsidRPr="00256982">
        <w:t>Uncertainty in the annual CH</w:t>
      </w:r>
      <w:r w:rsidRPr="00256982">
        <w:rPr>
          <w:vertAlign w:val="subscript"/>
        </w:rPr>
        <w:t>4</w:t>
      </w:r>
      <w:r w:rsidRPr="00256982">
        <w:t xml:space="preserve"> estimate is dominated by variance in the measurements of the ‘methane per unit of intake’ factor. This uncertainty is predominantly due to natural variation from one animal to the next. Uncertainties in the estimates of livestock energy requirements, herbage quality and population data are much smaller (0.005–0.05) (Clark et al., 2003).</w:t>
      </w:r>
    </w:p>
    <w:p w14:paraId="77549838" w14:textId="77777777" w:rsidR="0068777C" w:rsidRPr="00256982" w:rsidRDefault="0068777C" w:rsidP="0068777C">
      <w:pPr>
        <w:pStyle w:val="Heading3"/>
        <w:spacing w:before="280"/>
      </w:pPr>
      <w:bookmarkStart w:id="561" w:name="_Toc139253920"/>
      <w:r w:rsidRPr="00256982">
        <w:t>5.2.4</w:t>
      </w:r>
      <w:r w:rsidRPr="00256982">
        <w:tab/>
        <w:t>Source-specific QA/QC</w:t>
      </w:r>
      <w:r w:rsidRPr="00256982">
        <w:rPr>
          <w:lang w:eastAsia="en-GB"/>
        </w:rPr>
        <w:t xml:space="preserve"> control </w:t>
      </w:r>
      <w:r w:rsidRPr="00256982">
        <w:t>and verification</w:t>
      </w:r>
      <w:bookmarkEnd w:id="561"/>
    </w:p>
    <w:p w14:paraId="03608399" w14:textId="77777777" w:rsidR="0068777C" w:rsidRPr="00256982" w:rsidRDefault="0068777C" w:rsidP="0068777C">
      <w:pPr>
        <w:pStyle w:val="BodyText"/>
      </w:pPr>
      <w:r w:rsidRPr="00256982">
        <w:t xml:space="preserve">Methane from </w:t>
      </w:r>
      <w:r w:rsidRPr="00256982">
        <w:rPr>
          <w:i/>
          <w:iCs/>
        </w:rPr>
        <w:t>Enteric fermentation</w:t>
      </w:r>
      <w:r w:rsidRPr="00256982">
        <w:t xml:space="preserve"> from dairy cattle, non-dairy cattle and sheep was identified as a key category (level and trend assessment). Methane from </w:t>
      </w:r>
      <w:r w:rsidRPr="00256982">
        <w:rPr>
          <w:i/>
          <w:iCs/>
        </w:rPr>
        <w:t xml:space="preserve">Enteric fermentation </w:t>
      </w:r>
      <w:r w:rsidRPr="00256982">
        <w:t>from deer is a key category in the 2017 level assessment and CH</w:t>
      </w:r>
      <w:r w:rsidRPr="00256982">
        <w:rPr>
          <w:vertAlign w:val="subscript"/>
        </w:rPr>
        <w:t>4</w:t>
      </w:r>
      <w:r w:rsidRPr="00256982">
        <w:t xml:space="preserve"> from </w:t>
      </w:r>
      <w:r w:rsidRPr="00256982">
        <w:rPr>
          <w:i/>
          <w:iCs/>
        </w:rPr>
        <w:t>Enteric fermentation</w:t>
      </w:r>
      <w:r w:rsidRPr="00256982">
        <w:t xml:space="preserve"> from goats is a key category in the trend assessment. In the preparation for this inventory, the data for this category underwent Tier 1 and Tier 2 quality checks.</w:t>
      </w:r>
    </w:p>
    <w:p w14:paraId="28A543C0" w14:textId="77777777" w:rsidR="0068777C" w:rsidRPr="00256982" w:rsidRDefault="0068777C" w:rsidP="0068777C">
      <w:pPr>
        <w:pStyle w:val="BodyText"/>
      </w:pPr>
      <w:r w:rsidRPr="00256982">
        <w:t>Methane emission rates have been verified using micrometeorological techniques. Laubach and Kelliher (2004) used the integrated horizontal flux technique and the flux gradient technique to measure CH</w:t>
      </w:r>
      <w:r w:rsidRPr="00256982">
        <w:rPr>
          <w:vertAlign w:val="subscript"/>
        </w:rPr>
        <w:t>4</w:t>
      </w:r>
      <w:r w:rsidRPr="00256982">
        <w:t xml:space="preserve"> flux above a dairy herd. Both techniques are comparable, within estimated errors, to scaled-up animal emissions. The emissions from the cows measured by integrated horizontal flux (averaged over three trials) were 329 (±153) g CH</w:t>
      </w:r>
      <w:r w:rsidRPr="00256982">
        <w:rPr>
          <w:vertAlign w:val="subscript"/>
        </w:rPr>
        <w:t>4</w:t>
      </w:r>
      <w:r w:rsidRPr="00256982">
        <w:t>/day/cow, compared with 365 (±61) g CH</w:t>
      </w:r>
      <w:r w:rsidRPr="00256982">
        <w:rPr>
          <w:vertAlign w:val="subscript"/>
        </w:rPr>
        <w:t>4</w:t>
      </w:r>
      <w:r w:rsidRPr="00256982">
        <w:t>/day/cow for the scaled-up measurements reported by Waghorn et al. (unpublished(a), unpublished(b)) using the SF</w:t>
      </w:r>
      <w:r w:rsidRPr="00256982">
        <w:rPr>
          <w:vertAlign w:val="subscript"/>
        </w:rPr>
        <w:t>6</w:t>
      </w:r>
      <w:r w:rsidRPr="00256982">
        <w:t xml:space="preserve"> technique. </w:t>
      </w:r>
    </w:p>
    <w:p w14:paraId="6724D4F2" w14:textId="77777777" w:rsidR="0068777C" w:rsidRPr="00256982" w:rsidRDefault="0068777C" w:rsidP="0068777C">
      <w:pPr>
        <w:pStyle w:val="BodyText"/>
      </w:pPr>
      <w:r w:rsidRPr="00256982">
        <w:t>Methane emissions from lactating dairy cows have also been measured using the New Zealand SF</w:t>
      </w:r>
      <w:r w:rsidRPr="00256982">
        <w:rPr>
          <w:vertAlign w:val="subscript"/>
        </w:rPr>
        <w:t>6</w:t>
      </w:r>
      <w:r w:rsidRPr="00256982">
        <w:t xml:space="preserve"> tracer method and respiration chamber techniques (Grainger et al., 2007). </w:t>
      </w:r>
      <w:r w:rsidRPr="00256982">
        <w:rPr>
          <w:snapToGrid w:val="0"/>
          <w:color w:val="000000"/>
        </w:rPr>
        <w:t xml:space="preserve">Total </w:t>
      </w:r>
      <w:r w:rsidRPr="00256982">
        <w:t>CH</w:t>
      </w:r>
      <w:r w:rsidRPr="00256982">
        <w:rPr>
          <w:vertAlign w:val="subscript"/>
        </w:rPr>
        <w:t xml:space="preserve">4 </w:t>
      </w:r>
      <w:r w:rsidRPr="00256982">
        <w:t>emissions were similar when measured using respiration chambers (322 g CH</w:t>
      </w:r>
      <w:r w:rsidRPr="00256982">
        <w:rPr>
          <w:vertAlign w:val="subscript"/>
        </w:rPr>
        <w:t>4</w:t>
      </w:r>
      <w:r w:rsidRPr="00256982">
        <w:t xml:space="preserve">/day/cow) or the </w:t>
      </w:r>
      <w:r w:rsidRPr="00256982">
        <w:rPr>
          <w:snapToGrid w:val="0"/>
          <w:color w:val="000000"/>
        </w:rPr>
        <w:t>SF</w:t>
      </w:r>
      <w:r w:rsidRPr="00256982">
        <w:rPr>
          <w:snapToGrid w:val="0"/>
          <w:color w:val="000000"/>
          <w:vertAlign w:val="subscript"/>
        </w:rPr>
        <w:t>6</w:t>
      </w:r>
      <w:r w:rsidRPr="00256982">
        <w:rPr>
          <w:snapToGrid w:val="0"/>
          <w:color w:val="000000"/>
        </w:rPr>
        <w:t xml:space="preserve"> tracer technique (</w:t>
      </w:r>
      <w:r w:rsidRPr="00256982">
        <w:t>331 g CH</w:t>
      </w:r>
      <w:r w:rsidRPr="00256982">
        <w:rPr>
          <w:vertAlign w:val="subscript"/>
        </w:rPr>
        <w:t>4</w:t>
      </w:r>
      <w:r w:rsidRPr="00256982">
        <w:t xml:space="preserve">/day/cow). </w:t>
      </w:r>
    </w:p>
    <w:p w14:paraId="0B0A2A99" w14:textId="7D4C73B6" w:rsidR="0068777C" w:rsidRPr="00256982" w:rsidRDefault="0068777C" w:rsidP="0068777C">
      <w:pPr>
        <w:pStyle w:val="BodyText"/>
        <w:rPr>
          <w:spacing w:val="-2"/>
        </w:rPr>
      </w:pPr>
      <w:r w:rsidRPr="00256982">
        <w:rPr>
          <w:spacing w:val="-2"/>
        </w:rPr>
        <w:t>The calculations in New Zealand’s model for cattle, sheep and deer are Tier 2 and are based on the IPCC Guidelines (IPCC, 2006). Table 5.2.5 shows a comparison of the New Zealand-specific 2016 IEFs for enteric fermentation with the IPCC Tier 1 Oceania default value, the IPCC Tier</w:t>
      </w:r>
      <w:r w:rsidR="00773D22" w:rsidRPr="00256982">
        <w:rPr>
          <w:spacing w:val="-2"/>
        </w:rPr>
        <w:t> </w:t>
      </w:r>
      <w:r w:rsidRPr="00256982">
        <w:rPr>
          <w:spacing w:val="-2"/>
        </w:rPr>
        <w:t>2</w:t>
      </w:r>
      <w:r w:rsidR="00773D22" w:rsidRPr="00256982">
        <w:rPr>
          <w:spacing w:val="-2"/>
        </w:rPr>
        <w:t> </w:t>
      </w:r>
      <w:r w:rsidRPr="00256982">
        <w:rPr>
          <w:spacing w:val="-2"/>
        </w:rPr>
        <w:t xml:space="preserve">net energy-based value and the Australian-specific 2015 IEF for dairy cattle, non-dairy cattle and sheep. </w:t>
      </w:r>
    </w:p>
    <w:p w14:paraId="2010EB87" w14:textId="2CCC7377" w:rsidR="0068777C" w:rsidRPr="00256982" w:rsidRDefault="0068777C" w:rsidP="0068777C">
      <w:pPr>
        <w:pStyle w:val="BodyText"/>
      </w:pPr>
      <w:r w:rsidRPr="00256982">
        <w:t>The IPCC Tier 2 net energy-based values are determined from the net energy algorithms in the 2006 IPCC Guidelines (equation 10.16) for dairy cattle, non-dairy (beef) cattle and sheep. New</w:t>
      </w:r>
      <w:r w:rsidR="00773D22" w:rsidRPr="00256982">
        <w:t> </w:t>
      </w:r>
      <w:r w:rsidRPr="00256982">
        <w:t>Zealand’s inventory model calculates emissions for sheep (one year of age and older) and lambs (less than one year old) separately. Therefore, to provide an appropriate comparison between the New Zealand-specific IEF and the IPCC Tier 2 net energy-based values for sheep, the gross energy values determined using the IPCC Tier 2 energy equations were obtained for both sheep</w:t>
      </w:r>
      <w:r w:rsidR="00773D22" w:rsidRPr="00256982">
        <w:t> </w:t>
      </w:r>
      <w:r w:rsidRPr="00256982">
        <w:t>and lambs.</w:t>
      </w:r>
    </w:p>
    <w:p w14:paraId="44285982" w14:textId="77777777" w:rsidR="0068777C" w:rsidRPr="00256982" w:rsidRDefault="0068777C" w:rsidP="0068777C">
      <w:pPr>
        <w:pStyle w:val="Table"/>
      </w:pPr>
      <w:bookmarkStart w:id="562" w:name="_Toc288316751"/>
      <w:bookmarkStart w:id="563" w:name="_Toc352504969"/>
      <w:bookmarkStart w:id="564" w:name="_Toc441830872"/>
      <w:bookmarkStart w:id="565" w:name="_Toc451176086"/>
      <w:bookmarkStart w:id="566" w:name="_Toc481751512"/>
      <w:bookmarkStart w:id="567" w:name="_Toc507158602"/>
      <w:bookmarkStart w:id="568" w:name="_Toc511116736"/>
      <w:bookmarkStart w:id="569" w:name="_Toc5269476"/>
      <w:r w:rsidRPr="00256982">
        <w:lastRenderedPageBreak/>
        <w:t>Table 5.2.5</w:t>
      </w:r>
      <w:r w:rsidRPr="00256982">
        <w:tab/>
        <w:t>Comparison of the IPCC (2006) default emission factor and country-specific implied emission factors (IEFs) for methane (CH</w:t>
      </w:r>
      <w:r w:rsidRPr="00256982">
        <w:rPr>
          <w:vertAlign w:val="subscript"/>
        </w:rPr>
        <w:t>4</w:t>
      </w:r>
      <w:r w:rsidRPr="00256982">
        <w:t>) from enteric fermentation for dairy cattle, non</w:t>
      </w:r>
      <w:r w:rsidRPr="00256982">
        <w:noBreakHyphen/>
        <w:t>dairy cattle and sheep</w:t>
      </w:r>
      <w:bookmarkEnd w:id="562"/>
      <w:bookmarkEnd w:id="563"/>
      <w:bookmarkEnd w:id="564"/>
      <w:bookmarkEnd w:id="565"/>
      <w:bookmarkEnd w:id="566"/>
      <w:bookmarkEnd w:id="567"/>
      <w:bookmarkEnd w:id="568"/>
      <w:bookmarkEnd w:id="569"/>
    </w:p>
    <w:tbl>
      <w:tblPr>
        <w:tblW w:w="8505" w:type="dxa"/>
        <w:tblInd w:w="108" w:type="dxa"/>
        <w:tblBorders>
          <w:top w:val="single" w:sz="4" w:space="0" w:color="365F91"/>
          <w:bottom w:val="single" w:sz="4" w:space="0" w:color="365F91"/>
          <w:insideH w:val="single" w:sz="4" w:space="0" w:color="365F91"/>
        </w:tblBorders>
        <w:tblLayout w:type="fixed"/>
        <w:tblCellMar>
          <w:left w:w="85" w:type="dxa"/>
          <w:right w:w="85" w:type="dxa"/>
        </w:tblCellMar>
        <w:tblLook w:val="0000" w:firstRow="0" w:lastRow="0" w:firstColumn="0" w:lastColumn="0" w:noHBand="0" w:noVBand="0"/>
      </w:tblPr>
      <w:tblGrid>
        <w:gridCol w:w="3402"/>
        <w:gridCol w:w="1701"/>
        <w:gridCol w:w="1701"/>
        <w:gridCol w:w="1701"/>
      </w:tblGrid>
      <w:tr w:rsidR="0068777C" w:rsidRPr="00256982" w14:paraId="44E9362A" w14:textId="77777777" w:rsidTr="0068777C">
        <w:trPr>
          <w:tblHeader/>
        </w:trPr>
        <w:tc>
          <w:tcPr>
            <w:tcW w:w="3402" w:type="dxa"/>
            <w:shd w:val="clear" w:color="auto" w:fill="365F91"/>
          </w:tcPr>
          <w:p w14:paraId="5AFEA44B" w14:textId="77777777" w:rsidR="0068777C" w:rsidRPr="00256982" w:rsidRDefault="0068777C" w:rsidP="0068777C">
            <w:pPr>
              <w:pStyle w:val="TableTextBold"/>
              <w:rPr>
                <w:rFonts w:cs="Arial"/>
                <w:noProof w:val="0"/>
                <w:color w:val="FFFFFF"/>
                <w:szCs w:val="16"/>
              </w:rPr>
            </w:pPr>
          </w:p>
        </w:tc>
        <w:tc>
          <w:tcPr>
            <w:tcW w:w="1701" w:type="dxa"/>
            <w:shd w:val="clear" w:color="auto" w:fill="365F91"/>
            <w:vAlign w:val="bottom"/>
          </w:tcPr>
          <w:p w14:paraId="75F1C9CE" w14:textId="77777777" w:rsidR="0068777C" w:rsidRPr="00256982" w:rsidRDefault="0068777C" w:rsidP="0068777C">
            <w:pPr>
              <w:pStyle w:val="TableTextBold"/>
              <w:jc w:val="center"/>
              <w:rPr>
                <w:rFonts w:cs="Arial"/>
                <w:noProof w:val="0"/>
                <w:color w:val="FFFFFF"/>
                <w:szCs w:val="16"/>
              </w:rPr>
            </w:pPr>
            <w:r w:rsidRPr="00256982">
              <w:rPr>
                <w:rFonts w:cs="Arial"/>
                <w:noProof w:val="0"/>
                <w:color w:val="FFFFFF"/>
                <w:szCs w:val="16"/>
              </w:rPr>
              <w:t>Dairy cattle</w:t>
            </w:r>
            <w:r w:rsidRPr="00256982">
              <w:rPr>
                <w:rFonts w:cs="Arial"/>
                <w:noProof w:val="0"/>
                <w:color w:val="FFFFFF"/>
                <w:szCs w:val="16"/>
              </w:rPr>
              <w:br/>
              <w:t>(kg CH</w:t>
            </w:r>
            <w:r w:rsidRPr="00256982">
              <w:rPr>
                <w:rFonts w:cs="Arial"/>
                <w:noProof w:val="0"/>
                <w:color w:val="FFFFFF"/>
                <w:szCs w:val="16"/>
                <w:vertAlign w:val="subscript"/>
              </w:rPr>
              <w:t>4</w:t>
            </w:r>
            <w:r w:rsidRPr="00256982">
              <w:rPr>
                <w:rFonts w:cs="Arial"/>
                <w:noProof w:val="0"/>
                <w:color w:val="FFFFFF"/>
                <w:szCs w:val="16"/>
              </w:rPr>
              <w:t>/head/year)</w:t>
            </w:r>
          </w:p>
        </w:tc>
        <w:tc>
          <w:tcPr>
            <w:tcW w:w="1701" w:type="dxa"/>
            <w:shd w:val="clear" w:color="auto" w:fill="365F91"/>
            <w:vAlign w:val="bottom"/>
          </w:tcPr>
          <w:p w14:paraId="57D7C7A4" w14:textId="77777777" w:rsidR="0068777C" w:rsidRPr="00256982" w:rsidRDefault="0068777C" w:rsidP="0068777C">
            <w:pPr>
              <w:pStyle w:val="TableTextBold"/>
              <w:jc w:val="center"/>
              <w:rPr>
                <w:rFonts w:cs="Arial"/>
                <w:noProof w:val="0"/>
                <w:color w:val="FFFFFF"/>
                <w:szCs w:val="16"/>
              </w:rPr>
            </w:pPr>
            <w:r w:rsidRPr="00256982">
              <w:rPr>
                <w:rFonts w:cs="Arial"/>
                <w:noProof w:val="0"/>
                <w:color w:val="FFFFFF"/>
                <w:szCs w:val="16"/>
              </w:rPr>
              <w:t>Non-dairy cattle (pasture)</w:t>
            </w:r>
            <w:r w:rsidRPr="00256982">
              <w:rPr>
                <w:rFonts w:cs="Arial"/>
                <w:noProof w:val="0"/>
                <w:color w:val="FFFFFF"/>
                <w:szCs w:val="16"/>
              </w:rPr>
              <w:br/>
              <w:t>(kg CH</w:t>
            </w:r>
            <w:r w:rsidRPr="00256982">
              <w:rPr>
                <w:rFonts w:cs="Arial"/>
                <w:noProof w:val="0"/>
                <w:color w:val="FFFFFF"/>
                <w:szCs w:val="16"/>
                <w:vertAlign w:val="subscript"/>
              </w:rPr>
              <w:t>4</w:t>
            </w:r>
            <w:r w:rsidRPr="00256982">
              <w:rPr>
                <w:rFonts w:cs="Arial"/>
                <w:noProof w:val="0"/>
                <w:color w:val="FFFFFF"/>
                <w:szCs w:val="16"/>
              </w:rPr>
              <w:t>/head/year)</w:t>
            </w:r>
          </w:p>
        </w:tc>
        <w:tc>
          <w:tcPr>
            <w:tcW w:w="1701" w:type="dxa"/>
            <w:shd w:val="clear" w:color="auto" w:fill="365F91"/>
            <w:vAlign w:val="bottom"/>
          </w:tcPr>
          <w:p w14:paraId="0C12B653" w14:textId="77777777" w:rsidR="0068777C" w:rsidRPr="00256982" w:rsidRDefault="0068777C" w:rsidP="0068777C">
            <w:pPr>
              <w:pStyle w:val="TableTextBold"/>
              <w:jc w:val="center"/>
              <w:rPr>
                <w:rFonts w:cs="Arial"/>
                <w:noProof w:val="0"/>
                <w:color w:val="FFFFFF"/>
                <w:szCs w:val="16"/>
              </w:rPr>
            </w:pPr>
            <w:r w:rsidRPr="00256982">
              <w:rPr>
                <w:rFonts w:cs="Arial"/>
                <w:noProof w:val="0"/>
                <w:color w:val="FFFFFF"/>
                <w:szCs w:val="16"/>
              </w:rPr>
              <w:t>Sheep</w:t>
            </w:r>
            <w:r w:rsidRPr="00256982">
              <w:rPr>
                <w:rFonts w:cs="Arial"/>
                <w:noProof w:val="0"/>
                <w:color w:val="FFFFFF"/>
                <w:szCs w:val="16"/>
              </w:rPr>
              <w:br/>
              <w:t>(kg CH</w:t>
            </w:r>
            <w:r w:rsidRPr="00256982">
              <w:rPr>
                <w:rFonts w:cs="Arial"/>
                <w:noProof w:val="0"/>
                <w:color w:val="FFFFFF"/>
                <w:szCs w:val="16"/>
                <w:vertAlign w:val="subscript"/>
              </w:rPr>
              <w:t>4</w:t>
            </w:r>
            <w:r w:rsidRPr="00256982">
              <w:rPr>
                <w:rFonts w:cs="Arial"/>
                <w:noProof w:val="0"/>
                <w:color w:val="FFFFFF"/>
                <w:szCs w:val="16"/>
              </w:rPr>
              <w:t>/head/year)</w:t>
            </w:r>
          </w:p>
        </w:tc>
      </w:tr>
      <w:tr w:rsidR="0068777C" w:rsidRPr="00256982" w14:paraId="2CCFF65F" w14:textId="77777777" w:rsidTr="0068777C">
        <w:tc>
          <w:tcPr>
            <w:tcW w:w="3062" w:type="dxa"/>
          </w:tcPr>
          <w:p w14:paraId="41CFC2F2" w14:textId="77777777" w:rsidR="0068777C" w:rsidRPr="00256982" w:rsidRDefault="0068777C" w:rsidP="0068777C">
            <w:pPr>
              <w:pStyle w:val="TableText"/>
            </w:pPr>
            <w:r w:rsidRPr="00256982">
              <w:t>IPCC (2006) Tier 1 Oceania default value</w:t>
            </w:r>
          </w:p>
        </w:tc>
        <w:tc>
          <w:tcPr>
            <w:tcW w:w="1531" w:type="dxa"/>
          </w:tcPr>
          <w:p w14:paraId="5A76A803" w14:textId="77777777" w:rsidR="0068777C" w:rsidRPr="00256982" w:rsidRDefault="0068777C" w:rsidP="0068777C">
            <w:pPr>
              <w:pStyle w:val="TableText"/>
              <w:jc w:val="center"/>
            </w:pPr>
            <w:r w:rsidRPr="00256982">
              <w:t>90.0</w:t>
            </w:r>
          </w:p>
        </w:tc>
        <w:tc>
          <w:tcPr>
            <w:tcW w:w="1531" w:type="dxa"/>
          </w:tcPr>
          <w:p w14:paraId="15185CB9" w14:textId="77777777" w:rsidR="0068777C" w:rsidRPr="00256982" w:rsidRDefault="0068777C" w:rsidP="0068777C">
            <w:pPr>
              <w:pStyle w:val="TableText"/>
              <w:jc w:val="center"/>
            </w:pPr>
            <w:r w:rsidRPr="00256982">
              <w:t>60.0</w:t>
            </w:r>
          </w:p>
        </w:tc>
        <w:tc>
          <w:tcPr>
            <w:tcW w:w="1531" w:type="dxa"/>
          </w:tcPr>
          <w:p w14:paraId="62A9F2AE" w14:textId="77777777" w:rsidR="0068777C" w:rsidRPr="00256982" w:rsidRDefault="0068777C" w:rsidP="0068777C">
            <w:pPr>
              <w:pStyle w:val="TableText"/>
              <w:jc w:val="center"/>
            </w:pPr>
            <w:r w:rsidRPr="00256982">
              <w:t>8.0</w:t>
            </w:r>
          </w:p>
        </w:tc>
      </w:tr>
      <w:tr w:rsidR="0068777C" w:rsidRPr="00256982" w14:paraId="2A82D6EF" w14:textId="77777777" w:rsidTr="0068777C">
        <w:tc>
          <w:tcPr>
            <w:tcW w:w="3062" w:type="dxa"/>
          </w:tcPr>
          <w:p w14:paraId="412B6956" w14:textId="77777777" w:rsidR="0068777C" w:rsidRPr="00256982" w:rsidRDefault="0068777C" w:rsidP="0068777C">
            <w:pPr>
              <w:pStyle w:val="TableText"/>
            </w:pPr>
            <w:r w:rsidRPr="00256982">
              <w:t>IPCC (2006) Tier 2 net energy-based value</w:t>
            </w:r>
          </w:p>
        </w:tc>
        <w:tc>
          <w:tcPr>
            <w:tcW w:w="1531" w:type="dxa"/>
          </w:tcPr>
          <w:p w14:paraId="3974E561" w14:textId="77777777" w:rsidR="0068777C" w:rsidRPr="00256982" w:rsidRDefault="0068777C" w:rsidP="0068777C">
            <w:pPr>
              <w:pStyle w:val="TableText"/>
              <w:jc w:val="center"/>
            </w:pPr>
            <w:r w:rsidRPr="00256982">
              <w:t>72.5</w:t>
            </w:r>
          </w:p>
        </w:tc>
        <w:tc>
          <w:tcPr>
            <w:tcW w:w="1531" w:type="dxa"/>
          </w:tcPr>
          <w:p w14:paraId="54908B9C" w14:textId="77777777" w:rsidR="0068777C" w:rsidRPr="00256982" w:rsidRDefault="0068777C" w:rsidP="0068777C">
            <w:pPr>
              <w:pStyle w:val="TableText"/>
              <w:jc w:val="center"/>
            </w:pPr>
            <w:r w:rsidRPr="00256982">
              <w:t>51.6</w:t>
            </w:r>
          </w:p>
        </w:tc>
        <w:tc>
          <w:tcPr>
            <w:tcW w:w="1531" w:type="dxa"/>
          </w:tcPr>
          <w:p w14:paraId="4848C38D" w14:textId="77777777" w:rsidR="0068777C" w:rsidRPr="00256982" w:rsidRDefault="0068777C" w:rsidP="0068777C">
            <w:pPr>
              <w:pStyle w:val="TableText"/>
              <w:jc w:val="center"/>
            </w:pPr>
            <w:r w:rsidRPr="00256982">
              <w:t>8.9</w:t>
            </w:r>
          </w:p>
        </w:tc>
      </w:tr>
      <w:tr w:rsidR="0068777C" w:rsidRPr="00256982" w14:paraId="4673F654" w14:textId="77777777" w:rsidTr="0068777C">
        <w:tc>
          <w:tcPr>
            <w:tcW w:w="3062" w:type="dxa"/>
          </w:tcPr>
          <w:p w14:paraId="787C5913" w14:textId="77777777" w:rsidR="0068777C" w:rsidRPr="00256982" w:rsidRDefault="0068777C" w:rsidP="0068777C">
            <w:pPr>
              <w:pStyle w:val="TableText"/>
            </w:pPr>
            <w:r w:rsidRPr="00256982">
              <w:t>Australian-specific IEF 2016 value</w:t>
            </w:r>
            <w:r w:rsidRPr="00256982">
              <w:rPr>
                <w:rStyle w:val="FootnoteReference"/>
                <w:rFonts w:cs="Arial"/>
                <w:szCs w:val="16"/>
              </w:rPr>
              <w:footnoteReference w:id="41"/>
            </w:r>
          </w:p>
        </w:tc>
        <w:tc>
          <w:tcPr>
            <w:tcW w:w="1531" w:type="dxa"/>
          </w:tcPr>
          <w:p w14:paraId="55722E54" w14:textId="77777777" w:rsidR="0068777C" w:rsidRPr="00256982" w:rsidRDefault="0068777C" w:rsidP="0068777C">
            <w:pPr>
              <w:pStyle w:val="TableText"/>
              <w:jc w:val="center"/>
            </w:pPr>
            <w:r w:rsidRPr="00256982">
              <w:t>93.3</w:t>
            </w:r>
          </w:p>
        </w:tc>
        <w:tc>
          <w:tcPr>
            <w:tcW w:w="1531" w:type="dxa"/>
          </w:tcPr>
          <w:p w14:paraId="1868333F" w14:textId="77777777" w:rsidR="0068777C" w:rsidRPr="00256982" w:rsidRDefault="0068777C" w:rsidP="0068777C">
            <w:pPr>
              <w:pStyle w:val="TableText"/>
              <w:spacing w:after="0"/>
              <w:jc w:val="center"/>
            </w:pPr>
            <w:r w:rsidRPr="00256982">
              <w:t>51.2 (pasture)</w:t>
            </w:r>
          </w:p>
          <w:p w14:paraId="7082AC7C" w14:textId="77777777" w:rsidR="0068777C" w:rsidRPr="00256982" w:rsidRDefault="0068777C" w:rsidP="0068777C">
            <w:pPr>
              <w:pStyle w:val="TableText"/>
              <w:jc w:val="center"/>
            </w:pPr>
            <w:r w:rsidRPr="00256982">
              <w:t>67.8 (feedlot)</w:t>
            </w:r>
          </w:p>
        </w:tc>
        <w:tc>
          <w:tcPr>
            <w:tcW w:w="1531" w:type="dxa"/>
          </w:tcPr>
          <w:p w14:paraId="601FFE84" w14:textId="77777777" w:rsidR="0068777C" w:rsidRPr="00256982" w:rsidRDefault="0068777C" w:rsidP="0068777C">
            <w:pPr>
              <w:pStyle w:val="TableText"/>
              <w:jc w:val="center"/>
            </w:pPr>
            <w:r w:rsidRPr="00256982">
              <w:t>6.7</w:t>
            </w:r>
          </w:p>
        </w:tc>
      </w:tr>
      <w:tr w:rsidR="0068777C" w:rsidRPr="00256982" w14:paraId="295B53CA" w14:textId="77777777" w:rsidTr="0068777C">
        <w:tc>
          <w:tcPr>
            <w:tcW w:w="3062" w:type="dxa"/>
          </w:tcPr>
          <w:p w14:paraId="69BDCF54" w14:textId="77777777" w:rsidR="0068777C" w:rsidRPr="00256982" w:rsidRDefault="0068777C" w:rsidP="0068777C">
            <w:pPr>
              <w:pStyle w:val="TableText"/>
            </w:pPr>
            <w:r w:rsidRPr="00256982">
              <w:t>New Zealand-specific IEF 2017 value</w:t>
            </w:r>
          </w:p>
        </w:tc>
        <w:tc>
          <w:tcPr>
            <w:tcW w:w="1531" w:type="dxa"/>
          </w:tcPr>
          <w:p w14:paraId="31C7A90D" w14:textId="77777777" w:rsidR="0068777C" w:rsidRPr="00256982" w:rsidRDefault="0068777C" w:rsidP="0068777C">
            <w:pPr>
              <w:pStyle w:val="TableText"/>
              <w:jc w:val="center"/>
            </w:pPr>
            <w:r w:rsidRPr="00256982">
              <w:t>83.2</w:t>
            </w:r>
          </w:p>
        </w:tc>
        <w:tc>
          <w:tcPr>
            <w:tcW w:w="1531" w:type="dxa"/>
          </w:tcPr>
          <w:p w14:paraId="53AD21E7" w14:textId="77777777" w:rsidR="0068777C" w:rsidRPr="00256982" w:rsidRDefault="0068777C" w:rsidP="0068777C">
            <w:pPr>
              <w:pStyle w:val="TableText"/>
              <w:jc w:val="center"/>
            </w:pPr>
            <w:r w:rsidRPr="00256982">
              <w:t>58.7</w:t>
            </w:r>
          </w:p>
        </w:tc>
        <w:tc>
          <w:tcPr>
            <w:tcW w:w="1531" w:type="dxa"/>
          </w:tcPr>
          <w:p w14:paraId="33FA6E04" w14:textId="77777777" w:rsidR="0068777C" w:rsidRPr="00256982" w:rsidRDefault="0068777C" w:rsidP="0068777C">
            <w:pPr>
              <w:pStyle w:val="TableText"/>
              <w:jc w:val="center"/>
            </w:pPr>
            <w:r w:rsidRPr="00256982">
              <w:t>12.0</w:t>
            </w:r>
          </w:p>
        </w:tc>
      </w:tr>
    </w:tbl>
    <w:p w14:paraId="2FAA3909" w14:textId="77777777" w:rsidR="0068777C" w:rsidRPr="00256982" w:rsidRDefault="0068777C" w:rsidP="0068777C">
      <w:pPr>
        <w:pStyle w:val="Noteundertable"/>
      </w:pPr>
      <w:r w:rsidRPr="00256982">
        <w:rPr>
          <w:b/>
        </w:rPr>
        <w:t xml:space="preserve">Note: </w:t>
      </w:r>
      <w:r w:rsidRPr="00256982">
        <w:rPr>
          <w:b/>
        </w:rPr>
        <w:tab/>
      </w:r>
      <w:r w:rsidRPr="00256982">
        <w:t>The IPCC (2006) value for sheep is for developed countries.</w:t>
      </w:r>
    </w:p>
    <w:p w14:paraId="305AE124" w14:textId="77777777" w:rsidR="0068777C" w:rsidRPr="00256982" w:rsidRDefault="0068777C" w:rsidP="0068777C">
      <w:pPr>
        <w:pStyle w:val="BodyText"/>
      </w:pPr>
      <w:r w:rsidRPr="00256982">
        <w:rPr>
          <w:b/>
          <w:i/>
        </w:rPr>
        <w:t>Dairy cattle:</w:t>
      </w:r>
      <w:r w:rsidRPr="00256982">
        <w:t xml:space="preserve"> New Zealand’s IEF for dairy cattle is lower than the IPCC Tier 1 Oceania default value and the Australian-specific IEF. Although the predominantly pasture-based system in New Zealand is similar to Australian dairy cattle management, this lower IEF value may be due to the higher proportion of lighter cattle breeds in New Zealand. The Australian dairy herd comprises 80 per cent Holstein–Friesian, 11 per cent Jersey breeds and 9 per cent other, including the Brown Swiss.</w:t>
      </w:r>
      <w:r w:rsidRPr="00256982">
        <w:rPr>
          <w:rStyle w:val="FootnoteReference"/>
        </w:rPr>
        <w:footnoteReference w:id="42"/>
      </w:r>
      <w:r w:rsidRPr="00256982">
        <w:t xml:space="preserve"> In 2017, 48 per cent of New Zealand’s cow population comprised a Holstein–Friesian/Jersey crossbreed, which is, on average, 92 per cent of the liveweight of New Zealand’s Holstein–Friesian cows (LIC and DairyNZ, 2018). </w:t>
      </w:r>
    </w:p>
    <w:p w14:paraId="297BF7DF" w14:textId="77777777" w:rsidR="0068777C" w:rsidRPr="00256982" w:rsidRDefault="0068777C" w:rsidP="0068777C">
      <w:pPr>
        <w:pStyle w:val="BodyText"/>
        <w:rPr>
          <w:spacing w:val="-2"/>
        </w:rPr>
      </w:pPr>
      <w:r w:rsidRPr="00256982">
        <w:rPr>
          <w:spacing w:val="-2"/>
        </w:rPr>
        <w:t>Also, in New Zealand’s Tier 2 inventory model, dairy cattle encompass all cattle that are required to support the milking dairy herd. This includes calves, young growing non</w:t>
      </w:r>
      <w:r w:rsidRPr="00256982">
        <w:rPr>
          <w:spacing w:val="-2"/>
        </w:rPr>
        <w:noBreakHyphen/>
        <w:t xml:space="preserve">lactating heifers, dry cows and bulls. Because the emissions from these animals are included in the IEF calculations, the IEF will be lower than if only mature milking cows had been taken into account. </w:t>
      </w:r>
    </w:p>
    <w:p w14:paraId="13E0FF08" w14:textId="77777777" w:rsidR="0068777C" w:rsidRPr="00256982" w:rsidRDefault="0068777C" w:rsidP="0068777C">
      <w:pPr>
        <w:pStyle w:val="BodyText"/>
      </w:pPr>
      <w:r w:rsidRPr="00256982">
        <w:t>However, New Zealand’s dairy IEF is higher than the IPCC Tier 2 net energy-based value. This is because the feeding algorithms within New Zealand’s national inventory use New Zealand-specific activity data and methodology that better reflect the pastoral-based farming systems in New Zealand.</w:t>
      </w:r>
    </w:p>
    <w:p w14:paraId="39A4814A" w14:textId="77777777" w:rsidR="0068777C" w:rsidRPr="00256982" w:rsidRDefault="0068777C" w:rsidP="0068777C">
      <w:pPr>
        <w:pStyle w:val="BodyText"/>
      </w:pPr>
      <w:r w:rsidRPr="00256982">
        <w:rPr>
          <w:b/>
          <w:i/>
        </w:rPr>
        <w:t>Non-dairy cattle:</w:t>
      </w:r>
      <w:r w:rsidRPr="00256982">
        <w:t xml:space="preserve"> The New Zealand-specific IEF for non-dairy cattle is similar to the IPCC Tier 1 Oceania default value but greater than the IPCC Tier 2 net energy-based value. Differences such as feed type and quality, breed and which animals are characterised as non-dairy will, however, influence the IEFs. As explained for dairy cattle above, the main difference between the IPCC Tier 2 value and the New Zealand-specific value (apart from the different equations determining them) is that the feeding algorithms within New Zealand’s national inventory use New Zealand-specific activity data and methodology that better reflect the pastoral-based farming systems in New Zealand.</w:t>
      </w:r>
    </w:p>
    <w:p w14:paraId="7700D43D" w14:textId="77777777" w:rsidR="0068777C" w:rsidRPr="00256982" w:rsidRDefault="0068777C" w:rsidP="0068777C">
      <w:pPr>
        <w:pStyle w:val="BodyText"/>
      </w:pPr>
      <w:r w:rsidRPr="00256982">
        <w:rPr>
          <w:b/>
          <w:i/>
        </w:rPr>
        <w:t>Sheep:</w:t>
      </w:r>
      <w:r w:rsidRPr="00256982">
        <w:t xml:space="preserve"> New Zealand’s IEF for sheep is higher than the IPCC Tier 1 default value and higher than the Australian-specific IEF. This is because the annual sheep population figure used to calculate the IEF is based on the June population, in winter. This count will exclude the majority of the lamb population, which is born in spring (August–September) and raised and slaughtered during summer and early autumn (February, March and April). New Zealand does take lambs into account when determining actual CH</w:t>
      </w:r>
      <w:r w:rsidRPr="00256982">
        <w:rPr>
          <w:vertAlign w:val="subscript"/>
        </w:rPr>
        <w:t>4</w:t>
      </w:r>
      <w:r w:rsidRPr="00256982">
        <w:t xml:space="preserve"> emissions over the course of a year because emissions are calculated on a monthly basis, but it does not include the lamb population when </w:t>
      </w:r>
      <w:r w:rsidRPr="00256982">
        <w:lastRenderedPageBreak/>
        <w:t>estimating the IEF. This is why the calculated sheep IEF is higher than the IPCC default. The IPCC Tier 2 net energy-based value is lower than the New Zealand-specific IEF. This difference can be explained by the same rationale as put forward for cattle.</w:t>
      </w:r>
    </w:p>
    <w:p w14:paraId="75DB18A0" w14:textId="77777777" w:rsidR="0068777C" w:rsidRPr="00256982" w:rsidRDefault="0068777C" w:rsidP="00766DF1">
      <w:pPr>
        <w:pStyle w:val="Heading3"/>
        <w:spacing w:before="320"/>
      </w:pPr>
      <w:bookmarkStart w:id="570" w:name="_Toc139253921"/>
      <w:r w:rsidRPr="00256982">
        <w:t>5.2.5</w:t>
      </w:r>
      <w:r w:rsidRPr="00256982">
        <w:tab/>
        <w:t>Source-specific recalculations</w:t>
      </w:r>
      <w:bookmarkEnd w:id="570"/>
    </w:p>
    <w:p w14:paraId="714CA4B0" w14:textId="77777777" w:rsidR="0068777C" w:rsidRPr="00256982" w:rsidRDefault="0068777C" w:rsidP="0068777C">
      <w:pPr>
        <w:pStyle w:val="BodyText"/>
      </w:pPr>
      <w:bookmarkStart w:id="571" w:name="_Toc139253922"/>
      <w:r w:rsidRPr="00256982">
        <w:t>All activity data were updated with the latest available data: Statistics New Zealand table builder and Infoshare database (Statistics New Zealand, 2018b) and LIC statistics (LIC and DairyNZ, 2018). No specific recalculations have been performed in New Zealand’s Agriculture inventory for this year’s submission.</w:t>
      </w:r>
    </w:p>
    <w:bookmarkEnd w:id="571"/>
    <w:p w14:paraId="2456E9CD" w14:textId="77777777" w:rsidR="0068777C" w:rsidRPr="00256982" w:rsidRDefault="0068777C" w:rsidP="00766DF1">
      <w:pPr>
        <w:pStyle w:val="Heading3"/>
        <w:spacing w:before="320"/>
      </w:pPr>
      <w:r w:rsidRPr="00256982">
        <w:t>5.2.6</w:t>
      </w:r>
      <w:r w:rsidRPr="00256982">
        <w:tab/>
        <w:t xml:space="preserve">Source-specific planned improvements </w:t>
      </w:r>
    </w:p>
    <w:p w14:paraId="35542CAC" w14:textId="77777777" w:rsidR="0068777C" w:rsidRPr="00256982" w:rsidRDefault="0068777C" w:rsidP="00766DF1">
      <w:pPr>
        <w:pStyle w:val="Heading5"/>
        <w:spacing w:before="200"/>
      </w:pPr>
      <w:r w:rsidRPr="00256982">
        <w:t>Improvements to the pasture quality dataset</w:t>
      </w:r>
    </w:p>
    <w:p w14:paraId="79429C18" w14:textId="77777777" w:rsidR="0068777C" w:rsidRPr="00256982" w:rsidRDefault="0068777C" w:rsidP="0068777C">
      <w:pPr>
        <w:pStyle w:val="BodyText"/>
      </w:pPr>
      <w:r w:rsidRPr="00256982">
        <w:t xml:space="preserve">New Zealand is continuing research to improve its knowledge on national pasture quality, including nitrogen content that affects emissions from manure. A programme of pasture sample collection and analysis began in 2018. The aim of this work is to provide an up-to-date, detailed and accurate pasture quality dataset that is nationally representative of the range of farming systems and that takes seasonal variations into account. This will build on research that assessed the robustness of New Zealand’s </w:t>
      </w:r>
      <w:r w:rsidRPr="00256982">
        <w:rPr>
          <w:spacing w:val="-2"/>
        </w:rPr>
        <w:t xml:space="preserve">current pasture quality dataset (Bown et al., 2013; Upsdell et al., unpublished). It will also take into account work by Giltrap et al. (unpublished) that considered the number of samples required to represent the seasonal and spatial variability in pasture within specific uncertainty levels. Improvements to the pasture quality dataset will improve estimations of emissions in the </w:t>
      </w:r>
      <w:r w:rsidRPr="00256982">
        <w:rPr>
          <w:i/>
          <w:spacing w:val="-2"/>
        </w:rPr>
        <w:t>Enteric fermentation</w:t>
      </w:r>
      <w:r w:rsidRPr="00256982">
        <w:rPr>
          <w:spacing w:val="-2"/>
        </w:rPr>
        <w:t xml:space="preserve">, </w:t>
      </w:r>
      <w:r w:rsidRPr="00256982">
        <w:rPr>
          <w:i/>
          <w:spacing w:val="-2"/>
        </w:rPr>
        <w:t>Manure management</w:t>
      </w:r>
      <w:r w:rsidRPr="00256982">
        <w:rPr>
          <w:spacing w:val="-2"/>
        </w:rPr>
        <w:t xml:space="preserve"> and </w:t>
      </w:r>
      <w:r w:rsidRPr="00256982">
        <w:rPr>
          <w:i/>
          <w:spacing w:val="-2"/>
        </w:rPr>
        <w:t>Agricultural soils</w:t>
      </w:r>
      <w:r w:rsidRPr="00256982">
        <w:rPr>
          <w:spacing w:val="-2"/>
        </w:rPr>
        <w:t xml:space="preserve"> categories.</w:t>
      </w:r>
    </w:p>
    <w:p w14:paraId="0B6B4E37" w14:textId="77777777" w:rsidR="0068777C" w:rsidRPr="00256982" w:rsidRDefault="0068777C" w:rsidP="0068777C">
      <w:pPr>
        <w:pStyle w:val="Heading5"/>
      </w:pPr>
      <w:r w:rsidRPr="00256982">
        <w:t>Clarification of cattle methane yields</w:t>
      </w:r>
    </w:p>
    <w:p w14:paraId="2EA45372" w14:textId="77777777" w:rsidR="0068777C" w:rsidRPr="00256982" w:rsidRDefault="0068777C" w:rsidP="0068777C">
      <w:pPr>
        <w:pStyle w:val="BodyText"/>
      </w:pPr>
      <w:r w:rsidRPr="00256982">
        <w:t>New Zealand is continuing research to improve its understanding of CH</w:t>
      </w:r>
      <w:r w:rsidRPr="00256982">
        <w:rPr>
          <w:vertAlign w:val="subscript"/>
        </w:rPr>
        <w:t>4</w:t>
      </w:r>
      <w:r w:rsidRPr="00256982">
        <w:t xml:space="preserve"> emissions from enteric fermentation of cattle. To develop a more robust relationship between CH</w:t>
      </w:r>
      <w:r w:rsidRPr="00256982">
        <w:rPr>
          <w:vertAlign w:val="subscript"/>
        </w:rPr>
        <w:t>4</w:t>
      </w:r>
      <w:r w:rsidRPr="00256982">
        <w:t xml:space="preserve"> yields and DMI, research looking at CH</w:t>
      </w:r>
      <w:r w:rsidRPr="00256982">
        <w:rPr>
          <w:vertAlign w:val="subscript"/>
        </w:rPr>
        <w:t>4</w:t>
      </w:r>
      <w:r w:rsidRPr="00256982">
        <w:t xml:space="preserve"> yields at low and high DMI levels is under way to ensure the CH</w:t>
      </w:r>
      <w:r w:rsidRPr="00256982">
        <w:rPr>
          <w:vertAlign w:val="subscript"/>
        </w:rPr>
        <w:t>4</w:t>
      </w:r>
      <w:r w:rsidRPr="00256982">
        <w:t xml:space="preserve"> yield relationship holds at the extremes of DMI. The research is being carried out at the NZAGRC ruminant CH</w:t>
      </w:r>
      <w:r w:rsidRPr="00256982">
        <w:rPr>
          <w:vertAlign w:val="subscript"/>
        </w:rPr>
        <w:t>4</w:t>
      </w:r>
      <w:r w:rsidRPr="00256982">
        <w:t xml:space="preserve"> measurement facility in purpose-built calorimeter chambers. The results of the study will be added to past research to help develop a robust equation describing the relationship between DMI and CH</w:t>
      </w:r>
      <w:r w:rsidRPr="00256982">
        <w:rPr>
          <w:vertAlign w:val="subscript"/>
        </w:rPr>
        <w:t>4</w:t>
      </w:r>
      <w:r w:rsidRPr="00256982">
        <w:t xml:space="preserve"> yields in New Zealand. This is a three-year project that started in early 2017.</w:t>
      </w:r>
    </w:p>
    <w:p w14:paraId="7122107B" w14:textId="77777777" w:rsidR="0068777C" w:rsidRPr="00256982" w:rsidRDefault="0068777C" w:rsidP="0068777C">
      <w:pPr>
        <w:pStyle w:val="Heading5"/>
      </w:pPr>
      <w:r w:rsidRPr="00256982">
        <w:t>Review of liveweight calculation</w:t>
      </w:r>
    </w:p>
    <w:p w14:paraId="42DF373E" w14:textId="1283001D" w:rsidR="0068777C" w:rsidRPr="00256982" w:rsidRDefault="0068777C" w:rsidP="0068777C">
      <w:pPr>
        <w:pStyle w:val="BodyText"/>
      </w:pPr>
      <w:r w:rsidRPr="00256982">
        <w:t>New Zealand is looking to improve the accuracy of the calculations and parameters used to estimate liveweight for cattle, sheep and deer, which influences pasture intake and emissions. A review of the current liveweight calculation methodology was completed in late 2018, and the</w:t>
      </w:r>
      <w:r w:rsidR="00766DF1" w:rsidRPr="00256982">
        <w:t> </w:t>
      </w:r>
      <w:r w:rsidRPr="00256982">
        <w:t xml:space="preserve">recommendations from this review will be used to improve the accuracy and transparency of the inventory. </w:t>
      </w:r>
    </w:p>
    <w:p w14:paraId="08572968" w14:textId="77777777" w:rsidR="0068777C" w:rsidRPr="00256982" w:rsidRDefault="0068777C" w:rsidP="0068777C">
      <w:pPr>
        <w:pStyle w:val="Heading2"/>
      </w:pPr>
      <w:bookmarkStart w:id="572" w:name="_Toc69611740"/>
      <w:bookmarkStart w:id="573" w:name="_Toc69612696"/>
      <w:bookmarkStart w:id="574" w:name="_Toc69612895"/>
      <w:bookmarkStart w:id="575" w:name="_Toc69613155"/>
      <w:bookmarkStart w:id="576" w:name="_Toc69633319"/>
      <w:bookmarkStart w:id="577" w:name="_Toc69717484"/>
      <w:bookmarkStart w:id="578" w:name="_Toc69802966"/>
      <w:bookmarkStart w:id="579" w:name="_Toc69815103"/>
      <w:bookmarkStart w:id="580" w:name="_Toc70492396"/>
      <w:bookmarkStart w:id="581" w:name="_Toc101310603"/>
      <w:bookmarkStart w:id="582" w:name="_Toc101318463"/>
      <w:bookmarkStart w:id="583" w:name="_Toc101318568"/>
      <w:bookmarkStart w:id="584" w:name="_Toc101318752"/>
      <w:bookmarkStart w:id="585" w:name="_Toc101334028"/>
      <w:bookmarkStart w:id="586" w:name="_Toc134847205"/>
      <w:bookmarkStart w:id="587" w:name="_Toc139253923"/>
      <w:bookmarkStart w:id="588" w:name="_Toc144710414"/>
      <w:bookmarkStart w:id="589" w:name="_Toc165890368"/>
      <w:bookmarkStart w:id="590" w:name="_Toc195322662"/>
      <w:bookmarkStart w:id="591" w:name="_Toc235955528"/>
      <w:bookmarkStart w:id="592" w:name="_Toc288316641"/>
      <w:bookmarkStart w:id="593" w:name="_Toc352504861"/>
      <w:bookmarkStart w:id="594" w:name="_Toc448321524"/>
      <w:bookmarkStart w:id="595" w:name="_Toc481751386"/>
      <w:bookmarkStart w:id="596" w:name="_Toc511116601"/>
      <w:bookmarkStart w:id="597" w:name="_Toc5269363"/>
      <w:r w:rsidRPr="00256982">
        <w:t>5.3</w:t>
      </w:r>
      <w:bookmarkStart w:id="598" w:name="Manure_Management"/>
      <w:r w:rsidRPr="00256982">
        <w:tab/>
        <w:t xml:space="preserve">Manure management </w:t>
      </w:r>
      <w:bookmarkEnd w:id="598"/>
      <w:r w:rsidRPr="00256982">
        <w:t>(CRF 3.B)</w:t>
      </w:r>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p>
    <w:p w14:paraId="12DC3321" w14:textId="77777777" w:rsidR="0068777C" w:rsidRPr="00256982" w:rsidRDefault="0068777C" w:rsidP="0068777C">
      <w:pPr>
        <w:pStyle w:val="Heading3"/>
        <w:spacing w:before="240"/>
      </w:pPr>
      <w:bookmarkStart w:id="599" w:name="_Toc139253924"/>
      <w:r w:rsidRPr="00256982">
        <w:t>5.3.1</w:t>
      </w:r>
      <w:r w:rsidRPr="00256982">
        <w:tab/>
        <w:t>Description</w:t>
      </w:r>
      <w:bookmarkEnd w:id="599"/>
    </w:p>
    <w:p w14:paraId="24A2433F" w14:textId="383ABCC1" w:rsidR="0068777C" w:rsidRPr="00256982" w:rsidRDefault="0068777C" w:rsidP="0068777C">
      <w:pPr>
        <w:pStyle w:val="BodyText"/>
      </w:pPr>
      <w:r w:rsidRPr="00256982">
        <w:t xml:space="preserve">In 2017, emissions from the </w:t>
      </w:r>
      <w:r w:rsidRPr="00256982">
        <w:rPr>
          <w:i/>
        </w:rPr>
        <w:t>Manure management</w:t>
      </w:r>
      <w:r w:rsidRPr="00256982">
        <w:t xml:space="preserve"> category </w:t>
      </w:r>
      <w:r w:rsidRPr="00256982">
        <w:rPr>
          <w:color w:val="000000"/>
        </w:rPr>
        <w:t>contributed 1,596.8 kt CO</w:t>
      </w:r>
      <w:r w:rsidRPr="00256982">
        <w:rPr>
          <w:color w:val="000000"/>
          <w:vertAlign w:val="subscript"/>
        </w:rPr>
        <w:t>2</w:t>
      </w:r>
      <w:r w:rsidRPr="00256982">
        <w:t>-e (4.1</w:t>
      </w:r>
      <w:r w:rsidR="00766DF1" w:rsidRPr="00256982">
        <w:t> </w:t>
      </w:r>
      <w:r w:rsidRPr="00256982">
        <w:t xml:space="preserve">per cent of emissions from the Agriculture sector). Emissions from </w:t>
      </w:r>
      <w:r w:rsidRPr="00256982">
        <w:rPr>
          <w:i/>
        </w:rPr>
        <w:t>Manure management</w:t>
      </w:r>
      <w:r w:rsidRPr="00256982">
        <w:t xml:space="preserve"> have increased by 876.0 kt CO</w:t>
      </w:r>
      <w:r w:rsidRPr="00256982">
        <w:rPr>
          <w:vertAlign w:val="subscript"/>
        </w:rPr>
        <w:t>2</w:t>
      </w:r>
      <w:r w:rsidRPr="00256982">
        <w:t xml:space="preserve">-e (121.5 per cent) from the 1990 </w:t>
      </w:r>
      <w:r w:rsidRPr="00256982">
        <w:rPr>
          <w:color w:val="000000"/>
        </w:rPr>
        <w:t>level of 720.7 kt CO</w:t>
      </w:r>
      <w:r w:rsidRPr="00256982">
        <w:rPr>
          <w:color w:val="000000"/>
          <w:vertAlign w:val="subscript"/>
        </w:rPr>
        <w:t>2</w:t>
      </w:r>
      <w:r w:rsidRPr="00256982">
        <w:rPr>
          <w:color w:val="000000"/>
        </w:rPr>
        <w:t xml:space="preserve">-e. </w:t>
      </w:r>
      <w:r w:rsidRPr="00256982">
        <w:t xml:space="preserve">Methane from </w:t>
      </w:r>
      <w:r w:rsidRPr="00256982">
        <w:rPr>
          <w:i/>
        </w:rPr>
        <w:t>Manure management</w:t>
      </w:r>
      <w:r w:rsidRPr="00256982">
        <w:t xml:space="preserve"> from dairy cattle was identified as a key category for New Zealand in the 2017 level and 1990–2017 trend assessment.</w:t>
      </w:r>
    </w:p>
    <w:p w14:paraId="7FFA7B95" w14:textId="77777777" w:rsidR="0068777C" w:rsidRPr="00256982" w:rsidRDefault="0068777C" w:rsidP="0068777C">
      <w:pPr>
        <w:pStyle w:val="BodyText"/>
      </w:pPr>
      <w:r w:rsidRPr="00256982">
        <w:lastRenderedPageBreak/>
        <w:t xml:space="preserve">The majority of the emissions from the </w:t>
      </w:r>
      <w:r w:rsidRPr="00256982">
        <w:rPr>
          <w:i/>
        </w:rPr>
        <w:t>Manure management</w:t>
      </w:r>
      <w:r w:rsidRPr="00256982">
        <w:t xml:space="preserve"> category are from CH</w:t>
      </w:r>
      <w:r w:rsidRPr="00256982">
        <w:rPr>
          <w:vertAlign w:val="subscript"/>
        </w:rPr>
        <w:t>4</w:t>
      </w:r>
      <w:r w:rsidRPr="00256982">
        <w:t xml:space="preserve"> produced during the storage and treatment of manure, and from CH</w:t>
      </w:r>
      <w:r w:rsidRPr="00256982">
        <w:rPr>
          <w:vertAlign w:val="subscript"/>
        </w:rPr>
        <w:t>4</w:t>
      </w:r>
      <w:r w:rsidRPr="00256982">
        <w:t xml:space="preserve"> from manure deposited on pasture. The category also includes N</w:t>
      </w:r>
      <w:r w:rsidRPr="00256982">
        <w:rPr>
          <w:vertAlign w:val="subscript"/>
        </w:rPr>
        <w:t>2</w:t>
      </w:r>
      <w:r w:rsidRPr="00256982">
        <w:t>O emissions produced during the storage and treatment of manure. It does not include N</w:t>
      </w:r>
      <w:r w:rsidRPr="00256982">
        <w:rPr>
          <w:vertAlign w:val="subscript"/>
        </w:rPr>
        <w:t>2</w:t>
      </w:r>
      <w:r w:rsidRPr="00256982">
        <w:t xml:space="preserve">O emissions from the spreading of animal manure and from manure deposited directly onto pasture by grazing livestock. Instead, emissions from these sources are included under the </w:t>
      </w:r>
      <w:r w:rsidRPr="00256982">
        <w:rPr>
          <w:i/>
        </w:rPr>
        <w:t>Agricultural soils</w:t>
      </w:r>
      <w:r w:rsidRPr="00256982">
        <w:t xml:space="preserve"> category (under </w:t>
      </w:r>
      <w:r w:rsidRPr="00256982">
        <w:rPr>
          <w:i/>
        </w:rPr>
        <w:t>Organic nitrogen fertilisers</w:t>
      </w:r>
      <w:r w:rsidRPr="00256982">
        <w:t xml:space="preserve"> and </w:t>
      </w:r>
      <w:r w:rsidRPr="00256982">
        <w:rPr>
          <w:i/>
        </w:rPr>
        <w:t>Urine and dung deposited by grazing animals</w:t>
      </w:r>
      <w:r w:rsidRPr="00256982">
        <w:t xml:space="preserve"> respectively).</w:t>
      </w:r>
    </w:p>
    <w:p w14:paraId="47641012" w14:textId="77777777" w:rsidR="0068777C" w:rsidRPr="00256982" w:rsidRDefault="0068777C" w:rsidP="0068777C">
      <w:pPr>
        <w:pStyle w:val="BodyText"/>
      </w:pPr>
      <w:r w:rsidRPr="00256982">
        <w:t>Methane is produced when manure decomposes in the absence of oxygen. The main factors affecting CH</w:t>
      </w:r>
      <w:r w:rsidRPr="00256982">
        <w:rPr>
          <w:vertAlign w:val="subscript"/>
        </w:rPr>
        <w:t>4</w:t>
      </w:r>
      <w:r w:rsidRPr="00256982">
        <w:t xml:space="preserve"> emissions are the amount of manure produced and the portion of the manure that decomposes anaerobically. When manure is stored or treated as a liquid (e.g., in lagoons or ponds), it decomposes anaerobically and can produce CH</w:t>
      </w:r>
      <w:r w:rsidRPr="00256982">
        <w:rPr>
          <w:vertAlign w:val="subscript"/>
        </w:rPr>
        <w:t>4</w:t>
      </w:r>
      <w:r w:rsidRPr="00256982">
        <w:t>. The temperature and the length of time spent in storage also affect the amount of CH</w:t>
      </w:r>
      <w:r w:rsidRPr="00256982">
        <w:rPr>
          <w:vertAlign w:val="subscript"/>
        </w:rPr>
        <w:t>4</w:t>
      </w:r>
      <w:r w:rsidRPr="00256982">
        <w:t xml:space="preserve"> produced. When manure is handled as a solid or when it is deposited on pastures, it tends to decompose under more aerobic conditions and less CH</w:t>
      </w:r>
      <w:r w:rsidRPr="00256982">
        <w:rPr>
          <w:vertAlign w:val="subscript"/>
        </w:rPr>
        <w:t>4</w:t>
      </w:r>
      <w:r w:rsidRPr="00256982">
        <w:t xml:space="preserve"> is produced. In 2017, CH</w:t>
      </w:r>
      <w:r w:rsidRPr="00256982">
        <w:rPr>
          <w:vertAlign w:val="subscript"/>
        </w:rPr>
        <w:t>4</w:t>
      </w:r>
      <w:r w:rsidRPr="00256982">
        <w:t xml:space="preserve"> emissions contributed 1,475.1 </w:t>
      </w:r>
      <w:r w:rsidRPr="00256982">
        <w:rPr>
          <w:color w:val="000000"/>
        </w:rPr>
        <w:t>kt CO</w:t>
      </w:r>
      <w:r w:rsidRPr="00256982">
        <w:rPr>
          <w:color w:val="000000"/>
          <w:vertAlign w:val="subscript"/>
        </w:rPr>
        <w:t>2</w:t>
      </w:r>
      <w:r w:rsidRPr="00256982">
        <w:t xml:space="preserve">-e (92.4 per cent of the </w:t>
      </w:r>
      <w:r w:rsidRPr="00256982">
        <w:rPr>
          <w:i/>
        </w:rPr>
        <w:t>Manure management</w:t>
      </w:r>
      <w:r w:rsidRPr="00256982">
        <w:t xml:space="preserve"> category) (see table 5.3.1).</w:t>
      </w:r>
    </w:p>
    <w:p w14:paraId="64C94FA3" w14:textId="77777777" w:rsidR="0068777C" w:rsidRPr="00256982" w:rsidRDefault="0068777C" w:rsidP="0068777C">
      <w:pPr>
        <w:pStyle w:val="BodyText"/>
      </w:pPr>
      <w:r w:rsidRPr="00256982">
        <w:t>Nitrous oxide emissions occur directly through the processes of nitrification and denitrification of nitrogen contained in the manure. They are also emitted indirectly through diffusion of oxides of nitrogen (NO</w:t>
      </w:r>
      <w:r w:rsidRPr="00256982">
        <w:rPr>
          <w:vertAlign w:val="subscript"/>
        </w:rPr>
        <w:t>x</w:t>
      </w:r>
      <w:r w:rsidRPr="00256982">
        <w:t>) into the surrounding air (volatilisation) or via leaching and runoff. As with CH</w:t>
      </w:r>
      <w:r w:rsidRPr="00256982">
        <w:rPr>
          <w:vertAlign w:val="subscript"/>
        </w:rPr>
        <w:t>4</w:t>
      </w:r>
      <w:r w:rsidRPr="00256982">
        <w:t xml:space="preserve">, the amount of </w:t>
      </w:r>
      <w:r w:rsidRPr="00256982">
        <w:rPr>
          <w:spacing w:val="-2"/>
        </w:rPr>
        <w:t>N</w:t>
      </w:r>
      <w:r w:rsidRPr="00256982">
        <w:rPr>
          <w:spacing w:val="-2"/>
          <w:vertAlign w:val="subscript"/>
        </w:rPr>
        <w:t>2</w:t>
      </w:r>
      <w:r w:rsidRPr="00256982">
        <w:rPr>
          <w:spacing w:val="-2"/>
        </w:rPr>
        <w:t>O</w:t>
      </w:r>
      <w:r w:rsidRPr="00256982">
        <w:t> emissions produced depends on the system of waste management and the duration of storage of the manure. Because most manure falls on pasture, with little going into manure management systems, this is only a very small source of emissions in New Zealand. In 2017, N</w:t>
      </w:r>
      <w:r w:rsidRPr="00256982">
        <w:rPr>
          <w:vertAlign w:val="subscript"/>
        </w:rPr>
        <w:t>2</w:t>
      </w:r>
      <w:r w:rsidRPr="00256982">
        <w:t>O emissions were 121.6 kt CO</w:t>
      </w:r>
      <w:r w:rsidRPr="00256982">
        <w:rPr>
          <w:vertAlign w:val="subscript"/>
        </w:rPr>
        <w:t>2</w:t>
      </w:r>
      <w:r w:rsidRPr="00256982">
        <w:t xml:space="preserve">-e (0.3 per cent of emissions from the Agriculture sector) (see table 5.3.1). In comparison, the combined </w:t>
      </w:r>
      <w:r w:rsidRPr="00256982">
        <w:rPr>
          <w:spacing w:val="-2"/>
        </w:rPr>
        <w:t>N</w:t>
      </w:r>
      <w:r w:rsidRPr="00256982">
        <w:rPr>
          <w:spacing w:val="-2"/>
          <w:vertAlign w:val="subscript"/>
        </w:rPr>
        <w:t>2</w:t>
      </w:r>
      <w:r w:rsidRPr="00256982">
        <w:rPr>
          <w:spacing w:val="-2"/>
        </w:rPr>
        <w:t>O</w:t>
      </w:r>
      <w:r w:rsidRPr="00256982">
        <w:t xml:space="preserve"> emissions from organic fertilisers (spreading of animal manure) and manure deposited directly by grazing livestock reported under the </w:t>
      </w:r>
      <w:r w:rsidRPr="00256982">
        <w:rPr>
          <w:i/>
        </w:rPr>
        <w:t>Agricultural soils</w:t>
      </w:r>
      <w:r w:rsidRPr="00256982">
        <w:t xml:space="preserve"> category totalled 8,566.2 kt CO</w:t>
      </w:r>
      <w:r w:rsidRPr="00256982">
        <w:rPr>
          <w:vertAlign w:val="subscript"/>
        </w:rPr>
        <w:t>2</w:t>
      </w:r>
      <w:r w:rsidRPr="00256982">
        <w:t>-e in 2017 (22.0 per cent of emissions from the Agriculture sector).</w:t>
      </w:r>
    </w:p>
    <w:p w14:paraId="1A011CE6" w14:textId="1182E89B" w:rsidR="0068777C" w:rsidRPr="00256982" w:rsidRDefault="0068777C" w:rsidP="0068777C">
      <w:pPr>
        <w:pStyle w:val="Table"/>
      </w:pPr>
      <w:bookmarkStart w:id="600" w:name="_Toc441830873"/>
      <w:bookmarkStart w:id="601" w:name="_Toc451176087"/>
      <w:bookmarkStart w:id="602" w:name="_Toc481751515"/>
      <w:bookmarkStart w:id="603" w:name="_Toc507158603"/>
      <w:bookmarkStart w:id="604" w:name="_Toc511116737"/>
      <w:bookmarkStart w:id="605" w:name="_Toc5269477"/>
      <w:r w:rsidRPr="00256982">
        <w:t>Table 5.3.1</w:t>
      </w:r>
      <w:r w:rsidRPr="00256982">
        <w:tab/>
        <w:t>Trends and relative contribution of methane and nit</w:t>
      </w:r>
      <w:r w:rsidR="006C0ECC">
        <w:t>rous oxide emissions under the m</w:t>
      </w:r>
      <w:r w:rsidRPr="00256982">
        <w:t>anure management category between 1990</w:t>
      </w:r>
      <w:r w:rsidR="00C53888" w:rsidRPr="00256982">
        <w:t> </w:t>
      </w:r>
      <w:r w:rsidRPr="00256982">
        <w:t>and</w:t>
      </w:r>
      <w:bookmarkEnd w:id="600"/>
      <w:bookmarkEnd w:id="601"/>
      <w:bookmarkEnd w:id="602"/>
      <w:bookmarkEnd w:id="603"/>
      <w:bookmarkEnd w:id="604"/>
      <w:r w:rsidR="00C53888" w:rsidRPr="00256982">
        <w:t> </w:t>
      </w:r>
      <w:r w:rsidRPr="00256982">
        <w:t>2017</w:t>
      </w:r>
      <w:bookmarkEnd w:id="605"/>
    </w:p>
    <w:tbl>
      <w:tblPr>
        <w:tblW w:w="864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5"/>
        <w:gridCol w:w="850"/>
        <w:gridCol w:w="851"/>
        <w:gridCol w:w="706"/>
        <w:gridCol w:w="1134"/>
        <w:gridCol w:w="850"/>
        <w:gridCol w:w="786"/>
        <w:gridCol w:w="744"/>
        <w:gridCol w:w="738"/>
      </w:tblGrid>
      <w:tr w:rsidR="0068777C" w:rsidRPr="00256982" w14:paraId="230DDB70" w14:textId="77777777" w:rsidTr="0068777C">
        <w:tc>
          <w:tcPr>
            <w:tcW w:w="1985" w:type="dxa"/>
            <w:vMerge w:val="restart"/>
            <w:tcBorders>
              <w:top w:val="single" w:sz="4" w:space="0" w:color="365F91"/>
              <w:left w:val="nil"/>
              <w:bottom w:val="nil"/>
              <w:right w:val="nil"/>
            </w:tcBorders>
            <w:shd w:val="clear" w:color="auto" w:fill="365F91"/>
            <w:vAlign w:val="bottom"/>
          </w:tcPr>
          <w:p w14:paraId="37BE609F" w14:textId="77777777" w:rsidR="0068777C" w:rsidRPr="00256982" w:rsidRDefault="0068777C" w:rsidP="0068777C">
            <w:pPr>
              <w:pStyle w:val="TableTextBold"/>
              <w:keepNext/>
              <w:spacing w:before="40" w:after="40"/>
              <w:rPr>
                <w:noProof w:val="0"/>
              </w:rPr>
            </w:pPr>
            <w:r w:rsidRPr="00256982">
              <w:rPr>
                <w:noProof w:val="0"/>
                <w:color w:val="FFFFFF"/>
              </w:rPr>
              <w:t>Manure management category</w:t>
            </w:r>
          </w:p>
        </w:tc>
        <w:tc>
          <w:tcPr>
            <w:tcW w:w="1701" w:type="dxa"/>
            <w:gridSpan w:val="2"/>
            <w:tcBorders>
              <w:top w:val="single" w:sz="4" w:space="0" w:color="365F91"/>
              <w:left w:val="nil"/>
              <w:bottom w:val="nil"/>
              <w:right w:val="nil"/>
            </w:tcBorders>
            <w:shd w:val="clear" w:color="auto" w:fill="365F91"/>
            <w:vAlign w:val="bottom"/>
          </w:tcPr>
          <w:p w14:paraId="1D8D8F07" w14:textId="77777777" w:rsidR="0068777C" w:rsidRPr="00256982" w:rsidRDefault="0068777C" w:rsidP="0068777C">
            <w:pPr>
              <w:pStyle w:val="TableTextBold"/>
              <w:keepNext/>
              <w:spacing w:before="40" w:after="40"/>
              <w:jc w:val="center"/>
              <w:rPr>
                <w:noProof w:val="0"/>
                <w:color w:val="FFFFFF"/>
              </w:rPr>
            </w:pPr>
            <w:r w:rsidRPr="00256982">
              <w:rPr>
                <w:noProof w:val="0"/>
                <w:color w:val="FFFFFF"/>
              </w:rPr>
              <w:t xml:space="preserve">Emissions </w:t>
            </w:r>
            <w:r w:rsidRPr="00256982">
              <w:rPr>
                <w:noProof w:val="0"/>
                <w:color w:val="FFFFFF"/>
              </w:rPr>
              <w:br/>
              <w:t>(kt CO</w:t>
            </w:r>
            <w:r w:rsidRPr="00256982">
              <w:rPr>
                <w:noProof w:val="0"/>
                <w:color w:val="FFFFFF"/>
                <w:vertAlign w:val="subscript"/>
              </w:rPr>
              <w:t>2</w:t>
            </w:r>
            <w:r w:rsidRPr="00256982">
              <w:rPr>
                <w:noProof w:val="0"/>
                <w:color w:val="FFFFFF"/>
              </w:rPr>
              <w:t>-e)</w:t>
            </w:r>
          </w:p>
        </w:tc>
        <w:tc>
          <w:tcPr>
            <w:tcW w:w="1840" w:type="dxa"/>
            <w:gridSpan w:val="2"/>
            <w:tcBorders>
              <w:top w:val="single" w:sz="4" w:space="0" w:color="365F91"/>
              <w:left w:val="nil"/>
              <w:bottom w:val="nil"/>
              <w:right w:val="nil"/>
            </w:tcBorders>
            <w:shd w:val="clear" w:color="auto" w:fill="365F91"/>
            <w:vAlign w:val="bottom"/>
          </w:tcPr>
          <w:p w14:paraId="5AB4BC29" w14:textId="77777777" w:rsidR="0068777C" w:rsidRPr="00256982" w:rsidRDefault="0068777C" w:rsidP="0068777C">
            <w:pPr>
              <w:pStyle w:val="TableTextBold"/>
              <w:keepNext/>
              <w:spacing w:before="40" w:after="40"/>
              <w:jc w:val="center"/>
              <w:rPr>
                <w:noProof w:val="0"/>
                <w:color w:val="FFFFFF"/>
              </w:rPr>
            </w:pPr>
            <w:r w:rsidRPr="00256982">
              <w:rPr>
                <w:noProof w:val="0"/>
                <w:color w:val="FFFFFF"/>
              </w:rPr>
              <w:t>Change from 1990</w:t>
            </w:r>
          </w:p>
        </w:tc>
        <w:tc>
          <w:tcPr>
            <w:tcW w:w="1636" w:type="dxa"/>
            <w:gridSpan w:val="2"/>
            <w:tcBorders>
              <w:top w:val="single" w:sz="4" w:space="0" w:color="365F91"/>
              <w:left w:val="nil"/>
              <w:bottom w:val="nil"/>
              <w:right w:val="nil"/>
            </w:tcBorders>
            <w:shd w:val="clear" w:color="auto" w:fill="365F91"/>
            <w:vAlign w:val="bottom"/>
          </w:tcPr>
          <w:p w14:paraId="62A348B5" w14:textId="77777777" w:rsidR="0068777C" w:rsidRPr="00256982" w:rsidRDefault="0068777C" w:rsidP="0068777C">
            <w:pPr>
              <w:pStyle w:val="TableTextBold"/>
              <w:keepNext/>
              <w:spacing w:before="40" w:after="40"/>
              <w:jc w:val="center"/>
              <w:rPr>
                <w:noProof w:val="0"/>
                <w:color w:val="FFFFFF"/>
              </w:rPr>
            </w:pPr>
            <w:r w:rsidRPr="00256982">
              <w:rPr>
                <w:noProof w:val="0"/>
                <w:color w:val="FFFFFF"/>
              </w:rPr>
              <w:t>Share of Manure management category (%)</w:t>
            </w:r>
          </w:p>
        </w:tc>
        <w:tc>
          <w:tcPr>
            <w:tcW w:w="1482" w:type="dxa"/>
            <w:gridSpan w:val="2"/>
            <w:tcBorders>
              <w:top w:val="single" w:sz="4" w:space="0" w:color="365F91"/>
              <w:left w:val="nil"/>
              <w:bottom w:val="nil"/>
              <w:right w:val="nil"/>
            </w:tcBorders>
            <w:shd w:val="clear" w:color="auto" w:fill="365F91"/>
            <w:vAlign w:val="bottom"/>
          </w:tcPr>
          <w:p w14:paraId="2D294376" w14:textId="77777777" w:rsidR="0068777C" w:rsidRPr="00256982" w:rsidRDefault="0068777C" w:rsidP="0068777C">
            <w:pPr>
              <w:pStyle w:val="TableTextBold"/>
              <w:keepNext/>
              <w:spacing w:before="40" w:after="40"/>
              <w:jc w:val="center"/>
              <w:rPr>
                <w:noProof w:val="0"/>
                <w:color w:val="FFFFFF"/>
              </w:rPr>
            </w:pPr>
            <w:r w:rsidRPr="00256982">
              <w:rPr>
                <w:noProof w:val="0"/>
                <w:color w:val="FFFFFF"/>
              </w:rPr>
              <w:t>Share of total Agriculture sector (%)</w:t>
            </w:r>
          </w:p>
        </w:tc>
      </w:tr>
      <w:tr w:rsidR="0068777C" w:rsidRPr="00256982" w14:paraId="28310CDD" w14:textId="77777777" w:rsidTr="0068777C">
        <w:tc>
          <w:tcPr>
            <w:tcW w:w="1985" w:type="dxa"/>
            <w:vMerge/>
            <w:tcBorders>
              <w:top w:val="nil"/>
              <w:left w:val="nil"/>
              <w:bottom w:val="single" w:sz="4" w:space="0" w:color="365F91"/>
              <w:right w:val="nil"/>
            </w:tcBorders>
            <w:shd w:val="clear" w:color="auto" w:fill="365F91"/>
            <w:vAlign w:val="bottom"/>
          </w:tcPr>
          <w:p w14:paraId="65A81BCC" w14:textId="77777777" w:rsidR="0068777C" w:rsidRPr="00256982" w:rsidRDefault="0068777C" w:rsidP="0068777C">
            <w:pPr>
              <w:keepNext/>
              <w:spacing w:before="40" w:after="40"/>
              <w:rPr>
                <w:rFonts w:ascii="Arial" w:hAnsi="Arial" w:cs="Arial"/>
                <w:b/>
                <w:color w:val="FFFFFF"/>
                <w:sz w:val="16"/>
                <w:szCs w:val="16"/>
              </w:rPr>
            </w:pPr>
          </w:p>
        </w:tc>
        <w:tc>
          <w:tcPr>
            <w:tcW w:w="850" w:type="dxa"/>
            <w:tcBorders>
              <w:top w:val="nil"/>
              <w:left w:val="nil"/>
              <w:bottom w:val="single" w:sz="4" w:space="0" w:color="365F91"/>
              <w:right w:val="nil"/>
            </w:tcBorders>
            <w:shd w:val="clear" w:color="auto" w:fill="365F91"/>
            <w:vAlign w:val="bottom"/>
          </w:tcPr>
          <w:p w14:paraId="7D3F3F37" w14:textId="77777777" w:rsidR="0068777C" w:rsidRPr="00256982" w:rsidRDefault="0068777C" w:rsidP="0068777C">
            <w:pPr>
              <w:pStyle w:val="TableTextBold"/>
              <w:keepNext/>
              <w:spacing w:before="40" w:after="40"/>
              <w:jc w:val="center"/>
              <w:rPr>
                <w:noProof w:val="0"/>
                <w:color w:val="FFFFFF"/>
              </w:rPr>
            </w:pPr>
            <w:r w:rsidRPr="00256982">
              <w:rPr>
                <w:noProof w:val="0"/>
                <w:color w:val="FFFFFF"/>
              </w:rPr>
              <w:br/>
              <w:t>1990</w:t>
            </w:r>
          </w:p>
        </w:tc>
        <w:tc>
          <w:tcPr>
            <w:tcW w:w="851" w:type="dxa"/>
            <w:tcBorders>
              <w:top w:val="nil"/>
              <w:left w:val="nil"/>
              <w:bottom w:val="single" w:sz="4" w:space="0" w:color="365F91"/>
              <w:right w:val="nil"/>
            </w:tcBorders>
            <w:shd w:val="clear" w:color="auto" w:fill="365F91"/>
            <w:vAlign w:val="bottom"/>
          </w:tcPr>
          <w:p w14:paraId="7E692693" w14:textId="77777777" w:rsidR="0068777C" w:rsidRPr="00256982" w:rsidRDefault="0068777C" w:rsidP="0068777C">
            <w:pPr>
              <w:pStyle w:val="TableTextBold"/>
              <w:keepNext/>
              <w:spacing w:before="40" w:after="40"/>
              <w:jc w:val="center"/>
              <w:rPr>
                <w:noProof w:val="0"/>
                <w:color w:val="FFFFFF"/>
              </w:rPr>
            </w:pPr>
            <w:r w:rsidRPr="00256982">
              <w:rPr>
                <w:noProof w:val="0"/>
                <w:color w:val="FFFFFF"/>
              </w:rPr>
              <w:t>2017</w:t>
            </w:r>
          </w:p>
        </w:tc>
        <w:tc>
          <w:tcPr>
            <w:tcW w:w="706" w:type="dxa"/>
            <w:tcBorders>
              <w:top w:val="nil"/>
              <w:left w:val="nil"/>
              <w:bottom w:val="single" w:sz="4" w:space="0" w:color="365F91"/>
              <w:right w:val="nil"/>
            </w:tcBorders>
            <w:shd w:val="clear" w:color="auto" w:fill="365F91"/>
            <w:vAlign w:val="bottom"/>
          </w:tcPr>
          <w:p w14:paraId="22F9D083" w14:textId="77777777" w:rsidR="0068777C" w:rsidRPr="00256982" w:rsidRDefault="0068777C" w:rsidP="0068777C">
            <w:pPr>
              <w:pStyle w:val="TableTextBold"/>
              <w:keepNext/>
              <w:spacing w:before="40" w:after="40"/>
              <w:jc w:val="center"/>
              <w:rPr>
                <w:noProof w:val="0"/>
                <w:color w:val="FFFFFF"/>
              </w:rPr>
            </w:pPr>
            <w:r w:rsidRPr="00256982">
              <w:rPr>
                <w:noProof w:val="0"/>
                <w:color w:val="FFFFFF"/>
              </w:rPr>
              <w:t>%</w:t>
            </w:r>
          </w:p>
        </w:tc>
        <w:tc>
          <w:tcPr>
            <w:tcW w:w="1134" w:type="dxa"/>
            <w:tcBorders>
              <w:top w:val="nil"/>
              <w:left w:val="nil"/>
              <w:bottom w:val="single" w:sz="4" w:space="0" w:color="365F91"/>
              <w:right w:val="nil"/>
            </w:tcBorders>
            <w:shd w:val="clear" w:color="auto" w:fill="365F91"/>
            <w:vAlign w:val="bottom"/>
          </w:tcPr>
          <w:p w14:paraId="64C0F5D9" w14:textId="77777777" w:rsidR="0068777C" w:rsidRPr="00256982" w:rsidRDefault="0068777C" w:rsidP="0068777C">
            <w:pPr>
              <w:pStyle w:val="TableTextBold"/>
              <w:keepNext/>
              <w:spacing w:before="40" w:after="40"/>
              <w:jc w:val="center"/>
              <w:rPr>
                <w:noProof w:val="0"/>
                <w:color w:val="FFFFFF"/>
              </w:rPr>
            </w:pPr>
            <w:r w:rsidRPr="00256982">
              <w:rPr>
                <w:noProof w:val="0"/>
                <w:color w:val="FFFFFF"/>
              </w:rPr>
              <w:t>Difference</w:t>
            </w:r>
            <w:r w:rsidRPr="00256982">
              <w:rPr>
                <w:noProof w:val="0"/>
                <w:color w:val="FFFFFF"/>
              </w:rPr>
              <w:br/>
              <w:t>(kt CO</w:t>
            </w:r>
            <w:r w:rsidRPr="00256982">
              <w:rPr>
                <w:noProof w:val="0"/>
                <w:color w:val="FFFFFF"/>
                <w:vertAlign w:val="subscript"/>
              </w:rPr>
              <w:t>2</w:t>
            </w:r>
            <w:r w:rsidRPr="00256982">
              <w:rPr>
                <w:noProof w:val="0"/>
                <w:color w:val="FFFFFF"/>
              </w:rPr>
              <w:t>-e)</w:t>
            </w:r>
          </w:p>
        </w:tc>
        <w:tc>
          <w:tcPr>
            <w:tcW w:w="850" w:type="dxa"/>
            <w:tcBorders>
              <w:top w:val="nil"/>
              <w:left w:val="nil"/>
              <w:bottom w:val="single" w:sz="4" w:space="0" w:color="365F91"/>
              <w:right w:val="nil"/>
            </w:tcBorders>
            <w:shd w:val="clear" w:color="auto" w:fill="365F91"/>
            <w:vAlign w:val="bottom"/>
          </w:tcPr>
          <w:p w14:paraId="59A471E1" w14:textId="77777777" w:rsidR="0068777C" w:rsidRPr="00256982" w:rsidRDefault="0068777C" w:rsidP="0068777C">
            <w:pPr>
              <w:pStyle w:val="TableTextBold"/>
              <w:keepNext/>
              <w:spacing w:before="40" w:after="40"/>
              <w:jc w:val="right"/>
              <w:rPr>
                <w:noProof w:val="0"/>
                <w:color w:val="FFFFFF"/>
              </w:rPr>
            </w:pPr>
            <w:r w:rsidRPr="00256982">
              <w:rPr>
                <w:noProof w:val="0"/>
                <w:color w:val="FFFFFF"/>
              </w:rPr>
              <w:t>1990</w:t>
            </w:r>
          </w:p>
        </w:tc>
        <w:tc>
          <w:tcPr>
            <w:tcW w:w="786" w:type="dxa"/>
            <w:tcBorders>
              <w:top w:val="nil"/>
              <w:left w:val="nil"/>
              <w:bottom w:val="single" w:sz="4" w:space="0" w:color="365F91"/>
              <w:right w:val="nil"/>
            </w:tcBorders>
            <w:shd w:val="clear" w:color="auto" w:fill="365F91"/>
            <w:vAlign w:val="bottom"/>
          </w:tcPr>
          <w:p w14:paraId="14B19BBC" w14:textId="77777777" w:rsidR="0068777C" w:rsidRPr="00256982" w:rsidRDefault="0068777C" w:rsidP="0068777C">
            <w:pPr>
              <w:pStyle w:val="TableTextBold"/>
              <w:keepNext/>
              <w:spacing w:before="40" w:after="40"/>
              <w:jc w:val="right"/>
              <w:rPr>
                <w:noProof w:val="0"/>
                <w:color w:val="FFFFFF"/>
              </w:rPr>
            </w:pPr>
            <w:r w:rsidRPr="00256982">
              <w:rPr>
                <w:noProof w:val="0"/>
                <w:color w:val="FFFFFF"/>
              </w:rPr>
              <w:t>2017</w:t>
            </w:r>
          </w:p>
        </w:tc>
        <w:tc>
          <w:tcPr>
            <w:tcW w:w="744" w:type="dxa"/>
            <w:tcBorders>
              <w:top w:val="nil"/>
              <w:left w:val="nil"/>
              <w:bottom w:val="single" w:sz="4" w:space="0" w:color="365F91"/>
              <w:right w:val="nil"/>
            </w:tcBorders>
            <w:shd w:val="clear" w:color="auto" w:fill="365F91"/>
            <w:vAlign w:val="bottom"/>
          </w:tcPr>
          <w:p w14:paraId="7CB02A59" w14:textId="77777777" w:rsidR="0068777C" w:rsidRPr="00256982" w:rsidRDefault="0068777C" w:rsidP="0068777C">
            <w:pPr>
              <w:pStyle w:val="TableTextBold"/>
              <w:keepNext/>
              <w:spacing w:before="40" w:after="40"/>
              <w:jc w:val="right"/>
              <w:rPr>
                <w:noProof w:val="0"/>
                <w:color w:val="FFFFFF"/>
              </w:rPr>
            </w:pPr>
            <w:r w:rsidRPr="00256982">
              <w:rPr>
                <w:noProof w:val="0"/>
                <w:color w:val="FFFFFF"/>
              </w:rPr>
              <w:t>1990</w:t>
            </w:r>
          </w:p>
        </w:tc>
        <w:tc>
          <w:tcPr>
            <w:tcW w:w="738" w:type="dxa"/>
            <w:tcBorders>
              <w:top w:val="nil"/>
              <w:left w:val="nil"/>
              <w:bottom w:val="single" w:sz="4" w:space="0" w:color="365F91"/>
              <w:right w:val="nil"/>
            </w:tcBorders>
            <w:shd w:val="clear" w:color="auto" w:fill="365F91"/>
            <w:vAlign w:val="bottom"/>
          </w:tcPr>
          <w:p w14:paraId="0D559B3C" w14:textId="77777777" w:rsidR="0068777C" w:rsidRPr="00256982" w:rsidRDefault="0068777C" w:rsidP="0068777C">
            <w:pPr>
              <w:pStyle w:val="TableTextBold"/>
              <w:keepNext/>
              <w:spacing w:before="40" w:after="40"/>
              <w:jc w:val="right"/>
              <w:rPr>
                <w:noProof w:val="0"/>
                <w:color w:val="FFFFFF"/>
              </w:rPr>
            </w:pPr>
            <w:r w:rsidRPr="00256982">
              <w:rPr>
                <w:noProof w:val="0"/>
                <w:color w:val="FFFFFF"/>
              </w:rPr>
              <w:t>2017</w:t>
            </w:r>
          </w:p>
        </w:tc>
      </w:tr>
      <w:tr w:rsidR="0068777C" w:rsidRPr="00256982" w14:paraId="6A3F7BFB" w14:textId="77777777" w:rsidTr="0068777C">
        <w:tc>
          <w:tcPr>
            <w:tcW w:w="1985" w:type="dxa"/>
            <w:tcBorders>
              <w:top w:val="single" w:sz="4" w:space="0" w:color="365F91"/>
              <w:left w:val="nil"/>
              <w:bottom w:val="single" w:sz="4" w:space="0" w:color="365F91"/>
              <w:right w:val="nil"/>
            </w:tcBorders>
            <w:shd w:val="clear" w:color="auto" w:fill="auto"/>
          </w:tcPr>
          <w:p w14:paraId="7CC7395F" w14:textId="77777777" w:rsidR="0068777C" w:rsidRPr="00256982" w:rsidRDefault="0068777C" w:rsidP="0068777C">
            <w:pPr>
              <w:pStyle w:val="TableText"/>
              <w:keepNext/>
              <w:spacing w:before="40" w:after="40"/>
            </w:pPr>
            <w:r w:rsidRPr="00256982">
              <w:t>Methane (CRF 3.B.1)</w:t>
            </w:r>
          </w:p>
        </w:tc>
        <w:tc>
          <w:tcPr>
            <w:tcW w:w="850" w:type="dxa"/>
            <w:tcBorders>
              <w:top w:val="single" w:sz="4" w:space="0" w:color="365F91"/>
              <w:left w:val="nil"/>
              <w:bottom w:val="single" w:sz="4" w:space="0" w:color="365F91"/>
              <w:right w:val="nil"/>
            </w:tcBorders>
            <w:shd w:val="clear" w:color="auto" w:fill="auto"/>
          </w:tcPr>
          <w:p w14:paraId="01F0EF78" w14:textId="77777777" w:rsidR="0068777C" w:rsidRPr="00256982" w:rsidRDefault="0068777C" w:rsidP="0068777C">
            <w:pPr>
              <w:pStyle w:val="TableText"/>
              <w:keepNext/>
              <w:spacing w:before="40" w:after="40"/>
              <w:jc w:val="right"/>
            </w:pPr>
            <w:r w:rsidRPr="00256982">
              <w:t>668.8</w:t>
            </w:r>
          </w:p>
        </w:tc>
        <w:tc>
          <w:tcPr>
            <w:tcW w:w="851" w:type="dxa"/>
            <w:tcBorders>
              <w:top w:val="single" w:sz="4" w:space="0" w:color="365F91"/>
              <w:left w:val="nil"/>
              <w:bottom w:val="single" w:sz="4" w:space="0" w:color="365F91"/>
              <w:right w:val="nil"/>
            </w:tcBorders>
            <w:shd w:val="clear" w:color="auto" w:fill="auto"/>
          </w:tcPr>
          <w:p w14:paraId="131F8F1C" w14:textId="77777777" w:rsidR="0068777C" w:rsidRPr="00256982" w:rsidRDefault="0068777C" w:rsidP="0068777C">
            <w:pPr>
              <w:pStyle w:val="TableText"/>
              <w:keepNext/>
              <w:spacing w:before="40" w:after="40"/>
              <w:jc w:val="right"/>
            </w:pPr>
            <w:r w:rsidRPr="00256982">
              <w:t>1,475.1</w:t>
            </w:r>
          </w:p>
        </w:tc>
        <w:tc>
          <w:tcPr>
            <w:tcW w:w="706" w:type="dxa"/>
            <w:tcBorders>
              <w:top w:val="single" w:sz="4" w:space="0" w:color="365F91"/>
              <w:left w:val="nil"/>
              <w:bottom w:val="single" w:sz="4" w:space="0" w:color="365F91"/>
              <w:right w:val="nil"/>
            </w:tcBorders>
            <w:shd w:val="clear" w:color="auto" w:fill="auto"/>
          </w:tcPr>
          <w:p w14:paraId="3CC1E7B6" w14:textId="77777777" w:rsidR="0068777C" w:rsidRPr="00256982" w:rsidRDefault="0068777C" w:rsidP="0068777C">
            <w:pPr>
              <w:pStyle w:val="TableText"/>
              <w:keepNext/>
              <w:spacing w:before="40" w:after="40"/>
              <w:jc w:val="right"/>
            </w:pPr>
            <w:r w:rsidRPr="00256982">
              <w:t>120.6</w:t>
            </w:r>
          </w:p>
        </w:tc>
        <w:tc>
          <w:tcPr>
            <w:tcW w:w="1134" w:type="dxa"/>
            <w:tcBorders>
              <w:top w:val="single" w:sz="4" w:space="0" w:color="365F91"/>
              <w:left w:val="nil"/>
              <w:bottom w:val="single" w:sz="4" w:space="0" w:color="365F91"/>
              <w:right w:val="nil"/>
            </w:tcBorders>
            <w:shd w:val="clear" w:color="auto" w:fill="auto"/>
          </w:tcPr>
          <w:p w14:paraId="75E306FB" w14:textId="77777777" w:rsidR="0068777C" w:rsidRPr="00256982" w:rsidRDefault="0068777C" w:rsidP="0068777C">
            <w:pPr>
              <w:pStyle w:val="TableText"/>
              <w:keepNext/>
              <w:spacing w:before="40" w:after="40"/>
              <w:jc w:val="right"/>
            </w:pPr>
            <w:r w:rsidRPr="00256982">
              <w:t>806.3</w:t>
            </w:r>
          </w:p>
        </w:tc>
        <w:tc>
          <w:tcPr>
            <w:tcW w:w="850" w:type="dxa"/>
            <w:tcBorders>
              <w:top w:val="single" w:sz="4" w:space="0" w:color="365F91"/>
              <w:left w:val="nil"/>
              <w:bottom w:val="single" w:sz="4" w:space="0" w:color="365F91"/>
              <w:right w:val="nil"/>
            </w:tcBorders>
            <w:shd w:val="clear" w:color="auto" w:fill="auto"/>
          </w:tcPr>
          <w:p w14:paraId="218FD188" w14:textId="77777777" w:rsidR="0068777C" w:rsidRPr="00256982" w:rsidRDefault="0068777C" w:rsidP="0068777C">
            <w:pPr>
              <w:pStyle w:val="TableText"/>
              <w:keepNext/>
              <w:spacing w:before="40" w:after="40"/>
              <w:jc w:val="right"/>
            </w:pPr>
            <w:r w:rsidRPr="00256982">
              <w:t>92.8</w:t>
            </w:r>
          </w:p>
        </w:tc>
        <w:tc>
          <w:tcPr>
            <w:tcW w:w="786" w:type="dxa"/>
            <w:tcBorders>
              <w:top w:val="single" w:sz="4" w:space="0" w:color="365F91"/>
              <w:left w:val="nil"/>
              <w:bottom w:val="single" w:sz="4" w:space="0" w:color="365F91"/>
              <w:right w:val="nil"/>
            </w:tcBorders>
            <w:shd w:val="clear" w:color="auto" w:fill="auto"/>
          </w:tcPr>
          <w:p w14:paraId="25661C1C" w14:textId="77777777" w:rsidR="0068777C" w:rsidRPr="00256982" w:rsidRDefault="0068777C" w:rsidP="0068777C">
            <w:pPr>
              <w:pStyle w:val="TableText"/>
              <w:keepNext/>
              <w:spacing w:before="40" w:after="40"/>
              <w:jc w:val="right"/>
            </w:pPr>
            <w:r w:rsidRPr="00256982">
              <w:t>92.4</w:t>
            </w:r>
          </w:p>
        </w:tc>
        <w:tc>
          <w:tcPr>
            <w:tcW w:w="744" w:type="dxa"/>
            <w:tcBorders>
              <w:top w:val="single" w:sz="4" w:space="0" w:color="365F91"/>
              <w:left w:val="nil"/>
              <w:bottom w:val="single" w:sz="4" w:space="0" w:color="365F91"/>
              <w:right w:val="nil"/>
            </w:tcBorders>
            <w:shd w:val="clear" w:color="auto" w:fill="auto"/>
          </w:tcPr>
          <w:p w14:paraId="59511F82" w14:textId="77777777" w:rsidR="0068777C" w:rsidRPr="00256982" w:rsidRDefault="0068777C" w:rsidP="0068777C">
            <w:pPr>
              <w:pStyle w:val="TableText"/>
              <w:keepNext/>
              <w:spacing w:before="40" w:after="40"/>
              <w:jc w:val="right"/>
            </w:pPr>
            <w:r w:rsidRPr="00256982">
              <w:t>2.0</w:t>
            </w:r>
          </w:p>
        </w:tc>
        <w:tc>
          <w:tcPr>
            <w:tcW w:w="738" w:type="dxa"/>
            <w:tcBorders>
              <w:top w:val="single" w:sz="4" w:space="0" w:color="365F91"/>
              <w:left w:val="nil"/>
              <w:bottom w:val="single" w:sz="4" w:space="0" w:color="365F91"/>
              <w:right w:val="nil"/>
            </w:tcBorders>
            <w:shd w:val="clear" w:color="auto" w:fill="auto"/>
          </w:tcPr>
          <w:p w14:paraId="1832A70E" w14:textId="77777777" w:rsidR="0068777C" w:rsidRPr="00256982" w:rsidRDefault="0068777C" w:rsidP="0068777C">
            <w:pPr>
              <w:pStyle w:val="TableText"/>
              <w:keepNext/>
              <w:spacing w:before="40" w:after="40"/>
              <w:jc w:val="right"/>
            </w:pPr>
            <w:r w:rsidRPr="00256982">
              <w:t>3.8</w:t>
            </w:r>
          </w:p>
        </w:tc>
      </w:tr>
      <w:tr w:rsidR="0068777C" w:rsidRPr="00256982" w14:paraId="257E8857" w14:textId="77777777" w:rsidTr="00B06638">
        <w:tc>
          <w:tcPr>
            <w:tcW w:w="1985" w:type="dxa"/>
            <w:tcBorders>
              <w:top w:val="single" w:sz="4" w:space="0" w:color="365F91"/>
              <w:left w:val="nil"/>
              <w:bottom w:val="single" w:sz="4" w:space="0" w:color="365F91"/>
              <w:right w:val="nil"/>
            </w:tcBorders>
            <w:shd w:val="clear" w:color="auto" w:fill="auto"/>
          </w:tcPr>
          <w:p w14:paraId="2084395B" w14:textId="77777777" w:rsidR="0068777C" w:rsidRPr="00256982" w:rsidRDefault="0068777C" w:rsidP="0068777C">
            <w:pPr>
              <w:pStyle w:val="TableText"/>
              <w:spacing w:before="40" w:after="40"/>
            </w:pPr>
            <w:r w:rsidRPr="00256982">
              <w:t>Nitrous oxide (</w:t>
            </w:r>
            <w:r w:rsidRPr="00256982">
              <w:rPr>
                <w:spacing w:val="-2"/>
              </w:rPr>
              <w:t>CRF 3.B.2)</w:t>
            </w:r>
          </w:p>
        </w:tc>
        <w:tc>
          <w:tcPr>
            <w:tcW w:w="850" w:type="dxa"/>
            <w:tcBorders>
              <w:top w:val="single" w:sz="4" w:space="0" w:color="365F91"/>
              <w:left w:val="nil"/>
              <w:bottom w:val="single" w:sz="4" w:space="0" w:color="365F91"/>
              <w:right w:val="nil"/>
            </w:tcBorders>
            <w:shd w:val="clear" w:color="auto" w:fill="auto"/>
            <w:vAlign w:val="bottom"/>
          </w:tcPr>
          <w:p w14:paraId="0B99247D" w14:textId="77777777" w:rsidR="0068777C" w:rsidRPr="00256982" w:rsidRDefault="0068777C" w:rsidP="0068777C">
            <w:pPr>
              <w:pStyle w:val="TableText"/>
              <w:spacing w:before="40" w:after="40"/>
              <w:jc w:val="right"/>
            </w:pPr>
            <w:r w:rsidRPr="00256982">
              <w:t>51.9</w:t>
            </w:r>
          </w:p>
        </w:tc>
        <w:tc>
          <w:tcPr>
            <w:tcW w:w="851" w:type="dxa"/>
            <w:tcBorders>
              <w:top w:val="single" w:sz="4" w:space="0" w:color="365F91"/>
              <w:left w:val="nil"/>
              <w:bottom w:val="single" w:sz="4" w:space="0" w:color="365F91"/>
              <w:right w:val="nil"/>
            </w:tcBorders>
            <w:shd w:val="clear" w:color="auto" w:fill="auto"/>
            <w:vAlign w:val="bottom"/>
          </w:tcPr>
          <w:p w14:paraId="0D198D61" w14:textId="77777777" w:rsidR="0068777C" w:rsidRPr="00256982" w:rsidRDefault="0068777C" w:rsidP="0068777C">
            <w:pPr>
              <w:pStyle w:val="TableText"/>
              <w:spacing w:before="40" w:after="40"/>
              <w:jc w:val="right"/>
            </w:pPr>
            <w:r w:rsidRPr="00256982">
              <w:t>121.6</w:t>
            </w:r>
          </w:p>
        </w:tc>
        <w:tc>
          <w:tcPr>
            <w:tcW w:w="706" w:type="dxa"/>
            <w:tcBorders>
              <w:top w:val="single" w:sz="4" w:space="0" w:color="365F91"/>
              <w:left w:val="nil"/>
              <w:bottom w:val="single" w:sz="4" w:space="0" w:color="365F91"/>
              <w:right w:val="nil"/>
            </w:tcBorders>
            <w:shd w:val="clear" w:color="auto" w:fill="auto"/>
            <w:vAlign w:val="bottom"/>
          </w:tcPr>
          <w:p w14:paraId="28517E08" w14:textId="77777777" w:rsidR="0068777C" w:rsidRPr="00256982" w:rsidRDefault="0068777C" w:rsidP="0068777C">
            <w:pPr>
              <w:pStyle w:val="TableText"/>
              <w:spacing w:before="40" w:after="40"/>
              <w:jc w:val="right"/>
            </w:pPr>
            <w:r w:rsidRPr="00256982">
              <w:t>134.4</w:t>
            </w:r>
          </w:p>
        </w:tc>
        <w:tc>
          <w:tcPr>
            <w:tcW w:w="1134" w:type="dxa"/>
            <w:tcBorders>
              <w:top w:val="single" w:sz="4" w:space="0" w:color="365F91"/>
              <w:left w:val="nil"/>
              <w:bottom w:val="single" w:sz="4" w:space="0" w:color="365F91"/>
              <w:right w:val="nil"/>
            </w:tcBorders>
            <w:shd w:val="clear" w:color="auto" w:fill="auto"/>
            <w:vAlign w:val="bottom"/>
          </w:tcPr>
          <w:p w14:paraId="595CD0CC" w14:textId="77777777" w:rsidR="0068777C" w:rsidRPr="00256982" w:rsidRDefault="0068777C" w:rsidP="0068777C">
            <w:pPr>
              <w:pStyle w:val="TableText"/>
              <w:spacing w:before="40" w:after="40"/>
              <w:jc w:val="right"/>
            </w:pPr>
            <w:r w:rsidRPr="00256982">
              <w:t>69.7</w:t>
            </w:r>
          </w:p>
        </w:tc>
        <w:tc>
          <w:tcPr>
            <w:tcW w:w="850" w:type="dxa"/>
            <w:tcBorders>
              <w:top w:val="single" w:sz="4" w:space="0" w:color="365F91"/>
              <w:left w:val="nil"/>
              <w:bottom w:val="single" w:sz="4" w:space="0" w:color="365F91"/>
              <w:right w:val="nil"/>
            </w:tcBorders>
            <w:shd w:val="clear" w:color="auto" w:fill="auto"/>
            <w:vAlign w:val="bottom"/>
          </w:tcPr>
          <w:p w14:paraId="58C2FE6B" w14:textId="77777777" w:rsidR="0068777C" w:rsidRPr="00256982" w:rsidRDefault="0068777C" w:rsidP="0068777C">
            <w:pPr>
              <w:pStyle w:val="TableText"/>
              <w:spacing w:before="40" w:after="40"/>
              <w:jc w:val="right"/>
            </w:pPr>
            <w:r w:rsidRPr="00256982">
              <w:t>7.2</w:t>
            </w:r>
          </w:p>
        </w:tc>
        <w:tc>
          <w:tcPr>
            <w:tcW w:w="786" w:type="dxa"/>
            <w:tcBorders>
              <w:top w:val="single" w:sz="4" w:space="0" w:color="365F91"/>
              <w:left w:val="nil"/>
              <w:bottom w:val="single" w:sz="4" w:space="0" w:color="365F91"/>
              <w:right w:val="nil"/>
            </w:tcBorders>
            <w:shd w:val="clear" w:color="auto" w:fill="auto"/>
            <w:vAlign w:val="bottom"/>
          </w:tcPr>
          <w:p w14:paraId="4BA746AE" w14:textId="77777777" w:rsidR="0068777C" w:rsidRPr="00256982" w:rsidRDefault="0068777C" w:rsidP="0068777C">
            <w:pPr>
              <w:pStyle w:val="TableText"/>
              <w:spacing w:before="40" w:after="40"/>
              <w:jc w:val="right"/>
            </w:pPr>
            <w:r w:rsidRPr="00256982">
              <w:t>7.6</w:t>
            </w:r>
          </w:p>
        </w:tc>
        <w:tc>
          <w:tcPr>
            <w:tcW w:w="744" w:type="dxa"/>
            <w:tcBorders>
              <w:top w:val="single" w:sz="4" w:space="0" w:color="365F91"/>
              <w:left w:val="nil"/>
              <w:bottom w:val="single" w:sz="4" w:space="0" w:color="365F91"/>
              <w:right w:val="nil"/>
            </w:tcBorders>
            <w:shd w:val="clear" w:color="auto" w:fill="auto"/>
            <w:vAlign w:val="bottom"/>
          </w:tcPr>
          <w:p w14:paraId="6B4F6C0E" w14:textId="77777777" w:rsidR="0068777C" w:rsidRPr="00256982" w:rsidRDefault="0068777C" w:rsidP="0068777C">
            <w:pPr>
              <w:pStyle w:val="TableText"/>
              <w:spacing w:before="40" w:after="40"/>
              <w:jc w:val="right"/>
            </w:pPr>
            <w:r w:rsidRPr="00256982">
              <w:t>0.2</w:t>
            </w:r>
          </w:p>
        </w:tc>
        <w:tc>
          <w:tcPr>
            <w:tcW w:w="738" w:type="dxa"/>
            <w:tcBorders>
              <w:top w:val="single" w:sz="4" w:space="0" w:color="365F91"/>
              <w:left w:val="nil"/>
              <w:bottom w:val="single" w:sz="4" w:space="0" w:color="365F91"/>
              <w:right w:val="nil"/>
            </w:tcBorders>
            <w:shd w:val="clear" w:color="auto" w:fill="auto"/>
            <w:vAlign w:val="bottom"/>
          </w:tcPr>
          <w:p w14:paraId="60F15609" w14:textId="77777777" w:rsidR="0068777C" w:rsidRPr="00256982" w:rsidRDefault="0068777C" w:rsidP="0068777C">
            <w:pPr>
              <w:pStyle w:val="TableText"/>
              <w:spacing w:before="40" w:after="40"/>
              <w:jc w:val="right"/>
            </w:pPr>
            <w:r w:rsidRPr="00256982">
              <w:t>0.3</w:t>
            </w:r>
          </w:p>
        </w:tc>
      </w:tr>
    </w:tbl>
    <w:p w14:paraId="024128C2" w14:textId="77777777" w:rsidR="0068777C" w:rsidRPr="00256982" w:rsidRDefault="0068777C" w:rsidP="0068777C">
      <w:pPr>
        <w:pStyle w:val="Noteundertable"/>
      </w:pPr>
      <w:r w:rsidRPr="00256982">
        <w:rPr>
          <w:b/>
        </w:rPr>
        <w:t>Note:</w:t>
      </w:r>
      <w:r w:rsidRPr="00256982">
        <w:t xml:space="preserve"> Percentages presented are calculated from unrounded values.</w:t>
      </w:r>
    </w:p>
    <w:p w14:paraId="18C541F7" w14:textId="77777777" w:rsidR="0068777C" w:rsidRPr="00256982" w:rsidRDefault="0068777C" w:rsidP="0068777C">
      <w:pPr>
        <w:pStyle w:val="BodyText"/>
      </w:pPr>
      <w:r w:rsidRPr="00256982">
        <w:t xml:space="preserve">Table 5.3.2 shows the distribution of livestock waste across animal waste management systems in New Zealand. All non-dairy cattle, sheep and deer manure is deposited directly onto pasture. Dairy cattle have a small amount of excreta (7.3 per cent in 2015) stored in anaerobic lagoon waste systems (Rollo et al., unpublished). This relates to the proportion of time dairy cattle spend on pasture compared with the time they spend in the milking shed. </w:t>
      </w:r>
    </w:p>
    <w:p w14:paraId="62807001" w14:textId="2BC04E73" w:rsidR="0068777C" w:rsidRPr="00256982" w:rsidRDefault="0068777C" w:rsidP="0068777C">
      <w:pPr>
        <w:pStyle w:val="BodyText"/>
      </w:pPr>
      <w:r w:rsidRPr="00256982">
        <w:t xml:space="preserve">The minor livestock categories of </w:t>
      </w:r>
      <w:r w:rsidRPr="00256982">
        <w:rPr>
          <w:i/>
        </w:rPr>
        <w:t>Goats</w:t>
      </w:r>
      <w:r w:rsidRPr="00256982">
        <w:t xml:space="preserve">, </w:t>
      </w:r>
      <w:r w:rsidRPr="00256982">
        <w:rPr>
          <w:i/>
        </w:rPr>
        <w:t>Horses</w:t>
      </w:r>
      <w:r w:rsidRPr="00256982">
        <w:t xml:space="preserve">, </w:t>
      </w:r>
      <w:r w:rsidRPr="00256982">
        <w:rPr>
          <w:i/>
        </w:rPr>
        <w:t>Mules and asses</w:t>
      </w:r>
      <w:r w:rsidRPr="00256982">
        <w:t xml:space="preserve">, and </w:t>
      </w:r>
      <w:r w:rsidRPr="00256982">
        <w:rPr>
          <w:i/>
        </w:rPr>
        <w:t>Llamas and alpacas</w:t>
      </w:r>
      <w:r w:rsidRPr="00256982">
        <w:t xml:space="preserve"> are assumed to graze outdoors all year and deposit all of their manure directly onto pastures. Estimates of the proportions of different waste management systems for swine and poultry in</w:t>
      </w:r>
      <w:r w:rsidR="00766DF1" w:rsidRPr="00256982">
        <w:t> </w:t>
      </w:r>
      <w:r w:rsidRPr="00256982">
        <w:t>the manure management systems in New Zealand have been provided by Hill (2012) and Fick et al. (2011) respectively.</w:t>
      </w:r>
    </w:p>
    <w:p w14:paraId="7455CDF2" w14:textId="77777777" w:rsidR="0068777C" w:rsidRPr="00256982" w:rsidRDefault="0068777C" w:rsidP="0068777C">
      <w:pPr>
        <w:pStyle w:val="Table"/>
      </w:pPr>
      <w:bookmarkStart w:id="606" w:name="_Toc235955626"/>
      <w:bookmarkStart w:id="607" w:name="_Toc288316752"/>
      <w:bookmarkStart w:id="608" w:name="_Toc352504970"/>
      <w:bookmarkStart w:id="609" w:name="_Toc441830874"/>
      <w:bookmarkStart w:id="610" w:name="_Toc451176088"/>
      <w:bookmarkStart w:id="611" w:name="_Toc481751516"/>
      <w:bookmarkStart w:id="612" w:name="_Toc507158604"/>
      <w:bookmarkStart w:id="613" w:name="_Toc511116738"/>
      <w:bookmarkStart w:id="614" w:name="_Toc5269478"/>
      <w:r w:rsidRPr="00256982">
        <w:lastRenderedPageBreak/>
        <w:t>Table 5.3.2</w:t>
      </w:r>
      <w:r w:rsidRPr="00256982">
        <w:tab/>
        <w:t>Distribution of livestock waste across animal waste management systems in New Zealand</w:t>
      </w:r>
      <w:bookmarkEnd w:id="606"/>
      <w:bookmarkEnd w:id="607"/>
      <w:bookmarkEnd w:id="608"/>
      <w:bookmarkEnd w:id="609"/>
      <w:bookmarkEnd w:id="610"/>
      <w:bookmarkEnd w:id="611"/>
      <w:bookmarkEnd w:id="612"/>
      <w:bookmarkEnd w:id="613"/>
      <w:bookmarkEnd w:id="614"/>
    </w:p>
    <w:tbl>
      <w:tblPr>
        <w:tblW w:w="8562" w:type="dxa"/>
        <w:tblInd w:w="108" w:type="dxa"/>
        <w:tblBorders>
          <w:top w:val="single" w:sz="4" w:space="0" w:color="365F91"/>
          <w:bottom w:val="single" w:sz="4" w:space="0" w:color="365F91"/>
          <w:insideH w:val="single" w:sz="4" w:space="0" w:color="365F91"/>
        </w:tblBorders>
        <w:tblLayout w:type="fixed"/>
        <w:tblLook w:val="01E0" w:firstRow="1" w:lastRow="1" w:firstColumn="1" w:lastColumn="1" w:noHBand="0" w:noVBand="0"/>
      </w:tblPr>
      <w:tblGrid>
        <w:gridCol w:w="1702"/>
        <w:gridCol w:w="1361"/>
        <w:gridCol w:w="1504"/>
        <w:gridCol w:w="1712"/>
        <w:gridCol w:w="1258"/>
        <w:gridCol w:w="1025"/>
      </w:tblGrid>
      <w:tr w:rsidR="0068777C" w:rsidRPr="00256982" w14:paraId="7AA5BB74" w14:textId="77777777" w:rsidTr="00766DF1">
        <w:trPr>
          <w:cantSplit/>
          <w:tblHeader/>
        </w:trPr>
        <w:tc>
          <w:tcPr>
            <w:tcW w:w="1690" w:type="dxa"/>
            <w:shd w:val="clear" w:color="auto" w:fill="365F91"/>
            <w:vAlign w:val="bottom"/>
          </w:tcPr>
          <w:p w14:paraId="1ACAB939" w14:textId="77777777" w:rsidR="0068777C" w:rsidRPr="00256982" w:rsidRDefault="0068777C" w:rsidP="0068777C">
            <w:pPr>
              <w:pStyle w:val="TableTextBold"/>
              <w:keepNext/>
              <w:rPr>
                <w:noProof w:val="0"/>
                <w:color w:val="FFFFFF"/>
              </w:rPr>
            </w:pPr>
            <w:r w:rsidRPr="00256982">
              <w:rPr>
                <w:noProof w:val="0"/>
                <w:color w:val="FFFFFF"/>
              </w:rPr>
              <w:t>Livestock category</w:t>
            </w:r>
          </w:p>
        </w:tc>
        <w:tc>
          <w:tcPr>
            <w:tcW w:w="1352" w:type="dxa"/>
            <w:shd w:val="clear" w:color="auto" w:fill="365F91"/>
            <w:vAlign w:val="bottom"/>
          </w:tcPr>
          <w:p w14:paraId="6E30805E" w14:textId="77777777" w:rsidR="0068777C" w:rsidRPr="00256982" w:rsidRDefault="0068777C" w:rsidP="0068777C">
            <w:pPr>
              <w:pStyle w:val="TableTextBold"/>
              <w:keepNext/>
              <w:jc w:val="center"/>
              <w:rPr>
                <w:noProof w:val="0"/>
                <w:color w:val="FFFFFF"/>
              </w:rPr>
            </w:pPr>
            <w:r w:rsidRPr="00256982">
              <w:rPr>
                <w:noProof w:val="0"/>
                <w:color w:val="FFFFFF"/>
              </w:rPr>
              <w:t xml:space="preserve">Anaerobic lagoon </w:t>
            </w:r>
            <w:r w:rsidRPr="00256982">
              <w:rPr>
                <w:noProof w:val="0"/>
                <w:color w:val="FFFFFF"/>
              </w:rPr>
              <w:br/>
              <w:t>(%)</w:t>
            </w:r>
          </w:p>
        </w:tc>
        <w:tc>
          <w:tcPr>
            <w:tcW w:w="1494" w:type="dxa"/>
            <w:shd w:val="clear" w:color="auto" w:fill="365F91"/>
            <w:vAlign w:val="bottom"/>
          </w:tcPr>
          <w:p w14:paraId="55B98CFC" w14:textId="77777777" w:rsidR="0068777C" w:rsidRPr="00256982" w:rsidRDefault="0068777C" w:rsidP="0068777C">
            <w:pPr>
              <w:pStyle w:val="TableTextBold"/>
              <w:keepNext/>
              <w:jc w:val="center"/>
              <w:rPr>
                <w:noProof w:val="0"/>
                <w:color w:val="FFFFFF"/>
              </w:rPr>
            </w:pPr>
            <w:r w:rsidRPr="00256982">
              <w:rPr>
                <w:noProof w:val="0"/>
                <w:color w:val="FFFFFF"/>
              </w:rPr>
              <w:t>Daily spread</w:t>
            </w:r>
            <w:r w:rsidRPr="00256982">
              <w:rPr>
                <w:rStyle w:val="FootnoteReference"/>
                <w:noProof w:val="0"/>
                <w:color w:val="FFFFFF"/>
              </w:rPr>
              <w:footnoteReference w:id="43"/>
            </w:r>
            <w:r w:rsidRPr="00256982">
              <w:rPr>
                <w:noProof w:val="0"/>
                <w:color w:val="FFFFFF"/>
              </w:rPr>
              <w:t xml:space="preserve"> </w:t>
            </w:r>
            <w:r w:rsidRPr="00256982">
              <w:rPr>
                <w:noProof w:val="0"/>
                <w:color w:val="FFFFFF"/>
              </w:rPr>
              <w:br/>
              <w:t>(%)</w:t>
            </w:r>
          </w:p>
        </w:tc>
        <w:tc>
          <w:tcPr>
            <w:tcW w:w="1701" w:type="dxa"/>
            <w:shd w:val="clear" w:color="auto" w:fill="365F91"/>
            <w:vAlign w:val="bottom"/>
          </w:tcPr>
          <w:p w14:paraId="4A627CAF" w14:textId="77777777" w:rsidR="0068777C" w:rsidRPr="00256982" w:rsidRDefault="0068777C" w:rsidP="0068777C">
            <w:pPr>
              <w:pStyle w:val="TableTextBold"/>
              <w:keepNext/>
              <w:jc w:val="center"/>
              <w:rPr>
                <w:noProof w:val="0"/>
                <w:color w:val="FFFFFF"/>
              </w:rPr>
            </w:pPr>
            <w:r w:rsidRPr="00256982">
              <w:rPr>
                <w:noProof w:val="0"/>
                <w:color w:val="FFFFFF"/>
              </w:rPr>
              <w:t>Pasture, range and paddock</w:t>
            </w:r>
            <w:r w:rsidRPr="00256982">
              <w:rPr>
                <w:rStyle w:val="FootnoteReference"/>
                <w:noProof w:val="0"/>
                <w:color w:val="FFFFFF"/>
              </w:rPr>
              <w:footnoteReference w:id="44"/>
            </w:r>
            <w:r w:rsidRPr="00256982">
              <w:rPr>
                <w:noProof w:val="0"/>
                <w:color w:val="FFFFFF"/>
              </w:rPr>
              <w:t xml:space="preserve"> </w:t>
            </w:r>
            <w:r w:rsidRPr="00256982">
              <w:rPr>
                <w:noProof w:val="0"/>
                <w:color w:val="FFFFFF"/>
              </w:rPr>
              <w:br/>
              <w:t>(%)</w:t>
            </w:r>
          </w:p>
        </w:tc>
        <w:tc>
          <w:tcPr>
            <w:tcW w:w="1250" w:type="dxa"/>
            <w:shd w:val="clear" w:color="auto" w:fill="365F91"/>
            <w:vAlign w:val="bottom"/>
          </w:tcPr>
          <w:p w14:paraId="3F5616F2" w14:textId="77777777" w:rsidR="0068777C" w:rsidRPr="00256982" w:rsidRDefault="0068777C" w:rsidP="0068777C">
            <w:pPr>
              <w:pStyle w:val="TableTextBold"/>
              <w:keepNext/>
              <w:jc w:val="center"/>
              <w:rPr>
                <w:noProof w:val="0"/>
                <w:color w:val="FFFFFF"/>
              </w:rPr>
            </w:pPr>
            <w:r w:rsidRPr="00256982">
              <w:rPr>
                <w:noProof w:val="0"/>
                <w:color w:val="FFFFFF"/>
              </w:rPr>
              <w:t xml:space="preserve">Solid storage and dry lot </w:t>
            </w:r>
            <w:r w:rsidRPr="00256982">
              <w:rPr>
                <w:noProof w:val="0"/>
                <w:color w:val="FFFFFF"/>
              </w:rPr>
              <w:br/>
              <w:t>(%)</w:t>
            </w:r>
          </w:p>
        </w:tc>
        <w:tc>
          <w:tcPr>
            <w:tcW w:w="1018" w:type="dxa"/>
            <w:shd w:val="clear" w:color="auto" w:fill="365F91"/>
            <w:vAlign w:val="bottom"/>
          </w:tcPr>
          <w:p w14:paraId="64BB25CB" w14:textId="77777777" w:rsidR="0068777C" w:rsidRPr="00256982" w:rsidRDefault="0068777C" w:rsidP="0068777C">
            <w:pPr>
              <w:pStyle w:val="TableTextBold"/>
              <w:keepNext/>
              <w:jc w:val="center"/>
              <w:rPr>
                <w:noProof w:val="0"/>
                <w:color w:val="FFFFFF"/>
              </w:rPr>
            </w:pPr>
            <w:r w:rsidRPr="00256982">
              <w:rPr>
                <w:noProof w:val="0"/>
                <w:color w:val="FFFFFF"/>
              </w:rPr>
              <w:t xml:space="preserve">Other </w:t>
            </w:r>
            <w:r w:rsidRPr="00256982">
              <w:rPr>
                <w:noProof w:val="0"/>
                <w:color w:val="FFFFFF"/>
              </w:rPr>
              <w:br/>
              <w:t>(%)</w:t>
            </w:r>
          </w:p>
        </w:tc>
      </w:tr>
      <w:tr w:rsidR="0068777C" w:rsidRPr="00256982" w14:paraId="35419C9F" w14:textId="77777777" w:rsidTr="00766DF1">
        <w:trPr>
          <w:cantSplit/>
        </w:trPr>
        <w:tc>
          <w:tcPr>
            <w:tcW w:w="1690" w:type="dxa"/>
            <w:vAlign w:val="bottom"/>
          </w:tcPr>
          <w:p w14:paraId="431541C2" w14:textId="77777777" w:rsidR="0068777C" w:rsidRPr="00256982" w:rsidRDefault="0068777C" w:rsidP="0068777C">
            <w:pPr>
              <w:pStyle w:val="TableText"/>
            </w:pPr>
            <w:r w:rsidRPr="00256982">
              <w:t>Dairy cattle</w:t>
            </w:r>
            <w:r w:rsidRPr="00256982">
              <w:rPr>
                <w:rStyle w:val="FootnoteReference"/>
              </w:rPr>
              <w:footnoteReference w:id="45"/>
            </w:r>
          </w:p>
        </w:tc>
        <w:tc>
          <w:tcPr>
            <w:tcW w:w="1352" w:type="dxa"/>
            <w:vAlign w:val="center"/>
          </w:tcPr>
          <w:p w14:paraId="2188899E" w14:textId="77777777" w:rsidR="0068777C" w:rsidRPr="00256982" w:rsidRDefault="0068777C" w:rsidP="0068777C">
            <w:pPr>
              <w:pStyle w:val="TableText"/>
              <w:jc w:val="center"/>
            </w:pPr>
            <w:r w:rsidRPr="00256982">
              <w:t>7.3</w:t>
            </w:r>
          </w:p>
        </w:tc>
        <w:tc>
          <w:tcPr>
            <w:tcW w:w="1494" w:type="dxa"/>
            <w:vAlign w:val="center"/>
          </w:tcPr>
          <w:p w14:paraId="0E143995" w14:textId="77777777" w:rsidR="0068777C" w:rsidRPr="00256982" w:rsidRDefault="0068777C" w:rsidP="0068777C">
            <w:pPr>
              <w:pStyle w:val="TableText"/>
              <w:jc w:val="center"/>
            </w:pPr>
            <w:r w:rsidRPr="00256982">
              <w:t>–</w:t>
            </w:r>
          </w:p>
        </w:tc>
        <w:tc>
          <w:tcPr>
            <w:tcW w:w="1701" w:type="dxa"/>
            <w:vAlign w:val="center"/>
          </w:tcPr>
          <w:p w14:paraId="38F1D209" w14:textId="77777777" w:rsidR="0068777C" w:rsidRPr="00256982" w:rsidRDefault="0068777C" w:rsidP="0068777C">
            <w:pPr>
              <w:pStyle w:val="TableText"/>
              <w:jc w:val="center"/>
            </w:pPr>
            <w:r w:rsidRPr="00256982">
              <w:t>92.7</w:t>
            </w:r>
          </w:p>
        </w:tc>
        <w:tc>
          <w:tcPr>
            <w:tcW w:w="1250" w:type="dxa"/>
            <w:vAlign w:val="center"/>
          </w:tcPr>
          <w:p w14:paraId="301372FF" w14:textId="77777777" w:rsidR="0068777C" w:rsidRPr="00256982" w:rsidRDefault="0068777C" w:rsidP="0068777C">
            <w:pPr>
              <w:pStyle w:val="TableText"/>
              <w:jc w:val="center"/>
            </w:pPr>
            <w:r w:rsidRPr="00256982">
              <w:t>–</w:t>
            </w:r>
          </w:p>
        </w:tc>
        <w:tc>
          <w:tcPr>
            <w:tcW w:w="1018" w:type="dxa"/>
            <w:vAlign w:val="center"/>
          </w:tcPr>
          <w:p w14:paraId="752F5E4D" w14:textId="77777777" w:rsidR="0068777C" w:rsidRPr="00256982" w:rsidRDefault="0068777C" w:rsidP="0068777C">
            <w:pPr>
              <w:pStyle w:val="TableText"/>
              <w:jc w:val="center"/>
            </w:pPr>
            <w:r w:rsidRPr="00256982">
              <w:t>–</w:t>
            </w:r>
          </w:p>
        </w:tc>
      </w:tr>
      <w:tr w:rsidR="0068777C" w:rsidRPr="00256982" w14:paraId="3BD22FC6" w14:textId="77777777" w:rsidTr="00766DF1">
        <w:trPr>
          <w:cantSplit/>
        </w:trPr>
        <w:tc>
          <w:tcPr>
            <w:tcW w:w="1690" w:type="dxa"/>
            <w:vAlign w:val="bottom"/>
          </w:tcPr>
          <w:p w14:paraId="312241ED" w14:textId="77777777" w:rsidR="0068777C" w:rsidRPr="00256982" w:rsidRDefault="0068777C" w:rsidP="0068777C">
            <w:pPr>
              <w:pStyle w:val="TableText"/>
            </w:pPr>
            <w:r w:rsidRPr="00256982">
              <w:t>Non-dairy cattle</w:t>
            </w:r>
          </w:p>
        </w:tc>
        <w:tc>
          <w:tcPr>
            <w:tcW w:w="1352" w:type="dxa"/>
            <w:vAlign w:val="center"/>
          </w:tcPr>
          <w:p w14:paraId="0A47E37D" w14:textId="77777777" w:rsidR="0068777C" w:rsidRPr="00256982" w:rsidRDefault="0068777C" w:rsidP="0068777C">
            <w:pPr>
              <w:pStyle w:val="TableText"/>
              <w:jc w:val="center"/>
            </w:pPr>
            <w:r w:rsidRPr="00256982">
              <w:t>–</w:t>
            </w:r>
          </w:p>
        </w:tc>
        <w:tc>
          <w:tcPr>
            <w:tcW w:w="1494" w:type="dxa"/>
            <w:vAlign w:val="center"/>
          </w:tcPr>
          <w:p w14:paraId="02EEE358" w14:textId="77777777" w:rsidR="0068777C" w:rsidRPr="00256982" w:rsidRDefault="0068777C" w:rsidP="0068777C">
            <w:pPr>
              <w:pStyle w:val="TableText"/>
              <w:jc w:val="center"/>
            </w:pPr>
            <w:r w:rsidRPr="00256982">
              <w:t>–</w:t>
            </w:r>
          </w:p>
        </w:tc>
        <w:tc>
          <w:tcPr>
            <w:tcW w:w="1701" w:type="dxa"/>
            <w:vAlign w:val="center"/>
          </w:tcPr>
          <w:p w14:paraId="21944B89" w14:textId="77777777" w:rsidR="0068777C" w:rsidRPr="00256982" w:rsidRDefault="0068777C" w:rsidP="0068777C">
            <w:pPr>
              <w:pStyle w:val="TableText"/>
              <w:jc w:val="center"/>
            </w:pPr>
            <w:r w:rsidRPr="00256982">
              <w:t>100.0</w:t>
            </w:r>
          </w:p>
        </w:tc>
        <w:tc>
          <w:tcPr>
            <w:tcW w:w="1250" w:type="dxa"/>
            <w:vAlign w:val="center"/>
          </w:tcPr>
          <w:p w14:paraId="512292D3" w14:textId="77777777" w:rsidR="0068777C" w:rsidRPr="00256982" w:rsidRDefault="0068777C" w:rsidP="0068777C">
            <w:pPr>
              <w:pStyle w:val="TableText"/>
              <w:jc w:val="center"/>
            </w:pPr>
            <w:r w:rsidRPr="00256982">
              <w:t>–</w:t>
            </w:r>
          </w:p>
        </w:tc>
        <w:tc>
          <w:tcPr>
            <w:tcW w:w="1018" w:type="dxa"/>
            <w:vAlign w:val="center"/>
          </w:tcPr>
          <w:p w14:paraId="36678125" w14:textId="77777777" w:rsidR="0068777C" w:rsidRPr="00256982" w:rsidRDefault="0068777C" w:rsidP="0068777C">
            <w:pPr>
              <w:pStyle w:val="TableText"/>
              <w:jc w:val="center"/>
            </w:pPr>
            <w:r w:rsidRPr="00256982">
              <w:t>–</w:t>
            </w:r>
          </w:p>
        </w:tc>
      </w:tr>
      <w:tr w:rsidR="0068777C" w:rsidRPr="00256982" w14:paraId="67D04D82" w14:textId="77777777" w:rsidTr="00766DF1">
        <w:trPr>
          <w:cantSplit/>
        </w:trPr>
        <w:tc>
          <w:tcPr>
            <w:tcW w:w="1690" w:type="dxa"/>
            <w:vAlign w:val="bottom"/>
          </w:tcPr>
          <w:p w14:paraId="097F95C6" w14:textId="77777777" w:rsidR="0068777C" w:rsidRPr="00256982" w:rsidRDefault="0068777C" w:rsidP="0068777C">
            <w:pPr>
              <w:pStyle w:val="TableText"/>
            </w:pPr>
            <w:r w:rsidRPr="00256982">
              <w:t>Sheep</w:t>
            </w:r>
          </w:p>
        </w:tc>
        <w:tc>
          <w:tcPr>
            <w:tcW w:w="1352" w:type="dxa"/>
            <w:vAlign w:val="center"/>
          </w:tcPr>
          <w:p w14:paraId="7EA19468" w14:textId="77777777" w:rsidR="0068777C" w:rsidRPr="00256982" w:rsidRDefault="0068777C" w:rsidP="0068777C">
            <w:pPr>
              <w:pStyle w:val="TableText"/>
              <w:jc w:val="center"/>
            </w:pPr>
            <w:r w:rsidRPr="00256982">
              <w:t>–</w:t>
            </w:r>
          </w:p>
        </w:tc>
        <w:tc>
          <w:tcPr>
            <w:tcW w:w="1494" w:type="dxa"/>
            <w:vAlign w:val="center"/>
          </w:tcPr>
          <w:p w14:paraId="17C764ED" w14:textId="77777777" w:rsidR="0068777C" w:rsidRPr="00256982" w:rsidRDefault="0068777C" w:rsidP="0068777C">
            <w:pPr>
              <w:pStyle w:val="TableText"/>
              <w:jc w:val="center"/>
            </w:pPr>
            <w:r w:rsidRPr="00256982">
              <w:t>–</w:t>
            </w:r>
          </w:p>
        </w:tc>
        <w:tc>
          <w:tcPr>
            <w:tcW w:w="1701" w:type="dxa"/>
            <w:vAlign w:val="center"/>
          </w:tcPr>
          <w:p w14:paraId="57779769" w14:textId="77777777" w:rsidR="0068777C" w:rsidRPr="00256982" w:rsidRDefault="0068777C" w:rsidP="0068777C">
            <w:pPr>
              <w:pStyle w:val="TableText"/>
              <w:jc w:val="center"/>
            </w:pPr>
            <w:r w:rsidRPr="00256982">
              <w:t>100.0</w:t>
            </w:r>
          </w:p>
        </w:tc>
        <w:tc>
          <w:tcPr>
            <w:tcW w:w="1250" w:type="dxa"/>
            <w:vAlign w:val="center"/>
          </w:tcPr>
          <w:p w14:paraId="21F883A5" w14:textId="77777777" w:rsidR="0068777C" w:rsidRPr="00256982" w:rsidRDefault="0068777C" w:rsidP="0068777C">
            <w:pPr>
              <w:pStyle w:val="TableText"/>
              <w:jc w:val="center"/>
            </w:pPr>
            <w:r w:rsidRPr="00256982">
              <w:t>–</w:t>
            </w:r>
          </w:p>
        </w:tc>
        <w:tc>
          <w:tcPr>
            <w:tcW w:w="1018" w:type="dxa"/>
            <w:vAlign w:val="center"/>
          </w:tcPr>
          <w:p w14:paraId="55DF0504" w14:textId="77777777" w:rsidR="0068777C" w:rsidRPr="00256982" w:rsidRDefault="0068777C" w:rsidP="0068777C">
            <w:pPr>
              <w:pStyle w:val="TableText"/>
              <w:jc w:val="center"/>
            </w:pPr>
            <w:r w:rsidRPr="00256982">
              <w:t>–</w:t>
            </w:r>
          </w:p>
        </w:tc>
      </w:tr>
      <w:tr w:rsidR="0068777C" w:rsidRPr="00256982" w14:paraId="327CB543" w14:textId="77777777" w:rsidTr="00766DF1">
        <w:trPr>
          <w:cantSplit/>
        </w:trPr>
        <w:tc>
          <w:tcPr>
            <w:tcW w:w="1690" w:type="dxa"/>
            <w:vAlign w:val="bottom"/>
          </w:tcPr>
          <w:p w14:paraId="3D3A5303" w14:textId="77777777" w:rsidR="0068777C" w:rsidRPr="00256982" w:rsidRDefault="0068777C" w:rsidP="0068777C">
            <w:pPr>
              <w:pStyle w:val="TableText"/>
            </w:pPr>
            <w:r w:rsidRPr="00256982">
              <w:t>Deer</w:t>
            </w:r>
          </w:p>
        </w:tc>
        <w:tc>
          <w:tcPr>
            <w:tcW w:w="1352" w:type="dxa"/>
            <w:vAlign w:val="center"/>
          </w:tcPr>
          <w:p w14:paraId="018F6B51" w14:textId="77777777" w:rsidR="0068777C" w:rsidRPr="00256982" w:rsidRDefault="0068777C" w:rsidP="0068777C">
            <w:pPr>
              <w:pStyle w:val="TableText"/>
              <w:jc w:val="center"/>
            </w:pPr>
            <w:r w:rsidRPr="00256982">
              <w:t>–</w:t>
            </w:r>
          </w:p>
        </w:tc>
        <w:tc>
          <w:tcPr>
            <w:tcW w:w="1494" w:type="dxa"/>
            <w:vAlign w:val="center"/>
          </w:tcPr>
          <w:p w14:paraId="7614B201" w14:textId="77777777" w:rsidR="0068777C" w:rsidRPr="00256982" w:rsidRDefault="0068777C" w:rsidP="0068777C">
            <w:pPr>
              <w:pStyle w:val="TableText"/>
              <w:jc w:val="center"/>
            </w:pPr>
            <w:r w:rsidRPr="00256982">
              <w:t>–</w:t>
            </w:r>
          </w:p>
        </w:tc>
        <w:tc>
          <w:tcPr>
            <w:tcW w:w="1701" w:type="dxa"/>
            <w:vAlign w:val="center"/>
          </w:tcPr>
          <w:p w14:paraId="12FDB752" w14:textId="77777777" w:rsidR="0068777C" w:rsidRPr="00256982" w:rsidRDefault="0068777C" w:rsidP="0068777C">
            <w:pPr>
              <w:pStyle w:val="TableText"/>
              <w:jc w:val="center"/>
            </w:pPr>
            <w:r w:rsidRPr="00256982">
              <w:t>100.0</w:t>
            </w:r>
          </w:p>
        </w:tc>
        <w:tc>
          <w:tcPr>
            <w:tcW w:w="1250" w:type="dxa"/>
            <w:vAlign w:val="center"/>
          </w:tcPr>
          <w:p w14:paraId="2A6E7379" w14:textId="77777777" w:rsidR="0068777C" w:rsidRPr="00256982" w:rsidRDefault="0068777C" w:rsidP="0068777C">
            <w:pPr>
              <w:pStyle w:val="TableText"/>
              <w:jc w:val="center"/>
            </w:pPr>
            <w:r w:rsidRPr="00256982">
              <w:t>–</w:t>
            </w:r>
          </w:p>
        </w:tc>
        <w:tc>
          <w:tcPr>
            <w:tcW w:w="1018" w:type="dxa"/>
            <w:vAlign w:val="center"/>
          </w:tcPr>
          <w:p w14:paraId="6A50A2A6" w14:textId="77777777" w:rsidR="0068777C" w:rsidRPr="00256982" w:rsidRDefault="0068777C" w:rsidP="0068777C">
            <w:pPr>
              <w:pStyle w:val="TableText"/>
              <w:jc w:val="center"/>
            </w:pPr>
            <w:r w:rsidRPr="00256982">
              <w:t>–</w:t>
            </w:r>
          </w:p>
        </w:tc>
      </w:tr>
      <w:tr w:rsidR="0068777C" w:rsidRPr="00256982" w14:paraId="0F1406B2" w14:textId="77777777" w:rsidTr="00766DF1">
        <w:trPr>
          <w:cantSplit/>
        </w:trPr>
        <w:tc>
          <w:tcPr>
            <w:tcW w:w="1690" w:type="dxa"/>
            <w:vAlign w:val="bottom"/>
          </w:tcPr>
          <w:p w14:paraId="7542A7F3" w14:textId="77777777" w:rsidR="0068777C" w:rsidRPr="00256982" w:rsidRDefault="0068777C" w:rsidP="0068777C">
            <w:pPr>
              <w:pStyle w:val="TableText"/>
            </w:pPr>
            <w:r w:rsidRPr="00256982">
              <w:t>Goats</w:t>
            </w:r>
          </w:p>
        </w:tc>
        <w:tc>
          <w:tcPr>
            <w:tcW w:w="1352" w:type="dxa"/>
            <w:vAlign w:val="center"/>
          </w:tcPr>
          <w:p w14:paraId="1932029A" w14:textId="77777777" w:rsidR="0068777C" w:rsidRPr="00256982" w:rsidRDefault="0068777C" w:rsidP="0068777C">
            <w:pPr>
              <w:pStyle w:val="TableText"/>
              <w:jc w:val="center"/>
            </w:pPr>
            <w:r w:rsidRPr="00256982">
              <w:t>–</w:t>
            </w:r>
          </w:p>
        </w:tc>
        <w:tc>
          <w:tcPr>
            <w:tcW w:w="1494" w:type="dxa"/>
            <w:vAlign w:val="center"/>
          </w:tcPr>
          <w:p w14:paraId="2E9A8206" w14:textId="77777777" w:rsidR="0068777C" w:rsidRPr="00256982" w:rsidRDefault="0068777C" w:rsidP="0068777C">
            <w:pPr>
              <w:pStyle w:val="TableText"/>
              <w:jc w:val="center"/>
            </w:pPr>
            <w:r w:rsidRPr="00256982">
              <w:t>–</w:t>
            </w:r>
          </w:p>
        </w:tc>
        <w:tc>
          <w:tcPr>
            <w:tcW w:w="1701" w:type="dxa"/>
            <w:vAlign w:val="center"/>
          </w:tcPr>
          <w:p w14:paraId="787ADCDE" w14:textId="77777777" w:rsidR="0068777C" w:rsidRPr="00256982" w:rsidRDefault="0068777C" w:rsidP="0068777C">
            <w:pPr>
              <w:pStyle w:val="TableText"/>
              <w:jc w:val="center"/>
            </w:pPr>
            <w:r w:rsidRPr="00256982">
              <w:t>100.0</w:t>
            </w:r>
          </w:p>
        </w:tc>
        <w:tc>
          <w:tcPr>
            <w:tcW w:w="1250" w:type="dxa"/>
            <w:vAlign w:val="center"/>
          </w:tcPr>
          <w:p w14:paraId="1C7835CC" w14:textId="77777777" w:rsidR="0068777C" w:rsidRPr="00256982" w:rsidRDefault="0068777C" w:rsidP="0068777C">
            <w:pPr>
              <w:pStyle w:val="TableText"/>
              <w:jc w:val="center"/>
            </w:pPr>
            <w:r w:rsidRPr="00256982">
              <w:t>–</w:t>
            </w:r>
          </w:p>
        </w:tc>
        <w:tc>
          <w:tcPr>
            <w:tcW w:w="1018" w:type="dxa"/>
            <w:vAlign w:val="center"/>
          </w:tcPr>
          <w:p w14:paraId="4AB4A468" w14:textId="77777777" w:rsidR="0068777C" w:rsidRPr="00256982" w:rsidRDefault="0068777C" w:rsidP="0068777C">
            <w:pPr>
              <w:pStyle w:val="TableText"/>
              <w:jc w:val="center"/>
            </w:pPr>
            <w:r w:rsidRPr="00256982">
              <w:t>–</w:t>
            </w:r>
          </w:p>
        </w:tc>
      </w:tr>
      <w:tr w:rsidR="0068777C" w:rsidRPr="00256982" w14:paraId="13018C94" w14:textId="77777777" w:rsidTr="00766DF1">
        <w:trPr>
          <w:cantSplit/>
        </w:trPr>
        <w:tc>
          <w:tcPr>
            <w:tcW w:w="1690" w:type="dxa"/>
            <w:vAlign w:val="bottom"/>
          </w:tcPr>
          <w:p w14:paraId="0E519722" w14:textId="77777777" w:rsidR="0068777C" w:rsidRPr="00256982" w:rsidRDefault="0068777C" w:rsidP="0068777C">
            <w:pPr>
              <w:pStyle w:val="TableText"/>
            </w:pPr>
            <w:r w:rsidRPr="00256982">
              <w:t>Horses</w:t>
            </w:r>
          </w:p>
        </w:tc>
        <w:tc>
          <w:tcPr>
            <w:tcW w:w="1352" w:type="dxa"/>
            <w:vAlign w:val="center"/>
          </w:tcPr>
          <w:p w14:paraId="6B1FBD3B" w14:textId="77777777" w:rsidR="0068777C" w:rsidRPr="00256982" w:rsidRDefault="0068777C" w:rsidP="0068777C">
            <w:pPr>
              <w:pStyle w:val="TableText"/>
              <w:jc w:val="center"/>
            </w:pPr>
            <w:r w:rsidRPr="00256982">
              <w:t>–</w:t>
            </w:r>
          </w:p>
        </w:tc>
        <w:tc>
          <w:tcPr>
            <w:tcW w:w="1494" w:type="dxa"/>
            <w:vAlign w:val="center"/>
          </w:tcPr>
          <w:p w14:paraId="3BAB5E05" w14:textId="77777777" w:rsidR="0068777C" w:rsidRPr="00256982" w:rsidRDefault="0068777C" w:rsidP="0068777C">
            <w:pPr>
              <w:pStyle w:val="TableText"/>
              <w:jc w:val="center"/>
            </w:pPr>
            <w:r w:rsidRPr="00256982">
              <w:t>–</w:t>
            </w:r>
          </w:p>
        </w:tc>
        <w:tc>
          <w:tcPr>
            <w:tcW w:w="1701" w:type="dxa"/>
            <w:vAlign w:val="center"/>
          </w:tcPr>
          <w:p w14:paraId="3842BAB6" w14:textId="77777777" w:rsidR="0068777C" w:rsidRPr="00256982" w:rsidRDefault="0068777C" w:rsidP="0068777C">
            <w:pPr>
              <w:pStyle w:val="TableText"/>
              <w:jc w:val="center"/>
            </w:pPr>
            <w:r w:rsidRPr="00256982">
              <w:t>100.0</w:t>
            </w:r>
          </w:p>
        </w:tc>
        <w:tc>
          <w:tcPr>
            <w:tcW w:w="1250" w:type="dxa"/>
            <w:vAlign w:val="center"/>
          </w:tcPr>
          <w:p w14:paraId="7301AA3C" w14:textId="77777777" w:rsidR="0068777C" w:rsidRPr="00256982" w:rsidRDefault="0068777C" w:rsidP="0068777C">
            <w:pPr>
              <w:pStyle w:val="TableText"/>
              <w:jc w:val="center"/>
            </w:pPr>
            <w:r w:rsidRPr="00256982">
              <w:t>–</w:t>
            </w:r>
          </w:p>
        </w:tc>
        <w:tc>
          <w:tcPr>
            <w:tcW w:w="1018" w:type="dxa"/>
            <w:vAlign w:val="center"/>
          </w:tcPr>
          <w:p w14:paraId="21ECC300" w14:textId="77777777" w:rsidR="0068777C" w:rsidRPr="00256982" w:rsidRDefault="0068777C" w:rsidP="0068777C">
            <w:pPr>
              <w:pStyle w:val="TableText"/>
              <w:jc w:val="center"/>
            </w:pPr>
            <w:r w:rsidRPr="00256982">
              <w:t>–</w:t>
            </w:r>
          </w:p>
        </w:tc>
      </w:tr>
      <w:tr w:rsidR="0068777C" w:rsidRPr="00256982" w14:paraId="5F88D900" w14:textId="77777777" w:rsidTr="00766DF1">
        <w:trPr>
          <w:cantSplit/>
        </w:trPr>
        <w:tc>
          <w:tcPr>
            <w:tcW w:w="1690" w:type="dxa"/>
            <w:vAlign w:val="bottom"/>
          </w:tcPr>
          <w:p w14:paraId="3D7AB85F" w14:textId="77777777" w:rsidR="0068777C" w:rsidRPr="00256982" w:rsidRDefault="0068777C" w:rsidP="0068777C">
            <w:pPr>
              <w:pStyle w:val="TableText"/>
            </w:pPr>
            <w:r w:rsidRPr="00256982">
              <w:t>Swine</w:t>
            </w:r>
            <w:r w:rsidRPr="00256982">
              <w:rPr>
                <w:rStyle w:val="FootnoteReference"/>
                <w:rFonts w:cs="Arial"/>
                <w:szCs w:val="16"/>
              </w:rPr>
              <w:footnoteReference w:id="46"/>
            </w:r>
          </w:p>
        </w:tc>
        <w:tc>
          <w:tcPr>
            <w:tcW w:w="1352" w:type="dxa"/>
            <w:vAlign w:val="center"/>
          </w:tcPr>
          <w:p w14:paraId="27FFED9A" w14:textId="77777777" w:rsidR="0068777C" w:rsidRPr="00256982" w:rsidRDefault="0068777C" w:rsidP="0068777C">
            <w:pPr>
              <w:pStyle w:val="TableText"/>
              <w:jc w:val="center"/>
            </w:pPr>
            <w:r w:rsidRPr="00256982">
              <w:t>20.5</w:t>
            </w:r>
          </w:p>
        </w:tc>
        <w:tc>
          <w:tcPr>
            <w:tcW w:w="1494" w:type="dxa"/>
            <w:vAlign w:val="center"/>
          </w:tcPr>
          <w:p w14:paraId="204B05AA" w14:textId="77777777" w:rsidR="0068777C" w:rsidRPr="00256982" w:rsidRDefault="0068777C" w:rsidP="0068777C">
            <w:pPr>
              <w:pStyle w:val="TableText"/>
              <w:jc w:val="center"/>
            </w:pPr>
            <w:r w:rsidRPr="00256982">
              <w:t>25.7</w:t>
            </w:r>
          </w:p>
        </w:tc>
        <w:tc>
          <w:tcPr>
            <w:tcW w:w="1701" w:type="dxa"/>
            <w:vAlign w:val="center"/>
          </w:tcPr>
          <w:p w14:paraId="792500A1" w14:textId="77777777" w:rsidR="0068777C" w:rsidRPr="00256982" w:rsidRDefault="0068777C" w:rsidP="0068777C">
            <w:pPr>
              <w:pStyle w:val="TableText"/>
              <w:jc w:val="center"/>
            </w:pPr>
            <w:r w:rsidRPr="00256982">
              <w:t>8.9</w:t>
            </w:r>
          </w:p>
        </w:tc>
        <w:tc>
          <w:tcPr>
            <w:tcW w:w="1250" w:type="dxa"/>
            <w:vAlign w:val="center"/>
          </w:tcPr>
          <w:p w14:paraId="1B961155" w14:textId="77777777" w:rsidR="0068777C" w:rsidRPr="00256982" w:rsidRDefault="0068777C" w:rsidP="0068777C">
            <w:pPr>
              <w:pStyle w:val="TableText"/>
              <w:jc w:val="center"/>
            </w:pPr>
            <w:r w:rsidRPr="00256982">
              <w:t>42.5</w:t>
            </w:r>
          </w:p>
        </w:tc>
        <w:tc>
          <w:tcPr>
            <w:tcW w:w="1018" w:type="dxa"/>
            <w:vAlign w:val="center"/>
          </w:tcPr>
          <w:p w14:paraId="6723B2A2" w14:textId="77777777" w:rsidR="0068777C" w:rsidRPr="00256982" w:rsidRDefault="0068777C" w:rsidP="0068777C">
            <w:pPr>
              <w:pStyle w:val="TableText"/>
              <w:jc w:val="center"/>
            </w:pPr>
            <w:r w:rsidRPr="00256982">
              <w:t>2.4</w:t>
            </w:r>
          </w:p>
        </w:tc>
      </w:tr>
      <w:tr w:rsidR="0068777C" w:rsidRPr="00256982" w14:paraId="18E7713E" w14:textId="77777777" w:rsidTr="00766DF1">
        <w:trPr>
          <w:cantSplit/>
        </w:trPr>
        <w:tc>
          <w:tcPr>
            <w:tcW w:w="1690" w:type="dxa"/>
            <w:vAlign w:val="bottom"/>
          </w:tcPr>
          <w:p w14:paraId="1FF9C146" w14:textId="77777777" w:rsidR="0068777C" w:rsidRPr="00256982" w:rsidRDefault="0068777C" w:rsidP="0068777C">
            <w:pPr>
              <w:pStyle w:val="TableText"/>
            </w:pPr>
            <w:r w:rsidRPr="00256982">
              <w:t>Poultry – broilers</w:t>
            </w:r>
            <w:r w:rsidRPr="00256982">
              <w:rPr>
                <w:rStyle w:val="FootnoteReference"/>
                <w:rFonts w:cs="Arial"/>
                <w:szCs w:val="16"/>
              </w:rPr>
              <w:footnoteReference w:id="47"/>
            </w:r>
          </w:p>
        </w:tc>
        <w:tc>
          <w:tcPr>
            <w:tcW w:w="1352" w:type="dxa"/>
            <w:vAlign w:val="center"/>
          </w:tcPr>
          <w:p w14:paraId="4B785FF6" w14:textId="77777777" w:rsidR="0068777C" w:rsidRPr="00256982" w:rsidRDefault="0068777C" w:rsidP="0068777C">
            <w:pPr>
              <w:pStyle w:val="TableText"/>
              <w:jc w:val="center"/>
            </w:pPr>
            <w:r w:rsidRPr="00256982">
              <w:t>–</w:t>
            </w:r>
          </w:p>
        </w:tc>
        <w:tc>
          <w:tcPr>
            <w:tcW w:w="1494" w:type="dxa"/>
            <w:vAlign w:val="center"/>
          </w:tcPr>
          <w:p w14:paraId="64064FC9" w14:textId="77777777" w:rsidR="0068777C" w:rsidRPr="00256982" w:rsidRDefault="0068777C" w:rsidP="0068777C">
            <w:pPr>
              <w:pStyle w:val="TableText"/>
              <w:jc w:val="center"/>
            </w:pPr>
            <w:r w:rsidRPr="00256982">
              <w:t>–</w:t>
            </w:r>
          </w:p>
        </w:tc>
        <w:tc>
          <w:tcPr>
            <w:tcW w:w="1701" w:type="dxa"/>
            <w:vAlign w:val="center"/>
          </w:tcPr>
          <w:p w14:paraId="612FAFAE" w14:textId="77777777" w:rsidR="0068777C" w:rsidRPr="00256982" w:rsidRDefault="0068777C" w:rsidP="0068777C">
            <w:pPr>
              <w:pStyle w:val="TableText"/>
              <w:jc w:val="center"/>
            </w:pPr>
            <w:r w:rsidRPr="00256982">
              <w:t>4.9</w:t>
            </w:r>
          </w:p>
        </w:tc>
        <w:tc>
          <w:tcPr>
            <w:tcW w:w="1250" w:type="dxa"/>
            <w:vAlign w:val="center"/>
          </w:tcPr>
          <w:p w14:paraId="7D7381FF" w14:textId="77777777" w:rsidR="0068777C" w:rsidRPr="00256982" w:rsidRDefault="0068777C" w:rsidP="0068777C">
            <w:pPr>
              <w:pStyle w:val="TableText"/>
              <w:jc w:val="center"/>
            </w:pPr>
            <w:r w:rsidRPr="00256982">
              <w:t>–</w:t>
            </w:r>
          </w:p>
        </w:tc>
        <w:tc>
          <w:tcPr>
            <w:tcW w:w="1018" w:type="dxa"/>
            <w:vAlign w:val="center"/>
          </w:tcPr>
          <w:p w14:paraId="534F0108" w14:textId="77777777" w:rsidR="0068777C" w:rsidRPr="00256982" w:rsidRDefault="0068777C" w:rsidP="0068777C">
            <w:pPr>
              <w:pStyle w:val="TableText"/>
              <w:jc w:val="center"/>
            </w:pPr>
            <w:r w:rsidRPr="00256982">
              <w:t>95.1</w:t>
            </w:r>
          </w:p>
        </w:tc>
      </w:tr>
      <w:tr w:rsidR="0068777C" w:rsidRPr="00256982" w14:paraId="0EFDD5D7" w14:textId="77777777" w:rsidTr="00766DF1">
        <w:trPr>
          <w:cantSplit/>
        </w:trPr>
        <w:tc>
          <w:tcPr>
            <w:tcW w:w="1690" w:type="dxa"/>
            <w:vAlign w:val="bottom"/>
          </w:tcPr>
          <w:p w14:paraId="01F00921" w14:textId="77777777" w:rsidR="0068777C" w:rsidRPr="00256982" w:rsidRDefault="0068777C" w:rsidP="0068777C">
            <w:pPr>
              <w:pStyle w:val="TableText"/>
              <w:rPr>
                <w:vertAlign w:val="superscript"/>
              </w:rPr>
            </w:pPr>
            <w:r w:rsidRPr="00256982">
              <w:t>Poultry – layers</w:t>
            </w:r>
            <w:r w:rsidRPr="00256982">
              <w:rPr>
                <w:rStyle w:val="FootnoteReference"/>
                <w:rFonts w:cs="Arial"/>
                <w:szCs w:val="16"/>
              </w:rPr>
              <w:footnoteReference w:id="48"/>
            </w:r>
          </w:p>
        </w:tc>
        <w:tc>
          <w:tcPr>
            <w:tcW w:w="1352" w:type="dxa"/>
            <w:vAlign w:val="center"/>
          </w:tcPr>
          <w:p w14:paraId="709AF3E7" w14:textId="77777777" w:rsidR="0068777C" w:rsidRPr="00256982" w:rsidRDefault="0068777C" w:rsidP="0068777C">
            <w:pPr>
              <w:pStyle w:val="TableText"/>
              <w:jc w:val="center"/>
            </w:pPr>
            <w:r w:rsidRPr="00256982">
              <w:t>–</w:t>
            </w:r>
          </w:p>
        </w:tc>
        <w:tc>
          <w:tcPr>
            <w:tcW w:w="1494" w:type="dxa"/>
            <w:vAlign w:val="center"/>
          </w:tcPr>
          <w:p w14:paraId="038BD89D" w14:textId="77777777" w:rsidR="0068777C" w:rsidRPr="00256982" w:rsidDel="00063FE1" w:rsidRDefault="0068777C" w:rsidP="0068777C">
            <w:pPr>
              <w:pStyle w:val="TableText"/>
              <w:jc w:val="center"/>
            </w:pPr>
            <w:r w:rsidRPr="00256982">
              <w:t>–</w:t>
            </w:r>
          </w:p>
        </w:tc>
        <w:tc>
          <w:tcPr>
            <w:tcW w:w="1701" w:type="dxa"/>
            <w:vAlign w:val="center"/>
          </w:tcPr>
          <w:p w14:paraId="2701B49C" w14:textId="77777777" w:rsidR="0068777C" w:rsidRPr="00256982" w:rsidRDefault="0068777C" w:rsidP="0068777C">
            <w:pPr>
              <w:pStyle w:val="TableText"/>
              <w:jc w:val="center"/>
            </w:pPr>
            <w:r w:rsidRPr="00256982">
              <w:t>5.8</w:t>
            </w:r>
          </w:p>
        </w:tc>
        <w:tc>
          <w:tcPr>
            <w:tcW w:w="1250" w:type="dxa"/>
            <w:vAlign w:val="center"/>
          </w:tcPr>
          <w:p w14:paraId="077A99A5" w14:textId="77777777" w:rsidR="0068777C" w:rsidRPr="00256982" w:rsidRDefault="0068777C" w:rsidP="0068777C">
            <w:pPr>
              <w:pStyle w:val="TableText"/>
              <w:jc w:val="center"/>
            </w:pPr>
            <w:r w:rsidRPr="00256982">
              <w:t>–</w:t>
            </w:r>
          </w:p>
        </w:tc>
        <w:tc>
          <w:tcPr>
            <w:tcW w:w="1018" w:type="dxa"/>
            <w:vAlign w:val="center"/>
          </w:tcPr>
          <w:p w14:paraId="056501AC" w14:textId="77777777" w:rsidR="0068777C" w:rsidRPr="00256982" w:rsidRDefault="0068777C" w:rsidP="0068777C">
            <w:pPr>
              <w:pStyle w:val="TableText"/>
              <w:jc w:val="center"/>
            </w:pPr>
            <w:r w:rsidRPr="00256982">
              <w:t>94.2</w:t>
            </w:r>
          </w:p>
        </w:tc>
      </w:tr>
      <w:tr w:rsidR="0068777C" w:rsidRPr="00256982" w14:paraId="652D97E3" w14:textId="77777777" w:rsidTr="00766DF1">
        <w:trPr>
          <w:cantSplit/>
        </w:trPr>
        <w:tc>
          <w:tcPr>
            <w:tcW w:w="1690" w:type="dxa"/>
            <w:vAlign w:val="bottom"/>
          </w:tcPr>
          <w:p w14:paraId="3B014EFB" w14:textId="77777777" w:rsidR="0068777C" w:rsidRPr="00256982" w:rsidRDefault="0068777C" w:rsidP="0068777C">
            <w:pPr>
              <w:pStyle w:val="TableText"/>
            </w:pPr>
            <w:r w:rsidRPr="00256982">
              <w:t>Poultry – other</w:t>
            </w:r>
            <w:r w:rsidRPr="00256982">
              <w:rPr>
                <w:rStyle w:val="FootnoteReference"/>
                <w:rFonts w:cs="Arial"/>
                <w:szCs w:val="16"/>
              </w:rPr>
              <w:footnoteReference w:id="49"/>
            </w:r>
          </w:p>
        </w:tc>
        <w:tc>
          <w:tcPr>
            <w:tcW w:w="1352" w:type="dxa"/>
            <w:vAlign w:val="center"/>
          </w:tcPr>
          <w:p w14:paraId="3C3FBDAA" w14:textId="77777777" w:rsidR="0068777C" w:rsidRPr="00256982" w:rsidRDefault="0068777C" w:rsidP="0068777C">
            <w:pPr>
              <w:pStyle w:val="TableText"/>
              <w:jc w:val="center"/>
            </w:pPr>
            <w:r w:rsidRPr="00256982">
              <w:t>–</w:t>
            </w:r>
          </w:p>
        </w:tc>
        <w:tc>
          <w:tcPr>
            <w:tcW w:w="1494" w:type="dxa"/>
            <w:vAlign w:val="center"/>
          </w:tcPr>
          <w:p w14:paraId="745BEB5C" w14:textId="77777777" w:rsidR="0068777C" w:rsidRPr="00256982" w:rsidRDefault="0068777C" w:rsidP="0068777C">
            <w:pPr>
              <w:pStyle w:val="TableText"/>
              <w:jc w:val="center"/>
            </w:pPr>
            <w:r w:rsidRPr="00256982">
              <w:t>–</w:t>
            </w:r>
          </w:p>
        </w:tc>
        <w:tc>
          <w:tcPr>
            <w:tcW w:w="1701" w:type="dxa"/>
            <w:vAlign w:val="center"/>
          </w:tcPr>
          <w:p w14:paraId="05612901" w14:textId="77777777" w:rsidR="0068777C" w:rsidRPr="00256982" w:rsidRDefault="0068777C" w:rsidP="0068777C">
            <w:pPr>
              <w:pStyle w:val="TableText"/>
              <w:jc w:val="center"/>
            </w:pPr>
            <w:r w:rsidRPr="00256982">
              <w:t>3.0</w:t>
            </w:r>
          </w:p>
        </w:tc>
        <w:tc>
          <w:tcPr>
            <w:tcW w:w="1250" w:type="dxa"/>
            <w:vAlign w:val="center"/>
          </w:tcPr>
          <w:p w14:paraId="7B6EB326" w14:textId="77777777" w:rsidR="0068777C" w:rsidRPr="00256982" w:rsidRDefault="0068777C" w:rsidP="0068777C">
            <w:pPr>
              <w:pStyle w:val="TableText"/>
              <w:jc w:val="center"/>
            </w:pPr>
            <w:r w:rsidRPr="00256982">
              <w:t>–</w:t>
            </w:r>
          </w:p>
        </w:tc>
        <w:tc>
          <w:tcPr>
            <w:tcW w:w="1018" w:type="dxa"/>
            <w:vAlign w:val="center"/>
          </w:tcPr>
          <w:p w14:paraId="60DBA3F3" w14:textId="77777777" w:rsidR="0068777C" w:rsidRPr="00256982" w:rsidRDefault="0068777C" w:rsidP="0068777C">
            <w:pPr>
              <w:pStyle w:val="TableText"/>
              <w:jc w:val="center"/>
            </w:pPr>
            <w:r w:rsidRPr="00256982">
              <w:t>97.0</w:t>
            </w:r>
          </w:p>
        </w:tc>
      </w:tr>
      <w:tr w:rsidR="0068777C" w:rsidRPr="00256982" w14:paraId="242CEB57" w14:textId="77777777" w:rsidTr="00766DF1">
        <w:trPr>
          <w:cantSplit/>
        </w:trPr>
        <w:tc>
          <w:tcPr>
            <w:tcW w:w="1690" w:type="dxa"/>
            <w:vAlign w:val="bottom"/>
          </w:tcPr>
          <w:p w14:paraId="2128CDE9" w14:textId="77777777" w:rsidR="0068777C" w:rsidRPr="00256982" w:rsidRDefault="0068777C" w:rsidP="0068777C">
            <w:pPr>
              <w:pStyle w:val="TableText"/>
            </w:pPr>
            <w:r w:rsidRPr="00256982">
              <w:t>Alpacas</w:t>
            </w:r>
          </w:p>
        </w:tc>
        <w:tc>
          <w:tcPr>
            <w:tcW w:w="1352" w:type="dxa"/>
            <w:vAlign w:val="center"/>
          </w:tcPr>
          <w:p w14:paraId="35703372" w14:textId="77777777" w:rsidR="0068777C" w:rsidRPr="00256982" w:rsidRDefault="0068777C" w:rsidP="0068777C">
            <w:pPr>
              <w:pStyle w:val="TableText"/>
              <w:jc w:val="center"/>
            </w:pPr>
            <w:r w:rsidRPr="00256982">
              <w:t>–</w:t>
            </w:r>
          </w:p>
        </w:tc>
        <w:tc>
          <w:tcPr>
            <w:tcW w:w="1494" w:type="dxa"/>
            <w:vAlign w:val="center"/>
          </w:tcPr>
          <w:p w14:paraId="2C72610D" w14:textId="77777777" w:rsidR="0068777C" w:rsidRPr="00256982" w:rsidRDefault="0068777C" w:rsidP="0068777C">
            <w:pPr>
              <w:pStyle w:val="TableText"/>
              <w:jc w:val="center"/>
            </w:pPr>
            <w:r w:rsidRPr="00256982">
              <w:t>–</w:t>
            </w:r>
          </w:p>
        </w:tc>
        <w:tc>
          <w:tcPr>
            <w:tcW w:w="1701" w:type="dxa"/>
            <w:vAlign w:val="center"/>
          </w:tcPr>
          <w:p w14:paraId="3B01F1E3" w14:textId="77777777" w:rsidR="0068777C" w:rsidRPr="00256982" w:rsidRDefault="0068777C" w:rsidP="0068777C">
            <w:pPr>
              <w:pStyle w:val="TableText"/>
              <w:jc w:val="center"/>
            </w:pPr>
            <w:r w:rsidRPr="00256982">
              <w:t>100.0</w:t>
            </w:r>
          </w:p>
        </w:tc>
        <w:tc>
          <w:tcPr>
            <w:tcW w:w="1250" w:type="dxa"/>
            <w:vAlign w:val="center"/>
          </w:tcPr>
          <w:p w14:paraId="54A953DA" w14:textId="77777777" w:rsidR="0068777C" w:rsidRPr="00256982" w:rsidRDefault="0068777C" w:rsidP="0068777C">
            <w:pPr>
              <w:pStyle w:val="TableText"/>
              <w:jc w:val="center"/>
            </w:pPr>
            <w:r w:rsidRPr="00256982">
              <w:t>–</w:t>
            </w:r>
          </w:p>
        </w:tc>
        <w:tc>
          <w:tcPr>
            <w:tcW w:w="1018" w:type="dxa"/>
            <w:vAlign w:val="center"/>
          </w:tcPr>
          <w:p w14:paraId="7F02A97C" w14:textId="77777777" w:rsidR="0068777C" w:rsidRPr="00256982" w:rsidRDefault="0068777C" w:rsidP="0068777C">
            <w:pPr>
              <w:pStyle w:val="TableText"/>
              <w:jc w:val="center"/>
            </w:pPr>
            <w:r w:rsidRPr="00256982">
              <w:t>–</w:t>
            </w:r>
          </w:p>
        </w:tc>
      </w:tr>
      <w:tr w:rsidR="0068777C" w:rsidRPr="00256982" w14:paraId="39AB2009" w14:textId="77777777" w:rsidTr="00766DF1">
        <w:trPr>
          <w:cantSplit/>
        </w:trPr>
        <w:tc>
          <w:tcPr>
            <w:tcW w:w="1690" w:type="dxa"/>
            <w:vAlign w:val="bottom"/>
          </w:tcPr>
          <w:p w14:paraId="6A4D34A8" w14:textId="77777777" w:rsidR="0068777C" w:rsidRPr="00256982" w:rsidRDefault="0068777C" w:rsidP="0068777C">
            <w:pPr>
              <w:pStyle w:val="TableText"/>
            </w:pPr>
            <w:r w:rsidRPr="00256982">
              <w:t>Mules and asses</w:t>
            </w:r>
          </w:p>
        </w:tc>
        <w:tc>
          <w:tcPr>
            <w:tcW w:w="1352" w:type="dxa"/>
            <w:vAlign w:val="center"/>
          </w:tcPr>
          <w:p w14:paraId="2EE9F8E2" w14:textId="77777777" w:rsidR="0068777C" w:rsidRPr="00256982" w:rsidRDefault="0068777C" w:rsidP="0068777C">
            <w:pPr>
              <w:pStyle w:val="TableText"/>
              <w:jc w:val="center"/>
            </w:pPr>
            <w:r w:rsidRPr="00256982">
              <w:t>–</w:t>
            </w:r>
          </w:p>
        </w:tc>
        <w:tc>
          <w:tcPr>
            <w:tcW w:w="1494" w:type="dxa"/>
            <w:vAlign w:val="center"/>
          </w:tcPr>
          <w:p w14:paraId="60FDC67F" w14:textId="77777777" w:rsidR="0068777C" w:rsidRPr="00256982" w:rsidRDefault="0068777C" w:rsidP="0068777C">
            <w:pPr>
              <w:pStyle w:val="TableText"/>
              <w:jc w:val="center"/>
            </w:pPr>
            <w:r w:rsidRPr="00256982">
              <w:t>–</w:t>
            </w:r>
          </w:p>
        </w:tc>
        <w:tc>
          <w:tcPr>
            <w:tcW w:w="1701" w:type="dxa"/>
            <w:vAlign w:val="center"/>
          </w:tcPr>
          <w:p w14:paraId="02B4F286" w14:textId="77777777" w:rsidR="0068777C" w:rsidRPr="00256982" w:rsidRDefault="0068777C" w:rsidP="0068777C">
            <w:pPr>
              <w:pStyle w:val="TableText"/>
              <w:jc w:val="center"/>
            </w:pPr>
            <w:r w:rsidRPr="00256982">
              <w:t>100.0</w:t>
            </w:r>
          </w:p>
        </w:tc>
        <w:tc>
          <w:tcPr>
            <w:tcW w:w="1250" w:type="dxa"/>
            <w:vAlign w:val="center"/>
          </w:tcPr>
          <w:p w14:paraId="72C89FDF" w14:textId="77777777" w:rsidR="0068777C" w:rsidRPr="00256982" w:rsidRDefault="0068777C" w:rsidP="0068777C">
            <w:pPr>
              <w:pStyle w:val="TableText"/>
              <w:jc w:val="center"/>
            </w:pPr>
            <w:r w:rsidRPr="00256982">
              <w:t>–</w:t>
            </w:r>
          </w:p>
        </w:tc>
        <w:tc>
          <w:tcPr>
            <w:tcW w:w="1018" w:type="dxa"/>
            <w:vAlign w:val="center"/>
          </w:tcPr>
          <w:p w14:paraId="15AA19C4" w14:textId="77777777" w:rsidR="0068777C" w:rsidRPr="00256982" w:rsidRDefault="0068777C" w:rsidP="0068777C">
            <w:pPr>
              <w:pStyle w:val="TableText"/>
              <w:jc w:val="center"/>
            </w:pPr>
            <w:r w:rsidRPr="00256982">
              <w:t>–</w:t>
            </w:r>
          </w:p>
        </w:tc>
      </w:tr>
    </w:tbl>
    <w:p w14:paraId="74F8DD12" w14:textId="77777777" w:rsidR="0068777C" w:rsidRPr="00256982" w:rsidRDefault="0068777C" w:rsidP="0068777C">
      <w:pPr>
        <w:pStyle w:val="Heading3"/>
        <w:spacing w:before="480"/>
      </w:pPr>
      <w:bookmarkStart w:id="615" w:name="_Toc139253925"/>
      <w:r w:rsidRPr="00256982">
        <w:t>5.3.2</w:t>
      </w:r>
      <w:r w:rsidRPr="00256982">
        <w:tab/>
        <w:t>Methodological issues</w:t>
      </w:r>
      <w:bookmarkEnd w:id="615"/>
    </w:p>
    <w:p w14:paraId="0A45F9A6" w14:textId="77777777" w:rsidR="0068777C" w:rsidRPr="00256982" w:rsidRDefault="0068777C" w:rsidP="00A72006">
      <w:pPr>
        <w:pStyle w:val="Heading4"/>
      </w:pPr>
      <w:r w:rsidRPr="00256982">
        <w:t xml:space="preserve">Methane from manure management systems (CRF 3.B.1) </w:t>
      </w:r>
    </w:p>
    <w:p w14:paraId="3986FD64" w14:textId="77777777" w:rsidR="0068777C" w:rsidRPr="00256982" w:rsidRDefault="0068777C" w:rsidP="0068777C">
      <w:pPr>
        <w:pStyle w:val="BodyText"/>
      </w:pPr>
      <w:r w:rsidRPr="00256982">
        <w:t>New Zealand uses a Tier 2 approach to calculate CH</w:t>
      </w:r>
      <w:r w:rsidRPr="00256982">
        <w:rPr>
          <w:vertAlign w:val="subscript"/>
        </w:rPr>
        <w:t xml:space="preserve">4 </w:t>
      </w:r>
      <w:r w:rsidRPr="00256982">
        <w:t>emissions from ruminant animal wastes from the major livestock categories in New Zealand (</w:t>
      </w:r>
      <w:r w:rsidRPr="00256982">
        <w:rPr>
          <w:i/>
        </w:rPr>
        <w:t>Dairy cattle</w:t>
      </w:r>
      <w:r w:rsidRPr="00256982">
        <w:t xml:space="preserve">, </w:t>
      </w:r>
      <w:r w:rsidRPr="00256982">
        <w:rPr>
          <w:i/>
        </w:rPr>
        <w:t>Non-dairy cattle</w:t>
      </w:r>
      <w:r w:rsidRPr="00256982">
        <w:t xml:space="preserve">, </w:t>
      </w:r>
      <w:r w:rsidRPr="00256982">
        <w:rPr>
          <w:i/>
        </w:rPr>
        <w:t>Sheep</w:t>
      </w:r>
      <w:r w:rsidRPr="00256982">
        <w:t xml:space="preserve"> and </w:t>
      </w:r>
      <w:r w:rsidRPr="00256982">
        <w:rPr>
          <w:i/>
        </w:rPr>
        <w:t>Deer</w:t>
      </w:r>
      <w:r w:rsidRPr="00256982">
        <w:t>). This approach is based on the methods recommended by Saggar et al. (unpublished) and is consistent with the IPCC 2006 Guidelines.</w:t>
      </w:r>
    </w:p>
    <w:p w14:paraId="0AB3C5FD" w14:textId="77777777" w:rsidR="0068777C" w:rsidRPr="00256982" w:rsidRDefault="0068777C" w:rsidP="0068777C">
      <w:pPr>
        <w:pStyle w:val="BodyText"/>
      </w:pPr>
      <w:r w:rsidRPr="00256982">
        <w:t>Because New Zealand has detailed information on the dairy population and their characteristics (such as feed intake), the IPCC (2006) Tier 2 methodology for dairy anaerobic lagoons is used. The Tier 1 methodology for the minor livestock categories uses country-specific and IPCC (2006) default emission factors.</w:t>
      </w:r>
    </w:p>
    <w:p w14:paraId="2DBF3A87" w14:textId="77777777" w:rsidR="0068777C" w:rsidRPr="00256982" w:rsidRDefault="0068777C" w:rsidP="0068777C">
      <w:pPr>
        <w:pStyle w:val="Heading5"/>
      </w:pPr>
      <w:bookmarkStart w:id="616" w:name="_Toc139264110"/>
      <w:r w:rsidRPr="00256982">
        <w:t xml:space="preserve">Manure methane </w:t>
      </w:r>
      <w:bookmarkEnd w:id="616"/>
      <w:r w:rsidRPr="00256982">
        <w:t xml:space="preserve">from the major livestock categories </w:t>
      </w:r>
    </w:p>
    <w:p w14:paraId="1C3508B0" w14:textId="77777777" w:rsidR="0068777C" w:rsidRPr="00256982" w:rsidRDefault="0068777C" w:rsidP="0068777C">
      <w:pPr>
        <w:pStyle w:val="BodyText"/>
      </w:pPr>
      <w:r w:rsidRPr="00256982">
        <w:t>The approach for calculating CH</w:t>
      </w:r>
      <w:r w:rsidRPr="00256982">
        <w:rPr>
          <w:vertAlign w:val="subscript"/>
        </w:rPr>
        <w:t>4</w:t>
      </w:r>
      <w:r w:rsidRPr="00256982">
        <w:t xml:space="preserve"> emissions from the major livestock categories relies on: </w:t>
      </w:r>
    </w:p>
    <w:p w14:paraId="399B11E4" w14:textId="77777777" w:rsidR="0068777C" w:rsidRPr="00256982" w:rsidRDefault="0068777C" w:rsidP="0068777C">
      <w:pPr>
        <w:spacing w:after="120"/>
        <w:ind w:left="397" w:hanging="397"/>
      </w:pPr>
      <w:r w:rsidRPr="00256982">
        <w:t xml:space="preserve">(1) </w:t>
      </w:r>
      <w:r w:rsidRPr="00256982">
        <w:tab/>
      </w:r>
      <w:r w:rsidRPr="00256982">
        <w:rPr>
          <w:spacing w:val="-2"/>
        </w:rPr>
        <w:t>an estimation of the total quantity of faecal material produced, split into dung and urine</w:t>
      </w:r>
    </w:p>
    <w:p w14:paraId="0D0A3C63" w14:textId="77777777" w:rsidR="0068777C" w:rsidRPr="00256982" w:rsidRDefault="0068777C" w:rsidP="0068777C">
      <w:pPr>
        <w:spacing w:after="120"/>
        <w:ind w:left="397" w:hanging="397"/>
      </w:pPr>
      <w:r w:rsidRPr="00256982">
        <w:t xml:space="preserve">(2) </w:t>
      </w:r>
      <w:r w:rsidRPr="00256982">
        <w:tab/>
        <w:t xml:space="preserve">allocating the faecal material to the appropriate manure management system, either onto pastures or anaerobic lagoons (based on the distributions in table 5.3.2) </w:t>
      </w:r>
    </w:p>
    <w:p w14:paraId="5CBB4C4C" w14:textId="77777777" w:rsidR="0068777C" w:rsidRPr="00256982" w:rsidRDefault="0068777C" w:rsidP="0068777C">
      <w:pPr>
        <w:spacing w:after="120"/>
        <w:ind w:left="397" w:hanging="397"/>
      </w:pPr>
      <w:r w:rsidRPr="00256982">
        <w:t xml:space="preserve">(3) </w:t>
      </w:r>
      <w:r w:rsidRPr="00256982">
        <w:tab/>
        <w:t>New Zealand-specific emission factors for the quantity of CH</w:t>
      </w:r>
      <w:r w:rsidRPr="00256982">
        <w:rPr>
          <w:vertAlign w:val="subscript"/>
        </w:rPr>
        <w:t>4</w:t>
      </w:r>
      <w:r w:rsidRPr="00256982">
        <w:t xml:space="preserve"> produced per unit of faecal dry-matter (FDM) output.</w:t>
      </w:r>
    </w:p>
    <w:p w14:paraId="186AF181" w14:textId="77777777" w:rsidR="0068777C" w:rsidRPr="00256982" w:rsidRDefault="0068777C" w:rsidP="00766DF1">
      <w:pPr>
        <w:pStyle w:val="BodyText"/>
        <w:keepNext/>
      </w:pPr>
      <w:r w:rsidRPr="00256982">
        <w:lastRenderedPageBreak/>
        <w:t>The following equation is used to determine the monthly FDM output for each livestock category (</w:t>
      </w:r>
      <w:r w:rsidRPr="00256982">
        <w:rPr>
          <w:i/>
        </w:rPr>
        <w:t>Dairy cattle</w:t>
      </w:r>
      <w:r w:rsidRPr="00256982">
        <w:t xml:space="preserve">, </w:t>
      </w:r>
      <w:r w:rsidRPr="00256982">
        <w:rPr>
          <w:i/>
        </w:rPr>
        <w:t>Non-dairy cattle</w:t>
      </w:r>
      <w:r w:rsidRPr="00256982">
        <w:t xml:space="preserve">, </w:t>
      </w:r>
      <w:r w:rsidRPr="00256982">
        <w:rPr>
          <w:i/>
        </w:rPr>
        <w:t>Sheep</w:t>
      </w:r>
      <w:r w:rsidRPr="00256982">
        <w:t xml:space="preserve"> and </w:t>
      </w:r>
      <w:r w:rsidRPr="00256982">
        <w:rPr>
          <w:i/>
        </w:rPr>
        <w:t>Deer</w:t>
      </w:r>
      <w:r w:rsidRPr="00256982">
        <w:t>):</w:t>
      </w:r>
    </w:p>
    <w:p w14:paraId="59BF98EF" w14:textId="77777777" w:rsidR="0068777C" w:rsidRPr="00256982" w:rsidRDefault="0068777C" w:rsidP="0068777C">
      <w:pPr>
        <w:spacing w:before="120" w:after="120"/>
        <w:jc w:val="center"/>
        <w:rPr>
          <w:i/>
          <w:sz w:val="20"/>
        </w:rPr>
      </w:pPr>
      <w:r w:rsidRPr="00256982">
        <w:rPr>
          <w:i/>
          <w:sz w:val="20"/>
        </w:rPr>
        <w:t>FDM = DMI × (1 – DMD)</w:t>
      </w:r>
    </w:p>
    <w:p w14:paraId="265AF612" w14:textId="77777777" w:rsidR="0068777C" w:rsidRPr="00256982" w:rsidRDefault="0068777C" w:rsidP="00766DF1">
      <w:pPr>
        <w:keepNext/>
        <w:tabs>
          <w:tab w:val="left" w:pos="993"/>
        </w:tabs>
        <w:spacing w:before="80"/>
      </w:pPr>
      <w:r w:rsidRPr="00256982">
        <w:t xml:space="preserve">Where: </w:t>
      </w:r>
      <w:r w:rsidRPr="00256982">
        <w:tab/>
        <w:t>FDM is faecal dry matter (kg/head/month)</w:t>
      </w:r>
    </w:p>
    <w:p w14:paraId="0A9EE3F0" w14:textId="77777777" w:rsidR="0068777C" w:rsidRPr="00256982" w:rsidRDefault="0068777C" w:rsidP="00766DF1">
      <w:pPr>
        <w:keepNext/>
        <w:tabs>
          <w:tab w:val="left" w:pos="993"/>
        </w:tabs>
        <w:spacing w:before="100"/>
        <w:ind w:firstLine="567"/>
      </w:pPr>
      <w:r w:rsidRPr="00256982">
        <w:tab/>
        <w:t>DMI is dry-matter intake (kg/head/month), and</w:t>
      </w:r>
    </w:p>
    <w:p w14:paraId="0C9B2809" w14:textId="77777777" w:rsidR="0068777C" w:rsidRPr="00256982" w:rsidRDefault="0068777C" w:rsidP="00766DF1">
      <w:pPr>
        <w:keepNext/>
        <w:tabs>
          <w:tab w:val="left" w:pos="993"/>
        </w:tabs>
        <w:spacing w:before="100" w:after="120"/>
        <w:ind w:firstLine="567"/>
      </w:pPr>
      <w:r w:rsidRPr="00256982">
        <w:tab/>
        <w:t>DMD is dry-matter digestibility (decimal proportion).</w:t>
      </w:r>
    </w:p>
    <w:p w14:paraId="375B9D70" w14:textId="77777777" w:rsidR="0068777C" w:rsidRPr="00256982" w:rsidRDefault="0068777C" w:rsidP="0068777C">
      <w:pPr>
        <w:pStyle w:val="BodyText"/>
      </w:pPr>
      <w:r w:rsidRPr="00256982">
        <w:t>The DMI and dry-matter digestibility estimates in this calculation are the same as those used to calculate the enteric fermentation CH</w:t>
      </w:r>
      <w:r w:rsidRPr="00256982">
        <w:rPr>
          <w:vertAlign w:val="subscript"/>
        </w:rPr>
        <w:t xml:space="preserve">4 </w:t>
      </w:r>
      <w:r w:rsidRPr="00256982">
        <w:rPr>
          <w:spacing w:val="-2"/>
        </w:rPr>
        <w:t xml:space="preserve">and </w:t>
      </w:r>
      <w:r w:rsidRPr="00256982">
        <w:t>nitrogen</w:t>
      </w:r>
      <w:r w:rsidRPr="00256982">
        <w:rPr>
          <w:spacing w:val="-2"/>
        </w:rPr>
        <w:t xml:space="preserve"> in excreta.</w:t>
      </w:r>
      <w:r w:rsidRPr="00256982">
        <w:t xml:space="preserve"> These Tier 2 model calculations are based on livestock performance statistics (see section 5.1.4). </w:t>
      </w:r>
    </w:p>
    <w:p w14:paraId="50B3A60E" w14:textId="77777777" w:rsidR="0068777C" w:rsidRPr="00256982" w:rsidRDefault="0068777C" w:rsidP="00766DF1">
      <w:pPr>
        <w:pStyle w:val="Heading5"/>
        <w:spacing w:before="200"/>
      </w:pPr>
      <w:r w:rsidRPr="00256982">
        <w:t xml:space="preserve">Methane from dairy effluent anaerobic lagoons </w:t>
      </w:r>
    </w:p>
    <w:p w14:paraId="16F65529" w14:textId="77777777" w:rsidR="0068777C" w:rsidRPr="00256982" w:rsidRDefault="0068777C" w:rsidP="0068777C">
      <w:pPr>
        <w:pStyle w:val="BodyText"/>
        <w:spacing w:after="60"/>
      </w:pPr>
      <w:r w:rsidRPr="00256982">
        <w:t>Each year, a proportion of manure from dairy cows is stored in anaerobic lagoons (Ledgard and Brier, unpublished; Rollo et al., unpublished). A Tier 2 methodology derived from the IPCC Guidelines (2006, equations 10.23 and 10.24) linking volatile solids to FDM is used for calculating CH</w:t>
      </w:r>
      <w:r w:rsidRPr="00256982">
        <w:rPr>
          <w:vertAlign w:val="subscript"/>
        </w:rPr>
        <w:t>4</w:t>
      </w:r>
      <w:r w:rsidRPr="00256982">
        <w:t xml:space="preserve"> emissions from this activity.</w:t>
      </w:r>
    </w:p>
    <w:p w14:paraId="032DB2DB" w14:textId="77777777" w:rsidR="0068777C" w:rsidRPr="00256982" w:rsidRDefault="0068777C" w:rsidP="0068777C">
      <w:pPr>
        <w:pStyle w:val="BodyText"/>
        <w:spacing w:after="0"/>
      </w:pPr>
      <w:r w:rsidRPr="00256982">
        <w:t>The following equation is used to determine CH</w:t>
      </w:r>
      <w:r w:rsidRPr="00256982">
        <w:rPr>
          <w:vertAlign w:val="subscript"/>
        </w:rPr>
        <w:t>4</w:t>
      </w:r>
      <w:r w:rsidRPr="00256982">
        <w:t xml:space="preserve"> emissions (CH</w:t>
      </w:r>
      <w:r w:rsidRPr="00256982">
        <w:rPr>
          <w:vertAlign w:val="subscript"/>
        </w:rPr>
        <w:t>4-MM</w:t>
      </w:r>
      <w:r w:rsidRPr="00256982">
        <w:t>) from dairy cattle manure in anaerobic lagoons:</w:t>
      </w:r>
    </w:p>
    <w:bookmarkStart w:id="617" w:name="_MON_1573034334"/>
    <w:bookmarkEnd w:id="617"/>
    <w:p w14:paraId="0B332E70" w14:textId="77777777" w:rsidR="0068777C" w:rsidRPr="00256982" w:rsidRDefault="0068777C" w:rsidP="0068777C">
      <w:pPr>
        <w:pStyle w:val="BodyText"/>
        <w:spacing w:after="0"/>
      </w:pPr>
      <w:r w:rsidRPr="00256982">
        <w:object w:dxaOrig="7814" w:dyaOrig="448" w14:anchorId="347967F0">
          <v:shape id="_x0000_i1089" type="#_x0000_t75" style="width:390pt;height:24pt" o:ole="">
            <v:imagedata r:id="rId118" o:title=""/>
          </v:shape>
          <o:OLEObject Type="Embed" ProgID="Word.Document.12" ShapeID="_x0000_i1089" DrawAspect="Content" ObjectID="_1616241201" r:id="rId119">
            <o:FieldCodes>\s</o:FieldCodes>
          </o:OLEObject>
        </w:object>
      </w:r>
    </w:p>
    <w:p w14:paraId="45893EFA" w14:textId="77777777" w:rsidR="0068777C" w:rsidRPr="00256982" w:rsidRDefault="0068777C" w:rsidP="00766DF1">
      <w:pPr>
        <w:spacing w:before="80"/>
        <w:ind w:left="993" w:hanging="993"/>
      </w:pPr>
      <w:r w:rsidRPr="00256982">
        <w:t xml:space="preserve">Where: </w:t>
      </w:r>
      <w:r w:rsidRPr="00256982">
        <w:tab/>
        <w:t>FDM is the faecal dry matter excreted by dairy cows (on pasture and stored in anaerobic lagoons) (kg/head/month)</w:t>
      </w:r>
    </w:p>
    <w:p w14:paraId="3D41E7CF" w14:textId="77777777" w:rsidR="0068777C" w:rsidRPr="00256982" w:rsidRDefault="0068777C" w:rsidP="00766DF1">
      <w:pPr>
        <w:spacing w:before="100"/>
        <w:ind w:left="993" w:hanging="993"/>
      </w:pPr>
      <w:r w:rsidRPr="00256982">
        <w:tab/>
        <w:t>ASH is the ash content of manure, 0.08 (IPCC, 2006, default value)</w:t>
      </w:r>
    </w:p>
    <w:p w14:paraId="2466C971" w14:textId="77777777" w:rsidR="0068777C" w:rsidRPr="00256982" w:rsidRDefault="0068777C" w:rsidP="00766DF1">
      <w:pPr>
        <w:spacing w:before="100"/>
        <w:ind w:left="993" w:hanging="993"/>
      </w:pPr>
      <w:r w:rsidRPr="00256982">
        <w:tab/>
        <w:t>B</w:t>
      </w:r>
      <w:r w:rsidRPr="00256982">
        <w:rPr>
          <w:vertAlign w:val="subscript"/>
        </w:rPr>
        <w:t>0</w:t>
      </w:r>
      <w:r w:rsidRPr="00256982">
        <w:t xml:space="preserve"> is the maximum CH</w:t>
      </w:r>
      <w:r w:rsidRPr="00256982">
        <w:rPr>
          <w:vertAlign w:val="subscript"/>
        </w:rPr>
        <w:t>4</w:t>
      </w:r>
      <w:r w:rsidRPr="00256982">
        <w:t>-producing capacity of manure, 0.24 (IPCC, 2006; Oceania default value, verified by Pratt et al., unpublished)</w:t>
      </w:r>
    </w:p>
    <w:p w14:paraId="164AB458" w14:textId="77777777" w:rsidR="0068777C" w:rsidRPr="00256982" w:rsidRDefault="0068777C" w:rsidP="00766DF1">
      <w:pPr>
        <w:spacing w:before="100"/>
        <w:ind w:left="993" w:hanging="993"/>
      </w:pPr>
      <w:r w:rsidRPr="00256982">
        <w:tab/>
        <w:t>0.67 is the conversion factor for converting CH</w:t>
      </w:r>
      <w:r w:rsidRPr="00256982">
        <w:rPr>
          <w:vertAlign w:val="subscript"/>
        </w:rPr>
        <w:t xml:space="preserve">4 </w:t>
      </w:r>
      <w:r w:rsidRPr="00256982">
        <w:t>from cubic metres to kilograms (IPCC, 2006)</w:t>
      </w:r>
    </w:p>
    <w:p w14:paraId="4AF5419A" w14:textId="77777777" w:rsidR="0068777C" w:rsidRPr="00256982" w:rsidRDefault="0068777C" w:rsidP="00766DF1">
      <w:pPr>
        <w:spacing w:before="100"/>
        <w:ind w:left="993" w:hanging="993"/>
      </w:pPr>
      <w:r w:rsidRPr="00256982">
        <w:tab/>
        <w:t>MCF is the CH</w:t>
      </w:r>
      <w:r w:rsidRPr="00256982">
        <w:rPr>
          <w:vertAlign w:val="subscript"/>
        </w:rPr>
        <w:t>4</w:t>
      </w:r>
      <w:r w:rsidRPr="00256982">
        <w:t xml:space="preserve"> conversion factor, 0.74 (IPCC, 2006, table 10.17, default for uncovered anaerobic lagoon, average annual temperature 15º, verified by Pratt et al., unpublished) </w:t>
      </w:r>
    </w:p>
    <w:p w14:paraId="3DE27C2C" w14:textId="77777777" w:rsidR="0068777C" w:rsidRPr="00256982" w:rsidRDefault="0068777C" w:rsidP="00766DF1">
      <w:pPr>
        <w:spacing w:before="100" w:after="120"/>
        <w:ind w:left="993" w:hanging="993"/>
      </w:pPr>
      <w:r w:rsidRPr="00256982">
        <w:tab/>
        <w:t>MS is the fraction of total dairy manure excreted in anaerobic lagoons.</w:t>
      </w:r>
    </w:p>
    <w:p w14:paraId="34C28BE9" w14:textId="77777777" w:rsidR="0068777C" w:rsidRPr="00256982" w:rsidRDefault="0068777C" w:rsidP="00766DF1">
      <w:pPr>
        <w:pStyle w:val="Heading5"/>
        <w:spacing w:before="200"/>
      </w:pPr>
      <w:r w:rsidRPr="00256982">
        <w:t>Methane emissions from the major livestock categories</w:t>
      </w:r>
    </w:p>
    <w:p w14:paraId="267E4103" w14:textId="77777777" w:rsidR="0068777C" w:rsidRPr="00256982" w:rsidRDefault="0068777C" w:rsidP="0068777C">
      <w:pPr>
        <w:pStyle w:val="BodyText"/>
        <w:keepNext/>
        <w:spacing w:after="0"/>
      </w:pPr>
      <w:r w:rsidRPr="00256982">
        <w:t>The following equation is used to determine CH</w:t>
      </w:r>
      <w:r w:rsidRPr="00256982">
        <w:rPr>
          <w:vertAlign w:val="subscript"/>
        </w:rPr>
        <w:t>4</w:t>
      </w:r>
      <w:r w:rsidRPr="00256982">
        <w:t xml:space="preserve"> emissions (CH</w:t>
      </w:r>
      <w:r w:rsidRPr="00256982">
        <w:rPr>
          <w:vertAlign w:val="subscript"/>
        </w:rPr>
        <w:t>4-PRP</w:t>
      </w:r>
      <w:r w:rsidRPr="00256982">
        <w:t>) from beef cattle, sheep and deer manure deposited onto pasture:</w:t>
      </w:r>
    </w:p>
    <w:bookmarkStart w:id="618" w:name="_MON_1573034444"/>
    <w:bookmarkEnd w:id="618"/>
    <w:p w14:paraId="5490E1FC" w14:textId="77777777" w:rsidR="0068777C" w:rsidRPr="00256982" w:rsidRDefault="0068777C" w:rsidP="0068777C">
      <w:pPr>
        <w:pStyle w:val="BodyText"/>
      </w:pPr>
      <w:r w:rsidRPr="00256982">
        <w:object w:dxaOrig="7814" w:dyaOrig="281" w14:anchorId="30951F68">
          <v:shape id="_x0000_i1090" type="#_x0000_t75" style="width:390pt;height:12.75pt" o:ole="">
            <v:imagedata r:id="rId120" o:title=""/>
          </v:shape>
          <o:OLEObject Type="Embed" ProgID="Word.Document.12" ShapeID="_x0000_i1090" DrawAspect="Content" ObjectID="_1616241202" r:id="rId121">
            <o:FieldCodes>\s</o:FieldCodes>
          </o:OLEObject>
        </w:object>
      </w:r>
    </w:p>
    <w:p w14:paraId="553A6ED7" w14:textId="77777777" w:rsidR="0068777C" w:rsidRPr="00256982" w:rsidRDefault="0068777C" w:rsidP="0068777C">
      <w:pPr>
        <w:keepNext/>
        <w:spacing w:before="120"/>
        <w:ind w:left="992" w:hanging="992"/>
      </w:pPr>
      <w:r w:rsidRPr="00256982">
        <w:t xml:space="preserve">Where: </w:t>
      </w:r>
      <w:r w:rsidRPr="00256982">
        <w:tab/>
        <w:t>FDM is the faecal dry matter (kg/head/month)</w:t>
      </w:r>
    </w:p>
    <w:p w14:paraId="3DBB1655" w14:textId="77777777" w:rsidR="0068777C" w:rsidRPr="00256982" w:rsidRDefault="0068777C" w:rsidP="00766DF1">
      <w:pPr>
        <w:spacing w:before="80" w:after="120"/>
        <w:ind w:left="993" w:hanging="1"/>
      </w:pPr>
      <w:r w:rsidRPr="00256982">
        <w:t>Y</w:t>
      </w:r>
      <w:r w:rsidRPr="00256982">
        <w:rPr>
          <w:vertAlign w:val="subscript"/>
        </w:rPr>
        <w:t>m</w:t>
      </w:r>
      <w:r w:rsidRPr="00256982">
        <w:t xml:space="preserve"> is the CH</w:t>
      </w:r>
      <w:r w:rsidRPr="00256982">
        <w:rPr>
          <w:vertAlign w:val="subscript"/>
        </w:rPr>
        <w:t>4</w:t>
      </w:r>
      <w:r w:rsidRPr="00256982">
        <w:t xml:space="preserve"> yield value.</w:t>
      </w:r>
    </w:p>
    <w:p w14:paraId="4D5487C1" w14:textId="77777777" w:rsidR="0068777C" w:rsidRPr="00256982" w:rsidRDefault="0068777C" w:rsidP="0068777C">
      <w:pPr>
        <w:pStyle w:val="BodyText"/>
      </w:pPr>
      <w:r w:rsidRPr="00256982">
        <w:t>Country-specific CH</w:t>
      </w:r>
      <w:r w:rsidRPr="00256982">
        <w:rPr>
          <w:vertAlign w:val="subscript"/>
        </w:rPr>
        <w:t>4</w:t>
      </w:r>
      <w:r w:rsidRPr="00256982">
        <w:t xml:space="preserve"> yield values have been developed from New Zealand studies. Details on the values used for each of the major livestock categories are provided below.</w:t>
      </w:r>
    </w:p>
    <w:p w14:paraId="3EE8DEE4" w14:textId="77777777" w:rsidR="0068777C" w:rsidRPr="00256982" w:rsidRDefault="0068777C" w:rsidP="0068777C">
      <w:pPr>
        <w:pStyle w:val="BodyText"/>
      </w:pPr>
      <w:r w:rsidRPr="00256982">
        <w:rPr>
          <w:b/>
          <w:bCs/>
          <w:i/>
          <w:iCs/>
        </w:rPr>
        <w:t>Dairy cattle:</w:t>
      </w:r>
      <w:r w:rsidRPr="00256982">
        <w:t xml:space="preserve"> The quantity of CH</w:t>
      </w:r>
      <w:r w:rsidRPr="00256982">
        <w:rPr>
          <w:vertAlign w:val="subscript"/>
        </w:rPr>
        <w:t>4</w:t>
      </w:r>
      <w:r w:rsidRPr="00256982">
        <w:t xml:space="preserve"> produced per kilogram of FDM is 0.98 g CH</w:t>
      </w:r>
      <w:r w:rsidRPr="00256982">
        <w:rPr>
          <w:vertAlign w:val="subscript"/>
        </w:rPr>
        <w:t>4</w:t>
      </w:r>
      <w:r w:rsidRPr="00256982">
        <w:t>/kg for manure deposited on pasture. This value is obtained from New Zealand studies on dairy cows and ranges from approximately 0.92 to 1.04 g CH</w:t>
      </w:r>
      <w:r w:rsidRPr="00256982">
        <w:rPr>
          <w:vertAlign w:val="subscript"/>
        </w:rPr>
        <w:t>4</w:t>
      </w:r>
      <w:r w:rsidRPr="00256982">
        <w:t>/kg (Saggar et al., unpublished; Sherlock et al., unpublished).</w:t>
      </w:r>
    </w:p>
    <w:p w14:paraId="06BB9A43" w14:textId="77777777" w:rsidR="0068777C" w:rsidRPr="00256982" w:rsidRDefault="0068777C" w:rsidP="0068777C">
      <w:pPr>
        <w:pStyle w:val="BodyText"/>
      </w:pPr>
      <w:r w:rsidRPr="00256982">
        <w:rPr>
          <w:b/>
          <w:i/>
        </w:rPr>
        <w:lastRenderedPageBreak/>
        <w:t>Non-dairy cattle:</w:t>
      </w:r>
      <w:r w:rsidRPr="00256982">
        <w:t xml:space="preserve"> The value of 0.98 g CH</w:t>
      </w:r>
      <w:r w:rsidRPr="00256982">
        <w:rPr>
          <w:vertAlign w:val="subscript"/>
        </w:rPr>
        <w:t>4</w:t>
      </w:r>
      <w:r w:rsidRPr="00256982">
        <w:t>/kg per unit of FDM is based on New Zealand studies on dairy cattle manure (Saggar et al., unpublished; Sherlock et al., unpublished). No specific studies have been conducted in New Zealand on CH</w:t>
      </w:r>
      <w:r w:rsidRPr="00256982">
        <w:rPr>
          <w:vertAlign w:val="subscript"/>
        </w:rPr>
        <w:t>4</w:t>
      </w:r>
      <w:r w:rsidRPr="00256982">
        <w:t xml:space="preserve"> emissions from beef cattle manure.</w:t>
      </w:r>
    </w:p>
    <w:p w14:paraId="6619B01D" w14:textId="77777777" w:rsidR="0068777C" w:rsidRPr="00256982" w:rsidRDefault="0068777C" w:rsidP="0068777C">
      <w:pPr>
        <w:pStyle w:val="BodyText"/>
      </w:pPr>
      <w:r w:rsidRPr="00256982">
        <w:rPr>
          <w:b/>
          <w:i/>
        </w:rPr>
        <w:t>Sheep:</w:t>
      </w:r>
      <w:r w:rsidRPr="00256982">
        <w:rPr>
          <w:i/>
        </w:rPr>
        <w:t xml:space="preserve"> </w:t>
      </w:r>
      <w:r w:rsidRPr="00256982">
        <w:t>The quantity of CH</w:t>
      </w:r>
      <w:r w:rsidRPr="00256982">
        <w:rPr>
          <w:vertAlign w:val="subscript"/>
        </w:rPr>
        <w:t>4</w:t>
      </w:r>
      <w:r w:rsidRPr="00256982">
        <w:t xml:space="preserve"> produced per unit of sheep FDM is 0.69 g CH</w:t>
      </w:r>
      <w:r w:rsidRPr="00256982">
        <w:rPr>
          <w:vertAlign w:val="subscript"/>
        </w:rPr>
        <w:t>4</w:t>
      </w:r>
      <w:r w:rsidRPr="00256982">
        <w:t>/kg. This value is obtained from a New Zealand study on sheep in which values ranged from 0.340 to 1.288 over six sampling periods (Carran et al., unpublished).</w:t>
      </w:r>
    </w:p>
    <w:p w14:paraId="02863616" w14:textId="77777777" w:rsidR="0068777C" w:rsidRPr="00256982" w:rsidRDefault="0068777C" w:rsidP="0068777C">
      <w:pPr>
        <w:pStyle w:val="BodyText"/>
      </w:pPr>
      <w:r w:rsidRPr="00256982">
        <w:rPr>
          <w:b/>
          <w:i/>
        </w:rPr>
        <w:t>Deer:</w:t>
      </w:r>
      <w:r w:rsidRPr="00256982">
        <w:t xml:space="preserve"> The quantity of CH</w:t>
      </w:r>
      <w:r w:rsidRPr="00256982">
        <w:rPr>
          <w:vertAlign w:val="subscript"/>
        </w:rPr>
        <w:t>4</w:t>
      </w:r>
      <w:r w:rsidRPr="00256982">
        <w:t xml:space="preserve"> produced per unit of FDM is assumed to be 0.91 g CH</w:t>
      </w:r>
      <w:r w:rsidRPr="00256982">
        <w:rPr>
          <w:vertAlign w:val="subscript"/>
        </w:rPr>
        <w:t>4</w:t>
      </w:r>
      <w:r w:rsidRPr="00256982">
        <w:t>/kg. Deer are not housed in New Zealand, and all faecal material is deposited directly onto pasture. This value is derived from New Zealand studies on sheep (Carran et al.,</w:t>
      </w:r>
      <w:r w:rsidRPr="00256982">
        <w:rPr>
          <w:i/>
        </w:rPr>
        <w:t xml:space="preserve"> </w:t>
      </w:r>
      <w:r w:rsidRPr="00256982">
        <w:t>unpublished) and dairy cattle (Saggar et al., unpublished; Sherlock et al., unpublished). There are no New Zealand studies on CH</w:t>
      </w:r>
      <w:r w:rsidRPr="00256982">
        <w:rPr>
          <w:vertAlign w:val="subscript"/>
        </w:rPr>
        <w:t>4</w:t>
      </w:r>
      <w:r w:rsidRPr="00256982">
        <w:t xml:space="preserve"> emissions from deer manure.</w:t>
      </w:r>
    </w:p>
    <w:p w14:paraId="71D58C88" w14:textId="77777777" w:rsidR="0068777C" w:rsidRPr="00256982" w:rsidRDefault="0068777C" w:rsidP="0085534A">
      <w:pPr>
        <w:pStyle w:val="Heading5"/>
        <w:spacing w:before="200"/>
      </w:pPr>
      <w:r w:rsidRPr="00256982">
        <w:t xml:space="preserve">Methane emissions from minor livestock categories </w:t>
      </w:r>
    </w:p>
    <w:p w14:paraId="287D337F" w14:textId="77777777" w:rsidR="0068777C" w:rsidRPr="00256982" w:rsidRDefault="0068777C" w:rsidP="0068777C">
      <w:pPr>
        <w:pStyle w:val="BodyText"/>
      </w:pPr>
      <w:r w:rsidRPr="00256982">
        <w:t>Manure CH</w:t>
      </w:r>
      <w:r w:rsidRPr="00256982">
        <w:rPr>
          <w:vertAlign w:val="subscript"/>
        </w:rPr>
        <w:t>4</w:t>
      </w:r>
      <w:r w:rsidRPr="00256982">
        <w:t xml:space="preserve"> emissions from the minor livestock categories are calculated per head, using country-specific and IPCC default emission factors.</w:t>
      </w:r>
    </w:p>
    <w:p w14:paraId="662D63E1" w14:textId="77777777" w:rsidR="0068777C" w:rsidRPr="00256982" w:rsidRDefault="0068777C" w:rsidP="0068777C">
      <w:pPr>
        <w:pStyle w:val="BodyText"/>
      </w:pPr>
      <w:r w:rsidRPr="00256982">
        <w:rPr>
          <w:b/>
          <w:i/>
        </w:rPr>
        <w:t>Swine:</w:t>
      </w:r>
      <w:r w:rsidRPr="00256982">
        <w:rPr>
          <w:b/>
        </w:rPr>
        <w:t xml:space="preserve"> </w:t>
      </w:r>
      <w:r w:rsidRPr="00256982">
        <w:t>New Zealand uses a country-specific emission factor of 5.94 kg CH</w:t>
      </w:r>
      <w:r w:rsidRPr="00256982">
        <w:rPr>
          <w:vertAlign w:val="subscript"/>
        </w:rPr>
        <w:t>4</w:t>
      </w:r>
      <w:r w:rsidRPr="00256982">
        <w:t xml:space="preserve">/head/year (Hill, 2012) for estimating emissions from swine manure management. Industry data on swine diets </w:t>
      </w:r>
      <w:r w:rsidRPr="00256982">
        <w:rPr>
          <w:spacing w:val="-2"/>
        </w:rPr>
        <w:t>(to determine digestible energy of the swine feed and volatile solid excretion levels) and the use of waste management systems used by New Zealand swine producers (Hill, 2012) were used (equations 15 and 16 from the 1996 IPCC Guidelines, which correspond to equations 10.23 and 10.24 in the 2006 IPCC Guidelines) to determine a country-specific manure management emission factor. Further information on this is provided in the report by Hill (2012).</w:t>
      </w:r>
    </w:p>
    <w:p w14:paraId="765D9949" w14:textId="4D0FDB57" w:rsidR="0068777C" w:rsidRPr="00256982" w:rsidRDefault="0068777C" w:rsidP="0068777C">
      <w:pPr>
        <w:pStyle w:val="BodyText"/>
        <w:keepLines/>
        <w:rPr>
          <w:spacing w:val="-2"/>
        </w:rPr>
      </w:pPr>
      <w:r w:rsidRPr="00256982">
        <w:rPr>
          <w:b/>
          <w:bCs/>
          <w:i/>
          <w:iCs/>
          <w:spacing w:val="-2"/>
        </w:rPr>
        <w:t>Poultry:</w:t>
      </w:r>
      <w:r w:rsidRPr="00256982">
        <w:rPr>
          <w:i/>
          <w:iCs/>
          <w:spacing w:val="-2"/>
        </w:rPr>
        <w:t xml:space="preserve"> </w:t>
      </w:r>
      <w:r w:rsidRPr="00256982">
        <w:rPr>
          <w:spacing w:val="-2"/>
        </w:rPr>
        <w:t xml:space="preserve">Methane emissions from poultry manure management use New Zealand-specific emission factor values derived from Fick et al. (2011). These are based on New Zealand-specific volatile solids and proportions of poultry faeces in each manure management system for each production category. The poultry population has been disaggregated into three different categories, and the manure management emission factor values for each category are: </w:t>
      </w:r>
      <w:r w:rsidRPr="00256982">
        <w:rPr>
          <w:i/>
          <w:iCs/>
          <w:spacing w:val="-2"/>
        </w:rPr>
        <w:t>Broiler birds</w:t>
      </w:r>
      <w:r w:rsidRPr="00256982">
        <w:rPr>
          <w:spacing w:val="-2"/>
        </w:rPr>
        <w:t xml:space="preserve"> 0.022 kg CH</w:t>
      </w:r>
      <w:r w:rsidRPr="00256982">
        <w:rPr>
          <w:spacing w:val="-2"/>
          <w:vertAlign w:val="subscript"/>
        </w:rPr>
        <w:t>4</w:t>
      </w:r>
      <w:r w:rsidRPr="00256982">
        <w:rPr>
          <w:spacing w:val="-2"/>
        </w:rPr>
        <w:t>/head/year</w:t>
      </w:r>
      <w:r w:rsidRPr="00256982">
        <w:t xml:space="preserve">; </w:t>
      </w:r>
      <w:r w:rsidRPr="00256982">
        <w:rPr>
          <w:i/>
          <w:iCs/>
          <w:spacing w:val="-2"/>
        </w:rPr>
        <w:t>Layer hens</w:t>
      </w:r>
      <w:r w:rsidRPr="00256982">
        <w:rPr>
          <w:spacing w:val="-2"/>
        </w:rPr>
        <w:t xml:space="preserve"> 0.016 kg CH</w:t>
      </w:r>
      <w:r w:rsidRPr="00256982">
        <w:rPr>
          <w:spacing w:val="-2"/>
          <w:vertAlign w:val="subscript"/>
        </w:rPr>
        <w:t>4</w:t>
      </w:r>
      <w:r w:rsidRPr="00256982">
        <w:rPr>
          <w:spacing w:val="-2"/>
        </w:rPr>
        <w:t xml:space="preserve">/head/year; and </w:t>
      </w:r>
      <w:r w:rsidRPr="00256982">
        <w:rPr>
          <w:i/>
          <w:iCs/>
          <w:spacing w:val="-2"/>
        </w:rPr>
        <w:t>Other</w:t>
      </w:r>
      <w:r w:rsidRPr="00256982">
        <w:rPr>
          <w:spacing w:val="-2"/>
        </w:rPr>
        <w:t xml:space="preserve"> 0.117</w:t>
      </w:r>
      <w:r w:rsidR="0085534A" w:rsidRPr="00256982">
        <w:rPr>
          <w:spacing w:val="-2"/>
        </w:rPr>
        <w:t> </w:t>
      </w:r>
      <w:r w:rsidRPr="00256982">
        <w:rPr>
          <w:spacing w:val="-2"/>
        </w:rPr>
        <w:t>kg CH</w:t>
      </w:r>
      <w:r w:rsidRPr="00256982">
        <w:rPr>
          <w:spacing w:val="-2"/>
          <w:vertAlign w:val="subscript"/>
        </w:rPr>
        <w:t>4</w:t>
      </w:r>
      <w:r w:rsidRPr="00256982">
        <w:rPr>
          <w:spacing w:val="-2"/>
        </w:rPr>
        <w:t>/head/year. The overall IEF for poultry is affected by the change over time in the population proportions of these different poultry categories.</w:t>
      </w:r>
    </w:p>
    <w:p w14:paraId="7FCE6A98" w14:textId="06420747" w:rsidR="0068777C" w:rsidRPr="00256982" w:rsidRDefault="0068777C" w:rsidP="0068777C">
      <w:pPr>
        <w:pStyle w:val="BodyText"/>
      </w:pPr>
      <w:r w:rsidRPr="00256982">
        <w:rPr>
          <w:b/>
          <w:bCs/>
          <w:i/>
          <w:iCs/>
        </w:rPr>
        <w:t>Goats</w:t>
      </w:r>
      <w:r w:rsidRPr="00256982">
        <w:rPr>
          <w:b/>
          <w:bCs/>
        </w:rPr>
        <w:t xml:space="preserve">, </w:t>
      </w:r>
      <w:r w:rsidRPr="00256982">
        <w:rPr>
          <w:b/>
          <w:bCs/>
          <w:i/>
          <w:iCs/>
        </w:rPr>
        <w:t>horses</w:t>
      </w:r>
      <w:r w:rsidRPr="00256982">
        <w:rPr>
          <w:b/>
          <w:bCs/>
        </w:rPr>
        <w:t xml:space="preserve">, and </w:t>
      </w:r>
      <w:r w:rsidRPr="00256982">
        <w:rPr>
          <w:b/>
          <w:bCs/>
          <w:i/>
          <w:iCs/>
        </w:rPr>
        <w:t>mules and asses:</w:t>
      </w:r>
      <w:r w:rsidRPr="00256982">
        <w:rPr>
          <w:b/>
          <w:bCs/>
        </w:rPr>
        <w:t xml:space="preserve"> </w:t>
      </w:r>
      <w:r w:rsidRPr="00256982">
        <w:t>New Zealand uses IPCC (2006) default emission factors for CH</w:t>
      </w:r>
      <w:r w:rsidRPr="00256982">
        <w:rPr>
          <w:vertAlign w:val="subscript"/>
        </w:rPr>
        <w:t>4</w:t>
      </w:r>
      <w:r w:rsidRPr="00256982">
        <w:t xml:space="preserve"> emissions from manure management for goats, horses, mules and asses (table 10.15). The emission factors are 0.20 kg CH</w:t>
      </w:r>
      <w:r w:rsidRPr="00256982">
        <w:rPr>
          <w:vertAlign w:val="subscript"/>
        </w:rPr>
        <w:t>4</w:t>
      </w:r>
      <w:r w:rsidRPr="00256982">
        <w:t>/head/year for goats, 2.34 kg CH</w:t>
      </w:r>
      <w:r w:rsidRPr="00256982">
        <w:rPr>
          <w:vertAlign w:val="subscript"/>
        </w:rPr>
        <w:t>4</w:t>
      </w:r>
      <w:r w:rsidRPr="00256982">
        <w:t>/head/year for horses</w:t>
      </w:r>
      <w:r w:rsidR="0085534A" w:rsidRPr="00256982">
        <w:t xml:space="preserve"> </w:t>
      </w:r>
      <w:r w:rsidRPr="00256982">
        <w:t>and</w:t>
      </w:r>
      <w:r w:rsidR="0085534A" w:rsidRPr="00256982">
        <w:t> </w:t>
      </w:r>
      <w:r w:rsidRPr="00256982">
        <w:t>1.10 kg CH</w:t>
      </w:r>
      <w:r w:rsidRPr="00256982">
        <w:rPr>
          <w:vertAlign w:val="subscript"/>
        </w:rPr>
        <w:t>4</w:t>
      </w:r>
      <w:r w:rsidRPr="00256982">
        <w:t xml:space="preserve">/head/year for mules and asses. These are the IPCC values for temperate developed countries. </w:t>
      </w:r>
    </w:p>
    <w:p w14:paraId="2CDC4AC5" w14:textId="77777777" w:rsidR="0068777C" w:rsidRPr="00256982" w:rsidRDefault="0068777C" w:rsidP="0068777C">
      <w:pPr>
        <w:pStyle w:val="BodyText"/>
      </w:pPr>
      <w:r w:rsidRPr="00256982">
        <w:rPr>
          <w:b/>
          <w:bCs/>
          <w:i/>
          <w:iCs/>
        </w:rPr>
        <w:t>Llamas and alpacas:</w:t>
      </w:r>
      <w:r w:rsidRPr="00256982">
        <w:t xml:space="preserve"> There is no IPCC default value available for CH</w:t>
      </w:r>
      <w:r w:rsidRPr="00256982">
        <w:rPr>
          <w:vertAlign w:val="subscript"/>
        </w:rPr>
        <w:t>4</w:t>
      </w:r>
      <w:r w:rsidRPr="00256982">
        <w:t xml:space="preserve"> emissions from manure management for alpacas. The emissions are calculated by assuming that the CH</w:t>
      </w:r>
      <w:r w:rsidRPr="00256982">
        <w:rPr>
          <w:vertAlign w:val="subscript"/>
        </w:rPr>
        <w:t>4</w:t>
      </w:r>
      <w:r w:rsidRPr="00256982">
        <w:t xml:space="preserve"> emission factor from manure management for alpacas for all years is equal to the CH</w:t>
      </w:r>
      <w:r w:rsidRPr="00256982">
        <w:rPr>
          <w:vertAlign w:val="subscript"/>
        </w:rPr>
        <w:t>4</w:t>
      </w:r>
      <w:r w:rsidRPr="00256982">
        <w:t xml:space="preserve"> manure management IEF for sheep in 1990 (i.e., manure management CH</w:t>
      </w:r>
      <w:r w:rsidRPr="00256982">
        <w:rPr>
          <w:vertAlign w:val="subscript"/>
        </w:rPr>
        <w:t>4</w:t>
      </w:r>
      <w:r w:rsidRPr="00256982">
        <w:t xml:space="preserve"> sheep emissions per sheep). The alpaca emission factor (0.10 kg CH</w:t>
      </w:r>
      <w:r w:rsidRPr="00256982">
        <w:rPr>
          <w:vertAlign w:val="subscript"/>
        </w:rPr>
        <w:t>4</w:t>
      </w:r>
      <w:r w:rsidRPr="00256982">
        <w:t>/head/year) is not indexed to sheep over time because there are no data indicating that alpacas have had the productivity increases seen in sheep.</w:t>
      </w:r>
    </w:p>
    <w:p w14:paraId="1A2D43A8" w14:textId="77777777" w:rsidR="0068777C" w:rsidRPr="00256982" w:rsidRDefault="0068777C" w:rsidP="00A72006">
      <w:pPr>
        <w:pStyle w:val="Heading4"/>
      </w:pPr>
      <w:r w:rsidRPr="00256982">
        <w:t xml:space="preserve">Nitrous oxide from manure management systems (CRF 3.B.2) </w:t>
      </w:r>
    </w:p>
    <w:p w14:paraId="55894093" w14:textId="77777777" w:rsidR="0068777C" w:rsidRPr="00256982" w:rsidRDefault="0068777C" w:rsidP="0068777C">
      <w:pPr>
        <w:pStyle w:val="BodyText"/>
      </w:pPr>
      <w:r w:rsidRPr="00256982">
        <w:t>Nitrous oxide emissions from manure management can be classified as either direct or indirect. Direct N</w:t>
      </w:r>
      <w:r w:rsidRPr="00256982">
        <w:rPr>
          <w:vertAlign w:val="subscript"/>
        </w:rPr>
        <w:t>2</w:t>
      </w:r>
      <w:r w:rsidRPr="00256982">
        <w:t>O emissions occur from nitrification and denitrification of nitrogen contained in the manure. Indirect N</w:t>
      </w:r>
      <w:r w:rsidRPr="00256982">
        <w:rPr>
          <w:vertAlign w:val="subscript"/>
        </w:rPr>
        <w:t>2</w:t>
      </w:r>
      <w:r w:rsidRPr="00256982">
        <w:t>O emissions result from volatile nitrogen losses in the forms of ammonia (NH</w:t>
      </w:r>
      <w:r w:rsidRPr="00256982">
        <w:rPr>
          <w:vertAlign w:val="subscript"/>
        </w:rPr>
        <w:t>3</w:t>
      </w:r>
      <w:r w:rsidRPr="00256982">
        <w:t>) and NO</w:t>
      </w:r>
      <w:r w:rsidRPr="00256982">
        <w:rPr>
          <w:vertAlign w:val="subscript"/>
        </w:rPr>
        <w:t>x</w:t>
      </w:r>
      <w:r w:rsidRPr="00256982">
        <w:t xml:space="preserve"> and are emitted via diffusion into the surrounding air (volatilisation) or via leaching and runoff. </w:t>
      </w:r>
    </w:p>
    <w:p w14:paraId="0D7F1841" w14:textId="77777777" w:rsidR="0068777C" w:rsidRPr="00256982" w:rsidRDefault="0068777C" w:rsidP="0068777C">
      <w:pPr>
        <w:pStyle w:val="BodyText"/>
      </w:pPr>
      <w:r w:rsidRPr="00256982">
        <w:lastRenderedPageBreak/>
        <w:t>Nitrous oxide emissions from manure are calculated for each livestock category based on:</w:t>
      </w:r>
    </w:p>
    <w:p w14:paraId="5FD228B6" w14:textId="77777777" w:rsidR="0068777C" w:rsidRPr="00256982" w:rsidRDefault="0068777C" w:rsidP="0068777C">
      <w:pPr>
        <w:spacing w:after="120"/>
        <w:ind w:left="397" w:hanging="397"/>
      </w:pPr>
      <w:r w:rsidRPr="00256982">
        <w:t xml:space="preserve">(1) </w:t>
      </w:r>
      <w:r w:rsidRPr="00256982">
        <w:tab/>
        <w:t xml:space="preserve">livestock population characterisation data (consistent with section 5.1.3) </w:t>
      </w:r>
    </w:p>
    <w:p w14:paraId="1C70C9AD" w14:textId="77777777" w:rsidR="0068777C" w:rsidRPr="00256982" w:rsidRDefault="0068777C" w:rsidP="0068777C">
      <w:pPr>
        <w:spacing w:after="120"/>
        <w:ind w:left="397" w:hanging="397"/>
      </w:pPr>
      <w:r w:rsidRPr="00256982">
        <w:t xml:space="preserve">(2) </w:t>
      </w:r>
      <w:r w:rsidRPr="00256982">
        <w:tab/>
        <w:t xml:space="preserve">the average nitrogen excretion rate per head </w:t>
      </w:r>
    </w:p>
    <w:p w14:paraId="2DF5B97B" w14:textId="77777777" w:rsidR="0068777C" w:rsidRPr="00256982" w:rsidRDefault="0068777C" w:rsidP="0068777C">
      <w:pPr>
        <w:spacing w:after="120"/>
        <w:ind w:left="397" w:hanging="397"/>
      </w:pPr>
      <w:r w:rsidRPr="00256982">
        <w:t xml:space="preserve">(3) </w:t>
      </w:r>
      <w:r w:rsidRPr="00256982">
        <w:tab/>
        <w:t>an estimation of the total quantity of faecal material produced (consistent with the calculations in the previous section for CH</w:t>
      </w:r>
      <w:r w:rsidRPr="00256982">
        <w:rPr>
          <w:vertAlign w:val="subscript"/>
        </w:rPr>
        <w:t>4</w:t>
      </w:r>
      <w:r w:rsidRPr="00256982">
        <w:t xml:space="preserve"> from manure management) split into dung and urine</w:t>
      </w:r>
    </w:p>
    <w:p w14:paraId="46D97009" w14:textId="77777777" w:rsidR="0068777C" w:rsidRPr="00256982" w:rsidRDefault="0068777C" w:rsidP="0068777C">
      <w:pPr>
        <w:spacing w:after="120"/>
        <w:ind w:left="397" w:hanging="397"/>
      </w:pPr>
      <w:r w:rsidRPr="00256982">
        <w:t xml:space="preserve">(4) </w:t>
      </w:r>
      <w:r w:rsidRPr="00256982">
        <w:tab/>
        <w:t>the partitioning of this faecal material between manure management systems (based on the distributions in table 5.3.2)</w:t>
      </w:r>
    </w:p>
    <w:p w14:paraId="1EABE6A2" w14:textId="77777777" w:rsidR="0068777C" w:rsidRPr="00256982" w:rsidRDefault="0068777C" w:rsidP="0068777C">
      <w:pPr>
        <w:spacing w:after="120"/>
        <w:ind w:left="397" w:hanging="397"/>
      </w:pPr>
      <w:r w:rsidRPr="00256982">
        <w:t xml:space="preserve">(5) </w:t>
      </w:r>
      <w:r w:rsidRPr="00256982">
        <w:tab/>
        <w:t xml:space="preserve">the total amount of nitrogen managed in each system multiplied by an emission factor (IPCC, 2006). </w:t>
      </w:r>
    </w:p>
    <w:p w14:paraId="43BB94C4" w14:textId="77777777" w:rsidR="0068777C" w:rsidRPr="00256982" w:rsidRDefault="0068777C" w:rsidP="0068777C">
      <w:pPr>
        <w:pStyle w:val="Heading5"/>
      </w:pPr>
      <w:r w:rsidRPr="00256982">
        <w:t>Nitrogen excretion rates for the major livestock categories</w:t>
      </w:r>
    </w:p>
    <w:p w14:paraId="0E46FAB9" w14:textId="77777777" w:rsidR="0068777C" w:rsidRPr="00256982" w:rsidRDefault="0068777C" w:rsidP="0068777C">
      <w:pPr>
        <w:pStyle w:val="BodyText"/>
      </w:pPr>
      <w:r w:rsidRPr="00256982">
        <w:t>The nitrogen excretion (N</w:t>
      </w:r>
      <w:r w:rsidRPr="00256982">
        <w:rPr>
          <w:vertAlign w:val="subscript"/>
        </w:rPr>
        <w:t>ex</w:t>
      </w:r>
      <w:r w:rsidRPr="00256982">
        <w:t>) rates for the main livestock categories in New Zealand (</w:t>
      </w:r>
      <w:r w:rsidRPr="00256982">
        <w:rPr>
          <w:i/>
        </w:rPr>
        <w:t>Dairy cattle</w:t>
      </w:r>
      <w:r w:rsidRPr="00256982">
        <w:t xml:space="preserve">, </w:t>
      </w:r>
      <w:r w:rsidRPr="00256982">
        <w:rPr>
          <w:i/>
        </w:rPr>
        <w:t>Non-dairy cattle</w:t>
      </w:r>
      <w:r w:rsidRPr="00256982">
        <w:t xml:space="preserve">, </w:t>
      </w:r>
      <w:r w:rsidRPr="00256982">
        <w:rPr>
          <w:i/>
        </w:rPr>
        <w:t>Sheep</w:t>
      </w:r>
      <w:r w:rsidRPr="00256982">
        <w:t xml:space="preserve"> and </w:t>
      </w:r>
      <w:r w:rsidRPr="00256982">
        <w:rPr>
          <w:i/>
        </w:rPr>
        <w:t>Deer</w:t>
      </w:r>
      <w:r w:rsidRPr="00256982">
        <w:t xml:space="preserve">) are calculated from the nitrogen intake less the nitrogen retained through digestion and in animal products, such as liveweight gain, milk, wool and velvet. Nitrogen intake is determined from the dry-matter feed intake and the nitrogen content of the feed. Feed intake and animal productivity values are the same as those used in the Tier 3 model for determining DMI (Clark et al., 2003; section 5.1.3). The nitrogen content of feed is estimated from a review of over 6,000 pasture samples from dairy systems and sheep and non-dairy (beef) systems (Ledgard et al., unpublished). </w:t>
      </w:r>
    </w:p>
    <w:p w14:paraId="540D44AD" w14:textId="4B44C553" w:rsidR="0068777C" w:rsidRPr="00256982" w:rsidRDefault="0068777C" w:rsidP="0068777C">
      <w:pPr>
        <w:pStyle w:val="BodyText"/>
      </w:pPr>
      <w:r w:rsidRPr="00256982">
        <w:t>The nitrogen content of animal products is derived from industry data. For lactating dairy cows, the nitrogen content of milk is derived from the protein content of milk, which is published annually by LIC. The nitrogen content of sheep meat, milk and</w:t>
      </w:r>
      <w:r w:rsidR="0085534A" w:rsidRPr="00256982">
        <w:t xml:space="preserve"> wool, non-dairy meat and milk, </w:t>
      </w:r>
      <w:r w:rsidRPr="00256982">
        <w:t xml:space="preserve">and the nitrogen retained in deer velvet, is taken from New Zealand research (Bown et al., 2013. </w:t>
      </w:r>
    </w:p>
    <w:p w14:paraId="1C1086E7" w14:textId="1E929579" w:rsidR="0068777C" w:rsidRPr="00256982" w:rsidRDefault="0068777C" w:rsidP="0068777C">
      <w:pPr>
        <w:pStyle w:val="BodyText"/>
      </w:pPr>
      <w:r w:rsidRPr="00256982">
        <w:t>Table 5.3.3 shows the N</w:t>
      </w:r>
      <w:r w:rsidRPr="00256982">
        <w:rPr>
          <w:vertAlign w:val="subscript"/>
        </w:rPr>
        <w:t>ex</w:t>
      </w:r>
      <w:r w:rsidRPr="00256982">
        <w:t xml:space="preserve"> rates for the major livestock categories. These rates have increased over time, reflecting the increases in animal productivity and DMI in New Zealand since 1990. Nitrogen excretion</w:t>
      </w:r>
      <w:r w:rsidRPr="00256982" w:rsidDel="00317E26">
        <w:t xml:space="preserve"> </w:t>
      </w:r>
      <w:r w:rsidRPr="00256982">
        <w:t>rates are also affected by adverse events and changes in commodity prices, which can cause</w:t>
      </w:r>
      <w:r w:rsidR="0085534A" w:rsidRPr="00256982">
        <w:t xml:space="preserve"> </w:t>
      </w:r>
      <w:r w:rsidRPr="00256982">
        <w:t>large changes in productivity and N</w:t>
      </w:r>
      <w:r w:rsidRPr="00256982">
        <w:rPr>
          <w:vertAlign w:val="subscript"/>
        </w:rPr>
        <w:t>ex</w:t>
      </w:r>
      <w:r w:rsidRPr="00256982">
        <w:t xml:space="preserve"> rates in adjacent years (see section 5.1.1). </w:t>
      </w:r>
      <w:r w:rsidRPr="00256982">
        <w:rPr>
          <w:spacing w:val="-2"/>
        </w:rPr>
        <w:t>For full details of how N</w:t>
      </w:r>
      <w:r w:rsidRPr="00256982">
        <w:rPr>
          <w:spacing w:val="-2"/>
          <w:vertAlign w:val="subscript"/>
        </w:rPr>
        <w:t>ex</w:t>
      </w:r>
      <w:r w:rsidRPr="00256982">
        <w:rPr>
          <w:spacing w:val="-2"/>
        </w:rPr>
        <w:t xml:space="preserve"> rates are derived for each livestock category, see the technical detail provided in the inventory methodology document on the Ministry for Primary Industries website</w:t>
      </w:r>
      <w:r w:rsidRPr="00256982">
        <w:t xml:space="preserve"> (</w:t>
      </w:r>
      <w:hyperlink r:id="rId122" w:anchor="model" w:history="1">
        <w:r w:rsidRPr="00256982">
          <w:t>www.mpi.govt.nz/news-and-resources/open-data-and-forecasting/greenhouse-gas-reporting/agricultural-greenhouse-gas-inventory-reports/#model</w:t>
        </w:r>
      </w:hyperlink>
      <w:r w:rsidRPr="00256982">
        <w:t xml:space="preserve">). </w:t>
      </w:r>
    </w:p>
    <w:p w14:paraId="41140E88" w14:textId="77777777" w:rsidR="0068777C" w:rsidRPr="00256982" w:rsidRDefault="0068777C" w:rsidP="0068777C">
      <w:pPr>
        <w:pStyle w:val="Table"/>
      </w:pPr>
      <w:bookmarkStart w:id="619" w:name="_Toc288316754"/>
      <w:bookmarkStart w:id="620" w:name="_Toc235955628"/>
      <w:bookmarkStart w:id="621" w:name="_Toc352504972"/>
      <w:bookmarkStart w:id="622" w:name="_Toc441830875"/>
      <w:bookmarkStart w:id="623" w:name="_Toc451176089"/>
      <w:bookmarkStart w:id="624" w:name="_Toc481751517"/>
      <w:bookmarkStart w:id="625" w:name="_Toc507158605"/>
      <w:bookmarkStart w:id="626" w:name="_Toc511116739"/>
      <w:bookmarkStart w:id="627" w:name="_Toc5269479"/>
      <w:r w:rsidRPr="00256982">
        <w:t>Table 5.3.3</w:t>
      </w:r>
      <w:r w:rsidRPr="00256982">
        <w:tab/>
        <w:t>Nitrogen excretion rates (N</w:t>
      </w:r>
      <w:r w:rsidRPr="00256982">
        <w:rPr>
          <w:vertAlign w:val="subscript"/>
        </w:rPr>
        <w:t>ex</w:t>
      </w:r>
      <w:r w:rsidRPr="00256982">
        <w:t>) for New Zealand’s major livestock categories from 1990 to </w:t>
      </w:r>
      <w:bookmarkEnd w:id="619"/>
      <w:bookmarkEnd w:id="620"/>
      <w:bookmarkEnd w:id="621"/>
      <w:bookmarkEnd w:id="622"/>
      <w:bookmarkEnd w:id="623"/>
      <w:bookmarkEnd w:id="624"/>
      <w:bookmarkEnd w:id="625"/>
      <w:bookmarkEnd w:id="626"/>
      <w:r w:rsidRPr="00256982">
        <w:t>2017</w:t>
      </w:r>
      <w:bookmarkEnd w:id="627"/>
      <w:r w:rsidRPr="00256982">
        <w:t xml:space="preserve"> </w:t>
      </w:r>
    </w:p>
    <w:tbl>
      <w:tblPr>
        <w:tblW w:w="8505" w:type="dxa"/>
        <w:tblInd w:w="108" w:type="dxa"/>
        <w:tblBorders>
          <w:top w:val="single" w:sz="4" w:space="0" w:color="365F91"/>
          <w:bottom w:val="single" w:sz="4" w:space="0" w:color="365F91"/>
          <w:insideH w:val="single" w:sz="4" w:space="0" w:color="365F91"/>
        </w:tblBorders>
        <w:tblLook w:val="0000" w:firstRow="0" w:lastRow="0" w:firstColumn="0" w:lastColumn="0" w:noHBand="0" w:noVBand="0"/>
      </w:tblPr>
      <w:tblGrid>
        <w:gridCol w:w="1351"/>
        <w:gridCol w:w="1791"/>
        <w:gridCol w:w="1791"/>
        <w:gridCol w:w="1807"/>
        <w:gridCol w:w="1765"/>
      </w:tblGrid>
      <w:tr w:rsidR="0068777C" w:rsidRPr="00256982" w14:paraId="1021A850" w14:textId="77777777" w:rsidTr="0068777C">
        <w:trPr>
          <w:tblHeader/>
        </w:trPr>
        <w:tc>
          <w:tcPr>
            <w:tcW w:w="1351" w:type="dxa"/>
            <w:shd w:val="clear" w:color="auto" w:fill="365F91"/>
            <w:noWrap/>
            <w:vAlign w:val="bottom"/>
          </w:tcPr>
          <w:p w14:paraId="397E3D3D" w14:textId="77777777" w:rsidR="0068777C" w:rsidRPr="00256982" w:rsidRDefault="0068777C" w:rsidP="0068777C">
            <w:pPr>
              <w:pStyle w:val="TableTextBold"/>
              <w:keepNext/>
              <w:spacing w:before="50" w:after="50"/>
              <w:rPr>
                <w:noProof w:val="0"/>
                <w:color w:val="FFFFFF"/>
                <w:szCs w:val="16"/>
              </w:rPr>
            </w:pPr>
            <w:r w:rsidRPr="00256982">
              <w:rPr>
                <w:noProof w:val="0"/>
                <w:color w:val="FFFFFF"/>
                <w:szCs w:val="16"/>
              </w:rPr>
              <w:t>Year</w:t>
            </w:r>
          </w:p>
        </w:tc>
        <w:tc>
          <w:tcPr>
            <w:tcW w:w="1791" w:type="dxa"/>
            <w:shd w:val="clear" w:color="auto" w:fill="365F91"/>
            <w:noWrap/>
            <w:vAlign w:val="bottom"/>
          </w:tcPr>
          <w:p w14:paraId="3B003217" w14:textId="77777777" w:rsidR="0068777C" w:rsidRPr="00256982" w:rsidRDefault="0068777C" w:rsidP="0068777C">
            <w:pPr>
              <w:pStyle w:val="TableTextBold"/>
              <w:keepNext/>
              <w:spacing w:before="50" w:after="50"/>
              <w:jc w:val="center"/>
              <w:rPr>
                <w:noProof w:val="0"/>
                <w:color w:val="FFFFFF"/>
                <w:szCs w:val="16"/>
              </w:rPr>
            </w:pPr>
            <w:r w:rsidRPr="00256982">
              <w:rPr>
                <w:noProof w:val="0"/>
                <w:color w:val="FFFFFF"/>
                <w:szCs w:val="16"/>
              </w:rPr>
              <w:t>Dairy cattle N</w:t>
            </w:r>
            <w:r w:rsidRPr="00256982">
              <w:rPr>
                <w:noProof w:val="0"/>
                <w:color w:val="FFFFFF"/>
                <w:szCs w:val="16"/>
                <w:vertAlign w:val="subscript"/>
              </w:rPr>
              <w:t>ex</w:t>
            </w:r>
            <w:r w:rsidRPr="00256982">
              <w:rPr>
                <w:noProof w:val="0"/>
                <w:color w:val="FFFFFF"/>
                <w:szCs w:val="16"/>
              </w:rPr>
              <w:t xml:space="preserve"> (kg/head/year)</w:t>
            </w:r>
          </w:p>
        </w:tc>
        <w:tc>
          <w:tcPr>
            <w:tcW w:w="1791" w:type="dxa"/>
            <w:shd w:val="clear" w:color="auto" w:fill="365F91"/>
            <w:noWrap/>
            <w:vAlign w:val="bottom"/>
          </w:tcPr>
          <w:p w14:paraId="118E6989" w14:textId="77777777" w:rsidR="0068777C" w:rsidRPr="00256982" w:rsidRDefault="0068777C" w:rsidP="0068777C">
            <w:pPr>
              <w:pStyle w:val="TableTextBold"/>
              <w:keepNext/>
              <w:spacing w:before="50" w:after="50"/>
              <w:jc w:val="center"/>
              <w:rPr>
                <w:noProof w:val="0"/>
                <w:color w:val="FFFFFF"/>
                <w:szCs w:val="16"/>
              </w:rPr>
            </w:pPr>
            <w:r w:rsidRPr="00256982">
              <w:rPr>
                <w:noProof w:val="0"/>
                <w:color w:val="FFFFFF"/>
                <w:szCs w:val="16"/>
              </w:rPr>
              <w:t>Non-dairy cattle N</w:t>
            </w:r>
            <w:r w:rsidRPr="00256982">
              <w:rPr>
                <w:noProof w:val="0"/>
                <w:color w:val="FFFFFF"/>
                <w:szCs w:val="16"/>
                <w:vertAlign w:val="subscript"/>
              </w:rPr>
              <w:t>ex</w:t>
            </w:r>
            <w:r w:rsidRPr="00256982">
              <w:rPr>
                <w:noProof w:val="0"/>
                <w:color w:val="FFFFFF"/>
                <w:szCs w:val="16"/>
              </w:rPr>
              <w:t xml:space="preserve"> (kg/head/year)</w:t>
            </w:r>
          </w:p>
        </w:tc>
        <w:tc>
          <w:tcPr>
            <w:tcW w:w="1807" w:type="dxa"/>
            <w:shd w:val="clear" w:color="auto" w:fill="365F91"/>
            <w:noWrap/>
            <w:vAlign w:val="bottom"/>
          </w:tcPr>
          <w:p w14:paraId="1F7363B2" w14:textId="77777777" w:rsidR="0068777C" w:rsidRPr="00256982" w:rsidRDefault="0068777C" w:rsidP="0068777C">
            <w:pPr>
              <w:pStyle w:val="TableTextBold"/>
              <w:keepNext/>
              <w:spacing w:before="50" w:after="50"/>
              <w:jc w:val="center"/>
              <w:rPr>
                <w:noProof w:val="0"/>
                <w:color w:val="FFFFFF"/>
                <w:szCs w:val="16"/>
              </w:rPr>
            </w:pPr>
            <w:r w:rsidRPr="00256982">
              <w:rPr>
                <w:noProof w:val="0"/>
                <w:color w:val="FFFFFF"/>
                <w:szCs w:val="16"/>
              </w:rPr>
              <w:t>Sheep N</w:t>
            </w:r>
            <w:r w:rsidRPr="00256982">
              <w:rPr>
                <w:noProof w:val="0"/>
                <w:color w:val="FFFFFF"/>
                <w:szCs w:val="16"/>
                <w:vertAlign w:val="subscript"/>
              </w:rPr>
              <w:t>ex</w:t>
            </w:r>
            <w:r w:rsidRPr="00256982">
              <w:rPr>
                <w:noProof w:val="0"/>
                <w:color w:val="FFFFFF"/>
                <w:szCs w:val="16"/>
              </w:rPr>
              <w:t xml:space="preserve"> (kg/head/year)</w:t>
            </w:r>
          </w:p>
        </w:tc>
        <w:tc>
          <w:tcPr>
            <w:tcW w:w="1765" w:type="dxa"/>
            <w:shd w:val="clear" w:color="auto" w:fill="365F91"/>
            <w:noWrap/>
            <w:vAlign w:val="bottom"/>
          </w:tcPr>
          <w:p w14:paraId="28C45C9C" w14:textId="77777777" w:rsidR="0068777C" w:rsidRPr="00256982" w:rsidRDefault="0068777C" w:rsidP="0068777C">
            <w:pPr>
              <w:pStyle w:val="TableTextBold"/>
              <w:keepNext/>
              <w:spacing w:before="50" w:after="50"/>
              <w:jc w:val="center"/>
              <w:rPr>
                <w:noProof w:val="0"/>
                <w:color w:val="FFFFFF"/>
                <w:szCs w:val="16"/>
              </w:rPr>
            </w:pPr>
            <w:r w:rsidRPr="00256982">
              <w:rPr>
                <w:noProof w:val="0"/>
                <w:color w:val="FFFFFF"/>
                <w:szCs w:val="16"/>
              </w:rPr>
              <w:t>Deer N</w:t>
            </w:r>
            <w:r w:rsidRPr="00256982">
              <w:rPr>
                <w:noProof w:val="0"/>
                <w:color w:val="FFFFFF"/>
                <w:szCs w:val="16"/>
                <w:vertAlign w:val="subscript"/>
              </w:rPr>
              <w:t>ex</w:t>
            </w:r>
            <w:r w:rsidRPr="00256982">
              <w:rPr>
                <w:noProof w:val="0"/>
                <w:color w:val="FFFFFF"/>
                <w:szCs w:val="16"/>
              </w:rPr>
              <w:t xml:space="preserve"> (kg/head/year)</w:t>
            </w:r>
          </w:p>
        </w:tc>
      </w:tr>
      <w:tr w:rsidR="0068777C" w:rsidRPr="00256982" w14:paraId="77FA78D6" w14:textId="77777777" w:rsidTr="0068777C">
        <w:tc>
          <w:tcPr>
            <w:tcW w:w="1351" w:type="dxa"/>
            <w:tcBorders>
              <w:top w:val="single" w:sz="4" w:space="0" w:color="365F91"/>
              <w:bottom w:val="single" w:sz="4" w:space="0" w:color="365F91"/>
            </w:tcBorders>
            <w:noWrap/>
          </w:tcPr>
          <w:p w14:paraId="7642BE28" w14:textId="77777777" w:rsidR="0068777C" w:rsidRPr="00256982" w:rsidRDefault="0068777C" w:rsidP="00AD05B0">
            <w:pPr>
              <w:pStyle w:val="TableText"/>
              <w:keepNext/>
              <w:spacing w:before="50" w:after="50"/>
            </w:pPr>
            <w:r w:rsidRPr="00256982">
              <w:t>1990</w:t>
            </w:r>
          </w:p>
        </w:tc>
        <w:tc>
          <w:tcPr>
            <w:tcW w:w="1791" w:type="dxa"/>
            <w:tcBorders>
              <w:top w:val="single" w:sz="4" w:space="0" w:color="365F91"/>
              <w:bottom w:val="single" w:sz="4" w:space="0" w:color="365F91"/>
            </w:tcBorders>
            <w:shd w:val="clear" w:color="auto" w:fill="auto"/>
            <w:noWrap/>
            <w:vAlign w:val="bottom"/>
          </w:tcPr>
          <w:p w14:paraId="7985EE1A" w14:textId="77777777" w:rsidR="0068777C" w:rsidRPr="00256982" w:rsidRDefault="0068777C" w:rsidP="00AD05B0">
            <w:pPr>
              <w:pStyle w:val="TableText"/>
              <w:spacing w:before="50" w:after="50"/>
              <w:jc w:val="center"/>
            </w:pPr>
            <w:r w:rsidRPr="00256982">
              <w:t>103.6</w:t>
            </w:r>
          </w:p>
        </w:tc>
        <w:tc>
          <w:tcPr>
            <w:tcW w:w="1791" w:type="dxa"/>
            <w:tcBorders>
              <w:top w:val="single" w:sz="4" w:space="0" w:color="365F91"/>
              <w:bottom w:val="single" w:sz="4" w:space="0" w:color="365F91"/>
            </w:tcBorders>
            <w:shd w:val="clear" w:color="auto" w:fill="auto"/>
            <w:noWrap/>
            <w:vAlign w:val="bottom"/>
          </w:tcPr>
          <w:p w14:paraId="220C591A" w14:textId="77777777" w:rsidR="0068777C" w:rsidRPr="00256982" w:rsidRDefault="0068777C" w:rsidP="00AD05B0">
            <w:pPr>
              <w:pStyle w:val="TableText"/>
              <w:spacing w:before="50" w:after="50"/>
              <w:jc w:val="center"/>
            </w:pPr>
            <w:r w:rsidRPr="00256982">
              <w:t>64.</w:t>
            </w:r>
            <w:r w:rsidRPr="00256982">
              <w:rPr>
                <w:rFonts w:cs="Arial"/>
              </w:rPr>
              <w:t>1</w:t>
            </w:r>
          </w:p>
        </w:tc>
        <w:tc>
          <w:tcPr>
            <w:tcW w:w="1807" w:type="dxa"/>
            <w:tcBorders>
              <w:top w:val="single" w:sz="4" w:space="0" w:color="365F91"/>
              <w:bottom w:val="single" w:sz="4" w:space="0" w:color="365F91"/>
            </w:tcBorders>
            <w:shd w:val="clear" w:color="auto" w:fill="auto"/>
            <w:noWrap/>
            <w:vAlign w:val="bottom"/>
          </w:tcPr>
          <w:p w14:paraId="4EC30573" w14:textId="77777777" w:rsidR="0068777C" w:rsidRPr="00256982" w:rsidRDefault="0068777C" w:rsidP="00AD05B0">
            <w:pPr>
              <w:pStyle w:val="TableText"/>
              <w:spacing w:before="50" w:after="50"/>
              <w:jc w:val="center"/>
            </w:pPr>
            <w:r w:rsidRPr="00256982">
              <w:t>12.</w:t>
            </w:r>
            <w:r w:rsidRPr="00256982">
              <w:rPr>
                <w:rFonts w:cs="Arial"/>
              </w:rPr>
              <w:t>9</w:t>
            </w:r>
          </w:p>
        </w:tc>
        <w:tc>
          <w:tcPr>
            <w:tcW w:w="1765" w:type="dxa"/>
            <w:tcBorders>
              <w:top w:val="single" w:sz="4" w:space="0" w:color="365F91"/>
              <w:bottom w:val="single" w:sz="4" w:space="0" w:color="365F91"/>
            </w:tcBorders>
            <w:shd w:val="clear" w:color="auto" w:fill="auto"/>
            <w:noWrap/>
            <w:vAlign w:val="bottom"/>
          </w:tcPr>
          <w:p w14:paraId="2AB4DFCD" w14:textId="77777777" w:rsidR="0068777C" w:rsidRPr="00256982" w:rsidRDefault="0068777C" w:rsidP="00AD05B0">
            <w:pPr>
              <w:pStyle w:val="TableText"/>
              <w:spacing w:before="50" w:after="50"/>
              <w:jc w:val="center"/>
            </w:pPr>
            <w:r w:rsidRPr="00256982">
              <w:t>26.</w:t>
            </w:r>
            <w:r w:rsidRPr="00256982">
              <w:rPr>
                <w:rFonts w:cs="Arial"/>
              </w:rPr>
              <w:t>4</w:t>
            </w:r>
          </w:p>
        </w:tc>
      </w:tr>
      <w:tr w:rsidR="0068777C" w:rsidRPr="00256982" w14:paraId="29A1111B" w14:textId="77777777" w:rsidTr="0068777C">
        <w:tc>
          <w:tcPr>
            <w:tcW w:w="1351" w:type="dxa"/>
            <w:tcBorders>
              <w:top w:val="single" w:sz="4" w:space="0" w:color="365F91"/>
              <w:bottom w:val="single" w:sz="4" w:space="0" w:color="365F91"/>
            </w:tcBorders>
            <w:noWrap/>
          </w:tcPr>
          <w:p w14:paraId="5EFAA0E0" w14:textId="77777777" w:rsidR="0068777C" w:rsidRPr="00256982" w:rsidRDefault="0068777C" w:rsidP="00AD05B0">
            <w:pPr>
              <w:pStyle w:val="TableText"/>
              <w:keepNext/>
              <w:spacing w:before="50" w:after="50"/>
            </w:pPr>
            <w:r w:rsidRPr="00256982">
              <w:t>1991</w:t>
            </w:r>
          </w:p>
        </w:tc>
        <w:tc>
          <w:tcPr>
            <w:tcW w:w="1791" w:type="dxa"/>
            <w:tcBorders>
              <w:top w:val="single" w:sz="4" w:space="0" w:color="365F91"/>
              <w:bottom w:val="single" w:sz="4" w:space="0" w:color="365F91"/>
            </w:tcBorders>
            <w:shd w:val="clear" w:color="auto" w:fill="auto"/>
            <w:noWrap/>
            <w:vAlign w:val="bottom"/>
          </w:tcPr>
          <w:p w14:paraId="4FFAAA62" w14:textId="77777777" w:rsidR="0068777C" w:rsidRPr="00256982" w:rsidRDefault="0068777C" w:rsidP="00AD05B0">
            <w:pPr>
              <w:pStyle w:val="TableText"/>
              <w:spacing w:before="50" w:after="50"/>
              <w:jc w:val="center"/>
            </w:pPr>
            <w:r w:rsidRPr="00256982">
              <w:t>107.6</w:t>
            </w:r>
          </w:p>
        </w:tc>
        <w:tc>
          <w:tcPr>
            <w:tcW w:w="1791" w:type="dxa"/>
            <w:tcBorders>
              <w:top w:val="single" w:sz="4" w:space="0" w:color="365F91"/>
              <w:bottom w:val="single" w:sz="4" w:space="0" w:color="365F91"/>
            </w:tcBorders>
            <w:shd w:val="clear" w:color="auto" w:fill="auto"/>
            <w:noWrap/>
            <w:vAlign w:val="bottom"/>
          </w:tcPr>
          <w:p w14:paraId="5E6758DA" w14:textId="77777777" w:rsidR="0068777C" w:rsidRPr="00256982" w:rsidRDefault="0068777C" w:rsidP="00AD05B0">
            <w:pPr>
              <w:pStyle w:val="TableText"/>
              <w:spacing w:before="50" w:after="50"/>
              <w:jc w:val="center"/>
            </w:pPr>
            <w:r w:rsidRPr="00256982">
              <w:rPr>
                <w:rFonts w:cs="Arial"/>
              </w:rPr>
              <w:t>66.0</w:t>
            </w:r>
          </w:p>
        </w:tc>
        <w:tc>
          <w:tcPr>
            <w:tcW w:w="1807" w:type="dxa"/>
            <w:tcBorders>
              <w:top w:val="single" w:sz="4" w:space="0" w:color="365F91"/>
              <w:bottom w:val="single" w:sz="4" w:space="0" w:color="365F91"/>
            </w:tcBorders>
            <w:shd w:val="clear" w:color="auto" w:fill="auto"/>
            <w:noWrap/>
            <w:vAlign w:val="bottom"/>
          </w:tcPr>
          <w:p w14:paraId="3DC88893" w14:textId="77777777" w:rsidR="0068777C" w:rsidRPr="00256982" w:rsidRDefault="0068777C" w:rsidP="00AD05B0">
            <w:pPr>
              <w:pStyle w:val="TableText"/>
              <w:spacing w:before="50" w:after="50"/>
              <w:jc w:val="center"/>
            </w:pPr>
            <w:r w:rsidRPr="00256982">
              <w:t>13.</w:t>
            </w:r>
            <w:r w:rsidRPr="00256982">
              <w:rPr>
                <w:rFonts w:cs="Arial"/>
              </w:rPr>
              <w:t>2</w:t>
            </w:r>
          </w:p>
        </w:tc>
        <w:tc>
          <w:tcPr>
            <w:tcW w:w="1765" w:type="dxa"/>
            <w:tcBorders>
              <w:top w:val="single" w:sz="4" w:space="0" w:color="365F91"/>
              <w:bottom w:val="single" w:sz="4" w:space="0" w:color="365F91"/>
            </w:tcBorders>
            <w:shd w:val="clear" w:color="auto" w:fill="auto"/>
            <w:noWrap/>
            <w:vAlign w:val="bottom"/>
          </w:tcPr>
          <w:p w14:paraId="512C4006" w14:textId="77777777" w:rsidR="0068777C" w:rsidRPr="00256982" w:rsidRDefault="0068777C" w:rsidP="00AD05B0">
            <w:pPr>
              <w:pStyle w:val="TableText"/>
              <w:spacing w:before="50" w:after="50"/>
              <w:jc w:val="center"/>
            </w:pPr>
            <w:r w:rsidRPr="00256982">
              <w:t>27.</w:t>
            </w:r>
            <w:r w:rsidRPr="00256982">
              <w:rPr>
                <w:rFonts w:cs="Arial"/>
              </w:rPr>
              <w:t>0</w:t>
            </w:r>
          </w:p>
        </w:tc>
      </w:tr>
      <w:tr w:rsidR="0068777C" w:rsidRPr="00256982" w14:paraId="29A43BF4" w14:textId="77777777" w:rsidTr="0068777C">
        <w:tc>
          <w:tcPr>
            <w:tcW w:w="1351" w:type="dxa"/>
            <w:tcBorders>
              <w:top w:val="single" w:sz="4" w:space="0" w:color="365F91"/>
              <w:bottom w:val="single" w:sz="4" w:space="0" w:color="365F91"/>
            </w:tcBorders>
            <w:noWrap/>
          </w:tcPr>
          <w:p w14:paraId="2319F401" w14:textId="77777777" w:rsidR="0068777C" w:rsidRPr="00256982" w:rsidRDefault="0068777C" w:rsidP="00AD05B0">
            <w:pPr>
              <w:pStyle w:val="TableText"/>
              <w:spacing w:before="50" w:after="50"/>
            </w:pPr>
            <w:r w:rsidRPr="00256982">
              <w:t>1992</w:t>
            </w:r>
          </w:p>
        </w:tc>
        <w:tc>
          <w:tcPr>
            <w:tcW w:w="1791" w:type="dxa"/>
            <w:tcBorders>
              <w:top w:val="single" w:sz="4" w:space="0" w:color="365F91"/>
              <w:bottom w:val="single" w:sz="4" w:space="0" w:color="365F91"/>
            </w:tcBorders>
            <w:shd w:val="clear" w:color="auto" w:fill="auto"/>
            <w:noWrap/>
            <w:vAlign w:val="bottom"/>
          </w:tcPr>
          <w:p w14:paraId="35B290DF" w14:textId="77777777" w:rsidR="0068777C" w:rsidRPr="00256982" w:rsidRDefault="0068777C" w:rsidP="00AD05B0">
            <w:pPr>
              <w:pStyle w:val="TableText"/>
              <w:spacing w:before="50" w:after="50"/>
              <w:jc w:val="center"/>
            </w:pPr>
            <w:r w:rsidRPr="00256982">
              <w:t>108.3</w:t>
            </w:r>
          </w:p>
        </w:tc>
        <w:tc>
          <w:tcPr>
            <w:tcW w:w="1791" w:type="dxa"/>
            <w:tcBorders>
              <w:top w:val="single" w:sz="4" w:space="0" w:color="365F91"/>
              <w:bottom w:val="single" w:sz="4" w:space="0" w:color="365F91"/>
            </w:tcBorders>
            <w:shd w:val="clear" w:color="auto" w:fill="auto"/>
            <w:noWrap/>
            <w:vAlign w:val="bottom"/>
          </w:tcPr>
          <w:p w14:paraId="1E6C91EE" w14:textId="77777777" w:rsidR="0068777C" w:rsidRPr="00256982" w:rsidRDefault="0068777C" w:rsidP="00AD05B0">
            <w:pPr>
              <w:pStyle w:val="TableText"/>
              <w:spacing w:before="50" w:after="50"/>
              <w:jc w:val="center"/>
            </w:pPr>
            <w:r w:rsidRPr="00256982">
              <w:rPr>
                <w:rFonts w:cs="Arial"/>
              </w:rPr>
              <w:t>67.0</w:t>
            </w:r>
          </w:p>
        </w:tc>
        <w:tc>
          <w:tcPr>
            <w:tcW w:w="1807" w:type="dxa"/>
            <w:tcBorders>
              <w:top w:val="single" w:sz="4" w:space="0" w:color="365F91"/>
              <w:bottom w:val="single" w:sz="4" w:space="0" w:color="365F91"/>
            </w:tcBorders>
            <w:shd w:val="clear" w:color="auto" w:fill="auto"/>
            <w:noWrap/>
            <w:vAlign w:val="bottom"/>
          </w:tcPr>
          <w:p w14:paraId="462725E9" w14:textId="77777777" w:rsidR="0068777C" w:rsidRPr="00256982" w:rsidRDefault="0068777C" w:rsidP="00AD05B0">
            <w:pPr>
              <w:pStyle w:val="TableText"/>
              <w:spacing w:before="50" w:after="50"/>
              <w:jc w:val="center"/>
            </w:pPr>
            <w:r w:rsidRPr="00256982">
              <w:t>13.</w:t>
            </w:r>
            <w:r w:rsidRPr="00256982">
              <w:rPr>
                <w:rFonts w:cs="Arial"/>
              </w:rPr>
              <w:t>1</w:t>
            </w:r>
          </w:p>
        </w:tc>
        <w:tc>
          <w:tcPr>
            <w:tcW w:w="1765" w:type="dxa"/>
            <w:tcBorders>
              <w:top w:val="single" w:sz="4" w:space="0" w:color="365F91"/>
              <w:bottom w:val="single" w:sz="4" w:space="0" w:color="365F91"/>
            </w:tcBorders>
            <w:shd w:val="clear" w:color="auto" w:fill="auto"/>
            <w:noWrap/>
            <w:vAlign w:val="bottom"/>
          </w:tcPr>
          <w:p w14:paraId="66E63C4D" w14:textId="77777777" w:rsidR="0068777C" w:rsidRPr="00256982" w:rsidRDefault="0068777C" w:rsidP="00AD05B0">
            <w:pPr>
              <w:pStyle w:val="TableText"/>
              <w:spacing w:before="50" w:after="50"/>
              <w:jc w:val="center"/>
            </w:pPr>
            <w:r w:rsidRPr="00256982">
              <w:t>28.</w:t>
            </w:r>
            <w:r w:rsidRPr="00256982">
              <w:rPr>
                <w:rFonts w:cs="Arial"/>
              </w:rPr>
              <w:t>2</w:t>
            </w:r>
          </w:p>
        </w:tc>
      </w:tr>
      <w:tr w:rsidR="0068777C" w:rsidRPr="00256982" w14:paraId="1DE64C95" w14:textId="77777777" w:rsidTr="0068777C">
        <w:tc>
          <w:tcPr>
            <w:tcW w:w="1351" w:type="dxa"/>
            <w:tcBorders>
              <w:top w:val="single" w:sz="4" w:space="0" w:color="365F91"/>
              <w:bottom w:val="single" w:sz="4" w:space="0" w:color="365F91"/>
            </w:tcBorders>
            <w:noWrap/>
          </w:tcPr>
          <w:p w14:paraId="1C9CBB49" w14:textId="77777777" w:rsidR="0068777C" w:rsidRPr="00256982" w:rsidRDefault="0068777C" w:rsidP="00AD05B0">
            <w:pPr>
              <w:pStyle w:val="TableText"/>
              <w:spacing w:before="50" w:after="50"/>
            </w:pPr>
            <w:r w:rsidRPr="00256982">
              <w:t>1993</w:t>
            </w:r>
          </w:p>
        </w:tc>
        <w:tc>
          <w:tcPr>
            <w:tcW w:w="1791" w:type="dxa"/>
            <w:tcBorders>
              <w:top w:val="single" w:sz="4" w:space="0" w:color="365F91"/>
              <w:bottom w:val="single" w:sz="4" w:space="0" w:color="365F91"/>
            </w:tcBorders>
            <w:shd w:val="clear" w:color="auto" w:fill="auto"/>
            <w:noWrap/>
            <w:vAlign w:val="bottom"/>
          </w:tcPr>
          <w:p w14:paraId="43C9A979" w14:textId="77777777" w:rsidR="0068777C" w:rsidRPr="00256982" w:rsidRDefault="0068777C" w:rsidP="00AD05B0">
            <w:pPr>
              <w:pStyle w:val="TableText"/>
              <w:spacing w:before="50" w:after="50"/>
              <w:jc w:val="center"/>
            </w:pPr>
            <w:r w:rsidRPr="00256982">
              <w:t>109.6</w:t>
            </w:r>
          </w:p>
        </w:tc>
        <w:tc>
          <w:tcPr>
            <w:tcW w:w="1791" w:type="dxa"/>
            <w:tcBorders>
              <w:top w:val="single" w:sz="4" w:space="0" w:color="365F91"/>
              <w:bottom w:val="single" w:sz="4" w:space="0" w:color="365F91"/>
            </w:tcBorders>
            <w:shd w:val="clear" w:color="auto" w:fill="auto"/>
            <w:noWrap/>
            <w:vAlign w:val="bottom"/>
          </w:tcPr>
          <w:p w14:paraId="2A776B83" w14:textId="77777777" w:rsidR="0068777C" w:rsidRPr="00256982" w:rsidRDefault="0068777C" w:rsidP="00AD05B0">
            <w:pPr>
              <w:pStyle w:val="TableText"/>
              <w:spacing w:before="50" w:after="50"/>
              <w:jc w:val="center"/>
            </w:pPr>
            <w:r w:rsidRPr="00256982">
              <w:t>68.</w:t>
            </w:r>
            <w:r w:rsidRPr="00256982">
              <w:rPr>
                <w:rFonts w:cs="Arial"/>
              </w:rPr>
              <w:t>1</w:t>
            </w:r>
          </w:p>
        </w:tc>
        <w:tc>
          <w:tcPr>
            <w:tcW w:w="1807" w:type="dxa"/>
            <w:tcBorders>
              <w:top w:val="single" w:sz="4" w:space="0" w:color="365F91"/>
              <w:bottom w:val="single" w:sz="4" w:space="0" w:color="365F91"/>
            </w:tcBorders>
            <w:shd w:val="clear" w:color="auto" w:fill="auto"/>
            <w:noWrap/>
            <w:vAlign w:val="bottom"/>
          </w:tcPr>
          <w:p w14:paraId="4264514A" w14:textId="77777777" w:rsidR="0068777C" w:rsidRPr="00256982" w:rsidRDefault="0068777C" w:rsidP="00AD05B0">
            <w:pPr>
              <w:pStyle w:val="TableText"/>
              <w:spacing w:before="50" w:after="50"/>
              <w:jc w:val="center"/>
            </w:pPr>
            <w:r w:rsidRPr="00256982">
              <w:t>13.</w:t>
            </w:r>
            <w:r w:rsidRPr="00256982">
              <w:rPr>
                <w:rFonts w:cs="Arial"/>
              </w:rPr>
              <w:t>5</w:t>
            </w:r>
          </w:p>
        </w:tc>
        <w:tc>
          <w:tcPr>
            <w:tcW w:w="1765" w:type="dxa"/>
            <w:tcBorders>
              <w:top w:val="single" w:sz="4" w:space="0" w:color="365F91"/>
              <w:bottom w:val="single" w:sz="4" w:space="0" w:color="365F91"/>
            </w:tcBorders>
            <w:shd w:val="clear" w:color="auto" w:fill="auto"/>
            <w:noWrap/>
            <w:vAlign w:val="bottom"/>
          </w:tcPr>
          <w:p w14:paraId="1D8F4F6A" w14:textId="77777777" w:rsidR="0068777C" w:rsidRPr="00256982" w:rsidRDefault="0068777C" w:rsidP="00AD05B0">
            <w:pPr>
              <w:pStyle w:val="TableText"/>
              <w:spacing w:before="50" w:after="50"/>
              <w:jc w:val="center"/>
            </w:pPr>
            <w:r w:rsidRPr="00256982">
              <w:t>28.</w:t>
            </w:r>
            <w:r w:rsidRPr="00256982">
              <w:rPr>
                <w:rFonts w:cs="Arial"/>
              </w:rPr>
              <w:t>8</w:t>
            </w:r>
          </w:p>
        </w:tc>
      </w:tr>
      <w:tr w:rsidR="0068777C" w:rsidRPr="00256982" w14:paraId="016CF046" w14:textId="77777777" w:rsidTr="0068777C">
        <w:tc>
          <w:tcPr>
            <w:tcW w:w="1351" w:type="dxa"/>
            <w:tcBorders>
              <w:top w:val="single" w:sz="4" w:space="0" w:color="365F91"/>
              <w:bottom w:val="single" w:sz="4" w:space="0" w:color="365F91"/>
            </w:tcBorders>
            <w:noWrap/>
          </w:tcPr>
          <w:p w14:paraId="2714B703" w14:textId="77777777" w:rsidR="0068777C" w:rsidRPr="00256982" w:rsidRDefault="0068777C" w:rsidP="00AD05B0">
            <w:pPr>
              <w:pStyle w:val="TableText"/>
              <w:spacing w:before="50" w:after="50"/>
            </w:pPr>
            <w:r w:rsidRPr="00256982">
              <w:t>1994</w:t>
            </w:r>
          </w:p>
        </w:tc>
        <w:tc>
          <w:tcPr>
            <w:tcW w:w="1791" w:type="dxa"/>
            <w:tcBorders>
              <w:top w:val="single" w:sz="4" w:space="0" w:color="365F91"/>
              <w:bottom w:val="single" w:sz="4" w:space="0" w:color="365F91"/>
            </w:tcBorders>
            <w:shd w:val="clear" w:color="auto" w:fill="auto"/>
            <w:noWrap/>
            <w:vAlign w:val="bottom"/>
          </w:tcPr>
          <w:p w14:paraId="60BDC17C" w14:textId="77777777" w:rsidR="0068777C" w:rsidRPr="00256982" w:rsidRDefault="0068777C" w:rsidP="00AD05B0">
            <w:pPr>
              <w:pStyle w:val="TableText"/>
              <w:spacing w:before="50" w:after="50"/>
              <w:jc w:val="center"/>
            </w:pPr>
            <w:r w:rsidRPr="00256982">
              <w:t>107.5</w:t>
            </w:r>
          </w:p>
        </w:tc>
        <w:tc>
          <w:tcPr>
            <w:tcW w:w="1791" w:type="dxa"/>
            <w:tcBorders>
              <w:top w:val="single" w:sz="4" w:space="0" w:color="365F91"/>
              <w:bottom w:val="single" w:sz="4" w:space="0" w:color="365F91"/>
            </w:tcBorders>
            <w:shd w:val="clear" w:color="auto" w:fill="auto"/>
            <w:noWrap/>
            <w:vAlign w:val="bottom"/>
          </w:tcPr>
          <w:p w14:paraId="6AB49241" w14:textId="77777777" w:rsidR="0068777C" w:rsidRPr="00256982" w:rsidRDefault="0068777C" w:rsidP="00AD05B0">
            <w:pPr>
              <w:pStyle w:val="TableText"/>
              <w:spacing w:before="50" w:after="50"/>
              <w:jc w:val="center"/>
            </w:pPr>
            <w:r w:rsidRPr="00256982">
              <w:t>68.</w:t>
            </w:r>
            <w:r w:rsidRPr="00256982">
              <w:rPr>
                <w:rFonts w:cs="Arial"/>
              </w:rPr>
              <w:t>7</w:t>
            </w:r>
          </w:p>
        </w:tc>
        <w:tc>
          <w:tcPr>
            <w:tcW w:w="1807" w:type="dxa"/>
            <w:tcBorders>
              <w:top w:val="single" w:sz="4" w:space="0" w:color="365F91"/>
              <w:bottom w:val="single" w:sz="4" w:space="0" w:color="365F91"/>
            </w:tcBorders>
            <w:shd w:val="clear" w:color="auto" w:fill="auto"/>
            <w:noWrap/>
            <w:vAlign w:val="bottom"/>
          </w:tcPr>
          <w:p w14:paraId="2C5BAA25" w14:textId="77777777" w:rsidR="0068777C" w:rsidRPr="00256982" w:rsidRDefault="0068777C" w:rsidP="00AD05B0">
            <w:pPr>
              <w:pStyle w:val="TableText"/>
              <w:spacing w:before="50" w:after="50"/>
              <w:jc w:val="center"/>
            </w:pPr>
            <w:r w:rsidRPr="00256982">
              <w:t>13.</w:t>
            </w:r>
            <w:r w:rsidRPr="00256982">
              <w:rPr>
                <w:rFonts w:cs="Arial"/>
              </w:rPr>
              <w:t>7</w:t>
            </w:r>
          </w:p>
        </w:tc>
        <w:tc>
          <w:tcPr>
            <w:tcW w:w="1765" w:type="dxa"/>
            <w:tcBorders>
              <w:top w:val="single" w:sz="4" w:space="0" w:color="365F91"/>
              <w:bottom w:val="single" w:sz="4" w:space="0" w:color="365F91"/>
            </w:tcBorders>
            <w:shd w:val="clear" w:color="auto" w:fill="auto"/>
            <w:noWrap/>
            <w:vAlign w:val="bottom"/>
          </w:tcPr>
          <w:p w14:paraId="539B21CF" w14:textId="77777777" w:rsidR="0068777C" w:rsidRPr="00256982" w:rsidRDefault="0068777C" w:rsidP="00AD05B0">
            <w:pPr>
              <w:pStyle w:val="TableText"/>
              <w:spacing w:before="50" w:after="50"/>
              <w:jc w:val="center"/>
            </w:pPr>
            <w:r w:rsidRPr="00256982">
              <w:t>28.</w:t>
            </w:r>
            <w:r w:rsidRPr="00256982">
              <w:rPr>
                <w:rFonts w:cs="Arial"/>
              </w:rPr>
              <w:t>1</w:t>
            </w:r>
          </w:p>
        </w:tc>
      </w:tr>
      <w:tr w:rsidR="0068777C" w:rsidRPr="00256982" w14:paraId="4233A7D7" w14:textId="77777777" w:rsidTr="0068777C">
        <w:tc>
          <w:tcPr>
            <w:tcW w:w="1351" w:type="dxa"/>
            <w:tcBorders>
              <w:top w:val="single" w:sz="4" w:space="0" w:color="365F91"/>
              <w:bottom w:val="single" w:sz="4" w:space="0" w:color="365F91"/>
            </w:tcBorders>
            <w:noWrap/>
          </w:tcPr>
          <w:p w14:paraId="4B4A5A63" w14:textId="77777777" w:rsidR="0068777C" w:rsidRPr="00256982" w:rsidRDefault="0068777C" w:rsidP="00AD05B0">
            <w:pPr>
              <w:pStyle w:val="TableText"/>
              <w:spacing w:before="50" w:after="50"/>
            </w:pPr>
            <w:r w:rsidRPr="00256982">
              <w:t>1995</w:t>
            </w:r>
          </w:p>
        </w:tc>
        <w:tc>
          <w:tcPr>
            <w:tcW w:w="1791" w:type="dxa"/>
            <w:tcBorders>
              <w:top w:val="single" w:sz="4" w:space="0" w:color="365F91"/>
              <w:bottom w:val="single" w:sz="4" w:space="0" w:color="365F91"/>
            </w:tcBorders>
            <w:shd w:val="clear" w:color="auto" w:fill="auto"/>
            <w:noWrap/>
            <w:vAlign w:val="bottom"/>
          </w:tcPr>
          <w:p w14:paraId="7E7A6134" w14:textId="77777777" w:rsidR="0068777C" w:rsidRPr="00256982" w:rsidRDefault="0068777C" w:rsidP="00AD05B0">
            <w:pPr>
              <w:pStyle w:val="TableText"/>
              <w:spacing w:before="50" w:after="50"/>
              <w:jc w:val="center"/>
            </w:pPr>
            <w:r w:rsidRPr="00256982">
              <w:t>107.2</w:t>
            </w:r>
          </w:p>
        </w:tc>
        <w:tc>
          <w:tcPr>
            <w:tcW w:w="1791" w:type="dxa"/>
            <w:tcBorders>
              <w:top w:val="single" w:sz="4" w:space="0" w:color="365F91"/>
              <w:bottom w:val="single" w:sz="4" w:space="0" w:color="365F91"/>
            </w:tcBorders>
            <w:shd w:val="clear" w:color="auto" w:fill="auto"/>
            <w:noWrap/>
            <w:vAlign w:val="bottom"/>
          </w:tcPr>
          <w:p w14:paraId="37EFFA02" w14:textId="77777777" w:rsidR="0068777C" w:rsidRPr="00256982" w:rsidRDefault="0068777C" w:rsidP="00AD05B0">
            <w:pPr>
              <w:pStyle w:val="TableText"/>
              <w:spacing w:before="50" w:after="50"/>
              <w:jc w:val="center"/>
            </w:pPr>
            <w:r w:rsidRPr="00256982">
              <w:t>68.</w:t>
            </w:r>
            <w:r w:rsidRPr="00256982">
              <w:rPr>
                <w:rFonts w:cs="Arial"/>
              </w:rPr>
              <w:t>1</w:t>
            </w:r>
          </w:p>
        </w:tc>
        <w:tc>
          <w:tcPr>
            <w:tcW w:w="1807" w:type="dxa"/>
            <w:tcBorders>
              <w:top w:val="single" w:sz="4" w:space="0" w:color="365F91"/>
              <w:bottom w:val="single" w:sz="4" w:space="0" w:color="365F91"/>
            </w:tcBorders>
            <w:shd w:val="clear" w:color="auto" w:fill="auto"/>
            <w:noWrap/>
            <w:vAlign w:val="bottom"/>
          </w:tcPr>
          <w:p w14:paraId="0C56EAC8" w14:textId="77777777" w:rsidR="0068777C" w:rsidRPr="00256982" w:rsidRDefault="0068777C" w:rsidP="00AD05B0">
            <w:pPr>
              <w:pStyle w:val="TableText"/>
              <w:spacing w:before="50" w:after="50"/>
              <w:jc w:val="center"/>
            </w:pPr>
            <w:r w:rsidRPr="00256982">
              <w:t>13.</w:t>
            </w:r>
            <w:r w:rsidRPr="00256982">
              <w:rPr>
                <w:rFonts w:cs="Arial"/>
              </w:rPr>
              <w:t>6</w:t>
            </w:r>
          </w:p>
        </w:tc>
        <w:tc>
          <w:tcPr>
            <w:tcW w:w="1765" w:type="dxa"/>
            <w:tcBorders>
              <w:top w:val="single" w:sz="4" w:space="0" w:color="365F91"/>
              <w:bottom w:val="single" w:sz="4" w:space="0" w:color="365F91"/>
            </w:tcBorders>
            <w:shd w:val="clear" w:color="auto" w:fill="auto"/>
            <w:noWrap/>
            <w:vAlign w:val="bottom"/>
          </w:tcPr>
          <w:p w14:paraId="7D79BC24" w14:textId="77777777" w:rsidR="0068777C" w:rsidRPr="00256982" w:rsidRDefault="0068777C" w:rsidP="00AD05B0">
            <w:pPr>
              <w:pStyle w:val="TableText"/>
              <w:spacing w:before="50" w:after="50"/>
              <w:jc w:val="center"/>
            </w:pPr>
            <w:r w:rsidRPr="00256982">
              <w:t>29.</w:t>
            </w:r>
            <w:r w:rsidRPr="00256982">
              <w:rPr>
                <w:rFonts w:cs="Arial"/>
              </w:rPr>
              <w:t>3</w:t>
            </w:r>
          </w:p>
        </w:tc>
      </w:tr>
      <w:tr w:rsidR="0068777C" w:rsidRPr="00256982" w14:paraId="518187B9" w14:textId="77777777" w:rsidTr="0068777C">
        <w:tc>
          <w:tcPr>
            <w:tcW w:w="1351" w:type="dxa"/>
            <w:tcBorders>
              <w:top w:val="single" w:sz="4" w:space="0" w:color="365F91"/>
              <w:bottom w:val="single" w:sz="4" w:space="0" w:color="365F91"/>
            </w:tcBorders>
            <w:noWrap/>
          </w:tcPr>
          <w:p w14:paraId="52BAB932" w14:textId="77777777" w:rsidR="0068777C" w:rsidRPr="00256982" w:rsidRDefault="0068777C" w:rsidP="00AD05B0">
            <w:pPr>
              <w:pStyle w:val="TableText"/>
              <w:spacing w:before="50" w:after="50"/>
            </w:pPr>
            <w:r w:rsidRPr="00256982">
              <w:t>1996</w:t>
            </w:r>
          </w:p>
        </w:tc>
        <w:tc>
          <w:tcPr>
            <w:tcW w:w="1791" w:type="dxa"/>
            <w:tcBorders>
              <w:top w:val="single" w:sz="4" w:space="0" w:color="365F91"/>
              <w:bottom w:val="single" w:sz="4" w:space="0" w:color="365F91"/>
            </w:tcBorders>
            <w:shd w:val="clear" w:color="auto" w:fill="auto"/>
            <w:noWrap/>
            <w:vAlign w:val="bottom"/>
          </w:tcPr>
          <w:p w14:paraId="605FA80D" w14:textId="77777777" w:rsidR="0068777C" w:rsidRPr="00256982" w:rsidRDefault="0068777C" w:rsidP="00AD05B0">
            <w:pPr>
              <w:pStyle w:val="TableText"/>
              <w:spacing w:before="50" w:after="50"/>
              <w:jc w:val="center"/>
            </w:pPr>
            <w:r w:rsidRPr="00256982">
              <w:t>110.2</w:t>
            </w:r>
          </w:p>
        </w:tc>
        <w:tc>
          <w:tcPr>
            <w:tcW w:w="1791" w:type="dxa"/>
            <w:tcBorders>
              <w:top w:val="single" w:sz="4" w:space="0" w:color="365F91"/>
              <w:bottom w:val="single" w:sz="4" w:space="0" w:color="365F91"/>
            </w:tcBorders>
            <w:shd w:val="clear" w:color="auto" w:fill="auto"/>
            <w:noWrap/>
            <w:vAlign w:val="bottom"/>
          </w:tcPr>
          <w:p w14:paraId="50BEE259" w14:textId="77777777" w:rsidR="0068777C" w:rsidRPr="00256982" w:rsidRDefault="0068777C" w:rsidP="00AD05B0">
            <w:pPr>
              <w:pStyle w:val="TableText"/>
              <w:spacing w:before="50" w:after="50"/>
              <w:jc w:val="center"/>
            </w:pPr>
            <w:r w:rsidRPr="00256982">
              <w:t>70.</w:t>
            </w:r>
            <w:r w:rsidRPr="00256982">
              <w:rPr>
                <w:rFonts w:cs="Arial"/>
              </w:rPr>
              <w:t>6</w:t>
            </w:r>
          </w:p>
        </w:tc>
        <w:tc>
          <w:tcPr>
            <w:tcW w:w="1807" w:type="dxa"/>
            <w:tcBorders>
              <w:top w:val="single" w:sz="4" w:space="0" w:color="365F91"/>
              <w:bottom w:val="single" w:sz="4" w:space="0" w:color="365F91"/>
            </w:tcBorders>
            <w:shd w:val="clear" w:color="auto" w:fill="auto"/>
            <w:noWrap/>
            <w:vAlign w:val="bottom"/>
          </w:tcPr>
          <w:p w14:paraId="45FE5230" w14:textId="77777777" w:rsidR="0068777C" w:rsidRPr="00256982" w:rsidRDefault="0068777C" w:rsidP="00AD05B0">
            <w:pPr>
              <w:pStyle w:val="TableText"/>
              <w:spacing w:before="50" w:after="50"/>
              <w:jc w:val="center"/>
            </w:pPr>
            <w:r w:rsidRPr="00256982">
              <w:t>14.</w:t>
            </w:r>
            <w:r w:rsidRPr="00256982">
              <w:rPr>
                <w:rFonts w:cs="Arial"/>
              </w:rPr>
              <w:t>1</w:t>
            </w:r>
          </w:p>
        </w:tc>
        <w:tc>
          <w:tcPr>
            <w:tcW w:w="1765" w:type="dxa"/>
            <w:tcBorders>
              <w:top w:val="single" w:sz="4" w:space="0" w:color="365F91"/>
              <w:bottom w:val="single" w:sz="4" w:space="0" w:color="365F91"/>
            </w:tcBorders>
            <w:shd w:val="clear" w:color="auto" w:fill="auto"/>
            <w:noWrap/>
            <w:vAlign w:val="bottom"/>
          </w:tcPr>
          <w:p w14:paraId="48A3DDD1" w14:textId="77777777" w:rsidR="0068777C" w:rsidRPr="00256982" w:rsidRDefault="0068777C" w:rsidP="00AD05B0">
            <w:pPr>
              <w:pStyle w:val="TableText"/>
              <w:spacing w:before="50" w:after="50"/>
              <w:jc w:val="center"/>
            </w:pPr>
            <w:r w:rsidRPr="00256982">
              <w:t>29.</w:t>
            </w:r>
            <w:r w:rsidRPr="00256982">
              <w:rPr>
                <w:rFonts w:cs="Arial"/>
              </w:rPr>
              <w:t>5</w:t>
            </w:r>
          </w:p>
        </w:tc>
      </w:tr>
      <w:tr w:rsidR="0068777C" w:rsidRPr="00256982" w14:paraId="544536DE" w14:textId="77777777" w:rsidTr="0068777C">
        <w:tc>
          <w:tcPr>
            <w:tcW w:w="1351" w:type="dxa"/>
            <w:tcBorders>
              <w:top w:val="single" w:sz="4" w:space="0" w:color="365F91"/>
              <w:bottom w:val="single" w:sz="4" w:space="0" w:color="365F91"/>
            </w:tcBorders>
            <w:noWrap/>
          </w:tcPr>
          <w:p w14:paraId="71409427" w14:textId="77777777" w:rsidR="0068777C" w:rsidRPr="00256982" w:rsidRDefault="0068777C" w:rsidP="00AD05B0">
            <w:pPr>
              <w:pStyle w:val="TableText"/>
              <w:spacing w:before="50" w:after="50"/>
            </w:pPr>
            <w:r w:rsidRPr="00256982">
              <w:t>1997</w:t>
            </w:r>
          </w:p>
        </w:tc>
        <w:tc>
          <w:tcPr>
            <w:tcW w:w="1791" w:type="dxa"/>
            <w:tcBorders>
              <w:top w:val="single" w:sz="4" w:space="0" w:color="365F91"/>
              <w:bottom w:val="single" w:sz="4" w:space="0" w:color="365F91"/>
            </w:tcBorders>
            <w:shd w:val="clear" w:color="auto" w:fill="auto"/>
            <w:noWrap/>
            <w:vAlign w:val="bottom"/>
          </w:tcPr>
          <w:p w14:paraId="5580951A" w14:textId="77777777" w:rsidR="0068777C" w:rsidRPr="00256982" w:rsidRDefault="0068777C" w:rsidP="00AD05B0">
            <w:pPr>
              <w:pStyle w:val="TableText"/>
              <w:spacing w:before="50" w:after="50"/>
              <w:jc w:val="center"/>
            </w:pPr>
            <w:r w:rsidRPr="00256982">
              <w:t>111.2</w:t>
            </w:r>
          </w:p>
        </w:tc>
        <w:tc>
          <w:tcPr>
            <w:tcW w:w="1791" w:type="dxa"/>
            <w:tcBorders>
              <w:top w:val="single" w:sz="4" w:space="0" w:color="365F91"/>
              <w:bottom w:val="single" w:sz="4" w:space="0" w:color="365F91"/>
            </w:tcBorders>
            <w:shd w:val="clear" w:color="auto" w:fill="auto"/>
            <w:noWrap/>
            <w:vAlign w:val="bottom"/>
          </w:tcPr>
          <w:p w14:paraId="40E4E6E1" w14:textId="77777777" w:rsidR="0068777C" w:rsidRPr="00256982" w:rsidRDefault="0068777C" w:rsidP="00AD05B0">
            <w:pPr>
              <w:pStyle w:val="TableText"/>
              <w:spacing w:before="50" w:after="50"/>
              <w:jc w:val="center"/>
            </w:pPr>
            <w:r w:rsidRPr="00256982">
              <w:t>71.</w:t>
            </w:r>
            <w:r w:rsidRPr="00256982">
              <w:rPr>
                <w:rFonts w:cs="Arial"/>
              </w:rPr>
              <w:t>9</w:t>
            </w:r>
          </w:p>
        </w:tc>
        <w:tc>
          <w:tcPr>
            <w:tcW w:w="1807" w:type="dxa"/>
            <w:tcBorders>
              <w:top w:val="single" w:sz="4" w:space="0" w:color="365F91"/>
              <w:bottom w:val="single" w:sz="4" w:space="0" w:color="365F91"/>
            </w:tcBorders>
            <w:shd w:val="clear" w:color="auto" w:fill="auto"/>
            <w:noWrap/>
            <w:vAlign w:val="bottom"/>
          </w:tcPr>
          <w:p w14:paraId="287A16D0" w14:textId="77777777" w:rsidR="0068777C" w:rsidRPr="00256982" w:rsidRDefault="0068777C" w:rsidP="00AD05B0">
            <w:pPr>
              <w:pStyle w:val="TableText"/>
              <w:spacing w:before="50" w:after="50"/>
              <w:jc w:val="center"/>
            </w:pPr>
            <w:r w:rsidRPr="00256982">
              <w:t>14.</w:t>
            </w:r>
            <w:r w:rsidRPr="00256982">
              <w:rPr>
                <w:rFonts w:cs="Arial"/>
              </w:rPr>
              <w:t>7</w:t>
            </w:r>
          </w:p>
        </w:tc>
        <w:tc>
          <w:tcPr>
            <w:tcW w:w="1765" w:type="dxa"/>
            <w:tcBorders>
              <w:top w:val="single" w:sz="4" w:space="0" w:color="365F91"/>
              <w:bottom w:val="single" w:sz="4" w:space="0" w:color="365F91"/>
            </w:tcBorders>
            <w:shd w:val="clear" w:color="auto" w:fill="auto"/>
            <w:noWrap/>
            <w:vAlign w:val="bottom"/>
          </w:tcPr>
          <w:p w14:paraId="6EC9F191" w14:textId="77777777" w:rsidR="0068777C" w:rsidRPr="00256982" w:rsidRDefault="0068777C" w:rsidP="00AD05B0">
            <w:pPr>
              <w:pStyle w:val="TableText"/>
              <w:spacing w:before="50" w:after="50"/>
              <w:jc w:val="center"/>
            </w:pPr>
            <w:r w:rsidRPr="00256982">
              <w:t>29.</w:t>
            </w:r>
            <w:r w:rsidRPr="00256982">
              <w:rPr>
                <w:rFonts w:cs="Arial"/>
              </w:rPr>
              <w:t>8</w:t>
            </w:r>
          </w:p>
        </w:tc>
      </w:tr>
      <w:tr w:rsidR="0068777C" w:rsidRPr="00256982" w14:paraId="381ADA61" w14:textId="77777777" w:rsidTr="0068777C">
        <w:tc>
          <w:tcPr>
            <w:tcW w:w="1351" w:type="dxa"/>
            <w:tcBorders>
              <w:top w:val="single" w:sz="4" w:space="0" w:color="365F91"/>
              <w:bottom w:val="single" w:sz="4" w:space="0" w:color="365F91"/>
            </w:tcBorders>
            <w:noWrap/>
          </w:tcPr>
          <w:p w14:paraId="7E56D1C3" w14:textId="77777777" w:rsidR="0068777C" w:rsidRPr="00256982" w:rsidRDefault="0068777C" w:rsidP="00AD05B0">
            <w:pPr>
              <w:pStyle w:val="TableText"/>
              <w:spacing w:before="50" w:after="50"/>
            </w:pPr>
            <w:r w:rsidRPr="00256982">
              <w:t>1998</w:t>
            </w:r>
          </w:p>
        </w:tc>
        <w:tc>
          <w:tcPr>
            <w:tcW w:w="1791" w:type="dxa"/>
            <w:tcBorders>
              <w:top w:val="single" w:sz="4" w:space="0" w:color="365F91"/>
              <w:bottom w:val="single" w:sz="4" w:space="0" w:color="365F91"/>
            </w:tcBorders>
            <w:noWrap/>
            <w:vAlign w:val="bottom"/>
          </w:tcPr>
          <w:p w14:paraId="63BA345A" w14:textId="77777777" w:rsidR="0068777C" w:rsidRPr="00256982" w:rsidRDefault="0068777C" w:rsidP="00AD05B0">
            <w:pPr>
              <w:pStyle w:val="TableText"/>
              <w:spacing w:before="50" w:after="50"/>
              <w:jc w:val="center"/>
            </w:pPr>
            <w:r w:rsidRPr="00256982">
              <w:t>108.7</w:t>
            </w:r>
          </w:p>
        </w:tc>
        <w:tc>
          <w:tcPr>
            <w:tcW w:w="1791" w:type="dxa"/>
            <w:tcBorders>
              <w:top w:val="single" w:sz="4" w:space="0" w:color="365F91"/>
              <w:bottom w:val="single" w:sz="4" w:space="0" w:color="365F91"/>
            </w:tcBorders>
            <w:noWrap/>
            <w:vAlign w:val="bottom"/>
          </w:tcPr>
          <w:p w14:paraId="79774D1D" w14:textId="77777777" w:rsidR="0068777C" w:rsidRPr="00256982" w:rsidRDefault="0068777C" w:rsidP="00AD05B0">
            <w:pPr>
              <w:pStyle w:val="TableText"/>
              <w:spacing w:before="50" w:after="50"/>
              <w:jc w:val="center"/>
            </w:pPr>
            <w:r w:rsidRPr="00256982">
              <w:rPr>
                <w:rFonts w:cs="Arial"/>
              </w:rPr>
              <w:t>72.0</w:t>
            </w:r>
          </w:p>
        </w:tc>
        <w:tc>
          <w:tcPr>
            <w:tcW w:w="1807" w:type="dxa"/>
            <w:tcBorders>
              <w:top w:val="single" w:sz="4" w:space="0" w:color="365F91"/>
              <w:bottom w:val="single" w:sz="4" w:space="0" w:color="365F91"/>
            </w:tcBorders>
            <w:noWrap/>
            <w:vAlign w:val="bottom"/>
          </w:tcPr>
          <w:p w14:paraId="70D64B5E" w14:textId="77777777" w:rsidR="0068777C" w:rsidRPr="00256982" w:rsidRDefault="0068777C" w:rsidP="00AD05B0">
            <w:pPr>
              <w:pStyle w:val="TableText"/>
              <w:spacing w:before="50" w:after="50"/>
              <w:jc w:val="center"/>
            </w:pPr>
            <w:r w:rsidRPr="00256982">
              <w:t>14.</w:t>
            </w:r>
            <w:r w:rsidRPr="00256982">
              <w:rPr>
                <w:rFonts w:cs="Arial"/>
              </w:rPr>
              <w:t>8</w:t>
            </w:r>
          </w:p>
        </w:tc>
        <w:tc>
          <w:tcPr>
            <w:tcW w:w="1765" w:type="dxa"/>
            <w:tcBorders>
              <w:top w:val="single" w:sz="4" w:space="0" w:color="365F91"/>
              <w:bottom w:val="single" w:sz="4" w:space="0" w:color="365F91"/>
            </w:tcBorders>
            <w:noWrap/>
            <w:vAlign w:val="bottom"/>
          </w:tcPr>
          <w:p w14:paraId="68163C79" w14:textId="77777777" w:rsidR="0068777C" w:rsidRPr="00256982" w:rsidRDefault="0068777C" w:rsidP="00AD05B0">
            <w:pPr>
              <w:pStyle w:val="TableText"/>
              <w:spacing w:before="50" w:after="50"/>
              <w:jc w:val="center"/>
            </w:pPr>
            <w:r w:rsidRPr="00256982">
              <w:t>29.</w:t>
            </w:r>
            <w:r w:rsidRPr="00256982">
              <w:rPr>
                <w:rFonts w:cs="Arial"/>
              </w:rPr>
              <w:t>9</w:t>
            </w:r>
          </w:p>
        </w:tc>
      </w:tr>
      <w:tr w:rsidR="0068777C" w:rsidRPr="00256982" w14:paraId="0528C1AE" w14:textId="77777777" w:rsidTr="0068777C">
        <w:tc>
          <w:tcPr>
            <w:tcW w:w="1351" w:type="dxa"/>
            <w:tcBorders>
              <w:top w:val="single" w:sz="4" w:space="0" w:color="365F91"/>
              <w:bottom w:val="single" w:sz="4" w:space="0" w:color="365F91"/>
            </w:tcBorders>
            <w:noWrap/>
          </w:tcPr>
          <w:p w14:paraId="79388EB5" w14:textId="77777777" w:rsidR="0068777C" w:rsidRPr="00256982" w:rsidRDefault="0068777C" w:rsidP="00AD05B0">
            <w:pPr>
              <w:pStyle w:val="TableText"/>
              <w:spacing w:before="50" w:after="50"/>
            </w:pPr>
            <w:r w:rsidRPr="00256982">
              <w:t>1999</w:t>
            </w:r>
          </w:p>
        </w:tc>
        <w:tc>
          <w:tcPr>
            <w:tcW w:w="1791" w:type="dxa"/>
            <w:tcBorders>
              <w:top w:val="single" w:sz="4" w:space="0" w:color="365F91"/>
              <w:bottom w:val="single" w:sz="4" w:space="0" w:color="365F91"/>
            </w:tcBorders>
            <w:noWrap/>
            <w:vAlign w:val="bottom"/>
          </w:tcPr>
          <w:p w14:paraId="09C79CEF" w14:textId="77777777" w:rsidR="0068777C" w:rsidRPr="00256982" w:rsidRDefault="0068777C" w:rsidP="00AD05B0">
            <w:pPr>
              <w:pStyle w:val="TableText"/>
              <w:spacing w:before="50" w:after="50"/>
              <w:jc w:val="center"/>
            </w:pPr>
            <w:r w:rsidRPr="00256982">
              <w:t>110.6</w:t>
            </w:r>
          </w:p>
        </w:tc>
        <w:tc>
          <w:tcPr>
            <w:tcW w:w="1791" w:type="dxa"/>
            <w:tcBorders>
              <w:top w:val="single" w:sz="4" w:space="0" w:color="365F91"/>
              <w:bottom w:val="single" w:sz="4" w:space="0" w:color="365F91"/>
            </w:tcBorders>
            <w:noWrap/>
            <w:vAlign w:val="bottom"/>
          </w:tcPr>
          <w:p w14:paraId="49DC34F2" w14:textId="77777777" w:rsidR="0068777C" w:rsidRPr="00256982" w:rsidRDefault="0068777C" w:rsidP="00AD05B0">
            <w:pPr>
              <w:pStyle w:val="TableText"/>
              <w:spacing w:before="50" w:after="50"/>
              <w:jc w:val="center"/>
            </w:pPr>
            <w:r w:rsidRPr="00256982">
              <w:t>70.</w:t>
            </w:r>
            <w:r w:rsidRPr="00256982">
              <w:rPr>
                <w:rFonts w:cs="Arial"/>
              </w:rPr>
              <w:t>1</w:t>
            </w:r>
          </w:p>
        </w:tc>
        <w:tc>
          <w:tcPr>
            <w:tcW w:w="1807" w:type="dxa"/>
            <w:tcBorders>
              <w:top w:val="single" w:sz="4" w:space="0" w:color="365F91"/>
              <w:bottom w:val="single" w:sz="4" w:space="0" w:color="365F91"/>
            </w:tcBorders>
            <w:noWrap/>
            <w:vAlign w:val="bottom"/>
          </w:tcPr>
          <w:p w14:paraId="1FE803A1" w14:textId="77777777" w:rsidR="0068777C" w:rsidRPr="00256982" w:rsidRDefault="0068777C" w:rsidP="00AD05B0">
            <w:pPr>
              <w:pStyle w:val="TableText"/>
              <w:spacing w:before="50" w:after="50"/>
              <w:jc w:val="center"/>
            </w:pPr>
            <w:r w:rsidRPr="00256982">
              <w:t>14.</w:t>
            </w:r>
            <w:r w:rsidRPr="00256982">
              <w:rPr>
                <w:rFonts w:cs="Arial"/>
              </w:rPr>
              <w:t>7</w:t>
            </w:r>
          </w:p>
        </w:tc>
        <w:tc>
          <w:tcPr>
            <w:tcW w:w="1765" w:type="dxa"/>
            <w:tcBorders>
              <w:top w:val="single" w:sz="4" w:space="0" w:color="365F91"/>
              <w:bottom w:val="single" w:sz="4" w:space="0" w:color="365F91"/>
            </w:tcBorders>
            <w:noWrap/>
            <w:vAlign w:val="bottom"/>
          </w:tcPr>
          <w:p w14:paraId="22DFF78E" w14:textId="77777777" w:rsidR="0068777C" w:rsidRPr="00256982" w:rsidRDefault="0068777C" w:rsidP="00AD05B0">
            <w:pPr>
              <w:pStyle w:val="TableText"/>
              <w:spacing w:before="50" w:after="50"/>
              <w:jc w:val="center"/>
            </w:pPr>
            <w:r w:rsidRPr="00256982">
              <w:t>30.</w:t>
            </w:r>
            <w:r w:rsidRPr="00256982">
              <w:rPr>
                <w:rFonts w:cs="Arial"/>
              </w:rPr>
              <w:t>3</w:t>
            </w:r>
          </w:p>
        </w:tc>
      </w:tr>
      <w:tr w:rsidR="0068777C" w:rsidRPr="00256982" w14:paraId="1C9A27C0" w14:textId="77777777" w:rsidTr="0068777C">
        <w:tc>
          <w:tcPr>
            <w:tcW w:w="1351" w:type="dxa"/>
            <w:tcBorders>
              <w:top w:val="single" w:sz="4" w:space="0" w:color="365F91"/>
              <w:bottom w:val="single" w:sz="4" w:space="0" w:color="365F91"/>
            </w:tcBorders>
            <w:noWrap/>
          </w:tcPr>
          <w:p w14:paraId="079AE171" w14:textId="77777777" w:rsidR="0068777C" w:rsidRPr="00256982" w:rsidRDefault="0068777C" w:rsidP="00AD05B0">
            <w:pPr>
              <w:pStyle w:val="TableText"/>
              <w:spacing w:before="50" w:after="50"/>
            </w:pPr>
            <w:r w:rsidRPr="00256982">
              <w:t>2000</w:t>
            </w:r>
          </w:p>
        </w:tc>
        <w:tc>
          <w:tcPr>
            <w:tcW w:w="1791" w:type="dxa"/>
            <w:tcBorders>
              <w:top w:val="single" w:sz="4" w:space="0" w:color="365F91"/>
              <w:bottom w:val="single" w:sz="4" w:space="0" w:color="365F91"/>
            </w:tcBorders>
            <w:noWrap/>
            <w:vAlign w:val="bottom"/>
          </w:tcPr>
          <w:p w14:paraId="5BC76C7D" w14:textId="77777777" w:rsidR="0068777C" w:rsidRPr="00256982" w:rsidRDefault="0068777C" w:rsidP="00AD05B0">
            <w:pPr>
              <w:pStyle w:val="TableText"/>
              <w:spacing w:before="50" w:after="50"/>
              <w:jc w:val="center"/>
            </w:pPr>
            <w:r w:rsidRPr="00256982">
              <w:t>112.2</w:t>
            </w:r>
          </w:p>
        </w:tc>
        <w:tc>
          <w:tcPr>
            <w:tcW w:w="1791" w:type="dxa"/>
            <w:tcBorders>
              <w:top w:val="single" w:sz="4" w:space="0" w:color="365F91"/>
              <w:bottom w:val="single" w:sz="4" w:space="0" w:color="365F91"/>
            </w:tcBorders>
            <w:noWrap/>
            <w:vAlign w:val="bottom"/>
          </w:tcPr>
          <w:p w14:paraId="0C99D958" w14:textId="77777777" w:rsidR="0068777C" w:rsidRPr="00256982" w:rsidRDefault="0068777C" w:rsidP="00AD05B0">
            <w:pPr>
              <w:pStyle w:val="TableText"/>
              <w:spacing w:before="50" w:after="50"/>
              <w:jc w:val="center"/>
            </w:pPr>
            <w:r w:rsidRPr="00256982">
              <w:t>72.</w:t>
            </w:r>
            <w:r w:rsidRPr="00256982">
              <w:rPr>
                <w:rFonts w:cs="Arial"/>
              </w:rPr>
              <w:t>6</w:t>
            </w:r>
          </w:p>
        </w:tc>
        <w:tc>
          <w:tcPr>
            <w:tcW w:w="1807" w:type="dxa"/>
            <w:tcBorders>
              <w:top w:val="single" w:sz="4" w:space="0" w:color="365F91"/>
              <w:bottom w:val="single" w:sz="4" w:space="0" w:color="365F91"/>
            </w:tcBorders>
            <w:noWrap/>
            <w:vAlign w:val="bottom"/>
          </w:tcPr>
          <w:p w14:paraId="0533C7F5" w14:textId="77777777" w:rsidR="0068777C" w:rsidRPr="00256982" w:rsidRDefault="0068777C" w:rsidP="00AD05B0">
            <w:pPr>
              <w:pStyle w:val="TableText"/>
              <w:spacing w:before="50" w:after="50"/>
              <w:jc w:val="center"/>
            </w:pPr>
            <w:r w:rsidRPr="00256982">
              <w:t>15.</w:t>
            </w:r>
            <w:r w:rsidRPr="00256982">
              <w:rPr>
                <w:rFonts w:cs="Arial"/>
              </w:rPr>
              <w:t>4</w:t>
            </w:r>
          </w:p>
        </w:tc>
        <w:tc>
          <w:tcPr>
            <w:tcW w:w="1765" w:type="dxa"/>
            <w:tcBorders>
              <w:top w:val="single" w:sz="4" w:space="0" w:color="365F91"/>
              <w:bottom w:val="single" w:sz="4" w:space="0" w:color="365F91"/>
            </w:tcBorders>
            <w:noWrap/>
            <w:vAlign w:val="bottom"/>
          </w:tcPr>
          <w:p w14:paraId="2E8AC451" w14:textId="77777777" w:rsidR="0068777C" w:rsidRPr="00256982" w:rsidRDefault="0068777C" w:rsidP="00AD05B0">
            <w:pPr>
              <w:pStyle w:val="TableText"/>
              <w:spacing w:before="50" w:after="50"/>
              <w:jc w:val="center"/>
            </w:pPr>
            <w:r w:rsidRPr="00256982">
              <w:t>30.</w:t>
            </w:r>
            <w:r w:rsidRPr="00256982">
              <w:rPr>
                <w:rFonts w:cs="Arial"/>
              </w:rPr>
              <w:t>9</w:t>
            </w:r>
          </w:p>
        </w:tc>
      </w:tr>
      <w:tr w:rsidR="0068777C" w:rsidRPr="00256982" w14:paraId="7B63E08D" w14:textId="77777777" w:rsidTr="0068777C">
        <w:tc>
          <w:tcPr>
            <w:tcW w:w="1351" w:type="dxa"/>
            <w:tcBorders>
              <w:top w:val="single" w:sz="4" w:space="0" w:color="365F91"/>
              <w:bottom w:val="single" w:sz="4" w:space="0" w:color="365F91"/>
            </w:tcBorders>
            <w:noWrap/>
          </w:tcPr>
          <w:p w14:paraId="60F3BFCC" w14:textId="77777777" w:rsidR="0068777C" w:rsidRPr="00256982" w:rsidRDefault="0068777C" w:rsidP="00AD05B0">
            <w:pPr>
              <w:pStyle w:val="TableText"/>
              <w:spacing w:before="50" w:after="50"/>
            </w:pPr>
            <w:r w:rsidRPr="00256982">
              <w:t>2001</w:t>
            </w:r>
          </w:p>
        </w:tc>
        <w:tc>
          <w:tcPr>
            <w:tcW w:w="1791" w:type="dxa"/>
            <w:tcBorders>
              <w:top w:val="single" w:sz="4" w:space="0" w:color="365F91"/>
              <w:bottom w:val="single" w:sz="4" w:space="0" w:color="365F91"/>
            </w:tcBorders>
            <w:noWrap/>
            <w:vAlign w:val="bottom"/>
          </w:tcPr>
          <w:p w14:paraId="0211E728" w14:textId="77777777" w:rsidR="0068777C" w:rsidRPr="00256982" w:rsidRDefault="0068777C" w:rsidP="00AD05B0">
            <w:pPr>
              <w:pStyle w:val="TableText"/>
              <w:spacing w:before="50" w:after="50"/>
              <w:jc w:val="center"/>
            </w:pPr>
            <w:r w:rsidRPr="00256982">
              <w:t>113.4</w:t>
            </w:r>
          </w:p>
        </w:tc>
        <w:tc>
          <w:tcPr>
            <w:tcW w:w="1791" w:type="dxa"/>
            <w:tcBorders>
              <w:top w:val="single" w:sz="4" w:space="0" w:color="365F91"/>
              <w:bottom w:val="single" w:sz="4" w:space="0" w:color="365F91"/>
            </w:tcBorders>
            <w:noWrap/>
            <w:vAlign w:val="bottom"/>
          </w:tcPr>
          <w:p w14:paraId="03DD882E" w14:textId="77777777" w:rsidR="0068777C" w:rsidRPr="00256982" w:rsidRDefault="0068777C" w:rsidP="00AD05B0">
            <w:pPr>
              <w:pStyle w:val="TableText"/>
              <w:spacing w:before="50" w:after="50"/>
              <w:jc w:val="center"/>
            </w:pPr>
            <w:r w:rsidRPr="00256982">
              <w:t>73.</w:t>
            </w:r>
            <w:r w:rsidRPr="00256982">
              <w:rPr>
                <w:rFonts w:cs="Arial"/>
              </w:rPr>
              <w:t>9</w:t>
            </w:r>
          </w:p>
        </w:tc>
        <w:tc>
          <w:tcPr>
            <w:tcW w:w="1807" w:type="dxa"/>
            <w:tcBorders>
              <w:top w:val="single" w:sz="4" w:space="0" w:color="365F91"/>
              <w:bottom w:val="single" w:sz="4" w:space="0" w:color="365F91"/>
            </w:tcBorders>
            <w:noWrap/>
            <w:vAlign w:val="bottom"/>
          </w:tcPr>
          <w:p w14:paraId="64BE0B5A" w14:textId="77777777" w:rsidR="0068777C" w:rsidRPr="00256982" w:rsidRDefault="0068777C" w:rsidP="00AD05B0">
            <w:pPr>
              <w:pStyle w:val="TableText"/>
              <w:spacing w:before="50" w:after="50"/>
              <w:jc w:val="center"/>
            </w:pPr>
            <w:r w:rsidRPr="00256982">
              <w:t>15.</w:t>
            </w:r>
            <w:r w:rsidRPr="00256982">
              <w:rPr>
                <w:rFonts w:cs="Arial"/>
              </w:rPr>
              <w:t>5</w:t>
            </w:r>
          </w:p>
        </w:tc>
        <w:tc>
          <w:tcPr>
            <w:tcW w:w="1765" w:type="dxa"/>
            <w:tcBorders>
              <w:top w:val="single" w:sz="4" w:space="0" w:color="365F91"/>
              <w:bottom w:val="single" w:sz="4" w:space="0" w:color="365F91"/>
            </w:tcBorders>
            <w:noWrap/>
            <w:vAlign w:val="bottom"/>
          </w:tcPr>
          <w:p w14:paraId="69C666D5" w14:textId="77777777" w:rsidR="0068777C" w:rsidRPr="00256982" w:rsidRDefault="0068777C" w:rsidP="00AD05B0">
            <w:pPr>
              <w:pStyle w:val="TableText"/>
              <w:spacing w:before="50" w:after="50"/>
              <w:jc w:val="center"/>
            </w:pPr>
            <w:r w:rsidRPr="00256982">
              <w:t>30.</w:t>
            </w:r>
            <w:r w:rsidRPr="00256982">
              <w:rPr>
                <w:rFonts w:cs="Arial"/>
              </w:rPr>
              <w:t>9</w:t>
            </w:r>
          </w:p>
        </w:tc>
      </w:tr>
      <w:tr w:rsidR="0068777C" w:rsidRPr="00256982" w14:paraId="44B5C435" w14:textId="77777777" w:rsidTr="0068777C">
        <w:tc>
          <w:tcPr>
            <w:tcW w:w="1351" w:type="dxa"/>
            <w:tcBorders>
              <w:top w:val="single" w:sz="4" w:space="0" w:color="365F91"/>
              <w:bottom w:val="single" w:sz="4" w:space="0" w:color="365F91"/>
            </w:tcBorders>
            <w:noWrap/>
          </w:tcPr>
          <w:p w14:paraId="41AA85FF" w14:textId="77777777" w:rsidR="0068777C" w:rsidRPr="00256982" w:rsidRDefault="0068777C" w:rsidP="00AD05B0">
            <w:pPr>
              <w:pStyle w:val="TableText"/>
              <w:spacing w:before="50" w:after="50"/>
            </w:pPr>
            <w:r w:rsidRPr="00256982">
              <w:lastRenderedPageBreak/>
              <w:t>2002</w:t>
            </w:r>
          </w:p>
        </w:tc>
        <w:tc>
          <w:tcPr>
            <w:tcW w:w="1791" w:type="dxa"/>
            <w:tcBorders>
              <w:top w:val="single" w:sz="4" w:space="0" w:color="365F91"/>
              <w:bottom w:val="single" w:sz="4" w:space="0" w:color="365F91"/>
            </w:tcBorders>
            <w:noWrap/>
            <w:vAlign w:val="bottom"/>
          </w:tcPr>
          <w:p w14:paraId="45E35C61" w14:textId="77777777" w:rsidR="0068777C" w:rsidRPr="00256982" w:rsidRDefault="0068777C" w:rsidP="00AD05B0">
            <w:pPr>
              <w:pStyle w:val="TableText"/>
              <w:spacing w:before="50" w:after="50"/>
              <w:jc w:val="center"/>
            </w:pPr>
            <w:r w:rsidRPr="00256982">
              <w:t>112.6</w:t>
            </w:r>
          </w:p>
        </w:tc>
        <w:tc>
          <w:tcPr>
            <w:tcW w:w="1791" w:type="dxa"/>
            <w:tcBorders>
              <w:top w:val="single" w:sz="4" w:space="0" w:color="365F91"/>
              <w:bottom w:val="single" w:sz="4" w:space="0" w:color="365F91"/>
            </w:tcBorders>
            <w:noWrap/>
            <w:vAlign w:val="bottom"/>
          </w:tcPr>
          <w:p w14:paraId="3E5BDFC9" w14:textId="77777777" w:rsidR="0068777C" w:rsidRPr="00256982" w:rsidRDefault="0068777C" w:rsidP="00AD05B0">
            <w:pPr>
              <w:pStyle w:val="TableText"/>
              <w:spacing w:before="50" w:after="50"/>
              <w:jc w:val="center"/>
            </w:pPr>
            <w:r w:rsidRPr="00256982">
              <w:t>73.</w:t>
            </w:r>
            <w:r w:rsidRPr="00256982">
              <w:rPr>
                <w:rFonts w:cs="Arial"/>
              </w:rPr>
              <w:t>5</w:t>
            </w:r>
          </w:p>
        </w:tc>
        <w:tc>
          <w:tcPr>
            <w:tcW w:w="1807" w:type="dxa"/>
            <w:tcBorders>
              <w:top w:val="single" w:sz="4" w:space="0" w:color="365F91"/>
              <w:bottom w:val="single" w:sz="4" w:space="0" w:color="365F91"/>
            </w:tcBorders>
            <w:noWrap/>
            <w:vAlign w:val="bottom"/>
          </w:tcPr>
          <w:p w14:paraId="65A50719" w14:textId="77777777" w:rsidR="0068777C" w:rsidRPr="00256982" w:rsidRDefault="0068777C" w:rsidP="00AD05B0">
            <w:pPr>
              <w:pStyle w:val="TableText"/>
              <w:spacing w:before="50" w:after="50"/>
              <w:jc w:val="center"/>
            </w:pPr>
            <w:r w:rsidRPr="00256982">
              <w:t>15.</w:t>
            </w:r>
            <w:r w:rsidRPr="00256982">
              <w:rPr>
                <w:rFonts w:cs="Arial"/>
              </w:rPr>
              <w:t>5</w:t>
            </w:r>
          </w:p>
        </w:tc>
        <w:tc>
          <w:tcPr>
            <w:tcW w:w="1765" w:type="dxa"/>
            <w:tcBorders>
              <w:top w:val="single" w:sz="4" w:space="0" w:color="365F91"/>
              <w:bottom w:val="single" w:sz="4" w:space="0" w:color="365F91"/>
            </w:tcBorders>
            <w:noWrap/>
            <w:vAlign w:val="bottom"/>
          </w:tcPr>
          <w:p w14:paraId="070E2533" w14:textId="77777777" w:rsidR="0068777C" w:rsidRPr="00256982" w:rsidRDefault="0068777C" w:rsidP="00AD05B0">
            <w:pPr>
              <w:pStyle w:val="TableText"/>
              <w:spacing w:before="50" w:after="50"/>
              <w:jc w:val="center"/>
            </w:pPr>
            <w:r w:rsidRPr="00256982">
              <w:rPr>
                <w:rFonts w:cs="Arial"/>
              </w:rPr>
              <w:t>31.0</w:t>
            </w:r>
          </w:p>
        </w:tc>
      </w:tr>
      <w:tr w:rsidR="0068777C" w:rsidRPr="00256982" w14:paraId="09396F9D" w14:textId="77777777" w:rsidTr="0068777C">
        <w:tc>
          <w:tcPr>
            <w:tcW w:w="1351" w:type="dxa"/>
            <w:tcBorders>
              <w:top w:val="single" w:sz="4" w:space="0" w:color="365F91"/>
              <w:bottom w:val="single" w:sz="4" w:space="0" w:color="365F91"/>
            </w:tcBorders>
            <w:noWrap/>
          </w:tcPr>
          <w:p w14:paraId="0C350551" w14:textId="77777777" w:rsidR="0068777C" w:rsidRPr="00256982" w:rsidRDefault="0068777C" w:rsidP="00AD05B0">
            <w:pPr>
              <w:pStyle w:val="TableText"/>
              <w:spacing w:before="50" w:after="50"/>
            </w:pPr>
            <w:r w:rsidRPr="00256982">
              <w:t>2003</w:t>
            </w:r>
          </w:p>
        </w:tc>
        <w:tc>
          <w:tcPr>
            <w:tcW w:w="1791" w:type="dxa"/>
            <w:tcBorders>
              <w:top w:val="single" w:sz="4" w:space="0" w:color="365F91"/>
              <w:bottom w:val="single" w:sz="4" w:space="0" w:color="365F91"/>
            </w:tcBorders>
            <w:noWrap/>
            <w:vAlign w:val="bottom"/>
          </w:tcPr>
          <w:p w14:paraId="6919A2A8" w14:textId="77777777" w:rsidR="0068777C" w:rsidRPr="00256982" w:rsidRDefault="0068777C" w:rsidP="00AD05B0">
            <w:pPr>
              <w:pStyle w:val="TableText"/>
              <w:spacing w:before="50" w:after="50"/>
              <w:jc w:val="center"/>
            </w:pPr>
            <w:r w:rsidRPr="00256982">
              <w:t>116.7</w:t>
            </w:r>
          </w:p>
        </w:tc>
        <w:tc>
          <w:tcPr>
            <w:tcW w:w="1791" w:type="dxa"/>
            <w:tcBorders>
              <w:top w:val="single" w:sz="4" w:space="0" w:color="365F91"/>
              <w:bottom w:val="single" w:sz="4" w:space="0" w:color="365F91"/>
            </w:tcBorders>
            <w:noWrap/>
            <w:vAlign w:val="bottom"/>
          </w:tcPr>
          <w:p w14:paraId="1781E3A5" w14:textId="77777777" w:rsidR="0068777C" w:rsidRPr="00256982" w:rsidRDefault="0068777C" w:rsidP="00AD05B0">
            <w:pPr>
              <w:pStyle w:val="TableText"/>
              <w:spacing w:before="50" w:after="50"/>
              <w:jc w:val="center"/>
            </w:pPr>
            <w:r w:rsidRPr="00256982">
              <w:t>73.</w:t>
            </w:r>
            <w:r w:rsidRPr="00256982">
              <w:rPr>
                <w:rFonts w:cs="Arial"/>
              </w:rPr>
              <w:t>0</w:t>
            </w:r>
          </w:p>
        </w:tc>
        <w:tc>
          <w:tcPr>
            <w:tcW w:w="1807" w:type="dxa"/>
            <w:tcBorders>
              <w:top w:val="single" w:sz="4" w:space="0" w:color="365F91"/>
              <w:bottom w:val="single" w:sz="4" w:space="0" w:color="365F91"/>
            </w:tcBorders>
            <w:noWrap/>
            <w:vAlign w:val="bottom"/>
          </w:tcPr>
          <w:p w14:paraId="6D06F7E5" w14:textId="77777777" w:rsidR="0068777C" w:rsidRPr="00256982" w:rsidRDefault="0068777C" w:rsidP="00AD05B0">
            <w:pPr>
              <w:pStyle w:val="TableText"/>
              <w:spacing w:before="50" w:after="50"/>
              <w:jc w:val="center"/>
            </w:pPr>
            <w:r w:rsidRPr="00256982">
              <w:t>15.</w:t>
            </w:r>
            <w:r w:rsidRPr="00256982">
              <w:rPr>
                <w:rFonts w:cs="Arial"/>
              </w:rPr>
              <w:t>4</w:t>
            </w:r>
          </w:p>
        </w:tc>
        <w:tc>
          <w:tcPr>
            <w:tcW w:w="1765" w:type="dxa"/>
            <w:tcBorders>
              <w:top w:val="single" w:sz="4" w:space="0" w:color="365F91"/>
              <w:bottom w:val="single" w:sz="4" w:space="0" w:color="365F91"/>
            </w:tcBorders>
            <w:noWrap/>
            <w:vAlign w:val="bottom"/>
          </w:tcPr>
          <w:p w14:paraId="3F610CEB" w14:textId="77777777" w:rsidR="0068777C" w:rsidRPr="00256982" w:rsidRDefault="0068777C" w:rsidP="00AD05B0">
            <w:pPr>
              <w:pStyle w:val="TableText"/>
              <w:spacing w:before="50" w:after="50"/>
              <w:jc w:val="center"/>
            </w:pPr>
            <w:r w:rsidRPr="00256982">
              <w:t>30.</w:t>
            </w:r>
            <w:r w:rsidRPr="00256982">
              <w:rPr>
                <w:rFonts w:cs="Arial"/>
              </w:rPr>
              <w:t>7</w:t>
            </w:r>
          </w:p>
        </w:tc>
      </w:tr>
      <w:tr w:rsidR="0068777C" w:rsidRPr="00256982" w14:paraId="661CE7AA" w14:textId="77777777" w:rsidTr="0068777C">
        <w:tc>
          <w:tcPr>
            <w:tcW w:w="1351" w:type="dxa"/>
            <w:tcBorders>
              <w:top w:val="single" w:sz="4" w:space="0" w:color="365F91"/>
              <w:bottom w:val="single" w:sz="4" w:space="0" w:color="365F91"/>
            </w:tcBorders>
            <w:noWrap/>
          </w:tcPr>
          <w:p w14:paraId="7B7B7E26" w14:textId="77777777" w:rsidR="0068777C" w:rsidRPr="00256982" w:rsidRDefault="0068777C" w:rsidP="00AD05B0">
            <w:pPr>
              <w:pStyle w:val="TableText"/>
              <w:spacing w:before="50" w:after="50"/>
            </w:pPr>
            <w:r w:rsidRPr="00256982">
              <w:t>2004</w:t>
            </w:r>
          </w:p>
        </w:tc>
        <w:tc>
          <w:tcPr>
            <w:tcW w:w="1791" w:type="dxa"/>
            <w:tcBorders>
              <w:top w:val="single" w:sz="4" w:space="0" w:color="365F91"/>
              <w:bottom w:val="single" w:sz="4" w:space="0" w:color="365F91"/>
            </w:tcBorders>
            <w:noWrap/>
            <w:vAlign w:val="bottom"/>
          </w:tcPr>
          <w:p w14:paraId="4BA366C6" w14:textId="77777777" w:rsidR="0068777C" w:rsidRPr="00256982" w:rsidRDefault="0068777C" w:rsidP="00AD05B0">
            <w:pPr>
              <w:pStyle w:val="TableText"/>
              <w:spacing w:before="50" w:after="50"/>
              <w:jc w:val="center"/>
            </w:pPr>
            <w:r w:rsidRPr="00256982">
              <w:t>115.2</w:t>
            </w:r>
          </w:p>
        </w:tc>
        <w:tc>
          <w:tcPr>
            <w:tcW w:w="1791" w:type="dxa"/>
            <w:tcBorders>
              <w:top w:val="single" w:sz="4" w:space="0" w:color="365F91"/>
              <w:bottom w:val="single" w:sz="4" w:space="0" w:color="365F91"/>
            </w:tcBorders>
            <w:noWrap/>
            <w:vAlign w:val="bottom"/>
          </w:tcPr>
          <w:p w14:paraId="56AA9438" w14:textId="77777777" w:rsidR="0068777C" w:rsidRPr="00256982" w:rsidRDefault="0068777C" w:rsidP="00AD05B0">
            <w:pPr>
              <w:pStyle w:val="TableText"/>
              <w:spacing w:before="50" w:after="50"/>
              <w:jc w:val="center"/>
            </w:pPr>
            <w:r w:rsidRPr="00256982">
              <w:t>74.</w:t>
            </w:r>
            <w:r w:rsidRPr="00256982">
              <w:rPr>
                <w:rFonts w:cs="Arial"/>
              </w:rPr>
              <w:t>3</w:t>
            </w:r>
          </w:p>
        </w:tc>
        <w:tc>
          <w:tcPr>
            <w:tcW w:w="1807" w:type="dxa"/>
            <w:tcBorders>
              <w:top w:val="single" w:sz="4" w:space="0" w:color="365F91"/>
              <w:bottom w:val="single" w:sz="4" w:space="0" w:color="365F91"/>
            </w:tcBorders>
            <w:noWrap/>
            <w:vAlign w:val="bottom"/>
          </w:tcPr>
          <w:p w14:paraId="6904FD76" w14:textId="77777777" w:rsidR="0068777C" w:rsidRPr="00256982" w:rsidRDefault="0068777C" w:rsidP="00AD05B0">
            <w:pPr>
              <w:pStyle w:val="TableText"/>
              <w:spacing w:before="50" w:after="50"/>
              <w:jc w:val="center"/>
            </w:pPr>
            <w:r w:rsidRPr="00256982">
              <w:t>15.</w:t>
            </w:r>
            <w:r w:rsidRPr="00256982">
              <w:rPr>
                <w:rFonts w:cs="Arial"/>
              </w:rPr>
              <w:t>8</w:t>
            </w:r>
          </w:p>
        </w:tc>
        <w:tc>
          <w:tcPr>
            <w:tcW w:w="1765" w:type="dxa"/>
            <w:tcBorders>
              <w:top w:val="single" w:sz="4" w:space="0" w:color="365F91"/>
              <w:bottom w:val="single" w:sz="4" w:space="0" w:color="365F91"/>
            </w:tcBorders>
            <w:noWrap/>
            <w:vAlign w:val="bottom"/>
          </w:tcPr>
          <w:p w14:paraId="7F7C7EE4" w14:textId="77777777" w:rsidR="0068777C" w:rsidRPr="00256982" w:rsidRDefault="0068777C" w:rsidP="00AD05B0">
            <w:pPr>
              <w:pStyle w:val="TableText"/>
              <w:spacing w:before="50" w:after="50"/>
              <w:jc w:val="center"/>
            </w:pPr>
            <w:r w:rsidRPr="00256982">
              <w:t>30.</w:t>
            </w:r>
            <w:r w:rsidRPr="00256982">
              <w:rPr>
                <w:rFonts w:cs="Arial"/>
              </w:rPr>
              <w:t>9</w:t>
            </w:r>
          </w:p>
        </w:tc>
      </w:tr>
      <w:tr w:rsidR="0068777C" w:rsidRPr="00256982" w14:paraId="3FE864F0" w14:textId="77777777" w:rsidTr="0068777C">
        <w:tc>
          <w:tcPr>
            <w:tcW w:w="1351" w:type="dxa"/>
            <w:tcBorders>
              <w:top w:val="single" w:sz="4" w:space="0" w:color="365F91"/>
              <w:bottom w:val="single" w:sz="4" w:space="0" w:color="365F91"/>
            </w:tcBorders>
            <w:noWrap/>
          </w:tcPr>
          <w:p w14:paraId="7DF041E4" w14:textId="77777777" w:rsidR="0068777C" w:rsidRPr="00256982" w:rsidRDefault="0068777C" w:rsidP="00AD05B0">
            <w:pPr>
              <w:pStyle w:val="TableText"/>
              <w:spacing w:before="50" w:after="50"/>
            </w:pPr>
            <w:r w:rsidRPr="00256982">
              <w:t>2005</w:t>
            </w:r>
          </w:p>
        </w:tc>
        <w:tc>
          <w:tcPr>
            <w:tcW w:w="1791" w:type="dxa"/>
            <w:tcBorders>
              <w:top w:val="single" w:sz="4" w:space="0" w:color="365F91"/>
              <w:bottom w:val="single" w:sz="4" w:space="0" w:color="365F91"/>
            </w:tcBorders>
            <w:noWrap/>
            <w:vAlign w:val="bottom"/>
          </w:tcPr>
          <w:p w14:paraId="051CBF91" w14:textId="77777777" w:rsidR="0068777C" w:rsidRPr="00256982" w:rsidRDefault="0068777C" w:rsidP="00AD05B0">
            <w:pPr>
              <w:pStyle w:val="TableText"/>
              <w:spacing w:before="50" w:after="50"/>
              <w:jc w:val="center"/>
            </w:pPr>
            <w:r w:rsidRPr="00256982">
              <w:t>115.8</w:t>
            </w:r>
          </w:p>
        </w:tc>
        <w:tc>
          <w:tcPr>
            <w:tcW w:w="1791" w:type="dxa"/>
            <w:tcBorders>
              <w:top w:val="single" w:sz="4" w:space="0" w:color="365F91"/>
              <w:bottom w:val="single" w:sz="4" w:space="0" w:color="365F91"/>
            </w:tcBorders>
            <w:noWrap/>
            <w:vAlign w:val="bottom"/>
          </w:tcPr>
          <w:p w14:paraId="3AEDDB58" w14:textId="77777777" w:rsidR="0068777C" w:rsidRPr="00256982" w:rsidRDefault="0068777C" w:rsidP="00AD05B0">
            <w:pPr>
              <w:pStyle w:val="TableText"/>
              <w:spacing w:before="50" w:after="50"/>
              <w:jc w:val="center"/>
            </w:pPr>
            <w:r w:rsidRPr="00256982">
              <w:t>75.</w:t>
            </w:r>
            <w:r w:rsidRPr="00256982">
              <w:rPr>
                <w:rFonts w:cs="Arial"/>
              </w:rPr>
              <w:t>2</w:t>
            </w:r>
          </w:p>
        </w:tc>
        <w:tc>
          <w:tcPr>
            <w:tcW w:w="1807" w:type="dxa"/>
            <w:tcBorders>
              <w:top w:val="single" w:sz="4" w:space="0" w:color="365F91"/>
              <w:bottom w:val="single" w:sz="4" w:space="0" w:color="365F91"/>
            </w:tcBorders>
            <w:noWrap/>
            <w:vAlign w:val="bottom"/>
          </w:tcPr>
          <w:p w14:paraId="52048540" w14:textId="77777777" w:rsidR="0068777C" w:rsidRPr="00256982" w:rsidRDefault="0068777C" w:rsidP="00AD05B0">
            <w:pPr>
              <w:pStyle w:val="TableText"/>
              <w:spacing w:before="50" w:after="50"/>
              <w:jc w:val="center"/>
            </w:pPr>
            <w:r w:rsidRPr="00256982">
              <w:t>16.</w:t>
            </w:r>
            <w:r w:rsidRPr="00256982">
              <w:rPr>
                <w:rFonts w:cs="Arial"/>
              </w:rPr>
              <w:t>0</w:t>
            </w:r>
          </w:p>
        </w:tc>
        <w:tc>
          <w:tcPr>
            <w:tcW w:w="1765" w:type="dxa"/>
            <w:tcBorders>
              <w:top w:val="single" w:sz="4" w:space="0" w:color="365F91"/>
              <w:bottom w:val="single" w:sz="4" w:space="0" w:color="365F91"/>
            </w:tcBorders>
            <w:noWrap/>
            <w:vAlign w:val="bottom"/>
          </w:tcPr>
          <w:p w14:paraId="1278D0A1" w14:textId="77777777" w:rsidR="0068777C" w:rsidRPr="00256982" w:rsidRDefault="0068777C" w:rsidP="00AD05B0">
            <w:pPr>
              <w:pStyle w:val="TableText"/>
              <w:spacing w:before="50" w:after="50"/>
              <w:jc w:val="center"/>
            </w:pPr>
            <w:r w:rsidRPr="00256982">
              <w:t>31.</w:t>
            </w:r>
            <w:r w:rsidRPr="00256982">
              <w:rPr>
                <w:rFonts w:cs="Arial"/>
              </w:rPr>
              <w:t>1</w:t>
            </w:r>
          </w:p>
        </w:tc>
      </w:tr>
      <w:tr w:rsidR="0068777C" w:rsidRPr="00256982" w14:paraId="3E1E3D60" w14:textId="77777777" w:rsidTr="0068777C">
        <w:tc>
          <w:tcPr>
            <w:tcW w:w="1351" w:type="dxa"/>
            <w:tcBorders>
              <w:top w:val="single" w:sz="4" w:space="0" w:color="365F91"/>
              <w:bottom w:val="single" w:sz="4" w:space="0" w:color="365F91"/>
            </w:tcBorders>
            <w:noWrap/>
          </w:tcPr>
          <w:p w14:paraId="51752AB8" w14:textId="77777777" w:rsidR="0068777C" w:rsidRPr="00256982" w:rsidRDefault="0068777C" w:rsidP="00AD05B0">
            <w:pPr>
              <w:pStyle w:val="TableText"/>
              <w:spacing w:before="50" w:after="50"/>
            </w:pPr>
            <w:r w:rsidRPr="00256982">
              <w:t>2006</w:t>
            </w:r>
          </w:p>
        </w:tc>
        <w:tc>
          <w:tcPr>
            <w:tcW w:w="1791" w:type="dxa"/>
            <w:tcBorders>
              <w:top w:val="single" w:sz="4" w:space="0" w:color="365F91"/>
              <w:bottom w:val="single" w:sz="4" w:space="0" w:color="365F91"/>
            </w:tcBorders>
            <w:noWrap/>
            <w:vAlign w:val="bottom"/>
          </w:tcPr>
          <w:p w14:paraId="16F4C564" w14:textId="77777777" w:rsidR="0068777C" w:rsidRPr="00256982" w:rsidRDefault="0068777C" w:rsidP="00AD05B0">
            <w:pPr>
              <w:pStyle w:val="TableText"/>
              <w:spacing w:before="50" w:after="50"/>
              <w:jc w:val="center"/>
            </w:pPr>
            <w:r w:rsidRPr="00256982">
              <w:t>115.0</w:t>
            </w:r>
          </w:p>
        </w:tc>
        <w:tc>
          <w:tcPr>
            <w:tcW w:w="1791" w:type="dxa"/>
            <w:tcBorders>
              <w:top w:val="single" w:sz="4" w:space="0" w:color="365F91"/>
              <w:bottom w:val="single" w:sz="4" w:space="0" w:color="365F91"/>
            </w:tcBorders>
            <w:noWrap/>
            <w:vAlign w:val="bottom"/>
          </w:tcPr>
          <w:p w14:paraId="47453A0F" w14:textId="77777777" w:rsidR="0068777C" w:rsidRPr="00256982" w:rsidRDefault="0068777C" w:rsidP="00AD05B0">
            <w:pPr>
              <w:pStyle w:val="TableText"/>
              <w:spacing w:before="50" w:after="50"/>
              <w:jc w:val="center"/>
            </w:pPr>
            <w:r w:rsidRPr="00256982">
              <w:t>76.</w:t>
            </w:r>
            <w:r w:rsidRPr="00256982">
              <w:rPr>
                <w:rFonts w:cs="Arial"/>
              </w:rPr>
              <w:t>7</w:t>
            </w:r>
          </w:p>
        </w:tc>
        <w:tc>
          <w:tcPr>
            <w:tcW w:w="1807" w:type="dxa"/>
            <w:tcBorders>
              <w:top w:val="single" w:sz="4" w:space="0" w:color="365F91"/>
              <w:bottom w:val="single" w:sz="4" w:space="0" w:color="365F91"/>
            </w:tcBorders>
            <w:noWrap/>
            <w:vAlign w:val="bottom"/>
          </w:tcPr>
          <w:p w14:paraId="45D13C26" w14:textId="77777777" w:rsidR="0068777C" w:rsidRPr="00256982" w:rsidRDefault="0068777C" w:rsidP="00AD05B0">
            <w:pPr>
              <w:pStyle w:val="TableText"/>
              <w:spacing w:before="50" w:after="50"/>
              <w:jc w:val="center"/>
            </w:pPr>
            <w:r w:rsidRPr="00256982">
              <w:t>15.</w:t>
            </w:r>
            <w:r w:rsidRPr="00256982">
              <w:rPr>
                <w:rFonts w:cs="Arial"/>
              </w:rPr>
              <w:t>8</w:t>
            </w:r>
          </w:p>
        </w:tc>
        <w:tc>
          <w:tcPr>
            <w:tcW w:w="1765" w:type="dxa"/>
            <w:tcBorders>
              <w:top w:val="single" w:sz="4" w:space="0" w:color="365F91"/>
              <w:bottom w:val="single" w:sz="4" w:space="0" w:color="365F91"/>
            </w:tcBorders>
            <w:noWrap/>
            <w:vAlign w:val="bottom"/>
          </w:tcPr>
          <w:p w14:paraId="06FD4A76" w14:textId="77777777" w:rsidR="0068777C" w:rsidRPr="00256982" w:rsidRDefault="0068777C" w:rsidP="00AD05B0">
            <w:pPr>
              <w:pStyle w:val="TableText"/>
              <w:spacing w:before="50" w:after="50"/>
              <w:jc w:val="center"/>
            </w:pPr>
            <w:r w:rsidRPr="00256982">
              <w:t>31.</w:t>
            </w:r>
            <w:r w:rsidRPr="00256982">
              <w:rPr>
                <w:rFonts w:cs="Arial"/>
              </w:rPr>
              <w:t>2</w:t>
            </w:r>
          </w:p>
        </w:tc>
      </w:tr>
      <w:tr w:rsidR="0068777C" w:rsidRPr="00256982" w14:paraId="3F832637" w14:textId="77777777" w:rsidTr="0068777C">
        <w:tc>
          <w:tcPr>
            <w:tcW w:w="1351" w:type="dxa"/>
            <w:tcBorders>
              <w:top w:val="single" w:sz="4" w:space="0" w:color="365F91"/>
              <w:bottom w:val="single" w:sz="4" w:space="0" w:color="365F91"/>
            </w:tcBorders>
            <w:noWrap/>
          </w:tcPr>
          <w:p w14:paraId="292561AB" w14:textId="77777777" w:rsidR="0068777C" w:rsidRPr="00256982" w:rsidRDefault="0068777C" w:rsidP="00AD05B0">
            <w:pPr>
              <w:pStyle w:val="TableText"/>
              <w:spacing w:before="50" w:after="50"/>
            </w:pPr>
            <w:r w:rsidRPr="00256982">
              <w:t>2007</w:t>
            </w:r>
          </w:p>
        </w:tc>
        <w:tc>
          <w:tcPr>
            <w:tcW w:w="1791" w:type="dxa"/>
            <w:tcBorders>
              <w:top w:val="single" w:sz="4" w:space="0" w:color="365F91"/>
              <w:bottom w:val="single" w:sz="4" w:space="0" w:color="365F91"/>
            </w:tcBorders>
            <w:noWrap/>
            <w:vAlign w:val="bottom"/>
          </w:tcPr>
          <w:p w14:paraId="1A20B623" w14:textId="77777777" w:rsidR="0068777C" w:rsidRPr="00256982" w:rsidRDefault="0068777C" w:rsidP="00AD05B0">
            <w:pPr>
              <w:pStyle w:val="TableText"/>
              <w:spacing w:before="50" w:after="50"/>
              <w:jc w:val="center"/>
            </w:pPr>
            <w:r w:rsidRPr="00256982">
              <w:t>113.7</w:t>
            </w:r>
          </w:p>
        </w:tc>
        <w:tc>
          <w:tcPr>
            <w:tcW w:w="1791" w:type="dxa"/>
            <w:tcBorders>
              <w:top w:val="single" w:sz="4" w:space="0" w:color="365F91"/>
              <w:bottom w:val="single" w:sz="4" w:space="0" w:color="365F91"/>
            </w:tcBorders>
            <w:noWrap/>
            <w:vAlign w:val="bottom"/>
          </w:tcPr>
          <w:p w14:paraId="73F82E75" w14:textId="77777777" w:rsidR="0068777C" w:rsidRPr="00256982" w:rsidRDefault="0068777C" w:rsidP="00AD05B0">
            <w:pPr>
              <w:pStyle w:val="TableText"/>
              <w:spacing w:before="50" w:after="50"/>
              <w:jc w:val="center"/>
            </w:pPr>
            <w:r w:rsidRPr="00256982">
              <w:t>75.</w:t>
            </w:r>
            <w:r w:rsidRPr="00256982">
              <w:rPr>
                <w:rFonts w:cs="Arial"/>
              </w:rPr>
              <w:t>7</w:t>
            </w:r>
          </w:p>
        </w:tc>
        <w:tc>
          <w:tcPr>
            <w:tcW w:w="1807" w:type="dxa"/>
            <w:tcBorders>
              <w:top w:val="single" w:sz="4" w:space="0" w:color="365F91"/>
              <w:bottom w:val="single" w:sz="4" w:space="0" w:color="365F91"/>
            </w:tcBorders>
            <w:noWrap/>
            <w:vAlign w:val="bottom"/>
          </w:tcPr>
          <w:p w14:paraId="131B453A" w14:textId="77777777" w:rsidR="0068777C" w:rsidRPr="00256982" w:rsidRDefault="0068777C" w:rsidP="00AD05B0">
            <w:pPr>
              <w:pStyle w:val="TableText"/>
              <w:spacing w:before="50" w:after="50"/>
              <w:jc w:val="center"/>
            </w:pPr>
            <w:r w:rsidRPr="00256982">
              <w:t>15.</w:t>
            </w:r>
            <w:r w:rsidRPr="00256982">
              <w:rPr>
                <w:rFonts w:cs="Arial"/>
              </w:rPr>
              <w:t>6</w:t>
            </w:r>
          </w:p>
        </w:tc>
        <w:tc>
          <w:tcPr>
            <w:tcW w:w="1765" w:type="dxa"/>
            <w:tcBorders>
              <w:top w:val="single" w:sz="4" w:space="0" w:color="365F91"/>
              <w:bottom w:val="single" w:sz="4" w:space="0" w:color="365F91"/>
            </w:tcBorders>
            <w:noWrap/>
            <w:vAlign w:val="bottom"/>
          </w:tcPr>
          <w:p w14:paraId="183B8C54" w14:textId="77777777" w:rsidR="0068777C" w:rsidRPr="00256982" w:rsidRDefault="0068777C" w:rsidP="00AD05B0">
            <w:pPr>
              <w:pStyle w:val="TableText"/>
              <w:spacing w:before="50" w:after="50"/>
              <w:jc w:val="center"/>
            </w:pPr>
            <w:r w:rsidRPr="00256982">
              <w:t>31.</w:t>
            </w:r>
            <w:r w:rsidRPr="00256982">
              <w:rPr>
                <w:rFonts w:cs="Arial"/>
              </w:rPr>
              <w:t>2</w:t>
            </w:r>
          </w:p>
        </w:tc>
      </w:tr>
      <w:tr w:rsidR="0068777C" w:rsidRPr="00256982" w14:paraId="04B45E84" w14:textId="77777777" w:rsidTr="0068777C">
        <w:tc>
          <w:tcPr>
            <w:tcW w:w="1351" w:type="dxa"/>
            <w:tcBorders>
              <w:top w:val="single" w:sz="4" w:space="0" w:color="365F91"/>
              <w:bottom w:val="single" w:sz="4" w:space="0" w:color="365F91"/>
            </w:tcBorders>
            <w:noWrap/>
          </w:tcPr>
          <w:p w14:paraId="255DF28F" w14:textId="77777777" w:rsidR="0068777C" w:rsidRPr="00256982" w:rsidRDefault="0068777C" w:rsidP="00AD05B0">
            <w:pPr>
              <w:pStyle w:val="TableText"/>
              <w:spacing w:before="50" w:after="50"/>
            </w:pPr>
            <w:r w:rsidRPr="00256982">
              <w:t>2008</w:t>
            </w:r>
          </w:p>
        </w:tc>
        <w:tc>
          <w:tcPr>
            <w:tcW w:w="1791" w:type="dxa"/>
            <w:tcBorders>
              <w:top w:val="single" w:sz="4" w:space="0" w:color="365F91"/>
              <w:bottom w:val="single" w:sz="4" w:space="0" w:color="365F91"/>
            </w:tcBorders>
            <w:noWrap/>
            <w:vAlign w:val="bottom"/>
          </w:tcPr>
          <w:p w14:paraId="202F24FA" w14:textId="77777777" w:rsidR="0068777C" w:rsidRPr="00256982" w:rsidRDefault="0068777C" w:rsidP="00AD05B0">
            <w:pPr>
              <w:pStyle w:val="TableText"/>
              <w:spacing w:before="50" w:after="50"/>
              <w:jc w:val="center"/>
            </w:pPr>
            <w:r w:rsidRPr="00256982">
              <w:t>112.0</w:t>
            </w:r>
          </w:p>
        </w:tc>
        <w:tc>
          <w:tcPr>
            <w:tcW w:w="1791" w:type="dxa"/>
            <w:tcBorders>
              <w:top w:val="single" w:sz="4" w:space="0" w:color="365F91"/>
              <w:bottom w:val="single" w:sz="4" w:space="0" w:color="365F91"/>
            </w:tcBorders>
            <w:noWrap/>
            <w:vAlign w:val="bottom"/>
          </w:tcPr>
          <w:p w14:paraId="4BAA5A2B" w14:textId="77777777" w:rsidR="0068777C" w:rsidRPr="00256982" w:rsidRDefault="0068777C" w:rsidP="00AD05B0">
            <w:pPr>
              <w:pStyle w:val="TableText"/>
              <w:spacing w:before="50" w:after="50"/>
              <w:jc w:val="center"/>
            </w:pPr>
            <w:r w:rsidRPr="00256982">
              <w:t>75.</w:t>
            </w:r>
            <w:r w:rsidRPr="00256982">
              <w:rPr>
                <w:rFonts w:cs="Arial"/>
              </w:rPr>
              <w:t>0</w:t>
            </w:r>
          </w:p>
        </w:tc>
        <w:tc>
          <w:tcPr>
            <w:tcW w:w="1807" w:type="dxa"/>
            <w:tcBorders>
              <w:top w:val="single" w:sz="4" w:space="0" w:color="365F91"/>
              <w:bottom w:val="single" w:sz="4" w:space="0" w:color="365F91"/>
            </w:tcBorders>
            <w:noWrap/>
            <w:vAlign w:val="bottom"/>
          </w:tcPr>
          <w:p w14:paraId="61520B2C" w14:textId="77777777" w:rsidR="0068777C" w:rsidRPr="00256982" w:rsidRDefault="0068777C" w:rsidP="00AD05B0">
            <w:pPr>
              <w:pStyle w:val="TableText"/>
              <w:spacing w:before="50" w:after="50"/>
              <w:jc w:val="center"/>
            </w:pPr>
            <w:r w:rsidRPr="00256982">
              <w:t>15.</w:t>
            </w:r>
            <w:r w:rsidRPr="00256982">
              <w:rPr>
                <w:rFonts w:cs="Arial"/>
              </w:rPr>
              <w:t>9</w:t>
            </w:r>
          </w:p>
        </w:tc>
        <w:tc>
          <w:tcPr>
            <w:tcW w:w="1765" w:type="dxa"/>
            <w:tcBorders>
              <w:top w:val="single" w:sz="4" w:space="0" w:color="365F91"/>
              <w:bottom w:val="single" w:sz="4" w:space="0" w:color="365F91"/>
            </w:tcBorders>
            <w:noWrap/>
            <w:vAlign w:val="bottom"/>
          </w:tcPr>
          <w:p w14:paraId="238371E0" w14:textId="77777777" w:rsidR="0068777C" w:rsidRPr="00256982" w:rsidRDefault="0068777C" w:rsidP="00AD05B0">
            <w:pPr>
              <w:pStyle w:val="TableText"/>
              <w:spacing w:before="50" w:after="50"/>
              <w:jc w:val="center"/>
            </w:pPr>
            <w:r w:rsidRPr="00256982">
              <w:t>31.</w:t>
            </w:r>
            <w:r w:rsidRPr="00256982">
              <w:rPr>
                <w:rFonts w:cs="Arial"/>
              </w:rPr>
              <w:t>1</w:t>
            </w:r>
          </w:p>
        </w:tc>
      </w:tr>
      <w:tr w:rsidR="0068777C" w:rsidRPr="00256982" w14:paraId="22E500B7" w14:textId="77777777" w:rsidTr="0068777C">
        <w:tc>
          <w:tcPr>
            <w:tcW w:w="1351" w:type="dxa"/>
            <w:tcBorders>
              <w:top w:val="single" w:sz="4" w:space="0" w:color="365F91"/>
              <w:bottom w:val="single" w:sz="4" w:space="0" w:color="365F91"/>
            </w:tcBorders>
            <w:noWrap/>
          </w:tcPr>
          <w:p w14:paraId="169AB404" w14:textId="77777777" w:rsidR="0068777C" w:rsidRPr="00256982" w:rsidRDefault="0068777C" w:rsidP="00AD05B0">
            <w:pPr>
              <w:pStyle w:val="TableText"/>
              <w:spacing w:before="50" w:after="50"/>
            </w:pPr>
            <w:r w:rsidRPr="00256982">
              <w:t>2009</w:t>
            </w:r>
          </w:p>
        </w:tc>
        <w:tc>
          <w:tcPr>
            <w:tcW w:w="1791" w:type="dxa"/>
            <w:tcBorders>
              <w:top w:val="single" w:sz="4" w:space="0" w:color="365F91"/>
              <w:bottom w:val="single" w:sz="4" w:space="0" w:color="365F91"/>
            </w:tcBorders>
            <w:noWrap/>
            <w:vAlign w:val="bottom"/>
          </w:tcPr>
          <w:p w14:paraId="47F8AA8F" w14:textId="77777777" w:rsidR="0068777C" w:rsidRPr="00256982" w:rsidRDefault="0068777C" w:rsidP="00AD05B0">
            <w:pPr>
              <w:pStyle w:val="TableText"/>
              <w:spacing w:before="50" w:after="50"/>
              <w:jc w:val="center"/>
            </w:pPr>
            <w:r w:rsidRPr="00256982">
              <w:t>112.8</w:t>
            </w:r>
          </w:p>
        </w:tc>
        <w:tc>
          <w:tcPr>
            <w:tcW w:w="1791" w:type="dxa"/>
            <w:tcBorders>
              <w:top w:val="single" w:sz="4" w:space="0" w:color="365F91"/>
              <w:bottom w:val="single" w:sz="4" w:space="0" w:color="365F91"/>
            </w:tcBorders>
            <w:noWrap/>
            <w:vAlign w:val="bottom"/>
          </w:tcPr>
          <w:p w14:paraId="29B41721" w14:textId="77777777" w:rsidR="0068777C" w:rsidRPr="00256982" w:rsidRDefault="0068777C" w:rsidP="00AD05B0">
            <w:pPr>
              <w:pStyle w:val="TableText"/>
              <w:spacing w:before="50" w:after="50"/>
              <w:jc w:val="center"/>
            </w:pPr>
            <w:r w:rsidRPr="00256982">
              <w:t>74.</w:t>
            </w:r>
            <w:r w:rsidRPr="00256982">
              <w:rPr>
                <w:rFonts w:cs="Arial"/>
              </w:rPr>
              <w:t>4</w:t>
            </w:r>
          </w:p>
        </w:tc>
        <w:tc>
          <w:tcPr>
            <w:tcW w:w="1807" w:type="dxa"/>
            <w:tcBorders>
              <w:top w:val="single" w:sz="4" w:space="0" w:color="365F91"/>
              <w:bottom w:val="single" w:sz="4" w:space="0" w:color="365F91"/>
            </w:tcBorders>
            <w:noWrap/>
            <w:vAlign w:val="bottom"/>
          </w:tcPr>
          <w:p w14:paraId="7CE80508" w14:textId="77777777" w:rsidR="0068777C" w:rsidRPr="00256982" w:rsidRDefault="0068777C" w:rsidP="00AD05B0">
            <w:pPr>
              <w:pStyle w:val="TableText"/>
              <w:spacing w:before="50" w:after="50"/>
              <w:jc w:val="center"/>
            </w:pPr>
            <w:r w:rsidRPr="00256982">
              <w:t>16.</w:t>
            </w:r>
            <w:r w:rsidRPr="00256982">
              <w:rPr>
                <w:rFonts w:cs="Arial"/>
              </w:rPr>
              <w:t>2</w:t>
            </w:r>
          </w:p>
        </w:tc>
        <w:tc>
          <w:tcPr>
            <w:tcW w:w="1765" w:type="dxa"/>
            <w:tcBorders>
              <w:top w:val="single" w:sz="4" w:space="0" w:color="365F91"/>
              <w:bottom w:val="single" w:sz="4" w:space="0" w:color="365F91"/>
            </w:tcBorders>
            <w:noWrap/>
            <w:vAlign w:val="bottom"/>
          </w:tcPr>
          <w:p w14:paraId="6C15FF03" w14:textId="77777777" w:rsidR="0068777C" w:rsidRPr="00256982" w:rsidRDefault="0068777C" w:rsidP="00AD05B0">
            <w:pPr>
              <w:pStyle w:val="TableText"/>
              <w:spacing w:before="50" w:after="50"/>
              <w:jc w:val="center"/>
            </w:pPr>
            <w:r w:rsidRPr="00256982">
              <w:t>31.</w:t>
            </w:r>
            <w:r w:rsidRPr="00256982">
              <w:rPr>
                <w:rFonts w:cs="Arial"/>
              </w:rPr>
              <w:t>1</w:t>
            </w:r>
          </w:p>
        </w:tc>
      </w:tr>
      <w:tr w:rsidR="0068777C" w:rsidRPr="00256982" w14:paraId="60543BFE" w14:textId="77777777" w:rsidTr="0068777C">
        <w:tc>
          <w:tcPr>
            <w:tcW w:w="1351" w:type="dxa"/>
            <w:tcBorders>
              <w:top w:val="single" w:sz="4" w:space="0" w:color="365F91"/>
              <w:bottom w:val="single" w:sz="4" w:space="0" w:color="365F91"/>
            </w:tcBorders>
            <w:noWrap/>
          </w:tcPr>
          <w:p w14:paraId="4659323D" w14:textId="77777777" w:rsidR="0068777C" w:rsidRPr="00256982" w:rsidRDefault="0068777C" w:rsidP="00AD05B0">
            <w:pPr>
              <w:pStyle w:val="TableText"/>
              <w:spacing w:before="50" w:after="50"/>
            </w:pPr>
            <w:r w:rsidRPr="00256982">
              <w:t>2010</w:t>
            </w:r>
          </w:p>
        </w:tc>
        <w:tc>
          <w:tcPr>
            <w:tcW w:w="1791" w:type="dxa"/>
            <w:tcBorders>
              <w:top w:val="single" w:sz="4" w:space="0" w:color="365F91"/>
              <w:bottom w:val="single" w:sz="4" w:space="0" w:color="365F91"/>
            </w:tcBorders>
            <w:noWrap/>
            <w:vAlign w:val="bottom"/>
          </w:tcPr>
          <w:p w14:paraId="66E92C1E" w14:textId="77777777" w:rsidR="0068777C" w:rsidRPr="00256982" w:rsidRDefault="0068777C" w:rsidP="00AD05B0">
            <w:pPr>
              <w:pStyle w:val="TableText"/>
              <w:spacing w:before="50" w:after="50"/>
              <w:jc w:val="center"/>
            </w:pPr>
            <w:r w:rsidRPr="00256982">
              <w:t>115.5</w:t>
            </w:r>
          </w:p>
        </w:tc>
        <w:tc>
          <w:tcPr>
            <w:tcW w:w="1791" w:type="dxa"/>
            <w:tcBorders>
              <w:top w:val="single" w:sz="4" w:space="0" w:color="365F91"/>
              <w:bottom w:val="single" w:sz="4" w:space="0" w:color="365F91"/>
            </w:tcBorders>
            <w:noWrap/>
            <w:vAlign w:val="bottom"/>
          </w:tcPr>
          <w:p w14:paraId="1A4E7290" w14:textId="77777777" w:rsidR="0068777C" w:rsidRPr="00256982" w:rsidRDefault="0068777C" w:rsidP="00AD05B0">
            <w:pPr>
              <w:pStyle w:val="TableText"/>
              <w:spacing w:before="50" w:after="50"/>
              <w:jc w:val="center"/>
            </w:pPr>
            <w:r w:rsidRPr="00256982">
              <w:t>74.</w:t>
            </w:r>
            <w:r w:rsidRPr="00256982">
              <w:rPr>
                <w:rFonts w:cs="Arial"/>
              </w:rPr>
              <w:t>3</w:t>
            </w:r>
          </w:p>
        </w:tc>
        <w:tc>
          <w:tcPr>
            <w:tcW w:w="1807" w:type="dxa"/>
            <w:tcBorders>
              <w:top w:val="single" w:sz="4" w:space="0" w:color="365F91"/>
              <w:bottom w:val="single" w:sz="4" w:space="0" w:color="365F91"/>
            </w:tcBorders>
            <w:noWrap/>
            <w:vAlign w:val="bottom"/>
          </w:tcPr>
          <w:p w14:paraId="4E8DB4DC" w14:textId="77777777" w:rsidR="0068777C" w:rsidRPr="00256982" w:rsidRDefault="0068777C" w:rsidP="00AD05B0">
            <w:pPr>
              <w:pStyle w:val="TableText"/>
              <w:spacing w:before="50" w:after="50"/>
              <w:jc w:val="center"/>
            </w:pPr>
            <w:r w:rsidRPr="00256982">
              <w:t>15.</w:t>
            </w:r>
            <w:r w:rsidRPr="00256982">
              <w:rPr>
                <w:rFonts w:cs="Arial"/>
              </w:rPr>
              <w:t>7</w:t>
            </w:r>
          </w:p>
        </w:tc>
        <w:tc>
          <w:tcPr>
            <w:tcW w:w="1765" w:type="dxa"/>
            <w:tcBorders>
              <w:top w:val="single" w:sz="4" w:space="0" w:color="365F91"/>
              <w:bottom w:val="single" w:sz="4" w:space="0" w:color="365F91"/>
            </w:tcBorders>
            <w:noWrap/>
            <w:vAlign w:val="bottom"/>
          </w:tcPr>
          <w:p w14:paraId="2D603EC1" w14:textId="77777777" w:rsidR="0068777C" w:rsidRPr="00256982" w:rsidRDefault="0068777C" w:rsidP="00AD05B0">
            <w:pPr>
              <w:pStyle w:val="TableText"/>
              <w:spacing w:before="50" w:after="50"/>
              <w:jc w:val="center"/>
            </w:pPr>
            <w:r w:rsidRPr="00256982">
              <w:t>31.</w:t>
            </w:r>
            <w:r w:rsidRPr="00256982">
              <w:rPr>
                <w:rFonts w:cs="Arial"/>
              </w:rPr>
              <w:t>0</w:t>
            </w:r>
          </w:p>
        </w:tc>
      </w:tr>
      <w:tr w:rsidR="0068777C" w:rsidRPr="00256982" w14:paraId="0F44D22D" w14:textId="77777777" w:rsidTr="0068777C">
        <w:tc>
          <w:tcPr>
            <w:tcW w:w="1351" w:type="dxa"/>
            <w:tcBorders>
              <w:top w:val="single" w:sz="4" w:space="0" w:color="365F91"/>
              <w:bottom w:val="single" w:sz="4" w:space="0" w:color="365F91"/>
            </w:tcBorders>
            <w:noWrap/>
          </w:tcPr>
          <w:p w14:paraId="1A8E5CDD" w14:textId="77777777" w:rsidR="0068777C" w:rsidRPr="00256982" w:rsidRDefault="0068777C" w:rsidP="00AD05B0">
            <w:pPr>
              <w:pStyle w:val="TableText"/>
              <w:spacing w:before="50" w:after="50"/>
            </w:pPr>
            <w:r w:rsidRPr="00256982">
              <w:t>2011</w:t>
            </w:r>
          </w:p>
        </w:tc>
        <w:tc>
          <w:tcPr>
            <w:tcW w:w="1791" w:type="dxa"/>
            <w:tcBorders>
              <w:top w:val="single" w:sz="4" w:space="0" w:color="365F91"/>
              <w:bottom w:val="single" w:sz="4" w:space="0" w:color="365F91"/>
            </w:tcBorders>
            <w:noWrap/>
            <w:vAlign w:val="bottom"/>
          </w:tcPr>
          <w:p w14:paraId="628D38BD" w14:textId="77777777" w:rsidR="0068777C" w:rsidRPr="00256982" w:rsidRDefault="0068777C" w:rsidP="00AD05B0">
            <w:pPr>
              <w:pStyle w:val="TableText"/>
              <w:spacing w:before="50" w:after="50"/>
              <w:jc w:val="center"/>
            </w:pPr>
            <w:r w:rsidRPr="00256982">
              <w:t>116.5</w:t>
            </w:r>
          </w:p>
        </w:tc>
        <w:tc>
          <w:tcPr>
            <w:tcW w:w="1791" w:type="dxa"/>
            <w:tcBorders>
              <w:top w:val="single" w:sz="4" w:space="0" w:color="365F91"/>
              <w:bottom w:val="single" w:sz="4" w:space="0" w:color="365F91"/>
            </w:tcBorders>
            <w:noWrap/>
            <w:vAlign w:val="bottom"/>
          </w:tcPr>
          <w:p w14:paraId="5EC69C2D" w14:textId="77777777" w:rsidR="0068777C" w:rsidRPr="00256982" w:rsidRDefault="0068777C" w:rsidP="00AD05B0">
            <w:pPr>
              <w:pStyle w:val="TableText"/>
              <w:spacing w:before="50" w:after="50"/>
              <w:jc w:val="center"/>
            </w:pPr>
            <w:r w:rsidRPr="00256982">
              <w:t>75.</w:t>
            </w:r>
            <w:r w:rsidRPr="00256982">
              <w:rPr>
                <w:rFonts w:cs="Arial"/>
              </w:rPr>
              <w:t>3</w:t>
            </w:r>
          </w:p>
        </w:tc>
        <w:tc>
          <w:tcPr>
            <w:tcW w:w="1807" w:type="dxa"/>
            <w:tcBorders>
              <w:top w:val="single" w:sz="4" w:space="0" w:color="365F91"/>
              <w:bottom w:val="single" w:sz="4" w:space="0" w:color="365F91"/>
            </w:tcBorders>
            <w:noWrap/>
            <w:vAlign w:val="bottom"/>
          </w:tcPr>
          <w:p w14:paraId="04624B4F" w14:textId="77777777" w:rsidR="0068777C" w:rsidRPr="00256982" w:rsidRDefault="0068777C" w:rsidP="00AD05B0">
            <w:pPr>
              <w:pStyle w:val="TableText"/>
              <w:spacing w:before="50" w:after="50"/>
              <w:jc w:val="center"/>
            </w:pPr>
            <w:r w:rsidRPr="00256982">
              <w:t>16.</w:t>
            </w:r>
            <w:r w:rsidRPr="00256982">
              <w:rPr>
                <w:rFonts w:cs="Arial"/>
              </w:rPr>
              <w:t>0</w:t>
            </w:r>
          </w:p>
        </w:tc>
        <w:tc>
          <w:tcPr>
            <w:tcW w:w="1765" w:type="dxa"/>
            <w:tcBorders>
              <w:top w:val="single" w:sz="4" w:space="0" w:color="365F91"/>
              <w:bottom w:val="single" w:sz="4" w:space="0" w:color="365F91"/>
            </w:tcBorders>
            <w:noWrap/>
            <w:vAlign w:val="bottom"/>
          </w:tcPr>
          <w:p w14:paraId="49EFCAD3" w14:textId="77777777" w:rsidR="0068777C" w:rsidRPr="00256982" w:rsidRDefault="0068777C" w:rsidP="00AD05B0">
            <w:pPr>
              <w:pStyle w:val="TableText"/>
              <w:spacing w:before="50" w:after="50"/>
              <w:jc w:val="center"/>
            </w:pPr>
            <w:r w:rsidRPr="00256982">
              <w:t>31.</w:t>
            </w:r>
            <w:r w:rsidRPr="00256982">
              <w:rPr>
                <w:rFonts w:cs="Arial"/>
              </w:rPr>
              <w:t>3</w:t>
            </w:r>
          </w:p>
        </w:tc>
      </w:tr>
      <w:tr w:rsidR="0068777C" w:rsidRPr="00256982" w14:paraId="28896D68" w14:textId="77777777" w:rsidTr="0068777C">
        <w:tc>
          <w:tcPr>
            <w:tcW w:w="1351" w:type="dxa"/>
            <w:tcBorders>
              <w:top w:val="single" w:sz="4" w:space="0" w:color="365F91"/>
              <w:bottom w:val="single" w:sz="4" w:space="0" w:color="365F91"/>
            </w:tcBorders>
            <w:noWrap/>
          </w:tcPr>
          <w:p w14:paraId="5E3FD3CD" w14:textId="77777777" w:rsidR="0068777C" w:rsidRPr="00256982" w:rsidRDefault="0068777C" w:rsidP="00AD05B0">
            <w:pPr>
              <w:pStyle w:val="TableText"/>
              <w:spacing w:before="50" w:after="50"/>
            </w:pPr>
            <w:r w:rsidRPr="00256982">
              <w:t>2012</w:t>
            </w:r>
          </w:p>
        </w:tc>
        <w:tc>
          <w:tcPr>
            <w:tcW w:w="1791" w:type="dxa"/>
            <w:tcBorders>
              <w:top w:val="single" w:sz="4" w:space="0" w:color="365F91"/>
              <w:bottom w:val="single" w:sz="4" w:space="0" w:color="365F91"/>
            </w:tcBorders>
            <w:noWrap/>
            <w:vAlign w:val="bottom"/>
          </w:tcPr>
          <w:p w14:paraId="51AD35F0" w14:textId="77777777" w:rsidR="0068777C" w:rsidRPr="00256982" w:rsidRDefault="0068777C" w:rsidP="00AD05B0">
            <w:pPr>
              <w:pStyle w:val="TableText"/>
              <w:spacing w:before="50" w:after="50"/>
              <w:jc w:val="center"/>
            </w:pPr>
            <w:r w:rsidRPr="00256982">
              <w:t>116.4</w:t>
            </w:r>
          </w:p>
        </w:tc>
        <w:tc>
          <w:tcPr>
            <w:tcW w:w="1791" w:type="dxa"/>
            <w:tcBorders>
              <w:top w:val="single" w:sz="4" w:space="0" w:color="365F91"/>
              <w:bottom w:val="single" w:sz="4" w:space="0" w:color="365F91"/>
            </w:tcBorders>
            <w:noWrap/>
            <w:vAlign w:val="bottom"/>
          </w:tcPr>
          <w:p w14:paraId="7CFB298D" w14:textId="77777777" w:rsidR="0068777C" w:rsidRPr="00256982" w:rsidRDefault="0068777C" w:rsidP="00AD05B0">
            <w:pPr>
              <w:pStyle w:val="TableText"/>
              <w:spacing w:before="50" w:after="50"/>
              <w:jc w:val="center"/>
            </w:pPr>
            <w:r w:rsidRPr="00256982">
              <w:t>76.</w:t>
            </w:r>
            <w:r w:rsidRPr="00256982">
              <w:rPr>
                <w:rFonts w:cs="Arial"/>
              </w:rPr>
              <w:t>4</w:t>
            </w:r>
          </w:p>
        </w:tc>
        <w:tc>
          <w:tcPr>
            <w:tcW w:w="1807" w:type="dxa"/>
            <w:tcBorders>
              <w:top w:val="single" w:sz="4" w:space="0" w:color="365F91"/>
              <w:bottom w:val="single" w:sz="4" w:space="0" w:color="365F91"/>
            </w:tcBorders>
            <w:noWrap/>
            <w:vAlign w:val="bottom"/>
          </w:tcPr>
          <w:p w14:paraId="4A75FF9B" w14:textId="77777777" w:rsidR="0068777C" w:rsidRPr="00256982" w:rsidRDefault="0068777C" w:rsidP="00AD05B0">
            <w:pPr>
              <w:pStyle w:val="TableText"/>
              <w:spacing w:before="50" w:after="50"/>
              <w:jc w:val="center"/>
            </w:pPr>
            <w:r w:rsidRPr="00256982">
              <w:t>16.</w:t>
            </w:r>
            <w:r w:rsidRPr="00256982">
              <w:rPr>
                <w:rFonts w:cs="Arial"/>
              </w:rPr>
              <w:t>3</w:t>
            </w:r>
          </w:p>
        </w:tc>
        <w:tc>
          <w:tcPr>
            <w:tcW w:w="1765" w:type="dxa"/>
            <w:tcBorders>
              <w:top w:val="single" w:sz="4" w:space="0" w:color="365F91"/>
              <w:bottom w:val="single" w:sz="4" w:space="0" w:color="365F91"/>
            </w:tcBorders>
            <w:noWrap/>
            <w:vAlign w:val="bottom"/>
          </w:tcPr>
          <w:p w14:paraId="2BDBC10A" w14:textId="77777777" w:rsidR="0068777C" w:rsidRPr="00256982" w:rsidRDefault="0068777C" w:rsidP="00AD05B0">
            <w:pPr>
              <w:pStyle w:val="TableText"/>
              <w:spacing w:before="50" w:after="50"/>
              <w:jc w:val="center"/>
            </w:pPr>
            <w:r w:rsidRPr="00256982">
              <w:t>31.</w:t>
            </w:r>
            <w:r w:rsidRPr="00256982">
              <w:rPr>
                <w:rFonts w:cs="Arial"/>
              </w:rPr>
              <w:t>4</w:t>
            </w:r>
          </w:p>
        </w:tc>
      </w:tr>
      <w:tr w:rsidR="0068777C" w:rsidRPr="00256982" w14:paraId="1D901760" w14:textId="77777777" w:rsidTr="0068777C">
        <w:tc>
          <w:tcPr>
            <w:tcW w:w="1351" w:type="dxa"/>
            <w:tcBorders>
              <w:top w:val="single" w:sz="4" w:space="0" w:color="365F91"/>
              <w:bottom w:val="single" w:sz="4" w:space="0" w:color="365F91"/>
            </w:tcBorders>
            <w:noWrap/>
          </w:tcPr>
          <w:p w14:paraId="3B370147" w14:textId="77777777" w:rsidR="0068777C" w:rsidRPr="00256982" w:rsidRDefault="0068777C" w:rsidP="00AD05B0">
            <w:pPr>
              <w:pStyle w:val="TableText"/>
              <w:spacing w:before="50" w:after="50"/>
            </w:pPr>
            <w:r w:rsidRPr="00256982">
              <w:t>2013</w:t>
            </w:r>
          </w:p>
        </w:tc>
        <w:tc>
          <w:tcPr>
            <w:tcW w:w="1791" w:type="dxa"/>
            <w:tcBorders>
              <w:top w:val="single" w:sz="4" w:space="0" w:color="365F91"/>
              <w:bottom w:val="single" w:sz="4" w:space="0" w:color="365F91"/>
            </w:tcBorders>
            <w:noWrap/>
            <w:vAlign w:val="bottom"/>
          </w:tcPr>
          <w:p w14:paraId="4838DA1B" w14:textId="77777777" w:rsidR="0068777C" w:rsidRPr="00256982" w:rsidRDefault="0068777C" w:rsidP="00AD05B0">
            <w:pPr>
              <w:pStyle w:val="TableText"/>
              <w:spacing w:before="50" w:after="50"/>
              <w:jc w:val="center"/>
            </w:pPr>
            <w:r w:rsidRPr="00256982">
              <w:t>118.9</w:t>
            </w:r>
          </w:p>
        </w:tc>
        <w:tc>
          <w:tcPr>
            <w:tcW w:w="1791" w:type="dxa"/>
            <w:tcBorders>
              <w:top w:val="single" w:sz="4" w:space="0" w:color="365F91"/>
              <w:bottom w:val="single" w:sz="4" w:space="0" w:color="365F91"/>
            </w:tcBorders>
            <w:noWrap/>
            <w:vAlign w:val="bottom"/>
          </w:tcPr>
          <w:p w14:paraId="48142B6E" w14:textId="77777777" w:rsidR="0068777C" w:rsidRPr="00256982" w:rsidRDefault="0068777C" w:rsidP="00AD05B0">
            <w:pPr>
              <w:pStyle w:val="TableText"/>
              <w:spacing w:before="50" w:after="50"/>
              <w:jc w:val="center"/>
            </w:pPr>
            <w:r w:rsidRPr="00256982">
              <w:t>75.</w:t>
            </w:r>
            <w:r w:rsidRPr="00256982">
              <w:rPr>
                <w:rFonts w:cs="Arial"/>
              </w:rPr>
              <w:t>1</w:t>
            </w:r>
          </w:p>
        </w:tc>
        <w:tc>
          <w:tcPr>
            <w:tcW w:w="1807" w:type="dxa"/>
            <w:tcBorders>
              <w:top w:val="single" w:sz="4" w:space="0" w:color="365F91"/>
              <w:bottom w:val="single" w:sz="4" w:space="0" w:color="365F91"/>
            </w:tcBorders>
            <w:noWrap/>
            <w:vAlign w:val="bottom"/>
          </w:tcPr>
          <w:p w14:paraId="48D2EAD6" w14:textId="77777777" w:rsidR="0068777C" w:rsidRPr="00256982" w:rsidRDefault="0068777C" w:rsidP="00AD05B0">
            <w:pPr>
              <w:pStyle w:val="TableText"/>
              <w:spacing w:before="50" w:after="50"/>
              <w:jc w:val="center"/>
            </w:pPr>
            <w:r w:rsidRPr="00256982">
              <w:t>16.</w:t>
            </w:r>
            <w:r w:rsidRPr="00256982">
              <w:rPr>
                <w:rFonts w:cs="Arial"/>
              </w:rPr>
              <w:t>2</w:t>
            </w:r>
          </w:p>
        </w:tc>
        <w:tc>
          <w:tcPr>
            <w:tcW w:w="1765" w:type="dxa"/>
            <w:tcBorders>
              <w:top w:val="single" w:sz="4" w:space="0" w:color="365F91"/>
              <w:bottom w:val="single" w:sz="4" w:space="0" w:color="365F91"/>
            </w:tcBorders>
            <w:noWrap/>
            <w:vAlign w:val="bottom"/>
          </w:tcPr>
          <w:p w14:paraId="5E87DF58" w14:textId="77777777" w:rsidR="0068777C" w:rsidRPr="00256982" w:rsidRDefault="0068777C" w:rsidP="00AD05B0">
            <w:pPr>
              <w:pStyle w:val="TableText"/>
              <w:spacing w:before="50" w:after="50"/>
              <w:jc w:val="center"/>
            </w:pPr>
            <w:r w:rsidRPr="00256982">
              <w:t>31.</w:t>
            </w:r>
            <w:r w:rsidRPr="00256982">
              <w:rPr>
                <w:rFonts w:cs="Arial"/>
              </w:rPr>
              <w:t>1</w:t>
            </w:r>
          </w:p>
        </w:tc>
      </w:tr>
      <w:tr w:rsidR="0068777C" w:rsidRPr="00256982" w14:paraId="7F454E3C" w14:textId="77777777" w:rsidTr="0068777C">
        <w:tc>
          <w:tcPr>
            <w:tcW w:w="1351" w:type="dxa"/>
            <w:tcBorders>
              <w:top w:val="single" w:sz="4" w:space="0" w:color="365F91"/>
              <w:bottom w:val="single" w:sz="4" w:space="0" w:color="365F91"/>
            </w:tcBorders>
            <w:noWrap/>
          </w:tcPr>
          <w:p w14:paraId="3BDD80A3" w14:textId="77777777" w:rsidR="0068777C" w:rsidRPr="00256982" w:rsidRDefault="0068777C" w:rsidP="00AD05B0">
            <w:pPr>
              <w:pStyle w:val="TableText"/>
              <w:spacing w:before="50" w:after="50"/>
            </w:pPr>
            <w:r w:rsidRPr="00256982">
              <w:t>2014</w:t>
            </w:r>
          </w:p>
        </w:tc>
        <w:tc>
          <w:tcPr>
            <w:tcW w:w="1791" w:type="dxa"/>
            <w:tcBorders>
              <w:top w:val="single" w:sz="4" w:space="0" w:color="365F91"/>
              <w:bottom w:val="single" w:sz="4" w:space="0" w:color="365F91"/>
            </w:tcBorders>
            <w:noWrap/>
            <w:vAlign w:val="bottom"/>
          </w:tcPr>
          <w:p w14:paraId="3B9CC0FC" w14:textId="77777777" w:rsidR="0068777C" w:rsidRPr="00256982" w:rsidRDefault="0068777C" w:rsidP="00AD05B0">
            <w:pPr>
              <w:pStyle w:val="TableText"/>
              <w:spacing w:before="50" w:after="50"/>
              <w:jc w:val="center"/>
            </w:pPr>
            <w:r w:rsidRPr="00256982">
              <w:t>118.9</w:t>
            </w:r>
          </w:p>
        </w:tc>
        <w:tc>
          <w:tcPr>
            <w:tcW w:w="1791" w:type="dxa"/>
            <w:tcBorders>
              <w:top w:val="single" w:sz="4" w:space="0" w:color="365F91"/>
              <w:bottom w:val="single" w:sz="4" w:space="0" w:color="365F91"/>
            </w:tcBorders>
            <w:noWrap/>
            <w:vAlign w:val="bottom"/>
          </w:tcPr>
          <w:p w14:paraId="07A4603D" w14:textId="77777777" w:rsidR="0068777C" w:rsidRPr="00256982" w:rsidRDefault="0068777C" w:rsidP="00AD05B0">
            <w:pPr>
              <w:pStyle w:val="TableText"/>
              <w:spacing w:before="50" w:after="50"/>
              <w:jc w:val="center"/>
            </w:pPr>
            <w:r w:rsidRPr="00256982">
              <w:t>74.</w:t>
            </w:r>
            <w:r w:rsidRPr="00256982">
              <w:rPr>
                <w:rFonts w:cs="Arial"/>
              </w:rPr>
              <w:t>8</w:t>
            </w:r>
          </w:p>
        </w:tc>
        <w:tc>
          <w:tcPr>
            <w:tcW w:w="1807" w:type="dxa"/>
            <w:tcBorders>
              <w:top w:val="single" w:sz="4" w:space="0" w:color="365F91"/>
              <w:bottom w:val="single" w:sz="4" w:space="0" w:color="365F91"/>
            </w:tcBorders>
            <w:noWrap/>
            <w:vAlign w:val="bottom"/>
          </w:tcPr>
          <w:p w14:paraId="480CABB9" w14:textId="77777777" w:rsidR="0068777C" w:rsidRPr="00256982" w:rsidRDefault="0068777C" w:rsidP="00AD05B0">
            <w:pPr>
              <w:pStyle w:val="TableText"/>
              <w:spacing w:before="50" w:after="50"/>
              <w:jc w:val="center"/>
            </w:pPr>
            <w:r w:rsidRPr="00256982">
              <w:t>16.</w:t>
            </w:r>
            <w:r w:rsidRPr="00256982">
              <w:rPr>
                <w:rFonts w:cs="Arial"/>
              </w:rPr>
              <w:t>5</w:t>
            </w:r>
          </w:p>
        </w:tc>
        <w:tc>
          <w:tcPr>
            <w:tcW w:w="1765" w:type="dxa"/>
            <w:tcBorders>
              <w:top w:val="single" w:sz="4" w:space="0" w:color="365F91"/>
              <w:bottom w:val="single" w:sz="4" w:space="0" w:color="365F91"/>
            </w:tcBorders>
            <w:noWrap/>
            <w:vAlign w:val="bottom"/>
          </w:tcPr>
          <w:p w14:paraId="2924AE74" w14:textId="77777777" w:rsidR="0068777C" w:rsidRPr="00256982" w:rsidRDefault="0068777C" w:rsidP="00AD05B0">
            <w:pPr>
              <w:pStyle w:val="TableText"/>
              <w:spacing w:before="50" w:after="50"/>
              <w:jc w:val="center"/>
            </w:pPr>
            <w:r w:rsidRPr="00256982">
              <w:t>31.</w:t>
            </w:r>
            <w:r w:rsidRPr="00256982">
              <w:rPr>
                <w:rFonts w:cs="Arial"/>
              </w:rPr>
              <w:t>3</w:t>
            </w:r>
          </w:p>
        </w:tc>
      </w:tr>
      <w:tr w:rsidR="0068777C" w:rsidRPr="00256982" w14:paraId="744E238F" w14:textId="77777777" w:rsidTr="0068777C">
        <w:tc>
          <w:tcPr>
            <w:tcW w:w="1351" w:type="dxa"/>
            <w:tcBorders>
              <w:top w:val="single" w:sz="4" w:space="0" w:color="365F91"/>
              <w:bottom w:val="single" w:sz="4" w:space="0" w:color="365F91"/>
            </w:tcBorders>
            <w:noWrap/>
          </w:tcPr>
          <w:p w14:paraId="20D7598C" w14:textId="77777777" w:rsidR="0068777C" w:rsidRPr="00256982" w:rsidRDefault="0068777C" w:rsidP="00AD05B0">
            <w:pPr>
              <w:pStyle w:val="TableText"/>
              <w:spacing w:before="50" w:after="50"/>
            </w:pPr>
            <w:r w:rsidRPr="00256982">
              <w:t>2015</w:t>
            </w:r>
          </w:p>
        </w:tc>
        <w:tc>
          <w:tcPr>
            <w:tcW w:w="1791" w:type="dxa"/>
            <w:tcBorders>
              <w:top w:val="single" w:sz="4" w:space="0" w:color="365F91"/>
              <w:bottom w:val="single" w:sz="4" w:space="0" w:color="365F91"/>
            </w:tcBorders>
            <w:noWrap/>
            <w:vAlign w:val="bottom"/>
          </w:tcPr>
          <w:p w14:paraId="00930C2E" w14:textId="77777777" w:rsidR="0068777C" w:rsidRPr="00256982" w:rsidRDefault="0068777C" w:rsidP="00AD05B0">
            <w:pPr>
              <w:pStyle w:val="TableText"/>
              <w:spacing w:before="50" w:after="50"/>
              <w:jc w:val="center"/>
            </w:pPr>
            <w:r w:rsidRPr="00256982">
              <w:t>121.8</w:t>
            </w:r>
          </w:p>
        </w:tc>
        <w:tc>
          <w:tcPr>
            <w:tcW w:w="1791" w:type="dxa"/>
            <w:tcBorders>
              <w:top w:val="single" w:sz="4" w:space="0" w:color="365F91"/>
              <w:bottom w:val="single" w:sz="4" w:space="0" w:color="365F91"/>
            </w:tcBorders>
            <w:noWrap/>
            <w:vAlign w:val="bottom"/>
          </w:tcPr>
          <w:p w14:paraId="2446FCA8" w14:textId="77777777" w:rsidR="0068777C" w:rsidRPr="00256982" w:rsidRDefault="0068777C" w:rsidP="00AD05B0">
            <w:pPr>
              <w:pStyle w:val="TableText"/>
              <w:spacing w:before="50" w:after="50"/>
              <w:jc w:val="center"/>
            </w:pPr>
            <w:r w:rsidRPr="00256982">
              <w:t>75.</w:t>
            </w:r>
            <w:r w:rsidRPr="00256982">
              <w:rPr>
                <w:rFonts w:cs="Arial"/>
              </w:rPr>
              <w:t>7</w:t>
            </w:r>
          </w:p>
        </w:tc>
        <w:tc>
          <w:tcPr>
            <w:tcW w:w="1807" w:type="dxa"/>
            <w:tcBorders>
              <w:top w:val="single" w:sz="4" w:space="0" w:color="365F91"/>
              <w:bottom w:val="single" w:sz="4" w:space="0" w:color="365F91"/>
            </w:tcBorders>
            <w:noWrap/>
            <w:vAlign w:val="bottom"/>
          </w:tcPr>
          <w:p w14:paraId="5257787F" w14:textId="77777777" w:rsidR="0068777C" w:rsidRPr="00256982" w:rsidRDefault="0068777C" w:rsidP="00AD05B0">
            <w:pPr>
              <w:pStyle w:val="TableText"/>
              <w:spacing w:before="50" w:after="50"/>
              <w:jc w:val="center"/>
            </w:pPr>
            <w:r w:rsidRPr="00256982">
              <w:t>16.</w:t>
            </w:r>
            <w:r w:rsidRPr="00256982">
              <w:rPr>
                <w:rFonts w:cs="Arial"/>
              </w:rPr>
              <w:t>5</w:t>
            </w:r>
          </w:p>
        </w:tc>
        <w:tc>
          <w:tcPr>
            <w:tcW w:w="1765" w:type="dxa"/>
            <w:tcBorders>
              <w:top w:val="single" w:sz="4" w:space="0" w:color="365F91"/>
              <w:bottom w:val="single" w:sz="4" w:space="0" w:color="365F91"/>
            </w:tcBorders>
            <w:noWrap/>
            <w:vAlign w:val="bottom"/>
          </w:tcPr>
          <w:p w14:paraId="00B67FB6" w14:textId="77777777" w:rsidR="0068777C" w:rsidRPr="00256982" w:rsidRDefault="0068777C" w:rsidP="00AD05B0">
            <w:pPr>
              <w:pStyle w:val="TableText"/>
              <w:spacing w:before="50" w:after="50"/>
              <w:jc w:val="center"/>
            </w:pPr>
            <w:r w:rsidRPr="00256982">
              <w:t>31.</w:t>
            </w:r>
            <w:r w:rsidRPr="00256982">
              <w:rPr>
                <w:rFonts w:cs="Arial"/>
              </w:rPr>
              <w:t>4</w:t>
            </w:r>
          </w:p>
        </w:tc>
      </w:tr>
      <w:tr w:rsidR="0068777C" w:rsidRPr="00256982" w14:paraId="36DFD7DA" w14:textId="77777777" w:rsidTr="0068777C">
        <w:tc>
          <w:tcPr>
            <w:tcW w:w="1351" w:type="dxa"/>
            <w:tcBorders>
              <w:top w:val="single" w:sz="4" w:space="0" w:color="365F91"/>
              <w:bottom w:val="single" w:sz="4" w:space="0" w:color="365F91"/>
            </w:tcBorders>
            <w:noWrap/>
          </w:tcPr>
          <w:p w14:paraId="74B718DD" w14:textId="77777777" w:rsidR="0068777C" w:rsidRPr="00256982" w:rsidRDefault="0068777C" w:rsidP="00AD05B0">
            <w:pPr>
              <w:pStyle w:val="TableText"/>
              <w:spacing w:before="50" w:after="50"/>
            </w:pPr>
            <w:r w:rsidRPr="00256982">
              <w:t>2016</w:t>
            </w:r>
          </w:p>
        </w:tc>
        <w:tc>
          <w:tcPr>
            <w:tcW w:w="1791" w:type="dxa"/>
            <w:tcBorders>
              <w:top w:val="single" w:sz="4" w:space="0" w:color="365F91"/>
              <w:bottom w:val="single" w:sz="4" w:space="0" w:color="365F91"/>
            </w:tcBorders>
            <w:noWrap/>
            <w:vAlign w:val="bottom"/>
          </w:tcPr>
          <w:p w14:paraId="2F41BBAA" w14:textId="77777777" w:rsidR="0068777C" w:rsidRPr="00256982" w:rsidRDefault="0068777C" w:rsidP="00AD05B0">
            <w:pPr>
              <w:pStyle w:val="TableText"/>
              <w:spacing w:before="50" w:after="50"/>
              <w:jc w:val="center"/>
            </w:pPr>
            <w:r w:rsidRPr="00256982">
              <w:t>119.1</w:t>
            </w:r>
          </w:p>
        </w:tc>
        <w:tc>
          <w:tcPr>
            <w:tcW w:w="1791" w:type="dxa"/>
            <w:tcBorders>
              <w:top w:val="single" w:sz="4" w:space="0" w:color="365F91"/>
              <w:bottom w:val="single" w:sz="4" w:space="0" w:color="365F91"/>
            </w:tcBorders>
            <w:noWrap/>
            <w:vAlign w:val="bottom"/>
          </w:tcPr>
          <w:p w14:paraId="07C93976" w14:textId="77777777" w:rsidR="0068777C" w:rsidRPr="00256982" w:rsidRDefault="0068777C" w:rsidP="00AD05B0">
            <w:pPr>
              <w:pStyle w:val="TableText"/>
              <w:spacing w:before="50" w:after="50"/>
              <w:jc w:val="center"/>
            </w:pPr>
            <w:r w:rsidRPr="00256982">
              <w:t>76.</w:t>
            </w:r>
            <w:r w:rsidRPr="00256982">
              <w:rPr>
                <w:rFonts w:cs="Arial"/>
              </w:rPr>
              <w:t>3</w:t>
            </w:r>
          </w:p>
        </w:tc>
        <w:tc>
          <w:tcPr>
            <w:tcW w:w="1807" w:type="dxa"/>
            <w:tcBorders>
              <w:top w:val="single" w:sz="4" w:space="0" w:color="365F91"/>
              <w:bottom w:val="single" w:sz="4" w:space="0" w:color="365F91"/>
            </w:tcBorders>
            <w:noWrap/>
            <w:vAlign w:val="bottom"/>
          </w:tcPr>
          <w:p w14:paraId="4DAE0908" w14:textId="77777777" w:rsidR="0068777C" w:rsidRPr="00256982" w:rsidRDefault="0068777C" w:rsidP="00AD05B0">
            <w:pPr>
              <w:pStyle w:val="TableText"/>
              <w:spacing w:before="50" w:after="50"/>
              <w:jc w:val="center"/>
            </w:pPr>
            <w:r w:rsidRPr="00256982">
              <w:t>16.</w:t>
            </w:r>
            <w:r w:rsidRPr="00256982">
              <w:rPr>
                <w:rFonts w:cs="Arial"/>
              </w:rPr>
              <w:t>8</w:t>
            </w:r>
          </w:p>
        </w:tc>
        <w:tc>
          <w:tcPr>
            <w:tcW w:w="1765" w:type="dxa"/>
            <w:tcBorders>
              <w:top w:val="single" w:sz="4" w:space="0" w:color="365F91"/>
              <w:bottom w:val="single" w:sz="4" w:space="0" w:color="365F91"/>
            </w:tcBorders>
            <w:noWrap/>
            <w:vAlign w:val="bottom"/>
          </w:tcPr>
          <w:p w14:paraId="289D5558" w14:textId="77777777" w:rsidR="0068777C" w:rsidRPr="00256982" w:rsidRDefault="0068777C" w:rsidP="00AD05B0">
            <w:pPr>
              <w:pStyle w:val="TableText"/>
              <w:spacing w:before="50" w:after="50"/>
              <w:jc w:val="center"/>
            </w:pPr>
            <w:r w:rsidRPr="00256982">
              <w:t>32.</w:t>
            </w:r>
            <w:r w:rsidRPr="00256982">
              <w:rPr>
                <w:rFonts w:cs="Arial"/>
              </w:rPr>
              <w:t>0</w:t>
            </w:r>
          </w:p>
        </w:tc>
      </w:tr>
      <w:tr w:rsidR="0068777C" w:rsidRPr="00256982" w14:paraId="32C8A946" w14:textId="77777777" w:rsidTr="0068777C">
        <w:tc>
          <w:tcPr>
            <w:tcW w:w="1351" w:type="dxa"/>
            <w:tcBorders>
              <w:top w:val="single" w:sz="4" w:space="0" w:color="365F91"/>
              <w:bottom w:val="single" w:sz="4" w:space="0" w:color="365F91"/>
            </w:tcBorders>
            <w:noWrap/>
          </w:tcPr>
          <w:p w14:paraId="44689997" w14:textId="77777777" w:rsidR="0068777C" w:rsidRPr="00256982" w:rsidRDefault="0068777C" w:rsidP="00AD05B0">
            <w:pPr>
              <w:pStyle w:val="TableText"/>
              <w:spacing w:before="50" w:after="50"/>
            </w:pPr>
            <w:r w:rsidRPr="00256982">
              <w:t>2017</w:t>
            </w:r>
          </w:p>
        </w:tc>
        <w:tc>
          <w:tcPr>
            <w:tcW w:w="1791" w:type="dxa"/>
            <w:tcBorders>
              <w:top w:val="single" w:sz="4" w:space="0" w:color="365F91"/>
              <w:bottom w:val="single" w:sz="4" w:space="0" w:color="365F91"/>
            </w:tcBorders>
            <w:noWrap/>
            <w:vAlign w:val="bottom"/>
          </w:tcPr>
          <w:p w14:paraId="7BD9160F" w14:textId="77777777" w:rsidR="0068777C" w:rsidRPr="00256982" w:rsidRDefault="0068777C" w:rsidP="00AD05B0">
            <w:pPr>
              <w:pStyle w:val="TableText"/>
              <w:spacing w:before="50" w:after="50"/>
              <w:jc w:val="center"/>
            </w:pPr>
            <w:r w:rsidRPr="00256982">
              <w:t>120.7</w:t>
            </w:r>
          </w:p>
        </w:tc>
        <w:tc>
          <w:tcPr>
            <w:tcW w:w="1791" w:type="dxa"/>
            <w:tcBorders>
              <w:top w:val="single" w:sz="4" w:space="0" w:color="365F91"/>
              <w:bottom w:val="single" w:sz="4" w:space="0" w:color="365F91"/>
            </w:tcBorders>
            <w:noWrap/>
            <w:vAlign w:val="bottom"/>
          </w:tcPr>
          <w:p w14:paraId="52304658" w14:textId="77777777" w:rsidR="0068777C" w:rsidRPr="00256982" w:rsidRDefault="0068777C" w:rsidP="00AD05B0">
            <w:pPr>
              <w:pStyle w:val="TableText"/>
              <w:spacing w:before="50" w:after="50"/>
              <w:jc w:val="center"/>
            </w:pPr>
            <w:r w:rsidRPr="00256982">
              <w:t>75.</w:t>
            </w:r>
            <w:r w:rsidRPr="00256982">
              <w:rPr>
                <w:rFonts w:cs="Arial"/>
              </w:rPr>
              <w:t>7</w:t>
            </w:r>
          </w:p>
        </w:tc>
        <w:tc>
          <w:tcPr>
            <w:tcW w:w="1807" w:type="dxa"/>
            <w:tcBorders>
              <w:top w:val="single" w:sz="4" w:space="0" w:color="365F91"/>
              <w:bottom w:val="single" w:sz="4" w:space="0" w:color="365F91"/>
            </w:tcBorders>
            <w:noWrap/>
            <w:vAlign w:val="bottom"/>
          </w:tcPr>
          <w:p w14:paraId="2107726A" w14:textId="77777777" w:rsidR="0068777C" w:rsidRPr="00256982" w:rsidRDefault="0068777C" w:rsidP="00AD05B0">
            <w:pPr>
              <w:pStyle w:val="TableText"/>
              <w:spacing w:before="50" w:after="50"/>
              <w:jc w:val="center"/>
            </w:pPr>
            <w:r w:rsidRPr="00256982">
              <w:t>16.</w:t>
            </w:r>
            <w:r w:rsidRPr="00256982">
              <w:rPr>
                <w:rFonts w:cs="Arial"/>
              </w:rPr>
              <w:t>8</w:t>
            </w:r>
          </w:p>
        </w:tc>
        <w:tc>
          <w:tcPr>
            <w:tcW w:w="1765" w:type="dxa"/>
            <w:tcBorders>
              <w:top w:val="single" w:sz="4" w:space="0" w:color="365F91"/>
              <w:bottom w:val="single" w:sz="4" w:space="0" w:color="365F91"/>
            </w:tcBorders>
            <w:noWrap/>
            <w:vAlign w:val="bottom"/>
          </w:tcPr>
          <w:p w14:paraId="35BD1B2F" w14:textId="77777777" w:rsidR="0068777C" w:rsidRPr="00256982" w:rsidRDefault="0068777C" w:rsidP="00AD05B0">
            <w:pPr>
              <w:pStyle w:val="TableText"/>
              <w:spacing w:before="50" w:after="50"/>
              <w:jc w:val="center"/>
            </w:pPr>
            <w:r w:rsidRPr="00256982">
              <w:t>31.</w:t>
            </w:r>
            <w:r w:rsidRPr="00256982">
              <w:rPr>
                <w:rFonts w:cs="Arial"/>
              </w:rPr>
              <w:t>6</w:t>
            </w:r>
          </w:p>
        </w:tc>
      </w:tr>
    </w:tbl>
    <w:p w14:paraId="5712BC0B" w14:textId="77777777" w:rsidR="0068777C" w:rsidRPr="00256982" w:rsidRDefault="0068777C" w:rsidP="0068777C">
      <w:pPr>
        <w:pStyle w:val="Heading5"/>
        <w:spacing w:before="360"/>
      </w:pPr>
      <w:r w:rsidRPr="00256982">
        <w:t xml:space="preserve">Nitrogen excretion rates for the minor livestock categories </w:t>
      </w:r>
    </w:p>
    <w:p w14:paraId="04C4D521" w14:textId="77777777" w:rsidR="0068777C" w:rsidRPr="00256982" w:rsidRDefault="0068777C" w:rsidP="0068777C">
      <w:pPr>
        <w:pStyle w:val="BodyText"/>
      </w:pPr>
      <w:r w:rsidRPr="00256982">
        <w:rPr>
          <w:b/>
          <w:i/>
        </w:rPr>
        <w:t>Swine:</w:t>
      </w:r>
      <w:r w:rsidRPr="00256982">
        <w:rPr>
          <w:i/>
        </w:rPr>
        <w:t xml:space="preserve"> </w:t>
      </w:r>
      <w:r w:rsidRPr="00256982">
        <w:t>A New Zealand-specific N</w:t>
      </w:r>
      <w:r w:rsidRPr="00256982">
        <w:rPr>
          <w:vertAlign w:val="subscript"/>
        </w:rPr>
        <w:t>ex</w:t>
      </w:r>
      <w:r w:rsidRPr="00256982">
        <w:t xml:space="preserve"> rate for swine is calculated for each year (see table 5.3.4) based on the 2009 value of 10.8 kg N/head/year (Hill, 2012). This 2009 value is based on the weighted average of the distribution of animal weights by swine category. Estimates of N</w:t>
      </w:r>
      <w:r w:rsidRPr="00256982">
        <w:rPr>
          <w:vertAlign w:val="subscript"/>
        </w:rPr>
        <w:t>ex</w:t>
      </w:r>
      <w:r w:rsidRPr="00256982">
        <w:t xml:space="preserve"> rates for all other years are indexed relative to 2009 for the average pig kill weights for each year. Average pig weights have increased since 1990 due to improvements in productivity. Data on swine carcass weights are collected by the Ministry for Primary Industries.</w:t>
      </w:r>
    </w:p>
    <w:p w14:paraId="0E311262" w14:textId="77777777" w:rsidR="0068777C" w:rsidRPr="00256982" w:rsidRDefault="0068777C" w:rsidP="0068777C">
      <w:pPr>
        <w:pStyle w:val="BodyText"/>
      </w:pPr>
      <w:r w:rsidRPr="00256982">
        <w:rPr>
          <w:b/>
          <w:i/>
        </w:rPr>
        <w:t>Goats:</w:t>
      </w:r>
      <w:r w:rsidRPr="00256982">
        <w:t xml:space="preserve"> New Zealand uses country-specific N</w:t>
      </w:r>
      <w:r w:rsidRPr="00256982">
        <w:rPr>
          <w:vertAlign w:val="subscript"/>
        </w:rPr>
        <w:t>ex</w:t>
      </w:r>
      <w:r w:rsidRPr="00256982">
        <w:t xml:space="preserve"> rates for goats to estimate N</w:t>
      </w:r>
      <w:r w:rsidRPr="00256982">
        <w:rPr>
          <w:vertAlign w:val="subscript"/>
        </w:rPr>
        <w:t>2</w:t>
      </w:r>
      <w:r w:rsidRPr="00256982">
        <w:t xml:space="preserve">O emissions of 10.6 kg N/head/year for 1990 and 12.1 kg N/head/year for 2009 based on the differing population characteristics for those two years (Lassey, 2011). As explained in section 5.2.2 for </w:t>
      </w:r>
      <w:r w:rsidRPr="00256982">
        <w:rPr>
          <w:i/>
        </w:rPr>
        <w:t>Enteric fermentation</w:t>
      </w:r>
      <w:r w:rsidRPr="00256982">
        <w:t xml:space="preserve">, for the intermediate years between 1990 and 2009 and for later years, the excretion rate was interpolated based on assumptions that the dairy goat population has remained in a near constant state over time while the rest of the goat population has declined (see table 5.3.4). </w:t>
      </w:r>
    </w:p>
    <w:p w14:paraId="0B9AE058" w14:textId="77777777" w:rsidR="0068777C" w:rsidRPr="00256982" w:rsidRDefault="0068777C" w:rsidP="0068777C">
      <w:pPr>
        <w:pStyle w:val="BodyText"/>
      </w:pPr>
      <w:r w:rsidRPr="00256982">
        <w:rPr>
          <w:b/>
          <w:i/>
        </w:rPr>
        <w:t>Poultry:</w:t>
      </w:r>
      <w:r w:rsidRPr="00256982">
        <w:t xml:space="preserve"> New Zealand-specific and IPCC default N</w:t>
      </w:r>
      <w:r w:rsidRPr="00256982">
        <w:rPr>
          <w:vertAlign w:val="subscript"/>
        </w:rPr>
        <w:t>ex</w:t>
      </w:r>
      <w:r w:rsidRPr="00256982">
        <w:t xml:space="preserve"> rates are used for poultry (Fick et al., 2011). These are the country-specific values of 0.39 kg N/head/year for broiler birds and 0.42 kg N/head/year for layer hens. Ducks and turkeys make up approximately 1.1 per cent of New Zealand’s poultry population, and flock sizes are unclear because they are reported by Statistics New Zealand under ‘other poultry’. Therefore, the value of 0.60 kg N/head/year for ducks and turkeys recommended by Fick et al. (2011) is retained. These values are used for all years from 1990. The overall </w:t>
      </w:r>
      <w:r w:rsidRPr="00256982">
        <w:rPr>
          <w:szCs w:val="24"/>
        </w:rPr>
        <w:t>N</w:t>
      </w:r>
      <w:r w:rsidRPr="00256982">
        <w:rPr>
          <w:szCs w:val="24"/>
          <w:vertAlign w:val="subscript"/>
        </w:rPr>
        <w:t>ex</w:t>
      </w:r>
      <w:r w:rsidRPr="00256982">
        <w:rPr>
          <w:szCs w:val="24"/>
        </w:rPr>
        <w:t xml:space="preserve"> rate for poultry is affected by the change over time in the population proportions of these different categories.</w:t>
      </w:r>
    </w:p>
    <w:p w14:paraId="4F9D3FEC" w14:textId="77777777" w:rsidR="0068777C" w:rsidRPr="00256982" w:rsidRDefault="0068777C" w:rsidP="0068777C">
      <w:pPr>
        <w:pStyle w:val="BodyText"/>
      </w:pPr>
      <w:r w:rsidRPr="00256982">
        <w:rPr>
          <w:b/>
          <w:i/>
        </w:rPr>
        <w:t>Horses</w:t>
      </w:r>
      <w:r w:rsidRPr="00256982">
        <w:rPr>
          <w:b/>
        </w:rPr>
        <w:t xml:space="preserve">, and </w:t>
      </w:r>
      <w:r w:rsidRPr="00256982">
        <w:rPr>
          <w:b/>
          <w:i/>
        </w:rPr>
        <w:t>mules and asses:</w:t>
      </w:r>
      <w:r w:rsidRPr="00256982">
        <w:t xml:space="preserve"> New Zealand-specific N</w:t>
      </w:r>
      <w:r w:rsidRPr="00256982">
        <w:rPr>
          <w:vertAlign w:val="subscript"/>
        </w:rPr>
        <w:t>ex</w:t>
      </w:r>
      <w:r w:rsidRPr="00256982">
        <w:t xml:space="preserve"> rates are not available for horses, mules and asses, and the default N</w:t>
      </w:r>
      <w:r w:rsidRPr="00256982">
        <w:rPr>
          <w:vertAlign w:val="subscript"/>
        </w:rPr>
        <w:t>ex</w:t>
      </w:r>
      <w:r w:rsidRPr="00256982">
        <w:t xml:space="preserve"> rate for Oceania of 0.3 kg nitrogen per 1,000 kg of animal mass per day is used, in line with the 2006 IPCC Guidelines (2006, table 10.19).</w:t>
      </w:r>
    </w:p>
    <w:p w14:paraId="5EAA242A" w14:textId="77777777" w:rsidR="0068777C" w:rsidRPr="00256982" w:rsidRDefault="0068777C" w:rsidP="0068777C">
      <w:pPr>
        <w:pStyle w:val="BodyText"/>
        <w:rPr>
          <w:spacing w:val="-2"/>
        </w:rPr>
      </w:pPr>
      <w:r w:rsidRPr="00256982">
        <w:rPr>
          <w:b/>
          <w:i/>
          <w:spacing w:val="-2"/>
        </w:rPr>
        <w:t>Llamas and alpacas:</w:t>
      </w:r>
      <w:r w:rsidRPr="00256982">
        <w:rPr>
          <w:i/>
          <w:spacing w:val="-2"/>
        </w:rPr>
        <w:t xml:space="preserve"> </w:t>
      </w:r>
      <w:r w:rsidRPr="00256982">
        <w:rPr>
          <w:spacing w:val="-2"/>
        </w:rPr>
        <w:t>Because there is no IPCC default N</w:t>
      </w:r>
      <w:r w:rsidRPr="00256982">
        <w:rPr>
          <w:spacing w:val="-2"/>
          <w:vertAlign w:val="subscript"/>
        </w:rPr>
        <w:t>ex</w:t>
      </w:r>
      <w:r w:rsidRPr="00256982">
        <w:rPr>
          <w:spacing w:val="-2"/>
        </w:rPr>
        <w:t xml:space="preserve"> rate for alpacas, this was calculated by assuming a default N</w:t>
      </w:r>
      <w:r w:rsidRPr="00256982">
        <w:rPr>
          <w:spacing w:val="-2"/>
          <w:vertAlign w:val="subscript"/>
        </w:rPr>
        <w:t>ex</w:t>
      </w:r>
      <w:r w:rsidRPr="00256982">
        <w:rPr>
          <w:spacing w:val="-2"/>
        </w:rPr>
        <w:t xml:space="preserve"> rate for alpacas for all years that is equal to the per-head value of the average sheep in 1990 (i.e., 13.2 kg/head/year). The alpaca emission factor is not indexed to sheep over time because there are no data to support the productivity increases that have been seen in </w:t>
      </w:r>
      <w:r w:rsidRPr="00256982">
        <w:rPr>
          <w:spacing w:val="-2"/>
        </w:rPr>
        <w:lastRenderedPageBreak/>
        <w:t>sheep. Sheep were used, rather than the IPCC default value for ‘other animals’, because the literature indicates that alpacas have a nitrogen intake close to that of sheep and no significant difference in the partitioning of nitrogen (Pinares-Patino et al., 2003). Using the much higher default value for ‘other animals’ would result in the overestimation of N</w:t>
      </w:r>
      <w:r w:rsidRPr="00256982">
        <w:rPr>
          <w:spacing w:val="-2"/>
          <w:vertAlign w:val="subscript"/>
        </w:rPr>
        <w:t>ex</w:t>
      </w:r>
      <w:r w:rsidRPr="00256982">
        <w:rPr>
          <w:spacing w:val="-2"/>
        </w:rPr>
        <w:t xml:space="preserve"> for alpacas. </w:t>
      </w:r>
    </w:p>
    <w:p w14:paraId="403A3A85" w14:textId="77777777" w:rsidR="0068777C" w:rsidRPr="00256982" w:rsidRDefault="0068777C" w:rsidP="0068777C">
      <w:pPr>
        <w:pStyle w:val="Table"/>
      </w:pPr>
      <w:bookmarkStart w:id="628" w:name="_Toc441830876"/>
      <w:bookmarkStart w:id="629" w:name="_Toc451176090"/>
      <w:bookmarkStart w:id="630" w:name="_Toc481751518"/>
      <w:bookmarkStart w:id="631" w:name="_Toc507158606"/>
      <w:bookmarkStart w:id="632" w:name="_Toc511116740"/>
      <w:bookmarkStart w:id="633" w:name="_Toc5269480"/>
      <w:r w:rsidRPr="00256982">
        <w:t>Table 5.3.4</w:t>
      </w:r>
      <w:r w:rsidRPr="00256982">
        <w:tab/>
        <w:t>Nitrogen excretion (N</w:t>
      </w:r>
      <w:r w:rsidRPr="00256982">
        <w:rPr>
          <w:vertAlign w:val="subscript"/>
        </w:rPr>
        <w:t>ex</w:t>
      </w:r>
      <w:r w:rsidRPr="00256982">
        <w:t>) rates for New Zealand’s swine and goats from 1990 to </w:t>
      </w:r>
      <w:bookmarkEnd w:id="628"/>
      <w:bookmarkEnd w:id="629"/>
      <w:bookmarkEnd w:id="630"/>
      <w:r w:rsidRPr="00256982">
        <w:t>201</w:t>
      </w:r>
      <w:bookmarkEnd w:id="631"/>
      <w:bookmarkEnd w:id="632"/>
      <w:r w:rsidRPr="00256982">
        <w:t>7</w:t>
      </w:r>
      <w:bookmarkEnd w:id="633"/>
      <w:r w:rsidRPr="00256982">
        <w:t xml:space="preserve"> </w:t>
      </w:r>
    </w:p>
    <w:tbl>
      <w:tblPr>
        <w:tblW w:w="8562" w:type="dxa"/>
        <w:tblInd w:w="113" w:type="dxa"/>
        <w:tblLook w:val="0000" w:firstRow="0" w:lastRow="0" w:firstColumn="0" w:lastColumn="0" w:noHBand="0" w:noVBand="0"/>
      </w:tblPr>
      <w:tblGrid>
        <w:gridCol w:w="936"/>
        <w:gridCol w:w="1611"/>
        <w:gridCol w:w="1611"/>
        <w:gridCol w:w="351"/>
        <w:gridCol w:w="993"/>
        <w:gridCol w:w="1611"/>
        <w:gridCol w:w="1449"/>
      </w:tblGrid>
      <w:tr w:rsidR="0068777C" w:rsidRPr="00256982" w14:paraId="25DE4BC1" w14:textId="77777777" w:rsidTr="00AD05B0">
        <w:trPr>
          <w:tblHeader/>
        </w:trPr>
        <w:tc>
          <w:tcPr>
            <w:tcW w:w="546" w:type="pct"/>
            <w:tcBorders>
              <w:top w:val="single" w:sz="4" w:space="0" w:color="365F91"/>
              <w:bottom w:val="single" w:sz="4" w:space="0" w:color="365F91"/>
            </w:tcBorders>
            <w:shd w:val="clear" w:color="auto" w:fill="365F91"/>
            <w:noWrap/>
            <w:vAlign w:val="bottom"/>
          </w:tcPr>
          <w:p w14:paraId="14E3E34D" w14:textId="77777777" w:rsidR="0068777C" w:rsidRPr="00256982" w:rsidRDefault="0068777C" w:rsidP="0068777C">
            <w:pPr>
              <w:pStyle w:val="TableTextBold"/>
              <w:keepNext/>
              <w:rPr>
                <w:noProof w:val="0"/>
                <w:color w:val="FFFFFF"/>
              </w:rPr>
            </w:pPr>
            <w:r w:rsidRPr="00256982">
              <w:rPr>
                <w:noProof w:val="0"/>
                <w:color w:val="FFFFFF"/>
              </w:rPr>
              <w:t>Year</w:t>
            </w:r>
          </w:p>
        </w:tc>
        <w:tc>
          <w:tcPr>
            <w:tcW w:w="941" w:type="pct"/>
            <w:tcBorders>
              <w:top w:val="single" w:sz="4" w:space="0" w:color="365F91"/>
              <w:bottom w:val="single" w:sz="4" w:space="0" w:color="365F91"/>
            </w:tcBorders>
            <w:shd w:val="clear" w:color="auto" w:fill="365F91"/>
            <w:noWrap/>
            <w:vAlign w:val="bottom"/>
          </w:tcPr>
          <w:p w14:paraId="0593B26E" w14:textId="77777777" w:rsidR="0068777C" w:rsidRPr="00256982" w:rsidRDefault="0068777C" w:rsidP="0068777C">
            <w:pPr>
              <w:pStyle w:val="TableTextBold"/>
              <w:keepNext/>
              <w:jc w:val="center"/>
              <w:rPr>
                <w:noProof w:val="0"/>
                <w:color w:val="FFFFFF"/>
              </w:rPr>
            </w:pPr>
            <w:r w:rsidRPr="00256982">
              <w:rPr>
                <w:noProof w:val="0"/>
                <w:color w:val="FFFFFF"/>
              </w:rPr>
              <w:t>Swine N</w:t>
            </w:r>
            <w:r w:rsidRPr="00256982">
              <w:rPr>
                <w:noProof w:val="0"/>
                <w:color w:val="FFFFFF"/>
                <w:vertAlign w:val="subscript"/>
              </w:rPr>
              <w:t xml:space="preserve">ex </w:t>
            </w:r>
            <w:r w:rsidRPr="00256982">
              <w:rPr>
                <w:noProof w:val="0"/>
                <w:color w:val="FFFFFF"/>
              </w:rPr>
              <w:br/>
              <w:t>(kg/head/year)</w:t>
            </w:r>
          </w:p>
        </w:tc>
        <w:tc>
          <w:tcPr>
            <w:tcW w:w="941" w:type="pct"/>
            <w:tcBorders>
              <w:top w:val="single" w:sz="4" w:space="0" w:color="365F91"/>
              <w:bottom w:val="single" w:sz="4" w:space="0" w:color="365F91"/>
            </w:tcBorders>
            <w:shd w:val="clear" w:color="auto" w:fill="365F91"/>
            <w:noWrap/>
            <w:vAlign w:val="bottom"/>
          </w:tcPr>
          <w:p w14:paraId="0E30D4F2" w14:textId="77777777" w:rsidR="0068777C" w:rsidRPr="00256982" w:rsidRDefault="0068777C" w:rsidP="0068777C">
            <w:pPr>
              <w:pStyle w:val="TableTextBold"/>
              <w:keepNext/>
              <w:jc w:val="center"/>
              <w:rPr>
                <w:noProof w:val="0"/>
                <w:color w:val="FFFFFF"/>
              </w:rPr>
            </w:pPr>
            <w:r w:rsidRPr="00256982">
              <w:rPr>
                <w:noProof w:val="0"/>
                <w:color w:val="FFFFFF"/>
              </w:rPr>
              <w:t>Goat N</w:t>
            </w:r>
            <w:r w:rsidRPr="00256982">
              <w:rPr>
                <w:noProof w:val="0"/>
                <w:color w:val="FFFFFF"/>
                <w:vertAlign w:val="subscript"/>
              </w:rPr>
              <w:t>ex</w:t>
            </w:r>
            <w:r w:rsidRPr="00256982">
              <w:rPr>
                <w:noProof w:val="0"/>
                <w:color w:val="FFFFFF"/>
              </w:rPr>
              <w:t xml:space="preserve"> </w:t>
            </w:r>
            <w:r w:rsidRPr="00256982">
              <w:rPr>
                <w:noProof w:val="0"/>
                <w:color w:val="FFFFFF"/>
              </w:rPr>
              <w:br/>
              <w:t>(kg/head/year)</w:t>
            </w:r>
          </w:p>
        </w:tc>
        <w:tc>
          <w:tcPr>
            <w:tcW w:w="205" w:type="pct"/>
            <w:tcBorders>
              <w:bottom w:val="single" w:sz="4" w:space="0" w:color="365F91"/>
            </w:tcBorders>
            <w:shd w:val="clear" w:color="auto" w:fill="365F91"/>
          </w:tcPr>
          <w:p w14:paraId="0265F71F" w14:textId="77777777" w:rsidR="0068777C" w:rsidRPr="00256982" w:rsidRDefault="0068777C" w:rsidP="0068777C">
            <w:pPr>
              <w:pStyle w:val="TableTextBold"/>
              <w:keepNext/>
              <w:jc w:val="center"/>
              <w:rPr>
                <w:noProof w:val="0"/>
                <w:color w:val="FFFFFF"/>
              </w:rPr>
            </w:pPr>
          </w:p>
        </w:tc>
        <w:tc>
          <w:tcPr>
            <w:tcW w:w="580" w:type="pct"/>
            <w:tcBorders>
              <w:bottom w:val="single" w:sz="4" w:space="0" w:color="365F91"/>
            </w:tcBorders>
            <w:shd w:val="clear" w:color="auto" w:fill="365F91"/>
            <w:noWrap/>
            <w:vAlign w:val="bottom"/>
          </w:tcPr>
          <w:p w14:paraId="1CC62460" w14:textId="77777777" w:rsidR="0068777C" w:rsidRPr="00256982" w:rsidRDefault="0068777C" w:rsidP="0068777C">
            <w:pPr>
              <w:pStyle w:val="TableTextBold"/>
              <w:keepNext/>
              <w:jc w:val="center"/>
              <w:rPr>
                <w:noProof w:val="0"/>
                <w:color w:val="FFFFFF"/>
              </w:rPr>
            </w:pPr>
            <w:r w:rsidRPr="00256982">
              <w:rPr>
                <w:noProof w:val="0"/>
                <w:color w:val="FFFFFF"/>
              </w:rPr>
              <w:t>Year</w:t>
            </w:r>
          </w:p>
        </w:tc>
        <w:tc>
          <w:tcPr>
            <w:tcW w:w="941" w:type="pct"/>
            <w:tcBorders>
              <w:bottom w:val="single" w:sz="4" w:space="0" w:color="365F91"/>
            </w:tcBorders>
            <w:shd w:val="clear" w:color="auto" w:fill="365F91"/>
            <w:noWrap/>
            <w:vAlign w:val="bottom"/>
          </w:tcPr>
          <w:p w14:paraId="786E2E9F" w14:textId="77777777" w:rsidR="0068777C" w:rsidRPr="00256982" w:rsidRDefault="0068777C" w:rsidP="0068777C">
            <w:pPr>
              <w:pStyle w:val="TableTextBold"/>
              <w:keepNext/>
              <w:jc w:val="center"/>
              <w:rPr>
                <w:noProof w:val="0"/>
                <w:color w:val="FFFFFF"/>
              </w:rPr>
            </w:pPr>
            <w:r w:rsidRPr="00256982">
              <w:rPr>
                <w:noProof w:val="0"/>
                <w:color w:val="FFFFFF"/>
              </w:rPr>
              <w:t>Swine N</w:t>
            </w:r>
            <w:r w:rsidRPr="00256982">
              <w:rPr>
                <w:noProof w:val="0"/>
                <w:color w:val="FFFFFF"/>
                <w:vertAlign w:val="subscript"/>
              </w:rPr>
              <w:t xml:space="preserve">ex </w:t>
            </w:r>
            <w:r w:rsidRPr="00256982">
              <w:rPr>
                <w:noProof w:val="0"/>
                <w:color w:val="FFFFFF"/>
              </w:rPr>
              <w:br/>
              <w:t>(kg/head/year)</w:t>
            </w:r>
          </w:p>
        </w:tc>
        <w:tc>
          <w:tcPr>
            <w:tcW w:w="846" w:type="pct"/>
            <w:tcBorders>
              <w:bottom w:val="single" w:sz="4" w:space="0" w:color="365F91"/>
            </w:tcBorders>
            <w:shd w:val="clear" w:color="auto" w:fill="365F91"/>
            <w:vAlign w:val="bottom"/>
          </w:tcPr>
          <w:p w14:paraId="35FF8000" w14:textId="77777777" w:rsidR="0068777C" w:rsidRPr="00256982" w:rsidRDefault="0068777C" w:rsidP="0068777C">
            <w:pPr>
              <w:pStyle w:val="TableTextBold"/>
              <w:keepNext/>
              <w:jc w:val="center"/>
              <w:rPr>
                <w:noProof w:val="0"/>
                <w:color w:val="FFFFFF"/>
              </w:rPr>
            </w:pPr>
            <w:r w:rsidRPr="00256982">
              <w:rPr>
                <w:noProof w:val="0"/>
                <w:color w:val="FFFFFF"/>
              </w:rPr>
              <w:t>Goat N</w:t>
            </w:r>
            <w:r w:rsidRPr="00256982">
              <w:rPr>
                <w:noProof w:val="0"/>
                <w:color w:val="FFFFFF"/>
                <w:vertAlign w:val="subscript"/>
              </w:rPr>
              <w:t xml:space="preserve">ex </w:t>
            </w:r>
            <w:r w:rsidRPr="00256982">
              <w:rPr>
                <w:noProof w:val="0"/>
                <w:color w:val="FFFFFF"/>
              </w:rPr>
              <w:br/>
              <w:t>(kg/head/year)</w:t>
            </w:r>
          </w:p>
        </w:tc>
      </w:tr>
      <w:tr w:rsidR="0068777C" w:rsidRPr="00256982" w14:paraId="2CC7A4BE" w14:textId="77777777" w:rsidTr="00AD05B0">
        <w:tc>
          <w:tcPr>
            <w:tcW w:w="546" w:type="pct"/>
            <w:tcBorders>
              <w:top w:val="single" w:sz="4" w:space="0" w:color="365F91"/>
              <w:bottom w:val="single" w:sz="4" w:space="0" w:color="365F91"/>
            </w:tcBorders>
            <w:shd w:val="clear" w:color="auto" w:fill="auto"/>
            <w:noWrap/>
          </w:tcPr>
          <w:p w14:paraId="5C0CF717" w14:textId="77777777" w:rsidR="0068777C" w:rsidRPr="00256982" w:rsidRDefault="0068777C" w:rsidP="0068777C">
            <w:pPr>
              <w:pStyle w:val="TableText"/>
              <w:keepNext/>
              <w:spacing w:before="50" w:after="50"/>
            </w:pPr>
            <w:r w:rsidRPr="00256982">
              <w:t>1990</w:t>
            </w:r>
          </w:p>
        </w:tc>
        <w:tc>
          <w:tcPr>
            <w:tcW w:w="941" w:type="pct"/>
            <w:tcBorders>
              <w:top w:val="single" w:sz="4" w:space="0" w:color="365F91"/>
              <w:bottom w:val="single" w:sz="4" w:space="0" w:color="365F91"/>
            </w:tcBorders>
            <w:noWrap/>
          </w:tcPr>
          <w:p w14:paraId="78700E3C" w14:textId="77777777" w:rsidR="0068777C" w:rsidRPr="00256982" w:rsidRDefault="0068777C" w:rsidP="0068777C">
            <w:pPr>
              <w:pStyle w:val="TableText"/>
              <w:keepNext/>
              <w:spacing w:before="50" w:after="50"/>
              <w:ind w:right="510"/>
              <w:jc w:val="right"/>
            </w:pPr>
            <w:r w:rsidRPr="00256982">
              <w:t>9.0</w:t>
            </w:r>
          </w:p>
        </w:tc>
        <w:tc>
          <w:tcPr>
            <w:tcW w:w="941" w:type="pct"/>
            <w:tcBorders>
              <w:top w:val="single" w:sz="4" w:space="0" w:color="365F91"/>
              <w:bottom w:val="single" w:sz="4" w:space="0" w:color="365F91"/>
              <w:right w:val="single" w:sz="4" w:space="0" w:color="365F91"/>
            </w:tcBorders>
            <w:noWrap/>
          </w:tcPr>
          <w:p w14:paraId="7DDF0EAD" w14:textId="77777777" w:rsidR="0068777C" w:rsidRPr="00256982" w:rsidRDefault="0068777C" w:rsidP="0068777C">
            <w:pPr>
              <w:pStyle w:val="TableText"/>
              <w:keepNext/>
              <w:spacing w:before="50" w:after="50"/>
              <w:ind w:right="510"/>
              <w:jc w:val="right"/>
            </w:pPr>
            <w:r w:rsidRPr="00256982">
              <w:t>10.6</w:t>
            </w:r>
          </w:p>
        </w:tc>
        <w:tc>
          <w:tcPr>
            <w:tcW w:w="205" w:type="pct"/>
            <w:tcBorders>
              <w:top w:val="single" w:sz="4" w:space="0" w:color="365F91"/>
              <w:left w:val="single" w:sz="4" w:space="0" w:color="365F91"/>
              <w:right w:val="single" w:sz="4" w:space="0" w:color="365F91"/>
            </w:tcBorders>
          </w:tcPr>
          <w:p w14:paraId="7142FEDA" w14:textId="77777777" w:rsidR="0068777C" w:rsidRPr="00256982" w:rsidRDefault="0068777C" w:rsidP="0068777C">
            <w:pPr>
              <w:pStyle w:val="TableText"/>
              <w:keepNext/>
              <w:spacing w:before="50" w:after="50"/>
            </w:pPr>
          </w:p>
        </w:tc>
        <w:tc>
          <w:tcPr>
            <w:tcW w:w="580" w:type="pct"/>
            <w:tcBorders>
              <w:top w:val="single" w:sz="4" w:space="0" w:color="365F91"/>
              <w:left w:val="single" w:sz="4" w:space="0" w:color="365F91"/>
              <w:bottom w:val="single" w:sz="4" w:space="0" w:color="365F91"/>
            </w:tcBorders>
            <w:noWrap/>
          </w:tcPr>
          <w:p w14:paraId="3237E2B6" w14:textId="77777777" w:rsidR="0068777C" w:rsidRPr="00256982" w:rsidRDefault="0068777C" w:rsidP="0068777C">
            <w:pPr>
              <w:pStyle w:val="TableText"/>
              <w:keepNext/>
              <w:spacing w:before="50" w:after="50"/>
            </w:pPr>
            <w:r w:rsidRPr="00256982">
              <w:t>2004</w:t>
            </w:r>
          </w:p>
        </w:tc>
        <w:tc>
          <w:tcPr>
            <w:tcW w:w="941" w:type="pct"/>
            <w:tcBorders>
              <w:top w:val="single" w:sz="4" w:space="0" w:color="365F91"/>
              <w:bottom w:val="single" w:sz="4" w:space="0" w:color="365F91"/>
            </w:tcBorders>
            <w:noWrap/>
          </w:tcPr>
          <w:p w14:paraId="25014127" w14:textId="77777777" w:rsidR="0068777C" w:rsidRPr="00256982" w:rsidRDefault="0068777C" w:rsidP="0068777C">
            <w:pPr>
              <w:pStyle w:val="TableText"/>
              <w:keepNext/>
              <w:spacing w:before="50" w:after="50"/>
              <w:jc w:val="center"/>
            </w:pPr>
            <w:r w:rsidRPr="00256982">
              <w:t>10.5</w:t>
            </w:r>
          </w:p>
        </w:tc>
        <w:tc>
          <w:tcPr>
            <w:tcW w:w="846" w:type="pct"/>
            <w:tcBorders>
              <w:top w:val="single" w:sz="4" w:space="0" w:color="365F91"/>
              <w:bottom w:val="single" w:sz="4" w:space="0" w:color="365F91"/>
            </w:tcBorders>
          </w:tcPr>
          <w:p w14:paraId="3C2D3143" w14:textId="77777777" w:rsidR="0068777C" w:rsidRPr="00256982" w:rsidRDefault="0068777C" w:rsidP="0068777C">
            <w:pPr>
              <w:pStyle w:val="TableText"/>
              <w:keepNext/>
              <w:spacing w:before="50" w:after="50"/>
              <w:jc w:val="center"/>
            </w:pPr>
            <w:r w:rsidRPr="00256982">
              <w:t>11.5</w:t>
            </w:r>
          </w:p>
        </w:tc>
      </w:tr>
      <w:tr w:rsidR="0068777C" w:rsidRPr="00256982" w14:paraId="7DBAE9B2" w14:textId="77777777" w:rsidTr="00AD05B0">
        <w:tc>
          <w:tcPr>
            <w:tcW w:w="546" w:type="pct"/>
            <w:tcBorders>
              <w:top w:val="single" w:sz="4" w:space="0" w:color="365F91"/>
              <w:bottom w:val="single" w:sz="4" w:space="0" w:color="365F91"/>
            </w:tcBorders>
            <w:shd w:val="clear" w:color="auto" w:fill="auto"/>
            <w:noWrap/>
          </w:tcPr>
          <w:p w14:paraId="0207D8DB" w14:textId="77777777" w:rsidR="0068777C" w:rsidRPr="00256982" w:rsidRDefault="0068777C" w:rsidP="0068777C">
            <w:pPr>
              <w:pStyle w:val="TableText"/>
              <w:keepNext/>
              <w:spacing w:before="50" w:after="50"/>
            </w:pPr>
            <w:r w:rsidRPr="00256982">
              <w:t>1991</w:t>
            </w:r>
          </w:p>
        </w:tc>
        <w:tc>
          <w:tcPr>
            <w:tcW w:w="941" w:type="pct"/>
            <w:tcBorders>
              <w:top w:val="single" w:sz="4" w:space="0" w:color="365F91"/>
              <w:bottom w:val="single" w:sz="4" w:space="0" w:color="365F91"/>
            </w:tcBorders>
            <w:noWrap/>
          </w:tcPr>
          <w:p w14:paraId="0216F625" w14:textId="77777777" w:rsidR="0068777C" w:rsidRPr="00256982" w:rsidRDefault="0068777C" w:rsidP="0068777C">
            <w:pPr>
              <w:pStyle w:val="TableText"/>
              <w:keepNext/>
              <w:spacing w:before="50" w:after="50"/>
              <w:ind w:right="510"/>
              <w:jc w:val="right"/>
            </w:pPr>
            <w:r w:rsidRPr="00256982">
              <w:t>9.2</w:t>
            </w:r>
          </w:p>
        </w:tc>
        <w:tc>
          <w:tcPr>
            <w:tcW w:w="941" w:type="pct"/>
            <w:tcBorders>
              <w:top w:val="single" w:sz="4" w:space="0" w:color="365F91"/>
              <w:bottom w:val="single" w:sz="4" w:space="0" w:color="365F91"/>
              <w:right w:val="single" w:sz="4" w:space="0" w:color="365F91"/>
            </w:tcBorders>
            <w:noWrap/>
          </w:tcPr>
          <w:p w14:paraId="45ED9FD7" w14:textId="77777777" w:rsidR="0068777C" w:rsidRPr="00256982" w:rsidRDefault="0068777C" w:rsidP="0068777C">
            <w:pPr>
              <w:pStyle w:val="TableText"/>
              <w:keepNext/>
              <w:spacing w:before="50" w:after="50"/>
              <w:ind w:right="510"/>
              <w:jc w:val="right"/>
            </w:pPr>
            <w:r w:rsidRPr="00256982">
              <w:t>10.7</w:t>
            </w:r>
          </w:p>
        </w:tc>
        <w:tc>
          <w:tcPr>
            <w:tcW w:w="205" w:type="pct"/>
            <w:tcBorders>
              <w:left w:val="single" w:sz="4" w:space="0" w:color="365F91"/>
              <w:right w:val="single" w:sz="4" w:space="0" w:color="365F91"/>
            </w:tcBorders>
          </w:tcPr>
          <w:p w14:paraId="4819E6FF" w14:textId="77777777" w:rsidR="0068777C" w:rsidRPr="00256982" w:rsidRDefault="0068777C" w:rsidP="0068777C">
            <w:pPr>
              <w:pStyle w:val="TableText"/>
              <w:keepNext/>
              <w:spacing w:before="50" w:after="50"/>
            </w:pPr>
          </w:p>
        </w:tc>
        <w:tc>
          <w:tcPr>
            <w:tcW w:w="580" w:type="pct"/>
            <w:tcBorders>
              <w:top w:val="single" w:sz="4" w:space="0" w:color="365F91"/>
              <w:left w:val="single" w:sz="4" w:space="0" w:color="365F91"/>
              <w:bottom w:val="single" w:sz="4" w:space="0" w:color="365F91"/>
            </w:tcBorders>
            <w:noWrap/>
          </w:tcPr>
          <w:p w14:paraId="24BFAC6A" w14:textId="77777777" w:rsidR="0068777C" w:rsidRPr="00256982" w:rsidRDefault="0068777C" w:rsidP="0068777C">
            <w:pPr>
              <w:pStyle w:val="TableText"/>
              <w:keepNext/>
              <w:spacing w:before="50" w:after="50"/>
            </w:pPr>
            <w:r w:rsidRPr="00256982">
              <w:t>2005</w:t>
            </w:r>
          </w:p>
        </w:tc>
        <w:tc>
          <w:tcPr>
            <w:tcW w:w="941" w:type="pct"/>
            <w:tcBorders>
              <w:top w:val="single" w:sz="4" w:space="0" w:color="365F91"/>
              <w:bottom w:val="single" w:sz="4" w:space="0" w:color="365F91"/>
            </w:tcBorders>
            <w:noWrap/>
          </w:tcPr>
          <w:p w14:paraId="684627EF" w14:textId="77777777" w:rsidR="0068777C" w:rsidRPr="00256982" w:rsidRDefault="0068777C" w:rsidP="0068777C">
            <w:pPr>
              <w:pStyle w:val="TableText"/>
              <w:keepNext/>
              <w:spacing w:before="50" w:after="50"/>
              <w:jc w:val="center"/>
            </w:pPr>
            <w:r w:rsidRPr="00256982">
              <w:t>10.6</w:t>
            </w:r>
          </w:p>
        </w:tc>
        <w:tc>
          <w:tcPr>
            <w:tcW w:w="846" w:type="pct"/>
            <w:tcBorders>
              <w:top w:val="single" w:sz="4" w:space="0" w:color="365F91"/>
              <w:bottom w:val="single" w:sz="4" w:space="0" w:color="365F91"/>
            </w:tcBorders>
          </w:tcPr>
          <w:p w14:paraId="6676FC53" w14:textId="77777777" w:rsidR="0068777C" w:rsidRPr="00256982" w:rsidRDefault="0068777C" w:rsidP="0068777C">
            <w:pPr>
              <w:pStyle w:val="TableText"/>
              <w:keepNext/>
              <w:spacing w:before="50" w:after="50"/>
              <w:jc w:val="center"/>
            </w:pPr>
            <w:r w:rsidRPr="00256982">
              <w:t>11.5</w:t>
            </w:r>
          </w:p>
        </w:tc>
      </w:tr>
      <w:tr w:rsidR="0068777C" w:rsidRPr="00256982" w14:paraId="5238CE5A" w14:textId="77777777" w:rsidTr="00AD05B0">
        <w:tc>
          <w:tcPr>
            <w:tcW w:w="546" w:type="pct"/>
            <w:tcBorders>
              <w:top w:val="single" w:sz="4" w:space="0" w:color="365F91"/>
              <w:bottom w:val="single" w:sz="4" w:space="0" w:color="365F91"/>
            </w:tcBorders>
            <w:shd w:val="clear" w:color="auto" w:fill="auto"/>
            <w:noWrap/>
          </w:tcPr>
          <w:p w14:paraId="06A440F0" w14:textId="77777777" w:rsidR="0068777C" w:rsidRPr="00256982" w:rsidRDefault="0068777C" w:rsidP="0068777C">
            <w:pPr>
              <w:pStyle w:val="TableText"/>
              <w:keepNext/>
              <w:spacing w:before="50" w:after="50"/>
            </w:pPr>
            <w:r w:rsidRPr="00256982">
              <w:t>1992</w:t>
            </w:r>
          </w:p>
        </w:tc>
        <w:tc>
          <w:tcPr>
            <w:tcW w:w="941" w:type="pct"/>
            <w:tcBorders>
              <w:top w:val="single" w:sz="4" w:space="0" w:color="365F91"/>
              <w:bottom w:val="single" w:sz="4" w:space="0" w:color="365F91"/>
            </w:tcBorders>
            <w:noWrap/>
          </w:tcPr>
          <w:p w14:paraId="665BE09F" w14:textId="77777777" w:rsidR="0068777C" w:rsidRPr="00256982" w:rsidRDefault="0068777C" w:rsidP="0068777C">
            <w:pPr>
              <w:pStyle w:val="TableText"/>
              <w:keepNext/>
              <w:spacing w:before="50" w:after="50"/>
              <w:ind w:right="510"/>
              <w:jc w:val="right"/>
            </w:pPr>
            <w:r w:rsidRPr="00256982">
              <w:t>9.3</w:t>
            </w:r>
          </w:p>
        </w:tc>
        <w:tc>
          <w:tcPr>
            <w:tcW w:w="941" w:type="pct"/>
            <w:tcBorders>
              <w:top w:val="single" w:sz="4" w:space="0" w:color="365F91"/>
              <w:bottom w:val="single" w:sz="4" w:space="0" w:color="365F91"/>
              <w:right w:val="single" w:sz="4" w:space="0" w:color="365F91"/>
            </w:tcBorders>
            <w:noWrap/>
          </w:tcPr>
          <w:p w14:paraId="6DC51EC2" w14:textId="77777777" w:rsidR="0068777C" w:rsidRPr="00256982" w:rsidRDefault="0068777C" w:rsidP="0068777C">
            <w:pPr>
              <w:pStyle w:val="TableText"/>
              <w:keepNext/>
              <w:spacing w:before="50" w:after="50"/>
              <w:ind w:right="510"/>
              <w:jc w:val="right"/>
            </w:pPr>
            <w:r w:rsidRPr="00256982">
              <w:t>10.8</w:t>
            </w:r>
          </w:p>
        </w:tc>
        <w:tc>
          <w:tcPr>
            <w:tcW w:w="205" w:type="pct"/>
            <w:tcBorders>
              <w:left w:val="single" w:sz="4" w:space="0" w:color="365F91"/>
              <w:right w:val="single" w:sz="4" w:space="0" w:color="365F91"/>
            </w:tcBorders>
          </w:tcPr>
          <w:p w14:paraId="3E39E101" w14:textId="77777777" w:rsidR="0068777C" w:rsidRPr="00256982" w:rsidRDefault="0068777C" w:rsidP="0068777C">
            <w:pPr>
              <w:pStyle w:val="TableText"/>
              <w:keepNext/>
              <w:spacing w:before="50" w:after="50"/>
            </w:pPr>
          </w:p>
        </w:tc>
        <w:tc>
          <w:tcPr>
            <w:tcW w:w="580" w:type="pct"/>
            <w:tcBorders>
              <w:top w:val="single" w:sz="4" w:space="0" w:color="365F91"/>
              <w:left w:val="single" w:sz="4" w:space="0" w:color="365F91"/>
              <w:bottom w:val="single" w:sz="4" w:space="0" w:color="365F91"/>
            </w:tcBorders>
            <w:noWrap/>
          </w:tcPr>
          <w:p w14:paraId="4D79A5D3" w14:textId="77777777" w:rsidR="0068777C" w:rsidRPr="00256982" w:rsidRDefault="0068777C" w:rsidP="0068777C">
            <w:pPr>
              <w:pStyle w:val="TableText"/>
              <w:keepNext/>
              <w:spacing w:before="50" w:after="50"/>
            </w:pPr>
            <w:r w:rsidRPr="00256982">
              <w:t>2006</w:t>
            </w:r>
          </w:p>
        </w:tc>
        <w:tc>
          <w:tcPr>
            <w:tcW w:w="941" w:type="pct"/>
            <w:tcBorders>
              <w:top w:val="single" w:sz="4" w:space="0" w:color="365F91"/>
              <w:bottom w:val="single" w:sz="4" w:space="0" w:color="365F91"/>
            </w:tcBorders>
            <w:noWrap/>
          </w:tcPr>
          <w:p w14:paraId="4EDB6DE9" w14:textId="77777777" w:rsidR="0068777C" w:rsidRPr="00256982" w:rsidRDefault="0068777C" w:rsidP="0068777C">
            <w:pPr>
              <w:pStyle w:val="TableText"/>
              <w:keepNext/>
              <w:spacing w:before="50" w:after="50"/>
              <w:jc w:val="center"/>
            </w:pPr>
            <w:r w:rsidRPr="00256982">
              <w:t>10.7</w:t>
            </w:r>
          </w:p>
        </w:tc>
        <w:tc>
          <w:tcPr>
            <w:tcW w:w="846" w:type="pct"/>
            <w:tcBorders>
              <w:top w:val="single" w:sz="4" w:space="0" w:color="365F91"/>
              <w:bottom w:val="single" w:sz="4" w:space="0" w:color="365F91"/>
            </w:tcBorders>
          </w:tcPr>
          <w:p w14:paraId="531470D0" w14:textId="77777777" w:rsidR="0068777C" w:rsidRPr="00256982" w:rsidRDefault="0068777C" w:rsidP="0068777C">
            <w:pPr>
              <w:pStyle w:val="TableText"/>
              <w:keepNext/>
              <w:spacing w:before="50" w:after="50"/>
              <w:jc w:val="center"/>
            </w:pPr>
            <w:r w:rsidRPr="00256982">
              <w:t>11.5</w:t>
            </w:r>
          </w:p>
        </w:tc>
      </w:tr>
      <w:tr w:rsidR="0068777C" w:rsidRPr="00256982" w14:paraId="3769ACE1" w14:textId="77777777" w:rsidTr="00AD05B0">
        <w:tc>
          <w:tcPr>
            <w:tcW w:w="546" w:type="pct"/>
            <w:tcBorders>
              <w:top w:val="single" w:sz="4" w:space="0" w:color="365F91"/>
              <w:bottom w:val="single" w:sz="4" w:space="0" w:color="365F91"/>
            </w:tcBorders>
            <w:shd w:val="clear" w:color="auto" w:fill="auto"/>
            <w:noWrap/>
          </w:tcPr>
          <w:p w14:paraId="68513706" w14:textId="77777777" w:rsidR="0068777C" w:rsidRPr="00256982" w:rsidRDefault="0068777C" w:rsidP="0068777C">
            <w:pPr>
              <w:pStyle w:val="TableText"/>
              <w:keepNext/>
              <w:spacing w:before="50" w:after="50"/>
            </w:pPr>
            <w:r w:rsidRPr="00256982">
              <w:t>1993</w:t>
            </w:r>
          </w:p>
        </w:tc>
        <w:tc>
          <w:tcPr>
            <w:tcW w:w="941" w:type="pct"/>
            <w:tcBorders>
              <w:top w:val="single" w:sz="4" w:space="0" w:color="365F91"/>
              <w:bottom w:val="single" w:sz="4" w:space="0" w:color="365F91"/>
            </w:tcBorders>
            <w:noWrap/>
          </w:tcPr>
          <w:p w14:paraId="0EB8C357" w14:textId="77777777" w:rsidR="0068777C" w:rsidRPr="00256982" w:rsidRDefault="0068777C" w:rsidP="0068777C">
            <w:pPr>
              <w:pStyle w:val="TableText"/>
              <w:keepNext/>
              <w:spacing w:before="50" w:after="50"/>
              <w:ind w:right="510"/>
              <w:jc w:val="right"/>
            </w:pPr>
            <w:r w:rsidRPr="00256982">
              <w:t>9.5</w:t>
            </w:r>
          </w:p>
        </w:tc>
        <w:tc>
          <w:tcPr>
            <w:tcW w:w="941" w:type="pct"/>
            <w:tcBorders>
              <w:top w:val="single" w:sz="4" w:space="0" w:color="365F91"/>
              <w:bottom w:val="single" w:sz="4" w:space="0" w:color="365F91"/>
              <w:right w:val="single" w:sz="4" w:space="0" w:color="365F91"/>
            </w:tcBorders>
            <w:noWrap/>
          </w:tcPr>
          <w:p w14:paraId="612A9222" w14:textId="77777777" w:rsidR="0068777C" w:rsidRPr="00256982" w:rsidRDefault="0068777C" w:rsidP="0068777C">
            <w:pPr>
              <w:pStyle w:val="TableText"/>
              <w:keepNext/>
              <w:spacing w:before="50" w:after="50"/>
              <w:ind w:right="510"/>
              <w:jc w:val="right"/>
            </w:pPr>
            <w:r w:rsidRPr="00256982">
              <w:t>10.9</w:t>
            </w:r>
          </w:p>
        </w:tc>
        <w:tc>
          <w:tcPr>
            <w:tcW w:w="205" w:type="pct"/>
            <w:tcBorders>
              <w:left w:val="single" w:sz="4" w:space="0" w:color="365F91"/>
              <w:right w:val="single" w:sz="4" w:space="0" w:color="365F91"/>
            </w:tcBorders>
          </w:tcPr>
          <w:p w14:paraId="3934FEAA" w14:textId="77777777" w:rsidR="0068777C" w:rsidRPr="00256982" w:rsidRDefault="0068777C" w:rsidP="0068777C">
            <w:pPr>
              <w:pStyle w:val="TableText"/>
              <w:keepNext/>
              <w:spacing w:before="50" w:after="50"/>
            </w:pPr>
          </w:p>
        </w:tc>
        <w:tc>
          <w:tcPr>
            <w:tcW w:w="580" w:type="pct"/>
            <w:tcBorders>
              <w:top w:val="single" w:sz="4" w:space="0" w:color="365F91"/>
              <w:left w:val="single" w:sz="4" w:space="0" w:color="365F91"/>
              <w:bottom w:val="single" w:sz="4" w:space="0" w:color="365F91"/>
            </w:tcBorders>
            <w:noWrap/>
          </w:tcPr>
          <w:p w14:paraId="411A9135" w14:textId="77777777" w:rsidR="0068777C" w:rsidRPr="00256982" w:rsidRDefault="0068777C" w:rsidP="0068777C">
            <w:pPr>
              <w:pStyle w:val="TableText"/>
              <w:keepNext/>
              <w:spacing w:before="50" w:after="50"/>
            </w:pPr>
            <w:r w:rsidRPr="00256982">
              <w:t>2007</w:t>
            </w:r>
          </w:p>
        </w:tc>
        <w:tc>
          <w:tcPr>
            <w:tcW w:w="941" w:type="pct"/>
            <w:tcBorders>
              <w:top w:val="single" w:sz="4" w:space="0" w:color="365F91"/>
              <w:bottom w:val="single" w:sz="4" w:space="0" w:color="365F91"/>
            </w:tcBorders>
            <w:noWrap/>
          </w:tcPr>
          <w:p w14:paraId="334162BD" w14:textId="77777777" w:rsidR="0068777C" w:rsidRPr="00256982" w:rsidRDefault="0068777C" w:rsidP="0068777C">
            <w:pPr>
              <w:pStyle w:val="TableText"/>
              <w:keepNext/>
              <w:spacing w:before="50" w:after="50"/>
              <w:jc w:val="center"/>
            </w:pPr>
            <w:r w:rsidRPr="00256982">
              <w:t>10.8</w:t>
            </w:r>
          </w:p>
        </w:tc>
        <w:tc>
          <w:tcPr>
            <w:tcW w:w="846" w:type="pct"/>
            <w:tcBorders>
              <w:top w:val="single" w:sz="4" w:space="0" w:color="365F91"/>
              <w:bottom w:val="single" w:sz="4" w:space="0" w:color="365F91"/>
            </w:tcBorders>
          </w:tcPr>
          <w:p w14:paraId="6E75C73F" w14:textId="77777777" w:rsidR="0068777C" w:rsidRPr="00256982" w:rsidRDefault="0068777C" w:rsidP="0068777C">
            <w:pPr>
              <w:pStyle w:val="TableText"/>
              <w:keepNext/>
              <w:spacing w:before="50" w:after="50"/>
              <w:jc w:val="center"/>
            </w:pPr>
            <w:r w:rsidRPr="00256982">
              <w:t>11.7</w:t>
            </w:r>
          </w:p>
        </w:tc>
      </w:tr>
      <w:tr w:rsidR="0068777C" w:rsidRPr="00256982" w14:paraId="6A5EC3D1" w14:textId="77777777" w:rsidTr="00AD05B0">
        <w:tc>
          <w:tcPr>
            <w:tcW w:w="546" w:type="pct"/>
            <w:tcBorders>
              <w:top w:val="single" w:sz="4" w:space="0" w:color="365F91"/>
              <w:bottom w:val="single" w:sz="4" w:space="0" w:color="365F91"/>
            </w:tcBorders>
            <w:shd w:val="clear" w:color="auto" w:fill="auto"/>
            <w:noWrap/>
          </w:tcPr>
          <w:p w14:paraId="6C1A0A47" w14:textId="77777777" w:rsidR="0068777C" w:rsidRPr="00256982" w:rsidRDefault="0068777C" w:rsidP="0068777C">
            <w:pPr>
              <w:pStyle w:val="TableText"/>
              <w:keepNext/>
              <w:spacing w:before="50" w:after="50"/>
            </w:pPr>
            <w:r w:rsidRPr="00256982">
              <w:t>1994</w:t>
            </w:r>
          </w:p>
        </w:tc>
        <w:tc>
          <w:tcPr>
            <w:tcW w:w="941" w:type="pct"/>
            <w:tcBorders>
              <w:top w:val="single" w:sz="4" w:space="0" w:color="365F91"/>
              <w:bottom w:val="single" w:sz="4" w:space="0" w:color="365F91"/>
            </w:tcBorders>
            <w:noWrap/>
          </w:tcPr>
          <w:p w14:paraId="3E093E21" w14:textId="77777777" w:rsidR="0068777C" w:rsidRPr="00256982" w:rsidRDefault="0068777C" w:rsidP="0068777C">
            <w:pPr>
              <w:pStyle w:val="TableText"/>
              <w:keepNext/>
              <w:spacing w:before="50" w:after="50"/>
              <w:ind w:right="510"/>
              <w:jc w:val="right"/>
            </w:pPr>
            <w:r w:rsidRPr="00256982">
              <w:t>9.5</w:t>
            </w:r>
          </w:p>
        </w:tc>
        <w:tc>
          <w:tcPr>
            <w:tcW w:w="941" w:type="pct"/>
            <w:tcBorders>
              <w:top w:val="single" w:sz="4" w:space="0" w:color="365F91"/>
              <w:bottom w:val="single" w:sz="4" w:space="0" w:color="365F91"/>
              <w:right w:val="single" w:sz="4" w:space="0" w:color="365F91"/>
            </w:tcBorders>
            <w:noWrap/>
          </w:tcPr>
          <w:p w14:paraId="03A1470B" w14:textId="77777777" w:rsidR="0068777C" w:rsidRPr="00256982" w:rsidRDefault="0068777C" w:rsidP="0068777C">
            <w:pPr>
              <w:pStyle w:val="TableText"/>
              <w:keepNext/>
              <w:spacing w:before="50" w:after="50"/>
              <w:ind w:right="510"/>
              <w:jc w:val="right"/>
            </w:pPr>
            <w:r w:rsidRPr="00256982">
              <w:t>11.0</w:t>
            </w:r>
          </w:p>
        </w:tc>
        <w:tc>
          <w:tcPr>
            <w:tcW w:w="205" w:type="pct"/>
            <w:tcBorders>
              <w:left w:val="single" w:sz="4" w:space="0" w:color="365F91"/>
              <w:right w:val="single" w:sz="4" w:space="0" w:color="365F91"/>
            </w:tcBorders>
          </w:tcPr>
          <w:p w14:paraId="5D2F164F" w14:textId="77777777" w:rsidR="0068777C" w:rsidRPr="00256982" w:rsidRDefault="0068777C" w:rsidP="0068777C">
            <w:pPr>
              <w:pStyle w:val="TableText"/>
              <w:keepNext/>
              <w:spacing w:before="50" w:after="50"/>
            </w:pPr>
          </w:p>
        </w:tc>
        <w:tc>
          <w:tcPr>
            <w:tcW w:w="580" w:type="pct"/>
            <w:tcBorders>
              <w:top w:val="single" w:sz="4" w:space="0" w:color="365F91"/>
              <w:left w:val="single" w:sz="4" w:space="0" w:color="365F91"/>
              <w:bottom w:val="single" w:sz="4" w:space="0" w:color="365F91"/>
            </w:tcBorders>
            <w:noWrap/>
          </w:tcPr>
          <w:p w14:paraId="7277C012" w14:textId="77777777" w:rsidR="0068777C" w:rsidRPr="00256982" w:rsidRDefault="0068777C" w:rsidP="0068777C">
            <w:pPr>
              <w:pStyle w:val="TableText"/>
              <w:keepNext/>
              <w:spacing w:before="50" w:after="50"/>
            </w:pPr>
            <w:r w:rsidRPr="00256982">
              <w:t>2008</w:t>
            </w:r>
          </w:p>
        </w:tc>
        <w:tc>
          <w:tcPr>
            <w:tcW w:w="941" w:type="pct"/>
            <w:tcBorders>
              <w:top w:val="single" w:sz="4" w:space="0" w:color="365F91"/>
              <w:bottom w:val="single" w:sz="4" w:space="0" w:color="365F91"/>
            </w:tcBorders>
            <w:noWrap/>
          </w:tcPr>
          <w:p w14:paraId="7710578A" w14:textId="77777777" w:rsidR="0068777C" w:rsidRPr="00256982" w:rsidRDefault="0068777C" w:rsidP="0068777C">
            <w:pPr>
              <w:pStyle w:val="TableText"/>
              <w:keepNext/>
              <w:spacing w:before="50" w:after="50"/>
              <w:jc w:val="center"/>
            </w:pPr>
            <w:r w:rsidRPr="00256982">
              <w:t>10.8</w:t>
            </w:r>
          </w:p>
        </w:tc>
        <w:tc>
          <w:tcPr>
            <w:tcW w:w="846" w:type="pct"/>
            <w:tcBorders>
              <w:top w:val="single" w:sz="4" w:space="0" w:color="365F91"/>
              <w:bottom w:val="single" w:sz="4" w:space="0" w:color="365F91"/>
            </w:tcBorders>
          </w:tcPr>
          <w:p w14:paraId="48FB43A4" w14:textId="77777777" w:rsidR="0068777C" w:rsidRPr="00256982" w:rsidRDefault="0068777C" w:rsidP="0068777C">
            <w:pPr>
              <w:pStyle w:val="TableText"/>
              <w:keepNext/>
              <w:spacing w:before="50" w:after="50"/>
              <w:jc w:val="center"/>
            </w:pPr>
            <w:r w:rsidRPr="00256982">
              <w:t>11.9</w:t>
            </w:r>
          </w:p>
        </w:tc>
      </w:tr>
      <w:tr w:rsidR="0068777C" w:rsidRPr="00256982" w14:paraId="392E9396" w14:textId="77777777" w:rsidTr="00AD05B0">
        <w:tc>
          <w:tcPr>
            <w:tcW w:w="546" w:type="pct"/>
            <w:tcBorders>
              <w:top w:val="single" w:sz="4" w:space="0" w:color="365F91"/>
              <w:bottom w:val="single" w:sz="4" w:space="0" w:color="365F91"/>
            </w:tcBorders>
            <w:shd w:val="clear" w:color="auto" w:fill="auto"/>
            <w:noWrap/>
          </w:tcPr>
          <w:p w14:paraId="508B0F94" w14:textId="77777777" w:rsidR="0068777C" w:rsidRPr="00256982" w:rsidRDefault="0068777C" w:rsidP="0068777C">
            <w:pPr>
              <w:pStyle w:val="TableText"/>
              <w:spacing w:before="50" w:after="50"/>
            </w:pPr>
            <w:r w:rsidRPr="00256982">
              <w:t>1995</w:t>
            </w:r>
          </w:p>
        </w:tc>
        <w:tc>
          <w:tcPr>
            <w:tcW w:w="941" w:type="pct"/>
            <w:tcBorders>
              <w:top w:val="single" w:sz="4" w:space="0" w:color="365F91"/>
              <w:bottom w:val="single" w:sz="4" w:space="0" w:color="365F91"/>
            </w:tcBorders>
            <w:noWrap/>
          </w:tcPr>
          <w:p w14:paraId="01E174C4" w14:textId="77777777" w:rsidR="0068777C" w:rsidRPr="00256982" w:rsidRDefault="0068777C" w:rsidP="0068777C">
            <w:pPr>
              <w:pStyle w:val="TableText"/>
              <w:spacing w:before="50" w:after="50"/>
              <w:ind w:right="510"/>
              <w:jc w:val="right"/>
            </w:pPr>
            <w:r w:rsidRPr="00256982">
              <w:t>9.6</w:t>
            </w:r>
          </w:p>
        </w:tc>
        <w:tc>
          <w:tcPr>
            <w:tcW w:w="941" w:type="pct"/>
            <w:tcBorders>
              <w:top w:val="single" w:sz="4" w:space="0" w:color="365F91"/>
              <w:bottom w:val="single" w:sz="4" w:space="0" w:color="365F91"/>
              <w:right w:val="single" w:sz="4" w:space="0" w:color="365F91"/>
            </w:tcBorders>
            <w:noWrap/>
          </w:tcPr>
          <w:p w14:paraId="41492811" w14:textId="77777777" w:rsidR="0068777C" w:rsidRPr="00256982" w:rsidRDefault="0068777C" w:rsidP="0068777C">
            <w:pPr>
              <w:pStyle w:val="TableText"/>
              <w:spacing w:before="50" w:after="50"/>
              <w:ind w:right="510"/>
              <w:jc w:val="right"/>
            </w:pPr>
            <w:r w:rsidRPr="00256982">
              <w:t>10.9</w:t>
            </w:r>
          </w:p>
        </w:tc>
        <w:tc>
          <w:tcPr>
            <w:tcW w:w="205" w:type="pct"/>
            <w:tcBorders>
              <w:left w:val="single" w:sz="4" w:space="0" w:color="365F91"/>
              <w:right w:val="single" w:sz="4" w:space="0" w:color="365F91"/>
            </w:tcBorders>
          </w:tcPr>
          <w:p w14:paraId="2E92FC1B" w14:textId="77777777" w:rsidR="0068777C" w:rsidRPr="00256982" w:rsidRDefault="0068777C" w:rsidP="0068777C">
            <w:pPr>
              <w:pStyle w:val="TableText"/>
              <w:spacing w:before="50" w:after="50"/>
            </w:pPr>
          </w:p>
        </w:tc>
        <w:tc>
          <w:tcPr>
            <w:tcW w:w="580" w:type="pct"/>
            <w:tcBorders>
              <w:top w:val="single" w:sz="4" w:space="0" w:color="365F91"/>
              <w:left w:val="single" w:sz="4" w:space="0" w:color="365F91"/>
              <w:bottom w:val="single" w:sz="4" w:space="0" w:color="365F91"/>
            </w:tcBorders>
            <w:noWrap/>
          </w:tcPr>
          <w:p w14:paraId="57DE5FD0" w14:textId="77777777" w:rsidR="0068777C" w:rsidRPr="00256982" w:rsidRDefault="0068777C" w:rsidP="0068777C">
            <w:pPr>
              <w:pStyle w:val="TableText"/>
              <w:spacing w:before="50" w:after="50"/>
            </w:pPr>
            <w:r w:rsidRPr="00256982">
              <w:t>2009</w:t>
            </w:r>
          </w:p>
        </w:tc>
        <w:tc>
          <w:tcPr>
            <w:tcW w:w="941" w:type="pct"/>
            <w:tcBorders>
              <w:top w:val="single" w:sz="4" w:space="0" w:color="365F91"/>
              <w:bottom w:val="single" w:sz="4" w:space="0" w:color="365F91"/>
            </w:tcBorders>
            <w:noWrap/>
          </w:tcPr>
          <w:p w14:paraId="090E9DC2" w14:textId="77777777" w:rsidR="0068777C" w:rsidRPr="00256982" w:rsidRDefault="0068777C" w:rsidP="0068777C">
            <w:pPr>
              <w:pStyle w:val="TableText"/>
              <w:spacing w:before="50" w:after="50"/>
              <w:jc w:val="center"/>
            </w:pPr>
            <w:r w:rsidRPr="00256982">
              <w:t>10.8</w:t>
            </w:r>
          </w:p>
        </w:tc>
        <w:tc>
          <w:tcPr>
            <w:tcW w:w="846" w:type="pct"/>
            <w:tcBorders>
              <w:top w:val="single" w:sz="4" w:space="0" w:color="365F91"/>
              <w:bottom w:val="single" w:sz="4" w:space="0" w:color="365F91"/>
            </w:tcBorders>
          </w:tcPr>
          <w:p w14:paraId="10C6E43C" w14:textId="77777777" w:rsidR="0068777C" w:rsidRPr="00256982" w:rsidRDefault="0068777C" w:rsidP="0068777C">
            <w:pPr>
              <w:pStyle w:val="TableText"/>
              <w:spacing w:before="50" w:after="50"/>
              <w:jc w:val="center"/>
            </w:pPr>
            <w:r w:rsidRPr="00256982">
              <w:t>12.1</w:t>
            </w:r>
          </w:p>
        </w:tc>
      </w:tr>
      <w:tr w:rsidR="0068777C" w:rsidRPr="00256982" w14:paraId="216518D6" w14:textId="77777777" w:rsidTr="00AD05B0">
        <w:tc>
          <w:tcPr>
            <w:tcW w:w="546" w:type="pct"/>
            <w:tcBorders>
              <w:top w:val="single" w:sz="4" w:space="0" w:color="365F91"/>
              <w:bottom w:val="single" w:sz="4" w:space="0" w:color="365F91"/>
            </w:tcBorders>
            <w:shd w:val="clear" w:color="auto" w:fill="auto"/>
            <w:noWrap/>
          </w:tcPr>
          <w:p w14:paraId="4AE0A766" w14:textId="77777777" w:rsidR="0068777C" w:rsidRPr="00256982" w:rsidRDefault="0068777C" w:rsidP="0068777C">
            <w:pPr>
              <w:pStyle w:val="TableText"/>
              <w:spacing w:before="50" w:after="50"/>
            </w:pPr>
            <w:r w:rsidRPr="00256982">
              <w:t>1996</w:t>
            </w:r>
          </w:p>
        </w:tc>
        <w:tc>
          <w:tcPr>
            <w:tcW w:w="941" w:type="pct"/>
            <w:tcBorders>
              <w:top w:val="single" w:sz="4" w:space="0" w:color="365F91"/>
              <w:bottom w:val="single" w:sz="4" w:space="0" w:color="365F91"/>
            </w:tcBorders>
            <w:noWrap/>
          </w:tcPr>
          <w:p w14:paraId="2782DFF4" w14:textId="77777777" w:rsidR="0068777C" w:rsidRPr="00256982" w:rsidRDefault="0068777C" w:rsidP="0068777C">
            <w:pPr>
              <w:pStyle w:val="TableText"/>
              <w:spacing w:before="50" w:after="50"/>
              <w:ind w:right="510"/>
              <w:jc w:val="right"/>
            </w:pPr>
            <w:r w:rsidRPr="00256982">
              <w:t>9.8</w:t>
            </w:r>
          </w:p>
        </w:tc>
        <w:tc>
          <w:tcPr>
            <w:tcW w:w="941" w:type="pct"/>
            <w:tcBorders>
              <w:top w:val="single" w:sz="4" w:space="0" w:color="365F91"/>
              <w:bottom w:val="single" w:sz="4" w:space="0" w:color="365F91"/>
              <w:right w:val="single" w:sz="4" w:space="0" w:color="365F91"/>
            </w:tcBorders>
            <w:noWrap/>
          </w:tcPr>
          <w:p w14:paraId="62D65CB2" w14:textId="77777777" w:rsidR="0068777C" w:rsidRPr="00256982" w:rsidRDefault="0068777C" w:rsidP="0068777C">
            <w:pPr>
              <w:pStyle w:val="TableText"/>
              <w:spacing w:before="50" w:after="50"/>
              <w:ind w:right="510"/>
              <w:jc w:val="right"/>
            </w:pPr>
            <w:r w:rsidRPr="00256982">
              <w:t>11.2</w:t>
            </w:r>
          </w:p>
        </w:tc>
        <w:tc>
          <w:tcPr>
            <w:tcW w:w="205" w:type="pct"/>
            <w:tcBorders>
              <w:left w:val="single" w:sz="4" w:space="0" w:color="365F91"/>
              <w:right w:val="single" w:sz="4" w:space="0" w:color="365F91"/>
            </w:tcBorders>
          </w:tcPr>
          <w:p w14:paraId="54AEF653" w14:textId="77777777" w:rsidR="0068777C" w:rsidRPr="00256982" w:rsidRDefault="0068777C" w:rsidP="0068777C">
            <w:pPr>
              <w:pStyle w:val="TableText"/>
              <w:spacing w:before="50" w:after="50"/>
            </w:pPr>
          </w:p>
        </w:tc>
        <w:tc>
          <w:tcPr>
            <w:tcW w:w="580" w:type="pct"/>
            <w:tcBorders>
              <w:top w:val="single" w:sz="4" w:space="0" w:color="365F91"/>
              <w:left w:val="single" w:sz="4" w:space="0" w:color="365F91"/>
              <w:bottom w:val="single" w:sz="4" w:space="0" w:color="365F91"/>
            </w:tcBorders>
            <w:noWrap/>
          </w:tcPr>
          <w:p w14:paraId="572CA9F0" w14:textId="77777777" w:rsidR="0068777C" w:rsidRPr="00256982" w:rsidRDefault="0068777C" w:rsidP="0068777C">
            <w:pPr>
              <w:pStyle w:val="TableText"/>
              <w:spacing w:before="50" w:after="50"/>
            </w:pPr>
            <w:r w:rsidRPr="00256982">
              <w:t>2010</w:t>
            </w:r>
          </w:p>
        </w:tc>
        <w:tc>
          <w:tcPr>
            <w:tcW w:w="941" w:type="pct"/>
            <w:tcBorders>
              <w:top w:val="single" w:sz="4" w:space="0" w:color="365F91"/>
              <w:bottom w:val="single" w:sz="4" w:space="0" w:color="365F91"/>
            </w:tcBorders>
            <w:noWrap/>
          </w:tcPr>
          <w:p w14:paraId="67804995" w14:textId="77777777" w:rsidR="0068777C" w:rsidRPr="00256982" w:rsidRDefault="0068777C" w:rsidP="0068777C">
            <w:pPr>
              <w:pStyle w:val="TableText"/>
              <w:spacing w:before="50" w:after="50"/>
              <w:jc w:val="center"/>
            </w:pPr>
            <w:r w:rsidRPr="00256982">
              <w:t>10.8</w:t>
            </w:r>
          </w:p>
        </w:tc>
        <w:tc>
          <w:tcPr>
            <w:tcW w:w="846" w:type="pct"/>
            <w:tcBorders>
              <w:top w:val="single" w:sz="4" w:space="0" w:color="365F91"/>
              <w:bottom w:val="single" w:sz="4" w:space="0" w:color="365F91"/>
            </w:tcBorders>
          </w:tcPr>
          <w:p w14:paraId="3F93BA76" w14:textId="77777777" w:rsidR="0068777C" w:rsidRPr="00256982" w:rsidRDefault="0068777C" w:rsidP="0068777C">
            <w:pPr>
              <w:pStyle w:val="TableText"/>
              <w:spacing w:before="50" w:after="50"/>
              <w:jc w:val="center"/>
            </w:pPr>
            <w:r w:rsidRPr="00256982">
              <w:t>11.8</w:t>
            </w:r>
          </w:p>
        </w:tc>
      </w:tr>
      <w:tr w:rsidR="0068777C" w:rsidRPr="00256982" w14:paraId="1003D750" w14:textId="77777777" w:rsidTr="00AD05B0">
        <w:tc>
          <w:tcPr>
            <w:tcW w:w="546" w:type="pct"/>
            <w:tcBorders>
              <w:top w:val="single" w:sz="4" w:space="0" w:color="365F91"/>
              <w:bottom w:val="single" w:sz="4" w:space="0" w:color="365F91"/>
            </w:tcBorders>
            <w:shd w:val="clear" w:color="auto" w:fill="auto"/>
            <w:noWrap/>
          </w:tcPr>
          <w:p w14:paraId="3E7686A9" w14:textId="77777777" w:rsidR="0068777C" w:rsidRPr="00256982" w:rsidRDefault="0068777C" w:rsidP="0068777C">
            <w:pPr>
              <w:pStyle w:val="TableText"/>
              <w:spacing w:before="50" w:after="50"/>
            </w:pPr>
            <w:r w:rsidRPr="00256982">
              <w:t>1997</w:t>
            </w:r>
          </w:p>
        </w:tc>
        <w:tc>
          <w:tcPr>
            <w:tcW w:w="941" w:type="pct"/>
            <w:tcBorders>
              <w:top w:val="single" w:sz="4" w:space="0" w:color="365F91"/>
              <w:bottom w:val="single" w:sz="4" w:space="0" w:color="365F91"/>
            </w:tcBorders>
            <w:noWrap/>
          </w:tcPr>
          <w:p w14:paraId="6418CEB8" w14:textId="77777777" w:rsidR="0068777C" w:rsidRPr="00256982" w:rsidRDefault="0068777C" w:rsidP="0068777C">
            <w:pPr>
              <w:pStyle w:val="TableText"/>
              <w:spacing w:before="50" w:after="50"/>
              <w:ind w:right="510"/>
              <w:jc w:val="right"/>
            </w:pPr>
            <w:r w:rsidRPr="00256982">
              <w:t>9.9</w:t>
            </w:r>
          </w:p>
        </w:tc>
        <w:tc>
          <w:tcPr>
            <w:tcW w:w="941" w:type="pct"/>
            <w:tcBorders>
              <w:top w:val="single" w:sz="4" w:space="0" w:color="365F91"/>
              <w:bottom w:val="single" w:sz="4" w:space="0" w:color="365F91"/>
              <w:right w:val="single" w:sz="4" w:space="0" w:color="365F91"/>
            </w:tcBorders>
            <w:noWrap/>
          </w:tcPr>
          <w:p w14:paraId="26BF5411" w14:textId="77777777" w:rsidR="0068777C" w:rsidRPr="00256982" w:rsidRDefault="0068777C" w:rsidP="0068777C">
            <w:pPr>
              <w:pStyle w:val="TableText"/>
              <w:spacing w:before="50" w:after="50"/>
              <w:ind w:right="510"/>
              <w:jc w:val="right"/>
            </w:pPr>
            <w:r w:rsidRPr="00256982">
              <w:t>11.1</w:t>
            </w:r>
          </w:p>
        </w:tc>
        <w:tc>
          <w:tcPr>
            <w:tcW w:w="205" w:type="pct"/>
            <w:tcBorders>
              <w:left w:val="single" w:sz="4" w:space="0" w:color="365F91"/>
              <w:right w:val="single" w:sz="4" w:space="0" w:color="365F91"/>
            </w:tcBorders>
          </w:tcPr>
          <w:p w14:paraId="1508E73F" w14:textId="77777777" w:rsidR="0068777C" w:rsidRPr="00256982" w:rsidRDefault="0068777C" w:rsidP="0068777C">
            <w:pPr>
              <w:pStyle w:val="TableText"/>
              <w:spacing w:before="50" w:after="50"/>
            </w:pPr>
          </w:p>
        </w:tc>
        <w:tc>
          <w:tcPr>
            <w:tcW w:w="580" w:type="pct"/>
            <w:tcBorders>
              <w:top w:val="single" w:sz="4" w:space="0" w:color="365F91"/>
              <w:left w:val="single" w:sz="4" w:space="0" w:color="365F91"/>
              <w:bottom w:val="single" w:sz="4" w:space="0" w:color="365F91"/>
            </w:tcBorders>
            <w:noWrap/>
          </w:tcPr>
          <w:p w14:paraId="119C11EA" w14:textId="77777777" w:rsidR="0068777C" w:rsidRPr="00256982" w:rsidRDefault="0068777C" w:rsidP="0068777C">
            <w:pPr>
              <w:pStyle w:val="TableText"/>
              <w:spacing w:before="50" w:after="50"/>
            </w:pPr>
            <w:r w:rsidRPr="00256982">
              <w:t>2011</w:t>
            </w:r>
          </w:p>
        </w:tc>
        <w:tc>
          <w:tcPr>
            <w:tcW w:w="941" w:type="pct"/>
            <w:tcBorders>
              <w:top w:val="single" w:sz="4" w:space="0" w:color="365F91"/>
              <w:bottom w:val="single" w:sz="4" w:space="0" w:color="365F91"/>
            </w:tcBorders>
            <w:noWrap/>
          </w:tcPr>
          <w:p w14:paraId="2B67F010" w14:textId="77777777" w:rsidR="0068777C" w:rsidRPr="00256982" w:rsidRDefault="0068777C" w:rsidP="0068777C">
            <w:pPr>
              <w:pStyle w:val="TableText"/>
              <w:spacing w:before="50" w:after="50"/>
              <w:jc w:val="center"/>
            </w:pPr>
            <w:r w:rsidRPr="00256982">
              <w:t>11.0</w:t>
            </w:r>
          </w:p>
        </w:tc>
        <w:tc>
          <w:tcPr>
            <w:tcW w:w="846" w:type="pct"/>
            <w:tcBorders>
              <w:top w:val="single" w:sz="4" w:space="0" w:color="365F91"/>
              <w:bottom w:val="single" w:sz="4" w:space="0" w:color="365F91"/>
            </w:tcBorders>
          </w:tcPr>
          <w:p w14:paraId="4D71562D" w14:textId="77777777" w:rsidR="0068777C" w:rsidRPr="00256982" w:rsidRDefault="0068777C" w:rsidP="0068777C">
            <w:pPr>
              <w:pStyle w:val="TableText"/>
              <w:spacing w:before="50" w:after="50"/>
              <w:jc w:val="center"/>
            </w:pPr>
            <w:r w:rsidRPr="00256982">
              <w:t>12.0</w:t>
            </w:r>
          </w:p>
        </w:tc>
      </w:tr>
      <w:tr w:rsidR="0068777C" w:rsidRPr="00256982" w14:paraId="79FB2760" w14:textId="77777777" w:rsidTr="00AD05B0">
        <w:tc>
          <w:tcPr>
            <w:tcW w:w="546" w:type="pct"/>
            <w:tcBorders>
              <w:top w:val="single" w:sz="4" w:space="0" w:color="365F91"/>
              <w:bottom w:val="single" w:sz="4" w:space="0" w:color="365F91"/>
            </w:tcBorders>
            <w:shd w:val="clear" w:color="auto" w:fill="auto"/>
            <w:noWrap/>
          </w:tcPr>
          <w:p w14:paraId="7E67DF2A" w14:textId="77777777" w:rsidR="0068777C" w:rsidRPr="00256982" w:rsidRDefault="0068777C" w:rsidP="0068777C">
            <w:pPr>
              <w:pStyle w:val="TableText"/>
              <w:spacing w:before="50" w:after="50"/>
            </w:pPr>
            <w:r w:rsidRPr="00256982">
              <w:t>1998</w:t>
            </w:r>
          </w:p>
        </w:tc>
        <w:tc>
          <w:tcPr>
            <w:tcW w:w="941" w:type="pct"/>
            <w:tcBorders>
              <w:top w:val="single" w:sz="4" w:space="0" w:color="365F91"/>
              <w:bottom w:val="single" w:sz="4" w:space="0" w:color="365F91"/>
            </w:tcBorders>
            <w:noWrap/>
          </w:tcPr>
          <w:p w14:paraId="71E95CEB" w14:textId="77777777" w:rsidR="0068777C" w:rsidRPr="00256982" w:rsidRDefault="0068777C" w:rsidP="0068777C">
            <w:pPr>
              <w:pStyle w:val="TableText"/>
              <w:spacing w:before="50" w:after="50"/>
              <w:ind w:right="510"/>
              <w:jc w:val="right"/>
            </w:pPr>
            <w:r w:rsidRPr="00256982">
              <w:t>9.9</w:t>
            </w:r>
          </w:p>
        </w:tc>
        <w:tc>
          <w:tcPr>
            <w:tcW w:w="941" w:type="pct"/>
            <w:tcBorders>
              <w:top w:val="single" w:sz="4" w:space="0" w:color="365F91"/>
              <w:bottom w:val="single" w:sz="4" w:space="0" w:color="365F91"/>
              <w:right w:val="single" w:sz="4" w:space="0" w:color="365F91"/>
            </w:tcBorders>
            <w:noWrap/>
          </w:tcPr>
          <w:p w14:paraId="209E9D95" w14:textId="77777777" w:rsidR="0068777C" w:rsidRPr="00256982" w:rsidRDefault="0068777C" w:rsidP="0068777C">
            <w:pPr>
              <w:pStyle w:val="TableText"/>
              <w:spacing w:before="50" w:after="50"/>
              <w:ind w:right="510"/>
              <w:jc w:val="right"/>
            </w:pPr>
            <w:r w:rsidRPr="00256982">
              <w:t>11.1</w:t>
            </w:r>
          </w:p>
        </w:tc>
        <w:tc>
          <w:tcPr>
            <w:tcW w:w="205" w:type="pct"/>
            <w:tcBorders>
              <w:left w:val="single" w:sz="4" w:space="0" w:color="365F91"/>
              <w:right w:val="single" w:sz="4" w:space="0" w:color="365F91"/>
            </w:tcBorders>
          </w:tcPr>
          <w:p w14:paraId="00101A80" w14:textId="77777777" w:rsidR="0068777C" w:rsidRPr="00256982" w:rsidRDefault="0068777C" w:rsidP="0068777C">
            <w:pPr>
              <w:pStyle w:val="TableText"/>
              <w:spacing w:before="50" w:after="50"/>
            </w:pPr>
          </w:p>
        </w:tc>
        <w:tc>
          <w:tcPr>
            <w:tcW w:w="580" w:type="pct"/>
            <w:tcBorders>
              <w:top w:val="single" w:sz="4" w:space="0" w:color="365F91"/>
              <w:left w:val="single" w:sz="4" w:space="0" w:color="365F91"/>
              <w:bottom w:val="single" w:sz="4" w:space="0" w:color="365F91"/>
            </w:tcBorders>
            <w:noWrap/>
          </w:tcPr>
          <w:p w14:paraId="04D54AEA" w14:textId="77777777" w:rsidR="0068777C" w:rsidRPr="00256982" w:rsidRDefault="0068777C" w:rsidP="0068777C">
            <w:pPr>
              <w:pStyle w:val="TableText"/>
              <w:spacing w:before="50" w:after="50"/>
            </w:pPr>
            <w:r w:rsidRPr="00256982">
              <w:t>2012</w:t>
            </w:r>
          </w:p>
        </w:tc>
        <w:tc>
          <w:tcPr>
            <w:tcW w:w="941" w:type="pct"/>
            <w:tcBorders>
              <w:top w:val="single" w:sz="4" w:space="0" w:color="365F91"/>
              <w:bottom w:val="single" w:sz="4" w:space="0" w:color="365F91"/>
            </w:tcBorders>
            <w:noWrap/>
          </w:tcPr>
          <w:p w14:paraId="05A79F25" w14:textId="77777777" w:rsidR="0068777C" w:rsidRPr="00256982" w:rsidRDefault="0068777C" w:rsidP="0068777C">
            <w:pPr>
              <w:pStyle w:val="TableText"/>
              <w:spacing w:before="50" w:after="50"/>
              <w:jc w:val="center"/>
            </w:pPr>
            <w:r w:rsidRPr="00256982">
              <w:t>11.0</w:t>
            </w:r>
          </w:p>
        </w:tc>
        <w:tc>
          <w:tcPr>
            <w:tcW w:w="846" w:type="pct"/>
            <w:tcBorders>
              <w:top w:val="single" w:sz="4" w:space="0" w:color="365F91"/>
              <w:bottom w:val="single" w:sz="4" w:space="0" w:color="365F91"/>
            </w:tcBorders>
          </w:tcPr>
          <w:p w14:paraId="0A910F0D" w14:textId="77777777" w:rsidR="0068777C" w:rsidRPr="00256982" w:rsidRDefault="0068777C" w:rsidP="0068777C">
            <w:pPr>
              <w:pStyle w:val="TableText"/>
              <w:spacing w:before="50" w:after="50"/>
              <w:jc w:val="center"/>
            </w:pPr>
            <w:r w:rsidRPr="00256982">
              <w:t>11.9</w:t>
            </w:r>
          </w:p>
        </w:tc>
      </w:tr>
      <w:tr w:rsidR="0068777C" w:rsidRPr="00256982" w14:paraId="10F2F6BA" w14:textId="77777777" w:rsidTr="00AD05B0">
        <w:tc>
          <w:tcPr>
            <w:tcW w:w="546" w:type="pct"/>
            <w:tcBorders>
              <w:top w:val="single" w:sz="4" w:space="0" w:color="365F91"/>
              <w:bottom w:val="single" w:sz="4" w:space="0" w:color="365F91"/>
            </w:tcBorders>
            <w:shd w:val="clear" w:color="auto" w:fill="auto"/>
            <w:noWrap/>
          </w:tcPr>
          <w:p w14:paraId="33228ABA" w14:textId="77777777" w:rsidR="0068777C" w:rsidRPr="00256982" w:rsidRDefault="0068777C" w:rsidP="0068777C">
            <w:pPr>
              <w:pStyle w:val="TableText"/>
              <w:spacing w:before="50" w:after="50"/>
            </w:pPr>
            <w:r w:rsidRPr="00256982">
              <w:t>1999</w:t>
            </w:r>
          </w:p>
        </w:tc>
        <w:tc>
          <w:tcPr>
            <w:tcW w:w="941" w:type="pct"/>
            <w:tcBorders>
              <w:top w:val="single" w:sz="4" w:space="0" w:color="365F91"/>
              <w:bottom w:val="single" w:sz="4" w:space="0" w:color="365F91"/>
            </w:tcBorders>
            <w:noWrap/>
          </w:tcPr>
          <w:p w14:paraId="4F30C4C8" w14:textId="77777777" w:rsidR="0068777C" w:rsidRPr="00256982" w:rsidRDefault="0068777C" w:rsidP="0068777C">
            <w:pPr>
              <w:pStyle w:val="TableText"/>
              <w:spacing w:before="50" w:after="50"/>
              <w:ind w:right="510"/>
              <w:jc w:val="right"/>
            </w:pPr>
            <w:r w:rsidRPr="00256982">
              <w:t>9.9</w:t>
            </w:r>
          </w:p>
        </w:tc>
        <w:tc>
          <w:tcPr>
            <w:tcW w:w="941" w:type="pct"/>
            <w:tcBorders>
              <w:top w:val="single" w:sz="4" w:space="0" w:color="365F91"/>
              <w:bottom w:val="single" w:sz="4" w:space="0" w:color="365F91"/>
              <w:right w:val="single" w:sz="4" w:space="0" w:color="365F91"/>
            </w:tcBorders>
            <w:noWrap/>
          </w:tcPr>
          <w:p w14:paraId="1CFA03E0" w14:textId="77777777" w:rsidR="0068777C" w:rsidRPr="00256982" w:rsidRDefault="0068777C" w:rsidP="0068777C">
            <w:pPr>
              <w:pStyle w:val="TableText"/>
              <w:spacing w:before="50" w:after="50"/>
              <w:ind w:right="510"/>
              <w:jc w:val="right"/>
            </w:pPr>
            <w:r w:rsidRPr="00256982">
              <w:t>11.3</w:t>
            </w:r>
          </w:p>
        </w:tc>
        <w:tc>
          <w:tcPr>
            <w:tcW w:w="205" w:type="pct"/>
            <w:tcBorders>
              <w:left w:val="single" w:sz="4" w:space="0" w:color="365F91"/>
              <w:right w:val="single" w:sz="4" w:space="0" w:color="365F91"/>
            </w:tcBorders>
          </w:tcPr>
          <w:p w14:paraId="3E736C56" w14:textId="77777777" w:rsidR="0068777C" w:rsidRPr="00256982" w:rsidRDefault="0068777C" w:rsidP="0068777C">
            <w:pPr>
              <w:pStyle w:val="TableText"/>
              <w:spacing w:before="50" w:after="50"/>
            </w:pPr>
          </w:p>
        </w:tc>
        <w:tc>
          <w:tcPr>
            <w:tcW w:w="580" w:type="pct"/>
            <w:tcBorders>
              <w:top w:val="single" w:sz="4" w:space="0" w:color="365F91"/>
              <w:left w:val="single" w:sz="4" w:space="0" w:color="365F91"/>
              <w:bottom w:val="single" w:sz="4" w:space="0" w:color="365F91"/>
            </w:tcBorders>
            <w:noWrap/>
          </w:tcPr>
          <w:p w14:paraId="6D0FEF6A" w14:textId="77777777" w:rsidR="0068777C" w:rsidRPr="00256982" w:rsidRDefault="0068777C" w:rsidP="0068777C">
            <w:pPr>
              <w:pStyle w:val="TableText"/>
              <w:spacing w:before="50" w:after="50"/>
            </w:pPr>
            <w:r w:rsidRPr="00256982">
              <w:t>2013</w:t>
            </w:r>
          </w:p>
        </w:tc>
        <w:tc>
          <w:tcPr>
            <w:tcW w:w="941" w:type="pct"/>
            <w:tcBorders>
              <w:top w:val="single" w:sz="4" w:space="0" w:color="365F91"/>
              <w:bottom w:val="single" w:sz="4" w:space="0" w:color="365F91"/>
            </w:tcBorders>
            <w:noWrap/>
          </w:tcPr>
          <w:p w14:paraId="17609CFD" w14:textId="77777777" w:rsidR="0068777C" w:rsidRPr="00256982" w:rsidRDefault="0068777C" w:rsidP="0068777C">
            <w:pPr>
              <w:pStyle w:val="TableText"/>
              <w:spacing w:before="50" w:after="50"/>
              <w:jc w:val="center"/>
            </w:pPr>
            <w:r w:rsidRPr="00256982">
              <w:t>11.1</w:t>
            </w:r>
          </w:p>
        </w:tc>
        <w:tc>
          <w:tcPr>
            <w:tcW w:w="846" w:type="pct"/>
            <w:tcBorders>
              <w:top w:val="single" w:sz="4" w:space="0" w:color="365F91"/>
              <w:bottom w:val="single" w:sz="4" w:space="0" w:color="365F91"/>
            </w:tcBorders>
          </w:tcPr>
          <w:p w14:paraId="7073438A" w14:textId="77777777" w:rsidR="0068777C" w:rsidRPr="00256982" w:rsidRDefault="0068777C" w:rsidP="0068777C">
            <w:pPr>
              <w:pStyle w:val="TableText"/>
              <w:spacing w:before="50" w:after="50"/>
              <w:jc w:val="center"/>
            </w:pPr>
            <w:r w:rsidRPr="00256982">
              <w:t>12.0</w:t>
            </w:r>
          </w:p>
        </w:tc>
      </w:tr>
      <w:tr w:rsidR="0068777C" w:rsidRPr="00256982" w14:paraId="5984A4EF" w14:textId="77777777" w:rsidTr="00AD05B0">
        <w:tc>
          <w:tcPr>
            <w:tcW w:w="546" w:type="pct"/>
            <w:tcBorders>
              <w:top w:val="single" w:sz="4" w:space="0" w:color="365F91"/>
              <w:bottom w:val="single" w:sz="4" w:space="0" w:color="365F91"/>
            </w:tcBorders>
            <w:shd w:val="clear" w:color="auto" w:fill="auto"/>
            <w:noWrap/>
          </w:tcPr>
          <w:p w14:paraId="53EFFF22" w14:textId="77777777" w:rsidR="0068777C" w:rsidRPr="00256982" w:rsidRDefault="0068777C" w:rsidP="0068777C">
            <w:pPr>
              <w:pStyle w:val="TableText"/>
              <w:spacing w:before="50" w:after="50"/>
            </w:pPr>
            <w:r w:rsidRPr="00256982">
              <w:t>2000</w:t>
            </w:r>
          </w:p>
        </w:tc>
        <w:tc>
          <w:tcPr>
            <w:tcW w:w="941" w:type="pct"/>
            <w:tcBorders>
              <w:top w:val="single" w:sz="4" w:space="0" w:color="365F91"/>
              <w:bottom w:val="single" w:sz="4" w:space="0" w:color="365F91"/>
            </w:tcBorders>
            <w:noWrap/>
          </w:tcPr>
          <w:p w14:paraId="391B92B8" w14:textId="77777777" w:rsidR="0068777C" w:rsidRPr="00256982" w:rsidRDefault="0068777C" w:rsidP="0068777C">
            <w:pPr>
              <w:pStyle w:val="TableText"/>
              <w:spacing w:before="50" w:after="50"/>
              <w:ind w:right="510"/>
              <w:jc w:val="right"/>
            </w:pPr>
            <w:r w:rsidRPr="00256982">
              <w:t>10.2</w:t>
            </w:r>
          </w:p>
        </w:tc>
        <w:tc>
          <w:tcPr>
            <w:tcW w:w="941" w:type="pct"/>
            <w:tcBorders>
              <w:top w:val="single" w:sz="4" w:space="0" w:color="365F91"/>
              <w:bottom w:val="single" w:sz="4" w:space="0" w:color="365F91"/>
              <w:right w:val="single" w:sz="4" w:space="0" w:color="365F91"/>
            </w:tcBorders>
            <w:noWrap/>
          </w:tcPr>
          <w:p w14:paraId="71D86EBD" w14:textId="77777777" w:rsidR="0068777C" w:rsidRPr="00256982" w:rsidRDefault="0068777C" w:rsidP="0068777C">
            <w:pPr>
              <w:pStyle w:val="TableText"/>
              <w:spacing w:before="50" w:after="50"/>
              <w:ind w:right="510"/>
              <w:jc w:val="right"/>
            </w:pPr>
            <w:r w:rsidRPr="00256982">
              <w:t>11.3</w:t>
            </w:r>
          </w:p>
        </w:tc>
        <w:tc>
          <w:tcPr>
            <w:tcW w:w="205" w:type="pct"/>
            <w:tcBorders>
              <w:left w:val="single" w:sz="4" w:space="0" w:color="365F91"/>
              <w:right w:val="single" w:sz="4" w:space="0" w:color="365F91"/>
            </w:tcBorders>
          </w:tcPr>
          <w:p w14:paraId="171D36F5" w14:textId="77777777" w:rsidR="0068777C" w:rsidRPr="00256982" w:rsidRDefault="0068777C" w:rsidP="0068777C">
            <w:pPr>
              <w:pStyle w:val="TableText"/>
              <w:spacing w:before="50" w:after="50"/>
            </w:pPr>
          </w:p>
        </w:tc>
        <w:tc>
          <w:tcPr>
            <w:tcW w:w="580" w:type="pct"/>
            <w:tcBorders>
              <w:top w:val="single" w:sz="4" w:space="0" w:color="365F91"/>
              <w:left w:val="single" w:sz="4" w:space="0" w:color="365F91"/>
              <w:bottom w:val="single" w:sz="4" w:space="0" w:color="365F91"/>
            </w:tcBorders>
            <w:noWrap/>
          </w:tcPr>
          <w:p w14:paraId="56D216DD" w14:textId="77777777" w:rsidR="0068777C" w:rsidRPr="00256982" w:rsidRDefault="0068777C" w:rsidP="0068777C">
            <w:pPr>
              <w:pStyle w:val="TableText"/>
              <w:spacing w:before="50" w:after="50"/>
            </w:pPr>
            <w:r w:rsidRPr="00256982">
              <w:t>2014</w:t>
            </w:r>
          </w:p>
        </w:tc>
        <w:tc>
          <w:tcPr>
            <w:tcW w:w="941" w:type="pct"/>
            <w:tcBorders>
              <w:top w:val="single" w:sz="4" w:space="0" w:color="365F91"/>
              <w:bottom w:val="single" w:sz="4" w:space="0" w:color="365F91"/>
            </w:tcBorders>
            <w:noWrap/>
          </w:tcPr>
          <w:p w14:paraId="54C40F86" w14:textId="77777777" w:rsidR="0068777C" w:rsidRPr="00256982" w:rsidRDefault="0068777C" w:rsidP="0068777C">
            <w:pPr>
              <w:pStyle w:val="TableText"/>
              <w:spacing w:before="50" w:after="50"/>
              <w:jc w:val="center"/>
            </w:pPr>
            <w:r w:rsidRPr="00256982">
              <w:t>11.3</w:t>
            </w:r>
          </w:p>
        </w:tc>
        <w:tc>
          <w:tcPr>
            <w:tcW w:w="846" w:type="pct"/>
            <w:tcBorders>
              <w:top w:val="single" w:sz="4" w:space="0" w:color="365F91"/>
              <w:bottom w:val="single" w:sz="4" w:space="0" w:color="365F91"/>
            </w:tcBorders>
          </w:tcPr>
          <w:p w14:paraId="00946F76" w14:textId="77777777" w:rsidR="0068777C" w:rsidRPr="00256982" w:rsidRDefault="0068777C" w:rsidP="0068777C">
            <w:pPr>
              <w:pStyle w:val="TableText"/>
              <w:spacing w:before="50" w:after="50"/>
              <w:jc w:val="center"/>
            </w:pPr>
            <w:r w:rsidRPr="00256982">
              <w:t>11.7</w:t>
            </w:r>
          </w:p>
        </w:tc>
      </w:tr>
      <w:tr w:rsidR="0068777C" w:rsidRPr="00256982" w14:paraId="1F0952AE" w14:textId="77777777" w:rsidTr="00AD05B0">
        <w:tc>
          <w:tcPr>
            <w:tcW w:w="546" w:type="pct"/>
            <w:tcBorders>
              <w:top w:val="single" w:sz="4" w:space="0" w:color="365F91"/>
              <w:bottom w:val="single" w:sz="4" w:space="0" w:color="365F91"/>
            </w:tcBorders>
            <w:shd w:val="clear" w:color="auto" w:fill="auto"/>
            <w:noWrap/>
          </w:tcPr>
          <w:p w14:paraId="50B83EF7" w14:textId="77777777" w:rsidR="0068777C" w:rsidRPr="00256982" w:rsidRDefault="0068777C" w:rsidP="0068777C">
            <w:pPr>
              <w:pStyle w:val="TableText"/>
              <w:spacing w:before="50" w:after="50"/>
            </w:pPr>
            <w:r w:rsidRPr="00256982">
              <w:t>2001</w:t>
            </w:r>
          </w:p>
        </w:tc>
        <w:tc>
          <w:tcPr>
            <w:tcW w:w="941" w:type="pct"/>
            <w:tcBorders>
              <w:top w:val="single" w:sz="4" w:space="0" w:color="365F91"/>
              <w:bottom w:val="single" w:sz="4" w:space="0" w:color="365F91"/>
            </w:tcBorders>
            <w:noWrap/>
          </w:tcPr>
          <w:p w14:paraId="47545C60" w14:textId="77777777" w:rsidR="0068777C" w:rsidRPr="00256982" w:rsidRDefault="0068777C" w:rsidP="0068777C">
            <w:pPr>
              <w:pStyle w:val="TableText"/>
              <w:spacing w:before="50" w:after="50"/>
              <w:ind w:right="510"/>
              <w:jc w:val="right"/>
            </w:pPr>
            <w:r w:rsidRPr="00256982">
              <w:t>10.5</w:t>
            </w:r>
          </w:p>
        </w:tc>
        <w:tc>
          <w:tcPr>
            <w:tcW w:w="941" w:type="pct"/>
            <w:tcBorders>
              <w:top w:val="single" w:sz="4" w:space="0" w:color="365F91"/>
              <w:bottom w:val="single" w:sz="4" w:space="0" w:color="365F91"/>
              <w:right w:val="single" w:sz="4" w:space="0" w:color="365F91"/>
            </w:tcBorders>
            <w:noWrap/>
          </w:tcPr>
          <w:p w14:paraId="0A68B621" w14:textId="77777777" w:rsidR="0068777C" w:rsidRPr="00256982" w:rsidRDefault="0068777C" w:rsidP="0068777C">
            <w:pPr>
              <w:pStyle w:val="TableText"/>
              <w:spacing w:before="50" w:after="50"/>
              <w:ind w:right="510"/>
              <w:jc w:val="right"/>
            </w:pPr>
            <w:r w:rsidRPr="00256982">
              <w:t>11.4</w:t>
            </w:r>
          </w:p>
        </w:tc>
        <w:tc>
          <w:tcPr>
            <w:tcW w:w="205" w:type="pct"/>
            <w:tcBorders>
              <w:left w:val="single" w:sz="4" w:space="0" w:color="365F91"/>
              <w:right w:val="single" w:sz="4" w:space="0" w:color="365F91"/>
            </w:tcBorders>
          </w:tcPr>
          <w:p w14:paraId="6E1FCF00" w14:textId="77777777" w:rsidR="0068777C" w:rsidRPr="00256982" w:rsidRDefault="0068777C" w:rsidP="0068777C">
            <w:pPr>
              <w:pStyle w:val="TableText"/>
              <w:spacing w:before="50" w:after="50"/>
            </w:pPr>
          </w:p>
        </w:tc>
        <w:tc>
          <w:tcPr>
            <w:tcW w:w="580" w:type="pct"/>
            <w:tcBorders>
              <w:top w:val="single" w:sz="4" w:space="0" w:color="365F91"/>
              <w:left w:val="single" w:sz="4" w:space="0" w:color="365F91"/>
              <w:bottom w:val="single" w:sz="4" w:space="0" w:color="365F91"/>
            </w:tcBorders>
            <w:noWrap/>
          </w:tcPr>
          <w:p w14:paraId="555529FC" w14:textId="77777777" w:rsidR="0068777C" w:rsidRPr="00256982" w:rsidRDefault="0068777C" w:rsidP="0068777C">
            <w:pPr>
              <w:pStyle w:val="TableText"/>
              <w:spacing w:before="50" w:after="50"/>
            </w:pPr>
            <w:r w:rsidRPr="00256982">
              <w:t>2015</w:t>
            </w:r>
          </w:p>
        </w:tc>
        <w:tc>
          <w:tcPr>
            <w:tcW w:w="941" w:type="pct"/>
            <w:tcBorders>
              <w:top w:val="single" w:sz="4" w:space="0" w:color="365F91"/>
              <w:bottom w:val="single" w:sz="4" w:space="0" w:color="365F91"/>
            </w:tcBorders>
            <w:noWrap/>
          </w:tcPr>
          <w:p w14:paraId="3F389378" w14:textId="77777777" w:rsidR="0068777C" w:rsidRPr="00256982" w:rsidRDefault="0068777C" w:rsidP="0068777C">
            <w:pPr>
              <w:pStyle w:val="TableText"/>
              <w:spacing w:before="50" w:after="50"/>
              <w:jc w:val="center"/>
            </w:pPr>
            <w:r w:rsidRPr="00256982">
              <w:t>11.4</w:t>
            </w:r>
          </w:p>
        </w:tc>
        <w:tc>
          <w:tcPr>
            <w:tcW w:w="846" w:type="pct"/>
            <w:tcBorders>
              <w:top w:val="single" w:sz="4" w:space="0" w:color="365F91"/>
              <w:bottom w:val="single" w:sz="4" w:space="0" w:color="365F91"/>
            </w:tcBorders>
          </w:tcPr>
          <w:p w14:paraId="787E4426" w14:textId="77777777" w:rsidR="0068777C" w:rsidRPr="00256982" w:rsidRDefault="0068777C" w:rsidP="0068777C">
            <w:pPr>
              <w:pStyle w:val="TableText"/>
              <w:spacing w:before="50" w:after="50"/>
              <w:jc w:val="center"/>
            </w:pPr>
            <w:r w:rsidRPr="00256982">
              <w:t>12.1</w:t>
            </w:r>
          </w:p>
        </w:tc>
      </w:tr>
      <w:tr w:rsidR="0068777C" w:rsidRPr="00256982" w14:paraId="5327B0C4" w14:textId="77777777" w:rsidTr="00AD05B0">
        <w:tc>
          <w:tcPr>
            <w:tcW w:w="546" w:type="pct"/>
            <w:tcBorders>
              <w:top w:val="single" w:sz="4" w:space="0" w:color="365F91"/>
              <w:bottom w:val="single" w:sz="4" w:space="0" w:color="365F91"/>
            </w:tcBorders>
            <w:shd w:val="clear" w:color="auto" w:fill="auto"/>
            <w:noWrap/>
          </w:tcPr>
          <w:p w14:paraId="43B58DD7" w14:textId="77777777" w:rsidR="0068777C" w:rsidRPr="00256982" w:rsidRDefault="0068777C" w:rsidP="0068777C">
            <w:pPr>
              <w:pStyle w:val="TableText"/>
              <w:spacing w:before="50" w:after="50"/>
            </w:pPr>
            <w:r w:rsidRPr="00256982">
              <w:t>2002</w:t>
            </w:r>
          </w:p>
        </w:tc>
        <w:tc>
          <w:tcPr>
            <w:tcW w:w="941" w:type="pct"/>
            <w:tcBorders>
              <w:top w:val="single" w:sz="4" w:space="0" w:color="365F91"/>
              <w:bottom w:val="single" w:sz="4" w:space="0" w:color="365F91"/>
            </w:tcBorders>
            <w:noWrap/>
          </w:tcPr>
          <w:p w14:paraId="270F4687" w14:textId="77777777" w:rsidR="0068777C" w:rsidRPr="00256982" w:rsidRDefault="0068777C" w:rsidP="0068777C">
            <w:pPr>
              <w:pStyle w:val="TableText"/>
              <w:spacing w:before="50" w:after="50"/>
              <w:ind w:right="510"/>
              <w:jc w:val="right"/>
            </w:pPr>
            <w:r w:rsidRPr="00256982">
              <w:t>10.2</w:t>
            </w:r>
          </w:p>
        </w:tc>
        <w:tc>
          <w:tcPr>
            <w:tcW w:w="941" w:type="pct"/>
            <w:tcBorders>
              <w:top w:val="single" w:sz="4" w:space="0" w:color="365F91"/>
              <w:bottom w:val="single" w:sz="4" w:space="0" w:color="365F91"/>
              <w:right w:val="single" w:sz="4" w:space="0" w:color="365F91"/>
            </w:tcBorders>
            <w:noWrap/>
          </w:tcPr>
          <w:p w14:paraId="10115F38" w14:textId="77777777" w:rsidR="0068777C" w:rsidRPr="00256982" w:rsidRDefault="0068777C" w:rsidP="0068777C">
            <w:pPr>
              <w:pStyle w:val="TableText"/>
              <w:spacing w:before="50" w:after="50"/>
              <w:ind w:right="510"/>
              <w:jc w:val="right"/>
            </w:pPr>
            <w:r w:rsidRPr="00256982">
              <w:t>11.4</w:t>
            </w:r>
          </w:p>
        </w:tc>
        <w:tc>
          <w:tcPr>
            <w:tcW w:w="205" w:type="pct"/>
            <w:tcBorders>
              <w:left w:val="single" w:sz="4" w:space="0" w:color="365F91"/>
              <w:right w:val="single" w:sz="4" w:space="0" w:color="365F91"/>
            </w:tcBorders>
          </w:tcPr>
          <w:p w14:paraId="057EA756" w14:textId="77777777" w:rsidR="0068777C" w:rsidRPr="00256982" w:rsidRDefault="0068777C" w:rsidP="0068777C">
            <w:pPr>
              <w:pStyle w:val="TableText"/>
              <w:spacing w:before="50" w:after="50"/>
            </w:pPr>
          </w:p>
        </w:tc>
        <w:tc>
          <w:tcPr>
            <w:tcW w:w="580" w:type="pct"/>
            <w:tcBorders>
              <w:top w:val="single" w:sz="4" w:space="0" w:color="365F91"/>
              <w:left w:val="single" w:sz="4" w:space="0" w:color="365F91"/>
              <w:bottom w:val="single" w:sz="4" w:space="0" w:color="365F91"/>
            </w:tcBorders>
            <w:noWrap/>
          </w:tcPr>
          <w:p w14:paraId="66E6465D" w14:textId="77777777" w:rsidR="0068777C" w:rsidRPr="00256982" w:rsidRDefault="0068777C" w:rsidP="0068777C">
            <w:pPr>
              <w:pStyle w:val="TableText"/>
              <w:spacing w:before="50" w:after="50"/>
            </w:pPr>
            <w:r w:rsidRPr="00256982">
              <w:t>2016</w:t>
            </w:r>
          </w:p>
        </w:tc>
        <w:tc>
          <w:tcPr>
            <w:tcW w:w="941" w:type="pct"/>
            <w:tcBorders>
              <w:top w:val="single" w:sz="4" w:space="0" w:color="365F91"/>
              <w:bottom w:val="single" w:sz="4" w:space="0" w:color="365F91"/>
            </w:tcBorders>
            <w:noWrap/>
          </w:tcPr>
          <w:p w14:paraId="2B263980" w14:textId="77777777" w:rsidR="0068777C" w:rsidRPr="00256982" w:rsidRDefault="0068777C" w:rsidP="0068777C">
            <w:pPr>
              <w:pStyle w:val="TableText"/>
              <w:spacing w:before="50" w:after="50"/>
              <w:jc w:val="center"/>
            </w:pPr>
            <w:r w:rsidRPr="00256982">
              <w:t>11.3</w:t>
            </w:r>
          </w:p>
        </w:tc>
        <w:tc>
          <w:tcPr>
            <w:tcW w:w="846" w:type="pct"/>
            <w:tcBorders>
              <w:top w:val="single" w:sz="4" w:space="0" w:color="365F91"/>
              <w:bottom w:val="single" w:sz="4" w:space="0" w:color="365F91"/>
            </w:tcBorders>
          </w:tcPr>
          <w:p w14:paraId="7478A390" w14:textId="77777777" w:rsidR="0068777C" w:rsidRPr="00256982" w:rsidRDefault="0068777C" w:rsidP="0068777C">
            <w:pPr>
              <w:pStyle w:val="TableText"/>
              <w:spacing w:before="50" w:after="50"/>
              <w:jc w:val="center"/>
            </w:pPr>
            <w:r w:rsidRPr="00256982">
              <w:t>11.5</w:t>
            </w:r>
          </w:p>
        </w:tc>
      </w:tr>
      <w:tr w:rsidR="0068777C" w:rsidRPr="00256982" w14:paraId="27401214" w14:textId="77777777" w:rsidTr="00AD05B0">
        <w:tc>
          <w:tcPr>
            <w:tcW w:w="546" w:type="pct"/>
            <w:tcBorders>
              <w:top w:val="single" w:sz="4" w:space="0" w:color="365F91"/>
              <w:bottom w:val="single" w:sz="4" w:space="0" w:color="365F91"/>
            </w:tcBorders>
            <w:shd w:val="clear" w:color="auto" w:fill="auto"/>
            <w:noWrap/>
          </w:tcPr>
          <w:p w14:paraId="34B526F2" w14:textId="77777777" w:rsidR="0068777C" w:rsidRPr="00256982" w:rsidRDefault="0068777C" w:rsidP="0068777C">
            <w:pPr>
              <w:pStyle w:val="TableText"/>
              <w:spacing w:before="50" w:after="50"/>
            </w:pPr>
            <w:r w:rsidRPr="00256982">
              <w:t>2003</w:t>
            </w:r>
          </w:p>
        </w:tc>
        <w:tc>
          <w:tcPr>
            <w:tcW w:w="941" w:type="pct"/>
            <w:tcBorders>
              <w:top w:val="single" w:sz="4" w:space="0" w:color="365F91"/>
              <w:bottom w:val="single" w:sz="4" w:space="0" w:color="365F91"/>
            </w:tcBorders>
            <w:noWrap/>
          </w:tcPr>
          <w:p w14:paraId="24A3E04B" w14:textId="77777777" w:rsidR="0068777C" w:rsidRPr="00256982" w:rsidRDefault="0068777C" w:rsidP="0068777C">
            <w:pPr>
              <w:pStyle w:val="TableText"/>
              <w:spacing w:before="50" w:after="50"/>
              <w:ind w:right="510"/>
              <w:jc w:val="right"/>
              <w:rPr>
                <w:color w:val="000000"/>
              </w:rPr>
            </w:pPr>
            <w:r w:rsidRPr="00256982">
              <w:t>10.1</w:t>
            </w:r>
          </w:p>
        </w:tc>
        <w:tc>
          <w:tcPr>
            <w:tcW w:w="941" w:type="pct"/>
            <w:tcBorders>
              <w:top w:val="single" w:sz="4" w:space="0" w:color="365F91"/>
              <w:bottom w:val="single" w:sz="4" w:space="0" w:color="365F91"/>
              <w:right w:val="single" w:sz="4" w:space="0" w:color="365F91"/>
            </w:tcBorders>
            <w:noWrap/>
          </w:tcPr>
          <w:p w14:paraId="3DE05093" w14:textId="77777777" w:rsidR="0068777C" w:rsidRPr="00256982" w:rsidRDefault="0068777C" w:rsidP="0068777C">
            <w:pPr>
              <w:pStyle w:val="TableText"/>
              <w:spacing w:before="50" w:after="50"/>
              <w:ind w:right="510"/>
              <w:jc w:val="right"/>
              <w:rPr>
                <w:color w:val="000000"/>
              </w:rPr>
            </w:pPr>
            <w:r w:rsidRPr="00256982">
              <w:t>11.3</w:t>
            </w:r>
          </w:p>
        </w:tc>
        <w:tc>
          <w:tcPr>
            <w:tcW w:w="205" w:type="pct"/>
            <w:tcBorders>
              <w:left w:val="single" w:sz="4" w:space="0" w:color="365F91"/>
              <w:right w:val="single" w:sz="4" w:space="0" w:color="365F91"/>
            </w:tcBorders>
          </w:tcPr>
          <w:p w14:paraId="617FDB23" w14:textId="77777777" w:rsidR="0068777C" w:rsidRPr="00256982" w:rsidRDefault="0068777C" w:rsidP="0068777C">
            <w:pPr>
              <w:pStyle w:val="TableText"/>
              <w:spacing w:before="50" w:after="50"/>
            </w:pPr>
          </w:p>
        </w:tc>
        <w:tc>
          <w:tcPr>
            <w:tcW w:w="580" w:type="pct"/>
            <w:tcBorders>
              <w:top w:val="single" w:sz="4" w:space="0" w:color="365F91"/>
              <w:left w:val="single" w:sz="4" w:space="0" w:color="365F91"/>
              <w:bottom w:val="single" w:sz="4" w:space="0" w:color="365F91"/>
            </w:tcBorders>
            <w:noWrap/>
          </w:tcPr>
          <w:p w14:paraId="0106AF5A" w14:textId="77777777" w:rsidR="0068777C" w:rsidRPr="00256982" w:rsidRDefault="0068777C" w:rsidP="0068777C">
            <w:pPr>
              <w:pStyle w:val="TableText"/>
              <w:spacing w:before="50" w:after="50"/>
            </w:pPr>
            <w:r w:rsidRPr="00256982">
              <w:t>2017</w:t>
            </w:r>
          </w:p>
        </w:tc>
        <w:tc>
          <w:tcPr>
            <w:tcW w:w="941" w:type="pct"/>
            <w:tcBorders>
              <w:top w:val="single" w:sz="4" w:space="0" w:color="365F91"/>
              <w:bottom w:val="single" w:sz="4" w:space="0" w:color="365F91"/>
            </w:tcBorders>
            <w:noWrap/>
          </w:tcPr>
          <w:p w14:paraId="7881B6CE" w14:textId="77777777" w:rsidR="0068777C" w:rsidRPr="00256982" w:rsidRDefault="0068777C" w:rsidP="0068777C">
            <w:pPr>
              <w:pStyle w:val="TableText"/>
              <w:spacing w:before="50" w:after="50"/>
              <w:jc w:val="center"/>
            </w:pPr>
            <w:r w:rsidRPr="00256982">
              <w:t>11.3</w:t>
            </w:r>
          </w:p>
        </w:tc>
        <w:tc>
          <w:tcPr>
            <w:tcW w:w="846" w:type="pct"/>
            <w:tcBorders>
              <w:top w:val="single" w:sz="4" w:space="0" w:color="365F91"/>
              <w:bottom w:val="single" w:sz="4" w:space="0" w:color="365F91"/>
            </w:tcBorders>
          </w:tcPr>
          <w:p w14:paraId="234EF600" w14:textId="77777777" w:rsidR="0068777C" w:rsidRPr="00256982" w:rsidRDefault="0068777C" w:rsidP="0068777C">
            <w:pPr>
              <w:pStyle w:val="TableText"/>
              <w:spacing w:before="50" w:after="50"/>
              <w:jc w:val="center"/>
            </w:pPr>
            <w:r w:rsidRPr="00256982">
              <w:t>11.6</w:t>
            </w:r>
          </w:p>
        </w:tc>
      </w:tr>
    </w:tbl>
    <w:p w14:paraId="600245F5" w14:textId="77777777" w:rsidR="0068777C" w:rsidRPr="00256982" w:rsidRDefault="0068777C" w:rsidP="0068777C">
      <w:pPr>
        <w:pStyle w:val="Heading5"/>
        <w:spacing w:before="360"/>
      </w:pPr>
      <w:r w:rsidRPr="00256982">
        <w:t xml:space="preserve">Direct nitrous oxide emissions from manure management </w:t>
      </w:r>
    </w:p>
    <w:p w14:paraId="5242A6CA" w14:textId="77777777" w:rsidR="0068777C" w:rsidRPr="00256982" w:rsidRDefault="0068777C" w:rsidP="0068777C">
      <w:pPr>
        <w:pStyle w:val="BodyText"/>
      </w:pPr>
      <w:r w:rsidRPr="00256982">
        <w:rPr>
          <w:b/>
        </w:rPr>
        <w:t>Major livestock categories:</w:t>
      </w:r>
      <w:r w:rsidRPr="00256982">
        <w:t xml:space="preserve"> For the major livestock categories (</w:t>
      </w:r>
      <w:r w:rsidRPr="00256982">
        <w:rPr>
          <w:i/>
        </w:rPr>
        <w:t>Dairy cattle</w:t>
      </w:r>
      <w:r w:rsidRPr="00256982">
        <w:t xml:space="preserve">, </w:t>
      </w:r>
      <w:r w:rsidRPr="00256982">
        <w:rPr>
          <w:i/>
        </w:rPr>
        <w:t>Non-dairy cattle</w:t>
      </w:r>
      <w:r w:rsidRPr="00256982">
        <w:t xml:space="preserve">, </w:t>
      </w:r>
      <w:r w:rsidRPr="00256982">
        <w:rPr>
          <w:i/>
        </w:rPr>
        <w:t>Sheep</w:t>
      </w:r>
      <w:r w:rsidRPr="00256982">
        <w:t xml:space="preserve"> and </w:t>
      </w:r>
      <w:r w:rsidRPr="00256982">
        <w:rPr>
          <w:i/>
        </w:rPr>
        <w:t>Deer</w:t>
      </w:r>
      <w:r w:rsidRPr="00256982">
        <w:t>), most manure is deposited directly onto pasture by grazing animals (see table 5.3.2). Direct and indirect N</w:t>
      </w:r>
      <w:r w:rsidRPr="00256982">
        <w:rPr>
          <w:vertAlign w:val="subscript"/>
        </w:rPr>
        <w:t>2</w:t>
      </w:r>
      <w:r w:rsidRPr="00256982">
        <w:t xml:space="preserve">O emissions from the manure deposited by grazing animals are reported under the </w:t>
      </w:r>
      <w:r w:rsidRPr="00256982">
        <w:rPr>
          <w:i/>
        </w:rPr>
        <w:t>Agricultural soils</w:t>
      </w:r>
      <w:r w:rsidRPr="00256982">
        <w:t xml:space="preserve"> category (</w:t>
      </w:r>
      <w:r w:rsidRPr="00256982">
        <w:rPr>
          <w:i/>
        </w:rPr>
        <w:t xml:space="preserve">Urine and dung deposited by grazing animals </w:t>
      </w:r>
      <w:r w:rsidRPr="00256982">
        <w:t xml:space="preserve">(CRF 3.D.1.3)). </w:t>
      </w:r>
    </w:p>
    <w:p w14:paraId="6205649A" w14:textId="77777777" w:rsidR="0068777C" w:rsidRPr="00256982" w:rsidRDefault="0068777C" w:rsidP="0068777C">
      <w:pPr>
        <w:pStyle w:val="BodyText"/>
      </w:pPr>
      <w:r w:rsidRPr="00256982">
        <w:t>The remainder of dairy manure is managed in anaerobic lagoons. The 2006 IPCC Guidelines note that the production of emissions of direct N</w:t>
      </w:r>
      <w:r w:rsidRPr="00256982">
        <w:rPr>
          <w:vertAlign w:val="subscript"/>
        </w:rPr>
        <w:t>2</w:t>
      </w:r>
      <w:r w:rsidRPr="00256982">
        <w:t>O from managed manure requires aerobic conditions for the formation of oxidised forms of nitrogen but assumes that negligible direct N</w:t>
      </w:r>
      <w:r w:rsidRPr="00256982">
        <w:rPr>
          <w:vertAlign w:val="subscript"/>
        </w:rPr>
        <w:t>2</w:t>
      </w:r>
      <w:r w:rsidRPr="00256982">
        <w:t>O emissions occur during storage in anaerobic lagoons (IPCC, 2006, table 10.21). Direct N</w:t>
      </w:r>
      <w:r w:rsidRPr="00256982">
        <w:rPr>
          <w:vertAlign w:val="subscript"/>
        </w:rPr>
        <w:t>2</w:t>
      </w:r>
      <w:r w:rsidRPr="00256982">
        <w:t xml:space="preserve">O emissions from dairy effluent anaerobic lagoons are reported under the </w:t>
      </w:r>
      <w:r w:rsidRPr="00256982">
        <w:rPr>
          <w:i/>
        </w:rPr>
        <w:t>Agricultural soils</w:t>
      </w:r>
      <w:r w:rsidRPr="00256982">
        <w:t xml:space="preserve"> category (</w:t>
      </w:r>
      <w:r w:rsidRPr="00256982">
        <w:rPr>
          <w:i/>
        </w:rPr>
        <w:t xml:space="preserve">Organic nitrogen fertilisers </w:t>
      </w:r>
      <w:r w:rsidRPr="00256982">
        <w:t>(CRF 3.D.1.2)) when the stored effluent is spread onto agricultural land.</w:t>
      </w:r>
    </w:p>
    <w:p w14:paraId="03F16441" w14:textId="27101130" w:rsidR="0068777C" w:rsidRPr="00256982" w:rsidRDefault="0068777C" w:rsidP="0068777C">
      <w:pPr>
        <w:pStyle w:val="BodyText"/>
      </w:pPr>
      <w:r w:rsidRPr="00256982">
        <w:rPr>
          <w:b/>
          <w:i/>
        </w:rPr>
        <w:t>Swine:</w:t>
      </w:r>
      <w:r w:rsidRPr="00256982">
        <w:t xml:space="preserve"> Swine manure is managed under various types of waste management system (see table 5.3.2). The 2006 IPCC Guidelines (table 10.21, IPCC, 2006) assume that negligible direct N</w:t>
      </w:r>
      <w:r w:rsidRPr="00256982">
        <w:rPr>
          <w:vertAlign w:val="subscript"/>
        </w:rPr>
        <w:t>2</w:t>
      </w:r>
      <w:r w:rsidRPr="00256982">
        <w:t>O emissions occur in anaerobic lagoons and daily spread. Nitrous oxide emissions from manure</w:t>
      </w:r>
      <w:r w:rsidR="0085534A" w:rsidRPr="00256982">
        <w:t> </w:t>
      </w:r>
      <w:r w:rsidRPr="00256982">
        <w:t>from these systems occur once the stored effluent is spread onto agricultural land and</w:t>
      </w:r>
      <w:r w:rsidR="0085534A" w:rsidRPr="00256982">
        <w:t> </w:t>
      </w:r>
      <w:r w:rsidRPr="00256982">
        <w:t xml:space="preserve">are reported under the </w:t>
      </w:r>
      <w:r w:rsidRPr="00256982">
        <w:rPr>
          <w:i/>
        </w:rPr>
        <w:t>Agricultural soils</w:t>
      </w:r>
      <w:r w:rsidRPr="00256982">
        <w:t xml:space="preserve"> category (</w:t>
      </w:r>
      <w:r w:rsidRPr="00256982">
        <w:rPr>
          <w:i/>
        </w:rPr>
        <w:t xml:space="preserve">Organic nitrogen fertilisers </w:t>
      </w:r>
      <w:r w:rsidRPr="00256982">
        <w:t>(CRF 3.D.1.2)). Nitrous oxide emissions from manure management of swine for the solid storage, dry lot and other manure management systems are estimated using the IPCC (2006) default emission factors for direct N</w:t>
      </w:r>
      <w:r w:rsidRPr="00256982">
        <w:rPr>
          <w:vertAlign w:val="subscript"/>
        </w:rPr>
        <w:t>2</w:t>
      </w:r>
      <w:r w:rsidRPr="00256982">
        <w:t>O emissions from manure management (EF</w:t>
      </w:r>
      <w:r w:rsidRPr="00256982">
        <w:rPr>
          <w:vertAlign w:val="subscript"/>
        </w:rPr>
        <w:t>3</w:t>
      </w:r>
      <w:r w:rsidRPr="00256982">
        <w:t>)</w:t>
      </w:r>
      <w:r w:rsidRPr="00256982">
        <w:rPr>
          <w:vertAlign w:val="subscript"/>
        </w:rPr>
        <w:t xml:space="preserve"> </w:t>
      </w:r>
      <w:r w:rsidRPr="00256982">
        <w:t>of 0.02 and 0.005</w:t>
      </w:r>
      <w:r w:rsidR="00197F74" w:rsidRPr="00256982">
        <w:t> </w:t>
      </w:r>
      <w:r w:rsidRPr="00256982">
        <w:t>kg N</w:t>
      </w:r>
      <w:r w:rsidRPr="00256982">
        <w:rPr>
          <w:vertAlign w:val="subscript"/>
        </w:rPr>
        <w:t>2</w:t>
      </w:r>
      <w:r w:rsidRPr="00256982">
        <w:t>O</w:t>
      </w:r>
      <w:r w:rsidR="0085534A" w:rsidRPr="00256982">
        <w:noBreakHyphen/>
      </w:r>
      <w:r w:rsidRPr="00256982">
        <w:t xml:space="preserve">N/kg N respectively. </w:t>
      </w:r>
    </w:p>
    <w:p w14:paraId="5E9FD233" w14:textId="77777777" w:rsidR="0068777C" w:rsidRPr="00256982" w:rsidRDefault="0068777C" w:rsidP="0068777C">
      <w:pPr>
        <w:pStyle w:val="BodyText"/>
      </w:pPr>
      <w:r w:rsidRPr="00256982">
        <w:rPr>
          <w:b/>
          <w:i/>
        </w:rPr>
        <w:t>Poultry</w:t>
      </w:r>
      <w:r w:rsidRPr="00256982">
        <w:rPr>
          <w:i/>
        </w:rPr>
        <w:t>:</w:t>
      </w:r>
      <w:r w:rsidRPr="00256982">
        <w:t xml:space="preserve"> Direct N</w:t>
      </w:r>
      <w:r w:rsidRPr="00256982">
        <w:rPr>
          <w:vertAlign w:val="subscript"/>
        </w:rPr>
        <w:t>2</w:t>
      </w:r>
      <w:r w:rsidRPr="00256982">
        <w:t xml:space="preserve">O emissions from poultry manure deposited directly on pasture are reported under the </w:t>
      </w:r>
      <w:r w:rsidRPr="00256982">
        <w:rPr>
          <w:i/>
        </w:rPr>
        <w:t>Agricultural soils</w:t>
      </w:r>
      <w:r w:rsidRPr="00256982">
        <w:t xml:space="preserve"> category (</w:t>
      </w:r>
      <w:r w:rsidRPr="00256982">
        <w:rPr>
          <w:i/>
        </w:rPr>
        <w:t>Urine and dung deposited by grazing animals</w:t>
      </w:r>
      <w:r w:rsidRPr="00256982">
        <w:t xml:space="preserve"> (CRF 3.D.1.3)). For other manure management systems, the IPCC (2006, table 0.21) default emission factor for EF</w:t>
      </w:r>
      <w:r w:rsidRPr="00256982">
        <w:rPr>
          <w:vertAlign w:val="subscript"/>
        </w:rPr>
        <w:t>3</w:t>
      </w:r>
      <w:r w:rsidRPr="00256982">
        <w:t xml:space="preserve"> of 0.001 kg N</w:t>
      </w:r>
      <w:r w:rsidRPr="00256982">
        <w:rPr>
          <w:vertAlign w:val="subscript"/>
        </w:rPr>
        <w:t>2</w:t>
      </w:r>
      <w:r w:rsidRPr="00256982">
        <w:t>O-N/kg N for poultry manure with and without litter is assumed.</w:t>
      </w:r>
    </w:p>
    <w:p w14:paraId="344FDE65" w14:textId="77777777" w:rsidR="0068777C" w:rsidRPr="00256982" w:rsidRDefault="0068777C" w:rsidP="0068777C">
      <w:pPr>
        <w:pStyle w:val="BodyText"/>
      </w:pPr>
      <w:r w:rsidRPr="00256982">
        <w:rPr>
          <w:b/>
          <w:i/>
        </w:rPr>
        <w:lastRenderedPageBreak/>
        <w:t>Goats</w:t>
      </w:r>
      <w:r w:rsidRPr="00256982">
        <w:rPr>
          <w:b/>
        </w:rPr>
        <w:t xml:space="preserve">, </w:t>
      </w:r>
      <w:r w:rsidRPr="00256982">
        <w:rPr>
          <w:b/>
          <w:i/>
        </w:rPr>
        <w:t>horses</w:t>
      </w:r>
      <w:r w:rsidRPr="00256982">
        <w:rPr>
          <w:b/>
        </w:rPr>
        <w:t xml:space="preserve">, </w:t>
      </w:r>
      <w:r w:rsidRPr="00256982">
        <w:rPr>
          <w:b/>
          <w:i/>
        </w:rPr>
        <w:t>llamas and</w:t>
      </w:r>
      <w:r w:rsidRPr="00256982">
        <w:rPr>
          <w:b/>
        </w:rPr>
        <w:t xml:space="preserve"> a</w:t>
      </w:r>
      <w:r w:rsidRPr="00256982">
        <w:rPr>
          <w:b/>
          <w:i/>
        </w:rPr>
        <w:t>lpacas</w:t>
      </w:r>
      <w:r w:rsidRPr="00256982">
        <w:rPr>
          <w:b/>
        </w:rPr>
        <w:t xml:space="preserve">, and </w:t>
      </w:r>
      <w:r w:rsidRPr="00256982">
        <w:rPr>
          <w:b/>
          <w:i/>
        </w:rPr>
        <w:t>mules and asses</w:t>
      </w:r>
      <w:r w:rsidRPr="00256982">
        <w:rPr>
          <w:b/>
        </w:rPr>
        <w:t xml:space="preserve">: </w:t>
      </w:r>
      <w:r w:rsidRPr="00256982">
        <w:t>All faecal material from these livestock is deposited directly onto pasture, and direct N</w:t>
      </w:r>
      <w:r w:rsidRPr="00256982">
        <w:rPr>
          <w:vertAlign w:val="subscript"/>
        </w:rPr>
        <w:t>2</w:t>
      </w:r>
      <w:r w:rsidRPr="00256982">
        <w:t xml:space="preserve">O emissions from grazing animals are reported under the </w:t>
      </w:r>
      <w:r w:rsidRPr="00256982">
        <w:rPr>
          <w:i/>
        </w:rPr>
        <w:t>Agricultural soils</w:t>
      </w:r>
      <w:r w:rsidRPr="00256982">
        <w:t xml:space="preserve"> category (</w:t>
      </w:r>
      <w:r w:rsidRPr="00256982">
        <w:rPr>
          <w:i/>
        </w:rPr>
        <w:t>Urine and dung deposited by grazing animals</w:t>
      </w:r>
      <w:r w:rsidRPr="00256982">
        <w:t xml:space="preserve"> (CRF 3.D.1.3)). </w:t>
      </w:r>
    </w:p>
    <w:p w14:paraId="7713A9CC" w14:textId="77777777" w:rsidR="0068777C" w:rsidRPr="00256982" w:rsidRDefault="0068777C" w:rsidP="00AD05B0">
      <w:pPr>
        <w:pStyle w:val="Heading5"/>
        <w:spacing w:before="200"/>
      </w:pPr>
      <w:r w:rsidRPr="00256982">
        <w:t>Indirect nitrous oxide emissions from manure management</w:t>
      </w:r>
    </w:p>
    <w:p w14:paraId="4865E089" w14:textId="77777777" w:rsidR="0068777C" w:rsidRPr="00256982" w:rsidRDefault="0068777C" w:rsidP="0068777C">
      <w:pPr>
        <w:pStyle w:val="BodyText"/>
      </w:pPr>
      <w:r w:rsidRPr="00256982">
        <w:t>Indirect N</w:t>
      </w:r>
      <w:r w:rsidRPr="00256982">
        <w:rPr>
          <w:vertAlign w:val="subscript"/>
        </w:rPr>
        <w:t>2</w:t>
      </w:r>
      <w:r w:rsidRPr="00256982">
        <w:t>O emissions from manure management result from diffusion into the surrounding air (volatilisation) and from leaching and runoff. All indirect N</w:t>
      </w:r>
      <w:r w:rsidRPr="00256982">
        <w:rPr>
          <w:vertAlign w:val="subscript"/>
        </w:rPr>
        <w:t>2</w:t>
      </w:r>
      <w:r w:rsidRPr="00256982">
        <w:t xml:space="preserve">O emissions for the pasture, range and paddock manure management systems are reported under the </w:t>
      </w:r>
      <w:r w:rsidRPr="00256982">
        <w:rPr>
          <w:i/>
        </w:rPr>
        <w:t>Agricultural soils</w:t>
      </w:r>
      <w:r w:rsidRPr="00256982">
        <w:t xml:space="preserve"> category. </w:t>
      </w:r>
    </w:p>
    <w:p w14:paraId="0763B121" w14:textId="77777777" w:rsidR="0068777C" w:rsidRPr="00256982" w:rsidRDefault="0068777C" w:rsidP="0068777C">
      <w:r w:rsidRPr="00256982">
        <w:t>The IPCC (2006) Tier 1 methodology is used for calculating N</w:t>
      </w:r>
      <w:r w:rsidRPr="00256982">
        <w:rPr>
          <w:vertAlign w:val="subscript"/>
        </w:rPr>
        <w:t>2</w:t>
      </w:r>
      <w:r w:rsidRPr="00256982">
        <w:t>O emissions resulting from volatilisation:</w:t>
      </w:r>
    </w:p>
    <w:bookmarkStart w:id="634" w:name="_1543985758"/>
    <w:bookmarkEnd w:id="634"/>
    <w:p w14:paraId="168EEBCC" w14:textId="77777777" w:rsidR="0068777C" w:rsidRPr="00256982" w:rsidRDefault="0068777C" w:rsidP="00AD05B0">
      <w:pPr>
        <w:spacing w:after="60"/>
      </w:pPr>
      <w:r w:rsidRPr="00256982">
        <w:object w:dxaOrig="7889" w:dyaOrig="495" w14:anchorId="63E29B9E">
          <v:shape id="_x0000_i1091" type="#_x0000_t75" style="width:389.25pt;height:24pt" o:ole="">
            <v:imagedata r:id="rId123" o:title=""/>
          </v:shape>
          <o:OLEObject Type="Embed" ProgID="Word.Document.12" ShapeID="_x0000_i1091" DrawAspect="Content" ObjectID="_1616241203" r:id="rId124">
            <o:FieldCodes>\s</o:FieldCodes>
          </o:OLEObject>
        </w:object>
      </w:r>
    </w:p>
    <w:p w14:paraId="03F8BC6B" w14:textId="77777777" w:rsidR="0068777C" w:rsidRPr="00256982" w:rsidRDefault="0068777C" w:rsidP="0068777C">
      <w:pPr>
        <w:pStyle w:val="BodyText"/>
        <w:spacing w:after="0"/>
      </w:pPr>
      <w:r w:rsidRPr="00256982">
        <w:t>And:</w:t>
      </w:r>
    </w:p>
    <w:bookmarkStart w:id="635" w:name="_1545464011"/>
    <w:bookmarkEnd w:id="635"/>
    <w:bookmarkStart w:id="636" w:name="_MON_1576576510"/>
    <w:bookmarkEnd w:id="636"/>
    <w:p w14:paraId="7860F709" w14:textId="77777777" w:rsidR="0068777C" w:rsidRPr="00256982" w:rsidRDefault="0068777C" w:rsidP="00AD05B0">
      <w:pPr>
        <w:pStyle w:val="BodyText"/>
        <w:spacing w:before="0" w:after="60"/>
      </w:pPr>
      <w:r w:rsidRPr="00256982">
        <w:object w:dxaOrig="7694" w:dyaOrig="704" w14:anchorId="0778D724">
          <v:shape id="_x0000_i1092" type="#_x0000_t75" style="width:384pt;height:36.75pt" o:ole="">
            <v:imagedata r:id="rId125" o:title=""/>
          </v:shape>
          <o:OLEObject Type="Embed" ProgID="Word.Document.12" ShapeID="_x0000_i1092" DrawAspect="Content" ObjectID="_1616241204" r:id="rId126">
            <o:FieldCodes>\s</o:FieldCodes>
          </o:OLEObject>
        </w:object>
      </w:r>
    </w:p>
    <w:p w14:paraId="3AF20DE1" w14:textId="77777777" w:rsidR="0068777C" w:rsidRPr="00256982" w:rsidRDefault="0068777C" w:rsidP="0068777C">
      <w:pPr>
        <w:spacing w:before="120"/>
        <w:ind w:left="993" w:hanging="993"/>
      </w:pPr>
      <w:r w:rsidRPr="00256982">
        <w:t>Where:</w:t>
      </w:r>
      <w:r w:rsidRPr="00256982">
        <w:tab/>
        <w:t>N</w:t>
      </w:r>
      <w:r w:rsidRPr="00256982">
        <w:rPr>
          <w:vertAlign w:val="subscript"/>
        </w:rPr>
        <w:t>vol-MMS</w:t>
      </w:r>
      <w:r w:rsidRPr="00256982">
        <w:t xml:space="preserve"> is the amount of manure nitrogen that is lost due to volatilisation (kg/year)</w:t>
      </w:r>
    </w:p>
    <w:p w14:paraId="730B4315" w14:textId="77777777" w:rsidR="0068777C" w:rsidRPr="00256982" w:rsidRDefault="0068777C" w:rsidP="0068777C">
      <w:pPr>
        <w:spacing w:before="80"/>
        <w:ind w:left="993"/>
      </w:pPr>
      <w:r w:rsidRPr="00256982">
        <w:t>EF</w:t>
      </w:r>
      <w:r w:rsidRPr="00256982">
        <w:rPr>
          <w:vertAlign w:val="subscript"/>
        </w:rPr>
        <w:t>4</w:t>
      </w:r>
      <w:r w:rsidRPr="00256982">
        <w:t xml:space="preserve"> is the emission factor for N</w:t>
      </w:r>
      <w:r w:rsidRPr="00256982">
        <w:rPr>
          <w:vertAlign w:val="subscript"/>
        </w:rPr>
        <w:t>2</w:t>
      </w:r>
      <w:r w:rsidRPr="00256982">
        <w:t>O emissions from volatilisation; the IPCC (2006) default value of 0.01 kg N</w:t>
      </w:r>
      <w:r w:rsidRPr="00256982">
        <w:rPr>
          <w:vertAlign w:val="subscript"/>
        </w:rPr>
        <w:t>2</w:t>
      </w:r>
      <w:r w:rsidRPr="00256982">
        <w:t>O-N/(kg NH</w:t>
      </w:r>
      <w:r w:rsidRPr="00256982">
        <w:rPr>
          <w:vertAlign w:val="subscript"/>
        </w:rPr>
        <w:t>3</w:t>
      </w:r>
      <w:r w:rsidRPr="00256982">
        <w:t>-N + NO</w:t>
      </w:r>
      <w:r w:rsidRPr="00256982">
        <w:rPr>
          <w:vertAlign w:val="subscript"/>
        </w:rPr>
        <w:t>x</w:t>
      </w:r>
      <w:r w:rsidRPr="00256982">
        <w:t>-N volatilised) is used</w:t>
      </w:r>
    </w:p>
    <w:p w14:paraId="12196E60" w14:textId="77777777" w:rsidR="0068777C" w:rsidRPr="00256982" w:rsidRDefault="0068777C" w:rsidP="0068777C">
      <w:pPr>
        <w:spacing w:before="80"/>
        <w:ind w:left="993"/>
      </w:pPr>
      <w:r w:rsidRPr="00256982">
        <w:t>N</w:t>
      </w:r>
      <w:r w:rsidRPr="00256982">
        <w:rPr>
          <w:vertAlign w:val="subscript"/>
        </w:rPr>
        <w:t>T</w:t>
      </w:r>
      <w:r w:rsidRPr="00256982">
        <w:t xml:space="preserve"> is the number of livestock per category (head), detailed in section 5.1.4</w:t>
      </w:r>
    </w:p>
    <w:p w14:paraId="74AC0228" w14:textId="77777777" w:rsidR="0068777C" w:rsidRPr="00256982" w:rsidRDefault="0068777C" w:rsidP="0068777C">
      <w:pPr>
        <w:spacing w:before="80"/>
        <w:ind w:left="993"/>
      </w:pPr>
      <w:r w:rsidRPr="00256982">
        <w:t>Nex</w:t>
      </w:r>
      <w:r w:rsidRPr="00256982">
        <w:rPr>
          <w:vertAlign w:val="subscript"/>
        </w:rPr>
        <w:t>T</w:t>
      </w:r>
      <w:r w:rsidRPr="00256982">
        <w:t xml:space="preserve"> is the average nitrogen excretion for each livestock category, T, detailed above</w:t>
      </w:r>
    </w:p>
    <w:p w14:paraId="05DBBBF6" w14:textId="77777777" w:rsidR="0068777C" w:rsidRPr="00256982" w:rsidRDefault="0068777C" w:rsidP="0068777C">
      <w:pPr>
        <w:spacing w:before="80"/>
        <w:ind w:left="993"/>
      </w:pPr>
      <w:r w:rsidRPr="00256982">
        <w:t>MS</w:t>
      </w:r>
      <w:r w:rsidRPr="00256982">
        <w:rPr>
          <w:vertAlign w:val="subscript"/>
        </w:rPr>
        <w:t>T,S</w:t>
      </w:r>
      <w:r w:rsidRPr="00256982">
        <w:t xml:space="preserve"> is the fraction of total nitrogen excretion per livestock category, T, per manure management system, S, derived from table 5.3.2, and</w:t>
      </w:r>
    </w:p>
    <w:p w14:paraId="59C6708E" w14:textId="77777777" w:rsidR="0068777C" w:rsidRPr="00256982" w:rsidRDefault="0068777C" w:rsidP="0068777C">
      <w:pPr>
        <w:spacing w:before="120" w:after="120"/>
        <w:ind w:left="993"/>
      </w:pPr>
      <w:r w:rsidRPr="00256982">
        <w:t>Frac</w:t>
      </w:r>
      <w:r w:rsidRPr="00256982">
        <w:rPr>
          <w:vertAlign w:val="subscript"/>
        </w:rPr>
        <w:t>GasMS</w:t>
      </w:r>
      <w:r w:rsidRPr="00256982">
        <w:t xml:space="preserve"> is the per cent of managed manure nitrogen for each livestock category, T, which volatilises as NH</w:t>
      </w:r>
      <w:r w:rsidRPr="00256982">
        <w:rPr>
          <w:vertAlign w:val="subscript"/>
        </w:rPr>
        <w:t>3</w:t>
      </w:r>
      <w:r w:rsidRPr="00256982">
        <w:t xml:space="preserve"> and NO</w:t>
      </w:r>
      <w:r w:rsidRPr="00256982">
        <w:rPr>
          <w:vertAlign w:val="subscript"/>
        </w:rPr>
        <w:t>x</w:t>
      </w:r>
      <w:r w:rsidRPr="00256982">
        <w:t xml:space="preserve"> per manure management system, S. New Zealand uses default values for Frac</w:t>
      </w:r>
      <w:r w:rsidRPr="00256982">
        <w:rPr>
          <w:vertAlign w:val="subscript"/>
        </w:rPr>
        <w:t>GasMS</w:t>
      </w:r>
      <w:r w:rsidRPr="00256982">
        <w:t xml:space="preserve"> detailed in table 5.3.5.</w:t>
      </w:r>
    </w:p>
    <w:p w14:paraId="2CD8ED86" w14:textId="77777777" w:rsidR="0068777C" w:rsidRPr="00256982" w:rsidRDefault="0068777C" w:rsidP="0068777C">
      <w:pPr>
        <w:pStyle w:val="BodyText"/>
      </w:pPr>
      <w:r w:rsidRPr="00256982">
        <w:t>The IPCC (2006) Tier 1 guidelines do not provide a methodology for determining indirect N</w:t>
      </w:r>
      <w:r w:rsidRPr="00256982">
        <w:rPr>
          <w:vertAlign w:val="subscript"/>
        </w:rPr>
        <w:t>2</w:t>
      </w:r>
      <w:r w:rsidRPr="00256982">
        <w:t>O emissions from leaching and runoff. There have been no country-specific emission factors derived for leaching and runoff from manure management systems in New Zealand (e.g., Hill, 2012), and available data is usually extremely limited (IPCC, 2006). Leaching and runoff from dairy anaerobic lagoons is likely to be an insignificant activity in New Zealand (T Wilson, pers. comm., 2014). All indirect N</w:t>
      </w:r>
      <w:r w:rsidRPr="00256982">
        <w:rPr>
          <w:vertAlign w:val="subscript"/>
        </w:rPr>
        <w:t>2</w:t>
      </w:r>
      <w:r w:rsidRPr="00256982">
        <w:t xml:space="preserve">O emissions from leaching and runoff are reported under the </w:t>
      </w:r>
      <w:r w:rsidRPr="00256982">
        <w:rPr>
          <w:i/>
          <w:iCs/>
        </w:rPr>
        <w:t>Agricultural soils</w:t>
      </w:r>
      <w:r w:rsidRPr="00256982">
        <w:t> category.</w:t>
      </w:r>
    </w:p>
    <w:p w14:paraId="191D03C6" w14:textId="77777777" w:rsidR="0068777C" w:rsidRPr="00256982" w:rsidRDefault="0068777C" w:rsidP="0068777C">
      <w:pPr>
        <w:pStyle w:val="Table"/>
      </w:pPr>
      <w:bookmarkStart w:id="637" w:name="_Toc441830877"/>
      <w:bookmarkStart w:id="638" w:name="_Toc451176091"/>
      <w:bookmarkStart w:id="639" w:name="_Toc481751519"/>
      <w:bookmarkStart w:id="640" w:name="_Toc507158607"/>
      <w:bookmarkStart w:id="641" w:name="_Toc511116741"/>
      <w:bookmarkStart w:id="642" w:name="_Toc5269481"/>
      <w:r w:rsidRPr="00256982">
        <w:t>Table 5.3.5</w:t>
      </w:r>
      <w:r w:rsidRPr="00256982">
        <w:tab/>
        <w:t>IPCC default values for the fraction of managed manure nitrogen that volatilises as ammonia and oxides of nitrogen (Frac</w:t>
      </w:r>
      <w:r w:rsidRPr="00256982">
        <w:rPr>
          <w:vertAlign w:val="subscript"/>
        </w:rPr>
        <w:t>GasMS</w:t>
      </w:r>
      <w:r w:rsidRPr="00256982">
        <w:t>/100) for livestock categories per manure management system in New Zealand</w:t>
      </w:r>
      <w:bookmarkEnd w:id="637"/>
      <w:bookmarkEnd w:id="638"/>
      <w:bookmarkEnd w:id="639"/>
      <w:bookmarkEnd w:id="640"/>
      <w:bookmarkEnd w:id="641"/>
      <w:bookmarkEnd w:id="642"/>
    </w:p>
    <w:tbl>
      <w:tblPr>
        <w:tblW w:w="8505" w:type="dxa"/>
        <w:tblInd w:w="108" w:type="dxa"/>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2941"/>
        <w:gridCol w:w="3648"/>
        <w:gridCol w:w="1916"/>
      </w:tblGrid>
      <w:tr w:rsidR="0068777C" w:rsidRPr="00256982" w14:paraId="2EC3E4D5" w14:textId="77777777" w:rsidTr="0068777C">
        <w:trPr>
          <w:tblHeader/>
        </w:trPr>
        <w:tc>
          <w:tcPr>
            <w:tcW w:w="2745" w:type="dxa"/>
            <w:tcBorders>
              <w:top w:val="single" w:sz="4" w:space="0" w:color="365F91"/>
              <w:left w:val="single" w:sz="4" w:space="0" w:color="365F91"/>
              <w:bottom w:val="single" w:sz="4" w:space="0" w:color="365F91"/>
              <w:right w:val="nil"/>
            </w:tcBorders>
            <w:shd w:val="clear" w:color="auto" w:fill="365F91"/>
            <w:vAlign w:val="bottom"/>
          </w:tcPr>
          <w:p w14:paraId="09269175" w14:textId="77777777" w:rsidR="0068777C" w:rsidRPr="00256982" w:rsidRDefault="0068777C" w:rsidP="0068777C">
            <w:pPr>
              <w:pStyle w:val="TableTextBold"/>
              <w:keepNext/>
              <w:rPr>
                <w:noProof w:val="0"/>
                <w:color w:val="FFFFFF"/>
              </w:rPr>
            </w:pPr>
            <w:r w:rsidRPr="00256982">
              <w:rPr>
                <w:noProof w:val="0"/>
                <w:color w:val="FFFFFF"/>
              </w:rPr>
              <w:t>Manure management system</w:t>
            </w:r>
          </w:p>
        </w:tc>
        <w:tc>
          <w:tcPr>
            <w:tcW w:w="3405" w:type="dxa"/>
            <w:tcBorders>
              <w:top w:val="single" w:sz="4" w:space="0" w:color="365F91"/>
              <w:left w:val="nil"/>
              <w:bottom w:val="single" w:sz="4" w:space="0" w:color="365F91"/>
              <w:right w:val="nil"/>
            </w:tcBorders>
            <w:shd w:val="clear" w:color="auto" w:fill="365F91"/>
            <w:vAlign w:val="bottom"/>
          </w:tcPr>
          <w:p w14:paraId="27A6F6C5" w14:textId="77777777" w:rsidR="0068777C" w:rsidRPr="00256982" w:rsidRDefault="0068777C" w:rsidP="0068777C">
            <w:pPr>
              <w:pStyle w:val="TableTextBold"/>
              <w:keepNext/>
              <w:spacing w:before="0"/>
              <w:rPr>
                <w:noProof w:val="0"/>
                <w:color w:val="FFFFFF"/>
              </w:rPr>
            </w:pPr>
            <w:r w:rsidRPr="00256982">
              <w:rPr>
                <w:noProof w:val="0"/>
                <w:color w:val="FFFFFF"/>
              </w:rPr>
              <w:t>Livestock category</w:t>
            </w:r>
          </w:p>
        </w:tc>
        <w:tc>
          <w:tcPr>
            <w:tcW w:w="1788" w:type="dxa"/>
            <w:tcBorders>
              <w:top w:val="single" w:sz="4" w:space="0" w:color="365F91"/>
              <w:left w:val="nil"/>
              <w:bottom w:val="single" w:sz="4" w:space="0" w:color="365F91"/>
              <w:right w:val="single" w:sz="4" w:space="0" w:color="365F91"/>
            </w:tcBorders>
            <w:shd w:val="clear" w:color="auto" w:fill="365F91"/>
          </w:tcPr>
          <w:p w14:paraId="4B559F0F" w14:textId="77777777" w:rsidR="0068777C" w:rsidRPr="00256982" w:rsidRDefault="0068777C" w:rsidP="0068777C">
            <w:pPr>
              <w:pStyle w:val="TableTextBold"/>
              <w:keepNext/>
              <w:jc w:val="center"/>
              <w:rPr>
                <w:noProof w:val="0"/>
                <w:color w:val="FFFFFF"/>
              </w:rPr>
            </w:pPr>
            <w:r w:rsidRPr="00256982">
              <w:rPr>
                <w:noProof w:val="0"/>
                <w:color w:val="FFFFFF"/>
              </w:rPr>
              <w:t>Value</w:t>
            </w:r>
          </w:p>
        </w:tc>
      </w:tr>
      <w:tr w:rsidR="0068777C" w:rsidRPr="00256982" w14:paraId="2DBCD52E" w14:textId="77777777" w:rsidTr="0068777C">
        <w:tc>
          <w:tcPr>
            <w:tcW w:w="2745" w:type="dxa"/>
            <w:vMerge w:val="restart"/>
            <w:tcBorders>
              <w:top w:val="single" w:sz="4" w:space="0" w:color="365F91"/>
              <w:left w:val="nil"/>
              <w:right w:val="nil"/>
            </w:tcBorders>
            <w:vAlign w:val="center"/>
          </w:tcPr>
          <w:p w14:paraId="2C2E85D0" w14:textId="77777777" w:rsidR="0068777C" w:rsidRPr="00256982" w:rsidRDefault="0068777C" w:rsidP="0068777C">
            <w:pPr>
              <w:pStyle w:val="TableText"/>
              <w:spacing w:before="50" w:after="50"/>
            </w:pPr>
            <w:r w:rsidRPr="00256982">
              <w:t>Anaerobic lagoons</w:t>
            </w:r>
          </w:p>
        </w:tc>
        <w:tc>
          <w:tcPr>
            <w:tcW w:w="3405" w:type="dxa"/>
            <w:tcBorders>
              <w:top w:val="single" w:sz="4" w:space="0" w:color="365F91"/>
              <w:left w:val="nil"/>
              <w:bottom w:val="single" w:sz="4" w:space="0" w:color="365F91"/>
              <w:right w:val="nil"/>
            </w:tcBorders>
          </w:tcPr>
          <w:p w14:paraId="0FD04C84" w14:textId="77777777" w:rsidR="0068777C" w:rsidRPr="00256982" w:rsidRDefault="0068777C" w:rsidP="0068777C">
            <w:pPr>
              <w:pStyle w:val="TableText"/>
              <w:spacing w:before="50" w:after="50"/>
            </w:pPr>
            <w:r w:rsidRPr="00256982">
              <w:t>Dairy</w:t>
            </w:r>
          </w:p>
        </w:tc>
        <w:tc>
          <w:tcPr>
            <w:tcW w:w="1788" w:type="dxa"/>
            <w:tcBorders>
              <w:top w:val="single" w:sz="4" w:space="0" w:color="365F91"/>
              <w:left w:val="nil"/>
              <w:bottom w:val="single" w:sz="4" w:space="0" w:color="365F91"/>
              <w:right w:val="nil"/>
            </w:tcBorders>
          </w:tcPr>
          <w:p w14:paraId="45141029" w14:textId="77777777" w:rsidR="0068777C" w:rsidRPr="00256982" w:rsidRDefault="0068777C" w:rsidP="0068777C">
            <w:pPr>
              <w:pStyle w:val="TableText"/>
              <w:tabs>
                <w:tab w:val="decimal" w:pos="283"/>
              </w:tabs>
              <w:spacing w:before="50" w:after="50"/>
              <w:jc w:val="center"/>
            </w:pPr>
            <w:r w:rsidRPr="00256982">
              <w:t>0.35</w:t>
            </w:r>
          </w:p>
        </w:tc>
      </w:tr>
      <w:tr w:rsidR="0068777C" w:rsidRPr="00256982" w14:paraId="7E2F13EA" w14:textId="77777777" w:rsidTr="0068777C">
        <w:tc>
          <w:tcPr>
            <w:tcW w:w="2745" w:type="dxa"/>
            <w:vMerge/>
            <w:tcBorders>
              <w:left w:val="nil"/>
              <w:bottom w:val="single" w:sz="4" w:space="0" w:color="365F91"/>
              <w:right w:val="nil"/>
            </w:tcBorders>
          </w:tcPr>
          <w:p w14:paraId="404B08D9" w14:textId="77777777" w:rsidR="0068777C" w:rsidRPr="00256982" w:rsidRDefault="0068777C" w:rsidP="0068777C">
            <w:pPr>
              <w:pStyle w:val="TableText"/>
              <w:spacing w:before="50" w:after="50"/>
            </w:pPr>
          </w:p>
        </w:tc>
        <w:tc>
          <w:tcPr>
            <w:tcW w:w="3405" w:type="dxa"/>
            <w:tcBorders>
              <w:top w:val="single" w:sz="4" w:space="0" w:color="365F91"/>
              <w:left w:val="nil"/>
              <w:bottom w:val="single" w:sz="4" w:space="0" w:color="365F91"/>
              <w:right w:val="nil"/>
            </w:tcBorders>
          </w:tcPr>
          <w:p w14:paraId="199F3D15" w14:textId="77777777" w:rsidR="0068777C" w:rsidRPr="00256982" w:rsidRDefault="0068777C" w:rsidP="0068777C">
            <w:pPr>
              <w:pStyle w:val="TableText"/>
              <w:spacing w:before="50" w:after="50"/>
            </w:pPr>
            <w:r w:rsidRPr="00256982">
              <w:t>Swine</w:t>
            </w:r>
          </w:p>
        </w:tc>
        <w:tc>
          <w:tcPr>
            <w:tcW w:w="1788" w:type="dxa"/>
            <w:tcBorders>
              <w:top w:val="single" w:sz="4" w:space="0" w:color="365F91"/>
              <w:left w:val="nil"/>
              <w:bottom w:val="single" w:sz="4" w:space="0" w:color="365F91"/>
              <w:right w:val="nil"/>
            </w:tcBorders>
          </w:tcPr>
          <w:p w14:paraId="0CF716B7" w14:textId="77777777" w:rsidR="0068777C" w:rsidRPr="00256982" w:rsidRDefault="0068777C" w:rsidP="0068777C">
            <w:pPr>
              <w:pStyle w:val="TableText"/>
              <w:tabs>
                <w:tab w:val="decimal" w:pos="283"/>
              </w:tabs>
              <w:spacing w:before="50" w:after="50"/>
              <w:jc w:val="center"/>
            </w:pPr>
            <w:r w:rsidRPr="00256982">
              <w:t>0.4</w:t>
            </w:r>
          </w:p>
        </w:tc>
      </w:tr>
      <w:tr w:rsidR="0068777C" w:rsidRPr="00256982" w14:paraId="52CB7B24" w14:textId="77777777" w:rsidTr="0068777C">
        <w:tc>
          <w:tcPr>
            <w:tcW w:w="2745" w:type="dxa"/>
            <w:tcBorders>
              <w:top w:val="single" w:sz="4" w:space="0" w:color="365F91"/>
              <w:left w:val="nil"/>
              <w:bottom w:val="single" w:sz="4" w:space="0" w:color="365F91"/>
              <w:right w:val="nil"/>
            </w:tcBorders>
          </w:tcPr>
          <w:p w14:paraId="6F1BE301" w14:textId="77777777" w:rsidR="0068777C" w:rsidRPr="00256982" w:rsidRDefault="0068777C" w:rsidP="0068777C">
            <w:pPr>
              <w:pStyle w:val="TableText"/>
              <w:spacing w:before="50" w:after="50"/>
            </w:pPr>
            <w:r w:rsidRPr="00256982">
              <w:t>Daily spread</w:t>
            </w:r>
          </w:p>
        </w:tc>
        <w:tc>
          <w:tcPr>
            <w:tcW w:w="3405" w:type="dxa"/>
            <w:tcBorders>
              <w:top w:val="single" w:sz="4" w:space="0" w:color="365F91"/>
              <w:left w:val="nil"/>
              <w:bottom w:val="single" w:sz="4" w:space="0" w:color="365F91"/>
              <w:right w:val="nil"/>
            </w:tcBorders>
          </w:tcPr>
          <w:p w14:paraId="1BE085E4" w14:textId="77777777" w:rsidR="0068777C" w:rsidRPr="00256982" w:rsidRDefault="0068777C" w:rsidP="0068777C">
            <w:pPr>
              <w:pStyle w:val="TableText"/>
              <w:spacing w:before="50" w:after="50"/>
            </w:pPr>
            <w:r w:rsidRPr="00256982">
              <w:t>Swine</w:t>
            </w:r>
          </w:p>
        </w:tc>
        <w:tc>
          <w:tcPr>
            <w:tcW w:w="1788" w:type="dxa"/>
            <w:tcBorders>
              <w:top w:val="single" w:sz="4" w:space="0" w:color="365F91"/>
              <w:left w:val="nil"/>
              <w:bottom w:val="single" w:sz="4" w:space="0" w:color="365F91"/>
              <w:right w:val="nil"/>
            </w:tcBorders>
          </w:tcPr>
          <w:p w14:paraId="0F7D3E4B" w14:textId="77777777" w:rsidR="0068777C" w:rsidRPr="00256982" w:rsidRDefault="0068777C" w:rsidP="0068777C">
            <w:pPr>
              <w:pStyle w:val="TableText"/>
              <w:tabs>
                <w:tab w:val="decimal" w:pos="283"/>
              </w:tabs>
              <w:spacing w:before="50" w:after="50"/>
              <w:jc w:val="center"/>
            </w:pPr>
            <w:r w:rsidRPr="00256982">
              <w:t>0.07</w:t>
            </w:r>
          </w:p>
        </w:tc>
      </w:tr>
      <w:tr w:rsidR="0068777C" w:rsidRPr="00256982" w14:paraId="27E64D81" w14:textId="77777777" w:rsidTr="0068777C">
        <w:tc>
          <w:tcPr>
            <w:tcW w:w="2745" w:type="dxa"/>
            <w:tcBorders>
              <w:top w:val="single" w:sz="4" w:space="0" w:color="365F91"/>
              <w:left w:val="nil"/>
              <w:bottom w:val="single" w:sz="4" w:space="0" w:color="365F91"/>
              <w:right w:val="nil"/>
            </w:tcBorders>
          </w:tcPr>
          <w:p w14:paraId="6340013F" w14:textId="77777777" w:rsidR="0068777C" w:rsidRPr="00256982" w:rsidRDefault="0068777C" w:rsidP="0068777C">
            <w:pPr>
              <w:pStyle w:val="TableText"/>
              <w:spacing w:before="50" w:after="50"/>
            </w:pPr>
            <w:r w:rsidRPr="00256982">
              <w:t>Solid storage and dry lot</w:t>
            </w:r>
          </w:p>
        </w:tc>
        <w:tc>
          <w:tcPr>
            <w:tcW w:w="3405" w:type="dxa"/>
            <w:tcBorders>
              <w:top w:val="single" w:sz="4" w:space="0" w:color="365F91"/>
              <w:left w:val="nil"/>
              <w:bottom w:val="single" w:sz="4" w:space="0" w:color="365F91"/>
              <w:right w:val="nil"/>
            </w:tcBorders>
          </w:tcPr>
          <w:p w14:paraId="297CC0AE" w14:textId="77777777" w:rsidR="0068777C" w:rsidRPr="00256982" w:rsidRDefault="0068777C" w:rsidP="0068777C">
            <w:pPr>
              <w:pStyle w:val="TableText"/>
              <w:spacing w:before="50" w:after="50"/>
            </w:pPr>
            <w:r w:rsidRPr="00256982">
              <w:t>Swine</w:t>
            </w:r>
          </w:p>
        </w:tc>
        <w:tc>
          <w:tcPr>
            <w:tcW w:w="1788" w:type="dxa"/>
            <w:tcBorders>
              <w:top w:val="single" w:sz="4" w:space="0" w:color="365F91"/>
              <w:left w:val="nil"/>
              <w:bottom w:val="single" w:sz="4" w:space="0" w:color="365F91"/>
              <w:right w:val="nil"/>
            </w:tcBorders>
          </w:tcPr>
          <w:p w14:paraId="31F8912E" w14:textId="77777777" w:rsidR="0068777C" w:rsidRPr="00256982" w:rsidRDefault="0068777C" w:rsidP="0068777C">
            <w:pPr>
              <w:pStyle w:val="TableText"/>
              <w:tabs>
                <w:tab w:val="decimal" w:pos="283"/>
              </w:tabs>
              <w:spacing w:before="50" w:after="50"/>
              <w:jc w:val="center"/>
            </w:pPr>
            <w:r w:rsidRPr="00256982">
              <w:t>0.3</w:t>
            </w:r>
          </w:p>
        </w:tc>
      </w:tr>
      <w:tr w:rsidR="0068777C" w:rsidRPr="00256982" w14:paraId="76E67CD7" w14:textId="77777777" w:rsidTr="0068777C">
        <w:tc>
          <w:tcPr>
            <w:tcW w:w="2745" w:type="dxa"/>
            <w:vMerge w:val="restart"/>
            <w:tcBorders>
              <w:top w:val="single" w:sz="4" w:space="0" w:color="365F91"/>
              <w:left w:val="nil"/>
              <w:right w:val="nil"/>
            </w:tcBorders>
            <w:vAlign w:val="center"/>
          </w:tcPr>
          <w:p w14:paraId="493825C1" w14:textId="77777777" w:rsidR="0068777C" w:rsidRPr="00256982" w:rsidRDefault="0068777C" w:rsidP="0068777C">
            <w:pPr>
              <w:pStyle w:val="TableText"/>
              <w:spacing w:before="50" w:after="50"/>
            </w:pPr>
            <w:r w:rsidRPr="00256982">
              <w:t>Other (deep bedding)</w:t>
            </w:r>
          </w:p>
        </w:tc>
        <w:tc>
          <w:tcPr>
            <w:tcW w:w="3405" w:type="dxa"/>
            <w:tcBorders>
              <w:top w:val="single" w:sz="4" w:space="0" w:color="365F91"/>
              <w:left w:val="nil"/>
              <w:bottom w:val="single" w:sz="4" w:space="0" w:color="365F91"/>
              <w:right w:val="nil"/>
            </w:tcBorders>
          </w:tcPr>
          <w:p w14:paraId="0A0D396E" w14:textId="77777777" w:rsidR="0068777C" w:rsidRPr="00256982" w:rsidRDefault="0068777C" w:rsidP="0068777C">
            <w:pPr>
              <w:pStyle w:val="TableText"/>
              <w:spacing w:before="50" w:after="50"/>
            </w:pPr>
            <w:r w:rsidRPr="00256982">
              <w:t>Swine</w:t>
            </w:r>
          </w:p>
        </w:tc>
        <w:tc>
          <w:tcPr>
            <w:tcW w:w="1788" w:type="dxa"/>
            <w:tcBorders>
              <w:top w:val="single" w:sz="4" w:space="0" w:color="365F91"/>
              <w:left w:val="nil"/>
              <w:bottom w:val="single" w:sz="4" w:space="0" w:color="365F91"/>
              <w:right w:val="nil"/>
            </w:tcBorders>
          </w:tcPr>
          <w:p w14:paraId="3860DC0C" w14:textId="77777777" w:rsidR="0068777C" w:rsidRPr="00256982" w:rsidRDefault="0068777C" w:rsidP="0068777C">
            <w:pPr>
              <w:pStyle w:val="TableText"/>
              <w:tabs>
                <w:tab w:val="decimal" w:pos="283"/>
              </w:tabs>
              <w:spacing w:before="50" w:after="50"/>
              <w:jc w:val="center"/>
            </w:pPr>
            <w:r w:rsidRPr="00256982">
              <w:t>0.25</w:t>
            </w:r>
          </w:p>
        </w:tc>
      </w:tr>
      <w:tr w:rsidR="0068777C" w:rsidRPr="00256982" w14:paraId="2C7AEC11" w14:textId="77777777" w:rsidTr="0068777C">
        <w:tc>
          <w:tcPr>
            <w:tcW w:w="2745" w:type="dxa"/>
            <w:vMerge/>
            <w:tcBorders>
              <w:left w:val="nil"/>
              <w:right w:val="nil"/>
            </w:tcBorders>
          </w:tcPr>
          <w:p w14:paraId="03504510" w14:textId="77777777" w:rsidR="0068777C" w:rsidRPr="00256982" w:rsidRDefault="0068777C" w:rsidP="0068777C">
            <w:pPr>
              <w:pStyle w:val="TableText"/>
              <w:spacing w:before="50" w:after="50"/>
            </w:pPr>
          </w:p>
        </w:tc>
        <w:tc>
          <w:tcPr>
            <w:tcW w:w="3405" w:type="dxa"/>
            <w:tcBorders>
              <w:top w:val="single" w:sz="4" w:space="0" w:color="365F91"/>
              <w:left w:val="nil"/>
              <w:bottom w:val="single" w:sz="4" w:space="0" w:color="365F91"/>
              <w:right w:val="nil"/>
            </w:tcBorders>
          </w:tcPr>
          <w:p w14:paraId="39761B27" w14:textId="77777777" w:rsidR="0068777C" w:rsidRPr="00256982" w:rsidRDefault="0068777C" w:rsidP="0068777C">
            <w:pPr>
              <w:pStyle w:val="TableText"/>
              <w:spacing w:before="50" w:after="50"/>
            </w:pPr>
            <w:r w:rsidRPr="00256982">
              <w:t>Poultry – broilers</w:t>
            </w:r>
          </w:p>
        </w:tc>
        <w:tc>
          <w:tcPr>
            <w:tcW w:w="1788" w:type="dxa"/>
            <w:tcBorders>
              <w:top w:val="single" w:sz="4" w:space="0" w:color="365F91"/>
              <w:left w:val="nil"/>
              <w:bottom w:val="single" w:sz="4" w:space="0" w:color="365F91"/>
              <w:right w:val="nil"/>
            </w:tcBorders>
          </w:tcPr>
          <w:p w14:paraId="02FC84AF" w14:textId="77777777" w:rsidR="0068777C" w:rsidRPr="00256982" w:rsidRDefault="0068777C" w:rsidP="0068777C">
            <w:pPr>
              <w:pStyle w:val="TableText"/>
              <w:tabs>
                <w:tab w:val="decimal" w:pos="283"/>
              </w:tabs>
              <w:spacing w:before="50" w:after="50"/>
              <w:jc w:val="center"/>
            </w:pPr>
            <w:r w:rsidRPr="00256982">
              <w:t>0.25</w:t>
            </w:r>
          </w:p>
        </w:tc>
      </w:tr>
      <w:tr w:rsidR="0068777C" w:rsidRPr="00256982" w14:paraId="4E1F0410" w14:textId="77777777" w:rsidTr="0068777C">
        <w:tc>
          <w:tcPr>
            <w:tcW w:w="2745" w:type="dxa"/>
            <w:vMerge/>
            <w:tcBorders>
              <w:left w:val="nil"/>
              <w:right w:val="nil"/>
            </w:tcBorders>
          </w:tcPr>
          <w:p w14:paraId="02BF0E64" w14:textId="77777777" w:rsidR="0068777C" w:rsidRPr="00256982" w:rsidRDefault="0068777C" w:rsidP="0068777C">
            <w:pPr>
              <w:pStyle w:val="TableText"/>
              <w:spacing w:before="50" w:after="50"/>
            </w:pPr>
          </w:p>
        </w:tc>
        <w:tc>
          <w:tcPr>
            <w:tcW w:w="3405" w:type="dxa"/>
            <w:tcBorders>
              <w:top w:val="single" w:sz="4" w:space="0" w:color="365F91"/>
              <w:left w:val="nil"/>
              <w:bottom w:val="single" w:sz="4" w:space="0" w:color="365F91"/>
              <w:right w:val="nil"/>
            </w:tcBorders>
          </w:tcPr>
          <w:p w14:paraId="7697BE02" w14:textId="77777777" w:rsidR="0068777C" w:rsidRPr="00256982" w:rsidRDefault="0068777C" w:rsidP="0068777C">
            <w:pPr>
              <w:pStyle w:val="TableText"/>
              <w:spacing w:before="50" w:after="50"/>
            </w:pPr>
            <w:r w:rsidRPr="00256982">
              <w:t xml:space="preserve">Poultry – layers </w:t>
            </w:r>
          </w:p>
        </w:tc>
        <w:tc>
          <w:tcPr>
            <w:tcW w:w="1788" w:type="dxa"/>
            <w:tcBorders>
              <w:top w:val="single" w:sz="4" w:space="0" w:color="365F91"/>
              <w:left w:val="nil"/>
              <w:bottom w:val="single" w:sz="4" w:space="0" w:color="365F91"/>
              <w:right w:val="nil"/>
            </w:tcBorders>
          </w:tcPr>
          <w:p w14:paraId="36614EF6" w14:textId="77777777" w:rsidR="0068777C" w:rsidRPr="00256982" w:rsidRDefault="0068777C" w:rsidP="0068777C">
            <w:pPr>
              <w:pStyle w:val="TableText"/>
              <w:tabs>
                <w:tab w:val="decimal" w:pos="283"/>
              </w:tabs>
              <w:spacing w:before="50" w:after="50"/>
              <w:jc w:val="center"/>
            </w:pPr>
            <w:r w:rsidRPr="00256982">
              <w:t>0.25</w:t>
            </w:r>
          </w:p>
        </w:tc>
      </w:tr>
      <w:tr w:rsidR="0068777C" w:rsidRPr="00256982" w14:paraId="7677C719" w14:textId="77777777" w:rsidTr="0068777C">
        <w:tc>
          <w:tcPr>
            <w:tcW w:w="2745" w:type="dxa"/>
            <w:vMerge/>
            <w:tcBorders>
              <w:left w:val="nil"/>
              <w:bottom w:val="single" w:sz="4" w:space="0" w:color="365F91"/>
              <w:right w:val="nil"/>
            </w:tcBorders>
          </w:tcPr>
          <w:p w14:paraId="16EBCBB5" w14:textId="77777777" w:rsidR="0068777C" w:rsidRPr="00256982" w:rsidRDefault="0068777C" w:rsidP="0068777C">
            <w:pPr>
              <w:pStyle w:val="TableText"/>
              <w:spacing w:before="50" w:after="50"/>
            </w:pPr>
          </w:p>
        </w:tc>
        <w:tc>
          <w:tcPr>
            <w:tcW w:w="3405" w:type="dxa"/>
            <w:tcBorders>
              <w:top w:val="single" w:sz="4" w:space="0" w:color="365F91"/>
              <w:left w:val="nil"/>
              <w:bottom w:val="single" w:sz="4" w:space="0" w:color="365F91"/>
              <w:right w:val="nil"/>
            </w:tcBorders>
          </w:tcPr>
          <w:p w14:paraId="6EF295D3" w14:textId="77777777" w:rsidR="0068777C" w:rsidRPr="00256982" w:rsidRDefault="0068777C" w:rsidP="0068777C">
            <w:pPr>
              <w:pStyle w:val="TableText"/>
              <w:spacing w:before="50" w:after="50"/>
            </w:pPr>
            <w:r w:rsidRPr="00256982">
              <w:t xml:space="preserve">Poultry – other </w:t>
            </w:r>
          </w:p>
        </w:tc>
        <w:tc>
          <w:tcPr>
            <w:tcW w:w="1788" w:type="dxa"/>
            <w:tcBorders>
              <w:top w:val="single" w:sz="4" w:space="0" w:color="365F91"/>
              <w:left w:val="nil"/>
              <w:bottom w:val="single" w:sz="4" w:space="0" w:color="365F91"/>
              <w:right w:val="nil"/>
            </w:tcBorders>
          </w:tcPr>
          <w:p w14:paraId="6B6AACE5" w14:textId="77777777" w:rsidR="0068777C" w:rsidRPr="00256982" w:rsidRDefault="0068777C" w:rsidP="0068777C">
            <w:pPr>
              <w:pStyle w:val="TableText"/>
              <w:tabs>
                <w:tab w:val="decimal" w:pos="283"/>
              </w:tabs>
              <w:spacing w:before="50" w:after="50"/>
              <w:jc w:val="center"/>
            </w:pPr>
            <w:r w:rsidRPr="00256982">
              <w:t>0.25</w:t>
            </w:r>
          </w:p>
        </w:tc>
      </w:tr>
    </w:tbl>
    <w:p w14:paraId="6C1DF84D" w14:textId="77777777" w:rsidR="0068777C" w:rsidRPr="00256982" w:rsidRDefault="0068777C" w:rsidP="0068777C">
      <w:pPr>
        <w:pStyle w:val="Source"/>
      </w:pPr>
      <w:r w:rsidRPr="00256982">
        <w:rPr>
          <w:b/>
        </w:rPr>
        <w:t xml:space="preserve">Source: </w:t>
      </w:r>
      <w:r w:rsidRPr="00256982">
        <w:rPr>
          <w:b/>
        </w:rPr>
        <w:tab/>
      </w:r>
      <w:r w:rsidRPr="00256982">
        <w:t>IPCC (2006) table 10.22 and Hill (2012)</w:t>
      </w:r>
    </w:p>
    <w:p w14:paraId="54CB834E" w14:textId="77777777" w:rsidR="0068777C" w:rsidRPr="00256982" w:rsidRDefault="0068777C" w:rsidP="0068777C">
      <w:pPr>
        <w:pStyle w:val="Heading3"/>
      </w:pPr>
      <w:r w:rsidRPr="00256982">
        <w:lastRenderedPageBreak/>
        <w:t>5.3.3</w:t>
      </w:r>
      <w:r w:rsidRPr="00256982">
        <w:tab/>
        <w:t>Uncertainties and time-series consistency</w:t>
      </w:r>
    </w:p>
    <w:p w14:paraId="1E791F61" w14:textId="77777777" w:rsidR="0068777C" w:rsidRPr="00256982" w:rsidRDefault="0068777C" w:rsidP="0068777C">
      <w:pPr>
        <w:pStyle w:val="BodyText"/>
        <w:rPr>
          <w:rFonts w:ascii="Arial" w:hAnsi="Arial" w:cs="Arial"/>
        </w:rPr>
      </w:pPr>
      <w:r w:rsidRPr="00256982">
        <w:t>To ensure consistency, a single livestock population characterisation and feed-intake estimate is produced by the Tier 2 model for the major livestock categories. It is used in different parts of the calculations for the inventory to estimate: CH</w:t>
      </w:r>
      <w:r w:rsidRPr="00256982">
        <w:rPr>
          <w:vertAlign w:val="subscript"/>
        </w:rPr>
        <w:t>4</w:t>
      </w:r>
      <w:r w:rsidRPr="00256982">
        <w:t xml:space="preserve"> emissions for the </w:t>
      </w:r>
      <w:r w:rsidRPr="00256982">
        <w:rPr>
          <w:i/>
        </w:rPr>
        <w:t>Enteric fermentation</w:t>
      </w:r>
      <w:r w:rsidRPr="00256982">
        <w:t xml:space="preserve"> category, CH</w:t>
      </w:r>
      <w:r w:rsidRPr="00256982">
        <w:rPr>
          <w:vertAlign w:val="subscript"/>
        </w:rPr>
        <w:t>4</w:t>
      </w:r>
      <w:r w:rsidRPr="00256982">
        <w:t xml:space="preserve"> and N</w:t>
      </w:r>
      <w:r w:rsidRPr="00256982">
        <w:rPr>
          <w:vertAlign w:val="subscript"/>
        </w:rPr>
        <w:t>2</w:t>
      </w:r>
      <w:r w:rsidRPr="00256982">
        <w:t xml:space="preserve">O emissions for the </w:t>
      </w:r>
      <w:r w:rsidRPr="00256982">
        <w:rPr>
          <w:i/>
        </w:rPr>
        <w:t>Manure management</w:t>
      </w:r>
      <w:r w:rsidRPr="00256982">
        <w:t xml:space="preserve"> category and N</w:t>
      </w:r>
      <w:r w:rsidRPr="00256982">
        <w:rPr>
          <w:vertAlign w:val="subscript"/>
        </w:rPr>
        <w:t>2</w:t>
      </w:r>
      <w:r w:rsidRPr="00256982">
        <w:t xml:space="preserve">O emissions for the </w:t>
      </w:r>
      <w:r w:rsidRPr="00256982">
        <w:rPr>
          <w:i/>
        </w:rPr>
        <w:t>Agricultural soils</w:t>
      </w:r>
      <w:r w:rsidRPr="00256982">
        <w:t xml:space="preserve"> category</w:t>
      </w:r>
      <w:r w:rsidRPr="00256982">
        <w:rPr>
          <w:rFonts w:ascii="Arial" w:hAnsi="Arial" w:cs="Arial"/>
        </w:rPr>
        <w:t>.</w:t>
      </w:r>
    </w:p>
    <w:p w14:paraId="27B59020" w14:textId="77777777" w:rsidR="0068777C" w:rsidRPr="00256982" w:rsidRDefault="0068777C" w:rsidP="00A72006">
      <w:pPr>
        <w:pStyle w:val="Heading4"/>
      </w:pPr>
      <w:r w:rsidRPr="00256982">
        <w:t xml:space="preserve">Methane emissions </w:t>
      </w:r>
    </w:p>
    <w:p w14:paraId="7B66E4D4" w14:textId="77777777" w:rsidR="0068777C" w:rsidRPr="00256982" w:rsidRDefault="0068777C" w:rsidP="0068777C">
      <w:pPr>
        <w:pStyle w:val="BodyText"/>
      </w:pPr>
      <w:r w:rsidRPr="00256982">
        <w:t>The major sources of uncertainty in CH</w:t>
      </w:r>
      <w:r w:rsidRPr="00256982">
        <w:rPr>
          <w:vertAlign w:val="subscript"/>
        </w:rPr>
        <w:t>4</w:t>
      </w:r>
      <w:r w:rsidRPr="00256982">
        <w:t xml:space="preserve"> emissions from manure management are the accuracy of emission factors for manure management system distribution, the activity data on the livestock population and the use of the various manure management systems (IPCC, 2006). The ranges for measured emissions for the major livestock categories have been stated where available. </w:t>
      </w:r>
    </w:p>
    <w:p w14:paraId="3565849D" w14:textId="77777777" w:rsidR="0068777C" w:rsidRPr="00256982" w:rsidRDefault="0068777C" w:rsidP="0068777C">
      <w:pPr>
        <w:pStyle w:val="BodyText"/>
      </w:pPr>
      <w:r w:rsidRPr="00256982">
        <w:t>The IPCC (2006) states that emission factor estimates are likely to have uncertainties of ±30 per cent for Tier 1 methodologies and ±20 per cent for Tier 2 methodologies. New Zealand does not currently have country-specific uncertainty values for CH</w:t>
      </w:r>
      <w:r w:rsidRPr="00256982">
        <w:rPr>
          <w:vertAlign w:val="subscript"/>
        </w:rPr>
        <w:t>4</w:t>
      </w:r>
      <w:r w:rsidRPr="00256982">
        <w:t xml:space="preserve"> from manure management, and, because around 95 per cent of CH</w:t>
      </w:r>
      <w:r w:rsidRPr="00256982">
        <w:rPr>
          <w:vertAlign w:val="subscript"/>
        </w:rPr>
        <w:t>4</w:t>
      </w:r>
      <w:r w:rsidRPr="00256982">
        <w:t xml:space="preserve"> from </w:t>
      </w:r>
      <w:r w:rsidRPr="00256982">
        <w:rPr>
          <w:i/>
        </w:rPr>
        <w:t>Manure management</w:t>
      </w:r>
      <w:r w:rsidRPr="00256982">
        <w:t xml:space="preserve"> is calculated using Tier 2 methodologies, an uncertainty value of ±20 per cent has been used for the </w:t>
      </w:r>
      <w:r w:rsidRPr="00256982">
        <w:rPr>
          <w:i/>
        </w:rPr>
        <w:t xml:space="preserve">Manure management </w:t>
      </w:r>
      <w:r w:rsidRPr="00256982">
        <w:t>CH</w:t>
      </w:r>
      <w:r w:rsidRPr="00256982">
        <w:rPr>
          <w:vertAlign w:val="subscript"/>
        </w:rPr>
        <w:t>4</w:t>
      </w:r>
      <w:r w:rsidRPr="00256982">
        <w:t xml:space="preserve"> emission factor uncertainty. </w:t>
      </w:r>
    </w:p>
    <w:p w14:paraId="129D4E95" w14:textId="77777777" w:rsidR="0068777C" w:rsidRPr="00256982" w:rsidRDefault="0068777C" w:rsidP="0068777C">
      <w:pPr>
        <w:pStyle w:val="BodyText"/>
      </w:pPr>
      <w:r w:rsidRPr="00256982">
        <w:t xml:space="preserve">Uncertainties for the livestock characterisation are also discussed in section 5.1.4 and annex A3.1.1. </w:t>
      </w:r>
    </w:p>
    <w:p w14:paraId="37DC71E9" w14:textId="77777777" w:rsidR="0068777C" w:rsidRPr="00256982" w:rsidRDefault="0068777C" w:rsidP="00A72006">
      <w:pPr>
        <w:pStyle w:val="Heading4"/>
      </w:pPr>
      <w:r w:rsidRPr="00256982">
        <w:t>Nitrous oxide emissions</w:t>
      </w:r>
    </w:p>
    <w:p w14:paraId="1F0AD1EF" w14:textId="77777777" w:rsidR="0068777C" w:rsidRPr="00256982" w:rsidRDefault="0068777C" w:rsidP="0068777C">
      <w:pPr>
        <w:pStyle w:val="BodyText"/>
        <w:spacing w:before="100" w:after="100"/>
      </w:pPr>
      <w:r w:rsidRPr="00256982">
        <w:t>The main factors causing uncertainty in direct and indirect N</w:t>
      </w:r>
      <w:r w:rsidRPr="00256982">
        <w:rPr>
          <w:vertAlign w:val="subscript"/>
        </w:rPr>
        <w:t>2</w:t>
      </w:r>
      <w:r w:rsidRPr="00256982">
        <w:t>O emissions from manure management are the N</w:t>
      </w:r>
      <w:r w:rsidRPr="00256982">
        <w:rPr>
          <w:vertAlign w:val="subscript"/>
        </w:rPr>
        <w:t>ex</w:t>
      </w:r>
      <w:r w:rsidRPr="00256982">
        <w:t xml:space="preserve"> rates, the emission factors from manure and manure management systems, activity data on the livestock population and the use of the various manure management systems (IPCC, 2006). </w:t>
      </w:r>
    </w:p>
    <w:p w14:paraId="7D2492F0" w14:textId="77777777" w:rsidR="0068777C" w:rsidRPr="00256982" w:rsidRDefault="0068777C" w:rsidP="0068777C">
      <w:pPr>
        <w:pStyle w:val="BodyText"/>
        <w:spacing w:before="100" w:after="100"/>
      </w:pPr>
      <w:r w:rsidRPr="00256982">
        <w:t>Uncertainty ranges for the default N</w:t>
      </w:r>
      <w:r w:rsidRPr="00256982">
        <w:rPr>
          <w:vertAlign w:val="subscript"/>
        </w:rPr>
        <w:t>ex</w:t>
      </w:r>
      <w:r w:rsidRPr="00256982">
        <w:t xml:space="preserve"> values are estimated at about ±50 per cent (IPCC, 2006), and may be substantially smaller for the values for the livestock whose N</w:t>
      </w:r>
      <w:r w:rsidRPr="00256982">
        <w:rPr>
          <w:vertAlign w:val="subscript"/>
        </w:rPr>
        <w:t>ex</w:t>
      </w:r>
      <w:r w:rsidRPr="00256982">
        <w:t xml:space="preserve"> rates were derived from in-country statistics on productivity. New Zealand uses the default values for EF</w:t>
      </w:r>
      <w:r w:rsidRPr="00256982">
        <w:rPr>
          <w:vertAlign w:val="subscript"/>
        </w:rPr>
        <w:t>3</w:t>
      </w:r>
      <w:r w:rsidRPr="00256982">
        <w:t xml:space="preserve"> for direct N</w:t>
      </w:r>
      <w:r w:rsidRPr="00256982">
        <w:rPr>
          <w:vertAlign w:val="subscript"/>
        </w:rPr>
        <w:t>2</w:t>
      </w:r>
      <w:r w:rsidRPr="00256982">
        <w:t xml:space="preserve">O emissions from the manure management of swine and poultry, which have uncertainties ranging from –50 per cent to +100 per cent. An uncertainty value of ±100 per cent has been used for the </w:t>
      </w:r>
      <w:r w:rsidRPr="00256982">
        <w:rPr>
          <w:i/>
        </w:rPr>
        <w:t>Manure management</w:t>
      </w:r>
      <w:r w:rsidRPr="00256982">
        <w:t xml:space="preserve"> N</w:t>
      </w:r>
      <w:r w:rsidRPr="00256982">
        <w:rPr>
          <w:vertAlign w:val="subscript"/>
        </w:rPr>
        <w:t>2</w:t>
      </w:r>
      <w:r w:rsidRPr="00256982">
        <w:t>O emission factor uncertainty.</w:t>
      </w:r>
    </w:p>
    <w:p w14:paraId="7F260E93" w14:textId="77777777" w:rsidR="0068777C" w:rsidRPr="00256982" w:rsidRDefault="0068777C" w:rsidP="0068777C">
      <w:pPr>
        <w:pStyle w:val="BodyText"/>
        <w:spacing w:before="100" w:after="100"/>
      </w:pPr>
      <w:r w:rsidRPr="00256982">
        <w:t xml:space="preserve">As above, uncertainties for the livestock characterisation are discussed in section 5.1.4 and annex A3.1.1. </w:t>
      </w:r>
    </w:p>
    <w:p w14:paraId="720A1450" w14:textId="77777777" w:rsidR="0068777C" w:rsidRPr="00256982" w:rsidRDefault="0068777C" w:rsidP="00AB6612">
      <w:pPr>
        <w:pStyle w:val="Heading3"/>
      </w:pPr>
      <w:bookmarkStart w:id="643" w:name="_Toc139253927"/>
      <w:r w:rsidRPr="00256982">
        <w:t>5.3.4</w:t>
      </w:r>
      <w:r w:rsidRPr="00256982">
        <w:tab/>
        <w:t>Source-specific QA/QC and verification</w:t>
      </w:r>
      <w:bookmarkEnd w:id="643"/>
    </w:p>
    <w:p w14:paraId="07BA2518" w14:textId="77777777" w:rsidR="0068777C" w:rsidRPr="00256982" w:rsidRDefault="0068777C" w:rsidP="0068777C">
      <w:pPr>
        <w:pStyle w:val="BodyText"/>
        <w:spacing w:before="100" w:after="100"/>
      </w:pPr>
      <w:r w:rsidRPr="00256982">
        <w:t xml:space="preserve">Methane from </w:t>
      </w:r>
      <w:r w:rsidRPr="00256982">
        <w:rPr>
          <w:i/>
        </w:rPr>
        <w:t>Manure management</w:t>
      </w:r>
      <w:r w:rsidRPr="00256982">
        <w:t xml:space="preserve"> from dairy cattle was identified as a key category for New Zealand in the 2017 level and 1990–2017 trend assessment. </w:t>
      </w:r>
    </w:p>
    <w:p w14:paraId="0B2DD014" w14:textId="77777777" w:rsidR="0068777C" w:rsidRPr="00256982" w:rsidRDefault="0068777C" w:rsidP="0068777C">
      <w:pPr>
        <w:pStyle w:val="BodyText"/>
        <w:spacing w:before="100" w:after="100"/>
      </w:pPr>
      <w:r w:rsidRPr="00256982">
        <w:t>In the preparation for this inventory submission, the data for this category underwent Tier 1 and Tier 2 quality checks.</w:t>
      </w:r>
    </w:p>
    <w:p w14:paraId="7794583E" w14:textId="77777777" w:rsidR="0068777C" w:rsidRPr="00256982" w:rsidRDefault="0068777C" w:rsidP="0068777C">
      <w:pPr>
        <w:pStyle w:val="BodyText"/>
        <w:spacing w:before="100" w:after="100"/>
      </w:pPr>
      <w:r w:rsidRPr="00256982">
        <w:t>Table 5.3.6 shows a comparison of the New Zealand-specific 2017 IEF for CH</w:t>
      </w:r>
      <w:r w:rsidRPr="00256982">
        <w:rPr>
          <w:vertAlign w:val="subscript"/>
        </w:rPr>
        <w:t>4</w:t>
      </w:r>
      <w:r w:rsidRPr="00256982">
        <w:t xml:space="preserve"> from </w:t>
      </w:r>
      <w:r w:rsidRPr="00256982">
        <w:rPr>
          <w:i/>
        </w:rPr>
        <w:t>Manure management</w:t>
      </w:r>
      <w:r w:rsidRPr="00256982">
        <w:t xml:space="preserve"> with the IPCC (2006) Tier 1 Oceania default, the IPCC Tier 2 net energy-based value and the 2016 Australian-specific IEF for </w:t>
      </w:r>
      <w:r w:rsidRPr="00256982">
        <w:rPr>
          <w:i/>
        </w:rPr>
        <w:t>Dairy cattle</w:t>
      </w:r>
      <w:r w:rsidRPr="00256982">
        <w:t xml:space="preserve">, </w:t>
      </w:r>
      <w:r w:rsidRPr="00256982">
        <w:rPr>
          <w:i/>
        </w:rPr>
        <w:t>Non-dairy cattle</w:t>
      </w:r>
      <w:r w:rsidRPr="00256982">
        <w:t xml:space="preserve"> and </w:t>
      </w:r>
      <w:r w:rsidRPr="00256982">
        <w:rPr>
          <w:i/>
        </w:rPr>
        <w:t>Sheep</w:t>
      </w:r>
      <w:r w:rsidRPr="00256982">
        <w:t xml:space="preserve">. The IPCC Tier 2 value was determined from net energy equations to determine gross energy for each of New Zealand’s major livestock categories. This information is then used to </w:t>
      </w:r>
      <w:r w:rsidRPr="00256982">
        <w:lastRenderedPageBreak/>
        <w:t>determine volatile solid excretion and the annual CH</w:t>
      </w:r>
      <w:r w:rsidRPr="00256982">
        <w:rPr>
          <w:vertAlign w:val="subscript"/>
        </w:rPr>
        <w:t>4</w:t>
      </w:r>
      <w:r w:rsidRPr="00256982">
        <w:t xml:space="preserve"> emission factors for each livestock category as per the equations described in the 2006 IPCC Guidelines (i.e., equations 10.16, 10.24 and 10.23 respectively).</w:t>
      </w:r>
    </w:p>
    <w:p w14:paraId="110A3F95" w14:textId="77777777" w:rsidR="0068777C" w:rsidRPr="00256982" w:rsidRDefault="0068777C" w:rsidP="0068777C">
      <w:pPr>
        <w:pStyle w:val="BodyText"/>
        <w:spacing w:before="100" w:after="100"/>
      </w:pPr>
      <w:r w:rsidRPr="00256982">
        <w:t>New Zealand has lower IEFs for CH</w:t>
      </w:r>
      <w:r w:rsidRPr="00256982">
        <w:rPr>
          <w:vertAlign w:val="subscript"/>
        </w:rPr>
        <w:t>4</w:t>
      </w:r>
      <w:r w:rsidRPr="00256982">
        <w:t xml:space="preserve"> from </w:t>
      </w:r>
      <w:r w:rsidRPr="00256982">
        <w:rPr>
          <w:i/>
        </w:rPr>
        <w:t>Manure management</w:t>
      </w:r>
      <w:r w:rsidRPr="00256982">
        <w:t xml:space="preserve"> for non-dairy cattle and sheep than the IPCC Tier 1 Oceania default and the IPCC Tier 2 net energy-based emission factors. Additionally, New Zealand has lower dairy and non-dairy IEFs for CH</w:t>
      </w:r>
      <w:r w:rsidRPr="00256982">
        <w:rPr>
          <w:vertAlign w:val="subscript"/>
        </w:rPr>
        <w:t>4</w:t>
      </w:r>
      <w:r w:rsidRPr="00256982">
        <w:t xml:space="preserve"> from </w:t>
      </w:r>
      <w:r w:rsidRPr="00256982">
        <w:rPr>
          <w:i/>
        </w:rPr>
        <w:t>Manure management</w:t>
      </w:r>
      <w:r w:rsidRPr="00256982">
        <w:t xml:space="preserve"> than the Australian-specific 2016 IEFs. Differences between New Zealand’s IEFs, the IPCC Tier 1 and Tier 2 and the Australian-specific IEFs are due to the reasons outlined under </w:t>
      </w:r>
      <w:r w:rsidRPr="00256982">
        <w:rPr>
          <w:i/>
        </w:rPr>
        <w:t>Enteric fermentation</w:t>
      </w:r>
      <w:r w:rsidRPr="00256982">
        <w:t xml:space="preserve"> (see section 5.2.4): that is, size and productivity of the animals, the age classes of livestock included in New Zealand’s modelling and the use of different algorithms to determine energy intake. The New Zealand-specific IEF from </w:t>
      </w:r>
      <w:r w:rsidRPr="00256982">
        <w:rPr>
          <w:i/>
        </w:rPr>
        <w:t>Manure management</w:t>
      </w:r>
      <w:r w:rsidRPr="00256982">
        <w:t xml:space="preserve"> for dairy cattle also reflects the activity data on the use of dairy effluent management systems in New Zealand (see section 5.3.2).</w:t>
      </w:r>
    </w:p>
    <w:p w14:paraId="5135F0BF" w14:textId="77777777" w:rsidR="0068777C" w:rsidRPr="00256982" w:rsidRDefault="0068777C" w:rsidP="0068777C">
      <w:pPr>
        <w:pStyle w:val="Table"/>
      </w:pPr>
      <w:bookmarkStart w:id="644" w:name="_Toc441830878"/>
      <w:bookmarkStart w:id="645" w:name="_Toc451176092"/>
      <w:bookmarkStart w:id="646" w:name="_Toc481751520"/>
      <w:bookmarkStart w:id="647" w:name="_Toc507158608"/>
      <w:bookmarkStart w:id="648" w:name="_Toc511116742"/>
      <w:bookmarkStart w:id="649" w:name="_Toc5269482"/>
      <w:bookmarkStart w:id="650" w:name="_Toc288316755"/>
      <w:bookmarkStart w:id="651" w:name="_Toc352504973"/>
      <w:r w:rsidRPr="00256982">
        <w:t>Table 5.3.6</w:t>
      </w:r>
      <w:r w:rsidRPr="00256982">
        <w:tab/>
        <w:t>Comparison of IPCC (2006) default emission factors and country-specific implied emission factors (IEFs) for methane (CH</w:t>
      </w:r>
      <w:r w:rsidRPr="00256982">
        <w:rPr>
          <w:vertAlign w:val="subscript"/>
        </w:rPr>
        <w:t>4</w:t>
      </w:r>
      <w:r w:rsidRPr="00256982">
        <w:t>) from manure management</w:t>
      </w:r>
      <w:bookmarkEnd w:id="644"/>
      <w:bookmarkEnd w:id="645"/>
      <w:bookmarkEnd w:id="646"/>
      <w:bookmarkEnd w:id="647"/>
      <w:bookmarkEnd w:id="648"/>
      <w:bookmarkEnd w:id="649"/>
      <w:r w:rsidRPr="00256982">
        <w:t xml:space="preserve"> </w:t>
      </w:r>
      <w:bookmarkEnd w:id="650"/>
      <w:bookmarkEnd w:id="651"/>
    </w:p>
    <w:tbl>
      <w:tblPr>
        <w:tblW w:w="8505" w:type="dxa"/>
        <w:tblInd w:w="108" w:type="dxa"/>
        <w:tblBorders>
          <w:top w:val="single" w:sz="4" w:space="0" w:color="365F91"/>
          <w:bottom w:val="single" w:sz="4" w:space="0" w:color="365F91"/>
          <w:insideH w:val="single" w:sz="4" w:space="0" w:color="365F91"/>
        </w:tblBorders>
        <w:tblLook w:val="0000" w:firstRow="0" w:lastRow="0" w:firstColumn="0" w:lastColumn="0" w:noHBand="0" w:noVBand="0"/>
      </w:tblPr>
      <w:tblGrid>
        <w:gridCol w:w="3402"/>
        <w:gridCol w:w="1701"/>
        <w:gridCol w:w="1701"/>
        <w:gridCol w:w="1701"/>
      </w:tblGrid>
      <w:tr w:rsidR="0068777C" w:rsidRPr="00256982" w14:paraId="25AB68D5" w14:textId="77777777" w:rsidTr="0068777C">
        <w:trPr>
          <w:tblHeader/>
        </w:trPr>
        <w:tc>
          <w:tcPr>
            <w:tcW w:w="3402" w:type="dxa"/>
            <w:shd w:val="clear" w:color="auto" w:fill="365F91"/>
            <w:vAlign w:val="bottom"/>
          </w:tcPr>
          <w:p w14:paraId="1D61C361" w14:textId="77777777" w:rsidR="0068777C" w:rsidRPr="00256982" w:rsidRDefault="0068777C" w:rsidP="0068777C">
            <w:pPr>
              <w:pStyle w:val="TableTextBold"/>
              <w:keepNext/>
              <w:rPr>
                <w:noProof w:val="0"/>
                <w:color w:val="FFFFFF"/>
              </w:rPr>
            </w:pPr>
          </w:p>
        </w:tc>
        <w:tc>
          <w:tcPr>
            <w:tcW w:w="1701" w:type="dxa"/>
            <w:shd w:val="clear" w:color="auto" w:fill="365F91"/>
            <w:vAlign w:val="bottom"/>
          </w:tcPr>
          <w:p w14:paraId="4A911A9B" w14:textId="77777777" w:rsidR="0068777C" w:rsidRPr="00256982" w:rsidRDefault="0068777C" w:rsidP="0068777C">
            <w:pPr>
              <w:pStyle w:val="TableTextBold"/>
              <w:jc w:val="center"/>
              <w:rPr>
                <w:noProof w:val="0"/>
                <w:color w:val="FFFFFF"/>
              </w:rPr>
            </w:pPr>
            <w:r w:rsidRPr="00256982">
              <w:rPr>
                <w:noProof w:val="0"/>
                <w:color w:val="FFFFFF"/>
              </w:rPr>
              <w:t>Dairy cattle</w:t>
            </w:r>
            <w:r w:rsidRPr="00256982">
              <w:rPr>
                <w:noProof w:val="0"/>
                <w:color w:val="FFFFFF"/>
              </w:rPr>
              <w:br/>
              <w:t>(kg CH</w:t>
            </w:r>
            <w:r w:rsidRPr="00256982">
              <w:rPr>
                <w:noProof w:val="0"/>
                <w:color w:val="FFFFFF"/>
                <w:vertAlign w:val="subscript"/>
              </w:rPr>
              <w:t>4</w:t>
            </w:r>
            <w:r w:rsidRPr="00256982">
              <w:rPr>
                <w:noProof w:val="0"/>
                <w:color w:val="FFFFFF"/>
              </w:rPr>
              <w:t>/head/year)</w:t>
            </w:r>
          </w:p>
        </w:tc>
        <w:tc>
          <w:tcPr>
            <w:tcW w:w="1701" w:type="dxa"/>
            <w:shd w:val="clear" w:color="auto" w:fill="365F91"/>
            <w:vAlign w:val="bottom"/>
          </w:tcPr>
          <w:p w14:paraId="3BB69941" w14:textId="77777777" w:rsidR="0068777C" w:rsidRPr="00256982" w:rsidRDefault="0068777C" w:rsidP="0068777C">
            <w:pPr>
              <w:pStyle w:val="TableTextBold"/>
              <w:jc w:val="center"/>
              <w:rPr>
                <w:noProof w:val="0"/>
                <w:color w:val="FFFFFF"/>
              </w:rPr>
            </w:pPr>
            <w:r w:rsidRPr="00256982">
              <w:rPr>
                <w:noProof w:val="0"/>
                <w:color w:val="FFFFFF"/>
              </w:rPr>
              <w:t>Non-dairy cattle</w:t>
            </w:r>
            <w:r w:rsidRPr="00256982">
              <w:rPr>
                <w:noProof w:val="0"/>
                <w:color w:val="FFFFFF"/>
              </w:rPr>
              <w:br/>
              <w:t>(kg CH</w:t>
            </w:r>
            <w:r w:rsidRPr="00256982">
              <w:rPr>
                <w:noProof w:val="0"/>
                <w:color w:val="FFFFFF"/>
                <w:vertAlign w:val="subscript"/>
              </w:rPr>
              <w:t>4</w:t>
            </w:r>
            <w:r w:rsidRPr="00256982">
              <w:rPr>
                <w:noProof w:val="0"/>
                <w:color w:val="FFFFFF"/>
              </w:rPr>
              <w:t>/head/year)</w:t>
            </w:r>
          </w:p>
        </w:tc>
        <w:tc>
          <w:tcPr>
            <w:tcW w:w="1701" w:type="dxa"/>
            <w:shd w:val="clear" w:color="auto" w:fill="365F91"/>
            <w:vAlign w:val="bottom"/>
          </w:tcPr>
          <w:p w14:paraId="6722307F" w14:textId="77777777" w:rsidR="0068777C" w:rsidRPr="00256982" w:rsidRDefault="0068777C" w:rsidP="0068777C">
            <w:pPr>
              <w:pStyle w:val="TableTextBold"/>
              <w:jc w:val="center"/>
              <w:rPr>
                <w:noProof w:val="0"/>
                <w:color w:val="FFFFFF"/>
              </w:rPr>
            </w:pPr>
            <w:r w:rsidRPr="00256982">
              <w:rPr>
                <w:noProof w:val="0"/>
                <w:color w:val="FFFFFF"/>
              </w:rPr>
              <w:t>Sheep</w:t>
            </w:r>
            <w:r w:rsidRPr="00256982">
              <w:rPr>
                <w:noProof w:val="0"/>
                <w:color w:val="FFFFFF"/>
              </w:rPr>
              <w:br/>
              <w:t>(kg CH</w:t>
            </w:r>
            <w:r w:rsidRPr="00256982">
              <w:rPr>
                <w:noProof w:val="0"/>
                <w:color w:val="FFFFFF"/>
                <w:vertAlign w:val="subscript"/>
              </w:rPr>
              <w:t>4</w:t>
            </w:r>
            <w:r w:rsidRPr="00256982">
              <w:rPr>
                <w:noProof w:val="0"/>
                <w:color w:val="FFFFFF"/>
              </w:rPr>
              <w:t>/head/year)</w:t>
            </w:r>
          </w:p>
        </w:tc>
      </w:tr>
      <w:tr w:rsidR="0068777C" w:rsidRPr="00256982" w14:paraId="00EC27EB" w14:textId="77777777" w:rsidTr="00B06638">
        <w:trPr>
          <w:trHeight w:val="254"/>
        </w:trPr>
        <w:tc>
          <w:tcPr>
            <w:tcW w:w="3402" w:type="dxa"/>
          </w:tcPr>
          <w:p w14:paraId="3BE16E0C" w14:textId="77777777" w:rsidR="0068777C" w:rsidRPr="00256982" w:rsidRDefault="0068777C" w:rsidP="0068777C">
            <w:pPr>
              <w:pStyle w:val="TableText"/>
              <w:keepNext/>
              <w:spacing w:before="50" w:after="50"/>
            </w:pPr>
            <w:r w:rsidRPr="00256982">
              <w:t>IPCC Tier 1 Oceania default value (average temperature 15</w:t>
            </w:r>
            <w:r w:rsidRPr="00256982">
              <w:rPr>
                <w:rFonts w:cs="Arial"/>
              </w:rPr>
              <w:t>ºC (cattle)</w:t>
            </w:r>
            <w:r w:rsidRPr="00256982">
              <w:t>/developed temperate default value (sheep))</w:t>
            </w:r>
          </w:p>
        </w:tc>
        <w:tc>
          <w:tcPr>
            <w:tcW w:w="1701" w:type="dxa"/>
            <w:vAlign w:val="bottom"/>
          </w:tcPr>
          <w:p w14:paraId="5247A4D0" w14:textId="77777777" w:rsidR="0068777C" w:rsidRPr="00256982" w:rsidRDefault="0068777C" w:rsidP="0068777C">
            <w:pPr>
              <w:pStyle w:val="TableText"/>
              <w:tabs>
                <w:tab w:val="decimal" w:pos="630"/>
              </w:tabs>
              <w:spacing w:before="50" w:after="50"/>
              <w:ind w:right="397"/>
              <w:jc w:val="center"/>
            </w:pPr>
            <w:r w:rsidRPr="00256982">
              <w:t>27.00</w:t>
            </w:r>
          </w:p>
        </w:tc>
        <w:tc>
          <w:tcPr>
            <w:tcW w:w="1701" w:type="dxa"/>
            <w:vAlign w:val="bottom"/>
          </w:tcPr>
          <w:p w14:paraId="218AB354" w14:textId="77777777" w:rsidR="0068777C" w:rsidRPr="00256982" w:rsidRDefault="0068777C" w:rsidP="0068777C">
            <w:pPr>
              <w:pStyle w:val="TableText"/>
              <w:spacing w:before="50" w:after="50"/>
              <w:jc w:val="center"/>
            </w:pPr>
            <w:r w:rsidRPr="00256982">
              <w:t>2.00</w:t>
            </w:r>
          </w:p>
        </w:tc>
        <w:tc>
          <w:tcPr>
            <w:tcW w:w="1701" w:type="dxa"/>
            <w:vAlign w:val="bottom"/>
          </w:tcPr>
          <w:p w14:paraId="610E6957" w14:textId="77777777" w:rsidR="0068777C" w:rsidRPr="00256982" w:rsidRDefault="0068777C" w:rsidP="0068777C">
            <w:pPr>
              <w:pStyle w:val="TableText"/>
              <w:spacing w:before="50" w:after="50"/>
              <w:jc w:val="center"/>
            </w:pPr>
            <w:r w:rsidRPr="00256982">
              <w:t>0.28</w:t>
            </w:r>
          </w:p>
        </w:tc>
      </w:tr>
      <w:tr w:rsidR="0068777C" w:rsidRPr="00256982" w14:paraId="49F76073" w14:textId="77777777" w:rsidTr="0068777C">
        <w:trPr>
          <w:trHeight w:val="254"/>
        </w:trPr>
        <w:tc>
          <w:tcPr>
            <w:tcW w:w="3402" w:type="dxa"/>
            <w:shd w:val="clear" w:color="auto" w:fill="auto"/>
          </w:tcPr>
          <w:p w14:paraId="7EC418C4" w14:textId="77777777" w:rsidR="0068777C" w:rsidRPr="00256982" w:rsidRDefault="0068777C" w:rsidP="0068777C">
            <w:pPr>
              <w:pStyle w:val="TableText"/>
              <w:keepNext/>
              <w:spacing w:before="50" w:after="50"/>
            </w:pPr>
            <w:r w:rsidRPr="00256982">
              <w:t>IPCC Tier 2 net energy-based value</w:t>
            </w:r>
          </w:p>
        </w:tc>
        <w:tc>
          <w:tcPr>
            <w:tcW w:w="1701" w:type="dxa"/>
            <w:shd w:val="clear" w:color="auto" w:fill="auto"/>
            <w:vAlign w:val="bottom"/>
          </w:tcPr>
          <w:p w14:paraId="43F71276" w14:textId="77777777" w:rsidR="0068777C" w:rsidRPr="00256982" w:rsidRDefault="0068777C" w:rsidP="0068777C">
            <w:pPr>
              <w:pStyle w:val="TableText"/>
              <w:tabs>
                <w:tab w:val="decimal" w:pos="630"/>
              </w:tabs>
              <w:spacing w:before="50" w:after="50"/>
              <w:ind w:right="397"/>
              <w:jc w:val="center"/>
            </w:pPr>
            <w:r w:rsidRPr="00256982">
              <w:t>5.97</w:t>
            </w:r>
          </w:p>
        </w:tc>
        <w:tc>
          <w:tcPr>
            <w:tcW w:w="1701" w:type="dxa"/>
            <w:shd w:val="clear" w:color="auto" w:fill="auto"/>
            <w:vAlign w:val="bottom"/>
          </w:tcPr>
          <w:p w14:paraId="788C1699" w14:textId="77777777" w:rsidR="0068777C" w:rsidRPr="00256982" w:rsidRDefault="0068777C" w:rsidP="0068777C">
            <w:pPr>
              <w:pStyle w:val="TableText"/>
              <w:spacing w:before="50" w:after="50"/>
              <w:jc w:val="center"/>
            </w:pPr>
            <w:r w:rsidRPr="00256982">
              <w:t>0.82</w:t>
            </w:r>
          </w:p>
        </w:tc>
        <w:tc>
          <w:tcPr>
            <w:tcW w:w="1701" w:type="dxa"/>
            <w:shd w:val="clear" w:color="auto" w:fill="auto"/>
            <w:vAlign w:val="bottom"/>
          </w:tcPr>
          <w:p w14:paraId="314BF4B4" w14:textId="77777777" w:rsidR="0068777C" w:rsidRPr="00256982" w:rsidRDefault="0068777C" w:rsidP="0068777C">
            <w:pPr>
              <w:pStyle w:val="TableText"/>
              <w:spacing w:before="50" w:after="50"/>
              <w:jc w:val="center"/>
            </w:pPr>
            <w:r w:rsidRPr="00256982">
              <w:t>0.18</w:t>
            </w:r>
          </w:p>
        </w:tc>
      </w:tr>
      <w:tr w:rsidR="0068777C" w:rsidRPr="00256982" w14:paraId="42E06E0D" w14:textId="77777777" w:rsidTr="00B06638">
        <w:trPr>
          <w:trHeight w:val="254"/>
        </w:trPr>
        <w:tc>
          <w:tcPr>
            <w:tcW w:w="3402" w:type="dxa"/>
          </w:tcPr>
          <w:p w14:paraId="323C0B6C" w14:textId="77777777" w:rsidR="0068777C" w:rsidRPr="00256982" w:rsidRDefault="0068777C" w:rsidP="0068777C">
            <w:pPr>
              <w:pStyle w:val="TableText"/>
              <w:spacing w:before="50" w:after="50"/>
            </w:pPr>
            <w:r w:rsidRPr="00256982">
              <w:t>Australian-specific IEF 2016 value</w:t>
            </w:r>
            <w:r w:rsidRPr="00256982">
              <w:rPr>
                <w:rStyle w:val="FootnoteReference"/>
              </w:rPr>
              <w:footnoteReference w:id="50"/>
            </w:r>
          </w:p>
        </w:tc>
        <w:tc>
          <w:tcPr>
            <w:tcW w:w="1701" w:type="dxa"/>
            <w:vAlign w:val="bottom"/>
          </w:tcPr>
          <w:p w14:paraId="448EFA70" w14:textId="77777777" w:rsidR="0068777C" w:rsidRPr="00256982" w:rsidRDefault="0068777C" w:rsidP="0068777C">
            <w:pPr>
              <w:pStyle w:val="TableText"/>
              <w:tabs>
                <w:tab w:val="decimal" w:pos="630"/>
              </w:tabs>
              <w:spacing w:before="50" w:after="50"/>
              <w:ind w:right="397"/>
              <w:jc w:val="center"/>
            </w:pPr>
            <w:r w:rsidRPr="00256982">
              <w:t>14.94</w:t>
            </w:r>
          </w:p>
        </w:tc>
        <w:tc>
          <w:tcPr>
            <w:tcW w:w="1701" w:type="dxa"/>
            <w:vAlign w:val="bottom"/>
          </w:tcPr>
          <w:p w14:paraId="3C2A6A1D" w14:textId="77777777" w:rsidR="0068777C" w:rsidRPr="00256982" w:rsidRDefault="0068777C" w:rsidP="00B06638">
            <w:pPr>
              <w:pStyle w:val="TableText"/>
              <w:spacing w:before="50" w:after="0"/>
              <w:jc w:val="center"/>
            </w:pPr>
            <w:r w:rsidRPr="00256982">
              <w:t>0.02 (pasture)</w:t>
            </w:r>
          </w:p>
          <w:p w14:paraId="4235A2B1" w14:textId="77777777" w:rsidR="0068777C" w:rsidRPr="00256982" w:rsidRDefault="0068777C" w:rsidP="0068777C">
            <w:pPr>
              <w:pStyle w:val="TableText"/>
              <w:spacing w:before="50" w:after="50"/>
              <w:jc w:val="center"/>
            </w:pPr>
            <w:r w:rsidRPr="00256982">
              <w:t>3.48 (feedlot)</w:t>
            </w:r>
          </w:p>
        </w:tc>
        <w:tc>
          <w:tcPr>
            <w:tcW w:w="1701" w:type="dxa"/>
            <w:vAlign w:val="bottom"/>
          </w:tcPr>
          <w:p w14:paraId="1EAF3712" w14:textId="77777777" w:rsidR="0068777C" w:rsidRPr="00256982" w:rsidRDefault="0068777C" w:rsidP="0068777C">
            <w:pPr>
              <w:pStyle w:val="TableText"/>
              <w:spacing w:before="50" w:after="50"/>
              <w:jc w:val="center"/>
            </w:pPr>
            <w:r w:rsidRPr="00256982">
              <w:t>0.002</w:t>
            </w:r>
          </w:p>
        </w:tc>
      </w:tr>
      <w:tr w:rsidR="0068777C" w:rsidRPr="00256982" w14:paraId="388E2F6E" w14:textId="77777777" w:rsidTr="0068777C">
        <w:trPr>
          <w:trHeight w:val="254"/>
        </w:trPr>
        <w:tc>
          <w:tcPr>
            <w:tcW w:w="3402" w:type="dxa"/>
          </w:tcPr>
          <w:p w14:paraId="36EAD1A0" w14:textId="77777777" w:rsidR="0068777C" w:rsidRPr="00256982" w:rsidRDefault="0068777C" w:rsidP="0068777C">
            <w:pPr>
              <w:pStyle w:val="TableText"/>
              <w:spacing w:before="50" w:after="50"/>
            </w:pPr>
            <w:r w:rsidRPr="00256982">
              <w:t>New Zealand-specific IEF 2017 value</w:t>
            </w:r>
          </w:p>
        </w:tc>
        <w:tc>
          <w:tcPr>
            <w:tcW w:w="1701" w:type="dxa"/>
          </w:tcPr>
          <w:p w14:paraId="6978A5FD" w14:textId="77777777" w:rsidR="0068777C" w:rsidRPr="00256982" w:rsidRDefault="0068777C" w:rsidP="0068777C">
            <w:pPr>
              <w:pStyle w:val="TableText"/>
              <w:tabs>
                <w:tab w:val="decimal" w:pos="630"/>
              </w:tabs>
              <w:spacing w:before="50" w:after="50"/>
              <w:ind w:right="397"/>
              <w:jc w:val="center"/>
            </w:pPr>
            <w:r w:rsidRPr="00256982">
              <w:t>7.70</w:t>
            </w:r>
          </w:p>
        </w:tc>
        <w:tc>
          <w:tcPr>
            <w:tcW w:w="1701" w:type="dxa"/>
          </w:tcPr>
          <w:p w14:paraId="5484C3F5" w14:textId="77777777" w:rsidR="0068777C" w:rsidRPr="00256982" w:rsidRDefault="0068777C" w:rsidP="0068777C">
            <w:pPr>
              <w:pStyle w:val="TableText"/>
              <w:spacing w:before="50" w:after="50"/>
              <w:jc w:val="center"/>
            </w:pPr>
            <w:r w:rsidRPr="00256982">
              <w:t>0.79</w:t>
            </w:r>
          </w:p>
        </w:tc>
        <w:tc>
          <w:tcPr>
            <w:tcW w:w="1701" w:type="dxa"/>
          </w:tcPr>
          <w:p w14:paraId="045E812C" w14:textId="77777777" w:rsidR="0068777C" w:rsidRPr="00256982" w:rsidRDefault="0068777C" w:rsidP="0068777C">
            <w:pPr>
              <w:pStyle w:val="TableText"/>
              <w:spacing w:before="50" w:after="50"/>
              <w:jc w:val="center"/>
            </w:pPr>
            <w:r w:rsidRPr="00256982">
              <w:t>0.12</w:t>
            </w:r>
          </w:p>
        </w:tc>
      </w:tr>
    </w:tbl>
    <w:p w14:paraId="41BE5C83" w14:textId="77777777" w:rsidR="0068777C" w:rsidRPr="00256982" w:rsidRDefault="0068777C" w:rsidP="00197F74">
      <w:pPr>
        <w:pStyle w:val="Heading3"/>
      </w:pPr>
      <w:bookmarkStart w:id="652" w:name="_Toc139253928"/>
      <w:r w:rsidRPr="00256982">
        <w:t>5.3.5</w:t>
      </w:r>
      <w:r w:rsidRPr="00256982">
        <w:tab/>
        <w:t>Source-specific recalculations</w:t>
      </w:r>
      <w:bookmarkEnd w:id="652"/>
    </w:p>
    <w:p w14:paraId="3EEFE75B" w14:textId="77777777" w:rsidR="0068777C" w:rsidRPr="00256982" w:rsidRDefault="0068777C" w:rsidP="004D0E3A">
      <w:pPr>
        <w:pStyle w:val="BodyText"/>
        <w:spacing w:after="100"/>
      </w:pPr>
      <w:bookmarkStart w:id="653" w:name="_Toc134847206"/>
      <w:bookmarkStart w:id="654" w:name="_Toc69611741"/>
      <w:bookmarkStart w:id="655" w:name="_Toc69612697"/>
      <w:bookmarkStart w:id="656" w:name="_Toc69612896"/>
      <w:bookmarkStart w:id="657" w:name="_Toc69613156"/>
      <w:bookmarkStart w:id="658" w:name="_Toc69633320"/>
      <w:bookmarkStart w:id="659" w:name="_Toc69717485"/>
      <w:bookmarkStart w:id="660" w:name="_Toc69802967"/>
      <w:bookmarkStart w:id="661" w:name="_Toc69815104"/>
      <w:bookmarkStart w:id="662" w:name="_Toc70492397"/>
      <w:bookmarkStart w:id="663" w:name="_Toc101310604"/>
      <w:bookmarkStart w:id="664" w:name="_Toc101318464"/>
      <w:bookmarkStart w:id="665" w:name="_Toc101318569"/>
      <w:bookmarkStart w:id="666" w:name="_Toc101318753"/>
      <w:bookmarkStart w:id="667" w:name="_Toc101334029"/>
      <w:r w:rsidRPr="00256982">
        <w:t xml:space="preserve">The following methodological improvements and corrections will have implications for emissions estimates in the </w:t>
      </w:r>
      <w:r w:rsidRPr="00256982">
        <w:rPr>
          <w:i/>
          <w:iCs/>
        </w:rPr>
        <w:t>Manure management</w:t>
      </w:r>
      <w:r w:rsidRPr="00256982">
        <w:t xml:space="preserve"> category:</w:t>
      </w:r>
    </w:p>
    <w:p w14:paraId="148B58C4" w14:textId="77777777" w:rsidR="0068777C" w:rsidRPr="00256982" w:rsidRDefault="0068777C" w:rsidP="0036046B">
      <w:pPr>
        <w:pStyle w:val="Bullet"/>
        <w:numPr>
          <w:ilvl w:val="0"/>
          <w:numId w:val="8"/>
        </w:numPr>
        <w:spacing w:after="100"/>
      </w:pPr>
      <w:r w:rsidRPr="00256982">
        <w:t>an update to the activity data on the use of different types of dairy effluent infrastructure, used to estimate the proportion of dairy excreta entering anaerobic lagoons (see the section below for more information)</w:t>
      </w:r>
    </w:p>
    <w:p w14:paraId="40D90E5A" w14:textId="77777777" w:rsidR="0068777C" w:rsidRPr="00256982" w:rsidRDefault="0068777C" w:rsidP="0036046B">
      <w:pPr>
        <w:pStyle w:val="Bullet"/>
        <w:numPr>
          <w:ilvl w:val="0"/>
          <w:numId w:val="8"/>
        </w:numPr>
        <w:spacing w:after="100"/>
        <w:rPr>
          <w:spacing w:val="-2"/>
        </w:rPr>
      </w:pPr>
      <w:r w:rsidRPr="00256982">
        <w:rPr>
          <w:spacing w:val="-2"/>
        </w:rPr>
        <w:t xml:space="preserve">a correction to the equations used to estimate ME requirements for </w:t>
      </w:r>
      <w:r w:rsidRPr="00256982">
        <w:t xml:space="preserve">dairy cattle, non-dairy cattle, sheep and deer </w:t>
      </w:r>
      <w:r w:rsidRPr="00256982">
        <w:rPr>
          <w:spacing w:val="-2"/>
        </w:rPr>
        <w:t>(see section 10.1.3)</w:t>
      </w:r>
    </w:p>
    <w:p w14:paraId="6208608B" w14:textId="77777777" w:rsidR="0068777C" w:rsidRPr="00256982" w:rsidRDefault="0068777C" w:rsidP="0036046B">
      <w:pPr>
        <w:pStyle w:val="Bullet"/>
        <w:numPr>
          <w:ilvl w:val="0"/>
          <w:numId w:val="8"/>
        </w:numPr>
        <w:rPr>
          <w:spacing w:val="-2"/>
        </w:rPr>
      </w:pPr>
      <w:r w:rsidRPr="00256982">
        <w:t>minor corrections to the equations</w:t>
      </w:r>
      <w:r w:rsidRPr="00256982">
        <w:rPr>
          <w:spacing w:val="-2"/>
        </w:rPr>
        <w:t xml:space="preserve"> that estimate monthly population changes for sheep and deer (see section 10.1.3).</w:t>
      </w:r>
    </w:p>
    <w:p w14:paraId="766CAA21" w14:textId="77777777" w:rsidR="0068777C" w:rsidRPr="00256982" w:rsidRDefault="0068777C" w:rsidP="00AB6612">
      <w:pPr>
        <w:pStyle w:val="BodyText"/>
      </w:pPr>
      <w:r w:rsidRPr="00256982">
        <w:t xml:space="preserve">Emissions estimates have also been updated using the latest available activity data: Statistics New Zealand table builder and Infoshare database (Statistics New Zealand, 2018b) and LIC statistics (LIC and DairyNZ, 2018). </w:t>
      </w:r>
    </w:p>
    <w:p w14:paraId="41C7BAEF" w14:textId="77777777" w:rsidR="0068777C" w:rsidRPr="00256982" w:rsidRDefault="0068777C" w:rsidP="008113E1">
      <w:pPr>
        <w:pStyle w:val="Heading5"/>
      </w:pPr>
      <w:r w:rsidRPr="00256982">
        <w:t>Revised activity data on dairy effluent management</w:t>
      </w:r>
    </w:p>
    <w:p w14:paraId="265B41E9" w14:textId="77777777" w:rsidR="0068777C" w:rsidRPr="00256982" w:rsidRDefault="0068777C" w:rsidP="0068777C">
      <w:pPr>
        <w:pStyle w:val="BodyText"/>
      </w:pPr>
      <w:r w:rsidRPr="00256982">
        <w:t>In 2017, New Zealand reviewed activity data on the use of different types of dairy effluent infrastructure, updating the work by Ledgard and Brier (unpublished). This research, by Rollo et al., (unpublished), has resulted in updated activity data for the proportion of dairy excreta entering anaerobic lagoons and has been incorporated into the 2019 inventory submission.</w:t>
      </w:r>
    </w:p>
    <w:p w14:paraId="15FC4E61" w14:textId="77777777" w:rsidR="0068777C" w:rsidRPr="00256982" w:rsidRDefault="0068777C" w:rsidP="0068777C">
      <w:pPr>
        <w:pStyle w:val="BodyText"/>
      </w:pPr>
      <w:r w:rsidRPr="00256982">
        <w:lastRenderedPageBreak/>
        <w:t>In previous inventory submissions, the proportion of dairy excreta entering manure management systems was assumed to be 5 per cent for all years, this was based on a 2004 report (Ledgard and Brier, unpublished). This improvement updates the proportion of dairy excreta entering manure management systems for the years 1990 to 2017, based on the methodology outlined in the 2004 report (Rollo et al., unpublished). This improvement also causes a minor change to the N</w:t>
      </w:r>
      <w:r w:rsidRPr="00256982">
        <w:rPr>
          <w:vertAlign w:val="subscript"/>
        </w:rPr>
        <w:t>2</w:t>
      </w:r>
      <w:r w:rsidRPr="00256982">
        <w:t xml:space="preserve">O emissions from </w:t>
      </w:r>
      <w:r w:rsidRPr="00256982">
        <w:rPr>
          <w:i/>
        </w:rPr>
        <w:t>Agricultural Soils</w:t>
      </w:r>
      <w:r w:rsidRPr="00256982">
        <w:t xml:space="preserve">, due to a decrease in the proportion of dairy manure applied directly to pasture when a greater proportion of dairy manure enters anaerobic lagoons. Table 5.3.7 shows how the proportion of dairy excreta entering manure management systems changes, and the proportion of dairy excreta applied to pasture from 1990 to 2017. </w:t>
      </w:r>
    </w:p>
    <w:p w14:paraId="0B57A4B3" w14:textId="77777777" w:rsidR="0068777C" w:rsidRPr="00256982" w:rsidRDefault="0068777C" w:rsidP="0068777C">
      <w:pPr>
        <w:pStyle w:val="Table"/>
      </w:pPr>
      <w:bookmarkStart w:id="668" w:name="_Toc5269483"/>
      <w:r w:rsidRPr="00256982">
        <w:t>Table 5.3.7</w:t>
      </w:r>
      <w:r w:rsidRPr="00256982">
        <w:tab/>
        <w:t>Proportion of dairy excreta entering anaerobic lagoons and applied to pasture 1990 to 2017</w:t>
      </w:r>
      <w:bookmarkEnd w:id="668"/>
      <w:r w:rsidRPr="00256982">
        <w:t xml:space="preserve"> </w:t>
      </w:r>
    </w:p>
    <w:tbl>
      <w:tblPr>
        <w:tblW w:w="8505" w:type="dxa"/>
        <w:tblInd w:w="113" w:type="dxa"/>
        <w:tblLook w:val="0000" w:firstRow="0" w:lastRow="0" w:firstColumn="0" w:lastColumn="0" w:noHBand="0" w:noVBand="0"/>
      </w:tblPr>
      <w:tblGrid>
        <w:gridCol w:w="909"/>
        <w:gridCol w:w="1710"/>
        <w:gridCol w:w="1582"/>
        <w:gridCol w:w="330"/>
        <w:gridCol w:w="970"/>
        <w:gridCol w:w="1710"/>
        <w:gridCol w:w="1294"/>
      </w:tblGrid>
      <w:tr w:rsidR="0068777C" w:rsidRPr="00256982" w14:paraId="759EE0FD" w14:textId="77777777" w:rsidTr="008113E1">
        <w:trPr>
          <w:tblHeader/>
        </w:trPr>
        <w:tc>
          <w:tcPr>
            <w:tcW w:w="534" w:type="pct"/>
            <w:tcBorders>
              <w:top w:val="single" w:sz="4" w:space="0" w:color="365F91"/>
              <w:bottom w:val="single" w:sz="4" w:space="0" w:color="365F91"/>
            </w:tcBorders>
            <w:shd w:val="clear" w:color="auto" w:fill="365F91"/>
            <w:noWrap/>
            <w:vAlign w:val="bottom"/>
          </w:tcPr>
          <w:p w14:paraId="3C56291D" w14:textId="77777777" w:rsidR="0068777C" w:rsidRPr="00256982" w:rsidRDefault="0068777C" w:rsidP="0068777C">
            <w:pPr>
              <w:pStyle w:val="TableTextBold"/>
              <w:keepNext/>
              <w:rPr>
                <w:noProof w:val="0"/>
                <w:color w:val="FFFFFF"/>
              </w:rPr>
            </w:pPr>
            <w:r w:rsidRPr="00256982">
              <w:rPr>
                <w:noProof w:val="0"/>
                <w:color w:val="FFFFFF"/>
              </w:rPr>
              <w:t>Year</w:t>
            </w:r>
          </w:p>
        </w:tc>
        <w:tc>
          <w:tcPr>
            <w:tcW w:w="1005" w:type="pct"/>
            <w:tcBorders>
              <w:top w:val="single" w:sz="4" w:space="0" w:color="365F91"/>
              <w:bottom w:val="single" w:sz="4" w:space="0" w:color="365F91"/>
            </w:tcBorders>
            <w:shd w:val="clear" w:color="auto" w:fill="365F91"/>
            <w:noWrap/>
            <w:vAlign w:val="bottom"/>
          </w:tcPr>
          <w:p w14:paraId="50741F51" w14:textId="77777777" w:rsidR="0068777C" w:rsidRPr="00256982" w:rsidRDefault="0068777C" w:rsidP="008113E1">
            <w:pPr>
              <w:pStyle w:val="TableTextBold"/>
              <w:keepNext/>
              <w:jc w:val="center"/>
              <w:rPr>
                <w:noProof w:val="0"/>
                <w:color w:val="FFFFFF"/>
              </w:rPr>
            </w:pPr>
            <w:r w:rsidRPr="00256982">
              <w:rPr>
                <w:noProof w:val="0"/>
                <w:color w:val="FFFFFF"/>
              </w:rPr>
              <w:t>Anaerobic lagoons</w:t>
            </w:r>
            <w:r w:rsidRPr="00256982">
              <w:rPr>
                <w:noProof w:val="0"/>
                <w:color w:val="FFFFFF"/>
                <w:vertAlign w:val="subscript"/>
              </w:rPr>
              <w:t xml:space="preserve"> </w:t>
            </w:r>
            <w:r w:rsidRPr="00256982">
              <w:rPr>
                <w:noProof w:val="0"/>
                <w:color w:val="FFFFFF"/>
              </w:rPr>
              <w:br/>
              <w:t>(%)</w:t>
            </w:r>
          </w:p>
        </w:tc>
        <w:tc>
          <w:tcPr>
            <w:tcW w:w="930" w:type="pct"/>
            <w:tcBorders>
              <w:top w:val="single" w:sz="4" w:space="0" w:color="365F91"/>
              <w:bottom w:val="single" w:sz="4" w:space="0" w:color="365F91"/>
            </w:tcBorders>
            <w:shd w:val="clear" w:color="auto" w:fill="365F91"/>
            <w:noWrap/>
            <w:vAlign w:val="bottom"/>
          </w:tcPr>
          <w:p w14:paraId="11E241D7" w14:textId="77777777" w:rsidR="0068777C" w:rsidRPr="00256982" w:rsidRDefault="0068777C" w:rsidP="008113E1">
            <w:pPr>
              <w:pStyle w:val="TableTextBold"/>
              <w:keepNext/>
              <w:jc w:val="center"/>
              <w:rPr>
                <w:noProof w:val="0"/>
                <w:color w:val="FFFFFF"/>
              </w:rPr>
            </w:pPr>
            <w:r w:rsidRPr="00256982">
              <w:rPr>
                <w:noProof w:val="0"/>
                <w:color w:val="FFFFFF"/>
              </w:rPr>
              <w:t xml:space="preserve">Pasture </w:t>
            </w:r>
            <w:r w:rsidRPr="00256982">
              <w:rPr>
                <w:noProof w:val="0"/>
                <w:color w:val="FFFFFF"/>
              </w:rPr>
              <w:br/>
              <w:t>(%)</w:t>
            </w:r>
          </w:p>
        </w:tc>
        <w:tc>
          <w:tcPr>
            <w:tcW w:w="194" w:type="pct"/>
            <w:tcBorders>
              <w:top w:val="single" w:sz="4" w:space="0" w:color="365F91"/>
              <w:bottom w:val="single" w:sz="4" w:space="0" w:color="365F91"/>
            </w:tcBorders>
            <w:shd w:val="clear" w:color="auto" w:fill="365F91"/>
            <w:vAlign w:val="bottom"/>
          </w:tcPr>
          <w:p w14:paraId="30049FA9" w14:textId="77777777" w:rsidR="0068777C" w:rsidRPr="00256982" w:rsidRDefault="0068777C" w:rsidP="0068777C">
            <w:pPr>
              <w:pStyle w:val="TableTextBold"/>
              <w:keepNext/>
              <w:jc w:val="center"/>
              <w:rPr>
                <w:noProof w:val="0"/>
                <w:color w:val="FFFFFF"/>
              </w:rPr>
            </w:pPr>
          </w:p>
        </w:tc>
        <w:tc>
          <w:tcPr>
            <w:tcW w:w="570" w:type="pct"/>
            <w:tcBorders>
              <w:top w:val="single" w:sz="4" w:space="0" w:color="365F91"/>
              <w:bottom w:val="single" w:sz="4" w:space="0" w:color="365F91"/>
            </w:tcBorders>
            <w:shd w:val="clear" w:color="auto" w:fill="365F91"/>
            <w:noWrap/>
            <w:vAlign w:val="bottom"/>
          </w:tcPr>
          <w:p w14:paraId="3C6DE5F8" w14:textId="77777777" w:rsidR="0068777C" w:rsidRPr="00256982" w:rsidRDefault="0068777C" w:rsidP="008113E1">
            <w:pPr>
              <w:pStyle w:val="TableTextBold"/>
              <w:keepNext/>
              <w:jc w:val="center"/>
              <w:rPr>
                <w:noProof w:val="0"/>
                <w:color w:val="FFFFFF"/>
              </w:rPr>
            </w:pPr>
            <w:r w:rsidRPr="00256982">
              <w:rPr>
                <w:noProof w:val="0"/>
                <w:color w:val="FFFFFF"/>
              </w:rPr>
              <w:t>Year</w:t>
            </w:r>
          </w:p>
        </w:tc>
        <w:tc>
          <w:tcPr>
            <w:tcW w:w="1005" w:type="pct"/>
            <w:tcBorders>
              <w:top w:val="single" w:sz="4" w:space="0" w:color="365F91"/>
              <w:bottom w:val="single" w:sz="4" w:space="0" w:color="365F91"/>
            </w:tcBorders>
            <w:shd w:val="clear" w:color="auto" w:fill="365F91"/>
            <w:noWrap/>
            <w:vAlign w:val="bottom"/>
          </w:tcPr>
          <w:p w14:paraId="5F1C312F" w14:textId="77777777" w:rsidR="0068777C" w:rsidRPr="00256982" w:rsidRDefault="0068777C" w:rsidP="008113E1">
            <w:pPr>
              <w:pStyle w:val="TableTextBold"/>
              <w:keepNext/>
              <w:jc w:val="center"/>
              <w:rPr>
                <w:noProof w:val="0"/>
                <w:color w:val="FFFFFF"/>
              </w:rPr>
            </w:pPr>
            <w:r w:rsidRPr="00256982">
              <w:rPr>
                <w:noProof w:val="0"/>
                <w:color w:val="FFFFFF"/>
              </w:rPr>
              <w:t>Anaerobic lagoons</w:t>
            </w:r>
            <w:r w:rsidRPr="00256982">
              <w:rPr>
                <w:noProof w:val="0"/>
                <w:color w:val="FFFFFF"/>
                <w:vertAlign w:val="subscript"/>
              </w:rPr>
              <w:t xml:space="preserve"> </w:t>
            </w:r>
            <w:r w:rsidRPr="00256982">
              <w:rPr>
                <w:noProof w:val="0"/>
                <w:color w:val="FFFFFF"/>
              </w:rPr>
              <w:br/>
              <w:t>(%)</w:t>
            </w:r>
          </w:p>
        </w:tc>
        <w:tc>
          <w:tcPr>
            <w:tcW w:w="761" w:type="pct"/>
            <w:tcBorders>
              <w:top w:val="single" w:sz="4" w:space="0" w:color="365F91"/>
              <w:bottom w:val="single" w:sz="4" w:space="0" w:color="365F91"/>
            </w:tcBorders>
            <w:shd w:val="clear" w:color="auto" w:fill="365F91"/>
            <w:vAlign w:val="bottom"/>
          </w:tcPr>
          <w:p w14:paraId="5797CCF6" w14:textId="77777777" w:rsidR="0068777C" w:rsidRPr="00256982" w:rsidRDefault="0068777C" w:rsidP="0068777C">
            <w:pPr>
              <w:pStyle w:val="TableTextBold"/>
              <w:keepNext/>
              <w:jc w:val="center"/>
              <w:rPr>
                <w:noProof w:val="0"/>
                <w:color w:val="FFFFFF"/>
              </w:rPr>
            </w:pPr>
            <w:r w:rsidRPr="00256982">
              <w:rPr>
                <w:noProof w:val="0"/>
                <w:color w:val="FFFFFF"/>
              </w:rPr>
              <w:t xml:space="preserve">Pasture </w:t>
            </w:r>
            <w:r w:rsidRPr="00256982">
              <w:rPr>
                <w:noProof w:val="0"/>
                <w:color w:val="FFFFFF"/>
              </w:rPr>
              <w:br/>
              <w:t>(%)</w:t>
            </w:r>
          </w:p>
        </w:tc>
      </w:tr>
      <w:tr w:rsidR="0068777C" w:rsidRPr="00256982" w14:paraId="02E43EC7" w14:textId="77777777" w:rsidTr="0068777C">
        <w:tc>
          <w:tcPr>
            <w:tcW w:w="534" w:type="pct"/>
            <w:tcBorders>
              <w:top w:val="single" w:sz="4" w:space="0" w:color="365F91"/>
              <w:bottom w:val="single" w:sz="4" w:space="0" w:color="365F91"/>
            </w:tcBorders>
            <w:shd w:val="clear" w:color="auto" w:fill="auto"/>
            <w:noWrap/>
          </w:tcPr>
          <w:p w14:paraId="6B2A5221" w14:textId="77777777" w:rsidR="0068777C" w:rsidRPr="00256982" w:rsidRDefault="0068777C" w:rsidP="00AB6612">
            <w:pPr>
              <w:pStyle w:val="TableText"/>
              <w:spacing w:before="50" w:after="50"/>
            </w:pPr>
            <w:r w:rsidRPr="00256982">
              <w:t>1990</w:t>
            </w:r>
          </w:p>
        </w:tc>
        <w:tc>
          <w:tcPr>
            <w:tcW w:w="1005" w:type="pct"/>
            <w:tcBorders>
              <w:top w:val="single" w:sz="4" w:space="0" w:color="365F91"/>
              <w:bottom w:val="single" w:sz="4" w:space="0" w:color="365F91"/>
            </w:tcBorders>
            <w:shd w:val="clear" w:color="auto" w:fill="auto"/>
            <w:noWrap/>
          </w:tcPr>
          <w:p w14:paraId="519D9E85" w14:textId="77777777" w:rsidR="0068777C" w:rsidRPr="00256982" w:rsidRDefault="0068777C" w:rsidP="00AB6612">
            <w:pPr>
              <w:pStyle w:val="TableText"/>
              <w:spacing w:before="50" w:after="50"/>
              <w:jc w:val="center"/>
            </w:pPr>
            <w:r w:rsidRPr="00256982">
              <w:t>4.7</w:t>
            </w:r>
          </w:p>
        </w:tc>
        <w:tc>
          <w:tcPr>
            <w:tcW w:w="930" w:type="pct"/>
            <w:tcBorders>
              <w:top w:val="single" w:sz="4" w:space="0" w:color="365F91"/>
              <w:bottom w:val="single" w:sz="4" w:space="0" w:color="365F91"/>
              <w:right w:val="single" w:sz="4" w:space="0" w:color="365F91"/>
            </w:tcBorders>
            <w:shd w:val="clear" w:color="auto" w:fill="auto"/>
            <w:noWrap/>
          </w:tcPr>
          <w:p w14:paraId="26D728C3" w14:textId="77777777" w:rsidR="0068777C" w:rsidRPr="00256982" w:rsidRDefault="0068777C" w:rsidP="00AB6612">
            <w:pPr>
              <w:pStyle w:val="TableText"/>
              <w:spacing w:before="50" w:after="50"/>
              <w:jc w:val="center"/>
            </w:pPr>
            <w:r w:rsidRPr="00256982">
              <w:t>95.3</w:t>
            </w:r>
          </w:p>
        </w:tc>
        <w:tc>
          <w:tcPr>
            <w:tcW w:w="194" w:type="pct"/>
            <w:tcBorders>
              <w:top w:val="single" w:sz="4" w:space="0" w:color="365F91"/>
              <w:left w:val="single" w:sz="4" w:space="0" w:color="365F91"/>
              <w:right w:val="single" w:sz="4" w:space="0" w:color="365F91"/>
            </w:tcBorders>
            <w:shd w:val="clear" w:color="auto" w:fill="auto"/>
          </w:tcPr>
          <w:p w14:paraId="27438F84" w14:textId="77777777" w:rsidR="0068777C" w:rsidRPr="00256982" w:rsidRDefault="0068777C" w:rsidP="00AB6612">
            <w:pPr>
              <w:pStyle w:val="TableText"/>
              <w:spacing w:before="50" w:after="50"/>
            </w:pPr>
          </w:p>
        </w:tc>
        <w:tc>
          <w:tcPr>
            <w:tcW w:w="570" w:type="pct"/>
            <w:tcBorders>
              <w:top w:val="single" w:sz="4" w:space="0" w:color="365F91"/>
              <w:left w:val="single" w:sz="4" w:space="0" w:color="365F91"/>
              <w:bottom w:val="single" w:sz="4" w:space="0" w:color="365F91"/>
            </w:tcBorders>
            <w:shd w:val="clear" w:color="auto" w:fill="auto"/>
            <w:noWrap/>
          </w:tcPr>
          <w:p w14:paraId="65E58A26" w14:textId="77777777" w:rsidR="0068777C" w:rsidRPr="00256982" w:rsidRDefault="0068777C" w:rsidP="00AB6612">
            <w:pPr>
              <w:pStyle w:val="TableText"/>
              <w:spacing w:before="50" w:after="50"/>
              <w:jc w:val="center"/>
            </w:pPr>
            <w:r w:rsidRPr="00256982">
              <w:t>2004</w:t>
            </w:r>
          </w:p>
        </w:tc>
        <w:tc>
          <w:tcPr>
            <w:tcW w:w="1005" w:type="pct"/>
            <w:tcBorders>
              <w:top w:val="single" w:sz="4" w:space="0" w:color="365F91"/>
              <w:bottom w:val="single" w:sz="4" w:space="0" w:color="365F91"/>
            </w:tcBorders>
            <w:shd w:val="clear" w:color="auto" w:fill="auto"/>
            <w:noWrap/>
          </w:tcPr>
          <w:p w14:paraId="31F1D3C9" w14:textId="77777777" w:rsidR="0068777C" w:rsidRPr="00256982" w:rsidRDefault="0068777C" w:rsidP="00AB6612">
            <w:pPr>
              <w:pStyle w:val="TableText"/>
              <w:spacing w:before="50" w:after="50"/>
              <w:jc w:val="center"/>
            </w:pPr>
            <w:r w:rsidRPr="00256982">
              <w:t>4.8</w:t>
            </w:r>
          </w:p>
        </w:tc>
        <w:tc>
          <w:tcPr>
            <w:tcW w:w="761" w:type="pct"/>
            <w:tcBorders>
              <w:top w:val="single" w:sz="4" w:space="0" w:color="365F91"/>
              <w:bottom w:val="single" w:sz="4" w:space="0" w:color="365F91"/>
            </w:tcBorders>
            <w:shd w:val="clear" w:color="auto" w:fill="auto"/>
          </w:tcPr>
          <w:p w14:paraId="255682CA" w14:textId="77777777" w:rsidR="0068777C" w:rsidRPr="00256982" w:rsidRDefault="0068777C" w:rsidP="00AB6612">
            <w:pPr>
              <w:pStyle w:val="TableText"/>
              <w:spacing w:before="50" w:after="50"/>
            </w:pPr>
            <w:r w:rsidRPr="00256982">
              <w:t>95.2</w:t>
            </w:r>
          </w:p>
        </w:tc>
      </w:tr>
      <w:tr w:rsidR="0068777C" w:rsidRPr="00256982" w14:paraId="490C8DFE" w14:textId="77777777" w:rsidTr="0068777C">
        <w:tc>
          <w:tcPr>
            <w:tcW w:w="534" w:type="pct"/>
            <w:tcBorders>
              <w:top w:val="single" w:sz="4" w:space="0" w:color="365F91"/>
              <w:bottom w:val="single" w:sz="4" w:space="0" w:color="365F91"/>
            </w:tcBorders>
            <w:shd w:val="clear" w:color="auto" w:fill="auto"/>
            <w:noWrap/>
          </w:tcPr>
          <w:p w14:paraId="0948FF09" w14:textId="77777777" w:rsidR="0068777C" w:rsidRPr="00256982" w:rsidRDefault="0068777C" w:rsidP="00AB6612">
            <w:pPr>
              <w:pStyle w:val="TableText"/>
              <w:spacing w:before="50" w:after="50"/>
            </w:pPr>
            <w:r w:rsidRPr="00256982">
              <w:t>1991</w:t>
            </w:r>
          </w:p>
        </w:tc>
        <w:tc>
          <w:tcPr>
            <w:tcW w:w="1005" w:type="pct"/>
            <w:tcBorders>
              <w:top w:val="single" w:sz="4" w:space="0" w:color="365F91"/>
              <w:bottom w:val="single" w:sz="4" w:space="0" w:color="365F91"/>
            </w:tcBorders>
            <w:shd w:val="clear" w:color="auto" w:fill="auto"/>
            <w:noWrap/>
          </w:tcPr>
          <w:p w14:paraId="506CAC3A" w14:textId="77777777" w:rsidR="0068777C" w:rsidRPr="00256982" w:rsidRDefault="0068777C" w:rsidP="00AB6612">
            <w:pPr>
              <w:pStyle w:val="TableText"/>
              <w:spacing w:before="50" w:after="50"/>
              <w:jc w:val="center"/>
            </w:pPr>
            <w:r w:rsidRPr="00256982">
              <w:t>4.7</w:t>
            </w:r>
          </w:p>
        </w:tc>
        <w:tc>
          <w:tcPr>
            <w:tcW w:w="930" w:type="pct"/>
            <w:tcBorders>
              <w:top w:val="single" w:sz="4" w:space="0" w:color="365F91"/>
              <w:bottom w:val="single" w:sz="4" w:space="0" w:color="365F91"/>
              <w:right w:val="single" w:sz="4" w:space="0" w:color="365F91"/>
            </w:tcBorders>
            <w:shd w:val="clear" w:color="auto" w:fill="auto"/>
            <w:noWrap/>
          </w:tcPr>
          <w:p w14:paraId="74180121" w14:textId="77777777" w:rsidR="0068777C" w:rsidRPr="00256982" w:rsidRDefault="0068777C" w:rsidP="00AB6612">
            <w:pPr>
              <w:pStyle w:val="TableText"/>
              <w:spacing w:before="50" w:after="50"/>
              <w:jc w:val="center"/>
            </w:pPr>
            <w:r w:rsidRPr="00256982">
              <w:t>95.3</w:t>
            </w:r>
          </w:p>
        </w:tc>
        <w:tc>
          <w:tcPr>
            <w:tcW w:w="194" w:type="pct"/>
            <w:tcBorders>
              <w:left w:val="single" w:sz="4" w:space="0" w:color="365F91"/>
              <w:right w:val="single" w:sz="4" w:space="0" w:color="365F91"/>
            </w:tcBorders>
            <w:shd w:val="clear" w:color="auto" w:fill="auto"/>
          </w:tcPr>
          <w:p w14:paraId="57F03843" w14:textId="77777777" w:rsidR="0068777C" w:rsidRPr="00256982" w:rsidRDefault="0068777C" w:rsidP="00AB6612">
            <w:pPr>
              <w:pStyle w:val="TableText"/>
              <w:spacing w:before="50" w:after="50"/>
            </w:pPr>
          </w:p>
        </w:tc>
        <w:tc>
          <w:tcPr>
            <w:tcW w:w="570" w:type="pct"/>
            <w:tcBorders>
              <w:top w:val="single" w:sz="4" w:space="0" w:color="365F91"/>
              <w:left w:val="single" w:sz="4" w:space="0" w:color="365F91"/>
              <w:bottom w:val="single" w:sz="4" w:space="0" w:color="365F91"/>
            </w:tcBorders>
            <w:shd w:val="clear" w:color="auto" w:fill="auto"/>
            <w:noWrap/>
          </w:tcPr>
          <w:p w14:paraId="35AB441F" w14:textId="77777777" w:rsidR="0068777C" w:rsidRPr="00256982" w:rsidRDefault="0068777C" w:rsidP="00AB6612">
            <w:pPr>
              <w:pStyle w:val="TableText"/>
              <w:spacing w:before="50" w:after="50"/>
              <w:jc w:val="center"/>
            </w:pPr>
            <w:r w:rsidRPr="00256982">
              <w:t>2005</w:t>
            </w:r>
          </w:p>
        </w:tc>
        <w:tc>
          <w:tcPr>
            <w:tcW w:w="1005" w:type="pct"/>
            <w:tcBorders>
              <w:top w:val="single" w:sz="4" w:space="0" w:color="365F91"/>
              <w:bottom w:val="single" w:sz="4" w:space="0" w:color="365F91"/>
            </w:tcBorders>
            <w:shd w:val="clear" w:color="auto" w:fill="auto"/>
            <w:noWrap/>
          </w:tcPr>
          <w:p w14:paraId="066134AE" w14:textId="77777777" w:rsidR="0068777C" w:rsidRPr="00256982" w:rsidRDefault="0068777C" w:rsidP="00AB6612">
            <w:pPr>
              <w:pStyle w:val="TableText"/>
              <w:spacing w:before="50" w:after="50"/>
              <w:jc w:val="center"/>
            </w:pPr>
            <w:r w:rsidRPr="00256982">
              <w:t>5.2</w:t>
            </w:r>
          </w:p>
        </w:tc>
        <w:tc>
          <w:tcPr>
            <w:tcW w:w="761" w:type="pct"/>
            <w:tcBorders>
              <w:top w:val="single" w:sz="4" w:space="0" w:color="365F91"/>
              <w:bottom w:val="single" w:sz="4" w:space="0" w:color="365F91"/>
            </w:tcBorders>
            <w:shd w:val="clear" w:color="auto" w:fill="auto"/>
          </w:tcPr>
          <w:p w14:paraId="5A2E9B66" w14:textId="77777777" w:rsidR="0068777C" w:rsidRPr="00256982" w:rsidRDefault="0068777C" w:rsidP="00AB6612">
            <w:pPr>
              <w:pStyle w:val="TableText"/>
              <w:spacing w:before="50" w:after="50"/>
            </w:pPr>
            <w:r w:rsidRPr="00256982">
              <w:t>94.8</w:t>
            </w:r>
          </w:p>
        </w:tc>
      </w:tr>
      <w:tr w:rsidR="0068777C" w:rsidRPr="00256982" w14:paraId="58D7D21D" w14:textId="77777777" w:rsidTr="0068777C">
        <w:tc>
          <w:tcPr>
            <w:tcW w:w="534" w:type="pct"/>
            <w:tcBorders>
              <w:top w:val="single" w:sz="4" w:space="0" w:color="365F91"/>
              <w:bottom w:val="single" w:sz="4" w:space="0" w:color="365F91"/>
            </w:tcBorders>
            <w:shd w:val="clear" w:color="auto" w:fill="auto"/>
            <w:noWrap/>
          </w:tcPr>
          <w:p w14:paraId="01B01F5F" w14:textId="77777777" w:rsidR="0068777C" w:rsidRPr="00256982" w:rsidRDefault="0068777C" w:rsidP="00AB6612">
            <w:pPr>
              <w:pStyle w:val="TableText"/>
              <w:spacing w:before="50" w:after="50"/>
            </w:pPr>
            <w:r w:rsidRPr="00256982">
              <w:t>1992</w:t>
            </w:r>
          </w:p>
        </w:tc>
        <w:tc>
          <w:tcPr>
            <w:tcW w:w="1005" w:type="pct"/>
            <w:tcBorders>
              <w:top w:val="single" w:sz="4" w:space="0" w:color="365F91"/>
              <w:bottom w:val="single" w:sz="4" w:space="0" w:color="365F91"/>
            </w:tcBorders>
            <w:shd w:val="clear" w:color="auto" w:fill="auto"/>
            <w:noWrap/>
          </w:tcPr>
          <w:p w14:paraId="5CB027AC" w14:textId="77777777" w:rsidR="0068777C" w:rsidRPr="00256982" w:rsidRDefault="0068777C" w:rsidP="00AB6612">
            <w:pPr>
              <w:pStyle w:val="TableText"/>
              <w:spacing w:before="50" w:after="50"/>
              <w:jc w:val="center"/>
            </w:pPr>
            <w:r w:rsidRPr="00256982">
              <w:t>4.7</w:t>
            </w:r>
          </w:p>
        </w:tc>
        <w:tc>
          <w:tcPr>
            <w:tcW w:w="930" w:type="pct"/>
            <w:tcBorders>
              <w:top w:val="single" w:sz="4" w:space="0" w:color="365F91"/>
              <w:bottom w:val="single" w:sz="4" w:space="0" w:color="365F91"/>
              <w:right w:val="single" w:sz="4" w:space="0" w:color="365F91"/>
            </w:tcBorders>
            <w:shd w:val="clear" w:color="auto" w:fill="auto"/>
            <w:noWrap/>
          </w:tcPr>
          <w:p w14:paraId="6CEED91C" w14:textId="77777777" w:rsidR="0068777C" w:rsidRPr="00256982" w:rsidRDefault="0068777C" w:rsidP="00AB6612">
            <w:pPr>
              <w:pStyle w:val="TableText"/>
              <w:spacing w:before="50" w:after="50"/>
              <w:jc w:val="center"/>
            </w:pPr>
            <w:r w:rsidRPr="00256982">
              <w:t>95.3</w:t>
            </w:r>
          </w:p>
        </w:tc>
        <w:tc>
          <w:tcPr>
            <w:tcW w:w="194" w:type="pct"/>
            <w:tcBorders>
              <w:left w:val="single" w:sz="4" w:space="0" w:color="365F91"/>
              <w:right w:val="single" w:sz="4" w:space="0" w:color="365F91"/>
            </w:tcBorders>
            <w:shd w:val="clear" w:color="auto" w:fill="auto"/>
          </w:tcPr>
          <w:p w14:paraId="220C0009" w14:textId="77777777" w:rsidR="0068777C" w:rsidRPr="00256982" w:rsidRDefault="0068777C" w:rsidP="00AB6612">
            <w:pPr>
              <w:pStyle w:val="TableText"/>
              <w:spacing w:before="50" w:after="50"/>
            </w:pPr>
          </w:p>
        </w:tc>
        <w:tc>
          <w:tcPr>
            <w:tcW w:w="570" w:type="pct"/>
            <w:tcBorders>
              <w:top w:val="single" w:sz="4" w:space="0" w:color="365F91"/>
              <w:left w:val="single" w:sz="4" w:space="0" w:color="365F91"/>
              <w:bottom w:val="single" w:sz="4" w:space="0" w:color="365F91"/>
            </w:tcBorders>
            <w:shd w:val="clear" w:color="auto" w:fill="auto"/>
            <w:noWrap/>
          </w:tcPr>
          <w:p w14:paraId="416A0C4C" w14:textId="77777777" w:rsidR="0068777C" w:rsidRPr="00256982" w:rsidRDefault="0068777C" w:rsidP="00AB6612">
            <w:pPr>
              <w:pStyle w:val="TableText"/>
              <w:spacing w:before="50" w:after="50"/>
              <w:jc w:val="center"/>
            </w:pPr>
            <w:r w:rsidRPr="00256982">
              <w:t>2006</w:t>
            </w:r>
          </w:p>
        </w:tc>
        <w:tc>
          <w:tcPr>
            <w:tcW w:w="1005" w:type="pct"/>
            <w:tcBorders>
              <w:top w:val="single" w:sz="4" w:space="0" w:color="365F91"/>
              <w:bottom w:val="single" w:sz="4" w:space="0" w:color="365F91"/>
            </w:tcBorders>
            <w:shd w:val="clear" w:color="auto" w:fill="auto"/>
            <w:noWrap/>
          </w:tcPr>
          <w:p w14:paraId="1C668DD6" w14:textId="77777777" w:rsidR="0068777C" w:rsidRPr="00256982" w:rsidRDefault="0068777C" w:rsidP="00AB6612">
            <w:pPr>
              <w:pStyle w:val="TableText"/>
              <w:spacing w:before="50" w:after="50"/>
              <w:jc w:val="center"/>
            </w:pPr>
            <w:r w:rsidRPr="00256982">
              <w:t>5.1</w:t>
            </w:r>
          </w:p>
        </w:tc>
        <w:tc>
          <w:tcPr>
            <w:tcW w:w="761" w:type="pct"/>
            <w:tcBorders>
              <w:top w:val="single" w:sz="4" w:space="0" w:color="365F91"/>
              <w:bottom w:val="single" w:sz="4" w:space="0" w:color="365F91"/>
            </w:tcBorders>
            <w:shd w:val="clear" w:color="auto" w:fill="auto"/>
          </w:tcPr>
          <w:p w14:paraId="255C167F" w14:textId="77777777" w:rsidR="0068777C" w:rsidRPr="00256982" w:rsidRDefault="0068777C" w:rsidP="00AB6612">
            <w:pPr>
              <w:pStyle w:val="TableText"/>
              <w:spacing w:before="50" w:after="50"/>
            </w:pPr>
            <w:r w:rsidRPr="00256982">
              <w:t>94.9</w:t>
            </w:r>
          </w:p>
        </w:tc>
      </w:tr>
      <w:tr w:rsidR="0068777C" w:rsidRPr="00256982" w14:paraId="7B91800D" w14:textId="77777777" w:rsidTr="0068777C">
        <w:tc>
          <w:tcPr>
            <w:tcW w:w="534" w:type="pct"/>
            <w:tcBorders>
              <w:top w:val="single" w:sz="4" w:space="0" w:color="365F91"/>
              <w:bottom w:val="single" w:sz="4" w:space="0" w:color="365F91"/>
            </w:tcBorders>
            <w:shd w:val="clear" w:color="auto" w:fill="auto"/>
            <w:noWrap/>
          </w:tcPr>
          <w:p w14:paraId="6AA4836A" w14:textId="77777777" w:rsidR="0068777C" w:rsidRPr="00256982" w:rsidRDefault="0068777C" w:rsidP="00AB6612">
            <w:pPr>
              <w:pStyle w:val="TableText"/>
              <w:spacing w:before="50" w:after="50"/>
            </w:pPr>
            <w:r w:rsidRPr="00256982">
              <w:t>1993</w:t>
            </w:r>
          </w:p>
        </w:tc>
        <w:tc>
          <w:tcPr>
            <w:tcW w:w="1005" w:type="pct"/>
            <w:tcBorders>
              <w:top w:val="single" w:sz="4" w:space="0" w:color="365F91"/>
              <w:bottom w:val="single" w:sz="4" w:space="0" w:color="365F91"/>
            </w:tcBorders>
            <w:shd w:val="clear" w:color="auto" w:fill="auto"/>
            <w:noWrap/>
          </w:tcPr>
          <w:p w14:paraId="44527464" w14:textId="77777777" w:rsidR="0068777C" w:rsidRPr="00256982" w:rsidRDefault="0068777C" w:rsidP="00AB6612">
            <w:pPr>
              <w:pStyle w:val="TableText"/>
              <w:spacing w:before="50" w:after="50"/>
              <w:jc w:val="center"/>
            </w:pPr>
            <w:r w:rsidRPr="00256982">
              <w:t>4.7</w:t>
            </w:r>
          </w:p>
        </w:tc>
        <w:tc>
          <w:tcPr>
            <w:tcW w:w="930" w:type="pct"/>
            <w:tcBorders>
              <w:top w:val="single" w:sz="4" w:space="0" w:color="365F91"/>
              <w:bottom w:val="single" w:sz="4" w:space="0" w:color="365F91"/>
              <w:right w:val="single" w:sz="4" w:space="0" w:color="365F91"/>
            </w:tcBorders>
            <w:shd w:val="clear" w:color="auto" w:fill="auto"/>
            <w:noWrap/>
          </w:tcPr>
          <w:p w14:paraId="2A47F5F9" w14:textId="77777777" w:rsidR="0068777C" w:rsidRPr="00256982" w:rsidRDefault="0068777C" w:rsidP="00AB6612">
            <w:pPr>
              <w:pStyle w:val="TableText"/>
              <w:spacing w:before="50" w:after="50"/>
              <w:jc w:val="center"/>
            </w:pPr>
            <w:r w:rsidRPr="00256982">
              <w:t>95.3</w:t>
            </w:r>
          </w:p>
        </w:tc>
        <w:tc>
          <w:tcPr>
            <w:tcW w:w="194" w:type="pct"/>
            <w:tcBorders>
              <w:left w:val="single" w:sz="4" w:space="0" w:color="365F91"/>
              <w:right w:val="single" w:sz="4" w:space="0" w:color="365F91"/>
            </w:tcBorders>
            <w:shd w:val="clear" w:color="auto" w:fill="auto"/>
          </w:tcPr>
          <w:p w14:paraId="25B41C8A" w14:textId="77777777" w:rsidR="0068777C" w:rsidRPr="00256982" w:rsidRDefault="0068777C" w:rsidP="00AB6612">
            <w:pPr>
              <w:pStyle w:val="TableText"/>
              <w:spacing w:before="50" w:after="50"/>
            </w:pPr>
          </w:p>
        </w:tc>
        <w:tc>
          <w:tcPr>
            <w:tcW w:w="570" w:type="pct"/>
            <w:tcBorders>
              <w:top w:val="single" w:sz="4" w:space="0" w:color="365F91"/>
              <w:left w:val="single" w:sz="4" w:space="0" w:color="365F91"/>
              <w:bottom w:val="single" w:sz="4" w:space="0" w:color="365F91"/>
            </w:tcBorders>
            <w:shd w:val="clear" w:color="auto" w:fill="auto"/>
            <w:noWrap/>
          </w:tcPr>
          <w:p w14:paraId="09B78DC3" w14:textId="77777777" w:rsidR="0068777C" w:rsidRPr="00256982" w:rsidRDefault="0068777C" w:rsidP="00AB6612">
            <w:pPr>
              <w:pStyle w:val="TableText"/>
              <w:spacing w:before="50" w:after="50"/>
              <w:jc w:val="center"/>
            </w:pPr>
            <w:r w:rsidRPr="00256982">
              <w:t>2007</w:t>
            </w:r>
          </w:p>
        </w:tc>
        <w:tc>
          <w:tcPr>
            <w:tcW w:w="1005" w:type="pct"/>
            <w:tcBorders>
              <w:top w:val="single" w:sz="4" w:space="0" w:color="365F91"/>
              <w:bottom w:val="single" w:sz="4" w:space="0" w:color="365F91"/>
            </w:tcBorders>
            <w:shd w:val="clear" w:color="auto" w:fill="auto"/>
            <w:noWrap/>
          </w:tcPr>
          <w:p w14:paraId="61C62B15" w14:textId="77777777" w:rsidR="0068777C" w:rsidRPr="00256982" w:rsidRDefault="0068777C" w:rsidP="00AB6612">
            <w:pPr>
              <w:pStyle w:val="TableText"/>
              <w:spacing w:before="50" w:after="50"/>
              <w:jc w:val="center"/>
            </w:pPr>
            <w:r w:rsidRPr="00256982">
              <w:t>5.4</w:t>
            </w:r>
          </w:p>
        </w:tc>
        <w:tc>
          <w:tcPr>
            <w:tcW w:w="761" w:type="pct"/>
            <w:tcBorders>
              <w:top w:val="single" w:sz="4" w:space="0" w:color="365F91"/>
              <w:bottom w:val="single" w:sz="4" w:space="0" w:color="365F91"/>
            </w:tcBorders>
            <w:shd w:val="clear" w:color="auto" w:fill="auto"/>
          </w:tcPr>
          <w:p w14:paraId="0A6FBC25" w14:textId="77777777" w:rsidR="0068777C" w:rsidRPr="00256982" w:rsidRDefault="0068777C" w:rsidP="00AB6612">
            <w:pPr>
              <w:pStyle w:val="TableText"/>
              <w:spacing w:before="50" w:after="50"/>
            </w:pPr>
            <w:r w:rsidRPr="00256982">
              <w:t>94.6</w:t>
            </w:r>
          </w:p>
        </w:tc>
      </w:tr>
      <w:tr w:rsidR="0068777C" w:rsidRPr="00256982" w14:paraId="60F301AF" w14:textId="77777777" w:rsidTr="0068777C">
        <w:tc>
          <w:tcPr>
            <w:tcW w:w="534" w:type="pct"/>
            <w:tcBorders>
              <w:top w:val="single" w:sz="4" w:space="0" w:color="365F91"/>
              <w:bottom w:val="single" w:sz="4" w:space="0" w:color="365F91"/>
            </w:tcBorders>
            <w:shd w:val="clear" w:color="auto" w:fill="auto"/>
            <w:noWrap/>
          </w:tcPr>
          <w:p w14:paraId="17EA5DCC" w14:textId="77777777" w:rsidR="0068777C" w:rsidRPr="00256982" w:rsidRDefault="0068777C" w:rsidP="00AB6612">
            <w:pPr>
              <w:pStyle w:val="TableText"/>
              <w:spacing w:before="50" w:after="50"/>
            </w:pPr>
            <w:r w:rsidRPr="00256982">
              <w:t>1994</w:t>
            </w:r>
          </w:p>
        </w:tc>
        <w:tc>
          <w:tcPr>
            <w:tcW w:w="1005" w:type="pct"/>
            <w:tcBorders>
              <w:top w:val="single" w:sz="4" w:space="0" w:color="365F91"/>
              <w:bottom w:val="single" w:sz="4" w:space="0" w:color="365F91"/>
            </w:tcBorders>
            <w:shd w:val="clear" w:color="auto" w:fill="auto"/>
            <w:noWrap/>
          </w:tcPr>
          <w:p w14:paraId="151D2451" w14:textId="77777777" w:rsidR="0068777C" w:rsidRPr="00256982" w:rsidRDefault="0068777C" w:rsidP="00AB6612">
            <w:pPr>
              <w:pStyle w:val="TableText"/>
              <w:spacing w:before="50" w:after="50"/>
              <w:jc w:val="center"/>
            </w:pPr>
            <w:r w:rsidRPr="00256982">
              <w:t>4.8</w:t>
            </w:r>
          </w:p>
        </w:tc>
        <w:tc>
          <w:tcPr>
            <w:tcW w:w="930" w:type="pct"/>
            <w:tcBorders>
              <w:top w:val="single" w:sz="4" w:space="0" w:color="365F91"/>
              <w:bottom w:val="single" w:sz="4" w:space="0" w:color="365F91"/>
              <w:right w:val="single" w:sz="4" w:space="0" w:color="365F91"/>
            </w:tcBorders>
            <w:shd w:val="clear" w:color="auto" w:fill="auto"/>
            <w:noWrap/>
          </w:tcPr>
          <w:p w14:paraId="1A06FCAA" w14:textId="77777777" w:rsidR="0068777C" w:rsidRPr="00256982" w:rsidRDefault="0068777C" w:rsidP="00AB6612">
            <w:pPr>
              <w:pStyle w:val="TableText"/>
              <w:spacing w:before="50" w:after="50"/>
              <w:jc w:val="center"/>
            </w:pPr>
            <w:r w:rsidRPr="00256982">
              <w:t>95.2</w:t>
            </w:r>
          </w:p>
        </w:tc>
        <w:tc>
          <w:tcPr>
            <w:tcW w:w="194" w:type="pct"/>
            <w:tcBorders>
              <w:left w:val="single" w:sz="4" w:space="0" w:color="365F91"/>
              <w:right w:val="single" w:sz="4" w:space="0" w:color="365F91"/>
            </w:tcBorders>
            <w:shd w:val="clear" w:color="auto" w:fill="auto"/>
          </w:tcPr>
          <w:p w14:paraId="1917B2F1" w14:textId="77777777" w:rsidR="0068777C" w:rsidRPr="00256982" w:rsidRDefault="0068777C" w:rsidP="00AB6612">
            <w:pPr>
              <w:pStyle w:val="TableText"/>
              <w:spacing w:before="50" w:after="50"/>
            </w:pPr>
          </w:p>
        </w:tc>
        <w:tc>
          <w:tcPr>
            <w:tcW w:w="570" w:type="pct"/>
            <w:tcBorders>
              <w:top w:val="single" w:sz="4" w:space="0" w:color="365F91"/>
              <w:left w:val="single" w:sz="4" w:space="0" w:color="365F91"/>
              <w:bottom w:val="single" w:sz="4" w:space="0" w:color="365F91"/>
            </w:tcBorders>
            <w:shd w:val="clear" w:color="auto" w:fill="auto"/>
            <w:noWrap/>
          </w:tcPr>
          <w:p w14:paraId="3D388F55" w14:textId="77777777" w:rsidR="0068777C" w:rsidRPr="00256982" w:rsidRDefault="0068777C" w:rsidP="00AB6612">
            <w:pPr>
              <w:pStyle w:val="TableText"/>
              <w:spacing w:before="50" w:after="50"/>
              <w:jc w:val="center"/>
            </w:pPr>
            <w:r w:rsidRPr="00256982">
              <w:t>2008</w:t>
            </w:r>
          </w:p>
        </w:tc>
        <w:tc>
          <w:tcPr>
            <w:tcW w:w="1005" w:type="pct"/>
            <w:tcBorders>
              <w:top w:val="single" w:sz="4" w:space="0" w:color="365F91"/>
              <w:bottom w:val="single" w:sz="4" w:space="0" w:color="365F91"/>
            </w:tcBorders>
            <w:shd w:val="clear" w:color="auto" w:fill="auto"/>
            <w:noWrap/>
          </w:tcPr>
          <w:p w14:paraId="3DDF8A2B" w14:textId="77777777" w:rsidR="0068777C" w:rsidRPr="00256982" w:rsidRDefault="0068777C" w:rsidP="00AB6612">
            <w:pPr>
              <w:pStyle w:val="TableText"/>
              <w:spacing w:before="50" w:after="50"/>
              <w:jc w:val="center"/>
            </w:pPr>
            <w:r w:rsidRPr="00256982">
              <w:t>5.3</w:t>
            </w:r>
          </w:p>
        </w:tc>
        <w:tc>
          <w:tcPr>
            <w:tcW w:w="761" w:type="pct"/>
            <w:tcBorders>
              <w:top w:val="single" w:sz="4" w:space="0" w:color="365F91"/>
              <w:bottom w:val="single" w:sz="4" w:space="0" w:color="365F91"/>
            </w:tcBorders>
            <w:shd w:val="clear" w:color="auto" w:fill="auto"/>
          </w:tcPr>
          <w:p w14:paraId="43C468BD" w14:textId="77777777" w:rsidR="0068777C" w:rsidRPr="00256982" w:rsidRDefault="0068777C" w:rsidP="00AB6612">
            <w:pPr>
              <w:pStyle w:val="TableText"/>
              <w:spacing w:before="50" w:after="50"/>
            </w:pPr>
            <w:r w:rsidRPr="00256982">
              <w:t>94.7</w:t>
            </w:r>
          </w:p>
        </w:tc>
      </w:tr>
      <w:tr w:rsidR="0068777C" w:rsidRPr="00256982" w14:paraId="25836537" w14:textId="77777777" w:rsidTr="0068777C">
        <w:tc>
          <w:tcPr>
            <w:tcW w:w="534" w:type="pct"/>
            <w:tcBorders>
              <w:top w:val="single" w:sz="4" w:space="0" w:color="365F91"/>
              <w:bottom w:val="single" w:sz="4" w:space="0" w:color="365F91"/>
            </w:tcBorders>
            <w:shd w:val="clear" w:color="auto" w:fill="auto"/>
            <w:noWrap/>
          </w:tcPr>
          <w:p w14:paraId="65948D69" w14:textId="77777777" w:rsidR="0068777C" w:rsidRPr="00256982" w:rsidRDefault="0068777C" w:rsidP="00AB6612">
            <w:pPr>
              <w:pStyle w:val="TableText"/>
              <w:spacing w:before="50" w:after="50"/>
            </w:pPr>
            <w:r w:rsidRPr="00256982">
              <w:t>1995</w:t>
            </w:r>
          </w:p>
        </w:tc>
        <w:tc>
          <w:tcPr>
            <w:tcW w:w="1005" w:type="pct"/>
            <w:tcBorders>
              <w:top w:val="single" w:sz="4" w:space="0" w:color="365F91"/>
              <w:bottom w:val="single" w:sz="4" w:space="0" w:color="365F91"/>
            </w:tcBorders>
            <w:shd w:val="clear" w:color="auto" w:fill="auto"/>
            <w:noWrap/>
          </w:tcPr>
          <w:p w14:paraId="0F01D222" w14:textId="77777777" w:rsidR="0068777C" w:rsidRPr="00256982" w:rsidRDefault="0068777C" w:rsidP="00AB6612">
            <w:pPr>
              <w:pStyle w:val="TableText"/>
              <w:spacing w:before="50" w:after="50"/>
              <w:jc w:val="center"/>
            </w:pPr>
            <w:r w:rsidRPr="00256982">
              <w:t>4.6</w:t>
            </w:r>
          </w:p>
        </w:tc>
        <w:tc>
          <w:tcPr>
            <w:tcW w:w="930" w:type="pct"/>
            <w:tcBorders>
              <w:top w:val="single" w:sz="4" w:space="0" w:color="365F91"/>
              <w:bottom w:val="single" w:sz="4" w:space="0" w:color="365F91"/>
              <w:right w:val="single" w:sz="4" w:space="0" w:color="365F91"/>
            </w:tcBorders>
            <w:shd w:val="clear" w:color="auto" w:fill="auto"/>
            <w:noWrap/>
          </w:tcPr>
          <w:p w14:paraId="53E725C9" w14:textId="77777777" w:rsidR="0068777C" w:rsidRPr="00256982" w:rsidRDefault="0068777C" w:rsidP="00AB6612">
            <w:pPr>
              <w:pStyle w:val="TableText"/>
              <w:spacing w:before="50" w:after="50"/>
              <w:jc w:val="center"/>
            </w:pPr>
            <w:r w:rsidRPr="00256982">
              <w:t>95.4</w:t>
            </w:r>
          </w:p>
        </w:tc>
        <w:tc>
          <w:tcPr>
            <w:tcW w:w="194" w:type="pct"/>
            <w:tcBorders>
              <w:left w:val="single" w:sz="4" w:space="0" w:color="365F91"/>
              <w:right w:val="single" w:sz="4" w:space="0" w:color="365F91"/>
            </w:tcBorders>
            <w:shd w:val="clear" w:color="auto" w:fill="auto"/>
          </w:tcPr>
          <w:p w14:paraId="65A17C24" w14:textId="77777777" w:rsidR="0068777C" w:rsidRPr="00256982" w:rsidRDefault="0068777C" w:rsidP="00AB6612">
            <w:pPr>
              <w:pStyle w:val="TableText"/>
              <w:spacing w:before="50" w:after="50"/>
            </w:pPr>
          </w:p>
        </w:tc>
        <w:tc>
          <w:tcPr>
            <w:tcW w:w="570" w:type="pct"/>
            <w:tcBorders>
              <w:top w:val="single" w:sz="4" w:space="0" w:color="365F91"/>
              <w:left w:val="single" w:sz="4" w:space="0" w:color="365F91"/>
              <w:bottom w:val="single" w:sz="4" w:space="0" w:color="365F91"/>
            </w:tcBorders>
            <w:shd w:val="clear" w:color="auto" w:fill="auto"/>
            <w:noWrap/>
          </w:tcPr>
          <w:p w14:paraId="7F244F09" w14:textId="77777777" w:rsidR="0068777C" w:rsidRPr="00256982" w:rsidRDefault="0068777C" w:rsidP="00AB6612">
            <w:pPr>
              <w:pStyle w:val="TableText"/>
              <w:spacing w:before="50" w:after="50"/>
              <w:jc w:val="center"/>
            </w:pPr>
            <w:r w:rsidRPr="00256982">
              <w:t>2009</w:t>
            </w:r>
          </w:p>
        </w:tc>
        <w:tc>
          <w:tcPr>
            <w:tcW w:w="1005" w:type="pct"/>
            <w:tcBorders>
              <w:top w:val="single" w:sz="4" w:space="0" w:color="365F91"/>
              <w:bottom w:val="single" w:sz="4" w:space="0" w:color="365F91"/>
            </w:tcBorders>
            <w:shd w:val="clear" w:color="auto" w:fill="auto"/>
            <w:noWrap/>
          </w:tcPr>
          <w:p w14:paraId="2EF903EE" w14:textId="77777777" w:rsidR="0068777C" w:rsidRPr="00256982" w:rsidRDefault="0068777C" w:rsidP="00AB6612">
            <w:pPr>
              <w:pStyle w:val="TableText"/>
              <w:spacing w:before="50" w:after="50"/>
              <w:jc w:val="center"/>
            </w:pPr>
            <w:r w:rsidRPr="00256982">
              <w:t>5.5</w:t>
            </w:r>
          </w:p>
        </w:tc>
        <w:tc>
          <w:tcPr>
            <w:tcW w:w="761" w:type="pct"/>
            <w:tcBorders>
              <w:top w:val="single" w:sz="4" w:space="0" w:color="365F91"/>
              <w:bottom w:val="single" w:sz="4" w:space="0" w:color="365F91"/>
            </w:tcBorders>
            <w:shd w:val="clear" w:color="auto" w:fill="auto"/>
          </w:tcPr>
          <w:p w14:paraId="22189E73" w14:textId="77777777" w:rsidR="0068777C" w:rsidRPr="00256982" w:rsidRDefault="0068777C" w:rsidP="00AB6612">
            <w:pPr>
              <w:pStyle w:val="TableText"/>
              <w:spacing w:before="50" w:after="50"/>
            </w:pPr>
            <w:r w:rsidRPr="00256982">
              <w:t>94.5</w:t>
            </w:r>
          </w:p>
        </w:tc>
      </w:tr>
      <w:tr w:rsidR="0068777C" w:rsidRPr="00256982" w14:paraId="0BBCD723" w14:textId="77777777" w:rsidTr="0068777C">
        <w:tc>
          <w:tcPr>
            <w:tcW w:w="534" w:type="pct"/>
            <w:tcBorders>
              <w:top w:val="single" w:sz="4" w:space="0" w:color="365F91"/>
              <w:bottom w:val="single" w:sz="4" w:space="0" w:color="365F91"/>
            </w:tcBorders>
            <w:shd w:val="clear" w:color="auto" w:fill="auto"/>
            <w:noWrap/>
          </w:tcPr>
          <w:p w14:paraId="3CCEB4BD" w14:textId="77777777" w:rsidR="0068777C" w:rsidRPr="00256982" w:rsidRDefault="0068777C" w:rsidP="00AB6612">
            <w:pPr>
              <w:pStyle w:val="TableText"/>
              <w:spacing w:before="50" w:after="50"/>
            </w:pPr>
            <w:r w:rsidRPr="00256982">
              <w:t>1996</w:t>
            </w:r>
          </w:p>
        </w:tc>
        <w:tc>
          <w:tcPr>
            <w:tcW w:w="1005" w:type="pct"/>
            <w:tcBorders>
              <w:top w:val="single" w:sz="4" w:space="0" w:color="365F91"/>
              <w:bottom w:val="single" w:sz="4" w:space="0" w:color="365F91"/>
            </w:tcBorders>
            <w:shd w:val="clear" w:color="auto" w:fill="auto"/>
            <w:noWrap/>
          </w:tcPr>
          <w:p w14:paraId="60F8949E" w14:textId="77777777" w:rsidR="0068777C" w:rsidRPr="00256982" w:rsidRDefault="0068777C" w:rsidP="00AB6612">
            <w:pPr>
              <w:pStyle w:val="TableText"/>
              <w:spacing w:before="50" w:after="50"/>
              <w:jc w:val="center"/>
            </w:pPr>
            <w:r w:rsidRPr="00256982">
              <w:t>4.7</w:t>
            </w:r>
          </w:p>
        </w:tc>
        <w:tc>
          <w:tcPr>
            <w:tcW w:w="930" w:type="pct"/>
            <w:tcBorders>
              <w:top w:val="single" w:sz="4" w:space="0" w:color="365F91"/>
              <w:bottom w:val="single" w:sz="4" w:space="0" w:color="365F91"/>
              <w:right w:val="single" w:sz="4" w:space="0" w:color="365F91"/>
            </w:tcBorders>
            <w:shd w:val="clear" w:color="auto" w:fill="auto"/>
            <w:noWrap/>
          </w:tcPr>
          <w:p w14:paraId="3B6A690F" w14:textId="77777777" w:rsidR="0068777C" w:rsidRPr="00256982" w:rsidRDefault="0068777C" w:rsidP="00AB6612">
            <w:pPr>
              <w:pStyle w:val="TableText"/>
              <w:spacing w:before="50" w:after="50"/>
              <w:jc w:val="center"/>
            </w:pPr>
            <w:r w:rsidRPr="00256982">
              <w:t>95.3</w:t>
            </w:r>
          </w:p>
        </w:tc>
        <w:tc>
          <w:tcPr>
            <w:tcW w:w="194" w:type="pct"/>
            <w:tcBorders>
              <w:left w:val="single" w:sz="4" w:space="0" w:color="365F91"/>
              <w:right w:val="single" w:sz="4" w:space="0" w:color="365F91"/>
            </w:tcBorders>
            <w:shd w:val="clear" w:color="auto" w:fill="auto"/>
          </w:tcPr>
          <w:p w14:paraId="7C4D415B" w14:textId="77777777" w:rsidR="0068777C" w:rsidRPr="00256982" w:rsidRDefault="0068777C" w:rsidP="00AB6612">
            <w:pPr>
              <w:pStyle w:val="TableText"/>
              <w:spacing w:before="50" w:after="50"/>
            </w:pPr>
          </w:p>
        </w:tc>
        <w:tc>
          <w:tcPr>
            <w:tcW w:w="570" w:type="pct"/>
            <w:tcBorders>
              <w:top w:val="single" w:sz="4" w:space="0" w:color="365F91"/>
              <w:left w:val="single" w:sz="4" w:space="0" w:color="365F91"/>
              <w:bottom w:val="single" w:sz="4" w:space="0" w:color="365F91"/>
            </w:tcBorders>
            <w:shd w:val="clear" w:color="auto" w:fill="auto"/>
            <w:noWrap/>
          </w:tcPr>
          <w:p w14:paraId="3AD14941" w14:textId="77777777" w:rsidR="0068777C" w:rsidRPr="00256982" w:rsidRDefault="0068777C" w:rsidP="00AB6612">
            <w:pPr>
              <w:pStyle w:val="TableText"/>
              <w:spacing w:before="50" w:after="50"/>
              <w:jc w:val="center"/>
            </w:pPr>
            <w:r w:rsidRPr="00256982">
              <w:t>2010</w:t>
            </w:r>
          </w:p>
        </w:tc>
        <w:tc>
          <w:tcPr>
            <w:tcW w:w="1005" w:type="pct"/>
            <w:tcBorders>
              <w:top w:val="single" w:sz="4" w:space="0" w:color="365F91"/>
              <w:bottom w:val="single" w:sz="4" w:space="0" w:color="365F91"/>
            </w:tcBorders>
            <w:shd w:val="clear" w:color="auto" w:fill="auto"/>
            <w:noWrap/>
          </w:tcPr>
          <w:p w14:paraId="09F40C92" w14:textId="77777777" w:rsidR="0068777C" w:rsidRPr="00256982" w:rsidRDefault="0068777C" w:rsidP="00AB6612">
            <w:pPr>
              <w:pStyle w:val="TableText"/>
              <w:spacing w:before="50" w:after="50"/>
              <w:jc w:val="center"/>
            </w:pPr>
            <w:r w:rsidRPr="00256982">
              <w:t>5.8</w:t>
            </w:r>
          </w:p>
        </w:tc>
        <w:tc>
          <w:tcPr>
            <w:tcW w:w="761" w:type="pct"/>
            <w:tcBorders>
              <w:top w:val="single" w:sz="4" w:space="0" w:color="365F91"/>
              <w:bottom w:val="single" w:sz="4" w:space="0" w:color="365F91"/>
            </w:tcBorders>
            <w:shd w:val="clear" w:color="auto" w:fill="auto"/>
          </w:tcPr>
          <w:p w14:paraId="7292FB3A" w14:textId="77777777" w:rsidR="0068777C" w:rsidRPr="00256982" w:rsidRDefault="0068777C" w:rsidP="00AB6612">
            <w:pPr>
              <w:pStyle w:val="TableText"/>
              <w:spacing w:before="50" w:after="50"/>
            </w:pPr>
            <w:r w:rsidRPr="00256982">
              <w:t>94.2</w:t>
            </w:r>
          </w:p>
        </w:tc>
      </w:tr>
      <w:tr w:rsidR="0068777C" w:rsidRPr="00256982" w14:paraId="4E2F0A09" w14:textId="77777777" w:rsidTr="0068777C">
        <w:tc>
          <w:tcPr>
            <w:tcW w:w="534" w:type="pct"/>
            <w:tcBorders>
              <w:top w:val="single" w:sz="4" w:space="0" w:color="365F91"/>
              <w:bottom w:val="single" w:sz="4" w:space="0" w:color="365F91"/>
            </w:tcBorders>
            <w:shd w:val="clear" w:color="auto" w:fill="auto"/>
            <w:noWrap/>
          </w:tcPr>
          <w:p w14:paraId="6695FEF4" w14:textId="77777777" w:rsidR="0068777C" w:rsidRPr="00256982" w:rsidRDefault="0068777C" w:rsidP="00AB6612">
            <w:pPr>
              <w:pStyle w:val="TableText"/>
              <w:spacing w:before="50" w:after="50"/>
            </w:pPr>
            <w:r w:rsidRPr="00256982">
              <w:t>1997</w:t>
            </w:r>
          </w:p>
        </w:tc>
        <w:tc>
          <w:tcPr>
            <w:tcW w:w="1005" w:type="pct"/>
            <w:tcBorders>
              <w:top w:val="single" w:sz="4" w:space="0" w:color="365F91"/>
              <w:bottom w:val="single" w:sz="4" w:space="0" w:color="365F91"/>
            </w:tcBorders>
            <w:shd w:val="clear" w:color="auto" w:fill="auto"/>
            <w:noWrap/>
          </w:tcPr>
          <w:p w14:paraId="2362BB0C" w14:textId="77777777" w:rsidR="0068777C" w:rsidRPr="00256982" w:rsidRDefault="0068777C" w:rsidP="00AB6612">
            <w:pPr>
              <w:pStyle w:val="TableText"/>
              <w:spacing w:before="50" w:after="50"/>
              <w:jc w:val="center"/>
            </w:pPr>
            <w:r w:rsidRPr="00256982">
              <w:t>4.7</w:t>
            </w:r>
          </w:p>
        </w:tc>
        <w:tc>
          <w:tcPr>
            <w:tcW w:w="930" w:type="pct"/>
            <w:tcBorders>
              <w:top w:val="single" w:sz="4" w:space="0" w:color="365F91"/>
              <w:bottom w:val="single" w:sz="4" w:space="0" w:color="365F91"/>
              <w:right w:val="single" w:sz="4" w:space="0" w:color="365F91"/>
            </w:tcBorders>
            <w:shd w:val="clear" w:color="auto" w:fill="auto"/>
            <w:noWrap/>
          </w:tcPr>
          <w:p w14:paraId="1DAE7E1F" w14:textId="77777777" w:rsidR="0068777C" w:rsidRPr="00256982" w:rsidRDefault="0068777C" w:rsidP="00AB6612">
            <w:pPr>
              <w:pStyle w:val="TableText"/>
              <w:spacing w:before="50" w:after="50"/>
              <w:jc w:val="center"/>
            </w:pPr>
            <w:r w:rsidRPr="00256982">
              <w:t>95.3</w:t>
            </w:r>
          </w:p>
        </w:tc>
        <w:tc>
          <w:tcPr>
            <w:tcW w:w="194" w:type="pct"/>
            <w:tcBorders>
              <w:left w:val="single" w:sz="4" w:space="0" w:color="365F91"/>
              <w:right w:val="single" w:sz="4" w:space="0" w:color="365F91"/>
            </w:tcBorders>
            <w:shd w:val="clear" w:color="auto" w:fill="auto"/>
          </w:tcPr>
          <w:p w14:paraId="4A293F08" w14:textId="77777777" w:rsidR="0068777C" w:rsidRPr="00256982" w:rsidRDefault="0068777C" w:rsidP="00AB6612">
            <w:pPr>
              <w:pStyle w:val="TableText"/>
              <w:spacing w:before="50" w:after="50"/>
            </w:pPr>
          </w:p>
        </w:tc>
        <w:tc>
          <w:tcPr>
            <w:tcW w:w="570" w:type="pct"/>
            <w:tcBorders>
              <w:top w:val="single" w:sz="4" w:space="0" w:color="365F91"/>
              <w:left w:val="single" w:sz="4" w:space="0" w:color="365F91"/>
              <w:bottom w:val="single" w:sz="4" w:space="0" w:color="365F91"/>
            </w:tcBorders>
            <w:shd w:val="clear" w:color="auto" w:fill="auto"/>
            <w:noWrap/>
          </w:tcPr>
          <w:p w14:paraId="2B63F298" w14:textId="77777777" w:rsidR="0068777C" w:rsidRPr="00256982" w:rsidRDefault="0068777C" w:rsidP="00AB6612">
            <w:pPr>
              <w:pStyle w:val="TableText"/>
              <w:spacing w:before="50" w:after="50"/>
              <w:jc w:val="center"/>
            </w:pPr>
            <w:r w:rsidRPr="00256982">
              <w:t>2011</w:t>
            </w:r>
          </w:p>
        </w:tc>
        <w:tc>
          <w:tcPr>
            <w:tcW w:w="1005" w:type="pct"/>
            <w:tcBorders>
              <w:top w:val="single" w:sz="4" w:space="0" w:color="365F91"/>
              <w:bottom w:val="single" w:sz="4" w:space="0" w:color="365F91"/>
            </w:tcBorders>
            <w:shd w:val="clear" w:color="auto" w:fill="auto"/>
            <w:noWrap/>
          </w:tcPr>
          <w:p w14:paraId="345E7F25" w14:textId="77777777" w:rsidR="0068777C" w:rsidRPr="00256982" w:rsidRDefault="0068777C" w:rsidP="00AB6612">
            <w:pPr>
              <w:pStyle w:val="TableText"/>
              <w:spacing w:before="50" w:after="50"/>
              <w:jc w:val="center"/>
            </w:pPr>
            <w:r w:rsidRPr="00256982">
              <w:t>6.1</w:t>
            </w:r>
          </w:p>
        </w:tc>
        <w:tc>
          <w:tcPr>
            <w:tcW w:w="761" w:type="pct"/>
            <w:tcBorders>
              <w:top w:val="single" w:sz="4" w:space="0" w:color="365F91"/>
              <w:bottom w:val="single" w:sz="4" w:space="0" w:color="365F91"/>
            </w:tcBorders>
            <w:shd w:val="clear" w:color="auto" w:fill="auto"/>
          </w:tcPr>
          <w:p w14:paraId="284084B0" w14:textId="77777777" w:rsidR="0068777C" w:rsidRPr="00256982" w:rsidRDefault="0068777C" w:rsidP="00AB6612">
            <w:pPr>
              <w:pStyle w:val="TableText"/>
              <w:spacing w:before="50" w:after="50"/>
            </w:pPr>
            <w:r w:rsidRPr="00256982">
              <w:t>93.9</w:t>
            </w:r>
          </w:p>
        </w:tc>
      </w:tr>
      <w:tr w:rsidR="0068777C" w:rsidRPr="00256982" w14:paraId="066D4904" w14:textId="77777777" w:rsidTr="0068777C">
        <w:tc>
          <w:tcPr>
            <w:tcW w:w="534" w:type="pct"/>
            <w:tcBorders>
              <w:top w:val="single" w:sz="4" w:space="0" w:color="365F91"/>
              <w:bottom w:val="single" w:sz="4" w:space="0" w:color="365F91"/>
            </w:tcBorders>
            <w:shd w:val="clear" w:color="auto" w:fill="auto"/>
            <w:noWrap/>
          </w:tcPr>
          <w:p w14:paraId="7DA0DAA6" w14:textId="77777777" w:rsidR="0068777C" w:rsidRPr="00256982" w:rsidRDefault="0068777C" w:rsidP="00AB6612">
            <w:pPr>
              <w:pStyle w:val="TableText"/>
              <w:spacing w:before="50" w:after="50"/>
            </w:pPr>
            <w:r w:rsidRPr="00256982">
              <w:t>1998</w:t>
            </w:r>
          </w:p>
        </w:tc>
        <w:tc>
          <w:tcPr>
            <w:tcW w:w="1005" w:type="pct"/>
            <w:tcBorders>
              <w:top w:val="single" w:sz="4" w:space="0" w:color="365F91"/>
              <w:bottom w:val="single" w:sz="4" w:space="0" w:color="365F91"/>
            </w:tcBorders>
            <w:shd w:val="clear" w:color="auto" w:fill="auto"/>
            <w:noWrap/>
          </w:tcPr>
          <w:p w14:paraId="1EF11B47" w14:textId="77777777" w:rsidR="0068777C" w:rsidRPr="00256982" w:rsidRDefault="0068777C" w:rsidP="00AB6612">
            <w:pPr>
              <w:pStyle w:val="TableText"/>
              <w:spacing w:before="50" w:after="50"/>
              <w:jc w:val="center"/>
            </w:pPr>
            <w:r w:rsidRPr="00256982">
              <w:t>4.7</w:t>
            </w:r>
          </w:p>
        </w:tc>
        <w:tc>
          <w:tcPr>
            <w:tcW w:w="930" w:type="pct"/>
            <w:tcBorders>
              <w:top w:val="single" w:sz="4" w:space="0" w:color="365F91"/>
              <w:bottom w:val="single" w:sz="4" w:space="0" w:color="365F91"/>
              <w:right w:val="single" w:sz="4" w:space="0" w:color="365F91"/>
            </w:tcBorders>
            <w:shd w:val="clear" w:color="auto" w:fill="auto"/>
            <w:noWrap/>
          </w:tcPr>
          <w:p w14:paraId="22B027C5" w14:textId="77777777" w:rsidR="0068777C" w:rsidRPr="00256982" w:rsidRDefault="0068777C" w:rsidP="00AB6612">
            <w:pPr>
              <w:pStyle w:val="TableText"/>
              <w:spacing w:before="50" w:after="50"/>
              <w:jc w:val="center"/>
            </w:pPr>
            <w:r w:rsidRPr="00256982">
              <w:t>95.3</w:t>
            </w:r>
          </w:p>
        </w:tc>
        <w:tc>
          <w:tcPr>
            <w:tcW w:w="194" w:type="pct"/>
            <w:tcBorders>
              <w:left w:val="single" w:sz="4" w:space="0" w:color="365F91"/>
              <w:right w:val="single" w:sz="4" w:space="0" w:color="365F91"/>
            </w:tcBorders>
            <w:shd w:val="clear" w:color="auto" w:fill="auto"/>
          </w:tcPr>
          <w:p w14:paraId="5AF27427" w14:textId="77777777" w:rsidR="0068777C" w:rsidRPr="00256982" w:rsidRDefault="0068777C" w:rsidP="00AB6612">
            <w:pPr>
              <w:pStyle w:val="TableText"/>
              <w:spacing w:before="50" w:after="50"/>
            </w:pPr>
          </w:p>
        </w:tc>
        <w:tc>
          <w:tcPr>
            <w:tcW w:w="570" w:type="pct"/>
            <w:tcBorders>
              <w:top w:val="single" w:sz="4" w:space="0" w:color="365F91"/>
              <w:left w:val="single" w:sz="4" w:space="0" w:color="365F91"/>
              <w:bottom w:val="single" w:sz="4" w:space="0" w:color="365F91"/>
            </w:tcBorders>
            <w:shd w:val="clear" w:color="auto" w:fill="auto"/>
            <w:noWrap/>
          </w:tcPr>
          <w:p w14:paraId="225ECFDD" w14:textId="77777777" w:rsidR="0068777C" w:rsidRPr="00256982" w:rsidRDefault="0068777C" w:rsidP="00AB6612">
            <w:pPr>
              <w:pStyle w:val="TableText"/>
              <w:spacing w:before="50" w:after="50"/>
              <w:jc w:val="center"/>
            </w:pPr>
            <w:r w:rsidRPr="00256982">
              <w:t>2012</w:t>
            </w:r>
          </w:p>
        </w:tc>
        <w:tc>
          <w:tcPr>
            <w:tcW w:w="1005" w:type="pct"/>
            <w:tcBorders>
              <w:top w:val="single" w:sz="4" w:space="0" w:color="365F91"/>
              <w:bottom w:val="single" w:sz="4" w:space="0" w:color="365F91"/>
            </w:tcBorders>
            <w:shd w:val="clear" w:color="auto" w:fill="auto"/>
            <w:noWrap/>
          </w:tcPr>
          <w:p w14:paraId="2A592701" w14:textId="77777777" w:rsidR="0068777C" w:rsidRPr="00256982" w:rsidRDefault="0068777C" w:rsidP="00AB6612">
            <w:pPr>
              <w:pStyle w:val="TableText"/>
              <w:spacing w:before="50" w:after="50"/>
              <w:jc w:val="center"/>
            </w:pPr>
            <w:r w:rsidRPr="00256982">
              <w:t>6.5</w:t>
            </w:r>
          </w:p>
        </w:tc>
        <w:tc>
          <w:tcPr>
            <w:tcW w:w="761" w:type="pct"/>
            <w:tcBorders>
              <w:top w:val="single" w:sz="4" w:space="0" w:color="365F91"/>
              <w:bottom w:val="single" w:sz="4" w:space="0" w:color="365F91"/>
            </w:tcBorders>
            <w:shd w:val="clear" w:color="auto" w:fill="auto"/>
          </w:tcPr>
          <w:p w14:paraId="393A2369" w14:textId="77777777" w:rsidR="0068777C" w:rsidRPr="00256982" w:rsidRDefault="0068777C" w:rsidP="00AB6612">
            <w:pPr>
              <w:pStyle w:val="TableText"/>
              <w:spacing w:before="50" w:after="50"/>
            </w:pPr>
            <w:r w:rsidRPr="00256982">
              <w:t>93.5</w:t>
            </w:r>
          </w:p>
        </w:tc>
      </w:tr>
      <w:tr w:rsidR="0068777C" w:rsidRPr="00256982" w14:paraId="74B5DC1A" w14:textId="77777777" w:rsidTr="0068777C">
        <w:tc>
          <w:tcPr>
            <w:tcW w:w="534" w:type="pct"/>
            <w:tcBorders>
              <w:top w:val="single" w:sz="4" w:space="0" w:color="365F91"/>
              <w:bottom w:val="single" w:sz="4" w:space="0" w:color="365F91"/>
            </w:tcBorders>
            <w:shd w:val="clear" w:color="auto" w:fill="auto"/>
            <w:noWrap/>
          </w:tcPr>
          <w:p w14:paraId="2996D813" w14:textId="77777777" w:rsidR="0068777C" w:rsidRPr="00256982" w:rsidRDefault="0068777C" w:rsidP="00AB6612">
            <w:pPr>
              <w:pStyle w:val="TableText"/>
              <w:spacing w:before="50" w:after="50"/>
            </w:pPr>
            <w:r w:rsidRPr="00256982">
              <w:t>1999</w:t>
            </w:r>
          </w:p>
        </w:tc>
        <w:tc>
          <w:tcPr>
            <w:tcW w:w="1005" w:type="pct"/>
            <w:tcBorders>
              <w:top w:val="single" w:sz="4" w:space="0" w:color="365F91"/>
              <w:bottom w:val="single" w:sz="4" w:space="0" w:color="365F91"/>
            </w:tcBorders>
            <w:shd w:val="clear" w:color="auto" w:fill="auto"/>
            <w:noWrap/>
          </w:tcPr>
          <w:p w14:paraId="1AEC1E88" w14:textId="77777777" w:rsidR="0068777C" w:rsidRPr="00256982" w:rsidRDefault="0068777C" w:rsidP="00AB6612">
            <w:pPr>
              <w:pStyle w:val="TableText"/>
              <w:spacing w:before="50" w:after="50"/>
              <w:jc w:val="center"/>
            </w:pPr>
            <w:r w:rsidRPr="00256982">
              <w:t>4.7</w:t>
            </w:r>
          </w:p>
        </w:tc>
        <w:tc>
          <w:tcPr>
            <w:tcW w:w="930" w:type="pct"/>
            <w:tcBorders>
              <w:top w:val="single" w:sz="4" w:space="0" w:color="365F91"/>
              <w:bottom w:val="single" w:sz="4" w:space="0" w:color="365F91"/>
              <w:right w:val="single" w:sz="4" w:space="0" w:color="365F91"/>
            </w:tcBorders>
            <w:shd w:val="clear" w:color="auto" w:fill="auto"/>
            <w:noWrap/>
          </w:tcPr>
          <w:p w14:paraId="6F5C01C6" w14:textId="77777777" w:rsidR="0068777C" w:rsidRPr="00256982" w:rsidRDefault="0068777C" w:rsidP="00AB6612">
            <w:pPr>
              <w:pStyle w:val="TableText"/>
              <w:spacing w:before="50" w:after="50"/>
              <w:jc w:val="center"/>
            </w:pPr>
            <w:r w:rsidRPr="00256982">
              <w:t>95.3</w:t>
            </w:r>
          </w:p>
        </w:tc>
        <w:tc>
          <w:tcPr>
            <w:tcW w:w="194" w:type="pct"/>
            <w:tcBorders>
              <w:left w:val="single" w:sz="4" w:space="0" w:color="365F91"/>
              <w:right w:val="single" w:sz="4" w:space="0" w:color="365F91"/>
            </w:tcBorders>
            <w:shd w:val="clear" w:color="auto" w:fill="auto"/>
          </w:tcPr>
          <w:p w14:paraId="37BCF5E0" w14:textId="77777777" w:rsidR="0068777C" w:rsidRPr="00256982" w:rsidRDefault="0068777C" w:rsidP="00AB6612">
            <w:pPr>
              <w:pStyle w:val="TableText"/>
              <w:spacing w:before="50" w:after="50"/>
            </w:pPr>
          </w:p>
        </w:tc>
        <w:tc>
          <w:tcPr>
            <w:tcW w:w="570" w:type="pct"/>
            <w:tcBorders>
              <w:top w:val="single" w:sz="4" w:space="0" w:color="365F91"/>
              <w:left w:val="single" w:sz="4" w:space="0" w:color="365F91"/>
              <w:bottom w:val="single" w:sz="4" w:space="0" w:color="365F91"/>
            </w:tcBorders>
            <w:shd w:val="clear" w:color="auto" w:fill="auto"/>
            <w:noWrap/>
          </w:tcPr>
          <w:p w14:paraId="67317068" w14:textId="77777777" w:rsidR="0068777C" w:rsidRPr="00256982" w:rsidRDefault="0068777C" w:rsidP="00AB6612">
            <w:pPr>
              <w:pStyle w:val="TableText"/>
              <w:spacing w:before="50" w:after="50"/>
              <w:jc w:val="center"/>
            </w:pPr>
            <w:r w:rsidRPr="00256982">
              <w:t>2013</w:t>
            </w:r>
          </w:p>
        </w:tc>
        <w:tc>
          <w:tcPr>
            <w:tcW w:w="1005" w:type="pct"/>
            <w:tcBorders>
              <w:top w:val="single" w:sz="4" w:space="0" w:color="365F91"/>
              <w:bottom w:val="single" w:sz="4" w:space="0" w:color="365F91"/>
            </w:tcBorders>
            <w:shd w:val="clear" w:color="auto" w:fill="auto"/>
            <w:noWrap/>
          </w:tcPr>
          <w:p w14:paraId="6EB24468" w14:textId="77777777" w:rsidR="0068777C" w:rsidRPr="00256982" w:rsidRDefault="0068777C" w:rsidP="00AB6612">
            <w:pPr>
              <w:pStyle w:val="TableText"/>
              <w:spacing w:before="50" w:after="50"/>
              <w:jc w:val="center"/>
            </w:pPr>
            <w:r w:rsidRPr="00256982">
              <w:t>6.9</w:t>
            </w:r>
          </w:p>
        </w:tc>
        <w:tc>
          <w:tcPr>
            <w:tcW w:w="761" w:type="pct"/>
            <w:tcBorders>
              <w:top w:val="single" w:sz="4" w:space="0" w:color="365F91"/>
              <w:bottom w:val="single" w:sz="4" w:space="0" w:color="365F91"/>
            </w:tcBorders>
            <w:shd w:val="clear" w:color="auto" w:fill="auto"/>
          </w:tcPr>
          <w:p w14:paraId="47F748EF" w14:textId="77777777" w:rsidR="0068777C" w:rsidRPr="00256982" w:rsidRDefault="0068777C" w:rsidP="00AB6612">
            <w:pPr>
              <w:pStyle w:val="TableText"/>
              <w:spacing w:before="50" w:after="50"/>
            </w:pPr>
            <w:r w:rsidRPr="00256982">
              <w:t>93.1</w:t>
            </w:r>
          </w:p>
        </w:tc>
      </w:tr>
      <w:tr w:rsidR="0068777C" w:rsidRPr="00256982" w14:paraId="3A8AB9EC" w14:textId="77777777" w:rsidTr="0068777C">
        <w:tc>
          <w:tcPr>
            <w:tcW w:w="534" w:type="pct"/>
            <w:tcBorders>
              <w:top w:val="single" w:sz="4" w:space="0" w:color="365F91"/>
              <w:bottom w:val="single" w:sz="4" w:space="0" w:color="365F91"/>
            </w:tcBorders>
            <w:shd w:val="clear" w:color="auto" w:fill="auto"/>
            <w:noWrap/>
          </w:tcPr>
          <w:p w14:paraId="7FC9C522" w14:textId="77777777" w:rsidR="0068777C" w:rsidRPr="00256982" w:rsidRDefault="0068777C" w:rsidP="00AB6612">
            <w:pPr>
              <w:pStyle w:val="TableText"/>
              <w:spacing w:before="50" w:after="50"/>
            </w:pPr>
            <w:r w:rsidRPr="00256982">
              <w:t>2000</w:t>
            </w:r>
          </w:p>
        </w:tc>
        <w:tc>
          <w:tcPr>
            <w:tcW w:w="1005" w:type="pct"/>
            <w:tcBorders>
              <w:top w:val="single" w:sz="4" w:space="0" w:color="365F91"/>
              <w:bottom w:val="single" w:sz="4" w:space="0" w:color="365F91"/>
            </w:tcBorders>
            <w:shd w:val="clear" w:color="auto" w:fill="auto"/>
            <w:noWrap/>
          </w:tcPr>
          <w:p w14:paraId="7A9C9492" w14:textId="77777777" w:rsidR="0068777C" w:rsidRPr="00256982" w:rsidRDefault="0068777C" w:rsidP="00AB6612">
            <w:pPr>
              <w:pStyle w:val="TableText"/>
              <w:spacing w:before="50" w:after="50"/>
              <w:jc w:val="center"/>
            </w:pPr>
            <w:r w:rsidRPr="00256982">
              <w:t>4.7</w:t>
            </w:r>
          </w:p>
        </w:tc>
        <w:tc>
          <w:tcPr>
            <w:tcW w:w="930" w:type="pct"/>
            <w:tcBorders>
              <w:top w:val="single" w:sz="4" w:space="0" w:color="365F91"/>
              <w:bottom w:val="single" w:sz="4" w:space="0" w:color="365F91"/>
              <w:right w:val="single" w:sz="4" w:space="0" w:color="365F91"/>
            </w:tcBorders>
            <w:shd w:val="clear" w:color="auto" w:fill="auto"/>
            <w:noWrap/>
          </w:tcPr>
          <w:p w14:paraId="63FCA28B" w14:textId="77777777" w:rsidR="0068777C" w:rsidRPr="00256982" w:rsidRDefault="0068777C" w:rsidP="00AB6612">
            <w:pPr>
              <w:pStyle w:val="TableText"/>
              <w:spacing w:before="50" w:after="50"/>
              <w:jc w:val="center"/>
            </w:pPr>
            <w:r w:rsidRPr="00256982">
              <w:t>95.3</w:t>
            </w:r>
          </w:p>
        </w:tc>
        <w:tc>
          <w:tcPr>
            <w:tcW w:w="194" w:type="pct"/>
            <w:tcBorders>
              <w:left w:val="single" w:sz="4" w:space="0" w:color="365F91"/>
              <w:right w:val="single" w:sz="4" w:space="0" w:color="365F91"/>
            </w:tcBorders>
            <w:shd w:val="clear" w:color="auto" w:fill="auto"/>
          </w:tcPr>
          <w:p w14:paraId="6DF491EC" w14:textId="77777777" w:rsidR="0068777C" w:rsidRPr="00256982" w:rsidRDefault="0068777C" w:rsidP="00AB6612">
            <w:pPr>
              <w:pStyle w:val="TableText"/>
              <w:spacing w:before="50" w:after="50"/>
            </w:pPr>
          </w:p>
        </w:tc>
        <w:tc>
          <w:tcPr>
            <w:tcW w:w="570" w:type="pct"/>
            <w:tcBorders>
              <w:top w:val="single" w:sz="4" w:space="0" w:color="365F91"/>
              <w:left w:val="single" w:sz="4" w:space="0" w:color="365F91"/>
              <w:bottom w:val="single" w:sz="4" w:space="0" w:color="365F91"/>
            </w:tcBorders>
            <w:shd w:val="clear" w:color="auto" w:fill="auto"/>
            <w:noWrap/>
          </w:tcPr>
          <w:p w14:paraId="5A8F0C5C" w14:textId="77777777" w:rsidR="0068777C" w:rsidRPr="00256982" w:rsidRDefault="0068777C" w:rsidP="00AB6612">
            <w:pPr>
              <w:pStyle w:val="TableText"/>
              <w:spacing w:before="50" w:after="50"/>
              <w:jc w:val="center"/>
            </w:pPr>
            <w:r w:rsidRPr="00256982">
              <w:t>2014</w:t>
            </w:r>
          </w:p>
        </w:tc>
        <w:tc>
          <w:tcPr>
            <w:tcW w:w="1005" w:type="pct"/>
            <w:tcBorders>
              <w:top w:val="single" w:sz="4" w:space="0" w:color="365F91"/>
              <w:bottom w:val="single" w:sz="4" w:space="0" w:color="365F91"/>
            </w:tcBorders>
            <w:shd w:val="clear" w:color="auto" w:fill="auto"/>
            <w:noWrap/>
          </w:tcPr>
          <w:p w14:paraId="3CDA088D" w14:textId="77777777" w:rsidR="0068777C" w:rsidRPr="00256982" w:rsidRDefault="0068777C" w:rsidP="00AB6612">
            <w:pPr>
              <w:pStyle w:val="TableText"/>
              <w:spacing w:before="50" w:after="50"/>
              <w:jc w:val="center"/>
            </w:pPr>
            <w:r w:rsidRPr="00256982">
              <w:t>7.0</w:t>
            </w:r>
          </w:p>
        </w:tc>
        <w:tc>
          <w:tcPr>
            <w:tcW w:w="761" w:type="pct"/>
            <w:tcBorders>
              <w:top w:val="single" w:sz="4" w:space="0" w:color="365F91"/>
              <w:bottom w:val="single" w:sz="4" w:space="0" w:color="365F91"/>
            </w:tcBorders>
            <w:shd w:val="clear" w:color="auto" w:fill="auto"/>
          </w:tcPr>
          <w:p w14:paraId="1386EEFA" w14:textId="77777777" w:rsidR="0068777C" w:rsidRPr="00256982" w:rsidRDefault="0068777C" w:rsidP="00AB6612">
            <w:pPr>
              <w:pStyle w:val="TableText"/>
              <w:spacing w:before="50" w:after="50"/>
            </w:pPr>
            <w:r w:rsidRPr="00256982">
              <w:t>93.0</w:t>
            </w:r>
          </w:p>
        </w:tc>
      </w:tr>
      <w:tr w:rsidR="0068777C" w:rsidRPr="00256982" w14:paraId="7966F5FB" w14:textId="77777777" w:rsidTr="0068777C">
        <w:tc>
          <w:tcPr>
            <w:tcW w:w="534" w:type="pct"/>
            <w:tcBorders>
              <w:top w:val="single" w:sz="4" w:space="0" w:color="365F91"/>
              <w:bottom w:val="single" w:sz="4" w:space="0" w:color="365F91"/>
            </w:tcBorders>
            <w:shd w:val="clear" w:color="auto" w:fill="auto"/>
            <w:noWrap/>
          </w:tcPr>
          <w:p w14:paraId="770B690C" w14:textId="77777777" w:rsidR="0068777C" w:rsidRPr="00256982" w:rsidRDefault="0068777C" w:rsidP="00AB6612">
            <w:pPr>
              <w:pStyle w:val="TableText"/>
              <w:spacing w:before="50" w:after="50"/>
            </w:pPr>
            <w:r w:rsidRPr="00256982">
              <w:t>2001</w:t>
            </w:r>
          </w:p>
        </w:tc>
        <w:tc>
          <w:tcPr>
            <w:tcW w:w="1005" w:type="pct"/>
            <w:tcBorders>
              <w:top w:val="single" w:sz="4" w:space="0" w:color="365F91"/>
              <w:bottom w:val="single" w:sz="4" w:space="0" w:color="365F91"/>
            </w:tcBorders>
            <w:shd w:val="clear" w:color="auto" w:fill="auto"/>
            <w:noWrap/>
          </w:tcPr>
          <w:p w14:paraId="0BC9FB28" w14:textId="77777777" w:rsidR="0068777C" w:rsidRPr="00256982" w:rsidRDefault="0068777C" w:rsidP="00AB6612">
            <w:pPr>
              <w:pStyle w:val="TableText"/>
              <w:spacing w:before="50" w:after="50"/>
              <w:jc w:val="center"/>
            </w:pPr>
            <w:r w:rsidRPr="00256982">
              <w:t>4.7</w:t>
            </w:r>
          </w:p>
        </w:tc>
        <w:tc>
          <w:tcPr>
            <w:tcW w:w="930" w:type="pct"/>
            <w:tcBorders>
              <w:top w:val="single" w:sz="4" w:space="0" w:color="365F91"/>
              <w:bottom w:val="single" w:sz="4" w:space="0" w:color="365F91"/>
              <w:right w:val="single" w:sz="4" w:space="0" w:color="365F91"/>
            </w:tcBorders>
            <w:shd w:val="clear" w:color="auto" w:fill="auto"/>
            <w:noWrap/>
          </w:tcPr>
          <w:p w14:paraId="5EB4E281" w14:textId="77777777" w:rsidR="0068777C" w:rsidRPr="00256982" w:rsidRDefault="0068777C" w:rsidP="00AB6612">
            <w:pPr>
              <w:pStyle w:val="TableText"/>
              <w:spacing w:before="50" w:after="50"/>
              <w:jc w:val="center"/>
            </w:pPr>
            <w:r w:rsidRPr="00256982">
              <w:t>95.3</w:t>
            </w:r>
          </w:p>
        </w:tc>
        <w:tc>
          <w:tcPr>
            <w:tcW w:w="194" w:type="pct"/>
            <w:tcBorders>
              <w:left w:val="single" w:sz="4" w:space="0" w:color="365F91"/>
              <w:right w:val="single" w:sz="4" w:space="0" w:color="365F91"/>
            </w:tcBorders>
            <w:shd w:val="clear" w:color="auto" w:fill="auto"/>
          </w:tcPr>
          <w:p w14:paraId="5C6258CF" w14:textId="77777777" w:rsidR="0068777C" w:rsidRPr="00256982" w:rsidRDefault="0068777C" w:rsidP="00AB6612">
            <w:pPr>
              <w:pStyle w:val="TableText"/>
              <w:spacing w:before="50" w:after="50"/>
            </w:pPr>
          </w:p>
        </w:tc>
        <w:tc>
          <w:tcPr>
            <w:tcW w:w="570" w:type="pct"/>
            <w:tcBorders>
              <w:top w:val="single" w:sz="4" w:space="0" w:color="365F91"/>
              <w:left w:val="single" w:sz="4" w:space="0" w:color="365F91"/>
              <w:bottom w:val="single" w:sz="4" w:space="0" w:color="365F91"/>
            </w:tcBorders>
            <w:shd w:val="clear" w:color="auto" w:fill="auto"/>
            <w:noWrap/>
          </w:tcPr>
          <w:p w14:paraId="43F5F742" w14:textId="77777777" w:rsidR="0068777C" w:rsidRPr="00256982" w:rsidRDefault="0068777C" w:rsidP="00AB6612">
            <w:pPr>
              <w:pStyle w:val="TableText"/>
              <w:spacing w:before="50" w:after="50"/>
              <w:jc w:val="center"/>
            </w:pPr>
            <w:r w:rsidRPr="00256982">
              <w:t>2015</w:t>
            </w:r>
          </w:p>
        </w:tc>
        <w:tc>
          <w:tcPr>
            <w:tcW w:w="1005" w:type="pct"/>
            <w:tcBorders>
              <w:top w:val="single" w:sz="4" w:space="0" w:color="365F91"/>
              <w:bottom w:val="single" w:sz="4" w:space="0" w:color="365F91"/>
            </w:tcBorders>
            <w:shd w:val="clear" w:color="auto" w:fill="auto"/>
            <w:noWrap/>
          </w:tcPr>
          <w:p w14:paraId="4E1B74B2" w14:textId="77777777" w:rsidR="0068777C" w:rsidRPr="00256982" w:rsidRDefault="0068777C" w:rsidP="00AB6612">
            <w:pPr>
              <w:pStyle w:val="TableText"/>
              <w:spacing w:before="50" w:after="50"/>
              <w:jc w:val="center"/>
            </w:pPr>
            <w:r w:rsidRPr="00256982">
              <w:t>6.9</w:t>
            </w:r>
          </w:p>
        </w:tc>
        <w:tc>
          <w:tcPr>
            <w:tcW w:w="761" w:type="pct"/>
            <w:tcBorders>
              <w:top w:val="single" w:sz="4" w:space="0" w:color="365F91"/>
              <w:bottom w:val="single" w:sz="4" w:space="0" w:color="365F91"/>
            </w:tcBorders>
            <w:shd w:val="clear" w:color="auto" w:fill="auto"/>
          </w:tcPr>
          <w:p w14:paraId="0E58A2B7" w14:textId="77777777" w:rsidR="0068777C" w:rsidRPr="00256982" w:rsidRDefault="0068777C" w:rsidP="00AB6612">
            <w:pPr>
              <w:pStyle w:val="TableText"/>
              <w:spacing w:before="50" w:after="50"/>
            </w:pPr>
            <w:r w:rsidRPr="00256982">
              <w:t>93.1</w:t>
            </w:r>
          </w:p>
        </w:tc>
      </w:tr>
      <w:tr w:rsidR="0068777C" w:rsidRPr="00256982" w14:paraId="626A690B" w14:textId="77777777" w:rsidTr="0068777C">
        <w:tc>
          <w:tcPr>
            <w:tcW w:w="534" w:type="pct"/>
            <w:tcBorders>
              <w:top w:val="single" w:sz="4" w:space="0" w:color="365F91"/>
              <w:bottom w:val="single" w:sz="4" w:space="0" w:color="365F91"/>
            </w:tcBorders>
            <w:shd w:val="clear" w:color="auto" w:fill="auto"/>
            <w:noWrap/>
          </w:tcPr>
          <w:p w14:paraId="7DF7A487" w14:textId="77777777" w:rsidR="0068777C" w:rsidRPr="00256982" w:rsidRDefault="0068777C" w:rsidP="00AB6612">
            <w:pPr>
              <w:pStyle w:val="TableText"/>
              <w:spacing w:before="50" w:after="50"/>
            </w:pPr>
            <w:r w:rsidRPr="00256982">
              <w:t>2002</w:t>
            </w:r>
          </w:p>
        </w:tc>
        <w:tc>
          <w:tcPr>
            <w:tcW w:w="1005" w:type="pct"/>
            <w:tcBorders>
              <w:top w:val="single" w:sz="4" w:space="0" w:color="365F91"/>
              <w:bottom w:val="single" w:sz="4" w:space="0" w:color="365F91"/>
            </w:tcBorders>
            <w:shd w:val="clear" w:color="auto" w:fill="auto"/>
            <w:noWrap/>
          </w:tcPr>
          <w:p w14:paraId="206FC31C" w14:textId="77777777" w:rsidR="0068777C" w:rsidRPr="00256982" w:rsidRDefault="0068777C" w:rsidP="00AB6612">
            <w:pPr>
              <w:pStyle w:val="TableText"/>
              <w:spacing w:before="50" w:after="50"/>
              <w:jc w:val="center"/>
            </w:pPr>
            <w:r w:rsidRPr="00256982">
              <w:t>4.6</w:t>
            </w:r>
          </w:p>
        </w:tc>
        <w:tc>
          <w:tcPr>
            <w:tcW w:w="930" w:type="pct"/>
            <w:tcBorders>
              <w:top w:val="single" w:sz="4" w:space="0" w:color="365F91"/>
              <w:bottom w:val="single" w:sz="4" w:space="0" w:color="365F91"/>
              <w:right w:val="single" w:sz="4" w:space="0" w:color="365F91"/>
            </w:tcBorders>
            <w:shd w:val="clear" w:color="auto" w:fill="auto"/>
            <w:noWrap/>
          </w:tcPr>
          <w:p w14:paraId="7A9CCA95" w14:textId="77777777" w:rsidR="0068777C" w:rsidRPr="00256982" w:rsidRDefault="0068777C" w:rsidP="00AB6612">
            <w:pPr>
              <w:pStyle w:val="TableText"/>
              <w:spacing w:before="50" w:after="50"/>
              <w:jc w:val="center"/>
            </w:pPr>
            <w:r w:rsidRPr="00256982">
              <w:t>95.4</w:t>
            </w:r>
          </w:p>
        </w:tc>
        <w:tc>
          <w:tcPr>
            <w:tcW w:w="194" w:type="pct"/>
            <w:tcBorders>
              <w:left w:val="single" w:sz="4" w:space="0" w:color="365F91"/>
              <w:right w:val="single" w:sz="4" w:space="0" w:color="365F91"/>
            </w:tcBorders>
            <w:shd w:val="clear" w:color="auto" w:fill="auto"/>
          </w:tcPr>
          <w:p w14:paraId="6C14A5EB" w14:textId="77777777" w:rsidR="0068777C" w:rsidRPr="00256982" w:rsidRDefault="0068777C" w:rsidP="00AB6612">
            <w:pPr>
              <w:pStyle w:val="TableText"/>
              <w:spacing w:before="50" w:after="50"/>
            </w:pPr>
          </w:p>
        </w:tc>
        <w:tc>
          <w:tcPr>
            <w:tcW w:w="570" w:type="pct"/>
            <w:tcBorders>
              <w:top w:val="single" w:sz="4" w:space="0" w:color="365F91"/>
              <w:left w:val="single" w:sz="4" w:space="0" w:color="365F91"/>
              <w:bottom w:val="single" w:sz="4" w:space="0" w:color="365F91"/>
            </w:tcBorders>
            <w:shd w:val="clear" w:color="auto" w:fill="auto"/>
            <w:noWrap/>
          </w:tcPr>
          <w:p w14:paraId="6F2E28DF" w14:textId="77777777" w:rsidR="0068777C" w:rsidRPr="00256982" w:rsidRDefault="0068777C" w:rsidP="00AB6612">
            <w:pPr>
              <w:pStyle w:val="TableText"/>
              <w:spacing w:before="50" w:after="50"/>
              <w:jc w:val="center"/>
            </w:pPr>
            <w:r w:rsidRPr="00256982">
              <w:t>2016</w:t>
            </w:r>
          </w:p>
        </w:tc>
        <w:tc>
          <w:tcPr>
            <w:tcW w:w="1005" w:type="pct"/>
            <w:tcBorders>
              <w:top w:val="single" w:sz="4" w:space="0" w:color="365F91"/>
              <w:bottom w:val="single" w:sz="4" w:space="0" w:color="365F91"/>
            </w:tcBorders>
            <w:shd w:val="clear" w:color="auto" w:fill="auto"/>
            <w:noWrap/>
          </w:tcPr>
          <w:p w14:paraId="58E2E0A1" w14:textId="77777777" w:rsidR="0068777C" w:rsidRPr="00256982" w:rsidRDefault="0068777C" w:rsidP="00AB6612">
            <w:pPr>
              <w:pStyle w:val="TableText"/>
              <w:spacing w:before="50" w:after="50"/>
              <w:jc w:val="center"/>
            </w:pPr>
            <w:r w:rsidRPr="00256982">
              <w:t>6.9</w:t>
            </w:r>
          </w:p>
        </w:tc>
        <w:tc>
          <w:tcPr>
            <w:tcW w:w="761" w:type="pct"/>
            <w:tcBorders>
              <w:top w:val="single" w:sz="4" w:space="0" w:color="365F91"/>
              <w:bottom w:val="single" w:sz="4" w:space="0" w:color="365F91"/>
            </w:tcBorders>
            <w:shd w:val="clear" w:color="auto" w:fill="auto"/>
          </w:tcPr>
          <w:p w14:paraId="12D076CE" w14:textId="77777777" w:rsidR="0068777C" w:rsidRPr="00256982" w:rsidRDefault="0068777C" w:rsidP="00AB6612">
            <w:pPr>
              <w:pStyle w:val="TableText"/>
              <w:spacing w:before="50" w:after="50"/>
            </w:pPr>
            <w:r w:rsidRPr="00256982">
              <w:t>93.1</w:t>
            </w:r>
          </w:p>
        </w:tc>
      </w:tr>
      <w:tr w:rsidR="0068777C" w:rsidRPr="00256982" w14:paraId="173ADEA5" w14:textId="77777777" w:rsidTr="0068777C">
        <w:tc>
          <w:tcPr>
            <w:tcW w:w="534" w:type="pct"/>
            <w:tcBorders>
              <w:top w:val="single" w:sz="4" w:space="0" w:color="365F91"/>
              <w:bottom w:val="single" w:sz="4" w:space="0" w:color="365F91"/>
            </w:tcBorders>
            <w:shd w:val="clear" w:color="auto" w:fill="auto"/>
            <w:noWrap/>
          </w:tcPr>
          <w:p w14:paraId="274CAB48" w14:textId="77777777" w:rsidR="0068777C" w:rsidRPr="00256982" w:rsidRDefault="0068777C" w:rsidP="00AB6612">
            <w:pPr>
              <w:pStyle w:val="TableText"/>
              <w:spacing w:before="50" w:after="50"/>
            </w:pPr>
            <w:r w:rsidRPr="00256982">
              <w:t>2003</w:t>
            </w:r>
          </w:p>
        </w:tc>
        <w:tc>
          <w:tcPr>
            <w:tcW w:w="1005" w:type="pct"/>
            <w:tcBorders>
              <w:top w:val="single" w:sz="4" w:space="0" w:color="365F91"/>
              <w:bottom w:val="single" w:sz="4" w:space="0" w:color="365F91"/>
            </w:tcBorders>
            <w:shd w:val="clear" w:color="auto" w:fill="auto"/>
            <w:noWrap/>
          </w:tcPr>
          <w:p w14:paraId="4353AC4B" w14:textId="77777777" w:rsidR="0068777C" w:rsidRPr="00256982" w:rsidRDefault="0068777C" w:rsidP="00AB6612">
            <w:pPr>
              <w:pStyle w:val="TableText"/>
              <w:spacing w:before="50" w:after="50"/>
              <w:jc w:val="center"/>
              <w:rPr>
                <w:color w:val="000000"/>
              </w:rPr>
            </w:pPr>
            <w:r w:rsidRPr="00256982">
              <w:t>4.8</w:t>
            </w:r>
          </w:p>
        </w:tc>
        <w:tc>
          <w:tcPr>
            <w:tcW w:w="930" w:type="pct"/>
            <w:tcBorders>
              <w:top w:val="single" w:sz="4" w:space="0" w:color="365F91"/>
              <w:bottom w:val="single" w:sz="4" w:space="0" w:color="365F91"/>
              <w:right w:val="single" w:sz="4" w:space="0" w:color="365F91"/>
            </w:tcBorders>
            <w:shd w:val="clear" w:color="auto" w:fill="auto"/>
            <w:noWrap/>
          </w:tcPr>
          <w:p w14:paraId="7C05897E" w14:textId="77777777" w:rsidR="0068777C" w:rsidRPr="00256982" w:rsidRDefault="0068777C" w:rsidP="00AB6612">
            <w:pPr>
              <w:pStyle w:val="TableText"/>
              <w:spacing w:before="50" w:after="50"/>
              <w:jc w:val="center"/>
              <w:rPr>
                <w:color w:val="000000"/>
              </w:rPr>
            </w:pPr>
            <w:r w:rsidRPr="00256982">
              <w:t>95.2</w:t>
            </w:r>
          </w:p>
        </w:tc>
        <w:tc>
          <w:tcPr>
            <w:tcW w:w="194" w:type="pct"/>
            <w:tcBorders>
              <w:left w:val="single" w:sz="4" w:space="0" w:color="365F91"/>
              <w:right w:val="single" w:sz="4" w:space="0" w:color="365F91"/>
            </w:tcBorders>
            <w:shd w:val="clear" w:color="auto" w:fill="auto"/>
          </w:tcPr>
          <w:p w14:paraId="7B789537" w14:textId="77777777" w:rsidR="0068777C" w:rsidRPr="00256982" w:rsidRDefault="0068777C" w:rsidP="00AB6612">
            <w:pPr>
              <w:pStyle w:val="TableText"/>
              <w:spacing w:before="50" w:after="50"/>
            </w:pPr>
          </w:p>
        </w:tc>
        <w:tc>
          <w:tcPr>
            <w:tcW w:w="570" w:type="pct"/>
            <w:tcBorders>
              <w:top w:val="single" w:sz="4" w:space="0" w:color="365F91"/>
              <w:left w:val="single" w:sz="4" w:space="0" w:color="365F91"/>
              <w:bottom w:val="single" w:sz="4" w:space="0" w:color="365F91"/>
            </w:tcBorders>
            <w:shd w:val="clear" w:color="auto" w:fill="auto"/>
            <w:noWrap/>
          </w:tcPr>
          <w:p w14:paraId="5C01554A" w14:textId="77777777" w:rsidR="0068777C" w:rsidRPr="00256982" w:rsidRDefault="0068777C" w:rsidP="00AB6612">
            <w:pPr>
              <w:pStyle w:val="TableText"/>
              <w:spacing w:before="50" w:after="50"/>
              <w:jc w:val="center"/>
            </w:pPr>
            <w:r w:rsidRPr="00256982">
              <w:t>2017</w:t>
            </w:r>
          </w:p>
        </w:tc>
        <w:tc>
          <w:tcPr>
            <w:tcW w:w="1005" w:type="pct"/>
            <w:tcBorders>
              <w:top w:val="single" w:sz="4" w:space="0" w:color="365F91"/>
              <w:bottom w:val="single" w:sz="4" w:space="0" w:color="365F91"/>
            </w:tcBorders>
            <w:shd w:val="clear" w:color="auto" w:fill="auto"/>
            <w:noWrap/>
          </w:tcPr>
          <w:p w14:paraId="3A31F0E5" w14:textId="77777777" w:rsidR="0068777C" w:rsidRPr="00256982" w:rsidRDefault="0068777C" w:rsidP="00AB6612">
            <w:pPr>
              <w:pStyle w:val="TableText"/>
              <w:spacing w:before="50" w:after="50"/>
              <w:jc w:val="center"/>
            </w:pPr>
            <w:r w:rsidRPr="00256982">
              <w:t>7.0</w:t>
            </w:r>
          </w:p>
        </w:tc>
        <w:tc>
          <w:tcPr>
            <w:tcW w:w="761" w:type="pct"/>
            <w:tcBorders>
              <w:top w:val="single" w:sz="4" w:space="0" w:color="365F91"/>
              <w:bottom w:val="single" w:sz="4" w:space="0" w:color="365F91"/>
            </w:tcBorders>
            <w:shd w:val="clear" w:color="auto" w:fill="auto"/>
          </w:tcPr>
          <w:p w14:paraId="28F34215" w14:textId="23A1A67B" w:rsidR="0068777C" w:rsidRPr="00256982" w:rsidRDefault="0068777C" w:rsidP="00AB6612">
            <w:pPr>
              <w:pStyle w:val="TableText"/>
              <w:spacing w:before="50" w:after="50"/>
            </w:pPr>
            <w:r w:rsidRPr="00256982">
              <w:t>93.0</w:t>
            </w:r>
          </w:p>
        </w:tc>
      </w:tr>
    </w:tbl>
    <w:p w14:paraId="487C3090" w14:textId="77777777" w:rsidR="0068777C" w:rsidRPr="00256982" w:rsidRDefault="0068777C" w:rsidP="0068777C">
      <w:pPr>
        <w:pStyle w:val="Noteundertable"/>
      </w:pPr>
      <w:r w:rsidRPr="00256982">
        <w:rPr>
          <w:b/>
        </w:rPr>
        <w:t>Note:</w:t>
      </w:r>
      <w:r w:rsidRPr="00256982">
        <w:rPr>
          <w:rFonts w:ascii="Times New Roman" w:hAnsi="Times New Roman"/>
          <w:b/>
          <w:sz w:val="22"/>
        </w:rPr>
        <w:t xml:space="preserve"> </w:t>
      </w:r>
      <w:r w:rsidRPr="00256982">
        <w:t>Proportions are rounded to 1 decimal place.</w:t>
      </w:r>
    </w:p>
    <w:p w14:paraId="5F5FEF3C" w14:textId="42F2A385" w:rsidR="0068777C" w:rsidRPr="00256982" w:rsidRDefault="0068777C" w:rsidP="0068777C">
      <w:pPr>
        <w:pStyle w:val="BodyText"/>
      </w:pPr>
      <w:r w:rsidRPr="00256982">
        <w:t xml:space="preserve">This improvement caused estimated emissions from </w:t>
      </w:r>
      <w:r w:rsidRPr="00256982">
        <w:rPr>
          <w:i/>
        </w:rPr>
        <w:t>Manure management</w:t>
      </w:r>
      <w:r w:rsidRPr="00256982">
        <w:t xml:space="preserve"> to decrease by 1.8 per cent in 1990 and increase by 29.2 per cent in 2017 (table 5.3.8). The increase in the use of off</w:t>
      </w:r>
      <w:r w:rsidR="00623AC7" w:rsidRPr="00256982">
        <w:noBreakHyphen/>
      </w:r>
      <w:r w:rsidRPr="00256982">
        <w:t xml:space="preserve">paddock structures between 1990 and 2017 explains the difference between the 1990 and 2017 changes. </w:t>
      </w:r>
    </w:p>
    <w:p w14:paraId="7E69B25A" w14:textId="5F676C0D" w:rsidR="0068777C" w:rsidRPr="00256982" w:rsidRDefault="0068777C" w:rsidP="0068777C">
      <w:pPr>
        <w:pStyle w:val="Table"/>
      </w:pPr>
      <w:bookmarkStart w:id="669" w:name="_Toc5269484"/>
      <w:r w:rsidRPr="00256982">
        <w:t>Table 5.3.8</w:t>
      </w:r>
      <w:r w:rsidRPr="00256982">
        <w:tab/>
        <w:t>Trends and relative contribution of methane and nit</w:t>
      </w:r>
      <w:r w:rsidR="007F7F59">
        <w:t>rous oxide emissions under the m</w:t>
      </w:r>
      <w:r w:rsidRPr="00256982">
        <w:t>anure management category between 1990</w:t>
      </w:r>
      <w:r w:rsidR="00C53888" w:rsidRPr="00256982">
        <w:t> </w:t>
      </w:r>
      <w:r w:rsidRPr="00256982">
        <w:t>and</w:t>
      </w:r>
      <w:r w:rsidR="00C53888" w:rsidRPr="00256982">
        <w:t> </w:t>
      </w:r>
      <w:r w:rsidRPr="00256982">
        <w:t>2017</w:t>
      </w:r>
      <w:bookmarkEnd w:id="669"/>
    </w:p>
    <w:tbl>
      <w:tblPr>
        <w:tblW w:w="8505" w:type="dxa"/>
        <w:tblInd w:w="108" w:type="dxa"/>
        <w:tblBorders>
          <w:top w:val="single" w:sz="4" w:space="0" w:color="365F91"/>
          <w:bottom w:val="single" w:sz="4" w:space="0" w:color="365F91"/>
          <w:insideH w:val="single" w:sz="4" w:space="0" w:color="365F91"/>
        </w:tblBorders>
        <w:tblLayout w:type="fixed"/>
        <w:tblLook w:val="0000" w:firstRow="0" w:lastRow="0" w:firstColumn="0" w:lastColumn="0" w:noHBand="0" w:noVBand="0"/>
      </w:tblPr>
      <w:tblGrid>
        <w:gridCol w:w="1418"/>
        <w:gridCol w:w="2268"/>
        <w:gridCol w:w="850"/>
        <w:gridCol w:w="851"/>
        <w:gridCol w:w="1559"/>
        <w:gridCol w:w="1559"/>
      </w:tblGrid>
      <w:tr w:rsidR="0068777C" w:rsidRPr="00256982" w14:paraId="2ABEB9A8" w14:textId="77777777" w:rsidTr="0068777C">
        <w:trPr>
          <w:trHeight w:val="608"/>
          <w:tblHeader/>
        </w:trPr>
        <w:tc>
          <w:tcPr>
            <w:tcW w:w="1418" w:type="dxa"/>
            <w:shd w:val="clear" w:color="auto" w:fill="365F91"/>
            <w:vAlign w:val="bottom"/>
          </w:tcPr>
          <w:p w14:paraId="37EC1391" w14:textId="77777777" w:rsidR="0068777C" w:rsidRPr="00256982" w:rsidRDefault="0068777C" w:rsidP="0068777C">
            <w:pPr>
              <w:pStyle w:val="TableTextBold"/>
              <w:keepNext/>
              <w:rPr>
                <w:rFonts w:cs="Arial"/>
                <w:noProof w:val="0"/>
                <w:color w:val="FFFFFF"/>
                <w:szCs w:val="16"/>
              </w:rPr>
            </w:pPr>
            <w:r w:rsidRPr="00256982">
              <w:rPr>
                <w:rFonts w:cs="Arial"/>
                <w:noProof w:val="0"/>
                <w:color w:val="FFFFFF"/>
                <w:szCs w:val="16"/>
              </w:rPr>
              <w:t xml:space="preserve">Emissions </w:t>
            </w:r>
            <w:r w:rsidRPr="00256982">
              <w:rPr>
                <w:rFonts w:cs="Arial"/>
                <w:noProof w:val="0"/>
                <w:color w:val="FFFFFF"/>
                <w:szCs w:val="16"/>
              </w:rPr>
              <w:br/>
            </w:r>
            <w:r w:rsidRPr="00256982">
              <w:rPr>
                <w:noProof w:val="0"/>
                <w:color w:val="FFFFFF"/>
              </w:rPr>
              <w:t>(kt CO</w:t>
            </w:r>
            <w:r w:rsidRPr="00256982">
              <w:rPr>
                <w:noProof w:val="0"/>
                <w:color w:val="FFFFFF"/>
                <w:vertAlign w:val="subscript"/>
              </w:rPr>
              <w:t>2</w:t>
            </w:r>
            <w:r w:rsidRPr="00256982">
              <w:rPr>
                <w:noProof w:val="0"/>
                <w:color w:val="FFFFFF"/>
              </w:rPr>
              <w:t>-e)</w:t>
            </w:r>
          </w:p>
        </w:tc>
        <w:tc>
          <w:tcPr>
            <w:tcW w:w="2268" w:type="dxa"/>
            <w:shd w:val="clear" w:color="auto" w:fill="365F91"/>
            <w:vAlign w:val="bottom"/>
          </w:tcPr>
          <w:p w14:paraId="76B778AA" w14:textId="77777777" w:rsidR="0068777C" w:rsidRPr="00256982" w:rsidRDefault="0068777C" w:rsidP="0068777C">
            <w:pPr>
              <w:keepNext/>
              <w:spacing w:before="60" w:after="60"/>
              <w:jc w:val="left"/>
              <w:rPr>
                <w:rFonts w:ascii="Arial" w:hAnsi="Arial" w:cs="Arial"/>
                <w:b/>
                <w:color w:val="FFFFFF"/>
                <w:sz w:val="16"/>
                <w:szCs w:val="16"/>
              </w:rPr>
            </w:pPr>
          </w:p>
        </w:tc>
        <w:tc>
          <w:tcPr>
            <w:tcW w:w="850" w:type="dxa"/>
            <w:shd w:val="clear" w:color="auto" w:fill="365F91"/>
            <w:vAlign w:val="bottom"/>
          </w:tcPr>
          <w:p w14:paraId="779D0D89" w14:textId="77777777" w:rsidR="0068777C" w:rsidRPr="00256982" w:rsidRDefault="0068777C" w:rsidP="0068777C">
            <w:pPr>
              <w:keepNext/>
              <w:spacing w:before="60" w:after="60"/>
              <w:jc w:val="center"/>
              <w:rPr>
                <w:rFonts w:ascii="Arial" w:hAnsi="Arial" w:cs="Arial"/>
                <w:b/>
                <w:bCs/>
                <w:color w:val="FFFFFF"/>
                <w:sz w:val="16"/>
                <w:szCs w:val="16"/>
              </w:rPr>
            </w:pPr>
            <w:r w:rsidRPr="00256982">
              <w:rPr>
                <w:rFonts w:ascii="Arial" w:hAnsi="Arial" w:cs="Arial"/>
                <w:b/>
                <w:bCs/>
                <w:color w:val="FFFFFF"/>
                <w:sz w:val="16"/>
                <w:szCs w:val="16"/>
              </w:rPr>
              <w:t>1990</w:t>
            </w:r>
          </w:p>
        </w:tc>
        <w:tc>
          <w:tcPr>
            <w:tcW w:w="851" w:type="dxa"/>
            <w:shd w:val="clear" w:color="auto" w:fill="365F91"/>
            <w:vAlign w:val="bottom"/>
          </w:tcPr>
          <w:p w14:paraId="5F1D43AB" w14:textId="77777777" w:rsidR="0068777C" w:rsidRPr="00256982" w:rsidRDefault="0068777C" w:rsidP="0068777C">
            <w:pPr>
              <w:spacing w:before="60" w:after="60"/>
              <w:jc w:val="center"/>
              <w:rPr>
                <w:rFonts w:ascii="Arial" w:hAnsi="Arial" w:cs="Arial"/>
                <w:b/>
                <w:bCs/>
                <w:color w:val="FFFFFF"/>
                <w:sz w:val="16"/>
                <w:szCs w:val="16"/>
              </w:rPr>
            </w:pPr>
            <w:r w:rsidRPr="00256982">
              <w:rPr>
                <w:rFonts w:ascii="Arial" w:hAnsi="Arial" w:cs="Arial"/>
                <w:b/>
                <w:bCs/>
                <w:color w:val="FFFFFF"/>
                <w:sz w:val="16"/>
                <w:szCs w:val="16"/>
              </w:rPr>
              <w:t>2017</w:t>
            </w:r>
          </w:p>
        </w:tc>
        <w:tc>
          <w:tcPr>
            <w:tcW w:w="1559" w:type="dxa"/>
            <w:shd w:val="clear" w:color="auto" w:fill="365F91"/>
            <w:vAlign w:val="bottom"/>
          </w:tcPr>
          <w:p w14:paraId="00B9DD8D" w14:textId="77777777" w:rsidR="0068777C" w:rsidRPr="00256982" w:rsidRDefault="0068777C" w:rsidP="0068777C">
            <w:pPr>
              <w:spacing w:before="60" w:after="60"/>
              <w:jc w:val="center"/>
              <w:rPr>
                <w:rFonts w:ascii="Arial" w:hAnsi="Arial" w:cs="Arial"/>
                <w:b/>
                <w:color w:val="FFFFFF"/>
                <w:sz w:val="16"/>
                <w:szCs w:val="16"/>
              </w:rPr>
            </w:pPr>
            <w:r w:rsidRPr="00256982">
              <w:rPr>
                <w:rFonts w:ascii="Arial" w:hAnsi="Arial" w:cs="Arial"/>
                <w:b/>
                <w:color w:val="FFFFFF"/>
                <w:sz w:val="16"/>
                <w:szCs w:val="16"/>
              </w:rPr>
              <w:t xml:space="preserve">Change in emission outputs between 1990 and 2017 </w:t>
            </w:r>
            <w:r w:rsidRPr="00256982">
              <w:rPr>
                <w:rFonts w:ascii="Arial" w:hAnsi="Arial" w:cs="Arial"/>
                <w:b/>
                <w:color w:val="FFFFFF"/>
                <w:sz w:val="16"/>
                <w:szCs w:val="16"/>
              </w:rPr>
              <w:br/>
              <w:t>(kt CO</w:t>
            </w:r>
            <w:r w:rsidRPr="00256982">
              <w:rPr>
                <w:rFonts w:ascii="Arial" w:hAnsi="Arial" w:cs="Arial"/>
                <w:b/>
                <w:color w:val="FFFFFF"/>
                <w:sz w:val="16"/>
                <w:szCs w:val="16"/>
                <w:vertAlign w:val="subscript"/>
              </w:rPr>
              <w:t>2</w:t>
            </w:r>
            <w:r w:rsidRPr="00256982">
              <w:rPr>
                <w:rFonts w:ascii="Arial" w:hAnsi="Arial" w:cs="Arial"/>
                <w:b/>
                <w:color w:val="FFFFFF"/>
                <w:sz w:val="16"/>
                <w:szCs w:val="16"/>
              </w:rPr>
              <w:t xml:space="preserve">-e) </w:t>
            </w:r>
          </w:p>
        </w:tc>
        <w:tc>
          <w:tcPr>
            <w:tcW w:w="1559" w:type="dxa"/>
            <w:shd w:val="clear" w:color="auto" w:fill="365F91"/>
            <w:vAlign w:val="bottom"/>
          </w:tcPr>
          <w:p w14:paraId="7575294F" w14:textId="77777777" w:rsidR="0068777C" w:rsidRPr="00256982" w:rsidRDefault="0068777C" w:rsidP="0068777C">
            <w:pPr>
              <w:spacing w:before="60" w:after="60"/>
              <w:jc w:val="center"/>
              <w:rPr>
                <w:rFonts w:ascii="Arial" w:hAnsi="Arial" w:cs="Arial"/>
                <w:b/>
                <w:color w:val="FFFFFF"/>
                <w:sz w:val="16"/>
                <w:szCs w:val="16"/>
              </w:rPr>
            </w:pPr>
            <w:r w:rsidRPr="00256982">
              <w:rPr>
                <w:rFonts w:ascii="Arial" w:hAnsi="Arial" w:cs="Arial"/>
                <w:b/>
                <w:color w:val="FFFFFF"/>
                <w:sz w:val="16"/>
                <w:szCs w:val="16"/>
              </w:rPr>
              <w:t>Percentage change in emission outputs between 1990 and 2017</w:t>
            </w:r>
          </w:p>
        </w:tc>
      </w:tr>
      <w:tr w:rsidR="0068777C" w:rsidRPr="00256982" w14:paraId="25DD0E5A" w14:textId="77777777" w:rsidTr="0068777C">
        <w:trPr>
          <w:trHeight w:val="454"/>
        </w:trPr>
        <w:tc>
          <w:tcPr>
            <w:tcW w:w="1418" w:type="dxa"/>
            <w:vMerge w:val="restart"/>
            <w:vAlign w:val="center"/>
          </w:tcPr>
          <w:p w14:paraId="71E52E15" w14:textId="21E3F0B3" w:rsidR="0068777C" w:rsidRPr="00256982" w:rsidRDefault="0068777C" w:rsidP="00197F74">
            <w:pPr>
              <w:spacing w:before="60" w:after="60"/>
              <w:jc w:val="left"/>
              <w:rPr>
                <w:rFonts w:ascii="Arial" w:hAnsi="Arial"/>
                <w:sz w:val="16"/>
              </w:rPr>
            </w:pPr>
            <w:r w:rsidRPr="00256982">
              <w:rPr>
                <w:rFonts w:ascii="Arial" w:hAnsi="Arial"/>
                <w:sz w:val="16"/>
              </w:rPr>
              <w:t>Total emissions from manure management (kt</w:t>
            </w:r>
            <w:r w:rsidR="00197F74" w:rsidRPr="00256982">
              <w:rPr>
                <w:rFonts w:ascii="Arial" w:hAnsi="Arial"/>
                <w:sz w:val="16"/>
              </w:rPr>
              <w:t> </w:t>
            </w:r>
            <w:r w:rsidRPr="00256982">
              <w:rPr>
                <w:rFonts w:ascii="Arial" w:hAnsi="Arial"/>
                <w:sz w:val="16"/>
              </w:rPr>
              <w:t>CO</w:t>
            </w:r>
            <w:r w:rsidRPr="00256982">
              <w:rPr>
                <w:rFonts w:ascii="Arial" w:hAnsi="Arial"/>
                <w:sz w:val="16"/>
                <w:vertAlign w:val="subscript"/>
              </w:rPr>
              <w:t>2</w:t>
            </w:r>
            <w:r w:rsidRPr="00256982">
              <w:rPr>
                <w:rFonts w:ascii="Arial" w:hAnsi="Arial"/>
                <w:sz w:val="16"/>
              </w:rPr>
              <w:t>-e)</w:t>
            </w:r>
          </w:p>
        </w:tc>
        <w:tc>
          <w:tcPr>
            <w:tcW w:w="2268" w:type="dxa"/>
          </w:tcPr>
          <w:p w14:paraId="0025C37C" w14:textId="77777777" w:rsidR="0068777C" w:rsidRPr="00256982" w:rsidRDefault="0068777C" w:rsidP="008113E1">
            <w:pPr>
              <w:spacing w:before="60" w:after="60"/>
              <w:jc w:val="left"/>
              <w:rPr>
                <w:rFonts w:ascii="Arial" w:hAnsi="Arial"/>
                <w:sz w:val="16"/>
              </w:rPr>
            </w:pPr>
            <w:r w:rsidRPr="00256982">
              <w:rPr>
                <w:rFonts w:ascii="Arial" w:hAnsi="Arial"/>
                <w:sz w:val="16"/>
              </w:rPr>
              <w:t xml:space="preserve">2019 (1990–2017) emissions estimate </w:t>
            </w:r>
            <w:r w:rsidRPr="00256982">
              <w:rPr>
                <w:rFonts w:ascii="Arial" w:hAnsi="Arial"/>
                <w:i/>
                <w:sz w:val="16"/>
              </w:rPr>
              <w:t xml:space="preserve">using previous </w:t>
            </w:r>
            <w:r w:rsidRPr="00256982">
              <w:rPr>
                <w:rFonts w:ascii="Arial" w:hAnsi="Arial"/>
                <w:sz w:val="16"/>
              </w:rPr>
              <w:t xml:space="preserve">dairy effluent management activity data </w:t>
            </w:r>
          </w:p>
        </w:tc>
        <w:tc>
          <w:tcPr>
            <w:tcW w:w="850" w:type="dxa"/>
            <w:tcBorders>
              <w:top w:val="nil"/>
              <w:left w:val="nil"/>
              <w:bottom w:val="single" w:sz="8" w:space="0" w:color="365F91"/>
              <w:right w:val="nil"/>
            </w:tcBorders>
            <w:shd w:val="clear" w:color="auto" w:fill="auto"/>
            <w:vAlign w:val="center"/>
          </w:tcPr>
          <w:p w14:paraId="43C9163B" w14:textId="77777777" w:rsidR="0068777C" w:rsidRPr="00256982" w:rsidRDefault="0068777C" w:rsidP="008113E1">
            <w:pPr>
              <w:spacing w:before="60" w:after="60"/>
              <w:jc w:val="center"/>
              <w:rPr>
                <w:rFonts w:ascii="Arial" w:hAnsi="Arial"/>
                <w:sz w:val="16"/>
                <w:szCs w:val="16"/>
              </w:rPr>
            </w:pPr>
            <w:r w:rsidRPr="00256982">
              <w:rPr>
                <w:rFonts w:ascii="Arial" w:hAnsi="Arial" w:cs="Arial"/>
                <w:color w:val="000000"/>
                <w:sz w:val="16"/>
                <w:szCs w:val="16"/>
              </w:rPr>
              <w:t>734.3</w:t>
            </w:r>
          </w:p>
        </w:tc>
        <w:tc>
          <w:tcPr>
            <w:tcW w:w="851" w:type="dxa"/>
            <w:tcBorders>
              <w:top w:val="nil"/>
              <w:left w:val="nil"/>
              <w:bottom w:val="single" w:sz="8" w:space="0" w:color="365F91"/>
              <w:right w:val="nil"/>
            </w:tcBorders>
            <w:shd w:val="clear" w:color="auto" w:fill="auto"/>
            <w:vAlign w:val="center"/>
          </w:tcPr>
          <w:p w14:paraId="1466B964" w14:textId="77777777" w:rsidR="0068777C" w:rsidRPr="00256982" w:rsidRDefault="0068777C" w:rsidP="008113E1">
            <w:pPr>
              <w:spacing w:before="60" w:after="60"/>
              <w:jc w:val="center"/>
              <w:rPr>
                <w:rFonts w:ascii="Arial" w:hAnsi="Arial"/>
                <w:sz w:val="16"/>
                <w:szCs w:val="16"/>
              </w:rPr>
            </w:pPr>
            <w:r w:rsidRPr="00256982">
              <w:rPr>
                <w:rFonts w:ascii="Arial" w:hAnsi="Arial" w:cs="Arial"/>
                <w:color w:val="000000"/>
                <w:sz w:val="16"/>
                <w:szCs w:val="16"/>
              </w:rPr>
              <w:t>1,235.7</w:t>
            </w:r>
          </w:p>
        </w:tc>
        <w:tc>
          <w:tcPr>
            <w:tcW w:w="1559" w:type="dxa"/>
            <w:tcBorders>
              <w:top w:val="nil"/>
              <w:left w:val="nil"/>
              <w:bottom w:val="single" w:sz="8" w:space="0" w:color="365F91"/>
              <w:right w:val="nil"/>
            </w:tcBorders>
            <w:shd w:val="clear" w:color="auto" w:fill="auto"/>
            <w:vAlign w:val="center"/>
          </w:tcPr>
          <w:p w14:paraId="43E2FF07" w14:textId="77777777" w:rsidR="0068777C" w:rsidRPr="00256982" w:rsidRDefault="0068777C" w:rsidP="008113E1">
            <w:pPr>
              <w:spacing w:before="60" w:after="60"/>
              <w:jc w:val="center"/>
              <w:rPr>
                <w:rFonts w:ascii="Arial" w:hAnsi="Arial"/>
                <w:sz w:val="16"/>
                <w:szCs w:val="16"/>
              </w:rPr>
            </w:pPr>
            <w:r w:rsidRPr="00256982">
              <w:rPr>
                <w:rFonts w:ascii="Arial" w:hAnsi="Arial" w:cs="Arial"/>
                <w:color w:val="000000"/>
                <w:sz w:val="16"/>
                <w:szCs w:val="16"/>
              </w:rPr>
              <w:t>501.4</w:t>
            </w:r>
          </w:p>
        </w:tc>
        <w:tc>
          <w:tcPr>
            <w:tcW w:w="1559" w:type="dxa"/>
            <w:tcBorders>
              <w:top w:val="nil"/>
              <w:left w:val="nil"/>
              <w:bottom w:val="single" w:sz="8" w:space="0" w:color="365F91"/>
              <w:right w:val="nil"/>
            </w:tcBorders>
            <w:shd w:val="clear" w:color="auto" w:fill="auto"/>
            <w:vAlign w:val="center"/>
          </w:tcPr>
          <w:p w14:paraId="765E973E" w14:textId="77777777" w:rsidR="0068777C" w:rsidRPr="00256982" w:rsidRDefault="0068777C" w:rsidP="008113E1">
            <w:pPr>
              <w:spacing w:before="60" w:after="60"/>
              <w:jc w:val="center"/>
              <w:rPr>
                <w:rFonts w:ascii="Arial" w:hAnsi="Arial"/>
                <w:sz w:val="16"/>
                <w:szCs w:val="16"/>
              </w:rPr>
            </w:pPr>
            <w:r w:rsidRPr="00256982">
              <w:rPr>
                <w:rFonts w:ascii="Arial" w:hAnsi="Arial" w:cs="Arial"/>
                <w:color w:val="000000"/>
                <w:sz w:val="16"/>
                <w:szCs w:val="16"/>
              </w:rPr>
              <w:t>68.3</w:t>
            </w:r>
          </w:p>
        </w:tc>
      </w:tr>
      <w:tr w:rsidR="0068777C" w:rsidRPr="00256982" w14:paraId="5AB58BC1" w14:textId="77777777" w:rsidTr="0068777C">
        <w:trPr>
          <w:trHeight w:val="454"/>
        </w:trPr>
        <w:tc>
          <w:tcPr>
            <w:tcW w:w="1418" w:type="dxa"/>
            <w:vMerge/>
          </w:tcPr>
          <w:p w14:paraId="2C7C4AAB" w14:textId="77777777" w:rsidR="0068777C" w:rsidRPr="00256982" w:rsidRDefault="0068777C" w:rsidP="008113E1">
            <w:pPr>
              <w:spacing w:before="60" w:after="60"/>
              <w:jc w:val="left"/>
              <w:rPr>
                <w:rFonts w:ascii="Arial" w:hAnsi="Arial"/>
                <w:sz w:val="16"/>
              </w:rPr>
            </w:pPr>
          </w:p>
        </w:tc>
        <w:tc>
          <w:tcPr>
            <w:tcW w:w="2268" w:type="dxa"/>
          </w:tcPr>
          <w:p w14:paraId="37494FE6" w14:textId="77777777" w:rsidR="0068777C" w:rsidRPr="00256982" w:rsidRDefault="0068777C" w:rsidP="008113E1">
            <w:pPr>
              <w:spacing w:before="60" w:after="60"/>
              <w:jc w:val="left"/>
              <w:rPr>
                <w:rFonts w:ascii="Arial" w:hAnsi="Arial"/>
                <w:sz w:val="16"/>
              </w:rPr>
            </w:pPr>
            <w:r w:rsidRPr="00256982">
              <w:rPr>
                <w:rFonts w:ascii="Arial" w:hAnsi="Arial"/>
                <w:sz w:val="16"/>
              </w:rPr>
              <w:t xml:space="preserve">2019 (1990–2017) emissions estimate </w:t>
            </w:r>
            <w:r w:rsidRPr="00256982">
              <w:rPr>
                <w:rFonts w:ascii="Arial" w:hAnsi="Arial"/>
                <w:i/>
                <w:sz w:val="16"/>
              </w:rPr>
              <w:t>using new</w:t>
            </w:r>
            <w:r w:rsidRPr="00256982">
              <w:rPr>
                <w:rFonts w:ascii="Arial" w:hAnsi="Arial"/>
                <w:sz w:val="16"/>
              </w:rPr>
              <w:t xml:space="preserve"> dairy effluent management activity data</w:t>
            </w:r>
          </w:p>
        </w:tc>
        <w:tc>
          <w:tcPr>
            <w:tcW w:w="850" w:type="dxa"/>
            <w:tcBorders>
              <w:top w:val="nil"/>
              <w:left w:val="nil"/>
              <w:bottom w:val="single" w:sz="8" w:space="0" w:color="365F91"/>
              <w:right w:val="nil"/>
            </w:tcBorders>
            <w:shd w:val="clear" w:color="auto" w:fill="auto"/>
            <w:vAlign w:val="center"/>
          </w:tcPr>
          <w:p w14:paraId="128AF2DD" w14:textId="77777777" w:rsidR="0068777C" w:rsidRPr="00256982" w:rsidRDefault="0068777C" w:rsidP="008113E1">
            <w:pPr>
              <w:spacing w:before="60" w:after="60"/>
              <w:jc w:val="center"/>
              <w:rPr>
                <w:rFonts w:ascii="Arial" w:hAnsi="Arial"/>
                <w:sz w:val="16"/>
                <w:szCs w:val="16"/>
              </w:rPr>
            </w:pPr>
            <w:r w:rsidRPr="00256982">
              <w:rPr>
                <w:rFonts w:ascii="Arial" w:hAnsi="Arial" w:cs="Arial"/>
                <w:color w:val="000000"/>
                <w:sz w:val="16"/>
                <w:szCs w:val="16"/>
              </w:rPr>
              <w:t>720.7</w:t>
            </w:r>
          </w:p>
        </w:tc>
        <w:tc>
          <w:tcPr>
            <w:tcW w:w="851" w:type="dxa"/>
            <w:tcBorders>
              <w:top w:val="nil"/>
              <w:left w:val="nil"/>
              <w:bottom w:val="single" w:sz="8" w:space="0" w:color="365F91"/>
              <w:right w:val="nil"/>
            </w:tcBorders>
            <w:shd w:val="clear" w:color="auto" w:fill="auto"/>
            <w:vAlign w:val="center"/>
          </w:tcPr>
          <w:p w14:paraId="7793C69F" w14:textId="77777777" w:rsidR="0068777C" w:rsidRPr="00256982" w:rsidRDefault="0068777C" w:rsidP="008113E1">
            <w:pPr>
              <w:spacing w:before="60" w:after="60"/>
              <w:jc w:val="center"/>
              <w:rPr>
                <w:rFonts w:ascii="Arial" w:hAnsi="Arial"/>
                <w:sz w:val="16"/>
                <w:szCs w:val="16"/>
              </w:rPr>
            </w:pPr>
            <w:r w:rsidRPr="00256982">
              <w:rPr>
                <w:rFonts w:ascii="Arial" w:hAnsi="Arial" w:cs="Arial"/>
                <w:color w:val="000000"/>
                <w:sz w:val="16"/>
                <w:szCs w:val="16"/>
              </w:rPr>
              <w:t>1,596.8</w:t>
            </w:r>
          </w:p>
        </w:tc>
        <w:tc>
          <w:tcPr>
            <w:tcW w:w="1559" w:type="dxa"/>
            <w:tcBorders>
              <w:top w:val="nil"/>
              <w:left w:val="nil"/>
              <w:bottom w:val="single" w:sz="8" w:space="0" w:color="365F91"/>
              <w:right w:val="nil"/>
            </w:tcBorders>
            <w:shd w:val="clear" w:color="auto" w:fill="auto"/>
            <w:vAlign w:val="center"/>
          </w:tcPr>
          <w:p w14:paraId="7B37C6C2" w14:textId="77777777" w:rsidR="0068777C" w:rsidRPr="00256982" w:rsidRDefault="0068777C" w:rsidP="008113E1">
            <w:pPr>
              <w:spacing w:before="60" w:after="60"/>
              <w:jc w:val="center"/>
              <w:rPr>
                <w:rFonts w:ascii="Arial" w:hAnsi="Arial" w:cs="Arial"/>
                <w:sz w:val="16"/>
                <w:szCs w:val="16"/>
              </w:rPr>
            </w:pPr>
            <w:r w:rsidRPr="00256982">
              <w:rPr>
                <w:rFonts w:ascii="Arial" w:hAnsi="Arial" w:cs="Arial"/>
                <w:color w:val="000000"/>
                <w:sz w:val="16"/>
                <w:szCs w:val="16"/>
              </w:rPr>
              <w:t>876.0</w:t>
            </w:r>
          </w:p>
        </w:tc>
        <w:tc>
          <w:tcPr>
            <w:tcW w:w="1559" w:type="dxa"/>
            <w:tcBorders>
              <w:top w:val="nil"/>
              <w:left w:val="nil"/>
              <w:bottom w:val="single" w:sz="8" w:space="0" w:color="365F91"/>
              <w:right w:val="nil"/>
            </w:tcBorders>
            <w:shd w:val="clear" w:color="auto" w:fill="auto"/>
            <w:vAlign w:val="center"/>
          </w:tcPr>
          <w:p w14:paraId="25D0EA34" w14:textId="77777777" w:rsidR="0068777C" w:rsidRPr="00256982" w:rsidRDefault="0068777C" w:rsidP="008113E1">
            <w:pPr>
              <w:spacing w:before="60" w:after="60"/>
              <w:jc w:val="center"/>
              <w:rPr>
                <w:rFonts w:ascii="Arial" w:hAnsi="Arial" w:cs="Arial"/>
                <w:sz w:val="16"/>
                <w:szCs w:val="16"/>
              </w:rPr>
            </w:pPr>
            <w:r w:rsidRPr="00256982">
              <w:rPr>
                <w:rFonts w:ascii="Arial" w:hAnsi="Arial" w:cs="Arial"/>
                <w:color w:val="000000"/>
                <w:sz w:val="16"/>
                <w:szCs w:val="16"/>
              </w:rPr>
              <w:t>121.5</w:t>
            </w:r>
          </w:p>
        </w:tc>
      </w:tr>
      <w:tr w:rsidR="0068777C" w:rsidRPr="00256982" w14:paraId="104391AE" w14:textId="77777777" w:rsidTr="0068777C">
        <w:trPr>
          <w:trHeight w:val="454"/>
        </w:trPr>
        <w:tc>
          <w:tcPr>
            <w:tcW w:w="1418" w:type="dxa"/>
            <w:vMerge/>
          </w:tcPr>
          <w:p w14:paraId="01BF542B" w14:textId="77777777" w:rsidR="0068777C" w:rsidRPr="00256982" w:rsidRDefault="0068777C" w:rsidP="008113E1">
            <w:pPr>
              <w:spacing w:before="60" w:after="60"/>
              <w:jc w:val="left"/>
              <w:rPr>
                <w:rFonts w:ascii="Arial" w:hAnsi="Arial"/>
                <w:sz w:val="16"/>
              </w:rPr>
            </w:pPr>
          </w:p>
        </w:tc>
        <w:tc>
          <w:tcPr>
            <w:tcW w:w="2268" w:type="dxa"/>
          </w:tcPr>
          <w:p w14:paraId="240C9C10" w14:textId="77777777" w:rsidR="0068777C" w:rsidRPr="00256982" w:rsidRDefault="0068777C" w:rsidP="008113E1">
            <w:pPr>
              <w:spacing w:before="60" w:after="60"/>
              <w:jc w:val="left"/>
              <w:rPr>
                <w:rFonts w:ascii="Arial" w:hAnsi="Arial"/>
                <w:sz w:val="16"/>
              </w:rPr>
            </w:pPr>
            <w:r w:rsidRPr="00256982">
              <w:rPr>
                <w:rFonts w:ascii="Arial" w:hAnsi="Arial"/>
                <w:sz w:val="16"/>
              </w:rPr>
              <w:t>Difference in emission estimates compared with current inventory</w:t>
            </w:r>
          </w:p>
        </w:tc>
        <w:tc>
          <w:tcPr>
            <w:tcW w:w="850" w:type="dxa"/>
            <w:tcBorders>
              <w:top w:val="nil"/>
              <w:left w:val="nil"/>
              <w:bottom w:val="single" w:sz="8" w:space="0" w:color="365F91"/>
              <w:right w:val="nil"/>
            </w:tcBorders>
            <w:shd w:val="clear" w:color="auto" w:fill="auto"/>
            <w:vAlign w:val="center"/>
          </w:tcPr>
          <w:p w14:paraId="12CBCC43" w14:textId="77777777" w:rsidR="0068777C" w:rsidRPr="00256982" w:rsidRDefault="0068777C" w:rsidP="008113E1">
            <w:pPr>
              <w:spacing w:before="60" w:after="60"/>
              <w:jc w:val="center"/>
              <w:rPr>
                <w:rFonts w:ascii="Arial" w:hAnsi="Arial"/>
                <w:sz w:val="16"/>
                <w:szCs w:val="16"/>
              </w:rPr>
            </w:pPr>
            <w:r w:rsidRPr="00256982">
              <w:rPr>
                <w:rFonts w:ascii="Arial" w:hAnsi="Arial" w:cs="Arial"/>
                <w:color w:val="000000"/>
                <w:sz w:val="16"/>
                <w:szCs w:val="16"/>
              </w:rPr>
              <w:t>–13.6</w:t>
            </w:r>
          </w:p>
        </w:tc>
        <w:tc>
          <w:tcPr>
            <w:tcW w:w="851" w:type="dxa"/>
            <w:tcBorders>
              <w:top w:val="nil"/>
              <w:left w:val="nil"/>
              <w:bottom w:val="single" w:sz="8" w:space="0" w:color="365F91"/>
              <w:right w:val="nil"/>
            </w:tcBorders>
            <w:shd w:val="clear" w:color="auto" w:fill="auto"/>
            <w:vAlign w:val="center"/>
          </w:tcPr>
          <w:p w14:paraId="2F67E488" w14:textId="77777777" w:rsidR="0068777C" w:rsidRPr="00256982" w:rsidRDefault="0068777C" w:rsidP="008113E1">
            <w:pPr>
              <w:spacing w:before="60" w:after="60"/>
              <w:jc w:val="center"/>
              <w:rPr>
                <w:rFonts w:ascii="Arial" w:hAnsi="Arial"/>
                <w:sz w:val="16"/>
                <w:szCs w:val="16"/>
              </w:rPr>
            </w:pPr>
            <w:r w:rsidRPr="00256982">
              <w:rPr>
                <w:rFonts w:ascii="Arial" w:hAnsi="Arial" w:cs="Arial"/>
                <w:color w:val="000000"/>
                <w:sz w:val="16"/>
                <w:szCs w:val="16"/>
              </w:rPr>
              <w:t>361.1</w:t>
            </w:r>
          </w:p>
        </w:tc>
        <w:tc>
          <w:tcPr>
            <w:tcW w:w="1559" w:type="dxa"/>
            <w:tcBorders>
              <w:top w:val="nil"/>
              <w:left w:val="nil"/>
              <w:bottom w:val="single" w:sz="8" w:space="0" w:color="365F91"/>
              <w:right w:val="nil"/>
            </w:tcBorders>
            <w:shd w:val="clear" w:color="auto" w:fill="auto"/>
            <w:vAlign w:val="center"/>
          </w:tcPr>
          <w:p w14:paraId="3FB7061B" w14:textId="77777777" w:rsidR="0068777C" w:rsidRPr="00256982" w:rsidRDefault="0068777C" w:rsidP="008113E1">
            <w:pPr>
              <w:spacing w:before="60" w:after="60"/>
              <w:jc w:val="center"/>
              <w:rPr>
                <w:rFonts w:ascii="Arial" w:hAnsi="Arial" w:cs="Arial"/>
                <w:sz w:val="16"/>
                <w:szCs w:val="16"/>
              </w:rPr>
            </w:pPr>
            <w:r w:rsidRPr="00256982">
              <w:rPr>
                <w:rFonts w:ascii="Arial" w:hAnsi="Arial" w:cs="Arial"/>
                <w:color w:val="000000"/>
                <w:sz w:val="16"/>
                <w:szCs w:val="16"/>
              </w:rPr>
              <w:t>374.6</w:t>
            </w:r>
          </w:p>
        </w:tc>
        <w:tc>
          <w:tcPr>
            <w:tcW w:w="1559" w:type="dxa"/>
            <w:tcBorders>
              <w:top w:val="nil"/>
              <w:left w:val="nil"/>
              <w:bottom w:val="single" w:sz="8" w:space="0" w:color="365F91"/>
              <w:right w:val="nil"/>
            </w:tcBorders>
            <w:shd w:val="clear" w:color="auto" w:fill="auto"/>
            <w:vAlign w:val="center"/>
          </w:tcPr>
          <w:p w14:paraId="6B720556" w14:textId="77777777" w:rsidR="0068777C" w:rsidRPr="00256982" w:rsidRDefault="0068777C" w:rsidP="008113E1">
            <w:pPr>
              <w:spacing w:before="60" w:after="60"/>
              <w:jc w:val="center"/>
              <w:rPr>
                <w:rFonts w:ascii="Arial" w:hAnsi="Arial" w:cs="Arial"/>
                <w:sz w:val="16"/>
              </w:rPr>
            </w:pPr>
            <w:r w:rsidRPr="00256982">
              <w:t>–</w:t>
            </w:r>
          </w:p>
        </w:tc>
      </w:tr>
      <w:tr w:rsidR="0068777C" w:rsidRPr="00256982" w14:paraId="7DD87C97" w14:textId="77777777" w:rsidTr="0068777C">
        <w:trPr>
          <w:trHeight w:val="454"/>
        </w:trPr>
        <w:tc>
          <w:tcPr>
            <w:tcW w:w="1418" w:type="dxa"/>
            <w:vMerge/>
          </w:tcPr>
          <w:p w14:paraId="0B38872C" w14:textId="77777777" w:rsidR="0068777C" w:rsidRPr="00256982" w:rsidRDefault="0068777C" w:rsidP="008113E1">
            <w:pPr>
              <w:spacing w:before="60" w:after="60"/>
              <w:jc w:val="left"/>
              <w:rPr>
                <w:rFonts w:ascii="Arial" w:hAnsi="Arial"/>
                <w:sz w:val="16"/>
              </w:rPr>
            </w:pPr>
          </w:p>
        </w:tc>
        <w:tc>
          <w:tcPr>
            <w:tcW w:w="2268" w:type="dxa"/>
          </w:tcPr>
          <w:p w14:paraId="12A656FD" w14:textId="77777777" w:rsidR="0068777C" w:rsidRPr="00256982" w:rsidRDefault="0068777C" w:rsidP="008113E1">
            <w:pPr>
              <w:spacing w:before="60" w:after="60"/>
              <w:jc w:val="left"/>
              <w:rPr>
                <w:rFonts w:ascii="Arial" w:hAnsi="Arial"/>
                <w:sz w:val="16"/>
              </w:rPr>
            </w:pPr>
            <w:r w:rsidRPr="00256982">
              <w:rPr>
                <w:rFonts w:ascii="Arial" w:hAnsi="Arial"/>
                <w:sz w:val="16"/>
              </w:rPr>
              <w:t>Percentage difference in emission estimates</w:t>
            </w:r>
          </w:p>
        </w:tc>
        <w:tc>
          <w:tcPr>
            <w:tcW w:w="850" w:type="dxa"/>
            <w:tcBorders>
              <w:top w:val="nil"/>
              <w:left w:val="nil"/>
              <w:bottom w:val="single" w:sz="8" w:space="0" w:color="365F91"/>
              <w:right w:val="nil"/>
            </w:tcBorders>
            <w:shd w:val="clear" w:color="auto" w:fill="auto"/>
            <w:vAlign w:val="center"/>
          </w:tcPr>
          <w:p w14:paraId="1263DDA3" w14:textId="77777777" w:rsidR="0068777C" w:rsidRPr="00256982" w:rsidRDefault="0068777C" w:rsidP="008113E1">
            <w:pPr>
              <w:spacing w:before="60" w:after="60"/>
              <w:jc w:val="center"/>
              <w:rPr>
                <w:rFonts w:ascii="Arial" w:hAnsi="Arial" w:cs="Arial"/>
                <w:sz w:val="16"/>
                <w:szCs w:val="16"/>
              </w:rPr>
            </w:pPr>
            <w:r w:rsidRPr="00256982">
              <w:rPr>
                <w:rFonts w:ascii="Arial" w:hAnsi="Arial" w:cs="Arial"/>
                <w:color w:val="000000"/>
                <w:sz w:val="16"/>
                <w:szCs w:val="16"/>
              </w:rPr>
              <w:t>–1.8</w:t>
            </w:r>
          </w:p>
        </w:tc>
        <w:tc>
          <w:tcPr>
            <w:tcW w:w="851" w:type="dxa"/>
            <w:tcBorders>
              <w:top w:val="nil"/>
              <w:left w:val="nil"/>
              <w:bottom w:val="single" w:sz="8" w:space="0" w:color="365F91"/>
              <w:right w:val="nil"/>
            </w:tcBorders>
            <w:shd w:val="clear" w:color="auto" w:fill="auto"/>
            <w:vAlign w:val="center"/>
          </w:tcPr>
          <w:p w14:paraId="1C3A72C2" w14:textId="77777777" w:rsidR="0068777C" w:rsidRPr="00256982" w:rsidRDefault="0068777C" w:rsidP="008113E1">
            <w:pPr>
              <w:spacing w:before="60" w:after="60"/>
              <w:jc w:val="center"/>
              <w:rPr>
                <w:rFonts w:ascii="Arial" w:hAnsi="Arial" w:cs="Arial"/>
                <w:sz w:val="16"/>
                <w:szCs w:val="16"/>
              </w:rPr>
            </w:pPr>
            <w:r w:rsidRPr="00256982">
              <w:rPr>
                <w:rFonts w:ascii="Arial" w:hAnsi="Arial" w:cs="Arial"/>
                <w:color w:val="000000"/>
                <w:sz w:val="16"/>
                <w:szCs w:val="16"/>
              </w:rPr>
              <w:t>29.2</w:t>
            </w:r>
          </w:p>
        </w:tc>
        <w:tc>
          <w:tcPr>
            <w:tcW w:w="1559" w:type="dxa"/>
            <w:tcBorders>
              <w:top w:val="nil"/>
              <w:left w:val="nil"/>
              <w:bottom w:val="single" w:sz="8" w:space="0" w:color="365F91"/>
              <w:right w:val="nil"/>
            </w:tcBorders>
            <w:shd w:val="clear" w:color="auto" w:fill="auto"/>
            <w:vAlign w:val="center"/>
          </w:tcPr>
          <w:p w14:paraId="09514D54" w14:textId="77777777" w:rsidR="0068777C" w:rsidRPr="00256982" w:rsidRDefault="0068777C" w:rsidP="008113E1">
            <w:pPr>
              <w:spacing w:before="60" w:after="60"/>
              <w:jc w:val="center"/>
              <w:rPr>
                <w:rFonts w:ascii="Arial" w:hAnsi="Arial" w:cs="Arial"/>
                <w:sz w:val="16"/>
              </w:rPr>
            </w:pPr>
            <w:r w:rsidRPr="00256982">
              <w:t>–</w:t>
            </w:r>
          </w:p>
        </w:tc>
        <w:tc>
          <w:tcPr>
            <w:tcW w:w="1559" w:type="dxa"/>
            <w:tcBorders>
              <w:top w:val="nil"/>
              <w:left w:val="nil"/>
              <w:bottom w:val="single" w:sz="8" w:space="0" w:color="365F91"/>
              <w:right w:val="nil"/>
            </w:tcBorders>
            <w:shd w:val="clear" w:color="auto" w:fill="auto"/>
            <w:vAlign w:val="center"/>
          </w:tcPr>
          <w:p w14:paraId="0F10429F" w14:textId="77777777" w:rsidR="0068777C" w:rsidRPr="00256982" w:rsidRDefault="0068777C" w:rsidP="008113E1">
            <w:pPr>
              <w:spacing w:before="60" w:after="60"/>
              <w:jc w:val="center"/>
              <w:rPr>
                <w:rFonts w:ascii="Arial" w:hAnsi="Arial" w:cs="Arial"/>
                <w:sz w:val="16"/>
              </w:rPr>
            </w:pPr>
            <w:r w:rsidRPr="00256982">
              <w:t>–</w:t>
            </w:r>
          </w:p>
        </w:tc>
      </w:tr>
    </w:tbl>
    <w:p w14:paraId="75309AD9" w14:textId="77777777" w:rsidR="0068777C" w:rsidRPr="00256982" w:rsidRDefault="0068777C" w:rsidP="0068777C">
      <w:pPr>
        <w:pStyle w:val="Heading3"/>
        <w:spacing w:before="440"/>
      </w:pPr>
      <w:r w:rsidRPr="00256982">
        <w:lastRenderedPageBreak/>
        <w:t>5.3.6</w:t>
      </w:r>
      <w:r w:rsidRPr="00256982">
        <w:tab/>
        <w:t xml:space="preserve">Source-specific planned improvements </w:t>
      </w:r>
    </w:p>
    <w:bookmarkEnd w:id="653"/>
    <w:p w14:paraId="64B1698C" w14:textId="77777777" w:rsidR="0068777C" w:rsidRPr="00256982" w:rsidRDefault="0068777C" w:rsidP="0068777C">
      <w:pPr>
        <w:pStyle w:val="BodyText"/>
      </w:pPr>
      <w:r w:rsidRPr="00256982">
        <w:t xml:space="preserve">The following section covers the planned improvements being undertaken for </w:t>
      </w:r>
      <w:r w:rsidRPr="00256982">
        <w:rPr>
          <w:i/>
          <w:iCs/>
        </w:rPr>
        <w:t>Manure management</w:t>
      </w:r>
      <w:r w:rsidRPr="00256982">
        <w:t xml:space="preserve">. These findings may be incorporated in future annual inventory submissions. </w:t>
      </w:r>
    </w:p>
    <w:p w14:paraId="052AFD4D" w14:textId="77777777" w:rsidR="0068777C" w:rsidRPr="00256982" w:rsidRDefault="0068777C" w:rsidP="0068777C">
      <w:pPr>
        <w:pStyle w:val="Heading5"/>
      </w:pPr>
      <w:r w:rsidRPr="00256982">
        <w:t>Improvement of the manure management inventory</w:t>
      </w:r>
    </w:p>
    <w:p w14:paraId="5D44137D" w14:textId="77777777" w:rsidR="0068777C" w:rsidRPr="00256982" w:rsidRDefault="0068777C" w:rsidP="0068777C">
      <w:pPr>
        <w:pStyle w:val="BodyText"/>
      </w:pPr>
      <w:r w:rsidRPr="00256982">
        <w:t>A research project is currently under way that aims to improve the manure management component of the inventory. This project will review the current manure management methodology, recommended changes to the current methodology and identify in detail further research that needs to be undertaken to enhance the accuracy of estimations of emissions from manure management. The project includes a workshop in 2019 with international experts.</w:t>
      </w:r>
    </w:p>
    <w:p w14:paraId="17AC9C2C" w14:textId="77777777" w:rsidR="0068777C" w:rsidRPr="00256982" w:rsidRDefault="0068777C" w:rsidP="0068777C">
      <w:pPr>
        <w:pStyle w:val="Heading2"/>
      </w:pPr>
      <w:bookmarkStart w:id="670" w:name="_Toc134847207"/>
      <w:bookmarkStart w:id="671" w:name="_Toc139253930"/>
      <w:bookmarkStart w:id="672" w:name="_Toc144710415"/>
      <w:bookmarkStart w:id="673" w:name="_Toc165890369"/>
      <w:bookmarkStart w:id="674" w:name="_Toc195322663"/>
      <w:bookmarkStart w:id="675" w:name="_Toc235955529"/>
      <w:bookmarkStart w:id="676" w:name="_Toc288316642"/>
      <w:bookmarkStart w:id="677" w:name="_Toc352504862"/>
      <w:bookmarkStart w:id="678" w:name="_Toc448321525"/>
      <w:bookmarkStart w:id="679" w:name="_Toc481751387"/>
      <w:bookmarkStart w:id="680" w:name="_Toc511116602"/>
      <w:bookmarkStart w:id="681" w:name="_Toc5269364"/>
      <w:r w:rsidRPr="00256982">
        <w:t>5.4</w:t>
      </w:r>
      <w:r w:rsidRPr="00256982">
        <w:tab/>
        <w:t>Rice cultivation (CRF 3.C)</w:t>
      </w:r>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70"/>
      <w:bookmarkEnd w:id="671"/>
      <w:bookmarkEnd w:id="672"/>
      <w:bookmarkEnd w:id="673"/>
      <w:bookmarkEnd w:id="674"/>
      <w:bookmarkEnd w:id="675"/>
      <w:bookmarkEnd w:id="676"/>
      <w:bookmarkEnd w:id="677"/>
      <w:bookmarkEnd w:id="678"/>
      <w:bookmarkEnd w:id="679"/>
      <w:bookmarkEnd w:id="680"/>
      <w:bookmarkEnd w:id="681"/>
    </w:p>
    <w:p w14:paraId="53EFFDD4" w14:textId="77777777" w:rsidR="0068777C" w:rsidRPr="00256982" w:rsidRDefault="0068777C" w:rsidP="0068777C">
      <w:pPr>
        <w:pStyle w:val="Heading3"/>
        <w:spacing w:before="200"/>
      </w:pPr>
      <w:bookmarkStart w:id="682" w:name="_Toc139253931"/>
      <w:r w:rsidRPr="00256982">
        <w:t>5.4.1</w:t>
      </w:r>
      <w:r w:rsidRPr="00256982">
        <w:tab/>
        <w:t>Description</w:t>
      </w:r>
      <w:bookmarkEnd w:id="682"/>
    </w:p>
    <w:p w14:paraId="38E9908C" w14:textId="77777777" w:rsidR="0068777C" w:rsidRPr="00256982" w:rsidRDefault="0068777C" w:rsidP="0068777C">
      <w:pPr>
        <w:pStyle w:val="BodyText"/>
      </w:pPr>
      <w:r w:rsidRPr="00256982">
        <w:t xml:space="preserve">At present, no commercial rice cultivation is carried out in New Zealand. This has been confirmed with experts from Plant and Food Research. The ‘NO’ (not occurring) notation is reported in the CRF tables. </w:t>
      </w:r>
    </w:p>
    <w:p w14:paraId="735B1F3A" w14:textId="77777777" w:rsidR="0068777C" w:rsidRPr="00256982" w:rsidRDefault="0068777C" w:rsidP="0068777C">
      <w:pPr>
        <w:pStyle w:val="Heading2"/>
      </w:pPr>
      <w:bookmarkStart w:id="683" w:name="_Toc69611742"/>
      <w:bookmarkStart w:id="684" w:name="_Toc69612698"/>
      <w:bookmarkStart w:id="685" w:name="_Toc69612897"/>
      <w:bookmarkStart w:id="686" w:name="_Toc69613157"/>
      <w:bookmarkStart w:id="687" w:name="_Toc69633321"/>
      <w:bookmarkStart w:id="688" w:name="_Toc69717486"/>
      <w:bookmarkStart w:id="689" w:name="_Toc69802968"/>
      <w:bookmarkStart w:id="690" w:name="_Toc69815105"/>
      <w:bookmarkStart w:id="691" w:name="_Toc70492398"/>
      <w:bookmarkStart w:id="692" w:name="_Toc101310605"/>
      <w:bookmarkStart w:id="693" w:name="_Toc101318465"/>
      <w:bookmarkStart w:id="694" w:name="_Toc101318570"/>
      <w:bookmarkStart w:id="695" w:name="_Toc101318754"/>
      <w:bookmarkStart w:id="696" w:name="_Toc101334030"/>
      <w:bookmarkStart w:id="697" w:name="_Toc134847208"/>
      <w:bookmarkStart w:id="698" w:name="_Toc139253932"/>
      <w:bookmarkStart w:id="699" w:name="_Toc144710416"/>
      <w:bookmarkStart w:id="700" w:name="_Toc165890370"/>
      <w:bookmarkStart w:id="701" w:name="_Toc195322664"/>
      <w:bookmarkStart w:id="702" w:name="_Toc235955530"/>
      <w:bookmarkStart w:id="703" w:name="_Toc288316643"/>
      <w:bookmarkStart w:id="704" w:name="_Toc352504863"/>
      <w:bookmarkStart w:id="705" w:name="_Toc448321526"/>
      <w:bookmarkStart w:id="706" w:name="_Toc481751388"/>
      <w:bookmarkStart w:id="707" w:name="_Toc511116603"/>
      <w:bookmarkStart w:id="708" w:name="_Toc5269365"/>
      <w:r w:rsidRPr="00256982">
        <w:t>5.5</w:t>
      </w:r>
      <w:r w:rsidRPr="00256982">
        <w:tab/>
        <w:t>Agricultural soils (CRF 3.D)</w:t>
      </w:r>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p>
    <w:p w14:paraId="09C9E225" w14:textId="77777777" w:rsidR="0068777C" w:rsidRPr="00256982" w:rsidRDefault="0068777C" w:rsidP="0068777C">
      <w:pPr>
        <w:pStyle w:val="Heading3"/>
        <w:spacing w:before="200"/>
      </w:pPr>
      <w:bookmarkStart w:id="709" w:name="_Toc139253933"/>
      <w:r w:rsidRPr="00256982">
        <w:t>5.5.1</w:t>
      </w:r>
      <w:r w:rsidRPr="00256982">
        <w:tab/>
        <w:t>Description</w:t>
      </w:r>
      <w:bookmarkEnd w:id="709"/>
    </w:p>
    <w:p w14:paraId="20F5527A" w14:textId="77777777" w:rsidR="0068777C" w:rsidRPr="00256982" w:rsidRDefault="0068777C" w:rsidP="0068777C">
      <w:pPr>
        <w:pStyle w:val="BodyText"/>
      </w:pPr>
      <w:r w:rsidRPr="00256982">
        <w:t xml:space="preserve">In 2017, the </w:t>
      </w:r>
      <w:r w:rsidRPr="00256982">
        <w:rPr>
          <w:i/>
        </w:rPr>
        <w:t>Agricultural soils</w:t>
      </w:r>
      <w:r w:rsidRPr="00256982">
        <w:t xml:space="preserve"> category contributed 8,566.2 kt CO</w:t>
      </w:r>
      <w:r w:rsidRPr="00256982">
        <w:rPr>
          <w:vertAlign w:val="subscript"/>
        </w:rPr>
        <w:t>2</w:t>
      </w:r>
      <w:r w:rsidRPr="00256982">
        <w:t xml:space="preserve">-e (10.6 per cent) to New Zealand’s gross emissions and 94 per cent of New Zealand’s total </w:t>
      </w:r>
      <w:r w:rsidRPr="00256982">
        <w:rPr>
          <w:spacing w:val="-2"/>
        </w:rPr>
        <w:t>N</w:t>
      </w:r>
      <w:r w:rsidRPr="00256982">
        <w:rPr>
          <w:spacing w:val="-2"/>
          <w:vertAlign w:val="subscript"/>
        </w:rPr>
        <w:t>2</w:t>
      </w:r>
      <w:r w:rsidRPr="00256982">
        <w:rPr>
          <w:spacing w:val="-2"/>
        </w:rPr>
        <w:t>O</w:t>
      </w:r>
      <w:r w:rsidRPr="00256982">
        <w:t xml:space="preserve"> emissions. Emissions were 1,877.0 kt CO</w:t>
      </w:r>
      <w:r w:rsidRPr="00256982">
        <w:rPr>
          <w:vertAlign w:val="subscript"/>
        </w:rPr>
        <w:t>2</w:t>
      </w:r>
      <w:r w:rsidRPr="00256982">
        <w:t>-e (28.1 per cent) above the 1990 level of 6,689.1 kt CO</w:t>
      </w:r>
      <w:r w:rsidRPr="00256982">
        <w:rPr>
          <w:vertAlign w:val="subscript"/>
        </w:rPr>
        <w:t>2</w:t>
      </w:r>
      <w:r w:rsidRPr="00256982">
        <w:noBreakHyphen/>
        <w:t xml:space="preserve">e. </w:t>
      </w:r>
    </w:p>
    <w:p w14:paraId="7E69CC29" w14:textId="77777777" w:rsidR="0068777C" w:rsidRPr="00256982" w:rsidRDefault="0068777C" w:rsidP="0068777C">
      <w:pPr>
        <w:pStyle w:val="BodyText"/>
      </w:pPr>
      <w:r w:rsidRPr="00256982">
        <w:t>Several categories contribute to N</w:t>
      </w:r>
      <w:r w:rsidRPr="00256982">
        <w:rPr>
          <w:vertAlign w:val="subscript"/>
        </w:rPr>
        <w:t>2</w:t>
      </w:r>
      <w:r w:rsidRPr="00256982">
        <w:t>O emissions from agricultural soils from both direct and indirect pathways (see figure 5.5.1). Direct N</w:t>
      </w:r>
      <w:r w:rsidRPr="00256982">
        <w:rPr>
          <w:vertAlign w:val="subscript"/>
        </w:rPr>
        <w:t>2</w:t>
      </w:r>
      <w:r w:rsidRPr="00256982">
        <w:t>O emissions come directly from the soils to which nitrogen has been added or released. Indirect emissions come from the volatilisation (evaporation or sublimation) of nitrogen from the land. A fraction of this volatilised nitrogen returns to the ground during rainfall and is then re-emitted as N</w:t>
      </w:r>
      <w:r w:rsidRPr="00256982">
        <w:rPr>
          <w:vertAlign w:val="subscript"/>
        </w:rPr>
        <w:t>2</w:t>
      </w:r>
      <w:r w:rsidRPr="00256982">
        <w:t xml:space="preserve">O. Indirect emissions also arise from leaching and runoff of nitrogen (IPCC, 2006). Figure 5.5.1 shows the key country-specific emission factors and parameters that New Zealand has developed for some of the </w:t>
      </w:r>
      <w:r w:rsidRPr="00256982">
        <w:rPr>
          <w:i/>
        </w:rPr>
        <w:t>Agricultural soils</w:t>
      </w:r>
      <w:r w:rsidRPr="00256982">
        <w:t xml:space="preserve"> emission categories.</w:t>
      </w:r>
    </w:p>
    <w:p w14:paraId="3BCA49CA" w14:textId="77777777" w:rsidR="0068777C" w:rsidRPr="00256982" w:rsidRDefault="0068777C" w:rsidP="0068777C">
      <w:pPr>
        <w:pStyle w:val="Figure"/>
        <w:keepLines/>
        <w:tabs>
          <w:tab w:val="left" w:pos="567"/>
        </w:tabs>
        <w:ind w:left="1134" w:hanging="1134"/>
      </w:pPr>
      <w:bookmarkStart w:id="710" w:name="_Toc481752014"/>
      <w:bookmarkStart w:id="711" w:name="_Toc507158473"/>
      <w:bookmarkStart w:id="712" w:name="_Toc511116964"/>
      <w:bookmarkStart w:id="713" w:name="_Toc5269694"/>
      <w:r w:rsidRPr="00256982">
        <w:lastRenderedPageBreak/>
        <w:t>Figure 5.5.1</w:t>
      </w:r>
      <w:r w:rsidRPr="00256982">
        <w:tab/>
        <w:t>Sources of nitrous oxide emissions from agricultural soils, showing the contribution of each source to emissions through both direct and indirect pathways (New Zealand’s country</w:t>
      </w:r>
      <w:r w:rsidRPr="00256982">
        <w:noBreakHyphen/>
        <w:t>specific emission factors and parameters for each category are also listed)</w:t>
      </w:r>
      <w:bookmarkEnd w:id="710"/>
      <w:bookmarkEnd w:id="711"/>
      <w:bookmarkEnd w:id="712"/>
      <w:bookmarkEnd w:id="713"/>
    </w:p>
    <w:p w14:paraId="5A7D9ED3" w14:textId="27AE94F7" w:rsidR="0068777C" w:rsidRPr="00256982" w:rsidRDefault="00590491" w:rsidP="0068777C">
      <w:pPr>
        <w:pStyle w:val="BodyText"/>
        <w:spacing w:before="60" w:after="240"/>
        <w:jc w:val="center"/>
      </w:pPr>
      <w:r>
        <w:rPr>
          <w:lang w:eastAsia="en-NZ"/>
        </w:rPr>
        <w:pict w14:anchorId="654F20EA">
          <v:shape id="Picture 24" o:spid="_x0000_i1093" type="#_x0000_t75" style="width:295.5pt;height:352.5pt;visibility:visible;mso-wrap-style:square">
            <v:imagedata r:id="rId127" o:title=""/>
          </v:shape>
        </w:pict>
      </w:r>
    </w:p>
    <w:p w14:paraId="2042F9B1" w14:textId="77777777" w:rsidR="0068777C" w:rsidRPr="00256982" w:rsidRDefault="0068777C" w:rsidP="0068777C">
      <w:pPr>
        <w:pStyle w:val="BodyText"/>
      </w:pPr>
      <w:r w:rsidRPr="00256982">
        <w:t>The categories that contribute the most to emissions from agricultural soils and that are identified as key categories are outlined below in order of significance.</w:t>
      </w:r>
    </w:p>
    <w:p w14:paraId="4471CA80" w14:textId="77777777" w:rsidR="0068777C" w:rsidRPr="00256982" w:rsidRDefault="0068777C" w:rsidP="0036046B">
      <w:pPr>
        <w:pStyle w:val="Bullet"/>
        <w:numPr>
          <w:ilvl w:val="0"/>
          <w:numId w:val="8"/>
        </w:numPr>
        <w:rPr>
          <w:spacing w:val="-2"/>
        </w:rPr>
      </w:pPr>
      <w:r w:rsidRPr="00256982">
        <w:t xml:space="preserve">Urine and dung deposited by grazing animals (grazing manure) (level and trend assessment): In 2017, </w:t>
      </w:r>
      <w:r w:rsidRPr="00256982">
        <w:rPr>
          <w:spacing w:val="-2"/>
        </w:rPr>
        <w:t>N</w:t>
      </w:r>
      <w:r w:rsidRPr="00256982">
        <w:rPr>
          <w:spacing w:val="-2"/>
          <w:vertAlign w:val="subscript"/>
        </w:rPr>
        <w:t>2</w:t>
      </w:r>
      <w:r w:rsidRPr="00256982">
        <w:rPr>
          <w:spacing w:val="-2"/>
        </w:rPr>
        <w:t>O</w:t>
      </w:r>
      <w:r w:rsidRPr="00256982">
        <w:t xml:space="preserve"> emissions from this source contributed 5,435.3 kt CO</w:t>
      </w:r>
      <w:r w:rsidRPr="00256982">
        <w:rPr>
          <w:vertAlign w:val="subscript"/>
        </w:rPr>
        <w:t>2</w:t>
      </w:r>
      <w:r w:rsidRPr="00256982">
        <w:t>-e (63.5 per cent) to</w:t>
      </w:r>
      <w:r w:rsidRPr="00256982">
        <w:rPr>
          <w:spacing w:val="-2"/>
        </w:rPr>
        <w:t xml:space="preserve"> emissions from the </w:t>
      </w:r>
      <w:r w:rsidRPr="00256982">
        <w:rPr>
          <w:i/>
          <w:spacing w:val="-2"/>
        </w:rPr>
        <w:t>Agricultural soils</w:t>
      </w:r>
      <w:r w:rsidRPr="00256982">
        <w:rPr>
          <w:spacing w:val="-2"/>
        </w:rPr>
        <w:t xml:space="preserve"> category and 14.0 per cent of emissions in the total Agriculture sector. This is an increase of 296.9 kt CO</w:t>
      </w:r>
      <w:r w:rsidRPr="00256982">
        <w:rPr>
          <w:spacing w:val="-2"/>
          <w:vertAlign w:val="subscript"/>
        </w:rPr>
        <w:t>2</w:t>
      </w:r>
      <w:r w:rsidRPr="00256982">
        <w:rPr>
          <w:spacing w:val="-2"/>
        </w:rPr>
        <w:t>-e (5.8 per cent) from the 1990 level of 5,138.4 kt CO</w:t>
      </w:r>
      <w:r w:rsidRPr="00256982">
        <w:rPr>
          <w:spacing w:val="-2"/>
          <w:vertAlign w:val="subscript"/>
        </w:rPr>
        <w:t>2</w:t>
      </w:r>
      <w:r w:rsidRPr="00256982">
        <w:rPr>
          <w:spacing w:val="-2"/>
        </w:rPr>
        <w:t>-e.</w:t>
      </w:r>
      <w:r w:rsidRPr="00256982">
        <w:t xml:space="preserve"> </w:t>
      </w:r>
    </w:p>
    <w:p w14:paraId="5C726A1D" w14:textId="77777777" w:rsidR="0068777C" w:rsidRPr="00256982" w:rsidRDefault="0068777C" w:rsidP="0036046B">
      <w:pPr>
        <w:pStyle w:val="Bullet"/>
        <w:numPr>
          <w:ilvl w:val="0"/>
          <w:numId w:val="8"/>
        </w:numPr>
      </w:pPr>
      <w:r w:rsidRPr="00256982">
        <w:t>Synthetic nitrogen fertiliser (level and trend assessment): In 2017, direct N</w:t>
      </w:r>
      <w:r w:rsidRPr="00256982">
        <w:rPr>
          <w:vertAlign w:val="subscript"/>
        </w:rPr>
        <w:t>2</w:t>
      </w:r>
      <w:r w:rsidRPr="00256982">
        <w:t>O emissions from synthetic nitrogen fertiliser contributed 1,365.6 kt CO</w:t>
      </w:r>
      <w:r w:rsidRPr="00256982">
        <w:rPr>
          <w:vertAlign w:val="subscript"/>
        </w:rPr>
        <w:t>2</w:t>
      </w:r>
      <w:r w:rsidRPr="00256982">
        <w:t xml:space="preserve">-e (15.9 per cent) to emissions from the </w:t>
      </w:r>
      <w:r w:rsidRPr="00256982">
        <w:rPr>
          <w:i/>
        </w:rPr>
        <w:t>Agricultural soils</w:t>
      </w:r>
      <w:r w:rsidRPr="00256982">
        <w:t xml:space="preserve"> category. This is an increase of 1,135.2 kt CO</w:t>
      </w:r>
      <w:r w:rsidRPr="00256982">
        <w:rPr>
          <w:vertAlign w:val="subscript"/>
        </w:rPr>
        <w:t>2</w:t>
      </w:r>
      <w:r w:rsidRPr="00256982">
        <w:t>-e (492.9 per cent) from the 1990 level of 230.3 kt CO</w:t>
      </w:r>
      <w:r w:rsidRPr="00256982">
        <w:rPr>
          <w:vertAlign w:val="subscript"/>
        </w:rPr>
        <w:t>2</w:t>
      </w:r>
      <w:r w:rsidRPr="00256982">
        <w:t xml:space="preserve">-e. </w:t>
      </w:r>
    </w:p>
    <w:p w14:paraId="2C5DBDAB" w14:textId="77777777" w:rsidR="0068777C" w:rsidRPr="00256982" w:rsidRDefault="0068777C" w:rsidP="0036046B">
      <w:pPr>
        <w:pStyle w:val="Bullet"/>
        <w:numPr>
          <w:ilvl w:val="0"/>
          <w:numId w:val="8"/>
        </w:numPr>
      </w:pPr>
      <w:r w:rsidRPr="00256982">
        <w:t>Volatilisation (level assessment): In 2017, this category contributed 906.8 kt CO</w:t>
      </w:r>
      <w:r w:rsidRPr="00256982">
        <w:rPr>
          <w:vertAlign w:val="subscript"/>
        </w:rPr>
        <w:t>2</w:t>
      </w:r>
      <w:r w:rsidRPr="00256982">
        <w:t xml:space="preserve">-e (10.6 per cent) to emissions from the </w:t>
      </w:r>
      <w:r w:rsidRPr="00256982">
        <w:rPr>
          <w:i/>
        </w:rPr>
        <w:t>Agricultural soils</w:t>
      </w:r>
      <w:r w:rsidRPr="00256982">
        <w:t xml:space="preserve"> category. This was an increase of 205.9 kt CO</w:t>
      </w:r>
      <w:r w:rsidRPr="00256982">
        <w:rPr>
          <w:vertAlign w:val="subscript"/>
        </w:rPr>
        <w:t>2</w:t>
      </w:r>
      <w:r w:rsidRPr="00256982">
        <w:t>-e (29.4 per cent) from the 1990 level of 700.9 kt CO</w:t>
      </w:r>
      <w:r w:rsidRPr="00256982">
        <w:rPr>
          <w:vertAlign w:val="subscript"/>
        </w:rPr>
        <w:t>2</w:t>
      </w:r>
      <w:r w:rsidRPr="00256982">
        <w:noBreakHyphen/>
        <w:t xml:space="preserve">e. </w:t>
      </w:r>
    </w:p>
    <w:p w14:paraId="23420883" w14:textId="77777777" w:rsidR="0068777C" w:rsidRPr="00256982" w:rsidRDefault="0068777C" w:rsidP="0036046B">
      <w:pPr>
        <w:pStyle w:val="Bullet"/>
        <w:numPr>
          <w:ilvl w:val="0"/>
          <w:numId w:val="8"/>
        </w:numPr>
      </w:pPr>
      <w:r w:rsidRPr="00256982">
        <w:t>Leaching and runoff (level assessment): In 2017, this category contributed 500.5 kt CO</w:t>
      </w:r>
      <w:r w:rsidRPr="00256982">
        <w:rPr>
          <w:vertAlign w:val="subscript"/>
        </w:rPr>
        <w:t>2</w:t>
      </w:r>
      <w:r w:rsidRPr="00256982">
        <w:t xml:space="preserve">-e (5.8 per cent) to emissions from the </w:t>
      </w:r>
      <w:r w:rsidRPr="00256982">
        <w:rPr>
          <w:i/>
        </w:rPr>
        <w:t>Agricultural soils</w:t>
      </w:r>
      <w:r w:rsidRPr="00256982">
        <w:t xml:space="preserve"> category. This was an increase of 123.3 kt CO</w:t>
      </w:r>
      <w:r w:rsidRPr="00256982">
        <w:rPr>
          <w:vertAlign w:val="subscript"/>
        </w:rPr>
        <w:t>2</w:t>
      </w:r>
      <w:r w:rsidRPr="00256982">
        <w:t>-e (32.7 per cent) from the 1990 level of 377.2 kt CO</w:t>
      </w:r>
      <w:r w:rsidRPr="00256982">
        <w:rPr>
          <w:vertAlign w:val="subscript"/>
        </w:rPr>
        <w:t>2</w:t>
      </w:r>
      <w:r w:rsidRPr="00256982">
        <w:noBreakHyphen/>
        <w:t xml:space="preserve">e. </w:t>
      </w:r>
    </w:p>
    <w:p w14:paraId="374D56B1" w14:textId="77777777" w:rsidR="0068777C" w:rsidRPr="00256982" w:rsidRDefault="0068777C" w:rsidP="0036046B">
      <w:pPr>
        <w:pStyle w:val="Bullet"/>
        <w:numPr>
          <w:ilvl w:val="0"/>
          <w:numId w:val="8"/>
        </w:numPr>
      </w:pPr>
      <w:r w:rsidRPr="00256982">
        <w:t>Crop residues (level assessment): In 2017, this category contributed 249.4 kt CO</w:t>
      </w:r>
      <w:r w:rsidRPr="00256982">
        <w:rPr>
          <w:vertAlign w:val="subscript"/>
        </w:rPr>
        <w:t>2</w:t>
      </w:r>
      <w:r w:rsidRPr="00256982">
        <w:t xml:space="preserve">-e (2.9 per cent) to emissions from the </w:t>
      </w:r>
      <w:r w:rsidRPr="00256982">
        <w:rPr>
          <w:i/>
        </w:rPr>
        <w:t>Agricultural soils</w:t>
      </w:r>
      <w:r w:rsidRPr="00256982">
        <w:t xml:space="preserve"> category. This was an increase of 73.9 kt CO</w:t>
      </w:r>
      <w:r w:rsidRPr="00256982">
        <w:rPr>
          <w:vertAlign w:val="subscript"/>
        </w:rPr>
        <w:t>2</w:t>
      </w:r>
      <w:r w:rsidRPr="00256982">
        <w:rPr>
          <w:vertAlign w:val="subscript"/>
        </w:rPr>
        <w:noBreakHyphen/>
      </w:r>
      <w:r w:rsidRPr="00256982">
        <w:t>e (42.1 per cent) from the 1990 level of 175.5 kt CO</w:t>
      </w:r>
      <w:r w:rsidRPr="00256982">
        <w:rPr>
          <w:vertAlign w:val="subscript"/>
        </w:rPr>
        <w:t>2</w:t>
      </w:r>
      <w:r w:rsidRPr="00256982">
        <w:t>-e.</w:t>
      </w:r>
    </w:p>
    <w:p w14:paraId="2D039A9F" w14:textId="77777777" w:rsidR="0068777C" w:rsidRPr="00256982" w:rsidRDefault="0068777C" w:rsidP="0068777C">
      <w:pPr>
        <w:pStyle w:val="BodyText"/>
      </w:pPr>
      <w:r w:rsidRPr="00256982">
        <w:lastRenderedPageBreak/>
        <w:t>Table 5.5.1 shows the trends and relative contribution of N</w:t>
      </w:r>
      <w:r w:rsidRPr="00256982">
        <w:rPr>
          <w:vertAlign w:val="subscript"/>
        </w:rPr>
        <w:t>2</w:t>
      </w:r>
      <w:r w:rsidRPr="00256982">
        <w:t>O emissions from these categories between 1990 and 2017.</w:t>
      </w:r>
    </w:p>
    <w:p w14:paraId="7E4F82D3" w14:textId="77777777" w:rsidR="0068777C" w:rsidRPr="00256982" w:rsidRDefault="0068777C" w:rsidP="0068777C">
      <w:pPr>
        <w:pStyle w:val="Table"/>
      </w:pPr>
      <w:bookmarkStart w:id="714" w:name="_Toc481751521"/>
      <w:bookmarkStart w:id="715" w:name="_Toc507158609"/>
      <w:bookmarkStart w:id="716" w:name="_Toc511116743"/>
      <w:bookmarkStart w:id="717" w:name="_Toc5269485"/>
      <w:r w:rsidRPr="00256982">
        <w:t>Table 5.5.1</w:t>
      </w:r>
      <w:r w:rsidRPr="00256982">
        <w:tab/>
        <w:t xml:space="preserve">Trends and relative contribution of nitrous oxide emissions from Agricultural soils categories between 1990 and </w:t>
      </w:r>
      <w:bookmarkEnd w:id="714"/>
      <w:bookmarkEnd w:id="715"/>
      <w:bookmarkEnd w:id="716"/>
      <w:r w:rsidRPr="00256982">
        <w:t>2017</w:t>
      </w:r>
      <w:bookmarkEnd w:id="717"/>
    </w:p>
    <w:tbl>
      <w:tblPr>
        <w:tblW w:w="856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17"/>
        <w:gridCol w:w="1750"/>
        <w:gridCol w:w="856"/>
        <w:gridCol w:w="857"/>
        <w:gridCol w:w="856"/>
        <w:gridCol w:w="857"/>
        <w:gridCol w:w="1285"/>
        <w:gridCol w:w="1284"/>
      </w:tblGrid>
      <w:tr w:rsidR="0068777C" w:rsidRPr="00256982" w14:paraId="20F7057F" w14:textId="77777777" w:rsidTr="002C7BFB">
        <w:tc>
          <w:tcPr>
            <w:tcW w:w="2552" w:type="dxa"/>
            <w:gridSpan w:val="2"/>
            <w:tcBorders>
              <w:top w:val="single" w:sz="4" w:space="0" w:color="365F91"/>
              <w:left w:val="nil"/>
              <w:bottom w:val="nil"/>
              <w:right w:val="nil"/>
            </w:tcBorders>
            <w:shd w:val="clear" w:color="auto" w:fill="365F91"/>
            <w:vAlign w:val="bottom"/>
          </w:tcPr>
          <w:p w14:paraId="4B5ADA47" w14:textId="77777777" w:rsidR="0068777C" w:rsidRPr="00256982" w:rsidRDefault="0068777C" w:rsidP="0068777C">
            <w:pPr>
              <w:pStyle w:val="TableTextBold"/>
              <w:rPr>
                <w:noProof w:val="0"/>
                <w:color w:val="FFFFFF"/>
              </w:rPr>
            </w:pPr>
          </w:p>
        </w:tc>
        <w:tc>
          <w:tcPr>
            <w:tcW w:w="1701" w:type="dxa"/>
            <w:gridSpan w:val="2"/>
            <w:tcBorders>
              <w:top w:val="single" w:sz="4" w:space="0" w:color="365F91"/>
              <w:left w:val="nil"/>
              <w:bottom w:val="nil"/>
              <w:right w:val="nil"/>
            </w:tcBorders>
            <w:shd w:val="clear" w:color="auto" w:fill="365F91"/>
            <w:vAlign w:val="bottom"/>
          </w:tcPr>
          <w:p w14:paraId="7774B8EC" w14:textId="77777777" w:rsidR="0068777C" w:rsidRPr="00256982" w:rsidRDefault="0068777C" w:rsidP="002C7BFB">
            <w:pPr>
              <w:pStyle w:val="TableTextBold"/>
              <w:spacing w:after="0"/>
              <w:jc w:val="center"/>
              <w:rPr>
                <w:noProof w:val="0"/>
                <w:color w:val="FFFFFF"/>
              </w:rPr>
            </w:pPr>
            <w:r w:rsidRPr="00256982">
              <w:rPr>
                <w:noProof w:val="0"/>
                <w:color w:val="FFFFFF"/>
              </w:rPr>
              <w:t xml:space="preserve">Emissions </w:t>
            </w:r>
            <w:r w:rsidRPr="00256982">
              <w:rPr>
                <w:noProof w:val="0"/>
                <w:color w:val="FFFFFF"/>
              </w:rPr>
              <w:br/>
              <w:t>(kt CO</w:t>
            </w:r>
            <w:r w:rsidRPr="00256982">
              <w:rPr>
                <w:noProof w:val="0"/>
                <w:color w:val="FFFFFF"/>
                <w:vertAlign w:val="subscript"/>
              </w:rPr>
              <w:t>2</w:t>
            </w:r>
            <w:r w:rsidRPr="00256982">
              <w:rPr>
                <w:noProof w:val="0"/>
                <w:color w:val="FFFFFF"/>
              </w:rPr>
              <w:t>-e)</w:t>
            </w:r>
          </w:p>
        </w:tc>
        <w:tc>
          <w:tcPr>
            <w:tcW w:w="1701" w:type="dxa"/>
            <w:gridSpan w:val="2"/>
            <w:tcBorders>
              <w:top w:val="single" w:sz="4" w:space="0" w:color="365F91"/>
              <w:left w:val="nil"/>
              <w:bottom w:val="nil"/>
              <w:right w:val="nil"/>
            </w:tcBorders>
            <w:shd w:val="clear" w:color="auto" w:fill="365F91"/>
            <w:vAlign w:val="bottom"/>
          </w:tcPr>
          <w:p w14:paraId="53E71B7C" w14:textId="77777777" w:rsidR="0068777C" w:rsidRPr="00256982" w:rsidRDefault="0068777C" w:rsidP="002C7BFB">
            <w:pPr>
              <w:pStyle w:val="TableTextBold"/>
              <w:spacing w:after="0"/>
              <w:jc w:val="center"/>
              <w:rPr>
                <w:noProof w:val="0"/>
                <w:color w:val="FFFFFF"/>
              </w:rPr>
            </w:pPr>
            <w:r w:rsidRPr="00256982">
              <w:rPr>
                <w:noProof w:val="0"/>
                <w:color w:val="FFFFFF"/>
              </w:rPr>
              <w:t xml:space="preserve">Change from </w:t>
            </w:r>
            <w:r w:rsidRPr="00256982">
              <w:rPr>
                <w:noProof w:val="0"/>
                <w:color w:val="FFFFFF"/>
              </w:rPr>
              <w:br/>
              <w:t>1990–2017</w:t>
            </w:r>
          </w:p>
        </w:tc>
        <w:tc>
          <w:tcPr>
            <w:tcW w:w="1276" w:type="dxa"/>
            <w:tcBorders>
              <w:top w:val="single" w:sz="4" w:space="0" w:color="365F91"/>
              <w:left w:val="nil"/>
              <w:bottom w:val="nil"/>
              <w:right w:val="nil"/>
            </w:tcBorders>
            <w:shd w:val="clear" w:color="auto" w:fill="365F91"/>
            <w:vAlign w:val="bottom"/>
          </w:tcPr>
          <w:p w14:paraId="641657A9" w14:textId="77777777" w:rsidR="0068777C" w:rsidRPr="00256982" w:rsidRDefault="0068777C" w:rsidP="0068777C">
            <w:pPr>
              <w:pStyle w:val="TableTextBold"/>
              <w:jc w:val="right"/>
              <w:rPr>
                <w:noProof w:val="0"/>
                <w:color w:val="FFFFFF"/>
              </w:rPr>
            </w:pPr>
            <w:r w:rsidRPr="00256982">
              <w:rPr>
                <w:noProof w:val="0"/>
                <w:color w:val="FFFFFF"/>
              </w:rPr>
              <w:t xml:space="preserve">Share of </w:t>
            </w:r>
            <w:r w:rsidRPr="00256982">
              <w:rPr>
                <w:noProof w:val="0"/>
                <w:color w:val="FFFFFF"/>
              </w:rPr>
              <w:br/>
              <w:t>Agricultural soils category (%)</w:t>
            </w:r>
          </w:p>
        </w:tc>
        <w:tc>
          <w:tcPr>
            <w:tcW w:w="1275" w:type="dxa"/>
            <w:tcBorders>
              <w:top w:val="single" w:sz="4" w:space="0" w:color="365F91"/>
              <w:left w:val="nil"/>
              <w:bottom w:val="nil"/>
              <w:right w:val="nil"/>
            </w:tcBorders>
            <w:shd w:val="clear" w:color="auto" w:fill="365F91"/>
            <w:vAlign w:val="bottom"/>
          </w:tcPr>
          <w:p w14:paraId="482DD2A6" w14:textId="77777777" w:rsidR="0068777C" w:rsidRPr="00256982" w:rsidRDefault="0068777C" w:rsidP="0068777C">
            <w:pPr>
              <w:pStyle w:val="TableTextBold"/>
              <w:jc w:val="right"/>
              <w:rPr>
                <w:noProof w:val="0"/>
                <w:color w:val="FFFFFF"/>
              </w:rPr>
            </w:pPr>
            <w:r w:rsidRPr="00256982">
              <w:rPr>
                <w:noProof w:val="0"/>
                <w:color w:val="FFFFFF"/>
              </w:rPr>
              <w:t xml:space="preserve">Share of total </w:t>
            </w:r>
            <w:r w:rsidRPr="00256982">
              <w:rPr>
                <w:noProof w:val="0"/>
                <w:color w:val="FFFFFF"/>
              </w:rPr>
              <w:br/>
              <w:t xml:space="preserve">Agriculture sector </w:t>
            </w:r>
            <w:r w:rsidRPr="00256982">
              <w:rPr>
                <w:noProof w:val="0"/>
                <w:color w:val="FFFFFF"/>
              </w:rPr>
              <w:br/>
              <w:t>(%)</w:t>
            </w:r>
          </w:p>
        </w:tc>
      </w:tr>
      <w:tr w:rsidR="0068777C" w:rsidRPr="00256982" w14:paraId="3748C00E" w14:textId="77777777" w:rsidTr="002C7BFB">
        <w:tc>
          <w:tcPr>
            <w:tcW w:w="2552" w:type="dxa"/>
            <w:gridSpan w:val="2"/>
            <w:tcBorders>
              <w:top w:val="nil"/>
              <w:left w:val="nil"/>
              <w:bottom w:val="single" w:sz="4" w:space="0" w:color="365F91"/>
              <w:right w:val="nil"/>
            </w:tcBorders>
            <w:shd w:val="clear" w:color="auto" w:fill="365F91"/>
          </w:tcPr>
          <w:p w14:paraId="3F9A8EC9" w14:textId="77777777" w:rsidR="0068777C" w:rsidRPr="00256982" w:rsidRDefault="0068777C" w:rsidP="0068777C">
            <w:pPr>
              <w:pStyle w:val="TableTextBold"/>
              <w:rPr>
                <w:noProof w:val="0"/>
                <w:color w:val="FFFFFF"/>
              </w:rPr>
            </w:pPr>
            <w:r w:rsidRPr="00256982">
              <w:rPr>
                <w:noProof w:val="0"/>
                <w:color w:val="FFFFFF"/>
              </w:rPr>
              <w:t>Agricultural soils category</w:t>
            </w:r>
          </w:p>
        </w:tc>
        <w:tc>
          <w:tcPr>
            <w:tcW w:w="850" w:type="dxa"/>
            <w:tcBorders>
              <w:top w:val="nil"/>
              <w:left w:val="nil"/>
              <w:bottom w:val="single" w:sz="4" w:space="0" w:color="365F91"/>
              <w:right w:val="nil"/>
            </w:tcBorders>
            <w:shd w:val="clear" w:color="auto" w:fill="365F91"/>
            <w:vAlign w:val="bottom"/>
          </w:tcPr>
          <w:p w14:paraId="276490F5" w14:textId="77777777" w:rsidR="0068777C" w:rsidRPr="00256982" w:rsidRDefault="0068777C" w:rsidP="0068777C">
            <w:pPr>
              <w:pStyle w:val="TableTextBold"/>
              <w:jc w:val="right"/>
              <w:rPr>
                <w:noProof w:val="0"/>
                <w:color w:val="FFFFFF"/>
              </w:rPr>
            </w:pPr>
            <w:r w:rsidRPr="00256982">
              <w:rPr>
                <w:noProof w:val="0"/>
                <w:color w:val="FFFFFF"/>
              </w:rPr>
              <w:t>1990</w:t>
            </w:r>
          </w:p>
        </w:tc>
        <w:tc>
          <w:tcPr>
            <w:tcW w:w="851" w:type="dxa"/>
            <w:tcBorders>
              <w:top w:val="nil"/>
              <w:left w:val="nil"/>
              <w:bottom w:val="single" w:sz="4" w:space="0" w:color="365F91"/>
              <w:right w:val="nil"/>
            </w:tcBorders>
            <w:shd w:val="clear" w:color="auto" w:fill="365F91"/>
            <w:vAlign w:val="bottom"/>
          </w:tcPr>
          <w:p w14:paraId="5819DBF9" w14:textId="77777777" w:rsidR="0068777C" w:rsidRPr="00256982" w:rsidRDefault="0068777C" w:rsidP="0068777C">
            <w:pPr>
              <w:pStyle w:val="TableTextBold"/>
              <w:jc w:val="right"/>
              <w:rPr>
                <w:noProof w:val="0"/>
                <w:color w:val="FFFFFF"/>
              </w:rPr>
            </w:pPr>
            <w:r w:rsidRPr="00256982">
              <w:rPr>
                <w:noProof w:val="0"/>
                <w:color w:val="FFFFFF"/>
              </w:rPr>
              <w:t>2017</w:t>
            </w:r>
          </w:p>
        </w:tc>
        <w:tc>
          <w:tcPr>
            <w:tcW w:w="850" w:type="dxa"/>
            <w:tcBorders>
              <w:top w:val="nil"/>
              <w:left w:val="nil"/>
              <w:bottom w:val="single" w:sz="4" w:space="0" w:color="365F91"/>
              <w:right w:val="nil"/>
            </w:tcBorders>
            <w:shd w:val="clear" w:color="auto" w:fill="365F91"/>
            <w:vAlign w:val="bottom"/>
          </w:tcPr>
          <w:p w14:paraId="7318B88B" w14:textId="77777777" w:rsidR="0068777C" w:rsidRPr="00256982" w:rsidRDefault="0068777C" w:rsidP="0068777C">
            <w:pPr>
              <w:pStyle w:val="TableTextBold"/>
              <w:jc w:val="right"/>
              <w:rPr>
                <w:noProof w:val="0"/>
                <w:color w:val="FFFFFF"/>
              </w:rPr>
            </w:pPr>
            <w:r w:rsidRPr="00256982">
              <w:rPr>
                <w:noProof w:val="0"/>
                <w:color w:val="FFFFFF"/>
              </w:rPr>
              <w:t>kt CO</w:t>
            </w:r>
            <w:r w:rsidRPr="00256982">
              <w:rPr>
                <w:noProof w:val="0"/>
                <w:color w:val="FFFFFF"/>
                <w:vertAlign w:val="subscript"/>
              </w:rPr>
              <w:t>2</w:t>
            </w:r>
            <w:r w:rsidRPr="00256982">
              <w:rPr>
                <w:noProof w:val="0"/>
                <w:color w:val="FFFFFF"/>
              </w:rPr>
              <w:t>-e</w:t>
            </w:r>
          </w:p>
        </w:tc>
        <w:tc>
          <w:tcPr>
            <w:tcW w:w="851" w:type="dxa"/>
            <w:tcBorders>
              <w:top w:val="nil"/>
              <w:left w:val="nil"/>
              <w:bottom w:val="single" w:sz="4" w:space="0" w:color="365F91"/>
              <w:right w:val="nil"/>
            </w:tcBorders>
            <w:shd w:val="clear" w:color="auto" w:fill="365F91"/>
            <w:vAlign w:val="bottom"/>
          </w:tcPr>
          <w:p w14:paraId="166CAB94" w14:textId="77777777" w:rsidR="0068777C" w:rsidRPr="00256982" w:rsidRDefault="0068777C" w:rsidP="0068777C">
            <w:pPr>
              <w:pStyle w:val="TableTextBold"/>
              <w:jc w:val="right"/>
              <w:rPr>
                <w:noProof w:val="0"/>
                <w:color w:val="FFFFFF"/>
              </w:rPr>
            </w:pPr>
            <w:r w:rsidRPr="00256982">
              <w:rPr>
                <w:noProof w:val="0"/>
                <w:color w:val="FFFFFF"/>
              </w:rPr>
              <w:t>%</w:t>
            </w:r>
          </w:p>
        </w:tc>
        <w:tc>
          <w:tcPr>
            <w:tcW w:w="1276" w:type="dxa"/>
            <w:tcBorders>
              <w:top w:val="nil"/>
              <w:left w:val="nil"/>
              <w:bottom w:val="single" w:sz="4" w:space="0" w:color="365F91"/>
              <w:right w:val="nil"/>
            </w:tcBorders>
            <w:shd w:val="clear" w:color="auto" w:fill="365F91"/>
            <w:vAlign w:val="bottom"/>
          </w:tcPr>
          <w:p w14:paraId="61FF02A3" w14:textId="77777777" w:rsidR="0068777C" w:rsidRPr="00256982" w:rsidRDefault="0068777C" w:rsidP="0068777C">
            <w:pPr>
              <w:pStyle w:val="TableTextBold"/>
              <w:jc w:val="right"/>
              <w:rPr>
                <w:noProof w:val="0"/>
                <w:color w:val="FFFFFF"/>
              </w:rPr>
            </w:pPr>
            <w:r w:rsidRPr="00256982">
              <w:rPr>
                <w:noProof w:val="0"/>
                <w:color w:val="FFFFFF"/>
              </w:rPr>
              <w:t xml:space="preserve">2017 </w:t>
            </w:r>
          </w:p>
        </w:tc>
        <w:tc>
          <w:tcPr>
            <w:tcW w:w="1275" w:type="dxa"/>
            <w:tcBorders>
              <w:top w:val="nil"/>
              <w:left w:val="nil"/>
              <w:bottom w:val="single" w:sz="4" w:space="0" w:color="365F91"/>
              <w:right w:val="nil"/>
            </w:tcBorders>
            <w:shd w:val="clear" w:color="auto" w:fill="365F91"/>
            <w:vAlign w:val="bottom"/>
          </w:tcPr>
          <w:p w14:paraId="0F15180F" w14:textId="77777777" w:rsidR="0068777C" w:rsidRPr="00256982" w:rsidRDefault="0068777C" w:rsidP="0068777C">
            <w:pPr>
              <w:pStyle w:val="TableTextBold"/>
              <w:jc w:val="right"/>
              <w:rPr>
                <w:noProof w:val="0"/>
                <w:color w:val="FFFFFF"/>
              </w:rPr>
            </w:pPr>
            <w:r w:rsidRPr="00256982">
              <w:rPr>
                <w:noProof w:val="0"/>
                <w:color w:val="FFFFFF"/>
              </w:rPr>
              <w:t xml:space="preserve">2017 </w:t>
            </w:r>
          </w:p>
        </w:tc>
      </w:tr>
      <w:tr w:rsidR="0068777C" w:rsidRPr="00256982" w14:paraId="1C3980C5" w14:textId="77777777" w:rsidTr="00B06638">
        <w:tc>
          <w:tcPr>
            <w:tcW w:w="813" w:type="dxa"/>
            <w:vMerge w:val="restart"/>
            <w:tcBorders>
              <w:top w:val="single" w:sz="4" w:space="0" w:color="365F91"/>
              <w:left w:val="nil"/>
              <w:right w:val="nil"/>
            </w:tcBorders>
            <w:shd w:val="clear" w:color="auto" w:fill="auto"/>
          </w:tcPr>
          <w:p w14:paraId="7CFCB34C" w14:textId="77777777" w:rsidR="0068777C" w:rsidRPr="00256982" w:rsidRDefault="0068777C" w:rsidP="0005134C">
            <w:pPr>
              <w:pStyle w:val="TableText"/>
              <w:spacing w:after="50"/>
            </w:pPr>
            <w:r w:rsidRPr="00256982">
              <w:t>Direct</w:t>
            </w:r>
          </w:p>
        </w:tc>
        <w:tc>
          <w:tcPr>
            <w:tcW w:w="1739" w:type="dxa"/>
            <w:tcBorders>
              <w:top w:val="single" w:sz="4" w:space="0" w:color="365F91"/>
              <w:left w:val="nil"/>
              <w:bottom w:val="single" w:sz="4" w:space="0" w:color="365F91"/>
              <w:right w:val="nil"/>
            </w:tcBorders>
            <w:shd w:val="clear" w:color="auto" w:fill="auto"/>
            <w:vAlign w:val="bottom"/>
          </w:tcPr>
          <w:p w14:paraId="05775F20" w14:textId="77777777" w:rsidR="0068777C" w:rsidRPr="00256982" w:rsidRDefault="0068777C" w:rsidP="0005134C">
            <w:pPr>
              <w:pStyle w:val="TableText"/>
              <w:spacing w:after="50"/>
            </w:pPr>
            <w:r w:rsidRPr="00256982">
              <w:t>Synthetic nitrogen fertilisers</w:t>
            </w:r>
          </w:p>
        </w:tc>
        <w:tc>
          <w:tcPr>
            <w:tcW w:w="850" w:type="dxa"/>
            <w:tcBorders>
              <w:top w:val="single" w:sz="4" w:space="0" w:color="365F91"/>
              <w:left w:val="nil"/>
              <w:bottom w:val="single" w:sz="4" w:space="0" w:color="365F91"/>
              <w:right w:val="nil"/>
            </w:tcBorders>
            <w:shd w:val="clear" w:color="auto" w:fill="auto"/>
            <w:vAlign w:val="bottom"/>
          </w:tcPr>
          <w:p w14:paraId="4F89137C" w14:textId="77777777" w:rsidR="0068777C" w:rsidRPr="00256982" w:rsidRDefault="0068777C" w:rsidP="0005134C">
            <w:pPr>
              <w:pStyle w:val="TableText"/>
              <w:spacing w:after="50"/>
              <w:jc w:val="right"/>
            </w:pPr>
            <w:r w:rsidRPr="00256982">
              <w:t>230.3</w:t>
            </w:r>
          </w:p>
        </w:tc>
        <w:tc>
          <w:tcPr>
            <w:tcW w:w="851" w:type="dxa"/>
            <w:tcBorders>
              <w:top w:val="single" w:sz="4" w:space="0" w:color="365F91"/>
              <w:left w:val="nil"/>
              <w:bottom w:val="single" w:sz="4" w:space="0" w:color="365F91"/>
              <w:right w:val="nil"/>
            </w:tcBorders>
            <w:shd w:val="clear" w:color="auto" w:fill="auto"/>
            <w:vAlign w:val="bottom"/>
          </w:tcPr>
          <w:p w14:paraId="58BD531D" w14:textId="77777777" w:rsidR="0068777C" w:rsidRPr="00256982" w:rsidRDefault="0068777C" w:rsidP="0005134C">
            <w:pPr>
              <w:pStyle w:val="TableText"/>
              <w:spacing w:after="50"/>
              <w:jc w:val="right"/>
            </w:pPr>
            <w:r w:rsidRPr="00256982">
              <w:t>1,365.6</w:t>
            </w:r>
          </w:p>
        </w:tc>
        <w:tc>
          <w:tcPr>
            <w:tcW w:w="850" w:type="dxa"/>
            <w:tcBorders>
              <w:top w:val="single" w:sz="4" w:space="0" w:color="365F91"/>
              <w:left w:val="nil"/>
              <w:bottom w:val="single" w:sz="4" w:space="0" w:color="365F91"/>
              <w:right w:val="nil"/>
            </w:tcBorders>
            <w:shd w:val="clear" w:color="auto" w:fill="auto"/>
            <w:vAlign w:val="bottom"/>
          </w:tcPr>
          <w:p w14:paraId="722A5BEB" w14:textId="4095D05B" w:rsidR="0068777C" w:rsidRPr="00256982" w:rsidRDefault="0068777C" w:rsidP="0005134C">
            <w:pPr>
              <w:pStyle w:val="TableText"/>
              <w:spacing w:after="50"/>
              <w:jc w:val="right"/>
            </w:pPr>
            <w:r w:rsidRPr="00256982">
              <w:t>1</w:t>
            </w:r>
            <w:r w:rsidR="00197F74" w:rsidRPr="00256982">
              <w:t>,</w:t>
            </w:r>
            <w:r w:rsidRPr="00256982">
              <w:t>135.2</w:t>
            </w:r>
          </w:p>
        </w:tc>
        <w:tc>
          <w:tcPr>
            <w:tcW w:w="851" w:type="dxa"/>
            <w:tcBorders>
              <w:top w:val="single" w:sz="4" w:space="0" w:color="365F91"/>
              <w:left w:val="nil"/>
              <w:bottom w:val="single" w:sz="4" w:space="0" w:color="365F91"/>
              <w:right w:val="nil"/>
            </w:tcBorders>
            <w:shd w:val="clear" w:color="auto" w:fill="auto"/>
            <w:vAlign w:val="bottom"/>
          </w:tcPr>
          <w:p w14:paraId="5E154526" w14:textId="77777777" w:rsidR="0068777C" w:rsidRPr="00256982" w:rsidRDefault="0068777C" w:rsidP="0005134C">
            <w:pPr>
              <w:pStyle w:val="TableText"/>
              <w:spacing w:after="50"/>
              <w:jc w:val="right"/>
            </w:pPr>
            <w:r w:rsidRPr="00256982">
              <w:t>492.9</w:t>
            </w:r>
          </w:p>
        </w:tc>
        <w:tc>
          <w:tcPr>
            <w:tcW w:w="1276" w:type="dxa"/>
            <w:tcBorders>
              <w:top w:val="single" w:sz="4" w:space="0" w:color="365F91"/>
              <w:left w:val="nil"/>
              <w:bottom w:val="single" w:sz="4" w:space="0" w:color="365F91"/>
              <w:right w:val="nil"/>
            </w:tcBorders>
            <w:shd w:val="clear" w:color="auto" w:fill="auto"/>
            <w:vAlign w:val="bottom"/>
          </w:tcPr>
          <w:p w14:paraId="710AA987" w14:textId="77777777" w:rsidR="0068777C" w:rsidRPr="00256982" w:rsidRDefault="0068777C" w:rsidP="0005134C">
            <w:pPr>
              <w:pStyle w:val="TableText"/>
              <w:spacing w:after="50"/>
              <w:jc w:val="right"/>
            </w:pPr>
            <w:r w:rsidRPr="00256982">
              <w:t>15.9</w:t>
            </w:r>
          </w:p>
        </w:tc>
        <w:tc>
          <w:tcPr>
            <w:tcW w:w="1275" w:type="dxa"/>
            <w:tcBorders>
              <w:top w:val="single" w:sz="4" w:space="0" w:color="365F91"/>
              <w:left w:val="nil"/>
              <w:bottom w:val="single" w:sz="4" w:space="0" w:color="365F91"/>
              <w:right w:val="nil"/>
            </w:tcBorders>
            <w:shd w:val="clear" w:color="auto" w:fill="auto"/>
            <w:vAlign w:val="bottom"/>
          </w:tcPr>
          <w:p w14:paraId="4116A15F" w14:textId="77777777" w:rsidR="0068777C" w:rsidRPr="00256982" w:rsidRDefault="0068777C" w:rsidP="0005134C">
            <w:pPr>
              <w:pStyle w:val="TableText"/>
              <w:spacing w:after="50"/>
              <w:jc w:val="right"/>
            </w:pPr>
            <w:r w:rsidRPr="00256982">
              <w:t>3.5</w:t>
            </w:r>
          </w:p>
        </w:tc>
      </w:tr>
      <w:tr w:rsidR="0068777C" w:rsidRPr="00256982" w14:paraId="51C14220" w14:textId="77777777" w:rsidTr="00B06638">
        <w:tc>
          <w:tcPr>
            <w:tcW w:w="813" w:type="dxa"/>
            <w:vMerge/>
            <w:tcBorders>
              <w:left w:val="nil"/>
              <w:right w:val="nil"/>
            </w:tcBorders>
            <w:shd w:val="clear" w:color="auto" w:fill="auto"/>
          </w:tcPr>
          <w:p w14:paraId="650DD570" w14:textId="77777777" w:rsidR="0068777C" w:rsidRPr="00256982" w:rsidRDefault="0068777C" w:rsidP="0005134C">
            <w:pPr>
              <w:pStyle w:val="TableText"/>
              <w:spacing w:after="50"/>
            </w:pPr>
          </w:p>
        </w:tc>
        <w:tc>
          <w:tcPr>
            <w:tcW w:w="1739" w:type="dxa"/>
            <w:tcBorders>
              <w:top w:val="single" w:sz="4" w:space="0" w:color="365F91"/>
              <w:left w:val="nil"/>
              <w:bottom w:val="single" w:sz="4" w:space="0" w:color="365F91"/>
              <w:right w:val="nil"/>
            </w:tcBorders>
            <w:shd w:val="clear" w:color="auto" w:fill="auto"/>
            <w:vAlign w:val="bottom"/>
          </w:tcPr>
          <w:p w14:paraId="5EC21BA7" w14:textId="77777777" w:rsidR="0068777C" w:rsidRPr="00256982" w:rsidRDefault="0068777C" w:rsidP="0005134C">
            <w:pPr>
              <w:pStyle w:val="TableText"/>
              <w:spacing w:after="50"/>
            </w:pPr>
            <w:r w:rsidRPr="00256982">
              <w:t>Organic fertilisers (animal manure spread on pasture)</w:t>
            </w:r>
          </w:p>
        </w:tc>
        <w:tc>
          <w:tcPr>
            <w:tcW w:w="850" w:type="dxa"/>
            <w:tcBorders>
              <w:top w:val="single" w:sz="4" w:space="0" w:color="365F91"/>
              <w:left w:val="nil"/>
              <w:bottom w:val="single" w:sz="4" w:space="0" w:color="365F91"/>
              <w:right w:val="nil"/>
            </w:tcBorders>
            <w:shd w:val="clear" w:color="auto" w:fill="auto"/>
            <w:vAlign w:val="bottom"/>
          </w:tcPr>
          <w:p w14:paraId="57ABBA12" w14:textId="77777777" w:rsidR="0068777C" w:rsidRPr="00256982" w:rsidRDefault="0068777C" w:rsidP="0005134C">
            <w:pPr>
              <w:pStyle w:val="TableText"/>
              <w:spacing w:after="50"/>
              <w:jc w:val="right"/>
            </w:pPr>
            <w:r w:rsidRPr="00256982">
              <w:t>36.8</w:t>
            </w:r>
          </w:p>
        </w:tc>
        <w:tc>
          <w:tcPr>
            <w:tcW w:w="851" w:type="dxa"/>
            <w:tcBorders>
              <w:top w:val="single" w:sz="4" w:space="0" w:color="365F91"/>
              <w:left w:val="nil"/>
              <w:bottom w:val="single" w:sz="4" w:space="0" w:color="365F91"/>
              <w:right w:val="nil"/>
            </w:tcBorders>
            <w:shd w:val="clear" w:color="auto" w:fill="auto"/>
            <w:vAlign w:val="bottom"/>
          </w:tcPr>
          <w:p w14:paraId="720E2DA9" w14:textId="77777777" w:rsidR="0068777C" w:rsidRPr="00256982" w:rsidRDefault="0068777C" w:rsidP="0005134C">
            <w:pPr>
              <w:pStyle w:val="TableText"/>
              <w:spacing w:after="50"/>
              <w:jc w:val="right"/>
            </w:pPr>
            <w:r w:rsidRPr="00256982">
              <w:t>78.5</w:t>
            </w:r>
          </w:p>
        </w:tc>
        <w:tc>
          <w:tcPr>
            <w:tcW w:w="850" w:type="dxa"/>
            <w:tcBorders>
              <w:top w:val="single" w:sz="4" w:space="0" w:color="365F91"/>
              <w:left w:val="nil"/>
              <w:bottom w:val="single" w:sz="4" w:space="0" w:color="365F91"/>
              <w:right w:val="nil"/>
            </w:tcBorders>
            <w:shd w:val="clear" w:color="auto" w:fill="auto"/>
            <w:vAlign w:val="bottom"/>
          </w:tcPr>
          <w:p w14:paraId="24FAA688" w14:textId="77777777" w:rsidR="0068777C" w:rsidRPr="00256982" w:rsidRDefault="0068777C" w:rsidP="0005134C">
            <w:pPr>
              <w:pStyle w:val="TableText"/>
              <w:spacing w:after="50"/>
              <w:jc w:val="right"/>
            </w:pPr>
            <w:r w:rsidRPr="00256982">
              <w:t>41.7</w:t>
            </w:r>
          </w:p>
        </w:tc>
        <w:tc>
          <w:tcPr>
            <w:tcW w:w="851" w:type="dxa"/>
            <w:tcBorders>
              <w:top w:val="single" w:sz="4" w:space="0" w:color="365F91"/>
              <w:left w:val="nil"/>
              <w:bottom w:val="single" w:sz="4" w:space="0" w:color="365F91"/>
              <w:right w:val="nil"/>
            </w:tcBorders>
            <w:shd w:val="clear" w:color="auto" w:fill="auto"/>
            <w:vAlign w:val="bottom"/>
          </w:tcPr>
          <w:p w14:paraId="3ED365E1" w14:textId="77777777" w:rsidR="0068777C" w:rsidRPr="00256982" w:rsidRDefault="0068777C" w:rsidP="0005134C">
            <w:pPr>
              <w:pStyle w:val="TableText"/>
              <w:spacing w:after="50"/>
              <w:jc w:val="right"/>
            </w:pPr>
            <w:r w:rsidRPr="00256982">
              <w:t>113.1</w:t>
            </w:r>
          </w:p>
        </w:tc>
        <w:tc>
          <w:tcPr>
            <w:tcW w:w="1276" w:type="dxa"/>
            <w:tcBorders>
              <w:top w:val="single" w:sz="4" w:space="0" w:color="365F91"/>
              <w:left w:val="nil"/>
              <w:bottom w:val="single" w:sz="4" w:space="0" w:color="365F91"/>
              <w:right w:val="nil"/>
            </w:tcBorders>
            <w:shd w:val="clear" w:color="auto" w:fill="auto"/>
            <w:vAlign w:val="bottom"/>
          </w:tcPr>
          <w:p w14:paraId="4EF8449A" w14:textId="77777777" w:rsidR="0068777C" w:rsidRPr="00256982" w:rsidRDefault="0068777C" w:rsidP="0005134C">
            <w:pPr>
              <w:pStyle w:val="TableText"/>
              <w:spacing w:after="50"/>
              <w:jc w:val="right"/>
            </w:pPr>
            <w:r w:rsidRPr="00256982">
              <w:t>0.9</w:t>
            </w:r>
          </w:p>
        </w:tc>
        <w:tc>
          <w:tcPr>
            <w:tcW w:w="1275" w:type="dxa"/>
            <w:tcBorders>
              <w:top w:val="single" w:sz="4" w:space="0" w:color="365F91"/>
              <w:left w:val="nil"/>
              <w:bottom w:val="single" w:sz="4" w:space="0" w:color="365F91"/>
              <w:right w:val="nil"/>
            </w:tcBorders>
            <w:shd w:val="clear" w:color="auto" w:fill="auto"/>
            <w:vAlign w:val="bottom"/>
          </w:tcPr>
          <w:p w14:paraId="256C95F3" w14:textId="77777777" w:rsidR="0068777C" w:rsidRPr="00256982" w:rsidRDefault="0068777C" w:rsidP="0005134C">
            <w:pPr>
              <w:pStyle w:val="TableText"/>
              <w:spacing w:after="50"/>
              <w:jc w:val="right"/>
            </w:pPr>
            <w:r w:rsidRPr="00256982">
              <w:t>0.2</w:t>
            </w:r>
          </w:p>
        </w:tc>
      </w:tr>
      <w:tr w:rsidR="0068777C" w:rsidRPr="00256982" w14:paraId="5694029E" w14:textId="77777777" w:rsidTr="00B06638">
        <w:tc>
          <w:tcPr>
            <w:tcW w:w="813" w:type="dxa"/>
            <w:vMerge/>
            <w:tcBorders>
              <w:left w:val="nil"/>
              <w:right w:val="nil"/>
            </w:tcBorders>
            <w:shd w:val="clear" w:color="auto" w:fill="auto"/>
          </w:tcPr>
          <w:p w14:paraId="7E129DF6" w14:textId="77777777" w:rsidR="0068777C" w:rsidRPr="00256982" w:rsidRDefault="0068777C" w:rsidP="0005134C">
            <w:pPr>
              <w:pStyle w:val="TableText"/>
              <w:spacing w:after="50"/>
            </w:pPr>
          </w:p>
        </w:tc>
        <w:tc>
          <w:tcPr>
            <w:tcW w:w="1739" w:type="dxa"/>
            <w:tcBorders>
              <w:top w:val="single" w:sz="4" w:space="0" w:color="365F91"/>
              <w:left w:val="nil"/>
              <w:bottom w:val="single" w:sz="4" w:space="0" w:color="365F91"/>
              <w:right w:val="nil"/>
            </w:tcBorders>
            <w:shd w:val="clear" w:color="auto" w:fill="auto"/>
            <w:vAlign w:val="bottom"/>
          </w:tcPr>
          <w:p w14:paraId="2B42EC7E" w14:textId="77777777" w:rsidR="0068777C" w:rsidRPr="00256982" w:rsidRDefault="0068777C" w:rsidP="0005134C">
            <w:pPr>
              <w:pStyle w:val="TableText"/>
              <w:spacing w:after="50"/>
            </w:pPr>
            <w:r w:rsidRPr="00256982">
              <w:t>Grazing manure</w:t>
            </w:r>
          </w:p>
        </w:tc>
        <w:tc>
          <w:tcPr>
            <w:tcW w:w="850" w:type="dxa"/>
            <w:tcBorders>
              <w:top w:val="single" w:sz="4" w:space="0" w:color="365F91"/>
              <w:left w:val="nil"/>
              <w:bottom w:val="single" w:sz="4" w:space="0" w:color="365F91"/>
              <w:right w:val="nil"/>
            </w:tcBorders>
            <w:shd w:val="clear" w:color="auto" w:fill="auto"/>
            <w:vAlign w:val="bottom"/>
          </w:tcPr>
          <w:p w14:paraId="417756A5" w14:textId="77777777" w:rsidR="0068777C" w:rsidRPr="00256982" w:rsidRDefault="0068777C" w:rsidP="0005134C">
            <w:pPr>
              <w:pStyle w:val="TableText"/>
              <w:spacing w:after="50"/>
              <w:jc w:val="right"/>
            </w:pPr>
            <w:r w:rsidRPr="00256982">
              <w:t>5,138.4</w:t>
            </w:r>
          </w:p>
        </w:tc>
        <w:tc>
          <w:tcPr>
            <w:tcW w:w="851" w:type="dxa"/>
            <w:tcBorders>
              <w:top w:val="single" w:sz="4" w:space="0" w:color="365F91"/>
              <w:left w:val="nil"/>
              <w:bottom w:val="single" w:sz="4" w:space="0" w:color="365F91"/>
              <w:right w:val="nil"/>
            </w:tcBorders>
            <w:shd w:val="clear" w:color="auto" w:fill="auto"/>
            <w:vAlign w:val="bottom"/>
          </w:tcPr>
          <w:p w14:paraId="1A43CC9D" w14:textId="77777777" w:rsidR="0068777C" w:rsidRPr="00256982" w:rsidRDefault="0068777C" w:rsidP="0005134C">
            <w:pPr>
              <w:pStyle w:val="TableText"/>
              <w:spacing w:after="50"/>
              <w:jc w:val="right"/>
            </w:pPr>
            <w:r w:rsidRPr="00256982">
              <w:t>5,435.3</w:t>
            </w:r>
          </w:p>
        </w:tc>
        <w:tc>
          <w:tcPr>
            <w:tcW w:w="850" w:type="dxa"/>
            <w:tcBorders>
              <w:top w:val="single" w:sz="4" w:space="0" w:color="365F91"/>
              <w:left w:val="nil"/>
              <w:bottom w:val="single" w:sz="4" w:space="0" w:color="365F91"/>
              <w:right w:val="nil"/>
            </w:tcBorders>
            <w:shd w:val="clear" w:color="auto" w:fill="auto"/>
            <w:vAlign w:val="bottom"/>
          </w:tcPr>
          <w:p w14:paraId="360D6041" w14:textId="77777777" w:rsidR="0068777C" w:rsidRPr="00256982" w:rsidRDefault="0068777C" w:rsidP="0005134C">
            <w:pPr>
              <w:pStyle w:val="TableText"/>
              <w:spacing w:after="50"/>
              <w:jc w:val="right"/>
            </w:pPr>
            <w:r w:rsidRPr="00256982">
              <w:t>296.9</w:t>
            </w:r>
          </w:p>
        </w:tc>
        <w:tc>
          <w:tcPr>
            <w:tcW w:w="851" w:type="dxa"/>
            <w:tcBorders>
              <w:top w:val="single" w:sz="4" w:space="0" w:color="365F91"/>
              <w:left w:val="nil"/>
              <w:bottom w:val="single" w:sz="4" w:space="0" w:color="365F91"/>
              <w:right w:val="nil"/>
            </w:tcBorders>
            <w:shd w:val="clear" w:color="auto" w:fill="auto"/>
            <w:vAlign w:val="bottom"/>
          </w:tcPr>
          <w:p w14:paraId="3A326073" w14:textId="77777777" w:rsidR="0068777C" w:rsidRPr="00256982" w:rsidRDefault="0068777C" w:rsidP="0005134C">
            <w:pPr>
              <w:pStyle w:val="TableText"/>
              <w:spacing w:after="50"/>
              <w:jc w:val="right"/>
            </w:pPr>
            <w:r w:rsidRPr="00256982">
              <w:t>5.8</w:t>
            </w:r>
          </w:p>
        </w:tc>
        <w:tc>
          <w:tcPr>
            <w:tcW w:w="1276" w:type="dxa"/>
            <w:tcBorders>
              <w:top w:val="single" w:sz="4" w:space="0" w:color="365F91"/>
              <w:left w:val="nil"/>
              <w:bottom w:val="single" w:sz="4" w:space="0" w:color="365F91"/>
              <w:right w:val="nil"/>
            </w:tcBorders>
            <w:shd w:val="clear" w:color="auto" w:fill="auto"/>
            <w:vAlign w:val="bottom"/>
          </w:tcPr>
          <w:p w14:paraId="39AAF684" w14:textId="77777777" w:rsidR="0068777C" w:rsidRPr="00256982" w:rsidRDefault="0068777C" w:rsidP="0005134C">
            <w:pPr>
              <w:pStyle w:val="TableText"/>
              <w:spacing w:after="50"/>
              <w:jc w:val="right"/>
            </w:pPr>
            <w:r w:rsidRPr="00256982">
              <w:t>63.5</w:t>
            </w:r>
          </w:p>
        </w:tc>
        <w:tc>
          <w:tcPr>
            <w:tcW w:w="1275" w:type="dxa"/>
            <w:tcBorders>
              <w:top w:val="single" w:sz="4" w:space="0" w:color="365F91"/>
              <w:left w:val="nil"/>
              <w:bottom w:val="single" w:sz="4" w:space="0" w:color="365F91"/>
              <w:right w:val="nil"/>
            </w:tcBorders>
            <w:shd w:val="clear" w:color="auto" w:fill="auto"/>
            <w:vAlign w:val="bottom"/>
          </w:tcPr>
          <w:p w14:paraId="6EBFFE84" w14:textId="77777777" w:rsidR="0068777C" w:rsidRPr="00256982" w:rsidRDefault="0068777C" w:rsidP="0005134C">
            <w:pPr>
              <w:pStyle w:val="TableText"/>
              <w:spacing w:after="50"/>
              <w:jc w:val="right"/>
            </w:pPr>
            <w:r w:rsidRPr="00256982">
              <w:t>14.0</w:t>
            </w:r>
          </w:p>
        </w:tc>
      </w:tr>
      <w:tr w:rsidR="0068777C" w:rsidRPr="00256982" w14:paraId="5B0895F4" w14:textId="77777777" w:rsidTr="00B06638">
        <w:tc>
          <w:tcPr>
            <w:tcW w:w="813" w:type="dxa"/>
            <w:vMerge/>
            <w:tcBorders>
              <w:left w:val="nil"/>
              <w:right w:val="nil"/>
            </w:tcBorders>
            <w:shd w:val="clear" w:color="auto" w:fill="auto"/>
          </w:tcPr>
          <w:p w14:paraId="07353A33" w14:textId="77777777" w:rsidR="0068777C" w:rsidRPr="00256982" w:rsidRDefault="0068777C" w:rsidP="0005134C">
            <w:pPr>
              <w:pStyle w:val="TableText"/>
              <w:spacing w:after="50"/>
            </w:pPr>
          </w:p>
        </w:tc>
        <w:tc>
          <w:tcPr>
            <w:tcW w:w="1739" w:type="dxa"/>
            <w:tcBorders>
              <w:top w:val="single" w:sz="4" w:space="0" w:color="365F91"/>
              <w:left w:val="nil"/>
              <w:bottom w:val="single" w:sz="4" w:space="0" w:color="365F91"/>
              <w:right w:val="nil"/>
            </w:tcBorders>
            <w:shd w:val="clear" w:color="auto" w:fill="auto"/>
            <w:vAlign w:val="bottom"/>
          </w:tcPr>
          <w:p w14:paraId="20065EFE" w14:textId="77777777" w:rsidR="0068777C" w:rsidRPr="00256982" w:rsidRDefault="0068777C" w:rsidP="0005134C">
            <w:pPr>
              <w:pStyle w:val="TableText"/>
              <w:spacing w:after="50"/>
            </w:pPr>
            <w:r w:rsidRPr="00256982">
              <w:t xml:space="preserve">Crop residue </w:t>
            </w:r>
          </w:p>
        </w:tc>
        <w:tc>
          <w:tcPr>
            <w:tcW w:w="850" w:type="dxa"/>
            <w:tcBorders>
              <w:top w:val="single" w:sz="4" w:space="0" w:color="365F91"/>
              <w:left w:val="nil"/>
              <w:bottom w:val="single" w:sz="4" w:space="0" w:color="365F91"/>
              <w:right w:val="nil"/>
            </w:tcBorders>
            <w:shd w:val="clear" w:color="auto" w:fill="auto"/>
            <w:vAlign w:val="bottom"/>
          </w:tcPr>
          <w:p w14:paraId="2F76ED0C" w14:textId="77777777" w:rsidR="0068777C" w:rsidRPr="00256982" w:rsidRDefault="0068777C" w:rsidP="0005134C">
            <w:pPr>
              <w:pStyle w:val="TableText"/>
              <w:spacing w:after="50"/>
              <w:jc w:val="right"/>
            </w:pPr>
            <w:r w:rsidRPr="00256982">
              <w:t>175.5</w:t>
            </w:r>
          </w:p>
        </w:tc>
        <w:tc>
          <w:tcPr>
            <w:tcW w:w="851" w:type="dxa"/>
            <w:tcBorders>
              <w:top w:val="single" w:sz="4" w:space="0" w:color="365F91"/>
              <w:left w:val="nil"/>
              <w:bottom w:val="single" w:sz="4" w:space="0" w:color="365F91"/>
              <w:right w:val="nil"/>
            </w:tcBorders>
            <w:shd w:val="clear" w:color="auto" w:fill="auto"/>
            <w:vAlign w:val="bottom"/>
          </w:tcPr>
          <w:p w14:paraId="0070B6BC" w14:textId="77777777" w:rsidR="0068777C" w:rsidRPr="00256982" w:rsidRDefault="0068777C" w:rsidP="0005134C">
            <w:pPr>
              <w:pStyle w:val="TableText"/>
              <w:spacing w:after="50"/>
              <w:jc w:val="right"/>
            </w:pPr>
            <w:r w:rsidRPr="00256982">
              <w:t>249.4</w:t>
            </w:r>
          </w:p>
        </w:tc>
        <w:tc>
          <w:tcPr>
            <w:tcW w:w="850" w:type="dxa"/>
            <w:tcBorders>
              <w:top w:val="single" w:sz="4" w:space="0" w:color="365F91"/>
              <w:left w:val="nil"/>
              <w:bottom w:val="single" w:sz="4" w:space="0" w:color="365F91"/>
              <w:right w:val="nil"/>
            </w:tcBorders>
            <w:shd w:val="clear" w:color="auto" w:fill="auto"/>
            <w:vAlign w:val="bottom"/>
          </w:tcPr>
          <w:p w14:paraId="7F1F07CF" w14:textId="77777777" w:rsidR="0068777C" w:rsidRPr="00256982" w:rsidRDefault="0068777C" w:rsidP="0005134C">
            <w:pPr>
              <w:pStyle w:val="TableText"/>
              <w:spacing w:after="50"/>
              <w:jc w:val="right"/>
            </w:pPr>
            <w:r w:rsidRPr="00256982">
              <w:t>73.9</w:t>
            </w:r>
          </w:p>
        </w:tc>
        <w:tc>
          <w:tcPr>
            <w:tcW w:w="851" w:type="dxa"/>
            <w:tcBorders>
              <w:top w:val="single" w:sz="4" w:space="0" w:color="365F91"/>
              <w:left w:val="nil"/>
              <w:bottom w:val="single" w:sz="4" w:space="0" w:color="365F91"/>
              <w:right w:val="nil"/>
            </w:tcBorders>
            <w:shd w:val="clear" w:color="auto" w:fill="auto"/>
            <w:vAlign w:val="bottom"/>
          </w:tcPr>
          <w:p w14:paraId="647B9545" w14:textId="77777777" w:rsidR="0068777C" w:rsidRPr="00256982" w:rsidRDefault="0068777C" w:rsidP="0005134C">
            <w:pPr>
              <w:pStyle w:val="TableText"/>
              <w:spacing w:after="50"/>
              <w:jc w:val="right"/>
            </w:pPr>
            <w:r w:rsidRPr="00256982">
              <w:t>42.1</w:t>
            </w:r>
          </w:p>
        </w:tc>
        <w:tc>
          <w:tcPr>
            <w:tcW w:w="1276" w:type="dxa"/>
            <w:tcBorders>
              <w:top w:val="single" w:sz="4" w:space="0" w:color="365F91"/>
              <w:left w:val="nil"/>
              <w:bottom w:val="single" w:sz="4" w:space="0" w:color="365F91"/>
              <w:right w:val="nil"/>
            </w:tcBorders>
            <w:shd w:val="clear" w:color="auto" w:fill="auto"/>
            <w:vAlign w:val="bottom"/>
          </w:tcPr>
          <w:p w14:paraId="741A7438" w14:textId="77777777" w:rsidR="0068777C" w:rsidRPr="00256982" w:rsidRDefault="0068777C" w:rsidP="0005134C">
            <w:pPr>
              <w:pStyle w:val="TableText"/>
              <w:spacing w:after="50"/>
              <w:jc w:val="right"/>
            </w:pPr>
            <w:r w:rsidRPr="00256982">
              <w:t>2.9</w:t>
            </w:r>
          </w:p>
        </w:tc>
        <w:tc>
          <w:tcPr>
            <w:tcW w:w="1275" w:type="dxa"/>
            <w:tcBorders>
              <w:top w:val="single" w:sz="4" w:space="0" w:color="365F91"/>
              <w:left w:val="nil"/>
              <w:bottom w:val="single" w:sz="4" w:space="0" w:color="365F91"/>
              <w:right w:val="nil"/>
            </w:tcBorders>
            <w:shd w:val="clear" w:color="auto" w:fill="auto"/>
            <w:vAlign w:val="bottom"/>
          </w:tcPr>
          <w:p w14:paraId="35E987B9" w14:textId="77777777" w:rsidR="0068777C" w:rsidRPr="00256982" w:rsidRDefault="0068777C" w:rsidP="0005134C">
            <w:pPr>
              <w:pStyle w:val="TableText"/>
              <w:spacing w:after="50"/>
              <w:jc w:val="right"/>
            </w:pPr>
            <w:r w:rsidRPr="00256982">
              <w:t>0.6</w:t>
            </w:r>
          </w:p>
        </w:tc>
      </w:tr>
      <w:tr w:rsidR="0068777C" w:rsidRPr="00256982" w14:paraId="19091D59" w14:textId="77777777" w:rsidTr="00B06638">
        <w:tc>
          <w:tcPr>
            <w:tcW w:w="813" w:type="dxa"/>
            <w:vMerge/>
            <w:tcBorders>
              <w:left w:val="nil"/>
              <w:right w:val="nil"/>
            </w:tcBorders>
            <w:shd w:val="clear" w:color="auto" w:fill="auto"/>
          </w:tcPr>
          <w:p w14:paraId="736D91FF" w14:textId="77777777" w:rsidR="0068777C" w:rsidRPr="00256982" w:rsidRDefault="0068777C" w:rsidP="0005134C">
            <w:pPr>
              <w:pStyle w:val="TableText"/>
              <w:spacing w:after="50"/>
            </w:pPr>
          </w:p>
        </w:tc>
        <w:tc>
          <w:tcPr>
            <w:tcW w:w="1739" w:type="dxa"/>
            <w:tcBorders>
              <w:top w:val="single" w:sz="4" w:space="0" w:color="365F91"/>
              <w:left w:val="nil"/>
              <w:bottom w:val="single" w:sz="4" w:space="0" w:color="365F91"/>
              <w:right w:val="nil"/>
            </w:tcBorders>
            <w:shd w:val="clear" w:color="auto" w:fill="auto"/>
            <w:vAlign w:val="bottom"/>
          </w:tcPr>
          <w:p w14:paraId="4D86D41B" w14:textId="77777777" w:rsidR="0068777C" w:rsidRPr="00256982" w:rsidRDefault="0068777C" w:rsidP="0005134C">
            <w:pPr>
              <w:pStyle w:val="TableText"/>
              <w:spacing w:after="50"/>
            </w:pPr>
            <w:r w:rsidRPr="00256982">
              <w:t>Cropland nitrogen mineralisation from soil organic matter loss</w:t>
            </w:r>
          </w:p>
        </w:tc>
        <w:tc>
          <w:tcPr>
            <w:tcW w:w="850" w:type="dxa"/>
            <w:tcBorders>
              <w:top w:val="single" w:sz="4" w:space="0" w:color="365F91"/>
              <w:left w:val="nil"/>
              <w:bottom w:val="single" w:sz="4" w:space="0" w:color="365F91"/>
              <w:right w:val="nil"/>
            </w:tcBorders>
            <w:shd w:val="clear" w:color="auto" w:fill="auto"/>
            <w:vAlign w:val="bottom"/>
          </w:tcPr>
          <w:p w14:paraId="4883DC03" w14:textId="77777777" w:rsidR="0068777C" w:rsidRPr="00256982" w:rsidRDefault="0068777C" w:rsidP="0005134C">
            <w:pPr>
              <w:pStyle w:val="TableText"/>
              <w:spacing w:after="50"/>
              <w:jc w:val="right"/>
            </w:pPr>
            <w:r w:rsidRPr="00256982">
              <w:t>0.0</w:t>
            </w:r>
          </w:p>
        </w:tc>
        <w:tc>
          <w:tcPr>
            <w:tcW w:w="851" w:type="dxa"/>
            <w:tcBorders>
              <w:top w:val="single" w:sz="4" w:space="0" w:color="365F91"/>
              <w:left w:val="nil"/>
              <w:bottom w:val="single" w:sz="4" w:space="0" w:color="365F91"/>
              <w:right w:val="nil"/>
            </w:tcBorders>
            <w:shd w:val="clear" w:color="auto" w:fill="auto"/>
            <w:vAlign w:val="bottom"/>
          </w:tcPr>
          <w:p w14:paraId="059C2E85" w14:textId="77777777" w:rsidR="0068777C" w:rsidRPr="00256982" w:rsidRDefault="0068777C" w:rsidP="0005134C">
            <w:pPr>
              <w:pStyle w:val="TableText"/>
              <w:spacing w:after="50"/>
              <w:jc w:val="right"/>
            </w:pPr>
            <w:r w:rsidRPr="00256982">
              <w:t>0.2</w:t>
            </w:r>
          </w:p>
        </w:tc>
        <w:tc>
          <w:tcPr>
            <w:tcW w:w="850" w:type="dxa"/>
            <w:tcBorders>
              <w:top w:val="single" w:sz="4" w:space="0" w:color="365F91"/>
              <w:left w:val="nil"/>
              <w:bottom w:val="single" w:sz="4" w:space="0" w:color="365F91"/>
              <w:right w:val="nil"/>
            </w:tcBorders>
            <w:shd w:val="clear" w:color="auto" w:fill="auto"/>
            <w:vAlign w:val="bottom"/>
          </w:tcPr>
          <w:p w14:paraId="53B1461C" w14:textId="77777777" w:rsidR="0068777C" w:rsidRPr="00256982" w:rsidRDefault="0068777C" w:rsidP="0005134C">
            <w:pPr>
              <w:pStyle w:val="TableText"/>
              <w:spacing w:after="50"/>
              <w:jc w:val="right"/>
            </w:pPr>
            <w:r w:rsidRPr="00256982">
              <w:t>0.1</w:t>
            </w:r>
          </w:p>
        </w:tc>
        <w:tc>
          <w:tcPr>
            <w:tcW w:w="851" w:type="dxa"/>
            <w:tcBorders>
              <w:top w:val="single" w:sz="4" w:space="0" w:color="365F91"/>
              <w:left w:val="nil"/>
              <w:bottom w:val="single" w:sz="4" w:space="0" w:color="365F91"/>
              <w:right w:val="nil"/>
            </w:tcBorders>
            <w:shd w:val="clear" w:color="auto" w:fill="auto"/>
            <w:vAlign w:val="bottom"/>
          </w:tcPr>
          <w:p w14:paraId="52DB76F0" w14:textId="77777777" w:rsidR="0068777C" w:rsidRPr="00256982" w:rsidRDefault="0068777C" w:rsidP="0005134C">
            <w:pPr>
              <w:pStyle w:val="TableText"/>
              <w:spacing w:after="50"/>
              <w:jc w:val="right"/>
            </w:pPr>
            <w:r w:rsidRPr="00256982">
              <w:t>425.0</w:t>
            </w:r>
          </w:p>
        </w:tc>
        <w:tc>
          <w:tcPr>
            <w:tcW w:w="1276" w:type="dxa"/>
            <w:tcBorders>
              <w:top w:val="single" w:sz="4" w:space="0" w:color="365F91"/>
              <w:left w:val="nil"/>
              <w:bottom w:val="single" w:sz="4" w:space="0" w:color="365F91"/>
              <w:right w:val="nil"/>
            </w:tcBorders>
            <w:shd w:val="clear" w:color="auto" w:fill="auto"/>
            <w:vAlign w:val="bottom"/>
          </w:tcPr>
          <w:p w14:paraId="486EBC10" w14:textId="77777777" w:rsidR="0068777C" w:rsidRPr="00256982" w:rsidRDefault="0068777C" w:rsidP="0005134C">
            <w:pPr>
              <w:pStyle w:val="TableText"/>
              <w:spacing w:after="50"/>
              <w:jc w:val="right"/>
            </w:pPr>
            <w:r w:rsidRPr="00256982">
              <w:t>0.0</w:t>
            </w:r>
          </w:p>
        </w:tc>
        <w:tc>
          <w:tcPr>
            <w:tcW w:w="1275" w:type="dxa"/>
            <w:tcBorders>
              <w:top w:val="single" w:sz="4" w:space="0" w:color="365F91"/>
              <w:left w:val="nil"/>
              <w:bottom w:val="single" w:sz="4" w:space="0" w:color="365F91"/>
              <w:right w:val="nil"/>
            </w:tcBorders>
            <w:shd w:val="clear" w:color="auto" w:fill="auto"/>
            <w:vAlign w:val="bottom"/>
          </w:tcPr>
          <w:p w14:paraId="5B319AB6" w14:textId="77777777" w:rsidR="0068777C" w:rsidRPr="00256982" w:rsidRDefault="0068777C" w:rsidP="0005134C">
            <w:pPr>
              <w:pStyle w:val="TableText"/>
              <w:spacing w:after="50"/>
              <w:jc w:val="right"/>
            </w:pPr>
            <w:r w:rsidRPr="00256982">
              <w:t>0.0</w:t>
            </w:r>
          </w:p>
        </w:tc>
      </w:tr>
      <w:tr w:rsidR="0068777C" w:rsidRPr="00256982" w14:paraId="5EFDF9A4" w14:textId="77777777" w:rsidTr="00B06638">
        <w:tc>
          <w:tcPr>
            <w:tcW w:w="813" w:type="dxa"/>
            <w:vMerge/>
            <w:tcBorders>
              <w:left w:val="nil"/>
              <w:right w:val="nil"/>
            </w:tcBorders>
            <w:shd w:val="clear" w:color="auto" w:fill="auto"/>
          </w:tcPr>
          <w:p w14:paraId="0DB7A206" w14:textId="77777777" w:rsidR="0068777C" w:rsidRPr="00256982" w:rsidRDefault="0068777C" w:rsidP="0005134C">
            <w:pPr>
              <w:pStyle w:val="TableText"/>
              <w:spacing w:after="50"/>
            </w:pPr>
          </w:p>
        </w:tc>
        <w:tc>
          <w:tcPr>
            <w:tcW w:w="1739" w:type="dxa"/>
            <w:tcBorders>
              <w:top w:val="single" w:sz="4" w:space="0" w:color="365F91"/>
              <w:left w:val="nil"/>
              <w:bottom w:val="single" w:sz="4" w:space="0" w:color="365F91"/>
              <w:right w:val="nil"/>
            </w:tcBorders>
            <w:shd w:val="clear" w:color="auto" w:fill="auto"/>
            <w:vAlign w:val="bottom"/>
          </w:tcPr>
          <w:p w14:paraId="58CF669E" w14:textId="77777777" w:rsidR="0068777C" w:rsidRPr="00256982" w:rsidRDefault="0068777C" w:rsidP="0005134C">
            <w:pPr>
              <w:pStyle w:val="TableText"/>
              <w:spacing w:after="50"/>
            </w:pPr>
            <w:r w:rsidRPr="00256982">
              <w:t>Cultivation of organic soils</w:t>
            </w:r>
          </w:p>
        </w:tc>
        <w:tc>
          <w:tcPr>
            <w:tcW w:w="850" w:type="dxa"/>
            <w:tcBorders>
              <w:top w:val="single" w:sz="4" w:space="0" w:color="365F91"/>
              <w:left w:val="nil"/>
              <w:bottom w:val="single" w:sz="4" w:space="0" w:color="365F91"/>
              <w:right w:val="nil"/>
            </w:tcBorders>
            <w:shd w:val="clear" w:color="auto" w:fill="auto"/>
            <w:vAlign w:val="bottom"/>
          </w:tcPr>
          <w:p w14:paraId="27A09C35" w14:textId="77777777" w:rsidR="0068777C" w:rsidRPr="00256982" w:rsidRDefault="0068777C" w:rsidP="0005134C">
            <w:pPr>
              <w:pStyle w:val="TableText"/>
              <w:spacing w:after="50"/>
              <w:jc w:val="right"/>
            </w:pPr>
            <w:r w:rsidRPr="00256982">
              <w:t>30.0</w:t>
            </w:r>
          </w:p>
        </w:tc>
        <w:tc>
          <w:tcPr>
            <w:tcW w:w="851" w:type="dxa"/>
            <w:tcBorders>
              <w:top w:val="single" w:sz="4" w:space="0" w:color="365F91"/>
              <w:left w:val="nil"/>
              <w:bottom w:val="single" w:sz="4" w:space="0" w:color="365F91"/>
              <w:right w:val="nil"/>
            </w:tcBorders>
            <w:shd w:val="clear" w:color="auto" w:fill="auto"/>
            <w:vAlign w:val="bottom"/>
          </w:tcPr>
          <w:p w14:paraId="57956ACE" w14:textId="77777777" w:rsidR="0068777C" w:rsidRPr="00256982" w:rsidRDefault="0068777C" w:rsidP="0005134C">
            <w:pPr>
              <w:pStyle w:val="TableText"/>
              <w:spacing w:after="50"/>
              <w:jc w:val="right"/>
            </w:pPr>
            <w:r w:rsidRPr="00256982">
              <w:t>30.0</w:t>
            </w:r>
          </w:p>
        </w:tc>
        <w:tc>
          <w:tcPr>
            <w:tcW w:w="850" w:type="dxa"/>
            <w:tcBorders>
              <w:top w:val="single" w:sz="4" w:space="0" w:color="365F91"/>
              <w:left w:val="nil"/>
              <w:bottom w:val="single" w:sz="4" w:space="0" w:color="365F91"/>
              <w:right w:val="nil"/>
            </w:tcBorders>
            <w:shd w:val="clear" w:color="auto" w:fill="auto"/>
            <w:vAlign w:val="bottom"/>
          </w:tcPr>
          <w:p w14:paraId="1A2F3A9A" w14:textId="77777777" w:rsidR="0068777C" w:rsidRPr="00256982" w:rsidRDefault="0068777C" w:rsidP="0005134C">
            <w:pPr>
              <w:pStyle w:val="TableText"/>
              <w:spacing w:after="50"/>
              <w:jc w:val="right"/>
            </w:pPr>
            <w:r w:rsidRPr="00256982">
              <w:t>0.0</w:t>
            </w:r>
          </w:p>
        </w:tc>
        <w:tc>
          <w:tcPr>
            <w:tcW w:w="851" w:type="dxa"/>
            <w:tcBorders>
              <w:top w:val="single" w:sz="4" w:space="0" w:color="365F91"/>
              <w:left w:val="nil"/>
              <w:bottom w:val="single" w:sz="4" w:space="0" w:color="365F91"/>
              <w:right w:val="nil"/>
            </w:tcBorders>
            <w:shd w:val="clear" w:color="auto" w:fill="auto"/>
            <w:vAlign w:val="bottom"/>
          </w:tcPr>
          <w:p w14:paraId="20E7F0A7" w14:textId="77777777" w:rsidR="0068777C" w:rsidRPr="00256982" w:rsidRDefault="0068777C" w:rsidP="0005134C">
            <w:pPr>
              <w:pStyle w:val="TableText"/>
              <w:spacing w:after="50"/>
              <w:jc w:val="right"/>
            </w:pPr>
            <w:r w:rsidRPr="00256982">
              <w:t>0.0</w:t>
            </w:r>
          </w:p>
        </w:tc>
        <w:tc>
          <w:tcPr>
            <w:tcW w:w="1276" w:type="dxa"/>
            <w:tcBorders>
              <w:top w:val="single" w:sz="4" w:space="0" w:color="365F91"/>
              <w:left w:val="nil"/>
              <w:bottom w:val="single" w:sz="4" w:space="0" w:color="365F91"/>
              <w:right w:val="nil"/>
            </w:tcBorders>
            <w:shd w:val="clear" w:color="auto" w:fill="auto"/>
            <w:vAlign w:val="bottom"/>
          </w:tcPr>
          <w:p w14:paraId="7D07EDD0" w14:textId="77777777" w:rsidR="0068777C" w:rsidRPr="00256982" w:rsidRDefault="0068777C" w:rsidP="0005134C">
            <w:pPr>
              <w:pStyle w:val="TableText"/>
              <w:spacing w:after="50"/>
              <w:jc w:val="right"/>
            </w:pPr>
            <w:r w:rsidRPr="00256982">
              <w:t>0.4</w:t>
            </w:r>
          </w:p>
        </w:tc>
        <w:tc>
          <w:tcPr>
            <w:tcW w:w="1275" w:type="dxa"/>
            <w:tcBorders>
              <w:top w:val="single" w:sz="4" w:space="0" w:color="365F91"/>
              <w:left w:val="nil"/>
              <w:bottom w:val="single" w:sz="4" w:space="0" w:color="365F91"/>
              <w:right w:val="nil"/>
            </w:tcBorders>
            <w:shd w:val="clear" w:color="auto" w:fill="auto"/>
            <w:vAlign w:val="bottom"/>
          </w:tcPr>
          <w:p w14:paraId="343B38C7" w14:textId="77777777" w:rsidR="0068777C" w:rsidRPr="00256982" w:rsidRDefault="0068777C" w:rsidP="0005134C">
            <w:pPr>
              <w:pStyle w:val="TableText"/>
              <w:spacing w:after="50"/>
              <w:jc w:val="right"/>
            </w:pPr>
            <w:r w:rsidRPr="00256982">
              <w:t>0.1</w:t>
            </w:r>
          </w:p>
        </w:tc>
      </w:tr>
      <w:tr w:rsidR="0068777C" w:rsidRPr="00256982" w14:paraId="1F5CB6CC" w14:textId="77777777" w:rsidTr="002C7BFB">
        <w:tc>
          <w:tcPr>
            <w:tcW w:w="813" w:type="dxa"/>
            <w:vMerge w:val="restart"/>
            <w:tcBorders>
              <w:left w:val="nil"/>
              <w:right w:val="nil"/>
            </w:tcBorders>
            <w:shd w:val="clear" w:color="auto" w:fill="auto"/>
          </w:tcPr>
          <w:p w14:paraId="505EF021" w14:textId="77777777" w:rsidR="0068777C" w:rsidRPr="00256982" w:rsidRDefault="0068777C" w:rsidP="0005134C">
            <w:pPr>
              <w:pStyle w:val="TableText"/>
              <w:spacing w:after="50"/>
            </w:pPr>
            <w:r w:rsidRPr="00256982">
              <w:t>Indirect</w:t>
            </w:r>
          </w:p>
        </w:tc>
        <w:tc>
          <w:tcPr>
            <w:tcW w:w="1739" w:type="dxa"/>
            <w:tcBorders>
              <w:top w:val="single" w:sz="4" w:space="0" w:color="365F91"/>
              <w:left w:val="nil"/>
              <w:bottom w:val="single" w:sz="4" w:space="0" w:color="365F91"/>
              <w:right w:val="nil"/>
            </w:tcBorders>
            <w:shd w:val="clear" w:color="auto" w:fill="auto"/>
          </w:tcPr>
          <w:p w14:paraId="652EFCE0" w14:textId="77777777" w:rsidR="0068777C" w:rsidRPr="00256982" w:rsidRDefault="0068777C" w:rsidP="0005134C">
            <w:pPr>
              <w:pStyle w:val="TableText"/>
              <w:spacing w:after="50"/>
            </w:pPr>
            <w:r w:rsidRPr="00256982">
              <w:t>Volatilisation</w:t>
            </w:r>
          </w:p>
        </w:tc>
        <w:tc>
          <w:tcPr>
            <w:tcW w:w="850" w:type="dxa"/>
            <w:tcBorders>
              <w:top w:val="single" w:sz="4" w:space="0" w:color="365F91"/>
              <w:left w:val="nil"/>
              <w:bottom w:val="single" w:sz="4" w:space="0" w:color="365F91"/>
              <w:right w:val="nil"/>
            </w:tcBorders>
            <w:shd w:val="clear" w:color="auto" w:fill="auto"/>
          </w:tcPr>
          <w:p w14:paraId="56A803E0" w14:textId="77777777" w:rsidR="0068777C" w:rsidRPr="00256982" w:rsidRDefault="0068777C" w:rsidP="0005134C">
            <w:pPr>
              <w:pStyle w:val="TableText"/>
              <w:spacing w:after="50"/>
              <w:jc w:val="right"/>
            </w:pPr>
            <w:r w:rsidRPr="00256982">
              <w:t>700.9</w:t>
            </w:r>
          </w:p>
        </w:tc>
        <w:tc>
          <w:tcPr>
            <w:tcW w:w="851" w:type="dxa"/>
            <w:tcBorders>
              <w:top w:val="single" w:sz="4" w:space="0" w:color="365F91"/>
              <w:left w:val="nil"/>
              <w:bottom w:val="single" w:sz="4" w:space="0" w:color="365F91"/>
              <w:right w:val="nil"/>
            </w:tcBorders>
            <w:shd w:val="clear" w:color="auto" w:fill="auto"/>
          </w:tcPr>
          <w:p w14:paraId="06A994CD" w14:textId="77777777" w:rsidR="0068777C" w:rsidRPr="00256982" w:rsidRDefault="0068777C" w:rsidP="0005134C">
            <w:pPr>
              <w:pStyle w:val="TableText"/>
              <w:spacing w:after="50"/>
              <w:jc w:val="right"/>
            </w:pPr>
            <w:r w:rsidRPr="00256982">
              <w:t>906.8</w:t>
            </w:r>
          </w:p>
        </w:tc>
        <w:tc>
          <w:tcPr>
            <w:tcW w:w="850" w:type="dxa"/>
            <w:tcBorders>
              <w:top w:val="single" w:sz="4" w:space="0" w:color="365F91"/>
              <w:left w:val="nil"/>
              <w:bottom w:val="single" w:sz="4" w:space="0" w:color="365F91"/>
              <w:right w:val="nil"/>
            </w:tcBorders>
            <w:shd w:val="clear" w:color="auto" w:fill="auto"/>
          </w:tcPr>
          <w:p w14:paraId="32BE2995" w14:textId="77777777" w:rsidR="0068777C" w:rsidRPr="00256982" w:rsidRDefault="0068777C" w:rsidP="0005134C">
            <w:pPr>
              <w:pStyle w:val="TableText"/>
              <w:spacing w:after="50"/>
              <w:jc w:val="right"/>
            </w:pPr>
            <w:r w:rsidRPr="00256982">
              <w:t>205.9</w:t>
            </w:r>
          </w:p>
        </w:tc>
        <w:tc>
          <w:tcPr>
            <w:tcW w:w="851" w:type="dxa"/>
            <w:tcBorders>
              <w:top w:val="single" w:sz="4" w:space="0" w:color="365F91"/>
              <w:left w:val="nil"/>
              <w:bottom w:val="single" w:sz="4" w:space="0" w:color="365F91"/>
              <w:right w:val="nil"/>
            </w:tcBorders>
            <w:shd w:val="clear" w:color="auto" w:fill="auto"/>
          </w:tcPr>
          <w:p w14:paraId="444DF9F1" w14:textId="77777777" w:rsidR="0068777C" w:rsidRPr="00256982" w:rsidRDefault="0068777C" w:rsidP="0005134C">
            <w:pPr>
              <w:pStyle w:val="TableText"/>
              <w:spacing w:after="50"/>
              <w:jc w:val="right"/>
            </w:pPr>
            <w:r w:rsidRPr="00256982">
              <w:t>29.4</w:t>
            </w:r>
          </w:p>
        </w:tc>
        <w:tc>
          <w:tcPr>
            <w:tcW w:w="1276" w:type="dxa"/>
            <w:tcBorders>
              <w:top w:val="single" w:sz="4" w:space="0" w:color="365F91"/>
              <w:left w:val="nil"/>
              <w:bottom w:val="single" w:sz="4" w:space="0" w:color="365F91"/>
              <w:right w:val="nil"/>
            </w:tcBorders>
            <w:shd w:val="clear" w:color="auto" w:fill="auto"/>
          </w:tcPr>
          <w:p w14:paraId="7E7A70F5" w14:textId="77777777" w:rsidR="0068777C" w:rsidRPr="00256982" w:rsidRDefault="0068777C" w:rsidP="0005134C">
            <w:pPr>
              <w:pStyle w:val="TableText"/>
              <w:spacing w:after="50"/>
              <w:jc w:val="right"/>
            </w:pPr>
            <w:r w:rsidRPr="00256982">
              <w:t>10.6</w:t>
            </w:r>
          </w:p>
        </w:tc>
        <w:tc>
          <w:tcPr>
            <w:tcW w:w="1275" w:type="dxa"/>
            <w:tcBorders>
              <w:top w:val="single" w:sz="4" w:space="0" w:color="365F91"/>
              <w:left w:val="nil"/>
              <w:bottom w:val="single" w:sz="4" w:space="0" w:color="365F91"/>
              <w:right w:val="nil"/>
            </w:tcBorders>
            <w:shd w:val="clear" w:color="auto" w:fill="auto"/>
          </w:tcPr>
          <w:p w14:paraId="3A4C621D" w14:textId="77777777" w:rsidR="0068777C" w:rsidRPr="00256982" w:rsidRDefault="0068777C" w:rsidP="0005134C">
            <w:pPr>
              <w:pStyle w:val="TableText"/>
              <w:spacing w:after="50"/>
              <w:jc w:val="right"/>
            </w:pPr>
            <w:r w:rsidRPr="00256982">
              <w:t>2.3</w:t>
            </w:r>
          </w:p>
        </w:tc>
      </w:tr>
      <w:tr w:rsidR="0068777C" w:rsidRPr="00256982" w14:paraId="30A116A2" w14:textId="77777777" w:rsidTr="002C7BFB">
        <w:trPr>
          <w:trHeight w:val="337"/>
        </w:trPr>
        <w:tc>
          <w:tcPr>
            <w:tcW w:w="813" w:type="dxa"/>
            <w:vMerge/>
            <w:tcBorders>
              <w:left w:val="nil"/>
              <w:right w:val="nil"/>
            </w:tcBorders>
            <w:shd w:val="clear" w:color="auto" w:fill="auto"/>
          </w:tcPr>
          <w:p w14:paraId="42DD75CB" w14:textId="77777777" w:rsidR="0068777C" w:rsidRPr="00256982" w:rsidRDefault="0068777C" w:rsidP="0005134C">
            <w:pPr>
              <w:pStyle w:val="TableText"/>
              <w:spacing w:after="50"/>
            </w:pPr>
          </w:p>
        </w:tc>
        <w:tc>
          <w:tcPr>
            <w:tcW w:w="1739" w:type="dxa"/>
            <w:tcBorders>
              <w:top w:val="single" w:sz="4" w:space="0" w:color="365F91"/>
              <w:left w:val="nil"/>
              <w:bottom w:val="single" w:sz="4" w:space="0" w:color="365F91"/>
              <w:right w:val="nil"/>
            </w:tcBorders>
            <w:shd w:val="clear" w:color="auto" w:fill="auto"/>
          </w:tcPr>
          <w:p w14:paraId="44FCC3BD" w14:textId="77777777" w:rsidR="0068777C" w:rsidRPr="00256982" w:rsidRDefault="0068777C" w:rsidP="0005134C">
            <w:pPr>
              <w:pStyle w:val="TableText"/>
              <w:spacing w:after="50"/>
            </w:pPr>
            <w:r w:rsidRPr="00256982">
              <w:t>Leaching and runoff</w:t>
            </w:r>
          </w:p>
        </w:tc>
        <w:tc>
          <w:tcPr>
            <w:tcW w:w="850" w:type="dxa"/>
            <w:tcBorders>
              <w:top w:val="single" w:sz="4" w:space="0" w:color="365F91"/>
              <w:left w:val="nil"/>
              <w:bottom w:val="single" w:sz="4" w:space="0" w:color="365F91"/>
              <w:right w:val="nil"/>
            </w:tcBorders>
            <w:shd w:val="clear" w:color="auto" w:fill="auto"/>
          </w:tcPr>
          <w:p w14:paraId="2FEDFF14" w14:textId="77777777" w:rsidR="0068777C" w:rsidRPr="00256982" w:rsidRDefault="0068777C" w:rsidP="0005134C">
            <w:pPr>
              <w:pStyle w:val="TableText"/>
              <w:spacing w:after="50"/>
              <w:jc w:val="right"/>
            </w:pPr>
            <w:r w:rsidRPr="00256982">
              <w:t>377.2</w:t>
            </w:r>
          </w:p>
        </w:tc>
        <w:tc>
          <w:tcPr>
            <w:tcW w:w="851" w:type="dxa"/>
            <w:tcBorders>
              <w:top w:val="single" w:sz="4" w:space="0" w:color="365F91"/>
              <w:left w:val="nil"/>
              <w:bottom w:val="single" w:sz="4" w:space="0" w:color="365F91"/>
              <w:right w:val="nil"/>
            </w:tcBorders>
            <w:shd w:val="clear" w:color="auto" w:fill="auto"/>
          </w:tcPr>
          <w:p w14:paraId="585F7ECD" w14:textId="77777777" w:rsidR="0068777C" w:rsidRPr="00256982" w:rsidRDefault="0068777C" w:rsidP="0005134C">
            <w:pPr>
              <w:pStyle w:val="TableText"/>
              <w:spacing w:after="50"/>
              <w:jc w:val="right"/>
            </w:pPr>
            <w:r w:rsidRPr="00256982">
              <w:t>500.5</w:t>
            </w:r>
          </w:p>
        </w:tc>
        <w:tc>
          <w:tcPr>
            <w:tcW w:w="850" w:type="dxa"/>
            <w:tcBorders>
              <w:top w:val="single" w:sz="4" w:space="0" w:color="365F91"/>
              <w:left w:val="nil"/>
              <w:bottom w:val="single" w:sz="4" w:space="0" w:color="365F91"/>
              <w:right w:val="nil"/>
            </w:tcBorders>
            <w:shd w:val="clear" w:color="auto" w:fill="auto"/>
          </w:tcPr>
          <w:p w14:paraId="629064D3" w14:textId="77777777" w:rsidR="0068777C" w:rsidRPr="00256982" w:rsidRDefault="0068777C" w:rsidP="0005134C">
            <w:pPr>
              <w:pStyle w:val="TableText"/>
              <w:tabs>
                <w:tab w:val="center" w:pos="400"/>
                <w:tab w:val="right" w:pos="801"/>
              </w:tabs>
              <w:spacing w:after="50"/>
              <w:jc w:val="right"/>
            </w:pPr>
            <w:r w:rsidRPr="00256982">
              <w:t>123.3</w:t>
            </w:r>
          </w:p>
        </w:tc>
        <w:tc>
          <w:tcPr>
            <w:tcW w:w="851" w:type="dxa"/>
            <w:tcBorders>
              <w:top w:val="single" w:sz="4" w:space="0" w:color="365F91"/>
              <w:left w:val="nil"/>
              <w:bottom w:val="single" w:sz="4" w:space="0" w:color="365F91"/>
              <w:right w:val="nil"/>
            </w:tcBorders>
            <w:shd w:val="clear" w:color="auto" w:fill="auto"/>
          </w:tcPr>
          <w:p w14:paraId="5878D123" w14:textId="77777777" w:rsidR="0068777C" w:rsidRPr="00256982" w:rsidRDefault="0068777C" w:rsidP="0005134C">
            <w:pPr>
              <w:pStyle w:val="TableText"/>
              <w:spacing w:after="50"/>
              <w:jc w:val="right"/>
            </w:pPr>
            <w:r w:rsidRPr="00256982">
              <w:t>32.7</w:t>
            </w:r>
          </w:p>
        </w:tc>
        <w:tc>
          <w:tcPr>
            <w:tcW w:w="1276" w:type="dxa"/>
            <w:tcBorders>
              <w:top w:val="single" w:sz="4" w:space="0" w:color="365F91"/>
              <w:left w:val="nil"/>
              <w:bottom w:val="single" w:sz="4" w:space="0" w:color="365F91"/>
              <w:right w:val="nil"/>
            </w:tcBorders>
            <w:shd w:val="clear" w:color="auto" w:fill="auto"/>
          </w:tcPr>
          <w:p w14:paraId="2DFC076E" w14:textId="77777777" w:rsidR="0068777C" w:rsidRPr="00256982" w:rsidRDefault="0068777C" w:rsidP="0005134C">
            <w:pPr>
              <w:pStyle w:val="TableText"/>
              <w:spacing w:after="50"/>
              <w:jc w:val="right"/>
            </w:pPr>
            <w:r w:rsidRPr="00256982">
              <w:t>5.8</w:t>
            </w:r>
          </w:p>
        </w:tc>
        <w:tc>
          <w:tcPr>
            <w:tcW w:w="1275" w:type="dxa"/>
            <w:tcBorders>
              <w:top w:val="single" w:sz="4" w:space="0" w:color="365F91"/>
              <w:left w:val="nil"/>
              <w:bottom w:val="single" w:sz="4" w:space="0" w:color="365F91"/>
              <w:right w:val="nil"/>
            </w:tcBorders>
            <w:shd w:val="clear" w:color="auto" w:fill="auto"/>
          </w:tcPr>
          <w:p w14:paraId="38B5C707" w14:textId="77777777" w:rsidR="0068777C" w:rsidRPr="00256982" w:rsidRDefault="0068777C" w:rsidP="0005134C">
            <w:pPr>
              <w:pStyle w:val="TableText"/>
              <w:spacing w:after="50"/>
              <w:jc w:val="right"/>
            </w:pPr>
            <w:r w:rsidRPr="00256982">
              <w:t>1.3</w:t>
            </w:r>
          </w:p>
        </w:tc>
      </w:tr>
      <w:tr w:rsidR="0068777C" w:rsidRPr="00256982" w14:paraId="77C8B888" w14:textId="77777777" w:rsidTr="002C7BFB">
        <w:trPr>
          <w:trHeight w:val="337"/>
        </w:trPr>
        <w:tc>
          <w:tcPr>
            <w:tcW w:w="2552" w:type="dxa"/>
            <w:gridSpan w:val="2"/>
            <w:tcBorders>
              <w:left w:val="nil"/>
              <w:right w:val="nil"/>
            </w:tcBorders>
            <w:shd w:val="clear" w:color="auto" w:fill="auto"/>
          </w:tcPr>
          <w:p w14:paraId="2EEE1C72" w14:textId="77777777" w:rsidR="0068777C" w:rsidRPr="00256982" w:rsidRDefault="0068777C" w:rsidP="0005134C">
            <w:pPr>
              <w:pStyle w:val="TableText"/>
              <w:spacing w:after="50"/>
            </w:pPr>
            <w:r w:rsidRPr="00256982">
              <w:rPr>
                <w:szCs w:val="16"/>
              </w:rPr>
              <w:t>Total Agricultural soils</w:t>
            </w:r>
          </w:p>
        </w:tc>
        <w:tc>
          <w:tcPr>
            <w:tcW w:w="850" w:type="dxa"/>
            <w:tcBorders>
              <w:top w:val="single" w:sz="4" w:space="0" w:color="365F91"/>
              <w:left w:val="nil"/>
              <w:bottom w:val="single" w:sz="4" w:space="0" w:color="365F91"/>
              <w:right w:val="nil"/>
            </w:tcBorders>
            <w:shd w:val="clear" w:color="auto" w:fill="auto"/>
          </w:tcPr>
          <w:p w14:paraId="7FC601D9" w14:textId="77777777" w:rsidR="0068777C" w:rsidRPr="00256982" w:rsidRDefault="0068777C" w:rsidP="0005134C">
            <w:pPr>
              <w:pStyle w:val="TableText"/>
              <w:spacing w:after="50"/>
              <w:jc w:val="right"/>
            </w:pPr>
            <w:r w:rsidRPr="00256982">
              <w:t>6,689.1</w:t>
            </w:r>
          </w:p>
        </w:tc>
        <w:tc>
          <w:tcPr>
            <w:tcW w:w="851" w:type="dxa"/>
            <w:tcBorders>
              <w:top w:val="single" w:sz="4" w:space="0" w:color="365F91"/>
              <w:left w:val="nil"/>
              <w:bottom w:val="single" w:sz="4" w:space="0" w:color="365F91"/>
              <w:right w:val="nil"/>
            </w:tcBorders>
            <w:shd w:val="clear" w:color="auto" w:fill="auto"/>
          </w:tcPr>
          <w:p w14:paraId="6A41EA20" w14:textId="77777777" w:rsidR="0068777C" w:rsidRPr="00256982" w:rsidRDefault="0068777C" w:rsidP="0005134C">
            <w:pPr>
              <w:pStyle w:val="TableText"/>
              <w:spacing w:after="50"/>
              <w:jc w:val="right"/>
            </w:pPr>
            <w:r w:rsidRPr="00256982">
              <w:t>8,566.2</w:t>
            </w:r>
          </w:p>
        </w:tc>
        <w:tc>
          <w:tcPr>
            <w:tcW w:w="850" w:type="dxa"/>
            <w:tcBorders>
              <w:top w:val="single" w:sz="4" w:space="0" w:color="365F91"/>
              <w:left w:val="nil"/>
              <w:bottom w:val="single" w:sz="4" w:space="0" w:color="365F91"/>
              <w:right w:val="nil"/>
            </w:tcBorders>
            <w:shd w:val="clear" w:color="auto" w:fill="auto"/>
          </w:tcPr>
          <w:p w14:paraId="7DBFB70C" w14:textId="77777777" w:rsidR="0068777C" w:rsidRPr="00256982" w:rsidRDefault="0068777C" w:rsidP="0005134C">
            <w:pPr>
              <w:pStyle w:val="TableText"/>
              <w:tabs>
                <w:tab w:val="center" w:pos="400"/>
                <w:tab w:val="right" w:pos="801"/>
              </w:tabs>
              <w:spacing w:after="50"/>
              <w:jc w:val="right"/>
            </w:pPr>
            <w:r w:rsidRPr="00256982">
              <w:t>1,877.0</w:t>
            </w:r>
            <w:r w:rsidRPr="00256982" w:rsidDel="0070185F">
              <w:t xml:space="preserve"> </w:t>
            </w:r>
          </w:p>
        </w:tc>
        <w:tc>
          <w:tcPr>
            <w:tcW w:w="851" w:type="dxa"/>
            <w:tcBorders>
              <w:top w:val="single" w:sz="4" w:space="0" w:color="365F91"/>
              <w:left w:val="nil"/>
              <w:bottom w:val="single" w:sz="4" w:space="0" w:color="365F91"/>
              <w:right w:val="nil"/>
            </w:tcBorders>
            <w:shd w:val="clear" w:color="auto" w:fill="auto"/>
          </w:tcPr>
          <w:p w14:paraId="3EDE3701" w14:textId="77777777" w:rsidR="0068777C" w:rsidRPr="00256982" w:rsidRDefault="0068777C" w:rsidP="0005134C">
            <w:pPr>
              <w:pStyle w:val="TableText"/>
              <w:spacing w:after="50"/>
              <w:jc w:val="right"/>
            </w:pPr>
            <w:r w:rsidRPr="00256982">
              <w:t>28.1</w:t>
            </w:r>
          </w:p>
        </w:tc>
        <w:tc>
          <w:tcPr>
            <w:tcW w:w="1276" w:type="dxa"/>
            <w:tcBorders>
              <w:top w:val="single" w:sz="4" w:space="0" w:color="365F91"/>
              <w:left w:val="nil"/>
              <w:bottom w:val="single" w:sz="4" w:space="0" w:color="365F91"/>
              <w:right w:val="nil"/>
            </w:tcBorders>
            <w:shd w:val="clear" w:color="auto" w:fill="auto"/>
          </w:tcPr>
          <w:p w14:paraId="6DF0EDB6" w14:textId="77777777" w:rsidR="0068777C" w:rsidRPr="00256982" w:rsidRDefault="0068777C" w:rsidP="0005134C">
            <w:pPr>
              <w:pStyle w:val="TableText"/>
              <w:spacing w:after="50"/>
              <w:jc w:val="right"/>
              <w:rPr>
                <w:szCs w:val="16"/>
              </w:rPr>
            </w:pPr>
          </w:p>
        </w:tc>
        <w:tc>
          <w:tcPr>
            <w:tcW w:w="1275" w:type="dxa"/>
            <w:tcBorders>
              <w:top w:val="single" w:sz="4" w:space="0" w:color="365F91"/>
              <w:left w:val="nil"/>
              <w:bottom w:val="single" w:sz="4" w:space="0" w:color="365F91"/>
              <w:right w:val="nil"/>
            </w:tcBorders>
            <w:shd w:val="clear" w:color="auto" w:fill="auto"/>
          </w:tcPr>
          <w:p w14:paraId="4EDC62D7" w14:textId="77777777" w:rsidR="0068777C" w:rsidRPr="00256982" w:rsidRDefault="0068777C" w:rsidP="0005134C">
            <w:pPr>
              <w:pStyle w:val="TableText"/>
              <w:spacing w:after="50"/>
              <w:jc w:val="right"/>
            </w:pPr>
            <w:r w:rsidRPr="00256982">
              <w:t>22.0</w:t>
            </w:r>
          </w:p>
        </w:tc>
      </w:tr>
    </w:tbl>
    <w:p w14:paraId="6A5C1EDB" w14:textId="77777777" w:rsidR="0068777C" w:rsidRPr="00256982" w:rsidRDefault="0068777C" w:rsidP="0068777C">
      <w:pPr>
        <w:pStyle w:val="Noteundertable"/>
      </w:pPr>
      <w:r w:rsidRPr="00256982">
        <w:rPr>
          <w:b/>
        </w:rPr>
        <w:t>Note:</w:t>
      </w:r>
      <w:r w:rsidRPr="00256982">
        <w:tab/>
        <w:t>Columns may not add due to rounding. Percentages presented are calculated from unrounded values.</w:t>
      </w:r>
    </w:p>
    <w:p w14:paraId="6B18B5A9" w14:textId="77777777" w:rsidR="0068777C" w:rsidRPr="00256982" w:rsidRDefault="0068777C" w:rsidP="0068777C">
      <w:pPr>
        <w:pStyle w:val="BodyText"/>
      </w:pPr>
      <w:r w:rsidRPr="00256982">
        <w:t xml:space="preserve">Indirect emissions from livestock waste management systems are reported under section 5.3 (Manure management). Carbon dioxide emissions from lime and dolomite fertilisers are reported in section 5.8 (Liming). </w:t>
      </w:r>
    </w:p>
    <w:p w14:paraId="2DFE0922" w14:textId="77777777" w:rsidR="0068777C" w:rsidRPr="00256982" w:rsidRDefault="0068777C" w:rsidP="0005134C">
      <w:pPr>
        <w:pStyle w:val="Heading3"/>
        <w:spacing w:before="320"/>
      </w:pPr>
      <w:bookmarkStart w:id="718" w:name="_Toc139253934"/>
      <w:r w:rsidRPr="00256982">
        <w:t>5.5.2</w:t>
      </w:r>
      <w:r w:rsidRPr="00256982">
        <w:tab/>
        <w:t>Methodological issues</w:t>
      </w:r>
      <w:bookmarkEnd w:id="718"/>
      <w:r w:rsidRPr="00256982">
        <w:t xml:space="preserve"> </w:t>
      </w:r>
    </w:p>
    <w:p w14:paraId="05B13732" w14:textId="77777777" w:rsidR="0068777C" w:rsidRPr="00256982" w:rsidRDefault="0068777C" w:rsidP="0068777C">
      <w:pPr>
        <w:pStyle w:val="BodyText"/>
      </w:pPr>
      <w:r w:rsidRPr="00256982">
        <w:t>New Zealand uses methodologies based on the IPCC Guidelines (IPCC, 2006), as well as the outputs of the Tier 2 livestock population characterisation and modelling of the livestock nutrition and energy requirements, and some country-specific equations to calculate N</w:t>
      </w:r>
      <w:r w:rsidRPr="00256982">
        <w:rPr>
          <w:vertAlign w:val="subscript"/>
        </w:rPr>
        <w:t>2</w:t>
      </w:r>
      <w:r w:rsidRPr="00256982">
        <w:t xml:space="preserve">O emissions from </w:t>
      </w:r>
      <w:r w:rsidRPr="00256982">
        <w:rPr>
          <w:i/>
        </w:rPr>
        <w:t>Agricultural soils</w:t>
      </w:r>
      <w:r w:rsidRPr="00256982">
        <w:t>. A combination of default and country-specific emission factors and parameters are also used to calculate emissions from this category. Details on these emission factors and parameters are listed in tables 5.5.2 and 5.5.3; tables A3.1.5 and A3.1.6 (annex 3), and in table 5.5.4 for mitigation technologies.</w:t>
      </w:r>
    </w:p>
    <w:p w14:paraId="7A9F2478" w14:textId="77777777" w:rsidR="0068777C" w:rsidRPr="00256982" w:rsidRDefault="0068777C" w:rsidP="0068777C">
      <w:pPr>
        <w:pStyle w:val="BodyText"/>
      </w:pPr>
      <w:r w:rsidRPr="00256982">
        <w:t xml:space="preserve">The largest inputs of nitrogen to agricultural soils are manure (urine and dung) from grazing livestock and synthetic nitrogen fertilisers, which together contribute to over three-quarters of emissions from the </w:t>
      </w:r>
      <w:r w:rsidRPr="00256982">
        <w:rPr>
          <w:i/>
        </w:rPr>
        <w:t>Agricultural soils</w:t>
      </w:r>
      <w:r w:rsidRPr="00256982">
        <w:t xml:space="preserve"> category. The following paragraphs provide an overview of the country-specific improvements made to the </w:t>
      </w:r>
      <w:r w:rsidRPr="00256982">
        <w:rPr>
          <w:i/>
        </w:rPr>
        <w:t>Agricultural soils</w:t>
      </w:r>
      <w:r w:rsidRPr="00256982">
        <w:t xml:space="preserve"> category.</w:t>
      </w:r>
    </w:p>
    <w:p w14:paraId="46470F59" w14:textId="77777777" w:rsidR="0068777C" w:rsidRPr="00256982" w:rsidRDefault="0068777C" w:rsidP="0068777C">
      <w:pPr>
        <w:pStyle w:val="Heading5"/>
      </w:pPr>
      <w:r w:rsidRPr="00256982">
        <w:t>Overview of research and improvements in the Agricultural soils category</w:t>
      </w:r>
    </w:p>
    <w:p w14:paraId="2F2497A2" w14:textId="77777777" w:rsidR="0068777C" w:rsidRPr="00256982" w:rsidRDefault="0068777C" w:rsidP="0068777C">
      <w:pPr>
        <w:pStyle w:val="BodyText"/>
      </w:pPr>
      <w:r w:rsidRPr="00256982">
        <w:t>Considerable research effort has gone into establishing New Zealand-specific emission factors for emissions from manure on pasture from grazing livestock (EF</w:t>
      </w:r>
      <w:r w:rsidRPr="00256982">
        <w:rPr>
          <w:vertAlign w:val="subscript"/>
        </w:rPr>
        <w:t>3(PRP)</w:t>
      </w:r>
      <w:r w:rsidRPr="00256982">
        <w:t>). In New Zealand, most livestock waste is excreted directly onto pasture</w:t>
      </w:r>
      <w:r w:rsidRPr="00256982">
        <w:rPr>
          <w:spacing w:val="-2"/>
        </w:rPr>
        <w:t xml:space="preserve"> during grazing (see table 5.3.2). Research to date has included a</w:t>
      </w:r>
      <w:r w:rsidRPr="00256982">
        <w:t xml:space="preserve"> disaggregation of emissions from urine and dung for the major livestock categories (</w:t>
      </w:r>
      <w:r w:rsidRPr="00256982">
        <w:rPr>
          <w:i/>
        </w:rPr>
        <w:t>Dairy cattle</w:t>
      </w:r>
      <w:r w:rsidRPr="00256982">
        <w:t xml:space="preserve">, </w:t>
      </w:r>
      <w:r w:rsidRPr="00256982">
        <w:rPr>
          <w:i/>
        </w:rPr>
        <w:t>Non-dairy cattle</w:t>
      </w:r>
      <w:r w:rsidRPr="00256982">
        <w:t xml:space="preserve">, </w:t>
      </w:r>
      <w:r w:rsidRPr="00256982">
        <w:rPr>
          <w:i/>
        </w:rPr>
        <w:t>Sheep</w:t>
      </w:r>
      <w:r w:rsidRPr="00256982">
        <w:t xml:space="preserve"> and </w:t>
      </w:r>
      <w:r w:rsidRPr="00256982">
        <w:rPr>
          <w:i/>
        </w:rPr>
        <w:t>Deer</w:t>
      </w:r>
      <w:r w:rsidRPr="00256982">
        <w:t xml:space="preserve"> (see table 5.5.2)). </w:t>
      </w:r>
    </w:p>
    <w:p w14:paraId="29D9F493" w14:textId="77777777" w:rsidR="0068777C" w:rsidRPr="00256982" w:rsidRDefault="0068777C" w:rsidP="00B63FA9">
      <w:pPr>
        <w:pStyle w:val="BodyText"/>
        <w:spacing w:before="100" w:after="100"/>
        <w:rPr>
          <w:spacing w:val="-2"/>
        </w:rPr>
      </w:pPr>
      <w:r w:rsidRPr="00256982">
        <w:lastRenderedPageBreak/>
        <w:t xml:space="preserve">New Zealand also has country-specific emission factors for some other nitrogen inputs to agricultural soils, in particular, for urea fertiliser and dairy cattle manure applied to soils. The IPCC default value of 0.01 is used for other nitrogen inputs such as synthetic nitrogen fertiliser (excluding urea), other animal manure applied to soils, and crop residues. This emissions factor of 0.01 has been verified as suitable for New Zealand conditions by Kelliher and de Klein (unpublished). </w:t>
      </w:r>
    </w:p>
    <w:p w14:paraId="29887343" w14:textId="77777777" w:rsidR="0068777C" w:rsidRPr="00256982" w:rsidRDefault="0068777C" w:rsidP="00B63FA9">
      <w:pPr>
        <w:pStyle w:val="BodyText"/>
        <w:spacing w:before="100" w:after="100"/>
        <w:rPr>
          <w:spacing w:val="-2"/>
        </w:rPr>
      </w:pPr>
      <w:r w:rsidRPr="00256982">
        <w:t>The emission factor for indirect N</w:t>
      </w:r>
      <w:r w:rsidRPr="00256982">
        <w:rPr>
          <w:vertAlign w:val="subscript"/>
        </w:rPr>
        <w:t>2</w:t>
      </w:r>
      <w:r w:rsidRPr="00256982">
        <w:t>O emissions from leaching and runoff (EF</w:t>
      </w:r>
      <w:r w:rsidRPr="00256982">
        <w:rPr>
          <w:vertAlign w:val="subscript"/>
        </w:rPr>
        <w:t>5</w:t>
      </w:r>
      <w:r w:rsidRPr="00256982">
        <w:t xml:space="preserve">) for rivers, lakes and estuaries has also been reviewed (Clough and Kelliher, unpublished). The review concluded that further research would be required to develop a country-specific value, but that the IPCC (2006) guideline value of 0.0075 was appropriate for New Zealand in the meantime. </w:t>
      </w:r>
    </w:p>
    <w:p w14:paraId="72BA8C3B" w14:textId="77777777" w:rsidR="0068777C" w:rsidRPr="00256982" w:rsidRDefault="0068777C" w:rsidP="00B63FA9">
      <w:pPr>
        <w:pStyle w:val="BodyText"/>
        <w:spacing w:before="100" w:after="100"/>
      </w:pPr>
      <w:r w:rsidRPr="00256982">
        <w:rPr>
          <w:spacing w:val="-2"/>
        </w:rPr>
        <w:t xml:space="preserve">In addition to these emission factors, New Zealand has developed country-specific parameters for volatilisation, leaching, nitrogen input from crop residue burning and pasture renewal (see table 5.5.3). New Zealand has also incorporated emission factors and parameters </w:t>
      </w:r>
      <w:r w:rsidRPr="00256982">
        <w:t xml:space="preserve">for the use of the following mitigation technologies </w:t>
      </w:r>
      <w:r w:rsidRPr="00256982">
        <w:rPr>
          <w:spacing w:val="-2"/>
        </w:rPr>
        <w:t>(see table 5.5.4)</w:t>
      </w:r>
      <w:r w:rsidRPr="00256982">
        <w:t>:</w:t>
      </w:r>
    </w:p>
    <w:p w14:paraId="79A2AACB" w14:textId="77777777" w:rsidR="0068777C" w:rsidRPr="00256982" w:rsidRDefault="0068777C" w:rsidP="0036046B">
      <w:pPr>
        <w:pStyle w:val="Bullet"/>
        <w:numPr>
          <w:ilvl w:val="0"/>
          <w:numId w:val="8"/>
        </w:numPr>
      </w:pPr>
      <w:r w:rsidRPr="00256982">
        <w:t xml:space="preserve">urease inhibitors such as N-(n-butyl) thiophosphoric triamide (nBTPT, sold as ‘Agrotain’) </w:t>
      </w:r>
    </w:p>
    <w:p w14:paraId="707F1538" w14:textId="77777777" w:rsidR="0068777C" w:rsidRPr="00256982" w:rsidRDefault="0068777C" w:rsidP="0036046B">
      <w:pPr>
        <w:pStyle w:val="Bullet"/>
        <w:numPr>
          <w:ilvl w:val="0"/>
          <w:numId w:val="8"/>
        </w:numPr>
        <w:rPr>
          <w:spacing w:val="-2"/>
        </w:rPr>
      </w:pPr>
      <w:r w:rsidRPr="00256982">
        <w:t xml:space="preserve">dicyandiamide (DCD), a nitrification inhibitor. </w:t>
      </w:r>
    </w:p>
    <w:p w14:paraId="565DFFB3" w14:textId="77777777" w:rsidR="0068777C" w:rsidRPr="00256982" w:rsidRDefault="0068777C" w:rsidP="0068777C">
      <w:pPr>
        <w:pStyle w:val="Table"/>
      </w:pPr>
      <w:bookmarkStart w:id="719" w:name="_Toc441830880"/>
      <w:bookmarkStart w:id="720" w:name="_Toc451176094"/>
      <w:bookmarkStart w:id="721" w:name="_Toc481751522"/>
      <w:bookmarkStart w:id="722" w:name="_Toc507158610"/>
      <w:bookmarkStart w:id="723" w:name="_Toc511116744"/>
      <w:bookmarkStart w:id="724" w:name="_Toc5269486"/>
      <w:r w:rsidRPr="00256982">
        <w:t>Table 5.5.2</w:t>
      </w:r>
      <w:r w:rsidRPr="00256982">
        <w:tab/>
        <w:t>Nitrous oxide (N</w:t>
      </w:r>
      <w:r w:rsidRPr="00256982">
        <w:rPr>
          <w:vertAlign w:val="subscript"/>
        </w:rPr>
        <w:t>2</w:t>
      </w:r>
      <w:r w:rsidRPr="00256982">
        <w:t>O) emission factors for Agricultural soils in New Zealand</w:t>
      </w:r>
      <w:bookmarkEnd w:id="719"/>
      <w:bookmarkEnd w:id="720"/>
      <w:bookmarkEnd w:id="721"/>
      <w:bookmarkEnd w:id="722"/>
      <w:bookmarkEnd w:id="723"/>
      <w:bookmarkEnd w:id="724"/>
    </w:p>
    <w:tbl>
      <w:tblPr>
        <w:tblW w:w="8505" w:type="dxa"/>
        <w:tblInd w:w="108" w:type="dxa"/>
        <w:tblBorders>
          <w:top w:val="single" w:sz="4" w:space="0" w:color="365F91"/>
          <w:bottom w:val="single" w:sz="4" w:space="0" w:color="365F91"/>
          <w:insideH w:val="single" w:sz="4" w:space="0" w:color="365F91"/>
        </w:tblBorders>
        <w:tblCellMar>
          <w:left w:w="85" w:type="dxa"/>
          <w:right w:w="85" w:type="dxa"/>
        </w:tblCellMar>
        <w:tblLook w:val="01E0" w:firstRow="1" w:lastRow="1" w:firstColumn="1" w:lastColumn="1" w:noHBand="0" w:noVBand="0"/>
      </w:tblPr>
      <w:tblGrid>
        <w:gridCol w:w="2977"/>
        <w:gridCol w:w="1134"/>
        <w:gridCol w:w="851"/>
        <w:gridCol w:w="1417"/>
        <w:gridCol w:w="166"/>
        <w:gridCol w:w="1960"/>
      </w:tblGrid>
      <w:tr w:rsidR="0068777C" w:rsidRPr="00256982" w14:paraId="0D1CDB6B" w14:textId="77777777" w:rsidTr="00DE18EB">
        <w:trPr>
          <w:tblHeader/>
        </w:trPr>
        <w:tc>
          <w:tcPr>
            <w:tcW w:w="2977" w:type="dxa"/>
            <w:shd w:val="clear" w:color="auto" w:fill="365F91"/>
            <w:vAlign w:val="bottom"/>
          </w:tcPr>
          <w:p w14:paraId="6F2767B1" w14:textId="77777777" w:rsidR="0068777C" w:rsidRPr="00256982" w:rsidRDefault="0068777C" w:rsidP="0068777C">
            <w:pPr>
              <w:pStyle w:val="TableTextBold"/>
              <w:keepNext/>
              <w:rPr>
                <w:noProof w:val="0"/>
                <w:color w:val="FFFFFF"/>
              </w:rPr>
            </w:pPr>
            <w:r w:rsidRPr="00256982">
              <w:rPr>
                <w:noProof w:val="0"/>
                <w:color w:val="FFFFFF"/>
              </w:rPr>
              <w:t>Category</w:t>
            </w:r>
          </w:p>
        </w:tc>
        <w:tc>
          <w:tcPr>
            <w:tcW w:w="3402" w:type="dxa"/>
            <w:gridSpan w:val="3"/>
            <w:shd w:val="clear" w:color="auto" w:fill="365F91"/>
            <w:vAlign w:val="bottom"/>
          </w:tcPr>
          <w:p w14:paraId="55C1E032" w14:textId="77777777" w:rsidR="0068777C" w:rsidRPr="00256982" w:rsidRDefault="0068777C" w:rsidP="00197F74">
            <w:pPr>
              <w:pStyle w:val="TableTextBold"/>
              <w:keepNext/>
              <w:rPr>
                <w:noProof w:val="0"/>
                <w:color w:val="FFFFFF"/>
              </w:rPr>
            </w:pPr>
            <w:r w:rsidRPr="00256982">
              <w:rPr>
                <w:noProof w:val="0"/>
                <w:color w:val="FFFFFF"/>
              </w:rPr>
              <w:t>Emission factor</w:t>
            </w:r>
          </w:p>
        </w:tc>
        <w:tc>
          <w:tcPr>
            <w:tcW w:w="2126" w:type="dxa"/>
            <w:gridSpan w:val="2"/>
            <w:shd w:val="clear" w:color="auto" w:fill="365F91"/>
            <w:vAlign w:val="bottom"/>
          </w:tcPr>
          <w:p w14:paraId="09C2B16A" w14:textId="77777777" w:rsidR="0068777C" w:rsidRPr="00256982" w:rsidRDefault="0068777C" w:rsidP="0068777C">
            <w:pPr>
              <w:pStyle w:val="TableTextBold"/>
              <w:keepNext/>
              <w:rPr>
                <w:noProof w:val="0"/>
                <w:color w:val="FFFFFF"/>
              </w:rPr>
            </w:pPr>
            <w:r w:rsidRPr="00256982">
              <w:rPr>
                <w:noProof w:val="0"/>
                <w:color w:val="FFFFFF"/>
              </w:rPr>
              <w:t>Source</w:t>
            </w:r>
          </w:p>
        </w:tc>
      </w:tr>
      <w:tr w:rsidR="0068777C" w:rsidRPr="00256982" w14:paraId="395309C7" w14:textId="77777777" w:rsidTr="00DE18EB">
        <w:tc>
          <w:tcPr>
            <w:tcW w:w="0" w:type="auto"/>
            <w:gridSpan w:val="6"/>
          </w:tcPr>
          <w:p w14:paraId="271A5C48" w14:textId="77777777" w:rsidR="0068777C" w:rsidRPr="00256982" w:rsidRDefault="0068777C" w:rsidP="00DC75B7">
            <w:pPr>
              <w:pStyle w:val="TableText"/>
              <w:keepNext/>
              <w:spacing w:before="50" w:after="50"/>
              <w:rPr>
                <w:b/>
              </w:rPr>
            </w:pPr>
            <w:r w:rsidRPr="00256982">
              <w:rPr>
                <w:b/>
              </w:rPr>
              <w:t>3.D.1 Direct N</w:t>
            </w:r>
            <w:r w:rsidRPr="00256982">
              <w:rPr>
                <w:b/>
                <w:vertAlign w:val="subscript"/>
              </w:rPr>
              <w:t>2</w:t>
            </w:r>
            <w:r w:rsidRPr="00256982">
              <w:rPr>
                <w:b/>
              </w:rPr>
              <w:t>O emissions</w:t>
            </w:r>
          </w:p>
        </w:tc>
      </w:tr>
      <w:tr w:rsidR="0068777C" w:rsidRPr="00256982" w14:paraId="5DAF7B54" w14:textId="77777777" w:rsidTr="00DE18EB">
        <w:tc>
          <w:tcPr>
            <w:tcW w:w="2977" w:type="dxa"/>
          </w:tcPr>
          <w:p w14:paraId="41AAE60B" w14:textId="77777777" w:rsidR="0068777C" w:rsidRPr="00256982" w:rsidRDefault="0068777C" w:rsidP="00DC75B7">
            <w:pPr>
              <w:pStyle w:val="TableText"/>
              <w:spacing w:before="50" w:after="50"/>
            </w:pPr>
            <w:r w:rsidRPr="00256982">
              <w:t>Synthetic nitrogen fertiliser (urea)</w:t>
            </w:r>
          </w:p>
        </w:tc>
        <w:tc>
          <w:tcPr>
            <w:tcW w:w="1134" w:type="dxa"/>
          </w:tcPr>
          <w:p w14:paraId="54480A2A" w14:textId="77777777" w:rsidR="0068777C" w:rsidRPr="00256982" w:rsidRDefault="0068777C" w:rsidP="00DC75B7">
            <w:pPr>
              <w:pStyle w:val="TableText"/>
              <w:keepNext/>
              <w:spacing w:before="50" w:after="50"/>
            </w:pPr>
            <w:r w:rsidRPr="00256982">
              <w:t>EF</w:t>
            </w:r>
            <w:r w:rsidRPr="00256982">
              <w:rPr>
                <w:vertAlign w:val="subscript"/>
              </w:rPr>
              <w:t>1-UREA</w:t>
            </w:r>
          </w:p>
        </w:tc>
        <w:tc>
          <w:tcPr>
            <w:tcW w:w="851" w:type="dxa"/>
          </w:tcPr>
          <w:p w14:paraId="6ABAC2C0" w14:textId="77777777" w:rsidR="0068777C" w:rsidRPr="00256982" w:rsidRDefault="0068777C" w:rsidP="00DC75B7">
            <w:pPr>
              <w:pStyle w:val="TableText"/>
              <w:keepNext/>
              <w:spacing w:before="50" w:after="50"/>
            </w:pPr>
            <w:r w:rsidRPr="00256982">
              <w:t>0.0059</w:t>
            </w:r>
          </w:p>
        </w:tc>
        <w:tc>
          <w:tcPr>
            <w:tcW w:w="1583" w:type="dxa"/>
            <w:gridSpan w:val="2"/>
          </w:tcPr>
          <w:p w14:paraId="19CE2342" w14:textId="77777777" w:rsidR="0068777C" w:rsidRPr="00256982" w:rsidRDefault="0068777C" w:rsidP="00DC75B7">
            <w:pPr>
              <w:pStyle w:val="TableText"/>
              <w:keepNext/>
              <w:spacing w:before="50" w:after="50"/>
            </w:pPr>
            <w:r w:rsidRPr="00256982">
              <w:t>kg N</w:t>
            </w:r>
            <w:r w:rsidRPr="00256982">
              <w:rPr>
                <w:vertAlign w:val="subscript"/>
              </w:rPr>
              <w:t>2</w:t>
            </w:r>
            <w:r w:rsidRPr="00256982">
              <w:t>O-N/kg N</w:t>
            </w:r>
          </w:p>
        </w:tc>
        <w:tc>
          <w:tcPr>
            <w:tcW w:w="1960" w:type="dxa"/>
          </w:tcPr>
          <w:p w14:paraId="142B56D9" w14:textId="77777777" w:rsidR="0068777C" w:rsidRPr="00256982" w:rsidRDefault="0068777C" w:rsidP="00DC75B7">
            <w:pPr>
              <w:pStyle w:val="TableText"/>
              <w:keepNext/>
              <w:spacing w:before="50" w:after="50"/>
            </w:pPr>
            <w:r w:rsidRPr="00256982">
              <w:t>van der Weerden et al. (2016a, 2016b)</w:t>
            </w:r>
          </w:p>
        </w:tc>
      </w:tr>
      <w:tr w:rsidR="0068777C" w:rsidRPr="00256982" w14:paraId="038F1050" w14:textId="77777777" w:rsidTr="00DE18EB">
        <w:tc>
          <w:tcPr>
            <w:tcW w:w="2977" w:type="dxa"/>
          </w:tcPr>
          <w:p w14:paraId="301B1DB5" w14:textId="77777777" w:rsidR="0068777C" w:rsidRPr="00256982" w:rsidRDefault="0068777C" w:rsidP="00DC75B7">
            <w:pPr>
              <w:pStyle w:val="TableText"/>
              <w:spacing w:before="50" w:after="50"/>
            </w:pPr>
            <w:r w:rsidRPr="00256982">
              <w:t>Organic fertiliser (dairy cattle manure)</w:t>
            </w:r>
          </w:p>
        </w:tc>
        <w:tc>
          <w:tcPr>
            <w:tcW w:w="1134" w:type="dxa"/>
          </w:tcPr>
          <w:p w14:paraId="1B4F7A94" w14:textId="77777777" w:rsidR="0068777C" w:rsidRPr="00256982" w:rsidRDefault="0068777C" w:rsidP="00DC75B7">
            <w:pPr>
              <w:pStyle w:val="TableText"/>
              <w:keepNext/>
              <w:spacing w:before="50" w:after="50"/>
            </w:pPr>
            <w:r w:rsidRPr="00256982">
              <w:t>EF</w:t>
            </w:r>
            <w:r w:rsidRPr="00256982">
              <w:rPr>
                <w:vertAlign w:val="subscript"/>
              </w:rPr>
              <w:t>1-DAIRY</w:t>
            </w:r>
          </w:p>
        </w:tc>
        <w:tc>
          <w:tcPr>
            <w:tcW w:w="851" w:type="dxa"/>
          </w:tcPr>
          <w:p w14:paraId="531E40BA" w14:textId="77777777" w:rsidR="0068777C" w:rsidRPr="00256982" w:rsidRDefault="0068777C" w:rsidP="00DC75B7">
            <w:pPr>
              <w:pStyle w:val="TableText"/>
              <w:keepNext/>
              <w:spacing w:before="50" w:after="50"/>
            </w:pPr>
            <w:r w:rsidRPr="00256982">
              <w:t>0.0025</w:t>
            </w:r>
          </w:p>
        </w:tc>
        <w:tc>
          <w:tcPr>
            <w:tcW w:w="1583" w:type="dxa"/>
            <w:gridSpan w:val="2"/>
          </w:tcPr>
          <w:p w14:paraId="4AA60BEB" w14:textId="77777777" w:rsidR="0068777C" w:rsidRPr="00256982" w:rsidRDefault="0068777C" w:rsidP="00DC75B7">
            <w:pPr>
              <w:pStyle w:val="TableText"/>
              <w:keepNext/>
              <w:spacing w:before="50" w:after="50"/>
            </w:pPr>
            <w:r w:rsidRPr="00256982">
              <w:t>kg N</w:t>
            </w:r>
            <w:r w:rsidRPr="00256982">
              <w:rPr>
                <w:vertAlign w:val="subscript"/>
              </w:rPr>
              <w:t>2</w:t>
            </w:r>
            <w:r w:rsidRPr="00256982">
              <w:t>O-N/kg N</w:t>
            </w:r>
          </w:p>
        </w:tc>
        <w:tc>
          <w:tcPr>
            <w:tcW w:w="1960" w:type="dxa"/>
          </w:tcPr>
          <w:p w14:paraId="5F2402DF" w14:textId="77777777" w:rsidR="0068777C" w:rsidRPr="00256982" w:rsidRDefault="0068777C" w:rsidP="00DC75B7">
            <w:pPr>
              <w:pStyle w:val="TableText"/>
              <w:keepNext/>
              <w:spacing w:before="50" w:after="50"/>
            </w:pPr>
            <w:r w:rsidRPr="00256982">
              <w:t>van der Weerden et al. (2016a, 2016b)</w:t>
            </w:r>
          </w:p>
        </w:tc>
      </w:tr>
      <w:tr w:rsidR="0068777C" w:rsidRPr="00256982" w14:paraId="4746596A" w14:textId="77777777" w:rsidTr="00DE18EB">
        <w:tc>
          <w:tcPr>
            <w:tcW w:w="2977" w:type="dxa"/>
          </w:tcPr>
          <w:p w14:paraId="227184BD" w14:textId="77777777" w:rsidR="0068777C" w:rsidRPr="00256982" w:rsidRDefault="0068777C" w:rsidP="00DC75B7">
            <w:pPr>
              <w:pStyle w:val="TableText"/>
              <w:spacing w:before="50" w:after="50"/>
            </w:pPr>
            <w:r w:rsidRPr="00256982">
              <w:t xml:space="preserve">Synthetic nitrogen fertiliser (other), organic fertiliser (swine and poultry manure) crop residue, nitrogen loss due to soil organic matter mineralisation, organic soil mineralisation due to cultivation </w:t>
            </w:r>
          </w:p>
        </w:tc>
        <w:tc>
          <w:tcPr>
            <w:tcW w:w="1134" w:type="dxa"/>
          </w:tcPr>
          <w:p w14:paraId="77FDF88F" w14:textId="77777777" w:rsidR="0068777C" w:rsidRPr="00256982" w:rsidRDefault="0068777C" w:rsidP="00DC75B7">
            <w:pPr>
              <w:pStyle w:val="TableText"/>
              <w:keepNext/>
              <w:spacing w:before="50" w:after="50"/>
            </w:pPr>
            <w:r w:rsidRPr="00256982">
              <w:t>EF</w:t>
            </w:r>
            <w:r w:rsidRPr="00256982">
              <w:rPr>
                <w:vertAlign w:val="subscript"/>
              </w:rPr>
              <w:t>1</w:t>
            </w:r>
          </w:p>
        </w:tc>
        <w:tc>
          <w:tcPr>
            <w:tcW w:w="851" w:type="dxa"/>
          </w:tcPr>
          <w:p w14:paraId="6535851A" w14:textId="77777777" w:rsidR="0068777C" w:rsidRPr="00256982" w:rsidRDefault="0068777C" w:rsidP="00DC75B7">
            <w:pPr>
              <w:pStyle w:val="TableText"/>
              <w:keepNext/>
              <w:spacing w:before="50" w:after="50"/>
            </w:pPr>
            <w:r w:rsidRPr="00256982">
              <w:t xml:space="preserve">0.01 </w:t>
            </w:r>
          </w:p>
        </w:tc>
        <w:tc>
          <w:tcPr>
            <w:tcW w:w="1583" w:type="dxa"/>
            <w:gridSpan w:val="2"/>
          </w:tcPr>
          <w:p w14:paraId="514019B9" w14:textId="77777777" w:rsidR="0068777C" w:rsidRPr="00256982" w:rsidRDefault="0068777C" w:rsidP="00DC75B7">
            <w:pPr>
              <w:pStyle w:val="TableText"/>
              <w:keepNext/>
              <w:spacing w:before="50" w:after="50"/>
            </w:pPr>
            <w:r w:rsidRPr="00256982">
              <w:t>kg N</w:t>
            </w:r>
            <w:r w:rsidRPr="00256982">
              <w:rPr>
                <w:vertAlign w:val="subscript"/>
              </w:rPr>
              <w:t>2</w:t>
            </w:r>
            <w:r w:rsidRPr="00256982">
              <w:t>O-N/kg N</w:t>
            </w:r>
          </w:p>
        </w:tc>
        <w:tc>
          <w:tcPr>
            <w:tcW w:w="1960" w:type="dxa"/>
          </w:tcPr>
          <w:p w14:paraId="2327C1E6" w14:textId="77777777" w:rsidR="0068777C" w:rsidRPr="00256982" w:rsidRDefault="0068777C" w:rsidP="00DC75B7">
            <w:pPr>
              <w:pStyle w:val="TableText"/>
              <w:keepNext/>
              <w:spacing w:before="50" w:after="50"/>
            </w:pPr>
            <w:r w:rsidRPr="00256982">
              <w:t>Kelliher and de Klein (unpublished), IPCC (2006, table 11.1)</w:t>
            </w:r>
          </w:p>
        </w:tc>
      </w:tr>
      <w:tr w:rsidR="0068777C" w:rsidRPr="00256982" w14:paraId="16790511" w14:textId="77777777" w:rsidTr="00DE18EB">
        <w:tc>
          <w:tcPr>
            <w:tcW w:w="2977" w:type="dxa"/>
          </w:tcPr>
          <w:p w14:paraId="70E10E92" w14:textId="77777777" w:rsidR="0068777C" w:rsidRPr="00256982" w:rsidRDefault="0068777C" w:rsidP="00DC75B7">
            <w:pPr>
              <w:pStyle w:val="TableText"/>
              <w:spacing w:before="50" w:after="50"/>
            </w:pPr>
            <w:r w:rsidRPr="00256982">
              <w:t>Cultivation of organic soils</w:t>
            </w:r>
          </w:p>
        </w:tc>
        <w:tc>
          <w:tcPr>
            <w:tcW w:w="1134" w:type="dxa"/>
          </w:tcPr>
          <w:p w14:paraId="04F8F9CB" w14:textId="77777777" w:rsidR="0068777C" w:rsidRPr="00256982" w:rsidRDefault="0068777C" w:rsidP="00DC75B7">
            <w:pPr>
              <w:pStyle w:val="TableText"/>
              <w:spacing w:before="50" w:after="50"/>
            </w:pPr>
            <w:r w:rsidRPr="00256982">
              <w:t>EF</w:t>
            </w:r>
            <w:r w:rsidRPr="00256982">
              <w:rPr>
                <w:vertAlign w:val="subscript"/>
              </w:rPr>
              <w:t>2</w:t>
            </w:r>
          </w:p>
        </w:tc>
        <w:tc>
          <w:tcPr>
            <w:tcW w:w="851" w:type="dxa"/>
          </w:tcPr>
          <w:p w14:paraId="5E9392DF" w14:textId="77777777" w:rsidR="0068777C" w:rsidRPr="00256982" w:rsidRDefault="0068777C" w:rsidP="00DC75B7">
            <w:pPr>
              <w:pStyle w:val="TableText"/>
              <w:spacing w:before="50" w:after="50"/>
            </w:pPr>
            <w:r w:rsidRPr="00256982">
              <w:t xml:space="preserve">8 </w:t>
            </w:r>
          </w:p>
        </w:tc>
        <w:tc>
          <w:tcPr>
            <w:tcW w:w="1583" w:type="dxa"/>
            <w:gridSpan w:val="2"/>
          </w:tcPr>
          <w:p w14:paraId="5E7662B5" w14:textId="77777777" w:rsidR="0068777C" w:rsidRPr="00256982" w:rsidRDefault="0068777C" w:rsidP="00DC75B7">
            <w:pPr>
              <w:pStyle w:val="TableText"/>
              <w:spacing w:before="50" w:after="50"/>
            </w:pPr>
            <w:r w:rsidRPr="00256982">
              <w:t>kg N</w:t>
            </w:r>
            <w:r w:rsidRPr="00256982">
              <w:rPr>
                <w:vertAlign w:val="subscript"/>
              </w:rPr>
              <w:t>2</w:t>
            </w:r>
            <w:r w:rsidRPr="00256982">
              <w:t>O-N/ha/kg N</w:t>
            </w:r>
          </w:p>
        </w:tc>
        <w:tc>
          <w:tcPr>
            <w:tcW w:w="1960" w:type="dxa"/>
          </w:tcPr>
          <w:p w14:paraId="7EB59098" w14:textId="77777777" w:rsidR="0068777C" w:rsidRPr="00256982" w:rsidRDefault="0068777C" w:rsidP="00DC75B7">
            <w:pPr>
              <w:pStyle w:val="TableText"/>
              <w:spacing w:before="50" w:after="50"/>
            </w:pPr>
            <w:r w:rsidRPr="00256982">
              <w:t>IPCC (2006, table 11.1)</w:t>
            </w:r>
          </w:p>
        </w:tc>
      </w:tr>
      <w:tr w:rsidR="0068777C" w:rsidRPr="00256982" w14:paraId="3003FB87" w14:textId="77777777" w:rsidTr="00DE18EB">
        <w:trPr>
          <w:trHeight w:val="605"/>
        </w:trPr>
        <w:tc>
          <w:tcPr>
            <w:tcW w:w="2977" w:type="dxa"/>
          </w:tcPr>
          <w:p w14:paraId="3BC41BBE" w14:textId="77777777" w:rsidR="0068777C" w:rsidRPr="00256982" w:rsidRDefault="0068777C" w:rsidP="00DC75B7">
            <w:pPr>
              <w:pStyle w:val="TableText"/>
              <w:spacing w:before="50" w:after="50"/>
            </w:pPr>
            <w:r w:rsidRPr="00256982">
              <w:t xml:space="preserve">Manure (urine) from grazing animals in pasture, range and paddock systems </w:t>
            </w:r>
          </w:p>
        </w:tc>
        <w:tc>
          <w:tcPr>
            <w:tcW w:w="1134" w:type="dxa"/>
          </w:tcPr>
          <w:p w14:paraId="6D691532" w14:textId="77777777" w:rsidR="0068777C" w:rsidRPr="00256982" w:rsidRDefault="0068777C" w:rsidP="00DC75B7">
            <w:pPr>
              <w:pStyle w:val="TableText"/>
              <w:spacing w:before="50" w:after="50"/>
            </w:pPr>
            <w:r w:rsidRPr="00256982">
              <w:t>EF</w:t>
            </w:r>
            <w:r w:rsidRPr="00256982">
              <w:rPr>
                <w:vertAlign w:val="subscript"/>
              </w:rPr>
              <w:t>3(PRP- URINE)</w:t>
            </w:r>
          </w:p>
        </w:tc>
        <w:tc>
          <w:tcPr>
            <w:tcW w:w="851" w:type="dxa"/>
          </w:tcPr>
          <w:p w14:paraId="735F22CF" w14:textId="77777777" w:rsidR="0068777C" w:rsidRPr="00256982" w:rsidRDefault="0068777C" w:rsidP="00DC75B7">
            <w:pPr>
              <w:pStyle w:val="TableText"/>
              <w:spacing w:before="50" w:after="50"/>
            </w:pPr>
            <w:r w:rsidRPr="00256982">
              <w:t>0.01</w:t>
            </w:r>
          </w:p>
        </w:tc>
        <w:tc>
          <w:tcPr>
            <w:tcW w:w="1583" w:type="dxa"/>
            <w:gridSpan w:val="2"/>
          </w:tcPr>
          <w:p w14:paraId="23C764F3" w14:textId="77777777" w:rsidR="0068777C" w:rsidRPr="00256982" w:rsidRDefault="0068777C" w:rsidP="00DC75B7">
            <w:pPr>
              <w:pStyle w:val="TableText"/>
              <w:spacing w:before="50" w:after="50"/>
            </w:pPr>
            <w:r w:rsidRPr="00256982">
              <w:t>kg N</w:t>
            </w:r>
            <w:r w:rsidRPr="00256982">
              <w:rPr>
                <w:vertAlign w:val="subscript"/>
              </w:rPr>
              <w:t>2</w:t>
            </w:r>
            <w:r w:rsidRPr="00256982">
              <w:t>O-N/kg N</w:t>
            </w:r>
          </w:p>
        </w:tc>
        <w:tc>
          <w:tcPr>
            <w:tcW w:w="1960" w:type="dxa"/>
          </w:tcPr>
          <w:p w14:paraId="33787A99" w14:textId="77777777" w:rsidR="0068777C" w:rsidRPr="00256982" w:rsidRDefault="0068777C" w:rsidP="00DC75B7">
            <w:pPr>
              <w:pStyle w:val="TableText"/>
              <w:spacing w:before="50" w:after="50"/>
            </w:pPr>
            <w:r w:rsidRPr="00256982">
              <w:t>Carran et al. (1995); Muller et al. (1995); de Klein et al. (2003)</w:t>
            </w:r>
          </w:p>
        </w:tc>
      </w:tr>
      <w:tr w:rsidR="0068777C" w:rsidRPr="00256982" w14:paraId="20A5C62B" w14:textId="77777777" w:rsidTr="00DE18EB">
        <w:tc>
          <w:tcPr>
            <w:tcW w:w="2977" w:type="dxa"/>
          </w:tcPr>
          <w:p w14:paraId="23D52982" w14:textId="77777777" w:rsidR="0068777C" w:rsidRPr="00256982" w:rsidRDefault="0068777C" w:rsidP="00DC75B7">
            <w:pPr>
              <w:pStyle w:val="TableText"/>
              <w:spacing w:before="50" w:after="50"/>
            </w:pPr>
            <w:r w:rsidRPr="00256982">
              <w:t xml:space="preserve">Dung from grazing cattle, sheep and deer in pasture, range and paddock systems </w:t>
            </w:r>
          </w:p>
        </w:tc>
        <w:tc>
          <w:tcPr>
            <w:tcW w:w="1134" w:type="dxa"/>
          </w:tcPr>
          <w:p w14:paraId="43A6344C" w14:textId="77777777" w:rsidR="0068777C" w:rsidRPr="00256982" w:rsidRDefault="0068777C" w:rsidP="00DC75B7">
            <w:pPr>
              <w:pStyle w:val="TableText"/>
              <w:spacing w:before="50" w:after="50"/>
            </w:pPr>
            <w:r w:rsidRPr="00256982">
              <w:t>EF</w:t>
            </w:r>
            <w:r w:rsidRPr="00256982">
              <w:rPr>
                <w:vertAlign w:val="subscript"/>
              </w:rPr>
              <w:t>3(PRP-DUNG)</w:t>
            </w:r>
          </w:p>
        </w:tc>
        <w:tc>
          <w:tcPr>
            <w:tcW w:w="851" w:type="dxa"/>
          </w:tcPr>
          <w:p w14:paraId="5A3119CE" w14:textId="77777777" w:rsidR="0068777C" w:rsidRPr="00256982" w:rsidRDefault="0068777C" w:rsidP="00DC75B7">
            <w:pPr>
              <w:pStyle w:val="TableText"/>
              <w:spacing w:before="50" w:after="50"/>
            </w:pPr>
            <w:r w:rsidRPr="00256982">
              <w:t>0.0025</w:t>
            </w:r>
          </w:p>
        </w:tc>
        <w:tc>
          <w:tcPr>
            <w:tcW w:w="1583" w:type="dxa"/>
            <w:gridSpan w:val="2"/>
          </w:tcPr>
          <w:p w14:paraId="28B7D7A4" w14:textId="77777777" w:rsidR="0068777C" w:rsidRPr="00256982" w:rsidRDefault="0068777C" w:rsidP="00DC75B7">
            <w:pPr>
              <w:pStyle w:val="TableText"/>
              <w:spacing w:before="50" w:after="50"/>
            </w:pPr>
            <w:r w:rsidRPr="00256982">
              <w:t>kg N</w:t>
            </w:r>
            <w:r w:rsidRPr="00256982">
              <w:rPr>
                <w:vertAlign w:val="subscript"/>
              </w:rPr>
              <w:t>2</w:t>
            </w:r>
            <w:r w:rsidRPr="00256982">
              <w:t>O-N/kg N</w:t>
            </w:r>
          </w:p>
        </w:tc>
        <w:tc>
          <w:tcPr>
            <w:tcW w:w="1960" w:type="dxa"/>
          </w:tcPr>
          <w:p w14:paraId="2FD88652" w14:textId="77777777" w:rsidR="0068777C" w:rsidRPr="00256982" w:rsidRDefault="0068777C" w:rsidP="00DC75B7">
            <w:pPr>
              <w:pStyle w:val="TableText"/>
              <w:spacing w:before="50" w:after="50"/>
            </w:pPr>
            <w:r w:rsidRPr="00256982">
              <w:t>Luo et al. (2009)</w:t>
            </w:r>
          </w:p>
        </w:tc>
      </w:tr>
      <w:tr w:rsidR="0068777C" w:rsidRPr="00256982" w14:paraId="07D3B804" w14:textId="77777777" w:rsidTr="00DE18EB">
        <w:tc>
          <w:tcPr>
            <w:tcW w:w="0" w:type="auto"/>
            <w:gridSpan w:val="6"/>
          </w:tcPr>
          <w:p w14:paraId="12B012F3" w14:textId="77777777" w:rsidR="0068777C" w:rsidRPr="00256982" w:rsidRDefault="0068777C" w:rsidP="00DC75B7">
            <w:pPr>
              <w:pStyle w:val="TableText"/>
              <w:spacing w:before="50" w:after="50"/>
              <w:rPr>
                <w:b/>
              </w:rPr>
            </w:pPr>
            <w:r w:rsidRPr="00256982">
              <w:rPr>
                <w:b/>
              </w:rPr>
              <w:t>3.D.2 Indirect N</w:t>
            </w:r>
            <w:r w:rsidRPr="00256982">
              <w:rPr>
                <w:b/>
                <w:vertAlign w:val="subscript"/>
              </w:rPr>
              <w:t>2</w:t>
            </w:r>
            <w:r w:rsidRPr="00256982">
              <w:rPr>
                <w:b/>
              </w:rPr>
              <w:t>O emissions</w:t>
            </w:r>
          </w:p>
        </w:tc>
      </w:tr>
      <w:tr w:rsidR="0068777C" w:rsidRPr="00256982" w14:paraId="2FA71B9D" w14:textId="77777777" w:rsidTr="00DE18EB">
        <w:tc>
          <w:tcPr>
            <w:tcW w:w="2977" w:type="dxa"/>
          </w:tcPr>
          <w:p w14:paraId="60472CB8" w14:textId="77777777" w:rsidR="0068777C" w:rsidRPr="00256982" w:rsidRDefault="0068777C" w:rsidP="00DC75B7">
            <w:pPr>
              <w:pStyle w:val="TableText"/>
              <w:spacing w:before="50" w:after="50"/>
            </w:pPr>
            <w:r w:rsidRPr="00256982">
              <w:t>Volatilisation</w:t>
            </w:r>
          </w:p>
        </w:tc>
        <w:tc>
          <w:tcPr>
            <w:tcW w:w="1134" w:type="dxa"/>
          </w:tcPr>
          <w:p w14:paraId="258B82AF" w14:textId="77777777" w:rsidR="0068777C" w:rsidRPr="00256982" w:rsidRDefault="0068777C" w:rsidP="00DC75B7">
            <w:pPr>
              <w:pStyle w:val="TableText"/>
              <w:spacing w:before="50" w:after="50"/>
            </w:pPr>
            <w:r w:rsidRPr="00256982">
              <w:t>EF</w:t>
            </w:r>
            <w:r w:rsidRPr="00256982">
              <w:rPr>
                <w:vertAlign w:val="subscript"/>
              </w:rPr>
              <w:t>4</w:t>
            </w:r>
          </w:p>
        </w:tc>
        <w:tc>
          <w:tcPr>
            <w:tcW w:w="851" w:type="dxa"/>
          </w:tcPr>
          <w:p w14:paraId="7421465E" w14:textId="77777777" w:rsidR="0068777C" w:rsidRPr="00256982" w:rsidRDefault="0068777C" w:rsidP="00DC75B7">
            <w:pPr>
              <w:pStyle w:val="TableText"/>
              <w:spacing w:before="50" w:after="50"/>
            </w:pPr>
            <w:r w:rsidRPr="00256982">
              <w:t xml:space="preserve">0.010 </w:t>
            </w:r>
          </w:p>
        </w:tc>
        <w:tc>
          <w:tcPr>
            <w:tcW w:w="1583" w:type="dxa"/>
            <w:gridSpan w:val="2"/>
          </w:tcPr>
          <w:p w14:paraId="3B957956" w14:textId="77777777" w:rsidR="0068777C" w:rsidRPr="00256982" w:rsidRDefault="0068777C" w:rsidP="00DC75B7">
            <w:pPr>
              <w:pStyle w:val="TableText"/>
              <w:spacing w:before="50" w:after="50"/>
            </w:pPr>
            <w:r w:rsidRPr="00256982">
              <w:t>kg N</w:t>
            </w:r>
            <w:r w:rsidRPr="00256982">
              <w:rPr>
                <w:vertAlign w:val="subscript"/>
              </w:rPr>
              <w:t>2</w:t>
            </w:r>
            <w:r w:rsidRPr="00256982">
              <w:t>O-N/kg N</w:t>
            </w:r>
          </w:p>
        </w:tc>
        <w:tc>
          <w:tcPr>
            <w:tcW w:w="1960" w:type="dxa"/>
          </w:tcPr>
          <w:p w14:paraId="705CB560" w14:textId="77777777" w:rsidR="0068777C" w:rsidRPr="00256982" w:rsidRDefault="0068777C" w:rsidP="00DC75B7">
            <w:pPr>
              <w:pStyle w:val="TableText"/>
              <w:spacing w:before="50" w:after="50"/>
            </w:pPr>
            <w:r w:rsidRPr="00256982">
              <w:t>IPCC (2006, table 11.3)</w:t>
            </w:r>
          </w:p>
        </w:tc>
      </w:tr>
      <w:tr w:rsidR="0068777C" w:rsidRPr="00256982" w14:paraId="0B7D8290" w14:textId="77777777" w:rsidTr="00DE18EB">
        <w:tc>
          <w:tcPr>
            <w:tcW w:w="2977" w:type="dxa"/>
          </w:tcPr>
          <w:p w14:paraId="38DB13B4" w14:textId="77777777" w:rsidR="0068777C" w:rsidRPr="00256982" w:rsidRDefault="0068777C" w:rsidP="00DC75B7">
            <w:pPr>
              <w:pStyle w:val="TableText"/>
              <w:spacing w:before="50" w:after="50"/>
            </w:pPr>
            <w:r w:rsidRPr="00256982">
              <w:t>Leaching and runoff</w:t>
            </w:r>
          </w:p>
        </w:tc>
        <w:tc>
          <w:tcPr>
            <w:tcW w:w="1134" w:type="dxa"/>
          </w:tcPr>
          <w:p w14:paraId="478FA6AC" w14:textId="77777777" w:rsidR="0068777C" w:rsidRPr="00256982" w:rsidRDefault="0068777C" w:rsidP="00DC75B7">
            <w:pPr>
              <w:pStyle w:val="TableText"/>
              <w:spacing w:before="50" w:after="50"/>
            </w:pPr>
            <w:r w:rsidRPr="00256982">
              <w:t>EF</w:t>
            </w:r>
            <w:r w:rsidRPr="00256982">
              <w:rPr>
                <w:vertAlign w:val="subscript"/>
              </w:rPr>
              <w:t>5</w:t>
            </w:r>
          </w:p>
        </w:tc>
        <w:tc>
          <w:tcPr>
            <w:tcW w:w="851" w:type="dxa"/>
          </w:tcPr>
          <w:p w14:paraId="6CF9FCDB" w14:textId="77777777" w:rsidR="0068777C" w:rsidRPr="00256982" w:rsidRDefault="0068777C" w:rsidP="00DC75B7">
            <w:pPr>
              <w:pStyle w:val="TableText"/>
              <w:spacing w:before="50" w:after="50"/>
            </w:pPr>
            <w:r w:rsidRPr="00256982">
              <w:t xml:space="preserve">0.0075 </w:t>
            </w:r>
          </w:p>
        </w:tc>
        <w:tc>
          <w:tcPr>
            <w:tcW w:w="1583" w:type="dxa"/>
            <w:gridSpan w:val="2"/>
          </w:tcPr>
          <w:p w14:paraId="4D665EBC" w14:textId="77777777" w:rsidR="0068777C" w:rsidRPr="00256982" w:rsidRDefault="0068777C" w:rsidP="00DC75B7">
            <w:pPr>
              <w:pStyle w:val="TableText"/>
              <w:spacing w:before="50" w:after="50"/>
            </w:pPr>
            <w:r w:rsidRPr="00256982">
              <w:t>kg N</w:t>
            </w:r>
            <w:r w:rsidRPr="00256982">
              <w:rPr>
                <w:vertAlign w:val="subscript"/>
              </w:rPr>
              <w:t>2</w:t>
            </w:r>
            <w:r w:rsidRPr="00256982">
              <w:t>O-N/kg N</w:t>
            </w:r>
          </w:p>
        </w:tc>
        <w:tc>
          <w:tcPr>
            <w:tcW w:w="1960" w:type="dxa"/>
          </w:tcPr>
          <w:p w14:paraId="6B4D31D4" w14:textId="77777777" w:rsidR="0068777C" w:rsidRPr="00256982" w:rsidRDefault="0068777C" w:rsidP="00DC75B7">
            <w:pPr>
              <w:pStyle w:val="TableText"/>
              <w:spacing w:before="50" w:after="50"/>
            </w:pPr>
            <w:r w:rsidRPr="00256982">
              <w:t>IPCC (2006, table 11.3), confirmed by Clough and Kelliher (unpublished)</w:t>
            </w:r>
          </w:p>
        </w:tc>
      </w:tr>
    </w:tbl>
    <w:p w14:paraId="69067B31" w14:textId="77777777" w:rsidR="0068777C" w:rsidRPr="00256982" w:rsidRDefault="0068777C" w:rsidP="0068777C">
      <w:pPr>
        <w:pStyle w:val="Table"/>
        <w:spacing w:before="280"/>
      </w:pPr>
      <w:bookmarkStart w:id="725" w:name="_Toc441830881"/>
      <w:bookmarkStart w:id="726" w:name="_Toc451176095"/>
      <w:bookmarkStart w:id="727" w:name="_Toc481751523"/>
      <w:bookmarkStart w:id="728" w:name="_Toc507158611"/>
      <w:bookmarkStart w:id="729" w:name="_Toc511116745"/>
      <w:bookmarkStart w:id="730" w:name="_Toc5269487"/>
      <w:r w:rsidRPr="00256982">
        <w:t>Table 5.5.3</w:t>
      </w:r>
      <w:r w:rsidRPr="00256982">
        <w:tab/>
        <w:t>Parameters for indirect nitrous oxide (N</w:t>
      </w:r>
      <w:r w:rsidRPr="00256982">
        <w:rPr>
          <w:vertAlign w:val="subscript"/>
        </w:rPr>
        <w:t>2</w:t>
      </w:r>
      <w:r w:rsidRPr="00256982">
        <w:t>O) emissions from agricultural soils in New Zealand</w:t>
      </w:r>
      <w:bookmarkEnd w:id="725"/>
      <w:bookmarkEnd w:id="726"/>
      <w:bookmarkEnd w:id="727"/>
      <w:bookmarkEnd w:id="728"/>
      <w:bookmarkEnd w:id="729"/>
      <w:bookmarkEnd w:id="730"/>
    </w:p>
    <w:tbl>
      <w:tblPr>
        <w:tblW w:w="8505" w:type="dxa"/>
        <w:tblInd w:w="108" w:type="dxa"/>
        <w:tblBorders>
          <w:top w:val="single" w:sz="4" w:space="0" w:color="365F91"/>
          <w:bottom w:val="single" w:sz="4" w:space="0" w:color="365F91"/>
          <w:insideH w:val="single" w:sz="4" w:space="0" w:color="365F91"/>
        </w:tblBorders>
        <w:tblCellMar>
          <w:right w:w="85" w:type="dxa"/>
        </w:tblCellMar>
        <w:tblLook w:val="01E0" w:firstRow="1" w:lastRow="1" w:firstColumn="1" w:lastColumn="1" w:noHBand="0" w:noVBand="0"/>
      </w:tblPr>
      <w:tblGrid>
        <w:gridCol w:w="2559"/>
        <w:gridCol w:w="1151"/>
        <w:gridCol w:w="1276"/>
        <w:gridCol w:w="1535"/>
        <w:gridCol w:w="1984"/>
      </w:tblGrid>
      <w:tr w:rsidR="0068777C" w:rsidRPr="00256982" w14:paraId="43D28224" w14:textId="77777777" w:rsidTr="00DE18EB">
        <w:trPr>
          <w:tblHeader/>
        </w:trPr>
        <w:tc>
          <w:tcPr>
            <w:tcW w:w="2559" w:type="dxa"/>
            <w:shd w:val="clear" w:color="auto" w:fill="365F91"/>
            <w:vAlign w:val="bottom"/>
          </w:tcPr>
          <w:p w14:paraId="38B0FF70" w14:textId="77777777" w:rsidR="0068777C" w:rsidRPr="00256982" w:rsidRDefault="0068777C" w:rsidP="0068777C">
            <w:pPr>
              <w:pStyle w:val="TableTextBold"/>
              <w:keepNext/>
              <w:spacing w:before="40" w:after="40"/>
              <w:rPr>
                <w:noProof w:val="0"/>
                <w:color w:val="FFFFFF"/>
              </w:rPr>
            </w:pPr>
            <w:r w:rsidRPr="00256982">
              <w:rPr>
                <w:noProof w:val="0"/>
                <w:color w:val="FFFFFF"/>
              </w:rPr>
              <w:t>Category</w:t>
            </w:r>
          </w:p>
        </w:tc>
        <w:tc>
          <w:tcPr>
            <w:tcW w:w="3962" w:type="dxa"/>
            <w:gridSpan w:val="3"/>
            <w:shd w:val="clear" w:color="auto" w:fill="365F91"/>
            <w:vAlign w:val="bottom"/>
          </w:tcPr>
          <w:p w14:paraId="79443018" w14:textId="77777777" w:rsidR="0068777C" w:rsidRPr="00256982" w:rsidRDefault="0068777C" w:rsidP="0068777C">
            <w:pPr>
              <w:pStyle w:val="TableTextBold"/>
              <w:keepNext/>
              <w:spacing w:before="40" w:after="40"/>
              <w:jc w:val="center"/>
              <w:rPr>
                <w:noProof w:val="0"/>
                <w:color w:val="FFFFFF"/>
              </w:rPr>
            </w:pPr>
            <w:r w:rsidRPr="00256982">
              <w:rPr>
                <w:noProof w:val="0"/>
                <w:color w:val="FFFFFF"/>
              </w:rPr>
              <w:t>Parameter</w:t>
            </w:r>
          </w:p>
        </w:tc>
        <w:tc>
          <w:tcPr>
            <w:tcW w:w="1984" w:type="dxa"/>
            <w:shd w:val="clear" w:color="auto" w:fill="365F91"/>
            <w:vAlign w:val="bottom"/>
          </w:tcPr>
          <w:p w14:paraId="47F602B4" w14:textId="77777777" w:rsidR="0068777C" w:rsidRPr="00256982" w:rsidRDefault="0068777C" w:rsidP="0068777C">
            <w:pPr>
              <w:pStyle w:val="TableTextBold"/>
              <w:keepNext/>
              <w:spacing w:before="40" w:after="40"/>
              <w:rPr>
                <w:noProof w:val="0"/>
                <w:color w:val="FFFFFF"/>
              </w:rPr>
            </w:pPr>
            <w:r w:rsidRPr="00256982">
              <w:rPr>
                <w:noProof w:val="0"/>
                <w:color w:val="FFFFFF"/>
              </w:rPr>
              <w:t>Source</w:t>
            </w:r>
          </w:p>
        </w:tc>
      </w:tr>
      <w:tr w:rsidR="0068777C" w:rsidRPr="00256982" w14:paraId="4DB9C761" w14:textId="77777777" w:rsidTr="0068777C">
        <w:tc>
          <w:tcPr>
            <w:tcW w:w="8505" w:type="dxa"/>
            <w:gridSpan w:val="5"/>
          </w:tcPr>
          <w:p w14:paraId="7DD7753E" w14:textId="77777777" w:rsidR="0068777C" w:rsidRPr="00256982" w:rsidRDefault="0068777C" w:rsidP="00DC75B7">
            <w:pPr>
              <w:pStyle w:val="TableText"/>
              <w:spacing w:before="40" w:after="40"/>
              <w:rPr>
                <w:b/>
              </w:rPr>
            </w:pPr>
            <w:r w:rsidRPr="00256982">
              <w:rPr>
                <w:b/>
              </w:rPr>
              <w:t>3.D.2 Indirect N</w:t>
            </w:r>
            <w:r w:rsidRPr="00256982">
              <w:rPr>
                <w:b/>
                <w:vertAlign w:val="subscript"/>
              </w:rPr>
              <w:t>2</w:t>
            </w:r>
            <w:r w:rsidRPr="00256982">
              <w:rPr>
                <w:b/>
              </w:rPr>
              <w:t>O emissions</w:t>
            </w:r>
          </w:p>
        </w:tc>
      </w:tr>
      <w:tr w:rsidR="0068777C" w:rsidRPr="00256982" w14:paraId="2DD3C75C" w14:textId="77777777" w:rsidTr="00DE18EB">
        <w:tc>
          <w:tcPr>
            <w:tcW w:w="2559" w:type="dxa"/>
          </w:tcPr>
          <w:p w14:paraId="6B22B7D1" w14:textId="77777777" w:rsidR="0068777C" w:rsidRPr="00256982" w:rsidRDefault="0068777C" w:rsidP="00DC75B7">
            <w:pPr>
              <w:pStyle w:val="TableText"/>
              <w:spacing w:before="40" w:after="40"/>
            </w:pPr>
            <w:r w:rsidRPr="00256982">
              <w:t>Fraction of volatilisation from synthetic fertiliser</w:t>
            </w:r>
          </w:p>
        </w:tc>
        <w:tc>
          <w:tcPr>
            <w:tcW w:w="1151" w:type="dxa"/>
          </w:tcPr>
          <w:p w14:paraId="2DF2B620" w14:textId="77777777" w:rsidR="0068777C" w:rsidRPr="00256982" w:rsidRDefault="0068777C" w:rsidP="0068777C">
            <w:pPr>
              <w:pStyle w:val="TableText"/>
              <w:spacing w:before="40" w:after="40"/>
            </w:pPr>
            <w:r w:rsidRPr="00256982">
              <w:t>Frac</w:t>
            </w:r>
            <w:r w:rsidRPr="00256982">
              <w:rPr>
                <w:vertAlign w:val="subscript"/>
              </w:rPr>
              <w:t>GASF</w:t>
            </w:r>
          </w:p>
        </w:tc>
        <w:tc>
          <w:tcPr>
            <w:tcW w:w="1276" w:type="dxa"/>
          </w:tcPr>
          <w:p w14:paraId="5341C45D" w14:textId="77777777" w:rsidR="0068777C" w:rsidRPr="00256982" w:rsidRDefault="0068777C" w:rsidP="0068777C">
            <w:pPr>
              <w:pStyle w:val="TableText"/>
              <w:spacing w:before="40" w:after="40"/>
            </w:pPr>
            <w:r w:rsidRPr="00256982">
              <w:t xml:space="preserve">0.1 </w:t>
            </w:r>
          </w:p>
        </w:tc>
        <w:tc>
          <w:tcPr>
            <w:tcW w:w="1535" w:type="dxa"/>
          </w:tcPr>
          <w:p w14:paraId="1D16FC5A" w14:textId="77777777" w:rsidR="0068777C" w:rsidRPr="00256982" w:rsidRDefault="0068777C" w:rsidP="0068777C">
            <w:pPr>
              <w:pStyle w:val="TableText"/>
              <w:spacing w:before="40" w:after="40"/>
            </w:pPr>
            <w:r w:rsidRPr="00256982">
              <w:t>kg NH</w:t>
            </w:r>
            <w:r w:rsidRPr="00256982">
              <w:rPr>
                <w:vertAlign w:val="subscript"/>
              </w:rPr>
              <w:t>3</w:t>
            </w:r>
            <w:r w:rsidRPr="00256982">
              <w:t>-N + NO</w:t>
            </w:r>
            <w:r w:rsidRPr="00256982">
              <w:rPr>
                <w:vertAlign w:val="subscript"/>
              </w:rPr>
              <w:t>x</w:t>
            </w:r>
            <w:r w:rsidRPr="00256982">
              <w:t>-N/kg N</w:t>
            </w:r>
          </w:p>
        </w:tc>
        <w:tc>
          <w:tcPr>
            <w:tcW w:w="1984" w:type="dxa"/>
          </w:tcPr>
          <w:p w14:paraId="15DBD700" w14:textId="77777777" w:rsidR="0068777C" w:rsidRPr="00256982" w:rsidRDefault="0068777C" w:rsidP="0068777C">
            <w:pPr>
              <w:pStyle w:val="TableText"/>
              <w:spacing w:before="40" w:after="40"/>
            </w:pPr>
            <w:r w:rsidRPr="00256982">
              <w:t>IPCC (2006), verified by Sherlock et al. (2008)</w:t>
            </w:r>
          </w:p>
        </w:tc>
      </w:tr>
      <w:tr w:rsidR="0068777C" w:rsidRPr="00256982" w14:paraId="0DF4037D" w14:textId="77777777" w:rsidTr="00DE18EB">
        <w:tc>
          <w:tcPr>
            <w:tcW w:w="2559" w:type="dxa"/>
          </w:tcPr>
          <w:p w14:paraId="3093DC48" w14:textId="77777777" w:rsidR="0068777C" w:rsidRPr="00256982" w:rsidRDefault="0068777C" w:rsidP="00DC75B7">
            <w:pPr>
              <w:pStyle w:val="TableText"/>
              <w:spacing w:before="40" w:after="40"/>
            </w:pPr>
            <w:r w:rsidRPr="00256982">
              <w:t xml:space="preserve">Fraction of volatilisation from organic nitrogen additions including pasture manure </w:t>
            </w:r>
          </w:p>
        </w:tc>
        <w:tc>
          <w:tcPr>
            <w:tcW w:w="1151" w:type="dxa"/>
          </w:tcPr>
          <w:p w14:paraId="3376710D" w14:textId="77777777" w:rsidR="0068777C" w:rsidRPr="00256982" w:rsidRDefault="0068777C" w:rsidP="0068777C">
            <w:pPr>
              <w:pStyle w:val="TableText"/>
              <w:spacing w:before="40" w:after="40"/>
            </w:pPr>
            <w:r w:rsidRPr="00256982">
              <w:t>Frac</w:t>
            </w:r>
            <w:r w:rsidRPr="00256982">
              <w:rPr>
                <w:vertAlign w:val="subscript"/>
              </w:rPr>
              <w:t>GASM</w:t>
            </w:r>
          </w:p>
        </w:tc>
        <w:tc>
          <w:tcPr>
            <w:tcW w:w="1276" w:type="dxa"/>
          </w:tcPr>
          <w:p w14:paraId="61DBD0B8" w14:textId="77777777" w:rsidR="0068777C" w:rsidRPr="00256982" w:rsidRDefault="0068777C" w:rsidP="0068777C">
            <w:pPr>
              <w:pStyle w:val="TableText"/>
              <w:spacing w:before="40" w:after="40"/>
            </w:pPr>
            <w:r w:rsidRPr="00256982">
              <w:t>0.1</w:t>
            </w:r>
          </w:p>
        </w:tc>
        <w:tc>
          <w:tcPr>
            <w:tcW w:w="1535" w:type="dxa"/>
          </w:tcPr>
          <w:p w14:paraId="48E30A3F" w14:textId="77777777" w:rsidR="0068777C" w:rsidRPr="00256982" w:rsidRDefault="0068777C" w:rsidP="0068777C">
            <w:pPr>
              <w:pStyle w:val="TableText"/>
              <w:spacing w:before="40" w:after="40"/>
            </w:pPr>
            <w:r w:rsidRPr="00256982">
              <w:t>kg NH</w:t>
            </w:r>
            <w:r w:rsidRPr="00256982">
              <w:rPr>
                <w:vertAlign w:val="subscript"/>
              </w:rPr>
              <w:t>3</w:t>
            </w:r>
            <w:r w:rsidRPr="00256982">
              <w:t>-N + NO</w:t>
            </w:r>
            <w:r w:rsidRPr="00256982">
              <w:rPr>
                <w:vertAlign w:val="subscript"/>
              </w:rPr>
              <w:t>x</w:t>
            </w:r>
            <w:r w:rsidRPr="00256982">
              <w:t>-N/kg N</w:t>
            </w:r>
          </w:p>
        </w:tc>
        <w:tc>
          <w:tcPr>
            <w:tcW w:w="1984" w:type="dxa"/>
          </w:tcPr>
          <w:p w14:paraId="490CDFD6" w14:textId="77777777" w:rsidR="0068777C" w:rsidRPr="00256982" w:rsidRDefault="0068777C" w:rsidP="0068777C">
            <w:pPr>
              <w:pStyle w:val="TableText"/>
              <w:spacing w:before="40" w:after="40"/>
            </w:pPr>
            <w:r w:rsidRPr="00256982">
              <w:t>Sherlock et al. (2008)</w:t>
            </w:r>
          </w:p>
        </w:tc>
      </w:tr>
      <w:tr w:rsidR="0068777C" w:rsidRPr="00256982" w14:paraId="7BCB39ED" w14:textId="77777777" w:rsidTr="00DE18EB">
        <w:tc>
          <w:tcPr>
            <w:tcW w:w="2559" w:type="dxa"/>
          </w:tcPr>
          <w:p w14:paraId="653697B8" w14:textId="77777777" w:rsidR="0068777C" w:rsidRPr="00256982" w:rsidRDefault="0068777C" w:rsidP="0068777C">
            <w:pPr>
              <w:pStyle w:val="TableText"/>
              <w:spacing w:before="40" w:after="40"/>
            </w:pPr>
            <w:r w:rsidRPr="00256982">
              <w:t>Fraction of leaching and runoff from all nitrogen applied to soil</w:t>
            </w:r>
          </w:p>
        </w:tc>
        <w:tc>
          <w:tcPr>
            <w:tcW w:w="1151" w:type="dxa"/>
          </w:tcPr>
          <w:p w14:paraId="7A67485B" w14:textId="77777777" w:rsidR="0068777C" w:rsidRPr="00256982" w:rsidRDefault="0068777C" w:rsidP="0068777C">
            <w:pPr>
              <w:pStyle w:val="TableText"/>
              <w:spacing w:before="40" w:after="40"/>
            </w:pPr>
            <w:r w:rsidRPr="00256982">
              <w:t>Frac</w:t>
            </w:r>
            <w:r w:rsidRPr="00256982">
              <w:rPr>
                <w:vertAlign w:val="subscript"/>
              </w:rPr>
              <w:t>LEACH – (H)</w:t>
            </w:r>
          </w:p>
        </w:tc>
        <w:tc>
          <w:tcPr>
            <w:tcW w:w="1276" w:type="dxa"/>
          </w:tcPr>
          <w:p w14:paraId="674FB514" w14:textId="77777777" w:rsidR="0068777C" w:rsidRPr="00256982" w:rsidRDefault="0068777C" w:rsidP="0068777C">
            <w:pPr>
              <w:pStyle w:val="TableText"/>
              <w:spacing w:before="40" w:after="40"/>
            </w:pPr>
            <w:r w:rsidRPr="00256982">
              <w:t>0.07</w:t>
            </w:r>
          </w:p>
        </w:tc>
        <w:tc>
          <w:tcPr>
            <w:tcW w:w="1535" w:type="dxa"/>
          </w:tcPr>
          <w:p w14:paraId="77E2C15D" w14:textId="77777777" w:rsidR="0068777C" w:rsidRPr="00256982" w:rsidRDefault="0068777C" w:rsidP="0068777C">
            <w:pPr>
              <w:pStyle w:val="TableText"/>
              <w:spacing w:before="40" w:after="40"/>
            </w:pPr>
            <w:r w:rsidRPr="00256982">
              <w:t>kg N/kg N</w:t>
            </w:r>
          </w:p>
        </w:tc>
        <w:tc>
          <w:tcPr>
            <w:tcW w:w="1984" w:type="dxa"/>
          </w:tcPr>
          <w:p w14:paraId="51210BB7" w14:textId="77777777" w:rsidR="0068777C" w:rsidRPr="00256982" w:rsidRDefault="0068777C" w:rsidP="0068777C">
            <w:pPr>
              <w:pStyle w:val="TableText"/>
              <w:spacing w:before="40" w:after="40"/>
            </w:pPr>
            <w:r w:rsidRPr="00256982">
              <w:t>Thomas et al. (unpublished), Thomas et al. (2005)</w:t>
            </w:r>
          </w:p>
        </w:tc>
      </w:tr>
      <w:tr w:rsidR="0068777C" w:rsidRPr="00256982" w14:paraId="1C15D84C" w14:textId="77777777" w:rsidTr="00DE18EB">
        <w:tc>
          <w:tcPr>
            <w:tcW w:w="2559" w:type="dxa"/>
          </w:tcPr>
          <w:p w14:paraId="3E7A401E" w14:textId="77777777" w:rsidR="0068777C" w:rsidRPr="00256982" w:rsidRDefault="0068777C" w:rsidP="0068777C">
            <w:pPr>
              <w:pStyle w:val="TableText"/>
              <w:spacing w:before="40" w:after="40"/>
            </w:pPr>
            <w:r w:rsidRPr="00256982">
              <w:lastRenderedPageBreak/>
              <w:t xml:space="preserve">Fraction of crop residue burned in the field </w:t>
            </w:r>
          </w:p>
        </w:tc>
        <w:tc>
          <w:tcPr>
            <w:tcW w:w="1151" w:type="dxa"/>
          </w:tcPr>
          <w:p w14:paraId="72FAA506" w14:textId="77777777" w:rsidR="0068777C" w:rsidRPr="00256982" w:rsidRDefault="0068777C" w:rsidP="0068777C">
            <w:pPr>
              <w:pStyle w:val="TableText"/>
              <w:spacing w:before="40" w:after="40"/>
            </w:pPr>
            <w:r w:rsidRPr="00256982">
              <w:t>Frac</w:t>
            </w:r>
            <w:r w:rsidRPr="00256982">
              <w:rPr>
                <w:vertAlign w:val="subscript"/>
              </w:rPr>
              <w:t>BURN</w:t>
            </w:r>
          </w:p>
        </w:tc>
        <w:tc>
          <w:tcPr>
            <w:tcW w:w="1276" w:type="dxa"/>
          </w:tcPr>
          <w:p w14:paraId="1499C720" w14:textId="77777777" w:rsidR="0068777C" w:rsidRPr="00256982" w:rsidRDefault="0068777C" w:rsidP="0068777C">
            <w:pPr>
              <w:pStyle w:val="TableText"/>
              <w:spacing w:before="40" w:after="40"/>
            </w:pPr>
            <w:r w:rsidRPr="00256982">
              <w:t>Crop-specific</w:t>
            </w:r>
          </w:p>
        </w:tc>
        <w:tc>
          <w:tcPr>
            <w:tcW w:w="1535" w:type="dxa"/>
          </w:tcPr>
          <w:p w14:paraId="6A78D87C" w14:textId="77777777" w:rsidR="0068777C" w:rsidRPr="00256982" w:rsidRDefault="0068777C" w:rsidP="0068777C">
            <w:pPr>
              <w:pStyle w:val="TableText"/>
              <w:spacing w:before="40" w:after="40"/>
            </w:pPr>
            <w:r w:rsidRPr="00256982">
              <w:t>kg N/kg crop-N</w:t>
            </w:r>
          </w:p>
        </w:tc>
        <w:tc>
          <w:tcPr>
            <w:tcW w:w="1984" w:type="dxa"/>
          </w:tcPr>
          <w:p w14:paraId="3916004A" w14:textId="4734ED63" w:rsidR="0068777C" w:rsidRPr="00256982" w:rsidRDefault="0068777C" w:rsidP="00B63FA9">
            <w:pPr>
              <w:pStyle w:val="TableText"/>
              <w:spacing w:before="40" w:after="40"/>
            </w:pPr>
            <w:r w:rsidRPr="00256982">
              <w:t>Thomas et al. (2008, table</w:t>
            </w:r>
            <w:r w:rsidR="00B63FA9" w:rsidRPr="00256982">
              <w:t> </w:t>
            </w:r>
            <w:r w:rsidRPr="00256982">
              <w:t>14)</w:t>
            </w:r>
          </w:p>
        </w:tc>
      </w:tr>
      <w:tr w:rsidR="0068777C" w:rsidRPr="00256982" w14:paraId="7D3E27F5" w14:textId="77777777" w:rsidTr="00DE18EB">
        <w:tc>
          <w:tcPr>
            <w:tcW w:w="2559" w:type="dxa"/>
          </w:tcPr>
          <w:p w14:paraId="0D17A50B" w14:textId="77777777" w:rsidR="0068777C" w:rsidRPr="00256982" w:rsidRDefault="0068777C" w:rsidP="0068777C">
            <w:pPr>
              <w:pStyle w:val="TableText"/>
              <w:spacing w:before="40" w:after="40"/>
            </w:pPr>
            <w:r w:rsidRPr="00256982">
              <w:t>Fraction of legume crop residue burning in the field</w:t>
            </w:r>
          </w:p>
        </w:tc>
        <w:tc>
          <w:tcPr>
            <w:tcW w:w="1151" w:type="dxa"/>
          </w:tcPr>
          <w:p w14:paraId="5F234AC5" w14:textId="77777777" w:rsidR="0068777C" w:rsidRPr="00256982" w:rsidRDefault="0068777C" w:rsidP="0068777C">
            <w:pPr>
              <w:pStyle w:val="TableText"/>
              <w:spacing w:before="40" w:after="40"/>
            </w:pPr>
            <w:r w:rsidRPr="00256982">
              <w:t>Frac</w:t>
            </w:r>
            <w:r w:rsidRPr="00256982">
              <w:rPr>
                <w:vertAlign w:val="subscript"/>
              </w:rPr>
              <w:t>BURNL</w:t>
            </w:r>
          </w:p>
        </w:tc>
        <w:tc>
          <w:tcPr>
            <w:tcW w:w="1276" w:type="dxa"/>
          </w:tcPr>
          <w:p w14:paraId="67F8551C" w14:textId="77777777" w:rsidR="0068777C" w:rsidRPr="00256982" w:rsidRDefault="0068777C" w:rsidP="0068777C">
            <w:pPr>
              <w:pStyle w:val="TableText"/>
              <w:spacing w:before="40" w:after="40"/>
            </w:pPr>
            <w:r w:rsidRPr="00256982">
              <w:t>0 (not burned in NZ)</w:t>
            </w:r>
          </w:p>
        </w:tc>
        <w:tc>
          <w:tcPr>
            <w:tcW w:w="1535" w:type="dxa"/>
          </w:tcPr>
          <w:p w14:paraId="3CE60271" w14:textId="77777777" w:rsidR="0068777C" w:rsidRPr="00256982" w:rsidRDefault="0068777C" w:rsidP="0068777C">
            <w:pPr>
              <w:pStyle w:val="TableText"/>
              <w:spacing w:before="40" w:after="40"/>
            </w:pPr>
            <w:r w:rsidRPr="00256982">
              <w:t>kg N/kg crop-N</w:t>
            </w:r>
          </w:p>
        </w:tc>
        <w:tc>
          <w:tcPr>
            <w:tcW w:w="1984" w:type="dxa"/>
          </w:tcPr>
          <w:p w14:paraId="5EF878C6" w14:textId="77777777" w:rsidR="0068777C" w:rsidRPr="00256982" w:rsidRDefault="0068777C" w:rsidP="0068777C">
            <w:pPr>
              <w:pStyle w:val="TableText"/>
              <w:spacing w:before="40" w:after="40"/>
            </w:pPr>
            <w:r w:rsidRPr="00256982">
              <w:t xml:space="preserve">Thomas et al. (2008) </w:t>
            </w:r>
          </w:p>
        </w:tc>
      </w:tr>
      <w:tr w:rsidR="0068777C" w:rsidRPr="00256982" w14:paraId="42B4C43A" w14:textId="77777777" w:rsidTr="00DE18EB">
        <w:tc>
          <w:tcPr>
            <w:tcW w:w="2559" w:type="dxa"/>
          </w:tcPr>
          <w:p w14:paraId="548FCEA6" w14:textId="77777777" w:rsidR="0068777C" w:rsidRPr="00256982" w:rsidRDefault="0068777C" w:rsidP="0068777C">
            <w:pPr>
              <w:pStyle w:val="TableText"/>
              <w:spacing w:before="40" w:after="40"/>
            </w:pPr>
            <w:r w:rsidRPr="00256982">
              <w:t>Fraction of land undergoing pasture renewal</w:t>
            </w:r>
          </w:p>
        </w:tc>
        <w:tc>
          <w:tcPr>
            <w:tcW w:w="1151" w:type="dxa"/>
          </w:tcPr>
          <w:p w14:paraId="2BF79ED5" w14:textId="77777777" w:rsidR="0068777C" w:rsidRPr="00256982" w:rsidRDefault="0068777C" w:rsidP="0068777C">
            <w:pPr>
              <w:pStyle w:val="TableText"/>
              <w:spacing w:before="40" w:after="40"/>
            </w:pPr>
            <w:r w:rsidRPr="00256982">
              <w:t>Frac</w:t>
            </w:r>
            <w:r w:rsidRPr="00256982">
              <w:rPr>
                <w:vertAlign w:val="subscript"/>
              </w:rPr>
              <w:t>RENEW</w:t>
            </w:r>
          </w:p>
        </w:tc>
        <w:tc>
          <w:tcPr>
            <w:tcW w:w="1276" w:type="dxa"/>
          </w:tcPr>
          <w:p w14:paraId="559513C4" w14:textId="77777777" w:rsidR="0068777C" w:rsidRPr="00256982" w:rsidRDefault="0068777C" w:rsidP="0068777C">
            <w:pPr>
              <w:pStyle w:val="TableText"/>
              <w:spacing w:before="40" w:after="40"/>
              <w:rPr>
                <w:rStyle w:val="CommentReference"/>
              </w:rPr>
            </w:pPr>
            <w:r w:rsidRPr="00256982">
              <w:rPr>
                <w:rStyle w:val="CommentReference"/>
              </w:rPr>
              <w:t>Year-specific</w:t>
            </w:r>
          </w:p>
        </w:tc>
        <w:tc>
          <w:tcPr>
            <w:tcW w:w="1535" w:type="dxa"/>
          </w:tcPr>
          <w:p w14:paraId="53241D7E" w14:textId="77777777" w:rsidR="0068777C" w:rsidRPr="00256982" w:rsidRDefault="0068777C" w:rsidP="0068777C">
            <w:pPr>
              <w:pStyle w:val="TableText"/>
              <w:spacing w:before="40" w:after="40"/>
            </w:pPr>
          </w:p>
        </w:tc>
        <w:tc>
          <w:tcPr>
            <w:tcW w:w="1984" w:type="dxa"/>
          </w:tcPr>
          <w:p w14:paraId="2B8C5C11" w14:textId="77777777" w:rsidR="0068777C" w:rsidRPr="00256982" w:rsidRDefault="0068777C" w:rsidP="0068777C">
            <w:pPr>
              <w:pStyle w:val="TableText"/>
              <w:spacing w:before="40" w:after="40"/>
            </w:pPr>
            <w:r w:rsidRPr="00256982">
              <w:t>Beare et al. (unpublished); Thomas et al. (2014)</w:t>
            </w:r>
          </w:p>
        </w:tc>
      </w:tr>
      <w:tr w:rsidR="0068777C" w:rsidRPr="00256982" w14:paraId="6F48AE37" w14:textId="77777777" w:rsidTr="00DE18EB">
        <w:tc>
          <w:tcPr>
            <w:tcW w:w="2559" w:type="dxa"/>
          </w:tcPr>
          <w:p w14:paraId="2BD8CCEC" w14:textId="77777777" w:rsidR="0068777C" w:rsidRPr="00256982" w:rsidRDefault="0068777C" w:rsidP="0068777C">
            <w:pPr>
              <w:pStyle w:val="TableText"/>
              <w:spacing w:before="40" w:after="40"/>
            </w:pPr>
            <w:r w:rsidRPr="00256982">
              <w:t>Fraction of nitrogen in above-ground residues removed for bedding, feed or construction</w:t>
            </w:r>
          </w:p>
        </w:tc>
        <w:tc>
          <w:tcPr>
            <w:tcW w:w="1151" w:type="dxa"/>
          </w:tcPr>
          <w:p w14:paraId="373A4A22" w14:textId="77777777" w:rsidR="0068777C" w:rsidRPr="00256982" w:rsidRDefault="0068777C" w:rsidP="0068777C">
            <w:pPr>
              <w:pStyle w:val="TableText"/>
              <w:spacing w:before="40" w:after="40"/>
            </w:pPr>
            <w:r w:rsidRPr="00256982">
              <w:t>Frac</w:t>
            </w:r>
            <w:r w:rsidRPr="00256982">
              <w:rPr>
                <w:vertAlign w:val="subscript"/>
              </w:rPr>
              <w:t>REMOVE</w:t>
            </w:r>
          </w:p>
        </w:tc>
        <w:tc>
          <w:tcPr>
            <w:tcW w:w="1276" w:type="dxa"/>
          </w:tcPr>
          <w:p w14:paraId="523AD05E" w14:textId="77777777" w:rsidR="0068777C" w:rsidRPr="00256982" w:rsidRDefault="0068777C" w:rsidP="0068777C">
            <w:pPr>
              <w:pStyle w:val="TableText"/>
              <w:spacing w:before="40" w:after="40"/>
            </w:pPr>
            <w:r w:rsidRPr="00256982">
              <w:t>0</w:t>
            </w:r>
          </w:p>
        </w:tc>
        <w:tc>
          <w:tcPr>
            <w:tcW w:w="1535" w:type="dxa"/>
          </w:tcPr>
          <w:p w14:paraId="35589412" w14:textId="77777777" w:rsidR="0068777C" w:rsidRPr="00256982" w:rsidRDefault="0068777C" w:rsidP="0068777C">
            <w:pPr>
              <w:pStyle w:val="TableText"/>
              <w:spacing w:before="40" w:after="40"/>
            </w:pPr>
            <w:r w:rsidRPr="00256982">
              <w:t>kg N/kg crop-N</w:t>
            </w:r>
          </w:p>
        </w:tc>
        <w:tc>
          <w:tcPr>
            <w:tcW w:w="1984" w:type="dxa"/>
          </w:tcPr>
          <w:p w14:paraId="22353BED" w14:textId="77777777" w:rsidR="0068777C" w:rsidRPr="00256982" w:rsidRDefault="0068777C" w:rsidP="0068777C">
            <w:pPr>
              <w:pStyle w:val="TableText"/>
              <w:spacing w:before="40" w:after="40"/>
            </w:pPr>
            <w:r w:rsidRPr="00256982">
              <w:t>Thomas et al. (2014)</w:t>
            </w:r>
          </w:p>
        </w:tc>
      </w:tr>
    </w:tbl>
    <w:p w14:paraId="525059E2" w14:textId="77777777" w:rsidR="0068777C" w:rsidRPr="00256982" w:rsidRDefault="0068777C" w:rsidP="0068777C">
      <w:pPr>
        <w:pStyle w:val="Table"/>
        <w:spacing w:before="280"/>
      </w:pPr>
      <w:bookmarkStart w:id="731" w:name="_Toc441830882"/>
      <w:bookmarkStart w:id="732" w:name="_Toc451176096"/>
      <w:bookmarkStart w:id="733" w:name="_Toc481751524"/>
      <w:bookmarkStart w:id="734" w:name="_Toc507158612"/>
      <w:bookmarkStart w:id="735" w:name="_Toc511116746"/>
      <w:bookmarkStart w:id="736" w:name="_Toc5269488"/>
      <w:r w:rsidRPr="00256982">
        <w:t>Table 5.5.4</w:t>
      </w:r>
      <w:r w:rsidRPr="00256982">
        <w:tab/>
        <w:t>Emission factors and parameter values for use of mitigation technologies</w:t>
      </w:r>
      <w:bookmarkEnd w:id="731"/>
      <w:bookmarkEnd w:id="732"/>
      <w:bookmarkEnd w:id="733"/>
      <w:bookmarkEnd w:id="734"/>
      <w:bookmarkEnd w:id="735"/>
      <w:bookmarkEnd w:id="736"/>
    </w:p>
    <w:tbl>
      <w:tblPr>
        <w:tblW w:w="8505" w:type="dxa"/>
        <w:tblInd w:w="108" w:type="dxa"/>
        <w:tblBorders>
          <w:top w:val="single" w:sz="4" w:space="0" w:color="365F91"/>
          <w:bottom w:val="single" w:sz="4" w:space="0" w:color="365F91"/>
          <w:insideH w:val="single" w:sz="4" w:space="0" w:color="365F91"/>
        </w:tblBorders>
        <w:tblLayout w:type="fixed"/>
        <w:tblLook w:val="01E0" w:firstRow="1" w:lastRow="1" w:firstColumn="1" w:lastColumn="1" w:noHBand="0" w:noVBand="0"/>
      </w:tblPr>
      <w:tblGrid>
        <w:gridCol w:w="4395"/>
        <w:gridCol w:w="1417"/>
        <w:gridCol w:w="709"/>
        <w:gridCol w:w="1984"/>
      </w:tblGrid>
      <w:tr w:rsidR="0068777C" w:rsidRPr="00256982" w14:paraId="21A0874C" w14:textId="77777777" w:rsidTr="00B63FA9">
        <w:trPr>
          <w:tblHeader/>
        </w:trPr>
        <w:tc>
          <w:tcPr>
            <w:tcW w:w="4395" w:type="dxa"/>
            <w:shd w:val="clear" w:color="auto" w:fill="365F91"/>
            <w:vAlign w:val="bottom"/>
          </w:tcPr>
          <w:p w14:paraId="6F950E23" w14:textId="77777777" w:rsidR="0068777C" w:rsidRPr="00256982" w:rsidRDefault="0068777C" w:rsidP="0068777C">
            <w:pPr>
              <w:pStyle w:val="TableTextBold"/>
              <w:keepNext/>
              <w:rPr>
                <w:noProof w:val="0"/>
                <w:color w:val="FFFFFF"/>
              </w:rPr>
            </w:pPr>
            <w:r w:rsidRPr="00256982">
              <w:rPr>
                <w:noProof w:val="0"/>
                <w:color w:val="FFFFFF"/>
              </w:rPr>
              <w:t>Category</w:t>
            </w:r>
          </w:p>
        </w:tc>
        <w:tc>
          <w:tcPr>
            <w:tcW w:w="2126" w:type="dxa"/>
            <w:gridSpan w:val="2"/>
            <w:shd w:val="clear" w:color="auto" w:fill="365F91"/>
            <w:vAlign w:val="bottom"/>
          </w:tcPr>
          <w:p w14:paraId="444C4927" w14:textId="77777777" w:rsidR="0068777C" w:rsidRPr="00256982" w:rsidRDefault="0068777C" w:rsidP="0068777C">
            <w:pPr>
              <w:pStyle w:val="TableTextBold"/>
              <w:keepNext/>
              <w:jc w:val="center"/>
              <w:rPr>
                <w:noProof w:val="0"/>
                <w:color w:val="FFFFFF"/>
              </w:rPr>
            </w:pPr>
            <w:r w:rsidRPr="00256982">
              <w:rPr>
                <w:noProof w:val="0"/>
                <w:color w:val="FFFFFF"/>
              </w:rPr>
              <w:t>Parameter and value (%)</w:t>
            </w:r>
          </w:p>
        </w:tc>
        <w:tc>
          <w:tcPr>
            <w:tcW w:w="1984" w:type="dxa"/>
            <w:shd w:val="clear" w:color="auto" w:fill="365F91"/>
            <w:vAlign w:val="bottom"/>
          </w:tcPr>
          <w:p w14:paraId="3D9F417F" w14:textId="77777777" w:rsidR="0068777C" w:rsidRPr="00256982" w:rsidRDefault="0068777C" w:rsidP="0068777C">
            <w:pPr>
              <w:pStyle w:val="TableTextBold"/>
              <w:keepNext/>
              <w:rPr>
                <w:noProof w:val="0"/>
                <w:color w:val="FFFFFF"/>
              </w:rPr>
            </w:pPr>
            <w:r w:rsidRPr="00256982">
              <w:rPr>
                <w:noProof w:val="0"/>
                <w:color w:val="FFFFFF"/>
              </w:rPr>
              <w:t>Source</w:t>
            </w:r>
          </w:p>
        </w:tc>
      </w:tr>
      <w:tr w:rsidR="0068777C" w:rsidRPr="00256982" w14:paraId="08741D12" w14:textId="77777777" w:rsidTr="00B63FA9">
        <w:tc>
          <w:tcPr>
            <w:tcW w:w="4395" w:type="dxa"/>
          </w:tcPr>
          <w:p w14:paraId="26732024" w14:textId="77777777" w:rsidR="0068777C" w:rsidRPr="00256982" w:rsidRDefault="0068777C" w:rsidP="0068777C">
            <w:pPr>
              <w:pStyle w:val="TableText"/>
              <w:spacing w:before="50" w:after="50"/>
            </w:pPr>
            <w:r w:rsidRPr="00256982">
              <w:t>Urine from grazing dairy cattle in pasture, range and paddock systems with application of dicyandiamide (DCD)</w:t>
            </w:r>
          </w:p>
        </w:tc>
        <w:tc>
          <w:tcPr>
            <w:tcW w:w="1417" w:type="dxa"/>
          </w:tcPr>
          <w:p w14:paraId="29A4BB07" w14:textId="77777777" w:rsidR="0068777C" w:rsidRPr="00256982" w:rsidRDefault="0068777C" w:rsidP="0068777C">
            <w:pPr>
              <w:pStyle w:val="TableText"/>
              <w:spacing w:before="50" w:after="50"/>
            </w:pPr>
            <w:r w:rsidRPr="00256982">
              <w:t>EF</w:t>
            </w:r>
            <w:r w:rsidRPr="00256982">
              <w:rPr>
                <w:vertAlign w:val="subscript"/>
              </w:rPr>
              <w:t>3(PRP-DCD)</w:t>
            </w:r>
          </w:p>
        </w:tc>
        <w:tc>
          <w:tcPr>
            <w:tcW w:w="709" w:type="dxa"/>
          </w:tcPr>
          <w:p w14:paraId="2FA7CCFE" w14:textId="77777777" w:rsidR="0068777C" w:rsidRPr="00256982" w:rsidRDefault="0068777C" w:rsidP="0068777C">
            <w:pPr>
              <w:pStyle w:val="TableText"/>
              <w:spacing w:before="50" w:after="50"/>
            </w:pPr>
            <w:r w:rsidRPr="00256982">
              <w:t>0.67</w:t>
            </w:r>
          </w:p>
        </w:tc>
        <w:tc>
          <w:tcPr>
            <w:tcW w:w="1984" w:type="dxa"/>
          </w:tcPr>
          <w:p w14:paraId="536FF0C2" w14:textId="77777777" w:rsidR="0068777C" w:rsidRPr="00256982" w:rsidRDefault="0068777C" w:rsidP="0068777C">
            <w:pPr>
              <w:pStyle w:val="TableText"/>
              <w:spacing w:before="50" w:after="50"/>
            </w:pPr>
            <w:r w:rsidRPr="00256982">
              <w:t>Clough et al. (2008)</w:t>
            </w:r>
          </w:p>
        </w:tc>
      </w:tr>
      <w:tr w:rsidR="0068777C" w:rsidRPr="00256982" w14:paraId="19B24523" w14:textId="77777777" w:rsidTr="00B63FA9">
        <w:tc>
          <w:tcPr>
            <w:tcW w:w="4395" w:type="dxa"/>
          </w:tcPr>
          <w:p w14:paraId="698BDFCD" w14:textId="77777777" w:rsidR="0068777C" w:rsidRPr="00256982" w:rsidRDefault="0068777C" w:rsidP="0068777C">
            <w:pPr>
              <w:pStyle w:val="TableText"/>
              <w:spacing w:before="50" w:after="50"/>
            </w:pPr>
            <w:r w:rsidRPr="00256982">
              <w:t>Fraction of nitrogen from leaching and runoff with application of DCD</w:t>
            </w:r>
          </w:p>
        </w:tc>
        <w:tc>
          <w:tcPr>
            <w:tcW w:w="1417" w:type="dxa"/>
          </w:tcPr>
          <w:p w14:paraId="3615B861" w14:textId="77777777" w:rsidR="0068777C" w:rsidRPr="00256982" w:rsidRDefault="0068777C" w:rsidP="0068777C">
            <w:pPr>
              <w:pStyle w:val="TableText"/>
              <w:spacing w:before="50" w:after="50"/>
            </w:pPr>
            <w:r w:rsidRPr="00256982">
              <w:t>Frac</w:t>
            </w:r>
            <w:r w:rsidRPr="00256982">
              <w:rPr>
                <w:vertAlign w:val="subscript"/>
              </w:rPr>
              <w:t>LEACH – (H)-DCD</w:t>
            </w:r>
          </w:p>
        </w:tc>
        <w:tc>
          <w:tcPr>
            <w:tcW w:w="709" w:type="dxa"/>
          </w:tcPr>
          <w:p w14:paraId="7A4F3335" w14:textId="77777777" w:rsidR="0068777C" w:rsidRPr="00256982" w:rsidRDefault="0068777C" w:rsidP="0068777C">
            <w:pPr>
              <w:pStyle w:val="TableText"/>
              <w:spacing w:before="50" w:after="50"/>
            </w:pPr>
            <w:r w:rsidRPr="00256982">
              <w:t>0.53</w:t>
            </w:r>
          </w:p>
        </w:tc>
        <w:tc>
          <w:tcPr>
            <w:tcW w:w="1984" w:type="dxa"/>
          </w:tcPr>
          <w:p w14:paraId="4B6C6D84" w14:textId="77777777" w:rsidR="0068777C" w:rsidRPr="00256982" w:rsidRDefault="0068777C" w:rsidP="0068777C">
            <w:pPr>
              <w:pStyle w:val="TableText"/>
              <w:spacing w:before="50" w:after="50"/>
            </w:pPr>
            <w:r w:rsidRPr="00256982">
              <w:t>Clough et al. (2008)</w:t>
            </w:r>
          </w:p>
        </w:tc>
      </w:tr>
      <w:tr w:rsidR="0068777C" w:rsidRPr="00256982" w14:paraId="12A38808" w14:textId="77777777" w:rsidTr="00B63FA9">
        <w:tc>
          <w:tcPr>
            <w:tcW w:w="4395" w:type="dxa"/>
          </w:tcPr>
          <w:p w14:paraId="6712FD92" w14:textId="77777777" w:rsidR="0068777C" w:rsidRPr="00256982" w:rsidRDefault="0068777C" w:rsidP="0068777C">
            <w:pPr>
              <w:pStyle w:val="TableText"/>
              <w:spacing w:before="50" w:after="50"/>
            </w:pPr>
            <w:r w:rsidRPr="00256982">
              <w:t>Volatilisation from synthetic nitrogen fertiliser including urease inhibitor (nBTPT)</w:t>
            </w:r>
          </w:p>
        </w:tc>
        <w:tc>
          <w:tcPr>
            <w:tcW w:w="1417" w:type="dxa"/>
          </w:tcPr>
          <w:p w14:paraId="5E96AA2C" w14:textId="77777777" w:rsidR="0068777C" w:rsidRPr="00256982" w:rsidRDefault="0068777C" w:rsidP="0068777C">
            <w:pPr>
              <w:pStyle w:val="TableText"/>
              <w:spacing w:before="50" w:after="50"/>
            </w:pPr>
            <w:r w:rsidRPr="00256982">
              <w:t>Frac</w:t>
            </w:r>
            <w:r w:rsidRPr="00256982">
              <w:rPr>
                <w:vertAlign w:val="subscript"/>
              </w:rPr>
              <w:t>GASF-UI</w:t>
            </w:r>
          </w:p>
        </w:tc>
        <w:tc>
          <w:tcPr>
            <w:tcW w:w="709" w:type="dxa"/>
          </w:tcPr>
          <w:p w14:paraId="550B358C" w14:textId="77777777" w:rsidR="0068777C" w:rsidRPr="00256982" w:rsidRDefault="0068777C" w:rsidP="0068777C">
            <w:pPr>
              <w:pStyle w:val="TableText"/>
              <w:spacing w:before="50" w:after="50"/>
            </w:pPr>
            <w:r w:rsidRPr="00256982">
              <w:t>0.045</w:t>
            </w:r>
          </w:p>
        </w:tc>
        <w:tc>
          <w:tcPr>
            <w:tcW w:w="1984" w:type="dxa"/>
          </w:tcPr>
          <w:p w14:paraId="2A12145A" w14:textId="77777777" w:rsidR="0068777C" w:rsidRPr="00256982" w:rsidRDefault="0068777C" w:rsidP="0068777C">
            <w:pPr>
              <w:pStyle w:val="TableText"/>
              <w:spacing w:before="50" w:after="50"/>
            </w:pPr>
            <w:r w:rsidRPr="00256982">
              <w:t>Saggar et al. (2013)</w:t>
            </w:r>
          </w:p>
        </w:tc>
      </w:tr>
    </w:tbl>
    <w:p w14:paraId="26A64B63" w14:textId="77777777" w:rsidR="0068777C" w:rsidRPr="00256982" w:rsidRDefault="0068777C" w:rsidP="00DE18EB">
      <w:pPr>
        <w:pStyle w:val="Heading4"/>
        <w:spacing w:before="360"/>
      </w:pPr>
      <w:r w:rsidRPr="00256982">
        <w:t>Direct nitrous oxide emissions from managed soils (CRF 3.D.1)</w:t>
      </w:r>
    </w:p>
    <w:p w14:paraId="54A6DC72" w14:textId="77777777" w:rsidR="0068777C" w:rsidRPr="00256982" w:rsidRDefault="0068777C" w:rsidP="0068777C">
      <w:pPr>
        <w:pStyle w:val="BodyText"/>
      </w:pPr>
      <w:r w:rsidRPr="00256982">
        <w:t xml:space="preserve">Emissions from the </w:t>
      </w:r>
      <w:r w:rsidRPr="00256982">
        <w:rPr>
          <w:i/>
        </w:rPr>
        <w:t>Direct N</w:t>
      </w:r>
      <w:r w:rsidRPr="00256982">
        <w:rPr>
          <w:i/>
          <w:vertAlign w:val="subscript"/>
        </w:rPr>
        <w:t>2</w:t>
      </w:r>
      <w:r w:rsidRPr="00256982">
        <w:rPr>
          <w:i/>
        </w:rPr>
        <w:t xml:space="preserve">O emissions from managed soils </w:t>
      </w:r>
      <w:r w:rsidRPr="00256982">
        <w:t xml:space="preserve">category arise from: </w:t>
      </w:r>
    </w:p>
    <w:p w14:paraId="2063E632" w14:textId="77777777" w:rsidR="0068777C" w:rsidRPr="00256982" w:rsidRDefault="0068777C" w:rsidP="0036046B">
      <w:pPr>
        <w:pStyle w:val="Bullet"/>
        <w:numPr>
          <w:ilvl w:val="0"/>
          <w:numId w:val="8"/>
        </w:numPr>
        <w:spacing w:after="100"/>
      </w:pPr>
      <w:r w:rsidRPr="00256982">
        <w:t>synthetic nitrogen fertiliser use (F</w:t>
      </w:r>
      <w:r w:rsidRPr="00256982">
        <w:rPr>
          <w:vertAlign w:val="subscript"/>
        </w:rPr>
        <w:t>SN</w:t>
      </w:r>
      <w:r w:rsidRPr="00256982">
        <w:t>)</w:t>
      </w:r>
    </w:p>
    <w:p w14:paraId="3382CB68" w14:textId="77777777" w:rsidR="0068777C" w:rsidRPr="00256982" w:rsidRDefault="0068777C" w:rsidP="0036046B">
      <w:pPr>
        <w:pStyle w:val="Bullet"/>
        <w:numPr>
          <w:ilvl w:val="0"/>
          <w:numId w:val="8"/>
        </w:numPr>
        <w:spacing w:after="100"/>
      </w:pPr>
      <w:r w:rsidRPr="00256982">
        <w:t>organic fertilisers (which in New Zealand are solely the spreading of animal manure, F</w:t>
      </w:r>
      <w:r w:rsidRPr="00256982">
        <w:rPr>
          <w:vertAlign w:val="subscript"/>
        </w:rPr>
        <w:t>AM</w:t>
      </w:r>
      <w:r w:rsidRPr="00256982">
        <w:t>)</w:t>
      </w:r>
    </w:p>
    <w:p w14:paraId="3BC213F2" w14:textId="77777777" w:rsidR="0068777C" w:rsidRPr="00256982" w:rsidRDefault="0068777C" w:rsidP="0036046B">
      <w:pPr>
        <w:pStyle w:val="Bullet"/>
        <w:numPr>
          <w:ilvl w:val="0"/>
          <w:numId w:val="8"/>
        </w:numPr>
        <w:spacing w:after="100"/>
      </w:pPr>
      <w:r w:rsidRPr="00256982">
        <w:t>manure deposited by grazing livestock in pasture, range and paddock (F</w:t>
      </w:r>
      <w:r w:rsidRPr="00256982">
        <w:rPr>
          <w:vertAlign w:val="subscript"/>
        </w:rPr>
        <w:t>PRP</w:t>
      </w:r>
      <w:r w:rsidRPr="00256982">
        <w:t>)</w:t>
      </w:r>
    </w:p>
    <w:p w14:paraId="1F84097A" w14:textId="77777777" w:rsidR="0068777C" w:rsidRPr="00256982" w:rsidRDefault="0068777C" w:rsidP="0036046B">
      <w:pPr>
        <w:pStyle w:val="Bullet"/>
        <w:numPr>
          <w:ilvl w:val="0"/>
          <w:numId w:val="8"/>
        </w:numPr>
        <w:spacing w:after="100"/>
      </w:pPr>
      <w:r w:rsidRPr="00256982">
        <w:t>decomposition of crop residues left on fields (F</w:t>
      </w:r>
      <w:r w:rsidRPr="00256982">
        <w:rPr>
          <w:vertAlign w:val="subscript"/>
        </w:rPr>
        <w:t>CR</w:t>
      </w:r>
      <w:r w:rsidRPr="00256982">
        <w:t>)</w:t>
      </w:r>
    </w:p>
    <w:p w14:paraId="276C49A4" w14:textId="77777777" w:rsidR="0068777C" w:rsidRPr="00256982" w:rsidRDefault="0068777C" w:rsidP="0036046B">
      <w:pPr>
        <w:pStyle w:val="Bullet"/>
        <w:numPr>
          <w:ilvl w:val="0"/>
          <w:numId w:val="8"/>
        </w:numPr>
        <w:spacing w:after="100"/>
      </w:pPr>
      <w:r w:rsidRPr="00256982">
        <w:t>nitrogen mineralisation associated with loss of soil organic matter (F</w:t>
      </w:r>
      <w:r w:rsidRPr="00256982">
        <w:rPr>
          <w:vertAlign w:val="subscript"/>
        </w:rPr>
        <w:t>SOM</w:t>
      </w:r>
      <w:r w:rsidRPr="00256982">
        <w:t>)</w:t>
      </w:r>
    </w:p>
    <w:p w14:paraId="0051D486" w14:textId="77777777" w:rsidR="0068777C" w:rsidRPr="00256982" w:rsidRDefault="0068777C" w:rsidP="0036046B">
      <w:pPr>
        <w:pStyle w:val="Bullet"/>
        <w:numPr>
          <w:ilvl w:val="0"/>
          <w:numId w:val="8"/>
        </w:numPr>
      </w:pPr>
      <w:r w:rsidRPr="00256982">
        <w:t>cultivation of organic soils.</w:t>
      </w:r>
    </w:p>
    <w:p w14:paraId="5E52D824" w14:textId="77777777" w:rsidR="0068777C" w:rsidRPr="00256982" w:rsidRDefault="0068777C" w:rsidP="0068777C">
      <w:pPr>
        <w:pStyle w:val="BodyText"/>
        <w:spacing w:before="100" w:after="100"/>
      </w:pPr>
      <w:r w:rsidRPr="00256982">
        <w:t>Many of these sources of emissions</w:t>
      </w:r>
      <w:r w:rsidRPr="00256982" w:rsidDel="00A44CC2">
        <w:t xml:space="preserve"> </w:t>
      </w:r>
      <w:r w:rsidRPr="00256982">
        <w:t>have N</w:t>
      </w:r>
      <w:r w:rsidRPr="00256982">
        <w:rPr>
          <w:vertAlign w:val="subscript"/>
        </w:rPr>
        <w:t>2</w:t>
      </w:r>
      <w:r w:rsidRPr="00256982">
        <w:t>O emissions from indirect pathways as well, and these calculations are described in detail in the section on indirect N</w:t>
      </w:r>
      <w:r w:rsidRPr="00256982">
        <w:rPr>
          <w:vertAlign w:val="subscript"/>
        </w:rPr>
        <w:t>2</w:t>
      </w:r>
      <w:r w:rsidRPr="00256982">
        <w:t xml:space="preserve">O emissions from </w:t>
      </w:r>
      <w:r w:rsidRPr="00256982">
        <w:rPr>
          <w:i/>
        </w:rPr>
        <w:t>Agricultural soils</w:t>
      </w:r>
      <w:r w:rsidRPr="00256982">
        <w:t xml:space="preserve">. </w:t>
      </w:r>
    </w:p>
    <w:p w14:paraId="2B3AD784" w14:textId="77777777" w:rsidR="0068777C" w:rsidRPr="00256982" w:rsidRDefault="0068777C" w:rsidP="0068777C">
      <w:pPr>
        <w:pStyle w:val="BodyText"/>
        <w:spacing w:before="100" w:after="100"/>
      </w:pPr>
      <w:r w:rsidRPr="00256982">
        <w:t>Emissions from the non-manure components of organic fertilisers (F</w:t>
      </w:r>
      <w:r w:rsidRPr="00256982">
        <w:rPr>
          <w:vertAlign w:val="subscript"/>
        </w:rPr>
        <w:t>ON</w:t>
      </w:r>
      <w:r w:rsidRPr="00256982">
        <w:t>) are not estimated in New Zealand’s inventory because they have been found to be insignificant. These components include sources such as dairy processing wastewater, compost sold to the rural sector, meat processing wastewater sand sludge, grape marc from the wine industry and vegetable processing wastewater applied to land. New Zealand commissioned research to review sources of organic waste but found that they are not significant for New Zealand (van der Weerden et al., 2014).</w:t>
      </w:r>
    </w:p>
    <w:p w14:paraId="0B6A9D2D" w14:textId="77777777" w:rsidR="0068777C" w:rsidRPr="00256982" w:rsidRDefault="0068777C" w:rsidP="0068777C">
      <w:pPr>
        <w:pStyle w:val="BodyText"/>
        <w:spacing w:before="100" w:after="100"/>
      </w:pPr>
      <w:r w:rsidRPr="00256982">
        <w:t>New Zealand’s methodology for determining the values for nitrogen inputs to soils for F</w:t>
      </w:r>
      <w:r w:rsidRPr="00256982">
        <w:rPr>
          <w:vertAlign w:val="subscript"/>
        </w:rPr>
        <w:t>AM</w:t>
      </w:r>
      <w:r w:rsidRPr="00256982">
        <w:t xml:space="preserve"> and F</w:t>
      </w:r>
      <w:r w:rsidRPr="00256982">
        <w:rPr>
          <w:vertAlign w:val="subscript"/>
        </w:rPr>
        <w:t>PRP</w:t>
      </w:r>
      <w:r w:rsidRPr="00256982">
        <w:t xml:space="preserve"> is consistent with other parts of the inventory. The underlying values for N</w:t>
      </w:r>
      <w:r w:rsidRPr="00256982">
        <w:rPr>
          <w:vertAlign w:val="subscript"/>
        </w:rPr>
        <w:t>ex</w:t>
      </w:r>
      <w:r w:rsidRPr="00256982">
        <w:t xml:space="preserve"> and for the allocation of excreta to animal waste management systems are the same as in the </w:t>
      </w:r>
      <w:r w:rsidRPr="00256982">
        <w:rPr>
          <w:i/>
        </w:rPr>
        <w:t>Manure management</w:t>
      </w:r>
      <w:r w:rsidRPr="00256982">
        <w:t xml:space="preserve"> category. These N</w:t>
      </w:r>
      <w:r w:rsidRPr="00256982">
        <w:rPr>
          <w:vertAlign w:val="subscript"/>
        </w:rPr>
        <w:t>ex</w:t>
      </w:r>
      <w:r w:rsidRPr="00256982">
        <w:t xml:space="preserve"> values have been calculated based on the same animal intake and animal productivity values used for calculating CH</w:t>
      </w:r>
      <w:r w:rsidRPr="00256982">
        <w:rPr>
          <w:vertAlign w:val="subscript"/>
        </w:rPr>
        <w:t>4</w:t>
      </w:r>
      <w:r w:rsidRPr="00256982">
        <w:t xml:space="preserve"> emissions for the different animal categories and species in the Tier 2 model (see section 5.1.3). This ensures the same base DMI values are used for both the CH</w:t>
      </w:r>
      <w:r w:rsidRPr="00256982">
        <w:rPr>
          <w:vertAlign w:val="subscript"/>
        </w:rPr>
        <w:t>4</w:t>
      </w:r>
      <w:r w:rsidRPr="00256982">
        <w:t xml:space="preserve"> and N</w:t>
      </w:r>
      <w:r w:rsidRPr="00256982">
        <w:rPr>
          <w:vertAlign w:val="subscript"/>
        </w:rPr>
        <w:t>2</w:t>
      </w:r>
      <w:r w:rsidRPr="00256982">
        <w:t>O emission calculations. Further details can be found in the inventory methodology document on the Ministry for Primary Industries website (</w:t>
      </w:r>
      <w:hyperlink r:id="rId128" w:history="1">
        <w:r w:rsidRPr="00256982">
          <w:rPr>
            <w:rStyle w:val="Hyperlink"/>
            <w:color w:val="auto"/>
          </w:rPr>
          <w:t>http://mpi.govt.nz/news-and-resources/statistics-and-forecasting/greenhouse-gas-reporting</w:t>
        </w:r>
      </w:hyperlink>
      <w:r w:rsidRPr="00256982">
        <w:t>).</w:t>
      </w:r>
    </w:p>
    <w:p w14:paraId="141C7FFF" w14:textId="77777777" w:rsidR="0068777C" w:rsidRPr="00256982" w:rsidRDefault="0068777C" w:rsidP="0068777C">
      <w:pPr>
        <w:pStyle w:val="Heading5"/>
      </w:pPr>
      <w:r w:rsidRPr="00256982">
        <w:lastRenderedPageBreak/>
        <w:t>Synthetic nitrogen fertiliser (CRF 3.D.1.1)</w:t>
      </w:r>
    </w:p>
    <w:p w14:paraId="24671967" w14:textId="77777777" w:rsidR="0068777C" w:rsidRPr="00256982" w:rsidRDefault="0068777C" w:rsidP="0068777C">
      <w:pPr>
        <w:pStyle w:val="BodyText"/>
        <w:spacing w:before="100" w:after="100"/>
      </w:pPr>
      <w:r w:rsidRPr="00256982">
        <w:t>Anthropogenic N</w:t>
      </w:r>
      <w:r w:rsidRPr="00256982">
        <w:rPr>
          <w:vertAlign w:val="subscript"/>
        </w:rPr>
        <w:t>2</w:t>
      </w:r>
      <w:r w:rsidRPr="00256982">
        <w:t>O emissions from synthetic nitrogen fertiliser are a relatively small proportion of total N</w:t>
      </w:r>
      <w:r w:rsidRPr="00256982">
        <w:rPr>
          <w:vertAlign w:val="subscript"/>
        </w:rPr>
        <w:t>2</w:t>
      </w:r>
      <w:r w:rsidRPr="00256982">
        <w:t xml:space="preserve">O emissions, but they have grown significantly since 1990. Most synthetic nitrogen fertiliser used in New Zealand is urea fertiliser applied to dairy pasture land to increase pasture growth during spring (September to November) and autumn (March to May). </w:t>
      </w:r>
    </w:p>
    <w:p w14:paraId="22464E00" w14:textId="77777777" w:rsidR="0068777C" w:rsidRPr="00256982" w:rsidRDefault="0068777C" w:rsidP="0068777C">
      <w:pPr>
        <w:pStyle w:val="BodyText"/>
        <w:spacing w:before="100" w:after="100"/>
      </w:pPr>
      <w:r w:rsidRPr="00256982">
        <w:t>In accordance with IPCC Guidelines (IPCC, 2006), the following equation is used to determine direct N</w:t>
      </w:r>
      <w:r w:rsidRPr="00256982">
        <w:rPr>
          <w:vertAlign w:val="subscript"/>
        </w:rPr>
        <w:t>2</w:t>
      </w:r>
      <w:r w:rsidRPr="00256982">
        <w:t xml:space="preserve">O emissions from the application of nitrogen-based fertiliser: </w:t>
      </w:r>
    </w:p>
    <w:bookmarkStart w:id="737" w:name="_MON_1546322146"/>
    <w:bookmarkEnd w:id="737"/>
    <w:p w14:paraId="7E2B17B5" w14:textId="77777777" w:rsidR="0068777C" w:rsidRPr="00256982" w:rsidRDefault="0068777C" w:rsidP="0068777C">
      <w:pPr>
        <w:pStyle w:val="BodyText"/>
        <w:spacing w:before="80" w:after="80"/>
      </w:pPr>
      <w:r w:rsidRPr="00256982">
        <w:object w:dxaOrig="7889" w:dyaOrig="450" w14:anchorId="41E23248">
          <v:shape id="_x0000_i1094" type="#_x0000_t75" style="width:389.25pt;height:24pt" o:ole="">
            <v:imagedata r:id="rId129" o:title=""/>
          </v:shape>
          <o:OLEObject Type="Embed" ProgID="Word.Document.12" ShapeID="_x0000_i1094" DrawAspect="Content" ObjectID="_1616241205" r:id="rId130">
            <o:FieldCodes>\s</o:FieldCodes>
          </o:OLEObject>
        </w:object>
      </w:r>
    </w:p>
    <w:p w14:paraId="5639866B" w14:textId="77777777" w:rsidR="0068777C" w:rsidRPr="00256982" w:rsidRDefault="0068777C" w:rsidP="0068777C">
      <w:pPr>
        <w:keepNext/>
        <w:spacing w:before="100"/>
        <w:ind w:left="964" w:hanging="964"/>
      </w:pPr>
      <w:r w:rsidRPr="00256982">
        <w:t>Where:</w:t>
      </w:r>
      <w:r w:rsidRPr="00256982">
        <w:tab/>
        <w:t>F</w:t>
      </w:r>
      <w:r w:rsidRPr="00256982">
        <w:rPr>
          <w:vertAlign w:val="subscript"/>
        </w:rPr>
        <w:t>SN</w:t>
      </w:r>
      <w:r w:rsidRPr="00256982">
        <w:t xml:space="preserve"> is the total annual amount of synthetic nitrogen fertiliser applied to soils (urea</w:t>
      </w:r>
      <w:r w:rsidRPr="00256982">
        <w:noBreakHyphen/>
        <w:t>based and other fertilisers)</w:t>
      </w:r>
    </w:p>
    <w:p w14:paraId="77E6A6E3" w14:textId="77777777" w:rsidR="0068777C" w:rsidRPr="00256982" w:rsidRDefault="0068777C" w:rsidP="0068777C">
      <w:pPr>
        <w:keepNext/>
        <w:spacing w:before="100"/>
        <w:ind w:left="964" w:hanging="964"/>
      </w:pPr>
      <w:r w:rsidRPr="00256982">
        <w:tab/>
        <w:t>EF</w:t>
      </w:r>
      <w:r w:rsidRPr="00256982">
        <w:rPr>
          <w:vertAlign w:val="subscript"/>
        </w:rPr>
        <w:t>1(UREA)</w:t>
      </w:r>
      <w:r w:rsidRPr="00256982">
        <w:t xml:space="preserve"> is the proportion of direct N</w:t>
      </w:r>
      <w:r w:rsidRPr="00256982">
        <w:rPr>
          <w:vertAlign w:val="subscript"/>
        </w:rPr>
        <w:t>2</w:t>
      </w:r>
      <w:r w:rsidRPr="00256982">
        <w:t>O emissions from nitrogen input to the soil for urea fertilisers (0.0059; table 5.5.2), and</w:t>
      </w:r>
    </w:p>
    <w:p w14:paraId="669D4182" w14:textId="77777777" w:rsidR="0068777C" w:rsidRPr="00256982" w:rsidRDefault="0068777C" w:rsidP="0068777C">
      <w:pPr>
        <w:keepNext/>
        <w:spacing w:before="100" w:after="120"/>
        <w:ind w:left="964" w:hanging="964"/>
      </w:pPr>
      <w:r w:rsidRPr="00256982">
        <w:tab/>
        <w:t>EF</w:t>
      </w:r>
      <w:r w:rsidRPr="00256982">
        <w:rPr>
          <w:vertAlign w:val="subscript"/>
        </w:rPr>
        <w:t>1</w:t>
      </w:r>
      <w:r w:rsidRPr="00256982">
        <w:t xml:space="preserve"> is the proportion of direct N</w:t>
      </w:r>
      <w:r w:rsidRPr="00256982">
        <w:rPr>
          <w:vertAlign w:val="subscript"/>
        </w:rPr>
        <w:t>2</w:t>
      </w:r>
      <w:r w:rsidRPr="00256982">
        <w:t>O emissions from nitrogen input to the soil (0.01; table 5.5.2).</w:t>
      </w:r>
    </w:p>
    <w:p w14:paraId="39E6F98F" w14:textId="77777777" w:rsidR="0068777C" w:rsidRPr="00256982" w:rsidRDefault="0068777C" w:rsidP="0068777C">
      <w:pPr>
        <w:pStyle w:val="BodyText"/>
        <w:spacing w:before="100" w:after="100"/>
      </w:pPr>
      <w:r w:rsidRPr="00256982">
        <w:t>Data on synthetic fertiliser use is provided by the Fertiliser Association of New Zealand from sales records for 1990 to 2017.</w:t>
      </w:r>
    </w:p>
    <w:p w14:paraId="6D00BAEA" w14:textId="77777777" w:rsidR="0068777C" w:rsidRPr="00256982" w:rsidRDefault="0068777C" w:rsidP="0068777C">
      <w:pPr>
        <w:pStyle w:val="BodyText"/>
        <w:spacing w:before="100" w:after="100"/>
      </w:pPr>
      <w:r w:rsidRPr="00256982">
        <w:t>Since 1990, there has been a large increase in nitrogen</w:t>
      </w:r>
      <w:r w:rsidRPr="00256982" w:rsidDel="00384723">
        <w:t xml:space="preserve"> </w:t>
      </w:r>
      <w:r w:rsidRPr="00256982">
        <w:t xml:space="preserve">applied through synthetic fertiliser, from 59,265 tonnes in 1990 to 442,900 tonnes in 2017 (see figure 5.5.2). At the same time, the proportion of urea fertiliser applied has increased from around 40 per cent to over 80 per cent of all synthetic nitrogen fertiliser (see figure 5.5.3). </w:t>
      </w:r>
    </w:p>
    <w:p w14:paraId="500F864A" w14:textId="77777777" w:rsidR="0068777C" w:rsidRPr="00256982" w:rsidRDefault="0068777C" w:rsidP="0068777C">
      <w:pPr>
        <w:pStyle w:val="Figure"/>
      </w:pPr>
      <w:bookmarkStart w:id="738" w:name="_Toc447275696"/>
      <w:bookmarkStart w:id="739" w:name="_Toc481752015"/>
      <w:bookmarkStart w:id="740" w:name="_Toc507158474"/>
      <w:bookmarkStart w:id="741" w:name="_Toc511116965"/>
      <w:bookmarkStart w:id="742" w:name="_Toc5269695"/>
      <w:r w:rsidRPr="00256982">
        <w:t>Figure 5.5.2</w:t>
      </w:r>
      <w:r w:rsidRPr="00256982">
        <w:tab/>
        <w:t>Synthetic nitrogen fertiliser use in New Zealand from 1990 to </w:t>
      </w:r>
      <w:bookmarkEnd w:id="738"/>
      <w:bookmarkEnd w:id="739"/>
      <w:bookmarkEnd w:id="740"/>
      <w:bookmarkEnd w:id="741"/>
      <w:r w:rsidRPr="00256982">
        <w:rPr>
          <w:color w:val="000000"/>
        </w:rPr>
        <w:t>2017</w:t>
      </w:r>
      <w:bookmarkEnd w:id="742"/>
    </w:p>
    <w:p w14:paraId="7E9F9248" w14:textId="198FAA3F" w:rsidR="0068777C" w:rsidRPr="00256982" w:rsidRDefault="00590491" w:rsidP="0068777C">
      <w:r>
        <w:rPr>
          <w:lang w:eastAsia="en-NZ"/>
        </w:rPr>
        <w:pict w14:anchorId="5EE886FE">
          <v:shape id="Chart 68" o:spid="_x0000_i1095" type="#_x0000_t75" style="width:426pt;height:278.25pt;visibility:visible" o:gfxdata="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">
            <v:imagedata r:id="rId131" o:title=""/>
            <o:lock v:ext="edit" aspectratio="f"/>
          </v:shape>
        </w:pict>
      </w:r>
      <w:bookmarkStart w:id="743" w:name="_MON_1605429256"/>
      <w:bookmarkEnd w:id="743"/>
    </w:p>
    <w:p w14:paraId="4ABBC659" w14:textId="77777777" w:rsidR="0068777C" w:rsidRPr="00256982" w:rsidRDefault="0068777C" w:rsidP="0068777C">
      <w:pPr>
        <w:pStyle w:val="Source"/>
      </w:pPr>
      <w:r w:rsidRPr="00256982">
        <w:rPr>
          <w:b/>
        </w:rPr>
        <w:t xml:space="preserve">Source: </w:t>
      </w:r>
      <w:r w:rsidRPr="00256982">
        <w:t>Fertiliser Association of New Zealand</w:t>
      </w:r>
    </w:p>
    <w:p w14:paraId="20B51748" w14:textId="77777777" w:rsidR="0068777C" w:rsidRPr="00256982" w:rsidRDefault="0068777C" w:rsidP="0068777C">
      <w:pPr>
        <w:pStyle w:val="Figure"/>
        <w:spacing w:before="360"/>
        <w:ind w:left="0" w:firstLine="0"/>
        <w:rPr>
          <w:lang w:eastAsia="en-NZ"/>
        </w:rPr>
      </w:pPr>
      <w:bookmarkStart w:id="744" w:name="_Toc447275697"/>
      <w:bookmarkStart w:id="745" w:name="_Toc481752016"/>
      <w:bookmarkStart w:id="746" w:name="_Toc507158475"/>
      <w:bookmarkStart w:id="747" w:name="_Toc511116966"/>
      <w:bookmarkStart w:id="748" w:name="_Toc5269696"/>
      <w:r w:rsidRPr="00256982">
        <w:lastRenderedPageBreak/>
        <w:t>Figure 5.5.3</w:t>
      </w:r>
      <w:r w:rsidRPr="00256982">
        <w:tab/>
        <w:t>Percentage of synthetic nitrogen fertiliser derived from urea from 1990 to</w:t>
      </w:r>
      <w:bookmarkEnd w:id="744"/>
      <w:bookmarkEnd w:id="745"/>
      <w:r w:rsidRPr="00256982">
        <w:t> </w:t>
      </w:r>
      <w:bookmarkEnd w:id="746"/>
      <w:bookmarkEnd w:id="747"/>
      <w:r w:rsidRPr="00256982">
        <w:t>2017</w:t>
      </w:r>
      <w:bookmarkEnd w:id="748"/>
    </w:p>
    <w:p w14:paraId="5E4ADB8D" w14:textId="505266DE" w:rsidR="0068777C" w:rsidRPr="00256982" w:rsidRDefault="00590491" w:rsidP="0068777C">
      <w:pPr>
        <w:rPr>
          <w:lang w:eastAsia="en-NZ"/>
        </w:rPr>
      </w:pPr>
      <w:r>
        <w:rPr>
          <w:lang w:eastAsia="en-NZ"/>
        </w:rPr>
        <w:pict w14:anchorId="481020EA">
          <v:shape id="_x0000_i1096" type="#_x0000_t75" style="width:415.5pt;height:250.5pt;visibility:visible" o:gfxdata="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">
            <v:imagedata r:id="rId132" o:title=""/>
            <o:lock v:ext="edit" aspectratio="f"/>
          </v:shape>
        </w:pict>
      </w:r>
    </w:p>
    <w:p w14:paraId="78D5AB7A" w14:textId="77777777" w:rsidR="0068777C" w:rsidRPr="00256982" w:rsidRDefault="0068777C" w:rsidP="0068777C">
      <w:pPr>
        <w:pStyle w:val="Source"/>
      </w:pPr>
      <w:r w:rsidRPr="00256982">
        <w:rPr>
          <w:b/>
        </w:rPr>
        <w:t>Sources:</w:t>
      </w:r>
      <w:r w:rsidRPr="00256982">
        <w:t xml:space="preserve"> International Fertiliser Industry Association, Fertiliser Association of New Zealand</w:t>
      </w:r>
    </w:p>
    <w:p w14:paraId="38205FCE" w14:textId="77777777" w:rsidR="0068777C" w:rsidRPr="00256982" w:rsidRDefault="0068777C" w:rsidP="005369D9">
      <w:pPr>
        <w:pStyle w:val="BodyText"/>
        <w:spacing w:before="160"/>
      </w:pPr>
      <w:r w:rsidRPr="00256982">
        <w:t>The increase in synthetic nitrogen fertiliser use since 1990 has resulted in an increase in emissions from this category, from 230.3 kt CO</w:t>
      </w:r>
      <w:r w:rsidRPr="00256982">
        <w:rPr>
          <w:vertAlign w:val="subscript"/>
        </w:rPr>
        <w:t>2</w:t>
      </w:r>
      <w:r w:rsidRPr="00256982">
        <w:t>-e in 1990 (0.7 per cent of total agricultural emissions) to 1,365.6 kt CO</w:t>
      </w:r>
      <w:r w:rsidRPr="00256982">
        <w:rPr>
          <w:vertAlign w:val="subscript"/>
        </w:rPr>
        <w:t>2</w:t>
      </w:r>
      <w:r w:rsidRPr="00256982">
        <w:noBreakHyphen/>
        <w:t xml:space="preserve">e in 2017 (3.5 per cent of agricultural emissions). </w:t>
      </w:r>
    </w:p>
    <w:p w14:paraId="4D083EAC" w14:textId="77777777" w:rsidR="0068777C" w:rsidRPr="00256982" w:rsidRDefault="0068777C" w:rsidP="0068777C">
      <w:pPr>
        <w:pStyle w:val="Heading5"/>
      </w:pPr>
      <w:r w:rsidRPr="00256982">
        <w:t>Organic nitrogen fertilisers (CRF 3.D.1.2)</w:t>
      </w:r>
    </w:p>
    <w:p w14:paraId="50592859" w14:textId="77777777" w:rsidR="0068777C" w:rsidRPr="00256982" w:rsidRDefault="0068777C" w:rsidP="0068777C">
      <w:pPr>
        <w:pStyle w:val="BodyText"/>
        <w:spacing w:before="100" w:after="100"/>
      </w:pPr>
      <w:r w:rsidRPr="00256982">
        <w:t>In New Zealand, emissions from organic nitrogen fertilisers are solely from animal manure that is spread on pasture after collection in manure management systems. Most animal manure in New Zealand is excreted directly onto pasture, but some manure from dairy farms is kept in manure management systems and applied to soils as an organic fertiliser (see table 5.3.2). Some manure is also collected but not stored; rather, it is spread directly onto pasture daily (e.g., swine manure and some dairy manure). The calculation for animal waste includes all manure that is spread on agricultural soils, irrespective of the animal waste management system where it was initially stored. This calculation excludes manure deposited directly on pasture by grazing livestock, which is covered in the next section (urine and dung deposited by grazing animals (CRF 3.D.1.3)). Animal manure is not used for feed, fuel or construction in New Zealand.</w:t>
      </w:r>
    </w:p>
    <w:p w14:paraId="076DAC56" w14:textId="77777777" w:rsidR="0068777C" w:rsidRPr="00256982" w:rsidRDefault="0068777C" w:rsidP="0068777C">
      <w:pPr>
        <w:pStyle w:val="BodyText"/>
        <w:spacing w:before="100" w:after="100"/>
      </w:pPr>
      <w:r w:rsidRPr="00256982">
        <w:t xml:space="preserve">New Zealand has developed a country-specific emission factor for dairy cattle manure applied to soils of 0.0025 (van der Weerden et al., 2016a, 2016b). This value was based on a meta-analysis of field trials carried out in New Zealand that measured emissions from dairy cattle manure on soil. </w:t>
      </w:r>
    </w:p>
    <w:p w14:paraId="15791618" w14:textId="77777777" w:rsidR="0068777C" w:rsidRPr="00256982" w:rsidRDefault="0068777C" w:rsidP="0068777C">
      <w:pPr>
        <w:pStyle w:val="BodyText"/>
        <w:spacing w:before="100" w:after="100"/>
      </w:pPr>
      <w:r w:rsidRPr="00256982">
        <w:t>Manure from poultry and swine spread onto soil has an emission factor of 0.01, which is consistent with the IPCC default.</w:t>
      </w:r>
    </w:p>
    <w:p w14:paraId="615148B2" w14:textId="77777777" w:rsidR="0068777C" w:rsidRPr="00256982" w:rsidRDefault="0068777C" w:rsidP="005369D9">
      <w:pPr>
        <w:pStyle w:val="BodyText"/>
        <w:spacing w:before="100" w:after="100"/>
      </w:pPr>
      <w:r w:rsidRPr="00256982">
        <w:t>The following equation is used to determine direct N</w:t>
      </w:r>
      <w:r w:rsidRPr="00256982">
        <w:rPr>
          <w:vertAlign w:val="subscript"/>
        </w:rPr>
        <w:t>2</w:t>
      </w:r>
      <w:r w:rsidRPr="00256982">
        <w:t>O</w:t>
      </w:r>
      <w:r w:rsidRPr="00256982">
        <w:rPr>
          <w:spacing w:val="-2"/>
        </w:rPr>
        <w:t xml:space="preserve"> </w:t>
      </w:r>
      <w:r w:rsidRPr="00256982">
        <w:t>emissions from the application of animal manure to soil:</w:t>
      </w:r>
    </w:p>
    <w:bookmarkStart w:id="749" w:name="_MON_1543746072"/>
    <w:bookmarkEnd w:id="749"/>
    <w:p w14:paraId="065EB46D" w14:textId="77777777" w:rsidR="0068777C" w:rsidRPr="00256982" w:rsidRDefault="005369D9" w:rsidP="005369D9">
      <w:pPr>
        <w:pStyle w:val="BodyText"/>
        <w:spacing w:before="0" w:after="80"/>
        <w:jc w:val="center"/>
      </w:pPr>
      <w:r w:rsidRPr="00256982">
        <w:object w:dxaOrig="6524" w:dyaOrig="450" w14:anchorId="1DAFC275">
          <v:shape id="_x0000_i1097" type="#_x0000_t75" style="width:327pt;height:22.5pt" o:ole="">
            <v:imagedata r:id="rId133" o:title="" cropright="6115f"/>
          </v:shape>
          <o:OLEObject Type="Embed" ProgID="Word.Document.12" ShapeID="_x0000_i1097" DrawAspect="Content" ObjectID="_1616241206" r:id="rId134">
            <o:FieldCodes>\s</o:FieldCodes>
          </o:OLEObject>
        </w:object>
      </w:r>
    </w:p>
    <w:p w14:paraId="7A3C7251" w14:textId="50FE6471" w:rsidR="0068777C" w:rsidRPr="00256982" w:rsidRDefault="0068777C" w:rsidP="005369D9">
      <w:pPr>
        <w:spacing w:before="80"/>
        <w:ind w:left="964" w:hanging="964"/>
        <w:rPr>
          <w:spacing w:val="-2"/>
        </w:rPr>
      </w:pPr>
      <w:r w:rsidRPr="00256982">
        <w:t>Where:</w:t>
      </w:r>
      <w:r w:rsidRPr="00256982">
        <w:tab/>
      </w:r>
      <w:r w:rsidRPr="00256982">
        <w:rPr>
          <w:spacing w:val="-2"/>
        </w:rPr>
        <w:t>F</w:t>
      </w:r>
      <w:r w:rsidRPr="00256982">
        <w:rPr>
          <w:spacing w:val="-2"/>
          <w:vertAlign w:val="subscript"/>
        </w:rPr>
        <w:t>AM</w:t>
      </w:r>
      <w:r w:rsidRPr="00256982">
        <w:rPr>
          <w:spacing w:val="-2"/>
        </w:rPr>
        <w:t xml:space="preserve"> is the total amount of animal manure nitrogen (swine and poultry) applied to soils from manure management systems (other than pasture, range and paddock), </w:t>
      </w:r>
      <w:r w:rsidR="005369D9" w:rsidRPr="00256982">
        <w:rPr>
          <w:spacing w:val="-2"/>
        </w:rPr>
        <w:t xml:space="preserve">which </w:t>
      </w:r>
      <w:r w:rsidRPr="00256982">
        <w:rPr>
          <w:spacing w:val="-2"/>
        </w:rPr>
        <w:t>is derived as a fraction of the nitrogen excretion rates, N</w:t>
      </w:r>
      <w:r w:rsidRPr="00256982">
        <w:rPr>
          <w:spacing w:val="-2"/>
          <w:vertAlign w:val="subscript"/>
        </w:rPr>
        <w:t>ex</w:t>
      </w:r>
      <w:r w:rsidRPr="00256982">
        <w:rPr>
          <w:spacing w:val="-2"/>
        </w:rPr>
        <w:t xml:space="preserve">, described in section 5.3.2 </w:t>
      </w:r>
    </w:p>
    <w:p w14:paraId="7BFA7A85" w14:textId="77777777" w:rsidR="0068777C" w:rsidRPr="00256982" w:rsidRDefault="0068777C" w:rsidP="0068777C">
      <w:pPr>
        <w:spacing w:before="100"/>
        <w:ind w:left="964" w:hanging="964"/>
      </w:pPr>
      <w:r w:rsidRPr="00256982">
        <w:lastRenderedPageBreak/>
        <w:tab/>
        <w:t>EF</w:t>
      </w:r>
      <w:r w:rsidRPr="00256982">
        <w:rPr>
          <w:vertAlign w:val="subscript"/>
        </w:rPr>
        <w:t>1</w:t>
      </w:r>
      <w:r w:rsidRPr="00256982">
        <w:t xml:space="preserve"> is the proportion of direct N</w:t>
      </w:r>
      <w:r w:rsidRPr="00256982">
        <w:rPr>
          <w:vertAlign w:val="subscript"/>
        </w:rPr>
        <w:t>2</w:t>
      </w:r>
      <w:r w:rsidRPr="00256982">
        <w:t>O emissions from animal manure (swine and poultry) applied to soils (0.01; table 5.5.2),</w:t>
      </w:r>
      <w:r w:rsidRPr="00256982" w:rsidDel="00380393">
        <w:t xml:space="preserve"> </w:t>
      </w:r>
      <w:r w:rsidRPr="00256982">
        <w:t>and</w:t>
      </w:r>
    </w:p>
    <w:p w14:paraId="533B2C23" w14:textId="77777777" w:rsidR="0068777C" w:rsidRPr="00256982" w:rsidRDefault="0068777C" w:rsidP="0068777C">
      <w:pPr>
        <w:spacing w:before="100"/>
        <w:ind w:left="964" w:hanging="964"/>
      </w:pPr>
      <w:r w:rsidRPr="00256982">
        <w:tab/>
        <w:t>F</w:t>
      </w:r>
      <w:r w:rsidRPr="00256982">
        <w:rPr>
          <w:vertAlign w:val="subscript"/>
        </w:rPr>
        <w:t>AM(DAIRY)</w:t>
      </w:r>
      <w:r w:rsidRPr="00256982">
        <w:t xml:space="preserve"> is the total amount of animal manure nitrogen (dairy) applied to soils from manure management systems (other than pasture, range and paddock), which is derived as a fraction of the nitrogen excretion rates, Nex, described in section 5.3.2</w:t>
      </w:r>
    </w:p>
    <w:p w14:paraId="2019233E" w14:textId="77777777" w:rsidR="0068777C" w:rsidRPr="00256982" w:rsidDel="00380393" w:rsidRDefault="0068777C" w:rsidP="0068777C">
      <w:pPr>
        <w:spacing w:before="100" w:after="120"/>
        <w:ind w:left="964" w:hanging="964"/>
      </w:pPr>
      <w:r w:rsidRPr="00256982">
        <w:tab/>
        <w:t>EF</w:t>
      </w:r>
      <w:r w:rsidRPr="00256982">
        <w:rPr>
          <w:vertAlign w:val="subscript"/>
        </w:rPr>
        <w:t>1(DAIRY)</w:t>
      </w:r>
      <w:r w:rsidRPr="00256982">
        <w:t xml:space="preserve"> is the proportion of direct N</w:t>
      </w:r>
      <w:r w:rsidRPr="00256982">
        <w:rPr>
          <w:vertAlign w:val="subscript"/>
        </w:rPr>
        <w:t>2</w:t>
      </w:r>
      <w:r w:rsidRPr="00256982">
        <w:t>O emissions from animal manure (dairy cattle) applied to soils (0.0025; table 5.5.2)</w:t>
      </w:r>
      <w:r w:rsidRPr="00256982" w:rsidDel="00380393">
        <w:t xml:space="preserve">. </w:t>
      </w:r>
    </w:p>
    <w:p w14:paraId="7F69C3E8" w14:textId="77777777" w:rsidR="0068777C" w:rsidRPr="00256982" w:rsidRDefault="0068777C" w:rsidP="0068777C">
      <w:pPr>
        <w:pStyle w:val="BodyText"/>
        <w:spacing w:before="100" w:after="100"/>
      </w:pPr>
      <w:r w:rsidRPr="00256982">
        <w:t xml:space="preserve">The IPCC Guidelines (IPCC, 2006) recommend that non-manure components of organic nitrogen applied to agricultural soils, such as compost sewage sludge and rendering waste, are included under organic fertilisers. New Zealand commissioned research on sources of organic waste and found that these activities are not significant for New Zealand (van der Weerden et al., 2014). They account for approximately 0.025 per cent of national gross greenhouse gas emissions and, therefore, this category has been reported as ‘not estimated’ (NE). </w:t>
      </w:r>
    </w:p>
    <w:p w14:paraId="178D98F0" w14:textId="77777777" w:rsidR="0068777C" w:rsidRPr="00256982" w:rsidRDefault="0068777C" w:rsidP="0068777C">
      <w:pPr>
        <w:pStyle w:val="BodyText"/>
        <w:spacing w:before="100" w:after="100"/>
      </w:pPr>
      <w:r w:rsidRPr="00256982">
        <w:t>The research assessed a range of potential sources including dairy processing wastewater, compost sold to the rural sector, blood and bone fertiliser, meat processing wastewater and sludge, grape marc from the wine industry, vegetable processing wastewater and sewage sludge applied to land. No brewery waste is applied to soils in New Zealand because spent yeast is used in the food industry to manufacture a yeast spread, and application of sewage sludge to agricultural land is reported under the Waste sector.</w:t>
      </w:r>
    </w:p>
    <w:p w14:paraId="2E30FA31" w14:textId="74E0F806" w:rsidR="0068777C" w:rsidRPr="00256982" w:rsidDel="00A405B4" w:rsidRDefault="0068777C" w:rsidP="0068777C">
      <w:pPr>
        <w:pStyle w:val="BodyText"/>
        <w:spacing w:before="100" w:after="100"/>
      </w:pPr>
      <w:r w:rsidRPr="00256982">
        <w:t>Because most livestock manure in New Zealand is excreted directly onto pasture, emissions from the organic nitrogen fertilisers category are relatively small. In 2017, N</w:t>
      </w:r>
      <w:r w:rsidRPr="00256982">
        <w:rPr>
          <w:vertAlign w:val="subscript"/>
        </w:rPr>
        <w:t>2</w:t>
      </w:r>
      <w:r w:rsidRPr="00256982">
        <w:t>O emissions from this source contributed 78.5 kt CO</w:t>
      </w:r>
      <w:r w:rsidRPr="00256982">
        <w:rPr>
          <w:vertAlign w:val="subscript"/>
        </w:rPr>
        <w:t>2</w:t>
      </w:r>
      <w:r w:rsidRPr="00256982">
        <w:t xml:space="preserve">-e (0.9 per cent of emissions from </w:t>
      </w:r>
      <w:r w:rsidRPr="00256982">
        <w:rPr>
          <w:i/>
        </w:rPr>
        <w:t>Agricultural soils</w:t>
      </w:r>
      <w:r w:rsidRPr="00256982">
        <w:t>, and 0.2</w:t>
      </w:r>
      <w:r w:rsidR="00B479C6" w:rsidRPr="00256982">
        <w:t> </w:t>
      </w:r>
      <w:r w:rsidRPr="00256982">
        <w:t>per cent of total agricultural emissions). This is an increase of 41.7 kt CO</w:t>
      </w:r>
      <w:r w:rsidRPr="00256982">
        <w:rPr>
          <w:vertAlign w:val="subscript"/>
        </w:rPr>
        <w:t>2</w:t>
      </w:r>
      <w:r w:rsidRPr="00256982">
        <w:t>-e (113.1 per cent) from the 1990 level of 36.8 kt CO</w:t>
      </w:r>
      <w:r w:rsidRPr="00256982">
        <w:rPr>
          <w:vertAlign w:val="subscript"/>
        </w:rPr>
        <w:t>2</w:t>
      </w:r>
      <w:r w:rsidRPr="00256982">
        <w:t xml:space="preserve">-e. </w:t>
      </w:r>
    </w:p>
    <w:p w14:paraId="27FAFCD3" w14:textId="77777777" w:rsidR="0068777C" w:rsidRPr="00256982" w:rsidRDefault="0068777C" w:rsidP="0068777C">
      <w:pPr>
        <w:pStyle w:val="Heading5"/>
      </w:pPr>
      <w:r w:rsidRPr="00256982">
        <w:t>Urine and dung deposited by grazing animals (CRF 3.D.1.3)</w:t>
      </w:r>
    </w:p>
    <w:p w14:paraId="62C1E804" w14:textId="77777777" w:rsidR="0068777C" w:rsidRPr="00256982" w:rsidRDefault="0068777C" w:rsidP="0068777C">
      <w:pPr>
        <w:pStyle w:val="BodyText"/>
        <w:spacing w:after="100"/>
      </w:pPr>
      <w:r w:rsidRPr="00256982">
        <w:t xml:space="preserve">Most livestock in New Zealand are grazed outdoors on pasture, with around 92.7 per cent of dairy cattle excreta and 100 per cent of non-dairy cattle, sheep, deer and other livestock excreta falling on pasture (see table 5.3.2). </w:t>
      </w:r>
    </w:p>
    <w:p w14:paraId="43EED897" w14:textId="77777777" w:rsidR="0068777C" w:rsidRPr="00256982" w:rsidRDefault="0068777C" w:rsidP="0068777C">
      <w:pPr>
        <w:pStyle w:val="BodyText"/>
        <w:spacing w:before="100" w:after="100"/>
      </w:pPr>
      <w:r w:rsidRPr="00256982">
        <w:t>The following equations are used to determine direct N</w:t>
      </w:r>
      <w:r w:rsidRPr="00256982">
        <w:rPr>
          <w:vertAlign w:val="subscript"/>
        </w:rPr>
        <w:t>2</w:t>
      </w:r>
      <w:r w:rsidRPr="00256982">
        <w:t>O emissions from grazing livestock manure.</w:t>
      </w:r>
    </w:p>
    <w:p w14:paraId="3CF7EB5A" w14:textId="77777777" w:rsidR="0068777C" w:rsidRPr="00256982" w:rsidRDefault="0068777C" w:rsidP="0068777C">
      <w:pPr>
        <w:pStyle w:val="BodyText"/>
        <w:keepNext/>
      </w:pPr>
      <w:r w:rsidRPr="00256982">
        <w:t xml:space="preserve">For sheep, cattle and deer urine only: </w:t>
      </w:r>
    </w:p>
    <w:bookmarkStart w:id="750" w:name="_MON_1608113144"/>
    <w:bookmarkEnd w:id="750"/>
    <w:p w14:paraId="0E0CB503" w14:textId="77777777" w:rsidR="0068777C" w:rsidRPr="00256982" w:rsidRDefault="00044580" w:rsidP="0068777C">
      <w:pPr>
        <w:pStyle w:val="BodyText"/>
        <w:keepNext/>
        <w:spacing w:before="0" w:after="60"/>
      </w:pPr>
      <w:r w:rsidRPr="00256982">
        <w:object w:dxaOrig="7709" w:dyaOrig="699" w14:anchorId="7AC3D539">
          <v:shape id="_x0000_i1098" type="#_x0000_t75" style="width:384pt;height:34.5pt" o:ole="">
            <v:imagedata r:id="rId135" o:title=""/>
          </v:shape>
          <o:OLEObject Type="Embed" ProgID="Word.Document.12" ShapeID="_x0000_i1098" DrawAspect="Content" ObjectID="_1616241207" r:id="rId136">
            <o:FieldCodes>\s</o:FieldCodes>
          </o:OLEObject>
        </w:object>
      </w:r>
    </w:p>
    <w:p w14:paraId="1888FB59" w14:textId="77777777" w:rsidR="0068777C" w:rsidRPr="00256982" w:rsidRDefault="0068777C" w:rsidP="0068777C">
      <w:pPr>
        <w:pStyle w:val="BodyText"/>
        <w:spacing w:after="60"/>
      </w:pPr>
      <w:r w:rsidRPr="00256982">
        <w:t>For sheep, cattle and deer dung only:</w:t>
      </w:r>
    </w:p>
    <w:bookmarkStart w:id="751" w:name="_MON_1608112789"/>
    <w:bookmarkEnd w:id="751"/>
    <w:p w14:paraId="5A1F5534" w14:textId="77777777" w:rsidR="0068777C" w:rsidRPr="00256982" w:rsidRDefault="0068777C" w:rsidP="0068777C">
      <w:pPr>
        <w:pStyle w:val="BodyText"/>
        <w:spacing w:before="0" w:after="80"/>
      </w:pPr>
      <w:r w:rsidRPr="00256982">
        <w:object w:dxaOrig="7889" w:dyaOrig="637" w14:anchorId="45D7D9ED">
          <v:shape id="_x0000_i1099" type="#_x0000_t75" style="width:396.75pt;height:35.25pt" o:ole="">
            <v:imagedata r:id="rId137" o:title=""/>
          </v:shape>
          <o:OLEObject Type="Embed" ProgID="Word.Document.12" ShapeID="_x0000_i1099" DrawAspect="Content" ObjectID="_1616241208" r:id="rId138">
            <o:FieldCodes>\s</o:FieldCodes>
          </o:OLEObject>
        </w:object>
      </w:r>
    </w:p>
    <w:p w14:paraId="7F149DDA" w14:textId="77777777" w:rsidR="0068777C" w:rsidRPr="00256982" w:rsidRDefault="0068777C" w:rsidP="0068777C">
      <w:pPr>
        <w:pStyle w:val="BodyText"/>
        <w:keepNext/>
      </w:pPr>
      <w:r w:rsidRPr="00256982">
        <w:t xml:space="preserve">For urine and dung for all other livestock categories: </w:t>
      </w:r>
    </w:p>
    <w:p w14:paraId="54F8BEF6" w14:textId="77777777" w:rsidR="0068777C" w:rsidRPr="00256982" w:rsidRDefault="0068777C" w:rsidP="0068777C">
      <w:pPr>
        <w:pStyle w:val="BodyText"/>
        <w:keepNext/>
        <w:spacing w:before="0" w:after="60"/>
      </w:pPr>
      <w:r w:rsidRPr="00256982">
        <w:object w:dxaOrig="7889" w:dyaOrig="637" w14:anchorId="04D03A6F">
          <v:shape id="_x0000_i1100" type="#_x0000_t75" style="width:389.25pt;height:35.25pt" o:ole="">
            <v:imagedata r:id="rId139" o:title=""/>
          </v:shape>
          <o:OLEObject Type="Embed" ProgID="Word.Document.12" ShapeID="_x0000_i1100" DrawAspect="Content" ObjectID="_1616241209" r:id="rId140">
            <o:FieldCodes>\s</o:FieldCodes>
          </o:OLEObject>
        </w:object>
      </w:r>
    </w:p>
    <w:p w14:paraId="65C2CC7D" w14:textId="77777777" w:rsidR="0068777C" w:rsidRPr="00256982" w:rsidRDefault="0068777C" w:rsidP="0068777C">
      <w:pPr>
        <w:spacing w:before="120"/>
        <w:ind w:left="851" w:hanging="851"/>
      </w:pPr>
      <w:r w:rsidRPr="00256982">
        <w:t xml:space="preserve">Where: </w:t>
      </w:r>
      <w:r w:rsidRPr="00256982">
        <w:tab/>
        <w:t>N</w:t>
      </w:r>
      <w:r w:rsidRPr="00256982">
        <w:rPr>
          <w:vertAlign w:val="subscript"/>
        </w:rPr>
        <w:t xml:space="preserve">T </w:t>
      </w:r>
      <w:r w:rsidRPr="00256982">
        <w:t>is the population of livestock category, T (population as calculated in section 5.1.3)</w:t>
      </w:r>
    </w:p>
    <w:p w14:paraId="7D2BD18A" w14:textId="77777777" w:rsidR="0068777C" w:rsidRPr="00256982" w:rsidRDefault="0068777C" w:rsidP="0068777C">
      <w:pPr>
        <w:spacing w:before="100"/>
        <w:ind w:left="851" w:hanging="851"/>
      </w:pPr>
      <w:r w:rsidRPr="00256982">
        <w:tab/>
        <w:t>Nex</w:t>
      </w:r>
      <w:r w:rsidRPr="00256982">
        <w:rPr>
          <w:vertAlign w:val="subscript"/>
        </w:rPr>
        <w:t>URINE,T</w:t>
      </w:r>
      <w:r w:rsidRPr="00256982">
        <w:t xml:space="preserve"> is the annual average nitrogen excretion in urine per head by each livestock category (kg N/head/year) (see section 5.3) </w:t>
      </w:r>
    </w:p>
    <w:p w14:paraId="15129E2F" w14:textId="77777777" w:rsidR="0068777C" w:rsidRPr="00256982" w:rsidRDefault="0068777C" w:rsidP="0068777C">
      <w:pPr>
        <w:spacing w:before="100"/>
        <w:ind w:left="851" w:hanging="851"/>
      </w:pPr>
      <w:r w:rsidRPr="00256982">
        <w:lastRenderedPageBreak/>
        <w:tab/>
        <w:t>Nex</w:t>
      </w:r>
      <w:r w:rsidRPr="00256982">
        <w:rPr>
          <w:vertAlign w:val="subscript"/>
        </w:rPr>
        <w:t>DUNG,T</w:t>
      </w:r>
      <w:r w:rsidRPr="00256982">
        <w:t xml:space="preserve"> is the annual average nitrogen excretion in dung per head by each livestock category (kg N/head/year) (see section 5.3) </w:t>
      </w:r>
    </w:p>
    <w:p w14:paraId="064B3F14" w14:textId="77777777" w:rsidR="0068777C" w:rsidRPr="00256982" w:rsidRDefault="0068777C" w:rsidP="0068777C">
      <w:pPr>
        <w:spacing w:before="100"/>
        <w:ind w:left="851" w:hanging="851"/>
      </w:pPr>
      <w:r w:rsidRPr="00256982">
        <w:tab/>
        <w:t>Nex</w:t>
      </w:r>
      <w:r w:rsidRPr="00256982">
        <w:rPr>
          <w:vertAlign w:val="subscript"/>
        </w:rPr>
        <w:t>T</w:t>
      </w:r>
      <w:r w:rsidRPr="00256982">
        <w:t xml:space="preserve"> is the annual average nitrogen excretion per head by each livestock category (kg N/head/year) (see section 5.3) </w:t>
      </w:r>
    </w:p>
    <w:p w14:paraId="0FBF991E" w14:textId="77777777" w:rsidR="0068777C" w:rsidRPr="00256982" w:rsidRDefault="0068777C" w:rsidP="0068777C">
      <w:pPr>
        <w:spacing w:before="100"/>
        <w:ind w:left="851" w:hanging="851"/>
      </w:pPr>
      <w:r w:rsidRPr="00256982">
        <w:tab/>
        <w:t>MS</w:t>
      </w:r>
      <w:r w:rsidRPr="00256982">
        <w:rPr>
          <w:vertAlign w:val="subscript"/>
        </w:rPr>
        <w:t>T</w:t>
      </w:r>
      <w:r w:rsidRPr="00256982">
        <w:t xml:space="preserve"> is the proportion of manure excreted directly onto pasture, range and paddock by each livestock category (see table 5.3.2), and</w:t>
      </w:r>
    </w:p>
    <w:p w14:paraId="4461C5E0" w14:textId="77777777" w:rsidR="0068777C" w:rsidRPr="00256982" w:rsidRDefault="0068777C" w:rsidP="0068777C">
      <w:pPr>
        <w:spacing w:before="120" w:after="120"/>
        <w:ind w:left="851" w:hanging="851"/>
      </w:pPr>
      <w:r w:rsidRPr="00256982">
        <w:tab/>
        <w:t>EF</w:t>
      </w:r>
      <w:r w:rsidRPr="00256982">
        <w:rPr>
          <w:vertAlign w:val="subscript"/>
        </w:rPr>
        <w:t>3(PRP-URINE)</w:t>
      </w:r>
      <w:r w:rsidRPr="00256982">
        <w:t xml:space="preserve"> and EF</w:t>
      </w:r>
      <w:r w:rsidRPr="00256982">
        <w:rPr>
          <w:vertAlign w:val="subscript"/>
        </w:rPr>
        <w:t>3(PRP-DUNG)</w:t>
      </w:r>
      <w:r w:rsidRPr="00256982">
        <w:t xml:space="preserve"> are the emission factors for manure from grazing animals in pasture, range and paddock (see table 5.5.2).</w:t>
      </w:r>
    </w:p>
    <w:p w14:paraId="75F10221" w14:textId="77777777" w:rsidR="0068777C" w:rsidRPr="00256982" w:rsidRDefault="0068777C" w:rsidP="0068777C">
      <w:pPr>
        <w:pStyle w:val="BodyText"/>
      </w:pPr>
      <w:r w:rsidRPr="00256982">
        <w:t>For cattle, sheep and deer, estimated nitrogen excretion (N</w:t>
      </w:r>
      <w:r w:rsidRPr="00256982">
        <w:rPr>
          <w:vertAlign w:val="subscript"/>
        </w:rPr>
        <w:t>ex</w:t>
      </w:r>
      <w:r w:rsidRPr="00256982">
        <w:t>) values are separated into urine and dung components using the methodology outlined by Pacheco et al. (unpublished). New methodology for the separation of N</w:t>
      </w:r>
      <w:r w:rsidRPr="00256982">
        <w:rPr>
          <w:vertAlign w:val="subscript"/>
        </w:rPr>
        <w:t>ex</w:t>
      </w:r>
      <w:r w:rsidRPr="00256982">
        <w:t xml:space="preserve"> into dung and urine was introduced in this submission, this has replaced the previous N</w:t>
      </w:r>
      <w:r w:rsidRPr="00256982">
        <w:rPr>
          <w:vertAlign w:val="subscript"/>
        </w:rPr>
        <w:t>ex</w:t>
      </w:r>
      <w:r w:rsidRPr="00256982">
        <w:t xml:space="preserve"> partitioning methodology that was introduced in the 2014 submission. Further details on this change and its effect on estimated emissions are given in section 5.5.5. </w:t>
      </w:r>
    </w:p>
    <w:p w14:paraId="39EBB170" w14:textId="77777777" w:rsidR="0068777C" w:rsidRPr="00256982" w:rsidRDefault="0068777C" w:rsidP="0068777C">
      <w:pPr>
        <w:pStyle w:val="BodyText"/>
      </w:pPr>
      <w:r w:rsidRPr="00256982">
        <w:t>New Zealand uses a country-specific emission factor for EF</w:t>
      </w:r>
      <w:r w:rsidRPr="00256982">
        <w:rPr>
          <w:vertAlign w:val="subscript"/>
        </w:rPr>
        <w:t>3(PRP-URINE)</w:t>
      </w:r>
      <w:r w:rsidRPr="00256982">
        <w:t xml:space="preserve"> of 0.01 for the urine of cattle, sheep and deer and for the manure from all other livestock categories. For the dung of cattle, sheep and deer, a country-specific emission factor for EF</w:t>
      </w:r>
      <w:r w:rsidRPr="00256982">
        <w:rPr>
          <w:vertAlign w:val="subscript"/>
        </w:rPr>
        <w:t>3(PRP-DUNG)</w:t>
      </w:r>
      <w:r w:rsidRPr="00256982">
        <w:t xml:space="preserve"> of 0.0025 has been implemented (see table 5.5.2). These emission factors have been developed through an extensive research programme, and further details on this research are provided below.</w:t>
      </w:r>
    </w:p>
    <w:p w14:paraId="2202DC7F" w14:textId="77777777" w:rsidR="0068777C" w:rsidRPr="00256982" w:rsidRDefault="0068777C" w:rsidP="0068777C">
      <w:pPr>
        <w:pStyle w:val="BodyText"/>
      </w:pPr>
      <w:r w:rsidRPr="00256982">
        <w:t>Nitrous oxide emissions from urine and dung have been studied in a number of regions across New Zealand (Carran et al., 1995; Muller et al., 1995; de Klein et al., 2003). The research carried out field trials to measure emissions from pastoral soils of different drainage classes in all four seasons. The results of these studies were assessed by Kelliher et al. (unpublished(b), unpublished(c)),</w:t>
      </w:r>
      <w:r w:rsidRPr="00256982" w:rsidDel="009F6F34">
        <w:t xml:space="preserve"> </w:t>
      </w:r>
      <w:r w:rsidRPr="00256982">
        <w:t>to determine an appropriate national annual value for emissions from manure on pasture. The approach weighted the value based on the distribution of the key pastoral soil drainage classes across New Zealand and was developed on the basis that N</w:t>
      </w:r>
      <w:r w:rsidRPr="00256982">
        <w:rPr>
          <w:vertAlign w:val="subscript"/>
        </w:rPr>
        <w:t>2</w:t>
      </w:r>
      <w:r w:rsidRPr="00256982">
        <w:t>O emission rates are strongly governed by soil water content. Soil water content depends on soil drainage, meaning that drainage classes of pastoral soils are a suitable surrogate for soil water content.</w:t>
      </w:r>
    </w:p>
    <w:p w14:paraId="62D1C090" w14:textId="77777777" w:rsidR="0068777C" w:rsidRPr="00256982" w:rsidRDefault="0068777C" w:rsidP="0068777C">
      <w:pPr>
        <w:pStyle w:val="BodyText"/>
      </w:pPr>
      <w:r w:rsidRPr="00256982">
        <w:t>Further research found that cattle and sheep excreta emissions could also be separated into urine and dung components. Luo et al. (2009) assessed all available EF</w:t>
      </w:r>
      <w:r w:rsidRPr="00256982">
        <w:rPr>
          <w:vertAlign w:val="subscript"/>
        </w:rPr>
        <w:t>3(PRP-DUNG)</w:t>
      </w:r>
      <w:r w:rsidRPr="00256982">
        <w:t xml:space="preserve"> data in relation to pastoral soil drainage classes to determine an appropriately weighted national annual mean value. This review confirmed that a disaggregation of the emission factor for dung and urine is warranted. Luo et al. (2009) recommended that the </w:t>
      </w:r>
      <w:r w:rsidRPr="00256982">
        <w:rPr>
          <w:spacing w:val="-2"/>
        </w:rPr>
        <w:t>N</w:t>
      </w:r>
      <w:r w:rsidRPr="00256982">
        <w:rPr>
          <w:spacing w:val="-2"/>
          <w:vertAlign w:val="subscript"/>
        </w:rPr>
        <w:t>2</w:t>
      </w:r>
      <w:r w:rsidRPr="00256982">
        <w:rPr>
          <w:spacing w:val="-2"/>
        </w:rPr>
        <w:t>O</w:t>
      </w:r>
      <w:r w:rsidRPr="00256982">
        <w:t xml:space="preserve"> emission factor for cattle and sheep urine remains at the country-specific value of 0.01, and the </w:t>
      </w:r>
      <w:r w:rsidRPr="00256982">
        <w:rPr>
          <w:spacing w:val="-2"/>
        </w:rPr>
        <w:t>N</w:t>
      </w:r>
      <w:r w:rsidRPr="00256982">
        <w:rPr>
          <w:spacing w:val="-2"/>
          <w:vertAlign w:val="subscript"/>
        </w:rPr>
        <w:t>2</w:t>
      </w:r>
      <w:r w:rsidRPr="00256982">
        <w:rPr>
          <w:spacing w:val="-2"/>
        </w:rPr>
        <w:t>O</w:t>
      </w:r>
      <w:r w:rsidRPr="00256982">
        <w:t xml:space="preserve"> emission factor for cattle and sheep dung be reduced to 0.0025.</w:t>
      </w:r>
    </w:p>
    <w:p w14:paraId="23D538A5" w14:textId="77777777" w:rsidR="0068777C" w:rsidRPr="00256982" w:rsidRDefault="0068777C" w:rsidP="0068777C">
      <w:pPr>
        <w:pStyle w:val="BodyText"/>
      </w:pPr>
      <w:r w:rsidRPr="00256982">
        <w:t xml:space="preserve">In 2017, </w:t>
      </w:r>
      <w:r w:rsidRPr="00256982">
        <w:rPr>
          <w:spacing w:val="-2"/>
        </w:rPr>
        <w:t>N</w:t>
      </w:r>
      <w:r w:rsidRPr="00256982">
        <w:rPr>
          <w:spacing w:val="-2"/>
          <w:vertAlign w:val="subscript"/>
        </w:rPr>
        <w:t>2</w:t>
      </w:r>
      <w:r w:rsidRPr="00256982">
        <w:rPr>
          <w:spacing w:val="-2"/>
        </w:rPr>
        <w:t>O</w:t>
      </w:r>
      <w:r w:rsidRPr="00256982">
        <w:t xml:space="preserve"> emissions from </w:t>
      </w:r>
      <w:r w:rsidRPr="00256982">
        <w:rPr>
          <w:i/>
        </w:rPr>
        <w:t>Urine and dung deposited by grazing animals</w:t>
      </w:r>
      <w:r w:rsidRPr="00256982">
        <w:t xml:space="preserve"> (grazing manure) contributed 5,435.3 kt CO</w:t>
      </w:r>
      <w:r w:rsidRPr="00256982">
        <w:rPr>
          <w:vertAlign w:val="subscript"/>
        </w:rPr>
        <w:t>2</w:t>
      </w:r>
      <w:r w:rsidRPr="00256982">
        <w:t>-e (63.5 per cent of</w:t>
      </w:r>
      <w:r w:rsidRPr="00256982">
        <w:rPr>
          <w:spacing w:val="-2"/>
        </w:rPr>
        <w:t xml:space="preserve"> emissions from </w:t>
      </w:r>
      <w:r w:rsidRPr="00256982">
        <w:rPr>
          <w:i/>
          <w:spacing w:val="-2"/>
        </w:rPr>
        <w:t>Agricultural soils</w:t>
      </w:r>
      <w:r w:rsidRPr="00256982">
        <w:rPr>
          <w:spacing w:val="-2"/>
        </w:rPr>
        <w:t>, or 14.0 per cent of total agricultural emissions). This is an increase of 296.9 kt CO</w:t>
      </w:r>
      <w:r w:rsidRPr="00256982">
        <w:rPr>
          <w:spacing w:val="-2"/>
          <w:vertAlign w:val="subscript"/>
        </w:rPr>
        <w:t>2</w:t>
      </w:r>
      <w:r w:rsidRPr="00256982">
        <w:rPr>
          <w:spacing w:val="-2"/>
        </w:rPr>
        <w:t>-e (5.8 per cent) from the 1990 level of 5,138.4 kt CO</w:t>
      </w:r>
      <w:r w:rsidRPr="00256982">
        <w:rPr>
          <w:spacing w:val="-2"/>
          <w:vertAlign w:val="subscript"/>
        </w:rPr>
        <w:t>2</w:t>
      </w:r>
      <w:r w:rsidRPr="00256982">
        <w:rPr>
          <w:spacing w:val="-2"/>
        </w:rPr>
        <w:t>-e.</w:t>
      </w:r>
      <w:r w:rsidRPr="00256982">
        <w:t xml:space="preserve"> Emissions for each livestock category are given in table 5.5.5. Emissions from </w:t>
      </w:r>
      <w:r w:rsidRPr="00256982">
        <w:rPr>
          <w:i/>
        </w:rPr>
        <w:t>Urine and dung deposited by grazing animals</w:t>
      </w:r>
      <w:r w:rsidRPr="00256982">
        <w:t xml:space="preserve"> were identified as a key category (level and trend assessment).</w:t>
      </w:r>
    </w:p>
    <w:p w14:paraId="45EACDBC" w14:textId="77777777" w:rsidR="0068777C" w:rsidRPr="00256982" w:rsidRDefault="0068777C" w:rsidP="0068777C">
      <w:pPr>
        <w:pStyle w:val="Table"/>
      </w:pPr>
      <w:bookmarkStart w:id="752" w:name="_Toc441830883"/>
      <w:bookmarkStart w:id="753" w:name="_Toc451176097"/>
      <w:bookmarkStart w:id="754" w:name="_Toc481751525"/>
      <w:bookmarkStart w:id="755" w:name="_Toc507158613"/>
      <w:bookmarkStart w:id="756" w:name="_Toc511116747"/>
      <w:bookmarkStart w:id="757" w:name="_Toc5269489"/>
      <w:r w:rsidRPr="00256982">
        <w:lastRenderedPageBreak/>
        <w:t>Table 5.5.5</w:t>
      </w:r>
      <w:r w:rsidRPr="00256982">
        <w:tab/>
        <w:t xml:space="preserve">Trends and relative contribution of direct nitrous oxide emissions from urine and dung deposited by grazing animals per livestock category between 1990 and </w:t>
      </w:r>
      <w:bookmarkEnd w:id="752"/>
      <w:bookmarkEnd w:id="753"/>
      <w:bookmarkEnd w:id="754"/>
      <w:bookmarkEnd w:id="755"/>
      <w:bookmarkEnd w:id="756"/>
      <w:r w:rsidRPr="00256982">
        <w:t>2017</w:t>
      </w:r>
      <w:bookmarkEnd w:id="757"/>
    </w:p>
    <w:tbl>
      <w:tblPr>
        <w:tblW w:w="8505" w:type="dxa"/>
        <w:tblInd w:w="108" w:type="dxa"/>
        <w:tblBorders>
          <w:top w:val="single" w:sz="4" w:space="0" w:color="365F91"/>
          <w:left w:val="single" w:sz="4" w:space="0" w:color="365F91"/>
          <w:bottom w:val="single" w:sz="4" w:space="0" w:color="365F91"/>
          <w:right w:val="single" w:sz="4" w:space="0" w:color="365F91"/>
          <w:insideH w:val="single" w:sz="4" w:space="0" w:color="365F91"/>
        </w:tblBorders>
        <w:tblLayout w:type="fixed"/>
        <w:tblLook w:val="04A0" w:firstRow="1" w:lastRow="0" w:firstColumn="1" w:lastColumn="0" w:noHBand="0" w:noVBand="1"/>
      </w:tblPr>
      <w:tblGrid>
        <w:gridCol w:w="1508"/>
        <w:gridCol w:w="929"/>
        <w:gridCol w:w="824"/>
        <w:gridCol w:w="992"/>
        <w:gridCol w:w="850"/>
        <w:gridCol w:w="851"/>
        <w:gridCol w:w="850"/>
        <w:gridCol w:w="851"/>
        <w:gridCol w:w="850"/>
      </w:tblGrid>
      <w:tr w:rsidR="0068777C" w:rsidRPr="00256982" w14:paraId="72BD90E9" w14:textId="77777777" w:rsidTr="0068777C">
        <w:tc>
          <w:tcPr>
            <w:tcW w:w="1508" w:type="dxa"/>
            <w:vMerge w:val="restart"/>
            <w:tcBorders>
              <w:left w:val="nil"/>
            </w:tcBorders>
            <w:shd w:val="clear" w:color="auto" w:fill="365F91"/>
            <w:vAlign w:val="bottom"/>
          </w:tcPr>
          <w:p w14:paraId="5BE37D30" w14:textId="77777777" w:rsidR="0068777C" w:rsidRPr="00256982" w:rsidRDefault="0068777C" w:rsidP="00044580">
            <w:pPr>
              <w:pStyle w:val="TableTextBold"/>
              <w:keepNext/>
              <w:spacing w:before="40" w:after="40"/>
              <w:rPr>
                <w:i/>
                <w:noProof w:val="0"/>
                <w:color w:val="FFFFFF"/>
              </w:rPr>
            </w:pPr>
            <w:bookmarkStart w:id="758" w:name="OLE_LINK1"/>
            <w:r w:rsidRPr="00256982">
              <w:rPr>
                <w:noProof w:val="0"/>
                <w:color w:val="FFFFFF"/>
              </w:rPr>
              <w:t>Livestock category</w:t>
            </w:r>
          </w:p>
        </w:tc>
        <w:tc>
          <w:tcPr>
            <w:tcW w:w="1753" w:type="dxa"/>
            <w:gridSpan w:val="2"/>
            <w:shd w:val="clear" w:color="auto" w:fill="365F91"/>
            <w:vAlign w:val="bottom"/>
          </w:tcPr>
          <w:p w14:paraId="414676C0" w14:textId="77777777" w:rsidR="0068777C" w:rsidRPr="00256982" w:rsidRDefault="0068777C" w:rsidP="00044580">
            <w:pPr>
              <w:pStyle w:val="TableTextBold"/>
              <w:keepNext/>
              <w:spacing w:before="40" w:after="40"/>
              <w:jc w:val="center"/>
              <w:rPr>
                <w:i/>
                <w:noProof w:val="0"/>
                <w:color w:val="FFFFFF"/>
              </w:rPr>
            </w:pPr>
            <w:r w:rsidRPr="00256982">
              <w:rPr>
                <w:noProof w:val="0"/>
                <w:color w:val="FFFFFF"/>
              </w:rPr>
              <w:t xml:space="preserve">Emissions </w:t>
            </w:r>
            <w:r w:rsidRPr="00256982">
              <w:rPr>
                <w:noProof w:val="0"/>
                <w:color w:val="FFFFFF"/>
              </w:rPr>
              <w:br/>
              <w:t>(kt CO</w:t>
            </w:r>
            <w:r w:rsidRPr="00256982">
              <w:rPr>
                <w:noProof w:val="0"/>
                <w:color w:val="FFFFFF"/>
                <w:vertAlign w:val="subscript"/>
              </w:rPr>
              <w:t>2</w:t>
            </w:r>
            <w:r w:rsidRPr="00256982">
              <w:rPr>
                <w:noProof w:val="0"/>
                <w:color w:val="FFFFFF"/>
              </w:rPr>
              <w:t>-e)</w:t>
            </w:r>
          </w:p>
        </w:tc>
        <w:tc>
          <w:tcPr>
            <w:tcW w:w="1842" w:type="dxa"/>
            <w:gridSpan w:val="2"/>
            <w:shd w:val="clear" w:color="auto" w:fill="365F91"/>
            <w:vAlign w:val="bottom"/>
          </w:tcPr>
          <w:p w14:paraId="47467532" w14:textId="77777777" w:rsidR="0068777C" w:rsidRPr="00256982" w:rsidRDefault="0068777C" w:rsidP="00044580">
            <w:pPr>
              <w:pStyle w:val="TableTextBold"/>
              <w:keepNext/>
              <w:spacing w:before="40" w:after="40"/>
              <w:jc w:val="center"/>
              <w:rPr>
                <w:i/>
                <w:noProof w:val="0"/>
                <w:color w:val="FFFFFF"/>
              </w:rPr>
            </w:pPr>
            <w:r w:rsidRPr="00256982">
              <w:rPr>
                <w:noProof w:val="0"/>
                <w:color w:val="FFFFFF"/>
              </w:rPr>
              <w:t xml:space="preserve">Change from </w:t>
            </w:r>
            <w:r w:rsidRPr="00256982">
              <w:rPr>
                <w:noProof w:val="0"/>
                <w:color w:val="FFFFFF"/>
              </w:rPr>
              <w:br/>
              <w:t>1990–2016</w:t>
            </w:r>
          </w:p>
        </w:tc>
        <w:tc>
          <w:tcPr>
            <w:tcW w:w="1701" w:type="dxa"/>
            <w:gridSpan w:val="2"/>
            <w:shd w:val="clear" w:color="auto" w:fill="365F91"/>
            <w:vAlign w:val="bottom"/>
          </w:tcPr>
          <w:p w14:paraId="750AEA02" w14:textId="77777777" w:rsidR="0068777C" w:rsidRPr="00256982" w:rsidRDefault="0068777C" w:rsidP="00044580">
            <w:pPr>
              <w:pStyle w:val="TableTextBold"/>
              <w:keepNext/>
              <w:spacing w:before="40" w:after="40"/>
              <w:jc w:val="center"/>
              <w:rPr>
                <w:i/>
                <w:noProof w:val="0"/>
                <w:color w:val="FFFFFF"/>
              </w:rPr>
            </w:pPr>
            <w:r w:rsidRPr="00256982">
              <w:rPr>
                <w:noProof w:val="0"/>
                <w:color w:val="FFFFFF"/>
              </w:rPr>
              <w:t>Share of Agricultural soils category (%)</w:t>
            </w:r>
          </w:p>
        </w:tc>
        <w:tc>
          <w:tcPr>
            <w:tcW w:w="1701" w:type="dxa"/>
            <w:gridSpan w:val="2"/>
            <w:tcBorders>
              <w:right w:val="nil"/>
            </w:tcBorders>
            <w:shd w:val="clear" w:color="auto" w:fill="365F91"/>
            <w:vAlign w:val="bottom"/>
          </w:tcPr>
          <w:p w14:paraId="3EC04FAE" w14:textId="77777777" w:rsidR="0068777C" w:rsidRPr="00256982" w:rsidRDefault="0068777C" w:rsidP="00044580">
            <w:pPr>
              <w:pStyle w:val="TableTextBold"/>
              <w:keepNext/>
              <w:spacing w:before="40" w:after="40"/>
              <w:jc w:val="center"/>
              <w:rPr>
                <w:i/>
                <w:noProof w:val="0"/>
                <w:color w:val="FFFFFF"/>
              </w:rPr>
            </w:pPr>
            <w:r w:rsidRPr="00256982">
              <w:rPr>
                <w:noProof w:val="0"/>
                <w:color w:val="FFFFFF"/>
              </w:rPr>
              <w:t>Share of total Agriculture sector (%)</w:t>
            </w:r>
          </w:p>
        </w:tc>
      </w:tr>
      <w:tr w:rsidR="0068777C" w:rsidRPr="00256982" w14:paraId="1A99B8DB" w14:textId="77777777" w:rsidTr="0068777C">
        <w:tc>
          <w:tcPr>
            <w:tcW w:w="1508" w:type="dxa"/>
            <w:vMerge/>
            <w:tcBorders>
              <w:left w:val="nil"/>
            </w:tcBorders>
            <w:shd w:val="clear" w:color="auto" w:fill="365F91"/>
            <w:vAlign w:val="bottom"/>
          </w:tcPr>
          <w:p w14:paraId="6D6D3E84" w14:textId="77777777" w:rsidR="0068777C" w:rsidRPr="00256982" w:rsidRDefault="0068777C" w:rsidP="00044580">
            <w:pPr>
              <w:pStyle w:val="TableTextBold"/>
              <w:keepNext/>
              <w:spacing w:before="40" w:after="40"/>
              <w:rPr>
                <w:i/>
                <w:noProof w:val="0"/>
                <w:color w:val="FFFFFF"/>
              </w:rPr>
            </w:pPr>
          </w:p>
        </w:tc>
        <w:tc>
          <w:tcPr>
            <w:tcW w:w="929" w:type="dxa"/>
            <w:shd w:val="clear" w:color="auto" w:fill="365F91"/>
            <w:vAlign w:val="bottom"/>
          </w:tcPr>
          <w:p w14:paraId="1304422C" w14:textId="77777777" w:rsidR="0068777C" w:rsidRPr="00256982" w:rsidRDefault="0068777C" w:rsidP="00044580">
            <w:pPr>
              <w:pStyle w:val="TableTextBold"/>
              <w:keepNext/>
              <w:spacing w:before="40" w:after="40"/>
              <w:jc w:val="right"/>
              <w:rPr>
                <w:i/>
                <w:iCs/>
                <w:noProof w:val="0"/>
                <w:color w:val="FFFFFF"/>
              </w:rPr>
            </w:pPr>
            <w:r w:rsidRPr="00256982">
              <w:rPr>
                <w:noProof w:val="0"/>
                <w:color w:val="FFFFFF"/>
              </w:rPr>
              <w:t>1990</w:t>
            </w:r>
          </w:p>
        </w:tc>
        <w:tc>
          <w:tcPr>
            <w:tcW w:w="824" w:type="dxa"/>
            <w:shd w:val="clear" w:color="auto" w:fill="365F91"/>
            <w:vAlign w:val="bottom"/>
          </w:tcPr>
          <w:p w14:paraId="256B3AF9" w14:textId="77777777" w:rsidR="0068777C" w:rsidRPr="00256982" w:rsidRDefault="0068777C" w:rsidP="00044580">
            <w:pPr>
              <w:pStyle w:val="TableTextBold"/>
              <w:keepNext/>
              <w:spacing w:before="40" w:after="40"/>
              <w:jc w:val="right"/>
              <w:rPr>
                <w:i/>
                <w:iCs/>
                <w:noProof w:val="0"/>
                <w:color w:val="FFFFFF"/>
              </w:rPr>
            </w:pPr>
            <w:r w:rsidRPr="00256982">
              <w:rPr>
                <w:noProof w:val="0"/>
                <w:color w:val="FFFFFF"/>
              </w:rPr>
              <w:t>2017</w:t>
            </w:r>
          </w:p>
        </w:tc>
        <w:tc>
          <w:tcPr>
            <w:tcW w:w="992" w:type="dxa"/>
            <w:shd w:val="clear" w:color="auto" w:fill="365F91"/>
            <w:vAlign w:val="bottom"/>
          </w:tcPr>
          <w:p w14:paraId="1DC223A6" w14:textId="77777777" w:rsidR="0068777C" w:rsidRPr="00256982" w:rsidRDefault="0068777C" w:rsidP="00044580">
            <w:pPr>
              <w:pStyle w:val="TableTextBold"/>
              <w:keepNext/>
              <w:spacing w:before="40" w:after="40"/>
              <w:jc w:val="right"/>
              <w:rPr>
                <w:i/>
                <w:noProof w:val="0"/>
                <w:color w:val="FFFFFF"/>
              </w:rPr>
            </w:pPr>
            <w:r w:rsidRPr="00256982">
              <w:rPr>
                <w:noProof w:val="0"/>
                <w:color w:val="FFFFFF"/>
              </w:rPr>
              <w:t>kt CO</w:t>
            </w:r>
            <w:r w:rsidRPr="00256982">
              <w:rPr>
                <w:noProof w:val="0"/>
                <w:color w:val="FFFFFF"/>
                <w:vertAlign w:val="subscript"/>
              </w:rPr>
              <w:t>2</w:t>
            </w:r>
            <w:r w:rsidRPr="00256982">
              <w:rPr>
                <w:noProof w:val="0"/>
                <w:color w:val="FFFFFF"/>
              </w:rPr>
              <w:t>-e</w:t>
            </w:r>
          </w:p>
        </w:tc>
        <w:tc>
          <w:tcPr>
            <w:tcW w:w="850" w:type="dxa"/>
            <w:shd w:val="clear" w:color="auto" w:fill="365F91"/>
            <w:vAlign w:val="bottom"/>
          </w:tcPr>
          <w:p w14:paraId="3BDE4BD4" w14:textId="77777777" w:rsidR="0068777C" w:rsidRPr="00256982" w:rsidRDefault="0068777C" w:rsidP="00044580">
            <w:pPr>
              <w:pStyle w:val="TableTextBold"/>
              <w:keepNext/>
              <w:spacing w:before="40" w:after="40"/>
              <w:jc w:val="right"/>
              <w:rPr>
                <w:i/>
                <w:noProof w:val="0"/>
                <w:color w:val="FFFFFF"/>
              </w:rPr>
            </w:pPr>
            <w:r w:rsidRPr="00256982">
              <w:rPr>
                <w:noProof w:val="0"/>
                <w:color w:val="FFFFFF"/>
              </w:rPr>
              <w:t>%</w:t>
            </w:r>
          </w:p>
        </w:tc>
        <w:tc>
          <w:tcPr>
            <w:tcW w:w="851" w:type="dxa"/>
            <w:shd w:val="clear" w:color="auto" w:fill="365F91"/>
            <w:vAlign w:val="bottom"/>
          </w:tcPr>
          <w:p w14:paraId="5A0FEA84" w14:textId="77777777" w:rsidR="0068777C" w:rsidRPr="00256982" w:rsidRDefault="0068777C" w:rsidP="00044580">
            <w:pPr>
              <w:pStyle w:val="TableTextBold"/>
              <w:keepNext/>
              <w:spacing w:before="40" w:after="40"/>
              <w:jc w:val="right"/>
              <w:rPr>
                <w:i/>
                <w:iCs/>
                <w:noProof w:val="0"/>
                <w:color w:val="FFFFFF"/>
              </w:rPr>
            </w:pPr>
            <w:r w:rsidRPr="00256982">
              <w:rPr>
                <w:noProof w:val="0"/>
                <w:color w:val="FFFFFF"/>
              </w:rPr>
              <w:t xml:space="preserve">1990 </w:t>
            </w:r>
          </w:p>
        </w:tc>
        <w:tc>
          <w:tcPr>
            <w:tcW w:w="850" w:type="dxa"/>
            <w:shd w:val="clear" w:color="auto" w:fill="365F91"/>
            <w:vAlign w:val="bottom"/>
          </w:tcPr>
          <w:p w14:paraId="2FA4B660" w14:textId="77777777" w:rsidR="0068777C" w:rsidRPr="00256982" w:rsidRDefault="0068777C" w:rsidP="00044580">
            <w:pPr>
              <w:pStyle w:val="TableTextBold"/>
              <w:keepNext/>
              <w:spacing w:before="40" w:after="40"/>
              <w:jc w:val="right"/>
              <w:rPr>
                <w:i/>
                <w:iCs/>
                <w:noProof w:val="0"/>
                <w:color w:val="FFFFFF"/>
              </w:rPr>
            </w:pPr>
            <w:r w:rsidRPr="00256982">
              <w:rPr>
                <w:noProof w:val="0"/>
                <w:color w:val="FFFFFF"/>
              </w:rPr>
              <w:t>2017</w:t>
            </w:r>
          </w:p>
        </w:tc>
        <w:tc>
          <w:tcPr>
            <w:tcW w:w="851" w:type="dxa"/>
            <w:shd w:val="clear" w:color="auto" w:fill="365F91"/>
            <w:vAlign w:val="bottom"/>
          </w:tcPr>
          <w:p w14:paraId="5CF55458" w14:textId="77777777" w:rsidR="0068777C" w:rsidRPr="00256982" w:rsidRDefault="0068777C" w:rsidP="00044580">
            <w:pPr>
              <w:pStyle w:val="TableTextBold"/>
              <w:keepNext/>
              <w:spacing w:before="40" w:after="40"/>
              <w:jc w:val="right"/>
              <w:rPr>
                <w:i/>
                <w:iCs/>
                <w:noProof w:val="0"/>
                <w:color w:val="FFFFFF"/>
              </w:rPr>
            </w:pPr>
            <w:r w:rsidRPr="00256982">
              <w:rPr>
                <w:noProof w:val="0"/>
                <w:color w:val="FFFFFF"/>
              </w:rPr>
              <w:t>1990</w:t>
            </w:r>
          </w:p>
        </w:tc>
        <w:tc>
          <w:tcPr>
            <w:tcW w:w="850" w:type="dxa"/>
            <w:tcBorders>
              <w:right w:val="nil"/>
            </w:tcBorders>
            <w:shd w:val="clear" w:color="auto" w:fill="365F91"/>
            <w:vAlign w:val="bottom"/>
          </w:tcPr>
          <w:p w14:paraId="4AB19B25" w14:textId="77777777" w:rsidR="0068777C" w:rsidRPr="00256982" w:rsidRDefault="0068777C" w:rsidP="00044580">
            <w:pPr>
              <w:pStyle w:val="TableTextBold"/>
              <w:keepNext/>
              <w:spacing w:before="40" w:after="40"/>
              <w:jc w:val="right"/>
              <w:rPr>
                <w:i/>
                <w:iCs/>
                <w:noProof w:val="0"/>
                <w:color w:val="FFFFFF"/>
              </w:rPr>
            </w:pPr>
            <w:r w:rsidRPr="00256982">
              <w:rPr>
                <w:noProof w:val="0"/>
                <w:color w:val="FFFFFF"/>
              </w:rPr>
              <w:t>2017</w:t>
            </w:r>
          </w:p>
        </w:tc>
      </w:tr>
      <w:tr w:rsidR="0068777C" w:rsidRPr="00256982" w14:paraId="0C636A27" w14:textId="77777777" w:rsidTr="0068777C">
        <w:tc>
          <w:tcPr>
            <w:tcW w:w="1508" w:type="dxa"/>
            <w:tcBorders>
              <w:left w:val="nil"/>
            </w:tcBorders>
            <w:shd w:val="clear" w:color="auto" w:fill="auto"/>
          </w:tcPr>
          <w:p w14:paraId="165557F1" w14:textId="77777777" w:rsidR="0068777C" w:rsidRPr="00256982" w:rsidRDefault="0068777C" w:rsidP="00044580">
            <w:pPr>
              <w:pStyle w:val="TableText"/>
              <w:keepNext/>
              <w:spacing w:before="50" w:after="50"/>
              <w:rPr>
                <w:i/>
              </w:rPr>
            </w:pPr>
            <w:r w:rsidRPr="00256982">
              <w:t>Dairy cattle</w:t>
            </w:r>
          </w:p>
        </w:tc>
        <w:tc>
          <w:tcPr>
            <w:tcW w:w="929" w:type="dxa"/>
            <w:shd w:val="clear" w:color="auto" w:fill="auto"/>
            <w:vAlign w:val="center"/>
          </w:tcPr>
          <w:p w14:paraId="631B7CBC" w14:textId="77777777" w:rsidR="0068777C" w:rsidRPr="00256982" w:rsidRDefault="0068777C" w:rsidP="00044580">
            <w:pPr>
              <w:pStyle w:val="TableText"/>
              <w:keepNext/>
              <w:spacing w:before="50" w:after="50"/>
              <w:jc w:val="right"/>
              <w:rPr>
                <w:i/>
                <w:iCs/>
              </w:rPr>
            </w:pPr>
            <w:r w:rsidRPr="00256982">
              <w:rPr>
                <w:rFonts w:cs="Arial"/>
                <w:color w:val="000000"/>
              </w:rPr>
              <w:t>1,273.8</w:t>
            </w:r>
          </w:p>
        </w:tc>
        <w:tc>
          <w:tcPr>
            <w:tcW w:w="824" w:type="dxa"/>
            <w:shd w:val="clear" w:color="auto" w:fill="auto"/>
            <w:vAlign w:val="center"/>
          </w:tcPr>
          <w:p w14:paraId="308D1D60" w14:textId="77777777" w:rsidR="0068777C" w:rsidRPr="00256982" w:rsidRDefault="0068777C" w:rsidP="00044580">
            <w:pPr>
              <w:pStyle w:val="TableText"/>
              <w:keepNext/>
              <w:spacing w:before="50" w:after="50"/>
              <w:jc w:val="right"/>
              <w:rPr>
                <w:i/>
                <w:iCs/>
              </w:rPr>
            </w:pPr>
            <w:r w:rsidRPr="00256982">
              <w:rPr>
                <w:rFonts w:cs="Arial"/>
                <w:color w:val="000000"/>
              </w:rPr>
              <w:t>2,697.2</w:t>
            </w:r>
          </w:p>
        </w:tc>
        <w:tc>
          <w:tcPr>
            <w:tcW w:w="992" w:type="dxa"/>
            <w:shd w:val="clear" w:color="auto" w:fill="auto"/>
          </w:tcPr>
          <w:p w14:paraId="30ACC6FD" w14:textId="77777777" w:rsidR="0068777C" w:rsidRPr="00256982" w:rsidRDefault="0068777C" w:rsidP="00044580">
            <w:pPr>
              <w:pStyle w:val="TableText"/>
              <w:keepNext/>
              <w:spacing w:before="50" w:after="50"/>
              <w:jc w:val="right"/>
              <w:rPr>
                <w:i/>
                <w:iCs/>
              </w:rPr>
            </w:pPr>
            <w:r w:rsidRPr="00256982">
              <w:t>1,423.4</w:t>
            </w:r>
          </w:p>
        </w:tc>
        <w:tc>
          <w:tcPr>
            <w:tcW w:w="850" w:type="dxa"/>
            <w:shd w:val="clear" w:color="auto" w:fill="auto"/>
          </w:tcPr>
          <w:p w14:paraId="6F5AACF4" w14:textId="77777777" w:rsidR="0068777C" w:rsidRPr="00256982" w:rsidRDefault="0068777C" w:rsidP="00044580">
            <w:pPr>
              <w:pStyle w:val="TableText"/>
              <w:keepNext/>
              <w:spacing w:before="50" w:after="50"/>
              <w:jc w:val="right"/>
              <w:rPr>
                <w:i/>
                <w:iCs/>
              </w:rPr>
            </w:pPr>
            <w:r w:rsidRPr="00256982">
              <w:t>111.7</w:t>
            </w:r>
          </w:p>
        </w:tc>
        <w:tc>
          <w:tcPr>
            <w:tcW w:w="851" w:type="dxa"/>
            <w:shd w:val="clear" w:color="auto" w:fill="auto"/>
          </w:tcPr>
          <w:p w14:paraId="04A9ECB4" w14:textId="77777777" w:rsidR="0068777C" w:rsidRPr="00256982" w:rsidRDefault="0068777C" w:rsidP="00044580">
            <w:pPr>
              <w:pStyle w:val="TableText"/>
              <w:keepNext/>
              <w:spacing w:before="50" w:after="50"/>
              <w:jc w:val="right"/>
              <w:rPr>
                <w:i/>
                <w:iCs/>
              </w:rPr>
            </w:pPr>
            <w:r w:rsidRPr="00256982">
              <w:t>19.0</w:t>
            </w:r>
          </w:p>
        </w:tc>
        <w:tc>
          <w:tcPr>
            <w:tcW w:w="850" w:type="dxa"/>
            <w:shd w:val="clear" w:color="auto" w:fill="auto"/>
          </w:tcPr>
          <w:p w14:paraId="05EA63C6" w14:textId="77777777" w:rsidR="0068777C" w:rsidRPr="00256982" w:rsidRDefault="0068777C" w:rsidP="00044580">
            <w:pPr>
              <w:pStyle w:val="TableText"/>
              <w:keepNext/>
              <w:spacing w:before="50" w:after="50"/>
              <w:jc w:val="right"/>
              <w:rPr>
                <w:i/>
                <w:iCs/>
              </w:rPr>
            </w:pPr>
            <w:r w:rsidRPr="00256982">
              <w:t>31.5</w:t>
            </w:r>
          </w:p>
        </w:tc>
        <w:tc>
          <w:tcPr>
            <w:tcW w:w="851" w:type="dxa"/>
            <w:shd w:val="clear" w:color="auto" w:fill="auto"/>
          </w:tcPr>
          <w:p w14:paraId="0C02671E" w14:textId="77777777" w:rsidR="0068777C" w:rsidRPr="00256982" w:rsidRDefault="0068777C" w:rsidP="00044580">
            <w:pPr>
              <w:pStyle w:val="TableText"/>
              <w:keepNext/>
              <w:spacing w:before="50" w:after="50"/>
              <w:jc w:val="right"/>
              <w:rPr>
                <w:i/>
                <w:iCs/>
              </w:rPr>
            </w:pPr>
            <w:r w:rsidRPr="00256982">
              <w:t>3.7</w:t>
            </w:r>
          </w:p>
        </w:tc>
        <w:tc>
          <w:tcPr>
            <w:tcW w:w="850" w:type="dxa"/>
            <w:tcBorders>
              <w:right w:val="nil"/>
            </w:tcBorders>
            <w:shd w:val="clear" w:color="auto" w:fill="auto"/>
          </w:tcPr>
          <w:p w14:paraId="533AA89D" w14:textId="77777777" w:rsidR="0068777C" w:rsidRPr="00256982" w:rsidRDefault="0068777C" w:rsidP="00044580">
            <w:pPr>
              <w:pStyle w:val="TableText"/>
              <w:keepNext/>
              <w:spacing w:before="50" w:after="50"/>
              <w:jc w:val="right"/>
              <w:rPr>
                <w:i/>
                <w:iCs/>
              </w:rPr>
            </w:pPr>
            <w:r w:rsidRPr="00256982">
              <w:t>6.9</w:t>
            </w:r>
          </w:p>
        </w:tc>
      </w:tr>
      <w:tr w:rsidR="0068777C" w:rsidRPr="00256982" w14:paraId="4D5ED7D1" w14:textId="77777777" w:rsidTr="0068777C">
        <w:tc>
          <w:tcPr>
            <w:tcW w:w="1508" w:type="dxa"/>
            <w:tcBorders>
              <w:left w:val="nil"/>
            </w:tcBorders>
            <w:shd w:val="clear" w:color="auto" w:fill="auto"/>
          </w:tcPr>
          <w:p w14:paraId="5CEC08D9" w14:textId="77777777" w:rsidR="0068777C" w:rsidRPr="00256982" w:rsidRDefault="0068777C" w:rsidP="00044580">
            <w:pPr>
              <w:pStyle w:val="TableText"/>
              <w:spacing w:before="50" w:after="50"/>
              <w:rPr>
                <w:i/>
              </w:rPr>
            </w:pPr>
            <w:r w:rsidRPr="00256982">
              <w:t>Non-dairy cattle</w:t>
            </w:r>
          </w:p>
        </w:tc>
        <w:tc>
          <w:tcPr>
            <w:tcW w:w="929" w:type="dxa"/>
            <w:shd w:val="clear" w:color="auto" w:fill="auto"/>
          </w:tcPr>
          <w:p w14:paraId="661C4CE3" w14:textId="77777777" w:rsidR="0068777C" w:rsidRPr="00256982" w:rsidRDefault="0068777C" w:rsidP="00044580">
            <w:pPr>
              <w:pStyle w:val="TableText"/>
              <w:spacing w:before="50" w:after="50"/>
              <w:jc w:val="right"/>
              <w:rPr>
                <w:i/>
                <w:iCs/>
              </w:rPr>
            </w:pPr>
            <w:r w:rsidRPr="00256982">
              <w:t>1,074.7</w:t>
            </w:r>
          </w:p>
        </w:tc>
        <w:tc>
          <w:tcPr>
            <w:tcW w:w="824" w:type="dxa"/>
            <w:shd w:val="clear" w:color="auto" w:fill="auto"/>
          </w:tcPr>
          <w:p w14:paraId="66BE9B6C" w14:textId="77777777" w:rsidR="0068777C" w:rsidRPr="00256982" w:rsidRDefault="0068777C" w:rsidP="00044580">
            <w:pPr>
              <w:pStyle w:val="TableText"/>
              <w:spacing w:before="50" w:after="50"/>
              <w:jc w:val="right"/>
              <w:rPr>
                <w:i/>
                <w:iCs/>
              </w:rPr>
            </w:pPr>
            <w:r w:rsidRPr="00256982">
              <w:t>998.5</w:t>
            </w:r>
          </w:p>
        </w:tc>
        <w:tc>
          <w:tcPr>
            <w:tcW w:w="992" w:type="dxa"/>
            <w:shd w:val="clear" w:color="auto" w:fill="auto"/>
          </w:tcPr>
          <w:p w14:paraId="395D5AD9" w14:textId="77777777" w:rsidR="0068777C" w:rsidRPr="00256982" w:rsidRDefault="0068777C" w:rsidP="00044580">
            <w:pPr>
              <w:pStyle w:val="TableText"/>
              <w:spacing w:before="50" w:after="50"/>
              <w:jc w:val="right"/>
              <w:rPr>
                <w:i/>
                <w:iCs/>
              </w:rPr>
            </w:pPr>
            <w:r w:rsidRPr="00256982">
              <w:t>–76.1</w:t>
            </w:r>
          </w:p>
        </w:tc>
        <w:tc>
          <w:tcPr>
            <w:tcW w:w="850" w:type="dxa"/>
            <w:shd w:val="clear" w:color="auto" w:fill="auto"/>
          </w:tcPr>
          <w:p w14:paraId="4D72FDCA" w14:textId="77777777" w:rsidR="0068777C" w:rsidRPr="00256982" w:rsidRDefault="0068777C" w:rsidP="00044580">
            <w:pPr>
              <w:pStyle w:val="TableText"/>
              <w:spacing w:before="50" w:after="50"/>
              <w:jc w:val="right"/>
              <w:rPr>
                <w:i/>
                <w:iCs/>
              </w:rPr>
            </w:pPr>
            <w:r w:rsidRPr="00256982">
              <w:t>–7.1</w:t>
            </w:r>
          </w:p>
        </w:tc>
        <w:tc>
          <w:tcPr>
            <w:tcW w:w="851" w:type="dxa"/>
            <w:shd w:val="clear" w:color="auto" w:fill="auto"/>
          </w:tcPr>
          <w:p w14:paraId="4F7F08BF" w14:textId="77777777" w:rsidR="0068777C" w:rsidRPr="00256982" w:rsidRDefault="0068777C" w:rsidP="00044580">
            <w:pPr>
              <w:pStyle w:val="TableText"/>
              <w:spacing w:before="50" w:after="50"/>
              <w:jc w:val="right"/>
              <w:rPr>
                <w:i/>
                <w:iCs/>
              </w:rPr>
            </w:pPr>
            <w:r w:rsidRPr="00256982">
              <w:t>16.1</w:t>
            </w:r>
          </w:p>
        </w:tc>
        <w:tc>
          <w:tcPr>
            <w:tcW w:w="850" w:type="dxa"/>
            <w:shd w:val="clear" w:color="auto" w:fill="auto"/>
          </w:tcPr>
          <w:p w14:paraId="577F6379" w14:textId="77777777" w:rsidR="0068777C" w:rsidRPr="00256982" w:rsidRDefault="0068777C" w:rsidP="00044580">
            <w:pPr>
              <w:pStyle w:val="TableText"/>
              <w:spacing w:before="50" w:after="50"/>
              <w:jc w:val="right"/>
              <w:rPr>
                <w:i/>
                <w:iCs/>
              </w:rPr>
            </w:pPr>
            <w:r w:rsidRPr="00256982">
              <w:t>11.7</w:t>
            </w:r>
          </w:p>
        </w:tc>
        <w:tc>
          <w:tcPr>
            <w:tcW w:w="851" w:type="dxa"/>
            <w:shd w:val="clear" w:color="auto" w:fill="auto"/>
          </w:tcPr>
          <w:p w14:paraId="4D17FBDD" w14:textId="77777777" w:rsidR="0068777C" w:rsidRPr="00256982" w:rsidRDefault="0068777C" w:rsidP="00044580">
            <w:pPr>
              <w:pStyle w:val="TableText"/>
              <w:spacing w:before="50" w:after="50"/>
              <w:jc w:val="right"/>
              <w:rPr>
                <w:i/>
                <w:iCs/>
              </w:rPr>
            </w:pPr>
            <w:r w:rsidRPr="00256982">
              <w:t>3.1</w:t>
            </w:r>
          </w:p>
        </w:tc>
        <w:tc>
          <w:tcPr>
            <w:tcW w:w="850" w:type="dxa"/>
            <w:tcBorders>
              <w:right w:val="nil"/>
            </w:tcBorders>
            <w:shd w:val="clear" w:color="auto" w:fill="auto"/>
          </w:tcPr>
          <w:p w14:paraId="2C261E22" w14:textId="77777777" w:rsidR="0068777C" w:rsidRPr="00256982" w:rsidRDefault="0068777C" w:rsidP="00044580">
            <w:pPr>
              <w:pStyle w:val="TableText"/>
              <w:spacing w:before="50" w:after="50"/>
              <w:jc w:val="right"/>
              <w:rPr>
                <w:i/>
                <w:iCs/>
              </w:rPr>
            </w:pPr>
            <w:r w:rsidRPr="00256982">
              <w:t>2.6</w:t>
            </w:r>
          </w:p>
        </w:tc>
      </w:tr>
      <w:tr w:rsidR="0068777C" w:rsidRPr="00256982" w14:paraId="3FDD7CA5" w14:textId="77777777" w:rsidTr="0068777C">
        <w:trPr>
          <w:trHeight w:val="50"/>
        </w:trPr>
        <w:tc>
          <w:tcPr>
            <w:tcW w:w="1508" w:type="dxa"/>
            <w:tcBorders>
              <w:left w:val="nil"/>
            </w:tcBorders>
            <w:shd w:val="clear" w:color="auto" w:fill="auto"/>
          </w:tcPr>
          <w:p w14:paraId="4A8A421E" w14:textId="77777777" w:rsidR="0068777C" w:rsidRPr="00256982" w:rsidRDefault="0068777C" w:rsidP="00044580">
            <w:pPr>
              <w:pStyle w:val="TableText"/>
              <w:spacing w:before="50" w:after="50"/>
              <w:rPr>
                <w:i/>
              </w:rPr>
            </w:pPr>
            <w:r w:rsidRPr="00256982">
              <w:t>Sheep</w:t>
            </w:r>
          </w:p>
        </w:tc>
        <w:tc>
          <w:tcPr>
            <w:tcW w:w="929" w:type="dxa"/>
            <w:shd w:val="clear" w:color="auto" w:fill="auto"/>
          </w:tcPr>
          <w:p w14:paraId="351766E5" w14:textId="77777777" w:rsidR="0068777C" w:rsidRPr="00256982" w:rsidRDefault="0068777C" w:rsidP="00044580">
            <w:pPr>
              <w:pStyle w:val="TableText"/>
              <w:spacing w:before="50" w:after="50"/>
              <w:jc w:val="right"/>
              <w:rPr>
                <w:i/>
                <w:iCs/>
              </w:rPr>
            </w:pPr>
            <w:r w:rsidRPr="00256982">
              <w:t>2,613.5</w:t>
            </w:r>
          </w:p>
        </w:tc>
        <w:tc>
          <w:tcPr>
            <w:tcW w:w="824" w:type="dxa"/>
            <w:shd w:val="clear" w:color="auto" w:fill="auto"/>
          </w:tcPr>
          <w:p w14:paraId="5DD32B8B" w14:textId="77777777" w:rsidR="0068777C" w:rsidRPr="00256982" w:rsidRDefault="0068777C" w:rsidP="00044580">
            <w:pPr>
              <w:pStyle w:val="TableText"/>
              <w:spacing w:before="50" w:after="50"/>
              <w:jc w:val="right"/>
              <w:rPr>
                <w:i/>
                <w:iCs/>
              </w:rPr>
            </w:pPr>
            <w:r w:rsidRPr="00256982">
              <w:t>1,620.7</w:t>
            </w:r>
          </w:p>
        </w:tc>
        <w:tc>
          <w:tcPr>
            <w:tcW w:w="992" w:type="dxa"/>
            <w:shd w:val="clear" w:color="auto" w:fill="auto"/>
          </w:tcPr>
          <w:p w14:paraId="093A50DC" w14:textId="77777777" w:rsidR="0068777C" w:rsidRPr="00256982" w:rsidRDefault="0068777C" w:rsidP="00044580">
            <w:pPr>
              <w:pStyle w:val="TableText"/>
              <w:spacing w:before="50" w:after="50"/>
              <w:jc w:val="right"/>
              <w:rPr>
                <w:i/>
                <w:iCs/>
              </w:rPr>
            </w:pPr>
            <w:r w:rsidRPr="00256982">
              <w:t>–992.8</w:t>
            </w:r>
          </w:p>
        </w:tc>
        <w:tc>
          <w:tcPr>
            <w:tcW w:w="850" w:type="dxa"/>
            <w:shd w:val="clear" w:color="auto" w:fill="auto"/>
          </w:tcPr>
          <w:p w14:paraId="1D3CC7D7" w14:textId="77777777" w:rsidR="0068777C" w:rsidRPr="00256982" w:rsidRDefault="0068777C" w:rsidP="00044580">
            <w:pPr>
              <w:pStyle w:val="TableText"/>
              <w:spacing w:before="50" w:after="50"/>
              <w:jc w:val="right"/>
              <w:rPr>
                <w:i/>
                <w:iCs/>
              </w:rPr>
            </w:pPr>
            <w:r w:rsidRPr="00256982">
              <w:t>–38.0</w:t>
            </w:r>
          </w:p>
        </w:tc>
        <w:tc>
          <w:tcPr>
            <w:tcW w:w="851" w:type="dxa"/>
            <w:shd w:val="clear" w:color="auto" w:fill="auto"/>
          </w:tcPr>
          <w:p w14:paraId="3FCB3442" w14:textId="77777777" w:rsidR="0068777C" w:rsidRPr="00256982" w:rsidRDefault="0068777C" w:rsidP="00044580">
            <w:pPr>
              <w:pStyle w:val="TableText"/>
              <w:spacing w:before="50" w:after="50"/>
              <w:jc w:val="right"/>
              <w:rPr>
                <w:i/>
                <w:iCs/>
              </w:rPr>
            </w:pPr>
            <w:r w:rsidRPr="00256982">
              <w:t>39.1</w:t>
            </w:r>
          </w:p>
        </w:tc>
        <w:tc>
          <w:tcPr>
            <w:tcW w:w="850" w:type="dxa"/>
            <w:shd w:val="clear" w:color="auto" w:fill="auto"/>
          </w:tcPr>
          <w:p w14:paraId="71A0A7CF" w14:textId="77777777" w:rsidR="0068777C" w:rsidRPr="00256982" w:rsidRDefault="0068777C" w:rsidP="00044580">
            <w:pPr>
              <w:pStyle w:val="TableText"/>
              <w:spacing w:before="50" w:after="50"/>
              <w:jc w:val="right"/>
              <w:rPr>
                <w:i/>
                <w:iCs/>
              </w:rPr>
            </w:pPr>
            <w:r w:rsidRPr="00256982">
              <w:t>18.9</w:t>
            </w:r>
          </w:p>
        </w:tc>
        <w:tc>
          <w:tcPr>
            <w:tcW w:w="851" w:type="dxa"/>
            <w:shd w:val="clear" w:color="auto" w:fill="auto"/>
          </w:tcPr>
          <w:p w14:paraId="3B529641" w14:textId="77777777" w:rsidR="0068777C" w:rsidRPr="00256982" w:rsidRDefault="0068777C" w:rsidP="00044580">
            <w:pPr>
              <w:pStyle w:val="TableText"/>
              <w:spacing w:before="50" w:after="50"/>
              <w:jc w:val="right"/>
              <w:rPr>
                <w:i/>
                <w:iCs/>
              </w:rPr>
            </w:pPr>
            <w:r w:rsidRPr="00256982">
              <w:t>7.6</w:t>
            </w:r>
          </w:p>
        </w:tc>
        <w:tc>
          <w:tcPr>
            <w:tcW w:w="850" w:type="dxa"/>
            <w:tcBorders>
              <w:right w:val="nil"/>
            </w:tcBorders>
            <w:shd w:val="clear" w:color="auto" w:fill="auto"/>
          </w:tcPr>
          <w:p w14:paraId="6A5AFE5F" w14:textId="77777777" w:rsidR="0068777C" w:rsidRPr="00256982" w:rsidRDefault="0068777C" w:rsidP="00044580">
            <w:pPr>
              <w:pStyle w:val="TableText"/>
              <w:spacing w:before="50" w:after="50"/>
              <w:jc w:val="right"/>
              <w:rPr>
                <w:i/>
                <w:iCs/>
              </w:rPr>
            </w:pPr>
            <w:r w:rsidRPr="00256982">
              <w:t>4.2</w:t>
            </w:r>
          </w:p>
        </w:tc>
      </w:tr>
      <w:tr w:rsidR="0068777C" w:rsidRPr="00256982" w14:paraId="57FA7366" w14:textId="77777777" w:rsidTr="0068777C">
        <w:tc>
          <w:tcPr>
            <w:tcW w:w="1508" w:type="dxa"/>
            <w:tcBorders>
              <w:left w:val="nil"/>
            </w:tcBorders>
            <w:shd w:val="clear" w:color="auto" w:fill="auto"/>
          </w:tcPr>
          <w:p w14:paraId="2F03A2A1" w14:textId="77777777" w:rsidR="0068777C" w:rsidRPr="00256982" w:rsidRDefault="0068777C" w:rsidP="00044580">
            <w:pPr>
              <w:pStyle w:val="TableText"/>
              <w:spacing w:before="50" w:after="50"/>
              <w:rPr>
                <w:i/>
              </w:rPr>
            </w:pPr>
            <w:r w:rsidRPr="00256982">
              <w:t>Deer</w:t>
            </w:r>
          </w:p>
        </w:tc>
        <w:tc>
          <w:tcPr>
            <w:tcW w:w="929" w:type="dxa"/>
            <w:shd w:val="clear" w:color="auto" w:fill="auto"/>
          </w:tcPr>
          <w:p w14:paraId="3982C86A" w14:textId="77777777" w:rsidR="0068777C" w:rsidRPr="00256982" w:rsidRDefault="0068777C" w:rsidP="00044580">
            <w:pPr>
              <w:pStyle w:val="TableText"/>
              <w:spacing w:before="50" w:after="50"/>
              <w:jc w:val="right"/>
              <w:rPr>
                <w:i/>
                <w:iCs/>
              </w:rPr>
            </w:pPr>
            <w:r w:rsidRPr="00256982">
              <w:t>95.6</w:t>
            </w:r>
          </w:p>
        </w:tc>
        <w:tc>
          <w:tcPr>
            <w:tcW w:w="824" w:type="dxa"/>
            <w:shd w:val="clear" w:color="auto" w:fill="auto"/>
          </w:tcPr>
          <w:p w14:paraId="694F60C0" w14:textId="77777777" w:rsidR="0068777C" w:rsidRPr="00256982" w:rsidRDefault="0068777C" w:rsidP="00044580">
            <w:pPr>
              <w:pStyle w:val="TableText"/>
              <w:spacing w:before="50" w:after="50"/>
              <w:jc w:val="right"/>
              <w:rPr>
                <w:i/>
                <w:iCs/>
              </w:rPr>
            </w:pPr>
            <w:r w:rsidRPr="00256982">
              <w:t>97.4</w:t>
            </w:r>
          </w:p>
        </w:tc>
        <w:tc>
          <w:tcPr>
            <w:tcW w:w="992" w:type="dxa"/>
            <w:shd w:val="clear" w:color="auto" w:fill="auto"/>
          </w:tcPr>
          <w:p w14:paraId="253F8237" w14:textId="77777777" w:rsidR="0068777C" w:rsidRPr="00256982" w:rsidRDefault="0068777C" w:rsidP="00044580">
            <w:pPr>
              <w:pStyle w:val="TableText"/>
              <w:spacing w:before="50" w:after="50"/>
              <w:jc w:val="right"/>
              <w:rPr>
                <w:i/>
                <w:iCs/>
              </w:rPr>
            </w:pPr>
            <w:r w:rsidRPr="00256982">
              <w:t>1.9</w:t>
            </w:r>
          </w:p>
        </w:tc>
        <w:tc>
          <w:tcPr>
            <w:tcW w:w="850" w:type="dxa"/>
            <w:shd w:val="clear" w:color="auto" w:fill="auto"/>
          </w:tcPr>
          <w:p w14:paraId="10733101" w14:textId="77777777" w:rsidR="0068777C" w:rsidRPr="00256982" w:rsidRDefault="0068777C" w:rsidP="00044580">
            <w:pPr>
              <w:pStyle w:val="TableText"/>
              <w:spacing w:before="50" w:after="50"/>
              <w:jc w:val="right"/>
              <w:rPr>
                <w:i/>
                <w:iCs/>
              </w:rPr>
            </w:pPr>
            <w:r w:rsidRPr="00256982">
              <w:t>1.9</w:t>
            </w:r>
          </w:p>
        </w:tc>
        <w:tc>
          <w:tcPr>
            <w:tcW w:w="851" w:type="dxa"/>
            <w:shd w:val="clear" w:color="auto" w:fill="auto"/>
          </w:tcPr>
          <w:p w14:paraId="2E2BAF9B" w14:textId="77777777" w:rsidR="0068777C" w:rsidRPr="00256982" w:rsidRDefault="0068777C" w:rsidP="00044580">
            <w:pPr>
              <w:pStyle w:val="TableText"/>
              <w:spacing w:before="50" w:after="50"/>
              <w:jc w:val="right"/>
              <w:rPr>
                <w:i/>
                <w:iCs/>
              </w:rPr>
            </w:pPr>
            <w:r w:rsidRPr="00256982">
              <w:t>1.4</w:t>
            </w:r>
          </w:p>
        </w:tc>
        <w:tc>
          <w:tcPr>
            <w:tcW w:w="850" w:type="dxa"/>
            <w:shd w:val="clear" w:color="auto" w:fill="auto"/>
          </w:tcPr>
          <w:p w14:paraId="5CFCA8A5" w14:textId="77777777" w:rsidR="0068777C" w:rsidRPr="00256982" w:rsidRDefault="0068777C" w:rsidP="00044580">
            <w:pPr>
              <w:pStyle w:val="TableText"/>
              <w:spacing w:before="50" w:after="50"/>
              <w:jc w:val="right"/>
              <w:rPr>
                <w:i/>
                <w:iCs/>
              </w:rPr>
            </w:pPr>
            <w:r w:rsidRPr="00256982">
              <w:t>1.1</w:t>
            </w:r>
          </w:p>
        </w:tc>
        <w:tc>
          <w:tcPr>
            <w:tcW w:w="851" w:type="dxa"/>
            <w:shd w:val="clear" w:color="auto" w:fill="auto"/>
          </w:tcPr>
          <w:p w14:paraId="63DEABE3" w14:textId="77777777" w:rsidR="0068777C" w:rsidRPr="00256982" w:rsidRDefault="0068777C" w:rsidP="00044580">
            <w:pPr>
              <w:pStyle w:val="TableText"/>
              <w:spacing w:before="50" w:after="50"/>
              <w:jc w:val="right"/>
              <w:rPr>
                <w:i/>
                <w:iCs/>
              </w:rPr>
            </w:pPr>
            <w:r w:rsidRPr="00256982">
              <w:t>0.3</w:t>
            </w:r>
          </w:p>
        </w:tc>
        <w:tc>
          <w:tcPr>
            <w:tcW w:w="850" w:type="dxa"/>
            <w:tcBorders>
              <w:right w:val="nil"/>
            </w:tcBorders>
            <w:shd w:val="clear" w:color="auto" w:fill="auto"/>
          </w:tcPr>
          <w:p w14:paraId="70751D85" w14:textId="77777777" w:rsidR="0068777C" w:rsidRPr="00256982" w:rsidRDefault="0068777C" w:rsidP="00044580">
            <w:pPr>
              <w:pStyle w:val="TableText"/>
              <w:spacing w:before="50" w:after="50"/>
              <w:jc w:val="right"/>
              <w:rPr>
                <w:i/>
                <w:iCs/>
              </w:rPr>
            </w:pPr>
            <w:r w:rsidRPr="00256982">
              <w:t>0.3</w:t>
            </w:r>
          </w:p>
        </w:tc>
      </w:tr>
      <w:tr w:rsidR="0068777C" w:rsidRPr="00256982" w14:paraId="5662476B" w14:textId="77777777" w:rsidTr="0068777C">
        <w:tc>
          <w:tcPr>
            <w:tcW w:w="1508" w:type="dxa"/>
            <w:tcBorders>
              <w:left w:val="nil"/>
            </w:tcBorders>
            <w:shd w:val="clear" w:color="auto" w:fill="auto"/>
          </w:tcPr>
          <w:p w14:paraId="3E29E21A" w14:textId="77777777" w:rsidR="0068777C" w:rsidRPr="00256982" w:rsidRDefault="0068777C" w:rsidP="00044580">
            <w:pPr>
              <w:pStyle w:val="TableText"/>
              <w:spacing w:before="50" w:after="50"/>
              <w:rPr>
                <w:i/>
              </w:rPr>
            </w:pPr>
            <w:r w:rsidRPr="00256982">
              <w:t>Minor livestock</w:t>
            </w:r>
          </w:p>
        </w:tc>
        <w:tc>
          <w:tcPr>
            <w:tcW w:w="929" w:type="dxa"/>
            <w:shd w:val="clear" w:color="auto" w:fill="auto"/>
          </w:tcPr>
          <w:p w14:paraId="67D3D550" w14:textId="77777777" w:rsidR="0068777C" w:rsidRPr="00256982" w:rsidRDefault="0068777C" w:rsidP="00044580">
            <w:pPr>
              <w:pStyle w:val="TableText"/>
              <w:spacing w:before="50" w:after="50"/>
              <w:jc w:val="right"/>
              <w:rPr>
                <w:i/>
                <w:iCs/>
              </w:rPr>
            </w:pPr>
            <w:r w:rsidRPr="00256982">
              <w:t>80.8</w:t>
            </w:r>
          </w:p>
        </w:tc>
        <w:tc>
          <w:tcPr>
            <w:tcW w:w="824" w:type="dxa"/>
            <w:shd w:val="clear" w:color="auto" w:fill="auto"/>
          </w:tcPr>
          <w:p w14:paraId="44AB3E0C" w14:textId="77777777" w:rsidR="0068777C" w:rsidRPr="00256982" w:rsidRDefault="0068777C" w:rsidP="00044580">
            <w:pPr>
              <w:pStyle w:val="TableText"/>
              <w:spacing w:before="50" w:after="50"/>
              <w:jc w:val="right"/>
              <w:rPr>
                <w:i/>
                <w:iCs/>
              </w:rPr>
            </w:pPr>
            <w:r w:rsidRPr="00256982">
              <w:t>21.3</w:t>
            </w:r>
          </w:p>
        </w:tc>
        <w:tc>
          <w:tcPr>
            <w:tcW w:w="992" w:type="dxa"/>
            <w:shd w:val="clear" w:color="auto" w:fill="auto"/>
          </w:tcPr>
          <w:p w14:paraId="78781FFB" w14:textId="77777777" w:rsidR="0068777C" w:rsidRPr="00256982" w:rsidRDefault="0068777C" w:rsidP="00044580">
            <w:pPr>
              <w:pStyle w:val="TableText"/>
              <w:spacing w:before="50" w:after="50"/>
              <w:jc w:val="right"/>
              <w:rPr>
                <w:i/>
                <w:iCs/>
              </w:rPr>
            </w:pPr>
            <w:r w:rsidRPr="00256982">
              <w:t>–59.5</w:t>
            </w:r>
          </w:p>
        </w:tc>
        <w:tc>
          <w:tcPr>
            <w:tcW w:w="850" w:type="dxa"/>
            <w:shd w:val="clear" w:color="auto" w:fill="auto"/>
          </w:tcPr>
          <w:p w14:paraId="336FE748" w14:textId="77777777" w:rsidR="0068777C" w:rsidRPr="00256982" w:rsidRDefault="0068777C" w:rsidP="00044580">
            <w:pPr>
              <w:pStyle w:val="TableText"/>
              <w:spacing w:before="50" w:after="50"/>
              <w:jc w:val="right"/>
              <w:rPr>
                <w:i/>
                <w:iCs/>
              </w:rPr>
            </w:pPr>
            <w:r w:rsidRPr="00256982">
              <w:t>–73.6</w:t>
            </w:r>
          </w:p>
        </w:tc>
        <w:tc>
          <w:tcPr>
            <w:tcW w:w="851" w:type="dxa"/>
            <w:shd w:val="clear" w:color="auto" w:fill="auto"/>
          </w:tcPr>
          <w:p w14:paraId="67087BD0" w14:textId="77777777" w:rsidR="0068777C" w:rsidRPr="00256982" w:rsidRDefault="0068777C" w:rsidP="00044580">
            <w:pPr>
              <w:pStyle w:val="TableText"/>
              <w:spacing w:before="50" w:after="50"/>
              <w:jc w:val="right"/>
              <w:rPr>
                <w:i/>
                <w:iCs/>
              </w:rPr>
            </w:pPr>
            <w:r w:rsidRPr="00256982">
              <w:t>1.2</w:t>
            </w:r>
          </w:p>
        </w:tc>
        <w:tc>
          <w:tcPr>
            <w:tcW w:w="850" w:type="dxa"/>
            <w:shd w:val="clear" w:color="auto" w:fill="auto"/>
          </w:tcPr>
          <w:p w14:paraId="4B82BF6A" w14:textId="77777777" w:rsidR="0068777C" w:rsidRPr="00256982" w:rsidRDefault="0068777C" w:rsidP="00044580">
            <w:pPr>
              <w:pStyle w:val="TableText"/>
              <w:spacing w:before="50" w:after="50"/>
              <w:jc w:val="right"/>
              <w:rPr>
                <w:i/>
                <w:iCs/>
              </w:rPr>
            </w:pPr>
            <w:r w:rsidRPr="00256982">
              <w:t>0.2</w:t>
            </w:r>
          </w:p>
        </w:tc>
        <w:tc>
          <w:tcPr>
            <w:tcW w:w="851" w:type="dxa"/>
            <w:shd w:val="clear" w:color="auto" w:fill="auto"/>
          </w:tcPr>
          <w:p w14:paraId="71F63214" w14:textId="77777777" w:rsidR="0068777C" w:rsidRPr="00256982" w:rsidRDefault="0068777C" w:rsidP="00044580">
            <w:pPr>
              <w:pStyle w:val="TableText"/>
              <w:spacing w:before="50" w:after="50"/>
              <w:jc w:val="right"/>
              <w:rPr>
                <w:i/>
                <w:iCs/>
              </w:rPr>
            </w:pPr>
            <w:r w:rsidRPr="00256982">
              <w:t>0.2</w:t>
            </w:r>
          </w:p>
        </w:tc>
        <w:tc>
          <w:tcPr>
            <w:tcW w:w="850" w:type="dxa"/>
            <w:tcBorders>
              <w:right w:val="nil"/>
            </w:tcBorders>
            <w:shd w:val="clear" w:color="auto" w:fill="auto"/>
          </w:tcPr>
          <w:p w14:paraId="0CEC0AAD" w14:textId="77777777" w:rsidR="0068777C" w:rsidRPr="00256982" w:rsidRDefault="0068777C" w:rsidP="00044580">
            <w:pPr>
              <w:pStyle w:val="TableText"/>
              <w:spacing w:before="50" w:after="50"/>
              <w:jc w:val="right"/>
              <w:rPr>
                <w:i/>
                <w:iCs/>
              </w:rPr>
            </w:pPr>
            <w:r w:rsidRPr="00256982">
              <w:t>0.1</w:t>
            </w:r>
          </w:p>
        </w:tc>
      </w:tr>
    </w:tbl>
    <w:p w14:paraId="135AB308" w14:textId="77777777" w:rsidR="0068777C" w:rsidRPr="00256982" w:rsidRDefault="0068777C" w:rsidP="0068777C">
      <w:pPr>
        <w:pStyle w:val="Noteundertable"/>
        <w:spacing w:before="160"/>
      </w:pPr>
      <w:bookmarkStart w:id="759" w:name="_Toc274046122"/>
      <w:bookmarkEnd w:id="758"/>
      <w:r w:rsidRPr="00256982">
        <w:rPr>
          <w:b/>
        </w:rPr>
        <w:t>Note:</w:t>
      </w:r>
      <w:r w:rsidRPr="00256982">
        <w:tab/>
        <w:t>Percentages presented are calculated from unrounded values.</w:t>
      </w:r>
    </w:p>
    <w:p w14:paraId="1993079C" w14:textId="77777777" w:rsidR="0068777C" w:rsidRPr="00256982" w:rsidRDefault="0068777C" w:rsidP="0068777C">
      <w:pPr>
        <w:pStyle w:val="Heading5"/>
        <w:spacing w:before="280"/>
      </w:pPr>
      <w:r w:rsidRPr="00256982">
        <w:t>Nitrous oxide from crop residue returned to soil</w:t>
      </w:r>
      <w:bookmarkEnd w:id="759"/>
      <w:r w:rsidRPr="00256982">
        <w:t xml:space="preserve"> (CRF 3.D.1.4)</w:t>
      </w:r>
    </w:p>
    <w:p w14:paraId="3897AD03" w14:textId="77777777" w:rsidR="0068777C" w:rsidRPr="00256982" w:rsidDel="005621A7" w:rsidRDefault="0068777C" w:rsidP="0068777C">
      <w:pPr>
        <w:pStyle w:val="BodyText"/>
      </w:pPr>
      <w:r w:rsidRPr="00256982">
        <w:t xml:space="preserve">This emissions category includes emissions from nitrogen added to soils by above- and below-ground crop residue (including residue left behind by crop burning), and the nitrogen added as a result of mineralisation of forages during pasture renewal. It includes both nitrogen-fixing and non-nitrogen-fixing crop species. Crop residues are materials left in an agricultural field or orchard after the crop has been harvested. Pasture renewal is the destruction of low quality pasture followed by the sowing of improved pasture species and/or varieties. It is promoted as a method to increase farm productivity. The direct emissions from agricultural residue burning are reported under section 5.7. </w:t>
      </w:r>
    </w:p>
    <w:p w14:paraId="2DD50E8D" w14:textId="77777777" w:rsidR="0068777C" w:rsidRPr="00256982" w:rsidRDefault="0068777C" w:rsidP="0068777C">
      <w:pPr>
        <w:pStyle w:val="BodyText"/>
        <w:spacing w:before="100"/>
      </w:pPr>
      <w:r w:rsidRPr="00256982">
        <w:t>New Zealand does not include an adjustment for crop residue removed for feed and bedding, as recommended by Thomas et al. (2008), who recommended that this be ignored until appropriate activity data are available.</w:t>
      </w:r>
    </w:p>
    <w:p w14:paraId="619C157B" w14:textId="77777777" w:rsidR="0068777C" w:rsidRPr="00256982" w:rsidRDefault="0068777C" w:rsidP="0068777C">
      <w:pPr>
        <w:pStyle w:val="BodyText"/>
        <w:spacing w:before="100"/>
      </w:pPr>
      <w:r w:rsidRPr="00256982">
        <w:rPr>
          <w:b/>
          <w:bCs/>
        </w:rPr>
        <w:t xml:space="preserve">Nitrogen from crop residue: </w:t>
      </w:r>
      <w:r w:rsidRPr="00256982">
        <w:t>The non-nitrogen-fixing crops grown in New Zealand are barley, wheat, oats, potatoes, maize seed and other seed crops. For the 2012 submission onwards, New Zealand has reported emissions from additional cropping activity not previously estimated, such as onions, squash and sweetcorn (Thomas et al., 2011). The nitrogen-fixing crops grown in New Zealand include peas grown for both processing and seed markets as well as lentil production, and forage legume seeds grown for pasture production.</w:t>
      </w:r>
    </w:p>
    <w:p w14:paraId="3BF0FCDB" w14:textId="77777777" w:rsidR="0068777C" w:rsidRPr="00256982" w:rsidRDefault="0068777C" w:rsidP="0068777C">
      <w:pPr>
        <w:pStyle w:val="BodyText"/>
        <w:spacing w:before="100" w:after="80"/>
      </w:pPr>
      <w:r w:rsidRPr="00256982">
        <w:t>A country-specific methodology is used to calculate emissions from crop residue (Thomas et al., 2008):</w:t>
      </w:r>
    </w:p>
    <w:p w14:paraId="272129FD" w14:textId="77777777" w:rsidR="0068777C" w:rsidRPr="00256982" w:rsidRDefault="0068777C" w:rsidP="0068777C">
      <w:pPr>
        <w:pStyle w:val="BodyText"/>
        <w:spacing w:before="80" w:after="80"/>
      </w:pPr>
      <w:r w:rsidRPr="00256982">
        <w:object w:dxaOrig="7196" w:dyaOrig="495" w14:anchorId="435E65ED">
          <v:shape id="_x0000_i1101" type="#_x0000_t75" style="width:5in;height:24pt" o:ole="">
            <v:imagedata r:id="rId141" o:title=""/>
          </v:shape>
          <o:OLEObject Type="Embed" ProgID="Word.Document.12" ShapeID="_x0000_i1101" DrawAspect="Content" ObjectID="_1616241210" r:id="rId142">
            <o:FieldCodes>\s</o:FieldCodes>
          </o:OLEObject>
        </w:object>
      </w:r>
    </w:p>
    <w:p w14:paraId="3E548CE0" w14:textId="77777777" w:rsidR="0068777C" w:rsidRPr="00256982" w:rsidRDefault="0068777C" w:rsidP="0068777C">
      <w:pPr>
        <w:spacing w:before="120" w:after="120"/>
        <w:ind w:left="851" w:hanging="851"/>
      </w:pPr>
      <w:r w:rsidRPr="00256982">
        <w:t>Where:</w:t>
      </w:r>
      <w:r w:rsidRPr="00256982">
        <w:tab/>
        <w:t>AG</w:t>
      </w:r>
      <w:r w:rsidRPr="00256982">
        <w:rPr>
          <w:vertAlign w:val="subscript"/>
        </w:rPr>
        <w:t>N</w:t>
      </w:r>
      <w:r w:rsidRPr="00256982">
        <w:t xml:space="preserve"> and BG</w:t>
      </w:r>
      <w:r w:rsidRPr="00256982">
        <w:rPr>
          <w:vertAlign w:val="subscript"/>
        </w:rPr>
        <w:t>N</w:t>
      </w:r>
      <w:r w:rsidRPr="00256982">
        <w:t xml:space="preserve"> are the annual nitrogen residue returned to soils from above- and below-ground crop residue, and crop-specific values are given in annex 3, table A3.1.7, and the country-specific value of EF</w:t>
      </w:r>
      <w:r w:rsidRPr="00256982">
        <w:rPr>
          <w:vertAlign w:val="subscript"/>
        </w:rPr>
        <w:t>1</w:t>
      </w:r>
      <w:r w:rsidRPr="00256982">
        <w:t xml:space="preserve"> of 0.01 is used (see table 5.5.2).</w:t>
      </w:r>
    </w:p>
    <w:bookmarkStart w:id="760" w:name="_MON_1552215074"/>
    <w:bookmarkEnd w:id="760"/>
    <w:p w14:paraId="4CAD4F88" w14:textId="77777777" w:rsidR="0068777C" w:rsidRPr="00256982" w:rsidRDefault="0068777C" w:rsidP="0068777C">
      <w:pPr>
        <w:pStyle w:val="BodyText"/>
        <w:spacing w:before="80" w:after="80"/>
      </w:pPr>
      <w:r w:rsidRPr="00256982">
        <w:object w:dxaOrig="8261" w:dyaOrig="589" w14:anchorId="17791861">
          <v:shape id="_x0000_i1102" type="#_x0000_t75" style="width:412.5pt;height:30pt" o:ole="">
            <v:imagedata r:id="rId143" o:title="" cropleft="4520f" cropright="2002f"/>
          </v:shape>
          <o:OLEObject Type="Embed" ProgID="Word.Document.12" ShapeID="_x0000_i1102" DrawAspect="Content" ObjectID="_1616241211" r:id="rId144">
            <o:FieldCodes>\s</o:FieldCodes>
          </o:OLEObject>
        </w:object>
      </w:r>
    </w:p>
    <w:p w14:paraId="2FD0EC4C" w14:textId="77777777" w:rsidR="0068777C" w:rsidRPr="00256982" w:rsidRDefault="0068777C" w:rsidP="0068777C">
      <w:pPr>
        <w:spacing w:before="120"/>
        <w:ind w:left="851" w:hanging="851"/>
      </w:pPr>
      <w:r w:rsidRPr="00256982">
        <w:t>Where:</w:t>
      </w:r>
      <w:r w:rsidRPr="00256982">
        <w:tab/>
        <w:t>AG</w:t>
      </w:r>
      <w:r w:rsidRPr="00256982">
        <w:rPr>
          <w:vertAlign w:val="subscript"/>
        </w:rPr>
        <w:t>DM</w:t>
      </w:r>
      <w:r w:rsidRPr="00256982">
        <w:t xml:space="preserve"> is the mass of the above-ground residue dry matter (explained in the equation below)</w:t>
      </w:r>
    </w:p>
    <w:p w14:paraId="7D05FBEB" w14:textId="77777777" w:rsidR="0068777C" w:rsidRPr="00256982" w:rsidRDefault="0068777C" w:rsidP="0068777C">
      <w:pPr>
        <w:spacing w:before="100"/>
        <w:ind w:left="851" w:hanging="851"/>
      </w:pPr>
      <w:r w:rsidRPr="00256982">
        <w:tab/>
        <w:t>Crop</w:t>
      </w:r>
      <w:r w:rsidRPr="00256982">
        <w:rPr>
          <w:vertAlign w:val="subscript"/>
        </w:rPr>
        <w:t>T</w:t>
      </w:r>
      <w:r w:rsidRPr="00256982">
        <w:t xml:space="preserve"> is the crop yield, or mass, removed during harvest</w:t>
      </w:r>
    </w:p>
    <w:p w14:paraId="699E5E2E" w14:textId="77777777" w:rsidR="0068777C" w:rsidRPr="00256982" w:rsidRDefault="0068777C" w:rsidP="0068777C">
      <w:pPr>
        <w:tabs>
          <w:tab w:val="left" w:pos="1276"/>
        </w:tabs>
        <w:spacing w:before="100"/>
        <w:ind w:left="851" w:hanging="851"/>
      </w:pPr>
      <w:r w:rsidRPr="00256982">
        <w:tab/>
        <w:t>N</w:t>
      </w:r>
      <w:r w:rsidRPr="00256982">
        <w:rPr>
          <w:vertAlign w:val="subscript"/>
        </w:rPr>
        <w:t>AG</w:t>
      </w:r>
      <w:r w:rsidRPr="00256982">
        <w:t xml:space="preserve"> and N</w:t>
      </w:r>
      <w:r w:rsidRPr="00256982">
        <w:rPr>
          <w:vertAlign w:val="subscript"/>
        </w:rPr>
        <w:t>BG</w:t>
      </w:r>
      <w:r w:rsidRPr="00256982">
        <w:t xml:space="preserve"> are the above- and below-ground crop-specific nitrogen concentration factors, and</w:t>
      </w:r>
    </w:p>
    <w:p w14:paraId="7B8FF5A1" w14:textId="77777777" w:rsidR="0068777C" w:rsidRPr="00256982" w:rsidRDefault="0068777C" w:rsidP="0068777C">
      <w:pPr>
        <w:spacing w:before="100" w:after="80"/>
        <w:ind w:left="851" w:hanging="851"/>
      </w:pPr>
      <w:r w:rsidRPr="00256982">
        <w:lastRenderedPageBreak/>
        <w:tab/>
        <w:t>R</w:t>
      </w:r>
      <w:r w:rsidRPr="00256982">
        <w:rPr>
          <w:vertAlign w:val="subscript"/>
        </w:rPr>
        <w:t>BG</w:t>
      </w:r>
      <w:r w:rsidRPr="00256982">
        <w:t xml:space="preserve"> is the crop-specific root:shoot ratio of below-ground dry matter against the total above-ground crop biomass (crop gathered, Crop</w:t>
      </w:r>
      <w:r w:rsidRPr="00256982">
        <w:rPr>
          <w:vertAlign w:val="subscript"/>
        </w:rPr>
        <w:t>T,</w:t>
      </w:r>
      <w:r w:rsidRPr="00256982">
        <w:t xml:space="preserve"> plus above-ground residue dry matter, AG</w:t>
      </w:r>
      <w:r w:rsidRPr="00256982">
        <w:rPr>
          <w:vertAlign w:val="subscript"/>
        </w:rPr>
        <w:t>DM</w:t>
      </w:r>
      <w:r w:rsidRPr="00256982">
        <w:t>), 0.1 (see annex 3, table A3.1.7).</w:t>
      </w:r>
    </w:p>
    <w:p w14:paraId="5CCF2968" w14:textId="77777777" w:rsidR="0068777C" w:rsidRPr="00256982" w:rsidRDefault="00044580" w:rsidP="0068777C">
      <w:pPr>
        <w:pStyle w:val="BodyText"/>
        <w:spacing w:before="60" w:after="60"/>
        <w:jc w:val="center"/>
      </w:pPr>
      <w:r w:rsidRPr="00256982">
        <w:object w:dxaOrig="6341" w:dyaOrig="502" w14:anchorId="1BA90E91">
          <v:shape id="_x0000_i1103" type="#_x0000_t75" style="width:315.75pt;height:25.5pt" o:ole="">
            <v:imagedata r:id="rId145" o:title=""/>
          </v:shape>
          <o:OLEObject Type="Embed" ProgID="Word.Document.12" ShapeID="_x0000_i1103" DrawAspect="Content" ObjectID="_1616241212" r:id="rId146">
            <o:FieldCodes>\s</o:FieldCodes>
          </o:OLEObject>
        </w:object>
      </w:r>
    </w:p>
    <w:p w14:paraId="127467CE" w14:textId="77777777" w:rsidR="0068777C" w:rsidRPr="00256982" w:rsidRDefault="0068777C" w:rsidP="0068777C">
      <w:pPr>
        <w:spacing w:before="120"/>
        <w:ind w:left="851" w:hanging="851"/>
      </w:pPr>
      <w:r w:rsidRPr="00256982">
        <w:t>Where:</w:t>
      </w:r>
      <w:r w:rsidRPr="00256982">
        <w:tab/>
        <w:t>HI is the crop-specific harvest index or fraction of the crop that is harvested (see annex 3, table A3.1.7)</w:t>
      </w:r>
    </w:p>
    <w:p w14:paraId="16BF0854" w14:textId="77777777" w:rsidR="0068777C" w:rsidRPr="00256982" w:rsidRDefault="0068777C" w:rsidP="0068777C">
      <w:pPr>
        <w:spacing w:before="100"/>
        <w:ind w:left="851" w:hanging="851"/>
      </w:pPr>
      <w:r w:rsidRPr="00256982">
        <w:tab/>
        <w:t>Frac</w:t>
      </w:r>
      <w:r w:rsidRPr="00256982">
        <w:rPr>
          <w:vertAlign w:val="subscript"/>
        </w:rPr>
        <w:t>BURN</w:t>
      </w:r>
      <w:r w:rsidRPr="00256982">
        <w:t xml:space="preserve"> is the fraction of residue burned in the field (see table 5.5.3), and</w:t>
      </w:r>
    </w:p>
    <w:p w14:paraId="39AF44B9" w14:textId="77777777" w:rsidR="0068777C" w:rsidRPr="00256982" w:rsidRDefault="0068777C" w:rsidP="0068777C">
      <w:pPr>
        <w:spacing w:before="100" w:after="120"/>
        <w:ind w:left="851" w:hanging="851"/>
      </w:pPr>
      <w:r w:rsidRPr="00256982">
        <w:tab/>
        <w:t>C</w:t>
      </w:r>
      <w:r w:rsidRPr="00256982">
        <w:rPr>
          <w:vertAlign w:val="subscript"/>
        </w:rPr>
        <w:t>f</w:t>
      </w:r>
      <w:r w:rsidRPr="00256982">
        <w:t xml:space="preserve"> is the combustion factor; a value of 0.7 is recommended (Thomas et al., 2008).</w:t>
      </w:r>
    </w:p>
    <w:p w14:paraId="13EC4E9E" w14:textId="77777777" w:rsidR="0068777C" w:rsidRPr="00256982" w:rsidRDefault="0068777C" w:rsidP="0068777C">
      <w:pPr>
        <w:pStyle w:val="BodyText"/>
        <w:spacing w:before="100" w:after="100"/>
      </w:pPr>
      <w:r w:rsidRPr="00256982">
        <w:t>The country-specific value for Frac</w:t>
      </w:r>
      <w:r w:rsidRPr="00256982">
        <w:rPr>
          <w:vertAlign w:val="subscript"/>
        </w:rPr>
        <w:t>BURN</w:t>
      </w:r>
      <w:r w:rsidRPr="00256982">
        <w:t>, the fraction of residue burned in the field, was derived from Statistics New Zealand data and farmer surveys (Thomas et al., 2011). The parameters used to estimate the nitrogen added by above- and below-ground crop residues were compiled from published and unpublished reports for New Zealand-grown crops (Cichota et al., 2010) and ‘typical’ values derived for use in the OVERSEER</w:t>
      </w:r>
      <w:r w:rsidRPr="00256982">
        <w:rPr>
          <w:vertAlign w:val="superscript"/>
        </w:rPr>
        <w:t>®</w:t>
      </w:r>
      <w:r w:rsidRPr="00256982">
        <w:t xml:space="preserve"> nutrient budget model for New Zealand. The OVERSEER</w:t>
      </w:r>
      <w:r w:rsidRPr="00256982">
        <w:rPr>
          <w:vertAlign w:val="superscript"/>
        </w:rPr>
        <w:t>®</w:t>
      </w:r>
      <w:r w:rsidRPr="00256982">
        <w:t xml:space="preserve"> model provides average estimates of the fate of nitrogen for a range of pastoral, arable and horticultural systems (www.overseer.org.nz). </w:t>
      </w:r>
    </w:p>
    <w:p w14:paraId="6B90BBF8" w14:textId="77777777" w:rsidR="0068777C" w:rsidRPr="00256982" w:rsidRDefault="0068777C" w:rsidP="0068777C">
      <w:pPr>
        <w:pStyle w:val="BodyText"/>
        <w:spacing w:before="100" w:after="100"/>
      </w:pPr>
      <w:r w:rsidRPr="00256982">
        <w:t xml:space="preserve">The per-year harvested tonnage of most non-nitrogen-fixing crops in New Zealand is supplied by Statistics New Zealand from its Agricultural Production census and survey. Additional information on potatoes is provided by Potatoes New Zealand, and updated information on seed crops is provided by AsureQuality, which provides verification and certification services for the seed industry (Thomas, unpublished; S Thomas, pers. comm., 2014). The tonnage of nitrogen-fixing crops is supplied by Statistics New Zealand from its Agricultural Production census and survey (lentils and legumes) and Horticulture New Zealand (peas) (S Thomas, pers. comm., 2014). </w:t>
      </w:r>
    </w:p>
    <w:p w14:paraId="2A87F841" w14:textId="77777777" w:rsidR="0068777C" w:rsidRPr="00256982" w:rsidRDefault="0068777C" w:rsidP="0068777C">
      <w:pPr>
        <w:pStyle w:val="BodyText"/>
        <w:rPr>
          <w:spacing w:val="-2"/>
        </w:rPr>
      </w:pPr>
      <w:r w:rsidRPr="00256982">
        <w:rPr>
          <w:b/>
          <w:spacing w:val="-2"/>
        </w:rPr>
        <w:t xml:space="preserve">Nitrogen from pasture renewal: </w:t>
      </w:r>
      <w:r w:rsidRPr="00256982">
        <w:rPr>
          <w:spacing w:val="-2"/>
        </w:rPr>
        <w:t>Of the four categories of perennial forage that the IPCC (2006) lists for pasture renewal, only two categories are appropriate for New Zealand (Thomas et al., 2014): these are grass–clover pastures and lucerne, a nitrogen-fixing perennial forage. New Zealand has calculated emissions from pasture renewal per plant species type, T, separately:</w:t>
      </w:r>
    </w:p>
    <w:bookmarkStart w:id="761" w:name="_MON_1576650483"/>
    <w:bookmarkEnd w:id="761"/>
    <w:p w14:paraId="3D4BA377" w14:textId="6108A695" w:rsidR="0068777C" w:rsidRPr="00256982" w:rsidRDefault="00312DB0" w:rsidP="00312DB0">
      <w:pPr>
        <w:pStyle w:val="BodyText"/>
        <w:tabs>
          <w:tab w:val="left" w:pos="284"/>
        </w:tabs>
        <w:spacing w:before="0" w:after="0"/>
        <w:jc w:val="left"/>
      </w:pPr>
      <w:r w:rsidRPr="00312DB0">
        <w:rPr>
          <w:sz w:val="20"/>
        </w:rPr>
        <w:object w:dxaOrig="8651" w:dyaOrig="690" w14:anchorId="3FA09589">
          <v:shape id="_x0000_i1104" type="#_x0000_t75" style="width:432.75pt;height:34.5pt" o:ole="">
            <v:imagedata r:id="rId147" o:title="" cropright="5261f"/>
          </v:shape>
          <o:OLEObject Type="Embed" ProgID="Word.Document.12" ShapeID="_x0000_i1104" DrawAspect="Content" ObjectID="_1616241213" r:id="rId148">
            <o:FieldCodes>\s</o:FieldCodes>
          </o:OLEObject>
        </w:object>
      </w:r>
    </w:p>
    <w:p w14:paraId="19CADB82" w14:textId="77777777" w:rsidR="0068777C" w:rsidRPr="00256982" w:rsidRDefault="0068777C" w:rsidP="004C5E77">
      <w:pPr>
        <w:ind w:left="964" w:hanging="964"/>
      </w:pPr>
      <w:r w:rsidRPr="00256982">
        <w:t>Where:</w:t>
      </w:r>
      <w:r w:rsidRPr="00256982">
        <w:tab/>
        <w:t>Area</w:t>
      </w:r>
      <w:r w:rsidRPr="00256982">
        <w:rPr>
          <w:vertAlign w:val="subscript"/>
        </w:rPr>
        <w:t>T</w:t>
      </w:r>
      <w:r w:rsidRPr="00256982">
        <w:t xml:space="preserve"> is the total annual area harvested (hectares per year). No burning is used for pasture renewal in New Zealand</w:t>
      </w:r>
    </w:p>
    <w:p w14:paraId="1653C473" w14:textId="77777777" w:rsidR="0068777C" w:rsidRPr="00256982" w:rsidRDefault="0068777C" w:rsidP="0068777C">
      <w:pPr>
        <w:spacing w:before="120"/>
        <w:ind w:left="964" w:hanging="964"/>
      </w:pPr>
      <w:r w:rsidRPr="00256982">
        <w:tab/>
        <w:t>Frac</w:t>
      </w:r>
      <w:r w:rsidRPr="00256982">
        <w:rPr>
          <w:vertAlign w:val="subscript"/>
        </w:rPr>
        <w:t>RENEW(T)</w:t>
      </w:r>
      <w:r w:rsidRPr="00256982">
        <w:t xml:space="preserve"> is the fraction of the area under each crop that is renewed</w:t>
      </w:r>
    </w:p>
    <w:p w14:paraId="26A4286D" w14:textId="77777777" w:rsidR="0068777C" w:rsidRPr="00256982" w:rsidRDefault="0068777C" w:rsidP="0068777C">
      <w:pPr>
        <w:spacing w:before="120"/>
        <w:ind w:left="964" w:hanging="964"/>
      </w:pPr>
      <w:r w:rsidRPr="00256982">
        <w:tab/>
        <w:t>R</w:t>
      </w:r>
      <w:r w:rsidRPr="00256982">
        <w:rPr>
          <w:vertAlign w:val="subscript"/>
        </w:rPr>
        <w:t>AG(T)</w:t>
      </w:r>
      <w:r w:rsidRPr="00256982">
        <w:t xml:space="preserve"> is the ratio of above-ground residue dry matter (DM) to harvested yield (kg N/kg DM)</w:t>
      </w:r>
    </w:p>
    <w:p w14:paraId="02AF9D5E" w14:textId="77777777" w:rsidR="0068777C" w:rsidRPr="00256982" w:rsidRDefault="0068777C" w:rsidP="0068777C">
      <w:pPr>
        <w:spacing w:before="120"/>
        <w:ind w:left="964" w:hanging="964"/>
      </w:pPr>
      <w:r w:rsidRPr="00256982">
        <w:tab/>
        <w:t>N</w:t>
      </w:r>
      <w:r w:rsidRPr="00256982">
        <w:rPr>
          <w:vertAlign w:val="subscript"/>
        </w:rPr>
        <w:t>AG(T)</w:t>
      </w:r>
      <w:r w:rsidRPr="00256982">
        <w:t xml:space="preserve"> is the nitrogen content of above-ground residue (kg N/kg DM)</w:t>
      </w:r>
    </w:p>
    <w:p w14:paraId="2634C25E" w14:textId="77777777" w:rsidR="0068777C" w:rsidRPr="00256982" w:rsidRDefault="0068777C" w:rsidP="0068777C">
      <w:pPr>
        <w:spacing w:before="120"/>
        <w:ind w:left="964" w:hanging="964"/>
      </w:pPr>
      <w:r w:rsidRPr="00256982">
        <w:tab/>
        <w:t>Frac</w:t>
      </w:r>
      <w:r w:rsidRPr="00256982">
        <w:rPr>
          <w:vertAlign w:val="subscript"/>
        </w:rPr>
        <w:t>REMOVE (T)</w:t>
      </w:r>
      <w:r w:rsidRPr="00256982">
        <w:t xml:space="preserve"> is the fraction of above-ground residue removed annually for feed, assumed zero for New Zealand</w:t>
      </w:r>
    </w:p>
    <w:p w14:paraId="511151DD" w14:textId="77777777" w:rsidR="0068777C" w:rsidRPr="00256982" w:rsidRDefault="0068777C" w:rsidP="0068777C">
      <w:pPr>
        <w:spacing w:before="120"/>
        <w:ind w:left="964" w:hanging="964"/>
      </w:pPr>
      <w:r w:rsidRPr="00256982">
        <w:tab/>
        <w:t>R</w:t>
      </w:r>
      <w:r w:rsidRPr="00256982">
        <w:rPr>
          <w:vertAlign w:val="subscript"/>
        </w:rPr>
        <w:t>BG(T)</w:t>
      </w:r>
      <w:r w:rsidRPr="00256982">
        <w:t xml:space="preserve"> is the ratio of below-ground residue DM to harvest yield (kg N/kg DM), and</w:t>
      </w:r>
    </w:p>
    <w:p w14:paraId="207E613B" w14:textId="77777777" w:rsidR="0068777C" w:rsidRPr="00256982" w:rsidRDefault="0068777C" w:rsidP="0068777C">
      <w:pPr>
        <w:spacing w:before="120" w:after="120"/>
        <w:ind w:left="964" w:hanging="964"/>
      </w:pPr>
      <w:r w:rsidRPr="00256982">
        <w:tab/>
        <w:t>N</w:t>
      </w:r>
      <w:r w:rsidRPr="00256982">
        <w:rPr>
          <w:vertAlign w:val="subscript"/>
        </w:rPr>
        <w:t>BG(T)</w:t>
      </w:r>
      <w:r w:rsidRPr="00256982">
        <w:t xml:space="preserve"> is the nitrogen content of below-ground residue (kg N/kg DM).</w:t>
      </w:r>
    </w:p>
    <w:p w14:paraId="2B64D506" w14:textId="77777777" w:rsidR="0068777C" w:rsidRPr="00256982" w:rsidRDefault="0068777C" w:rsidP="0068777C">
      <w:pPr>
        <w:pStyle w:val="BodyText"/>
      </w:pPr>
      <w:r w:rsidRPr="00256982">
        <w:t>The areas for each perennial forage crop were obtained from the Statistics New Zealand Agricultural Production census a</w:t>
      </w:r>
      <w:r w:rsidRPr="00256982">
        <w:rPr>
          <w:rStyle w:val="BodyTextChar"/>
        </w:rPr>
        <w:t>n</w:t>
      </w:r>
      <w:r w:rsidRPr="00256982">
        <w:t xml:space="preserve">d survey, which include the area of grassland and annual crops from 1990–2017. The disaggregation of grass–clover systems has been considered, but there is insufficient activity data for pastures of different compositions in New Zealand because </w:t>
      </w:r>
      <w:r w:rsidRPr="00256982">
        <w:lastRenderedPageBreak/>
        <w:t>the proportion of clover varies widely in high nitrogen input systems. This means that disaggregated data on the nitrogen content are not presently available.</w:t>
      </w:r>
    </w:p>
    <w:p w14:paraId="564D10AF" w14:textId="77777777" w:rsidR="0068777C" w:rsidRPr="00256982" w:rsidRDefault="0068777C" w:rsidP="0068777C">
      <w:pPr>
        <w:pStyle w:val="BodyText"/>
      </w:pPr>
      <w:r w:rsidRPr="00256982">
        <w:t>The contribution of crop residues and pasture renewal to overall agricultural emissions is small, with 175.5 kt CO</w:t>
      </w:r>
      <w:r w:rsidRPr="00256982">
        <w:rPr>
          <w:vertAlign w:val="subscript"/>
        </w:rPr>
        <w:t>2</w:t>
      </w:r>
      <w:r w:rsidRPr="00256982">
        <w:t>-e (0.5 per cent of agricultural emissions) in 1990 and 249.4 kt CO</w:t>
      </w:r>
      <w:r w:rsidRPr="00256982">
        <w:rPr>
          <w:vertAlign w:val="subscript"/>
        </w:rPr>
        <w:t>2</w:t>
      </w:r>
      <w:r w:rsidRPr="00256982">
        <w:noBreakHyphen/>
        <w:t>e (0.6 per cent of agricultural emissions) in 2017.</w:t>
      </w:r>
    </w:p>
    <w:p w14:paraId="6585EAAE" w14:textId="77777777" w:rsidR="0068777C" w:rsidRPr="00256982" w:rsidRDefault="0068777C" w:rsidP="0068777C">
      <w:pPr>
        <w:pStyle w:val="Heading5"/>
      </w:pPr>
      <w:r w:rsidRPr="00256982">
        <w:t>Nitrogen mineralisation from loss of soil organic matter in mineral soils (CRF 3.D.1.5)</w:t>
      </w:r>
    </w:p>
    <w:p w14:paraId="5D88FEA2" w14:textId="77777777" w:rsidR="0068777C" w:rsidRPr="00256982" w:rsidRDefault="0068777C" w:rsidP="0068777C">
      <w:pPr>
        <w:pStyle w:val="BodyText"/>
      </w:pPr>
      <w:r w:rsidRPr="00256982">
        <w:t xml:space="preserve">Nitrogen mineralisation is the process by which organic nitrogen is converted to plant-available inorganic forms. Nitrogen mineralisation occurs when soil carbon is lost due to land-use or management change. Most of New Zealand’s emissions from nitrogen mineralised during the loss of soil organic matter are covered under the LULUCF sector. The exception is for activities under the </w:t>
      </w:r>
      <w:r w:rsidRPr="00256982">
        <w:rPr>
          <w:i/>
          <w:iCs/>
        </w:rPr>
        <w:t>Cropland remaining cropland</w:t>
      </w:r>
      <w:r w:rsidRPr="00256982">
        <w:t xml:space="preserve"> land-use category, which are reported under the Agriculture sector (IPCC, 2006). </w:t>
      </w:r>
    </w:p>
    <w:p w14:paraId="6B9D7C7E" w14:textId="77777777" w:rsidR="0068777C" w:rsidRPr="00256982" w:rsidRDefault="0068777C" w:rsidP="0068777C">
      <w:pPr>
        <w:pStyle w:val="BodyText"/>
        <w:spacing w:after="60"/>
      </w:pPr>
      <w:r w:rsidRPr="00256982">
        <w:t>The following equations are used to determine emissions from this activity:</w:t>
      </w:r>
    </w:p>
    <w:p w14:paraId="13BDE058" w14:textId="77777777" w:rsidR="0068777C" w:rsidRPr="00256982" w:rsidRDefault="00FB7629" w:rsidP="0068777C">
      <w:pPr>
        <w:pStyle w:val="BodyText"/>
        <w:spacing w:before="60" w:after="60"/>
      </w:pPr>
      <w:r w:rsidRPr="00256982">
        <w:object w:dxaOrig="7496" w:dyaOrig="495" w14:anchorId="0E957FD7">
          <v:shape id="_x0000_i1105" type="#_x0000_t75" style="width:375pt;height:24pt" o:ole="">
            <v:imagedata r:id="rId149" o:title=""/>
          </v:shape>
          <o:OLEObject Type="Embed" ProgID="Word.Document.12" ShapeID="_x0000_i1105" DrawAspect="Content" ObjectID="_1616241214" r:id="rId150">
            <o:FieldCodes>\s</o:FieldCodes>
          </o:OLEObject>
        </w:object>
      </w:r>
    </w:p>
    <w:p w14:paraId="7654391A" w14:textId="77777777" w:rsidR="0068777C" w:rsidRPr="00256982" w:rsidRDefault="0068777C" w:rsidP="0068777C">
      <w:pPr>
        <w:spacing w:before="120"/>
        <w:ind w:left="964" w:hanging="964"/>
      </w:pPr>
      <w:r w:rsidRPr="00256982">
        <w:t>Where:</w:t>
      </w:r>
      <w:r w:rsidRPr="00256982">
        <w:tab/>
        <w:t>N</w:t>
      </w:r>
      <w:r w:rsidRPr="00256982">
        <w:rPr>
          <w:vertAlign w:val="subscript"/>
        </w:rPr>
        <w:t>2</w:t>
      </w:r>
      <w:r w:rsidRPr="00256982">
        <w:t>O</w:t>
      </w:r>
      <w:r w:rsidRPr="00256982">
        <w:rPr>
          <w:vertAlign w:val="subscript"/>
        </w:rPr>
        <w:t>FSOM</w:t>
      </w:r>
      <w:r w:rsidRPr="00256982">
        <w:t xml:space="preserve"> is the N</w:t>
      </w:r>
      <w:r w:rsidRPr="00256982">
        <w:rPr>
          <w:vertAlign w:val="subscript"/>
        </w:rPr>
        <w:t>2</w:t>
      </w:r>
      <w:r w:rsidRPr="00256982">
        <w:t>O emitted as a result of nitrogen mineralisation from loss of soil organic matter in mineral soils (kt), and</w:t>
      </w:r>
    </w:p>
    <w:p w14:paraId="181F8FF0" w14:textId="77777777" w:rsidR="0068777C" w:rsidRPr="00256982" w:rsidRDefault="0068777C" w:rsidP="0068777C">
      <w:pPr>
        <w:spacing w:before="120"/>
        <w:ind w:left="964" w:hanging="964"/>
      </w:pPr>
      <w:r w:rsidRPr="00256982">
        <w:tab/>
        <w:t>F</w:t>
      </w:r>
      <w:r w:rsidRPr="00256982">
        <w:rPr>
          <w:vertAlign w:val="subscript"/>
        </w:rPr>
        <w:t>SOM</w:t>
      </w:r>
      <w:r w:rsidRPr="00256982">
        <w:t xml:space="preserve"> is the nitrogen mineralisation from loss of soil organic matter in mineral soils through land management for </w:t>
      </w:r>
      <w:r w:rsidRPr="00256982">
        <w:rPr>
          <w:i/>
        </w:rPr>
        <w:t>Cropland remaining cropland</w:t>
      </w:r>
      <w:r w:rsidRPr="00256982">
        <w:t xml:space="preserve"> (kg).</w:t>
      </w:r>
    </w:p>
    <w:p w14:paraId="0DE19679" w14:textId="77777777" w:rsidR="0068777C" w:rsidRPr="00256982" w:rsidRDefault="0068777C" w:rsidP="0068777C">
      <w:pPr>
        <w:spacing w:before="120" w:after="120"/>
        <w:ind w:left="964" w:hanging="964"/>
      </w:pPr>
      <w:r w:rsidRPr="00256982">
        <w:tab/>
        <w:t>The emission factor EF</w:t>
      </w:r>
      <w:r w:rsidRPr="00256982">
        <w:rPr>
          <w:vertAlign w:val="subscript"/>
        </w:rPr>
        <w:t>1</w:t>
      </w:r>
      <w:r w:rsidRPr="00256982">
        <w:t xml:space="preserve"> is 0.01 (Kelliher and de Klein, unpublished).</w:t>
      </w:r>
    </w:p>
    <w:p w14:paraId="225660D9" w14:textId="77777777" w:rsidR="0068777C" w:rsidRPr="00256982" w:rsidRDefault="0068777C" w:rsidP="004B6199">
      <w:pPr>
        <w:pStyle w:val="BodyText"/>
        <w:keepNext/>
        <w:spacing w:after="80"/>
      </w:pPr>
      <w:r w:rsidRPr="00256982">
        <w:t>And:</w:t>
      </w:r>
    </w:p>
    <w:p w14:paraId="66CE23D8" w14:textId="77777777" w:rsidR="0068777C" w:rsidRPr="00256982" w:rsidRDefault="00044580" w:rsidP="004B6199">
      <w:pPr>
        <w:pStyle w:val="BodyText"/>
        <w:spacing w:before="0" w:after="0"/>
        <w:ind w:right="-425"/>
      </w:pPr>
      <w:r w:rsidRPr="00256982">
        <w:object w:dxaOrig="6806" w:dyaOrig="494" w14:anchorId="18561122">
          <v:shape id="_x0000_i1106" type="#_x0000_t75" style="width:342pt;height:24pt" o:ole="">
            <v:imagedata r:id="rId151" o:title=""/>
          </v:shape>
          <o:OLEObject Type="Embed" ProgID="Word.Document.12" ShapeID="_x0000_i1106" DrawAspect="Content" ObjectID="_1616241215" r:id="rId152">
            <o:FieldCodes>\s</o:FieldCodes>
          </o:OLEObject>
        </w:object>
      </w:r>
    </w:p>
    <w:p w14:paraId="0D420C75" w14:textId="77777777" w:rsidR="0068777C" w:rsidRPr="00256982" w:rsidRDefault="0068777C" w:rsidP="0068777C">
      <w:pPr>
        <w:spacing w:before="120"/>
        <w:ind w:left="964" w:hanging="964"/>
      </w:pPr>
      <w:r w:rsidRPr="00256982">
        <w:t>Where:</w:t>
      </w:r>
      <w:r w:rsidRPr="00256982">
        <w:tab/>
        <w:t>∆C</w:t>
      </w:r>
      <w:r w:rsidRPr="00256982">
        <w:rPr>
          <w:vertAlign w:val="subscript"/>
        </w:rPr>
        <w:t>Mineral,CrC</w:t>
      </w:r>
      <w:r w:rsidRPr="00256982">
        <w:t xml:space="preserve"> is the loss of soil carbon (C) in mineral soil during management of cropland (kt), and</w:t>
      </w:r>
    </w:p>
    <w:p w14:paraId="39E4A910" w14:textId="77777777" w:rsidR="0068777C" w:rsidRPr="00256982" w:rsidRDefault="0068777C" w:rsidP="004B6199">
      <w:pPr>
        <w:spacing w:before="100" w:after="120"/>
        <w:ind w:left="964" w:hanging="964"/>
      </w:pPr>
      <w:r w:rsidRPr="00256982">
        <w:tab/>
        <w:t>R is the C:N ratio; the IPCC (2006) default value of 10 is used.</w:t>
      </w:r>
    </w:p>
    <w:p w14:paraId="1436AC5F" w14:textId="77777777" w:rsidR="0068777C" w:rsidRPr="00256982" w:rsidRDefault="0068777C" w:rsidP="004B6199">
      <w:pPr>
        <w:pStyle w:val="BodyText"/>
        <w:spacing w:before="100" w:after="100"/>
      </w:pPr>
      <w:r w:rsidRPr="00256982">
        <w:t>Activity data on the soil carbon loss associated with cropland since 1990 were provided by calculations under the LULUCF sector (refer to section 6.5).</w:t>
      </w:r>
    </w:p>
    <w:p w14:paraId="107F7F06" w14:textId="77777777" w:rsidR="0068777C" w:rsidRPr="00256982" w:rsidRDefault="0068777C" w:rsidP="004B6199">
      <w:pPr>
        <w:pStyle w:val="BodyText"/>
        <w:spacing w:before="100" w:after="100"/>
      </w:pPr>
      <w:r w:rsidRPr="00256982">
        <w:t>The contribution of nitrogen mineralisation from loss of soil organic matter to overall agricultural emissions is small, with 0.03 kt CO</w:t>
      </w:r>
      <w:r w:rsidRPr="00256982">
        <w:rPr>
          <w:vertAlign w:val="subscript"/>
        </w:rPr>
        <w:t>2</w:t>
      </w:r>
      <w:r w:rsidRPr="00256982">
        <w:t>-e in 1990 and 0.15 kt CO</w:t>
      </w:r>
      <w:r w:rsidRPr="00256982">
        <w:rPr>
          <w:vertAlign w:val="subscript"/>
        </w:rPr>
        <w:t>2</w:t>
      </w:r>
      <w:r w:rsidRPr="00256982">
        <w:t>-e in 2017.</w:t>
      </w:r>
    </w:p>
    <w:p w14:paraId="0638B9BD" w14:textId="77777777" w:rsidR="0068777C" w:rsidRPr="00256982" w:rsidRDefault="0068777C" w:rsidP="0068777C">
      <w:pPr>
        <w:pStyle w:val="Heading5"/>
      </w:pPr>
      <w:r w:rsidRPr="00256982">
        <w:t>Cultivation of organic soils (CRF 3.D.1.6)</w:t>
      </w:r>
    </w:p>
    <w:p w14:paraId="493A2FBF" w14:textId="77777777" w:rsidR="0068777C" w:rsidRPr="00256982" w:rsidRDefault="0068777C" w:rsidP="004B6199">
      <w:pPr>
        <w:pStyle w:val="BodyText"/>
        <w:spacing w:before="100" w:after="100"/>
      </w:pPr>
      <w:r w:rsidRPr="00256982">
        <w:t>The management of organic soils is a source of N</w:t>
      </w:r>
      <w:r w:rsidRPr="00256982">
        <w:rPr>
          <w:vertAlign w:val="subscript"/>
        </w:rPr>
        <w:t>2</w:t>
      </w:r>
      <w:r w:rsidRPr="00256982">
        <w:t xml:space="preserve">O emissions. The area of managed organic soils (histosols) in New Zealand includes both the area of cultivated organic soils (as reported under the LULUCF sector) and the area of mineral agricultural soils with a peaty layer that is cultivated (Dresser et al., 2011). Mineral soils with a peaty layer are included in the definition of organic soils because these soils have similar emissions behaviour to that of organic soils (Dresser et al., 2011). The full definition used in the Agriculture sector for organic soils (plus mineral soils with a peaty layer) is: </w:t>
      </w:r>
    </w:p>
    <w:p w14:paraId="5846930B" w14:textId="77777777" w:rsidR="0068777C" w:rsidRPr="00256982" w:rsidRDefault="0068777C" w:rsidP="004B6199">
      <w:pPr>
        <w:pStyle w:val="Bullet"/>
        <w:spacing w:after="100"/>
      </w:pPr>
      <w:r w:rsidRPr="00256982">
        <w:t xml:space="preserve">17 per cent organic matter content (includes slightly peaty, peaty and peat soils of </w:t>
      </w:r>
      <w:r w:rsidRPr="00256982">
        <w:br/>
        <w:t>17–30 per cent, 30–50 per cent and greater than 50 per cent organic matter content)</w:t>
      </w:r>
    </w:p>
    <w:p w14:paraId="2683F2FA" w14:textId="77777777" w:rsidR="0068777C" w:rsidRPr="00256982" w:rsidRDefault="0068777C" w:rsidP="0068777C">
      <w:pPr>
        <w:pStyle w:val="Bullet"/>
      </w:pPr>
      <w:r w:rsidRPr="00256982">
        <w:t>0.1 metres of this depth occurring within 0.3 metres of the surface.</w:t>
      </w:r>
    </w:p>
    <w:p w14:paraId="2F0D1C77" w14:textId="77777777" w:rsidR="0068777C" w:rsidRPr="00256982" w:rsidRDefault="0068777C" w:rsidP="0068777C">
      <w:pPr>
        <w:pStyle w:val="BodyText"/>
        <w:rPr>
          <w:rFonts w:cs="Arial"/>
          <w:spacing w:val="-2"/>
        </w:rPr>
      </w:pPr>
      <w:r w:rsidRPr="00256982">
        <w:rPr>
          <w:spacing w:val="-2"/>
        </w:rPr>
        <w:lastRenderedPageBreak/>
        <w:t>The total area of managed cultivated organic soils in New Zealand is 160,385 hectares, with 135,718 hectares being organic soils and 24,667 hectares being mineral soils with a peaty layer.</w:t>
      </w:r>
      <w:r w:rsidRPr="00256982">
        <w:rPr>
          <w:rFonts w:cs="Arial"/>
          <w:spacing w:val="-2"/>
        </w:rPr>
        <w:t xml:space="preserve"> </w:t>
      </w:r>
      <w:r w:rsidRPr="00256982">
        <w:rPr>
          <w:spacing w:val="-2"/>
        </w:rPr>
        <w:t xml:space="preserve">It is assumed that 5 per cent of organic soils (plus mineral soils with a peaty layer) under agricultural pasture is cultivated on an annual basis (Dresser et al., 2011; Kelliher et al., unpublished(a)). This results in 8,019 hectares of ‘organic agricultural soils’ being cultivated annually. </w:t>
      </w:r>
    </w:p>
    <w:p w14:paraId="2509CB30" w14:textId="77777777" w:rsidR="0068777C" w:rsidRPr="00256982" w:rsidRDefault="0068777C" w:rsidP="0068777C">
      <w:pPr>
        <w:pStyle w:val="BodyText"/>
      </w:pPr>
      <w:r w:rsidRPr="00256982">
        <w:t>Emissions from organic soils are calculated using the Tier 1 methodology for all years of the time series by multiplying the area of cultivated organic soils by the default value of emission factor EF</w:t>
      </w:r>
      <w:r w:rsidRPr="00256982">
        <w:rPr>
          <w:vertAlign w:val="subscript"/>
        </w:rPr>
        <w:t>2</w:t>
      </w:r>
      <w:r w:rsidRPr="00256982">
        <w:t>, of 8 kg N</w:t>
      </w:r>
      <w:r w:rsidRPr="00256982">
        <w:rPr>
          <w:vertAlign w:val="subscript"/>
        </w:rPr>
        <w:t>2</w:t>
      </w:r>
      <w:r w:rsidRPr="00256982">
        <w:t>O</w:t>
      </w:r>
      <w:r w:rsidRPr="00256982">
        <w:noBreakHyphen/>
        <w:t xml:space="preserve">N/ha (IPCC, 2006). </w:t>
      </w:r>
    </w:p>
    <w:p w14:paraId="03C4AEA2" w14:textId="641FB5CA" w:rsidR="0068777C" w:rsidRPr="00256982" w:rsidRDefault="0068777C" w:rsidP="0068777C">
      <w:pPr>
        <w:pStyle w:val="BodyText"/>
      </w:pPr>
      <w:r w:rsidRPr="00256982">
        <w:t>The annual contribution of organic soils (plus mineral soils with a peaty layer) to overall agricultural emissions is small and has been assumed to remain constant at 30.0 kt CO</w:t>
      </w:r>
      <w:r w:rsidRPr="00256982">
        <w:rPr>
          <w:vertAlign w:val="subscript"/>
        </w:rPr>
        <w:t>2</w:t>
      </w:r>
      <w:r w:rsidRPr="00256982">
        <w:t>-e (0.1</w:t>
      </w:r>
      <w:r w:rsidR="00044580" w:rsidRPr="00256982">
        <w:t> </w:t>
      </w:r>
      <w:r w:rsidRPr="00256982">
        <w:t xml:space="preserve">per cent of agricultural emissions) since 1990 to the present. </w:t>
      </w:r>
    </w:p>
    <w:p w14:paraId="2B6C2730" w14:textId="77777777" w:rsidR="0068777C" w:rsidRPr="00256982" w:rsidRDefault="0068777C" w:rsidP="00A72006">
      <w:pPr>
        <w:pStyle w:val="Heading4"/>
      </w:pPr>
      <w:r w:rsidRPr="00256982">
        <w:t xml:space="preserve">Indirect </w:t>
      </w:r>
      <w:r w:rsidRPr="00256982">
        <w:rPr>
          <w:spacing w:val="-2"/>
          <w:szCs w:val="22"/>
        </w:rPr>
        <w:t>nitrous oxide</w:t>
      </w:r>
      <w:r w:rsidRPr="00256982">
        <w:t xml:space="preserve"> emissions from managed soils (CRF 3.D.2) </w:t>
      </w:r>
    </w:p>
    <w:p w14:paraId="6F2827F6" w14:textId="77777777" w:rsidR="0068777C" w:rsidRPr="00256982" w:rsidRDefault="0068777C" w:rsidP="0068777C">
      <w:pPr>
        <w:pStyle w:val="BodyText"/>
      </w:pPr>
      <w:r w:rsidRPr="00256982">
        <w:t>In addition to direct N</w:t>
      </w:r>
      <w:r w:rsidRPr="00256982">
        <w:rPr>
          <w:vertAlign w:val="subscript"/>
        </w:rPr>
        <w:t>2</w:t>
      </w:r>
      <w:r w:rsidRPr="00256982">
        <w:t>O emissions from managed soils, emissions of N</w:t>
      </w:r>
      <w:r w:rsidRPr="00256982">
        <w:rPr>
          <w:vertAlign w:val="subscript"/>
        </w:rPr>
        <w:t>2</w:t>
      </w:r>
      <w:r w:rsidRPr="00256982">
        <w:t>O also occur through two indirect pathways: volatilisation, and leaching and runoff.</w:t>
      </w:r>
    </w:p>
    <w:p w14:paraId="72920C2A" w14:textId="77777777" w:rsidR="0068777C" w:rsidRPr="00256982" w:rsidRDefault="0068777C" w:rsidP="0068777C">
      <w:pPr>
        <w:pStyle w:val="Heading5"/>
      </w:pPr>
      <w:r w:rsidRPr="00256982">
        <w:t>Volatilisation (CRF 3.D.2.1)</w:t>
      </w:r>
    </w:p>
    <w:p w14:paraId="67E99493" w14:textId="77777777" w:rsidR="0068777C" w:rsidRPr="00256982" w:rsidRDefault="0068777C" w:rsidP="0068777C">
      <w:pPr>
        <w:pStyle w:val="BodyText"/>
      </w:pPr>
      <w:r w:rsidRPr="00256982">
        <w:t>Some of the nitrogen deposited or spread on agricultural land is emitted into the atmosphere through volatilisation in the form of NH</w:t>
      </w:r>
      <w:r w:rsidRPr="00256982">
        <w:rPr>
          <w:vertAlign w:val="subscript"/>
        </w:rPr>
        <w:t>3</w:t>
      </w:r>
      <w:r w:rsidRPr="00256982">
        <w:t xml:space="preserve"> and NO</w:t>
      </w:r>
      <w:r w:rsidRPr="00256982">
        <w:rPr>
          <w:vertAlign w:val="subscript"/>
        </w:rPr>
        <w:t>x</w:t>
      </w:r>
      <w:r w:rsidRPr="00256982">
        <w:t xml:space="preserve">. A fraction of this volatilised nitrogen returns to the ground during rainfall and is then re-emitted as </w:t>
      </w:r>
      <w:r w:rsidRPr="00256982">
        <w:rPr>
          <w:spacing w:val="-2"/>
        </w:rPr>
        <w:t>N</w:t>
      </w:r>
      <w:r w:rsidRPr="00256982">
        <w:rPr>
          <w:spacing w:val="-2"/>
          <w:vertAlign w:val="subscript"/>
        </w:rPr>
        <w:t>2</w:t>
      </w:r>
      <w:r w:rsidRPr="00256982">
        <w:rPr>
          <w:spacing w:val="-2"/>
        </w:rPr>
        <w:t>O</w:t>
      </w:r>
      <w:r w:rsidRPr="00256982">
        <w:t>. The fraction of nitrogen that becomes N</w:t>
      </w:r>
      <w:r w:rsidRPr="00256982">
        <w:rPr>
          <w:vertAlign w:val="subscript"/>
        </w:rPr>
        <w:t>2</w:t>
      </w:r>
      <w:r w:rsidRPr="00256982">
        <w:t>O during this process is calculated using the parameters Frac</w:t>
      </w:r>
      <w:r w:rsidRPr="00256982">
        <w:rPr>
          <w:vertAlign w:val="subscript"/>
        </w:rPr>
        <w:t>GASF</w:t>
      </w:r>
      <w:r w:rsidRPr="00256982">
        <w:t xml:space="preserve"> for synthetic nitrogen fertiliser and Frac</w:t>
      </w:r>
      <w:r w:rsidRPr="00256982">
        <w:rPr>
          <w:vertAlign w:val="subscript"/>
        </w:rPr>
        <w:t>GASM</w:t>
      </w:r>
      <w:r w:rsidRPr="00256982">
        <w:t xml:space="preserve"> for organic inputs from animal excreta. New Zealand uses country-specific values for both of these parameters.</w:t>
      </w:r>
    </w:p>
    <w:p w14:paraId="06F5CC35" w14:textId="77777777" w:rsidR="0068777C" w:rsidRPr="00256982" w:rsidRDefault="0068777C" w:rsidP="0068777C">
      <w:pPr>
        <w:pStyle w:val="BodyText"/>
      </w:pPr>
      <w:r w:rsidRPr="00256982">
        <w:t>In New Zealand, nitrogen added to agricultural soils from synthetic nitrogen fertiliser (F</w:t>
      </w:r>
      <w:r w:rsidRPr="00256982">
        <w:rPr>
          <w:vertAlign w:val="subscript"/>
        </w:rPr>
        <w:t>SN</w:t>
      </w:r>
      <w:r w:rsidRPr="00256982">
        <w:t>), organic nitrogen fertiliser from the spreading of managed manure (F</w:t>
      </w:r>
      <w:r w:rsidRPr="00256982">
        <w:rPr>
          <w:vertAlign w:val="subscript"/>
        </w:rPr>
        <w:t>ON</w:t>
      </w:r>
      <w:r w:rsidRPr="00256982">
        <w:t>), and excreta from grazing livestock on pasture (F</w:t>
      </w:r>
      <w:r w:rsidRPr="00256982">
        <w:rPr>
          <w:vertAlign w:val="subscript"/>
        </w:rPr>
        <w:t>PRP</w:t>
      </w:r>
      <w:r w:rsidRPr="00256982">
        <w:t>) all contribute to N</w:t>
      </w:r>
      <w:r w:rsidRPr="00256982">
        <w:rPr>
          <w:vertAlign w:val="subscript"/>
        </w:rPr>
        <w:t>2</w:t>
      </w:r>
      <w:r w:rsidRPr="00256982">
        <w:t>O emissions from volatilisation. The collection of activity data for F</w:t>
      </w:r>
      <w:r w:rsidRPr="00256982">
        <w:rPr>
          <w:vertAlign w:val="subscript"/>
        </w:rPr>
        <w:t>SN</w:t>
      </w:r>
      <w:r w:rsidRPr="00256982">
        <w:t>, F</w:t>
      </w:r>
      <w:r w:rsidRPr="00256982">
        <w:rPr>
          <w:vertAlign w:val="subscript"/>
        </w:rPr>
        <w:t>ON</w:t>
      </w:r>
      <w:r w:rsidRPr="00256982">
        <w:t xml:space="preserve"> and F</w:t>
      </w:r>
      <w:r w:rsidRPr="00256982">
        <w:rPr>
          <w:vertAlign w:val="subscript"/>
        </w:rPr>
        <w:t xml:space="preserve">PRP </w:t>
      </w:r>
      <w:r w:rsidRPr="00256982">
        <w:t>is described above (see Direct N</w:t>
      </w:r>
      <w:r w:rsidRPr="00256982">
        <w:rPr>
          <w:vertAlign w:val="subscript"/>
        </w:rPr>
        <w:t>2</w:t>
      </w:r>
      <w:r w:rsidRPr="00256982">
        <w:t xml:space="preserve">O emissions from managed soils (CRF 3.D.1)). Volatilisation from manure stored in manure management systems (prior to application to land) is reported under the </w:t>
      </w:r>
      <w:r w:rsidRPr="00256982">
        <w:rPr>
          <w:i/>
        </w:rPr>
        <w:t>Manure management</w:t>
      </w:r>
      <w:r w:rsidRPr="00256982">
        <w:t xml:space="preserve"> category (see section 5.3.2).</w:t>
      </w:r>
    </w:p>
    <w:p w14:paraId="1EA7C9F3" w14:textId="77777777" w:rsidR="0068777C" w:rsidRPr="00256982" w:rsidRDefault="0068777C" w:rsidP="0068777C">
      <w:pPr>
        <w:pStyle w:val="BodyText"/>
      </w:pPr>
      <w:r w:rsidRPr="00256982">
        <w:t>New Zealand uses a Tier 1 methodology with country-specific emission factors for Frac</w:t>
      </w:r>
      <w:r w:rsidRPr="00256982">
        <w:rPr>
          <w:vertAlign w:val="subscript"/>
        </w:rPr>
        <w:t>GASF</w:t>
      </w:r>
      <w:r w:rsidRPr="00256982">
        <w:t xml:space="preserve"> and Frac</w:t>
      </w:r>
      <w:r w:rsidRPr="00256982">
        <w:rPr>
          <w:vertAlign w:val="subscript"/>
        </w:rPr>
        <w:t>GASM</w:t>
      </w:r>
      <w:r w:rsidRPr="00256982">
        <w:t xml:space="preserve"> and a default value for the EF</w:t>
      </w:r>
      <w:r w:rsidRPr="00256982">
        <w:rPr>
          <w:vertAlign w:val="subscript"/>
        </w:rPr>
        <w:t>4</w:t>
      </w:r>
      <w:r w:rsidRPr="00256982">
        <w:t xml:space="preserve"> emission factor to calculate emissions from volatilisation: </w:t>
      </w:r>
    </w:p>
    <w:bookmarkStart w:id="762" w:name="_MON_1545721563"/>
    <w:bookmarkEnd w:id="762"/>
    <w:p w14:paraId="25FB27B3" w14:textId="77777777" w:rsidR="0068777C" w:rsidRPr="00256982" w:rsidRDefault="004B6199" w:rsidP="0068777C">
      <w:pPr>
        <w:pStyle w:val="BodyText"/>
        <w:spacing w:before="0" w:after="0"/>
      </w:pPr>
      <w:r w:rsidRPr="00256982">
        <w:object w:dxaOrig="8321" w:dyaOrig="665" w14:anchorId="38DBF768">
          <v:shape id="_x0000_i1107" type="#_x0000_t75" style="width:417pt;height:33pt" o:ole="">
            <v:imagedata r:id="rId153" o:title="" cropbottom="11302f"/>
          </v:shape>
          <o:OLEObject Type="Embed" ProgID="Word.Document.12" ShapeID="_x0000_i1107" DrawAspect="Content" ObjectID="_1616241216" r:id="rId154">
            <o:FieldCodes>\s</o:FieldCodes>
          </o:OLEObject>
        </w:object>
      </w:r>
    </w:p>
    <w:p w14:paraId="2F2ECF40" w14:textId="77777777" w:rsidR="0068777C" w:rsidRPr="00256982" w:rsidRDefault="0068777C" w:rsidP="0068777C">
      <w:pPr>
        <w:tabs>
          <w:tab w:val="left" w:pos="1134"/>
        </w:tabs>
        <w:spacing w:before="120"/>
        <w:ind w:left="964" w:hanging="964"/>
      </w:pPr>
      <w:r w:rsidRPr="00256982">
        <w:t>Where:</w:t>
      </w:r>
      <w:r w:rsidRPr="00256982">
        <w:tab/>
        <w:t>N</w:t>
      </w:r>
      <w:r w:rsidRPr="00256982">
        <w:rPr>
          <w:vertAlign w:val="subscript"/>
        </w:rPr>
        <w:t>2</w:t>
      </w:r>
      <w:r w:rsidRPr="00256982">
        <w:t>O</w:t>
      </w:r>
      <w:r w:rsidRPr="00256982">
        <w:rPr>
          <w:vertAlign w:val="subscript"/>
        </w:rPr>
        <w:t>ATD</w:t>
      </w:r>
      <w:r w:rsidRPr="00256982">
        <w:t>–N is the annual amount of N</w:t>
      </w:r>
      <w:r w:rsidRPr="00256982">
        <w:rPr>
          <w:vertAlign w:val="subscript"/>
        </w:rPr>
        <w:t>2</w:t>
      </w:r>
      <w:r w:rsidRPr="00256982">
        <w:t>O-N produced by atmospheric deposition of volatilised nitrogen from agricultural soils (kg N</w:t>
      </w:r>
      <w:r w:rsidRPr="00256982">
        <w:rPr>
          <w:vertAlign w:val="subscript"/>
        </w:rPr>
        <w:t>2</w:t>
      </w:r>
      <w:r w:rsidRPr="00256982">
        <w:t>O-N/year)</w:t>
      </w:r>
    </w:p>
    <w:p w14:paraId="31D1A032" w14:textId="77777777" w:rsidR="0068777C" w:rsidRPr="00256982" w:rsidRDefault="0068777C" w:rsidP="0068777C">
      <w:pPr>
        <w:spacing w:before="120"/>
        <w:ind w:left="964"/>
      </w:pPr>
      <w:r w:rsidRPr="00256982">
        <w:t>F</w:t>
      </w:r>
      <w:r w:rsidRPr="00256982">
        <w:rPr>
          <w:vertAlign w:val="subscript"/>
        </w:rPr>
        <w:t>SN</w:t>
      </w:r>
      <w:r w:rsidRPr="00256982">
        <w:t>, F</w:t>
      </w:r>
      <w:r w:rsidRPr="00256982">
        <w:rPr>
          <w:vertAlign w:val="subscript"/>
        </w:rPr>
        <w:t>ON</w:t>
      </w:r>
      <w:r w:rsidRPr="00256982">
        <w:t xml:space="preserve"> and F</w:t>
      </w:r>
      <w:r w:rsidRPr="00256982">
        <w:rPr>
          <w:vertAlign w:val="subscript"/>
        </w:rPr>
        <w:t>PRP</w:t>
      </w:r>
      <w:r w:rsidRPr="00256982">
        <w:t xml:space="preserve"> are defined above (kg N/year)</w:t>
      </w:r>
    </w:p>
    <w:p w14:paraId="51FB5EC0" w14:textId="77777777" w:rsidR="0068777C" w:rsidRPr="00256982" w:rsidRDefault="0068777C" w:rsidP="0068777C">
      <w:pPr>
        <w:spacing w:before="120"/>
        <w:ind w:left="964"/>
      </w:pPr>
      <w:r w:rsidRPr="00256982">
        <w:t>Frac</w:t>
      </w:r>
      <w:r w:rsidRPr="00256982">
        <w:rPr>
          <w:vertAlign w:val="subscript"/>
        </w:rPr>
        <w:t>GASF</w:t>
      </w:r>
      <w:r w:rsidRPr="00256982">
        <w:t xml:space="preserve"> is the fraction of nitrogen from synthetic fertiliser that volatilises as NH</w:t>
      </w:r>
      <w:r w:rsidRPr="00256982">
        <w:rPr>
          <w:vertAlign w:val="subscript"/>
        </w:rPr>
        <w:t>3</w:t>
      </w:r>
      <w:r w:rsidRPr="00256982">
        <w:t xml:space="preserve"> and NO</w:t>
      </w:r>
      <w:r w:rsidRPr="00256982">
        <w:rPr>
          <w:vertAlign w:val="subscript"/>
        </w:rPr>
        <w:t>x</w:t>
      </w:r>
      <w:r w:rsidRPr="00256982">
        <w:t xml:space="preserve"> (see table 5.5.3)</w:t>
      </w:r>
    </w:p>
    <w:p w14:paraId="336EDB9E" w14:textId="77777777" w:rsidR="0068777C" w:rsidRPr="00256982" w:rsidRDefault="0068777C" w:rsidP="0068777C">
      <w:pPr>
        <w:spacing w:before="120"/>
        <w:ind w:left="964"/>
      </w:pPr>
      <w:r w:rsidRPr="00256982">
        <w:t>Frac</w:t>
      </w:r>
      <w:r w:rsidRPr="00256982">
        <w:rPr>
          <w:vertAlign w:val="subscript"/>
        </w:rPr>
        <w:t>GASM</w:t>
      </w:r>
      <w:r w:rsidRPr="00256982">
        <w:t xml:space="preserve"> is the fraction of nitrogen</w:t>
      </w:r>
      <w:r w:rsidRPr="00256982" w:rsidDel="009B1CDF">
        <w:t xml:space="preserve"> </w:t>
      </w:r>
      <w:r w:rsidRPr="00256982">
        <w:t>from manure spreading and grazing manure that volatilises as NH</w:t>
      </w:r>
      <w:r w:rsidRPr="00256982">
        <w:rPr>
          <w:vertAlign w:val="subscript"/>
        </w:rPr>
        <w:t>3</w:t>
      </w:r>
      <w:r w:rsidRPr="00256982">
        <w:t xml:space="preserve"> and NO</w:t>
      </w:r>
      <w:r w:rsidRPr="00256982">
        <w:rPr>
          <w:vertAlign w:val="subscript"/>
        </w:rPr>
        <w:t>x</w:t>
      </w:r>
      <w:r w:rsidRPr="00256982">
        <w:t xml:space="preserve"> (see table 5.5.3), and</w:t>
      </w:r>
    </w:p>
    <w:p w14:paraId="3EEC1D82" w14:textId="77777777" w:rsidR="0068777C" w:rsidRPr="00256982" w:rsidRDefault="0068777C" w:rsidP="0068777C">
      <w:pPr>
        <w:spacing w:before="120" w:after="120"/>
        <w:ind w:left="964"/>
      </w:pPr>
      <w:r w:rsidRPr="00256982">
        <w:t>EF</w:t>
      </w:r>
      <w:r w:rsidRPr="00256982">
        <w:rPr>
          <w:vertAlign w:val="subscript"/>
        </w:rPr>
        <w:t>4</w:t>
      </w:r>
      <w:r w:rsidRPr="00256982">
        <w:t xml:space="preserve"> is the emission factor for N</w:t>
      </w:r>
      <w:r w:rsidRPr="00256982">
        <w:rPr>
          <w:vertAlign w:val="subscript"/>
        </w:rPr>
        <w:t>2</w:t>
      </w:r>
      <w:r w:rsidRPr="00256982">
        <w:t>O emissions from atmospheric deposition of nitrogen on soils and water (kg N</w:t>
      </w:r>
      <w:r w:rsidRPr="00256982">
        <w:rPr>
          <w:vertAlign w:val="subscript"/>
        </w:rPr>
        <w:t>2</w:t>
      </w:r>
      <w:r w:rsidRPr="00256982">
        <w:t>O-N/kg N).</w:t>
      </w:r>
    </w:p>
    <w:p w14:paraId="0334C74B" w14:textId="77777777" w:rsidR="0068777C" w:rsidRPr="00256982" w:rsidRDefault="0068777C" w:rsidP="0068777C">
      <w:pPr>
        <w:pStyle w:val="BodyText"/>
        <w:spacing w:after="100"/>
      </w:pPr>
      <w:r w:rsidRPr="00256982">
        <w:lastRenderedPageBreak/>
        <w:t>New Zealand has a country-specific value of 0.1 for Frac</w:t>
      </w:r>
      <w:r w:rsidRPr="00256982">
        <w:rPr>
          <w:vertAlign w:val="subscript"/>
        </w:rPr>
        <w:t>GASF</w:t>
      </w:r>
      <w:r w:rsidRPr="00256982">
        <w:t>, the fraction of volatilised nitrogen from synthetic nitrogen fertiliser. This value is based on a review by Sherlock et al. (2008) of relevant New Zealand and international research. The review determined that a value of 0.096 for Frac</w:t>
      </w:r>
      <w:r w:rsidRPr="00256982">
        <w:rPr>
          <w:vertAlign w:val="subscript"/>
        </w:rPr>
        <w:t>GASF</w:t>
      </w:r>
      <w:r w:rsidRPr="00256982">
        <w:t xml:space="preserve"> was suitable for New Zealand conditions. Because this value of 0.096 is almost identical to the IPCC default value of 0.1, the value of 0.1 was adopted by New Zealand as a country-specific value for Frac</w:t>
      </w:r>
      <w:r w:rsidRPr="00256982">
        <w:rPr>
          <w:vertAlign w:val="subscript"/>
        </w:rPr>
        <w:t>GASF</w:t>
      </w:r>
      <w:r w:rsidRPr="00256982">
        <w:t xml:space="preserve">. </w:t>
      </w:r>
    </w:p>
    <w:p w14:paraId="1ACE2B2A" w14:textId="77777777" w:rsidR="0068777C" w:rsidRPr="00256982" w:rsidRDefault="0068777C" w:rsidP="0068777C">
      <w:pPr>
        <w:pStyle w:val="BodyText"/>
        <w:spacing w:after="100"/>
      </w:pPr>
      <w:r w:rsidRPr="00256982">
        <w:t>The review by Sherlock et al. (2008) also recommended a country-specific value of 0.1 for Frac</w:t>
      </w:r>
      <w:r w:rsidRPr="00256982">
        <w:rPr>
          <w:vertAlign w:val="subscript"/>
        </w:rPr>
        <w:t>GASM</w:t>
      </w:r>
      <w:r w:rsidRPr="00256982">
        <w:t>, the fraction of volatilised nitrogen from manure spreading and grazing manure. The review showed that the default value of 0.2 for Frac</w:t>
      </w:r>
      <w:r w:rsidRPr="00256982">
        <w:rPr>
          <w:vertAlign w:val="subscript"/>
        </w:rPr>
        <w:t>GASM</w:t>
      </w:r>
      <w:r w:rsidRPr="00256982">
        <w:t xml:space="preserve"> (IPCC, 2006) was too high for New Zealand conditions and that 0.1 was more appropriate. This value was also confirmed by subsequent field experiments (Laubach et al., 2012). </w:t>
      </w:r>
    </w:p>
    <w:p w14:paraId="725AB676" w14:textId="77777777" w:rsidR="0068777C" w:rsidRPr="00256982" w:rsidRDefault="0068777C" w:rsidP="0068777C">
      <w:pPr>
        <w:pStyle w:val="BodyText"/>
        <w:spacing w:after="100"/>
      </w:pPr>
      <w:r w:rsidRPr="00256982">
        <w:t xml:space="preserve">In 2017, </w:t>
      </w:r>
      <w:r w:rsidRPr="00256982">
        <w:rPr>
          <w:spacing w:val="-2"/>
        </w:rPr>
        <w:t>N</w:t>
      </w:r>
      <w:r w:rsidRPr="00256982">
        <w:rPr>
          <w:spacing w:val="-2"/>
          <w:vertAlign w:val="subscript"/>
        </w:rPr>
        <w:t>2</w:t>
      </w:r>
      <w:r w:rsidRPr="00256982">
        <w:rPr>
          <w:spacing w:val="-2"/>
        </w:rPr>
        <w:t>O</w:t>
      </w:r>
      <w:r w:rsidRPr="00256982">
        <w:t xml:space="preserve"> emissions from volatilisation contributed 2.3 per cent (906.8 kt CO</w:t>
      </w:r>
      <w:r w:rsidRPr="00256982">
        <w:rPr>
          <w:vertAlign w:val="subscript"/>
        </w:rPr>
        <w:t>2</w:t>
      </w:r>
      <w:r w:rsidRPr="00256982">
        <w:t>-e) to total agricultural emissions, an increase of 29.4 per cent from the 1990 value of 700.9 kt CO</w:t>
      </w:r>
      <w:r w:rsidRPr="00256982">
        <w:rPr>
          <w:vertAlign w:val="subscript"/>
        </w:rPr>
        <w:t>2</w:t>
      </w:r>
      <w:r w:rsidRPr="00256982">
        <w:t>-e.</w:t>
      </w:r>
    </w:p>
    <w:p w14:paraId="1D16B34C" w14:textId="77777777" w:rsidR="0068777C" w:rsidRPr="00256982" w:rsidRDefault="0068777C" w:rsidP="0068777C">
      <w:pPr>
        <w:pStyle w:val="Heading5"/>
      </w:pPr>
      <w:r w:rsidRPr="00256982">
        <w:t>Leaching and runoff (CRF 3.D.2.2)</w:t>
      </w:r>
    </w:p>
    <w:p w14:paraId="0AE929C7" w14:textId="77777777" w:rsidR="0068777C" w:rsidRPr="00256982" w:rsidRDefault="0068777C" w:rsidP="0068777C">
      <w:pPr>
        <w:pStyle w:val="BodyText"/>
        <w:spacing w:after="100"/>
      </w:pPr>
      <w:r w:rsidRPr="00256982">
        <w:rPr>
          <w:spacing w:val="-2"/>
        </w:rPr>
        <w:t xml:space="preserve">Nitrous oxide </w:t>
      </w:r>
      <w:r w:rsidRPr="00256982">
        <w:t>emissions from leaching and runoff originate from the following sources: synthetic nitrogen fertiliser (F</w:t>
      </w:r>
      <w:r w:rsidRPr="00256982">
        <w:rPr>
          <w:vertAlign w:val="subscript"/>
        </w:rPr>
        <w:t>SN</w:t>
      </w:r>
      <w:r w:rsidRPr="00256982">
        <w:t>), organic nitrogen additions from the spreading of animal manure (F</w:t>
      </w:r>
      <w:r w:rsidRPr="00256982">
        <w:rPr>
          <w:vertAlign w:val="subscript"/>
        </w:rPr>
        <w:t>ON</w:t>
      </w:r>
      <w:r w:rsidRPr="00256982">
        <w:t>), above- and below-ground crop residues (F</w:t>
      </w:r>
      <w:r w:rsidRPr="00256982">
        <w:rPr>
          <w:vertAlign w:val="subscript"/>
        </w:rPr>
        <w:t>CR</w:t>
      </w:r>
      <w:r w:rsidRPr="00256982">
        <w:t>), nitrogen mineralisation associated with loss of soil organic matter from cropland land management (F</w:t>
      </w:r>
      <w:r w:rsidRPr="00256982">
        <w:rPr>
          <w:vertAlign w:val="subscript"/>
        </w:rPr>
        <w:t>SOM</w:t>
      </w:r>
      <w:r w:rsidRPr="00256982">
        <w:t>) and excreta from grazing livestock on pasture, range and paddock (F</w:t>
      </w:r>
      <w:r w:rsidRPr="00256982">
        <w:rPr>
          <w:vertAlign w:val="subscript"/>
        </w:rPr>
        <w:t>PRP</w:t>
      </w:r>
      <w:r w:rsidRPr="00256982">
        <w:t>) (IPCC, 2006). The collection of activity data for F</w:t>
      </w:r>
      <w:r w:rsidRPr="00256982">
        <w:rPr>
          <w:vertAlign w:val="subscript"/>
        </w:rPr>
        <w:t>SN</w:t>
      </w:r>
      <w:r w:rsidRPr="00256982">
        <w:t>, F</w:t>
      </w:r>
      <w:r w:rsidRPr="00256982">
        <w:rPr>
          <w:vertAlign w:val="subscript"/>
        </w:rPr>
        <w:t>ON</w:t>
      </w:r>
      <w:r w:rsidRPr="00256982">
        <w:t>, F</w:t>
      </w:r>
      <w:r w:rsidRPr="00256982">
        <w:rPr>
          <w:vertAlign w:val="subscript"/>
        </w:rPr>
        <w:t>CR</w:t>
      </w:r>
      <w:r w:rsidRPr="00256982">
        <w:t>, F</w:t>
      </w:r>
      <w:r w:rsidRPr="00256982">
        <w:rPr>
          <w:vertAlign w:val="subscript"/>
        </w:rPr>
        <w:t xml:space="preserve">PRP </w:t>
      </w:r>
      <w:r w:rsidRPr="00256982">
        <w:t>and F</w:t>
      </w:r>
      <w:r w:rsidRPr="00256982">
        <w:rPr>
          <w:vertAlign w:val="subscript"/>
        </w:rPr>
        <w:t>SOM</w:t>
      </w:r>
      <w:r w:rsidRPr="00256982">
        <w:t xml:space="preserve"> is described above (see Direct N</w:t>
      </w:r>
      <w:r w:rsidRPr="00256982">
        <w:rPr>
          <w:vertAlign w:val="subscript"/>
        </w:rPr>
        <w:t>2</w:t>
      </w:r>
      <w:r w:rsidRPr="00256982">
        <w:t xml:space="preserve">O emissions from managed soils (CRF 3.D.1)). </w:t>
      </w:r>
    </w:p>
    <w:p w14:paraId="2DF46F7E" w14:textId="77777777" w:rsidR="0068777C" w:rsidRPr="00256982" w:rsidRDefault="0068777C" w:rsidP="007F25E1">
      <w:pPr>
        <w:pStyle w:val="BodyText"/>
        <w:rPr>
          <w:spacing w:val="-2"/>
        </w:rPr>
      </w:pPr>
      <w:r w:rsidRPr="00256982">
        <w:rPr>
          <w:spacing w:val="-2"/>
        </w:rPr>
        <w:t xml:space="preserve">New Zealand reports all emissions from leaching under the </w:t>
      </w:r>
      <w:r w:rsidRPr="00256982">
        <w:rPr>
          <w:i/>
          <w:spacing w:val="-2"/>
        </w:rPr>
        <w:t>Agricultural soils</w:t>
      </w:r>
      <w:r w:rsidRPr="00256982">
        <w:rPr>
          <w:spacing w:val="-2"/>
        </w:rPr>
        <w:t xml:space="preserve"> category. As discussed under</w:t>
      </w:r>
      <w:r w:rsidRPr="00256982">
        <w:rPr>
          <w:i/>
          <w:spacing w:val="-2"/>
        </w:rPr>
        <w:t xml:space="preserve"> Manure management </w:t>
      </w:r>
      <w:r w:rsidRPr="00256982">
        <w:rPr>
          <w:spacing w:val="-2"/>
        </w:rPr>
        <w:t>(see section 5.3.2), New Zealand livestock are predominantly grazed outdoors (see table 5.3.2). New Zealand uses a Tier 1 methodology with the country-specific default parameters to calculate indirect N</w:t>
      </w:r>
      <w:r w:rsidRPr="00256982">
        <w:rPr>
          <w:spacing w:val="-2"/>
          <w:vertAlign w:val="subscript"/>
        </w:rPr>
        <w:t>2</w:t>
      </w:r>
      <w:r w:rsidRPr="00256982">
        <w:rPr>
          <w:spacing w:val="-2"/>
        </w:rPr>
        <w:t xml:space="preserve">O emissions from nitrogen leaching: </w:t>
      </w:r>
    </w:p>
    <w:p w14:paraId="2719D61E" w14:textId="77777777" w:rsidR="007F25E1" w:rsidRPr="00256982" w:rsidRDefault="004B6199" w:rsidP="007F25E1">
      <w:pPr>
        <w:pStyle w:val="BodyText"/>
        <w:spacing w:before="0" w:after="0"/>
      </w:pPr>
      <w:r w:rsidRPr="00256982">
        <w:object w:dxaOrig="8306" w:dyaOrig="820" w14:anchorId="69AF1124">
          <v:shape id="_x0000_i1108" type="#_x0000_t75" style="width:414.75pt;height:40.5pt" o:ole="">
            <v:imagedata r:id="rId155" o:title="" cropbottom="7859f"/>
          </v:shape>
          <o:OLEObject Type="Embed" ProgID="Word.Document.12" ShapeID="_x0000_i1108" DrawAspect="Content" ObjectID="_1616241217" r:id="rId156">
            <o:FieldCodes>\s</o:FieldCodes>
          </o:OLEObject>
        </w:object>
      </w:r>
    </w:p>
    <w:p w14:paraId="02DEE1AA" w14:textId="25380941" w:rsidR="0068777C" w:rsidRPr="00256982" w:rsidRDefault="0068777C" w:rsidP="007F25E1">
      <w:pPr>
        <w:pStyle w:val="BodyText"/>
        <w:spacing w:before="0" w:after="0"/>
        <w:ind w:left="993" w:hanging="993"/>
      </w:pPr>
      <w:r w:rsidRPr="00256982">
        <w:t>Where:</w:t>
      </w:r>
      <w:r w:rsidRPr="00256982">
        <w:tab/>
        <w:t>N</w:t>
      </w:r>
      <w:r w:rsidRPr="00256982">
        <w:rPr>
          <w:vertAlign w:val="subscript"/>
        </w:rPr>
        <w:t>2</w:t>
      </w:r>
      <w:r w:rsidRPr="00256982">
        <w:t>O</w:t>
      </w:r>
      <w:r w:rsidRPr="00256982">
        <w:rPr>
          <w:vertAlign w:val="subscript"/>
        </w:rPr>
        <w:t>L</w:t>
      </w:r>
      <w:r w:rsidRPr="00256982">
        <w:t>–N is the annual amount of N</w:t>
      </w:r>
      <w:r w:rsidRPr="00256982">
        <w:rPr>
          <w:vertAlign w:val="subscript"/>
        </w:rPr>
        <w:t>2</w:t>
      </w:r>
      <w:r w:rsidRPr="00256982">
        <w:t>O-N from runoff and leaching from agricultural soils (kg N</w:t>
      </w:r>
      <w:r w:rsidRPr="00256982">
        <w:rPr>
          <w:vertAlign w:val="subscript"/>
        </w:rPr>
        <w:t>2</w:t>
      </w:r>
      <w:r w:rsidRPr="00256982">
        <w:t>O-N/year)</w:t>
      </w:r>
    </w:p>
    <w:p w14:paraId="3B83F639" w14:textId="77777777" w:rsidR="0068777C" w:rsidRPr="00256982" w:rsidRDefault="0068777C" w:rsidP="0068777C">
      <w:pPr>
        <w:spacing w:before="100"/>
        <w:ind w:left="964"/>
      </w:pPr>
      <w:r w:rsidRPr="00256982">
        <w:t>F</w:t>
      </w:r>
      <w:r w:rsidRPr="00256982">
        <w:rPr>
          <w:vertAlign w:val="subscript"/>
        </w:rPr>
        <w:t>SN</w:t>
      </w:r>
      <w:r w:rsidRPr="00256982">
        <w:t>, F</w:t>
      </w:r>
      <w:r w:rsidRPr="00256982">
        <w:rPr>
          <w:vertAlign w:val="subscript"/>
        </w:rPr>
        <w:t>ON</w:t>
      </w:r>
      <w:r w:rsidRPr="00256982">
        <w:t>, F</w:t>
      </w:r>
      <w:r w:rsidRPr="00256982">
        <w:rPr>
          <w:vertAlign w:val="subscript"/>
        </w:rPr>
        <w:t>PRP</w:t>
      </w:r>
      <w:r w:rsidRPr="00256982">
        <w:t>, F</w:t>
      </w:r>
      <w:r w:rsidRPr="00256982">
        <w:rPr>
          <w:vertAlign w:val="subscript"/>
        </w:rPr>
        <w:t>CR</w:t>
      </w:r>
      <w:r w:rsidRPr="00256982">
        <w:t xml:space="preserve"> and F</w:t>
      </w:r>
      <w:r w:rsidRPr="00256982">
        <w:rPr>
          <w:vertAlign w:val="subscript"/>
        </w:rPr>
        <w:t>SOM</w:t>
      </w:r>
      <w:r w:rsidRPr="00256982">
        <w:t xml:space="preserve"> are defined above (kg N/year)</w:t>
      </w:r>
    </w:p>
    <w:p w14:paraId="5089BCC7" w14:textId="77777777" w:rsidR="0068777C" w:rsidRPr="00256982" w:rsidRDefault="0068777C" w:rsidP="0068777C">
      <w:pPr>
        <w:spacing w:before="100"/>
        <w:ind w:left="964"/>
      </w:pPr>
      <w:r w:rsidRPr="00256982">
        <w:t>Frac</w:t>
      </w:r>
      <w:r w:rsidRPr="00256982">
        <w:rPr>
          <w:vertAlign w:val="subscript"/>
        </w:rPr>
        <w:t>LEACH-H</w:t>
      </w:r>
      <w:r w:rsidRPr="00256982">
        <w:t xml:space="preserve"> is the fraction of nitrogen added to, or mineralised from, agricultural soils where leaching and runoff occur that is lost through leaching and runoff (see table 5.5.3), and</w:t>
      </w:r>
    </w:p>
    <w:p w14:paraId="4F1C077E" w14:textId="77777777" w:rsidR="0068777C" w:rsidRPr="00256982" w:rsidRDefault="0068777C" w:rsidP="0068777C">
      <w:pPr>
        <w:spacing w:before="100" w:after="120"/>
        <w:ind w:left="964"/>
      </w:pPr>
      <w:r w:rsidRPr="00256982">
        <w:t>EF</w:t>
      </w:r>
      <w:r w:rsidRPr="00256982">
        <w:rPr>
          <w:vertAlign w:val="subscript"/>
        </w:rPr>
        <w:t>5</w:t>
      </w:r>
      <w:r w:rsidRPr="00256982">
        <w:t xml:space="preserve"> is the IPCC (2006) default factor for N</w:t>
      </w:r>
      <w:r w:rsidRPr="00256982">
        <w:rPr>
          <w:vertAlign w:val="subscript"/>
        </w:rPr>
        <w:t>2</w:t>
      </w:r>
      <w:r w:rsidRPr="00256982">
        <w:t xml:space="preserve">O emissions from leaching and runoff. </w:t>
      </w:r>
    </w:p>
    <w:p w14:paraId="01584784" w14:textId="77777777" w:rsidR="0068777C" w:rsidRPr="00256982" w:rsidRDefault="0068777C" w:rsidP="0068777C">
      <w:pPr>
        <w:pStyle w:val="BodyText"/>
      </w:pPr>
      <w:r w:rsidRPr="00256982">
        <w:t>New Zealand uses a country-specific value for Frac</w:t>
      </w:r>
      <w:r w:rsidRPr="00256982">
        <w:rPr>
          <w:vertAlign w:val="subscript"/>
        </w:rPr>
        <w:t>LEACH</w:t>
      </w:r>
      <w:r w:rsidRPr="00256982">
        <w:t>, the fraction of nitrogen applied to agricultural land that is lost through leaching and runoff.</w:t>
      </w:r>
      <w:r w:rsidRPr="00256982">
        <w:rPr>
          <w:rStyle w:val="FootnoteReference"/>
        </w:rPr>
        <w:footnoteReference w:id="51"/>
      </w:r>
      <w:r w:rsidRPr="00256982">
        <w:t xml:space="preserve"> Research has indicated that a value of 0.07 for Frac</w:t>
      </w:r>
      <w:r w:rsidRPr="00256982">
        <w:rPr>
          <w:vertAlign w:val="subscript"/>
        </w:rPr>
        <w:t>LEACH</w:t>
      </w:r>
      <w:r w:rsidRPr="00256982">
        <w:t xml:space="preserve"> more closely reflects leaching in New Zealand. Thomas et al. (2005) compared nitrogen leaching estimates for different farm systems based on IPCC methodology (a value of 0.30 kg N/kg of fertiliser or manure) with estimates from a New Zealand-specific nutrient budgeting model, OVERSEER</w:t>
      </w:r>
      <w:r w:rsidRPr="00256982">
        <w:rPr>
          <w:vertAlign w:val="superscript"/>
        </w:rPr>
        <w:t>®</w:t>
      </w:r>
      <w:r w:rsidRPr="00256982">
        <w:t xml:space="preserve"> (Wheeler et al., 2003). The IPCC-based estimates were found, on average, to be 50 per cent higher than those estimated using the OVERSEER</w:t>
      </w:r>
      <w:r w:rsidRPr="00256982">
        <w:rPr>
          <w:vertAlign w:val="superscript"/>
        </w:rPr>
        <w:t>®</w:t>
      </w:r>
      <w:r w:rsidRPr="00256982">
        <w:t xml:space="preserve"> nutrient budget model (using a Frac</w:t>
      </w:r>
      <w:r w:rsidRPr="00256982">
        <w:rPr>
          <w:vertAlign w:val="subscript"/>
        </w:rPr>
        <w:t>LEACH</w:t>
      </w:r>
      <w:r w:rsidRPr="00256982">
        <w:t xml:space="preserve"> of 0.15</w:t>
      </w:r>
      <w:r w:rsidRPr="00256982">
        <w:rPr>
          <w:rStyle w:val="FootnoteReference"/>
        </w:rPr>
        <w:footnoteReference w:id="52"/>
      </w:r>
      <w:r w:rsidRPr="00256982">
        <w:t xml:space="preserve">). </w:t>
      </w:r>
    </w:p>
    <w:p w14:paraId="32BC4528" w14:textId="77777777" w:rsidR="0068777C" w:rsidRPr="00256982" w:rsidRDefault="0068777C" w:rsidP="00FB7629">
      <w:pPr>
        <w:pStyle w:val="BodyText"/>
        <w:spacing w:before="100" w:after="100"/>
      </w:pPr>
      <w:r w:rsidRPr="00256982">
        <w:lastRenderedPageBreak/>
        <w:t>The OVERSEER</w:t>
      </w:r>
      <w:r w:rsidRPr="00256982">
        <w:rPr>
          <w:vertAlign w:val="superscript"/>
        </w:rPr>
        <w:t>®</w:t>
      </w:r>
      <w:r w:rsidRPr="00256982">
        <w:t xml:space="preserve"> model provides average estimates of the fate of nitrogen for a range of pastoral, arable and horticultural systems. In pastoral systems, nitrate (NO</w:t>
      </w:r>
      <w:r w:rsidRPr="00256982">
        <w:rPr>
          <w:vertAlign w:val="subscript"/>
        </w:rPr>
        <w:t>3</w:t>
      </w:r>
      <w:r w:rsidRPr="00256982">
        <w:t xml:space="preserve">) leaching is determined by rainfall, soil type and the amount of nitrogen entering the farm system (from nitrogen-based fertilisers, dung and urine applied as dairy farm effluent or directly excreted by grazing animals). Dung and urine from animals is calculated from the difference between nitrogen intake by grazing animals and nitrogen retained in animal products – such as milk, meat, velvet. This is based on user inputs of stocking rates or production and an internal database with information on the nitrogen content of pasture and animal products, and is calibrated against field measurements. </w:t>
      </w:r>
    </w:p>
    <w:p w14:paraId="7BB5DDD4" w14:textId="77777777" w:rsidR="0068777C" w:rsidRPr="00256982" w:rsidRDefault="0068777C" w:rsidP="00FB7629">
      <w:pPr>
        <w:pStyle w:val="BodyText"/>
        <w:spacing w:before="100" w:after="100"/>
      </w:pPr>
      <w:r w:rsidRPr="00256982">
        <w:t xml:space="preserve">In 2017, </w:t>
      </w:r>
      <w:r w:rsidRPr="00256982">
        <w:rPr>
          <w:spacing w:val="-2"/>
        </w:rPr>
        <w:t>N</w:t>
      </w:r>
      <w:r w:rsidRPr="00256982">
        <w:rPr>
          <w:spacing w:val="-2"/>
          <w:vertAlign w:val="subscript"/>
        </w:rPr>
        <w:t>2</w:t>
      </w:r>
      <w:r w:rsidRPr="00256982">
        <w:rPr>
          <w:spacing w:val="-2"/>
        </w:rPr>
        <w:t>O</w:t>
      </w:r>
      <w:r w:rsidRPr="00256982">
        <w:t xml:space="preserve"> emissions from leaching and runoff made up 1.3 per cent (500.5 kt CO</w:t>
      </w:r>
      <w:r w:rsidRPr="00256982">
        <w:rPr>
          <w:vertAlign w:val="subscript"/>
        </w:rPr>
        <w:t>2</w:t>
      </w:r>
      <w:r w:rsidRPr="00256982">
        <w:t>-e) of total agricultural emissions, an increase of 32.7 per cent from the 1990 value of 377.2 kt CO</w:t>
      </w:r>
      <w:r w:rsidRPr="00256982">
        <w:rPr>
          <w:vertAlign w:val="subscript"/>
        </w:rPr>
        <w:t>2</w:t>
      </w:r>
      <w:r w:rsidRPr="00256982">
        <w:t>-e.</w:t>
      </w:r>
    </w:p>
    <w:p w14:paraId="0B0C129B" w14:textId="77777777" w:rsidR="0068777C" w:rsidRPr="00256982" w:rsidRDefault="0068777C" w:rsidP="00A72006">
      <w:pPr>
        <w:pStyle w:val="Heading4"/>
      </w:pPr>
      <w:r w:rsidRPr="00256982">
        <w:t>Incorporation of nitrous oxide mitigation technologies into the Agriculture inventory</w:t>
      </w:r>
    </w:p>
    <w:p w14:paraId="6932747C" w14:textId="77777777" w:rsidR="0068777C" w:rsidRPr="00256982" w:rsidRDefault="0068777C" w:rsidP="00FB7629">
      <w:pPr>
        <w:pStyle w:val="Heading5"/>
        <w:spacing w:before="160"/>
      </w:pPr>
      <w:r w:rsidRPr="00256982">
        <w:t xml:space="preserve">Urease inhibitors </w:t>
      </w:r>
    </w:p>
    <w:p w14:paraId="4FABB162" w14:textId="7886BD8C" w:rsidR="0068777C" w:rsidRPr="00256982" w:rsidRDefault="0068777C" w:rsidP="00FB7629">
      <w:pPr>
        <w:pStyle w:val="BodyText"/>
        <w:spacing w:before="100" w:after="100"/>
      </w:pPr>
      <w:r w:rsidRPr="00256982">
        <w:t xml:space="preserve">The </w:t>
      </w:r>
      <w:r w:rsidRPr="00256982">
        <w:rPr>
          <w:spacing w:val="-2"/>
        </w:rPr>
        <w:t>N</w:t>
      </w:r>
      <w:r w:rsidRPr="00256982">
        <w:rPr>
          <w:spacing w:val="-2"/>
          <w:vertAlign w:val="subscript"/>
        </w:rPr>
        <w:t>2</w:t>
      </w:r>
      <w:r w:rsidRPr="00256982">
        <w:rPr>
          <w:spacing w:val="-2"/>
        </w:rPr>
        <w:t>O</w:t>
      </w:r>
      <w:r w:rsidRPr="00256982">
        <w:t xml:space="preserve"> emissions reported under the </w:t>
      </w:r>
      <w:r w:rsidRPr="00256982">
        <w:rPr>
          <w:i/>
          <w:iCs/>
        </w:rPr>
        <w:t>Agricultural soils</w:t>
      </w:r>
      <w:r w:rsidRPr="00256982">
        <w:t xml:space="preserve"> category take into account the use of urease inhibitors, a greenhouse gas mitigation technology. Urea is the main type of synthetic nitrogen </w:t>
      </w:r>
      <w:r w:rsidRPr="00256982">
        <w:rPr>
          <w:spacing w:val="-2"/>
        </w:rPr>
        <w:t>fertiliser applied to pastures. Urease inhibitors restrict the action of the urease</w:t>
      </w:r>
      <w:r w:rsidRPr="00256982">
        <w:t xml:space="preserve"> </w:t>
      </w:r>
      <w:r w:rsidRPr="00256982">
        <w:rPr>
          <w:spacing w:val="-2"/>
        </w:rPr>
        <w:t>enzyme. Urease is a catalyst for the volatilisation of the nitrogen contained in urea fertiliser and urine into</w:t>
      </w:r>
      <w:r w:rsidR="00FB7629" w:rsidRPr="00256982">
        <w:rPr>
          <w:spacing w:val="-2"/>
        </w:rPr>
        <w:t> </w:t>
      </w:r>
      <w:r w:rsidRPr="00256982">
        <w:rPr>
          <w:spacing w:val="-2"/>
        </w:rPr>
        <w:t>NH</w:t>
      </w:r>
      <w:r w:rsidRPr="00256982">
        <w:rPr>
          <w:spacing w:val="-2"/>
          <w:vertAlign w:val="subscript"/>
        </w:rPr>
        <w:t>3</w:t>
      </w:r>
      <w:r w:rsidRPr="00256982">
        <w:rPr>
          <w:spacing w:val="-2"/>
        </w:rPr>
        <w:t xml:space="preserve"> gas. </w:t>
      </w:r>
    </w:p>
    <w:p w14:paraId="08C0CB81" w14:textId="77777777" w:rsidR="0068777C" w:rsidRPr="00256982" w:rsidRDefault="0068777C" w:rsidP="00FB7629">
      <w:pPr>
        <w:pStyle w:val="BodyText"/>
        <w:spacing w:before="100" w:after="100"/>
      </w:pPr>
      <w:r w:rsidRPr="00256982">
        <w:t>Urease inhibitor mitigation is included in New Zealand’s Agriculture inventory by adjusting the value of the existing country-specific N</w:t>
      </w:r>
      <w:r w:rsidRPr="00256982">
        <w:rPr>
          <w:vertAlign w:val="subscript"/>
        </w:rPr>
        <w:t>2</w:t>
      </w:r>
      <w:r w:rsidRPr="00256982">
        <w:t>O parameter: Frac</w:t>
      </w:r>
      <w:r w:rsidRPr="00256982">
        <w:rPr>
          <w:vertAlign w:val="subscript"/>
        </w:rPr>
        <w:t>GASF</w:t>
      </w:r>
      <w:r w:rsidRPr="00256982">
        <w:t>. Saggar et al. (2013) assessed the mitigating effect of the urease inhibitor nBTPT (sold as ‘Agrotain’), the most widely used product. Saggar et al. (2013) showed that the presently recommended country-specific value of Frac</w:t>
      </w:r>
      <w:r w:rsidRPr="00256982">
        <w:rPr>
          <w:vertAlign w:val="subscript"/>
        </w:rPr>
        <w:t>GASF</w:t>
      </w:r>
      <w:r w:rsidRPr="00256982">
        <w:t xml:space="preserve"> of 0.1 should be reduced to 0.055. This finding was based on field and laboratory studies conducted both in New Zealand and worldwide.</w:t>
      </w:r>
    </w:p>
    <w:p w14:paraId="674BD19A" w14:textId="77777777" w:rsidR="0068777C" w:rsidRPr="00256982" w:rsidRDefault="0068777C" w:rsidP="00FB7629">
      <w:pPr>
        <w:pStyle w:val="BodyText"/>
        <w:spacing w:before="100" w:after="100"/>
      </w:pPr>
      <w:r w:rsidRPr="00256982">
        <w:t xml:space="preserve">Indirect </w:t>
      </w:r>
      <w:r w:rsidRPr="00256982">
        <w:rPr>
          <w:spacing w:val="-2"/>
        </w:rPr>
        <w:t>N</w:t>
      </w:r>
      <w:r w:rsidRPr="00256982">
        <w:rPr>
          <w:spacing w:val="-2"/>
          <w:vertAlign w:val="subscript"/>
        </w:rPr>
        <w:t>2</w:t>
      </w:r>
      <w:r w:rsidRPr="00256982">
        <w:rPr>
          <w:spacing w:val="-2"/>
        </w:rPr>
        <w:t>O</w:t>
      </w:r>
      <w:r w:rsidRPr="00256982">
        <w:t xml:space="preserve"> emissions from volatilisation from all synthetic nitrogen fertilisers (including urea and other nitrogen fertilisers, with and without urease inhibitors applied to the urea component) are calculated as shown below:</w:t>
      </w:r>
    </w:p>
    <w:p w14:paraId="62B4F48F" w14:textId="77777777" w:rsidR="0068777C" w:rsidRPr="00256982" w:rsidRDefault="003C42C1" w:rsidP="0068777C">
      <w:pPr>
        <w:pStyle w:val="BodyText"/>
        <w:spacing w:before="0" w:after="0"/>
      </w:pPr>
      <w:r w:rsidRPr="00256982">
        <w:object w:dxaOrig="8186" w:dyaOrig="719" w14:anchorId="7C319367">
          <v:shape id="_x0000_i1109" type="#_x0000_t75" style="width:409.5pt;height:35.25pt" o:ole="">
            <v:imagedata r:id="rId157" o:title="" cropbottom="11442f"/>
          </v:shape>
          <o:OLEObject Type="Embed" ProgID="Word.Document.12" ShapeID="_x0000_i1109" DrawAspect="Content" ObjectID="_1616241218" r:id="rId158">
            <o:FieldCodes>\s</o:FieldCodes>
          </o:OLEObject>
        </w:object>
      </w:r>
    </w:p>
    <w:p w14:paraId="5316F634" w14:textId="77777777" w:rsidR="0068777C" w:rsidRPr="00256982" w:rsidRDefault="0068777C" w:rsidP="0068777C">
      <w:pPr>
        <w:tabs>
          <w:tab w:val="left" w:pos="1134"/>
        </w:tabs>
        <w:ind w:left="964" w:hanging="964"/>
      </w:pPr>
      <w:r w:rsidRPr="00256982">
        <w:t>Where:</w:t>
      </w:r>
      <w:r w:rsidRPr="00256982">
        <w:tab/>
        <w:t>N</w:t>
      </w:r>
      <w:r w:rsidRPr="00256982">
        <w:rPr>
          <w:vertAlign w:val="subscript"/>
        </w:rPr>
        <w:t>2</w:t>
      </w:r>
      <w:r w:rsidRPr="00256982">
        <w:t>O</w:t>
      </w:r>
      <w:r w:rsidRPr="00256982">
        <w:rPr>
          <w:vertAlign w:val="subscript"/>
        </w:rPr>
        <w:t>ATD-FSN</w:t>
      </w:r>
      <w:r w:rsidRPr="00256982">
        <w:t>–N is the annual amount of N</w:t>
      </w:r>
      <w:r w:rsidRPr="00256982">
        <w:rPr>
          <w:vertAlign w:val="subscript"/>
        </w:rPr>
        <w:t>2</w:t>
      </w:r>
      <w:r w:rsidRPr="00256982">
        <w:t>O-N produced by atmospheric deposition of volatilised nitrogen from all synthetic nitrogen fertiliser applied to agricultural soils (kg N</w:t>
      </w:r>
      <w:r w:rsidRPr="00256982">
        <w:rPr>
          <w:vertAlign w:val="subscript"/>
        </w:rPr>
        <w:t>2</w:t>
      </w:r>
      <w:r w:rsidRPr="00256982">
        <w:t>O-N/year)</w:t>
      </w:r>
    </w:p>
    <w:p w14:paraId="32F00414" w14:textId="77777777" w:rsidR="0068777C" w:rsidRPr="00256982" w:rsidRDefault="0068777C" w:rsidP="00FB7629">
      <w:pPr>
        <w:spacing w:before="100"/>
        <w:ind w:left="964"/>
      </w:pPr>
      <w:r w:rsidRPr="00256982">
        <w:t xml:space="preserve">S is urea fertiliser (untreated), urea fertiliser (treated) or non-urea nitrogen fertiliser </w:t>
      </w:r>
    </w:p>
    <w:p w14:paraId="3CD94F47" w14:textId="77777777" w:rsidR="0068777C" w:rsidRPr="00256982" w:rsidRDefault="0068777C" w:rsidP="00FB7629">
      <w:pPr>
        <w:spacing w:before="100"/>
        <w:ind w:left="964"/>
      </w:pPr>
      <w:r w:rsidRPr="00256982">
        <w:t>F</w:t>
      </w:r>
      <w:r w:rsidRPr="00256982">
        <w:rPr>
          <w:vertAlign w:val="subscript"/>
        </w:rPr>
        <w:t>SN</w:t>
      </w:r>
      <w:r w:rsidRPr="00256982">
        <w:t xml:space="preserve"> is the total annual amount of synthetic nitrogen fertiliser applied (kg N/year) per fertiliser type, S</w:t>
      </w:r>
    </w:p>
    <w:p w14:paraId="77C332BA" w14:textId="77777777" w:rsidR="0068777C" w:rsidRPr="00256982" w:rsidRDefault="0068777C" w:rsidP="00FB7629">
      <w:pPr>
        <w:spacing w:before="100"/>
        <w:ind w:left="964"/>
      </w:pPr>
      <w:r w:rsidRPr="00256982">
        <w:t>Frac</w:t>
      </w:r>
      <w:r w:rsidRPr="00256982">
        <w:rPr>
          <w:vertAlign w:val="subscript"/>
        </w:rPr>
        <w:t>GASF</w:t>
      </w:r>
      <w:r w:rsidRPr="00256982">
        <w:t xml:space="preserve"> is the fraction of nitrogen from synthetic nitrogen fertiliser that volatilises as NH</w:t>
      </w:r>
      <w:r w:rsidRPr="00256982">
        <w:rPr>
          <w:vertAlign w:val="subscript"/>
        </w:rPr>
        <w:t>3</w:t>
      </w:r>
      <w:r w:rsidRPr="00256982">
        <w:t xml:space="preserve"> and NO</w:t>
      </w:r>
      <w:r w:rsidRPr="00256982">
        <w:rPr>
          <w:vertAlign w:val="subscript"/>
        </w:rPr>
        <w:t>x</w:t>
      </w:r>
      <w:r w:rsidRPr="00256982">
        <w:t>; 0.055 for treated urea fertiliser and 0.1 for untreated urea and other nitrogen fertiliser, and</w:t>
      </w:r>
    </w:p>
    <w:p w14:paraId="167E04E8" w14:textId="77777777" w:rsidR="0068777C" w:rsidRPr="00256982" w:rsidRDefault="0068777C" w:rsidP="00FB7629">
      <w:pPr>
        <w:spacing w:before="100" w:after="120"/>
        <w:ind w:left="964"/>
      </w:pPr>
      <w:r w:rsidRPr="00256982">
        <w:t>EF</w:t>
      </w:r>
      <w:r w:rsidRPr="00256982">
        <w:rPr>
          <w:vertAlign w:val="subscript"/>
        </w:rPr>
        <w:t>4</w:t>
      </w:r>
      <w:r w:rsidRPr="00256982">
        <w:t xml:space="preserve"> is the emission factor for N</w:t>
      </w:r>
      <w:r w:rsidRPr="00256982">
        <w:rPr>
          <w:vertAlign w:val="subscript"/>
        </w:rPr>
        <w:t>2</w:t>
      </w:r>
      <w:r w:rsidRPr="00256982">
        <w:t>O emissions from atmospheric deposition of nitrogen on soils and water; 0.01 per cent.</w:t>
      </w:r>
    </w:p>
    <w:p w14:paraId="7B8EEB27" w14:textId="77777777" w:rsidR="0068777C" w:rsidRPr="00256982" w:rsidRDefault="0068777C" w:rsidP="0068777C">
      <w:pPr>
        <w:pStyle w:val="BodyText"/>
      </w:pPr>
      <w:r w:rsidRPr="00256982">
        <w:t>All other emission factors and parameters relating to animal excreta and synthetic nitrogen fertiliser use (Frac</w:t>
      </w:r>
      <w:r w:rsidRPr="00256982">
        <w:rPr>
          <w:vertAlign w:val="subscript"/>
        </w:rPr>
        <w:t>GASM</w:t>
      </w:r>
      <w:r w:rsidRPr="00256982">
        <w:t>, Frac</w:t>
      </w:r>
      <w:r w:rsidRPr="00256982">
        <w:rPr>
          <w:vertAlign w:val="subscript"/>
        </w:rPr>
        <w:t>LEACH</w:t>
      </w:r>
      <w:r w:rsidRPr="00256982">
        <w:t xml:space="preserve"> and EF</w:t>
      </w:r>
      <w:r w:rsidRPr="00256982">
        <w:rPr>
          <w:vertAlign w:val="subscript"/>
        </w:rPr>
        <w:t>1</w:t>
      </w:r>
      <w:r w:rsidRPr="00256982">
        <w:t>) do not change as a result of including urease inhibitors in the calculations. An adjustment for Frac</w:t>
      </w:r>
      <w:r w:rsidRPr="00256982">
        <w:rPr>
          <w:vertAlign w:val="subscript"/>
        </w:rPr>
        <w:t>GASM</w:t>
      </w:r>
      <w:r w:rsidRPr="00256982">
        <w:t xml:space="preserve"> was not recommended because the effect of urease inhibitors on reducing NH</w:t>
      </w:r>
      <w:r w:rsidRPr="00256982">
        <w:rPr>
          <w:vertAlign w:val="subscript"/>
        </w:rPr>
        <w:t>3</w:t>
      </w:r>
      <w:r w:rsidRPr="00256982">
        <w:t xml:space="preserve"> volatilisation from animal dung and urine could not be accurately assessed (Saggar et al., 2013).</w:t>
      </w:r>
    </w:p>
    <w:p w14:paraId="34E0442F" w14:textId="77777777" w:rsidR="0068777C" w:rsidRPr="00256982" w:rsidRDefault="0068777C" w:rsidP="0068777C">
      <w:pPr>
        <w:pStyle w:val="BodyText"/>
      </w:pPr>
      <w:r w:rsidRPr="00256982">
        <w:lastRenderedPageBreak/>
        <w:t>Urea fertiliser coated with urease inhibitors was first used commercially in 2001 in New Zealand. Activity data on urease inhibitor usage are provided by the Fertiliser Association of New Zealand from sales records.</w:t>
      </w:r>
      <w:r w:rsidRPr="00256982">
        <w:rPr>
          <w:rStyle w:val="FootnoteReference"/>
        </w:rPr>
        <w:footnoteReference w:id="53"/>
      </w:r>
      <w:r w:rsidRPr="00256982">
        <w:t xml:space="preserve"> This activity data records the total amount of nitrogen in urea fertiliser that has been treated with a urease inhibitor. Some urea fertiliser coated with urease inhibitors is also blended into other non-nitrogen fertiliser products. </w:t>
      </w:r>
    </w:p>
    <w:p w14:paraId="1AA49339" w14:textId="77777777" w:rsidR="0068777C" w:rsidRPr="00256982" w:rsidRDefault="0068777C" w:rsidP="0068777C">
      <w:pPr>
        <w:pStyle w:val="BodyText"/>
      </w:pPr>
      <w:r w:rsidRPr="00256982">
        <w:t>Estimates of the mitigation impact of urease inhibitors on N</w:t>
      </w:r>
      <w:r w:rsidRPr="00256982">
        <w:rPr>
          <w:vertAlign w:val="subscript"/>
        </w:rPr>
        <w:t>2</w:t>
      </w:r>
      <w:r w:rsidRPr="00256982">
        <w:t>O emissions from volatilisation for the calendar years 2001 to 2017 are shown in table 5.5.6. In 2014 and 2016, there were large increases in the use of urease inhibitors.</w:t>
      </w:r>
    </w:p>
    <w:p w14:paraId="36B0A482" w14:textId="77777777" w:rsidR="0068777C" w:rsidRPr="00256982" w:rsidRDefault="0068777C" w:rsidP="0068777C">
      <w:pPr>
        <w:pStyle w:val="Table"/>
      </w:pPr>
      <w:bookmarkStart w:id="763" w:name="_Toc441830884"/>
      <w:bookmarkStart w:id="764" w:name="_Toc451176098"/>
      <w:bookmarkStart w:id="765" w:name="_Toc481751526"/>
      <w:bookmarkStart w:id="766" w:name="_Toc507158614"/>
      <w:bookmarkStart w:id="767" w:name="_Toc511116748"/>
      <w:bookmarkStart w:id="768" w:name="_Toc5269490"/>
      <w:r w:rsidRPr="00256982">
        <w:t>Table 5.5.6</w:t>
      </w:r>
      <w:r w:rsidRPr="00256982">
        <w:tab/>
        <w:t>Mitigation impact of urease inhibitors on nitrous oxide emissions from volatilisation,</w:t>
      </w:r>
      <w:r w:rsidRPr="00256982">
        <w:br/>
        <w:t xml:space="preserve">from 2001 to </w:t>
      </w:r>
      <w:bookmarkEnd w:id="763"/>
      <w:bookmarkEnd w:id="764"/>
      <w:bookmarkEnd w:id="765"/>
      <w:bookmarkEnd w:id="766"/>
      <w:bookmarkEnd w:id="767"/>
      <w:r w:rsidRPr="00256982">
        <w:t>2017</w:t>
      </w:r>
      <w:bookmarkEnd w:id="768"/>
      <w:r w:rsidRPr="00256982">
        <w:t xml:space="preserve"> </w:t>
      </w:r>
    </w:p>
    <w:tbl>
      <w:tblPr>
        <w:tblW w:w="8505" w:type="dxa"/>
        <w:tblInd w:w="108" w:type="dxa"/>
        <w:tblBorders>
          <w:top w:val="single" w:sz="4" w:space="0" w:color="365F91"/>
          <w:left w:val="single" w:sz="4" w:space="0" w:color="365F91"/>
          <w:bottom w:val="single" w:sz="4" w:space="0" w:color="365F91"/>
          <w:right w:val="single" w:sz="4" w:space="0" w:color="365F91"/>
          <w:insideH w:val="single" w:sz="4" w:space="0" w:color="365F91"/>
        </w:tblBorders>
        <w:tblLayout w:type="fixed"/>
        <w:tblCellMar>
          <w:left w:w="85" w:type="dxa"/>
          <w:right w:w="85" w:type="dxa"/>
        </w:tblCellMar>
        <w:tblLook w:val="00A0" w:firstRow="1" w:lastRow="0" w:firstColumn="1" w:lastColumn="0" w:noHBand="0" w:noVBand="0"/>
      </w:tblPr>
      <w:tblGrid>
        <w:gridCol w:w="1111"/>
        <w:gridCol w:w="3929"/>
        <w:gridCol w:w="3465"/>
      </w:tblGrid>
      <w:tr w:rsidR="0068777C" w:rsidRPr="00256982" w14:paraId="42B980D3" w14:textId="77777777" w:rsidTr="0068777C">
        <w:trPr>
          <w:tblHeader/>
        </w:trPr>
        <w:tc>
          <w:tcPr>
            <w:tcW w:w="1111" w:type="dxa"/>
            <w:tcBorders>
              <w:left w:val="nil"/>
            </w:tcBorders>
            <w:shd w:val="clear" w:color="auto" w:fill="365F91"/>
            <w:vAlign w:val="bottom"/>
          </w:tcPr>
          <w:p w14:paraId="31A3EEE9" w14:textId="77777777" w:rsidR="0068777C" w:rsidRPr="00256982" w:rsidRDefault="0068777C" w:rsidP="0068777C">
            <w:pPr>
              <w:pStyle w:val="TableTextBold"/>
              <w:rPr>
                <w:noProof w:val="0"/>
                <w:color w:val="FFFFFF"/>
              </w:rPr>
            </w:pPr>
            <w:r w:rsidRPr="00256982">
              <w:rPr>
                <w:noProof w:val="0"/>
                <w:color w:val="FFFFFF"/>
              </w:rPr>
              <w:t>Year</w:t>
            </w:r>
          </w:p>
        </w:tc>
        <w:tc>
          <w:tcPr>
            <w:tcW w:w="3929" w:type="dxa"/>
            <w:shd w:val="clear" w:color="auto" w:fill="365F91"/>
          </w:tcPr>
          <w:p w14:paraId="791138C2" w14:textId="77777777" w:rsidR="0068777C" w:rsidRPr="00256982" w:rsidRDefault="0068777C" w:rsidP="0068777C">
            <w:pPr>
              <w:pStyle w:val="TableTextBold"/>
              <w:jc w:val="center"/>
              <w:rPr>
                <w:i/>
                <w:noProof w:val="0"/>
                <w:color w:val="FFFFFF"/>
              </w:rPr>
            </w:pPr>
            <w:r w:rsidRPr="00256982">
              <w:rPr>
                <w:noProof w:val="0"/>
                <w:color w:val="FFFFFF"/>
              </w:rPr>
              <w:t>Percentage of urea fertiliser applied that included urease inhibitor (urea treated/total urea)</w:t>
            </w:r>
          </w:p>
        </w:tc>
        <w:tc>
          <w:tcPr>
            <w:tcW w:w="3465" w:type="dxa"/>
            <w:tcBorders>
              <w:right w:val="nil"/>
            </w:tcBorders>
            <w:shd w:val="clear" w:color="auto" w:fill="365F91"/>
          </w:tcPr>
          <w:p w14:paraId="24BB5BB2" w14:textId="77777777" w:rsidR="0068777C" w:rsidRPr="00256982" w:rsidRDefault="0068777C" w:rsidP="0068777C">
            <w:pPr>
              <w:pStyle w:val="TableTextBold"/>
              <w:jc w:val="center"/>
              <w:rPr>
                <w:i/>
                <w:noProof w:val="0"/>
                <w:color w:val="FFFFFF"/>
              </w:rPr>
            </w:pPr>
            <w:r w:rsidRPr="00256982">
              <w:rPr>
                <w:noProof w:val="0"/>
                <w:color w:val="FFFFFF"/>
              </w:rPr>
              <w:t>Estimated greenhouse gas mitigation from using urease inhibitor kt CO</w:t>
            </w:r>
            <w:r w:rsidRPr="00256982">
              <w:rPr>
                <w:noProof w:val="0"/>
                <w:color w:val="FFFFFF"/>
                <w:vertAlign w:val="subscript"/>
              </w:rPr>
              <w:t>2</w:t>
            </w:r>
            <w:r w:rsidRPr="00256982">
              <w:rPr>
                <w:noProof w:val="0"/>
                <w:color w:val="FFFFFF"/>
              </w:rPr>
              <w:t>-e</w:t>
            </w:r>
          </w:p>
        </w:tc>
      </w:tr>
      <w:tr w:rsidR="0068777C" w:rsidRPr="00256982" w14:paraId="2836122C" w14:textId="77777777" w:rsidTr="0068777C">
        <w:tc>
          <w:tcPr>
            <w:tcW w:w="1111" w:type="dxa"/>
            <w:tcBorders>
              <w:left w:val="nil"/>
            </w:tcBorders>
            <w:shd w:val="clear" w:color="auto" w:fill="auto"/>
          </w:tcPr>
          <w:p w14:paraId="618FEB3A" w14:textId="77777777" w:rsidR="0068777C" w:rsidRPr="00256982" w:rsidRDefault="0068777C" w:rsidP="0068777C">
            <w:pPr>
              <w:pStyle w:val="TableText"/>
              <w:rPr>
                <w:sz w:val="15"/>
                <w:szCs w:val="15"/>
              </w:rPr>
            </w:pPr>
            <w:r w:rsidRPr="00256982">
              <w:t>2001</w:t>
            </w:r>
          </w:p>
        </w:tc>
        <w:tc>
          <w:tcPr>
            <w:tcW w:w="3929" w:type="dxa"/>
          </w:tcPr>
          <w:p w14:paraId="69400255" w14:textId="77777777" w:rsidR="0068777C" w:rsidRPr="00256982" w:rsidRDefault="0068777C" w:rsidP="0068777C">
            <w:pPr>
              <w:pStyle w:val="TableText"/>
              <w:jc w:val="center"/>
              <w:rPr>
                <w:rFonts w:cs="Arial"/>
                <w:sz w:val="15"/>
                <w:szCs w:val="15"/>
              </w:rPr>
            </w:pPr>
            <w:r w:rsidRPr="00256982">
              <w:t>5.6</w:t>
            </w:r>
          </w:p>
        </w:tc>
        <w:tc>
          <w:tcPr>
            <w:tcW w:w="3465" w:type="dxa"/>
            <w:tcBorders>
              <w:right w:val="nil"/>
            </w:tcBorders>
          </w:tcPr>
          <w:p w14:paraId="57A67728" w14:textId="77777777" w:rsidR="0068777C" w:rsidRPr="00256982" w:rsidRDefault="0068777C" w:rsidP="0068777C">
            <w:pPr>
              <w:pStyle w:val="TableText"/>
              <w:jc w:val="center"/>
              <w:rPr>
                <w:rFonts w:cs="Arial"/>
                <w:sz w:val="15"/>
                <w:szCs w:val="15"/>
              </w:rPr>
            </w:pPr>
            <w:r w:rsidRPr="00256982">
              <w:t>2.2</w:t>
            </w:r>
          </w:p>
        </w:tc>
      </w:tr>
      <w:tr w:rsidR="0068777C" w:rsidRPr="00256982" w14:paraId="4F97E25A" w14:textId="77777777" w:rsidTr="0068777C">
        <w:tc>
          <w:tcPr>
            <w:tcW w:w="1111" w:type="dxa"/>
            <w:tcBorders>
              <w:left w:val="nil"/>
            </w:tcBorders>
            <w:shd w:val="clear" w:color="auto" w:fill="auto"/>
          </w:tcPr>
          <w:p w14:paraId="3D63F741" w14:textId="77777777" w:rsidR="0068777C" w:rsidRPr="00256982" w:rsidRDefault="0068777C" w:rsidP="0068777C">
            <w:pPr>
              <w:pStyle w:val="TableText"/>
              <w:rPr>
                <w:sz w:val="15"/>
                <w:szCs w:val="15"/>
              </w:rPr>
            </w:pPr>
            <w:r w:rsidRPr="00256982">
              <w:t>2002</w:t>
            </w:r>
          </w:p>
        </w:tc>
        <w:tc>
          <w:tcPr>
            <w:tcW w:w="3929" w:type="dxa"/>
          </w:tcPr>
          <w:p w14:paraId="3F114737" w14:textId="77777777" w:rsidR="0068777C" w:rsidRPr="00256982" w:rsidRDefault="0068777C" w:rsidP="0068777C">
            <w:pPr>
              <w:pStyle w:val="TableText"/>
              <w:jc w:val="center"/>
              <w:rPr>
                <w:rFonts w:cs="Arial"/>
                <w:sz w:val="15"/>
                <w:szCs w:val="15"/>
              </w:rPr>
            </w:pPr>
            <w:r w:rsidRPr="00256982">
              <w:t>3.8</w:t>
            </w:r>
          </w:p>
        </w:tc>
        <w:tc>
          <w:tcPr>
            <w:tcW w:w="3465" w:type="dxa"/>
            <w:tcBorders>
              <w:right w:val="nil"/>
            </w:tcBorders>
          </w:tcPr>
          <w:p w14:paraId="14E5D137" w14:textId="77777777" w:rsidR="0068777C" w:rsidRPr="00256982" w:rsidRDefault="0068777C" w:rsidP="0068777C">
            <w:pPr>
              <w:pStyle w:val="TableText"/>
              <w:jc w:val="center"/>
              <w:rPr>
                <w:rFonts w:cs="Arial"/>
                <w:sz w:val="15"/>
                <w:szCs w:val="15"/>
              </w:rPr>
            </w:pPr>
            <w:r w:rsidRPr="00256982">
              <w:t>1.9</w:t>
            </w:r>
          </w:p>
        </w:tc>
      </w:tr>
      <w:tr w:rsidR="0068777C" w:rsidRPr="00256982" w14:paraId="0F9DBE69" w14:textId="77777777" w:rsidTr="0068777C">
        <w:tc>
          <w:tcPr>
            <w:tcW w:w="1111" w:type="dxa"/>
            <w:tcBorders>
              <w:left w:val="nil"/>
            </w:tcBorders>
            <w:shd w:val="clear" w:color="auto" w:fill="auto"/>
          </w:tcPr>
          <w:p w14:paraId="10D37974" w14:textId="77777777" w:rsidR="0068777C" w:rsidRPr="00256982" w:rsidDel="00E408EA" w:rsidRDefault="0068777C" w:rsidP="0068777C">
            <w:pPr>
              <w:pStyle w:val="TableText"/>
              <w:rPr>
                <w:sz w:val="15"/>
                <w:szCs w:val="15"/>
              </w:rPr>
            </w:pPr>
            <w:r w:rsidRPr="00256982">
              <w:t>2003</w:t>
            </w:r>
          </w:p>
        </w:tc>
        <w:tc>
          <w:tcPr>
            <w:tcW w:w="3929" w:type="dxa"/>
          </w:tcPr>
          <w:p w14:paraId="1BE71A0E" w14:textId="77777777" w:rsidR="0068777C" w:rsidRPr="00256982" w:rsidRDefault="0068777C" w:rsidP="0068777C">
            <w:pPr>
              <w:pStyle w:val="TableText"/>
              <w:jc w:val="center"/>
              <w:rPr>
                <w:rFonts w:cs="Arial"/>
                <w:color w:val="000000"/>
                <w:sz w:val="15"/>
                <w:szCs w:val="15"/>
              </w:rPr>
            </w:pPr>
            <w:r w:rsidRPr="00256982">
              <w:t>4.6</w:t>
            </w:r>
          </w:p>
        </w:tc>
        <w:tc>
          <w:tcPr>
            <w:tcW w:w="3465" w:type="dxa"/>
            <w:tcBorders>
              <w:right w:val="nil"/>
            </w:tcBorders>
          </w:tcPr>
          <w:p w14:paraId="0BDF466F" w14:textId="77777777" w:rsidR="0068777C" w:rsidRPr="00256982" w:rsidRDefault="0068777C" w:rsidP="0068777C">
            <w:pPr>
              <w:pStyle w:val="TableText"/>
              <w:jc w:val="center"/>
              <w:rPr>
                <w:rFonts w:cs="Arial"/>
                <w:color w:val="000000"/>
                <w:sz w:val="15"/>
                <w:szCs w:val="15"/>
              </w:rPr>
            </w:pPr>
            <w:r w:rsidRPr="00256982">
              <w:t>2.6</w:t>
            </w:r>
          </w:p>
        </w:tc>
      </w:tr>
      <w:tr w:rsidR="0068777C" w:rsidRPr="00256982" w14:paraId="14CC117F" w14:textId="77777777" w:rsidTr="0068777C">
        <w:tc>
          <w:tcPr>
            <w:tcW w:w="1111" w:type="dxa"/>
            <w:tcBorders>
              <w:left w:val="nil"/>
            </w:tcBorders>
            <w:shd w:val="clear" w:color="auto" w:fill="auto"/>
          </w:tcPr>
          <w:p w14:paraId="319E6A75" w14:textId="77777777" w:rsidR="0068777C" w:rsidRPr="00256982" w:rsidDel="00E408EA" w:rsidRDefault="0068777C" w:rsidP="0068777C">
            <w:pPr>
              <w:pStyle w:val="TableText"/>
              <w:rPr>
                <w:sz w:val="15"/>
                <w:szCs w:val="15"/>
              </w:rPr>
            </w:pPr>
            <w:r w:rsidRPr="00256982">
              <w:t>2004</w:t>
            </w:r>
          </w:p>
        </w:tc>
        <w:tc>
          <w:tcPr>
            <w:tcW w:w="3929" w:type="dxa"/>
          </w:tcPr>
          <w:p w14:paraId="2566D9B4" w14:textId="77777777" w:rsidR="0068777C" w:rsidRPr="00256982" w:rsidRDefault="0068777C" w:rsidP="0068777C">
            <w:pPr>
              <w:pStyle w:val="TableText"/>
              <w:jc w:val="center"/>
              <w:rPr>
                <w:rFonts w:cs="Arial"/>
                <w:color w:val="000000"/>
                <w:sz w:val="15"/>
                <w:szCs w:val="15"/>
              </w:rPr>
            </w:pPr>
            <w:r w:rsidRPr="00256982">
              <w:t>8.1</w:t>
            </w:r>
          </w:p>
        </w:tc>
        <w:tc>
          <w:tcPr>
            <w:tcW w:w="3465" w:type="dxa"/>
            <w:tcBorders>
              <w:right w:val="nil"/>
            </w:tcBorders>
          </w:tcPr>
          <w:p w14:paraId="75BAA800" w14:textId="77777777" w:rsidR="0068777C" w:rsidRPr="00256982" w:rsidRDefault="0068777C" w:rsidP="0068777C">
            <w:pPr>
              <w:pStyle w:val="TableText"/>
              <w:jc w:val="center"/>
              <w:rPr>
                <w:rFonts w:cs="Arial"/>
                <w:color w:val="000000"/>
                <w:sz w:val="15"/>
                <w:szCs w:val="15"/>
              </w:rPr>
            </w:pPr>
            <w:r w:rsidRPr="00256982">
              <w:t>4.8</w:t>
            </w:r>
          </w:p>
        </w:tc>
      </w:tr>
      <w:tr w:rsidR="0068777C" w:rsidRPr="00256982" w14:paraId="6BEE4ED9" w14:textId="77777777" w:rsidTr="0068777C">
        <w:tc>
          <w:tcPr>
            <w:tcW w:w="1111" w:type="dxa"/>
            <w:tcBorders>
              <w:left w:val="nil"/>
            </w:tcBorders>
            <w:shd w:val="clear" w:color="auto" w:fill="auto"/>
          </w:tcPr>
          <w:p w14:paraId="73C7F499" w14:textId="77777777" w:rsidR="0068777C" w:rsidRPr="00256982" w:rsidRDefault="0068777C" w:rsidP="0068777C">
            <w:pPr>
              <w:pStyle w:val="TableText"/>
              <w:rPr>
                <w:sz w:val="15"/>
                <w:szCs w:val="15"/>
              </w:rPr>
            </w:pPr>
            <w:r w:rsidRPr="00256982">
              <w:t>2005</w:t>
            </w:r>
          </w:p>
        </w:tc>
        <w:tc>
          <w:tcPr>
            <w:tcW w:w="3929" w:type="dxa"/>
          </w:tcPr>
          <w:p w14:paraId="58FF8C04" w14:textId="77777777" w:rsidR="0068777C" w:rsidRPr="00256982" w:rsidRDefault="0068777C" w:rsidP="0068777C">
            <w:pPr>
              <w:pStyle w:val="TableText"/>
              <w:jc w:val="center"/>
              <w:rPr>
                <w:rFonts w:cs="Arial"/>
                <w:color w:val="000000"/>
                <w:sz w:val="15"/>
                <w:szCs w:val="15"/>
              </w:rPr>
            </w:pPr>
            <w:r w:rsidRPr="00256982">
              <w:t>1.6</w:t>
            </w:r>
          </w:p>
        </w:tc>
        <w:tc>
          <w:tcPr>
            <w:tcW w:w="3465" w:type="dxa"/>
            <w:tcBorders>
              <w:right w:val="nil"/>
            </w:tcBorders>
          </w:tcPr>
          <w:p w14:paraId="5EAB47CC" w14:textId="77777777" w:rsidR="0068777C" w:rsidRPr="00256982" w:rsidRDefault="0068777C" w:rsidP="0068777C">
            <w:pPr>
              <w:pStyle w:val="TableText"/>
              <w:jc w:val="center"/>
              <w:rPr>
                <w:rFonts w:cs="Arial"/>
                <w:color w:val="000000"/>
                <w:sz w:val="15"/>
                <w:szCs w:val="15"/>
              </w:rPr>
            </w:pPr>
            <w:r w:rsidRPr="00256982">
              <w:t>1.0</w:t>
            </w:r>
          </w:p>
        </w:tc>
      </w:tr>
      <w:tr w:rsidR="0068777C" w:rsidRPr="00256982" w14:paraId="667DB8AF" w14:textId="77777777" w:rsidTr="0068777C">
        <w:tc>
          <w:tcPr>
            <w:tcW w:w="1111" w:type="dxa"/>
            <w:tcBorders>
              <w:left w:val="nil"/>
            </w:tcBorders>
            <w:shd w:val="clear" w:color="auto" w:fill="auto"/>
          </w:tcPr>
          <w:p w14:paraId="3053D0B2" w14:textId="77777777" w:rsidR="0068777C" w:rsidRPr="00256982" w:rsidRDefault="0068777C" w:rsidP="0068777C">
            <w:pPr>
              <w:pStyle w:val="TableText"/>
              <w:rPr>
                <w:sz w:val="15"/>
                <w:szCs w:val="15"/>
              </w:rPr>
            </w:pPr>
            <w:r w:rsidRPr="00256982">
              <w:t>2006</w:t>
            </w:r>
          </w:p>
        </w:tc>
        <w:tc>
          <w:tcPr>
            <w:tcW w:w="3929" w:type="dxa"/>
          </w:tcPr>
          <w:p w14:paraId="1A7A0BDE" w14:textId="77777777" w:rsidR="0068777C" w:rsidRPr="00256982" w:rsidRDefault="0068777C" w:rsidP="0068777C">
            <w:pPr>
              <w:pStyle w:val="TableText"/>
              <w:jc w:val="center"/>
              <w:rPr>
                <w:rFonts w:cs="Arial"/>
                <w:color w:val="000000"/>
                <w:sz w:val="15"/>
                <w:szCs w:val="15"/>
              </w:rPr>
            </w:pPr>
            <w:r w:rsidRPr="00256982">
              <w:t>8.4</w:t>
            </w:r>
          </w:p>
        </w:tc>
        <w:tc>
          <w:tcPr>
            <w:tcW w:w="3465" w:type="dxa"/>
            <w:tcBorders>
              <w:right w:val="nil"/>
            </w:tcBorders>
          </w:tcPr>
          <w:p w14:paraId="5725F6E6" w14:textId="77777777" w:rsidR="0068777C" w:rsidRPr="00256982" w:rsidRDefault="0068777C" w:rsidP="0068777C">
            <w:pPr>
              <w:pStyle w:val="TableText"/>
              <w:jc w:val="center"/>
              <w:rPr>
                <w:rFonts w:cs="Arial"/>
                <w:color w:val="000000"/>
                <w:sz w:val="15"/>
                <w:szCs w:val="15"/>
              </w:rPr>
            </w:pPr>
            <w:r w:rsidRPr="00256982">
              <w:t>4.7</w:t>
            </w:r>
          </w:p>
        </w:tc>
      </w:tr>
      <w:tr w:rsidR="0068777C" w:rsidRPr="00256982" w14:paraId="2B8A834C" w14:textId="77777777" w:rsidTr="0068777C">
        <w:tc>
          <w:tcPr>
            <w:tcW w:w="1111" w:type="dxa"/>
            <w:tcBorders>
              <w:left w:val="nil"/>
            </w:tcBorders>
            <w:shd w:val="clear" w:color="auto" w:fill="auto"/>
          </w:tcPr>
          <w:p w14:paraId="0022F755" w14:textId="77777777" w:rsidR="0068777C" w:rsidRPr="00256982" w:rsidRDefault="0068777C" w:rsidP="0068777C">
            <w:pPr>
              <w:pStyle w:val="TableText"/>
              <w:rPr>
                <w:sz w:val="15"/>
                <w:szCs w:val="15"/>
              </w:rPr>
            </w:pPr>
            <w:r w:rsidRPr="00256982">
              <w:t>2007</w:t>
            </w:r>
          </w:p>
        </w:tc>
        <w:tc>
          <w:tcPr>
            <w:tcW w:w="3929" w:type="dxa"/>
          </w:tcPr>
          <w:p w14:paraId="58771E9E" w14:textId="77777777" w:rsidR="0068777C" w:rsidRPr="00256982" w:rsidRDefault="0068777C" w:rsidP="0068777C">
            <w:pPr>
              <w:pStyle w:val="TableText"/>
              <w:jc w:val="center"/>
              <w:rPr>
                <w:rFonts w:cs="Arial"/>
                <w:color w:val="000000"/>
                <w:sz w:val="15"/>
                <w:szCs w:val="15"/>
              </w:rPr>
            </w:pPr>
            <w:r w:rsidRPr="00256982">
              <w:t>5.0</w:t>
            </w:r>
          </w:p>
        </w:tc>
        <w:tc>
          <w:tcPr>
            <w:tcW w:w="3465" w:type="dxa"/>
            <w:tcBorders>
              <w:right w:val="nil"/>
            </w:tcBorders>
          </w:tcPr>
          <w:p w14:paraId="6CDE69B7" w14:textId="77777777" w:rsidR="0068777C" w:rsidRPr="00256982" w:rsidRDefault="0068777C" w:rsidP="0068777C">
            <w:pPr>
              <w:pStyle w:val="TableText"/>
              <w:jc w:val="center"/>
              <w:rPr>
                <w:rFonts w:cs="Arial"/>
                <w:color w:val="000000"/>
                <w:sz w:val="15"/>
                <w:szCs w:val="15"/>
              </w:rPr>
            </w:pPr>
            <w:r w:rsidRPr="00256982">
              <w:t>3.0</w:t>
            </w:r>
          </w:p>
        </w:tc>
      </w:tr>
      <w:tr w:rsidR="0068777C" w:rsidRPr="00256982" w14:paraId="6D2330AA" w14:textId="77777777" w:rsidTr="0068777C">
        <w:tc>
          <w:tcPr>
            <w:tcW w:w="1111" w:type="dxa"/>
            <w:tcBorders>
              <w:left w:val="nil"/>
            </w:tcBorders>
            <w:shd w:val="clear" w:color="auto" w:fill="auto"/>
          </w:tcPr>
          <w:p w14:paraId="7BDBD126" w14:textId="77777777" w:rsidR="0068777C" w:rsidRPr="00256982" w:rsidRDefault="0068777C" w:rsidP="0068777C">
            <w:pPr>
              <w:pStyle w:val="TableText"/>
              <w:rPr>
                <w:sz w:val="15"/>
                <w:szCs w:val="15"/>
              </w:rPr>
            </w:pPr>
            <w:r w:rsidRPr="00256982">
              <w:t>2008</w:t>
            </w:r>
          </w:p>
        </w:tc>
        <w:tc>
          <w:tcPr>
            <w:tcW w:w="3929" w:type="dxa"/>
          </w:tcPr>
          <w:p w14:paraId="3AF39724" w14:textId="77777777" w:rsidR="0068777C" w:rsidRPr="00256982" w:rsidRDefault="0068777C" w:rsidP="0068777C">
            <w:pPr>
              <w:pStyle w:val="TableText"/>
              <w:jc w:val="center"/>
              <w:rPr>
                <w:rFonts w:cs="Arial"/>
                <w:color w:val="000000"/>
                <w:sz w:val="15"/>
                <w:szCs w:val="15"/>
              </w:rPr>
            </w:pPr>
            <w:r w:rsidRPr="00256982">
              <w:t>5.2</w:t>
            </w:r>
          </w:p>
        </w:tc>
        <w:tc>
          <w:tcPr>
            <w:tcW w:w="3465" w:type="dxa"/>
            <w:tcBorders>
              <w:right w:val="nil"/>
            </w:tcBorders>
          </w:tcPr>
          <w:p w14:paraId="2DFA0F21" w14:textId="77777777" w:rsidR="0068777C" w:rsidRPr="00256982" w:rsidRDefault="0068777C" w:rsidP="0068777C">
            <w:pPr>
              <w:pStyle w:val="TableText"/>
              <w:jc w:val="center"/>
              <w:rPr>
                <w:rFonts w:cs="Arial"/>
                <w:color w:val="000000"/>
                <w:sz w:val="15"/>
                <w:szCs w:val="15"/>
              </w:rPr>
            </w:pPr>
            <w:r w:rsidRPr="00256982">
              <w:t>3.0</w:t>
            </w:r>
          </w:p>
        </w:tc>
      </w:tr>
      <w:tr w:rsidR="0068777C" w:rsidRPr="00256982" w14:paraId="166C2ECD" w14:textId="77777777" w:rsidTr="0068777C">
        <w:tc>
          <w:tcPr>
            <w:tcW w:w="1111" w:type="dxa"/>
            <w:tcBorders>
              <w:left w:val="nil"/>
            </w:tcBorders>
            <w:shd w:val="clear" w:color="auto" w:fill="auto"/>
          </w:tcPr>
          <w:p w14:paraId="7A0ED520" w14:textId="77777777" w:rsidR="0068777C" w:rsidRPr="00256982" w:rsidRDefault="0068777C" w:rsidP="0068777C">
            <w:pPr>
              <w:pStyle w:val="TableText"/>
              <w:rPr>
                <w:sz w:val="15"/>
                <w:szCs w:val="15"/>
              </w:rPr>
            </w:pPr>
            <w:r w:rsidRPr="00256982">
              <w:t>2009</w:t>
            </w:r>
          </w:p>
        </w:tc>
        <w:tc>
          <w:tcPr>
            <w:tcW w:w="3929" w:type="dxa"/>
          </w:tcPr>
          <w:p w14:paraId="26133812" w14:textId="77777777" w:rsidR="0068777C" w:rsidRPr="00256982" w:rsidRDefault="0068777C" w:rsidP="0068777C">
            <w:pPr>
              <w:pStyle w:val="TableText"/>
              <w:jc w:val="center"/>
              <w:rPr>
                <w:rFonts w:cs="Arial"/>
                <w:color w:val="000000"/>
                <w:sz w:val="15"/>
                <w:szCs w:val="15"/>
              </w:rPr>
            </w:pPr>
            <w:r w:rsidRPr="00256982">
              <w:t>9.4</w:t>
            </w:r>
          </w:p>
        </w:tc>
        <w:tc>
          <w:tcPr>
            <w:tcW w:w="3465" w:type="dxa"/>
            <w:tcBorders>
              <w:right w:val="nil"/>
            </w:tcBorders>
          </w:tcPr>
          <w:p w14:paraId="4A5ABF5D" w14:textId="77777777" w:rsidR="0068777C" w:rsidRPr="00256982" w:rsidRDefault="0068777C" w:rsidP="0068777C">
            <w:pPr>
              <w:pStyle w:val="TableText"/>
              <w:jc w:val="center"/>
              <w:rPr>
                <w:rFonts w:cs="Arial"/>
                <w:color w:val="000000"/>
                <w:sz w:val="15"/>
                <w:szCs w:val="15"/>
              </w:rPr>
            </w:pPr>
            <w:r w:rsidRPr="00256982">
              <w:t>4.7</w:t>
            </w:r>
          </w:p>
        </w:tc>
      </w:tr>
      <w:tr w:rsidR="0068777C" w:rsidRPr="00256982" w14:paraId="18D18307" w14:textId="77777777" w:rsidTr="0068777C">
        <w:tc>
          <w:tcPr>
            <w:tcW w:w="1111" w:type="dxa"/>
            <w:tcBorders>
              <w:left w:val="nil"/>
            </w:tcBorders>
            <w:shd w:val="clear" w:color="auto" w:fill="auto"/>
          </w:tcPr>
          <w:p w14:paraId="4F4C240C" w14:textId="77777777" w:rsidR="0068777C" w:rsidRPr="00256982" w:rsidRDefault="0068777C" w:rsidP="0068777C">
            <w:pPr>
              <w:pStyle w:val="TableText"/>
              <w:rPr>
                <w:sz w:val="15"/>
                <w:szCs w:val="15"/>
              </w:rPr>
            </w:pPr>
            <w:r w:rsidRPr="00256982">
              <w:t>2010</w:t>
            </w:r>
          </w:p>
        </w:tc>
        <w:tc>
          <w:tcPr>
            <w:tcW w:w="3929" w:type="dxa"/>
          </w:tcPr>
          <w:p w14:paraId="370FB554" w14:textId="77777777" w:rsidR="0068777C" w:rsidRPr="00256982" w:rsidRDefault="0068777C" w:rsidP="0068777C">
            <w:pPr>
              <w:pStyle w:val="TableText"/>
              <w:jc w:val="center"/>
              <w:rPr>
                <w:rFonts w:cs="Arial"/>
                <w:color w:val="000000"/>
                <w:sz w:val="15"/>
                <w:szCs w:val="15"/>
              </w:rPr>
            </w:pPr>
            <w:r w:rsidRPr="00256982">
              <w:t>6.9</w:t>
            </w:r>
          </w:p>
        </w:tc>
        <w:tc>
          <w:tcPr>
            <w:tcW w:w="3465" w:type="dxa"/>
            <w:tcBorders>
              <w:right w:val="nil"/>
            </w:tcBorders>
          </w:tcPr>
          <w:p w14:paraId="70AC309A" w14:textId="77777777" w:rsidR="0068777C" w:rsidRPr="00256982" w:rsidRDefault="0068777C" w:rsidP="0068777C">
            <w:pPr>
              <w:pStyle w:val="TableText"/>
              <w:jc w:val="center"/>
              <w:rPr>
                <w:rFonts w:cs="Arial"/>
                <w:color w:val="000000"/>
                <w:sz w:val="15"/>
                <w:szCs w:val="15"/>
              </w:rPr>
            </w:pPr>
            <w:r w:rsidRPr="00256982">
              <w:t>4.1</w:t>
            </w:r>
          </w:p>
        </w:tc>
      </w:tr>
      <w:tr w:rsidR="0068777C" w:rsidRPr="00256982" w14:paraId="73DFDD2F" w14:textId="77777777" w:rsidTr="0068777C">
        <w:tc>
          <w:tcPr>
            <w:tcW w:w="1111" w:type="dxa"/>
            <w:tcBorders>
              <w:left w:val="nil"/>
            </w:tcBorders>
            <w:shd w:val="clear" w:color="auto" w:fill="auto"/>
          </w:tcPr>
          <w:p w14:paraId="389C596B" w14:textId="77777777" w:rsidR="0068777C" w:rsidRPr="00256982" w:rsidRDefault="0068777C" w:rsidP="0068777C">
            <w:pPr>
              <w:pStyle w:val="TableText"/>
              <w:rPr>
                <w:sz w:val="15"/>
                <w:szCs w:val="15"/>
              </w:rPr>
            </w:pPr>
            <w:r w:rsidRPr="00256982">
              <w:t>2011</w:t>
            </w:r>
          </w:p>
        </w:tc>
        <w:tc>
          <w:tcPr>
            <w:tcW w:w="3929" w:type="dxa"/>
          </w:tcPr>
          <w:p w14:paraId="611F2859" w14:textId="77777777" w:rsidR="0068777C" w:rsidRPr="00256982" w:rsidRDefault="0068777C" w:rsidP="0068777C">
            <w:pPr>
              <w:pStyle w:val="TableText"/>
              <w:jc w:val="center"/>
              <w:rPr>
                <w:rFonts w:cs="Arial"/>
                <w:color w:val="000000"/>
                <w:sz w:val="15"/>
                <w:szCs w:val="15"/>
              </w:rPr>
            </w:pPr>
            <w:r w:rsidRPr="00256982">
              <w:t>5.3</w:t>
            </w:r>
          </w:p>
        </w:tc>
        <w:tc>
          <w:tcPr>
            <w:tcW w:w="3465" w:type="dxa"/>
            <w:tcBorders>
              <w:right w:val="nil"/>
            </w:tcBorders>
          </w:tcPr>
          <w:p w14:paraId="035BCD4E" w14:textId="77777777" w:rsidR="0068777C" w:rsidRPr="00256982" w:rsidRDefault="0068777C" w:rsidP="0068777C">
            <w:pPr>
              <w:pStyle w:val="TableText"/>
              <w:jc w:val="center"/>
              <w:rPr>
                <w:rFonts w:cs="Arial"/>
                <w:color w:val="000000"/>
                <w:sz w:val="15"/>
                <w:szCs w:val="15"/>
              </w:rPr>
            </w:pPr>
            <w:r w:rsidRPr="00256982">
              <w:t>3.5</w:t>
            </w:r>
          </w:p>
        </w:tc>
      </w:tr>
      <w:tr w:rsidR="0068777C" w:rsidRPr="00256982" w14:paraId="5D5CC31D" w14:textId="77777777" w:rsidTr="0068777C">
        <w:tc>
          <w:tcPr>
            <w:tcW w:w="1111" w:type="dxa"/>
            <w:tcBorders>
              <w:left w:val="nil"/>
            </w:tcBorders>
            <w:shd w:val="clear" w:color="auto" w:fill="auto"/>
          </w:tcPr>
          <w:p w14:paraId="6E354896" w14:textId="77777777" w:rsidR="0068777C" w:rsidRPr="00256982" w:rsidRDefault="0068777C" w:rsidP="0068777C">
            <w:pPr>
              <w:pStyle w:val="TableText"/>
              <w:rPr>
                <w:sz w:val="15"/>
                <w:szCs w:val="15"/>
              </w:rPr>
            </w:pPr>
            <w:r w:rsidRPr="00256982">
              <w:t>2012</w:t>
            </w:r>
          </w:p>
        </w:tc>
        <w:tc>
          <w:tcPr>
            <w:tcW w:w="3929" w:type="dxa"/>
          </w:tcPr>
          <w:p w14:paraId="0D2E8DB8" w14:textId="77777777" w:rsidR="0068777C" w:rsidRPr="00256982" w:rsidRDefault="0068777C" w:rsidP="0068777C">
            <w:pPr>
              <w:pStyle w:val="TableText"/>
              <w:jc w:val="center"/>
              <w:rPr>
                <w:rFonts w:cs="Arial"/>
                <w:color w:val="000000"/>
                <w:sz w:val="15"/>
                <w:szCs w:val="15"/>
              </w:rPr>
            </w:pPr>
            <w:r w:rsidRPr="00256982">
              <w:t>7.0</w:t>
            </w:r>
          </w:p>
        </w:tc>
        <w:tc>
          <w:tcPr>
            <w:tcW w:w="3465" w:type="dxa"/>
            <w:tcBorders>
              <w:right w:val="nil"/>
            </w:tcBorders>
          </w:tcPr>
          <w:p w14:paraId="4DFF7C9F" w14:textId="77777777" w:rsidR="0068777C" w:rsidRPr="00256982" w:rsidRDefault="0068777C" w:rsidP="0068777C">
            <w:pPr>
              <w:pStyle w:val="TableText"/>
              <w:jc w:val="center"/>
              <w:rPr>
                <w:rFonts w:cs="Arial"/>
                <w:color w:val="000000"/>
                <w:sz w:val="15"/>
                <w:szCs w:val="15"/>
              </w:rPr>
            </w:pPr>
            <w:r w:rsidRPr="00256982">
              <w:t>4.6</w:t>
            </w:r>
          </w:p>
        </w:tc>
      </w:tr>
      <w:tr w:rsidR="0068777C" w:rsidRPr="00256982" w14:paraId="61BFA349" w14:textId="77777777" w:rsidTr="0068777C">
        <w:tc>
          <w:tcPr>
            <w:tcW w:w="1111" w:type="dxa"/>
            <w:tcBorders>
              <w:left w:val="nil"/>
            </w:tcBorders>
            <w:shd w:val="clear" w:color="auto" w:fill="auto"/>
          </w:tcPr>
          <w:p w14:paraId="4AB62A31" w14:textId="77777777" w:rsidR="0068777C" w:rsidRPr="00256982" w:rsidRDefault="0068777C" w:rsidP="0068777C">
            <w:pPr>
              <w:pStyle w:val="TableText"/>
              <w:rPr>
                <w:sz w:val="15"/>
                <w:szCs w:val="15"/>
              </w:rPr>
            </w:pPr>
            <w:r w:rsidRPr="00256982">
              <w:t>2013</w:t>
            </w:r>
          </w:p>
        </w:tc>
        <w:tc>
          <w:tcPr>
            <w:tcW w:w="3929" w:type="dxa"/>
          </w:tcPr>
          <w:p w14:paraId="497D80E7" w14:textId="77777777" w:rsidR="0068777C" w:rsidRPr="00256982" w:rsidRDefault="0068777C" w:rsidP="0068777C">
            <w:pPr>
              <w:pStyle w:val="TableText"/>
              <w:jc w:val="center"/>
              <w:rPr>
                <w:rFonts w:cs="Arial"/>
                <w:color w:val="000000"/>
                <w:sz w:val="15"/>
                <w:szCs w:val="15"/>
              </w:rPr>
            </w:pPr>
            <w:r w:rsidRPr="00256982">
              <w:t>8.6</w:t>
            </w:r>
          </w:p>
        </w:tc>
        <w:tc>
          <w:tcPr>
            <w:tcW w:w="3465" w:type="dxa"/>
            <w:tcBorders>
              <w:right w:val="nil"/>
            </w:tcBorders>
          </w:tcPr>
          <w:p w14:paraId="6EC6F55B" w14:textId="77777777" w:rsidR="0068777C" w:rsidRPr="00256982" w:rsidRDefault="0068777C" w:rsidP="0068777C">
            <w:pPr>
              <w:pStyle w:val="TableText"/>
              <w:jc w:val="center"/>
              <w:rPr>
                <w:rFonts w:cs="Arial"/>
                <w:color w:val="000000"/>
                <w:sz w:val="15"/>
                <w:szCs w:val="15"/>
              </w:rPr>
            </w:pPr>
            <w:r w:rsidRPr="00256982">
              <w:t>5.9</w:t>
            </w:r>
          </w:p>
        </w:tc>
      </w:tr>
      <w:tr w:rsidR="0068777C" w:rsidRPr="00256982" w14:paraId="2B2E0F02" w14:textId="77777777" w:rsidTr="0068777C">
        <w:tc>
          <w:tcPr>
            <w:tcW w:w="1111" w:type="dxa"/>
            <w:tcBorders>
              <w:left w:val="nil"/>
            </w:tcBorders>
            <w:shd w:val="clear" w:color="auto" w:fill="auto"/>
          </w:tcPr>
          <w:p w14:paraId="0FE811D9" w14:textId="77777777" w:rsidR="0068777C" w:rsidRPr="00256982" w:rsidRDefault="0068777C" w:rsidP="0068777C">
            <w:pPr>
              <w:pStyle w:val="TableText"/>
              <w:rPr>
                <w:sz w:val="15"/>
                <w:szCs w:val="15"/>
              </w:rPr>
            </w:pPr>
            <w:r w:rsidRPr="00256982">
              <w:t>2014</w:t>
            </w:r>
          </w:p>
        </w:tc>
        <w:tc>
          <w:tcPr>
            <w:tcW w:w="3929" w:type="dxa"/>
          </w:tcPr>
          <w:p w14:paraId="55015BA4" w14:textId="77777777" w:rsidR="0068777C" w:rsidRPr="00256982" w:rsidRDefault="0068777C" w:rsidP="0068777C">
            <w:pPr>
              <w:pStyle w:val="TableText"/>
              <w:jc w:val="center"/>
              <w:rPr>
                <w:rFonts w:cs="Arial"/>
                <w:color w:val="000000"/>
                <w:sz w:val="15"/>
                <w:szCs w:val="15"/>
              </w:rPr>
            </w:pPr>
            <w:r w:rsidRPr="00256982">
              <w:t>20.2</w:t>
            </w:r>
          </w:p>
        </w:tc>
        <w:tc>
          <w:tcPr>
            <w:tcW w:w="3465" w:type="dxa"/>
            <w:tcBorders>
              <w:right w:val="nil"/>
            </w:tcBorders>
          </w:tcPr>
          <w:p w14:paraId="30258A0E" w14:textId="77777777" w:rsidR="0068777C" w:rsidRPr="00256982" w:rsidRDefault="0068777C" w:rsidP="0068777C">
            <w:pPr>
              <w:pStyle w:val="TableText"/>
              <w:jc w:val="center"/>
              <w:rPr>
                <w:rFonts w:cs="Arial"/>
                <w:color w:val="000000"/>
                <w:sz w:val="15"/>
                <w:szCs w:val="15"/>
              </w:rPr>
            </w:pPr>
            <w:r w:rsidRPr="00256982">
              <w:t>13.6</w:t>
            </w:r>
          </w:p>
        </w:tc>
      </w:tr>
      <w:tr w:rsidR="0068777C" w:rsidRPr="00256982" w14:paraId="2BDC491D" w14:textId="77777777" w:rsidTr="0068777C">
        <w:tc>
          <w:tcPr>
            <w:tcW w:w="1111" w:type="dxa"/>
            <w:tcBorders>
              <w:left w:val="nil"/>
            </w:tcBorders>
            <w:shd w:val="clear" w:color="auto" w:fill="auto"/>
          </w:tcPr>
          <w:p w14:paraId="210283FD" w14:textId="77777777" w:rsidR="0068777C" w:rsidRPr="00256982" w:rsidRDefault="0068777C" w:rsidP="0068777C">
            <w:pPr>
              <w:pStyle w:val="TableText"/>
              <w:rPr>
                <w:sz w:val="15"/>
                <w:szCs w:val="15"/>
              </w:rPr>
            </w:pPr>
            <w:r w:rsidRPr="00256982">
              <w:t>2015</w:t>
            </w:r>
          </w:p>
        </w:tc>
        <w:tc>
          <w:tcPr>
            <w:tcW w:w="3929" w:type="dxa"/>
          </w:tcPr>
          <w:p w14:paraId="788E4697" w14:textId="77777777" w:rsidR="0068777C" w:rsidRPr="00256982" w:rsidRDefault="0068777C" w:rsidP="0068777C">
            <w:pPr>
              <w:pStyle w:val="TableText"/>
              <w:jc w:val="center"/>
              <w:rPr>
                <w:rFonts w:cs="Arial"/>
                <w:color w:val="000000"/>
                <w:sz w:val="15"/>
                <w:szCs w:val="15"/>
              </w:rPr>
            </w:pPr>
            <w:r w:rsidRPr="00256982">
              <w:t>16.2</w:t>
            </w:r>
          </w:p>
        </w:tc>
        <w:tc>
          <w:tcPr>
            <w:tcW w:w="3465" w:type="dxa"/>
            <w:tcBorders>
              <w:right w:val="nil"/>
            </w:tcBorders>
          </w:tcPr>
          <w:p w14:paraId="05370C37" w14:textId="77777777" w:rsidR="0068777C" w:rsidRPr="00256982" w:rsidRDefault="0068777C" w:rsidP="0068777C">
            <w:pPr>
              <w:pStyle w:val="TableText"/>
              <w:jc w:val="center"/>
              <w:rPr>
                <w:rFonts w:cs="Arial"/>
                <w:color w:val="000000"/>
                <w:sz w:val="15"/>
                <w:szCs w:val="15"/>
              </w:rPr>
            </w:pPr>
            <w:r w:rsidRPr="00256982">
              <w:t>13.1</w:t>
            </w:r>
          </w:p>
        </w:tc>
      </w:tr>
      <w:tr w:rsidR="0068777C" w:rsidRPr="00256982" w14:paraId="7308D2D1" w14:textId="77777777" w:rsidTr="0068777C">
        <w:tc>
          <w:tcPr>
            <w:tcW w:w="1111" w:type="dxa"/>
            <w:tcBorders>
              <w:left w:val="nil"/>
            </w:tcBorders>
            <w:shd w:val="clear" w:color="auto" w:fill="auto"/>
          </w:tcPr>
          <w:p w14:paraId="3CED9AAD" w14:textId="77777777" w:rsidR="0068777C" w:rsidRPr="00256982" w:rsidRDefault="0068777C" w:rsidP="0068777C">
            <w:pPr>
              <w:pStyle w:val="TableText"/>
              <w:rPr>
                <w:sz w:val="15"/>
                <w:szCs w:val="15"/>
              </w:rPr>
            </w:pPr>
            <w:r w:rsidRPr="00256982">
              <w:t>2016</w:t>
            </w:r>
          </w:p>
        </w:tc>
        <w:tc>
          <w:tcPr>
            <w:tcW w:w="3929" w:type="dxa"/>
          </w:tcPr>
          <w:p w14:paraId="0253C115" w14:textId="77777777" w:rsidR="0068777C" w:rsidRPr="00256982" w:rsidRDefault="0068777C" w:rsidP="0068777C">
            <w:pPr>
              <w:pStyle w:val="TableText"/>
              <w:jc w:val="center"/>
              <w:rPr>
                <w:rFonts w:cs="Arial"/>
                <w:color w:val="000000"/>
                <w:sz w:val="15"/>
                <w:szCs w:val="15"/>
              </w:rPr>
            </w:pPr>
            <w:r w:rsidRPr="00256982">
              <w:t>26.5</w:t>
            </w:r>
          </w:p>
        </w:tc>
        <w:tc>
          <w:tcPr>
            <w:tcW w:w="3465" w:type="dxa"/>
            <w:tcBorders>
              <w:right w:val="nil"/>
            </w:tcBorders>
          </w:tcPr>
          <w:p w14:paraId="6222FB20" w14:textId="77777777" w:rsidR="0068777C" w:rsidRPr="00256982" w:rsidRDefault="0068777C" w:rsidP="0068777C">
            <w:pPr>
              <w:pStyle w:val="TableText"/>
              <w:jc w:val="center"/>
              <w:rPr>
                <w:rFonts w:cs="Arial"/>
                <w:color w:val="000000"/>
                <w:sz w:val="15"/>
                <w:szCs w:val="15"/>
              </w:rPr>
            </w:pPr>
            <w:r w:rsidRPr="00256982">
              <w:t>20.1</w:t>
            </w:r>
          </w:p>
        </w:tc>
      </w:tr>
      <w:tr w:rsidR="0068777C" w:rsidRPr="00256982" w14:paraId="5B5DBADF" w14:textId="77777777" w:rsidTr="0068777C">
        <w:tc>
          <w:tcPr>
            <w:tcW w:w="1111" w:type="dxa"/>
            <w:tcBorders>
              <w:left w:val="nil"/>
            </w:tcBorders>
            <w:shd w:val="clear" w:color="auto" w:fill="auto"/>
          </w:tcPr>
          <w:p w14:paraId="348C84C0" w14:textId="77777777" w:rsidR="0068777C" w:rsidRPr="00256982" w:rsidRDefault="0068777C" w:rsidP="0068777C">
            <w:pPr>
              <w:pStyle w:val="TableText"/>
            </w:pPr>
            <w:r w:rsidRPr="00256982">
              <w:t>2017</w:t>
            </w:r>
          </w:p>
        </w:tc>
        <w:tc>
          <w:tcPr>
            <w:tcW w:w="3929" w:type="dxa"/>
          </w:tcPr>
          <w:p w14:paraId="0DCD9817" w14:textId="77777777" w:rsidR="0068777C" w:rsidRPr="00256982" w:rsidRDefault="0068777C" w:rsidP="0068777C">
            <w:pPr>
              <w:pStyle w:val="TableText"/>
              <w:jc w:val="center"/>
            </w:pPr>
            <w:r w:rsidRPr="00256982">
              <w:t>27.8</w:t>
            </w:r>
          </w:p>
        </w:tc>
        <w:tc>
          <w:tcPr>
            <w:tcW w:w="3465" w:type="dxa"/>
            <w:tcBorders>
              <w:right w:val="nil"/>
            </w:tcBorders>
          </w:tcPr>
          <w:p w14:paraId="235051C5" w14:textId="77777777" w:rsidR="0068777C" w:rsidRPr="00256982" w:rsidRDefault="0068777C" w:rsidP="0068777C">
            <w:pPr>
              <w:pStyle w:val="TableText"/>
              <w:jc w:val="center"/>
            </w:pPr>
            <w:r w:rsidRPr="00256982">
              <w:t>21.6</w:t>
            </w:r>
          </w:p>
        </w:tc>
      </w:tr>
    </w:tbl>
    <w:p w14:paraId="35D6E1B7" w14:textId="77777777" w:rsidR="0068777C" w:rsidRPr="00256982" w:rsidRDefault="0068777C" w:rsidP="0068777C">
      <w:pPr>
        <w:pStyle w:val="Source"/>
      </w:pPr>
      <w:r w:rsidRPr="00256982">
        <w:rPr>
          <w:b/>
        </w:rPr>
        <w:t>Source:</w:t>
      </w:r>
      <w:r w:rsidRPr="00256982">
        <w:t xml:space="preserve"> Fertiliser Association of New Zealand and Ballance Agri-Nutrients Limited</w:t>
      </w:r>
    </w:p>
    <w:p w14:paraId="0F9E081E" w14:textId="77777777" w:rsidR="0068777C" w:rsidRPr="00256982" w:rsidRDefault="0068777C" w:rsidP="0068777C">
      <w:pPr>
        <w:pStyle w:val="Heading5"/>
        <w:spacing w:before="360"/>
        <w:rPr>
          <w:szCs w:val="24"/>
        </w:rPr>
      </w:pPr>
      <w:r w:rsidRPr="00256982">
        <w:t>Nitrification inhibitor d</w:t>
      </w:r>
      <w:r w:rsidRPr="00256982">
        <w:rPr>
          <w:szCs w:val="24"/>
        </w:rPr>
        <w:t xml:space="preserve">icyandiamide </w:t>
      </w:r>
    </w:p>
    <w:p w14:paraId="3CAA2A2F" w14:textId="77777777" w:rsidR="0068777C" w:rsidRPr="00256982" w:rsidRDefault="0068777C" w:rsidP="0068777C">
      <w:pPr>
        <w:pStyle w:val="BodyText"/>
      </w:pPr>
      <w:r w:rsidRPr="00256982">
        <w:rPr>
          <w:szCs w:val="24"/>
        </w:rPr>
        <w:t>A</w:t>
      </w:r>
      <w:r w:rsidRPr="00256982">
        <w:t xml:space="preserve"> methodology has been developed to incorporate the nitrification inhibitor DCD, an </w:t>
      </w:r>
      <w:r w:rsidRPr="00256982">
        <w:rPr>
          <w:spacing w:val="-2"/>
        </w:rPr>
        <w:t>N</w:t>
      </w:r>
      <w:r w:rsidRPr="00256982">
        <w:rPr>
          <w:spacing w:val="-2"/>
          <w:vertAlign w:val="subscript"/>
        </w:rPr>
        <w:t>2</w:t>
      </w:r>
      <w:r w:rsidRPr="00256982">
        <w:rPr>
          <w:spacing w:val="-2"/>
        </w:rPr>
        <w:t>O</w:t>
      </w:r>
      <w:r w:rsidRPr="00256982">
        <w:t xml:space="preserve"> mitigation technology, into the inventory. The </w:t>
      </w:r>
      <w:r w:rsidRPr="00256982">
        <w:rPr>
          <w:spacing w:val="-2"/>
        </w:rPr>
        <w:t>N</w:t>
      </w:r>
      <w:r w:rsidRPr="00256982">
        <w:rPr>
          <w:spacing w:val="-2"/>
          <w:vertAlign w:val="subscript"/>
        </w:rPr>
        <w:t>2</w:t>
      </w:r>
      <w:r w:rsidRPr="00256982">
        <w:rPr>
          <w:spacing w:val="-2"/>
        </w:rPr>
        <w:t>O</w:t>
      </w:r>
      <w:r w:rsidRPr="00256982">
        <w:t xml:space="preserve"> emissions reported in the </w:t>
      </w:r>
      <w:r w:rsidRPr="00256982">
        <w:rPr>
          <w:i/>
        </w:rPr>
        <w:t>Agricultural soils</w:t>
      </w:r>
      <w:r w:rsidRPr="00256982">
        <w:t xml:space="preserve"> category take into account the use of nitrification inhibitors on dairy farms using the methodology described in Clough et al. (2008). Greenhouse gas mitigation estimates from DCD are reported in the inventory only up until 2012, because it was no longer used after this time. Sales were suspended due to the detection of low levels of DCD residues in milk.</w:t>
      </w:r>
    </w:p>
    <w:p w14:paraId="67212B42" w14:textId="77777777" w:rsidR="0068777C" w:rsidRPr="00256982" w:rsidRDefault="0068777C" w:rsidP="0068777C">
      <w:pPr>
        <w:pStyle w:val="BodyText"/>
      </w:pPr>
      <w:r w:rsidRPr="00256982">
        <w:t xml:space="preserve">Research has shown that DCD reduces </w:t>
      </w:r>
      <w:r w:rsidRPr="00256982">
        <w:rPr>
          <w:spacing w:val="-2"/>
        </w:rPr>
        <w:t>N</w:t>
      </w:r>
      <w:r w:rsidRPr="00256982">
        <w:rPr>
          <w:spacing w:val="-2"/>
          <w:vertAlign w:val="subscript"/>
        </w:rPr>
        <w:t>2</w:t>
      </w:r>
      <w:r w:rsidRPr="00256982">
        <w:rPr>
          <w:spacing w:val="-2"/>
        </w:rPr>
        <w:t>O</w:t>
      </w:r>
      <w:r w:rsidRPr="00256982">
        <w:t xml:space="preserve"> emissions and nitrate (NO</w:t>
      </w:r>
      <w:r w:rsidRPr="00256982">
        <w:rPr>
          <w:vertAlign w:val="subscript"/>
        </w:rPr>
        <w:t>3</w:t>
      </w:r>
      <w:r w:rsidRPr="00256982">
        <w:t>–) leaching in pastoral grassland systems grazed by ruminant animals. The inventory methodology incorporates DCD use by modifying the emission factors EF</w:t>
      </w:r>
      <w:r w:rsidRPr="00256982">
        <w:rPr>
          <w:vertAlign w:val="subscript"/>
        </w:rPr>
        <w:t>3(PRP)</w:t>
      </w:r>
      <w:r w:rsidRPr="00256982">
        <w:t xml:space="preserve"> and the parameter Frac</w:t>
      </w:r>
      <w:r w:rsidRPr="00256982">
        <w:rPr>
          <w:vertAlign w:val="subscript"/>
        </w:rPr>
        <w:t>LEACH</w:t>
      </w:r>
      <w:r w:rsidRPr="00256982">
        <w:t xml:space="preserve"> (see table 5.5.4). These were modified based on comprehensive field-based research that showed significant reductions in direct and indirect </w:t>
      </w:r>
      <w:r w:rsidRPr="00256982">
        <w:rPr>
          <w:spacing w:val="-2"/>
        </w:rPr>
        <w:t>N</w:t>
      </w:r>
      <w:r w:rsidRPr="00256982">
        <w:rPr>
          <w:spacing w:val="-2"/>
          <w:vertAlign w:val="subscript"/>
        </w:rPr>
        <w:t>2</w:t>
      </w:r>
      <w:r w:rsidRPr="00256982">
        <w:rPr>
          <w:spacing w:val="-2"/>
        </w:rPr>
        <w:t>O</w:t>
      </w:r>
      <w:r w:rsidRPr="00256982">
        <w:t xml:space="preserve"> emissions and NO</w:t>
      </w:r>
      <w:r w:rsidRPr="00256982">
        <w:rPr>
          <w:vertAlign w:val="subscript"/>
        </w:rPr>
        <w:t>3</w:t>
      </w:r>
      <w:r w:rsidRPr="00256982">
        <w:t>– leaching where the DCD was applied. It was determined that, on a national basis, reductions in EF</w:t>
      </w:r>
      <w:r w:rsidRPr="00256982">
        <w:rPr>
          <w:vertAlign w:val="subscript"/>
        </w:rPr>
        <w:t>3(PRP)</w:t>
      </w:r>
      <w:r w:rsidRPr="00256982">
        <w:t xml:space="preserve"> and Frac</w:t>
      </w:r>
      <w:r w:rsidRPr="00256982">
        <w:rPr>
          <w:vertAlign w:val="subscript"/>
        </w:rPr>
        <w:t>LEACH</w:t>
      </w:r>
      <w:r w:rsidRPr="00256982">
        <w:t xml:space="preserve"> of 67 per cent and 53 per cent respectively could be made (Clough et al., 2008). </w:t>
      </w:r>
    </w:p>
    <w:p w14:paraId="7E85692D" w14:textId="77777777" w:rsidR="0068777C" w:rsidRPr="00256982" w:rsidRDefault="0068777C" w:rsidP="0068777C">
      <w:pPr>
        <w:pStyle w:val="BodyText"/>
      </w:pPr>
      <w:r w:rsidRPr="00256982">
        <w:lastRenderedPageBreak/>
        <w:t>There has been some research into the effect of DCD on dung (EF</w:t>
      </w:r>
      <w:r w:rsidRPr="00256982">
        <w:rPr>
          <w:vertAlign w:val="subscript"/>
        </w:rPr>
        <w:t>3(PRP-DUNG)</w:t>
      </w:r>
      <w:r w:rsidRPr="00256982">
        <w:t>); however, this research was non-conclusive and further work needs to be carried out before incorporating this research into the inventory. Application of this inhibitor was found to have no effect on NH</w:t>
      </w:r>
      <w:r w:rsidRPr="00256982">
        <w:rPr>
          <w:vertAlign w:val="subscript"/>
        </w:rPr>
        <w:t>3</w:t>
      </w:r>
      <w:r w:rsidRPr="00256982">
        <w:t xml:space="preserve"> volatilisation, which is supported by the results of field studies (Clough et al., 2008; Sherlock et al., 2008). Therefore, the parameter for volatilisation remains unchanged.</w:t>
      </w:r>
    </w:p>
    <w:p w14:paraId="5F20DA42" w14:textId="77777777" w:rsidR="0068777C" w:rsidRPr="00256982" w:rsidRDefault="0068777C" w:rsidP="0068777C">
      <w:pPr>
        <w:pStyle w:val="BodyText"/>
      </w:pPr>
      <w:r w:rsidRPr="00256982">
        <w:t>The DCD weighting factors are calculated based on reductions in emission factors and parameters, and the fraction of dairy land treated with the inhibitor, as follows:</w:t>
      </w:r>
    </w:p>
    <w:p w14:paraId="0A61FA02" w14:textId="77777777" w:rsidR="0068777C" w:rsidRPr="00256982" w:rsidRDefault="0068777C" w:rsidP="0068777C">
      <w:pPr>
        <w:pStyle w:val="BodyText"/>
      </w:pPr>
      <w:r w:rsidRPr="00256982">
        <w:object w:dxaOrig="7391" w:dyaOrig="503" w14:anchorId="14F0C3E4">
          <v:shape id="_x0000_i1110" type="#_x0000_t75" style="width:371.25pt;height:30pt" o:ole="">
            <v:imagedata r:id="rId159" o:title="" cropright="4398f"/>
          </v:shape>
          <o:OLEObject Type="Embed" ProgID="Word.Document.12" ShapeID="_x0000_i1110" DrawAspect="Content" ObjectID="_1616241219" r:id="rId160">
            <o:FieldCodes>\s</o:FieldCodes>
          </o:OLEObject>
        </w:object>
      </w:r>
    </w:p>
    <w:p w14:paraId="6BC0E502" w14:textId="77777777" w:rsidR="0068777C" w:rsidRPr="00256982" w:rsidRDefault="0068777C" w:rsidP="0068777C">
      <w:pPr>
        <w:pStyle w:val="BodyText"/>
        <w:rPr>
          <w:spacing w:val="-2"/>
        </w:rPr>
      </w:pPr>
      <w:r w:rsidRPr="00256982">
        <w:rPr>
          <w:spacing w:val="-2"/>
        </w:rPr>
        <w:t>The appropriate weighting factor is then used as an additional multiplier in the current methodology for calculating indirect and direct emissions of N</w:t>
      </w:r>
      <w:r w:rsidRPr="00256982">
        <w:rPr>
          <w:spacing w:val="-2"/>
          <w:vertAlign w:val="subscript"/>
        </w:rPr>
        <w:t>2</w:t>
      </w:r>
      <w:r w:rsidRPr="00256982">
        <w:rPr>
          <w:spacing w:val="-2"/>
        </w:rPr>
        <w:t>O from grazed pastures. The calculations use a modified EF</w:t>
      </w:r>
      <w:r w:rsidRPr="00256982">
        <w:rPr>
          <w:spacing w:val="-2"/>
          <w:vertAlign w:val="subscript"/>
        </w:rPr>
        <w:t xml:space="preserve">3(PRP) </w:t>
      </w:r>
      <w:r w:rsidRPr="00256982">
        <w:rPr>
          <w:spacing w:val="-2"/>
        </w:rPr>
        <w:t>of 0.0099 and Frac</w:t>
      </w:r>
      <w:r w:rsidRPr="00256982">
        <w:rPr>
          <w:spacing w:val="-2"/>
          <w:vertAlign w:val="subscript"/>
        </w:rPr>
        <w:t xml:space="preserve">LEACH </w:t>
      </w:r>
      <w:r w:rsidRPr="00256982">
        <w:rPr>
          <w:spacing w:val="-2"/>
        </w:rPr>
        <w:t>of 0.0696 for the dairy grazing area in the months that the inhibitor is applied (May to September). The modified emission factors (see table 5.5.7) are based on information from Statistics New Zealand’s Agricultural Production survey that 2.9 per cent of the effective dairying area in New Zealand received DCD in 2012.</w:t>
      </w:r>
    </w:p>
    <w:p w14:paraId="621E661A" w14:textId="01D3B2E5" w:rsidR="0068777C" w:rsidRPr="00256982" w:rsidRDefault="0068777C" w:rsidP="0068777C">
      <w:pPr>
        <w:pStyle w:val="BodyText"/>
        <w:rPr>
          <w:spacing w:val="-2"/>
        </w:rPr>
      </w:pPr>
      <w:r w:rsidRPr="00256982">
        <w:rPr>
          <w:spacing w:val="-2"/>
        </w:rPr>
        <w:t>Activity data on livestock numbers come from the Agricultural Production survey. The inhibitor is applied to pastures based on good management practice to maximise N</w:t>
      </w:r>
      <w:r w:rsidRPr="00256982">
        <w:rPr>
          <w:spacing w:val="-2"/>
          <w:vertAlign w:val="subscript"/>
        </w:rPr>
        <w:t>2</w:t>
      </w:r>
      <w:r w:rsidRPr="00256982">
        <w:rPr>
          <w:spacing w:val="-2"/>
        </w:rPr>
        <w:t>O emission reductions. This is an application rate of 10 kilograms per hectare, applied twice per year in autumn (March to May) and early spring (September) within seven days of the application of animal</w:t>
      </w:r>
      <w:r w:rsidR="003C42C1" w:rsidRPr="00256982">
        <w:rPr>
          <w:spacing w:val="-2"/>
        </w:rPr>
        <w:t xml:space="preserve"> </w:t>
      </w:r>
      <w:r w:rsidRPr="00256982">
        <w:rPr>
          <w:spacing w:val="-2"/>
        </w:rPr>
        <w:t>excreta. ‘Good practice’ application methods of DCD can be by slurry or DCD-coated granule.</w:t>
      </w:r>
    </w:p>
    <w:p w14:paraId="433FCE55" w14:textId="77777777" w:rsidR="0068777C" w:rsidRPr="00256982" w:rsidRDefault="0068777C" w:rsidP="0068777C">
      <w:pPr>
        <w:pStyle w:val="BodyText"/>
      </w:pPr>
      <w:r w:rsidRPr="00256982">
        <w:t xml:space="preserve">Mitigation estimates for the calendar years 2007 to 2012 are shown in table 5.5.7. </w:t>
      </w:r>
    </w:p>
    <w:p w14:paraId="01DB7963" w14:textId="77777777" w:rsidR="0068777C" w:rsidRPr="00256982" w:rsidRDefault="0068777C" w:rsidP="0068777C">
      <w:pPr>
        <w:pStyle w:val="Table"/>
      </w:pPr>
      <w:bookmarkStart w:id="769" w:name="_Toc441830885"/>
      <w:bookmarkStart w:id="770" w:name="_Toc451176099"/>
      <w:bookmarkStart w:id="771" w:name="_Toc481751527"/>
      <w:bookmarkStart w:id="772" w:name="_Toc507158615"/>
      <w:bookmarkStart w:id="773" w:name="_Toc511116749"/>
      <w:bookmarkStart w:id="774" w:name="_Toc5269491"/>
      <w:r w:rsidRPr="00256982">
        <w:t>Table 5.5.7</w:t>
      </w:r>
      <w:r w:rsidRPr="00256982">
        <w:tab/>
        <w:t>Emission factors, parameters and mitigation for New Zealand’s DCD inhibitor calculations</w:t>
      </w:r>
      <w:bookmarkEnd w:id="769"/>
      <w:r w:rsidRPr="00256982">
        <w:br/>
        <w:t>from 2007 to 2012</w:t>
      </w:r>
      <w:bookmarkEnd w:id="770"/>
      <w:bookmarkEnd w:id="771"/>
      <w:bookmarkEnd w:id="772"/>
      <w:bookmarkEnd w:id="773"/>
      <w:bookmarkEnd w:id="774"/>
    </w:p>
    <w:tbl>
      <w:tblPr>
        <w:tblW w:w="8505" w:type="dxa"/>
        <w:tblInd w:w="108" w:type="dxa"/>
        <w:tblBorders>
          <w:top w:val="single" w:sz="4" w:space="0" w:color="365F91"/>
          <w:bottom w:val="single" w:sz="4" w:space="0" w:color="365F91"/>
          <w:insideH w:val="single" w:sz="4" w:space="0" w:color="365F91"/>
        </w:tblBorders>
        <w:tblCellMar>
          <w:left w:w="85" w:type="dxa"/>
          <w:right w:w="85" w:type="dxa"/>
        </w:tblCellMar>
        <w:tblLook w:val="00A0" w:firstRow="1" w:lastRow="0" w:firstColumn="1" w:lastColumn="0" w:noHBand="0" w:noVBand="0"/>
      </w:tblPr>
      <w:tblGrid>
        <w:gridCol w:w="3099"/>
        <w:gridCol w:w="797"/>
        <w:gridCol w:w="817"/>
        <w:gridCol w:w="948"/>
        <w:gridCol w:w="948"/>
        <w:gridCol w:w="948"/>
        <w:gridCol w:w="948"/>
      </w:tblGrid>
      <w:tr w:rsidR="0068777C" w:rsidRPr="00256982" w14:paraId="38B35441" w14:textId="77777777" w:rsidTr="0068777C">
        <w:tc>
          <w:tcPr>
            <w:tcW w:w="2914" w:type="dxa"/>
            <w:shd w:val="clear" w:color="auto" w:fill="365F91"/>
          </w:tcPr>
          <w:p w14:paraId="5BCC6AA8" w14:textId="77777777" w:rsidR="0068777C" w:rsidRPr="00256982" w:rsidRDefault="0068777C" w:rsidP="0068777C">
            <w:pPr>
              <w:pStyle w:val="TableTextBold"/>
              <w:keepNext/>
              <w:jc w:val="center"/>
              <w:rPr>
                <w:noProof w:val="0"/>
                <w:color w:val="FFFFFF"/>
              </w:rPr>
            </w:pPr>
          </w:p>
        </w:tc>
        <w:tc>
          <w:tcPr>
            <w:tcW w:w="749" w:type="dxa"/>
            <w:shd w:val="clear" w:color="auto" w:fill="365F91"/>
          </w:tcPr>
          <w:p w14:paraId="4C24A8DE" w14:textId="77777777" w:rsidR="0068777C" w:rsidRPr="00256982" w:rsidRDefault="0068777C" w:rsidP="0068777C">
            <w:pPr>
              <w:pStyle w:val="TableTextBold"/>
              <w:jc w:val="right"/>
              <w:rPr>
                <w:i/>
                <w:iCs/>
                <w:noProof w:val="0"/>
                <w:color w:val="FFFFFF"/>
              </w:rPr>
            </w:pPr>
            <w:r w:rsidRPr="00256982">
              <w:rPr>
                <w:noProof w:val="0"/>
                <w:color w:val="FFFFFF"/>
              </w:rPr>
              <w:t>2007</w:t>
            </w:r>
          </w:p>
        </w:tc>
        <w:tc>
          <w:tcPr>
            <w:tcW w:w="768" w:type="dxa"/>
            <w:shd w:val="clear" w:color="auto" w:fill="365F91"/>
          </w:tcPr>
          <w:p w14:paraId="356F2477" w14:textId="77777777" w:rsidR="0068777C" w:rsidRPr="00256982" w:rsidRDefault="0068777C" w:rsidP="0068777C">
            <w:pPr>
              <w:pStyle w:val="TableTextBold"/>
              <w:jc w:val="right"/>
              <w:rPr>
                <w:i/>
                <w:iCs/>
                <w:noProof w:val="0"/>
                <w:color w:val="FFFFFF"/>
              </w:rPr>
            </w:pPr>
            <w:r w:rsidRPr="00256982">
              <w:rPr>
                <w:noProof w:val="0"/>
                <w:color w:val="FFFFFF"/>
              </w:rPr>
              <w:t>2008</w:t>
            </w:r>
          </w:p>
        </w:tc>
        <w:tc>
          <w:tcPr>
            <w:tcW w:w="891" w:type="dxa"/>
            <w:shd w:val="clear" w:color="auto" w:fill="365F91"/>
          </w:tcPr>
          <w:p w14:paraId="03D6BE94" w14:textId="77777777" w:rsidR="0068777C" w:rsidRPr="00256982" w:rsidRDefault="0068777C" w:rsidP="0068777C">
            <w:pPr>
              <w:pStyle w:val="TableTextBold"/>
              <w:jc w:val="right"/>
              <w:rPr>
                <w:i/>
                <w:iCs/>
                <w:noProof w:val="0"/>
                <w:color w:val="FFFFFF"/>
              </w:rPr>
            </w:pPr>
            <w:r w:rsidRPr="00256982">
              <w:rPr>
                <w:noProof w:val="0"/>
                <w:color w:val="FFFFFF"/>
              </w:rPr>
              <w:t>2009</w:t>
            </w:r>
          </w:p>
        </w:tc>
        <w:tc>
          <w:tcPr>
            <w:tcW w:w="891" w:type="dxa"/>
            <w:shd w:val="clear" w:color="auto" w:fill="365F91"/>
          </w:tcPr>
          <w:p w14:paraId="6059E2F8" w14:textId="77777777" w:rsidR="0068777C" w:rsidRPr="00256982" w:rsidRDefault="0068777C" w:rsidP="0068777C">
            <w:pPr>
              <w:pStyle w:val="TableTextBold"/>
              <w:jc w:val="right"/>
              <w:rPr>
                <w:i/>
                <w:iCs/>
                <w:noProof w:val="0"/>
                <w:color w:val="FFFFFF"/>
              </w:rPr>
            </w:pPr>
            <w:r w:rsidRPr="00256982">
              <w:rPr>
                <w:noProof w:val="0"/>
                <w:color w:val="FFFFFF"/>
              </w:rPr>
              <w:t>2010</w:t>
            </w:r>
          </w:p>
        </w:tc>
        <w:tc>
          <w:tcPr>
            <w:tcW w:w="891" w:type="dxa"/>
            <w:shd w:val="clear" w:color="auto" w:fill="365F91"/>
          </w:tcPr>
          <w:p w14:paraId="73652E90" w14:textId="77777777" w:rsidR="0068777C" w:rsidRPr="00256982" w:rsidRDefault="0068777C" w:rsidP="0068777C">
            <w:pPr>
              <w:pStyle w:val="TableTextBold"/>
              <w:jc w:val="right"/>
              <w:rPr>
                <w:i/>
                <w:iCs/>
                <w:noProof w:val="0"/>
                <w:color w:val="FFFFFF"/>
              </w:rPr>
            </w:pPr>
            <w:r w:rsidRPr="00256982">
              <w:rPr>
                <w:noProof w:val="0"/>
                <w:color w:val="FFFFFF"/>
              </w:rPr>
              <w:t>2011</w:t>
            </w:r>
          </w:p>
        </w:tc>
        <w:tc>
          <w:tcPr>
            <w:tcW w:w="891" w:type="dxa"/>
            <w:shd w:val="clear" w:color="auto" w:fill="365F91"/>
          </w:tcPr>
          <w:p w14:paraId="0BB84ECA" w14:textId="77777777" w:rsidR="0068777C" w:rsidRPr="00256982" w:rsidRDefault="0068777C" w:rsidP="0068777C">
            <w:pPr>
              <w:pStyle w:val="TableTextBold"/>
              <w:jc w:val="right"/>
              <w:rPr>
                <w:i/>
                <w:iCs/>
                <w:noProof w:val="0"/>
                <w:color w:val="FFFFFF"/>
              </w:rPr>
            </w:pPr>
            <w:r w:rsidRPr="00256982">
              <w:rPr>
                <w:noProof w:val="0"/>
                <w:color w:val="FFFFFF"/>
              </w:rPr>
              <w:t>2012</w:t>
            </w:r>
          </w:p>
        </w:tc>
      </w:tr>
      <w:tr w:rsidR="0068777C" w:rsidRPr="00256982" w14:paraId="49F59E3A" w14:textId="77777777" w:rsidTr="0068777C">
        <w:tc>
          <w:tcPr>
            <w:tcW w:w="2914" w:type="dxa"/>
            <w:shd w:val="clear" w:color="auto" w:fill="auto"/>
          </w:tcPr>
          <w:p w14:paraId="52B41648" w14:textId="77777777" w:rsidR="0068777C" w:rsidRPr="00256982" w:rsidRDefault="0068777C" w:rsidP="0068777C">
            <w:pPr>
              <w:pStyle w:val="TableText"/>
              <w:keepNext/>
            </w:pPr>
            <w:r w:rsidRPr="00256982">
              <w:t>Percentage of dairy area applied with inhibitor</w:t>
            </w:r>
          </w:p>
        </w:tc>
        <w:tc>
          <w:tcPr>
            <w:tcW w:w="749" w:type="dxa"/>
          </w:tcPr>
          <w:p w14:paraId="61C7ABBC" w14:textId="77777777" w:rsidR="0068777C" w:rsidRPr="00256982" w:rsidRDefault="0068777C" w:rsidP="0068777C">
            <w:pPr>
              <w:pStyle w:val="TableText"/>
              <w:jc w:val="right"/>
            </w:pPr>
            <w:r w:rsidRPr="00256982">
              <w:t>3.5</w:t>
            </w:r>
          </w:p>
        </w:tc>
        <w:tc>
          <w:tcPr>
            <w:tcW w:w="768" w:type="dxa"/>
          </w:tcPr>
          <w:p w14:paraId="4414347F" w14:textId="77777777" w:rsidR="0068777C" w:rsidRPr="00256982" w:rsidRDefault="0068777C" w:rsidP="0068777C">
            <w:pPr>
              <w:pStyle w:val="TableText"/>
              <w:jc w:val="right"/>
            </w:pPr>
            <w:r w:rsidRPr="00256982">
              <w:t>4.5</w:t>
            </w:r>
          </w:p>
        </w:tc>
        <w:tc>
          <w:tcPr>
            <w:tcW w:w="891" w:type="dxa"/>
          </w:tcPr>
          <w:p w14:paraId="562EC6E0" w14:textId="77777777" w:rsidR="0068777C" w:rsidRPr="00256982" w:rsidRDefault="0068777C" w:rsidP="0068777C">
            <w:pPr>
              <w:pStyle w:val="TableText"/>
              <w:jc w:val="right"/>
            </w:pPr>
            <w:r w:rsidRPr="00256982">
              <w:t>3.1</w:t>
            </w:r>
          </w:p>
        </w:tc>
        <w:tc>
          <w:tcPr>
            <w:tcW w:w="891" w:type="dxa"/>
          </w:tcPr>
          <w:p w14:paraId="5B9057F0" w14:textId="77777777" w:rsidR="0068777C" w:rsidRPr="00256982" w:rsidRDefault="0068777C" w:rsidP="0068777C">
            <w:pPr>
              <w:pStyle w:val="TableText"/>
              <w:jc w:val="right"/>
            </w:pPr>
            <w:r w:rsidRPr="00256982">
              <w:t>2.2</w:t>
            </w:r>
          </w:p>
        </w:tc>
        <w:tc>
          <w:tcPr>
            <w:tcW w:w="891" w:type="dxa"/>
          </w:tcPr>
          <w:p w14:paraId="4B8A86DA" w14:textId="77777777" w:rsidR="0068777C" w:rsidRPr="00256982" w:rsidRDefault="0068777C" w:rsidP="0068777C">
            <w:pPr>
              <w:pStyle w:val="TableText"/>
              <w:jc w:val="right"/>
            </w:pPr>
            <w:r w:rsidRPr="00256982">
              <w:t>3.0</w:t>
            </w:r>
          </w:p>
        </w:tc>
        <w:tc>
          <w:tcPr>
            <w:tcW w:w="891" w:type="dxa"/>
          </w:tcPr>
          <w:p w14:paraId="1C642BEB" w14:textId="77777777" w:rsidR="0068777C" w:rsidRPr="00256982" w:rsidRDefault="0068777C" w:rsidP="0068777C">
            <w:pPr>
              <w:pStyle w:val="TableText"/>
              <w:jc w:val="right"/>
            </w:pPr>
            <w:r w:rsidRPr="00256982">
              <w:t>2.9</w:t>
            </w:r>
          </w:p>
        </w:tc>
      </w:tr>
      <w:tr w:rsidR="0068777C" w:rsidRPr="00256982" w14:paraId="02F1D130" w14:textId="77777777" w:rsidTr="0068777C">
        <w:tc>
          <w:tcPr>
            <w:tcW w:w="2914" w:type="dxa"/>
            <w:shd w:val="clear" w:color="auto" w:fill="auto"/>
          </w:tcPr>
          <w:p w14:paraId="6EC3F853" w14:textId="77777777" w:rsidR="0068777C" w:rsidRPr="00256982" w:rsidRDefault="0068777C" w:rsidP="0068777C">
            <w:pPr>
              <w:pStyle w:val="TableText"/>
              <w:keepNext/>
            </w:pPr>
            <w:r w:rsidRPr="00256982">
              <w:t>Final modified emission factor or parameter, EF</w:t>
            </w:r>
            <w:r w:rsidRPr="00256982">
              <w:rPr>
                <w:vertAlign w:val="subscript"/>
              </w:rPr>
              <w:t>3(PRP)</w:t>
            </w:r>
            <w:r w:rsidRPr="00256982">
              <w:t xml:space="preserve"> (kg N</w:t>
            </w:r>
            <w:r w:rsidRPr="00256982">
              <w:rPr>
                <w:vertAlign w:val="subscript"/>
              </w:rPr>
              <w:t>2</w:t>
            </w:r>
            <w:r w:rsidRPr="00256982">
              <w:t>O-N/kg N)</w:t>
            </w:r>
          </w:p>
        </w:tc>
        <w:tc>
          <w:tcPr>
            <w:tcW w:w="749" w:type="dxa"/>
          </w:tcPr>
          <w:p w14:paraId="6F1A7F83" w14:textId="77777777" w:rsidR="0068777C" w:rsidRPr="00256982" w:rsidRDefault="0068777C" w:rsidP="0068777C">
            <w:pPr>
              <w:pStyle w:val="TableText"/>
              <w:jc w:val="right"/>
            </w:pPr>
            <w:r w:rsidRPr="00256982">
              <w:t>0.00992</w:t>
            </w:r>
          </w:p>
        </w:tc>
        <w:tc>
          <w:tcPr>
            <w:tcW w:w="768" w:type="dxa"/>
          </w:tcPr>
          <w:p w14:paraId="669AAC10" w14:textId="77777777" w:rsidR="0068777C" w:rsidRPr="00256982" w:rsidRDefault="0068777C" w:rsidP="0068777C">
            <w:pPr>
              <w:pStyle w:val="TableText"/>
              <w:jc w:val="right"/>
            </w:pPr>
            <w:r w:rsidRPr="00256982">
              <w:t>0.00990</w:t>
            </w:r>
          </w:p>
        </w:tc>
        <w:tc>
          <w:tcPr>
            <w:tcW w:w="891" w:type="dxa"/>
          </w:tcPr>
          <w:p w14:paraId="56C7DC2B" w14:textId="77777777" w:rsidR="0068777C" w:rsidRPr="00256982" w:rsidRDefault="0068777C" w:rsidP="0068777C">
            <w:pPr>
              <w:pStyle w:val="TableText"/>
              <w:jc w:val="right"/>
            </w:pPr>
            <w:r w:rsidRPr="00256982">
              <w:t>0.00993</w:t>
            </w:r>
          </w:p>
        </w:tc>
        <w:tc>
          <w:tcPr>
            <w:tcW w:w="891" w:type="dxa"/>
          </w:tcPr>
          <w:p w14:paraId="4C564F36" w14:textId="77777777" w:rsidR="0068777C" w:rsidRPr="00256982" w:rsidRDefault="0068777C" w:rsidP="0068777C">
            <w:pPr>
              <w:pStyle w:val="TableText"/>
              <w:jc w:val="right"/>
            </w:pPr>
            <w:r w:rsidRPr="00256982">
              <w:t>0.00995</w:t>
            </w:r>
          </w:p>
        </w:tc>
        <w:tc>
          <w:tcPr>
            <w:tcW w:w="891" w:type="dxa"/>
          </w:tcPr>
          <w:p w14:paraId="2629B28B" w14:textId="77777777" w:rsidR="0068777C" w:rsidRPr="00256982" w:rsidRDefault="0068777C" w:rsidP="0068777C">
            <w:pPr>
              <w:pStyle w:val="TableText"/>
              <w:jc w:val="right"/>
            </w:pPr>
            <w:r w:rsidRPr="00256982">
              <w:t>0.00993</w:t>
            </w:r>
          </w:p>
        </w:tc>
        <w:tc>
          <w:tcPr>
            <w:tcW w:w="891" w:type="dxa"/>
          </w:tcPr>
          <w:p w14:paraId="28B355DD" w14:textId="77777777" w:rsidR="0068777C" w:rsidRPr="00256982" w:rsidRDefault="0068777C" w:rsidP="0068777C">
            <w:pPr>
              <w:pStyle w:val="TableText"/>
              <w:jc w:val="right"/>
            </w:pPr>
            <w:r w:rsidRPr="00256982">
              <w:t>0.00994</w:t>
            </w:r>
          </w:p>
        </w:tc>
      </w:tr>
      <w:tr w:rsidR="0068777C" w:rsidRPr="00256982" w14:paraId="6FA26741" w14:textId="77777777" w:rsidTr="0068777C">
        <w:tc>
          <w:tcPr>
            <w:tcW w:w="2914" w:type="dxa"/>
            <w:shd w:val="clear" w:color="auto" w:fill="auto"/>
          </w:tcPr>
          <w:p w14:paraId="11F2C002" w14:textId="77777777" w:rsidR="0068777C" w:rsidRPr="00256982" w:rsidRDefault="0068777C" w:rsidP="0068777C">
            <w:pPr>
              <w:pStyle w:val="TableText"/>
            </w:pPr>
            <w:r w:rsidRPr="00256982">
              <w:t>Final modified emission factor or parameter, Frac</w:t>
            </w:r>
            <w:r w:rsidRPr="00256982">
              <w:rPr>
                <w:vertAlign w:val="subscript"/>
              </w:rPr>
              <w:t xml:space="preserve">LEACH </w:t>
            </w:r>
            <w:r w:rsidRPr="00256982">
              <w:t>(kg N</w:t>
            </w:r>
            <w:r w:rsidRPr="00256982">
              <w:rPr>
                <w:vertAlign w:val="subscript"/>
              </w:rPr>
              <w:t>2</w:t>
            </w:r>
            <w:r w:rsidRPr="00256982">
              <w:t>O-N/kg N)</w:t>
            </w:r>
          </w:p>
        </w:tc>
        <w:tc>
          <w:tcPr>
            <w:tcW w:w="749" w:type="dxa"/>
          </w:tcPr>
          <w:p w14:paraId="28BCCE98" w14:textId="77777777" w:rsidR="0068777C" w:rsidRPr="00256982" w:rsidRDefault="0068777C" w:rsidP="0068777C">
            <w:pPr>
              <w:pStyle w:val="TableText"/>
              <w:jc w:val="right"/>
            </w:pPr>
            <w:r w:rsidRPr="00256982">
              <w:t>0.06957</w:t>
            </w:r>
          </w:p>
        </w:tc>
        <w:tc>
          <w:tcPr>
            <w:tcW w:w="768" w:type="dxa"/>
          </w:tcPr>
          <w:p w14:paraId="6E4E5ABB" w14:textId="77777777" w:rsidR="0068777C" w:rsidRPr="00256982" w:rsidRDefault="0068777C" w:rsidP="0068777C">
            <w:pPr>
              <w:pStyle w:val="TableText"/>
              <w:jc w:val="right"/>
            </w:pPr>
            <w:r w:rsidRPr="00256982">
              <w:t>0.06944</w:t>
            </w:r>
          </w:p>
        </w:tc>
        <w:tc>
          <w:tcPr>
            <w:tcW w:w="891" w:type="dxa"/>
          </w:tcPr>
          <w:p w14:paraId="4EFBBD01" w14:textId="77777777" w:rsidR="0068777C" w:rsidRPr="00256982" w:rsidRDefault="0068777C" w:rsidP="0068777C">
            <w:pPr>
              <w:pStyle w:val="TableText"/>
              <w:jc w:val="right"/>
            </w:pPr>
            <w:r w:rsidRPr="00256982">
              <w:t>0.06962</w:t>
            </w:r>
          </w:p>
        </w:tc>
        <w:tc>
          <w:tcPr>
            <w:tcW w:w="891" w:type="dxa"/>
          </w:tcPr>
          <w:p w14:paraId="2A8EBFFB" w14:textId="77777777" w:rsidR="0068777C" w:rsidRPr="00256982" w:rsidRDefault="0068777C" w:rsidP="0068777C">
            <w:pPr>
              <w:pStyle w:val="TableText"/>
              <w:jc w:val="right"/>
            </w:pPr>
            <w:r w:rsidRPr="00256982">
              <w:t>0.06973</w:t>
            </w:r>
          </w:p>
        </w:tc>
        <w:tc>
          <w:tcPr>
            <w:tcW w:w="891" w:type="dxa"/>
          </w:tcPr>
          <w:p w14:paraId="4167DA3F" w14:textId="77777777" w:rsidR="0068777C" w:rsidRPr="00256982" w:rsidRDefault="0068777C" w:rsidP="0068777C">
            <w:pPr>
              <w:pStyle w:val="TableText"/>
              <w:jc w:val="right"/>
            </w:pPr>
            <w:r w:rsidRPr="00256982">
              <w:t>0.06963</w:t>
            </w:r>
          </w:p>
        </w:tc>
        <w:tc>
          <w:tcPr>
            <w:tcW w:w="891" w:type="dxa"/>
          </w:tcPr>
          <w:p w14:paraId="482C8977" w14:textId="77777777" w:rsidR="0068777C" w:rsidRPr="00256982" w:rsidRDefault="0068777C" w:rsidP="0068777C">
            <w:pPr>
              <w:pStyle w:val="TableText"/>
              <w:jc w:val="right"/>
            </w:pPr>
            <w:r w:rsidRPr="00256982">
              <w:t>0.06964</w:t>
            </w:r>
          </w:p>
        </w:tc>
      </w:tr>
      <w:tr w:rsidR="0068777C" w:rsidRPr="00256982" w14:paraId="726E3478" w14:textId="77777777" w:rsidTr="0068777C">
        <w:tc>
          <w:tcPr>
            <w:tcW w:w="2914" w:type="dxa"/>
            <w:shd w:val="clear" w:color="auto" w:fill="auto"/>
            <w:vAlign w:val="bottom"/>
          </w:tcPr>
          <w:p w14:paraId="44601E53" w14:textId="77777777" w:rsidR="0068777C" w:rsidRPr="00256982" w:rsidRDefault="0068777C" w:rsidP="0068777C">
            <w:pPr>
              <w:pStyle w:val="TableText"/>
            </w:pPr>
            <w:r w:rsidRPr="00256982">
              <w:t>Mitigation (Gg CO</w:t>
            </w:r>
            <w:r w:rsidRPr="00256982">
              <w:rPr>
                <w:vertAlign w:val="subscript"/>
              </w:rPr>
              <w:t>2</w:t>
            </w:r>
            <w:r w:rsidRPr="00256982">
              <w:t>-e)</w:t>
            </w:r>
          </w:p>
        </w:tc>
        <w:tc>
          <w:tcPr>
            <w:tcW w:w="749" w:type="dxa"/>
            <w:vAlign w:val="bottom"/>
          </w:tcPr>
          <w:p w14:paraId="36783DC7" w14:textId="77777777" w:rsidR="0068777C" w:rsidRPr="00256982" w:rsidRDefault="0068777C" w:rsidP="0068777C">
            <w:pPr>
              <w:pStyle w:val="TableText"/>
              <w:jc w:val="right"/>
            </w:pPr>
            <w:r w:rsidRPr="00256982">
              <w:t>18.7</w:t>
            </w:r>
          </w:p>
        </w:tc>
        <w:tc>
          <w:tcPr>
            <w:tcW w:w="768" w:type="dxa"/>
            <w:vAlign w:val="bottom"/>
          </w:tcPr>
          <w:p w14:paraId="3DE6DD26" w14:textId="77777777" w:rsidR="0068777C" w:rsidRPr="00256982" w:rsidRDefault="0068777C" w:rsidP="0068777C">
            <w:pPr>
              <w:pStyle w:val="TableText"/>
              <w:jc w:val="right"/>
            </w:pPr>
            <w:r w:rsidRPr="00256982">
              <w:t>25.4</w:t>
            </w:r>
          </w:p>
        </w:tc>
        <w:tc>
          <w:tcPr>
            <w:tcW w:w="891" w:type="dxa"/>
            <w:vAlign w:val="bottom"/>
          </w:tcPr>
          <w:p w14:paraId="5CBEDD2F" w14:textId="77777777" w:rsidR="0068777C" w:rsidRPr="00256982" w:rsidRDefault="0068777C" w:rsidP="0068777C">
            <w:pPr>
              <w:pStyle w:val="TableText"/>
              <w:jc w:val="right"/>
            </w:pPr>
            <w:r w:rsidRPr="00256982">
              <w:t>18.3</w:t>
            </w:r>
          </w:p>
        </w:tc>
        <w:tc>
          <w:tcPr>
            <w:tcW w:w="891" w:type="dxa"/>
            <w:vAlign w:val="bottom"/>
          </w:tcPr>
          <w:p w14:paraId="213840DF" w14:textId="77777777" w:rsidR="0068777C" w:rsidRPr="00256982" w:rsidRDefault="0068777C" w:rsidP="0068777C">
            <w:pPr>
              <w:pStyle w:val="TableText"/>
              <w:jc w:val="right"/>
            </w:pPr>
            <w:r w:rsidRPr="00256982">
              <w:t>13.7</w:t>
            </w:r>
          </w:p>
        </w:tc>
        <w:tc>
          <w:tcPr>
            <w:tcW w:w="891" w:type="dxa"/>
            <w:vAlign w:val="bottom"/>
          </w:tcPr>
          <w:p w14:paraId="061D7AF7" w14:textId="77777777" w:rsidR="0068777C" w:rsidRPr="00256982" w:rsidRDefault="0068777C" w:rsidP="0068777C">
            <w:pPr>
              <w:pStyle w:val="TableText"/>
              <w:jc w:val="right"/>
            </w:pPr>
            <w:r w:rsidRPr="00256982">
              <w:t>19.5</w:t>
            </w:r>
          </w:p>
        </w:tc>
        <w:tc>
          <w:tcPr>
            <w:tcW w:w="891" w:type="dxa"/>
            <w:vAlign w:val="bottom"/>
          </w:tcPr>
          <w:p w14:paraId="340301F0" w14:textId="77777777" w:rsidR="0068777C" w:rsidRPr="00256982" w:rsidRDefault="0068777C" w:rsidP="0068777C">
            <w:pPr>
              <w:pStyle w:val="TableText"/>
              <w:jc w:val="right"/>
            </w:pPr>
            <w:r w:rsidRPr="00256982">
              <w:t>19.6</w:t>
            </w:r>
          </w:p>
        </w:tc>
      </w:tr>
    </w:tbl>
    <w:p w14:paraId="08DFC919" w14:textId="77777777" w:rsidR="0068777C" w:rsidRPr="00256982" w:rsidRDefault="0068777C" w:rsidP="0068777C">
      <w:pPr>
        <w:pStyle w:val="Noteundertable"/>
      </w:pPr>
      <w:r w:rsidRPr="00256982">
        <w:rPr>
          <w:b/>
        </w:rPr>
        <w:t>Note:</w:t>
      </w:r>
      <w:r w:rsidRPr="00256982">
        <w:t xml:space="preserve"> </w:t>
      </w:r>
      <w:r w:rsidRPr="00256982">
        <w:tab/>
        <w:t>EF</w:t>
      </w:r>
      <w:r w:rsidRPr="00256982">
        <w:rPr>
          <w:vertAlign w:val="subscript"/>
        </w:rPr>
        <w:t>3(PRP)</w:t>
      </w:r>
      <w:r w:rsidRPr="00256982">
        <w:t xml:space="preserve"> = 0.01 and FRAC</w:t>
      </w:r>
      <w:r w:rsidRPr="00256982">
        <w:rPr>
          <w:vertAlign w:val="subscript"/>
        </w:rPr>
        <w:t>LEACH</w:t>
      </w:r>
      <w:r w:rsidRPr="00256982">
        <w:t xml:space="preserve"> = 0.07 when inhibitor is not applied. All other emission factors and parameters relating to animal excreta and fertiliser use (Frac</w:t>
      </w:r>
      <w:r w:rsidRPr="00256982">
        <w:rPr>
          <w:vertAlign w:val="subscript"/>
        </w:rPr>
        <w:t>GASM</w:t>
      </w:r>
      <w:r w:rsidRPr="00256982">
        <w:t>, Frac</w:t>
      </w:r>
      <w:r w:rsidRPr="00256982">
        <w:rPr>
          <w:vertAlign w:val="subscript"/>
        </w:rPr>
        <w:t>GASF</w:t>
      </w:r>
      <w:r w:rsidRPr="00256982">
        <w:t>, EF</w:t>
      </w:r>
      <w:r w:rsidRPr="00256982">
        <w:rPr>
          <w:vertAlign w:val="subscript"/>
        </w:rPr>
        <w:t>4</w:t>
      </w:r>
      <w:r w:rsidRPr="00256982">
        <w:t xml:space="preserve"> and EF</w:t>
      </w:r>
      <w:r w:rsidRPr="00256982">
        <w:rPr>
          <w:vertAlign w:val="subscript"/>
        </w:rPr>
        <w:t>5</w:t>
      </w:r>
      <w:r w:rsidRPr="00256982">
        <w:t xml:space="preserve">) remain unchanged when the inhibitor is used as an </w:t>
      </w:r>
      <w:r w:rsidRPr="00256982">
        <w:rPr>
          <w:spacing w:val="-2"/>
        </w:rPr>
        <w:t>N</w:t>
      </w:r>
      <w:r w:rsidRPr="00256982">
        <w:rPr>
          <w:spacing w:val="-2"/>
          <w:vertAlign w:val="subscript"/>
        </w:rPr>
        <w:t>2</w:t>
      </w:r>
      <w:r w:rsidRPr="00256982">
        <w:rPr>
          <w:spacing w:val="-2"/>
        </w:rPr>
        <w:t>O</w:t>
      </w:r>
      <w:r w:rsidRPr="00256982">
        <w:t xml:space="preserve"> mitigation technology. </w:t>
      </w:r>
    </w:p>
    <w:p w14:paraId="0C326DF8" w14:textId="77777777" w:rsidR="0068777C" w:rsidRPr="00256982" w:rsidRDefault="0068777C" w:rsidP="0068777C">
      <w:pPr>
        <w:pStyle w:val="Heading3"/>
      </w:pPr>
      <w:bookmarkStart w:id="775" w:name="_Toc139253935"/>
      <w:r w:rsidRPr="00256982">
        <w:t>5.5.3</w:t>
      </w:r>
      <w:r w:rsidRPr="00256982">
        <w:tab/>
        <w:t>Uncertainties and time-series consistency</w:t>
      </w:r>
      <w:bookmarkEnd w:id="775"/>
    </w:p>
    <w:p w14:paraId="05B18B2E" w14:textId="77777777" w:rsidR="0068777C" w:rsidRPr="00256982" w:rsidRDefault="0068777C" w:rsidP="0068777C">
      <w:pPr>
        <w:pStyle w:val="BodyText"/>
        <w:rPr>
          <w:rFonts w:ascii="Arial" w:hAnsi="Arial" w:cs="Arial"/>
        </w:rPr>
      </w:pPr>
      <w:r w:rsidRPr="00256982">
        <w:t>To ensure consistency in the calculations involving animal manure, a single livestock population characterisation and feed-intake estimate is produced by the Tier 2 model for the major livestock categories. This is used in different parts of the calculations for the inventory to estimate: CH</w:t>
      </w:r>
      <w:r w:rsidRPr="00256982">
        <w:rPr>
          <w:vertAlign w:val="subscript"/>
        </w:rPr>
        <w:t>4</w:t>
      </w:r>
      <w:r w:rsidRPr="00256982">
        <w:t xml:space="preserve"> emissions for the </w:t>
      </w:r>
      <w:r w:rsidRPr="00256982">
        <w:rPr>
          <w:i/>
        </w:rPr>
        <w:t>Enteric fermentation</w:t>
      </w:r>
      <w:r w:rsidRPr="00256982">
        <w:t xml:space="preserve"> category, CH</w:t>
      </w:r>
      <w:r w:rsidRPr="00256982">
        <w:rPr>
          <w:vertAlign w:val="subscript"/>
        </w:rPr>
        <w:t>4</w:t>
      </w:r>
      <w:r w:rsidRPr="00256982">
        <w:t xml:space="preserve"> and N</w:t>
      </w:r>
      <w:r w:rsidRPr="00256982">
        <w:rPr>
          <w:vertAlign w:val="subscript"/>
        </w:rPr>
        <w:t>2</w:t>
      </w:r>
      <w:r w:rsidRPr="00256982">
        <w:t xml:space="preserve">O emissions for the </w:t>
      </w:r>
      <w:r w:rsidRPr="00256982">
        <w:rPr>
          <w:i/>
        </w:rPr>
        <w:t>Manure management</w:t>
      </w:r>
      <w:r w:rsidRPr="00256982">
        <w:t xml:space="preserve"> category and N</w:t>
      </w:r>
      <w:r w:rsidRPr="00256982">
        <w:rPr>
          <w:vertAlign w:val="subscript"/>
        </w:rPr>
        <w:t>2</w:t>
      </w:r>
      <w:r w:rsidRPr="00256982">
        <w:t xml:space="preserve">O emissions for the </w:t>
      </w:r>
      <w:r w:rsidRPr="00256982">
        <w:rPr>
          <w:i/>
        </w:rPr>
        <w:t>Urine and dung deposited by grazing animals</w:t>
      </w:r>
      <w:r w:rsidRPr="00256982">
        <w:t xml:space="preserve"> </w:t>
      </w:r>
      <w:r w:rsidRPr="00256982">
        <w:rPr>
          <w:i/>
        </w:rPr>
        <w:t>(grazing manure)</w:t>
      </w:r>
      <w:r w:rsidRPr="00256982">
        <w:t xml:space="preserve"> category</w:t>
      </w:r>
      <w:r w:rsidRPr="00256982">
        <w:rPr>
          <w:rFonts w:ascii="Arial" w:hAnsi="Arial" w:cs="Arial"/>
        </w:rPr>
        <w:t>.</w:t>
      </w:r>
    </w:p>
    <w:p w14:paraId="07350D26" w14:textId="77777777" w:rsidR="0068777C" w:rsidRPr="00256982" w:rsidRDefault="0068777C" w:rsidP="0068777C">
      <w:pPr>
        <w:pStyle w:val="BodyText"/>
      </w:pPr>
      <w:r w:rsidRPr="00256982">
        <w:t xml:space="preserve">Uncertainties in </w:t>
      </w:r>
      <w:r w:rsidRPr="00256982">
        <w:rPr>
          <w:spacing w:val="-2"/>
        </w:rPr>
        <w:t>N</w:t>
      </w:r>
      <w:r w:rsidRPr="00256982">
        <w:rPr>
          <w:spacing w:val="-2"/>
          <w:vertAlign w:val="subscript"/>
        </w:rPr>
        <w:t>2</w:t>
      </w:r>
      <w:r w:rsidRPr="00256982">
        <w:rPr>
          <w:spacing w:val="-2"/>
        </w:rPr>
        <w:t>O</w:t>
      </w:r>
      <w:r w:rsidRPr="00256982">
        <w:t xml:space="preserve"> emissions from </w:t>
      </w:r>
      <w:r w:rsidRPr="00256982">
        <w:rPr>
          <w:i/>
        </w:rPr>
        <w:t>Agricultural soils</w:t>
      </w:r>
      <w:r w:rsidRPr="00256982">
        <w:t xml:space="preserve"> are calculated using an analytical method developed by Kelliher et al. (2017). This method estimated the uncertainty of the </w:t>
      </w:r>
      <w:r w:rsidRPr="00256982">
        <w:rPr>
          <w:i/>
        </w:rPr>
        <w:t>Agricultural soils</w:t>
      </w:r>
      <w:r w:rsidRPr="00256982">
        <w:t xml:space="preserve"> category to be ±55.3 per cent for 2017.</w:t>
      </w:r>
    </w:p>
    <w:p w14:paraId="19462F71" w14:textId="77777777" w:rsidR="0068777C" w:rsidRPr="00256982" w:rsidRDefault="0068777C" w:rsidP="0068777C">
      <w:pPr>
        <w:pStyle w:val="BodyText"/>
      </w:pPr>
      <w:r w:rsidRPr="00256982">
        <w:lastRenderedPageBreak/>
        <w:t>The benefit of using the analytical method is that it can be updated annually by the Agriculture sector inventory compilers. Kelliher et al. (2017) also compared the analytical method with the Monte Carlo method used for previous years and found that both produced similar results.</w:t>
      </w:r>
    </w:p>
    <w:p w14:paraId="3496C437" w14:textId="2D8CF3F3" w:rsidR="0068777C" w:rsidRPr="00256982" w:rsidRDefault="0068777C" w:rsidP="0068777C">
      <w:pPr>
        <w:pStyle w:val="BodyText"/>
      </w:pPr>
      <w:r w:rsidRPr="00256982">
        <w:t xml:space="preserve">Uncertainties were assessed for the 1990, 2002 and 2012 inventories using the Monte Carlo method. For the 1990 and 2002 inventories, the uncertainties were assessed using a Monte Carlo simulation of 5,000 scenarios with the @RISK software (Kelliher et al., unpublished(c)) (see table 5.5.8). For the 2012 inventory, the uncertainty in the annual estimate was calculated using the 95 per cent confidence interval determined from the 2002 Monte Carlo simulation as a percentage of the mean value (i.e., in 2002, the uncertainty in annual emissions was +74 per cent and –42 per cent). </w:t>
      </w:r>
    </w:p>
    <w:p w14:paraId="16F2345F" w14:textId="77777777" w:rsidR="0068777C" w:rsidRPr="00256982" w:rsidRDefault="0068777C" w:rsidP="0068777C">
      <w:pPr>
        <w:pStyle w:val="Table"/>
      </w:pPr>
      <w:bookmarkStart w:id="776" w:name="_Toc144607408"/>
      <w:bookmarkStart w:id="777" w:name="_Toc144607685"/>
      <w:bookmarkStart w:id="778" w:name="_Toc235955630"/>
      <w:bookmarkStart w:id="779" w:name="_Toc288316757"/>
      <w:bookmarkStart w:id="780" w:name="_Toc352504975"/>
      <w:bookmarkStart w:id="781" w:name="_Toc441830886"/>
      <w:bookmarkStart w:id="782" w:name="_Toc451176100"/>
      <w:bookmarkStart w:id="783" w:name="_Toc481751528"/>
      <w:bookmarkStart w:id="784" w:name="_Toc507158616"/>
      <w:bookmarkStart w:id="785" w:name="_Toc511116750"/>
      <w:bookmarkStart w:id="786" w:name="_Toc5269492"/>
      <w:r w:rsidRPr="00256982">
        <w:t>Table 5.5.8</w:t>
      </w:r>
      <w:r w:rsidRPr="00256982">
        <w:tab/>
        <w:t xml:space="preserve">New Zealand’s uncertainties in </w:t>
      </w:r>
      <w:r w:rsidRPr="00256982">
        <w:rPr>
          <w:spacing w:val="-2"/>
        </w:rPr>
        <w:t>nitrous oxide</w:t>
      </w:r>
      <w:r w:rsidRPr="00256982">
        <w:t xml:space="preserve"> (N</w:t>
      </w:r>
      <w:r w:rsidRPr="00256982">
        <w:rPr>
          <w:vertAlign w:val="subscript"/>
        </w:rPr>
        <w:t>2</w:t>
      </w:r>
      <w:r w:rsidRPr="00256982">
        <w:t>O) emissions from Agricultural soils</w:t>
      </w:r>
      <w:r w:rsidRPr="00256982">
        <w:br/>
        <w:t>for 1990, 2002, 2012 and 2016 estimated using Monte Carlo simulation (1990, 2002),</w:t>
      </w:r>
      <w:r w:rsidRPr="00256982">
        <w:br/>
        <w:t>the 95 per cent confidence interval (2012)</w:t>
      </w:r>
      <w:bookmarkEnd w:id="776"/>
      <w:bookmarkEnd w:id="777"/>
      <w:bookmarkEnd w:id="778"/>
      <w:bookmarkEnd w:id="779"/>
      <w:bookmarkEnd w:id="780"/>
      <w:bookmarkEnd w:id="781"/>
      <w:bookmarkEnd w:id="782"/>
      <w:r w:rsidRPr="00256982">
        <w:t xml:space="preserve"> and the analytical method (2016)</w:t>
      </w:r>
      <w:bookmarkEnd w:id="783"/>
      <w:bookmarkEnd w:id="784"/>
      <w:bookmarkEnd w:id="785"/>
      <w:bookmarkEnd w:id="786"/>
    </w:p>
    <w:tbl>
      <w:tblPr>
        <w:tblW w:w="8505" w:type="dxa"/>
        <w:tblInd w:w="108" w:type="dxa"/>
        <w:tblBorders>
          <w:left w:val="single" w:sz="4" w:space="0" w:color="auto"/>
          <w:bottom w:val="single" w:sz="4" w:space="0" w:color="auto"/>
          <w:right w:val="single" w:sz="4" w:space="0" w:color="auto"/>
          <w:insideH w:val="single" w:sz="4" w:space="0" w:color="auto"/>
        </w:tblBorders>
        <w:tblLayout w:type="fixed"/>
        <w:tblLook w:val="01E0" w:firstRow="1" w:lastRow="1" w:firstColumn="1" w:lastColumn="1" w:noHBand="0" w:noVBand="0"/>
      </w:tblPr>
      <w:tblGrid>
        <w:gridCol w:w="1150"/>
        <w:gridCol w:w="2642"/>
        <w:gridCol w:w="2414"/>
        <w:gridCol w:w="2299"/>
      </w:tblGrid>
      <w:tr w:rsidR="0068777C" w:rsidRPr="00256982" w14:paraId="610E90B3" w14:textId="77777777" w:rsidTr="0068777C">
        <w:trPr>
          <w:trHeight w:val="434"/>
        </w:trPr>
        <w:tc>
          <w:tcPr>
            <w:tcW w:w="1081" w:type="dxa"/>
            <w:tcBorders>
              <w:top w:val="single" w:sz="4" w:space="0" w:color="365F91"/>
              <w:left w:val="nil"/>
              <w:bottom w:val="single" w:sz="4" w:space="0" w:color="365F91"/>
            </w:tcBorders>
            <w:shd w:val="clear" w:color="auto" w:fill="365F91"/>
            <w:vAlign w:val="bottom"/>
          </w:tcPr>
          <w:p w14:paraId="64CFD170" w14:textId="77777777" w:rsidR="0068777C" w:rsidRPr="00256982" w:rsidRDefault="0068777C" w:rsidP="0068777C">
            <w:pPr>
              <w:pStyle w:val="TableTextBold"/>
              <w:keepNext/>
              <w:rPr>
                <w:noProof w:val="0"/>
                <w:color w:val="FFFFFF"/>
              </w:rPr>
            </w:pPr>
            <w:r w:rsidRPr="00256982">
              <w:rPr>
                <w:noProof w:val="0"/>
                <w:color w:val="FFFFFF"/>
              </w:rPr>
              <w:t>Year</w:t>
            </w:r>
          </w:p>
        </w:tc>
        <w:tc>
          <w:tcPr>
            <w:tcW w:w="2484" w:type="dxa"/>
            <w:tcBorders>
              <w:top w:val="single" w:sz="4" w:space="0" w:color="365F91"/>
              <w:bottom w:val="single" w:sz="4" w:space="0" w:color="365F91"/>
            </w:tcBorders>
            <w:shd w:val="clear" w:color="auto" w:fill="365F91"/>
            <w:vAlign w:val="bottom"/>
          </w:tcPr>
          <w:p w14:paraId="13A2A6FB" w14:textId="77777777" w:rsidR="0068777C" w:rsidRPr="00256982" w:rsidRDefault="0068777C" w:rsidP="0068777C">
            <w:pPr>
              <w:pStyle w:val="TableTextBold"/>
              <w:keepNext/>
              <w:jc w:val="center"/>
              <w:rPr>
                <w:noProof w:val="0"/>
                <w:color w:val="FFFFFF"/>
              </w:rPr>
            </w:pPr>
            <w:r w:rsidRPr="00256982">
              <w:rPr>
                <w:noProof w:val="0"/>
                <w:color w:val="FFFFFF"/>
              </w:rPr>
              <w:t>N</w:t>
            </w:r>
            <w:r w:rsidRPr="00256982">
              <w:rPr>
                <w:noProof w:val="0"/>
                <w:color w:val="FFFFFF"/>
                <w:vertAlign w:val="subscript"/>
              </w:rPr>
              <w:t>2</w:t>
            </w:r>
            <w:r w:rsidRPr="00256982">
              <w:rPr>
                <w:noProof w:val="0"/>
                <w:color w:val="FFFFFF"/>
              </w:rPr>
              <w:t>O emissions from Agricultural soils (kt/annum)</w:t>
            </w:r>
          </w:p>
        </w:tc>
        <w:tc>
          <w:tcPr>
            <w:tcW w:w="2269" w:type="dxa"/>
            <w:tcBorders>
              <w:top w:val="single" w:sz="4" w:space="0" w:color="365F91"/>
              <w:bottom w:val="single" w:sz="4" w:space="0" w:color="365F91"/>
            </w:tcBorders>
            <w:shd w:val="clear" w:color="auto" w:fill="365F91"/>
            <w:vAlign w:val="bottom"/>
          </w:tcPr>
          <w:p w14:paraId="61ECB73C" w14:textId="77777777" w:rsidR="0068777C" w:rsidRPr="00256982" w:rsidRDefault="0068777C" w:rsidP="0068777C">
            <w:pPr>
              <w:pStyle w:val="TableTextBold"/>
              <w:keepNext/>
              <w:jc w:val="center"/>
              <w:rPr>
                <w:noProof w:val="0"/>
                <w:color w:val="FFFFFF"/>
              </w:rPr>
            </w:pPr>
            <w:r w:rsidRPr="00256982">
              <w:rPr>
                <w:noProof w:val="0"/>
                <w:color w:val="FFFFFF"/>
              </w:rPr>
              <w:t>95% confidence interval minimum (kt/annum)</w:t>
            </w:r>
          </w:p>
        </w:tc>
        <w:tc>
          <w:tcPr>
            <w:tcW w:w="2161" w:type="dxa"/>
            <w:tcBorders>
              <w:top w:val="single" w:sz="4" w:space="0" w:color="365F91"/>
              <w:bottom w:val="single" w:sz="4" w:space="0" w:color="365F91"/>
              <w:right w:val="nil"/>
            </w:tcBorders>
            <w:shd w:val="clear" w:color="auto" w:fill="365F91"/>
            <w:vAlign w:val="bottom"/>
          </w:tcPr>
          <w:p w14:paraId="513E60A6" w14:textId="77777777" w:rsidR="0068777C" w:rsidRPr="00256982" w:rsidRDefault="0068777C" w:rsidP="0068777C">
            <w:pPr>
              <w:pStyle w:val="TableTextBold"/>
              <w:keepNext/>
              <w:jc w:val="center"/>
              <w:rPr>
                <w:noProof w:val="0"/>
                <w:color w:val="FFFFFF"/>
              </w:rPr>
            </w:pPr>
            <w:r w:rsidRPr="00256982">
              <w:rPr>
                <w:noProof w:val="0"/>
                <w:color w:val="FFFFFF"/>
              </w:rPr>
              <w:t>95% confidence interval maximum (kt/annum)</w:t>
            </w:r>
          </w:p>
        </w:tc>
      </w:tr>
      <w:tr w:rsidR="0068777C" w:rsidRPr="00256982" w14:paraId="78E4E70B" w14:textId="77777777" w:rsidTr="0068777C">
        <w:trPr>
          <w:trHeight w:val="247"/>
        </w:trPr>
        <w:tc>
          <w:tcPr>
            <w:tcW w:w="1081" w:type="dxa"/>
            <w:tcBorders>
              <w:top w:val="single" w:sz="4" w:space="0" w:color="365F91"/>
              <w:left w:val="nil"/>
              <w:bottom w:val="single" w:sz="6" w:space="0" w:color="365F91"/>
            </w:tcBorders>
          </w:tcPr>
          <w:p w14:paraId="06D21F6A" w14:textId="77777777" w:rsidR="0068777C" w:rsidRPr="00256982" w:rsidRDefault="0068777C" w:rsidP="0068777C">
            <w:pPr>
              <w:pStyle w:val="TableText"/>
              <w:keepNext/>
            </w:pPr>
            <w:r w:rsidRPr="00256982">
              <w:t>1990</w:t>
            </w:r>
          </w:p>
        </w:tc>
        <w:tc>
          <w:tcPr>
            <w:tcW w:w="2484" w:type="dxa"/>
            <w:tcBorders>
              <w:top w:val="single" w:sz="4" w:space="0" w:color="365F91"/>
              <w:bottom w:val="single" w:sz="6" w:space="0" w:color="365F91"/>
            </w:tcBorders>
          </w:tcPr>
          <w:p w14:paraId="460BC6B3" w14:textId="77777777" w:rsidR="0068777C" w:rsidRPr="00256982" w:rsidRDefault="0068777C" w:rsidP="0068777C">
            <w:pPr>
              <w:pStyle w:val="TableText"/>
              <w:jc w:val="center"/>
            </w:pPr>
            <w:r w:rsidRPr="00256982">
              <w:t>25.3</w:t>
            </w:r>
          </w:p>
        </w:tc>
        <w:tc>
          <w:tcPr>
            <w:tcW w:w="2269" w:type="dxa"/>
            <w:tcBorders>
              <w:top w:val="single" w:sz="4" w:space="0" w:color="365F91"/>
              <w:bottom w:val="single" w:sz="6" w:space="0" w:color="365F91"/>
            </w:tcBorders>
          </w:tcPr>
          <w:p w14:paraId="4CD2ACC6" w14:textId="77777777" w:rsidR="0068777C" w:rsidRPr="00256982" w:rsidRDefault="0068777C" w:rsidP="0068777C">
            <w:pPr>
              <w:pStyle w:val="TableText"/>
              <w:jc w:val="center"/>
            </w:pPr>
            <w:r w:rsidRPr="00256982">
              <w:t>14.7</w:t>
            </w:r>
          </w:p>
        </w:tc>
        <w:tc>
          <w:tcPr>
            <w:tcW w:w="2161" w:type="dxa"/>
            <w:tcBorders>
              <w:top w:val="single" w:sz="4" w:space="0" w:color="365F91"/>
              <w:bottom w:val="single" w:sz="6" w:space="0" w:color="365F91"/>
              <w:right w:val="nil"/>
            </w:tcBorders>
          </w:tcPr>
          <w:p w14:paraId="493B0969" w14:textId="77777777" w:rsidR="0068777C" w:rsidRPr="00256982" w:rsidRDefault="0068777C" w:rsidP="0068777C">
            <w:pPr>
              <w:pStyle w:val="TableText"/>
              <w:jc w:val="center"/>
            </w:pPr>
            <w:r w:rsidRPr="00256982">
              <w:t>44.0</w:t>
            </w:r>
          </w:p>
        </w:tc>
      </w:tr>
      <w:tr w:rsidR="0068777C" w:rsidRPr="00256982" w14:paraId="3AA7F0A8" w14:textId="77777777" w:rsidTr="0068777C">
        <w:trPr>
          <w:trHeight w:val="247"/>
        </w:trPr>
        <w:tc>
          <w:tcPr>
            <w:tcW w:w="1081" w:type="dxa"/>
            <w:tcBorders>
              <w:top w:val="single" w:sz="6" w:space="0" w:color="365F91"/>
              <w:left w:val="nil"/>
              <w:bottom w:val="single" w:sz="6" w:space="0" w:color="365F91"/>
            </w:tcBorders>
          </w:tcPr>
          <w:p w14:paraId="00809267" w14:textId="77777777" w:rsidR="0068777C" w:rsidRPr="00256982" w:rsidRDefault="0068777C" w:rsidP="0068777C">
            <w:pPr>
              <w:pStyle w:val="TableText"/>
              <w:keepNext/>
            </w:pPr>
            <w:r w:rsidRPr="00256982">
              <w:t>2002</w:t>
            </w:r>
          </w:p>
        </w:tc>
        <w:tc>
          <w:tcPr>
            <w:tcW w:w="2484" w:type="dxa"/>
            <w:tcBorders>
              <w:top w:val="single" w:sz="6" w:space="0" w:color="365F91"/>
              <w:bottom w:val="single" w:sz="6" w:space="0" w:color="365F91"/>
            </w:tcBorders>
          </w:tcPr>
          <w:p w14:paraId="5F7D2134" w14:textId="77777777" w:rsidR="0068777C" w:rsidRPr="00256982" w:rsidRDefault="0068777C" w:rsidP="0068777C">
            <w:pPr>
              <w:pStyle w:val="TableText"/>
              <w:jc w:val="center"/>
            </w:pPr>
            <w:r w:rsidRPr="00256982">
              <w:t>32.2</w:t>
            </w:r>
          </w:p>
        </w:tc>
        <w:tc>
          <w:tcPr>
            <w:tcW w:w="2269" w:type="dxa"/>
            <w:tcBorders>
              <w:top w:val="single" w:sz="6" w:space="0" w:color="365F91"/>
              <w:bottom w:val="single" w:sz="6" w:space="0" w:color="365F91"/>
            </w:tcBorders>
          </w:tcPr>
          <w:p w14:paraId="5E6FB30A" w14:textId="77777777" w:rsidR="0068777C" w:rsidRPr="00256982" w:rsidRDefault="0068777C" w:rsidP="0068777C">
            <w:pPr>
              <w:pStyle w:val="TableText"/>
              <w:jc w:val="center"/>
            </w:pPr>
            <w:r w:rsidRPr="00256982">
              <w:t>18.7</w:t>
            </w:r>
          </w:p>
        </w:tc>
        <w:tc>
          <w:tcPr>
            <w:tcW w:w="2161" w:type="dxa"/>
            <w:tcBorders>
              <w:top w:val="single" w:sz="6" w:space="0" w:color="365F91"/>
              <w:bottom w:val="single" w:sz="6" w:space="0" w:color="365F91"/>
              <w:right w:val="nil"/>
            </w:tcBorders>
          </w:tcPr>
          <w:p w14:paraId="7E346231" w14:textId="77777777" w:rsidR="0068777C" w:rsidRPr="00256982" w:rsidRDefault="0068777C" w:rsidP="0068777C">
            <w:pPr>
              <w:pStyle w:val="TableText"/>
              <w:jc w:val="center"/>
            </w:pPr>
            <w:r w:rsidRPr="00256982">
              <w:t>56.0</w:t>
            </w:r>
          </w:p>
        </w:tc>
      </w:tr>
      <w:tr w:rsidR="0068777C" w:rsidRPr="00256982" w14:paraId="2DADDEFC" w14:textId="77777777" w:rsidTr="0068777C">
        <w:trPr>
          <w:trHeight w:val="247"/>
        </w:trPr>
        <w:tc>
          <w:tcPr>
            <w:tcW w:w="1081" w:type="dxa"/>
            <w:tcBorders>
              <w:top w:val="single" w:sz="6" w:space="0" w:color="365F91"/>
              <w:left w:val="nil"/>
              <w:bottom w:val="single" w:sz="6" w:space="0" w:color="365F91"/>
            </w:tcBorders>
          </w:tcPr>
          <w:p w14:paraId="57C82470" w14:textId="77777777" w:rsidR="0068777C" w:rsidRPr="00256982" w:rsidRDefault="0068777C" w:rsidP="0068777C">
            <w:pPr>
              <w:pStyle w:val="TableText"/>
            </w:pPr>
            <w:r w:rsidRPr="00256982">
              <w:t>2012</w:t>
            </w:r>
          </w:p>
        </w:tc>
        <w:tc>
          <w:tcPr>
            <w:tcW w:w="2484" w:type="dxa"/>
            <w:tcBorders>
              <w:top w:val="single" w:sz="6" w:space="0" w:color="365F91"/>
              <w:bottom w:val="single" w:sz="6" w:space="0" w:color="365F91"/>
            </w:tcBorders>
          </w:tcPr>
          <w:p w14:paraId="342ABA80" w14:textId="77777777" w:rsidR="0068777C" w:rsidRPr="00256982" w:rsidRDefault="0068777C" w:rsidP="0068777C">
            <w:pPr>
              <w:pStyle w:val="TableText"/>
              <w:jc w:val="center"/>
            </w:pPr>
            <w:r w:rsidRPr="00256982">
              <w:t>33.4</w:t>
            </w:r>
          </w:p>
        </w:tc>
        <w:tc>
          <w:tcPr>
            <w:tcW w:w="2269" w:type="dxa"/>
            <w:tcBorders>
              <w:top w:val="single" w:sz="6" w:space="0" w:color="365F91"/>
              <w:bottom w:val="single" w:sz="6" w:space="0" w:color="365F91"/>
            </w:tcBorders>
          </w:tcPr>
          <w:p w14:paraId="664183DC" w14:textId="77777777" w:rsidR="0068777C" w:rsidRPr="00256982" w:rsidRDefault="0068777C" w:rsidP="0068777C">
            <w:pPr>
              <w:pStyle w:val="TableText"/>
              <w:jc w:val="center"/>
            </w:pPr>
            <w:r w:rsidRPr="00256982">
              <w:t>19.3</w:t>
            </w:r>
          </w:p>
        </w:tc>
        <w:tc>
          <w:tcPr>
            <w:tcW w:w="2161" w:type="dxa"/>
            <w:tcBorders>
              <w:top w:val="single" w:sz="6" w:space="0" w:color="365F91"/>
              <w:bottom w:val="single" w:sz="6" w:space="0" w:color="365F91"/>
              <w:right w:val="nil"/>
            </w:tcBorders>
          </w:tcPr>
          <w:p w14:paraId="7A6C7412" w14:textId="77777777" w:rsidR="0068777C" w:rsidRPr="00256982" w:rsidRDefault="0068777C" w:rsidP="0068777C">
            <w:pPr>
              <w:pStyle w:val="TableText"/>
              <w:jc w:val="center"/>
            </w:pPr>
            <w:r w:rsidRPr="00256982">
              <w:t>58.0</w:t>
            </w:r>
          </w:p>
        </w:tc>
      </w:tr>
      <w:tr w:rsidR="0068777C" w:rsidRPr="00256982" w14:paraId="2A275A47" w14:textId="77777777" w:rsidTr="0068777C">
        <w:trPr>
          <w:trHeight w:val="247"/>
        </w:trPr>
        <w:tc>
          <w:tcPr>
            <w:tcW w:w="1081" w:type="dxa"/>
            <w:tcBorders>
              <w:top w:val="single" w:sz="6" w:space="0" w:color="365F91"/>
              <w:left w:val="nil"/>
              <w:bottom w:val="single" w:sz="4" w:space="0" w:color="365F91"/>
            </w:tcBorders>
          </w:tcPr>
          <w:p w14:paraId="02503A8C" w14:textId="77777777" w:rsidR="0068777C" w:rsidRPr="00256982" w:rsidRDefault="0068777C" w:rsidP="0068777C">
            <w:pPr>
              <w:pStyle w:val="TableText"/>
            </w:pPr>
            <w:r w:rsidRPr="00256982">
              <w:t>2017</w:t>
            </w:r>
          </w:p>
        </w:tc>
        <w:tc>
          <w:tcPr>
            <w:tcW w:w="2484" w:type="dxa"/>
            <w:tcBorders>
              <w:top w:val="single" w:sz="6" w:space="0" w:color="365F91"/>
              <w:bottom w:val="single" w:sz="4" w:space="0" w:color="365F91"/>
            </w:tcBorders>
          </w:tcPr>
          <w:p w14:paraId="5AE2CDE5" w14:textId="77777777" w:rsidR="0068777C" w:rsidRPr="00256982" w:rsidRDefault="0068777C" w:rsidP="0068777C">
            <w:pPr>
              <w:pStyle w:val="TableText"/>
              <w:jc w:val="center"/>
            </w:pPr>
            <w:r w:rsidRPr="00256982">
              <w:t>28.7</w:t>
            </w:r>
          </w:p>
        </w:tc>
        <w:tc>
          <w:tcPr>
            <w:tcW w:w="2269" w:type="dxa"/>
            <w:tcBorders>
              <w:top w:val="single" w:sz="6" w:space="0" w:color="365F91"/>
              <w:bottom w:val="single" w:sz="4" w:space="0" w:color="365F91"/>
            </w:tcBorders>
          </w:tcPr>
          <w:p w14:paraId="4A01BD82" w14:textId="77777777" w:rsidR="0068777C" w:rsidRPr="00256982" w:rsidRDefault="0068777C" w:rsidP="0068777C">
            <w:pPr>
              <w:pStyle w:val="TableText"/>
              <w:jc w:val="center"/>
            </w:pPr>
            <w:r w:rsidRPr="00256982">
              <w:t>20.6</w:t>
            </w:r>
          </w:p>
        </w:tc>
        <w:tc>
          <w:tcPr>
            <w:tcW w:w="2161" w:type="dxa"/>
            <w:tcBorders>
              <w:top w:val="single" w:sz="6" w:space="0" w:color="365F91"/>
              <w:bottom w:val="single" w:sz="4" w:space="0" w:color="365F91"/>
              <w:right w:val="nil"/>
            </w:tcBorders>
          </w:tcPr>
          <w:p w14:paraId="3FD0039C" w14:textId="77777777" w:rsidR="0068777C" w:rsidRPr="00256982" w:rsidRDefault="0068777C" w:rsidP="0068777C">
            <w:pPr>
              <w:pStyle w:val="TableText"/>
              <w:jc w:val="center"/>
            </w:pPr>
            <w:r w:rsidRPr="00256982">
              <w:t>36.9</w:t>
            </w:r>
          </w:p>
        </w:tc>
      </w:tr>
    </w:tbl>
    <w:p w14:paraId="42BF3121" w14:textId="77777777" w:rsidR="0068777C" w:rsidRPr="00256982" w:rsidRDefault="0068777C" w:rsidP="0068777C">
      <w:pPr>
        <w:pStyle w:val="Noteundertable"/>
      </w:pPr>
      <w:r w:rsidRPr="00256982">
        <w:rPr>
          <w:b/>
        </w:rPr>
        <w:t>Note:</w:t>
      </w:r>
      <w:r w:rsidRPr="00256982">
        <w:t xml:space="preserve"> </w:t>
      </w:r>
      <w:r w:rsidRPr="00256982">
        <w:tab/>
        <w:t>The N</w:t>
      </w:r>
      <w:r w:rsidRPr="00256982">
        <w:rPr>
          <w:vertAlign w:val="subscript"/>
        </w:rPr>
        <w:t>2</w:t>
      </w:r>
      <w:r w:rsidRPr="00256982">
        <w:t>O emissions listed in this table for each year were calculated based on the reporting rules and methodologies used at that time.</w:t>
      </w:r>
    </w:p>
    <w:p w14:paraId="3BCCA8F0" w14:textId="77777777" w:rsidR="0068777C" w:rsidRPr="00256982" w:rsidRDefault="0068777C" w:rsidP="0068777C">
      <w:pPr>
        <w:pStyle w:val="BodyText"/>
      </w:pPr>
      <w:r w:rsidRPr="00256982">
        <w:t xml:space="preserve">The overall inventory uncertainty analysis shown in annex 2 demonstrates that the uncertainty in annual emissions from </w:t>
      </w:r>
      <w:r w:rsidRPr="00256982">
        <w:rPr>
          <w:i/>
          <w:iCs/>
        </w:rPr>
        <w:t>Agricultural soils</w:t>
      </w:r>
      <w:r w:rsidRPr="00256982">
        <w:t xml:space="preserve"> is a major contributor to uncertainty in New Zealand’s total greenhouse gas emissions and in the trend from 1990. The uncertainty between years was assumed to be correlated, and therefore the uncertainty is mostly associated with the emission factors. The uncertainty associated with the trend is much lower than the uncertainty for an annual estimate. </w:t>
      </w:r>
    </w:p>
    <w:p w14:paraId="3579D2E2" w14:textId="77777777" w:rsidR="0068777C" w:rsidRPr="00256982" w:rsidRDefault="0068777C" w:rsidP="0068777C">
      <w:pPr>
        <w:pStyle w:val="BodyText"/>
      </w:pPr>
      <w:r w:rsidRPr="00256982">
        <w:t xml:space="preserve">The uncertainty in emissions from </w:t>
      </w:r>
      <w:r w:rsidRPr="00256982">
        <w:rPr>
          <w:i/>
        </w:rPr>
        <w:t>Agricultural soils</w:t>
      </w:r>
      <w:r w:rsidRPr="00256982">
        <w:t xml:space="preserve"> is largely due to the parameter EF</w:t>
      </w:r>
      <w:r w:rsidRPr="00256982">
        <w:rPr>
          <w:vertAlign w:val="subscript"/>
        </w:rPr>
        <w:t>3(PRP)</w:t>
      </w:r>
      <w:r w:rsidRPr="00256982">
        <w:t xml:space="preserve"> and emissions from urine and dung deposited by grazing animals. This uncertainty reflects natural variance in EF</w:t>
      </w:r>
      <w:r w:rsidRPr="00256982">
        <w:rPr>
          <w:vertAlign w:val="subscript"/>
        </w:rPr>
        <w:t xml:space="preserve">3 </w:t>
      </w:r>
      <w:r w:rsidRPr="00256982">
        <w:t>due to weather, climate and soil type (Kelliher et al., unpublished(c)).</w:t>
      </w:r>
    </w:p>
    <w:p w14:paraId="1D9BFDD2" w14:textId="77777777" w:rsidR="0068777C" w:rsidRPr="00256982" w:rsidRDefault="0068777C" w:rsidP="0068777C">
      <w:pPr>
        <w:pStyle w:val="Heading3"/>
      </w:pPr>
      <w:bookmarkStart w:id="787" w:name="_Toc139253936"/>
      <w:r w:rsidRPr="00256982">
        <w:t>5.5.4</w:t>
      </w:r>
      <w:r w:rsidRPr="00256982">
        <w:tab/>
        <w:t>Source-specific QA/QC and verification</w:t>
      </w:r>
      <w:bookmarkEnd w:id="787"/>
    </w:p>
    <w:p w14:paraId="04653357" w14:textId="77777777" w:rsidR="0068777C" w:rsidRPr="00256982" w:rsidRDefault="0068777C" w:rsidP="0068777C">
      <w:pPr>
        <w:pStyle w:val="BodyText"/>
      </w:pPr>
      <w:r w:rsidRPr="00256982">
        <w:t>In preparation for this inventory submission, the data underwent Tier 1 and Tier 2 quality checks.</w:t>
      </w:r>
    </w:p>
    <w:p w14:paraId="396F401C" w14:textId="77777777" w:rsidR="0068777C" w:rsidRPr="00256982" w:rsidRDefault="0068777C" w:rsidP="0068777C">
      <w:pPr>
        <w:pStyle w:val="Heading5"/>
      </w:pPr>
      <w:r w:rsidRPr="00256982">
        <w:t>Verification of activity data</w:t>
      </w:r>
    </w:p>
    <w:p w14:paraId="7BFB5227" w14:textId="77777777" w:rsidR="0068777C" w:rsidRPr="00256982" w:rsidRDefault="0068777C" w:rsidP="0068777C">
      <w:pPr>
        <w:pStyle w:val="BodyText"/>
      </w:pPr>
      <w:r w:rsidRPr="00256982">
        <w:t xml:space="preserve">Research has been carried out to verify the activity data for crops. In 2008 and 2011, the Ministry for Primary Industries commissioned reports investigating </w:t>
      </w:r>
      <w:r w:rsidRPr="00256982">
        <w:rPr>
          <w:spacing w:val="-2"/>
        </w:rPr>
        <w:t>N</w:t>
      </w:r>
      <w:r w:rsidRPr="00256982">
        <w:rPr>
          <w:spacing w:val="-2"/>
          <w:vertAlign w:val="subscript"/>
        </w:rPr>
        <w:t>2</w:t>
      </w:r>
      <w:r w:rsidRPr="00256982">
        <w:rPr>
          <w:spacing w:val="-2"/>
        </w:rPr>
        <w:t>O</w:t>
      </w:r>
      <w:r w:rsidRPr="00256982">
        <w:t xml:space="preserve"> emission factors and activity data for crops (Thomas et al., 2008, 2011). The reports compared activity data from Statistics New Zealand’s Agricultural Production survey with the Foundation for Arable Research production database. Data for wheat and maize between the two data sources were very similar, although there were differences for some of the other crops.</w:t>
      </w:r>
    </w:p>
    <w:p w14:paraId="738B9627" w14:textId="77777777" w:rsidR="0068777C" w:rsidRPr="00256982" w:rsidRDefault="0068777C" w:rsidP="0068777C">
      <w:pPr>
        <w:pStyle w:val="BodyText"/>
      </w:pPr>
      <w:r w:rsidRPr="00256982">
        <w:t xml:space="preserve">The accuracy of synthetic nitrogen fertiliser data has also been assessed by comparing fertiliser sales data received from the Fertiliser Association of New Zealand with data collected from the Agricultural Production survey. </w:t>
      </w:r>
    </w:p>
    <w:p w14:paraId="4D0C5D43" w14:textId="77777777" w:rsidR="0068777C" w:rsidRPr="00256982" w:rsidRDefault="0068777C" w:rsidP="0068777C">
      <w:pPr>
        <w:pStyle w:val="BodyText"/>
      </w:pPr>
      <w:r w:rsidRPr="00256982">
        <w:lastRenderedPageBreak/>
        <w:t xml:space="preserve">The Fertiliser Association sales data are used rather than the Agricultural Production survey data because the sales data are considered to be more accurate. Around 98 per cent of New Zealand synthetic nitrogen fertiliser is provided by two large companies that provide sales data to the Fertiliser Association. The Fertiliser Association provides an estimate of the additional synthetic nitrogen fertiliser sold by other companies (2 per cent). In contrast, the Agricultural Production survey data is collected from around 35,000 individual farmers. There are a large number of differently named fertilisers, and the survey respondents often have difficulty filling in the fertiliser component in the annual questionnaire. Some farmers use contract fertiliser spreading companies (including aerial spreading) and may not have an accurate estimate of the tonnes of fertiliser applied. The Agricultural Production census and survey data verified the long-term trend of the increasing use of synthetic nitrogen fertiliser. </w:t>
      </w:r>
    </w:p>
    <w:p w14:paraId="6E62C05C" w14:textId="77777777" w:rsidR="0068777C" w:rsidRPr="00256982" w:rsidRDefault="0068777C" w:rsidP="0068777C">
      <w:pPr>
        <w:pStyle w:val="Heading5"/>
      </w:pPr>
      <w:r w:rsidRPr="00256982">
        <w:t>Comparison of New Zealand emission factors and parameters with IPCC default values</w:t>
      </w:r>
    </w:p>
    <w:p w14:paraId="5D7A6E46" w14:textId="77777777" w:rsidR="0068777C" w:rsidRPr="00256982" w:rsidRDefault="0068777C" w:rsidP="0068777C">
      <w:pPr>
        <w:pStyle w:val="BodyText"/>
      </w:pPr>
      <w:r w:rsidRPr="00256982">
        <w:t>Table 5.5.9 compares New Zealand’s IEFs for EF</w:t>
      </w:r>
      <w:r w:rsidRPr="00256982">
        <w:rPr>
          <w:vertAlign w:val="subscript"/>
        </w:rPr>
        <w:t>1</w:t>
      </w:r>
      <w:r w:rsidRPr="00256982">
        <w:t xml:space="preserve"> (synthetic nitrogen fertiliser) and EF</w:t>
      </w:r>
      <w:r w:rsidRPr="00256982">
        <w:rPr>
          <w:vertAlign w:val="subscript"/>
        </w:rPr>
        <w:t>3(PRP)</w:t>
      </w:r>
      <w:r w:rsidRPr="00256982">
        <w:t xml:space="preserve"> (urine and dung deposited by grazing animals) with the 2006 IPCC default values and emission factors used by Australia. The New Zealand EF</w:t>
      </w:r>
      <w:r w:rsidRPr="00256982">
        <w:rPr>
          <w:vertAlign w:val="subscript"/>
        </w:rPr>
        <w:t>1</w:t>
      </w:r>
      <w:r w:rsidRPr="00256982">
        <w:t xml:space="preserve"> value is lower than the IPCC default. This reflects New Zealand’s country-specific emission factor for urea fertiliser and the incorporation of effect of urease inhibitors. For EF</w:t>
      </w:r>
      <w:r w:rsidRPr="00256982">
        <w:rPr>
          <w:vertAlign w:val="subscript"/>
        </w:rPr>
        <w:t>3</w:t>
      </w:r>
      <w:r w:rsidRPr="00256982">
        <w:t>,</w:t>
      </w:r>
      <w:r w:rsidRPr="00256982">
        <w:rPr>
          <w:vertAlign w:val="subscript"/>
        </w:rPr>
        <w:t xml:space="preserve"> </w:t>
      </w:r>
      <w:r w:rsidRPr="00256982">
        <w:t xml:space="preserve">the New Zealand value is lower than the IPCC default. This reflects research that has developed country-specific emission factors for dung and urine. </w:t>
      </w:r>
    </w:p>
    <w:p w14:paraId="3CE56027" w14:textId="77777777" w:rsidR="0068777C" w:rsidRPr="00256982" w:rsidRDefault="0068777C" w:rsidP="0068777C">
      <w:pPr>
        <w:pStyle w:val="Table"/>
      </w:pPr>
      <w:bookmarkStart w:id="788" w:name="_Toc441830888"/>
      <w:bookmarkStart w:id="789" w:name="_Toc451176102"/>
      <w:bookmarkStart w:id="790" w:name="_Toc481751529"/>
      <w:bookmarkStart w:id="791" w:name="_Toc507158617"/>
      <w:bookmarkStart w:id="792" w:name="_Toc511116751"/>
      <w:bookmarkStart w:id="793" w:name="_Toc5269493"/>
      <w:bookmarkStart w:id="794" w:name="_Toc288316759"/>
      <w:bookmarkStart w:id="795" w:name="_Toc352504977"/>
      <w:r w:rsidRPr="00256982">
        <w:t>Table 5.5.9</w:t>
      </w:r>
      <w:r w:rsidRPr="00256982">
        <w:tab/>
        <w:t>Comparison of New Zealand’s implied emission factors (IEFs) for EF</w:t>
      </w:r>
      <w:r w:rsidRPr="00256982">
        <w:rPr>
          <w:vertAlign w:val="subscript"/>
        </w:rPr>
        <w:t>1</w:t>
      </w:r>
      <w:r w:rsidRPr="00256982">
        <w:t xml:space="preserve"> (synthetic nitrogen fertiliser) and EF</w:t>
      </w:r>
      <w:r w:rsidRPr="00256982">
        <w:rPr>
          <w:vertAlign w:val="subscript"/>
        </w:rPr>
        <w:t>3(PRP)</w:t>
      </w:r>
      <w:r w:rsidRPr="00256982">
        <w:t xml:space="preserve"> (grazing manure) with the IPCC default and the Australia</w:t>
      </w:r>
      <w:bookmarkEnd w:id="788"/>
      <w:r w:rsidRPr="00256982">
        <w:t>n-specific value</w:t>
      </w:r>
      <w:bookmarkEnd w:id="789"/>
      <w:bookmarkEnd w:id="790"/>
      <w:bookmarkEnd w:id="791"/>
      <w:bookmarkEnd w:id="792"/>
      <w:bookmarkEnd w:id="793"/>
      <w:r w:rsidRPr="00256982">
        <w:t xml:space="preserve"> </w:t>
      </w:r>
      <w:bookmarkEnd w:id="794"/>
      <w:bookmarkEnd w:id="795"/>
    </w:p>
    <w:tbl>
      <w:tblPr>
        <w:tblW w:w="8505" w:type="dxa"/>
        <w:tblInd w:w="108" w:type="dxa"/>
        <w:tblBorders>
          <w:top w:val="single" w:sz="4" w:space="0" w:color="365F91"/>
          <w:bottom w:val="single" w:sz="4" w:space="0" w:color="365F91"/>
          <w:insideH w:val="single" w:sz="4" w:space="0" w:color="365F91"/>
        </w:tblBorders>
        <w:tblLook w:val="01E0" w:firstRow="1" w:lastRow="1" w:firstColumn="1" w:lastColumn="1" w:noHBand="0" w:noVBand="0"/>
      </w:tblPr>
      <w:tblGrid>
        <w:gridCol w:w="3181"/>
        <w:gridCol w:w="2633"/>
        <w:gridCol w:w="2691"/>
      </w:tblGrid>
      <w:tr w:rsidR="0068777C" w:rsidRPr="00256982" w14:paraId="63132804" w14:textId="77777777" w:rsidTr="0068777C">
        <w:tc>
          <w:tcPr>
            <w:tcW w:w="1870" w:type="pct"/>
            <w:shd w:val="clear" w:color="auto" w:fill="365F91"/>
            <w:vAlign w:val="bottom"/>
          </w:tcPr>
          <w:p w14:paraId="46A68126" w14:textId="77777777" w:rsidR="0068777C" w:rsidRPr="00256982" w:rsidRDefault="0068777C" w:rsidP="0068777C">
            <w:pPr>
              <w:pStyle w:val="TableTextBold"/>
              <w:rPr>
                <w:noProof w:val="0"/>
                <w:color w:val="FFFFFF"/>
              </w:rPr>
            </w:pPr>
          </w:p>
        </w:tc>
        <w:tc>
          <w:tcPr>
            <w:tcW w:w="1548" w:type="pct"/>
            <w:shd w:val="clear" w:color="auto" w:fill="365F91"/>
            <w:vAlign w:val="bottom"/>
          </w:tcPr>
          <w:p w14:paraId="7CB5657E" w14:textId="77777777" w:rsidR="0068777C" w:rsidRPr="00256982" w:rsidRDefault="0068777C" w:rsidP="0068777C">
            <w:pPr>
              <w:pStyle w:val="TableTextBold"/>
              <w:rPr>
                <w:noProof w:val="0"/>
                <w:color w:val="FFFFFF"/>
              </w:rPr>
            </w:pPr>
            <w:r w:rsidRPr="00256982">
              <w:rPr>
                <w:noProof w:val="0"/>
                <w:color w:val="FFFFFF"/>
              </w:rPr>
              <w:t>EF</w:t>
            </w:r>
            <w:r w:rsidRPr="00256982">
              <w:rPr>
                <w:noProof w:val="0"/>
                <w:color w:val="FFFFFF"/>
                <w:vertAlign w:val="subscript"/>
              </w:rPr>
              <w:t>1</w:t>
            </w:r>
            <w:r w:rsidRPr="00256982">
              <w:rPr>
                <w:noProof w:val="0"/>
                <w:color w:val="FFFFFF"/>
              </w:rPr>
              <w:t xml:space="preserve"> (kg N</w:t>
            </w:r>
            <w:r w:rsidRPr="00256982">
              <w:rPr>
                <w:noProof w:val="0"/>
                <w:color w:val="FFFFFF"/>
                <w:vertAlign w:val="subscript"/>
              </w:rPr>
              <w:t>2</w:t>
            </w:r>
            <w:r w:rsidRPr="00256982">
              <w:rPr>
                <w:noProof w:val="0"/>
                <w:color w:val="FFFFFF"/>
              </w:rPr>
              <w:t>O-N/kg N)</w:t>
            </w:r>
          </w:p>
        </w:tc>
        <w:tc>
          <w:tcPr>
            <w:tcW w:w="1582" w:type="pct"/>
            <w:shd w:val="clear" w:color="auto" w:fill="365F91"/>
            <w:vAlign w:val="bottom"/>
          </w:tcPr>
          <w:p w14:paraId="5603990B" w14:textId="77777777" w:rsidR="0068777C" w:rsidRPr="00256982" w:rsidRDefault="0068777C" w:rsidP="0068777C">
            <w:pPr>
              <w:pStyle w:val="TableTextBold"/>
              <w:rPr>
                <w:noProof w:val="0"/>
                <w:color w:val="FFFFFF"/>
              </w:rPr>
            </w:pPr>
            <w:r w:rsidRPr="00256982">
              <w:rPr>
                <w:noProof w:val="0"/>
                <w:color w:val="FFFFFF"/>
              </w:rPr>
              <w:t>EF</w:t>
            </w:r>
            <w:r w:rsidRPr="00256982">
              <w:rPr>
                <w:noProof w:val="0"/>
                <w:color w:val="FFFFFF"/>
                <w:vertAlign w:val="subscript"/>
              </w:rPr>
              <w:t>3</w:t>
            </w:r>
            <w:r w:rsidRPr="00256982">
              <w:rPr>
                <w:noProof w:val="0"/>
                <w:color w:val="FFFFFF"/>
              </w:rPr>
              <w:t xml:space="preserve"> (kg N</w:t>
            </w:r>
            <w:r w:rsidRPr="00256982">
              <w:rPr>
                <w:noProof w:val="0"/>
                <w:color w:val="FFFFFF"/>
                <w:vertAlign w:val="subscript"/>
              </w:rPr>
              <w:t>2</w:t>
            </w:r>
            <w:r w:rsidRPr="00256982">
              <w:rPr>
                <w:noProof w:val="0"/>
                <w:color w:val="FFFFFF"/>
              </w:rPr>
              <w:t>O-N/kg N excreted)</w:t>
            </w:r>
          </w:p>
        </w:tc>
      </w:tr>
      <w:tr w:rsidR="0068777C" w:rsidRPr="00256982" w14:paraId="6D50B90F" w14:textId="77777777" w:rsidTr="0068777C">
        <w:tc>
          <w:tcPr>
            <w:tcW w:w="1870" w:type="pct"/>
          </w:tcPr>
          <w:p w14:paraId="70F3064E" w14:textId="77777777" w:rsidR="0068777C" w:rsidRPr="00256982" w:rsidRDefault="0068777C" w:rsidP="0068777C">
            <w:pPr>
              <w:pStyle w:val="TableText"/>
            </w:pPr>
            <w:r w:rsidRPr="00256982">
              <w:t>IPCC (2006) developed temperate climate/Oceania default value</w:t>
            </w:r>
          </w:p>
        </w:tc>
        <w:tc>
          <w:tcPr>
            <w:tcW w:w="1548" w:type="pct"/>
          </w:tcPr>
          <w:p w14:paraId="3645CAE8" w14:textId="77777777" w:rsidR="0068777C" w:rsidRPr="00256982" w:rsidRDefault="0068777C" w:rsidP="0068777C">
            <w:pPr>
              <w:pStyle w:val="TableText"/>
            </w:pPr>
            <w:r w:rsidRPr="00256982">
              <w:t>0.01</w:t>
            </w:r>
          </w:p>
        </w:tc>
        <w:tc>
          <w:tcPr>
            <w:tcW w:w="1582" w:type="pct"/>
          </w:tcPr>
          <w:p w14:paraId="2E8607C4" w14:textId="77777777" w:rsidR="0068777C" w:rsidRPr="00256982" w:rsidRDefault="0068777C" w:rsidP="0068777C">
            <w:pPr>
              <w:pStyle w:val="TableText"/>
              <w:spacing w:after="0"/>
            </w:pPr>
            <w:r w:rsidRPr="00256982">
              <w:t>0.02 (cattle, poultry and pigs)</w:t>
            </w:r>
          </w:p>
          <w:p w14:paraId="66E4A9BE" w14:textId="77777777" w:rsidR="0068777C" w:rsidRPr="00256982" w:rsidRDefault="0068777C" w:rsidP="0068777C">
            <w:pPr>
              <w:pStyle w:val="TableText"/>
            </w:pPr>
            <w:r w:rsidRPr="00256982">
              <w:t>0.01 (sheep and other animals)</w:t>
            </w:r>
          </w:p>
        </w:tc>
      </w:tr>
      <w:tr w:rsidR="0068777C" w:rsidRPr="00256982" w14:paraId="41EE9ECF" w14:textId="77777777" w:rsidTr="0068777C">
        <w:tc>
          <w:tcPr>
            <w:tcW w:w="1870" w:type="pct"/>
          </w:tcPr>
          <w:p w14:paraId="4CD868E3" w14:textId="77777777" w:rsidR="0068777C" w:rsidRPr="00256982" w:rsidRDefault="0068777C" w:rsidP="0068777C">
            <w:pPr>
              <w:pStyle w:val="TableText"/>
            </w:pPr>
            <w:r w:rsidRPr="00256982">
              <w:t>Australian-specific IEF 2016 value</w:t>
            </w:r>
          </w:p>
        </w:tc>
        <w:tc>
          <w:tcPr>
            <w:tcW w:w="1548" w:type="pct"/>
          </w:tcPr>
          <w:p w14:paraId="253CB0CC" w14:textId="77777777" w:rsidR="0068777C" w:rsidRPr="00256982" w:rsidRDefault="0068777C" w:rsidP="0068777C">
            <w:pPr>
              <w:pStyle w:val="TableText"/>
            </w:pPr>
            <w:r w:rsidRPr="00256982">
              <w:t>0.003</w:t>
            </w:r>
          </w:p>
        </w:tc>
        <w:tc>
          <w:tcPr>
            <w:tcW w:w="1582" w:type="pct"/>
          </w:tcPr>
          <w:p w14:paraId="24573DE7" w14:textId="77777777" w:rsidR="0068777C" w:rsidRPr="00256982" w:rsidRDefault="0068777C" w:rsidP="0068777C">
            <w:pPr>
              <w:pStyle w:val="TableText"/>
            </w:pPr>
            <w:r w:rsidRPr="00256982">
              <w:t>0.004</w:t>
            </w:r>
          </w:p>
        </w:tc>
      </w:tr>
      <w:tr w:rsidR="0068777C" w:rsidRPr="00256982" w14:paraId="73C09B5B" w14:textId="77777777" w:rsidTr="0068777C">
        <w:tc>
          <w:tcPr>
            <w:tcW w:w="1870" w:type="pct"/>
          </w:tcPr>
          <w:p w14:paraId="7A4F4782" w14:textId="77777777" w:rsidR="0068777C" w:rsidRPr="00256982" w:rsidRDefault="0068777C" w:rsidP="0068777C">
            <w:pPr>
              <w:pStyle w:val="TableText"/>
            </w:pPr>
            <w:r w:rsidRPr="00256982">
              <w:t>New Zealand-specific IEF 2017 value</w:t>
            </w:r>
          </w:p>
        </w:tc>
        <w:tc>
          <w:tcPr>
            <w:tcW w:w="1548" w:type="pct"/>
          </w:tcPr>
          <w:p w14:paraId="4E773E09" w14:textId="77777777" w:rsidR="0068777C" w:rsidRPr="00256982" w:rsidRDefault="0068777C" w:rsidP="0068777C">
            <w:pPr>
              <w:pStyle w:val="TableText"/>
            </w:pPr>
            <w:r w:rsidRPr="00256982">
              <w:t>0.007</w:t>
            </w:r>
          </w:p>
        </w:tc>
        <w:tc>
          <w:tcPr>
            <w:tcW w:w="1582" w:type="pct"/>
          </w:tcPr>
          <w:p w14:paraId="4F93CA31" w14:textId="77777777" w:rsidR="0068777C" w:rsidRPr="00256982" w:rsidRDefault="0068777C" w:rsidP="0068777C">
            <w:pPr>
              <w:pStyle w:val="TableText"/>
            </w:pPr>
            <w:r w:rsidRPr="00256982">
              <w:t>0.008</w:t>
            </w:r>
          </w:p>
        </w:tc>
      </w:tr>
    </w:tbl>
    <w:p w14:paraId="3F14DEEE" w14:textId="77777777" w:rsidR="0068777C" w:rsidRPr="00256982" w:rsidRDefault="0068777C" w:rsidP="0068777C">
      <w:pPr>
        <w:pStyle w:val="Source"/>
      </w:pPr>
      <w:r w:rsidRPr="00256982">
        <w:rPr>
          <w:b/>
        </w:rPr>
        <w:t>Source:</w:t>
      </w:r>
      <w:r w:rsidRPr="00256982">
        <w:t xml:space="preserve"> </w:t>
      </w:r>
      <w:r w:rsidRPr="00256982">
        <w:tab/>
        <w:t>UNFCCC (https://unfccc.int/documents/65705)</w:t>
      </w:r>
      <w:r w:rsidRPr="00256982" w:rsidDel="00D478FB">
        <w:t xml:space="preserve"> </w:t>
      </w:r>
    </w:p>
    <w:p w14:paraId="1EB92774" w14:textId="77777777" w:rsidR="0068777C" w:rsidRPr="00256982" w:rsidRDefault="0068777C" w:rsidP="0068777C">
      <w:pPr>
        <w:pStyle w:val="BodyText"/>
        <w:spacing w:before="240"/>
      </w:pPr>
      <w:r w:rsidRPr="00256982">
        <w:t>Table 5.5.10 compares the New Zealand-specific values Frac</w:t>
      </w:r>
      <w:r w:rsidRPr="00256982">
        <w:rPr>
          <w:vertAlign w:val="subscript"/>
        </w:rPr>
        <w:t>GASF</w:t>
      </w:r>
      <w:r w:rsidRPr="00256982">
        <w:t>, Frac</w:t>
      </w:r>
      <w:r w:rsidRPr="00256982">
        <w:rPr>
          <w:vertAlign w:val="subscript"/>
        </w:rPr>
        <w:t>GASM</w:t>
      </w:r>
      <w:r w:rsidRPr="00256982">
        <w:t xml:space="preserve"> and Frac</w:t>
      </w:r>
      <w:r w:rsidRPr="00256982">
        <w:rPr>
          <w:vertAlign w:val="subscript"/>
        </w:rPr>
        <w:t>LEACH-H</w:t>
      </w:r>
      <w:r w:rsidRPr="00256982">
        <w:t xml:space="preserve"> with the 2006 IPCC default and fractions used by Australia. New Zealand has taken a country-specific value for Frac</w:t>
      </w:r>
      <w:r w:rsidRPr="00256982">
        <w:rPr>
          <w:vertAlign w:val="subscript"/>
        </w:rPr>
        <w:t>GASF</w:t>
      </w:r>
      <w:r w:rsidRPr="00256982">
        <w:t xml:space="preserve"> of 0.1, and it is the same as the IPCC default and that of Australia. Research showed that the 0.1 value was appropriate for New Zealand conditions (Sherlock et al., 2008). </w:t>
      </w:r>
    </w:p>
    <w:p w14:paraId="402B628F" w14:textId="77777777" w:rsidR="0068777C" w:rsidRPr="00256982" w:rsidRDefault="0068777C" w:rsidP="0068777C">
      <w:pPr>
        <w:pStyle w:val="BodyText"/>
        <w:rPr>
          <w:lang w:eastAsia="en-GB"/>
        </w:rPr>
      </w:pPr>
      <w:r w:rsidRPr="00256982">
        <w:t>This research also showed that the default value of 0.2 for Frac</w:t>
      </w:r>
      <w:r w:rsidRPr="00256982">
        <w:rPr>
          <w:vertAlign w:val="subscript"/>
        </w:rPr>
        <w:t>GASM</w:t>
      </w:r>
      <w:r w:rsidRPr="00256982">
        <w:t xml:space="preserve"> was too high and a lower value of 0.1 was adopted after an extensive review of scientific literature (Sherlock et al., 2008), which was also confirmed by subsequent field experiments (Laubach et al., 2012). The reduction in Frac</w:t>
      </w:r>
      <w:r w:rsidRPr="00256982">
        <w:rPr>
          <w:vertAlign w:val="subscript"/>
        </w:rPr>
        <w:t>GASM</w:t>
      </w:r>
      <w:r w:rsidRPr="00256982">
        <w:t xml:space="preserve"> is due to the proportion of the different sources that make up this value. In New Zealand, over 95 per cent of animal excreta is deposited onto pasture and only a small proportion is managed. In contrast, the 2006 IPCC default value was calculated taking into account a much higher percentage of manure management and storage. Manure management and storage result in a much higher proportion of nitrogen being volatilised and, hence, the higher Frac</w:t>
      </w:r>
      <w:r w:rsidRPr="00256982">
        <w:rPr>
          <w:vertAlign w:val="subscript"/>
        </w:rPr>
        <w:t>GASM</w:t>
      </w:r>
      <w:r w:rsidRPr="00256982">
        <w:t xml:space="preserve"> for the default value compared with the country-specific New Zealand value. </w:t>
      </w:r>
    </w:p>
    <w:p w14:paraId="5B70E47C" w14:textId="77777777" w:rsidR="0068777C" w:rsidRPr="00256982" w:rsidRDefault="0068777C" w:rsidP="0068777C">
      <w:pPr>
        <w:pStyle w:val="BodyText"/>
      </w:pPr>
      <w:r w:rsidRPr="00256982">
        <w:t>New Zealand also has a much lower value of Frac</w:t>
      </w:r>
      <w:r w:rsidRPr="00256982">
        <w:rPr>
          <w:vertAlign w:val="subscript"/>
        </w:rPr>
        <w:t>LEACH</w:t>
      </w:r>
      <w:r w:rsidRPr="00256982" w:rsidDel="009C0F97">
        <w:rPr>
          <w:vertAlign w:val="subscript"/>
        </w:rPr>
        <w:t>-H</w:t>
      </w:r>
      <w:r w:rsidRPr="00256982" w:rsidDel="009C0F97">
        <w:t>.</w:t>
      </w:r>
      <w:r w:rsidRPr="00256982">
        <w:t xml:space="preserve"> Research suggests that New Zealand applies a much lower rate of nitrogen fertiliser than what was assumed when the IPCC default value was developed (Thomas et al., unpublished, 2005). When the OVERSEER</w:t>
      </w:r>
      <w:r w:rsidRPr="00256982">
        <w:rPr>
          <w:vertAlign w:val="superscript"/>
        </w:rPr>
        <w:t>®</w:t>
      </w:r>
      <w:r w:rsidRPr="00256982">
        <w:t xml:space="preserve"> nutrient budget model (Wheeler et al., 2003) took this lower rate into account, the rate of leaching was much lower than when compared with farms with a high nitrogen fertiliser rate, which can be typical in other developed countries. </w:t>
      </w:r>
    </w:p>
    <w:p w14:paraId="14FA4F67" w14:textId="77777777" w:rsidR="0068777C" w:rsidRPr="00256982" w:rsidRDefault="0068777C" w:rsidP="0068777C">
      <w:pPr>
        <w:pStyle w:val="Table"/>
      </w:pPr>
      <w:bookmarkStart w:id="796" w:name="_Toc441830889"/>
      <w:bookmarkStart w:id="797" w:name="_Toc288316760"/>
      <w:bookmarkStart w:id="798" w:name="_Toc352504978"/>
      <w:bookmarkStart w:id="799" w:name="_Toc451176103"/>
      <w:bookmarkStart w:id="800" w:name="_Toc481751530"/>
      <w:bookmarkStart w:id="801" w:name="_Toc507158618"/>
      <w:bookmarkStart w:id="802" w:name="_Toc511116752"/>
      <w:bookmarkStart w:id="803" w:name="_Toc5269494"/>
      <w:r w:rsidRPr="00256982">
        <w:lastRenderedPageBreak/>
        <w:t>Table 5.5.10</w:t>
      </w:r>
      <w:r w:rsidRPr="00256982">
        <w:tab/>
        <w:t>Comparison of New Zealand’s country-specific factors for volatilisation (Frac</w:t>
      </w:r>
      <w:r w:rsidRPr="00256982">
        <w:rPr>
          <w:vertAlign w:val="subscript"/>
        </w:rPr>
        <w:t>GASF</w:t>
      </w:r>
      <w:r w:rsidRPr="00256982">
        <w:t>, Frac</w:t>
      </w:r>
      <w:r w:rsidRPr="00256982">
        <w:rPr>
          <w:vertAlign w:val="subscript"/>
        </w:rPr>
        <w:t>GASM</w:t>
      </w:r>
      <w:r w:rsidRPr="00256982">
        <w:t>)</w:t>
      </w:r>
      <w:r w:rsidRPr="00256982">
        <w:br/>
        <w:t>and leaching and runoff (Frac</w:t>
      </w:r>
      <w:r w:rsidRPr="00256982">
        <w:rPr>
          <w:vertAlign w:val="subscript"/>
        </w:rPr>
        <w:t>LEACH-(H)</w:t>
      </w:r>
      <w:r w:rsidRPr="00256982">
        <w:t>) with the IPCC default value and the Australia</w:t>
      </w:r>
      <w:bookmarkEnd w:id="796"/>
      <w:r w:rsidRPr="00256982">
        <w:t>n</w:t>
      </w:r>
      <w:r w:rsidRPr="00256982">
        <w:br/>
        <w:t>implied emission factor (IEF</w:t>
      </w:r>
      <w:bookmarkEnd w:id="797"/>
      <w:bookmarkEnd w:id="798"/>
      <w:bookmarkEnd w:id="799"/>
      <w:bookmarkEnd w:id="800"/>
      <w:r w:rsidRPr="00256982">
        <w:t>)</w:t>
      </w:r>
      <w:bookmarkEnd w:id="801"/>
      <w:bookmarkEnd w:id="802"/>
      <w:bookmarkEnd w:id="803"/>
    </w:p>
    <w:tbl>
      <w:tblPr>
        <w:tblW w:w="8505" w:type="dxa"/>
        <w:tblInd w:w="108" w:type="dxa"/>
        <w:tblBorders>
          <w:top w:val="single" w:sz="4" w:space="0" w:color="365F91"/>
          <w:bottom w:val="single" w:sz="4" w:space="0" w:color="365F91"/>
          <w:insideH w:val="single" w:sz="4" w:space="0" w:color="365F91"/>
        </w:tblBorders>
        <w:tblLook w:val="01E0" w:firstRow="1" w:lastRow="1" w:firstColumn="1" w:lastColumn="1" w:noHBand="0" w:noVBand="0"/>
      </w:tblPr>
      <w:tblGrid>
        <w:gridCol w:w="2977"/>
        <w:gridCol w:w="1985"/>
        <w:gridCol w:w="1842"/>
        <w:gridCol w:w="1701"/>
      </w:tblGrid>
      <w:tr w:rsidR="0068777C" w:rsidRPr="00256982" w14:paraId="662A3A88" w14:textId="77777777" w:rsidTr="0068777C">
        <w:tc>
          <w:tcPr>
            <w:tcW w:w="2977" w:type="dxa"/>
            <w:shd w:val="clear" w:color="auto" w:fill="365F91"/>
            <w:vAlign w:val="bottom"/>
          </w:tcPr>
          <w:p w14:paraId="61C4DA8A" w14:textId="77777777" w:rsidR="0068777C" w:rsidRPr="00256982" w:rsidRDefault="0068777C" w:rsidP="0068777C">
            <w:pPr>
              <w:pStyle w:val="TableTextBold"/>
              <w:keepNext/>
              <w:rPr>
                <w:rFonts w:cs="Arial"/>
                <w:noProof w:val="0"/>
                <w:color w:val="FFFFFF"/>
              </w:rPr>
            </w:pPr>
          </w:p>
        </w:tc>
        <w:tc>
          <w:tcPr>
            <w:tcW w:w="1985" w:type="dxa"/>
            <w:shd w:val="clear" w:color="auto" w:fill="365F91"/>
            <w:vAlign w:val="bottom"/>
          </w:tcPr>
          <w:p w14:paraId="5800BBD8" w14:textId="77777777" w:rsidR="0068777C" w:rsidRPr="00256982" w:rsidRDefault="0068777C" w:rsidP="0068777C">
            <w:pPr>
              <w:pStyle w:val="TableTextBold"/>
              <w:keepNext/>
              <w:rPr>
                <w:rFonts w:cs="Arial"/>
                <w:noProof w:val="0"/>
                <w:color w:val="FFFFFF"/>
              </w:rPr>
            </w:pPr>
            <w:r w:rsidRPr="00256982">
              <w:rPr>
                <w:rFonts w:cs="Arial"/>
                <w:noProof w:val="0"/>
                <w:color w:val="FFFFFF"/>
              </w:rPr>
              <w:t>Frac</w:t>
            </w:r>
            <w:r w:rsidRPr="00256982">
              <w:rPr>
                <w:rFonts w:cs="Arial"/>
                <w:noProof w:val="0"/>
                <w:color w:val="FFFFFF"/>
                <w:vertAlign w:val="subscript"/>
              </w:rPr>
              <w:t xml:space="preserve">GASF </w:t>
            </w:r>
            <w:r w:rsidRPr="00256982">
              <w:rPr>
                <w:rFonts w:cs="Arial"/>
                <w:noProof w:val="0"/>
                <w:color w:val="FFFFFF"/>
                <w:vertAlign w:val="subscript"/>
              </w:rPr>
              <w:br/>
            </w:r>
            <w:r w:rsidRPr="00256982">
              <w:rPr>
                <w:rFonts w:cs="Arial"/>
                <w:noProof w:val="0"/>
                <w:color w:val="FFFFFF"/>
              </w:rPr>
              <w:t>(kg NH</w:t>
            </w:r>
            <w:r w:rsidRPr="00256982">
              <w:rPr>
                <w:rFonts w:cs="Arial"/>
                <w:noProof w:val="0"/>
                <w:color w:val="FFFFFF"/>
                <w:vertAlign w:val="subscript"/>
              </w:rPr>
              <w:t>3</w:t>
            </w:r>
            <w:r w:rsidRPr="00256982">
              <w:rPr>
                <w:rFonts w:cs="Arial"/>
                <w:noProof w:val="0"/>
                <w:color w:val="FFFFFF"/>
              </w:rPr>
              <w:t>-N and NO</w:t>
            </w:r>
            <w:r w:rsidRPr="00256982">
              <w:rPr>
                <w:rFonts w:cs="Arial"/>
                <w:noProof w:val="0"/>
                <w:color w:val="FFFFFF"/>
                <w:vertAlign w:val="subscript"/>
              </w:rPr>
              <w:t>x</w:t>
            </w:r>
            <w:r w:rsidRPr="00256982">
              <w:rPr>
                <w:rFonts w:cs="Arial"/>
                <w:noProof w:val="0"/>
                <w:color w:val="FFFFFF"/>
              </w:rPr>
              <w:t>-N/kg of N input)</w:t>
            </w:r>
          </w:p>
        </w:tc>
        <w:tc>
          <w:tcPr>
            <w:tcW w:w="1842" w:type="dxa"/>
            <w:shd w:val="clear" w:color="auto" w:fill="365F91"/>
            <w:vAlign w:val="bottom"/>
          </w:tcPr>
          <w:p w14:paraId="2F3333E6" w14:textId="77777777" w:rsidR="0068777C" w:rsidRPr="00256982" w:rsidRDefault="0068777C" w:rsidP="0068777C">
            <w:pPr>
              <w:pStyle w:val="TableTextBold"/>
              <w:keepNext/>
              <w:rPr>
                <w:rFonts w:cs="Arial"/>
                <w:noProof w:val="0"/>
                <w:color w:val="FFFFFF"/>
              </w:rPr>
            </w:pPr>
            <w:r w:rsidRPr="00256982">
              <w:rPr>
                <w:rFonts w:cs="Arial"/>
                <w:noProof w:val="0"/>
                <w:color w:val="FFFFFF"/>
              </w:rPr>
              <w:t>Frac</w:t>
            </w:r>
            <w:r w:rsidRPr="00256982">
              <w:rPr>
                <w:rFonts w:cs="Arial"/>
                <w:noProof w:val="0"/>
                <w:color w:val="FFFFFF"/>
                <w:vertAlign w:val="subscript"/>
              </w:rPr>
              <w:t>GASM</w:t>
            </w:r>
            <w:r w:rsidRPr="00256982">
              <w:rPr>
                <w:rFonts w:cs="Arial"/>
                <w:noProof w:val="0"/>
                <w:color w:val="FFFFFF"/>
                <w:vertAlign w:val="subscript"/>
              </w:rPr>
              <w:br/>
            </w:r>
            <w:r w:rsidRPr="00256982">
              <w:rPr>
                <w:rFonts w:cs="Arial"/>
                <w:noProof w:val="0"/>
                <w:color w:val="FFFFFF"/>
              </w:rPr>
              <w:t>(kg NH</w:t>
            </w:r>
            <w:r w:rsidRPr="00256982">
              <w:rPr>
                <w:rFonts w:cs="Arial"/>
                <w:noProof w:val="0"/>
                <w:color w:val="FFFFFF"/>
                <w:vertAlign w:val="subscript"/>
              </w:rPr>
              <w:t>3</w:t>
            </w:r>
            <w:r w:rsidRPr="00256982">
              <w:rPr>
                <w:rFonts w:cs="Arial"/>
                <w:noProof w:val="0"/>
                <w:color w:val="FFFFFF"/>
              </w:rPr>
              <w:t>-N and NO</w:t>
            </w:r>
            <w:r w:rsidRPr="00256982">
              <w:rPr>
                <w:rFonts w:cs="Arial"/>
                <w:noProof w:val="0"/>
                <w:color w:val="FFFFFF"/>
                <w:vertAlign w:val="subscript"/>
              </w:rPr>
              <w:t>x</w:t>
            </w:r>
            <w:r w:rsidRPr="00256982">
              <w:rPr>
                <w:rFonts w:cs="Arial"/>
                <w:noProof w:val="0"/>
                <w:color w:val="FFFFFF"/>
              </w:rPr>
              <w:t>-N/kg of N excreted)</w:t>
            </w:r>
          </w:p>
        </w:tc>
        <w:tc>
          <w:tcPr>
            <w:tcW w:w="1701" w:type="dxa"/>
            <w:shd w:val="clear" w:color="auto" w:fill="365F91"/>
            <w:vAlign w:val="bottom"/>
          </w:tcPr>
          <w:p w14:paraId="5A5ABDA5" w14:textId="77777777" w:rsidR="0068777C" w:rsidRPr="00256982" w:rsidRDefault="0068777C" w:rsidP="0068777C">
            <w:pPr>
              <w:pStyle w:val="TableTextBold"/>
              <w:keepNext/>
              <w:rPr>
                <w:rFonts w:cs="Arial"/>
                <w:noProof w:val="0"/>
                <w:color w:val="FFFFFF"/>
              </w:rPr>
            </w:pPr>
            <w:r w:rsidRPr="00256982">
              <w:rPr>
                <w:rFonts w:cs="Arial"/>
                <w:noProof w:val="0"/>
                <w:color w:val="FFFFFF"/>
              </w:rPr>
              <w:t>Frac</w:t>
            </w:r>
            <w:r w:rsidRPr="00256982">
              <w:rPr>
                <w:rFonts w:cs="Arial"/>
                <w:noProof w:val="0"/>
                <w:color w:val="FFFFFF"/>
                <w:vertAlign w:val="subscript"/>
              </w:rPr>
              <w:t>LEACH-(H)</w:t>
            </w:r>
            <w:r w:rsidRPr="00256982">
              <w:rPr>
                <w:rFonts w:cs="Arial"/>
                <w:noProof w:val="0"/>
                <w:color w:val="FFFFFF"/>
                <w:vertAlign w:val="subscript"/>
              </w:rPr>
              <w:br/>
            </w:r>
            <w:r w:rsidRPr="00256982">
              <w:rPr>
                <w:rFonts w:cs="Arial"/>
                <w:noProof w:val="0"/>
                <w:color w:val="FFFFFF"/>
              </w:rPr>
              <w:t>(kg N/kg fertiliser or manure N)</w:t>
            </w:r>
          </w:p>
        </w:tc>
      </w:tr>
      <w:tr w:rsidR="0068777C" w:rsidRPr="00256982" w14:paraId="0153ACDD" w14:textId="77777777" w:rsidTr="0068777C">
        <w:tc>
          <w:tcPr>
            <w:tcW w:w="2977" w:type="dxa"/>
            <w:shd w:val="clear" w:color="auto" w:fill="auto"/>
          </w:tcPr>
          <w:p w14:paraId="7D145A34" w14:textId="77777777" w:rsidR="0068777C" w:rsidRPr="00256982" w:rsidRDefault="0068777C" w:rsidP="0068777C">
            <w:pPr>
              <w:pStyle w:val="TableText"/>
            </w:pPr>
            <w:r w:rsidRPr="00256982">
              <w:t>IPCC (2006) default value</w:t>
            </w:r>
          </w:p>
        </w:tc>
        <w:tc>
          <w:tcPr>
            <w:tcW w:w="1985" w:type="dxa"/>
            <w:shd w:val="clear" w:color="auto" w:fill="auto"/>
          </w:tcPr>
          <w:p w14:paraId="10D58530" w14:textId="77777777" w:rsidR="0068777C" w:rsidRPr="00256982" w:rsidRDefault="0068777C" w:rsidP="0068777C">
            <w:pPr>
              <w:pStyle w:val="TableText"/>
            </w:pPr>
            <w:r w:rsidRPr="00256982">
              <w:t>0.1</w:t>
            </w:r>
          </w:p>
        </w:tc>
        <w:tc>
          <w:tcPr>
            <w:tcW w:w="1842" w:type="dxa"/>
            <w:shd w:val="clear" w:color="auto" w:fill="auto"/>
          </w:tcPr>
          <w:p w14:paraId="6A63457F" w14:textId="77777777" w:rsidR="0068777C" w:rsidRPr="00256982" w:rsidRDefault="0068777C" w:rsidP="0068777C">
            <w:pPr>
              <w:pStyle w:val="TableText"/>
            </w:pPr>
            <w:r w:rsidRPr="00256982">
              <w:t>0.2</w:t>
            </w:r>
          </w:p>
        </w:tc>
        <w:tc>
          <w:tcPr>
            <w:tcW w:w="1701" w:type="dxa"/>
            <w:shd w:val="clear" w:color="auto" w:fill="auto"/>
          </w:tcPr>
          <w:p w14:paraId="7D6E08C7" w14:textId="77777777" w:rsidR="0068777C" w:rsidRPr="00256982" w:rsidRDefault="0068777C" w:rsidP="0068777C">
            <w:pPr>
              <w:pStyle w:val="TableText"/>
            </w:pPr>
            <w:r w:rsidRPr="00256982">
              <w:t>0.3</w:t>
            </w:r>
          </w:p>
        </w:tc>
      </w:tr>
      <w:tr w:rsidR="0068777C" w:rsidRPr="00256982" w14:paraId="3FDB9CD5" w14:textId="77777777" w:rsidTr="0068777C">
        <w:tc>
          <w:tcPr>
            <w:tcW w:w="2977" w:type="dxa"/>
          </w:tcPr>
          <w:p w14:paraId="021B436D" w14:textId="77777777" w:rsidR="0068777C" w:rsidRPr="00256982" w:rsidRDefault="0068777C" w:rsidP="0068777C">
            <w:pPr>
              <w:pStyle w:val="TableText"/>
            </w:pPr>
            <w:r w:rsidRPr="00256982">
              <w:t>Australian-specific 2016 value</w:t>
            </w:r>
          </w:p>
        </w:tc>
        <w:tc>
          <w:tcPr>
            <w:tcW w:w="1985" w:type="dxa"/>
          </w:tcPr>
          <w:p w14:paraId="6AF6555C" w14:textId="77777777" w:rsidR="0068777C" w:rsidRPr="00256982" w:rsidRDefault="0068777C" w:rsidP="0068777C">
            <w:pPr>
              <w:pStyle w:val="TableText"/>
            </w:pPr>
            <w:r w:rsidRPr="00256982">
              <w:t>0.1</w:t>
            </w:r>
          </w:p>
        </w:tc>
        <w:tc>
          <w:tcPr>
            <w:tcW w:w="1842" w:type="dxa"/>
          </w:tcPr>
          <w:p w14:paraId="07358892" w14:textId="77777777" w:rsidR="0068777C" w:rsidRPr="00256982" w:rsidRDefault="0068777C" w:rsidP="0068777C">
            <w:pPr>
              <w:pStyle w:val="TableText"/>
            </w:pPr>
            <w:r w:rsidRPr="00256982">
              <w:t>0.2</w:t>
            </w:r>
          </w:p>
        </w:tc>
        <w:tc>
          <w:tcPr>
            <w:tcW w:w="1701" w:type="dxa"/>
          </w:tcPr>
          <w:p w14:paraId="2BC5019D" w14:textId="77777777" w:rsidR="0068777C" w:rsidRPr="00256982" w:rsidRDefault="0068777C" w:rsidP="0068777C">
            <w:pPr>
              <w:pStyle w:val="TableText"/>
            </w:pPr>
            <w:r w:rsidRPr="00256982">
              <w:t>0.3</w:t>
            </w:r>
          </w:p>
        </w:tc>
      </w:tr>
      <w:tr w:rsidR="0068777C" w:rsidRPr="00256982" w14:paraId="1151FBA4" w14:textId="77777777" w:rsidTr="0068777C">
        <w:tc>
          <w:tcPr>
            <w:tcW w:w="2977" w:type="dxa"/>
          </w:tcPr>
          <w:p w14:paraId="671C6514" w14:textId="77777777" w:rsidR="0068777C" w:rsidRPr="00256982" w:rsidRDefault="0068777C" w:rsidP="0068777C">
            <w:pPr>
              <w:pStyle w:val="TableText"/>
            </w:pPr>
            <w:r w:rsidRPr="00256982">
              <w:t>New Zealand-specific IEF 2017 value</w:t>
            </w:r>
          </w:p>
        </w:tc>
        <w:tc>
          <w:tcPr>
            <w:tcW w:w="1985" w:type="dxa"/>
          </w:tcPr>
          <w:p w14:paraId="475E97F7" w14:textId="77777777" w:rsidR="0068777C" w:rsidRPr="00256982" w:rsidRDefault="0068777C" w:rsidP="0068777C">
            <w:pPr>
              <w:pStyle w:val="TableText"/>
            </w:pPr>
            <w:r w:rsidRPr="00256982">
              <w:t>0.1</w:t>
            </w:r>
          </w:p>
        </w:tc>
        <w:tc>
          <w:tcPr>
            <w:tcW w:w="1842" w:type="dxa"/>
          </w:tcPr>
          <w:p w14:paraId="12F8C78F" w14:textId="77777777" w:rsidR="0068777C" w:rsidRPr="00256982" w:rsidRDefault="0068777C" w:rsidP="0068777C">
            <w:pPr>
              <w:pStyle w:val="TableText"/>
            </w:pPr>
            <w:r w:rsidRPr="00256982">
              <w:t>0.1</w:t>
            </w:r>
          </w:p>
        </w:tc>
        <w:tc>
          <w:tcPr>
            <w:tcW w:w="1701" w:type="dxa"/>
          </w:tcPr>
          <w:p w14:paraId="6D0C70D8" w14:textId="77777777" w:rsidR="0068777C" w:rsidRPr="00256982" w:rsidRDefault="0068777C" w:rsidP="0068777C">
            <w:pPr>
              <w:pStyle w:val="TableText"/>
            </w:pPr>
            <w:r w:rsidRPr="00256982">
              <w:t>0.07</w:t>
            </w:r>
          </w:p>
        </w:tc>
      </w:tr>
    </w:tbl>
    <w:p w14:paraId="112F8F15" w14:textId="77777777" w:rsidR="0068777C" w:rsidRPr="00256982" w:rsidRDefault="0068777C" w:rsidP="0068777C">
      <w:pPr>
        <w:pStyle w:val="Source"/>
      </w:pPr>
      <w:r w:rsidRPr="00256982">
        <w:rPr>
          <w:b/>
        </w:rPr>
        <w:t>Source:</w:t>
      </w:r>
      <w:r w:rsidRPr="00256982">
        <w:t xml:space="preserve"> </w:t>
      </w:r>
      <w:r w:rsidRPr="00256982">
        <w:tab/>
        <w:t>UNFCCC (https://unfccc.int/documents/65653)</w:t>
      </w:r>
    </w:p>
    <w:p w14:paraId="6890DD90" w14:textId="77777777" w:rsidR="0068777C" w:rsidRPr="00256982" w:rsidRDefault="0068777C" w:rsidP="0068777C">
      <w:pPr>
        <w:pStyle w:val="Heading3"/>
      </w:pPr>
      <w:bookmarkStart w:id="804" w:name="_Toc139253937"/>
      <w:r w:rsidRPr="00256982">
        <w:t>5.5.5</w:t>
      </w:r>
      <w:r w:rsidRPr="00256982">
        <w:tab/>
        <w:t>Source-specific recalculations</w:t>
      </w:r>
      <w:bookmarkEnd w:id="804"/>
    </w:p>
    <w:p w14:paraId="1890BB5A" w14:textId="77777777" w:rsidR="0068777C" w:rsidRPr="00256982" w:rsidRDefault="0068777C" w:rsidP="0068777C">
      <w:pPr>
        <w:pStyle w:val="BodyText"/>
      </w:pPr>
      <w:bookmarkStart w:id="805" w:name="_Toc139253938"/>
      <w:r w:rsidRPr="00256982">
        <w:t xml:space="preserve">Emissions estimates in the </w:t>
      </w:r>
      <w:r w:rsidRPr="00256982">
        <w:rPr>
          <w:i/>
        </w:rPr>
        <w:t>Agricultural soils</w:t>
      </w:r>
      <w:r w:rsidRPr="00256982">
        <w:t xml:space="preserve"> category have been affected by the following methodological improvements and corrections:</w:t>
      </w:r>
    </w:p>
    <w:p w14:paraId="03701D9A" w14:textId="77777777" w:rsidR="0068777C" w:rsidRPr="00256982" w:rsidRDefault="0068777C" w:rsidP="0036046B">
      <w:pPr>
        <w:pStyle w:val="Bullet"/>
        <w:numPr>
          <w:ilvl w:val="0"/>
          <w:numId w:val="8"/>
        </w:numPr>
      </w:pPr>
      <w:r w:rsidRPr="00256982">
        <w:t>an improvement of the methodology and equations used to estimate the proportion of nitrogen excretion partitioned between dung and urine (see the section below for more information)</w:t>
      </w:r>
    </w:p>
    <w:p w14:paraId="7F2C4F5E" w14:textId="77777777" w:rsidR="0068777C" w:rsidRPr="00256982" w:rsidRDefault="0068777C" w:rsidP="0036046B">
      <w:pPr>
        <w:pStyle w:val="Bullet"/>
        <w:numPr>
          <w:ilvl w:val="0"/>
          <w:numId w:val="8"/>
        </w:numPr>
      </w:pPr>
      <w:r w:rsidRPr="00256982">
        <w:t xml:space="preserve">use of revised activity data for the proportion of dairy excreta entering anaerobic lagoons (see sections 5.3.5 and 10.1.3 for more information) </w:t>
      </w:r>
    </w:p>
    <w:p w14:paraId="61EDD2B7" w14:textId="77777777" w:rsidR="0068777C" w:rsidRPr="00256982" w:rsidRDefault="0068777C" w:rsidP="0036046B">
      <w:pPr>
        <w:pStyle w:val="Bullet"/>
        <w:numPr>
          <w:ilvl w:val="0"/>
          <w:numId w:val="8"/>
        </w:numPr>
        <w:rPr>
          <w:spacing w:val="-2"/>
        </w:rPr>
      </w:pPr>
      <w:r w:rsidRPr="00256982">
        <w:rPr>
          <w:spacing w:val="-2"/>
        </w:rPr>
        <w:t xml:space="preserve">a correction to the equations used to estimate ME requirements for </w:t>
      </w:r>
      <w:r w:rsidRPr="00256982">
        <w:t xml:space="preserve">dairy cattle, non-dairy cattle, sheep and deer </w:t>
      </w:r>
      <w:r w:rsidRPr="00256982">
        <w:rPr>
          <w:spacing w:val="-2"/>
        </w:rPr>
        <w:t>(see section 10.1.3)</w:t>
      </w:r>
    </w:p>
    <w:p w14:paraId="7BB9A333" w14:textId="77777777" w:rsidR="0068777C" w:rsidRPr="00256982" w:rsidRDefault="0068777C" w:rsidP="0036046B">
      <w:pPr>
        <w:pStyle w:val="Bullet"/>
        <w:numPr>
          <w:ilvl w:val="0"/>
          <w:numId w:val="8"/>
        </w:numPr>
        <w:rPr>
          <w:spacing w:val="-2"/>
        </w:rPr>
      </w:pPr>
      <w:r w:rsidRPr="00256982">
        <w:t>minor corrections to the equations</w:t>
      </w:r>
      <w:r w:rsidRPr="00256982">
        <w:rPr>
          <w:spacing w:val="-2"/>
        </w:rPr>
        <w:t xml:space="preserve"> that estimate monthly population changes for sheep and deer (see section 10.1.3).</w:t>
      </w:r>
    </w:p>
    <w:p w14:paraId="1BB6CAE0" w14:textId="77777777" w:rsidR="0068777C" w:rsidRPr="00256982" w:rsidRDefault="0068777C" w:rsidP="0068777C">
      <w:pPr>
        <w:pStyle w:val="BodyText"/>
      </w:pPr>
      <w:r w:rsidRPr="00256982">
        <w:t xml:space="preserve">Emissions estimates have also been updated using the latest available activity data from the sources described in section 5.1.4. In some cases, provisional data entered for 2017 have been replaced with final data. </w:t>
      </w:r>
    </w:p>
    <w:p w14:paraId="4E91A3DA" w14:textId="77777777" w:rsidR="0068777C" w:rsidRPr="00256982" w:rsidRDefault="0068777C" w:rsidP="0068777C">
      <w:pPr>
        <w:pStyle w:val="Heading5"/>
      </w:pPr>
      <w:r w:rsidRPr="00256982">
        <w:t>New methodology to estimate the proportion of nitrogen excretion partitioned between dung and urine</w:t>
      </w:r>
    </w:p>
    <w:p w14:paraId="4447D00A" w14:textId="77777777" w:rsidR="0068777C" w:rsidRPr="00256982" w:rsidRDefault="0068777C" w:rsidP="0068777C">
      <w:pPr>
        <w:pStyle w:val="BodyText"/>
      </w:pPr>
      <w:r w:rsidRPr="00256982">
        <w:t>Because the inventory uses different EF</w:t>
      </w:r>
      <w:r w:rsidRPr="00256982">
        <w:rPr>
          <w:vertAlign w:val="subscript"/>
        </w:rPr>
        <w:t>3</w:t>
      </w:r>
      <w:r w:rsidRPr="00256982">
        <w:t xml:space="preserve"> values for urine and dung, a method is needed to split total calculated nitrogen excretion between these different sources. </w:t>
      </w:r>
    </w:p>
    <w:p w14:paraId="1204F46A" w14:textId="77777777" w:rsidR="0068777C" w:rsidRPr="00256982" w:rsidRDefault="0068777C" w:rsidP="0068777C">
      <w:pPr>
        <w:pStyle w:val="BodyText"/>
      </w:pPr>
      <w:r w:rsidRPr="00256982">
        <w:t>In previous inventory submissions, the method developed by Luo and Kelliher (2010) was used to estimate the proportion of total excreta nitrogen in urine and dung. For the 2019 inventory submission, the methodology for splitting nitrogen between dung and urine has been changed to that recommended by Pacheco et al. (unpublished).</w:t>
      </w:r>
    </w:p>
    <w:p w14:paraId="632145BF" w14:textId="77777777" w:rsidR="0068777C" w:rsidRPr="00256982" w:rsidRDefault="0068777C" w:rsidP="0068777C">
      <w:pPr>
        <w:pStyle w:val="BodyText"/>
      </w:pPr>
      <w:r w:rsidRPr="00256982">
        <w:t>The new equations predict absolute faecal nitrogen (total kilograms of nitrogen in dung per day) because it is less prone to measurement errors than urinary nitrogen. The new equations were found to have less bias and more random error in their predictions than published equations. Two equations were recommended (one for cattle and deer, and another for sheep) and implemented in the inventory.</w:t>
      </w:r>
    </w:p>
    <w:p w14:paraId="0E7D95EB" w14:textId="77777777" w:rsidR="0068777C" w:rsidRPr="00256982" w:rsidRDefault="0068777C" w:rsidP="0068777C">
      <w:pPr>
        <w:pStyle w:val="BodyText"/>
      </w:pPr>
      <w:r w:rsidRPr="00256982">
        <w:t xml:space="preserve">The implementation of this change in methodology caused estimated emissions from </w:t>
      </w:r>
      <w:r w:rsidRPr="00256982">
        <w:rPr>
          <w:i/>
        </w:rPr>
        <w:t>Agricultural soils</w:t>
      </w:r>
      <w:r w:rsidRPr="00256982">
        <w:t xml:space="preserve"> to increase by 1.1 per cent in 1990 and 0.4 per cent in 2017 (see table 5.5.11).</w:t>
      </w:r>
    </w:p>
    <w:p w14:paraId="02ED1092" w14:textId="77777777" w:rsidR="0068777C" w:rsidRPr="00256982" w:rsidRDefault="0068777C" w:rsidP="0068777C">
      <w:pPr>
        <w:pStyle w:val="Table"/>
      </w:pPr>
      <w:bookmarkStart w:id="806" w:name="_Toc5269495"/>
      <w:r w:rsidRPr="00256982">
        <w:lastRenderedPageBreak/>
        <w:t>Table 5.5.11</w:t>
      </w:r>
      <w:r w:rsidRPr="00256982">
        <w:tab/>
        <w:t>Comparison of current and previous emissions estimates before and after change in nitrogen excretion partitioning methodology, 1990 to 2017</w:t>
      </w:r>
      <w:bookmarkEnd w:id="806"/>
    </w:p>
    <w:tbl>
      <w:tblPr>
        <w:tblW w:w="8505" w:type="dxa"/>
        <w:tblInd w:w="108" w:type="dxa"/>
        <w:tblBorders>
          <w:top w:val="single" w:sz="4" w:space="0" w:color="365F91"/>
          <w:bottom w:val="single" w:sz="4" w:space="0" w:color="365F91"/>
          <w:insideH w:val="single" w:sz="4" w:space="0" w:color="365F91"/>
        </w:tblBorders>
        <w:tblLayout w:type="fixed"/>
        <w:tblLook w:val="0000" w:firstRow="0" w:lastRow="0" w:firstColumn="0" w:lastColumn="0" w:noHBand="0" w:noVBand="0"/>
      </w:tblPr>
      <w:tblGrid>
        <w:gridCol w:w="1418"/>
        <w:gridCol w:w="2268"/>
        <w:gridCol w:w="850"/>
        <w:gridCol w:w="851"/>
        <w:gridCol w:w="1559"/>
        <w:gridCol w:w="1559"/>
      </w:tblGrid>
      <w:tr w:rsidR="0068777C" w:rsidRPr="00256982" w14:paraId="5747F1A5" w14:textId="77777777" w:rsidTr="0068777C">
        <w:trPr>
          <w:trHeight w:val="608"/>
          <w:tblHeader/>
        </w:trPr>
        <w:tc>
          <w:tcPr>
            <w:tcW w:w="1418" w:type="dxa"/>
            <w:shd w:val="clear" w:color="auto" w:fill="365F91"/>
            <w:vAlign w:val="bottom"/>
          </w:tcPr>
          <w:p w14:paraId="5BA16D5B" w14:textId="77777777" w:rsidR="0068777C" w:rsidRPr="00256982" w:rsidRDefault="0068777C" w:rsidP="0068777C">
            <w:pPr>
              <w:pStyle w:val="TableTextBold"/>
              <w:keepNext/>
              <w:rPr>
                <w:rFonts w:cs="Arial"/>
                <w:noProof w:val="0"/>
                <w:color w:val="FFFFFF"/>
                <w:szCs w:val="16"/>
              </w:rPr>
            </w:pPr>
            <w:r w:rsidRPr="00256982">
              <w:rPr>
                <w:rFonts w:cs="Arial"/>
                <w:noProof w:val="0"/>
                <w:color w:val="FFFFFF"/>
                <w:szCs w:val="16"/>
              </w:rPr>
              <w:t xml:space="preserve">Emissions </w:t>
            </w:r>
            <w:r w:rsidRPr="00256982">
              <w:rPr>
                <w:rFonts w:cs="Arial"/>
                <w:noProof w:val="0"/>
                <w:color w:val="FFFFFF"/>
                <w:szCs w:val="16"/>
              </w:rPr>
              <w:br/>
            </w:r>
            <w:r w:rsidRPr="00256982">
              <w:rPr>
                <w:noProof w:val="0"/>
                <w:color w:val="FFFFFF"/>
              </w:rPr>
              <w:t>(kt CO</w:t>
            </w:r>
            <w:r w:rsidRPr="00256982">
              <w:rPr>
                <w:noProof w:val="0"/>
                <w:color w:val="FFFFFF"/>
                <w:vertAlign w:val="subscript"/>
              </w:rPr>
              <w:t>2</w:t>
            </w:r>
            <w:r w:rsidRPr="00256982">
              <w:rPr>
                <w:noProof w:val="0"/>
                <w:color w:val="FFFFFF"/>
              </w:rPr>
              <w:t>-e)</w:t>
            </w:r>
          </w:p>
        </w:tc>
        <w:tc>
          <w:tcPr>
            <w:tcW w:w="2268" w:type="dxa"/>
            <w:shd w:val="clear" w:color="auto" w:fill="365F91"/>
            <w:vAlign w:val="bottom"/>
          </w:tcPr>
          <w:p w14:paraId="5AED1E5E" w14:textId="77777777" w:rsidR="0068777C" w:rsidRPr="00256982" w:rsidRDefault="0068777C" w:rsidP="0068777C">
            <w:pPr>
              <w:pStyle w:val="TableTextBold"/>
              <w:keepNext/>
              <w:rPr>
                <w:rFonts w:cs="Arial"/>
                <w:noProof w:val="0"/>
                <w:color w:val="FFFFFF"/>
                <w:szCs w:val="16"/>
              </w:rPr>
            </w:pPr>
          </w:p>
        </w:tc>
        <w:tc>
          <w:tcPr>
            <w:tcW w:w="850" w:type="dxa"/>
            <w:shd w:val="clear" w:color="auto" w:fill="365F91"/>
            <w:vAlign w:val="bottom"/>
          </w:tcPr>
          <w:p w14:paraId="55B2D29D" w14:textId="77777777" w:rsidR="0068777C" w:rsidRPr="00256982" w:rsidRDefault="0068777C" w:rsidP="0068777C">
            <w:pPr>
              <w:pStyle w:val="TableTextBold"/>
              <w:keepNext/>
              <w:jc w:val="center"/>
              <w:rPr>
                <w:rFonts w:cs="Arial"/>
                <w:noProof w:val="0"/>
                <w:color w:val="FFFFFF"/>
              </w:rPr>
            </w:pPr>
            <w:r w:rsidRPr="00256982">
              <w:rPr>
                <w:rFonts w:cs="Arial"/>
                <w:noProof w:val="0"/>
                <w:color w:val="FFFFFF"/>
              </w:rPr>
              <w:t>1990</w:t>
            </w:r>
          </w:p>
        </w:tc>
        <w:tc>
          <w:tcPr>
            <w:tcW w:w="851" w:type="dxa"/>
            <w:shd w:val="clear" w:color="auto" w:fill="365F91"/>
            <w:vAlign w:val="bottom"/>
          </w:tcPr>
          <w:p w14:paraId="4846C267" w14:textId="77777777" w:rsidR="0068777C" w:rsidRPr="00256982" w:rsidRDefault="0068777C" w:rsidP="0068777C">
            <w:pPr>
              <w:pStyle w:val="TableTextBold"/>
              <w:jc w:val="center"/>
              <w:rPr>
                <w:rFonts w:cs="Arial"/>
                <w:noProof w:val="0"/>
                <w:color w:val="FFFFFF"/>
              </w:rPr>
            </w:pPr>
            <w:r w:rsidRPr="00256982">
              <w:rPr>
                <w:rFonts w:cs="Arial"/>
                <w:noProof w:val="0"/>
                <w:color w:val="FFFFFF"/>
              </w:rPr>
              <w:t>2017</w:t>
            </w:r>
          </w:p>
        </w:tc>
        <w:tc>
          <w:tcPr>
            <w:tcW w:w="1559" w:type="dxa"/>
            <w:shd w:val="clear" w:color="auto" w:fill="365F91"/>
            <w:vAlign w:val="bottom"/>
          </w:tcPr>
          <w:p w14:paraId="5D9CBC70" w14:textId="77777777" w:rsidR="0068777C" w:rsidRPr="00256982" w:rsidRDefault="0068777C" w:rsidP="0068777C">
            <w:pPr>
              <w:pStyle w:val="TableTextBold"/>
              <w:jc w:val="center"/>
              <w:rPr>
                <w:rFonts w:cs="Arial"/>
                <w:noProof w:val="0"/>
                <w:color w:val="FFFFFF"/>
                <w:szCs w:val="16"/>
              </w:rPr>
            </w:pPr>
            <w:r w:rsidRPr="00256982">
              <w:rPr>
                <w:rFonts w:cs="Arial"/>
                <w:noProof w:val="0"/>
                <w:color w:val="FFFFFF"/>
                <w:szCs w:val="16"/>
              </w:rPr>
              <w:t xml:space="preserve">Change in emission outputs between 1990 and 2017 </w:t>
            </w:r>
            <w:r w:rsidRPr="00256982">
              <w:rPr>
                <w:rFonts w:cs="Arial"/>
                <w:noProof w:val="0"/>
                <w:color w:val="FFFFFF"/>
                <w:szCs w:val="16"/>
              </w:rPr>
              <w:br/>
              <w:t>(kt CO</w:t>
            </w:r>
            <w:r w:rsidRPr="00256982">
              <w:rPr>
                <w:rFonts w:cs="Arial"/>
                <w:noProof w:val="0"/>
                <w:color w:val="FFFFFF"/>
                <w:szCs w:val="16"/>
                <w:vertAlign w:val="subscript"/>
              </w:rPr>
              <w:t>2</w:t>
            </w:r>
            <w:r w:rsidRPr="00256982">
              <w:rPr>
                <w:rFonts w:cs="Arial"/>
                <w:noProof w:val="0"/>
                <w:color w:val="FFFFFF"/>
                <w:szCs w:val="16"/>
              </w:rPr>
              <w:t xml:space="preserve">-e) </w:t>
            </w:r>
          </w:p>
        </w:tc>
        <w:tc>
          <w:tcPr>
            <w:tcW w:w="1559" w:type="dxa"/>
            <w:shd w:val="clear" w:color="auto" w:fill="365F91"/>
            <w:vAlign w:val="bottom"/>
          </w:tcPr>
          <w:p w14:paraId="60F5F86A" w14:textId="77777777" w:rsidR="0068777C" w:rsidRPr="00256982" w:rsidRDefault="0068777C" w:rsidP="0068777C">
            <w:pPr>
              <w:pStyle w:val="TableTextBold"/>
              <w:jc w:val="center"/>
              <w:rPr>
                <w:rFonts w:cs="Arial"/>
                <w:noProof w:val="0"/>
                <w:color w:val="FFFFFF"/>
                <w:szCs w:val="16"/>
              </w:rPr>
            </w:pPr>
            <w:r w:rsidRPr="00256982">
              <w:rPr>
                <w:rFonts w:cs="Arial"/>
                <w:noProof w:val="0"/>
                <w:color w:val="FFFFFF"/>
                <w:szCs w:val="16"/>
              </w:rPr>
              <w:t>Percentage change in emission outputs between 1990 and 2017</w:t>
            </w:r>
          </w:p>
        </w:tc>
      </w:tr>
      <w:tr w:rsidR="0068777C" w:rsidRPr="00256982" w14:paraId="431F3CA9" w14:textId="77777777" w:rsidTr="0068777C">
        <w:trPr>
          <w:trHeight w:val="454"/>
        </w:trPr>
        <w:tc>
          <w:tcPr>
            <w:tcW w:w="1418" w:type="dxa"/>
            <w:vMerge w:val="restart"/>
            <w:vAlign w:val="center"/>
          </w:tcPr>
          <w:p w14:paraId="7E0E196F" w14:textId="77777777" w:rsidR="0068777C" w:rsidRPr="00256982" w:rsidRDefault="0068777C" w:rsidP="0068777C">
            <w:pPr>
              <w:pStyle w:val="TableText"/>
              <w:keepNext/>
            </w:pPr>
            <w:r w:rsidRPr="00256982">
              <w:t>Total emissions from Agricultural soils (kt CO</w:t>
            </w:r>
            <w:r w:rsidRPr="00256982">
              <w:rPr>
                <w:vertAlign w:val="subscript"/>
              </w:rPr>
              <w:t>2</w:t>
            </w:r>
            <w:r w:rsidRPr="00256982">
              <w:t>-e)</w:t>
            </w:r>
          </w:p>
        </w:tc>
        <w:tc>
          <w:tcPr>
            <w:tcW w:w="2268" w:type="dxa"/>
          </w:tcPr>
          <w:p w14:paraId="7DF2B700" w14:textId="77777777" w:rsidR="0068777C" w:rsidRPr="00256982" w:rsidRDefault="0068777C" w:rsidP="0068777C">
            <w:pPr>
              <w:pStyle w:val="TableText"/>
              <w:keepNext/>
            </w:pPr>
            <w:r w:rsidRPr="00256982">
              <w:t xml:space="preserve">2019 (1990–2017) emissions estimate </w:t>
            </w:r>
            <w:r w:rsidRPr="00256982">
              <w:rPr>
                <w:i/>
              </w:rPr>
              <w:t xml:space="preserve">using previous </w:t>
            </w:r>
            <w:r w:rsidRPr="00256982">
              <w:t xml:space="preserve">nitrogen excretion partitioning methodology </w:t>
            </w:r>
          </w:p>
        </w:tc>
        <w:tc>
          <w:tcPr>
            <w:tcW w:w="850" w:type="dxa"/>
            <w:vAlign w:val="center"/>
          </w:tcPr>
          <w:p w14:paraId="6363689E" w14:textId="77777777" w:rsidR="0068777C" w:rsidRPr="00256982" w:rsidRDefault="0068777C" w:rsidP="0068777C">
            <w:pPr>
              <w:pStyle w:val="TableText"/>
              <w:keepNext/>
              <w:jc w:val="center"/>
              <w:rPr>
                <w:rFonts w:cs="Arial"/>
              </w:rPr>
            </w:pPr>
            <w:r w:rsidRPr="00256982">
              <w:t>6,615.5</w:t>
            </w:r>
          </w:p>
        </w:tc>
        <w:tc>
          <w:tcPr>
            <w:tcW w:w="851" w:type="dxa"/>
            <w:vAlign w:val="center"/>
          </w:tcPr>
          <w:p w14:paraId="77B16BB5" w14:textId="77777777" w:rsidR="0068777C" w:rsidRPr="00256982" w:rsidRDefault="0068777C" w:rsidP="0068777C">
            <w:pPr>
              <w:pStyle w:val="TableText"/>
              <w:jc w:val="center"/>
              <w:rPr>
                <w:rFonts w:cs="Arial"/>
              </w:rPr>
            </w:pPr>
            <w:r w:rsidRPr="00256982">
              <w:t>8,535.0</w:t>
            </w:r>
          </w:p>
        </w:tc>
        <w:tc>
          <w:tcPr>
            <w:tcW w:w="1559" w:type="dxa"/>
            <w:vAlign w:val="center"/>
          </w:tcPr>
          <w:p w14:paraId="6C7DF7B0" w14:textId="77777777" w:rsidR="0068777C" w:rsidRPr="00256982" w:rsidRDefault="0068777C" w:rsidP="0068777C">
            <w:pPr>
              <w:pStyle w:val="TableText"/>
              <w:jc w:val="center"/>
              <w:rPr>
                <w:rFonts w:cs="Arial"/>
              </w:rPr>
            </w:pPr>
            <w:r w:rsidRPr="00256982">
              <w:t>1,919.5</w:t>
            </w:r>
          </w:p>
        </w:tc>
        <w:tc>
          <w:tcPr>
            <w:tcW w:w="1559" w:type="dxa"/>
            <w:vAlign w:val="center"/>
          </w:tcPr>
          <w:p w14:paraId="3793FB5F" w14:textId="77777777" w:rsidR="0068777C" w:rsidRPr="00256982" w:rsidRDefault="0068777C" w:rsidP="0068777C">
            <w:pPr>
              <w:pStyle w:val="TableText"/>
              <w:jc w:val="center"/>
              <w:rPr>
                <w:rFonts w:cs="Arial"/>
              </w:rPr>
            </w:pPr>
            <w:r w:rsidRPr="00256982">
              <w:t>29.0</w:t>
            </w:r>
          </w:p>
        </w:tc>
      </w:tr>
      <w:tr w:rsidR="0068777C" w:rsidRPr="00256982" w14:paraId="0413B29A" w14:textId="77777777" w:rsidTr="0068777C">
        <w:trPr>
          <w:trHeight w:val="454"/>
        </w:trPr>
        <w:tc>
          <w:tcPr>
            <w:tcW w:w="1418" w:type="dxa"/>
            <w:vMerge/>
          </w:tcPr>
          <w:p w14:paraId="2066EE5F" w14:textId="77777777" w:rsidR="0068777C" w:rsidRPr="00256982" w:rsidRDefault="0068777C" w:rsidP="0068777C">
            <w:pPr>
              <w:pStyle w:val="TableText"/>
              <w:keepNext/>
            </w:pPr>
          </w:p>
        </w:tc>
        <w:tc>
          <w:tcPr>
            <w:tcW w:w="2268" w:type="dxa"/>
          </w:tcPr>
          <w:p w14:paraId="27D37739" w14:textId="77777777" w:rsidR="0068777C" w:rsidRPr="00256982" w:rsidRDefault="0068777C" w:rsidP="0068777C">
            <w:pPr>
              <w:pStyle w:val="TableText"/>
              <w:keepNext/>
            </w:pPr>
            <w:r w:rsidRPr="00256982">
              <w:t xml:space="preserve">2019 (1990–2017) emissions estimate </w:t>
            </w:r>
            <w:r w:rsidRPr="00256982">
              <w:rPr>
                <w:i/>
              </w:rPr>
              <w:t>using new</w:t>
            </w:r>
            <w:r w:rsidRPr="00256982">
              <w:t xml:space="preserve"> nitrogen excretion partitioning methodology</w:t>
            </w:r>
          </w:p>
        </w:tc>
        <w:tc>
          <w:tcPr>
            <w:tcW w:w="850" w:type="dxa"/>
            <w:vAlign w:val="center"/>
          </w:tcPr>
          <w:p w14:paraId="76918ED6" w14:textId="77777777" w:rsidR="0068777C" w:rsidRPr="00256982" w:rsidRDefault="0068777C" w:rsidP="0068777C">
            <w:pPr>
              <w:pStyle w:val="TableText"/>
              <w:keepNext/>
              <w:jc w:val="center"/>
              <w:rPr>
                <w:rFonts w:cs="Arial"/>
              </w:rPr>
            </w:pPr>
            <w:r w:rsidRPr="00256982">
              <w:t>6,689.1</w:t>
            </w:r>
          </w:p>
        </w:tc>
        <w:tc>
          <w:tcPr>
            <w:tcW w:w="851" w:type="dxa"/>
            <w:vAlign w:val="center"/>
          </w:tcPr>
          <w:p w14:paraId="49218C5F" w14:textId="77777777" w:rsidR="0068777C" w:rsidRPr="00256982" w:rsidRDefault="0068777C" w:rsidP="0068777C">
            <w:pPr>
              <w:pStyle w:val="TableText"/>
              <w:jc w:val="center"/>
              <w:rPr>
                <w:rFonts w:cs="Arial"/>
              </w:rPr>
            </w:pPr>
            <w:r w:rsidRPr="00256982">
              <w:t>8,566.2</w:t>
            </w:r>
          </w:p>
        </w:tc>
        <w:tc>
          <w:tcPr>
            <w:tcW w:w="1559" w:type="dxa"/>
            <w:vAlign w:val="center"/>
          </w:tcPr>
          <w:p w14:paraId="2712F041" w14:textId="77777777" w:rsidR="0068777C" w:rsidRPr="00256982" w:rsidRDefault="0068777C" w:rsidP="0068777C">
            <w:pPr>
              <w:pStyle w:val="TableText"/>
              <w:jc w:val="center"/>
              <w:rPr>
                <w:rFonts w:cs="Arial"/>
              </w:rPr>
            </w:pPr>
            <w:r w:rsidRPr="00256982">
              <w:t>1,877.0</w:t>
            </w:r>
          </w:p>
        </w:tc>
        <w:tc>
          <w:tcPr>
            <w:tcW w:w="1559" w:type="dxa"/>
            <w:vAlign w:val="center"/>
          </w:tcPr>
          <w:p w14:paraId="1C97BBFE" w14:textId="77777777" w:rsidR="0068777C" w:rsidRPr="00256982" w:rsidRDefault="0068777C" w:rsidP="0068777C">
            <w:pPr>
              <w:pStyle w:val="TableText"/>
              <w:jc w:val="center"/>
              <w:rPr>
                <w:rFonts w:cs="Arial"/>
              </w:rPr>
            </w:pPr>
            <w:r w:rsidRPr="00256982">
              <w:t>28.1</w:t>
            </w:r>
          </w:p>
        </w:tc>
      </w:tr>
      <w:tr w:rsidR="0068777C" w:rsidRPr="00256982" w14:paraId="421BEB8F" w14:textId="77777777" w:rsidTr="0068777C">
        <w:trPr>
          <w:trHeight w:val="454"/>
        </w:trPr>
        <w:tc>
          <w:tcPr>
            <w:tcW w:w="1418" w:type="dxa"/>
            <w:vMerge/>
          </w:tcPr>
          <w:p w14:paraId="02B781AF" w14:textId="77777777" w:rsidR="0068777C" w:rsidRPr="00256982" w:rsidRDefault="0068777C" w:rsidP="0068777C">
            <w:pPr>
              <w:pStyle w:val="TableText"/>
              <w:keepNext/>
            </w:pPr>
          </w:p>
        </w:tc>
        <w:tc>
          <w:tcPr>
            <w:tcW w:w="2268" w:type="dxa"/>
          </w:tcPr>
          <w:p w14:paraId="54F6D1D7" w14:textId="77777777" w:rsidR="0068777C" w:rsidRPr="00256982" w:rsidRDefault="0068777C" w:rsidP="0068777C">
            <w:pPr>
              <w:pStyle w:val="TableText"/>
              <w:keepNext/>
            </w:pPr>
            <w:r w:rsidRPr="00256982">
              <w:t>Difference in emission estimates compared with current inventory</w:t>
            </w:r>
          </w:p>
        </w:tc>
        <w:tc>
          <w:tcPr>
            <w:tcW w:w="850" w:type="dxa"/>
            <w:vAlign w:val="center"/>
          </w:tcPr>
          <w:p w14:paraId="1BDD18F3" w14:textId="7A636C55" w:rsidR="0068777C" w:rsidRPr="00256982" w:rsidRDefault="0068777C" w:rsidP="00EB219E">
            <w:pPr>
              <w:pStyle w:val="TableText"/>
              <w:keepNext/>
              <w:jc w:val="center"/>
              <w:rPr>
                <w:rFonts w:cs="Arial"/>
              </w:rPr>
            </w:pPr>
            <w:r w:rsidRPr="00256982">
              <w:t>73.6</w:t>
            </w:r>
          </w:p>
        </w:tc>
        <w:tc>
          <w:tcPr>
            <w:tcW w:w="851" w:type="dxa"/>
            <w:vAlign w:val="center"/>
          </w:tcPr>
          <w:p w14:paraId="0C12E5B7" w14:textId="47B254D6" w:rsidR="0068777C" w:rsidRPr="00256982" w:rsidRDefault="0068777C" w:rsidP="00EB219E">
            <w:pPr>
              <w:pStyle w:val="TableText"/>
              <w:jc w:val="center"/>
              <w:rPr>
                <w:rFonts w:cs="Arial"/>
              </w:rPr>
            </w:pPr>
            <w:r w:rsidRPr="00256982">
              <w:t>31.2</w:t>
            </w:r>
          </w:p>
        </w:tc>
        <w:tc>
          <w:tcPr>
            <w:tcW w:w="1559" w:type="dxa"/>
            <w:vAlign w:val="center"/>
          </w:tcPr>
          <w:p w14:paraId="4C03633D" w14:textId="65FD82CF" w:rsidR="0068777C" w:rsidRPr="00256982" w:rsidRDefault="0068777C" w:rsidP="00EB219E">
            <w:pPr>
              <w:pStyle w:val="TableText"/>
              <w:jc w:val="center"/>
              <w:rPr>
                <w:rFonts w:cs="Arial"/>
              </w:rPr>
            </w:pPr>
            <w:r w:rsidRPr="00256982">
              <w:t>–42.5</w:t>
            </w:r>
          </w:p>
        </w:tc>
        <w:tc>
          <w:tcPr>
            <w:tcW w:w="1559" w:type="dxa"/>
            <w:vAlign w:val="center"/>
          </w:tcPr>
          <w:p w14:paraId="3902F91F" w14:textId="77777777" w:rsidR="0068777C" w:rsidRPr="00256982" w:rsidRDefault="0068777C" w:rsidP="0068777C">
            <w:pPr>
              <w:pStyle w:val="TableText"/>
              <w:jc w:val="center"/>
              <w:rPr>
                <w:rFonts w:cs="Arial"/>
              </w:rPr>
            </w:pPr>
          </w:p>
        </w:tc>
      </w:tr>
      <w:tr w:rsidR="0068777C" w:rsidRPr="00256982" w14:paraId="3094384E" w14:textId="77777777" w:rsidTr="0068777C">
        <w:trPr>
          <w:trHeight w:val="454"/>
        </w:trPr>
        <w:tc>
          <w:tcPr>
            <w:tcW w:w="1418" w:type="dxa"/>
            <w:vMerge/>
          </w:tcPr>
          <w:p w14:paraId="4428A9DC" w14:textId="77777777" w:rsidR="0068777C" w:rsidRPr="00256982" w:rsidRDefault="0068777C" w:rsidP="0068777C">
            <w:pPr>
              <w:pStyle w:val="TableText"/>
              <w:keepNext/>
            </w:pPr>
          </w:p>
        </w:tc>
        <w:tc>
          <w:tcPr>
            <w:tcW w:w="2268" w:type="dxa"/>
          </w:tcPr>
          <w:p w14:paraId="67093FC0" w14:textId="77777777" w:rsidR="0068777C" w:rsidRPr="00256982" w:rsidRDefault="0068777C" w:rsidP="0068777C">
            <w:pPr>
              <w:pStyle w:val="TableText"/>
              <w:keepNext/>
            </w:pPr>
            <w:r w:rsidRPr="00256982">
              <w:t>Percentage difference in emission estimates</w:t>
            </w:r>
          </w:p>
        </w:tc>
        <w:tc>
          <w:tcPr>
            <w:tcW w:w="850" w:type="dxa"/>
            <w:vAlign w:val="center"/>
          </w:tcPr>
          <w:p w14:paraId="68DF98FE" w14:textId="77777777" w:rsidR="0068777C" w:rsidRPr="00256982" w:rsidRDefault="0068777C" w:rsidP="0068777C">
            <w:pPr>
              <w:pStyle w:val="TableText"/>
              <w:keepNext/>
              <w:jc w:val="center"/>
              <w:rPr>
                <w:rFonts w:cs="Arial"/>
              </w:rPr>
            </w:pPr>
            <w:r w:rsidRPr="00256982">
              <w:t>1.1</w:t>
            </w:r>
          </w:p>
        </w:tc>
        <w:tc>
          <w:tcPr>
            <w:tcW w:w="851" w:type="dxa"/>
            <w:vAlign w:val="center"/>
          </w:tcPr>
          <w:p w14:paraId="64FD25DB" w14:textId="77777777" w:rsidR="0068777C" w:rsidRPr="00256982" w:rsidRDefault="0068777C" w:rsidP="0068777C">
            <w:pPr>
              <w:pStyle w:val="TableText"/>
              <w:jc w:val="center"/>
              <w:rPr>
                <w:rFonts w:cs="Arial"/>
              </w:rPr>
            </w:pPr>
            <w:r w:rsidRPr="00256982">
              <w:t>0.4</w:t>
            </w:r>
          </w:p>
        </w:tc>
        <w:tc>
          <w:tcPr>
            <w:tcW w:w="1559" w:type="dxa"/>
            <w:vAlign w:val="center"/>
          </w:tcPr>
          <w:p w14:paraId="5EA23DBD" w14:textId="77777777" w:rsidR="0068777C" w:rsidRPr="00256982" w:rsidRDefault="0068777C" w:rsidP="0068777C">
            <w:pPr>
              <w:pStyle w:val="TableText"/>
              <w:jc w:val="center"/>
              <w:rPr>
                <w:rFonts w:cs="Arial"/>
              </w:rPr>
            </w:pPr>
          </w:p>
        </w:tc>
        <w:tc>
          <w:tcPr>
            <w:tcW w:w="1559" w:type="dxa"/>
            <w:vAlign w:val="center"/>
          </w:tcPr>
          <w:p w14:paraId="11276D2E" w14:textId="77777777" w:rsidR="0068777C" w:rsidRPr="00256982" w:rsidRDefault="0068777C" w:rsidP="0068777C">
            <w:pPr>
              <w:pStyle w:val="TableText"/>
              <w:jc w:val="center"/>
              <w:rPr>
                <w:rFonts w:cs="Arial"/>
              </w:rPr>
            </w:pPr>
          </w:p>
        </w:tc>
      </w:tr>
    </w:tbl>
    <w:p w14:paraId="7170E72C" w14:textId="77777777" w:rsidR="0068777C" w:rsidRPr="00256982" w:rsidRDefault="0068777C" w:rsidP="005F02D1">
      <w:pPr>
        <w:pStyle w:val="Heading5"/>
        <w:spacing w:before="360"/>
      </w:pPr>
      <w:r w:rsidRPr="00256982">
        <w:t>Revised activity data on dairy effluent management</w:t>
      </w:r>
    </w:p>
    <w:p w14:paraId="136174CE" w14:textId="77777777" w:rsidR="0068777C" w:rsidRPr="00256982" w:rsidRDefault="0068777C" w:rsidP="0068777C">
      <w:pPr>
        <w:pStyle w:val="BodyText"/>
      </w:pPr>
      <w:r w:rsidRPr="00256982">
        <w:t xml:space="preserve">The use of revised dairy effluent management data has a large effect on emissions from </w:t>
      </w:r>
      <w:r w:rsidRPr="00256982">
        <w:rPr>
          <w:i/>
          <w:iCs/>
        </w:rPr>
        <w:t>Manure management</w:t>
      </w:r>
      <w:r w:rsidRPr="00256982">
        <w:t xml:space="preserve"> (which is explained in more detail in section 5.3.5) and a small effect on emissions from </w:t>
      </w:r>
      <w:r w:rsidRPr="00256982">
        <w:rPr>
          <w:i/>
          <w:iCs/>
        </w:rPr>
        <w:t>Agricultural soils</w:t>
      </w:r>
      <w:r w:rsidRPr="00256982">
        <w:t xml:space="preserve"> from the following categories:</w:t>
      </w:r>
    </w:p>
    <w:p w14:paraId="1CCAB304" w14:textId="77777777" w:rsidR="0068777C" w:rsidRPr="00256982" w:rsidRDefault="0068777C" w:rsidP="0036046B">
      <w:pPr>
        <w:pStyle w:val="Bullet"/>
        <w:numPr>
          <w:ilvl w:val="0"/>
          <w:numId w:val="8"/>
        </w:numPr>
      </w:pPr>
      <w:r w:rsidRPr="00256982">
        <w:t xml:space="preserve">organic fertilisers </w:t>
      </w:r>
    </w:p>
    <w:p w14:paraId="2742726D" w14:textId="77777777" w:rsidR="0068777C" w:rsidRPr="00256982" w:rsidRDefault="0068777C" w:rsidP="0036046B">
      <w:pPr>
        <w:pStyle w:val="Bullet"/>
        <w:numPr>
          <w:ilvl w:val="0"/>
          <w:numId w:val="8"/>
        </w:numPr>
      </w:pPr>
      <w:r w:rsidRPr="00256982">
        <w:t xml:space="preserve">urine and dung deposited by grazing animals </w:t>
      </w:r>
    </w:p>
    <w:p w14:paraId="3B2C8E7F" w14:textId="77777777" w:rsidR="0068777C" w:rsidRPr="00256982" w:rsidRDefault="0068777C" w:rsidP="0036046B">
      <w:pPr>
        <w:pStyle w:val="Bullet"/>
        <w:numPr>
          <w:ilvl w:val="0"/>
          <w:numId w:val="8"/>
        </w:numPr>
      </w:pPr>
      <w:r w:rsidRPr="00256982">
        <w:t>atmospheric deposition</w:t>
      </w:r>
    </w:p>
    <w:p w14:paraId="3763823E" w14:textId="067D2B57" w:rsidR="0068777C" w:rsidRPr="00256982" w:rsidRDefault="0068777C" w:rsidP="0036046B">
      <w:pPr>
        <w:pStyle w:val="Bullet"/>
        <w:numPr>
          <w:ilvl w:val="0"/>
          <w:numId w:val="8"/>
        </w:numPr>
      </w:pPr>
      <w:r w:rsidRPr="00256982">
        <w:t>leaching and runoff</w:t>
      </w:r>
      <w:r w:rsidR="00AA394E">
        <w:t>.</w:t>
      </w:r>
    </w:p>
    <w:p w14:paraId="7F8851C5" w14:textId="2C55EB59" w:rsidR="0068777C" w:rsidRPr="00256982" w:rsidRDefault="00AA394E" w:rsidP="0068777C">
      <w:pPr>
        <w:pStyle w:val="BodyText"/>
      </w:pPr>
      <w:r>
        <w:t xml:space="preserve">This is </w:t>
      </w:r>
      <w:r w:rsidR="0068777C" w:rsidRPr="00256982">
        <w:t xml:space="preserve">because it changes the proportion of dairy manure being deposited directly onto paddocks or entering anaerobic lagoons. The revised data increase the estimated emissions from </w:t>
      </w:r>
      <w:r w:rsidR="0068777C" w:rsidRPr="00256982">
        <w:rPr>
          <w:i/>
        </w:rPr>
        <w:t xml:space="preserve">Agricultural soils </w:t>
      </w:r>
      <w:r w:rsidR="0068777C" w:rsidRPr="00256982">
        <w:t>in 2017 by 0.9 per cent.</w:t>
      </w:r>
    </w:p>
    <w:bookmarkEnd w:id="805"/>
    <w:p w14:paraId="2BB5FD2F" w14:textId="77777777" w:rsidR="0068777C" w:rsidRPr="00256982" w:rsidRDefault="0068777C" w:rsidP="003E2377">
      <w:pPr>
        <w:pStyle w:val="Heading3"/>
      </w:pPr>
      <w:r w:rsidRPr="00256982">
        <w:t>5.5.6</w:t>
      </w:r>
      <w:r w:rsidRPr="00256982">
        <w:tab/>
        <w:t xml:space="preserve">Source-specific planned improvements </w:t>
      </w:r>
    </w:p>
    <w:p w14:paraId="7FBECF69" w14:textId="77777777" w:rsidR="0068777C" w:rsidRPr="00256982" w:rsidRDefault="0068777C" w:rsidP="0068777C">
      <w:pPr>
        <w:pStyle w:val="BodyText"/>
      </w:pPr>
      <w:r w:rsidRPr="00256982">
        <w:t xml:space="preserve">New Zealand is carrying out ongoing research to improve estimates of emissions from the </w:t>
      </w:r>
      <w:r w:rsidRPr="00256982">
        <w:rPr>
          <w:i/>
        </w:rPr>
        <w:t>Agricultural soils</w:t>
      </w:r>
      <w:r w:rsidRPr="00256982">
        <w:t xml:space="preserve"> category.</w:t>
      </w:r>
    </w:p>
    <w:p w14:paraId="5627D918" w14:textId="77777777" w:rsidR="0068777C" w:rsidRPr="00256982" w:rsidRDefault="0068777C" w:rsidP="0068777C">
      <w:pPr>
        <w:pStyle w:val="Heading5"/>
      </w:pPr>
      <w:r w:rsidRPr="00256982">
        <w:t xml:space="preserve">New methodology and emission factors for nitrous oxide emissions on hill country </w:t>
      </w:r>
    </w:p>
    <w:p w14:paraId="51C04190" w14:textId="77777777" w:rsidR="0068777C" w:rsidRPr="00256982" w:rsidRDefault="0068777C" w:rsidP="0068777C">
      <w:pPr>
        <w:pStyle w:val="BodyText"/>
      </w:pPr>
      <w:r w:rsidRPr="00256982">
        <w:t>New Zealand scientists have been researching the effects of hill slope on N</w:t>
      </w:r>
      <w:r w:rsidRPr="00256982">
        <w:rPr>
          <w:vertAlign w:val="subscript"/>
        </w:rPr>
        <w:t>2</w:t>
      </w:r>
      <w:r w:rsidRPr="00256982">
        <w:t>O emissions from animal excreta and developing a methodology to incorporate this into the inventory (Giltrap and Saggar, unpublished). Research has confirmed that emissions of N</w:t>
      </w:r>
      <w:r w:rsidRPr="00256982">
        <w:rPr>
          <w:vertAlign w:val="subscript"/>
        </w:rPr>
        <w:t>2</w:t>
      </w:r>
      <w:r w:rsidRPr="00256982">
        <w:t xml:space="preserve">O from excreta (dung and urine) applied to sloping hill pastoral land are significantly lower than those from excreta deposited on flat pastoral land. In New Zealand, sheep, non-dairy (beef) cattle and deer are generally grazed on hill country with sloping pastures. Dairy cattle may also be grazed on low sloping pasture. </w:t>
      </w:r>
    </w:p>
    <w:p w14:paraId="57A014F7" w14:textId="77777777" w:rsidR="0068777C" w:rsidRPr="00256982" w:rsidRDefault="0068777C" w:rsidP="0068777C">
      <w:pPr>
        <w:pStyle w:val="BodyText"/>
      </w:pPr>
      <w:r w:rsidRPr="00256982">
        <w:t xml:space="preserve">The new methodology will factor in the effect of slope and delineate between the </w:t>
      </w:r>
      <w:r w:rsidRPr="00256982">
        <w:rPr>
          <w:i/>
        </w:rPr>
        <w:t>Dairy cattle</w:t>
      </w:r>
      <w:r w:rsidRPr="00256982">
        <w:t xml:space="preserve">, </w:t>
      </w:r>
      <w:r w:rsidRPr="00256982">
        <w:rPr>
          <w:i/>
        </w:rPr>
        <w:t>Non-dairy cattle</w:t>
      </w:r>
      <w:r w:rsidRPr="00256982">
        <w:t xml:space="preserve">, </w:t>
      </w:r>
      <w:r w:rsidRPr="00256982">
        <w:rPr>
          <w:i/>
        </w:rPr>
        <w:t>Sheep</w:t>
      </w:r>
      <w:r w:rsidRPr="00256982">
        <w:t xml:space="preserve"> and </w:t>
      </w:r>
      <w:r w:rsidRPr="00256982">
        <w:rPr>
          <w:i/>
        </w:rPr>
        <w:t>Deer</w:t>
      </w:r>
      <w:r w:rsidRPr="00256982">
        <w:t xml:space="preserve"> livestock categories. Work is under way to analyse the results of field studies completed in New Zealand over the past 10 years, which will result in new recommended N</w:t>
      </w:r>
      <w:r w:rsidRPr="00256982">
        <w:rPr>
          <w:vertAlign w:val="subscript"/>
        </w:rPr>
        <w:t>2</w:t>
      </w:r>
      <w:r w:rsidRPr="00256982">
        <w:t>O emissions factors for livestock excreta (EF</w:t>
      </w:r>
      <w:r w:rsidRPr="00256982">
        <w:rPr>
          <w:vertAlign w:val="subscript"/>
        </w:rPr>
        <w:t>3,PRP</w:t>
      </w:r>
      <w:r w:rsidRPr="00256982">
        <w:t>) for dung and urine based on hill slope and livestock type.</w:t>
      </w:r>
    </w:p>
    <w:p w14:paraId="335137E6" w14:textId="3946E6D1" w:rsidR="0068777C" w:rsidRPr="00256982" w:rsidRDefault="0068777C" w:rsidP="0068777C">
      <w:pPr>
        <w:pStyle w:val="Heading5"/>
      </w:pPr>
      <w:r w:rsidRPr="00256982">
        <w:lastRenderedPageBreak/>
        <w:t>Understanding the factors causing variability in N</w:t>
      </w:r>
      <w:r w:rsidRPr="00256982">
        <w:rPr>
          <w:vertAlign w:val="subscript"/>
        </w:rPr>
        <w:t>2</w:t>
      </w:r>
      <w:r w:rsidRPr="00256982">
        <w:t>O emissions from livestock excreta</w:t>
      </w:r>
      <w:r w:rsidR="003E2377" w:rsidRPr="00256982">
        <w:t> </w:t>
      </w:r>
      <w:r w:rsidRPr="00256982">
        <w:t>on pasture</w:t>
      </w:r>
    </w:p>
    <w:p w14:paraId="4DDA492C" w14:textId="77777777" w:rsidR="0068777C" w:rsidRPr="00256982" w:rsidRDefault="0068777C" w:rsidP="0068777C">
      <w:pPr>
        <w:pStyle w:val="BodyText"/>
      </w:pPr>
      <w:r w:rsidRPr="00256982">
        <w:t>This research will study the causes of variability in N</w:t>
      </w:r>
      <w:r w:rsidRPr="00256982">
        <w:rPr>
          <w:vertAlign w:val="subscript"/>
        </w:rPr>
        <w:t>2</w:t>
      </w:r>
      <w:r w:rsidRPr="00256982">
        <w:t>O emissions from excreta on New Zealand pasture in a controlled environment. A combination of laboratory experiments and process-based modelling and data analysis will be used to determine the influence of key variables including soil water content, temperature, soil organic carbon, cation exchange capacity and nitrogen load on N</w:t>
      </w:r>
      <w:r w:rsidRPr="00256982">
        <w:rPr>
          <w:vertAlign w:val="subscript"/>
        </w:rPr>
        <w:t>2</w:t>
      </w:r>
      <w:r w:rsidRPr="00256982">
        <w:t>O emissions.</w:t>
      </w:r>
    </w:p>
    <w:p w14:paraId="4A35F5ED" w14:textId="77777777" w:rsidR="0068777C" w:rsidRPr="00256982" w:rsidRDefault="0068777C" w:rsidP="0068777C">
      <w:pPr>
        <w:pStyle w:val="BodyText"/>
      </w:pPr>
      <w:r w:rsidRPr="00256982">
        <w:t>The research will result in an improved understanding of the influence of key variables on N</w:t>
      </w:r>
      <w:r w:rsidRPr="00256982">
        <w:rPr>
          <w:vertAlign w:val="subscript"/>
        </w:rPr>
        <w:t>2</w:t>
      </w:r>
      <w:r w:rsidRPr="00256982">
        <w:t>O emissions from dairy urine and produce recommendations for further research aimed at improving the accuracy of New Zealand’s agricultural N</w:t>
      </w:r>
      <w:r w:rsidRPr="00256982">
        <w:rPr>
          <w:vertAlign w:val="subscript"/>
        </w:rPr>
        <w:t>2</w:t>
      </w:r>
      <w:r w:rsidRPr="00256982">
        <w:t>O inventory.</w:t>
      </w:r>
    </w:p>
    <w:p w14:paraId="13284FE1" w14:textId="77777777" w:rsidR="0068777C" w:rsidRPr="00256982" w:rsidRDefault="0068777C" w:rsidP="0068777C">
      <w:pPr>
        <w:pStyle w:val="Heading2"/>
      </w:pPr>
      <w:bookmarkStart w:id="807" w:name="_Toc69611743"/>
      <w:bookmarkStart w:id="808" w:name="_Toc69612699"/>
      <w:bookmarkStart w:id="809" w:name="_Toc69612898"/>
      <w:bookmarkStart w:id="810" w:name="_Toc69613158"/>
      <w:bookmarkStart w:id="811" w:name="_Toc69633322"/>
      <w:bookmarkStart w:id="812" w:name="_Toc69717487"/>
      <w:bookmarkStart w:id="813" w:name="_Toc69802969"/>
      <w:bookmarkStart w:id="814" w:name="_Toc69815106"/>
      <w:bookmarkStart w:id="815" w:name="_Toc70492399"/>
      <w:bookmarkStart w:id="816" w:name="_Toc101310606"/>
      <w:bookmarkStart w:id="817" w:name="_Toc101318466"/>
      <w:bookmarkStart w:id="818" w:name="_Toc101318571"/>
      <w:bookmarkStart w:id="819" w:name="_Toc101318755"/>
      <w:bookmarkStart w:id="820" w:name="_Toc101334031"/>
      <w:bookmarkStart w:id="821" w:name="_Toc134847209"/>
      <w:bookmarkStart w:id="822" w:name="_Toc139253939"/>
      <w:bookmarkStart w:id="823" w:name="_Toc144710417"/>
      <w:bookmarkStart w:id="824" w:name="_Toc165890371"/>
      <w:bookmarkStart w:id="825" w:name="_Toc195322665"/>
      <w:bookmarkStart w:id="826" w:name="_Toc235955531"/>
      <w:bookmarkStart w:id="827" w:name="_Toc288316644"/>
      <w:bookmarkStart w:id="828" w:name="_Toc352504864"/>
      <w:bookmarkStart w:id="829" w:name="_Toc448321527"/>
      <w:bookmarkStart w:id="830" w:name="_Toc481751389"/>
      <w:bookmarkStart w:id="831" w:name="_Toc511116604"/>
      <w:bookmarkStart w:id="832" w:name="_Toc5269366"/>
      <w:r w:rsidRPr="00256982">
        <w:t>5.6</w:t>
      </w:r>
      <w:r w:rsidRPr="00256982">
        <w:tab/>
        <w:t>Prescribed burning of savanna (CRF 3.E)</w:t>
      </w:r>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p>
    <w:p w14:paraId="0C8D28DB" w14:textId="77777777" w:rsidR="0068777C" w:rsidRPr="00256982" w:rsidRDefault="0068777C" w:rsidP="0068777C">
      <w:pPr>
        <w:pStyle w:val="Heading3"/>
        <w:spacing w:before="240"/>
      </w:pPr>
      <w:bookmarkStart w:id="833" w:name="_Toc139253940"/>
      <w:r w:rsidRPr="00256982">
        <w:t>5.6.1</w:t>
      </w:r>
      <w:r w:rsidRPr="00256982">
        <w:tab/>
        <w:t>Description</w:t>
      </w:r>
    </w:p>
    <w:p w14:paraId="1E65234A" w14:textId="77777777" w:rsidR="0068777C" w:rsidRPr="00256982" w:rsidRDefault="0068777C" w:rsidP="0068777C">
      <w:pPr>
        <w:pStyle w:val="BodyText"/>
      </w:pPr>
      <w:r w:rsidRPr="00256982">
        <w:t>Prescribed burning of savanna is reported under the LULUCF sector from the 2016 submission onwards.</w:t>
      </w:r>
    </w:p>
    <w:p w14:paraId="29079D89" w14:textId="77777777" w:rsidR="0068777C" w:rsidRPr="00256982" w:rsidRDefault="0068777C" w:rsidP="0068777C">
      <w:pPr>
        <w:pStyle w:val="Heading2"/>
      </w:pPr>
      <w:bookmarkStart w:id="834" w:name="_Toc69611744"/>
      <w:bookmarkStart w:id="835" w:name="_Toc69612700"/>
      <w:bookmarkStart w:id="836" w:name="_Toc69612899"/>
      <w:bookmarkStart w:id="837" w:name="_Toc69613159"/>
      <w:bookmarkStart w:id="838" w:name="_Toc69633323"/>
      <w:bookmarkStart w:id="839" w:name="_Toc69717488"/>
      <w:bookmarkStart w:id="840" w:name="_Toc69802970"/>
      <w:bookmarkStart w:id="841" w:name="_Toc69815107"/>
      <w:bookmarkStart w:id="842" w:name="_Toc70492400"/>
      <w:bookmarkStart w:id="843" w:name="_Toc101310607"/>
      <w:bookmarkStart w:id="844" w:name="_Toc101318467"/>
      <w:bookmarkStart w:id="845" w:name="_Toc101318572"/>
      <w:bookmarkStart w:id="846" w:name="_Toc101318756"/>
      <w:bookmarkStart w:id="847" w:name="_Toc101334032"/>
      <w:bookmarkStart w:id="848" w:name="_Toc134847210"/>
      <w:bookmarkStart w:id="849" w:name="_Toc139253945"/>
      <w:bookmarkStart w:id="850" w:name="_Toc144710418"/>
      <w:bookmarkStart w:id="851" w:name="_Toc165890372"/>
      <w:bookmarkStart w:id="852" w:name="_Toc195322666"/>
      <w:bookmarkStart w:id="853" w:name="_Toc235955532"/>
      <w:bookmarkStart w:id="854" w:name="_Toc288316645"/>
      <w:bookmarkStart w:id="855" w:name="_Toc352504865"/>
      <w:bookmarkStart w:id="856" w:name="_Toc448321528"/>
      <w:bookmarkStart w:id="857" w:name="_Toc481751390"/>
      <w:bookmarkStart w:id="858" w:name="_Toc511116605"/>
      <w:bookmarkStart w:id="859" w:name="_Toc5269367"/>
      <w:bookmarkEnd w:id="833"/>
      <w:r w:rsidRPr="00256982">
        <w:t>5.7</w:t>
      </w:r>
      <w:r w:rsidRPr="00256982">
        <w:tab/>
        <w:t>Field burning of agricultural residues (CRF 3.F)</w:t>
      </w:r>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p>
    <w:p w14:paraId="24334778" w14:textId="77777777" w:rsidR="0068777C" w:rsidRPr="00256982" w:rsidRDefault="0068777C" w:rsidP="0068777C">
      <w:pPr>
        <w:pStyle w:val="Heading3"/>
        <w:spacing w:before="240"/>
      </w:pPr>
      <w:bookmarkStart w:id="860" w:name="_Toc139253946"/>
      <w:r w:rsidRPr="00256982">
        <w:t>5.7.1</w:t>
      </w:r>
      <w:r w:rsidRPr="00256982">
        <w:tab/>
        <w:t>Description</w:t>
      </w:r>
      <w:bookmarkEnd w:id="860"/>
    </w:p>
    <w:p w14:paraId="5E4990FF" w14:textId="77777777" w:rsidR="0068777C" w:rsidRPr="00256982" w:rsidRDefault="0068777C" w:rsidP="0068777C">
      <w:pPr>
        <w:pStyle w:val="BodyText"/>
      </w:pPr>
      <w:r w:rsidRPr="00256982">
        <w:t>Burning of agricultural residues produced 23.4 kt CO</w:t>
      </w:r>
      <w:r w:rsidRPr="00256982">
        <w:rPr>
          <w:vertAlign w:val="subscript"/>
        </w:rPr>
        <w:t>2</w:t>
      </w:r>
      <w:r w:rsidRPr="00256982">
        <w:t>-e (0.1 per cent of emissions from the Agriculture sector) in 2017. This was a decrease of 4.0 kt CO</w:t>
      </w:r>
      <w:r w:rsidRPr="00256982">
        <w:rPr>
          <w:vertAlign w:val="subscript"/>
        </w:rPr>
        <w:t>2</w:t>
      </w:r>
      <w:r w:rsidRPr="00256982">
        <w:t>-e (14.7 per cent) below the level from 27.4 kt CO</w:t>
      </w:r>
      <w:r w:rsidRPr="00256982">
        <w:rPr>
          <w:vertAlign w:val="subscript"/>
        </w:rPr>
        <w:t>2</w:t>
      </w:r>
      <w:r w:rsidRPr="00256982">
        <w:t xml:space="preserve">-e in 1990. Burning of agricultural residues was not identified as a key category in 2017. </w:t>
      </w:r>
    </w:p>
    <w:p w14:paraId="474C6EA3" w14:textId="77777777" w:rsidR="0068777C" w:rsidRPr="00256982" w:rsidRDefault="0068777C" w:rsidP="0068777C">
      <w:pPr>
        <w:pStyle w:val="BodyText"/>
      </w:pPr>
      <w:r w:rsidRPr="00256982">
        <w:t xml:space="preserve">New Zealand reports emissions from burning barley, wheat and oats residue in this category. Maize, legume and other crop residues are not usually burned in New Zealand. </w:t>
      </w:r>
    </w:p>
    <w:p w14:paraId="5A3D418C" w14:textId="77777777" w:rsidR="0068777C" w:rsidRPr="00256982" w:rsidRDefault="0068777C" w:rsidP="0068777C">
      <w:pPr>
        <w:pStyle w:val="BodyText"/>
      </w:pPr>
      <w:r w:rsidRPr="00256982">
        <w:t>The area of burning of residues varies between years due to climatic conditions and the amount of residue removed before burning straw (Thomas et al., 2011). Burning of crop residues is not considered to be a net source of CO</w:t>
      </w:r>
      <w:r w:rsidRPr="00256982">
        <w:rPr>
          <w:vertAlign w:val="subscript"/>
        </w:rPr>
        <w:t>2</w:t>
      </w:r>
      <w:r w:rsidRPr="00256982">
        <w:t>, because the CO</w:t>
      </w:r>
      <w:r w:rsidRPr="00256982">
        <w:rPr>
          <w:vertAlign w:val="subscript"/>
        </w:rPr>
        <w:t>2</w:t>
      </w:r>
      <w:r w:rsidRPr="00256982">
        <w:t xml:space="preserve"> released into the atmosphere was absorbed by those crops earlier in the year. However, burning is a source of emissions of CH</w:t>
      </w:r>
      <w:r w:rsidRPr="00256982">
        <w:rPr>
          <w:vertAlign w:val="subscript"/>
        </w:rPr>
        <w:t>4</w:t>
      </w:r>
      <w:r w:rsidRPr="00256982">
        <w:t>, carbon monoxide (CO), N</w:t>
      </w:r>
      <w:r w:rsidRPr="00256982">
        <w:rPr>
          <w:vertAlign w:val="subscript"/>
        </w:rPr>
        <w:t>2</w:t>
      </w:r>
      <w:r w:rsidRPr="00256982">
        <w:t>O and NO</w:t>
      </w:r>
      <w:r w:rsidRPr="00256982">
        <w:rPr>
          <w:vertAlign w:val="subscript"/>
        </w:rPr>
        <w:t>x</w:t>
      </w:r>
      <w:r w:rsidRPr="00256982">
        <w:t xml:space="preserve"> (IPCC, 2006).</w:t>
      </w:r>
    </w:p>
    <w:p w14:paraId="7B088BFF" w14:textId="77777777" w:rsidR="0068777C" w:rsidRPr="00256982" w:rsidRDefault="0068777C" w:rsidP="0068777C">
      <w:pPr>
        <w:pStyle w:val="Heading3"/>
      </w:pPr>
      <w:r w:rsidRPr="00256982">
        <w:t>5.7.2</w:t>
      </w:r>
      <w:r w:rsidRPr="00256982">
        <w:tab/>
        <w:t xml:space="preserve">Methodological issues </w:t>
      </w:r>
    </w:p>
    <w:p w14:paraId="11EFA44F" w14:textId="13777205" w:rsidR="0068777C" w:rsidRPr="00256982" w:rsidRDefault="0068777C" w:rsidP="0068777C">
      <w:pPr>
        <w:pStyle w:val="BodyText"/>
      </w:pPr>
      <w:r w:rsidRPr="00256982">
        <w:t xml:space="preserve">The emissions from burning agricultural residues are estimated using country-specific methodology and parameters (Thomas et al., 2008, 2011). A modification of the IPCC (1996) methodology takes into account differences in the available crop activity data between 1990–2004 and 2005–16. </w:t>
      </w:r>
    </w:p>
    <w:p w14:paraId="317F291E" w14:textId="77777777" w:rsidR="0068777C" w:rsidRPr="00256982" w:rsidRDefault="0068777C" w:rsidP="0068777C">
      <w:pPr>
        <w:pStyle w:val="BodyText"/>
      </w:pPr>
      <w:r w:rsidRPr="00256982">
        <w:t>Following the IPCC (1996) methodology, CH</w:t>
      </w:r>
      <w:r w:rsidRPr="00256982">
        <w:rPr>
          <w:vertAlign w:val="subscript"/>
        </w:rPr>
        <w:t>4</w:t>
      </w:r>
      <w:r w:rsidRPr="00256982">
        <w:t>, CO, N</w:t>
      </w:r>
      <w:r w:rsidRPr="00256982">
        <w:rPr>
          <w:vertAlign w:val="subscript"/>
        </w:rPr>
        <w:t>2</w:t>
      </w:r>
      <w:r w:rsidRPr="00256982">
        <w:t>O and NO</w:t>
      </w:r>
      <w:r w:rsidRPr="00256982">
        <w:rPr>
          <w:vertAlign w:val="subscript"/>
        </w:rPr>
        <w:t xml:space="preserve">x </w:t>
      </w:r>
      <w:r w:rsidRPr="00256982">
        <w:t>emissions are calculated from the carbon and nitrogen released from the burned live and dead biomass residue using the ratios in table 5.7.1; the nitrogen released is derived from the carbon released using a carbon-to-nitrogen ratio.</w:t>
      </w:r>
    </w:p>
    <w:p w14:paraId="76592323" w14:textId="77777777" w:rsidR="0068777C" w:rsidRPr="00256982" w:rsidRDefault="0068777C" w:rsidP="0068777C">
      <w:pPr>
        <w:pStyle w:val="Table"/>
      </w:pPr>
      <w:bookmarkStart w:id="861" w:name="_Toc352504981"/>
      <w:bookmarkStart w:id="862" w:name="_Toc441830890"/>
      <w:bookmarkStart w:id="863" w:name="_Toc451176104"/>
      <w:bookmarkStart w:id="864" w:name="_Toc481751534"/>
      <w:bookmarkStart w:id="865" w:name="_Toc507158620"/>
      <w:bookmarkStart w:id="866" w:name="_Toc511116754"/>
      <w:bookmarkStart w:id="867" w:name="_Toc5269496"/>
      <w:r w:rsidRPr="00256982">
        <w:lastRenderedPageBreak/>
        <w:t>Table 5.7.1</w:t>
      </w:r>
      <w:r w:rsidRPr="00256982">
        <w:tab/>
        <w:t>Emission ratios for agricultural residue burning</w:t>
      </w:r>
      <w:bookmarkEnd w:id="861"/>
      <w:bookmarkEnd w:id="862"/>
      <w:bookmarkEnd w:id="863"/>
      <w:bookmarkEnd w:id="864"/>
      <w:bookmarkEnd w:id="865"/>
      <w:bookmarkEnd w:id="866"/>
      <w:bookmarkEnd w:id="867"/>
    </w:p>
    <w:tbl>
      <w:tblPr>
        <w:tblW w:w="8505" w:type="dxa"/>
        <w:tblInd w:w="108" w:type="dxa"/>
        <w:tblBorders>
          <w:top w:val="single" w:sz="4" w:space="0" w:color="365F91"/>
          <w:bottom w:val="single" w:sz="4" w:space="0" w:color="365F91"/>
          <w:insideH w:val="single" w:sz="4" w:space="0" w:color="365F91"/>
        </w:tblBorders>
        <w:tblLook w:val="01E0" w:firstRow="1" w:lastRow="1" w:firstColumn="1" w:lastColumn="1" w:noHBand="0" w:noVBand="0"/>
      </w:tblPr>
      <w:tblGrid>
        <w:gridCol w:w="1726"/>
        <w:gridCol w:w="3204"/>
        <w:gridCol w:w="3575"/>
      </w:tblGrid>
      <w:tr w:rsidR="0068777C" w:rsidRPr="00256982" w14:paraId="3262830C" w14:textId="77777777" w:rsidTr="0068777C">
        <w:trPr>
          <w:trHeight w:val="434"/>
        </w:trPr>
        <w:tc>
          <w:tcPr>
            <w:tcW w:w="1611" w:type="dxa"/>
            <w:shd w:val="clear" w:color="auto" w:fill="365F91"/>
            <w:vAlign w:val="bottom"/>
          </w:tcPr>
          <w:p w14:paraId="54A5DB3E" w14:textId="77777777" w:rsidR="0068777C" w:rsidRPr="00256982" w:rsidRDefault="0068777C" w:rsidP="0068777C">
            <w:pPr>
              <w:pStyle w:val="TableTextBold"/>
              <w:keepNext/>
              <w:rPr>
                <w:noProof w:val="0"/>
                <w:color w:val="FFFFFF"/>
              </w:rPr>
            </w:pPr>
            <w:r w:rsidRPr="00256982">
              <w:rPr>
                <w:noProof w:val="0"/>
                <w:color w:val="FFFFFF"/>
              </w:rPr>
              <w:t>Gas</w:t>
            </w:r>
          </w:p>
        </w:tc>
        <w:tc>
          <w:tcPr>
            <w:tcW w:w="2990" w:type="dxa"/>
            <w:shd w:val="clear" w:color="auto" w:fill="365F91"/>
            <w:vAlign w:val="bottom"/>
          </w:tcPr>
          <w:p w14:paraId="79D8B828" w14:textId="77777777" w:rsidR="0068777C" w:rsidRPr="00256982" w:rsidRDefault="0068777C" w:rsidP="0068777C">
            <w:pPr>
              <w:pStyle w:val="TableTextBold"/>
              <w:keepNext/>
              <w:rPr>
                <w:noProof w:val="0"/>
                <w:color w:val="FFFFFF"/>
              </w:rPr>
            </w:pPr>
            <w:r w:rsidRPr="00256982">
              <w:rPr>
                <w:noProof w:val="0"/>
                <w:color w:val="FFFFFF"/>
              </w:rPr>
              <w:t xml:space="preserve">Emission ratio </w:t>
            </w:r>
            <w:r w:rsidRPr="00256982">
              <w:rPr>
                <w:noProof w:val="0"/>
                <w:color w:val="FFFFFF"/>
              </w:rPr>
              <w:br/>
              <w:t>(Revised IPCC 1996 Guidelines)</w:t>
            </w:r>
          </w:p>
        </w:tc>
        <w:tc>
          <w:tcPr>
            <w:tcW w:w="3337" w:type="dxa"/>
            <w:shd w:val="clear" w:color="auto" w:fill="365F91"/>
          </w:tcPr>
          <w:p w14:paraId="0A1DC02F" w14:textId="77777777" w:rsidR="0068777C" w:rsidRPr="00256982" w:rsidRDefault="0068777C" w:rsidP="0068777C">
            <w:pPr>
              <w:pStyle w:val="TableTextBold"/>
              <w:keepNext/>
              <w:rPr>
                <w:noProof w:val="0"/>
                <w:color w:val="FFFFFF"/>
              </w:rPr>
            </w:pPr>
            <w:r w:rsidRPr="00256982">
              <w:rPr>
                <w:noProof w:val="0"/>
                <w:color w:val="FFFFFF"/>
              </w:rPr>
              <w:t>Conversion ratio from carbon or nitrogen to specified greenhouse gas</w:t>
            </w:r>
            <w:r w:rsidRPr="00256982">
              <w:rPr>
                <w:noProof w:val="0"/>
                <w:color w:val="FFFFFF"/>
              </w:rPr>
              <w:br/>
              <w:t>(Revised IPCC 1996 Guidelines)</w:t>
            </w:r>
          </w:p>
        </w:tc>
      </w:tr>
      <w:tr w:rsidR="0068777C" w:rsidRPr="00256982" w14:paraId="417AD4F3" w14:textId="77777777" w:rsidTr="0068777C">
        <w:trPr>
          <w:trHeight w:val="217"/>
        </w:trPr>
        <w:tc>
          <w:tcPr>
            <w:tcW w:w="1611" w:type="dxa"/>
          </w:tcPr>
          <w:p w14:paraId="084A3123" w14:textId="77777777" w:rsidR="0068777C" w:rsidRPr="00256982" w:rsidRDefault="0068777C" w:rsidP="0068777C">
            <w:pPr>
              <w:pStyle w:val="TableText"/>
            </w:pPr>
            <w:r w:rsidRPr="00256982">
              <w:t>CH</w:t>
            </w:r>
            <w:r w:rsidRPr="00256982">
              <w:rPr>
                <w:vertAlign w:val="subscript"/>
              </w:rPr>
              <w:t>4</w:t>
            </w:r>
          </w:p>
        </w:tc>
        <w:tc>
          <w:tcPr>
            <w:tcW w:w="2990" w:type="dxa"/>
          </w:tcPr>
          <w:p w14:paraId="214BD406" w14:textId="77777777" w:rsidR="0068777C" w:rsidRPr="00256982" w:rsidRDefault="0068777C" w:rsidP="0068777C">
            <w:pPr>
              <w:pStyle w:val="TableText"/>
            </w:pPr>
            <w:r w:rsidRPr="00256982">
              <w:t>0.005</w:t>
            </w:r>
          </w:p>
        </w:tc>
        <w:tc>
          <w:tcPr>
            <w:tcW w:w="3337" w:type="dxa"/>
          </w:tcPr>
          <w:p w14:paraId="7511A884" w14:textId="77777777" w:rsidR="0068777C" w:rsidRPr="00256982" w:rsidRDefault="0068777C" w:rsidP="0068777C">
            <w:pPr>
              <w:pStyle w:val="TableText"/>
            </w:pPr>
            <w:r w:rsidRPr="00256982">
              <w:t>16/12</w:t>
            </w:r>
          </w:p>
        </w:tc>
      </w:tr>
      <w:tr w:rsidR="0068777C" w:rsidRPr="00256982" w14:paraId="03DA7F2D" w14:textId="77777777" w:rsidTr="0068777C">
        <w:trPr>
          <w:trHeight w:val="217"/>
        </w:trPr>
        <w:tc>
          <w:tcPr>
            <w:tcW w:w="1611" w:type="dxa"/>
          </w:tcPr>
          <w:p w14:paraId="20485801" w14:textId="77777777" w:rsidR="0068777C" w:rsidRPr="00256982" w:rsidRDefault="0068777C" w:rsidP="0068777C">
            <w:pPr>
              <w:pStyle w:val="TableText"/>
            </w:pPr>
            <w:r w:rsidRPr="00256982">
              <w:t>CO</w:t>
            </w:r>
          </w:p>
        </w:tc>
        <w:tc>
          <w:tcPr>
            <w:tcW w:w="2990" w:type="dxa"/>
          </w:tcPr>
          <w:p w14:paraId="1264DD28" w14:textId="77777777" w:rsidR="0068777C" w:rsidRPr="00256982" w:rsidRDefault="0068777C" w:rsidP="0068777C">
            <w:pPr>
              <w:pStyle w:val="TableText"/>
            </w:pPr>
            <w:r w:rsidRPr="00256982">
              <w:t>0.06</w:t>
            </w:r>
          </w:p>
        </w:tc>
        <w:tc>
          <w:tcPr>
            <w:tcW w:w="3337" w:type="dxa"/>
          </w:tcPr>
          <w:p w14:paraId="42850340" w14:textId="77777777" w:rsidR="0068777C" w:rsidRPr="00256982" w:rsidRDefault="0068777C" w:rsidP="0068777C">
            <w:pPr>
              <w:pStyle w:val="TableText"/>
            </w:pPr>
            <w:r w:rsidRPr="00256982">
              <w:t>28/12</w:t>
            </w:r>
          </w:p>
        </w:tc>
      </w:tr>
      <w:tr w:rsidR="0068777C" w:rsidRPr="00256982" w14:paraId="54204D61" w14:textId="77777777" w:rsidTr="0068777C">
        <w:trPr>
          <w:trHeight w:val="235"/>
        </w:trPr>
        <w:tc>
          <w:tcPr>
            <w:tcW w:w="1611" w:type="dxa"/>
          </w:tcPr>
          <w:p w14:paraId="704D9B6A" w14:textId="77777777" w:rsidR="0068777C" w:rsidRPr="00256982" w:rsidRDefault="0068777C" w:rsidP="0068777C">
            <w:pPr>
              <w:pStyle w:val="TableText"/>
            </w:pPr>
            <w:r w:rsidRPr="00256982">
              <w:t>N</w:t>
            </w:r>
            <w:r w:rsidRPr="00256982">
              <w:rPr>
                <w:vertAlign w:val="subscript"/>
              </w:rPr>
              <w:t>2</w:t>
            </w:r>
            <w:r w:rsidRPr="00256982">
              <w:t>O</w:t>
            </w:r>
          </w:p>
        </w:tc>
        <w:tc>
          <w:tcPr>
            <w:tcW w:w="2990" w:type="dxa"/>
          </w:tcPr>
          <w:p w14:paraId="6C5028F1" w14:textId="77777777" w:rsidR="0068777C" w:rsidRPr="00256982" w:rsidRDefault="0068777C" w:rsidP="0068777C">
            <w:pPr>
              <w:pStyle w:val="TableText"/>
            </w:pPr>
            <w:r w:rsidRPr="00256982">
              <w:t>0.007</w:t>
            </w:r>
          </w:p>
        </w:tc>
        <w:tc>
          <w:tcPr>
            <w:tcW w:w="3337" w:type="dxa"/>
          </w:tcPr>
          <w:p w14:paraId="5A3F9412" w14:textId="77777777" w:rsidR="0068777C" w:rsidRPr="00256982" w:rsidRDefault="0068777C" w:rsidP="0068777C">
            <w:pPr>
              <w:pStyle w:val="TableText"/>
            </w:pPr>
            <w:r w:rsidRPr="00256982">
              <w:t>44/28</w:t>
            </w:r>
          </w:p>
        </w:tc>
      </w:tr>
      <w:tr w:rsidR="0068777C" w:rsidRPr="00256982" w14:paraId="1A8E2E01" w14:textId="77777777" w:rsidTr="0068777C">
        <w:trPr>
          <w:trHeight w:val="235"/>
        </w:trPr>
        <w:tc>
          <w:tcPr>
            <w:tcW w:w="1611" w:type="dxa"/>
          </w:tcPr>
          <w:p w14:paraId="76457015" w14:textId="77777777" w:rsidR="0068777C" w:rsidRPr="00256982" w:rsidRDefault="0068777C" w:rsidP="0068777C">
            <w:pPr>
              <w:pStyle w:val="TableText"/>
            </w:pPr>
            <w:r w:rsidRPr="00256982">
              <w:t>NO</w:t>
            </w:r>
            <w:r w:rsidRPr="00256982">
              <w:rPr>
                <w:vertAlign w:val="subscript"/>
              </w:rPr>
              <w:t>x</w:t>
            </w:r>
          </w:p>
        </w:tc>
        <w:tc>
          <w:tcPr>
            <w:tcW w:w="2990" w:type="dxa"/>
          </w:tcPr>
          <w:p w14:paraId="60E9BA68" w14:textId="77777777" w:rsidR="0068777C" w:rsidRPr="00256982" w:rsidRDefault="0068777C" w:rsidP="0068777C">
            <w:pPr>
              <w:pStyle w:val="TableText"/>
            </w:pPr>
            <w:r w:rsidRPr="00256982">
              <w:t>0.121</w:t>
            </w:r>
          </w:p>
        </w:tc>
        <w:tc>
          <w:tcPr>
            <w:tcW w:w="3337" w:type="dxa"/>
          </w:tcPr>
          <w:p w14:paraId="01A10D77" w14:textId="77777777" w:rsidR="0068777C" w:rsidRPr="00256982" w:rsidRDefault="0068777C" w:rsidP="0068777C">
            <w:pPr>
              <w:pStyle w:val="TableText"/>
            </w:pPr>
            <w:r w:rsidRPr="00256982">
              <w:t>46/14</w:t>
            </w:r>
          </w:p>
        </w:tc>
      </w:tr>
    </w:tbl>
    <w:p w14:paraId="5B879070" w14:textId="77777777" w:rsidR="0068777C" w:rsidRPr="00256982" w:rsidRDefault="0068777C" w:rsidP="0068777C">
      <w:pPr>
        <w:pStyle w:val="BodyText"/>
        <w:spacing w:before="360"/>
      </w:pPr>
      <w:r w:rsidRPr="00256982">
        <w:t>The total emissions (CH</w:t>
      </w:r>
      <w:r w:rsidRPr="00256982">
        <w:rPr>
          <w:vertAlign w:val="subscript"/>
        </w:rPr>
        <w:t>4</w:t>
      </w:r>
      <w:r w:rsidRPr="00256982">
        <w:t>, CO, N</w:t>
      </w:r>
      <w:r w:rsidRPr="00256982">
        <w:rPr>
          <w:vertAlign w:val="subscript"/>
        </w:rPr>
        <w:t>2</w:t>
      </w:r>
      <w:r w:rsidRPr="00256982">
        <w:t>O and NO</w:t>
      </w:r>
      <w:r w:rsidRPr="00256982">
        <w:rPr>
          <w:vertAlign w:val="subscript"/>
        </w:rPr>
        <w:t>x</w:t>
      </w:r>
      <w:r w:rsidRPr="00256982">
        <w:t>) are calculated:</w:t>
      </w:r>
    </w:p>
    <w:bookmarkStart w:id="868" w:name="_MON_1552216075"/>
    <w:bookmarkEnd w:id="868"/>
    <w:p w14:paraId="7ABD073E" w14:textId="77777777" w:rsidR="0068777C" w:rsidRPr="00256982" w:rsidRDefault="0068777C" w:rsidP="0068777C">
      <w:pPr>
        <w:pStyle w:val="BodyText"/>
      </w:pPr>
      <w:r w:rsidRPr="00256982">
        <w:object w:dxaOrig="6386" w:dyaOrig="322" w14:anchorId="7397C3D6">
          <v:shape id="_x0000_i1111" type="#_x0000_t75" style="width:324.75pt;height:16.5pt" o:ole="">
            <v:imagedata r:id="rId161" o:title=""/>
          </v:shape>
          <o:OLEObject Type="Embed" ProgID="Word.Document.12" ShapeID="_x0000_i1111" DrawAspect="Content" ObjectID="_1616241220" r:id="rId162">
            <o:FieldCodes>\s</o:FieldCodes>
          </o:OLEObject>
        </w:object>
      </w:r>
    </w:p>
    <w:p w14:paraId="40CBC2EB" w14:textId="77777777" w:rsidR="0068777C" w:rsidRPr="00256982" w:rsidRDefault="0068777C" w:rsidP="0068777C">
      <w:pPr>
        <w:keepNext/>
        <w:spacing w:before="120"/>
        <w:ind w:left="1134" w:hanging="1134"/>
      </w:pPr>
      <w:r w:rsidRPr="00256982">
        <w:t>Where:</w:t>
      </w:r>
      <w:r w:rsidRPr="00256982">
        <w:tab/>
        <w:t>AG</w:t>
      </w:r>
      <w:r w:rsidRPr="00256982">
        <w:rPr>
          <w:vertAlign w:val="subscript"/>
        </w:rPr>
        <w:t>BURN</w:t>
      </w:r>
      <w:r w:rsidRPr="00256982">
        <w:t xml:space="preserve"> is the above-ground biomass burned (kt)</w:t>
      </w:r>
    </w:p>
    <w:p w14:paraId="640192B3" w14:textId="77777777" w:rsidR="0068777C" w:rsidRPr="00256982" w:rsidRDefault="0068777C" w:rsidP="0068777C">
      <w:pPr>
        <w:spacing w:before="120"/>
        <w:ind w:left="1134" w:hanging="1134"/>
      </w:pPr>
      <w:r w:rsidRPr="00256982">
        <w:tab/>
        <w:t>Frac</w:t>
      </w:r>
      <w:r w:rsidRPr="00256982">
        <w:rPr>
          <w:vertAlign w:val="subscript"/>
        </w:rPr>
        <w:t>OX</w:t>
      </w:r>
      <w:r w:rsidRPr="00256982">
        <w:t xml:space="preserve"> is the fraction oxidised (see table 5.7.2) </w:t>
      </w:r>
    </w:p>
    <w:p w14:paraId="2B65DB5C" w14:textId="77777777" w:rsidR="0068777C" w:rsidRPr="00256982" w:rsidRDefault="0068777C" w:rsidP="0068777C">
      <w:pPr>
        <w:spacing w:before="120"/>
        <w:ind w:left="1134" w:hanging="1134"/>
      </w:pPr>
      <w:r w:rsidRPr="00256982">
        <w:tab/>
        <w:t xml:space="preserve">ER is the gas-specific emission ratio, and </w:t>
      </w:r>
    </w:p>
    <w:p w14:paraId="7D9D1556" w14:textId="77777777" w:rsidR="0068777C" w:rsidRPr="00256982" w:rsidRDefault="0068777C" w:rsidP="0068777C">
      <w:pPr>
        <w:spacing w:before="120" w:after="120"/>
        <w:ind w:left="1134" w:hanging="1134"/>
      </w:pPr>
      <w:r w:rsidRPr="00256982">
        <w:tab/>
        <w:t xml:space="preserve">GCR is the gas-conversion ratio (see table 5.7.1). </w:t>
      </w:r>
    </w:p>
    <w:p w14:paraId="0E4877EF" w14:textId="77777777" w:rsidR="0068777C" w:rsidRPr="00256982" w:rsidRDefault="0068777C" w:rsidP="0068777C">
      <w:pPr>
        <w:pStyle w:val="BodyText"/>
      </w:pPr>
      <w:r w:rsidRPr="00256982">
        <w:t>The calculation for AG</w:t>
      </w:r>
      <w:r w:rsidRPr="00256982">
        <w:rPr>
          <w:vertAlign w:val="subscript"/>
        </w:rPr>
        <w:t xml:space="preserve">BURN </w:t>
      </w:r>
      <w:r w:rsidRPr="00256982">
        <w:t>is different for 1990 to 2004 and 2005 to 2017 to account for changes in the availability of activity data over this period. Statistics New Zealand did not collect data on crop residue burning prior to 2005. Therefore, from 1990 to 2004, calculation of the amount of biomass residue burned (AG</w:t>
      </w:r>
      <w:r w:rsidRPr="00256982">
        <w:rPr>
          <w:vertAlign w:val="subscript"/>
        </w:rPr>
        <w:t>BURN</w:t>
      </w:r>
      <w:r w:rsidRPr="00256982">
        <w:t>) was based on the total mass of crop production (from the Statistics New Zealand Agricultural Production census and survey) and assumed fractions burned for each crop, where:</w:t>
      </w:r>
    </w:p>
    <w:p w14:paraId="0D2DD0B0" w14:textId="77777777" w:rsidR="0068777C" w:rsidRPr="00256982" w:rsidRDefault="0068777C" w:rsidP="0068777C">
      <w:pPr>
        <w:pStyle w:val="BodyText"/>
        <w:spacing w:before="60" w:after="60"/>
      </w:pPr>
      <w:r w:rsidRPr="00256982">
        <w:object w:dxaOrig="6806" w:dyaOrig="301" w14:anchorId="2040E9EC">
          <v:shape id="_x0000_i1112" type="#_x0000_t75" style="width:342pt;height:16.5pt" o:ole="">
            <v:imagedata r:id="rId163" o:title="" cropleft="3144f" cropright="5109f"/>
          </v:shape>
          <o:OLEObject Type="Embed" ProgID="Word.Document.12" ShapeID="_x0000_i1112" DrawAspect="Content" ObjectID="_1616241221" r:id="rId164">
            <o:FieldCodes>\s</o:FieldCodes>
          </o:OLEObject>
        </w:object>
      </w:r>
    </w:p>
    <w:p w14:paraId="31ABA0A4" w14:textId="77777777" w:rsidR="0068777C" w:rsidRPr="00256982" w:rsidRDefault="0068777C" w:rsidP="0068777C">
      <w:pPr>
        <w:pStyle w:val="BodyText"/>
        <w:spacing w:after="0"/>
        <w:ind w:left="993" w:hanging="993"/>
      </w:pPr>
      <w:r w:rsidRPr="00256982">
        <w:t>Where:</w:t>
      </w:r>
      <w:r w:rsidRPr="00256982">
        <w:tab/>
        <w:t>AG</w:t>
      </w:r>
      <w:r w:rsidRPr="00256982">
        <w:rPr>
          <w:vertAlign w:val="subscript"/>
        </w:rPr>
        <w:t>DM</w:t>
      </w:r>
      <w:r w:rsidRPr="00256982">
        <w:t xml:space="preserve"> is the above-ground residue (defined below)</w:t>
      </w:r>
    </w:p>
    <w:p w14:paraId="203E8FF8" w14:textId="77777777" w:rsidR="0068777C" w:rsidRPr="00256982" w:rsidRDefault="0068777C" w:rsidP="0068777C">
      <w:pPr>
        <w:spacing w:before="120"/>
        <w:ind w:left="964"/>
      </w:pPr>
      <w:r w:rsidRPr="00256982">
        <w:t>Frac</w:t>
      </w:r>
      <w:r w:rsidRPr="00256982">
        <w:rPr>
          <w:vertAlign w:val="subscript"/>
        </w:rPr>
        <w:t xml:space="preserve">AREA–BURN </w:t>
      </w:r>
      <w:r w:rsidRPr="00256982">
        <w:t>is the proportion of crop area burned of the total production area (discussed further below)</w:t>
      </w:r>
    </w:p>
    <w:p w14:paraId="1B25CF26" w14:textId="77777777" w:rsidR="0068777C" w:rsidRPr="00256982" w:rsidRDefault="0068777C" w:rsidP="0068777C">
      <w:pPr>
        <w:spacing w:before="120"/>
        <w:ind w:left="964"/>
      </w:pPr>
      <w:r w:rsidRPr="00256982">
        <w:t>Frac</w:t>
      </w:r>
      <w:r w:rsidRPr="00256982">
        <w:rPr>
          <w:vertAlign w:val="subscript"/>
        </w:rPr>
        <w:t>RESIDUE</w:t>
      </w:r>
      <w:r w:rsidRPr="00256982">
        <w:t xml:space="preserve"> is the proportion of residue remaining after harvest (see table 5.7.2), and</w:t>
      </w:r>
    </w:p>
    <w:p w14:paraId="1488A52C" w14:textId="77777777" w:rsidR="0068777C" w:rsidRPr="00256982" w:rsidRDefault="0068777C" w:rsidP="0068777C">
      <w:pPr>
        <w:spacing w:before="120" w:after="120"/>
        <w:ind w:left="964"/>
      </w:pPr>
      <w:r w:rsidRPr="00256982">
        <w:t>Frac</w:t>
      </w:r>
      <w:r w:rsidRPr="00256982">
        <w:rPr>
          <w:vertAlign w:val="subscript"/>
        </w:rPr>
        <w:t>BURN</w:t>
      </w:r>
      <w:r w:rsidRPr="00256982">
        <w:t xml:space="preserve"> is the proportion of remaining residue burned (see table 5.7.2).</w:t>
      </w:r>
    </w:p>
    <w:p w14:paraId="59353D95" w14:textId="77777777" w:rsidR="0068777C" w:rsidRPr="00256982" w:rsidRDefault="0068777C" w:rsidP="0068777C">
      <w:pPr>
        <w:pStyle w:val="BodyText"/>
        <w:spacing w:after="60"/>
      </w:pPr>
      <w:r w:rsidRPr="00256982">
        <w:t>The above-ground residue, AG</w:t>
      </w:r>
      <w:r w:rsidRPr="00256982">
        <w:rPr>
          <w:vertAlign w:val="subscript"/>
        </w:rPr>
        <w:t>DM</w:t>
      </w:r>
      <w:r w:rsidRPr="00256982">
        <w:t xml:space="preserve"> (tonnes), is:</w:t>
      </w:r>
    </w:p>
    <w:p w14:paraId="6A886A99" w14:textId="77777777" w:rsidR="0068777C" w:rsidRPr="00256982" w:rsidRDefault="0068777C" w:rsidP="0068777C">
      <w:pPr>
        <w:pStyle w:val="BodyText"/>
      </w:pPr>
      <w:r w:rsidRPr="00256982">
        <w:object w:dxaOrig="7916" w:dyaOrig="499" w14:anchorId="755ABBE7">
          <v:shape id="_x0000_i1113" type="#_x0000_t75" style="width:396.75pt;height:24pt" o:ole="">
            <v:imagedata r:id="rId165" o:title=""/>
          </v:shape>
          <o:OLEObject Type="Embed" ProgID="Word.Document.12" ShapeID="_x0000_i1113" DrawAspect="Content" ObjectID="_1616241222" r:id="rId166">
            <o:FieldCodes>\s</o:FieldCodes>
          </o:OLEObject>
        </w:object>
      </w:r>
    </w:p>
    <w:p w14:paraId="0E6E57E3" w14:textId="77777777" w:rsidR="0068777C" w:rsidRPr="00256982" w:rsidRDefault="0068777C" w:rsidP="0068777C">
      <w:pPr>
        <w:spacing w:before="120" w:after="160"/>
        <w:ind w:left="964" w:hanging="964"/>
      </w:pPr>
      <w:r w:rsidRPr="00256982">
        <w:t>Where:</w:t>
      </w:r>
      <w:r w:rsidRPr="00256982">
        <w:tab/>
        <w:t>HI is the harvest index (crop-specific, table 5.7.2), that is, the mass harvested over the total mass of above-ground biomass.</w:t>
      </w:r>
    </w:p>
    <w:p w14:paraId="3A2E4CF2" w14:textId="77777777" w:rsidR="0068777C" w:rsidRPr="00256982" w:rsidRDefault="0068777C" w:rsidP="0068777C">
      <w:pPr>
        <w:pStyle w:val="BodyText"/>
        <w:keepNext/>
        <w:spacing w:after="60"/>
      </w:pPr>
      <w:r w:rsidRPr="00256982">
        <w:t>The dry matter, Prod</w:t>
      </w:r>
      <w:r w:rsidRPr="00256982">
        <w:rPr>
          <w:vertAlign w:val="subscript"/>
        </w:rPr>
        <w:t>DM</w:t>
      </w:r>
      <w:r w:rsidRPr="00256982">
        <w:t xml:space="preserve"> (tonnes), available to be burned is:</w:t>
      </w:r>
    </w:p>
    <w:p w14:paraId="1D4AC392" w14:textId="77777777" w:rsidR="0068777C" w:rsidRPr="00256982" w:rsidRDefault="0068777C" w:rsidP="0068777C">
      <w:pPr>
        <w:pStyle w:val="BodyText"/>
        <w:spacing w:after="60"/>
      </w:pPr>
      <w:r w:rsidRPr="00256982">
        <w:object w:dxaOrig="7181" w:dyaOrig="322" w14:anchorId="34E77D76">
          <v:shape id="_x0000_i1114" type="#_x0000_t75" style="width:5in;height:16.5pt" o:ole="">
            <v:imagedata r:id="rId167" o:title=""/>
          </v:shape>
          <o:OLEObject Type="Embed" ProgID="Word.Document.12" ShapeID="_x0000_i1114" DrawAspect="Content" ObjectID="_1616241223" r:id="rId168">
            <o:FieldCodes>\s</o:FieldCodes>
          </o:OLEObject>
        </w:object>
      </w:r>
    </w:p>
    <w:p w14:paraId="583D81D8" w14:textId="77777777" w:rsidR="0068777C" w:rsidRPr="00256982" w:rsidRDefault="0068777C" w:rsidP="0068777C">
      <w:pPr>
        <w:tabs>
          <w:tab w:val="left" w:pos="1134"/>
        </w:tabs>
        <w:spacing w:before="120"/>
        <w:ind w:left="964" w:hanging="964"/>
      </w:pPr>
      <w:r w:rsidRPr="00256982">
        <w:t>Where:</w:t>
      </w:r>
      <w:r w:rsidRPr="00256982">
        <w:tab/>
        <w:t>Crop</w:t>
      </w:r>
      <w:r w:rsidRPr="00256982">
        <w:rPr>
          <w:vertAlign w:val="subscript"/>
        </w:rPr>
        <w:t>PROD</w:t>
      </w:r>
      <w:r w:rsidRPr="00256982">
        <w:t xml:space="preserve"> is the annual crop production (tonnes) (Statistics New Zealand Agricultural Production census and survey), and</w:t>
      </w:r>
    </w:p>
    <w:p w14:paraId="4AAB1216" w14:textId="77777777" w:rsidR="0068777C" w:rsidRPr="00256982" w:rsidRDefault="0068777C" w:rsidP="0068777C">
      <w:pPr>
        <w:spacing w:before="120" w:after="120"/>
        <w:ind w:left="964" w:hanging="964"/>
      </w:pPr>
      <w:r w:rsidRPr="00256982">
        <w:tab/>
        <w:t>Frac</w:t>
      </w:r>
      <w:r w:rsidRPr="00256982">
        <w:rPr>
          <w:vertAlign w:val="subscript"/>
        </w:rPr>
        <w:t>DM</w:t>
      </w:r>
      <w:r w:rsidRPr="00256982">
        <w:t xml:space="preserve"> is the fraction of crop that is dry matter (crop specific, table 5.7.2).</w:t>
      </w:r>
    </w:p>
    <w:p w14:paraId="1FE1AEEF" w14:textId="77777777" w:rsidR="0068777C" w:rsidRPr="00256982" w:rsidRDefault="0068777C" w:rsidP="0068777C">
      <w:pPr>
        <w:pStyle w:val="Table"/>
      </w:pPr>
      <w:bookmarkStart w:id="869" w:name="_Toc352504980"/>
      <w:bookmarkStart w:id="870" w:name="_Toc441830891"/>
      <w:bookmarkStart w:id="871" w:name="_Toc451176105"/>
      <w:bookmarkStart w:id="872" w:name="_Toc481751535"/>
      <w:bookmarkStart w:id="873" w:name="_Toc507158621"/>
      <w:bookmarkStart w:id="874" w:name="_Toc511116755"/>
      <w:bookmarkStart w:id="875" w:name="_Toc5269497"/>
      <w:r w:rsidRPr="00256982">
        <w:lastRenderedPageBreak/>
        <w:t xml:space="preserve">Table 5.7.2 </w:t>
      </w:r>
      <w:r w:rsidRPr="00256982">
        <w:tab/>
        <w:t>Values used to calculate New Zealand emissions from burning of agricultural residues</w:t>
      </w:r>
      <w:bookmarkEnd w:id="869"/>
      <w:bookmarkEnd w:id="870"/>
      <w:bookmarkEnd w:id="871"/>
      <w:bookmarkEnd w:id="872"/>
      <w:bookmarkEnd w:id="873"/>
      <w:bookmarkEnd w:id="874"/>
      <w:bookmarkEnd w:id="875"/>
    </w:p>
    <w:tbl>
      <w:tblPr>
        <w:tblW w:w="8505" w:type="dxa"/>
        <w:tblInd w:w="108" w:type="dxa"/>
        <w:tblBorders>
          <w:top w:val="single" w:sz="4" w:space="0" w:color="365F91"/>
          <w:bottom w:val="single" w:sz="4" w:space="0" w:color="365F91"/>
          <w:insideH w:val="single" w:sz="4" w:space="0" w:color="365F91"/>
        </w:tblBorders>
        <w:tblLook w:val="0000" w:firstRow="0" w:lastRow="0" w:firstColumn="0" w:lastColumn="0" w:noHBand="0" w:noVBand="0"/>
      </w:tblPr>
      <w:tblGrid>
        <w:gridCol w:w="4695"/>
        <w:gridCol w:w="1270"/>
        <w:gridCol w:w="1270"/>
        <w:gridCol w:w="1270"/>
      </w:tblGrid>
      <w:tr w:rsidR="0068777C" w:rsidRPr="00256982" w14:paraId="51670651" w14:textId="77777777" w:rsidTr="0068777C">
        <w:trPr>
          <w:tblHeader/>
        </w:trPr>
        <w:tc>
          <w:tcPr>
            <w:tcW w:w="4480" w:type="dxa"/>
            <w:shd w:val="clear" w:color="auto" w:fill="365F91"/>
            <w:noWrap/>
            <w:vAlign w:val="bottom"/>
          </w:tcPr>
          <w:p w14:paraId="3000D19B" w14:textId="77777777" w:rsidR="0068777C" w:rsidRPr="00256982" w:rsidRDefault="0068777C" w:rsidP="0068777C">
            <w:pPr>
              <w:pStyle w:val="TableTextBold"/>
              <w:keepNext/>
              <w:spacing w:before="40" w:after="40"/>
              <w:rPr>
                <w:noProof w:val="0"/>
                <w:color w:val="FFFFFF"/>
              </w:rPr>
            </w:pPr>
          </w:p>
        </w:tc>
        <w:tc>
          <w:tcPr>
            <w:tcW w:w="1211" w:type="dxa"/>
            <w:shd w:val="clear" w:color="auto" w:fill="365F91"/>
            <w:noWrap/>
            <w:vAlign w:val="bottom"/>
          </w:tcPr>
          <w:p w14:paraId="2A75E56D" w14:textId="77777777" w:rsidR="0068777C" w:rsidRPr="00256982" w:rsidRDefault="0068777C" w:rsidP="0068777C">
            <w:pPr>
              <w:pStyle w:val="TableTextBold"/>
              <w:keepNext/>
              <w:spacing w:before="40" w:after="40"/>
              <w:rPr>
                <w:noProof w:val="0"/>
                <w:color w:val="FFFFFF"/>
              </w:rPr>
            </w:pPr>
            <w:r w:rsidRPr="00256982">
              <w:rPr>
                <w:noProof w:val="0"/>
                <w:color w:val="FFFFFF"/>
              </w:rPr>
              <w:t>Barley</w:t>
            </w:r>
          </w:p>
        </w:tc>
        <w:tc>
          <w:tcPr>
            <w:tcW w:w="1211" w:type="dxa"/>
            <w:shd w:val="clear" w:color="auto" w:fill="365F91"/>
            <w:noWrap/>
            <w:vAlign w:val="bottom"/>
          </w:tcPr>
          <w:p w14:paraId="07EF5055" w14:textId="77777777" w:rsidR="0068777C" w:rsidRPr="00256982" w:rsidRDefault="0068777C" w:rsidP="0068777C">
            <w:pPr>
              <w:pStyle w:val="TableTextBold"/>
              <w:keepNext/>
              <w:spacing w:before="40" w:after="40"/>
              <w:rPr>
                <w:noProof w:val="0"/>
                <w:color w:val="FFFFFF"/>
              </w:rPr>
            </w:pPr>
            <w:r w:rsidRPr="00256982">
              <w:rPr>
                <w:noProof w:val="0"/>
                <w:color w:val="FFFFFF"/>
              </w:rPr>
              <w:t>Wheat</w:t>
            </w:r>
          </w:p>
        </w:tc>
        <w:tc>
          <w:tcPr>
            <w:tcW w:w="1211" w:type="dxa"/>
            <w:shd w:val="clear" w:color="auto" w:fill="365F91"/>
            <w:noWrap/>
            <w:vAlign w:val="bottom"/>
          </w:tcPr>
          <w:p w14:paraId="02E9762B" w14:textId="77777777" w:rsidR="0068777C" w:rsidRPr="00256982" w:rsidRDefault="0068777C" w:rsidP="0068777C">
            <w:pPr>
              <w:pStyle w:val="TableTextBold"/>
              <w:keepNext/>
              <w:spacing w:before="40" w:after="40"/>
              <w:rPr>
                <w:noProof w:val="0"/>
                <w:color w:val="FFFFFF"/>
              </w:rPr>
            </w:pPr>
            <w:r w:rsidRPr="00256982">
              <w:rPr>
                <w:noProof w:val="0"/>
                <w:color w:val="FFFFFF"/>
              </w:rPr>
              <w:t>Oats</w:t>
            </w:r>
          </w:p>
        </w:tc>
      </w:tr>
      <w:tr w:rsidR="0068777C" w:rsidRPr="00256982" w14:paraId="5FF60444" w14:textId="77777777" w:rsidTr="0068777C">
        <w:tc>
          <w:tcPr>
            <w:tcW w:w="4480" w:type="dxa"/>
            <w:noWrap/>
            <w:vAlign w:val="bottom"/>
          </w:tcPr>
          <w:p w14:paraId="786A4231" w14:textId="77777777" w:rsidR="0068777C" w:rsidRPr="00256982" w:rsidRDefault="0068777C" w:rsidP="0068777C">
            <w:pPr>
              <w:pStyle w:val="TableText"/>
              <w:spacing w:before="40" w:after="40"/>
              <w:rPr>
                <w:rFonts w:cs="Arial"/>
                <w:szCs w:val="16"/>
              </w:rPr>
            </w:pPr>
            <w:r w:rsidRPr="00256982">
              <w:rPr>
                <w:rFonts w:cs="Arial"/>
                <w:szCs w:val="16"/>
              </w:rPr>
              <w:t>Fraction oxidised</w:t>
            </w:r>
          </w:p>
        </w:tc>
        <w:tc>
          <w:tcPr>
            <w:tcW w:w="1211" w:type="dxa"/>
            <w:noWrap/>
            <w:vAlign w:val="bottom"/>
          </w:tcPr>
          <w:p w14:paraId="1F7A50CE" w14:textId="77777777" w:rsidR="0068777C" w:rsidRPr="00256982" w:rsidRDefault="0068777C" w:rsidP="0068777C">
            <w:pPr>
              <w:pStyle w:val="TableText"/>
              <w:spacing w:before="40" w:after="40"/>
              <w:rPr>
                <w:rFonts w:cs="Arial"/>
              </w:rPr>
            </w:pPr>
            <w:r w:rsidRPr="00256982">
              <w:rPr>
                <w:rFonts w:cs="Arial"/>
              </w:rPr>
              <w:t>0.9</w:t>
            </w:r>
          </w:p>
        </w:tc>
        <w:tc>
          <w:tcPr>
            <w:tcW w:w="1211" w:type="dxa"/>
            <w:noWrap/>
            <w:vAlign w:val="bottom"/>
          </w:tcPr>
          <w:p w14:paraId="327AC42E" w14:textId="77777777" w:rsidR="0068777C" w:rsidRPr="00256982" w:rsidRDefault="0068777C" w:rsidP="0068777C">
            <w:pPr>
              <w:pStyle w:val="TableText"/>
              <w:spacing w:before="40" w:after="40"/>
              <w:rPr>
                <w:rFonts w:cs="Arial"/>
              </w:rPr>
            </w:pPr>
            <w:r w:rsidRPr="00256982">
              <w:rPr>
                <w:rFonts w:cs="Arial"/>
              </w:rPr>
              <w:t>0.9</w:t>
            </w:r>
          </w:p>
        </w:tc>
        <w:tc>
          <w:tcPr>
            <w:tcW w:w="1211" w:type="dxa"/>
            <w:noWrap/>
            <w:vAlign w:val="bottom"/>
          </w:tcPr>
          <w:p w14:paraId="2AC4EE48" w14:textId="77777777" w:rsidR="0068777C" w:rsidRPr="00256982" w:rsidRDefault="0068777C" w:rsidP="0068777C">
            <w:pPr>
              <w:pStyle w:val="TableText"/>
              <w:spacing w:before="40" w:after="40"/>
              <w:rPr>
                <w:rFonts w:cs="Arial"/>
              </w:rPr>
            </w:pPr>
            <w:r w:rsidRPr="00256982">
              <w:rPr>
                <w:rFonts w:cs="Arial"/>
              </w:rPr>
              <w:t>0.9</w:t>
            </w:r>
          </w:p>
        </w:tc>
      </w:tr>
      <w:tr w:rsidR="0068777C" w:rsidRPr="00256982" w14:paraId="4409E91A" w14:textId="77777777" w:rsidTr="0068777C">
        <w:tc>
          <w:tcPr>
            <w:tcW w:w="4480" w:type="dxa"/>
            <w:noWrap/>
            <w:vAlign w:val="bottom"/>
          </w:tcPr>
          <w:p w14:paraId="7C0E82CF" w14:textId="77777777" w:rsidR="0068777C" w:rsidRPr="00256982" w:rsidRDefault="0068777C" w:rsidP="0068777C">
            <w:pPr>
              <w:pStyle w:val="TableText"/>
              <w:spacing w:before="40" w:after="40"/>
              <w:rPr>
                <w:rFonts w:cs="Arial"/>
                <w:szCs w:val="16"/>
              </w:rPr>
            </w:pPr>
            <w:r w:rsidRPr="00256982">
              <w:rPr>
                <w:rFonts w:cs="Arial"/>
                <w:szCs w:val="16"/>
              </w:rPr>
              <w:t>Residue remaining in field</w:t>
            </w:r>
          </w:p>
        </w:tc>
        <w:tc>
          <w:tcPr>
            <w:tcW w:w="1211" w:type="dxa"/>
            <w:noWrap/>
            <w:vAlign w:val="bottom"/>
          </w:tcPr>
          <w:p w14:paraId="53BD44CC" w14:textId="77777777" w:rsidR="0068777C" w:rsidRPr="00256982" w:rsidRDefault="0068777C" w:rsidP="0068777C">
            <w:pPr>
              <w:pStyle w:val="TableText"/>
              <w:spacing w:before="40" w:after="40"/>
              <w:rPr>
                <w:rFonts w:cs="Arial"/>
              </w:rPr>
            </w:pPr>
            <w:r w:rsidRPr="00256982">
              <w:rPr>
                <w:rFonts w:cs="Arial"/>
              </w:rPr>
              <w:t>1</w:t>
            </w:r>
          </w:p>
        </w:tc>
        <w:tc>
          <w:tcPr>
            <w:tcW w:w="1211" w:type="dxa"/>
            <w:noWrap/>
            <w:vAlign w:val="bottom"/>
          </w:tcPr>
          <w:p w14:paraId="1F051ADB" w14:textId="77777777" w:rsidR="0068777C" w:rsidRPr="00256982" w:rsidRDefault="0068777C" w:rsidP="0068777C">
            <w:pPr>
              <w:pStyle w:val="TableText"/>
              <w:spacing w:before="40" w:after="40"/>
              <w:rPr>
                <w:rFonts w:cs="Arial"/>
              </w:rPr>
            </w:pPr>
            <w:r w:rsidRPr="00256982">
              <w:rPr>
                <w:rFonts w:cs="Arial"/>
              </w:rPr>
              <w:t>1</w:t>
            </w:r>
          </w:p>
        </w:tc>
        <w:tc>
          <w:tcPr>
            <w:tcW w:w="1211" w:type="dxa"/>
            <w:noWrap/>
            <w:vAlign w:val="bottom"/>
          </w:tcPr>
          <w:p w14:paraId="21E407BF" w14:textId="77777777" w:rsidR="0068777C" w:rsidRPr="00256982" w:rsidRDefault="0068777C" w:rsidP="0068777C">
            <w:pPr>
              <w:pStyle w:val="TableText"/>
              <w:spacing w:before="40" w:after="40"/>
              <w:rPr>
                <w:rFonts w:cs="Arial"/>
              </w:rPr>
            </w:pPr>
            <w:r w:rsidRPr="00256982">
              <w:rPr>
                <w:rFonts w:cs="Arial"/>
              </w:rPr>
              <w:t>1</w:t>
            </w:r>
          </w:p>
        </w:tc>
      </w:tr>
      <w:tr w:rsidR="0068777C" w:rsidRPr="00256982" w14:paraId="6E8DE611" w14:textId="77777777" w:rsidTr="0068777C">
        <w:tc>
          <w:tcPr>
            <w:tcW w:w="4480" w:type="dxa"/>
            <w:noWrap/>
            <w:vAlign w:val="bottom"/>
          </w:tcPr>
          <w:p w14:paraId="4B40658F" w14:textId="77777777" w:rsidR="0068777C" w:rsidRPr="00256982" w:rsidRDefault="0068777C" w:rsidP="0068777C">
            <w:pPr>
              <w:pStyle w:val="TableText"/>
              <w:spacing w:before="40" w:after="40"/>
              <w:rPr>
                <w:rFonts w:cs="Arial"/>
                <w:szCs w:val="16"/>
              </w:rPr>
            </w:pPr>
            <w:r w:rsidRPr="00256982">
              <w:rPr>
                <w:rFonts w:cs="Arial"/>
                <w:szCs w:val="16"/>
              </w:rPr>
              <w:t>Fraction of residue actually burned</w:t>
            </w:r>
          </w:p>
        </w:tc>
        <w:tc>
          <w:tcPr>
            <w:tcW w:w="1211" w:type="dxa"/>
            <w:noWrap/>
            <w:vAlign w:val="bottom"/>
          </w:tcPr>
          <w:p w14:paraId="0084F3FF" w14:textId="77777777" w:rsidR="0068777C" w:rsidRPr="00256982" w:rsidRDefault="0068777C" w:rsidP="0068777C">
            <w:pPr>
              <w:pStyle w:val="TableText"/>
              <w:spacing w:before="40" w:after="40"/>
              <w:rPr>
                <w:rFonts w:cs="Arial"/>
              </w:rPr>
            </w:pPr>
            <w:r w:rsidRPr="00256982">
              <w:rPr>
                <w:rFonts w:cs="Arial"/>
              </w:rPr>
              <w:t>0.7</w:t>
            </w:r>
          </w:p>
        </w:tc>
        <w:tc>
          <w:tcPr>
            <w:tcW w:w="1211" w:type="dxa"/>
            <w:noWrap/>
            <w:vAlign w:val="bottom"/>
          </w:tcPr>
          <w:p w14:paraId="07913756" w14:textId="77777777" w:rsidR="0068777C" w:rsidRPr="00256982" w:rsidRDefault="0068777C" w:rsidP="0068777C">
            <w:pPr>
              <w:pStyle w:val="TableText"/>
              <w:spacing w:before="40" w:after="40"/>
              <w:rPr>
                <w:rFonts w:cs="Arial"/>
              </w:rPr>
            </w:pPr>
            <w:r w:rsidRPr="00256982">
              <w:rPr>
                <w:rFonts w:cs="Arial"/>
              </w:rPr>
              <w:t>0.7</w:t>
            </w:r>
          </w:p>
        </w:tc>
        <w:tc>
          <w:tcPr>
            <w:tcW w:w="1211" w:type="dxa"/>
            <w:noWrap/>
            <w:vAlign w:val="bottom"/>
          </w:tcPr>
          <w:p w14:paraId="69048C79" w14:textId="77777777" w:rsidR="0068777C" w:rsidRPr="00256982" w:rsidRDefault="0068777C" w:rsidP="0068777C">
            <w:pPr>
              <w:pStyle w:val="TableText"/>
              <w:spacing w:before="40" w:after="40"/>
              <w:rPr>
                <w:rFonts w:cs="Arial"/>
              </w:rPr>
            </w:pPr>
            <w:r w:rsidRPr="00256982">
              <w:rPr>
                <w:rFonts w:cs="Arial"/>
              </w:rPr>
              <w:t>0.7</w:t>
            </w:r>
          </w:p>
        </w:tc>
      </w:tr>
      <w:tr w:rsidR="0068777C" w:rsidRPr="00256982" w14:paraId="3D2F8B43" w14:textId="77777777" w:rsidTr="0068777C">
        <w:tc>
          <w:tcPr>
            <w:tcW w:w="4480" w:type="dxa"/>
            <w:noWrap/>
            <w:vAlign w:val="bottom"/>
          </w:tcPr>
          <w:p w14:paraId="54C0161B" w14:textId="77777777" w:rsidR="0068777C" w:rsidRPr="00256982" w:rsidRDefault="0068777C" w:rsidP="0068777C">
            <w:pPr>
              <w:pStyle w:val="TableText"/>
              <w:spacing w:before="40" w:after="40"/>
              <w:rPr>
                <w:rFonts w:cs="Arial"/>
                <w:szCs w:val="16"/>
              </w:rPr>
            </w:pPr>
            <w:r w:rsidRPr="00256982">
              <w:rPr>
                <w:rFonts w:cs="Arial"/>
                <w:szCs w:val="16"/>
              </w:rPr>
              <w:t>Harvest index</w:t>
            </w:r>
          </w:p>
        </w:tc>
        <w:tc>
          <w:tcPr>
            <w:tcW w:w="1211" w:type="dxa"/>
            <w:noWrap/>
            <w:vAlign w:val="bottom"/>
          </w:tcPr>
          <w:p w14:paraId="681CF46E" w14:textId="77777777" w:rsidR="0068777C" w:rsidRPr="00256982" w:rsidRDefault="0068777C" w:rsidP="0068777C">
            <w:pPr>
              <w:pStyle w:val="TableText"/>
              <w:spacing w:before="40" w:after="40"/>
              <w:rPr>
                <w:rFonts w:cs="Arial"/>
              </w:rPr>
            </w:pPr>
            <w:r w:rsidRPr="00256982">
              <w:rPr>
                <w:rFonts w:cs="Arial"/>
              </w:rPr>
              <w:t>0.46</w:t>
            </w:r>
          </w:p>
        </w:tc>
        <w:tc>
          <w:tcPr>
            <w:tcW w:w="1211" w:type="dxa"/>
            <w:noWrap/>
            <w:vAlign w:val="bottom"/>
          </w:tcPr>
          <w:p w14:paraId="39DA0C02" w14:textId="77777777" w:rsidR="0068777C" w:rsidRPr="00256982" w:rsidRDefault="0068777C" w:rsidP="0068777C">
            <w:pPr>
              <w:pStyle w:val="TableText"/>
              <w:spacing w:before="40" w:after="40"/>
              <w:rPr>
                <w:rFonts w:cs="Arial"/>
              </w:rPr>
            </w:pPr>
            <w:r w:rsidRPr="00256982">
              <w:rPr>
                <w:rFonts w:cs="Arial"/>
              </w:rPr>
              <w:t>0.41</w:t>
            </w:r>
          </w:p>
        </w:tc>
        <w:tc>
          <w:tcPr>
            <w:tcW w:w="1211" w:type="dxa"/>
            <w:noWrap/>
            <w:vAlign w:val="bottom"/>
          </w:tcPr>
          <w:p w14:paraId="7D0B7FB7" w14:textId="77777777" w:rsidR="0068777C" w:rsidRPr="00256982" w:rsidRDefault="0068777C" w:rsidP="0068777C">
            <w:pPr>
              <w:pStyle w:val="TableText"/>
              <w:spacing w:before="40" w:after="40"/>
              <w:rPr>
                <w:rFonts w:cs="Arial"/>
              </w:rPr>
            </w:pPr>
            <w:r w:rsidRPr="00256982">
              <w:rPr>
                <w:rFonts w:cs="Arial"/>
              </w:rPr>
              <w:t>0.30</w:t>
            </w:r>
          </w:p>
        </w:tc>
      </w:tr>
      <w:tr w:rsidR="0068777C" w:rsidRPr="00256982" w14:paraId="58491289" w14:textId="77777777" w:rsidTr="0068777C">
        <w:trPr>
          <w:trHeight w:val="165"/>
        </w:trPr>
        <w:tc>
          <w:tcPr>
            <w:tcW w:w="4480" w:type="dxa"/>
            <w:noWrap/>
            <w:vAlign w:val="bottom"/>
          </w:tcPr>
          <w:p w14:paraId="63FE65E0" w14:textId="77777777" w:rsidR="0068777C" w:rsidRPr="00256982" w:rsidRDefault="0068777C" w:rsidP="0068777C">
            <w:pPr>
              <w:pStyle w:val="TableText"/>
              <w:spacing w:before="40" w:after="40"/>
              <w:rPr>
                <w:rFonts w:cs="Arial"/>
                <w:szCs w:val="16"/>
              </w:rPr>
            </w:pPr>
            <w:r w:rsidRPr="00256982">
              <w:rPr>
                <w:rFonts w:cs="Arial"/>
                <w:szCs w:val="16"/>
              </w:rPr>
              <w:t>Dry-matter fraction</w:t>
            </w:r>
          </w:p>
        </w:tc>
        <w:tc>
          <w:tcPr>
            <w:tcW w:w="1211" w:type="dxa"/>
            <w:noWrap/>
            <w:vAlign w:val="bottom"/>
          </w:tcPr>
          <w:p w14:paraId="319728BA" w14:textId="77777777" w:rsidR="0068777C" w:rsidRPr="00256982" w:rsidRDefault="0068777C" w:rsidP="0068777C">
            <w:pPr>
              <w:pStyle w:val="TableText"/>
              <w:spacing w:before="40" w:after="40"/>
              <w:rPr>
                <w:rFonts w:cs="Arial"/>
              </w:rPr>
            </w:pPr>
            <w:r w:rsidRPr="00256982">
              <w:rPr>
                <w:rFonts w:cs="Arial"/>
              </w:rPr>
              <w:t>0.86</w:t>
            </w:r>
          </w:p>
        </w:tc>
        <w:tc>
          <w:tcPr>
            <w:tcW w:w="1211" w:type="dxa"/>
            <w:noWrap/>
            <w:vAlign w:val="bottom"/>
          </w:tcPr>
          <w:p w14:paraId="0F02460F" w14:textId="77777777" w:rsidR="0068777C" w:rsidRPr="00256982" w:rsidRDefault="0068777C" w:rsidP="0068777C">
            <w:pPr>
              <w:pStyle w:val="TableText"/>
              <w:spacing w:before="40" w:after="40"/>
              <w:rPr>
                <w:rFonts w:cs="Arial"/>
              </w:rPr>
            </w:pPr>
            <w:r w:rsidRPr="00256982">
              <w:rPr>
                <w:rFonts w:cs="Arial"/>
              </w:rPr>
              <w:t>0.86</w:t>
            </w:r>
          </w:p>
        </w:tc>
        <w:tc>
          <w:tcPr>
            <w:tcW w:w="1211" w:type="dxa"/>
            <w:noWrap/>
            <w:vAlign w:val="bottom"/>
          </w:tcPr>
          <w:p w14:paraId="654662CC" w14:textId="77777777" w:rsidR="0068777C" w:rsidRPr="00256982" w:rsidRDefault="0068777C" w:rsidP="0068777C">
            <w:pPr>
              <w:pStyle w:val="TableText"/>
              <w:spacing w:before="40" w:after="40"/>
              <w:rPr>
                <w:rFonts w:cs="Arial"/>
              </w:rPr>
            </w:pPr>
            <w:r w:rsidRPr="00256982">
              <w:rPr>
                <w:rFonts w:cs="Arial"/>
              </w:rPr>
              <w:t>0.86</w:t>
            </w:r>
          </w:p>
        </w:tc>
      </w:tr>
      <w:tr w:rsidR="0068777C" w:rsidRPr="00256982" w14:paraId="7A9AD340" w14:textId="77777777" w:rsidTr="0068777C">
        <w:tc>
          <w:tcPr>
            <w:tcW w:w="4480" w:type="dxa"/>
            <w:noWrap/>
            <w:vAlign w:val="bottom"/>
          </w:tcPr>
          <w:p w14:paraId="0658F73A" w14:textId="77777777" w:rsidR="0068777C" w:rsidRPr="00256982" w:rsidRDefault="0068777C" w:rsidP="0068777C">
            <w:pPr>
              <w:pStyle w:val="TableText"/>
              <w:spacing w:before="40" w:after="40"/>
              <w:rPr>
                <w:rFonts w:cs="Arial"/>
                <w:szCs w:val="16"/>
              </w:rPr>
            </w:pPr>
            <w:r w:rsidRPr="00256982">
              <w:rPr>
                <w:rFonts w:cs="Arial"/>
                <w:szCs w:val="16"/>
              </w:rPr>
              <w:t>Fraction of nitrogen in biomass</w:t>
            </w:r>
          </w:p>
        </w:tc>
        <w:tc>
          <w:tcPr>
            <w:tcW w:w="1211" w:type="dxa"/>
            <w:noWrap/>
            <w:vAlign w:val="bottom"/>
          </w:tcPr>
          <w:p w14:paraId="1E111D4D" w14:textId="77777777" w:rsidR="0068777C" w:rsidRPr="00256982" w:rsidRDefault="0068777C" w:rsidP="0068777C">
            <w:pPr>
              <w:pStyle w:val="TableText"/>
              <w:spacing w:before="40" w:after="40"/>
              <w:rPr>
                <w:rFonts w:cs="Arial"/>
              </w:rPr>
            </w:pPr>
            <w:r w:rsidRPr="00256982">
              <w:rPr>
                <w:rFonts w:cs="Arial"/>
              </w:rPr>
              <w:t>0.005</w:t>
            </w:r>
          </w:p>
        </w:tc>
        <w:tc>
          <w:tcPr>
            <w:tcW w:w="1211" w:type="dxa"/>
            <w:noWrap/>
            <w:vAlign w:val="bottom"/>
          </w:tcPr>
          <w:p w14:paraId="119DD36A" w14:textId="77777777" w:rsidR="0068777C" w:rsidRPr="00256982" w:rsidRDefault="0068777C" w:rsidP="0068777C">
            <w:pPr>
              <w:pStyle w:val="TableText"/>
              <w:spacing w:before="40" w:after="40"/>
              <w:rPr>
                <w:rFonts w:cs="Arial"/>
              </w:rPr>
            </w:pPr>
            <w:r w:rsidRPr="00256982">
              <w:rPr>
                <w:rFonts w:cs="Arial"/>
              </w:rPr>
              <w:t>0.005</w:t>
            </w:r>
          </w:p>
        </w:tc>
        <w:tc>
          <w:tcPr>
            <w:tcW w:w="1211" w:type="dxa"/>
            <w:noWrap/>
            <w:vAlign w:val="bottom"/>
          </w:tcPr>
          <w:p w14:paraId="6EC44513" w14:textId="77777777" w:rsidR="0068777C" w:rsidRPr="00256982" w:rsidRDefault="0068777C" w:rsidP="0068777C">
            <w:pPr>
              <w:pStyle w:val="TableText"/>
              <w:spacing w:before="40" w:after="40"/>
              <w:rPr>
                <w:rFonts w:cs="Arial"/>
              </w:rPr>
            </w:pPr>
            <w:r w:rsidRPr="00256982">
              <w:rPr>
                <w:rFonts w:cs="Arial"/>
              </w:rPr>
              <w:t>0.005</w:t>
            </w:r>
          </w:p>
        </w:tc>
      </w:tr>
      <w:tr w:rsidR="0068777C" w:rsidRPr="00256982" w14:paraId="6AC4CC7A" w14:textId="77777777" w:rsidTr="0068777C">
        <w:tc>
          <w:tcPr>
            <w:tcW w:w="4480" w:type="dxa"/>
            <w:noWrap/>
            <w:vAlign w:val="bottom"/>
          </w:tcPr>
          <w:p w14:paraId="20A72714" w14:textId="77777777" w:rsidR="0068777C" w:rsidRPr="00256982" w:rsidRDefault="0068777C" w:rsidP="0068777C">
            <w:pPr>
              <w:pStyle w:val="TableText"/>
              <w:spacing w:before="40" w:after="40"/>
              <w:rPr>
                <w:rFonts w:cs="Arial"/>
                <w:szCs w:val="16"/>
              </w:rPr>
            </w:pPr>
            <w:r w:rsidRPr="00256982">
              <w:rPr>
                <w:rFonts w:cs="Arial"/>
                <w:szCs w:val="16"/>
              </w:rPr>
              <w:t>Fraction of carbon in biomass</w:t>
            </w:r>
          </w:p>
        </w:tc>
        <w:tc>
          <w:tcPr>
            <w:tcW w:w="1211" w:type="dxa"/>
            <w:noWrap/>
            <w:vAlign w:val="bottom"/>
          </w:tcPr>
          <w:p w14:paraId="4792E23D" w14:textId="77777777" w:rsidR="0068777C" w:rsidRPr="00256982" w:rsidRDefault="0068777C" w:rsidP="0068777C">
            <w:pPr>
              <w:pStyle w:val="TableText"/>
              <w:spacing w:before="40" w:after="40"/>
              <w:rPr>
                <w:rFonts w:cs="Arial"/>
              </w:rPr>
            </w:pPr>
            <w:r w:rsidRPr="00256982">
              <w:rPr>
                <w:rFonts w:cs="Arial"/>
              </w:rPr>
              <w:t>0.4567</w:t>
            </w:r>
          </w:p>
        </w:tc>
        <w:tc>
          <w:tcPr>
            <w:tcW w:w="1211" w:type="dxa"/>
            <w:noWrap/>
            <w:vAlign w:val="bottom"/>
          </w:tcPr>
          <w:p w14:paraId="68FE0BEF" w14:textId="77777777" w:rsidR="0068777C" w:rsidRPr="00256982" w:rsidRDefault="0068777C" w:rsidP="0068777C">
            <w:pPr>
              <w:pStyle w:val="TableText"/>
              <w:spacing w:before="40" w:after="40"/>
              <w:rPr>
                <w:rFonts w:cs="Arial"/>
              </w:rPr>
            </w:pPr>
            <w:r w:rsidRPr="00256982">
              <w:rPr>
                <w:rFonts w:cs="Arial"/>
              </w:rPr>
              <w:t>0.4853</w:t>
            </w:r>
          </w:p>
        </w:tc>
        <w:tc>
          <w:tcPr>
            <w:tcW w:w="1211" w:type="dxa"/>
            <w:noWrap/>
            <w:vAlign w:val="bottom"/>
          </w:tcPr>
          <w:p w14:paraId="751CBE7E" w14:textId="77777777" w:rsidR="0068777C" w:rsidRPr="00256982" w:rsidRDefault="0068777C" w:rsidP="0068777C">
            <w:pPr>
              <w:pStyle w:val="TableText"/>
              <w:spacing w:before="40" w:after="40"/>
              <w:rPr>
                <w:rFonts w:cs="Arial"/>
              </w:rPr>
            </w:pPr>
            <w:r w:rsidRPr="00256982">
              <w:rPr>
                <w:rFonts w:cs="Arial"/>
              </w:rPr>
              <w:t>0.4567</w:t>
            </w:r>
          </w:p>
        </w:tc>
      </w:tr>
    </w:tbl>
    <w:p w14:paraId="1AE542F5" w14:textId="77777777" w:rsidR="0068777C" w:rsidRPr="00256982" w:rsidRDefault="0068777C" w:rsidP="0068777C">
      <w:pPr>
        <w:pStyle w:val="Source"/>
        <w:spacing w:after="120"/>
      </w:pPr>
      <w:r w:rsidRPr="00256982">
        <w:rPr>
          <w:b/>
        </w:rPr>
        <w:t>Source:</w:t>
      </w:r>
      <w:r w:rsidRPr="00256982">
        <w:rPr>
          <w:b/>
        </w:rPr>
        <w:tab/>
      </w:r>
      <w:r w:rsidRPr="00256982">
        <w:t xml:space="preserve"> Thomas et al. (2011)</w:t>
      </w:r>
    </w:p>
    <w:p w14:paraId="6846745D" w14:textId="77777777" w:rsidR="0068777C" w:rsidRPr="00256982" w:rsidRDefault="0068777C" w:rsidP="0068777C">
      <w:pPr>
        <w:pStyle w:val="BodyText"/>
      </w:pPr>
      <w:r w:rsidRPr="00256982">
        <w:t>From 2005 to 2017, calculation of the amount of biomass residue burned was based on information about the area of crop residue burning from the Statistics New Zealand Agricultural Production census and surveys. These are the first New Zealand-wide data for the area of crop residues burned.</w:t>
      </w:r>
    </w:p>
    <w:p w14:paraId="71EAF8F0" w14:textId="77777777" w:rsidR="0068777C" w:rsidRPr="00256982" w:rsidRDefault="0068777C" w:rsidP="0068777C">
      <w:pPr>
        <w:pStyle w:val="BodyText"/>
        <w:keepNext/>
      </w:pPr>
      <w:r w:rsidRPr="00256982">
        <w:t>Biomass burned after 2004, AG</w:t>
      </w:r>
      <w:r w:rsidRPr="00256982">
        <w:rPr>
          <w:vertAlign w:val="subscript"/>
        </w:rPr>
        <w:t xml:space="preserve">BURN </w:t>
      </w:r>
      <w:r w:rsidRPr="00256982">
        <w:t>(as previously defined), is:</w:t>
      </w:r>
    </w:p>
    <w:p w14:paraId="5E5CF144" w14:textId="77777777" w:rsidR="0068777C" w:rsidRPr="00256982" w:rsidRDefault="0068777C" w:rsidP="00BA1651">
      <w:pPr>
        <w:pStyle w:val="BodyText"/>
        <w:spacing w:before="60" w:after="60"/>
        <w:jc w:val="center"/>
      </w:pPr>
      <w:r w:rsidRPr="00256982">
        <w:object w:dxaOrig="5651" w:dyaOrig="263" w14:anchorId="2FC4EB1D">
          <v:shape id="_x0000_i1115" type="#_x0000_t75" style="width:281.25pt;height:14.25pt" o:ole="">
            <v:imagedata r:id="rId169" o:title=""/>
          </v:shape>
          <o:OLEObject Type="Embed" ProgID="Word.Document.12" ShapeID="_x0000_i1115" DrawAspect="Content" ObjectID="_1616241224" r:id="rId170">
            <o:FieldCodes>\s</o:FieldCodes>
          </o:OLEObject>
        </w:object>
      </w:r>
    </w:p>
    <w:p w14:paraId="2EA0B511" w14:textId="77777777" w:rsidR="0068777C" w:rsidRPr="00256982" w:rsidRDefault="0068777C" w:rsidP="0068777C">
      <w:pPr>
        <w:spacing w:before="120"/>
        <w:ind w:left="964" w:hanging="964"/>
      </w:pPr>
      <w:r w:rsidRPr="00256982">
        <w:t>Where:</w:t>
      </w:r>
      <w:r w:rsidRPr="00256982">
        <w:tab/>
        <w:t>AG</w:t>
      </w:r>
      <w:r w:rsidRPr="00256982">
        <w:rPr>
          <w:vertAlign w:val="subscript"/>
        </w:rPr>
        <w:t>DM</w:t>
      </w:r>
      <w:r w:rsidRPr="00256982">
        <w:t xml:space="preserve"> is the amount of above-ground residue (tonnes)</w:t>
      </w:r>
    </w:p>
    <w:p w14:paraId="664F0E36" w14:textId="77777777" w:rsidR="0068777C" w:rsidRPr="00256982" w:rsidRDefault="0068777C" w:rsidP="0068777C">
      <w:pPr>
        <w:spacing w:before="120"/>
        <w:ind w:left="964"/>
      </w:pPr>
      <w:r w:rsidRPr="00256982">
        <w:t>Frac</w:t>
      </w:r>
      <w:r w:rsidRPr="00256982">
        <w:rPr>
          <w:vertAlign w:val="subscript"/>
        </w:rPr>
        <w:t>RESIDUE</w:t>
      </w:r>
      <w:r w:rsidRPr="00256982">
        <w:t xml:space="preserve"> is the proportion of residue remaining after harvest (see table 5.7.2), and</w:t>
      </w:r>
    </w:p>
    <w:p w14:paraId="01E120F0" w14:textId="77777777" w:rsidR="0068777C" w:rsidRPr="00256982" w:rsidRDefault="0068777C" w:rsidP="0068777C">
      <w:pPr>
        <w:spacing w:before="120" w:after="120"/>
        <w:ind w:left="964" w:hanging="964"/>
      </w:pPr>
      <w:r w:rsidRPr="00256982">
        <w:tab/>
        <w:t>Frac</w:t>
      </w:r>
      <w:r w:rsidRPr="00256982">
        <w:rPr>
          <w:vertAlign w:val="subscript"/>
        </w:rPr>
        <w:t>BURN</w:t>
      </w:r>
      <w:r w:rsidRPr="00256982">
        <w:t xml:space="preserve"> is the proportion of remaining residue burned.</w:t>
      </w:r>
    </w:p>
    <w:p w14:paraId="34B93935" w14:textId="77777777" w:rsidR="0068777C" w:rsidRPr="00256982" w:rsidRDefault="0068777C" w:rsidP="0068777C">
      <w:pPr>
        <w:spacing w:before="120" w:after="120"/>
        <w:ind w:left="964" w:hanging="964"/>
      </w:pPr>
      <w:r w:rsidRPr="00256982">
        <w:t>The above-ground residue, AG</w:t>
      </w:r>
      <w:r w:rsidRPr="00256982">
        <w:rPr>
          <w:vertAlign w:val="subscript"/>
        </w:rPr>
        <w:t xml:space="preserve">DM </w:t>
      </w:r>
      <w:r w:rsidRPr="00256982">
        <w:t>(tonnes), is:</w:t>
      </w:r>
    </w:p>
    <w:p w14:paraId="40D46B91" w14:textId="77777777" w:rsidR="0068777C" w:rsidRPr="00256982" w:rsidRDefault="0068777C" w:rsidP="0068777C">
      <w:pPr>
        <w:spacing w:before="60" w:after="60"/>
        <w:ind w:left="964" w:hanging="964"/>
      </w:pPr>
      <w:r w:rsidRPr="00256982">
        <w:object w:dxaOrig="7916" w:dyaOrig="499" w14:anchorId="307C89CF">
          <v:shape id="_x0000_i1116" type="#_x0000_t75" style="width:396.75pt;height:24pt" o:ole="">
            <v:imagedata r:id="rId165" o:title=""/>
          </v:shape>
          <o:OLEObject Type="Embed" ProgID="Word.Document.12" ShapeID="_x0000_i1116" DrawAspect="Content" ObjectID="_1616241225" r:id="rId171">
            <o:FieldCodes>\s</o:FieldCodes>
          </o:OLEObject>
        </w:object>
      </w:r>
    </w:p>
    <w:p w14:paraId="302F64D5" w14:textId="77777777" w:rsidR="0068777C" w:rsidRPr="00256982" w:rsidRDefault="0068777C" w:rsidP="0068777C">
      <w:pPr>
        <w:tabs>
          <w:tab w:val="left" w:pos="1134"/>
        </w:tabs>
        <w:spacing w:before="120"/>
        <w:ind w:left="964" w:hanging="964"/>
      </w:pPr>
      <w:r w:rsidRPr="00256982">
        <w:t>Where:</w:t>
      </w:r>
      <w:r w:rsidRPr="00256982">
        <w:tab/>
        <w:t>HI is the harvest index (crop specific, table 5.7.2); that is, the mass harvested over the total mass of above-ground biomass, and</w:t>
      </w:r>
    </w:p>
    <w:p w14:paraId="253BF9FA" w14:textId="77777777" w:rsidR="0068777C" w:rsidRPr="00256982" w:rsidRDefault="0068777C" w:rsidP="0068777C">
      <w:pPr>
        <w:tabs>
          <w:tab w:val="left" w:pos="1134"/>
        </w:tabs>
        <w:spacing w:before="120" w:after="120"/>
        <w:ind w:left="964" w:hanging="964"/>
      </w:pPr>
      <w:r w:rsidRPr="00256982">
        <w:tab/>
        <w:t>Prod</w:t>
      </w:r>
      <w:r w:rsidRPr="00256982">
        <w:rPr>
          <w:vertAlign w:val="subscript"/>
        </w:rPr>
        <w:t>DM</w:t>
      </w:r>
      <w:r w:rsidRPr="00256982">
        <w:t xml:space="preserve"> (measured in tonnes) is the dry-matter production of the area burned and is determined as follows:</w:t>
      </w:r>
    </w:p>
    <w:bookmarkStart w:id="876" w:name="_MON_1548661704"/>
    <w:bookmarkEnd w:id="876"/>
    <w:p w14:paraId="08F1A0F3" w14:textId="77777777" w:rsidR="0068777C" w:rsidRPr="00256982" w:rsidRDefault="0068777C" w:rsidP="0068777C">
      <w:pPr>
        <w:pStyle w:val="BodyText"/>
      </w:pPr>
      <w:r w:rsidRPr="00256982">
        <w:object w:dxaOrig="7421" w:dyaOrig="322" w14:anchorId="34BF8E9C">
          <v:shape id="_x0000_i1117" type="#_x0000_t75" style="width:371.25pt;height:16.5pt" o:ole="">
            <v:imagedata r:id="rId172" o:title=""/>
          </v:shape>
          <o:OLEObject Type="Embed" ProgID="Word.Document.12" ShapeID="_x0000_i1117" DrawAspect="Content" ObjectID="_1616241226" r:id="rId173">
            <o:FieldCodes>\s</o:FieldCodes>
          </o:OLEObject>
        </w:object>
      </w:r>
    </w:p>
    <w:p w14:paraId="38B83570" w14:textId="77777777" w:rsidR="0068777C" w:rsidRPr="00256982" w:rsidRDefault="0068777C" w:rsidP="0068777C">
      <w:pPr>
        <w:spacing w:before="120"/>
        <w:ind w:left="964" w:hanging="964"/>
      </w:pPr>
      <w:r w:rsidRPr="00256982">
        <w:t>Where:</w:t>
      </w:r>
      <w:r w:rsidRPr="00256982">
        <w:tab/>
        <w:t>Area</w:t>
      </w:r>
      <w:r w:rsidRPr="00256982">
        <w:rPr>
          <w:vertAlign w:val="subscript"/>
        </w:rPr>
        <w:t>BURN</w:t>
      </w:r>
      <w:r w:rsidRPr="00256982">
        <w:t xml:space="preserve"> is the annual area burned (hectare)</w:t>
      </w:r>
    </w:p>
    <w:p w14:paraId="0DE6D525" w14:textId="77777777" w:rsidR="0068777C" w:rsidRPr="00256982" w:rsidRDefault="0068777C" w:rsidP="0068777C">
      <w:pPr>
        <w:spacing w:before="120"/>
        <w:ind w:left="964" w:hanging="964"/>
      </w:pPr>
      <w:r w:rsidRPr="00256982">
        <w:tab/>
        <w:t xml:space="preserve">Y is the average crop yield (tonnes per hectare), and </w:t>
      </w:r>
    </w:p>
    <w:p w14:paraId="6B8B9C8B" w14:textId="77777777" w:rsidR="0068777C" w:rsidRPr="00256982" w:rsidRDefault="0068777C" w:rsidP="0068777C">
      <w:pPr>
        <w:spacing w:before="120" w:after="120"/>
        <w:ind w:left="964" w:hanging="964"/>
      </w:pPr>
      <w:r w:rsidRPr="00256982">
        <w:tab/>
        <w:t>Frac</w:t>
      </w:r>
      <w:r w:rsidRPr="00256982">
        <w:rPr>
          <w:vertAlign w:val="subscript"/>
        </w:rPr>
        <w:t>DM</w:t>
      </w:r>
      <w:r w:rsidRPr="00256982">
        <w:t xml:space="preserve"> is the fraction of crop that is dry matter (crop specific, table 5.7.2).</w:t>
      </w:r>
    </w:p>
    <w:p w14:paraId="660171DC" w14:textId="77777777" w:rsidR="0068777C" w:rsidRPr="00256982" w:rsidRDefault="0068777C" w:rsidP="0068777C">
      <w:pPr>
        <w:pStyle w:val="BodyText"/>
      </w:pPr>
      <w:r w:rsidRPr="00256982">
        <w:t>The country-specific parameters for the proportion of residue actually burned, harvest indices, dry-matter fractions, the fraction oxidised and the carbon and nitrogen fractions of the residue (see table 5.7.2) are derived from the OVERSEER</w:t>
      </w:r>
      <w:r w:rsidRPr="00256982">
        <w:rPr>
          <w:vertAlign w:val="superscript"/>
        </w:rPr>
        <w:t>®</w:t>
      </w:r>
      <w:r w:rsidRPr="00256982">
        <w:t xml:space="preserve"> nutrient budget model for New Zealand (Wheeler et al., 2003) and are the same as those used for estimates of emissions from crop residues (see section 5.5.2). Further detail is provided in Thomas et al. (2011).</w:t>
      </w:r>
    </w:p>
    <w:p w14:paraId="6079FE61" w14:textId="77777777" w:rsidR="0068777C" w:rsidRPr="00256982" w:rsidRDefault="0068777C" w:rsidP="0068777C">
      <w:pPr>
        <w:pStyle w:val="BodyText"/>
      </w:pPr>
      <w:r w:rsidRPr="00256982">
        <w:t xml:space="preserve">The recommended proportion of crop area burned for 1990 to 2004 was determined by a farmer survey and assumed to be 70 per cent of wheat, 50 per cent of barley and 50 per cent of oat crops (Thomas et al., 2011). These values are in alignment with Statistics New Zealand data for 2005–07 (2005 being the first year Statistics New Zealand gathered these data) and are, therefore, applied to the years 1990–2004. From 2005, data on the total area of crop residues burned in New Zealand were collected but, while the data show total residue burned at a regional and national level, they do not differentiate between cereal crop types. </w:t>
      </w:r>
    </w:p>
    <w:p w14:paraId="4320B9F0" w14:textId="77777777" w:rsidR="0068777C" w:rsidRPr="00256982" w:rsidRDefault="0068777C" w:rsidP="0068777C">
      <w:pPr>
        <w:pStyle w:val="BodyText"/>
        <w:spacing w:after="0"/>
      </w:pPr>
      <w:r w:rsidRPr="00256982">
        <w:lastRenderedPageBreak/>
        <w:t xml:space="preserve">For 2005 onwards, the same proportions of crop area burned for wheat (70 per cent), barley (50 per cent) and oats (50 per cent) were used. However, these areas were then multiplied by a constant factor </w:t>
      </w:r>
      <w:r w:rsidRPr="00256982">
        <w:rPr>
          <w:i/>
        </w:rPr>
        <w:t>K</w:t>
      </w:r>
      <w:r w:rsidRPr="00256982">
        <w:t xml:space="preserve"> such that the total area burned is consistent with the Agricultural Production survey. This captures year-to-year variability, such as reduced burning during very dry years.</w:t>
      </w:r>
    </w:p>
    <w:p w14:paraId="5989F8D7" w14:textId="45E3826A" w:rsidR="0068777C" w:rsidRPr="00256982" w:rsidRDefault="00590491" w:rsidP="0068777C">
      <w:pPr>
        <w:pStyle w:val="BodyText"/>
        <w:jc w:val="center"/>
      </w:pPr>
      <w:r>
        <w:pict w14:anchorId="0974B3F9">
          <v:shape id="_x0000_i1118" type="#_x0000_t75" style="width:347.25pt;height:31.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5&lt;/o:Version&gt;&lt;/o:DocumentProperties&gt;&lt;w:docPr&gt;&lt;w:view w:val=&quot;print&quot;/&gt;&lt;w:zoom w:percent=&quot;110&quot;/&gt;&lt;w:doNotEmbedSystemFonts/&gt;&lt;w:activeWritingStyle w:lang=&quot;EN-NZ&quot; w:vendorID=&quot;64&quot; w:dllVersion=&quot;131078&quot; w:nlCheck=&quot;on&quot; w:optionSet=&quot;1&quot;/&gt;&lt;w:stylePaneFormatFilter w:val=&quot;5804&quot;/&gt;&lt;w:defaultTabStop w:val=&quot;720&quot;/&gt;&lt;w:evenAndOddHeaders/&gt;&lt;w:drawingGridHorizontalSpacing w:val=&quot;187&quot;/&gt;&lt;w:displayVerticalDrawingGridEvery w:val=&quot;2&quot;/&gt;&lt;w:characterSpacingControl w:val=&quot;DontCompress&quot;/&gt;&lt;w:optimizeForBrowser/&gt;&lt;w:validateAgainstSchema/&gt;&lt;w:saveInvalidXML w:val=&quot;off&quot;/&gt;&lt;w:ignoreMixedContent w:val=&quot;off&quot;/&gt;&lt;w:alwaysShowPlaceholderText w:val=&quot;off&quot;/&gt;&lt;w:compat&gt;&lt;w:suppressBottomSpacing/&gt;&lt;w:suppressSpBfAfterPgBrk/&gt;&lt;w:doNotUseHTMLParagraphAutoSpacing/&gt;&lt;w:breakWrappedTables/&gt;&lt;w:snapToGridInCell/&gt;&lt;w:wrapTextWithPunct/&gt;&lt;w:useAsianBreakRules/&gt;&lt;w:useWord2002TableStyleRules/&gt;&lt;/w:compat&gt;&lt;wsp:rsids&gt;&lt;wsp:rsidRoot wsp:val=&quot;00702030&quot;/&gt;&lt;wsp:rsid wsp:val=&quot;00001716&quot;/&gt;&lt;wsp:rsid wsp:val=&quot;00007ABB&quot;/&gt;&lt;wsp:rsid wsp:val=&quot;00013566&quot;/&gt;&lt;wsp:rsid wsp:val=&quot;00015CFC&quot;/&gt;&lt;wsp:rsid wsp:val=&quot;000219C8&quot;/&gt;&lt;wsp:rsid wsp:val=&quot;00021ACF&quot;/&gt;&lt;wsp:rsid wsp:val=&quot;00027E55&quot;/&gt;&lt;wsp:rsid wsp:val=&quot;00032A28&quot;/&gt;&lt;wsp:rsid wsp:val=&quot;00035185&quot;/&gt;&lt;wsp:rsid wsp:val=&quot;00050008&quot;/&gt;&lt;wsp:rsid wsp:val=&quot;0006123B&quot;/&gt;&lt;wsp:rsid wsp:val=&quot;00084588&quot;/&gt;&lt;wsp:rsid wsp:val=&quot;000A3774&quot;/&gt;&lt;wsp:rsid wsp:val=&quot;000C20A6&quot;/&gt;&lt;wsp:rsid wsp:val=&quot;000E1498&quot;/&gt;&lt;wsp:rsid wsp:val=&quot;000F4DEF&quot;/&gt;&lt;wsp:rsid wsp:val=&quot;000F6318&quot;/&gt;&lt;wsp:rsid wsp:val=&quot;00116E1B&quot;/&gt;&lt;wsp:rsid wsp:val=&quot;001221C3&quot;/&gt;&lt;wsp:rsid wsp:val=&quot;00134FC2&quot;/&gt;&lt;wsp:rsid wsp:val=&quot;00153F5A&quot;/&gt;&lt;wsp:rsid wsp:val=&quot;001970E1&quot;/&gt;&lt;wsp:rsid wsp:val=&quot;001A1997&quot;/&gt;&lt;wsp:rsid wsp:val=&quot;001B6FD2&quot;/&gt;&lt;wsp:rsid wsp:val=&quot;001D3490&quot;/&gt;&lt;wsp:rsid wsp:val=&quot;00207ABF&quot;/&gt;&lt;wsp:rsid wsp:val=&quot;0023070D&quot;/&gt;&lt;wsp:rsid wsp:val=&quot;00240B42&quot;/&gt;&lt;wsp:rsid wsp:val=&quot;0024542F&quot;/&gt;&lt;wsp:rsid wsp:val=&quot;00260B48&quot;/&gt;&lt;wsp:rsid wsp:val=&quot;00273218&quot;/&gt;&lt;wsp:rsid wsp:val=&quot;0028581A&quot;/&gt;&lt;wsp:rsid wsp:val=&quot;002868D3&quot;/&gt;&lt;wsp:rsid wsp:val=&quot;00295B2A&quot;/&gt;&lt;wsp:rsid wsp:val=&quot;002A1361&quot;/&gt;&lt;wsp:rsid wsp:val=&quot;002A49D7&quot;/&gt;&lt;wsp:rsid wsp:val=&quot;002B1C5A&quot;/&gt;&lt;wsp:rsid wsp:val=&quot;002B3284&quot;/&gt;&lt;wsp:rsid wsp:val=&quot;002B6594&quot;/&gt;&lt;wsp:rsid wsp:val=&quot;002D60DB&quot;/&gt;&lt;wsp:rsid wsp:val=&quot;002D6A54&quot;/&gt;&lt;wsp:rsid wsp:val=&quot;002F134A&quot;/&gt;&lt;wsp:rsid wsp:val=&quot;00302D84&quot;/&gt;&lt;wsp:rsid wsp:val=&quot;00315760&quot;/&gt;&lt;wsp:rsid wsp:val=&quot;00333ACA&quot;/&gt;&lt;wsp:rsid wsp:val=&quot;00336A51&quot;/&gt;&lt;wsp:rsid wsp:val=&quot;0037590E&quot;/&gt;&lt;wsp:rsid wsp:val=&quot;00377186&quot;/&gt;&lt;wsp:rsid wsp:val=&quot;00383207&quot;/&gt;&lt;wsp:rsid wsp:val=&quot;00391D8B&quot;/&gt;&lt;wsp:rsid wsp:val=&quot;003972EF&quot;/&gt;&lt;wsp:rsid wsp:val=&quot;00397D2B&quot;/&gt;&lt;wsp:rsid wsp:val=&quot;003A3F0A&quot;/&gt;&lt;wsp:rsid wsp:val=&quot;003A5006&quot;/&gt;&lt;wsp:rsid wsp:val=&quot;003C2615&quot;/&gt;&lt;wsp:rsid wsp:val=&quot;003D0318&quot;/&gt;&lt;wsp:rsid wsp:val=&quot;003D5417&quot;/&gt;&lt;wsp:rsid wsp:val=&quot;00400F92&quot;/&gt;&lt;wsp:rsid wsp:val=&quot;0042424B&quot;/&gt;&lt;wsp:rsid wsp:val=&quot;00430D5D&quot;/&gt;&lt;wsp:rsid wsp:val=&quot;00440459&quot;/&gt;&lt;wsp:rsid wsp:val=&quot;0045652C&quot;/&gt;&lt;wsp:rsid wsp:val=&quot;00462497&quot;/&gt;&lt;wsp:rsid wsp:val=&quot;004805A3&quot;/&gt;&lt;wsp:rsid wsp:val=&quot;00490EB0&quot;/&gt;&lt;wsp:rsid wsp:val=&quot;00494545&quot;/&gt;&lt;wsp:rsid wsp:val=&quot;004A618E&quot;/&gt;&lt;wsp:rsid wsp:val=&quot;004C4C3C&quot;/&gt;&lt;wsp:rsid wsp:val=&quot;004D3C29&quot;/&gt;&lt;wsp:rsid wsp:val=&quot;004E4B2C&quot;/&gt;&lt;wsp:rsid wsp:val=&quot;004F1572&quot;/&gt;&lt;wsp:rsid wsp:val=&quot;005072D0&quot;/&gt;&lt;wsp:rsid wsp:val=&quot;00511420&quot;/&gt;&lt;wsp:rsid wsp:val=&quot;00526270&quot;/&gt;&lt;wsp:rsid wsp:val=&quot;00534210&quot;/&gt;&lt;wsp:rsid wsp:val=&quot;00546A6A&quot;/&gt;&lt;wsp:rsid wsp:val=&quot;005630B0&quot;/&gt;&lt;wsp:rsid wsp:val=&quot;005660CD&quot;/&gt;&lt;wsp:rsid wsp:val=&quot;005720F2&quot;/&gt;&lt;wsp:rsid wsp:val=&quot;00596603&quot;/&gt;&lt;wsp:rsid wsp:val=&quot;005A10D4&quot;/&gt;&lt;wsp:rsid wsp:val=&quot;005A1E61&quot;/&gt;&lt;wsp:rsid wsp:val=&quot;005B76A4&quot;/&gt;&lt;wsp:rsid wsp:val=&quot;005C3384&quot;/&gt;&lt;wsp:rsid wsp:val=&quot;005C416E&quot;/&gt;&lt;wsp:rsid wsp:val=&quot;005D1C3A&quot;/&gt;&lt;wsp:rsid wsp:val=&quot;005E43DD&quot;/&gt;&lt;wsp:rsid wsp:val=&quot;00600179&quot;/&gt;&lt;wsp:rsid wsp:val=&quot;00603FC0&quot;/&gt;&lt;wsp:rsid wsp:val=&quot;00611ECD&quot;/&gt;&lt;wsp:rsid wsp:val=&quot;00636BF0&quot;/&gt;&lt;wsp:rsid wsp:val=&quot;00646B6D&quot;/&gt;&lt;wsp:rsid wsp:val=&quot;00655908&quot;/&gt;&lt;wsp:rsid wsp:val=&quot;006654F8&quot;/&gt;&lt;wsp:rsid wsp:val=&quot;00665768&quot;/&gt;&lt;wsp:rsid wsp:val=&quot;00667291&quot;/&gt;&lt;wsp:rsid wsp:val=&quot;00686249&quot;/&gt;&lt;wsp:rsid wsp:val=&quot;00687504&quot;/&gt;&lt;wsp:rsid wsp:val=&quot;0068777C&quot;/&gt;&lt;wsp:rsid wsp:val=&quot;006A171F&quot;/&gt;&lt;wsp:rsid wsp:val=&quot;006A4E5F&quot;/&gt;&lt;wsp:rsid wsp:val=&quot;006D4600&quot;/&gt;&lt;wsp:rsid wsp:val=&quot;006E0A2C&quot;/&gt;&lt;wsp:rsid wsp:val=&quot;006E202B&quot;/&gt;&lt;wsp:rsid wsp:val=&quot;006E57B5&quot;/&gt;&lt;wsp:rsid wsp:val=&quot;006E6AE2&quot;/&gt;&lt;wsp:rsid wsp:val=&quot;006F0CF5&quot;/&gt;&lt;wsp:rsid wsp:val=&quot;00702030&quot;/&gt;&lt;wsp:rsid wsp:val=&quot;00702FA0&quot;/&gt;&lt;wsp:rsid wsp:val=&quot;00724218&quot;/&gt;&lt;wsp:rsid wsp:val=&quot;007350B6&quot;/&gt;&lt;wsp:rsid wsp:val=&quot;00737E65&quot;/&gt;&lt;wsp:rsid wsp:val=&quot;0074030A&quot;/&gt;&lt;wsp:rsid wsp:val=&quot;00753965&quot;/&gt;&lt;wsp:rsid wsp:val=&quot;00762043&quot;/&gt;&lt;wsp:rsid wsp:val=&quot;007633C2&quot;/&gt;&lt;wsp:rsid wsp:val=&quot;00765A47&quot;/&gt;&lt;wsp:rsid wsp:val=&quot;00770E82&quot;/&gt;&lt;wsp:rsid wsp:val=&quot;00772E94&quot;/&gt;&lt;wsp:rsid wsp:val=&quot;00773278&quot;/&gt;&lt;wsp:rsid wsp:val=&quot;007A1993&quot;/&gt;&lt;wsp:rsid wsp:val=&quot;007A7194&quot;/&gt;&lt;wsp:rsid wsp:val=&quot;007B028B&quot;/&gt;&lt;wsp:rsid wsp:val=&quot;007B1D71&quot;/&gt;&lt;wsp:rsid wsp:val=&quot;007C00D0&quot;/&gt;&lt;wsp:rsid wsp:val=&quot;007C2186&quot;/&gt;&lt;wsp:rsid wsp:val=&quot;007F2233&quot;/&gt;&lt;wsp:rsid wsp:val=&quot;007F73BB&quot;/&gt;&lt;wsp:rsid wsp:val=&quot;00806461&quot;/&gt;&lt;wsp:rsid wsp:val=&quot;0080694B&quot;/&gt;&lt;wsp:rsid wsp:val=&quot;0081779C&quot;/&gt;&lt;wsp:rsid wsp:val=&quot;00831D0D&quot;/&gt;&lt;wsp:rsid wsp:val=&quot;00832DEE&quot;/&gt;&lt;wsp:rsid wsp:val=&quot;00835C2B&quot;/&gt;&lt;wsp:rsid wsp:val=&quot;00837FBE&quot;/&gt;&lt;wsp:rsid wsp:val=&quot;00846B89&quot;/&gt;&lt;wsp:rsid wsp:val=&quot;00855A8A&quot;/&gt;&lt;wsp:rsid wsp:val=&quot;00886AAC&quot;/&gt;&lt;wsp:rsid wsp:val=&quot;008A2EC5&quot;/&gt;&lt;wsp:rsid wsp:val=&quot;008B77F5&quot;/&gt;&lt;wsp:rsid wsp:val=&quot;008C0279&quot;/&gt;&lt;wsp:rsid wsp:val=&quot;008C7F68&quot;/&gt;&lt;wsp:rsid wsp:val=&quot;008E380C&quot;/&gt;&lt;wsp:rsid wsp:val=&quot;008F25D2&quot;/&gt;&lt;wsp:rsid wsp:val=&quot;008F50EC&quot;/&gt;&lt;wsp:rsid wsp:val=&quot;00906C96&quot;/&gt;&lt;wsp:rsid wsp:val=&quot;00914CC6&quot;/&gt;&lt;wsp:rsid wsp:val=&quot;0092751F&quot;/&gt;&lt;wsp:rsid wsp:val=&quot;00932067&quot;/&gt;&lt;wsp:rsid wsp:val=&quot;0093594A&quot;/&gt;&lt;wsp:rsid wsp:val=&quot;00955D73&quot;/&gt;&lt;wsp:rsid wsp:val=&quot;0096512C&quot;/&gt;&lt;wsp:rsid wsp:val=&quot;0096540A&quot;/&gt;&lt;wsp:rsid wsp:val=&quot;009A0D25&quot;/&gt;&lt;wsp:rsid wsp:val=&quot;009C5D2A&quot;/&gt;&lt;wsp:rsid wsp:val=&quot;009E792C&quot;/&gt;&lt;wsp:rsid wsp:val=&quot;00A331E7&quot;/&gt;&lt;wsp:rsid wsp:val=&quot;00A41C3C&quot;/&gt;&lt;wsp:rsid wsp:val=&quot;00A42C52&quot;/&gt;&lt;wsp:rsid wsp:val=&quot;00A808C7&quot;/&gt;&lt;wsp:rsid wsp:val=&quot;00A873AC&quot;/&gt;&lt;wsp:rsid wsp:val=&quot;00AB2710&quot;/&gt;&lt;wsp:rsid wsp:val=&quot;00AD184B&quot;/&gt;&lt;wsp:rsid wsp:val=&quot;00B0566D&quot;/&gt;&lt;wsp:rsid wsp:val=&quot;00B10937&quot;/&gt;&lt;wsp:rsid wsp:val=&quot;00B35BD9&quot;/&gt;&lt;wsp:rsid wsp:val=&quot;00B37DE8&quot;/&gt;&lt;wsp:rsid wsp:val=&quot;00B448C0&quot;/&gt;&lt;wsp:rsid wsp:val=&quot;00B44BA5&quot;/&gt;&lt;wsp:rsid wsp:val=&quot;00B6460B&quot;/&gt;&lt;wsp:rsid wsp:val=&quot;00BA5F7E&quot;/&gt;&lt;wsp:rsid wsp:val=&quot;00BC7E76&quot;/&gt;&lt;wsp:rsid wsp:val=&quot;00BF12F6&quot;/&gt;&lt;wsp:rsid wsp:val=&quot;00C00765&quot;/&gt;&lt;wsp:rsid wsp:val=&quot;00C10464&quot;/&gt;&lt;wsp:rsid wsp:val=&quot;00C119C2&quot;/&gt;&lt;wsp:rsid wsp:val=&quot;00C13667&quot;/&gt;&lt;wsp:rsid wsp:val=&quot;00C21B54&quot;/&gt;&lt;wsp:rsid wsp:val=&quot;00C40967&quot;/&gt;&lt;wsp:rsid wsp:val=&quot;00C463D8&quot;/&gt;&lt;wsp:rsid wsp:val=&quot;00C55A30&quot;/&gt;&lt;wsp:rsid wsp:val=&quot;00C600E2&quot;/&gt;&lt;wsp:rsid wsp:val=&quot;00C63D43&quot;/&gt;&lt;wsp:rsid wsp:val=&quot;00C74134&quot;/&gt;&lt;wsp:rsid wsp:val=&quot;00C823B1&quot;/&gt;&lt;wsp:rsid wsp:val=&quot;00C9625F&quot;/&gt;&lt;wsp:rsid wsp:val=&quot;00CA271E&quot;/&gt;&lt;wsp:rsid wsp:val=&quot;00CB1488&quot;/&gt;&lt;wsp:rsid wsp:val=&quot;00CB7414&quot;/&gt;&lt;wsp:rsid wsp:val=&quot;00CC4FF7&quot;/&gt;&lt;wsp:rsid wsp:val=&quot;00D01CFE&quot;/&gt;&lt;wsp:rsid wsp:val=&quot;00D07C4B&quot;/&gt;&lt;wsp:rsid wsp:val=&quot;00D225D8&quot;/&gt;&lt;wsp:rsid wsp:val=&quot;00D33A2E&quot;/&gt;&lt;wsp:rsid wsp:val=&quot;00D4311F&quot;/&gt;&lt;wsp:rsid wsp:val=&quot;00D511A1&quot;/&gt;&lt;wsp:rsid wsp:val=&quot;00D872BF&quot;/&gt;&lt;wsp:rsid wsp:val=&quot;00DB124F&quot;/&gt;&lt;wsp:rsid wsp:val=&quot;00DE01F6&quot;/&gt;&lt;wsp:rsid wsp:val=&quot;00DE2998&quot;/&gt;&lt;wsp:rsid wsp:val=&quot;00DE4223&quot;/&gt;&lt;wsp:rsid wsp:val=&quot;00DE64BC&quot;/&gt;&lt;wsp:rsid wsp:val=&quot;00DE6B60&quot;/&gt;&lt;wsp:rsid wsp:val=&quot;00E01CCF&quot;/&gt;&lt;wsp:rsid wsp:val=&quot;00E06D10&quot;/&gt;&lt;wsp:rsid wsp:val=&quot;00E20458&quot;/&gt;&lt;wsp:rsid wsp:val=&quot;00E56487&quot;/&gt;&lt;wsp:rsid wsp:val=&quot;00E853F3&quot;/&gt;&lt;wsp:rsid wsp:val=&quot;00EC2491&quot;/&gt;&lt;wsp:rsid wsp:val=&quot;00EC3056&quot;/&gt;&lt;wsp:rsid wsp:val=&quot;00ED2C42&quot;/&gt;&lt;wsp:rsid wsp:val=&quot;00EF3B2B&quot;/&gt;&lt;wsp:rsid wsp:val=&quot;00F00EE9&quot;/&gt;&lt;wsp:rsid wsp:val=&quot;00F379DD&quot;/&gt;&lt;wsp:rsid wsp:val=&quot;00F47244&quot;/&gt;&lt;wsp:rsid wsp:val=&quot;00FA5F45&quot;/&gt;&lt;wsp:rsid wsp:val=&quot;00FA7522&quot;/&gt;&lt;wsp:rsid wsp:val=&quot;00FC2C59&quot;/&gt;&lt;wsp:rsid wsp:val=&quot;00FC5421&quot;/&gt;&lt;wsp:rsid wsp:val=&quot;00FD178C&quot;/&gt;&lt;wsp:rsid wsp:val=&quot;00FF67A7&quot;/&gt;&lt;/wsp:rsids&gt;&lt;/w:docPr&gt;&lt;w:body&gt;&lt;wx:sect&gt;&lt;w:p wsp:rsidR=&quot;00000000&quot; wsp:rsidRPr=&quot;00A873AC&quot; wsp:rsidRDefault=&quot;00A873AC&quot; wsp:rsidP=&quot;00A873AC&quot;&gt;&lt;m:oMathPara&gt;&lt;m:oMath&gt;&lt;m:r&gt;&lt;w:rPr&gt;&lt;w:rFonts w:ascii=&quot;Cambria Math&quot; w:h-ansi=&quot;Cambria Math&quot;/&gt;&lt;wx:font wx:val=&quot;Cambria Math&quot;/&gt;&lt;w:i/&gt;&lt;/w:rPr&gt;&lt;m:t&gt;K= &lt;/m:t&gt;&lt;/m:r&gt;&lt;m:f&gt;&lt;m:fPr&gt;&lt;m:ctrlPr&gt;&lt;w:rPr&gt;&lt;w:rFonts w:ascii=&quot;Cambria Math&quot; w:h-ansi=&quot;Cambria Math&quot;/&gt;&lt;wx:font wx:val=&quot;Cambria Math&quot;/&gt;&lt;w:i/&gt;&lt;/w:rPr&gt;&lt;/m:ctrlPr&gt;&lt;/m:fPr&gt;&lt;m:num&gt;&lt;m:r&gt;&lt;w:rPr&gt;&lt;w:rFonts w:ascii=&quot;Cambria Math&quot; w:h-ansi=&quot;Cambria Math&quot;/&gt;&lt;wx:font wx:val=&quot;Cambria Math&quot;/&gt;&lt;w:i/&gt;&lt;/w:rPr&gt;&lt;m:t&gt;Total Area Burnt&lt;/m:t&gt;&lt;/m:r&gt;&lt;/m:num&gt;&lt;m:den&gt;&lt;m:sSub&gt;&lt;m:sSubPr&gt;&lt;m:ctrlPr&gt;&lt;w:rPr&gt;&lt;w:rFonts w:ascii=&quot;Cambria Math&quot; w:h-ansi=&quot;Cambria Math&quot;/&gt;&lt;wx:font wx:val=&quot;Cambria Math&quot;/&gt;&lt;w:i/&gt;&lt;/w:rPr&gt;&lt;/m:ctrlPr&gt;&lt;/m:sSubPr&gt;&lt;m:e&gt;&lt;m:r&gt;&lt;w:rPr&gt;&lt;w:rFonts w:ascii=&quot;Cambria Math&quot; w:h-ansi=&quot;Cambria Math&quot;/&gt;&lt;wx:font wx:val=&quot;Cambria Math&quot;/&gt;&lt;w:i/&gt;&lt;/w:rPr&gt;&lt;m:t&gt;0.7Ã—Area Burnt&lt;/m:t&gt;&lt;/m:r&gt;&lt;/m:e&gt;&lt;m:sub&gt;&lt;m:r&gt;&lt;w:rPr&gt;&lt;w:rFonts w:ascii=&quot;Cambria Math&quot; w:h-ansi=&quot;Cambria Math&quot;/&gt;&lt;wx:font wx:val=&quot;Cambria Math&quot;/&gt;&lt;w:i/&gt;&lt;/w:rPr&gt;&lt;m:t&gt;Wheat&lt;/m:t&gt;&lt;/m:r&gt;&lt;/m:sub&gt;&lt;/m:sSub&gt;&lt;m:r&gt;&lt;w:rPr&gt;&lt;w:rFonts w:ascii=&quot;Cambria Math&quot; w:h-ansi=&quot;Cambria Math&quot;/&gt;&lt;wx:font wx:val=&quot;Cambria Math&quot;/&gt;&lt;w:i/&gt;&lt;/w:rPr&gt;&lt;m:t&gt;+&lt;/m:t&gt;&lt;/m:r&gt;&lt;m:sSub&gt;&lt;m:sSubPr&gt;&lt;m:ctrlPr&gt;&lt;w:rPr&gt;&lt;w:rFonts w:ascii=&quot;Cambria Math&quot; w:h-ansi=&quot;Cambria Math&quot;/&gt;&lt;wx:font wx:val=&quot;Cambria Math&quot;/&gt;&lt;w:i/&gt;&lt;/w:rPr&gt;&lt;/m:ctrlPr&gt;&lt;/m:sSubPr&gt;&lt;m:e&gt;&lt;m:r&gt;&lt;w:rPr&gt;&lt;w:rFonts w:ascii=&quot;Cambria Math&quot; w:h-ansi=&quot;Cambria Math&quot;/&gt;&lt;wx:font wx:val=&quot;Cambria Math&quot;/&gt;&lt;w:i/&gt;&lt;/w:rPr&gt;&lt;m:t&gt;0.5Ã—Area Burnt&lt;/m:t&gt;&lt;/m:r&gt;&lt;/m:e&gt;&lt;m:sub&gt;&lt;m:r&gt;&lt;w:rPr&gt;&lt;w:rFonts w:ascii=&quot;Cambria Math&quot; w:h-ansi=&quot;Cambria Math&quot;/&gt;&lt;wx:font wx:val=&quot;Cambria Math&quot;/&gt;&lt;w:i/&gt;&lt;/w:rPr&gt;&lt;m:t&gt;Barley&lt;/m:t&gt;&lt;/m:r&gt;&lt;/m:sub&gt;&lt;/m:sSub&gt;&lt;m:r&gt;&lt;w:rPr&gt;&lt;w:rFonts w:ascii=&quot;Cambria Math&quot; w:h-ansi=&quot;Cambria Math&quot;/&gt;&lt;wx:font wx:val=&quot;Cambria Math&quot;/&gt;&lt;w:i/&gt;&lt;/w:rPr&gt;&lt;m:t&gt;+&lt;/m:t&gt;&lt;/m:r&gt;&lt;m:sSub&gt;&lt;m:sSubPr&gt;&lt;m:ctrlPr&gt;&lt;w:rPr&gt;&lt;w:rFonts w:ascii=&quot;Cambria Math&quot; w:h-ansi=&quot;Cambria Math&quot;/&gt;&lt;wx:font wx:val=&quot;Cambria Math&quot;/&gt;&lt;w:i/&gt;&lt;/w:rPr&gt;&lt;/m:ctrlPr&gt;&lt;/m:sSubPr&gt;&lt;m:e&gt;&lt;m:r&gt;&lt;w:rPr&gt;&lt;w:rFonts w:ascii=&quot;Cambria Math&quot; w:h-ansi=&quot;Cambria Math&quot;/&gt;&lt;wx:font wx:val=&quot;Cambria Math&quot;/&gt;&lt;w:i/&gt;&lt;/w:rPr&gt;&lt;m:t&gt;0.5Ã—Area Burnt&lt;/m:t&gt;&lt;/m:r&gt;&lt;/m:e&gt;&lt;m:sub&gt;&lt;m:r&gt;&lt;w:rPr&gt;&lt;w:rFonts w:ascii=&quot;Cambria Math&quot; w:h-ansi=&quot;Cambria Math&quot;/&gt;&lt;wx:font wx:val=&quot;Cambria Math&quot;/&gt;&lt;w:i/&gt;&lt;/w:rPr&gt;&lt;m:t&gt;Oats&lt;/m:t&gt;&lt;/m:r&gt;&lt;/m:sub&gt;&lt;/m:sSub&gt;&lt;/m:den&gt;&lt;/m:f&gt;&lt;/m:oMath&gt;&lt;/m:oMathPara&gt;&lt;/w:p&gt;&lt;w:sectPr wsp:rsidR=&quot;00000000&quot; wsp:rsidRPr=&quot;00A873AC&quot;&gt;&lt;w:pgSz w:w=&quot;12240&quot; w:h=&quot;15840&quot;/&gt;&lt;w:pgMar w:top=&quot;1440&quot; w:right=&quot;1440&quot; w:bottom=&quot;1440&quot; w:left=&quot;1440&quot; w:header=&quot;720&quot; w:footer=&quot;720&quot; w:gutter=&quot;0&quot;/&gt;&lt;w:cols w:space=&quot;720&quot;/&gt;&lt;/w:sectPr&gt;&lt;/wx:sect&gt;&lt;/w:body&gt;&lt;/w:wordDocument&gt;">
            <v:imagedata r:id="rId174" o:title="" chromakey="white"/>
          </v:shape>
        </w:pict>
      </w:r>
    </w:p>
    <w:p w14:paraId="1D1C22FB" w14:textId="77777777" w:rsidR="0068777C" w:rsidRPr="00256982" w:rsidRDefault="0068777C" w:rsidP="0068777C">
      <w:pPr>
        <w:pStyle w:val="BodyText"/>
      </w:pPr>
      <w:r w:rsidRPr="00256982">
        <w:t>Expert opinion suggests that, if crop residue is to be burned, there is generally no prior removal for feed and bedding. Therefore, 100 per cent of residue is left for burning after the harvested proportion has been removed (i.e., Frac</w:t>
      </w:r>
      <w:r w:rsidRPr="00256982">
        <w:rPr>
          <w:vertAlign w:val="subscript"/>
        </w:rPr>
        <w:t>REMOVE</w:t>
      </w:r>
      <w:r w:rsidRPr="00256982">
        <w:t xml:space="preserve"> is assumed to be zero; Thomas et al., 2011). This is consistent with section 5.5.2. </w:t>
      </w:r>
    </w:p>
    <w:p w14:paraId="5B76A69D" w14:textId="77777777" w:rsidR="0068777C" w:rsidRPr="00256982" w:rsidRDefault="0068777C" w:rsidP="0068777C">
      <w:pPr>
        <w:pStyle w:val="Heading3"/>
        <w:spacing w:before="280"/>
      </w:pPr>
      <w:r w:rsidRPr="00256982">
        <w:t>5.7.3</w:t>
      </w:r>
      <w:r w:rsidRPr="00256982">
        <w:tab/>
        <w:t>Uncertainties and time-series consistency</w:t>
      </w:r>
    </w:p>
    <w:p w14:paraId="71E2AE0C" w14:textId="4F0CDDC7" w:rsidR="0068777C" w:rsidRPr="00256982" w:rsidRDefault="0068777C" w:rsidP="0068777C">
      <w:pPr>
        <w:pStyle w:val="BodyText"/>
        <w:spacing w:after="100"/>
      </w:pPr>
      <w:r w:rsidRPr="00256982">
        <w:t>The largest contributor to uncertainty in the estimated emissions is considered to be the fraction of agricultural residue burned in the field. Expert opinion for the fraction of crops burned in fields between 1990 and 2004 was taken from farmer surveys in the Canterbury area, where 80</w:t>
      </w:r>
      <w:r w:rsidR="00BA1651" w:rsidRPr="00256982">
        <w:t> </w:t>
      </w:r>
      <w:r w:rsidRPr="00256982">
        <w:t>per cent of cereal production occurs. Between 2005 and 2009, an average of 86 per cent of total residue burning occurred in Canterbury. Estimates of crop burning for 2017 were 42.7 per cent (calculated as a percentage of total crop area) and have ranged from a high in 2006 of 61.5</w:t>
      </w:r>
      <w:r w:rsidR="00BA1651" w:rsidRPr="00256982">
        <w:t> </w:t>
      </w:r>
      <w:r w:rsidRPr="00256982">
        <w:t xml:space="preserve">per cent to a low in 2015 of 29.3 per cent, reflecting variations in annual weather patterns. </w:t>
      </w:r>
    </w:p>
    <w:p w14:paraId="203BFA79" w14:textId="77777777" w:rsidR="0068777C" w:rsidRPr="00256982" w:rsidRDefault="0068777C" w:rsidP="0068777C">
      <w:pPr>
        <w:pStyle w:val="BodyText"/>
        <w:spacing w:after="100"/>
      </w:pPr>
      <w:r w:rsidRPr="00256982">
        <w:t>The country-specific values for these parameters are those from the OVERSEER</w:t>
      </w:r>
      <w:r w:rsidRPr="00256982">
        <w:rPr>
          <w:vertAlign w:val="superscript"/>
        </w:rPr>
        <w:t>®</w:t>
      </w:r>
      <w:r w:rsidRPr="00256982">
        <w:t xml:space="preserve"> nutrient budget model for New Zealand (Wheeler et al., 2003) and are the same as those used for estimates of emissions from crop residues. This provides consistency between the two emissions estimates for crop residue and crop burning.</w:t>
      </w:r>
    </w:p>
    <w:p w14:paraId="3804AE07" w14:textId="77777777" w:rsidR="0068777C" w:rsidRPr="00256982" w:rsidRDefault="0068777C" w:rsidP="0068777C">
      <w:pPr>
        <w:pStyle w:val="BodyText"/>
        <w:spacing w:after="100"/>
      </w:pPr>
      <w:r w:rsidRPr="00256982">
        <w:t>IPCC good practice guidance suggests that an estimate of 10 per cent of residue burned may be appropriate for developed countries but also notes that the IPCC default values: “are very speculative and should be used with caution. The actual percentage burned varies substantially by country and crop type. This is an area where locally developed, country-specific data are highly desirable” (IPCC, 2000). The proportion of residue actually burned has been estimated as 70 per cent for the years 1990 to 2004 because this takes into account required fire break areas and differences in the methods used. It is also assumed that the farmers will generally be aiming to have as close to complete combustion as possible.</w:t>
      </w:r>
    </w:p>
    <w:p w14:paraId="2695139E" w14:textId="77777777" w:rsidR="0068777C" w:rsidRPr="00256982" w:rsidRDefault="0068777C" w:rsidP="0068777C">
      <w:pPr>
        <w:pStyle w:val="BodyText"/>
        <w:spacing w:after="100"/>
      </w:pPr>
      <w:r w:rsidRPr="00256982">
        <w:t>Although country-specific parameters have been developed, a conservative approach to uncertainty is taken, using the IPCC (2000) value of ±20 per cent. Given that emissions from field burning are low, compared with emissions from the rest of Agriculture inventory, the uncertainties from field burning have little impact on total emission uncertainties.</w:t>
      </w:r>
    </w:p>
    <w:p w14:paraId="401E5C68" w14:textId="77777777" w:rsidR="0068777C" w:rsidRPr="00256982" w:rsidRDefault="0068777C" w:rsidP="00BA1651">
      <w:pPr>
        <w:pStyle w:val="Heading3"/>
        <w:spacing w:before="240"/>
      </w:pPr>
      <w:r w:rsidRPr="00256982">
        <w:t>5.7.4</w:t>
      </w:r>
      <w:r w:rsidRPr="00256982">
        <w:tab/>
        <w:t>Source-specific QA/QC and verification</w:t>
      </w:r>
    </w:p>
    <w:p w14:paraId="67CBCA9C" w14:textId="77777777" w:rsidR="0068777C" w:rsidRPr="00256982" w:rsidRDefault="0068777C" w:rsidP="0068777C">
      <w:pPr>
        <w:pStyle w:val="BodyText"/>
      </w:pPr>
      <w:r w:rsidRPr="00256982">
        <w:t xml:space="preserve">Plant and Food Research reviewed the implementation of the methodology to estimate emissions of </w:t>
      </w:r>
      <w:r w:rsidRPr="00256982">
        <w:rPr>
          <w:spacing w:val="-2"/>
        </w:rPr>
        <w:t>N</w:t>
      </w:r>
      <w:r w:rsidRPr="00256982">
        <w:rPr>
          <w:spacing w:val="-2"/>
          <w:vertAlign w:val="subscript"/>
        </w:rPr>
        <w:t>2</w:t>
      </w:r>
      <w:r w:rsidRPr="00256982">
        <w:rPr>
          <w:spacing w:val="-2"/>
        </w:rPr>
        <w:t>O</w:t>
      </w:r>
      <w:r w:rsidRPr="00256982">
        <w:t xml:space="preserve"> from crop residues, nitrogen-fixing crops and field burning of agricultural residues. This analysis is detailed in Thomas et al. (2008, 2011). </w:t>
      </w:r>
    </w:p>
    <w:p w14:paraId="1028B1CB" w14:textId="77777777" w:rsidR="0068777C" w:rsidRPr="00256982" w:rsidRDefault="0068777C" w:rsidP="00BA1651">
      <w:pPr>
        <w:pStyle w:val="Heading3"/>
        <w:spacing w:before="240"/>
      </w:pPr>
      <w:r w:rsidRPr="00256982">
        <w:t>5.7.5</w:t>
      </w:r>
      <w:r w:rsidRPr="00256982">
        <w:tab/>
        <w:t>Source-specific recalculations</w:t>
      </w:r>
    </w:p>
    <w:p w14:paraId="04397A8A" w14:textId="77777777" w:rsidR="0068777C" w:rsidRPr="00256982" w:rsidRDefault="0068777C" w:rsidP="0068777C">
      <w:pPr>
        <w:pStyle w:val="BodyText"/>
      </w:pPr>
      <w:r w:rsidRPr="00256982">
        <w:t>All activity data were updated with the latest available Statistics New Zealand data.</w:t>
      </w:r>
    </w:p>
    <w:p w14:paraId="2C1E9FAE" w14:textId="77777777" w:rsidR="0068777C" w:rsidRPr="00256982" w:rsidRDefault="0068777C" w:rsidP="00BA1651">
      <w:pPr>
        <w:pStyle w:val="Heading3"/>
        <w:spacing w:before="240"/>
      </w:pPr>
      <w:r w:rsidRPr="00256982">
        <w:t>5.7.6</w:t>
      </w:r>
      <w:r w:rsidRPr="00256982">
        <w:tab/>
        <w:t xml:space="preserve">Source-specific planned improvements </w:t>
      </w:r>
    </w:p>
    <w:p w14:paraId="2DE09BBF" w14:textId="77777777" w:rsidR="0068777C" w:rsidRPr="00256982" w:rsidRDefault="0068777C" w:rsidP="0068777C">
      <w:pPr>
        <w:pStyle w:val="BodyText"/>
      </w:pPr>
      <w:r w:rsidRPr="00256982">
        <w:t xml:space="preserve">No improvements are currently planned. </w:t>
      </w:r>
    </w:p>
    <w:p w14:paraId="1CC3B772" w14:textId="77777777" w:rsidR="0068777C" w:rsidRPr="00256982" w:rsidRDefault="0068777C" w:rsidP="00BA1651">
      <w:pPr>
        <w:pStyle w:val="Heading2"/>
      </w:pPr>
      <w:bookmarkStart w:id="877" w:name="_Toc448321529"/>
      <w:bookmarkStart w:id="878" w:name="_Toc481751391"/>
      <w:bookmarkStart w:id="879" w:name="_Toc511116606"/>
      <w:bookmarkStart w:id="880" w:name="_Toc5269368"/>
      <w:r w:rsidRPr="00256982">
        <w:lastRenderedPageBreak/>
        <w:t>5.8</w:t>
      </w:r>
      <w:r w:rsidRPr="00256982">
        <w:tab/>
        <w:t>Liming (CRF 3.G)</w:t>
      </w:r>
      <w:bookmarkEnd w:id="877"/>
      <w:bookmarkEnd w:id="878"/>
      <w:bookmarkEnd w:id="879"/>
      <w:bookmarkEnd w:id="880"/>
      <w:r w:rsidRPr="00256982">
        <w:t xml:space="preserve"> </w:t>
      </w:r>
    </w:p>
    <w:p w14:paraId="1B6147B7" w14:textId="77777777" w:rsidR="0068777C" w:rsidRPr="00256982" w:rsidRDefault="0068777C" w:rsidP="00BA1651">
      <w:pPr>
        <w:pStyle w:val="Heading3"/>
        <w:spacing w:before="240"/>
      </w:pPr>
      <w:r w:rsidRPr="00256982">
        <w:t>5.8.1</w:t>
      </w:r>
      <w:r w:rsidRPr="00256982">
        <w:tab/>
        <w:t>Description</w:t>
      </w:r>
    </w:p>
    <w:p w14:paraId="7E08ECE7" w14:textId="77777777" w:rsidR="0068777C" w:rsidRPr="00256982" w:rsidRDefault="0068777C" w:rsidP="0068777C">
      <w:pPr>
        <w:pStyle w:val="BodyText"/>
      </w:pPr>
      <w:r w:rsidRPr="00256982">
        <w:t>In New Zealand, lime and dolomite fertilisers are mainly applied to acidic grassland and cropland soils to reduce soil acidity and to maintain or increase production of pasture and crops. Prior to the 2015 submission, emissions from lime and dolomite fertilisers were reported under the LULUCF chapter (see chapter 6).</w:t>
      </w:r>
    </w:p>
    <w:p w14:paraId="37754750" w14:textId="77777777" w:rsidR="0068777C" w:rsidRPr="00256982" w:rsidRDefault="0068777C" w:rsidP="0068777C">
      <w:pPr>
        <w:pStyle w:val="BodyText"/>
        <w:keepLines/>
        <w:rPr>
          <w:highlight w:val="yellow"/>
        </w:rPr>
      </w:pPr>
      <w:r w:rsidRPr="00256982">
        <w:t>Emissions from the application of lime produced 459.6</w:t>
      </w:r>
      <w:r w:rsidRPr="00256982" w:rsidDel="00636508">
        <w:t xml:space="preserve"> </w:t>
      </w:r>
      <w:r w:rsidRPr="00256982">
        <w:t>kt CO</w:t>
      </w:r>
      <w:r w:rsidRPr="00256982">
        <w:rPr>
          <w:vertAlign w:val="subscript"/>
        </w:rPr>
        <w:t>2</w:t>
      </w:r>
      <w:r w:rsidRPr="00256982">
        <w:t xml:space="preserve"> in 2017. This was an increase of 99.5 kt CO</w:t>
      </w:r>
      <w:r w:rsidRPr="00256982">
        <w:rPr>
          <w:vertAlign w:val="subscript"/>
        </w:rPr>
        <w:t>2</w:t>
      </w:r>
      <w:r w:rsidRPr="00256982">
        <w:t xml:space="preserve"> (27.6 per cent) above the level of 360.1 kt CO</w:t>
      </w:r>
      <w:r w:rsidRPr="00256982">
        <w:rPr>
          <w:vertAlign w:val="subscript"/>
        </w:rPr>
        <w:t>2</w:t>
      </w:r>
      <w:r w:rsidRPr="00256982">
        <w:t xml:space="preserve"> in 1990. In 2017, emissions from the application of lime contributed 1.2 per cent of New Zealand’s total agricultural emissions and 0.7 per cent of New Zealand’s gross greenhouse gas emissions. </w:t>
      </w:r>
      <w:r w:rsidRPr="00256982">
        <w:rPr>
          <w:i/>
        </w:rPr>
        <w:t>Liming</w:t>
      </w:r>
      <w:r w:rsidRPr="00256982">
        <w:t xml:space="preserve"> was identified as a key category for the Agriculture sector in 2017 (level assessment). </w:t>
      </w:r>
    </w:p>
    <w:p w14:paraId="293DA965" w14:textId="77777777" w:rsidR="0068777C" w:rsidRPr="00256982" w:rsidRDefault="0068777C" w:rsidP="0068777C">
      <w:pPr>
        <w:pStyle w:val="Heading3"/>
        <w:spacing w:before="280"/>
        <w:rPr>
          <w:szCs w:val="26"/>
        </w:rPr>
      </w:pPr>
      <w:r w:rsidRPr="00256982">
        <w:rPr>
          <w:szCs w:val="26"/>
        </w:rPr>
        <w:t>5.8.2</w:t>
      </w:r>
      <w:r w:rsidRPr="00256982">
        <w:rPr>
          <w:szCs w:val="26"/>
        </w:rPr>
        <w:tab/>
        <w:t>Methodological issues</w:t>
      </w:r>
    </w:p>
    <w:p w14:paraId="3D985FA8" w14:textId="77777777" w:rsidR="0068777C" w:rsidRPr="00256982" w:rsidRDefault="0068777C" w:rsidP="0068777C">
      <w:pPr>
        <w:pStyle w:val="BodyText"/>
        <w:rPr>
          <w:highlight w:val="yellow"/>
        </w:rPr>
      </w:pPr>
      <w:r w:rsidRPr="00256982">
        <w:t>Data on agricultural lime (limestone and dolomite) application are collected by Statistics New Zealand, as a part of its five-yearly Agricultural Production census and annual surveys in the intervening years. Analysis of the data indicates that, each year, around 90 per cent of agricultural lime used in New Zealand is applied to grassland, with the remaining 10 per cent applied to cropland.</w:t>
      </w:r>
    </w:p>
    <w:p w14:paraId="199A9350" w14:textId="77777777" w:rsidR="0068777C" w:rsidRPr="00256982" w:rsidRDefault="0068777C" w:rsidP="0068777C">
      <w:pPr>
        <w:pStyle w:val="BodyText"/>
        <w:rPr>
          <w:spacing w:val="-2"/>
        </w:rPr>
      </w:pPr>
      <w:r w:rsidRPr="00256982">
        <w:rPr>
          <w:spacing w:val="-2"/>
        </w:rPr>
        <w:t>There is no country-specific methodology on CO</w:t>
      </w:r>
      <w:r w:rsidRPr="00256982">
        <w:rPr>
          <w:spacing w:val="-2"/>
          <w:vertAlign w:val="subscript"/>
        </w:rPr>
        <w:t>2</w:t>
      </w:r>
      <w:r w:rsidRPr="00256982">
        <w:rPr>
          <w:spacing w:val="-2"/>
        </w:rPr>
        <w:t xml:space="preserve"> emissions from liming and dolomite fertilisers that has been developed in New Zealand. Emissions associated with liming are estimated by following the Tier 1 methodology (equation 11.12; IPCC, 2006), using default emission factors for carbon conversion of 0.12 and 0.13 for limestone and dolomite respectively. </w:t>
      </w:r>
    </w:p>
    <w:p w14:paraId="5A123163" w14:textId="77777777" w:rsidR="0068777C" w:rsidRPr="00256982" w:rsidRDefault="0068777C" w:rsidP="0068777C">
      <w:pPr>
        <w:pStyle w:val="Heading3"/>
        <w:spacing w:before="280"/>
        <w:rPr>
          <w:szCs w:val="26"/>
        </w:rPr>
      </w:pPr>
      <w:r w:rsidRPr="00256982">
        <w:rPr>
          <w:szCs w:val="26"/>
        </w:rPr>
        <w:t>5.8.3</w:t>
      </w:r>
      <w:r w:rsidRPr="00256982">
        <w:rPr>
          <w:szCs w:val="26"/>
        </w:rPr>
        <w:tab/>
        <w:t>Activity data</w:t>
      </w:r>
    </w:p>
    <w:p w14:paraId="06FD8E31" w14:textId="77777777" w:rsidR="0068777C" w:rsidRPr="00256982" w:rsidRDefault="0068777C" w:rsidP="0068777C">
      <w:pPr>
        <w:pStyle w:val="BodyText"/>
        <w:rPr>
          <w:highlight w:val="yellow"/>
        </w:rPr>
      </w:pPr>
      <w:r w:rsidRPr="00256982">
        <w:t>Limestone is more commonly applied than dolomite in New Zealand. Limestone occurs widely in New Zealand whereas dolomite is only available from a smaller, localised source. Activity data sourced from the Statistics New Zealand Agricultural Production census shows that limestone application has declined since 2002, while dolomite use peaked in 2010 and has fallen since then. The quantity of lime applied as limestone and dolomite varies each year and is influenced by a number of factors, including farm profitability (see figures 5.8.1 and 5.8.2).</w:t>
      </w:r>
    </w:p>
    <w:p w14:paraId="48449E81" w14:textId="77777777" w:rsidR="0068777C" w:rsidRPr="00256982" w:rsidRDefault="0068777C" w:rsidP="0068777C">
      <w:pPr>
        <w:pStyle w:val="Figure"/>
        <w:ind w:left="0" w:firstLine="0"/>
      </w:pPr>
      <w:bookmarkStart w:id="881" w:name="_Toc447275698"/>
      <w:bookmarkStart w:id="882" w:name="_Toc481752017"/>
      <w:bookmarkStart w:id="883" w:name="_Toc507158476"/>
      <w:bookmarkStart w:id="884" w:name="_Toc511116967"/>
      <w:bookmarkStart w:id="885" w:name="_Toc5269697"/>
      <w:r w:rsidRPr="00256982">
        <w:t>Figure 5.8.1</w:t>
      </w:r>
      <w:r w:rsidRPr="00256982">
        <w:tab/>
        <w:t>Limestone usage on agricultural land in New Zealand from 1990 to </w:t>
      </w:r>
      <w:bookmarkEnd w:id="881"/>
      <w:bookmarkEnd w:id="882"/>
      <w:bookmarkEnd w:id="883"/>
      <w:bookmarkEnd w:id="884"/>
      <w:r w:rsidRPr="00256982">
        <w:t>2017</w:t>
      </w:r>
      <w:bookmarkEnd w:id="885"/>
    </w:p>
    <w:p w14:paraId="0B819741" w14:textId="7923A799" w:rsidR="0068777C" w:rsidRPr="00256982" w:rsidRDefault="00590491" w:rsidP="00BA1651">
      <w:pPr>
        <w:pStyle w:val="BodyText"/>
        <w:spacing w:before="0"/>
      </w:pPr>
      <w:r>
        <w:rPr>
          <w:lang w:eastAsia="en-NZ"/>
        </w:rPr>
        <w:pict w14:anchorId="6E512647">
          <v:shape id="Chart 71" o:spid="_x0000_i1119" type="#_x0000_t75" style="width:410.25pt;height:210.75pt;visibility:visible" o:gfxdata="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">
            <v:imagedata r:id="rId175" o:title="" croptop="2548f" cropbottom="2736f"/>
            <o:lock v:ext="edit" aspectratio="f"/>
          </v:shape>
        </w:pict>
      </w:r>
      <w:r w:rsidR="0068777C" w:rsidRPr="00256982">
        <w:rPr>
          <w:lang w:eastAsia="en-NZ"/>
        </w:rPr>
        <w:t xml:space="preserve"> </w:t>
      </w:r>
    </w:p>
    <w:p w14:paraId="2501427D" w14:textId="77777777" w:rsidR="0068777C" w:rsidRPr="00256982" w:rsidRDefault="0068777C" w:rsidP="00BA1651">
      <w:pPr>
        <w:pStyle w:val="Figure"/>
        <w:spacing w:before="240" w:after="0"/>
        <w:ind w:left="0" w:firstLine="0"/>
      </w:pPr>
      <w:bookmarkStart w:id="886" w:name="_Toc507158477"/>
      <w:bookmarkStart w:id="887" w:name="_Toc511116968"/>
      <w:bookmarkStart w:id="888" w:name="_Toc5269698"/>
      <w:r w:rsidRPr="00256982">
        <w:lastRenderedPageBreak/>
        <w:t>Figure 5.8.2</w:t>
      </w:r>
      <w:r w:rsidRPr="00256982">
        <w:tab/>
        <w:t>Dolomite usage on agricultural land in New Zealand from 1990 to </w:t>
      </w:r>
      <w:bookmarkEnd w:id="886"/>
      <w:bookmarkEnd w:id="887"/>
      <w:r w:rsidRPr="00256982">
        <w:t>2017</w:t>
      </w:r>
      <w:bookmarkEnd w:id="888"/>
    </w:p>
    <w:p w14:paraId="3C606A03" w14:textId="23F68B6C" w:rsidR="0068777C" w:rsidRPr="00256982" w:rsidRDefault="00590491" w:rsidP="0068777C">
      <w:pPr>
        <w:pStyle w:val="BodyText"/>
        <w:spacing w:after="0"/>
        <w:rPr>
          <w:highlight w:val="yellow"/>
        </w:rPr>
      </w:pPr>
      <w:r>
        <w:rPr>
          <w:lang w:eastAsia="en-NZ"/>
        </w:rPr>
        <w:pict w14:anchorId="068D2A73">
          <v:shape id="Chart 1" o:spid="_x0000_i1120" type="#_x0000_t75" style="width:415.5pt;height:215.25pt;visibility:visible" o:gfxdata="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">
            <v:imagedata r:id="rId176" o:title="" croptop="2611f" cropbottom="2583f"/>
            <o:lock v:ext="edit" aspectratio="f"/>
          </v:shape>
        </w:pict>
      </w:r>
    </w:p>
    <w:p w14:paraId="59CFBC32" w14:textId="77777777" w:rsidR="0068777C" w:rsidRPr="00256982" w:rsidRDefault="0068777C" w:rsidP="0068777C">
      <w:pPr>
        <w:pStyle w:val="Heading3"/>
        <w:rPr>
          <w:szCs w:val="26"/>
        </w:rPr>
      </w:pPr>
      <w:r w:rsidRPr="00256982">
        <w:rPr>
          <w:szCs w:val="26"/>
        </w:rPr>
        <w:t>5.8.4</w:t>
      </w:r>
      <w:r w:rsidRPr="00256982">
        <w:rPr>
          <w:szCs w:val="26"/>
        </w:rPr>
        <w:tab/>
        <w:t>Uncertainties and time-series consistency</w:t>
      </w:r>
    </w:p>
    <w:p w14:paraId="1173B278" w14:textId="77777777" w:rsidR="0068777C" w:rsidRPr="00256982" w:rsidRDefault="0068777C" w:rsidP="0068777C">
      <w:pPr>
        <w:pStyle w:val="BodyText"/>
      </w:pPr>
      <w:r w:rsidRPr="00256982">
        <w:t>Using the IPCC (2006) Tier 1 methodology, default emission factors are used, which assume conservatively that all carbon in lime is emitted as CO</w:t>
      </w:r>
      <w:r w:rsidRPr="00256982">
        <w:rPr>
          <w:vertAlign w:val="subscript"/>
        </w:rPr>
        <w:t>2</w:t>
      </w:r>
      <w:r w:rsidRPr="00256982">
        <w:t xml:space="preserve"> into the atmosphere. The default emission factors are assumed certain, given this assumption.</w:t>
      </w:r>
    </w:p>
    <w:p w14:paraId="1E925314" w14:textId="77777777" w:rsidR="0068777C" w:rsidRPr="00256982" w:rsidRDefault="0068777C" w:rsidP="0068777C">
      <w:pPr>
        <w:pStyle w:val="BodyText"/>
      </w:pPr>
      <w:r w:rsidRPr="00256982">
        <w:t>The Agricultural Production census and survey data used in the inventory have gaps in the time series: no data are available for 1991 or between 1997 and 2001. In the absence of other supporting data, linear interpolation has been used to estimate the data for these years.</w:t>
      </w:r>
    </w:p>
    <w:p w14:paraId="6E89E38E" w14:textId="77777777" w:rsidR="0068777C" w:rsidRPr="00256982" w:rsidRDefault="0068777C" w:rsidP="0068777C">
      <w:pPr>
        <w:pStyle w:val="Heading3"/>
      </w:pPr>
      <w:r w:rsidRPr="00256982">
        <w:t>5.8.5</w:t>
      </w:r>
      <w:r w:rsidRPr="00256982">
        <w:tab/>
        <w:t>Source-specific QA/QC and verification</w:t>
      </w:r>
    </w:p>
    <w:p w14:paraId="3AEBAEC1" w14:textId="77777777" w:rsidR="0068777C" w:rsidRPr="00256982" w:rsidRDefault="0068777C" w:rsidP="0068777C">
      <w:pPr>
        <w:pStyle w:val="BodyText"/>
      </w:pPr>
      <w:r w:rsidRPr="00256982">
        <w:t xml:space="preserve">In the preparation of this inventory, the data for </w:t>
      </w:r>
      <w:r w:rsidRPr="00256982">
        <w:rPr>
          <w:i/>
        </w:rPr>
        <w:t>Liming</w:t>
      </w:r>
      <w:r w:rsidRPr="00256982">
        <w:t xml:space="preserve"> underwent Tier 1 quality checks. Statistics New Zealand, the agency that collects the activity data for </w:t>
      </w:r>
      <w:r w:rsidRPr="00256982">
        <w:rPr>
          <w:i/>
        </w:rPr>
        <w:t>Liming</w:t>
      </w:r>
      <w:r w:rsidRPr="00256982">
        <w:t>, also carries out a series of quality-assurance and quality-control procedures as part of the data collection carried out each year.</w:t>
      </w:r>
    </w:p>
    <w:p w14:paraId="7E9BF8CD" w14:textId="77777777" w:rsidR="0068777C" w:rsidRPr="00256982" w:rsidRDefault="0068777C" w:rsidP="0068777C">
      <w:pPr>
        <w:pStyle w:val="Heading3"/>
      </w:pPr>
      <w:r w:rsidRPr="00256982">
        <w:t>5.8.6</w:t>
      </w:r>
      <w:r w:rsidRPr="00256982">
        <w:tab/>
        <w:t>Source-specific recalculations</w:t>
      </w:r>
    </w:p>
    <w:p w14:paraId="40A4D6BF" w14:textId="77777777" w:rsidR="0068777C" w:rsidRPr="00256982" w:rsidRDefault="0068777C" w:rsidP="0068777C">
      <w:pPr>
        <w:pStyle w:val="BodyText"/>
      </w:pPr>
      <w:r w:rsidRPr="00256982">
        <w:t xml:space="preserve">No changes in activity data for lime and dolomite fertilisers were reported and therefore no source-specific recalculations were performed for </w:t>
      </w:r>
      <w:r w:rsidRPr="00256982">
        <w:rPr>
          <w:i/>
        </w:rPr>
        <w:t>Liming</w:t>
      </w:r>
      <w:r w:rsidRPr="00256982">
        <w:t xml:space="preserve"> in 2017.</w:t>
      </w:r>
    </w:p>
    <w:p w14:paraId="0ECF240C" w14:textId="77777777" w:rsidR="0068777C" w:rsidRPr="00256982" w:rsidRDefault="0068777C" w:rsidP="0068777C">
      <w:pPr>
        <w:pStyle w:val="Heading3"/>
      </w:pPr>
      <w:r w:rsidRPr="00256982">
        <w:t>5.8.7</w:t>
      </w:r>
      <w:r w:rsidRPr="00256982">
        <w:tab/>
        <w:t>Source-specific planned improvements</w:t>
      </w:r>
    </w:p>
    <w:p w14:paraId="3BA69EDA" w14:textId="77777777" w:rsidR="0068777C" w:rsidRPr="00256982" w:rsidRDefault="0068777C" w:rsidP="0068777C">
      <w:pPr>
        <w:pStyle w:val="BodyText"/>
      </w:pPr>
      <w:r w:rsidRPr="00256982">
        <w:t xml:space="preserve">New Zealand will continue to update activity data on </w:t>
      </w:r>
      <w:r w:rsidRPr="00256982">
        <w:rPr>
          <w:i/>
        </w:rPr>
        <w:t>Liming</w:t>
      </w:r>
      <w:r w:rsidRPr="00256982">
        <w:t xml:space="preserve"> as the data become available from Statistics New Zealand. No other future improvements are currently planned.</w:t>
      </w:r>
    </w:p>
    <w:p w14:paraId="0228D768" w14:textId="77777777" w:rsidR="0068777C" w:rsidRPr="00256982" w:rsidRDefault="0068777C" w:rsidP="0068777C">
      <w:pPr>
        <w:pStyle w:val="Heading2"/>
        <w:rPr>
          <w:sz w:val="28"/>
        </w:rPr>
      </w:pPr>
      <w:bookmarkStart w:id="889" w:name="_Toc448321530"/>
      <w:bookmarkStart w:id="890" w:name="_Toc481751392"/>
      <w:bookmarkStart w:id="891" w:name="_Toc511116607"/>
      <w:bookmarkStart w:id="892" w:name="_Toc5269369"/>
      <w:r w:rsidRPr="00256982">
        <w:rPr>
          <w:sz w:val="28"/>
        </w:rPr>
        <w:lastRenderedPageBreak/>
        <w:t>5.9</w:t>
      </w:r>
      <w:r w:rsidRPr="00256982">
        <w:rPr>
          <w:sz w:val="28"/>
        </w:rPr>
        <w:tab/>
        <w:t>Urea application (CRF 3.H)</w:t>
      </w:r>
      <w:bookmarkEnd w:id="889"/>
      <w:bookmarkEnd w:id="890"/>
      <w:bookmarkEnd w:id="891"/>
      <w:bookmarkEnd w:id="892"/>
    </w:p>
    <w:p w14:paraId="73DC6BD2" w14:textId="77777777" w:rsidR="0068777C" w:rsidRPr="00256982" w:rsidRDefault="0068777C" w:rsidP="0068777C">
      <w:pPr>
        <w:pStyle w:val="Heading3"/>
        <w:spacing w:before="240"/>
        <w:rPr>
          <w:szCs w:val="26"/>
        </w:rPr>
      </w:pPr>
      <w:r w:rsidRPr="00256982">
        <w:rPr>
          <w:szCs w:val="26"/>
        </w:rPr>
        <w:t>5.9.1</w:t>
      </w:r>
      <w:r w:rsidRPr="00256982">
        <w:rPr>
          <w:szCs w:val="26"/>
        </w:rPr>
        <w:tab/>
        <w:t>Description</w:t>
      </w:r>
    </w:p>
    <w:p w14:paraId="6A215C96" w14:textId="77777777" w:rsidR="0068777C" w:rsidRPr="00256982" w:rsidRDefault="0068777C" w:rsidP="0068777C">
      <w:pPr>
        <w:pStyle w:val="BodyText"/>
      </w:pPr>
      <w:r w:rsidRPr="00256982">
        <w:t xml:space="preserve">Urea fertiliser accounts for the majority of synthetic nitrogen fertiliser used in New Zealand. It is mainly applied to dairy pasture land to boost pasture growth during the autumn and spring months. </w:t>
      </w:r>
    </w:p>
    <w:p w14:paraId="1CE9DCA8" w14:textId="77777777" w:rsidR="0068777C" w:rsidRPr="00256982" w:rsidRDefault="0068777C" w:rsidP="0068777C">
      <w:pPr>
        <w:pStyle w:val="BodyText"/>
      </w:pPr>
      <w:r w:rsidRPr="00256982">
        <w:t>The application of urea produced 588.3 kt CO</w:t>
      </w:r>
      <w:r w:rsidRPr="00256982">
        <w:rPr>
          <w:vertAlign w:val="subscript"/>
        </w:rPr>
        <w:t>2</w:t>
      </w:r>
      <w:r w:rsidRPr="00256982">
        <w:t xml:space="preserve"> in 2017. This was an increase of approximately 1,400.9 per cent above the level of 39.2 kt CO</w:t>
      </w:r>
      <w:r w:rsidRPr="00256982">
        <w:rPr>
          <w:vertAlign w:val="subscript"/>
        </w:rPr>
        <w:t>2</w:t>
      </w:r>
      <w:r w:rsidRPr="00256982">
        <w:t xml:space="preserve"> in 1990. </w:t>
      </w:r>
      <w:r w:rsidRPr="00256982">
        <w:rPr>
          <w:i/>
        </w:rPr>
        <w:t>Urea application</w:t>
      </w:r>
      <w:r w:rsidRPr="00256982">
        <w:t xml:space="preserve"> was identified as a key category for the Agriculture sector in 2017 (level and trend assessment). Emissions from the application of urea contributed 1.5 per cent of New Zealand’s total agricultural emissions and 0.7 per cent of New Zealand’s gross greenhouse gas emissions. Since 1990, the proportion of urea fertiliser applied (relative to total synthetic nitrogen fertiliser use) has increased from around 40 per cent to over 80 per cent.</w:t>
      </w:r>
    </w:p>
    <w:p w14:paraId="52C2DDAA" w14:textId="77777777" w:rsidR="0068777C" w:rsidRPr="00256982" w:rsidRDefault="0068777C" w:rsidP="0068777C">
      <w:pPr>
        <w:pStyle w:val="Heading3"/>
      </w:pPr>
      <w:r w:rsidRPr="00256982">
        <w:t>5.9.2</w:t>
      </w:r>
      <w:r w:rsidRPr="00256982">
        <w:tab/>
        <w:t>Methodological issues</w:t>
      </w:r>
    </w:p>
    <w:p w14:paraId="18BEAB49" w14:textId="77777777" w:rsidR="0068777C" w:rsidRPr="00256982" w:rsidRDefault="0068777C" w:rsidP="0068777C">
      <w:pPr>
        <w:pStyle w:val="BodyText"/>
      </w:pPr>
      <w:r w:rsidRPr="00256982">
        <w:t>There is no country-specific methodology on CO</w:t>
      </w:r>
      <w:r w:rsidRPr="00256982">
        <w:rPr>
          <w:vertAlign w:val="subscript"/>
        </w:rPr>
        <w:t>2</w:t>
      </w:r>
      <w:r w:rsidRPr="00256982">
        <w:t xml:space="preserve"> emissions from </w:t>
      </w:r>
      <w:r w:rsidRPr="00256982">
        <w:rPr>
          <w:i/>
        </w:rPr>
        <w:t>Urea application</w:t>
      </w:r>
      <w:r w:rsidRPr="00256982">
        <w:t xml:space="preserve"> for New Zealand. Emissions associated with the application of urea are estimated using a Tier 1 methodology (equation 11.13; IPCC, 2006), using the default emission factor for carbon conversion of 0.20. </w:t>
      </w:r>
    </w:p>
    <w:p w14:paraId="65BDD1E7" w14:textId="77777777" w:rsidR="0068777C" w:rsidRPr="00256982" w:rsidRDefault="0068777C" w:rsidP="0068777C">
      <w:pPr>
        <w:pStyle w:val="BodyText"/>
      </w:pPr>
      <w:r w:rsidRPr="00256982">
        <w:t>Research into urease inhibitors (see section 5.5.2) has demonstrated that they are effective in slowing down the activity of the urease enzyme that hydrolyses urea to ammonium (as reported in section 5.5.2), but they do not reduce the release of CO</w:t>
      </w:r>
      <w:r w:rsidRPr="00256982">
        <w:rPr>
          <w:vertAlign w:val="subscript"/>
        </w:rPr>
        <w:t>2</w:t>
      </w:r>
      <w:r w:rsidRPr="00256982">
        <w:t xml:space="preserve"> (S Saggar, pers. comm., 2014).</w:t>
      </w:r>
    </w:p>
    <w:p w14:paraId="3E2A8893" w14:textId="77777777" w:rsidR="0068777C" w:rsidRPr="00256982" w:rsidRDefault="0068777C" w:rsidP="0068777C">
      <w:pPr>
        <w:pStyle w:val="Heading3"/>
      </w:pPr>
      <w:r w:rsidRPr="00256982">
        <w:t>5.9.3</w:t>
      </w:r>
      <w:r w:rsidRPr="00256982">
        <w:tab/>
        <w:t>Activity data</w:t>
      </w:r>
    </w:p>
    <w:p w14:paraId="00C63A56" w14:textId="77777777" w:rsidR="0068777C" w:rsidRPr="00256982" w:rsidRDefault="0068777C" w:rsidP="0068777C">
      <w:pPr>
        <w:pStyle w:val="BodyText"/>
      </w:pPr>
      <w:r w:rsidRPr="00256982">
        <w:t xml:space="preserve">Data on synthetic nitrogen fertiliser use are provided by the Fertiliser Association of New Zealand from sales records for 1990 to 2017. From 1990 to 2013, data on the percentage of synthetic nitrogen fertiliser derived from urea were sourced from the International Fertilizer Industry Association online database and are used to calculate the amount of applied urea fertiliser. Since 2014, data for total nitrogen from synthetic nitrogen fertiliser derived from urea have been provided by the Fertiliser Association of New Zealand. </w:t>
      </w:r>
    </w:p>
    <w:p w14:paraId="4FB89AEE" w14:textId="77777777" w:rsidR="0068777C" w:rsidRPr="00256982" w:rsidRDefault="0068777C" w:rsidP="0068777C">
      <w:pPr>
        <w:pStyle w:val="BodyText"/>
      </w:pPr>
      <w:r w:rsidRPr="00256982">
        <w:t xml:space="preserve">There has been a substantial increase in elemental nitrogen applied to agricultural land as urea fertiliser, from 24,586 tonnes in 1990 to 381,500 tonnes in 2017. This is consistent with the increase in the total amount of synthetic nitrogen fertiliser, which is about 650 per cent greater than that used in 1990 (see reporting on </w:t>
      </w:r>
      <w:r w:rsidRPr="00256982">
        <w:rPr>
          <w:i/>
          <w:iCs/>
        </w:rPr>
        <w:t>Agricultural soils</w:t>
      </w:r>
      <w:r w:rsidRPr="00256982">
        <w:t xml:space="preserve"> category and figure 5.5.2). </w:t>
      </w:r>
    </w:p>
    <w:p w14:paraId="781C844F" w14:textId="77777777" w:rsidR="0068777C" w:rsidRPr="00256982" w:rsidRDefault="0068777C" w:rsidP="0068777C">
      <w:pPr>
        <w:pStyle w:val="Heading3"/>
        <w:rPr>
          <w:highlight w:val="yellow"/>
        </w:rPr>
      </w:pPr>
      <w:r w:rsidRPr="00256982">
        <w:t>5.9.4</w:t>
      </w:r>
      <w:r w:rsidRPr="00256982">
        <w:tab/>
        <w:t>Uncertainties and time-series consistency</w:t>
      </w:r>
    </w:p>
    <w:p w14:paraId="790CCCEC" w14:textId="77777777" w:rsidR="0068777C" w:rsidRPr="00256982" w:rsidRDefault="0068777C" w:rsidP="0068777C">
      <w:pPr>
        <w:pStyle w:val="BodyText"/>
      </w:pPr>
      <w:r w:rsidRPr="00256982">
        <w:t>Under the IPCC (2006) Tier 1 methodology, the default emission factors are used, which assume conservatively that all carbon in the urea is emitted as CO</w:t>
      </w:r>
      <w:r w:rsidRPr="00256982">
        <w:rPr>
          <w:vertAlign w:val="subscript"/>
        </w:rPr>
        <w:t>2</w:t>
      </w:r>
      <w:r w:rsidRPr="00256982">
        <w:t xml:space="preserve"> into the atmosphere. The default emission factor is assumed certain, given this assumption.</w:t>
      </w:r>
    </w:p>
    <w:p w14:paraId="7B1E6E3F" w14:textId="77777777" w:rsidR="0068777C" w:rsidRPr="00256982" w:rsidRDefault="0068777C" w:rsidP="0068777C">
      <w:pPr>
        <w:pStyle w:val="BodyText"/>
      </w:pPr>
      <w:r w:rsidRPr="00256982">
        <w:t xml:space="preserve">Sales data for synthetic nitrogen fertiliser have been supplied for all years by the Fertiliser Association of New Zealand, but the uncertainties in this data are not known. As outlined above (section 5.9.3), sales data on synthetic nitrogen fertiliser derived from urea was not available before 2014. </w:t>
      </w:r>
    </w:p>
    <w:p w14:paraId="5978521C" w14:textId="77777777" w:rsidR="0068777C" w:rsidRPr="00256982" w:rsidRDefault="0068777C" w:rsidP="0068777C">
      <w:pPr>
        <w:pStyle w:val="Heading3"/>
      </w:pPr>
      <w:r w:rsidRPr="00256982">
        <w:lastRenderedPageBreak/>
        <w:t>5.9.5</w:t>
      </w:r>
      <w:r w:rsidRPr="00256982">
        <w:tab/>
        <w:t>Source-specific QA/QC and verification</w:t>
      </w:r>
    </w:p>
    <w:p w14:paraId="77F2D34F" w14:textId="77777777" w:rsidR="0068777C" w:rsidRPr="00256982" w:rsidRDefault="0068777C" w:rsidP="0068777C">
      <w:pPr>
        <w:pStyle w:val="BodyText"/>
        <w:rPr>
          <w:highlight w:val="yellow"/>
        </w:rPr>
      </w:pPr>
      <w:r w:rsidRPr="00256982">
        <w:t>In the preparation of this inventory, the data for urea fertiliser underwent Tier 1 quality checks. The Fertiliser Association of New Zealand, the organisation that collects the sales activity information for synthetic nitrogen fertiliser, also carries out a series of quality-assurance and quality-control procedures as a part of the data collection carried out each year.</w:t>
      </w:r>
    </w:p>
    <w:p w14:paraId="39A1876B" w14:textId="77777777" w:rsidR="0068777C" w:rsidRPr="00256982" w:rsidRDefault="0068777C" w:rsidP="0068777C">
      <w:pPr>
        <w:pStyle w:val="Heading3"/>
      </w:pPr>
      <w:r w:rsidRPr="00256982">
        <w:t>5.9.6</w:t>
      </w:r>
      <w:r w:rsidRPr="00256982">
        <w:tab/>
        <w:t>Source-specific recalculations</w:t>
      </w:r>
    </w:p>
    <w:p w14:paraId="04D4E852" w14:textId="77777777" w:rsidR="0068777C" w:rsidRPr="00256982" w:rsidRDefault="0068777C" w:rsidP="0068777C">
      <w:pPr>
        <w:pStyle w:val="BodyText"/>
      </w:pPr>
      <w:r w:rsidRPr="00256982">
        <w:t>No recalculations have been performed for CO</w:t>
      </w:r>
      <w:r w:rsidRPr="00256982">
        <w:rPr>
          <w:vertAlign w:val="subscript"/>
        </w:rPr>
        <w:t>2</w:t>
      </w:r>
      <w:r w:rsidRPr="00256982">
        <w:t xml:space="preserve"> emissions from urea in the 2018 submission.</w:t>
      </w:r>
    </w:p>
    <w:p w14:paraId="76E13A19" w14:textId="77777777" w:rsidR="0068777C" w:rsidRPr="00256982" w:rsidRDefault="0068777C" w:rsidP="0068777C">
      <w:pPr>
        <w:pStyle w:val="Heading3"/>
      </w:pPr>
      <w:r w:rsidRPr="00256982">
        <w:t>5.9.7</w:t>
      </w:r>
      <w:r w:rsidRPr="00256982">
        <w:tab/>
        <w:t>Source-specific planned improvements</w:t>
      </w:r>
    </w:p>
    <w:p w14:paraId="397EC6A5" w14:textId="77777777" w:rsidR="0068777C" w:rsidRPr="00256982" w:rsidRDefault="0068777C" w:rsidP="0068777C">
      <w:pPr>
        <w:pStyle w:val="BodyText"/>
      </w:pPr>
      <w:r w:rsidRPr="00256982">
        <w:t>New Zealand will continue to update activity on urea as the data become available from the Fertiliser Association of New Zealand.</w:t>
      </w:r>
    </w:p>
    <w:p w14:paraId="4F9781A1" w14:textId="77777777" w:rsidR="0068777C" w:rsidRPr="00256982" w:rsidRDefault="0068777C" w:rsidP="0068777C">
      <w:pPr>
        <w:pStyle w:val="Heading2"/>
      </w:pPr>
      <w:bookmarkStart w:id="893" w:name="_Toc448321531"/>
      <w:bookmarkStart w:id="894" w:name="_Toc481751393"/>
      <w:bookmarkStart w:id="895" w:name="_Toc511116608"/>
      <w:bookmarkStart w:id="896" w:name="_Toc5269370"/>
      <w:r w:rsidRPr="00256982">
        <w:t xml:space="preserve">5.10 </w:t>
      </w:r>
      <w:r w:rsidRPr="00256982">
        <w:tab/>
        <w:t>Other carbon-containing fertilisers (CRF 3.I)</w:t>
      </w:r>
      <w:bookmarkEnd w:id="893"/>
      <w:bookmarkEnd w:id="894"/>
      <w:bookmarkEnd w:id="895"/>
      <w:bookmarkEnd w:id="896"/>
    </w:p>
    <w:p w14:paraId="0254E797" w14:textId="77777777" w:rsidR="0068777C" w:rsidRPr="00256982" w:rsidRDefault="0068777C" w:rsidP="0068777C">
      <w:pPr>
        <w:pStyle w:val="Heading3"/>
        <w:spacing w:before="240"/>
        <w:rPr>
          <w:szCs w:val="26"/>
        </w:rPr>
      </w:pPr>
      <w:r w:rsidRPr="00256982">
        <w:rPr>
          <w:szCs w:val="26"/>
        </w:rPr>
        <w:t>5.10.1</w:t>
      </w:r>
      <w:r w:rsidRPr="00256982">
        <w:rPr>
          <w:szCs w:val="26"/>
        </w:rPr>
        <w:tab/>
        <w:t>Description</w:t>
      </w:r>
    </w:p>
    <w:p w14:paraId="0E454721" w14:textId="77777777" w:rsidR="0068777C" w:rsidRPr="00256982" w:rsidRDefault="0068777C" w:rsidP="0068777C">
      <w:pPr>
        <w:pStyle w:val="BodyText"/>
      </w:pPr>
      <w:r w:rsidRPr="00256982">
        <w:t xml:space="preserve">The IPCC (2006) Guidelines do not provide guidance for reporting on other carbon-containing fertilisers. Other carbon-containing synthetic fertilisers besides limestone, dolomite and urea (see sections 5.8 and 5.9) are not applied to agricultural land in New Zealand (T van der Weerden and C de Klein, pers. comm., 2015). </w:t>
      </w:r>
    </w:p>
    <w:p w14:paraId="12C6641B" w14:textId="77777777" w:rsidR="0068777C" w:rsidRPr="00256982" w:rsidRDefault="0068777C" w:rsidP="00AE6B8F">
      <w:pPr>
        <w:pStyle w:val="Heading2"/>
        <w:spacing w:before="0" w:after="360"/>
        <w:rPr>
          <w:highlight w:val="yellow"/>
        </w:rPr>
      </w:pPr>
      <w:r w:rsidRPr="00256982">
        <w:rPr>
          <w:highlight w:val="yellow"/>
        </w:rPr>
        <w:br w:type="page"/>
      </w:r>
      <w:bookmarkStart w:id="897" w:name="_Toc352504866"/>
      <w:bookmarkStart w:id="898" w:name="_Toc448321532"/>
      <w:bookmarkStart w:id="899" w:name="_Toc481751394"/>
      <w:bookmarkStart w:id="900" w:name="_Toc511116609"/>
      <w:bookmarkStart w:id="901" w:name="_Toc5269371"/>
      <w:r w:rsidRPr="00256982">
        <w:lastRenderedPageBreak/>
        <w:t>Chapter 5: References</w:t>
      </w:r>
      <w:bookmarkEnd w:id="897"/>
      <w:bookmarkEnd w:id="898"/>
      <w:bookmarkEnd w:id="899"/>
      <w:bookmarkEnd w:id="900"/>
      <w:bookmarkEnd w:id="901"/>
    </w:p>
    <w:p w14:paraId="5FFB233E" w14:textId="77777777" w:rsidR="0068777C" w:rsidRPr="00256982" w:rsidRDefault="0068777C" w:rsidP="0068777C">
      <w:pPr>
        <w:pStyle w:val="BodyText"/>
        <w:jc w:val="left"/>
      </w:pPr>
      <w:r w:rsidRPr="00256982">
        <w:t xml:space="preserve">Some references may be downloaded directly from: </w:t>
      </w:r>
      <w:hyperlink r:id="rId177" w:history="1">
        <w:r w:rsidRPr="00256982">
          <w:rPr>
            <w:rStyle w:val="Hyperlink"/>
            <w:color w:val="auto"/>
          </w:rPr>
          <w:t>http://mpi.govt.nz/news-and-resources/statistics-and-forecasting/greenhouse-gas-reporting/agriculture-greenhouse-gas-inventory-reports</w:t>
        </w:r>
      </w:hyperlink>
      <w:r w:rsidRPr="00256982">
        <w:t>.</w:t>
      </w:r>
    </w:p>
    <w:p w14:paraId="4083EDA5" w14:textId="77777777" w:rsidR="0068777C" w:rsidRPr="00256982" w:rsidRDefault="0068777C" w:rsidP="0068777C">
      <w:pPr>
        <w:pStyle w:val="BodyText"/>
      </w:pPr>
      <w:r w:rsidRPr="00256982">
        <w:t xml:space="preserve">The Ministry for Primary Industries is progressively making reports used for the inventory available on this page, where copyright permits. </w:t>
      </w:r>
    </w:p>
    <w:p w14:paraId="2040B0E7" w14:textId="77777777" w:rsidR="0068777C" w:rsidRPr="00256982" w:rsidRDefault="0068777C" w:rsidP="0068777C">
      <w:pPr>
        <w:pStyle w:val="References"/>
        <w:spacing w:before="120"/>
      </w:pPr>
      <w:r w:rsidRPr="00256982">
        <w:t xml:space="preserve">Australian Government. Unpublished. Mutual Review of Components of National Inventory Systems: A Review between Australia and New Zealand. Provided by the Australian Government in 2014. </w:t>
      </w:r>
    </w:p>
    <w:p w14:paraId="6CCF5F36" w14:textId="77777777" w:rsidR="0068777C" w:rsidRPr="00256982" w:rsidRDefault="0068777C" w:rsidP="0068777C">
      <w:pPr>
        <w:pStyle w:val="References"/>
      </w:pPr>
      <w:r w:rsidRPr="00256982">
        <w:t xml:space="preserve">Australian Rural Exports. 2018. </w:t>
      </w:r>
      <w:r w:rsidRPr="00256982">
        <w:rPr>
          <w:i/>
        </w:rPr>
        <w:t>Dairy Cattle</w:t>
      </w:r>
      <w:r w:rsidRPr="00256982">
        <w:t>. Retrieved from www.austrex.com.au/dairy-cattle (3 January 2018).</w:t>
      </w:r>
    </w:p>
    <w:p w14:paraId="6A849DE4" w14:textId="77777777" w:rsidR="0068777C" w:rsidRPr="00256982" w:rsidRDefault="0068777C" w:rsidP="0068777C">
      <w:pPr>
        <w:pStyle w:val="References"/>
        <w:rPr>
          <w:i/>
        </w:rPr>
      </w:pPr>
      <w:r w:rsidRPr="00256982">
        <w:t>Beare M, Thomas S, Clemens G, Hernandez-Ramirez G. Unpublished. Contributions of Pasture Renewal and N Mineralisation to N</w:t>
      </w:r>
      <w:r w:rsidRPr="00256982">
        <w:rPr>
          <w:vertAlign w:val="subscript"/>
        </w:rPr>
        <w:t>2</w:t>
      </w:r>
      <w:r w:rsidRPr="00256982">
        <w:t>O Emissions from Pastoral Farming Systems. Report prepared for the Ministry for Primary Industries by Plant and Food Research in 2012.</w:t>
      </w:r>
    </w:p>
    <w:p w14:paraId="7CAA16A8" w14:textId="77777777" w:rsidR="0068777C" w:rsidRPr="00256982" w:rsidRDefault="0068777C" w:rsidP="0068777C">
      <w:pPr>
        <w:pStyle w:val="References"/>
      </w:pPr>
      <w:r w:rsidRPr="00256982">
        <w:t xml:space="preserve">Beef + Lamb New Zealand Ltd. 2018. </w:t>
      </w:r>
      <w:r w:rsidRPr="00256982">
        <w:rPr>
          <w:i/>
        </w:rPr>
        <w:t>Mid-Season Update 2017–18. Report P18001</w:t>
      </w:r>
      <w:r w:rsidRPr="00256982">
        <w:t>. Wellington: Beef + Lamb New Zealand Ltd.</w:t>
      </w:r>
    </w:p>
    <w:p w14:paraId="24341B47" w14:textId="77777777" w:rsidR="0068777C" w:rsidRPr="00256982" w:rsidRDefault="0068777C" w:rsidP="0068777C">
      <w:pPr>
        <w:pStyle w:val="References"/>
      </w:pPr>
      <w:r w:rsidRPr="00256982">
        <w:t xml:space="preserve">Bown MD, Thomson BC, Muir PD. 2013. </w:t>
      </w:r>
      <w:r w:rsidRPr="00256982">
        <w:rPr>
          <w:i/>
        </w:rPr>
        <w:t>Evaluation of the Values for Pasture ME and N Content used in the National Greenhouse Gas Inventory</w:t>
      </w:r>
      <w:r w:rsidRPr="00256982">
        <w:t>. Report prepared for the Ministry for Primary Industries by On-Farm Research. Wellington: Ministry for Primary Industries.</w:t>
      </w:r>
    </w:p>
    <w:p w14:paraId="7E072A29" w14:textId="77777777" w:rsidR="0068777C" w:rsidRPr="00256982" w:rsidRDefault="0068777C" w:rsidP="0068777C">
      <w:pPr>
        <w:pStyle w:val="References"/>
      </w:pPr>
      <w:r w:rsidRPr="00256982">
        <w:t>Carran RA, Dewar D, Theobald PW. Unpublished. Methane and Nitrous Oxide Emissions from Sheep Dung. Report prepared for the Ministry of Agriculture and Forestry by the New Zealand Pastoral Agricultural Research Institute in 2003.</w:t>
      </w:r>
    </w:p>
    <w:p w14:paraId="73E97003" w14:textId="77777777" w:rsidR="0068777C" w:rsidRPr="00256982" w:rsidRDefault="0068777C" w:rsidP="0068777C">
      <w:pPr>
        <w:pStyle w:val="References"/>
        <w:rPr>
          <w:i/>
        </w:rPr>
      </w:pPr>
      <w:r w:rsidRPr="00256982">
        <w:t xml:space="preserve">Carran RA, Theobold PW, Evans JP. 1995. Emissions of nitrous oxide from some grazed pasture soils in </w:t>
      </w:r>
      <w:r w:rsidRPr="00256982">
        <w:rPr>
          <w:iCs/>
        </w:rPr>
        <w:t xml:space="preserve">New Zealand. </w:t>
      </w:r>
      <w:r w:rsidRPr="00256982">
        <w:rPr>
          <w:i/>
          <w:iCs/>
        </w:rPr>
        <w:t>Australian</w:t>
      </w:r>
      <w:r w:rsidRPr="00256982">
        <w:rPr>
          <w:iCs/>
        </w:rPr>
        <w:t xml:space="preserve"> </w:t>
      </w:r>
      <w:r w:rsidRPr="00256982">
        <w:rPr>
          <w:i/>
          <w:iCs/>
        </w:rPr>
        <w:t>Journal of Soil Research</w:t>
      </w:r>
      <w:r w:rsidRPr="00256982">
        <w:t xml:space="preserve"> 33: 341–352.</w:t>
      </w:r>
    </w:p>
    <w:p w14:paraId="5D7B0C83" w14:textId="77777777" w:rsidR="0068777C" w:rsidRPr="00256982" w:rsidRDefault="0068777C" w:rsidP="0068777C">
      <w:pPr>
        <w:pStyle w:val="References"/>
      </w:pPr>
      <w:r w:rsidRPr="00256982">
        <w:rPr>
          <w:lang w:eastAsia="en-NZ"/>
        </w:rPr>
        <w:t xml:space="preserve">Cichota R, Brown H, Snow VO, Wheeler DM, Hedderley D, Zyskowski R, Thomas S. 2010. A nitrogen balance model for environmental accountability in cropping systems. </w:t>
      </w:r>
      <w:r w:rsidRPr="00256982">
        <w:rPr>
          <w:i/>
          <w:lang w:eastAsia="en-NZ"/>
        </w:rPr>
        <w:t xml:space="preserve">New Zealand Journal of Crop and Horticultural Science </w:t>
      </w:r>
      <w:r w:rsidRPr="00256982">
        <w:rPr>
          <w:lang w:eastAsia="en-NZ"/>
        </w:rPr>
        <w:t>38: 189–207.</w:t>
      </w:r>
      <w:r w:rsidRPr="00256982">
        <w:t xml:space="preserve"> </w:t>
      </w:r>
    </w:p>
    <w:p w14:paraId="549BED4F" w14:textId="77777777" w:rsidR="0068777C" w:rsidRPr="00256982" w:rsidRDefault="0068777C" w:rsidP="0068777C">
      <w:pPr>
        <w:pStyle w:val="References"/>
        <w:rPr>
          <w:i/>
        </w:rPr>
      </w:pPr>
      <w:r w:rsidRPr="00256982">
        <w:t xml:space="preserve">Clark H. 2008a. </w:t>
      </w:r>
      <w:r w:rsidRPr="00256982">
        <w:rPr>
          <w:i/>
        </w:rPr>
        <w:t>A Comparison of Greenhouse Gas Emissions from the New Zealand Dairy Sector Calculated Using either a National or a Regional Approach</w:t>
      </w:r>
      <w:r w:rsidRPr="00256982">
        <w:t>. Report prepared for the Ministry of Agriculture and Forestry by AgResearch. Wellington: Ministry of Agriculture and Forestry.</w:t>
      </w:r>
    </w:p>
    <w:p w14:paraId="7CEBC2DE" w14:textId="77777777" w:rsidR="0068777C" w:rsidRPr="00256982" w:rsidRDefault="0068777C" w:rsidP="0068777C">
      <w:pPr>
        <w:pStyle w:val="References"/>
        <w:rPr>
          <w:lang w:eastAsia="en-NZ"/>
        </w:rPr>
      </w:pPr>
      <w:r w:rsidRPr="00256982">
        <w:t xml:space="preserve">Clark H. 2008b. </w:t>
      </w:r>
      <w:r w:rsidRPr="00256982">
        <w:rPr>
          <w:i/>
        </w:rPr>
        <w:t>Guidelines to Accompany Computerised Inventory</w:t>
      </w:r>
      <w:r w:rsidRPr="00256982">
        <w:t>. Report prepared for the Ministry of Agriculture and Forestry by AgResearch. Wellington: Ministry of Agriculture and Forestry.</w:t>
      </w:r>
    </w:p>
    <w:p w14:paraId="7B9FB050" w14:textId="77777777" w:rsidR="0068777C" w:rsidRPr="00256982" w:rsidRDefault="0068777C" w:rsidP="0068777C">
      <w:pPr>
        <w:pStyle w:val="References"/>
        <w:rPr>
          <w:i/>
        </w:rPr>
      </w:pPr>
      <w:r w:rsidRPr="00256982">
        <w:t xml:space="preserve">Clark H, Brookes I, Walcroft A. 2003. </w:t>
      </w:r>
      <w:r w:rsidRPr="00256982">
        <w:rPr>
          <w:i/>
        </w:rPr>
        <w:t xml:space="preserve">Enteric Methane Emissions from New Zealand Ruminants </w:t>
      </w:r>
      <w:r w:rsidRPr="00256982">
        <w:rPr>
          <w:i/>
        </w:rPr>
        <w:br/>
        <w:t>1990–2001 Calculated Using an IPCC Tier 2 Approach</w:t>
      </w:r>
      <w:r w:rsidRPr="00256982">
        <w:t>. Report prepared for the Ministry of Agriculture and Forestry by AgResearch and Massey University. Wellington: Ministry of Agriculture and Forestry.</w:t>
      </w:r>
    </w:p>
    <w:p w14:paraId="383BDC08" w14:textId="77777777" w:rsidR="0068777C" w:rsidRPr="00256982" w:rsidRDefault="0068777C" w:rsidP="0068777C">
      <w:pPr>
        <w:pStyle w:val="References"/>
      </w:pPr>
      <w:r w:rsidRPr="00256982">
        <w:t>Clough TJ, Kelliher FM. Unpublished. Indirect Nitrous Oxide Emissions EF</w:t>
      </w:r>
      <w:r w:rsidRPr="00256982">
        <w:rPr>
          <w:vertAlign w:val="subscript"/>
        </w:rPr>
        <w:t>5</w:t>
      </w:r>
      <w:r w:rsidRPr="00256982">
        <w:t>. Report prepared for the Ministry for Primary Industries by Lincoln University in 2014.</w:t>
      </w:r>
    </w:p>
    <w:p w14:paraId="6B74F931" w14:textId="77777777" w:rsidR="0068777C" w:rsidRPr="00256982" w:rsidRDefault="0068777C" w:rsidP="0068777C">
      <w:pPr>
        <w:pStyle w:val="References"/>
        <w:rPr>
          <w:i/>
        </w:rPr>
      </w:pPr>
      <w:r w:rsidRPr="00256982">
        <w:t xml:space="preserve">Clough TJ, Kelliher FM, Clark H, van der Weerden TJ. 2008. </w:t>
      </w:r>
      <w:r w:rsidRPr="00256982">
        <w:rPr>
          <w:i/>
        </w:rPr>
        <w:t>Incorporation of the Nitrification Inhibitor DCD into New Zealand’s 2009 National Inventory</w:t>
      </w:r>
      <w:r w:rsidRPr="00256982">
        <w:t>. Report prepared for the Ministry of Agriculture and Forestry by Lincoln University and AgResearch. Wellington: Ministry of Agriculture and Forestry.</w:t>
      </w:r>
    </w:p>
    <w:p w14:paraId="0188C849" w14:textId="77777777" w:rsidR="0068777C" w:rsidRPr="00256982" w:rsidRDefault="0068777C" w:rsidP="0068777C">
      <w:pPr>
        <w:pStyle w:val="References"/>
      </w:pPr>
      <w:r w:rsidRPr="00256982">
        <w:rPr>
          <w:rFonts w:cs="Arial"/>
        </w:rPr>
        <w:t>Commonwealth of Australia. 2018.</w:t>
      </w:r>
      <w:r w:rsidRPr="00256982">
        <w:rPr>
          <w:rFonts w:cs="Arial"/>
          <w:i/>
        </w:rPr>
        <w:t xml:space="preserve"> National Inventory Report 2016 Volume 1</w:t>
      </w:r>
      <w:r w:rsidRPr="00256982">
        <w:rPr>
          <w:rFonts w:cs="Arial"/>
        </w:rPr>
        <w:t xml:space="preserve">. Retrieved from www.environment.gov.au/system/files/resources/02bcfbd1-38b2-4e7c-88bd-b2b7624051da/files/national-inventory-report-2016-volume-1.pdf </w:t>
      </w:r>
      <w:r w:rsidRPr="00256982">
        <w:rPr>
          <w:rFonts w:cs="Arial"/>
          <w:szCs w:val="16"/>
        </w:rPr>
        <w:t>(12 January 2018).</w:t>
      </w:r>
      <w:r w:rsidRPr="00256982">
        <w:t xml:space="preserve"> </w:t>
      </w:r>
    </w:p>
    <w:p w14:paraId="7778592E" w14:textId="77777777" w:rsidR="0068777C" w:rsidRPr="00256982" w:rsidRDefault="0068777C" w:rsidP="0068777C">
      <w:pPr>
        <w:pStyle w:val="References"/>
        <w:rPr>
          <w:i/>
        </w:rPr>
      </w:pPr>
      <w:r w:rsidRPr="00256982">
        <w:t xml:space="preserve">CSIRO. 1990. </w:t>
      </w:r>
      <w:r w:rsidRPr="00256982">
        <w:rPr>
          <w:i/>
        </w:rPr>
        <w:t>Ruminants: Feeding Standards for Australian Livestock</w:t>
      </w:r>
      <w:r w:rsidRPr="00256982">
        <w:t>. Victoria, Australia: Commonwealth Scientific and Industrial Research Organisation.</w:t>
      </w:r>
    </w:p>
    <w:p w14:paraId="5F02308C" w14:textId="77777777" w:rsidR="0068777C" w:rsidRPr="00256982" w:rsidRDefault="0068777C" w:rsidP="0068777C">
      <w:pPr>
        <w:pStyle w:val="References"/>
        <w:jc w:val="left"/>
        <w:rPr>
          <w:i/>
          <w:iCs/>
        </w:rPr>
      </w:pPr>
      <w:r w:rsidRPr="00256982">
        <w:t xml:space="preserve">Dairy Companies Association of New Zealand. 2018. </w:t>
      </w:r>
      <w:r w:rsidRPr="00256982">
        <w:rPr>
          <w:i/>
          <w:iCs/>
        </w:rPr>
        <w:t>New Zealand Milk Production</w:t>
      </w:r>
      <w:r w:rsidRPr="00256982">
        <w:t>. Retrieved from www.dcanz.com (6 January 2018).</w:t>
      </w:r>
    </w:p>
    <w:p w14:paraId="720D5362" w14:textId="77777777" w:rsidR="0068777C" w:rsidRPr="00256982" w:rsidRDefault="0068777C" w:rsidP="0068777C">
      <w:pPr>
        <w:pStyle w:val="References"/>
        <w:rPr>
          <w:i/>
        </w:rPr>
      </w:pPr>
      <w:r w:rsidRPr="00256982">
        <w:lastRenderedPageBreak/>
        <w:t xml:space="preserve">de Klein CAM, Barton L, Sherlock RR, Li Z, Littlejohn RP. 2003. Estimating a nitrous oxide emission factor for animal urine from some New Zealand pastoral soils. </w:t>
      </w:r>
      <w:r w:rsidRPr="00256982">
        <w:rPr>
          <w:i/>
        </w:rPr>
        <w:t>Australian Journal of Soil Research</w:t>
      </w:r>
      <w:r w:rsidRPr="00256982">
        <w:t xml:space="preserve"> 41: 381–399.</w:t>
      </w:r>
    </w:p>
    <w:p w14:paraId="0444BF5B" w14:textId="77777777" w:rsidR="0068777C" w:rsidRPr="00256982" w:rsidRDefault="0068777C" w:rsidP="0068777C">
      <w:pPr>
        <w:pStyle w:val="References"/>
        <w:rPr>
          <w:i/>
        </w:rPr>
      </w:pPr>
      <w:r w:rsidRPr="00256982">
        <w:t xml:space="preserve">Dresser M, Hewitt A, Willoughby J, Bellis S. 2011. </w:t>
      </w:r>
      <w:r w:rsidRPr="00256982">
        <w:rPr>
          <w:i/>
        </w:rPr>
        <w:t>Area of Organic Soils</w:t>
      </w:r>
      <w:r w:rsidRPr="00256982">
        <w:t>. Report prepared for the Ministry of Agriculture and Forestry by Landcare Research. Wellington: Ministry of Agriculture and Forestry.</w:t>
      </w:r>
    </w:p>
    <w:p w14:paraId="5C6DB723" w14:textId="0536243D" w:rsidR="0068777C" w:rsidRPr="00256982" w:rsidRDefault="0068777C" w:rsidP="0068777C">
      <w:pPr>
        <w:pStyle w:val="References"/>
        <w:rPr>
          <w:bCs/>
          <w:i/>
          <w:color w:val="000000"/>
          <w:lang w:eastAsia="en-NZ"/>
        </w:rPr>
      </w:pPr>
      <w:r w:rsidRPr="00256982">
        <w:rPr>
          <w:lang w:eastAsia="en-NZ"/>
        </w:rPr>
        <w:t xml:space="preserve">Fick J. 2010. </w:t>
      </w:r>
      <w:r w:rsidRPr="00256982">
        <w:rPr>
          <w:bCs/>
          <w:i/>
          <w:color w:val="000000"/>
          <w:lang w:eastAsia="en-NZ"/>
        </w:rPr>
        <w:t>Emission Estimations for the Commercial Chicken, Non-chicken and Layer Industries within New Zealand</w:t>
      </w:r>
      <w:r w:rsidRPr="00256982">
        <w:rPr>
          <w:bCs/>
          <w:color w:val="000000"/>
          <w:lang w:eastAsia="en-NZ"/>
        </w:rPr>
        <w:t>. Report prepared for the Ministry of Agriculture and Forestry by the Poultry Industry Association and Egg Producers Federation of New Zealand. Wellington: Ministry of Agriculture and</w:t>
      </w:r>
      <w:r w:rsidR="00CE412B" w:rsidRPr="00256982">
        <w:rPr>
          <w:bCs/>
          <w:color w:val="000000"/>
          <w:lang w:eastAsia="en-NZ"/>
        </w:rPr>
        <w:t> </w:t>
      </w:r>
      <w:r w:rsidRPr="00256982">
        <w:rPr>
          <w:bCs/>
          <w:color w:val="000000"/>
          <w:lang w:eastAsia="en-NZ"/>
        </w:rPr>
        <w:t>Forestry.</w:t>
      </w:r>
    </w:p>
    <w:p w14:paraId="78179294" w14:textId="77777777" w:rsidR="0068777C" w:rsidRPr="00256982" w:rsidRDefault="0068777C" w:rsidP="0068777C">
      <w:pPr>
        <w:pStyle w:val="References"/>
        <w:rPr>
          <w:i/>
        </w:rPr>
      </w:pPr>
      <w:r w:rsidRPr="00256982">
        <w:t xml:space="preserve">Fick J, Saggar S, Hill J, Giltrap D. 2011. </w:t>
      </w:r>
      <w:r w:rsidRPr="00256982">
        <w:rPr>
          <w:i/>
        </w:rPr>
        <w:t>Poultry Management in New Zealand: Production, Manure Management and Emissions Estimations for the Commercial Chicken, Turkey, Duck and Layer Industries within New Zealand</w:t>
      </w:r>
      <w:r w:rsidRPr="00256982">
        <w:t xml:space="preserve">. Report prepared for the Ministry of Agriculture and Forestry by Poultry Industry Association, Egg Producers Association, Landcare Research and Massey University. Wellington: Ministry of Agriculture and Forestry. </w:t>
      </w:r>
    </w:p>
    <w:p w14:paraId="3B5F21F1" w14:textId="77777777" w:rsidR="0068777C" w:rsidRPr="00256982" w:rsidRDefault="0068777C" w:rsidP="0068777C">
      <w:pPr>
        <w:pStyle w:val="References"/>
      </w:pPr>
      <w:r w:rsidRPr="00256982">
        <w:t>Giltrap D, McNeill S, Saggar S, Ausseil A-GE, Muir P, Thomson B. Unpublished. Statistical analysis to determine a nationally representative pasture quality programme. Report prepared for the Ministry for Primary Industries by Landcare Research and On-Farm Research in 2017.</w:t>
      </w:r>
    </w:p>
    <w:p w14:paraId="4BA5DCDD" w14:textId="77777777" w:rsidR="0068777C" w:rsidRPr="00256982" w:rsidRDefault="0068777C" w:rsidP="0068777C">
      <w:pPr>
        <w:pStyle w:val="References"/>
      </w:pPr>
      <w:r w:rsidRPr="00256982">
        <w:t>Giltrap D, Saggar S. Unpublished. Estimating Direct N</w:t>
      </w:r>
      <w:r w:rsidRPr="00256982">
        <w:rPr>
          <w:vertAlign w:val="subscript"/>
        </w:rPr>
        <w:t>2</w:t>
      </w:r>
      <w:r w:rsidRPr="00256982">
        <w:t>O Emissions from Sheep, Beef and Deer Excretal Deposition including the Emission Factors Developed for Animal Type and Slope of the Land on Hill Country Soils. Report prepared for the Ministry for Primary Industries by Landcare Research in 2014.</w:t>
      </w:r>
    </w:p>
    <w:p w14:paraId="3516DA9C" w14:textId="77777777" w:rsidR="0068777C" w:rsidRPr="00256982" w:rsidRDefault="0068777C" w:rsidP="0068777C">
      <w:pPr>
        <w:pStyle w:val="References"/>
        <w:rPr>
          <w:i/>
        </w:rPr>
      </w:pPr>
      <w:r w:rsidRPr="00256982">
        <w:t>Grainger C, Clarke T, McGinn SM, Auldist MJ, Beauchemin KA, Hannah MC, Waghorn GC, Clark H, Eckard RJ. 2007. Methane emissions from dairy cows measured with sulphur hexafluoride (SF</w:t>
      </w:r>
      <w:r w:rsidRPr="00256982">
        <w:rPr>
          <w:vertAlign w:val="subscript"/>
        </w:rPr>
        <w:t>6</w:t>
      </w:r>
      <w:r w:rsidRPr="00256982">
        <w:t xml:space="preserve">) tracer and chamber techniques. </w:t>
      </w:r>
      <w:r w:rsidRPr="00256982">
        <w:rPr>
          <w:i/>
        </w:rPr>
        <w:t>Journal of Dairy Science</w:t>
      </w:r>
      <w:r w:rsidRPr="00256982">
        <w:rPr>
          <w:color w:val="5F497A"/>
        </w:rPr>
        <w:t xml:space="preserve"> </w:t>
      </w:r>
      <w:r w:rsidRPr="00256982">
        <w:t>90(6): 2755–2766.</w:t>
      </w:r>
    </w:p>
    <w:p w14:paraId="48CD61B9" w14:textId="77777777" w:rsidR="0068777C" w:rsidRPr="00256982" w:rsidRDefault="0068777C" w:rsidP="0068777C">
      <w:pPr>
        <w:pStyle w:val="References"/>
      </w:pPr>
      <w:r w:rsidRPr="00256982">
        <w:t>Henderson H, Cameron C. Unpublished. Review of the Methodology for Alpaca Population Estimations Used in the National Greenhouse Gas Inventory. Report prepared for the Ministry of Agriculture and Forestry in 2010.</w:t>
      </w:r>
    </w:p>
    <w:p w14:paraId="0A2AC1E3" w14:textId="77777777" w:rsidR="0068777C" w:rsidRPr="00256982" w:rsidRDefault="0068777C" w:rsidP="0068777C">
      <w:pPr>
        <w:pStyle w:val="References"/>
        <w:rPr>
          <w:i/>
        </w:rPr>
      </w:pPr>
      <w:r w:rsidRPr="00256982">
        <w:t xml:space="preserve">Hill, J. 2012. </w:t>
      </w:r>
      <w:r w:rsidRPr="00256982">
        <w:rPr>
          <w:i/>
        </w:rPr>
        <w:t>Recalculate Pork Industry Emissions Inventory</w:t>
      </w:r>
      <w:r w:rsidRPr="00256982">
        <w:t>. Report prepared for the Ministry of Agriculture and Forestry by Massey University and the New Zealand Pork Industry Board. Wellington: Ministry of Agriculture and Forestry.</w:t>
      </w:r>
    </w:p>
    <w:p w14:paraId="255CE67A" w14:textId="77777777" w:rsidR="0068777C" w:rsidRPr="00256982" w:rsidRDefault="0068777C" w:rsidP="0068777C">
      <w:pPr>
        <w:pStyle w:val="References"/>
        <w:rPr>
          <w:i/>
        </w:rPr>
      </w:pPr>
      <w:r w:rsidRPr="00256982">
        <w:t xml:space="preserve">IPCC. 1996. Houghton JT, Meira Filho LG, Lim B, Treanton K, Mamaty I, Bonduki Y, Griggs DJ, Callender BA (eds). </w:t>
      </w:r>
      <w:r w:rsidRPr="00256982">
        <w:rPr>
          <w:i/>
        </w:rPr>
        <w:t>IPCC/OECD/IEA. Revised 1996 IPCC Guidelines for National Greenhouse Gas Inventories</w:t>
      </w:r>
      <w:r w:rsidRPr="00256982">
        <w:t>. Bracknell: United Kingdom Meteorological Office</w:t>
      </w:r>
      <w:r w:rsidRPr="00256982">
        <w:rPr>
          <w:rFonts w:ascii="TimesNewRomanPSMT" w:hAnsi="TimesNewRomanPSMT" w:cs="TimesNewRomanPSMT"/>
        </w:rPr>
        <w:t>.</w:t>
      </w:r>
    </w:p>
    <w:p w14:paraId="780294F5" w14:textId="77777777" w:rsidR="0068777C" w:rsidRPr="00256982" w:rsidRDefault="0068777C" w:rsidP="0068777C">
      <w:pPr>
        <w:pStyle w:val="References"/>
        <w:rPr>
          <w:i/>
        </w:rPr>
      </w:pPr>
      <w:r w:rsidRPr="00256982">
        <w:t xml:space="preserve">IPCC. 2000. Penman J, Kruger D, Galbally I, Hiraishi T, Nyenzi B, Emmanuel S, Buendia L, Hoppaus R, Martinsen T, Meijer J, Miwa K, Tanabe K (eds). </w:t>
      </w:r>
      <w:r w:rsidRPr="00256982">
        <w:rPr>
          <w:i/>
        </w:rPr>
        <w:t>Good Practice Guidance and Uncertainty Management in National Greenhouse Gas Inventories</w:t>
      </w:r>
      <w:r w:rsidRPr="00256982">
        <w:t>. IPCC National Greenhouse Gas Inventories Programme. Published for the IPCC by the Institute for Global Environmental Strategies: Japan.</w:t>
      </w:r>
    </w:p>
    <w:p w14:paraId="16197584" w14:textId="77777777" w:rsidR="0068777C" w:rsidRPr="00256982" w:rsidRDefault="0068777C" w:rsidP="0068777C">
      <w:pPr>
        <w:pStyle w:val="References"/>
        <w:rPr>
          <w:i/>
        </w:rPr>
      </w:pPr>
      <w:r w:rsidRPr="00256982">
        <w:t xml:space="preserve">IPCC. 2006. Eggleston HS, Buendia L, Miwa K, Ngara T, Tanabe K (eds). </w:t>
      </w:r>
      <w:r w:rsidRPr="00256982">
        <w:rPr>
          <w:i/>
        </w:rPr>
        <w:t>2006 IPCC Guidelines for National Greenhouse Gas Inventories. Volume 4. Agriculture, Forestry and Other Land Use</w:t>
      </w:r>
      <w:r w:rsidRPr="00256982">
        <w:t>. IPCC National Greenhouse Gas Inventories Programme. Published for the IPCC by the Institute for Global Environmental Strategies: Japan.</w:t>
      </w:r>
    </w:p>
    <w:p w14:paraId="69BDFBD4" w14:textId="77777777" w:rsidR="0068777C" w:rsidRPr="00256982" w:rsidRDefault="0068777C" w:rsidP="0068777C">
      <w:pPr>
        <w:pStyle w:val="References"/>
        <w:rPr>
          <w:i/>
        </w:rPr>
      </w:pPr>
      <w:r w:rsidRPr="00256982">
        <w:t>Kelliher FM, Clark H, Smith MH, Lassey KR, Sedcole R. 2009.</w:t>
      </w:r>
      <w:r w:rsidRPr="00256982">
        <w:rPr>
          <w:rFonts w:cs="Arial"/>
          <w:szCs w:val="54"/>
        </w:rPr>
        <w:t xml:space="preserve"> </w:t>
      </w:r>
      <w:r w:rsidRPr="00256982">
        <w:rPr>
          <w:rFonts w:cs="Arial"/>
          <w:i/>
          <w:szCs w:val="54"/>
        </w:rPr>
        <w:t>Reducing Uncertainty of the Enteric Methane Emissions Inventory</w:t>
      </w:r>
      <w:r w:rsidRPr="00256982">
        <w:rPr>
          <w:rFonts w:cs="Arial"/>
          <w:szCs w:val="54"/>
        </w:rPr>
        <w:t xml:space="preserve">. </w:t>
      </w:r>
      <w:r w:rsidRPr="00256982">
        <w:t>Report prepared for the Ministry of Agriculture and Forestry by Lincoln University, National Institute of Water and Atmospheric Research and AgResearch. Wellington: Ministry of Agriculture and Forestry.</w:t>
      </w:r>
    </w:p>
    <w:p w14:paraId="3872DAAB" w14:textId="77777777" w:rsidR="0068777C" w:rsidRPr="00256982" w:rsidRDefault="0068777C" w:rsidP="0068777C">
      <w:pPr>
        <w:pStyle w:val="References"/>
      </w:pPr>
      <w:r w:rsidRPr="00256982">
        <w:t>Kelliher FM, Clough T, Newsome P, Pitcher-Campbell S, Shephard G. Unpublished(a). N</w:t>
      </w:r>
      <w:r w:rsidRPr="00256982">
        <w:rPr>
          <w:vertAlign w:val="subscript"/>
        </w:rPr>
        <w:t>2</w:t>
      </w:r>
      <w:r w:rsidRPr="00256982">
        <w:t>O Emissions from Organic Soils. Report prepared for the Ministry of Agriculture and Forestry by Lincoln University, Landcare Research and AgResearch in 2002.</w:t>
      </w:r>
    </w:p>
    <w:p w14:paraId="293BA61E" w14:textId="77777777" w:rsidR="0068777C" w:rsidRPr="00256982" w:rsidRDefault="0068777C" w:rsidP="0068777C">
      <w:pPr>
        <w:pStyle w:val="References"/>
      </w:pPr>
      <w:r w:rsidRPr="00256982">
        <w:t>Kelliher FM, de Klein CAM. Unpublished. Review of New Zealand’s Fertiliser Nitrous Oxide Emission Factor (EF</w:t>
      </w:r>
      <w:r w:rsidRPr="00256982">
        <w:rPr>
          <w:vertAlign w:val="subscript"/>
        </w:rPr>
        <w:t>1</w:t>
      </w:r>
      <w:r w:rsidRPr="00256982">
        <w:t>) Data. Report prepared for the Ministry for the Environment by Landcare Research and AgResearch in 2006.</w:t>
      </w:r>
    </w:p>
    <w:p w14:paraId="70609820" w14:textId="77777777" w:rsidR="0068777C" w:rsidRPr="00256982" w:rsidRDefault="0068777C" w:rsidP="0068777C">
      <w:pPr>
        <w:pStyle w:val="References"/>
      </w:pPr>
      <w:r w:rsidRPr="00256982">
        <w:lastRenderedPageBreak/>
        <w:t>Kelliher FM, de Klein CAM, Li Z, Sherlock RR. Unpublished(b). Review of Nitrous Oxide Emission Factor (EF</w:t>
      </w:r>
      <w:r w:rsidRPr="00256982">
        <w:rPr>
          <w:vertAlign w:val="subscript"/>
        </w:rPr>
        <w:t>3</w:t>
      </w:r>
      <w:r w:rsidRPr="00256982">
        <w:t>) Data. Report prepared for the Ministry of Agriculture and Forestry by Lincoln University, Landcare Research and AgResearch in 2005.</w:t>
      </w:r>
    </w:p>
    <w:p w14:paraId="44B8EB8D" w14:textId="77777777" w:rsidR="0068777C" w:rsidRPr="00256982" w:rsidRDefault="0068777C" w:rsidP="0068777C">
      <w:pPr>
        <w:pStyle w:val="References"/>
      </w:pPr>
      <w:r w:rsidRPr="00256982">
        <w:t xml:space="preserve">Kelliher FM, Henderson H and Cox N. 2017. The uncertainty of nitrous oxide emissions from grazed grasslands: A New Zealand case study. </w:t>
      </w:r>
      <w:r w:rsidRPr="00256982">
        <w:rPr>
          <w:i/>
        </w:rPr>
        <w:t>Atmospheric Environment</w:t>
      </w:r>
      <w:r w:rsidRPr="00256982">
        <w:t xml:space="preserve"> 148: 329–336.</w:t>
      </w:r>
    </w:p>
    <w:p w14:paraId="053157AB" w14:textId="77777777" w:rsidR="0068777C" w:rsidRPr="00256982" w:rsidRDefault="0068777C" w:rsidP="0068777C">
      <w:pPr>
        <w:pStyle w:val="References"/>
      </w:pPr>
      <w:r w:rsidRPr="00256982">
        <w:t>Kelliher FM, Ledgard SF, Clark H, Walcroft AS, Buchan M, Sherlock RR. Unpublished(c). A Revised Nitrous Oxide Emissions Inventory for New Zealand 1990–2001. Report prepared for the Ministry of Agriculture and Forestry by Lincoln University, Landcare Research and AgResearch in 2003.</w:t>
      </w:r>
    </w:p>
    <w:p w14:paraId="50FCED9F" w14:textId="77777777" w:rsidR="0068777C" w:rsidRPr="00256982" w:rsidRDefault="0068777C" w:rsidP="0068777C">
      <w:pPr>
        <w:pStyle w:val="References"/>
        <w:rPr>
          <w:i/>
        </w:rPr>
      </w:pPr>
      <w:r w:rsidRPr="00256982">
        <w:t xml:space="preserve">Lassey K. 2011. </w:t>
      </w:r>
      <w:r w:rsidRPr="00256982">
        <w:rPr>
          <w:i/>
        </w:rPr>
        <w:t>Methane Emissions and Nitrogen Excretion Rates for New Zealand Goats</w:t>
      </w:r>
      <w:r w:rsidRPr="00256982">
        <w:t xml:space="preserve">. Report for the Ministry of Agriculture and Forestry, National Institute of Water and Atmospheric Research. Wellington: National Institute of Water and Atmospheric Research. </w:t>
      </w:r>
    </w:p>
    <w:p w14:paraId="1234D6F0" w14:textId="77777777" w:rsidR="0068777C" w:rsidRPr="00256982" w:rsidRDefault="0068777C" w:rsidP="0068777C">
      <w:pPr>
        <w:pStyle w:val="References"/>
        <w:rPr>
          <w:i/>
        </w:rPr>
      </w:pPr>
      <w:r w:rsidRPr="00256982">
        <w:t xml:space="preserve">Lassey KR, Ulyatt MJ, Martin RJ, Walker CF, Shelton ID. 1997. Methane emissions measured directly from grazing livestock in New Zealand. </w:t>
      </w:r>
      <w:r w:rsidRPr="00256982">
        <w:rPr>
          <w:i/>
          <w:iCs/>
        </w:rPr>
        <w:t>Atmospheric Environment</w:t>
      </w:r>
      <w:r w:rsidRPr="00256982">
        <w:t xml:space="preserve"> </w:t>
      </w:r>
      <w:r w:rsidRPr="00256982">
        <w:rPr>
          <w:bCs/>
        </w:rPr>
        <w:t>31</w:t>
      </w:r>
      <w:r w:rsidRPr="00256982">
        <w:t>: 2905–2914.</w:t>
      </w:r>
    </w:p>
    <w:p w14:paraId="1026776D" w14:textId="77777777" w:rsidR="0068777C" w:rsidRPr="00256982" w:rsidRDefault="0068777C" w:rsidP="0068777C">
      <w:pPr>
        <w:pStyle w:val="References"/>
      </w:pPr>
      <w:r w:rsidRPr="00256982">
        <w:t xml:space="preserve">Laubach J, Grover SPP, Taghizadeh-Toosi A, Sherlock RR, Gibbs J, Kelliher FM. 2012. </w:t>
      </w:r>
      <w:r w:rsidRPr="00256982">
        <w:rPr>
          <w:i/>
        </w:rPr>
        <w:t>Ammonium from Animal Excreta.</w:t>
      </w:r>
      <w:r w:rsidRPr="00256982">
        <w:t xml:space="preserve"> MPI Technical Paper No: 2012/41. Wellington: Ministry for Primary Industries. </w:t>
      </w:r>
    </w:p>
    <w:p w14:paraId="2EC059F4" w14:textId="77777777" w:rsidR="0068777C" w:rsidRPr="00256982" w:rsidRDefault="0068777C" w:rsidP="0068777C">
      <w:pPr>
        <w:pStyle w:val="References"/>
      </w:pPr>
      <w:r w:rsidRPr="00256982">
        <w:t xml:space="preserve">Laubach J, Kelliher FM. 2004. Measuring methane emission rates of a dairy cow herd by two micrometeorological techniques. </w:t>
      </w:r>
      <w:r w:rsidRPr="00256982">
        <w:rPr>
          <w:i/>
        </w:rPr>
        <w:t>Agricultural and Forest Meteorology</w:t>
      </w:r>
      <w:r w:rsidRPr="00256982">
        <w:t xml:space="preserve"> 125: 279–303.</w:t>
      </w:r>
    </w:p>
    <w:p w14:paraId="2447B8D0" w14:textId="1BFD9EEC" w:rsidR="0068777C" w:rsidRPr="00256982" w:rsidRDefault="0068777C" w:rsidP="0068777C">
      <w:pPr>
        <w:pStyle w:val="References"/>
      </w:pPr>
      <w:r w:rsidRPr="00256982">
        <w:t>Ledgard S, Brier G. Unpublished. Estimation of the Proportion of Animal Excreta Transferred to the</w:t>
      </w:r>
      <w:r w:rsidR="00CE412B" w:rsidRPr="00256982">
        <w:t> </w:t>
      </w:r>
      <w:r w:rsidRPr="00256982">
        <w:t>Farm Dairy Effluent System. Report prepared for Ministry of Agriculture and Forestry by AgResearch in 2004.</w:t>
      </w:r>
    </w:p>
    <w:p w14:paraId="6E89CEDD" w14:textId="77777777" w:rsidR="0068777C" w:rsidRPr="00256982" w:rsidRDefault="0068777C" w:rsidP="0068777C">
      <w:pPr>
        <w:pStyle w:val="References"/>
        <w:rPr>
          <w:bCs/>
        </w:rPr>
      </w:pPr>
      <w:r w:rsidRPr="00256982">
        <w:t>Ledgard SF, Webby R, Hawke M. Unpublished. Improved Estimation of N Excretion by Grazing Animals to Improve N</w:t>
      </w:r>
      <w:r w:rsidRPr="00256982">
        <w:rPr>
          <w:vertAlign w:val="subscript"/>
        </w:rPr>
        <w:t>2</w:t>
      </w:r>
      <w:r w:rsidRPr="00256982">
        <w:t>O Emission Inventories. Report prepared for the Ministry of Agriculture and Forestry by AgResearch in 2003.</w:t>
      </w:r>
    </w:p>
    <w:p w14:paraId="37D1E32E" w14:textId="77777777" w:rsidR="0068777C" w:rsidRPr="00256982" w:rsidRDefault="0068777C" w:rsidP="0068777C">
      <w:pPr>
        <w:pStyle w:val="References"/>
      </w:pPr>
      <w:r w:rsidRPr="00256982">
        <w:t xml:space="preserve">LIC (Livestock Improvement Corporation Limited) and DairyNZ. 2018. </w:t>
      </w:r>
      <w:r w:rsidRPr="00256982">
        <w:rPr>
          <w:i/>
        </w:rPr>
        <w:t xml:space="preserve">New Zealand Dairy Statistics </w:t>
      </w:r>
      <w:r w:rsidRPr="00256982">
        <w:rPr>
          <w:i/>
        </w:rPr>
        <w:br/>
        <w:t>2017–2018</w:t>
      </w:r>
      <w:r w:rsidRPr="00256982">
        <w:t>. Hamilton: DairyNZ. Retrieved from www.dairynz.co.nz/media/5790451/nz-dairy-statistics-2017-18.pdf</w:t>
      </w:r>
      <w:r w:rsidRPr="00256982" w:rsidDel="00A46026">
        <w:t xml:space="preserve"> </w:t>
      </w:r>
      <w:r w:rsidRPr="00256982">
        <w:t>(1 December 2018).</w:t>
      </w:r>
    </w:p>
    <w:p w14:paraId="0A052EF6" w14:textId="77777777" w:rsidR="0068777C" w:rsidRPr="00256982" w:rsidRDefault="0068777C" w:rsidP="0068777C">
      <w:pPr>
        <w:pStyle w:val="References"/>
      </w:pPr>
      <w:r w:rsidRPr="00256982">
        <w:t xml:space="preserve">Livestock Improvement Corporation Limited. 2009. </w:t>
      </w:r>
      <w:r w:rsidRPr="00256982">
        <w:rPr>
          <w:i/>
        </w:rPr>
        <w:t>100 Years of Herd Testing</w:t>
      </w:r>
      <w:r w:rsidRPr="00256982">
        <w:t xml:space="preserve">. Hamilton: Livestock Improvement Corporation Limited. Retrieved from </w:t>
      </w:r>
      <w:hyperlink r:id="rId178" w:history="1">
        <w:r w:rsidRPr="00256982">
          <w:rPr>
            <w:rStyle w:val="Hyperlink"/>
            <w:color w:val="auto"/>
          </w:rPr>
          <w:t>www.lic.co.nz/lic_Publications.cfm</w:t>
        </w:r>
      </w:hyperlink>
      <w:r w:rsidRPr="00256982">
        <w:t xml:space="preserve"> (29 January 2016).</w:t>
      </w:r>
    </w:p>
    <w:p w14:paraId="03E73F47" w14:textId="77777777" w:rsidR="0068777C" w:rsidRPr="00256982" w:rsidRDefault="0068777C" w:rsidP="0068777C">
      <w:pPr>
        <w:pStyle w:val="References"/>
        <w:rPr>
          <w:i/>
        </w:rPr>
      </w:pPr>
      <w:r w:rsidRPr="00256982">
        <w:t>Luo J, Kelliher F. 2010. Partitioning of animal excreta N into urine and dung and developing the N2O inventory (MAF POL 0910-11528, 09-03). Report prepared for the Ministry of Agriculture and Fisheries by AgResearch in 2010.</w:t>
      </w:r>
    </w:p>
    <w:p w14:paraId="59734B34" w14:textId="77777777" w:rsidR="0068777C" w:rsidRPr="00256982" w:rsidRDefault="0068777C" w:rsidP="0068777C">
      <w:pPr>
        <w:pStyle w:val="References"/>
      </w:pPr>
      <w:r w:rsidRPr="00256982">
        <w:t xml:space="preserve">Luo J, van der Weerden T, Hoogendoorn C, de Klein C. 2009. </w:t>
      </w:r>
      <w:r w:rsidRPr="00256982">
        <w:rPr>
          <w:i/>
        </w:rPr>
        <w:t>Determination of the N</w:t>
      </w:r>
      <w:r w:rsidRPr="00256982">
        <w:rPr>
          <w:i/>
          <w:vertAlign w:val="subscript"/>
        </w:rPr>
        <w:t>2</w:t>
      </w:r>
      <w:r w:rsidRPr="00256982">
        <w:rPr>
          <w:i/>
        </w:rPr>
        <w:t>O Emission Factor for Animal Dung Applied in Spring in Three Regions of New Zealand</w:t>
      </w:r>
      <w:r w:rsidRPr="00256982">
        <w:t xml:space="preserve">. Report prepared for the Ministry of Agriculture and Forestry by AgResearch. Wellington: Ministry of Agriculture and Forestry. </w:t>
      </w:r>
    </w:p>
    <w:p w14:paraId="3718DD83" w14:textId="77777777" w:rsidR="0068777C" w:rsidRPr="00256982" w:rsidRDefault="0068777C" w:rsidP="0068777C">
      <w:pPr>
        <w:pStyle w:val="References"/>
        <w:rPr>
          <w:i/>
        </w:rPr>
      </w:pPr>
      <w:r w:rsidRPr="00256982">
        <w:t xml:space="preserve">Ministry for the Environment. 2017. </w:t>
      </w:r>
      <w:r w:rsidRPr="00256982">
        <w:rPr>
          <w:i/>
        </w:rPr>
        <w:t>New Zealand’s Seventh National Communication –</w:t>
      </w:r>
      <w:r w:rsidRPr="00256982" w:rsidDel="008B7BF6">
        <w:rPr>
          <w:i/>
        </w:rPr>
        <w:t xml:space="preserve"> </w:t>
      </w:r>
      <w:r w:rsidRPr="00256982">
        <w:rPr>
          <w:i/>
        </w:rPr>
        <w:t>Fulfilling reporting requirements under the United Nations Framework Convention on Climate Change and the Kyoto Protocol.</w:t>
      </w:r>
      <w:r w:rsidRPr="00256982">
        <w:t xml:space="preserve"> Wellington: Ministry for the Environment. Retrieved from</w:t>
      </w:r>
      <w:r w:rsidRPr="00256982" w:rsidDel="008B7BF6">
        <w:t xml:space="preserve"> </w:t>
      </w:r>
      <w:hyperlink r:id="rId179" w:history="1">
        <w:r w:rsidRPr="00256982">
          <w:rPr>
            <w:rStyle w:val="Hyperlink"/>
            <w:color w:val="auto"/>
          </w:rPr>
          <w:t>www.mfe.govt.nz/sites/default/files/media/Climate%20Change/21-12-17%20Web%20FINAL%20-%20 Seventh%20National%20Communication%202017.pdf</w:t>
        </w:r>
      </w:hyperlink>
      <w:r w:rsidRPr="00256982" w:rsidDel="00051DCF">
        <w:t xml:space="preserve"> </w:t>
      </w:r>
      <w:r w:rsidRPr="00256982">
        <w:t>(19 February 2018).</w:t>
      </w:r>
    </w:p>
    <w:p w14:paraId="4FF6B957" w14:textId="77777777" w:rsidR="0068777C" w:rsidRPr="00256982" w:rsidRDefault="0068777C" w:rsidP="0068777C">
      <w:pPr>
        <w:pStyle w:val="References"/>
        <w:rPr>
          <w:rFonts w:eastAsia="Arial Unicode MS"/>
          <w:i/>
        </w:rPr>
      </w:pPr>
      <w:r w:rsidRPr="00256982">
        <w:t xml:space="preserve">Muir PD, Thomson BC. 2010. </w:t>
      </w:r>
      <w:r w:rsidRPr="00256982">
        <w:rPr>
          <w:i/>
        </w:rPr>
        <w:t>Better Estimation of National Ewe and Beef Cow Liveweights</w:t>
      </w:r>
      <w:r w:rsidRPr="00256982">
        <w:t>. Report prepared for the Ministry of Agriculture and Forestry by On-Farm Research. Wellington: Ministry of Agriculture and Forestry.</w:t>
      </w:r>
    </w:p>
    <w:p w14:paraId="473114C6" w14:textId="77777777" w:rsidR="0068777C" w:rsidRPr="00256982" w:rsidRDefault="0068777C" w:rsidP="0068777C">
      <w:pPr>
        <w:pStyle w:val="References"/>
        <w:rPr>
          <w:i/>
        </w:rPr>
      </w:pPr>
      <w:r w:rsidRPr="00256982">
        <w:t xml:space="preserve">Muir PD, Thomson BC, Askin DC. 2008. </w:t>
      </w:r>
      <w:r w:rsidRPr="00256982">
        <w:rPr>
          <w:i/>
        </w:rPr>
        <w:t>A Review of Dressing Out Percentage in New Zealand Livestock</w:t>
      </w:r>
      <w:r w:rsidRPr="00256982">
        <w:t>. Report prepared for the Ministry of Agriculture and Forestry by On-Farm Research and Kilu Consulting. Wellington: Ministry of Agriculture and Forestry.</w:t>
      </w:r>
    </w:p>
    <w:p w14:paraId="40F6C56C" w14:textId="77777777" w:rsidR="0068777C" w:rsidRPr="00256982" w:rsidRDefault="0068777C" w:rsidP="0068777C">
      <w:pPr>
        <w:pStyle w:val="References"/>
        <w:keepLines/>
      </w:pPr>
      <w:r w:rsidRPr="00256982">
        <w:t xml:space="preserve">Muller C, Sherlock RR, Williams PH. 1995. Direct field measurements of nitrous oxide emissions from urine-affected and urine-unaffected pasture in Canterbury. In: </w:t>
      </w:r>
      <w:r w:rsidRPr="00256982">
        <w:rPr>
          <w:i/>
        </w:rPr>
        <w:t>P</w:t>
      </w:r>
      <w:r w:rsidRPr="00256982">
        <w:rPr>
          <w:i/>
          <w:iCs/>
        </w:rPr>
        <w:t>roceedings of the Workshop on Fertilizer Requirements of Grazed Pasture and Field Crops: Macro and Micronutrients</w:t>
      </w:r>
      <w:r w:rsidRPr="00256982">
        <w:rPr>
          <w:iCs/>
        </w:rPr>
        <w:t xml:space="preserve">. </w:t>
      </w:r>
      <w:r w:rsidRPr="00256982">
        <w:t>Currie LD, Loganathan P (eds). Occasional Report No. 8. Palmerston North: Massey University. pp 243–34.</w:t>
      </w:r>
    </w:p>
    <w:p w14:paraId="5600A3BD" w14:textId="77777777" w:rsidR="0068777C" w:rsidRPr="00256982" w:rsidRDefault="0068777C" w:rsidP="0068777C">
      <w:pPr>
        <w:pStyle w:val="References"/>
        <w:keepLines/>
        <w:rPr>
          <w:i/>
        </w:rPr>
      </w:pPr>
      <w:r w:rsidRPr="00256982">
        <w:t>Pacheco D, Waghorn G, Rollo M. Unpublished. Methodology for Splitting Nitrogen between Livestock Dung and Urine</w:t>
      </w:r>
      <w:r w:rsidRPr="00256982">
        <w:rPr>
          <w:i/>
        </w:rPr>
        <w:t>.</w:t>
      </w:r>
      <w:r w:rsidRPr="00256982">
        <w:t xml:space="preserve"> Report prepared for the Ministry for Primary Industries by AgResearch in 2018.</w:t>
      </w:r>
    </w:p>
    <w:p w14:paraId="71966BE3" w14:textId="77777777" w:rsidR="0068777C" w:rsidRPr="00256982" w:rsidRDefault="0068777C" w:rsidP="0068777C">
      <w:pPr>
        <w:pStyle w:val="References"/>
        <w:rPr>
          <w:lang w:eastAsia="en-GB"/>
        </w:rPr>
      </w:pPr>
      <w:r w:rsidRPr="00256982">
        <w:rPr>
          <w:spacing w:val="-2"/>
          <w:lang w:eastAsia="en-GB"/>
        </w:rPr>
        <w:lastRenderedPageBreak/>
        <w:t xml:space="preserve">Pickering A, Gibbs J. 2018. </w:t>
      </w:r>
      <w:r w:rsidRPr="00256982">
        <w:rPr>
          <w:i/>
          <w:spacing w:val="-2"/>
          <w:lang w:eastAsia="en-GB"/>
        </w:rPr>
        <w:t>Methodology for Calculation of New Zealand’s Agricultural Greenhouse Gas Emissions</w:t>
      </w:r>
      <w:r w:rsidRPr="00256982">
        <w:rPr>
          <w:spacing w:val="-2"/>
          <w:lang w:eastAsia="en-GB"/>
        </w:rPr>
        <w:t>.</w:t>
      </w:r>
      <w:r w:rsidRPr="00256982">
        <w:rPr>
          <w:lang w:eastAsia="en-GB"/>
        </w:rPr>
        <w:t xml:space="preserve"> Version 4. Wellington: Ministry for Primary Industries. Retrieved from http://mpi.govt.nz/news-and-resources/statistics-and-forecasting/ greenhouse-gas-reporting (16 February 2016). </w:t>
      </w:r>
    </w:p>
    <w:p w14:paraId="32B5E8B0" w14:textId="77777777" w:rsidR="0068777C" w:rsidRPr="00256982" w:rsidRDefault="0068777C" w:rsidP="0068777C">
      <w:pPr>
        <w:pStyle w:val="References"/>
      </w:pPr>
      <w:r w:rsidRPr="00256982">
        <w:t xml:space="preserve">Pinares-Patino CS, Ulyatt MJ, Waghorn GC, Lassey KR, Barry TN, Holmes CW, Johnson DE. 2003. Methane emission by alpaca and sheep fed on lucerne hay or grazed on pastures of perennial ryegrass/white clover or birdsfoot trefoil. </w:t>
      </w:r>
      <w:r w:rsidRPr="00256982">
        <w:rPr>
          <w:i/>
        </w:rPr>
        <w:t>Journal of Agricultural Science</w:t>
      </w:r>
      <w:r w:rsidRPr="00256982">
        <w:t xml:space="preserve"> 140: 215–226.</w:t>
      </w:r>
    </w:p>
    <w:p w14:paraId="07AC8048" w14:textId="77777777" w:rsidR="0068777C" w:rsidRPr="00256982" w:rsidRDefault="0068777C" w:rsidP="0068777C">
      <w:pPr>
        <w:pStyle w:val="References"/>
      </w:pPr>
      <w:r w:rsidRPr="00256982">
        <w:t>Pratt C, Walcroft A, Shilton A, Guieysse B, Chung M, Craggs R, Heubeck S. Unpublished. Revised Methane Emission Factors and Parameters for Dairy Effluent Ponds. Report prepared for the Ministry for Primary Industries by Landcare Research, Massey University and the National Institute of Water and Atmospheric Research in 2012.</w:t>
      </w:r>
    </w:p>
    <w:p w14:paraId="7FC2038C" w14:textId="77777777" w:rsidR="0068777C" w:rsidRPr="00256982" w:rsidRDefault="0068777C" w:rsidP="0068777C">
      <w:pPr>
        <w:pStyle w:val="References"/>
      </w:pPr>
      <w:r w:rsidRPr="00256982">
        <w:t>Rollo M, Ledgard S, Longhurst B. Unpublished. Final Report: Trends in Dairy Effluent Management. Report prepared for the Ministry for Primary Industries by AgResearch in 2017.</w:t>
      </w:r>
    </w:p>
    <w:p w14:paraId="510F174E" w14:textId="77777777" w:rsidR="0068777C" w:rsidRPr="00256982" w:rsidRDefault="0068777C" w:rsidP="0068777C">
      <w:pPr>
        <w:pStyle w:val="References"/>
      </w:pPr>
      <w:r w:rsidRPr="00256982">
        <w:t>Saggar S, Clark H, Hedley C, Tate K, Carran A, Cosgrove G. Unpublished. Methane Emissions from Animal Dung and Waste Management Systems, and its Contribution to National Budget. Landcare Research Contract Report: LC0301/02. Prepared for the Ministry of Agriculture and Forestry by Landcare Research in 2003.</w:t>
      </w:r>
    </w:p>
    <w:p w14:paraId="4AFDF882" w14:textId="77777777" w:rsidR="0068777C" w:rsidRPr="00256982" w:rsidRDefault="0068777C" w:rsidP="0068777C">
      <w:pPr>
        <w:pStyle w:val="References"/>
        <w:rPr>
          <w:i/>
        </w:rPr>
      </w:pPr>
      <w:r w:rsidRPr="00256982">
        <w:t xml:space="preserve">Saggar S, Singh J, Giltrap DL, Zaman M, Luo J, Rollo M, Kim D-G, Rys G, van der Weerden TJ. 2013. Quantification of reductions in ammonia emissions from fertiliser urea and animal urine in grazed pastures with urease inhibitors for Agriculture inventory: New Zealand as a case study. </w:t>
      </w:r>
      <w:r w:rsidRPr="00256982">
        <w:rPr>
          <w:i/>
        </w:rPr>
        <w:t>Science of the Total Environment</w:t>
      </w:r>
      <w:r w:rsidRPr="00256982">
        <w:t xml:space="preserve"> 465: 136–146.</w:t>
      </w:r>
    </w:p>
    <w:p w14:paraId="0C335FA8" w14:textId="77777777" w:rsidR="0068777C" w:rsidRPr="00256982" w:rsidRDefault="0068777C" w:rsidP="0068777C">
      <w:pPr>
        <w:pStyle w:val="References"/>
        <w:rPr>
          <w:i/>
        </w:rPr>
      </w:pPr>
      <w:r w:rsidRPr="00256982">
        <w:t>Sherlock RR, de Klein C, Li Z. Unpublished. Determination of N</w:t>
      </w:r>
      <w:r w:rsidRPr="00256982">
        <w:rPr>
          <w:vertAlign w:val="subscript"/>
        </w:rPr>
        <w:t>2</w:t>
      </w:r>
      <w:r w:rsidRPr="00256982">
        <w:t>O and CH</w:t>
      </w:r>
      <w:r w:rsidRPr="00256982">
        <w:rPr>
          <w:vertAlign w:val="subscript"/>
        </w:rPr>
        <w:t>4</w:t>
      </w:r>
      <w:r w:rsidRPr="00256982">
        <w:t xml:space="preserve"> Emission Factors from Animal Excreta, following a Summer Application in Three Regions of New Zealand. A final report of an NzOnet study prepared for the Ministry of Agriculture and Forestry by Landcare Research, AgResearch and Lincoln University in 2003.</w:t>
      </w:r>
    </w:p>
    <w:p w14:paraId="29E96E00" w14:textId="77777777" w:rsidR="0068777C" w:rsidRPr="00256982" w:rsidRDefault="0068777C" w:rsidP="0068777C">
      <w:pPr>
        <w:pStyle w:val="References"/>
        <w:rPr>
          <w:i/>
        </w:rPr>
      </w:pPr>
      <w:r w:rsidRPr="00256982">
        <w:t xml:space="preserve">Sherlock RR, Jewell P, Clough T. 2008. </w:t>
      </w:r>
      <w:r w:rsidRPr="00256982">
        <w:rPr>
          <w:i/>
        </w:rPr>
        <w:t>Review of New Zealand Specific Frac</w:t>
      </w:r>
      <w:r w:rsidRPr="00256982">
        <w:rPr>
          <w:i/>
          <w:vertAlign w:val="subscript"/>
        </w:rPr>
        <w:t>GASM</w:t>
      </w:r>
      <w:r w:rsidRPr="00256982">
        <w:rPr>
          <w:i/>
        </w:rPr>
        <w:t xml:space="preserve"> and Frac</w:t>
      </w:r>
      <w:r w:rsidRPr="00256982">
        <w:rPr>
          <w:i/>
          <w:vertAlign w:val="subscript"/>
        </w:rPr>
        <w:t>GASF</w:t>
      </w:r>
      <w:r w:rsidRPr="00256982">
        <w:rPr>
          <w:i/>
        </w:rPr>
        <w:t xml:space="preserve"> Emissions Factors</w:t>
      </w:r>
      <w:r w:rsidRPr="00256982">
        <w:t>. Report prepared for the Ministry of Agriculture and Forestry by Landcare Research and AgResearch. Wellington: Ministry of Agriculture and Forestry.</w:t>
      </w:r>
    </w:p>
    <w:p w14:paraId="7B2DB1CA" w14:textId="77777777" w:rsidR="0068777C" w:rsidRPr="00256982" w:rsidRDefault="0068777C" w:rsidP="0068777C">
      <w:pPr>
        <w:pStyle w:val="References"/>
      </w:pPr>
      <w:r w:rsidRPr="00256982">
        <w:t xml:space="preserve">Statistics New Zealand. 2018a. </w:t>
      </w:r>
      <w:r w:rsidRPr="00256982">
        <w:rPr>
          <w:i/>
        </w:rPr>
        <w:t>Global New Zealand</w:t>
      </w:r>
      <w:r w:rsidRPr="00256982">
        <w:t xml:space="preserve"> – </w:t>
      </w:r>
      <w:r w:rsidRPr="00256982">
        <w:rPr>
          <w:i/>
        </w:rPr>
        <w:t>International trade, investment, and travel profile: Year ended December 2017</w:t>
      </w:r>
      <w:r w:rsidRPr="00256982">
        <w:t xml:space="preserve">. Wellington: Ministry of Foreign Affairs and Trade, and Statistics New Zealand. Available from </w:t>
      </w:r>
      <w:hyperlink r:id="rId180" w:history="1">
        <w:r w:rsidRPr="00256982">
          <w:rPr>
            <w:rStyle w:val="Hyperlink"/>
            <w:color w:val="auto"/>
          </w:rPr>
          <w:t>www.stats.govt.nz</w:t>
        </w:r>
      </w:hyperlink>
      <w:r w:rsidRPr="00256982">
        <w:t>.</w:t>
      </w:r>
    </w:p>
    <w:p w14:paraId="230A90A4" w14:textId="77777777" w:rsidR="0068777C" w:rsidRPr="00256982" w:rsidRDefault="0068777C" w:rsidP="0068777C">
      <w:pPr>
        <w:pStyle w:val="References"/>
      </w:pPr>
      <w:r w:rsidRPr="00256982">
        <w:t xml:space="preserve">Statistics New Zealand. 2018b. </w:t>
      </w:r>
      <w:r w:rsidRPr="00256982">
        <w:rPr>
          <w:i/>
        </w:rPr>
        <w:t>Infoshare database</w:t>
      </w:r>
      <w:r w:rsidRPr="00256982">
        <w:t xml:space="preserve">. Retrieved from </w:t>
      </w:r>
      <w:hyperlink r:id="rId181" w:history="1">
        <w:r w:rsidRPr="00256982">
          <w:rPr>
            <w:rStyle w:val="Hyperlink"/>
            <w:color w:val="auto"/>
          </w:rPr>
          <w:t>www.stats.govt.nz/infoshare</w:t>
        </w:r>
      </w:hyperlink>
      <w:r w:rsidRPr="00256982">
        <w:t xml:space="preserve"> (December 2018).</w:t>
      </w:r>
    </w:p>
    <w:p w14:paraId="675B9999" w14:textId="77777777" w:rsidR="0068777C" w:rsidRPr="00256982" w:rsidRDefault="0068777C" w:rsidP="0068777C">
      <w:pPr>
        <w:pStyle w:val="References"/>
        <w:rPr>
          <w:i/>
        </w:rPr>
      </w:pPr>
      <w:r w:rsidRPr="00256982">
        <w:t>Statistics New Zealand</w:t>
      </w:r>
      <w:r w:rsidRPr="00256982">
        <w:rPr>
          <w:i/>
        </w:rPr>
        <w:t xml:space="preserve">. </w:t>
      </w:r>
      <w:r w:rsidRPr="00256982">
        <w:t>2018c</w:t>
      </w:r>
      <w:r w:rsidRPr="00256982">
        <w:rPr>
          <w:i/>
        </w:rPr>
        <w:t xml:space="preserve">. Agricultural Production Survey. </w:t>
      </w:r>
      <w:r w:rsidRPr="00256982">
        <w:t>Wellington: Statistics New Zealand.</w:t>
      </w:r>
    </w:p>
    <w:p w14:paraId="4020815C" w14:textId="77777777" w:rsidR="0068777C" w:rsidRPr="00256982" w:rsidRDefault="0068777C" w:rsidP="0068777C">
      <w:pPr>
        <w:pStyle w:val="References"/>
      </w:pPr>
      <w:r w:rsidRPr="00256982">
        <w:t xml:space="preserve">Suttie J. 2012. </w:t>
      </w:r>
      <w:r w:rsidRPr="00256982">
        <w:rPr>
          <w:i/>
        </w:rPr>
        <w:t>Report to the Deer Industry New Zealand: Estimation of Deer Population and Productivity Data 1990 to 2012</w:t>
      </w:r>
      <w:r w:rsidRPr="00256982">
        <w:t xml:space="preserve">. Dunedin: Suttie Consulting Limited. </w:t>
      </w:r>
    </w:p>
    <w:p w14:paraId="3A0F8D26" w14:textId="77777777" w:rsidR="0068777C" w:rsidRPr="00256982" w:rsidRDefault="0068777C" w:rsidP="0068777C">
      <w:pPr>
        <w:pStyle w:val="References"/>
        <w:rPr>
          <w:i/>
        </w:rPr>
      </w:pPr>
      <w:r w:rsidRPr="00256982">
        <w:t xml:space="preserve">Swainson, N, Muetzel, S, Clark, H. 2016. Updated predictions of enteric methane emissions from sheep suitable for use in the New Zealand national greenhouse gas inventory. </w:t>
      </w:r>
      <w:r w:rsidRPr="00256982">
        <w:rPr>
          <w:i/>
        </w:rPr>
        <w:t xml:space="preserve">Animal Production Science </w:t>
      </w:r>
      <w:r w:rsidRPr="00256982">
        <w:rPr>
          <w:spacing w:val="-2"/>
        </w:rPr>
        <w:t xml:space="preserve">58: 973–979. Retrieved from </w:t>
      </w:r>
      <w:hyperlink r:id="rId182" w:history="1">
        <w:r w:rsidRPr="00256982">
          <w:rPr>
            <w:rStyle w:val="Hyperlink"/>
            <w:color w:val="auto"/>
            <w:spacing w:val="-2"/>
          </w:rPr>
          <w:t>www.publish.csiro.au/?act=view_file&amp;file_id=AN15766.pdf</w:t>
        </w:r>
      </w:hyperlink>
      <w:r w:rsidRPr="00256982">
        <w:rPr>
          <w:rStyle w:val="Hyperlink"/>
          <w:color w:val="auto"/>
          <w:spacing w:val="-2"/>
        </w:rPr>
        <w:t xml:space="preserve"> (18 February 2019)</w:t>
      </w:r>
      <w:r w:rsidRPr="00256982">
        <w:rPr>
          <w:rStyle w:val="Hyperlink"/>
          <w:color w:val="auto"/>
        </w:rPr>
        <w:t>.</w:t>
      </w:r>
    </w:p>
    <w:p w14:paraId="01A6C5C6" w14:textId="77777777" w:rsidR="0068777C" w:rsidRPr="00256982" w:rsidRDefault="0068777C" w:rsidP="0068777C">
      <w:pPr>
        <w:pStyle w:val="References"/>
        <w:rPr>
          <w:i/>
        </w:rPr>
      </w:pPr>
      <w:r w:rsidRPr="00256982">
        <w:t xml:space="preserve">Thomas S, Hume E, Fraser T Curtin D. 2011. </w:t>
      </w:r>
      <w:r w:rsidRPr="00256982">
        <w:rPr>
          <w:i/>
        </w:rPr>
        <w:t>Factors and Activity Data to Estimate Nitrous Oxide Emissions from Cropping Systems, and Stubble and Tussock Burning</w:t>
      </w:r>
      <w:r w:rsidRPr="00256982">
        <w:t xml:space="preserve">. Technical paper no. 2012/16. Report prepared for the Ministry of Agriculture and Forestry by Plant and Food Research (formerly Crop and Food Research). Wellington: Ministry of Agriculture and Forestry. </w:t>
      </w:r>
    </w:p>
    <w:p w14:paraId="75FDDDAC" w14:textId="77777777" w:rsidR="0068777C" w:rsidRPr="00256982" w:rsidRDefault="0068777C" w:rsidP="0068777C">
      <w:pPr>
        <w:pStyle w:val="References"/>
        <w:rPr>
          <w:i/>
        </w:rPr>
      </w:pPr>
      <w:r w:rsidRPr="00256982">
        <w:t xml:space="preserve">Thomas S, Wallace D, Beare M. 2014. </w:t>
      </w:r>
      <w:r w:rsidRPr="00256982">
        <w:rPr>
          <w:i/>
        </w:rPr>
        <w:t>Pasture Renewal Activity Data and Factors for New Zealand</w:t>
      </w:r>
      <w:r w:rsidRPr="00256982">
        <w:t>. Report prepared for the Ministry for Primary Industries by Plant and Food Research. Wellington: Ministry for Primary Industries.</w:t>
      </w:r>
    </w:p>
    <w:p w14:paraId="272DF7CA" w14:textId="77777777" w:rsidR="0068777C" w:rsidRPr="00256982" w:rsidRDefault="0068777C" w:rsidP="0068777C">
      <w:pPr>
        <w:pStyle w:val="References"/>
        <w:rPr>
          <w:i/>
        </w:rPr>
      </w:pPr>
      <w:r w:rsidRPr="00256982">
        <w:t xml:space="preserve">Thomas SM, Fraser T, Curtin D, Brown H, Lawrence E. 2008. </w:t>
      </w:r>
      <w:r w:rsidRPr="00256982">
        <w:rPr>
          <w:i/>
        </w:rPr>
        <w:t>Review of Nitrous Oxide Emission Factors and Activity Data for Crops</w:t>
      </w:r>
      <w:r w:rsidRPr="00256982">
        <w:t>. Report prepared for the Ministry of Agriculture and Forestry by Plant and Food Research. Wellington: Ministry of Agriculture and Forestry.</w:t>
      </w:r>
    </w:p>
    <w:p w14:paraId="2987B968" w14:textId="77777777" w:rsidR="0068777C" w:rsidRPr="00256982" w:rsidRDefault="0068777C" w:rsidP="0068777C">
      <w:pPr>
        <w:pStyle w:val="References"/>
        <w:rPr>
          <w:i/>
        </w:rPr>
      </w:pPr>
      <w:r w:rsidRPr="00256982">
        <w:t>Thomas SM, Ledgard SF, Francis GS. Unpublished. Appropriateness of IPCC Default Values for Estimating New Zealand’s Indirect Nitrous Oxide Emissions. Report prepared for the Ministry of Agriculture and Forestry in 2003.</w:t>
      </w:r>
    </w:p>
    <w:p w14:paraId="56E08706" w14:textId="77777777" w:rsidR="0068777C" w:rsidRPr="00256982" w:rsidRDefault="0068777C" w:rsidP="0068777C">
      <w:pPr>
        <w:pStyle w:val="References"/>
        <w:rPr>
          <w:i/>
        </w:rPr>
      </w:pPr>
      <w:r w:rsidRPr="00256982">
        <w:lastRenderedPageBreak/>
        <w:t xml:space="preserve">Thomas SM, Ledgard SF, Francis GS. 2005. Improving estimates of nitrate leaching for quantifying New Zealand’s indirect nitrous oxide emissions. </w:t>
      </w:r>
      <w:r w:rsidRPr="00256982">
        <w:rPr>
          <w:i/>
        </w:rPr>
        <w:t>Nutrient Cycling in Agroecosystems</w:t>
      </w:r>
      <w:r w:rsidRPr="00256982">
        <w:t xml:space="preserve"> 73: 213–226.</w:t>
      </w:r>
    </w:p>
    <w:p w14:paraId="7EA8CC84" w14:textId="77777777" w:rsidR="0068777C" w:rsidRPr="00256982" w:rsidRDefault="0068777C" w:rsidP="0068777C">
      <w:pPr>
        <w:pStyle w:val="References"/>
      </w:pPr>
      <w:r w:rsidRPr="00256982">
        <w:t>Thomas T. Unpublished. Assessment of the Methodology of Potato Area and Yield Activity Estimations used in the NZ National GHG Inventory. Report prepared for the Ministry of Agriculture and Forestry by Plant and Food Research in 2010.</w:t>
      </w:r>
    </w:p>
    <w:p w14:paraId="2CBACDE7" w14:textId="77777777" w:rsidR="0068777C" w:rsidRPr="00256982" w:rsidRDefault="0068777C" w:rsidP="0068777C">
      <w:pPr>
        <w:pStyle w:val="References"/>
      </w:pPr>
      <w:r w:rsidRPr="00256982">
        <w:t>Thomson BC, Muir PD, Davison R. Unpublished. Review of Beef Population Models within the National Methane Inventory (2012). MPI Technical Report in 2012.</w:t>
      </w:r>
    </w:p>
    <w:p w14:paraId="1579EAC4" w14:textId="77777777" w:rsidR="0068777C" w:rsidRPr="00256982" w:rsidRDefault="0068777C" w:rsidP="0068777C">
      <w:pPr>
        <w:pStyle w:val="References"/>
        <w:rPr>
          <w:i/>
        </w:rPr>
      </w:pPr>
      <w:r w:rsidRPr="00256982">
        <w:t xml:space="preserve">Thomson BC, Muir PD, Davison R, Clark H. 2010. </w:t>
      </w:r>
      <w:r w:rsidRPr="00256982">
        <w:rPr>
          <w:i/>
        </w:rPr>
        <w:t>Review of Population Models within the National Methane Inventory (2010)</w:t>
      </w:r>
      <w:r w:rsidRPr="00256982">
        <w:t>. Technical paper prepared for the Ministry of Agriculture and Forestry by On-Farm Research (with cooperation by Meat and Wool New Zealand and AgResearch Ltd). Wellington: Ministry of Agriculture and Forestry.</w:t>
      </w:r>
    </w:p>
    <w:p w14:paraId="01301E80" w14:textId="77777777" w:rsidR="0068777C" w:rsidRPr="00256982" w:rsidRDefault="0068777C" w:rsidP="0068777C">
      <w:pPr>
        <w:pStyle w:val="References"/>
      </w:pPr>
      <w:r w:rsidRPr="00256982">
        <w:t>Ulyatt MJ, Baker SK, McCrabb GJ, Lassey KR. 1999. Accuracy of the SF</w:t>
      </w:r>
      <w:r w:rsidRPr="00256982">
        <w:rPr>
          <w:vertAlign w:val="subscript"/>
        </w:rPr>
        <w:t>6</w:t>
      </w:r>
      <w:r w:rsidRPr="00256982">
        <w:t xml:space="preserve"> tracer technology and alternatives for field measurements. </w:t>
      </w:r>
      <w:r w:rsidRPr="00256982">
        <w:rPr>
          <w:i/>
        </w:rPr>
        <w:t>Australian Journal of Agricultural Research</w:t>
      </w:r>
      <w:r w:rsidRPr="00256982">
        <w:t xml:space="preserve"> 50: 1329–1334.</w:t>
      </w:r>
    </w:p>
    <w:p w14:paraId="2E0EB7F1" w14:textId="77777777" w:rsidR="0068777C" w:rsidRPr="00256982" w:rsidRDefault="0068777C" w:rsidP="0068777C">
      <w:pPr>
        <w:pStyle w:val="References"/>
      </w:pPr>
      <w:r w:rsidRPr="00256982">
        <w:t>Upsdell M, Cosgrove G, Ganesh S, Koolaard J, Pacheco D. Unpublished. Metabolisable energy and crude protein levels in New Zealand. Report prepared for the Ministry for Primary Industries by AgResearch in 2016.</w:t>
      </w:r>
    </w:p>
    <w:p w14:paraId="05B36F2C" w14:textId="77777777" w:rsidR="0068777C" w:rsidRPr="00256982" w:rsidRDefault="0068777C" w:rsidP="0068777C">
      <w:pPr>
        <w:pStyle w:val="References"/>
      </w:pPr>
      <w:r w:rsidRPr="00256982">
        <w:t xml:space="preserve">van der Weerden A, de Klein C, Kelliher F, Rollo M. 2014. </w:t>
      </w:r>
      <w:r w:rsidRPr="00256982">
        <w:rPr>
          <w:i/>
        </w:rPr>
        <w:t>Reporting to 2006 IPCC Guidelines for N</w:t>
      </w:r>
      <w:r w:rsidRPr="00256982">
        <w:rPr>
          <w:i/>
          <w:vertAlign w:val="subscript"/>
        </w:rPr>
        <w:t>2</w:t>
      </w:r>
      <w:r w:rsidRPr="00256982">
        <w:rPr>
          <w:i/>
        </w:rPr>
        <w:t>O Emissions from Additional Sources of Organic N: Final Report</w:t>
      </w:r>
      <w:r w:rsidRPr="00256982">
        <w:t>. MPI Technical Report. Wellington: Ministry for Primary Industries.</w:t>
      </w:r>
    </w:p>
    <w:p w14:paraId="4FBCA910" w14:textId="77777777" w:rsidR="0068777C" w:rsidRPr="00256982" w:rsidRDefault="0068777C" w:rsidP="0068777C">
      <w:pPr>
        <w:pStyle w:val="References"/>
      </w:pPr>
      <w:r w:rsidRPr="00256982">
        <w:t>van der Weerden T, Cox N, Luo J, Di HJ, Podolyan A, Phillips RL, Saggar S, de Klein CAM, Ettema P, Rys G. 2016a. Refining the New Zealand nitrous oxide emission factor for urea fertiliser and farm dairy effluent.</w:t>
      </w:r>
      <w:r w:rsidRPr="00256982">
        <w:rPr>
          <w:i/>
        </w:rPr>
        <w:t xml:space="preserve"> Agriculture Ecosystems &amp; Environment </w:t>
      </w:r>
      <w:r w:rsidRPr="00256982">
        <w:t>222: 133–137.</w:t>
      </w:r>
    </w:p>
    <w:p w14:paraId="13AEA43E" w14:textId="77777777" w:rsidR="0068777C" w:rsidRPr="00256982" w:rsidRDefault="0068777C" w:rsidP="0068777C">
      <w:pPr>
        <w:pStyle w:val="References"/>
      </w:pPr>
      <w:r w:rsidRPr="00256982">
        <w:t xml:space="preserve">van der Weerden T, Luo J, Cox N, Di HJ, Podolyan A, Phillips RL, Saggar S, de Klein CA, Ettema P, Rys G. 2016b. Nitrous oxide emissions from urea fertiliser and effluent with and without inhibitors applied to pasture. </w:t>
      </w:r>
      <w:r w:rsidRPr="00256982">
        <w:rPr>
          <w:i/>
        </w:rPr>
        <w:t xml:space="preserve">Agriculture Ecosystems &amp; Environment </w:t>
      </w:r>
      <w:r w:rsidRPr="00256982">
        <w:t>219: 58–70</w:t>
      </w:r>
    </w:p>
    <w:p w14:paraId="2DDF9D04" w14:textId="77777777" w:rsidR="0068777C" w:rsidRPr="00256982" w:rsidRDefault="0068777C" w:rsidP="0068777C">
      <w:pPr>
        <w:pStyle w:val="References"/>
      </w:pPr>
      <w:r w:rsidRPr="00256982">
        <w:t>Waghorn G, Molano G, Cavanagh A. Unpublished(a). An Estimate of Whole Herd Methane Production from Cows at the Lincoln University Dairy Farm in October 2003. Final report prepared for Landcare Research NZ Ltd in 2003.</w:t>
      </w:r>
    </w:p>
    <w:p w14:paraId="769768A8" w14:textId="77777777" w:rsidR="0068777C" w:rsidRPr="00256982" w:rsidRDefault="0068777C" w:rsidP="0068777C">
      <w:pPr>
        <w:pStyle w:val="References"/>
      </w:pPr>
      <w:r w:rsidRPr="00256982">
        <w:t>Waghorn G, Molano G, Lassey K. Unpublished(b). Estimates of Whole Herd Methane Production from Cows at the Lincoln University Dairy Farm in January and March 2002. A preliminary report prepared for Landcare Research NZ Ltd in 2002.</w:t>
      </w:r>
    </w:p>
    <w:p w14:paraId="2996FCCE" w14:textId="77777777" w:rsidR="0068777C" w:rsidRPr="00256982" w:rsidRDefault="0068777C" w:rsidP="0068777C">
      <w:pPr>
        <w:pStyle w:val="References"/>
        <w:rPr>
          <w:rFonts w:cs="Arial"/>
        </w:rPr>
      </w:pPr>
      <w:r w:rsidRPr="00256982">
        <w:t xml:space="preserve">Wheeler DM, Ledgard SF, de Klein CAM, Monaghan PL, Carey PL, McDowell RW, Johns KL. 2003. OVERSEER® Nutrient budgets – moving towards on-farm resource accounting. In: </w:t>
      </w:r>
      <w:r w:rsidRPr="00256982">
        <w:rPr>
          <w:i/>
        </w:rPr>
        <w:t>Proceedings of the New Zealand Grassland Association 2003</w:t>
      </w:r>
      <w:r w:rsidRPr="00256982">
        <w:t xml:space="preserve">. Palmerston North: </w:t>
      </w:r>
      <w:r w:rsidRPr="00256982">
        <w:rPr>
          <w:rFonts w:cs="Arial"/>
        </w:rPr>
        <w:t>New Zealand Grassland Association Inc.</w:t>
      </w:r>
      <w:bookmarkStart w:id="902" w:name="statsNZref"/>
      <w:bookmarkEnd w:id="902"/>
    </w:p>
    <w:p w14:paraId="378CC16B" w14:textId="77777777" w:rsidR="0068777C" w:rsidRPr="00256982" w:rsidRDefault="0068777C" w:rsidP="0068777C"/>
    <w:p w14:paraId="6391D8D2" w14:textId="73F4A822" w:rsidR="00A72873" w:rsidRPr="00256982" w:rsidRDefault="00A72873" w:rsidP="00380BE7">
      <w:pPr>
        <w:pStyle w:val="Heading1"/>
      </w:pPr>
      <w:r w:rsidRPr="00256982">
        <w:br w:type="page"/>
      </w:r>
      <w:bookmarkStart w:id="903" w:name="_Toc391024696"/>
      <w:bookmarkStart w:id="904" w:name="_Toc414531313"/>
      <w:bookmarkStart w:id="905" w:name="_Toc474335455"/>
      <w:bookmarkStart w:id="906" w:name="_Toc481751395"/>
      <w:bookmarkStart w:id="907" w:name="_Toc522013947"/>
      <w:bookmarkStart w:id="908" w:name="_Toc5269372"/>
      <w:r w:rsidR="00380BE7" w:rsidRPr="00256982">
        <w:lastRenderedPageBreak/>
        <w:t>Chapter 6: Land Use, Land-Use Change and Forestry (LULUCF)</w:t>
      </w:r>
      <w:bookmarkEnd w:id="903"/>
      <w:bookmarkEnd w:id="904"/>
      <w:bookmarkEnd w:id="905"/>
      <w:bookmarkEnd w:id="906"/>
      <w:bookmarkEnd w:id="907"/>
      <w:bookmarkEnd w:id="908"/>
    </w:p>
    <w:p w14:paraId="486EC4CE" w14:textId="77777777" w:rsidR="00380BE7" w:rsidRPr="00256982" w:rsidRDefault="00380BE7" w:rsidP="008E6A28">
      <w:pPr>
        <w:pStyle w:val="Heading2"/>
        <w:spacing w:before="240"/>
      </w:pPr>
      <w:bookmarkStart w:id="909" w:name="_Toc391024697"/>
      <w:bookmarkStart w:id="910" w:name="_Toc414531314"/>
      <w:bookmarkStart w:id="911" w:name="_Toc474335456"/>
      <w:bookmarkStart w:id="912" w:name="_Toc481751396"/>
      <w:bookmarkStart w:id="913" w:name="_Toc522013948"/>
      <w:bookmarkStart w:id="914" w:name="_Toc5269373"/>
      <w:r w:rsidRPr="00256982">
        <w:t>6.1</w:t>
      </w:r>
      <w:r w:rsidRPr="00256982">
        <w:tab/>
        <w:t>Sector overview</w:t>
      </w:r>
      <w:bookmarkEnd w:id="909"/>
      <w:bookmarkEnd w:id="910"/>
      <w:bookmarkEnd w:id="911"/>
      <w:bookmarkEnd w:id="912"/>
      <w:bookmarkEnd w:id="913"/>
      <w:bookmarkEnd w:id="914"/>
    </w:p>
    <w:p w14:paraId="5C80DF7C" w14:textId="77777777" w:rsidR="00380BE7" w:rsidRPr="00256982" w:rsidRDefault="00380BE7" w:rsidP="00380BE7">
      <w:pPr>
        <w:pStyle w:val="Heading4"/>
      </w:pPr>
      <w:r w:rsidRPr="00256982">
        <w:t>Emissions summary</w:t>
      </w:r>
    </w:p>
    <w:p w14:paraId="570A9148" w14:textId="77777777" w:rsidR="00380BE7" w:rsidRPr="00256982" w:rsidRDefault="00380BE7" w:rsidP="00380BE7">
      <w:pPr>
        <w:pStyle w:val="Heading5"/>
      </w:pPr>
      <w:r w:rsidRPr="00256982">
        <w:t>2017</w:t>
      </w:r>
    </w:p>
    <w:p w14:paraId="4B744CF3" w14:textId="77777777" w:rsidR="00380BE7" w:rsidRPr="00256982" w:rsidRDefault="00380BE7" w:rsidP="00380BE7">
      <w:pPr>
        <w:pStyle w:val="BodyText"/>
      </w:pPr>
      <w:r w:rsidRPr="00256982">
        <w:t>In 2017, net emissions by the Land Use, Land-Use Change and Forestry (LULUCF) sector were –23,958.4 kilotonnes carbon dioxide equivalent (kt CO</w:t>
      </w:r>
      <w:r w:rsidRPr="00256982">
        <w:rPr>
          <w:vertAlign w:val="subscript"/>
        </w:rPr>
        <w:t>2</w:t>
      </w:r>
      <w:r w:rsidRPr="00256982">
        <w:t>-e). This comprises net removals of 24,158.3 kt CO</w:t>
      </w:r>
      <w:r w:rsidRPr="00256982">
        <w:rPr>
          <w:vertAlign w:val="subscript"/>
        </w:rPr>
        <w:t>2</w:t>
      </w:r>
      <w:r w:rsidRPr="00256982">
        <w:t>, emissions of 92.9 kt CO</w:t>
      </w:r>
      <w:r w:rsidRPr="00256982">
        <w:rPr>
          <w:vertAlign w:val="subscript"/>
        </w:rPr>
        <w:t>2</w:t>
      </w:r>
      <w:r w:rsidRPr="00256982">
        <w:t>-e of methane (CH</w:t>
      </w:r>
      <w:r w:rsidRPr="00256982">
        <w:rPr>
          <w:vertAlign w:val="subscript"/>
        </w:rPr>
        <w:t>4</w:t>
      </w:r>
      <w:r w:rsidRPr="00256982">
        <w:t>) and 106.9 kt CO</w:t>
      </w:r>
      <w:r w:rsidRPr="00256982">
        <w:rPr>
          <w:vertAlign w:val="subscript"/>
        </w:rPr>
        <w:t>2</w:t>
      </w:r>
      <w:r w:rsidRPr="00256982">
        <w:t>-e of nitrous oxide (N</w:t>
      </w:r>
      <w:r w:rsidRPr="00256982">
        <w:rPr>
          <w:vertAlign w:val="subscript"/>
        </w:rPr>
        <w:t>2</w:t>
      </w:r>
      <w:r w:rsidRPr="00256982">
        <w:t xml:space="preserve">O). The category contributing the most to both removals and emissions is </w:t>
      </w:r>
      <w:r w:rsidRPr="00256982">
        <w:rPr>
          <w:i/>
        </w:rPr>
        <w:t>Forest land remaining forest land</w:t>
      </w:r>
      <w:r w:rsidRPr="00256982">
        <w:t xml:space="preserve">. This is because large removals result from the growth of all forests on this land and there are also large emissions from the sustainable harvest of New Zealand’s plantation forests. </w:t>
      </w:r>
    </w:p>
    <w:p w14:paraId="47B8DF4B" w14:textId="77777777" w:rsidR="00380BE7" w:rsidRPr="00256982" w:rsidRDefault="00380BE7" w:rsidP="00380BE7">
      <w:pPr>
        <w:pStyle w:val="Heading5"/>
      </w:pPr>
      <w:r w:rsidRPr="00256982">
        <w:t>1990–2017</w:t>
      </w:r>
    </w:p>
    <w:p w14:paraId="1A5B11FF" w14:textId="77777777" w:rsidR="00380BE7" w:rsidRPr="00256982" w:rsidRDefault="00380BE7" w:rsidP="00380BE7">
      <w:pPr>
        <w:pStyle w:val="BodyText"/>
        <w:rPr>
          <w:spacing w:val="-2"/>
        </w:rPr>
      </w:pPr>
      <w:r w:rsidRPr="00256982">
        <w:rPr>
          <w:spacing w:val="-2"/>
        </w:rPr>
        <w:t>Net emissions in 2017 have increased by 7,203.3 kt CO</w:t>
      </w:r>
      <w:r w:rsidRPr="00256982">
        <w:rPr>
          <w:spacing w:val="-2"/>
          <w:vertAlign w:val="subscript"/>
        </w:rPr>
        <w:t>2</w:t>
      </w:r>
      <w:r w:rsidRPr="00256982">
        <w:rPr>
          <w:spacing w:val="-2"/>
        </w:rPr>
        <w:t>-e (</w:t>
      </w:r>
      <w:r w:rsidRPr="00256982">
        <w:rPr>
          <w:rFonts w:cs="Arial"/>
          <w:color w:val="000000"/>
          <w:spacing w:val="-2"/>
          <w:szCs w:val="16"/>
        </w:rPr>
        <w:t xml:space="preserve">23.1 </w:t>
      </w:r>
      <w:r w:rsidRPr="00256982">
        <w:rPr>
          <w:spacing w:val="-2"/>
        </w:rPr>
        <w:t xml:space="preserve">per cent) from the 1990 level of </w:t>
      </w:r>
      <w:r w:rsidRPr="00256982">
        <w:rPr>
          <w:spacing w:val="-2"/>
        </w:rPr>
        <w:br/>
      </w:r>
      <w:r w:rsidRPr="00256982">
        <w:rPr>
          <w:spacing w:val="-2"/>
          <w:lang w:eastAsia="en-NZ"/>
        </w:rPr>
        <w:t xml:space="preserve">–31,161.8 </w:t>
      </w:r>
      <w:r w:rsidRPr="00256982">
        <w:rPr>
          <w:spacing w:val="-2"/>
        </w:rPr>
        <w:t>kt CO</w:t>
      </w:r>
      <w:r w:rsidRPr="00256982">
        <w:rPr>
          <w:spacing w:val="-2"/>
          <w:vertAlign w:val="subscript"/>
        </w:rPr>
        <w:t>2</w:t>
      </w:r>
      <w:r w:rsidRPr="00256982">
        <w:rPr>
          <w:spacing w:val="-2"/>
        </w:rPr>
        <w:t xml:space="preserve">-e (see table 6.1.1, and figures 6.1.1 and 6.1.2). This is largely due to the increased harvest rate that is occurring in plantation forests as a larger proportion of the estate is at harvest age when compared with the 1990 rate. Increased emissions in the </w:t>
      </w:r>
      <w:r w:rsidRPr="00256982">
        <w:rPr>
          <w:i/>
          <w:spacing w:val="-2"/>
        </w:rPr>
        <w:t>Grassland</w:t>
      </w:r>
      <w:r w:rsidRPr="00256982">
        <w:rPr>
          <w:spacing w:val="-2"/>
        </w:rPr>
        <w:t xml:space="preserve"> category are primarily due to the conversion of plantation forests to grassland that has been occurring since 2000. The biomass emissions from land-use change are reported in the </w:t>
      </w:r>
      <w:r w:rsidRPr="00256982">
        <w:rPr>
          <w:i/>
          <w:spacing w:val="-2"/>
        </w:rPr>
        <w:t>Land converted to</w:t>
      </w:r>
      <w:r w:rsidRPr="00256982">
        <w:rPr>
          <w:spacing w:val="-2"/>
        </w:rPr>
        <w:t xml:space="preserve"> category from the year of the event; changes in the mineral soil carbon stock are estimated as occurring over a 20-year period.</w:t>
      </w:r>
    </w:p>
    <w:p w14:paraId="32CE1DA2" w14:textId="77777777" w:rsidR="00380BE7" w:rsidRPr="00256982" w:rsidRDefault="00380BE7" w:rsidP="00380BE7">
      <w:pPr>
        <w:pStyle w:val="Table"/>
      </w:pPr>
      <w:bookmarkStart w:id="915" w:name="_Toc481751536"/>
      <w:bookmarkStart w:id="916" w:name="_Toc522010593"/>
      <w:bookmarkStart w:id="917" w:name="_Toc5269498"/>
      <w:r w:rsidRPr="00256982">
        <w:t xml:space="preserve">Table 6.1.1 </w:t>
      </w:r>
      <w:r w:rsidRPr="00256982">
        <w:tab/>
        <w:t>New Zealand’s greenhouse gas emissions for the LULUCF sector by land use category</w:t>
      </w:r>
      <w:r w:rsidRPr="00256982">
        <w:br/>
        <w:t>in 1990 and 201</w:t>
      </w:r>
      <w:bookmarkEnd w:id="915"/>
      <w:r w:rsidRPr="00256982">
        <w:t>7</w:t>
      </w:r>
      <w:bookmarkEnd w:id="916"/>
      <w:bookmarkEnd w:id="917"/>
    </w:p>
    <w:tbl>
      <w:tblPr>
        <w:tblW w:w="8505" w:type="dxa"/>
        <w:tblInd w:w="108" w:type="dxa"/>
        <w:tblLook w:val="04A0" w:firstRow="1" w:lastRow="0" w:firstColumn="1" w:lastColumn="0" w:noHBand="0" w:noVBand="1"/>
      </w:tblPr>
      <w:tblGrid>
        <w:gridCol w:w="2596"/>
        <w:gridCol w:w="1292"/>
        <w:gridCol w:w="1292"/>
        <w:gridCol w:w="1968"/>
        <w:gridCol w:w="1357"/>
      </w:tblGrid>
      <w:tr w:rsidR="00380BE7" w:rsidRPr="00256982" w14:paraId="6C9763B6" w14:textId="77777777" w:rsidTr="009574E7">
        <w:tc>
          <w:tcPr>
            <w:tcW w:w="2596" w:type="dxa"/>
            <w:tcBorders>
              <w:top w:val="single" w:sz="4" w:space="0" w:color="365F91"/>
              <w:left w:val="nil"/>
              <w:bottom w:val="single" w:sz="4" w:space="0" w:color="365F91"/>
              <w:right w:val="nil"/>
            </w:tcBorders>
            <w:shd w:val="clear" w:color="auto" w:fill="376092"/>
            <w:vAlign w:val="center"/>
            <w:hideMark/>
          </w:tcPr>
          <w:p w14:paraId="285399F5" w14:textId="77777777" w:rsidR="00380BE7" w:rsidRPr="00256982" w:rsidRDefault="00380BE7" w:rsidP="009574E7">
            <w:pPr>
              <w:pStyle w:val="TableTextBold"/>
              <w:spacing w:before="40" w:after="40"/>
              <w:rPr>
                <w:noProof w:val="0"/>
                <w:color w:val="FFFFFF"/>
              </w:rPr>
            </w:pPr>
          </w:p>
        </w:tc>
        <w:tc>
          <w:tcPr>
            <w:tcW w:w="2584" w:type="dxa"/>
            <w:gridSpan w:val="2"/>
            <w:tcBorders>
              <w:top w:val="single" w:sz="4" w:space="0" w:color="365F91"/>
              <w:left w:val="nil"/>
              <w:bottom w:val="single" w:sz="4" w:space="0" w:color="365F91"/>
              <w:right w:val="nil"/>
            </w:tcBorders>
            <w:shd w:val="clear" w:color="auto" w:fill="376092"/>
            <w:vAlign w:val="center"/>
            <w:hideMark/>
          </w:tcPr>
          <w:p w14:paraId="2A461822" w14:textId="77777777" w:rsidR="00380BE7" w:rsidRPr="00256982" w:rsidRDefault="00380BE7" w:rsidP="009574E7">
            <w:pPr>
              <w:pStyle w:val="TableTextBold"/>
              <w:spacing w:before="40" w:after="40"/>
              <w:jc w:val="right"/>
              <w:rPr>
                <w:noProof w:val="0"/>
                <w:color w:val="FFFFFF"/>
              </w:rPr>
            </w:pPr>
            <w:r w:rsidRPr="00256982">
              <w:rPr>
                <w:noProof w:val="0"/>
                <w:color w:val="FFFFFF"/>
              </w:rPr>
              <w:t>Emissions (kt CO</w:t>
            </w:r>
            <w:r w:rsidRPr="00256982">
              <w:rPr>
                <w:noProof w:val="0"/>
                <w:color w:val="FFFFFF"/>
                <w:vertAlign w:val="subscript"/>
              </w:rPr>
              <w:t>2</w:t>
            </w:r>
            <w:r w:rsidRPr="00256982">
              <w:rPr>
                <w:noProof w:val="0"/>
                <w:color w:val="FFFFFF"/>
              </w:rPr>
              <w:t>-e)</w:t>
            </w:r>
          </w:p>
        </w:tc>
        <w:tc>
          <w:tcPr>
            <w:tcW w:w="1968" w:type="dxa"/>
            <w:tcBorders>
              <w:top w:val="single" w:sz="4" w:space="0" w:color="365F91"/>
              <w:left w:val="nil"/>
              <w:bottom w:val="single" w:sz="4" w:space="0" w:color="365F91"/>
              <w:right w:val="nil"/>
            </w:tcBorders>
            <w:shd w:val="clear" w:color="auto" w:fill="376092"/>
            <w:vAlign w:val="center"/>
            <w:hideMark/>
          </w:tcPr>
          <w:p w14:paraId="5E1898CE" w14:textId="77777777" w:rsidR="00380BE7" w:rsidRPr="00256982" w:rsidRDefault="00380BE7" w:rsidP="009574E7">
            <w:pPr>
              <w:jc w:val="right"/>
              <w:rPr>
                <w:rFonts w:ascii="Arial" w:hAnsi="Arial" w:cs="Arial"/>
                <w:b/>
                <w:color w:val="FFFFFF"/>
                <w:sz w:val="16"/>
                <w:szCs w:val="16"/>
              </w:rPr>
            </w:pPr>
            <w:r w:rsidRPr="00256982">
              <w:rPr>
                <w:rFonts w:ascii="Arial" w:hAnsi="Arial" w:cs="Arial"/>
                <w:b/>
                <w:color w:val="FFFFFF"/>
                <w:sz w:val="16"/>
                <w:szCs w:val="16"/>
              </w:rPr>
              <w:t xml:space="preserve">Difference </w:t>
            </w:r>
            <w:r w:rsidRPr="00256982">
              <w:rPr>
                <w:rFonts w:ascii="Arial" w:hAnsi="Arial" w:cs="Arial"/>
                <w:color w:val="FFFFFF"/>
                <w:sz w:val="16"/>
                <w:szCs w:val="16"/>
              </w:rPr>
              <w:t>(kt CO</w:t>
            </w:r>
            <w:r w:rsidRPr="00256982">
              <w:rPr>
                <w:rFonts w:ascii="Arial" w:hAnsi="Arial" w:cs="Arial"/>
                <w:color w:val="FFFFFF"/>
                <w:sz w:val="16"/>
                <w:szCs w:val="16"/>
                <w:vertAlign w:val="subscript"/>
              </w:rPr>
              <w:t>2</w:t>
            </w:r>
            <w:r w:rsidRPr="00256982">
              <w:rPr>
                <w:rFonts w:ascii="Arial" w:hAnsi="Arial" w:cs="Arial"/>
                <w:color w:val="FFFFFF"/>
                <w:sz w:val="16"/>
                <w:szCs w:val="16"/>
              </w:rPr>
              <w:t>-e)</w:t>
            </w:r>
          </w:p>
        </w:tc>
        <w:tc>
          <w:tcPr>
            <w:tcW w:w="1357" w:type="dxa"/>
            <w:tcBorders>
              <w:top w:val="single" w:sz="4" w:space="0" w:color="365F91"/>
              <w:left w:val="nil"/>
              <w:bottom w:val="single" w:sz="4" w:space="0" w:color="365F91"/>
              <w:right w:val="nil"/>
            </w:tcBorders>
            <w:shd w:val="clear" w:color="auto" w:fill="376092"/>
            <w:vAlign w:val="center"/>
            <w:hideMark/>
          </w:tcPr>
          <w:p w14:paraId="70AB0979" w14:textId="77777777" w:rsidR="00380BE7" w:rsidRPr="00256982" w:rsidRDefault="00380BE7" w:rsidP="009574E7">
            <w:pPr>
              <w:jc w:val="right"/>
              <w:rPr>
                <w:rFonts w:ascii="Arial" w:hAnsi="Arial"/>
                <w:b/>
                <w:color w:val="FFFFFF"/>
                <w:sz w:val="16"/>
              </w:rPr>
            </w:pPr>
            <w:r w:rsidRPr="00256982">
              <w:rPr>
                <w:rFonts w:ascii="Arial" w:hAnsi="Arial"/>
                <w:b/>
                <w:color w:val="FFFFFF"/>
                <w:sz w:val="16"/>
              </w:rPr>
              <w:t>Change (%)</w:t>
            </w:r>
          </w:p>
        </w:tc>
      </w:tr>
      <w:tr w:rsidR="00380BE7" w:rsidRPr="00256982" w14:paraId="4006FE6C" w14:textId="77777777" w:rsidTr="009574E7">
        <w:tc>
          <w:tcPr>
            <w:tcW w:w="2596" w:type="dxa"/>
            <w:tcBorders>
              <w:top w:val="single" w:sz="4" w:space="0" w:color="365F91"/>
              <w:left w:val="nil"/>
              <w:bottom w:val="single" w:sz="8" w:space="0" w:color="365F91"/>
              <w:right w:val="nil"/>
            </w:tcBorders>
            <w:shd w:val="clear" w:color="auto" w:fill="auto"/>
            <w:vAlign w:val="center"/>
            <w:hideMark/>
          </w:tcPr>
          <w:p w14:paraId="06D92798" w14:textId="77777777" w:rsidR="00380BE7" w:rsidRPr="00256982" w:rsidRDefault="00380BE7" w:rsidP="009574E7">
            <w:pPr>
              <w:pStyle w:val="TableTextBold"/>
              <w:rPr>
                <w:noProof w:val="0"/>
              </w:rPr>
            </w:pPr>
            <w:r w:rsidRPr="00256982">
              <w:rPr>
                <w:noProof w:val="0"/>
              </w:rPr>
              <w:t>Land use category</w:t>
            </w:r>
          </w:p>
        </w:tc>
        <w:tc>
          <w:tcPr>
            <w:tcW w:w="1292" w:type="dxa"/>
            <w:tcBorders>
              <w:top w:val="single" w:sz="4" w:space="0" w:color="365F91"/>
              <w:left w:val="nil"/>
              <w:bottom w:val="single" w:sz="8" w:space="0" w:color="365F91"/>
              <w:right w:val="nil"/>
            </w:tcBorders>
            <w:shd w:val="clear" w:color="auto" w:fill="auto"/>
            <w:vAlign w:val="center"/>
            <w:hideMark/>
          </w:tcPr>
          <w:p w14:paraId="53D0AA0A" w14:textId="77777777" w:rsidR="00380BE7" w:rsidRPr="00256982" w:rsidRDefault="00380BE7" w:rsidP="009574E7">
            <w:pPr>
              <w:pStyle w:val="TableTextBold"/>
              <w:jc w:val="right"/>
              <w:rPr>
                <w:noProof w:val="0"/>
              </w:rPr>
            </w:pPr>
            <w:r w:rsidRPr="00256982">
              <w:rPr>
                <w:noProof w:val="0"/>
              </w:rPr>
              <w:t>1990</w:t>
            </w:r>
          </w:p>
        </w:tc>
        <w:tc>
          <w:tcPr>
            <w:tcW w:w="1292" w:type="dxa"/>
            <w:tcBorders>
              <w:top w:val="single" w:sz="4" w:space="0" w:color="365F91"/>
              <w:left w:val="nil"/>
              <w:bottom w:val="single" w:sz="8" w:space="0" w:color="365F91"/>
              <w:right w:val="nil"/>
            </w:tcBorders>
            <w:shd w:val="clear" w:color="auto" w:fill="auto"/>
            <w:vAlign w:val="center"/>
            <w:hideMark/>
          </w:tcPr>
          <w:p w14:paraId="071827D7" w14:textId="77777777" w:rsidR="00380BE7" w:rsidRPr="00256982" w:rsidRDefault="00380BE7" w:rsidP="009574E7">
            <w:pPr>
              <w:pStyle w:val="TableTextBold"/>
              <w:jc w:val="right"/>
              <w:rPr>
                <w:noProof w:val="0"/>
              </w:rPr>
            </w:pPr>
            <w:r w:rsidRPr="00256982">
              <w:rPr>
                <w:noProof w:val="0"/>
              </w:rPr>
              <w:t>2017</w:t>
            </w:r>
          </w:p>
        </w:tc>
        <w:tc>
          <w:tcPr>
            <w:tcW w:w="1968" w:type="dxa"/>
            <w:tcBorders>
              <w:top w:val="single" w:sz="4" w:space="0" w:color="365F91"/>
              <w:left w:val="nil"/>
              <w:bottom w:val="single" w:sz="8" w:space="0" w:color="365F91"/>
              <w:right w:val="nil"/>
            </w:tcBorders>
            <w:shd w:val="clear" w:color="auto" w:fill="auto"/>
            <w:vAlign w:val="center"/>
            <w:hideMark/>
          </w:tcPr>
          <w:p w14:paraId="44BD0D4A" w14:textId="77777777" w:rsidR="00380BE7" w:rsidRPr="00256982" w:rsidRDefault="00380BE7" w:rsidP="009574E7">
            <w:pPr>
              <w:pStyle w:val="TableTextBold"/>
              <w:jc w:val="right"/>
              <w:rPr>
                <w:noProof w:val="0"/>
              </w:rPr>
            </w:pPr>
            <w:r w:rsidRPr="00256982">
              <w:rPr>
                <w:noProof w:val="0"/>
              </w:rPr>
              <w:t>1990–2017</w:t>
            </w:r>
          </w:p>
        </w:tc>
        <w:tc>
          <w:tcPr>
            <w:tcW w:w="1357" w:type="dxa"/>
            <w:tcBorders>
              <w:top w:val="single" w:sz="4" w:space="0" w:color="365F91"/>
              <w:left w:val="nil"/>
              <w:bottom w:val="single" w:sz="8" w:space="0" w:color="365F91"/>
              <w:right w:val="nil"/>
            </w:tcBorders>
            <w:shd w:val="clear" w:color="auto" w:fill="auto"/>
            <w:vAlign w:val="center"/>
            <w:hideMark/>
          </w:tcPr>
          <w:p w14:paraId="23B3B3D7" w14:textId="77777777" w:rsidR="00380BE7" w:rsidRPr="00256982" w:rsidRDefault="00380BE7" w:rsidP="009574E7">
            <w:pPr>
              <w:pStyle w:val="TableTextBold"/>
              <w:jc w:val="right"/>
              <w:rPr>
                <w:noProof w:val="0"/>
              </w:rPr>
            </w:pPr>
            <w:r w:rsidRPr="00256982">
              <w:rPr>
                <w:noProof w:val="0"/>
              </w:rPr>
              <w:t>1990–2017</w:t>
            </w:r>
          </w:p>
        </w:tc>
      </w:tr>
      <w:tr w:rsidR="00380BE7" w:rsidRPr="00256982" w14:paraId="4BD44112" w14:textId="77777777" w:rsidTr="009574E7">
        <w:tc>
          <w:tcPr>
            <w:tcW w:w="2596" w:type="dxa"/>
            <w:tcBorders>
              <w:top w:val="nil"/>
              <w:left w:val="nil"/>
              <w:bottom w:val="single" w:sz="8" w:space="0" w:color="365F91"/>
              <w:right w:val="nil"/>
            </w:tcBorders>
            <w:shd w:val="clear" w:color="auto" w:fill="auto"/>
            <w:vAlign w:val="center"/>
            <w:hideMark/>
          </w:tcPr>
          <w:p w14:paraId="675B3B5D" w14:textId="77777777" w:rsidR="00380BE7" w:rsidRPr="00256982" w:rsidRDefault="00380BE7" w:rsidP="009574E7">
            <w:pPr>
              <w:pStyle w:val="TableText"/>
            </w:pPr>
            <w:r w:rsidRPr="00256982">
              <w:rPr>
                <w:b/>
              </w:rPr>
              <w:t>Forest land</w:t>
            </w:r>
          </w:p>
        </w:tc>
        <w:tc>
          <w:tcPr>
            <w:tcW w:w="1292" w:type="dxa"/>
            <w:tcBorders>
              <w:top w:val="nil"/>
              <w:left w:val="nil"/>
              <w:bottom w:val="single" w:sz="8" w:space="0" w:color="365F91"/>
              <w:right w:val="nil"/>
            </w:tcBorders>
            <w:shd w:val="clear" w:color="auto" w:fill="auto"/>
          </w:tcPr>
          <w:p w14:paraId="32015F97" w14:textId="77777777" w:rsidR="00380BE7" w:rsidRPr="00256982" w:rsidRDefault="00380BE7" w:rsidP="009574E7">
            <w:pPr>
              <w:pStyle w:val="TableText"/>
              <w:jc w:val="right"/>
            </w:pPr>
            <w:r w:rsidRPr="00256982">
              <w:rPr>
                <w:spacing w:val="-2"/>
                <w:lang w:eastAsia="en-NZ"/>
              </w:rPr>
              <w:t>–</w:t>
            </w:r>
            <w:r w:rsidRPr="00256982">
              <w:t>29,891.0</w:t>
            </w:r>
          </w:p>
        </w:tc>
        <w:tc>
          <w:tcPr>
            <w:tcW w:w="1292" w:type="dxa"/>
            <w:tcBorders>
              <w:top w:val="nil"/>
              <w:left w:val="nil"/>
              <w:bottom w:val="single" w:sz="8" w:space="0" w:color="365F91"/>
              <w:right w:val="nil"/>
            </w:tcBorders>
            <w:shd w:val="clear" w:color="auto" w:fill="auto"/>
          </w:tcPr>
          <w:p w14:paraId="79BCE08B" w14:textId="77777777" w:rsidR="00380BE7" w:rsidRPr="00256982" w:rsidRDefault="00380BE7" w:rsidP="009574E7">
            <w:pPr>
              <w:pStyle w:val="TableText"/>
              <w:jc w:val="right"/>
            </w:pPr>
            <w:r w:rsidRPr="00256982">
              <w:rPr>
                <w:spacing w:val="-2"/>
                <w:lang w:eastAsia="en-NZ"/>
              </w:rPr>
              <w:t>–</w:t>
            </w:r>
            <w:r w:rsidRPr="00256982">
              <w:t>21,760.7</w:t>
            </w:r>
          </w:p>
        </w:tc>
        <w:tc>
          <w:tcPr>
            <w:tcW w:w="1968" w:type="dxa"/>
            <w:tcBorders>
              <w:top w:val="nil"/>
              <w:left w:val="nil"/>
              <w:bottom w:val="single" w:sz="8" w:space="0" w:color="365F91"/>
              <w:right w:val="nil"/>
            </w:tcBorders>
            <w:shd w:val="clear" w:color="auto" w:fill="auto"/>
          </w:tcPr>
          <w:p w14:paraId="5DFF39A4" w14:textId="77777777" w:rsidR="00380BE7" w:rsidRPr="00256982" w:rsidRDefault="00380BE7" w:rsidP="009574E7">
            <w:pPr>
              <w:pStyle w:val="TableText"/>
              <w:jc w:val="right"/>
            </w:pPr>
            <w:r w:rsidRPr="00256982">
              <w:t>8,130.4</w:t>
            </w:r>
          </w:p>
        </w:tc>
        <w:tc>
          <w:tcPr>
            <w:tcW w:w="1357" w:type="dxa"/>
            <w:tcBorders>
              <w:top w:val="nil"/>
              <w:left w:val="nil"/>
              <w:bottom w:val="single" w:sz="8" w:space="0" w:color="365F91"/>
              <w:right w:val="nil"/>
            </w:tcBorders>
            <w:shd w:val="clear" w:color="auto" w:fill="auto"/>
          </w:tcPr>
          <w:p w14:paraId="2353403E" w14:textId="77777777" w:rsidR="00380BE7" w:rsidRPr="00256982" w:rsidRDefault="00380BE7" w:rsidP="009574E7">
            <w:pPr>
              <w:pStyle w:val="TableText"/>
              <w:jc w:val="right"/>
            </w:pPr>
            <w:r w:rsidRPr="00256982">
              <w:t xml:space="preserve"> 27.2 </w:t>
            </w:r>
          </w:p>
        </w:tc>
      </w:tr>
      <w:tr w:rsidR="00380BE7" w:rsidRPr="00256982" w14:paraId="60864678" w14:textId="77777777" w:rsidTr="009574E7">
        <w:tc>
          <w:tcPr>
            <w:tcW w:w="2596" w:type="dxa"/>
            <w:tcBorders>
              <w:top w:val="nil"/>
              <w:left w:val="nil"/>
              <w:bottom w:val="single" w:sz="8" w:space="0" w:color="365F91"/>
              <w:right w:val="nil"/>
            </w:tcBorders>
            <w:shd w:val="clear" w:color="auto" w:fill="auto"/>
            <w:vAlign w:val="center"/>
            <w:hideMark/>
          </w:tcPr>
          <w:p w14:paraId="28D1325F" w14:textId="77777777" w:rsidR="00380BE7" w:rsidRPr="00256982" w:rsidRDefault="00380BE7" w:rsidP="009574E7">
            <w:pPr>
              <w:pStyle w:val="TableText"/>
            </w:pPr>
            <w:r w:rsidRPr="00256982">
              <w:rPr>
                <w:b/>
              </w:rPr>
              <w:t>Cropland</w:t>
            </w:r>
          </w:p>
        </w:tc>
        <w:tc>
          <w:tcPr>
            <w:tcW w:w="1292" w:type="dxa"/>
            <w:tcBorders>
              <w:top w:val="nil"/>
              <w:left w:val="nil"/>
              <w:bottom w:val="single" w:sz="8" w:space="0" w:color="365F91"/>
              <w:right w:val="nil"/>
            </w:tcBorders>
            <w:shd w:val="clear" w:color="auto" w:fill="auto"/>
          </w:tcPr>
          <w:p w14:paraId="7C863063" w14:textId="77777777" w:rsidR="00380BE7" w:rsidRPr="00256982" w:rsidRDefault="00380BE7" w:rsidP="009574E7">
            <w:pPr>
              <w:pStyle w:val="TableText"/>
              <w:jc w:val="right"/>
            </w:pPr>
            <w:r w:rsidRPr="00256982">
              <w:t>476.9</w:t>
            </w:r>
          </w:p>
        </w:tc>
        <w:tc>
          <w:tcPr>
            <w:tcW w:w="1292" w:type="dxa"/>
            <w:tcBorders>
              <w:top w:val="nil"/>
              <w:left w:val="nil"/>
              <w:bottom w:val="single" w:sz="8" w:space="0" w:color="365F91"/>
              <w:right w:val="nil"/>
            </w:tcBorders>
            <w:shd w:val="clear" w:color="auto" w:fill="auto"/>
          </w:tcPr>
          <w:p w14:paraId="42FB49EA" w14:textId="77777777" w:rsidR="00380BE7" w:rsidRPr="00256982" w:rsidRDefault="00380BE7" w:rsidP="009574E7">
            <w:pPr>
              <w:pStyle w:val="TableText"/>
              <w:jc w:val="right"/>
            </w:pPr>
            <w:r w:rsidRPr="00256982">
              <w:t>396.3</w:t>
            </w:r>
          </w:p>
        </w:tc>
        <w:tc>
          <w:tcPr>
            <w:tcW w:w="1968" w:type="dxa"/>
            <w:tcBorders>
              <w:top w:val="nil"/>
              <w:left w:val="nil"/>
              <w:bottom w:val="single" w:sz="8" w:space="0" w:color="365F91"/>
              <w:right w:val="nil"/>
            </w:tcBorders>
            <w:shd w:val="clear" w:color="auto" w:fill="auto"/>
          </w:tcPr>
          <w:p w14:paraId="3D4F6AE7" w14:textId="77777777" w:rsidR="00380BE7" w:rsidRPr="00256982" w:rsidRDefault="00380BE7" w:rsidP="009574E7">
            <w:pPr>
              <w:pStyle w:val="TableText"/>
              <w:jc w:val="right"/>
            </w:pPr>
            <w:r w:rsidRPr="00256982">
              <w:rPr>
                <w:spacing w:val="-2"/>
                <w:lang w:eastAsia="en-NZ"/>
              </w:rPr>
              <w:t>–</w:t>
            </w:r>
            <w:r w:rsidRPr="00256982">
              <w:t>80.6</w:t>
            </w:r>
          </w:p>
        </w:tc>
        <w:tc>
          <w:tcPr>
            <w:tcW w:w="1357" w:type="dxa"/>
            <w:tcBorders>
              <w:top w:val="nil"/>
              <w:left w:val="nil"/>
              <w:bottom w:val="single" w:sz="8" w:space="0" w:color="365F91"/>
              <w:right w:val="nil"/>
            </w:tcBorders>
            <w:shd w:val="clear" w:color="auto" w:fill="auto"/>
          </w:tcPr>
          <w:p w14:paraId="2AC4F20A" w14:textId="77777777" w:rsidR="00380BE7" w:rsidRPr="00256982" w:rsidRDefault="00380BE7" w:rsidP="009574E7">
            <w:pPr>
              <w:pStyle w:val="TableText"/>
              <w:jc w:val="right"/>
            </w:pPr>
            <w:r w:rsidRPr="00256982">
              <w:rPr>
                <w:spacing w:val="-2"/>
                <w:lang w:eastAsia="en-NZ"/>
              </w:rPr>
              <w:t>–</w:t>
            </w:r>
            <w:r w:rsidRPr="00256982">
              <w:t xml:space="preserve">16.9 </w:t>
            </w:r>
          </w:p>
        </w:tc>
      </w:tr>
      <w:tr w:rsidR="00380BE7" w:rsidRPr="00256982" w14:paraId="64DCF563" w14:textId="77777777" w:rsidTr="009574E7">
        <w:tc>
          <w:tcPr>
            <w:tcW w:w="2596" w:type="dxa"/>
            <w:tcBorders>
              <w:top w:val="nil"/>
              <w:left w:val="nil"/>
              <w:bottom w:val="single" w:sz="8" w:space="0" w:color="365F91"/>
              <w:right w:val="nil"/>
            </w:tcBorders>
            <w:shd w:val="clear" w:color="auto" w:fill="auto"/>
            <w:vAlign w:val="center"/>
            <w:hideMark/>
          </w:tcPr>
          <w:p w14:paraId="1A4A4575" w14:textId="77777777" w:rsidR="00380BE7" w:rsidRPr="00256982" w:rsidRDefault="00380BE7" w:rsidP="009574E7">
            <w:pPr>
              <w:pStyle w:val="TableText"/>
            </w:pPr>
            <w:r w:rsidRPr="00256982">
              <w:rPr>
                <w:b/>
              </w:rPr>
              <w:t>Grassland</w:t>
            </w:r>
          </w:p>
        </w:tc>
        <w:tc>
          <w:tcPr>
            <w:tcW w:w="1292" w:type="dxa"/>
            <w:tcBorders>
              <w:top w:val="nil"/>
              <w:left w:val="nil"/>
              <w:bottom w:val="single" w:sz="8" w:space="0" w:color="365F91"/>
              <w:right w:val="nil"/>
            </w:tcBorders>
            <w:shd w:val="clear" w:color="auto" w:fill="auto"/>
          </w:tcPr>
          <w:p w14:paraId="2E576781" w14:textId="77777777" w:rsidR="00380BE7" w:rsidRPr="00256982" w:rsidRDefault="00380BE7" w:rsidP="009574E7">
            <w:pPr>
              <w:pStyle w:val="TableText"/>
              <w:jc w:val="right"/>
            </w:pPr>
            <w:r w:rsidRPr="00256982">
              <w:t>249.0</w:t>
            </w:r>
          </w:p>
        </w:tc>
        <w:tc>
          <w:tcPr>
            <w:tcW w:w="1292" w:type="dxa"/>
            <w:tcBorders>
              <w:top w:val="nil"/>
              <w:left w:val="nil"/>
              <w:bottom w:val="single" w:sz="8" w:space="0" w:color="365F91"/>
              <w:right w:val="nil"/>
            </w:tcBorders>
            <w:shd w:val="clear" w:color="auto" w:fill="auto"/>
          </w:tcPr>
          <w:p w14:paraId="6A2A9D12" w14:textId="77777777" w:rsidR="00380BE7" w:rsidRPr="00256982" w:rsidRDefault="00380BE7" w:rsidP="009574E7">
            <w:pPr>
              <w:pStyle w:val="TableText"/>
              <w:jc w:val="right"/>
            </w:pPr>
            <w:r w:rsidRPr="00256982">
              <w:t>3,760.6</w:t>
            </w:r>
          </w:p>
        </w:tc>
        <w:tc>
          <w:tcPr>
            <w:tcW w:w="1968" w:type="dxa"/>
            <w:tcBorders>
              <w:top w:val="nil"/>
              <w:left w:val="nil"/>
              <w:bottom w:val="single" w:sz="8" w:space="0" w:color="365F91"/>
              <w:right w:val="nil"/>
            </w:tcBorders>
            <w:shd w:val="clear" w:color="auto" w:fill="auto"/>
          </w:tcPr>
          <w:p w14:paraId="7FD8BA3D" w14:textId="77777777" w:rsidR="00380BE7" w:rsidRPr="00256982" w:rsidRDefault="00380BE7" w:rsidP="009574E7">
            <w:pPr>
              <w:pStyle w:val="TableText"/>
              <w:jc w:val="right"/>
            </w:pPr>
            <w:r w:rsidRPr="00256982">
              <w:t>3,511.6</w:t>
            </w:r>
          </w:p>
        </w:tc>
        <w:tc>
          <w:tcPr>
            <w:tcW w:w="1357" w:type="dxa"/>
            <w:tcBorders>
              <w:top w:val="nil"/>
              <w:left w:val="nil"/>
              <w:bottom w:val="single" w:sz="8" w:space="0" w:color="365F91"/>
              <w:right w:val="nil"/>
            </w:tcBorders>
            <w:shd w:val="clear" w:color="auto" w:fill="auto"/>
          </w:tcPr>
          <w:p w14:paraId="386DBC48" w14:textId="77777777" w:rsidR="00380BE7" w:rsidRPr="00256982" w:rsidRDefault="00380BE7" w:rsidP="009574E7">
            <w:pPr>
              <w:pStyle w:val="TableText"/>
              <w:jc w:val="right"/>
            </w:pPr>
            <w:r w:rsidRPr="00256982">
              <w:t xml:space="preserve"> 1,410.5 </w:t>
            </w:r>
          </w:p>
        </w:tc>
      </w:tr>
      <w:tr w:rsidR="00380BE7" w:rsidRPr="00256982" w14:paraId="09B6B346" w14:textId="77777777" w:rsidTr="009574E7">
        <w:tc>
          <w:tcPr>
            <w:tcW w:w="2596" w:type="dxa"/>
            <w:tcBorders>
              <w:top w:val="nil"/>
              <w:left w:val="nil"/>
              <w:bottom w:val="single" w:sz="8" w:space="0" w:color="365F91"/>
              <w:right w:val="nil"/>
            </w:tcBorders>
            <w:shd w:val="clear" w:color="auto" w:fill="auto"/>
            <w:vAlign w:val="center"/>
            <w:hideMark/>
          </w:tcPr>
          <w:p w14:paraId="0BBED200" w14:textId="77777777" w:rsidR="00380BE7" w:rsidRPr="00256982" w:rsidRDefault="00380BE7" w:rsidP="009574E7">
            <w:pPr>
              <w:pStyle w:val="TableText"/>
            </w:pPr>
            <w:r w:rsidRPr="00256982">
              <w:rPr>
                <w:b/>
              </w:rPr>
              <w:t>Wetlands</w:t>
            </w:r>
          </w:p>
        </w:tc>
        <w:tc>
          <w:tcPr>
            <w:tcW w:w="1292" w:type="dxa"/>
            <w:tcBorders>
              <w:top w:val="nil"/>
              <w:left w:val="nil"/>
              <w:bottom w:val="single" w:sz="8" w:space="0" w:color="365F91"/>
              <w:right w:val="nil"/>
            </w:tcBorders>
            <w:shd w:val="clear" w:color="auto" w:fill="auto"/>
          </w:tcPr>
          <w:p w14:paraId="328B0738" w14:textId="77777777" w:rsidR="00380BE7" w:rsidRPr="00256982" w:rsidRDefault="00380BE7" w:rsidP="009574E7">
            <w:pPr>
              <w:pStyle w:val="TableText"/>
              <w:jc w:val="right"/>
            </w:pPr>
            <w:r w:rsidRPr="00256982">
              <w:rPr>
                <w:spacing w:val="-2"/>
                <w:lang w:eastAsia="en-NZ"/>
              </w:rPr>
              <w:t>–</w:t>
            </w:r>
            <w:r w:rsidRPr="00256982">
              <w:t>10.0</w:t>
            </w:r>
          </w:p>
        </w:tc>
        <w:tc>
          <w:tcPr>
            <w:tcW w:w="1292" w:type="dxa"/>
            <w:tcBorders>
              <w:top w:val="nil"/>
              <w:left w:val="nil"/>
              <w:bottom w:val="single" w:sz="8" w:space="0" w:color="365F91"/>
              <w:right w:val="nil"/>
            </w:tcBorders>
            <w:shd w:val="clear" w:color="auto" w:fill="auto"/>
          </w:tcPr>
          <w:p w14:paraId="1AA0B22F" w14:textId="77777777" w:rsidR="00380BE7" w:rsidRPr="00256982" w:rsidRDefault="00380BE7" w:rsidP="009574E7">
            <w:pPr>
              <w:pStyle w:val="TableText"/>
              <w:jc w:val="right"/>
            </w:pPr>
            <w:r w:rsidRPr="00256982">
              <w:t>13.9</w:t>
            </w:r>
          </w:p>
        </w:tc>
        <w:tc>
          <w:tcPr>
            <w:tcW w:w="1968" w:type="dxa"/>
            <w:tcBorders>
              <w:top w:val="nil"/>
              <w:left w:val="nil"/>
              <w:bottom w:val="single" w:sz="8" w:space="0" w:color="365F91"/>
              <w:right w:val="nil"/>
            </w:tcBorders>
            <w:shd w:val="clear" w:color="auto" w:fill="auto"/>
          </w:tcPr>
          <w:p w14:paraId="21E06974" w14:textId="77777777" w:rsidR="00380BE7" w:rsidRPr="00256982" w:rsidRDefault="00380BE7" w:rsidP="009574E7">
            <w:pPr>
              <w:pStyle w:val="TableText"/>
              <w:jc w:val="right"/>
            </w:pPr>
            <w:r w:rsidRPr="00256982">
              <w:t>23.9</w:t>
            </w:r>
          </w:p>
        </w:tc>
        <w:tc>
          <w:tcPr>
            <w:tcW w:w="1357" w:type="dxa"/>
            <w:tcBorders>
              <w:top w:val="nil"/>
              <w:left w:val="nil"/>
              <w:bottom w:val="single" w:sz="8" w:space="0" w:color="365F91"/>
              <w:right w:val="nil"/>
            </w:tcBorders>
            <w:shd w:val="clear" w:color="auto" w:fill="auto"/>
          </w:tcPr>
          <w:p w14:paraId="393A3958" w14:textId="77777777" w:rsidR="00380BE7" w:rsidRPr="00256982" w:rsidRDefault="00380BE7" w:rsidP="009574E7">
            <w:pPr>
              <w:pStyle w:val="TableText"/>
              <w:jc w:val="right"/>
            </w:pPr>
            <w:r w:rsidRPr="00256982">
              <w:t xml:space="preserve"> 240.0 </w:t>
            </w:r>
          </w:p>
        </w:tc>
      </w:tr>
      <w:tr w:rsidR="00380BE7" w:rsidRPr="00256982" w14:paraId="01501676" w14:textId="77777777" w:rsidTr="009574E7">
        <w:tc>
          <w:tcPr>
            <w:tcW w:w="2596" w:type="dxa"/>
            <w:tcBorders>
              <w:top w:val="nil"/>
              <w:left w:val="nil"/>
              <w:bottom w:val="single" w:sz="8" w:space="0" w:color="365F91"/>
              <w:right w:val="nil"/>
            </w:tcBorders>
            <w:shd w:val="clear" w:color="auto" w:fill="auto"/>
            <w:vAlign w:val="center"/>
            <w:hideMark/>
          </w:tcPr>
          <w:p w14:paraId="410830CA" w14:textId="77777777" w:rsidR="00380BE7" w:rsidRPr="00256982" w:rsidRDefault="00380BE7" w:rsidP="009574E7">
            <w:pPr>
              <w:pStyle w:val="TableText"/>
            </w:pPr>
            <w:r w:rsidRPr="00256982">
              <w:rPr>
                <w:b/>
              </w:rPr>
              <w:t>Settlements</w:t>
            </w:r>
          </w:p>
        </w:tc>
        <w:tc>
          <w:tcPr>
            <w:tcW w:w="1292" w:type="dxa"/>
            <w:tcBorders>
              <w:top w:val="nil"/>
              <w:left w:val="nil"/>
              <w:bottom w:val="single" w:sz="8" w:space="0" w:color="365F91"/>
              <w:right w:val="nil"/>
            </w:tcBorders>
            <w:shd w:val="clear" w:color="auto" w:fill="auto"/>
          </w:tcPr>
          <w:p w14:paraId="72447D3C" w14:textId="77777777" w:rsidR="00380BE7" w:rsidRPr="00256982" w:rsidRDefault="00380BE7" w:rsidP="009574E7">
            <w:pPr>
              <w:pStyle w:val="TableText"/>
              <w:jc w:val="right"/>
            </w:pPr>
            <w:r w:rsidRPr="00256982">
              <w:t>72.7</w:t>
            </w:r>
          </w:p>
        </w:tc>
        <w:tc>
          <w:tcPr>
            <w:tcW w:w="1292" w:type="dxa"/>
            <w:tcBorders>
              <w:top w:val="nil"/>
              <w:left w:val="nil"/>
              <w:bottom w:val="single" w:sz="8" w:space="0" w:color="365F91"/>
              <w:right w:val="nil"/>
            </w:tcBorders>
            <w:shd w:val="clear" w:color="auto" w:fill="auto"/>
          </w:tcPr>
          <w:p w14:paraId="48856E6B" w14:textId="77777777" w:rsidR="00380BE7" w:rsidRPr="00256982" w:rsidRDefault="00380BE7" w:rsidP="009574E7">
            <w:pPr>
              <w:pStyle w:val="TableText"/>
              <w:jc w:val="right"/>
            </w:pPr>
            <w:r w:rsidRPr="00256982">
              <w:t>100.7</w:t>
            </w:r>
          </w:p>
        </w:tc>
        <w:tc>
          <w:tcPr>
            <w:tcW w:w="1968" w:type="dxa"/>
            <w:tcBorders>
              <w:top w:val="nil"/>
              <w:left w:val="nil"/>
              <w:bottom w:val="single" w:sz="8" w:space="0" w:color="365F91"/>
              <w:right w:val="nil"/>
            </w:tcBorders>
            <w:shd w:val="clear" w:color="auto" w:fill="auto"/>
          </w:tcPr>
          <w:p w14:paraId="41E9D005" w14:textId="77777777" w:rsidR="00380BE7" w:rsidRPr="00256982" w:rsidRDefault="00380BE7" w:rsidP="009574E7">
            <w:pPr>
              <w:pStyle w:val="TableText"/>
              <w:jc w:val="right"/>
            </w:pPr>
            <w:r w:rsidRPr="00256982">
              <w:t>28.0</w:t>
            </w:r>
          </w:p>
        </w:tc>
        <w:tc>
          <w:tcPr>
            <w:tcW w:w="1357" w:type="dxa"/>
            <w:tcBorders>
              <w:top w:val="nil"/>
              <w:left w:val="nil"/>
              <w:bottom w:val="single" w:sz="8" w:space="0" w:color="365F91"/>
              <w:right w:val="nil"/>
            </w:tcBorders>
            <w:shd w:val="clear" w:color="auto" w:fill="auto"/>
          </w:tcPr>
          <w:p w14:paraId="41DE1ECB" w14:textId="77777777" w:rsidR="00380BE7" w:rsidRPr="00256982" w:rsidRDefault="00380BE7" w:rsidP="009574E7">
            <w:pPr>
              <w:pStyle w:val="TableText"/>
              <w:jc w:val="right"/>
            </w:pPr>
            <w:r w:rsidRPr="00256982">
              <w:t xml:space="preserve"> 38.6 </w:t>
            </w:r>
          </w:p>
        </w:tc>
      </w:tr>
      <w:tr w:rsidR="00380BE7" w:rsidRPr="00256982" w14:paraId="07580DD8" w14:textId="77777777" w:rsidTr="009574E7">
        <w:tc>
          <w:tcPr>
            <w:tcW w:w="2596" w:type="dxa"/>
            <w:tcBorders>
              <w:top w:val="nil"/>
              <w:left w:val="nil"/>
              <w:bottom w:val="single" w:sz="8" w:space="0" w:color="365F91"/>
              <w:right w:val="nil"/>
            </w:tcBorders>
            <w:shd w:val="clear" w:color="auto" w:fill="auto"/>
            <w:vAlign w:val="center"/>
            <w:hideMark/>
          </w:tcPr>
          <w:p w14:paraId="787A4FA1" w14:textId="77777777" w:rsidR="00380BE7" w:rsidRPr="00256982" w:rsidRDefault="00380BE7" w:rsidP="009574E7">
            <w:pPr>
              <w:pStyle w:val="TableText"/>
            </w:pPr>
            <w:r w:rsidRPr="00256982">
              <w:rPr>
                <w:b/>
              </w:rPr>
              <w:t>Other land</w:t>
            </w:r>
          </w:p>
        </w:tc>
        <w:tc>
          <w:tcPr>
            <w:tcW w:w="1292" w:type="dxa"/>
            <w:tcBorders>
              <w:top w:val="nil"/>
              <w:left w:val="nil"/>
              <w:bottom w:val="single" w:sz="8" w:space="0" w:color="365F91"/>
              <w:right w:val="nil"/>
            </w:tcBorders>
            <w:shd w:val="clear" w:color="auto" w:fill="auto"/>
          </w:tcPr>
          <w:p w14:paraId="074DDE7C" w14:textId="77777777" w:rsidR="00380BE7" w:rsidRPr="00256982" w:rsidRDefault="00380BE7" w:rsidP="009574E7">
            <w:pPr>
              <w:pStyle w:val="TableText"/>
              <w:jc w:val="right"/>
            </w:pPr>
            <w:r w:rsidRPr="00256982">
              <w:t>13.6</w:t>
            </w:r>
          </w:p>
        </w:tc>
        <w:tc>
          <w:tcPr>
            <w:tcW w:w="1292" w:type="dxa"/>
            <w:tcBorders>
              <w:top w:val="nil"/>
              <w:left w:val="nil"/>
              <w:bottom w:val="single" w:sz="8" w:space="0" w:color="365F91"/>
              <w:right w:val="nil"/>
            </w:tcBorders>
            <w:shd w:val="clear" w:color="auto" w:fill="auto"/>
          </w:tcPr>
          <w:p w14:paraId="515CF7F6" w14:textId="77777777" w:rsidR="00380BE7" w:rsidRPr="00256982" w:rsidRDefault="00380BE7" w:rsidP="009574E7">
            <w:pPr>
              <w:pStyle w:val="TableText"/>
              <w:jc w:val="right"/>
            </w:pPr>
            <w:r w:rsidRPr="00256982">
              <w:t>49.2</w:t>
            </w:r>
          </w:p>
        </w:tc>
        <w:tc>
          <w:tcPr>
            <w:tcW w:w="1968" w:type="dxa"/>
            <w:tcBorders>
              <w:top w:val="nil"/>
              <w:left w:val="nil"/>
              <w:bottom w:val="single" w:sz="8" w:space="0" w:color="365F91"/>
              <w:right w:val="nil"/>
            </w:tcBorders>
            <w:shd w:val="clear" w:color="auto" w:fill="auto"/>
          </w:tcPr>
          <w:p w14:paraId="76A18C0E" w14:textId="77777777" w:rsidR="00380BE7" w:rsidRPr="00256982" w:rsidRDefault="00380BE7" w:rsidP="009574E7">
            <w:pPr>
              <w:pStyle w:val="TableText"/>
              <w:jc w:val="right"/>
            </w:pPr>
            <w:r w:rsidRPr="00256982">
              <w:t>35.6</w:t>
            </w:r>
          </w:p>
        </w:tc>
        <w:tc>
          <w:tcPr>
            <w:tcW w:w="1357" w:type="dxa"/>
            <w:tcBorders>
              <w:top w:val="nil"/>
              <w:left w:val="nil"/>
              <w:bottom w:val="single" w:sz="8" w:space="0" w:color="365F91"/>
              <w:right w:val="nil"/>
            </w:tcBorders>
            <w:shd w:val="clear" w:color="auto" w:fill="auto"/>
          </w:tcPr>
          <w:p w14:paraId="2E86E04F" w14:textId="77777777" w:rsidR="00380BE7" w:rsidRPr="00256982" w:rsidRDefault="00380BE7" w:rsidP="009574E7">
            <w:pPr>
              <w:pStyle w:val="TableText"/>
              <w:jc w:val="right"/>
            </w:pPr>
            <w:r w:rsidRPr="00256982">
              <w:t xml:space="preserve"> 261.7 </w:t>
            </w:r>
          </w:p>
        </w:tc>
      </w:tr>
      <w:tr w:rsidR="00380BE7" w:rsidRPr="00256982" w14:paraId="31A6A009" w14:textId="77777777" w:rsidTr="009574E7">
        <w:tc>
          <w:tcPr>
            <w:tcW w:w="2596" w:type="dxa"/>
            <w:tcBorders>
              <w:top w:val="nil"/>
              <w:left w:val="nil"/>
              <w:bottom w:val="single" w:sz="8" w:space="0" w:color="365F91"/>
              <w:right w:val="nil"/>
            </w:tcBorders>
            <w:shd w:val="clear" w:color="auto" w:fill="auto"/>
            <w:noWrap/>
            <w:vAlign w:val="center"/>
            <w:hideMark/>
          </w:tcPr>
          <w:p w14:paraId="5817D476" w14:textId="77777777" w:rsidR="00380BE7" w:rsidRPr="00256982" w:rsidRDefault="00380BE7" w:rsidP="009574E7">
            <w:pPr>
              <w:pStyle w:val="TableText"/>
            </w:pPr>
            <w:r w:rsidRPr="00256982">
              <w:rPr>
                <w:b/>
              </w:rPr>
              <w:t>Harvested wood products</w:t>
            </w:r>
          </w:p>
        </w:tc>
        <w:tc>
          <w:tcPr>
            <w:tcW w:w="1292" w:type="dxa"/>
            <w:tcBorders>
              <w:top w:val="nil"/>
              <w:left w:val="nil"/>
              <w:bottom w:val="single" w:sz="8" w:space="0" w:color="365F91"/>
              <w:right w:val="nil"/>
            </w:tcBorders>
            <w:shd w:val="clear" w:color="auto" w:fill="auto"/>
          </w:tcPr>
          <w:p w14:paraId="253E872A" w14:textId="77777777" w:rsidR="00380BE7" w:rsidRPr="00256982" w:rsidRDefault="00380BE7" w:rsidP="009574E7">
            <w:pPr>
              <w:pStyle w:val="TableText"/>
              <w:jc w:val="right"/>
            </w:pPr>
            <w:r w:rsidRPr="00256982">
              <w:rPr>
                <w:spacing w:val="-2"/>
                <w:lang w:eastAsia="en-NZ"/>
              </w:rPr>
              <w:t>–</w:t>
            </w:r>
            <w:r w:rsidRPr="00256982">
              <w:t>2,072.9</w:t>
            </w:r>
          </w:p>
        </w:tc>
        <w:tc>
          <w:tcPr>
            <w:tcW w:w="1292" w:type="dxa"/>
            <w:tcBorders>
              <w:top w:val="nil"/>
              <w:left w:val="nil"/>
              <w:bottom w:val="single" w:sz="8" w:space="0" w:color="365F91"/>
              <w:right w:val="nil"/>
            </w:tcBorders>
            <w:shd w:val="clear" w:color="auto" w:fill="auto"/>
          </w:tcPr>
          <w:p w14:paraId="6AD416FE" w14:textId="77777777" w:rsidR="00380BE7" w:rsidRPr="00256982" w:rsidRDefault="00380BE7" w:rsidP="009574E7">
            <w:pPr>
              <w:pStyle w:val="TableText"/>
              <w:jc w:val="right"/>
            </w:pPr>
            <w:r w:rsidRPr="00256982">
              <w:rPr>
                <w:spacing w:val="-2"/>
                <w:lang w:eastAsia="en-NZ"/>
              </w:rPr>
              <w:t>–</w:t>
            </w:r>
            <w:r w:rsidRPr="00256982">
              <w:t>6,518.5</w:t>
            </w:r>
          </w:p>
        </w:tc>
        <w:tc>
          <w:tcPr>
            <w:tcW w:w="1968" w:type="dxa"/>
            <w:tcBorders>
              <w:top w:val="nil"/>
              <w:left w:val="nil"/>
              <w:bottom w:val="single" w:sz="8" w:space="0" w:color="365F91"/>
              <w:right w:val="nil"/>
            </w:tcBorders>
            <w:shd w:val="clear" w:color="auto" w:fill="auto"/>
          </w:tcPr>
          <w:p w14:paraId="65830C13" w14:textId="77777777" w:rsidR="00380BE7" w:rsidRPr="00256982" w:rsidRDefault="00380BE7" w:rsidP="009574E7">
            <w:pPr>
              <w:pStyle w:val="TableText"/>
              <w:jc w:val="right"/>
            </w:pPr>
            <w:r w:rsidRPr="00256982">
              <w:rPr>
                <w:spacing w:val="-2"/>
                <w:lang w:eastAsia="en-NZ"/>
              </w:rPr>
              <w:t>–</w:t>
            </w:r>
            <w:r w:rsidRPr="00256982">
              <w:t>4,445.6</w:t>
            </w:r>
          </w:p>
        </w:tc>
        <w:tc>
          <w:tcPr>
            <w:tcW w:w="1357" w:type="dxa"/>
            <w:tcBorders>
              <w:top w:val="nil"/>
              <w:left w:val="nil"/>
              <w:bottom w:val="single" w:sz="8" w:space="0" w:color="365F91"/>
              <w:right w:val="nil"/>
            </w:tcBorders>
            <w:shd w:val="clear" w:color="auto" w:fill="auto"/>
          </w:tcPr>
          <w:p w14:paraId="6F733434" w14:textId="77777777" w:rsidR="00380BE7" w:rsidRPr="00256982" w:rsidRDefault="00380BE7" w:rsidP="009574E7">
            <w:pPr>
              <w:pStyle w:val="TableText"/>
              <w:jc w:val="right"/>
            </w:pPr>
            <w:r w:rsidRPr="00256982">
              <w:rPr>
                <w:spacing w:val="-2"/>
                <w:lang w:eastAsia="en-NZ"/>
              </w:rPr>
              <w:t>–</w:t>
            </w:r>
            <w:r w:rsidRPr="00256982">
              <w:t xml:space="preserve">214.5 </w:t>
            </w:r>
          </w:p>
        </w:tc>
      </w:tr>
      <w:tr w:rsidR="00380BE7" w:rsidRPr="00256982" w14:paraId="7857485A" w14:textId="77777777" w:rsidTr="009574E7">
        <w:tc>
          <w:tcPr>
            <w:tcW w:w="2596" w:type="dxa"/>
            <w:tcBorders>
              <w:top w:val="nil"/>
              <w:left w:val="nil"/>
              <w:bottom w:val="single" w:sz="8" w:space="0" w:color="365F91"/>
              <w:right w:val="nil"/>
            </w:tcBorders>
            <w:shd w:val="clear" w:color="auto" w:fill="auto"/>
            <w:vAlign w:val="center"/>
            <w:hideMark/>
          </w:tcPr>
          <w:p w14:paraId="60563789" w14:textId="77777777" w:rsidR="00380BE7" w:rsidRPr="00256982" w:rsidRDefault="00380BE7" w:rsidP="009574E7">
            <w:pPr>
              <w:pStyle w:val="Tableboldblue"/>
            </w:pPr>
            <w:r w:rsidRPr="00256982">
              <w:t>Total LULUCF</w:t>
            </w:r>
          </w:p>
        </w:tc>
        <w:tc>
          <w:tcPr>
            <w:tcW w:w="1292" w:type="dxa"/>
            <w:tcBorders>
              <w:top w:val="nil"/>
              <w:left w:val="nil"/>
              <w:bottom w:val="single" w:sz="8" w:space="0" w:color="365F91"/>
              <w:right w:val="nil"/>
            </w:tcBorders>
            <w:shd w:val="clear" w:color="auto" w:fill="auto"/>
          </w:tcPr>
          <w:p w14:paraId="669D5A6F" w14:textId="77777777" w:rsidR="00380BE7" w:rsidRPr="00256982" w:rsidRDefault="00380BE7" w:rsidP="009574E7">
            <w:pPr>
              <w:pStyle w:val="Tableboldblue"/>
              <w:jc w:val="right"/>
            </w:pPr>
            <w:r w:rsidRPr="00256982">
              <w:rPr>
                <w:spacing w:val="-2"/>
                <w:lang w:eastAsia="en-NZ"/>
              </w:rPr>
              <w:t>–</w:t>
            </w:r>
            <w:r w:rsidRPr="00256982">
              <w:t>31,161.8</w:t>
            </w:r>
          </w:p>
        </w:tc>
        <w:tc>
          <w:tcPr>
            <w:tcW w:w="1292" w:type="dxa"/>
            <w:tcBorders>
              <w:top w:val="nil"/>
              <w:left w:val="nil"/>
              <w:bottom w:val="single" w:sz="8" w:space="0" w:color="365F91"/>
              <w:right w:val="nil"/>
            </w:tcBorders>
            <w:shd w:val="clear" w:color="auto" w:fill="auto"/>
          </w:tcPr>
          <w:p w14:paraId="3DA34218" w14:textId="77777777" w:rsidR="00380BE7" w:rsidRPr="00256982" w:rsidRDefault="00380BE7" w:rsidP="009574E7">
            <w:pPr>
              <w:pStyle w:val="Tableboldblue"/>
              <w:jc w:val="right"/>
            </w:pPr>
            <w:r w:rsidRPr="00256982">
              <w:rPr>
                <w:spacing w:val="-2"/>
                <w:lang w:eastAsia="en-NZ"/>
              </w:rPr>
              <w:t>–</w:t>
            </w:r>
            <w:r w:rsidRPr="00256982">
              <w:t>23,958.4</w:t>
            </w:r>
          </w:p>
        </w:tc>
        <w:tc>
          <w:tcPr>
            <w:tcW w:w="1968" w:type="dxa"/>
            <w:tcBorders>
              <w:top w:val="nil"/>
              <w:left w:val="nil"/>
              <w:bottom w:val="single" w:sz="8" w:space="0" w:color="365F91"/>
              <w:right w:val="nil"/>
            </w:tcBorders>
            <w:shd w:val="clear" w:color="auto" w:fill="auto"/>
          </w:tcPr>
          <w:p w14:paraId="3B2B7088" w14:textId="77777777" w:rsidR="00380BE7" w:rsidRPr="00256982" w:rsidRDefault="00380BE7" w:rsidP="009574E7">
            <w:pPr>
              <w:pStyle w:val="Tableboldblue"/>
              <w:jc w:val="right"/>
            </w:pPr>
            <w:r w:rsidRPr="00256982">
              <w:t>7,203.3</w:t>
            </w:r>
          </w:p>
        </w:tc>
        <w:tc>
          <w:tcPr>
            <w:tcW w:w="1357" w:type="dxa"/>
            <w:tcBorders>
              <w:top w:val="nil"/>
              <w:left w:val="nil"/>
              <w:bottom w:val="single" w:sz="8" w:space="0" w:color="365F91"/>
              <w:right w:val="nil"/>
            </w:tcBorders>
            <w:shd w:val="clear" w:color="auto" w:fill="auto"/>
          </w:tcPr>
          <w:p w14:paraId="0C88D4C5" w14:textId="77777777" w:rsidR="00380BE7" w:rsidRPr="00256982" w:rsidRDefault="00380BE7" w:rsidP="009574E7">
            <w:pPr>
              <w:pStyle w:val="Tableboldblue"/>
              <w:jc w:val="right"/>
            </w:pPr>
            <w:r w:rsidRPr="00256982">
              <w:t xml:space="preserve"> 23.1 </w:t>
            </w:r>
          </w:p>
        </w:tc>
      </w:tr>
    </w:tbl>
    <w:p w14:paraId="477FAD24" w14:textId="77777777" w:rsidR="00380BE7" w:rsidRPr="00256982" w:rsidRDefault="00380BE7" w:rsidP="009574E7">
      <w:pPr>
        <w:pStyle w:val="Noteundertable"/>
      </w:pPr>
      <w:r w:rsidRPr="00256982">
        <w:rPr>
          <w:b/>
        </w:rPr>
        <w:t>Note:</w:t>
      </w:r>
      <w:r w:rsidRPr="00256982">
        <w:tab/>
        <w:t>Net removals are expressed as a negative value in the table to help the reader in clarifying that the value is a removal (of CO</w:t>
      </w:r>
      <w:r w:rsidRPr="00256982">
        <w:rPr>
          <w:vertAlign w:val="subscript"/>
        </w:rPr>
        <w:t>2</w:t>
      </w:r>
      <w:r w:rsidRPr="00256982">
        <w:t>-e from the atmosphere) and not an emission. Columns may not total due to rounding. Percentages presented are calculated from unrounded values.</w:t>
      </w:r>
    </w:p>
    <w:p w14:paraId="08220F14" w14:textId="77777777" w:rsidR="00380BE7" w:rsidRPr="00256982" w:rsidRDefault="00380BE7" w:rsidP="00380BE7">
      <w:pPr>
        <w:pStyle w:val="BodyText"/>
      </w:pPr>
      <w:r w:rsidRPr="00256982">
        <w:t xml:space="preserve">Emissions in the LULUCF sector are primarily caused by the harvest of production forests, deforestation, and the decomposition of organic material following these activities. Removals are primarily from the sequestration of carbon that occurs due to plant growth and increases in the size of the harvested wood products pool. Nitrous oxide can be emitted from the ecosystem </w:t>
      </w:r>
      <w:r w:rsidRPr="00256982">
        <w:lastRenderedPageBreak/>
        <w:t>as a by-product of nitrification and de</w:t>
      </w:r>
      <w:r w:rsidRPr="00256982">
        <w:noBreakHyphen/>
        <w:t>nitrification, and the burning of organic matter. Other gases released during biomass burning include CH</w:t>
      </w:r>
      <w:r w:rsidRPr="00256982">
        <w:rPr>
          <w:vertAlign w:val="subscript"/>
        </w:rPr>
        <w:t>4</w:t>
      </w:r>
      <w:r w:rsidRPr="00256982">
        <w:t>, carbon monoxide (CO), other oxides of nitrogen (NO</w:t>
      </w:r>
      <w:r w:rsidRPr="00256982">
        <w:rPr>
          <w:vertAlign w:val="subscript"/>
        </w:rPr>
        <w:t>x</w:t>
      </w:r>
      <w:r w:rsidRPr="00256982">
        <w:t xml:space="preserve">) and non-methane volatile organic compounds (NMVOCs). </w:t>
      </w:r>
    </w:p>
    <w:p w14:paraId="1DA9334E" w14:textId="77777777" w:rsidR="00380BE7" w:rsidRPr="00256982" w:rsidRDefault="00380BE7" w:rsidP="00380BE7">
      <w:pPr>
        <w:pStyle w:val="Heading5"/>
      </w:pPr>
      <w:r w:rsidRPr="00256982">
        <w:t>2016–2017</w:t>
      </w:r>
    </w:p>
    <w:p w14:paraId="7F220449" w14:textId="77777777" w:rsidR="00380BE7" w:rsidRPr="00256982" w:rsidRDefault="00380BE7" w:rsidP="00380BE7">
      <w:pPr>
        <w:pStyle w:val="BodyText"/>
      </w:pPr>
      <w:r w:rsidRPr="00256982">
        <w:rPr>
          <w:spacing w:val="-2"/>
        </w:rPr>
        <w:t>Net emissions from the LULUCF sector increased between 2016 and 2017 (by 873.1 kt CO</w:t>
      </w:r>
      <w:r w:rsidRPr="00256982">
        <w:rPr>
          <w:spacing w:val="-2"/>
          <w:vertAlign w:val="subscript"/>
        </w:rPr>
        <w:t>2</w:t>
      </w:r>
      <w:r w:rsidRPr="00256982">
        <w:rPr>
          <w:spacing w:val="-2"/>
        </w:rPr>
        <w:t>-e;</w:t>
      </w:r>
      <w:r w:rsidRPr="00256982">
        <w:t xml:space="preserve"> 3.5 per cent). The largest change occurred within the </w:t>
      </w:r>
      <w:r w:rsidRPr="00256982">
        <w:rPr>
          <w:i/>
        </w:rPr>
        <w:t>Forest land</w:t>
      </w:r>
      <w:r w:rsidRPr="00256982">
        <w:t xml:space="preserve"> category because the harvest rate increased and the deforestation rate decreased between 2016 and 2017. This has resulted in higher emissions from harvesting being reported in the </w:t>
      </w:r>
      <w:r w:rsidRPr="00256982">
        <w:rPr>
          <w:i/>
        </w:rPr>
        <w:t xml:space="preserve">Forest land </w:t>
      </w:r>
      <w:r w:rsidRPr="00256982">
        <w:t xml:space="preserve">category. Emissions from the </w:t>
      </w:r>
      <w:r w:rsidRPr="00256982">
        <w:rPr>
          <w:i/>
        </w:rPr>
        <w:t>Grassland</w:t>
      </w:r>
      <w:r w:rsidRPr="00256982">
        <w:t xml:space="preserve"> category decreased due to the reduction in deforestation. </w:t>
      </w:r>
    </w:p>
    <w:p w14:paraId="570B5343" w14:textId="77777777" w:rsidR="00380BE7" w:rsidRPr="00256982" w:rsidRDefault="00380BE7" w:rsidP="00380BE7">
      <w:pPr>
        <w:pStyle w:val="BodyText"/>
      </w:pPr>
      <w:r w:rsidRPr="00256982">
        <w:t xml:space="preserve">New Zealand has adopted the six broad categories of land use as described in the </w:t>
      </w:r>
      <w:r w:rsidRPr="00256982">
        <w:rPr>
          <w:i/>
        </w:rPr>
        <w:t>IPCC Guidelines for National Greenhouse Gas Inventories, Volume 4,</w:t>
      </w:r>
      <w:r w:rsidRPr="00256982">
        <w:t xml:space="preserve"> </w:t>
      </w:r>
      <w:r w:rsidRPr="00256982">
        <w:rPr>
          <w:i/>
        </w:rPr>
        <w:t>Agriculture, Forestry and Other Land Use</w:t>
      </w:r>
      <w:r w:rsidRPr="00256982">
        <w:t xml:space="preserve"> (2006 IPCC Guidelines) (IPCC, 2006a), and also reports for the </w:t>
      </w:r>
      <w:r w:rsidRPr="00256982">
        <w:rPr>
          <w:i/>
        </w:rPr>
        <w:t xml:space="preserve">Harvested wood products </w:t>
      </w:r>
      <w:r w:rsidRPr="00256982">
        <w:t>category.</w:t>
      </w:r>
    </w:p>
    <w:p w14:paraId="68861D29" w14:textId="77777777" w:rsidR="00380BE7" w:rsidRPr="00256982" w:rsidRDefault="00380BE7" w:rsidP="00380BE7">
      <w:pPr>
        <w:pStyle w:val="BodyText"/>
      </w:pPr>
      <w:r w:rsidRPr="00256982">
        <w:t xml:space="preserve">The land use categories </w:t>
      </w:r>
      <w:r w:rsidRPr="00256982">
        <w:rPr>
          <w:i/>
        </w:rPr>
        <w:t>Forest land remaining forest land</w:t>
      </w:r>
      <w:r w:rsidRPr="00256982">
        <w:t xml:space="preserve">, </w:t>
      </w:r>
      <w:r w:rsidRPr="00256982">
        <w:rPr>
          <w:i/>
        </w:rPr>
        <w:t>Land converted to forest land</w:t>
      </w:r>
      <w:r w:rsidRPr="00256982">
        <w:t xml:space="preserve">, </w:t>
      </w:r>
      <w:r w:rsidRPr="00256982">
        <w:rPr>
          <w:i/>
        </w:rPr>
        <w:t>Cropland remaining cropland</w:t>
      </w:r>
      <w:r w:rsidRPr="00256982">
        <w:t xml:space="preserve">, </w:t>
      </w:r>
      <w:r w:rsidRPr="00256982">
        <w:rPr>
          <w:i/>
        </w:rPr>
        <w:t>Grassland remaining grassland</w:t>
      </w:r>
      <w:r w:rsidRPr="00256982">
        <w:t xml:space="preserve">, </w:t>
      </w:r>
      <w:r w:rsidRPr="00256982">
        <w:rPr>
          <w:i/>
        </w:rPr>
        <w:t>Land converted to grassland</w:t>
      </w:r>
      <w:r w:rsidRPr="00256982">
        <w:t xml:space="preserve"> and </w:t>
      </w:r>
      <w:r w:rsidRPr="00256982">
        <w:rPr>
          <w:i/>
        </w:rPr>
        <w:t>Harvested wood products</w:t>
      </w:r>
      <w:r w:rsidRPr="00256982">
        <w:t xml:space="preserve"> are key categories for New Zealand in 2017.</w:t>
      </w:r>
    </w:p>
    <w:p w14:paraId="7C199657" w14:textId="77777777" w:rsidR="00380BE7" w:rsidRPr="00256982" w:rsidRDefault="00380BE7" w:rsidP="00380BE7">
      <w:pPr>
        <w:pStyle w:val="Figure"/>
      </w:pPr>
      <w:bookmarkStart w:id="918" w:name="_Toc405448081"/>
      <w:bookmarkStart w:id="919" w:name="_Toc414531613"/>
      <w:bookmarkStart w:id="920" w:name="_Toc474914636"/>
      <w:bookmarkStart w:id="921" w:name="_Toc481752018"/>
      <w:bookmarkStart w:id="922" w:name="_Toc522010696"/>
      <w:bookmarkStart w:id="923" w:name="_Toc5269699"/>
      <w:r w:rsidRPr="00256982">
        <w:t>Figure 6.1.1</w:t>
      </w:r>
      <w:r w:rsidRPr="00256982">
        <w:tab/>
        <w:t>New Zealand’s annual emissions from the LULUCF sector from 1990 to </w:t>
      </w:r>
      <w:bookmarkEnd w:id="918"/>
      <w:bookmarkEnd w:id="919"/>
      <w:bookmarkEnd w:id="920"/>
      <w:bookmarkEnd w:id="921"/>
      <w:bookmarkEnd w:id="922"/>
      <w:r w:rsidRPr="00256982">
        <w:t>2017</w:t>
      </w:r>
      <w:bookmarkEnd w:id="923"/>
    </w:p>
    <w:p w14:paraId="0FFC943E" w14:textId="7E01A53A" w:rsidR="00380BE7" w:rsidRPr="00256982" w:rsidRDefault="00590491" w:rsidP="00380BE7">
      <w:pPr>
        <w:spacing w:after="120"/>
        <w:rPr>
          <w:lang w:eastAsia="en-NZ"/>
        </w:rPr>
      </w:pPr>
      <w:bookmarkStart w:id="924" w:name="_Toc405448082"/>
      <w:bookmarkStart w:id="925" w:name="_Toc414531614"/>
      <w:r>
        <w:rPr>
          <w:lang w:eastAsia="en-NZ"/>
        </w:rPr>
        <w:pict w14:anchorId="3DFBC000">
          <v:shape id="_x0000_i1121" type="#_x0000_t75" style="width:422.25pt;height:261pt;visibility:visible" o:gfxdata="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">
            <v:imagedata r:id="rId183" o:title=""/>
            <o:lock v:ext="edit" aspectratio="f"/>
          </v:shape>
        </w:pict>
      </w:r>
    </w:p>
    <w:p w14:paraId="67CFB9C1" w14:textId="77777777" w:rsidR="00380BE7" w:rsidRPr="00256982" w:rsidRDefault="00380BE7" w:rsidP="00380BE7">
      <w:pPr>
        <w:pStyle w:val="Figure"/>
      </w:pPr>
      <w:bookmarkStart w:id="926" w:name="_Toc474914637"/>
      <w:bookmarkStart w:id="927" w:name="_Toc481752019"/>
      <w:bookmarkStart w:id="928" w:name="_Toc522010697"/>
      <w:bookmarkStart w:id="929" w:name="_Toc5269700"/>
      <w:r w:rsidRPr="00256982">
        <w:lastRenderedPageBreak/>
        <w:t>Figure 6.1.2</w:t>
      </w:r>
      <w:r w:rsidRPr="00256982">
        <w:tab/>
        <w:t>Change in New Zealand’s emissions from the LULUCF sector from 1990 to </w:t>
      </w:r>
      <w:bookmarkEnd w:id="924"/>
      <w:bookmarkEnd w:id="925"/>
      <w:bookmarkEnd w:id="926"/>
      <w:bookmarkEnd w:id="927"/>
      <w:bookmarkEnd w:id="928"/>
      <w:r w:rsidRPr="00256982">
        <w:t>2017</w:t>
      </w:r>
      <w:bookmarkEnd w:id="929"/>
      <w:r w:rsidRPr="00256982">
        <w:t xml:space="preserve"> </w:t>
      </w:r>
    </w:p>
    <w:p w14:paraId="271619E6" w14:textId="19C3618D" w:rsidR="00380BE7" w:rsidRPr="00256982" w:rsidRDefault="00590491" w:rsidP="00D361BB">
      <w:r>
        <w:rPr>
          <w:lang w:eastAsia="en-NZ"/>
        </w:rPr>
        <w:pict w14:anchorId="40A768DE">
          <v:shape id="Chart 2" o:spid="_x0000_i1122" type="#_x0000_t75" style="width:426pt;height:235.5pt;visibility:visible" o:gfxdata="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">
            <v:imagedata r:id="rId184" o:title="" croptop="3388f"/>
            <o:lock v:ext="edit" aspectratio="f"/>
          </v:shape>
        </w:pict>
      </w:r>
    </w:p>
    <w:p w14:paraId="28018F4C" w14:textId="77777777" w:rsidR="00380BE7" w:rsidRPr="00256982" w:rsidRDefault="00380BE7" w:rsidP="009574E7">
      <w:pPr>
        <w:pStyle w:val="Heading5"/>
      </w:pPr>
      <w:r w:rsidRPr="00256982">
        <w:t>Recalculations since the 2018 submission</w:t>
      </w:r>
    </w:p>
    <w:p w14:paraId="5EE3261B" w14:textId="77777777" w:rsidR="00380BE7" w:rsidRPr="00256982" w:rsidRDefault="00380BE7" w:rsidP="00380BE7">
      <w:pPr>
        <w:pStyle w:val="BodyText"/>
      </w:pPr>
      <w:r w:rsidRPr="00256982">
        <w:t>Since the 2018 submission, there have been recalculations to the LULUCF sector emissions. Further details on these recalculations are provided in section 6.1.4 as an overview, in each relevant land use category and in chapter 10.</w:t>
      </w:r>
    </w:p>
    <w:p w14:paraId="4B39CF4C" w14:textId="77777777" w:rsidR="00380BE7" w:rsidRPr="00256982" w:rsidRDefault="00380BE7" w:rsidP="00380BE7">
      <w:pPr>
        <w:pStyle w:val="Heading3"/>
      </w:pPr>
      <w:r w:rsidRPr="00256982">
        <w:t>6.1.1</w:t>
      </w:r>
      <w:r w:rsidRPr="00256982">
        <w:tab/>
      </w:r>
      <w:bookmarkStart w:id="930" w:name="_Toc280630204"/>
      <w:r w:rsidRPr="00256982">
        <w:t>Land use, land-use change and forestry in New Zealand</w:t>
      </w:r>
      <w:bookmarkEnd w:id="930"/>
    </w:p>
    <w:p w14:paraId="03D26942" w14:textId="77777777" w:rsidR="00380BE7" w:rsidRPr="00256982" w:rsidRDefault="00380BE7" w:rsidP="00380BE7">
      <w:pPr>
        <w:pStyle w:val="BodyText"/>
      </w:pPr>
      <w:r w:rsidRPr="00256982">
        <w:t>New Zealand has a land area of approximately 270,000 square kilometres with extensive coastlines (19,800 kilometres). New Zealand has a temperate climate, highly influenced by the surrounding ocean. Sixty per cent of the land is hilly or mountainous, with many lakes and fast-flowing rivers and streams.</w:t>
      </w:r>
    </w:p>
    <w:p w14:paraId="3A1CC9DD" w14:textId="77777777" w:rsidR="00380BE7" w:rsidRPr="00256982" w:rsidRDefault="00380BE7" w:rsidP="00380BE7">
      <w:pPr>
        <w:pStyle w:val="BodyText"/>
      </w:pPr>
      <w:r w:rsidRPr="00256982">
        <w:t xml:space="preserve">Since 1990, approximately 8.6 per cent of New Zealand’s total land area has undergone land-use change. </w:t>
      </w:r>
    </w:p>
    <w:p w14:paraId="7D7908A9" w14:textId="77777777" w:rsidR="00380BE7" w:rsidRPr="00256982" w:rsidRDefault="00380BE7" w:rsidP="00380BE7">
      <w:pPr>
        <w:pStyle w:val="BodyText"/>
        <w:rPr>
          <w:spacing w:val="-2"/>
        </w:rPr>
      </w:pPr>
      <w:r w:rsidRPr="00256982">
        <w:rPr>
          <w:spacing w:val="-2"/>
        </w:rPr>
        <w:t>Before human settlement, natural forests were New Zealand’s predominant land cover, estimated at 85 per cent to 90 per cent of total land area (McGlone, 2009). In 2017, pre-1990 natural forest covers around 29.0 per cent of the total land area of New Zealand (see table 6.1.2). Nearly all lowland areas have been cleared of indigenous vegetation for agriculture, horticulture, plantation forestry and urban development. Much of the remaining indigenous vegetation, however, is now legally protected, whether in private ownership or on public conservation land.</w:t>
      </w:r>
    </w:p>
    <w:p w14:paraId="274E3262" w14:textId="77777777" w:rsidR="00380BE7" w:rsidRPr="00256982" w:rsidRDefault="00380BE7" w:rsidP="00380BE7">
      <w:pPr>
        <w:pStyle w:val="Table"/>
      </w:pPr>
      <w:bookmarkStart w:id="931" w:name="_Toc443645354"/>
      <w:bookmarkStart w:id="932" w:name="_Toc474914573"/>
      <w:bookmarkStart w:id="933" w:name="_Toc481751537"/>
      <w:bookmarkStart w:id="934" w:name="_Toc522010594"/>
      <w:bookmarkStart w:id="935" w:name="_Toc5269499"/>
      <w:r w:rsidRPr="00256982">
        <w:t xml:space="preserve">Table 6.1.2 </w:t>
      </w:r>
      <w:r w:rsidRPr="00256982">
        <w:tab/>
        <w:t>Land use in New Zealand in 201</w:t>
      </w:r>
      <w:bookmarkEnd w:id="931"/>
      <w:bookmarkEnd w:id="932"/>
      <w:bookmarkEnd w:id="933"/>
      <w:bookmarkEnd w:id="934"/>
      <w:r w:rsidRPr="00256982">
        <w:t>7</w:t>
      </w:r>
      <w:bookmarkEnd w:id="935"/>
    </w:p>
    <w:tbl>
      <w:tblPr>
        <w:tblW w:w="8562" w:type="dxa"/>
        <w:tblInd w:w="108" w:type="dxa"/>
        <w:tblBorders>
          <w:top w:val="single" w:sz="4" w:space="0" w:color="365F91"/>
          <w:bottom w:val="single" w:sz="4" w:space="0" w:color="365F91"/>
          <w:insideH w:val="single" w:sz="4" w:space="0" w:color="365F91"/>
          <w:insideV w:val="single" w:sz="4" w:space="0" w:color="365F91"/>
        </w:tblBorders>
        <w:tblLook w:val="04A0" w:firstRow="1" w:lastRow="0" w:firstColumn="1" w:lastColumn="0" w:noHBand="0" w:noVBand="1"/>
      </w:tblPr>
      <w:tblGrid>
        <w:gridCol w:w="1843"/>
        <w:gridCol w:w="2268"/>
        <w:gridCol w:w="1985"/>
        <w:gridCol w:w="2466"/>
      </w:tblGrid>
      <w:tr w:rsidR="00380BE7" w:rsidRPr="00256982" w14:paraId="22F90BE3" w14:textId="77777777" w:rsidTr="000B7C81">
        <w:trPr>
          <w:tblHeader/>
        </w:trPr>
        <w:tc>
          <w:tcPr>
            <w:tcW w:w="1843" w:type="dxa"/>
            <w:shd w:val="clear" w:color="auto" w:fill="365F91"/>
          </w:tcPr>
          <w:p w14:paraId="7DEF9E28" w14:textId="77777777" w:rsidR="00380BE7" w:rsidRPr="00256982" w:rsidRDefault="00380BE7" w:rsidP="000B7C81">
            <w:pPr>
              <w:pStyle w:val="TableTextBold"/>
              <w:spacing w:before="50" w:after="50"/>
              <w:rPr>
                <w:noProof w:val="0"/>
                <w:color w:val="FFFFFF"/>
              </w:rPr>
            </w:pPr>
            <w:r w:rsidRPr="00256982">
              <w:rPr>
                <w:noProof w:val="0"/>
                <w:color w:val="FFFFFF"/>
              </w:rPr>
              <w:t xml:space="preserve">Category </w:t>
            </w:r>
          </w:p>
        </w:tc>
        <w:tc>
          <w:tcPr>
            <w:tcW w:w="2268" w:type="dxa"/>
            <w:shd w:val="clear" w:color="auto" w:fill="365F91"/>
          </w:tcPr>
          <w:p w14:paraId="6C936C73" w14:textId="77777777" w:rsidR="00380BE7" w:rsidRPr="00256982" w:rsidRDefault="00380BE7" w:rsidP="000B7C81">
            <w:pPr>
              <w:pStyle w:val="TableTextBold"/>
              <w:spacing w:before="50" w:after="50"/>
              <w:rPr>
                <w:noProof w:val="0"/>
                <w:color w:val="FFFFFF"/>
              </w:rPr>
            </w:pPr>
            <w:r w:rsidRPr="00256982">
              <w:rPr>
                <w:noProof w:val="0"/>
                <w:color w:val="FFFFFF"/>
              </w:rPr>
              <w:t>Land use</w:t>
            </w:r>
          </w:p>
        </w:tc>
        <w:tc>
          <w:tcPr>
            <w:tcW w:w="1985" w:type="dxa"/>
            <w:shd w:val="clear" w:color="auto" w:fill="365F91"/>
          </w:tcPr>
          <w:p w14:paraId="6EB464CC" w14:textId="77777777" w:rsidR="00380BE7" w:rsidRPr="00256982" w:rsidRDefault="00380BE7" w:rsidP="000B7C81">
            <w:pPr>
              <w:pStyle w:val="TableTextBold"/>
              <w:spacing w:before="50" w:after="50"/>
              <w:jc w:val="right"/>
              <w:rPr>
                <w:noProof w:val="0"/>
                <w:color w:val="FFFFFF"/>
              </w:rPr>
            </w:pPr>
            <w:r w:rsidRPr="00256982">
              <w:rPr>
                <w:noProof w:val="0"/>
                <w:color w:val="FFFFFF"/>
              </w:rPr>
              <w:t>Area (kha)</w:t>
            </w:r>
          </w:p>
        </w:tc>
        <w:tc>
          <w:tcPr>
            <w:tcW w:w="2466" w:type="dxa"/>
            <w:shd w:val="clear" w:color="auto" w:fill="365F91"/>
          </w:tcPr>
          <w:p w14:paraId="198BCB0A" w14:textId="77777777" w:rsidR="00380BE7" w:rsidRPr="00256982" w:rsidRDefault="00380BE7" w:rsidP="000B7C81">
            <w:pPr>
              <w:pStyle w:val="TableTextBold"/>
              <w:spacing w:before="50" w:after="50"/>
              <w:jc w:val="right"/>
              <w:rPr>
                <w:noProof w:val="0"/>
                <w:color w:val="FFFFFF"/>
              </w:rPr>
            </w:pPr>
            <w:r w:rsidRPr="00256982">
              <w:rPr>
                <w:noProof w:val="0"/>
                <w:color w:val="FFFFFF"/>
              </w:rPr>
              <w:t>Proportion of total area (%)</w:t>
            </w:r>
          </w:p>
        </w:tc>
      </w:tr>
      <w:tr w:rsidR="00380BE7" w:rsidRPr="00256982" w14:paraId="041290BF" w14:textId="77777777" w:rsidTr="000B7C81">
        <w:tc>
          <w:tcPr>
            <w:tcW w:w="1843" w:type="dxa"/>
          </w:tcPr>
          <w:p w14:paraId="4749C15B" w14:textId="77777777" w:rsidR="00380BE7" w:rsidRPr="00256982" w:rsidRDefault="00380BE7" w:rsidP="000B7C81">
            <w:pPr>
              <w:pStyle w:val="TableText"/>
              <w:spacing w:before="50" w:after="50"/>
              <w:rPr>
                <w:rFonts w:cs="Arial"/>
                <w:szCs w:val="16"/>
              </w:rPr>
            </w:pPr>
            <w:r w:rsidRPr="00256982">
              <w:rPr>
                <w:rFonts w:cs="Arial"/>
                <w:szCs w:val="16"/>
              </w:rPr>
              <w:t>Forest land</w:t>
            </w:r>
          </w:p>
        </w:tc>
        <w:tc>
          <w:tcPr>
            <w:tcW w:w="2268" w:type="dxa"/>
          </w:tcPr>
          <w:p w14:paraId="738B9B3E" w14:textId="77777777" w:rsidR="00380BE7" w:rsidRPr="00256982" w:rsidRDefault="00380BE7" w:rsidP="000B7C81">
            <w:pPr>
              <w:pStyle w:val="TableText"/>
              <w:spacing w:before="50" w:after="50"/>
              <w:rPr>
                <w:rFonts w:cs="Arial"/>
                <w:szCs w:val="16"/>
              </w:rPr>
            </w:pPr>
            <w:r w:rsidRPr="00256982">
              <w:rPr>
                <w:rFonts w:cs="Arial"/>
                <w:szCs w:val="16"/>
              </w:rPr>
              <w:t>Pre-1990 natural forest</w:t>
            </w:r>
          </w:p>
        </w:tc>
        <w:tc>
          <w:tcPr>
            <w:tcW w:w="1985" w:type="dxa"/>
          </w:tcPr>
          <w:p w14:paraId="4DCF9BE6" w14:textId="77777777" w:rsidR="00380BE7" w:rsidRPr="00256982" w:rsidRDefault="00380BE7" w:rsidP="000B7C81">
            <w:pPr>
              <w:pStyle w:val="TableText"/>
              <w:spacing w:before="50" w:after="50"/>
              <w:jc w:val="right"/>
              <w:rPr>
                <w:rFonts w:cs="Arial"/>
                <w:szCs w:val="16"/>
              </w:rPr>
            </w:pPr>
            <w:r w:rsidRPr="00256982">
              <w:t>7,811.4</w:t>
            </w:r>
          </w:p>
        </w:tc>
        <w:tc>
          <w:tcPr>
            <w:tcW w:w="2466" w:type="dxa"/>
          </w:tcPr>
          <w:p w14:paraId="309CA27E" w14:textId="77777777" w:rsidR="00380BE7" w:rsidRPr="00256982" w:rsidRDefault="00380BE7" w:rsidP="000B7C81">
            <w:pPr>
              <w:pStyle w:val="TableText"/>
              <w:spacing w:before="50" w:after="50"/>
              <w:jc w:val="right"/>
              <w:rPr>
                <w:rFonts w:cs="Arial"/>
                <w:szCs w:val="16"/>
              </w:rPr>
            </w:pPr>
            <w:r w:rsidRPr="00256982">
              <w:t>29.0</w:t>
            </w:r>
          </w:p>
        </w:tc>
      </w:tr>
      <w:tr w:rsidR="00380BE7" w:rsidRPr="00256982" w14:paraId="7431A64D" w14:textId="77777777" w:rsidTr="000B7C81">
        <w:tc>
          <w:tcPr>
            <w:tcW w:w="1843" w:type="dxa"/>
          </w:tcPr>
          <w:p w14:paraId="5747A21D" w14:textId="77777777" w:rsidR="00380BE7" w:rsidRPr="00256982" w:rsidRDefault="00380BE7" w:rsidP="000B7C81">
            <w:pPr>
              <w:pStyle w:val="TableText"/>
              <w:spacing w:before="50" w:after="50"/>
              <w:rPr>
                <w:rFonts w:cs="Arial"/>
                <w:szCs w:val="16"/>
              </w:rPr>
            </w:pPr>
          </w:p>
        </w:tc>
        <w:tc>
          <w:tcPr>
            <w:tcW w:w="2268" w:type="dxa"/>
          </w:tcPr>
          <w:p w14:paraId="72230B3F" w14:textId="77777777" w:rsidR="00380BE7" w:rsidRPr="00256982" w:rsidRDefault="00380BE7" w:rsidP="000B7C81">
            <w:pPr>
              <w:pStyle w:val="TableText"/>
              <w:spacing w:before="50" w:after="50"/>
              <w:rPr>
                <w:rFonts w:cs="Arial"/>
                <w:szCs w:val="16"/>
              </w:rPr>
            </w:pPr>
            <w:r w:rsidRPr="00256982">
              <w:rPr>
                <w:rFonts w:cs="Arial"/>
                <w:szCs w:val="16"/>
              </w:rPr>
              <w:t>Pre-1990 planted forest</w:t>
            </w:r>
          </w:p>
        </w:tc>
        <w:tc>
          <w:tcPr>
            <w:tcW w:w="1985" w:type="dxa"/>
          </w:tcPr>
          <w:p w14:paraId="4573727D" w14:textId="77777777" w:rsidR="00380BE7" w:rsidRPr="00256982" w:rsidRDefault="00380BE7" w:rsidP="000B7C81">
            <w:pPr>
              <w:pStyle w:val="TableText"/>
              <w:spacing w:before="50" w:after="50"/>
              <w:jc w:val="right"/>
              <w:rPr>
                <w:rFonts w:cs="Arial"/>
                <w:szCs w:val="16"/>
              </w:rPr>
            </w:pPr>
            <w:r w:rsidRPr="00256982">
              <w:t>1,429.7</w:t>
            </w:r>
          </w:p>
        </w:tc>
        <w:tc>
          <w:tcPr>
            <w:tcW w:w="2466" w:type="dxa"/>
          </w:tcPr>
          <w:p w14:paraId="78FBEFF6" w14:textId="77777777" w:rsidR="00380BE7" w:rsidRPr="00256982" w:rsidRDefault="00380BE7" w:rsidP="000B7C81">
            <w:pPr>
              <w:pStyle w:val="TableText"/>
              <w:spacing w:before="50" w:after="50"/>
              <w:jc w:val="right"/>
              <w:rPr>
                <w:rFonts w:cs="Arial"/>
                <w:szCs w:val="16"/>
              </w:rPr>
            </w:pPr>
            <w:r w:rsidRPr="00256982">
              <w:t>5.3</w:t>
            </w:r>
          </w:p>
        </w:tc>
      </w:tr>
      <w:tr w:rsidR="00380BE7" w:rsidRPr="00256982" w14:paraId="5417D4ED" w14:textId="77777777" w:rsidTr="000B7C81">
        <w:tc>
          <w:tcPr>
            <w:tcW w:w="1843" w:type="dxa"/>
          </w:tcPr>
          <w:p w14:paraId="2FC5D494" w14:textId="77777777" w:rsidR="00380BE7" w:rsidRPr="00256982" w:rsidRDefault="00380BE7" w:rsidP="000B7C81">
            <w:pPr>
              <w:pStyle w:val="TableText"/>
              <w:spacing w:before="50" w:after="50"/>
              <w:rPr>
                <w:rFonts w:cs="Arial"/>
                <w:szCs w:val="16"/>
              </w:rPr>
            </w:pPr>
          </w:p>
        </w:tc>
        <w:tc>
          <w:tcPr>
            <w:tcW w:w="2268" w:type="dxa"/>
          </w:tcPr>
          <w:p w14:paraId="53790E4D" w14:textId="77777777" w:rsidR="00380BE7" w:rsidRPr="00256982" w:rsidRDefault="00380BE7" w:rsidP="000B7C81">
            <w:pPr>
              <w:pStyle w:val="TableText"/>
              <w:spacing w:before="50" w:after="50"/>
              <w:rPr>
                <w:rFonts w:cs="Arial"/>
                <w:szCs w:val="16"/>
              </w:rPr>
            </w:pPr>
            <w:r w:rsidRPr="00256982">
              <w:rPr>
                <w:rFonts w:cs="Arial"/>
                <w:szCs w:val="16"/>
              </w:rPr>
              <w:t>Post-1989 forest</w:t>
            </w:r>
          </w:p>
        </w:tc>
        <w:tc>
          <w:tcPr>
            <w:tcW w:w="1985" w:type="dxa"/>
          </w:tcPr>
          <w:p w14:paraId="66268653" w14:textId="77777777" w:rsidR="00380BE7" w:rsidRPr="00256982" w:rsidRDefault="00380BE7" w:rsidP="000B7C81">
            <w:pPr>
              <w:pStyle w:val="TableText"/>
              <w:spacing w:before="50" w:after="50"/>
              <w:jc w:val="right"/>
              <w:rPr>
                <w:rFonts w:cs="Arial"/>
                <w:szCs w:val="16"/>
              </w:rPr>
            </w:pPr>
            <w:r w:rsidRPr="00256982">
              <w:t>682.4</w:t>
            </w:r>
          </w:p>
        </w:tc>
        <w:tc>
          <w:tcPr>
            <w:tcW w:w="2466" w:type="dxa"/>
          </w:tcPr>
          <w:p w14:paraId="6EFBFCA2" w14:textId="77777777" w:rsidR="00380BE7" w:rsidRPr="00256982" w:rsidRDefault="00380BE7" w:rsidP="000B7C81">
            <w:pPr>
              <w:pStyle w:val="TableText"/>
              <w:spacing w:before="50" w:after="50"/>
              <w:jc w:val="right"/>
              <w:rPr>
                <w:rFonts w:cs="Arial"/>
                <w:szCs w:val="16"/>
              </w:rPr>
            </w:pPr>
            <w:r w:rsidRPr="00256982">
              <w:t>2.5</w:t>
            </w:r>
          </w:p>
        </w:tc>
      </w:tr>
      <w:tr w:rsidR="00380BE7" w:rsidRPr="00256982" w14:paraId="49EC097F" w14:textId="77777777" w:rsidTr="000B7C81">
        <w:tc>
          <w:tcPr>
            <w:tcW w:w="1843" w:type="dxa"/>
          </w:tcPr>
          <w:p w14:paraId="31506E87" w14:textId="77777777" w:rsidR="00380BE7" w:rsidRPr="00256982" w:rsidRDefault="00380BE7" w:rsidP="000B7C81">
            <w:pPr>
              <w:pStyle w:val="TableText"/>
              <w:spacing w:before="50" w:after="50"/>
              <w:rPr>
                <w:rFonts w:cs="Arial"/>
                <w:szCs w:val="16"/>
              </w:rPr>
            </w:pPr>
          </w:p>
        </w:tc>
        <w:tc>
          <w:tcPr>
            <w:tcW w:w="2268" w:type="dxa"/>
          </w:tcPr>
          <w:p w14:paraId="75ACF021" w14:textId="77777777" w:rsidR="00380BE7" w:rsidRPr="00256982" w:rsidRDefault="00380BE7" w:rsidP="000B7C81">
            <w:pPr>
              <w:pStyle w:val="TableText"/>
              <w:spacing w:before="50" w:after="50"/>
              <w:rPr>
                <w:rFonts w:cs="Arial"/>
                <w:i/>
                <w:szCs w:val="16"/>
              </w:rPr>
            </w:pPr>
            <w:r w:rsidRPr="00256982">
              <w:rPr>
                <w:rFonts w:cs="Arial"/>
                <w:i/>
                <w:szCs w:val="16"/>
              </w:rPr>
              <w:t>Subtotal</w:t>
            </w:r>
          </w:p>
        </w:tc>
        <w:tc>
          <w:tcPr>
            <w:tcW w:w="1985" w:type="dxa"/>
          </w:tcPr>
          <w:p w14:paraId="06851FF2" w14:textId="77777777" w:rsidR="00380BE7" w:rsidRPr="00256982" w:rsidRDefault="00380BE7" w:rsidP="000B7C81">
            <w:pPr>
              <w:pStyle w:val="TableText"/>
              <w:spacing w:before="50" w:after="50"/>
              <w:jc w:val="right"/>
              <w:rPr>
                <w:rFonts w:cs="Arial"/>
                <w:i/>
                <w:szCs w:val="16"/>
              </w:rPr>
            </w:pPr>
            <w:r w:rsidRPr="00256982">
              <w:rPr>
                <w:i/>
              </w:rPr>
              <w:t>9,923.6</w:t>
            </w:r>
          </w:p>
        </w:tc>
        <w:tc>
          <w:tcPr>
            <w:tcW w:w="2466" w:type="dxa"/>
          </w:tcPr>
          <w:p w14:paraId="3C27476E" w14:textId="77777777" w:rsidR="00380BE7" w:rsidRPr="00256982" w:rsidRDefault="00380BE7" w:rsidP="000B7C81">
            <w:pPr>
              <w:pStyle w:val="TableText"/>
              <w:spacing w:before="50" w:after="50"/>
              <w:jc w:val="right"/>
              <w:rPr>
                <w:rFonts w:cs="Arial"/>
                <w:i/>
                <w:szCs w:val="16"/>
              </w:rPr>
            </w:pPr>
            <w:r w:rsidRPr="00256982">
              <w:rPr>
                <w:i/>
              </w:rPr>
              <w:t>36.9</w:t>
            </w:r>
          </w:p>
        </w:tc>
      </w:tr>
      <w:tr w:rsidR="00380BE7" w:rsidRPr="00256982" w14:paraId="75B46AAA" w14:textId="77777777" w:rsidTr="000B7C81">
        <w:tc>
          <w:tcPr>
            <w:tcW w:w="1843" w:type="dxa"/>
          </w:tcPr>
          <w:p w14:paraId="7F35325C" w14:textId="77777777" w:rsidR="00380BE7" w:rsidRPr="00256982" w:rsidRDefault="00380BE7" w:rsidP="000B7C81">
            <w:pPr>
              <w:pStyle w:val="TableText"/>
              <w:spacing w:before="50" w:after="50"/>
              <w:rPr>
                <w:rFonts w:cs="Arial"/>
                <w:szCs w:val="16"/>
              </w:rPr>
            </w:pPr>
            <w:r w:rsidRPr="00256982">
              <w:rPr>
                <w:rFonts w:cs="Arial"/>
                <w:szCs w:val="16"/>
              </w:rPr>
              <w:t>Cropland</w:t>
            </w:r>
          </w:p>
        </w:tc>
        <w:tc>
          <w:tcPr>
            <w:tcW w:w="2268" w:type="dxa"/>
          </w:tcPr>
          <w:p w14:paraId="36DA02D6" w14:textId="77777777" w:rsidR="00380BE7" w:rsidRPr="00256982" w:rsidRDefault="00380BE7" w:rsidP="000B7C81">
            <w:pPr>
              <w:pStyle w:val="TableText"/>
              <w:spacing w:before="50" w:after="50"/>
              <w:rPr>
                <w:rFonts w:cs="Arial"/>
                <w:szCs w:val="16"/>
              </w:rPr>
            </w:pPr>
            <w:r w:rsidRPr="00256982">
              <w:rPr>
                <w:rFonts w:cs="Arial"/>
                <w:szCs w:val="16"/>
              </w:rPr>
              <w:t>Annual</w:t>
            </w:r>
          </w:p>
        </w:tc>
        <w:tc>
          <w:tcPr>
            <w:tcW w:w="1985" w:type="dxa"/>
          </w:tcPr>
          <w:p w14:paraId="64AB98B1" w14:textId="77777777" w:rsidR="00380BE7" w:rsidRPr="00256982" w:rsidRDefault="00380BE7" w:rsidP="000B7C81">
            <w:pPr>
              <w:pStyle w:val="TableText"/>
              <w:spacing w:before="50" w:after="50"/>
              <w:jc w:val="right"/>
              <w:rPr>
                <w:rFonts w:cs="Arial"/>
                <w:szCs w:val="16"/>
              </w:rPr>
            </w:pPr>
            <w:r w:rsidRPr="00256982">
              <w:t>371.4</w:t>
            </w:r>
          </w:p>
        </w:tc>
        <w:tc>
          <w:tcPr>
            <w:tcW w:w="2466" w:type="dxa"/>
          </w:tcPr>
          <w:p w14:paraId="260DAD0C" w14:textId="77777777" w:rsidR="00380BE7" w:rsidRPr="00256982" w:rsidRDefault="00380BE7" w:rsidP="000B7C81">
            <w:pPr>
              <w:pStyle w:val="TableText"/>
              <w:spacing w:before="50" w:after="50"/>
              <w:jc w:val="right"/>
              <w:rPr>
                <w:rFonts w:cs="Arial"/>
                <w:szCs w:val="16"/>
              </w:rPr>
            </w:pPr>
            <w:r w:rsidRPr="00256982">
              <w:t>1.4</w:t>
            </w:r>
          </w:p>
        </w:tc>
      </w:tr>
      <w:tr w:rsidR="00380BE7" w:rsidRPr="00256982" w14:paraId="4D158EDB" w14:textId="77777777" w:rsidTr="000B7C81">
        <w:tc>
          <w:tcPr>
            <w:tcW w:w="1843" w:type="dxa"/>
          </w:tcPr>
          <w:p w14:paraId="256CFCA3" w14:textId="77777777" w:rsidR="00380BE7" w:rsidRPr="00256982" w:rsidRDefault="00380BE7" w:rsidP="000B7C81">
            <w:pPr>
              <w:pStyle w:val="TableText"/>
              <w:spacing w:before="50" w:after="50"/>
              <w:rPr>
                <w:rFonts w:cs="Arial"/>
                <w:szCs w:val="16"/>
              </w:rPr>
            </w:pPr>
          </w:p>
        </w:tc>
        <w:tc>
          <w:tcPr>
            <w:tcW w:w="2268" w:type="dxa"/>
          </w:tcPr>
          <w:p w14:paraId="6124BCE0" w14:textId="77777777" w:rsidR="00380BE7" w:rsidRPr="00256982" w:rsidRDefault="00380BE7" w:rsidP="000B7C81">
            <w:pPr>
              <w:pStyle w:val="TableText"/>
              <w:spacing w:before="50" w:after="50"/>
              <w:rPr>
                <w:rFonts w:cs="Arial"/>
                <w:szCs w:val="16"/>
              </w:rPr>
            </w:pPr>
            <w:r w:rsidRPr="00256982">
              <w:rPr>
                <w:rFonts w:cs="Arial"/>
                <w:szCs w:val="16"/>
              </w:rPr>
              <w:t>Perennial</w:t>
            </w:r>
          </w:p>
        </w:tc>
        <w:tc>
          <w:tcPr>
            <w:tcW w:w="1985" w:type="dxa"/>
          </w:tcPr>
          <w:p w14:paraId="596EB809" w14:textId="77777777" w:rsidR="00380BE7" w:rsidRPr="00256982" w:rsidRDefault="00380BE7" w:rsidP="000B7C81">
            <w:pPr>
              <w:pStyle w:val="TableText"/>
              <w:spacing w:before="50" w:after="50"/>
              <w:jc w:val="right"/>
              <w:rPr>
                <w:rFonts w:cs="Arial"/>
                <w:szCs w:val="16"/>
              </w:rPr>
            </w:pPr>
            <w:r w:rsidRPr="00256982">
              <w:t>104.5</w:t>
            </w:r>
          </w:p>
        </w:tc>
        <w:tc>
          <w:tcPr>
            <w:tcW w:w="2466" w:type="dxa"/>
          </w:tcPr>
          <w:p w14:paraId="0797293C" w14:textId="77777777" w:rsidR="00380BE7" w:rsidRPr="00256982" w:rsidRDefault="00380BE7" w:rsidP="000B7C81">
            <w:pPr>
              <w:pStyle w:val="TableText"/>
              <w:spacing w:before="50" w:after="50"/>
              <w:jc w:val="right"/>
              <w:rPr>
                <w:rFonts w:cs="Arial"/>
                <w:szCs w:val="16"/>
              </w:rPr>
            </w:pPr>
            <w:r w:rsidRPr="00256982">
              <w:t>0.4</w:t>
            </w:r>
          </w:p>
        </w:tc>
      </w:tr>
      <w:tr w:rsidR="00380BE7" w:rsidRPr="00256982" w14:paraId="7EBB9C11" w14:textId="77777777" w:rsidTr="000B7C81">
        <w:tc>
          <w:tcPr>
            <w:tcW w:w="1843" w:type="dxa"/>
          </w:tcPr>
          <w:p w14:paraId="4F1639E7" w14:textId="77777777" w:rsidR="00380BE7" w:rsidRPr="00256982" w:rsidRDefault="00380BE7" w:rsidP="000B7C81">
            <w:pPr>
              <w:pStyle w:val="TableText"/>
              <w:spacing w:before="50" w:after="50"/>
              <w:rPr>
                <w:rFonts w:cs="Arial"/>
                <w:szCs w:val="16"/>
              </w:rPr>
            </w:pPr>
          </w:p>
        </w:tc>
        <w:tc>
          <w:tcPr>
            <w:tcW w:w="2268" w:type="dxa"/>
          </w:tcPr>
          <w:p w14:paraId="22B844A9" w14:textId="77777777" w:rsidR="00380BE7" w:rsidRPr="00256982" w:rsidRDefault="00380BE7" w:rsidP="000B7C81">
            <w:pPr>
              <w:pStyle w:val="TableText"/>
              <w:spacing w:before="50" w:after="50"/>
              <w:rPr>
                <w:rFonts w:cs="Arial"/>
                <w:i/>
                <w:szCs w:val="16"/>
              </w:rPr>
            </w:pPr>
            <w:r w:rsidRPr="00256982">
              <w:rPr>
                <w:rFonts w:cs="Arial"/>
                <w:i/>
                <w:szCs w:val="16"/>
              </w:rPr>
              <w:t>Subtotal</w:t>
            </w:r>
          </w:p>
        </w:tc>
        <w:tc>
          <w:tcPr>
            <w:tcW w:w="1985" w:type="dxa"/>
          </w:tcPr>
          <w:p w14:paraId="122ED6E6" w14:textId="77777777" w:rsidR="00380BE7" w:rsidRPr="00256982" w:rsidRDefault="00380BE7" w:rsidP="000B7C81">
            <w:pPr>
              <w:pStyle w:val="TableText"/>
              <w:spacing w:before="50" w:after="50"/>
              <w:jc w:val="right"/>
              <w:rPr>
                <w:rFonts w:cs="Arial"/>
                <w:i/>
                <w:szCs w:val="16"/>
              </w:rPr>
            </w:pPr>
            <w:r w:rsidRPr="00256982">
              <w:rPr>
                <w:i/>
              </w:rPr>
              <w:t>476.0</w:t>
            </w:r>
          </w:p>
        </w:tc>
        <w:tc>
          <w:tcPr>
            <w:tcW w:w="2466" w:type="dxa"/>
          </w:tcPr>
          <w:p w14:paraId="29F6DE51" w14:textId="77777777" w:rsidR="00380BE7" w:rsidRPr="00256982" w:rsidRDefault="00380BE7" w:rsidP="000B7C81">
            <w:pPr>
              <w:pStyle w:val="TableText"/>
              <w:spacing w:before="50" w:after="50"/>
              <w:jc w:val="right"/>
              <w:rPr>
                <w:rFonts w:cs="Arial"/>
                <w:i/>
                <w:szCs w:val="16"/>
              </w:rPr>
            </w:pPr>
            <w:r w:rsidRPr="00256982">
              <w:rPr>
                <w:i/>
              </w:rPr>
              <w:t>1.8</w:t>
            </w:r>
          </w:p>
        </w:tc>
      </w:tr>
      <w:tr w:rsidR="00380BE7" w:rsidRPr="00256982" w14:paraId="07B5FE64" w14:textId="77777777" w:rsidTr="000B7C81">
        <w:tc>
          <w:tcPr>
            <w:tcW w:w="1843" w:type="dxa"/>
          </w:tcPr>
          <w:p w14:paraId="7E5F45C9" w14:textId="77777777" w:rsidR="00380BE7" w:rsidRPr="00256982" w:rsidRDefault="00380BE7" w:rsidP="000B7C81">
            <w:pPr>
              <w:pStyle w:val="TableText"/>
              <w:spacing w:before="50" w:after="50"/>
              <w:rPr>
                <w:rFonts w:cs="Arial"/>
                <w:szCs w:val="16"/>
              </w:rPr>
            </w:pPr>
            <w:r w:rsidRPr="00256982">
              <w:rPr>
                <w:rFonts w:cs="Arial"/>
                <w:szCs w:val="16"/>
              </w:rPr>
              <w:t>Grassland</w:t>
            </w:r>
          </w:p>
        </w:tc>
        <w:tc>
          <w:tcPr>
            <w:tcW w:w="2268" w:type="dxa"/>
          </w:tcPr>
          <w:p w14:paraId="28053BEA" w14:textId="77777777" w:rsidR="00380BE7" w:rsidRPr="00256982" w:rsidRDefault="00380BE7" w:rsidP="000B7C81">
            <w:pPr>
              <w:pStyle w:val="TableText"/>
              <w:spacing w:before="50" w:after="50"/>
              <w:rPr>
                <w:rFonts w:cs="Arial"/>
                <w:szCs w:val="16"/>
              </w:rPr>
            </w:pPr>
            <w:r w:rsidRPr="00256982">
              <w:rPr>
                <w:rFonts w:cs="Arial"/>
                <w:szCs w:val="16"/>
              </w:rPr>
              <w:t>High producing</w:t>
            </w:r>
          </w:p>
        </w:tc>
        <w:tc>
          <w:tcPr>
            <w:tcW w:w="1985" w:type="dxa"/>
          </w:tcPr>
          <w:p w14:paraId="6BD83847" w14:textId="77777777" w:rsidR="00380BE7" w:rsidRPr="00256982" w:rsidRDefault="00380BE7" w:rsidP="000B7C81">
            <w:pPr>
              <w:pStyle w:val="TableText"/>
              <w:spacing w:before="50" w:after="50"/>
              <w:jc w:val="right"/>
              <w:rPr>
                <w:rFonts w:cs="Arial"/>
                <w:szCs w:val="16"/>
              </w:rPr>
            </w:pPr>
            <w:r w:rsidRPr="00256982">
              <w:t>6,864.4</w:t>
            </w:r>
          </w:p>
        </w:tc>
        <w:tc>
          <w:tcPr>
            <w:tcW w:w="2466" w:type="dxa"/>
          </w:tcPr>
          <w:p w14:paraId="60F3E571" w14:textId="77777777" w:rsidR="00380BE7" w:rsidRPr="00256982" w:rsidRDefault="00380BE7" w:rsidP="000B7C81">
            <w:pPr>
              <w:pStyle w:val="TableText"/>
              <w:spacing w:before="50" w:after="50"/>
              <w:jc w:val="right"/>
              <w:rPr>
                <w:rFonts w:cs="Arial"/>
                <w:szCs w:val="16"/>
              </w:rPr>
            </w:pPr>
            <w:r w:rsidRPr="00256982">
              <w:t>25.5</w:t>
            </w:r>
          </w:p>
        </w:tc>
      </w:tr>
      <w:tr w:rsidR="00380BE7" w:rsidRPr="00256982" w14:paraId="4790B53B" w14:textId="77777777" w:rsidTr="000B7C81">
        <w:tc>
          <w:tcPr>
            <w:tcW w:w="1843" w:type="dxa"/>
          </w:tcPr>
          <w:p w14:paraId="6BECE9BD" w14:textId="77777777" w:rsidR="00380BE7" w:rsidRPr="00256982" w:rsidRDefault="00380BE7" w:rsidP="000B7C81">
            <w:pPr>
              <w:pStyle w:val="TableText"/>
              <w:spacing w:before="50" w:after="50"/>
              <w:rPr>
                <w:rFonts w:cs="Arial"/>
                <w:szCs w:val="16"/>
              </w:rPr>
            </w:pPr>
          </w:p>
        </w:tc>
        <w:tc>
          <w:tcPr>
            <w:tcW w:w="2268" w:type="dxa"/>
          </w:tcPr>
          <w:p w14:paraId="7ACFE653" w14:textId="77777777" w:rsidR="00380BE7" w:rsidRPr="00256982" w:rsidRDefault="00380BE7" w:rsidP="000B7C81">
            <w:pPr>
              <w:pStyle w:val="TableText"/>
              <w:spacing w:before="50" w:after="50"/>
              <w:rPr>
                <w:rFonts w:cs="Arial"/>
                <w:szCs w:val="16"/>
              </w:rPr>
            </w:pPr>
            <w:r w:rsidRPr="00256982">
              <w:rPr>
                <w:rFonts w:cs="Arial"/>
                <w:szCs w:val="16"/>
              </w:rPr>
              <w:t>Low producing</w:t>
            </w:r>
          </w:p>
        </w:tc>
        <w:tc>
          <w:tcPr>
            <w:tcW w:w="1985" w:type="dxa"/>
          </w:tcPr>
          <w:p w14:paraId="14C4094C" w14:textId="77777777" w:rsidR="00380BE7" w:rsidRPr="00256982" w:rsidRDefault="00380BE7" w:rsidP="000B7C81">
            <w:pPr>
              <w:pStyle w:val="TableText"/>
              <w:spacing w:before="50" w:after="50"/>
              <w:jc w:val="right"/>
              <w:rPr>
                <w:rFonts w:cs="Arial"/>
                <w:szCs w:val="16"/>
              </w:rPr>
            </w:pPr>
            <w:r w:rsidRPr="00256982">
              <w:t>6,423.9</w:t>
            </w:r>
          </w:p>
        </w:tc>
        <w:tc>
          <w:tcPr>
            <w:tcW w:w="2466" w:type="dxa"/>
          </w:tcPr>
          <w:p w14:paraId="3FA567ED" w14:textId="77777777" w:rsidR="00380BE7" w:rsidRPr="00256982" w:rsidRDefault="00380BE7" w:rsidP="000B7C81">
            <w:pPr>
              <w:pStyle w:val="TableText"/>
              <w:spacing w:before="50" w:after="50"/>
              <w:jc w:val="right"/>
              <w:rPr>
                <w:rFonts w:cs="Arial"/>
                <w:szCs w:val="16"/>
              </w:rPr>
            </w:pPr>
            <w:r w:rsidRPr="00256982">
              <w:t>23.9</w:t>
            </w:r>
          </w:p>
        </w:tc>
      </w:tr>
      <w:tr w:rsidR="00380BE7" w:rsidRPr="00256982" w14:paraId="14077ECD" w14:textId="77777777" w:rsidTr="000B7C81">
        <w:tc>
          <w:tcPr>
            <w:tcW w:w="1843" w:type="dxa"/>
          </w:tcPr>
          <w:p w14:paraId="158572E0" w14:textId="77777777" w:rsidR="00380BE7" w:rsidRPr="00256982" w:rsidRDefault="00380BE7" w:rsidP="000B7C81">
            <w:pPr>
              <w:pStyle w:val="TableText"/>
              <w:spacing w:before="50" w:after="50"/>
              <w:rPr>
                <w:rFonts w:cs="Arial"/>
                <w:szCs w:val="16"/>
              </w:rPr>
            </w:pPr>
          </w:p>
        </w:tc>
        <w:tc>
          <w:tcPr>
            <w:tcW w:w="2268" w:type="dxa"/>
          </w:tcPr>
          <w:p w14:paraId="3B94B811" w14:textId="77777777" w:rsidR="00380BE7" w:rsidRPr="00256982" w:rsidRDefault="00380BE7" w:rsidP="000B7C81">
            <w:pPr>
              <w:pStyle w:val="TableText"/>
              <w:spacing w:before="50" w:after="50"/>
              <w:rPr>
                <w:rFonts w:cs="Arial"/>
                <w:szCs w:val="16"/>
              </w:rPr>
            </w:pPr>
            <w:r w:rsidRPr="00256982">
              <w:rPr>
                <w:rFonts w:cs="Arial"/>
                <w:szCs w:val="16"/>
              </w:rPr>
              <w:t>With woody biomass</w:t>
            </w:r>
          </w:p>
        </w:tc>
        <w:tc>
          <w:tcPr>
            <w:tcW w:w="1985" w:type="dxa"/>
          </w:tcPr>
          <w:p w14:paraId="536642F6" w14:textId="77777777" w:rsidR="00380BE7" w:rsidRPr="00256982" w:rsidRDefault="00380BE7" w:rsidP="000B7C81">
            <w:pPr>
              <w:pStyle w:val="TableText"/>
              <w:spacing w:before="50" w:after="50"/>
              <w:jc w:val="right"/>
              <w:rPr>
                <w:rFonts w:cs="Arial"/>
                <w:szCs w:val="16"/>
              </w:rPr>
            </w:pPr>
            <w:r w:rsidRPr="00256982">
              <w:t>1,395.8</w:t>
            </w:r>
          </w:p>
        </w:tc>
        <w:tc>
          <w:tcPr>
            <w:tcW w:w="2466" w:type="dxa"/>
          </w:tcPr>
          <w:p w14:paraId="1523A898" w14:textId="77777777" w:rsidR="00380BE7" w:rsidRPr="00256982" w:rsidRDefault="00380BE7" w:rsidP="000B7C81">
            <w:pPr>
              <w:pStyle w:val="TableText"/>
              <w:spacing w:before="50" w:after="50"/>
              <w:jc w:val="right"/>
              <w:rPr>
                <w:rFonts w:cs="Arial"/>
                <w:szCs w:val="16"/>
              </w:rPr>
            </w:pPr>
            <w:r w:rsidRPr="00256982">
              <w:t>5.2</w:t>
            </w:r>
          </w:p>
        </w:tc>
      </w:tr>
      <w:tr w:rsidR="00380BE7" w:rsidRPr="00256982" w14:paraId="2CC77E8D" w14:textId="77777777" w:rsidTr="000B7C81">
        <w:tc>
          <w:tcPr>
            <w:tcW w:w="1843" w:type="dxa"/>
          </w:tcPr>
          <w:p w14:paraId="7E983F0F" w14:textId="77777777" w:rsidR="00380BE7" w:rsidRPr="00256982" w:rsidRDefault="00380BE7" w:rsidP="000B7C81">
            <w:pPr>
              <w:pStyle w:val="TableText"/>
              <w:spacing w:before="50" w:after="50"/>
              <w:rPr>
                <w:rFonts w:cs="Arial"/>
                <w:szCs w:val="16"/>
              </w:rPr>
            </w:pPr>
          </w:p>
        </w:tc>
        <w:tc>
          <w:tcPr>
            <w:tcW w:w="2268" w:type="dxa"/>
          </w:tcPr>
          <w:p w14:paraId="31B81252" w14:textId="77777777" w:rsidR="00380BE7" w:rsidRPr="00256982" w:rsidRDefault="00380BE7" w:rsidP="000B7C81">
            <w:pPr>
              <w:pStyle w:val="TableText"/>
              <w:spacing w:before="50" w:after="50"/>
              <w:rPr>
                <w:rFonts w:cs="Arial"/>
                <w:i/>
                <w:szCs w:val="16"/>
              </w:rPr>
            </w:pPr>
            <w:r w:rsidRPr="00256982">
              <w:rPr>
                <w:rFonts w:cs="Arial"/>
                <w:i/>
                <w:szCs w:val="16"/>
              </w:rPr>
              <w:t>Subtotal</w:t>
            </w:r>
          </w:p>
        </w:tc>
        <w:tc>
          <w:tcPr>
            <w:tcW w:w="1985" w:type="dxa"/>
          </w:tcPr>
          <w:p w14:paraId="7DA38E9B" w14:textId="77777777" w:rsidR="00380BE7" w:rsidRPr="00256982" w:rsidRDefault="00380BE7" w:rsidP="000B7C81">
            <w:pPr>
              <w:pStyle w:val="TableText"/>
              <w:spacing w:before="50" w:after="50"/>
              <w:jc w:val="right"/>
              <w:rPr>
                <w:rFonts w:cs="Arial"/>
                <w:i/>
                <w:szCs w:val="16"/>
              </w:rPr>
            </w:pPr>
            <w:r w:rsidRPr="00256982">
              <w:rPr>
                <w:i/>
              </w:rPr>
              <w:t>14,684.2</w:t>
            </w:r>
          </w:p>
        </w:tc>
        <w:tc>
          <w:tcPr>
            <w:tcW w:w="2466" w:type="dxa"/>
          </w:tcPr>
          <w:p w14:paraId="06A2C0B4" w14:textId="77777777" w:rsidR="00380BE7" w:rsidRPr="00256982" w:rsidRDefault="00380BE7" w:rsidP="000B7C81">
            <w:pPr>
              <w:pStyle w:val="TableText"/>
              <w:spacing w:before="50" w:after="50"/>
              <w:jc w:val="right"/>
              <w:rPr>
                <w:rFonts w:cs="Arial"/>
                <w:i/>
                <w:szCs w:val="16"/>
              </w:rPr>
            </w:pPr>
            <w:r w:rsidRPr="00256982">
              <w:rPr>
                <w:i/>
              </w:rPr>
              <w:t>54.5</w:t>
            </w:r>
          </w:p>
        </w:tc>
      </w:tr>
      <w:tr w:rsidR="00380BE7" w:rsidRPr="00256982" w14:paraId="4F61BE35" w14:textId="77777777" w:rsidTr="000B7C81">
        <w:tc>
          <w:tcPr>
            <w:tcW w:w="1843" w:type="dxa"/>
          </w:tcPr>
          <w:p w14:paraId="7C4EB3CC" w14:textId="77777777" w:rsidR="00380BE7" w:rsidRPr="00256982" w:rsidRDefault="00380BE7" w:rsidP="000B7C81">
            <w:pPr>
              <w:pStyle w:val="TableText"/>
              <w:spacing w:before="50" w:after="50"/>
              <w:rPr>
                <w:rFonts w:cs="Arial"/>
                <w:szCs w:val="16"/>
              </w:rPr>
            </w:pPr>
            <w:r w:rsidRPr="00256982">
              <w:rPr>
                <w:rFonts w:cs="Arial"/>
                <w:szCs w:val="16"/>
              </w:rPr>
              <w:t>Wetlands</w:t>
            </w:r>
          </w:p>
        </w:tc>
        <w:tc>
          <w:tcPr>
            <w:tcW w:w="2268" w:type="dxa"/>
          </w:tcPr>
          <w:p w14:paraId="72548B5F" w14:textId="77777777" w:rsidR="00380BE7" w:rsidRPr="00256982" w:rsidRDefault="00380BE7" w:rsidP="000B7C81">
            <w:pPr>
              <w:pStyle w:val="TableText"/>
              <w:spacing w:before="50" w:after="50"/>
              <w:rPr>
                <w:rFonts w:cs="Arial"/>
                <w:szCs w:val="16"/>
              </w:rPr>
            </w:pPr>
            <w:r w:rsidRPr="00256982">
              <w:rPr>
                <w:rFonts w:cs="Arial"/>
                <w:szCs w:val="16"/>
              </w:rPr>
              <w:t>Open water</w:t>
            </w:r>
          </w:p>
        </w:tc>
        <w:tc>
          <w:tcPr>
            <w:tcW w:w="1985" w:type="dxa"/>
          </w:tcPr>
          <w:p w14:paraId="3073BBDD" w14:textId="77777777" w:rsidR="00380BE7" w:rsidRPr="00256982" w:rsidRDefault="00380BE7" w:rsidP="000B7C81">
            <w:pPr>
              <w:pStyle w:val="TableText"/>
              <w:spacing w:before="50" w:after="50"/>
              <w:jc w:val="right"/>
              <w:rPr>
                <w:rFonts w:cs="Arial"/>
                <w:szCs w:val="16"/>
              </w:rPr>
            </w:pPr>
            <w:r w:rsidRPr="00256982">
              <w:t>534.6</w:t>
            </w:r>
          </w:p>
        </w:tc>
        <w:tc>
          <w:tcPr>
            <w:tcW w:w="2466" w:type="dxa"/>
          </w:tcPr>
          <w:p w14:paraId="62FAECF7" w14:textId="77777777" w:rsidR="00380BE7" w:rsidRPr="00256982" w:rsidRDefault="00380BE7" w:rsidP="000B7C81">
            <w:pPr>
              <w:pStyle w:val="TableText"/>
              <w:spacing w:before="50" w:after="50"/>
              <w:jc w:val="right"/>
              <w:rPr>
                <w:rFonts w:cs="Arial"/>
                <w:szCs w:val="16"/>
              </w:rPr>
            </w:pPr>
            <w:r w:rsidRPr="00256982">
              <w:t>2.0</w:t>
            </w:r>
          </w:p>
        </w:tc>
      </w:tr>
      <w:tr w:rsidR="00380BE7" w:rsidRPr="00256982" w14:paraId="229CFA34" w14:textId="77777777" w:rsidTr="000B7C81">
        <w:tc>
          <w:tcPr>
            <w:tcW w:w="1843" w:type="dxa"/>
          </w:tcPr>
          <w:p w14:paraId="73CAE878" w14:textId="77777777" w:rsidR="00380BE7" w:rsidRPr="00256982" w:rsidRDefault="00380BE7" w:rsidP="000B7C81">
            <w:pPr>
              <w:pStyle w:val="TableText"/>
              <w:spacing w:before="50" w:after="50"/>
              <w:rPr>
                <w:rFonts w:cs="Arial"/>
                <w:szCs w:val="16"/>
              </w:rPr>
            </w:pPr>
          </w:p>
        </w:tc>
        <w:tc>
          <w:tcPr>
            <w:tcW w:w="2268" w:type="dxa"/>
          </w:tcPr>
          <w:p w14:paraId="4A452F0A" w14:textId="77777777" w:rsidR="00380BE7" w:rsidRPr="00256982" w:rsidRDefault="00380BE7" w:rsidP="000B7C81">
            <w:pPr>
              <w:pStyle w:val="TableText"/>
              <w:spacing w:before="50" w:after="50"/>
              <w:rPr>
                <w:rFonts w:cs="Arial"/>
                <w:szCs w:val="16"/>
              </w:rPr>
            </w:pPr>
            <w:r w:rsidRPr="00256982">
              <w:rPr>
                <w:rFonts w:cs="Arial"/>
                <w:szCs w:val="16"/>
              </w:rPr>
              <w:t>Vegetated</w:t>
            </w:r>
          </w:p>
        </w:tc>
        <w:tc>
          <w:tcPr>
            <w:tcW w:w="1985" w:type="dxa"/>
          </w:tcPr>
          <w:p w14:paraId="5B2A7EC1" w14:textId="77777777" w:rsidR="00380BE7" w:rsidRPr="00256982" w:rsidRDefault="00380BE7" w:rsidP="000B7C81">
            <w:pPr>
              <w:pStyle w:val="TableText"/>
              <w:spacing w:before="50" w:after="50"/>
              <w:jc w:val="right"/>
              <w:rPr>
                <w:rFonts w:cs="Arial"/>
                <w:color w:val="000000"/>
                <w:szCs w:val="16"/>
              </w:rPr>
            </w:pPr>
            <w:r w:rsidRPr="00256982">
              <w:t>174.7</w:t>
            </w:r>
          </w:p>
        </w:tc>
        <w:tc>
          <w:tcPr>
            <w:tcW w:w="2466" w:type="dxa"/>
          </w:tcPr>
          <w:p w14:paraId="084D9014" w14:textId="77777777" w:rsidR="00380BE7" w:rsidRPr="00256982" w:rsidRDefault="00380BE7" w:rsidP="000B7C81">
            <w:pPr>
              <w:pStyle w:val="TableText"/>
              <w:spacing w:before="50" w:after="50"/>
              <w:jc w:val="right"/>
              <w:rPr>
                <w:rFonts w:cs="Arial"/>
                <w:szCs w:val="16"/>
              </w:rPr>
            </w:pPr>
            <w:r w:rsidRPr="00256982">
              <w:t>0.6</w:t>
            </w:r>
          </w:p>
        </w:tc>
      </w:tr>
      <w:tr w:rsidR="00380BE7" w:rsidRPr="00256982" w14:paraId="029BA577" w14:textId="77777777" w:rsidTr="000B7C81">
        <w:tc>
          <w:tcPr>
            <w:tcW w:w="1843" w:type="dxa"/>
          </w:tcPr>
          <w:p w14:paraId="7B37536F" w14:textId="77777777" w:rsidR="00380BE7" w:rsidRPr="00256982" w:rsidRDefault="00380BE7" w:rsidP="000B7C81">
            <w:pPr>
              <w:pStyle w:val="TableText"/>
              <w:spacing w:before="50" w:after="50"/>
              <w:rPr>
                <w:rFonts w:cs="Arial"/>
                <w:szCs w:val="16"/>
              </w:rPr>
            </w:pPr>
          </w:p>
        </w:tc>
        <w:tc>
          <w:tcPr>
            <w:tcW w:w="2268" w:type="dxa"/>
          </w:tcPr>
          <w:p w14:paraId="1488D285" w14:textId="77777777" w:rsidR="00380BE7" w:rsidRPr="00256982" w:rsidRDefault="00380BE7" w:rsidP="000B7C81">
            <w:pPr>
              <w:pStyle w:val="TableText"/>
              <w:spacing w:before="50" w:after="50"/>
              <w:rPr>
                <w:rFonts w:cs="Arial"/>
                <w:i/>
                <w:szCs w:val="16"/>
              </w:rPr>
            </w:pPr>
            <w:r w:rsidRPr="00256982">
              <w:rPr>
                <w:rFonts w:cs="Arial"/>
                <w:i/>
                <w:szCs w:val="16"/>
              </w:rPr>
              <w:t>Subtotal</w:t>
            </w:r>
          </w:p>
        </w:tc>
        <w:tc>
          <w:tcPr>
            <w:tcW w:w="1985" w:type="dxa"/>
          </w:tcPr>
          <w:p w14:paraId="60010245" w14:textId="77777777" w:rsidR="00380BE7" w:rsidRPr="00256982" w:rsidRDefault="00380BE7" w:rsidP="000B7C81">
            <w:pPr>
              <w:pStyle w:val="TableText"/>
              <w:spacing w:before="50" w:after="50"/>
              <w:jc w:val="right"/>
              <w:rPr>
                <w:rFonts w:cs="Arial"/>
                <w:i/>
                <w:color w:val="000000"/>
                <w:szCs w:val="16"/>
              </w:rPr>
            </w:pPr>
            <w:r w:rsidRPr="00256982">
              <w:rPr>
                <w:i/>
              </w:rPr>
              <w:t>709.2</w:t>
            </w:r>
          </w:p>
        </w:tc>
        <w:tc>
          <w:tcPr>
            <w:tcW w:w="2466" w:type="dxa"/>
          </w:tcPr>
          <w:p w14:paraId="21C0F59F" w14:textId="77777777" w:rsidR="00380BE7" w:rsidRPr="00256982" w:rsidRDefault="00380BE7" w:rsidP="000B7C81">
            <w:pPr>
              <w:pStyle w:val="TableText"/>
              <w:spacing w:before="50" w:after="50"/>
              <w:jc w:val="right"/>
              <w:rPr>
                <w:rFonts w:cs="Arial"/>
                <w:i/>
                <w:szCs w:val="16"/>
              </w:rPr>
            </w:pPr>
            <w:r w:rsidRPr="00256982">
              <w:rPr>
                <w:i/>
              </w:rPr>
              <w:t>2.6</w:t>
            </w:r>
          </w:p>
        </w:tc>
      </w:tr>
      <w:tr w:rsidR="00380BE7" w:rsidRPr="00256982" w14:paraId="2016CB6D" w14:textId="77777777" w:rsidTr="000B7C81">
        <w:tc>
          <w:tcPr>
            <w:tcW w:w="1843" w:type="dxa"/>
          </w:tcPr>
          <w:p w14:paraId="28276B66" w14:textId="77777777" w:rsidR="00380BE7" w:rsidRPr="00256982" w:rsidRDefault="00380BE7" w:rsidP="000B7C81">
            <w:pPr>
              <w:pStyle w:val="TableText"/>
              <w:spacing w:before="50" w:after="50"/>
              <w:rPr>
                <w:rFonts w:cs="Arial"/>
                <w:szCs w:val="16"/>
              </w:rPr>
            </w:pPr>
            <w:r w:rsidRPr="00256982">
              <w:rPr>
                <w:rFonts w:cs="Arial"/>
                <w:szCs w:val="16"/>
              </w:rPr>
              <w:t>Settlements</w:t>
            </w:r>
          </w:p>
        </w:tc>
        <w:tc>
          <w:tcPr>
            <w:tcW w:w="2268" w:type="dxa"/>
          </w:tcPr>
          <w:p w14:paraId="0B4FDF22" w14:textId="77777777" w:rsidR="00380BE7" w:rsidRPr="00256982" w:rsidRDefault="00380BE7" w:rsidP="000B7C81">
            <w:pPr>
              <w:pStyle w:val="TableText"/>
              <w:spacing w:before="50" w:after="50"/>
              <w:rPr>
                <w:rFonts w:cs="Arial"/>
                <w:szCs w:val="16"/>
              </w:rPr>
            </w:pPr>
          </w:p>
        </w:tc>
        <w:tc>
          <w:tcPr>
            <w:tcW w:w="1985" w:type="dxa"/>
          </w:tcPr>
          <w:p w14:paraId="122FD2E0" w14:textId="77777777" w:rsidR="00380BE7" w:rsidRPr="00256982" w:rsidRDefault="00380BE7" w:rsidP="000B7C81">
            <w:pPr>
              <w:pStyle w:val="TableText"/>
              <w:spacing w:before="50" w:after="50"/>
              <w:jc w:val="right"/>
              <w:rPr>
                <w:rFonts w:cs="Arial"/>
                <w:szCs w:val="16"/>
              </w:rPr>
            </w:pPr>
            <w:r w:rsidRPr="00256982">
              <w:t>235.4</w:t>
            </w:r>
          </w:p>
        </w:tc>
        <w:tc>
          <w:tcPr>
            <w:tcW w:w="2466" w:type="dxa"/>
          </w:tcPr>
          <w:p w14:paraId="4FB9A5B4" w14:textId="77777777" w:rsidR="00380BE7" w:rsidRPr="00256982" w:rsidRDefault="00380BE7" w:rsidP="000B7C81">
            <w:pPr>
              <w:pStyle w:val="TableText"/>
              <w:spacing w:before="50" w:after="50"/>
              <w:jc w:val="right"/>
              <w:rPr>
                <w:rFonts w:cs="Arial"/>
                <w:szCs w:val="16"/>
              </w:rPr>
            </w:pPr>
            <w:r w:rsidRPr="00256982">
              <w:t>0.9</w:t>
            </w:r>
          </w:p>
        </w:tc>
      </w:tr>
      <w:tr w:rsidR="00380BE7" w:rsidRPr="00256982" w14:paraId="4BFE0AB8" w14:textId="77777777" w:rsidTr="000B7C81">
        <w:tc>
          <w:tcPr>
            <w:tcW w:w="1843" w:type="dxa"/>
          </w:tcPr>
          <w:p w14:paraId="2586D0B1" w14:textId="77777777" w:rsidR="00380BE7" w:rsidRPr="00256982" w:rsidRDefault="00380BE7" w:rsidP="000B7C81">
            <w:pPr>
              <w:pStyle w:val="TableText"/>
              <w:spacing w:before="50" w:after="50"/>
              <w:rPr>
                <w:rFonts w:cs="Arial"/>
                <w:szCs w:val="16"/>
              </w:rPr>
            </w:pPr>
            <w:r w:rsidRPr="00256982">
              <w:rPr>
                <w:rFonts w:cs="Arial"/>
                <w:szCs w:val="16"/>
              </w:rPr>
              <w:t>Other land</w:t>
            </w:r>
          </w:p>
        </w:tc>
        <w:tc>
          <w:tcPr>
            <w:tcW w:w="2268" w:type="dxa"/>
          </w:tcPr>
          <w:p w14:paraId="4000E3B4" w14:textId="77777777" w:rsidR="00380BE7" w:rsidRPr="00256982" w:rsidRDefault="00380BE7" w:rsidP="000B7C81">
            <w:pPr>
              <w:pStyle w:val="TableText"/>
              <w:spacing w:before="50" w:after="50"/>
              <w:rPr>
                <w:rFonts w:cs="Arial"/>
                <w:szCs w:val="16"/>
              </w:rPr>
            </w:pPr>
          </w:p>
        </w:tc>
        <w:tc>
          <w:tcPr>
            <w:tcW w:w="1985" w:type="dxa"/>
          </w:tcPr>
          <w:p w14:paraId="7D2C3C37" w14:textId="77777777" w:rsidR="00380BE7" w:rsidRPr="00256982" w:rsidRDefault="00380BE7" w:rsidP="000B7C81">
            <w:pPr>
              <w:pStyle w:val="TableText"/>
              <w:spacing w:before="50" w:after="50"/>
              <w:jc w:val="right"/>
              <w:rPr>
                <w:rFonts w:cs="Arial"/>
                <w:szCs w:val="16"/>
              </w:rPr>
            </w:pPr>
            <w:r w:rsidRPr="00256982">
              <w:t>896.8</w:t>
            </w:r>
          </w:p>
        </w:tc>
        <w:tc>
          <w:tcPr>
            <w:tcW w:w="2466" w:type="dxa"/>
          </w:tcPr>
          <w:p w14:paraId="250F034B" w14:textId="77777777" w:rsidR="00380BE7" w:rsidRPr="00256982" w:rsidRDefault="00380BE7" w:rsidP="000B7C81">
            <w:pPr>
              <w:pStyle w:val="TableText"/>
              <w:spacing w:before="50" w:after="50"/>
              <w:jc w:val="right"/>
              <w:rPr>
                <w:rFonts w:cs="Arial"/>
                <w:szCs w:val="16"/>
              </w:rPr>
            </w:pPr>
            <w:r w:rsidRPr="00256982">
              <w:t>3.3</w:t>
            </w:r>
          </w:p>
        </w:tc>
      </w:tr>
      <w:tr w:rsidR="00380BE7" w:rsidRPr="00256982" w14:paraId="3C33D56C" w14:textId="77777777" w:rsidTr="000B7C81">
        <w:tc>
          <w:tcPr>
            <w:tcW w:w="1843" w:type="dxa"/>
          </w:tcPr>
          <w:p w14:paraId="6BEE10B4" w14:textId="77777777" w:rsidR="00380BE7" w:rsidRPr="00256982" w:rsidRDefault="00380BE7" w:rsidP="000B7C81">
            <w:pPr>
              <w:pStyle w:val="Tableboldblue"/>
              <w:spacing w:before="50" w:after="50"/>
              <w:rPr>
                <w:rFonts w:cs="Arial"/>
                <w:szCs w:val="16"/>
              </w:rPr>
            </w:pPr>
            <w:r w:rsidRPr="00256982">
              <w:rPr>
                <w:rFonts w:cs="Arial"/>
                <w:szCs w:val="16"/>
              </w:rPr>
              <w:t>Total</w:t>
            </w:r>
          </w:p>
        </w:tc>
        <w:tc>
          <w:tcPr>
            <w:tcW w:w="2268" w:type="dxa"/>
          </w:tcPr>
          <w:p w14:paraId="2703BDC2" w14:textId="77777777" w:rsidR="00380BE7" w:rsidRPr="00256982" w:rsidRDefault="00380BE7" w:rsidP="000B7C81">
            <w:pPr>
              <w:pStyle w:val="Tableboldblue"/>
              <w:spacing w:before="50" w:after="50"/>
              <w:jc w:val="right"/>
              <w:rPr>
                <w:rFonts w:cs="Arial"/>
                <w:szCs w:val="16"/>
              </w:rPr>
            </w:pPr>
          </w:p>
        </w:tc>
        <w:tc>
          <w:tcPr>
            <w:tcW w:w="1985" w:type="dxa"/>
          </w:tcPr>
          <w:p w14:paraId="55937266" w14:textId="77777777" w:rsidR="00380BE7" w:rsidRPr="00256982" w:rsidRDefault="00380BE7" w:rsidP="000B7C81">
            <w:pPr>
              <w:pStyle w:val="Tableboldblue"/>
              <w:spacing w:before="50" w:after="50"/>
              <w:jc w:val="right"/>
              <w:rPr>
                <w:rFonts w:cs="Arial"/>
                <w:szCs w:val="16"/>
              </w:rPr>
            </w:pPr>
            <w:r w:rsidRPr="00256982">
              <w:t>26,925.2</w:t>
            </w:r>
          </w:p>
        </w:tc>
        <w:tc>
          <w:tcPr>
            <w:tcW w:w="2466" w:type="dxa"/>
          </w:tcPr>
          <w:p w14:paraId="1498925E" w14:textId="77777777" w:rsidR="00380BE7" w:rsidRPr="00256982" w:rsidRDefault="00380BE7" w:rsidP="000B7C81">
            <w:pPr>
              <w:pStyle w:val="Tableboldblue"/>
              <w:spacing w:before="50" w:after="50"/>
              <w:jc w:val="right"/>
              <w:rPr>
                <w:rFonts w:cs="Arial"/>
                <w:szCs w:val="16"/>
              </w:rPr>
            </w:pPr>
            <w:r w:rsidRPr="00256982">
              <w:t>100.0</w:t>
            </w:r>
          </w:p>
        </w:tc>
      </w:tr>
    </w:tbl>
    <w:p w14:paraId="2B8F6FB2" w14:textId="77777777" w:rsidR="00380BE7" w:rsidRPr="00256982" w:rsidRDefault="00380BE7" w:rsidP="000B7C81">
      <w:pPr>
        <w:pStyle w:val="Noteundertable"/>
        <w:spacing w:after="80"/>
      </w:pPr>
      <w:r w:rsidRPr="00256982">
        <w:rPr>
          <w:b/>
        </w:rPr>
        <w:t>Note:</w:t>
      </w:r>
      <w:r w:rsidRPr="00256982">
        <w:tab/>
        <w:t>Areas as at 31 December 2017. This includes deforestation of post-1989 forest since 1990. Columns may not total due to rounding. Percentages presented are calculated from unrounded values.</w:t>
      </w:r>
    </w:p>
    <w:p w14:paraId="38BCC2E0" w14:textId="77777777" w:rsidR="00380BE7" w:rsidRPr="00256982" w:rsidRDefault="00380BE7" w:rsidP="00380BE7">
      <w:pPr>
        <w:pStyle w:val="BodyText"/>
      </w:pPr>
      <w:r w:rsidRPr="00256982">
        <w:t>Forestry and agriculture industries form the core of New Zealand’s economy and are the main determinants of New Zealand’s LULUCF emissions profile. Intensive forest management combined with a temperate climate, fertile soils and high rainfall means New Zealand has one of the highest rates of exotic forest growth among Annex I countries.</w:t>
      </w:r>
    </w:p>
    <w:p w14:paraId="3C8CE298" w14:textId="77777777" w:rsidR="00380BE7" w:rsidRPr="00256982" w:rsidRDefault="00380BE7" w:rsidP="00380BE7">
      <w:pPr>
        <w:pStyle w:val="BodyText"/>
      </w:pPr>
      <w:r w:rsidRPr="00256982">
        <w:t>New Zealand’s exotic forest plantation estate is intensively managed for production forestry, with rapid-growing genotypes selected and enhanced for optimum growth. In 2017, plantation forests covered approximately 2.1 million hectares – around 7.7 per cent of New Zealand’s total land area. This also includes areas not managed for timber supply, for instance, areas planted for erosion control.</w:t>
      </w:r>
    </w:p>
    <w:p w14:paraId="03DDA52F" w14:textId="77777777" w:rsidR="00380BE7" w:rsidRPr="00256982" w:rsidRDefault="00380BE7" w:rsidP="00380BE7">
      <w:pPr>
        <w:pStyle w:val="BodyText"/>
      </w:pPr>
      <w:r w:rsidRPr="00256982">
        <w:t>The terms ‘post-1989’ and ‘pre-1990’ are used throughout this inventory to distinguish between forests that existed at 1990 and those that did not. The terms ‘natural’ and ‘planted’ forest are used to distinguish between the different species compositions of the forests.</w:t>
      </w:r>
    </w:p>
    <w:p w14:paraId="6916A5E2" w14:textId="77777777" w:rsidR="00380BE7" w:rsidRPr="00256982" w:rsidRDefault="00380BE7" w:rsidP="000B7C81">
      <w:pPr>
        <w:pStyle w:val="Heading3"/>
      </w:pPr>
      <w:r w:rsidRPr="00256982">
        <w:t>6.1.2</w:t>
      </w:r>
      <w:r w:rsidRPr="00256982">
        <w:tab/>
        <w:t>Methodological issues for the LULUCF sector</w:t>
      </w:r>
    </w:p>
    <w:p w14:paraId="24E6B694" w14:textId="77777777" w:rsidR="00380BE7" w:rsidRPr="00256982" w:rsidRDefault="00380BE7" w:rsidP="000B7C81">
      <w:pPr>
        <w:pStyle w:val="BodyText"/>
        <w:spacing w:before="100" w:after="100"/>
      </w:pPr>
      <w:r w:rsidRPr="00256982">
        <w:t xml:space="preserve">New Zealand uses a combination of Tier 1, Tier 2 and Tier 3 methods for estimating emissions for the LULUCF sector. A Tier 1 approach has been used to estimate carbon stock change in the four biomass pools (above-ground and below-ground biomass, dead wood and litter) for all land uses except </w:t>
      </w:r>
      <w:r w:rsidRPr="00256982">
        <w:rPr>
          <w:i/>
        </w:rPr>
        <w:t>Forest land</w:t>
      </w:r>
      <w:r w:rsidRPr="00256982">
        <w:t>, perennial cropland and grassland with woody biomass, which use Tier 2 or Tier 3 approaches.</w:t>
      </w:r>
    </w:p>
    <w:p w14:paraId="41F71FAF" w14:textId="7AD0FD26" w:rsidR="00380BE7" w:rsidRPr="00256982" w:rsidRDefault="00380BE7" w:rsidP="000B7C81">
      <w:pPr>
        <w:pStyle w:val="BodyText"/>
        <w:spacing w:before="100" w:after="100"/>
        <w:rPr>
          <w:spacing w:val="-2"/>
        </w:rPr>
      </w:pPr>
      <w:r w:rsidRPr="00256982">
        <w:rPr>
          <w:spacing w:val="-2"/>
        </w:rPr>
        <w:t>For all land uses, Tier 1 approaches are used to estimate carbon stock changes in organic soils, and a Tier 2 modelling approach is applied to estimate soil organic carbon changes from mineral</w:t>
      </w:r>
      <w:r w:rsidR="006644A4" w:rsidRPr="00256982">
        <w:rPr>
          <w:spacing w:val="-2"/>
        </w:rPr>
        <w:t xml:space="preserve"> </w:t>
      </w:r>
      <w:r w:rsidRPr="00256982">
        <w:rPr>
          <w:spacing w:val="-2"/>
        </w:rPr>
        <w:t xml:space="preserve">soils. </w:t>
      </w:r>
    </w:p>
    <w:p w14:paraId="40876733" w14:textId="77777777" w:rsidR="00380BE7" w:rsidRPr="00256982" w:rsidRDefault="00380BE7" w:rsidP="000B7C81">
      <w:pPr>
        <w:pStyle w:val="BodyText"/>
        <w:spacing w:before="100" w:after="100"/>
      </w:pPr>
      <w:r w:rsidRPr="00256982">
        <w:t xml:space="preserve">Different methods are used to obtain emission factors when estimating emissions and removals from post-1989 natural forest and post-1989 planted forest, to ensure the different growth characteristics are reflected in the estimates. These divisions are combined into a single land use of post-1989 forest when reporting emissions in the common reporting format (CRF) tables. </w:t>
      </w:r>
    </w:p>
    <w:p w14:paraId="258ED536" w14:textId="77777777" w:rsidR="00380BE7" w:rsidRPr="00256982" w:rsidRDefault="00380BE7" w:rsidP="000B7C81">
      <w:pPr>
        <w:pStyle w:val="BodyText"/>
        <w:spacing w:before="100" w:after="100"/>
      </w:pPr>
      <w:r w:rsidRPr="00256982">
        <w:t xml:space="preserve">Grassland with woody biomass consists of grassland areas where the cover of woody species is less than 30 per cent and/or does not meet, nor have the potential to meet, the New Zealand forest definition. The land classified as grassland with woody biomass is therefore diverse. To allow for this, the category is further subdivided into ‘permanent’ and ‘transitional’ types for modelling the emissions from land-use change. Separate emission factors for these two types of grassland with woody biomass are derived from the Land Use and Carbon Analysis System (LUCAS) plot network (Wakelin and Beets, unpublished). </w:t>
      </w:r>
    </w:p>
    <w:p w14:paraId="73964F9B" w14:textId="77777777" w:rsidR="00380BE7" w:rsidRPr="00256982" w:rsidRDefault="00380BE7" w:rsidP="00380BE7">
      <w:pPr>
        <w:pStyle w:val="Heading4"/>
      </w:pPr>
      <w:bookmarkStart w:id="936" w:name="_Toc280630206"/>
      <w:r w:rsidRPr="00256982">
        <w:lastRenderedPageBreak/>
        <w:t>Emission factors</w:t>
      </w:r>
      <w:bookmarkEnd w:id="936"/>
    </w:p>
    <w:p w14:paraId="6878E917" w14:textId="77777777" w:rsidR="00380BE7" w:rsidRPr="00256982" w:rsidRDefault="00380BE7" w:rsidP="00380BE7">
      <w:pPr>
        <w:pStyle w:val="BodyText"/>
      </w:pPr>
      <w:r w:rsidRPr="00256982">
        <w:t>The emission factors required to estimate carbon stock changes are provided in tables 6.1.3 and 6.1.4. Table 6.1.3 contains biomass carbon stocks in each land use prior to conversion, and table 6.1.4 contains the annual growth in biomass carbon stock after land-use change.</w:t>
      </w:r>
    </w:p>
    <w:p w14:paraId="0192F3E5" w14:textId="77777777" w:rsidR="00380BE7" w:rsidRPr="00256982" w:rsidRDefault="00380BE7" w:rsidP="00380BE7">
      <w:pPr>
        <w:pStyle w:val="Table"/>
      </w:pPr>
      <w:bookmarkStart w:id="937" w:name="_Toc280630448"/>
      <w:bookmarkStart w:id="938" w:name="_Toc310423390"/>
      <w:bookmarkStart w:id="939" w:name="_Toc318362683"/>
      <w:bookmarkStart w:id="940" w:name="_Toc342470745"/>
      <w:bookmarkStart w:id="941" w:name="_Toc352504985"/>
      <w:bookmarkStart w:id="942" w:name="_Toc378853274"/>
      <w:bookmarkStart w:id="943" w:name="_Toc391024072"/>
      <w:bookmarkStart w:id="944" w:name="_Toc410028815"/>
      <w:bookmarkStart w:id="945" w:name="_Toc414531443"/>
      <w:bookmarkStart w:id="946" w:name="_Toc443645355"/>
      <w:bookmarkStart w:id="947" w:name="_Toc474914574"/>
      <w:bookmarkStart w:id="948" w:name="_Toc481751538"/>
      <w:bookmarkStart w:id="949" w:name="_Toc522010595"/>
      <w:bookmarkStart w:id="950" w:name="_Toc5269500"/>
      <w:r w:rsidRPr="00256982">
        <w:t>Table 6.1.3</w:t>
      </w:r>
      <w:r w:rsidRPr="00256982">
        <w:tab/>
        <w:t>New Zealand’s biomass carbon stock emission factors in land use before conversion</w:t>
      </w:r>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p>
    <w:tbl>
      <w:tblPr>
        <w:tblW w:w="8562" w:type="dxa"/>
        <w:tblInd w:w="108" w:type="dxa"/>
        <w:tblLayout w:type="fixed"/>
        <w:tblLook w:val="04A0" w:firstRow="1" w:lastRow="0" w:firstColumn="1" w:lastColumn="0" w:noHBand="0" w:noVBand="1"/>
      </w:tblPr>
      <w:tblGrid>
        <w:gridCol w:w="1234"/>
        <w:gridCol w:w="1762"/>
        <w:gridCol w:w="2067"/>
        <w:gridCol w:w="1890"/>
        <w:gridCol w:w="1609"/>
      </w:tblGrid>
      <w:tr w:rsidR="00380BE7" w:rsidRPr="00256982" w14:paraId="1A853503" w14:textId="77777777" w:rsidTr="000B7C81">
        <w:trPr>
          <w:tblHeader/>
        </w:trPr>
        <w:tc>
          <w:tcPr>
            <w:tcW w:w="1227" w:type="dxa"/>
            <w:tcBorders>
              <w:top w:val="single" w:sz="4" w:space="0" w:color="365F91"/>
              <w:bottom w:val="single" w:sz="4" w:space="0" w:color="365F91"/>
            </w:tcBorders>
            <w:shd w:val="clear" w:color="auto" w:fill="365F91"/>
            <w:vAlign w:val="bottom"/>
          </w:tcPr>
          <w:p w14:paraId="7DA3582D" w14:textId="77777777" w:rsidR="00380BE7" w:rsidRPr="00256982" w:rsidRDefault="00380BE7" w:rsidP="009574E7">
            <w:pPr>
              <w:pStyle w:val="TableTextBold"/>
              <w:keepNext/>
              <w:rPr>
                <w:noProof w:val="0"/>
                <w:color w:val="FFFFFF"/>
              </w:rPr>
            </w:pPr>
            <w:r w:rsidRPr="00256982">
              <w:rPr>
                <w:noProof w:val="0"/>
                <w:color w:val="FFFFFF"/>
              </w:rPr>
              <w:t>Land use category</w:t>
            </w:r>
          </w:p>
        </w:tc>
        <w:tc>
          <w:tcPr>
            <w:tcW w:w="1750" w:type="dxa"/>
            <w:tcBorders>
              <w:top w:val="single" w:sz="4" w:space="0" w:color="365F91"/>
              <w:bottom w:val="single" w:sz="4" w:space="0" w:color="365F91"/>
            </w:tcBorders>
            <w:shd w:val="clear" w:color="auto" w:fill="365F91"/>
            <w:vAlign w:val="bottom"/>
          </w:tcPr>
          <w:p w14:paraId="7E7ABB31" w14:textId="77777777" w:rsidR="00380BE7" w:rsidRPr="00256982" w:rsidRDefault="00380BE7" w:rsidP="009574E7">
            <w:pPr>
              <w:pStyle w:val="TableTextBold"/>
              <w:keepNext/>
              <w:rPr>
                <w:noProof w:val="0"/>
                <w:color w:val="FFFFFF"/>
              </w:rPr>
            </w:pPr>
            <w:r w:rsidRPr="00256982">
              <w:rPr>
                <w:noProof w:val="0"/>
                <w:color w:val="FFFFFF"/>
              </w:rPr>
              <w:t>Land use type</w:t>
            </w:r>
          </w:p>
        </w:tc>
        <w:tc>
          <w:tcPr>
            <w:tcW w:w="2053" w:type="dxa"/>
            <w:tcBorders>
              <w:top w:val="single" w:sz="4" w:space="0" w:color="365F91"/>
              <w:bottom w:val="single" w:sz="4" w:space="0" w:color="365F91"/>
            </w:tcBorders>
            <w:shd w:val="clear" w:color="auto" w:fill="365F91"/>
            <w:vAlign w:val="bottom"/>
          </w:tcPr>
          <w:p w14:paraId="456C547D" w14:textId="77777777" w:rsidR="00380BE7" w:rsidRPr="00256982" w:rsidRDefault="00380BE7" w:rsidP="009574E7">
            <w:pPr>
              <w:pStyle w:val="TableTextBold"/>
              <w:keepNext/>
              <w:rPr>
                <w:noProof w:val="0"/>
                <w:color w:val="FFFFFF"/>
              </w:rPr>
            </w:pPr>
            <w:r w:rsidRPr="00256982">
              <w:rPr>
                <w:noProof w:val="0"/>
                <w:color w:val="FFFFFF"/>
              </w:rPr>
              <w:t>Reference carbon stock values (t C ha</w:t>
            </w:r>
            <w:r w:rsidRPr="00256982">
              <w:rPr>
                <w:noProof w:val="0"/>
                <w:color w:val="FFFFFF"/>
                <w:vertAlign w:val="superscript"/>
              </w:rPr>
              <w:t>–1</w:t>
            </w:r>
            <w:r w:rsidRPr="00256982">
              <w:rPr>
                <w:noProof w:val="0"/>
                <w:color w:val="FFFFFF"/>
              </w:rPr>
              <w:t>)</w:t>
            </w:r>
          </w:p>
        </w:tc>
        <w:tc>
          <w:tcPr>
            <w:tcW w:w="1877" w:type="dxa"/>
            <w:tcBorders>
              <w:top w:val="single" w:sz="4" w:space="0" w:color="365F91"/>
              <w:bottom w:val="single" w:sz="4" w:space="0" w:color="365F91"/>
            </w:tcBorders>
            <w:shd w:val="clear" w:color="auto" w:fill="365F91"/>
            <w:vAlign w:val="bottom"/>
          </w:tcPr>
          <w:p w14:paraId="67F22BD4" w14:textId="77777777" w:rsidR="00380BE7" w:rsidRPr="00256982" w:rsidRDefault="00380BE7" w:rsidP="009574E7">
            <w:pPr>
              <w:pStyle w:val="TableTextBold"/>
              <w:keepNext/>
              <w:rPr>
                <w:noProof w:val="0"/>
                <w:color w:val="FFFFFF"/>
              </w:rPr>
            </w:pPr>
            <w:r w:rsidRPr="00256982">
              <w:rPr>
                <w:noProof w:val="0"/>
                <w:color w:val="FFFFFF"/>
              </w:rPr>
              <w:t>Carbon pools</w:t>
            </w:r>
          </w:p>
        </w:tc>
        <w:tc>
          <w:tcPr>
            <w:tcW w:w="1598" w:type="dxa"/>
            <w:tcBorders>
              <w:top w:val="single" w:sz="4" w:space="0" w:color="365F91"/>
              <w:bottom w:val="single" w:sz="4" w:space="0" w:color="365F91"/>
            </w:tcBorders>
            <w:shd w:val="clear" w:color="auto" w:fill="365F91"/>
            <w:vAlign w:val="bottom"/>
          </w:tcPr>
          <w:p w14:paraId="50885DD9" w14:textId="77777777" w:rsidR="00380BE7" w:rsidRPr="00256982" w:rsidRDefault="00380BE7" w:rsidP="009574E7">
            <w:pPr>
              <w:pStyle w:val="TableTextBold"/>
              <w:keepNext/>
              <w:rPr>
                <w:noProof w:val="0"/>
                <w:color w:val="FFFFFF"/>
              </w:rPr>
            </w:pPr>
            <w:r w:rsidRPr="00256982">
              <w:rPr>
                <w:noProof w:val="0"/>
                <w:color w:val="FFFFFF"/>
              </w:rPr>
              <w:t>Reference</w:t>
            </w:r>
          </w:p>
        </w:tc>
      </w:tr>
      <w:tr w:rsidR="00380BE7" w:rsidRPr="00256982" w14:paraId="724A3FF7" w14:textId="77777777" w:rsidTr="000B7C81">
        <w:tc>
          <w:tcPr>
            <w:tcW w:w="1227" w:type="dxa"/>
            <w:vMerge w:val="restart"/>
            <w:tcBorders>
              <w:top w:val="single" w:sz="4" w:space="0" w:color="365F91"/>
            </w:tcBorders>
          </w:tcPr>
          <w:p w14:paraId="034F6C24" w14:textId="77777777" w:rsidR="00380BE7" w:rsidRPr="00256982" w:rsidRDefault="00380BE7" w:rsidP="009574E7">
            <w:pPr>
              <w:pStyle w:val="TableText"/>
              <w:keepNext/>
            </w:pPr>
            <w:r w:rsidRPr="00256982">
              <w:t>Forest land</w:t>
            </w:r>
          </w:p>
        </w:tc>
        <w:tc>
          <w:tcPr>
            <w:tcW w:w="1750" w:type="dxa"/>
            <w:tcBorders>
              <w:top w:val="single" w:sz="4" w:space="0" w:color="365F91"/>
              <w:bottom w:val="single" w:sz="4" w:space="0" w:color="365F91"/>
            </w:tcBorders>
          </w:tcPr>
          <w:p w14:paraId="18F44F76" w14:textId="77777777" w:rsidR="00380BE7" w:rsidRPr="00256982" w:rsidRDefault="00380BE7" w:rsidP="009574E7">
            <w:pPr>
              <w:pStyle w:val="TableText"/>
              <w:keepNext/>
            </w:pPr>
            <w:r w:rsidRPr="00256982">
              <w:t>Pre-1990 natural forest: regenerating*</w:t>
            </w:r>
          </w:p>
        </w:tc>
        <w:tc>
          <w:tcPr>
            <w:tcW w:w="2053" w:type="dxa"/>
            <w:tcBorders>
              <w:top w:val="single" w:sz="4" w:space="0" w:color="365F91"/>
              <w:bottom w:val="single" w:sz="4" w:space="0" w:color="365F91"/>
            </w:tcBorders>
          </w:tcPr>
          <w:p w14:paraId="6F99260D" w14:textId="77777777" w:rsidR="00380BE7" w:rsidRPr="00256982" w:rsidRDefault="00380BE7" w:rsidP="009574E7">
            <w:pPr>
              <w:pStyle w:val="TableText"/>
              <w:keepNext/>
            </w:pPr>
            <w:r w:rsidRPr="00256982">
              <w:t>Based on an annual carbon stock yield table</w:t>
            </w:r>
          </w:p>
        </w:tc>
        <w:tc>
          <w:tcPr>
            <w:tcW w:w="1877" w:type="dxa"/>
            <w:tcBorders>
              <w:top w:val="single" w:sz="4" w:space="0" w:color="365F91"/>
              <w:bottom w:val="single" w:sz="4" w:space="0" w:color="365F91"/>
            </w:tcBorders>
          </w:tcPr>
          <w:p w14:paraId="6155BCCD" w14:textId="77777777" w:rsidR="00380BE7" w:rsidRPr="00256982" w:rsidRDefault="00380BE7" w:rsidP="009574E7">
            <w:pPr>
              <w:pStyle w:val="TableText"/>
              <w:keepNext/>
            </w:pPr>
            <w:r w:rsidRPr="00256982">
              <w:t>All biomass pools</w:t>
            </w:r>
          </w:p>
        </w:tc>
        <w:tc>
          <w:tcPr>
            <w:tcW w:w="1598" w:type="dxa"/>
            <w:tcBorders>
              <w:top w:val="single" w:sz="4" w:space="0" w:color="365F91"/>
              <w:bottom w:val="single" w:sz="4" w:space="0" w:color="365F91"/>
            </w:tcBorders>
          </w:tcPr>
          <w:p w14:paraId="3138FCE2" w14:textId="77777777" w:rsidR="00380BE7" w:rsidRPr="00256982" w:rsidRDefault="00380BE7" w:rsidP="009574E7">
            <w:pPr>
              <w:pStyle w:val="TableText"/>
              <w:keepNext/>
            </w:pPr>
            <w:r w:rsidRPr="00256982">
              <w:t>LUCAS plot-based estimate</w:t>
            </w:r>
          </w:p>
        </w:tc>
      </w:tr>
      <w:tr w:rsidR="00380BE7" w:rsidRPr="00256982" w14:paraId="0FD18A1E" w14:textId="77777777" w:rsidTr="000B7C81">
        <w:tc>
          <w:tcPr>
            <w:tcW w:w="1227" w:type="dxa"/>
            <w:vMerge/>
          </w:tcPr>
          <w:p w14:paraId="2584ED14" w14:textId="77777777" w:rsidR="00380BE7" w:rsidRPr="00256982" w:rsidRDefault="00380BE7" w:rsidP="009574E7">
            <w:pPr>
              <w:pStyle w:val="TableText"/>
              <w:keepNext/>
            </w:pPr>
          </w:p>
        </w:tc>
        <w:tc>
          <w:tcPr>
            <w:tcW w:w="1750" w:type="dxa"/>
            <w:tcBorders>
              <w:top w:val="single" w:sz="4" w:space="0" w:color="365F91"/>
              <w:bottom w:val="single" w:sz="4" w:space="0" w:color="365F91"/>
            </w:tcBorders>
          </w:tcPr>
          <w:p w14:paraId="7787E5F7" w14:textId="77777777" w:rsidR="00380BE7" w:rsidRPr="00256982" w:rsidRDefault="00380BE7" w:rsidP="009574E7">
            <w:pPr>
              <w:pStyle w:val="TableText"/>
              <w:keepNext/>
            </w:pPr>
            <w:r w:rsidRPr="00256982">
              <w:t>Pre-1990 natural forest: tall forest*</w:t>
            </w:r>
          </w:p>
        </w:tc>
        <w:tc>
          <w:tcPr>
            <w:tcW w:w="2053" w:type="dxa"/>
            <w:tcBorders>
              <w:top w:val="single" w:sz="4" w:space="0" w:color="365F91"/>
              <w:bottom w:val="single" w:sz="4" w:space="0" w:color="365F91"/>
            </w:tcBorders>
          </w:tcPr>
          <w:p w14:paraId="338E1C6F" w14:textId="77777777" w:rsidR="00380BE7" w:rsidRPr="00256982" w:rsidRDefault="00380BE7" w:rsidP="009574E7">
            <w:pPr>
              <w:pStyle w:val="TableText"/>
              <w:keepNext/>
            </w:pPr>
            <w:r w:rsidRPr="00256982">
              <w:t>257.74</w:t>
            </w:r>
          </w:p>
        </w:tc>
        <w:tc>
          <w:tcPr>
            <w:tcW w:w="1877" w:type="dxa"/>
            <w:tcBorders>
              <w:top w:val="single" w:sz="4" w:space="0" w:color="365F91"/>
              <w:bottom w:val="single" w:sz="4" w:space="0" w:color="365F91"/>
            </w:tcBorders>
          </w:tcPr>
          <w:p w14:paraId="6DE590C8" w14:textId="77777777" w:rsidR="00380BE7" w:rsidRPr="00256982" w:rsidRDefault="00380BE7" w:rsidP="009574E7">
            <w:pPr>
              <w:pStyle w:val="TableText"/>
              <w:keepNext/>
            </w:pPr>
            <w:r w:rsidRPr="00256982">
              <w:t>All biomass pools</w:t>
            </w:r>
          </w:p>
        </w:tc>
        <w:tc>
          <w:tcPr>
            <w:tcW w:w="1598" w:type="dxa"/>
            <w:tcBorders>
              <w:top w:val="single" w:sz="4" w:space="0" w:color="365F91"/>
              <w:bottom w:val="single" w:sz="4" w:space="0" w:color="365F91"/>
            </w:tcBorders>
          </w:tcPr>
          <w:p w14:paraId="1AF04D48" w14:textId="77777777" w:rsidR="00380BE7" w:rsidRPr="00256982" w:rsidRDefault="00380BE7" w:rsidP="009574E7">
            <w:pPr>
              <w:pStyle w:val="TableText"/>
              <w:keepNext/>
            </w:pPr>
            <w:r w:rsidRPr="00256982">
              <w:t>Holdaway et al. (2016)</w:t>
            </w:r>
          </w:p>
        </w:tc>
      </w:tr>
      <w:tr w:rsidR="00380BE7" w:rsidRPr="00256982" w14:paraId="2634CD6F" w14:textId="77777777" w:rsidTr="000B7C81">
        <w:tc>
          <w:tcPr>
            <w:tcW w:w="1227" w:type="dxa"/>
            <w:vMerge/>
          </w:tcPr>
          <w:p w14:paraId="74AC54E5" w14:textId="77777777" w:rsidR="00380BE7" w:rsidRPr="00256982" w:rsidRDefault="00380BE7" w:rsidP="009574E7">
            <w:pPr>
              <w:pStyle w:val="TableText"/>
              <w:keepNext/>
            </w:pPr>
          </w:p>
        </w:tc>
        <w:tc>
          <w:tcPr>
            <w:tcW w:w="1750" w:type="dxa"/>
            <w:tcBorders>
              <w:top w:val="single" w:sz="4" w:space="0" w:color="365F91"/>
              <w:bottom w:val="single" w:sz="4" w:space="0" w:color="365F91"/>
            </w:tcBorders>
          </w:tcPr>
          <w:p w14:paraId="1241D7A5" w14:textId="77777777" w:rsidR="00380BE7" w:rsidRPr="00256982" w:rsidRDefault="00380BE7" w:rsidP="009574E7">
            <w:pPr>
              <w:pStyle w:val="TableText"/>
              <w:keepNext/>
            </w:pPr>
            <w:r w:rsidRPr="00256982">
              <w:t>Pre-1990 planted forest</w:t>
            </w:r>
          </w:p>
        </w:tc>
        <w:tc>
          <w:tcPr>
            <w:tcW w:w="2053" w:type="dxa"/>
            <w:tcBorders>
              <w:top w:val="single" w:sz="4" w:space="0" w:color="365F91"/>
              <w:bottom w:val="single" w:sz="4" w:space="0" w:color="365F91"/>
            </w:tcBorders>
          </w:tcPr>
          <w:p w14:paraId="02FA9190" w14:textId="77777777" w:rsidR="00380BE7" w:rsidRPr="00256982" w:rsidRDefault="00380BE7" w:rsidP="009574E7">
            <w:pPr>
              <w:pStyle w:val="TableText"/>
              <w:keepNext/>
            </w:pPr>
            <w:r w:rsidRPr="00256982">
              <w:t>Based on an age-based carbon yield table</w:t>
            </w:r>
          </w:p>
        </w:tc>
        <w:tc>
          <w:tcPr>
            <w:tcW w:w="1877" w:type="dxa"/>
            <w:tcBorders>
              <w:top w:val="single" w:sz="4" w:space="0" w:color="365F91"/>
              <w:bottom w:val="single" w:sz="4" w:space="0" w:color="365F91"/>
            </w:tcBorders>
          </w:tcPr>
          <w:p w14:paraId="61AEF2C3" w14:textId="77777777" w:rsidR="00380BE7" w:rsidRPr="00256982" w:rsidRDefault="00380BE7" w:rsidP="009574E7">
            <w:pPr>
              <w:pStyle w:val="TableText"/>
              <w:keepNext/>
            </w:pPr>
            <w:r w:rsidRPr="00256982">
              <w:t>All biomass pools</w:t>
            </w:r>
          </w:p>
        </w:tc>
        <w:tc>
          <w:tcPr>
            <w:tcW w:w="1598" w:type="dxa"/>
            <w:tcBorders>
              <w:top w:val="single" w:sz="4" w:space="0" w:color="365F91"/>
              <w:bottom w:val="single" w:sz="4" w:space="0" w:color="365F91"/>
            </w:tcBorders>
          </w:tcPr>
          <w:p w14:paraId="0FA41E8D" w14:textId="77777777" w:rsidR="00380BE7" w:rsidRPr="00256982" w:rsidRDefault="00380BE7" w:rsidP="009574E7">
            <w:pPr>
              <w:pStyle w:val="TableText"/>
              <w:keepNext/>
            </w:pPr>
            <w:r w:rsidRPr="00256982">
              <w:t>LUCAS plot-based estimate</w:t>
            </w:r>
          </w:p>
        </w:tc>
      </w:tr>
      <w:tr w:rsidR="00380BE7" w:rsidRPr="00256982" w14:paraId="13ED5A58" w14:textId="77777777" w:rsidTr="000B7C81">
        <w:tc>
          <w:tcPr>
            <w:tcW w:w="1227" w:type="dxa"/>
            <w:vMerge/>
          </w:tcPr>
          <w:p w14:paraId="52B9D65E" w14:textId="77777777" w:rsidR="00380BE7" w:rsidRPr="00256982" w:rsidRDefault="00380BE7" w:rsidP="009574E7">
            <w:pPr>
              <w:pStyle w:val="TableText"/>
            </w:pPr>
          </w:p>
        </w:tc>
        <w:tc>
          <w:tcPr>
            <w:tcW w:w="1750" w:type="dxa"/>
            <w:tcBorders>
              <w:top w:val="single" w:sz="4" w:space="0" w:color="365F91"/>
              <w:bottom w:val="single" w:sz="4" w:space="0" w:color="365F91"/>
            </w:tcBorders>
          </w:tcPr>
          <w:p w14:paraId="3E61B315" w14:textId="77777777" w:rsidR="00380BE7" w:rsidRPr="00256982" w:rsidRDefault="00380BE7" w:rsidP="009574E7">
            <w:pPr>
              <w:pStyle w:val="TableText"/>
            </w:pPr>
            <w:r w:rsidRPr="00256982">
              <w:t>Post-1989 natural forest</w:t>
            </w:r>
          </w:p>
        </w:tc>
        <w:tc>
          <w:tcPr>
            <w:tcW w:w="2053" w:type="dxa"/>
            <w:tcBorders>
              <w:top w:val="single" w:sz="4" w:space="0" w:color="365F91"/>
              <w:bottom w:val="single" w:sz="4" w:space="0" w:color="365F91"/>
            </w:tcBorders>
          </w:tcPr>
          <w:p w14:paraId="45200BCA" w14:textId="77777777" w:rsidR="00380BE7" w:rsidRPr="00256982" w:rsidRDefault="00380BE7" w:rsidP="009574E7">
            <w:pPr>
              <w:pStyle w:val="TableText"/>
            </w:pPr>
            <w:r w:rsidRPr="00256982">
              <w:t>Based on an age-based carbon yield table</w:t>
            </w:r>
          </w:p>
        </w:tc>
        <w:tc>
          <w:tcPr>
            <w:tcW w:w="1877" w:type="dxa"/>
            <w:tcBorders>
              <w:top w:val="single" w:sz="4" w:space="0" w:color="365F91"/>
              <w:bottom w:val="single" w:sz="4" w:space="0" w:color="365F91"/>
            </w:tcBorders>
          </w:tcPr>
          <w:p w14:paraId="79711215" w14:textId="77777777" w:rsidR="00380BE7" w:rsidRPr="00256982" w:rsidRDefault="00380BE7" w:rsidP="009574E7">
            <w:pPr>
              <w:pStyle w:val="TableText"/>
            </w:pPr>
            <w:r w:rsidRPr="00256982">
              <w:t>All biomass pools</w:t>
            </w:r>
          </w:p>
        </w:tc>
        <w:tc>
          <w:tcPr>
            <w:tcW w:w="1598" w:type="dxa"/>
            <w:tcBorders>
              <w:top w:val="single" w:sz="4" w:space="0" w:color="365F91"/>
              <w:bottom w:val="single" w:sz="4" w:space="0" w:color="365F91"/>
            </w:tcBorders>
          </w:tcPr>
          <w:p w14:paraId="01CF9755" w14:textId="77777777" w:rsidR="00380BE7" w:rsidRPr="00256982" w:rsidRDefault="00380BE7" w:rsidP="009574E7">
            <w:pPr>
              <w:pStyle w:val="TableText"/>
            </w:pPr>
            <w:r w:rsidRPr="00256982">
              <w:t>LUCAS plot-based estimate</w:t>
            </w:r>
          </w:p>
        </w:tc>
      </w:tr>
      <w:tr w:rsidR="00380BE7" w:rsidRPr="00256982" w14:paraId="3098B962" w14:textId="77777777" w:rsidTr="000B7C81">
        <w:tc>
          <w:tcPr>
            <w:tcW w:w="1227" w:type="dxa"/>
            <w:vMerge/>
            <w:tcBorders>
              <w:bottom w:val="single" w:sz="4" w:space="0" w:color="365F91"/>
            </w:tcBorders>
          </w:tcPr>
          <w:p w14:paraId="13AF99DF" w14:textId="77777777" w:rsidR="00380BE7" w:rsidRPr="00256982" w:rsidRDefault="00380BE7" w:rsidP="009574E7">
            <w:pPr>
              <w:pStyle w:val="TableText"/>
            </w:pPr>
          </w:p>
        </w:tc>
        <w:tc>
          <w:tcPr>
            <w:tcW w:w="1750" w:type="dxa"/>
            <w:tcBorders>
              <w:top w:val="single" w:sz="4" w:space="0" w:color="365F91"/>
              <w:bottom w:val="single" w:sz="4" w:space="0" w:color="365F91"/>
            </w:tcBorders>
          </w:tcPr>
          <w:p w14:paraId="52AEB775" w14:textId="77777777" w:rsidR="00380BE7" w:rsidRPr="00256982" w:rsidRDefault="00380BE7" w:rsidP="009574E7">
            <w:pPr>
              <w:pStyle w:val="TableText"/>
            </w:pPr>
            <w:r w:rsidRPr="00256982">
              <w:t>Post-1989 planted forest</w:t>
            </w:r>
          </w:p>
        </w:tc>
        <w:tc>
          <w:tcPr>
            <w:tcW w:w="2053" w:type="dxa"/>
            <w:tcBorders>
              <w:top w:val="single" w:sz="4" w:space="0" w:color="365F91"/>
              <w:bottom w:val="single" w:sz="4" w:space="0" w:color="365F91"/>
            </w:tcBorders>
          </w:tcPr>
          <w:p w14:paraId="13C0ED3B" w14:textId="77777777" w:rsidR="00380BE7" w:rsidRPr="00256982" w:rsidRDefault="00380BE7" w:rsidP="009574E7">
            <w:pPr>
              <w:pStyle w:val="TableText"/>
            </w:pPr>
            <w:r w:rsidRPr="00256982">
              <w:t>Based on an age-based carbon yield table</w:t>
            </w:r>
          </w:p>
        </w:tc>
        <w:tc>
          <w:tcPr>
            <w:tcW w:w="1877" w:type="dxa"/>
            <w:tcBorders>
              <w:top w:val="single" w:sz="4" w:space="0" w:color="365F91"/>
              <w:bottom w:val="single" w:sz="4" w:space="0" w:color="365F91"/>
            </w:tcBorders>
          </w:tcPr>
          <w:p w14:paraId="6B59AF39" w14:textId="77777777" w:rsidR="00380BE7" w:rsidRPr="00256982" w:rsidRDefault="00380BE7" w:rsidP="009574E7">
            <w:pPr>
              <w:pStyle w:val="TableText"/>
            </w:pPr>
            <w:r w:rsidRPr="00256982">
              <w:t>All biomass pools</w:t>
            </w:r>
          </w:p>
        </w:tc>
        <w:tc>
          <w:tcPr>
            <w:tcW w:w="1598" w:type="dxa"/>
            <w:tcBorders>
              <w:top w:val="single" w:sz="4" w:space="0" w:color="365F91"/>
              <w:bottom w:val="single" w:sz="4" w:space="0" w:color="365F91"/>
            </w:tcBorders>
          </w:tcPr>
          <w:p w14:paraId="6AA3FFC9" w14:textId="77777777" w:rsidR="00380BE7" w:rsidRPr="00256982" w:rsidRDefault="00380BE7" w:rsidP="009574E7">
            <w:pPr>
              <w:pStyle w:val="TableText"/>
            </w:pPr>
            <w:r w:rsidRPr="00256982">
              <w:t>LUCAS plot-based estimate</w:t>
            </w:r>
          </w:p>
        </w:tc>
      </w:tr>
      <w:tr w:rsidR="00380BE7" w:rsidRPr="00256982" w14:paraId="122B77D5" w14:textId="77777777" w:rsidTr="000B7C81">
        <w:tc>
          <w:tcPr>
            <w:tcW w:w="1227" w:type="dxa"/>
            <w:vMerge w:val="restart"/>
            <w:tcBorders>
              <w:top w:val="single" w:sz="4" w:space="0" w:color="365F91"/>
            </w:tcBorders>
          </w:tcPr>
          <w:p w14:paraId="6E0CA5A3" w14:textId="77777777" w:rsidR="00380BE7" w:rsidRPr="00256982" w:rsidRDefault="00380BE7" w:rsidP="009574E7">
            <w:pPr>
              <w:pStyle w:val="TableText"/>
            </w:pPr>
            <w:r w:rsidRPr="00256982">
              <w:t>Cropland</w:t>
            </w:r>
          </w:p>
        </w:tc>
        <w:tc>
          <w:tcPr>
            <w:tcW w:w="1750" w:type="dxa"/>
            <w:tcBorders>
              <w:top w:val="single" w:sz="4" w:space="0" w:color="365F91"/>
              <w:bottom w:val="single" w:sz="4" w:space="0" w:color="365F91"/>
            </w:tcBorders>
          </w:tcPr>
          <w:p w14:paraId="763B5187" w14:textId="77777777" w:rsidR="00380BE7" w:rsidRPr="00256982" w:rsidRDefault="00380BE7" w:rsidP="009574E7">
            <w:pPr>
              <w:pStyle w:val="TableText"/>
            </w:pPr>
            <w:r w:rsidRPr="00256982">
              <w:t>Annual</w:t>
            </w:r>
          </w:p>
        </w:tc>
        <w:tc>
          <w:tcPr>
            <w:tcW w:w="2053" w:type="dxa"/>
            <w:tcBorders>
              <w:top w:val="single" w:sz="4" w:space="0" w:color="365F91"/>
              <w:bottom w:val="single" w:sz="4" w:space="0" w:color="365F91"/>
            </w:tcBorders>
          </w:tcPr>
          <w:p w14:paraId="5CB396DC" w14:textId="77777777" w:rsidR="00380BE7" w:rsidRPr="00256982" w:rsidRDefault="00380BE7" w:rsidP="009574E7">
            <w:pPr>
              <w:pStyle w:val="TableText"/>
            </w:pPr>
            <w:r w:rsidRPr="00256982">
              <w:t>5</w:t>
            </w:r>
          </w:p>
        </w:tc>
        <w:tc>
          <w:tcPr>
            <w:tcW w:w="1877" w:type="dxa"/>
            <w:tcBorders>
              <w:top w:val="single" w:sz="4" w:space="0" w:color="365F91"/>
              <w:bottom w:val="single" w:sz="4" w:space="0" w:color="365F91"/>
            </w:tcBorders>
          </w:tcPr>
          <w:p w14:paraId="70AF68A2" w14:textId="77777777" w:rsidR="00380BE7" w:rsidRPr="00256982" w:rsidRDefault="00380BE7" w:rsidP="009574E7">
            <w:pPr>
              <w:pStyle w:val="TableText"/>
            </w:pPr>
            <w:r w:rsidRPr="00256982">
              <w:t>Above- and below-ground biomass</w:t>
            </w:r>
          </w:p>
        </w:tc>
        <w:tc>
          <w:tcPr>
            <w:tcW w:w="1598" w:type="dxa"/>
            <w:tcBorders>
              <w:top w:val="single" w:sz="4" w:space="0" w:color="365F91"/>
              <w:bottom w:val="single" w:sz="4" w:space="0" w:color="365F91"/>
            </w:tcBorders>
          </w:tcPr>
          <w:p w14:paraId="144E1294" w14:textId="77777777" w:rsidR="00380BE7" w:rsidRPr="00256982" w:rsidRDefault="00380BE7" w:rsidP="009574E7">
            <w:pPr>
              <w:pStyle w:val="TableText"/>
              <w:rPr>
                <w:bCs/>
                <w:i/>
                <w:iCs/>
                <w:szCs w:val="26"/>
              </w:rPr>
            </w:pPr>
            <w:r w:rsidRPr="00256982">
              <w:t>IPCC (table 5.9, 2006a)</w:t>
            </w:r>
          </w:p>
        </w:tc>
      </w:tr>
      <w:tr w:rsidR="00380BE7" w:rsidRPr="00256982" w14:paraId="1E06FB40" w14:textId="77777777" w:rsidTr="000B7C81">
        <w:tc>
          <w:tcPr>
            <w:tcW w:w="1227" w:type="dxa"/>
            <w:vMerge/>
            <w:tcBorders>
              <w:bottom w:val="single" w:sz="4" w:space="0" w:color="365F91"/>
            </w:tcBorders>
          </w:tcPr>
          <w:p w14:paraId="28A0E578" w14:textId="77777777" w:rsidR="00380BE7" w:rsidRPr="00256982" w:rsidRDefault="00380BE7" w:rsidP="009574E7">
            <w:pPr>
              <w:pStyle w:val="TableText"/>
            </w:pPr>
          </w:p>
        </w:tc>
        <w:tc>
          <w:tcPr>
            <w:tcW w:w="1750" w:type="dxa"/>
            <w:tcBorders>
              <w:top w:val="single" w:sz="4" w:space="0" w:color="365F91"/>
              <w:bottom w:val="single" w:sz="4" w:space="0" w:color="365F91"/>
            </w:tcBorders>
          </w:tcPr>
          <w:p w14:paraId="3F90042F" w14:textId="77777777" w:rsidR="00380BE7" w:rsidRPr="00256982" w:rsidRDefault="00380BE7" w:rsidP="009574E7">
            <w:pPr>
              <w:pStyle w:val="TableText"/>
            </w:pPr>
            <w:r w:rsidRPr="00256982">
              <w:t>Perennial</w:t>
            </w:r>
          </w:p>
        </w:tc>
        <w:tc>
          <w:tcPr>
            <w:tcW w:w="2053" w:type="dxa"/>
            <w:tcBorders>
              <w:top w:val="single" w:sz="4" w:space="0" w:color="365F91"/>
              <w:bottom w:val="single" w:sz="4" w:space="0" w:color="365F91"/>
            </w:tcBorders>
          </w:tcPr>
          <w:p w14:paraId="12FD65E1" w14:textId="77777777" w:rsidR="00380BE7" w:rsidRPr="00256982" w:rsidRDefault="00380BE7" w:rsidP="009574E7">
            <w:pPr>
              <w:pStyle w:val="TableText"/>
            </w:pPr>
            <w:r w:rsidRPr="00256982">
              <w:t>18.76</w:t>
            </w:r>
          </w:p>
        </w:tc>
        <w:tc>
          <w:tcPr>
            <w:tcW w:w="1877" w:type="dxa"/>
            <w:tcBorders>
              <w:top w:val="single" w:sz="4" w:space="0" w:color="365F91"/>
              <w:bottom w:val="single" w:sz="4" w:space="0" w:color="365F91"/>
            </w:tcBorders>
          </w:tcPr>
          <w:p w14:paraId="1E3A244F" w14:textId="77777777" w:rsidR="00380BE7" w:rsidRPr="00256982" w:rsidRDefault="00380BE7" w:rsidP="009574E7">
            <w:pPr>
              <w:pStyle w:val="TableText"/>
            </w:pPr>
            <w:r w:rsidRPr="00256982">
              <w:t>Above-ground biomass</w:t>
            </w:r>
          </w:p>
        </w:tc>
        <w:tc>
          <w:tcPr>
            <w:tcW w:w="1598" w:type="dxa"/>
            <w:tcBorders>
              <w:top w:val="single" w:sz="4" w:space="0" w:color="365F91"/>
              <w:bottom w:val="single" w:sz="4" w:space="0" w:color="365F91"/>
            </w:tcBorders>
          </w:tcPr>
          <w:p w14:paraId="378FADB0" w14:textId="77777777" w:rsidR="00380BE7" w:rsidRPr="00256982" w:rsidRDefault="00380BE7" w:rsidP="009574E7">
            <w:pPr>
              <w:pStyle w:val="TableText"/>
            </w:pPr>
            <w:r w:rsidRPr="00256982">
              <w:t>Davis and Wakelin (unpublished)</w:t>
            </w:r>
          </w:p>
        </w:tc>
      </w:tr>
      <w:tr w:rsidR="00380BE7" w:rsidRPr="00256982" w14:paraId="37B4DD2E" w14:textId="77777777" w:rsidTr="000B7C81">
        <w:tc>
          <w:tcPr>
            <w:tcW w:w="1227" w:type="dxa"/>
            <w:vMerge w:val="restart"/>
            <w:tcBorders>
              <w:top w:val="single" w:sz="4" w:space="0" w:color="365F91"/>
            </w:tcBorders>
          </w:tcPr>
          <w:p w14:paraId="0CE19694" w14:textId="77777777" w:rsidR="00380BE7" w:rsidRPr="00256982" w:rsidRDefault="00380BE7" w:rsidP="009574E7">
            <w:pPr>
              <w:pStyle w:val="TableText"/>
            </w:pPr>
            <w:r w:rsidRPr="00256982">
              <w:t>Grassland</w:t>
            </w:r>
          </w:p>
        </w:tc>
        <w:tc>
          <w:tcPr>
            <w:tcW w:w="1750" w:type="dxa"/>
            <w:tcBorders>
              <w:top w:val="single" w:sz="4" w:space="0" w:color="365F91"/>
              <w:bottom w:val="single" w:sz="4" w:space="0" w:color="365F91"/>
            </w:tcBorders>
          </w:tcPr>
          <w:p w14:paraId="455A5474" w14:textId="77777777" w:rsidR="00380BE7" w:rsidRPr="00256982" w:rsidRDefault="00380BE7" w:rsidP="009574E7">
            <w:pPr>
              <w:pStyle w:val="TableText"/>
            </w:pPr>
            <w:r w:rsidRPr="00256982">
              <w:t>High producing</w:t>
            </w:r>
          </w:p>
        </w:tc>
        <w:tc>
          <w:tcPr>
            <w:tcW w:w="2053" w:type="dxa"/>
            <w:tcBorders>
              <w:top w:val="single" w:sz="4" w:space="0" w:color="365F91"/>
              <w:bottom w:val="single" w:sz="4" w:space="0" w:color="365F91"/>
            </w:tcBorders>
          </w:tcPr>
          <w:p w14:paraId="3566B1D2" w14:textId="77777777" w:rsidR="00380BE7" w:rsidRPr="00256982" w:rsidRDefault="00380BE7" w:rsidP="009574E7">
            <w:pPr>
              <w:pStyle w:val="TableText"/>
            </w:pPr>
            <w:r w:rsidRPr="00256982">
              <w:t>6.345</w:t>
            </w:r>
          </w:p>
        </w:tc>
        <w:tc>
          <w:tcPr>
            <w:tcW w:w="1877" w:type="dxa"/>
            <w:tcBorders>
              <w:top w:val="single" w:sz="4" w:space="0" w:color="365F91"/>
              <w:bottom w:val="single" w:sz="4" w:space="0" w:color="365F91"/>
            </w:tcBorders>
          </w:tcPr>
          <w:p w14:paraId="3FC08A4C" w14:textId="77777777" w:rsidR="00380BE7" w:rsidRPr="00256982" w:rsidRDefault="00380BE7" w:rsidP="009574E7">
            <w:pPr>
              <w:pStyle w:val="TableText"/>
            </w:pPr>
            <w:r w:rsidRPr="00256982">
              <w:t>Above- and below-ground biomass</w:t>
            </w:r>
          </w:p>
        </w:tc>
        <w:tc>
          <w:tcPr>
            <w:tcW w:w="1598" w:type="dxa"/>
            <w:tcBorders>
              <w:top w:val="single" w:sz="4" w:space="0" w:color="365F91"/>
              <w:bottom w:val="single" w:sz="4" w:space="0" w:color="365F91"/>
            </w:tcBorders>
          </w:tcPr>
          <w:p w14:paraId="58866A9D" w14:textId="77777777" w:rsidR="00380BE7" w:rsidRPr="00256982" w:rsidRDefault="00380BE7" w:rsidP="009574E7">
            <w:pPr>
              <w:pStyle w:val="TableText"/>
              <w:rPr>
                <w:szCs w:val="24"/>
              </w:rPr>
            </w:pPr>
            <w:r w:rsidRPr="00256982">
              <w:t>Calculated based on table 6.4, IPCC (2006a)</w:t>
            </w:r>
          </w:p>
        </w:tc>
      </w:tr>
      <w:tr w:rsidR="00380BE7" w:rsidRPr="00256982" w14:paraId="690A2461" w14:textId="77777777" w:rsidTr="000B7C81">
        <w:tc>
          <w:tcPr>
            <w:tcW w:w="1227" w:type="dxa"/>
            <w:vMerge/>
          </w:tcPr>
          <w:p w14:paraId="309606E0" w14:textId="77777777" w:rsidR="00380BE7" w:rsidRPr="00256982" w:rsidRDefault="00380BE7" w:rsidP="009574E7">
            <w:pPr>
              <w:pStyle w:val="TableText"/>
            </w:pPr>
          </w:p>
        </w:tc>
        <w:tc>
          <w:tcPr>
            <w:tcW w:w="1750" w:type="dxa"/>
            <w:tcBorders>
              <w:top w:val="single" w:sz="4" w:space="0" w:color="365F91"/>
              <w:bottom w:val="single" w:sz="4" w:space="0" w:color="365F91"/>
            </w:tcBorders>
          </w:tcPr>
          <w:p w14:paraId="06929F10" w14:textId="77777777" w:rsidR="00380BE7" w:rsidRPr="00256982" w:rsidRDefault="00380BE7" w:rsidP="009574E7">
            <w:pPr>
              <w:pStyle w:val="TableText"/>
            </w:pPr>
            <w:r w:rsidRPr="00256982">
              <w:t>Low producing</w:t>
            </w:r>
          </w:p>
        </w:tc>
        <w:tc>
          <w:tcPr>
            <w:tcW w:w="2053" w:type="dxa"/>
            <w:tcBorders>
              <w:top w:val="single" w:sz="4" w:space="0" w:color="365F91"/>
              <w:bottom w:val="single" w:sz="4" w:space="0" w:color="365F91"/>
            </w:tcBorders>
          </w:tcPr>
          <w:p w14:paraId="41ECDA91" w14:textId="77777777" w:rsidR="00380BE7" w:rsidRPr="00256982" w:rsidRDefault="00380BE7" w:rsidP="009574E7">
            <w:pPr>
              <w:pStyle w:val="TableText"/>
            </w:pPr>
            <w:r w:rsidRPr="00256982">
              <w:t>2.867</w:t>
            </w:r>
          </w:p>
        </w:tc>
        <w:tc>
          <w:tcPr>
            <w:tcW w:w="1877" w:type="dxa"/>
            <w:tcBorders>
              <w:top w:val="single" w:sz="4" w:space="0" w:color="365F91"/>
              <w:bottom w:val="single" w:sz="4" w:space="0" w:color="365F91"/>
            </w:tcBorders>
          </w:tcPr>
          <w:p w14:paraId="3689B788" w14:textId="77777777" w:rsidR="00380BE7" w:rsidRPr="00256982" w:rsidRDefault="00380BE7" w:rsidP="009574E7">
            <w:pPr>
              <w:pStyle w:val="TableText"/>
            </w:pPr>
            <w:r w:rsidRPr="00256982">
              <w:t>Above- and below-ground biomass</w:t>
            </w:r>
          </w:p>
        </w:tc>
        <w:tc>
          <w:tcPr>
            <w:tcW w:w="1598" w:type="dxa"/>
            <w:tcBorders>
              <w:top w:val="single" w:sz="4" w:space="0" w:color="365F91"/>
              <w:bottom w:val="single" w:sz="4" w:space="0" w:color="365F91"/>
            </w:tcBorders>
          </w:tcPr>
          <w:p w14:paraId="5C52A17D" w14:textId="77777777" w:rsidR="00380BE7" w:rsidRPr="00256982" w:rsidRDefault="00380BE7" w:rsidP="009574E7">
            <w:pPr>
              <w:pStyle w:val="TableText"/>
              <w:rPr>
                <w:szCs w:val="24"/>
              </w:rPr>
            </w:pPr>
            <w:r w:rsidRPr="00256982">
              <w:t>Calculated based on table 6.4, IPCC (2006a)</w:t>
            </w:r>
          </w:p>
        </w:tc>
      </w:tr>
      <w:tr w:rsidR="00380BE7" w:rsidRPr="00256982" w14:paraId="718075DF" w14:textId="77777777" w:rsidTr="000B7C81">
        <w:tc>
          <w:tcPr>
            <w:tcW w:w="1227" w:type="dxa"/>
            <w:vMerge/>
          </w:tcPr>
          <w:p w14:paraId="452293A0" w14:textId="77777777" w:rsidR="00380BE7" w:rsidRPr="00256982" w:rsidRDefault="00380BE7" w:rsidP="009574E7">
            <w:pPr>
              <w:pStyle w:val="TableText"/>
            </w:pPr>
          </w:p>
        </w:tc>
        <w:tc>
          <w:tcPr>
            <w:tcW w:w="1750" w:type="dxa"/>
            <w:tcBorders>
              <w:top w:val="single" w:sz="4" w:space="0" w:color="365F91"/>
              <w:bottom w:val="single" w:sz="4" w:space="0" w:color="365F91"/>
            </w:tcBorders>
          </w:tcPr>
          <w:p w14:paraId="5A863AAA" w14:textId="77777777" w:rsidR="00380BE7" w:rsidRPr="00256982" w:rsidRDefault="00380BE7" w:rsidP="009574E7">
            <w:pPr>
              <w:pStyle w:val="TableText"/>
            </w:pPr>
            <w:r w:rsidRPr="00256982">
              <w:t>With woody biomass – transitional</w:t>
            </w:r>
          </w:p>
        </w:tc>
        <w:tc>
          <w:tcPr>
            <w:tcW w:w="2053" w:type="dxa"/>
            <w:tcBorders>
              <w:top w:val="single" w:sz="4" w:space="0" w:color="365F91"/>
              <w:bottom w:val="single" w:sz="4" w:space="0" w:color="365F91"/>
            </w:tcBorders>
          </w:tcPr>
          <w:p w14:paraId="6A8567EB" w14:textId="77777777" w:rsidR="00380BE7" w:rsidRPr="00256982" w:rsidRDefault="00380BE7" w:rsidP="009574E7">
            <w:pPr>
              <w:pStyle w:val="TableText"/>
            </w:pPr>
            <w:r w:rsidRPr="00256982">
              <w:t>13.05</w:t>
            </w:r>
          </w:p>
        </w:tc>
        <w:tc>
          <w:tcPr>
            <w:tcW w:w="1877" w:type="dxa"/>
            <w:tcBorders>
              <w:top w:val="single" w:sz="4" w:space="0" w:color="365F91"/>
              <w:bottom w:val="single" w:sz="4" w:space="0" w:color="365F91"/>
            </w:tcBorders>
          </w:tcPr>
          <w:p w14:paraId="1AF08C3F" w14:textId="77777777" w:rsidR="00380BE7" w:rsidRPr="00256982" w:rsidRDefault="00380BE7" w:rsidP="009574E7">
            <w:pPr>
              <w:pStyle w:val="TableText"/>
            </w:pPr>
            <w:r w:rsidRPr="00256982">
              <w:t>All biomass pools</w:t>
            </w:r>
          </w:p>
        </w:tc>
        <w:tc>
          <w:tcPr>
            <w:tcW w:w="1598" w:type="dxa"/>
            <w:tcBorders>
              <w:top w:val="single" w:sz="4" w:space="0" w:color="365F91"/>
              <w:bottom w:val="single" w:sz="4" w:space="0" w:color="365F91"/>
            </w:tcBorders>
          </w:tcPr>
          <w:p w14:paraId="1941199E" w14:textId="77777777" w:rsidR="00380BE7" w:rsidRPr="00256982" w:rsidRDefault="00380BE7" w:rsidP="009574E7">
            <w:pPr>
              <w:pStyle w:val="TableText"/>
            </w:pPr>
            <w:r w:rsidRPr="00256982">
              <w:t>Wakelin and Beets (unpublished)</w:t>
            </w:r>
          </w:p>
        </w:tc>
      </w:tr>
      <w:tr w:rsidR="00380BE7" w:rsidRPr="00256982" w14:paraId="6BC639DC" w14:textId="77777777" w:rsidTr="000B7C81">
        <w:tc>
          <w:tcPr>
            <w:tcW w:w="1227" w:type="dxa"/>
            <w:vMerge/>
            <w:tcBorders>
              <w:bottom w:val="single" w:sz="4" w:space="0" w:color="365F91"/>
            </w:tcBorders>
          </w:tcPr>
          <w:p w14:paraId="6836E40B" w14:textId="77777777" w:rsidR="00380BE7" w:rsidRPr="00256982" w:rsidRDefault="00380BE7" w:rsidP="009574E7">
            <w:pPr>
              <w:pStyle w:val="TableText"/>
            </w:pPr>
          </w:p>
        </w:tc>
        <w:tc>
          <w:tcPr>
            <w:tcW w:w="1750" w:type="dxa"/>
            <w:tcBorders>
              <w:top w:val="single" w:sz="4" w:space="0" w:color="365F91"/>
              <w:bottom w:val="single" w:sz="4" w:space="0" w:color="365F91"/>
            </w:tcBorders>
          </w:tcPr>
          <w:p w14:paraId="1CD779E7" w14:textId="77777777" w:rsidR="00380BE7" w:rsidRPr="00256982" w:rsidRDefault="00380BE7" w:rsidP="009574E7">
            <w:pPr>
              <w:pStyle w:val="TableText"/>
            </w:pPr>
            <w:r w:rsidRPr="00256982">
              <w:t>With woody biomass – permanent</w:t>
            </w:r>
          </w:p>
        </w:tc>
        <w:tc>
          <w:tcPr>
            <w:tcW w:w="2053" w:type="dxa"/>
            <w:tcBorders>
              <w:top w:val="single" w:sz="4" w:space="0" w:color="365F91"/>
              <w:bottom w:val="single" w:sz="4" w:space="0" w:color="365F91"/>
            </w:tcBorders>
          </w:tcPr>
          <w:p w14:paraId="116C48B8" w14:textId="77777777" w:rsidR="00380BE7" w:rsidRPr="00256982" w:rsidRDefault="00380BE7" w:rsidP="009574E7">
            <w:pPr>
              <w:pStyle w:val="TableText"/>
            </w:pPr>
            <w:r w:rsidRPr="00256982">
              <w:t>60.57</w:t>
            </w:r>
          </w:p>
        </w:tc>
        <w:tc>
          <w:tcPr>
            <w:tcW w:w="1877" w:type="dxa"/>
            <w:tcBorders>
              <w:top w:val="single" w:sz="4" w:space="0" w:color="365F91"/>
              <w:bottom w:val="single" w:sz="4" w:space="0" w:color="365F91"/>
            </w:tcBorders>
          </w:tcPr>
          <w:p w14:paraId="022E7E5C" w14:textId="77777777" w:rsidR="00380BE7" w:rsidRPr="00256982" w:rsidRDefault="00380BE7" w:rsidP="009574E7">
            <w:pPr>
              <w:pStyle w:val="TableText"/>
            </w:pPr>
            <w:r w:rsidRPr="00256982">
              <w:t>All biomass pools</w:t>
            </w:r>
          </w:p>
        </w:tc>
        <w:tc>
          <w:tcPr>
            <w:tcW w:w="1598" w:type="dxa"/>
            <w:tcBorders>
              <w:top w:val="single" w:sz="4" w:space="0" w:color="365F91"/>
              <w:bottom w:val="single" w:sz="4" w:space="0" w:color="365F91"/>
            </w:tcBorders>
          </w:tcPr>
          <w:p w14:paraId="4CB235C9" w14:textId="77777777" w:rsidR="00380BE7" w:rsidRPr="00256982" w:rsidRDefault="00380BE7" w:rsidP="009574E7">
            <w:pPr>
              <w:pStyle w:val="TableText"/>
            </w:pPr>
            <w:r w:rsidRPr="00256982">
              <w:t>Wakelin and Beets (unpublished)</w:t>
            </w:r>
          </w:p>
        </w:tc>
      </w:tr>
      <w:tr w:rsidR="00380BE7" w:rsidRPr="00256982" w14:paraId="79C0825F" w14:textId="77777777" w:rsidTr="000B7C81">
        <w:tc>
          <w:tcPr>
            <w:tcW w:w="1227" w:type="dxa"/>
            <w:tcBorders>
              <w:top w:val="single" w:sz="4" w:space="0" w:color="365F91"/>
              <w:bottom w:val="single" w:sz="4" w:space="0" w:color="365F91"/>
            </w:tcBorders>
          </w:tcPr>
          <w:p w14:paraId="2EA69599" w14:textId="77777777" w:rsidR="00380BE7" w:rsidRPr="00256982" w:rsidRDefault="00380BE7" w:rsidP="009574E7">
            <w:pPr>
              <w:pStyle w:val="TableText"/>
            </w:pPr>
            <w:r w:rsidRPr="00256982">
              <w:t>Wetlands</w:t>
            </w:r>
          </w:p>
        </w:tc>
        <w:tc>
          <w:tcPr>
            <w:tcW w:w="1750" w:type="dxa"/>
            <w:tcBorders>
              <w:top w:val="single" w:sz="4" w:space="0" w:color="365F91"/>
              <w:bottom w:val="single" w:sz="4" w:space="0" w:color="365F91"/>
            </w:tcBorders>
          </w:tcPr>
          <w:p w14:paraId="47C5DEFB" w14:textId="77777777" w:rsidR="00380BE7" w:rsidRPr="00256982" w:rsidRDefault="00380BE7" w:rsidP="009574E7">
            <w:pPr>
              <w:pStyle w:val="TableText"/>
            </w:pPr>
          </w:p>
        </w:tc>
        <w:tc>
          <w:tcPr>
            <w:tcW w:w="2053" w:type="dxa"/>
            <w:tcBorders>
              <w:top w:val="single" w:sz="4" w:space="0" w:color="365F91"/>
              <w:bottom w:val="single" w:sz="4" w:space="0" w:color="365F91"/>
            </w:tcBorders>
          </w:tcPr>
          <w:p w14:paraId="0D081934" w14:textId="77777777" w:rsidR="00380BE7" w:rsidRPr="00256982" w:rsidRDefault="00380BE7" w:rsidP="009574E7">
            <w:pPr>
              <w:pStyle w:val="TableText"/>
            </w:pPr>
            <w:r w:rsidRPr="00256982">
              <w:t>0</w:t>
            </w:r>
          </w:p>
        </w:tc>
        <w:tc>
          <w:tcPr>
            <w:tcW w:w="1877" w:type="dxa"/>
            <w:tcBorders>
              <w:top w:val="single" w:sz="4" w:space="0" w:color="365F91"/>
              <w:bottom w:val="single" w:sz="4" w:space="0" w:color="365F91"/>
            </w:tcBorders>
          </w:tcPr>
          <w:p w14:paraId="0ABBA773" w14:textId="77777777" w:rsidR="00380BE7" w:rsidRPr="00256982" w:rsidRDefault="00380BE7" w:rsidP="009574E7">
            <w:pPr>
              <w:pStyle w:val="TableText"/>
            </w:pPr>
            <w:r w:rsidRPr="00256982">
              <w:t>All biomass pools</w:t>
            </w:r>
          </w:p>
        </w:tc>
        <w:tc>
          <w:tcPr>
            <w:tcW w:w="1598" w:type="dxa"/>
            <w:tcBorders>
              <w:top w:val="single" w:sz="4" w:space="0" w:color="365F91"/>
              <w:bottom w:val="single" w:sz="4" w:space="0" w:color="365F91"/>
            </w:tcBorders>
          </w:tcPr>
          <w:p w14:paraId="5C13AC29" w14:textId="77777777" w:rsidR="00380BE7" w:rsidRPr="00256982" w:rsidRDefault="00380BE7" w:rsidP="009574E7">
            <w:pPr>
              <w:pStyle w:val="TableText"/>
            </w:pPr>
            <w:r w:rsidRPr="00256982">
              <w:t>IPCC (section 7.2.1.1, 2006a)</w:t>
            </w:r>
          </w:p>
        </w:tc>
      </w:tr>
      <w:tr w:rsidR="00380BE7" w:rsidRPr="00256982" w14:paraId="1148545D" w14:textId="77777777" w:rsidTr="000B7C81">
        <w:tc>
          <w:tcPr>
            <w:tcW w:w="1227" w:type="dxa"/>
            <w:tcBorders>
              <w:top w:val="single" w:sz="4" w:space="0" w:color="365F91"/>
              <w:bottom w:val="single" w:sz="4" w:space="0" w:color="365F91"/>
            </w:tcBorders>
          </w:tcPr>
          <w:p w14:paraId="695682C6" w14:textId="77777777" w:rsidR="00380BE7" w:rsidRPr="00256982" w:rsidRDefault="00380BE7" w:rsidP="009574E7">
            <w:pPr>
              <w:pStyle w:val="TableText"/>
            </w:pPr>
            <w:r w:rsidRPr="00256982">
              <w:t>Settlements</w:t>
            </w:r>
          </w:p>
        </w:tc>
        <w:tc>
          <w:tcPr>
            <w:tcW w:w="1750" w:type="dxa"/>
            <w:tcBorders>
              <w:top w:val="single" w:sz="4" w:space="0" w:color="365F91"/>
              <w:bottom w:val="single" w:sz="4" w:space="0" w:color="365F91"/>
            </w:tcBorders>
          </w:tcPr>
          <w:p w14:paraId="36E3E755" w14:textId="77777777" w:rsidR="00380BE7" w:rsidRPr="00256982" w:rsidRDefault="00380BE7" w:rsidP="009574E7">
            <w:pPr>
              <w:pStyle w:val="TableText"/>
            </w:pPr>
          </w:p>
        </w:tc>
        <w:tc>
          <w:tcPr>
            <w:tcW w:w="2053" w:type="dxa"/>
            <w:tcBorders>
              <w:top w:val="single" w:sz="4" w:space="0" w:color="365F91"/>
              <w:bottom w:val="single" w:sz="4" w:space="0" w:color="365F91"/>
            </w:tcBorders>
          </w:tcPr>
          <w:p w14:paraId="602E75F4" w14:textId="77777777" w:rsidR="00380BE7" w:rsidRPr="00256982" w:rsidRDefault="00380BE7" w:rsidP="009574E7">
            <w:pPr>
              <w:pStyle w:val="TableText"/>
            </w:pPr>
            <w:r w:rsidRPr="00256982">
              <w:t>0</w:t>
            </w:r>
          </w:p>
        </w:tc>
        <w:tc>
          <w:tcPr>
            <w:tcW w:w="1877" w:type="dxa"/>
            <w:tcBorders>
              <w:top w:val="single" w:sz="4" w:space="0" w:color="365F91"/>
              <w:bottom w:val="single" w:sz="4" w:space="0" w:color="365F91"/>
            </w:tcBorders>
          </w:tcPr>
          <w:p w14:paraId="716FF5D1" w14:textId="77777777" w:rsidR="00380BE7" w:rsidRPr="00256982" w:rsidRDefault="00380BE7" w:rsidP="009574E7">
            <w:pPr>
              <w:pStyle w:val="TableText"/>
            </w:pPr>
            <w:r w:rsidRPr="00256982">
              <w:t>All biomass pools</w:t>
            </w:r>
          </w:p>
        </w:tc>
        <w:tc>
          <w:tcPr>
            <w:tcW w:w="1598" w:type="dxa"/>
            <w:tcBorders>
              <w:top w:val="single" w:sz="4" w:space="0" w:color="365F91"/>
              <w:bottom w:val="single" w:sz="4" w:space="0" w:color="365F91"/>
            </w:tcBorders>
          </w:tcPr>
          <w:p w14:paraId="6F364D82" w14:textId="77777777" w:rsidR="00380BE7" w:rsidRPr="00256982" w:rsidRDefault="00380BE7" w:rsidP="009574E7">
            <w:pPr>
              <w:pStyle w:val="TableText"/>
            </w:pPr>
            <w:r w:rsidRPr="00256982">
              <w:t>IPCC (section 8.2.1.1, 2006a)</w:t>
            </w:r>
          </w:p>
        </w:tc>
      </w:tr>
      <w:tr w:rsidR="00380BE7" w:rsidRPr="00256982" w14:paraId="615AC7C9" w14:textId="77777777" w:rsidTr="000B7C81">
        <w:tc>
          <w:tcPr>
            <w:tcW w:w="1227" w:type="dxa"/>
            <w:tcBorders>
              <w:top w:val="single" w:sz="4" w:space="0" w:color="365F91"/>
              <w:bottom w:val="single" w:sz="4" w:space="0" w:color="365F91"/>
            </w:tcBorders>
          </w:tcPr>
          <w:p w14:paraId="1ED92910" w14:textId="77777777" w:rsidR="00380BE7" w:rsidRPr="00256982" w:rsidRDefault="00380BE7" w:rsidP="009574E7">
            <w:pPr>
              <w:pStyle w:val="TableText"/>
            </w:pPr>
            <w:r w:rsidRPr="00256982">
              <w:t>Other land</w:t>
            </w:r>
          </w:p>
        </w:tc>
        <w:tc>
          <w:tcPr>
            <w:tcW w:w="1750" w:type="dxa"/>
            <w:tcBorders>
              <w:top w:val="single" w:sz="4" w:space="0" w:color="365F91"/>
              <w:bottom w:val="single" w:sz="4" w:space="0" w:color="365F91"/>
            </w:tcBorders>
          </w:tcPr>
          <w:p w14:paraId="0C0903E9" w14:textId="77777777" w:rsidR="00380BE7" w:rsidRPr="00256982" w:rsidRDefault="00380BE7" w:rsidP="009574E7">
            <w:pPr>
              <w:pStyle w:val="TableText"/>
            </w:pPr>
          </w:p>
        </w:tc>
        <w:tc>
          <w:tcPr>
            <w:tcW w:w="2053" w:type="dxa"/>
            <w:tcBorders>
              <w:top w:val="single" w:sz="4" w:space="0" w:color="365F91"/>
              <w:bottom w:val="single" w:sz="4" w:space="0" w:color="365F91"/>
            </w:tcBorders>
          </w:tcPr>
          <w:p w14:paraId="50E7C4DB" w14:textId="77777777" w:rsidR="00380BE7" w:rsidRPr="00256982" w:rsidRDefault="00380BE7" w:rsidP="009574E7">
            <w:pPr>
              <w:pStyle w:val="TableText"/>
            </w:pPr>
            <w:r w:rsidRPr="00256982">
              <w:t>0</w:t>
            </w:r>
          </w:p>
        </w:tc>
        <w:tc>
          <w:tcPr>
            <w:tcW w:w="1877" w:type="dxa"/>
            <w:tcBorders>
              <w:top w:val="single" w:sz="4" w:space="0" w:color="365F91"/>
              <w:bottom w:val="single" w:sz="4" w:space="0" w:color="365F91"/>
            </w:tcBorders>
          </w:tcPr>
          <w:p w14:paraId="6677DCC6" w14:textId="77777777" w:rsidR="00380BE7" w:rsidRPr="00256982" w:rsidRDefault="00380BE7" w:rsidP="009574E7">
            <w:pPr>
              <w:pStyle w:val="TableText"/>
            </w:pPr>
            <w:r w:rsidRPr="00256982">
              <w:t>All biomass pools</w:t>
            </w:r>
          </w:p>
        </w:tc>
        <w:tc>
          <w:tcPr>
            <w:tcW w:w="1598" w:type="dxa"/>
            <w:tcBorders>
              <w:top w:val="single" w:sz="4" w:space="0" w:color="365F91"/>
              <w:bottom w:val="single" w:sz="4" w:space="0" w:color="365F91"/>
            </w:tcBorders>
          </w:tcPr>
          <w:p w14:paraId="1F5D8241" w14:textId="77777777" w:rsidR="00380BE7" w:rsidRPr="00256982" w:rsidRDefault="00380BE7" w:rsidP="009574E7">
            <w:pPr>
              <w:pStyle w:val="TableText"/>
            </w:pPr>
            <w:r w:rsidRPr="00256982">
              <w:t>IPCC (section 9.2, 2006a)</w:t>
            </w:r>
          </w:p>
        </w:tc>
      </w:tr>
    </w:tbl>
    <w:p w14:paraId="72AF517E" w14:textId="77777777" w:rsidR="00380BE7" w:rsidRPr="00256982" w:rsidRDefault="00380BE7" w:rsidP="00380BE7">
      <w:pPr>
        <w:pStyle w:val="Noteundertable"/>
      </w:pPr>
      <w:r w:rsidRPr="00256982">
        <w:rPr>
          <w:b/>
        </w:rPr>
        <w:t>Note:</w:t>
      </w:r>
      <w:r w:rsidRPr="00256982">
        <w:tab/>
        <w:t>* For conversions from natural forest, the carbon stock emitted instantaneously depends on the vegetation present (tall forest or regenerating) immediately before conversion; this is described later in this section. ‘All biomass pools’ includes above- and below-ground biomass, litter and dead organic matter. See section 6.3 and each category-specific section under ‘Methodological issues’ for further details on how emissions are estimated.</w:t>
      </w:r>
    </w:p>
    <w:p w14:paraId="4AD6490E" w14:textId="77777777" w:rsidR="00380BE7" w:rsidRPr="00256982" w:rsidRDefault="00380BE7" w:rsidP="00380BE7">
      <w:pPr>
        <w:pStyle w:val="Table"/>
      </w:pPr>
      <w:bookmarkStart w:id="951" w:name="_Toc310423391"/>
      <w:bookmarkStart w:id="952" w:name="_Toc318362684"/>
      <w:bookmarkStart w:id="953" w:name="_Toc342470746"/>
      <w:bookmarkStart w:id="954" w:name="_Toc352504986"/>
      <w:bookmarkStart w:id="955" w:name="_Toc378853275"/>
      <w:bookmarkStart w:id="956" w:name="_Toc391024073"/>
      <w:bookmarkStart w:id="957" w:name="_Toc410028816"/>
      <w:bookmarkStart w:id="958" w:name="_Toc414531444"/>
      <w:bookmarkStart w:id="959" w:name="_Toc443645356"/>
      <w:bookmarkStart w:id="960" w:name="_Toc474914575"/>
      <w:bookmarkStart w:id="961" w:name="_Toc481751539"/>
      <w:bookmarkStart w:id="962" w:name="_Toc522010596"/>
      <w:bookmarkStart w:id="963" w:name="_Toc5269501"/>
      <w:r w:rsidRPr="00256982">
        <w:lastRenderedPageBreak/>
        <w:t>Table 6.1.4</w:t>
      </w:r>
      <w:r w:rsidRPr="00256982">
        <w:tab/>
        <w:t xml:space="preserve">New Zealand’s emission factors for annual growth in biomass </w:t>
      </w:r>
      <w:bookmarkEnd w:id="951"/>
      <w:bookmarkEnd w:id="952"/>
      <w:bookmarkEnd w:id="953"/>
      <w:bookmarkEnd w:id="954"/>
      <w:r w:rsidRPr="00256982">
        <w:t>carbon stock in land after conversion</w:t>
      </w:r>
      <w:bookmarkEnd w:id="955"/>
      <w:bookmarkEnd w:id="956"/>
      <w:bookmarkEnd w:id="957"/>
      <w:bookmarkEnd w:id="958"/>
      <w:bookmarkEnd w:id="959"/>
      <w:bookmarkEnd w:id="960"/>
      <w:bookmarkEnd w:id="961"/>
      <w:bookmarkEnd w:id="962"/>
      <w:bookmarkEnd w:id="963"/>
    </w:p>
    <w:tbl>
      <w:tblPr>
        <w:tblW w:w="8562" w:type="dxa"/>
        <w:tblInd w:w="108" w:type="dxa"/>
        <w:tblLayout w:type="fixed"/>
        <w:tblLook w:val="04A0" w:firstRow="1" w:lastRow="0" w:firstColumn="1" w:lastColumn="0" w:noHBand="0" w:noVBand="1"/>
      </w:tblPr>
      <w:tblGrid>
        <w:gridCol w:w="1141"/>
        <w:gridCol w:w="1428"/>
        <w:gridCol w:w="1737"/>
        <w:gridCol w:w="1366"/>
        <w:gridCol w:w="1366"/>
        <w:gridCol w:w="1524"/>
      </w:tblGrid>
      <w:tr w:rsidR="00380BE7" w:rsidRPr="00256982" w14:paraId="7D0D70FC" w14:textId="77777777" w:rsidTr="000B7C81">
        <w:trPr>
          <w:tblHeader/>
        </w:trPr>
        <w:tc>
          <w:tcPr>
            <w:tcW w:w="1134" w:type="dxa"/>
            <w:tcBorders>
              <w:top w:val="single" w:sz="4" w:space="0" w:color="365F91"/>
              <w:bottom w:val="single" w:sz="4" w:space="0" w:color="365F91"/>
            </w:tcBorders>
            <w:shd w:val="clear" w:color="auto" w:fill="365F91"/>
            <w:vAlign w:val="bottom"/>
          </w:tcPr>
          <w:p w14:paraId="19BD88B6" w14:textId="77777777" w:rsidR="00380BE7" w:rsidRPr="00256982" w:rsidRDefault="00380BE7" w:rsidP="009574E7">
            <w:pPr>
              <w:pStyle w:val="TableTextBold"/>
              <w:keepNext/>
              <w:rPr>
                <w:noProof w:val="0"/>
                <w:color w:val="FFFFFF"/>
              </w:rPr>
            </w:pPr>
            <w:r w:rsidRPr="00256982">
              <w:rPr>
                <w:noProof w:val="0"/>
                <w:color w:val="FFFFFF"/>
              </w:rPr>
              <w:t>Category</w:t>
            </w:r>
          </w:p>
        </w:tc>
        <w:tc>
          <w:tcPr>
            <w:tcW w:w="1418" w:type="dxa"/>
            <w:tcBorders>
              <w:top w:val="single" w:sz="4" w:space="0" w:color="365F91"/>
              <w:bottom w:val="single" w:sz="4" w:space="0" w:color="365F91"/>
            </w:tcBorders>
            <w:shd w:val="clear" w:color="auto" w:fill="365F91"/>
            <w:vAlign w:val="bottom"/>
          </w:tcPr>
          <w:p w14:paraId="173273CE" w14:textId="77777777" w:rsidR="00380BE7" w:rsidRPr="00256982" w:rsidRDefault="00380BE7" w:rsidP="009574E7">
            <w:pPr>
              <w:pStyle w:val="TableTextBold"/>
              <w:keepNext/>
              <w:rPr>
                <w:noProof w:val="0"/>
                <w:color w:val="FFFFFF"/>
              </w:rPr>
            </w:pPr>
            <w:r w:rsidRPr="00256982">
              <w:rPr>
                <w:noProof w:val="0"/>
                <w:color w:val="FFFFFF"/>
              </w:rPr>
              <w:t xml:space="preserve">Land use </w:t>
            </w:r>
          </w:p>
        </w:tc>
        <w:tc>
          <w:tcPr>
            <w:tcW w:w="1725" w:type="dxa"/>
            <w:tcBorders>
              <w:top w:val="single" w:sz="4" w:space="0" w:color="365F91"/>
              <w:bottom w:val="single" w:sz="4" w:space="0" w:color="365F91"/>
            </w:tcBorders>
            <w:shd w:val="clear" w:color="auto" w:fill="365F91"/>
            <w:vAlign w:val="bottom"/>
          </w:tcPr>
          <w:p w14:paraId="05915678" w14:textId="77777777" w:rsidR="00380BE7" w:rsidRPr="00256982" w:rsidRDefault="00380BE7" w:rsidP="009574E7">
            <w:pPr>
              <w:pStyle w:val="TableTextBold"/>
              <w:keepNext/>
              <w:rPr>
                <w:noProof w:val="0"/>
                <w:color w:val="FFFFFF"/>
              </w:rPr>
            </w:pPr>
            <w:r w:rsidRPr="00256982">
              <w:rPr>
                <w:noProof w:val="0"/>
                <w:color w:val="FFFFFF"/>
              </w:rPr>
              <w:t>Annual carbon stock change</w:t>
            </w:r>
            <w:r w:rsidRPr="00256982">
              <w:rPr>
                <w:noProof w:val="0"/>
                <w:color w:val="FFFFFF"/>
              </w:rPr>
              <w:br/>
              <w:t>(t C ha</w:t>
            </w:r>
            <w:r w:rsidRPr="00256982">
              <w:rPr>
                <w:rFonts w:ascii="Arial Bold" w:hAnsi="Arial Bold"/>
                <w:noProof w:val="0"/>
                <w:color w:val="FFFFFF"/>
                <w:vertAlign w:val="superscript"/>
              </w:rPr>
              <w:t>–1</w:t>
            </w:r>
            <w:r w:rsidRPr="00256982">
              <w:rPr>
                <w:noProof w:val="0"/>
                <w:color w:val="FFFFFF"/>
              </w:rPr>
              <w:t>)</w:t>
            </w:r>
          </w:p>
        </w:tc>
        <w:tc>
          <w:tcPr>
            <w:tcW w:w="1357" w:type="dxa"/>
            <w:tcBorders>
              <w:top w:val="single" w:sz="4" w:space="0" w:color="365F91"/>
              <w:bottom w:val="single" w:sz="4" w:space="0" w:color="365F91"/>
            </w:tcBorders>
            <w:shd w:val="clear" w:color="auto" w:fill="365F91"/>
            <w:vAlign w:val="bottom"/>
          </w:tcPr>
          <w:p w14:paraId="33AEE8A6" w14:textId="77777777" w:rsidR="00380BE7" w:rsidRPr="00256982" w:rsidRDefault="00380BE7" w:rsidP="009574E7">
            <w:pPr>
              <w:pStyle w:val="TableTextBold"/>
              <w:keepNext/>
              <w:rPr>
                <w:noProof w:val="0"/>
                <w:color w:val="FFFFFF"/>
              </w:rPr>
            </w:pPr>
            <w:r w:rsidRPr="00256982">
              <w:rPr>
                <w:noProof w:val="0"/>
                <w:color w:val="FFFFFF"/>
              </w:rPr>
              <w:t>Carbon stock maturity cycle</w:t>
            </w:r>
          </w:p>
        </w:tc>
        <w:tc>
          <w:tcPr>
            <w:tcW w:w="1357" w:type="dxa"/>
            <w:tcBorders>
              <w:top w:val="single" w:sz="4" w:space="0" w:color="365F91"/>
              <w:bottom w:val="single" w:sz="4" w:space="0" w:color="365F91"/>
            </w:tcBorders>
            <w:shd w:val="clear" w:color="auto" w:fill="365F91"/>
            <w:vAlign w:val="bottom"/>
          </w:tcPr>
          <w:p w14:paraId="582004D7" w14:textId="77777777" w:rsidR="00380BE7" w:rsidRPr="00256982" w:rsidRDefault="00380BE7" w:rsidP="009574E7">
            <w:pPr>
              <w:pStyle w:val="TableTextBold"/>
              <w:keepNext/>
              <w:rPr>
                <w:noProof w:val="0"/>
                <w:color w:val="FFFFFF"/>
              </w:rPr>
            </w:pPr>
            <w:r w:rsidRPr="00256982">
              <w:rPr>
                <w:noProof w:val="0"/>
                <w:color w:val="FFFFFF"/>
              </w:rPr>
              <w:t>Carbon pools</w:t>
            </w:r>
          </w:p>
        </w:tc>
        <w:tc>
          <w:tcPr>
            <w:tcW w:w="1514" w:type="dxa"/>
            <w:tcBorders>
              <w:top w:val="single" w:sz="4" w:space="0" w:color="365F91"/>
              <w:bottom w:val="single" w:sz="4" w:space="0" w:color="365F91"/>
            </w:tcBorders>
            <w:shd w:val="clear" w:color="auto" w:fill="365F91"/>
            <w:vAlign w:val="bottom"/>
          </w:tcPr>
          <w:p w14:paraId="5F669275" w14:textId="77777777" w:rsidR="00380BE7" w:rsidRPr="00256982" w:rsidRDefault="00380BE7" w:rsidP="009574E7">
            <w:pPr>
              <w:pStyle w:val="TableTextBold"/>
              <w:keepNext/>
              <w:rPr>
                <w:noProof w:val="0"/>
                <w:color w:val="FFFFFF"/>
              </w:rPr>
            </w:pPr>
            <w:r w:rsidRPr="00256982">
              <w:rPr>
                <w:noProof w:val="0"/>
                <w:color w:val="FFFFFF"/>
              </w:rPr>
              <w:t>Reference</w:t>
            </w:r>
          </w:p>
        </w:tc>
      </w:tr>
      <w:tr w:rsidR="00380BE7" w:rsidRPr="00256982" w14:paraId="208B83C1" w14:textId="77777777" w:rsidTr="000B7C81">
        <w:tc>
          <w:tcPr>
            <w:tcW w:w="1134" w:type="dxa"/>
            <w:vMerge w:val="restart"/>
            <w:tcBorders>
              <w:top w:val="single" w:sz="4" w:space="0" w:color="365F91"/>
              <w:bottom w:val="single" w:sz="4" w:space="0" w:color="365F91"/>
            </w:tcBorders>
          </w:tcPr>
          <w:p w14:paraId="07B475A0" w14:textId="77777777" w:rsidR="00380BE7" w:rsidRPr="00256982" w:rsidRDefault="00380BE7" w:rsidP="000B7C81">
            <w:pPr>
              <w:pStyle w:val="TableText"/>
              <w:keepNext/>
            </w:pPr>
            <w:r w:rsidRPr="00256982">
              <w:t>Forest land</w:t>
            </w:r>
          </w:p>
        </w:tc>
        <w:tc>
          <w:tcPr>
            <w:tcW w:w="1418" w:type="dxa"/>
            <w:tcBorders>
              <w:top w:val="single" w:sz="4" w:space="0" w:color="365F91"/>
              <w:bottom w:val="single" w:sz="4" w:space="0" w:color="365F91"/>
            </w:tcBorders>
          </w:tcPr>
          <w:p w14:paraId="31113B31" w14:textId="77777777" w:rsidR="00380BE7" w:rsidRPr="00256982" w:rsidRDefault="00380BE7" w:rsidP="000B7C81">
            <w:pPr>
              <w:pStyle w:val="TableText"/>
              <w:keepNext/>
            </w:pPr>
            <w:r w:rsidRPr="00256982">
              <w:t>Pre-1990 natural forest</w:t>
            </w:r>
          </w:p>
        </w:tc>
        <w:tc>
          <w:tcPr>
            <w:tcW w:w="1725" w:type="dxa"/>
            <w:tcBorders>
              <w:top w:val="single" w:sz="4" w:space="0" w:color="365F91"/>
              <w:bottom w:val="single" w:sz="4" w:space="0" w:color="365F91"/>
            </w:tcBorders>
          </w:tcPr>
          <w:p w14:paraId="7D1885E3" w14:textId="77777777" w:rsidR="00380BE7" w:rsidRPr="00256982" w:rsidRDefault="00380BE7" w:rsidP="000B7C81">
            <w:pPr>
              <w:pStyle w:val="TableText"/>
              <w:keepNext/>
            </w:pPr>
            <w:r w:rsidRPr="00256982">
              <w:t>Based on net annual growth increment</w:t>
            </w:r>
          </w:p>
        </w:tc>
        <w:tc>
          <w:tcPr>
            <w:tcW w:w="1357" w:type="dxa"/>
            <w:tcBorders>
              <w:top w:val="single" w:sz="4" w:space="0" w:color="365F91"/>
              <w:bottom w:val="single" w:sz="4" w:space="0" w:color="365F91"/>
            </w:tcBorders>
          </w:tcPr>
          <w:p w14:paraId="30D5536C" w14:textId="77777777" w:rsidR="00380BE7" w:rsidRPr="00256982" w:rsidRDefault="00380BE7" w:rsidP="000B7C81">
            <w:pPr>
              <w:pStyle w:val="TableText"/>
              <w:keepNext/>
            </w:pPr>
            <w:r w:rsidRPr="00256982">
              <w:t>NA</w:t>
            </w:r>
          </w:p>
        </w:tc>
        <w:tc>
          <w:tcPr>
            <w:tcW w:w="1357" w:type="dxa"/>
            <w:tcBorders>
              <w:top w:val="single" w:sz="4" w:space="0" w:color="365F91"/>
              <w:bottom w:val="single" w:sz="4" w:space="0" w:color="365F91"/>
            </w:tcBorders>
          </w:tcPr>
          <w:p w14:paraId="02EE16C0" w14:textId="77777777" w:rsidR="00380BE7" w:rsidRPr="00256982" w:rsidRDefault="00380BE7" w:rsidP="000B7C81">
            <w:pPr>
              <w:pStyle w:val="TableText"/>
              <w:keepNext/>
            </w:pPr>
            <w:r w:rsidRPr="00256982">
              <w:t xml:space="preserve">All biomass pools </w:t>
            </w:r>
          </w:p>
        </w:tc>
        <w:tc>
          <w:tcPr>
            <w:tcW w:w="1514" w:type="dxa"/>
            <w:tcBorders>
              <w:top w:val="single" w:sz="4" w:space="0" w:color="365F91"/>
              <w:bottom w:val="single" w:sz="4" w:space="0" w:color="365F91"/>
            </w:tcBorders>
          </w:tcPr>
          <w:p w14:paraId="02EB864A" w14:textId="77777777" w:rsidR="00380BE7" w:rsidRPr="00256982" w:rsidRDefault="00380BE7" w:rsidP="000B7C81">
            <w:pPr>
              <w:pStyle w:val="TableText"/>
              <w:keepNext/>
            </w:pPr>
            <w:r w:rsidRPr="00256982">
              <w:t>LUCAS plot-based estimate</w:t>
            </w:r>
          </w:p>
        </w:tc>
      </w:tr>
      <w:tr w:rsidR="00380BE7" w:rsidRPr="00256982" w14:paraId="02BE6456" w14:textId="77777777" w:rsidTr="000B7C81">
        <w:tc>
          <w:tcPr>
            <w:tcW w:w="1134" w:type="dxa"/>
            <w:vMerge/>
            <w:tcBorders>
              <w:top w:val="single" w:sz="4" w:space="0" w:color="365F91"/>
              <w:bottom w:val="single" w:sz="4" w:space="0" w:color="365F91"/>
            </w:tcBorders>
          </w:tcPr>
          <w:p w14:paraId="234A3670" w14:textId="77777777" w:rsidR="00380BE7" w:rsidRPr="00256982" w:rsidRDefault="00380BE7" w:rsidP="000B7C81">
            <w:pPr>
              <w:pStyle w:val="TableText"/>
              <w:keepNext/>
            </w:pPr>
          </w:p>
        </w:tc>
        <w:tc>
          <w:tcPr>
            <w:tcW w:w="1418" w:type="dxa"/>
            <w:tcBorders>
              <w:top w:val="single" w:sz="4" w:space="0" w:color="365F91"/>
              <w:bottom w:val="single" w:sz="4" w:space="0" w:color="365F91"/>
            </w:tcBorders>
          </w:tcPr>
          <w:p w14:paraId="711722C7" w14:textId="77777777" w:rsidR="00380BE7" w:rsidRPr="00256982" w:rsidRDefault="00380BE7" w:rsidP="000B7C81">
            <w:pPr>
              <w:pStyle w:val="TableText"/>
              <w:keepNext/>
            </w:pPr>
            <w:r w:rsidRPr="00256982">
              <w:t>Pre-1990 planted forest</w:t>
            </w:r>
          </w:p>
        </w:tc>
        <w:tc>
          <w:tcPr>
            <w:tcW w:w="1725" w:type="dxa"/>
            <w:tcBorders>
              <w:top w:val="single" w:sz="4" w:space="0" w:color="365F91"/>
              <w:bottom w:val="single" w:sz="4" w:space="0" w:color="365F91"/>
            </w:tcBorders>
          </w:tcPr>
          <w:p w14:paraId="1F9E200F" w14:textId="77777777" w:rsidR="00380BE7" w:rsidRPr="00256982" w:rsidRDefault="00380BE7" w:rsidP="000B7C81">
            <w:pPr>
              <w:pStyle w:val="TableText"/>
              <w:keepNext/>
            </w:pPr>
            <w:r w:rsidRPr="00256982">
              <w:t>Based on an age-based carbon yield table</w:t>
            </w:r>
          </w:p>
        </w:tc>
        <w:tc>
          <w:tcPr>
            <w:tcW w:w="1357" w:type="dxa"/>
            <w:tcBorders>
              <w:top w:val="single" w:sz="4" w:space="0" w:color="365F91"/>
              <w:bottom w:val="single" w:sz="4" w:space="0" w:color="365F91"/>
            </w:tcBorders>
          </w:tcPr>
          <w:p w14:paraId="1040AB5B" w14:textId="77777777" w:rsidR="00380BE7" w:rsidRPr="00256982" w:rsidRDefault="00380BE7" w:rsidP="000B7C81">
            <w:pPr>
              <w:pStyle w:val="TableText"/>
              <w:keepNext/>
            </w:pPr>
            <w:r w:rsidRPr="00256982">
              <w:t>NA</w:t>
            </w:r>
          </w:p>
        </w:tc>
        <w:tc>
          <w:tcPr>
            <w:tcW w:w="1357" w:type="dxa"/>
            <w:tcBorders>
              <w:top w:val="single" w:sz="4" w:space="0" w:color="365F91"/>
              <w:bottom w:val="single" w:sz="4" w:space="0" w:color="365F91"/>
            </w:tcBorders>
          </w:tcPr>
          <w:p w14:paraId="1BFA759D" w14:textId="77777777" w:rsidR="00380BE7" w:rsidRPr="00256982" w:rsidRDefault="00380BE7" w:rsidP="000B7C81">
            <w:pPr>
              <w:pStyle w:val="TableText"/>
              <w:keepNext/>
            </w:pPr>
            <w:r w:rsidRPr="00256982">
              <w:t xml:space="preserve">All biomass pools </w:t>
            </w:r>
          </w:p>
        </w:tc>
        <w:tc>
          <w:tcPr>
            <w:tcW w:w="1514" w:type="dxa"/>
            <w:tcBorders>
              <w:top w:val="single" w:sz="4" w:space="0" w:color="365F91"/>
              <w:bottom w:val="single" w:sz="4" w:space="0" w:color="365F91"/>
            </w:tcBorders>
          </w:tcPr>
          <w:p w14:paraId="727EBA4F" w14:textId="77777777" w:rsidR="00380BE7" w:rsidRPr="00256982" w:rsidRDefault="00380BE7" w:rsidP="000B7C81">
            <w:pPr>
              <w:pStyle w:val="TableText"/>
              <w:keepNext/>
            </w:pPr>
            <w:r w:rsidRPr="00256982">
              <w:t>LUCAS plot-based estimate</w:t>
            </w:r>
          </w:p>
        </w:tc>
      </w:tr>
      <w:tr w:rsidR="00380BE7" w:rsidRPr="00256982" w14:paraId="4EBDA3A3" w14:textId="77777777" w:rsidTr="000B7C81">
        <w:tc>
          <w:tcPr>
            <w:tcW w:w="1134" w:type="dxa"/>
            <w:vMerge/>
            <w:tcBorders>
              <w:top w:val="single" w:sz="4" w:space="0" w:color="365F91"/>
              <w:bottom w:val="single" w:sz="4" w:space="0" w:color="365F91"/>
            </w:tcBorders>
          </w:tcPr>
          <w:p w14:paraId="5D1BDFA1" w14:textId="77777777" w:rsidR="00380BE7" w:rsidRPr="00256982" w:rsidRDefault="00380BE7" w:rsidP="000B7C81">
            <w:pPr>
              <w:pStyle w:val="TableText"/>
              <w:keepNext/>
            </w:pPr>
          </w:p>
        </w:tc>
        <w:tc>
          <w:tcPr>
            <w:tcW w:w="1418" w:type="dxa"/>
            <w:tcBorders>
              <w:top w:val="single" w:sz="4" w:space="0" w:color="365F91"/>
              <w:bottom w:val="single" w:sz="4" w:space="0" w:color="365F91"/>
            </w:tcBorders>
          </w:tcPr>
          <w:p w14:paraId="115EF9A9" w14:textId="77777777" w:rsidR="00380BE7" w:rsidRPr="00256982" w:rsidRDefault="00380BE7" w:rsidP="000B7C81">
            <w:pPr>
              <w:pStyle w:val="TableText"/>
              <w:keepNext/>
            </w:pPr>
            <w:r w:rsidRPr="00256982">
              <w:t>Post-1989 natural forest</w:t>
            </w:r>
          </w:p>
        </w:tc>
        <w:tc>
          <w:tcPr>
            <w:tcW w:w="1725" w:type="dxa"/>
            <w:tcBorders>
              <w:top w:val="single" w:sz="4" w:space="0" w:color="365F91"/>
              <w:bottom w:val="single" w:sz="4" w:space="0" w:color="365F91"/>
            </w:tcBorders>
          </w:tcPr>
          <w:p w14:paraId="039C8E88" w14:textId="77777777" w:rsidR="00380BE7" w:rsidRPr="00256982" w:rsidRDefault="00380BE7" w:rsidP="000B7C81">
            <w:pPr>
              <w:pStyle w:val="TableText"/>
              <w:keepNext/>
            </w:pPr>
            <w:r w:rsidRPr="00256982">
              <w:t>Based on an age-based carbon yield table</w:t>
            </w:r>
          </w:p>
        </w:tc>
        <w:tc>
          <w:tcPr>
            <w:tcW w:w="1357" w:type="dxa"/>
            <w:tcBorders>
              <w:top w:val="single" w:sz="4" w:space="0" w:color="365F91"/>
              <w:bottom w:val="single" w:sz="4" w:space="0" w:color="365F91"/>
            </w:tcBorders>
          </w:tcPr>
          <w:p w14:paraId="2814AB7C" w14:textId="77777777" w:rsidR="00380BE7" w:rsidRPr="00256982" w:rsidRDefault="00380BE7" w:rsidP="000B7C81">
            <w:pPr>
              <w:pStyle w:val="TableText"/>
              <w:keepNext/>
            </w:pPr>
            <w:r w:rsidRPr="00256982">
              <w:t>NA</w:t>
            </w:r>
          </w:p>
        </w:tc>
        <w:tc>
          <w:tcPr>
            <w:tcW w:w="1357" w:type="dxa"/>
            <w:tcBorders>
              <w:top w:val="single" w:sz="4" w:space="0" w:color="365F91"/>
              <w:bottom w:val="single" w:sz="4" w:space="0" w:color="365F91"/>
            </w:tcBorders>
          </w:tcPr>
          <w:p w14:paraId="3C0370BD" w14:textId="77777777" w:rsidR="00380BE7" w:rsidRPr="00256982" w:rsidRDefault="00380BE7" w:rsidP="000B7C81">
            <w:pPr>
              <w:pStyle w:val="TableText"/>
              <w:keepNext/>
            </w:pPr>
            <w:r w:rsidRPr="00256982">
              <w:t xml:space="preserve">All biomass pools </w:t>
            </w:r>
          </w:p>
        </w:tc>
        <w:tc>
          <w:tcPr>
            <w:tcW w:w="1514" w:type="dxa"/>
            <w:tcBorders>
              <w:top w:val="single" w:sz="4" w:space="0" w:color="365F91"/>
              <w:bottom w:val="single" w:sz="4" w:space="0" w:color="365F91"/>
            </w:tcBorders>
          </w:tcPr>
          <w:p w14:paraId="6B08E171" w14:textId="77777777" w:rsidR="00380BE7" w:rsidRPr="00256982" w:rsidRDefault="00380BE7" w:rsidP="000B7C81">
            <w:pPr>
              <w:pStyle w:val="TableText"/>
              <w:keepNext/>
            </w:pPr>
            <w:r w:rsidRPr="00256982">
              <w:t>LUCAS plot-based estimate</w:t>
            </w:r>
          </w:p>
        </w:tc>
      </w:tr>
      <w:tr w:rsidR="00380BE7" w:rsidRPr="00256982" w14:paraId="2C68FFC9" w14:textId="77777777" w:rsidTr="000B7C81">
        <w:tc>
          <w:tcPr>
            <w:tcW w:w="1134" w:type="dxa"/>
            <w:vMerge/>
            <w:tcBorders>
              <w:top w:val="single" w:sz="4" w:space="0" w:color="365F91"/>
              <w:bottom w:val="single" w:sz="4" w:space="0" w:color="365F91"/>
            </w:tcBorders>
          </w:tcPr>
          <w:p w14:paraId="5C3B7A28" w14:textId="77777777" w:rsidR="00380BE7" w:rsidRPr="00256982" w:rsidRDefault="00380BE7" w:rsidP="009574E7">
            <w:pPr>
              <w:pStyle w:val="TableText"/>
            </w:pPr>
          </w:p>
        </w:tc>
        <w:tc>
          <w:tcPr>
            <w:tcW w:w="1418" w:type="dxa"/>
            <w:tcBorders>
              <w:top w:val="single" w:sz="4" w:space="0" w:color="365F91"/>
              <w:bottom w:val="single" w:sz="4" w:space="0" w:color="365F91"/>
            </w:tcBorders>
          </w:tcPr>
          <w:p w14:paraId="70CA377B" w14:textId="77777777" w:rsidR="00380BE7" w:rsidRPr="00256982" w:rsidRDefault="00380BE7" w:rsidP="009574E7">
            <w:pPr>
              <w:pStyle w:val="TableText"/>
            </w:pPr>
            <w:r w:rsidRPr="00256982">
              <w:t>Post-1989 planted forest</w:t>
            </w:r>
          </w:p>
        </w:tc>
        <w:tc>
          <w:tcPr>
            <w:tcW w:w="1725" w:type="dxa"/>
            <w:tcBorders>
              <w:top w:val="single" w:sz="4" w:space="0" w:color="365F91"/>
              <w:bottom w:val="single" w:sz="4" w:space="0" w:color="365F91"/>
            </w:tcBorders>
          </w:tcPr>
          <w:p w14:paraId="18BF598E" w14:textId="77777777" w:rsidR="00380BE7" w:rsidRPr="00256982" w:rsidRDefault="00380BE7" w:rsidP="009574E7">
            <w:pPr>
              <w:pStyle w:val="TableText"/>
            </w:pPr>
            <w:r w:rsidRPr="00256982">
              <w:t>Based on an age-based carbon yield table</w:t>
            </w:r>
          </w:p>
        </w:tc>
        <w:tc>
          <w:tcPr>
            <w:tcW w:w="1357" w:type="dxa"/>
            <w:tcBorders>
              <w:top w:val="single" w:sz="4" w:space="0" w:color="365F91"/>
              <w:bottom w:val="single" w:sz="4" w:space="0" w:color="365F91"/>
            </w:tcBorders>
          </w:tcPr>
          <w:p w14:paraId="7FDB5767" w14:textId="77777777" w:rsidR="00380BE7" w:rsidRPr="00256982" w:rsidRDefault="00380BE7" w:rsidP="009574E7">
            <w:pPr>
              <w:pStyle w:val="TableText"/>
            </w:pPr>
            <w:r w:rsidRPr="00256982">
              <w:t>NA</w:t>
            </w:r>
          </w:p>
        </w:tc>
        <w:tc>
          <w:tcPr>
            <w:tcW w:w="1357" w:type="dxa"/>
            <w:tcBorders>
              <w:top w:val="single" w:sz="4" w:space="0" w:color="365F91"/>
              <w:bottom w:val="single" w:sz="4" w:space="0" w:color="365F91"/>
            </w:tcBorders>
          </w:tcPr>
          <w:p w14:paraId="1CB4FAD0" w14:textId="77777777" w:rsidR="00380BE7" w:rsidRPr="00256982" w:rsidRDefault="00380BE7" w:rsidP="009574E7">
            <w:pPr>
              <w:pStyle w:val="TableText"/>
            </w:pPr>
            <w:r w:rsidRPr="00256982">
              <w:t xml:space="preserve">All biomass pools </w:t>
            </w:r>
          </w:p>
        </w:tc>
        <w:tc>
          <w:tcPr>
            <w:tcW w:w="1514" w:type="dxa"/>
            <w:tcBorders>
              <w:top w:val="single" w:sz="4" w:space="0" w:color="365F91"/>
              <w:bottom w:val="single" w:sz="4" w:space="0" w:color="365F91"/>
            </w:tcBorders>
          </w:tcPr>
          <w:p w14:paraId="6606C2B8" w14:textId="77777777" w:rsidR="00380BE7" w:rsidRPr="00256982" w:rsidRDefault="00380BE7" w:rsidP="009574E7">
            <w:pPr>
              <w:pStyle w:val="TableText"/>
            </w:pPr>
            <w:r w:rsidRPr="00256982">
              <w:t>LUCAS plot-based estimate</w:t>
            </w:r>
          </w:p>
        </w:tc>
      </w:tr>
      <w:tr w:rsidR="00380BE7" w:rsidRPr="00256982" w14:paraId="790AB447" w14:textId="77777777" w:rsidTr="000B7C81">
        <w:tc>
          <w:tcPr>
            <w:tcW w:w="1134" w:type="dxa"/>
            <w:vMerge w:val="restart"/>
            <w:tcBorders>
              <w:top w:val="single" w:sz="4" w:space="0" w:color="365F91"/>
              <w:bottom w:val="single" w:sz="4" w:space="0" w:color="365F91"/>
            </w:tcBorders>
          </w:tcPr>
          <w:p w14:paraId="53298DEC" w14:textId="77777777" w:rsidR="00380BE7" w:rsidRPr="00256982" w:rsidRDefault="00380BE7" w:rsidP="009574E7">
            <w:pPr>
              <w:pStyle w:val="TableText"/>
            </w:pPr>
            <w:r w:rsidRPr="00256982">
              <w:t>Cropland</w:t>
            </w:r>
          </w:p>
        </w:tc>
        <w:tc>
          <w:tcPr>
            <w:tcW w:w="1418" w:type="dxa"/>
            <w:tcBorders>
              <w:top w:val="single" w:sz="4" w:space="0" w:color="365F91"/>
              <w:bottom w:val="single" w:sz="4" w:space="0" w:color="365F91"/>
            </w:tcBorders>
          </w:tcPr>
          <w:p w14:paraId="7C3670A5" w14:textId="77777777" w:rsidR="00380BE7" w:rsidRPr="00256982" w:rsidRDefault="00380BE7" w:rsidP="009574E7">
            <w:pPr>
              <w:pStyle w:val="TableText"/>
            </w:pPr>
            <w:r w:rsidRPr="00256982">
              <w:t>Annual</w:t>
            </w:r>
          </w:p>
        </w:tc>
        <w:tc>
          <w:tcPr>
            <w:tcW w:w="1725" w:type="dxa"/>
            <w:tcBorders>
              <w:top w:val="single" w:sz="4" w:space="0" w:color="365F91"/>
              <w:bottom w:val="single" w:sz="4" w:space="0" w:color="365F91"/>
            </w:tcBorders>
          </w:tcPr>
          <w:p w14:paraId="4F8C68F2" w14:textId="77777777" w:rsidR="00380BE7" w:rsidRPr="00256982" w:rsidRDefault="00380BE7" w:rsidP="009574E7">
            <w:pPr>
              <w:pStyle w:val="TableText"/>
            </w:pPr>
            <w:r w:rsidRPr="00256982">
              <w:t>5</w:t>
            </w:r>
          </w:p>
        </w:tc>
        <w:tc>
          <w:tcPr>
            <w:tcW w:w="1357" w:type="dxa"/>
            <w:tcBorders>
              <w:top w:val="single" w:sz="4" w:space="0" w:color="365F91"/>
              <w:bottom w:val="single" w:sz="4" w:space="0" w:color="365F91"/>
            </w:tcBorders>
          </w:tcPr>
          <w:p w14:paraId="58A2E142" w14:textId="77777777" w:rsidR="00380BE7" w:rsidRPr="00256982" w:rsidRDefault="00380BE7" w:rsidP="009574E7">
            <w:pPr>
              <w:pStyle w:val="TableText"/>
            </w:pPr>
            <w:r w:rsidRPr="00256982">
              <w:t>1</w:t>
            </w:r>
          </w:p>
        </w:tc>
        <w:tc>
          <w:tcPr>
            <w:tcW w:w="1357" w:type="dxa"/>
            <w:tcBorders>
              <w:top w:val="single" w:sz="4" w:space="0" w:color="365F91"/>
              <w:bottom w:val="single" w:sz="4" w:space="0" w:color="365F91"/>
            </w:tcBorders>
          </w:tcPr>
          <w:p w14:paraId="7BA8768B" w14:textId="77777777" w:rsidR="00380BE7" w:rsidRPr="00256982" w:rsidRDefault="00380BE7" w:rsidP="009574E7">
            <w:pPr>
              <w:pStyle w:val="TableText"/>
            </w:pPr>
            <w:r w:rsidRPr="00256982">
              <w:t>Above- and below-ground biomass</w:t>
            </w:r>
          </w:p>
        </w:tc>
        <w:tc>
          <w:tcPr>
            <w:tcW w:w="1514" w:type="dxa"/>
            <w:tcBorders>
              <w:top w:val="single" w:sz="4" w:space="0" w:color="365F91"/>
              <w:bottom w:val="single" w:sz="4" w:space="0" w:color="365F91"/>
            </w:tcBorders>
          </w:tcPr>
          <w:p w14:paraId="08D89CF9" w14:textId="77777777" w:rsidR="00380BE7" w:rsidRPr="00256982" w:rsidRDefault="00380BE7" w:rsidP="009574E7">
            <w:pPr>
              <w:pStyle w:val="TableText"/>
            </w:pPr>
            <w:r w:rsidRPr="00256982">
              <w:t>IPCC (table 5.9, 2006a)</w:t>
            </w:r>
          </w:p>
        </w:tc>
      </w:tr>
      <w:tr w:rsidR="00380BE7" w:rsidRPr="00256982" w14:paraId="579B02FF" w14:textId="77777777" w:rsidTr="000B7C81">
        <w:tc>
          <w:tcPr>
            <w:tcW w:w="1134" w:type="dxa"/>
            <w:vMerge/>
            <w:tcBorders>
              <w:top w:val="single" w:sz="4" w:space="0" w:color="365F91"/>
              <w:bottom w:val="single" w:sz="4" w:space="0" w:color="365F91"/>
            </w:tcBorders>
          </w:tcPr>
          <w:p w14:paraId="2AB2EDFF" w14:textId="77777777" w:rsidR="00380BE7" w:rsidRPr="00256982" w:rsidRDefault="00380BE7" w:rsidP="009574E7">
            <w:pPr>
              <w:pStyle w:val="TableText"/>
            </w:pPr>
          </w:p>
        </w:tc>
        <w:tc>
          <w:tcPr>
            <w:tcW w:w="1418" w:type="dxa"/>
            <w:tcBorders>
              <w:top w:val="single" w:sz="4" w:space="0" w:color="365F91"/>
              <w:bottom w:val="single" w:sz="4" w:space="0" w:color="365F91"/>
            </w:tcBorders>
          </w:tcPr>
          <w:p w14:paraId="2D612030" w14:textId="77777777" w:rsidR="00380BE7" w:rsidRPr="00256982" w:rsidRDefault="00380BE7" w:rsidP="009574E7">
            <w:pPr>
              <w:pStyle w:val="TableText"/>
            </w:pPr>
            <w:r w:rsidRPr="00256982">
              <w:t>Perennial</w:t>
            </w:r>
          </w:p>
        </w:tc>
        <w:tc>
          <w:tcPr>
            <w:tcW w:w="1725" w:type="dxa"/>
            <w:tcBorders>
              <w:top w:val="single" w:sz="4" w:space="0" w:color="365F91"/>
              <w:bottom w:val="single" w:sz="4" w:space="0" w:color="365F91"/>
            </w:tcBorders>
          </w:tcPr>
          <w:p w14:paraId="021C8F08" w14:textId="77777777" w:rsidR="00380BE7" w:rsidRPr="00256982" w:rsidRDefault="00380BE7" w:rsidP="009574E7">
            <w:pPr>
              <w:pStyle w:val="TableText"/>
            </w:pPr>
            <w:r w:rsidRPr="00256982">
              <w:t>0.67</w:t>
            </w:r>
          </w:p>
        </w:tc>
        <w:tc>
          <w:tcPr>
            <w:tcW w:w="1357" w:type="dxa"/>
            <w:tcBorders>
              <w:top w:val="single" w:sz="4" w:space="0" w:color="365F91"/>
              <w:bottom w:val="single" w:sz="4" w:space="0" w:color="365F91"/>
            </w:tcBorders>
          </w:tcPr>
          <w:p w14:paraId="1CA7E539" w14:textId="77777777" w:rsidR="00380BE7" w:rsidRPr="00256982" w:rsidRDefault="00380BE7" w:rsidP="009574E7">
            <w:pPr>
              <w:pStyle w:val="TableText"/>
            </w:pPr>
            <w:r w:rsidRPr="00256982">
              <w:t>28</w:t>
            </w:r>
          </w:p>
        </w:tc>
        <w:tc>
          <w:tcPr>
            <w:tcW w:w="1357" w:type="dxa"/>
            <w:tcBorders>
              <w:top w:val="single" w:sz="4" w:space="0" w:color="365F91"/>
              <w:bottom w:val="single" w:sz="4" w:space="0" w:color="365F91"/>
            </w:tcBorders>
          </w:tcPr>
          <w:p w14:paraId="701181D7" w14:textId="77777777" w:rsidR="00380BE7" w:rsidRPr="00256982" w:rsidRDefault="00380BE7" w:rsidP="009574E7">
            <w:pPr>
              <w:pStyle w:val="TableText"/>
            </w:pPr>
            <w:r w:rsidRPr="00256982">
              <w:t>Above-ground biomass</w:t>
            </w:r>
          </w:p>
        </w:tc>
        <w:tc>
          <w:tcPr>
            <w:tcW w:w="1514" w:type="dxa"/>
            <w:tcBorders>
              <w:top w:val="single" w:sz="4" w:space="0" w:color="365F91"/>
              <w:bottom w:val="single" w:sz="4" w:space="0" w:color="365F91"/>
            </w:tcBorders>
          </w:tcPr>
          <w:p w14:paraId="6AAF068B" w14:textId="77777777" w:rsidR="00380BE7" w:rsidRPr="00256982" w:rsidRDefault="00380BE7" w:rsidP="009574E7">
            <w:pPr>
              <w:pStyle w:val="TableText"/>
            </w:pPr>
            <w:r w:rsidRPr="00256982">
              <w:t>Davis and Wakelin (unpublished)</w:t>
            </w:r>
          </w:p>
        </w:tc>
      </w:tr>
      <w:tr w:rsidR="00380BE7" w:rsidRPr="00256982" w14:paraId="16DC2E27" w14:textId="77777777" w:rsidTr="000B7C81">
        <w:tc>
          <w:tcPr>
            <w:tcW w:w="1134" w:type="dxa"/>
            <w:vMerge w:val="restart"/>
            <w:tcBorders>
              <w:top w:val="single" w:sz="4" w:space="0" w:color="365F91"/>
              <w:bottom w:val="single" w:sz="4" w:space="0" w:color="365F91"/>
            </w:tcBorders>
          </w:tcPr>
          <w:p w14:paraId="70CEDE2E" w14:textId="77777777" w:rsidR="00380BE7" w:rsidRPr="00256982" w:rsidRDefault="00380BE7" w:rsidP="009574E7">
            <w:pPr>
              <w:pStyle w:val="TableText"/>
              <w:keepNext/>
            </w:pPr>
            <w:r w:rsidRPr="00256982">
              <w:t>Grassland</w:t>
            </w:r>
          </w:p>
        </w:tc>
        <w:tc>
          <w:tcPr>
            <w:tcW w:w="1418" w:type="dxa"/>
            <w:tcBorders>
              <w:top w:val="single" w:sz="4" w:space="0" w:color="365F91"/>
              <w:bottom w:val="single" w:sz="4" w:space="0" w:color="365F91"/>
            </w:tcBorders>
          </w:tcPr>
          <w:p w14:paraId="4B2E79FB" w14:textId="77777777" w:rsidR="00380BE7" w:rsidRPr="00256982" w:rsidRDefault="00380BE7" w:rsidP="009574E7">
            <w:pPr>
              <w:pStyle w:val="TableText"/>
            </w:pPr>
            <w:r w:rsidRPr="00256982">
              <w:t>High producing</w:t>
            </w:r>
          </w:p>
        </w:tc>
        <w:tc>
          <w:tcPr>
            <w:tcW w:w="1725" w:type="dxa"/>
            <w:tcBorders>
              <w:top w:val="single" w:sz="4" w:space="0" w:color="365F91"/>
              <w:bottom w:val="single" w:sz="4" w:space="0" w:color="365F91"/>
            </w:tcBorders>
          </w:tcPr>
          <w:p w14:paraId="510A61FB" w14:textId="77777777" w:rsidR="00380BE7" w:rsidRPr="00256982" w:rsidRDefault="00380BE7" w:rsidP="009574E7">
            <w:pPr>
              <w:pStyle w:val="TableText"/>
            </w:pPr>
            <w:r w:rsidRPr="00256982">
              <w:t>6.345</w:t>
            </w:r>
          </w:p>
        </w:tc>
        <w:tc>
          <w:tcPr>
            <w:tcW w:w="1357" w:type="dxa"/>
            <w:tcBorders>
              <w:top w:val="single" w:sz="4" w:space="0" w:color="365F91"/>
              <w:bottom w:val="single" w:sz="4" w:space="0" w:color="365F91"/>
            </w:tcBorders>
          </w:tcPr>
          <w:p w14:paraId="165DC52F" w14:textId="77777777" w:rsidR="00380BE7" w:rsidRPr="00256982" w:rsidRDefault="00380BE7" w:rsidP="009574E7">
            <w:pPr>
              <w:pStyle w:val="TableText"/>
            </w:pPr>
            <w:r w:rsidRPr="00256982">
              <w:t>1</w:t>
            </w:r>
          </w:p>
        </w:tc>
        <w:tc>
          <w:tcPr>
            <w:tcW w:w="1357" w:type="dxa"/>
            <w:tcBorders>
              <w:top w:val="single" w:sz="4" w:space="0" w:color="365F91"/>
              <w:bottom w:val="single" w:sz="4" w:space="0" w:color="365F91"/>
            </w:tcBorders>
          </w:tcPr>
          <w:p w14:paraId="26625E3D" w14:textId="77777777" w:rsidR="00380BE7" w:rsidRPr="00256982" w:rsidRDefault="00380BE7" w:rsidP="009574E7">
            <w:pPr>
              <w:pStyle w:val="TableText"/>
            </w:pPr>
            <w:r w:rsidRPr="00256982">
              <w:t>Above- and below-ground biomass</w:t>
            </w:r>
          </w:p>
        </w:tc>
        <w:tc>
          <w:tcPr>
            <w:tcW w:w="1514" w:type="dxa"/>
            <w:tcBorders>
              <w:top w:val="single" w:sz="4" w:space="0" w:color="365F91"/>
              <w:bottom w:val="single" w:sz="4" w:space="0" w:color="365F91"/>
            </w:tcBorders>
          </w:tcPr>
          <w:p w14:paraId="26C60C8C" w14:textId="77777777" w:rsidR="00380BE7" w:rsidRPr="00256982" w:rsidRDefault="00380BE7" w:rsidP="009574E7">
            <w:pPr>
              <w:pStyle w:val="TableText"/>
            </w:pPr>
            <w:r w:rsidRPr="00256982">
              <w:t>IPCC (table 6.4, 2006a)</w:t>
            </w:r>
          </w:p>
        </w:tc>
      </w:tr>
      <w:tr w:rsidR="00380BE7" w:rsidRPr="00256982" w14:paraId="397271B4" w14:textId="77777777" w:rsidTr="000B7C81">
        <w:tc>
          <w:tcPr>
            <w:tcW w:w="1134" w:type="dxa"/>
            <w:vMerge/>
            <w:tcBorders>
              <w:top w:val="single" w:sz="4" w:space="0" w:color="365F91"/>
              <w:bottom w:val="single" w:sz="4" w:space="0" w:color="365F91"/>
            </w:tcBorders>
          </w:tcPr>
          <w:p w14:paraId="17E35919" w14:textId="77777777" w:rsidR="00380BE7" w:rsidRPr="00256982" w:rsidRDefault="00380BE7" w:rsidP="009574E7">
            <w:pPr>
              <w:pStyle w:val="TableText"/>
            </w:pPr>
          </w:p>
        </w:tc>
        <w:tc>
          <w:tcPr>
            <w:tcW w:w="1418" w:type="dxa"/>
            <w:tcBorders>
              <w:top w:val="single" w:sz="4" w:space="0" w:color="365F91"/>
              <w:bottom w:val="single" w:sz="4" w:space="0" w:color="365F91"/>
            </w:tcBorders>
          </w:tcPr>
          <w:p w14:paraId="07DDE023" w14:textId="77777777" w:rsidR="00380BE7" w:rsidRPr="00256982" w:rsidRDefault="00380BE7" w:rsidP="009574E7">
            <w:pPr>
              <w:pStyle w:val="TableText"/>
            </w:pPr>
            <w:r w:rsidRPr="00256982">
              <w:t>Low producing</w:t>
            </w:r>
          </w:p>
        </w:tc>
        <w:tc>
          <w:tcPr>
            <w:tcW w:w="1725" w:type="dxa"/>
            <w:tcBorders>
              <w:top w:val="single" w:sz="4" w:space="0" w:color="365F91"/>
              <w:bottom w:val="single" w:sz="4" w:space="0" w:color="365F91"/>
            </w:tcBorders>
          </w:tcPr>
          <w:p w14:paraId="65EC6033" w14:textId="77777777" w:rsidR="00380BE7" w:rsidRPr="00256982" w:rsidRDefault="00380BE7" w:rsidP="009574E7">
            <w:pPr>
              <w:pStyle w:val="TableText"/>
            </w:pPr>
            <w:r w:rsidRPr="00256982">
              <w:t>2.867</w:t>
            </w:r>
          </w:p>
        </w:tc>
        <w:tc>
          <w:tcPr>
            <w:tcW w:w="1357" w:type="dxa"/>
            <w:tcBorders>
              <w:top w:val="single" w:sz="4" w:space="0" w:color="365F91"/>
              <w:bottom w:val="single" w:sz="4" w:space="0" w:color="365F91"/>
            </w:tcBorders>
          </w:tcPr>
          <w:p w14:paraId="38337B4A" w14:textId="77777777" w:rsidR="00380BE7" w:rsidRPr="00256982" w:rsidRDefault="00380BE7" w:rsidP="009574E7">
            <w:pPr>
              <w:pStyle w:val="TableText"/>
            </w:pPr>
            <w:r w:rsidRPr="00256982">
              <w:t>1</w:t>
            </w:r>
          </w:p>
        </w:tc>
        <w:tc>
          <w:tcPr>
            <w:tcW w:w="1357" w:type="dxa"/>
            <w:tcBorders>
              <w:top w:val="single" w:sz="4" w:space="0" w:color="365F91"/>
              <w:bottom w:val="single" w:sz="4" w:space="0" w:color="365F91"/>
            </w:tcBorders>
          </w:tcPr>
          <w:p w14:paraId="2A0D9BE7" w14:textId="77777777" w:rsidR="00380BE7" w:rsidRPr="00256982" w:rsidRDefault="00380BE7" w:rsidP="009574E7">
            <w:pPr>
              <w:pStyle w:val="TableText"/>
            </w:pPr>
            <w:r w:rsidRPr="00256982">
              <w:t>Above- and below-ground biomass</w:t>
            </w:r>
          </w:p>
        </w:tc>
        <w:tc>
          <w:tcPr>
            <w:tcW w:w="1514" w:type="dxa"/>
            <w:tcBorders>
              <w:top w:val="single" w:sz="4" w:space="0" w:color="365F91"/>
              <w:bottom w:val="single" w:sz="4" w:space="0" w:color="365F91"/>
            </w:tcBorders>
          </w:tcPr>
          <w:p w14:paraId="6722B479" w14:textId="77777777" w:rsidR="00380BE7" w:rsidRPr="00256982" w:rsidRDefault="00380BE7" w:rsidP="009574E7">
            <w:pPr>
              <w:pStyle w:val="TableText"/>
            </w:pPr>
            <w:r w:rsidRPr="00256982">
              <w:t>IPCC (table 6.4, 2006a)</w:t>
            </w:r>
          </w:p>
        </w:tc>
      </w:tr>
      <w:tr w:rsidR="00380BE7" w:rsidRPr="00256982" w14:paraId="01846DC4" w14:textId="77777777" w:rsidTr="000B7C81">
        <w:tc>
          <w:tcPr>
            <w:tcW w:w="1134" w:type="dxa"/>
            <w:vMerge/>
            <w:tcBorders>
              <w:top w:val="single" w:sz="4" w:space="0" w:color="365F91"/>
              <w:bottom w:val="single" w:sz="4" w:space="0" w:color="365F91"/>
            </w:tcBorders>
          </w:tcPr>
          <w:p w14:paraId="7680E7DF" w14:textId="77777777" w:rsidR="00380BE7" w:rsidRPr="00256982" w:rsidRDefault="00380BE7" w:rsidP="009574E7">
            <w:pPr>
              <w:pStyle w:val="TableText"/>
            </w:pPr>
          </w:p>
        </w:tc>
        <w:tc>
          <w:tcPr>
            <w:tcW w:w="1418" w:type="dxa"/>
            <w:tcBorders>
              <w:top w:val="single" w:sz="4" w:space="0" w:color="365F91"/>
              <w:bottom w:val="single" w:sz="4" w:space="0" w:color="365F91"/>
            </w:tcBorders>
          </w:tcPr>
          <w:p w14:paraId="4A4C3BEA" w14:textId="77777777" w:rsidR="00380BE7" w:rsidRPr="00256982" w:rsidRDefault="00380BE7" w:rsidP="009574E7">
            <w:pPr>
              <w:pStyle w:val="TableText"/>
            </w:pPr>
            <w:r w:rsidRPr="00256982">
              <w:t>With woody biomass – transitional</w:t>
            </w:r>
          </w:p>
        </w:tc>
        <w:tc>
          <w:tcPr>
            <w:tcW w:w="1725" w:type="dxa"/>
            <w:tcBorders>
              <w:top w:val="single" w:sz="4" w:space="0" w:color="365F91"/>
              <w:bottom w:val="single" w:sz="4" w:space="0" w:color="365F91"/>
            </w:tcBorders>
          </w:tcPr>
          <w:p w14:paraId="69A35B0B" w14:textId="77777777" w:rsidR="00380BE7" w:rsidRPr="00256982" w:rsidRDefault="00380BE7" w:rsidP="009574E7">
            <w:pPr>
              <w:pStyle w:val="TableText"/>
            </w:pPr>
            <w:r w:rsidRPr="00256982">
              <w:t>0.47</w:t>
            </w:r>
          </w:p>
        </w:tc>
        <w:tc>
          <w:tcPr>
            <w:tcW w:w="1357" w:type="dxa"/>
            <w:tcBorders>
              <w:top w:val="single" w:sz="4" w:space="0" w:color="365F91"/>
              <w:bottom w:val="single" w:sz="4" w:space="0" w:color="365F91"/>
            </w:tcBorders>
          </w:tcPr>
          <w:p w14:paraId="3AE8A96F" w14:textId="77777777" w:rsidR="00380BE7" w:rsidRPr="00256982" w:rsidRDefault="00380BE7" w:rsidP="009574E7">
            <w:pPr>
              <w:pStyle w:val="TableText"/>
            </w:pPr>
            <w:r w:rsidRPr="00256982">
              <w:t>28</w:t>
            </w:r>
          </w:p>
        </w:tc>
        <w:tc>
          <w:tcPr>
            <w:tcW w:w="1357" w:type="dxa"/>
            <w:tcBorders>
              <w:top w:val="single" w:sz="4" w:space="0" w:color="365F91"/>
              <w:bottom w:val="single" w:sz="4" w:space="0" w:color="365F91"/>
            </w:tcBorders>
          </w:tcPr>
          <w:p w14:paraId="0AB8EB82" w14:textId="77777777" w:rsidR="00380BE7" w:rsidRPr="00256982" w:rsidRDefault="00380BE7" w:rsidP="009574E7">
            <w:pPr>
              <w:pStyle w:val="TableText"/>
            </w:pPr>
            <w:r w:rsidRPr="00256982">
              <w:t>All biomass pools</w:t>
            </w:r>
          </w:p>
        </w:tc>
        <w:tc>
          <w:tcPr>
            <w:tcW w:w="1514" w:type="dxa"/>
            <w:tcBorders>
              <w:top w:val="single" w:sz="4" w:space="0" w:color="365F91"/>
              <w:bottom w:val="single" w:sz="4" w:space="0" w:color="365F91"/>
            </w:tcBorders>
          </w:tcPr>
          <w:p w14:paraId="732F8814" w14:textId="77777777" w:rsidR="00380BE7" w:rsidRPr="00256982" w:rsidRDefault="00380BE7" w:rsidP="009574E7">
            <w:pPr>
              <w:pStyle w:val="TableText"/>
            </w:pPr>
            <w:r w:rsidRPr="00256982">
              <w:t>Wakelin and Beets (unpublished)</w:t>
            </w:r>
          </w:p>
        </w:tc>
      </w:tr>
      <w:tr w:rsidR="00380BE7" w:rsidRPr="00256982" w14:paraId="442A30AC" w14:textId="77777777" w:rsidTr="000B7C81">
        <w:tc>
          <w:tcPr>
            <w:tcW w:w="1134" w:type="dxa"/>
            <w:vMerge/>
            <w:tcBorders>
              <w:top w:val="single" w:sz="4" w:space="0" w:color="365F91"/>
              <w:bottom w:val="single" w:sz="4" w:space="0" w:color="365F91"/>
            </w:tcBorders>
          </w:tcPr>
          <w:p w14:paraId="5073AD7A" w14:textId="77777777" w:rsidR="00380BE7" w:rsidRPr="00256982" w:rsidRDefault="00380BE7" w:rsidP="009574E7">
            <w:pPr>
              <w:pStyle w:val="TableText"/>
            </w:pPr>
          </w:p>
        </w:tc>
        <w:tc>
          <w:tcPr>
            <w:tcW w:w="1418" w:type="dxa"/>
            <w:tcBorders>
              <w:top w:val="single" w:sz="4" w:space="0" w:color="365F91"/>
              <w:bottom w:val="single" w:sz="4" w:space="0" w:color="365F91"/>
            </w:tcBorders>
          </w:tcPr>
          <w:p w14:paraId="00D300C9" w14:textId="77777777" w:rsidR="00380BE7" w:rsidRPr="00256982" w:rsidRDefault="00380BE7" w:rsidP="009574E7">
            <w:pPr>
              <w:pStyle w:val="TableText"/>
            </w:pPr>
            <w:r w:rsidRPr="00256982">
              <w:t>With woody biomass – permanent</w:t>
            </w:r>
          </w:p>
        </w:tc>
        <w:tc>
          <w:tcPr>
            <w:tcW w:w="1725" w:type="dxa"/>
            <w:tcBorders>
              <w:top w:val="single" w:sz="4" w:space="0" w:color="365F91"/>
              <w:bottom w:val="single" w:sz="4" w:space="0" w:color="365F91"/>
            </w:tcBorders>
          </w:tcPr>
          <w:p w14:paraId="39D1C755" w14:textId="77777777" w:rsidR="00380BE7" w:rsidRPr="00256982" w:rsidRDefault="00380BE7" w:rsidP="009574E7">
            <w:pPr>
              <w:pStyle w:val="TableText"/>
            </w:pPr>
            <w:r w:rsidRPr="00256982">
              <w:t>NO</w:t>
            </w:r>
          </w:p>
        </w:tc>
        <w:tc>
          <w:tcPr>
            <w:tcW w:w="1357" w:type="dxa"/>
            <w:tcBorders>
              <w:top w:val="single" w:sz="4" w:space="0" w:color="365F91"/>
              <w:bottom w:val="single" w:sz="4" w:space="0" w:color="365F91"/>
            </w:tcBorders>
          </w:tcPr>
          <w:p w14:paraId="3FD8D714" w14:textId="77777777" w:rsidR="00380BE7" w:rsidRPr="00256982" w:rsidRDefault="00380BE7" w:rsidP="009574E7">
            <w:pPr>
              <w:pStyle w:val="TableText"/>
            </w:pPr>
            <w:r w:rsidRPr="00256982">
              <w:t>NA</w:t>
            </w:r>
          </w:p>
        </w:tc>
        <w:tc>
          <w:tcPr>
            <w:tcW w:w="1357" w:type="dxa"/>
            <w:tcBorders>
              <w:top w:val="single" w:sz="4" w:space="0" w:color="365F91"/>
              <w:bottom w:val="single" w:sz="4" w:space="0" w:color="365F91"/>
            </w:tcBorders>
          </w:tcPr>
          <w:p w14:paraId="7CBFFF57" w14:textId="77777777" w:rsidR="00380BE7" w:rsidRPr="00256982" w:rsidRDefault="00380BE7" w:rsidP="009574E7">
            <w:pPr>
              <w:pStyle w:val="TableText"/>
            </w:pPr>
            <w:r w:rsidRPr="00256982">
              <w:t>NA</w:t>
            </w:r>
          </w:p>
        </w:tc>
        <w:tc>
          <w:tcPr>
            <w:tcW w:w="1514" w:type="dxa"/>
            <w:tcBorders>
              <w:top w:val="single" w:sz="4" w:space="0" w:color="365F91"/>
              <w:bottom w:val="single" w:sz="4" w:space="0" w:color="365F91"/>
            </w:tcBorders>
          </w:tcPr>
          <w:p w14:paraId="6CB3AE14" w14:textId="77777777" w:rsidR="00380BE7" w:rsidRPr="00256982" w:rsidRDefault="00380BE7" w:rsidP="009574E7">
            <w:pPr>
              <w:pStyle w:val="TableText"/>
            </w:pPr>
            <w:r w:rsidRPr="00256982">
              <w:t>NA</w:t>
            </w:r>
          </w:p>
        </w:tc>
      </w:tr>
      <w:tr w:rsidR="00380BE7" w:rsidRPr="00256982" w14:paraId="23101D54" w14:textId="77777777" w:rsidTr="000B7C81">
        <w:tc>
          <w:tcPr>
            <w:tcW w:w="1134" w:type="dxa"/>
            <w:tcBorders>
              <w:top w:val="single" w:sz="4" w:space="0" w:color="365F91"/>
              <w:bottom w:val="single" w:sz="4" w:space="0" w:color="365F91"/>
            </w:tcBorders>
          </w:tcPr>
          <w:p w14:paraId="219A169F" w14:textId="77777777" w:rsidR="00380BE7" w:rsidRPr="00256982" w:rsidRDefault="00380BE7" w:rsidP="009574E7">
            <w:pPr>
              <w:pStyle w:val="TableText"/>
            </w:pPr>
            <w:r w:rsidRPr="00256982">
              <w:t>Wetlands</w:t>
            </w:r>
          </w:p>
        </w:tc>
        <w:tc>
          <w:tcPr>
            <w:tcW w:w="1418" w:type="dxa"/>
            <w:tcBorders>
              <w:top w:val="single" w:sz="4" w:space="0" w:color="365F91"/>
              <w:bottom w:val="single" w:sz="4" w:space="0" w:color="365F91"/>
            </w:tcBorders>
          </w:tcPr>
          <w:p w14:paraId="2F6286F6" w14:textId="77777777" w:rsidR="00380BE7" w:rsidRPr="00256982" w:rsidRDefault="00380BE7" w:rsidP="009574E7">
            <w:pPr>
              <w:pStyle w:val="TableText"/>
            </w:pPr>
          </w:p>
        </w:tc>
        <w:tc>
          <w:tcPr>
            <w:tcW w:w="1725" w:type="dxa"/>
            <w:tcBorders>
              <w:top w:val="single" w:sz="4" w:space="0" w:color="365F91"/>
              <w:bottom w:val="single" w:sz="4" w:space="0" w:color="365F91"/>
            </w:tcBorders>
          </w:tcPr>
          <w:p w14:paraId="71E063DB" w14:textId="77777777" w:rsidR="00380BE7" w:rsidRPr="00256982" w:rsidRDefault="00380BE7" w:rsidP="009574E7">
            <w:pPr>
              <w:pStyle w:val="TableText"/>
            </w:pPr>
            <w:r w:rsidRPr="00256982">
              <w:t>0</w:t>
            </w:r>
          </w:p>
        </w:tc>
        <w:tc>
          <w:tcPr>
            <w:tcW w:w="1357" w:type="dxa"/>
            <w:tcBorders>
              <w:top w:val="single" w:sz="4" w:space="0" w:color="365F91"/>
              <w:bottom w:val="single" w:sz="4" w:space="0" w:color="365F91"/>
            </w:tcBorders>
          </w:tcPr>
          <w:p w14:paraId="4863B641" w14:textId="77777777" w:rsidR="00380BE7" w:rsidRPr="00256982" w:rsidRDefault="00380BE7" w:rsidP="009574E7">
            <w:pPr>
              <w:pStyle w:val="TableText"/>
            </w:pPr>
            <w:r w:rsidRPr="00256982">
              <w:t>NA</w:t>
            </w:r>
          </w:p>
        </w:tc>
        <w:tc>
          <w:tcPr>
            <w:tcW w:w="1357" w:type="dxa"/>
            <w:tcBorders>
              <w:top w:val="single" w:sz="4" w:space="0" w:color="365F91"/>
              <w:bottom w:val="single" w:sz="4" w:space="0" w:color="365F91"/>
            </w:tcBorders>
          </w:tcPr>
          <w:p w14:paraId="3453B275" w14:textId="77777777" w:rsidR="00380BE7" w:rsidRPr="00256982" w:rsidRDefault="00380BE7" w:rsidP="009574E7">
            <w:pPr>
              <w:pStyle w:val="TableText"/>
            </w:pPr>
            <w:r w:rsidRPr="00256982">
              <w:t>All biomass pools</w:t>
            </w:r>
          </w:p>
        </w:tc>
        <w:tc>
          <w:tcPr>
            <w:tcW w:w="1514" w:type="dxa"/>
            <w:tcBorders>
              <w:top w:val="single" w:sz="4" w:space="0" w:color="365F91"/>
              <w:bottom w:val="single" w:sz="4" w:space="0" w:color="365F91"/>
            </w:tcBorders>
          </w:tcPr>
          <w:p w14:paraId="09F1F9FD" w14:textId="77777777" w:rsidR="00380BE7" w:rsidRPr="00256982" w:rsidRDefault="00380BE7" w:rsidP="009574E7">
            <w:pPr>
              <w:pStyle w:val="TableText"/>
            </w:pPr>
            <w:r w:rsidRPr="00256982">
              <w:t>IPCC (section 7.2.1.1, 2006a)</w:t>
            </w:r>
          </w:p>
        </w:tc>
      </w:tr>
      <w:tr w:rsidR="00380BE7" w:rsidRPr="00256982" w14:paraId="0B5EDB4E" w14:textId="77777777" w:rsidTr="000B7C81">
        <w:tc>
          <w:tcPr>
            <w:tcW w:w="1134" w:type="dxa"/>
            <w:tcBorders>
              <w:top w:val="single" w:sz="4" w:space="0" w:color="365F91"/>
              <w:bottom w:val="single" w:sz="4" w:space="0" w:color="365F91"/>
            </w:tcBorders>
          </w:tcPr>
          <w:p w14:paraId="3C41DEC1" w14:textId="77777777" w:rsidR="00380BE7" w:rsidRPr="00256982" w:rsidRDefault="00380BE7" w:rsidP="009574E7">
            <w:pPr>
              <w:pStyle w:val="TableText"/>
            </w:pPr>
            <w:r w:rsidRPr="00256982">
              <w:t>Settlements</w:t>
            </w:r>
          </w:p>
        </w:tc>
        <w:tc>
          <w:tcPr>
            <w:tcW w:w="1418" w:type="dxa"/>
            <w:tcBorders>
              <w:top w:val="single" w:sz="4" w:space="0" w:color="365F91"/>
              <w:bottom w:val="single" w:sz="4" w:space="0" w:color="365F91"/>
            </w:tcBorders>
          </w:tcPr>
          <w:p w14:paraId="460B77A4" w14:textId="77777777" w:rsidR="00380BE7" w:rsidRPr="00256982" w:rsidRDefault="00380BE7" w:rsidP="009574E7">
            <w:pPr>
              <w:pStyle w:val="TableText"/>
            </w:pPr>
          </w:p>
        </w:tc>
        <w:tc>
          <w:tcPr>
            <w:tcW w:w="1725" w:type="dxa"/>
            <w:tcBorders>
              <w:top w:val="single" w:sz="4" w:space="0" w:color="365F91"/>
              <w:bottom w:val="single" w:sz="4" w:space="0" w:color="365F91"/>
            </w:tcBorders>
          </w:tcPr>
          <w:p w14:paraId="40F9AD23" w14:textId="77777777" w:rsidR="00380BE7" w:rsidRPr="00256982" w:rsidRDefault="00380BE7" w:rsidP="009574E7">
            <w:pPr>
              <w:pStyle w:val="TableText"/>
            </w:pPr>
            <w:r w:rsidRPr="00256982">
              <w:t>0</w:t>
            </w:r>
          </w:p>
        </w:tc>
        <w:tc>
          <w:tcPr>
            <w:tcW w:w="1357" w:type="dxa"/>
            <w:tcBorders>
              <w:top w:val="single" w:sz="4" w:space="0" w:color="365F91"/>
              <w:bottom w:val="single" w:sz="4" w:space="0" w:color="365F91"/>
            </w:tcBorders>
          </w:tcPr>
          <w:p w14:paraId="4573FA65" w14:textId="77777777" w:rsidR="00380BE7" w:rsidRPr="00256982" w:rsidRDefault="00380BE7" w:rsidP="009574E7">
            <w:pPr>
              <w:pStyle w:val="TableText"/>
            </w:pPr>
            <w:r w:rsidRPr="00256982">
              <w:t>NA</w:t>
            </w:r>
          </w:p>
        </w:tc>
        <w:tc>
          <w:tcPr>
            <w:tcW w:w="1357" w:type="dxa"/>
            <w:tcBorders>
              <w:top w:val="single" w:sz="4" w:space="0" w:color="365F91"/>
              <w:bottom w:val="single" w:sz="4" w:space="0" w:color="365F91"/>
            </w:tcBorders>
          </w:tcPr>
          <w:p w14:paraId="0D59D700" w14:textId="77777777" w:rsidR="00380BE7" w:rsidRPr="00256982" w:rsidRDefault="00380BE7" w:rsidP="009574E7">
            <w:pPr>
              <w:pStyle w:val="TableText"/>
            </w:pPr>
            <w:r w:rsidRPr="00256982">
              <w:t>All biomass pools</w:t>
            </w:r>
          </w:p>
        </w:tc>
        <w:tc>
          <w:tcPr>
            <w:tcW w:w="1514" w:type="dxa"/>
            <w:tcBorders>
              <w:top w:val="single" w:sz="4" w:space="0" w:color="365F91"/>
              <w:bottom w:val="single" w:sz="4" w:space="0" w:color="365F91"/>
            </w:tcBorders>
          </w:tcPr>
          <w:p w14:paraId="4A99DA77" w14:textId="77777777" w:rsidR="00380BE7" w:rsidRPr="00256982" w:rsidRDefault="00380BE7" w:rsidP="009574E7">
            <w:pPr>
              <w:pStyle w:val="TableText"/>
            </w:pPr>
            <w:r w:rsidRPr="00256982">
              <w:t>IPCC (section 8.2.1.1, 2006a)</w:t>
            </w:r>
          </w:p>
        </w:tc>
      </w:tr>
      <w:tr w:rsidR="00380BE7" w:rsidRPr="00256982" w14:paraId="67790EAC" w14:textId="77777777" w:rsidTr="000B7C81">
        <w:tc>
          <w:tcPr>
            <w:tcW w:w="1134" w:type="dxa"/>
            <w:tcBorders>
              <w:top w:val="single" w:sz="4" w:space="0" w:color="365F91"/>
              <w:bottom w:val="single" w:sz="4" w:space="0" w:color="365F91"/>
            </w:tcBorders>
          </w:tcPr>
          <w:p w14:paraId="510FEB2B" w14:textId="77777777" w:rsidR="00380BE7" w:rsidRPr="00256982" w:rsidRDefault="00380BE7" w:rsidP="009574E7">
            <w:pPr>
              <w:pStyle w:val="TableText"/>
            </w:pPr>
            <w:r w:rsidRPr="00256982">
              <w:t>Other land</w:t>
            </w:r>
          </w:p>
        </w:tc>
        <w:tc>
          <w:tcPr>
            <w:tcW w:w="1418" w:type="dxa"/>
            <w:tcBorders>
              <w:top w:val="single" w:sz="4" w:space="0" w:color="365F91"/>
              <w:bottom w:val="single" w:sz="4" w:space="0" w:color="365F91"/>
            </w:tcBorders>
          </w:tcPr>
          <w:p w14:paraId="6ABDB46C" w14:textId="77777777" w:rsidR="00380BE7" w:rsidRPr="00256982" w:rsidRDefault="00380BE7" w:rsidP="009574E7">
            <w:pPr>
              <w:pStyle w:val="TableText"/>
            </w:pPr>
          </w:p>
        </w:tc>
        <w:tc>
          <w:tcPr>
            <w:tcW w:w="1725" w:type="dxa"/>
            <w:tcBorders>
              <w:top w:val="single" w:sz="4" w:space="0" w:color="365F91"/>
              <w:bottom w:val="single" w:sz="4" w:space="0" w:color="365F91"/>
            </w:tcBorders>
          </w:tcPr>
          <w:p w14:paraId="0ABF9158" w14:textId="77777777" w:rsidR="00380BE7" w:rsidRPr="00256982" w:rsidRDefault="00380BE7" w:rsidP="009574E7">
            <w:pPr>
              <w:pStyle w:val="TableText"/>
            </w:pPr>
            <w:r w:rsidRPr="00256982">
              <w:t>0</w:t>
            </w:r>
          </w:p>
        </w:tc>
        <w:tc>
          <w:tcPr>
            <w:tcW w:w="1357" w:type="dxa"/>
            <w:tcBorders>
              <w:top w:val="single" w:sz="4" w:space="0" w:color="365F91"/>
              <w:bottom w:val="single" w:sz="4" w:space="0" w:color="365F91"/>
            </w:tcBorders>
          </w:tcPr>
          <w:p w14:paraId="723784FA" w14:textId="77777777" w:rsidR="00380BE7" w:rsidRPr="00256982" w:rsidRDefault="00380BE7" w:rsidP="009574E7">
            <w:pPr>
              <w:pStyle w:val="TableText"/>
            </w:pPr>
            <w:r w:rsidRPr="00256982">
              <w:t>NA</w:t>
            </w:r>
          </w:p>
        </w:tc>
        <w:tc>
          <w:tcPr>
            <w:tcW w:w="1357" w:type="dxa"/>
            <w:tcBorders>
              <w:top w:val="single" w:sz="4" w:space="0" w:color="365F91"/>
              <w:bottom w:val="single" w:sz="4" w:space="0" w:color="365F91"/>
            </w:tcBorders>
          </w:tcPr>
          <w:p w14:paraId="56F56ADF" w14:textId="77777777" w:rsidR="00380BE7" w:rsidRPr="00256982" w:rsidRDefault="00380BE7" w:rsidP="009574E7">
            <w:pPr>
              <w:pStyle w:val="TableText"/>
            </w:pPr>
            <w:r w:rsidRPr="00256982">
              <w:t>All biomass pools</w:t>
            </w:r>
          </w:p>
        </w:tc>
        <w:tc>
          <w:tcPr>
            <w:tcW w:w="1514" w:type="dxa"/>
            <w:tcBorders>
              <w:top w:val="single" w:sz="4" w:space="0" w:color="365F91"/>
              <w:bottom w:val="single" w:sz="4" w:space="0" w:color="365F91"/>
            </w:tcBorders>
          </w:tcPr>
          <w:p w14:paraId="2011D730" w14:textId="77777777" w:rsidR="00380BE7" w:rsidRPr="00256982" w:rsidRDefault="00380BE7" w:rsidP="009574E7">
            <w:pPr>
              <w:pStyle w:val="TableText"/>
            </w:pPr>
            <w:r w:rsidRPr="00256982">
              <w:t>IPCC (section 9.2, 2006a)</w:t>
            </w:r>
          </w:p>
        </w:tc>
      </w:tr>
    </w:tbl>
    <w:p w14:paraId="2A34CC34" w14:textId="77777777" w:rsidR="00380BE7" w:rsidRPr="00256982" w:rsidRDefault="00380BE7" w:rsidP="00380BE7">
      <w:pPr>
        <w:pStyle w:val="Noteundertable"/>
      </w:pPr>
      <w:r w:rsidRPr="00256982">
        <w:rPr>
          <w:b/>
        </w:rPr>
        <w:t>Note:</w:t>
      </w:r>
      <w:r w:rsidRPr="00256982">
        <w:tab/>
        <w:t>NA = not applicable; NO = not occurring. ‘All biomass pools’ includes above- and below-ground biomass, litter and dead organic matter.</w:t>
      </w:r>
    </w:p>
    <w:p w14:paraId="468ABA10" w14:textId="77777777" w:rsidR="00380BE7" w:rsidRPr="00256982" w:rsidRDefault="00380BE7" w:rsidP="00380BE7">
      <w:pPr>
        <w:pStyle w:val="BodyText"/>
      </w:pPr>
      <w:r w:rsidRPr="00256982">
        <w:t>New Zealand estimates carbon stock change for each of the five Kyoto Protocol carbon pools (to meet Kyoto Protocol reporting requirements) and aggregates the results to the three pools required for reporting under the United Nations Framework Convention on Climate Change (the Convention). Table 6.1.5 summarises the methods being used to estimate carbon (C) by pool for each land use.</w:t>
      </w:r>
    </w:p>
    <w:p w14:paraId="5310C31D" w14:textId="77777777" w:rsidR="00380BE7" w:rsidRPr="00256982" w:rsidRDefault="00380BE7" w:rsidP="00380BE7">
      <w:pPr>
        <w:pStyle w:val="Table"/>
      </w:pPr>
      <w:bookmarkStart w:id="964" w:name="_Toc280630449"/>
      <w:bookmarkStart w:id="965" w:name="_Toc310423392"/>
      <w:bookmarkStart w:id="966" w:name="_Toc318362685"/>
      <w:bookmarkStart w:id="967" w:name="_Toc342470747"/>
      <w:bookmarkStart w:id="968" w:name="_Toc352504987"/>
      <w:bookmarkStart w:id="969" w:name="_Toc378853276"/>
      <w:bookmarkStart w:id="970" w:name="_Toc391024074"/>
      <w:bookmarkStart w:id="971" w:name="_Toc410028817"/>
      <w:bookmarkStart w:id="972" w:name="_Toc414531445"/>
      <w:bookmarkStart w:id="973" w:name="_Toc443645357"/>
      <w:bookmarkStart w:id="974" w:name="_Toc474914576"/>
      <w:bookmarkStart w:id="975" w:name="_Toc481751540"/>
      <w:bookmarkStart w:id="976" w:name="_Toc522010597"/>
      <w:bookmarkStart w:id="977" w:name="_Toc5269502"/>
      <w:r w:rsidRPr="00256982">
        <w:lastRenderedPageBreak/>
        <w:t>Table 6.1.5</w:t>
      </w:r>
      <w:r w:rsidRPr="00256982">
        <w:tab/>
        <w:t>Relationships between land-use, carbon pool and method of calculation used by New Zealand</w:t>
      </w:r>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p>
    <w:tbl>
      <w:tblPr>
        <w:tblW w:w="8562" w:type="dxa"/>
        <w:tblInd w:w="108"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429"/>
        <w:gridCol w:w="1359"/>
        <w:gridCol w:w="1046"/>
        <w:gridCol w:w="12"/>
        <w:gridCol w:w="722"/>
        <w:gridCol w:w="435"/>
        <w:gridCol w:w="1062"/>
        <w:gridCol w:w="1062"/>
        <w:gridCol w:w="1214"/>
        <w:gridCol w:w="1221"/>
      </w:tblGrid>
      <w:tr w:rsidR="00380BE7" w:rsidRPr="00256982" w14:paraId="26E7FCC3" w14:textId="77777777" w:rsidTr="00A75556">
        <w:trPr>
          <w:tblHeader/>
        </w:trPr>
        <w:tc>
          <w:tcPr>
            <w:tcW w:w="1776" w:type="dxa"/>
            <w:gridSpan w:val="2"/>
            <w:tcBorders>
              <w:top w:val="single" w:sz="4" w:space="0" w:color="365F91"/>
              <w:left w:val="nil"/>
              <w:bottom w:val="single" w:sz="4" w:space="0" w:color="365F91"/>
              <w:right w:val="single" w:sz="4" w:space="0" w:color="365F91"/>
            </w:tcBorders>
            <w:shd w:val="clear" w:color="auto" w:fill="365F91"/>
            <w:vAlign w:val="bottom"/>
          </w:tcPr>
          <w:p w14:paraId="451A1E6E" w14:textId="77777777" w:rsidR="00380BE7" w:rsidRPr="00256982" w:rsidRDefault="00380BE7" w:rsidP="009574E7">
            <w:pPr>
              <w:pStyle w:val="TableTextBold"/>
              <w:keepNext/>
              <w:rPr>
                <w:noProof w:val="0"/>
                <w:color w:val="FFFFFF"/>
              </w:rPr>
            </w:pPr>
            <w:r w:rsidRPr="00256982">
              <w:rPr>
                <w:noProof w:val="0"/>
                <w:color w:val="FFFFFF"/>
              </w:rPr>
              <w:t>Convention reporting pool</w:t>
            </w:r>
          </w:p>
        </w:tc>
        <w:tc>
          <w:tcPr>
            <w:tcW w:w="2200" w:type="dxa"/>
            <w:gridSpan w:val="4"/>
            <w:tcBorders>
              <w:top w:val="single" w:sz="4" w:space="0" w:color="365F91"/>
              <w:left w:val="single" w:sz="4" w:space="0" w:color="365F91"/>
              <w:bottom w:val="single" w:sz="4" w:space="0" w:color="365F91"/>
              <w:right w:val="single" w:sz="4" w:space="0" w:color="365F91"/>
            </w:tcBorders>
            <w:shd w:val="clear" w:color="auto" w:fill="365F91"/>
            <w:vAlign w:val="bottom"/>
          </w:tcPr>
          <w:p w14:paraId="160E3536" w14:textId="77777777" w:rsidR="00380BE7" w:rsidRPr="00256982" w:rsidRDefault="00380BE7" w:rsidP="009574E7">
            <w:pPr>
              <w:pStyle w:val="TableTextBold"/>
              <w:keepNext/>
              <w:jc w:val="center"/>
              <w:rPr>
                <w:noProof w:val="0"/>
                <w:color w:val="FFFFFF"/>
              </w:rPr>
            </w:pPr>
            <w:r w:rsidRPr="00256982">
              <w:rPr>
                <w:noProof w:val="0"/>
                <w:color w:val="FFFFFF"/>
              </w:rPr>
              <w:t>Living biomass</w:t>
            </w:r>
          </w:p>
        </w:tc>
        <w:tc>
          <w:tcPr>
            <w:tcW w:w="2110" w:type="dxa"/>
            <w:gridSpan w:val="2"/>
            <w:tcBorders>
              <w:top w:val="single" w:sz="4" w:space="0" w:color="365F91"/>
              <w:left w:val="single" w:sz="4" w:space="0" w:color="365F91"/>
              <w:bottom w:val="single" w:sz="4" w:space="0" w:color="365F91"/>
              <w:right w:val="single" w:sz="4" w:space="0" w:color="365F91"/>
            </w:tcBorders>
            <w:shd w:val="clear" w:color="auto" w:fill="365F91"/>
            <w:vAlign w:val="bottom"/>
          </w:tcPr>
          <w:p w14:paraId="3A1C0487" w14:textId="77777777" w:rsidR="00380BE7" w:rsidRPr="00256982" w:rsidRDefault="00380BE7" w:rsidP="009574E7">
            <w:pPr>
              <w:pStyle w:val="TableTextBold"/>
              <w:keepNext/>
              <w:jc w:val="center"/>
              <w:rPr>
                <w:noProof w:val="0"/>
                <w:color w:val="FFFFFF"/>
              </w:rPr>
            </w:pPr>
            <w:r w:rsidRPr="00256982">
              <w:rPr>
                <w:noProof w:val="0"/>
                <w:color w:val="FFFFFF"/>
              </w:rPr>
              <w:t>Dead organic matter</w:t>
            </w:r>
          </w:p>
        </w:tc>
        <w:tc>
          <w:tcPr>
            <w:tcW w:w="2419" w:type="dxa"/>
            <w:gridSpan w:val="2"/>
            <w:tcBorders>
              <w:top w:val="single" w:sz="4" w:space="0" w:color="365F91"/>
              <w:left w:val="single" w:sz="4" w:space="0" w:color="365F91"/>
              <w:bottom w:val="single" w:sz="4" w:space="0" w:color="365F91"/>
              <w:right w:val="single" w:sz="4" w:space="0" w:color="365F91"/>
            </w:tcBorders>
            <w:shd w:val="clear" w:color="auto" w:fill="365F91"/>
            <w:vAlign w:val="bottom"/>
          </w:tcPr>
          <w:p w14:paraId="5FE67373" w14:textId="77777777" w:rsidR="00380BE7" w:rsidRPr="00256982" w:rsidRDefault="00380BE7" w:rsidP="009574E7">
            <w:pPr>
              <w:pStyle w:val="TableTextBold"/>
              <w:keepNext/>
              <w:jc w:val="center"/>
              <w:rPr>
                <w:noProof w:val="0"/>
                <w:color w:val="FFFFFF"/>
              </w:rPr>
            </w:pPr>
            <w:r w:rsidRPr="00256982">
              <w:rPr>
                <w:noProof w:val="0"/>
                <w:color w:val="FFFFFF"/>
              </w:rPr>
              <w:t>Soils</w:t>
            </w:r>
          </w:p>
        </w:tc>
      </w:tr>
      <w:tr w:rsidR="00380BE7" w:rsidRPr="00256982" w14:paraId="01C148AE" w14:textId="77777777" w:rsidTr="00A75556">
        <w:trPr>
          <w:tblHeader/>
        </w:trPr>
        <w:tc>
          <w:tcPr>
            <w:tcW w:w="1776" w:type="dxa"/>
            <w:gridSpan w:val="2"/>
            <w:vMerge w:val="restart"/>
            <w:tcBorders>
              <w:top w:val="single" w:sz="4" w:space="0" w:color="365F91"/>
              <w:left w:val="nil"/>
              <w:bottom w:val="single" w:sz="4" w:space="0" w:color="365F91"/>
              <w:right w:val="single" w:sz="4" w:space="0" w:color="365F91"/>
            </w:tcBorders>
            <w:vAlign w:val="bottom"/>
          </w:tcPr>
          <w:p w14:paraId="2CD89397" w14:textId="77777777" w:rsidR="00380BE7" w:rsidRPr="00256982" w:rsidRDefault="00380BE7" w:rsidP="009574E7">
            <w:pPr>
              <w:pStyle w:val="TableTextBold"/>
              <w:keepNext/>
              <w:rPr>
                <w:noProof w:val="0"/>
              </w:rPr>
            </w:pPr>
            <w:r w:rsidRPr="00256982">
              <w:rPr>
                <w:noProof w:val="0"/>
              </w:rPr>
              <w:t>Kyoto Protocol reporting pool</w:t>
            </w:r>
          </w:p>
        </w:tc>
        <w:tc>
          <w:tcPr>
            <w:tcW w:w="1039" w:type="dxa"/>
            <w:vMerge w:val="restart"/>
            <w:tcBorders>
              <w:top w:val="single" w:sz="4" w:space="0" w:color="365F91"/>
              <w:left w:val="single" w:sz="4" w:space="0" w:color="365F91"/>
              <w:bottom w:val="single" w:sz="4" w:space="0" w:color="365F91"/>
              <w:right w:val="nil"/>
            </w:tcBorders>
            <w:vAlign w:val="bottom"/>
          </w:tcPr>
          <w:p w14:paraId="0BA2DE07" w14:textId="77777777" w:rsidR="00380BE7" w:rsidRPr="00256982" w:rsidRDefault="00380BE7" w:rsidP="009574E7">
            <w:pPr>
              <w:pStyle w:val="TableTextBold"/>
              <w:keepNext/>
              <w:jc w:val="center"/>
              <w:rPr>
                <w:noProof w:val="0"/>
              </w:rPr>
            </w:pPr>
            <w:r w:rsidRPr="00256982">
              <w:rPr>
                <w:noProof w:val="0"/>
              </w:rPr>
              <w:t>Above-ground biomass</w:t>
            </w:r>
          </w:p>
        </w:tc>
        <w:tc>
          <w:tcPr>
            <w:tcW w:w="1161" w:type="dxa"/>
            <w:gridSpan w:val="3"/>
            <w:vMerge w:val="restart"/>
            <w:tcBorders>
              <w:top w:val="single" w:sz="4" w:space="0" w:color="365F91"/>
              <w:left w:val="nil"/>
              <w:bottom w:val="single" w:sz="4" w:space="0" w:color="365F91"/>
              <w:right w:val="single" w:sz="4" w:space="0" w:color="365F91"/>
            </w:tcBorders>
            <w:vAlign w:val="bottom"/>
          </w:tcPr>
          <w:p w14:paraId="022C61AD" w14:textId="77777777" w:rsidR="00380BE7" w:rsidRPr="00256982" w:rsidRDefault="00380BE7" w:rsidP="009574E7">
            <w:pPr>
              <w:pStyle w:val="TableTextBold"/>
              <w:keepNext/>
              <w:jc w:val="center"/>
              <w:rPr>
                <w:noProof w:val="0"/>
              </w:rPr>
            </w:pPr>
            <w:r w:rsidRPr="00256982">
              <w:rPr>
                <w:noProof w:val="0"/>
              </w:rPr>
              <w:t>Below-ground biomass</w:t>
            </w:r>
          </w:p>
        </w:tc>
        <w:tc>
          <w:tcPr>
            <w:tcW w:w="1055" w:type="dxa"/>
            <w:vMerge w:val="restart"/>
            <w:tcBorders>
              <w:top w:val="single" w:sz="4" w:space="0" w:color="365F91"/>
              <w:left w:val="single" w:sz="4" w:space="0" w:color="365F91"/>
              <w:bottom w:val="single" w:sz="4" w:space="0" w:color="365F91"/>
              <w:right w:val="nil"/>
            </w:tcBorders>
            <w:vAlign w:val="bottom"/>
          </w:tcPr>
          <w:p w14:paraId="7BABE6FC" w14:textId="77777777" w:rsidR="00380BE7" w:rsidRPr="00256982" w:rsidRDefault="00380BE7" w:rsidP="009574E7">
            <w:pPr>
              <w:pStyle w:val="TableTextBold"/>
              <w:keepNext/>
              <w:jc w:val="center"/>
              <w:rPr>
                <w:noProof w:val="0"/>
              </w:rPr>
            </w:pPr>
            <w:r w:rsidRPr="00256982">
              <w:rPr>
                <w:noProof w:val="0"/>
              </w:rPr>
              <w:t>Dead wood</w:t>
            </w:r>
          </w:p>
        </w:tc>
        <w:tc>
          <w:tcPr>
            <w:tcW w:w="1055" w:type="dxa"/>
            <w:vMerge w:val="restart"/>
            <w:tcBorders>
              <w:top w:val="single" w:sz="4" w:space="0" w:color="365F91"/>
              <w:left w:val="nil"/>
              <w:bottom w:val="single" w:sz="4" w:space="0" w:color="365F91"/>
              <w:right w:val="single" w:sz="4" w:space="0" w:color="365F91"/>
            </w:tcBorders>
            <w:vAlign w:val="bottom"/>
          </w:tcPr>
          <w:p w14:paraId="0CC95A26" w14:textId="77777777" w:rsidR="00380BE7" w:rsidRPr="00256982" w:rsidRDefault="00380BE7" w:rsidP="009574E7">
            <w:pPr>
              <w:pStyle w:val="TableTextBold"/>
              <w:keepNext/>
              <w:jc w:val="center"/>
              <w:rPr>
                <w:noProof w:val="0"/>
              </w:rPr>
            </w:pPr>
            <w:r w:rsidRPr="00256982">
              <w:rPr>
                <w:noProof w:val="0"/>
              </w:rPr>
              <w:t>Litter</w:t>
            </w:r>
          </w:p>
        </w:tc>
        <w:tc>
          <w:tcPr>
            <w:tcW w:w="2419" w:type="dxa"/>
            <w:gridSpan w:val="2"/>
            <w:tcBorders>
              <w:top w:val="single" w:sz="4" w:space="0" w:color="365F91"/>
              <w:left w:val="single" w:sz="4" w:space="0" w:color="365F91"/>
              <w:bottom w:val="single" w:sz="4" w:space="0" w:color="365F91"/>
              <w:right w:val="nil"/>
            </w:tcBorders>
            <w:vAlign w:val="bottom"/>
          </w:tcPr>
          <w:p w14:paraId="23940CF1" w14:textId="77777777" w:rsidR="00380BE7" w:rsidRPr="00256982" w:rsidRDefault="00380BE7" w:rsidP="009574E7">
            <w:pPr>
              <w:pStyle w:val="TableTextBold"/>
              <w:keepNext/>
              <w:jc w:val="center"/>
              <w:rPr>
                <w:noProof w:val="0"/>
              </w:rPr>
            </w:pPr>
            <w:r w:rsidRPr="00256982">
              <w:rPr>
                <w:noProof w:val="0"/>
              </w:rPr>
              <w:t>Soil organic matter</w:t>
            </w:r>
          </w:p>
        </w:tc>
      </w:tr>
      <w:tr w:rsidR="00380BE7" w:rsidRPr="00256982" w14:paraId="3FE4B869" w14:textId="77777777" w:rsidTr="00A75556">
        <w:tc>
          <w:tcPr>
            <w:tcW w:w="1776" w:type="dxa"/>
            <w:gridSpan w:val="2"/>
            <w:vMerge/>
            <w:tcBorders>
              <w:top w:val="single" w:sz="4" w:space="0" w:color="365F91"/>
              <w:left w:val="nil"/>
              <w:bottom w:val="single" w:sz="4" w:space="0" w:color="365F91"/>
              <w:right w:val="single" w:sz="4" w:space="0" w:color="365F91"/>
            </w:tcBorders>
            <w:vAlign w:val="bottom"/>
          </w:tcPr>
          <w:p w14:paraId="6F0DE77E" w14:textId="77777777" w:rsidR="00380BE7" w:rsidRPr="00256982" w:rsidRDefault="00380BE7" w:rsidP="009574E7">
            <w:pPr>
              <w:pStyle w:val="TableTextBold"/>
              <w:keepNext/>
              <w:jc w:val="center"/>
              <w:rPr>
                <w:noProof w:val="0"/>
              </w:rPr>
            </w:pPr>
          </w:p>
        </w:tc>
        <w:tc>
          <w:tcPr>
            <w:tcW w:w="1039" w:type="dxa"/>
            <w:vMerge/>
            <w:tcBorders>
              <w:top w:val="single" w:sz="4" w:space="0" w:color="365F91"/>
              <w:left w:val="single" w:sz="4" w:space="0" w:color="365F91"/>
              <w:bottom w:val="single" w:sz="4" w:space="0" w:color="365F91"/>
            </w:tcBorders>
            <w:vAlign w:val="bottom"/>
          </w:tcPr>
          <w:p w14:paraId="0376B408" w14:textId="77777777" w:rsidR="00380BE7" w:rsidRPr="00256982" w:rsidRDefault="00380BE7" w:rsidP="009574E7">
            <w:pPr>
              <w:pStyle w:val="TableTextBold"/>
              <w:keepNext/>
              <w:jc w:val="center"/>
              <w:rPr>
                <w:noProof w:val="0"/>
              </w:rPr>
            </w:pPr>
          </w:p>
        </w:tc>
        <w:tc>
          <w:tcPr>
            <w:tcW w:w="1161" w:type="dxa"/>
            <w:gridSpan w:val="3"/>
            <w:vMerge/>
            <w:tcBorders>
              <w:top w:val="single" w:sz="4" w:space="0" w:color="365F91"/>
              <w:bottom w:val="single" w:sz="4" w:space="0" w:color="365F91"/>
              <w:right w:val="single" w:sz="4" w:space="0" w:color="auto"/>
            </w:tcBorders>
            <w:vAlign w:val="bottom"/>
          </w:tcPr>
          <w:p w14:paraId="7BE546A2" w14:textId="77777777" w:rsidR="00380BE7" w:rsidRPr="00256982" w:rsidRDefault="00380BE7" w:rsidP="009574E7">
            <w:pPr>
              <w:pStyle w:val="TableTextBold"/>
              <w:keepNext/>
              <w:jc w:val="center"/>
              <w:rPr>
                <w:noProof w:val="0"/>
              </w:rPr>
            </w:pPr>
          </w:p>
        </w:tc>
        <w:tc>
          <w:tcPr>
            <w:tcW w:w="1055" w:type="dxa"/>
            <w:vMerge/>
            <w:tcBorders>
              <w:top w:val="single" w:sz="4" w:space="0" w:color="365F91"/>
              <w:left w:val="single" w:sz="4" w:space="0" w:color="auto"/>
              <w:bottom w:val="single" w:sz="4" w:space="0" w:color="365F91"/>
            </w:tcBorders>
            <w:vAlign w:val="bottom"/>
          </w:tcPr>
          <w:p w14:paraId="25D3A9BE" w14:textId="77777777" w:rsidR="00380BE7" w:rsidRPr="00256982" w:rsidRDefault="00380BE7" w:rsidP="009574E7">
            <w:pPr>
              <w:pStyle w:val="TableTextBold"/>
              <w:keepNext/>
              <w:jc w:val="center"/>
              <w:rPr>
                <w:noProof w:val="0"/>
              </w:rPr>
            </w:pPr>
          </w:p>
        </w:tc>
        <w:tc>
          <w:tcPr>
            <w:tcW w:w="1055" w:type="dxa"/>
            <w:vMerge/>
            <w:tcBorders>
              <w:top w:val="single" w:sz="4" w:space="0" w:color="365F91"/>
              <w:bottom w:val="single" w:sz="4" w:space="0" w:color="365F91"/>
              <w:right w:val="single" w:sz="4" w:space="0" w:color="auto"/>
            </w:tcBorders>
            <w:vAlign w:val="bottom"/>
          </w:tcPr>
          <w:p w14:paraId="44239F49" w14:textId="77777777" w:rsidR="00380BE7" w:rsidRPr="00256982" w:rsidRDefault="00380BE7" w:rsidP="009574E7">
            <w:pPr>
              <w:pStyle w:val="TableTextBold"/>
              <w:keepNext/>
              <w:jc w:val="center"/>
              <w:rPr>
                <w:noProof w:val="0"/>
              </w:rPr>
            </w:pPr>
          </w:p>
        </w:tc>
        <w:tc>
          <w:tcPr>
            <w:tcW w:w="1206" w:type="dxa"/>
            <w:tcBorders>
              <w:top w:val="single" w:sz="4" w:space="0" w:color="365F91"/>
              <w:bottom w:val="single" w:sz="4" w:space="0" w:color="365F91"/>
              <w:right w:val="single" w:sz="4" w:space="0" w:color="auto"/>
            </w:tcBorders>
            <w:vAlign w:val="bottom"/>
          </w:tcPr>
          <w:p w14:paraId="25A29561" w14:textId="77777777" w:rsidR="00380BE7" w:rsidRPr="00256982" w:rsidRDefault="00380BE7" w:rsidP="009574E7">
            <w:pPr>
              <w:pStyle w:val="TableTextBold"/>
              <w:keepNext/>
              <w:jc w:val="center"/>
              <w:rPr>
                <w:noProof w:val="0"/>
              </w:rPr>
            </w:pPr>
            <w:r w:rsidRPr="00256982">
              <w:rPr>
                <w:noProof w:val="0"/>
              </w:rPr>
              <w:t>Mineral soils</w:t>
            </w:r>
          </w:p>
        </w:tc>
        <w:tc>
          <w:tcPr>
            <w:tcW w:w="1213" w:type="dxa"/>
            <w:tcBorders>
              <w:top w:val="single" w:sz="4" w:space="0" w:color="365F91"/>
              <w:left w:val="single" w:sz="4" w:space="0" w:color="auto"/>
              <w:bottom w:val="single" w:sz="4" w:space="0" w:color="365F91"/>
              <w:right w:val="nil"/>
            </w:tcBorders>
            <w:tcMar>
              <w:right w:w="57" w:type="dxa"/>
            </w:tcMar>
            <w:vAlign w:val="bottom"/>
          </w:tcPr>
          <w:p w14:paraId="69496641" w14:textId="77777777" w:rsidR="00380BE7" w:rsidRPr="00256982" w:rsidRDefault="00380BE7" w:rsidP="009574E7">
            <w:pPr>
              <w:pStyle w:val="TableTextBold"/>
              <w:keepNext/>
              <w:jc w:val="center"/>
              <w:rPr>
                <w:noProof w:val="0"/>
              </w:rPr>
            </w:pPr>
            <w:r w:rsidRPr="00256982">
              <w:rPr>
                <w:noProof w:val="0"/>
              </w:rPr>
              <w:t>Organic soils</w:t>
            </w:r>
          </w:p>
        </w:tc>
      </w:tr>
      <w:tr w:rsidR="00380BE7" w:rsidRPr="00256982" w14:paraId="629B5580" w14:textId="77777777" w:rsidTr="00A75556">
        <w:tc>
          <w:tcPr>
            <w:tcW w:w="426" w:type="dxa"/>
            <w:vMerge w:val="restart"/>
            <w:tcBorders>
              <w:top w:val="single" w:sz="4" w:space="0" w:color="365F91"/>
              <w:left w:val="nil"/>
              <w:bottom w:val="single" w:sz="4" w:space="0" w:color="365F91"/>
              <w:right w:val="single" w:sz="4" w:space="0" w:color="365F91"/>
            </w:tcBorders>
            <w:textDirection w:val="btLr"/>
            <w:vAlign w:val="center"/>
          </w:tcPr>
          <w:p w14:paraId="44836418" w14:textId="77777777" w:rsidR="00380BE7" w:rsidRPr="00256982" w:rsidRDefault="00380BE7" w:rsidP="009574E7">
            <w:pPr>
              <w:pStyle w:val="TableTextBold"/>
              <w:keepNext/>
              <w:jc w:val="center"/>
              <w:rPr>
                <w:b w:val="0"/>
                <w:noProof w:val="0"/>
              </w:rPr>
            </w:pPr>
            <w:r w:rsidRPr="00256982">
              <w:rPr>
                <w:b w:val="0"/>
                <w:noProof w:val="0"/>
              </w:rPr>
              <w:t>Land uses</w:t>
            </w:r>
          </w:p>
        </w:tc>
        <w:tc>
          <w:tcPr>
            <w:tcW w:w="1350" w:type="dxa"/>
            <w:tcBorders>
              <w:top w:val="single" w:sz="4" w:space="0" w:color="365F91"/>
              <w:left w:val="single" w:sz="4" w:space="0" w:color="365F91"/>
              <w:bottom w:val="nil"/>
              <w:right w:val="single" w:sz="4" w:space="0" w:color="365F91"/>
            </w:tcBorders>
          </w:tcPr>
          <w:p w14:paraId="7FA3BF49" w14:textId="77777777" w:rsidR="00380BE7" w:rsidRPr="00256982" w:rsidRDefault="00380BE7" w:rsidP="009574E7">
            <w:pPr>
              <w:pStyle w:val="TableText"/>
              <w:keepNext/>
            </w:pPr>
            <w:r w:rsidRPr="00256982">
              <w:t xml:space="preserve">Pre-1990 natural forest </w:t>
            </w:r>
          </w:p>
        </w:tc>
        <w:tc>
          <w:tcPr>
            <w:tcW w:w="1039" w:type="dxa"/>
            <w:tcBorders>
              <w:top w:val="single" w:sz="4" w:space="0" w:color="365F91"/>
              <w:left w:val="single" w:sz="4" w:space="0" w:color="365F91"/>
              <w:bottom w:val="nil"/>
              <w:right w:val="nil"/>
            </w:tcBorders>
            <w:tcMar>
              <w:right w:w="28" w:type="dxa"/>
            </w:tcMar>
          </w:tcPr>
          <w:p w14:paraId="47EE5A2A" w14:textId="77777777" w:rsidR="00380BE7" w:rsidRPr="00256982" w:rsidRDefault="00380BE7" w:rsidP="009574E7">
            <w:pPr>
              <w:pStyle w:val="TableText"/>
              <w:keepNext/>
            </w:pPr>
            <w:r w:rsidRPr="00256982">
              <w:t>Allometric equations</w:t>
            </w:r>
          </w:p>
        </w:tc>
        <w:tc>
          <w:tcPr>
            <w:tcW w:w="1161" w:type="dxa"/>
            <w:gridSpan w:val="3"/>
            <w:tcBorders>
              <w:top w:val="single" w:sz="4" w:space="0" w:color="365F91"/>
              <w:left w:val="nil"/>
              <w:bottom w:val="nil"/>
              <w:right w:val="nil"/>
            </w:tcBorders>
            <w:tcMar>
              <w:right w:w="28" w:type="dxa"/>
            </w:tcMar>
          </w:tcPr>
          <w:p w14:paraId="1E05E6D6" w14:textId="77777777" w:rsidR="00380BE7" w:rsidRPr="00256982" w:rsidRDefault="00380BE7" w:rsidP="009574E7">
            <w:pPr>
              <w:pStyle w:val="TableText"/>
              <w:keepNext/>
            </w:pPr>
            <w:r w:rsidRPr="00256982">
              <w:t>Percentage of above-ground biomass</w:t>
            </w:r>
          </w:p>
        </w:tc>
        <w:tc>
          <w:tcPr>
            <w:tcW w:w="1055" w:type="dxa"/>
            <w:tcBorders>
              <w:top w:val="single" w:sz="4" w:space="0" w:color="365F91"/>
              <w:left w:val="nil"/>
              <w:bottom w:val="nil"/>
              <w:right w:val="nil"/>
            </w:tcBorders>
            <w:tcMar>
              <w:right w:w="28" w:type="dxa"/>
            </w:tcMar>
          </w:tcPr>
          <w:p w14:paraId="63755098" w14:textId="77777777" w:rsidR="00380BE7" w:rsidRPr="00256982" w:rsidRDefault="00380BE7" w:rsidP="009574E7">
            <w:pPr>
              <w:pStyle w:val="TableText"/>
              <w:keepNext/>
            </w:pPr>
            <w:r w:rsidRPr="00256982">
              <w:t>Allometric equations</w:t>
            </w:r>
          </w:p>
        </w:tc>
        <w:tc>
          <w:tcPr>
            <w:tcW w:w="1055" w:type="dxa"/>
            <w:tcBorders>
              <w:top w:val="single" w:sz="4" w:space="0" w:color="365F91"/>
              <w:left w:val="nil"/>
              <w:bottom w:val="nil"/>
              <w:right w:val="single" w:sz="4" w:space="0" w:color="365F91"/>
            </w:tcBorders>
            <w:tcMar>
              <w:right w:w="28" w:type="dxa"/>
            </w:tcMar>
          </w:tcPr>
          <w:p w14:paraId="26A1C18B" w14:textId="77777777" w:rsidR="00380BE7" w:rsidRPr="00256982" w:rsidRDefault="00380BE7" w:rsidP="009574E7">
            <w:pPr>
              <w:pStyle w:val="TableText"/>
              <w:keepNext/>
            </w:pPr>
            <w:r w:rsidRPr="00256982">
              <w:t>Lab analysis</w:t>
            </w:r>
          </w:p>
        </w:tc>
        <w:tc>
          <w:tcPr>
            <w:tcW w:w="1206" w:type="dxa"/>
            <w:vMerge w:val="restart"/>
            <w:tcBorders>
              <w:top w:val="single" w:sz="4" w:space="0" w:color="365F91"/>
              <w:left w:val="single" w:sz="4" w:space="0" w:color="365F91"/>
              <w:bottom w:val="single" w:sz="4" w:space="0" w:color="365F91"/>
              <w:right w:val="single" w:sz="4" w:space="0" w:color="365F91"/>
            </w:tcBorders>
          </w:tcPr>
          <w:p w14:paraId="268AC1AC" w14:textId="77777777" w:rsidR="00380BE7" w:rsidRPr="00256982" w:rsidRDefault="00380BE7" w:rsidP="009574E7">
            <w:pPr>
              <w:pStyle w:val="TableText"/>
              <w:keepNext/>
            </w:pPr>
            <w:r w:rsidRPr="00256982">
              <w:t>Tier 2, country-specific data and model</w:t>
            </w:r>
          </w:p>
        </w:tc>
        <w:tc>
          <w:tcPr>
            <w:tcW w:w="1213" w:type="dxa"/>
            <w:vMerge w:val="restart"/>
            <w:tcBorders>
              <w:top w:val="single" w:sz="4" w:space="0" w:color="365F91"/>
              <w:left w:val="single" w:sz="4" w:space="0" w:color="365F91"/>
              <w:bottom w:val="single" w:sz="4" w:space="0" w:color="365F91"/>
              <w:right w:val="nil"/>
            </w:tcBorders>
          </w:tcPr>
          <w:p w14:paraId="3434A499" w14:textId="77777777" w:rsidR="00380BE7" w:rsidRPr="00256982" w:rsidRDefault="00380BE7" w:rsidP="009574E7">
            <w:pPr>
              <w:pStyle w:val="TableText"/>
              <w:keepNext/>
              <w:rPr>
                <w:rFonts w:cs="Arial"/>
              </w:rPr>
            </w:pPr>
            <w:r w:rsidRPr="00256982">
              <w:t>Not applicable</w:t>
            </w:r>
          </w:p>
        </w:tc>
      </w:tr>
      <w:tr w:rsidR="00380BE7" w:rsidRPr="00256982" w14:paraId="219409FF" w14:textId="77777777" w:rsidTr="00A75556">
        <w:tc>
          <w:tcPr>
            <w:tcW w:w="426" w:type="dxa"/>
            <w:vMerge/>
            <w:tcBorders>
              <w:top w:val="single" w:sz="4" w:space="0" w:color="365F91"/>
              <w:left w:val="nil"/>
              <w:bottom w:val="single" w:sz="4" w:space="0" w:color="365F91"/>
              <w:right w:val="single" w:sz="4" w:space="0" w:color="365F91"/>
            </w:tcBorders>
          </w:tcPr>
          <w:p w14:paraId="7C2BFA1F" w14:textId="77777777" w:rsidR="00380BE7" w:rsidRPr="00256982" w:rsidRDefault="00380BE7" w:rsidP="009574E7"/>
        </w:tc>
        <w:tc>
          <w:tcPr>
            <w:tcW w:w="1350" w:type="dxa"/>
            <w:tcBorders>
              <w:top w:val="nil"/>
              <w:left w:val="single" w:sz="4" w:space="0" w:color="365F91"/>
              <w:bottom w:val="single" w:sz="4" w:space="0" w:color="365F91"/>
              <w:right w:val="single" w:sz="4" w:space="0" w:color="365F91"/>
            </w:tcBorders>
          </w:tcPr>
          <w:p w14:paraId="3E27634F" w14:textId="77777777" w:rsidR="00380BE7" w:rsidRPr="00256982" w:rsidRDefault="00380BE7" w:rsidP="009574E7">
            <w:pPr>
              <w:pStyle w:val="TableText"/>
            </w:pPr>
            <w:r w:rsidRPr="00256982">
              <w:t>Pre-1990 natural forest [D]</w:t>
            </w:r>
          </w:p>
        </w:tc>
        <w:tc>
          <w:tcPr>
            <w:tcW w:w="4310" w:type="dxa"/>
            <w:gridSpan w:val="6"/>
            <w:tcBorders>
              <w:top w:val="nil"/>
              <w:left w:val="single" w:sz="4" w:space="0" w:color="365F91"/>
              <w:bottom w:val="single" w:sz="4" w:space="0" w:color="365F91"/>
              <w:right w:val="single" w:sz="4" w:space="0" w:color="365F91"/>
            </w:tcBorders>
          </w:tcPr>
          <w:p w14:paraId="0819A4D8" w14:textId="77777777" w:rsidR="00380BE7" w:rsidRPr="00256982" w:rsidRDefault="00380BE7" w:rsidP="009574E7">
            <w:pPr>
              <w:pStyle w:val="TableText"/>
            </w:pPr>
            <w:r w:rsidRPr="00256982">
              <w:t>Emission factor based on the vegetation type present (tall forest or regenerating) before deforestation occurring since 1 January 1990</w:t>
            </w:r>
          </w:p>
        </w:tc>
        <w:tc>
          <w:tcPr>
            <w:tcW w:w="1206" w:type="dxa"/>
            <w:vMerge/>
            <w:tcBorders>
              <w:top w:val="single" w:sz="4" w:space="0" w:color="365F91"/>
              <w:left w:val="single" w:sz="4" w:space="0" w:color="365F91"/>
              <w:bottom w:val="single" w:sz="4" w:space="0" w:color="365F91"/>
              <w:right w:val="single" w:sz="4" w:space="0" w:color="365F91"/>
            </w:tcBorders>
          </w:tcPr>
          <w:p w14:paraId="5AD5AF76" w14:textId="77777777" w:rsidR="00380BE7" w:rsidRPr="00256982" w:rsidRDefault="00380BE7" w:rsidP="009574E7">
            <w:pPr>
              <w:pStyle w:val="TableText"/>
            </w:pPr>
          </w:p>
        </w:tc>
        <w:tc>
          <w:tcPr>
            <w:tcW w:w="1213" w:type="dxa"/>
            <w:vMerge/>
            <w:tcBorders>
              <w:top w:val="single" w:sz="4" w:space="0" w:color="365F91"/>
              <w:left w:val="single" w:sz="4" w:space="0" w:color="365F91"/>
              <w:bottom w:val="single" w:sz="4" w:space="0" w:color="365F91"/>
              <w:right w:val="nil"/>
            </w:tcBorders>
          </w:tcPr>
          <w:p w14:paraId="52B91629" w14:textId="77777777" w:rsidR="00380BE7" w:rsidRPr="00256982" w:rsidRDefault="00380BE7" w:rsidP="009574E7">
            <w:pPr>
              <w:pStyle w:val="TableText"/>
            </w:pPr>
          </w:p>
        </w:tc>
      </w:tr>
      <w:tr w:rsidR="00380BE7" w:rsidRPr="00256982" w14:paraId="55EAD2D6" w14:textId="77777777" w:rsidTr="00A75556">
        <w:tc>
          <w:tcPr>
            <w:tcW w:w="426" w:type="dxa"/>
            <w:vMerge/>
            <w:tcBorders>
              <w:top w:val="single" w:sz="4" w:space="0" w:color="365F91"/>
              <w:left w:val="nil"/>
              <w:bottom w:val="single" w:sz="4" w:space="0" w:color="365F91"/>
              <w:right w:val="single" w:sz="4" w:space="0" w:color="365F91"/>
            </w:tcBorders>
          </w:tcPr>
          <w:p w14:paraId="47505314" w14:textId="77777777" w:rsidR="00380BE7" w:rsidRPr="00256982" w:rsidRDefault="00380BE7" w:rsidP="009574E7"/>
        </w:tc>
        <w:tc>
          <w:tcPr>
            <w:tcW w:w="1350" w:type="dxa"/>
            <w:tcBorders>
              <w:top w:val="single" w:sz="4" w:space="0" w:color="365F91"/>
              <w:left w:val="single" w:sz="4" w:space="0" w:color="365F91"/>
              <w:bottom w:val="single" w:sz="4" w:space="0" w:color="365F91"/>
              <w:right w:val="single" w:sz="4" w:space="0" w:color="365F91"/>
            </w:tcBorders>
          </w:tcPr>
          <w:p w14:paraId="6F8FFF21" w14:textId="77777777" w:rsidR="00380BE7" w:rsidRPr="00256982" w:rsidRDefault="00380BE7" w:rsidP="009574E7">
            <w:pPr>
              <w:pStyle w:val="TableText"/>
            </w:pPr>
            <w:r w:rsidRPr="00256982">
              <w:t>Pre-1990 planted forest</w:t>
            </w:r>
          </w:p>
        </w:tc>
        <w:tc>
          <w:tcPr>
            <w:tcW w:w="4310" w:type="dxa"/>
            <w:gridSpan w:val="6"/>
            <w:tcBorders>
              <w:top w:val="single" w:sz="4" w:space="0" w:color="365F91"/>
              <w:left w:val="single" w:sz="4" w:space="0" w:color="365F91"/>
              <w:bottom w:val="single" w:sz="4" w:space="0" w:color="365F91"/>
              <w:right w:val="single" w:sz="4" w:space="0" w:color="365F91"/>
            </w:tcBorders>
          </w:tcPr>
          <w:p w14:paraId="023B7F2A" w14:textId="77777777" w:rsidR="00380BE7" w:rsidRPr="00256982" w:rsidRDefault="00380BE7" w:rsidP="009574E7">
            <w:pPr>
              <w:pStyle w:val="TableText"/>
            </w:pPr>
            <w:r w:rsidRPr="00256982">
              <w:t>Age-based carbon yield table by biomass pool derived from the LUCAS plot network and the Forest Carbon Predictor model</w:t>
            </w:r>
          </w:p>
        </w:tc>
        <w:tc>
          <w:tcPr>
            <w:tcW w:w="1206" w:type="dxa"/>
            <w:tcBorders>
              <w:top w:val="single" w:sz="4" w:space="0" w:color="365F91"/>
              <w:left w:val="single" w:sz="4" w:space="0" w:color="365F91"/>
              <w:bottom w:val="single" w:sz="4" w:space="0" w:color="365F91"/>
              <w:right w:val="single" w:sz="4" w:space="0" w:color="365F91"/>
            </w:tcBorders>
          </w:tcPr>
          <w:p w14:paraId="3F8A3092" w14:textId="77777777" w:rsidR="00380BE7" w:rsidRPr="00256982" w:rsidRDefault="00380BE7" w:rsidP="009574E7">
            <w:pPr>
              <w:pStyle w:val="TableText"/>
            </w:pPr>
            <w:r w:rsidRPr="00256982">
              <w:t>Tier 2, country-specific data and model</w:t>
            </w:r>
          </w:p>
        </w:tc>
        <w:tc>
          <w:tcPr>
            <w:tcW w:w="1213" w:type="dxa"/>
            <w:tcBorders>
              <w:top w:val="single" w:sz="4" w:space="0" w:color="365F91"/>
              <w:left w:val="single" w:sz="4" w:space="0" w:color="365F91"/>
              <w:bottom w:val="single" w:sz="4" w:space="0" w:color="365F91"/>
              <w:right w:val="nil"/>
            </w:tcBorders>
          </w:tcPr>
          <w:p w14:paraId="3376215E" w14:textId="77777777" w:rsidR="00380BE7" w:rsidRPr="00256982" w:rsidRDefault="00380BE7" w:rsidP="009574E7">
            <w:pPr>
              <w:pStyle w:val="TableText"/>
            </w:pPr>
            <w:r w:rsidRPr="00256982">
              <w:t>IPCC Tier 1 default parameters</w:t>
            </w:r>
          </w:p>
        </w:tc>
      </w:tr>
      <w:tr w:rsidR="00380BE7" w:rsidRPr="00256982" w14:paraId="7D83824A" w14:textId="77777777" w:rsidTr="00A75556">
        <w:tc>
          <w:tcPr>
            <w:tcW w:w="426" w:type="dxa"/>
            <w:vMerge/>
            <w:tcBorders>
              <w:top w:val="single" w:sz="4" w:space="0" w:color="365F91"/>
              <w:left w:val="nil"/>
              <w:bottom w:val="single" w:sz="4" w:space="0" w:color="365F91"/>
              <w:right w:val="single" w:sz="4" w:space="0" w:color="365F91"/>
            </w:tcBorders>
          </w:tcPr>
          <w:p w14:paraId="2CA744B8" w14:textId="77777777" w:rsidR="00380BE7" w:rsidRPr="00256982" w:rsidRDefault="00380BE7" w:rsidP="009574E7"/>
        </w:tc>
        <w:tc>
          <w:tcPr>
            <w:tcW w:w="1350" w:type="dxa"/>
            <w:tcBorders>
              <w:top w:val="single" w:sz="4" w:space="0" w:color="365F91"/>
              <w:left w:val="single" w:sz="4" w:space="0" w:color="365F91"/>
              <w:bottom w:val="nil"/>
              <w:right w:val="single" w:sz="4" w:space="0" w:color="365F91"/>
            </w:tcBorders>
          </w:tcPr>
          <w:p w14:paraId="28040CAE" w14:textId="77777777" w:rsidR="00380BE7" w:rsidRPr="00256982" w:rsidRDefault="00380BE7" w:rsidP="009574E7">
            <w:pPr>
              <w:pStyle w:val="TableText"/>
            </w:pPr>
            <w:r w:rsidRPr="00256982">
              <w:t>Post-1989 natural forest [AR and D]</w:t>
            </w:r>
          </w:p>
        </w:tc>
        <w:tc>
          <w:tcPr>
            <w:tcW w:w="1051" w:type="dxa"/>
            <w:gridSpan w:val="2"/>
            <w:tcBorders>
              <w:top w:val="single" w:sz="4" w:space="0" w:color="365F91"/>
              <w:left w:val="single" w:sz="4" w:space="0" w:color="365F91"/>
              <w:bottom w:val="nil"/>
              <w:right w:val="nil"/>
            </w:tcBorders>
          </w:tcPr>
          <w:p w14:paraId="3E672DC7" w14:textId="77777777" w:rsidR="00380BE7" w:rsidRPr="00256982" w:rsidRDefault="00380BE7" w:rsidP="009574E7">
            <w:pPr>
              <w:pStyle w:val="TableText"/>
            </w:pPr>
            <w:r w:rsidRPr="00256982">
              <w:t>Allometric model</w:t>
            </w:r>
          </w:p>
        </w:tc>
        <w:tc>
          <w:tcPr>
            <w:tcW w:w="1149" w:type="dxa"/>
            <w:gridSpan w:val="2"/>
            <w:tcBorders>
              <w:top w:val="single" w:sz="4" w:space="0" w:color="365F91"/>
              <w:left w:val="nil"/>
              <w:bottom w:val="nil"/>
              <w:right w:val="nil"/>
            </w:tcBorders>
          </w:tcPr>
          <w:p w14:paraId="1753F879" w14:textId="77777777" w:rsidR="00380BE7" w:rsidRPr="00256982" w:rsidRDefault="00380BE7" w:rsidP="009574E7">
            <w:pPr>
              <w:pStyle w:val="TableText"/>
            </w:pPr>
            <w:r w:rsidRPr="00256982">
              <w:t>Percentage of above-ground biomass</w:t>
            </w:r>
          </w:p>
        </w:tc>
        <w:tc>
          <w:tcPr>
            <w:tcW w:w="1055" w:type="dxa"/>
            <w:tcBorders>
              <w:top w:val="single" w:sz="4" w:space="0" w:color="365F91"/>
              <w:left w:val="nil"/>
              <w:bottom w:val="nil"/>
              <w:right w:val="nil"/>
            </w:tcBorders>
            <w:tcMar>
              <w:right w:w="57" w:type="dxa"/>
            </w:tcMar>
          </w:tcPr>
          <w:p w14:paraId="0B6FF0E2" w14:textId="77777777" w:rsidR="00380BE7" w:rsidRPr="00256982" w:rsidRDefault="00380BE7" w:rsidP="009574E7">
            <w:pPr>
              <w:pStyle w:val="TableText"/>
            </w:pPr>
            <w:r w:rsidRPr="00256982">
              <w:t>Allometric model</w:t>
            </w:r>
          </w:p>
        </w:tc>
        <w:tc>
          <w:tcPr>
            <w:tcW w:w="1055" w:type="dxa"/>
            <w:tcBorders>
              <w:top w:val="single" w:sz="4" w:space="0" w:color="365F91"/>
              <w:left w:val="nil"/>
              <w:bottom w:val="nil"/>
              <w:right w:val="single" w:sz="4" w:space="0" w:color="365F91"/>
            </w:tcBorders>
            <w:tcMar>
              <w:right w:w="57" w:type="dxa"/>
            </w:tcMar>
          </w:tcPr>
          <w:p w14:paraId="6078C70C" w14:textId="77777777" w:rsidR="00380BE7" w:rsidRPr="00256982" w:rsidRDefault="00380BE7" w:rsidP="009574E7">
            <w:pPr>
              <w:pStyle w:val="TableText"/>
            </w:pPr>
            <w:r w:rsidRPr="00256982">
              <w:t>Allometric model</w:t>
            </w:r>
          </w:p>
        </w:tc>
        <w:tc>
          <w:tcPr>
            <w:tcW w:w="1206" w:type="dxa"/>
            <w:tcBorders>
              <w:top w:val="single" w:sz="4" w:space="0" w:color="365F91"/>
              <w:left w:val="single" w:sz="4" w:space="0" w:color="365F91"/>
              <w:bottom w:val="single" w:sz="4" w:space="0" w:color="365F91"/>
              <w:right w:val="single" w:sz="4" w:space="0" w:color="365F91"/>
            </w:tcBorders>
          </w:tcPr>
          <w:p w14:paraId="1478F300" w14:textId="77777777" w:rsidR="00380BE7" w:rsidRPr="00256982" w:rsidRDefault="00380BE7" w:rsidP="009574E7">
            <w:pPr>
              <w:pStyle w:val="TableText"/>
            </w:pPr>
            <w:r w:rsidRPr="00256982">
              <w:t>Tier 2, country-specific data and model</w:t>
            </w:r>
          </w:p>
        </w:tc>
        <w:tc>
          <w:tcPr>
            <w:tcW w:w="1213" w:type="dxa"/>
            <w:tcBorders>
              <w:top w:val="single" w:sz="4" w:space="0" w:color="365F91"/>
              <w:left w:val="single" w:sz="4" w:space="0" w:color="365F91"/>
              <w:bottom w:val="single" w:sz="4" w:space="0" w:color="365F91"/>
              <w:right w:val="nil"/>
            </w:tcBorders>
          </w:tcPr>
          <w:p w14:paraId="7F0F0018" w14:textId="77777777" w:rsidR="00380BE7" w:rsidRPr="00256982" w:rsidRDefault="00380BE7" w:rsidP="009574E7">
            <w:pPr>
              <w:pStyle w:val="TableText"/>
            </w:pPr>
            <w:r w:rsidRPr="00256982">
              <w:t>IPCC Tier 1 default parameters</w:t>
            </w:r>
          </w:p>
        </w:tc>
      </w:tr>
      <w:tr w:rsidR="00380BE7" w:rsidRPr="00256982" w14:paraId="791522EB" w14:textId="77777777" w:rsidTr="00A75556">
        <w:tc>
          <w:tcPr>
            <w:tcW w:w="426" w:type="dxa"/>
            <w:vMerge/>
            <w:tcBorders>
              <w:top w:val="single" w:sz="4" w:space="0" w:color="365F91"/>
              <w:left w:val="nil"/>
              <w:bottom w:val="single" w:sz="4" w:space="0" w:color="365F91"/>
              <w:right w:val="single" w:sz="4" w:space="0" w:color="365F91"/>
            </w:tcBorders>
          </w:tcPr>
          <w:p w14:paraId="392A4E8A" w14:textId="77777777" w:rsidR="00380BE7" w:rsidRPr="00256982" w:rsidRDefault="00380BE7" w:rsidP="009574E7"/>
        </w:tc>
        <w:tc>
          <w:tcPr>
            <w:tcW w:w="1350" w:type="dxa"/>
            <w:tcBorders>
              <w:top w:val="nil"/>
              <w:left w:val="single" w:sz="4" w:space="0" w:color="365F91"/>
              <w:bottom w:val="single" w:sz="4" w:space="0" w:color="365F91"/>
              <w:right w:val="single" w:sz="4" w:space="0" w:color="365F91"/>
            </w:tcBorders>
          </w:tcPr>
          <w:p w14:paraId="2713CF23" w14:textId="77777777" w:rsidR="00380BE7" w:rsidRPr="00256982" w:rsidRDefault="00380BE7" w:rsidP="009574E7">
            <w:pPr>
              <w:pStyle w:val="TableText"/>
            </w:pPr>
            <w:r w:rsidRPr="00256982">
              <w:t>Post-1989 planted forest [AR and D]</w:t>
            </w:r>
          </w:p>
        </w:tc>
        <w:tc>
          <w:tcPr>
            <w:tcW w:w="4310" w:type="dxa"/>
            <w:gridSpan w:val="6"/>
            <w:tcBorders>
              <w:top w:val="nil"/>
              <w:left w:val="single" w:sz="4" w:space="0" w:color="365F91"/>
              <w:bottom w:val="single" w:sz="4" w:space="0" w:color="365F91"/>
              <w:right w:val="single" w:sz="4" w:space="0" w:color="365F91"/>
            </w:tcBorders>
          </w:tcPr>
          <w:p w14:paraId="3DFE44BC" w14:textId="77777777" w:rsidR="00380BE7" w:rsidRPr="00256982" w:rsidRDefault="00380BE7" w:rsidP="009574E7">
            <w:pPr>
              <w:pStyle w:val="TableText"/>
            </w:pPr>
            <w:r w:rsidRPr="00256982">
              <w:t>Age-based carbon yield table by biomass pool derived from the LUCAS plot network and the Forest Carbon Predictor model</w:t>
            </w:r>
          </w:p>
        </w:tc>
        <w:tc>
          <w:tcPr>
            <w:tcW w:w="1206" w:type="dxa"/>
            <w:tcBorders>
              <w:top w:val="single" w:sz="4" w:space="0" w:color="365F91"/>
              <w:left w:val="single" w:sz="4" w:space="0" w:color="365F91"/>
              <w:bottom w:val="single" w:sz="4" w:space="0" w:color="365F91"/>
              <w:right w:val="single" w:sz="4" w:space="0" w:color="365F91"/>
            </w:tcBorders>
          </w:tcPr>
          <w:p w14:paraId="5E9FC406" w14:textId="77777777" w:rsidR="00380BE7" w:rsidRPr="00256982" w:rsidRDefault="00380BE7" w:rsidP="009574E7">
            <w:pPr>
              <w:pStyle w:val="TableText"/>
            </w:pPr>
            <w:r w:rsidRPr="00256982">
              <w:t>Tier 2, country-specific data and model</w:t>
            </w:r>
          </w:p>
        </w:tc>
        <w:tc>
          <w:tcPr>
            <w:tcW w:w="1213" w:type="dxa"/>
            <w:tcBorders>
              <w:top w:val="single" w:sz="4" w:space="0" w:color="365F91"/>
              <w:left w:val="single" w:sz="4" w:space="0" w:color="365F91"/>
              <w:bottom w:val="single" w:sz="4" w:space="0" w:color="365F91"/>
              <w:right w:val="nil"/>
            </w:tcBorders>
          </w:tcPr>
          <w:p w14:paraId="32301151" w14:textId="77777777" w:rsidR="00380BE7" w:rsidRPr="00256982" w:rsidRDefault="00380BE7" w:rsidP="009574E7">
            <w:pPr>
              <w:pStyle w:val="TableText"/>
            </w:pPr>
            <w:r w:rsidRPr="00256982">
              <w:t>IPCC Tier 1 default parameters</w:t>
            </w:r>
          </w:p>
        </w:tc>
      </w:tr>
      <w:tr w:rsidR="00380BE7" w:rsidRPr="00256982" w14:paraId="08FDD86A" w14:textId="77777777" w:rsidTr="00A75556">
        <w:tc>
          <w:tcPr>
            <w:tcW w:w="426" w:type="dxa"/>
            <w:vMerge/>
            <w:tcBorders>
              <w:top w:val="single" w:sz="4" w:space="0" w:color="365F91"/>
              <w:left w:val="nil"/>
              <w:bottom w:val="single" w:sz="4" w:space="0" w:color="365F91"/>
              <w:right w:val="single" w:sz="4" w:space="0" w:color="365F91"/>
            </w:tcBorders>
          </w:tcPr>
          <w:p w14:paraId="3AE9910D" w14:textId="77777777" w:rsidR="00380BE7" w:rsidRPr="00256982" w:rsidRDefault="00380BE7" w:rsidP="009574E7"/>
        </w:tc>
        <w:tc>
          <w:tcPr>
            <w:tcW w:w="1350" w:type="dxa"/>
            <w:tcBorders>
              <w:top w:val="single" w:sz="4" w:space="0" w:color="365F91"/>
              <w:left w:val="single" w:sz="4" w:space="0" w:color="365F91"/>
              <w:bottom w:val="single" w:sz="4" w:space="0" w:color="365F91"/>
              <w:right w:val="single" w:sz="4" w:space="0" w:color="365F91"/>
            </w:tcBorders>
          </w:tcPr>
          <w:p w14:paraId="2D6E66FB" w14:textId="77777777" w:rsidR="00380BE7" w:rsidRPr="00256982" w:rsidRDefault="00380BE7" w:rsidP="009574E7">
            <w:pPr>
              <w:pStyle w:val="TableText"/>
              <w:keepNext/>
            </w:pPr>
            <w:r w:rsidRPr="00256982">
              <w:t>Cropland –annual</w:t>
            </w:r>
          </w:p>
        </w:tc>
        <w:tc>
          <w:tcPr>
            <w:tcW w:w="1768" w:type="dxa"/>
            <w:gridSpan w:val="3"/>
            <w:tcBorders>
              <w:top w:val="single" w:sz="4" w:space="0" w:color="365F91"/>
              <w:left w:val="single" w:sz="4" w:space="0" w:color="365F91"/>
              <w:bottom w:val="single" w:sz="4" w:space="0" w:color="365F91"/>
              <w:right w:val="nil"/>
            </w:tcBorders>
          </w:tcPr>
          <w:p w14:paraId="7F717B0E" w14:textId="77777777" w:rsidR="00380BE7" w:rsidRPr="00256982" w:rsidRDefault="00380BE7" w:rsidP="009574E7">
            <w:pPr>
              <w:pStyle w:val="TableText"/>
              <w:keepNext/>
            </w:pPr>
            <w:r w:rsidRPr="00256982">
              <w:t>IPCC Tier 1 default parameters</w:t>
            </w:r>
          </w:p>
        </w:tc>
        <w:tc>
          <w:tcPr>
            <w:tcW w:w="2542" w:type="dxa"/>
            <w:gridSpan w:val="3"/>
            <w:tcBorders>
              <w:top w:val="single" w:sz="4" w:space="0" w:color="365F91"/>
              <w:left w:val="nil"/>
              <w:bottom w:val="single" w:sz="4" w:space="0" w:color="365F91"/>
              <w:right w:val="single" w:sz="4" w:space="0" w:color="365F91"/>
            </w:tcBorders>
          </w:tcPr>
          <w:p w14:paraId="3F8ABA0D" w14:textId="77777777" w:rsidR="00380BE7" w:rsidRPr="00256982" w:rsidRDefault="00380BE7" w:rsidP="009574E7">
            <w:pPr>
              <w:pStyle w:val="TableText"/>
              <w:keepNext/>
            </w:pPr>
            <w:r w:rsidRPr="00256982">
              <w:t>IPCC Tier 1 default parameters (NE)</w:t>
            </w:r>
          </w:p>
        </w:tc>
        <w:tc>
          <w:tcPr>
            <w:tcW w:w="1206" w:type="dxa"/>
            <w:tcBorders>
              <w:top w:val="single" w:sz="4" w:space="0" w:color="365F91"/>
              <w:left w:val="single" w:sz="4" w:space="0" w:color="365F91"/>
              <w:bottom w:val="single" w:sz="4" w:space="0" w:color="365F91"/>
              <w:right w:val="single" w:sz="4" w:space="0" w:color="365F91"/>
            </w:tcBorders>
          </w:tcPr>
          <w:p w14:paraId="48106934" w14:textId="77777777" w:rsidR="00380BE7" w:rsidRPr="00256982" w:rsidRDefault="00380BE7" w:rsidP="009574E7">
            <w:pPr>
              <w:pStyle w:val="TableText"/>
              <w:keepNext/>
            </w:pPr>
            <w:r w:rsidRPr="00256982">
              <w:t>Tier 2, country-specific data and model</w:t>
            </w:r>
          </w:p>
        </w:tc>
        <w:tc>
          <w:tcPr>
            <w:tcW w:w="1213" w:type="dxa"/>
            <w:tcBorders>
              <w:top w:val="single" w:sz="4" w:space="0" w:color="365F91"/>
              <w:left w:val="single" w:sz="4" w:space="0" w:color="365F91"/>
              <w:bottom w:val="single" w:sz="4" w:space="0" w:color="365F91"/>
              <w:right w:val="nil"/>
            </w:tcBorders>
          </w:tcPr>
          <w:p w14:paraId="38A0B99F" w14:textId="77777777" w:rsidR="00380BE7" w:rsidRPr="00256982" w:rsidRDefault="00380BE7" w:rsidP="009574E7">
            <w:pPr>
              <w:pStyle w:val="TableText"/>
              <w:keepNext/>
            </w:pPr>
            <w:r w:rsidRPr="00256982">
              <w:t>IPCC Tier 1 default parameters</w:t>
            </w:r>
          </w:p>
        </w:tc>
      </w:tr>
      <w:tr w:rsidR="00380BE7" w:rsidRPr="00256982" w14:paraId="065D6C80" w14:textId="77777777" w:rsidTr="00A75556">
        <w:tc>
          <w:tcPr>
            <w:tcW w:w="426" w:type="dxa"/>
            <w:vMerge/>
            <w:tcBorders>
              <w:top w:val="single" w:sz="4" w:space="0" w:color="365F91"/>
              <w:left w:val="nil"/>
              <w:bottom w:val="single" w:sz="4" w:space="0" w:color="365F91"/>
              <w:right w:val="single" w:sz="4" w:space="0" w:color="365F91"/>
            </w:tcBorders>
          </w:tcPr>
          <w:p w14:paraId="0D641135" w14:textId="77777777" w:rsidR="00380BE7" w:rsidRPr="00256982" w:rsidRDefault="00380BE7" w:rsidP="009574E7"/>
        </w:tc>
        <w:tc>
          <w:tcPr>
            <w:tcW w:w="1350" w:type="dxa"/>
            <w:tcBorders>
              <w:top w:val="single" w:sz="4" w:space="0" w:color="365F91"/>
              <w:left w:val="single" w:sz="4" w:space="0" w:color="365F91"/>
              <w:bottom w:val="single" w:sz="4" w:space="0" w:color="365F91"/>
              <w:right w:val="single" w:sz="4" w:space="0" w:color="365F91"/>
            </w:tcBorders>
          </w:tcPr>
          <w:p w14:paraId="52F4E8A8" w14:textId="77777777" w:rsidR="00380BE7" w:rsidRPr="00256982" w:rsidRDefault="00380BE7" w:rsidP="009574E7">
            <w:pPr>
              <w:pStyle w:val="TableText"/>
            </w:pPr>
            <w:r w:rsidRPr="00256982">
              <w:t>Cropland – perennial</w:t>
            </w:r>
          </w:p>
        </w:tc>
        <w:tc>
          <w:tcPr>
            <w:tcW w:w="1768" w:type="dxa"/>
            <w:gridSpan w:val="3"/>
            <w:tcBorders>
              <w:top w:val="single" w:sz="4" w:space="0" w:color="365F91"/>
              <w:left w:val="single" w:sz="4" w:space="0" w:color="365F91"/>
              <w:bottom w:val="single" w:sz="4" w:space="0" w:color="365F91"/>
              <w:right w:val="nil"/>
            </w:tcBorders>
          </w:tcPr>
          <w:p w14:paraId="188E5D09" w14:textId="77777777" w:rsidR="00380BE7" w:rsidRPr="00256982" w:rsidRDefault="00380BE7" w:rsidP="009574E7">
            <w:pPr>
              <w:pStyle w:val="TableText"/>
            </w:pPr>
            <w:r w:rsidRPr="00256982">
              <w:t>Country-specific emission factor</w:t>
            </w:r>
          </w:p>
        </w:tc>
        <w:tc>
          <w:tcPr>
            <w:tcW w:w="2542" w:type="dxa"/>
            <w:gridSpan w:val="3"/>
            <w:tcBorders>
              <w:top w:val="single" w:sz="4" w:space="0" w:color="365F91"/>
              <w:left w:val="nil"/>
              <w:bottom w:val="single" w:sz="4" w:space="0" w:color="365F91"/>
              <w:right w:val="single" w:sz="4" w:space="0" w:color="365F91"/>
            </w:tcBorders>
          </w:tcPr>
          <w:p w14:paraId="2893DA3E" w14:textId="77777777" w:rsidR="00380BE7" w:rsidRPr="00256982" w:rsidRDefault="00380BE7" w:rsidP="009574E7">
            <w:pPr>
              <w:pStyle w:val="TableText"/>
            </w:pPr>
            <w:r w:rsidRPr="00256982">
              <w:t>IPCC Tier 1 default parameters (NE)</w:t>
            </w:r>
          </w:p>
        </w:tc>
        <w:tc>
          <w:tcPr>
            <w:tcW w:w="1206" w:type="dxa"/>
            <w:tcBorders>
              <w:top w:val="single" w:sz="4" w:space="0" w:color="365F91"/>
              <w:left w:val="single" w:sz="4" w:space="0" w:color="365F91"/>
              <w:bottom w:val="single" w:sz="4" w:space="0" w:color="365F91"/>
              <w:right w:val="single" w:sz="4" w:space="0" w:color="365F91"/>
            </w:tcBorders>
          </w:tcPr>
          <w:p w14:paraId="4B284A4C" w14:textId="77777777" w:rsidR="00380BE7" w:rsidRPr="00256982" w:rsidRDefault="00380BE7" w:rsidP="009574E7">
            <w:pPr>
              <w:pStyle w:val="TableText"/>
              <w:rPr>
                <w:rFonts w:cs="Arial"/>
              </w:rPr>
            </w:pPr>
            <w:r w:rsidRPr="00256982">
              <w:t>Tier 2, country-specific data and model</w:t>
            </w:r>
          </w:p>
        </w:tc>
        <w:tc>
          <w:tcPr>
            <w:tcW w:w="1213" w:type="dxa"/>
            <w:tcBorders>
              <w:top w:val="single" w:sz="4" w:space="0" w:color="365F91"/>
              <w:left w:val="single" w:sz="4" w:space="0" w:color="365F91"/>
              <w:bottom w:val="single" w:sz="4" w:space="0" w:color="365F91"/>
              <w:right w:val="nil"/>
            </w:tcBorders>
          </w:tcPr>
          <w:p w14:paraId="63B73447" w14:textId="77777777" w:rsidR="00380BE7" w:rsidRPr="00256982" w:rsidRDefault="00380BE7" w:rsidP="009574E7">
            <w:pPr>
              <w:pStyle w:val="TableText"/>
            </w:pPr>
            <w:r w:rsidRPr="00256982">
              <w:t>IPCC Tier 1 default parameters</w:t>
            </w:r>
          </w:p>
        </w:tc>
      </w:tr>
      <w:tr w:rsidR="00380BE7" w:rsidRPr="00256982" w14:paraId="779B1F8B" w14:textId="77777777" w:rsidTr="00A75556">
        <w:tc>
          <w:tcPr>
            <w:tcW w:w="426" w:type="dxa"/>
            <w:vMerge/>
            <w:tcBorders>
              <w:top w:val="single" w:sz="4" w:space="0" w:color="365F91"/>
              <w:left w:val="nil"/>
              <w:bottom w:val="single" w:sz="4" w:space="0" w:color="365F91"/>
              <w:right w:val="single" w:sz="4" w:space="0" w:color="365F91"/>
            </w:tcBorders>
          </w:tcPr>
          <w:p w14:paraId="491822C5" w14:textId="77777777" w:rsidR="00380BE7" w:rsidRPr="00256982" w:rsidRDefault="00380BE7" w:rsidP="009574E7"/>
        </w:tc>
        <w:tc>
          <w:tcPr>
            <w:tcW w:w="1350" w:type="dxa"/>
            <w:tcBorders>
              <w:top w:val="single" w:sz="4" w:space="0" w:color="365F91"/>
              <w:left w:val="single" w:sz="4" w:space="0" w:color="365F91"/>
              <w:bottom w:val="single" w:sz="4" w:space="0" w:color="365F91"/>
              <w:right w:val="single" w:sz="4" w:space="0" w:color="365F91"/>
            </w:tcBorders>
          </w:tcPr>
          <w:p w14:paraId="3DFAC937" w14:textId="77777777" w:rsidR="00380BE7" w:rsidRPr="00256982" w:rsidRDefault="00380BE7" w:rsidP="009574E7">
            <w:pPr>
              <w:pStyle w:val="TableText"/>
            </w:pPr>
            <w:r w:rsidRPr="00256982">
              <w:t>Grassland (high and low producing)</w:t>
            </w:r>
          </w:p>
        </w:tc>
        <w:tc>
          <w:tcPr>
            <w:tcW w:w="1768" w:type="dxa"/>
            <w:gridSpan w:val="3"/>
            <w:tcBorders>
              <w:top w:val="single" w:sz="4" w:space="0" w:color="365F91"/>
              <w:left w:val="single" w:sz="4" w:space="0" w:color="365F91"/>
              <w:bottom w:val="single" w:sz="4" w:space="0" w:color="365F91"/>
              <w:right w:val="nil"/>
            </w:tcBorders>
          </w:tcPr>
          <w:p w14:paraId="5906212A" w14:textId="77777777" w:rsidR="00380BE7" w:rsidRPr="00256982" w:rsidRDefault="00380BE7" w:rsidP="009574E7">
            <w:pPr>
              <w:pStyle w:val="TableText"/>
            </w:pPr>
            <w:r w:rsidRPr="00256982">
              <w:t>IPCC Tier 1 default parameters</w:t>
            </w:r>
          </w:p>
        </w:tc>
        <w:tc>
          <w:tcPr>
            <w:tcW w:w="2542" w:type="dxa"/>
            <w:gridSpan w:val="3"/>
            <w:tcBorders>
              <w:top w:val="single" w:sz="4" w:space="0" w:color="365F91"/>
              <w:left w:val="nil"/>
              <w:bottom w:val="single" w:sz="4" w:space="0" w:color="365F91"/>
              <w:right w:val="single" w:sz="4" w:space="0" w:color="365F91"/>
            </w:tcBorders>
          </w:tcPr>
          <w:p w14:paraId="5B332E75" w14:textId="77777777" w:rsidR="00380BE7" w:rsidRPr="00256982" w:rsidRDefault="00380BE7" w:rsidP="009574E7">
            <w:pPr>
              <w:pStyle w:val="TableText"/>
            </w:pPr>
            <w:r w:rsidRPr="00256982">
              <w:t>IPCC Tier 1 default parameters (NE)</w:t>
            </w:r>
          </w:p>
        </w:tc>
        <w:tc>
          <w:tcPr>
            <w:tcW w:w="1206" w:type="dxa"/>
            <w:tcBorders>
              <w:top w:val="single" w:sz="4" w:space="0" w:color="365F91"/>
              <w:left w:val="single" w:sz="4" w:space="0" w:color="365F91"/>
              <w:bottom w:val="single" w:sz="4" w:space="0" w:color="365F91"/>
              <w:right w:val="single" w:sz="4" w:space="0" w:color="365F91"/>
            </w:tcBorders>
          </w:tcPr>
          <w:p w14:paraId="558A356A" w14:textId="77777777" w:rsidR="00380BE7" w:rsidRPr="00256982" w:rsidRDefault="00380BE7" w:rsidP="009574E7">
            <w:pPr>
              <w:pStyle w:val="TableText"/>
            </w:pPr>
            <w:r w:rsidRPr="00256982">
              <w:t>Tier 2, country-specific data and model</w:t>
            </w:r>
          </w:p>
        </w:tc>
        <w:tc>
          <w:tcPr>
            <w:tcW w:w="1213" w:type="dxa"/>
            <w:tcBorders>
              <w:top w:val="single" w:sz="4" w:space="0" w:color="365F91"/>
              <w:left w:val="single" w:sz="4" w:space="0" w:color="365F91"/>
              <w:bottom w:val="single" w:sz="4" w:space="0" w:color="365F91"/>
              <w:right w:val="nil"/>
            </w:tcBorders>
          </w:tcPr>
          <w:p w14:paraId="32300777" w14:textId="77777777" w:rsidR="00380BE7" w:rsidRPr="00256982" w:rsidRDefault="00380BE7" w:rsidP="009574E7">
            <w:pPr>
              <w:pStyle w:val="TableText"/>
            </w:pPr>
            <w:r w:rsidRPr="00256982">
              <w:t>IPCC Tier 1 default parameters</w:t>
            </w:r>
          </w:p>
        </w:tc>
      </w:tr>
      <w:tr w:rsidR="00380BE7" w:rsidRPr="00256982" w14:paraId="49D29D53" w14:textId="77777777" w:rsidTr="00A75556">
        <w:tc>
          <w:tcPr>
            <w:tcW w:w="426" w:type="dxa"/>
            <w:vMerge/>
            <w:tcBorders>
              <w:top w:val="single" w:sz="4" w:space="0" w:color="365F91"/>
              <w:left w:val="nil"/>
              <w:bottom w:val="single" w:sz="4" w:space="0" w:color="365F91"/>
              <w:right w:val="single" w:sz="4" w:space="0" w:color="365F91"/>
            </w:tcBorders>
          </w:tcPr>
          <w:p w14:paraId="151603FF" w14:textId="77777777" w:rsidR="00380BE7" w:rsidRPr="00256982" w:rsidRDefault="00380BE7" w:rsidP="009574E7"/>
        </w:tc>
        <w:tc>
          <w:tcPr>
            <w:tcW w:w="1350" w:type="dxa"/>
            <w:tcBorders>
              <w:top w:val="single" w:sz="4" w:space="0" w:color="365F91"/>
              <w:left w:val="single" w:sz="4" w:space="0" w:color="365F91"/>
              <w:bottom w:val="single" w:sz="4" w:space="0" w:color="365F91"/>
              <w:right w:val="single" w:sz="4" w:space="0" w:color="365F91"/>
            </w:tcBorders>
          </w:tcPr>
          <w:p w14:paraId="08A401B7" w14:textId="77777777" w:rsidR="00380BE7" w:rsidRPr="00256982" w:rsidRDefault="00380BE7" w:rsidP="009574E7">
            <w:pPr>
              <w:pStyle w:val="TableText"/>
            </w:pPr>
            <w:r w:rsidRPr="00256982">
              <w:t>Grassland with woody biomass – transitional and permanent</w:t>
            </w:r>
          </w:p>
        </w:tc>
        <w:tc>
          <w:tcPr>
            <w:tcW w:w="4310" w:type="dxa"/>
            <w:gridSpan w:val="6"/>
            <w:tcBorders>
              <w:top w:val="single" w:sz="4" w:space="0" w:color="365F91"/>
              <w:left w:val="single" w:sz="4" w:space="0" w:color="365F91"/>
              <w:bottom w:val="single" w:sz="4" w:space="0" w:color="365F91"/>
              <w:right w:val="single" w:sz="4" w:space="0" w:color="365F91"/>
            </w:tcBorders>
          </w:tcPr>
          <w:p w14:paraId="16E2862D" w14:textId="77777777" w:rsidR="00380BE7" w:rsidRPr="00256982" w:rsidRDefault="00380BE7" w:rsidP="009574E7">
            <w:pPr>
              <w:pStyle w:val="TableText"/>
            </w:pPr>
            <w:r w:rsidRPr="00256982">
              <w:t>Country-specific emission factor</w:t>
            </w:r>
          </w:p>
        </w:tc>
        <w:tc>
          <w:tcPr>
            <w:tcW w:w="1206" w:type="dxa"/>
            <w:tcBorders>
              <w:top w:val="single" w:sz="4" w:space="0" w:color="365F91"/>
              <w:left w:val="single" w:sz="4" w:space="0" w:color="365F91"/>
              <w:bottom w:val="single" w:sz="4" w:space="0" w:color="365F91"/>
              <w:right w:val="single" w:sz="4" w:space="0" w:color="365F91"/>
            </w:tcBorders>
          </w:tcPr>
          <w:p w14:paraId="0B4224C6" w14:textId="77777777" w:rsidR="00380BE7" w:rsidRPr="00256982" w:rsidRDefault="00380BE7" w:rsidP="009574E7">
            <w:pPr>
              <w:pStyle w:val="TableText"/>
            </w:pPr>
            <w:r w:rsidRPr="00256982">
              <w:t>Tier 2, country-specific data and model</w:t>
            </w:r>
          </w:p>
        </w:tc>
        <w:tc>
          <w:tcPr>
            <w:tcW w:w="1213" w:type="dxa"/>
            <w:tcBorders>
              <w:top w:val="single" w:sz="4" w:space="0" w:color="365F91"/>
              <w:left w:val="single" w:sz="4" w:space="0" w:color="365F91"/>
              <w:bottom w:val="single" w:sz="4" w:space="0" w:color="365F91"/>
              <w:right w:val="nil"/>
            </w:tcBorders>
          </w:tcPr>
          <w:p w14:paraId="03896ACB" w14:textId="77777777" w:rsidR="00380BE7" w:rsidRPr="00256982" w:rsidRDefault="00380BE7" w:rsidP="009574E7">
            <w:pPr>
              <w:pStyle w:val="TableText"/>
            </w:pPr>
            <w:r w:rsidRPr="00256982">
              <w:t>IPCC Tier 1 default parameters</w:t>
            </w:r>
          </w:p>
        </w:tc>
      </w:tr>
      <w:tr w:rsidR="00380BE7" w:rsidRPr="00256982" w14:paraId="32C90EC8" w14:textId="77777777" w:rsidTr="00A75556">
        <w:tc>
          <w:tcPr>
            <w:tcW w:w="426" w:type="dxa"/>
            <w:vMerge/>
            <w:tcBorders>
              <w:top w:val="single" w:sz="4" w:space="0" w:color="365F91"/>
              <w:left w:val="nil"/>
              <w:bottom w:val="single" w:sz="4" w:space="0" w:color="365F91"/>
              <w:right w:val="single" w:sz="4" w:space="0" w:color="365F91"/>
            </w:tcBorders>
          </w:tcPr>
          <w:p w14:paraId="2FEA601B" w14:textId="77777777" w:rsidR="00380BE7" w:rsidRPr="00256982" w:rsidRDefault="00380BE7" w:rsidP="009574E7"/>
        </w:tc>
        <w:tc>
          <w:tcPr>
            <w:tcW w:w="1350" w:type="dxa"/>
            <w:tcBorders>
              <w:top w:val="single" w:sz="4" w:space="0" w:color="365F91"/>
              <w:left w:val="single" w:sz="4" w:space="0" w:color="365F91"/>
              <w:bottom w:val="single" w:sz="4" w:space="0" w:color="365F91"/>
              <w:right w:val="single" w:sz="4" w:space="0" w:color="365F91"/>
            </w:tcBorders>
          </w:tcPr>
          <w:p w14:paraId="4D75B550" w14:textId="77777777" w:rsidR="00380BE7" w:rsidRPr="00256982" w:rsidRDefault="00380BE7" w:rsidP="009574E7">
            <w:pPr>
              <w:pStyle w:val="TableText"/>
            </w:pPr>
            <w:r w:rsidRPr="00256982">
              <w:t>Wetlands</w:t>
            </w:r>
          </w:p>
        </w:tc>
        <w:tc>
          <w:tcPr>
            <w:tcW w:w="4310" w:type="dxa"/>
            <w:gridSpan w:val="6"/>
            <w:tcBorders>
              <w:top w:val="single" w:sz="4" w:space="0" w:color="365F91"/>
              <w:left w:val="single" w:sz="4" w:space="0" w:color="365F91"/>
              <w:bottom w:val="single" w:sz="4" w:space="0" w:color="365F91"/>
              <w:right w:val="single" w:sz="4" w:space="0" w:color="365F91"/>
            </w:tcBorders>
          </w:tcPr>
          <w:p w14:paraId="37B99F2C" w14:textId="77777777" w:rsidR="00380BE7" w:rsidRPr="00256982" w:rsidRDefault="00380BE7" w:rsidP="009574E7">
            <w:pPr>
              <w:pStyle w:val="TableText"/>
            </w:pPr>
            <w:r w:rsidRPr="00256982">
              <w:t>IPCC Tier 1 default parameters (NE)</w:t>
            </w:r>
          </w:p>
        </w:tc>
        <w:tc>
          <w:tcPr>
            <w:tcW w:w="1206" w:type="dxa"/>
            <w:tcBorders>
              <w:top w:val="single" w:sz="4" w:space="0" w:color="365F91"/>
              <w:left w:val="single" w:sz="4" w:space="0" w:color="365F91"/>
              <w:bottom w:val="single" w:sz="4" w:space="0" w:color="365F91"/>
              <w:right w:val="single" w:sz="4" w:space="0" w:color="365F91"/>
            </w:tcBorders>
          </w:tcPr>
          <w:p w14:paraId="671C1E0B" w14:textId="77777777" w:rsidR="00380BE7" w:rsidRPr="00256982" w:rsidRDefault="00380BE7" w:rsidP="009574E7">
            <w:pPr>
              <w:pStyle w:val="TableText"/>
            </w:pPr>
            <w:r w:rsidRPr="00256982">
              <w:t>Tier 2, country-specific data and model</w:t>
            </w:r>
          </w:p>
        </w:tc>
        <w:tc>
          <w:tcPr>
            <w:tcW w:w="1213" w:type="dxa"/>
            <w:tcBorders>
              <w:top w:val="single" w:sz="4" w:space="0" w:color="365F91"/>
              <w:left w:val="single" w:sz="4" w:space="0" w:color="365F91"/>
              <w:bottom w:val="single" w:sz="4" w:space="0" w:color="365F91"/>
              <w:right w:val="nil"/>
            </w:tcBorders>
          </w:tcPr>
          <w:p w14:paraId="3CB97BA4" w14:textId="77777777" w:rsidR="00380BE7" w:rsidRPr="00256982" w:rsidRDefault="00380BE7" w:rsidP="009574E7">
            <w:pPr>
              <w:pStyle w:val="TableText"/>
            </w:pPr>
            <w:r w:rsidRPr="00256982">
              <w:t xml:space="preserve">IPCC Tier 1 default parameters </w:t>
            </w:r>
          </w:p>
        </w:tc>
      </w:tr>
      <w:tr w:rsidR="00380BE7" w:rsidRPr="00256982" w14:paraId="0F642296" w14:textId="77777777" w:rsidTr="00A75556">
        <w:tc>
          <w:tcPr>
            <w:tcW w:w="426" w:type="dxa"/>
            <w:vMerge/>
            <w:tcBorders>
              <w:top w:val="single" w:sz="4" w:space="0" w:color="365F91"/>
              <w:left w:val="nil"/>
              <w:bottom w:val="single" w:sz="4" w:space="0" w:color="365F91"/>
              <w:right w:val="single" w:sz="4" w:space="0" w:color="365F91"/>
            </w:tcBorders>
          </w:tcPr>
          <w:p w14:paraId="6648DE14" w14:textId="77777777" w:rsidR="00380BE7" w:rsidRPr="00256982" w:rsidRDefault="00380BE7" w:rsidP="009574E7"/>
        </w:tc>
        <w:tc>
          <w:tcPr>
            <w:tcW w:w="1350" w:type="dxa"/>
            <w:tcBorders>
              <w:top w:val="single" w:sz="4" w:space="0" w:color="365F91"/>
              <w:left w:val="single" w:sz="4" w:space="0" w:color="365F91"/>
              <w:bottom w:val="single" w:sz="4" w:space="0" w:color="365F91"/>
              <w:right w:val="single" w:sz="4" w:space="0" w:color="365F91"/>
            </w:tcBorders>
          </w:tcPr>
          <w:p w14:paraId="147C93CA" w14:textId="77777777" w:rsidR="00380BE7" w:rsidRPr="00256982" w:rsidRDefault="00380BE7" w:rsidP="009574E7">
            <w:pPr>
              <w:pStyle w:val="TableText"/>
            </w:pPr>
            <w:r w:rsidRPr="00256982">
              <w:t>Settlements</w:t>
            </w:r>
          </w:p>
        </w:tc>
        <w:tc>
          <w:tcPr>
            <w:tcW w:w="4310" w:type="dxa"/>
            <w:gridSpan w:val="6"/>
            <w:tcBorders>
              <w:top w:val="single" w:sz="4" w:space="0" w:color="365F91"/>
              <w:left w:val="single" w:sz="4" w:space="0" w:color="365F91"/>
              <w:bottom w:val="single" w:sz="4" w:space="0" w:color="365F91"/>
              <w:right w:val="single" w:sz="4" w:space="0" w:color="365F91"/>
            </w:tcBorders>
          </w:tcPr>
          <w:p w14:paraId="0A3E5CCA" w14:textId="77777777" w:rsidR="00380BE7" w:rsidRPr="00256982" w:rsidRDefault="00380BE7" w:rsidP="009574E7">
            <w:pPr>
              <w:pStyle w:val="TableText"/>
            </w:pPr>
            <w:r w:rsidRPr="00256982">
              <w:t>IPCC Tier 1 default parameter (NE)</w:t>
            </w:r>
          </w:p>
        </w:tc>
        <w:tc>
          <w:tcPr>
            <w:tcW w:w="1206" w:type="dxa"/>
            <w:tcBorders>
              <w:top w:val="single" w:sz="4" w:space="0" w:color="365F91"/>
              <w:left w:val="single" w:sz="4" w:space="0" w:color="365F91"/>
              <w:bottom w:val="single" w:sz="4" w:space="0" w:color="365F91"/>
              <w:right w:val="single" w:sz="4" w:space="0" w:color="365F91"/>
            </w:tcBorders>
          </w:tcPr>
          <w:p w14:paraId="157A71E6" w14:textId="77777777" w:rsidR="00380BE7" w:rsidRPr="00256982" w:rsidRDefault="00380BE7" w:rsidP="009574E7">
            <w:pPr>
              <w:pStyle w:val="TableText"/>
            </w:pPr>
            <w:r w:rsidRPr="00256982">
              <w:t>Tier 2, country-specific data and model</w:t>
            </w:r>
          </w:p>
        </w:tc>
        <w:tc>
          <w:tcPr>
            <w:tcW w:w="1213" w:type="dxa"/>
            <w:tcBorders>
              <w:top w:val="single" w:sz="4" w:space="0" w:color="365F91"/>
              <w:left w:val="single" w:sz="4" w:space="0" w:color="365F91"/>
              <w:bottom w:val="single" w:sz="4" w:space="0" w:color="365F91"/>
              <w:right w:val="nil"/>
            </w:tcBorders>
          </w:tcPr>
          <w:p w14:paraId="15704718" w14:textId="77777777" w:rsidR="00380BE7" w:rsidRPr="00256982" w:rsidRDefault="00380BE7" w:rsidP="009574E7">
            <w:pPr>
              <w:pStyle w:val="TableText"/>
            </w:pPr>
            <w:r w:rsidRPr="00256982">
              <w:t>Not estimated</w:t>
            </w:r>
          </w:p>
        </w:tc>
      </w:tr>
      <w:tr w:rsidR="00380BE7" w:rsidRPr="00256982" w14:paraId="78BE039A" w14:textId="77777777" w:rsidTr="00A75556">
        <w:tc>
          <w:tcPr>
            <w:tcW w:w="426" w:type="dxa"/>
            <w:vMerge/>
            <w:tcBorders>
              <w:top w:val="single" w:sz="4" w:space="0" w:color="365F91"/>
              <w:left w:val="nil"/>
              <w:bottom w:val="single" w:sz="4" w:space="0" w:color="365F91"/>
              <w:right w:val="single" w:sz="4" w:space="0" w:color="365F91"/>
            </w:tcBorders>
          </w:tcPr>
          <w:p w14:paraId="0F8F972F" w14:textId="77777777" w:rsidR="00380BE7" w:rsidRPr="00256982" w:rsidRDefault="00380BE7" w:rsidP="009574E7"/>
        </w:tc>
        <w:tc>
          <w:tcPr>
            <w:tcW w:w="1350" w:type="dxa"/>
            <w:tcBorders>
              <w:top w:val="single" w:sz="4" w:space="0" w:color="365F91"/>
              <w:left w:val="single" w:sz="4" w:space="0" w:color="365F91"/>
              <w:bottom w:val="single" w:sz="4" w:space="0" w:color="365F91"/>
              <w:right w:val="single" w:sz="4" w:space="0" w:color="365F91"/>
            </w:tcBorders>
          </w:tcPr>
          <w:p w14:paraId="12A78C84" w14:textId="77777777" w:rsidR="00380BE7" w:rsidRPr="00256982" w:rsidRDefault="00380BE7" w:rsidP="009574E7">
            <w:pPr>
              <w:pStyle w:val="TableText"/>
            </w:pPr>
            <w:r w:rsidRPr="00256982">
              <w:t>Other land</w:t>
            </w:r>
          </w:p>
        </w:tc>
        <w:tc>
          <w:tcPr>
            <w:tcW w:w="4310" w:type="dxa"/>
            <w:gridSpan w:val="6"/>
            <w:tcBorders>
              <w:top w:val="single" w:sz="4" w:space="0" w:color="365F91"/>
              <w:left w:val="single" w:sz="4" w:space="0" w:color="365F91"/>
              <w:bottom w:val="single" w:sz="4" w:space="0" w:color="365F91"/>
              <w:right w:val="single" w:sz="4" w:space="0" w:color="365F91"/>
            </w:tcBorders>
          </w:tcPr>
          <w:p w14:paraId="40C65E66" w14:textId="77777777" w:rsidR="00380BE7" w:rsidRPr="00256982" w:rsidRDefault="00380BE7" w:rsidP="009574E7">
            <w:pPr>
              <w:pStyle w:val="TableText"/>
            </w:pPr>
            <w:r w:rsidRPr="00256982">
              <w:t>IPCC Tier 1 default parameter (NE)</w:t>
            </w:r>
          </w:p>
        </w:tc>
        <w:tc>
          <w:tcPr>
            <w:tcW w:w="1206" w:type="dxa"/>
            <w:tcBorders>
              <w:top w:val="single" w:sz="4" w:space="0" w:color="365F91"/>
              <w:left w:val="single" w:sz="4" w:space="0" w:color="365F91"/>
              <w:bottom w:val="single" w:sz="4" w:space="0" w:color="365F91"/>
              <w:right w:val="single" w:sz="4" w:space="0" w:color="365F91"/>
            </w:tcBorders>
          </w:tcPr>
          <w:p w14:paraId="15203C9C" w14:textId="77777777" w:rsidR="00380BE7" w:rsidRPr="00256982" w:rsidRDefault="00380BE7" w:rsidP="009574E7">
            <w:pPr>
              <w:pStyle w:val="TableText"/>
            </w:pPr>
            <w:r w:rsidRPr="00256982">
              <w:t>Tier 2, country-specific data and model</w:t>
            </w:r>
          </w:p>
        </w:tc>
        <w:tc>
          <w:tcPr>
            <w:tcW w:w="1213" w:type="dxa"/>
            <w:tcBorders>
              <w:top w:val="single" w:sz="4" w:space="0" w:color="365F91"/>
              <w:left w:val="single" w:sz="4" w:space="0" w:color="365F91"/>
              <w:bottom w:val="single" w:sz="4" w:space="0" w:color="365F91"/>
              <w:right w:val="nil"/>
            </w:tcBorders>
          </w:tcPr>
          <w:p w14:paraId="10C1E013" w14:textId="77777777" w:rsidR="00380BE7" w:rsidRPr="00256982" w:rsidRDefault="00380BE7" w:rsidP="009574E7">
            <w:pPr>
              <w:pStyle w:val="TableText"/>
            </w:pPr>
            <w:r w:rsidRPr="00256982">
              <w:t xml:space="preserve">Not estimated </w:t>
            </w:r>
          </w:p>
        </w:tc>
      </w:tr>
    </w:tbl>
    <w:p w14:paraId="2C9D2ED2" w14:textId="77777777" w:rsidR="00380BE7" w:rsidRPr="00256982" w:rsidRDefault="00380BE7" w:rsidP="00380BE7">
      <w:pPr>
        <w:pStyle w:val="Noteundertable"/>
      </w:pPr>
      <w:r w:rsidRPr="00256982">
        <w:rPr>
          <w:b/>
        </w:rPr>
        <w:t>Note:</w:t>
      </w:r>
      <w:r w:rsidRPr="00256982">
        <w:tab/>
        <w:t xml:space="preserve">AR = afforestation/reforestation; D = deforestation; NE = not estimated. See the methodology sections for an explanation of soil carbon calculations (section 6.3) and forest models, C_Change and Forest Carbon Predictor (section 6.4.2). </w:t>
      </w:r>
    </w:p>
    <w:p w14:paraId="2519FC24" w14:textId="77777777" w:rsidR="00380BE7" w:rsidRPr="00256982" w:rsidRDefault="00380BE7" w:rsidP="00380BE7">
      <w:pPr>
        <w:pStyle w:val="Heading4"/>
      </w:pPr>
      <w:bookmarkStart w:id="978" w:name="_Toc255466296"/>
      <w:bookmarkStart w:id="979" w:name="_Toc261513103"/>
      <w:bookmarkStart w:id="980" w:name="_Toc261513716"/>
      <w:bookmarkStart w:id="981" w:name="_Toc280630207"/>
      <w:r w:rsidRPr="00256982">
        <w:t>Approach used to calculate deforestation emissions</w:t>
      </w:r>
    </w:p>
    <w:p w14:paraId="70EAC059" w14:textId="77777777" w:rsidR="00380BE7" w:rsidRPr="00256982" w:rsidRDefault="00380BE7" w:rsidP="00380BE7">
      <w:pPr>
        <w:pStyle w:val="Heading5"/>
      </w:pPr>
      <w:r w:rsidRPr="00256982">
        <w:t>Pre-1990 natural forest</w:t>
      </w:r>
    </w:p>
    <w:p w14:paraId="78E21D46" w14:textId="77777777" w:rsidR="00380BE7" w:rsidRPr="00256982" w:rsidRDefault="00380BE7" w:rsidP="00380BE7">
      <w:pPr>
        <w:pStyle w:val="BodyText"/>
      </w:pPr>
      <w:r w:rsidRPr="00256982">
        <w:t xml:space="preserve">As described in table 6.1.3, the methods for calculating emissions from </w:t>
      </w:r>
      <w:r w:rsidRPr="00256982">
        <w:rPr>
          <w:i/>
        </w:rPr>
        <w:t>Forest land</w:t>
      </w:r>
      <w:r w:rsidRPr="00256982">
        <w:t xml:space="preserve"> differ from those that apply a single reference carbon stock value. </w:t>
      </w:r>
    </w:p>
    <w:p w14:paraId="158A0BE1" w14:textId="77777777" w:rsidR="00380BE7" w:rsidRPr="00256982" w:rsidRDefault="00380BE7" w:rsidP="000527F7">
      <w:pPr>
        <w:pStyle w:val="BodyText"/>
        <w:spacing w:before="100" w:after="100"/>
      </w:pPr>
      <w:r w:rsidRPr="00256982">
        <w:lastRenderedPageBreak/>
        <w:t xml:space="preserve">Estimates of deforestation emissions for pre-1990 natural forest are based on the type of vegetation deforested (tall forest or regenerating). The area of natural forest deforestation is sub-classified as tall forest or regenerating using spatial data on land cover. </w:t>
      </w:r>
    </w:p>
    <w:p w14:paraId="6BF67D8B" w14:textId="77777777" w:rsidR="00380BE7" w:rsidRPr="00256982" w:rsidRDefault="00380BE7" w:rsidP="000527F7">
      <w:pPr>
        <w:pStyle w:val="BodyText"/>
        <w:spacing w:before="100" w:after="100"/>
      </w:pPr>
      <w:r w:rsidRPr="00256982">
        <w:t xml:space="preserve">Because statistically significant stock change has only been detected in the regenerating component of pre-1990 natural forest, the annual average carbon stock estimate for the regenerating component provides the emission factor that is applied to the proportion of this forest type at deforestation. Tall forest is instead deforested at the average carbon stock for this type of forest because the carbon stock of this is not changing from year to year. </w:t>
      </w:r>
    </w:p>
    <w:p w14:paraId="6A3B3049" w14:textId="77777777" w:rsidR="00380BE7" w:rsidRPr="00256982" w:rsidRDefault="00380BE7" w:rsidP="000527F7">
      <w:pPr>
        <w:pStyle w:val="BodyText"/>
        <w:spacing w:before="100" w:after="100"/>
      </w:pPr>
      <w:r w:rsidRPr="00256982">
        <w:t>Table 6.1.6 shows the areas of pre-1990 natural forest deforestation split by these two types (tall forest and regenerating).</w:t>
      </w:r>
    </w:p>
    <w:p w14:paraId="7BB844D8" w14:textId="77777777" w:rsidR="00380BE7" w:rsidRPr="00256982" w:rsidRDefault="00380BE7" w:rsidP="00380BE7">
      <w:pPr>
        <w:pStyle w:val="Table"/>
      </w:pPr>
      <w:bookmarkStart w:id="982" w:name="_Toc310423443"/>
      <w:bookmarkStart w:id="983" w:name="_Toc318362736"/>
      <w:bookmarkStart w:id="984" w:name="_Toc342470815"/>
      <w:bookmarkStart w:id="985" w:name="_Toc352505068"/>
      <w:bookmarkStart w:id="986" w:name="_Toc377043704"/>
      <w:bookmarkStart w:id="987" w:name="_Toc391023556"/>
      <w:bookmarkStart w:id="988" w:name="_Toc414531530"/>
      <w:bookmarkStart w:id="989" w:name="_Toc443645358"/>
      <w:bookmarkStart w:id="990" w:name="_Toc474914577"/>
      <w:bookmarkStart w:id="991" w:name="_Toc481751541"/>
      <w:bookmarkStart w:id="992" w:name="_Toc522010598"/>
      <w:bookmarkStart w:id="993" w:name="_Toc5269503"/>
      <w:r w:rsidRPr="00256982">
        <w:t>Table 6.1.6</w:t>
      </w:r>
      <w:r w:rsidRPr="00256982">
        <w:tab/>
        <w:t>New Zealand’s areas of pre-1990 natural forest deforestation estimated by type</w:t>
      </w:r>
      <w:bookmarkEnd w:id="982"/>
      <w:bookmarkEnd w:id="983"/>
      <w:bookmarkEnd w:id="984"/>
      <w:bookmarkEnd w:id="985"/>
      <w:bookmarkEnd w:id="986"/>
      <w:bookmarkEnd w:id="987"/>
      <w:bookmarkEnd w:id="988"/>
      <w:bookmarkEnd w:id="989"/>
      <w:bookmarkEnd w:id="990"/>
      <w:bookmarkEnd w:id="991"/>
      <w:r w:rsidRPr="00256982">
        <w:br/>
        <w:t>from 1990 to 201</w:t>
      </w:r>
      <w:bookmarkEnd w:id="992"/>
      <w:r w:rsidRPr="00256982">
        <w:t>7</w:t>
      </w:r>
      <w:bookmarkEnd w:id="993"/>
    </w:p>
    <w:tbl>
      <w:tblPr>
        <w:tblW w:w="8562" w:type="dxa"/>
        <w:tblInd w:w="57" w:type="dxa"/>
        <w:tblCellMar>
          <w:left w:w="57" w:type="dxa"/>
          <w:right w:w="57" w:type="dxa"/>
        </w:tblCellMar>
        <w:tblLook w:val="04A0" w:firstRow="1" w:lastRow="0" w:firstColumn="1" w:lastColumn="0" w:noHBand="0" w:noVBand="1"/>
      </w:tblPr>
      <w:tblGrid>
        <w:gridCol w:w="1147"/>
        <w:gridCol w:w="946"/>
        <w:gridCol w:w="644"/>
        <w:gridCol w:w="654"/>
        <w:gridCol w:w="653"/>
        <w:gridCol w:w="644"/>
        <w:gridCol w:w="654"/>
        <w:gridCol w:w="654"/>
        <w:gridCol w:w="643"/>
        <w:gridCol w:w="644"/>
        <w:gridCol w:w="644"/>
        <w:gridCol w:w="635"/>
      </w:tblGrid>
      <w:tr w:rsidR="00380BE7" w:rsidRPr="00256982" w14:paraId="65F3DB86" w14:textId="77777777" w:rsidTr="000527F7">
        <w:trPr>
          <w:tblHeader/>
        </w:trPr>
        <w:tc>
          <w:tcPr>
            <w:tcW w:w="1193" w:type="dxa"/>
            <w:tcBorders>
              <w:top w:val="single" w:sz="4" w:space="0" w:color="365F91"/>
              <w:bottom w:val="single" w:sz="4" w:space="0" w:color="365F91"/>
            </w:tcBorders>
            <w:shd w:val="clear" w:color="auto" w:fill="365F91"/>
          </w:tcPr>
          <w:p w14:paraId="67361AFC" w14:textId="77777777" w:rsidR="00380BE7" w:rsidRPr="00256982" w:rsidRDefault="00380BE7" w:rsidP="000527F7">
            <w:pPr>
              <w:pStyle w:val="TableTextBold"/>
              <w:rPr>
                <w:rFonts w:cs="Arial"/>
                <w:noProof w:val="0"/>
                <w:color w:val="FFFFFF"/>
                <w:sz w:val="15"/>
                <w:szCs w:val="15"/>
              </w:rPr>
            </w:pPr>
          </w:p>
        </w:tc>
        <w:tc>
          <w:tcPr>
            <w:tcW w:w="8147" w:type="dxa"/>
            <w:gridSpan w:val="11"/>
            <w:tcBorders>
              <w:top w:val="single" w:sz="4" w:space="0" w:color="365F91"/>
              <w:bottom w:val="single" w:sz="4" w:space="0" w:color="365F91"/>
            </w:tcBorders>
            <w:shd w:val="clear" w:color="auto" w:fill="365F91"/>
            <w:vAlign w:val="bottom"/>
          </w:tcPr>
          <w:p w14:paraId="21B633F4" w14:textId="77777777" w:rsidR="00380BE7" w:rsidRPr="00256982" w:rsidRDefault="00380BE7" w:rsidP="000527F7">
            <w:pPr>
              <w:pStyle w:val="TableTextBold"/>
              <w:spacing w:after="0"/>
              <w:jc w:val="center"/>
              <w:rPr>
                <w:rFonts w:cs="Arial"/>
                <w:bCs/>
                <w:noProof w:val="0"/>
                <w:color w:val="FFFFFF"/>
                <w:sz w:val="15"/>
                <w:szCs w:val="15"/>
              </w:rPr>
            </w:pPr>
            <w:r w:rsidRPr="00256982">
              <w:rPr>
                <w:rFonts w:cs="Arial"/>
                <w:bCs/>
                <w:noProof w:val="0"/>
                <w:color w:val="FFFFFF"/>
                <w:sz w:val="15"/>
                <w:szCs w:val="15"/>
              </w:rPr>
              <w:t>Area of natural forest deforestation (ha)</w:t>
            </w:r>
          </w:p>
        </w:tc>
      </w:tr>
      <w:tr w:rsidR="00380BE7" w:rsidRPr="00256982" w14:paraId="259747EE" w14:textId="77777777" w:rsidTr="000527F7">
        <w:trPr>
          <w:tblHeader/>
        </w:trPr>
        <w:tc>
          <w:tcPr>
            <w:tcW w:w="1193" w:type="dxa"/>
            <w:tcBorders>
              <w:top w:val="single" w:sz="4" w:space="0" w:color="365F91"/>
              <w:bottom w:val="single" w:sz="4" w:space="0" w:color="365F91"/>
            </w:tcBorders>
            <w:shd w:val="clear" w:color="auto" w:fill="365F91"/>
            <w:vAlign w:val="bottom"/>
          </w:tcPr>
          <w:p w14:paraId="5739933F" w14:textId="77777777" w:rsidR="00380BE7" w:rsidRPr="00256982" w:rsidRDefault="00380BE7" w:rsidP="000527F7">
            <w:pPr>
              <w:pStyle w:val="TableTextBold"/>
              <w:spacing w:before="40" w:after="40"/>
              <w:rPr>
                <w:rFonts w:cs="Arial"/>
                <w:noProof w:val="0"/>
                <w:color w:val="FFFFFF"/>
                <w:sz w:val="15"/>
                <w:szCs w:val="15"/>
              </w:rPr>
            </w:pPr>
            <w:r w:rsidRPr="00256982">
              <w:rPr>
                <w:rFonts w:cs="Arial"/>
                <w:noProof w:val="0"/>
                <w:color w:val="FFFFFF"/>
                <w:sz w:val="15"/>
                <w:szCs w:val="15"/>
              </w:rPr>
              <w:t>Natural forest type</w:t>
            </w:r>
          </w:p>
        </w:tc>
        <w:tc>
          <w:tcPr>
            <w:tcW w:w="1071" w:type="dxa"/>
            <w:tcBorders>
              <w:top w:val="single" w:sz="4" w:space="0" w:color="365F91"/>
              <w:bottom w:val="single" w:sz="4" w:space="0" w:color="365F91"/>
            </w:tcBorders>
            <w:shd w:val="clear" w:color="auto" w:fill="365F91"/>
            <w:vAlign w:val="bottom"/>
          </w:tcPr>
          <w:p w14:paraId="56D2C37C" w14:textId="77777777" w:rsidR="00380BE7" w:rsidRPr="00256982" w:rsidRDefault="00380BE7" w:rsidP="000527F7">
            <w:pPr>
              <w:pStyle w:val="TableTextBold"/>
              <w:spacing w:before="40" w:after="40"/>
              <w:jc w:val="center"/>
              <w:rPr>
                <w:rFonts w:cs="Arial"/>
                <w:noProof w:val="0"/>
                <w:color w:val="FFFFFF"/>
                <w:sz w:val="15"/>
                <w:szCs w:val="15"/>
              </w:rPr>
            </w:pPr>
            <w:r w:rsidRPr="00256982">
              <w:rPr>
                <w:rFonts w:cs="Arial"/>
                <w:noProof w:val="0"/>
                <w:color w:val="FFFFFF"/>
                <w:sz w:val="15"/>
                <w:szCs w:val="15"/>
              </w:rPr>
              <w:t>1990–2007</w:t>
            </w:r>
          </w:p>
        </w:tc>
        <w:tc>
          <w:tcPr>
            <w:tcW w:w="709" w:type="dxa"/>
            <w:tcBorders>
              <w:top w:val="single" w:sz="4" w:space="0" w:color="365F91"/>
              <w:bottom w:val="single" w:sz="4" w:space="0" w:color="365F91"/>
            </w:tcBorders>
            <w:shd w:val="clear" w:color="auto" w:fill="365F91"/>
            <w:vAlign w:val="bottom"/>
          </w:tcPr>
          <w:p w14:paraId="6EA23F97" w14:textId="77777777" w:rsidR="00380BE7" w:rsidRPr="00256982" w:rsidRDefault="00380BE7" w:rsidP="000527F7">
            <w:pPr>
              <w:pStyle w:val="TableTextBold"/>
              <w:spacing w:before="40" w:after="40"/>
              <w:jc w:val="center"/>
              <w:rPr>
                <w:rFonts w:cs="Arial"/>
                <w:noProof w:val="0"/>
                <w:color w:val="FFFFFF"/>
                <w:sz w:val="15"/>
                <w:szCs w:val="15"/>
              </w:rPr>
            </w:pPr>
            <w:r w:rsidRPr="00256982">
              <w:rPr>
                <w:rFonts w:cs="Arial"/>
                <w:noProof w:val="0"/>
                <w:color w:val="FFFFFF"/>
                <w:sz w:val="15"/>
                <w:szCs w:val="15"/>
              </w:rPr>
              <w:t>2008</w:t>
            </w:r>
          </w:p>
        </w:tc>
        <w:tc>
          <w:tcPr>
            <w:tcW w:w="709" w:type="dxa"/>
            <w:tcBorders>
              <w:top w:val="single" w:sz="4" w:space="0" w:color="365F91"/>
              <w:bottom w:val="single" w:sz="4" w:space="0" w:color="365F91"/>
            </w:tcBorders>
            <w:shd w:val="clear" w:color="auto" w:fill="365F91"/>
            <w:vAlign w:val="bottom"/>
          </w:tcPr>
          <w:p w14:paraId="616E7200" w14:textId="77777777" w:rsidR="00380BE7" w:rsidRPr="00256982" w:rsidRDefault="00380BE7" w:rsidP="000527F7">
            <w:pPr>
              <w:pStyle w:val="TableTextBold"/>
              <w:spacing w:before="40" w:after="40"/>
              <w:jc w:val="center"/>
              <w:rPr>
                <w:rFonts w:cs="Arial"/>
                <w:noProof w:val="0"/>
                <w:color w:val="FFFFFF"/>
                <w:sz w:val="15"/>
                <w:szCs w:val="15"/>
              </w:rPr>
            </w:pPr>
            <w:r w:rsidRPr="00256982">
              <w:rPr>
                <w:rFonts w:cs="Arial"/>
                <w:noProof w:val="0"/>
                <w:color w:val="FFFFFF"/>
                <w:sz w:val="15"/>
                <w:szCs w:val="15"/>
              </w:rPr>
              <w:t>2009</w:t>
            </w:r>
          </w:p>
        </w:tc>
        <w:tc>
          <w:tcPr>
            <w:tcW w:w="708" w:type="dxa"/>
            <w:tcBorders>
              <w:top w:val="single" w:sz="4" w:space="0" w:color="365F91"/>
              <w:bottom w:val="single" w:sz="4" w:space="0" w:color="365F91"/>
            </w:tcBorders>
            <w:shd w:val="clear" w:color="auto" w:fill="365F91"/>
            <w:vAlign w:val="bottom"/>
          </w:tcPr>
          <w:p w14:paraId="65184470" w14:textId="77777777" w:rsidR="00380BE7" w:rsidRPr="00256982" w:rsidRDefault="00380BE7" w:rsidP="000527F7">
            <w:pPr>
              <w:pStyle w:val="TableTextBold"/>
              <w:spacing w:before="40" w:after="40"/>
              <w:jc w:val="center"/>
              <w:rPr>
                <w:rFonts w:cs="Arial"/>
                <w:noProof w:val="0"/>
                <w:color w:val="FFFFFF"/>
                <w:sz w:val="15"/>
                <w:szCs w:val="15"/>
              </w:rPr>
            </w:pPr>
            <w:r w:rsidRPr="00256982">
              <w:rPr>
                <w:rFonts w:cs="Arial"/>
                <w:noProof w:val="0"/>
                <w:color w:val="FFFFFF"/>
                <w:sz w:val="15"/>
                <w:szCs w:val="15"/>
              </w:rPr>
              <w:t>2010</w:t>
            </w:r>
          </w:p>
        </w:tc>
        <w:tc>
          <w:tcPr>
            <w:tcW w:w="709" w:type="dxa"/>
            <w:tcBorders>
              <w:top w:val="single" w:sz="4" w:space="0" w:color="365F91"/>
              <w:bottom w:val="single" w:sz="4" w:space="0" w:color="365F91"/>
            </w:tcBorders>
            <w:shd w:val="clear" w:color="auto" w:fill="365F91"/>
            <w:vAlign w:val="bottom"/>
          </w:tcPr>
          <w:p w14:paraId="6F065FBD" w14:textId="77777777" w:rsidR="00380BE7" w:rsidRPr="00256982" w:rsidRDefault="00380BE7" w:rsidP="000527F7">
            <w:pPr>
              <w:pStyle w:val="TableTextBold"/>
              <w:spacing w:before="40" w:after="40"/>
              <w:jc w:val="center"/>
              <w:rPr>
                <w:rFonts w:cs="Arial"/>
                <w:noProof w:val="0"/>
                <w:color w:val="FFFFFF"/>
                <w:sz w:val="15"/>
                <w:szCs w:val="15"/>
              </w:rPr>
            </w:pPr>
            <w:r w:rsidRPr="00256982">
              <w:rPr>
                <w:rFonts w:cs="Arial"/>
                <w:noProof w:val="0"/>
                <w:color w:val="FFFFFF"/>
                <w:sz w:val="15"/>
                <w:szCs w:val="15"/>
              </w:rPr>
              <w:t>2011</w:t>
            </w:r>
          </w:p>
        </w:tc>
        <w:tc>
          <w:tcPr>
            <w:tcW w:w="709" w:type="dxa"/>
            <w:tcBorders>
              <w:top w:val="single" w:sz="4" w:space="0" w:color="365F91"/>
              <w:bottom w:val="single" w:sz="4" w:space="0" w:color="365F91"/>
            </w:tcBorders>
            <w:shd w:val="clear" w:color="auto" w:fill="365F91"/>
            <w:vAlign w:val="bottom"/>
          </w:tcPr>
          <w:p w14:paraId="6293DACE" w14:textId="77777777" w:rsidR="00380BE7" w:rsidRPr="00256982" w:rsidRDefault="00380BE7" w:rsidP="000527F7">
            <w:pPr>
              <w:pStyle w:val="TableTextBold"/>
              <w:spacing w:before="40" w:after="40"/>
              <w:jc w:val="center"/>
              <w:rPr>
                <w:rFonts w:cs="Arial"/>
                <w:noProof w:val="0"/>
                <w:color w:val="FFFFFF"/>
                <w:sz w:val="15"/>
                <w:szCs w:val="15"/>
              </w:rPr>
            </w:pPr>
            <w:r w:rsidRPr="00256982">
              <w:rPr>
                <w:rFonts w:cs="Arial"/>
                <w:noProof w:val="0"/>
                <w:color w:val="FFFFFF"/>
                <w:sz w:val="15"/>
                <w:szCs w:val="15"/>
              </w:rPr>
              <w:t>2012</w:t>
            </w:r>
          </w:p>
        </w:tc>
        <w:tc>
          <w:tcPr>
            <w:tcW w:w="709" w:type="dxa"/>
            <w:tcBorders>
              <w:top w:val="single" w:sz="4" w:space="0" w:color="365F91"/>
              <w:bottom w:val="single" w:sz="4" w:space="0" w:color="365F91"/>
            </w:tcBorders>
            <w:shd w:val="clear" w:color="auto" w:fill="365F91"/>
            <w:vAlign w:val="bottom"/>
          </w:tcPr>
          <w:p w14:paraId="5D3E087F" w14:textId="77777777" w:rsidR="00380BE7" w:rsidRPr="00256982" w:rsidRDefault="00380BE7" w:rsidP="000527F7">
            <w:pPr>
              <w:pStyle w:val="TableTextBold"/>
              <w:spacing w:before="40" w:after="40"/>
              <w:jc w:val="center"/>
              <w:rPr>
                <w:rFonts w:cs="Arial"/>
                <w:noProof w:val="0"/>
                <w:color w:val="FFFFFF"/>
                <w:sz w:val="15"/>
                <w:szCs w:val="15"/>
              </w:rPr>
            </w:pPr>
            <w:r w:rsidRPr="00256982">
              <w:rPr>
                <w:rFonts w:cs="Arial"/>
                <w:noProof w:val="0"/>
                <w:color w:val="FFFFFF"/>
                <w:sz w:val="15"/>
                <w:szCs w:val="15"/>
              </w:rPr>
              <w:t>2013</w:t>
            </w:r>
          </w:p>
        </w:tc>
        <w:tc>
          <w:tcPr>
            <w:tcW w:w="708" w:type="dxa"/>
            <w:tcBorders>
              <w:top w:val="single" w:sz="4" w:space="0" w:color="365F91"/>
              <w:bottom w:val="single" w:sz="4" w:space="0" w:color="365F91"/>
            </w:tcBorders>
            <w:shd w:val="clear" w:color="auto" w:fill="365F91"/>
            <w:vAlign w:val="bottom"/>
          </w:tcPr>
          <w:p w14:paraId="2FD8CD0D" w14:textId="77777777" w:rsidR="00380BE7" w:rsidRPr="00256982" w:rsidRDefault="00380BE7" w:rsidP="000527F7">
            <w:pPr>
              <w:pStyle w:val="TableTextBold"/>
              <w:spacing w:before="40" w:after="40"/>
              <w:jc w:val="center"/>
              <w:rPr>
                <w:rFonts w:cs="Arial"/>
                <w:noProof w:val="0"/>
                <w:color w:val="FFFFFF"/>
                <w:sz w:val="15"/>
                <w:szCs w:val="15"/>
              </w:rPr>
            </w:pPr>
            <w:r w:rsidRPr="00256982">
              <w:rPr>
                <w:rFonts w:cs="Arial"/>
                <w:noProof w:val="0"/>
                <w:color w:val="FFFFFF"/>
                <w:sz w:val="15"/>
                <w:szCs w:val="15"/>
              </w:rPr>
              <w:t>2014</w:t>
            </w:r>
          </w:p>
        </w:tc>
        <w:tc>
          <w:tcPr>
            <w:tcW w:w="709" w:type="dxa"/>
            <w:tcBorders>
              <w:top w:val="single" w:sz="4" w:space="0" w:color="365F91"/>
              <w:bottom w:val="single" w:sz="4" w:space="0" w:color="365F91"/>
            </w:tcBorders>
            <w:shd w:val="clear" w:color="auto" w:fill="365F91"/>
            <w:vAlign w:val="bottom"/>
          </w:tcPr>
          <w:p w14:paraId="2B3F2831" w14:textId="77777777" w:rsidR="00380BE7" w:rsidRPr="00256982" w:rsidRDefault="00380BE7" w:rsidP="000527F7">
            <w:pPr>
              <w:pStyle w:val="TableTextBold"/>
              <w:spacing w:before="40" w:after="40"/>
              <w:jc w:val="center"/>
              <w:rPr>
                <w:rFonts w:cs="Arial"/>
                <w:noProof w:val="0"/>
                <w:color w:val="FFFFFF"/>
                <w:sz w:val="15"/>
                <w:szCs w:val="15"/>
              </w:rPr>
            </w:pPr>
            <w:r w:rsidRPr="00256982">
              <w:rPr>
                <w:rFonts w:cs="Arial"/>
                <w:noProof w:val="0"/>
                <w:color w:val="FFFFFF"/>
                <w:sz w:val="15"/>
                <w:szCs w:val="15"/>
              </w:rPr>
              <w:t>2015</w:t>
            </w:r>
          </w:p>
        </w:tc>
        <w:tc>
          <w:tcPr>
            <w:tcW w:w="709" w:type="dxa"/>
            <w:tcBorders>
              <w:top w:val="single" w:sz="4" w:space="0" w:color="365F91"/>
              <w:bottom w:val="single" w:sz="4" w:space="0" w:color="365F91"/>
            </w:tcBorders>
            <w:shd w:val="clear" w:color="auto" w:fill="365F91"/>
            <w:vAlign w:val="bottom"/>
          </w:tcPr>
          <w:p w14:paraId="30F5A9AE" w14:textId="77777777" w:rsidR="00380BE7" w:rsidRPr="00256982" w:rsidRDefault="00380BE7" w:rsidP="000527F7">
            <w:pPr>
              <w:pStyle w:val="TableTextBold"/>
              <w:spacing w:before="40" w:after="40"/>
              <w:jc w:val="center"/>
              <w:rPr>
                <w:rFonts w:cs="Arial"/>
                <w:noProof w:val="0"/>
                <w:color w:val="FFFFFF"/>
                <w:sz w:val="15"/>
                <w:szCs w:val="15"/>
              </w:rPr>
            </w:pPr>
            <w:r w:rsidRPr="00256982">
              <w:rPr>
                <w:rFonts w:cs="Arial"/>
                <w:noProof w:val="0"/>
                <w:color w:val="FFFFFF"/>
                <w:sz w:val="15"/>
                <w:szCs w:val="15"/>
              </w:rPr>
              <w:t>2016</w:t>
            </w:r>
          </w:p>
        </w:tc>
        <w:tc>
          <w:tcPr>
            <w:tcW w:w="697" w:type="dxa"/>
            <w:tcBorders>
              <w:top w:val="single" w:sz="4" w:space="0" w:color="365F91"/>
              <w:bottom w:val="single" w:sz="4" w:space="0" w:color="365F91"/>
            </w:tcBorders>
            <w:shd w:val="clear" w:color="auto" w:fill="365F91"/>
            <w:vAlign w:val="bottom"/>
          </w:tcPr>
          <w:p w14:paraId="5B7B55CC" w14:textId="77777777" w:rsidR="00380BE7" w:rsidRPr="00256982" w:rsidRDefault="00380BE7" w:rsidP="000527F7">
            <w:pPr>
              <w:pStyle w:val="TableTextBold"/>
              <w:spacing w:before="40" w:after="40"/>
              <w:jc w:val="center"/>
              <w:rPr>
                <w:rFonts w:cs="Arial"/>
                <w:noProof w:val="0"/>
                <w:color w:val="FFFFFF"/>
                <w:sz w:val="15"/>
                <w:szCs w:val="15"/>
              </w:rPr>
            </w:pPr>
            <w:r w:rsidRPr="00256982">
              <w:rPr>
                <w:rFonts w:cs="Arial"/>
                <w:noProof w:val="0"/>
                <w:color w:val="FFFFFF"/>
                <w:sz w:val="15"/>
                <w:szCs w:val="15"/>
              </w:rPr>
              <w:t>2017</w:t>
            </w:r>
          </w:p>
        </w:tc>
      </w:tr>
      <w:tr w:rsidR="00380BE7" w:rsidRPr="00256982" w14:paraId="65B3A0DD" w14:textId="77777777" w:rsidTr="000527F7">
        <w:tc>
          <w:tcPr>
            <w:tcW w:w="1193" w:type="dxa"/>
            <w:tcBorders>
              <w:top w:val="single" w:sz="4" w:space="0" w:color="365F91"/>
              <w:bottom w:val="single" w:sz="4" w:space="0" w:color="365F91"/>
            </w:tcBorders>
          </w:tcPr>
          <w:p w14:paraId="37AF409D" w14:textId="77777777" w:rsidR="00380BE7" w:rsidRPr="00256982" w:rsidRDefault="00380BE7" w:rsidP="000527F7">
            <w:pPr>
              <w:pStyle w:val="TableText"/>
              <w:spacing w:before="40" w:after="40"/>
              <w:rPr>
                <w:rFonts w:cs="Arial"/>
                <w:sz w:val="15"/>
                <w:szCs w:val="15"/>
              </w:rPr>
            </w:pPr>
            <w:r w:rsidRPr="00256982">
              <w:rPr>
                <w:rFonts w:cs="Arial"/>
                <w:sz w:val="15"/>
                <w:szCs w:val="15"/>
              </w:rPr>
              <w:t xml:space="preserve">Tall forest </w:t>
            </w:r>
          </w:p>
        </w:tc>
        <w:tc>
          <w:tcPr>
            <w:tcW w:w="1071" w:type="dxa"/>
            <w:tcBorders>
              <w:top w:val="single" w:sz="4" w:space="0" w:color="365F91"/>
              <w:bottom w:val="single" w:sz="4" w:space="0" w:color="365F91"/>
            </w:tcBorders>
          </w:tcPr>
          <w:p w14:paraId="594EA7FE" w14:textId="77777777" w:rsidR="00380BE7" w:rsidRPr="00256982" w:rsidRDefault="00380BE7" w:rsidP="000527F7">
            <w:pPr>
              <w:pStyle w:val="TableText"/>
              <w:spacing w:before="40" w:after="40"/>
              <w:jc w:val="center"/>
              <w:rPr>
                <w:rFonts w:cs="Arial"/>
                <w:sz w:val="15"/>
                <w:szCs w:val="15"/>
              </w:rPr>
            </w:pPr>
            <w:r w:rsidRPr="00256982">
              <w:rPr>
                <w:rFonts w:cs="Arial"/>
                <w:sz w:val="15"/>
                <w:szCs w:val="15"/>
              </w:rPr>
              <w:t>8,561</w:t>
            </w:r>
          </w:p>
        </w:tc>
        <w:tc>
          <w:tcPr>
            <w:tcW w:w="709" w:type="dxa"/>
            <w:tcBorders>
              <w:top w:val="single" w:sz="4" w:space="0" w:color="365F91"/>
              <w:bottom w:val="single" w:sz="4" w:space="0" w:color="365F91"/>
            </w:tcBorders>
          </w:tcPr>
          <w:p w14:paraId="398F96C3" w14:textId="77777777" w:rsidR="00380BE7" w:rsidRPr="00256982" w:rsidRDefault="00380BE7" w:rsidP="000527F7">
            <w:pPr>
              <w:pStyle w:val="TableText"/>
              <w:spacing w:before="40" w:after="40"/>
              <w:jc w:val="center"/>
              <w:rPr>
                <w:rFonts w:cs="Arial"/>
                <w:sz w:val="15"/>
                <w:szCs w:val="15"/>
              </w:rPr>
            </w:pPr>
            <w:r w:rsidRPr="00256982">
              <w:rPr>
                <w:rFonts w:cs="Arial"/>
                <w:sz w:val="15"/>
                <w:szCs w:val="15"/>
              </w:rPr>
              <w:t>205</w:t>
            </w:r>
          </w:p>
        </w:tc>
        <w:tc>
          <w:tcPr>
            <w:tcW w:w="709" w:type="dxa"/>
            <w:tcBorders>
              <w:top w:val="single" w:sz="4" w:space="0" w:color="365F91"/>
              <w:bottom w:val="single" w:sz="4" w:space="0" w:color="365F91"/>
            </w:tcBorders>
          </w:tcPr>
          <w:p w14:paraId="5497885C" w14:textId="77777777" w:rsidR="00380BE7" w:rsidRPr="00256982" w:rsidRDefault="00380BE7" w:rsidP="000527F7">
            <w:pPr>
              <w:pStyle w:val="TableText"/>
              <w:spacing w:before="40" w:after="40"/>
              <w:jc w:val="center"/>
              <w:rPr>
                <w:rFonts w:cs="Arial"/>
                <w:sz w:val="15"/>
                <w:szCs w:val="15"/>
              </w:rPr>
            </w:pPr>
            <w:r w:rsidRPr="00256982">
              <w:rPr>
                <w:rFonts w:cs="Arial"/>
                <w:sz w:val="15"/>
                <w:szCs w:val="15"/>
              </w:rPr>
              <w:t>692</w:t>
            </w:r>
          </w:p>
        </w:tc>
        <w:tc>
          <w:tcPr>
            <w:tcW w:w="708" w:type="dxa"/>
            <w:tcBorders>
              <w:top w:val="single" w:sz="4" w:space="0" w:color="365F91"/>
              <w:bottom w:val="single" w:sz="4" w:space="0" w:color="365F91"/>
            </w:tcBorders>
          </w:tcPr>
          <w:p w14:paraId="5457233D" w14:textId="77777777" w:rsidR="00380BE7" w:rsidRPr="00256982" w:rsidRDefault="00380BE7" w:rsidP="000527F7">
            <w:pPr>
              <w:pStyle w:val="TableText"/>
              <w:spacing w:before="40" w:after="40"/>
              <w:jc w:val="center"/>
              <w:rPr>
                <w:rFonts w:cs="Arial"/>
                <w:sz w:val="15"/>
                <w:szCs w:val="15"/>
              </w:rPr>
            </w:pPr>
            <w:r w:rsidRPr="00256982">
              <w:rPr>
                <w:rFonts w:cs="Arial"/>
                <w:sz w:val="15"/>
                <w:szCs w:val="15"/>
              </w:rPr>
              <w:t>642</w:t>
            </w:r>
          </w:p>
        </w:tc>
        <w:tc>
          <w:tcPr>
            <w:tcW w:w="709" w:type="dxa"/>
            <w:tcBorders>
              <w:top w:val="single" w:sz="4" w:space="0" w:color="365F91"/>
              <w:bottom w:val="single" w:sz="4" w:space="0" w:color="365F91"/>
            </w:tcBorders>
          </w:tcPr>
          <w:p w14:paraId="2DEFB1A1" w14:textId="77777777" w:rsidR="00380BE7" w:rsidRPr="00256982" w:rsidRDefault="00380BE7" w:rsidP="000527F7">
            <w:pPr>
              <w:pStyle w:val="TableText"/>
              <w:spacing w:before="40" w:after="40"/>
              <w:jc w:val="center"/>
              <w:rPr>
                <w:rFonts w:cs="Arial"/>
                <w:sz w:val="15"/>
                <w:szCs w:val="15"/>
              </w:rPr>
            </w:pPr>
            <w:r w:rsidRPr="00256982">
              <w:rPr>
                <w:rFonts w:cs="Arial"/>
                <w:sz w:val="15"/>
                <w:szCs w:val="15"/>
              </w:rPr>
              <w:t>431</w:t>
            </w:r>
          </w:p>
        </w:tc>
        <w:tc>
          <w:tcPr>
            <w:tcW w:w="709" w:type="dxa"/>
            <w:tcBorders>
              <w:top w:val="single" w:sz="4" w:space="0" w:color="365F91"/>
              <w:bottom w:val="single" w:sz="4" w:space="0" w:color="365F91"/>
            </w:tcBorders>
          </w:tcPr>
          <w:p w14:paraId="5F7E387D" w14:textId="77777777" w:rsidR="00380BE7" w:rsidRPr="00256982" w:rsidRDefault="00380BE7" w:rsidP="000527F7">
            <w:pPr>
              <w:pStyle w:val="TableText"/>
              <w:spacing w:before="40" w:after="40"/>
              <w:jc w:val="center"/>
              <w:rPr>
                <w:rFonts w:cs="Arial"/>
                <w:sz w:val="15"/>
                <w:szCs w:val="15"/>
              </w:rPr>
            </w:pPr>
            <w:r w:rsidRPr="00256982">
              <w:rPr>
                <w:rFonts w:cs="Arial"/>
                <w:sz w:val="15"/>
                <w:szCs w:val="15"/>
              </w:rPr>
              <w:t>376</w:t>
            </w:r>
          </w:p>
        </w:tc>
        <w:tc>
          <w:tcPr>
            <w:tcW w:w="709" w:type="dxa"/>
            <w:tcBorders>
              <w:top w:val="single" w:sz="4" w:space="0" w:color="365F91"/>
              <w:bottom w:val="single" w:sz="4" w:space="0" w:color="365F91"/>
            </w:tcBorders>
          </w:tcPr>
          <w:p w14:paraId="084A0CCC" w14:textId="77777777" w:rsidR="00380BE7" w:rsidRPr="00256982" w:rsidRDefault="00380BE7" w:rsidP="000527F7">
            <w:pPr>
              <w:pStyle w:val="TableText"/>
              <w:spacing w:before="40" w:after="40"/>
              <w:jc w:val="center"/>
              <w:rPr>
                <w:rFonts w:cs="Arial"/>
                <w:sz w:val="15"/>
                <w:szCs w:val="15"/>
              </w:rPr>
            </w:pPr>
            <w:r w:rsidRPr="00256982">
              <w:rPr>
                <w:rFonts w:cs="Arial"/>
                <w:sz w:val="15"/>
                <w:szCs w:val="15"/>
              </w:rPr>
              <w:t>463</w:t>
            </w:r>
          </w:p>
        </w:tc>
        <w:tc>
          <w:tcPr>
            <w:tcW w:w="708" w:type="dxa"/>
            <w:tcBorders>
              <w:top w:val="single" w:sz="4" w:space="0" w:color="365F91"/>
              <w:bottom w:val="single" w:sz="4" w:space="0" w:color="365F91"/>
            </w:tcBorders>
          </w:tcPr>
          <w:p w14:paraId="1BD9AB7A" w14:textId="77777777" w:rsidR="00380BE7" w:rsidRPr="00256982" w:rsidRDefault="00380BE7" w:rsidP="000527F7">
            <w:pPr>
              <w:pStyle w:val="TableText"/>
              <w:spacing w:before="40" w:after="40"/>
              <w:jc w:val="center"/>
              <w:rPr>
                <w:rFonts w:cs="Arial"/>
                <w:sz w:val="15"/>
                <w:szCs w:val="15"/>
              </w:rPr>
            </w:pPr>
            <w:r w:rsidRPr="00256982">
              <w:rPr>
                <w:rFonts w:cs="Arial"/>
                <w:sz w:val="15"/>
                <w:szCs w:val="15"/>
              </w:rPr>
              <w:t>283</w:t>
            </w:r>
          </w:p>
        </w:tc>
        <w:tc>
          <w:tcPr>
            <w:tcW w:w="709" w:type="dxa"/>
            <w:tcBorders>
              <w:top w:val="single" w:sz="4" w:space="0" w:color="365F91"/>
              <w:bottom w:val="single" w:sz="4" w:space="0" w:color="auto"/>
            </w:tcBorders>
          </w:tcPr>
          <w:p w14:paraId="08943819" w14:textId="77777777" w:rsidR="00380BE7" w:rsidRPr="00256982" w:rsidRDefault="00380BE7" w:rsidP="000527F7">
            <w:pPr>
              <w:pStyle w:val="TableText"/>
              <w:spacing w:before="40" w:after="40"/>
              <w:jc w:val="center"/>
              <w:rPr>
                <w:rFonts w:cs="Arial"/>
                <w:sz w:val="15"/>
                <w:szCs w:val="15"/>
              </w:rPr>
            </w:pPr>
            <w:r w:rsidRPr="00256982">
              <w:rPr>
                <w:rFonts w:cs="Arial"/>
                <w:sz w:val="15"/>
                <w:szCs w:val="15"/>
              </w:rPr>
              <w:t>409</w:t>
            </w:r>
          </w:p>
        </w:tc>
        <w:tc>
          <w:tcPr>
            <w:tcW w:w="709" w:type="dxa"/>
            <w:tcBorders>
              <w:top w:val="single" w:sz="4" w:space="0" w:color="365F91"/>
              <w:bottom w:val="single" w:sz="4" w:space="0" w:color="auto"/>
            </w:tcBorders>
          </w:tcPr>
          <w:p w14:paraId="3938C337" w14:textId="77777777" w:rsidR="00380BE7" w:rsidRPr="00256982" w:rsidRDefault="00380BE7" w:rsidP="000527F7">
            <w:pPr>
              <w:pStyle w:val="TableText"/>
              <w:spacing w:before="40" w:after="40"/>
              <w:jc w:val="center"/>
              <w:rPr>
                <w:rFonts w:cs="Arial"/>
                <w:sz w:val="15"/>
                <w:szCs w:val="15"/>
              </w:rPr>
            </w:pPr>
            <w:r w:rsidRPr="00256982">
              <w:rPr>
                <w:rFonts w:cs="Arial"/>
                <w:sz w:val="15"/>
                <w:szCs w:val="15"/>
              </w:rPr>
              <w:t>263</w:t>
            </w:r>
          </w:p>
        </w:tc>
        <w:tc>
          <w:tcPr>
            <w:tcW w:w="697" w:type="dxa"/>
            <w:tcBorders>
              <w:top w:val="single" w:sz="4" w:space="0" w:color="365F91"/>
              <w:bottom w:val="single" w:sz="4" w:space="0" w:color="auto"/>
            </w:tcBorders>
          </w:tcPr>
          <w:p w14:paraId="51A5EE4B" w14:textId="77777777" w:rsidR="00380BE7" w:rsidRPr="00256982" w:rsidRDefault="00380BE7" w:rsidP="000527F7">
            <w:pPr>
              <w:pStyle w:val="TableText"/>
              <w:spacing w:before="40" w:after="40"/>
              <w:jc w:val="center"/>
              <w:rPr>
                <w:rFonts w:cs="Arial"/>
                <w:sz w:val="15"/>
                <w:szCs w:val="15"/>
              </w:rPr>
            </w:pPr>
            <w:r w:rsidRPr="00256982">
              <w:rPr>
                <w:rFonts w:cs="Arial"/>
                <w:sz w:val="15"/>
                <w:szCs w:val="15"/>
              </w:rPr>
              <w:t>395</w:t>
            </w:r>
          </w:p>
        </w:tc>
      </w:tr>
      <w:tr w:rsidR="00380BE7" w:rsidRPr="00256982" w14:paraId="70F40EF4" w14:textId="77777777" w:rsidTr="000527F7">
        <w:tc>
          <w:tcPr>
            <w:tcW w:w="1193" w:type="dxa"/>
            <w:tcBorders>
              <w:top w:val="single" w:sz="4" w:space="0" w:color="365F91"/>
              <w:bottom w:val="single" w:sz="4" w:space="0" w:color="365F91"/>
            </w:tcBorders>
          </w:tcPr>
          <w:p w14:paraId="372F3486" w14:textId="77777777" w:rsidR="00380BE7" w:rsidRPr="00256982" w:rsidRDefault="00380BE7" w:rsidP="000527F7">
            <w:pPr>
              <w:pStyle w:val="TableText"/>
              <w:spacing w:before="40" w:after="40"/>
              <w:rPr>
                <w:rFonts w:cs="Arial"/>
                <w:sz w:val="15"/>
                <w:szCs w:val="15"/>
              </w:rPr>
            </w:pPr>
            <w:r w:rsidRPr="00256982">
              <w:rPr>
                <w:rFonts w:cs="Arial"/>
                <w:sz w:val="15"/>
                <w:szCs w:val="15"/>
              </w:rPr>
              <w:t>Regenerating</w:t>
            </w:r>
          </w:p>
        </w:tc>
        <w:tc>
          <w:tcPr>
            <w:tcW w:w="1071" w:type="dxa"/>
            <w:tcBorders>
              <w:top w:val="single" w:sz="4" w:space="0" w:color="365F91"/>
              <w:bottom w:val="single" w:sz="4" w:space="0" w:color="365F91"/>
            </w:tcBorders>
          </w:tcPr>
          <w:p w14:paraId="28FEC449" w14:textId="77777777" w:rsidR="00380BE7" w:rsidRPr="00256982" w:rsidRDefault="00380BE7" w:rsidP="000527F7">
            <w:pPr>
              <w:pStyle w:val="TableText"/>
              <w:spacing w:before="40" w:after="40"/>
              <w:jc w:val="center"/>
              <w:rPr>
                <w:rFonts w:cs="Arial"/>
                <w:sz w:val="15"/>
                <w:szCs w:val="15"/>
              </w:rPr>
            </w:pPr>
            <w:r w:rsidRPr="00256982">
              <w:rPr>
                <w:rFonts w:cs="Arial"/>
                <w:sz w:val="15"/>
                <w:szCs w:val="15"/>
              </w:rPr>
              <w:t>25,778</w:t>
            </w:r>
          </w:p>
        </w:tc>
        <w:tc>
          <w:tcPr>
            <w:tcW w:w="709" w:type="dxa"/>
            <w:tcBorders>
              <w:top w:val="single" w:sz="4" w:space="0" w:color="365F91"/>
              <w:bottom w:val="single" w:sz="4" w:space="0" w:color="365F91"/>
            </w:tcBorders>
          </w:tcPr>
          <w:p w14:paraId="50BCE28F" w14:textId="77777777" w:rsidR="00380BE7" w:rsidRPr="00256982" w:rsidRDefault="00380BE7" w:rsidP="000527F7">
            <w:pPr>
              <w:pStyle w:val="TableText"/>
              <w:spacing w:before="40" w:after="40"/>
              <w:jc w:val="center"/>
              <w:rPr>
                <w:rFonts w:cs="Arial"/>
                <w:sz w:val="15"/>
                <w:szCs w:val="15"/>
              </w:rPr>
            </w:pPr>
            <w:r w:rsidRPr="00256982">
              <w:rPr>
                <w:rFonts w:cs="Arial"/>
                <w:sz w:val="15"/>
                <w:szCs w:val="15"/>
              </w:rPr>
              <w:t>732</w:t>
            </w:r>
          </w:p>
        </w:tc>
        <w:tc>
          <w:tcPr>
            <w:tcW w:w="709" w:type="dxa"/>
            <w:tcBorders>
              <w:top w:val="single" w:sz="4" w:space="0" w:color="365F91"/>
              <w:bottom w:val="single" w:sz="4" w:space="0" w:color="365F91"/>
            </w:tcBorders>
          </w:tcPr>
          <w:p w14:paraId="794C7112" w14:textId="77777777" w:rsidR="00380BE7" w:rsidRPr="00256982" w:rsidRDefault="00380BE7" w:rsidP="000527F7">
            <w:pPr>
              <w:pStyle w:val="TableText"/>
              <w:spacing w:before="40" w:after="40"/>
              <w:jc w:val="center"/>
              <w:rPr>
                <w:rFonts w:cs="Arial"/>
                <w:sz w:val="15"/>
                <w:szCs w:val="15"/>
              </w:rPr>
            </w:pPr>
            <w:r w:rsidRPr="00256982">
              <w:rPr>
                <w:rFonts w:cs="Arial"/>
                <w:sz w:val="15"/>
                <w:szCs w:val="15"/>
              </w:rPr>
              <w:t>1893</w:t>
            </w:r>
          </w:p>
        </w:tc>
        <w:tc>
          <w:tcPr>
            <w:tcW w:w="708" w:type="dxa"/>
            <w:tcBorders>
              <w:top w:val="single" w:sz="4" w:space="0" w:color="365F91"/>
              <w:bottom w:val="single" w:sz="4" w:space="0" w:color="365F91"/>
            </w:tcBorders>
          </w:tcPr>
          <w:p w14:paraId="049AB9AD" w14:textId="77777777" w:rsidR="00380BE7" w:rsidRPr="00256982" w:rsidRDefault="00380BE7" w:rsidP="000527F7">
            <w:pPr>
              <w:pStyle w:val="TableText"/>
              <w:spacing w:before="40" w:after="40"/>
              <w:jc w:val="center"/>
              <w:rPr>
                <w:rFonts w:cs="Arial"/>
                <w:sz w:val="15"/>
                <w:szCs w:val="15"/>
              </w:rPr>
            </w:pPr>
            <w:r w:rsidRPr="00256982">
              <w:rPr>
                <w:rFonts w:cs="Arial"/>
                <w:sz w:val="15"/>
                <w:szCs w:val="15"/>
              </w:rPr>
              <w:t>1306</w:t>
            </w:r>
          </w:p>
        </w:tc>
        <w:tc>
          <w:tcPr>
            <w:tcW w:w="709" w:type="dxa"/>
            <w:tcBorders>
              <w:top w:val="single" w:sz="4" w:space="0" w:color="365F91"/>
              <w:bottom w:val="single" w:sz="4" w:space="0" w:color="365F91"/>
            </w:tcBorders>
          </w:tcPr>
          <w:p w14:paraId="3ED1D852" w14:textId="77777777" w:rsidR="00380BE7" w:rsidRPr="00256982" w:rsidRDefault="00380BE7" w:rsidP="000527F7">
            <w:pPr>
              <w:pStyle w:val="TableText"/>
              <w:spacing w:before="40" w:after="40"/>
              <w:jc w:val="center"/>
              <w:rPr>
                <w:rFonts w:cs="Arial"/>
                <w:sz w:val="15"/>
                <w:szCs w:val="15"/>
              </w:rPr>
            </w:pPr>
            <w:r w:rsidRPr="00256982">
              <w:rPr>
                <w:rFonts w:cs="Arial"/>
                <w:sz w:val="15"/>
                <w:szCs w:val="15"/>
              </w:rPr>
              <w:t>503</w:t>
            </w:r>
          </w:p>
        </w:tc>
        <w:tc>
          <w:tcPr>
            <w:tcW w:w="709" w:type="dxa"/>
            <w:tcBorders>
              <w:top w:val="single" w:sz="4" w:space="0" w:color="365F91"/>
              <w:bottom w:val="single" w:sz="4" w:space="0" w:color="365F91"/>
            </w:tcBorders>
          </w:tcPr>
          <w:p w14:paraId="13649DA7" w14:textId="77777777" w:rsidR="00380BE7" w:rsidRPr="00256982" w:rsidRDefault="00380BE7" w:rsidP="000527F7">
            <w:pPr>
              <w:pStyle w:val="TableText"/>
              <w:spacing w:before="40" w:after="40"/>
              <w:jc w:val="center"/>
              <w:rPr>
                <w:rFonts w:cs="Arial"/>
                <w:sz w:val="15"/>
                <w:szCs w:val="15"/>
              </w:rPr>
            </w:pPr>
            <w:r w:rsidRPr="00256982">
              <w:rPr>
                <w:rFonts w:cs="Arial"/>
                <w:sz w:val="15"/>
                <w:szCs w:val="15"/>
              </w:rPr>
              <w:t>766</w:t>
            </w:r>
          </w:p>
        </w:tc>
        <w:tc>
          <w:tcPr>
            <w:tcW w:w="709" w:type="dxa"/>
            <w:tcBorders>
              <w:top w:val="single" w:sz="4" w:space="0" w:color="365F91"/>
              <w:bottom w:val="single" w:sz="4" w:space="0" w:color="365F91"/>
            </w:tcBorders>
          </w:tcPr>
          <w:p w14:paraId="1600DDAC" w14:textId="77777777" w:rsidR="00380BE7" w:rsidRPr="00256982" w:rsidRDefault="00380BE7" w:rsidP="000527F7">
            <w:pPr>
              <w:pStyle w:val="TableText"/>
              <w:spacing w:before="40" w:after="40"/>
              <w:jc w:val="center"/>
              <w:rPr>
                <w:rFonts w:cs="Arial"/>
                <w:sz w:val="15"/>
                <w:szCs w:val="15"/>
              </w:rPr>
            </w:pPr>
            <w:r w:rsidRPr="00256982">
              <w:rPr>
                <w:rFonts w:cs="Arial"/>
                <w:sz w:val="15"/>
                <w:szCs w:val="15"/>
              </w:rPr>
              <w:t>719</w:t>
            </w:r>
          </w:p>
        </w:tc>
        <w:tc>
          <w:tcPr>
            <w:tcW w:w="708" w:type="dxa"/>
            <w:tcBorders>
              <w:top w:val="single" w:sz="4" w:space="0" w:color="365F91"/>
              <w:bottom w:val="single" w:sz="4" w:space="0" w:color="365F91"/>
            </w:tcBorders>
          </w:tcPr>
          <w:p w14:paraId="3A44C655" w14:textId="77777777" w:rsidR="00380BE7" w:rsidRPr="00256982" w:rsidRDefault="00380BE7" w:rsidP="000527F7">
            <w:pPr>
              <w:pStyle w:val="TableText"/>
              <w:spacing w:before="40" w:after="40"/>
              <w:jc w:val="center"/>
              <w:rPr>
                <w:rFonts w:cs="Arial"/>
                <w:sz w:val="15"/>
                <w:szCs w:val="15"/>
              </w:rPr>
            </w:pPr>
            <w:r w:rsidRPr="00256982">
              <w:rPr>
                <w:rFonts w:cs="Arial"/>
                <w:sz w:val="15"/>
                <w:szCs w:val="15"/>
              </w:rPr>
              <w:t>129</w:t>
            </w:r>
          </w:p>
        </w:tc>
        <w:tc>
          <w:tcPr>
            <w:tcW w:w="709" w:type="dxa"/>
            <w:tcBorders>
              <w:top w:val="single" w:sz="4" w:space="0" w:color="auto"/>
              <w:bottom w:val="single" w:sz="4" w:space="0" w:color="auto"/>
            </w:tcBorders>
          </w:tcPr>
          <w:p w14:paraId="7B798337" w14:textId="77777777" w:rsidR="00380BE7" w:rsidRPr="00256982" w:rsidRDefault="00380BE7" w:rsidP="000527F7">
            <w:pPr>
              <w:pStyle w:val="TableText"/>
              <w:spacing w:before="40" w:after="40"/>
              <w:jc w:val="center"/>
              <w:rPr>
                <w:rFonts w:cs="Arial"/>
                <w:sz w:val="15"/>
                <w:szCs w:val="15"/>
              </w:rPr>
            </w:pPr>
            <w:r w:rsidRPr="00256982">
              <w:rPr>
                <w:rFonts w:cs="Arial"/>
                <w:sz w:val="15"/>
                <w:szCs w:val="15"/>
              </w:rPr>
              <w:t>279</w:t>
            </w:r>
          </w:p>
        </w:tc>
        <w:tc>
          <w:tcPr>
            <w:tcW w:w="709" w:type="dxa"/>
            <w:tcBorders>
              <w:top w:val="single" w:sz="4" w:space="0" w:color="auto"/>
              <w:bottom w:val="single" w:sz="4" w:space="0" w:color="auto"/>
            </w:tcBorders>
          </w:tcPr>
          <w:p w14:paraId="7FABDB19" w14:textId="77777777" w:rsidR="00380BE7" w:rsidRPr="00256982" w:rsidRDefault="00380BE7" w:rsidP="000527F7">
            <w:pPr>
              <w:pStyle w:val="TableText"/>
              <w:spacing w:before="40" w:after="40"/>
              <w:jc w:val="center"/>
              <w:rPr>
                <w:rFonts w:cs="Arial"/>
                <w:sz w:val="15"/>
                <w:szCs w:val="15"/>
              </w:rPr>
            </w:pPr>
            <w:r w:rsidRPr="00256982">
              <w:rPr>
                <w:rFonts w:cs="Arial"/>
                <w:sz w:val="15"/>
                <w:szCs w:val="15"/>
              </w:rPr>
              <w:t>171</w:t>
            </w:r>
          </w:p>
        </w:tc>
        <w:tc>
          <w:tcPr>
            <w:tcW w:w="697" w:type="dxa"/>
            <w:tcBorders>
              <w:top w:val="single" w:sz="4" w:space="0" w:color="auto"/>
              <w:bottom w:val="single" w:sz="4" w:space="0" w:color="auto"/>
            </w:tcBorders>
          </w:tcPr>
          <w:p w14:paraId="7F0153AD" w14:textId="77777777" w:rsidR="00380BE7" w:rsidRPr="00256982" w:rsidRDefault="00380BE7" w:rsidP="000527F7">
            <w:pPr>
              <w:pStyle w:val="TableText"/>
              <w:spacing w:before="40" w:after="40"/>
              <w:jc w:val="center"/>
              <w:rPr>
                <w:rFonts w:cs="Arial"/>
                <w:sz w:val="15"/>
                <w:szCs w:val="15"/>
              </w:rPr>
            </w:pPr>
            <w:r w:rsidRPr="00256982">
              <w:rPr>
                <w:rFonts w:cs="Arial"/>
                <w:sz w:val="15"/>
                <w:szCs w:val="15"/>
              </w:rPr>
              <w:t>377</w:t>
            </w:r>
          </w:p>
        </w:tc>
      </w:tr>
      <w:tr w:rsidR="00380BE7" w:rsidRPr="00256982" w14:paraId="2F63D707" w14:textId="77777777" w:rsidTr="000527F7">
        <w:tc>
          <w:tcPr>
            <w:tcW w:w="1193" w:type="dxa"/>
            <w:tcBorders>
              <w:top w:val="single" w:sz="4" w:space="0" w:color="365F91"/>
              <w:bottom w:val="single" w:sz="4" w:space="0" w:color="365F91"/>
            </w:tcBorders>
            <w:shd w:val="clear" w:color="auto" w:fill="FFFFFF"/>
          </w:tcPr>
          <w:p w14:paraId="5DEE9143" w14:textId="77777777" w:rsidR="00380BE7" w:rsidRPr="00256982" w:rsidRDefault="00380BE7" w:rsidP="000527F7">
            <w:pPr>
              <w:pStyle w:val="Tableboldblue"/>
              <w:spacing w:before="40" w:after="40"/>
              <w:rPr>
                <w:rFonts w:cs="Arial"/>
                <w:sz w:val="15"/>
                <w:szCs w:val="15"/>
              </w:rPr>
            </w:pPr>
            <w:r w:rsidRPr="00256982">
              <w:rPr>
                <w:rFonts w:cs="Arial"/>
                <w:sz w:val="15"/>
                <w:szCs w:val="15"/>
              </w:rPr>
              <w:t>Total</w:t>
            </w:r>
          </w:p>
        </w:tc>
        <w:tc>
          <w:tcPr>
            <w:tcW w:w="1071" w:type="dxa"/>
            <w:tcBorders>
              <w:top w:val="single" w:sz="4" w:space="0" w:color="365F91"/>
              <w:bottom w:val="single" w:sz="4" w:space="0" w:color="365F91"/>
            </w:tcBorders>
            <w:shd w:val="clear" w:color="auto" w:fill="auto"/>
          </w:tcPr>
          <w:p w14:paraId="2447A377" w14:textId="77777777" w:rsidR="00380BE7" w:rsidRPr="00256982" w:rsidRDefault="00380BE7" w:rsidP="000527F7">
            <w:pPr>
              <w:pStyle w:val="Tableboldblue"/>
              <w:spacing w:before="40" w:after="40"/>
              <w:jc w:val="center"/>
              <w:rPr>
                <w:rFonts w:cs="Arial"/>
                <w:sz w:val="15"/>
                <w:szCs w:val="15"/>
              </w:rPr>
            </w:pPr>
            <w:r w:rsidRPr="00256982">
              <w:rPr>
                <w:rFonts w:cs="Arial"/>
                <w:sz w:val="15"/>
                <w:szCs w:val="15"/>
              </w:rPr>
              <w:t>34,339</w:t>
            </w:r>
          </w:p>
        </w:tc>
        <w:tc>
          <w:tcPr>
            <w:tcW w:w="709" w:type="dxa"/>
            <w:tcBorders>
              <w:top w:val="single" w:sz="4" w:space="0" w:color="365F91"/>
              <w:bottom w:val="single" w:sz="4" w:space="0" w:color="365F91"/>
            </w:tcBorders>
            <w:shd w:val="clear" w:color="auto" w:fill="auto"/>
          </w:tcPr>
          <w:p w14:paraId="6B56C3D3" w14:textId="77777777" w:rsidR="00380BE7" w:rsidRPr="00256982" w:rsidRDefault="00380BE7" w:rsidP="000527F7">
            <w:pPr>
              <w:pStyle w:val="Tableboldblue"/>
              <w:spacing w:before="40" w:after="40"/>
              <w:jc w:val="center"/>
              <w:rPr>
                <w:rFonts w:eastAsia="Calibri" w:cs="Arial"/>
                <w:sz w:val="15"/>
                <w:szCs w:val="15"/>
              </w:rPr>
            </w:pPr>
            <w:r w:rsidRPr="00256982">
              <w:rPr>
                <w:rFonts w:cs="Arial"/>
                <w:sz w:val="15"/>
                <w:szCs w:val="15"/>
              </w:rPr>
              <w:t>937</w:t>
            </w:r>
          </w:p>
        </w:tc>
        <w:tc>
          <w:tcPr>
            <w:tcW w:w="709" w:type="dxa"/>
            <w:tcBorders>
              <w:top w:val="single" w:sz="4" w:space="0" w:color="365F91"/>
              <w:bottom w:val="single" w:sz="4" w:space="0" w:color="365F91"/>
            </w:tcBorders>
          </w:tcPr>
          <w:p w14:paraId="7AA36D4F" w14:textId="77777777" w:rsidR="00380BE7" w:rsidRPr="00256982" w:rsidRDefault="00380BE7" w:rsidP="000527F7">
            <w:pPr>
              <w:pStyle w:val="Tableboldblue"/>
              <w:spacing w:before="40" w:after="40"/>
              <w:jc w:val="center"/>
              <w:rPr>
                <w:rFonts w:eastAsia="Calibri" w:cs="Arial"/>
                <w:sz w:val="15"/>
                <w:szCs w:val="15"/>
              </w:rPr>
            </w:pPr>
            <w:r w:rsidRPr="00256982">
              <w:rPr>
                <w:rFonts w:cs="Arial"/>
                <w:sz w:val="15"/>
                <w:szCs w:val="15"/>
              </w:rPr>
              <w:t>2,585</w:t>
            </w:r>
          </w:p>
        </w:tc>
        <w:tc>
          <w:tcPr>
            <w:tcW w:w="708" w:type="dxa"/>
            <w:tcBorders>
              <w:top w:val="single" w:sz="4" w:space="0" w:color="365F91"/>
              <w:bottom w:val="single" w:sz="4" w:space="0" w:color="365F91"/>
            </w:tcBorders>
          </w:tcPr>
          <w:p w14:paraId="6AA5730C" w14:textId="77777777" w:rsidR="00380BE7" w:rsidRPr="00256982" w:rsidRDefault="00380BE7" w:rsidP="000527F7">
            <w:pPr>
              <w:pStyle w:val="Tableboldblue"/>
              <w:spacing w:before="40" w:after="40"/>
              <w:jc w:val="center"/>
              <w:rPr>
                <w:rFonts w:eastAsia="Calibri" w:cs="Arial"/>
                <w:sz w:val="15"/>
                <w:szCs w:val="15"/>
              </w:rPr>
            </w:pPr>
            <w:r w:rsidRPr="00256982">
              <w:rPr>
                <w:rFonts w:cs="Arial"/>
                <w:sz w:val="15"/>
                <w:szCs w:val="15"/>
              </w:rPr>
              <w:t>1,948</w:t>
            </w:r>
          </w:p>
        </w:tc>
        <w:tc>
          <w:tcPr>
            <w:tcW w:w="709" w:type="dxa"/>
            <w:tcBorders>
              <w:top w:val="single" w:sz="4" w:space="0" w:color="365F91"/>
              <w:bottom w:val="single" w:sz="4" w:space="0" w:color="365F91"/>
            </w:tcBorders>
          </w:tcPr>
          <w:p w14:paraId="683B7D3B" w14:textId="77777777" w:rsidR="00380BE7" w:rsidRPr="00256982" w:rsidRDefault="00380BE7" w:rsidP="000527F7">
            <w:pPr>
              <w:pStyle w:val="Tableboldblue"/>
              <w:spacing w:before="40" w:after="40"/>
              <w:jc w:val="center"/>
              <w:rPr>
                <w:rFonts w:eastAsia="Calibri" w:cs="Arial"/>
                <w:sz w:val="15"/>
                <w:szCs w:val="15"/>
              </w:rPr>
            </w:pPr>
            <w:r w:rsidRPr="00256982">
              <w:rPr>
                <w:rFonts w:cs="Arial"/>
                <w:sz w:val="15"/>
                <w:szCs w:val="15"/>
              </w:rPr>
              <w:t>934</w:t>
            </w:r>
          </w:p>
        </w:tc>
        <w:tc>
          <w:tcPr>
            <w:tcW w:w="709" w:type="dxa"/>
            <w:tcBorders>
              <w:top w:val="single" w:sz="4" w:space="0" w:color="365F91"/>
              <w:bottom w:val="single" w:sz="4" w:space="0" w:color="365F91"/>
            </w:tcBorders>
          </w:tcPr>
          <w:p w14:paraId="4D403386" w14:textId="77777777" w:rsidR="00380BE7" w:rsidRPr="00256982" w:rsidRDefault="00380BE7" w:rsidP="000527F7">
            <w:pPr>
              <w:pStyle w:val="Tableboldblue"/>
              <w:spacing w:before="40" w:after="40"/>
              <w:jc w:val="center"/>
              <w:rPr>
                <w:rFonts w:eastAsia="Calibri" w:cs="Arial"/>
                <w:sz w:val="15"/>
                <w:szCs w:val="15"/>
              </w:rPr>
            </w:pPr>
            <w:r w:rsidRPr="00256982">
              <w:rPr>
                <w:rFonts w:cs="Arial"/>
                <w:sz w:val="15"/>
                <w:szCs w:val="15"/>
              </w:rPr>
              <w:t>1,142</w:t>
            </w:r>
          </w:p>
        </w:tc>
        <w:tc>
          <w:tcPr>
            <w:tcW w:w="709" w:type="dxa"/>
            <w:tcBorders>
              <w:top w:val="single" w:sz="4" w:space="0" w:color="365F91"/>
              <w:bottom w:val="single" w:sz="4" w:space="0" w:color="365F91"/>
            </w:tcBorders>
            <w:shd w:val="clear" w:color="auto" w:fill="auto"/>
          </w:tcPr>
          <w:p w14:paraId="33057585" w14:textId="77777777" w:rsidR="00380BE7" w:rsidRPr="00256982" w:rsidRDefault="00380BE7" w:rsidP="000527F7">
            <w:pPr>
              <w:pStyle w:val="Tableboldblue"/>
              <w:spacing w:before="40" w:after="40"/>
              <w:jc w:val="center"/>
              <w:rPr>
                <w:rFonts w:eastAsia="Calibri" w:cs="Arial"/>
                <w:sz w:val="15"/>
                <w:szCs w:val="15"/>
              </w:rPr>
            </w:pPr>
            <w:r w:rsidRPr="00256982">
              <w:rPr>
                <w:rFonts w:cs="Arial"/>
                <w:sz w:val="15"/>
                <w:szCs w:val="15"/>
              </w:rPr>
              <w:t>1,183</w:t>
            </w:r>
          </w:p>
        </w:tc>
        <w:tc>
          <w:tcPr>
            <w:tcW w:w="708" w:type="dxa"/>
            <w:tcBorders>
              <w:top w:val="single" w:sz="4" w:space="0" w:color="365F91"/>
              <w:bottom w:val="single" w:sz="4" w:space="0" w:color="365F91"/>
            </w:tcBorders>
            <w:shd w:val="clear" w:color="auto" w:fill="auto"/>
          </w:tcPr>
          <w:p w14:paraId="737A40FC" w14:textId="77777777" w:rsidR="00380BE7" w:rsidRPr="00256982" w:rsidRDefault="00380BE7" w:rsidP="000527F7">
            <w:pPr>
              <w:pStyle w:val="Tableboldblue"/>
              <w:spacing w:before="40" w:after="40"/>
              <w:jc w:val="center"/>
              <w:rPr>
                <w:rFonts w:eastAsia="Calibri" w:cs="Arial"/>
                <w:sz w:val="15"/>
                <w:szCs w:val="15"/>
              </w:rPr>
            </w:pPr>
            <w:r w:rsidRPr="00256982">
              <w:rPr>
                <w:rFonts w:cs="Arial"/>
                <w:sz w:val="15"/>
                <w:szCs w:val="15"/>
              </w:rPr>
              <w:t>412</w:t>
            </w:r>
          </w:p>
        </w:tc>
        <w:tc>
          <w:tcPr>
            <w:tcW w:w="709" w:type="dxa"/>
            <w:tcBorders>
              <w:top w:val="single" w:sz="4" w:space="0" w:color="auto"/>
              <w:bottom w:val="single" w:sz="4" w:space="0" w:color="auto"/>
            </w:tcBorders>
          </w:tcPr>
          <w:p w14:paraId="341C034D" w14:textId="77777777" w:rsidR="00380BE7" w:rsidRPr="00256982" w:rsidRDefault="00380BE7" w:rsidP="000527F7">
            <w:pPr>
              <w:pStyle w:val="Tableboldblue"/>
              <w:spacing w:before="40" w:after="40"/>
              <w:jc w:val="center"/>
              <w:rPr>
                <w:rFonts w:cs="Arial"/>
                <w:sz w:val="15"/>
                <w:szCs w:val="15"/>
              </w:rPr>
            </w:pPr>
            <w:r w:rsidRPr="00256982">
              <w:rPr>
                <w:rFonts w:cs="Arial"/>
                <w:sz w:val="15"/>
                <w:szCs w:val="15"/>
              </w:rPr>
              <w:t>688</w:t>
            </w:r>
          </w:p>
        </w:tc>
        <w:tc>
          <w:tcPr>
            <w:tcW w:w="709" w:type="dxa"/>
            <w:tcBorders>
              <w:top w:val="single" w:sz="4" w:space="0" w:color="auto"/>
              <w:bottom w:val="single" w:sz="4" w:space="0" w:color="auto"/>
            </w:tcBorders>
          </w:tcPr>
          <w:p w14:paraId="31B76F46" w14:textId="77777777" w:rsidR="00380BE7" w:rsidRPr="00256982" w:rsidRDefault="00380BE7" w:rsidP="000527F7">
            <w:pPr>
              <w:pStyle w:val="Tableboldblue"/>
              <w:spacing w:before="40" w:after="40"/>
              <w:jc w:val="center"/>
              <w:rPr>
                <w:rFonts w:cs="Arial"/>
                <w:sz w:val="15"/>
                <w:szCs w:val="15"/>
              </w:rPr>
            </w:pPr>
            <w:r w:rsidRPr="00256982">
              <w:rPr>
                <w:rFonts w:cs="Arial"/>
                <w:sz w:val="15"/>
                <w:szCs w:val="15"/>
              </w:rPr>
              <w:t>434</w:t>
            </w:r>
          </w:p>
        </w:tc>
        <w:tc>
          <w:tcPr>
            <w:tcW w:w="697" w:type="dxa"/>
            <w:tcBorders>
              <w:top w:val="single" w:sz="4" w:space="0" w:color="auto"/>
              <w:bottom w:val="single" w:sz="4" w:space="0" w:color="auto"/>
            </w:tcBorders>
          </w:tcPr>
          <w:p w14:paraId="6534A326" w14:textId="77777777" w:rsidR="00380BE7" w:rsidRPr="00256982" w:rsidRDefault="00380BE7" w:rsidP="000527F7">
            <w:pPr>
              <w:pStyle w:val="Tableboldblue"/>
              <w:spacing w:before="40" w:after="40"/>
              <w:jc w:val="center"/>
              <w:rPr>
                <w:rFonts w:cs="Arial"/>
                <w:sz w:val="15"/>
                <w:szCs w:val="15"/>
              </w:rPr>
            </w:pPr>
            <w:r w:rsidRPr="00256982">
              <w:rPr>
                <w:rFonts w:cs="Arial"/>
                <w:sz w:val="15"/>
                <w:szCs w:val="15"/>
              </w:rPr>
              <w:t>772</w:t>
            </w:r>
          </w:p>
        </w:tc>
      </w:tr>
    </w:tbl>
    <w:p w14:paraId="243CE270" w14:textId="77777777" w:rsidR="00380BE7" w:rsidRPr="00256982" w:rsidRDefault="00380BE7" w:rsidP="00380BE7">
      <w:pPr>
        <w:pStyle w:val="Noteundertable"/>
      </w:pPr>
      <w:r w:rsidRPr="00256982">
        <w:rPr>
          <w:b/>
        </w:rPr>
        <w:t xml:space="preserve">Note: </w:t>
      </w:r>
      <w:r w:rsidRPr="00256982">
        <w:tab/>
        <w:t>Columns may not total due to rounding.</w:t>
      </w:r>
    </w:p>
    <w:p w14:paraId="4EC7B3AF" w14:textId="77777777" w:rsidR="00380BE7" w:rsidRPr="00256982" w:rsidRDefault="00380BE7" w:rsidP="00380BE7">
      <w:pPr>
        <w:pStyle w:val="Heading5"/>
        <w:spacing w:before="280"/>
      </w:pPr>
      <w:r w:rsidRPr="00256982">
        <w:t>Pre-1990 planted forest</w:t>
      </w:r>
    </w:p>
    <w:p w14:paraId="5E4527F9" w14:textId="77777777" w:rsidR="00380BE7" w:rsidRPr="00256982" w:rsidRDefault="00380BE7" w:rsidP="000527F7">
      <w:pPr>
        <w:pStyle w:val="BodyText"/>
        <w:spacing w:before="100" w:after="100"/>
      </w:pPr>
      <w:r w:rsidRPr="00256982">
        <w:t>Deforestation emissions for pre-1990 planted forest are calculated based on the planting date estimated from historical satellite imagery. In the absence of this information, the deforestation age is based on the carbon stock of the forest at the average age at which the forests are harvested.</w:t>
      </w:r>
    </w:p>
    <w:p w14:paraId="1E1B6EC6" w14:textId="77777777" w:rsidR="00380BE7" w:rsidRPr="00256982" w:rsidRDefault="00380BE7" w:rsidP="00380BE7">
      <w:pPr>
        <w:pStyle w:val="Heading5"/>
        <w:spacing w:before="280"/>
      </w:pPr>
      <w:r w:rsidRPr="00256982">
        <w:t>Post-1989 forest</w:t>
      </w:r>
    </w:p>
    <w:p w14:paraId="1D756A50" w14:textId="77777777" w:rsidR="00380BE7" w:rsidRPr="00256982" w:rsidRDefault="00380BE7" w:rsidP="000527F7">
      <w:pPr>
        <w:pStyle w:val="BodyText"/>
        <w:spacing w:before="100" w:after="100"/>
      </w:pPr>
      <w:r w:rsidRPr="00256982">
        <w:t xml:space="preserve">Harvest and deforestation in post-1989 forests includes a mix of short rotation crops and the early harvest of longer rotation crops that have not reached their normal harvest ages. The average harvest age includes short rotation crops of around 500 hectares a year, with the remainder attributed to the early harvest of longer rotation crops. Longer rotation crops are assumed to be harvested at the oldest possible age in a given year (e.g., the age of 27 years in 2017). The deforestation age in post-1989 forests is derived from the planting date estimated from historical satellite imagery. </w:t>
      </w:r>
    </w:p>
    <w:p w14:paraId="3C7C445F" w14:textId="77777777" w:rsidR="00380BE7" w:rsidRPr="00256982" w:rsidRDefault="00380BE7" w:rsidP="00380BE7">
      <w:pPr>
        <w:pStyle w:val="Heading4"/>
      </w:pPr>
      <w:r w:rsidRPr="00256982">
        <w:t>Calculation of national emission estimates</w:t>
      </w:r>
      <w:bookmarkEnd w:id="978"/>
      <w:bookmarkEnd w:id="979"/>
      <w:bookmarkEnd w:id="980"/>
      <w:bookmarkEnd w:id="981"/>
    </w:p>
    <w:p w14:paraId="0657CB07" w14:textId="77777777" w:rsidR="00380BE7" w:rsidRPr="00256982" w:rsidRDefault="00380BE7" w:rsidP="000527F7">
      <w:pPr>
        <w:pStyle w:val="BodyText"/>
        <w:spacing w:before="100" w:after="100"/>
      </w:pPr>
      <w:r w:rsidRPr="00256982">
        <w:t xml:space="preserve">To calculate emissions for the New Zealand LULUCF sector, the following data are used: </w:t>
      </w:r>
    </w:p>
    <w:p w14:paraId="71148F33" w14:textId="77777777" w:rsidR="00380BE7" w:rsidRPr="00256982" w:rsidRDefault="00380BE7" w:rsidP="00380BE7">
      <w:pPr>
        <w:pStyle w:val="Bullet"/>
        <w:numPr>
          <w:ilvl w:val="0"/>
          <w:numId w:val="8"/>
        </w:numPr>
        <w:spacing w:after="100"/>
      </w:pPr>
      <w:r w:rsidRPr="00256982">
        <w:t>land use and land-use change area data from 1962 to 1989, which provide land in a transition state as at 1990 for each land use</w:t>
      </w:r>
    </w:p>
    <w:p w14:paraId="3CC6988E" w14:textId="77777777" w:rsidR="00380BE7" w:rsidRPr="00256982" w:rsidRDefault="00380BE7" w:rsidP="00380BE7">
      <w:pPr>
        <w:pStyle w:val="Bullet"/>
        <w:numPr>
          <w:ilvl w:val="0"/>
          <w:numId w:val="8"/>
        </w:numPr>
        <w:spacing w:after="100"/>
      </w:pPr>
      <w:r w:rsidRPr="00256982">
        <w:t>annual land use and land-use change area data from 1990 to 2017 (see section 6.2)</w:t>
      </w:r>
    </w:p>
    <w:p w14:paraId="29D75156" w14:textId="77777777" w:rsidR="00380BE7" w:rsidRPr="00256982" w:rsidRDefault="00380BE7" w:rsidP="00380BE7">
      <w:pPr>
        <w:pStyle w:val="Bullet"/>
        <w:numPr>
          <w:ilvl w:val="0"/>
          <w:numId w:val="8"/>
        </w:numPr>
        <w:spacing w:after="100"/>
      </w:pPr>
      <w:r w:rsidRPr="00256982">
        <w:t>biomass carbon stocks per hectare prior to land-use conversion, and annual growth in biomass carbon stocks per hectare following conversion (see tables 6.1.3 and 6.1.4)</w:t>
      </w:r>
    </w:p>
    <w:p w14:paraId="44580A3D" w14:textId="77777777" w:rsidR="00380BE7" w:rsidRPr="00256982" w:rsidRDefault="00380BE7" w:rsidP="00380BE7">
      <w:pPr>
        <w:pStyle w:val="Bullet"/>
        <w:numPr>
          <w:ilvl w:val="0"/>
          <w:numId w:val="8"/>
        </w:numPr>
        <w:spacing w:after="100"/>
      </w:pPr>
      <w:r w:rsidRPr="00256982">
        <w:t>age-based biomass carbon yield tables for pre-1990 planted forests and post-1989 forests (see section 6.4.2)</w:t>
      </w:r>
    </w:p>
    <w:p w14:paraId="008D9045" w14:textId="77777777" w:rsidR="00380BE7" w:rsidRPr="00256982" w:rsidRDefault="00380BE7" w:rsidP="00380BE7">
      <w:pPr>
        <w:pStyle w:val="Bullet"/>
        <w:numPr>
          <w:ilvl w:val="0"/>
          <w:numId w:val="8"/>
        </w:numPr>
        <w:spacing w:after="100"/>
      </w:pPr>
      <w:r w:rsidRPr="00256982">
        <w:t>growth increment for pre-1990 natural forest (see section 6.4.2)</w:t>
      </w:r>
    </w:p>
    <w:p w14:paraId="51E44CD4" w14:textId="77777777" w:rsidR="00380BE7" w:rsidRPr="00256982" w:rsidRDefault="00380BE7" w:rsidP="00380BE7">
      <w:pPr>
        <w:pStyle w:val="Bullet"/>
        <w:numPr>
          <w:ilvl w:val="0"/>
          <w:numId w:val="8"/>
        </w:numPr>
        <w:spacing w:after="100"/>
      </w:pPr>
      <w:r w:rsidRPr="00256982">
        <w:t>emission factors and country-level activity data on biomass burning (see section 6.11.5)</w:t>
      </w:r>
    </w:p>
    <w:p w14:paraId="3E644FD6" w14:textId="77777777" w:rsidR="00380BE7" w:rsidRPr="00256982" w:rsidRDefault="00380BE7" w:rsidP="00380BE7">
      <w:pPr>
        <w:pStyle w:val="Bullet"/>
        <w:numPr>
          <w:ilvl w:val="0"/>
          <w:numId w:val="8"/>
        </w:numPr>
      </w:pPr>
      <w:r w:rsidRPr="00256982">
        <w:t>IPCC default conversion factors for converting C to CO</w:t>
      </w:r>
      <w:r w:rsidRPr="00256982">
        <w:rPr>
          <w:vertAlign w:val="subscript"/>
        </w:rPr>
        <w:t>2</w:t>
      </w:r>
      <w:r w:rsidRPr="00256982">
        <w:t xml:space="preserve">. </w:t>
      </w:r>
    </w:p>
    <w:p w14:paraId="29579C7C" w14:textId="77777777" w:rsidR="00380BE7" w:rsidRPr="00256982" w:rsidRDefault="00380BE7" w:rsidP="00380BE7">
      <w:pPr>
        <w:pStyle w:val="BodyText"/>
        <w:spacing w:after="0"/>
      </w:pPr>
      <w:r w:rsidRPr="00256982">
        <w:lastRenderedPageBreak/>
        <w:t>The formula used to calculate emissions from biomass changes on land-use conversion is:</w:t>
      </w:r>
    </w:p>
    <w:tbl>
      <w:tblPr>
        <w:tblW w:w="7700" w:type="dxa"/>
        <w:jc w:val="center"/>
        <w:tblLayout w:type="fixed"/>
        <w:tblCellMar>
          <w:left w:w="28" w:type="dxa"/>
          <w:right w:w="28" w:type="dxa"/>
        </w:tblCellMar>
        <w:tblLook w:val="04A0" w:firstRow="1" w:lastRow="0" w:firstColumn="1" w:lastColumn="0" w:noHBand="0" w:noVBand="1"/>
      </w:tblPr>
      <w:tblGrid>
        <w:gridCol w:w="310"/>
        <w:gridCol w:w="1420"/>
        <w:gridCol w:w="283"/>
        <w:gridCol w:w="1134"/>
        <w:gridCol w:w="284"/>
        <w:gridCol w:w="290"/>
        <w:gridCol w:w="284"/>
        <w:gridCol w:w="1694"/>
        <w:gridCol w:w="290"/>
        <w:gridCol w:w="992"/>
        <w:gridCol w:w="284"/>
        <w:gridCol w:w="435"/>
      </w:tblGrid>
      <w:tr w:rsidR="00380BE7" w:rsidRPr="00256982" w14:paraId="31B392CC" w14:textId="77777777" w:rsidTr="009574E7">
        <w:trPr>
          <w:trHeight w:val="1130"/>
          <w:jc w:val="center"/>
        </w:trPr>
        <w:tc>
          <w:tcPr>
            <w:tcW w:w="310" w:type="dxa"/>
            <w:vAlign w:val="center"/>
          </w:tcPr>
          <w:p w14:paraId="211B0F6D" w14:textId="77777777" w:rsidR="00380BE7" w:rsidRPr="00256982" w:rsidRDefault="00380BE7" w:rsidP="009574E7">
            <w:pPr>
              <w:rPr>
                <w:rFonts w:ascii="Eras Light ITC" w:hAnsi="Eras Light ITC"/>
                <w:sz w:val="144"/>
                <w:szCs w:val="144"/>
              </w:rPr>
            </w:pPr>
            <w:r w:rsidRPr="00256982">
              <w:rPr>
                <w:rFonts w:ascii="Eras Light ITC" w:hAnsi="Eras Light ITC"/>
                <w:sz w:val="56"/>
                <w:szCs w:val="144"/>
              </w:rPr>
              <w:t>(</w:t>
            </w:r>
          </w:p>
        </w:tc>
        <w:tc>
          <w:tcPr>
            <w:tcW w:w="1420" w:type="dxa"/>
            <w:vAlign w:val="center"/>
          </w:tcPr>
          <w:p w14:paraId="262B7BED" w14:textId="77777777" w:rsidR="00380BE7" w:rsidRPr="00256982" w:rsidRDefault="00380BE7" w:rsidP="009574E7">
            <w:pPr>
              <w:jc w:val="center"/>
              <w:rPr>
                <w:i/>
                <w:sz w:val="18"/>
              </w:rPr>
            </w:pPr>
            <w:r w:rsidRPr="00256982">
              <w:rPr>
                <w:i/>
                <w:sz w:val="18"/>
              </w:rPr>
              <w:t>Loss of biomass present in previous crop</w:t>
            </w:r>
          </w:p>
        </w:tc>
        <w:tc>
          <w:tcPr>
            <w:tcW w:w="283" w:type="dxa"/>
            <w:vAlign w:val="center"/>
          </w:tcPr>
          <w:p w14:paraId="6D3DF6D5" w14:textId="77777777" w:rsidR="00380BE7" w:rsidRPr="00256982" w:rsidRDefault="00380BE7" w:rsidP="009574E7">
            <w:pPr>
              <w:rPr>
                <w:i/>
                <w:sz w:val="18"/>
              </w:rPr>
            </w:pPr>
            <w:r w:rsidRPr="00256982">
              <w:rPr>
                <w:i/>
                <w:sz w:val="18"/>
              </w:rPr>
              <w:t xml:space="preserve"> ×</w:t>
            </w:r>
          </w:p>
        </w:tc>
        <w:tc>
          <w:tcPr>
            <w:tcW w:w="1134" w:type="dxa"/>
            <w:vAlign w:val="center"/>
          </w:tcPr>
          <w:p w14:paraId="7D332B02" w14:textId="77777777" w:rsidR="00380BE7" w:rsidRPr="00256982" w:rsidRDefault="00380BE7" w:rsidP="009574E7">
            <w:pPr>
              <w:jc w:val="center"/>
              <w:rPr>
                <w:i/>
                <w:sz w:val="18"/>
              </w:rPr>
            </w:pPr>
          </w:p>
          <w:p w14:paraId="2F05DFA4" w14:textId="77777777" w:rsidR="00380BE7" w:rsidRPr="00256982" w:rsidRDefault="00380BE7" w:rsidP="009574E7">
            <w:pPr>
              <w:jc w:val="center"/>
              <w:rPr>
                <w:i/>
                <w:sz w:val="18"/>
              </w:rPr>
            </w:pPr>
            <w:r w:rsidRPr="00256982">
              <w:rPr>
                <w:i/>
                <w:sz w:val="18"/>
              </w:rPr>
              <w:t>Activity data (Area)</w:t>
            </w:r>
          </w:p>
        </w:tc>
        <w:tc>
          <w:tcPr>
            <w:tcW w:w="284" w:type="dxa"/>
            <w:vAlign w:val="center"/>
          </w:tcPr>
          <w:p w14:paraId="0F61706C" w14:textId="77777777" w:rsidR="00380BE7" w:rsidRPr="00256982" w:rsidRDefault="00380BE7" w:rsidP="009574E7">
            <w:pPr>
              <w:rPr>
                <w:i/>
              </w:rPr>
            </w:pPr>
            <w:r w:rsidRPr="00256982">
              <w:rPr>
                <w:rFonts w:ascii="Eras Light ITC" w:hAnsi="Eras Light ITC"/>
                <w:sz w:val="56"/>
                <w:szCs w:val="144"/>
              </w:rPr>
              <w:t>)</w:t>
            </w:r>
          </w:p>
        </w:tc>
        <w:tc>
          <w:tcPr>
            <w:tcW w:w="290" w:type="dxa"/>
            <w:vAlign w:val="center"/>
          </w:tcPr>
          <w:p w14:paraId="28228A8B" w14:textId="77777777" w:rsidR="00380BE7" w:rsidRPr="00256982" w:rsidRDefault="00380BE7" w:rsidP="009574E7">
            <w:pPr>
              <w:rPr>
                <w:i/>
              </w:rPr>
            </w:pPr>
            <w:r w:rsidRPr="00256982">
              <w:rPr>
                <w:i/>
              </w:rPr>
              <w:t>+</w:t>
            </w:r>
          </w:p>
        </w:tc>
        <w:tc>
          <w:tcPr>
            <w:tcW w:w="284" w:type="dxa"/>
            <w:vAlign w:val="center"/>
          </w:tcPr>
          <w:p w14:paraId="5029CFE3" w14:textId="77777777" w:rsidR="00380BE7" w:rsidRPr="00256982" w:rsidRDefault="00380BE7" w:rsidP="009574E7">
            <w:pPr>
              <w:rPr>
                <w:i/>
              </w:rPr>
            </w:pPr>
            <w:r w:rsidRPr="00256982">
              <w:rPr>
                <w:rFonts w:ascii="Eras Light ITC" w:hAnsi="Eras Light ITC"/>
                <w:sz w:val="56"/>
                <w:szCs w:val="144"/>
              </w:rPr>
              <w:t>(</w:t>
            </w:r>
          </w:p>
        </w:tc>
        <w:tc>
          <w:tcPr>
            <w:tcW w:w="1694" w:type="dxa"/>
            <w:vAlign w:val="center"/>
          </w:tcPr>
          <w:p w14:paraId="6F1905B0" w14:textId="77777777" w:rsidR="00380BE7" w:rsidRPr="00256982" w:rsidRDefault="00380BE7" w:rsidP="009574E7">
            <w:pPr>
              <w:jc w:val="center"/>
              <w:rPr>
                <w:i/>
                <w:sz w:val="18"/>
              </w:rPr>
            </w:pPr>
            <w:r w:rsidRPr="00256982">
              <w:rPr>
                <w:i/>
                <w:sz w:val="18"/>
              </w:rPr>
              <w:t>Annual growth in biomass carbon stocks in new land use</w:t>
            </w:r>
          </w:p>
        </w:tc>
        <w:tc>
          <w:tcPr>
            <w:tcW w:w="290" w:type="dxa"/>
            <w:vAlign w:val="center"/>
          </w:tcPr>
          <w:p w14:paraId="2DFC230E" w14:textId="77777777" w:rsidR="00380BE7" w:rsidRPr="00256982" w:rsidRDefault="00380BE7" w:rsidP="009574E7">
            <w:pPr>
              <w:jc w:val="center"/>
              <w:rPr>
                <w:i/>
                <w:sz w:val="18"/>
              </w:rPr>
            </w:pPr>
            <w:r w:rsidRPr="00256982">
              <w:rPr>
                <w:i/>
                <w:sz w:val="18"/>
              </w:rPr>
              <w:t>×</w:t>
            </w:r>
          </w:p>
        </w:tc>
        <w:tc>
          <w:tcPr>
            <w:tcW w:w="992" w:type="dxa"/>
            <w:vAlign w:val="center"/>
          </w:tcPr>
          <w:p w14:paraId="3CD99C24" w14:textId="77777777" w:rsidR="00380BE7" w:rsidRPr="00256982" w:rsidRDefault="00380BE7" w:rsidP="009574E7">
            <w:pPr>
              <w:spacing w:before="120"/>
              <w:jc w:val="center"/>
              <w:rPr>
                <w:i/>
                <w:iCs/>
                <w:sz w:val="18"/>
              </w:rPr>
            </w:pPr>
            <w:r w:rsidRPr="00256982">
              <w:rPr>
                <w:i/>
                <w:iCs/>
                <w:sz w:val="18"/>
              </w:rPr>
              <w:t>Activity data (Area)</w:t>
            </w:r>
          </w:p>
        </w:tc>
        <w:tc>
          <w:tcPr>
            <w:tcW w:w="284" w:type="dxa"/>
            <w:vAlign w:val="center"/>
          </w:tcPr>
          <w:p w14:paraId="0347D292" w14:textId="77777777" w:rsidR="00380BE7" w:rsidRPr="00256982" w:rsidRDefault="00380BE7" w:rsidP="009574E7">
            <w:pPr>
              <w:jc w:val="center"/>
              <w:rPr>
                <w:i/>
              </w:rPr>
            </w:pPr>
            <w:r w:rsidRPr="00256982">
              <w:rPr>
                <w:rFonts w:ascii="Eras Light ITC" w:hAnsi="Eras Light ITC"/>
                <w:sz w:val="56"/>
                <w:szCs w:val="144"/>
              </w:rPr>
              <w:t>)</w:t>
            </w:r>
          </w:p>
        </w:tc>
        <w:tc>
          <w:tcPr>
            <w:tcW w:w="435" w:type="dxa"/>
          </w:tcPr>
          <w:p w14:paraId="7565D512" w14:textId="77777777" w:rsidR="00380BE7" w:rsidRPr="00256982" w:rsidRDefault="00380BE7" w:rsidP="009574E7">
            <w:pPr>
              <w:rPr>
                <w:i/>
              </w:rPr>
            </w:pPr>
          </w:p>
          <w:p w14:paraId="5EAC0FEC" w14:textId="77777777" w:rsidR="00380BE7" w:rsidRPr="00256982" w:rsidRDefault="00380BE7" w:rsidP="009574E7">
            <w:pPr>
              <w:rPr>
                <w:i/>
              </w:rPr>
            </w:pPr>
          </w:p>
          <w:p w14:paraId="09EBAF5F" w14:textId="77777777" w:rsidR="00380BE7" w:rsidRPr="00256982" w:rsidRDefault="00380BE7" w:rsidP="009574E7">
            <w:pPr>
              <w:rPr>
                <w:rFonts w:ascii="Eras Light ITC" w:hAnsi="Eras Light ITC"/>
                <w:sz w:val="56"/>
                <w:szCs w:val="144"/>
              </w:rPr>
            </w:pPr>
            <w:r w:rsidRPr="00256982">
              <w:rPr>
                <w:i/>
              </w:rPr>
              <w:t>(1)</w:t>
            </w:r>
          </w:p>
        </w:tc>
      </w:tr>
    </w:tbl>
    <w:p w14:paraId="51137A4B" w14:textId="77777777" w:rsidR="00380BE7" w:rsidRPr="00256982" w:rsidRDefault="00380BE7" w:rsidP="00380BE7">
      <w:pPr>
        <w:pStyle w:val="BodyText"/>
        <w:spacing w:before="240" w:after="240"/>
      </w:pPr>
      <w:r w:rsidRPr="00256982">
        <w:t xml:space="preserve">The formula used to calculate emissions from mineral soil changes on land-use conversion is: </w:t>
      </w:r>
    </w:p>
    <w:tbl>
      <w:tblPr>
        <w:tblW w:w="7479" w:type="dxa"/>
        <w:jc w:val="center"/>
        <w:tblLayout w:type="fixed"/>
        <w:tblLook w:val="04A0" w:firstRow="1" w:lastRow="0" w:firstColumn="1" w:lastColumn="0" w:noHBand="0" w:noVBand="1"/>
      </w:tblPr>
      <w:tblGrid>
        <w:gridCol w:w="2093"/>
        <w:gridCol w:w="425"/>
        <w:gridCol w:w="2268"/>
        <w:gridCol w:w="284"/>
        <w:gridCol w:w="425"/>
        <w:gridCol w:w="850"/>
        <w:gridCol w:w="426"/>
        <w:gridCol w:w="708"/>
      </w:tblGrid>
      <w:tr w:rsidR="00380BE7" w:rsidRPr="00256982" w14:paraId="1D7AF6CC" w14:textId="77777777" w:rsidTr="009574E7">
        <w:trPr>
          <w:jc w:val="center"/>
        </w:trPr>
        <w:tc>
          <w:tcPr>
            <w:tcW w:w="2093" w:type="dxa"/>
          </w:tcPr>
          <w:p w14:paraId="73477572" w14:textId="77777777" w:rsidR="00380BE7" w:rsidRPr="00256982" w:rsidRDefault="00380BE7" w:rsidP="009574E7">
            <w:pPr>
              <w:jc w:val="center"/>
              <w:rPr>
                <w:i/>
                <w:sz w:val="18"/>
              </w:rPr>
            </w:pPr>
            <w:r w:rsidRPr="00256982">
              <w:rPr>
                <w:i/>
                <w:sz w:val="18"/>
              </w:rPr>
              <w:t>Mineral soil carbon at steady state in the new land use</w:t>
            </w:r>
          </w:p>
        </w:tc>
        <w:tc>
          <w:tcPr>
            <w:tcW w:w="425" w:type="dxa"/>
            <w:vAlign w:val="center"/>
          </w:tcPr>
          <w:p w14:paraId="17718D54" w14:textId="77777777" w:rsidR="00380BE7" w:rsidRPr="00256982" w:rsidRDefault="00380BE7" w:rsidP="009574E7">
            <w:pPr>
              <w:jc w:val="center"/>
              <w:rPr>
                <w:i/>
                <w:sz w:val="18"/>
              </w:rPr>
            </w:pPr>
            <w:r w:rsidRPr="00256982">
              <w:rPr>
                <w:i/>
                <w:sz w:val="18"/>
              </w:rPr>
              <w:t>—</w:t>
            </w:r>
          </w:p>
        </w:tc>
        <w:tc>
          <w:tcPr>
            <w:tcW w:w="2268" w:type="dxa"/>
          </w:tcPr>
          <w:p w14:paraId="7A478D2E" w14:textId="77777777" w:rsidR="00380BE7" w:rsidRPr="00256982" w:rsidRDefault="00380BE7" w:rsidP="009574E7">
            <w:pPr>
              <w:jc w:val="center"/>
              <w:rPr>
                <w:i/>
                <w:sz w:val="18"/>
              </w:rPr>
            </w:pPr>
            <w:r w:rsidRPr="00256982">
              <w:rPr>
                <w:i/>
                <w:sz w:val="18"/>
              </w:rPr>
              <w:t>Mineral soil carbon at steady state in the previous land use</w:t>
            </w:r>
          </w:p>
        </w:tc>
        <w:tc>
          <w:tcPr>
            <w:tcW w:w="284" w:type="dxa"/>
            <w:vMerge w:val="restart"/>
            <w:vAlign w:val="center"/>
          </w:tcPr>
          <w:p w14:paraId="26000A5C" w14:textId="77777777" w:rsidR="00380BE7" w:rsidRPr="00256982" w:rsidRDefault="00380BE7" w:rsidP="009574E7">
            <w:pPr>
              <w:jc w:val="center"/>
              <w:rPr>
                <w:i/>
                <w:sz w:val="18"/>
              </w:rPr>
            </w:pPr>
            <w:r w:rsidRPr="00256982">
              <w:rPr>
                <w:i/>
                <w:sz w:val="18"/>
              </w:rPr>
              <w:t>×</w:t>
            </w:r>
          </w:p>
        </w:tc>
        <w:tc>
          <w:tcPr>
            <w:tcW w:w="425" w:type="dxa"/>
            <w:vMerge w:val="restart"/>
            <w:vAlign w:val="center"/>
          </w:tcPr>
          <w:p w14:paraId="6A9A2D95" w14:textId="77777777" w:rsidR="00380BE7" w:rsidRPr="00256982" w:rsidRDefault="00380BE7" w:rsidP="009574E7">
            <w:pPr>
              <w:jc w:val="center"/>
              <w:rPr>
                <w:i/>
                <w:sz w:val="18"/>
              </w:rPr>
            </w:pPr>
            <w:r w:rsidRPr="00256982">
              <w:rPr>
                <w:rFonts w:ascii="Eras Light ITC" w:hAnsi="Eras Light ITC"/>
                <w:sz w:val="56"/>
                <w:szCs w:val="144"/>
              </w:rPr>
              <w:t>(</w:t>
            </w:r>
          </w:p>
        </w:tc>
        <w:tc>
          <w:tcPr>
            <w:tcW w:w="850" w:type="dxa"/>
            <w:vMerge w:val="restart"/>
            <w:vAlign w:val="center"/>
          </w:tcPr>
          <w:p w14:paraId="37D395E1" w14:textId="77777777" w:rsidR="00380BE7" w:rsidRPr="00256982" w:rsidRDefault="00380BE7" w:rsidP="009574E7">
            <w:pPr>
              <w:jc w:val="center"/>
              <w:rPr>
                <w:i/>
                <w:sz w:val="18"/>
              </w:rPr>
            </w:pPr>
            <w:r w:rsidRPr="00256982">
              <w:rPr>
                <w:i/>
                <w:sz w:val="18"/>
              </w:rPr>
              <w:t>Activity data (Area)</w:t>
            </w:r>
          </w:p>
        </w:tc>
        <w:tc>
          <w:tcPr>
            <w:tcW w:w="426" w:type="dxa"/>
            <w:vMerge w:val="restart"/>
            <w:vAlign w:val="center"/>
          </w:tcPr>
          <w:p w14:paraId="4B29B008" w14:textId="77777777" w:rsidR="00380BE7" w:rsidRPr="00256982" w:rsidRDefault="00380BE7" w:rsidP="009574E7">
            <w:pPr>
              <w:jc w:val="center"/>
              <w:rPr>
                <w:i/>
                <w:sz w:val="18"/>
              </w:rPr>
            </w:pPr>
            <w:r w:rsidRPr="00256982">
              <w:rPr>
                <w:rFonts w:ascii="Eras Light ITC" w:hAnsi="Eras Light ITC"/>
                <w:sz w:val="56"/>
                <w:szCs w:val="144"/>
              </w:rPr>
              <w:t>)</w:t>
            </w:r>
          </w:p>
        </w:tc>
        <w:tc>
          <w:tcPr>
            <w:tcW w:w="708" w:type="dxa"/>
            <w:vMerge w:val="restart"/>
            <w:vAlign w:val="center"/>
          </w:tcPr>
          <w:p w14:paraId="1952EDD6" w14:textId="77777777" w:rsidR="00380BE7" w:rsidRPr="00256982" w:rsidRDefault="00380BE7" w:rsidP="009574E7">
            <w:pPr>
              <w:jc w:val="right"/>
              <w:rPr>
                <w:rFonts w:ascii="Eras Light ITC" w:hAnsi="Eras Light ITC"/>
                <w:sz w:val="56"/>
                <w:szCs w:val="144"/>
              </w:rPr>
            </w:pPr>
            <w:r w:rsidRPr="00256982">
              <w:rPr>
                <w:i/>
              </w:rPr>
              <w:t>(2)</w:t>
            </w:r>
          </w:p>
        </w:tc>
      </w:tr>
      <w:tr w:rsidR="00380BE7" w:rsidRPr="00256982" w14:paraId="6FAD3EC6" w14:textId="77777777" w:rsidTr="009574E7">
        <w:trPr>
          <w:trHeight w:val="99"/>
          <w:jc w:val="center"/>
        </w:trPr>
        <w:tc>
          <w:tcPr>
            <w:tcW w:w="4786" w:type="dxa"/>
            <w:gridSpan w:val="3"/>
          </w:tcPr>
          <w:p w14:paraId="115AB19A" w14:textId="77777777" w:rsidR="00380BE7" w:rsidRPr="00256982" w:rsidRDefault="00380BE7" w:rsidP="009574E7">
            <w:pPr>
              <w:jc w:val="center"/>
              <w:rPr>
                <w:i/>
                <w:sz w:val="18"/>
                <w:szCs w:val="16"/>
              </w:rPr>
            </w:pPr>
            <w:r w:rsidRPr="00256982">
              <w:rPr>
                <w:i/>
                <w:sz w:val="18"/>
                <w:szCs w:val="16"/>
              </w:rPr>
              <w:t>________________________________________________</w:t>
            </w:r>
          </w:p>
        </w:tc>
        <w:tc>
          <w:tcPr>
            <w:tcW w:w="284" w:type="dxa"/>
            <w:vMerge/>
          </w:tcPr>
          <w:p w14:paraId="5F5C0AFA" w14:textId="77777777" w:rsidR="00380BE7" w:rsidRPr="00256982" w:rsidRDefault="00380BE7" w:rsidP="009574E7">
            <w:pPr>
              <w:jc w:val="center"/>
              <w:rPr>
                <w:i/>
                <w:sz w:val="18"/>
              </w:rPr>
            </w:pPr>
          </w:p>
        </w:tc>
        <w:tc>
          <w:tcPr>
            <w:tcW w:w="425" w:type="dxa"/>
            <w:vMerge/>
          </w:tcPr>
          <w:p w14:paraId="691E1533" w14:textId="77777777" w:rsidR="00380BE7" w:rsidRPr="00256982" w:rsidRDefault="00380BE7" w:rsidP="009574E7">
            <w:pPr>
              <w:jc w:val="center"/>
              <w:rPr>
                <w:i/>
                <w:sz w:val="18"/>
              </w:rPr>
            </w:pPr>
          </w:p>
        </w:tc>
        <w:tc>
          <w:tcPr>
            <w:tcW w:w="850" w:type="dxa"/>
            <w:vMerge/>
          </w:tcPr>
          <w:p w14:paraId="42203373" w14:textId="77777777" w:rsidR="00380BE7" w:rsidRPr="00256982" w:rsidRDefault="00380BE7" w:rsidP="009574E7">
            <w:pPr>
              <w:jc w:val="center"/>
              <w:rPr>
                <w:i/>
                <w:sz w:val="18"/>
              </w:rPr>
            </w:pPr>
          </w:p>
        </w:tc>
        <w:tc>
          <w:tcPr>
            <w:tcW w:w="426" w:type="dxa"/>
            <w:vMerge/>
          </w:tcPr>
          <w:p w14:paraId="68628829" w14:textId="77777777" w:rsidR="00380BE7" w:rsidRPr="00256982" w:rsidRDefault="00380BE7" w:rsidP="009574E7">
            <w:pPr>
              <w:jc w:val="center"/>
              <w:rPr>
                <w:i/>
                <w:sz w:val="18"/>
              </w:rPr>
            </w:pPr>
          </w:p>
        </w:tc>
        <w:tc>
          <w:tcPr>
            <w:tcW w:w="708" w:type="dxa"/>
            <w:vMerge/>
          </w:tcPr>
          <w:p w14:paraId="270E6E61" w14:textId="77777777" w:rsidR="00380BE7" w:rsidRPr="00256982" w:rsidRDefault="00380BE7" w:rsidP="009574E7">
            <w:pPr>
              <w:jc w:val="center"/>
              <w:rPr>
                <w:i/>
                <w:sz w:val="18"/>
              </w:rPr>
            </w:pPr>
          </w:p>
        </w:tc>
      </w:tr>
      <w:tr w:rsidR="00380BE7" w:rsidRPr="00256982" w14:paraId="1D8DD305" w14:textId="77777777" w:rsidTr="009574E7">
        <w:trPr>
          <w:jc w:val="center"/>
        </w:trPr>
        <w:tc>
          <w:tcPr>
            <w:tcW w:w="4786" w:type="dxa"/>
            <w:gridSpan w:val="3"/>
            <w:vAlign w:val="bottom"/>
          </w:tcPr>
          <w:p w14:paraId="644E3354" w14:textId="77777777" w:rsidR="00380BE7" w:rsidRPr="00256982" w:rsidRDefault="00380BE7" w:rsidP="009574E7">
            <w:pPr>
              <w:spacing w:before="120"/>
              <w:jc w:val="center"/>
              <w:rPr>
                <w:i/>
                <w:sz w:val="18"/>
              </w:rPr>
            </w:pPr>
            <w:r w:rsidRPr="00256982">
              <w:rPr>
                <w:i/>
                <w:sz w:val="18"/>
              </w:rPr>
              <w:t>20 years (transition period)</w:t>
            </w:r>
          </w:p>
        </w:tc>
        <w:tc>
          <w:tcPr>
            <w:tcW w:w="284" w:type="dxa"/>
            <w:vMerge/>
          </w:tcPr>
          <w:p w14:paraId="27141208" w14:textId="77777777" w:rsidR="00380BE7" w:rsidRPr="00256982" w:rsidRDefault="00380BE7" w:rsidP="009574E7">
            <w:pPr>
              <w:jc w:val="center"/>
              <w:rPr>
                <w:i/>
                <w:sz w:val="18"/>
              </w:rPr>
            </w:pPr>
          </w:p>
        </w:tc>
        <w:tc>
          <w:tcPr>
            <w:tcW w:w="425" w:type="dxa"/>
            <w:vMerge/>
          </w:tcPr>
          <w:p w14:paraId="480481B1" w14:textId="77777777" w:rsidR="00380BE7" w:rsidRPr="00256982" w:rsidRDefault="00380BE7" w:rsidP="009574E7">
            <w:pPr>
              <w:jc w:val="center"/>
              <w:rPr>
                <w:i/>
                <w:sz w:val="18"/>
              </w:rPr>
            </w:pPr>
          </w:p>
        </w:tc>
        <w:tc>
          <w:tcPr>
            <w:tcW w:w="850" w:type="dxa"/>
            <w:vMerge/>
          </w:tcPr>
          <w:p w14:paraId="6FF03366" w14:textId="77777777" w:rsidR="00380BE7" w:rsidRPr="00256982" w:rsidRDefault="00380BE7" w:rsidP="009574E7">
            <w:pPr>
              <w:jc w:val="center"/>
              <w:rPr>
                <w:i/>
                <w:sz w:val="18"/>
              </w:rPr>
            </w:pPr>
          </w:p>
        </w:tc>
        <w:tc>
          <w:tcPr>
            <w:tcW w:w="426" w:type="dxa"/>
            <w:vMerge/>
          </w:tcPr>
          <w:p w14:paraId="6CF0B08F" w14:textId="77777777" w:rsidR="00380BE7" w:rsidRPr="00256982" w:rsidRDefault="00380BE7" w:rsidP="009574E7">
            <w:pPr>
              <w:jc w:val="center"/>
              <w:rPr>
                <w:i/>
                <w:sz w:val="18"/>
              </w:rPr>
            </w:pPr>
          </w:p>
        </w:tc>
        <w:tc>
          <w:tcPr>
            <w:tcW w:w="708" w:type="dxa"/>
            <w:vMerge/>
          </w:tcPr>
          <w:p w14:paraId="68B25C5A" w14:textId="77777777" w:rsidR="00380BE7" w:rsidRPr="00256982" w:rsidRDefault="00380BE7" w:rsidP="009574E7">
            <w:pPr>
              <w:jc w:val="center"/>
              <w:rPr>
                <w:i/>
                <w:sz w:val="18"/>
              </w:rPr>
            </w:pPr>
          </w:p>
        </w:tc>
      </w:tr>
    </w:tbl>
    <w:p w14:paraId="64E536FD" w14:textId="77777777" w:rsidR="00380BE7" w:rsidRPr="00256982" w:rsidRDefault="00380BE7" w:rsidP="00380BE7">
      <w:pPr>
        <w:pStyle w:val="BodyText"/>
        <w:spacing w:before="240"/>
      </w:pPr>
      <w:r w:rsidRPr="00256982">
        <w:t>For example, the annual change in carbon stock in the first year of conversion of 100 hectares of low</w:t>
      </w:r>
      <w:r w:rsidRPr="00256982">
        <w:rPr>
          <w:i/>
        </w:rPr>
        <w:t xml:space="preserve"> </w:t>
      </w:r>
      <w:r w:rsidRPr="00256982">
        <w:t>producing grassland to perennial cropland would be calculated as follows:</w:t>
      </w:r>
    </w:p>
    <w:p w14:paraId="487B6F63" w14:textId="77777777" w:rsidR="00380BE7" w:rsidRPr="00256982" w:rsidRDefault="00380BE7" w:rsidP="00380BE7">
      <w:pPr>
        <w:pStyle w:val="BodyText"/>
        <w:tabs>
          <w:tab w:val="right" w:pos="7938"/>
        </w:tabs>
        <w:spacing w:before="60" w:after="0"/>
        <w:ind w:left="851"/>
      </w:pPr>
      <w:r w:rsidRPr="00256982">
        <w:t xml:space="preserve">Biomass change = (–2.867 </w:t>
      </w:r>
      <w:r w:rsidRPr="00256982">
        <w:rPr>
          <w:i/>
          <w:sz w:val="18"/>
        </w:rPr>
        <w:t>×</w:t>
      </w:r>
      <w:r w:rsidRPr="00256982">
        <w:t xml:space="preserve"> 100) + (0.67 </w:t>
      </w:r>
      <w:r w:rsidRPr="00256982">
        <w:rPr>
          <w:i/>
          <w:sz w:val="18"/>
        </w:rPr>
        <w:t>×</w:t>
      </w:r>
      <w:r w:rsidRPr="00256982">
        <w:t xml:space="preserve"> 100) = –219.7 tonnes C</w:t>
      </w:r>
      <w:r w:rsidRPr="00256982">
        <w:tab/>
      </w:r>
      <w:r w:rsidRPr="00256982">
        <w:rPr>
          <w:i/>
        </w:rPr>
        <w:t>(1)</w:t>
      </w:r>
    </w:p>
    <w:p w14:paraId="426CFCE2" w14:textId="77777777" w:rsidR="00380BE7" w:rsidRPr="00256982" w:rsidRDefault="00380BE7" w:rsidP="00380BE7">
      <w:pPr>
        <w:pStyle w:val="BodyText"/>
        <w:tabs>
          <w:tab w:val="right" w:pos="7938"/>
        </w:tabs>
        <w:spacing w:after="0"/>
        <w:ind w:left="851"/>
      </w:pPr>
      <w:r w:rsidRPr="00256982">
        <w:t xml:space="preserve">Mineral soil change = (((105.98 – 88.44) / 20) </w:t>
      </w:r>
      <w:r w:rsidRPr="00256982">
        <w:rPr>
          <w:i/>
          <w:sz w:val="18"/>
        </w:rPr>
        <w:t>×</w:t>
      </w:r>
      <w:r w:rsidRPr="00256982">
        <w:t xml:space="preserve"> 100) = –87.7 tonnes C </w:t>
      </w:r>
      <w:r w:rsidRPr="00256982">
        <w:tab/>
      </w:r>
      <w:r w:rsidRPr="00256982">
        <w:rPr>
          <w:i/>
        </w:rPr>
        <w:t>(2)</w:t>
      </w:r>
    </w:p>
    <w:p w14:paraId="6A2E54B9" w14:textId="77777777" w:rsidR="00380BE7" w:rsidRPr="00256982" w:rsidRDefault="00380BE7" w:rsidP="00380BE7">
      <w:pPr>
        <w:pStyle w:val="BodyText"/>
        <w:tabs>
          <w:tab w:val="right" w:pos="7938"/>
        </w:tabs>
        <w:spacing w:after="0"/>
        <w:ind w:left="851"/>
      </w:pPr>
      <w:r w:rsidRPr="00256982">
        <w:t>Total carbon stock change = –307.4 tonnes C</w:t>
      </w:r>
    </w:p>
    <w:p w14:paraId="0E752942" w14:textId="77777777" w:rsidR="00380BE7" w:rsidRPr="00256982" w:rsidRDefault="00380BE7" w:rsidP="00380BE7">
      <w:pPr>
        <w:pStyle w:val="BodyText"/>
        <w:tabs>
          <w:tab w:val="right" w:pos="7938"/>
        </w:tabs>
        <w:spacing w:after="0"/>
        <w:ind w:left="851"/>
      </w:pPr>
      <w:r w:rsidRPr="00256982">
        <w:t xml:space="preserve">Total emissions = (carbon stock change / 1,000 </w:t>
      </w:r>
      <w:r w:rsidRPr="00256982">
        <w:rPr>
          <w:i/>
          <w:sz w:val="18"/>
        </w:rPr>
        <w:t>×</w:t>
      </w:r>
      <w:r w:rsidRPr="00256982">
        <w:t xml:space="preserve"> –1) </w:t>
      </w:r>
      <w:r w:rsidRPr="00256982">
        <w:rPr>
          <w:i/>
          <w:sz w:val="18"/>
        </w:rPr>
        <w:t>×</w:t>
      </w:r>
      <w:r w:rsidRPr="00256982">
        <w:t xml:space="preserve"> (44/12)</w:t>
      </w:r>
    </w:p>
    <w:p w14:paraId="3FBC799B" w14:textId="77777777" w:rsidR="00380BE7" w:rsidRPr="00256982" w:rsidRDefault="00380BE7" w:rsidP="00380BE7">
      <w:pPr>
        <w:pStyle w:val="BodyText"/>
        <w:tabs>
          <w:tab w:val="right" w:pos="7938"/>
        </w:tabs>
        <w:ind w:left="851"/>
      </w:pPr>
      <w:r w:rsidRPr="00256982">
        <w:t>Total emissions = 1.127 kt CO</w:t>
      </w:r>
      <w:r w:rsidRPr="00256982">
        <w:rPr>
          <w:vertAlign w:val="subscript"/>
        </w:rPr>
        <w:t>2</w:t>
      </w:r>
    </w:p>
    <w:p w14:paraId="3C9204BA" w14:textId="77777777" w:rsidR="00380BE7" w:rsidRPr="00256982" w:rsidRDefault="00380BE7" w:rsidP="00380BE7">
      <w:pPr>
        <w:pStyle w:val="BodyText"/>
      </w:pPr>
      <w:r w:rsidRPr="00256982">
        <w:t>Note: New Zealand follows the Tier 1 guidance in the 2006 IPCC Guidelines for calculating emissions for organic soils (IPCC, 2006a).</w:t>
      </w:r>
    </w:p>
    <w:p w14:paraId="48CC301B" w14:textId="77777777" w:rsidR="00380BE7" w:rsidRPr="00256982" w:rsidRDefault="00380BE7" w:rsidP="00380BE7">
      <w:pPr>
        <w:pStyle w:val="BodyText"/>
      </w:pPr>
      <w:r w:rsidRPr="00256982">
        <w:t xml:space="preserve">These calculations have been performed to produce estimates of annual carbon stock and carbon stock changes since 1990 to inform the Convention and Kyoto Protocol reporting. </w:t>
      </w:r>
    </w:p>
    <w:p w14:paraId="5C5E6229" w14:textId="77777777" w:rsidR="00380BE7" w:rsidRPr="00256982" w:rsidRDefault="00380BE7" w:rsidP="00380BE7">
      <w:pPr>
        <w:pStyle w:val="Heading4"/>
      </w:pPr>
      <w:bookmarkStart w:id="994" w:name="_Toc280630208"/>
      <w:bookmarkStart w:id="995" w:name="_Toc255466297"/>
      <w:bookmarkStart w:id="996" w:name="_Toc261513104"/>
      <w:bookmarkStart w:id="997" w:name="_Toc261513717"/>
      <w:r w:rsidRPr="00256982">
        <w:t>New Zealand Land Use and Carbon Analysis System</w:t>
      </w:r>
      <w:bookmarkEnd w:id="994"/>
    </w:p>
    <w:p w14:paraId="2BE89D61" w14:textId="3C11749D" w:rsidR="00380BE7" w:rsidRPr="00256982" w:rsidRDefault="00380BE7" w:rsidP="006644A4">
      <w:pPr>
        <w:pStyle w:val="BodyText"/>
      </w:pPr>
      <w:r w:rsidRPr="00256982">
        <w:t>New Zealand’s LULUCF estimates are calculated using a programme of data collection and modelling called the LUCAS</w:t>
      </w:r>
      <w:r w:rsidRPr="00256982">
        <w:rPr>
          <w:color w:val="000000"/>
        </w:rPr>
        <w:t>.</w:t>
      </w:r>
      <w:r w:rsidRPr="00256982">
        <w:t xml:space="preserve"> The LUCAS data management system stores, manages and retrieves data for international greenhouse gas reporting for the LULUCF sector. The data management system comprises: the Geospatial System, a data warehousing ‘Gateway’ and the Calculation and Reporting Application. These systems are used for managing the land use spatial databases and the plot and reference data, and for combining the two sets of data to calculate the numbers required for reporting under the Convention and the Kyoto Protocol. Details on these databases and applications are provided in annex 3.2.4. </w:t>
      </w:r>
      <w:bookmarkEnd w:id="995"/>
      <w:bookmarkEnd w:id="996"/>
      <w:bookmarkEnd w:id="997"/>
    </w:p>
    <w:p w14:paraId="15EA6DF4" w14:textId="77777777" w:rsidR="00380BE7" w:rsidRPr="00256982" w:rsidRDefault="00380BE7" w:rsidP="00380BE7">
      <w:pPr>
        <w:pStyle w:val="Heading3"/>
        <w:spacing w:before="280"/>
      </w:pPr>
      <w:bookmarkStart w:id="998" w:name="_Toc280630220"/>
      <w:r w:rsidRPr="00256982">
        <w:t>6.1.3</w:t>
      </w:r>
      <w:r w:rsidRPr="00256982">
        <w:tab/>
        <w:t>Uncertainties in LULUCF</w:t>
      </w:r>
      <w:bookmarkEnd w:id="998"/>
    </w:p>
    <w:p w14:paraId="5D88E9B4" w14:textId="77777777" w:rsidR="00380BE7" w:rsidRPr="00256982" w:rsidRDefault="00380BE7" w:rsidP="006644A4">
      <w:pPr>
        <w:pStyle w:val="BodyText"/>
      </w:pPr>
      <w:r w:rsidRPr="00256982">
        <w:t>Uncertainty for the LULUCF sector has been calculated as 52.1 per cent. Given this uncertainty, net emissions from the LULUCF sector could range from –11,488.4 kt CO</w:t>
      </w:r>
      <w:r w:rsidRPr="00256982">
        <w:rPr>
          <w:vertAlign w:val="subscript"/>
        </w:rPr>
        <w:t>2</w:t>
      </w:r>
      <w:r w:rsidRPr="00256982">
        <w:t>-e to –36,464.2 kt CO</w:t>
      </w:r>
      <w:r w:rsidRPr="00256982">
        <w:rPr>
          <w:vertAlign w:val="subscript"/>
        </w:rPr>
        <w:t>2</w:t>
      </w:r>
      <w:r w:rsidRPr="00256982">
        <w:t xml:space="preserve">-e. Table 6.1.7 shows the four land use categories within the LULUCF sector that make the greatest contribution to uncertainty in the net carbon emissions for the sector. These are given in descending order. </w:t>
      </w:r>
    </w:p>
    <w:p w14:paraId="687A83D7" w14:textId="77777777" w:rsidR="00380BE7" w:rsidRPr="00256982" w:rsidRDefault="00380BE7" w:rsidP="00380BE7">
      <w:pPr>
        <w:pStyle w:val="Table"/>
      </w:pPr>
      <w:bookmarkStart w:id="999" w:name="_Toc310423396"/>
      <w:bookmarkStart w:id="1000" w:name="_Toc318362689"/>
      <w:bookmarkStart w:id="1001" w:name="_Toc342470751"/>
      <w:bookmarkStart w:id="1002" w:name="_Toc352504991"/>
      <w:bookmarkStart w:id="1003" w:name="_Toc378853277"/>
      <w:bookmarkStart w:id="1004" w:name="_Toc391024075"/>
      <w:bookmarkStart w:id="1005" w:name="_Toc410028818"/>
      <w:bookmarkStart w:id="1006" w:name="_Toc414531446"/>
      <w:bookmarkStart w:id="1007" w:name="_Toc443645359"/>
      <w:bookmarkStart w:id="1008" w:name="_Toc474914578"/>
      <w:bookmarkStart w:id="1009" w:name="_Toc481751542"/>
      <w:bookmarkStart w:id="1010" w:name="_Toc522010599"/>
      <w:bookmarkStart w:id="1011" w:name="_Toc5269504"/>
      <w:r w:rsidRPr="00256982">
        <w:lastRenderedPageBreak/>
        <w:t>Table 6.1.7</w:t>
      </w:r>
      <w:r w:rsidRPr="00256982">
        <w:tab/>
        <w:t>Land use categories making the greatest contribution to uncertainty</w:t>
      </w:r>
      <w:r w:rsidRPr="00256982">
        <w:br/>
        <w:t>in the LULUCF sector</w:t>
      </w:r>
      <w:bookmarkEnd w:id="999"/>
      <w:bookmarkEnd w:id="1000"/>
      <w:bookmarkEnd w:id="1001"/>
      <w:bookmarkEnd w:id="1002"/>
      <w:bookmarkEnd w:id="1003"/>
      <w:bookmarkEnd w:id="1004"/>
      <w:bookmarkEnd w:id="1005"/>
      <w:bookmarkEnd w:id="1006"/>
      <w:bookmarkEnd w:id="1007"/>
      <w:bookmarkEnd w:id="1008"/>
      <w:bookmarkEnd w:id="1009"/>
      <w:bookmarkEnd w:id="1010"/>
      <w:bookmarkEnd w:id="1011"/>
    </w:p>
    <w:tbl>
      <w:tblPr>
        <w:tblW w:w="8505" w:type="dxa"/>
        <w:tblInd w:w="108" w:type="dxa"/>
        <w:tblBorders>
          <w:bottom w:val="single" w:sz="8" w:space="0" w:color="365F91"/>
          <w:insideH w:val="single" w:sz="8" w:space="0" w:color="365F91"/>
        </w:tblBorders>
        <w:tblLook w:val="04A0" w:firstRow="1" w:lastRow="0" w:firstColumn="1" w:lastColumn="0" w:noHBand="0" w:noVBand="1"/>
      </w:tblPr>
      <w:tblGrid>
        <w:gridCol w:w="4111"/>
        <w:gridCol w:w="1985"/>
        <w:gridCol w:w="2409"/>
      </w:tblGrid>
      <w:tr w:rsidR="00380BE7" w:rsidRPr="00256982" w14:paraId="62F29A0F" w14:textId="77777777" w:rsidTr="00D361BB">
        <w:tc>
          <w:tcPr>
            <w:tcW w:w="4111" w:type="dxa"/>
            <w:tcBorders>
              <w:top w:val="single" w:sz="4" w:space="0" w:color="365F91"/>
              <w:bottom w:val="nil"/>
            </w:tcBorders>
            <w:shd w:val="clear" w:color="auto" w:fill="365F91"/>
            <w:noWrap/>
            <w:vAlign w:val="bottom"/>
            <w:hideMark/>
          </w:tcPr>
          <w:p w14:paraId="3F20CD0F" w14:textId="77777777" w:rsidR="00380BE7" w:rsidRPr="00256982" w:rsidRDefault="00380BE7" w:rsidP="009574E7">
            <w:pPr>
              <w:pStyle w:val="TableTextBold"/>
              <w:keepNext/>
              <w:rPr>
                <w:rFonts w:eastAsia="Arial"/>
                <w:noProof w:val="0"/>
                <w:color w:val="FFFFFF"/>
              </w:rPr>
            </w:pPr>
            <w:r w:rsidRPr="00256982">
              <w:rPr>
                <w:rFonts w:eastAsia="Arial"/>
                <w:noProof w:val="0"/>
                <w:color w:val="FFFFFF"/>
              </w:rPr>
              <w:t>Land use category</w:t>
            </w:r>
          </w:p>
        </w:tc>
        <w:tc>
          <w:tcPr>
            <w:tcW w:w="1985" w:type="dxa"/>
            <w:tcBorders>
              <w:top w:val="single" w:sz="4" w:space="0" w:color="365F91"/>
              <w:bottom w:val="nil"/>
            </w:tcBorders>
            <w:shd w:val="clear" w:color="auto" w:fill="365F91"/>
            <w:noWrap/>
            <w:vAlign w:val="bottom"/>
            <w:hideMark/>
          </w:tcPr>
          <w:p w14:paraId="68679F40" w14:textId="77777777" w:rsidR="00380BE7" w:rsidRPr="00256982" w:rsidRDefault="00380BE7" w:rsidP="009574E7">
            <w:pPr>
              <w:pStyle w:val="TableTextBold"/>
              <w:keepNext/>
              <w:jc w:val="center"/>
              <w:rPr>
                <w:rFonts w:eastAsia="Arial"/>
                <w:noProof w:val="0"/>
                <w:color w:val="FFFFFF"/>
              </w:rPr>
            </w:pPr>
            <w:r w:rsidRPr="00256982">
              <w:rPr>
                <w:rFonts w:eastAsia="Arial"/>
                <w:noProof w:val="0"/>
                <w:color w:val="FFFFFF"/>
              </w:rPr>
              <w:t>Absolute emissions by category (kt CO</w:t>
            </w:r>
            <w:r w:rsidRPr="00256982">
              <w:rPr>
                <w:rFonts w:eastAsia="Arial"/>
                <w:noProof w:val="0"/>
                <w:color w:val="FFFFFF"/>
                <w:vertAlign w:val="subscript"/>
              </w:rPr>
              <w:t>2</w:t>
            </w:r>
            <w:r w:rsidRPr="00256982">
              <w:rPr>
                <w:rFonts w:eastAsia="Arial"/>
                <w:noProof w:val="0"/>
                <w:color w:val="FFFFFF"/>
              </w:rPr>
              <w:t>)</w:t>
            </w:r>
          </w:p>
        </w:tc>
        <w:tc>
          <w:tcPr>
            <w:tcW w:w="2409" w:type="dxa"/>
            <w:tcBorders>
              <w:top w:val="single" w:sz="4" w:space="0" w:color="365F91"/>
              <w:bottom w:val="nil"/>
            </w:tcBorders>
            <w:shd w:val="clear" w:color="auto" w:fill="365F91"/>
            <w:noWrap/>
            <w:vAlign w:val="bottom"/>
            <w:hideMark/>
          </w:tcPr>
          <w:p w14:paraId="6A553C2E" w14:textId="77777777" w:rsidR="00380BE7" w:rsidRPr="00256982" w:rsidRDefault="00380BE7" w:rsidP="009574E7">
            <w:pPr>
              <w:pStyle w:val="TableTextBold"/>
              <w:keepNext/>
              <w:jc w:val="center"/>
              <w:rPr>
                <w:rFonts w:eastAsia="Arial"/>
                <w:noProof w:val="0"/>
                <w:color w:val="FFFFFF"/>
              </w:rPr>
            </w:pPr>
            <w:r w:rsidRPr="00256982">
              <w:rPr>
                <w:rFonts w:eastAsia="Arial"/>
                <w:noProof w:val="0"/>
                <w:color w:val="FFFFFF"/>
              </w:rPr>
              <w:t>Uncertainty introduced into emissions for LULUCF (%)</w:t>
            </w:r>
          </w:p>
        </w:tc>
      </w:tr>
      <w:tr w:rsidR="00380BE7" w:rsidRPr="00256982" w14:paraId="2A444C32" w14:textId="77777777" w:rsidTr="00D361BB">
        <w:tc>
          <w:tcPr>
            <w:tcW w:w="4111" w:type="dxa"/>
            <w:tcBorders>
              <w:top w:val="nil"/>
              <w:left w:val="nil"/>
              <w:bottom w:val="single" w:sz="8" w:space="0" w:color="365F91"/>
              <w:right w:val="nil"/>
            </w:tcBorders>
            <w:shd w:val="clear" w:color="auto" w:fill="auto"/>
            <w:noWrap/>
            <w:hideMark/>
          </w:tcPr>
          <w:p w14:paraId="100D1A21" w14:textId="77777777" w:rsidR="00380BE7" w:rsidRPr="00256982" w:rsidRDefault="00380BE7" w:rsidP="005E72B1">
            <w:pPr>
              <w:pStyle w:val="TableText"/>
              <w:keepNext/>
              <w:spacing w:before="40" w:after="40"/>
              <w:rPr>
                <w:rFonts w:eastAsia="Arial"/>
                <w:szCs w:val="22"/>
              </w:rPr>
            </w:pPr>
            <w:r w:rsidRPr="00256982">
              <w:rPr>
                <w:rFonts w:eastAsia="Arial"/>
                <w:szCs w:val="22"/>
              </w:rPr>
              <w:t xml:space="preserve">Pre-1990 planted forest remaining pre-1990 planted forest </w:t>
            </w:r>
          </w:p>
        </w:tc>
        <w:tc>
          <w:tcPr>
            <w:tcW w:w="1985" w:type="dxa"/>
            <w:tcBorders>
              <w:top w:val="nil"/>
              <w:left w:val="nil"/>
              <w:bottom w:val="single" w:sz="8" w:space="0" w:color="365F91"/>
              <w:right w:val="nil"/>
            </w:tcBorders>
            <w:shd w:val="clear" w:color="auto" w:fill="auto"/>
            <w:noWrap/>
            <w:vAlign w:val="bottom"/>
            <w:hideMark/>
          </w:tcPr>
          <w:p w14:paraId="61B00DF2" w14:textId="77777777" w:rsidR="00380BE7" w:rsidRPr="00256982" w:rsidRDefault="00380BE7" w:rsidP="005E72B1">
            <w:pPr>
              <w:pStyle w:val="TableText"/>
              <w:keepNext/>
              <w:tabs>
                <w:tab w:val="decimal" w:pos="511"/>
              </w:tabs>
              <w:spacing w:before="40" w:after="40"/>
              <w:jc w:val="center"/>
              <w:rPr>
                <w:rFonts w:eastAsia="Arial" w:cs="Arial"/>
                <w:szCs w:val="16"/>
              </w:rPr>
            </w:pPr>
            <w:r w:rsidRPr="00256982">
              <w:rPr>
                <w:rFonts w:cs="Arial"/>
                <w:szCs w:val="16"/>
              </w:rPr>
              <w:t>1,186.1</w:t>
            </w:r>
          </w:p>
        </w:tc>
        <w:tc>
          <w:tcPr>
            <w:tcW w:w="2409" w:type="dxa"/>
            <w:tcBorders>
              <w:top w:val="nil"/>
              <w:left w:val="nil"/>
              <w:bottom w:val="single" w:sz="8" w:space="0" w:color="365F91"/>
              <w:right w:val="nil"/>
            </w:tcBorders>
            <w:shd w:val="clear" w:color="auto" w:fill="auto"/>
            <w:noWrap/>
            <w:vAlign w:val="bottom"/>
            <w:hideMark/>
          </w:tcPr>
          <w:p w14:paraId="3A13F254" w14:textId="77777777" w:rsidR="00380BE7" w:rsidRPr="00256982" w:rsidRDefault="00380BE7" w:rsidP="005E72B1">
            <w:pPr>
              <w:pStyle w:val="TableText"/>
              <w:keepNext/>
              <w:tabs>
                <w:tab w:val="decimal" w:pos="511"/>
              </w:tabs>
              <w:spacing w:before="40" w:after="40"/>
              <w:jc w:val="center"/>
              <w:rPr>
                <w:rFonts w:eastAsia="Arial"/>
                <w:szCs w:val="22"/>
              </w:rPr>
            </w:pPr>
            <w:r w:rsidRPr="00256982">
              <w:rPr>
                <w:rFonts w:eastAsia="Arial"/>
                <w:szCs w:val="22"/>
              </w:rPr>
              <w:t>±</w:t>
            </w:r>
            <w:r w:rsidRPr="00256982">
              <w:rPr>
                <w:rFonts w:cs="Arial"/>
                <w:szCs w:val="16"/>
              </w:rPr>
              <w:t>34.3</w:t>
            </w:r>
          </w:p>
        </w:tc>
      </w:tr>
      <w:tr w:rsidR="00380BE7" w:rsidRPr="00256982" w14:paraId="3E9DAF40" w14:textId="77777777" w:rsidTr="009574E7">
        <w:tc>
          <w:tcPr>
            <w:tcW w:w="4111" w:type="dxa"/>
            <w:tcBorders>
              <w:top w:val="single" w:sz="4" w:space="0" w:color="365F91"/>
              <w:left w:val="nil"/>
              <w:bottom w:val="single" w:sz="8" w:space="0" w:color="2E74B5"/>
              <w:right w:val="nil"/>
              <w:tl2br w:val="nil"/>
              <w:tr2bl w:val="nil"/>
            </w:tcBorders>
            <w:shd w:val="clear" w:color="auto" w:fill="auto"/>
            <w:noWrap/>
            <w:hideMark/>
          </w:tcPr>
          <w:p w14:paraId="192BDF2D" w14:textId="77777777" w:rsidR="00380BE7" w:rsidRPr="00256982" w:rsidRDefault="00380BE7" w:rsidP="009574E7">
            <w:pPr>
              <w:pStyle w:val="TableText"/>
              <w:keepNext/>
              <w:spacing w:before="40" w:after="40"/>
              <w:rPr>
                <w:rFonts w:eastAsia="Arial"/>
                <w:szCs w:val="22"/>
              </w:rPr>
            </w:pPr>
            <w:r w:rsidRPr="00256982">
              <w:rPr>
                <w:rFonts w:eastAsia="Arial"/>
                <w:szCs w:val="22"/>
              </w:rPr>
              <w:t>Pre-1990 natural forest remaining pre-1990 natural forest</w:t>
            </w:r>
          </w:p>
        </w:tc>
        <w:tc>
          <w:tcPr>
            <w:tcW w:w="1985" w:type="dxa"/>
            <w:tcBorders>
              <w:top w:val="single" w:sz="4" w:space="0" w:color="365F91"/>
              <w:left w:val="nil"/>
              <w:bottom w:val="single" w:sz="8" w:space="0" w:color="2E74B5"/>
              <w:right w:val="nil"/>
              <w:tl2br w:val="nil"/>
              <w:tr2bl w:val="nil"/>
            </w:tcBorders>
            <w:shd w:val="clear" w:color="auto" w:fill="auto"/>
            <w:noWrap/>
            <w:vAlign w:val="bottom"/>
            <w:hideMark/>
          </w:tcPr>
          <w:p w14:paraId="431D7FFD" w14:textId="77777777" w:rsidR="00380BE7" w:rsidRPr="00256982" w:rsidRDefault="00380BE7" w:rsidP="009574E7">
            <w:pPr>
              <w:pStyle w:val="TableText"/>
              <w:keepNext/>
              <w:tabs>
                <w:tab w:val="decimal" w:pos="511"/>
              </w:tabs>
              <w:spacing w:before="40" w:after="40"/>
              <w:jc w:val="center"/>
              <w:rPr>
                <w:rFonts w:eastAsia="Arial" w:cs="Arial"/>
                <w:szCs w:val="16"/>
              </w:rPr>
            </w:pPr>
            <w:r w:rsidRPr="00256982">
              <w:rPr>
                <w:rFonts w:cs="Arial"/>
                <w:szCs w:val="16"/>
              </w:rPr>
              <w:t>6,125.5</w:t>
            </w:r>
          </w:p>
        </w:tc>
        <w:tc>
          <w:tcPr>
            <w:tcW w:w="2409" w:type="dxa"/>
            <w:tcBorders>
              <w:top w:val="single" w:sz="4" w:space="0" w:color="365F91"/>
              <w:left w:val="nil"/>
              <w:bottom w:val="single" w:sz="8" w:space="0" w:color="2E74B5"/>
              <w:right w:val="nil"/>
              <w:tl2br w:val="nil"/>
              <w:tr2bl w:val="nil"/>
            </w:tcBorders>
            <w:shd w:val="clear" w:color="auto" w:fill="auto"/>
            <w:noWrap/>
            <w:vAlign w:val="bottom"/>
            <w:hideMark/>
          </w:tcPr>
          <w:p w14:paraId="5DC3E10E" w14:textId="77777777" w:rsidR="00380BE7" w:rsidRPr="00256982" w:rsidRDefault="00380BE7" w:rsidP="009574E7">
            <w:pPr>
              <w:pStyle w:val="TableText"/>
              <w:keepNext/>
              <w:tabs>
                <w:tab w:val="decimal" w:pos="511"/>
              </w:tabs>
              <w:spacing w:before="40" w:after="40"/>
              <w:jc w:val="center"/>
              <w:rPr>
                <w:rFonts w:eastAsia="Arial"/>
                <w:szCs w:val="22"/>
              </w:rPr>
            </w:pPr>
            <w:r w:rsidRPr="00256982">
              <w:rPr>
                <w:rFonts w:eastAsia="Arial"/>
                <w:szCs w:val="22"/>
              </w:rPr>
              <w:t>±</w:t>
            </w:r>
            <w:r w:rsidRPr="00256982">
              <w:rPr>
                <w:rFonts w:cs="Arial"/>
                <w:szCs w:val="16"/>
              </w:rPr>
              <w:t>32.4</w:t>
            </w:r>
          </w:p>
        </w:tc>
      </w:tr>
      <w:tr w:rsidR="00380BE7" w:rsidRPr="00256982" w14:paraId="2151B7F1" w14:textId="77777777" w:rsidTr="009574E7">
        <w:tc>
          <w:tcPr>
            <w:tcW w:w="4111" w:type="dxa"/>
            <w:tcBorders>
              <w:top w:val="nil"/>
              <w:left w:val="nil"/>
              <w:bottom w:val="single" w:sz="8" w:space="0" w:color="365F91"/>
              <w:right w:val="nil"/>
              <w:tl2br w:val="nil"/>
              <w:tr2bl w:val="nil"/>
            </w:tcBorders>
            <w:shd w:val="clear" w:color="auto" w:fill="auto"/>
            <w:noWrap/>
            <w:hideMark/>
          </w:tcPr>
          <w:p w14:paraId="425909EF" w14:textId="77777777" w:rsidR="00380BE7" w:rsidRPr="00256982" w:rsidRDefault="00380BE7" w:rsidP="009574E7">
            <w:pPr>
              <w:pStyle w:val="TableText"/>
              <w:spacing w:before="40" w:after="40"/>
              <w:rPr>
                <w:rFonts w:eastAsia="Arial"/>
                <w:szCs w:val="22"/>
              </w:rPr>
            </w:pPr>
            <w:r w:rsidRPr="00256982">
              <w:rPr>
                <w:rFonts w:eastAsia="Arial"/>
                <w:szCs w:val="22"/>
              </w:rPr>
              <w:t>Harvested wood products</w:t>
            </w:r>
          </w:p>
        </w:tc>
        <w:tc>
          <w:tcPr>
            <w:tcW w:w="1985" w:type="dxa"/>
            <w:tcBorders>
              <w:top w:val="nil"/>
              <w:left w:val="nil"/>
              <w:bottom w:val="single" w:sz="8" w:space="0" w:color="365F91"/>
              <w:right w:val="nil"/>
              <w:tl2br w:val="nil"/>
              <w:tr2bl w:val="nil"/>
            </w:tcBorders>
            <w:shd w:val="clear" w:color="auto" w:fill="auto"/>
            <w:noWrap/>
            <w:vAlign w:val="bottom"/>
            <w:hideMark/>
          </w:tcPr>
          <w:p w14:paraId="6CDEEDF0" w14:textId="77777777" w:rsidR="00380BE7" w:rsidRPr="00256982" w:rsidRDefault="00380BE7" w:rsidP="009574E7">
            <w:pPr>
              <w:pStyle w:val="TableText"/>
              <w:tabs>
                <w:tab w:val="decimal" w:pos="511"/>
              </w:tabs>
              <w:spacing w:before="40" w:after="40"/>
              <w:jc w:val="center"/>
              <w:rPr>
                <w:rFonts w:eastAsia="Arial" w:cs="Arial"/>
                <w:szCs w:val="16"/>
              </w:rPr>
            </w:pPr>
            <w:r w:rsidRPr="00256982">
              <w:rPr>
                <w:rFonts w:cs="Arial"/>
                <w:szCs w:val="16"/>
              </w:rPr>
              <w:t>6,518.5</w:t>
            </w:r>
          </w:p>
        </w:tc>
        <w:tc>
          <w:tcPr>
            <w:tcW w:w="2409" w:type="dxa"/>
            <w:tcBorders>
              <w:top w:val="nil"/>
              <w:left w:val="nil"/>
              <w:bottom w:val="single" w:sz="8" w:space="0" w:color="365F91"/>
              <w:right w:val="nil"/>
              <w:tl2br w:val="nil"/>
              <w:tr2bl w:val="nil"/>
            </w:tcBorders>
            <w:shd w:val="clear" w:color="auto" w:fill="auto"/>
            <w:noWrap/>
            <w:vAlign w:val="bottom"/>
            <w:hideMark/>
          </w:tcPr>
          <w:p w14:paraId="3F5B0168" w14:textId="77777777" w:rsidR="00380BE7" w:rsidRPr="00256982" w:rsidRDefault="00380BE7" w:rsidP="009574E7">
            <w:pPr>
              <w:pStyle w:val="TableText"/>
              <w:tabs>
                <w:tab w:val="decimal" w:pos="511"/>
              </w:tabs>
              <w:spacing w:before="40" w:after="40"/>
              <w:jc w:val="center"/>
              <w:rPr>
                <w:rFonts w:eastAsia="Arial"/>
                <w:szCs w:val="22"/>
              </w:rPr>
            </w:pPr>
            <w:r w:rsidRPr="00256982">
              <w:rPr>
                <w:rFonts w:eastAsia="Arial"/>
                <w:szCs w:val="22"/>
              </w:rPr>
              <w:t>±</w:t>
            </w:r>
            <w:r w:rsidRPr="00256982">
              <w:rPr>
                <w:rFonts w:cs="Arial"/>
                <w:szCs w:val="16"/>
              </w:rPr>
              <w:t>18.6</w:t>
            </w:r>
          </w:p>
        </w:tc>
      </w:tr>
    </w:tbl>
    <w:p w14:paraId="570A6520" w14:textId="77777777" w:rsidR="00380BE7" w:rsidRPr="00256982" w:rsidRDefault="00380BE7" w:rsidP="005E72B1">
      <w:pPr>
        <w:pStyle w:val="BodyText"/>
        <w:spacing w:before="240"/>
      </w:pPr>
      <w:r w:rsidRPr="00256982">
        <w:t>The greatest contribution of uncertainty to the LULUCF sector arises from the</w:t>
      </w:r>
      <w:r w:rsidRPr="00256982">
        <w:rPr>
          <w:i/>
        </w:rPr>
        <w:t xml:space="preserve"> Forest land remaining forest land </w:t>
      </w:r>
      <w:r w:rsidRPr="00256982">
        <w:t>category</w:t>
      </w:r>
      <w:r w:rsidRPr="00256982">
        <w:rPr>
          <w:i/>
        </w:rPr>
        <w:t>.</w:t>
      </w:r>
      <w:r w:rsidRPr="00256982">
        <w:t xml:space="preserve"> The age structure of the pre-1990 planted forest estate results in large removals from growth and large emissions from harvesting, leaving a relatively small net change. The uncertainties are calculated on emissions and removals relative to net change. This results in high uncertainty introduced into emissions for LULUCF, despite relatively low uncertainty in carbon stocks (±11.4 per cent). </w:t>
      </w:r>
    </w:p>
    <w:p w14:paraId="44D66EE4" w14:textId="2D779CCE" w:rsidR="00380BE7" w:rsidRPr="00256982" w:rsidRDefault="00380BE7" w:rsidP="00A10AC0">
      <w:pPr>
        <w:pStyle w:val="BodyText"/>
        <w:rPr>
          <w:spacing w:val="-2"/>
        </w:rPr>
      </w:pPr>
      <w:r w:rsidRPr="00256982">
        <w:t>A Monte Carlo simulation approach was used to assess the main sources of uncertainty in carbon stock and carbon stock change in pre-1990 natural forest</w:t>
      </w:r>
      <w:r w:rsidRPr="00256982">
        <w:rPr>
          <w:i/>
        </w:rPr>
        <w:t>.</w:t>
      </w:r>
      <w:r w:rsidRPr="00256982">
        <w:t xml:space="preserve"> The regenerating component of pre-1990 natural forest was found to be a statistically significant carbon sink, sequestering</w:t>
      </w:r>
      <w:r w:rsidR="006644A4" w:rsidRPr="00256982">
        <w:t xml:space="preserve"> </w:t>
      </w:r>
      <w:r w:rsidRPr="00256982">
        <w:t>1.39 ± 0.55 tonnes C ha</w:t>
      </w:r>
      <w:r w:rsidRPr="00256982">
        <w:rPr>
          <w:vertAlign w:val="superscript"/>
        </w:rPr>
        <w:t xml:space="preserve">–1 </w:t>
      </w:r>
      <w:r w:rsidRPr="00256982">
        <w:t>yr</w:t>
      </w:r>
      <w:r w:rsidRPr="00256982">
        <w:rPr>
          <w:vertAlign w:val="superscript"/>
        </w:rPr>
        <w:t>–1</w:t>
      </w:r>
      <w:r w:rsidRPr="00256982">
        <w:t xml:space="preserve">. Statistically insignificant carbon change was found in the tall </w:t>
      </w:r>
      <w:r w:rsidRPr="00256982">
        <w:rPr>
          <w:spacing w:val="-2"/>
        </w:rPr>
        <w:t>forest component of pre-1990 natural forest (0.34 ± 0.43 tonnes C ha</w:t>
      </w:r>
      <w:r w:rsidRPr="00256982">
        <w:rPr>
          <w:spacing w:val="-2"/>
          <w:vertAlign w:val="superscript"/>
        </w:rPr>
        <w:t xml:space="preserve">–1 </w:t>
      </w:r>
      <w:r w:rsidRPr="00256982">
        <w:rPr>
          <w:spacing w:val="-2"/>
        </w:rPr>
        <w:t>yr</w:t>
      </w:r>
      <w:r w:rsidRPr="00256982">
        <w:rPr>
          <w:spacing w:val="-2"/>
          <w:vertAlign w:val="superscript"/>
        </w:rPr>
        <w:t>–1</w:t>
      </w:r>
      <w:r w:rsidRPr="00256982">
        <w:rPr>
          <w:spacing w:val="-2"/>
        </w:rPr>
        <w:t>) (Holdaway et al., 2016). The variation between individual plot estimates of biomass carbon change in regenerating and tall pre-1990 natural forest results in a combined uncertainty of ±126.6 per cent. Large removals in the regenerating component, coupled with large uncertainties for the category, result in this being the second-largest contributor to uncertainty in the LULUCF sector.</w:t>
      </w:r>
    </w:p>
    <w:p w14:paraId="7168FABD" w14:textId="77777777" w:rsidR="00380BE7" w:rsidRPr="00256982" w:rsidRDefault="00380BE7" w:rsidP="00A10AC0">
      <w:pPr>
        <w:pStyle w:val="BodyText"/>
      </w:pPr>
      <w:r w:rsidRPr="00256982">
        <w:rPr>
          <w:i/>
        </w:rPr>
        <w:t>Harvested wood products</w:t>
      </w:r>
      <w:r w:rsidRPr="00256982">
        <w:t xml:space="preserve"> provides the third-greatest contribution to uncertainty in the LULUCF sector. This is driven by large removals in the category and relatively high uncertainty associated with the end-use and discard rates of New Zealand wood (±67.4 per cent). </w:t>
      </w:r>
    </w:p>
    <w:p w14:paraId="636823A9" w14:textId="77777777" w:rsidR="00380BE7" w:rsidRPr="00256982" w:rsidRDefault="00380BE7" w:rsidP="00380BE7">
      <w:pPr>
        <w:pStyle w:val="BodyText"/>
      </w:pPr>
      <w:r w:rsidRPr="00256982">
        <w:t>Further details on the emission factor and activity data uncertainties for specific land uses and non-carbon emissions are given within the relevant sections of this chapter. Further detailed analysis of LULUCF uncertainties is presented in annex 3.2.3.</w:t>
      </w:r>
    </w:p>
    <w:p w14:paraId="2D2D061A" w14:textId="77777777" w:rsidR="00380BE7" w:rsidRPr="00256982" w:rsidRDefault="00380BE7" w:rsidP="00380BE7">
      <w:pPr>
        <w:pStyle w:val="Heading3"/>
        <w:spacing w:before="280"/>
      </w:pPr>
      <w:bookmarkStart w:id="1012" w:name="_Toc280630221"/>
      <w:r w:rsidRPr="00256982">
        <w:t>6.1.4</w:t>
      </w:r>
      <w:r w:rsidRPr="00256982">
        <w:tab/>
        <w:t>Recalculations in LULUCF</w:t>
      </w:r>
      <w:bookmarkEnd w:id="1012"/>
    </w:p>
    <w:p w14:paraId="334FE904" w14:textId="77777777" w:rsidR="00380BE7" w:rsidRPr="00256982" w:rsidRDefault="00380BE7" w:rsidP="00380BE7">
      <w:pPr>
        <w:pStyle w:val="BodyText"/>
      </w:pPr>
      <w:r w:rsidRPr="00256982">
        <w:t xml:space="preserve">For the 2019 submission, New Zealand has recalculated its emission estimates for the LULUCF sector from 1990 to 2016 to incorporate new activity data from the creation of a new land use map and updated emission factors. These recalculations have improved the accuracy, consistency and completeness of the LULUCF estimates. </w:t>
      </w:r>
    </w:p>
    <w:p w14:paraId="1BAB0291" w14:textId="24362756" w:rsidR="00380BE7" w:rsidRPr="00256982" w:rsidRDefault="00380BE7" w:rsidP="00380BE7">
      <w:pPr>
        <w:pStyle w:val="BodyText"/>
      </w:pPr>
      <w:r w:rsidRPr="00256982">
        <w:t xml:space="preserve">As a result of the recalculations, estimates of </w:t>
      </w:r>
      <w:r w:rsidR="00AA394E">
        <w:t xml:space="preserve">net </w:t>
      </w:r>
      <w:r w:rsidRPr="00256982">
        <w:t xml:space="preserve">emissions in 1990 have decreased by 5.5 per cent, and </w:t>
      </w:r>
      <w:r w:rsidR="00AA394E">
        <w:t xml:space="preserve">net </w:t>
      </w:r>
      <w:r w:rsidRPr="00256982">
        <w:t>emissions in 2016 have decreased by 9.0 per cent (see table 6.1.8).</w:t>
      </w:r>
    </w:p>
    <w:p w14:paraId="0A8E2C6D" w14:textId="721D2110" w:rsidR="00380BE7" w:rsidRPr="00256982" w:rsidRDefault="00380BE7" w:rsidP="00380BE7">
      <w:pPr>
        <w:pStyle w:val="Table"/>
      </w:pPr>
      <w:bookmarkStart w:id="1013" w:name="_Toc310423397"/>
      <w:bookmarkStart w:id="1014" w:name="_Toc318362690"/>
      <w:bookmarkStart w:id="1015" w:name="_Toc342470752"/>
      <w:bookmarkStart w:id="1016" w:name="_Toc352504992"/>
      <w:bookmarkStart w:id="1017" w:name="_Toc378853278"/>
      <w:bookmarkStart w:id="1018" w:name="_Toc391024076"/>
      <w:bookmarkStart w:id="1019" w:name="_Toc410028819"/>
      <w:bookmarkStart w:id="1020" w:name="_Toc414531447"/>
      <w:bookmarkStart w:id="1021" w:name="_Toc443645360"/>
      <w:bookmarkStart w:id="1022" w:name="_Toc474914579"/>
      <w:bookmarkStart w:id="1023" w:name="_Toc481751543"/>
      <w:bookmarkStart w:id="1024" w:name="_Toc522010600"/>
      <w:bookmarkStart w:id="1025" w:name="_Toc5269505"/>
      <w:r w:rsidRPr="00256982">
        <w:t>Table 6.1.8</w:t>
      </w:r>
      <w:r w:rsidRPr="00256982">
        <w:tab/>
        <w:t>Recalculations to New Zealand’s total net LULUCF emissions</w:t>
      </w:r>
      <w:bookmarkEnd w:id="1013"/>
      <w:bookmarkEnd w:id="1014"/>
      <w:bookmarkEnd w:id="1015"/>
      <w:bookmarkEnd w:id="1016"/>
      <w:bookmarkEnd w:id="1017"/>
      <w:r w:rsidRPr="00256982">
        <w:t xml:space="preserve"> for 1990</w:t>
      </w:r>
      <w:r w:rsidR="00C53888" w:rsidRPr="00256982">
        <w:t> </w:t>
      </w:r>
      <w:r w:rsidRPr="00256982">
        <w:t>and</w:t>
      </w:r>
      <w:bookmarkEnd w:id="1018"/>
      <w:r w:rsidR="00C53888" w:rsidRPr="00256982">
        <w:t> </w:t>
      </w:r>
      <w:r w:rsidRPr="00256982">
        <w:t>201</w:t>
      </w:r>
      <w:bookmarkEnd w:id="1019"/>
      <w:bookmarkEnd w:id="1020"/>
      <w:bookmarkEnd w:id="1021"/>
      <w:bookmarkEnd w:id="1022"/>
      <w:bookmarkEnd w:id="1023"/>
      <w:r w:rsidRPr="00256982">
        <w:t>6</w:t>
      </w:r>
      <w:bookmarkEnd w:id="1024"/>
      <w:bookmarkEnd w:id="1025"/>
    </w:p>
    <w:tbl>
      <w:tblPr>
        <w:tblW w:w="8505" w:type="dxa"/>
        <w:tblInd w:w="108" w:type="dxa"/>
        <w:tblLook w:val="04A0" w:firstRow="1" w:lastRow="0" w:firstColumn="1" w:lastColumn="0" w:noHBand="0" w:noVBand="1"/>
      </w:tblPr>
      <w:tblGrid>
        <w:gridCol w:w="1685"/>
        <w:gridCol w:w="1878"/>
        <w:gridCol w:w="1879"/>
        <w:gridCol w:w="1531"/>
        <w:gridCol w:w="1532"/>
      </w:tblGrid>
      <w:tr w:rsidR="00380BE7" w:rsidRPr="00256982" w14:paraId="2ABABB92" w14:textId="77777777" w:rsidTr="00A10AC0">
        <w:tc>
          <w:tcPr>
            <w:tcW w:w="1685" w:type="dxa"/>
            <w:tcBorders>
              <w:top w:val="single" w:sz="4" w:space="0" w:color="365F91"/>
              <w:bottom w:val="single" w:sz="4" w:space="0" w:color="365F91"/>
            </w:tcBorders>
            <w:shd w:val="clear" w:color="auto" w:fill="365F91"/>
          </w:tcPr>
          <w:p w14:paraId="0B4B0A79" w14:textId="77777777" w:rsidR="00380BE7" w:rsidRPr="00256982" w:rsidRDefault="00380BE7" w:rsidP="009574E7">
            <w:pPr>
              <w:pStyle w:val="TableTextBold"/>
              <w:spacing w:after="0"/>
              <w:rPr>
                <w:noProof w:val="0"/>
                <w:color w:val="FFFFFF"/>
              </w:rPr>
            </w:pPr>
          </w:p>
        </w:tc>
        <w:tc>
          <w:tcPr>
            <w:tcW w:w="3757" w:type="dxa"/>
            <w:gridSpan w:val="2"/>
            <w:tcBorders>
              <w:top w:val="single" w:sz="4" w:space="0" w:color="365F91"/>
              <w:bottom w:val="single" w:sz="4" w:space="0" w:color="365F91"/>
            </w:tcBorders>
            <w:shd w:val="clear" w:color="auto" w:fill="365F91"/>
          </w:tcPr>
          <w:p w14:paraId="58DD7243" w14:textId="77777777" w:rsidR="00380BE7" w:rsidRPr="00256982" w:rsidRDefault="00380BE7" w:rsidP="009574E7">
            <w:pPr>
              <w:pStyle w:val="TableTextBold"/>
              <w:spacing w:after="0"/>
              <w:jc w:val="center"/>
              <w:rPr>
                <w:noProof w:val="0"/>
                <w:color w:val="FFFFFF"/>
              </w:rPr>
            </w:pPr>
            <w:r w:rsidRPr="00256982">
              <w:rPr>
                <w:noProof w:val="0"/>
                <w:color w:val="FFFFFF"/>
              </w:rPr>
              <w:t>Reported net emissions</w:t>
            </w:r>
          </w:p>
        </w:tc>
        <w:tc>
          <w:tcPr>
            <w:tcW w:w="3063" w:type="dxa"/>
            <w:gridSpan w:val="2"/>
            <w:tcBorders>
              <w:top w:val="single" w:sz="4" w:space="0" w:color="365F91"/>
              <w:bottom w:val="single" w:sz="4" w:space="0" w:color="365F91"/>
            </w:tcBorders>
            <w:shd w:val="clear" w:color="auto" w:fill="365F91"/>
          </w:tcPr>
          <w:p w14:paraId="427557EB" w14:textId="77777777" w:rsidR="00380BE7" w:rsidRPr="00256982" w:rsidRDefault="00380BE7" w:rsidP="009574E7">
            <w:pPr>
              <w:pStyle w:val="TableTextBold"/>
              <w:spacing w:after="0"/>
              <w:jc w:val="center"/>
              <w:rPr>
                <w:noProof w:val="0"/>
                <w:color w:val="FFFFFF"/>
              </w:rPr>
            </w:pPr>
            <w:r w:rsidRPr="00256982">
              <w:rPr>
                <w:noProof w:val="0"/>
                <w:color w:val="FFFFFF"/>
              </w:rPr>
              <w:t>Change in estimate</w:t>
            </w:r>
          </w:p>
        </w:tc>
      </w:tr>
      <w:tr w:rsidR="00380BE7" w:rsidRPr="00256982" w14:paraId="13A59930" w14:textId="77777777" w:rsidTr="00A10AC0">
        <w:tc>
          <w:tcPr>
            <w:tcW w:w="1685" w:type="dxa"/>
            <w:tcBorders>
              <w:top w:val="single" w:sz="4" w:space="0" w:color="365F91"/>
              <w:bottom w:val="single" w:sz="4" w:space="0" w:color="365F91"/>
            </w:tcBorders>
            <w:shd w:val="clear" w:color="auto" w:fill="365F91"/>
            <w:vAlign w:val="bottom"/>
          </w:tcPr>
          <w:p w14:paraId="58BAAAC7" w14:textId="77777777" w:rsidR="00380BE7" w:rsidRPr="00256982" w:rsidRDefault="00380BE7" w:rsidP="009574E7">
            <w:pPr>
              <w:pStyle w:val="TableTextBold"/>
              <w:spacing w:before="40" w:after="40"/>
              <w:rPr>
                <w:noProof w:val="0"/>
                <w:color w:val="FFFFFF"/>
              </w:rPr>
            </w:pPr>
            <w:r w:rsidRPr="00256982">
              <w:rPr>
                <w:noProof w:val="0"/>
                <w:color w:val="FFFFFF"/>
              </w:rPr>
              <w:t>Year</w:t>
            </w:r>
          </w:p>
        </w:tc>
        <w:tc>
          <w:tcPr>
            <w:tcW w:w="1878" w:type="dxa"/>
            <w:tcBorders>
              <w:top w:val="single" w:sz="4" w:space="0" w:color="365F91"/>
              <w:bottom w:val="single" w:sz="4" w:space="0" w:color="365F91"/>
            </w:tcBorders>
            <w:shd w:val="clear" w:color="auto" w:fill="365F91"/>
            <w:vAlign w:val="bottom"/>
          </w:tcPr>
          <w:p w14:paraId="0C366CDD" w14:textId="77777777" w:rsidR="00380BE7" w:rsidRPr="00256982" w:rsidRDefault="00380BE7" w:rsidP="009574E7">
            <w:pPr>
              <w:pStyle w:val="TableTextBold"/>
              <w:spacing w:before="40" w:after="40"/>
              <w:jc w:val="center"/>
              <w:rPr>
                <w:noProof w:val="0"/>
                <w:color w:val="FFFFFF"/>
              </w:rPr>
            </w:pPr>
            <w:r w:rsidRPr="00256982">
              <w:rPr>
                <w:noProof w:val="0"/>
                <w:color w:val="FFFFFF"/>
              </w:rPr>
              <w:t xml:space="preserve">2018 submission </w:t>
            </w:r>
            <w:r w:rsidRPr="00256982">
              <w:rPr>
                <w:noProof w:val="0"/>
                <w:color w:val="FFFFFF"/>
              </w:rPr>
              <w:br/>
              <w:t>(kt CO</w:t>
            </w:r>
            <w:r w:rsidRPr="00256982">
              <w:rPr>
                <w:noProof w:val="0"/>
                <w:color w:val="FFFFFF"/>
                <w:vertAlign w:val="subscript"/>
              </w:rPr>
              <w:t>2</w:t>
            </w:r>
            <w:r w:rsidRPr="00256982">
              <w:rPr>
                <w:noProof w:val="0"/>
                <w:color w:val="FFFFFF"/>
              </w:rPr>
              <w:t>-e)</w:t>
            </w:r>
          </w:p>
        </w:tc>
        <w:tc>
          <w:tcPr>
            <w:tcW w:w="1879" w:type="dxa"/>
            <w:tcBorders>
              <w:top w:val="single" w:sz="4" w:space="0" w:color="365F91"/>
              <w:bottom w:val="single" w:sz="4" w:space="0" w:color="365F91"/>
            </w:tcBorders>
            <w:shd w:val="clear" w:color="auto" w:fill="365F91"/>
            <w:vAlign w:val="bottom"/>
          </w:tcPr>
          <w:p w14:paraId="1EFB0239" w14:textId="77777777" w:rsidR="00380BE7" w:rsidRPr="00256982" w:rsidRDefault="00380BE7" w:rsidP="009574E7">
            <w:pPr>
              <w:pStyle w:val="TableTextBold"/>
              <w:spacing w:before="40" w:after="40"/>
              <w:jc w:val="center"/>
              <w:rPr>
                <w:noProof w:val="0"/>
                <w:color w:val="FFFFFF"/>
              </w:rPr>
            </w:pPr>
            <w:r w:rsidRPr="00256982">
              <w:rPr>
                <w:noProof w:val="0"/>
                <w:color w:val="FFFFFF"/>
              </w:rPr>
              <w:t xml:space="preserve">2019 submission </w:t>
            </w:r>
            <w:r w:rsidRPr="00256982">
              <w:rPr>
                <w:noProof w:val="0"/>
                <w:color w:val="FFFFFF"/>
              </w:rPr>
              <w:br/>
              <w:t>(kt CO</w:t>
            </w:r>
            <w:r w:rsidRPr="00256982">
              <w:rPr>
                <w:noProof w:val="0"/>
                <w:color w:val="FFFFFF"/>
                <w:vertAlign w:val="subscript"/>
              </w:rPr>
              <w:t>2</w:t>
            </w:r>
            <w:r w:rsidRPr="00256982">
              <w:rPr>
                <w:noProof w:val="0"/>
                <w:color w:val="FFFFFF"/>
              </w:rPr>
              <w:t>-e)</w:t>
            </w:r>
          </w:p>
        </w:tc>
        <w:tc>
          <w:tcPr>
            <w:tcW w:w="1531" w:type="dxa"/>
            <w:tcBorders>
              <w:top w:val="single" w:sz="4" w:space="0" w:color="365F91"/>
              <w:bottom w:val="single" w:sz="4" w:space="0" w:color="365F91"/>
            </w:tcBorders>
            <w:shd w:val="clear" w:color="auto" w:fill="365F91"/>
            <w:vAlign w:val="bottom"/>
          </w:tcPr>
          <w:p w14:paraId="1E91176E" w14:textId="77777777" w:rsidR="00380BE7" w:rsidRPr="00256982" w:rsidRDefault="00380BE7" w:rsidP="009574E7">
            <w:pPr>
              <w:pStyle w:val="TableTextBold"/>
              <w:spacing w:before="40" w:after="40"/>
              <w:jc w:val="center"/>
              <w:rPr>
                <w:noProof w:val="0"/>
                <w:color w:val="FFFFFF"/>
              </w:rPr>
            </w:pPr>
            <w:r w:rsidRPr="00256982">
              <w:rPr>
                <w:noProof w:val="0"/>
                <w:color w:val="FFFFFF"/>
              </w:rPr>
              <w:t>(kt CO</w:t>
            </w:r>
            <w:r w:rsidRPr="00256982">
              <w:rPr>
                <w:noProof w:val="0"/>
                <w:color w:val="FFFFFF"/>
                <w:vertAlign w:val="subscript"/>
              </w:rPr>
              <w:t>2</w:t>
            </w:r>
            <w:r w:rsidRPr="00256982">
              <w:rPr>
                <w:noProof w:val="0"/>
                <w:color w:val="FFFFFF"/>
              </w:rPr>
              <w:t>-e)</w:t>
            </w:r>
          </w:p>
        </w:tc>
        <w:tc>
          <w:tcPr>
            <w:tcW w:w="1532" w:type="dxa"/>
            <w:tcBorders>
              <w:top w:val="single" w:sz="4" w:space="0" w:color="365F91"/>
              <w:bottom w:val="single" w:sz="4" w:space="0" w:color="365F91"/>
            </w:tcBorders>
            <w:shd w:val="clear" w:color="auto" w:fill="365F91"/>
            <w:vAlign w:val="bottom"/>
          </w:tcPr>
          <w:p w14:paraId="3F3C9ED1" w14:textId="77777777" w:rsidR="00380BE7" w:rsidRPr="00256982" w:rsidRDefault="00380BE7" w:rsidP="009574E7">
            <w:pPr>
              <w:pStyle w:val="TableTextBold"/>
              <w:spacing w:before="40" w:after="40"/>
              <w:jc w:val="center"/>
              <w:rPr>
                <w:noProof w:val="0"/>
                <w:color w:val="FFFFFF"/>
              </w:rPr>
            </w:pPr>
            <w:r w:rsidRPr="00256982">
              <w:rPr>
                <w:noProof w:val="0"/>
                <w:color w:val="FFFFFF"/>
              </w:rPr>
              <w:t>(%)</w:t>
            </w:r>
          </w:p>
        </w:tc>
      </w:tr>
      <w:tr w:rsidR="00380BE7" w:rsidRPr="00256982" w14:paraId="2147D3AE" w14:textId="77777777" w:rsidTr="009574E7">
        <w:tc>
          <w:tcPr>
            <w:tcW w:w="1685" w:type="dxa"/>
            <w:tcBorders>
              <w:top w:val="single" w:sz="4" w:space="0" w:color="365F91"/>
              <w:bottom w:val="single" w:sz="4" w:space="0" w:color="365F91"/>
            </w:tcBorders>
          </w:tcPr>
          <w:p w14:paraId="52F27112" w14:textId="77777777" w:rsidR="00380BE7" w:rsidRPr="00256982" w:rsidRDefault="00380BE7" w:rsidP="00A10AC0">
            <w:pPr>
              <w:pStyle w:val="TableText"/>
            </w:pPr>
            <w:r w:rsidRPr="00256982">
              <w:t>1990</w:t>
            </w:r>
          </w:p>
        </w:tc>
        <w:tc>
          <w:tcPr>
            <w:tcW w:w="1878" w:type="dxa"/>
            <w:tcBorders>
              <w:top w:val="single" w:sz="4" w:space="0" w:color="365F91"/>
              <w:bottom w:val="single" w:sz="4" w:space="0" w:color="365F91"/>
            </w:tcBorders>
          </w:tcPr>
          <w:p w14:paraId="39E8A6F1" w14:textId="77777777" w:rsidR="00380BE7" w:rsidRPr="00256982" w:rsidRDefault="00380BE7" w:rsidP="00A10AC0">
            <w:pPr>
              <w:pStyle w:val="TableText"/>
              <w:jc w:val="center"/>
            </w:pPr>
            <w:r w:rsidRPr="00256982">
              <w:rPr>
                <w:rFonts w:cs="Arial"/>
                <w:color w:val="000000"/>
                <w:szCs w:val="16"/>
              </w:rPr>
              <w:t>–</w:t>
            </w:r>
            <w:r w:rsidRPr="00256982">
              <w:t>29,539.5</w:t>
            </w:r>
          </w:p>
        </w:tc>
        <w:tc>
          <w:tcPr>
            <w:tcW w:w="1879" w:type="dxa"/>
            <w:tcBorders>
              <w:top w:val="single" w:sz="4" w:space="0" w:color="365F91"/>
              <w:bottom w:val="single" w:sz="4" w:space="0" w:color="365F91"/>
            </w:tcBorders>
          </w:tcPr>
          <w:p w14:paraId="2D593881" w14:textId="77777777" w:rsidR="00380BE7" w:rsidRPr="00256982" w:rsidRDefault="00380BE7" w:rsidP="00A10AC0">
            <w:pPr>
              <w:pStyle w:val="TableText"/>
              <w:jc w:val="center"/>
            </w:pPr>
            <w:r w:rsidRPr="00256982">
              <w:rPr>
                <w:rFonts w:cs="Arial"/>
                <w:color w:val="000000"/>
                <w:szCs w:val="16"/>
              </w:rPr>
              <w:t>–</w:t>
            </w:r>
            <w:r w:rsidRPr="00256982">
              <w:t>31,161.8</w:t>
            </w:r>
          </w:p>
        </w:tc>
        <w:tc>
          <w:tcPr>
            <w:tcW w:w="1531" w:type="dxa"/>
            <w:tcBorders>
              <w:top w:val="single" w:sz="4" w:space="0" w:color="365F91"/>
              <w:bottom w:val="single" w:sz="4" w:space="0" w:color="365F91"/>
            </w:tcBorders>
          </w:tcPr>
          <w:p w14:paraId="52D9753E" w14:textId="77777777" w:rsidR="00380BE7" w:rsidRPr="00256982" w:rsidRDefault="00380BE7" w:rsidP="00A10AC0">
            <w:pPr>
              <w:pStyle w:val="TableText"/>
              <w:jc w:val="center"/>
            </w:pPr>
            <w:r w:rsidRPr="00256982">
              <w:rPr>
                <w:rFonts w:cs="Arial"/>
                <w:color w:val="000000"/>
                <w:szCs w:val="16"/>
              </w:rPr>
              <w:t>–</w:t>
            </w:r>
            <w:r w:rsidRPr="00256982">
              <w:t>1,622.3</w:t>
            </w:r>
          </w:p>
        </w:tc>
        <w:tc>
          <w:tcPr>
            <w:tcW w:w="1532" w:type="dxa"/>
            <w:tcBorders>
              <w:top w:val="single" w:sz="4" w:space="0" w:color="365F91"/>
              <w:bottom w:val="single" w:sz="4" w:space="0" w:color="365F91"/>
            </w:tcBorders>
          </w:tcPr>
          <w:p w14:paraId="7B73B731" w14:textId="77777777" w:rsidR="00380BE7" w:rsidRPr="00256982" w:rsidRDefault="00380BE7" w:rsidP="00A10AC0">
            <w:pPr>
              <w:pStyle w:val="TableText"/>
              <w:jc w:val="center"/>
            </w:pPr>
            <w:r w:rsidRPr="00256982">
              <w:rPr>
                <w:rFonts w:cs="Arial"/>
                <w:color w:val="000000"/>
                <w:szCs w:val="16"/>
              </w:rPr>
              <w:t>–</w:t>
            </w:r>
            <w:r w:rsidRPr="00256982">
              <w:t>5.5</w:t>
            </w:r>
          </w:p>
        </w:tc>
      </w:tr>
      <w:tr w:rsidR="00380BE7" w:rsidRPr="00256982" w14:paraId="068734BD" w14:textId="77777777" w:rsidTr="009574E7">
        <w:tc>
          <w:tcPr>
            <w:tcW w:w="1685" w:type="dxa"/>
            <w:tcBorders>
              <w:top w:val="single" w:sz="4" w:space="0" w:color="365F91"/>
              <w:bottom w:val="single" w:sz="4" w:space="0" w:color="365F91"/>
            </w:tcBorders>
          </w:tcPr>
          <w:p w14:paraId="5B907DDF" w14:textId="77777777" w:rsidR="00380BE7" w:rsidRPr="00256982" w:rsidRDefault="00380BE7" w:rsidP="00A10AC0">
            <w:pPr>
              <w:pStyle w:val="TableText"/>
            </w:pPr>
            <w:r w:rsidRPr="00256982">
              <w:t>2016</w:t>
            </w:r>
          </w:p>
        </w:tc>
        <w:tc>
          <w:tcPr>
            <w:tcW w:w="1878" w:type="dxa"/>
            <w:tcBorders>
              <w:top w:val="single" w:sz="4" w:space="0" w:color="365F91"/>
              <w:bottom w:val="single" w:sz="4" w:space="0" w:color="365F91"/>
            </w:tcBorders>
          </w:tcPr>
          <w:p w14:paraId="5139AEAD" w14:textId="77777777" w:rsidR="00380BE7" w:rsidRPr="00256982" w:rsidRDefault="00380BE7" w:rsidP="00A10AC0">
            <w:pPr>
              <w:pStyle w:val="TableText"/>
              <w:jc w:val="center"/>
            </w:pPr>
            <w:r w:rsidRPr="00256982">
              <w:rPr>
                <w:rFonts w:cs="Arial"/>
                <w:color w:val="000000"/>
                <w:szCs w:val="16"/>
              </w:rPr>
              <w:t>–</w:t>
            </w:r>
            <w:r w:rsidRPr="00256982">
              <w:t>22,773.7</w:t>
            </w:r>
          </w:p>
        </w:tc>
        <w:tc>
          <w:tcPr>
            <w:tcW w:w="1879" w:type="dxa"/>
            <w:tcBorders>
              <w:top w:val="single" w:sz="4" w:space="0" w:color="365F91"/>
              <w:bottom w:val="single" w:sz="4" w:space="0" w:color="365F91"/>
            </w:tcBorders>
          </w:tcPr>
          <w:p w14:paraId="2CEEF472" w14:textId="77777777" w:rsidR="00380BE7" w:rsidRPr="00256982" w:rsidRDefault="00380BE7" w:rsidP="00A10AC0">
            <w:pPr>
              <w:pStyle w:val="TableText"/>
              <w:jc w:val="center"/>
            </w:pPr>
            <w:r w:rsidRPr="00256982">
              <w:rPr>
                <w:rFonts w:cs="Arial"/>
                <w:color w:val="000000"/>
                <w:szCs w:val="16"/>
              </w:rPr>
              <w:t>–</w:t>
            </w:r>
            <w:r w:rsidRPr="00256982">
              <w:t>24,831.6</w:t>
            </w:r>
          </w:p>
        </w:tc>
        <w:tc>
          <w:tcPr>
            <w:tcW w:w="1531" w:type="dxa"/>
            <w:tcBorders>
              <w:top w:val="single" w:sz="4" w:space="0" w:color="365F91"/>
              <w:bottom w:val="single" w:sz="4" w:space="0" w:color="365F91"/>
            </w:tcBorders>
          </w:tcPr>
          <w:p w14:paraId="66248BD5" w14:textId="77777777" w:rsidR="00380BE7" w:rsidRPr="00256982" w:rsidRDefault="00380BE7" w:rsidP="00A10AC0">
            <w:pPr>
              <w:pStyle w:val="TableText"/>
              <w:jc w:val="center"/>
            </w:pPr>
            <w:r w:rsidRPr="00256982">
              <w:rPr>
                <w:rFonts w:cs="Arial"/>
                <w:color w:val="000000"/>
                <w:szCs w:val="16"/>
              </w:rPr>
              <w:t>–</w:t>
            </w:r>
            <w:r w:rsidRPr="00256982">
              <w:t>2,057.9</w:t>
            </w:r>
          </w:p>
        </w:tc>
        <w:tc>
          <w:tcPr>
            <w:tcW w:w="1532" w:type="dxa"/>
            <w:tcBorders>
              <w:top w:val="single" w:sz="4" w:space="0" w:color="365F91"/>
              <w:bottom w:val="single" w:sz="4" w:space="0" w:color="365F91"/>
            </w:tcBorders>
          </w:tcPr>
          <w:p w14:paraId="23156317" w14:textId="77777777" w:rsidR="00380BE7" w:rsidRPr="00256982" w:rsidRDefault="00380BE7" w:rsidP="00A10AC0">
            <w:pPr>
              <w:pStyle w:val="TableText"/>
              <w:jc w:val="center"/>
            </w:pPr>
            <w:r w:rsidRPr="00256982">
              <w:rPr>
                <w:rFonts w:cs="Arial"/>
                <w:color w:val="000000"/>
                <w:szCs w:val="16"/>
              </w:rPr>
              <w:t>–</w:t>
            </w:r>
            <w:r w:rsidRPr="00256982">
              <w:t>9.0</w:t>
            </w:r>
          </w:p>
        </w:tc>
      </w:tr>
    </w:tbl>
    <w:p w14:paraId="0BFEDFCD" w14:textId="77777777" w:rsidR="00380BE7" w:rsidRPr="00256982" w:rsidRDefault="00380BE7" w:rsidP="006644A4">
      <w:pPr>
        <w:pStyle w:val="BodyText"/>
        <w:spacing w:before="240"/>
      </w:pPr>
      <w:r w:rsidRPr="00256982">
        <w:t>The main differences between this submission and previous estimates of New Zealand’s LULUCF emissions reported in the 2018 submission are the result of the following changes (in decreasing order of magnitude).</w:t>
      </w:r>
    </w:p>
    <w:p w14:paraId="4BDC643C" w14:textId="77777777" w:rsidR="00380BE7" w:rsidRPr="00256982" w:rsidRDefault="00380BE7" w:rsidP="00A10AC0">
      <w:pPr>
        <w:pStyle w:val="Bullet"/>
      </w:pPr>
      <w:r w:rsidRPr="00256982">
        <w:lastRenderedPageBreak/>
        <w:t>The inclusion of a new land use map for 2016 and associated mapping improvements, which lead to a more accurate, consistent and complete time series.</w:t>
      </w:r>
    </w:p>
    <w:p w14:paraId="60FE2471" w14:textId="77777777" w:rsidR="00380BE7" w:rsidRPr="00256982" w:rsidRDefault="00380BE7" w:rsidP="00380BE7">
      <w:pPr>
        <w:pStyle w:val="Bullet"/>
        <w:numPr>
          <w:ilvl w:val="0"/>
          <w:numId w:val="8"/>
        </w:numPr>
      </w:pPr>
      <w:r w:rsidRPr="00256982">
        <w:t>The post-1989 planted forest yield table has been revised for the 2019 submission. The revised yield table is based on two complete inventories of post-1989 planted forest permanent sample plots and a partial re-measure in 2016 and 2017. The analysis of the data collected has provided a plot-based estimate of carbon stock and mean carbon density within this forest type, which leads to more accurate estimates</w:t>
      </w:r>
    </w:p>
    <w:p w14:paraId="10C8EA4E" w14:textId="77777777" w:rsidR="00380BE7" w:rsidRPr="00256982" w:rsidRDefault="00380BE7" w:rsidP="00380BE7">
      <w:pPr>
        <w:pStyle w:val="Bullet"/>
        <w:numPr>
          <w:ilvl w:val="0"/>
          <w:numId w:val="8"/>
        </w:numPr>
      </w:pPr>
      <w:r w:rsidRPr="00256982">
        <w:rPr>
          <w:rFonts w:cs="Arial"/>
          <w:szCs w:val="22"/>
        </w:rPr>
        <w:t>Non-CO</w:t>
      </w:r>
      <w:r w:rsidRPr="00256982">
        <w:rPr>
          <w:rFonts w:cs="Arial"/>
          <w:szCs w:val="22"/>
          <w:vertAlign w:val="subscript"/>
        </w:rPr>
        <w:t>2</w:t>
      </w:r>
      <w:r w:rsidRPr="00256982">
        <w:rPr>
          <w:rFonts w:cs="Arial"/>
          <w:szCs w:val="22"/>
        </w:rPr>
        <w:t xml:space="preserve"> biomass burning emission factors are updated from the IPCC (2003) guidance to the IPCC (2006a) Guidelines, which lead to more accurate estimates.</w:t>
      </w:r>
    </w:p>
    <w:p w14:paraId="06D1715B" w14:textId="77777777" w:rsidR="00380BE7" w:rsidRPr="00256982" w:rsidRDefault="00380BE7" w:rsidP="00380BE7">
      <w:pPr>
        <w:pStyle w:val="BodyText"/>
      </w:pPr>
      <w:r w:rsidRPr="00256982">
        <w:t>The impact of these recalculations on net CO</w:t>
      </w:r>
      <w:r w:rsidRPr="00256982">
        <w:rPr>
          <w:vertAlign w:val="subscript"/>
        </w:rPr>
        <w:t>2</w:t>
      </w:r>
      <w:r w:rsidRPr="00256982">
        <w:t xml:space="preserve">-e emissions in each land use category is provided in table 6.1.9. </w:t>
      </w:r>
    </w:p>
    <w:p w14:paraId="2BF65A52" w14:textId="5A07ED5B" w:rsidR="00380BE7" w:rsidRPr="00256982" w:rsidRDefault="00380BE7" w:rsidP="00380BE7">
      <w:pPr>
        <w:pStyle w:val="Table"/>
      </w:pPr>
      <w:bookmarkStart w:id="1026" w:name="_Toc310423398"/>
      <w:bookmarkStart w:id="1027" w:name="_Toc318362691"/>
      <w:bookmarkStart w:id="1028" w:name="_Toc342470753"/>
      <w:bookmarkStart w:id="1029" w:name="_Toc352504993"/>
      <w:bookmarkStart w:id="1030" w:name="_Toc378853279"/>
      <w:bookmarkStart w:id="1031" w:name="_Toc391024077"/>
      <w:bookmarkStart w:id="1032" w:name="_Toc410028820"/>
      <w:bookmarkStart w:id="1033" w:name="_Toc414531448"/>
      <w:bookmarkStart w:id="1034" w:name="_Toc443645361"/>
      <w:bookmarkStart w:id="1035" w:name="_Toc474914580"/>
      <w:bookmarkStart w:id="1036" w:name="_Toc481751544"/>
      <w:bookmarkStart w:id="1037" w:name="_Toc522010601"/>
      <w:bookmarkStart w:id="1038" w:name="_Toc5269506"/>
      <w:r w:rsidRPr="00256982">
        <w:t>Table 6.1.9</w:t>
      </w:r>
      <w:r w:rsidRPr="00256982">
        <w:tab/>
        <w:t>Recalculations to New Zealand’s net LULUCF emissions for 1990</w:t>
      </w:r>
      <w:r w:rsidR="00897010" w:rsidRPr="00256982">
        <w:t> </w:t>
      </w:r>
      <w:r w:rsidRPr="00256982">
        <w:t>and</w:t>
      </w:r>
      <w:bookmarkEnd w:id="1026"/>
      <w:bookmarkEnd w:id="1027"/>
      <w:bookmarkEnd w:id="1028"/>
      <w:bookmarkEnd w:id="1029"/>
      <w:r w:rsidR="00897010" w:rsidRPr="00256982">
        <w:t> </w:t>
      </w:r>
      <w:r w:rsidRPr="00256982">
        <w:t>201</w:t>
      </w:r>
      <w:bookmarkEnd w:id="1030"/>
      <w:bookmarkEnd w:id="1031"/>
      <w:bookmarkEnd w:id="1032"/>
      <w:bookmarkEnd w:id="1033"/>
      <w:r w:rsidRPr="00256982">
        <w:t xml:space="preserve">6 by </w:t>
      </w:r>
      <w:bookmarkEnd w:id="1034"/>
      <w:r w:rsidRPr="00256982">
        <w:t>category</w:t>
      </w:r>
      <w:bookmarkEnd w:id="1035"/>
      <w:bookmarkEnd w:id="1036"/>
      <w:bookmarkEnd w:id="1037"/>
      <w:bookmarkEnd w:id="1038"/>
    </w:p>
    <w:tbl>
      <w:tblPr>
        <w:tblW w:w="8562" w:type="dxa"/>
        <w:tblInd w:w="108" w:type="dxa"/>
        <w:tblBorders>
          <w:bottom w:val="single" w:sz="8" w:space="0" w:color="365F91"/>
          <w:insideH w:val="single" w:sz="8" w:space="0" w:color="365F91"/>
        </w:tblBorders>
        <w:tblLayout w:type="fixed"/>
        <w:tblCellMar>
          <w:left w:w="85" w:type="dxa"/>
          <w:right w:w="85" w:type="dxa"/>
        </w:tblCellMar>
        <w:tblLook w:val="04A0" w:firstRow="1" w:lastRow="0" w:firstColumn="1" w:lastColumn="0" w:noHBand="0" w:noVBand="1"/>
      </w:tblPr>
      <w:tblGrid>
        <w:gridCol w:w="1404"/>
        <w:gridCol w:w="1284"/>
        <w:gridCol w:w="1288"/>
        <w:gridCol w:w="1281"/>
        <w:gridCol w:w="1284"/>
        <w:gridCol w:w="971"/>
        <w:gridCol w:w="1050"/>
      </w:tblGrid>
      <w:tr w:rsidR="00380BE7" w:rsidRPr="00256982" w14:paraId="288A9159" w14:textId="77777777" w:rsidTr="00A10AC0">
        <w:tc>
          <w:tcPr>
            <w:tcW w:w="820" w:type="pct"/>
            <w:vMerge w:val="restart"/>
            <w:tcBorders>
              <w:top w:val="single" w:sz="4" w:space="0" w:color="365F91"/>
              <w:bottom w:val="nil"/>
            </w:tcBorders>
            <w:shd w:val="clear" w:color="auto" w:fill="365F91"/>
            <w:vAlign w:val="bottom"/>
          </w:tcPr>
          <w:p w14:paraId="24F3C05A" w14:textId="77777777" w:rsidR="00380BE7" w:rsidRPr="00256982" w:rsidRDefault="00380BE7" w:rsidP="009574E7">
            <w:pPr>
              <w:pStyle w:val="TableTextBold"/>
              <w:keepNext/>
              <w:spacing w:before="40" w:after="40"/>
              <w:rPr>
                <w:noProof w:val="0"/>
                <w:color w:val="FFFFFF"/>
              </w:rPr>
            </w:pPr>
            <w:r w:rsidRPr="00256982">
              <w:rPr>
                <w:noProof w:val="0"/>
                <w:color w:val="FFFFFF"/>
              </w:rPr>
              <w:t>Land use category</w:t>
            </w:r>
          </w:p>
        </w:tc>
        <w:tc>
          <w:tcPr>
            <w:tcW w:w="3000" w:type="pct"/>
            <w:gridSpan w:val="4"/>
            <w:tcBorders>
              <w:top w:val="single" w:sz="4" w:space="0" w:color="365F91"/>
              <w:bottom w:val="nil"/>
            </w:tcBorders>
            <w:shd w:val="clear" w:color="auto" w:fill="365F91"/>
            <w:noWrap/>
            <w:vAlign w:val="bottom"/>
          </w:tcPr>
          <w:p w14:paraId="3626F7E4" w14:textId="77777777" w:rsidR="00380BE7" w:rsidRPr="00256982" w:rsidRDefault="00380BE7" w:rsidP="009574E7">
            <w:pPr>
              <w:pStyle w:val="TableTextBold"/>
              <w:keepNext/>
              <w:spacing w:after="0"/>
              <w:jc w:val="center"/>
              <w:rPr>
                <w:noProof w:val="0"/>
                <w:color w:val="FFFFFF"/>
              </w:rPr>
            </w:pPr>
            <w:r w:rsidRPr="00256982">
              <w:rPr>
                <w:noProof w:val="0"/>
                <w:color w:val="FFFFFF"/>
              </w:rPr>
              <w:t>Net emissions (kt CO</w:t>
            </w:r>
            <w:r w:rsidRPr="00256982">
              <w:rPr>
                <w:noProof w:val="0"/>
                <w:color w:val="FFFFFF"/>
                <w:vertAlign w:val="subscript"/>
              </w:rPr>
              <w:t>2</w:t>
            </w:r>
            <w:r w:rsidRPr="00256982">
              <w:rPr>
                <w:noProof w:val="0"/>
                <w:color w:val="FFFFFF"/>
              </w:rPr>
              <w:t>-e)</w:t>
            </w:r>
          </w:p>
        </w:tc>
        <w:tc>
          <w:tcPr>
            <w:tcW w:w="567" w:type="pct"/>
            <w:vMerge w:val="restart"/>
            <w:tcBorders>
              <w:top w:val="single" w:sz="4" w:space="0" w:color="365F91"/>
              <w:bottom w:val="nil"/>
            </w:tcBorders>
            <w:shd w:val="clear" w:color="auto" w:fill="365F91"/>
            <w:vAlign w:val="bottom"/>
          </w:tcPr>
          <w:p w14:paraId="1000AC57" w14:textId="77777777" w:rsidR="00380BE7" w:rsidRPr="00256982" w:rsidRDefault="00380BE7" w:rsidP="009574E7">
            <w:pPr>
              <w:pStyle w:val="TableTextBold"/>
              <w:keepNext/>
              <w:spacing w:before="40" w:after="40"/>
              <w:jc w:val="right"/>
              <w:rPr>
                <w:noProof w:val="0"/>
                <w:color w:val="FFFFFF"/>
              </w:rPr>
            </w:pPr>
            <w:r w:rsidRPr="00256982">
              <w:rPr>
                <w:noProof w:val="0"/>
                <w:color w:val="FFFFFF"/>
              </w:rPr>
              <w:t>Change in 1990 estimate (%)</w:t>
            </w:r>
          </w:p>
        </w:tc>
        <w:tc>
          <w:tcPr>
            <w:tcW w:w="613" w:type="pct"/>
            <w:vMerge w:val="restart"/>
            <w:tcBorders>
              <w:top w:val="single" w:sz="4" w:space="0" w:color="365F91"/>
              <w:bottom w:val="nil"/>
            </w:tcBorders>
            <w:shd w:val="clear" w:color="auto" w:fill="365F91"/>
            <w:vAlign w:val="bottom"/>
          </w:tcPr>
          <w:p w14:paraId="04E0362A" w14:textId="77777777" w:rsidR="00380BE7" w:rsidRPr="00256982" w:rsidRDefault="00380BE7" w:rsidP="009574E7">
            <w:pPr>
              <w:pStyle w:val="TableTextBold"/>
              <w:keepNext/>
              <w:spacing w:before="40" w:after="40"/>
              <w:jc w:val="right"/>
              <w:rPr>
                <w:noProof w:val="0"/>
                <w:color w:val="FFFFFF"/>
              </w:rPr>
            </w:pPr>
            <w:r w:rsidRPr="00256982">
              <w:rPr>
                <w:noProof w:val="0"/>
                <w:color w:val="FFFFFF"/>
              </w:rPr>
              <w:t>Change in 2016 estimate (%)</w:t>
            </w:r>
          </w:p>
        </w:tc>
      </w:tr>
      <w:tr w:rsidR="00380BE7" w:rsidRPr="00256982" w14:paraId="2EFB9556" w14:textId="77777777" w:rsidTr="00A10AC0">
        <w:tc>
          <w:tcPr>
            <w:tcW w:w="820" w:type="pct"/>
            <w:vMerge/>
            <w:tcBorders>
              <w:top w:val="nil"/>
              <w:left w:val="nil"/>
              <w:bottom w:val="nil"/>
              <w:right w:val="nil"/>
              <w:tl2br w:val="nil"/>
              <w:tr2bl w:val="nil"/>
            </w:tcBorders>
            <w:shd w:val="clear" w:color="auto" w:fill="365F91"/>
            <w:noWrap/>
            <w:vAlign w:val="bottom"/>
          </w:tcPr>
          <w:p w14:paraId="66F6BDA0" w14:textId="77777777" w:rsidR="00380BE7" w:rsidRPr="00256982" w:rsidRDefault="00380BE7" w:rsidP="009574E7">
            <w:pPr>
              <w:pStyle w:val="TableTextBold"/>
              <w:keepNext/>
              <w:spacing w:before="40" w:after="40"/>
              <w:rPr>
                <w:rFonts w:eastAsia="Arial"/>
                <w:noProof w:val="0"/>
                <w:color w:val="FFFFFF"/>
              </w:rPr>
            </w:pPr>
          </w:p>
        </w:tc>
        <w:tc>
          <w:tcPr>
            <w:tcW w:w="750" w:type="pct"/>
            <w:tcBorders>
              <w:top w:val="nil"/>
              <w:left w:val="nil"/>
              <w:bottom w:val="single" w:sz="4" w:space="0" w:color="365F91"/>
              <w:right w:val="nil"/>
              <w:tl2br w:val="nil"/>
              <w:tr2bl w:val="nil"/>
            </w:tcBorders>
            <w:shd w:val="clear" w:color="auto" w:fill="365F91"/>
            <w:vAlign w:val="bottom"/>
          </w:tcPr>
          <w:p w14:paraId="22D5891B" w14:textId="77777777" w:rsidR="00380BE7" w:rsidRPr="00256982" w:rsidRDefault="00380BE7" w:rsidP="009574E7">
            <w:pPr>
              <w:pStyle w:val="TableTextBold"/>
              <w:keepNext/>
              <w:spacing w:before="40" w:after="40"/>
              <w:jc w:val="right"/>
              <w:rPr>
                <w:noProof w:val="0"/>
                <w:color w:val="FFFFFF"/>
              </w:rPr>
            </w:pPr>
            <w:r w:rsidRPr="00256982">
              <w:rPr>
                <w:noProof w:val="0"/>
                <w:color w:val="FFFFFF"/>
              </w:rPr>
              <w:t>2018 submission:</w:t>
            </w:r>
            <w:r w:rsidRPr="00256982">
              <w:rPr>
                <w:noProof w:val="0"/>
                <w:color w:val="FFFFFF"/>
              </w:rPr>
              <w:br/>
              <w:t>1990 estimate</w:t>
            </w:r>
          </w:p>
        </w:tc>
        <w:tc>
          <w:tcPr>
            <w:tcW w:w="752" w:type="pct"/>
            <w:tcBorders>
              <w:top w:val="nil"/>
              <w:left w:val="nil"/>
              <w:bottom w:val="single" w:sz="4" w:space="0" w:color="365F91"/>
              <w:right w:val="nil"/>
              <w:tl2br w:val="nil"/>
              <w:tr2bl w:val="nil"/>
            </w:tcBorders>
            <w:shd w:val="clear" w:color="auto" w:fill="365F91"/>
            <w:vAlign w:val="bottom"/>
          </w:tcPr>
          <w:p w14:paraId="74F98C73" w14:textId="77777777" w:rsidR="00380BE7" w:rsidRPr="00256982" w:rsidRDefault="00380BE7" w:rsidP="009574E7">
            <w:pPr>
              <w:pStyle w:val="TableTextBold"/>
              <w:keepNext/>
              <w:spacing w:before="40" w:after="40"/>
              <w:jc w:val="right"/>
              <w:rPr>
                <w:noProof w:val="0"/>
                <w:color w:val="FFFFFF"/>
              </w:rPr>
            </w:pPr>
            <w:r w:rsidRPr="00256982">
              <w:rPr>
                <w:noProof w:val="0"/>
                <w:color w:val="FFFFFF"/>
              </w:rPr>
              <w:t xml:space="preserve">2019 submission: </w:t>
            </w:r>
            <w:r w:rsidRPr="00256982">
              <w:rPr>
                <w:noProof w:val="0"/>
                <w:color w:val="FFFFFF"/>
              </w:rPr>
              <w:br/>
              <w:t>1990 estimate</w:t>
            </w:r>
          </w:p>
        </w:tc>
        <w:tc>
          <w:tcPr>
            <w:tcW w:w="748" w:type="pct"/>
            <w:tcBorders>
              <w:top w:val="nil"/>
              <w:left w:val="nil"/>
              <w:bottom w:val="single" w:sz="4" w:space="0" w:color="365F91"/>
              <w:right w:val="nil"/>
              <w:tl2br w:val="nil"/>
              <w:tr2bl w:val="nil"/>
            </w:tcBorders>
            <w:shd w:val="clear" w:color="auto" w:fill="365F91"/>
            <w:vAlign w:val="bottom"/>
          </w:tcPr>
          <w:p w14:paraId="248E0819" w14:textId="77777777" w:rsidR="00380BE7" w:rsidRPr="00256982" w:rsidRDefault="00380BE7" w:rsidP="009574E7">
            <w:pPr>
              <w:pStyle w:val="TableTextBold"/>
              <w:keepNext/>
              <w:spacing w:before="40" w:after="40"/>
              <w:jc w:val="right"/>
              <w:rPr>
                <w:noProof w:val="0"/>
                <w:color w:val="FFFFFF"/>
              </w:rPr>
            </w:pPr>
            <w:r w:rsidRPr="00256982">
              <w:rPr>
                <w:noProof w:val="0"/>
                <w:color w:val="FFFFFF"/>
              </w:rPr>
              <w:t>2018 submission:</w:t>
            </w:r>
            <w:r w:rsidRPr="00256982">
              <w:rPr>
                <w:noProof w:val="0"/>
                <w:color w:val="FFFFFF"/>
              </w:rPr>
              <w:br/>
              <w:t>2016 estimate</w:t>
            </w:r>
          </w:p>
        </w:tc>
        <w:tc>
          <w:tcPr>
            <w:tcW w:w="750" w:type="pct"/>
            <w:tcBorders>
              <w:top w:val="nil"/>
              <w:left w:val="nil"/>
              <w:bottom w:val="single" w:sz="4" w:space="0" w:color="365F91"/>
              <w:right w:val="nil"/>
              <w:tl2br w:val="nil"/>
              <w:tr2bl w:val="nil"/>
            </w:tcBorders>
            <w:shd w:val="clear" w:color="auto" w:fill="365F91"/>
            <w:vAlign w:val="bottom"/>
          </w:tcPr>
          <w:p w14:paraId="77D96558" w14:textId="77777777" w:rsidR="00380BE7" w:rsidRPr="00256982" w:rsidRDefault="00380BE7" w:rsidP="009574E7">
            <w:pPr>
              <w:pStyle w:val="TableTextBold"/>
              <w:keepNext/>
              <w:spacing w:before="40" w:after="40"/>
              <w:jc w:val="right"/>
              <w:rPr>
                <w:noProof w:val="0"/>
                <w:color w:val="FFFFFF"/>
              </w:rPr>
            </w:pPr>
            <w:r w:rsidRPr="00256982">
              <w:rPr>
                <w:noProof w:val="0"/>
                <w:color w:val="FFFFFF"/>
              </w:rPr>
              <w:t xml:space="preserve">2019 submission: </w:t>
            </w:r>
            <w:r w:rsidRPr="00256982">
              <w:rPr>
                <w:noProof w:val="0"/>
                <w:color w:val="FFFFFF"/>
              </w:rPr>
              <w:br/>
              <w:t>2016 estimate</w:t>
            </w:r>
          </w:p>
        </w:tc>
        <w:tc>
          <w:tcPr>
            <w:tcW w:w="567" w:type="pct"/>
            <w:vMerge/>
            <w:tcBorders>
              <w:top w:val="nil"/>
              <w:left w:val="nil"/>
              <w:bottom w:val="nil"/>
              <w:right w:val="nil"/>
              <w:tl2br w:val="nil"/>
              <w:tr2bl w:val="nil"/>
            </w:tcBorders>
            <w:shd w:val="clear" w:color="auto" w:fill="365F91"/>
            <w:noWrap/>
            <w:vAlign w:val="bottom"/>
          </w:tcPr>
          <w:p w14:paraId="6A11DEFF" w14:textId="77777777" w:rsidR="00380BE7" w:rsidRPr="00256982" w:rsidRDefault="00380BE7" w:rsidP="009574E7">
            <w:pPr>
              <w:pStyle w:val="TableTextBold"/>
              <w:keepNext/>
              <w:spacing w:before="40" w:after="40"/>
              <w:jc w:val="right"/>
              <w:rPr>
                <w:rFonts w:eastAsia="Arial"/>
                <w:noProof w:val="0"/>
                <w:color w:val="FFFFFF"/>
              </w:rPr>
            </w:pPr>
          </w:p>
        </w:tc>
        <w:tc>
          <w:tcPr>
            <w:tcW w:w="613" w:type="pct"/>
            <w:vMerge/>
            <w:tcBorders>
              <w:top w:val="nil"/>
              <w:left w:val="nil"/>
              <w:bottom w:val="nil"/>
              <w:right w:val="nil"/>
              <w:tl2br w:val="nil"/>
              <w:tr2bl w:val="nil"/>
            </w:tcBorders>
            <w:shd w:val="clear" w:color="auto" w:fill="365F91"/>
            <w:noWrap/>
            <w:vAlign w:val="bottom"/>
          </w:tcPr>
          <w:p w14:paraId="4AA4CA8E" w14:textId="77777777" w:rsidR="00380BE7" w:rsidRPr="00256982" w:rsidRDefault="00380BE7" w:rsidP="009574E7">
            <w:pPr>
              <w:pStyle w:val="TableTextBold"/>
              <w:keepNext/>
              <w:spacing w:before="40" w:after="40"/>
              <w:jc w:val="right"/>
              <w:rPr>
                <w:rFonts w:eastAsia="Arial"/>
                <w:noProof w:val="0"/>
                <w:color w:val="FFFFFF"/>
              </w:rPr>
            </w:pPr>
          </w:p>
        </w:tc>
      </w:tr>
      <w:tr w:rsidR="00380BE7" w:rsidRPr="00256982" w14:paraId="53BBEDA8" w14:textId="77777777" w:rsidTr="00A10AC0">
        <w:tc>
          <w:tcPr>
            <w:tcW w:w="820" w:type="pct"/>
            <w:tcBorders>
              <w:top w:val="single" w:sz="8" w:space="0" w:color="365F91"/>
              <w:left w:val="nil"/>
              <w:bottom w:val="single" w:sz="4" w:space="0" w:color="2E74B5"/>
              <w:right w:val="nil"/>
            </w:tcBorders>
            <w:shd w:val="clear" w:color="auto" w:fill="auto"/>
          </w:tcPr>
          <w:p w14:paraId="049CBF5D" w14:textId="77777777" w:rsidR="00380BE7" w:rsidRPr="00256982" w:rsidRDefault="00380BE7" w:rsidP="00A10AC0">
            <w:pPr>
              <w:pStyle w:val="TableText"/>
              <w:keepNext/>
              <w:spacing w:before="50" w:after="50"/>
              <w:rPr>
                <w:rFonts w:eastAsia="Arial"/>
                <w:szCs w:val="22"/>
              </w:rPr>
            </w:pPr>
            <w:r w:rsidRPr="00256982">
              <w:rPr>
                <w:rFonts w:eastAsia="Arial"/>
                <w:szCs w:val="22"/>
              </w:rPr>
              <w:t>Forest land</w:t>
            </w:r>
          </w:p>
        </w:tc>
        <w:tc>
          <w:tcPr>
            <w:tcW w:w="750" w:type="pct"/>
            <w:tcBorders>
              <w:top w:val="single" w:sz="4" w:space="0" w:color="365F91"/>
              <w:left w:val="nil"/>
              <w:bottom w:val="single" w:sz="4" w:space="0" w:color="2E74B5"/>
              <w:right w:val="nil"/>
            </w:tcBorders>
            <w:shd w:val="clear" w:color="auto" w:fill="auto"/>
          </w:tcPr>
          <w:p w14:paraId="0C661254" w14:textId="77777777" w:rsidR="00380BE7" w:rsidRPr="00256982" w:rsidRDefault="00380BE7" w:rsidP="00A10AC0">
            <w:pPr>
              <w:keepNext/>
              <w:spacing w:before="50" w:after="50"/>
              <w:jc w:val="right"/>
              <w:rPr>
                <w:rFonts w:ascii="Arial" w:eastAsia="Arial" w:hAnsi="Arial" w:cs="Arial"/>
                <w:color w:val="000000"/>
                <w:sz w:val="16"/>
                <w:szCs w:val="16"/>
              </w:rPr>
            </w:pPr>
            <w:r w:rsidRPr="00256982">
              <w:rPr>
                <w:rFonts w:ascii="Arial" w:hAnsi="Arial" w:cs="Arial"/>
                <w:color w:val="000000"/>
                <w:sz w:val="16"/>
                <w:szCs w:val="16"/>
              </w:rPr>
              <w:t>–</w:t>
            </w:r>
            <w:r w:rsidRPr="00256982">
              <w:rPr>
                <w:rFonts w:ascii="Arial" w:hAnsi="Arial" w:cs="Arial"/>
                <w:sz w:val="16"/>
                <w:szCs w:val="16"/>
              </w:rPr>
              <w:t>28,909.3</w:t>
            </w:r>
          </w:p>
        </w:tc>
        <w:tc>
          <w:tcPr>
            <w:tcW w:w="752" w:type="pct"/>
            <w:tcBorders>
              <w:top w:val="single" w:sz="4" w:space="0" w:color="365F91"/>
              <w:left w:val="nil"/>
              <w:bottom w:val="single" w:sz="4" w:space="0" w:color="2E74B5"/>
              <w:right w:val="nil"/>
            </w:tcBorders>
            <w:shd w:val="clear" w:color="auto" w:fill="auto"/>
          </w:tcPr>
          <w:p w14:paraId="42D9D531" w14:textId="77777777" w:rsidR="00380BE7" w:rsidRPr="00256982" w:rsidRDefault="00380BE7" w:rsidP="00A10AC0">
            <w:pPr>
              <w:keepNext/>
              <w:spacing w:before="50" w:after="50"/>
              <w:jc w:val="right"/>
              <w:rPr>
                <w:rFonts w:ascii="Arial" w:eastAsia="Arial" w:hAnsi="Arial" w:cs="Arial"/>
                <w:color w:val="000000"/>
                <w:sz w:val="16"/>
                <w:szCs w:val="16"/>
              </w:rPr>
            </w:pPr>
            <w:r w:rsidRPr="00256982">
              <w:rPr>
                <w:rFonts w:ascii="Arial" w:hAnsi="Arial" w:cs="Arial"/>
                <w:color w:val="000000"/>
                <w:sz w:val="16"/>
                <w:szCs w:val="16"/>
              </w:rPr>
              <w:t>–</w:t>
            </w:r>
            <w:r w:rsidRPr="00256982">
              <w:rPr>
                <w:rFonts w:ascii="Arial" w:hAnsi="Arial" w:cs="Arial"/>
                <w:sz w:val="16"/>
                <w:szCs w:val="16"/>
              </w:rPr>
              <w:t>29,891.0</w:t>
            </w:r>
          </w:p>
        </w:tc>
        <w:tc>
          <w:tcPr>
            <w:tcW w:w="748" w:type="pct"/>
            <w:tcBorders>
              <w:top w:val="single" w:sz="4" w:space="0" w:color="365F91"/>
              <w:left w:val="nil"/>
              <w:bottom w:val="single" w:sz="4" w:space="0" w:color="2E74B5"/>
              <w:right w:val="nil"/>
            </w:tcBorders>
            <w:shd w:val="clear" w:color="auto" w:fill="auto"/>
          </w:tcPr>
          <w:p w14:paraId="39D486E0" w14:textId="77777777" w:rsidR="00380BE7" w:rsidRPr="00256982" w:rsidRDefault="00380BE7" w:rsidP="00A10AC0">
            <w:pPr>
              <w:keepNext/>
              <w:spacing w:before="50" w:after="50"/>
              <w:jc w:val="right"/>
              <w:rPr>
                <w:rFonts w:ascii="Arial" w:eastAsia="Arial" w:hAnsi="Arial" w:cs="Arial"/>
                <w:color w:val="000000"/>
                <w:sz w:val="16"/>
                <w:szCs w:val="16"/>
              </w:rPr>
            </w:pPr>
            <w:r w:rsidRPr="00256982">
              <w:rPr>
                <w:rFonts w:ascii="Arial" w:hAnsi="Arial" w:cs="Arial"/>
                <w:color w:val="000000"/>
                <w:sz w:val="16"/>
                <w:szCs w:val="16"/>
              </w:rPr>
              <w:t>–</w:t>
            </w:r>
            <w:r w:rsidRPr="00256982">
              <w:rPr>
                <w:rFonts w:ascii="Arial" w:hAnsi="Arial" w:cs="Arial"/>
                <w:sz w:val="16"/>
                <w:szCs w:val="16"/>
              </w:rPr>
              <w:t>21,845.9</w:t>
            </w:r>
          </w:p>
        </w:tc>
        <w:tc>
          <w:tcPr>
            <w:tcW w:w="750" w:type="pct"/>
            <w:tcBorders>
              <w:top w:val="single" w:sz="4" w:space="0" w:color="365F91"/>
              <w:left w:val="nil"/>
              <w:bottom w:val="single" w:sz="4" w:space="0" w:color="2E74B5"/>
              <w:right w:val="nil"/>
            </w:tcBorders>
            <w:shd w:val="clear" w:color="auto" w:fill="auto"/>
          </w:tcPr>
          <w:p w14:paraId="2947238E" w14:textId="77777777" w:rsidR="00380BE7" w:rsidRPr="00256982" w:rsidRDefault="00380BE7" w:rsidP="00A10AC0">
            <w:pPr>
              <w:keepNext/>
              <w:spacing w:before="50" w:after="50"/>
              <w:jc w:val="right"/>
              <w:rPr>
                <w:rFonts w:ascii="Arial" w:eastAsia="Arial" w:hAnsi="Arial" w:cs="Arial"/>
                <w:color w:val="000000"/>
                <w:sz w:val="16"/>
                <w:szCs w:val="16"/>
              </w:rPr>
            </w:pPr>
            <w:r w:rsidRPr="00256982">
              <w:rPr>
                <w:rFonts w:ascii="Arial" w:hAnsi="Arial" w:cs="Arial"/>
                <w:color w:val="000000"/>
                <w:sz w:val="16"/>
                <w:szCs w:val="16"/>
              </w:rPr>
              <w:t>–</w:t>
            </w:r>
            <w:r w:rsidRPr="00256982">
              <w:rPr>
                <w:rFonts w:ascii="Arial" w:hAnsi="Arial" w:cs="Arial"/>
                <w:sz w:val="16"/>
                <w:szCs w:val="16"/>
              </w:rPr>
              <w:t>22,859.1</w:t>
            </w:r>
          </w:p>
        </w:tc>
        <w:tc>
          <w:tcPr>
            <w:tcW w:w="567" w:type="pct"/>
            <w:tcBorders>
              <w:top w:val="single" w:sz="8" w:space="0" w:color="365F91"/>
              <w:left w:val="nil"/>
              <w:bottom w:val="single" w:sz="4" w:space="0" w:color="2E74B5"/>
              <w:right w:val="nil"/>
            </w:tcBorders>
            <w:shd w:val="clear" w:color="auto" w:fill="auto"/>
          </w:tcPr>
          <w:p w14:paraId="292BD2CF" w14:textId="77777777" w:rsidR="00380BE7" w:rsidRPr="00256982" w:rsidRDefault="00380BE7" w:rsidP="00A10AC0">
            <w:pPr>
              <w:keepNext/>
              <w:spacing w:before="50" w:after="50"/>
              <w:jc w:val="right"/>
              <w:rPr>
                <w:rFonts w:ascii="Arial" w:eastAsia="Arial" w:hAnsi="Arial" w:cs="Arial"/>
                <w:color w:val="000000"/>
                <w:sz w:val="16"/>
                <w:szCs w:val="16"/>
              </w:rPr>
            </w:pPr>
            <w:r w:rsidRPr="00256982">
              <w:rPr>
                <w:rFonts w:ascii="Arial" w:hAnsi="Arial" w:cs="Arial"/>
                <w:color w:val="000000"/>
                <w:sz w:val="16"/>
                <w:szCs w:val="16"/>
              </w:rPr>
              <w:t>–</w:t>
            </w:r>
            <w:r w:rsidRPr="00256982">
              <w:rPr>
                <w:rFonts w:ascii="Arial" w:hAnsi="Arial" w:cs="Arial"/>
                <w:sz w:val="16"/>
                <w:szCs w:val="16"/>
              </w:rPr>
              <w:t>3.4</w:t>
            </w:r>
          </w:p>
        </w:tc>
        <w:tc>
          <w:tcPr>
            <w:tcW w:w="613" w:type="pct"/>
            <w:tcBorders>
              <w:top w:val="single" w:sz="8" w:space="0" w:color="365F91"/>
              <w:left w:val="nil"/>
              <w:bottom w:val="single" w:sz="4" w:space="0" w:color="2E74B5"/>
              <w:right w:val="nil"/>
            </w:tcBorders>
            <w:shd w:val="clear" w:color="auto" w:fill="auto"/>
          </w:tcPr>
          <w:p w14:paraId="114308F9" w14:textId="77777777" w:rsidR="00380BE7" w:rsidRPr="00256982" w:rsidRDefault="00380BE7" w:rsidP="00A10AC0">
            <w:pPr>
              <w:keepNext/>
              <w:spacing w:before="50" w:after="50"/>
              <w:jc w:val="right"/>
              <w:rPr>
                <w:rFonts w:ascii="Arial" w:eastAsia="Arial" w:hAnsi="Arial" w:cs="Arial"/>
                <w:color w:val="000000"/>
                <w:sz w:val="16"/>
                <w:szCs w:val="16"/>
              </w:rPr>
            </w:pPr>
            <w:r w:rsidRPr="00256982">
              <w:rPr>
                <w:rFonts w:ascii="Arial" w:hAnsi="Arial" w:cs="Arial"/>
                <w:color w:val="000000"/>
                <w:sz w:val="16"/>
                <w:szCs w:val="16"/>
              </w:rPr>
              <w:t>–</w:t>
            </w:r>
            <w:r w:rsidRPr="00256982">
              <w:rPr>
                <w:rFonts w:ascii="Arial" w:hAnsi="Arial" w:cs="Arial"/>
                <w:sz w:val="16"/>
                <w:szCs w:val="16"/>
              </w:rPr>
              <w:t>4.6</w:t>
            </w:r>
          </w:p>
        </w:tc>
      </w:tr>
      <w:tr w:rsidR="00380BE7" w:rsidRPr="00256982" w14:paraId="545F2A52" w14:textId="77777777" w:rsidTr="00A10AC0">
        <w:tc>
          <w:tcPr>
            <w:tcW w:w="820" w:type="pct"/>
            <w:tcBorders>
              <w:top w:val="single" w:sz="4" w:space="0" w:color="2E74B5"/>
              <w:left w:val="nil"/>
              <w:bottom w:val="single" w:sz="4" w:space="0" w:color="2E74B5"/>
              <w:right w:val="nil"/>
              <w:tl2br w:val="nil"/>
              <w:tr2bl w:val="nil"/>
            </w:tcBorders>
            <w:shd w:val="clear" w:color="auto" w:fill="auto"/>
          </w:tcPr>
          <w:p w14:paraId="6B991E85" w14:textId="77777777" w:rsidR="00380BE7" w:rsidRPr="00256982" w:rsidRDefault="00380BE7" w:rsidP="00A10AC0">
            <w:pPr>
              <w:pStyle w:val="TableText"/>
              <w:keepNext/>
              <w:spacing w:before="50" w:after="50"/>
              <w:rPr>
                <w:rFonts w:eastAsia="Arial"/>
                <w:szCs w:val="22"/>
              </w:rPr>
            </w:pPr>
            <w:r w:rsidRPr="00256982">
              <w:rPr>
                <w:rFonts w:eastAsia="Arial"/>
                <w:szCs w:val="22"/>
              </w:rPr>
              <w:t>Cropland</w:t>
            </w:r>
          </w:p>
        </w:tc>
        <w:tc>
          <w:tcPr>
            <w:tcW w:w="750" w:type="pct"/>
            <w:tcBorders>
              <w:top w:val="single" w:sz="4" w:space="0" w:color="2E74B5"/>
              <w:left w:val="nil"/>
              <w:bottom w:val="single" w:sz="4" w:space="0" w:color="2E74B5"/>
              <w:right w:val="nil"/>
              <w:tl2br w:val="nil"/>
              <w:tr2bl w:val="nil"/>
            </w:tcBorders>
            <w:shd w:val="clear" w:color="auto" w:fill="auto"/>
          </w:tcPr>
          <w:p w14:paraId="6C34C202" w14:textId="77777777" w:rsidR="00380BE7" w:rsidRPr="00256982" w:rsidRDefault="00380BE7" w:rsidP="00A10AC0">
            <w:pPr>
              <w:keepNext/>
              <w:spacing w:before="50" w:after="50"/>
              <w:jc w:val="right"/>
              <w:rPr>
                <w:rFonts w:ascii="Arial" w:eastAsia="Arial" w:hAnsi="Arial" w:cs="Arial"/>
                <w:color w:val="000000"/>
                <w:sz w:val="16"/>
                <w:szCs w:val="16"/>
              </w:rPr>
            </w:pPr>
            <w:r w:rsidRPr="00256982">
              <w:rPr>
                <w:rFonts w:ascii="Arial" w:hAnsi="Arial" w:cs="Arial"/>
                <w:sz w:val="16"/>
                <w:szCs w:val="16"/>
              </w:rPr>
              <w:t>476.8</w:t>
            </w:r>
          </w:p>
        </w:tc>
        <w:tc>
          <w:tcPr>
            <w:tcW w:w="752" w:type="pct"/>
            <w:tcBorders>
              <w:top w:val="single" w:sz="4" w:space="0" w:color="2E74B5"/>
              <w:left w:val="nil"/>
              <w:bottom w:val="single" w:sz="4" w:space="0" w:color="2E74B5"/>
              <w:right w:val="nil"/>
              <w:tl2br w:val="nil"/>
              <w:tr2bl w:val="nil"/>
            </w:tcBorders>
            <w:shd w:val="clear" w:color="auto" w:fill="auto"/>
          </w:tcPr>
          <w:p w14:paraId="3F03C3EF" w14:textId="77777777" w:rsidR="00380BE7" w:rsidRPr="00256982" w:rsidRDefault="00380BE7" w:rsidP="00A10AC0">
            <w:pPr>
              <w:keepNext/>
              <w:spacing w:before="50" w:after="50"/>
              <w:jc w:val="right"/>
              <w:rPr>
                <w:rFonts w:ascii="Arial" w:eastAsia="Arial" w:hAnsi="Arial" w:cs="Arial"/>
                <w:color w:val="000000"/>
                <w:sz w:val="16"/>
                <w:szCs w:val="16"/>
              </w:rPr>
            </w:pPr>
            <w:r w:rsidRPr="00256982">
              <w:rPr>
                <w:rFonts w:ascii="Arial" w:hAnsi="Arial" w:cs="Arial"/>
                <w:sz w:val="16"/>
                <w:szCs w:val="16"/>
              </w:rPr>
              <w:t>476.9</w:t>
            </w:r>
          </w:p>
        </w:tc>
        <w:tc>
          <w:tcPr>
            <w:tcW w:w="748" w:type="pct"/>
            <w:tcBorders>
              <w:top w:val="single" w:sz="4" w:space="0" w:color="2E74B5"/>
              <w:left w:val="nil"/>
              <w:bottom w:val="single" w:sz="4" w:space="0" w:color="2E74B5"/>
              <w:right w:val="nil"/>
              <w:tl2br w:val="nil"/>
              <w:tr2bl w:val="nil"/>
            </w:tcBorders>
            <w:shd w:val="clear" w:color="auto" w:fill="auto"/>
          </w:tcPr>
          <w:p w14:paraId="0E806F62" w14:textId="77777777" w:rsidR="00380BE7" w:rsidRPr="00256982" w:rsidRDefault="00380BE7" w:rsidP="00A10AC0">
            <w:pPr>
              <w:keepNext/>
              <w:spacing w:before="50" w:after="50"/>
              <w:jc w:val="right"/>
              <w:rPr>
                <w:rFonts w:ascii="Arial" w:eastAsia="Arial" w:hAnsi="Arial" w:cs="Arial"/>
                <w:color w:val="000000"/>
                <w:sz w:val="16"/>
                <w:szCs w:val="16"/>
              </w:rPr>
            </w:pPr>
            <w:r w:rsidRPr="00256982">
              <w:rPr>
                <w:rFonts w:ascii="Arial" w:hAnsi="Arial" w:cs="Arial"/>
                <w:sz w:val="16"/>
                <w:szCs w:val="16"/>
              </w:rPr>
              <w:t>418.9</w:t>
            </w:r>
          </w:p>
        </w:tc>
        <w:tc>
          <w:tcPr>
            <w:tcW w:w="750" w:type="pct"/>
            <w:tcBorders>
              <w:top w:val="single" w:sz="4" w:space="0" w:color="2E74B5"/>
              <w:left w:val="nil"/>
              <w:bottom w:val="single" w:sz="4" w:space="0" w:color="2E74B5"/>
              <w:right w:val="nil"/>
              <w:tl2br w:val="nil"/>
              <w:tr2bl w:val="nil"/>
            </w:tcBorders>
            <w:shd w:val="clear" w:color="auto" w:fill="auto"/>
          </w:tcPr>
          <w:p w14:paraId="703DC7FC" w14:textId="77777777" w:rsidR="00380BE7" w:rsidRPr="00256982" w:rsidRDefault="00380BE7" w:rsidP="00A10AC0">
            <w:pPr>
              <w:keepNext/>
              <w:spacing w:before="50" w:after="50"/>
              <w:jc w:val="right"/>
              <w:rPr>
                <w:rFonts w:ascii="Arial" w:eastAsia="Arial" w:hAnsi="Arial" w:cs="Arial"/>
                <w:color w:val="000000"/>
                <w:sz w:val="16"/>
                <w:szCs w:val="16"/>
              </w:rPr>
            </w:pPr>
            <w:r w:rsidRPr="00256982">
              <w:rPr>
                <w:rFonts w:ascii="Arial" w:hAnsi="Arial" w:cs="Arial"/>
                <w:sz w:val="16"/>
                <w:szCs w:val="16"/>
              </w:rPr>
              <w:t>415.5</w:t>
            </w:r>
          </w:p>
        </w:tc>
        <w:tc>
          <w:tcPr>
            <w:tcW w:w="567" w:type="pct"/>
            <w:tcBorders>
              <w:top w:val="single" w:sz="4" w:space="0" w:color="2E74B5"/>
              <w:left w:val="nil"/>
              <w:bottom w:val="single" w:sz="4" w:space="0" w:color="2E74B5"/>
              <w:right w:val="nil"/>
              <w:tl2br w:val="nil"/>
              <w:tr2bl w:val="nil"/>
            </w:tcBorders>
            <w:shd w:val="clear" w:color="auto" w:fill="auto"/>
          </w:tcPr>
          <w:p w14:paraId="0D2DF008" w14:textId="77777777" w:rsidR="00380BE7" w:rsidRPr="00256982" w:rsidRDefault="00380BE7" w:rsidP="00A10AC0">
            <w:pPr>
              <w:keepNext/>
              <w:spacing w:before="50" w:after="50"/>
              <w:jc w:val="right"/>
              <w:rPr>
                <w:rFonts w:ascii="Arial" w:eastAsia="Arial" w:hAnsi="Arial" w:cs="Arial"/>
                <w:color w:val="000000"/>
                <w:sz w:val="16"/>
                <w:szCs w:val="16"/>
              </w:rPr>
            </w:pPr>
            <w:r w:rsidRPr="00256982">
              <w:rPr>
                <w:rFonts w:ascii="Arial" w:hAnsi="Arial" w:cs="Arial"/>
                <w:sz w:val="16"/>
                <w:szCs w:val="16"/>
              </w:rPr>
              <w:t>+0.02</w:t>
            </w:r>
          </w:p>
        </w:tc>
        <w:tc>
          <w:tcPr>
            <w:tcW w:w="613" w:type="pct"/>
            <w:tcBorders>
              <w:top w:val="single" w:sz="4" w:space="0" w:color="2E74B5"/>
              <w:left w:val="nil"/>
              <w:bottom w:val="single" w:sz="4" w:space="0" w:color="2E74B5"/>
              <w:right w:val="nil"/>
              <w:tl2br w:val="nil"/>
              <w:tr2bl w:val="nil"/>
            </w:tcBorders>
            <w:shd w:val="clear" w:color="auto" w:fill="auto"/>
          </w:tcPr>
          <w:p w14:paraId="365E2285" w14:textId="77777777" w:rsidR="00380BE7" w:rsidRPr="00256982" w:rsidRDefault="00380BE7" w:rsidP="00A10AC0">
            <w:pPr>
              <w:keepNext/>
              <w:spacing w:before="50" w:after="50"/>
              <w:jc w:val="right"/>
              <w:rPr>
                <w:rFonts w:ascii="Arial" w:eastAsia="Arial" w:hAnsi="Arial" w:cs="Arial"/>
                <w:color w:val="000000"/>
                <w:sz w:val="16"/>
                <w:szCs w:val="16"/>
              </w:rPr>
            </w:pPr>
            <w:r w:rsidRPr="00256982">
              <w:rPr>
                <w:rFonts w:ascii="Arial" w:hAnsi="Arial" w:cs="Arial"/>
                <w:color w:val="000000"/>
                <w:sz w:val="16"/>
                <w:szCs w:val="16"/>
              </w:rPr>
              <w:t>–</w:t>
            </w:r>
            <w:r w:rsidRPr="00256982">
              <w:rPr>
                <w:rFonts w:ascii="Arial" w:hAnsi="Arial" w:cs="Arial"/>
                <w:sz w:val="16"/>
                <w:szCs w:val="16"/>
              </w:rPr>
              <w:t>0.8</w:t>
            </w:r>
          </w:p>
        </w:tc>
      </w:tr>
      <w:tr w:rsidR="00380BE7" w:rsidRPr="00256982" w14:paraId="5A26D78B" w14:textId="77777777" w:rsidTr="00A10AC0">
        <w:tc>
          <w:tcPr>
            <w:tcW w:w="820" w:type="pct"/>
            <w:tcBorders>
              <w:top w:val="single" w:sz="4" w:space="0" w:color="2E74B5"/>
              <w:left w:val="nil"/>
              <w:bottom w:val="single" w:sz="4" w:space="0" w:color="2E74B5"/>
              <w:right w:val="nil"/>
            </w:tcBorders>
            <w:shd w:val="clear" w:color="auto" w:fill="auto"/>
          </w:tcPr>
          <w:p w14:paraId="61E77C1B" w14:textId="77777777" w:rsidR="00380BE7" w:rsidRPr="00256982" w:rsidRDefault="00380BE7" w:rsidP="00A10AC0">
            <w:pPr>
              <w:pStyle w:val="TableText"/>
              <w:spacing w:before="50" w:after="50"/>
              <w:rPr>
                <w:rFonts w:eastAsia="Arial"/>
                <w:szCs w:val="22"/>
              </w:rPr>
            </w:pPr>
            <w:r w:rsidRPr="00256982">
              <w:rPr>
                <w:rFonts w:eastAsia="Arial"/>
                <w:szCs w:val="22"/>
              </w:rPr>
              <w:t>Grassland</w:t>
            </w:r>
          </w:p>
        </w:tc>
        <w:tc>
          <w:tcPr>
            <w:tcW w:w="750" w:type="pct"/>
            <w:tcBorders>
              <w:top w:val="single" w:sz="4" w:space="0" w:color="2E74B5"/>
              <w:left w:val="nil"/>
              <w:bottom w:val="single" w:sz="4" w:space="0" w:color="2E74B5"/>
              <w:right w:val="nil"/>
            </w:tcBorders>
            <w:shd w:val="clear" w:color="auto" w:fill="auto"/>
          </w:tcPr>
          <w:p w14:paraId="0890FC5E" w14:textId="77777777" w:rsidR="00380BE7" w:rsidRPr="00256982" w:rsidRDefault="00380BE7" w:rsidP="00A10AC0">
            <w:pPr>
              <w:spacing w:before="50" w:after="50"/>
              <w:jc w:val="right"/>
              <w:rPr>
                <w:rFonts w:ascii="Arial" w:eastAsia="Arial" w:hAnsi="Arial" w:cs="Arial"/>
                <w:color w:val="000000"/>
                <w:sz w:val="16"/>
                <w:szCs w:val="16"/>
              </w:rPr>
            </w:pPr>
            <w:r w:rsidRPr="00256982">
              <w:rPr>
                <w:rFonts w:ascii="Arial" w:hAnsi="Arial" w:cs="Arial"/>
                <w:sz w:val="16"/>
                <w:szCs w:val="16"/>
              </w:rPr>
              <w:t>896.7</w:t>
            </w:r>
          </w:p>
        </w:tc>
        <w:tc>
          <w:tcPr>
            <w:tcW w:w="752" w:type="pct"/>
            <w:tcBorders>
              <w:top w:val="single" w:sz="4" w:space="0" w:color="2E74B5"/>
              <w:left w:val="nil"/>
              <w:bottom w:val="single" w:sz="4" w:space="0" w:color="2E74B5"/>
              <w:right w:val="nil"/>
            </w:tcBorders>
            <w:shd w:val="clear" w:color="auto" w:fill="auto"/>
          </w:tcPr>
          <w:p w14:paraId="3D2E4C7C" w14:textId="77777777" w:rsidR="00380BE7" w:rsidRPr="00256982" w:rsidRDefault="00380BE7" w:rsidP="00A10AC0">
            <w:pPr>
              <w:spacing w:before="50" w:after="50"/>
              <w:jc w:val="right"/>
              <w:rPr>
                <w:rFonts w:ascii="Arial" w:eastAsia="Arial" w:hAnsi="Arial" w:cs="Arial"/>
                <w:color w:val="000000"/>
                <w:sz w:val="16"/>
                <w:szCs w:val="16"/>
              </w:rPr>
            </w:pPr>
            <w:r w:rsidRPr="00256982">
              <w:rPr>
                <w:rFonts w:ascii="Arial" w:hAnsi="Arial" w:cs="Arial"/>
                <w:sz w:val="16"/>
                <w:szCs w:val="16"/>
              </w:rPr>
              <w:t>249.0</w:t>
            </w:r>
          </w:p>
        </w:tc>
        <w:tc>
          <w:tcPr>
            <w:tcW w:w="748" w:type="pct"/>
            <w:tcBorders>
              <w:top w:val="single" w:sz="4" w:space="0" w:color="2E74B5"/>
              <w:left w:val="nil"/>
              <w:bottom w:val="single" w:sz="4" w:space="0" w:color="2E74B5"/>
              <w:right w:val="nil"/>
            </w:tcBorders>
            <w:shd w:val="clear" w:color="auto" w:fill="auto"/>
          </w:tcPr>
          <w:p w14:paraId="3438FC93" w14:textId="77777777" w:rsidR="00380BE7" w:rsidRPr="00256982" w:rsidRDefault="00380BE7" w:rsidP="00A10AC0">
            <w:pPr>
              <w:spacing w:before="50" w:after="50"/>
              <w:jc w:val="right"/>
              <w:rPr>
                <w:rFonts w:ascii="Arial" w:eastAsia="Arial" w:hAnsi="Arial" w:cs="Arial"/>
                <w:color w:val="000000"/>
                <w:sz w:val="16"/>
                <w:szCs w:val="16"/>
              </w:rPr>
            </w:pPr>
            <w:r w:rsidRPr="00256982">
              <w:rPr>
                <w:rFonts w:ascii="Arial" w:hAnsi="Arial" w:cs="Arial"/>
                <w:sz w:val="16"/>
                <w:szCs w:val="16"/>
              </w:rPr>
              <w:t>4,464.3</w:t>
            </w:r>
          </w:p>
        </w:tc>
        <w:tc>
          <w:tcPr>
            <w:tcW w:w="750" w:type="pct"/>
            <w:tcBorders>
              <w:top w:val="single" w:sz="4" w:space="0" w:color="2E74B5"/>
              <w:left w:val="nil"/>
              <w:bottom w:val="single" w:sz="4" w:space="0" w:color="2E74B5"/>
              <w:right w:val="nil"/>
            </w:tcBorders>
            <w:shd w:val="clear" w:color="auto" w:fill="auto"/>
          </w:tcPr>
          <w:p w14:paraId="093E70D7" w14:textId="77777777" w:rsidR="00380BE7" w:rsidRPr="00256982" w:rsidRDefault="00380BE7" w:rsidP="00A10AC0">
            <w:pPr>
              <w:spacing w:before="50" w:after="50"/>
              <w:jc w:val="right"/>
              <w:rPr>
                <w:rFonts w:ascii="Arial" w:eastAsia="Arial" w:hAnsi="Arial" w:cs="Arial"/>
                <w:color w:val="000000"/>
                <w:sz w:val="16"/>
                <w:szCs w:val="16"/>
              </w:rPr>
            </w:pPr>
            <w:r w:rsidRPr="00256982">
              <w:rPr>
                <w:rFonts w:ascii="Arial" w:hAnsi="Arial" w:cs="Arial"/>
                <w:sz w:val="16"/>
                <w:szCs w:val="16"/>
              </w:rPr>
              <w:t>4,126.1</w:t>
            </w:r>
          </w:p>
        </w:tc>
        <w:tc>
          <w:tcPr>
            <w:tcW w:w="567" w:type="pct"/>
            <w:tcBorders>
              <w:top w:val="single" w:sz="4" w:space="0" w:color="2E74B5"/>
              <w:left w:val="nil"/>
              <w:bottom w:val="single" w:sz="4" w:space="0" w:color="2E74B5"/>
              <w:right w:val="nil"/>
            </w:tcBorders>
            <w:shd w:val="clear" w:color="auto" w:fill="auto"/>
          </w:tcPr>
          <w:p w14:paraId="3B7BAEFD" w14:textId="77777777" w:rsidR="00380BE7" w:rsidRPr="00256982" w:rsidRDefault="00380BE7" w:rsidP="00A10AC0">
            <w:pPr>
              <w:spacing w:before="50" w:after="50"/>
              <w:jc w:val="right"/>
              <w:rPr>
                <w:rFonts w:ascii="Arial" w:eastAsia="Arial" w:hAnsi="Arial" w:cs="Arial"/>
                <w:color w:val="000000"/>
                <w:sz w:val="16"/>
                <w:szCs w:val="16"/>
              </w:rPr>
            </w:pPr>
            <w:r w:rsidRPr="00256982">
              <w:rPr>
                <w:rFonts w:ascii="Arial" w:hAnsi="Arial" w:cs="Arial"/>
                <w:color w:val="000000"/>
                <w:sz w:val="16"/>
                <w:szCs w:val="16"/>
              </w:rPr>
              <w:t>–</w:t>
            </w:r>
            <w:r w:rsidRPr="00256982">
              <w:rPr>
                <w:rFonts w:ascii="Arial" w:hAnsi="Arial" w:cs="Arial"/>
                <w:sz w:val="16"/>
                <w:szCs w:val="16"/>
              </w:rPr>
              <w:t>72.2</w:t>
            </w:r>
          </w:p>
        </w:tc>
        <w:tc>
          <w:tcPr>
            <w:tcW w:w="613" w:type="pct"/>
            <w:tcBorders>
              <w:top w:val="single" w:sz="4" w:space="0" w:color="2E74B5"/>
              <w:left w:val="nil"/>
              <w:bottom w:val="single" w:sz="4" w:space="0" w:color="2E74B5"/>
              <w:right w:val="nil"/>
            </w:tcBorders>
            <w:shd w:val="clear" w:color="auto" w:fill="auto"/>
          </w:tcPr>
          <w:p w14:paraId="12F4F34F" w14:textId="77777777" w:rsidR="00380BE7" w:rsidRPr="00256982" w:rsidRDefault="00380BE7" w:rsidP="00A10AC0">
            <w:pPr>
              <w:spacing w:before="50" w:after="50"/>
              <w:jc w:val="right"/>
              <w:rPr>
                <w:rFonts w:ascii="Arial" w:eastAsia="Arial" w:hAnsi="Arial" w:cs="Arial"/>
                <w:color w:val="000000"/>
                <w:sz w:val="16"/>
                <w:szCs w:val="16"/>
              </w:rPr>
            </w:pPr>
            <w:r w:rsidRPr="00256982">
              <w:rPr>
                <w:rFonts w:ascii="Arial" w:hAnsi="Arial" w:cs="Arial"/>
                <w:color w:val="000000"/>
                <w:sz w:val="16"/>
                <w:szCs w:val="16"/>
              </w:rPr>
              <w:t>–</w:t>
            </w:r>
            <w:r w:rsidRPr="00256982">
              <w:rPr>
                <w:rFonts w:ascii="Arial" w:hAnsi="Arial" w:cs="Arial"/>
                <w:sz w:val="16"/>
                <w:szCs w:val="16"/>
              </w:rPr>
              <w:t>7.6</w:t>
            </w:r>
          </w:p>
        </w:tc>
      </w:tr>
      <w:tr w:rsidR="00380BE7" w:rsidRPr="00256982" w14:paraId="11B8E04E" w14:textId="77777777" w:rsidTr="00A10AC0">
        <w:tc>
          <w:tcPr>
            <w:tcW w:w="820" w:type="pct"/>
            <w:tcBorders>
              <w:top w:val="single" w:sz="4" w:space="0" w:color="2E74B5"/>
              <w:left w:val="nil"/>
              <w:bottom w:val="single" w:sz="4" w:space="0" w:color="2E74B5"/>
              <w:right w:val="nil"/>
              <w:tl2br w:val="nil"/>
              <w:tr2bl w:val="nil"/>
            </w:tcBorders>
            <w:shd w:val="clear" w:color="auto" w:fill="auto"/>
          </w:tcPr>
          <w:p w14:paraId="1F27D207" w14:textId="77777777" w:rsidR="00380BE7" w:rsidRPr="00256982" w:rsidRDefault="00380BE7" w:rsidP="00A10AC0">
            <w:pPr>
              <w:pStyle w:val="TableText"/>
              <w:spacing w:before="50" w:after="50"/>
              <w:rPr>
                <w:rFonts w:eastAsia="Arial"/>
                <w:szCs w:val="22"/>
              </w:rPr>
            </w:pPr>
            <w:r w:rsidRPr="00256982">
              <w:rPr>
                <w:rFonts w:eastAsia="Arial"/>
                <w:szCs w:val="22"/>
              </w:rPr>
              <w:t>Wetlands</w:t>
            </w:r>
          </w:p>
        </w:tc>
        <w:tc>
          <w:tcPr>
            <w:tcW w:w="750" w:type="pct"/>
            <w:tcBorders>
              <w:top w:val="single" w:sz="4" w:space="0" w:color="2E74B5"/>
              <w:left w:val="nil"/>
              <w:bottom w:val="single" w:sz="4" w:space="0" w:color="2E74B5"/>
              <w:right w:val="nil"/>
              <w:tl2br w:val="nil"/>
              <w:tr2bl w:val="nil"/>
            </w:tcBorders>
            <w:shd w:val="clear" w:color="auto" w:fill="auto"/>
          </w:tcPr>
          <w:p w14:paraId="55B12AE9" w14:textId="77777777" w:rsidR="00380BE7" w:rsidRPr="00256982" w:rsidRDefault="00380BE7" w:rsidP="00A10AC0">
            <w:pPr>
              <w:spacing w:before="50" w:after="50"/>
              <w:jc w:val="right"/>
              <w:rPr>
                <w:rFonts w:ascii="Arial" w:eastAsia="Arial" w:hAnsi="Arial" w:cs="Arial"/>
                <w:color w:val="000000"/>
                <w:sz w:val="16"/>
                <w:szCs w:val="16"/>
              </w:rPr>
            </w:pPr>
            <w:r w:rsidRPr="00256982">
              <w:rPr>
                <w:rFonts w:ascii="Arial" w:hAnsi="Arial" w:cs="Arial"/>
                <w:color w:val="000000"/>
                <w:sz w:val="16"/>
                <w:szCs w:val="16"/>
              </w:rPr>
              <w:t>–</w:t>
            </w:r>
            <w:r w:rsidRPr="00256982">
              <w:rPr>
                <w:rFonts w:ascii="Arial" w:hAnsi="Arial" w:cs="Arial"/>
                <w:sz w:val="16"/>
                <w:szCs w:val="16"/>
              </w:rPr>
              <w:t>10.9</w:t>
            </w:r>
          </w:p>
        </w:tc>
        <w:tc>
          <w:tcPr>
            <w:tcW w:w="752" w:type="pct"/>
            <w:tcBorders>
              <w:top w:val="single" w:sz="4" w:space="0" w:color="2E74B5"/>
              <w:left w:val="nil"/>
              <w:bottom w:val="single" w:sz="4" w:space="0" w:color="2E74B5"/>
              <w:right w:val="nil"/>
              <w:tl2br w:val="nil"/>
              <w:tr2bl w:val="nil"/>
            </w:tcBorders>
            <w:shd w:val="clear" w:color="auto" w:fill="auto"/>
            <w:noWrap/>
          </w:tcPr>
          <w:p w14:paraId="08C81AB8" w14:textId="77777777" w:rsidR="00380BE7" w:rsidRPr="00256982" w:rsidRDefault="00380BE7" w:rsidP="00A10AC0">
            <w:pPr>
              <w:spacing w:before="50" w:after="50"/>
              <w:jc w:val="right"/>
              <w:rPr>
                <w:rFonts w:ascii="Arial" w:eastAsia="Arial" w:hAnsi="Arial" w:cs="Arial"/>
                <w:color w:val="000000"/>
                <w:sz w:val="16"/>
                <w:szCs w:val="16"/>
              </w:rPr>
            </w:pPr>
            <w:r w:rsidRPr="00256982">
              <w:rPr>
                <w:rFonts w:ascii="Arial" w:hAnsi="Arial" w:cs="Arial"/>
                <w:color w:val="000000"/>
                <w:sz w:val="16"/>
                <w:szCs w:val="16"/>
              </w:rPr>
              <w:t>–</w:t>
            </w:r>
            <w:r w:rsidRPr="00256982">
              <w:rPr>
                <w:rFonts w:ascii="Arial" w:hAnsi="Arial" w:cs="Arial"/>
                <w:sz w:val="16"/>
                <w:szCs w:val="16"/>
              </w:rPr>
              <w:t>10.0</w:t>
            </w:r>
          </w:p>
        </w:tc>
        <w:tc>
          <w:tcPr>
            <w:tcW w:w="748" w:type="pct"/>
            <w:tcBorders>
              <w:top w:val="single" w:sz="4" w:space="0" w:color="2E74B5"/>
              <w:left w:val="nil"/>
              <w:bottom w:val="single" w:sz="4" w:space="0" w:color="2E74B5"/>
              <w:right w:val="nil"/>
              <w:tl2br w:val="nil"/>
              <w:tr2bl w:val="nil"/>
            </w:tcBorders>
            <w:shd w:val="clear" w:color="auto" w:fill="auto"/>
            <w:noWrap/>
          </w:tcPr>
          <w:p w14:paraId="7FB5B1CC" w14:textId="77777777" w:rsidR="00380BE7" w:rsidRPr="00256982" w:rsidRDefault="00380BE7" w:rsidP="00A10AC0">
            <w:pPr>
              <w:spacing w:before="50" w:after="50"/>
              <w:jc w:val="right"/>
              <w:rPr>
                <w:rFonts w:ascii="Arial" w:eastAsia="Arial" w:hAnsi="Arial" w:cs="Arial"/>
                <w:color w:val="000000"/>
                <w:sz w:val="16"/>
                <w:szCs w:val="16"/>
              </w:rPr>
            </w:pPr>
            <w:r w:rsidRPr="00256982">
              <w:rPr>
                <w:rFonts w:ascii="Arial" w:hAnsi="Arial" w:cs="Arial"/>
                <w:sz w:val="16"/>
                <w:szCs w:val="16"/>
              </w:rPr>
              <w:t>20.0</w:t>
            </w:r>
          </w:p>
        </w:tc>
        <w:tc>
          <w:tcPr>
            <w:tcW w:w="750" w:type="pct"/>
            <w:tcBorders>
              <w:top w:val="single" w:sz="4" w:space="0" w:color="2E74B5"/>
              <w:left w:val="nil"/>
              <w:bottom w:val="single" w:sz="4" w:space="0" w:color="2E74B5"/>
              <w:right w:val="nil"/>
              <w:tl2br w:val="nil"/>
              <w:tr2bl w:val="nil"/>
            </w:tcBorders>
            <w:shd w:val="clear" w:color="auto" w:fill="auto"/>
          </w:tcPr>
          <w:p w14:paraId="7872DEB6" w14:textId="77777777" w:rsidR="00380BE7" w:rsidRPr="00256982" w:rsidRDefault="00380BE7" w:rsidP="00A10AC0">
            <w:pPr>
              <w:spacing w:before="50" w:after="50"/>
              <w:jc w:val="right"/>
              <w:rPr>
                <w:rFonts w:ascii="Arial" w:eastAsia="Arial" w:hAnsi="Arial" w:cs="Arial"/>
                <w:color w:val="000000"/>
                <w:sz w:val="16"/>
                <w:szCs w:val="16"/>
              </w:rPr>
            </w:pPr>
            <w:r w:rsidRPr="00256982">
              <w:rPr>
                <w:rFonts w:ascii="Arial" w:hAnsi="Arial" w:cs="Arial"/>
                <w:sz w:val="16"/>
                <w:szCs w:val="16"/>
              </w:rPr>
              <w:t>106.7</w:t>
            </w:r>
          </w:p>
        </w:tc>
        <w:tc>
          <w:tcPr>
            <w:tcW w:w="567" w:type="pct"/>
            <w:tcBorders>
              <w:top w:val="single" w:sz="4" w:space="0" w:color="2E74B5"/>
              <w:left w:val="nil"/>
              <w:bottom w:val="single" w:sz="4" w:space="0" w:color="2E74B5"/>
              <w:right w:val="nil"/>
              <w:tl2br w:val="nil"/>
              <w:tr2bl w:val="nil"/>
            </w:tcBorders>
            <w:shd w:val="clear" w:color="auto" w:fill="auto"/>
          </w:tcPr>
          <w:p w14:paraId="69D6D2D7" w14:textId="77777777" w:rsidR="00380BE7" w:rsidRPr="00256982" w:rsidRDefault="00380BE7" w:rsidP="00A10AC0">
            <w:pPr>
              <w:spacing w:before="50" w:after="50"/>
              <w:jc w:val="right"/>
              <w:rPr>
                <w:rFonts w:ascii="Arial" w:eastAsia="Arial" w:hAnsi="Arial" w:cs="Arial"/>
                <w:color w:val="000000"/>
                <w:sz w:val="16"/>
                <w:szCs w:val="16"/>
              </w:rPr>
            </w:pPr>
            <w:r w:rsidRPr="00256982">
              <w:rPr>
                <w:rFonts w:ascii="Arial" w:hAnsi="Arial" w:cs="Arial"/>
                <w:sz w:val="16"/>
                <w:szCs w:val="16"/>
              </w:rPr>
              <w:t>+9.0</w:t>
            </w:r>
          </w:p>
        </w:tc>
        <w:tc>
          <w:tcPr>
            <w:tcW w:w="613" w:type="pct"/>
            <w:tcBorders>
              <w:top w:val="single" w:sz="4" w:space="0" w:color="2E74B5"/>
              <w:left w:val="nil"/>
              <w:bottom w:val="single" w:sz="4" w:space="0" w:color="2E74B5"/>
              <w:right w:val="nil"/>
              <w:tl2br w:val="nil"/>
              <w:tr2bl w:val="nil"/>
            </w:tcBorders>
            <w:shd w:val="clear" w:color="auto" w:fill="auto"/>
          </w:tcPr>
          <w:p w14:paraId="71638381" w14:textId="77777777" w:rsidR="00380BE7" w:rsidRPr="00256982" w:rsidRDefault="00380BE7" w:rsidP="00A10AC0">
            <w:pPr>
              <w:spacing w:before="50" w:after="50"/>
              <w:jc w:val="right"/>
              <w:rPr>
                <w:rFonts w:ascii="Arial" w:eastAsia="Arial" w:hAnsi="Arial" w:cs="Arial"/>
                <w:color w:val="000000"/>
                <w:sz w:val="16"/>
                <w:szCs w:val="16"/>
              </w:rPr>
            </w:pPr>
            <w:r w:rsidRPr="00256982">
              <w:rPr>
                <w:rFonts w:ascii="Arial" w:hAnsi="Arial" w:cs="Arial"/>
                <w:sz w:val="16"/>
                <w:szCs w:val="16"/>
              </w:rPr>
              <w:t>+433.5</w:t>
            </w:r>
          </w:p>
        </w:tc>
      </w:tr>
      <w:tr w:rsidR="00380BE7" w:rsidRPr="00256982" w14:paraId="71618497" w14:textId="77777777" w:rsidTr="00A10AC0">
        <w:tc>
          <w:tcPr>
            <w:tcW w:w="820" w:type="pct"/>
            <w:tcBorders>
              <w:top w:val="single" w:sz="4" w:space="0" w:color="2E74B5"/>
              <w:left w:val="nil"/>
              <w:bottom w:val="single" w:sz="4" w:space="0" w:color="2E74B5"/>
              <w:right w:val="nil"/>
            </w:tcBorders>
            <w:shd w:val="clear" w:color="auto" w:fill="auto"/>
          </w:tcPr>
          <w:p w14:paraId="7C81CE4C" w14:textId="77777777" w:rsidR="00380BE7" w:rsidRPr="00256982" w:rsidRDefault="00380BE7" w:rsidP="00A10AC0">
            <w:pPr>
              <w:pStyle w:val="TableText"/>
              <w:spacing w:before="50" w:after="50"/>
              <w:rPr>
                <w:rFonts w:eastAsia="Arial"/>
                <w:szCs w:val="22"/>
              </w:rPr>
            </w:pPr>
            <w:r w:rsidRPr="00256982">
              <w:rPr>
                <w:rFonts w:eastAsia="Arial"/>
                <w:szCs w:val="22"/>
              </w:rPr>
              <w:t>Settlements</w:t>
            </w:r>
          </w:p>
        </w:tc>
        <w:tc>
          <w:tcPr>
            <w:tcW w:w="750" w:type="pct"/>
            <w:tcBorders>
              <w:top w:val="single" w:sz="4" w:space="0" w:color="2E74B5"/>
              <w:left w:val="nil"/>
              <w:bottom w:val="single" w:sz="4" w:space="0" w:color="2E74B5"/>
              <w:right w:val="nil"/>
            </w:tcBorders>
            <w:shd w:val="clear" w:color="auto" w:fill="auto"/>
          </w:tcPr>
          <w:p w14:paraId="1AD44222" w14:textId="77777777" w:rsidR="00380BE7" w:rsidRPr="00256982" w:rsidRDefault="00380BE7" w:rsidP="00A10AC0">
            <w:pPr>
              <w:spacing w:before="50" w:after="50"/>
              <w:jc w:val="right"/>
              <w:rPr>
                <w:rFonts w:ascii="Arial" w:eastAsia="Arial" w:hAnsi="Arial" w:cs="Arial"/>
                <w:color w:val="000000"/>
                <w:sz w:val="16"/>
                <w:szCs w:val="16"/>
              </w:rPr>
            </w:pPr>
            <w:r w:rsidRPr="00256982">
              <w:rPr>
                <w:rFonts w:ascii="Arial" w:hAnsi="Arial" w:cs="Arial"/>
                <w:sz w:val="16"/>
                <w:szCs w:val="16"/>
              </w:rPr>
              <w:t>67.7</w:t>
            </w:r>
          </w:p>
        </w:tc>
        <w:tc>
          <w:tcPr>
            <w:tcW w:w="752" w:type="pct"/>
            <w:tcBorders>
              <w:top w:val="single" w:sz="4" w:space="0" w:color="2E74B5"/>
              <w:left w:val="nil"/>
              <w:bottom w:val="single" w:sz="4" w:space="0" w:color="2E74B5"/>
              <w:right w:val="nil"/>
            </w:tcBorders>
            <w:shd w:val="clear" w:color="auto" w:fill="auto"/>
          </w:tcPr>
          <w:p w14:paraId="5BF9C407" w14:textId="77777777" w:rsidR="00380BE7" w:rsidRPr="00256982" w:rsidRDefault="00380BE7" w:rsidP="00A10AC0">
            <w:pPr>
              <w:spacing w:before="50" w:after="50"/>
              <w:jc w:val="right"/>
              <w:rPr>
                <w:rFonts w:ascii="Arial" w:eastAsia="Arial" w:hAnsi="Arial" w:cs="Arial"/>
                <w:color w:val="000000"/>
                <w:sz w:val="16"/>
                <w:szCs w:val="16"/>
              </w:rPr>
            </w:pPr>
            <w:r w:rsidRPr="00256982">
              <w:rPr>
                <w:rFonts w:ascii="Arial" w:hAnsi="Arial" w:cs="Arial"/>
                <w:sz w:val="16"/>
                <w:szCs w:val="16"/>
              </w:rPr>
              <w:t>72.7</w:t>
            </w:r>
          </w:p>
        </w:tc>
        <w:tc>
          <w:tcPr>
            <w:tcW w:w="748" w:type="pct"/>
            <w:tcBorders>
              <w:top w:val="single" w:sz="4" w:space="0" w:color="2E74B5"/>
              <w:left w:val="nil"/>
              <w:bottom w:val="single" w:sz="4" w:space="0" w:color="2E74B5"/>
              <w:right w:val="nil"/>
            </w:tcBorders>
            <w:shd w:val="clear" w:color="auto" w:fill="auto"/>
          </w:tcPr>
          <w:p w14:paraId="17E22ACB" w14:textId="77777777" w:rsidR="00380BE7" w:rsidRPr="00256982" w:rsidRDefault="00380BE7" w:rsidP="00A10AC0">
            <w:pPr>
              <w:spacing w:before="50" w:after="50"/>
              <w:jc w:val="right"/>
              <w:rPr>
                <w:rFonts w:ascii="Arial" w:eastAsia="Arial" w:hAnsi="Arial" w:cs="Arial"/>
                <w:color w:val="000000"/>
                <w:sz w:val="16"/>
                <w:szCs w:val="16"/>
              </w:rPr>
            </w:pPr>
            <w:r w:rsidRPr="00256982">
              <w:rPr>
                <w:rFonts w:ascii="Arial" w:hAnsi="Arial" w:cs="Arial"/>
                <w:sz w:val="16"/>
                <w:szCs w:val="16"/>
              </w:rPr>
              <w:t>78.9</w:t>
            </w:r>
          </w:p>
        </w:tc>
        <w:tc>
          <w:tcPr>
            <w:tcW w:w="750" w:type="pct"/>
            <w:tcBorders>
              <w:top w:val="single" w:sz="4" w:space="0" w:color="2E74B5"/>
              <w:left w:val="nil"/>
              <w:bottom w:val="single" w:sz="4" w:space="0" w:color="2E74B5"/>
              <w:right w:val="nil"/>
            </w:tcBorders>
            <w:shd w:val="clear" w:color="auto" w:fill="auto"/>
          </w:tcPr>
          <w:p w14:paraId="5A9076F3" w14:textId="77777777" w:rsidR="00380BE7" w:rsidRPr="00256982" w:rsidRDefault="00380BE7" w:rsidP="00A10AC0">
            <w:pPr>
              <w:spacing w:before="50" w:after="50"/>
              <w:jc w:val="right"/>
              <w:rPr>
                <w:rFonts w:ascii="Arial" w:eastAsia="Arial" w:hAnsi="Arial" w:cs="Arial"/>
                <w:color w:val="000000"/>
                <w:sz w:val="16"/>
                <w:szCs w:val="16"/>
              </w:rPr>
            </w:pPr>
            <w:r w:rsidRPr="00256982">
              <w:rPr>
                <w:rFonts w:ascii="Arial" w:hAnsi="Arial" w:cs="Arial"/>
                <w:sz w:val="16"/>
                <w:szCs w:val="16"/>
              </w:rPr>
              <w:t>137.9</w:t>
            </w:r>
          </w:p>
        </w:tc>
        <w:tc>
          <w:tcPr>
            <w:tcW w:w="567" w:type="pct"/>
            <w:tcBorders>
              <w:top w:val="single" w:sz="4" w:space="0" w:color="2E74B5"/>
              <w:left w:val="nil"/>
              <w:bottom w:val="single" w:sz="4" w:space="0" w:color="2E74B5"/>
              <w:right w:val="nil"/>
            </w:tcBorders>
            <w:shd w:val="clear" w:color="auto" w:fill="auto"/>
          </w:tcPr>
          <w:p w14:paraId="733033DF" w14:textId="77777777" w:rsidR="00380BE7" w:rsidRPr="00256982" w:rsidRDefault="00380BE7" w:rsidP="00A10AC0">
            <w:pPr>
              <w:spacing w:before="50" w:after="50"/>
              <w:jc w:val="right"/>
              <w:rPr>
                <w:rFonts w:ascii="Arial" w:hAnsi="Arial" w:cs="Arial"/>
                <w:color w:val="000000"/>
                <w:sz w:val="16"/>
                <w:szCs w:val="16"/>
              </w:rPr>
            </w:pPr>
            <w:r w:rsidRPr="00256982">
              <w:rPr>
                <w:rFonts w:ascii="Arial" w:hAnsi="Arial" w:cs="Arial"/>
                <w:sz w:val="16"/>
                <w:szCs w:val="16"/>
              </w:rPr>
              <w:t>+7.25</w:t>
            </w:r>
          </w:p>
        </w:tc>
        <w:tc>
          <w:tcPr>
            <w:tcW w:w="613" w:type="pct"/>
            <w:tcBorders>
              <w:top w:val="single" w:sz="4" w:space="0" w:color="2E74B5"/>
              <w:left w:val="nil"/>
              <w:bottom w:val="single" w:sz="4" w:space="0" w:color="2E74B5"/>
              <w:right w:val="nil"/>
            </w:tcBorders>
            <w:shd w:val="clear" w:color="auto" w:fill="auto"/>
          </w:tcPr>
          <w:p w14:paraId="1B42EBEC" w14:textId="77777777" w:rsidR="00380BE7" w:rsidRPr="00256982" w:rsidRDefault="00380BE7" w:rsidP="00A10AC0">
            <w:pPr>
              <w:spacing w:before="50" w:after="50"/>
              <w:jc w:val="right"/>
              <w:rPr>
                <w:rFonts w:ascii="Arial" w:hAnsi="Arial" w:cs="Arial"/>
                <w:color w:val="000000"/>
                <w:sz w:val="16"/>
                <w:szCs w:val="16"/>
              </w:rPr>
            </w:pPr>
            <w:r w:rsidRPr="00256982">
              <w:rPr>
                <w:rFonts w:ascii="Arial" w:hAnsi="Arial" w:cs="Arial"/>
                <w:sz w:val="16"/>
                <w:szCs w:val="16"/>
              </w:rPr>
              <w:t>+74.8</w:t>
            </w:r>
          </w:p>
        </w:tc>
      </w:tr>
      <w:tr w:rsidR="00380BE7" w:rsidRPr="00256982" w14:paraId="58A38FB4" w14:textId="77777777" w:rsidTr="00A10AC0">
        <w:tc>
          <w:tcPr>
            <w:tcW w:w="820" w:type="pct"/>
            <w:tcBorders>
              <w:top w:val="single" w:sz="4" w:space="0" w:color="2E74B5"/>
              <w:left w:val="nil"/>
              <w:bottom w:val="single" w:sz="4" w:space="0" w:color="2E74B5"/>
              <w:right w:val="nil"/>
              <w:tl2br w:val="nil"/>
              <w:tr2bl w:val="nil"/>
            </w:tcBorders>
            <w:shd w:val="clear" w:color="auto" w:fill="auto"/>
          </w:tcPr>
          <w:p w14:paraId="4528761D" w14:textId="77777777" w:rsidR="00380BE7" w:rsidRPr="00256982" w:rsidRDefault="00380BE7" w:rsidP="00A10AC0">
            <w:pPr>
              <w:pStyle w:val="TableText"/>
              <w:spacing w:before="50" w:after="50"/>
              <w:rPr>
                <w:rFonts w:eastAsia="Arial"/>
                <w:szCs w:val="22"/>
              </w:rPr>
            </w:pPr>
            <w:r w:rsidRPr="00256982">
              <w:rPr>
                <w:rFonts w:eastAsia="Arial"/>
                <w:szCs w:val="22"/>
              </w:rPr>
              <w:t>Other land</w:t>
            </w:r>
          </w:p>
        </w:tc>
        <w:tc>
          <w:tcPr>
            <w:tcW w:w="750" w:type="pct"/>
            <w:tcBorders>
              <w:top w:val="single" w:sz="4" w:space="0" w:color="2E74B5"/>
              <w:left w:val="nil"/>
              <w:bottom w:val="single" w:sz="4" w:space="0" w:color="2E74B5"/>
              <w:right w:val="nil"/>
              <w:tl2br w:val="nil"/>
              <w:tr2bl w:val="nil"/>
            </w:tcBorders>
            <w:shd w:val="clear" w:color="auto" w:fill="auto"/>
            <w:noWrap/>
          </w:tcPr>
          <w:p w14:paraId="3C4807AF" w14:textId="77777777" w:rsidR="00380BE7" w:rsidRPr="00256982" w:rsidRDefault="00380BE7" w:rsidP="00A10AC0">
            <w:pPr>
              <w:pStyle w:val="TableText"/>
              <w:spacing w:before="50" w:after="50"/>
              <w:jc w:val="right"/>
              <w:rPr>
                <w:rFonts w:eastAsia="Arial" w:cs="Arial"/>
                <w:color w:val="000000"/>
                <w:szCs w:val="16"/>
              </w:rPr>
            </w:pPr>
            <w:r w:rsidRPr="00256982">
              <w:rPr>
                <w:rFonts w:cs="Arial"/>
                <w:szCs w:val="16"/>
              </w:rPr>
              <w:t>12.4</w:t>
            </w:r>
          </w:p>
        </w:tc>
        <w:tc>
          <w:tcPr>
            <w:tcW w:w="752" w:type="pct"/>
            <w:tcBorders>
              <w:top w:val="single" w:sz="4" w:space="0" w:color="2E74B5"/>
              <w:left w:val="nil"/>
              <w:bottom w:val="single" w:sz="4" w:space="0" w:color="2E74B5"/>
              <w:right w:val="nil"/>
              <w:tl2br w:val="nil"/>
              <w:tr2bl w:val="nil"/>
            </w:tcBorders>
            <w:shd w:val="clear" w:color="auto" w:fill="auto"/>
          </w:tcPr>
          <w:p w14:paraId="325B938D" w14:textId="77777777" w:rsidR="00380BE7" w:rsidRPr="00256982" w:rsidRDefault="00380BE7" w:rsidP="00A10AC0">
            <w:pPr>
              <w:pStyle w:val="TableText"/>
              <w:spacing w:before="50" w:after="50"/>
              <w:jc w:val="right"/>
              <w:rPr>
                <w:rFonts w:eastAsia="Arial" w:cs="Arial"/>
                <w:color w:val="000000"/>
                <w:szCs w:val="16"/>
              </w:rPr>
            </w:pPr>
            <w:r w:rsidRPr="00256982">
              <w:rPr>
                <w:rFonts w:cs="Arial"/>
                <w:szCs w:val="16"/>
              </w:rPr>
              <w:t>13.6</w:t>
            </w:r>
          </w:p>
        </w:tc>
        <w:tc>
          <w:tcPr>
            <w:tcW w:w="748" w:type="pct"/>
            <w:tcBorders>
              <w:top w:val="single" w:sz="4" w:space="0" w:color="2E74B5"/>
              <w:left w:val="nil"/>
              <w:bottom w:val="single" w:sz="4" w:space="0" w:color="2E74B5"/>
              <w:right w:val="nil"/>
              <w:tl2br w:val="nil"/>
              <w:tr2bl w:val="nil"/>
            </w:tcBorders>
            <w:shd w:val="clear" w:color="auto" w:fill="auto"/>
          </w:tcPr>
          <w:p w14:paraId="7E384CEE" w14:textId="77777777" w:rsidR="00380BE7" w:rsidRPr="00256982" w:rsidRDefault="00380BE7" w:rsidP="00A10AC0">
            <w:pPr>
              <w:pStyle w:val="TableText"/>
              <w:spacing w:before="50" w:after="50"/>
              <w:jc w:val="right"/>
              <w:rPr>
                <w:rFonts w:eastAsia="Arial" w:cs="Arial"/>
                <w:color w:val="000000"/>
                <w:szCs w:val="16"/>
              </w:rPr>
            </w:pPr>
            <w:r w:rsidRPr="00256982">
              <w:rPr>
                <w:rFonts w:cs="Arial"/>
                <w:szCs w:val="16"/>
              </w:rPr>
              <w:t>36.6</w:t>
            </w:r>
          </w:p>
        </w:tc>
        <w:tc>
          <w:tcPr>
            <w:tcW w:w="750" w:type="pct"/>
            <w:tcBorders>
              <w:top w:val="single" w:sz="4" w:space="0" w:color="2E74B5"/>
              <w:left w:val="nil"/>
              <w:bottom w:val="single" w:sz="4" w:space="0" w:color="2E74B5"/>
              <w:right w:val="nil"/>
              <w:tl2br w:val="nil"/>
              <w:tr2bl w:val="nil"/>
            </w:tcBorders>
            <w:shd w:val="clear" w:color="auto" w:fill="auto"/>
          </w:tcPr>
          <w:p w14:paraId="50EC35F4" w14:textId="77777777" w:rsidR="00380BE7" w:rsidRPr="00256982" w:rsidRDefault="00380BE7" w:rsidP="00A10AC0">
            <w:pPr>
              <w:pStyle w:val="TableText"/>
              <w:spacing w:before="50" w:after="50"/>
              <w:jc w:val="right"/>
              <w:rPr>
                <w:rFonts w:eastAsia="Arial" w:cs="Arial"/>
                <w:color w:val="000000"/>
                <w:szCs w:val="16"/>
              </w:rPr>
            </w:pPr>
            <w:r w:rsidRPr="00256982">
              <w:rPr>
                <w:rFonts w:cs="Arial"/>
                <w:szCs w:val="16"/>
              </w:rPr>
              <w:t>178.3</w:t>
            </w:r>
          </w:p>
        </w:tc>
        <w:tc>
          <w:tcPr>
            <w:tcW w:w="567" w:type="pct"/>
            <w:tcBorders>
              <w:top w:val="single" w:sz="4" w:space="0" w:color="2E74B5"/>
              <w:left w:val="nil"/>
              <w:bottom w:val="single" w:sz="4" w:space="0" w:color="2E74B5"/>
              <w:right w:val="nil"/>
              <w:tl2br w:val="nil"/>
              <w:tr2bl w:val="nil"/>
            </w:tcBorders>
            <w:shd w:val="clear" w:color="auto" w:fill="auto"/>
          </w:tcPr>
          <w:p w14:paraId="10DEB646" w14:textId="77777777" w:rsidR="00380BE7" w:rsidRPr="00256982" w:rsidRDefault="00380BE7" w:rsidP="00A10AC0">
            <w:pPr>
              <w:pStyle w:val="TableText"/>
              <w:spacing w:before="50" w:after="50"/>
              <w:jc w:val="right"/>
              <w:rPr>
                <w:rFonts w:eastAsia="Arial" w:cs="Arial"/>
                <w:color w:val="000000"/>
                <w:szCs w:val="16"/>
              </w:rPr>
            </w:pPr>
            <w:r w:rsidRPr="00256982">
              <w:rPr>
                <w:rFonts w:cs="Arial"/>
                <w:szCs w:val="16"/>
              </w:rPr>
              <w:t>+9.9</w:t>
            </w:r>
          </w:p>
        </w:tc>
        <w:tc>
          <w:tcPr>
            <w:tcW w:w="613" w:type="pct"/>
            <w:tcBorders>
              <w:top w:val="single" w:sz="4" w:space="0" w:color="2E74B5"/>
              <w:left w:val="nil"/>
              <w:bottom w:val="single" w:sz="4" w:space="0" w:color="2E74B5"/>
              <w:right w:val="nil"/>
              <w:tl2br w:val="nil"/>
              <w:tr2bl w:val="nil"/>
            </w:tcBorders>
            <w:shd w:val="clear" w:color="auto" w:fill="auto"/>
          </w:tcPr>
          <w:p w14:paraId="4B034CBB" w14:textId="77777777" w:rsidR="00380BE7" w:rsidRPr="00256982" w:rsidRDefault="00380BE7" w:rsidP="00A10AC0">
            <w:pPr>
              <w:pStyle w:val="TableText"/>
              <w:spacing w:before="50" w:after="50"/>
              <w:jc w:val="right"/>
              <w:rPr>
                <w:rFonts w:eastAsia="Arial" w:cs="Arial"/>
                <w:color w:val="000000"/>
                <w:szCs w:val="16"/>
              </w:rPr>
            </w:pPr>
            <w:r w:rsidRPr="00256982">
              <w:rPr>
                <w:rFonts w:cs="Arial"/>
                <w:szCs w:val="16"/>
              </w:rPr>
              <w:t>+387.9</w:t>
            </w:r>
          </w:p>
        </w:tc>
      </w:tr>
      <w:tr w:rsidR="00380BE7" w:rsidRPr="00256982" w14:paraId="7CE920E8" w14:textId="77777777" w:rsidTr="00154767">
        <w:tc>
          <w:tcPr>
            <w:tcW w:w="820" w:type="pct"/>
            <w:tcBorders>
              <w:top w:val="single" w:sz="4" w:space="0" w:color="2E74B5"/>
              <w:left w:val="nil"/>
              <w:bottom w:val="single" w:sz="4" w:space="0" w:color="2E74B5"/>
              <w:right w:val="nil"/>
            </w:tcBorders>
            <w:shd w:val="clear" w:color="auto" w:fill="auto"/>
          </w:tcPr>
          <w:p w14:paraId="15CCCA34" w14:textId="77777777" w:rsidR="00380BE7" w:rsidRPr="00256982" w:rsidRDefault="00380BE7" w:rsidP="00A10AC0">
            <w:pPr>
              <w:pStyle w:val="Tableboldblue"/>
              <w:spacing w:before="50" w:after="50"/>
              <w:rPr>
                <w:rFonts w:eastAsia="Arial"/>
                <w:b w:val="0"/>
              </w:rPr>
            </w:pPr>
            <w:r w:rsidRPr="00256982">
              <w:rPr>
                <w:rFonts w:eastAsia="Arial"/>
                <w:b w:val="0"/>
                <w:color w:val="auto"/>
              </w:rPr>
              <w:t>Harvested wood products</w:t>
            </w:r>
          </w:p>
        </w:tc>
        <w:tc>
          <w:tcPr>
            <w:tcW w:w="750" w:type="pct"/>
            <w:tcBorders>
              <w:top w:val="single" w:sz="4" w:space="0" w:color="2E74B5"/>
              <w:left w:val="nil"/>
              <w:bottom w:val="single" w:sz="4" w:space="0" w:color="2E74B5"/>
              <w:right w:val="nil"/>
            </w:tcBorders>
            <w:shd w:val="clear" w:color="auto" w:fill="auto"/>
            <w:noWrap/>
            <w:vAlign w:val="bottom"/>
          </w:tcPr>
          <w:p w14:paraId="6C75F040" w14:textId="77777777" w:rsidR="00380BE7" w:rsidRPr="00256982" w:rsidRDefault="00380BE7" w:rsidP="00A10AC0">
            <w:pPr>
              <w:pStyle w:val="TableText"/>
              <w:spacing w:before="50" w:after="50"/>
              <w:jc w:val="right"/>
              <w:rPr>
                <w:rFonts w:cs="Arial"/>
                <w:color w:val="000000"/>
                <w:szCs w:val="16"/>
              </w:rPr>
            </w:pPr>
            <w:r w:rsidRPr="00256982">
              <w:rPr>
                <w:rFonts w:cs="Arial"/>
                <w:color w:val="000000"/>
                <w:szCs w:val="16"/>
              </w:rPr>
              <w:t>–</w:t>
            </w:r>
            <w:r w:rsidRPr="00256982">
              <w:rPr>
                <w:rFonts w:cs="Arial"/>
                <w:szCs w:val="16"/>
              </w:rPr>
              <w:t>2,072.9</w:t>
            </w:r>
          </w:p>
        </w:tc>
        <w:tc>
          <w:tcPr>
            <w:tcW w:w="752" w:type="pct"/>
            <w:tcBorders>
              <w:top w:val="single" w:sz="4" w:space="0" w:color="2E74B5"/>
              <w:left w:val="nil"/>
              <w:bottom w:val="single" w:sz="4" w:space="0" w:color="2E74B5"/>
              <w:right w:val="nil"/>
            </w:tcBorders>
            <w:shd w:val="clear" w:color="auto" w:fill="auto"/>
            <w:noWrap/>
            <w:vAlign w:val="bottom"/>
          </w:tcPr>
          <w:p w14:paraId="038EAC68" w14:textId="77777777" w:rsidR="00380BE7" w:rsidRPr="00256982" w:rsidRDefault="00380BE7" w:rsidP="00A10AC0">
            <w:pPr>
              <w:pStyle w:val="TableText"/>
              <w:spacing w:before="50" w:after="50"/>
              <w:jc w:val="right"/>
              <w:rPr>
                <w:rFonts w:cs="Arial"/>
                <w:color w:val="000000"/>
                <w:szCs w:val="16"/>
              </w:rPr>
            </w:pPr>
            <w:r w:rsidRPr="00256982">
              <w:rPr>
                <w:rFonts w:cs="Arial"/>
                <w:color w:val="000000"/>
                <w:szCs w:val="16"/>
              </w:rPr>
              <w:t>–</w:t>
            </w:r>
            <w:r w:rsidRPr="00256982">
              <w:rPr>
                <w:rFonts w:cs="Arial"/>
                <w:szCs w:val="16"/>
              </w:rPr>
              <w:t>2,072.9</w:t>
            </w:r>
          </w:p>
        </w:tc>
        <w:tc>
          <w:tcPr>
            <w:tcW w:w="748" w:type="pct"/>
            <w:tcBorders>
              <w:top w:val="single" w:sz="4" w:space="0" w:color="2E74B5"/>
              <w:left w:val="nil"/>
              <w:bottom w:val="single" w:sz="4" w:space="0" w:color="2E74B5"/>
              <w:right w:val="nil"/>
            </w:tcBorders>
            <w:shd w:val="clear" w:color="auto" w:fill="auto"/>
            <w:noWrap/>
            <w:vAlign w:val="bottom"/>
          </w:tcPr>
          <w:p w14:paraId="1378CDA7" w14:textId="77777777" w:rsidR="00380BE7" w:rsidRPr="00256982" w:rsidRDefault="00380BE7" w:rsidP="00A10AC0">
            <w:pPr>
              <w:pStyle w:val="TableText"/>
              <w:spacing w:before="50" w:after="50"/>
              <w:jc w:val="right"/>
              <w:rPr>
                <w:rFonts w:cs="Arial"/>
                <w:color w:val="000000"/>
                <w:szCs w:val="16"/>
              </w:rPr>
            </w:pPr>
            <w:r w:rsidRPr="00256982">
              <w:rPr>
                <w:rFonts w:cs="Arial"/>
                <w:color w:val="000000"/>
                <w:szCs w:val="16"/>
              </w:rPr>
              <w:t>–</w:t>
            </w:r>
            <w:r w:rsidRPr="00256982">
              <w:rPr>
                <w:rFonts w:cs="Arial"/>
                <w:szCs w:val="16"/>
              </w:rPr>
              <w:t>5,946.4</w:t>
            </w:r>
          </w:p>
        </w:tc>
        <w:tc>
          <w:tcPr>
            <w:tcW w:w="750" w:type="pct"/>
            <w:tcBorders>
              <w:top w:val="single" w:sz="4" w:space="0" w:color="2E74B5"/>
              <w:left w:val="nil"/>
              <w:bottom w:val="single" w:sz="4" w:space="0" w:color="2E74B5"/>
              <w:right w:val="nil"/>
            </w:tcBorders>
            <w:shd w:val="clear" w:color="auto" w:fill="auto"/>
            <w:noWrap/>
            <w:vAlign w:val="bottom"/>
          </w:tcPr>
          <w:p w14:paraId="1C76382B" w14:textId="77777777" w:rsidR="00380BE7" w:rsidRPr="00256982" w:rsidRDefault="00380BE7" w:rsidP="00A10AC0">
            <w:pPr>
              <w:pStyle w:val="TableText"/>
              <w:spacing w:before="50" w:after="50"/>
              <w:jc w:val="right"/>
              <w:rPr>
                <w:rFonts w:cs="Arial"/>
                <w:color w:val="000000"/>
                <w:szCs w:val="16"/>
              </w:rPr>
            </w:pPr>
            <w:r w:rsidRPr="00256982">
              <w:rPr>
                <w:rFonts w:cs="Arial"/>
                <w:color w:val="000000"/>
                <w:szCs w:val="16"/>
              </w:rPr>
              <w:t>–</w:t>
            </w:r>
            <w:r w:rsidRPr="00256982">
              <w:rPr>
                <w:rFonts w:cs="Arial"/>
                <w:szCs w:val="16"/>
              </w:rPr>
              <w:t>6,936.9</w:t>
            </w:r>
          </w:p>
        </w:tc>
        <w:tc>
          <w:tcPr>
            <w:tcW w:w="567" w:type="pct"/>
            <w:tcBorders>
              <w:top w:val="single" w:sz="4" w:space="0" w:color="2E74B5"/>
              <w:left w:val="nil"/>
              <w:bottom w:val="single" w:sz="4" w:space="0" w:color="2E74B5"/>
              <w:right w:val="nil"/>
            </w:tcBorders>
            <w:shd w:val="clear" w:color="auto" w:fill="auto"/>
            <w:vAlign w:val="bottom"/>
          </w:tcPr>
          <w:p w14:paraId="7E557B72" w14:textId="77777777" w:rsidR="00380BE7" w:rsidRPr="00256982" w:rsidRDefault="00380BE7" w:rsidP="00A10AC0">
            <w:pPr>
              <w:pStyle w:val="TableText"/>
              <w:spacing w:before="50" w:after="50"/>
              <w:jc w:val="right"/>
              <w:rPr>
                <w:rFonts w:cs="Arial"/>
                <w:color w:val="000000"/>
                <w:szCs w:val="16"/>
              </w:rPr>
            </w:pPr>
            <w:r w:rsidRPr="00256982">
              <w:rPr>
                <w:rFonts w:cs="Arial"/>
                <w:szCs w:val="16"/>
              </w:rPr>
              <w:t>+0.0</w:t>
            </w:r>
          </w:p>
        </w:tc>
        <w:tc>
          <w:tcPr>
            <w:tcW w:w="613" w:type="pct"/>
            <w:tcBorders>
              <w:top w:val="single" w:sz="4" w:space="0" w:color="2E74B5"/>
              <w:left w:val="nil"/>
              <w:bottom w:val="single" w:sz="4" w:space="0" w:color="2E74B5"/>
              <w:right w:val="nil"/>
            </w:tcBorders>
            <w:shd w:val="clear" w:color="auto" w:fill="auto"/>
            <w:vAlign w:val="bottom"/>
          </w:tcPr>
          <w:p w14:paraId="306DBC9A" w14:textId="77777777" w:rsidR="00380BE7" w:rsidRPr="00256982" w:rsidRDefault="00380BE7" w:rsidP="00A10AC0">
            <w:pPr>
              <w:pStyle w:val="TableText"/>
              <w:spacing w:before="50" w:after="50"/>
              <w:jc w:val="right"/>
              <w:rPr>
                <w:rFonts w:cs="Arial"/>
                <w:color w:val="000000"/>
                <w:szCs w:val="16"/>
              </w:rPr>
            </w:pPr>
            <w:r w:rsidRPr="00256982">
              <w:rPr>
                <w:rFonts w:cs="Arial"/>
                <w:color w:val="000000"/>
                <w:szCs w:val="16"/>
              </w:rPr>
              <w:t>–</w:t>
            </w:r>
            <w:r w:rsidRPr="00256982">
              <w:rPr>
                <w:rFonts w:cs="Arial"/>
                <w:szCs w:val="16"/>
              </w:rPr>
              <w:t>16.7</w:t>
            </w:r>
          </w:p>
        </w:tc>
      </w:tr>
      <w:tr w:rsidR="00380BE7" w:rsidRPr="00256982" w14:paraId="110A2F6B" w14:textId="77777777" w:rsidTr="00A10AC0">
        <w:tc>
          <w:tcPr>
            <w:tcW w:w="820" w:type="pct"/>
            <w:tcBorders>
              <w:top w:val="single" w:sz="4" w:space="0" w:color="2E74B5"/>
              <w:left w:val="nil"/>
              <w:bottom w:val="single" w:sz="4" w:space="0" w:color="2E74B5"/>
              <w:right w:val="nil"/>
            </w:tcBorders>
            <w:shd w:val="clear" w:color="auto" w:fill="auto"/>
          </w:tcPr>
          <w:p w14:paraId="16A050A1" w14:textId="77777777" w:rsidR="00380BE7" w:rsidRPr="00256982" w:rsidRDefault="00380BE7" w:rsidP="00A10AC0">
            <w:pPr>
              <w:pStyle w:val="Tableboldblue"/>
              <w:spacing w:before="50" w:after="50"/>
              <w:rPr>
                <w:rFonts w:eastAsia="Arial"/>
              </w:rPr>
            </w:pPr>
            <w:r w:rsidRPr="00256982">
              <w:rPr>
                <w:rFonts w:eastAsia="Arial"/>
              </w:rPr>
              <w:t>Total</w:t>
            </w:r>
          </w:p>
        </w:tc>
        <w:tc>
          <w:tcPr>
            <w:tcW w:w="750" w:type="pct"/>
            <w:tcBorders>
              <w:top w:val="single" w:sz="4" w:space="0" w:color="2E74B5"/>
              <w:left w:val="nil"/>
              <w:bottom w:val="single" w:sz="4" w:space="0" w:color="2E74B5"/>
              <w:right w:val="nil"/>
            </w:tcBorders>
            <w:shd w:val="clear" w:color="auto" w:fill="auto"/>
            <w:noWrap/>
          </w:tcPr>
          <w:p w14:paraId="1F41FD24" w14:textId="77777777" w:rsidR="00380BE7" w:rsidRPr="00256982" w:rsidRDefault="00380BE7" w:rsidP="00A10AC0">
            <w:pPr>
              <w:pStyle w:val="Tableboldblue"/>
              <w:spacing w:before="50" w:after="50"/>
              <w:jc w:val="right"/>
              <w:rPr>
                <w:rFonts w:eastAsia="Arial" w:cs="Arial"/>
                <w:szCs w:val="16"/>
              </w:rPr>
            </w:pPr>
            <w:r w:rsidRPr="00256982">
              <w:rPr>
                <w:rFonts w:cs="Arial"/>
                <w:color w:val="000000"/>
                <w:szCs w:val="16"/>
              </w:rPr>
              <w:t>–</w:t>
            </w:r>
            <w:r w:rsidRPr="00256982">
              <w:rPr>
                <w:rFonts w:cs="Arial"/>
                <w:szCs w:val="16"/>
              </w:rPr>
              <w:t>29,539.5</w:t>
            </w:r>
          </w:p>
        </w:tc>
        <w:tc>
          <w:tcPr>
            <w:tcW w:w="752" w:type="pct"/>
            <w:tcBorders>
              <w:top w:val="single" w:sz="4" w:space="0" w:color="2E74B5"/>
              <w:left w:val="nil"/>
              <w:bottom w:val="single" w:sz="4" w:space="0" w:color="2E74B5"/>
              <w:right w:val="nil"/>
            </w:tcBorders>
            <w:shd w:val="clear" w:color="auto" w:fill="auto"/>
            <w:noWrap/>
          </w:tcPr>
          <w:p w14:paraId="419920F3" w14:textId="77777777" w:rsidR="00380BE7" w:rsidRPr="00256982" w:rsidRDefault="00380BE7" w:rsidP="00A10AC0">
            <w:pPr>
              <w:pStyle w:val="Tableboldblue"/>
              <w:spacing w:before="50" w:after="50"/>
              <w:jc w:val="right"/>
              <w:rPr>
                <w:rFonts w:eastAsia="Arial" w:cs="Arial"/>
                <w:szCs w:val="16"/>
              </w:rPr>
            </w:pPr>
            <w:r w:rsidRPr="00256982">
              <w:rPr>
                <w:rFonts w:cs="Arial"/>
                <w:color w:val="000000"/>
                <w:szCs w:val="16"/>
              </w:rPr>
              <w:t>–</w:t>
            </w:r>
            <w:r w:rsidRPr="00256982">
              <w:rPr>
                <w:rFonts w:cs="Arial"/>
                <w:szCs w:val="16"/>
              </w:rPr>
              <w:t>31,161.8</w:t>
            </w:r>
          </w:p>
        </w:tc>
        <w:tc>
          <w:tcPr>
            <w:tcW w:w="748" w:type="pct"/>
            <w:tcBorders>
              <w:top w:val="single" w:sz="4" w:space="0" w:color="2E74B5"/>
              <w:left w:val="nil"/>
              <w:bottom w:val="single" w:sz="4" w:space="0" w:color="2E74B5"/>
              <w:right w:val="nil"/>
            </w:tcBorders>
            <w:shd w:val="clear" w:color="auto" w:fill="auto"/>
            <w:noWrap/>
          </w:tcPr>
          <w:p w14:paraId="2A91E012" w14:textId="77777777" w:rsidR="00380BE7" w:rsidRPr="00256982" w:rsidRDefault="00380BE7" w:rsidP="00A10AC0">
            <w:pPr>
              <w:pStyle w:val="Tableboldblue"/>
              <w:spacing w:before="50" w:after="50"/>
              <w:jc w:val="right"/>
              <w:rPr>
                <w:rFonts w:eastAsia="Arial" w:cs="Arial"/>
                <w:szCs w:val="16"/>
              </w:rPr>
            </w:pPr>
            <w:r w:rsidRPr="00256982">
              <w:rPr>
                <w:rFonts w:cs="Arial"/>
                <w:color w:val="000000"/>
                <w:szCs w:val="16"/>
              </w:rPr>
              <w:t>–</w:t>
            </w:r>
            <w:r w:rsidRPr="00256982">
              <w:rPr>
                <w:rFonts w:cs="Arial"/>
                <w:szCs w:val="16"/>
              </w:rPr>
              <w:t>22,773.7</w:t>
            </w:r>
          </w:p>
        </w:tc>
        <w:tc>
          <w:tcPr>
            <w:tcW w:w="750" w:type="pct"/>
            <w:tcBorders>
              <w:top w:val="single" w:sz="4" w:space="0" w:color="2E74B5"/>
              <w:left w:val="nil"/>
              <w:bottom w:val="single" w:sz="4" w:space="0" w:color="2E74B5"/>
              <w:right w:val="nil"/>
            </w:tcBorders>
            <w:shd w:val="clear" w:color="auto" w:fill="auto"/>
            <w:noWrap/>
          </w:tcPr>
          <w:p w14:paraId="394DEB8E" w14:textId="77777777" w:rsidR="00380BE7" w:rsidRPr="00256982" w:rsidRDefault="00380BE7" w:rsidP="00A10AC0">
            <w:pPr>
              <w:pStyle w:val="Tableboldblue"/>
              <w:spacing w:before="50" w:after="50"/>
              <w:jc w:val="right"/>
              <w:rPr>
                <w:rFonts w:eastAsia="Arial" w:cs="Arial"/>
                <w:szCs w:val="16"/>
              </w:rPr>
            </w:pPr>
            <w:r w:rsidRPr="00256982">
              <w:rPr>
                <w:rFonts w:cs="Arial"/>
                <w:color w:val="000000"/>
                <w:szCs w:val="16"/>
              </w:rPr>
              <w:t>–</w:t>
            </w:r>
            <w:r w:rsidRPr="00256982">
              <w:rPr>
                <w:rFonts w:cs="Arial"/>
                <w:szCs w:val="16"/>
              </w:rPr>
              <w:t>24,831.6</w:t>
            </w:r>
          </w:p>
        </w:tc>
        <w:tc>
          <w:tcPr>
            <w:tcW w:w="567" w:type="pct"/>
            <w:tcBorders>
              <w:top w:val="single" w:sz="4" w:space="0" w:color="2E74B5"/>
              <w:left w:val="nil"/>
              <w:bottom w:val="single" w:sz="4" w:space="0" w:color="2E74B5"/>
              <w:right w:val="nil"/>
            </w:tcBorders>
            <w:shd w:val="clear" w:color="auto" w:fill="auto"/>
          </w:tcPr>
          <w:p w14:paraId="7D527854" w14:textId="77777777" w:rsidR="00380BE7" w:rsidRPr="00256982" w:rsidRDefault="00380BE7" w:rsidP="00A10AC0">
            <w:pPr>
              <w:pStyle w:val="Tableboldblue"/>
              <w:spacing w:before="50" w:after="50"/>
              <w:jc w:val="right"/>
              <w:rPr>
                <w:rFonts w:eastAsia="Arial" w:cs="Arial"/>
                <w:szCs w:val="16"/>
              </w:rPr>
            </w:pPr>
            <w:r w:rsidRPr="00256982">
              <w:rPr>
                <w:rFonts w:cs="Arial"/>
                <w:color w:val="000000"/>
                <w:szCs w:val="16"/>
              </w:rPr>
              <w:t>–</w:t>
            </w:r>
            <w:r w:rsidRPr="00256982">
              <w:rPr>
                <w:rFonts w:cs="Arial"/>
                <w:szCs w:val="16"/>
              </w:rPr>
              <w:t>5.5</w:t>
            </w:r>
          </w:p>
        </w:tc>
        <w:tc>
          <w:tcPr>
            <w:tcW w:w="613" w:type="pct"/>
            <w:tcBorders>
              <w:top w:val="single" w:sz="4" w:space="0" w:color="2E74B5"/>
              <w:left w:val="nil"/>
              <w:bottom w:val="single" w:sz="4" w:space="0" w:color="2E74B5"/>
              <w:right w:val="nil"/>
            </w:tcBorders>
            <w:shd w:val="clear" w:color="auto" w:fill="auto"/>
          </w:tcPr>
          <w:p w14:paraId="5FDF353C" w14:textId="77777777" w:rsidR="00380BE7" w:rsidRPr="00256982" w:rsidRDefault="00380BE7" w:rsidP="00A10AC0">
            <w:pPr>
              <w:pStyle w:val="Tableboldblue"/>
              <w:spacing w:before="50" w:after="50"/>
              <w:jc w:val="right"/>
              <w:rPr>
                <w:rFonts w:eastAsia="Arial" w:cs="Arial"/>
                <w:szCs w:val="16"/>
              </w:rPr>
            </w:pPr>
            <w:r w:rsidRPr="00256982">
              <w:rPr>
                <w:rFonts w:cs="Arial"/>
                <w:color w:val="000000"/>
                <w:szCs w:val="16"/>
              </w:rPr>
              <w:t>–</w:t>
            </w:r>
            <w:r w:rsidRPr="00256982">
              <w:rPr>
                <w:rFonts w:cs="Arial"/>
                <w:szCs w:val="16"/>
              </w:rPr>
              <w:t>9.0</w:t>
            </w:r>
          </w:p>
        </w:tc>
      </w:tr>
    </w:tbl>
    <w:p w14:paraId="4EC9CF92" w14:textId="77777777" w:rsidR="00380BE7" w:rsidRPr="00256982" w:rsidRDefault="00380BE7" w:rsidP="00380BE7">
      <w:pPr>
        <w:pStyle w:val="Noteundertable"/>
      </w:pPr>
      <w:r w:rsidRPr="00256982">
        <w:rPr>
          <w:b/>
        </w:rPr>
        <w:t>Note:</w:t>
      </w:r>
      <w:r w:rsidRPr="00256982">
        <w:tab/>
        <w:t>Net removals are expressed as a negative value in the table to help clarify that the value is a removal (of CO</w:t>
      </w:r>
      <w:r w:rsidRPr="00256982">
        <w:rPr>
          <w:vertAlign w:val="subscript"/>
        </w:rPr>
        <w:t>2</w:t>
      </w:r>
      <w:r w:rsidRPr="00256982">
        <w:t xml:space="preserve">-e from the atmosphere) and not an emission. Columns may not total due to rounding. </w:t>
      </w:r>
    </w:p>
    <w:p w14:paraId="2F2CFA9E" w14:textId="77777777" w:rsidR="00380BE7" w:rsidRPr="00256982" w:rsidRDefault="00380BE7" w:rsidP="00380BE7">
      <w:pPr>
        <w:pStyle w:val="BodyText"/>
      </w:pPr>
      <w:r w:rsidRPr="00256982">
        <w:t>Detailed information on the recalculations is provided below in the relevant source-specific recalculations sections and in chapter 10.</w:t>
      </w:r>
    </w:p>
    <w:p w14:paraId="6B974C6C" w14:textId="77777777" w:rsidR="00380BE7" w:rsidRPr="00256982" w:rsidRDefault="00380BE7" w:rsidP="00380BE7">
      <w:pPr>
        <w:pStyle w:val="Heading3"/>
        <w:spacing w:before="280"/>
      </w:pPr>
      <w:bookmarkStart w:id="1039" w:name="_Toc280630222"/>
      <w:r w:rsidRPr="00256982">
        <w:t>6.1.5</w:t>
      </w:r>
      <w:r w:rsidRPr="00256982">
        <w:tab/>
        <w:t>LULUCF planned improvements</w:t>
      </w:r>
      <w:bookmarkEnd w:id="1039"/>
    </w:p>
    <w:p w14:paraId="265BC0F3" w14:textId="77777777" w:rsidR="00380BE7" w:rsidRPr="00256982" w:rsidRDefault="00380BE7" w:rsidP="00380BE7">
      <w:pPr>
        <w:pStyle w:val="BodyText"/>
        <w:spacing w:after="80"/>
      </w:pPr>
      <w:r w:rsidRPr="00256982">
        <w:t>Category-specific planned improvements are reported separately under each of the relevant sections of this chapter. The major themes are to:</w:t>
      </w:r>
    </w:p>
    <w:p w14:paraId="2905EB8B" w14:textId="77777777" w:rsidR="00380BE7" w:rsidRPr="00256982" w:rsidRDefault="00380BE7" w:rsidP="00380BE7">
      <w:pPr>
        <w:pStyle w:val="Bullet"/>
        <w:numPr>
          <w:ilvl w:val="0"/>
          <w:numId w:val="8"/>
        </w:numPr>
      </w:pPr>
      <w:r w:rsidRPr="00256982">
        <w:t>continue with method development to implement the 2006 IPCC Guidelines (IPCC, 2006a). Research is currently under way to improve estimates in natural forests</w:t>
      </w:r>
    </w:p>
    <w:p w14:paraId="6329EEFD" w14:textId="77777777" w:rsidR="00380BE7" w:rsidRPr="00256982" w:rsidRDefault="00380BE7" w:rsidP="00380BE7">
      <w:pPr>
        <w:pStyle w:val="Bullet"/>
        <w:numPr>
          <w:ilvl w:val="0"/>
          <w:numId w:val="8"/>
        </w:numPr>
      </w:pPr>
      <w:r w:rsidRPr="00256982">
        <w:t xml:space="preserve">revisit the assumption that controlled burning of post-harvest residues on land converted to forest land does not occur, due to the increasing harvest rate in these forests as they reach maturity </w:t>
      </w:r>
    </w:p>
    <w:p w14:paraId="5AC2424A" w14:textId="77777777" w:rsidR="00380BE7" w:rsidRPr="00256982" w:rsidRDefault="00380BE7" w:rsidP="00380BE7">
      <w:pPr>
        <w:pStyle w:val="Bullet"/>
        <w:numPr>
          <w:ilvl w:val="0"/>
          <w:numId w:val="8"/>
        </w:numPr>
      </w:pPr>
      <w:r w:rsidRPr="00256982">
        <w:t>re-measure the post-1989 natural forest ground plot inventory in the 2018/19 field season, with analysis of the data to develop new emissions factors for this forest type</w:t>
      </w:r>
    </w:p>
    <w:p w14:paraId="6975FDAD" w14:textId="77777777" w:rsidR="00380BE7" w:rsidRPr="00256982" w:rsidRDefault="00380BE7" w:rsidP="00380BE7">
      <w:pPr>
        <w:pStyle w:val="Bullet"/>
        <w:numPr>
          <w:ilvl w:val="0"/>
          <w:numId w:val="8"/>
        </w:numPr>
      </w:pPr>
      <w:r w:rsidRPr="00256982">
        <w:t>continue to re-measure the pre-1990 natural forest ground plot inventory on a continuous basis (on a 10-year cycle). These data will be analysed and incorporated into the National Inventory Report on a periodic basis</w:t>
      </w:r>
    </w:p>
    <w:p w14:paraId="6E91CC28" w14:textId="77777777" w:rsidR="00380BE7" w:rsidRPr="00256982" w:rsidRDefault="00380BE7" w:rsidP="00380BE7">
      <w:pPr>
        <w:pStyle w:val="Bullet"/>
        <w:numPr>
          <w:ilvl w:val="0"/>
          <w:numId w:val="8"/>
        </w:numPr>
      </w:pPr>
      <w:r w:rsidRPr="00256982">
        <w:t>continue to re-measure the complete planted forest plot network (pre-1990 and post-1989) on a continuous basis (on a five-year cycle). These data will be incorporated into the National Inventory Report as they become available and on a regular basis</w:t>
      </w:r>
    </w:p>
    <w:p w14:paraId="6A521377" w14:textId="77777777" w:rsidR="00380BE7" w:rsidRPr="00256982" w:rsidRDefault="00380BE7" w:rsidP="00380BE7">
      <w:pPr>
        <w:pStyle w:val="Bullet"/>
        <w:numPr>
          <w:ilvl w:val="0"/>
          <w:numId w:val="8"/>
        </w:numPr>
      </w:pPr>
      <w:r w:rsidRPr="00256982">
        <w:lastRenderedPageBreak/>
        <w:t xml:space="preserve">continue to improve mapping land use by using information collected through the NZ ETS. The NZ ETS provides an ongoing source of mapping information on forest extent and age along with information on deforestation activity and carbon equivalent forest activities. This will be used as part of a continuous improvement programme to update the 1990, 2008, 2012 and 2016 land use maps </w:t>
      </w:r>
    </w:p>
    <w:p w14:paraId="69C19CA9" w14:textId="77777777" w:rsidR="00380BE7" w:rsidRPr="00256982" w:rsidRDefault="00380BE7" w:rsidP="00380BE7">
      <w:pPr>
        <w:pStyle w:val="Bullet"/>
        <w:numPr>
          <w:ilvl w:val="0"/>
          <w:numId w:val="8"/>
        </w:numPr>
      </w:pPr>
      <w:r w:rsidRPr="00256982">
        <w:t>identify exotic weed tree species (mainly wilding conifers) and develop a methodology to determine the planting date for forest planted after 1990.</w:t>
      </w:r>
    </w:p>
    <w:p w14:paraId="43A3F6D5" w14:textId="77777777" w:rsidR="00380BE7" w:rsidRPr="00256982" w:rsidRDefault="00380BE7" w:rsidP="00380BE7">
      <w:pPr>
        <w:pStyle w:val="Heading2"/>
        <w:spacing w:before="280"/>
      </w:pPr>
      <w:bookmarkStart w:id="1040" w:name="_Toc361645361"/>
      <w:bookmarkStart w:id="1041" w:name="_Toc391024698"/>
      <w:bookmarkStart w:id="1042" w:name="_Toc414531315"/>
      <w:bookmarkStart w:id="1043" w:name="_Toc474335457"/>
      <w:bookmarkStart w:id="1044" w:name="_Toc481751397"/>
      <w:bookmarkStart w:id="1045" w:name="_Toc522013949"/>
      <w:bookmarkStart w:id="1046" w:name="_Toc5269374"/>
      <w:r w:rsidRPr="00256982">
        <w:t>6.2</w:t>
      </w:r>
      <w:r w:rsidRPr="00256982">
        <w:tab/>
        <w:t>Representation of land areas</w:t>
      </w:r>
      <w:bookmarkEnd w:id="1040"/>
      <w:bookmarkEnd w:id="1041"/>
      <w:bookmarkEnd w:id="1042"/>
      <w:bookmarkEnd w:id="1043"/>
      <w:bookmarkEnd w:id="1044"/>
      <w:bookmarkEnd w:id="1045"/>
      <w:bookmarkEnd w:id="1046"/>
    </w:p>
    <w:p w14:paraId="04411164" w14:textId="0FA03D9E" w:rsidR="00380BE7" w:rsidRPr="00256982" w:rsidRDefault="00380BE7" w:rsidP="00380BE7">
      <w:pPr>
        <w:pStyle w:val="BodyText"/>
      </w:pPr>
      <w:r w:rsidRPr="00256982">
        <w:t>The total land area of New Zealand is 26,925.2 kilohectares. This includes all significant New Zealand land masses: the two main islands, the North Island and South Island, as well as Stewart Island, Great Barrier Island, Little Barrier Is</w:t>
      </w:r>
      <w:r w:rsidR="000E7C76" w:rsidRPr="00256982">
        <w:t>land, the Chatham Islands, the S</w:t>
      </w:r>
      <w:r w:rsidRPr="00256982">
        <w:t>ub</w:t>
      </w:r>
      <w:r w:rsidR="000E7C76" w:rsidRPr="00256982">
        <w:t>a</w:t>
      </w:r>
      <w:r w:rsidRPr="00256982">
        <w:t xml:space="preserve">ntarctic </w:t>
      </w:r>
      <w:r w:rsidR="000E7C76" w:rsidRPr="00256982">
        <w:t>I</w:t>
      </w:r>
      <w:r w:rsidRPr="00256982">
        <w:t xml:space="preserve">slands and other, small outlying islands. </w:t>
      </w:r>
    </w:p>
    <w:p w14:paraId="4F44CBCB" w14:textId="21E5B508" w:rsidR="00380BE7" w:rsidRPr="00256982" w:rsidRDefault="00380BE7" w:rsidP="00380BE7">
      <w:pPr>
        <w:pStyle w:val="BodyText"/>
      </w:pPr>
      <w:r w:rsidRPr="00256982">
        <w:t>New Zealand has used a combination of Reporting Methods 1 and 2, and Approaches 2 and 3 to determine land-use changes occurring between 1 January 1990 and 31 December 2017 (section 3.1.1, IPCC, 2006a). The total land use areas as at 1 January 1990, 1 January 2008, 31 December 2012 and 31 December 2016 are based on wall-to-wall mapping of satellite and aircraft remotely sensed imagery taken in, or close to the start of, 1990, 2008, 2013 and 2017 respectively, as described in section 6.2.2. The mapping of forest areas in these four maps includes improvements made up to August 2018 using aerial photography and data from the NZ</w:t>
      </w:r>
      <w:r w:rsidR="00722531" w:rsidRPr="00256982">
        <w:t> </w:t>
      </w:r>
      <w:r w:rsidRPr="00256982">
        <w:t>ETS. Deforestation occurring between 2008 and 2016 has been mapped by year using ancillary satellite imagery and oblique aerial photography. All other land-use changes occurring between the four major mapping years have been interpolated from other sources. This is described in further detail in section 6.2.3.</w:t>
      </w:r>
    </w:p>
    <w:p w14:paraId="1D4B19DE" w14:textId="77777777" w:rsidR="00380BE7" w:rsidRPr="00256982" w:rsidRDefault="00380BE7" w:rsidP="00380BE7">
      <w:pPr>
        <w:pStyle w:val="Heading3"/>
        <w:spacing w:before="280"/>
      </w:pPr>
      <w:bookmarkStart w:id="1047" w:name="_Toc280630224"/>
      <w:bookmarkStart w:id="1048" w:name="_Toc361645362"/>
      <w:r w:rsidRPr="00256982">
        <w:t>6.2.1</w:t>
      </w:r>
      <w:r w:rsidRPr="00256982">
        <w:tab/>
        <w:t>Land use category definitions</w:t>
      </w:r>
      <w:bookmarkEnd w:id="1047"/>
      <w:bookmarkEnd w:id="1048"/>
    </w:p>
    <w:p w14:paraId="652C1B6F" w14:textId="263ABE0F" w:rsidR="00380BE7" w:rsidRPr="00256982" w:rsidRDefault="00380BE7" w:rsidP="00380BE7">
      <w:pPr>
        <w:pStyle w:val="BodyText"/>
      </w:pPr>
      <w:r w:rsidRPr="00256982">
        <w:t>The land use categories and matching land uses New Zealand reports for are shown in table</w:t>
      </w:r>
      <w:r w:rsidR="00722531" w:rsidRPr="00256982">
        <w:t> </w:t>
      </w:r>
      <w:r w:rsidRPr="00256982">
        <w:t>6.2.1.</w:t>
      </w:r>
    </w:p>
    <w:p w14:paraId="68255D98" w14:textId="77777777" w:rsidR="00380BE7" w:rsidRPr="00256982" w:rsidRDefault="00380BE7" w:rsidP="00380BE7">
      <w:pPr>
        <w:pStyle w:val="Table"/>
      </w:pPr>
      <w:bookmarkStart w:id="1049" w:name="_Toc310423399"/>
      <w:bookmarkStart w:id="1050" w:name="_Toc318362692"/>
      <w:bookmarkStart w:id="1051" w:name="_Toc342470754"/>
      <w:bookmarkStart w:id="1052" w:name="_Toc352504994"/>
      <w:bookmarkStart w:id="1053" w:name="_Toc361645342"/>
      <w:bookmarkStart w:id="1054" w:name="_Toc378853280"/>
      <w:bookmarkStart w:id="1055" w:name="_Toc391024078"/>
      <w:bookmarkStart w:id="1056" w:name="_Toc410028821"/>
      <w:bookmarkStart w:id="1057" w:name="_Toc414531449"/>
      <w:bookmarkStart w:id="1058" w:name="_Toc443645362"/>
      <w:bookmarkStart w:id="1059" w:name="_Toc474914581"/>
      <w:bookmarkStart w:id="1060" w:name="_Toc481751545"/>
      <w:bookmarkStart w:id="1061" w:name="_Toc522010602"/>
      <w:bookmarkStart w:id="1062" w:name="_Toc5269507"/>
      <w:r w:rsidRPr="00256982">
        <w:t>Table 6.2.1</w:t>
      </w:r>
      <w:r w:rsidRPr="00256982">
        <w:tab/>
        <w:t xml:space="preserve">New Zealand’s land use categories and </w:t>
      </w:r>
      <w:bookmarkEnd w:id="1049"/>
      <w:bookmarkEnd w:id="1050"/>
      <w:bookmarkEnd w:id="1051"/>
      <w:bookmarkEnd w:id="1052"/>
      <w:bookmarkEnd w:id="1053"/>
      <w:bookmarkEnd w:id="1054"/>
      <w:bookmarkEnd w:id="1055"/>
      <w:bookmarkEnd w:id="1056"/>
      <w:bookmarkEnd w:id="1057"/>
      <w:bookmarkEnd w:id="1058"/>
      <w:r w:rsidRPr="00256982">
        <w:t>land uses</w:t>
      </w:r>
      <w:bookmarkEnd w:id="1059"/>
      <w:bookmarkEnd w:id="1060"/>
      <w:bookmarkEnd w:id="1061"/>
      <w:bookmarkEnd w:id="1062"/>
    </w:p>
    <w:tbl>
      <w:tblPr>
        <w:tblW w:w="8562" w:type="dxa"/>
        <w:tblInd w:w="108" w:type="dxa"/>
        <w:tblBorders>
          <w:bottom w:val="single" w:sz="8" w:space="0" w:color="365F91"/>
        </w:tblBorders>
        <w:tblLook w:val="04A0" w:firstRow="1" w:lastRow="0" w:firstColumn="1" w:lastColumn="0" w:noHBand="0" w:noVBand="1"/>
      </w:tblPr>
      <w:tblGrid>
        <w:gridCol w:w="3135"/>
        <w:gridCol w:w="5427"/>
      </w:tblGrid>
      <w:tr w:rsidR="00380BE7" w:rsidRPr="00256982" w14:paraId="18939561" w14:textId="77777777" w:rsidTr="00722531">
        <w:trPr>
          <w:tblHeader/>
        </w:trPr>
        <w:tc>
          <w:tcPr>
            <w:tcW w:w="2427" w:type="dxa"/>
            <w:tcBorders>
              <w:top w:val="single" w:sz="4" w:space="0" w:color="365F91"/>
              <w:bottom w:val="single" w:sz="4" w:space="0" w:color="365F91"/>
              <w:right w:val="nil"/>
            </w:tcBorders>
            <w:shd w:val="clear" w:color="auto" w:fill="365F91"/>
          </w:tcPr>
          <w:p w14:paraId="7C847C1D" w14:textId="77777777" w:rsidR="00380BE7" w:rsidRPr="00256982" w:rsidRDefault="00380BE7" w:rsidP="00722531">
            <w:pPr>
              <w:pStyle w:val="TableTextBold"/>
              <w:keepNext/>
              <w:spacing w:before="50" w:after="40"/>
              <w:rPr>
                <w:rFonts w:eastAsia="Arial"/>
                <w:noProof w:val="0"/>
                <w:color w:val="FFFFFF"/>
              </w:rPr>
            </w:pPr>
            <w:r w:rsidRPr="00256982">
              <w:rPr>
                <w:rFonts w:eastAsia="Arial"/>
                <w:noProof w:val="0"/>
                <w:color w:val="FFFFFF"/>
              </w:rPr>
              <w:t xml:space="preserve">IPCC category </w:t>
            </w:r>
          </w:p>
        </w:tc>
        <w:tc>
          <w:tcPr>
            <w:tcW w:w="4202" w:type="dxa"/>
            <w:tcBorders>
              <w:top w:val="single" w:sz="4" w:space="0" w:color="365F91"/>
              <w:bottom w:val="single" w:sz="4" w:space="0" w:color="365F91"/>
            </w:tcBorders>
            <w:shd w:val="clear" w:color="auto" w:fill="365F91"/>
          </w:tcPr>
          <w:p w14:paraId="019A53F5" w14:textId="77777777" w:rsidR="00380BE7" w:rsidRPr="00256982" w:rsidRDefault="00380BE7" w:rsidP="00722531">
            <w:pPr>
              <w:pStyle w:val="TableTextBold"/>
              <w:spacing w:before="50" w:after="40"/>
              <w:rPr>
                <w:rFonts w:eastAsia="Arial"/>
                <w:noProof w:val="0"/>
                <w:color w:val="FFFFFF"/>
              </w:rPr>
            </w:pPr>
            <w:r w:rsidRPr="00256982">
              <w:rPr>
                <w:rFonts w:eastAsia="Arial"/>
                <w:noProof w:val="0"/>
                <w:color w:val="FFFFFF"/>
              </w:rPr>
              <w:t xml:space="preserve">New Zealand land use </w:t>
            </w:r>
          </w:p>
        </w:tc>
      </w:tr>
      <w:tr w:rsidR="00380BE7" w:rsidRPr="00256982" w14:paraId="7451B1CE" w14:textId="77777777" w:rsidTr="00722531">
        <w:tc>
          <w:tcPr>
            <w:tcW w:w="2427" w:type="dxa"/>
            <w:tcBorders>
              <w:top w:val="single" w:sz="4" w:space="0" w:color="365F91"/>
              <w:bottom w:val="nil"/>
              <w:right w:val="nil"/>
            </w:tcBorders>
            <w:shd w:val="clear" w:color="auto" w:fill="auto"/>
          </w:tcPr>
          <w:p w14:paraId="70D666A1" w14:textId="77777777" w:rsidR="00380BE7" w:rsidRPr="00256982" w:rsidRDefault="00380BE7" w:rsidP="000F2C4E">
            <w:pPr>
              <w:pStyle w:val="TableText"/>
              <w:spacing w:before="40" w:after="40"/>
              <w:rPr>
                <w:rFonts w:eastAsia="Arial"/>
                <w:szCs w:val="22"/>
              </w:rPr>
            </w:pPr>
            <w:r w:rsidRPr="00256982">
              <w:rPr>
                <w:rFonts w:eastAsia="Arial"/>
                <w:szCs w:val="22"/>
              </w:rPr>
              <w:t xml:space="preserve">Forest land </w:t>
            </w:r>
          </w:p>
        </w:tc>
        <w:tc>
          <w:tcPr>
            <w:tcW w:w="4202" w:type="dxa"/>
            <w:tcBorders>
              <w:top w:val="single" w:sz="4" w:space="0" w:color="365F91"/>
            </w:tcBorders>
            <w:shd w:val="clear" w:color="auto" w:fill="auto"/>
          </w:tcPr>
          <w:p w14:paraId="6C2C2343" w14:textId="77777777" w:rsidR="00380BE7" w:rsidRPr="00256982" w:rsidRDefault="00380BE7" w:rsidP="000F2C4E">
            <w:pPr>
              <w:pStyle w:val="TableText"/>
              <w:spacing w:before="40" w:after="40"/>
              <w:rPr>
                <w:rFonts w:eastAsia="Arial"/>
                <w:szCs w:val="22"/>
              </w:rPr>
            </w:pPr>
            <w:r w:rsidRPr="00256982">
              <w:rPr>
                <w:rFonts w:eastAsia="Arial"/>
                <w:szCs w:val="22"/>
              </w:rPr>
              <w:t xml:space="preserve">Pre-1990 natural forest </w:t>
            </w:r>
          </w:p>
        </w:tc>
      </w:tr>
      <w:tr w:rsidR="00380BE7" w:rsidRPr="00256982" w14:paraId="3E3B1A92" w14:textId="77777777" w:rsidTr="00722531">
        <w:tc>
          <w:tcPr>
            <w:tcW w:w="2427" w:type="dxa"/>
            <w:tcBorders>
              <w:top w:val="nil"/>
              <w:bottom w:val="nil"/>
              <w:right w:val="nil"/>
            </w:tcBorders>
            <w:shd w:val="clear" w:color="auto" w:fill="auto"/>
          </w:tcPr>
          <w:p w14:paraId="7D1F1E66" w14:textId="77777777" w:rsidR="00380BE7" w:rsidRPr="00256982" w:rsidRDefault="00380BE7" w:rsidP="000F2C4E">
            <w:pPr>
              <w:pStyle w:val="TableText"/>
              <w:spacing w:before="40" w:after="40"/>
              <w:rPr>
                <w:rFonts w:eastAsia="Arial"/>
                <w:szCs w:val="22"/>
              </w:rPr>
            </w:pPr>
          </w:p>
        </w:tc>
        <w:tc>
          <w:tcPr>
            <w:tcW w:w="4202" w:type="dxa"/>
            <w:tcBorders>
              <w:top w:val="single" w:sz="8" w:space="0" w:color="365F91"/>
              <w:bottom w:val="single" w:sz="8" w:space="0" w:color="365F91"/>
            </w:tcBorders>
            <w:shd w:val="clear" w:color="auto" w:fill="auto"/>
          </w:tcPr>
          <w:p w14:paraId="2DDE24EB" w14:textId="77777777" w:rsidR="00380BE7" w:rsidRPr="00256982" w:rsidRDefault="00380BE7" w:rsidP="000F2C4E">
            <w:pPr>
              <w:pStyle w:val="TableText"/>
              <w:spacing w:before="40" w:after="40"/>
              <w:rPr>
                <w:rFonts w:eastAsia="Arial"/>
                <w:szCs w:val="22"/>
              </w:rPr>
            </w:pPr>
            <w:r w:rsidRPr="00256982">
              <w:rPr>
                <w:rFonts w:eastAsia="Arial"/>
                <w:szCs w:val="22"/>
              </w:rPr>
              <w:t>Pre-1990 planted forest</w:t>
            </w:r>
          </w:p>
        </w:tc>
      </w:tr>
      <w:tr w:rsidR="00380BE7" w:rsidRPr="00256982" w14:paraId="2194A8F0" w14:textId="77777777" w:rsidTr="00722531">
        <w:tc>
          <w:tcPr>
            <w:tcW w:w="2427" w:type="dxa"/>
            <w:tcBorders>
              <w:bottom w:val="single" w:sz="8" w:space="0" w:color="365F91"/>
              <w:right w:val="nil"/>
            </w:tcBorders>
            <w:shd w:val="clear" w:color="auto" w:fill="auto"/>
          </w:tcPr>
          <w:p w14:paraId="7C772CA6" w14:textId="77777777" w:rsidR="00380BE7" w:rsidRPr="00256982" w:rsidRDefault="00380BE7" w:rsidP="000F2C4E">
            <w:pPr>
              <w:pStyle w:val="TableText"/>
              <w:spacing w:before="40" w:after="40"/>
              <w:rPr>
                <w:rFonts w:eastAsia="Arial"/>
                <w:szCs w:val="22"/>
              </w:rPr>
            </w:pPr>
          </w:p>
        </w:tc>
        <w:tc>
          <w:tcPr>
            <w:tcW w:w="4202" w:type="dxa"/>
            <w:shd w:val="clear" w:color="auto" w:fill="auto"/>
          </w:tcPr>
          <w:p w14:paraId="02F8E5CD" w14:textId="77777777" w:rsidR="00380BE7" w:rsidRPr="00256982" w:rsidRDefault="00380BE7" w:rsidP="000F2C4E">
            <w:pPr>
              <w:pStyle w:val="TableText"/>
              <w:spacing w:before="40" w:after="40"/>
              <w:rPr>
                <w:rFonts w:eastAsia="Arial"/>
                <w:szCs w:val="22"/>
              </w:rPr>
            </w:pPr>
            <w:r w:rsidRPr="00256982">
              <w:rPr>
                <w:rFonts w:eastAsia="Arial"/>
                <w:szCs w:val="22"/>
              </w:rPr>
              <w:t>Post-1989 forest</w:t>
            </w:r>
            <w:r w:rsidRPr="00256982">
              <w:rPr>
                <w:rFonts w:eastAsia="Arial"/>
                <w:szCs w:val="22"/>
                <w:vertAlign w:val="superscript"/>
              </w:rPr>
              <w:t>(1)</w:t>
            </w:r>
          </w:p>
        </w:tc>
      </w:tr>
      <w:tr w:rsidR="00380BE7" w:rsidRPr="00256982" w14:paraId="6C1FBD15" w14:textId="77777777" w:rsidTr="00722531">
        <w:tc>
          <w:tcPr>
            <w:tcW w:w="2427" w:type="dxa"/>
            <w:tcBorders>
              <w:top w:val="single" w:sz="8" w:space="0" w:color="365F91"/>
              <w:bottom w:val="nil"/>
              <w:right w:val="nil"/>
            </w:tcBorders>
            <w:shd w:val="clear" w:color="auto" w:fill="auto"/>
          </w:tcPr>
          <w:p w14:paraId="5F21D342" w14:textId="77777777" w:rsidR="00380BE7" w:rsidRPr="00256982" w:rsidRDefault="00380BE7" w:rsidP="000F2C4E">
            <w:pPr>
              <w:pStyle w:val="TableText"/>
              <w:spacing w:before="40" w:after="40"/>
              <w:rPr>
                <w:rFonts w:eastAsia="Arial"/>
                <w:szCs w:val="22"/>
              </w:rPr>
            </w:pPr>
            <w:r w:rsidRPr="00256982">
              <w:rPr>
                <w:rFonts w:eastAsia="Arial"/>
                <w:szCs w:val="22"/>
              </w:rPr>
              <w:t xml:space="preserve">Cropland </w:t>
            </w:r>
          </w:p>
        </w:tc>
        <w:tc>
          <w:tcPr>
            <w:tcW w:w="4202" w:type="dxa"/>
            <w:tcBorders>
              <w:top w:val="single" w:sz="8" w:space="0" w:color="365F91"/>
              <w:bottom w:val="single" w:sz="8" w:space="0" w:color="365F91"/>
            </w:tcBorders>
            <w:shd w:val="clear" w:color="auto" w:fill="auto"/>
          </w:tcPr>
          <w:p w14:paraId="2FB2742D" w14:textId="77777777" w:rsidR="00380BE7" w:rsidRPr="00256982" w:rsidRDefault="00380BE7" w:rsidP="000F2C4E">
            <w:pPr>
              <w:pStyle w:val="TableText"/>
              <w:spacing w:before="40" w:after="40"/>
              <w:rPr>
                <w:rFonts w:eastAsia="Arial"/>
                <w:szCs w:val="22"/>
              </w:rPr>
            </w:pPr>
            <w:r w:rsidRPr="00256982">
              <w:rPr>
                <w:rFonts w:eastAsia="Arial"/>
                <w:szCs w:val="22"/>
              </w:rPr>
              <w:t>Annual cropland</w:t>
            </w:r>
          </w:p>
        </w:tc>
      </w:tr>
      <w:tr w:rsidR="00380BE7" w:rsidRPr="00256982" w14:paraId="40FAEAB6" w14:textId="77777777" w:rsidTr="00722531">
        <w:tc>
          <w:tcPr>
            <w:tcW w:w="2427" w:type="dxa"/>
            <w:tcBorders>
              <w:bottom w:val="single" w:sz="8" w:space="0" w:color="365F91"/>
              <w:right w:val="nil"/>
            </w:tcBorders>
            <w:shd w:val="clear" w:color="auto" w:fill="auto"/>
          </w:tcPr>
          <w:p w14:paraId="18A5CD8F" w14:textId="77777777" w:rsidR="00380BE7" w:rsidRPr="00256982" w:rsidRDefault="00380BE7" w:rsidP="000F2C4E">
            <w:pPr>
              <w:pStyle w:val="TableText"/>
              <w:spacing w:before="40" w:after="40"/>
              <w:rPr>
                <w:rFonts w:eastAsia="Arial"/>
                <w:szCs w:val="22"/>
              </w:rPr>
            </w:pPr>
          </w:p>
        </w:tc>
        <w:tc>
          <w:tcPr>
            <w:tcW w:w="4202" w:type="dxa"/>
            <w:shd w:val="clear" w:color="auto" w:fill="auto"/>
          </w:tcPr>
          <w:p w14:paraId="2BCBB567" w14:textId="77777777" w:rsidR="00380BE7" w:rsidRPr="00256982" w:rsidRDefault="00380BE7" w:rsidP="000F2C4E">
            <w:pPr>
              <w:pStyle w:val="TableText"/>
              <w:spacing w:before="40" w:after="40"/>
              <w:rPr>
                <w:rFonts w:eastAsia="Arial"/>
                <w:szCs w:val="22"/>
              </w:rPr>
            </w:pPr>
            <w:r w:rsidRPr="00256982">
              <w:rPr>
                <w:rFonts w:eastAsia="Arial"/>
                <w:szCs w:val="22"/>
              </w:rPr>
              <w:t xml:space="preserve">Perennial cropland </w:t>
            </w:r>
          </w:p>
        </w:tc>
      </w:tr>
      <w:tr w:rsidR="00380BE7" w:rsidRPr="00256982" w14:paraId="5AFE1986" w14:textId="77777777" w:rsidTr="00722531">
        <w:tc>
          <w:tcPr>
            <w:tcW w:w="2427" w:type="dxa"/>
            <w:tcBorders>
              <w:top w:val="single" w:sz="8" w:space="0" w:color="365F91"/>
              <w:bottom w:val="nil"/>
              <w:right w:val="nil"/>
            </w:tcBorders>
            <w:shd w:val="clear" w:color="auto" w:fill="auto"/>
          </w:tcPr>
          <w:p w14:paraId="750B2E17" w14:textId="77777777" w:rsidR="00380BE7" w:rsidRPr="00256982" w:rsidRDefault="00380BE7" w:rsidP="000F2C4E">
            <w:pPr>
              <w:pStyle w:val="TableText"/>
              <w:spacing w:before="40" w:after="40"/>
              <w:rPr>
                <w:rFonts w:eastAsia="Arial"/>
                <w:szCs w:val="22"/>
              </w:rPr>
            </w:pPr>
            <w:r w:rsidRPr="00256982">
              <w:rPr>
                <w:rFonts w:eastAsia="Arial"/>
                <w:szCs w:val="22"/>
              </w:rPr>
              <w:t xml:space="preserve">Grassland </w:t>
            </w:r>
          </w:p>
        </w:tc>
        <w:tc>
          <w:tcPr>
            <w:tcW w:w="4202" w:type="dxa"/>
            <w:tcBorders>
              <w:top w:val="single" w:sz="8" w:space="0" w:color="365F91"/>
              <w:bottom w:val="single" w:sz="8" w:space="0" w:color="365F91"/>
            </w:tcBorders>
            <w:shd w:val="clear" w:color="auto" w:fill="auto"/>
          </w:tcPr>
          <w:p w14:paraId="48F430BA" w14:textId="77777777" w:rsidR="00380BE7" w:rsidRPr="00256982" w:rsidRDefault="00380BE7" w:rsidP="000F2C4E">
            <w:pPr>
              <w:pStyle w:val="TableText"/>
              <w:spacing w:before="40" w:after="40"/>
              <w:rPr>
                <w:rFonts w:eastAsia="Arial"/>
                <w:szCs w:val="22"/>
              </w:rPr>
            </w:pPr>
            <w:r w:rsidRPr="00256982">
              <w:rPr>
                <w:rFonts w:eastAsia="Arial"/>
                <w:szCs w:val="22"/>
              </w:rPr>
              <w:t>High producing grassland</w:t>
            </w:r>
          </w:p>
        </w:tc>
      </w:tr>
      <w:tr w:rsidR="00380BE7" w:rsidRPr="00256982" w14:paraId="7FD6A7A9" w14:textId="77777777" w:rsidTr="00722531">
        <w:tc>
          <w:tcPr>
            <w:tcW w:w="2427" w:type="dxa"/>
            <w:tcBorders>
              <w:bottom w:val="nil"/>
              <w:right w:val="nil"/>
            </w:tcBorders>
            <w:shd w:val="clear" w:color="auto" w:fill="auto"/>
          </w:tcPr>
          <w:p w14:paraId="61260E3B" w14:textId="77777777" w:rsidR="00380BE7" w:rsidRPr="00256982" w:rsidRDefault="00380BE7" w:rsidP="000F2C4E">
            <w:pPr>
              <w:pStyle w:val="TableText"/>
              <w:spacing w:before="40" w:after="40"/>
              <w:rPr>
                <w:rFonts w:eastAsia="Arial"/>
                <w:szCs w:val="22"/>
              </w:rPr>
            </w:pPr>
          </w:p>
        </w:tc>
        <w:tc>
          <w:tcPr>
            <w:tcW w:w="4202" w:type="dxa"/>
            <w:shd w:val="clear" w:color="auto" w:fill="auto"/>
          </w:tcPr>
          <w:p w14:paraId="0BFCE480" w14:textId="77777777" w:rsidR="00380BE7" w:rsidRPr="00256982" w:rsidRDefault="00380BE7" w:rsidP="000F2C4E">
            <w:pPr>
              <w:pStyle w:val="TableText"/>
              <w:spacing w:before="40" w:after="40"/>
              <w:rPr>
                <w:rFonts w:eastAsia="Arial"/>
                <w:szCs w:val="22"/>
              </w:rPr>
            </w:pPr>
            <w:r w:rsidRPr="00256982">
              <w:rPr>
                <w:rFonts w:eastAsia="Arial"/>
                <w:szCs w:val="22"/>
              </w:rPr>
              <w:t>Low producing grassland</w:t>
            </w:r>
          </w:p>
        </w:tc>
      </w:tr>
      <w:tr w:rsidR="00380BE7" w:rsidRPr="00256982" w14:paraId="52AB22A0" w14:textId="77777777" w:rsidTr="00722531">
        <w:tc>
          <w:tcPr>
            <w:tcW w:w="2427" w:type="dxa"/>
            <w:tcBorders>
              <w:top w:val="nil"/>
              <w:bottom w:val="single" w:sz="8" w:space="0" w:color="365F91"/>
              <w:right w:val="nil"/>
            </w:tcBorders>
            <w:shd w:val="clear" w:color="auto" w:fill="auto"/>
          </w:tcPr>
          <w:p w14:paraId="68EB0231" w14:textId="77777777" w:rsidR="00380BE7" w:rsidRPr="00256982" w:rsidRDefault="00380BE7" w:rsidP="000F2C4E">
            <w:pPr>
              <w:pStyle w:val="TableText"/>
              <w:spacing w:before="40" w:after="40"/>
              <w:rPr>
                <w:rFonts w:eastAsia="Arial"/>
                <w:szCs w:val="22"/>
              </w:rPr>
            </w:pPr>
          </w:p>
        </w:tc>
        <w:tc>
          <w:tcPr>
            <w:tcW w:w="4202" w:type="dxa"/>
            <w:tcBorders>
              <w:top w:val="single" w:sz="8" w:space="0" w:color="365F91"/>
              <w:bottom w:val="single" w:sz="8" w:space="0" w:color="365F91"/>
            </w:tcBorders>
            <w:shd w:val="clear" w:color="auto" w:fill="auto"/>
          </w:tcPr>
          <w:p w14:paraId="1ABFFF20" w14:textId="77777777" w:rsidR="00380BE7" w:rsidRPr="00256982" w:rsidRDefault="00380BE7" w:rsidP="000F2C4E">
            <w:pPr>
              <w:pStyle w:val="TableText"/>
              <w:spacing w:before="40" w:after="40"/>
              <w:rPr>
                <w:rFonts w:eastAsia="Arial"/>
                <w:szCs w:val="22"/>
              </w:rPr>
            </w:pPr>
            <w:r w:rsidRPr="00256982">
              <w:rPr>
                <w:rFonts w:eastAsia="Arial"/>
                <w:szCs w:val="22"/>
              </w:rPr>
              <w:t>Grassland with woody biomass</w:t>
            </w:r>
          </w:p>
        </w:tc>
      </w:tr>
      <w:tr w:rsidR="00380BE7" w:rsidRPr="00256982" w14:paraId="10AD6788" w14:textId="77777777" w:rsidTr="00722531">
        <w:tc>
          <w:tcPr>
            <w:tcW w:w="2427" w:type="dxa"/>
            <w:tcBorders>
              <w:top w:val="single" w:sz="8" w:space="0" w:color="365F91"/>
              <w:bottom w:val="nil"/>
              <w:right w:val="nil"/>
            </w:tcBorders>
            <w:shd w:val="clear" w:color="auto" w:fill="auto"/>
          </w:tcPr>
          <w:p w14:paraId="0A5C3037" w14:textId="77777777" w:rsidR="00380BE7" w:rsidRPr="00256982" w:rsidRDefault="00380BE7" w:rsidP="000F2C4E">
            <w:pPr>
              <w:pStyle w:val="TableText"/>
              <w:spacing w:before="40" w:after="40"/>
              <w:rPr>
                <w:rFonts w:eastAsia="Arial"/>
                <w:szCs w:val="22"/>
              </w:rPr>
            </w:pPr>
            <w:r w:rsidRPr="00256982">
              <w:rPr>
                <w:rFonts w:eastAsia="Arial"/>
                <w:szCs w:val="22"/>
              </w:rPr>
              <w:t>Wetlands</w:t>
            </w:r>
          </w:p>
        </w:tc>
        <w:tc>
          <w:tcPr>
            <w:tcW w:w="4202" w:type="dxa"/>
            <w:shd w:val="clear" w:color="auto" w:fill="auto"/>
          </w:tcPr>
          <w:p w14:paraId="0DB26A87" w14:textId="77777777" w:rsidR="00380BE7" w:rsidRPr="00256982" w:rsidRDefault="00380BE7" w:rsidP="000F2C4E">
            <w:pPr>
              <w:pStyle w:val="TableText"/>
              <w:spacing w:before="40" w:after="40"/>
              <w:rPr>
                <w:rFonts w:eastAsia="Arial"/>
                <w:szCs w:val="22"/>
              </w:rPr>
            </w:pPr>
            <w:r w:rsidRPr="00256982">
              <w:rPr>
                <w:rFonts w:eastAsia="Arial"/>
                <w:szCs w:val="22"/>
              </w:rPr>
              <w:t xml:space="preserve">Open water </w:t>
            </w:r>
          </w:p>
        </w:tc>
      </w:tr>
      <w:tr w:rsidR="00380BE7" w:rsidRPr="00256982" w14:paraId="1751BDDE" w14:textId="77777777" w:rsidTr="00722531">
        <w:tc>
          <w:tcPr>
            <w:tcW w:w="2427" w:type="dxa"/>
            <w:tcBorders>
              <w:top w:val="nil"/>
              <w:bottom w:val="single" w:sz="8" w:space="0" w:color="365F91"/>
              <w:right w:val="nil"/>
            </w:tcBorders>
            <w:shd w:val="clear" w:color="auto" w:fill="auto"/>
          </w:tcPr>
          <w:p w14:paraId="67697F81" w14:textId="77777777" w:rsidR="00380BE7" w:rsidRPr="00256982" w:rsidRDefault="00380BE7" w:rsidP="000F2C4E">
            <w:pPr>
              <w:pStyle w:val="TableText"/>
              <w:spacing w:before="40" w:after="40"/>
              <w:rPr>
                <w:rFonts w:eastAsia="Arial"/>
                <w:szCs w:val="22"/>
              </w:rPr>
            </w:pPr>
          </w:p>
        </w:tc>
        <w:tc>
          <w:tcPr>
            <w:tcW w:w="4202" w:type="dxa"/>
            <w:tcBorders>
              <w:top w:val="single" w:sz="8" w:space="0" w:color="365F91"/>
              <w:bottom w:val="single" w:sz="8" w:space="0" w:color="365F91"/>
            </w:tcBorders>
            <w:shd w:val="clear" w:color="auto" w:fill="auto"/>
          </w:tcPr>
          <w:p w14:paraId="554D736B" w14:textId="77777777" w:rsidR="00380BE7" w:rsidRPr="00256982" w:rsidRDefault="00380BE7" w:rsidP="000F2C4E">
            <w:pPr>
              <w:pStyle w:val="TableText"/>
              <w:spacing w:before="40" w:after="40"/>
              <w:rPr>
                <w:rFonts w:eastAsia="Arial"/>
                <w:szCs w:val="22"/>
              </w:rPr>
            </w:pPr>
            <w:r w:rsidRPr="00256982">
              <w:rPr>
                <w:rFonts w:eastAsia="Arial"/>
                <w:szCs w:val="22"/>
              </w:rPr>
              <w:t>Vegetated wetland</w:t>
            </w:r>
          </w:p>
        </w:tc>
      </w:tr>
      <w:tr w:rsidR="00380BE7" w:rsidRPr="00256982" w14:paraId="778E02B2" w14:textId="77777777" w:rsidTr="00722531">
        <w:tc>
          <w:tcPr>
            <w:tcW w:w="2427" w:type="dxa"/>
            <w:tcBorders>
              <w:right w:val="nil"/>
            </w:tcBorders>
            <w:shd w:val="clear" w:color="auto" w:fill="auto"/>
          </w:tcPr>
          <w:p w14:paraId="35EDBA00" w14:textId="77777777" w:rsidR="00380BE7" w:rsidRPr="00256982" w:rsidRDefault="00380BE7" w:rsidP="000F2C4E">
            <w:pPr>
              <w:pStyle w:val="TableText"/>
              <w:spacing w:before="40" w:after="40"/>
              <w:rPr>
                <w:rFonts w:eastAsia="Arial"/>
                <w:szCs w:val="22"/>
              </w:rPr>
            </w:pPr>
            <w:r w:rsidRPr="00256982">
              <w:rPr>
                <w:rFonts w:eastAsia="Arial"/>
                <w:szCs w:val="22"/>
              </w:rPr>
              <w:t>Settlements</w:t>
            </w:r>
          </w:p>
        </w:tc>
        <w:tc>
          <w:tcPr>
            <w:tcW w:w="4202" w:type="dxa"/>
            <w:shd w:val="clear" w:color="auto" w:fill="auto"/>
          </w:tcPr>
          <w:p w14:paraId="7C056F5B" w14:textId="77777777" w:rsidR="00380BE7" w:rsidRPr="00256982" w:rsidRDefault="00380BE7" w:rsidP="000F2C4E">
            <w:pPr>
              <w:pStyle w:val="TableText"/>
              <w:spacing w:before="40" w:after="40"/>
              <w:rPr>
                <w:rFonts w:eastAsia="Arial"/>
                <w:szCs w:val="22"/>
              </w:rPr>
            </w:pPr>
            <w:r w:rsidRPr="00256982">
              <w:rPr>
                <w:rFonts w:eastAsia="Arial"/>
                <w:szCs w:val="22"/>
              </w:rPr>
              <w:t>Settlements</w:t>
            </w:r>
          </w:p>
        </w:tc>
      </w:tr>
      <w:tr w:rsidR="00380BE7" w:rsidRPr="00256982" w14:paraId="4355AE54" w14:textId="77777777" w:rsidTr="00722531">
        <w:tc>
          <w:tcPr>
            <w:tcW w:w="2427" w:type="dxa"/>
            <w:tcBorders>
              <w:top w:val="single" w:sz="8" w:space="0" w:color="365F91"/>
              <w:bottom w:val="single" w:sz="8" w:space="0" w:color="365F91"/>
              <w:right w:val="nil"/>
            </w:tcBorders>
            <w:shd w:val="clear" w:color="auto" w:fill="auto"/>
          </w:tcPr>
          <w:p w14:paraId="1E0A649F" w14:textId="77777777" w:rsidR="00380BE7" w:rsidRPr="00256982" w:rsidRDefault="00380BE7" w:rsidP="000F2C4E">
            <w:pPr>
              <w:pStyle w:val="TableText"/>
              <w:spacing w:before="40" w:after="40"/>
              <w:rPr>
                <w:rFonts w:eastAsia="Arial"/>
                <w:szCs w:val="22"/>
              </w:rPr>
            </w:pPr>
            <w:r w:rsidRPr="00256982">
              <w:rPr>
                <w:rFonts w:eastAsia="Arial"/>
                <w:szCs w:val="22"/>
              </w:rPr>
              <w:t>Other land</w:t>
            </w:r>
          </w:p>
        </w:tc>
        <w:tc>
          <w:tcPr>
            <w:tcW w:w="4202" w:type="dxa"/>
            <w:tcBorders>
              <w:top w:val="single" w:sz="8" w:space="0" w:color="365F91"/>
              <w:bottom w:val="single" w:sz="8" w:space="0" w:color="365F91"/>
            </w:tcBorders>
            <w:shd w:val="clear" w:color="auto" w:fill="auto"/>
          </w:tcPr>
          <w:p w14:paraId="0FC2E847" w14:textId="77777777" w:rsidR="00380BE7" w:rsidRPr="00256982" w:rsidRDefault="00380BE7" w:rsidP="000F2C4E">
            <w:pPr>
              <w:pStyle w:val="TableText"/>
              <w:spacing w:before="40" w:after="40"/>
              <w:rPr>
                <w:rFonts w:eastAsia="Arial"/>
                <w:szCs w:val="22"/>
              </w:rPr>
            </w:pPr>
            <w:r w:rsidRPr="00256982">
              <w:rPr>
                <w:rFonts w:eastAsia="Arial"/>
                <w:szCs w:val="22"/>
              </w:rPr>
              <w:t>Other land</w:t>
            </w:r>
          </w:p>
        </w:tc>
      </w:tr>
    </w:tbl>
    <w:p w14:paraId="490DB1BE" w14:textId="77777777" w:rsidR="00380BE7" w:rsidRPr="00256982" w:rsidRDefault="00380BE7" w:rsidP="00380BE7">
      <w:pPr>
        <w:pStyle w:val="Noteundertable"/>
      </w:pPr>
      <w:r w:rsidRPr="00256982">
        <w:rPr>
          <w:b/>
        </w:rPr>
        <w:t>Note:</w:t>
      </w:r>
      <w:r w:rsidRPr="00256982">
        <w:tab/>
        <w:t>(1) Mapped as a single land use but stratified into ‘post-1989 natural forest’ and ‘post-1989 planted forest’ for calculating carbon using data from the plot network.</w:t>
      </w:r>
    </w:p>
    <w:p w14:paraId="2D68AF13" w14:textId="77777777" w:rsidR="00380BE7" w:rsidRPr="00256982" w:rsidRDefault="00380BE7" w:rsidP="000F2C4E">
      <w:pPr>
        <w:pStyle w:val="BodyText"/>
      </w:pPr>
      <w:r w:rsidRPr="00256982">
        <w:t>The land uses were chosen for their conformance with the dominant types in New Zealand, while still enabling reporting under the land use categories specified in the 2006 IPCC Guidelines</w:t>
      </w:r>
      <w:r w:rsidRPr="00256982" w:rsidDel="00663F9D">
        <w:t xml:space="preserve"> </w:t>
      </w:r>
      <w:r w:rsidRPr="00256982">
        <w:t xml:space="preserve">(IPCC, 2006a). </w:t>
      </w:r>
    </w:p>
    <w:p w14:paraId="241138B5" w14:textId="77777777" w:rsidR="00380BE7" w:rsidRPr="00256982" w:rsidRDefault="00380BE7" w:rsidP="00380BE7">
      <w:pPr>
        <w:pStyle w:val="BodyText"/>
        <w:spacing w:after="100"/>
      </w:pPr>
      <w:r w:rsidRPr="00256982">
        <w:lastRenderedPageBreak/>
        <w:t xml:space="preserve">The national thresholds used by New Zealand to define </w:t>
      </w:r>
      <w:r w:rsidRPr="00256982">
        <w:rPr>
          <w:i/>
        </w:rPr>
        <w:t>Forest land</w:t>
      </w:r>
      <w:r w:rsidRPr="00256982">
        <w:t xml:space="preserve"> for both the Convention and Kyoto Protocol reporting are: </w:t>
      </w:r>
    </w:p>
    <w:p w14:paraId="43B93233" w14:textId="77777777" w:rsidR="00380BE7" w:rsidRPr="00256982" w:rsidRDefault="00380BE7" w:rsidP="00380BE7">
      <w:pPr>
        <w:pStyle w:val="Bullet"/>
        <w:tabs>
          <w:tab w:val="num" w:pos="567"/>
        </w:tabs>
        <w:spacing w:after="100"/>
      </w:pPr>
      <w:r w:rsidRPr="00256982">
        <w:t>a minimum area of 1 hectare</w:t>
      </w:r>
    </w:p>
    <w:p w14:paraId="32C79C14" w14:textId="77777777" w:rsidR="00380BE7" w:rsidRPr="00256982" w:rsidRDefault="00380BE7" w:rsidP="00380BE7">
      <w:pPr>
        <w:pStyle w:val="Bullet"/>
        <w:tabs>
          <w:tab w:val="num" w:pos="567"/>
        </w:tabs>
        <w:spacing w:after="100"/>
      </w:pPr>
      <w:r w:rsidRPr="00256982">
        <w:t>a crown cover of at least 30 per cent</w:t>
      </w:r>
    </w:p>
    <w:p w14:paraId="2EBB8508" w14:textId="77777777" w:rsidR="00380BE7" w:rsidRPr="00256982" w:rsidRDefault="00380BE7" w:rsidP="00380BE7">
      <w:pPr>
        <w:numPr>
          <w:ilvl w:val="0"/>
          <w:numId w:val="4"/>
        </w:numPr>
        <w:tabs>
          <w:tab w:val="clear" w:pos="567"/>
        </w:tabs>
        <w:spacing w:after="120"/>
        <w:ind w:left="397" w:hanging="397"/>
      </w:pPr>
      <w:r w:rsidRPr="00256982">
        <w:t xml:space="preserve">a minimum height of 5 metres at maturity </w:t>
      </w:r>
      <w:r w:rsidRPr="00256982">
        <w:rPr>
          <w:i/>
        </w:rPr>
        <w:t>in situ</w:t>
      </w:r>
      <w:r w:rsidRPr="00256982">
        <w:t xml:space="preserve"> (Ministry for the Environment, 2006).</w:t>
      </w:r>
    </w:p>
    <w:p w14:paraId="6AEB4E9C" w14:textId="77777777" w:rsidR="00380BE7" w:rsidRPr="00256982" w:rsidRDefault="00380BE7" w:rsidP="00380BE7">
      <w:pPr>
        <w:pStyle w:val="BodyText"/>
      </w:pPr>
      <w:r w:rsidRPr="00256982">
        <w:t xml:space="preserve">The definitions of New Zealand’s land uses, as they have been mapped, are provided in table 6.2.2. Further details are included in </w:t>
      </w:r>
      <w:r w:rsidRPr="00256982">
        <w:rPr>
          <w:i/>
        </w:rPr>
        <w:t>Land Use and Carbon Analysis System:</w:t>
      </w:r>
      <w:r w:rsidRPr="00256982">
        <w:t xml:space="preserve"> </w:t>
      </w:r>
      <w:r w:rsidRPr="00256982">
        <w:rPr>
          <w:i/>
        </w:rPr>
        <w:t xml:space="preserve">Satellite imagery interpretation guide for land use classes </w:t>
      </w:r>
      <w:r w:rsidRPr="00256982">
        <w:t>(2nd edition) (Ministry for the Environment, 2012).</w:t>
      </w:r>
    </w:p>
    <w:p w14:paraId="6033942E" w14:textId="77777777" w:rsidR="00380BE7" w:rsidRPr="00256982" w:rsidRDefault="00380BE7" w:rsidP="00380BE7">
      <w:pPr>
        <w:pStyle w:val="Table"/>
      </w:pPr>
      <w:bookmarkStart w:id="1063" w:name="_Toc280630452"/>
      <w:bookmarkStart w:id="1064" w:name="_Toc310423400"/>
      <w:bookmarkStart w:id="1065" w:name="_Toc318362693"/>
      <w:bookmarkStart w:id="1066" w:name="_Toc342470755"/>
      <w:bookmarkStart w:id="1067" w:name="_Toc352504995"/>
      <w:bookmarkStart w:id="1068" w:name="_Toc361645343"/>
      <w:bookmarkStart w:id="1069" w:name="_Toc378853281"/>
      <w:bookmarkStart w:id="1070" w:name="_Toc391024079"/>
      <w:bookmarkStart w:id="1071" w:name="_Toc410028822"/>
      <w:bookmarkStart w:id="1072" w:name="_Toc414531450"/>
      <w:bookmarkStart w:id="1073" w:name="_Toc443645363"/>
      <w:bookmarkStart w:id="1074" w:name="_Toc474914582"/>
      <w:bookmarkStart w:id="1075" w:name="_Toc481751546"/>
      <w:bookmarkStart w:id="1076" w:name="_Toc522010603"/>
      <w:bookmarkStart w:id="1077" w:name="_Toc5269508"/>
      <w:r w:rsidRPr="00256982">
        <w:t>Table 6.2.2</w:t>
      </w:r>
      <w:r w:rsidRPr="00256982">
        <w:tab/>
        <w:t>New Zealand’s mapping definitions for each land use</w:t>
      </w:r>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p>
    <w:tbl>
      <w:tblPr>
        <w:tblW w:w="8505" w:type="dxa"/>
        <w:tblInd w:w="108" w:type="dxa"/>
        <w:tblLook w:val="01E0" w:firstRow="1" w:lastRow="1" w:firstColumn="1" w:lastColumn="1" w:noHBand="0" w:noVBand="0"/>
      </w:tblPr>
      <w:tblGrid>
        <w:gridCol w:w="1276"/>
        <w:gridCol w:w="7229"/>
      </w:tblGrid>
      <w:tr w:rsidR="00380BE7" w:rsidRPr="00256982" w14:paraId="61A9C018" w14:textId="77777777" w:rsidTr="00722531">
        <w:trPr>
          <w:tblHeader/>
        </w:trPr>
        <w:tc>
          <w:tcPr>
            <w:tcW w:w="1276" w:type="dxa"/>
            <w:tcBorders>
              <w:top w:val="single" w:sz="4" w:space="0" w:color="365F91"/>
              <w:bottom w:val="single" w:sz="4" w:space="0" w:color="365F91"/>
            </w:tcBorders>
            <w:shd w:val="clear" w:color="auto" w:fill="365F91"/>
          </w:tcPr>
          <w:p w14:paraId="35C89CED" w14:textId="77777777" w:rsidR="00380BE7" w:rsidRPr="00256982" w:rsidRDefault="00380BE7" w:rsidP="009574E7">
            <w:pPr>
              <w:pStyle w:val="TableTextBold"/>
              <w:rPr>
                <w:noProof w:val="0"/>
                <w:color w:val="FFFFFF"/>
              </w:rPr>
            </w:pPr>
            <w:r w:rsidRPr="00256982">
              <w:rPr>
                <w:noProof w:val="0"/>
                <w:color w:val="FFFFFF"/>
              </w:rPr>
              <w:t>Land use</w:t>
            </w:r>
          </w:p>
        </w:tc>
        <w:tc>
          <w:tcPr>
            <w:tcW w:w="7229" w:type="dxa"/>
            <w:tcBorders>
              <w:top w:val="single" w:sz="4" w:space="0" w:color="365F91"/>
              <w:bottom w:val="single" w:sz="4" w:space="0" w:color="365F91"/>
            </w:tcBorders>
            <w:shd w:val="clear" w:color="auto" w:fill="365F91"/>
            <w:vAlign w:val="bottom"/>
          </w:tcPr>
          <w:p w14:paraId="6C38FF5F" w14:textId="77777777" w:rsidR="00380BE7" w:rsidRPr="00256982" w:rsidRDefault="00380BE7" w:rsidP="009574E7">
            <w:pPr>
              <w:pStyle w:val="TableTextBold"/>
              <w:rPr>
                <w:noProof w:val="0"/>
                <w:color w:val="FFFFFF"/>
              </w:rPr>
            </w:pPr>
            <w:r w:rsidRPr="00256982">
              <w:rPr>
                <w:noProof w:val="0"/>
                <w:color w:val="FFFFFF"/>
              </w:rPr>
              <w:t>Definition</w:t>
            </w:r>
          </w:p>
        </w:tc>
      </w:tr>
      <w:tr w:rsidR="00380BE7" w:rsidRPr="00256982" w14:paraId="694DBCF1" w14:textId="77777777" w:rsidTr="009574E7">
        <w:tc>
          <w:tcPr>
            <w:tcW w:w="1276" w:type="dxa"/>
            <w:tcBorders>
              <w:top w:val="single" w:sz="4" w:space="0" w:color="365F91"/>
              <w:bottom w:val="single" w:sz="4" w:space="0" w:color="365F91"/>
            </w:tcBorders>
          </w:tcPr>
          <w:p w14:paraId="483B37CD" w14:textId="77777777" w:rsidR="00380BE7" w:rsidRPr="00256982" w:rsidRDefault="00380BE7" w:rsidP="009574E7">
            <w:pPr>
              <w:pStyle w:val="TableText"/>
              <w:rPr>
                <w:b/>
              </w:rPr>
            </w:pPr>
            <w:r w:rsidRPr="00256982">
              <w:rPr>
                <w:b/>
              </w:rPr>
              <w:t xml:space="preserve">Pre-1990 natural forest </w:t>
            </w:r>
          </w:p>
        </w:tc>
        <w:tc>
          <w:tcPr>
            <w:tcW w:w="7229" w:type="dxa"/>
            <w:tcBorders>
              <w:top w:val="single" w:sz="4" w:space="0" w:color="365F91"/>
              <w:bottom w:val="single" w:sz="4" w:space="0" w:color="365F91"/>
            </w:tcBorders>
          </w:tcPr>
          <w:p w14:paraId="22D8A092" w14:textId="77777777" w:rsidR="00380BE7" w:rsidRPr="00256982" w:rsidRDefault="00380BE7" w:rsidP="009574E7">
            <w:pPr>
              <w:pStyle w:val="TableText"/>
              <w:spacing w:after="0"/>
            </w:pPr>
            <w:r w:rsidRPr="00256982">
              <w:t>Areas that, on 1 January 1990, were and presently include:</w:t>
            </w:r>
          </w:p>
          <w:p w14:paraId="6B94C67F" w14:textId="77777777" w:rsidR="00380BE7" w:rsidRPr="00256982" w:rsidRDefault="00380BE7" w:rsidP="00766AC8">
            <w:pPr>
              <w:pStyle w:val="TableBullet"/>
              <w:numPr>
                <w:ilvl w:val="0"/>
                <w:numId w:val="27"/>
              </w:numPr>
              <w:tabs>
                <w:tab w:val="left" w:pos="284"/>
              </w:tabs>
              <w:spacing w:before="40" w:after="0"/>
              <w:ind w:left="284" w:hanging="284"/>
            </w:pPr>
            <w:r w:rsidRPr="00256982">
              <w:t xml:space="preserve">tall indigenous forest </w:t>
            </w:r>
          </w:p>
          <w:p w14:paraId="458FDE96" w14:textId="77777777" w:rsidR="00380BE7" w:rsidRPr="00256982" w:rsidRDefault="00380BE7" w:rsidP="00766AC8">
            <w:pPr>
              <w:pStyle w:val="TableBullet"/>
              <w:numPr>
                <w:ilvl w:val="0"/>
                <w:numId w:val="27"/>
              </w:numPr>
              <w:tabs>
                <w:tab w:val="left" w:pos="284"/>
              </w:tabs>
              <w:spacing w:before="40" w:after="0"/>
              <w:ind w:left="284" w:hanging="284"/>
            </w:pPr>
            <w:r w:rsidRPr="00256982">
              <w:t>self-sown exotic trees, such as wilding pines and grey willows, established before 1 January 1990</w:t>
            </w:r>
          </w:p>
          <w:p w14:paraId="3B5B026D" w14:textId="77777777" w:rsidR="00380BE7" w:rsidRPr="00256982" w:rsidRDefault="00380BE7" w:rsidP="00766AC8">
            <w:pPr>
              <w:pStyle w:val="TableBullet"/>
              <w:numPr>
                <w:ilvl w:val="0"/>
                <w:numId w:val="27"/>
              </w:numPr>
              <w:tabs>
                <w:tab w:val="left" w:pos="284"/>
              </w:tabs>
              <w:spacing w:before="40" w:after="0"/>
              <w:ind w:left="284" w:hanging="284"/>
            </w:pPr>
            <w:r w:rsidRPr="00256982">
              <w:t>broadleaved hardwood shrubland, m</w:t>
            </w:r>
            <w:r w:rsidRPr="00256982">
              <w:rPr>
                <w:rFonts w:cs="Arial"/>
              </w:rPr>
              <w:t>ā</w:t>
            </w:r>
            <w:r w:rsidRPr="00256982">
              <w:t>nuka–k</w:t>
            </w:r>
            <w:r w:rsidRPr="00256982">
              <w:rPr>
                <w:rFonts w:cs="Arial"/>
              </w:rPr>
              <w:t>ā</w:t>
            </w:r>
            <w:r w:rsidRPr="00256982">
              <w:t>nuka (</w:t>
            </w:r>
            <w:r w:rsidRPr="00256982">
              <w:rPr>
                <w:i/>
              </w:rPr>
              <w:t>Leptospermum</w:t>
            </w:r>
            <w:r w:rsidRPr="00256982">
              <w:t xml:space="preserve"> </w:t>
            </w:r>
            <w:r w:rsidRPr="00256982">
              <w:rPr>
                <w:i/>
              </w:rPr>
              <w:t>scoparium</w:t>
            </w:r>
            <w:r w:rsidRPr="00256982">
              <w:t>–</w:t>
            </w:r>
            <w:r w:rsidRPr="00256982">
              <w:rPr>
                <w:i/>
              </w:rPr>
              <w:t>Kunzea</w:t>
            </w:r>
            <w:r w:rsidRPr="00256982">
              <w:t xml:space="preserve"> spp.) shrubland and other woody shrubland (≥30 per cent cover, with potential to reach ≥5 metres at maturity </w:t>
            </w:r>
            <w:r w:rsidRPr="00256982">
              <w:rPr>
                <w:i/>
              </w:rPr>
              <w:t>in situ</w:t>
            </w:r>
            <w:r w:rsidRPr="00256982">
              <w:t xml:space="preserve"> under current land management within 30–40 years)</w:t>
            </w:r>
          </w:p>
          <w:p w14:paraId="2D78D296" w14:textId="77777777" w:rsidR="00380BE7" w:rsidRPr="00256982" w:rsidRDefault="00380BE7" w:rsidP="00766AC8">
            <w:pPr>
              <w:pStyle w:val="TableBullet"/>
              <w:numPr>
                <w:ilvl w:val="0"/>
                <w:numId w:val="27"/>
              </w:numPr>
              <w:tabs>
                <w:tab w:val="left" w:pos="284"/>
              </w:tabs>
              <w:spacing w:before="40" w:after="0"/>
              <w:ind w:left="284" w:hanging="284"/>
            </w:pPr>
            <w:r w:rsidRPr="00256982">
              <w:t xml:space="preserve">areas of bare ground of any size that were previously forested but, due to natural disturbances (e.g., erosion, storms, fire), have temporarily lost vegetation cover </w:t>
            </w:r>
          </w:p>
          <w:p w14:paraId="0F3386CF" w14:textId="77777777" w:rsidR="00380BE7" w:rsidRPr="00256982" w:rsidRDefault="00380BE7" w:rsidP="00766AC8">
            <w:pPr>
              <w:pStyle w:val="TableBullet"/>
              <w:numPr>
                <w:ilvl w:val="0"/>
                <w:numId w:val="27"/>
              </w:numPr>
              <w:tabs>
                <w:tab w:val="left" w:pos="284"/>
              </w:tabs>
              <w:spacing w:before="40" w:after="0"/>
              <w:ind w:left="284" w:hanging="284"/>
            </w:pPr>
            <w:r w:rsidRPr="00256982">
              <w:t xml:space="preserve">areas that were planted forest at 1990 but are subsequently managed to regenerate with natural species that will meet the forest definition </w:t>
            </w:r>
          </w:p>
          <w:p w14:paraId="46C75D29" w14:textId="77777777" w:rsidR="00380BE7" w:rsidRPr="00256982" w:rsidRDefault="00380BE7" w:rsidP="00766AC8">
            <w:pPr>
              <w:pStyle w:val="TableBullet"/>
              <w:numPr>
                <w:ilvl w:val="0"/>
                <w:numId w:val="27"/>
              </w:numPr>
              <w:tabs>
                <w:tab w:val="left" w:pos="284"/>
              </w:tabs>
              <w:spacing w:before="40"/>
              <w:ind w:left="284" w:hanging="284"/>
            </w:pPr>
            <w:r w:rsidRPr="00256982">
              <w:t>roads and tracks less than 30 metres in width and other temporarily unstocked areas associated with a forest land use.</w:t>
            </w:r>
          </w:p>
        </w:tc>
      </w:tr>
      <w:tr w:rsidR="00380BE7" w:rsidRPr="00256982" w14:paraId="5A217703" w14:textId="77777777" w:rsidTr="009574E7">
        <w:tc>
          <w:tcPr>
            <w:tcW w:w="1276" w:type="dxa"/>
            <w:tcBorders>
              <w:top w:val="single" w:sz="4" w:space="0" w:color="365F91"/>
              <w:bottom w:val="single" w:sz="4" w:space="0" w:color="365F91"/>
            </w:tcBorders>
          </w:tcPr>
          <w:p w14:paraId="66565B97" w14:textId="77777777" w:rsidR="00380BE7" w:rsidRPr="00256982" w:rsidRDefault="00380BE7" w:rsidP="009574E7">
            <w:pPr>
              <w:pStyle w:val="TableText"/>
              <w:rPr>
                <w:b/>
              </w:rPr>
            </w:pPr>
            <w:r w:rsidRPr="00256982">
              <w:rPr>
                <w:b/>
              </w:rPr>
              <w:t>Pre-1990 planted forest</w:t>
            </w:r>
          </w:p>
        </w:tc>
        <w:tc>
          <w:tcPr>
            <w:tcW w:w="7229" w:type="dxa"/>
            <w:tcBorders>
              <w:top w:val="single" w:sz="4" w:space="0" w:color="365F91"/>
              <w:bottom w:val="single" w:sz="4" w:space="0" w:color="365F91"/>
            </w:tcBorders>
          </w:tcPr>
          <w:p w14:paraId="1A049B3B" w14:textId="77777777" w:rsidR="00380BE7" w:rsidRPr="00256982" w:rsidRDefault="00380BE7" w:rsidP="009574E7">
            <w:pPr>
              <w:pStyle w:val="TableText"/>
              <w:spacing w:after="0"/>
            </w:pPr>
            <w:r w:rsidRPr="00256982">
              <w:t>Areas that, on 1 January 1990, were and presently include:</w:t>
            </w:r>
          </w:p>
          <w:p w14:paraId="3DC3E513" w14:textId="77777777" w:rsidR="00380BE7" w:rsidRPr="00256982" w:rsidRDefault="00380BE7" w:rsidP="009574E7">
            <w:pPr>
              <w:pStyle w:val="TableBullet"/>
              <w:spacing w:before="40" w:after="0"/>
            </w:pPr>
            <w:r w:rsidRPr="00256982">
              <w:t>radiata pine (</w:t>
            </w:r>
            <w:r w:rsidRPr="00256982">
              <w:rPr>
                <w:i/>
              </w:rPr>
              <w:t>Pinus radiata</w:t>
            </w:r>
            <w:r w:rsidRPr="00256982">
              <w:t>), Douglas fir (</w:t>
            </w:r>
            <w:r w:rsidRPr="00256982">
              <w:rPr>
                <w:i/>
              </w:rPr>
              <w:t>Pseudotsuga menziesii</w:t>
            </w:r>
            <w:r w:rsidRPr="00256982">
              <w:t>), eucalypts (</w:t>
            </w:r>
            <w:r w:rsidRPr="00256982">
              <w:rPr>
                <w:i/>
              </w:rPr>
              <w:t xml:space="preserve">Eucalyptus </w:t>
            </w:r>
            <w:r w:rsidRPr="00256982">
              <w:t xml:space="preserve">spp.) or other planted species (with potential to reach ≥5 metre height at maturity </w:t>
            </w:r>
            <w:r w:rsidRPr="00256982">
              <w:rPr>
                <w:i/>
              </w:rPr>
              <w:t>in situ</w:t>
            </w:r>
            <w:r w:rsidRPr="00256982">
              <w:t>) established before 1 January 1990 or replanted on land that was forest land as at 31 December 1989</w:t>
            </w:r>
          </w:p>
          <w:p w14:paraId="1F37DE0D" w14:textId="77777777" w:rsidR="00380BE7" w:rsidRPr="00256982" w:rsidRDefault="00380BE7" w:rsidP="009574E7">
            <w:pPr>
              <w:pStyle w:val="TableBullet"/>
              <w:spacing w:before="40" w:after="0"/>
            </w:pPr>
            <w:r w:rsidRPr="00256982">
              <w:t>exotic forest species that were planted after 31 December 1989 on land that was natural forest</w:t>
            </w:r>
          </w:p>
          <w:p w14:paraId="3D4E4B86" w14:textId="77777777" w:rsidR="00380BE7" w:rsidRPr="00256982" w:rsidRDefault="00380BE7" w:rsidP="00766AC8">
            <w:pPr>
              <w:pStyle w:val="TableBullet"/>
              <w:numPr>
                <w:ilvl w:val="0"/>
                <w:numId w:val="27"/>
              </w:numPr>
              <w:tabs>
                <w:tab w:val="left" w:pos="284"/>
              </w:tabs>
              <w:spacing w:before="40" w:after="0"/>
              <w:ind w:left="284" w:hanging="284"/>
            </w:pPr>
            <w:r w:rsidRPr="00256982">
              <w:t>riparian or erosion control plantings that meet the forest definition and that were planted before 1 January 1990</w:t>
            </w:r>
          </w:p>
          <w:p w14:paraId="7FB4335C" w14:textId="77777777" w:rsidR="00380BE7" w:rsidRPr="00256982" w:rsidRDefault="00380BE7" w:rsidP="00766AC8">
            <w:pPr>
              <w:pStyle w:val="TableBullet"/>
              <w:numPr>
                <w:ilvl w:val="0"/>
                <w:numId w:val="27"/>
              </w:numPr>
              <w:tabs>
                <w:tab w:val="left" w:pos="284"/>
              </w:tabs>
              <w:spacing w:before="40" w:after="0"/>
              <w:ind w:left="284" w:hanging="284"/>
            </w:pPr>
            <w:r w:rsidRPr="00256982">
              <w:t>harvested areas within pre-1990 planted forest (assumes these will be replanted, unless deforestation is later detected)</w:t>
            </w:r>
          </w:p>
          <w:p w14:paraId="3F234EE7" w14:textId="77777777" w:rsidR="00380BE7" w:rsidRPr="00256982" w:rsidRDefault="00380BE7" w:rsidP="00766AC8">
            <w:pPr>
              <w:pStyle w:val="TableBullet"/>
              <w:numPr>
                <w:ilvl w:val="0"/>
                <w:numId w:val="27"/>
              </w:numPr>
              <w:tabs>
                <w:tab w:val="left" w:pos="284"/>
              </w:tabs>
              <w:spacing w:before="40" w:after="0"/>
              <w:ind w:left="284" w:hanging="284"/>
            </w:pPr>
            <w:r w:rsidRPr="00256982">
              <w:t xml:space="preserve">roads, tracks, skid sites and other temporarily unstocked areas less than 30 metres in width associated with a forest land use </w:t>
            </w:r>
          </w:p>
          <w:p w14:paraId="4896BEC5" w14:textId="77777777" w:rsidR="00380BE7" w:rsidRPr="00256982" w:rsidRDefault="00380BE7" w:rsidP="00766AC8">
            <w:pPr>
              <w:pStyle w:val="TableBullet"/>
              <w:numPr>
                <w:ilvl w:val="0"/>
                <w:numId w:val="27"/>
              </w:numPr>
              <w:tabs>
                <w:tab w:val="left" w:pos="284"/>
              </w:tabs>
              <w:spacing w:before="40"/>
              <w:ind w:left="284" w:hanging="284"/>
            </w:pPr>
            <w:r w:rsidRPr="00256982">
              <w:t>areas of bare ground of any size that were previously forested at 31 December 1989 but, due to natural disturbances (e.g., erosion, storms, fire), have lost vegetation cover.</w:t>
            </w:r>
          </w:p>
        </w:tc>
      </w:tr>
      <w:tr w:rsidR="00380BE7" w:rsidRPr="00256982" w14:paraId="7109C6AC" w14:textId="77777777" w:rsidTr="009574E7">
        <w:tc>
          <w:tcPr>
            <w:tcW w:w="1276" w:type="dxa"/>
            <w:tcBorders>
              <w:top w:val="single" w:sz="4" w:space="0" w:color="365F91"/>
              <w:bottom w:val="single" w:sz="4" w:space="0" w:color="365F91"/>
            </w:tcBorders>
          </w:tcPr>
          <w:p w14:paraId="50DF9A10" w14:textId="77777777" w:rsidR="00380BE7" w:rsidRPr="00256982" w:rsidRDefault="00380BE7" w:rsidP="009574E7">
            <w:pPr>
              <w:pStyle w:val="TableText"/>
              <w:rPr>
                <w:b/>
              </w:rPr>
            </w:pPr>
            <w:r w:rsidRPr="00256982">
              <w:rPr>
                <w:b/>
              </w:rPr>
              <w:t xml:space="preserve">Post-1989 forest </w:t>
            </w:r>
          </w:p>
        </w:tc>
        <w:tc>
          <w:tcPr>
            <w:tcW w:w="7229" w:type="dxa"/>
            <w:tcBorders>
              <w:top w:val="single" w:sz="4" w:space="0" w:color="365F91"/>
              <w:bottom w:val="single" w:sz="4" w:space="0" w:color="365F91"/>
            </w:tcBorders>
          </w:tcPr>
          <w:p w14:paraId="2D2627D6" w14:textId="77777777" w:rsidR="00380BE7" w:rsidRPr="00256982" w:rsidRDefault="00380BE7" w:rsidP="009574E7">
            <w:pPr>
              <w:pStyle w:val="TableText"/>
              <w:spacing w:after="0"/>
            </w:pPr>
            <w:r w:rsidRPr="00256982">
              <w:t>Includes post-1989 planted forest, which consists of:</w:t>
            </w:r>
          </w:p>
          <w:p w14:paraId="2BD31648" w14:textId="77777777" w:rsidR="00380BE7" w:rsidRPr="00256982" w:rsidRDefault="00380BE7" w:rsidP="00766AC8">
            <w:pPr>
              <w:pStyle w:val="TableBullet"/>
              <w:numPr>
                <w:ilvl w:val="0"/>
                <w:numId w:val="27"/>
              </w:numPr>
              <w:tabs>
                <w:tab w:val="left" w:pos="284"/>
              </w:tabs>
              <w:spacing w:before="40" w:after="0"/>
              <w:ind w:left="284" w:hanging="284"/>
            </w:pPr>
            <w:r w:rsidRPr="00256982">
              <w:t>exotic forest (with the potential to reach ≥5 metre height at maturity</w:t>
            </w:r>
            <w:r w:rsidRPr="00256982">
              <w:rPr>
                <w:i/>
              </w:rPr>
              <w:t xml:space="preserve"> in situ</w:t>
            </w:r>
            <w:r w:rsidRPr="00256982">
              <w:t>) planted or established on land that was non-forest land as at 31 December 1989 (e.g., radiata pine, Douglas fir, eucalypts or other planted species)</w:t>
            </w:r>
          </w:p>
          <w:p w14:paraId="5C0AA451" w14:textId="77777777" w:rsidR="00380BE7" w:rsidRPr="00256982" w:rsidRDefault="00380BE7" w:rsidP="00766AC8">
            <w:pPr>
              <w:pStyle w:val="TableBullet"/>
              <w:numPr>
                <w:ilvl w:val="0"/>
                <w:numId w:val="27"/>
              </w:numPr>
              <w:tabs>
                <w:tab w:val="left" w:pos="284"/>
              </w:tabs>
              <w:spacing w:before="40" w:after="0"/>
              <w:ind w:left="284" w:hanging="284"/>
            </w:pPr>
            <w:r w:rsidRPr="00256982">
              <w:t>riparian or erosion control plantings that meet the forest definition and that were planted after 31 December 1989</w:t>
            </w:r>
          </w:p>
          <w:p w14:paraId="1F4EA14D" w14:textId="77777777" w:rsidR="00380BE7" w:rsidRPr="00256982" w:rsidRDefault="00380BE7" w:rsidP="00766AC8">
            <w:pPr>
              <w:pStyle w:val="TableBullet"/>
              <w:numPr>
                <w:ilvl w:val="0"/>
                <w:numId w:val="27"/>
              </w:numPr>
              <w:tabs>
                <w:tab w:val="left" w:pos="284"/>
              </w:tabs>
              <w:spacing w:before="40" w:after="0"/>
              <w:ind w:left="284" w:hanging="284"/>
            </w:pPr>
            <w:r w:rsidRPr="00256982">
              <w:t>harvested areas within post-1989 forest land (assuming these will be replanted, unless deforestation is later detected).</w:t>
            </w:r>
          </w:p>
          <w:p w14:paraId="268ED3B3" w14:textId="77777777" w:rsidR="00380BE7" w:rsidRPr="00256982" w:rsidRDefault="00380BE7" w:rsidP="009574E7">
            <w:pPr>
              <w:pStyle w:val="TableText"/>
              <w:spacing w:after="0"/>
            </w:pPr>
            <w:r w:rsidRPr="00256982">
              <w:t>Includes post-1989 natural forest, which consists of:</w:t>
            </w:r>
          </w:p>
          <w:p w14:paraId="505C53DE" w14:textId="77777777" w:rsidR="00380BE7" w:rsidRPr="00256982" w:rsidRDefault="00380BE7" w:rsidP="00766AC8">
            <w:pPr>
              <w:pStyle w:val="TableBullet"/>
              <w:numPr>
                <w:ilvl w:val="0"/>
                <w:numId w:val="27"/>
              </w:numPr>
              <w:tabs>
                <w:tab w:val="left" w:pos="284"/>
              </w:tabs>
              <w:spacing w:before="40" w:after="0"/>
              <w:ind w:left="284" w:hanging="284"/>
            </w:pPr>
            <w:r w:rsidRPr="00256982">
              <w:t>forests arising from natural regeneration of indigenous tree species as a result of management change after 31 December 1989</w:t>
            </w:r>
          </w:p>
          <w:p w14:paraId="010A3D53" w14:textId="77777777" w:rsidR="00380BE7" w:rsidRPr="00256982" w:rsidRDefault="00380BE7" w:rsidP="00766AC8">
            <w:pPr>
              <w:pStyle w:val="TableBullet"/>
              <w:numPr>
                <w:ilvl w:val="0"/>
                <w:numId w:val="27"/>
              </w:numPr>
              <w:tabs>
                <w:tab w:val="left" w:pos="284"/>
              </w:tabs>
              <w:spacing w:before="40" w:after="0"/>
              <w:ind w:left="284" w:hanging="284"/>
            </w:pPr>
            <w:r w:rsidRPr="00256982">
              <w:t>self-sown exotic trees, such as wilding conifers or grey willows, established after 31 December 1989.</w:t>
            </w:r>
          </w:p>
          <w:p w14:paraId="00DF4C2F" w14:textId="77777777" w:rsidR="00380BE7" w:rsidRPr="00256982" w:rsidRDefault="00380BE7" w:rsidP="009574E7">
            <w:pPr>
              <w:pStyle w:val="TableText"/>
              <w:spacing w:after="0"/>
            </w:pPr>
            <w:r w:rsidRPr="00256982">
              <w:t>Includes areas within post-1989 natural forest or post-1989 planted forest that are:</w:t>
            </w:r>
          </w:p>
          <w:p w14:paraId="117A4EF1" w14:textId="77777777" w:rsidR="00380BE7" w:rsidRPr="00256982" w:rsidRDefault="00380BE7" w:rsidP="00766AC8">
            <w:pPr>
              <w:pStyle w:val="TableBullet"/>
              <w:numPr>
                <w:ilvl w:val="0"/>
                <w:numId w:val="27"/>
              </w:numPr>
              <w:tabs>
                <w:tab w:val="left" w:pos="284"/>
              </w:tabs>
              <w:spacing w:before="0" w:after="0"/>
              <w:ind w:left="284" w:hanging="284"/>
            </w:pPr>
            <w:r w:rsidRPr="00256982">
              <w:t>roads, tracks, skid sites and other temporarily unstocked areas associated with a forest land use</w:t>
            </w:r>
          </w:p>
          <w:p w14:paraId="1C332471" w14:textId="77777777" w:rsidR="00380BE7" w:rsidRPr="00256982" w:rsidRDefault="00380BE7" w:rsidP="00766AC8">
            <w:pPr>
              <w:pStyle w:val="TableBullet"/>
              <w:numPr>
                <w:ilvl w:val="0"/>
                <w:numId w:val="27"/>
              </w:numPr>
              <w:tabs>
                <w:tab w:val="left" w:pos="284"/>
              </w:tabs>
              <w:spacing w:before="0"/>
              <w:ind w:left="284" w:hanging="284"/>
            </w:pPr>
            <w:r w:rsidRPr="00256982">
              <w:t>areas of bare ground of any size that were previously forested (established after 31 December 1989) but, due to natural disturbances (e.g., erosion, storms, fire), have lost vegetation cover.</w:t>
            </w:r>
          </w:p>
        </w:tc>
      </w:tr>
      <w:tr w:rsidR="00380BE7" w:rsidRPr="00256982" w14:paraId="21819846" w14:textId="77777777" w:rsidTr="009574E7">
        <w:tc>
          <w:tcPr>
            <w:tcW w:w="1276" w:type="dxa"/>
            <w:tcBorders>
              <w:top w:val="single" w:sz="4" w:space="0" w:color="365F91"/>
              <w:bottom w:val="single" w:sz="4" w:space="0" w:color="365F91"/>
            </w:tcBorders>
          </w:tcPr>
          <w:p w14:paraId="1F179ED9" w14:textId="77777777" w:rsidR="00380BE7" w:rsidRPr="00256982" w:rsidRDefault="00380BE7" w:rsidP="009574E7">
            <w:pPr>
              <w:pStyle w:val="TableText"/>
              <w:rPr>
                <w:b/>
              </w:rPr>
            </w:pPr>
            <w:r w:rsidRPr="00256982">
              <w:rPr>
                <w:b/>
              </w:rPr>
              <w:t>Annual cropland</w:t>
            </w:r>
          </w:p>
        </w:tc>
        <w:tc>
          <w:tcPr>
            <w:tcW w:w="7229" w:type="dxa"/>
            <w:tcBorders>
              <w:top w:val="single" w:sz="4" w:space="0" w:color="365F91"/>
              <w:bottom w:val="single" w:sz="4" w:space="0" w:color="365F91"/>
            </w:tcBorders>
          </w:tcPr>
          <w:p w14:paraId="6835AB58" w14:textId="77777777" w:rsidR="00380BE7" w:rsidRPr="00256982" w:rsidRDefault="00380BE7" w:rsidP="009574E7">
            <w:pPr>
              <w:pStyle w:val="TableBullet"/>
              <w:numPr>
                <w:ilvl w:val="0"/>
                <w:numId w:val="0"/>
              </w:numPr>
              <w:spacing w:after="0"/>
            </w:pPr>
            <w:r w:rsidRPr="00256982">
              <w:t>Includes:</w:t>
            </w:r>
          </w:p>
          <w:p w14:paraId="6DFB37DE" w14:textId="77777777" w:rsidR="00380BE7" w:rsidRPr="00256982" w:rsidRDefault="00380BE7" w:rsidP="00766AC8">
            <w:pPr>
              <w:pStyle w:val="TableBullet"/>
              <w:numPr>
                <w:ilvl w:val="0"/>
                <w:numId w:val="27"/>
              </w:numPr>
              <w:tabs>
                <w:tab w:val="left" w:pos="284"/>
              </w:tabs>
              <w:spacing w:before="0" w:after="40"/>
              <w:ind w:left="284" w:hanging="284"/>
            </w:pPr>
            <w:r w:rsidRPr="00256982">
              <w:t>all annual crops</w:t>
            </w:r>
          </w:p>
          <w:p w14:paraId="599B24E0" w14:textId="77777777" w:rsidR="00380BE7" w:rsidRPr="00256982" w:rsidRDefault="00380BE7" w:rsidP="00766AC8">
            <w:pPr>
              <w:pStyle w:val="TableBullet"/>
              <w:numPr>
                <w:ilvl w:val="0"/>
                <w:numId w:val="27"/>
              </w:numPr>
              <w:tabs>
                <w:tab w:val="left" w:pos="284"/>
              </w:tabs>
              <w:spacing w:before="0" w:after="40"/>
              <w:ind w:left="284" w:hanging="284"/>
            </w:pPr>
            <w:r w:rsidRPr="00256982">
              <w:t>all cultivated bare ground</w:t>
            </w:r>
          </w:p>
          <w:p w14:paraId="2FE28E80" w14:textId="77777777" w:rsidR="00380BE7" w:rsidRPr="00256982" w:rsidRDefault="00380BE7" w:rsidP="00766AC8">
            <w:pPr>
              <w:pStyle w:val="TableBullet"/>
              <w:numPr>
                <w:ilvl w:val="0"/>
                <w:numId w:val="27"/>
              </w:numPr>
              <w:tabs>
                <w:tab w:val="left" w:pos="284"/>
              </w:tabs>
              <w:spacing w:before="0"/>
              <w:ind w:left="284" w:hanging="284"/>
            </w:pPr>
            <w:r w:rsidRPr="00256982">
              <w:t>linear shelterbelts associated with annual cropland.</w:t>
            </w:r>
          </w:p>
        </w:tc>
      </w:tr>
      <w:tr w:rsidR="00380BE7" w:rsidRPr="00256982" w14:paraId="606A4420" w14:textId="77777777" w:rsidTr="009574E7">
        <w:tc>
          <w:tcPr>
            <w:tcW w:w="1276" w:type="dxa"/>
            <w:tcBorders>
              <w:top w:val="single" w:sz="4" w:space="0" w:color="365F91"/>
              <w:bottom w:val="single" w:sz="4" w:space="0" w:color="365F91"/>
            </w:tcBorders>
          </w:tcPr>
          <w:p w14:paraId="03BB6BC2" w14:textId="77777777" w:rsidR="00380BE7" w:rsidRPr="00256982" w:rsidRDefault="00380BE7" w:rsidP="009574E7">
            <w:pPr>
              <w:pStyle w:val="TableText"/>
              <w:rPr>
                <w:b/>
              </w:rPr>
            </w:pPr>
            <w:r w:rsidRPr="00256982">
              <w:rPr>
                <w:b/>
              </w:rPr>
              <w:lastRenderedPageBreak/>
              <w:t>Perennial cropland</w:t>
            </w:r>
          </w:p>
        </w:tc>
        <w:tc>
          <w:tcPr>
            <w:tcW w:w="7229" w:type="dxa"/>
            <w:tcBorders>
              <w:top w:val="single" w:sz="4" w:space="0" w:color="365F91"/>
              <w:bottom w:val="single" w:sz="4" w:space="0" w:color="365F91"/>
            </w:tcBorders>
          </w:tcPr>
          <w:p w14:paraId="4821990A" w14:textId="77777777" w:rsidR="00380BE7" w:rsidRPr="00256982" w:rsidRDefault="00380BE7" w:rsidP="009574E7">
            <w:pPr>
              <w:pStyle w:val="TableBullet"/>
              <w:numPr>
                <w:ilvl w:val="0"/>
                <w:numId w:val="0"/>
              </w:numPr>
              <w:spacing w:after="0"/>
            </w:pPr>
            <w:r w:rsidRPr="00256982">
              <w:t>Includes:</w:t>
            </w:r>
          </w:p>
          <w:p w14:paraId="4BF8EAE0" w14:textId="77777777" w:rsidR="00380BE7" w:rsidRPr="00256982" w:rsidRDefault="00380BE7" w:rsidP="00766AC8">
            <w:pPr>
              <w:pStyle w:val="TableBullet"/>
              <w:numPr>
                <w:ilvl w:val="0"/>
                <w:numId w:val="27"/>
              </w:numPr>
              <w:tabs>
                <w:tab w:val="left" w:pos="284"/>
              </w:tabs>
              <w:spacing w:before="0" w:after="40"/>
              <w:ind w:left="284" w:hanging="284"/>
            </w:pPr>
            <w:r w:rsidRPr="00256982">
              <w:t>all orchards and vineyards</w:t>
            </w:r>
          </w:p>
          <w:p w14:paraId="27576FD7" w14:textId="77777777" w:rsidR="00380BE7" w:rsidRPr="00256982" w:rsidRDefault="00380BE7" w:rsidP="00766AC8">
            <w:pPr>
              <w:pStyle w:val="TableBullet"/>
              <w:numPr>
                <w:ilvl w:val="0"/>
                <w:numId w:val="27"/>
              </w:numPr>
              <w:tabs>
                <w:tab w:val="left" w:pos="284"/>
              </w:tabs>
              <w:spacing w:before="0"/>
              <w:ind w:left="284" w:hanging="284"/>
            </w:pPr>
            <w:r w:rsidRPr="00256982">
              <w:t>linear shelterbelts associated with perennial cropland.</w:t>
            </w:r>
          </w:p>
        </w:tc>
      </w:tr>
      <w:tr w:rsidR="00380BE7" w:rsidRPr="00256982" w14:paraId="19019403" w14:textId="77777777" w:rsidTr="009574E7">
        <w:tc>
          <w:tcPr>
            <w:tcW w:w="1276" w:type="dxa"/>
            <w:tcBorders>
              <w:top w:val="single" w:sz="4" w:space="0" w:color="365F91"/>
              <w:bottom w:val="single" w:sz="4" w:space="0" w:color="365F91"/>
            </w:tcBorders>
          </w:tcPr>
          <w:p w14:paraId="67C4623B" w14:textId="77777777" w:rsidR="00380BE7" w:rsidRPr="00256982" w:rsidRDefault="00380BE7" w:rsidP="009574E7">
            <w:pPr>
              <w:pStyle w:val="TableText"/>
              <w:rPr>
                <w:b/>
              </w:rPr>
            </w:pPr>
            <w:r w:rsidRPr="00256982">
              <w:rPr>
                <w:b/>
              </w:rPr>
              <w:t>High producing grassland</w:t>
            </w:r>
          </w:p>
        </w:tc>
        <w:tc>
          <w:tcPr>
            <w:tcW w:w="7229" w:type="dxa"/>
            <w:tcBorders>
              <w:top w:val="single" w:sz="4" w:space="0" w:color="365F91"/>
              <w:bottom w:val="single" w:sz="4" w:space="0" w:color="365F91"/>
            </w:tcBorders>
          </w:tcPr>
          <w:p w14:paraId="73F94CC5" w14:textId="77777777" w:rsidR="00380BE7" w:rsidRPr="00256982" w:rsidRDefault="00380BE7" w:rsidP="009574E7">
            <w:pPr>
              <w:pStyle w:val="TableBullet"/>
              <w:numPr>
                <w:ilvl w:val="0"/>
                <w:numId w:val="0"/>
              </w:numPr>
              <w:spacing w:before="40" w:after="0"/>
            </w:pPr>
            <w:r w:rsidRPr="00256982">
              <w:t>Includes:</w:t>
            </w:r>
          </w:p>
          <w:p w14:paraId="3E030B84" w14:textId="77777777" w:rsidR="00380BE7" w:rsidRPr="00256982" w:rsidRDefault="00380BE7" w:rsidP="00766AC8">
            <w:pPr>
              <w:pStyle w:val="TableBullet"/>
              <w:numPr>
                <w:ilvl w:val="0"/>
                <w:numId w:val="27"/>
              </w:numPr>
              <w:tabs>
                <w:tab w:val="left" w:pos="284"/>
              </w:tabs>
              <w:spacing w:before="0" w:after="40"/>
              <w:ind w:left="284" w:hanging="284"/>
            </w:pPr>
            <w:r w:rsidRPr="00256982">
              <w:t>grassland with high-quality pasture species</w:t>
            </w:r>
          </w:p>
          <w:p w14:paraId="15DD9ACD" w14:textId="77777777" w:rsidR="00380BE7" w:rsidRPr="00256982" w:rsidRDefault="00380BE7" w:rsidP="00766AC8">
            <w:pPr>
              <w:pStyle w:val="TableBullet"/>
              <w:numPr>
                <w:ilvl w:val="0"/>
                <w:numId w:val="27"/>
              </w:numPr>
              <w:tabs>
                <w:tab w:val="left" w:pos="284"/>
              </w:tabs>
              <w:spacing w:before="0" w:after="40"/>
              <w:ind w:left="284" w:hanging="284"/>
            </w:pPr>
            <w:r w:rsidRPr="00256982">
              <w:t>linear shelterbelts that are &lt;1 hectare in area or &lt;30 metres in mean width (larger shelterbelts are mapped separately as grassland with woody biomass)</w:t>
            </w:r>
          </w:p>
          <w:p w14:paraId="718867C3" w14:textId="77777777" w:rsidR="00380BE7" w:rsidRPr="00256982" w:rsidRDefault="00380BE7" w:rsidP="00766AC8">
            <w:pPr>
              <w:pStyle w:val="TableBullet"/>
              <w:numPr>
                <w:ilvl w:val="0"/>
                <w:numId w:val="27"/>
              </w:numPr>
              <w:tabs>
                <w:tab w:val="left" w:pos="284"/>
              </w:tabs>
              <w:spacing w:before="0" w:after="40"/>
              <w:ind w:left="284" w:hanging="284"/>
            </w:pPr>
            <w:r w:rsidRPr="00256982">
              <w:t>areas of bare ground of any size that were previously grassland but, due to natural disturbances (e.g., erosion), have lost vegetation cover.</w:t>
            </w:r>
          </w:p>
        </w:tc>
      </w:tr>
      <w:tr w:rsidR="00380BE7" w:rsidRPr="00256982" w14:paraId="3CCC14CD" w14:textId="77777777" w:rsidTr="009574E7">
        <w:tc>
          <w:tcPr>
            <w:tcW w:w="1276" w:type="dxa"/>
            <w:tcBorders>
              <w:top w:val="single" w:sz="4" w:space="0" w:color="365F91"/>
              <w:bottom w:val="single" w:sz="4" w:space="0" w:color="365F91"/>
            </w:tcBorders>
          </w:tcPr>
          <w:p w14:paraId="6C97E76B" w14:textId="77777777" w:rsidR="00380BE7" w:rsidRPr="00256982" w:rsidRDefault="00380BE7" w:rsidP="009574E7">
            <w:pPr>
              <w:pStyle w:val="TableText"/>
              <w:rPr>
                <w:b/>
              </w:rPr>
            </w:pPr>
            <w:r w:rsidRPr="00256982">
              <w:rPr>
                <w:b/>
              </w:rPr>
              <w:t>Low producing grassland</w:t>
            </w:r>
          </w:p>
        </w:tc>
        <w:tc>
          <w:tcPr>
            <w:tcW w:w="7229" w:type="dxa"/>
            <w:tcBorders>
              <w:top w:val="single" w:sz="4" w:space="0" w:color="365F91"/>
              <w:bottom w:val="single" w:sz="4" w:space="0" w:color="365F91"/>
            </w:tcBorders>
          </w:tcPr>
          <w:p w14:paraId="1A95D3C8" w14:textId="77777777" w:rsidR="00380BE7" w:rsidRPr="00256982" w:rsidRDefault="00380BE7" w:rsidP="009574E7">
            <w:pPr>
              <w:pStyle w:val="TableBullet"/>
              <w:numPr>
                <w:ilvl w:val="0"/>
                <w:numId w:val="0"/>
              </w:numPr>
              <w:spacing w:before="40" w:after="0"/>
            </w:pPr>
            <w:r w:rsidRPr="00256982">
              <w:t>Includes:</w:t>
            </w:r>
          </w:p>
          <w:p w14:paraId="00EA6651" w14:textId="77777777" w:rsidR="00380BE7" w:rsidRPr="00256982" w:rsidRDefault="00380BE7" w:rsidP="00766AC8">
            <w:pPr>
              <w:pStyle w:val="TableBullet"/>
              <w:numPr>
                <w:ilvl w:val="0"/>
                <w:numId w:val="27"/>
              </w:numPr>
              <w:tabs>
                <w:tab w:val="left" w:pos="284"/>
              </w:tabs>
              <w:spacing w:before="0" w:after="40"/>
              <w:ind w:left="284" w:hanging="284"/>
            </w:pPr>
            <w:r w:rsidRPr="00256982">
              <w:t xml:space="preserve">low-fertility grassland and tussock grasslands (e.g., </w:t>
            </w:r>
            <w:r w:rsidRPr="00256982">
              <w:rPr>
                <w:i/>
              </w:rPr>
              <w:t>Chionochloa</w:t>
            </w:r>
            <w:r w:rsidRPr="00256982">
              <w:t xml:space="preserve"> and </w:t>
            </w:r>
            <w:r w:rsidRPr="00256982">
              <w:rPr>
                <w:i/>
              </w:rPr>
              <w:t xml:space="preserve">Festuca </w:t>
            </w:r>
            <w:r w:rsidRPr="00256982">
              <w:t>spp.)</w:t>
            </w:r>
          </w:p>
          <w:p w14:paraId="3B63EFEB" w14:textId="77777777" w:rsidR="00380BE7" w:rsidRPr="00256982" w:rsidRDefault="00380BE7" w:rsidP="00766AC8">
            <w:pPr>
              <w:pStyle w:val="TableBullet"/>
              <w:numPr>
                <w:ilvl w:val="0"/>
                <w:numId w:val="27"/>
              </w:numPr>
              <w:tabs>
                <w:tab w:val="left" w:pos="284"/>
              </w:tabs>
              <w:spacing w:before="0" w:after="40"/>
              <w:ind w:left="284" w:hanging="284"/>
            </w:pPr>
            <w:r w:rsidRPr="00256982">
              <w:t>mostly hill country</w:t>
            </w:r>
          </w:p>
          <w:p w14:paraId="03F7D096" w14:textId="77777777" w:rsidR="00380BE7" w:rsidRPr="00256982" w:rsidRDefault="00380BE7" w:rsidP="00766AC8">
            <w:pPr>
              <w:pStyle w:val="TableBullet"/>
              <w:numPr>
                <w:ilvl w:val="0"/>
                <w:numId w:val="27"/>
              </w:numPr>
              <w:tabs>
                <w:tab w:val="left" w:pos="284"/>
              </w:tabs>
              <w:spacing w:before="0" w:after="40"/>
              <w:ind w:left="284" w:hanging="284"/>
            </w:pPr>
            <w:r w:rsidRPr="00256982">
              <w:t>montane herbfields either at an altitude higher than above-timberline vegetation or where the herbfields are not mixed up with woody vegetation</w:t>
            </w:r>
          </w:p>
          <w:p w14:paraId="5509AAA3" w14:textId="77777777" w:rsidR="00380BE7" w:rsidRPr="00256982" w:rsidRDefault="00380BE7" w:rsidP="00766AC8">
            <w:pPr>
              <w:pStyle w:val="TableBullet"/>
              <w:numPr>
                <w:ilvl w:val="0"/>
                <w:numId w:val="27"/>
              </w:numPr>
              <w:tabs>
                <w:tab w:val="left" w:pos="284"/>
              </w:tabs>
              <w:spacing w:before="0" w:after="40"/>
              <w:ind w:left="284" w:hanging="284"/>
            </w:pPr>
            <w:r w:rsidRPr="00256982">
              <w:t>linear shelterbelts that are &lt;1 hectare in area or &lt;30 metres in mean width (larger shelterbelts are mapped separately as grassland with woody biomass)</w:t>
            </w:r>
          </w:p>
          <w:p w14:paraId="6EE40621" w14:textId="77777777" w:rsidR="00380BE7" w:rsidRPr="00256982" w:rsidRDefault="00380BE7" w:rsidP="00766AC8">
            <w:pPr>
              <w:pStyle w:val="TableBullet"/>
              <w:numPr>
                <w:ilvl w:val="0"/>
                <w:numId w:val="27"/>
              </w:numPr>
              <w:tabs>
                <w:tab w:val="left" w:pos="284"/>
              </w:tabs>
              <w:spacing w:before="0"/>
              <w:ind w:left="284" w:hanging="284"/>
            </w:pPr>
            <w:r w:rsidRPr="00256982">
              <w:t>other areas of limited vegetation cover and significant bare soil, including erosion and coastal herbaceous sand-dune vegetation.</w:t>
            </w:r>
          </w:p>
        </w:tc>
      </w:tr>
      <w:tr w:rsidR="00380BE7" w:rsidRPr="00256982" w14:paraId="44CA0251" w14:textId="77777777" w:rsidTr="009574E7">
        <w:tc>
          <w:tcPr>
            <w:tcW w:w="1276" w:type="dxa"/>
            <w:tcBorders>
              <w:top w:val="single" w:sz="4" w:space="0" w:color="365F91"/>
              <w:bottom w:val="single" w:sz="4" w:space="0" w:color="365F91"/>
            </w:tcBorders>
          </w:tcPr>
          <w:p w14:paraId="7C46DD34" w14:textId="77777777" w:rsidR="00380BE7" w:rsidRPr="00256982" w:rsidRDefault="00380BE7" w:rsidP="009574E7">
            <w:pPr>
              <w:pStyle w:val="TableText"/>
              <w:rPr>
                <w:b/>
              </w:rPr>
            </w:pPr>
            <w:r w:rsidRPr="00256982">
              <w:rPr>
                <w:b/>
              </w:rPr>
              <w:t>Grassland with woody biomass</w:t>
            </w:r>
          </w:p>
        </w:tc>
        <w:tc>
          <w:tcPr>
            <w:tcW w:w="7229" w:type="dxa"/>
            <w:tcBorders>
              <w:top w:val="single" w:sz="4" w:space="0" w:color="365F91"/>
              <w:bottom w:val="single" w:sz="4" w:space="0" w:color="365F91"/>
            </w:tcBorders>
          </w:tcPr>
          <w:p w14:paraId="45A100D6" w14:textId="77777777" w:rsidR="00380BE7" w:rsidRPr="00256982" w:rsidRDefault="00380BE7" w:rsidP="009574E7">
            <w:pPr>
              <w:pStyle w:val="TableBullet"/>
              <w:numPr>
                <w:ilvl w:val="0"/>
                <w:numId w:val="0"/>
              </w:numPr>
              <w:spacing w:before="40" w:after="0"/>
            </w:pPr>
            <w:r w:rsidRPr="00256982">
              <w:t>Includes:</w:t>
            </w:r>
          </w:p>
          <w:p w14:paraId="4CA9EFC7" w14:textId="77777777" w:rsidR="00380BE7" w:rsidRPr="00256982" w:rsidRDefault="00380BE7" w:rsidP="00766AC8">
            <w:pPr>
              <w:pStyle w:val="TableBullet"/>
              <w:numPr>
                <w:ilvl w:val="0"/>
                <w:numId w:val="27"/>
              </w:numPr>
              <w:tabs>
                <w:tab w:val="left" w:pos="284"/>
              </w:tabs>
              <w:spacing w:before="0" w:after="40"/>
              <w:ind w:left="284" w:hanging="284"/>
            </w:pPr>
            <w:r w:rsidRPr="00256982">
              <w:t>grassland with matagouri (</w:t>
            </w:r>
            <w:r w:rsidRPr="00256982">
              <w:rPr>
                <w:i/>
              </w:rPr>
              <w:t>Discaria toumatou</w:t>
            </w:r>
            <w:r w:rsidRPr="00256982">
              <w:t>) and sweet briar (</w:t>
            </w:r>
            <w:r w:rsidRPr="00256982">
              <w:rPr>
                <w:i/>
              </w:rPr>
              <w:t>Rosa rubiginosa</w:t>
            </w:r>
            <w:r w:rsidRPr="00256982">
              <w:t>), broadleaved hardwood shrubland (e.g., m</w:t>
            </w:r>
            <w:r w:rsidRPr="00256982">
              <w:rPr>
                <w:rFonts w:cs="Arial"/>
              </w:rPr>
              <w:t>ā</w:t>
            </w:r>
            <w:r w:rsidRPr="00256982">
              <w:t xml:space="preserve">hoe – </w:t>
            </w:r>
            <w:r w:rsidRPr="00256982">
              <w:rPr>
                <w:i/>
              </w:rPr>
              <w:t>Melicytus ramiflorus</w:t>
            </w:r>
            <w:r w:rsidRPr="00256982">
              <w:t>), wineberry (</w:t>
            </w:r>
            <w:r w:rsidRPr="00256982">
              <w:rPr>
                <w:i/>
              </w:rPr>
              <w:t>Aristotelia serrata</w:t>
            </w:r>
            <w:r w:rsidRPr="00256982">
              <w:t xml:space="preserve">), </w:t>
            </w:r>
            <w:r w:rsidRPr="00256982">
              <w:rPr>
                <w:i/>
              </w:rPr>
              <w:t>Pseudopanax</w:t>
            </w:r>
            <w:r w:rsidRPr="00256982">
              <w:t xml:space="preserve"> spp., </w:t>
            </w:r>
            <w:r w:rsidRPr="00256982">
              <w:rPr>
                <w:i/>
              </w:rPr>
              <w:t>Pittosporum</w:t>
            </w:r>
            <w:r w:rsidRPr="00256982">
              <w:t xml:space="preserve"> spp.), mānuka–kānuka (</w:t>
            </w:r>
            <w:r w:rsidRPr="00256982">
              <w:rPr>
                <w:i/>
              </w:rPr>
              <w:t>Leptospermum</w:t>
            </w:r>
            <w:r w:rsidRPr="00256982">
              <w:t xml:space="preserve"> </w:t>
            </w:r>
            <w:r w:rsidRPr="00256982">
              <w:rPr>
                <w:i/>
              </w:rPr>
              <w:t>scoparium</w:t>
            </w:r>
            <w:r w:rsidRPr="00256982">
              <w:t>–</w:t>
            </w:r>
            <w:r w:rsidRPr="00256982">
              <w:rPr>
                <w:i/>
              </w:rPr>
              <w:t>Kunzea</w:t>
            </w:r>
            <w:r w:rsidRPr="00256982">
              <w:t xml:space="preserve"> </w:t>
            </w:r>
            <w:r w:rsidRPr="00256982">
              <w:rPr>
                <w:i/>
              </w:rPr>
              <w:t>ericoides</w:t>
            </w:r>
            <w:r w:rsidRPr="00256982">
              <w:t>) shrubland, coastal and other woody shrubland (&lt;5 metres tall and any percentage of cover) where, under current management or environmental conditions (climate and/or soil), it is expected that the forest criteria will not be met over a 30- to 40-year period</w:t>
            </w:r>
          </w:p>
          <w:p w14:paraId="2E607D8F" w14:textId="77777777" w:rsidR="00380BE7" w:rsidRPr="00256982" w:rsidRDefault="00380BE7" w:rsidP="00766AC8">
            <w:pPr>
              <w:pStyle w:val="TableBullet"/>
              <w:numPr>
                <w:ilvl w:val="0"/>
                <w:numId w:val="27"/>
              </w:numPr>
              <w:tabs>
                <w:tab w:val="left" w:pos="284"/>
              </w:tabs>
              <w:spacing w:before="0" w:after="40"/>
              <w:ind w:left="284" w:hanging="284"/>
            </w:pPr>
            <w:r w:rsidRPr="00256982">
              <w:t>above-timberline shrubland vegetation intermixed with montane herbfields (does not have the potential to reach &gt;5 metres in height</w:t>
            </w:r>
            <w:r w:rsidRPr="00256982">
              <w:rPr>
                <w:i/>
              </w:rPr>
              <w:t xml:space="preserve"> in situ</w:t>
            </w:r>
            <w:r w:rsidRPr="00256982">
              <w:t>)</w:t>
            </w:r>
          </w:p>
          <w:p w14:paraId="46BDAFBD" w14:textId="77777777" w:rsidR="00380BE7" w:rsidRPr="00256982" w:rsidRDefault="00380BE7" w:rsidP="00766AC8">
            <w:pPr>
              <w:pStyle w:val="TableBullet"/>
              <w:numPr>
                <w:ilvl w:val="0"/>
                <w:numId w:val="27"/>
              </w:numPr>
              <w:tabs>
                <w:tab w:val="left" w:pos="284"/>
              </w:tabs>
              <w:spacing w:before="0" w:after="40"/>
              <w:ind w:left="284" w:hanging="284"/>
            </w:pPr>
            <w:r w:rsidRPr="00256982">
              <w:t>grassland with tall tree species (&lt;30 per cent cover), such as golf courses in rural areas (except where the Land Cover Database has classified these as settlements)</w:t>
            </w:r>
          </w:p>
          <w:p w14:paraId="760BC8DD" w14:textId="77777777" w:rsidR="00380BE7" w:rsidRPr="00256982" w:rsidRDefault="00380BE7" w:rsidP="00766AC8">
            <w:pPr>
              <w:pStyle w:val="TableBullet"/>
              <w:numPr>
                <w:ilvl w:val="0"/>
                <w:numId w:val="27"/>
              </w:numPr>
              <w:tabs>
                <w:tab w:val="left" w:pos="284"/>
              </w:tabs>
              <w:spacing w:before="0" w:after="40"/>
              <w:ind w:left="284" w:hanging="284"/>
            </w:pPr>
            <w:r w:rsidRPr="00256982">
              <w:t>grassland with riparian or erosion control plantings (&lt;30 per cent cover)</w:t>
            </w:r>
          </w:p>
          <w:p w14:paraId="3D25B302" w14:textId="77777777" w:rsidR="00380BE7" w:rsidRPr="00256982" w:rsidRDefault="00380BE7" w:rsidP="00766AC8">
            <w:pPr>
              <w:pStyle w:val="TableBullet"/>
              <w:numPr>
                <w:ilvl w:val="0"/>
                <w:numId w:val="27"/>
              </w:numPr>
              <w:tabs>
                <w:tab w:val="left" w:pos="284"/>
              </w:tabs>
              <w:spacing w:before="0" w:after="40"/>
              <w:ind w:left="284" w:hanging="284"/>
            </w:pPr>
            <w:r w:rsidRPr="00256982">
              <w:t>linear shelterbelts that are &gt;1 hectare in area and &lt;30 metres in mean width</w:t>
            </w:r>
          </w:p>
          <w:p w14:paraId="6A511CC8" w14:textId="77777777" w:rsidR="00380BE7" w:rsidRPr="00256982" w:rsidRDefault="00380BE7" w:rsidP="00766AC8">
            <w:pPr>
              <w:pStyle w:val="TableBullet"/>
              <w:numPr>
                <w:ilvl w:val="0"/>
                <w:numId w:val="27"/>
              </w:numPr>
              <w:tabs>
                <w:tab w:val="left" w:pos="284"/>
              </w:tabs>
              <w:spacing w:before="0"/>
              <w:ind w:left="284" w:hanging="284"/>
            </w:pPr>
            <w:r w:rsidRPr="00256982">
              <w:t>areas of bare ground of any size that previously contained grassland with woody biomass but, due to natural disturbances (e.g., erosion, fire), have lost vegetation cover.</w:t>
            </w:r>
          </w:p>
        </w:tc>
      </w:tr>
      <w:tr w:rsidR="00380BE7" w:rsidRPr="00256982" w14:paraId="08F328D0" w14:textId="77777777" w:rsidTr="009574E7">
        <w:tc>
          <w:tcPr>
            <w:tcW w:w="1276" w:type="dxa"/>
            <w:tcBorders>
              <w:top w:val="single" w:sz="4" w:space="0" w:color="365F91"/>
              <w:bottom w:val="single" w:sz="4" w:space="0" w:color="365F91"/>
            </w:tcBorders>
          </w:tcPr>
          <w:p w14:paraId="14C7B937" w14:textId="77777777" w:rsidR="00380BE7" w:rsidRPr="00256982" w:rsidRDefault="00380BE7" w:rsidP="009574E7">
            <w:pPr>
              <w:pStyle w:val="TableText"/>
              <w:rPr>
                <w:b/>
              </w:rPr>
            </w:pPr>
            <w:r w:rsidRPr="00256982">
              <w:rPr>
                <w:b/>
              </w:rPr>
              <w:t>Open water</w:t>
            </w:r>
          </w:p>
        </w:tc>
        <w:tc>
          <w:tcPr>
            <w:tcW w:w="7229" w:type="dxa"/>
            <w:tcBorders>
              <w:top w:val="single" w:sz="4" w:space="0" w:color="365F91"/>
              <w:bottom w:val="single" w:sz="4" w:space="0" w:color="365F91"/>
            </w:tcBorders>
          </w:tcPr>
          <w:p w14:paraId="4D193A03" w14:textId="77777777" w:rsidR="00380BE7" w:rsidRPr="00256982" w:rsidRDefault="00380BE7" w:rsidP="009574E7">
            <w:pPr>
              <w:pStyle w:val="TableBullet"/>
              <w:numPr>
                <w:ilvl w:val="0"/>
                <w:numId w:val="0"/>
              </w:numPr>
              <w:spacing w:before="40" w:after="0"/>
            </w:pPr>
            <w:r w:rsidRPr="00256982">
              <w:t>Includes:</w:t>
            </w:r>
          </w:p>
          <w:p w14:paraId="5BD3666C" w14:textId="77777777" w:rsidR="00380BE7" w:rsidRPr="00256982" w:rsidRDefault="00380BE7" w:rsidP="00766AC8">
            <w:pPr>
              <w:pStyle w:val="TableBullet"/>
              <w:numPr>
                <w:ilvl w:val="0"/>
                <w:numId w:val="27"/>
              </w:numPr>
              <w:tabs>
                <w:tab w:val="left" w:pos="284"/>
              </w:tabs>
              <w:spacing w:before="0" w:after="20"/>
              <w:ind w:left="284" w:hanging="284"/>
            </w:pPr>
            <w:r w:rsidRPr="00256982">
              <w:t xml:space="preserve">lakes, rivers, dams and reservoirs </w:t>
            </w:r>
          </w:p>
          <w:p w14:paraId="580D1533" w14:textId="77777777" w:rsidR="00380BE7" w:rsidRPr="00256982" w:rsidRDefault="00380BE7" w:rsidP="00766AC8">
            <w:pPr>
              <w:pStyle w:val="TableBullet"/>
              <w:numPr>
                <w:ilvl w:val="0"/>
                <w:numId w:val="27"/>
              </w:numPr>
              <w:tabs>
                <w:tab w:val="left" w:pos="284"/>
              </w:tabs>
              <w:spacing w:before="0"/>
              <w:ind w:left="284" w:hanging="284"/>
            </w:pPr>
            <w:r w:rsidRPr="00256982">
              <w:t>estuarine–tidal areas including mangroves.</w:t>
            </w:r>
          </w:p>
        </w:tc>
      </w:tr>
      <w:tr w:rsidR="00380BE7" w:rsidRPr="00256982" w14:paraId="60665C2A" w14:textId="77777777" w:rsidTr="009574E7">
        <w:tc>
          <w:tcPr>
            <w:tcW w:w="1276" w:type="dxa"/>
            <w:tcBorders>
              <w:top w:val="single" w:sz="4" w:space="0" w:color="365F91"/>
              <w:bottom w:val="single" w:sz="4" w:space="0" w:color="365F91"/>
            </w:tcBorders>
          </w:tcPr>
          <w:p w14:paraId="73715A86" w14:textId="77777777" w:rsidR="00380BE7" w:rsidRPr="00256982" w:rsidRDefault="00380BE7" w:rsidP="009574E7">
            <w:pPr>
              <w:pStyle w:val="TableText"/>
              <w:keepNext/>
              <w:rPr>
                <w:b/>
              </w:rPr>
            </w:pPr>
            <w:r w:rsidRPr="00256982">
              <w:rPr>
                <w:b/>
              </w:rPr>
              <w:t>Vegetated wetland</w:t>
            </w:r>
          </w:p>
        </w:tc>
        <w:tc>
          <w:tcPr>
            <w:tcW w:w="7229" w:type="dxa"/>
            <w:tcBorders>
              <w:top w:val="single" w:sz="4" w:space="0" w:color="365F91"/>
              <w:bottom w:val="single" w:sz="4" w:space="0" w:color="365F91"/>
            </w:tcBorders>
          </w:tcPr>
          <w:p w14:paraId="5EAAB1E7" w14:textId="77777777" w:rsidR="00380BE7" w:rsidRPr="00256982" w:rsidRDefault="00380BE7" w:rsidP="009574E7">
            <w:pPr>
              <w:pStyle w:val="TableBullet"/>
              <w:numPr>
                <w:ilvl w:val="0"/>
                <w:numId w:val="0"/>
              </w:numPr>
              <w:spacing w:before="40" w:after="0"/>
            </w:pPr>
            <w:r w:rsidRPr="00256982">
              <w:t>Includes:</w:t>
            </w:r>
          </w:p>
          <w:p w14:paraId="5577C20F" w14:textId="77777777" w:rsidR="00380BE7" w:rsidRPr="00256982" w:rsidRDefault="00380BE7" w:rsidP="00766AC8">
            <w:pPr>
              <w:pStyle w:val="TableBullet"/>
              <w:numPr>
                <w:ilvl w:val="0"/>
                <w:numId w:val="27"/>
              </w:numPr>
              <w:tabs>
                <w:tab w:val="left" w:pos="284"/>
              </w:tabs>
              <w:spacing w:before="0" w:after="0"/>
              <w:ind w:left="284" w:hanging="284"/>
            </w:pPr>
            <w:r w:rsidRPr="00256982">
              <w:t>herbaceous and/or non-forest woody vegetation that may be periodically flooded. Includes scattered patches of tall tree-like vegetation in the wetland environment where cover reaches &lt;30 per cent</w:t>
            </w:r>
          </w:p>
          <w:p w14:paraId="6E5C9CCD" w14:textId="77777777" w:rsidR="00380BE7" w:rsidRPr="00256982" w:rsidRDefault="00380BE7" w:rsidP="00766AC8">
            <w:pPr>
              <w:pStyle w:val="TableBullet"/>
              <w:numPr>
                <w:ilvl w:val="0"/>
                <w:numId w:val="27"/>
              </w:numPr>
              <w:tabs>
                <w:tab w:val="left" w:pos="284"/>
              </w:tabs>
              <w:spacing w:before="40" w:after="0"/>
              <w:ind w:left="284" w:hanging="284"/>
            </w:pPr>
            <w:r w:rsidRPr="00256982">
              <w:t>areas under peat extraction</w:t>
            </w:r>
          </w:p>
          <w:p w14:paraId="71F85F21" w14:textId="77777777" w:rsidR="00380BE7" w:rsidRPr="00256982" w:rsidRDefault="00380BE7" w:rsidP="00766AC8">
            <w:pPr>
              <w:pStyle w:val="TableBullet"/>
              <w:numPr>
                <w:ilvl w:val="0"/>
                <w:numId w:val="27"/>
              </w:numPr>
              <w:tabs>
                <w:tab w:val="left" w:pos="284"/>
              </w:tabs>
              <w:spacing w:before="40"/>
              <w:ind w:left="284" w:hanging="284"/>
            </w:pPr>
            <w:r w:rsidRPr="00256982">
              <w:t>estuarine–tidal areas including mangroves.</w:t>
            </w:r>
          </w:p>
        </w:tc>
      </w:tr>
      <w:tr w:rsidR="00380BE7" w:rsidRPr="00256982" w14:paraId="3C30A47C" w14:textId="77777777" w:rsidTr="009574E7">
        <w:tc>
          <w:tcPr>
            <w:tcW w:w="1276" w:type="dxa"/>
            <w:tcBorders>
              <w:top w:val="single" w:sz="4" w:space="0" w:color="365F91"/>
              <w:bottom w:val="single" w:sz="4" w:space="0" w:color="365F91"/>
            </w:tcBorders>
          </w:tcPr>
          <w:p w14:paraId="51EA95BE" w14:textId="77777777" w:rsidR="00380BE7" w:rsidRPr="00256982" w:rsidRDefault="00380BE7" w:rsidP="009574E7">
            <w:pPr>
              <w:pStyle w:val="TableText"/>
              <w:rPr>
                <w:b/>
              </w:rPr>
            </w:pPr>
            <w:r w:rsidRPr="00256982">
              <w:rPr>
                <w:b/>
              </w:rPr>
              <w:t>Settlements</w:t>
            </w:r>
          </w:p>
        </w:tc>
        <w:tc>
          <w:tcPr>
            <w:tcW w:w="7229" w:type="dxa"/>
            <w:tcBorders>
              <w:top w:val="single" w:sz="4" w:space="0" w:color="365F91"/>
              <w:bottom w:val="single" w:sz="4" w:space="0" w:color="365F91"/>
            </w:tcBorders>
          </w:tcPr>
          <w:p w14:paraId="2F7F75BD" w14:textId="77777777" w:rsidR="00380BE7" w:rsidRPr="00256982" w:rsidRDefault="00380BE7" w:rsidP="009574E7">
            <w:pPr>
              <w:pStyle w:val="TableBullet"/>
              <w:numPr>
                <w:ilvl w:val="0"/>
                <w:numId w:val="0"/>
              </w:numPr>
              <w:spacing w:before="40" w:after="0"/>
            </w:pPr>
            <w:r w:rsidRPr="00256982">
              <w:t>Includes:</w:t>
            </w:r>
          </w:p>
          <w:p w14:paraId="47D493B9" w14:textId="77777777" w:rsidR="00380BE7" w:rsidRPr="00256982" w:rsidRDefault="00380BE7" w:rsidP="00766AC8">
            <w:pPr>
              <w:pStyle w:val="TableBullet"/>
              <w:numPr>
                <w:ilvl w:val="0"/>
                <w:numId w:val="27"/>
              </w:numPr>
              <w:tabs>
                <w:tab w:val="left" w:pos="284"/>
              </w:tabs>
              <w:spacing w:before="0" w:after="0"/>
              <w:ind w:left="284" w:hanging="284"/>
            </w:pPr>
            <w:r w:rsidRPr="00256982">
              <w:t>built-up areas and impervious surfaces</w:t>
            </w:r>
          </w:p>
          <w:p w14:paraId="413405A9" w14:textId="77777777" w:rsidR="00380BE7" w:rsidRPr="00256982" w:rsidRDefault="00380BE7" w:rsidP="00766AC8">
            <w:pPr>
              <w:pStyle w:val="TableBullet"/>
              <w:numPr>
                <w:ilvl w:val="0"/>
                <w:numId w:val="27"/>
              </w:numPr>
              <w:tabs>
                <w:tab w:val="left" w:pos="284"/>
              </w:tabs>
              <w:spacing w:before="40" w:after="0"/>
              <w:ind w:left="284" w:hanging="284"/>
            </w:pPr>
            <w:r w:rsidRPr="00256982">
              <w:t>grassland within ‘settlements’ including recreational areas, urban parklands and open spaces that do not meet the forest definition</w:t>
            </w:r>
          </w:p>
          <w:p w14:paraId="03C9FBFD" w14:textId="77777777" w:rsidR="00380BE7" w:rsidRPr="00256982" w:rsidRDefault="00380BE7" w:rsidP="00766AC8">
            <w:pPr>
              <w:pStyle w:val="TableBullet"/>
              <w:numPr>
                <w:ilvl w:val="0"/>
                <w:numId w:val="27"/>
              </w:numPr>
              <w:tabs>
                <w:tab w:val="left" w:pos="284"/>
              </w:tabs>
              <w:spacing w:before="40" w:after="0"/>
              <w:ind w:left="284" w:hanging="284"/>
            </w:pPr>
            <w:r w:rsidRPr="00256982">
              <w:t>major roading infrastructure</w:t>
            </w:r>
          </w:p>
          <w:p w14:paraId="76D4D958" w14:textId="77777777" w:rsidR="00380BE7" w:rsidRPr="00256982" w:rsidRDefault="00380BE7" w:rsidP="00766AC8">
            <w:pPr>
              <w:pStyle w:val="TableBullet"/>
              <w:numPr>
                <w:ilvl w:val="0"/>
                <w:numId w:val="27"/>
              </w:numPr>
              <w:tabs>
                <w:tab w:val="left" w:pos="284"/>
              </w:tabs>
              <w:spacing w:before="40" w:after="0"/>
              <w:ind w:left="284" w:hanging="284"/>
            </w:pPr>
            <w:r w:rsidRPr="00256982">
              <w:t>airports and runways</w:t>
            </w:r>
          </w:p>
          <w:p w14:paraId="5EA30D43" w14:textId="77777777" w:rsidR="00380BE7" w:rsidRPr="00256982" w:rsidRDefault="00380BE7" w:rsidP="00766AC8">
            <w:pPr>
              <w:pStyle w:val="TableBullet"/>
              <w:numPr>
                <w:ilvl w:val="0"/>
                <w:numId w:val="27"/>
              </w:numPr>
              <w:tabs>
                <w:tab w:val="left" w:pos="284"/>
              </w:tabs>
              <w:spacing w:before="40" w:after="0"/>
              <w:ind w:left="284" w:hanging="284"/>
            </w:pPr>
            <w:r w:rsidRPr="00256982">
              <w:t xml:space="preserve">dam infrastructure </w:t>
            </w:r>
          </w:p>
          <w:p w14:paraId="3040ACC4" w14:textId="77777777" w:rsidR="00380BE7" w:rsidRPr="00256982" w:rsidRDefault="00380BE7" w:rsidP="00766AC8">
            <w:pPr>
              <w:pStyle w:val="TableBullet"/>
              <w:numPr>
                <w:ilvl w:val="0"/>
                <w:numId w:val="27"/>
              </w:numPr>
              <w:tabs>
                <w:tab w:val="left" w:pos="284"/>
              </w:tabs>
              <w:spacing w:before="40"/>
              <w:ind w:left="284" w:hanging="284"/>
            </w:pPr>
            <w:r w:rsidRPr="00256982">
              <w:t>urban subdivisions under construction.</w:t>
            </w:r>
          </w:p>
        </w:tc>
      </w:tr>
      <w:tr w:rsidR="00380BE7" w:rsidRPr="00256982" w14:paraId="2A51F816" w14:textId="77777777" w:rsidTr="009574E7">
        <w:tc>
          <w:tcPr>
            <w:tcW w:w="1276" w:type="dxa"/>
            <w:tcBorders>
              <w:top w:val="single" w:sz="4" w:space="0" w:color="365F91"/>
              <w:bottom w:val="single" w:sz="4" w:space="0" w:color="365F91"/>
            </w:tcBorders>
          </w:tcPr>
          <w:p w14:paraId="3122F540" w14:textId="77777777" w:rsidR="00380BE7" w:rsidRPr="00256982" w:rsidRDefault="00380BE7" w:rsidP="00722531">
            <w:pPr>
              <w:pStyle w:val="TableText"/>
              <w:rPr>
                <w:b/>
              </w:rPr>
            </w:pPr>
            <w:r w:rsidRPr="00256982">
              <w:rPr>
                <w:b/>
              </w:rPr>
              <w:t>Other land</w:t>
            </w:r>
          </w:p>
        </w:tc>
        <w:tc>
          <w:tcPr>
            <w:tcW w:w="7229" w:type="dxa"/>
            <w:tcBorders>
              <w:top w:val="single" w:sz="4" w:space="0" w:color="365F91"/>
              <w:bottom w:val="single" w:sz="4" w:space="0" w:color="365F91"/>
            </w:tcBorders>
          </w:tcPr>
          <w:p w14:paraId="252767AD" w14:textId="77777777" w:rsidR="00380BE7" w:rsidRPr="00256982" w:rsidRDefault="00380BE7" w:rsidP="009574E7">
            <w:pPr>
              <w:pStyle w:val="TableBullet"/>
              <w:numPr>
                <w:ilvl w:val="0"/>
                <w:numId w:val="0"/>
              </w:numPr>
              <w:spacing w:before="40" w:after="0"/>
            </w:pPr>
            <w:r w:rsidRPr="00256982">
              <w:t>Includes:</w:t>
            </w:r>
          </w:p>
          <w:p w14:paraId="73C12000" w14:textId="77777777" w:rsidR="00380BE7" w:rsidRPr="00256982" w:rsidRDefault="00380BE7" w:rsidP="00766AC8">
            <w:pPr>
              <w:pStyle w:val="TableBullet"/>
              <w:numPr>
                <w:ilvl w:val="0"/>
                <w:numId w:val="27"/>
              </w:numPr>
              <w:tabs>
                <w:tab w:val="left" w:pos="284"/>
              </w:tabs>
              <w:spacing w:before="0" w:after="0"/>
              <w:ind w:left="284" w:hanging="284"/>
            </w:pPr>
            <w:r w:rsidRPr="00256982">
              <w:t>montane rock and/or scree</w:t>
            </w:r>
          </w:p>
          <w:p w14:paraId="52F59D21" w14:textId="77777777" w:rsidR="00380BE7" w:rsidRPr="00256982" w:rsidRDefault="00380BE7" w:rsidP="00766AC8">
            <w:pPr>
              <w:pStyle w:val="TableBullet"/>
              <w:numPr>
                <w:ilvl w:val="0"/>
                <w:numId w:val="27"/>
              </w:numPr>
              <w:tabs>
                <w:tab w:val="left" w:pos="284"/>
              </w:tabs>
              <w:spacing w:before="40" w:after="0"/>
              <w:ind w:left="284" w:hanging="284"/>
            </w:pPr>
            <w:r w:rsidRPr="00256982">
              <w:t>river gravels, rocky outcrops, sand dunes and beaches, coastal cliffs, mines (including spoil), quarries</w:t>
            </w:r>
          </w:p>
          <w:p w14:paraId="3399E204" w14:textId="77777777" w:rsidR="00380BE7" w:rsidRPr="00256982" w:rsidRDefault="00380BE7" w:rsidP="00766AC8">
            <w:pPr>
              <w:pStyle w:val="TableBullet"/>
              <w:numPr>
                <w:ilvl w:val="0"/>
                <w:numId w:val="27"/>
              </w:numPr>
              <w:tabs>
                <w:tab w:val="left" w:pos="284"/>
              </w:tabs>
              <w:spacing w:before="40" w:after="0"/>
              <w:ind w:left="284" w:hanging="284"/>
            </w:pPr>
            <w:r w:rsidRPr="00256982">
              <w:t>permanent ice and/or snow and glaciers</w:t>
            </w:r>
          </w:p>
          <w:p w14:paraId="318083ED" w14:textId="77777777" w:rsidR="00380BE7" w:rsidRPr="00256982" w:rsidRDefault="00380BE7" w:rsidP="00766AC8">
            <w:pPr>
              <w:pStyle w:val="TableBullet"/>
              <w:numPr>
                <w:ilvl w:val="0"/>
                <w:numId w:val="27"/>
              </w:numPr>
              <w:tabs>
                <w:tab w:val="left" w:pos="284"/>
              </w:tabs>
              <w:spacing w:before="40"/>
              <w:ind w:left="284" w:hanging="284"/>
            </w:pPr>
            <w:r w:rsidRPr="00256982">
              <w:t>any other remaining land that does not fall into any of the other land use categories.</w:t>
            </w:r>
          </w:p>
        </w:tc>
      </w:tr>
    </w:tbl>
    <w:p w14:paraId="25A7276E" w14:textId="77777777" w:rsidR="00380BE7" w:rsidRPr="00256982" w:rsidRDefault="00380BE7" w:rsidP="002C7AB5">
      <w:pPr>
        <w:pStyle w:val="BodyText"/>
        <w:spacing w:before="240" w:after="100"/>
      </w:pPr>
      <w:r w:rsidRPr="00256982">
        <w:t xml:space="preserve">Further refinements are planned to improve New Zealand’s estimates of land-use change, as stated in section 6.2.7. Land areas reported as ‘converted’ and ‘remaining’ within each land use category are the best current estimates and will be improved, should additional activity data become available. </w:t>
      </w:r>
    </w:p>
    <w:p w14:paraId="18A06CB9" w14:textId="77777777" w:rsidR="00380BE7" w:rsidRPr="00256982" w:rsidRDefault="00380BE7" w:rsidP="002C7AB5">
      <w:pPr>
        <w:pStyle w:val="Heading3"/>
        <w:spacing w:before="240"/>
      </w:pPr>
      <w:bookmarkStart w:id="1078" w:name="_Toc255466299"/>
      <w:bookmarkStart w:id="1079" w:name="_Toc261513106"/>
      <w:bookmarkStart w:id="1080" w:name="_Toc261513719"/>
      <w:bookmarkStart w:id="1081" w:name="_Toc280630225"/>
      <w:bookmarkStart w:id="1082" w:name="_Ref308792794"/>
      <w:bookmarkStart w:id="1083" w:name="_Ref308792807"/>
      <w:bookmarkStart w:id="1084" w:name="_Toc361645363"/>
      <w:r w:rsidRPr="00256982">
        <w:lastRenderedPageBreak/>
        <w:t>6.2.2</w:t>
      </w:r>
      <w:r w:rsidRPr="00256982">
        <w:tab/>
        <w:t>Land use mapping</w:t>
      </w:r>
      <w:bookmarkEnd w:id="1078"/>
      <w:bookmarkEnd w:id="1079"/>
      <w:bookmarkEnd w:id="1080"/>
      <w:bookmarkEnd w:id="1081"/>
      <w:bookmarkEnd w:id="1082"/>
      <w:bookmarkEnd w:id="1083"/>
      <w:bookmarkEnd w:id="1084"/>
      <w:r w:rsidRPr="00256982">
        <w:t xml:space="preserve"> methodology</w:t>
      </w:r>
    </w:p>
    <w:p w14:paraId="5D77ACCD" w14:textId="77777777" w:rsidR="00380BE7" w:rsidRPr="00256982" w:rsidRDefault="00380BE7" w:rsidP="00380BE7">
      <w:pPr>
        <w:pStyle w:val="BodyText"/>
      </w:pPr>
      <w:r w:rsidRPr="00256982">
        <w:t>Areas of land use and land-use change between 1990 and 2017 are based on four wall-to-wall land use maps derived from satellite imagery at nominal mapping dates of 1 January 1990, 1 January 2008, 31 December 2012 and 31 December 2016. Area information from these maps is interpolated and extrapolated to obtain a complete time series of land-use change occurring between 1990 and 2017 (see section 6.2.3).</w:t>
      </w:r>
    </w:p>
    <w:p w14:paraId="532D2C22" w14:textId="77777777" w:rsidR="00380BE7" w:rsidRPr="00256982" w:rsidRDefault="00380BE7" w:rsidP="00380BE7">
      <w:pPr>
        <w:pStyle w:val="Heading4"/>
      </w:pPr>
      <w:r w:rsidRPr="00256982">
        <w:t>Satellite image acquisition an</w:t>
      </w:r>
      <w:r w:rsidRPr="00256982">
        <w:rPr>
          <w:rFonts w:ascii="Arial Bold" w:hAnsi="Arial Bold"/>
        </w:rPr>
        <w:t>d pre-pro</w:t>
      </w:r>
      <w:r w:rsidRPr="00256982">
        <w:t>cessing</w:t>
      </w:r>
    </w:p>
    <w:p w14:paraId="0702F144" w14:textId="77777777" w:rsidR="00380BE7" w:rsidRPr="00256982" w:rsidRDefault="00380BE7" w:rsidP="00380BE7">
      <w:pPr>
        <w:pStyle w:val="BodyText"/>
      </w:pPr>
      <w:r w:rsidRPr="00256982">
        <w:t>Each of the national land use maps is based on a collection of either Landsat or SPOT satellite imagery acquired over the summer periods (October to March) as described in table 6.2.3.</w:t>
      </w:r>
      <w:r w:rsidRPr="00256982">
        <w:rPr>
          <w:rFonts w:ascii="Calibri" w:hAnsi="Calibri"/>
          <w:color w:val="1F497D"/>
        </w:rPr>
        <w:t xml:space="preserve"> </w:t>
      </w:r>
      <w:r w:rsidRPr="00256982">
        <w:t>This type of satellite imagery is only acquired over New Zealand during the summer months because a high sun angle is required to reduce shadowing and increase the dynamic range of the signal received from the ground.</w:t>
      </w:r>
    </w:p>
    <w:p w14:paraId="16EE7A2C" w14:textId="77777777" w:rsidR="00380BE7" w:rsidRPr="00256982" w:rsidRDefault="00380BE7" w:rsidP="00380BE7">
      <w:pPr>
        <w:pStyle w:val="Table"/>
      </w:pPr>
      <w:bookmarkStart w:id="1085" w:name="_Toc378853282"/>
      <w:bookmarkStart w:id="1086" w:name="_Toc391024080"/>
      <w:bookmarkStart w:id="1087" w:name="_Toc410028823"/>
      <w:bookmarkStart w:id="1088" w:name="_Toc414531451"/>
      <w:bookmarkStart w:id="1089" w:name="_Toc443645364"/>
      <w:bookmarkStart w:id="1090" w:name="_Toc474914583"/>
      <w:bookmarkStart w:id="1091" w:name="_Toc481751547"/>
      <w:bookmarkStart w:id="1092" w:name="_Toc522010604"/>
      <w:bookmarkStart w:id="1093" w:name="_Toc5269509"/>
      <w:r w:rsidRPr="00256982">
        <w:t>Table 6.2.3</w:t>
      </w:r>
      <w:r w:rsidRPr="00256982">
        <w:tab/>
        <w:t>Satellite imagery used for land use mapping</w:t>
      </w:r>
      <w:bookmarkEnd w:id="1085"/>
      <w:r w:rsidRPr="00256982">
        <w:t xml:space="preserve"> in 1990, 2008 and 2012</w:t>
      </w:r>
      <w:bookmarkEnd w:id="1086"/>
      <w:bookmarkEnd w:id="1087"/>
      <w:bookmarkEnd w:id="1088"/>
      <w:bookmarkEnd w:id="1089"/>
      <w:bookmarkEnd w:id="1090"/>
      <w:bookmarkEnd w:id="1091"/>
      <w:bookmarkEnd w:id="1092"/>
      <w:bookmarkEnd w:id="1093"/>
    </w:p>
    <w:tbl>
      <w:tblPr>
        <w:tblW w:w="8505" w:type="dxa"/>
        <w:tblInd w:w="108" w:type="dxa"/>
        <w:tblLook w:val="04A0" w:firstRow="1" w:lastRow="0" w:firstColumn="1" w:lastColumn="0" w:noHBand="0" w:noVBand="1"/>
      </w:tblPr>
      <w:tblGrid>
        <w:gridCol w:w="1562"/>
        <w:gridCol w:w="2124"/>
        <w:gridCol w:w="1875"/>
        <w:gridCol w:w="2944"/>
      </w:tblGrid>
      <w:tr w:rsidR="00380BE7" w:rsidRPr="00256982" w14:paraId="3E6BE15D" w14:textId="77777777" w:rsidTr="00722531">
        <w:tc>
          <w:tcPr>
            <w:tcW w:w="1468" w:type="dxa"/>
            <w:tcBorders>
              <w:top w:val="single" w:sz="4" w:space="0" w:color="365F91"/>
              <w:bottom w:val="single" w:sz="4" w:space="0" w:color="365F91"/>
            </w:tcBorders>
            <w:shd w:val="clear" w:color="auto" w:fill="365F91"/>
          </w:tcPr>
          <w:p w14:paraId="55D1B3DD" w14:textId="77777777" w:rsidR="00380BE7" w:rsidRPr="00256982" w:rsidRDefault="00380BE7" w:rsidP="009574E7">
            <w:pPr>
              <w:pStyle w:val="TableTextBold"/>
              <w:keepNext/>
              <w:spacing w:before="40" w:after="40"/>
              <w:rPr>
                <w:noProof w:val="0"/>
                <w:color w:val="FFFFFF"/>
              </w:rPr>
            </w:pPr>
            <w:r w:rsidRPr="00256982">
              <w:rPr>
                <w:noProof w:val="0"/>
                <w:color w:val="FFFFFF"/>
              </w:rPr>
              <w:t>Land use map</w:t>
            </w:r>
          </w:p>
        </w:tc>
        <w:tc>
          <w:tcPr>
            <w:tcW w:w="1997" w:type="dxa"/>
            <w:tcBorders>
              <w:top w:val="single" w:sz="4" w:space="0" w:color="365F91"/>
              <w:bottom w:val="single" w:sz="4" w:space="0" w:color="365F91"/>
            </w:tcBorders>
            <w:shd w:val="clear" w:color="auto" w:fill="365F91"/>
          </w:tcPr>
          <w:p w14:paraId="68EE02DE" w14:textId="77777777" w:rsidR="00380BE7" w:rsidRPr="00256982" w:rsidRDefault="00380BE7" w:rsidP="009574E7">
            <w:pPr>
              <w:pStyle w:val="TableTextBold"/>
              <w:keepNext/>
              <w:spacing w:before="40" w:after="40"/>
              <w:rPr>
                <w:noProof w:val="0"/>
                <w:color w:val="FFFFFF"/>
              </w:rPr>
            </w:pPr>
            <w:r w:rsidRPr="00256982">
              <w:rPr>
                <w:noProof w:val="0"/>
                <w:color w:val="FFFFFF"/>
              </w:rPr>
              <w:t>Satellite imagery</w:t>
            </w:r>
          </w:p>
        </w:tc>
        <w:tc>
          <w:tcPr>
            <w:tcW w:w="1763" w:type="dxa"/>
            <w:tcBorders>
              <w:top w:val="single" w:sz="4" w:space="0" w:color="365F91"/>
              <w:bottom w:val="single" w:sz="4" w:space="0" w:color="365F91"/>
            </w:tcBorders>
            <w:shd w:val="clear" w:color="auto" w:fill="365F91"/>
          </w:tcPr>
          <w:p w14:paraId="0DF0F9D5" w14:textId="77777777" w:rsidR="00380BE7" w:rsidRPr="00256982" w:rsidRDefault="00380BE7" w:rsidP="009574E7">
            <w:pPr>
              <w:pStyle w:val="TableTextBold"/>
              <w:keepNext/>
              <w:spacing w:before="40" w:after="40"/>
              <w:rPr>
                <w:noProof w:val="0"/>
                <w:color w:val="FFFFFF"/>
              </w:rPr>
            </w:pPr>
            <w:r w:rsidRPr="00256982">
              <w:rPr>
                <w:noProof w:val="0"/>
                <w:color w:val="FFFFFF"/>
              </w:rPr>
              <w:t>Resolution (metres)</w:t>
            </w:r>
          </w:p>
        </w:tc>
        <w:tc>
          <w:tcPr>
            <w:tcW w:w="2767" w:type="dxa"/>
            <w:tcBorders>
              <w:top w:val="single" w:sz="4" w:space="0" w:color="365F91"/>
              <w:bottom w:val="single" w:sz="4" w:space="0" w:color="365F91"/>
            </w:tcBorders>
            <w:shd w:val="clear" w:color="auto" w:fill="365F91"/>
          </w:tcPr>
          <w:p w14:paraId="70AD2B88" w14:textId="77777777" w:rsidR="00380BE7" w:rsidRPr="00256982" w:rsidRDefault="00380BE7" w:rsidP="009574E7">
            <w:pPr>
              <w:pStyle w:val="TableTextBold"/>
              <w:keepNext/>
              <w:spacing w:before="40" w:after="40"/>
              <w:rPr>
                <w:noProof w:val="0"/>
                <w:color w:val="FFFFFF"/>
              </w:rPr>
            </w:pPr>
            <w:r w:rsidRPr="00256982">
              <w:rPr>
                <w:noProof w:val="0"/>
                <w:color w:val="FFFFFF"/>
              </w:rPr>
              <w:t>Acquisition period</w:t>
            </w:r>
          </w:p>
        </w:tc>
      </w:tr>
      <w:tr w:rsidR="00380BE7" w:rsidRPr="00256982" w14:paraId="1C84A80D" w14:textId="77777777" w:rsidTr="009574E7">
        <w:tc>
          <w:tcPr>
            <w:tcW w:w="1468" w:type="dxa"/>
            <w:tcBorders>
              <w:top w:val="single" w:sz="4" w:space="0" w:color="365F91"/>
              <w:bottom w:val="single" w:sz="4" w:space="0" w:color="365F91"/>
            </w:tcBorders>
          </w:tcPr>
          <w:p w14:paraId="4BB1886C" w14:textId="77777777" w:rsidR="00380BE7" w:rsidRPr="00256982" w:rsidRDefault="00380BE7" w:rsidP="009574E7">
            <w:pPr>
              <w:pStyle w:val="TableText"/>
              <w:spacing w:before="50" w:after="50"/>
            </w:pPr>
            <w:r w:rsidRPr="00256982">
              <w:t>1990</w:t>
            </w:r>
          </w:p>
        </w:tc>
        <w:tc>
          <w:tcPr>
            <w:tcW w:w="1997" w:type="dxa"/>
            <w:tcBorders>
              <w:top w:val="single" w:sz="4" w:space="0" w:color="365F91"/>
              <w:bottom w:val="single" w:sz="4" w:space="0" w:color="365F91"/>
            </w:tcBorders>
          </w:tcPr>
          <w:p w14:paraId="74CB76B1" w14:textId="77777777" w:rsidR="00380BE7" w:rsidRPr="00256982" w:rsidRDefault="00380BE7" w:rsidP="009574E7">
            <w:pPr>
              <w:pStyle w:val="TableText"/>
              <w:spacing w:before="50" w:after="50"/>
            </w:pPr>
            <w:r w:rsidRPr="00256982">
              <w:t>Landsat 4 and Landsat 5</w:t>
            </w:r>
          </w:p>
        </w:tc>
        <w:tc>
          <w:tcPr>
            <w:tcW w:w="1763" w:type="dxa"/>
            <w:tcBorders>
              <w:top w:val="single" w:sz="4" w:space="0" w:color="365F91"/>
              <w:bottom w:val="single" w:sz="4" w:space="0" w:color="365F91"/>
            </w:tcBorders>
          </w:tcPr>
          <w:p w14:paraId="3C954DE0" w14:textId="77777777" w:rsidR="00380BE7" w:rsidRPr="00256982" w:rsidRDefault="00380BE7" w:rsidP="009574E7">
            <w:pPr>
              <w:pStyle w:val="TableText"/>
              <w:spacing w:before="50" w:after="50"/>
            </w:pPr>
            <w:r w:rsidRPr="00256982">
              <w:t>30</w:t>
            </w:r>
          </w:p>
        </w:tc>
        <w:tc>
          <w:tcPr>
            <w:tcW w:w="2767" w:type="dxa"/>
            <w:tcBorders>
              <w:top w:val="single" w:sz="4" w:space="0" w:color="365F91"/>
              <w:bottom w:val="single" w:sz="4" w:space="0" w:color="365F91"/>
            </w:tcBorders>
          </w:tcPr>
          <w:p w14:paraId="46D961AB" w14:textId="77777777" w:rsidR="00380BE7" w:rsidRPr="00256982" w:rsidRDefault="00380BE7" w:rsidP="009574E7">
            <w:pPr>
              <w:pStyle w:val="TableText"/>
              <w:spacing w:before="50" w:after="50"/>
            </w:pPr>
            <w:r w:rsidRPr="00256982">
              <w:t>November 1988 – February 1993</w:t>
            </w:r>
          </w:p>
        </w:tc>
      </w:tr>
      <w:tr w:rsidR="00380BE7" w:rsidRPr="00256982" w14:paraId="444BFC5D" w14:textId="77777777" w:rsidTr="009574E7">
        <w:tc>
          <w:tcPr>
            <w:tcW w:w="1468" w:type="dxa"/>
            <w:tcBorders>
              <w:top w:val="single" w:sz="4" w:space="0" w:color="365F91"/>
              <w:bottom w:val="single" w:sz="4" w:space="0" w:color="365F91"/>
            </w:tcBorders>
          </w:tcPr>
          <w:p w14:paraId="282FC6C7" w14:textId="77777777" w:rsidR="00380BE7" w:rsidRPr="00256982" w:rsidRDefault="00380BE7" w:rsidP="009574E7">
            <w:pPr>
              <w:pStyle w:val="TableText"/>
              <w:spacing w:before="50" w:after="50"/>
            </w:pPr>
            <w:r w:rsidRPr="00256982">
              <w:t>2008</w:t>
            </w:r>
          </w:p>
        </w:tc>
        <w:tc>
          <w:tcPr>
            <w:tcW w:w="1997" w:type="dxa"/>
            <w:tcBorders>
              <w:top w:val="single" w:sz="4" w:space="0" w:color="365F91"/>
              <w:bottom w:val="single" w:sz="4" w:space="0" w:color="365F91"/>
            </w:tcBorders>
          </w:tcPr>
          <w:p w14:paraId="4BE981C8" w14:textId="77777777" w:rsidR="00380BE7" w:rsidRPr="00256982" w:rsidRDefault="00380BE7" w:rsidP="009574E7">
            <w:pPr>
              <w:pStyle w:val="TableText"/>
              <w:spacing w:before="50" w:after="50"/>
            </w:pPr>
            <w:r w:rsidRPr="00256982">
              <w:t>SPOT 5</w:t>
            </w:r>
          </w:p>
        </w:tc>
        <w:tc>
          <w:tcPr>
            <w:tcW w:w="1763" w:type="dxa"/>
            <w:tcBorders>
              <w:top w:val="single" w:sz="4" w:space="0" w:color="365F91"/>
              <w:bottom w:val="single" w:sz="4" w:space="0" w:color="365F91"/>
            </w:tcBorders>
          </w:tcPr>
          <w:p w14:paraId="5824A60E" w14:textId="77777777" w:rsidR="00380BE7" w:rsidRPr="00256982" w:rsidRDefault="00380BE7" w:rsidP="009574E7">
            <w:pPr>
              <w:pStyle w:val="TableText"/>
              <w:spacing w:before="50" w:after="50"/>
            </w:pPr>
            <w:r w:rsidRPr="00256982">
              <w:t>10</w:t>
            </w:r>
          </w:p>
        </w:tc>
        <w:tc>
          <w:tcPr>
            <w:tcW w:w="2767" w:type="dxa"/>
            <w:tcBorders>
              <w:top w:val="single" w:sz="4" w:space="0" w:color="365F91"/>
              <w:bottom w:val="single" w:sz="4" w:space="0" w:color="365F91"/>
            </w:tcBorders>
          </w:tcPr>
          <w:p w14:paraId="11033D1B" w14:textId="77777777" w:rsidR="00380BE7" w:rsidRPr="00256982" w:rsidRDefault="00380BE7" w:rsidP="009574E7">
            <w:pPr>
              <w:pStyle w:val="TableText"/>
              <w:spacing w:before="50" w:after="50"/>
            </w:pPr>
            <w:r w:rsidRPr="00256982">
              <w:t>November 2006 – April 2008</w:t>
            </w:r>
          </w:p>
        </w:tc>
      </w:tr>
      <w:tr w:rsidR="00380BE7" w:rsidRPr="00256982" w14:paraId="0BE3A784" w14:textId="77777777" w:rsidTr="009574E7">
        <w:tc>
          <w:tcPr>
            <w:tcW w:w="1468" w:type="dxa"/>
            <w:tcBorders>
              <w:top w:val="single" w:sz="4" w:space="0" w:color="365F91"/>
              <w:bottom w:val="single" w:sz="4" w:space="0" w:color="365F91"/>
            </w:tcBorders>
          </w:tcPr>
          <w:p w14:paraId="321D6789" w14:textId="77777777" w:rsidR="00380BE7" w:rsidRPr="00256982" w:rsidRDefault="00380BE7" w:rsidP="009574E7">
            <w:pPr>
              <w:pStyle w:val="TableText"/>
              <w:spacing w:before="50" w:after="50"/>
            </w:pPr>
            <w:r w:rsidRPr="00256982">
              <w:t>2012</w:t>
            </w:r>
          </w:p>
        </w:tc>
        <w:tc>
          <w:tcPr>
            <w:tcW w:w="1997" w:type="dxa"/>
            <w:tcBorders>
              <w:top w:val="single" w:sz="4" w:space="0" w:color="365F91"/>
              <w:bottom w:val="single" w:sz="4" w:space="0" w:color="365F91"/>
            </w:tcBorders>
          </w:tcPr>
          <w:p w14:paraId="2D19ADE4" w14:textId="77777777" w:rsidR="00380BE7" w:rsidRPr="00256982" w:rsidRDefault="00380BE7" w:rsidP="009574E7">
            <w:pPr>
              <w:pStyle w:val="TableText"/>
              <w:spacing w:before="50" w:after="50"/>
            </w:pPr>
            <w:r w:rsidRPr="00256982">
              <w:t>SPOT 5</w:t>
            </w:r>
          </w:p>
        </w:tc>
        <w:tc>
          <w:tcPr>
            <w:tcW w:w="1763" w:type="dxa"/>
            <w:tcBorders>
              <w:top w:val="single" w:sz="4" w:space="0" w:color="365F91"/>
              <w:bottom w:val="single" w:sz="4" w:space="0" w:color="365F91"/>
            </w:tcBorders>
          </w:tcPr>
          <w:p w14:paraId="4D30C35E" w14:textId="77777777" w:rsidR="00380BE7" w:rsidRPr="00256982" w:rsidRDefault="00380BE7" w:rsidP="009574E7">
            <w:pPr>
              <w:pStyle w:val="TableText"/>
              <w:spacing w:before="50" w:after="50"/>
            </w:pPr>
            <w:r w:rsidRPr="00256982">
              <w:t>10</w:t>
            </w:r>
          </w:p>
        </w:tc>
        <w:tc>
          <w:tcPr>
            <w:tcW w:w="2767" w:type="dxa"/>
            <w:tcBorders>
              <w:top w:val="single" w:sz="4" w:space="0" w:color="365F91"/>
              <w:bottom w:val="single" w:sz="4" w:space="0" w:color="365F91"/>
            </w:tcBorders>
          </w:tcPr>
          <w:p w14:paraId="62C3C82F" w14:textId="77777777" w:rsidR="00380BE7" w:rsidRPr="00256982" w:rsidRDefault="00380BE7" w:rsidP="009574E7">
            <w:pPr>
              <w:pStyle w:val="TableText"/>
              <w:spacing w:before="50" w:after="50"/>
            </w:pPr>
            <w:r w:rsidRPr="00256982">
              <w:t>October 2011 – March 2013</w:t>
            </w:r>
          </w:p>
        </w:tc>
      </w:tr>
      <w:tr w:rsidR="00380BE7" w:rsidRPr="00256982" w14:paraId="115C096D" w14:textId="77777777" w:rsidTr="009574E7">
        <w:tc>
          <w:tcPr>
            <w:tcW w:w="1468" w:type="dxa"/>
            <w:tcBorders>
              <w:top w:val="single" w:sz="4" w:space="0" w:color="365F91"/>
              <w:bottom w:val="single" w:sz="4" w:space="0" w:color="365F91"/>
            </w:tcBorders>
          </w:tcPr>
          <w:p w14:paraId="379E30C5" w14:textId="77777777" w:rsidR="00380BE7" w:rsidRPr="00256982" w:rsidRDefault="00380BE7" w:rsidP="009574E7">
            <w:pPr>
              <w:pStyle w:val="TableText"/>
              <w:spacing w:before="50" w:after="50"/>
            </w:pPr>
            <w:r w:rsidRPr="00256982">
              <w:t>2016</w:t>
            </w:r>
          </w:p>
        </w:tc>
        <w:tc>
          <w:tcPr>
            <w:tcW w:w="1997" w:type="dxa"/>
            <w:tcBorders>
              <w:top w:val="single" w:sz="4" w:space="0" w:color="365F91"/>
              <w:bottom w:val="single" w:sz="4" w:space="0" w:color="365F91"/>
            </w:tcBorders>
          </w:tcPr>
          <w:p w14:paraId="4AC1C9C9" w14:textId="77777777" w:rsidR="00380BE7" w:rsidRPr="00256982" w:rsidRDefault="00380BE7" w:rsidP="009574E7">
            <w:pPr>
              <w:pStyle w:val="TableText"/>
              <w:spacing w:before="50" w:after="50"/>
            </w:pPr>
            <w:r w:rsidRPr="00256982">
              <w:t>Sentinel-2</w:t>
            </w:r>
          </w:p>
        </w:tc>
        <w:tc>
          <w:tcPr>
            <w:tcW w:w="1763" w:type="dxa"/>
            <w:tcBorders>
              <w:top w:val="single" w:sz="4" w:space="0" w:color="365F91"/>
              <w:bottom w:val="single" w:sz="4" w:space="0" w:color="365F91"/>
            </w:tcBorders>
          </w:tcPr>
          <w:p w14:paraId="07670428" w14:textId="77777777" w:rsidR="00380BE7" w:rsidRPr="00256982" w:rsidRDefault="00380BE7" w:rsidP="009574E7">
            <w:pPr>
              <w:pStyle w:val="TableText"/>
              <w:spacing w:before="50" w:after="50"/>
            </w:pPr>
            <w:r w:rsidRPr="00256982">
              <w:t>10</w:t>
            </w:r>
          </w:p>
        </w:tc>
        <w:tc>
          <w:tcPr>
            <w:tcW w:w="2767" w:type="dxa"/>
            <w:tcBorders>
              <w:top w:val="single" w:sz="4" w:space="0" w:color="365F91"/>
              <w:bottom w:val="single" w:sz="4" w:space="0" w:color="365F91"/>
            </w:tcBorders>
          </w:tcPr>
          <w:p w14:paraId="161727BC" w14:textId="77777777" w:rsidR="00380BE7" w:rsidRPr="00256982" w:rsidRDefault="00380BE7" w:rsidP="009574E7">
            <w:pPr>
              <w:pStyle w:val="TableText"/>
              <w:spacing w:before="50" w:after="50"/>
            </w:pPr>
            <w:r w:rsidRPr="00256982">
              <w:t>October 2016 – March 2017</w:t>
            </w:r>
          </w:p>
        </w:tc>
      </w:tr>
    </w:tbl>
    <w:p w14:paraId="12E261EF" w14:textId="77777777" w:rsidR="00380BE7" w:rsidRPr="00256982" w:rsidRDefault="00380BE7" w:rsidP="00380BE7">
      <w:pPr>
        <w:pStyle w:val="BodyText"/>
        <w:spacing w:before="240"/>
      </w:pPr>
      <w:r w:rsidRPr="00256982">
        <w:t>All the imagery was orthorectified and atmospherically corrected and then standardised for spectral reflectance using the Ecosat algorithms documented in Dymond et al. (2001), Shepherd and Dymond (2003) and Dymond and Shepherd (2004). This standardisation process removes the effect of terrain slope from the imagery and effectively ‘flattens’ the imagery so that individual land cover types are a more consistent colour across the whole image. By minimising the effects of terrain, a more accurate and consistent classification of land use is possible. This is particularly important in New Zealand, due to the extensive areas of steep terrain.</w:t>
      </w:r>
    </w:p>
    <w:p w14:paraId="11D3BE4E" w14:textId="77777777" w:rsidR="00380BE7" w:rsidRPr="00256982" w:rsidRDefault="00380BE7" w:rsidP="002C7AB5">
      <w:pPr>
        <w:pStyle w:val="BodyText"/>
        <w:spacing w:before="100" w:after="100"/>
      </w:pPr>
      <w:r w:rsidRPr="00256982">
        <w:t>The final step in image preparation was the mosaicking of the satellite image scenes into a seamless national image. To minimise the effect of cloud and cloud shadows in the mosaic, cloud masks were digitised for each scene. These masks were then used to prioritise the order of inclusion of each scene in the mosaic to obtain a near cloud-free image of New Zealand at each mapping date.</w:t>
      </w:r>
    </w:p>
    <w:p w14:paraId="03387DD2" w14:textId="77777777" w:rsidR="00380BE7" w:rsidRPr="00256982" w:rsidRDefault="00380BE7" w:rsidP="00380BE7">
      <w:pPr>
        <w:pStyle w:val="Heading4"/>
      </w:pPr>
      <w:r w:rsidRPr="00256982">
        <w:t>Creating the first two land use maps: 1990 and 2008</w:t>
      </w:r>
    </w:p>
    <w:p w14:paraId="293F9FB5" w14:textId="77777777" w:rsidR="00380BE7" w:rsidRPr="00256982" w:rsidRDefault="00380BE7" w:rsidP="00380BE7">
      <w:pPr>
        <w:pStyle w:val="Heading5"/>
        <w:spacing w:before="160"/>
      </w:pPr>
      <w:r w:rsidRPr="00256982">
        <w:t>Mapping approach</w:t>
      </w:r>
    </w:p>
    <w:p w14:paraId="08DEA200" w14:textId="77777777" w:rsidR="00380BE7" w:rsidRPr="00256982" w:rsidRDefault="00380BE7" w:rsidP="00380BE7">
      <w:pPr>
        <w:pStyle w:val="BodyText"/>
      </w:pPr>
      <w:r w:rsidRPr="00256982">
        <w:t>The 1990 and 2008 land use maps were created using a common mapping approach based on difference detection from an intermediate reference land-cover layer that was derived from Landsat 7 ETM+ imagery acquired in 2000–01. A semi-automated approach was used to classify woody land cover</w:t>
      </w:r>
      <w:r w:rsidRPr="00256982">
        <w:rPr>
          <w:rStyle w:val="FootnoteReference"/>
        </w:rPr>
        <w:footnoteReference w:id="54"/>
      </w:r>
      <w:r w:rsidRPr="00256982">
        <w:t xml:space="preserve"> in the 1990 and 2008 image mosaics. These layers were then differenced from the 2001 reference layer to create a 1990–2001 potential woody change layer and a 2001–08 potential woody change layer.</w:t>
      </w:r>
    </w:p>
    <w:p w14:paraId="5FF989CD" w14:textId="77777777" w:rsidR="00380BE7" w:rsidRPr="00256982" w:rsidRDefault="00380BE7" w:rsidP="002C7AB5">
      <w:pPr>
        <w:pStyle w:val="BodyText"/>
        <w:spacing w:before="100" w:after="100"/>
      </w:pPr>
      <w:r w:rsidRPr="00256982">
        <w:t xml:space="preserve">The potential woody change layers were visually checked to confirm change and then the changes were combined with the 2001 reference layer to create the 1990 and 2008 woody land cover layers. By using this approach, it was possible to obtain a consistent resolution of change </w:t>
      </w:r>
      <w:r w:rsidRPr="00256982">
        <w:lastRenderedPageBreak/>
        <w:t xml:space="preserve">detection even though there was a significant difference between the resolutions of the source imagery at the two mapping dates – 30 metres at 1990 versus 10 metres at 2008. </w:t>
      </w:r>
    </w:p>
    <w:p w14:paraId="03287955" w14:textId="77777777" w:rsidR="00380BE7" w:rsidRPr="00256982" w:rsidRDefault="00380BE7" w:rsidP="002C7AB5">
      <w:pPr>
        <w:pStyle w:val="BodyText"/>
        <w:spacing w:before="100" w:after="100"/>
      </w:pPr>
      <w:r w:rsidRPr="00256982">
        <w:t>Area and proximity rules were used to convert these layers from woody land cover to woody land use, making allowances for unstocked areas within forest extents and areas of regenerating vegetation in a forest context. This process is described in Shepherd and Newsome (unpublished(b)).</w:t>
      </w:r>
    </w:p>
    <w:p w14:paraId="42C36F05" w14:textId="77777777" w:rsidR="00380BE7" w:rsidRPr="00256982" w:rsidRDefault="00380BE7" w:rsidP="002C7AB5">
      <w:pPr>
        <w:pStyle w:val="BodyText"/>
        <w:spacing w:before="100" w:after="100"/>
      </w:pPr>
      <w:r w:rsidRPr="00256982">
        <w:t>To determine the spatial location of the other land uses</w:t>
      </w:r>
      <w:r w:rsidRPr="00256982" w:rsidDel="004A6701">
        <w:t xml:space="preserve"> </w:t>
      </w:r>
      <w:r w:rsidRPr="00256982">
        <w:t>as at 1990 and 2008, information from two Land Cover Databases, LCDB1 (1996) and LCDB2 (2001) (Thompson et al., 2004), hydrological data from Land Information New Zealand (a government agency) and the New Zealand Land Resource Inventory (NZLRI) (Eyles, 1977) were used (Shepherd and Newsome, unpublished(a)).</w:t>
      </w:r>
    </w:p>
    <w:p w14:paraId="5E86F50C" w14:textId="77777777" w:rsidR="00380BE7" w:rsidRPr="00256982" w:rsidRDefault="00380BE7" w:rsidP="002C7AB5">
      <w:pPr>
        <w:pStyle w:val="BodyText"/>
        <w:spacing w:before="100" w:after="100"/>
      </w:pPr>
      <w:r w:rsidRPr="00256982">
        <w:t>The NZLRI database defined the area of high and low producing grassland. Areas tagged as ‘improved pasture’ in the NZLRI vegetation records were classified as high producing grassland in the land use maps. All other areas were classified as low producing grassland. Figure 6.2.1 illustrates this mapping process.</w:t>
      </w:r>
    </w:p>
    <w:p w14:paraId="7A73C338" w14:textId="77777777" w:rsidR="00380BE7" w:rsidRPr="00256982" w:rsidRDefault="00380BE7" w:rsidP="002C7AB5">
      <w:pPr>
        <w:pStyle w:val="Figure"/>
        <w:spacing w:after="0"/>
      </w:pPr>
      <w:bookmarkStart w:id="1094" w:name="_Toc378853333"/>
      <w:bookmarkStart w:id="1095" w:name="_Toc405448083"/>
      <w:bookmarkStart w:id="1096" w:name="_Toc414531615"/>
      <w:bookmarkStart w:id="1097" w:name="_Toc474914638"/>
      <w:bookmarkStart w:id="1098" w:name="_Toc481752020"/>
      <w:bookmarkStart w:id="1099" w:name="_Toc522010698"/>
      <w:bookmarkStart w:id="1100" w:name="_Toc5269701"/>
      <w:r w:rsidRPr="00256982">
        <w:t>Figure 6.2.1</w:t>
      </w:r>
      <w:r w:rsidRPr="00256982">
        <w:tab/>
        <w:t>New Zealand’s land use mapping process</w:t>
      </w:r>
      <w:bookmarkEnd w:id="1094"/>
      <w:bookmarkEnd w:id="1095"/>
      <w:bookmarkEnd w:id="1096"/>
      <w:bookmarkEnd w:id="1097"/>
      <w:bookmarkEnd w:id="1098"/>
      <w:bookmarkEnd w:id="1099"/>
      <w:bookmarkEnd w:id="1100"/>
    </w:p>
    <w:p w14:paraId="461530D5" w14:textId="3AD7C55D" w:rsidR="00380BE7" w:rsidRPr="00256982" w:rsidRDefault="00590491" w:rsidP="00380BE7">
      <w:pPr>
        <w:pStyle w:val="BodyText"/>
        <w:jc w:val="center"/>
        <w:rPr>
          <w:sz w:val="18"/>
          <w:szCs w:val="18"/>
        </w:rPr>
      </w:pPr>
      <w:r>
        <w:rPr>
          <w:lang w:eastAsia="en-NZ"/>
        </w:rPr>
        <w:pict w14:anchorId="294B2BA0">
          <v:shape id="Picture 101" o:spid="_x0000_i1123" type="#_x0000_t75" style="width:391.5pt;height:399.75pt;visibility:visible;mso-wrap-style:square">
            <v:imagedata r:id="rId185" o:title=""/>
          </v:shape>
        </w:pict>
      </w:r>
    </w:p>
    <w:p w14:paraId="35FF2E07" w14:textId="77777777" w:rsidR="00380BE7" w:rsidRPr="00256982" w:rsidRDefault="00380BE7" w:rsidP="002C7AB5">
      <w:pPr>
        <w:pStyle w:val="Noteundertable"/>
        <w:spacing w:before="40" w:after="0"/>
      </w:pPr>
      <w:r w:rsidRPr="00256982">
        <w:rPr>
          <w:b/>
        </w:rPr>
        <w:t>Note:</w:t>
      </w:r>
      <w:r w:rsidRPr="00256982">
        <w:tab/>
        <w:t>LCDB = Land Cover Database; LINZ = Land Information New Zealand; NZLRI = New Zealand Land Resource Inventory.</w:t>
      </w:r>
    </w:p>
    <w:p w14:paraId="1995836F" w14:textId="77777777" w:rsidR="00380BE7" w:rsidRPr="00256982" w:rsidRDefault="00380BE7" w:rsidP="00380BE7">
      <w:pPr>
        <w:pStyle w:val="BodyText"/>
      </w:pPr>
      <w:r w:rsidRPr="00256982">
        <w:lastRenderedPageBreak/>
        <w:t xml:space="preserve">An interpretation guide for automated and visual interpretation of satellite imagery was prepared and used to ensure a consistent basis for all mapping processes (Ministry for the Environment, 2012). Independent quality control was performed for all mapping. This involved an independent agency looking at randomly selected points across New Zealand and using the same data as the original operator to decide within what land use the point fell. The two operators were in agreement at least 95 per cent of the time. This is described in more detail in Joyce (unpublished). </w:t>
      </w:r>
    </w:p>
    <w:p w14:paraId="17DFF857" w14:textId="77777777" w:rsidR="00380BE7" w:rsidRPr="00256982" w:rsidRDefault="00380BE7" w:rsidP="00380BE7">
      <w:pPr>
        <w:pStyle w:val="BodyText"/>
      </w:pPr>
      <w:r w:rsidRPr="00256982">
        <w:t>Figure 6.2.2 and figure 6.2.3 show the land use map of New Zealand as at 1 January 1990 and 1 January 2008 respectively.</w:t>
      </w:r>
    </w:p>
    <w:p w14:paraId="0646F23B" w14:textId="77777777" w:rsidR="00380BE7" w:rsidRPr="00256982" w:rsidRDefault="00380BE7" w:rsidP="00380BE7">
      <w:pPr>
        <w:pStyle w:val="Figure"/>
        <w:spacing w:after="0"/>
      </w:pPr>
      <w:bookmarkStart w:id="1101" w:name="_Toc378853334"/>
      <w:bookmarkStart w:id="1102" w:name="_Toc405448084"/>
      <w:bookmarkStart w:id="1103" w:name="_Toc414531616"/>
      <w:bookmarkStart w:id="1104" w:name="_Toc474914639"/>
      <w:bookmarkStart w:id="1105" w:name="_Toc481752021"/>
      <w:bookmarkStart w:id="1106" w:name="_Toc522010699"/>
      <w:bookmarkStart w:id="1107" w:name="_Toc5269702"/>
      <w:r w:rsidRPr="00256982">
        <w:t>Figure 6.2.2</w:t>
      </w:r>
      <w:r w:rsidRPr="00256982">
        <w:tab/>
        <w:t>Land use map of New Zealand as at 1 January 1990</w:t>
      </w:r>
      <w:bookmarkEnd w:id="1101"/>
      <w:bookmarkEnd w:id="1102"/>
      <w:bookmarkEnd w:id="1103"/>
      <w:bookmarkEnd w:id="1104"/>
      <w:bookmarkEnd w:id="1105"/>
      <w:bookmarkEnd w:id="1106"/>
      <w:bookmarkEnd w:id="1107"/>
    </w:p>
    <w:p w14:paraId="6AC785FE" w14:textId="263C8025" w:rsidR="00380BE7" w:rsidRPr="00256982" w:rsidRDefault="00590491" w:rsidP="00F978B1">
      <w:pPr>
        <w:spacing w:after="60"/>
      </w:pPr>
      <w:r>
        <w:rPr>
          <w:lang w:eastAsia="en-NZ"/>
        </w:rPr>
        <w:pict w14:anchorId="52DDE8E5">
          <v:shape id="Picture 102" o:spid="_x0000_i1124" type="#_x0000_t75" style="width:374.25pt;height:516.75pt;visibility:visible;mso-wrap-style:square">
            <v:imagedata r:id="rId186" o:title=""/>
          </v:shape>
        </w:pict>
      </w:r>
    </w:p>
    <w:p w14:paraId="036C42D6" w14:textId="77777777" w:rsidR="00380BE7" w:rsidRPr="00256982" w:rsidRDefault="00380BE7" w:rsidP="00380BE7">
      <w:pPr>
        <w:pStyle w:val="Noteundertable"/>
      </w:pPr>
      <w:r w:rsidRPr="00256982">
        <w:rPr>
          <w:b/>
        </w:rPr>
        <w:t>Note:</w:t>
      </w:r>
      <w:r w:rsidRPr="00256982">
        <w:tab/>
        <w:t>The inset map is of the Chatham Islands, which lie approximately 660 kilometres south-east of the south-eastern corner of the North Island.</w:t>
      </w:r>
    </w:p>
    <w:p w14:paraId="6B4CAC09" w14:textId="77777777" w:rsidR="00380BE7" w:rsidRPr="00256982" w:rsidRDefault="00380BE7" w:rsidP="00380BE7">
      <w:pPr>
        <w:pStyle w:val="Figure"/>
        <w:spacing w:after="0"/>
      </w:pPr>
      <w:bookmarkStart w:id="1108" w:name="_Toc378853335"/>
      <w:bookmarkStart w:id="1109" w:name="_Toc405448085"/>
      <w:bookmarkStart w:id="1110" w:name="_Toc414531617"/>
      <w:bookmarkStart w:id="1111" w:name="_Toc474914640"/>
      <w:bookmarkStart w:id="1112" w:name="_Toc481752022"/>
      <w:bookmarkStart w:id="1113" w:name="_Toc522010700"/>
      <w:bookmarkStart w:id="1114" w:name="_Toc5269703"/>
      <w:r w:rsidRPr="00256982">
        <w:lastRenderedPageBreak/>
        <w:t>Figure 6.2.3</w:t>
      </w:r>
      <w:r w:rsidRPr="00256982">
        <w:tab/>
        <w:t>Land use map of New Zealand as at 1 January 2008</w:t>
      </w:r>
      <w:bookmarkEnd w:id="1108"/>
      <w:bookmarkEnd w:id="1109"/>
      <w:bookmarkEnd w:id="1110"/>
      <w:bookmarkEnd w:id="1111"/>
      <w:bookmarkEnd w:id="1112"/>
      <w:bookmarkEnd w:id="1113"/>
      <w:bookmarkEnd w:id="1114"/>
    </w:p>
    <w:p w14:paraId="7770BA1F" w14:textId="2119EBDA" w:rsidR="00380BE7" w:rsidRPr="00256982" w:rsidRDefault="00590491" w:rsidP="00F978B1">
      <w:pPr>
        <w:spacing w:after="60"/>
      </w:pPr>
      <w:r>
        <w:rPr>
          <w:lang w:eastAsia="en-NZ"/>
        </w:rPr>
        <w:pict w14:anchorId="6D59979A">
          <v:shape id="Picture 103" o:spid="_x0000_i1125" type="#_x0000_t75" style="width:395.25pt;height:546.75pt;visibility:visible;mso-wrap-style:square">
            <v:imagedata r:id="rId187" o:title=""/>
          </v:shape>
        </w:pict>
      </w:r>
    </w:p>
    <w:p w14:paraId="3AA123FC" w14:textId="77777777" w:rsidR="00380BE7" w:rsidRPr="00256982" w:rsidRDefault="00380BE7" w:rsidP="00F978B1">
      <w:pPr>
        <w:pStyle w:val="Noteundertable"/>
      </w:pPr>
      <w:r w:rsidRPr="00256982">
        <w:rPr>
          <w:b/>
        </w:rPr>
        <w:t>Note:</w:t>
      </w:r>
      <w:r w:rsidRPr="00256982">
        <w:tab/>
        <w:t>The inset map is of the Chatham Islands, which lie approximately 660 kilometres south-east of the south-eastern corner of the North Island.</w:t>
      </w:r>
    </w:p>
    <w:p w14:paraId="52EE439A" w14:textId="77777777" w:rsidR="00380BE7" w:rsidRPr="00256982" w:rsidRDefault="00380BE7" w:rsidP="00380BE7">
      <w:pPr>
        <w:pStyle w:val="Heading5"/>
      </w:pPr>
      <w:r w:rsidRPr="00256982">
        <w:t>Decision process for mapping post-1989 forests</w:t>
      </w:r>
    </w:p>
    <w:p w14:paraId="19A4489C" w14:textId="77777777" w:rsidR="00380BE7" w:rsidRPr="00256982" w:rsidRDefault="00380BE7" w:rsidP="00380BE7">
      <w:pPr>
        <w:pStyle w:val="BodyText"/>
      </w:pPr>
      <w:r w:rsidRPr="00256982">
        <w:t xml:space="preserve">The use of remotely sensed imagery has some limitations; in particular, a limited ability to map young planted forest of less than three years of age. Where trees are planted within three years of the image acquisition date, they (and their surrounding vegetation) are unlikely to show a distinguishable spectral signature in satellite imagery. This occurs particularly with coarse-resolution (30 metres) Landsat 4 and 5 imagery captured around 1990. This situation is compounded by the lack of ancillary data at 1990 to support land use classification decisions. </w:t>
      </w:r>
      <w:r w:rsidRPr="00256982">
        <w:lastRenderedPageBreak/>
        <w:t>However, since 2009, the NZ ETS has provided valuable spatial information that has been used to confirm 1990 forest land use classifications.</w:t>
      </w:r>
    </w:p>
    <w:p w14:paraId="4E823E18" w14:textId="77777777" w:rsidR="00380BE7" w:rsidRPr="00256982" w:rsidRDefault="00380BE7" w:rsidP="00380BE7">
      <w:pPr>
        <w:pStyle w:val="BodyText"/>
      </w:pPr>
      <w:r w:rsidRPr="00256982">
        <w:t>Owners of post-1989 forest are able to lodge their forests with the NZ ETS to obtain credit for increases in carbon stock since 1 January 2008. Mapping received by the Ministry for Primary Industries for these applications is used to improve LUCAS land use maps.</w:t>
      </w:r>
    </w:p>
    <w:p w14:paraId="75950C1C" w14:textId="77777777" w:rsidR="00380BE7" w:rsidRPr="00256982" w:rsidRDefault="00380BE7" w:rsidP="00380BE7">
      <w:pPr>
        <w:pStyle w:val="BodyText"/>
      </w:pPr>
      <w:r w:rsidRPr="00256982">
        <w:t>Mapping from the NZ ETS has also provided a significant source of planting date information, which helps determine the correct classification of planted forest. The Forestry Allocation Plan, which forms part of the NZ ETS, compensates private owners of pre-1990 planted forest for the loss in land value arising from the introduction of penalties for deforesting pre-1990 forest land. Forest owners must apply for this compensation, providing detailed mapping and evidence of their forest planting date. These mapping data are used regularly to improve the classification accuracy of the LUCAS land use maps.</w:t>
      </w:r>
    </w:p>
    <w:p w14:paraId="71FE95DD" w14:textId="77777777" w:rsidR="00380BE7" w:rsidRPr="00256982" w:rsidRDefault="00380BE7" w:rsidP="00380BE7">
      <w:pPr>
        <w:pStyle w:val="BodyText"/>
      </w:pPr>
      <w:r w:rsidRPr="00256982">
        <w:t>To help the decision-making process, nationwide cloud-free 1996 SPOT and 2001 Landsat 7 satellite image mosaics are also used to determine the age of forests that have been planted within two to three years of 1990. Figure 6.2.4 shows how mapping operators use the spectral signature in later imagery and ancillary information, to determine the status of an area of planted forest established around 1990.</w:t>
      </w:r>
    </w:p>
    <w:p w14:paraId="4EC83DB0" w14:textId="77777777" w:rsidR="00380BE7" w:rsidRPr="00256982" w:rsidRDefault="00380BE7" w:rsidP="00380BE7">
      <w:pPr>
        <w:pStyle w:val="BodyText"/>
      </w:pPr>
      <w:r w:rsidRPr="00256982">
        <w:t>Where possible, information obtained directly from forest owners and the national planted forest plot network is also used to improve the accuracy of the pre-1990 and post-1989 forest classification.</w:t>
      </w:r>
    </w:p>
    <w:p w14:paraId="493671AA" w14:textId="77777777" w:rsidR="00F978B1" w:rsidRPr="00256982" w:rsidRDefault="00F978B1" w:rsidP="00F978B1">
      <w:pPr>
        <w:pStyle w:val="Heading4"/>
      </w:pPr>
      <w:r w:rsidRPr="00256982">
        <w:t>Adding land use maps to the time series: 2012 and 2016 land use maps</w:t>
      </w:r>
    </w:p>
    <w:p w14:paraId="48B36804" w14:textId="77777777" w:rsidR="00F978B1" w:rsidRPr="00256982" w:rsidRDefault="00F978B1" w:rsidP="00F978B1">
      <w:pPr>
        <w:pStyle w:val="BodyText"/>
      </w:pPr>
      <w:r w:rsidRPr="00256982">
        <w:t>The 2012 and 2016 land use maps were created by detecting change between satellite imagery acquired for each mapping year (2008, 2012 and 2016) (Newsome et al., 2013; 2018). The 2012 map was created by using the 2008 map as a starting point and mapping in all the change detected between 2008 and 2012. Similarly, the 2012 map was used as a starting point for the 2016 map, with all areas of change detected between 2012 and 2016 mapped in to the 2012 map to create a snapshot of land use as at 2016.</w:t>
      </w:r>
    </w:p>
    <w:p w14:paraId="25AA3DEB" w14:textId="77777777" w:rsidR="00F978B1" w:rsidRPr="00256982" w:rsidRDefault="00F978B1" w:rsidP="00F978B1">
      <w:pPr>
        <w:pStyle w:val="BodyText"/>
      </w:pPr>
      <w:r w:rsidRPr="00256982">
        <w:t>A multi-date image segmentation process was used to identify areas of potential change. This process is described in Shepherd et al. (2013). These areas of potential change were confirmed using two separate approaches: one for areas mapped as non-forest at the start of the period and one for areas mapped as forest at the start of the period.</w:t>
      </w:r>
    </w:p>
    <w:p w14:paraId="72F37342" w14:textId="77777777" w:rsidR="00380BE7" w:rsidRPr="00256982" w:rsidRDefault="00380BE7" w:rsidP="00380BE7">
      <w:pPr>
        <w:pStyle w:val="Figure"/>
      </w:pPr>
      <w:bookmarkStart w:id="1115" w:name="_Toc378853336"/>
      <w:bookmarkStart w:id="1116" w:name="_Toc405448086"/>
      <w:bookmarkStart w:id="1117" w:name="_Toc414531618"/>
      <w:bookmarkStart w:id="1118" w:name="_Toc474914641"/>
      <w:bookmarkStart w:id="1119" w:name="_Toc481752023"/>
      <w:bookmarkStart w:id="1120" w:name="_Toc522010701"/>
      <w:bookmarkStart w:id="1121" w:name="_Toc5269704"/>
      <w:r w:rsidRPr="00256982">
        <w:lastRenderedPageBreak/>
        <w:t>Figure 6.2.4</w:t>
      </w:r>
      <w:r w:rsidRPr="00256982">
        <w:tab/>
        <w:t>Identification of post-1989 forest in New Zealand</w:t>
      </w:r>
      <w:bookmarkEnd w:id="1115"/>
      <w:bookmarkEnd w:id="1116"/>
      <w:bookmarkEnd w:id="1117"/>
      <w:bookmarkEnd w:id="1118"/>
      <w:bookmarkEnd w:id="1119"/>
      <w:bookmarkEnd w:id="1120"/>
      <w:bookmarkEnd w:id="1121"/>
    </w:p>
    <w:p w14:paraId="0099A184" w14:textId="6474BAE4" w:rsidR="00380BE7" w:rsidRPr="00256982" w:rsidRDefault="00590491" w:rsidP="00380BE7">
      <w:pPr>
        <w:keepNext/>
        <w:jc w:val="center"/>
      </w:pPr>
      <w:r>
        <w:rPr>
          <w:lang w:eastAsia="en-NZ"/>
        </w:rPr>
        <w:pict w14:anchorId="6546B403">
          <v:shape id="Picture 104" o:spid="_x0000_i1126" type="#_x0000_t75" alt="1990 - P89" style="width:166.5pt;height:151.5pt;visibility:visible;mso-wrap-style:square">
            <v:imagedata r:id="rId188" o:title="1990 - P89"/>
          </v:shape>
        </w:pict>
      </w:r>
      <w:r>
        <w:rPr>
          <w:lang w:eastAsia="en-NZ"/>
        </w:rPr>
        <w:pict w14:anchorId="07B60904">
          <v:shape id="Picture 105" o:spid="_x0000_i1127" type="#_x0000_t75" alt="1996 - P89.jpg" style="width:166.5pt;height:151.5pt;visibility:visible;mso-wrap-style:square">
            <v:imagedata r:id="rId189" o:title="1996 - P89"/>
          </v:shape>
        </w:pict>
      </w:r>
    </w:p>
    <w:p w14:paraId="20D60638" w14:textId="77777777" w:rsidR="00380BE7" w:rsidRPr="00256982" w:rsidRDefault="00380BE7" w:rsidP="00380BE7">
      <w:pPr>
        <w:pStyle w:val="BodyText"/>
        <w:keepNext/>
        <w:tabs>
          <w:tab w:val="left" w:pos="2127"/>
          <w:tab w:val="left" w:pos="5245"/>
        </w:tabs>
        <w:rPr>
          <w:rFonts w:ascii="Arial" w:hAnsi="Arial" w:cs="Arial"/>
          <w:sz w:val="18"/>
          <w:szCs w:val="18"/>
        </w:rPr>
      </w:pPr>
      <w:r w:rsidRPr="00256982">
        <w:rPr>
          <w:rFonts w:ascii="Arial" w:hAnsi="Arial" w:cs="Arial"/>
          <w:sz w:val="18"/>
          <w:szCs w:val="18"/>
        </w:rPr>
        <w:tab/>
        <w:t>1990</w:t>
      </w:r>
      <w:r w:rsidRPr="00256982">
        <w:rPr>
          <w:rFonts w:ascii="Arial" w:hAnsi="Arial" w:cs="Arial"/>
          <w:sz w:val="18"/>
          <w:szCs w:val="18"/>
        </w:rPr>
        <w:tab/>
        <w:t>1996</w:t>
      </w:r>
    </w:p>
    <w:p w14:paraId="4DB94DD6" w14:textId="6965C955" w:rsidR="00380BE7" w:rsidRPr="00256982" w:rsidRDefault="00590491" w:rsidP="00380BE7">
      <w:pPr>
        <w:keepNext/>
        <w:jc w:val="center"/>
      </w:pPr>
      <w:r>
        <w:rPr>
          <w:lang w:eastAsia="en-NZ"/>
        </w:rPr>
        <w:pict w14:anchorId="71A5316B">
          <v:shape id="Picture 106" o:spid="_x0000_i1128" type="#_x0000_t75" alt="2001 -P89.jpg" style="width:166.5pt;height:151.5pt;visibility:visible;mso-wrap-style:square">
            <v:imagedata r:id="rId190" o:title="2001 -P89"/>
          </v:shape>
        </w:pict>
      </w:r>
      <w:r>
        <w:rPr>
          <w:lang w:eastAsia="en-NZ"/>
        </w:rPr>
        <w:pict w14:anchorId="56E852D3">
          <v:shape id="Picture 107" o:spid="_x0000_i1129" type="#_x0000_t75" alt="2008 - P89.jpg" style="width:166.5pt;height:151.5pt;visibility:visible;mso-wrap-style:square">
            <v:imagedata r:id="rId191" o:title="2008 - P89"/>
          </v:shape>
        </w:pict>
      </w:r>
    </w:p>
    <w:p w14:paraId="58EBF8A0" w14:textId="77777777" w:rsidR="00380BE7" w:rsidRPr="00256982" w:rsidRDefault="00380BE7" w:rsidP="00380BE7">
      <w:pPr>
        <w:tabs>
          <w:tab w:val="left" w:pos="2127"/>
          <w:tab w:val="left" w:pos="5245"/>
        </w:tabs>
        <w:spacing w:before="120" w:after="120"/>
        <w:rPr>
          <w:rFonts w:ascii="Arial" w:hAnsi="Arial" w:cs="Arial"/>
          <w:sz w:val="18"/>
          <w:szCs w:val="18"/>
        </w:rPr>
      </w:pPr>
      <w:r w:rsidRPr="00256982">
        <w:rPr>
          <w:rFonts w:ascii="Arial" w:hAnsi="Arial" w:cs="Arial"/>
          <w:sz w:val="18"/>
          <w:szCs w:val="18"/>
        </w:rPr>
        <w:tab/>
        <w:t>2000</w:t>
      </w:r>
      <w:r w:rsidRPr="00256982">
        <w:rPr>
          <w:rFonts w:ascii="Arial" w:hAnsi="Arial" w:cs="Arial"/>
          <w:sz w:val="18"/>
          <w:szCs w:val="18"/>
        </w:rPr>
        <w:tab/>
        <w:t>2008</w:t>
      </w:r>
    </w:p>
    <w:tbl>
      <w:tblPr>
        <w:tblW w:w="0" w:type="auto"/>
        <w:jc w:val="center"/>
        <w:shd w:val="clear" w:color="auto" w:fill="D6E3BC"/>
        <w:tblLook w:val="04A0" w:firstRow="1" w:lastRow="0" w:firstColumn="1" w:lastColumn="0" w:noHBand="0" w:noVBand="1"/>
      </w:tblPr>
      <w:tblGrid>
        <w:gridCol w:w="1560"/>
        <w:gridCol w:w="5386"/>
      </w:tblGrid>
      <w:tr w:rsidR="00380BE7" w:rsidRPr="00256982" w14:paraId="33F30FA9" w14:textId="77777777" w:rsidTr="002871BE">
        <w:trPr>
          <w:jc w:val="center"/>
        </w:trPr>
        <w:tc>
          <w:tcPr>
            <w:tcW w:w="1560" w:type="dxa"/>
            <w:shd w:val="clear" w:color="auto" w:fill="D6E3BC"/>
          </w:tcPr>
          <w:p w14:paraId="6FADE73E" w14:textId="77777777" w:rsidR="00380BE7" w:rsidRPr="00256982" w:rsidRDefault="00380BE7" w:rsidP="009574E7">
            <w:pPr>
              <w:pStyle w:val="TableTextBold"/>
              <w:spacing w:before="120" w:after="40"/>
              <w:rPr>
                <w:noProof w:val="0"/>
                <w:sz w:val="17"/>
                <w:szCs w:val="17"/>
              </w:rPr>
            </w:pPr>
            <w:r w:rsidRPr="00256982">
              <w:rPr>
                <w:noProof w:val="0"/>
                <w:sz w:val="17"/>
                <w:szCs w:val="17"/>
              </w:rPr>
              <w:t>Images:</w:t>
            </w:r>
          </w:p>
        </w:tc>
        <w:tc>
          <w:tcPr>
            <w:tcW w:w="5386" w:type="dxa"/>
            <w:shd w:val="clear" w:color="auto" w:fill="D6E3BC"/>
          </w:tcPr>
          <w:p w14:paraId="7D8D1C8C" w14:textId="77777777" w:rsidR="00380BE7" w:rsidRPr="00256982" w:rsidRDefault="00380BE7" w:rsidP="009574E7">
            <w:pPr>
              <w:pStyle w:val="TableText"/>
              <w:spacing w:before="120" w:after="40"/>
              <w:rPr>
                <w:sz w:val="17"/>
                <w:szCs w:val="17"/>
              </w:rPr>
            </w:pPr>
            <w:r w:rsidRPr="00256982">
              <w:rPr>
                <w:sz w:val="17"/>
                <w:szCs w:val="17"/>
              </w:rPr>
              <w:t xml:space="preserve">1990 Landsat 4 (top left) </w:t>
            </w:r>
          </w:p>
          <w:p w14:paraId="298D1DC6" w14:textId="77777777" w:rsidR="00380BE7" w:rsidRPr="00256982" w:rsidRDefault="00380BE7" w:rsidP="009574E7">
            <w:pPr>
              <w:pStyle w:val="TableText"/>
              <w:spacing w:after="40"/>
              <w:rPr>
                <w:sz w:val="17"/>
                <w:szCs w:val="17"/>
              </w:rPr>
            </w:pPr>
            <w:r w:rsidRPr="00256982">
              <w:rPr>
                <w:sz w:val="17"/>
                <w:szCs w:val="17"/>
              </w:rPr>
              <w:t xml:space="preserve">1996 SPOT 2 (top right) </w:t>
            </w:r>
          </w:p>
          <w:p w14:paraId="25BBF299" w14:textId="77777777" w:rsidR="00380BE7" w:rsidRPr="00256982" w:rsidRDefault="00380BE7" w:rsidP="009574E7">
            <w:pPr>
              <w:pStyle w:val="TableText"/>
              <w:spacing w:after="40"/>
              <w:rPr>
                <w:sz w:val="17"/>
                <w:szCs w:val="17"/>
              </w:rPr>
            </w:pPr>
            <w:r w:rsidRPr="00256982">
              <w:rPr>
                <w:sz w:val="17"/>
                <w:szCs w:val="17"/>
              </w:rPr>
              <w:t xml:space="preserve">2000 Landsat 7 ETM+ (bottom left) </w:t>
            </w:r>
          </w:p>
          <w:p w14:paraId="36569DDE" w14:textId="77777777" w:rsidR="00380BE7" w:rsidRPr="00256982" w:rsidRDefault="00380BE7" w:rsidP="009574E7">
            <w:pPr>
              <w:pStyle w:val="TableText"/>
              <w:spacing w:after="40"/>
              <w:rPr>
                <w:sz w:val="17"/>
                <w:szCs w:val="17"/>
              </w:rPr>
            </w:pPr>
            <w:r w:rsidRPr="00256982">
              <w:rPr>
                <w:sz w:val="17"/>
                <w:szCs w:val="17"/>
              </w:rPr>
              <w:t>2008 SPOT 5 (bottom right)</w:t>
            </w:r>
          </w:p>
        </w:tc>
      </w:tr>
      <w:tr w:rsidR="00380BE7" w:rsidRPr="00256982" w14:paraId="20020890" w14:textId="77777777" w:rsidTr="002871BE">
        <w:trPr>
          <w:jc w:val="center"/>
        </w:trPr>
        <w:tc>
          <w:tcPr>
            <w:tcW w:w="1560" w:type="dxa"/>
            <w:shd w:val="clear" w:color="auto" w:fill="D6E3BC"/>
          </w:tcPr>
          <w:p w14:paraId="0EACA136" w14:textId="77777777" w:rsidR="00380BE7" w:rsidRPr="00256982" w:rsidRDefault="00380BE7" w:rsidP="009574E7">
            <w:pPr>
              <w:pStyle w:val="TableTextBold"/>
              <w:spacing w:before="120"/>
              <w:rPr>
                <w:noProof w:val="0"/>
                <w:sz w:val="17"/>
                <w:szCs w:val="17"/>
              </w:rPr>
            </w:pPr>
            <w:r w:rsidRPr="00256982">
              <w:rPr>
                <w:noProof w:val="0"/>
                <w:sz w:val="17"/>
                <w:szCs w:val="17"/>
              </w:rPr>
              <w:t>Location:</w:t>
            </w:r>
          </w:p>
        </w:tc>
        <w:tc>
          <w:tcPr>
            <w:tcW w:w="5386" w:type="dxa"/>
            <w:shd w:val="clear" w:color="auto" w:fill="D6E3BC"/>
          </w:tcPr>
          <w:p w14:paraId="0FB14DCA" w14:textId="77777777" w:rsidR="00380BE7" w:rsidRPr="00256982" w:rsidRDefault="00380BE7" w:rsidP="009574E7">
            <w:pPr>
              <w:pStyle w:val="TableText"/>
              <w:spacing w:before="120"/>
              <w:rPr>
                <w:sz w:val="17"/>
                <w:szCs w:val="17"/>
              </w:rPr>
            </w:pPr>
            <w:r w:rsidRPr="00256982">
              <w:rPr>
                <w:sz w:val="17"/>
                <w:szCs w:val="17"/>
              </w:rPr>
              <w:t>2,017,800, 5,730,677 (NZTM)</w:t>
            </w:r>
          </w:p>
        </w:tc>
      </w:tr>
      <w:tr w:rsidR="00380BE7" w:rsidRPr="00256982" w14:paraId="0AD1C257" w14:textId="77777777" w:rsidTr="002871BE">
        <w:trPr>
          <w:jc w:val="center"/>
        </w:trPr>
        <w:tc>
          <w:tcPr>
            <w:tcW w:w="1560" w:type="dxa"/>
            <w:shd w:val="clear" w:color="auto" w:fill="D6E3BC"/>
          </w:tcPr>
          <w:p w14:paraId="090F4F69" w14:textId="77777777" w:rsidR="00380BE7" w:rsidRPr="00256982" w:rsidRDefault="00380BE7" w:rsidP="009574E7">
            <w:pPr>
              <w:pStyle w:val="TableTextBold"/>
              <w:spacing w:before="120"/>
              <w:rPr>
                <w:noProof w:val="0"/>
                <w:sz w:val="17"/>
                <w:szCs w:val="17"/>
              </w:rPr>
            </w:pPr>
            <w:r w:rsidRPr="00256982">
              <w:rPr>
                <w:noProof w:val="0"/>
                <w:sz w:val="17"/>
                <w:szCs w:val="17"/>
              </w:rPr>
              <w:t>1990 land use:</w:t>
            </w:r>
          </w:p>
        </w:tc>
        <w:tc>
          <w:tcPr>
            <w:tcW w:w="5386" w:type="dxa"/>
            <w:shd w:val="clear" w:color="auto" w:fill="D6E3BC"/>
          </w:tcPr>
          <w:p w14:paraId="2B66337B" w14:textId="77777777" w:rsidR="00380BE7" w:rsidRPr="00256982" w:rsidRDefault="00380BE7" w:rsidP="009574E7">
            <w:pPr>
              <w:pStyle w:val="TableText"/>
              <w:spacing w:before="120"/>
              <w:rPr>
                <w:sz w:val="17"/>
                <w:szCs w:val="17"/>
              </w:rPr>
            </w:pPr>
            <w:r w:rsidRPr="00256982">
              <w:rPr>
                <w:sz w:val="17"/>
                <w:szCs w:val="17"/>
              </w:rPr>
              <w:t>Low producing grassland</w:t>
            </w:r>
          </w:p>
        </w:tc>
      </w:tr>
      <w:tr w:rsidR="00380BE7" w:rsidRPr="00256982" w14:paraId="0561D589" w14:textId="77777777" w:rsidTr="002871BE">
        <w:trPr>
          <w:jc w:val="center"/>
        </w:trPr>
        <w:tc>
          <w:tcPr>
            <w:tcW w:w="1560" w:type="dxa"/>
            <w:shd w:val="clear" w:color="auto" w:fill="D6E3BC"/>
          </w:tcPr>
          <w:p w14:paraId="2C19301D" w14:textId="77777777" w:rsidR="00380BE7" w:rsidRPr="00256982" w:rsidRDefault="00380BE7" w:rsidP="009574E7">
            <w:pPr>
              <w:pStyle w:val="TableTextBold"/>
              <w:spacing w:before="120"/>
              <w:rPr>
                <w:noProof w:val="0"/>
                <w:sz w:val="17"/>
                <w:szCs w:val="17"/>
              </w:rPr>
            </w:pPr>
            <w:r w:rsidRPr="00256982">
              <w:rPr>
                <w:noProof w:val="0"/>
                <w:sz w:val="17"/>
                <w:szCs w:val="17"/>
              </w:rPr>
              <w:t>2008 land use:</w:t>
            </w:r>
          </w:p>
        </w:tc>
        <w:tc>
          <w:tcPr>
            <w:tcW w:w="5386" w:type="dxa"/>
            <w:shd w:val="clear" w:color="auto" w:fill="D6E3BC"/>
          </w:tcPr>
          <w:p w14:paraId="5D579E54" w14:textId="77777777" w:rsidR="00380BE7" w:rsidRPr="00256982" w:rsidRDefault="00380BE7" w:rsidP="009574E7">
            <w:pPr>
              <w:pStyle w:val="TableText"/>
              <w:spacing w:before="120"/>
              <w:rPr>
                <w:sz w:val="17"/>
                <w:szCs w:val="17"/>
              </w:rPr>
            </w:pPr>
            <w:r w:rsidRPr="00256982">
              <w:rPr>
                <w:sz w:val="17"/>
                <w:szCs w:val="17"/>
              </w:rPr>
              <w:t>Post-1989 forest</w:t>
            </w:r>
          </w:p>
        </w:tc>
      </w:tr>
      <w:tr w:rsidR="00380BE7" w:rsidRPr="00256982" w14:paraId="2D471126" w14:textId="77777777" w:rsidTr="002871BE">
        <w:trPr>
          <w:jc w:val="center"/>
        </w:trPr>
        <w:tc>
          <w:tcPr>
            <w:tcW w:w="1560" w:type="dxa"/>
            <w:shd w:val="clear" w:color="auto" w:fill="D6E3BC"/>
          </w:tcPr>
          <w:p w14:paraId="15499428" w14:textId="77777777" w:rsidR="00380BE7" w:rsidRPr="00256982" w:rsidRDefault="00380BE7" w:rsidP="009574E7">
            <w:pPr>
              <w:pStyle w:val="TableTextBold"/>
              <w:spacing w:before="120"/>
              <w:rPr>
                <w:noProof w:val="0"/>
                <w:sz w:val="17"/>
                <w:szCs w:val="17"/>
              </w:rPr>
            </w:pPr>
            <w:r w:rsidRPr="00256982">
              <w:rPr>
                <w:noProof w:val="0"/>
                <w:sz w:val="17"/>
                <w:szCs w:val="17"/>
              </w:rPr>
              <w:t>Explanation:</w:t>
            </w:r>
          </w:p>
        </w:tc>
        <w:tc>
          <w:tcPr>
            <w:tcW w:w="5386" w:type="dxa"/>
            <w:shd w:val="clear" w:color="auto" w:fill="D6E3BC"/>
            <w:tcMar>
              <w:left w:w="142" w:type="dxa"/>
              <w:right w:w="142" w:type="dxa"/>
            </w:tcMar>
          </w:tcPr>
          <w:p w14:paraId="42C57C87" w14:textId="77777777" w:rsidR="00380BE7" w:rsidRPr="00256982" w:rsidRDefault="00380BE7" w:rsidP="009574E7">
            <w:pPr>
              <w:pStyle w:val="TableText"/>
              <w:spacing w:before="120" w:after="120"/>
              <w:rPr>
                <w:sz w:val="17"/>
                <w:szCs w:val="17"/>
              </w:rPr>
            </w:pPr>
            <w:r w:rsidRPr="00256982">
              <w:rPr>
                <w:sz w:val="17"/>
                <w:szCs w:val="17"/>
              </w:rPr>
              <w:t>In the Landsat 1990 imagery acquired on 2 December 1990, there is little evidence of the forest within the blue box that is clearly apparent in later imagery. The strength of the spectral response in the SPOT 1996 imagery suggests that the forest must have been planted near to 1990. Final confirmation of the planting date is provided via the NZ ETS application (delineated in green in the 2008 imagery), which states that the forest was planted in 1990 and, therefore, is classed as a post-1989 forest.</w:t>
            </w:r>
          </w:p>
        </w:tc>
      </w:tr>
    </w:tbl>
    <w:p w14:paraId="02F069B8" w14:textId="77777777" w:rsidR="00380BE7" w:rsidRPr="00256982" w:rsidRDefault="00380BE7" w:rsidP="002871BE">
      <w:pPr>
        <w:pStyle w:val="Heading5"/>
        <w:spacing w:before="480"/>
      </w:pPr>
      <w:r w:rsidRPr="00256982">
        <w:t>Mapping approach: non-forest areas</w:t>
      </w:r>
    </w:p>
    <w:p w14:paraId="5C147BE1" w14:textId="77777777" w:rsidR="00380BE7" w:rsidRPr="00256982" w:rsidRDefault="00380BE7" w:rsidP="00380BE7">
      <w:pPr>
        <w:pStyle w:val="BodyText"/>
      </w:pPr>
      <w:r w:rsidRPr="00256982">
        <w:t>Potential changes in areas mapped as non-forest were manually checked in the satellite imagery to determine whether a land-use change had occurred since the previous land use map. Operators used the 2008 and 2012 SPOT imagery and 2016 Sentinel-2 imagery, along with other imagery data sets as listed in table 6.2.4, to establish whether land-use change had occurred. Once change was confirmed, the area of change was delineated in the land use map.</w:t>
      </w:r>
    </w:p>
    <w:p w14:paraId="18E13DE3" w14:textId="77777777" w:rsidR="00380BE7" w:rsidRPr="00256982" w:rsidRDefault="00380BE7" w:rsidP="00380BE7">
      <w:pPr>
        <w:pStyle w:val="Table"/>
      </w:pPr>
      <w:bookmarkStart w:id="1122" w:name="_Toc378853283"/>
      <w:bookmarkStart w:id="1123" w:name="_Toc391024081"/>
      <w:bookmarkStart w:id="1124" w:name="_Toc410028824"/>
      <w:bookmarkStart w:id="1125" w:name="_Toc414531452"/>
      <w:bookmarkStart w:id="1126" w:name="_Toc443645365"/>
      <w:bookmarkStart w:id="1127" w:name="_Toc474914584"/>
      <w:bookmarkStart w:id="1128" w:name="_Toc481751548"/>
      <w:bookmarkStart w:id="1129" w:name="_Toc522010605"/>
      <w:bookmarkStart w:id="1130" w:name="_Toc5269510"/>
      <w:r w:rsidRPr="00256982">
        <w:lastRenderedPageBreak/>
        <w:t>Table 6.2.4</w:t>
      </w:r>
      <w:r w:rsidRPr="00256982">
        <w:tab/>
        <w:t>Ancillary mosaicked imagery data sets used in land use mapping</w:t>
      </w:r>
      <w:bookmarkEnd w:id="1122"/>
      <w:bookmarkEnd w:id="1123"/>
      <w:bookmarkEnd w:id="1124"/>
      <w:bookmarkEnd w:id="1125"/>
      <w:bookmarkEnd w:id="1126"/>
      <w:bookmarkEnd w:id="1127"/>
      <w:bookmarkEnd w:id="1128"/>
      <w:bookmarkEnd w:id="1129"/>
      <w:bookmarkEnd w:id="1130"/>
    </w:p>
    <w:tbl>
      <w:tblPr>
        <w:tblW w:w="8562" w:type="dxa"/>
        <w:tblInd w:w="108" w:type="dxa"/>
        <w:tblLook w:val="04A0" w:firstRow="1" w:lastRow="0" w:firstColumn="1" w:lastColumn="0" w:noHBand="0" w:noVBand="1"/>
      </w:tblPr>
      <w:tblGrid>
        <w:gridCol w:w="1604"/>
        <w:gridCol w:w="1570"/>
        <w:gridCol w:w="2568"/>
        <w:gridCol w:w="2820"/>
      </w:tblGrid>
      <w:tr w:rsidR="00380BE7" w:rsidRPr="00256982" w14:paraId="0E6A4BAC" w14:textId="77777777" w:rsidTr="002F1C42">
        <w:tc>
          <w:tcPr>
            <w:tcW w:w="1593" w:type="dxa"/>
            <w:tcBorders>
              <w:top w:val="single" w:sz="4" w:space="0" w:color="365F91"/>
              <w:bottom w:val="single" w:sz="4" w:space="0" w:color="365F91"/>
            </w:tcBorders>
            <w:shd w:val="clear" w:color="auto" w:fill="365F91"/>
          </w:tcPr>
          <w:p w14:paraId="140FDB19" w14:textId="77777777" w:rsidR="00380BE7" w:rsidRPr="00256982" w:rsidRDefault="00380BE7" w:rsidP="009574E7">
            <w:pPr>
              <w:pStyle w:val="TableTextBold"/>
              <w:rPr>
                <w:noProof w:val="0"/>
                <w:color w:val="FFFFFF"/>
              </w:rPr>
            </w:pPr>
            <w:r w:rsidRPr="00256982">
              <w:rPr>
                <w:noProof w:val="0"/>
                <w:color w:val="FFFFFF"/>
              </w:rPr>
              <w:t>Satellite imagery</w:t>
            </w:r>
          </w:p>
        </w:tc>
        <w:tc>
          <w:tcPr>
            <w:tcW w:w="1560" w:type="dxa"/>
            <w:tcBorders>
              <w:top w:val="single" w:sz="4" w:space="0" w:color="365F91"/>
              <w:bottom w:val="single" w:sz="4" w:space="0" w:color="365F91"/>
            </w:tcBorders>
            <w:shd w:val="clear" w:color="auto" w:fill="365F91"/>
          </w:tcPr>
          <w:p w14:paraId="3F55194F" w14:textId="77777777" w:rsidR="00380BE7" w:rsidRPr="00256982" w:rsidRDefault="00380BE7" w:rsidP="009574E7">
            <w:pPr>
              <w:pStyle w:val="TableTextBold"/>
              <w:jc w:val="center"/>
              <w:rPr>
                <w:noProof w:val="0"/>
                <w:color w:val="FFFFFF"/>
              </w:rPr>
            </w:pPr>
            <w:r w:rsidRPr="00256982">
              <w:rPr>
                <w:noProof w:val="0"/>
                <w:color w:val="FFFFFF"/>
              </w:rPr>
              <w:t>Resolution (m)</w:t>
            </w:r>
          </w:p>
        </w:tc>
        <w:tc>
          <w:tcPr>
            <w:tcW w:w="2551" w:type="dxa"/>
            <w:tcBorders>
              <w:top w:val="single" w:sz="4" w:space="0" w:color="365F91"/>
              <w:bottom w:val="single" w:sz="4" w:space="0" w:color="365F91"/>
            </w:tcBorders>
            <w:shd w:val="clear" w:color="auto" w:fill="365F91"/>
          </w:tcPr>
          <w:p w14:paraId="3EB8D3A0" w14:textId="77777777" w:rsidR="00380BE7" w:rsidRPr="00256982" w:rsidRDefault="00380BE7" w:rsidP="009574E7">
            <w:pPr>
              <w:pStyle w:val="TableTextBold"/>
              <w:rPr>
                <w:noProof w:val="0"/>
                <w:color w:val="FFFFFF"/>
              </w:rPr>
            </w:pPr>
            <w:r w:rsidRPr="00256982">
              <w:rPr>
                <w:noProof w:val="0"/>
                <w:color w:val="FFFFFF"/>
              </w:rPr>
              <w:t>Coverage</w:t>
            </w:r>
          </w:p>
        </w:tc>
        <w:tc>
          <w:tcPr>
            <w:tcW w:w="2801" w:type="dxa"/>
            <w:tcBorders>
              <w:top w:val="single" w:sz="4" w:space="0" w:color="365F91"/>
              <w:bottom w:val="single" w:sz="4" w:space="0" w:color="365F91"/>
            </w:tcBorders>
            <w:shd w:val="clear" w:color="auto" w:fill="365F91"/>
          </w:tcPr>
          <w:p w14:paraId="539B787E" w14:textId="77777777" w:rsidR="00380BE7" w:rsidRPr="00256982" w:rsidRDefault="00380BE7" w:rsidP="009574E7">
            <w:pPr>
              <w:pStyle w:val="TableTextBold"/>
              <w:rPr>
                <w:noProof w:val="0"/>
                <w:color w:val="FFFFFF"/>
              </w:rPr>
            </w:pPr>
            <w:r w:rsidRPr="00256982">
              <w:rPr>
                <w:noProof w:val="0"/>
                <w:color w:val="FFFFFF"/>
              </w:rPr>
              <w:t>Acquisition period</w:t>
            </w:r>
          </w:p>
        </w:tc>
      </w:tr>
      <w:tr w:rsidR="00380BE7" w:rsidRPr="00256982" w14:paraId="3E1182D8" w14:textId="77777777" w:rsidTr="002F1C42">
        <w:tc>
          <w:tcPr>
            <w:tcW w:w="1593" w:type="dxa"/>
            <w:tcBorders>
              <w:top w:val="single" w:sz="4" w:space="0" w:color="365F91"/>
              <w:bottom w:val="single" w:sz="4" w:space="0" w:color="365F91"/>
            </w:tcBorders>
          </w:tcPr>
          <w:p w14:paraId="1EE5CD6B" w14:textId="77777777" w:rsidR="00380BE7" w:rsidRPr="00256982" w:rsidRDefault="00380BE7" w:rsidP="009574E7">
            <w:pPr>
              <w:pStyle w:val="TableText"/>
            </w:pPr>
            <w:r w:rsidRPr="00256982">
              <w:t>Landsat 7</w:t>
            </w:r>
          </w:p>
        </w:tc>
        <w:tc>
          <w:tcPr>
            <w:tcW w:w="1560" w:type="dxa"/>
            <w:tcBorders>
              <w:top w:val="single" w:sz="4" w:space="0" w:color="365F91"/>
              <w:bottom w:val="single" w:sz="4" w:space="0" w:color="365F91"/>
            </w:tcBorders>
          </w:tcPr>
          <w:p w14:paraId="710643BB" w14:textId="77777777" w:rsidR="00380BE7" w:rsidRPr="00256982" w:rsidRDefault="00380BE7" w:rsidP="009574E7">
            <w:pPr>
              <w:pStyle w:val="TableText"/>
              <w:jc w:val="center"/>
            </w:pPr>
            <w:r w:rsidRPr="00256982">
              <w:t>30</w:t>
            </w:r>
          </w:p>
        </w:tc>
        <w:tc>
          <w:tcPr>
            <w:tcW w:w="2551" w:type="dxa"/>
            <w:tcBorders>
              <w:top w:val="single" w:sz="4" w:space="0" w:color="365F91"/>
              <w:bottom w:val="single" w:sz="4" w:space="0" w:color="365F91"/>
            </w:tcBorders>
          </w:tcPr>
          <w:p w14:paraId="1861502D" w14:textId="77777777" w:rsidR="00380BE7" w:rsidRPr="00256982" w:rsidRDefault="00380BE7" w:rsidP="009574E7">
            <w:pPr>
              <w:pStyle w:val="TableText"/>
            </w:pPr>
            <w:r w:rsidRPr="00256982">
              <w:t>North Island, South Island and Stewart Island</w:t>
            </w:r>
          </w:p>
        </w:tc>
        <w:tc>
          <w:tcPr>
            <w:tcW w:w="2801" w:type="dxa"/>
            <w:tcBorders>
              <w:top w:val="single" w:sz="4" w:space="0" w:color="365F91"/>
              <w:bottom w:val="single" w:sz="4" w:space="0" w:color="365F91"/>
            </w:tcBorders>
          </w:tcPr>
          <w:p w14:paraId="684D8FE8" w14:textId="77777777" w:rsidR="00380BE7" w:rsidRPr="00256982" w:rsidRDefault="00380BE7" w:rsidP="009574E7">
            <w:pPr>
              <w:pStyle w:val="TableText"/>
            </w:pPr>
            <w:r w:rsidRPr="00256982">
              <w:t xml:space="preserve">September 1999 – February 2003 </w:t>
            </w:r>
          </w:p>
          <w:p w14:paraId="0296B504" w14:textId="77777777" w:rsidR="00380BE7" w:rsidRPr="00256982" w:rsidRDefault="00380BE7" w:rsidP="009574E7">
            <w:pPr>
              <w:pStyle w:val="TableText"/>
            </w:pPr>
            <w:r w:rsidRPr="00256982">
              <w:t>October 2011 – February 2012</w:t>
            </w:r>
          </w:p>
          <w:p w14:paraId="6AAB05FC" w14:textId="77777777" w:rsidR="00380BE7" w:rsidRPr="00256982" w:rsidRDefault="00380BE7" w:rsidP="009574E7">
            <w:pPr>
              <w:pStyle w:val="TableText"/>
            </w:pPr>
            <w:r w:rsidRPr="00256982">
              <w:t>October 2012 – March 2013</w:t>
            </w:r>
          </w:p>
        </w:tc>
      </w:tr>
      <w:tr w:rsidR="00380BE7" w:rsidRPr="00256982" w14:paraId="3669665C" w14:textId="77777777" w:rsidTr="002F1C42">
        <w:tc>
          <w:tcPr>
            <w:tcW w:w="1593" w:type="dxa"/>
            <w:tcBorders>
              <w:top w:val="single" w:sz="4" w:space="0" w:color="365F91"/>
              <w:bottom w:val="single" w:sz="4" w:space="0" w:color="365F91"/>
            </w:tcBorders>
          </w:tcPr>
          <w:p w14:paraId="40D57155" w14:textId="77777777" w:rsidR="00380BE7" w:rsidRPr="00256982" w:rsidRDefault="00380BE7" w:rsidP="009574E7">
            <w:pPr>
              <w:pStyle w:val="TableText"/>
            </w:pPr>
            <w:r w:rsidRPr="00256982">
              <w:t>SPOT maps products</w:t>
            </w:r>
          </w:p>
        </w:tc>
        <w:tc>
          <w:tcPr>
            <w:tcW w:w="1560" w:type="dxa"/>
            <w:tcBorders>
              <w:top w:val="single" w:sz="4" w:space="0" w:color="365F91"/>
              <w:bottom w:val="single" w:sz="4" w:space="0" w:color="365F91"/>
            </w:tcBorders>
          </w:tcPr>
          <w:p w14:paraId="5769B40D" w14:textId="77777777" w:rsidR="00380BE7" w:rsidRPr="00256982" w:rsidRDefault="00380BE7" w:rsidP="009574E7">
            <w:pPr>
              <w:pStyle w:val="TableText"/>
              <w:jc w:val="center"/>
            </w:pPr>
            <w:r w:rsidRPr="00256982">
              <w:t>2.5 and 1.5</w:t>
            </w:r>
          </w:p>
        </w:tc>
        <w:tc>
          <w:tcPr>
            <w:tcW w:w="2551" w:type="dxa"/>
            <w:tcBorders>
              <w:top w:val="single" w:sz="4" w:space="0" w:color="365F91"/>
              <w:bottom w:val="single" w:sz="4" w:space="0" w:color="365F91"/>
            </w:tcBorders>
          </w:tcPr>
          <w:p w14:paraId="0D2D3F53" w14:textId="77777777" w:rsidR="00380BE7" w:rsidRPr="00256982" w:rsidRDefault="00380BE7" w:rsidP="009574E7">
            <w:pPr>
              <w:pStyle w:val="TableText"/>
            </w:pPr>
            <w:r w:rsidRPr="00256982">
              <w:t>North Island, South Island and Stewart Island</w:t>
            </w:r>
          </w:p>
        </w:tc>
        <w:tc>
          <w:tcPr>
            <w:tcW w:w="2801" w:type="dxa"/>
            <w:tcBorders>
              <w:top w:val="single" w:sz="4" w:space="0" w:color="365F91"/>
              <w:bottom w:val="single" w:sz="4" w:space="0" w:color="365F91"/>
            </w:tcBorders>
          </w:tcPr>
          <w:p w14:paraId="1BE31C82" w14:textId="77777777" w:rsidR="00380BE7" w:rsidRPr="00256982" w:rsidRDefault="00380BE7" w:rsidP="009574E7">
            <w:pPr>
              <w:pStyle w:val="TableText"/>
            </w:pPr>
            <w:r w:rsidRPr="00256982">
              <w:t>January 2008 – June 2009</w:t>
            </w:r>
          </w:p>
          <w:p w14:paraId="72C97A65" w14:textId="77777777" w:rsidR="00380BE7" w:rsidRPr="00256982" w:rsidRDefault="00380BE7" w:rsidP="009574E7">
            <w:pPr>
              <w:pStyle w:val="TableText"/>
            </w:pPr>
            <w:r w:rsidRPr="00256982">
              <w:t>October 2012 – April 2014</w:t>
            </w:r>
          </w:p>
        </w:tc>
      </w:tr>
      <w:tr w:rsidR="00380BE7" w:rsidRPr="00256982" w14:paraId="709D7C87" w14:textId="77777777" w:rsidTr="002F1C42">
        <w:tc>
          <w:tcPr>
            <w:tcW w:w="1593" w:type="dxa"/>
            <w:tcBorders>
              <w:top w:val="single" w:sz="4" w:space="0" w:color="365F91"/>
              <w:bottom w:val="single" w:sz="4" w:space="0" w:color="365F91"/>
            </w:tcBorders>
          </w:tcPr>
          <w:p w14:paraId="0488A008" w14:textId="77777777" w:rsidR="00380BE7" w:rsidRPr="00256982" w:rsidRDefault="00380BE7" w:rsidP="009574E7">
            <w:pPr>
              <w:pStyle w:val="TableText"/>
            </w:pPr>
            <w:r w:rsidRPr="00256982">
              <w:t xml:space="preserve">Disaster Monitoring Constellation </w:t>
            </w:r>
          </w:p>
        </w:tc>
        <w:tc>
          <w:tcPr>
            <w:tcW w:w="1560" w:type="dxa"/>
            <w:tcBorders>
              <w:top w:val="single" w:sz="4" w:space="0" w:color="365F91"/>
              <w:bottom w:val="single" w:sz="4" w:space="0" w:color="365F91"/>
            </w:tcBorders>
          </w:tcPr>
          <w:p w14:paraId="087006C3" w14:textId="77777777" w:rsidR="00380BE7" w:rsidRPr="00256982" w:rsidRDefault="00380BE7" w:rsidP="009574E7">
            <w:pPr>
              <w:pStyle w:val="TableText"/>
              <w:jc w:val="center"/>
            </w:pPr>
            <w:r w:rsidRPr="00256982">
              <w:t>22</w:t>
            </w:r>
          </w:p>
        </w:tc>
        <w:tc>
          <w:tcPr>
            <w:tcW w:w="2551" w:type="dxa"/>
            <w:tcBorders>
              <w:top w:val="single" w:sz="4" w:space="0" w:color="365F91"/>
              <w:bottom w:val="single" w:sz="4" w:space="0" w:color="365F91"/>
            </w:tcBorders>
          </w:tcPr>
          <w:p w14:paraId="4CC00EA0" w14:textId="77777777" w:rsidR="00380BE7" w:rsidRPr="00256982" w:rsidRDefault="00380BE7" w:rsidP="009574E7">
            <w:pPr>
              <w:pStyle w:val="TableText"/>
            </w:pPr>
            <w:r w:rsidRPr="00256982">
              <w:t>North Island, South Island and Stewart Island</w:t>
            </w:r>
          </w:p>
        </w:tc>
        <w:tc>
          <w:tcPr>
            <w:tcW w:w="2801" w:type="dxa"/>
            <w:tcBorders>
              <w:top w:val="single" w:sz="4" w:space="0" w:color="365F91"/>
              <w:bottom w:val="single" w:sz="4" w:space="0" w:color="365F91"/>
            </w:tcBorders>
          </w:tcPr>
          <w:p w14:paraId="7EFDFB45" w14:textId="77777777" w:rsidR="00380BE7" w:rsidRPr="00256982" w:rsidRDefault="00380BE7" w:rsidP="009574E7">
            <w:pPr>
              <w:pStyle w:val="TableText"/>
            </w:pPr>
            <w:r w:rsidRPr="00256982">
              <w:t>November 2009 – March 2010</w:t>
            </w:r>
          </w:p>
        </w:tc>
      </w:tr>
      <w:tr w:rsidR="00380BE7" w:rsidRPr="00256982" w14:paraId="5BB11C9E" w14:textId="77777777" w:rsidTr="002F1C42">
        <w:tc>
          <w:tcPr>
            <w:tcW w:w="1593" w:type="dxa"/>
            <w:tcBorders>
              <w:top w:val="single" w:sz="4" w:space="0" w:color="365F91"/>
              <w:bottom w:val="single" w:sz="4" w:space="0" w:color="365F91"/>
            </w:tcBorders>
          </w:tcPr>
          <w:p w14:paraId="64BF27A0" w14:textId="77777777" w:rsidR="00380BE7" w:rsidRPr="00256982" w:rsidRDefault="00380BE7" w:rsidP="009574E7">
            <w:pPr>
              <w:pStyle w:val="TableText"/>
            </w:pPr>
            <w:r w:rsidRPr="00256982">
              <w:t xml:space="preserve">SPOT 5 </w:t>
            </w:r>
          </w:p>
        </w:tc>
        <w:tc>
          <w:tcPr>
            <w:tcW w:w="1560" w:type="dxa"/>
            <w:tcBorders>
              <w:top w:val="single" w:sz="4" w:space="0" w:color="365F91"/>
              <w:bottom w:val="single" w:sz="4" w:space="0" w:color="365F91"/>
            </w:tcBorders>
          </w:tcPr>
          <w:p w14:paraId="14600436" w14:textId="77777777" w:rsidR="00380BE7" w:rsidRPr="00256982" w:rsidRDefault="00380BE7" w:rsidP="009574E7">
            <w:pPr>
              <w:pStyle w:val="TableText"/>
              <w:jc w:val="center"/>
            </w:pPr>
            <w:r w:rsidRPr="00256982">
              <w:t>10</w:t>
            </w:r>
          </w:p>
        </w:tc>
        <w:tc>
          <w:tcPr>
            <w:tcW w:w="2551" w:type="dxa"/>
            <w:tcBorders>
              <w:top w:val="single" w:sz="4" w:space="0" w:color="365F91"/>
              <w:bottom w:val="single" w:sz="4" w:space="0" w:color="365F91"/>
            </w:tcBorders>
          </w:tcPr>
          <w:p w14:paraId="428E525A" w14:textId="77777777" w:rsidR="00380BE7" w:rsidRPr="00256982" w:rsidRDefault="00380BE7" w:rsidP="009574E7">
            <w:pPr>
              <w:pStyle w:val="TableText"/>
            </w:pPr>
            <w:r w:rsidRPr="00256982">
              <w:t>Four priority areas: Northland, Waikato, Marlborough and Southland</w:t>
            </w:r>
          </w:p>
        </w:tc>
        <w:tc>
          <w:tcPr>
            <w:tcW w:w="2801" w:type="dxa"/>
            <w:tcBorders>
              <w:top w:val="single" w:sz="4" w:space="0" w:color="365F91"/>
              <w:bottom w:val="single" w:sz="4" w:space="0" w:color="365F91"/>
            </w:tcBorders>
          </w:tcPr>
          <w:p w14:paraId="68FA0C27" w14:textId="77777777" w:rsidR="00380BE7" w:rsidRPr="00256982" w:rsidRDefault="00380BE7" w:rsidP="009574E7">
            <w:pPr>
              <w:pStyle w:val="TableText"/>
            </w:pPr>
            <w:r w:rsidRPr="00256982">
              <w:t>October 2010 – March 2011</w:t>
            </w:r>
          </w:p>
        </w:tc>
      </w:tr>
      <w:tr w:rsidR="00380BE7" w:rsidRPr="00256982" w14:paraId="02B9A994" w14:textId="77777777" w:rsidTr="002F1C42">
        <w:tc>
          <w:tcPr>
            <w:tcW w:w="1593" w:type="dxa"/>
            <w:tcBorders>
              <w:top w:val="single" w:sz="4" w:space="0" w:color="365F91"/>
              <w:bottom w:val="single" w:sz="4" w:space="0" w:color="365F91"/>
            </w:tcBorders>
          </w:tcPr>
          <w:p w14:paraId="34A3BB2E" w14:textId="77777777" w:rsidR="00380BE7" w:rsidRPr="00256982" w:rsidRDefault="00380BE7" w:rsidP="009574E7">
            <w:pPr>
              <w:pStyle w:val="TableText"/>
            </w:pPr>
            <w:r w:rsidRPr="00256982">
              <w:t>Landsat 8</w:t>
            </w:r>
          </w:p>
        </w:tc>
        <w:tc>
          <w:tcPr>
            <w:tcW w:w="1560" w:type="dxa"/>
            <w:tcBorders>
              <w:top w:val="single" w:sz="4" w:space="0" w:color="365F91"/>
              <w:bottom w:val="single" w:sz="4" w:space="0" w:color="365F91"/>
            </w:tcBorders>
          </w:tcPr>
          <w:p w14:paraId="0850AF21" w14:textId="77777777" w:rsidR="00380BE7" w:rsidRPr="00256982" w:rsidRDefault="00380BE7" w:rsidP="009574E7">
            <w:pPr>
              <w:pStyle w:val="TableText"/>
              <w:jc w:val="center"/>
            </w:pPr>
            <w:r w:rsidRPr="00256982">
              <w:t>30</w:t>
            </w:r>
          </w:p>
        </w:tc>
        <w:tc>
          <w:tcPr>
            <w:tcW w:w="2551" w:type="dxa"/>
            <w:tcBorders>
              <w:top w:val="single" w:sz="4" w:space="0" w:color="365F91"/>
              <w:bottom w:val="single" w:sz="4" w:space="0" w:color="365F91"/>
            </w:tcBorders>
          </w:tcPr>
          <w:p w14:paraId="1A5B292E" w14:textId="77777777" w:rsidR="00380BE7" w:rsidRPr="00256982" w:rsidRDefault="00380BE7" w:rsidP="009574E7">
            <w:pPr>
              <w:pStyle w:val="TableText"/>
            </w:pPr>
            <w:r w:rsidRPr="00256982">
              <w:t>North Island, South Island and Stewart Island</w:t>
            </w:r>
          </w:p>
        </w:tc>
        <w:tc>
          <w:tcPr>
            <w:tcW w:w="2801" w:type="dxa"/>
            <w:tcBorders>
              <w:top w:val="single" w:sz="4" w:space="0" w:color="365F91"/>
              <w:bottom w:val="single" w:sz="4" w:space="0" w:color="365F91"/>
            </w:tcBorders>
          </w:tcPr>
          <w:p w14:paraId="36479949" w14:textId="77777777" w:rsidR="00380BE7" w:rsidRPr="00256982" w:rsidRDefault="00380BE7" w:rsidP="009574E7">
            <w:pPr>
              <w:pStyle w:val="TableText"/>
            </w:pPr>
            <w:r w:rsidRPr="00256982">
              <w:t>November 2013 – February 2014</w:t>
            </w:r>
          </w:p>
          <w:p w14:paraId="73D05B9C" w14:textId="77777777" w:rsidR="00380BE7" w:rsidRPr="00256982" w:rsidRDefault="00380BE7" w:rsidP="009574E7">
            <w:pPr>
              <w:pStyle w:val="TableText"/>
            </w:pPr>
            <w:r w:rsidRPr="00256982">
              <w:t>October 2014 – March 2015</w:t>
            </w:r>
          </w:p>
          <w:p w14:paraId="1B576490" w14:textId="77777777" w:rsidR="00380BE7" w:rsidRPr="00256982" w:rsidRDefault="00380BE7" w:rsidP="009574E7">
            <w:pPr>
              <w:pStyle w:val="TableText"/>
            </w:pPr>
            <w:r w:rsidRPr="00256982">
              <w:t>October 2015 – March 2016</w:t>
            </w:r>
          </w:p>
        </w:tc>
      </w:tr>
      <w:tr w:rsidR="00380BE7" w:rsidRPr="00256982" w14:paraId="26D97A1B" w14:textId="77777777" w:rsidTr="002F1C42">
        <w:tc>
          <w:tcPr>
            <w:tcW w:w="1593" w:type="dxa"/>
            <w:tcBorders>
              <w:top w:val="single" w:sz="4" w:space="0" w:color="365F91"/>
              <w:bottom w:val="single" w:sz="4" w:space="0" w:color="365F91"/>
            </w:tcBorders>
          </w:tcPr>
          <w:p w14:paraId="27AB4E43" w14:textId="77777777" w:rsidR="00380BE7" w:rsidRPr="00256982" w:rsidRDefault="00380BE7" w:rsidP="009574E7">
            <w:pPr>
              <w:pStyle w:val="TableText"/>
            </w:pPr>
            <w:r w:rsidRPr="00256982">
              <w:t>Sentinel-2</w:t>
            </w:r>
          </w:p>
        </w:tc>
        <w:tc>
          <w:tcPr>
            <w:tcW w:w="1560" w:type="dxa"/>
            <w:tcBorders>
              <w:top w:val="single" w:sz="4" w:space="0" w:color="365F91"/>
              <w:bottom w:val="single" w:sz="4" w:space="0" w:color="365F91"/>
            </w:tcBorders>
          </w:tcPr>
          <w:p w14:paraId="71E61C5B" w14:textId="77777777" w:rsidR="00380BE7" w:rsidRPr="00256982" w:rsidRDefault="00380BE7" w:rsidP="009574E7">
            <w:pPr>
              <w:pStyle w:val="TableText"/>
              <w:jc w:val="center"/>
            </w:pPr>
            <w:r w:rsidRPr="00256982">
              <w:t>10</w:t>
            </w:r>
          </w:p>
        </w:tc>
        <w:tc>
          <w:tcPr>
            <w:tcW w:w="2551" w:type="dxa"/>
            <w:tcBorders>
              <w:top w:val="single" w:sz="4" w:space="0" w:color="365F91"/>
              <w:bottom w:val="single" w:sz="4" w:space="0" w:color="365F91"/>
            </w:tcBorders>
          </w:tcPr>
          <w:p w14:paraId="23DAD2DC" w14:textId="77777777" w:rsidR="00380BE7" w:rsidRPr="00256982" w:rsidRDefault="00380BE7" w:rsidP="009574E7">
            <w:pPr>
              <w:pStyle w:val="TableText"/>
            </w:pPr>
            <w:r w:rsidRPr="00256982">
              <w:t>North Island, South Island and Stewart Island</w:t>
            </w:r>
          </w:p>
        </w:tc>
        <w:tc>
          <w:tcPr>
            <w:tcW w:w="2801" w:type="dxa"/>
            <w:tcBorders>
              <w:top w:val="single" w:sz="4" w:space="0" w:color="365F91"/>
              <w:bottom w:val="single" w:sz="4" w:space="0" w:color="365F91"/>
            </w:tcBorders>
          </w:tcPr>
          <w:p w14:paraId="1CD808E2" w14:textId="77777777" w:rsidR="00380BE7" w:rsidRPr="00256982" w:rsidRDefault="00380BE7" w:rsidP="009574E7">
            <w:pPr>
              <w:pStyle w:val="TableText"/>
            </w:pPr>
            <w:r w:rsidRPr="00256982">
              <w:t>November 2015 – March 2016</w:t>
            </w:r>
          </w:p>
        </w:tc>
      </w:tr>
      <w:tr w:rsidR="00380BE7" w:rsidRPr="00256982" w14:paraId="3D857B85" w14:textId="77777777" w:rsidTr="002F1C42">
        <w:tc>
          <w:tcPr>
            <w:tcW w:w="1593" w:type="dxa"/>
            <w:tcBorders>
              <w:top w:val="single" w:sz="4" w:space="0" w:color="365F91"/>
              <w:bottom w:val="single" w:sz="4" w:space="0" w:color="365F91"/>
            </w:tcBorders>
          </w:tcPr>
          <w:p w14:paraId="002E1389" w14:textId="77777777" w:rsidR="00380BE7" w:rsidRPr="00256982" w:rsidRDefault="00380BE7" w:rsidP="009574E7">
            <w:pPr>
              <w:pStyle w:val="TableText"/>
            </w:pPr>
            <w:r w:rsidRPr="00256982">
              <w:t>Aerial photography</w:t>
            </w:r>
          </w:p>
        </w:tc>
        <w:tc>
          <w:tcPr>
            <w:tcW w:w="1560" w:type="dxa"/>
            <w:tcBorders>
              <w:top w:val="single" w:sz="4" w:space="0" w:color="365F91"/>
              <w:bottom w:val="single" w:sz="4" w:space="0" w:color="365F91"/>
            </w:tcBorders>
          </w:tcPr>
          <w:p w14:paraId="02B02B51" w14:textId="77777777" w:rsidR="00380BE7" w:rsidRPr="00256982" w:rsidRDefault="00380BE7" w:rsidP="009574E7">
            <w:pPr>
              <w:pStyle w:val="TableText"/>
              <w:jc w:val="center"/>
            </w:pPr>
            <w:r w:rsidRPr="00256982">
              <w:t>Variable</w:t>
            </w:r>
          </w:p>
        </w:tc>
        <w:tc>
          <w:tcPr>
            <w:tcW w:w="2551" w:type="dxa"/>
            <w:tcBorders>
              <w:top w:val="single" w:sz="4" w:space="0" w:color="365F91"/>
              <w:bottom w:val="single" w:sz="4" w:space="0" w:color="365F91"/>
            </w:tcBorders>
          </w:tcPr>
          <w:p w14:paraId="3B7A6CEA" w14:textId="77777777" w:rsidR="00380BE7" w:rsidRPr="00256982" w:rsidRDefault="00380BE7" w:rsidP="009574E7">
            <w:pPr>
              <w:pStyle w:val="TableText"/>
            </w:pPr>
            <w:r w:rsidRPr="00256982">
              <w:t>All of North Island and Stewart Island and most of South Island</w:t>
            </w:r>
          </w:p>
        </w:tc>
        <w:tc>
          <w:tcPr>
            <w:tcW w:w="2801" w:type="dxa"/>
            <w:tcBorders>
              <w:top w:val="single" w:sz="4" w:space="0" w:color="365F91"/>
              <w:bottom w:val="single" w:sz="4" w:space="0" w:color="365F91"/>
            </w:tcBorders>
          </w:tcPr>
          <w:p w14:paraId="62B10E7B" w14:textId="77777777" w:rsidR="00380BE7" w:rsidRPr="00256982" w:rsidRDefault="00380BE7" w:rsidP="009574E7">
            <w:pPr>
              <w:pStyle w:val="TableText"/>
            </w:pPr>
            <w:r w:rsidRPr="00256982">
              <w:t>Various</w:t>
            </w:r>
          </w:p>
        </w:tc>
      </w:tr>
    </w:tbl>
    <w:p w14:paraId="44E07A4D" w14:textId="77777777" w:rsidR="00380BE7" w:rsidRPr="00256982" w:rsidRDefault="00380BE7" w:rsidP="002F1C42">
      <w:pPr>
        <w:pStyle w:val="BodyText"/>
        <w:spacing w:before="240"/>
      </w:pPr>
      <w:r w:rsidRPr="00256982">
        <w:t xml:space="preserve">For this submission, high and low producing grassland has been mapped in the 2016 land use map, and remapped in the 2012 and 2008 land use maps, using a data fusion technique as outlined in section 6.2.4 and described fully in Manderson et al. (2018). </w:t>
      </w:r>
    </w:p>
    <w:p w14:paraId="72C0C5C5" w14:textId="77777777" w:rsidR="00380BE7" w:rsidRPr="00256982" w:rsidRDefault="00380BE7" w:rsidP="00380BE7">
      <w:pPr>
        <w:pStyle w:val="Heading5"/>
      </w:pPr>
      <w:r w:rsidRPr="00256982">
        <w:t>Mapping approach: forest areas</w:t>
      </w:r>
    </w:p>
    <w:p w14:paraId="687002B0" w14:textId="77777777" w:rsidR="00380BE7" w:rsidRPr="00256982" w:rsidRDefault="00380BE7" w:rsidP="00380BE7">
      <w:pPr>
        <w:pStyle w:val="BodyText"/>
      </w:pPr>
      <w:r w:rsidRPr="00256982">
        <w:t>Areas of potential change within the forest extent were considered to be potential destocking.</w:t>
      </w:r>
      <w:r w:rsidRPr="00256982">
        <w:rPr>
          <w:rStyle w:val="FootnoteReference"/>
        </w:rPr>
        <w:footnoteReference w:id="55"/>
      </w:r>
      <w:r w:rsidRPr="00256982">
        <w:t xml:space="preserve"> These areas were first screened, to ensure they represented actual change as opposed to false change due to cloud contamination or image misregistration.</w:t>
      </w:r>
    </w:p>
    <w:p w14:paraId="2C23F7F9" w14:textId="77777777" w:rsidR="00380BE7" w:rsidRPr="00256982" w:rsidRDefault="00380BE7" w:rsidP="00380BE7">
      <w:pPr>
        <w:pStyle w:val="BodyText"/>
      </w:pPr>
      <w:r w:rsidRPr="00256982">
        <w:t xml:space="preserve">The next step was to determine which areas of destocking represented land-use change (deforestation) as opposed to temporary forest loss (e.g., harvesting activity occurring as part of ongoing forestry land use). </w:t>
      </w:r>
    </w:p>
    <w:p w14:paraId="7AECE3B8" w14:textId="77777777" w:rsidR="00380BE7" w:rsidRPr="00256982" w:rsidRDefault="00380BE7" w:rsidP="00380BE7">
      <w:pPr>
        <w:pStyle w:val="BodyText"/>
      </w:pPr>
      <w:r w:rsidRPr="00256982">
        <w:t>Where possible, areas of destocking were first checked in available aerial photography to determine whether replanting had occurred. Cases of replanting were then removed from the destocking layer.</w:t>
      </w:r>
    </w:p>
    <w:p w14:paraId="6CE908FF" w14:textId="77777777" w:rsidR="00380BE7" w:rsidRPr="00256982" w:rsidRDefault="00380BE7" w:rsidP="00380BE7">
      <w:pPr>
        <w:pStyle w:val="BodyText"/>
      </w:pPr>
      <w:r w:rsidRPr="00256982">
        <w:t>Because it is not possible to determine whether deforestation has occurred using currently available satellite imagery alone, vertical or oblique aerial photography is obtained to provide a high-resolution view of land use activity occurring on the ground.</w:t>
      </w:r>
    </w:p>
    <w:p w14:paraId="430B01EB" w14:textId="77777777" w:rsidR="00380BE7" w:rsidRPr="00256982" w:rsidRDefault="00380BE7" w:rsidP="00380BE7">
      <w:pPr>
        <w:pStyle w:val="BodyText"/>
      </w:pPr>
      <w:r w:rsidRPr="00256982">
        <w:t xml:space="preserve">All remaining areas were field checked, with vertical or oblique aerial photography acquired over each site, to determine the current land use for each area. </w:t>
      </w:r>
    </w:p>
    <w:p w14:paraId="185561C6" w14:textId="77777777" w:rsidR="00380BE7" w:rsidRPr="00256982" w:rsidRDefault="00380BE7" w:rsidP="00380BE7">
      <w:pPr>
        <w:pStyle w:val="BodyText"/>
      </w:pPr>
      <w:r w:rsidRPr="00256982">
        <w:t>Based on the aerial photographic evidence and supporting evidence from the NZ ETS, each area was given one of the following destock classifications.</w:t>
      </w:r>
    </w:p>
    <w:p w14:paraId="1E94B4C2" w14:textId="77777777" w:rsidR="00380BE7" w:rsidRPr="00256982" w:rsidRDefault="00380BE7" w:rsidP="00380BE7">
      <w:pPr>
        <w:pStyle w:val="Bullet"/>
        <w:numPr>
          <w:ilvl w:val="0"/>
          <w:numId w:val="8"/>
        </w:numPr>
      </w:pPr>
      <w:r w:rsidRPr="00256982">
        <w:t>Harvested: the area shows evidence of ongoing forestry land use such as replanting, preparation for planting or a context consistent with replanting, such as being surrounded by plantation forestry.</w:t>
      </w:r>
    </w:p>
    <w:p w14:paraId="49E7496C" w14:textId="77777777" w:rsidR="00380BE7" w:rsidRPr="00256982" w:rsidRDefault="00380BE7" w:rsidP="00380BE7">
      <w:pPr>
        <w:pStyle w:val="Bullet"/>
        <w:numPr>
          <w:ilvl w:val="0"/>
          <w:numId w:val="8"/>
        </w:numPr>
      </w:pPr>
      <w:r w:rsidRPr="00256982">
        <w:lastRenderedPageBreak/>
        <w:t>Deforested: the area shows evidence of land-use change such as the removal of stumps, pasture establishment, fencing and stock.</w:t>
      </w:r>
    </w:p>
    <w:p w14:paraId="48F890FF" w14:textId="77777777" w:rsidR="00380BE7" w:rsidRPr="00256982" w:rsidRDefault="00380BE7" w:rsidP="00380BE7">
      <w:pPr>
        <w:pStyle w:val="Bullet"/>
        <w:numPr>
          <w:ilvl w:val="0"/>
          <w:numId w:val="8"/>
        </w:numPr>
      </w:pPr>
      <w:r w:rsidRPr="00256982">
        <w:t>Awaiting: the area has been destocked for less than four years</w:t>
      </w:r>
      <w:r w:rsidRPr="00256982">
        <w:rPr>
          <w:rStyle w:val="FootnoteReference"/>
        </w:rPr>
        <w:footnoteReference w:id="56"/>
      </w:r>
      <w:r w:rsidRPr="00256982">
        <w:t xml:space="preserve"> and/or there is no evidence of land-use change. That is, the area is lying fallow or, in the case of natural forest areas, the vegetation has been sprayed but not cleared.</w:t>
      </w:r>
      <w:r w:rsidRPr="00256982">
        <w:rPr>
          <w:rStyle w:val="FootnoteReference"/>
        </w:rPr>
        <w:footnoteReference w:id="57"/>
      </w:r>
    </w:p>
    <w:p w14:paraId="02DF5B89" w14:textId="77777777" w:rsidR="00380BE7" w:rsidRPr="00256982" w:rsidRDefault="00380BE7" w:rsidP="00380BE7">
      <w:pPr>
        <w:pStyle w:val="Bullet"/>
        <w:numPr>
          <w:ilvl w:val="0"/>
          <w:numId w:val="8"/>
        </w:numPr>
      </w:pPr>
      <w:r w:rsidRPr="00256982">
        <w:t>No change: the area has not been destocked and was incorrectly identified as change.</w:t>
      </w:r>
    </w:p>
    <w:p w14:paraId="4DC74287" w14:textId="77777777" w:rsidR="00380BE7" w:rsidRPr="00256982" w:rsidRDefault="00380BE7" w:rsidP="00380BE7">
      <w:pPr>
        <w:pStyle w:val="Bullet"/>
        <w:numPr>
          <w:ilvl w:val="0"/>
          <w:numId w:val="8"/>
        </w:numPr>
      </w:pPr>
      <w:r w:rsidRPr="00256982">
        <w:t>Not forest: the area was not forested at the beginning of the change period. These areas required correction to a non-forest land use in the land use map from the beginning of the change period.</w:t>
      </w:r>
    </w:p>
    <w:p w14:paraId="705011E1" w14:textId="77777777" w:rsidR="00380BE7" w:rsidRPr="00256982" w:rsidRDefault="00380BE7" w:rsidP="00380BE7">
      <w:pPr>
        <w:pStyle w:val="Bullet"/>
        <w:numPr>
          <w:ilvl w:val="0"/>
          <w:numId w:val="8"/>
        </w:numPr>
      </w:pPr>
      <w:r w:rsidRPr="00256982">
        <w:t>Non-anthropogenic change: destocking was not human induced – for example, erosion – and there has been no land-use change.</w:t>
      </w:r>
    </w:p>
    <w:p w14:paraId="4ACAD79A" w14:textId="77777777" w:rsidR="00380BE7" w:rsidRPr="00256982" w:rsidRDefault="00380BE7" w:rsidP="00380BE7">
      <w:pPr>
        <w:pStyle w:val="BodyText"/>
      </w:pPr>
      <w:r w:rsidRPr="00256982">
        <w:t xml:space="preserve">For each deforested area, further information was then recorded, such as the year in which the deforestation occurred. This was determined by examining the ancillary imagery data sets listed in table 6.2.4. Figure 6.2.5 shows the process of confirming deforestation and establishing the year in which it occurred. Further information on the mapping of forest change can be found in Indufor Asia Pacific (2018). </w:t>
      </w:r>
    </w:p>
    <w:p w14:paraId="62BE1A51" w14:textId="77777777" w:rsidR="00380BE7" w:rsidRPr="00256982" w:rsidRDefault="00380BE7" w:rsidP="00380BE7">
      <w:pPr>
        <w:pStyle w:val="BodyText"/>
      </w:pPr>
      <w:r w:rsidRPr="00256982">
        <w:t>The final step in the 2012 and 2016 land use mapping process was to add the confirmed areas of deforestation into the land use map. Figure 6.2.6 shows the land use map of New Zealand as at 31 December 2016.</w:t>
      </w:r>
    </w:p>
    <w:p w14:paraId="32047A6E" w14:textId="77777777" w:rsidR="00380BE7" w:rsidRPr="00256982" w:rsidRDefault="00380BE7" w:rsidP="00380BE7">
      <w:pPr>
        <w:pStyle w:val="Figure"/>
      </w:pPr>
      <w:bookmarkStart w:id="1131" w:name="_Toc378853337"/>
      <w:bookmarkStart w:id="1132" w:name="_Toc405448087"/>
      <w:bookmarkStart w:id="1133" w:name="_Toc414531619"/>
      <w:bookmarkStart w:id="1134" w:name="_Toc474914642"/>
      <w:bookmarkStart w:id="1135" w:name="_Toc481752024"/>
      <w:bookmarkStart w:id="1136" w:name="_Toc522010702"/>
      <w:bookmarkStart w:id="1137" w:name="_Toc5269705"/>
      <w:r w:rsidRPr="00256982">
        <w:lastRenderedPageBreak/>
        <w:t>Figure 6.2.5</w:t>
      </w:r>
      <w:r w:rsidRPr="00256982">
        <w:tab/>
        <w:t>New Zealand’s identification of deforestation</w:t>
      </w:r>
      <w:bookmarkEnd w:id="1131"/>
      <w:bookmarkEnd w:id="1132"/>
      <w:bookmarkEnd w:id="1133"/>
      <w:bookmarkEnd w:id="1134"/>
      <w:bookmarkEnd w:id="1135"/>
      <w:bookmarkEnd w:id="1136"/>
      <w:bookmarkEnd w:id="1137"/>
    </w:p>
    <w:p w14:paraId="70D9A21A" w14:textId="08DCD525" w:rsidR="00380BE7" w:rsidRPr="00256982" w:rsidRDefault="00590491" w:rsidP="00380BE7">
      <w:pPr>
        <w:jc w:val="center"/>
      </w:pPr>
      <w:r>
        <w:rPr>
          <w:lang w:eastAsia="en-NZ"/>
        </w:rPr>
        <w:pict w14:anchorId="0E8B1622">
          <v:shape id="Picture 108" o:spid="_x0000_i1130" type="#_x0000_t75" style="width:396.75pt;height:578.25pt;visibility:visible;mso-wrap-style:square">
            <v:imagedata r:id="rId192" o:title=""/>
          </v:shape>
        </w:pict>
      </w:r>
    </w:p>
    <w:p w14:paraId="682CBEF9" w14:textId="77777777" w:rsidR="00380BE7" w:rsidRPr="00256982" w:rsidRDefault="00380BE7" w:rsidP="00FF4018">
      <w:pPr>
        <w:pStyle w:val="Noteundertable"/>
        <w:spacing w:before="240" w:after="0"/>
      </w:pPr>
      <w:r w:rsidRPr="00256982">
        <w:rPr>
          <w:b/>
        </w:rPr>
        <w:t>Note:</w:t>
      </w:r>
      <w:r w:rsidRPr="00256982">
        <w:t xml:space="preserve"> </w:t>
      </w:r>
      <w:r w:rsidRPr="00256982">
        <w:tab/>
        <w:t>DMC = Disaster Monitoring Constellation.</w:t>
      </w:r>
    </w:p>
    <w:p w14:paraId="17A7364B" w14:textId="77777777" w:rsidR="00380BE7" w:rsidRPr="00256982" w:rsidRDefault="00380BE7" w:rsidP="00380BE7">
      <w:pPr>
        <w:pStyle w:val="Figure"/>
        <w:spacing w:after="0"/>
      </w:pPr>
      <w:bookmarkStart w:id="1138" w:name="_Toc378853338"/>
      <w:bookmarkStart w:id="1139" w:name="_Toc405448088"/>
      <w:bookmarkStart w:id="1140" w:name="_Toc414531620"/>
      <w:bookmarkStart w:id="1141" w:name="_Toc474914643"/>
      <w:bookmarkStart w:id="1142" w:name="_Toc481752025"/>
      <w:bookmarkStart w:id="1143" w:name="_Toc522010703"/>
      <w:bookmarkStart w:id="1144" w:name="_Toc5269706"/>
      <w:r w:rsidRPr="00256982">
        <w:lastRenderedPageBreak/>
        <w:t>Figure 6.2.6</w:t>
      </w:r>
      <w:r w:rsidRPr="00256982">
        <w:tab/>
        <w:t>Land use map of New Zealand as at 31 December 2016</w:t>
      </w:r>
      <w:bookmarkEnd w:id="1138"/>
      <w:bookmarkEnd w:id="1139"/>
      <w:bookmarkEnd w:id="1140"/>
      <w:bookmarkEnd w:id="1141"/>
      <w:bookmarkEnd w:id="1142"/>
      <w:bookmarkEnd w:id="1143"/>
      <w:bookmarkEnd w:id="1144"/>
    </w:p>
    <w:p w14:paraId="04DA9AF0" w14:textId="02CF8A70" w:rsidR="00380BE7" w:rsidRPr="00256982" w:rsidRDefault="00590491" w:rsidP="00380BE7">
      <w:r>
        <w:rPr>
          <w:b/>
          <w:lang w:eastAsia="en-NZ"/>
        </w:rPr>
        <w:pict w14:anchorId="033E29A0">
          <v:shape id="Picture 109" o:spid="_x0000_i1131" type="#_x0000_t75" style="width:385.5pt;height:545.25pt;visibility:visible;mso-wrap-style:square">
            <v:imagedata r:id="rId193" o:title=""/>
          </v:shape>
        </w:pict>
      </w:r>
    </w:p>
    <w:p w14:paraId="5176ABCC" w14:textId="77777777" w:rsidR="00380BE7" w:rsidRPr="00256982" w:rsidRDefault="00380BE7" w:rsidP="00380BE7">
      <w:pPr>
        <w:pStyle w:val="Noteundertable"/>
        <w:spacing w:before="240"/>
      </w:pPr>
      <w:r w:rsidRPr="00256982">
        <w:rPr>
          <w:b/>
        </w:rPr>
        <w:t>Note:</w:t>
      </w:r>
      <w:r w:rsidRPr="00256982">
        <w:tab/>
        <w:t>The inset map is of the Chatham Islands, which lie approximately 660 kilometres south-east of the south-eastern corner of the North Island.</w:t>
      </w:r>
    </w:p>
    <w:p w14:paraId="50A99D4E" w14:textId="77777777" w:rsidR="00380BE7" w:rsidRPr="00256982" w:rsidRDefault="00380BE7" w:rsidP="00380BE7">
      <w:pPr>
        <w:pStyle w:val="Heading3"/>
      </w:pPr>
      <w:bookmarkStart w:id="1145" w:name="_Toc255466303"/>
      <w:bookmarkStart w:id="1146" w:name="_Toc261513110"/>
      <w:bookmarkStart w:id="1147" w:name="_Toc261513723"/>
      <w:bookmarkStart w:id="1148" w:name="_Toc280630232"/>
      <w:bookmarkStart w:id="1149" w:name="_Toc361645364"/>
      <w:r w:rsidRPr="00256982">
        <w:t>6.2.3</w:t>
      </w:r>
      <w:r w:rsidRPr="00256982">
        <w:tab/>
        <w:t>Annual land-use change</w:t>
      </w:r>
      <w:bookmarkEnd w:id="1145"/>
      <w:bookmarkEnd w:id="1146"/>
      <w:bookmarkEnd w:id="1147"/>
      <w:bookmarkEnd w:id="1148"/>
      <w:bookmarkEnd w:id="1149"/>
    </w:p>
    <w:p w14:paraId="16049E44" w14:textId="77777777" w:rsidR="00380BE7" w:rsidRPr="00256982" w:rsidRDefault="00380BE7" w:rsidP="00001036">
      <w:pPr>
        <w:pStyle w:val="BodyText"/>
      </w:pPr>
      <w:bookmarkStart w:id="1150" w:name="_Toc280630233"/>
      <w:bookmarkStart w:id="1151" w:name="_Toc255466304"/>
      <w:bookmarkStart w:id="1152" w:name="_Toc261513111"/>
      <w:bookmarkStart w:id="1153" w:name="_Toc261513724"/>
      <w:r w:rsidRPr="00256982">
        <w:t>Annual land-use change areas are interpolated and extrapolated from the four national land use maps using a number of supporting data sets to inform the trends occurring between the wall-to-wall mapping dates of 1990, 2008, 2012 and 2016.</w:t>
      </w:r>
    </w:p>
    <w:p w14:paraId="4A3863E1" w14:textId="77777777" w:rsidR="00380BE7" w:rsidRPr="00256982" w:rsidRDefault="00380BE7" w:rsidP="00380BE7">
      <w:pPr>
        <w:pStyle w:val="Heading4"/>
      </w:pPr>
      <w:r w:rsidRPr="00256982">
        <w:lastRenderedPageBreak/>
        <w:t>Land-use change prior to 1990</w:t>
      </w:r>
    </w:p>
    <w:p w14:paraId="705C8C05" w14:textId="77777777" w:rsidR="00380BE7" w:rsidRPr="00256982" w:rsidRDefault="00380BE7" w:rsidP="00380BE7">
      <w:pPr>
        <w:pStyle w:val="BodyText"/>
        <w:rPr>
          <w:spacing w:val="-2"/>
        </w:rPr>
      </w:pPr>
      <w:r w:rsidRPr="00256982">
        <w:rPr>
          <w:spacing w:val="-2"/>
        </w:rPr>
        <w:t>Data from a variety of sources were used to determine land areas prior to 1990. Data sources suitable for determining land use at a national level typically comprise either maps or scaled images depicting land use or proxies for land use (e.g., a ‘map of forest areas’), or tabulated land use area data collected for an administrative area (e.g., county, district or region) or production sector (e.g., the area of orchard crops).</w:t>
      </w:r>
    </w:p>
    <w:p w14:paraId="2974A17D" w14:textId="77777777" w:rsidR="00380BE7" w:rsidRPr="00256982" w:rsidRDefault="00380BE7" w:rsidP="00380BE7">
      <w:pPr>
        <w:pStyle w:val="BodyText"/>
      </w:pPr>
      <w:r w:rsidRPr="00256982">
        <w:t>This methodology was peer reviewed by Hunter and McNeill (unpublished), who provided independent subject-matter expertise. The land-use change matrix from for the period 1 January 1962 to 31 December 1989 is presented in table 6.2.5.</w:t>
      </w:r>
    </w:p>
    <w:p w14:paraId="7A64140B" w14:textId="77777777" w:rsidR="00380BE7" w:rsidRPr="00256982" w:rsidRDefault="00380BE7" w:rsidP="00380BE7">
      <w:pPr>
        <w:pStyle w:val="Heading4"/>
      </w:pPr>
      <w:bookmarkStart w:id="1154" w:name="_Toc255466305"/>
      <w:bookmarkStart w:id="1155" w:name="_Toc261513112"/>
      <w:bookmarkStart w:id="1156" w:name="_Toc261513725"/>
      <w:bookmarkStart w:id="1157" w:name="_Toc280630234"/>
      <w:bookmarkEnd w:id="1150"/>
      <w:bookmarkEnd w:id="1151"/>
      <w:bookmarkEnd w:id="1152"/>
      <w:bookmarkEnd w:id="1153"/>
      <w:r w:rsidRPr="00256982">
        <w:t xml:space="preserve">Annual land-use changes from 1990 to </w:t>
      </w:r>
      <w:bookmarkEnd w:id="1154"/>
      <w:bookmarkEnd w:id="1155"/>
      <w:bookmarkEnd w:id="1156"/>
      <w:r w:rsidRPr="00256982">
        <w:t>2007</w:t>
      </w:r>
      <w:bookmarkEnd w:id="1157"/>
    </w:p>
    <w:p w14:paraId="6C61EFD1" w14:textId="77777777" w:rsidR="00380BE7" w:rsidRPr="00256982" w:rsidRDefault="00380BE7" w:rsidP="00380BE7">
      <w:pPr>
        <w:pStyle w:val="BodyText"/>
        <w:spacing w:after="100"/>
      </w:pPr>
      <w:r w:rsidRPr="00256982">
        <w:t>Annual land-use changes from 1990 to 2007 are generally interpolated between the 1990 and 2008 land use maps. Most of the land-use changes are interpolated linearly between mapping dates; however, some of the land-use changes make use of surrogate data sets to better reflect land-use change trends within this period. This approach follows methodology outlined in section 3.3.1 of the 2006 IPCC Guidelines</w:t>
      </w:r>
      <w:r w:rsidRPr="00256982" w:rsidDel="00663F9D">
        <w:t xml:space="preserve"> </w:t>
      </w:r>
      <w:r w:rsidRPr="00256982">
        <w:t>(IPCC, 2006a).</w:t>
      </w:r>
    </w:p>
    <w:p w14:paraId="043A0EA7" w14:textId="77777777" w:rsidR="00380BE7" w:rsidRPr="00256982" w:rsidRDefault="00380BE7" w:rsidP="00380BE7">
      <w:pPr>
        <w:pStyle w:val="BodyText"/>
        <w:spacing w:after="100"/>
      </w:pPr>
      <w:r w:rsidRPr="00256982">
        <w:t>The surrogate data sets used between 1 January 1990 and 31 December 2007 are as follows.</w:t>
      </w:r>
    </w:p>
    <w:p w14:paraId="4250DB88" w14:textId="77777777" w:rsidR="00380BE7" w:rsidRPr="00256982" w:rsidRDefault="00380BE7" w:rsidP="00FF4018">
      <w:pPr>
        <w:pStyle w:val="Bullet"/>
      </w:pPr>
      <w:r w:rsidRPr="00256982">
        <w:t>Deforestation trends between 1990 and 1 January 2008 for pre-1990 planted forest and post-1989 forest are based on the 2008 Deforestation Intentions Survey (Manley, 2009) and unpublished work by Scion (the New Zealand Forest Research Institute). The work by Scion is referred to in Wakelin (unpublished(c)).</w:t>
      </w:r>
    </w:p>
    <w:p w14:paraId="3302D975" w14:textId="77777777" w:rsidR="00380BE7" w:rsidRPr="00256982" w:rsidRDefault="00380BE7" w:rsidP="00380BE7">
      <w:pPr>
        <w:pStyle w:val="Bullet"/>
        <w:numPr>
          <w:ilvl w:val="0"/>
          <w:numId w:val="8"/>
        </w:numPr>
      </w:pPr>
      <w:r w:rsidRPr="00256982">
        <w:t>Afforestation trends for post-1989 planted forest are based on estimates from the National Exotic Forest Description (NEFD) (Ministry for Primary Industries, 2017).</w:t>
      </w:r>
    </w:p>
    <w:p w14:paraId="0F5D2A4F" w14:textId="77777777" w:rsidR="00380BE7" w:rsidRPr="00256982" w:rsidRDefault="00380BE7" w:rsidP="00380BE7">
      <w:pPr>
        <w:pStyle w:val="Bullet"/>
        <w:numPr>
          <w:ilvl w:val="0"/>
          <w:numId w:val="8"/>
        </w:numPr>
      </w:pPr>
      <w:r w:rsidRPr="00256982">
        <w:t>Afforestation trends for post-1989 natural forest are based on plot analysis as described in Beets et al. (unpublished).</w:t>
      </w:r>
    </w:p>
    <w:p w14:paraId="042CD326" w14:textId="77777777" w:rsidR="00380BE7" w:rsidRPr="00256982" w:rsidRDefault="00380BE7" w:rsidP="00380BE7">
      <w:pPr>
        <w:pStyle w:val="Heading4"/>
      </w:pPr>
      <w:r w:rsidRPr="00256982">
        <w:t>Annual land-use changes from 2008 to 2016</w:t>
      </w:r>
    </w:p>
    <w:p w14:paraId="46ACFFFE" w14:textId="77777777" w:rsidR="00380BE7" w:rsidRPr="00256982" w:rsidRDefault="00380BE7" w:rsidP="00380BE7">
      <w:pPr>
        <w:pStyle w:val="BodyText"/>
        <w:spacing w:after="100"/>
      </w:pPr>
      <w:r w:rsidRPr="00256982">
        <w:t>Annual land-use changes from 2008 to 2016 are generally interpolated between the 2008, 2012 and 2016 land use maps. The only exception is annual deforestation occurring between 2008 and 2016, which is separately mapped (see section 6.2.2 for a description of annual deforestation mapping).</w:t>
      </w:r>
    </w:p>
    <w:p w14:paraId="75E58D09" w14:textId="77777777" w:rsidR="00380BE7" w:rsidRPr="00256982" w:rsidRDefault="00380BE7" w:rsidP="00380BE7">
      <w:pPr>
        <w:pStyle w:val="BodyText"/>
        <w:spacing w:after="100"/>
      </w:pPr>
      <w:r w:rsidRPr="00256982">
        <w:t xml:space="preserve">Two separate interpolations are used to calculate all other annual land-use changes within this period. The first covers the period between 2008 and 2012 and the second covers the period between 2013 and 2016. </w:t>
      </w:r>
    </w:p>
    <w:p w14:paraId="02608357" w14:textId="77777777" w:rsidR="00380BE7" w:rsidRPr="00256982" w:rsidRDefault="00380BE7" w:rsidP="00380BE7">
      <w:pPr>
        <w:pStyle w:val="BodyText"/>
        <w:spacing w:after="100"/>
      </w:pPr>
      <w:r w:rsidRPr="00256982">
        <w:t>Most of the land-use changes are interpolated linearly between mapping dates, however, some of the land-use changes make use of surrogate data sets, to better reflect land-use change trends within these periods. This approach follows methodology outlined in section 3.3.1 of the 2006 IPCC Guidelines</w:t>
      </w:r>
      <w:r w:rsidRPr="00256982" w:rsidDel="00663F9D">
        <w:t xml:space="preserve"> </w:t>
      </w:r>
      <w:r w:rsidRPr="00256982">
        <w:t>(IPCC, 2006a).</w:t>
      </w:r>
    </w:p>
    <w:p w14:paraId="4B9B57D4" w14:textId="77777777" w:rsidR="00380BE7" w:rsidRPr="00256982" w:rsidRDefault="00380BE7" w:rsidP="00FF4018">
      <w:pPr>
        <w:pStyle w:val="BodyText"/>
        <w:keepNext/>
        <w:spacing w:after="100"/>
      </w:pPr>
      <w:r w:rsidRPr="00256982">
        <w:t>The surrogate data sets used between 1 January 2008 and 31 December 2012 are as follows.</w:t>
      </w:r>
    </w:p>
    <w:p w14:paraId="218534D7" w14:textId="77777777" w:rsidR="00380BE7" w:rsidRPr="00256982" w:rsidRDefault="00380BE7" w:rsidP="00FF4018">
      <w:pPr>
        <w:pStyle w:val="Bullet"/>
        <w:numPr>
          <w:ilvl w:val="0"/>
          <w:numId w:val="8"/>
        </w:numPr>
        <w:spacing w:after="100"/>
      </w:pPr>
      <w:r w:rsidRPr="00256982">
        <w:t>Afforestation trends for post-1989 planted forest are based on trends from the NEFD (Ministry for Primary Industries, 2017).</w:t>
      </w:r>
    </w:p>
    <w:p w14:paraId="0E48D7E7" w14:textId="77777777" w:rsidR="00380BE7" w:rsidRPr="00256982" w:rsidRDefault="00380BE7" w:rsidP="00FF4018">
      <w:pPr>
        <w:pStyle w:val="Bullet"/>
      </w:pPr>
      <w:r w:rsidRPr="00256982">
        <w:t>Afforestation trends for post-1989 natural forest are based on plot analysis as described in Beets et al. (unpublished).</w:t>
      </w:r>
    </w:p>
    <w:p w14:paraId="67F373B9" w14:textId="77777777" w:rsidR="00380BE7" w:rsidRPr="00256982" w:rsidRDefault="00380BE7" w:rsidP="00001036">
      <w:pPr>
        <w:pStyle w:val="BodyText"/>
      </w:pPr>
      <w:r w:rsidRPr="00256982">
        <w:t>The surrogate data set used between 1 January 2013 and 31 December 2016 is as follows.</w:t>
      </w:r>
    </w:p>
    <w:p w14:paraId="01AB7806" w14:textId="77777777" w:rsidR="00380BE7" w:rsidRPr="00256982" w:rsidRDefault="00380BE7" w:rsidP="00FF4018">
      <w:pPr>
        <w:pStyle w:val="Bullet"/>
        <w:numPr>
          <w:ilvl w:val="0"/>
          <w:numId w:val="8"/>
        </w:numPr>
        <w:spacing w:after="100"/>
      </w:pPr>
      <w:r w:rsidRPr="00256982">
        <w:lastRenderedPageBreak/>
        <w:t>Total afforestation for 2013 to 2016 is estimated from the NEFD (Ministry for Primary Industries, 2017). In this case, the NEFD data set is used to provide the total afforestation, not just the trend, up to 2016, in preference to the total 2016 mapped afforestation. This is because not all new planting will have been detected in satellite imagery. New planting can take up to four years to be visible in satellite imagery, therefore, afforestation mapping up to 2016 will not be finalised until 2020. Further details on the use of the NEFD data for estimating total afforestation can be found in section 6.4.1.</w:t>
      </w:r>
    </w:p>
    <w:p w14:paraId="2A281C4D" w14:textId="77777777" w:rsidR="00380BE7" w:rsidRPr="00256982" w:rsidRDefault="00380BE7" w:rsidP="00380BE7">
      <w:pPr>
        <w:pStyle w:val="Heading4"/>
      </w:pPr>
      <w:r w:rsidRPr="00256982">
        <w:t>Estimating land-use change in 2017</w:t>
      </w:r>
    </w:p>
    <w:p w14:paraId="5FD29090" w14:textId="6878A82D" w:rsidR="00380BE7" w:rsidRPr="00256982" w:rsidRDefault="00380BE7" w:rsidP="00FF4018">
      <w:pPr>
        <w:pStyle w:val="BodyText"/>
        <w:spacing w:before="100" w:after="100"/>
      </w:pPr>
      <w:r w:rsidRPr="00256982">
        <w:t>Activity data for the most recent year of this inventory has been estimated from surveys for</w:t>
      </w:r>
      <w:r w:rsidR="00FF4018" w:rsidRPr="00256982">
        <w:t> </w:t>
      </w:r>
      <w:r w:rsidRPr="00256982">
        <w:t>deforestation and afforestation and extrapolated from the most recent mapped period of 2012–16 for all other land-use changes.</w:t>
      </w:r>
    </w:p>
    <w:p w14:paraId="2C00C5F2" w14:textId="77777777" w:rsidR="00380BE7" w:rsidRPr="00256982" w:rsidRDefault="00380BE7" w:rsidP="00380BE7">
      <w:pPr>
        <w:pStyle w:val="Heading5"/>
        <w:rPr>
          <w:lang w:eastAsia="en-NZ"/>
        </w:rPr>
      </w:pPr>
      <w:r w:rsidRPr="00256982">
        <w:rPr>
          <w:lang w:eastAsia="en-NZ"/>
        </w:rPr>
        <w:t>Deforestation</w:t>
      </w:r>
    </w:p>
    <w:p w14:paraId="34B6A264" w14:textId="77777777" w:rsidR="00380BE7" w:rsidRPr="00256982" w:rsidRDefault="00380BE7" w:rsidP="00FF4018">
      <w:pPr>
        <w:pStyle w:val="BodyText"/>
        <w:spacing w:before="100" w:after="100"/>
        <w:rPr>
          <w:lang w:eastAsia="en-NZ"/>
        </w:rPr>
      </w:pPr>
      <w:r w:rsidRPr="00256982">
        <w:rPr>
          <w:lang w:eastAsia="en-NZ"/>
        </w:rPr>
        <w:t>Deforestation of pre-1990 planted forest and post-1989 forest occurring during 2017 has been estimated based on the Deforestation Intentions Surveys for 2017 (Manley, 2018). This report does not distinguish between pre-1990 and post-1989 forest deforestation, therefore, the proportion of deforestation from each forest type has been estimated based on the relative proportions of deforestation of these forest types in the most recently mapped five-year period (2012–16). This ratio provides the most up-to-date estimate of the ratio of deforestation of these forest types.</w:t>
      </w:r>
    </w:p>
    <w:p w14:paraId="5D80A91F" w14:textId="77777777" w:rsidR="00380BE7" w:rsidRPr="00256982" w:rsidRDefault="00380BE7" w:rsidP="00FF4018">
      <w:pPr>
        <w:pStyle w:val="BodyText"/>
        <w:spacing w:before="100" w:after="100"/>
        <w:rPr>
          <w:lang w:eastAsia="en-NZ"/>
        </w:rPr>
      </w:pPr>
      <w:r w:rsidRPr="00256982">
        <w:rPr>
          <w:lang w:eastAsia="en-NZ"/>
        </w:rPr>
        <w:t xml:space="preserve">The destination land use for areas of estimated deforestation has been pro-rated between the low producing and high producing grassland classes in the same proportion as the mapped destination land uses of deforestation occurring in the period 2012–16. </w:t>
      </w:r>
    </w:p>
    <w:p w14:paraId="2BE4FF73" w14:textId="77777777" w:rsidR="00380BE7" w:rsidRPr="00256982" w:rsidRDefault="00380BE7" w:rsidP="00FF4018">
      <w:pPr>
        <w:pStyle w:val="BodyText"/>
        <w:spacing w:before="100" w:after="100"/>
        <w:rPr>
          <w:lang w:eastAsia="en-NZ"/>
        </w:rPr>
      </w:pPr>
      <w:r w:rsidRPr="00256982">
        <w:rPr>
          <w:lang w:eastAsia="en-NZ"/>
        </w:rPr>
        <w:t>Deforestation of pre-1990 natural forest for 2017 has been estimated as occurring at the same annual rate as the most recently mapped five-year period (2012–16). The destination land use has been estimated in the same manner as for pre-1990 planted forest and post-1989 forest deforestation (described above).</w:t>
      </w:r>
    </w:p>
    <w:p w14:paraId="0B28BBEB" w14:textId="77777777" w:rsidR="00380BE7" w:rsidRPr="00256982" w:rsidRDefault="00380BE7" w:rsidP="00380BE7">
      <w:pPr>
        <w:pStyle w:val="Heading5"/>
        <w:rPr>
          <w:lang w:eastAsia="en-NZ"/>
        </w:rPr>
      </w:pPr>
      <w:r w:rsidRPr="00256982">
        <w:rPr>
          <w:lang w:eastAsia="en-NZ"/>
        </w:rPr>
        <w:t>Afforestation</w:t>
      </w:r>
    </w:p>
    <w:p w14:paraId="34BDD162" w14:textId="77777777" w:rsidR="00380BE7" w:rsidRPr="00256982" w:rsidRDefault="00380BE7" w:rsidP="00FF4018">
      <w:pPr>
        <w:pStyle w:val="BodyText"/>
        <w:spacing w:before="100" w:after="100"/>
      </w:pPr>
      <w:r w:rsidRPr="00256982">
        <w:rPr>
          <w:lang w:eastAsia="en-NZ"/>
        </w:rPr>
        <w:t>The annual area of afforestation o</w:t>
      </w:r>
      <w:r w:rsidRPr="00256982">
        <w:t>f post-1989 planted forest for 2017 is based on estimates from the NEFD (Ministry for Primary Industries, 2017).</w:t>
      </w:r>
    </w:p>
    <w:p w14:paraId="71165A1D" w14:textId="77777777" w:rsidR="00380BE7" w:rsidRPr="00256982" w:rsidRDefault="00380BE7" w:rsidP="00FF4018">
      <w:pPr>
        <w:pStyle w:val="BodyText"/>
        <w:spacing w:before="100" w:after="100"/>
      </w:pPr>
      <w:r w:rsidRPr="00256982">
        <w:t>The land use prior to afforestation (original land use) has been pro-rated across all non-forest lan</w:t>
      </w:r>
      <w:r w:rsidRPr="00256982">
        <w:rPr>
          <w:lang w:eastAsia="en-NZ"/>
        </w:rPr>
        <w:t>d uses in the same proportions as the original land uses of all post-1989 afforestation that has been mapped between 2008 and 2016.</w:t>
      </w:r>
    </w:p>
    <w:p w14:paraId="018C0F9D" w14:textId="77777777" w:rsidR="00380BE7" w:rsidRPr="00256982" w:rsidRDefault="00380BE7" w:rsidP="00FF4018">
      <w:pPr>
        <w:pStyle w:val="Heading5"/>
        <w:spacing w:before="220"/>
        <w:rPr>
          <w:lang w:eastAsia="en-NZ"/>
        </w:rPr>
      </w:pPr>
      <w:r w:rsidRPr="00256982">
        <w:rPr>
          <w:lang w:eastAsia="en-NZ"/>
        </w:rPr>
        <w:t>Other land-use changes</w:t>
      </w:r>
    </w:p>
    <w:p w14:paraId="753F9DEC" w14:textId="77777777" w:rsidR="00380BE7" w:rsidRPr="00256982" w:rsidRDefault="00380BE7" w:rsidP="00FF4018">
      <w:pPr>
        <w:pStyle w:val="BodyText"/>
        <w:spacing w:before="100" w:after="100"/>
        <w:rPr>
          <w:lang w:eastAsia="en-NZ"/>
        </w:rPr>
      </w:pPr>
      <w:r w:rsidRPr="00256982">
        <w:rPr>
          <w:lang w:eastAsia="en-NZ"/>
        </w:rPr>
        <w:t xml:space="preserve">All other land-use changes for 2017 have been linearly extrapolated from the changes mapped between 2012 and 2016. </w:t>
      </w:r>
    </w:p>
    <w:p w14:paraId="249A672A" w14:textId="77777777" w:rsidR="00380BE7" w:rsidRPr="00256982" w:rsidRDefault="00380BE7" w:rsidP="00380BE7">
      <w:pPr>
        <w:pStyle w:val="BodyText"/>
      </w:pPr>
      <w:r w:rsidRPr="00256982">
        <w:t>Table 6.2.6 shows a land-use change matrix for the period 31 December 2016 to 31 December 2017.</w:t>
      </w:r>
    </w:p>
    <w:p w14:paraId="52748202" w14:textId="77777777" w:rsidR="00380BE7" w:rsidRPr="00256982" w:rsidRDefault="00380BE7" w:rsidP="00380BE7">
      <w:pPr>
        <w:pStyle w:val="Heading4"/>
      </w:pPr>
      <w:r w:rsidRPr="00256982">
        <w:t>Prominent land-use changes from 1990 to 2017</w:t>
      </w:r>
    </w:p>
    <w:p w14:paraId="5AAC7911" w14:textId="77777777" w:rsidR="00380BE7" w:rsidRPr="00256982" w:rsidRDefault="00380BE7" w:rsidP="00380BE7">
      <w:pPr>
        <w:pStyle w:val="BodyText"/>
        <w:spacing w:after="100"/>
      </w:pPr>
      <w:r w:rsidRPr="00256982">
        <w:t>Prominent land-use changes between 1 January 1990 and 31 December 2017 include:</w:t>
      </w:r>
    </w:p>
    <w:p w14:paraId="25AD620F" w14:textId="77777777" w:rsidR="00380BE7" w:rsidRPr="00256982" w:rsidRDefault="00380BE7" w:rsidP="00380BE7">
      <w:pPr>
        <w:pStyle w:val="Bullet"/>
        <w:numPr>
          <w:ilvl w:val="0"/>
          <w:numId w:val="8"/>
        </w:numPr>
      </w:pPr>
      <w:r w:rsidRPr="00256982">
        <w:t>forest establishment of 712,786 hectares (classified as post-1989 forest) that has occurred mostly on land that was previously grassland, primarily low</w:t>
      </w:r>
      <w:r w:rsidRPr="00256982">
        <w:rPr>
          <w:i/>
        </w:rPr>
        <w:t xml:space="preserve"> </w:t>
      </w:r>
      <w:r w:rsidRPr="00256982">
        <w:t>producing grassland. Of this area, 30,347 hectares has since been deforested</w:t>
      </w:r>
    </w:p>
    <w:p w14:paraId="0797ADF9" w14:textId="77777777" w:rsidR="00380BE7" w:rsidRPr="00256982" w:rsidRDefault="00380BE7" w:rsidP="00380BE7">
      <w:pPr>
        <w:pStyle w:val="Bullet"/>
        <w:numPr>
          <w:ilvl w:val="0"/>
          <w:numId w:val="8"/>
        </w:numPr>
        <w:rPr>
          <w:lang w:eastAsia="en-NZ"/>
        </w:rPr>
      </w:pPr>
      <w:r w:rsidRPr="00256982">
        <w:lastRenderedPageBreak/>
        <w:t>deforestation of 203,007 hectares. This includes the 30,347 hectares of post-1989 forest that was planted and then deforested between 1990 and 2017. Deforestation has occurred mainly in planted forests since 2004. Between 1990 and 2004, there was little deforestation of planted forests in New Zealand, due to market conditions.</w:t>
      </w:r>
    </w:p>
    <w:p w14:paraId="60F9D8BC" w14:textId="77777777" w:rsidR="00380BE7" w:rsidRPr="00256982" w:rsidRDefault="00380BE7" w:rsidP="00380BE7">
      <w:pPr>
        <w:pStyle w:val="BodyText"/>
      </w:pPr>
      <w:r w:rsidRPr="00256982">
        <w:t>Table 6.2.7 shows a land-use change matrix for the years 1990 to 2017. Annual land-use change matrices are included in annex 3.2.1.</w:t>
      </w:r>
    </w:p>
    <w:p w14:paraId="6BFC95BC" w14:textId="77777777" w:rsidR="00380BE7" w:rsidRPr="00256982" w:rsidRDefault="00380BE7" w:rsidP="00380BE7"/>
    <w:p w14:paraId="6DF0CC6E" w14:textId="77777777" w:rsidR="00FF4018" w:rsidRPr="00256982" w:rsidRDefault="00FF4018" w:rsidP="00380BE7">
      <w:pPr>
        <w:sectPr w:rsidR="00FF4018" w:rsidRPr="00256982" w:rsidSect="009574E7">
          <w:footerReference w:type="even" r:id="rId194"/>
          <w:footerReference w:type="default" r:id="rId195"/>
          <w:pgSz w:w="11907" w:h="16840" w:code="9"/>
          <w:pgMar w:top="1418" w:right="1701" w:bottom="1418" w:left="1701" w:header="567" w:footer="567" w:gutter="0"/>
          <w:pgNumType w:start="1"/>
          <w:cols w:space="720"/>
        </w:sectPr>
      </w:pPr>
    </w:p>
    <w:p w14:paraId="54094DA6" w14:textId="705AF68E" w:rsidR="00380BE7" w:rsidRPr="00256982" w:rsidRDefault="00590491" w:rsidP="00380BE7">
      <w:pPr>
        <w:pStyle w:val="Table"/>
        <w:spacing w:before="0"/>
      </w:pPr>
      <w:bookmarkStart w:id="1158" w:name="_Toc5269511"/>
      <w:r>
        <w:lastRenderedPageBreak/>
        <w:pict w14:anchorId="009507DA">
          <v:shapetype id="_x0000_t32" coordsize="21600,21600" o:spt="32" o:oned="t" path="m,l21600,21600e" filled="f">
            <v:path arrowok="t" fillok="f" o:connecttype="none"/>
            <o:lock v:ext="edit" shapetype="t"/>
          </v:shapetype>
          <v:shape id="AutoShape 66" o:spid="_x0000_s1132" type="#_x0000_t32" style="position:absolute;left:0;text-align:left;margin-left:-3.6pt;margin-top:15.2pt;width:110.15pt;height:61.2pt;z-index: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" strokecolor="white"/>
        </w:pict>
      </w:r>
      <w:r w:rsidR="00380BE7" w:rsidRPr="00256982">
        <w:t>Table 6.2.5</w:t>
      </w:r>
      <w:r w:rsidR="00380BE7" w:rsidRPr="00256982">
        <w:tab/>
        <w:t>New Zealand’s land-use change matrix from 1962 to 1989</w:t>
      </w:r>
      <w:bookmarkEnd w:id="1158"/>
    </w:p>
    <w:tbl>
      <w:tblPr>
        <w:tblW w:w="14062" w:type="dxa"/>
        <w:tblInd w:w="85" w:type="dxa"/>
        <w:tblLook w:val="04A0" w:firstRow="1" w:lastRow="0" w:firstColumn="1" w:lastColumn="0" w:noHBand="0" w:noVBand="1"/>
      </w:tblPr>
      <w:tblGrid>
        <w:gridCol w:w="1124"/>
        <w:gridCol w:w="1061"/>
        <w:gridCol w:w="834"/>
        <w:gridCol w:w="834"/>
        <w:gridCol w:w="835"/>
        <w:gridCol w:w="921"/>
        <w:gridCol w:w="939"/>
        <w:gridCol w:w="1002"/>
        <w:gridCol w:w="1002"/>
        <w:gridCol w:w="869"/>
        <w:gridCol w:w="827"/>
        <w:gridCol w:w="983"/>
        <w:gridCol w:w="1125"/>
        <w:gridCol w:w="853"/>
        <w:gridCol w:w="853"/>
      </w:tblGrid>
      <w:tr w:rsidR="00380BE7" w:rsidRPr="00256982" w14:paraId="148DFB35" w14:textId="77777777" w:rsidTr="009574E7">
        <w:trPr>
          <w:trHeight w:val="205"/>
        </w:trPr>
        <w:tc>
          <w:tcPr>
            <w:tcW w:w="2185" w:type="dxa"/>
            <w:gridSpan w:val="2"/>
            <w:tcBorders>
              <w:top w:val="single" w:sz="2" w:space="0" w:color="366092"/>
              <w:bottom w:val="single" w:sz="2" w:space="0" w:color="366092"/>
              <w:right w:val="single" w:sz="8" w:space="0" w:color="366092"/>
            </w:tcBorders>
            <w:shd w:val="clear" w:color="auto" w:fill="376092"/>
            <w:noWrap/>
            <w:vAlign w:val="bottom"/>
            <w:hideMark/>
          </w:tcPr>
          <w:p w14:paraId="03F4B8FE" w14:textId="77777777" w:rsidR="00380BE7" w:rsidRPr="00256982" w:rsidRDefault="00380BE7" w:rsidP="009574E7">
            <w:pPr>
              <w:pStyle w:val="TableTextBold"/>
              <w:ind w:right="69"/>
              <w:jc w:val="right"/>
              <w:rPr>
                <w:rFonts w:ascii="Calibri" w:hAnsi="Calibri"/>
                <w:noProof w:val="0"/>
                <w:color w:val="FFFFFF"/>
                <w:szCs w:val="22"/>
                <w:lang w:eastAsia="en-NZ"/>
              </w:rPr>
            </w:pPr>
            <w:r w:rsidRPr="00256982">
              <w:rPr>
                <w:noProof w:val="0"/>
                <w:color w:val="FFFFFF"/>
                <w:lang w:eastAsia="en-NZ"/>
              </w:rPr>
              <w:t>1962</w:t>
            </w:r>
            <w:r w:rsidRPr="00256982">
              <w:rPr>
                <w:rFonts w:ascii="Calibri" w:hAnsi="Calibri"/>
                <w:noProof w:val="0"/>
                <w:color w:val="FFFFFF"/>
                <w:szCs w:val="22"/>
                <w:lang w:eastAsia="en-NZ"/>
              </w:rPr>
              <w:t> </w:t>
            </w:r>
          </w:p>
        </w:tc>
        <w:tc>
          <w:tcPr>
            <w:tcW w:w="2503" w:type="dxa"/>
            <w:gridSpan w:val="3"/>
            <w:tcBorders>
              <w:top w:val="single" w:sz="2" w:space="0" w:color="366092"/>
              <w:left w:val="nil"/>
              <w:bottom w:val="single" w:sz="2" w:space="0" w:color="FFFFFF"/>
              <w:right w:val="single" w:sz="8" w:space="0" w:color="366092"/>
            </w:tcBorders>
            <w:shd w:val="clear" w:color="auto" w:fill="376092"/>
            <w:vAlign w:val="bottom"/>
            <w:hideMark/>
          </w:tcPr>
          <w:p w14:paraId="5E699A06" w14:textId="2A68F336" w:rsidR="00380BE7" w:rsidRPr="00256982" w:rsidRDefault="00380BE7" w:rsidP="00F11DD2">
            <w:pPr>
              <w:pStyle w:val="TableTextBold"/>
              <w:jc w:val="center"/>
              <w:rPr>
                <w:noProof w:val="0"/>
                <w:color w:val="FFFFFF"/>
                <w:lang w:eastAsia="en-NZ"/>
              </w:rPr>
            </w:pPr>
            <w:r w:rsidRPr="00256982">
              <w:rPr>
                <w:noProof w:val="0"/>
                <w:color w:val="FFFFFF"/>
                <w:lang w:eastAsia="en-NZ"/>
              </w:rPr>
              <w:t>Forest land</w:t>
            </w:r>
          </w:p>
        </w:tc>
        <w:tc>
          <w:tcPr>
            <w:tcW w:w="1860" w:type="dxa"/>
            <w:gridSpan w:val="2"/>
            <w:tcBorders>
              <w:top w:val="single" w:sz="2" w:space="0" w:color="366092"/>
              <w:left w:val="nil"/>
              <w:bottom w:val="single" w:sz="2" w:space="0" w:color="FFFFFF"/>
              <w:right w:val="single" w:sz="8" w:space="0" w:color="366092"/>
            </w:tcBorders>
            <w:shd w:val="clear" w:color="auto" w:fill="376092"/>
            <w:vAlign w:val="bottom"/>
            <w:hideMark/>
          </w:tcPr>
          <w:p w14:paraId="1446C966" w14:textId="1747346A" w:rsidR="00380BE7" w:rsidRPr="00256982" w:rsidRDefault="00380BE7" w:rsidP="00F11DD2">
            <w:pPr>
              <w:pStyle w:val="TableTextBold"/>
              <w:jc w:val="center"/>
              <w:rPr>
                <w:noProof w:val="0"/>
                <w:color w:val="FFFFFF"/>
                <w:lang w:eastAsia="en-NZ"/>
              </w:rPr>
            </w:pPr>
            <w:r w:rsidRPr="00256982">
              <w:rPr>
                <w:noProof w:val="0"/>
                <w:color w:val="FFFFFF"/>
                <w:lang w:eastAsia="en-NZ"/>
              </w:rPr>
              <w:t>Cropland</w:t>
            </w:r>
          </w:p>
        </w:tc>
        <w:tc>
          <w:tcPr>
            <w:tcW w:w="2873" w:type="dxa"/>
            <w:gridSpan w:val="3"/>
            <w:tcBorders>
              <w:top w:val="single" w:sz="2" w:space="0" w:color="366092"/>
              <w:left w:val="nil"/>
              <w:bottom w:val="single" w:sz="2" w:space="0" w:color="FFFFFF"/>
              <w:right w:val="single" w:sz="8" w:space="0" w:color="366092"/>
            </w:tcBorders>
            <w:shd w:val="clear" w:color="auto" w:fill="376092"/>
            <w:vAlign w:val="bottom"/>
            <w:hideMark/>
          </w:tcPr>
          <w:p w14:paraId="7AA91323" w14:textId="21B27929" w:rsidR="00380BE7" w:rsidRPr="00256982" w:rsidRDefault="00380BE7" w:rsidP="00F11DD2">
            <w:pPr>
              <w:pStyle w:val="TableTextBold"/>
              <w:jc w:val="center"/>
              <w:rPr>
                <w:noProof w:val="0"/>
                <w:color w:val="FFFFFF"/>
                <w:lang w:eastAsia="en-NZ"/>
              </w:rPr>
            </w:pPr>
            <w:r w:rsidRPr="00256982">
              <w:rPr>
                <w:noProof w:val="0"/>
                <w:color w:val="FFFFFF"/>
                <w:lang w:eastAsia="en-NZ"/>
              </w:rPr>
              <w:t>Grassland</w:t>
            </w:r>
          </w:p>
        </w:tc>
        <w:tc>
          <w:tcPr>
            <w:tcW w:w="1810" w:type="dxa"/>
            <w:gridSpan w:val="2"/>
            <w:tcBorders>
              <w:top w:val="single" w:sz="2" w:space="0" w:color="366092"/>
              <w:left w:val="nil"/>
              <w:bottom w:val="single" w:sz="2" w:space="0" w:color="FFFFFF"/>
              <w:right w:val="single" w:sz="8" w:space="0" w:color="366092"/>
            </w:tcBorders>
            <w:shd w:val="clear" w:color="auto" w:fill="376092"/>
            <w:vAlign w:val="bottom"/>
            <w:hideMark/>
          </w:tcPr>
          <w:p w14:paraId="435011B0" w14:textId="56DEEBA4" w:rsidR="00380BE7" w:rsidRPr="00256982" w:rsidRDefault="00380BE7" w:rsidP="00F11DD2">
            <w:pPr>
              <w:pStyle w:val="TableTextBold"/>
              <w:jc w:val="center"/>
              <w:rPr>
                <w:noProof w:val="0"/>
                <w:color w:val="FFFFFF"/>
                <w:lang w:eastAsia="en-NZ"/>
              </w:rPr>
            </w:pPr>
            <w:r w:rsidRPr="00256982">
              <w:rPr>
                <w:noProof w:val="0"/>
                <w:color w:val="FFFFFF"/>
                <w:lang w:eastAsia="en-NZ"/>
              </w:rPr>
              <w:t>Wetlands</w:t>
            </w:r>
          </w:p>
        </w:tc>
        <w:tc>
          <w:tcPr>
            <w:tcW w:w="1125" w:type="dxa"/>
            <w:tcBorders>
              <w:top w:val="single" w:sz="2" w:space="0" w:color="366092"/>
              <w:left w:val="nil"/>
              <w:bottom w:val="single" w:sz="2" w:space="0" w:color="FFFFFF"/>
              <w:right w:val="single" w:sz="8" w:space="0" w:color="366092"/>
            </w:tcBorders>
            <w:shd w:val="clear" w:color="auto" w:fill="376092"/>
            <w:vAlign w:val="bottom"/>
            <w:hideMark/>
          </w:tcPr>
          <w:p w14:paraId="71C35D08" w14:textId="77777777" w:rsidR="00380BE7" w:rsidRPr="00256982" w:rsidRDefault="00380BE7" w:rsidP="00B51D33">
            <w:pPr>
              <w:pStyle w:val="TableTextBold"/>
              <w:jc w:val="center"/>
              <w:rPr>
                <w:noProof w:val="0"/>
                <w:color w:val="FFFFFF"/>
                <w:lang w:eastAsia="en-NZ"/>
              </w:rPr>
            </w:pPr>
            <w:r w:rsidRPr="00256982">
              <w:rPr>
                <w:noProof w:val="0"/>
                <w:color w:val="FFFFFF"/>
                <w:lang w:eastAsia="en-NZ"/>
              </w:rPr>
              <w:t>Settlements</w:t>
            </w:r>
          </w:p>
        </w:tc>
        <w:tc>
          <w:tcPr>
            <w:tcW w:w="853" w:type="dxa"/>
            <w:tcBorders>
              <w:top w:val="single" w:sz="2" w:space="0" w:color="366092"/>
              <w:left w:val="nil"/>
              <w:bottom w:val="single" w:sz="2" w:space="0" w:color="FFFFFF"/>
              <w:right w:val="single" w:sz="8" w:space="0" w:color="366092"/>
            </w:tcBorders>
            <w:shd w:val="clear" w:color="auto" w:fill="376092"/>
            <w:vAlign w:val="bottom"/>
            <w:hideMark/>
          </w:tcPr>
          <w:p w14:paraId="6ED502C6" w14:textId="77777777" w:rsidR="00380BE7" w:rsidRPr="00256982" w:rsidRDefault="00380BE7" w:rsidP="00B51D33">
            <w:pPr>
              <w:pStyle w:val="TableTextBold"/>
              <w:jc w:val="center"/>
              <w:rPr>
                <w:noProof w:val="0"/>
                <w:color w:val="FFFFFF"/>
                <w:lang w:eastAsia="en-NZ"/>
              </w:rPr>
            </w:pPr>
            <w:r w:rsidRPr="00256982">
              <w:rPr>
                <w:noProof w:val="0"/>
                <w:color w:val="FFFFFF"/>
                <w:lang w:eastAsia="en-NZ"/>
              </w:rPr>
              <w:t>Other land</w:t>
            </w:r>
          </w:p>
        </w:tc>
        <w:tc>
          <w:tcPr>
            <w:tcW w:w="853" w:type="dxa"/>
            <w:vMerge w:val="restart"/>
            <w:tcBorders>
              <w:top w:val="single" w:sz="8" w:space="0" w:color="365F91"/>
              <w:left w:val="nil"/>
              <w:bottom w:val="single" w:sz="2" w:space="0" w:color="366092"/>
            </w:tcBorders>
            <w:shd w:val="clear" w:color="auto" w:fill="376092"/>
            <w:vAlign w:val="bottom"/>
            <w:hideMark/>
          </w:tcPr>
          <w:p w14:paraId="7CD86455" w14:textId="77777777" w:rsidR="00380BE7" w:rsidRPr="00256982" w:rsidRDefault="00380BE7" w:rsidP="00142A81">
            <w:pPr>
              <w:pStyle w:val="TableTextBold"/>
              <w:jc w:val="right"/>
              <w:rPr>
                <w:noProof w:val="0"/>
                <w:color w:val="FFFFFF"/>
                <w:lang w:eastAsia="en-NZ"/>
              </w:rPr>
            </w:pPr>
            <w:r w:rsidRPr="00256982">
              <w:rPr>
                <w:noProof w:val="0"/>
                <w:color w:val="FFFFFF"/>
                <w:lang w:eastAsia="en-NZ"/>
              </w:rPr>
              <w:t>Net area 31 Dec 1989 (kha) </w:t>
            </w:r>
          </w:p>
        </w:tc>
      </w:tr>
      <w:tr w:rsidR="00380BE7" w:rsidRPr="00256982" w14:paraId="4061C7F2" w14:textId="77777777" w:rsidTr="009574E7">
        <w:trPr>
          <w:trHeight w:val="736"/>
        </w:trPr>
        <w:tc>
          <w:tcPr>
            <w:tcW w:w="2185" w:type="dxa"/>
            <w:gridSpan w:val="2"/>
            <w:tcBorders>
              <w:top w:val="single" w:sz="2" w:space="0" w:color="366092"/>
              <w:bottom w:val="single" w:sz="2" w:space="0" w:color="366092"/>
              <w:right w:val="single" w:sz="8" w:space="0" w:color="366092"/>
            </w:tcBorders>
            <w:shd w:val="clear" w:color="auto" w:fill="376092"/>
            <w:noWrap/>
            <w:vAlign w:val="bottom"/>
            <w:hideMark/>
          </w:tcPr>
          <w:p w14:paraId="25EACA24" w14:textId="77777777" w:rsidR="00380BE7" w:rsidRPr="00256982" w:rsidRDefault="00380BE7" w:rsidP="009574E7">
            <w:pPr>
              <w:pStyle w:val="TableTextBold"/>
              <w:rPr>
                <w:noProof w:val="0"/>
                <w:color w:val="FFFFFF"/>
                <w:lang w:eastAsia="en-NZ"/>
              </w:rPr>
            </w:pPr>
            <w:r w:rsidRPr="00256982">
              <w:rPr>
                <w:noProof w:val="0"/>
                <w:color w:val="FFFFFF"/>
                <w:lang w:eastAsia="en-NZ"/>
              </w:rPr>
              <w:t>1989</w:t>
            </w:r>
          </w:p>
        </w:tc>
        <w:tc>
          <w:tcPr>
            <w:tcW w:w="834" w:type="dxa"/>
            <w:tcBorders>
              <w:top w:val="single" w:sz="2" w:space="0" w:color="FFFFFF"/>
              <w:left w:val="nil"/>
              <w:bottom w:val="single" w:sz="2" w:space="0" w:color="366092"/>
              <w:right w:val="single" w:sz="8" w:space="0" w:color="366092"/>
            </w:tcBorders>
            <w:shd w:val="clear" w:color="auto" w:fill="376092"/>
            <w:vAlign w:val="bottom"/>
            <w:hideMark/>
          </w:tcPr>
          <w:p w14:paraId="3B598F29" w14:textId="77777777" w:rsidR="00380BE7" w:rsidRPr="00256982" w:rsidRDefault="00380BE7" w:rsidP="00B51D33">
            <w:pPr>
              <w:pStyle w:val="TableTextBold"/>
              <w:jc w:val="center"/>
              <w:rPr>
                <w:noProof w:val="0"/>
                <w:color w:val="FFFFFF"/>
                <w:lang w:eastAsia="en-NZ"/>
              </w:rPr>
            </w:pPr>
            <w:r w:rsidRPr="00256982">
              <w:rPr>
                <w:noProof w:val="0"/>
                <w:color w:val="FFFFFF"/>
                <w:lang w:eastAsia="en-NZ"/>
              </w:rPr>
              <w:t>Natural</w:t>
            </w:r>
          </w:p>
        </w:tc>
        <w:tc>
          <w:tcPr>
            <w:tcW w:w="834" w:type="dxa"/>
            <w:tcBorders>
              <w:top w:val="single" w:sz="2" w:space="0" w:color="FFFFFF"/>
              <w:left w:val="nil"/>
              <w:bottom w:val="single" w:sz="2" w:space="0" w:color="366092"/>
              <w:right w:val="single" w:sz="8" w:space="0" w:color="366092"/>
            </w:tcBorders>
            <w:shd w:val="clear" w:color="auto" w:fill="376092"/>
            <w:vAlign w:val="bottom"/>
            <w:hideMark/>
          </w:tcPr>
          <w:p w14:paraId="75D5E7B1" w14:textId="77777777" w:rsidR="00380BE7" w:rsidRPr="00256982" w:rsidRDefault="00380BE7" w:rsidP="00B51D33">
            <w:pPr>
              <w:pStyle w:val="TableTextBold"/>
              <w:jc w:val="center"/>
              <w:rPr>
                <w:noProof w:val="0"/>
                <w:color w:val="FFFFFF"/>
                <w:lang w:eastAsia="en-NZ"/>
              </w:rPr>
            </w:pPr>
            <w:r w:rsidRPr="00256982">
              <w:rPr>
                <w:noProof w:val="0"/>
                <w:color w:val="FFFFFF"/>
                <w:lang w:eastAsia="en-NZ"/>
              </w:rPr>
              <w:t>Pre-1990 planted</w:t>
            </w:r>
          </w:p>
        </w:tc>
        <w:tc>
          <w:tcPr>
            <w:tcW w:w="835" w:type="dxa"/>
            <w:tcBorders>
              <w:top w:val="single" w:sz="2" w:space="0" w:color="FFFFFF"/>
              <w:left w:val="nil"/>
              <w:bottom w:val="single" w:sz="2" w:space="0" w:color="366092"/>
              <w:right w:val="single" w:sz="8" w:space="0" w:color="366092"/>
            </w:tcBorders>
            <w:shd w:val="clear" w:color="auto" w:fill="376092"/>
            <w:vAlign w:val="bottom"/>
            <w:hideMark/>
          </w:tcPr>
          <w:p w14:paraId="2A265C4D" w14:textId="77777777" w:rsidR="00380BE7" w:rsidRPr="00256982" w:rsidRDefault="00380BE7" w:rsidP="00B51D33">
            <w:pPr>
              <w:pStyle w:val="TableTextBold"/>
              <w:jc w:val="center"/>
              <w:rPr>
                <w:noProof w:val="0"/>
                <w:color w:val="FFFFFF"/>
                <w:lang w:eastAsia="en-NZ"/>
              </w:rPr>
            </w:pPr>
            <w:r w:rsidRPr="00256982">
              <w:rPr>
                <w:noProof w:val="0"/>
                <w:color w:val="FFFFFF"/>
                <w:lang w:eastAsia="en-NZ"/>
              </w:rPr>
              <w:t>Post-1989</w:t>
            </w:r>
          </w:p>
        </w:tc>
        <w:tc>
          <w:tcPr>
            <w:tcW w:w="921" w:type="dxa"/>
            <w:tcBorders>
              <w:top w:val="single" w:sz="2" w:space="0" w:color="FFFFFF"/>
              <w:left w:val="nil"/>
              <w:bottom w:val="single" w:sz="2" w:space="0" w:color="366092"/>
              <w:right w:val="single" w:sz="8" w:space="0" w:color="366092"/>
            </w:tcBorders>
            <w:shd w:val="clear" w:color="auto" w:fill="376092"/>
            <w:vAlign w:val="bottom"/>
            <w:hideMark/>
          </w:tcPr>
          <w:p w14:paraId="1CAFB823" w14:textId="77777777" w:rsidR="00380BE7" w:rsidRPr="00256982" w:rsidRDefault="00380BE7" w:rsidP="00B51D33">
            <w:pPr>
              <w:pStyle w:val="TableTextBold"/>
              <w:jc w:val="center"/>
              <w:rPr>
                <w:noProof w:val="0"/>
                <w:color w:val="FFFFFF"/>
                <w:lang w:eastAsia="en-NZ"/>
              </w:rPr>
            </w:pPr>
            <w:r w:rsidRPr="00256982">
              <w:rPr>
                <w:noProof w:val="0"/>
                <w:color w:val="FFFFFF"/>
                <w:lang w:eastAsia="en-NZ"/>
              </w:rPr>
              <w:t>Annual</w:t>
            </w:r>
          </w:p>
        </w:tc>
        <w:tc>
          <w:tcPr>
            <w:tcW w:w="939" w:type="dxa"/>
            <w:tcBorders>
              <w:top w:val="single" w:sz="2" w:space="0" w:color="FFFFFF"/>
              <w:left w:val="nil"/>
              <w:bottom w:val="single" w:sz="2" w:space="0" w:color="366092"/>
              <w:right w:val="single" w:sz="8" w:space="0" w:color="366092"/>
            </w:tcBorders>
            <w:shd w:val="clear" w:color="auto" w:fill="376092"/>
            <w:vAlign w:val="bottom"/>
            <w:hideMark/>
          </w:tcPr>
          <w:p w14:paraId="1C37D91B" w14:textId="77777777" w:rsidR="00380BE7" w:rsidRPr="00256982" w:rsidRDefault="00380BE7" w:rsidP="00B51D33">
            <w:pPr>
              <w:pStyle w:val="TableTextBold"/>
              <w:jc w:val="center"/>
              <w:rPr>
                <w:noProof w:val="0"/>
                <w:color w:val="FFFFFF"/>
                <w:lang w:eastAsia="en-NZ"/>
              </w:rPr>
            </w:pPr>
            <w:r w:rsidRPr="00256982">
              <w:rPr>
                <w:noProof w:val="0"/>
                <w:color w:val="FFFFFF"/>
                <w:lang w:eastAsia="en-NZ"/>
              </w:rPr>
              <w:t>Perennial</w:t>
            </w:r>
          </w:p>
        </w:tc>
        <w:tc>
          <w:tcPr>
            <w:tcW w:w="1002" w:type="dxa"/>
            <w:tcBorders>
              <w:top w:val="single" w:sz="2" w:space="0" w:color="FFFFFF"/>
              <w:left w:val="nil"/>
              <w:bottom w:val="single" w:sz="2" w:space="0" w:color="366092"/>
              <w:right w:val="single" w:sz="8" w:space="0" w:color="366092"/>
            </w:tcBorders>
            <w:shd w:val="clear" w:color="auto" w:fill="376092"/>
            <w:vAlign w:val="bottom"/>
            <w:hideMark/>
          </w:tcPr>
          <w:p w14:paraId="259091BD" w14:textId="77777777" w:rsidR="00380BE7" w:rsidRPr="00256982" w:rsidRDefault="00380BE7" w:rsidP="00B51D33">
            <w:pPr>
              <w:pStyle w:val="TableTextBold"/>
              <w:jc w:val="center"/>
              <w:rPr>
                <w:noProof w:val="0"/>
                <w:color w:val="FFFFFF"/>
                <w:lang w:eastAsia="en-NZ"/>
              </w:rPr>
            </w:pPr>
            <w:r w:rsidRPr="00256982">
              <w:rPr>
                <w:noProof w:val="0"/>
                <w:color w:val="FFFFFF"/>
                <w:lang w:eastAsia="en-NZ"/>
              </w:rPr>
              <w:t>High producing</w:t>
            </w:r>
          </w:p>
        </w:tc>
        <w:tc>
          <w:tcPr>
            <w:tcW w:w="1002" w:type="dxa"/>
            <w:tcBorders>
              <w:top w:val="single" w:sz="2" w:space="0" w:color="FFFFFF"/>
              <w:left w:val="nil"/>
              <w:bottom w:val="single" w:sz="2" w:space="0" w:color="366092"/>
              <w:right w:val="single" w:sz="8" w:space="0" w:color="366092"/>
            </w:tcBorders>
            <w:shd w:val="clear" w:color="auto" w:fill="376092"/>
            <w:vAlign w:val="bottom"/>
            <w:hideMark/>
          </w:tcPr>
          <w:p w14:paraId="3633CA97" w14:textId="77777777" w:rsidR="00380BE7" w:rsidRPr="00256982" w:rsidRDefault="00380BE7" w:rsidP="00B51D33">
            <w:pPr>
              <w:pStyle w:val="TableTextBold"/>
              <w:jc w:val="center"/>
              <w:rPr>
                <w:noProof w:val="0"/>
                <w:color w:val="FFFFFF"/>
                <w:lang w:eastAsia="en-NZ"/>
              </w:rPr>
            </w:pPr>
            <w:r w:rsidRPr="00256982">
              <w:rPr>
                <w:noProof w:val="0"/>
                <w:color w:val="FFFFFF"/>
                <w:lang w:eastAsia="en-NZ"/>
              </w:rPr>
              <w:t>Low producing</w:t>
            </w:r>
          </w:p>
        </w:tc>
        <w:tc>
          <w:tcPr>
            <w:tcW w:w="869" w:type="dxa"/>
            <w:tcBorders>
              <w:top w:val="single" w:sz="2" w:space="0" w:color="FFFFFF"/>
              <w:left w:val="nil"/>
              <w:bottom w:val="single" w:sz="2" w:space="0" w:color="366092"/>
              <w:right w:val="single" w:sz="8" w:space="0" w:color="366092"/>
            </w:tcBorders>
            <w:shd w:val="clear" w:color="auto" w:fill="376092"/>
            <w:vAlign w:val="bottom"/>
            <w:hideMark/>
          </w:tcPr>
          <w:p w14:paraId="7BEFCEE8" w14:textId="77777777" w:rsidR="00380BE7" w:rsidRPr="00256982" w:rsidRDefault="00380BE7" w:rsidP="00B51D33">
            <w:pPr>
              <w:pStyle w:val="TableTextBold"/>
              <w:jc w:val="center"/>
              <w:rPr>
                <w:noProof w:val="0"/>
                <w:color w:val="FFFFFF"/>
                <w:lang w:eastAsia="en-NZ"/>
              </w:rPr>
            </w:pPr>
            <w:r w:rsidRPr="00256982">
              <w:rPr>
                <w:noProof w:val="0"/>
                <w:color w:val="FFFFFF"/>
                <w:lang w:eastAsia="en-NZ"/>
              </w:rPr>
              <w:t>With woody biomass</w:t>
            </w:r>
          </w:p>
        </w:tc>
        <w:tc>
          <w:tcPr>
            <w:tcW w:w="827" w:type="dxa"/>
            <w:tcBorders>
              <w:top w:val="single" w:sz="2" w:space="0" w:color="FFFFFF"/>
              <w:left w:val="nil"/>
              <w:bottom w:val="single" w:sz="2" w:space="0" w:color="366092"/>
              <w:right w:val="single" w:sz="8" w:space="0" w:color="366092"/>
            </w:tcBorders>
            <w:shd w:val="clear" w:color="auto" w:fill="376092"/>
            <w:vAlign w:val="bottom"/>
            <w:hideMark/>
          </w:tcPr>
          <w:p w14:paraId="39E18222" w14:textId="77777777" w:rsidR="00380BE7" w:rsidRPr="00256982" w:rsidRDefault="00380BE7" w:rsidP="00B51D33">
            <w:pPr>
              <w:pStyle w:val="TableTextBold"/>
              <w:jc w:val="center"/>
              <w:rPr>
                <w:noProof w:val="0"/>
                <w:color w:val="FFFFFF"/>
                <w:lang w:eastAsia="en-NZ"/>
              </w:rPr>
            </w:pPr>
            <w:r w:rsidRPr="00256982">
              <w:rPr>
                <w:noProof w:val="0"/>
                <w:color w:val="FFFFFF"/>
                <w:lang w:eastAsia="en-NZ"/>
              </w:rPr>
              <w:t>Open water</w:t>
            </w:r>
          </w:p>
        </w:tc>
        <w:tc>
          <w:tcPr>
            <w:tcW w:w="983" w:type="dxa"/>
            <w:tcBorders>
              <w:top w:val="single" w:sz="2" w:space="0" w:color="FFFFFF"/>
              <w:left w:val="nil"/>
              <w:bottom w:val="single" w:sz="2" w:space="0" w:color="366092"/>
              <w:right w:val="single" w:sz="8" w:space="0" w:color="366092"/>
            </w:tcBorders>
            <w:shd w:val="clear" w:color="auto" w:fill="376092"/>
            <w:vAlign w:val="bottom"/>
            <w:hideMark/>
          </w:tcPr>
          <w:p w14:paraId="1B4A22E7" w14:textId="77777777" w:rsidR="00380BE7" w:rsidRPr="00256982" w:rsidRDefault="00380BE7" w:rsidP="00B51D33">
            <w:pPr>
              <w:pStyle w:val="TableTextBold"/>
              <w:jc w:val="center"/>
              <w:rPr>
                <w:noProof w:val="0"/>
                <w:color w:val="FFFFFF"/>
                <w:lang w:eastAsia="en-NZ"/>
              </w:rPr>
            </w:pPr>
            <w:r w:rsidRPr="00256982">
              <w:rPr>
                <w:noProof w:val="0"/>
                <w:color w:val="FFFFFF"/>
                <w:lang w:eastAsia="en-NZ"/>
              </w:rPr>
              <w:t>Vegetated</w:t>
            </w:r>
          </w:p>
        </w:tc>
        <w:tc>
          <w:tcPr>
            <w:tcW w:w="1125" w:type="dxa"/>
            <w:tcBorders>
              <w:top w:val="single" w:sz="2" w:space="0" w:color="FFFFFF"/>
              <w:left w:val="nil"/>
              <w:bottom w:val="single" w:sz="2" w:space="0" w:color="366092"/>
              <w:right w:val="single" w:sz="8" w:space="0" w:color="366092"/>
            </w:tcBorders>
            <w:shd w:val="clear" w:color="auto" w:fill="376092"/>
            <w:vAlign w:val="bottom"/>
            <w:hideMark/>
          </w:tcPr>
          <w:p w14:paraId="0629B583" w14:textId="77777777" w:rsidR="00380BE7" w:rsidRPr="00256982" w:rsidRDefault="00380BE7" w:rsidP="00B51D33">
            <w:pPr>
              <w:pStyle w:val="TableTextBold"/>
              <w:jc w:val="center"/>
              <w:rPr>
                <w:noProof w:val="0"/>
                <w:color w:val="FFFFFF"/>
                <w:lang w:eastAsia="en-NZ"/>
              </w:rPr>
            </w:pPr>
            <w:r w:rsidRPr="00256982">
              <w:rPr>
                <w:noProof w:val="0"/>
                <w:color w:val="FFFFFF"/>
                <w:lang w:eastAsia="en-NZ"/>
              </w:rPr>
              <w:t>Settlements</w:t>
            </w:r>
          </w:p>
        </w:tc>
        <w:tc>
          <w:tcPr>
            <w:tcW w:w="853" w:type="dxa"/>
            <w:tcBorders>
              <w:top w:val="single" w:sz="2" w:space="0" w:color="FFFFFF"/>
              <w:left w:val="nil"/>
              <w:bottom w:val="single" w:sz="2" w:space="0" w:color="366092"/>
              <w:right w:val="single" w:sz="8" w:space="0" w:color="366092"/>
            </w:tcBorders>
            <w:shd w:val="clear" w:color="auto" w:fill="376092"/>
            <w:vAlign w:val="bottom"/>
            <w:hideMark/>
          </w:tcPr>
          <w:p w14:paraId="092521E8" w14:textId="77777777" w:rsidR="00380BE7" w:rsidRPr="00256982" w:rsidRDefault="00380BE7" w:rsidP="00B51D33">
            <w:pPr>
              <w:pStyle w:val="TableTextBold"/>
              <w:jc w:val="center"/>
              <w:rPr>
                <w:noProof w:val="0"/>
                <w:color w:val="FFFFFF"/>
                <w:lang w:eastAsia="en-NZ"/>
              </w:rPr>
            </w:pPr>
            <w:r w:rsidRPr="00256982">
              <w:rPr>
                <w:noProof w:val="0"/>
                <w:color w:val="FFFFFF"/>
                <w:lang w:eastAsia="en-NZ"/>
              </w:rPr>
              <w:t>Other land</w:t>
            </w:r>
          </w:p>
        </w:tc>
        <w:tc>
          <w:tcPr>
            <w:tcW w:w="853" w:type="dxa"/>
            <w:vMerge/>
            <w:tcBorders>
              <w:top w:val="single" w:sz="2" w:space="0" w:color="366092"/>
              <w:left w:val="nil"/>
              <w:bottom w:val="single" w:sz="2" w:space="0" w:color="366092"/>
            </w:tcBorders>
            <w:shd w:val="clear" w:color="auto" w:fill="376092"/>
            <w:vAlign w:val="bottom"/>
            <w:hideMark/>
          </w:tcPr>
          <w:p w14:paraId="70928769" w14:textId="77777777" w:rsidR="00380BE7" w:rsidRPr="00256982" w:rsidRDefault="00380BE7" w:rsidP="009574E7">
            <w:pPr>
              <w:pStyle w:val="TableTextBold"/>
              <w:rPr>
                <w:noProof w:val="0"/>
                <w:color w:val="FFFFFF"/>
                <w:lang w:eastAsia="en-NZ"/>
              </w:rPr>
            </w:pPr>
          </w:p>
        </w:tc>
      </w:tr>
      <w:tr w:rsidR="00380BE7" w:rsidRPr="00256982" w14:paraId="74DD6FF8" w14:textId="77777777" w:rsidTr="009574E7">
        <w:trPr>
          <w:trHeight w:val="212"/>
        </w:trPr>
        <w:tc>
          <w:tcPr>
            <w:tcW w:w="1124" w:type="dxa"/>
            <w:tcBorders>
              <w:top w:val="single" w:sz="2" w:space="0" w:color="366092"/>
              <w:bottom w:val="nil"/>
              <w:right w:val="nil"/>
            </w:tcBorders>
            <w:shd w:val="clear" w:color="auto" w:fill="auto"/>
            <w:noWrap/>
            <w:vAlign w:val="center"/>
            <w:hideMark/>
          </w:tcPr>
          <w:p w14:paraId="0240720C" w14:textId="77777777" w:rsidR="00380BE7" w:rsidRPr="00256982" w:rsidRDefault="00380BE7" w:rsidP="009574E7">
            <w:pPr>
              <w:pStyle w:val="TableText"/>
              <w:rPr>
                <w:b/>
                <w:lang w:eastAsia="en-NZ"/>
              </w:rPr>
            </w:pPr>
            <w:r w:rsidRPr="00256982">
              <w:rPr>
                <w:b/>
                <w:lang w:eastAsia="en-NZ"/>
              </w:rPr>
              <w:t>Forest land</w:t>
            </w:r>
          </w:p>
        </w:tc>
        <w:tc>
          <w:tcPr>
            <w:tcW w:w="1061" w:type="dxa"/>
            <w:tcBorders>
              <w:top w:val="single" w:sz="2" w:space="0" w:color="366092"/>
              <w:left w:val="nil"/>
              <w:bottom w:val="nil"/>
              <w:right w:val="single" w:sz="2" w:space="0" w:color="366092"/>
            </w:tcBorders>
            <w:shd w:val="clear" w:color="auto" w:fill="auto"/>
            <w:vAlign w:val="center"/>
            <w:hideMark/>
          </w:tcPr>
          <w:p w14:paraId="7D63F5BF" w14:textId="77777777" w:rsidR="00380BE7" w:rsidRPr="00256982" w:rsidRDefault="00380BE7" w:rsidP="009574E7">
            <w:pPr>
              <w:pStyle w:val="TableText"/>
              <w:rPr>
                <w:lang w:eastAsia="en-NZ"/>
              </w:rPr>
            </w:pPr>
            <w:r w:rsidRPr="00256982">
              <w:rPr>
                <w:lang w:eastAsia="en-NZ"/>
              </w:rPr>
              <w:t>Natural</w:t>
            </w:r>
          </w:p>
        </w:tc>
        <w:tc>
          <w:tcPr>
            <w:tcW w:w="834" w:type="dxa"/>
            <w:tcBorders>
              <w:top w:val="single" w:sz="2" w:space="0" w:color="366092"/>
              <w:left w:val="single" w:sz="2" w:space="0" w:color="366092"/>
              <w:bottom w:val="nil"/>
              <w:right w:val="nil"/>
            </w:tcBorders>
            <w:shd w:val="clear" w:color="000000" w:fill="D8D8D8"/>
            <w:vAlign w:val="center"/>
            <w:hideMark/>
          </w:tcPr>
          <w:p w14:paraId="7ED793DA"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7,832.9</w:t>
            </w:r>
          </w:p>
        </w:tc>
        <w:tc>
          <w:tcPr>
            <w:tcW w:w="834" w:type="dxa"/>
            <w:tcBorders>
              <w:top w:val="single" w:sz="2" w:space="0" w:color="366092"/>
              <w:left w:val="nil"/>
              <w:bottom w:val="nil"/>
              <w:right w:val="nil"/>
            </w:tcBorders>
            <w:shd w:val="clear" w:color="auto" w:fill="auto"/>
            <w:vAlign w:val="center"/>
            <w:hideMark/>
          </w:tcPr>
          <w:p w14:paraId="2F4FFF84" w14:textId="77777777" w:rsidR="00380BE7" w:rsidRPr="00256982" w:rsidRDefault="00380BE7" w:rsidP="009574E7">
            <w:pPr>
              <w:jc w:val="right"/>
              <w:rPr>
                <w:rFonts w:ascii="Arial" w:hAnsi="Arial" w:cs="Arial"/>
                <w:color w:val="000000"/>
                <w:sz w:val="16"/>
                <w:szCs w:val="16"/>
              </w:rPr>
            </w:pPr>
          </w:p>
        </w:tc>
        <w:tc>
          <w:tcPr>
            <w:tcW w:w="835" w:type="dxa"/>
            <w:tcBorders>
              <w:top w:val="single" w:sz="2" w:space="0" w:color="366092"/>
              <w:left w:val="nil"/>
              <w:bottom w:val="nil"/>
              <w:right w:val="single" w:sz="8" w:space="0" w:color="365F91"/>
            </w:tcBorders>
            <w:shd w:val="clear" w:color="auto" w:fill="auto"/>
            <w:vAlign w:val="center"/>
            <w:hideMark/>
          </w:tcPr>
          <w:p w14:paraId="2B0A4565" w14:textId="77777777" w:rsidR="00380BE7" w:rsidRPr="00256982" w:rsidRDefault="00380BE7" w:rsidP="009574E7">
            <w:pPr>
              <w:jc w:val="left"/>
              <w:rPr>
                <w:rFonts w:ascii="Arial" w:hAnsi="Arial" w:cs="Arial"/>
                <w:color w:val="000000"/>
                <w:sz w:val="16"/>
                <w:szCs w:val="16"/>
              </w:rPr>
            </w:pPr>
            <w:r w:rsidRPr="00256982">
              <w:rPr>
                <w:rFonts w:ascii="Arial" w:hAnsi="Arial" w:cs="Arial"/>
                <w:color w:val="000000"/>
                <w:sz w:val="16"/>
                <w:szCs w:val="16"/>
              </w:rPr>
              <w:t> </w:t>
            </w:r>
          </w:p>
        </w:tc>
        <w:tc>
          <w:tcPr>
            <w:tcW w:w="921" w:type="dxa"/>
            <w:tcBorders>
              <w:top w:val="single" w:sz="2" w:space="0" w:color="366092"/>
              <w:left w:val="nil"/>
              <w:bottom w:val="nil"/>
              <w:right w:val="nil"/>
            </w:tcBorders>
            <w:shd w:val="clear" w:color="auto" w:fill="auto"/>
            <w:vAlign w:val="center"/>
            <w:hideMark/>
          </w:tcPr>
          <w:p w14:paraId="4414F062" w14:textId="77777777" w:rsidR="00380BE7" w:rsidRPr="00256982" w:rsidRDefault="00380BE7" w:rsidP="009574E7">
            <w:pPr>
              <w:rPr>
                <w:rFonts w:ascii="Arial" w:hAnsi="Arial" w:cs="Arial"/>
                <w:color w:val="000000"/>
                <w:sz w:val="16"/>
                <w:szCs w:val="16"/>
              </w:rPr>
            </w:pPr>
          </w:p>
        </w:tc>
        <w:tc>
          <w:tcPr>
            <w:tcW w:w="939" w:type="dxa"/>
            <w:tcBorders>
              <w:top w:val="single" w:sz="2" w:space="0" w:color="366092"/>
              <w:left w:val="nil"/>
              <w:bottom w:val="nil"/>
              <w:right w:val="single" w:sz="8" w:space="0" w:color="365F91"/>
            </w:tcBorders>
            <w:shd w:val="clear" w:color="auto" w:fill="auto"/>
            <w:vAlign w:val="center"/>
            <w:hideMark/>
          </w:tcPr>
          <w:p w14:paraId="7256BE62"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 </w:t>
            </w:r>
          </w:p>
        </w:tc>
        <w:tc>
          <w:tcPr>
            <w:tcW w:w="1002" w:type="dxa"/>
            <w:tcBorders>
              <w:top w:val="single" w:sz="2" w:space="0" w:color="366092"/>
              <w:left w:val="nil"/>
              <w:bottom w:val="nil"/>
              <w:right w:val="nil"/>
            </w:tcBorders>
            <w:shd w:val="clear" w:color="auto" w:fill="auto"/>
            <w:vAlign w:val="center"/>
            <w:hideMark/>
          </w:tcPr>
          <w:p w14:paraId="04D2AD31" w14:textId="77777777" w:rsidR="00380BE7" w:rsidRPr="00256982" w:rsidRDefault="00380BE7" w:rsidP="009574E7">
            <w:pPr>
              <w:jc w:val="right"/>
              <w:rPr>
                <w:rFonts w:ascii="Arial" w:hAnsi="Arial" w:cs="Arial"/>
                <w:color w:val="000000"/>
                <w:sz w:val="16"/>
                <w:szCs w:val="16"/>
              </w:rPr>
            </w:pPr>
          </w:p>
        </w:tc>
        <w:tc>
          <w:tcPr>
            <w:tcW w:w="1002" w:type="dxa"/>
            <w:tcBorders>
              <w:top w:val="single" w:sz="2" w:space="0" w:color="366092"/>
              <w:left w:val="nil"/>
              <w:bottom w:val="nil"/>
              <w:right w:val="nil"/>
            </w:tcBorders>
            <w:shd w:val="clear" w:color="auto" w:fill="auto"/>
            <w:vAlign w:val="center"/>
            <w:hideMark/>
          </w:tcPr>
          <w:p w14:paraId="214AE062" w14:textId="77777777" w:rsidR="00380BE7" w:rsidRPr="00256982" w:rsidRDefault="00380BE7" w:rsidP="009574E7">
            <w:pPr>
              <w:jc w:val="right"/>
              <w:rPr>
                <w:sz w:val="20"/>
              </w:rPr>
            </w:pPr>
          </w:p>
        </w:tc>
        <w:tc>
          <w:tcPr>
            <w:tcW w:w="869" w:type="dxa"/>
            <w:tcBorders>
              <w:top w:val="single" w:sz="2" w:space="0" w:color="366092"/>
              <w:left w:val="nil"/>
              <w:bottom w:val="nil"/>
              <w:right w:val="single" w:sz="8" w:space="0" w:color="365F91"/>
            </w:tcBorders>
            <w:shd w:val="clear" w:color="auto" w:fill="auto"/>
            <w:vAlign w:val="center"/>
            <w:hideMark/>
          </w:tcPr>
          <w:p w14:paraId="508ED030"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44.1</w:t>
            </w:r>
          </w:p>
        </w:tc>
        <w:tc>
          <w:tcPr>
            <w:tcW w:w="827" w:type="dxa"/>
            <w:tcBorders>
              <w:top w:val="single" w:sz="2" w:space="0" w:color="366092"/>
              <w:left w:val="nil"/>
              <w:bottom w:val="nil"/>
              <w:right w:val="nil"/>
            </w:tcBorders>
            <w:shd w:val="clear" w:color="auto" w:fill="auto"/>
            <w:vAlign w:val="center"/>
            <w:hideMark/>
          </w:tcPr>
          <w:p w14:paraId="11D5B14F" w14:textId="77777777" w:rsidR="00380BE7" w:rsidRPr="00256982" w:rsidRDefault="00380BE7" w:rsidP="009574E7">
            <w:pPr>
              <w:jc w:val="right"/>
              <w:rPr>
                <w:rFonts w:ascii="Arial" w:hAnsi="Arial" w:cs="Arial"/>
                <w:color w:val="000000"/>
                <w:sz w:val="16"/>
                <w:szCs w:val="16"/>
              </w:rPr>
            </w:pPr>
          </w:p>
        </w:tc>
        <w:tc>
          <w:tcPr>
            <w:tcW w:w="983" w:type="dxa"/>
            <w:tcBorders>
              <w:top w:val="single" w:sz="2" w:space="0" w:color="366092"/>
              <w:left w:val="nil"/>
              <w:bottom w:val="nil"/>
              <w:right w:val="single" w:sz="8" w:space="0" w:color="365F91"/>
            </w:tcBorders>
            <w:shd w:val="clear" w:color="auto" w:fill="auto"/>
            <w:vAlign w:val="center"/>
            <w:hideMark/>
          </w:tcPr>
          <w:p w14:paraId="4DFFDE71"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 </w:t>
            </w:r>
          </w:p>
        </w:tc>
        <w:tc>
          <w:tcPr>
            <w:tcW w:w="1125" w:type="dxa"/>
            <w:tcBorders>
              <w:top w:val="single" w:sz="2" w:space="0" w:color="366092"/>
              <w:left w:val="nil"/>
              <w:bottom w:val="nil"/>
              <w:right w:val="single" w:sz="8" w:space="0" w:color="365F91"/>
            </w:tcBorders>
            <w:shd w:val="clear" w:color="auto" w:fill="auto"/>
            <w:vAlign w:val="center"/>
            <w:hideMark/>
          </w:tcPr>
          <w:p w14:paraId="6C057E79"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 </w:t>
            </w:r>
          </w:p>
        </w:tc>
        <w:tc>
          <w:tcPr>
            <w:tcW w:w="853" w:type="dxa"/>
            <w:tcBorders>
              <w:top w:val="single" w:sz="2" w:space="0" w:color="366092"/>
              <w:left w:val="nil"/>
              <w:bottom w:val="nil"/>
              <w:right w:val="single" w:sz="8" w:space="0" w:color="365F91"/>
            </w:tcBorders>
            <w:shd w:val="clear" w:color="auto" w:fill="auto"/>
            <w:vAlign w:val="center"/>
            <w:hideMark/>
          </w:tcPr>
          <w:p w14:paraId="29D1D79A"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 </w:t>
            </w:r>
          </w:p>
        </w:tc>
        <w:tc>
          <w:tcPr>
            <w:tcW w:w="853" w:type="dxa"/>
            <w:tcBorders>
              <w:top w:val="single" w:sz="2" w:space="0" w:color="366092"/>
              <w:left w:val="nil"/>
              <w:bottom w:val="nil"/>
            </w:tcBorders>
            <w:shd w:val="clear" w:color="auto" w:fill="auto"/>
            <w:vAlign w:val="center"/>
            <w:hideMark/>
          </w:tcPr>
          <w:p w14:paraId="7248FB4B"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7,877.1</w:t>
            </w:r>
          </w:p>
        </w:tc>
      </w:tr>
      <w:tr w:rsidR="00380BE7" w:rsidRPr="00256982" w14:paraId="406DCA9B" w14:textId="77777777" w:rsidTr="009574E7">
        <w:trPr>
          <w:trHeight w:val="328"/>
        </w:trPr>
        <w:tc>
          <w:tcPr>
            <w:tcW w:w="1124" w:type="dxa"/>
            <w:tcBorders>
              <w:top w:val="nil"/>
              <w:bottom w:val="nil"/>
              <w:right w:val="nil"/>
            </w:tcBorders>
            <w:shd w:val="clear" w:color="auto" w:fill="auto"/>
            <w:noWrap/>
            <w:vAlign w:val="center"/>
            <w:hideMark/>
          </w:tcPr>
          <w:p w14:paraId="6E1D6385" w14:textId="77777777" w:rsidR="00380BE7" w:rsidRPr="00256982" w:rsidRDefault="00380BE7" w:rsidP="009574E7">
            <w:pPr>
              <w:pStyle w:val="TableText"/>
              <w:rPr>
                <w:b/>
                <w:lang w:eastAsia="en-NZ"/>
              </w:rPr>
            </w:pPr>
            <w:r w:rsidRPr="00256982">
              <w:rPr>
                <w:b/>
                <w:lang w:eastAsia="en-NZ"/>
              </w:rPr>
              <w:t> </w:t>
            </w:r>
          </w:p>
        </w:tc>
        <w:tc>
          <w:tcPr>
            <w:tcW w:w="1061" w:type="dxa"/>
            <w:tcBorders>
              <w:top w:val="nil"/>
              <w:left w:val="nil"/>
              <w:bottom w:val="nil"/>
              <w:right w:val="single" w:sz="2" w:space="0" w:color="366092"/>
            </w:tcBorders>
            <w:shd w:val="clear" w:color="auto" w:fill="auto"/>
            <w:vAlign w:val="center"/>
            <w:hideMark/>
          </w:tcPr>
          <w:p w14:paraId="787FCAD7" w14:textId="77777777" w:rsidR="00380BE7" w:rsidRPr="00256982" w:rsidRDefault="00380BE7" w:rsidP="009574E7">
            <w:pPr>
              <w:pStyle w:val="TableText"/>
              <w:rPr>
                <w:lang w:eastAsia="en-NZ"/>
              </w:rPr>
            </w:pPr>
            <w:r w:rsidRPr="00256982">
              <w:rPr>
                <w:lang w:eastAsia="en-NZ"/>
              </w:rPr>
              <w:t>Pre-1990 planted</w:t>
            </w:r>
          </w:p>
        </w:tc>
        <w:tc>
          <w:tcPr>
            <w:tcW w:w="834" w:type="dxa"/>
            <w:tcBorders>
              <w:top w:val="nil"/>
              <w:left w:val="single" w:sz="2" w:space="0" w:color="366092"/>
              <w:bottom w:val="nil"/>
              <w:right w:val="nil"/>
            </w:tcBorders>
            <w:shd w:val="clear" w:color="auto" w:fill="auto"/>
            <w:vAlign w:val="center"/>
            <w:hideMark/>
          </w:tcPr>
          <w:p w14:paraId="59959F1A"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277.7</w:t>
            </w:r>
          </w:p>
        </w:tc>
        <w:tc>
          <w:tcPr>
            <w:tcW w:w="834" w:type="dxa"/>
            <w:tcBorders>
              <w:top w:val="nil"/>
              <w:left w:val="nil"/>
              <w:bottom w:val="nil"/>
              <w:right w:val="nil"/>
            </w:tcBorders>
            <w:shd w:val="clear" w:color="000000" w:fill="D8D8D8"/>
            <w:vAlign w:val="center"/>
            <w:hideMark/>
          </w:tcPr>
          <w:p w14:paraId="5C05922B"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457.5</w:t>
            </w:r>
          </w:p>
        </w:tc>
        <w:tc>
          <w:tcPr>
            <w:tcW w:w="835" w:type="dxa"/>
            <w:tcBorders>
              <w:top w:val="nil"/>
              <w:left w:val="nil"/>
              <w:bottom w:val="nil"/>
              <w:right w:val="single" w:sz="8" w:space="0" w:color="365F91"/>
            </w:tcBorders>
            <w:shd w:val="clear" w:color="auto" w:fill="auto"/>
            <w:vAlign w:val="center"/>
            <w:hideMark/>
          </w:tcPr>
          <w:p w14:paraId="5CC560C6"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 </w:t>
            </w:r>
          </w:p>
        </w:tc>
        <w:tc>
          <w:tcPr>
            <w:tcW w:w="921" w:type="dxa"/>
            <w:tcBorders>
              <w:top w:val="nil"/>
              <w:left w:val="nil"/>
              <w:bottom w:val="nil"/>
              <w:right w:val="nil"/>
            </w:tcBorders>
            <w:shd w:val="clear" w:color="auto" w:fill="auto"/>
            <w:vAlign w:val="center"/>
            <w:hideMark/>
          </w:tcPr>
          <w:p w14:paraId="1B1E6E03" w14:textId="77777777" w:rsidR="00380BE7" w:rsidRPr="00256982" w:rsidRDefault="00380BE7" w:rsidP="009574E7">
            <w:pPr>
              <w:jc w:val="right"/>
              <w:rPr>
                <w:rFonts w:ascii="Arial" w:hAnsi="Arial" w:cs="Arial"/>
                <w:color w:val="000000"/>
                <w:sz w:val="16"/>
                <w:szCs w:val="16"/>
              </w:rPr>
            </w:pPr>
          </w:p>
        </w:tc>
        <w:tc>
          <w:tcPr>
            <w:tcW w:w="939" w:type="dxa"/>
            <w:tcBorders>
              <w:top w:val="nil"/>
              <w:left w:val="nil"/>
              <w:bottom w:val="nil"/>
              <w:right w:val="single" w:sz="8" w:space="0" w:color="365F91"/>
            </w:tcBorders>
            <w:shd w:val="clear" w:color="auto" w:fill="auto"/>
            <w:vAlign w:val="center"/>
            <w:hideMark/>
          </w:tcPr>
          <w:p w14:paraId="796F3A02"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 </w:t>
            </w:r>
          </w:p>
        </w:tc>
        <w:tc>
          <w:tcPr>
            <w:tcW w:w="1002" w:type="dxa"/>
            <w:tcBorders>
              <w:top w:val="nil"/>
              <w:left w:val="nil"/>
              <w:bottom w:val="nil"/>
              <w:right w:val="nil"/>
            </w:tcBorders>
            <w:shd w:val="clear" w:color="auto" w:fill="auto"/>
            <w:vAlign w:val="center"/>
            <w:hideMark/>
          </w:tcPr>
          <w:p w14:paraId="3B116586" w14:textId="77777777" w:rsidR="00380BE7" w:rsidRPr="00256982" w:rsidRDefault="00380BE7" w:rsidP="009574E7">
            <w:pPr>
              <w:jc w:val="right"/>
              <w:rPr>
                <w:rFonts w:ascii="Arial" w:hAnsi="Arial" w:cs="Arial"/>
                <w:color w:val="000000"/>
                <w:sz w:val="16"/>
                <w:szCs w:val="16"/>
              </w:rPr>
            </w:pPr>
          </w:p>
        </w:tc>
        <w:tc>
          <w:tcPr>
            <w:tcW w:w="1002" w:type="dxa"/>
            <w:tcBorders>
              <w:top w:val="nil"/>
              <w:left w:val="nil"/>
              <w:bottom w:val="nil"/>
              <w:right w:val="nil"/>
            </w:tcBorders>
            <w:shd w:val="clear" w:color="auto" w:fill="auto"/>
            <w:vAlign w:val="center"/>
            <w:hideMark/>
          </w:tcPr>
          <w:p w14:paraId="257096D4"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383.8</w:t>
            </w:r>
          </w:p>
        </w:tc>
        <w:tc>
          <w:tcPr>
            <w:tcW w:w="869" w:type="dxa"/>
            <w:tcBorders>
              <w:top w:val="nil"/>
              <w:left w:val="nil"/>
              <w:bottom w:val="nil"/>
              <w:right w:val="single" w:sz="8" w:space="0" w:color="365F91"/>
            </w:tcBorders>
            <w:shd w:val="clear" w:color="auto" w:fill="auto"/>
            <w:vAlign w:val="center"/>
            <w:hideMark/>
          </w:tcPr>
          <w:p w14:paraId="6B5711FD"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416.7</w:t>
            </w:r>
          </w:p>
        </w:tc>
        <w:tc>
          <w:tcPr>
            <w:tcW w:w="827" w:type="dxa"/>
            <w:tcBorders>
              <w:top w:val="nil"/>
              <w:left w:val="nil"/>
              <w:bottom w:val="nil"/>
              <w:right w:val="nil"/>
            </w:tcBorders>
            <w:shd w:val="clear" w:color="auto" w:fill="auto"/>
            <w:vAlign w:val="center"/>
            <w:hideMark/>
          </w:tcPr>
          <w:p w14:paraId="065A01FD" w14:textId="77777777" w:rsidR="00380BE7" w:rsidRPr="00256982" w:rsidRDefault="00380BE7" w:rsidP="009574E7">
            <w:pPr>
              <w:jc w:val="right"/>
              <w:rPr>
                <w:rFonts w:ascii="Arial" w:hAnsi="Arial" w:cs="Arial"/>
                <w:color w:val="000000"/>
                <w:sz w:val="16"/>
                <w:szCs w:val="16"/>
              </w:rPr>
            </w:pPr>
          </w:p>
        </w:tc>
        <w:tc>
          <w:tcPr>
            <w:tcW w:w="983" w:type="dxa"/>
            <w:tcBorders>
              <w:top w:val="nil"/>
              <w:left w:val="nil"/>
              <w:bottom w:val="nil"/>
              <w:right w:val="single" w:sz="8" w:space="0" w:color="365F91"/>
            </w:tcBorders>
            <w:shd w:val="clear" w:color="auto" w:fill="auto"/>
            <w:vAlign w:val="center"/>
            <w:hideMark/>
          </w:tcPr>
          <w:p w14:paraId="460AE9C0"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 </w:t>
            </w:r>
          </w:p>
        </w:tc>
        <w:tc>
          <w:tcPr>
            <w:tcW w:w="1125" w:type="dxa"/>
            <w:tcBorders>
              <w:top w:val="nil"/>
              <w:left w:val="nil"/>
              <w:bottom w:val="nil"/>
              <w:right w:val="single" w:sz="8" w:space="0" w:color="365F91"/>
            </w:tcBorders>
            <w:shd w:val="clear" w:color="auto" w:fill="auto"/>
            <w:vAlign w:val="center"/>
            <w:hideMark/>
          </w:tcPr>
          <w:p w14:paraId="2BB65659"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 </w:t>
            </w:r>
          </w:p>
        </w:tc>
        <w:tc>
          <w:tcPr>
            <w:tcW w:w="853" w:type="dxa"/>
            <w:tcBorders>
              <w:top w:val="nil"/>
              <w:left w:val="nil"/>
              <w:bottom w:val="nil"/>
              <w:right w:val="single" w:sz="8" w:space="0" w:color="365F91"/>
            </w:tcBorders>
            <w:shd w:val="clear" w:color="auto" w:fill="auto"/>
            <w:vAlign w:val="center"/>
            <w:hideMark/>
          </w:tcPr>
          <w:p w14:paraId="0D1B67E1"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 </w:t>
            </w:r>
          </w:p>
        </w:tc>
        <w:tc>
          <w:tcPr>
            <w:tcW w:w="853" w:type="dxa"/>
            <w:tcBorders>
              <w:top w:val="nil"/>
              <w:left w:val="nil"/>
              <w:bottom w:val="nil"/>
            </w:tcBorders>
            <w:shd w:val="clear" w:color="auto" w:fill="auto"/>
            <w:vAlign w:val="center"/>
            <w:hideMark/>
          </w:tcPr>
          <w:p w14:paraId="6F6CEA84"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1,535.7</w:t>
            </w:r>
          </w:p>
        </w:tc>
      </w:tr>
      <w:tr w:rsidR="00380BE7" w:rsidRPr="00256982" w14:paraId="396F2D74" w14:textId="77777777" w:rsidTr="009574E7">
        <w:trPr>
          <w:trHeight w:val="222"/>
        </w:trPr>
        <w:tc>
          <w:tcPr>
            <w:tcW w:w="1124" w:type="dxa"/>
            <w:tcBorders>
              <w:top w:val="nil"/>
              <w:bottom w:val="single" w:sz="8" w:space="0" w:color="365F91"/>
              <w:right w:val="nil"/>
            </w:tcBorders>
            <w:shd w:val="clear" w:color="auto" w:fill="auto"/>
            <w:vAlign w:val="center"/>
            <w:hideMark/>
          </w:tcPr>
          <w:p w14:paraId="4F027180" w14:textId="77777777" w:rsidR="00380BE7" w:rsidRPr="00256982" w:rsidRDefault="00380BE7" w:rsidP="009574E7">
            <w:pPr>
              <w:pStyle w:val="TableText"/>
              <w:rPr>
                <w:b/>
                <w:lang w:eastAsia="en-NZ"/>
              </w:rPr>
            </w:pPr>
            <w:r w:rsidRPr="00256982">
              <w:rPr>
                <w:b/>
                <w:lang w:eastAsia="en-NZ"/>
              </w:rPr>
              <w:t> </w:t>
            </w:r>
          </w:p>
        </w:tc>
        <w:tc>
          <w:tcPr>
            <w:tcW w:w="1061" w:type="dxa"/>
            <w:tcBorders>
              <w:top w:val="nil"/>
              <w:left w:val="nil"/>
              <w:bottom w:val="single" w:sz="8" w:space="0" w:color="365F91"/>
              <w:right w:val="single" w:sz="2" w:space="0" w:color="366092"/>
            </w:tcBorders>
            <w:shd w:val="clear" w:color="auto" w:fill="auto"/>
            <w:vAlign w:val="center"/>
            <w:hideMark/>
          </w:tcPr>
          <w:p w14:paraId="2BC9297F" w14:textId="77777777" w:rsidR="00380BE7" w:rsidRPr="00256982" w:rsidRDefault="00380BE7" w:rsidP="009574E7">
            <w:pPr>
              <w:pStyle w:val="TableText"/>
              <w:rPr>
                <w:lang w:eastAsia="en-NZ"/>
              </w:rPr>
            </w:pPr>
            <w:r w:rsidRPr="00256982">
              <w:rPr>
                <w:lang w:eastAsia="en-NZ"/>
              </w:rPr>
              <w:t>Post-1989</w:t>
            </w:r>
          </w:p>
        </w:tc>
        <w:tc>
          <w:tcPr>
            <w:tcW w:w="834" w:type="dxa"/>
            <w:tcBorders>
              <w:top w:val="nil"/>
              <w:left w:val="single" w:sz="2" w:space="0" w:color="366092"/>
              <w:bottom w:val="single" w:sz="8" w:space="0" w:color="365F91"/>
              <w:right w:val="nil"/>
            </w:tcBorders>
            <w:shd w:val="clear" w:color="auto" w:fill="auto"/>
            <w:vAlign w:val="center"/>
            <w:hideMark/>
          </w:tcPr>
          <w:p w14:paraId="5F49B97D"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 </w:t>
            </w:r>
          </w:p>
        </w:tc>
        <w:tc>
          <w:tcPr>
            <w:tcW w:w="834" w:type="dxa"/>
            <w:tcBorders>
              <w:top w:val="nil"/>
              <w:left w:val="nil"/>
              <w:bottom w:val="single" w:sz="8" w:space="0" w:color="365F91"/>
              <w:right w:val="nil"/>
            </w:tcBorders>
            <w:shd w:val="clear" w:color="auto" w:fill="auto"/>
            <w:vAlign w:val="center"/>
            <w:hideMark/>
          </w:tcPr>
          <w:p w14:paraId="2A5DCDC6"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 </w:t>
            </w:r>
          </w:p>
        </w:tc>
        <w:tc>
          <w:tcPr>
            <w:tcW w:w="835" w:type="dxa"/>
            <w:tcBorders>
              <w:top w:val="nil"/>
              <w:left w:val="nil"/>
              <w:bottom w:val="single" w:sz="8" w:space="0" w:color="365F91"/>
              <w:right w:val="single" w:sz="8" w:space="0" w:color="365F91"/>
            </w:tcBorders>
            <w:shd w:val="clear" w:color="000000" w:fill="D8D8D8"/>
            <w:vAlign w:val="center"/>
            <w:hideMark/>
          </w:tcPr>
          <w:p w14:paraId="6BABE4D7"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 </w:t>
            </w:r>
          </w:p>
        </w:tc>
        <w:tc>
          <w:tcPr>
            <w:tcW w:w="921" w:type="dxa"/>
            <w:tcBorders>
              <w:top w:val="nil"/>
              <w:left w:val="nil"/>
              <w:bottom w:val="single" w:sz="8" w:space="0" w:color="365F91"/>
              <w:right w:val="nil"/>
            </w:tcBorders>
            <w:shd w:val="clear" w:color="auto" w:fill="auto"/>
            <w:vAlign w:val="center"/>
            <w:hideMark/>
          </w:tcPr>
          <w:p w14:paraId="3C7709FC"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 </w:t>
            </w:r>
          </w:p>
        </w:tc>
        <w:tc>
          <w:tcPr>
            <w:tcW w:w="939" w:type="dxa"/>
            <w:tcBorders>
              <w:top w:val="nil"/>
              <w:left w:val="nil"/>
              <w:bottom w:val="single" w:sz="8" w:space="0" w:color="365F91"/>
              <w:right w:val="single" w:sz="8" w:space="0" w:color="365F91"/>
            </w:tcBorders>
            <w:shd w:val="clear" w:color="auto" w:fill="auto"/>
            <w:vAlign w:val="center"/>
            <w:hideMark/>
          </w:tcPr>
          <w:p w14:paraId="3DC6E861"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 </w:t>
            </w:r>
          </w:p>
        </w:tc>
        <w:tc>
          <w:tcPr>
            <w:tcW w:w="1002" w:type="dxa"/>
            <w:tcBorders>
              <w:top w:val="nil"/>
              <w:left w:val="nil"/>
              <w:bottom w:val="single" w:sz="8" w:space="0" w:color="365F91"/>
              <w:right w:val="nil"/>
            </w:tcBorders>
            <w:shd w:val="clear" w:color="auto" w:fill="auto"/>
            <w:vAlign w:val="center"/>
            <w:hideMark/>
          </w:tcPr>
          <w:p w14:paraId="12CDB74B"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 </w:t>
            </w:r>
          </w:p>
        </w:tc>
        <w:tc>
          <w:tcPr>
            <w:tcW w:w="1002" w:type="dxa"/>
            <w:tcBorders>
              <w:top w:val="nil"/>
              <w:left w:val="nil"/>
              <w:bottom w:val="single" w:sz="8" w:space="0" w:color="365F91"/>
              <w:right w:val="nil"/>
            </w:tcBorders>
            <w:shd w:val="clear" w:color="auto" w:fill="auto"/>
            <w:vAlign w:val="center"/>
            <w:hideMark/>
          </w:tcPr>
          <w:p w14:paraId="78FD7ADB"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 </w:t>
            </w:r>
          </w:p>
        </w:tc>
        <w:tc>
          <w:tcPr>
            <w:tcW w:w="869" w:type="dxa"/>
            <w:tcBorders>
              <w:top w:val="nil"/>
              <w:left w:val="nil"/>
              <w:bottom w:val="single" w:sz="8" w:space="0" w:color="365F91"/>
              <w:right w:val="single" w:sz="8" w:space="0" w:color="365F91"/>
            </w:tcBorders>
            <w:shd w:val="clear" w:color="auto" w:fill="auto"/>
            <w:vAlign w:val="center"/>
            <w:hideMark/>
          </w:tcPr>
          <w:p w14:paraId="2F5F0FC2"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 </w:t>
            </w:r>
          </w:p>
        </w:tc>
        <w:tc>
          <w:tcPr>
            <w:tcW w:w="827" w:type="dxa"/>
            <w:tcBorders>
              <w:top w:val="nil"/>
              <w:left w:val="nil"/>
              <w:bottom w:val="single" w:sz="8" w:space="0" w:color="365F91"/>
              <w:right w:val="nil"/>
            </w:tcBorders>
            <w:shd w:val="clear" w:color="auto" w:fill="auto"/>
            <w:vAlign w:val="center"/>
            <w:hideMark/>
          </w:tcPr>
          <w:p w14:paraId="6CEC440A"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 </w:t>
            </w:r>
          </w:p>
        </w:tc>
        <w:tc>
          <w:tcPr>
            <w:tcW w:w="983" w:type="dxa"/>
            <w:tcBorders>
              <w:top w:val="nil"/>
              <w:left w:val="nil"/>
              <w:bottom w:val="single" w:sz="8" w:space="0" w:color="365F91"/>
              <w:right w:val="single" w:sz="8" w:space="0" w:color="365F91"/>
            </w:tcBorders>
            <w:shd w:val="clear" w:color="auto" w:fill="auto"/>
            <w:vAlign w:val="center"/>
            <w:hideMark/>
          </w:tcPr>
          <w:p w14:paraId="3EFB272C"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 </w:t>
            </w:r>
          </w:p>
        </w:tc>
        <w:tc>
          <w:tcPr>
            <w:tcW w:w="1125" w:type="dxa"/>
            <w:tcBorders>
              <w:top w:val="nil"/>
              <w:left w:val="nil"/>
              <w:bottom w:val="single" w:sz="8" w:space="0" w:color="365F91"/>
              <w:right w:val="single" w:sz="8" w:space="0" w:color="365F91"/>
            </w:tcBorders>
            <w:shd w:val="clear" w:color="auto" w:fill="auto"/>
            <w:vAlign w:val="center"/>
            <w:hideMark/>
          </w:tcPr>
          <w:p w14:paraId="441AA06C"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 </w:t>
            </w:r>
          </w:p>
        </w:tc>
        <w:tc>
          <w:tcPr>
            <w:tcW w:w="853" w:type="dxa"/>
            <w:tcBorders>
              <w:top w:val="nil"/>
              <w:left w:val="nil"/>
              <w:bottom w:val="single" w:sz="8" w:space="0" w:color="365F91"/>
              <w:right w:val="single" w:sz="8" w:space="0" w:color="365F91"/>
            </w:tcBorders>
            <w:shd w:val="clear" w:color="auto" w:fill="auto"/>
            <w:vAlign w:val="center"/>
            <w:hideMark/>
          </w:tcPr>
          <w:p w14:paraId="4C89161E"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 </w:t>
            </w:r>
          </w:p>
        </w:tc>
        <w:tc>
          <w:tcPr>
            <w:tcW w:w="853" w:type="dxa"/>
            <w:tcBorders>
              <w:top w:val="nil"/>
              <w:left w:val="nil"/>
              <w:bottom w:val="single" w:sz="8" w:space="0" w:color="365F91"/>
            </w:tcBorders>
            <w:shd w:val="clear" w:color="auto" w:fill="auto"/>
            <w:vAlign w:val="center"/>
            <w:hideMark/>
          </w:tcPr>
          <w:p w14:paraId="4222504B"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0.0</w:t>
            </w:r>
          </w:p>
        </w:tc>
      </w:tr>
      <w:tr w:rsidR="00380BE7" w:rsidRPr="00256982" w14:paraId="1C76C615" w14:textId="77777777" w:rsidTr="009574E7">
        <w:trPr>
          <w:trHeight w:val="222"/>
        </w:trPr>
        <w:tc>
          <w:tcPr>
            <w:tcW w:w="1124" w:type="dxa"/>
            <w:tcBorders>
              <w:top w:val="nil"/>
              <w:bottom w:val="nil"/>
              <w:right w:val="nil"/>
            </w:tcBorders>
            <w:shd w:val="clear" w:color="auto" w:fill="auto"/>
            <w:noWrap/>
            <w:vAlign w:val="center"/>
            <w:hideMark/>
          </w:tcPr>
          <w:p w14:paraId="792F9DAB" w14:textId="77777777" w:rsidR="00380BE7" w:rsidRPr="00256982" w:rsidRDefault="00380BE7" w:rsidP="009574E7">
            <w:pPr>
              <w:pStyle w:val="TableText"/>
              <w:rPr>
                <w:b/>
                <w:lang w:eastAsia="en-NZ"/>
              </w:rPr>
            </w:pPr>
            <w:r w:rsidRPr="00256982">
              <w:rPr>
                <w:b/>
                <w:lang w:eastAsia="en-NZ"/>
              </w:rPr>
              <w:t>Cropland</w:t>
            </w:r>
          </w:p>
        </w:tc>
        <w:tc>
          <w:tcPr>
            <w:tcW w:w="1061" w:type="dxa"/>
            <w:tcBorders>
              <w:top w:val="nil"/>
              <w:left w:val="nil"/>
              <w:bottom w:val="nil"/>
              <w:right w:val="single" w:sz="2" w:space="0" w:color="366092"/>
            </w:tcBorders>
            <w:shd w:val="clear" w:color="auto" w:fill="auto"/>
            <w:vAlign w:val="center"/>
            <w:hideMark/>
          </w:tcPr>
          <w:p w14:paraId="32C0A3DB" w14:textId="77777777" w:rsidR="00380BE7" w:rsidRPr="00256982" w:rsidRDefault="00380BE7" w:rsidP="009574E7">
            <w:pPr>
              <w:pStyle w:val="TableText"/>
              <w:rPr>
                <w:lang w:eastAsia="en-NZ"/>
              </w:rPr>
            </w:pPr>
            <w:r w:rsidRPr="00256982">
              <w:rPr>
                <w:lang w:eastAsia="en-NZ"/>
              </w:rPr>
              <w:t>Annual</w:t>
            </w:r>
          </w:p>
        </w:tc>
        <w:tc>
          <w:tcPr>
            <w:tcW w:w="834" w:type="dxa"/>
            <w:tcBorders>
              <w:top w:val="nil"/>
              <w:left w:val="single" w:sz="2" w:space="0" w:color="366092"/>
              <w:bottom w:val="nil"/>
              <w:right w:val="nil"/>
            </w:tcBorders>
            <w:shd w:val="clear" w:color="auto" w:fill="auto"/>
            <w:vAlign w:val="center"/>
            <w:hideMark/>
          </w:tcPr>
          <w:p w14:paraId="235AD06B" w14:textId="77777777" w:rsidR="00380BE7" w:rsidRPr="00256982" w:rsidRDefault="00380BE7" w:rsidP="009574E7">
            <w:pPr>
              <w:jc w:val="right"/>
              <w:rPr>
                <w:rFonts w:ascii="Arial" w:hAnsi="Arial" w:cs="Arial"/>
                <w:color w:val="000000"/>
                <w:sz w:val="16"/>
                <w:szCs w:val="16"/>
              </w:rPr>
            </w:pPr>
          </w:p>
        </w:tc>
        <w:tc>
          <w:tcPr>
            <w:tcW w:w="834" w:type="dxa"/>
            <w:tcBorders>
              <w:top w:val="nil"/>
              <w:left w:val="nil"/>
              <w:bottom w:val="nil"/>
              <w:right w:val="nil"/>
            </w:tcBorders>
            <w:shd w:val="clear" w:color="auto" w:fill="auto"/>
            <w:vAlign w:val="center"/>
            <w:hideMark/>
          </w:tcPr>
          <w:p w14:paraId="6DFA53C3" w14:textId="77777777" w:rsidR="00380BE7" w:rsidRPr="00256982" w:rsidRDefault="00380BE7" w:rsidP="009574E7">
            <w:pPr>
              <w:jc w:val="right"/>
              <w:rPr>
                <w:sz w:val="20"/>
              </w:rPr>
            </w:pPr>
          </w:p>
        </w:tc>
        <w:tc>
          <w:tcPr>
            <w:tcW w:w="835" w:type="dxa"/>
            <w:tcBorders>
              <w:top w:val="nil"/>
              <w:left w:val="nil"/>
              <w:bottom w:val="nil"/>
              <w:right w:val="single" w:sz="8" w:space="0" w:color="365F91"/>
            </w:tcBorders>
            <w:shd w:val="clear" w:color="auto" w:fill="auto"/>
            <w:vAlign w:val="center"/>
            <w:hideMark/>
          </w:tcPr>
          <w:p w14:paraId="376C5734"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 </w:t>
            </w:r>
          </w:p>
        </w:tc>
        <w:tc>
          <w:tcPr>
            <w:tcW w:w="921" w:type="dxa"/>
            <w:tcBorders>
              <w:top w:val="nil"/>
              <w:left w:val="nil"/>
              <w:bottom w:val="nil"/>
              <w:right w:val="nil"/>
            </w:tcBorders>
            <w:shd w:val="clear" w:color="000000" w:fill="D8D8D8"/>
            <w:vAlign w:val="center"/>
            <w:hideMark/>
          </w:tcPr>
          <w:p w14:paraId="525A2701"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325.1</w:t>
            </w:r>
          </w:p>
        </w:tc>
        <w:tc>
          <w:tcPr>
            <w:tcW w:w="939" w:type="dxa"/>
            <w:tcBorders>
              <w:top w:val="nil"/>
              <w:left w:val="nil"/>
              <w:bottom w:val="nil"/>
              <w:right w:val="single" w:sz="8" w:space="0" w:color="365F91"/>
            </w:tcBorders>
            <w:shd w:val="clear" w:color="auto" w:fill="auto"/>
            <w:vAlign w:val="center"/>
            <w:hideMark/>
          </w:tcPr>
          <w:p w14:paraId="67972548"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 </w:t>
            </w:r>
          </w:p>
        </w:tc>
        <w:tc>
          <w:tcPr>
            <w:tcW w:w="1002" w:type="dxa"/>
            <w:tcBorders>
              <w:top w:val="nil"/>
              <w:left w:val="nil"/>
              <w:bottom w:val="nil"/>
              <w:right w:val="nil"/>
            </w:tcBorders>
            <w:shd w:val="clear" w:color="auto" w:fill="auto"/>
            <w:vAlign w:val="center"/>
            <w:hideMark/>
          </w:tcPr>
          <w:p w14:paraId="2C7E25C8"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21.0</w:t>
            </w:r>
          </w:p>
        </w:tc>
        <w:tc>
          <w:tcPr>
            <w:tcW w:w="1002" w:type="dxa"/>
            <w:tcBorders>
              <w:top w:val="nil"/>
              <w:left w:val="nil"/>
              <w:bottom w:val="nil"/>
              <w:right w:val="nil"/>
            </w:tcBorders>
            <w:shd w:val="clear" w:color="auto" w:fill="auto"/>
            <w:vAlign w:val="center"/>
            <w:hideMark/>
          </w:tcPr>
          <w:p w14:paraId="7E7C2F56"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8.9</w:t>
            </w:r>
          </w:p>
        </w:tc>
        <w:tc>
          <w:tcPr>
            <w:tcW w:w="869" w:type="dxa"/>
            <w:tcBorders>
              <w:top w:val="nil"/>
              <w:left w:val="nil"/>
              <w:bottom w:val="nil"/>
              <w:right w:val="single" w:sz="8" w:space="0" w:color="365F91"/>
            </w:tcBorders>
            <w:shd w:val="clear" w:color="auto" w:fill="auto"/>
            <w:vAlign w:val="center"/>
            <w:hideMark/>
          </w:tcPr>
          <w:p w14:paraId="7D30F398"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 </w:t>
            </w:r>
          </w:p>
        </w:tc>
        <w:tc>
          <w:tcPr>
            <w:tcW w:w="827" w:type="dxa"/>
            <w:tcBorders>
              <w:top w:val="nil"/>
              <w:left w:val="nil"/>
              <w:bottom w:val="nil"/>
              <w:right w:val="nil"/>
            </w:tcBorders>
            <w:shd w:val="clear" w:color="auto" w:fill="auto"/>
            <w:vAlign w:val="center"/>
            <w:hideMark/>
          </w:tcPr>
          <w:p w14:paraId="59FE0A13" w14:textId="77777777" w:rsidR="00380BE7" w:rsidRPr="00256982" w:rsidRDefault="00380BE7" w:rsidP="009574E7">
            <w:pPr>
              <w:jc w:val="right"/>
              <w:rPr>
                <w:rFonts w:ascii="Arial" w:hAnsi="Arial" w:cs="Arial"/>
                <w:color w:val="000000"/>
                <w:sz w:val="16"/>
                <w:szCs w:val="16"/>
              </w:rPr>
            </w:pPr>
          </w:p>
        </w:tc>
        <w:tc>
          <w:tcPr>
            <w:tcW w:w="983" w:type="dxa"/>
            <w:tcBorders>
              <w:top w:val="nil"/>
              <w:left w:val="nil"/>
              <w:bottom w:val="nil"/>
              <w:right w:val="single" w:sz="8" w:space="0" w:color="365F91"/>
            </w:tcBorders>
            <w:shd w:val="clear" w:color="auto" w:fill="auto"/>
            <w:vAlign w:val="center"/>
            <w:hideMark/>
          </w:tcPr>
          <w:p w14:paraId="01D55E7C"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 </w:t>
            </w:r>
          </w:p>
        </w:tc>
        <w:tc>
          <w:tcPr>
            <w:tcW w:w="1125" w:type="dxa"/>
            <w:tcBorders>
              <w:top w:val="nil"/>
              <w:left w:val="nil"/>
              <w:bottom w:val="nil"/>
              <w:right w:val="single" w:sz="8" w:space="0" w:color="365F91"/>
            </w:tcBorders>
            <w:shd w:val="clear" w:color="auto" w:fill="auto"/>
            <w:vAlign w:val="center"/>
            <w:hideMark/>
          </w:tcPr>
          <w:p w14:paraId="71967DE1"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 </w:t>
            </w:r>
          </w:p>
        </w:tc>
        <w:tc>
          <w:tcPr>
            <w:tcW w:w="853" w:type="dxa"/>
            <w:tcBorders>
              <w:top w:val="nil"/>
              <w:left w:val="nil"/>
              <w:bottom w:val="nil"/>
              <w:right w:val="single" w:sz="8" w:space="0" w:color="365F91"/>
            </w:tcBorders>
            <w:shd w:val="clear" w:color="auto" w:fill="auto"/>
            <w:vAlign w:val="center"/>
            <w:hideMark/>
          </w:tcPr>
          <w:p w14:paraId="356821D8"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 </w:t>
            </w:r>
          </w:p>
        </w:tc>
        <w:tc>
          <w:tcPr>
            <w:tcW w:w="853" w:type="dxa"/>
            <w:tcBorders>
              <w:top w:val="nil"/>
              <w:left w:val="nil"/>
              <w:bottom w:val="nil"/>
            </w:tcBorders>
            <w:shd w:val="clear" w:color="auto" w:fill="auto"/>
            <w:vAlign w:val="center"/>
            <w:hideMark/>
          </w:tcPr>
          <w:p w14:paraId="76E724AC"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355.0</w:t>
            </w:r>
          </w:p>
        </w:tc>
      </w:tr>
      <w:tr w:rsidR="00380BE7" w:rsidRPr="00256982" w14:paraId="4889921D" w14:textId="77777777" w:rsidTr="009574E7">
        <w:trPr>
          <w:trHeight w:val="222"/>
        </w:trPr>
        <w:tc>
          <w:tcPr>
            <w:tcW w:w="1124" w:type="dxa"/>
            <w:tcBorders>
              <w:top w:val="nil"/>
              <w:bottom w:val="single" w:sz="8" w:space="0" w:color="365F91"/>
              <w:right w:val="nil"/>
            </w:tcBorders>
            <w:shd w:val="clear" w:color="auto" w:fill="auto"/>
            <w:noWrap/>
            <w:vAlign w:val="center"/>
            <w:hideMark/>
          </w:tcPr>
          <w:p w14:paraId="1399E72D" w14:textId="77777777" w:rsidR="00380BE7" w:rsidRPr="00256982" w:rsidRDefault="00380BE7" w:rsidP="009574E7">
            <w:pPr>
              <w:pStyle w:val="TableText"/>
              <w:rPr>
                <w:b/>
                <w:lang w:eastAsia="en-NZ"/>
              </w:rPr>
            </w:pPr>
            <w:r w:rsidRPr="00256982">
              <w:rPr>
                <w:b/>
                <w:lang w:eastAsia="en-NZ"/>
              </w:rPr>
              <w:t> </w:t>
            </w:r>
          </w:p>
        </w:tc>
        <w:tc>
          <w:tcPr>
            <w:tcW w:w="1061" w:type="dxa"/>
            <w:tcBorders>
              <w:top w:val="nil"/>
              <w:left w:val="nil"/>
              <w:bottom w:val="single" w:sz="8" w:space="0" w:color="365F91"/>
              <w:right w:val="single" w:sz="2" w:space="0" w:color="366092"/>
            </w:tcBorders>
            <w:shd w:val="clear" w:color="auto" w:fill="auto"/>
            <w:vAlign w:val="center"/>
            <w:hideMark/>
          </w:tcPr>
          <w:p w14:paraId="12467122" w14:textId="77777777" w:rsidR="00380BE7" w:rsidRPr="00256982" w:rsidRDefault="00380BE7" w:rsidP="009574E7">
            <w:pPr>
              <w:pStyle w:val="TableText"/>
              <w:rPr>
                <w:lang w:eastAsia="en-NZ"/>
              </w:rPr>
            </w:pPr>
            <w:r w:rsidRPr="00256982">
              <w:rPr>
                <w:lang w:eastAsia="en-NZ"/>
              </w:rPr>
              <w:t>Perennial</w:t>
            </w:r>
          </w:p>
        </w:tc>
        <w:tc>
          <w:tcPr>
            <w:tcW w:w="834" w:type="dxa"/>
            <w:tcBorders>
              <w:top w:val="nil"/>
              <w:left w:val="single" w:sz="2" w:space="0" w:color="366092"/>
              <w:bottom w:val="single" w:sz="8" w:space="0" w:color="365F91"/>
              <w:right w:val="nil"/>
            </w:tcBorders>
            <w:shd w:val="clear" w:color="auto" w:fill="auto"/>
            <w:vAlign w:val="center"/>
            <w:hideMark/>
          </w:tcPr>
          <w:p w14:paraId="336ED947"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 </w:t>
            </w:r>
          </w:p>
        </w:tc>
        <w:tc>
          <w:tcPr>
            <w:tcW w:w="834" w:type="dxa"/>
            <w:tcBorders>
              <w:top w:val="nil"/>
              <w:left w:val="nil"/>
              <w:bottom w:val="single" w:sz="8" w:space="0" w:color="365F91"/>
              <w:right w:val="nil"/>
            </w:tcBorders>
            <w:shd w:val="clear" w:color="auto" w:fill="auto"/>
            <w:vAlign w:val="center"/>
            <w:hideMark/>
          </w:tcPr>
          <w:p w14:paraId="3E924DE9"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 </w:t>
            </w:r>
          </w:p>
        </w:tc>
        <w:tc>
          <w:tcPr>
            <w:tcW w:w="835" w:type="dxa"/>
            <w:tcBorders>
              <w:top w:val="nil"/>
              <w:left w:val="nil"/>
              <w:bottom w:val="single" w:sz="8" w:space="0" w:color="365F91"/>
              <w:right w:val="single" w:sz="8" w:space="0" w:color="365F91"/>
            </w:tcBorders>
            <w:shd w:val="clear" w:color="auto" w:fill="auto"/>
            <w:vAlign w:val="center"/>
            <w:hideMark/>
          </w:tcPr>
          <w:p w14:paraId="0DC3CAAD" w14:textId="77777777" w:rsidR="00380BE7" w:rsidRPr="00256982" w:rsidRDefault="00380BE7" w:rsidP="009574E7">
            <w:pPr>
              <w:jc w:val="left"/>
              <w:rPr>
                <w:rFonts w:ascii="Arial" w:hAnsi="Arial" w:cs="Arial"/>
                <w:color w:val="000000"/>
                <w:sz w:val="16"/>
                <w:szCs w:val="16"/>
              </w:rPr>
            </w:pPr>
            <w:r w:rsidRPr="00256982">
              <w:rPr>
                <w:rFonts w:ascii="Arial" w:hAnsi="Arial" w:cs="Arial"/>
                <w:color w:val="000000"/>
                <w:sz w:val="16"/>
                <w:szCs w:val="16"/>
              </w:rPr>
              <w:t> </w:t>
            </w:r>
          </w:p>
        </w:tc>
        <w:tc>
          <w:tcPr>
            <w:tcW w:w="921" w:type="dxa"/>
            <w:tcBorders>
              <w:top w:val="nil"/>
              <w:left w:val="nil"/>
              <w:bottom w:val="single" w:sz="8" w:space="0" w:color="365F91"/>
              <w:right w:val="nil"/>
            </w:tcBorders>
            <w:shd w:val="clear" w:color="auto" w:fill="auto"/>
            <w:vAlign w:val="center"/>
            <w:hideMark/>
          </w:tcPr>
          <w:p w14:paraId="2B42F8F5"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0.9</w:t>
            </w:r>
          </w:p>
        </w:tc>
        <w:tc>
          <w:tcPr>
            <w:tcW w:w="939" w:type="dxa"/>
            <w:tcBorders>
              <w:top w:val="nil"/>
              <w:left w:val="nil"/>
              <w:bottom w:val="single" w:sz="8" w:space="0" w:color="365F91"/>
              <w:right w:val="single" w:sz="8" w:space="0" w:color="365F91"/>
            </w:tcBorders>
            <w:shd w:val="clear" w:color="000000" w:fill="D8D8D8"/>
            <w:vAlign w:val="center"/>
            <w:hideMark/>
          </w:tcPr>
          <w:p w14:paraId="4355ABFD"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58.8</w:t>
            </w:r>
          </w:p>
        </w:tc>
        <w:tc>
          <w:tcPr>
            <w:tcW w:w="1002" w:type="dxa"/>
            <w:tcBorders>
              <w:top w:val="nil"/>
              <w:left w:val="nil"/>
              <w:bottom w:val="single" w:sz="8" w:space="0" w:color="365F91"/>
              <w:right w:val="nil"/>
            </w:tcBorders>
            <w:shd w:val="clear" w:color="auto" w:fill="auto"/>
            <w:vAlign w:val="center"/>
            <w:hideMark/>
          </w:tcPr>
          <w:p w14:paraId="48B3F2B5"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5.0</w:t>
            </w:r>
          </w:p>
        </w:tc>
        <w:tc>
          <w:tcPr>
            <w:tcW w:w="1002" w:type="dxa"/>
            <w:tcBorders>
              <w:top w:val="nil"/>
              <w:left w:val="nil"/>
              <w:bottom w:val="single" w:sz="8" w:space="0" w:color="365F91"/>
              <w:right w:val="nil"/>
            </w:tcBorders>
            <w:shd w:val="clear" w:color="auto" w:fill="auto"/>
            <w:vAlign w:val="center"/>
            <w:hideMark/>
          </w:tcPr>
          <w:p w14:paraId="3A72F5E0"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4.4</w:t>
            </w:r>
          </w:p>
        </w:tc>
        <w:tc>
          <w:tcPr>
            <w:tcW w:w="869" w:type="dxa"/>
            <w:tcBorders>
              <w:top w:val="nil"/>
              <w:left w:val="nil"/>
              <w:bottom w:val="single" w:sz="8" w:space="0" w:color="365F91"/>
              <w:right w:val="single" w:sz="8" w:space="0" w:color="365F91"/>
            </w:tcBorders>
            <w:shd w:val="clear" w:color="auto" w:fill="auto"/>
            <w:vAlign w:val="center"/>
            <w:hideMark/>
          </w:tcPr>
          <w:p w14:paraId="674F7055"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 </w:t>
            </w:r>
          </w:p>
        </w:tc>
        <w:tc>
          <w:tcPr>
            <w:tcW w:w="827" w:type="dxa"/>
            <w:tcBorders>
              <w:top w:val="nil"/>
              <w:left w:val="nil"/>
              <w:bottom w:val="single" w:sz="8" w:space="0" w:color="365F91"/>
              <w:right w:val="nil"/>
            </w:tcBorders>
            <w:shd w:val="clear" w:color="auto" w:fill="auto"/>
            <w:vAlign w:val="center"/>
            <w:hideMark/>
          </w:tcPr>
          <w:p w14:paraId="6D956489"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 </w:t>
            </w:r>
          </w:p>
        </w:tc>
        <w:tc>
          <w:tcPr>
            <w:tcW w:w="983" w:type="dxa"/>
            <w:tcBorders>
              <w:top w:val="nil"/>
              <w:left w:val="nil"/>
              <w:bottom w:val="single" w:sz="8" w:space="0" w:color="365F91"/>
              <w:right w:val="single" w:sz="8" w:space="0" w:color="365F91"/>
            </w:tcBorders>
            <w:shd w:val="clear" w:color="auto" w:fill="auto"/>
            <w:vAlign w:val="center"/>
            <w:hideMark/>
          </w:tcPr>
          <w:p w14:paraId="173EDF0C"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 </w:t>
            </w:r>
          </w:p>
        </w:tc>
        <w:tc>
          <w:tcPr>
            <w:tcW w:w="1125" w:type="dxa"/>
            <w:tcBorders>
              <w:top w:val="nil"/>
              <w:left w:val="nil"/>
              <w:bottom w:val="single" w:sz="8" w:space="0" w:color="365F91"/>
              <w:right w:val="single" w:sz="8" w:space="0" w:color="365F91"/>
            </w:tcBorders>
            <w:shd w:val="clear" w:color="auto" w:fill="auto"/>
            <w:vAlign w:val="center"/>
            <w:hideMark/>
          </w:tcPr>
          <w:p w14:paraId="61FF8BD3"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 </w:t>
            </w:r>
          </w:p>
        </w:tc>
        <w:tc>
          <w:tcPr>
            <w:tcW w:w="853" w:type="dxa"/>
            <w:tcBorders>
              <w:top w:val="nil"/>
              <w:left w:val="nil"/>
              <w:bottom w:val="single" w:sz="8" w:space="0" w:color="365F91"/>
              <w:right w:val="single" w:sz="8" w:space="0" w:color="365F91"/>
            </w:tcBorders>
            <w:shd w:val="clear" w:color="auto" w:fill="auto"/>
            <w:vAlign w:val="center"/>
            <w:hideMark/>
          </w:tcPr>
          <w:p w14:paraId="23A40DE6"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 </w:t>
            </w:r>
          </w:p>
        </w:tc>
        <w:tc>
          <w:tcPr>
            <w:tcW w:w="853" w:type="dxa"/>
            <w:tcBorders>
              <w:top w:val="nil"/>
              <w:left w:val="nil"/>
              <w:bottom w:val="single" w:sz="8" w:space="0" w:color="365F91"/>
            </w:tcBorders>
            <w:shd w:val="clear" w:color="auto" w:fill="auto"/>
            <w:vAlign w:val="center"/>
            <w:hideMark/>
          </w:tcPr>
          <w:p w14:paraId="67B5E7C6"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69.1</w:t>
            </w:r>
          </w:p>
        </w:tc>
      </w:tr>
      <w:tr w:rsidR="00380BE7" w:rsidRPr="00256982" w14:paraId="0A75F905" w14:textId="77777777" w:rsidTr="009574E7">
        <w:trPr>
          <w:trHeight w:val="328"/>
        </w:trPr>
        <w:tc>
          <w:tcPr>
            <w:tcW w:w="1124" w:type="dxa"/>
            <w:tcBorders>
              <w:top w:val="nil"/>
              <w:bottom w:val="nil"/>
              <w:right w:val="nil"/>
            </w:tcBorders>
            <w:shd w:val="clear" w:color="auto" w:fill="auto"/>
            <w:noWrap/>
            <w:vAlign w:val="center"/>
            <w:hideMark/>
          </w:tcPr>
          <w:p w14:paraId="60B72DB0" w14:textId="77777777" w:rsidR="00380BE7" w:rsidRPr="00256982" w:rsidRDefault="00380BE7" w:rsidP="009574E7">
            <w:pPr>
              <w:pStyle w:val="TableText"/>
              <w:rPr>
                <w:b/>
                <w:lang w:eastAsia="en-NZ"/>
              </w:rPr>
            </w:pPr>
            <w:r w:rsidRPr="00256982">
              <w:rPr>
                <w:b/>
                <w:lang w:eastAsia="en-NZ"/>
              </w:rPr>
              <w:t>Grassland</w:t>
            </w:r>
          </w:p>
        </w:tc>
        <w:tc>
          <w:tcPr>
            <w:tcW w:w="1061" w:type="dxa"/>
            <w:tcBorders>
              <w:top w:val="nil"/>
              <w:left w:val="nil"/>
              <w:bottom w:val="nil"/>
              <w:right w:val="single" w:sz="2" w:space="0" w:color="366092"/>
            </w:tcBorders>
            <w:shd w:val="clear" w:color="auto" w:fill="auto"/>
            <w:vAlign w:val="center"/>
            <w:hideMark/>
          </w:tcPr>
          <w:p w14:paraId="6E6099E4" w14:textId="77777777" w:rsidR="00380BE7" w:rsidRPr="00256982" w:rsidRDefault="00380BE7" w:rsidP="009574E7">
            <w:pPr>
              <w:pStyle w:val="TableText"/>
              <w:rPr>
                <w:lang w:eastAsia="en-NZ"/>
              </w:rPr>
            </w:pPr>
            <w:r w:rsidRPr="00256982">
              <w:rPr>
                <w:lang w:eastAsia="en-NZ"/>
              </w:rPr>
              <w:t>High producing</w:t>
            </w:r>
          </w:p>
        </w:tc>
        <w:tc>
          <w:tcPr>
            <w:tcW w:w="834" w:type="dxa"/>
            <w:tcBorders>
              <w:top w:val="nil"/>
              <w:left w:val="single" w:sz="2" w:space="0" w:color="366092"/>
              <w:bottom w:val="nil"/>
              <w:right w:val="nil"/>
            </w:tcBorders>
            <w:shd w:val="clear" w:color="auto" w:fill="auto"/>
            <w:vAlign w:val="center"/>
            <w:hideMark/>
          </w:tcPr>
          <w:p w14:paraId="0AFCC1AF"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78.6</w:t>
            </w:r>
          </w:p>
        </w:tc>
        <w:tc>
          <w:tcPr>
            <w:tcW w:w="834" w:type="dxa"/>
            <w:tcBorders>
              <w:top w:val="nil"/>
              <w:left w:val="nil"/>
              <w:bottom w:val="nil"/>
              <w:right w:val="nil"/>
            </w:tcBorders>
            <w:shd w:val="clear" w:color="auto" w:fill="auto"/>
            <w:vAlign w:val="center"/>
            <w:hideMark/>
          </w:tcPr>
          <w:p w14:paraId="1D9F01CF" w14:textId="77777777" w:rsidR="00380BE7" w:rsidRPr="00256982" w:rsidRDefault="00380BE7" w:rsidP="009574E7">
            <w:pPr>
              <w:jc w:val="right"/>
              <w:rPr>
                <w:rFonts w:ascii="Arial" w:hAnsi="Arial" w:cs="Arial"/>
                <w:color w:val="000000"/>
                <w:sz w:val="16"/>
                <w:szCs w:val="16"/>
              </w:rPr>
            </w:pPr>
          </w:p>
        </w:tc>
        <w:tc>
          <w:tcPr>
            <w:tcW w:w="835" w:type="dxa"/>
            <w:tcBorders>
              <w:top w:val="nil"/>
              <w:left w:val="nil"/>
              <w:bottom w:val="nil"/>
              <w:right w:val="single" w:sz="8" w:space="0" w:color="365F91"/>
            </w:tcBorders>
            <w:shd w:val="clear" w:color="auto" w:fill="auto"/>
            <w:vAlign w:val="center"/>
            <w:hideMark/>
          </w:tcPr>
          <w:p w14:paraId="7815349E"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 </w:t>
            </w:r>
          </w:p>
        </w:tc>
        <w:tc>
          <w:tcPr>
            <w:tcW w:w="921" w:type="dxa"/>
            <w:tcBorders>
              <w:top w:val="nil"/>
              <w:left w:val="nil"/>
              <w:bottom w:val="nil"/>
              <w:right w:val="nil"/>
            </w:tcBorders>
            <w:shd w:val="clear" w:color="auto" w:fill="auto"/>
            <w:vAlign w:val="center"/>
            <w:hideMark/>
          </w:tcPr>
          <w:p w14:paraId="60908A1B"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21.7</w:t>
            </w:r>
          </w:p>
        </w:tc>
        <w:tc>
          <w:tcPr>
            <w:tcW w:w="939" w:type="dxa"/>
            <w:tcBorders>
              <w:top w:val="nil"/>
              <w:left w:val="nil"/>
              <w:bottom w:val="nil"/>
              <w:right w:val="single" w:sz="8" w:space="0" w:color="365F91"/>
            </w:tcBorders>
            <w:shd w:val="clear" w:color="auto" w:fill="auto"/>
            <w:vAlign w:val="center"/>
            <w:hideMark/>
          </w:tcPr>
          <w:p w14:paraId="240F1FA0"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19.4</w:t>
            </w:r>
          </w:p>
        </w:tc>
        <w:tc>
          <w:tcPr>
            <w:tcW w:w="1002" w:type="dxa"/>
            <w:tcBorders>
              <w:top w:val="nil"/>
              <w:left w:val="nil"/>
              <w:bottom w:val="nil"/>
              <w:right w:val="nil"/>
            </w:tcBorders>
            <w:shd w:val="clear" w:color="000000" w:fill="D8D8D8"/>
            <w:vAlign w:val="center"/>
            <w:hideMark/>
          </w:tcPr>
          <w:p w14:paraId="733D1397"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4,819.2</w:t>
            </w:r>
          </w:p>
        </w:tc>
        <w:tc>
          <w:tcPr>
            <w:tcW w:w="1002" w:type="dxa"/>
            <w:tcBorders>
              <w:top w:val="nil"/>
              <w:left w:val="nil"/>
              <w:bottom w:val="nil"/>
              <w:right w:val="nil"/>
            </w:tcBorders>
            <w:shd w:val="clear" w:color="auto" w:fill="auto"/>
            <w:vAlign w:val="center"/>
            <w:hideMark/>
          </w:tcPr>
          <w:p w14:paraId="0925793A"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483.7</w:t>
            </w:r>
          </w:p>
        </w:tc>
        <w:tc>
          <w:tcPr>
            <w:tcW w:w="869" w:type="dxa"/>
            <w:tcBorders>
              <w:top w:val="nil"/>
              <w:left w:val="nil"/>
              <w:bottom w:val="nil"/>
              <w:right w:val="single" w:sz="8" w:space="0" w:color="365F91"/>
            </w:tcBorders>
            <w:shd w:val="clear" w:color="auto" w:fill="auto"/>
            <w:vAlign w:val="center"/>
            <w:hideMark/>
          </w:tcPr>
          <w:p w14:paraId="7DA852CD"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366.0</w:t>
            </w:r>
          </w:p>
        </w:tc>
        <w:tc>
          <w:tcPr>
            <w:tcW w:w="827" w:type="dxa"/>
            <w:tcBorders>
              <w:top w:val="nil"/>
              <w:left w:val="nil"/>
              <w:bottom w:val="nil"/>
              <w:right w:val="nil"/>
            </w:tcBorders>
            <w:shd w:val="clear" w:color="auto" w:fill="auto"/>
            <w:vAlign w:val="center"/>
            <w:hideMark/>
          </w:tcPr>
          <w:p w14:paraId="3D7D6D2C" w14:textId="77777777" w:rsidR="00380BE7" w:rsidRPr="00256982" w:rsidRDefault="00380BE7" w:rsidP="009574E7">
            <w:pPr>
              <w:jc w:val="right"/>
              <w:rPr>
                <w:rFonts w:ascii="Arial" w:hAnsi="Arial" w:cs="Arial"/>
                <w:color w:val="000000"/>
                <w:sz w:val="16"/>
                <w:szCs w:val="16"/>
              </w:rPr>
            </w:pPr>
          </w:p>
        </w:tc>
        <w:tc>
          <w:tcPr>
            <w:tcW w:w="983" w:type="dxa"/>
            <w:tcBorders>
              <w:top w:val="nil"/>
              <w:left w:val="nil"/>
              <w:bottom w:val="nil"/>
              <w:right w:val="single" w:sz="8" w:space="0" w:color="365F91"/>
            </w:tcBorders>
            <w:shd w:val="clear" w:color="auto" w:fill="auto"/>
            <w:vAlign w:val="center"/>
            <w:hideMark/>
          </w:tcPr>
          <w:p w14:paraId="0FD1FDA4"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64.6</w:t>
            </w:r>
          </w:p>
        </w:tc>
        <w:tc>
          <w:tcPr>
            <w:tcW w:w="1125" w:type="dxa"/>
            <w:tcBorders>
              <w:top w:val="nil"/>
              <w:left w:val="nil"/>
              <w:bottom w:val="nil"/>
              <w:right w:val="single" w:sz="8" w:space="0" w:color="365F91"/>
            </w:tcBorders>
            <w:shd w:val="clear" w:color="auto" w:fill="auto"/>
            <w:vAlign w:val="center"/>
            <w:hideMark/>
          </w:tcPr>
          <w:p w14:paraId="05FC2917"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 </w:t>
            </w:r>
          </w:p>
        </w:tc>
        <w:tc>
          <w:tcPr>
            <w:tcW w:w="853" w:type="dxa"/>
            <w:tcBorders>
              <w:top w:val="nil"/>
              <w:left w:val="nil"/>
              <w:bottom w:val="nil"/>
              <w:right w:val="single" w:sz="8" w:space="0" w:color="365F91"/>
            </w:tcBorders>
            <w:shd w:val="clear" w:color="auto" w:fill="auto"/>
            <w:vAlign w:val="center"/>
            <w:hideMark/>
          </w:tcPr>
          <w:p w14:paraId="35C106C9"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 </w:t>
            </w:r>
          </w:p>
        </w:tc>
        <w:tc>
          <w:tcPr>
            <w:tcW w:w="853" w:type="dxa"/>
            <w:tcBorders>
              <w:top w:val="nil"/>
              <w:left w:val="nil"/>
              <w:bottom w:val="nil"/>
            </w:tcBorders>
            <w:shd w:val="clear" w:color="auto" w:fill="auto"/>
            <w:vAlign w:val="center"/>
            <w:hideMark/>
          </w:tcPr>
          <w:p w14:paraId="492E2609"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5,853.2</w:t>
            </w:r>
          </w:p>
        </w:tc>
      </w:tr>
      <w:tr w:rsidR="00380BE7" w:rsidRPr="00256982" w14:paraId="22C5FDD5" w14:textId="77777777" w:rsidTr="009574E7">
        <w:trPr>
          <w:trHeight w:val="328"/>
        </w:trPr>
        <w:tc>
          <w:tcPr>
            <w:tcW w:w="1124" w:type="dxa"/>
            <w:tcBorders>
              <w:top w:val="nil"/>
              <w:bottom w:val="nil"/>
              <w:right w:val="nil"/>
            </w:tcBorders>
            <w:shd w:val="clear" w:color="auto" w:fill="auto"/>
            <w:noWrap/>
            <w:vAlign w:val="center"/>
            <w:hideMark/>
          </w:tcPr>
          <w:p w14:paraId="6ADEEECF" w14:textId="77777777" w:rsidR="00380BE7" w:rsidRPr="00256982" w:rsidRDefault="00380BE7" w:rsidP="009574E7">
            <w:pPr>
              <w:pStyle w:val="TableText"/>
              <w:rPr>
                <w:b/>
                <w:lang w:eastAsia="en-NZ"/>
              </w:rPr>
            </w:pPr>
            <w:r w:rsidRPr="00256982">
              <w:rPr>
                <w:b/>
                <w:lang w:eastAsia="en-NZ"/>
              </w:rPr>
              <w:t> </w:t>
            </w:r>
          </w:p>
        </w:tc>
        <w:tc>
          <w:tcPr>
            <w:tcW w:w="1061" w:type="dxa"/>
            <w:tcBorders>
              <w:top w:val="nil"/>
              <w:left w:val="nil"/>
              <w:bottom w:val="nil"/>
              <w:right w:val="single" w:sz="2" w:space="0" w:color="366092"/>
            </w:tcBorders>
            <w:shd w:val="clear" w:color="auto" w:fill="auto"/>
            <w:vAlign w:val="center"/>
            <w:hideMark/>
          </w:tcPr>
          <w:p w14:paraId="057C6BAC" w14:textId="77777777" w:rsidR="00380BE7" w:rsidRPr="00256982" w:rsidRDefault="00380BE7" w:rsidP="009574E7">
            <w:pPr>
              <w:pStyle w:val="TableText"/>
              <w:rPr>
                <w:lang w:eastAsia="en-NZ"/>
              </w:rPr>
            </w:pPr>
            <w:r w:rsidRPr="00256982">
              <w:rPr>
                <w:lang w:eastAsia="en-NZ"/>
              </w:rPr>
              <w:t>Low producing</w:t>
            </w:r>
          </w:p>
        </w:tc>
        <w:tc>
          <w:tcPr>
            <w:tcW w:w="834" w:type="dxa"/>
            <w:tcBorders>
              <w:top w:val="nil"/>
              <w:left w:val="single" w:sz="2" w:space="0" w:color="366092"/>
              <w:bottom w:val="nil"/>
              <w:right w:val="nil"/>
            </w:tcBorders>
            <w:shd w:val="clear" w:color="auto" w:fill="auto"/>
            <w:vAlign w:val="center"/>
            <w:hideMark/>
          </w:tcPr>
          <w:p w14:paraId="113B4B54"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415.4</w:t>
            </w:r>
          </w:p>
        </w:tc>
        <w:tc>
          <w:tcPr>
            <w:tcW w:w="834" w:type="dxa"/>
            <w:tcBorders>
              <w:top w:val="nil"/>
              <w:left w:val="nil"/>
              <w:bottom w:val="nil"/>
              <w:right w:val="nil"/>
            </w:tcBorders>
            <w:shd w:val="clear" w:color="auto" w:fill="auto"/>
            <w:vAlign w:val="center"/>
            <w:hideMark/>
          </w:tcPr>
          <w:p w14:paraId="2AC57E94" w14:textId="77777777" w:rsidR="00380BE7" w:rsidRPr="00256982" w:rsidRDefault="00380BE7" w:rsidP="009574E7">
            <w:pPr>
              <w:jc w:val="right"/>
              <w:rPr>
                <w:rFonts w:ascii="Arial" w:hAnsi="Arial" w:cs="Arial"/>
                <w:color w:val="000000"/>
                <w:sz w:val="16"/>
                <w:szCs w:val="16"/>
              </w:rPr>
            </w:pPr>
          </w:p>
        </w:tc>
        <w:tc>
          <w:tcPr>
            <w:tcW w:w="835" w:type="dxa"/>
            <w:tcBorders>
              <w:top w:val="nil"/>
              <w:left w:val="nil"/>
              <w:bottom w:val="nil"/>
              <w:right w:val="single" w:sz="8" w:space="0" w:color="365F91"/>
            </w:tcBorders>
            <w:shd w:val="clear" w:color="auto" w:fill="auto"/>
            <w:vAlign w:val="center"/>
            <w:hideMark/>
          </w:tcPr>
          <w:p w14:paraId="7595BBEB"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 </w:t>
            </w:r>
          </w:p>
        </w:tc>
        <w:tc>
          <w:tcPr>
            <w:tcW w:w="921" w:type="dxa"/>
            <w:tcBorders>
              <w:top w:val="nil"/>
              <w:left w:val="nil"/>
              <w:bottom w:val="nil"/>
              <w:right w:val="nil"/>
            </w:tcBorders>
            <w:shd w:val="clear" w:color="auto" w:fill="auto"/>
            <w:vAlign w:val="center"/>
            <w:hideMark/>
          </w:tcPr>
          <w:p w14:paraId="0C572381" w14:textId="77777777" w:rsidR="00380BE7" w:rsidRPr="00256982" w:rsidRDefault="00380BE7" w:rsidP="009574E7">
            <w:pPr>
              <w:jc w:val="right"/>
              <w:rPr>
                <w:rFonts w:ascii="Arial" w:hAnsi="Arial" w:cs="Arial"/>
                <w:color w:val="000000"/>
                <w:sz w:val="16"/>
                <w:szCs w:val="16"/>
              </w:rPr>
            </w:pPr>
          </w:p>
        </w:tc>
        <w:tc>
          <w:tcPr>
            <w:tcW w:w="939" w:type="dxa"/>
            <w:tcBorders>
              <w:top w:val="nil"/>
              <w:left w:val="nil"/>
              <w:bottom w:val="nil"/>
              <w:right w:val="single" w:sz="8" w:space="0" w:color="365F91"/>
            </w:tcBorders>
            <w:shd w:val="clear" w:color="auto" w:fill="auto"/>
            <w:vAlign w:val="center"/>
            <w:hideMark/>
          </w:tcPr>
          <w:p w14:paraId="05F9CC88"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 </w:t>
            </w:r>
          </w:p>
        </w:tc>
        <w:tc>
          <w:tcPr>
            <w:tcW w:w="1002" w:type="dxa"/>
            <w:tcBorders>
              <w:top w:val="nil"/>
              <w:left w:val="nil"/>
              <w:bottom w:val="nil"/>
              <w:right w:val="nil"/>
            </w:tcBorders>
            <w:shd w:val="clear" w:color="auto" w:fill="auto"/>
            <w:vAlign w:val="center"/>
            <w:hideMark/>
          </w:tcPr>
          <w:p w14:paraId="5B282784" w14:textId="77777777" w:rsidR="00380BE7" w:rsidRPr="00256982" w:rsidRDefault="00380BE7" w:rsidP="009574E7">
            <w:pPr>
              <w:jc w:val="right"/>
              <w:rPr>
                <w:rFonts w:ascii="Arial" w:hAnsi="Arial" w:cs="Arial"/>
                <w:color w:val="000000"/>
                <w:sz w:val="16"/>
                <w:szCs w:val="16"/>
              </w:rPr>
            </w:pPr>
          </w:p>
        </w:tc>
        <w:tc>
          <w:tcPr>
            <w:tcW w:w="1002" w:type="dxa"/>
            <w:tcBorders>
              <w:top w:val="nil"/>
              <w:left w:val="nil"/>
              <w:bottom w:val="nil"/>
              <w:right w:val="nil"/>
            </w:tcBorders>
            <w:shd w:val="clear" w:color="000000" w:fill="D8D8D8"/>
            <w:vAlign w:val="center"/>
            <w:hideMark/>
          </w:tcPr>
          <w:p w14:paraId="2E80CFF1"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7,454.2</w:t>
            </w:r>
          </w:p>
        </w:tc>
        <w:tc>
          <w:tcPr>
            <w:tcW w:w="869" w:type="dxa"/>
            <w:tcBorders>
              <w:top w:val="nil"/>
              <w:left w:val="nil"/>
              <w:bottom w:val="nil"/>
              <w:right w:val="single" w:sz="8" w:space="0" w:color="365F91"/>
            </w:tcBorders>
            <w:shd w:val="clear" w:color="auto" w:fill="auto"/>
            <w:vAlign w:val="center"/>
            <w:hideMark/>
          </w:tcPr>
          <w:p w14:paraId="1EB613FD"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35.1</w:t>
            </w:r>
          </w:p>
        </w:tc>
        <w:tc>
          <w:tcPr>
            <w:tcW w:w="827" w:type="dxa"/>
            <w:tcBorders>
              <w:top w:val="nil"/>
              <w:left w:val="nil"/>
              <w:bottom w:val="nil"/>
              <w:right w:val="nil"/>
            </w:tcBorders>
            <w:shd w:val="clear" w:color="auto" w:fill="auto"/>
            <w:vAlign w:val="center"/>
            <w:hideMark/>
          </w:tcPr>
          <w:p w14:paraId="4A2996AB" w14:textId="77777777" w:rsidR="00380BE7" w:rsidRPr="00256982" w:rsidRDefault="00380BE7" w:rsidP="009574E7">
            <w:pPr>
              <w:jc w:val="right"/>
              <w:rPr>
                <w:rFonts w:ascii="Arial" w:hAnsi="Arial" w:cs="Arial"/>
                <w:color w:val="000000"/>
                <w:sz w:val="16"/>
                <w:szCs w:val="16"/>
              </w:rPr>
            </w:pPr>
          </w:p>
        </w:tc>
        <w:tc>
          <w:tcPr>
            <w:tcW w:w="983" w:type="dxa"/>
            <w:tcBorders>
              <w:top w:val="nil"/>
              <w:left w:val="nil"/>
              <w:bottom w:val="nil"/>
              <w:right w:val="single" w:sz="8" w:space="0" w:color="365F91"/>
            </w:tcBorders>
            <w:shd w:val="clear" w:color="auto" w:fill="auto"/>
            <w:vAlign w:val="center"/>
            <w:hideMark/>
          </w:tcPr>
          <w:p w14:paraId="3885FC15"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 </w:t>
            </w:r>
          </w:p>
        </w:tc>
        <w:tc>
          <w:tcPr>
            <w:tcW w:w="1125" w:type="dxa"/>
            <w:tcBorders>
              <w:top w:val="nil"/>
              <w:left w:val="nil"/>
              <w:bottom w:val="nil"/>
              <w:right w:val="single" w:sz="8" w:space="0" w:color="365F91"/>
            </w:tcBorders>
            <w:shd w:val="clear" w:color="auto" w:fill="auto"/>
            <w:vAlign w:val="center"/>
            <w:hideMark/>
          </w:tcPr>
          <w:p w14:paraId="072482EE"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 </w:t>
            </w:r>
          </w:p>
        </w:tc>
        <w:tc>
          <w:tcPr>
            <w:tcW w:w="853" w:type="dxa"/>
            <w:tcBorders>
              <w:top w:val="nil"/>
              <w:left w:val="nil"/>
              <w:bottom w:val="nil"/>
              <w:right w:val="single" w:sz="8" w:space="0" w:color="365F91"/>
            </w:tcBorders>
            <w:shd w:val="clear" w:color="auto" w:fill="auto"/>
            <w:vAlign w:val="center"/>
            <w:hideMark/>
          </w:tcPr>
          <w:p w14:paraId="1EBF9B03"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 </w:t>
            </w:r>
          </w:p>
        </w:tc>
        <w:tc>
          <w:tcPr>
            <w:tcW w:w="853" w:type="dxa"/>
            <w:tcBorders>
              <w:top w:val="nil"/>
              <w:left w:val="nil"/>
              <w:bottom w:val="nil"/>
            </w:tcBorders>
            <w:shd w:val="clear" w:color="auto" w:fill="auto"/>
            <w:vAlign w:val="center"/>
            <w:hideMark/>
          </w:tcPr>
          <w:p w14:paraId="37AA7E8F"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7,904.7</w:t>
            </w:r>
          </w:p>
        </w:tc>
      </w:tr>
      <w:tr w:rsidR="00380BE7" w:rsidRPr="00256982" w14:paraId="03C7B02D" w14:textId="77777777" w:rsidTr="009574E7">
        <w:trPr>
          <w:trHeight w:val="488"/>
        </w:trPr>
        <w:tc>
          <w:tcPr>
            <w:tcW w:w="1124" w:type="dxa"/>
            <w:tcBorders>
              <w:top w:val="nil"/>
              <w:bottom w:val="single" w:sz="8" w:space="0" w:color="365F91"/>
              <w:right w:val="nil"/>
            </w:tcBorders>
            <w:shd w:val="clear" w:color="auto" w:fill="auto"/>
            <w:noWrap/>
            <w:vAlign w:val="center"/>
            <w:hideMark/>
          </w:tcPr>
          <w:p w14:paraId="20A78B9A" w14:textId="77777777" w:rsidR="00380BE7" w:rsidRPr="00256982" w:rsidRDefault="00380BE7" w:rsidP="009574E7">
            <w:pPr>
              <w:pStyle w:val="TableText"/>
              <w:rPr>
                <w:b/>
                <w:lang w:eastAsia="en-NZ"/>
              </w:rPr>
            </w:pPr>
            <w:r w:rsidRPr="00256982">
              <w:rPr>
                <w:b/>
                <w:lang w:eastAsia="en-NZ"/>
              </w:rPr>
              <w:t> </w:t>
            </w:r>
          </w:p>
        </w:tc>
        <w:tc>
          <w:tcPr>
            <w:tcW w:w="1061" w:type="dxa"/>
            <w:tcBorders>
              <w:top w:val="nil"/>
              <w:left w:val="nil"/>
              <w:bottom w:val="single" w:sz="8" w:space="0" w:color="365F91"/>
              <w:right w:val="single" w:sz="2" w:space="0" w:color="366092"/>
            </w:tcBorders>
            <w:shd w:val="clear" w:color="auto" w:fill="auto"/>
            <w:vAlign w:val="center"/>
            <w:hideMark/>
          </w:tcPr>
          <w:p w14:paraId="56A367C3" w14:textId="77777777" w:rsidR="00380BE7" w:rsidRPr="00256982" w:rsidRDefault="00380BE7" w:rsidP="009574E7">
            <w:pPr>
              <w:pStyle w:val="TableText"/>
              <w:rPr>
                <w:lang w:eastAsia="en-NZ"/>
              </w:rPr>
            </w:pPr>
            <w:r w:rsidRPr="00256982">
              <w:rPr>
                <w:lang w:eastAsia="en-NZ"/>
              </w:rPr>
              <w:t>With woody biomass</w:t>
            </w:r>
          </w:p>
        </w:tc>
        <w:tc>
          <w:tcPr>
            <w:tcW w:w="834" w:type="dxa"/>
            <w:tcBorders>
              <w:top w:val="nil"/>
              <w:left w:val="single" w:sz="2" w:space="0" w:color="366092"/>
              <w:bottom w:val="single" w:sz="8" w:space="0" w:color="365F91"/>
              <w:right w:val="nil"/>
            </w:tcBorders>
            <w:shd w:val="clear" w:color="auto" w:fill="auto"/>
            <w:vAlign w:val="center"/>
            <w:hideMark/>
          </w:tcPr>
          <w:p w14:paraId="55D0955B"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62.7</w:t>
            </w:r>
          </w:p>
        </w:tc>
        <w:tc>
          <w:tcPr>
            <w:tcW w:w="834" w:type="dxa"/>
            <w:tcBorders>
              <w:top w:val="nil"/>
              <w:left w:val="nil"/>
              <w:bottom w:val="single" w:sz="8" w:space="0" w:color="365F91"/>
              <w:right w:val="nil"/>
            </w:tcBorders>
            <w:shd w:val="clear" w:color="auto" w:fill="auto"/>
            <w:vAlign w:val="center"/>
            <w:hideMark/>
          </w:tcPr>
          <w:p w14:paraId="3DFEA504"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 </w:t>
            </w:r>
          </w:p>
        </w:tc>
        <w:tc>
          <w:tcPr>
            <w:tcW w:w="835" w:type="dxa"/>
            <w:tcBorders>
              <w:top w:val="nil"/>
              <w:left w:val="nil"/>
              <w:bottom w:val="single" w:sz="8" w:space="0" w:color="365F91"/>
              <w:right w:val="single" w:sz="8" w:space="0" w:color="365F91"/>
            </w:tcBorders>
            <w:shd w:val="clear" w:color="auto" w:fill="auto"/>
            <w:vAlign w:val="center"/>
            <w:hideMark/>
          </w:tcPr>
          <w:p w14:paraId="6D0D65F0"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 </w:t>
            </w:r>
          </w:p>
        </w:tc>
        <w:tc>
          <w:tcPr>
            <w:tcW w:w="921" w:type="dxa"/>
            <w:tcBorders>
              <w:top w:val="nil"/>
              <w:left w:val="nil"/>
              <w:bottom w:val="single" w:sz="8" w:space="0" w:color="365F91"/>
              <w:right w:val="nil"/>
            </w:tcBorders>
            <w:shd w:val="clear" w:color="auto" w:fill="auto"/>
            <w:vAlign w:val="center"/>
            <w:hideMark/>
          </w:tcPr>
          <w:p w14:paraId="360CA013"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 </w:t>
            </w:r>
          </w:p>
        </w:tc>
        <w:tc>
          <w:tcPr>
            <w:tcW w:w="939" w:type="dxa"/>
            <w:tcBorders>
              <w:top w:val="nil"/>
              <w:left w:val="nil"/>
              <w:bottom w:val="single" w:sz="8" w:space="0" w:color="365F91"/>
              <w:right w:val="single" w:sz="8" w:space="0" w:color="365F91"/>
            </w:tcBorders>
            <w:shd w:val="clear" w:color="auto" w:fill="auto"/>
            <w:vAlign w:val="center"/>
            <w:hideMark/>
          </w:tcPr>
          <w:p w14:paraId="1D65C45C"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 </w:t>
            </w:r>
          </w:p>
        </w:tc>
        <w:tc>
          <w:tcPr>
            <w:tcW w:w="1002" w:type="dxa"/>
            <w:tcBorders>
              <w:top w:val="nil"/>
              <w:left w:val="nil"/>
              <w:bottom w:val="single" w:sz="8" w:space="0" w:color="365F91"/>
              <w:right w:val="nil"/>
            </w:tcBorders>
            <w:shd w:val="clear" w:color="auto" w:fill="auto"/>
            <w:vAlign w:val="center"/>
            <w:hideMark/>
          </w:tcPr>
          <w:p w14:paraId="642AAD86"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 </w:t>
            </w:r>
          </w:p>
        </w:tc>
        <w:tc>
          <w:tcPr>
            <w:tcW w:w="1002" w:type="dxa"/>
            <w:tcBorders>
              <w:top w:val="nil"/>
              <w:left w:val="nil"/>
              <w:bottom w:val="single" w:sz="8" w:space="0" w:color="365F91"/>
              <w:right w:val="nil"/>
            </w:tcBorders>
            <w:shd w:val="clear" w:color="auto" w:fill="auto"/>
            <w:vAlign w:val="center"/>
            <w:hideMark/>
          </w:tcPr>
          <w:p w14:paraId="544FDF0C"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453.0</w:t>
            </w:r>
          </w:p>
        </w:tc>
        <w:tc>
          <w:tcPr>
            <w:tcW w:w="869" w:type="dxa"/>
            <w:tcBorders>
              <w:top w:val="nil"/>
              <w:left w:val="nil"/>
              <w:bottom w:val="single" w:sz="8" w:space="0" w:color="365F91"/>
              <w:right w:val="single" w:sz="8" w:space="0" w:color="365F91"/>
            </w:tcBorders>
            <w:shd w:val="clear" w:color="000000" w:fill="D8D8D8"/>
            <w:vAlign w:val="center"/>
            <w:hideMark/>
          </w:tcPr>
          <w:p w14:paraId="172CA262"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1,004.3</w:t>
            </w:r>
          </w:p>
        </w:tc>
        <w:tc>
          <w:tcPr>
            <w:tcW w:w="827" w:type="dxa"/>
            <w:tcBorders>
              <w:top w:val="nil"/>
              <w:left w:val="nil"/>
              <w:bottom w:val="single" w:sz="8" w:space="0" w:color="365F91"/>
              <w:right w:val="nil"/>
            </w:tcBorders>
            <w:shd w:val="clear" w:color="auto" w:fill="auto"/>
            <w:vAlign w:val="center"/>
            <w:hideMark/>
          </w:tcPr>
          <w:p w14:paraId="265E46F8"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 </w:t>
            </w:r>
          </w:p>
        </w:tc>
        <w:tc>
          <w:tcPr>
            <w:tcW w:w="983" w:type="dxa"/>
            <w:tcBorders>
              <w:top w:val="nil"/>
              <w:left w:val="nil"/>
              <w:bottom w:val="single" w:sz="8" w:space="0" w:color="365F91"/>
              <w:right w:val="single" w:sz="8" w:space="0" w:color="365F91"/>
            </w:tcBorders>
            <w:shd w:val="clear" w:color="auto" w:fill="auto"/>
            <w:vAlign w:val="center"/>
            <w:hideMark/>
          </w:tcPr>
          <w:p w14:paraId="09D568DF"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 </w:t>
            </w:r>
          </w:p>
        </w:tc>
        <w:tc>
          <w:tcPr>
            <w:tcW w:w="1125" w:type="dxa"/>
            <w:tcBorders>
              <w:top w:val="nil"/>
              <w:left w:val="nil"/>
              <w:bottom w:val="single" w:sz="8" w:space="0" w:color="365F91"/>
              <w:right w:val="single" w:sz="8" w:space="0" w:color="365F91"/>
            </w:tcBorders>
            <w:shd w:val="clear" w:color="auto" w:fill="auto"/>
            <w:vAlign w:val="center"/>
            <w:hideMark/>
          </w:tcPr>
          <w:p w14:paraId="5B24DF25"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 </w:t>
            </w:r>
          </w:p>
        </w:tc>
        <w:tc>
          <w:tcPr>
            <w:tcW w:w="853" w:type="dxa"/>
            <w:tcBorders>
              <w:top w:val="nil"/>
              <w:left w:val="nil"/>
              <w:bottom w:val="single" w:sz="8" w:space="0" w:color="365F91"/>
              <w:right w:val="single" w:sz="8" w:space="0" w:color="365F91"/>
            </w:tcBorders>
            <w:shd w:val="clear" w:color="auto" w:fill="auto"/>
            <w:vAlign w:val="center"/>
            <w:hideMark/>
          </w:tcPr>
          <w:p w14:paraId="309167C2"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 </w:t>
            </w:r>
          </w:p>
        </w:tc>
        <w:tc>
          <w:tcPr>
            <w:tcW w:w="853" w:type="dxa"/>
            <w:tcBorders>
              <w:top w:val="nil"/>
              <w:left w:val="nil"/>
              <w:bottom w:val="single" w:sz="8" w:space="0" w:color="365F91"/>
            </w:tcBorders>
            <w:shd w:val="clear" w:color="auto" w:fill="auto"/>
            <w:vAlign w:val="center"/>
            <w:hideMark/>
          </w:tcPr>
          <w:p w14:paraId="554644BB"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1,520.0</w:t>
            </w:r>
          </w:p>
        </w:tc>
      </w:tr>
      <w:tr w:rsidR="00380BE7" w:rsidRPr="00256982" w14:paraId="0EFCC947" w14:textId="77777777" w:rsidTr="009574E7">
        <w:trPr>
          <w:trHeight w:val="318"/>
        </w:trPr>
        <w:tc>
          <w:tcPr>
            <w:tcW w:w="1124" w:type="dxa"/>
            <w:tcBorders>
              <w:top w:val="nil"/>
              <w:bottom w:val="nil"/>
              <w:right w:val="nil"/>
            </w:tcBorders>
            <w:shd w:val="clear" w:color="auto" w:fill="auto"/>
            <w:vAlign w:val="center"/>
            <w:hideMark/>
          </w:tcPr>
          <w:p w14:paraId="1EBE5397" w14:textId="77777777" w:rsidR="00380BE7" w:rsidRPr="00256982" w:rsidRDefault="00380BE7" w:rsidP="009574E7">
            <w:pPr>
              <w:pStyle w:val="TableText"/>
              <w:rPr>
                <w:b/>
                <w:lang w:eastAsia="en-NZ"/>
              </w:rPr>
            </w:pPr>
            <w:r w:rsidRPr="00256982">
              <w:rPr>
                <w:b/>
                <w:lang w:eastAsia="en-NZ"/>
              </w:rPr>
              <w:t>Wetlands</w:t>
            </w:r>
          </w:p>
        </w:tc>
        <w:tc>
          <w:tcPr>
            <w:tcW w:w="1061" w:type="dxa"/>
            <w:tcBorders>
              <w:top w:val="nil"/>
              <w:left w:val="nil"/>
              <w:bottom w:val="nil"/>
              <w:right w:val="single" w:sz="2" w:space="0" w:color="366092"/>
            </w:tcBorders>
            <w:shd w:val="clear" w:color="auto" w:fill="auto"/>
            <w:vAlign w:val="center"/>
            <w:hideMark/>
          </w:tcPr>
          <w:p w14:paraId="069985E6" w14:textId="77777777" w:rsidR="00380BE7" w:rsidRPr="00256982" w:rsidRDefault="00380BE7" w:rsidP="009574E7">
            <w:pPr>
              <w:pStyle w:val="TableText"/>
              <w:rPr>
                <w:lang w:eastAsia="en-NZ"/>
              </w:rPr>
            </w:pPr>
            <w:r w:rsidRPr="00256982">
              <w:rPr>
                <w:lang w:eastAsia="en-NZ"/>
              </w:rPr>
              <w:t>Open water</w:t>
            </w:r>
          </w:p>
        </w:tc>
        <w:tc>
          <w:tcPr>
            <w:tcW w:w="834" w:type="dxa"/>
            <w:tcBorders>
              <w:top w:val="nil"/>
              <w:left w:val="single" w:sz="2" w:space="0" w:color="366092"/>
              <w:bottom w:val="nil"/>
              <w:right w:val="nil"/>
            </w:tcBorders>
            <w:shd w:val="clear" w:color="auto" w:fill="auto"/>
            <w:vAlign w:val="center"/>
            <w:hideMark/>
          </w:tcPr>
          <w:p w14:paraId="4AB28B51"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14.4</w:t>
            </w:r>
          </w:p>
        </w:tc>
        <w:tc>
          <w:tcPr>
            <w:tcW w:w="834" w:type="dxa"/>
            <w:tcBorders>
              <w:top w:val="nil"/>
              <w:left w:val="nil"/>
              <w:bottom w:val="nil"/>
              <w:right w:val="nil"/>
            </w:tcBorders>
            <w:shd w:val="clear" w:color="auto" w:fill="auto"/>
            <w:vAlign w:val="center"/>
            <w:hideMark/>
          </w:tcPr>
          <w:p w14:paraId="3E977632" w14:textId="77777777" w:rsidR="00380BE7" w:rsidRPr="00256982" w:rsidRDefault="00380BE7" w:rsidP="009574E7">
            <w:pPr>
              <w:jc w:val="right"/>
              <w:rPr>
                <w:rFonts w:ascii="Arial" w:hAnsi="Arial" w:cs="Arial"/>
                <w:color w:val="000000"/>
                <w:sz w:val="16"/>
                <w:szCs w:val="16"/>
              </w:rPr>
            </w:pPr>
          </w:p>
        </w:tc>
        <w:tc>
          <w:tcPr>
            <w:tcW w:w="835" w:type="dxa"/>
            <w:tcBorders>
              <w:top w:val="nil"/>
              <w:left w:val="nil"/>
              <w:bottom w:val="nil"/>
              <w:right w:val="single" w:sz="8" w:space="0" w:color="365F91"/>
            </w:tcBorders>
            <w:shd w:val="clear" w:color="auto" w:fill="auto"/>
            <w:vAlign w:val="center"/>
            <w:hideMark/>
          </w:tcPr>
          <w:p w14:paraId="539E38D9"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 </w:t>
            </w:r>
          </w:p>
        </w:tc>
        <w:tc>
          <w:tcPr>
            <w:tcW w:w="921" w:type="dxa"/>
            <w:tcBorders>
              <w:top w:val="nil"/>
              <w:left w:val="nil"/>
              <w:bottom w:val="nil"/>
              <w:right w:val="nil"/>
            </w:tcBorders>
            <w:shd w:val="clear" w:color="auto" w:fill="auto"/>
            <w:vAlign w:val="center"/>
            <w:hideMark/>
          </w:tcPr>
          <w:p w14:paraId="77F7D11E" w14:textId="77777777" w:rsidR="00380BE7" w:rsidRPr="00256982" w:rsidRDefault="00380BE7" w:rsidP="009574E7">
            <w:pPr>
              <w:jc w:val="right"/>
              <w:rPr>
                <w:rFonts w:ascii="Arial" w:hAnsi="Arial" w:cs="Arial"/>
                <w:color w:val="000000"/>
                <w:sz w:val="16"/>
                <w:szCs w:val="16"/>
              </w:rPr>
            </w:pPr>
          </w:p>
        </w:tc>
        <w:tc>
          <w:tcPr>
            <w:tcW w:w="939" w:type="dxa"/>
            <w:tcBorders>
              <w:top w:val="nil"/>
              <w:left w:val="nil"/>
              <w:bottom w:val="nil"/>
              <w:right w:val="single" w:sz="8" w:space="0" w:color="365F91"/>
            </w:tcBorders>
            <w:shd w:val="clear" w:color="auto" w:fill="auto"/>
            <w:vAlign w:val="center"/>
            <w:hideMark/>
          </w:tcPr>
          <w:p w14:paraId="791E6880"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 </w:t>
            </w:r>
          </w:p>
        </w:tc>
        <w:tc>
          <w:tcPr>
            <w:tcW w:w="1002" w:type="dxa"/>
            <w:tcBorders>
              <w:top w:val="nil"/>
              <w:left w:val="nil"/>
              <w:bottom w:val="nil"/>
              <w:right w:val="nil"/>
            </w:tcBorders>
            <w:shd w:val="clear" w:color="auto" w:fill="auto"/>
            <w:vAlign w:val="center"/>
            <w:hideMark/>
          </w:tcPr>
          <w:p w14:paraId="1E9BF967" w14:textId="77777777" w:rsidR="00380BE7" w:rsidRPr="00256982" w:rsidRDefault="00380BE7" w:rsidP="009574E7">
            <w:pPr>
              <w:jc w:val="right"/>
              <w:rPr>
                <w:rFonts w:ascii="Arial" w:hAnsi="Arial" w:cs="Arial"/>
                <w:color w:val="000000"/>
                <w:sz w:val="16"/>
                <w:szCs w:val="16"/>
              </w:rPr>
            </w:pPr>
          </w:p>
        </w:tc>
        <w:tc>
          <w:tcPr>
            <w:tcW w:w="1002" w:type="dxa"/>
            <w:tcBorders>
              <w:top w:val="nil"/>
              <w:left w:val="nil"/>
              <w:bottom w:val="nil"/>
              <w:right w:val="nil"/>
            </w:tcBorders>
            <w:shd w:val="clear" w:color="auto" w:fill="auto"/>
            <w:vAlign w:val="center"/>
            <w:hideMark/>
          </w:tcPr>
          <w:p w14:paraId="60BBA47B" w14:textId="77777777" w:rsidR="00380BE7" w:rsidRPr="00256982" w:rsidRDefault="00380BE7" w:rsidP="009574E7">
            <w:pPr>
              <w:jc w:val="right"/>
              <w:rPr>
                <w:sz w:val="20"/>
              </w:rPr>
            </w:pPr>
          </w:p>
        </w:tc>
        <w:tc>
          <w:tcPr>
            <w:tcW w:w="869" w:type="dxa"/>
            <w:tcBorders>
              <w:top w:val="nil"/>
              <w:left w:val="nil"/>
              <w:bottom w:val="nil"/>
              <w:right w:val="single" w:sz="8" w:space="0" w:color="365F91"/>
            </w:tcBorders>
            <w:shd w:val="clear" w:color="auto" w:fill="auto"/>
            <w:vAlign w:val="center"/>
            <w:hideMark/>
          </w:tcPr>
          <w:p w14:paraId="19A1E824"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 </w:t>
            </w:r>
          </w:p>
        </w:tc>
        <w:tc>
          <w:tcPr>
            <w:tcW w:w="827" w:type="dxa"/>
            <w:tcBorders>
              <w:top w:val="nil"/>
              <w:left w:val="nil"/>
              <w:bottom w:val="nil"/>
              <w:right w:val="nil"/>
            </w:tcBorders>
            <w:shd w:val="clear" w:color="000000" w:fill="D9D9D9"/>
            <w:vAlign w:val="center"/>
            <w:hideMark/>
          </w:tcPr>
          <w:p w14:paraId="73535E4E"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513.3</w:t>
            </w:r>
          </w:p>
        </w:tc>
        <w:tc>
          <w:tcPr>
            <w:tcW w:w="983" w:type="dxa"/>
            <w:tcBorders>
              <w:top w:val="nil"/>
              <w:left w:val="nil"/>
              <w:bottom w:val="nil"/>
              <w:right w:val="single" w:sz="8" w:space="0" w:color="365F91"/>
            </w:tcBorders>
            <w:shd w:val="clear" w:color="auto" w:fill="auto"/>
            <w:vAlign w:val="center"/>
            <w:hideMark/>
          </w:tcPr>
          <w:p w14:paraId="6055BD23"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 </w:t>
            </w:r>
          </w:p>
        </w:tc>
        <w:tc>
          <w:tcPr>
            <w:tcW w:w="1125" w:type="dxa"/>
            <w:tcBorders>
              <w:top w:val="nil"/>
              <w:left w:val="nil"/>
              <w:bottom w:val="nil"/>
              <w:right w:val="single" w:sz="8" w:space="0" w:color="365F91"/>
            </w:tcBorders>
            <w:shd w:val="clear" w:color="auto" w:fill="auto"/>
            <w:vAlign w:val="center"/>
            <w:hideMark/>
          </w:tcPr>
          <w:p w14:paraId="5445C9A5"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 </w:t>
            </w:r>
          </w:p>
        </w:tc>
        <w:tc>
          <w:tcPr>
            <w:tcW w:w="853" w:type="dxa"/>
            <w:tcBorders>
              <w:top w:val="nil"/>
              <w:left w:val="nil"/>
              <w:bottom w:val="nil"/>
              <w:right w:val="single" w:sz="8" w:space="0" w:color="365F91"/>
            </w:tcBorders>
            <w:shd w:val="clear" w:color="auto" w:fill="auto"/>
            <w:vAlign w:val="center"/>
            <w:hideMark/>
          </w:tcPr>
          <w:p w14:paraId="1455A84B"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 </w:t>
            </w:r>
          </w:p>
        </w:tc>
        <w:tc>
          <w:tcPr>
            <w:tcW w:w="853" w:type="dxa"/>
            <w:tcBorders>
              <w:top w:val="nil"/>
              <w:left w:val="nil"/>
              <w:bottom w:val="nil"/>
            </w:tcBorders>
            <w:shd w:val="clear" w:color="auto" w:fill="auto"/>
            <w:vAlign w:val="center"/>
            <w:hideMark/>
          </w:tcPr>
          <w:p w14:paraId="3526078F"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527.7</w:t>
            </w:r>
          </w:p>
        </w:tc>
      </w:tr>
      <w:tr w:rsidR="00380BE7" w:rsidRPr="00256982" w14:paraId="056BE6F2" w14:textId="77777777" w:rsidTr="009574E7">
        <w:trPr>
          <w:trHeight w:val="222"/>
        </w:trPr>
        <w:tc>
          <w:tcPr>
            <w:tcW w:w="1124" w:type="dxa"/>
            <w:tcBorders>
              <w:top w:val="nil"/>
              <w:bottom w:val="single" w:sz="8" w:space="0" w:color="365F91"/>
              <w:right w:val="nil"/>
            </w:tcBorders>
            <w:shd w:val="clear" w:color="auto" w:fill="auto"/>
            <w:vAlign w:val="center"/>
            <w:hideMark/>
          </w:tcPr>
          <w:p w14:paraId="12C2517B" w14:textId="77777777" w:rsidR="00380BE7" w:rsidRPr="00256982" w:rsidRDefault="00380BE7" w:rsidP="009574E7">
            <w:pPr>
              <w:pStyle w:val="TableText"/>
              <w:rPr>
                <w:b/>
                <w:lang w:eastAsia="en-NZ"/>
              </w:rPr>
            </w:pPr>
            <w:r w:rsidRPr="00256982">
              <w:rPr>
                <w:b/>
                <w:lang w:eastAsia="en-NZ"/>
              </w:rPr>
              <w:t> </w:t>
            </w:r>
          </w:p>
        </w:tc>
        <w:tc>
          <w:tcPr>
            <w:tcW w:w="1061" w:type="dxa"/>
            <w:tcBorders>
              <w:top w:val="nil"/>
              <w:left w:val="nil"/>
              <w:bottom w:val="single" w:sz="8" w:space="0" w:color="365F91"/>
              <w:right w:val="single" w:sz="2" w:space="0" w:color="366092"/>
            </w:tcBorders>
            <w:shd w:val="clear" w:color="auto" w:fill="auto"/>
            <w:vAlign w:val="center"/>
            <w:hideMark/>
          </w:tcPr>
          <w:p w14:paraId="43BCA75C" w14:textId="77777777" w:rsidR="00380BE7" w:rsidRPr="00256982" w:rsidRDefault="00380BE7" w:rsidP="009574E7">
            <w:pPr>
              <w:pStyle w:val="TableText"/>
              <w:rPr>
                <w:lang w:eastAsia="en-NZ"/>
              </w:rPr>
            </w:pPr>
            <w:r w:rsidRPr="00256982">
              <w:rPr>
                <w:lang w:eastAsia="en-NZ"/>
              </w:rPr>
              <w:t>Vegetated</w:t>
            </w:r>
          </w:p>
        </w:tc>
        <w:tc>
          <w:tcPr>
            <w:tcW w:w="834" w:type="dxa"/>
            <w:tcBorders>
              <w:top w:val="nil"/>
              <w:left w:val="single" w:sz="2" w:space="0" w:color="366092"/>
              <w:bottom w:val="single" w:sz="8" w:space="0" w:color="365F91"/>
              <w:right w:val="nil"/>
            </w:tcBorders>
            <w:shd w:val="clear" w:color="auto" w:fill="auto"/>
            <w:vAlign w:val="center"/>
            <w:hideMark/>
          </w:tcPr>
          <w:p w14:paraId="376D5FCC"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 </w:t>
            </w:r>
          </w:p>
        </w:tc>
        <w:tc>
          <w:tcPr>
            <w:tcW w:w="834" w:type="dxa"/>
            <w:tcBorders>
              <w:top w:val="nil"/>
              <w:left w:val="nil"/>
              <w:bottom w:val="single" w:sz="8" w:space="0" w:color="365F91"/>
              <w:right w:val="nil"/>
            </w:tcBorders>
            <w:shd w:val="clear" w:color="auto" w:fill="auto"/>
            <w:vAlign w:val="center"/>
            <w:hideMark/>
          </w:tcPr>
          <w:p w14:paraId="7A00D3BF"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 </w:t>
            </w:r>
          </w:p>
        </w:tc>
        <w:tc>
          <w:tcPr>
            <w:tcW w:w="835" w:type="dxa"/>
            <w:tcBorders>
              <w:top w:val="nil"/>
              <w:left w:val="nil"/>
              <w:bottom w:val="single" w:sz="8" w:space="0" w:color="365F91"/>
              <w:right w:val="single" w:sz="8" w:space="0" w:color="365F91"/>
            </w:tcBorders>
            <w:shd w:val="clear" w:color="auto" w:fill="auto"/>
            <w:vAlign w:val="center"/>
            <w:hideMark/>
          </w:tcPr>
          <w:p w14:paraId="0CC840E6"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 </w:t>
            </w:r>
          </w:p>
        </w:tc>
        <w:tc>
          <w:tcPr>
            <w:tcW w:w="921" w:type="dxa"/>
            <w:tcBorders>
              <w:top w:val="nil"/>
              <w:left w:val="nil"/>
              <w:bottom w:val="single" w:sz="8" w:space="0" w:color="365F91"/>
              <w:right w:val="nil"/>
            </w:tcBorders>
            <w:shd w:val="clear" w:color="auto" w:fill="auto"/>
            <w:vAlign w:val="center"/>
            <w:hideMark/>
          </w:tcPr>
          <w:p w14:paraId="796E6A6E"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 </w:t>
            </w:r>
          </w:p>
        </w:tc>
        <w:tc>
          <w:tcPr>
            <w:tcW w:w="939" w:type="dxa"/>
            <w:tcBorders>
              <w:top w:val="nil"/>
              <w:left w:val="nil"/>
              <w:bottom w:val="single" w:sz="8" w:space="0" w:color="365F91"/>
              <w:right w:val="single" w:sz="8" w:space="0" w:color="365F91"/>
            </w:tcBorders>
            <w:shd w:val="clear" w:color="auto" w:fill="auto"/>
            <w:vAlign w:val="center"/>
            <w:hideMark/>
          </w:tcPr>
          <w:p w14:paraId="1BF5E49E"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 </w:t>
            </w:r>
          </w:p>
        </w:tc>
        <w:tc>
          <w:tcPr>
            <w:tcW w:w="1002" w:type="dxa"/>
            <w:tcBorders>
              <w:top w:val="nil"/>
              <w:left w:val="nil"/>
              <w:bottom w:val="single" w:sz="8" w:space="0" w:color="365F91"/>
              <w:right w:val="nil"/>
            </w:tcBorders>
            <w:shd w:val="clear" w:color="auto" w:fill="auto"/>
            <w:vAlign w:val="center"/>
            <w:hideMark/>
          </w:tcPr>
          <w:p w14:paraId="43502F2E"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 </w:t>
            </w:r>
          </w:p>
        </w:tc>
        <w:tc>
          <w:tcPr>
            <w:tcW w:w="1002" w:type="dxa"/>
            <w:tcBorders>
              <w:top w:val="nil"/>
              <w:left w:val="nil"/>
              <w:bottom w:val="single" w:sz="8" w:space="0" w:color="365F91"/>
              <w:right w:val="nil"/>
            </w:tcBorders>
            <w:shd w:val="clear" w:color="auto" w:fill="auto"/>
            <w:vAlign w:val="center"/>
            <w:hideMark/>
          </w:tcPr>
          <w:p w14:paraId="762ED0DF"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 </w:t>
            </w:r>
          </w:p>
        </w:tc>
        <w:tc>
          <w:tcPr>
            <w:tcW w:w="869" w:type="dxa"/>
            <w:tcBorders>
              <w:top w:val="nil"/>
              <w:left w:val="nil"/>
              <w:bottom w:val="single" w:sz="8" w:space="0" w:color="365F91"/>
              <w:right w:val="single" w:sz="8" w:space="0" w:color="365F91"/>
            </w:tcBorders>
            <w:shd w:val="clear" w:color="auto" w:fill="auto"/>
            <w:vAlign w:val="center"/>
            <w:hideMark/>
          </w:tcPr>
          <w:p w14:paraId="7D10010E"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 </w:t>
            </w:r>
          </w:p>
        </w:tc>
        <w:tc>
          <w:tcPr>
            <w:tcW w:w="827" w:type="dxa"/>
            <w:tcBorders>
              <w:top w:val="nil"/>
              <w:left w:val="nil"/>
              <w:bottom w:val="single" w:sz="8" w:space="0" w:color="365F91"/>
              <w:right w:val="nil"/>
            </w:tcBorders>
            <w:shd w:val="clear" w:color="auto" w:fill="auto"/>
            <w:vAlign w:val="center"/>
            <w:hideMark/>
          </w:tcPr>
          <w:p w14:paraId="6A0574A3"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 </w:t>
            </w:r>
          </w:p>
        </w:tc>
        <w:tc>
          <w:tcPr>
            <w:tcW w:w="983" w:type="dxa"/>
            <w:tcBorders>
              <w:top w:val="nil"/>
              <w:left w:val="nil"/>
              <w:bottom w:val="single" w:sz="8" w:space="0" w:color="365F91"/>
              <w:right w:val="single" w:sz="8" w:space="0" w:color="365F91"/>
            </w:tcBorders>
            <w:shd w:val="clear" w:color="000000" w:fill="D8D8D8"/>
            <w:vAlign w:val="center"/>
            <w:hideMark/>
          </w:tcPr>
          <w:p w14:paraId="6E588979"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178.4</w:t>
            </w:r>
          </w:p>
        </w:tc>
        <w:tc>
          <w:tcPr>
            <w:tcW w:w="1125" w:type="dxa"/>
            <w:tcBorders>
              <w:top w:val="nil"/>
              <w:left w:val="nil"/>
              <w:bottom w:val="single" w:sz="8" w:space="0" w:color="365F91"/>
              <w:right w:val="single" w:sz="8" w:space="0" w:color="365F91"/>
            </w:tcBorders>
            <w:shd w:val="clear" w:color="auto" w:fill="auto"/>
            <w:vAlign w:val="center"/>
            <w:hideMark/>
          </w:tcPr>
          <w:p w14:paraId="559ED540"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 </w:t>
            </w:r>
          </w:p>
        </w:tc>
        <w:tc>
          <w:tcPr>
            <w:tcW w:w="853" w:type="dxa"/>
            <w:tcBorders>
              <w:top w:val="nil"/>
              <w:left w:val="nil"/>
              <w:bottom w:val="single" w:sz="8" w:space="0" w:color="365F91"/>
              <w:right w:val="single" w:sz="8" w:space="0" w:color="365F91"/>
            </w:tcBorders>
            <w:shd w:val="clear" w:color="auto" w:fill="auto"/>
            <w:vAlign w:val="center"/>
            <w:hideMark/>
          </w:tcPr>
          <w:p w14:paraId="4967E07A"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 </w:t>
            </w:r>
          </w:p>
        </w:tc>
        <w:tc>
          <w:tcPr>
            <w:tcW w:w="853" w:type="dxa"/>
            <w:tcBorders>
              <w:top w:val="nil"/>
              <w:left w:val="nil"/>
              <w:bottom w:val="single" w:sz="8" w:space="0" w:color="365F91"/>
            </w:tcBorders>
            <w:shd w:val="clear" w:color="auto" w:fill="auto"/>
            <w:vAlign w:val="center"/>
            <w:hideMark/>
          </w:tcPr>
          <w:p w14:paraId="311B7533"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178.4</w:t>
            </w:r>
          </w:p>
        </w:tc>
      </w:tr>
      <w:tr w:rsidR="00380BE7" w:rsidRPr="00256982" w14:paraId="32F9CEF9" w14:textId="77777777" w:rsidTr="009574E7">
        <w:trPr>
          <w:trHeight w:val="328"/>
        </w:trPr>
        <w:tc>
          <w:tcPr>
            <w:tcW w:w="1124" w:type="dxa"/>
            <w:tcBorders>
              <w:top w:val="nil"/>
              <w:bottom w:val="single" w:sz="8" w:space="0" w:color="365F91"/>
              <w:right w:val="nil"/>
            </w:tcBorders>
            <w:shd w:val="clear" w:color="auto" w:fill="auto"/>
            <w:vAlign w:val="center"/>
            <w:hideMark/>
          </w:tcPr>
          <w:p w14:paraId="178774FC" w14:textId="77777777" w:rsidR="00380BE7" w:rsidRPr="00256982" w:rsidRDefault="00380BE7" w:rsidP="009574E7">
            <w:pPr>
              <w:pStyle w:val="TableText"/>
              <w:rPr>
                <w:b/>
                <w:lang w:eastAsia="en-NZ"/>
              </w:rPr>
            </w:pPr>
            <w:r w:rsidRPr="00256982">
              <w:rPr>
                <w:b/>
                <w:lang w:eastAsia="en-NZ"/>
              </w:rPr>
              <w:t>Settlements</w:t>
            </w:r>
          </w:p>
        </w:tc>
        <w:tc>
          <w:tcPr>
            <w:tcW w:w="1061" w:type="dxa"/>
            <w:tcBorders>
              <w:top w:val="nil"/>
              <w:left w:val="nil"/>
              <w:bottom w:val="single" w:sz="8" w:space="0" w:color="365F91"/>
              <w:right w:val="single" w:sz="2" w:space="0" w:color="366092"/>
            </w:tcBorders>
            <w:shd w:val="clear" w:color="auto" w:fill="auto"/>
            <w:vAlign w:val="center"/>
            <w:hideMark/>
          </w:tcPr>
          <w:p w14:paraId="429F9B53" w14:textId="77777777" w:rsidR="00380BE7" w:rsidRPr="00256982" w:rsidRDefault="00380BE7" w:rsidP="009574E7">
            <w:pPr>
              <w:pStyle w:val="TableText"/>
              <w:rPr>
                <w:lang w:eastAsia="en-NZ"/>
              </w:rPr>
            </w:pPr>
            <w:r w:rsidRPr="00256982">
              <w:rPr>
                <w:lang w:eastAsia="en-NZ"/>
              </w:rPr>
              <w:t>Settlements</w:t>
            </w:r>
          </w:p>
        </w:tc>
        <w:tc>
          <w:tcPr>
            <w:tcW w:w="834" w:type="dxa"/>
            <w:tcBorders>
              <w:top w:val="nil"/>
              <w:left w:val="single" w:sz="2" w:space="0" w:color="366092"/>
              <w:bottom w:val="single" w:sz="8" w:space="0" w:color="365F91"/>
              <w:right w:val="nil"/>
            </w:tcBorders>
            <w:shd w:val="clear" w:color="auto" w:fill="auto"/>
            <w:vAlign w:val="center"/>
            <w:hideMark/>
          </w:tcPr>
          <w:p w14:paraId="00168657"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5.1</w:t>
            </w:r>
          </w:p>
        </w:tc>
        <w:tc>
          <w:tcPr>
            <w:tcW w:w="834" w:type="dxa"/>
            <w:tcBorders>
              <w:top w:val="nil"/>
              <w:left w:val="nil"/>
              <w:bottom w:val="single" w:sz="8" w:space="0" w:color="365F91"/>
              <w:right w:val="nil"/>
            </w:tcBorders>
            <w:shd w:val="clear" w:color="auto" w:fill="auto"/>
            <w:vAlign w:val="center"/>
            <w:hideMark/>
          </w:tcPr>
          <w:p w14:paraId="7B2C5A25"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 </w:t>
            </w:r>
          </w:p>
        </w:tc>
        <w:tc>
          <w:tcPr>
            <w:tcW w:w="835" w:type="dxa"/>
            <w:tcBorders>
              <w:top w:val="nil"/>
              <w:left w:val="nil"/>
              <w:bottom w:val="single" w:sz="8" w:space="0" w:color="365F91"/>
              <w:right w:val="single" w:sz="8" w:space="0" w:color="365F91"/>
            </w:tcBorders>
            <w:shd w:val="clear" w:color="auto" w:fill="auto"/>
            <w:vAlign w:val="center"/>
            <w:hideMark/>
          </w:tcPr>
          <w:p w14:paraId="6F8B3387"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 </w:t>
            </w:r>
          </w:p>
        </w:tc>
        <w:tc>
          <w:tcPr>
            <w:tcW w:w="921" w:type="dxa"/>
            <w:tcBorders>
              <w:top w:val="nil"/>
              <w:left w:val="nil"/>
              <w:bottom w:val="single" w:sz="8" w:space="0" w:color="365F91"/>
              <w:right w:val="nil"/>
            </w:tcBorders>
            <w:shd w:val="clear" w:color="auto" w:fill="auto"/>
            <w:vAlign w:val="center"/>
            <w:hideMark/>
          </w:tcPr>
          <w:p w14:paraId="4A44B3DC"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7.3</w:t>
            </w:r>
          </w:p>
        </w:tc>
        <w:tc>
          <w:tcPr>
            <w:tcW w:w="939" w:type="dxa"/>
            <w:tcBorders>
              <w:top w:val="nil"/>
              <w:left w:val="nil"/>
              <w:bottom w:val="single" w:sz="8" w:space="0" w:color="365F91"/>
              <w:right w:val="single" w:sz="8" w:space="0" w:color="365F91"/>
            </w:tcBorders>
            <w:shd w:val="clear" w:color="auto" w:fill="auto"/>
            <w:vAlign w:val="center"/>
            <w:hideMark/>
          </w:tcPr>
          <w:p w14:paraId="48B4D577"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0.1</w:t>
            </w:r>
          </w:p>
        </w:tc>
        <w:tc>
          <w:tcPr>
            <w:tcW w:w="1002" w:type="dxa"/>
            <w:tcBorders>
              <w:top w:val="nil"/>
              <w:left w:val="nil"/>
              <w:bottom w:val="single" w:sz="8" w:space="0" w:color="365F91"/>
              <w:right w:val="nil"/>
            </w:tcBorders>
            <w:shd w:val="clear" w:color="auto" w:fill="auto"/>
            <w:vAlign w:val="center"/>
            <w:hideMark/>
          </w:tcPr>
          <w:p w14:paraId="5C6E0833"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6.7</w:t>
            </w:r>
          </w:p>
        </w:tc>
        <w:tc>
          <w:tcPr>
            <w:tcW w:w="1002" w:type="dxa"/>
            <w:tcBorders>
              <w:top w:val="nil"/>
              <w:left w:val="nil"/>
              <w:bottom w:val="single" w:sz="8" w:space="0" w:color="365F91"/>
              <w:right w:val="nil"/>
            </w:tcBorders>
            <w:shd w:val="clear" w:color="auto" w:fill="auto"/>
            <w:vAlign w:val="center"/>
            <w:hideMark/>
          </w:tcPr>
          <w:p w14:paraId="043D81CB"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3.9</w:t>
            </w:r>
          </w:p>
        </w:tc>
        <w:tc>
          <w:tcPr>
            <w:tcW w:w="869" w:type="dxa"/>
            <w:tcBorders>
              <w:top w:val="nil"/>
              <w:left w:val="nil"/>
              <w:bottom w:val="single" w:sz="8" w:space="0" w:color="365F91"/>
              <w:right w:val="single" w:sz="8" w:space="0" w:color="365F91"/>
            </w:tcBorders>
            <w:shd w:val="clear" w:color="auto" w:fill="auto"/>
            <w:vAlign w:val="center"/>
            <w:hideMark/>
          </w:tcPr>
          <w:p w14:paraId="46A9067D"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0.3</w:t>
            </w:r>
          </w:p>
        </w:tc>
        <w:tc>
          <w:tcPr>
            <w:tcW w:w="827" w:type="dxa"/>
            <w:tcBorders>
              <w:top w:val="nil"/>
              <w:left w:val="nil"/>
              <w:bottom w:val="single" w:sz="8" w:space="0" w:color="365F91"/>
              <w:right w:val="nil"/>
            </w:tcBorders>
            <w:shd w:val="clear" w:color="auto" w:fill="auto"/>
            <w:vAlign w:val="center"/>
            <w:hideMark/>
          </w:tcPr>
          <w:p w14:paraId="5D6AB6A9"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 </w:t>
            </w:r>
          </w:p>
        </w:tc>
        <w:tc>
          <w:tcPr>
            <w:tcW w:w="983" w:type="dxa"/>
            <w:tcBorders>
              <w:top w:val="nil"/>
              <w:left w:val="nil"/>
              <w:bottom w:val="single" w:sz="8" w:space="0" w:color="365F91"/>
              <w:right w:val="single" w:sz="8" w:space="0" w:color="365F91"/>
            </w:tcBorders>
            <w:shd w:val="clear" w:color="auto" w:fill="auto"/>
            <w:vAlign w:val="center"/>
            <w:hideMark/>
          </w:tcPr>
          <w:p w14:paraId="61EE55A6"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 </w:t>
            </w:r>
          </w:p>
        </w:tc>
        <w:tc>
          <w:tcPr>
            <w:tcW w:w="1125" w:type="dxa"/>
            <w:tcBorders>
              <w:top w:val="nil"/>
              <w:left w:val="nil"/>
              <w:bottom w:val="single" w:sz="8" w:space="0" w:color="365F91"/>
              <w:right w:val="single" w:sz="8" w:space="0" w:color="365F91"/>
            </w:tcBorders>
            <w:shd w:val="clear" w:color="000000" w:fill="D8D8D8"/>
            <w:vAlign w:val="center"/>
            <w:hideMark/>
          </w:tcPr>
          <w:p w14:paraId="0F589C7F"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184.2</w:t>
            </w:r>
          </w:p>
        </w:tc>
        <w:tc>
          <w:tcPr>
            <w:tcW w:w="853" w:type="dxa"/>
            <w:tcBorders>
              <w:top w:val="nil"/>
              <w:left w:val="nil"/>
              <w:bottom w:val="single" w:sz="8" w:space="0" w:color="365F91"/>
              <w:right w:val="single" w:sz="8" w:space="0" w:color="365F91"/>
            </w:tcBorders>
            <w:shd w:val="clear" w:color="auto" w:fill="auto"/>
            <w:vAlign w:val="center"/>
            <w:hideMark/>
          </w:tcPr>
          <w:p w14:paraId="557869C9"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 </w:t>
            </w:r>
          </w:p>
        </w:tc>
        <w:tc>
          <w:tcPr>
            <w:tcW w:w="853" w:type="dxa"/>
            <w:tcBorders>
              <w:top w:val="nil"/>
              <w:left w:val="nil"/>
              <w:bottom w:val="nil"/>
            </w:tcBorders>
            <w:shd w:val="clear" w:color="auto" w:fill="auto"/>
            <w:vAlign w:val="center"/>
            <w:hideMark/>
          </w:tcPr>
          <w:p w14:paraId="077F1FF6"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207.5</w:t>
            </w:r>
          </w:p>
        </w:tc>
      </w:tr>
      <w:tr w:rsidR="00380BE7" w:rsidRPr="00256982" w14:paraId="01A41514" w14:textId="77777777" w:rsidTr="009574E7">
        <w:trPr>
          <w:trHeight w:val="222"/>
        </w:trPr>
        <w:tc>
          <w:tcPr>
            <w:tcW w:w="1124" w:type="dxa"/>
            <w:tcBorders>
              <w:top w:val="nil"/>
              <w:bottom w:val="double" w:sz="6" w:space="0" w:color="365F91"/>
              <w:right w:val="nil"/>
            </w:tcBorders>
            <w:shd w:val="clear" w:color="auto" w:fill="auto"/>
            <w:vAlign w:val="center"/>
            <w:hideMark/>
          </w:tcPr>
          <w:p w14:paraId="3485FF8C" w14:textId="77777777" w:rsidR="00380BE7" w:rsidRPr="00256982" w:rsidRDefault="00380BE7" w:rsidP="009574E7">
            <w:pPr>
              <w:pStyle w:val="TableText"/>
              <w:rPr>
                <w:b/>
                <w:lang w:eastAsia="en-NZ"/>
              </w:rPr>
            </w:pPr>
            <w:r w:rsidRPr="00256982">
              <w:rPr>
                <w:b/>
                <w:lang w:eastAsia="en-NZ"/>
              </w:rPr>
              <w:t>Other land</w:t>
            </w:r>
          </w:p>
        </w:tc>
        <w:tc>
          <w:tcPr>
            <w:tcW w:w="1061" w:type="dxa"/>
            <w:tcBorders>
              <w:top w:val="nil"/>
              <w:left w:val="nil"/>
              <w:bottom w:val="double" w:sz="6" w:space="0" w:color="365F91"/>
              <w:right w:val="single" w:sz="2" w:space="0" w:color="366092"/>
            </w:tcBorders>
            <w:shd w:val="clear" w:color="auto" w:fill="auto"/>
            <w:vAlign w:val="center"/>
            <w:hideMark/>
          </w:tcPr>
          <w:p w14:paraId="13A97694" w14:textId="77777777" w:rsidR="00380BE7" w:rsidRPr="00256982" w:rsidRDefault="00380BE7" w:rsidP="009574E7">
            <w:pPr>
              <w:pStyle w:val="TableText"/>
              <w:rPr>
                <w:lang w:eastAsia="en-NZ"/>
              </w:rPr>
            </w:pPr>
            <w:r w:rsidRPr="00256982">
              <w:rPr>
                <w:lang w:eastAsia="en-NZ"/>
              </w:rPr>
              <w:t>Other land</w:t>
            </w:r>
          </w:p>
        </w:tc>
        <w:tc>
          <w:tcPr>
            <w:tcW w:w="834" w:type="dxa"/>
            <w:tcBorders>
              <w:top w:val="nil"/>
              <w:left w:val="single" w:sz="2" w:space="0" w:color="366092"/>
              <w:bottom w:val="double" w:sz="6" w:space="0" w:color="365F91"/>
              <w:right w:val="nil"/>
            </w:tcBorders>
            <w:shd w:val="clear" w:color="auto" w:fill="auto"/>
            <w:vAlign w:val="center"/>
            <w:hideMark/>
          </w:tcPr>
          <w:p w14:paraId="6736C1A3"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 </w:t>
            </w:r>
          </w:p>
        </w:tc>
        <w:tc>
          <w:tcPr>
            <w:tcW w:w="834" w:type="dxa"/>
            <w:tcBorders>
              <w:top w:val="nil"/>
              <w:left w:val="nil"/>
              <w:bottom w:val="double" w:sz="6" w:space="0" w:color="365F91"/>
              <w:right w:val="nil"/>
            </w:tcBorders>
            <w:shd w:val="clear" w:color="auto" w:fill="auto"/>
            <w:vAlign w:val="center"/>
            <w:hideMark/>
          </w:tcPr>
          <w:p w14:paraId="3AAF7B0F"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 </w:t>
            </w:r>
          </w:p>
        </w:tc>
        <w:tc>
          <w:tcPr>
            <w:tcW w:w="835" w:type="dxa"/>
            <w:tcBorders>
              <w:top w:val="nil"/>
              <w:left w:val="nil"/>
              <w:bottom w:val="double" w:sz="6" w:space="0" w:color="365F91"/>
              <w:right w:val="single" w:sz="8" w:space="0" w:color="365F91"/>
            </w:tcBorders>
            <w:shd w:val="clear" w:color="auto" w:fill="auto"/>
            <w:vAlign w:val="center"/>
            <w:hideMark/>
          </w:tcPr>
          <w:p w14:paraId="7910B70D"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 </w:t>
            </w:r>
          </w:p>
        </w:tc>
        <w:tc>
          <w:tcPr>
            <w:tcW w:w="921" w:type="dxa"/>
            <w:tcBorders>
              <w:top w:val="nil"/>
              <w:left w:val="nil"/>
              <w:bottom w:val="double" w:sz="6" w:space="0" w:color="365F91"/>
              <w:right w:val="nil"/>
            </w:tcBorders>
            <w:shd w:val="clear" w:color="auto" w:fill="auto"/>
            <w:vAlign w:val="center"/>
            <w:hideMark/>
          </w:tcPr>
          <w:p w14:paraId="114B6E4E"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 </w:t>
            </w:r>
          </w:p>
        </w:tc>
        <w:tc>
          <w:tcPr>
            <w:tcW w:w="939" w:type="dxa"/>
            <w:tcBorders>
              <w:top w:val="nil"/>
              <w:left w:val="nil"/>
              <w:bottom w:val="double" w:sz="6" w:space="0" w:color="365F91"/>
              <w:right w:val="single" w:sz="8" w:space="0" w:color="365F91"/>
            </w:tcBorders>
            <w:shd w:val="clear" w:color="auto" w:fill="auto"/>
            <w:vAlign w:val="center"/>
            <w:hideMark/>
          </w:tcPr>
          <w:p w14:paraId="15D34E20"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 </w:t>
            </w:r>
          </w:p>
        </w:tc>
        <w:tc>
          <w:tcPr>
            <w:tcW w:w="1002" w:type="dxa"/>
            <w:tcBorders>
              <w:top w:val="nil"/>
              <w:left w:val="nil"/>
              <w:bottom w:val="double" w:sz="6" w:space="0" w:color="365F91"/>
              <w:right w:val="nil"/>
            </w:tcBorders>
            <w:shd w:val="clear" w:color="auto" w:fill="auto"/>
            <w:vAlign w:val="center"/>
            <w:hideMark/>
          </w:tcPr>
          <w:p w14:paraId="6668E668"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 </w:t>
            </w:r>
          </w:p>
        </w:tc>
        <w:tc>
          <w:tcPr>
            <w:tcW w:w="1002" w:type="dxa"/>
            <w:tcBorders>
              <w:top w:val="nil"/>
              <w:left w:val="nil"/>
              <w:bottom w:val="double" w:sz="6" w:space="0" w:color="365F91"/>
              <w:right w:val="nil"/>
            </w:tcBorders>
            <w:shd w:val="clear" w:color="auto" w:fill="auto"/>
            <w:vAlign w:val="center"/>
            <w:hideMark/>
          </w:tcPr>
          <w:p w14:paraId="615C1A3E"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 </w:t>
            </w:r>
          </w:p>
        </w:tc>
        <w:tc>
          <w:tcPr>
            <w:tcW w:w="869" w:type="dxa"/>
            <w:tcBorders>
              <w:top w:val="nil"/>
              <w:left w:val="nil"/>
              <w:bottom w:val="double" w:sz="6" w:space="0" w:color="365F91"/>
              <w:right w:val="single" w:sz="8" w:space="0" w:color="365F91"/>
            </w:tcBorders>
            <w:shd w:val="clear" w:color="auto" w:fill="auto"/>
            <w:vAlign w:val="center"/>
            <w:hideMark/>
          </w:tcPr>
          <w:p w14:paraId="25679D08"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 </w:t>
            </w:r>
          </w:p>
        </w:tc>
        <w:tc>
          <w:tcPr>
            <w:tcW w:w="827" w:type="dxa"/>
            <w:tcBorders>
              <w:top w:val="nil"/>
              <w:left w:val="nil"/>
              <w:bottom w:val="double" w:sz="6" w:space="0" w:color="365F91"/>
              <w:right w:val="nil"/>
            </w:tcBorders>
            <w:shd w:val="clear" w:color="auto" w:fill="auto"/>
            <w:vAlign w:val="center"/>
            <w:hideMark/>
          </w:tcPr>
          <w:p w14:paraId="130013F3"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 </w:t>
            </w:r>
          </w:p>
        </w:tc>
        <w:tc>
          <w:tcPr>
            <w:tcW w:w="983" w:type="dxa"/>
            <w:tcBorders>
              <w:top w:val="nil"/>
              <w:left w:val="nil"/>
              <w:bottom w:val="double" w:sz="6" w:space="0" w:color="365F91"/>
              <w:right w:val="single" w:sz="8" w:space="0" w:color="365F91"/>
            </w:tcBorders>
            <w:shd w:val="clear" w:color="auto" w:fill="auto"/>
            <w:vAlign w:val="center"/>
            <w:hideMark/>
          </w:tcPr>
          <w:p w14:paraId="050A152B"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 </w:t>
            </w:r>
          </w:p>
        </w:tc>
        <w:tc>
          <w:tcPr>
            <w:tcW w:w="1125" w:type="dxa"/>
            <w:tcBorders>
              <w:top w:val="nil"/>
              <w:left w:val="nil"/>
              <w:bottom w:val="double" w:sz="6" w:space="0" w:color="365F91"/>
              <w:right w:val="single" w:sz="8" w:space="0" w:color="365F91"/>
            </w:tcBorders>
            <w:shd w:val="clear" w:color="auto" w:fill="auto"/>
            <w:vAlign w:val="center"/>
            <w:hideMark/>
          </w:tcPr>
          <w:p w14:paraId="6EDAB576"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 </w:t>
            </w:r>
          </w:p>
        </w:tc>
        <w:tc>
          <w:tcPr>
            <w:tcW w:w="853" w:type="dxa"/>
            <w:tcBorders>
              <w:top w:val="nil"/>
              <w:left w:val="nil"/>
              <w:bottom w:val="double" w:sz="6" w:space="0" w:color="365F91"/>
              <w:right w:val="single" w:sz="8" w:space="0" w:color="365F91"/>
            </w:tcBorders>
            <w:shd w:val="clear" w:color="000000" w:fill="D8D8D8"/>
            <w:vAlign w:val="center"/>
            <w:hideMark/>
          </w:tcPr>
          <w:p w14:paraId="57705B77"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896.8</w:t>
            </w:r>
          </w:p>
        </w:tc>
        <w:tc>
          <w:tcPr>
            <w:tcW w:w="853" w:type="dxa"/>
            <w:tcBorders>
              <w:top w:val="single" w:sz="8" w:space="0" w:color="365F91"/>
              <w:left w:val="nil"/>
              <w:bottom w:val="double" w:sz="6" w:space="0" w:color="365F91"/>
            </w:tcBorders>
            <w:shd w:val="clear" w:color="auto" w:fill="auto"/>
            <w:vAlign w:val="center"/>
            <w:hideMark/>
          </w:tcPr>
          <w:p w14:paraId="0C71B7C7"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896.8</w:t>
            </w:r>
          </w:p>
        </w:tc>
      </w:tr>
      <w:tr w:rsidR="00380BE7" w:rsidRPr="00256982" w14:paraId="378FE562" w14:textId="77777777" w:rsidTr="009574E7">
        <w:trPr>
          <w:trHeight w:val="288"/>
        </w:trPr>
        <w:tc>
          <w:tcPr>
            <w:tcW w:w="2185" w:type="dxa"/>
            <w:gridSpan w:val="2"/>
            <w:tcBorders>
              <w:top w:val="nil"/>
              <w:bottom w:val="nil"/>
              <w:right w:val="single" w:sz="2" w:space="0" w:color="366092"/>
            </w:tcBorders>
            <w:shd w:val="clear" w:color="auto" w:fill="auto"/>
            <w:vAlign w:val="center"/>
            <w:hideMark/>
          </w:tcPr>
          <w:p w14:paraId="0EC95432" w14:textId="77777777" w:rsidR="00380BE7" w:rsidRPr="00256982" w:rsidRDefault="00380BE7" w:rsidP="009574E7">
            <w:pPr>
              <w:pStyle w:val="Tableboldblue"/>
              <w:rPr>
                <w:b w:val="0"/>
                <w:lang w:eastAsia="en-NZ"/>
              </w:rPr>
            </w:pPr>
            <w:r w:rsidRPr="00256982">
              <w:rPr>
                <w:b w:val="0"/>
                <w:lang w:eastAsia="en-NZ"/>
              </w:rPr>
              <w:t>Area as at 1 Jan 1962 (kha) </w:t>
            </w:r>
          </w:p>
        </w:tc>
        <w:tc>
          <w:tcPr>
            <w:tcW w:w="834" w:type="dxa"/>
            <w:tcBorders>
              <w:top w:val="nil"/>
              <w:left w:val="single" w:sz="2" w:space="0" w:color="366092"/>
              <w:bottom w:val="nil"/>
              <w:right w:val="nil"/>
            </w:tcBorders>
            <w:shd w:val="clear" w:color="auto" w:fill="auto"/>
            <w:vAlign w:val="center"/>
            <w:hideMark/>
          </w:tcPr>
          <w:p w14:paraId="5CAFB0EB" w14:textId="77777777" w:rsidR="00380BE7" w:rsidRPr="00256982" w:rsidRDefault="00380BE7" w:rsidP="009574E7">
            <w:pPr>
              <w:jc w:val="right"/>
              <w:rPr>
                <w:rFonts w:ascii="Arial" w:hAnsi="Arial" w:cs="Arial"/>
                <w:color w:val="365F91"/>
                <w:sz w:val="16"/>
                <w:szCs w:val="16"/>
              </w:rPr>
            </w:pPr>
            <w:r w:rsidRPr="00256982">
              <w:rPr>
                <w:rFonts w:ascii="Arial" w:hAnsi="Arial" w:cs="Arial"/>
                <w:color w:val="365F91"/>
                <w:sz w:val="16"/>
                <w:szCs w:val="16"/>
              </w:rPr>
              <w:t>8,686.8</w:t>
            </w:r>
          </w:p>
        </w:tc>
        <w:tc>
          <w:tcPr>
            <w:tcW w:w="834" w:type="dxa"/>
            <w:tcBorders>
              <w:top w:val="nil"/>
              <w:left w:val="nil"/>
              <w:bottom w:val="nil"/>
              <w:right w:val="nil"/>
            </w:tcBorders>
            <w:shd w:val="clear" w:color="auto" w:fill="auto"/>
            <w:vAlign w:val="center"/>
            <w:hideMark/>
          </w:tcPr>
          <w:p w14:paraId="5B2319E6" w14:textId="77777777" w:rsidR="00380BE7" w:rsidRPr="00256982" w:rsidRDefault="00380BE7" w:rsidP="009574E7">
            <w:pPr>
              <w:jc w:val="right"/>
              <w:rPr>
                <w:rFonts w:ascii="Arial" w:hAnsi="Arial" w:cs="Arial"/>
                <w:color w:val="365F91"/>
                <w:sz w:val="16"/>
                <w:szCs w:val="16"/>
              </w:rPr>
            </w:pPr>
            <w:r w:rsidRPr="00256982">
              <w:rPr>
                <w:rFonts w:ascii="Arial" w:hAnsi="Arial" w:cs="Arial"/>
                <w:color w:val="365F91"/>
                <w:sz w:val="16"/>
                <w:szCs w:val="16"/>
              </w:rPr>
              <w:t>457.5</w:t>
            </w:r>
          </w:p>
        </w:tc>
        <w:tc>
          <w:tcPr>
            <w:tcW w:w="835" w:type="dxa"/>
            <w:tcBorders>
              <w:top w:val="nil"/>
              <w:left w:val="nil"/>
              <w:bottom w:val="nil"/>
              <w:right w:val="single" w:sz="8" w:space="0" w:color="365F91"/>
            </w:tcBorders>
            <w:shd w:val="clear" w:color="auto" w:fill="auto"/>
            <w:vAlign w:val="center"/>
            <w:hideMark/>
          </w:tcPr>
          <w:p w14:paraId="6CA56BB6" w14:textId="77777777" w:rsidR="00380BE7" w:rsidRPr="00256982" w:rsidRDefault="00380BE7" w:rsidP="009574E7">
            <w:pPr>
              <w:jc w:val="right"/>
              <w:rPr>
                <w:rFonts w:ascii="Arial" w:hAnsi="Arial" w:cs="Arial"/>
                <w:color w:val="365F91"/>
                <w:sz w:val="16"/>
                <w:szCs w:val="16"/>
              </w:rPr>
            </w:pPr>
            <w:r w:rsidRPr="00256982">
              <w:rPr>
                <w:rFonts w:ascii="Arial" w:hAnsi="Arial" w:cs="Arial"/>
                <w:color w:val="365F91"/>
                <w:sz w:val="16"/>
                <w:szCs w:val="16"/>
              </w:rPr>
              <w:t>0.0</w:t>
            </w:r>
          </w:p>
        </w:tc>
        <w:tc>
          <w:tcPr>
            <w:tcW w:w="921" w:type="dxa"/>
            <w:tcBorders>
              <w:top w:val="nil"/>
              <w:left w:val="nil"/>
              <w:bottom w:val="nil"/>
              <w:right w:val="nil"/>
            </w:tcBorders>
            <w:shd w:val="clear" w:color="auto" w:fill="auto"/>
            <w:vAlign w:val="center"/>
            <w:hideMark/>
          </w:tcPr>
          <w:p w14:paraId="2122192F" w14:textId="77777777" w:rsidR="00380BE7" w:rsidRPr="00256982" w:rsidRDefault="00380BE7" w:rsidP="009574E7">
            <w:pPr>
              <w:jc w:val="right"/>
              <w:rPr>
                <w:rFonts w:ascii="Arial" w:hAnsi="Arial" w:cs="Arial"/>
                <w:color w:val="365F91"/>
                <w:sz w:val="16"/>
                <w:szCs w:val="16"/>
              </w:rPr>
            </w:pPr>
            <w:r w:rsidRPr="00256982">
              <w:rPr>
                <w:rFonts w:ascii="Arial" w:hAnsi="Arial" w:cs="Arial"/>
                <w:color w:val="365F91"/>
                <w:sz w:val="16"/>
                <w:szCs w:val="16"/>
              </w:rPr>
              <w:t>355.0</w:t>
            </w:r>
          </w:p>
        </w:tc>
        <w:tc>
          <w:tcPr>
            <w:tcW w:w="939" w:type="dxa"/>
            <w:tcBorders>
              <w:top w:val="nil"/>
              <w:left w:val="nil"/>
              <w:bottom w:val="nil"/>
              <w:right w:val="single" w:sz="8" w:space="0" w:color="365F91"/>
            </w:tcBorders>
            <w:shd w:val="clear" w:color="auto" w:fill="auto"/>
            <w:vAlign w:val="center"/>
            <w:hideMark/>
          </w:tcPr>
          <w:p w14:paraId="342CE17D" w14:textId="77777777" w:rsidR="00380BE7" w:rsidRPr="00256982" w:rsidRDefault="00380BE7" w:rsidP="009574E7">
            <w:pPr>
              <w:jc w:val="right"/>
              <w:rPr>
                <w:rFonts w:ascii="Arial" w:hAnsi="Arial" w:cs="Arial"/>
                <w:color w:val="365F91"/>
                <w:sz w:val="16"/>
                <w:szCs w:val="16"/>
              </w:rPr>
            </w:pPr>
            <w:r w:rsidRPr="00256982">
              <w:rPr>
                <w:rFonts w:ascii="Arial" w:hAnsi="Arial" w:cs="Arial"/>
                <w:color w:val="365F91"/>
                <w:sz w:val="16"/>
                <w:szCs w:val="16"/>
              </w:rPr>
              <w:t>78.3</w:t>
            </w:r>
          </w:p>
        </w:tc>
        <w:tc>
          <w:tcPr>
            <w:tcW w:w="1002" w:type="dxa"/>
            <w:tcBorders>
              <w:top w:val="nil"/>
              <w:left w:val="nil"/>
              <w:bottom w:val="nil"/>
              <w:right w:val="nil"/>
            </w:tcBorders>
            <w:shd w:val="clear" w:color="auto" w:fill="auto"/>
            <w:vAlign w:val="center"/>
            <w:hideMark/>
          </w:tcPr>
          <w:p w14:paraId="38D341D7" w14:textId="77777777" w:rsidR="00380BE7" w:rsidRPr="00256982" w:rsidRDefault="00380BE7" w:rsidP="009574E7">
            <w:pPr>
              <w:jc w:val="right"/>
              <w:rPr>
                <w:rFonts w:ascii="Arial" w:hAnsi="Arial" w:cs="Arial"/>
                <w:color w:val="365F91"/>
                <w:sz w:val="16"/>
                <w:szCs w:val="16"/>
              </w:rPr>
            </w:pPr>
            <w:r w:rsidRPr="00256982">
              <w:rPr>
                <w:rFonts w:ascii="Arial" w:hAnsi="Arial" w:cs="Arial"/>
                <w:color w:val="365F91"/>
                <w:sz w:val="16"/>
                <w:szCs w:val="16"/>
              </w:rPr>
              <w:t>4,851.9</w:t>
            </w:r>
          </w:p>
        </w:tc>
        <w:tc>
          <w:tcPr>
            <w:tcW w:w="1002" w:type="dxa"/>
            <w:tcBorders>
              <w:top w:val="nil"/>
              <w:left w:val="nil"/>
              <w:bottom w:val="nil"/>
              <w:right w:val="nil"/>
            </w:tcBorders>
            <w:shd w:val="clear" w:color="auto" w:fill="auto"/>
            <w:vAlign w:val="center"/>
            <w:hideMark/>
          </w:tcPr>
          <w:p w14:paraId="1B91AF3F" w14:textId="77777777" w:rsidR="00380BE7" w:rsidRPr="00256982" w:rsidRDefault="00380BE7" w:rsidP="009574E7">
            <w:pPr>
              <w:jc w:val="right"/>
              <w:rPr>
                <w:rFonts w:ascii="Arial" w:hAnsi="Arial" w:cs="Arial"/>
                <w:color w:val="365F91"/>
                <w:sz w:val="16"/>
                <w:szCs w:val="16"/>
              </w:rPr>
            </w:pPr>
            <w:r w:rsidRPr="00256982">
              <w:rPr>
                <w:rFonts w:ascii="Arial" w:hAnsi="Arial" w:cs="Arial"/>
                <w:color w:val="365F91"/>
                <w:sz w:val="16"/>
                <w:szCs w:val="16"/>
              </w:rPr>
              <w:t>8,791.8</w:t>
            </w:r>
          </w:p>
        </w:tc>
        <w:tc>
          <w:tcPr>
            <w:tcW w:w="869" w:type="dxa"/>
            <w:tcBorders>
              <w:top w:val="nil"/>
              <w:left w:val="nil"/>
              <w:bottom w:val="nil"/>
              <w:right w:val="single" w:sz="8" w:space="0" w:color="365F91"/>
            </w:tcBorders>
            <w:shd w:val="clear" w:color="auto" w:fill="auto"/>
            <w:vAlign w:val="center"/>
            <w:hideMark/>
          </w:tcPr>
          <w:p w14:paraId="3EFCCB12" w14:textId="77777777" w:rsidR="00380BE7" w:rsidRPr="00256982" w:rsidRDefault="00380BE7" w:rsidP="009574E7">
            <w:pPr>
              <w:jc w:val="right"/>
              <w:rPr>
                <w:rFonts w:ascii="Arial" w:hAnsi="Arial" w:cs="Arial"/>
                <w:color w:val="365F91"/>
                <w:sz w:val="16"/>
                <w:szCs w:val="16"/>
              </w:rPr>
            </w:pPr>
            <w:r w:rsidRPr="00256982">
              <w:rPr>
                <w:rFonts w:ascii="Arial" w:hAnsi="Arial" w:cs="Arial"/>
                <w:color w:val="365F91"/>
                <w:sz w:val="16"/>
                <w:szCs w:val="16"/>
              </w:rPr>
              <w:t>1,866.5</w:t>
            </w:r>
          </w:p>
        </w:tc>
        <w:tc>
          <w:tcPr>
            <w:tcW w:w="827" w:type="dxa"/>
            <w:tcBorders>
              <w:top w:val="nil"/>
              <w:left w:val="nil"/>
              <w:bottom w:val="nil"/>
              <w:right w:val="nil"/>
            </w:tcBorders>
            <w:shd w:val="clear" w:color="auto" w:fill="auto"/>
            <w:vAlign w:val="center"/>
            <w:hideMark/>
          </w:tcPr>
          <w:p w14:paraId="03073A73" w14:textId="77777777" w:rsidR="00380BE7" w:rsidRPr="00256982" w:rsidRDefault="00380BE7" w:rsidP="009574E7">
            <w:pPr>
              <w:jc w:val="right"/>
              <w:rPr>
                <w:rFonts w:ascii="Arial" w:hAnsi="Arial" w:cs="Arial"/>
                <w:color w:val="365F91"/>
                <w:sz w:val="16"/>
                <w:szCs w:val="16"/>
              </w:rPr>
            </w:pPr>
            <w:r w:rsidRPr="00256982">
              <w:rPr>
                <w:rFonts w:ascii="Arial" w:hAnsi="Arial" w:cs="Arial"/>
                <w:color w:val="365F91"/>
                <w:sz w:val="16"/>
                <w:szCs w:val="16"/>
              </w:rPr>
              <w:t>513.3</w:t>
            </w:r>
          </w:p>
        </w:tc>
        <w:tc>
          <w:tcPr>
            <w:tcW w:w="983" w:type="dxa"/>
            <w:tcBorders>
              <w:top w:val="nil"/>
              <w:left w:val="nil"/>
              <w:bottom w:val="nil"/>
              <w:right w:val="single" w:sz="8" w:space="0" w:color="365F91"/>
            </w:tcBorders>
            <w:shd w:val="clear" w:color="auto" w:fill="auto"/>
            <w:vAlign w:val="center"/>
            <w:hideMark/>
          </w:tcPr>
          <w:p w14:paraId="4759F723" w14:textId="77777777" w:rsidR="00380BE7" w:rsidRPr="00256982" w:rsidRDefault="00380BE7" w:rsidP="009574E7">
            <w:pPr>
              <w:jc w:val="right"/>
              <w:rPr>
                <w:rFonts w:ascii="Arial" w:hAnsi="Arial" w:cs="Arial"/>
                <w:color w:val="365F91"/>
                <w:sz w:val="16"/>
                <w:szCs w:val="16"/>
              </w:rPr>
            </w:pPr>
            <w:r w:rsidRPr="00256982">
              <w:rPr>
                <w:rFonts w:ascii="Arial" w:hAnsi="Arial" w:cs="Arial"/>
                <w:color w:val="365F91"/>
                <w:sz w:val="16"/>
                <w:szCs w:val="16"/>
              </w:rPr>
              <w:t>243.0</w:t>
            </w:r>
          </w:p>
        </w:tc>
        <w:tc>
          <w:tcPr>
            <w:tcW w:w="1125" w:type="dxa"/>
            <w:tcBorders>
              <w:top w:val="nil"/>
              <w:left w:val="nil"/>
              <w:bottom w:val="nil"/>
              <w:right w:val="single" w:sz="8" w:space="0" w:color="365F91"/>
            </w:tcBorders>
            <w:shd w:val="clear" w:color="auto" w:fill="auto"/>
            <w:vAlign w:val="center"/>
            <w:hideMark/>
          </w:tcPr>
          <w:p w14:paraId="616ADDBF" w14:textId="77777777" w:rsidR="00380BE7" w:rsidRPr="00256982" w:rsidRDefault="00380BE7" w:rsidP="009574E7">
            <w:pPr>
              <w:jc w:val="right"/>
              <w:rPr>
                <w:rFonts w:ascii="Arial" w:hAnsi="Arial" w:cs="Arial"/>
                <w:color w:val="365F91"/>
                <w:sz w:val="16"/>
                <w:szCs w:val="16"/>
              </w:rPr>
            </w:pPr>
            <w:r w:rsidRPr="00256982">
              <w:rPr>
                <w:rFonts w:ascii="Arial" w:hAnsi="Arial" w:cs="Arial"/>
                <w:color w:val="365F91"/>
                <w:sz w:val="16"/>
                <w:szCs w:val="16"/>
              </w:rPr>
              <w:t>184.2</w:t>
            </w:r>
          </w:p>
        </w:tc>
        <w:tc>
          <w:tcPr>
            <w:tcW w:w="853" w:type="dxa"/>
            <w:tcBorders>
              <w:top w:val="nil"/>
              <w:left w:val="nil"/>
              <w:bottom w:val="nil"/>
              <w:right w:val="single" w:sz="8" w:space="0" w:color="365F91"/>
            </w:tcBorders>
            <w:shd w:val="clear" w:color="auto" w:fill="auto"/>
            <w:vAlign w:val="center"/>
            <w:hideMark/>
          </w:tcPr>
          <w:p w14:paraId="5BC9C5AC" w14:textId="77777777" w:rsidR="00380BE7" w:rsidRPr="00256982" w:rsidRDefault="00380BE7" w:rsidP="009574E7">
            <w:pPr>
              <w:jc w:val="right"/>
              <w:rPr>
                <w:rFonts w:ascii="Arial" w:hAnsi="Arial" w:cs="Arial"/>
                <w:color w:val="365F91"/>
                <w:sz w:val="16"/>
                <w:szCs w:val="16"/>
              </w:rPr>
            </w:pPr>
            <w:r w:rsidRPr="00256982">
              <w:rPr>
                <w:rFonts w:ascii="Arial" w:hAnsi="Arial" w:cs="Arial"/>
                <w:color w:val="365F91"/>
                <w:sz w:val="16"/>
                <w:szCs w:val="16"/>
              </w:rPr>
              <w:t>896.8</w:t>
            </w:r>
          </w:p>
        </w:tc>
        <w:tc>
          <w:tcPr>
            <w:tcW w:w="853" w:type="dxa"/>
            <w:tcBorders>
              <w:top w:val="nil"/>
              <w:left w:val="nil"/>
              <w:bottom w:val="nil"/>
            </w:tcBorders>
            <w:shd w:val="clear" w:color="000000" w:fill="D8D8D8"/>
            <w:vAlign w:val="center"/>
            <w:hideMark/>
          </w:tcPr>
          <w:p w14:paraId="66B136CB" w14:textId="77777777" w:rsidR="00380BE7" w:rsidRPr="00256982" w:rsidRDefault="00380BE7" w:rsidP="009574E7">
            <w:pPr>
              <w:jc w:val="right"/>
              <w:rPr>
                <w:rFonts w:ascii="Arial" w:hAnsi="Arial" w:cs="Arial"/>
                <w:color w:val="365F91"/>
                <w:sz w:val="16"/>
                <w:szCs w:val="16"/>
              </w:rPr>
            </w:pPr>
            <w:r w:rsidRPr="00256982">
              <w:rPr>
                <w:rFonts w:ascii="Arial" w:hAnsi="Arial" w:cs="Arial"/>
                <w:color w:val="365F91"/>
                <w:sz w:val="16"/>
                <w:szCs w:val="16"/>
              </w:rPr>
              <w:t>26,925.2</w:t>
            </w:r>
          </w:p>
        </w:tc>
      </w:tr>
      <w:tr w:rsidR="00380BE7" w:rsidRPr="00256982" w14:paraId="1427E62E" w14:textId="77777777" w:rsidTr="009574E7">
        <w:trPr>
          <w:trHeight w:val="205"/>
        </w:trPr>
        <w:tc>
          <w:tcPr>
            <w:tcW w:w="2185" w:type="dxa"/>
            <w:gridSpan w:val="2"/>
            <w:tcBorders>
              <w:top w:val="nil"/>
              <w:right w:val="single" w:sz="2" w:space="0" w:color="366092"/>
            </w:tcBorders>
            <w:shd w:val="clear" w:color="auto" w:fill="auto"/>
            <w:vAlign w:val="center"/>
            <w:hideMark/>
          </w:tcPr>
          <w:p w14:paraId="265FC010" w14:textId="6DD659CE" w:rsidR="00380BE7" w:rsidRPr="00256982" w:rsidRDefault="00380BE7" w:rsidP="009574E7">
            <w:pPr>
              <w:pStyle w:val="Tableboldblue"/>
              <w:rPr>
                <w:b w:val="0"/>
                <w:lang w:eastAsia="en-NZ"/>
              </w:rPr>
            </w:pPr>
            <w:r w:rsidRPr="00256982">
              <w:rPr>
                <w:b w:val="0"/>
                <w:lang w:eastAsia="en-NZ"/>
              </w:rPr>
              <w:t xml:space="preserve">Net change </w:t>
            </w:r>
            <w:r w:rsidR="00B51D33" w:rsidRPr="00256982">
              <w:rPr>
                <w:b w:val="0"/>
                <w:lang w:eastAsia="en-NZ"/>
              </w:rPr>
              <w:br/>
            </w:r>
            <w:r w:rsidRPr="00256982">
              <w:rPr>
                <w:b w:val="0"/>
                <w:lang w:eastAsia="en-NZ"/>
              </w:rPr>
              <w:t>1 Jan 1962–31 Dec 1989 </w:t>
            </w:r>
          </w:p>
        </w:tc>
        <w:tc>
          <w:tcPr>
            <w:tcW w:w="834" w:type="dxa"/>
            <w:tcBorders>
              <w:top w:val="nil"/>
              <w:left w:val="single" w:sz="2" w:space="0" w:color="366092"/>
              <w:right w:val="nil"/>
            </w:tcBorders>
            <w:shd w:val="clear" w:color="auto" w:fill="auto"/>
            <w:noWrap/>
            <w:vAlign w:val="center"/>
            <w:hideMark/>
          </w:tcPr>
          <w:p w14:paraId="4257E906" w14:textId="77777777" w:rsidR="00380BE7" w:rsidRPr="00256982" w:rsidRDefault="00380BE7" w:rsidP="009574E7">
            <w:pPr>
              <w:jc w:val="right"/>
              <w:rPr>
                <w:rFonts w:ascii="Arial" w:hAnsi="Arial" w:cs="Arial"/>
                <w:color w:val="365F91"/>
                <w:sz w:val="16"/>
                <w:szCs w:val="16"/>
              </w:rPr>
            </w:pPr>
            <w:r w:rsidRPr="00256982">
              <w:t>–</w:t>
            </w:r>
            <w:r w:rsidRPr="00256982">
              <w:rPr>
                <w:rFonts w:ascii="Arial" w:hAnsi="Arial" w:cs="Arial"/>
                <w:color w:val="365F91"/>
                <w:sz w:val="16"/>
                <w:szCs w:val="16"/>
              </w:rPr>
              <w:t>809.7</w:t>
            </w:r>
          </w:p>
        </w:tc>
        <w:tc>
          <w:tcPr>
            <w:tcW w:w="834" w:type="dxa"/>
            <w:tcBorders>
              <w:top w:val="nil"/>
              <w:left w:val="nil"/>
              <w:right w:val="nil"/>
            </w:tcBorders>
            <w:shd w:val="clear" w:color="auto" w:fill="auto"/>
            <w:noWrap/>
            <w:vAlign w:val="center"/>
            <w:hideMark/>
          </w:tcPr>
          <w:p w14:paraId="41936265" w14:textId="77777777" w:rsidR="00380BE7" w:rsidRPr="00256982" w:rsidRDefault="00380BE7" w:rsidP="009574E7">
            <w:pPr>
              <w:jc w:val="right"/>
              <w:rPr>
                <w:rFonts w:ascii="Arial" w:hAnsi="Arial" w:cs="Arial"/>
                <w:color w:val="365F91"/>
                <w:sz w:val="16"/>
                <w:szCs w:val="16"/>
              </w:rPr>
            </w:pPr>
            <w:r w:rsidRPr="00256982">
              <w:rPr>
                <w:rFonts w:ascii="Arial" w:hAnsi="Arial" w:cs="Arial"/>
                <w:color w:val="365F91"/>
                <w:sz w:val="16"/>
                <w:szCs w:val="16"/>
              </w:rPr>
              <w:t>1,078.1</w:t>
            </w:r>
          </w:p>
        </w:tc>
        <w:tc>
          <w:tcPr>
            <w:tcW w:w="835" w:type="dxa"/>
            <w:tcBorders>
              <w:top w:val="nil"/>
              <w:left w:val="nil"/>
              <w:right w:val="single" w:sz="8" w:space="0" w:color="365F91"/>
            </w:tcBorders>
            <w:shd w:val="clear" w:color="auto" w:fill="auto"/>
            <w:noWrap/>
            <w:vAlign w:val="center"/>
            <w:hideMark/>
          </w:tcPr>
          <w:p w14:paraId="4E32A704" w14:textId="77777777" w:rsidR="00380BE7" w:rsidRPr="00256982" w:rsidRDefault="00380BE7" w:rsidP="009574E7">
            <w:pPr>
              <w:jc w:val="right"/>
              <w:rPr>
                <w:rFonts w:ascii="Arial" w:hAnsi="Arial" w:cs="Arial"/>
                <w:color w:val="365F91"/>
                <w:sz w:val="16"/>
                <w:szCs w:val="16"/>
              </w:rPr>
            </w:pPr>
            <w:r w:rsidRPr="00256982">
              <w:rPr>
                <w:rFonts w:ascii="Arial" w:hAnsi="Arial" w:cs="Arial"/>
                <w:color w:val="365F91"/>
                <w:sz w:val="16"/>
                <w:szCs w:val="16"/>
              </w:rPr>
              <w:t>0.0</w:t>
            </w:r>
          </w:p>
        </w:tc>
        <w:tc>
          <w:tcPr>
            <w:tcW w:w="921" w:type="dxa"/>
            <w:tcBorders>
              <w:top w:val="nil"/>
              <w:left w:val="nil"/>
              <w:right w:val="nil"/>
            </w:tcBorders>
            <w:shd w:val="clear" w:color="auto" w:fill="auto"/>
            <w:noWrap/>
            <w:vAlign w:val="center"/>
            <w:hideMark/>
          </w:tcPr>
          <w:p w14:paraId="083E14A1" w14:textId="77777777" w:rsidR="00380BE7" w:rsidRPr="00256982" w:rsidRDefault="00380BE7" w:rsidP="009574E7">
            <w:pPr>
              <w:jc w:val="right"/>
              <w:rPr>
                <w:rFonts w:ascii="Arial" w:hAnsi="Arial" w:cs="Arial"/>
                <w:color w:val="365F91"/>
                <w:sz w:val="16"/>
                <w:szCs w:val="16"/>
              </w:rPr>
            </w:pPr>
            <w:r w:rsidRPr="00256982">
              <w:rPr>
                <w:rFonts w:ascii="Arial" w:hAnsi="Arial" w:cs="Arial"/>
                <w:color w:val="365F91"/>
                <w:sz w:val="16"/>
                <w:szCs w:val="16"/>
              </w:rPr>
              <w:t>0.0</w:t>
            </w:r>
          </w:p>
        </w:tc>
        <w:tc>
          <w:tcPr>
            <w:tcW w:w="939" w:type="dxa"/>
            <w:tcBorders>
              <w:top w:val="nil"/>
              <w:left w:val="nil"/>
              <w:right w:val="single" w:sz="8" w:space="0" w:color="365F91"/>
            </w:tcBorders>
            <w:shd w:val="clear" w:color="auto" w:fill="auto"/>
            <w:noWrap/>
            <w:vAlign w:val="center"/>
            <w:hideMark/>
          </w:tcPr>
          <w:p w14:paraId="50AA259A" w14:textId="77777777" w:rsidR="00380BE7" w:rsidRPr="00256982" w:rsidRDefault="00380BE7" w:rsidP="009574E7">
            <w:pPr>
              <w:jc w:val="right"/>
              <w:rPr>
                <w:rFonts w:ascii="Arial" w:hAnsi="Arial" w:cs="Arial"/>
                <w:color w:val="365F91"/>
                <w:sz w:val="16"/>
                <w:szCs w:val="16"/>
              </w:rPr>
            </w:pPr>
            <w:r w:rsidRPr="00256982">
              <w:rPr>
                <w:rFonts w:ascii="Arial" w:hAnsi="Arial" w:cs="Arial"/>
                <w:color w:val="365F91"/>
                <w:sz w:val="16"/>
                <w:szCs w:val="16"/>
              </w:rPr>
              <w:t>–9.2</w:t>
            </w:r>
          </w:p>
        </w:tc>
        <w:tc>
          <w:tcPr>
            <w:tcW w:w="1002" w:type="dxa"/>
            <w:tcBorders>
              <w:top w:val="nil"/>
              <w:left w:val="nil"/>
              <w:right w:val="nil"/>
            </w:tcBorders>
            <w:shd w:val="clear" w:color="auto" w:fill="auto"/>
            <w:noWrap/>
            <w:vAlign w:val="center"/>
            <w:hideMark/>
          </w:tcPr>
          <w:p w14:paraId="2A7158DE" w14:textId="77777777" w:rsidR="00380BE7" w:rsidRPr="00256982" w:rsidRDefault="00380BE7" w:rsidP="009574E7">
            <w:pPr>
              <w:jc w:val="right"/>
              <w:rPr>
                <w:rFonts w:ascii="Arial" w:hAnsi="Arial" w:cs="Arial"/>
                <w:color w:val="365F91"/>
                <w:sz w:val="16"/>
                <w:szCs w:val="16"/>
              </w:rPr>
            </w:pPr>
            <w:r w:rsidRPr="00256982">
              <w:rPr>
                <w:rFonts w:ascii="Arial" w:hAnsi="Arial" w:cs="Arial"/>
                <w:color w:val="365F91"/>
                <w:sz w:val="16"/>
                <w:szCs w:val="16"/>
              </w:rPr>
              <w:t>1,001.3</w:t>
            </w:r>
          </w:p>
        </w:tc>
        <w:tc>
          <w:tcPr>
            <w:tcW w:w="1002" w:type="dxa"/>
            <w:tcBorders>
              <w:top w:val="nil"/>
              <w:left w:val="nil"/>
              <w:right w:val="nil"/>
            </w:tcBorders>
            <w:shd w:val="clear" w:color="auto" w:fill="auto"/>
            <w:noWrap/>
            <w:vAlign w:val="center"/>
            <w:hideMark/>
          </w:tcPr>
          <w:p w14:paraId="596B00E8" w14:textId="77777777" w:rsidR="00380BE7" w:rsidRPr="00256982" w:rsidRDefault="00380BE7" w:rsidP="009574E7">
            <w:pPr>
              <w:jc w:val="right"/>
              <w:rPr>
                <w:rFonts w:ascii="Arial" w:hAnsi="Arial" w:cs="Arial"/>
                <w:color w:val="365F91"/>
                <w:sz w:val="16"/>
                <w:szCs w:val="16"/>
              </w:rPr>
            </w:pPr>
            <w:r w:rsidRPr="00256982">
              <w:rPr>
                <w:rFonts w:ascii="Arial" w:hAnsi="Arial" w:cs="Arial"/>
                <w:color w:val="365F91"/>
                <w:sz w:val="16"/>
                <w:szCs w:val="16"/>
              </w:rPr>
              <w:t>–887.1</w:t>
            </w:r>
          </w:p>
        </w:tc>
        <w:tc>
          <w:tcPr>
            <w:tcW w:w="869" w:type="dxa"/>
            <w:tcBorders>
              <w:top w:val="nil"/>
              <w:left w:val="nil"/>
              <w:right w:val="single" w:sz="8" w:space="0" w:color="365F91"/>
            </w:tcBorders>
            <w:shd w:val="clear" w:color="auto" w:fill="auto"/>
            <w:noWrap/>
            <w:vAlign w:val="center"/>
            <w:hideMark/>
          </w:tcPr>
          <w:p w14:paraId="790EB053" w14:textId="77777777" w:rsidR="00380BE7" w:rsidRPr="00256982" w:rsidRDefault="00380BE7" w:rsidP="009574E7">
            <w:pPr>
              <w:jc w:val="right"/>
              <w:rPr>
                <w:rFonts w:ascii="Arial" w:hAnsi="Arial" w:cs="Arial"/>
                <w:color w:val="365F91"/>
                <w:sz w:val="16"/>
                <w:szCs w:val="16"/>
              </w:rPr>
            </w:pPr>
            <w:r w:rsidRPr="00256982">
              <w:rPr>
                <w:rFonts w:ascii="Arial" w:hAnsi="Arial" w:cs="Arial"/>
                <w:color w:val="365F91"/>
                <w:sz w:val="16"/>
                <w:szCs w:val="16"/>
              </w:rPr>
              <w:t>–346.5</w:t>
            </w:r>
          </w:p>
        </w:tc>
        <w:tc>
          <w:tcPr>
            <w:tcW w:w="827" w:type="dxa"/>
            <w:tcBorders>
              <w:top w:val="nil"/>
              <w:left w:val="nil"/>
              <w:right w:val="nil"/>
            </w:tcBorders>
            <w:shd w:val="clear" w:color="auto" w:fill="auto"/>
            <w:vAlign w:val="center"/>
            <w:hideMark/>
          </w:tcPr>
          <w:p w14:paraId="438F5D82" w14:textId="77777777" w:rsidR="00380BE7" w:rsidRPr="00256982" w:rsidRDefault="00380BE7" w:rsidP="009574E7">
            <w:pPr>
              <w:jc w:val="right"/>
              <w:rPr>
                <w:rFonts w:ascii="Arial" w:hAnsi="Arial" w:cs="Arial"/>
                <w:color w:val="365F91"/>
                <w:sz w:val="16"/>
                <w:szCs w:val="16"/>
              </w:rPr>
            </w:pPr>
            <w:r w:rsidRPr="00256982">
              <w:rPr>
                <w:rFonts w:ascii="Arial" w:hAnsi="Arial" w:cs="Arial"/>
                <w:color w:val="365F91"/>
                <w:sz w:val="16"/>
                <w:szCs w:val="16"/>
              </w:rPr>
              <w:t>14.4</w:t>
            </w:r>
          </w:p>
        </w:tc>
        <w:tc>
          <w:tcPr>
            <w:tcW w:w="983" w:type="dxa"/>
            <w:tcBorders>
              <w:top w:val="nil"/>
              <w:left w:val="nil"/>
              <w:right w:val="single" w:sz="8" w:space="0" w:color="365F91"/>
            </w:tcBorders>
            <w:shd w:val="clear" w:color="auto" w:fill="auto"/>
            <w:noWrap/>
            <w:vAlign w:val="center"/>
            <w:hideMark/>
          </w:tcPr>
          <w:p w14:paraId="6E0319B8" w14:textId="77777777" w:rsidR="00380BE7" w:rsidRPr="00256982" w:rsidRDefault="00380BE7" w:rsidP="009574E7">
            <w:pPr>
              <w:jc w:val="right"/>
              <w:rPr>
                <w:rFonts w:ascii="Arial" w:hAnsi="Arial" w:cs="Arial"/>
                <w:color w:val="365F91"/>
                <w:sz w:val="16"/>
                <w:szCs w:val="16"/>
              </w:rPr>
            </w:pPr>
            <w:r w:rsidRPr="00256982">
              <w:rPr>
                <w:rFonts w:ascii="Arial" w:hAnsi="Arial" w:cs="Arial"/>
                <w:color w:val="365F91"/>
                <w:sz w:val="16"/>
                <w:szCs w:val="16"/>
              </w:rPr>
              <w:t>–64.6</w:t>
            </w:r>
          </w:p>
        </w:tc>
        <w:tc>
          <w:tcPr>
            <w:tcW w:w="1125" w:type="dxa"/>
            <w:tcBorders>
              <w:top w:val="nil"/>
              <w:left w:val="nil"/>
              <w:right w:val="single" w:sz="8" w:space="0" w:color="365F91"/>
            </w:tcBorders>
            <w:shd w:val="clear" w:color="auto" w:fill="auto"/>
            <w:noWrap/>
            <w:vAlign w:val="center"/>
            <w:hideMark/>
          </w:tcPr>
          <w:p w14:paraId="07FE8B5A" w14:textId="77777777" w:rsidR="00380BE7" w:rsidRPr="00256982" w:rsidRDefault="00380BE7" w:rsidP="009574E7">
            <w:pPr>
              <w:jc w:val="right"/>
              <w:rPr>
                <w:rFonts w:ascii="Arial" w:hAnsi="Arial" w:cs="Arial"/>
                <w:color w:val="365F91"/>
                <w:sz w:val="16"/>
                <w:szCs w:val="16"/>
              </w:rPr>
            </w:pPr>
            <w:r w:rsidRPr="00256982">
              <w:rPr>
                <w:rFonts w:ascii="Arial" w:hAnsi="Arial" w:cs="Arial"/>
                <w:color w:val="365F91"/>
                <w:sz w:val="16"/>
                <w:szCs w:val="16"/>
              </w:rPr>
              <w:t>23.3</w:t>
            </w:r>
          </w:p>
        </w:tc>
        <w:tc>
          <w:tcPr>
            <w:tcW w:w="853" w:type="dxa"/>
            <w:tcBorders>
              <w:top w:val="nil"/>
              <w:left w:val="nil"/>
              <w:right w:val="single" w:sz="8" w:space="0" w:color="365F91"/>
            </w:tcBorders>
            <w:shd w:val="clear" w:color="auto" w:fill="auto"/>
            <w:noWrap/>
            <w:vAlign w:val="center"/>
            <w:hideMark/>
          </w:tcPr>
          <w:p w14:paraId="4B34B790" w14:textId="77777777" w:rsidR="00380BE7" w:rsidRPr="00256982" w:rsidRDefault="00380BE7" w:rsidP="009574E7">
            <w:pPr>
              <w:jc w:val="right"/>
              <w:rPr>
                <w:rFonts w:ascii="Arial" w:hAnsi="Arial" w:cs="Arial"/>
                <w:color w:val="365F91"/>
                <w:sz w:val="16"/>
                <w:szCs w:val="16"/>
              </w:rPr>
            </w:pPr>
            <w:r w:rsidRPr="00256982">
              <w:rPr>
                <w:rFonts w:ascii="Arial" w:hAnsi="Arial" w:cs="Arial"/>
                <w:color w:val="365F91"/>
                <w:sz w:val="16"/>
                <w:szCs w:val="16"/>
              </w:rPr>
              <w:t>0.0</w:t>
            </w:r>
          </w:p>
        </w:tc>
        <w:tc>
          <w:tcPr>
            <w:tcW w:w="853" w:type="dxa"/>
            <w:tcBorders>
              <w:top w:val="nil"/>
              <w:left w:val="nil"/>
            </w:tcBorders>
            <w:shd w:val="clear" w:color="auto" w:fill="auto"/>
            <w:noWrap/>
            <w:vAlign w:val="center"/>
            <w:hideMark/>
          </w:tcPr>
          <w:p w14:paraId="4072EE2C" w14:textId="77777777" w:rsidR="00380BE7" w:rsidRPr="00256982" w:rsidRDefault="00380BE7" w:rsidP="009574E7">
            <w:pPr>
              <w:jc w:val="right"/>
              <w:rPr>
                <w:rFonts w:ascii="Arial" w:hAnsi="Arial" w:cs="Arial"/>
                <w:color w:val="365F91"/>
                <w:sz w:val="16"/>
                <w:szCs w:val="16"/>
              </w:rPr>
            </w:pPr>
            <w:r w:rsidRPr="00256982">
              <w:rPr>
                <w:rFonts w:ascii="Arial" w:hAnsi="Arial" w:cs="Arial"/>
                <w:color w:val="365F91"/>
                <w:sz w:val="16"/>
                <w:szCs w:val="16"/>
              </w:rPr>
              <w:t>0.0</w:t>
            </w:r>
          </w:p>
        </w:tc>
      </w:tr>
      <w:tr w:rsidR="00380BE7" w:rsidRPr="00256982" w14:paraId="59BE5AC4" w14:textId="77777777" w:rsidTr="009574E7">
        <w:trPr>
          <w:trHeight w:val="288"/>
        </w:trPr>
        <w:tc>
          <w:tcPr>
            <w:tcW w:w="2185" w:type="dxa"/>
            <w:gridSpan w:val="2"/>
            <w:tcBorders>
              <w:top w:val="nil"/>
              <w:bottom w:val="single" w:sz="2" w:space="0" w:color="365F91"/>
              <w:right w:val="single" w:sz="2" w:space="0" w:color="366092"/>
            </w:tcBorders>
            <w:shd w:val="clear" w:color="auto" w:fill="auto"/>
            <w:vAlign w:val="center"/>
            <w:hideMark/>
          </w:tcPr>
          <w:p w14:paraId="59B61E2B" w14:textId="77777777" w:rsidR="00380BE7" w:rsidRPr="00256982" w:rsidRDefault="00380BE7" w:rsidP="009574E7">
            <w:pPr>
              <w:pStyle w:val="Tableboldblue"/>
              <w:rPr>
                <w:b w:val="0"/>
                <w:lang w:eastAsia="en-NZ"/>
              </w:rPr>
            </w:pPr>
            <w:r w:rsidRPr="00256982">
              <w:rPr>
                <w:b w:val="0"/>
                <w:lang w:eastAsia="en-NZ"/>
              </w:rPr>
              <w:t>Net change 1962–1989 (%)</w:t>
            </w:r>
          </w:p>
        </w:tc>
        <w:tc>
          <w:tcPr>
            <w:tcW w:w="834" w:type="dxa"/>
            <w:tcBorders>
              <w:top w:val="nil"/>
              <w:left w:val="single" w:sz="2" w:space="0" w:color="366092"/>
              <w:bottom w:val="single" w:sz="2" w:space="0" w:color="365F91"/>
              <w:right w:val="nil"/>
            </w:tcBorders>
            <w:shd w:val="clear" w:color="auto" w:fill="auto"/>
            <w:vAlign w:val="center"/>
            <w:hideMark/>
          </w:tcPr>
          <w:p w14:paraId="3AB03EF3" w14:textId="77777777" w:rsidR="00380BE7" w:rsidRPr="00256982" w:rsidRDefault="00380BE7" w:rsidP="009574E7">
            <w:pPr>
              <w:jc w:val="right"/>
              <w:rPr>
                <w:rFonts w:ascii="Arial" w:hAnsi="Arial" w:cs="Arial"/>
                <w:color w:val="365F91"/>
                <w:sz w:val="16"/>
                <w:szCs w:val="16"/>
              </w:rPr>
            </w:pPr>
            <w:r w:rsidRPr="00256982">
              <w:rPr>
                <w:rFonts w:ascii="Arial" w:hAnsi="Arial" w:cs="Arial"/>
                <w:color w:val="365F91"/>
                <w:sz w:val="16"/>
                <w:szCs w:val="16"/>
              </w:rPr>
              <w:t>–9.3</w:t>
            </w:r>
          </w:p>
        </w:tc>
        <w:tc>
          <w:tcPr>
            <w:tcW w:w="834" w:type="dxa"/>
            <w:tcBorders>
              <w:top w:val="nil"/>
              <w:left w:val="nil"/>
              <w:bottom w:val="single" w:sz="2" w:space="0" w:color="365F91"/>
              <w:right w:val="nil"/>
            </w:tcBorders>
            <w:shd w:val="clear" w:color="auto" w:fill="auto"/>
            <w:vAlign w:val="center"/>
            <w:hideMark/>
          </w:tcPr>
          <w:p w14:paraId="166BB643" w14:textId="77777777" w:rsidR="00380BE7" w:rsidRPr="00256982" w:rsidRDefault="00380BE7" w:rsidP="009574E7">
            <w:pPr>
              <w:jc w:val="right"/>
              <w:rPr>
                <w:rFonts w:ascii="Arial" w:hAnsi="Arial" w:cs="Arial"/>
                <w:color w:val="365F91"/>
                <w:sz w:val="16"/>
                <w:szCs w:val="16"/>
              </w:rPr>
            </w:pPr>
            <w:r w:rsidRPr="00256982">
              <w:rPr>
                <w:rFonts w:ascii="Arial" w:hAnsi="Arial" w:cs="Arial"/>
                <w:color w:val="365F91"/>
                <w:sz w:val="16"/>
                <w:szCs w:val="16"/>
              </w:rPr>
              <w:t>235.6</w:t>
            </w:r>
          </w:p>
        </w:tc>
        <w:tc>
          <w:tcPr>
            <w:tcW w:w="835" w:type="dxa"/>
            <w:tcBorders>
              <w:top w:val="nil"/>
              <w:left w:val="nil"/>
              <w:bottom w:val="single" w:sz="2" w:space="0" w:color="365F91"/>
              <w:right w:val="single" w:sz="8" w:space="0" w:color="365F91"/>
            </w:tcBorders>
            <w:shd w:val="clear" w:color="auto" w:fill="auto"/>
            <w:vAlign w:val="center"/>
            <w:hideMark/>
          </w:tcPr>
          <w:p w14:paraId="3D3BF4D8" w14:textId="77777777" w:rsidR="00380BE7" w:rsidRPr="00256982" w:rsidRDefault="00380BE7" w:rsidP="009574E7">
            <w:pPr>
              <w:jc w:val="right"/>
              <w:rPr>
                <w:rFonts w:ascii="Arial" w:hAnsi="Arial" w:cs="Arial"/>
                <w:color w:val="365F91"/>
                <w:sz w:val="16"/>
                <w:szCs w:val="16"/>
              </w:rPr>
            </w:pPr>
            <w:r w:rsidRPr="00256982">
              <w:rPr>
                <w:rFonts w:ascii="Arial" w:hAnsi="Arial" w:cs="Arial"/>
                <w:color w:val="365F91"/>
                <w:sz w:val="16"/>
                <w:szCs w:val="16"/>
              </w:rPr>
              <w:t>NA</w:t>
            </w:r>
          </w:p>
        </w:tc>
        <w:tc>
          <w:tcPr>
            <w:tcW w:w="921" w:type="dxa"/>
            <w:tcBorders>
              <w:top w:val="nil"/>
              <w:left w:val="nil"/>
              <w:bottom w:val="single" w:sz="2" w:space="0" w:color="365F91"/>
              <w:right w:val="nil"/>
            </w:tcBorders>
            <w:shd w:val="clear" w:color="auto" w:fill="auto"/>
            <w:vAlign w:val="center"/>
            <w:hideMark/>
          </w:tcPr>
          <w:p w14:paraId="402CC767" w14:textId="77777777" w:rsidR="00380BE7" w:rsidRPr="00256982" w:rsidRDefault="00380BE7" w:rsidP="009574E7">
            <w:pPr>
              <w:jc w:val="right"/>
              <w:rPr>
                <w:rFonts w:ascii="Arial" w:hAnsi="Arial" w:cs="Arial"/>
                <w:color w:val="365F91"/>
                <w:sz w:val="16"/>
                <w:szCs w:val="16"/>
              </w:rPr>
            </w:pPr>
            <w:r w:rsidRPr="00256982">
              <w:rPr>
                <w:rFonts w:ascii="Arial" w:hAnsi="Arial" w:cs="Arial"/>
                <w:color w:val="365F91"/>
                <w:sz w:val="16"/>
                <w:szCs w:val="16"/>
              </w:rPr>
              <w:t>0.0</w:t>
            </w:r>
          </w:p>
        </w:tc>
        <w:tc>
          <w:tcPr>
            <w:tcW w:w="939" w:type="dxa"/>
            <w:tcBorders>
              <w:top w:val="nil"/>
              <w:left w:val="nil"/>
              <w:bottom w:val="single" w:sz="2" w:space="0" w:color="365F91"/>
              <w:right w:val="single" w:sz="8" w:space="0" w:color="365F91"/>
            </w:tcBorders>
            <w:shd w:val="clear" w:color="auto" w:fill="auto"/>
            <w:vAlign w:val="center"/>
            <w:hideMark/>
          </w:tcPr>
          <w:p w14:paraId="10EA9875" w14:textId="77777777" w:rsidR="00380BE7" w:rsidRPr="00256982" w:rsidRDefault="00380BE7" w:rsidP="009574E7">
            <w:pPr>
              <w:jc w:val="right"/>
              <w:rPr>
                <w:rFonts w:ascii="Arial" w:hAnsi="Arial" w:cs="Arial"/>
                <w:color w:val="365F91"/>
                <w:sz w:val="16"/>
                <w:szCs w:val="16"/>
              </w:rPr>
            </w:pPr>
            <w:r w:rsidRPr="00256982">
              <w:rPr>
                <w:rFonts w:ascii="Arial" w:hAnsi="Arial" w:cs="Arial"/>
                <w:color w:val="365F91"/>
                <w:sz w:val="16"/>
                <w:szCs w:val="16"/>
              </w:rPr>
              <w:t>–11.7</w:t>
            </w:r>
          </w:p>
        </w:tc>
        <w:tc>
          <w:tcPr>
            <w:tcW w:w="1002" w:type="dxa"/>
            <w:tcBorders>
              <w:top w:val="nil"/>
              <w:left w:val="nil"/>
              <w:bottom w:val="single" w:sz="2" w:space="0" w:color="365F91"/>
              <w:right w:val="nil"/>
            </w:tcBorders>
            <w:shd w:val="clear" w:color="auto" w:fill="auto"/>
            <w:vAlign w:val="center"/>
            <w:hideMark/>
          </w:tcPr>
          <w:p w14:paraId="12E77269" w14:textId="77777777" w:rsidR="00380BE7" w:rsidRPr="00256982" w:rsidRDefault="00380BE7" w:rsidP="009574E7">
            <w:pPr>
              <w:jc w:val="right"/>
              <w:rPr>
                <w:rFonts w:ascii="Arial" w:hAnsi="Arial" w:cs="Arial"/>
                <w:color w:val="365F91"/>
                <w:sz w:val="16"/>
                <w:szCs w:val="16"/>
              </w:rPr>
            </w:pPr>
            <w:r w:rsidRPr="00256982">
              <w:rPr>
                <w:rFonts w:ascii="Arial" w:hAnsi="Arial" w:cs="Arial"/>
                <w:color w:val="365F91"/>
                <w:sz w:val="16"/>
                <w:szCs w:val="16"/>
              </w:rPr>
              <w:t>20.6</w:t>
            </w:r>
          </w:p>
        </w:tc>
        <w:tc>
          <w:tcPr>
            <w:tcW w:w="1002" w:type="dxa"/>
            <w:tcBorders>
              <w:top w:val="nil"/>
              <w:left w:val="nil"/>
              <w:bottom w:val="single" w:sz="2" w:space="0" w:color="365F91"/>
              <w:right w:val="nil"/>
            </w:tcBorders>
            <w:shd w:val="clear" w:color="auto" w:fill="auto"/>
            <w:vAlign w:val="center"/>
            <w:hideMark/>
          </w:tcPr>
          <w:p w14:paraId="541CD892" w14:textId="77777777" w:rsidR="00380BE7" w:rsidRPr="00256982" w:rsidRDefault="00380BE7" w:rsidP="009574E7">
            <w:pPr>
              <w:jc w:val="right"/>
              <w:rPr>
                <w:rFonts w:ascii="Arial" w:hAnsi="Arial" w:cs="Arial"/>
                <w:color w:val="365F91"/>
                <w:sz w:val="16"/>
                <w:szCs w:val="16"/>
              </w:rPr>
            </w:pPr>
            <w:r w:rsidRPr="00256982">
              <w:rPr>
                <w:rFonts w:ascii="Arial" w:hAnsi="Arial" w:cs="Arial"/>
                <w:color w:val="365F91"/>
                <w:sz w:val="16"/>
                <w:szCs w:val="16"/>
              </w:rPr>
              <w:t>–10.1</w:t>
            </w:r>
          </w:p>
        </w:tc>
        <w:tc>
          <w:tcPr>
            <w:tcW w:w="869" w:type="dxa"/>
            <w:tcBorders>
              <w:top w:val="nil"/>
              <w:left w:val="nil"/>
              <w:bottom w:val="single" w:sz="2" w:space="0" w:color="365F91"/>
              <w:right w:val="single" w:sz="8" w:space="0" w:color="365F91"/>
            </w:tcBorders>
            <w:shd w:val="clear" w:color="auto" w:fill="auto"/>
            <w:vAlign w:val="center"/>
            <w:hideMark/>
          </w:tcPr>
          <w:p w14:paraId="71AD3C3E" w14:textId="77777777" w:rsidR="00380BE7" w:rsidRPr="00256982" w:rsidRDefault="00380BE7" w:rsidP="009574E7">
            <w:pPr>
              <w:jc w:val="right"/>
              <w:rPr>
                <w:rFonts w:ascii="Arial" w:hAnsi="Arial" w:cs="Arial"/>
                <w:color w:val="365F91"/>
                <w:sz w:val="16"/>
                <w:szCs w:val="16"/>
              </w:rPr>
            </w:pPr>
            <w:r w:rsidRPr="00256982">
              <w:rPr>
                <w:rFonts w:ascii="Arial" w:hAnsi="Arial" w:cs="Arial"/>
                <w:color w:val="365F91"/>
                <w:sz w:val="16"/>
                <w:szCs w:val="16"/>
              </w:rPr>
              <w:t>–18.6</w:t>
            </w:r>
          </w:p>
        </w:tc>
        <w:tc>
          <w:tcPr>
            <w:tcW w:w="827" w:type="dxa"/>
            <w:tcBorders>
              <w:top w:val="nil"/>
              <w:left w:val="nil"/>
              <w:bottom w:val="single" w:sz="2" w:space="0" w:color="365F91"/>
              <w:right w:val="nil"/>
            </w:tcBorders>
            <w:shd w:val="clear" w:color="auto" w:fill="auto"/>
            <w:vAlign w:val="center"/>
            <w:hideMark/>
          </w:tcPr>
          <w:p w14:paraId="1DED033F" w14:textId="77777777" w:rsidR="00380BE7" w:rsidRPr="00256982" w:rsidRDefault="00380BE7" w:rsidP="009574E7">
            <w:pPr>
              <w:jc w:val="right"/>
              <w:rPr>
                <w:rFonts w:ascii="Arial" w:hAnsi="Arial" w:cs="Arial"/>
                <w:color w:val="365F91"/>
                <w:sz w:val="16"/>
                <w:szCs w:val="16"/>
              </w:rPr>
            </w:pPr>
            <w:r w:rsidRPr="00256982">
              <w:rPr>
                <w:rFonts w:ascii="Arial" w:hAnsi="Arial" w:cs="Arial"/>
                <w:color w:val="365F91"/>
                <w:sz w:val="16"/>
                <w:szCs w:val="16"/>
              </w:rPr>
              <w:t>2.8</w:t>
            </w:r>
          </w:p>
        </w:tc>
        <w:tc>
          <w:tcPr>
            <w:tcW w:w="983" w:type="dxa"/>
            <w:tcBorders>
              <w:top w:val="nil"/>
              <w:left w:val="nil"/>
              <w:bottom w:val="single" w:sz="2" w:space="0" w:color="365F91"/>
              <w:right w:val="single" w:sz="8" w:space="0" w:color="365F91"/>
            </w:tcBorders>
            <w:shd w:val="clear" w:color="auto" w:fill="auto"/>
            <w:vAlign w:val="center"/>
            <w:hideMark/>
          </w:tcPr>
          <w:p w14:paraId="28A250F2" w14:textId="77777777" w:rsidR="00380BE7" w:rsidRPr="00256982" w:rsidRDefault="00380BE7" w:rsidP="009574E7">
            <w:pPr>
              <w:jc w:val="right"/>
              <w:rPr>
                <w:rFonts w:ascii="Arial" w:hAnsi="Arial" w:cs="Arial"/>
                <w:color w:val="365F91"/>
                <w:sz w:val="16"/>
                <w:szCs w:val="16"/>
              </w:rPr>
            </w:pPr>
            <w:r w:rsidRPr="00256982">
              <w:rPr>
                <w:rFonts w:ascii="Arial" w:hAnsi="Arial" w:cs="Arial"/>
                <w:color w:val="365F91"/>
                <w:sz w:val="16"/>
                <w:szCs w:val="16"/>
              </w:rPr>
              <w:t>–26.6</w:t>
            </w:r>
          </w:p>
        </w:tc>
        <w:tc>
          <w:tcPr>
            <w:tcW w:w="1125" w:type="dxa"/>
            <w:tcBorders>
              <w:top w:val="nil"/>
              <w:left w:val="nil"/>
              <w:bottom w:val="single" w:sz="2" w:space="0" w:color="365F91"/>
              <w:right w:val="single" w:sz="8" w:space="0" w:color="365F91"/>
            </w:tcBorders>
            <w:shd w:val="clear" w:color="auto" w:fill="auto"/>
            <w:vAlign w:val="center"/>
            <w:hideMark/>
          </w:tcPr>
          <w:p w14:paraId="76080B35" w14:textId="77777777" w:rsidR="00380BE7" w:rsidRPr="00256982" w:rsidRDefault="00380BE7" w:rsidP="009574E7">
            <w:pPr>
              <w:jc w:val="right"/>
              <w:rPr>
                <w:rFonts w:ascii="Arial" w:hAnsi="Arial" w:cs="Arial"/>
                <w:color w:val="365F91"/>
                <w:sz w:val="16"/>
                <w:szCs w:val="16"/>
              </w:rPr>
            </w:pPr>
            <w:r w:rsidRPr="00256982">
              <w:rPr>
                <w:rFonts w:ascii="Arial" w:hAnsi="Arial" w:cs="Arial"/>
                <w:color w:val="365F91"/>
                <w:sz w:val="16"/>
                <w:szCs w:val="16"/>
              </w:rPr>
              <w:t>12.6</w:t>
            </w:r>
          </w:p>
        </w:tc>
        <w:tc>
          <w:tcPr>
            <w:tcW w:w="853" w:type="dxa"/>
            <w:tcBorders>
              <w:top w:val="nil"/>
              <w:left w:val="nil"/>
              <w:bottom w:val="single" w:sz="2" w:space="0" w:color="365F91"/>
              <w:right w:val="single" w:sz="8" w:space="0" w:color="365F91"/>
            </w:tcBorders>
            <w:shd w:val="clear" w:color="auto" w:fill="auto"/>
            <w:vAlign w:val="center"/>
            <w:hideMark/>
          </w:tcPr>
          <w:p w14:paraId="2DA2F268" w14:textId="77777777" w:rsidR="00380BE7" w:rsidRPr="00256982" w:rsidRDefault="00380BE7" w:rsidP="009574E7">
            <w:pPr>
              <w:jc w:val="right"/>
              <w:rPr>
                <w:rFonts w:ascii="Arial" w:hAnsi="Arial" w:cs="Arial"/>
                <w:color w:val="365F91"/>
                <w:sz w:val="16"/>
                <w:szCs w:val="16"/>
              </w:rPr>
            </w:pPr>
            <w:r w:rsidRPr="00256982">
              <w:rPr>
                <w:rFonts w:ascii="Arial" w:hAnsi="Arial" w:cs="Arial"/>
                <w:color w:val="365F91"/>
                <w:sz w:val="16"/>
                <w:szCs w:val="16"/>
              </w:rPr>
              <w:t>0.0</w:t>
            </w:r>
          </w:p>
        </w:tc>
        <w:tc>
          <w:tcPr>
            <w:tcW w:w="853" w:type="dxa"/>
            <w:tcBorders>
              <w:top w:val="nil"/>
              <w:left w:val="nil"/>
              <w:bottom w:val="single" w:sz="2" w:space="0" w:color="365F91"/>
            </w:tcBorders>
            <w:shd w:val="clear" w:color="auto" w:fill="auto"/>
            <w:noWrap/>
            <w:vAlign w:val="center"/>
            <w:hideMark/>
          </w:tcPr>
          <w:p w14:paraId="5F3A46E3" w14:textId="77777777" w:rsidR="00380BE7" w:rsidRPr="00256982" w:rsidRDefault="00380BE7" w:rsidP="009574E7">
            <w:pPr>
              <w:jc w:val="right"/>
              <w:rPr>
                <w:rFonts w:ascii="Arial" w:hAnsi="Arial" w:cs="Arial"/>
                <w:color w:val="365F91"/>
                <w:sz w:val="16"/>
                <w:szCs w:val="16"/>
              </w:rPr>
            </w:pPr>
            <w:r w:rsidRPr="00256982">
              <w:rPr>
                <w:rFonts w:ascii="Arial" w:hAnsi="Arial" w:cs="Arial"/>
                <w:color w:val="365F91"/>
                <w:sz w:val="16"/>
                <w:szCs w:val="16"/>
              </w:rPr>
              <w:t>NA</w:t>
            </w:r>
          </w:p>
        </w:tc>
      </w:tr>
    </w:tbl>
    <w:p w14:paraId="76ACE50B" w14:textId="77777777" w:rsidR="00380BE7" w:rsidRPr="00256982" w:rsidRDefault="00380BE7" w:rsidP="00380BE7">
      <w:pPr>
        <w:pStyle w:val="Noteundertable"/>
        <w:rPr>
          <w:sz w:val="17"/>
          <w:szCs w:val="17"/>
        </w:rPr>
      </w:pPr>
      <w:r w:rsidRPr="00256982">
        <w:rPr>
          <w:b/>
          <w:sz w:val="17"/>
          <w:szCs w:val="17"/>
        </w:rPr>
        <w:t>Note:</w:t>
      </w:r>
      <w:r w:rsidRPr="00256982">
        <w:rPr>
          <w:sz w:val="17"/>
          <w:szCs w:val="17"/>
        </w:rPr>
        <w:tab/>
        <w:t>Units in 000s hectares; NA = not applicable. Shaded cells indicate land remaining in each land use. Land use area values are as at the date indicated (1 January for 1962 and 31 December for 1989). Columns and rows may not total due to rounding.</w:t>
      </w:r>
    </w:p>
    <w:p w14:paraId="61DBE103" w14:textId="3121D0D0" w:rsidR="00380BE7" w:rsidRPr="00256982" w:rsidRDefault="00590491" w:rsidP="00380BE7">
      <w:pPr>
        <w:pStyle w:val="Table"/>
        <w:pageBreakBefore/>
        <w:spacing w:before="0"/>
      </w:pPr>
      <w:bookmarkStart w:id="1159" w:name="_Toc5269512"/>
      <w:r>
        <w:lastRenderedPageBreak/>
        <w:pict w14:anchorId="7EBDC413">
          <v:shape id="_x0000_s1131" type="#_x0000_t32" style="position:absolute;left:0;text-align:left;margin-left:-.1pt;margin-top:15.45pt;width:106.8pt;height:59.6pt;z-index:6;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 strokecolor="white"/>
        </w:pict>
      </w:r>
      <w:r w:rsidR="00380BE7" w:rsidRPr="00256982">
        <w:t>Table 6.2.6</w:t>
      </w:r>
      <w:r w:rsidR="00380BE7" w:rsidRPr="00256982">
        <w:tab/>
        <w:t>New Zealand’s land-use change matrix from 2016 to 2017</w:t>
      </w:r>
      <w:bookmarkEnd w:id="1159"/>
    </w:p>
    <w:tbl>
      <w:tblPr>
        <w:tblW w:w="13998" w:type="dxa"/>
        <w:tblInd w:w="57" w:type="dxa"/>
        <w:tblCellMar>
          <w:left w:w="85" w:type="dxa"/>
          <w:right w:w="85" w:type="dxa"/>
        </w:tblCellMar>
        <w:tblLook w:val="04A0" w:firstRow="1" w:lastRow="0" w:firstColumn="1" w:lastColumn="0" w:noHBand="0" w:noVBand="1"/>
      </w:tblPr>
      <w:tblGrid>
        <w:gridCol w:w="1185"/>
        <w:gridCol w:w="1015"/>
        <w:gridCol w:w="851"/>
        <w:gridCol w:w="850"/>
        <w:gridCol w:w="848"/>
        <w:gridCol w:w="759"/>
        <w:gridCol w:w="945"/>
        <w:gridCol w:w="1134"/>
        <w:gridCol w:w="999"/>
        <w:gridCol w:w="974"/>
        <w:gridCol w:w="588"/>
        <w:gridCol w:w="981"/>
        <w:gridCol w:w="1123"/>
        <w:gridCol w:w="873"/>
        <w:gridCol w:w="873"/>
      </w:tblGrid>
      <w:tr w:rsidR="00380BE7" w:rsidRPr="00256982" w14:paraId="3A6EDCAA" w14:textId="77777777" w:rsidTr="00142A81">
        <w:trPr>
          <w:trHeight w:val="535"/>
        </w:trPr>
        <w:tc>
          <w:tcPr>
            <w:tcW w:w="1185" w:type="dxa"/>
            <w:tcBorders>
              <w:top w:val="single" w:sz="4" w:space="0" w:color="365F91"/>
              <w:left w:val="single" w:sz="4" w:space="0" w:color="365F91"/>
              <w:bottom w:val="single" w:sz="4" w:space="0" w:color="365F91"/>
            </w:tcBorders>
            <w:shd w:val="clear" w:color="auto" w:fill="376092"/>
            <w:noWrap/>
            <w:vAlign w:val="bottom"/>
            <w:hideMark/>
          </w:tcPr>
          <w:p w14:paraId="4B542068" w14:textId="77777777" w:rsidR="00380BE7" w:rsidRPr="00256982" w:rsidRDefault="00380BE7" w:rsidP="009574E7">
            <w:pPr>
              <w:pStyle w:val="TableTextBold"/>
              <w:rPr>
                <w:noProof w:val="0"/>
                <w:color w:val="FFFFFF"/>
                <w:lang w:eastAsia="en-NZ"/>
              </w:rPr>
            </w:pPr>
          </w:p>
        </w:tc>
        <w:tc>
          <w:tcPr>
            <w:tcW w:w="1015" w:type="dxa"/>
            <w:tcBorders>
              <w:top w:val="single" w:sz="4" w:space="0" w:color="365F91"/>
            </w:tcBorders>
            <w:shd w:val="clear" w:color="auto" w:fill="376092"/>
            <w:vAlign w:val="bottom"/>
            <w:hideMark/>
          </w:tcPr>
          <w:p w14:paraId="756C1A55" w14:textId="77777777" w:rsidR="00380BE7" w:rsidRPr="00256982" w:rsidRDefault="00380BE7" w:rsidP="009574E7">
            <w:pPr>
              <w:pStyle w:val="TableTextBold"/>
              <w:jc w:val="right"/>
              <w:rPr>
                <w:rFonts w:ascii="Calibri" w:hAnsi="Calibri"/>
                <w:noProof w:val="0"/>
                <w:color w:val="FFFFFF"/>
                <w:szCs w:val="22"/>
                <w:lang w:eastAsia="en-NZ"/>
              </w:rPr>
            </w:pPr>
            <w:r w:rsidRPr="00256982">
              <w:rPr>
                <w:noProof w:val="0"/>
                <w:color w:val="FFFFFF"/>
                <w:lang w:eastAsia="en-NZ"/>
              </w:rPr>
              <w:t>2016</w:t>
            </w:r>
          </w:p>
        </w:tc>
        <w:tc>
          <w:tcPr>
            <w:tcW w:w="2549" w:type="dxa"/>
            <w:gridSpan w:val="3"/>
            <w:tcBorders>
              <w:top w:val="single" w:sz="4" w:space="0" w:color="365F91"/>
              <w:bottom w:val="single" w:sz="4" w:space="0" w:color="FFFFFF"/>
            </w:tcBorders>
            <w:shd w:val="clear" w:color="auto" w:fill="376092"/>
            <w:vAlign w:val="bottom"/>
            <w:hideMark/>
          </w:tcPr>
          <w:p w14:paraId="4F3B25F0" w14:textId="77777777" w:rsidR="00380BE7" w:rsidRPr="00256982" w:rsidRDefault="00380BE7" w:rsidP="00142A81">
            <w:pPr>
              <w:pStyle w:val="TableTextBold"/>
              <w:jc w:val="center"/>
              <w:rPr>
                <w:noProof w:val="0"/>
                <w:color w:val="FFFFFF"/>
                <w:lang w:eastAsia="en-NZ"/>
              </w:rPr>
            </w:pPr>
            <w:r w:rsidRPr="00256982">
              <w:rPr>
                <w:noProof w:val="0"/>
                <w:color w:val="FFFFFF"/>
                <w:lang w:eastAsia="en-NZ"/>
              </w:rPr>
              <w:t>Forest land</w:t>
            </w:r>
          </w:p>
        </w:tc>
        <w:tc>
          <w:tcPr>
            <w:tcW w:w="1704" w:type="dxa"/>
            <w:gridSpan w:val="2"/>
            <w:tcBorders>
              <w:top w:val="single" w:sz="4" w:space="0" w:color="365F91"/>
              <w:bottom w:val="single" w:sz="4" w:space="0" w:color="FFFFFF"/>
            </w:tcBorders>
            <w:shd w:val="clear" w:color="auto" w:fill="376092"/>
            <w:vAlign w:val="bottom"/>
            <w:hideMark/>
          </w:tcPr>
          <w:p w14:paraId="2B2B5A28" w14:textId="77777777" w:rsidR="00380BE7" w:rsidRPr="00256982" w:rsidRDefault="00380BE7" w:rsidP="00142A81">
            <w:pPr>
              <w:pStyle w:val="TableTextBold"/>
              <w:jc w:val="center"/>
              <w:rPr>
                <w:noProof w:val="0"/>
                <w:color w:val="FFFFFF"/>
                <w:lang w:eastAsia="en-NZ"/>
              </w:rPr>
            </w:pPr>
            <w:r w:rsidRPr="00256982">
              <w:rPr>
                <w:noProof w:val="0"/>
                <w:color w:val="FFFFFF"/>
                <w:lang w:eastAsia="en-NZ"/>
              </w:rPr>
              <w:t>Cropland</w:t>
            </w:r>
          </w:p>
        </w:tc>
        <w:tc>
          <w:tcPr>
            <w:tcW w:w="3107" w:type="dxa"/>
            <w:gridSpan w:val="3"/>
            <w:tcBorders>
              <w:top w:val="single" w:sz="4" w:space="0" w:color="365F91"/>
              <w:bottom w:val="single" w:sz="4" w:space="0" w:color="FFFFFF"/>
            </w:tcBorders>
            <w:shd w:val="clear" w:color="auto" w:fill="376092"/>
            <w:vAlign w:val="bottom"/>
            <w:hideMark/>
          </w:tcPr>
          <w:p w14:paraId="392E6E93" w14:textId="77777777" w:rsidR="00380BE7" w:rsidRPr="00256982" w:rsidRDefault="00380BE7" w:rsidP="00142A81">
            <w:pPr>
              <w:pStyle w:val="TableTextBold"/>
              <w:jc w:val="center"/>
              <w:rPr>
                <w:noProof w:val="0"/>
                <w:color w:val="FFFFFF"/>
                <w:lang w:eastAsia="en-NZ"/>
              </w:rPr>
            </w:pPr>
            <w:r w:rsidRPr="00256982">
              <w:rPr>
                <w:noProof w:val="0"/>
                <w:color w:val="FFFFFF"/>
                <w:lang w:eastAsia="en-NZ"/>
              </w:rPr>
              <w:t>Grassland</w:t>
            </w:r>
          </w:p>
        </w:tc>
        <w:tc>
          <w:tcPr>
            <w:tcW w:w="1569" w:type="dxa"/>
            <w:gridSpan w:val="2"/>
            <w:tcBorders>
              <w:top w:val="single" w:sz="4" w:space="0" w:color="365F91"/>
              <w:bottom w:val="single" w:sz="4" w:space="0" w:color="FFFFFF"/>
            </w:tcBorders>
            <w:shd w:val="clear" w:color="auto" w:fill="376092"/>
            <w:vAlign w:val="bottom"/>
            <w:hideMark/>
          </w:tcPr>
          <w:p w14:paraId="4554C02A" w14:textId="77777777" w:rsidR="00380BE7" w:rsidRPr="00256982" w:rsidRDefault="00380BE7" w:rsidP="00142A81">
            <w:pPr>
              <w:pStyle w:val="TableTextBold"/>
              <w:jc w:val="center"/>
              <w:rPr>
                <w:noProof w:val="0"/>
                <w:color w:val="FFFFFF"/>
                <w:lang w:eastAsia="en-NZ"/>
              </w:rPr>
            </w:pPr>
            <w:r w:rsidRPr="00256982">
              <w:rPr>
                <w:noProof w:val="0"/>
                <w:color w:val="FFFFFF"/>
                <w:lang w:eastAsia="en-NZ"/>
              </w:rPr>
              <w:t>Wetlands</w:t>
            </w:r>
          </w:p>
        </w:tc>
        <w:tc>
          <w:tcPr>
            <w:tcW w:w="1123" w:type="dxa"/>
            <w:tcBorders>
              <w:top w:val="single" w:sz="4" w:space="0" w:color="365F91"/>
              <w:bottom w:val="single" w:sz="4" w:space="0" w:color="FFFFFF"/>
            </w:tcBorders>
            <w:shd w:val="clear" w:color="auto" w:fill="376092"/>
            <w:vAlign w:val="bottom"/>
            <w:hideMark/>
          </w:tcPr>
          <w:p w14:paraId="5F5CDF07" w14:textId="77777777" w:rsidR="00380BE7" w:rsidRPr="00256982" w:rsidRDefault="00380BE7" w:rsidP="00142A81">
            <w:pPr>
              <w:pStyle w:val="TableTextBold"/>
              <w:jc w:val="center"/>
              <w:rPr>
                <w:noProof w:val="0"/>
                <w:color w:val="FFFFFF"/>
                <w:lang w:eastAsia="en-NZ"/>
              </w:rPr>
            </w:pPr>
            <w:r w:rsidRPr="00256982">
              <w:rPr>
                <w:noProof w:val="0"/>
                <w:color w:val="FFFFFF"/>
                <w:lang w:eastAsia="en-NZ"/>
              </w:rPr>
              <w:t>Settlements</w:t>
            </w:r>
          </w:p>
        </w:tc>
        <w:tc>
          <w:tcPr>
            <w:tcW w:w="873" w:type="dxa"/>
            <w:tcBorders>
              <w:top w:val="single" w:sz="4" w:space="0" w:color="365F91"/>
              <w:bottom w:val="single" w:sz="4" w:space="0" w:color="FFFFFF"/>
            </w:tcBorders>
            <w:shd w:val="clear" w:color="auto" w:fill="376092"/>
            <w:vAlign w:val="bottom"/>
            <w:hideMark/>
          </w:tcPr>
          <w:p w14:paraId="08E4EC3C" w14:textId="77777777" w:rsidR="00380BE7" w:rsidRPr="00256982" w:rsidRDefault="00380BE7" w:rsidP="00142A81">
            <w:pPr>
              <w:pStyle w:val="TableTextBold"/>
              <w:jc w:val="center"/>
              <w:rPr>
                <w:noProof w:val="0"/>
                <w:color w:val="FFFFFF"/>
                <w:lang w:eastAsia="en-NZ"/>
              </w:rPr>
            </w:pPr>
            <w:r w:rsidRPr="00256982">
              <w:rPr>
                <w:noProof w:val="0"/>
                <w:color w:val="FFFFFF"/>
                <w:lang w:eastAsia="en-NZ"/>
              </w:rPr>
              <w:t>Other land</w:t>
            </w:r>
          </w:p>
        </w:tc>
        <w:tc>
          <w:tcPr>
            <w:tcW w:w="873" w:type="dxa"/>
            <w:vMerge w:val="restart"/>
            <w:tcBorders>
              <w:top w:val="single" w:sz="4" w:space="0" w:color="365F91"/>
              <w:bottom w:val="single" w:sz="4" w:space="0" w:color="365F91"/>
            </w:tcBorders>
            <w:shd w:val="clear" w:color="auto" w:fill="376092"/>
            <w:vAlign w:val="bottom"/>
            <w:hideMark/>
          </w:tcPr>
          <w:p w14:paraId="5147615C" w14:textId="77777777" w:rsidR="00380BE7" w:rsidRPr="00256982" w:rsidRDefault="00380BE7" w:rsidP="00142A81">
            <w:pPr>
              <w:pStyle w:val="TableTextBold"/>
              <w:jc w:val="right"/>
              <w:rPr>
                <w:noProof w:val="0"/>
                <w:color w:val="FFFFFF"/>
                <w:lang w:eastAsia="en-NZ"/>
              </w:rPr>
            </w:pPr>
            <w:r w:rsidRPr="00256982">
              <w:rPr>
                <w:noProof w:val="0"/>
                <w:color w:val="FFFFFF"/>
                <w:lang w:eastAsia="en-NZ"/>
              </w:rPr>
              <w:t>Net area 31 Dec 2017 (kha)</w:t>
            </w:r>
          </w:p>
        </w:tc>
      </w:tr>
      <w:tr w:rsidR="00380BE7" w:rsidRPr="00256982" w14:paraId="38F9F434" w14:textId="77777777" w:rsidTr="00142A81">
        <w:trPr>
          <w:trHeight w:val="539"/>
        </w:trPr>
        <w:tc>
          <w:tcPr>
            <w:tcW w:w="1185" w:type="dxa"/>
            <w:tcBorders>
              <w:left w:val="single" w:sz="4" w:space="0" w:color="365F91"/>
              <w:bottom w:val="single" w:sz="4" w:space="0" w:color="365F91"/>
            </w:tcBorders>
            <w:shd w:val="clear" w:color="auto" w:fill="376092"/>
            <w:vAlign w:val="bottom"/>
            <w:hideMark/>
          </w:tcPr>
          <w:p w14:paraId="4A144238" w14:textId="77777777" w:rsidR="00380BE7" w:rsidRPr="00256982" w:rsidRDefault="00380BE7" w:rsidP="009574E7">
            <w:pPr>
              <w:pStyle w:val="TableTextBold"/>
              <w:rPr>
                <w:noProof w:val="0"/>
                <w:color w:val="FFFFFF"/>
                <w:lang w:eastAsia="en-NZ"/>
              </w:rPr>
            </w:pPr>
            <w:r w:rsidRPr="00256982">
              <w:rPr>
                <w:noProof w:val="0"/>
                <w:color w:val="FFFFFF"/>
                <w:lang w:eastAsia="en-NZ"/>
              </w:rPr>
              <w:t>2017</w:t>
            </w:r>
          </w:p>
        </w:tc>
        <w:tc>
          <w:tcPr>
            <w:tcW w:w="1015" w:type="dxa"/>
            <w:tcBorders>
              <w:bottom w:val="single" w:sz="4" w:space="0" w:color="365F91"/>
            </w:tcBorders>
            <w:shd w:val="clear" w:color="auto" w:fill="376092"/>
            <w:vAlign w:val="bottom"/>
            <w:hideMark/>
          </w:tcPr>
          <w:p w14:paraId="063D3DBB" w14:textId="07646275" w:rsidR="00380BE7" w:rsidRPr="00256982" w:rsidRDefault="00380BE7" w:rsidP="009574E7">
            <w:pPr>
              <w:pStyle w:val="TableTextBold"/>
              <w:rPr>
                <w:noProof w:val="0"/>
                <w:color w:val="FFFFFF"/>
                <w:lang w:eastAsia="en-NZ"/>
              </w:rPr>
            </w:pPr>
            <w:r w:rsidRPr="00256982">
              <w:rPr>
                <w:noProof w:val="0"/>
                <w:color w:val="FFFFFF"/>
                <w:lang w:eastAsia="en-NZ"/>
              </w:rPr>
              <w:t> </w:t>
            </w:r>
          </w:p>
        </w:tc>
        <w:tc>
          <w:tcPr>
            <w:tcW w:w="851" w:type="dxa"/>
            <w:tcBorders>
              <w:top w:val="single" w:sz="4" w:space="0" w:color="FFFFFF"/>
              <w:bottom w:val="single" w:sz="4" w:space="0" w:color="365F91"/>
            </w:tcBorders>
            <w:shd w:val="clear" w:color="auto" w:fill="376092"/>
            <w:vAlign w:val="bottom"/>
            <w:hideMark/>
          </w:tcPr>
          <w:p w14:paraId="7675EB2C" w14:textId="77777777" w:rsidR="00380BE7" w:rsidRPr="00256982" w:rsidRDefault="00380BE7" w:rsidP="00142A81">
            <w:pPr>
              <w:pStyle w:val="TableTextBold"/>
              <w:jc w:val="center"/>
              <w:rPr>
                <w:noProof w:val="0"/>
                <w:color w:val="FFFFFF"/>
                <w:lang w:eastAsia="en-NZ"/>
              </w:rPr>
            </w:pPr>
            <w:r w:rsidRPr="00256982">
              <w:rPr>
                <w:noProof w:val="0"/>
                <w:color w:val="FFFFFF"/>
                <w:lang w:eastAsia="en-NZ"/>
              </w:rPr>
              <w:t>Natural</w:t>
            </w:r>
          </w:p>
        </w:tc>
        <w:tc>
          <w:tcPr>
            <w:tcW w:w="850" w:type="dxa"/>
            <w:tcBorders>
              <w:top w:val="single" w:sz="4" w:space="0" w:color="FFFFFF"/>
              <w:bottom w:val="single" w:sz="4" w:space="0" w:color="365F91"/>
            </w:tcBorders>
            <w:shd w:val="clear" w:color="auto" w:fill="376092"/>
            <w:vAlign w:val="bottom"/>
            <w:hideMark/>
          </w:tcPr>
          <w:p w14:paraId="24CBF8B0" w14:textId="77777777" w:rsidR="00380BE7" w:rsidRPr="00256982" w:rsidRDefault="00380BE7" w:rsidP="00142A81">
            <w:pPr>
              <w:pStyle w:val="TableTextBold"/>
              <w:jc w:val="center"/>
              <w:rPr>
                <w:noProof w:val="0"/>
                <w:color w:val="FFFFFF"/>
                <w:lang w:eastAsia="en-NZ"/>
              </w:rPr>
            </w:pPr>
            <w:r w:rsidRPr="00256982">
              <w:rPr>
                <w:noProof w:val="0"/>
                <w:color w:val="FFFFFF"/>
                <w:lang w:eastAsia="en-NZ"/>
              </w:rPr>
              <w:t>Pre-1990 planted</w:t>
            </w:r>
          </w:p>
        </w:tc>
        <w:tc>
          <w:tcPr>
            <w:tcW w:w="848" w:type="dxa"/>
            <w:tcBorders>
              <w:top w:val="single" w:sz="4" w:space="0" w:color="FFFFFF"/>
              <w:bottom w:val="single" w:sz="4" w:space="0" w:color="365F91"/>
            </w:tcBorders>
            <w:shd w:val="clear" w:color="auto" w:fill="376092"/>
            <w:vAlign w:val="bottom"/>
            <w:hideMark/>
          </w:tcPr>
          <w:p w14:paraId="40103B99" w14:textId="77777777" w:rsidR="00380BE7" w:rsidRPr="00256982" w:rsidRDefault="00380BE7" w:rsidP="00142A81">
            <w:pPr>
              <w:pStyle w:val="TableTextBold"/>
              <w:jc w:val="center"/>
              <w:rPr>
                <w:noProof w:val="0"/>
                <w:color w:val="FFFFFF"/>
                <w:lang w:eastAsia="en-NZ"/>
              </w:rPr>
            </w:pPr>
            <w:r w:rsidRPr="00256982">
              <w:rPr>
                <w:noProof w:val="0"/>
                <w:color w:val="FFFFFF"/>
                <w:lang w:eastAsia="en-NZ"/>
              </w:rPr>
              <w:t>Post-1989</w:t>
            </w:r>
          </w:p>
        </w:tc>
        <w:tc>
          <w:tcPr>
            <w:tcW w:w="759" w:type="dxa"/>
            <w:tcBorders>
              <w:top w:val="single" w:sz="4" w:space="0" w:color="FFFFFF"/>
              <w:bottom w:val="single" w:sz="4" w:space="0" w:color="365F91"/>
            </w:tcBorders>
            <w:shd w:val="clear" w:color="auto" w:fill="376092"/>
            <w:vAlign w:val="bottom"/>
            <w:hideMark/>
          </w:tcPr>
          <w:p w14:paraId="49CB373F" w14:textId="77777777" w:rsidR="00380BE7" w:rsidRPr="00256982" w:rsidRDefault="00380BE7" w:rsidP="00142A81">
            <w:pPr>
              <w:pStyle w:val="TableTextBold"/>
              <w:jc w:val="center"/>
              <w:rPr>
                <w:noProof w:val="0"/>
                <w:color w:val="FFFFFF"/>
                <w:lang w:eastAsia="en-NZ"/>
              </w:rPr>
            </w:pPr>
            <w:r w:rsidRPr="00256982">
              <w:rPr>
                <w:noProof w:val="0"/>
                <w:color w:val="FFFFFF"/>
                <w:lang w:eastAsia="en-NZ"/>
              </w:rPr>
              <w:t>Annual</w:t>
            </w:r>
          </w:p>
        </w:tc>
        <w:tc>
          <w:tcPr>
            <w:tcW w:w="945" w:type="dxa"/>
            <w:tcBorders>
              <w:top w:val="single" w:sz="4" w:space="0" w:color="FFFFFF"/>
              <w:bottom w:val="single" w:sz="4" w:space="0" w:color="365F91"/>
            </w:tcBorders>
            <w:shd w:val="clear" w:color="auto" w:fill="376092"/>
            <w:vAlign w:val="bottom"/>
            <w:hideMark/>
          </w:tcPr>
          <w:p w14:paraId="14133D7D" w14:textId="77777777" w:rsidR="00380BE7" w:rsidRPr="00256982" w:rsidRDefault="00380BE7" w:rsidP="00142A81">
            <w:pPr>
              <w:pStyle w:val="TableTextBold"/>
              <w:jc w:val="center"/>
              <w:rPr>
                <w:noProof w:val="0"/>
                <w:color w:val="FFFFFF"/>
                <w:lang w:eastAsia="en-NZ"/>
              </w:rPr>
            </w:pPr>
            <w:r w:rsidRPr="00256982">
              <w:rPr>
                <w:noProof w:val="0"/>
                <w:color w:val="FFFFFF"/>
                <w:lang w:eastAsia="en-NZ"/>
              </w:rPr>
              <w:t>Perennial</w:t>
            </w:r>
          </w:p>
        </w:tc>
        <w:tc>
          <w:tcPr>
            <w:tcW w:w="1134" w:type="dxa"/>
            <w:tcBorders>
              <w:top w:val="single" w:sz="4" w:space="0" w:color="FFFFFF"/>
              <w:bottom w:val="single" w:sz="4" w:space="0" w:color="365F91"/>
            </w:tcBorders>
            <w:shd w:val="clear" w:color="auto" w:fill="376092"/>
            <w:vAlign w:val="bottom"/>
            <w:hideMark/>
          </w:tcPr>
          <w:p w14:paraId="412A9078" w14:textId="77777777" w:rsidR="00380BE7" w:rsidRPr="00256982" w:rsidRDefault="00380BE7" w:rsidP="00142A81">
            <w:pPr>
              <w:pStyle w:val="TableTextBold"/>
              <w:jc w:val="center"/>
              <w:rPr>
                <w:noProof w:val="0"/>
                <w:color w:val="FFFFFF"/>
                <w:lang w:eastAsia="en-NZ"/>
              </w:rPr>
            </w:pPr>
            <w:r w:rsidRPr="00256982">
              <w:rPr>
                <w:noProof w:val="0"/>
                <w:color w:val="FFFFFF"/>
                <w:lang w:eastAsia="en-NZ"/>
              </w:rPr>
              <w:t>High producing</w:t>
            </w:r>
          </w:p>
        </w:tc>
        <w:tc>
          <w:tcPr>
            <w:tcW w:w="999" w:type="dxa"/>
            <w:tcBorders>
              <w:top w:val="single" w:sz="4" w:space="0" w:color="FFFFFF"/>
              <w:bottom w:val="single" w:sz="4" w:space="0" w:color="365F91"/>
            </w:tcBorders>
            <w:shd w:val="clear" w:color="auto" w:fill="376092"/>
            <w:vAlign w:val="bottom"/>
            <w:hideMark/>
          </w:tcPr>
          <w:p w14:paraId="18F51DF1" w14:textId="77777777" w:rsidR="00380BE7" w:rsidRPr="00256982" w:rsidRDefault="00380BE7" w:rsidP="00142A81">
            <w:pPr>
              <w:pStyle w:val="TableTextBold"/>
              <w:jc w:val="center"/>
              <w:rPr>
                <w:noProof w:val="0"/>
                <w:color w:val="FFFFFF"/>
                <w:lang w:eastAsia="en-NZ"/>
              </w:rPr>
            </w:pPr>
            <w:r w:rsidRPr="00256982">
              <w:rPr>
                <w:noProof w:val="0"/>
                <w:color w:val="FFFFFF"/>
                <w:lang w:eastAsia="en-NZ"/>
              </w:rPr>
              <w:t>Low producing</w:t>
            </w:r>
          </w:p>
        </w:tc>
        <w:tc>
          <w:tcPr>
            <w:tcW w:w="974" w:type="dxa"/>
            <w:tcBorders>
              <w:top w:val="single" w:sz="4" w:space="0" w:color="FFFFFF"/>
              <w:bottom w:val="single" w:sz="4" w:space="0" w:color="365F91"/>
            </w:tcBorders>
            <w:shd w:val="clear" w:color="auto" w:fill="376092"/>
            <w:vAlign w:val="bottom"/>
            <w:hideMark/>
          </w:tcPr>
          <w:p w14:paraId="0E8A71EF" w14:textId="77777777" w:rsidR="00380BE7" w:rsidRPr="00256982" w:rsidRDefault="00380BE7" w:rsidP="00142A81">
            <w:pPr>
              <w:pStyle w:val="TableTextBold"/>
              <w:jc w:val="center"/>
              <w:rPr>
                <w:noProof w:val="0"/>
                <w:color w:val="FFFFFF"/>
                <w:lang w:eastAsia="en-NZ"/>
              </w:rPr>
            </w:pPr>
            <w:r w:rsidRPr="00256982">
              <w:rPr>
                <w:noProof w:val="0"/>
                <w:color w:val="FFFFFF"/>
                <w:lang w:eastAsia="en-NZ"/>
              </w:rPr>
              <w:t>With woody biomass</w:t>
            </w:r>
          </w:p>
        </w:tc>
        <w:tc>
          <w:tcPr>
            <w:tcW w:w="588" w:type="dxa"/>
            <w:tcBorders>
              <w:top w:val="single" w:sz="4" w:space="0" w:color="FFFFFF"/>
              <w:bottom w:val="single" w:sz="4" w:space="0" w:color="365F91"/>
            </w:tcBorders>
            <w:shd w:val="clear" w:color="auto" w:fill="376092"/>
            <w:vAlign w:val="bottom"/>
            <w:hideMark/>
          </w:tcPr>
          <w:p w14:paraId="704186F5" w14:textId="77777777" w:rsidR="00380BE7" w:rsidRPr="00256982" w:rsidRDefault="00380BE7" w:rsidP="00142A81">
            <w:pPr>
              <w:pStyle w:val="TableTextBold"/>
              <w:jc w:val="center"/>
              <w:rPr>
                <w:noProof w:val="0"/>
                <w:color w:val="FFFFFF"/>
                <w:lang w:eastAsia="en-NZ"/>
              </w:rPr>
            </w:pPr>
            <w:r w:rsidRPr="00256982">
              <w:rPr>
                <w:noProof w:val="0"/>
                <w:color w:val="FFFFFF"/>
                <w:lang w:eastAsia="en-NZ"/>
              </w:rPr>
              <w:t>Open water</w:t>
            </w:r>
          </w:p>
        </w:tc>
        <w:tc>
          <w:tcPr>
            <w:tcW w:w="981" w:type="dxa"/>
            <w:tcBorders>
              <w:top w:val="single" w:sz="4" w:space="0" w:color="FFFFFF"/>
              <w:bottom w:val="single" w:sz="4" w:space="0" w:color="365F91"/>
            </w:tcBorders>
            <w:shd w:val="clear" w:color="auto" w:fill="376092"/>
            <w:vAlign w:val="bottom"/>
            <w:hideMark/>
          </w:tcPr>
          <w:p w14:paraId="1CE35A7E" w14:textId="77777777" w:rsidR="00380BE7" w:rsidRPr="00256982" w:rsidRDefault="00380BE7" w:rsidP="00142A81">
            <w:pPr>
              <w:pStyle w:val="TableTextBold"/>
              <w:jc w:val="center"/>
              <w:rPr>
                <w:noProof w:val="0"/>
                <w:color w:val="FFFFFF"/>
                <w:lang w:eastAsia="en-NZ"/>
              </w:rPr>
            </w:pPr>
            <w:r w:rsidRPr="00256982">
              <w:rPr>
                <w:noProof w:val="0"/>
                <w:color w:val="FFFFFF"/>
                <w:lang w:eastAsia="en-NZ"/>
              </w:rPr>
              <w:t>Vegetated</w:t>
            </w:r>
          </w:p>
        </w:tc>
        <w:tc>
          <w:tcPr>
            <w:tcW w:w="1123" w:type="dxa"/>
            <w:tcBorders>
              <w:top w:val="single" w:sz="4" w:space="0" w:color="FFFFFF"/>
              <w:bottom w:val="single" w:sz="4" w:space="0" w:color="365F91"/>
            </w:tcBorders>
            <w:shd w:val="clear" w:color="auto" w:fill="376092"/>
            <w:vAlign w:val="bottom"/>
            <w:hideMark/>
          </w:tcPr>
          <w:p w14:paraId="5913666B" w14:textId="77777777" w:rsidR="00380BE7" w:rsidRPr="00256982" w:rsidRDefault="00380BE7" w:rsidP="00142A81">
            <w:pPr>
              <w:pStyle w:val="TableTextBold"/>
              <w:jc w:val="center"/>
              <w:rPr>
                <w:noProof w:val="0"/>
                <w:color w:val="FFFFFF"/>
                <w:lang w:eastAsia="en-NZ"/>
              </w:rPr>
            </w:pPr>
            <w:r w:rsidRPr="00256982">
              <w:rPr>
                <w:noProof w:val="0"/>
                <w:color w:val="FFFFFF"/>
                <w:lang w:eastAsia="en-NZ"/>
              </w:rPr>
              <w:t>Settlements</w:t>
            </w:r>
          </w:p>
        </w:tc>
        <w:tc>
          <w:tcPr>
            <w:tcW w:w="873" w:type="dxa"/>
            <w:tcBorders>
              <w:top w:val="single" w:sz="4" w:space="0" w:color="FFFFFF"/>
              <w:bottom w:val="single" w:sz="4" w:space="0" w:color="365F91"/>
            </w:tcBorders>
            <w:shd w:val="clear" w:color="auto" w:fill="376092"/>
            <w:vAlign w:val="bottom"/>
            <w:hideMark/>
          </w:tcPr>
          <w:p w14:paraId="584CFE1F" w14:textId="77777777" w:rsidR="00380BE7" w:rsidRPr="00256982" w:rsidRDefault="00380BE7" w:rsidP="00142A81">
            <w:pPr>
              <w:pStyle w:val="TableTextBold"/>
              <w:jc w:val="center"/>
              <w:rPr>
                <w:noProof w:val="0"/>
                <w:color w:val="FFFFFF"/>
                <w:lang w:eastAsia="en-NZ"/>
              </w:rPr>
            </w:pPr>
            <w:r w:rsidRPr="00256982">
              <w:rPr>
                <w:noProof w:val="0"/>
                <w:color w:val="FFFFFF"/>
                <w:lang w:eastAsia="en-NZ"/>
              </w:rPr>
              <w:t>Other land</w:t>
            </w:r>
          </w:p>
        </w:tc>
        <w:tc>
          <w:tcPr>
            <w:tcW w:w="873" w:type="dxa"/>
            <w:vMerge/>
            <w:tcBorders>
              <w:bottom w:val="single" w:sz="4" w:space="0" w:color="365F91"/>
            </w:tcBorders>
            <w:shd w:val="clear" w:color="auto" w:fill="376092"/>
            <w:vAlign w:val="bottom"/>
            <w:hideMark/>
          </w:tcPr>
          <w:p w14:paraId="1CBDD0A4" w14:textId="77777777" w:rsidR="00380BE7" w:rsidRPr="00256982" w:rsidRDefault="00380BE7" w:rsidP="009574E7">
            <w:pPr>
              <w:pStyle w:val="TableTextBold"/>
              <w:rPr>
                <w:noProof w:val="0"/>
                <w:color w:val="FFFFFF"/>
                <w:lang w:eastAsia="en-NZ"/>
              </w:rPr>
            </w:pPr>
          </w:p>
        </w:tc>
      </w:tr>
      <w:tr w:rsidR="00380BE7" w:rsidRPr="00256982" w14:paraId="400F0BAC" w14:textId="77777777" w:rsidTr="00142A81">
        <w:trPr>
          <w:trHeight w:val="234"/>
        </w:trPr>
        <w:tc>
          <w:tcPr>
            <w:tcW w:w="1185" w:type="dxa"/>
            <w:vMerge w:val="restart"/>
            <w:tcBorders>
              <w:top w:val="single" w:sz="4" w:space="0" w:color="365F91"/>
              <w:bottom w:val="nil"/>
              <w:right w:val="nil"/>
            </w:tcBorders>
            <w:shd w:val="clear" w:color="auto" w:fill="auto"/>
            <w:noWrap/>
            <w:vAlign w:val="center"/>
            <w:hideMark/>
          </w:tcPr>
          <w:p w14:paraId="681A3373" w14:textId="77777777" w:rsidR="00380BE7" w:rsidRPr="00256982" w:rsidRDefault="00380BE7" w:rsidP="009574E7">
            <w:pPr>
              <w:pStyle w:val="TableText"/>
              <w:rPr>
                <w:b/>
                <w:lang w:eastAsia="en-NZ"/>
              </w:rPr>
            </w:pPr>
            <w:r w:rsidRPr="00256982">
              <w:rPr>
                <w:b/>
                <w:lang w:eastAsia="en-NZ"/>
              </w:rPr>
              <w:t>Forest land</w:t>
            </w:r>
          </w:p>
        </w:tc>
        <w:tc>
          <w:tcPr>
            <w:tcW w:w="1015" w:type="dxa"/>
            <w:tcBorders>
              <w:top w:val="single" w:sz="4" w:space="0" w:color="365F91"/>
              <w:left w:val="nil"/>
              <w:bottom w:val="nil"/>
              <w:right w:val="single" w:sz="8" w:space="0" w:color="365F91"/>
            </w:tcBorders>
            <w:shd w:val="clear" w:color="auto" w:fill="auto"/>
            <w:vAlign w:val="center"/>
            <w:hideMark/>
          </w:tcPr>
          <w:p w14:paraId="5034A455" w14:textId="77777777" w:rsidR="00380BE7" w:rsidRPr="00256982" w:rsidRDefault="00380BE7" w:rsidP="009574E7">
            <w:pPr>
              <w:pStyle w:val="TableText"/>
              <w:rPr>
                <w:lang w:eastAsia="en-NZ"/>
              </w:rPr>
            </w:pPr>
            <w:r w:rsidRPr="00256982">
              <w:rPr>
                <w:lang w:eastAsia="en-NZ"/>
              </w:rPr>
              <w:t>Natural</w:t>
            </w:r>
          </w:p>
        </w:tc>
        <w:tc>
          <w:tcPr>
            <w:tcW w:w="851" w:type="dxa"/>
            <w:tcBorders>
              <w:top w:val="nil"/>
              <w:left w:val="nil"/>
              <w:bottom w:val="nil"/>
              <w:right w:val="nil"/>
            </w:tcBorders>
            <w:shd w:val="clear" w:color="000000" w:fill="D8D8D8"/>
            <w:vAlign w:val="center"/>
            <w:hideMark/>
          </w:tcPr>
          <w:p w14:paraId="0E913DC1"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7,811.1</w:t>
            </w:r>
          </w:p>
        </w:tc>
        <w:tc>
          <w:tcPr>
            <w:tcW w:w="850" w:type="dxa"/>
            <w:tcBorders>
              <w:top w:val="nil"/>
              <w:left w:val="nil"/>
              <w:bottom w:val="nil"/>
              <w:right w:val="nil"/>
            </w:tcBorders>
            <w:shd w:val="clear" w:color="auto" w:fill="auto"/>
            <w:vAlign w:val="center"/>
            <w:hideMark/>
          </w:tcPr>
          <w:p w14:paraId="74FAC5AA"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0.3</w:t>
            </w:r>
          </w:p>
        </w:tc>
        <w:tc>
          <w:tcPr>
            <w:tcW w:w="848" w:type="dxa"/>
            <w:tcBorders>
              <w:top w:val="nil"/>
              <w:left w:val="nil"/>
              <w:bottom w:val="nil"/>
              <w:right w:val="single" w:sz="8" w:space="0" w:color="365F91"/>
            </w:tcBorders>
            <w:shd w:val="clear" w:color="auto" w:fill="auto"/>
            <w:vAlign w:val="center"/>
            <w:hideMark/>
          </w:tcPr>
          <w:p w14:paraId="537DFF92" w14:textId="77777777" w:rsidR="00380BE7" w:rsidRPr="00256982" w:rsidRDefault="00380BE7" w:rsidP="009574E7">
            <w:pPr>
              <w:jc w:val="left"/>
              <w:rPr>
                <w:rFonts w:ascii="Arial" w:hAnsi="Arial" w:cs="Arial"/>
                <w:color w:val="000000"/>
                <w:sz w:val="16"/>
                <w:szCs w:val="16"/>
              </w:rPr>
            </w:pPr>
            <w:r w:rsidRPr="00256982">
              <w:rPr>
                <w:rFonts w:ascii="Arial" w:hAnsi="Arial" w:cs="Arial"/>
                <w:color w:val="000000"/>
                <w:sz w:val="16"/>
                <w:szCs w:val="16"/>
              </w:rPr>
              <w:t> </w:t>
            </w:r>
          </w:p>
        </w:tc>
        <w:tc>
          <w:tcPr>
            <w:tcW w:w="759" w:type="dxa"/>
            <w:tcBorders>
              <w:top w:val="nil"/>
              <w:left w:val="nil"/>
              <w:bottom w:val="nil"/>
              <w:right w:val="nil"/>
            </w:tcBorders>
            <w:shd w:val="clear" w:color="auto" w:fill="auto"/>
            <w:vAlign w:val="center"/>
            <w:hideMark/>
          </w:tcPr>
          <w:p w14:paraId="23C264C6" w14:textId="77777777" w:rsidR="00380BE7" w:rsidRPr="00256982" w:rsidRDefault="00380BE7" w:rsidP="009574E7">
            <w:pPr>
              <w:rPr>
                <w:rFonts w:ascii="Arial" w:hAnsi="Arial" w:cs="Arial"/>
                <w:color w:val="000000"/>
                <w:sz w:val="16"/>
                <w:szCs w:val="16"/>
              </w:rPr>
            </w:pPr>
          </w:p>
        </w:tc>
        <w:tc>
          <w:tcPr>
            <w:tcW w:w="945" w:type="dxa"/>
            <w:tcBorders>
              <w:top w:val="nil"/>
              <w:left w:val="nil"/>
              <w:bottom w:val="nil"/>
              <w:right w:val="single" w:sz="8" w:space="0" w:color="365F91"/>
            </w:tcBorders>
            <w:shd w:val="clear" w:color="auto" w:fill="auto"/>
            <w:vAlign w:val="center"/>
            <w:hideMark/>
          </w:tcPr>
          <w:p w14:paraId="73A0C682"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 </w:t>
            </w:r>
          </w:p>
        </w:tc>
        <w:tc>
          <w:tcPr>
            <w:tcW w:w="1134" w:type="dxa"/>
            <w:tcBorders>
              <w:top w:val="nil"/>
              <w:left w:val="nil"/>
              <w:bottom w:val="nil"/>
              <w:right w:val="nil"/>
            </w:tcBorders>
            <w:shd w:val="clear" w:color="auto" w:fill="auto"/>
            <w:vAlign w:val="center"/>
            <w:hideMark/>
          </w:tcPr>
          <w:p w14:paraId="79EC6D79" w14:textId="77777777" w:rsidR="00380BE7" w:rsidRPr="00256982" w:rsidRDefault="00380BE7" w:rsidP="009574E7">
            <w:pPr>
              <w:jc w:val="right"/>
              <w:rPr>
                <w:rFonts w:ascii="Arial" w:hAnsi="Arial" w:cs="Arial"/>
                <w:color w:val="000000"/>
                <w:sz w:val="16"/>
                <w:szCs w:val="16"/>
              </w:rPr>
            </w:pPr>
          </w:p>
        </w:tc>
        <w:tc>
          <w:tcPr>
            <w:tcW w:w="999" w:type="dxa"/>
            <w:tcBorders>
              <w:top w:val="nil"/>
              <w:left w:val="nil"/>
              <w:bottom w:val="nil"/>
              <w:right w:val="nil"/>
            </w:tcBorders>
            <w:shd w:val="clear" w:color="auto" w:fill="auto"/>
            <w:vAlign w:val="center"/>
            <w:hideMark/>
          </w:tcPr>
          <w:p w14:paraId="7E30ABB8" w14:textId="77777777" w:rsidR="00380BE7" w:rsidRPr="00256982" w:rsidRDefault="00380BE7" w:rsidP="009574E7">
            <w:pPr>
              <w:jc w:val="right"/>
              <w:rPr>
                <w:sz w:val="20"/>
              </w:rPr>
            </w:pPr>
          </w:p>
        </w:tc>
        <w:tc>
          <w:tcPr>
            <w:tcW w:w="974" w:type="dxa"/>
            <w:tcBorders>
              <w:top w:val="nil"/>
              <w:left w:val="nil"/>
              <w:bottom w:val="nil"/>
              <w:right w:val="single" w:sz="8" w:space="0" w:color="365F91"/>
            </w:tcBorders>
            <w:shd w:val="clear" w:color="auto" w:fill="auto"/>
            <w:vAlign w:val="center"/>
            <w:hideMark/>
          </w:tcPr>
          <w:p w14:paraId="2C38C049"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 </w:t>
            </w:r>
          </w:p>
        </w:tc>
        <w:tc>
          <w:tcPr>
            <w:tcW w:w="588" w:type="dxa"/>
            <w:tcBorders>
              <w:top w:val="nil"/>
              <w:left w:val="nil"/>
              <w:bottom w:val="nil"/>
              <w:right w:val="nil"/>
            </w:tcBorders>
            <w:shd w:val="clear" w:color="auto" w:fill="auto"/>
            <w:vAlign w:val="center"/>
            <w:hideMark/>
          </w:tcPr>
          <w:p w14:paraId="18356F89" w14:textId="77777777" w:rsidR="00380BE7" w:rsidRPr="00256982" w:rsidRDefault="00380BE7" w:rsidP="009574E7">
            <w:pPr>
              <w:jc w:val="right"/>
              <w:rPr>
                <w:rFonts w:ascii="Arial" w:hAnsi="Arial" w:cs="Arial"/>
                <w:color w:val="000000"/>
                <w:sz w:val="16"/>
                <w:szCs w:val="16"/>
              </w:rPr>
            </w:pPr>
          </w:p>
        </w:tc>
        <w:tc>
          <w:tcPr>
            <w:tcW w:w="981" w:type="dxa"/>
            <w:tcBorders>
              <w:top w:val="nil"/>
              <w:left w:val="nil"/>
              <w:bottom w:val="nil"/>
              <w:right w:val="single" w:sz="8" w:space="0" w:color="365F91"/>
            </w:tcBorders>
            <w:shd w:val="clear" w:color="auto" w:fill="auto"/>
            <w:vAlign w:val="center"/>
            <w:hideMark/>
          </w:tcPr>
          <w:p w14:paraId="5504AB64"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 </w:t>
            </w:r>
          </w:p>
        </w:tc>
        <w:tc>
          <w:tcPr>
            <w:tcW w:w="1123" w:type="dxa"/>
            <w:tcBorders>
              <w:top w:val="nil"/>
              <w:left w:val="nil"/>
              <w:bottom w:val="nil"/>
              <w:right w:val="single" w:sz="8" w:space="0" w:color="365F91"/>
            </w:tcBorders>
            <w:shd w:val="clear" w:color="auto" w:fill="auto"/>
            <w:vAlign w:val="center"/>
            <w:hideMark/>
          </w:tcPr>
          <w:p w14:paraId="2F300641"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 </w:t>
            </w:r>
          </w:p>
        </w:tc>
        <w:tc>
          <w:tcPr>
            <w:tcW w:w="873" w:type="dxa"/>
            <w:tcBorders>
              <w:top w:val="nil"/>
              <w:left w:val="nil"/>
              <w:bottom w:val="nil"/>
              <w:right w:val="single" w:sz="8" w:space="0" w:color="365F91"/>
            </w:tcBorders>
            <w:shd w:val="clear" w:color="auto" w:fill="auto"/>
            <w:vAlign w:val="center"/>
            <w:hideMark/>
          </w:tcPr>
          <w:p w14:paraId="606CA6CE"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 </w:t>
            </w:r>
          </w:p>
        </w:tc>
        <w:tc>
          <w:tcPr>
            <w:tcW w:w="873" w:type="dxa"/>
            <w:tcBorders>
              <w:top w:val="nil"/>
              <w:left w:val="nil"/>
              <w:bottom w:val="nil"/>
            </w:tcBorders>
            <w:shd w:val="clear" w:color="auto" w:fill="auto"/>
            <w:vAlign w:val="center"/>
            <w:hideMark/>
          </w:tcPr>
          <w:p w14:paraId="434819B5"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7,811.4</w:t>
            </w:r>
          </w:p>
        </w:tc>
      </w:tr>
      <w:tr w:rsidR="00380BE7" w:rsidRPr="00256982" w14:paraId="5B43B87E" w14:textId="77777777" w:rsidTr="00142A81">
        <w:trPr>
          <w:trHeight w:val="351"/>
        </w:trPr>
        <w:tc>
          <w:tcPr>
            <w:tcW w:w="1185" w:type="dxa"/>
            <w:vMerge/>
            <w:tcBorders>
              <w:top w:val="nil"/>
              <w:bottom w:val="nil"/>
              <w:right w:val="nil"/>
            </w:tcBorders>
            <w:vAlign w:val="center"/>
            <w:hideMark/>
          </w:tcPr>
          <w:p w14:paraId="1C3F93F0" w14:textId="77777777" w:rsidR="00380BE7" w:rsidRPr="00256982" w:rsidRDefault="00380BE7" w:rsidP="009574E7">
            <w:pPr>
              <w:pStyle w:val="TableText"/>
              <w:rPr>
                <w:b/>
                <w:lang w:eastAsia="en-NZ"/>
              </w:rPr>
            </w:pPr>
          </w:p>
        </w:tc>
        <w:tc>
          <w:tcPr>
            <w:tcW w:w="1015" w:type="dxa"/>
            <w:tcBorders>
              <w:top w:val="nil"/>
              <w:left w:val="nil"/>
              <w:bottom w:val="nil"/>
              <w:right w:val="single" w:sz="8" w:space="0" w:color="365F91"/>
            </w:tcBorders>
            <w:shd w:val="clear" w:color="auto" w:fill="auto"/>
            <w:vAlign w:val="center"/>
            <w:hideMark/>
          </w:tcPr>
          <w:p w14:paraId="4E1B187B" w14:textId="77777777" w:rsidR="00380BE7" w:rsidRPr="00256982" w:rsidRDefault="00380BE7" w:rsidP="009574E7">
            <w:pPr>
              <w:pStyle w:val="TableText"/>
              <w:rPr>
                <w:lang w:eastAsia="en-NZ"/>
              </w:rPr>
            </w:pPr>
            <w:r w:rsidRPr="00256982">
              <w:rPr>
                <w:lang w:eastAsia="en-NZ"/>
              </w:rPr>
              <w:t>Pre-1990 planted</w:t>
            </w:r>
          </w:p>
        </w:tc>
        <w:tc>
          <w:tcPr>
            <w:tcW w:w="851" w:type="dxa"/>
            <w:tcBorders>
              <w:top w:val="nil"/>
              <w:left w:val="nil"/>
              <w:bottom w:val="nil"/>
              <w:right w:val="nil"/>
            </w:tcBorders>
            <w:shd w:val="clear" w:color="auto" w:fill="auto"/>
            <w:vAlign w:val="center"/>
            <w:hideMark/>
          </w:tcPr>
          <w:p w14:paraId="00870CAA"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0.0</w:t>
            </w:r>
          </w:p>
        </w:tc>
        <w:tc>
          <w:tcPr>
            <w:tcW w:w="850" w:type="dxa"/>
            <w:tcBorders>
              <w:top w:val="nil"/>
              <w:left w:val="nil"/>
              <w:bottom w:val="nil"/>
              <w:right w:val="nil"/>
            </w:tcBorders>
            <w:shd w:val="clear" w:color="000000" w:fill="D8D8D8"/>
            <w:vAlign w:val="center"/>
            <w:hideMark/>
          </w:tcPr>
          <w:p w14:paraId="57FD9166"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1,429.7</w:t>
            </w:r>
          </w:p>
        </w:tc>
        <w:tc>
          <w:tcPr>
            <w:tcW w:w="848" w:type="dxa"/>
            <w:tcBorders>
              <w:top w:val="nil"/>
              <w:left w:val="nil"/>
              <w:bottom w:val="nil"/>
              <w:right w:val="single" w:sz="8" w:space="0" w:color="365F91"/>
            </w:tcBorders>
            <w:shd w:val="clear" w:color="auto" w:fill="auto"/>
            <w:vAlign w:val="center"/>
            <w:hideMark/>
          </w:tcPr>
          <w:p w14:paraId="35BFE660"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 </w:t>
            </w:r>
          </w:p>
        </w:tc>
        <w:tc>
          <w:tcPr>
            <w:tcW w:w="759" w:type="dxa"/>
            <w:tcBorders>
              <w:top w:val="nil"/>
              <w:left w:val="nil"/>
              <w:bottom w:val="nil"/>
              <w:right w:val="nil"/>
            </w:tcBorders>
            <w:shd w:val="clear" w:color="auto" w:fill="auto"/>
            <w:vAlign w:val="center"/>
            <w:hideMark/>
          </w:tcPr>
          <w:p w14:paraId="1DF5BA88" w14:textId="77777777" w:rsidR="00380BE7" w:rsidRPr="00256982" w:rsidRDefault="00380BE7" w:rsidP="009574E7">
            <w:pPr>
              <w:jc w:val="right"/>
              <w:rPr>
                <w:rFonts w:ascii="Arial" w:hAnsi="Arial" w:cs="Arial"/>
                <w:color w:val="000000"/>
                <w:sz w:val="16"/>
                <w:szCs w:val="16"/>
              </w:rPr>
            </w:pPr>
          </w:p>
        </w:tc>
        <w:tc>
          <w:tcPr>
            <w:tcW w:w="945" w:type="dxa"/>
            <w:tcBorders>
              <w:top w:val="nil"/>
              <w:left w:val="nil"/>
              <w:bottom w:val="nil"/>
              <w:right w:val="single" w:sz="8" w:space="0" w:color="365F91"/>
            </w:tcBorders>
            <w:shd w:val="clear" w:color="auto" w:fill="auto"/>
            <w:vAlign w:val="center"/>
            <w:hideMark/>
          </w:tcPr>
          <w:p w14:paraId="7701BC15"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 </w:t>
            </w:r>
          </w:p>
        </w:tc>
        <w:tc>
          <w:tcPr>
            <w:tcW w:w="1134" w:type="dxa"/>
            <w:tcBorders>
              <w:top w:val="nil"/>
              <w:left w:val="nil"/>
              <w:bottom w:val="nil"/>
              <w:right w:val="nil"/>
            </w:tcBorders>
            <w:shd w:val="clear" w:color="auto" w:fill="auto"/>
            <w:vAlign w:val="center"/>
            <w:hideMark/>
          </w:tcPr>
          <w:p w14:paraId="1899792D" w14:textId="77777777" w:rsidR="00380BE7" w:rsidRPr="00256982" w:rsidRDefault="00380BE7" w:rsidP="009574E7">
            <w:pPr>
              <w:jc w:val="right"/>
              <w:rPr>
                <w:rFonts w:ascii="Arial" w:hAnsi="Arial" w:cs="Arial"/>
                <w:color w:val="000000"/>
                <w:sz w:val="16"/>
                <w:szCs w:val="16"/>
              </w:rPr>
            </w:pPr>
          </w:p>
        </w:tc>
        <w:tc>
          <w:tcPr>
            <w:tcW w:w="999" w:type="dxa"/>
            <w:tcBorders>
              <w:top w:val="nil"/>
              <w:left w:val="nil"/>
              <w:bottom w:val="nil"/>
              <w:right w:val="nil"/>
            </w:tcBorders>
            <w:shd w:val="clear" w:color="auto" w:fill="auto"/>
            <w:vAlign w:val="center"/>
            <w:hideMark/>
          </w:tcPr>
          <w:p w14:paraId="52CA7D73"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0.0</w:t>
            </w:r>
          </w:p>
        </w:tc>
        <w:tc>
          <w:tcPr>
            <w:tcW w:w="974" w:type="dxa"/>
            <w:tcBorders>
              <w:top w:val="nil"/>
              <w:left w:val="nil"/>
              <w:bottom w:val="nil"/>
              <w:right w:val="single" w:sz="8" w:space="0" w:color="365F91"/>
            </w:tcBorders>
            <w:shd w:val="clear" w:color="auto" w:fill="auto"/>
            <w:vAlign w:val="center"/>
            <w:hideMark/>
          </w:tcPr>
          <w:p w14:paraId="3D3B9745"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 </w:t>
            </w:r>
          </w:p>
        </w:tc>
        <w:tc>
          <w:tcPr>
            <w:tcW w:w="588" w:type="dxa"/>
            <w:tcBorders>
              <w:top w:val="nil"/>
              <w:left w:val="nil"/>
              <w:bottom w:val="nil"/>
              <w:right w:val="nil"/>
            </w:tcBorders>
            <w:shd w:val="clear" w:color="auto" w:fill="auto"/>
            <w:vAlign w:val="center"/>
            <w:hideMark/>
          </w:tcPr>
          <w:p w14:paraId="3226FA86" w14:textId="77777777" w:rsidR="00380BE7" w:rsidRPr="00256982" w:rsidRDefault="00380BE7" w:rsidP="009574E7">
            <w:pPr>
              <w:jc w:val="right"/>
              <w:rPr>
                <w:rFonts w:ascii="Arial" w:hAnsi="Arial" w:cs="Arial"/>
                <w:color w:val="000000"/>
                <w:sz w:val="16"/>
                <w:szCs w:val="16"/>
              </w:rPr>
            </w:pPr>
          </w:p>
        </w:tc>
        <w:tc>
          <w:tcPr>
            <w:tcW w:w="981" w:type="dxa"/>
            <w:tcBorders>
              <w:top w:val="nil"/>
              <w:left w:val="nil"/>
              <w:bottom w:val="nil"/>
              <w:right w:val="single" w:sz="8" w:space="0" w:color="365F91"/>
            </w:tcBorders>
            <w:shd w:val="clear" w:color="auto" w:fill="auto"/>
            <w:vAlign w:val="center"/>
            <w:hideMark/>
          </w:tcPr>
          <w:p w14:paraId="1C65B2F6"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 </w:t>
            </w:r>
          </w:p>
        </w:tc>
        <w:tc>
          <w:tcPr>
            <w:tcW w:w="1123" w:type="dxa"/>
            <w:tcBorders>
              <w:top w:val="nil"/>
              <w:left w:val="nil"/>
              <w:bottom w:val="nil"/>
              <w:right w:val="single" w:sz="8" w:space="0" w:color="365F91"/>
            </w:tcBorders>
            <w:shd w:val="clear" w:color="auto" w:fill="auto"/>
            <w:vAlign w:val="center"/>
            <w:hideMark/>
          </w:tcPr>
          <w:p w14:paraId="048F3766"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 </w:t>
            </w:r>
          </w:p>
        </w:tc>
        <w:tc>
          <w:tcPr>
            <w:tcW w:w="873" w:type="dxa"/>
            <w:tcBorders>
              <w:top w:val="nil"/>
              <w:left w:val="nil"/>
              <w:bottom w:val="nil"/>
              <w:right w:val="single" w:sz="8" w:space="0" w:color="365F91"/>
            </w:tcBorders>
            <w:shd w:val="clear" w:color="auto" w:fill="auto"/>
            <w:vAlign w:val="center"/>
            <w:hideMark/>
          </w:tcPr>
          <w:p w14:paraId="054D0818"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 </w:t>
            </w:r>
          </w:p>
        </w:tc>
        <w:tc>
          <w:tcPr>
            <w:tcW w:w="873" w:type="dxa"/>
            <w:tcBorders>
              <w:top w:val="nil"/>
              <w:left w:val="nil"/>
              <w:bottom w:val="nil"/>
            </w:tcBorders>
            <w:shd w:val="clear" w:color="auto" w:fill="auto"/>
            <w:vAlign w:val="center"/>
            <w:hideMark/>
          </w:tcPr>
          <w:p w14:paraId="773C317E"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1,429.7</w:t>
            </w:r>
          </w:p>
        </w:tc>
      </w:tr>
      <w:tr w:rsidR="00380BE7" w:rsidRPr="00256982" w14:paraId="4BB5C799" w14:textId="77777777" w:rsidTr="00142A81">
        <w:trPr>
          <w:trHeight w:val="246"/>
        </w:trPr>
        <w:tc>
          <w:tcPr>
            <w:tcW w:w="1185" w:type="dxa"/>
            <w:tcBorders>
              <w:top w:val="nil"/>
              <w:bottom w:val="single" w:sz="8" w:space="0" w:color="365F91"/>
              <w:right w:val="nil"/>
            </w:tcBorders>
            <w:shd w:val="clear" w:color="auto" w:fill="auto"/>
            <w:vAlign w:val="center"/>
            <w:hideMark/>
          </w:tcPr>
          <w:p w14:paraId="50098E38" w14:textId="77777777" w:rsidR="00380BE7" w:rsidRPr="00256982" w:rsidRDefault="00380BE7" w:rsidP="009574E7">
            <w:pPr>
              <w:pStyle w:val="TableText"/>
              <w:rPr>
                <w:b/>
                <w:lang w:eastAsia="en-NZ"/>
              </w:rPr>
            </w:pPr>
            <w:r w:rsidRPr="00256982">
              <w:rPr>
                <w:b/>
                <w:lang w:eastAsia="en-NZ"/>
              </w:rPr>
              <w:t> </w:t>
            </w:r>
          </w:p>
        </w:tc>
        <w:tc>
          <w:tcPr>
            <w:tcW w:w="1015" w:type="dxa"/>
            <w:tcBorders>
              <w:top w:val="nil"/>
              <w:left w:val="nil"/>
              <w:bottom w:val="single" w:sz="8" w:space="0" w:color="365F91"/>
              <w:right w:val="single" w:sz="8" w:space="0" w:color="365F91"/>
            </w:tcBorders>
            <w:shd w:val="clear" w:color="auto" w:fill="auto"/>
            <w:vAlign w:val="center"/>
            <w:hideMark/>
          </w:tcPr>
          <w:p w14:paraId="19A1C905" w14:textId="77777777" w:rsidR="00380BE7" w:rsidRPr="00256982" w:rsidRDefault="00380BE7" w:rsidP="009574E7">
            <w:pPr>
              <w:pStyle w:val="TableText"/>
              <w:rPr>
                <w:lang w:eastAsia="en-NZ"/>
              </w:rPr>
            </w:pPr>
            <w:r w:rsidRPr="00256982">
              <w:rPr>
                <w:lang w:eastAsia="en-NZ"/>
              </w:rPr>
              <w:t>Post-1989</w:t>
            </w:r>
          </w:p>
        </w:tc>
        <w:tc>
          <w:tcPr>
            <w:tcW w:w="851" w:type="dxa"/>
            <w:tcBorders>
              <w:top w:val="nil"/>
              <w:left w:val="nil"/>
              <w:bottom w:val="single" w:sz="8" w:space="0" w:color="365F91"/>
              <w:right w:val="nil"/>
            </w:tcBorders>
            <w:shd w:val="clear" w:color="auto" w:fill="auto"/>
            <w:vAlign w:val="center"/>
            <w:hideMark/>
          </w:tcPr>
          <w:p w14:paraId="6EA99403"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 </w:t>
            </w:r>
          </w:p>
        </w:tc>
        <w:tc>
          <w:tcPr>
            <w:tcW w:w="850" w:type="dxa"/>
            <w:tcBorders>
              <w:top w:val="nil"/>
              <w:left w:val="nil"/>
              <w:bottom w:val="single" w:sz="8" w:space="0" w:color="365F91"/>
              <w:right w:val="nil"/>
            </w:tcBorders>
            <w:shd w:val="clear" w:color="auto" w:fill="auto"/>
            <w:vAlign w:val="center"/>
            <w:hideMark/>
          </w:tcPr>
          <w:p w14:paraId="7AA03710"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 </w:t>
            </w:r>
          </w:p>
        </w:tc>
        <w:tc>
          <w:tcPr>
            <w:tcW w:w="848" w:type="dxa"/>
            <w:tcBorders>
              <w:top w:val="nil"/>
              <w:left w:val="nil"/>
              <w:bottom w:val="single" w:sz="8" w:space="0" w:color="365F91"/>
              <w:right w:val="single" w:sz="8" w:space="0" w:color="365F91"/>
            </w:tcBorders>
            <w:shd w:val="clear" w:color="000000" w:fill="D8D8D8"/>
            <w:vAlign w:val="center"/>
            <w:hideMark/>
          </w:tcPr>
          <w:p w14:paraId="6F6D6A4E"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675.9</w:t>
            </w:r>
          </w:p>
        </w:tc>
        <w:tc>
          <w:tcPr>
            <w:tcW w:w="759" w:type="dxa"/>
            <w:tcBorders>
              <w:top w:val="nil"/>
              <w:left w:val="nil"/>
              <w:bottom w:val="single" w:sz="8" w:space="0" w:color="365F91"/>
              <w:right w:val="nil"/>
            </w:tcBorders>
            <w:shd w:val="clear" w:color="auto" w:fill="auto"/>
            <w:vAlign w:val="center"/>
            <w:hideMark/>
          </w:tcPr>
          <w:p w14:paraId="5394182A"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 </w:t>
            </w:r>
          </w:p>
        </w:tc>
        <w:tc>
          <w:tcPr>
            <w:tcW w:w="945" w:type="dxa"/>
            <w:tcBorders>
              <w:top w:val="nil"/>
              <w:left w:val="nil"/>
              <w:bottom w:val="single" w:sz="8" w:space="0" w:color="365F91"/>
              <w:right w:val="single" w:sz="8" w:space="0" w:color="365F91"/>
            </w:tcBorders>
            <w:shd w:val="clear" w:color="auto" w:fill="auto"/>
            <w:vAlign w:val="center"/>
            <w:hideMark/>
          </w:tcPr>
          <w:p w14:paraId="736FD766"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 </w:t>
            </w:r>
          </w:p>
        </w:tc>
        <w:tc>
          <w:tcPr>
            <w:tcW w:w="1134" w:type="dxa"/>
            <w:tcBorders>
              <w:top w:val="nil"/>
              <w:left w:val="nil"/>
              <w:bottom w:val="single" w:sz="8" w:space="0" w:color="365F91"/>
              <w:right w:val="nil"/>
            </w:tcBorders>
            <w:shd w:val="clear" w:color="auto" w:fill="auto"/>
            <w:vAlign w:val="center"/>
            <w:hideMark/>
          </w:tcPr>
          <w:p w14:paraId="24A76396"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0.4</w:t>
            </w:r>
          </w:p>
        </w:tc>
        <w:tc>
          <w:tcPr>
            <w:tcW w:w="999" w:type="dxa"/>
            <w:tcBorders>
              <w:top w:val="nil"/>
              <w:left w:val="nil"/>
              <w:bottom w:val="single" w:sz="8" w:space="0" w:color="365F91"/>
              <w:right w:val="nil"/>
            </w:tcBorders>
            <w:shd w:val="clear" w:color="auto" w:fill="auto"/>
            <w:vAlign w:val="center"/>
            <w:hideMark/>
          </w:tcPr>
          <w:p w14:paraId="44A42AF6"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5.5</w:t>
            </w:r>
          </w:p>
        </w:tc>
        <w:tc>
          <w:tcPr>
            <w:tcW w:w="974" w:type="dxa"/>
            <w:tcBorders>
              <w:top w:val="nil"/>
              <w:left w:val="nil"/>
              <w:bottom w:val="single" w:sz="8" w:space="0" w:color="365F91"/>
              <w:right w:val="single" w:sz="8" w:space="0" w:color="365F91"/>
            </w:tcBorders>
            <w:shd w:val="clear" w:color="auto" w:fill="auto"/>
            <w:vAlign w:val="center"/>
            <w:hideMark/>
          </w:tcPr>
          <w:p w14:paraId="6911056B"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0.6</w:t>
            </w:r>
          </w:p>
        </w:tc>
        <w:tc>
          <w:tcPr>
            <w:tcW w:w="588" w:type="dxa"/>
            <w:tcBorders>
              <w:top w:val="nil"/>
              <w:left w:val="nil"/>
              <w:bottom w:val="single" w:sz="8" w:space="0" w:color="365F91"/>
              <w:right w:val="nil"/>
            </w:tcBorders>
            <w:shd w:val="clear" w:color="auto" w:fill="auto"/>
            <w:vAlign w:val="center"/>
            <w:hideMark/>
          </w:tcPr>
          <w:p w14:paraId="4D09C2D8"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 </w:t>
            </w:r>
          </w:p>
        </w:tc>
        <w:tc>
          <w:tcPr>
            <w:tcW w:w="981" w:type="dxa"/>
            <w:tcBorders>
              <w:top w:val="nil"/>
              <w:left w:val="nil"/>
              <w:bottom w:val="single" w:sz="8" w:space="0" w:color="365F91"/>
              <w:right w:val="single" w:sz="8" w:space="0" w:color="365F91"/>
            </w:tcBorders>
            <w:shd w:val="clear" w:color="auto" w:fill="auto"/>
            <w:vAlign w:val="center"/>
            <w:hideMark/>
          </w:tcPr>
          <w:p w14:paraId="0A84C4AB"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 </w:t>
            </w:r>
          </w:p>
        </w:tc>
        <w:tc>
          <w:tcPr>
            <w:tcW w:w="1123" w:type="dxa"/>
            <w:tcBorders>
              <w:top w:val="nil"/>
              <w:left w:val="nil"/>
              <w:bottom w:val="single" w:sz="8" w:space="0" w:color="365F91"/>
              <w:right w:val="single" w:sz="8" w:space="0" w:color="365F91"/>
            </w:tcBorders>
            <w:shd w:val="clear" w:color="auto" w:fill="auto"/>
            <w:vAlign w:val="center"/>
            <w:hideMark/>
          </w:tcPr>
          <w:p w14:paraId="227992B0"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 </w:t>
            </w:r>
          </w:p>
        </w:tc>
        <w:tc>
          <w:tcPr>
            <w:tcW w:w="873" w:type="dxa"/>
            <w:tcBorders>
              <w:top w:val="nil"/>
              <w:left w:val="nil"/>
              <w:bottom w:val="single" w:sz="8" w:space="0" w:color="365F91"/>
              <w:right w:val="single" w:sz="8" w:space="0" w:color="365F91"/>
            </w:tcBorders>
            <w:shd w:val="clear" w:color="auto" w:fill="auto"/>
            <w:vAlign w:val="center"/>
            <w:hideMark/>
          </w:tcPr>
          <w:p w14:paraId="2CFD371D"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0.0</w:t>
            </w:r>
          </w:p>
        </w:tc>
        <w:tc>
          <w:tcPr>
            <w:tcW w:w="873" w:type="dxa"/>
            <w:tcBorders>
              <w:top w:val="nil"/>
              <w:left w:val="nil"/>
              <w:bottom w:val="single" w:sz="8" w:space="0" w:color="365F91"/>
            </w:tcBorders>
            <w:shd w:val="clear" w:color="auto" w:fill="auto"/>
            <w:vAlign w:val="center"/>
            <w:hideMark/>
          </w:tcPr>
          <w:p w14:paraId="093830D3"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682.4</w:t>
            </w:r>
          </w:p>
        </w:tc>
      </w:tr>
      <w:tr w:rsidR="00380BE7" w:rsidRPr="00256982" w14:paraId="67099EE8" w14:textId="77777777" w:rsidTr="00142A81">
        <w:trPr>
          <w:trHeight w:val="234"/>
        </w:trPr>
        <w:tc>
          <w:tcPr>
            <w:tcW w:w="1185" w:type="dxa"/>
            <w:vMerge w:val="restart"/>
            <w:tcBorders>
              <w:top w:val="nil"/>
              <w:bottom w:val="single" w:sz="8" w:space="0" w:color="365F91"/>
              <w:right w:val="nil"/>
            </w:tcBorders>
            <w:shd w:val="clear" w:color="auto" w:fill="auto"/>
            <w:noWrap/>
            <w:vAlign w:val="center"/>
            <w:hideMark/>
          </w:tcPr>
          <w:p w14:paraId="17B71439" w14:textId="77777777" w:rsidR="00380BE7" w:rsidRPr="00256982" w:rsidRDefault="00380BE7" w:rsidP="009574E7">
            <w:pPr>
              <w:pStyle w:val="TableText"/>
              <w:rPr>
                <w:b/>
                <w:lang w:eastAsia="en-NZ"/>
              </w:rPr>
            </w:pPr>
            <w:r w:rsidRPr="00256982">
              <w:rPr>
                <w:b/>
                <w:lang w:eastAsia="en-NZ"/>
              </w:rPr>
              <w:t>Cropland</w:t>
            </w:r>
          </w:p>
        </w:tc>
        <w:tc>
          <w:tcPr>
            <w:tcW w:w="1015" w:type="dxa"/>
            <w:tcBorders>
              <w:top w:val="nil"/>
              <w:left w:val="nil"/>
              <w:bottom w:val="nil"/>
              <w:right w:val="single" w:sz="8" w:space="0" w:color="365F91"/>
            </w:tcBorders>
            <w:shd w:val="clear" w:color="auto" w:fill="auto"/>
            <w:vAlign w:val="center"/>
            <w:hideMark/>
          </w:tcPr>
          <w:p w14:paraId="658F87CD" w14:textId="77777777" w:rsidR="00380BE7" w:rsidRPr="00256982" w:rsidRDefault="00380BE7" w:rsidP="009574E7">
            <w:pPr>
              <w:pStyle w:val="TableText"/>
              <w:rPr>
                <w:lang w:eastAsia="en-NZ"/>
              </w:rPr>
            </w:pPr>
            <w:r w:rsidRPr="00256982">
              <w:rPr>
                <w:lang w:eastAsia="en-NZ"/>
              </w:rPr>
              <w:t>Annual</w:t>
            </w:r>
          </w:p>
        </w:tc>
        <w:tc>
          <w:tcPr>
            <w:tcW w:w="851" w:type="dxa"/>
            <w:tcBorders>
              <w:top w:val="nil"/>
              <w:left w:val="nil"/>
              <w:bottom w:val="nil"/>
              <w:right w:val="nil"/>
            </w:tcBorders>
            <w:shd w:val="clear" w:color="auto" w:fill="auto"/>
            <w:vAlign w:val="center"/>
            <w:hideMark/>
          </w:tcPr>
          <w:p w14:paraId="4E59AD0C" w14:textId="77777777" w:rsidR="00380BE7" w:rsidRPr="00256982" w:rsidRDefault="00380BE7" w:rsidP="009574E7">
            <w:pPr>
              <w:jc w:val="right"/>
              <w:rPr>
                <w:rFonts w:ascii="Arial" w:hAnsi="Arial" w:cs="Arial"/>
                <w:color w:val="000000"/>
                <w:sz w:val="16"/>
                <w:szCs w:val="16"/>
              </w:rPr>
            </w:pPr>
          </w:p>
        </w:tc>
        <w:tc>
          <w:tcPr>
            <w:tcW w:w="850" w:type="dxa"/>
            <w:tcBorders>
              <w:top w:val="nil"/>
              <w:left w:val="nil"/>
              <w:bottom w:val="nil"/>
              <w:right w:val="nil"/>
            </w:tcBorders>
            <w:shd w:val="clear" w:color="auto" w:fill="auto"/>
            <w:vAlign w:val="center"/>
            <w:hideMark/>
          </w:tcPr>
          <w:p w14:paraId="61507C93" w14:textId="77777777" w:rsidR="00380BE7" w:rsidRPr="00256982" w:rsidRDefault="00380BE7" w:rsidP="009574E7">
            <w:pPr>
              <w:jc w:val="right"/>
              <w:rPr>
                <w:sz w:val="20"/>
              </w:rPr>
            </w:pPr>
          </w:p>
        </w:tc>
        <w:tc>
          <w:tcPr>
            <w:tcW w:w="848" w:type="dxa"/>
            <w:tcBorders>
              <w:top w:val="nil"/>
              <w:left w:val="nil"/>
              <w:bottom w:val="nil"/>
              <w:right w:val="single" w:sz="8" w:space="0" w:color="365F91"/>
            </w:tcBorders>
            <w:shd w:val="clear" w:color="auto" w:fill="auto"/>
            <w:vAlign w:val="center"/>
            <w:hideMark/>
          </w:tcPr>
          <w:p w14:paraId="67C7FDB9"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 </w:t>
            </w:r>
          </w:p>
        </w:tc>
        <w:tc>
          <w:tcPr>
            <w:tcW w:w="759" w:type="dxa"/>
            <w:tcBorders>
              <w:top w:val="nil"/>
              <w:left w:val="nil"/>
              <w:bottom w:val="nil"/>
              <w:right w:val="nil"/>
            </w:tcBorders>
            <w:shd w:val="clear" w:color="000000" w:fill="D8D8D8"/>
            <w:vAlign w:val="center"/>
            <w:hideMark/>
          </w:tcPr>
          <w:p w14:paraId="7E5D98BD"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371.4</w:t>
            </w:r>
          </w:p>
        </w:tc>
        <w:tc>
          <w:tcPr>
            <w:tcW w:w="945" w:type="dxa"/>
            <w:tcBorders>
              <w:top w:val="nil"/>
              <w:left w:val="nil"/>
              <w:bottom w:val="nil"/>
              <w:right w:val="single" w:sz="8" w:space="0" w:color="365F91"/>
            </w:tcBorders>
            <w:shd w:val="clear" w:color="auto" w:fill="auto"/>
            <w:vAlign w:val="center"/>
            <w:hideMark/>
          </w:tcPr>
          <w:p w14:paraId="67B9987F"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 </w:t>
            </w:r>
          </w:p>
        </w:tc>
        <w:tc>
          <w:tcPr>
            <w:tcW w:w="1134" w:type="dxa"/>
            <w:tcBorders>
              <w:top w:val="nil"/>
              <w:left w:val="nil"/>
              <w:bottom w:val="nil"/>
              <w:right w:val="nil"/>
            </w:tcBorders>
            <w:shd w:val="clear" w:color="auto" w:fill="auto"/>
            <w:vAlign w:val="center"/>
            <w:hideMark/>
          </w:tcPr>
          <w:p w14:paraId="561C3A7E" w14:textId="77777777" w:rsidR="00380BE7" w:rsidRPr="00256982" w:rsidRDefault="00380BE7" w:rsidP="009574E7">
            <w:pPr>
              <w:jc w:val="right"/>
              <w:rPr>
                <w:rFonts w:ascii="Arial" w:hAnsi="Arial" w:cs="Arial"/>
                <w:color w:val="000000"/>
                <w:sz w:val="16"/>
                <w:szCs w:val="16"/>
              </w:rPr>
            </w:pPr>
          </w:p>
        </w:tc>
        <w:tc>
          <w:tcPr>
            <w:tcW w:w="999" w:type="dxa"/>
            <w:tcBorders>
              <w:top w:val="nil"/>
              <w:left w:val="nil"/>
              <w:bottom w:val="nil"/>
              <w:right w:val="nil"/>
            </w:tcBorders>
            <w:shd w:val="clear" w:color="auto" w:fill="auto"/>
            <w:vAlign w:val="center"/>
            <w:hideMark/>
          </w:tcPr>
          <w:p w14:paraId="13FCE55E" w14:textId="77777777" w:rsidR="00380BE7" w:rsidRPr="00256982" w:rsidRDefault="00380BE7" w:rsidP="009574E7">
            <w:pPr>
              <w:jc w:val="right"/>
              <w:rPr>
                <w:sz w:val="20"/>
              </w:rPr>
            </w:pPr>
          </w:p>
        </w:tc>
        <w:tc>
          <w:tcPr>
            <w:tcW w:w="974" w:type="dxa"/>
            <w:tcBorders>
              <w:top w:val="nil"/>
              <w:left w:val="nil"/>
              <w:bottom w:val="nil"/>
              <w:right w:val="single" w:sz="8" w:space="0" w:color="365F91"/>
            </w:tcBorders>
            <w:shd w:val="clear" w:color="auto" w:fill="auto"/>
            <w:vAlign w:val="center"/>
            <w:hideMark/>
          </w:tcPr>
          <w:p w14:paraId="67F808B5"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0.0</w:t>
            </w:r>
          </w:p>
        </w:tc>
        <w:tc>
          <w:tcPr>
            <w:tcW w:w="588" w:type="dxa"/>
            <w:tcBorders>
              <w:top w:val="nil"/>
              <w:left w:val="nil"/>
              <w:bottom w:val="nil"/>
              <w:right w:val="nil"/>
            </w:tcBorders>
            <w:shd w:val="clear" w:color="auto" w:fill="auto"/>
            <w:vAlign w:val="center"/>
            <w:hideMark/>
          </w:tcPr>
          <w:p w14:paraId="3173057C" w14:textId="77777777" w:rsidR="00380BE7" w:rsidRPr="00256982" w:rsidRDefault="00380BE7" w:rsidP="009574E7">
            <w:pPr>
              <w:jc w:val="right"/>
              <w:rPr>
                <w:rFonts w:ascii="Arial" w:hAnsi="Arial" w:cs="Arial"/>
                <w:color w:val="000000"/>
                <w:sz w:val="16"/>
                <w:szCs w:val="16"/>
              </w:rPr>
            </w:pPr>
          </w:p>
        </w:tc>
        <w:tc>
          <w:tcPr>
            <w:tcW w:w="981" w:type="dxa"/>
            <w:tcBorders>
              <w:top w:val="nil"/>
              <w:left w:val="nil"/>
              <w:bottom w:val="nil"/>
              <w:right w:val="single" w:sz="8" w:space="0" w:color="365F91"/>
            </w:tcBorders>
            <w:shd w:val="clear" w:color="auto" w:fill="auto"/>
            <w:vAlign w:val="center"/>
            <w:hideMark/>
          </w:tcPr>
          <w:p w14:paraId="24A637F2"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 </w:t>
            </w:r>
          </w:p>
        </w:tc>
        <w:tc>
          <w:tcPr>
            <w:tcW w:w="1123" w:type="dxa"/>
            <w:tcBorders>
              <w:top w:val="nil"/>
              <w:left w:val="nil"/>
              <w:bottom w:val="nil"/>
              <w:right w:val="single" w:sz="8" w:space="0" w:color="365F91"/>
            </w:tcBorders>
            <w:shd w:val="clear" w:color="auto" w:fill="auto"/>
            <w:vAlign w:val="center"/>
            <w:hideMark/>
          </w:tcPr>
          <w:p w14:paraId="17BD06D9"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 </w:t>
            </w:r>
          </w:p>
        </w:tc>
        <w:tc>
          <w:tcPr>
            <w:tcW w:w="873" w:type="dxa"/>
            <w:tcBorders>
              <w:top w:val="nil"/>
              <w:left w:val="nil"/>
              <w:bottom w:val="nil"/>
              <w:right w:val="single" w:sz="8" w:space="0" w:color="365F91"/>
            </w:tcBorders>
            <w:shd w:val="clear" w:color="auto" w:fill="auto"/>
            <w:vAlign w:val="center"/>
            <w:hideMark/>
          </w:tcPr>
          <w:p w14:paraId="49BC74B2"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 </w:t>
            </w:r>
          </w:p>
        </w:tc>
        <w:tc>
          <w:tcPr>
            <w:tcW w:w="873" w:type="dxa"/>
            <w:tcBorders>
              <w:top w:val="nil"/>
              <w:left w:val="nil"/>
              <w:bottom w:val="nil"/>
            </w:tcBorders>
            <w:shd w:val="clear" w:color="auto" w:fill="auto"/>
            <w:vAlign w:val="center"/>
            <w:hideMark/>
          </w:tcPr>
          <w:p w14:paraId="5DD59D8A"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371.4</w:t>
            </w:r>
          </w:p>
        </w:tc>
      </w:tr>
      <w:tr w:rsidR="00380BE7" w:rsidRPr="00256982" w14:paraId="014F8716" w14:textId="77777777" w:rsidTr="00142A81">
        <w:trPr>
          <w:trHeight w:val="246"/>
        </w:trPr>
        <w:tc>
          <w:tcPr>
            <w:tcW w:w="1185" w:type="dxa"/>
            <w:vMerge/>
            <w:tcBorders>
              <w:top w:val="nil"/>
              <w:bottom w:val="single" w:sz="8" w:space="0" w:color="365F91"/>
              <w:right w:val="nil"/>
            </w:tcBorders>
            <w:vAlign w:val="center"/>
            <w:hideMark/>
          </w:tcPr>
          <w:p w14:paraId="77221A12" w14:textId="77777777" w:rsidR="00380BE7" w:rsidRPr="00256982" w:rsidRDefault="00380BE7" w:rsidP="009574E7">
            <w:pPr>
              <w:pStyle w:val="TableText"/>
              <w:rPr>
                <w:b/>
                <w:lang w:eastAsia="en-NZ"/>
              </w:rPr>
            </w:pPr>
          </w:p>
        </w:tc>
        <w:tc>
          <w:tcPr>
            <w:tcW w:w="1015" w:type="dxa"/>
            <w:tcBorders>
              <w:top w:val="nil"/>
              <w:left w:val="nil"/>
              <w:bottom w:val="single" w:sz="8" w:space="0" w:color="365F91"/>
              <w:right w:val="single" w:sz="8" w:space="0" w:color="365F91"/>
            </w:tcBorders>
            <w:shd w:val="clear" w:color="auto" w:fill="auto"/>
            <w:vAlign w:val="center"/>
            <w:hideMark/>
          </w:tcPr>
          <w:p w14:paraId="724F250A" w14:textId="77777777" w:rsidR="00380BE7" w:rsidRPr="00256982" w:rsidRDefault="00380BE7" w:rsidP="009574E7">
            <w:pPr>
              <w:pStyle w:val="TableText"/>
              <w:rPr>
                <w:lang w:eastAsia="en-NZ"/>
              </w:rPr>
            </w:pPr>
            <w:r w:rsidRPr="00256982">
              <w:rPr>
                <w:lang w:eastAsia="en-NZ"/>
              </w:rPr>
              <w:t>Perennial</w:t>
            </w:r>
          </w:p>
        </w:tc>
        <w:tc>
          <w:tcPr>
            <w:tcW w:w="851" w:type="dxa"/>
            <w:tcBorders>
              <w:top w:val="nil"/>
              <w:left w:val="nil"/>
              <w:bottom w:val="single" w:sz="8" w:space="0" w:color="365F91"/>
              <w:right w:val="nil"/>
            </w:tcBorders>
            <w:shd w:val="clear" w:color="auto" w:fill="auto"/>
            <w:vAlign w:val="center"/>
            <w:hideMark/>
          </w:tcPr>
          <w:p w14:paraId="614CDE40"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 </w:t>
            </w:r>
          </w:p>
        </w:tc>
        <w:tc>
          <w:tcPr>
            <w:tcW w:w="850" w:type="dxa"/>
            <w:tcBorders>
              <w:top w:val="nil"/>
              <w:left w:val="nil"/>
              <w:bottom w:val="single" w:sz="8" w:space="0" w:color="365F91"/>
              <w:right w:val="nil"/>
            </w:tcBorders>
            <w:shd w:val="clear" w:color="auto" w:fill="auto"/>
            <w:vAlign w:val="center"/>
            <w:hideMark/>
          </w:tcPr>
          <w:p w14:paraId="5CF7338F"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 </w:t>
            </w:r>
          </w:p>
        </w:tc>
        <w:tc>
          <w:tcPr>
            <w:tcW w:w="848" w:type="dxa"/>
            <w:tcBorders>
              <w:top w:val="nil"/>
              <w:left w:val="nil"/>
              <w:bottom w:val="single" w:sz="8" w:space="0" w:color="365F91"/>
              <w:right w:val="single" w:sz="8" w:space="0" w:color="365F91"/>
            </w:tcBorders>
            <w:shd w:val="clear" w:color="auto" w:fill="auto"/>
            <w:vAlign w:val="center"/>
            <w:hideMark/>
          </w:tcPr>
          <w:p w14:paraId="1281EDE3" w14:textId="77777777" w:rsidR="00380BE7" w:rsidRPr="00256982" w:rsidRDefault="00380BE7" w:rsidP="009574E7">
            <w:pPr>
              <w:jc w:val="left"/>
              <w:rPr>
                <w:rFonts w:ascii="Arial" w:hAnsi="Arial" w:cs="Arial"/>
                <w:color w:val="000000"/>
                <w:sz w:val="16"/>
                <w:szCs w:val="16"/>
              </w:rPr>
            </w:pPr>
            <w:r w:rsidRPr="00256982">
              <w:rPr>
                <w:rFonts w:ascii="Arial" w:hAnsi="Arial" w:cs="Arial"/>
                <w:color w:val="000000"/>
                <w:sz w:val="16"/>
                <w:szCs w:val="16"/>
              </w:rPr>
              <w:t> </w:t>
            </w:r>
          </w:p>
        </w:tc>
        <w:tc>
          <w:tcPr>
            <w:tcW w:w="759" w:type="dxa"/>
            <w:tcBorders>
              <w:top w:val="nil"/>
              <w:left w:val="nil"/>
              <w:bottom w:val="single" w:sz="8" w:space="0" w:color="365F91"/>
              <w:right w:val="nil"/>
            </w:tcBorders>
            <w:shd w:val="clear" w:color="auto" w:fill="auto"/>
            <w:vAlign w:val="center"/>
            <w:hideMark/>
          </w:tcPr>
          <w:p w14:paraId="1D8FD763"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 </w:t>
            </w:r>
          </w:p>
        </w:tc>
        <w:tc>
          <w:tcPr>
            <w:tcW w:w="945" w:type="dxa"/>
            <w:tcBorders>
              <w:top w:val="nil"/>
              <w:left w:val="nil"/>
              <w:bottom w:val="single" w:sz="8" w:space="0" w:color="365F91"/>
              <w:right w:val="single" w:sz="8" w:space="0" w:color="365F91"/>
            </w:tcBorders>
            <w:shd w:val="clear" w:color="000000" w:fill="D8D8D8"/>
            <w:vAlign w:val="center"/>
            <w:hideMark/>
          </w:tcPr>
          <w:p w14:paraId="3246B41A"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104.3</w:t>
            </w:r>
          </w:p>
        </w:tc>
        <w:tc>
          <w:tcPr>
            <w:tcW w:w="1134" w:type="dxa"/>
            <w:tcBorders>
              <w:top w:val="nil"/>
              <w:left w:val="nil"/>
              <w:bottom w:val="single" w:sz="8" w:space="0" w:color="365F91"/>
              <w:right w:val="nil"/>
            </w:tcBorders>
            <w:shd w:val="clear" w:color="auto" w:fill="auto"/>
            <w:vAlign w:val="center"/>
            <w:hideMark/>
          </w:tcPr>
          <w:p w14:paraId="5D7819B1"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0.3</w:t>
            </w:r>
          </w:p>
        </w:tc>
        <w:tc>
          <w:tcPr>
            <w:tcW w:w="999" w:type="dxa"/>
            <w:tcBorders>
              <w:top w:val="nil"/>
              <w:left w:val="nil"/>
              <w:bottom w:val="single" w:sz="8" w:space="0" w:color="365F91"/>
              <w:right w:val="nil"/>
            </w:tcBorders>
            <w:shd w:val="clear" w:color="auto" w:fill="auto"/>
            <w:vAlign w:val="center"/>
            <w:hideMark/>
          </w:tcPr>
          <w:p w14:paraId="637E89BE"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 </w:t>
            </w:r>
          </w:p>
        </w:tc>
        <w:tc>
          <w:tcPr>
            <w:tcW w:w="974" w:type="dxa"/>
            <w:tcBorders>
              <w:top w:val="nil"/>
              <w:left w:val="nil"/>
              <w:bottom w:val="single" w:sz="8" w:space="0" w:color="365F91"/>
              <w:right w:val="single" w:sz="8" w:space="0" w:color="365F91"/>
            </w:tcBorders>
            <w:shd w:val="clear" w:color="auto" w:fill="auto"/>
            <w:vAlign w:val="center"/>
            <w:hideMark/>
          </w:tcPr>
          <w:p w14:paraId="08773430"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0.0</w:t>
            </w:r>
          </w:p>
        </w:tc>
        <w:tc>
          <w:tcPr>
            <w:tcW w:w="588" w:type="dxa"/>
            <w:tcBorders>
              <w:top w:val="nil"/>
              <w:left w:val="nil"/>
              <w:bottom w:val="single" w:sz="8" w:space="0" w:color="365F91"/>
              <w:right w:val="nil"/>
            </w:tcBorders>
            <w:shd w:val="clear" w:color="auto" w:fill="auto"/>
            <w:vAlign w:val="center"/>
            <w:hideMark/>
          </w:tcPr>
          <w:p w14:paraId="6019DA12"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 </w:t>
            </w:r>
          </w:p>
        </w:tc>
        <w:tc>
          <w:tcPr>
            <w:tcW w:w="981" w:type="dxa"/>
            <w:tcBorders>
              <w:top w:val="nil"/>
              <w:left w:val="nil"/>
              <w:bottom w:val="single" w:sz="8" w:space="0" w:color="365F91"/>
              <w:right w:val="single" w:sz="8" w:space="0" w:color="365F91"/>
            </w:tcBorders>
            <w:shd w:val="clear" w:color="auto" w:fill="auto"/>
            <w:vAlign w:val="center"/>
            <w:hideMark/>
          </w:tcPr>
          <w:p w14:paraId="5ACFCD10"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 </w:t>
            </w:r>
          </w:p>
        </w:tc>
        <w:tc>
          <w:tcPr>
            <w:tcW w:w="1123" w:type="dxa"/>
            <w:tcBorders>
              <w:top w:val="nil"/>
              <w:left w:val="nil"/>
              <w:bottom w:val="single" w:sz="8" w:space="0" w:color="365F91"/>
              <w:right w:val="single" w:sz="8" w:space="0" w:color="365F91"/>
            </w:tcBorders>
            <w:shd w:val="clear" w:color="auto" w:fill="auto"/>
            <w:vAlign w:val="center"/>
            <w:hideMark/>
          </w:tcPr>
          <w:p w14:paraId="70FAC78F"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 </w:t>
            </w:r>
          </w:p>
        </w:tc>
        <w:tc>
          <w:tcPr>
            <w:tcW w:w="873" w:type="dxa"/>
            <w:tcBorders>
              <w:top w:val="nil"/>
              <w:left w:val="nil"/>
              <w:bottom w:val="single" w:sz="8" w:space="0" w:color="365F91"/>
              <w:right w:val="single" w:sz="8" w:space="0" w:color="365F91"/>
            </w:tcBorders>
            <w:shd w:val="clear" w:color="auto" w:fill="auto"/>
            <w:vAlign w:val="center"/>
            <w:hideMark/>
          </w:tcPr>
          <w:p w14:paraId="5FC6B69A"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 </w:t>
            </w:r>
          </w:p>
        </w:tc>
        <w:tc>
          <w:tcPr>
            <w:tcW w:w="873" w:type="dxa"/>
            <w:tcBorders>
              <w:top w:val="nil"/>
              <w:left w:val="nil"/>
              <w:bottom w:val="single" w:sz="8" w:space="0" w:color="365F91"/>
            </w:tcBorders>
            <w:shd w:val="clear" w:color="auto" w:fill="auto"/>
            <w:vAlign w:val="center"/>
            <w:hideMark/>
          </w:tcPr>
          <w:p w14:paraId="6558234F"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104.5</w:t>
            </w:r>
          </w:p>
        </w:tc>
      </w:tr>
      <w:tr w:rsidR="00380BE7" w:rsidRPr="00256982" w14:paraId="5EC19C33" w14:textId="77777777" w:rsidTr="00142A81">
        <w:trPr>
          <w:trHeight w:val="351"/>
        </w:trPr>
        <w:tc>
          <w:tcPr>
            <w:tcW w:w="1185" w:type="dxa"/>
            <w:vMerge w:val="restart"/>
            <w:tcBorders>
              <w:top w:val="nil"/>
              <w:bottom w:val="single" w:sz="8" w:space="0" w:color="365F91"/>
              <w:right w:val="nil"/>
            </w:tcBorders>
            <w:shd w:val="clear" w:color="auto" w:fill="auto"/>
            <w:noWrap/>
            <w:vAlign w:val="center"/>
            <w:hideMark/>
          </w:tcPr>
          <w:p w14:paraId="62FE145B" w14:textId="77777777" w:rsidR="00380BE7" w:rsidRPr="00256982" w:rsidRDefault="00380BE7" w:rsidP="009574E7">
            <w:pPr>
              <w:pStyle w:val="TableText"/>
              <w:rPr>
                <w:b/>
                <w:lang w:eastAsia="en-NZ"/>
              </w:rPr>
            </w:pPr>
            <w:r w:rsidRPr="00256982">
              <w:rPr>
                <w:b/>
                <w:lang w:eastAsia="en-NZ"/>
              </w:rPr>
              <w:t>Grassland</w:t>
            </w:r>
          </w:p>
        </w:tc>
        <w:tc>
          <w:tcPr>
            <w:tcW w:w="1015" w:type="dxa"/>
            <w:tcBorders>
              <w:top w:val="nil"/>
              <w:left w:val="nil"/>
              <w:bottom w:val="nil"/>
              <w:right w:val="single" w:sz="8" w:space="0" w:color="365F91"/>
            </w:tcBorders>
            <w:shd w:val="clear" w:color="auto" w:fill="auto"/>
            <w:vAlign w:val="center"/>
            <w:hideMark/>
          </w:tcPr>
          <w:p w14:paraId="485FDE32" w14:textId="77777777" w:rsidR="00380BE7" w:rsidRPr="00256982" w:rsidRDefault="00380BE7" w:rsidP="009574E7">
            <w:pPr>
              <w:pStyle w:val="TableText"/>
              <w:rPr>
                <w:lang w:eastAsia="en-NZ"/>
              </w:rPr>
            </w:pPr>
            <w:r w:rsidRPr="00256982">
              <w:rPr>
                <w:lang w:eastAsia="en-NZ"/>
              </w:rPr>
              <w:t>High producing</w:t>
            </w:r>
          </w:p>
        </w:tc>
        <w:tc>
          <w:tcPr>
            <w:tcW w:w="851" w:type="dxa"/>
            <w:tcBorders>
              <w:top w:val="nil"/>
              <w:left w:val="nil"/>
              <w:bottom w:val="nil"/>
              <w:right w:val="nil"/>
            </w:tcBorders>
            <w:shd w:val="clear" w:color="auto" w:fill="auto"/>
            <w:vAlign w:val="center"/>
            <w:hideMark/>
          </w:tcPr>
          <w:p w14:paraId="20DC0220"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0.2</w:t>
            </w:r>
          </w:p>
        </w:tc>
        <w:tc>
          <w:tcPr>
            <w:tcW w:w="850" w:type="dxa"/>
            <w:tcBorders>
              <w:top w:val="nil"/>
              <w:left w:val="nil"/>
              <w:bottom w:val="nil"/>
              <w:right w:val="nil"/>
            </w:tcBorders>
            <w:shd w:val="clear" w:color="auto" w:fill="auto"/>
            <w:vAlign w:val="center"/>
            <w:hideMark/>
          </w:tcPr>
          <w:p w14:paraId="334A56EC"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2.0</w:t>
            </w:r>
          </w:p>
        </w:tc>
        <w:tc>
          <w:tcPr>
            <w:tcW w:w="848" w:type="dxa"/>
            <w:tcBorders>
              <w:top w:val="nil"/>
              <w:left w:val="nil"/>
              <w:bottom w:val="nil"/>
              <w:right w:val="single" w:sz="8" w:space="0" w:color="365F91"/>
            </w:tcBorders>
            <w:shd w:val="clear" w:color="auto" w:fill="auto"/>
            <w:vAlign w:val="center"/>
            <w:hideMark/>
          </w:tcPr>
          <w:p w14:paraId="45F578A5"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0.3</w:t>
            </w:r>
          </w:p>
        </w:tc>
        <w:tc>
          <w:tcPr>
            <w:tcW w:w="759" w:type="dxa"/>
            <w:tcBorders>
              <w:top w:val="nil"/>
              <w:left w:val="nil"/>
              <w:bottom w:val="nil"/>
              <w:right w:val="nil"/>
            </w:tcBorders>
            <w:shd w:val="clear" w:color="auto" w:fill="auto"/>
            <w:vAlign w:val="center"/>
            <w:hideMark/>
          </w:tcPr>
          <w:p w14:paraId="752234C5" w14:textId="77777777" w:rsidR="00380BE7" w:rsidRPr="00256982" w:rsidRDefault="00380BE7" w:rsidP="009574E7">
            <w:pPr>
              <w:jc w:val="right"/>
              <w:rPr>
                <w:rFonts w:ascii="Arial" w:hAnsi="Arial" w:cs="Arial"/>
                <w:color w:val="000000"/>
                <w:sz w:val="16"/>
                <w:szCs w:val="16"/>
              </w:rPr>
            </w:pPr>
          </w:p>
        </w:tc>
        <w:tc>
          <w:tcPr>
            <w:tcW w:w="945" w:type="dxa"/>
            <w:tcBorders>
              <w:top w:val="nil"/>
              <w:left w:val="nil"/>
              <w:bottom w:val="nil"/>
              <w:right w:val="single" w:sz="8" w:space="0" w:color="365F91"/>
            </w:tcBorders>
            <w:shd w:val="clear" w:color="auto" w:fill="auto"/>
            <w:vAlign w:val="center"/>
            <w:hideMark/>
          </w:tcPr>
          <w:p w14:paraId="3C4F59CF"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0.0</w:t>
            </w:r>
          </w:p>
        </w:tc>
        <w:tc>
          <w:tcPr>
            <w:tcW w:w="1134" w:type="dxa"/>
            <w:tcBorders>
              <w:top w:val="nil"/>
              <w:left w:val="nil"/>
              <w:bottom w:val="nil"/>
              <w:right w:val="nil"/>
            </w:tcBorders>
            <w:shd w:val="clear" w:color="000000" w:fill="D8D8D8"/>
            <w:vAlign w:val="center"/>
            <w:hideMark/>
          </w:tcPr>
          <w:p w14:paraId="4B3537EF"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6,849.3</w:t>
            </w:r>
          </w:p>
        </w:tc>
        <w:tc>
          <w:tcPr>
            <w:tcW w:w="999" w:type="dxa"/>
            <w:tcBorders>
              <w:top w:val="nil"/>
              <w:left w:val="nil"/>
              <w:bottom w:val="nil"/>
              <w:right w:val="nil"/>
            </w:tcBorders>
            <w:shd w:val="clear" w:color="auto" w:fill="auto"/>
            <w:vAlign w:val="center"/>
            <w:hideMark/>
          </w:tcPr>
          <w:p w14:paraId="53AFAE94"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12.0</w:t>
            </w:r>
          </w:p>
        </w:tc>
        <w:tc>
          <w:tcPr>
            <w:tcW w:w="974" w:type="dxa"/>
            <w:tcBorders>
              <w:top w:val="nil"/>
              <w:left w:val="nil"/>
              <w:bottom w:val="nil"/>
              <w:right w:val="single" w:sz="8" w:space="0" w:color="365F91"/>
            </w:tcBorders>
            <w:shd w:val="clear" w:color="auto" w:fill="auto"/>
            <w:vAlign w:val="center"/>
            <w:hideMark/>
          </w:tcPr>
          <w:p w14:paraId="15C94D0B"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0.5</w:t>
            </w:r>
          </w:p>
        </w:tc>
        <w:tc>
          <w:tcPr>
            <w:tcW w:w="588" w:type="dxa"/>
            <w:tcBorders>
              <w:top w:val="nil"/>
              <w:left w:val="nil"/>
              <w:bottom w:val="nil"/>
              <w:right w:val="nil"/>
            </w:tcBorders>
            <w:shd w:val="clear" w:color="auto" w:fill="auto"/>
            <w:vAlign w:val="center"/>
            <w:hideMark/>
          </w:tcPr>
          <w:p w14:paraId="669D5A56"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0.0</w:t>
            </w:r>
          </w:p>
        </w:tc>
        <w:tc>
          <w:tcPr>
            <w:tcW w:w="981" w:type="dxa"/>
            <w:tcBorders>
              <w:top w:val="nil"/>
              <w:left w:val="nil"/>
              <w:bottom w:val="nil"/>
              <w:right w:val="single" w:sz="8" w:space="0" w:color="365F91"/>
            </w:tcBorders>
            <w:shd w:val="clear" w:color="auto" w:fill="auto"/>
            <w:vAlign w:val="center"/>
            <w:hideMark/>
          </w:tcPr>
          <w:p w14:paraId="3D9F900D"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0.0</w:t>
            </w:r>
          </w:p>
        </w:tc>
        <w:tc>
          <w:tcPr>
            <w:tcW w:w="1123" w:type="dxa"/>
            <w:tcBorders>
              <w:top w:val="nil"/>
              <w:left w:val="nil"/>
              <w:bottom w:val="nil"/>
              <w:right w:val="single" w:sz="8" w:space="0" w:color="365F91"/>
            </w:tcBorders>
            <w:shd w:val="clear" w:color="auto" w:fill="auto"/>
            <w:vAlign w:val="center"/>
            <w:hideMark/>
          </w:tcPr>
          <w:p w14:paraId="2D661166"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 </w:t>
            </w:r>
          </w:p>
        </w:tc>
        <w:tc>
          <w:tcPr>
            <w:tcW w:w="873" w:type="dxa"/>
            <w:tcBorders>
              <w:top w:val="nil"/>
              <w:left w:val="nil"/>
              <w:bottom w:val="nil"/>
              <w:right w:val="single" w:sz="8" w:space="0" w:color="365F91"/>
            </w:tcBorders>
            <w:shd w:val="clear" w:color="auto" w:fill="auto"/>
            <w:vAlign w:val="center"/>
            <w:hideMark/>
          </w:tcPr>
          <w:p w14:paraId="3FB64541"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 </w:t>
            </w:r>
          </w:p>
        </w:tc>
        <w:tc>
          <w:tcPr>
            <w:tcW w:w="873" w:type="dxa"/>
            <w:tcBorders>
              <w:top w:val="nil"/>
              <w:left w:val="nil"/>
              <w:bottom w:val="nil"/>
            </w:tcBorders>
            <w:shd w:val="clear" w:color="auto" w:fill="auto"/>
            <w:vAlign w:val="center"/>
            <w:hideMark/>
          </w:tcPr>
          <w:p w14:paraId="4E8BA83A"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6,864.4</w:t>
            </w:r>
          </w:p>
        </w:tc>
      </w:tr>
      <w:tr w:rsidR="00380BE7" w:rsidRPr="00256982" w14:paraId="01F1AFE6" w14:textId="77777777" w:rsidTr="00142A81">
        <w:trPr>
          <w:trHeight w:val="363"/>
        </w:trPr>
        <w:tc>
          <w:tcPr>
            <w:tcW w:w="1185" w:type="dxa"/>
            <w:vMerge/>
            <w:tcBorders>
              <w:top w:val="nil"/>
              <w:bottom w:val="single" w:sz="8" w:space="0" w:color="365F91"/>
              <w:right w:val="nil"/>
            </w:tcBorders>
            <w:vAlign w:val="center"/>
            <w:hideMark/>
          </w:tcPr>
          <w:p w14:paraId="44923648" w14:textId="77777777" w:rsidR="00380BE7" w:rsidRPr="00256982" w:rsidRDefault="00380BE7" w:rsidP="009574E7">
            <w:pPr>
              <w:pStyle w:val="TableText"/>
              <w:rPr>
                <w:b/>
                <w:lang w:eastAsia="en-NZ"/>
              </w:rPr>
            </w:pPr>
          </w:p>
        </w:tc>
        <w:tc>
          <w:tcPr>
            <w:tcW w:w="1015" w:type="dxa"/>
            <w:tcBorders>
              <w:top w:val="nil"/>
              <w:left w:val="nil"/>
              <w:bottom w:val="nil"/>
              <w:right w:val="single" w:sz="8" w:space="0" w:color="365F91"/>
            </w:tcBorders>
            <w:shd w:val="clear" w:color="auto" w:fill="auto"/>
            <w:vAlign w:val="center"/>
            <w:hideMark/>
          </w:tcPr>
          <w:p w14:paraId="38393542" w14:textId="77777777" w:rsidR="00380BE7" w:rsidRPr="00256982" w:rsidRDefault="00380BE7" w:rsidP="009574E7">
            <w:pPr>
              <w:pStyle w:val="TableText"/>
              <w:rPr>
                <w:lang w:eastAsia="en-NZ"/>
              </w:rPr>
            </w:pPr>
            <w:r w:rsidRPr="00256982">
              <w:rPr>
                <w:lang w:eastAsia="en-NZ"/>
              </w:rPr>
              <w:t>Low producing</w:t>
            </w:r>
          </w:p>
        </w:tc>
        <w:tc>
          <w:tcPr>
            <w:tcW w:w="851" w:type="dxa"/>
            <w:tcBorders>
              <w:top w:val="nil"/>
              <w:left w:val="nil"/>
              <w:bottom w:val="nil"/>
              <w:right w:val="nil"/>
            </w:tcBorders>
            <w:shd w:val="clear" w:color="auto" w:fill="auto"/>
            <w:vAlign w:val="center"/>
            <w:hideMark/>
          </w:tcPr>
          <w:p w14:paraId="05BCFB4C"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0.6</w:t>
            </w:r>
          </w:p>
        </w:tc>
        <w:tc>
          <w:tcPr>
            <w:tcW w:w="850" w:type="dxa"/>
            <w:tcBorders>
              <w:top w:val="nil"/>
              <w:left w:val="nil"/>
              <w:bottom w:val="nil"/>
              <w:right w:val="nil"/>
            </w:tcBorders>
            <w:shd w:val="clear" w:color="auto" w:fill="auto"/>
            <w:vAlign w:val="center"/>
            <w:hideMark/>
          </w:tcPr>
          <w:p w14:paraId="3E014FAD"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0.7</w:t>
            </w:r>
          </w:p>
        </w:tc>
        <w:tc>
          <w:tcPr>
            <w:tcW w:w="848" w:type="dxa"/>
            <w:tcBorders>
              <w:top w:val="nil"/>
              <w:left w:val="nil"/>
              <w:bottom w:val="nil"/>
              <w:right w:val="single" w:sz="8" w:space="0" w:color="365F91"/>
            </w:tcBorders>
            <w:shd w:val="clear" w:color="auto" w:fill="auto"/>
            <w:vAlign w:val="center"/>
            <w:hideMark/>
          </w:tcPr>
          <w:p w14:paraId="535A7B1C"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0.2</w:t>
            </w:r>
          </w:p>
        </w:tc>
        <w:tc>
          <w:tcPr>
            <w:tcW w:w="759" w:type="dxa"/>
            <w:tcBorders>
              <w:top w:val="nil"/>
              <w:left w:val="nil"/>
              <w:bottom w:val="nil"/>
              <w:right w:val="nil"/>
            </w:tcBorders>
            <w:shd w:val="clear" w:color="auto" w:fill="auto"/>
            <w:vAlign w:val="center"/>
            <w:hideMark/>
          </w:tcPr>
          <w:p w14:paraId="5131C427" w14:textId="77777777" w:rsidR="00380BE7" w:rsidRPr="00256982" w:rsidRDefault="00380BE7" w:rsidP="009574E7">
            <w:pPr>
              <w:jc w:val="right"/>
              <w:rPr>
                <w:rFonts w:ascii="Arial" w:hAnsi="Arial" w:cs="Arial"/>
                <w:color w:val="000000"/>
                <w:sz w:val="16"/>
                <w:szCs w:val="16"/>
              </w:rPr>
            </w:pPr>
          </w:p>
        </w:tc>
        <w:tc>
          <w:tcPr>
            <w:tcW w:w="945" w:type="dxa"/>
            <w:tcBorders>
              <w:top w:val="nil"/>
              <w:left w:val="nil"/>
              <w:bottom w:val="nil"/>
              <w:right w:val="single" w:sz="8" w:space="0" w:color="365F91"/>
            </w:tcBorders>
            <w:shd w:val="clear" w:color="auto" w:fill="auto"/>
            <w:vAlign w:val="center"/>
            <w:hideMark/>
          </w:tcPr>
          <w:p w14:paraId="7D3EE3FB"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 </w:t>
            </w:r>
          </w:p>
        </w:tc>
        <w:tc>
          <w:tcPr>
            <w:tcW w:w="1134" w:type="dxa"/>
            <w:tcBorders>
              <w:top w:val="nil"/>
              <w:left w:val="nil"/>
              <w:bottom w:val="nil"/>
              <w:right w:val="nil"/>
            </w:tcBorders>
            <w:shd w:val="clear" w:color="auto" w:fill="auto"/>
            <w:vAlign w:val="center"/>
            <w:hideMark/>
          </w:tcPr>
          <w:p w14:paraId="70BD0FE3"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0.3</w:t>
            </w:r>
          </w:p>
        </w:tc>
        <w:tc>
          <w:tcPr>
            <w:tcW w:w="999" w:type="dxa"/>
            <w:tcBorders>
              <w:top w:val="nil"/>
              <w:left w:val="nil"/>
              <w:bottom w:val="nil"/>
              <w:right w:val="nil"/>
            </w:tcBorders>
            <w:shd w:val="clear" w:color="000000" w:fill="D8D8D8"/>
            <w:vAlign w:val="center"/>
            <w:hideMark/>
          </w:tcPr>
          <w:p w14:paraId="20177379"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6,420.9</w:t>
            </w:r>
          </w:p>
        </w:tc>
        <w:tc>
          <w:tcPr>
            <w:tcW w:w="974" w:type="dxa"/>
            <w:tcBorders>
              <w:top w:val="nil"/>
              <w:left w:val="nil"/>
              <w:bottom w:val="nil"/>
              <w:right w:val="single" w:sz="8" w:space="0" w:color="365F91"/>
            </w:tcBorders>
            <w:shd w:val="clear" w:color="auto" w:fill="auto"/>
            <w:vAlign w:val="center"/>
            <w:hideMark/>
          </w:tcPr>
          <w:p w14:paraId="3EB5B41C"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1.2</w:t>
            </w:r>
          </w:p>
        </w:tc>
        <w:tc>
          <w:tcPr>
            <w:tcW w:w="588" w:type="dxa"/>
            <w:tcBorders>
              <w:top w:val="nil"/>
              <w:left w:val="nil"/>
              <w:bottom w:val="nil"/>
              <w:right w:val="nil"/>
            </w:tcBorders>
            <w:shd w:val="clear" w:color="auto" w:fill="auto"/>
            <w:vAlign w:val="center"/>
            <w:hideMark/>
          </w:tcPr>
          <w:p w14:paraId="5BCB7721"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0.0</w:t>
            </w:r>
          </w:p>
        </w:tc>
        <w:tc>
          <w:tcPr>
            <w:tcW w:w="981" w:type="dxa"/>
            <w:tcBorders>
              <w:top w:val="nil"/>
              <w:left w:val="nil"/>
              <w:bottom w:val="nil"/>
              <w:right w:val="single" w:sz="8" w:space="0" w:color="365F91"/>
            </w:tcBorders>
            <w:shd w:val="clear" w:color="auto" w:fill="auto"/>
            <w:vAlign w:val="center"/>
            <w:hideMark/>
          </w:tcPr>
          <w:p w14:paraId="27A6087A"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0.0</w:t>
            </w:r>
          </w:p>
        </w:tc>
        <w:tc>
          <w:tcPr>
            <w:tcW w:w="1123" w:type="dxa"/>
            <w:tcBorders>
              <w:top w:val="nil"/>
              <w:left w:val="nil"/>
              <w:bottom w:val="nil"/>
              <w:right w:val="single" w:sz="8" w:space="0" w:color="365F91"/>
            </w:tcBorders>
            <w:shd w:val="clear" w:color="auto" w:fill="auto"/>
            <w:vAlign w:val="center"/>
            <w:hideMark/>
          </w:tcPr>
          <w:p w14:paraId="27A001D8"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 </w:t>
            </w:r>
          </w:p>
        </w:tc>
        <w:tc>
          <w:tcPr>
            <w:tcW w:w="873" w:type="dxa"/>
            <w:tcBorders>
              <w:top w:val="nil"/>
              <w:left w:val="nil"/>
              <w:bottom w:val="nil"/>
              <w:right w:val="single" w:sz="8" w:space="0" w:color="365F91"/>
            </w:tcBorders>
            <w:shd w:val="clear" w:color="auto" w:fill="auto"/>
            <w:vAlign w:val="center"/>
            <w:hideMark/>
          </w:tcPr>
          <w:p w14:paraId="407386EC"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0.0</w:t>
            </w:r>
          </w:p>
        </w:tc>
        <w:tc>
          <w:tcPr>
            <w:tcW w:w="873" w:type="dxa"/>
            <w:tcBorders>
              <w:top w:val="nil"/>
              <w:left w:val="nil"/>
              <w:bottom w:val="nil"/>
            </w:tcBorders>
            <w:shd w:val="clear" w:color="auto" w:fill="auto"/>
            <w:vAlign w:val="center"/>
            <w:hideMark/>
          </w:tcPr>
          <w:p w14:paraId="2B0BE234"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6,423.9</w:t>
            </w:r>
          </w:p>
        </w:tc>
      </w:tr>
      <w:tr w:rsidR="00380BE7" w:rsidRPr="00256982" w14:paraId="67898155" w14:textId="77777777" w:rsidTr="00142A81">
        <w:trPr>
          <w:trHeight w:val="539"/>
        </w:trPr>
        <w:tc>
          <w:tcPr>
            <w:tcW w:w="1185" w:type="dxa"/>
            <w:vMerge/>
            <w:tcBorders>
              <w:top w:val="nil"/>
              <w:bottom w:val="single" w:sz="8" w:space="0" w:color="365F91"/>
              <w:right w:val="nil"/>
            </w:tcBorders>
            <w:vAlign w:val="center"/>
            <w:hideMark/>
          </w:tcPr>
          <w:p w14:paraId="2FF5B737" w14:textId="77777777" w:rsidR="00380BE7" w:rsidRPr="00256982" w:rsidRDefault="00380BE7" w:rsidP="009574E7">
            <w:pPr>
              <w:pStyle w:val="TableText"/>
              <w:rPr>
                <w:b/>
                <w:lang w:eastAsia="en-NZ"/>
              </w:rPr>
            </w:pPr>
          </w:p>
        </w:tc>
        <w:tc>
          <w:tcPr>
            <w:tcW w:w="1015" w:type="dxa"/>
            <w:tcBorders>
              <w:top w:val="nil"/>
              <w:left w:val="nil"/>
              <w:bottom w:val="single" w:sz="8" w:space="0" w:color="365F91"/>
              <w:right w:val="single" w:sz="8" w:space="0" w:color="365F91"/>
            </w:tcBorders>
            <w:shd w:val="clear" w:color="auto" w:fill="auto"/>
            <w:vAlign w:val="center"/>
            <w:hideMark/>
          </w:tcPr>
          <w:p w14:paraId="0082765A" w14:textId="77777777" w:rsidR="00380BE7" w:rsidRPr="00256982" w:rsidRDefault="00380BE7" w:rsidP="009574E7">
            <w:pPr>
              <w:pStyle w:val="TableText"/>
              <w:rPr>
                <w:lang w:eastAsia="en-NZ"/>
              </w:rPr>
            </w:pPr>
            <w:r w:rsidRPr="00256982">
              <w:rPr>
                <w:lang w:eastAsia="en-NZ"/>
              </w:rPr>
              <w:t>With woody biomass</w:t>
            </w:r>
          </w:p>
        </w:tc>
        <w:tc>
          <w:tcPr>
            <w:tcW w:w="851" w:type="dxa"/>
            <w:tcBorders>
              <w:top w:val="nil"/>
              <w:left w:val="nil"/>
              <w:bottom w:val="single" w:sz="8" w:space="0" w:color="365F91"/>
              <w:right w:val="nil"/>
            </w:tcBorders>
            <w:shd w:val="clear" w:color="auto" w:fill="auto"/>
            <w:vAlign w:val="center"/>
            <w:hideMark/>
          </w:tcPr>
          <w:p w14:paraId="28031C1C"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 </w:t>
            </w:r>
          </w:p>
        </w:tc>
        <w:tc>
          <w:tcPr>
            <w:tcW w:w="850" w:type="dxa"/>
            <w:tcBorders>
              <w:top w:val="nil"/>
              <w:left w:val="nil"/>
              <w:bottom w:val="single" w:sz="8" w:space="0" w:color="365F91"/>
              <w:right w:val="nil"/>
            </w:tcBorders>
            <w:shd w:val="clear" w:color="auto" w:fill="auto"/>
            <w:vAlign w:val="center"/>
            <w:hideMark/>
          </w:tcPr>
          <w:p w14:paraId="1A5A279B"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 </w:t>
            </w:r>
          </w:p>
        </w:tc>
        <w:tc>
          <w:tcPr>
            <w:tcW w:w="848" w:type="dxa"/>
            <w:tcBorders>
              <w:top w:val="nil"/>
              <w:left w:val="nil"/>
              <w:bottom w:val="single" w:sz="8" w:space="0" w:color="365F91"/>
              <w:right w:val="single" w:sz="8" w:space="0" w:color="365F91"/>
            </w:tcBorders>
            <w:shd w:val="clear" w:color="auto" w:fill="auto"/>
            <w:vAlign w:val="center"/>
            <w:hideMark/>
          </w:tcPr>
          <w:p w14:paraId="0FAE2497"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 </w:t>
            </w:r>
          </w:p>
        </w:tc>
        <w:tc>
          <w:tcPr>
            <w:tcW w:w="759" w:type="dxa"/>
            <w:tcBorders>
              <w:top w:val="nil"/>
              <w:left w:val="nil"/>
              <w:bottom w:val="single" w:sz="8" w:space="0" w:color="365F91"/>
              <w:right w:val="nil"/>
            </w:tcBorders>
            <w:shd w:val="clear" w:color="auto" w:fill="auto"/>
            <w:vAlign w:val="center"/>
            <w:hideMark/>
          </w:tcPr>
          <w:p w14:paraId="26BE6453"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 </w:t>
            </w:r>
          </w:p>
        </w:tc>
        <w:tc>
          <w:tcPr>
            <w:tcW w:w="945" w:type="dxa"/>
            <w:tcBorders>
              <w:top w:val="nil"/>
              <w:left w:val="nil"/>
              <w:bottom w:val="single" w:sz="8" w:space="0" w:color="365F91"/>
              <w:right w:val="single" w:sz="8" w:space="0" w:color="365F91"/>
            </w:tcBorders>
            <w:shd w:val="clear" w:color="auto" w:fill="auto"/>
            <w:vAlign w:val="center"/>
            <w:hideMark/>
          </w:tcPr>
          <w:p w14:paraId="711B8D78"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 </w:t>
            </w:r>
          </w:p>
        </w:tc>
        <w:tc>
          <w:tcPr>
            <w:tcW w:w="1134" w:type="dxa"/>
            <w:tcBorders>
              <w:top w:val="nil"/>
              <w:left w:val="nil"/>
              <w:bottom w:val="single" w:sz="8" w:space="0" w:color="365F91"/>
              <w:right w:val="nil"/>
            </w:tcBorders>
            <w:shd w:val="clear" w:color="auto" w:fill="auto"/>
            <w:vAlign w:val="center"/>
            <w:hideMark/>
          </w:tcPr>
          <w:p w14:paraId="490F1776"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0.0</w:t>
            </w:r>
          </w:p>
        </w:tc>
        <w:tc>
          <w:tcPr>
            <w:tcW w:w="999" w:type="dxa"/>
            <w:tcBorders>
              <w:top w:val="nil"/>
              <w:left w:val="nil"/>
              <w:bottom w:val="single" w:sz="8" w:space="0" w:color="365F91"/>
              <w:right w:val="nil"/>
            </w:tcBorders>
            <w:shd w:val="clear" w:color="auto" w:fill="auto"/>
            <w:vAlign w:val="center"/>
            <w:hideMark/>
          </w:tcPr>
          <w:p w14:paraId="6303EA73"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0.1</w:t>
            </w:r>
          </w:p>
        </w:tc>
        <w:tc>
          <w:tcPr>
            <w:tcW w:w="974" w:type="dxa"/>
            <w:tcBorders>
              <w:top w:val="nil"/>
              <w:left w:val="nil"/>
              <w:bottom w:val="single" w:sz="8" w:space="0" w:color="365F91"/>
              <w:right w:val="single" w:sz="8" w:space="0" w:color="365F91"/>
            </w:tcBorders>
            <w:shd w:val="clear" w:color="000000" w:fill="D8D8D8"/>
            <w:vAlign w:val="center"/>
            <w:hideMark/>
          </w:tcPr>
          <w:p w14:paraId="28461CCA"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1,395.7</w:t>
            </w:r>
          </w:p>
        </w:tc>
        <w:tc>
          <w:tcPr>
            <w:tcW w:w="588" w:type="dxa"/>
            <w:tcBorders>
              <w:top w:val="nil"/>
              <w:left w:val="nil"/>
              <w:bottom w:val="single" w:sz="8" w:space="0" w:color="365F91"/>
              <w:right w:val="nil"/>
            </w:tcBorders>
            <w:shd w:val="clear" w:color="auto" w:fill="auto"/>
            <w:vAlign w:val="center"/>
            <w:hideMark/>
          </w:tcPr>
          <w:p w14:paraId="24CB3126"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 </w:t>
            </w:r>
          </w:p>
        </w:tc>
        <w:tc>
          <w:tcPr>
            <w:tcW w:w="981" w:type="dxa"/>
            <w:tcBorders>
              <w:top w:val="nil"/>
              <w:left w:val="nil"/>
              <w:bottom w:val="single" w:sz="8" w:space="0" w:color="365F91"/>
              <w:right w:val="single" w:sz="8" w:space="0" w:color="365F91"/>
            </w:tcBorders>
            <w:shd w:val="clear" w:color="auto" w:fill="auto"/>
            <w:vAlign w:val="center"/>
            <w:hideMark/>
          </w:tcPr>
          <w:p w14:paraId="22294863"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 </w:t>
            </w:r>
          </w:p>
        </w:tc>
        <w:tc>
          <w:tcPr>
            <w:tcW w:w="1123" w:type="dxa"/>
            <w:tcBorders>
              <w:top w:val="nil"/>
              <w:left w:val="nil"/>
              <w:bottom w:val="single" w:sz="8" w:space="0" w:color="365F91"/>
              <w:right w:val="single" w:sz="8" w:space="0" w:color="365F91"/>
            </w:tcBorders>
            <w:shd w:val="clear" w:color="auto" w:fill="auto"/>
            <w:vAlign w:val="center"/>
            <w:hideMark/>
          </w:tcPr>
          <w:p w14:paraId="24CABFAE"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 </w:t>
            </w:r>
          </w:p>
        </w:tc>
        <w:tc>
          <w:tcPr>
            <w:tcW w:w="873" w:type="dxa"/>
            <w:tcBorders>
              <w:top w:val="nil"/>
              <w:left w:val="nil"/>
              <w:bottom w:val="single" w:sz="8" w:space="0" w:color="365F91"/>
              <w:right w:val="single" w:sz="8" w:space="0" w:color="365F91"/>
            </w:tcBorders>
            <w:shd w:val="clear" w:color="auto" w:fill="auto"/>
            <w:vAlign w:val="center"/>
            <w:hideMark/>
          </w:tcPr>
          <w:p w14:paraId="11283527"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0.0</w:t>
            </w:r>
          </w:p>
        </w:tc>
        <w:tc>
          <w:tcPr>
            <w:tcW w:w="873" w:type="dxa"/>
            <w:tcBorders>
              <w:top w:val="nil"/>
              <w:left w:val="nil"/>
              <w:bottom w:val="single" w:sz="8" w:space="0" w:color="365F91"/>
            </w:tcBorders>
            <w:shd w:val="clear" w:color="auto" w:fill="auto"/>
            <w:vAlign w:val="center"/>
            <w:hideMark/>
          </w:tcPr>
          <w:p w14:paraId="4E8BE2D2"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1,395.8</w:t>
            </w:r>
          </w:p>
        </w:tc>
      </w:tr>
      <w:tr w:rsidR="00380BE7" w:rsidRPr="00256982" w14:paraId="7A1462F7" w14:textId="77777777" w:rsidTr="00142A81">
        <w:trPr>
          <w:trHeight w:val="351"/>
        </w:trPr>
        <w:tc>
          <w:tcPr>
            <w:tcW w:w="1185" w:type="dxa"/>
            <w:tcBorders>
              <w:top w:val="nil"/>
              <w:bottom w:val="nil"/>
              <w:right w:val="nil"/>
            </w:tcBorders>
            <w:shd w:val="clear" w:color="auto" w:fill="auto"/>
            <w:vAlign w:val="center"/>
            <w:hideMark/>
          </w:tcPr>
          <w:p w14:paraId="21337B10" w14:textId="77777777" w:rsidR="00380BE7" w:rsidRPr="00256982" w:rsidRDefault="00380BE7" w:rsidP="009574E7">
            <w:pPr>
              <w:pStyle w:val="TableText"/>
              <w:rPr>
                <w:b/>
                <w:lang w:eastAsia="en-NZ"/>
              </w:rPr>
            </w:pPr>
            <w:r w:rsidRPr="00256982">
              <w:rPr>
                <w:b/>
                <w:lang w:eastAsia="en-NZ"/>
              </w:rPr>
              <w:t>Wetlands</w:t>
            </w:r>
          </w:p>
        </w:tc>
        <w:tc>
          <w:tcPr>
            <w:tcW w:w="1015" w:type="dxa"/>
            <w:tcBorders>
              <w:top w:val="nil"/>
              <w:left w:val="nil"/>
              <w:bottom w:val="nil"/>
              <w:right w:val="single" w:sz="8" w:space="0" w:color="365F91"/>
            </w:tcBorders>
            <w:shd w:val="clear" w:color="auto" w:fill="auto"/>
            <w:vAlign w:val="center"/>
            <w:hideMark/>
          </w:tcPr>
          <w:p w14:paraId="4F04DED7" w14:textId="77777777" w:rsidR="00380BE7" w:rsidRPr="00256982" w:rsidRDefault="00380BE7" w:rsidP="009574E7">
            <w:pPr>
              <w:pStyle w:val="TableText"/>
              <w:rPr>
                <w:lang w:eastAsia="en-NZ"/>
              </w:rPr>
            </w:pPr>
            <w:r w:rsidRPr="00256982">
              <w:rPr>
                <w:lang w:eastAsia="en-NZ"/>
              </w:rPr>
              <w:t>Open water</w:t>
            </w:r>
          </w:p>
        </w:tc>
        <w:tc>
          <w:tcPr>
            <w:tcW w:w="851" w:type="dxa"/>
            <w:tcBorders>
              <w:top w:val="nil"/>
              <w:left w:val="nil"/>
              <w:bottom w:val="nil"/>
              <w:right w:val="nil"/>
            </w:tcBorders>
            <w:shd w:val="clear" w:color="auto" w:fill="auto"/>
            <w:vAlign w:val="center"/>
            <w:hideMark/>
          </w:tcPr>
          <w:p w14:paraId="08E5C9A2" w14:textId="77777777" w:rsidR="00380BE7" w:rsidRPr="00256982" w:rsidRDefault="00380BE7" w:rsidP="009574E7">
            <w:pPr>
              <w:jc w:val="right"/>
              <w:rPr>
                <w:rFonts w:ascii="Arial" w:hAnsi="Arial" w:cs="Arial"/>
                <w:color w:val="000000"/>
                <w:sz w:val="16"/>
                <w:szCs w:val="16"/>
              </w:rPr>
            </w:pPr>
          </w:p>
        </w:tc>
        <w:tc>
          <w:tcPr>
            <w:tcW w:w="850" w:type="dxa"/>
            <w:tcBorders>
              <w:top w:val="nil"/>
              <w:left w:val="nil"/>
              <w:bottom w:val="nil"/>
              <w:right w:val="nil"/>
            </w:tcBorders>
            <w:shd w:val="clear" w:color="auto" w:fill="auto"/>
            <w:vAlign w:val="center"/>
            <w:hideMark/>
          </w:tcPr>
          <w:p w14:paraId="7274F210" w14:textId="77777777" w:rsidR="00380BE7" w:rsidRPr="00256982" w:rsidRDefault="00380BE7" w:rsidP="009574E7">
            <w:pPr>
              <w:jc w:val="right"/>
              <w:rPr>
                <w:sz w:val="20"/>
              </w:rPr>
            </w:pPr>
          </w:p>
        </w:tc>
        <w:tc>
          <w:tcPr>
            <w:tcW w:w="848" w:type="dxa"/>
            <w:tcBorders>
              <w:top w:val="nil"/>
              <w:left w:val="nil"/>
              <w:bottom w:val="nil"/>
              <w:right w:val="single" w:sz="8" w:space="0" w:color="365F91"/>
            </w:tcBorders>
            <w:shd w:val="clear" w:color="auto" w:fill="auto"/>
            <w:vAlign w:val="center"/>
            <w:hideMark/>
          </w:tcPr>
          <w:p w14:paraId="0B774215"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 </w:t>
            </w:r>
          </w:p>
        </w:tc>
        <w:tc>
          <w:tcPr>
            <w:tcW w:w="759" w:type="dxa"/>
            <w:tcBorders>
              <w:top w:val="nil"/>
              <w:left w:val="nil"/>
              <w:bottom w:val="nil"/>
              <w:right w:val="nil"/>
            </w:tcBorders>
            <w:shd w:val="clear" w:color="auto" w:fill="auto"/>
            <w:vAlign w:val="center"/>
            <w:hideMark/>
          </w:tcPr>
          <w:p w14:paraId="792ED340"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0.0</w:t>
            </w:r>
          </w:p>
        </w:tc>
        <w:tc>
          <w:tcPr>
            <w:tcW w:w="945" w:type="dxa"/>
            <w:tcBorders>
              <w:top w:val="nil"/>
              <w:left w:val="nil"/>
              <w:bottom w:val="nil"/>
              <w:right w:val="single" w:sz="8" w:space="0" w:color="365F91"/>
            </w:tcBorders>
            <w:shd w:val="clear" w:color="auto" w:fill="auto"/>
            <w:vAlign w:val="center"/>
            <w:hideMark/>
          </w:tcPr>
          <w:p w14:paraId="146B443A"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0.0</w:t>
            </w:r>
          </w:p>
        </w:tc>
        <w:tc>
          <w:tcPr>
            <w:tcW w:w="1134" w:type="dxa"/>
            <w:tcBorders>
              <w:top w:val="nil"/>
              <w:left w:val="nil"/>
              <w:bottom w:val="nil"/>
              <w:right w:val="nil"/>
            </w:tcBorders>
            <w:shd w:val="clear" w:color="auto" w:fill="auto"/>
            <w:vAlign w:val="center"/>
            <w:hideMark/>
          </w:tcPr>
          <w:p w14:paraId="72250FDA"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0.1</w:t>
            </w:r>
          </w:p>
        </w:tc>
        <w:tc>
          <w:tcPr>
            <w:tcW w:w="999" w:type="dxa"/>
            <w:tcBorders>
              <w:top w:val="nil"/>
              <w:left w:val="nil"/>
              <w:bottom w:val="nil"/>
              <w:right w:val="nil"/>
            </w:tcBorders>
            <w:shd w:val="clear" w:color="auto" w:fill="auto"/>
            <w:vAlign w:val="center"/>
            <w:hideMark/>
          </w:tcPr>
          <w:p w14:paraId="12DE1389"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0.0</w:t>
            </w:r>
          </w:p>
        </w:tc>
        <w:tc>
          <w:tcPr>
            <w:tcW w:w="974" w:type="dxa"/>
            <w:tcBorders>
              <w:top w:val="nil"/>
              <w:left w:val="nil"/>
              <w:bottom w:val="nil"/>
              <w:right w:val="single" w:sz="8" w:space="0" w:color="365F91"/>
            </w:tcBorders>
            <w:shd w:val="clear" w:color="auto" w:fill="auto"/>
            <w:vAlign w:val="center"/>
            <w:hideMark/>
          </w:tcPr>
          <w:p w14:paraId="6CA033A0"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0.0</w:t>
            </w:r>
          </w:p>
        </w:tc>
        <w:tc>
          <w:tcPr>
            <w:tcW w:w="588" w:type="dxa"/>
            <w:tcBorders>
              <w:top w:val="nil"/>
              <w:left w:val="nil"/>
              <w:bottom w:val="nil"/>
              <w:right w:val="nil"/>
            </w:tcBorders>
            <w:shd w:val="clear" w:color="000000" w:fill="D9D9D9"/>
            <w:vAlign w:val="center"/>
            <w:hideMark/>
          </w:tcPr>
          <w:p w14:paraId="58E97E8E"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534.4</w:t>
            </w:r>
          </w:p>
        </w:tc>
        <w:tc>
          <w:tcPr>
            <w:tcW w:w="981" w:type="dxa"/>
            <w:tcBorders>
              <w:top w:val="nil"/>
              <w:left w:val="nil"/>
              <w:bottom w:val="nil"/>
              <w:right w:val="single" w:sz="8" w:space="0" w:color="365F91"/>
            </w:tcBorders>
            <w:shd w:val="clear" w:color="auto" w:fill="auto"/>
            <w:vAlign w:val="center"/>
            <w:hideMark/>
          </w:tcPr>
          <w:p w14:paraId="10A8EA20"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0.0</w:t>
            </w:r>
          </w:p>
        </w:tc>
        <w:tc>
          <w:tcPr>
            <w:tcW w:w="1123" w:type="dxa"/>
            <w:tcBorders>
              <w:top w:val="nil"/>
              <w:left w:val="nil"/>
              <w:bottom w:val="nil"/>
              <w:right w:val="single" w:sz="8" w:space="0" w:color="365F91"/>
            </w:tcBorders>
            <w:shd w:val="clear" w:color="auto" w:fill="auto"/>
            <w:vAlign w:val="center"/>
            <w:hideMark/>
          </w:tcPr>
          <w:p w14:paraId="3B2A8D9D"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 </w:t>
            </w:r>
          </w:p>
        </w:tc>
        <w:tc>
          <w:tcPr>
            <w:tcW w:w="873" w:type="dxa"/>
            <w:tcBorders>
              <w:top w:val="nil"/>
              <w:left w:val="nil"/>
              <w:bottom w:val="nil"/>
              <w:right w:val="single" w:sz="8" w:space="0" w:color="365F91"/>
            </w:tcBorders>
            <w:shd w:val="clear" w:color="auto" w:fill="auto"/>
            <w:vAlign w:val="center"/>
            <w:hideMark/>
          </w:tcPr>
          <w:p w14:paraId="6A879E84"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0.0</w:t>
            </w:r>
          </w:p>
        </w:tc>
        <w:tc>
          <w:tcPr>
            <w:tcW w:w="873" w:type="dxa"/>
            <w:tcBorders>
              <w:top w:val="nil"/>
              <w:left w:val="nil"/>
              <w:bottom w:val="nil"/>
            </w:tcBorders>
            <w:shd w:val="clear" w:color="auto" w:fill="auto"/>
            <w:vAlign w:val="center"/>
            <w:hideMark/>
          </w:tcPr>
          <w:p w14:paraId="6FD93007"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534.6</w:t>
            </w:r>
          </w:p>
        </w:tc>
      </w:tr>
      <w:tr w:rsidR="00380BE7" w:rsidRPr="00256982" w14:paraId="69B43702" w14:textId="77777777" w:rsidTr="00142A81">
        <w:trPr>
          <w:trHeight w:val="246"/>
        </w:trPr>
        <w:tc>
          <w:tcPr>
            <w:tcW w:w="1185" w:type="dxa"/>
            <w:tcBorders>
              <w:top w:val="nil"/>
              <w:bottom w:val="single" w:sz="8" w:space="0" w:color="365F91"/>
              <w:right w:val="nil"/>
            </w:tcBorders>
            <w:shd w:val="clear" w:color="auto" w:fill="auto"/>
            <w:vAlign w:val="center"/>
            <w:hideMark/>
          </w:tcPr>
          <w:p w14:paraId="7B25A99E" w14:textId="77777777" w:rsidR="00380BE7" w:rsidRPr="00256982" w:rsidRDefault="00380BE7" w:rsidP="009574E7">
            <w:pPr>
              <w:pStyle w:val="TableText"/>
              <w:rPr>
                <w:b/>
                <w:lang w:eastAsia="en-NZ"/>
              </w:rPr>
            </w:pPr>
            <w:r w:rsidRPr="00256982">
              <w:rPr>
                <w:b/>
                <w:lang w:eastAsia="en-NZ"/>
              </w:rPr>
              <w:t> </w:t>
            </w:r>
          </w:p>
        </w:tc>
        <w:tc>
          <w:tcPr>
            <w:tcW w:w="1015" w:type="dxa"/>
            <w:tcBorders>
              <w:top w:val="nil"/>
              <w:left w:val="nil"/>
              <w:bottom w:val="single" w:sz="8" w:space="0" w:color="365F91"/>
              <w:right w:val="single" w:sz="8" w:space="0" w:color="365F91"/>
            </w:tcBorders>
            <w:shd w:val="clear" w:color="auto" w:fill="auto"/>
            <w:vAlign w:val="center"/>
            <w:hideMark/>
          </w:tcPr>
          <w:p w14:paraId="6EE91765" w14:textId="77777777" w:rsidR="00380BE7" w:rsidRPr="00256982" w:rsidRDefault="00380BE7" w:rsidP="009574E7">
            <w:pPr>
              <w:pStyle w:val="TableText"/>
              <w:rPr>
                <w:lang w:eastAsia="en-NZ"/>
              </w:rPr>
            </w:pPr>
            <w:r w:rsidRPr="00256982">
              <w:rPr>
                <w:lang w:eastAsia="en-NZ"/>
              </w:rPr>
              <w:t>Vegetated</w:t>
            </w:r>
          </w:p>
        </w:tc>
        <w:tc>
          <w:tcPr>
            <w:tcW w:w="851" w:type="dxa"/>
            <w:tcBorders>
              <w:top w:val="nil"/>
              <w:left w:val="nil"/>
              <w:bottom w:val="single" w:sz="8" w:space="0" w:color="365F91"/>
              <w:right w:val="nil"/>
            </w:tcBorders>
            <w:shd w:val="clear" w:color="auto" w:fill="auto"/>
            <w:vAlign w:val="center"/>
            <w:hideMark/>
          </w:tcPr>
          <w:p w14:paraId="7F336769"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 </w:t>
            </w:r>
          </w:p>
        </w:tc>
        <w:tc>
          <w:tcPr>
            <w:tcW w:w="850" w:type="dxa"/>
            <w:tcBorders>
              <w:top w:val="nil"/>
              <w:left w:val="nil"/>
              <w:bottom w:val="single" w:sz="8" w:space="0" w:color="365F91"/>
              <w:right w:val="nil"/>
            </w:tcBorders>
            <w:shd w:val="clear" w:color="auto" w:fill="auto"/>
            <w:vAlign w:val="center"/>
            <w:hideMark/>
          </w:tcPr>
          <w:p w14:paraId="721332BC"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 </w:t>
            </w:r>
          </w:p>
        </w:tc>
        <w:tc>
          <w:tcPr>
            <w:tcW w:w="848" w:type="dxa"/>
            <w:tcBorders>
              <w:top w:val="nil"/>
              <w:left w:val="nil"/>
              <w:bottom w:val="single" w:sz="8" w:space="0" w:color="365F91"/>
              <w:right w:val="single" w:sz="8" w:space="0" w:color="365F91"/>
            </w:tcBorders>
            <w:shd w:val="clear" w:color="auto" w:fill="auto"/>
            <w:vAlign w:val="center"/>
            <w:hideMark/>
          </w:tcPr>
          <w:p w14:paraId="658E3F6B"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 </w:t>
            </w:r>
          </w:p>
        </w:tc>
        <w:tc>
          <w:tcPr>
            <w:tcW w:w="759" w:type="dxa"/>
            <w:tcBorders>
              <w:top w:val="nil"/>
              <w:left w:val="nil"/>
              <w:bottom w:val="single" w:sz="8" w:space="0" w:color="365F91"/>
              <w:right w:val="nil"/>
            </w:tcBorders>
            <w:shd w:val="clear" w:color="auto" w:fill="auto"/>
            <w:vAlign w:val="center"/>
            <w:hideMark/>
          </w:tcPr>
          <w:p w14:paraId="1D23E615"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 </w:t>
            </w:r>
          </w:p>
        </w:tc>
        <w:tc>
          <w:tcPr>
            <w:tcW w:w="945" w:type="dxa"/>
            <w:tcBorders>
              <w:top w:val="nil"/>
              <w:left w:val="nil"/>
              <w:bottom w:val="single" w:sz="8" w:space="0" w:color="365F91"/>
              <w:right w:val="single" w:sz="8" w:space="0" w:color="365F91"/>
            </w:tcBorders>
            <w:shd w:val="clear" w:color="auto" w:fill="auto"/>
            <w:vAlign w:val="center"/>
            <w:hideMark/>
          </w:tcPr>
          <w:p w14:paraId="053E70ED"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 </w:t>
            </w:r>
          </w:p>
        </w:tc>
        <w:tc>
          <w:tcPr>
            <w:tcW w:w="1134" w:type="dxa"/>
            <w:tcBorders>
              <w:top w:val="nil"/>
              <w:left w:val="nil"/>
              <w:bottom w:val="single" w:sz="8" w:space="0" w:color="365F91"/>
              <w:right w:val="nil"/>
            </w:tcBorders>
            <w:shd w:val="clear" w:color="auto" w:fill="auto"/>
            <w:vAlign w:val="center"/>
            <w:hideMark/>
          </w:tcPr>
          <w:p w14:paraId="477ED78A"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0.0</w:t>
            </w:r>
          </w:p>
        </w:tc>
        <w:tc>
          <w:tcPr>
            <w:tcW w:w="999" w:type="dxa"/>
            <w:tcBorders>
              <w:top w:val="nil"/>
              <w:left w:val="nil"/>
              <w:bottom w:val="single" w:sz="8" w:space="0" w:color="365F91"/>
              <w:right w:val="nil"/>
            </w:tcBorders>
            <w:shd w:val="clear" w:color="auto" w:fill="auto"/>
            <w:vAlign w:val="center"/>
            <w:hideMark/>
          </w:tcPr>
          <w:p w14:paraId="681F9FBF"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 </w:t>
            </w:r>
          </w:p>
        </w:tc>
        <w:tc>
          <w:tcPr>
            <w:tcW w:w="974" w:type="dxa"/>
            <w:tcBorders>
              <w:top w:val="nil"/>
              <w:left w:val="nil"/>
              <w:bottom w:val="single" w:sz="8" w:space="0" w:color="365F91"/>
              <w:right w:val="single" w:sz="8" w:space="0" w:color="365F91"/>
            </w:tcBorders>
            <w:shd w:val="clear" w:color="auto" w:fill="auto"/>
            <w:vAlign w:val="center"/>
            <w:hideMark/>
          </w:tcPr>
          <w:p w14:paraId="204061B1"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 </w:t>
            </w:r>
          </w:p>
        </w:tc>
        <w:tc>
          <w:tcPr>
            <w:tcW w:w="588" w:type="dxa"/>
            <w:tcBorders>
              <w:top w:val="nil"/>
              <w:left w:val="nil"/>
              <w:bottom w:val="single" w:sz="8" w:space="0" w:color="365F91"/>
              <w:right w:val="nil"/>
            </w:tcBorders>
            <w:shd w:val="clear" w:color="auto" w:fill="auto"/>
            <w:vAlign w:val="center"/>
            <w:hideMark/>
          </w:tcPr>
          <w:p w14:paraId="60F08E14"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 </w:t>
            </w:r>
          </w:p>
        </w:tc>
        <w:tc>
          <w:tcPr>
            <w:tcW w:w="981" w:type="dxa"/>
            <w:tcBorders>
              <w:top w:val="nil"/>
              <w:left w:val="nil"/>
              <w:bottom w:val="single" w:sz="8" w:space="0" w:color="365F91"/>
              <w:right w:val="single" w:sz="8" w:space="0" w:color="365F91"/>
            </w:tcBorders>
            <w:shd w:val="clear" w:color="000000" w:fill="D8D8D8"/>
            <w:vAlign w:val="center"/>
            <w:hideMark/>
          </w:tcPr>
          <w:p w14:paraId="078779C0"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174.7</w:t>
            </w:r>
          </w:p>
        </w:tc>
        <w:tc>
          <w:tcPr>
            <w:tcW w:w="1123" w:type="dxa"/>
            <w:tcBorders>
              <w:top w:val="nil"/>
              <w:left w:val="nil"/>
              <w:bottom w:val="single" w:sz="8" w:space="0" w:color="365F91"/>
              <w:right w:val="single" w:sz="8" w:space="0" w:color="365F91"/>
            </w:tcBorders>
            <w:shd w:val="clear" w:color="auto" w:fill="auto"/>
            <w:vAlign w:val="center"/>
            <w:hideMark/>
          </w:tcPr>
          <w:p w14:paraId="73565E1D"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 </w:t>
            </w:r>
          </w:p>
        </w:tc>
        <w:tc>
          <w:tcPr>
            <w:tcW w:w="873" w:type="dxa"/>
            <w:tcBorders>
              <w:top w:val="nil"/>
              <w:left w:val="nil"/>
              <w:bottom w:val="single" w:sz="8" w:space="0" w:color="365F91"/>
              <w:right w:val="single" w:sz="8" w:space="0" w:color="365F91"/>
            </w:tcBorders>
            <w:shd w:val="clear" w:color="auto" w:fill="auto"/>
            <w:vAlign w:val="center"/>
            <w:hideMark/>
          </w:tcPr>
          <w:p w14:paraId="5365748C"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 </w:t>
            </w:r>
          </w:p>
        </w:tc>
        <w:tc>
          <w:tcPr>
            <w:tcW w:w="873" w:type="dxa"/>
            <w:tcBorders>
              <w:top w:val="nil"/>
              <w:left w:val="nil"/>
              <w:bottom w:val="single" w:sz="8" w:space="0" w:color="365F91"/>
            </w:tcBorders>
            <w:shd w:val="clear" w:color="auto" w:fill="auto"/>
            <w:vAlign w:val="center"/>
            <w:hideMark/>
          </w:tcPr>
          <w:p w14:paraId="7634FBFE"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174.7</w:t>
            </w:r>
          </w:p>
        </w:tc>
      </w:tr>
      <w:tr w:rsidR="00380BE7" w:rsidRPr="00256982" w14:paraId="44993038" w14:textId="77777777" w:rsidTr="00142A81">
        <w:trPr>
          <w:trHeight w:val="363"/>
        </w:trPr>
        <w:tc>
          <w:tcPr>
            <w:tcW w:w="1185" w:type="dxa"/>
            <w:tcBorders>
              <w:top w:val="nil"/>
              <w:bottom w:val="single" w:sz="8" w:space="0" w:color="365F91"/>
              <w:right w:val="nil"/>
            </w:tcBorders>
            <w:shd w:val="clear" w:color="auto" w:fill="auto"/>
            <w:vAlign w:val="center"/>
            <w:hideMark/>
          </w:tcPr>
          <w:p w14:paraId="41AF2BC2" w14:textId="77777777" w:rsidR="00380BE7" w:rsidRPr="00256982" w:rsidRDefault="00380BE7" w:rsidP="009574E7">
            <w:pPr>
              <w:pStyle w:val="TableText"/>
              <w:rPr>
                <w:b/>
                <w:lang w:eastAsia="en-NZ"/>
              </w:rPr>
            </w:pPr>
            <w:r w:rsidRPr="00256982">
              <w:rPr>
                <w:b/>
                <w:lang w:eastAsia="en-NZ"/>
              </w:rPr>
              <w:t>Settlements</w:t>
            </w:r>
          </w:p>
        </w:tc>
        <w:tc>
          <w:tcPr>
            <w:tcW w:w="1015" w:type="dxa"/>
            <w:tcBorders>
              <w:top w:val="nil"/>
              <w:left w:val="nil"/>
              <w:bottom w:val="single" w:sz="8" w:space="0" w:color="365F91"/>
              <w:right w:val="single" w:sz="8" w:space="0" w:color="365F91"/>
            </w:tcBorders>
            <w:shd w:val="clear" w:color="auto" w:fill="auto"/>
            <w:vAlign w:val="center"/>
            <w:hideMark/>
          </w:tcPr>
          <w:p w14:paraId="782E77C2" w14:textId="77777777" w:rsidR="00380BE7" w:rsidRPr="00256982" w:rsidRDefault="00380BE7" w:rsidP="009574E7">
            <w:pPr>
              <w:pStyle w:val="TableText"/>
              <w:rPr>
                <w:lang w:eastAsia="en-NZ"/>
              </w:rPr>
            </w:pPr>
            <w:r w:rsidRPr="00256982">
              <w:rPr>
                <w:lang w:eastAsia="en-NZ"/>
              </w:rPr>
              <w:t>Settlements</w:t>
            </w:r>
          </w:p>
        </w:tc>
        <w:tc>
          <w:tcPr>
            <w:tcW w:w="851" w:type="dxa"/>
            <w:tcBorders>
              <w:top w:val="nil"/>
              <w:left w:val="nil"/>
              <w:bottom w:val="single" w:sz="8" w:space="0" w:color="365F91"/>
              <w:right w:val="nil"/>
            </w:tcBorders>
            <w:shd w:val="clear" w:color="auto" w:fill="auto"/>
            <w:vAlign w:val="center"/>
            <w:hideMark/>
          </w:tcPr>
          <w:p w14:paraId="29B535DA"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 </w:t>
            </w:r>
          </w:p>
        </w:tc>
        <w:tc>
          <w:tcPr>
            <w:tcW w:w="850" w:type="dxa"/>
            <w:tcBorders>
              <w:top w:val="nil"/>
              <w:left w:val="nil"/>
              <w:bottom w:val="single" w:sz="8" w:space="0" w:color="365F91"/>
              <w:right w:val="nil"/>
            </w:tcBorders>
            <w:shd w:val="clear" w:color="auto" w:fill="auto"/>
            <w:vAlign w:val="center"/>
            <w:hideMark/>
          </w:tcPr>
          <w:p w14:paraId="27DFC716"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 </w:t>
            </w:r>
          </w:p>
        </w:tc>
        <w:tc>
          <w:tcPr>
            <w:tcW w:w="848" w:type="dxa"/>
            <w:tcBorders>
              <w:top w:val="nil"/>
              <w:left w:val="nil"/>
              <w:bottom w:val="single" w:sz="8" w:space="0" w:color="365F91"/>
              <w:right w:val="single" w:sz="8" w:space="0" w:color="365F91"/>
            </w:tcBorders>
            <w:shd w:val="clear" w:color="auto" w:fill="auto"/>
            <w:vAlign w:val="center"/>
            <w:hideMark/>
          </w:tcPr>
          <w:p w14:paraId="4EE55721"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 </w:t>
            </w:r>
          </w:p>
        </w:tc>
        <w:tc>
          <w:tcPr>
            <w:tcW w:w="759" w:type="dxa"/>
            <w:tcBorders>
              <w:top w:val="nil"/>
              <w:left w:val="nil"/>
              <w:bottom w:val="single" w:sz="8" w:space="0" w:color="365F91"/>
              <w:right w:val="nil"/>
            </w:tcBorders>
            <w:shd w:val="clear" w:color="auto" w:fill="auto"/>
            <w:vAlign w:val="center"/>
            <w:hideMark/>
          </w:tcPr>
          <w:p w14:paraId="4F4C7969"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0.0</w:t>
            </w:r>
          </w:p>
        </w:tc>
        <w:tc>
          <w:tcPr>
            <w:tcW w:w="945" w:type="dxa"/>
            <w:tcBorders>
              <w:top w:val="nil"/>
              <w:left w:val="nil"/>
              <w:bottom w:val="single" w:sz="8" w:space="0" w:color="365F91"/>
              <w:right w:val="single" w:sz="8" w:space="0" w:color="365F91"/>
            </w:tcBorders>
            <w:shd w:val="clear" w:color="auto" w:fill="auto"/>
            <w:vAlign w:val="center"/>
            <w:hideMark/>
          </w:tcPr>
          <w:p w14:paraId="43DA849D"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0.0</w:t>
            </w:r>
          </w:p>
        </w:tc>
        <w:tc>
          <w:tcPr>
            <w:tcW w:w="1134" w:type="dxa"/>
            <w:tcBorders>
              <w:top w:val="nil"/>
              <w:left w:val="nil"/>
              <w:bottom w:val="single" w:sz="8" w:space="0" w:color="365F91"/>
              <w:right w:val="nil"/>
            </w:tcBorders>
            <w:shd w:val="clear" w:color="auto" w:fill="auto"/>
            <w:vAlign w:val="center"/>
            <w:hideMark/>
          </w:tcPr>
          <w:p w14:paraId="311E6236"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0.7</w:t>
            </w:r>
          </w:p>
        </w:tc>
        <w:tc>
          <w:tcPr>
            <w:tcW w:w="999" w:type="dxa"/>
            <w:tcBorders>
              <w:top w:val="nil"/>
              <w:left w:val="nil"/>
              <w:bottom w:val="single" w:sz="8" w:space="0" w:color="365F91"/>
              <w:right w:val="nil"/>
            </w:tcBorders>
            <w:shd w:val="clear" w:color="auto" w:fill="auto"/>
            <w:vAlign w:val="center"/>
            <w:hideMark/>
          </w:tcPr>
          <w:p w14:paraId="75AA9006"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0.0</w:t>
            </w:r>
          </w:p>
        </w:tc>
        <w:tc>
          <w:tcPr>
            <w:tcW w:w="974" w:type="dxa"/>
            <w:tcBorders>
              <w:top w:val="nil"/>
              <w:left w:val="nil"/>
              <w:bottom w:val="single" w:sz="8" w:space="0" w:color="365F91"/>
              <w:right w:val="single" w:sz="8" w:space="0" w:color="365F91"/>
            </w:tcBorders>
            <w:shd w:val="clear" w:color="auto" w:fill="auto"/>
            <w:vAlign w:val="center"/>
            <w:hideMark/>
          </w:tcPr>
          <w:p w14:paraId="2B64314A"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0.0</w:t>
            </w:r>
          </w:p>
        </w:tc>
        <w:tc>
          <w:tcPr>
            <w:tcW w:w="588" w:type="dxa"/>
            <w:tcBorders>
              <w:top w:val="nil"/>
              <w:left w:val="nil"/>
              <w:bottom w:val="single" w:sz="8" w:space="0" w:color="365F91"/>
              <w:right w:val="nil"/>
            </w:tcBorders>
            <w:shd w:val="clear" w:color="auto" w:fill="auto"/>
            <w:vAlign w:val="center"/>
            <w:hideMark/>
          </w:tcPr>
          <w:p w14:paraId="3DC3A825"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 </w:t>
            </w:r>
          </w:p>
        </w:tc>
        <w:tc>
          <w:tcPr>
            <w:tcW w:w="981" w:type="dxa"/>
            <w:tcBorders>
              <w:top w:val="nil"/>
              <w:left w:val="nil"/>
              <w:bottom w:val="single" w:sz="8" w:space="0" w:color="365F91"/>
              <w:right w:val="single" w:sz="8" w:space="0" w:color="365F91"/>
            </w:tcBorders>
            <w:shd w:val="clear" w:color="auto" w:fill="auto"/>
            <w:vAlign w:val="center"/>
            <w:hideMark/>
          </w:tcPr>
          <w:p w14:paraId="16165921"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 </w:t>
            </w:r>
          </w:p>
        </w:tc>
        <w:tc>
          <w:tcPr>
            <w:tcW w:w="1123" w:type="dxa"/>
            <w:tcBorders>
              <w:top w:val="nil"/>
              <w:left w:val="nil"/>
              <w:bottom w:val="single" w:sz="8" w:space="0" w:color="365F91"/>
              <w:right w:val="single" w:sz="8" w:space="0" w:color="365F91"/>
            </w:tcBorders>
            <w:shd w:val="clear" w:color="000000" w:fill="D8D8D8"/>
            <w:vAlign w:val="center"/>
            <w:hideMark/>
          </w:tcPr>
          <w:p w14:paraId="7265F79D"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234.5</w:t>
            </w:r>
          </w:p>
        </w:tc>
        <w:tc>
          <w:tcPr>
            <w:tcW w:w="873" w:type="dxa"/>
            <w:tcBorders>
              <w:top w:val="nil"/>
              <w:left w:val="nil"/>
              <w:bottom w:val="single" w:sz="8" w:space="0" w:color="365F91"/>
              <w:right w:val="single" w:sz="8" w:space="0" w:color="365F91"/>
            </w:tcBorders>
            <w:shd w:val="clear" w:color="auto" w:fill="auto"/>
            <w:vAlign w:val="center"/>
            <w:hideMark/>
          </w:tcPr>
          <w:p w14:paraId="4CD93DD1"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0.0</w:t>
            </w:r>
          </w:p>
        </w:tc>
        <w:tc>
          <w:tcPr>
            <w:tcW w:w="873" w:type="dxa"/>
            <w:tcBorders>
              <w:top w:val="nil"/>
              <w:left w:val="nil"/>
              <w:bottom w:val="nil"/>
            </w:tcBorders>
            <w:shd w:val="clear" w:color="auto" w:fill="auto"/>
            <w:vAlign w:val="center"/>
            <w:hideMark/>
          </w:tcPr>
          <w:p w14:paraId="45255776"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235.4</w:t>
            </w:r>
          </w:p>
        </w:tc>
      </w:tr>
      <w:tr w:rsidR="00380BE7" w:rsidRPr="00256982" w14:paraId="75F37855" w14:textId="77777777" w:rsidTr="00142A81">
        <w:trPr>
          <w:trHeight w:val="246"/>
        </w:trPr>
        <w:tc>
          <w:tcPr>
            <w:tcW w:w="1185" w:type="dxa"/>
            <w:tcBorders>
              <w:top w:val="nil"/>
              <w:bottom w:val="double" w:sz="6" w:space="0" w:color="365F91"/>
              <w:right w:val="nil"/>
            </w:tcBorders>
            <w:shd w:val="clear" w:color="auto" w:fill="auto"/>
            <w:vAlign w:val="center"/>
            <w:hideMark/>
          </w:tcPr>
          <w:p w14:paraId="43DBB2D4" w14:textId="77777777" w:rsidR="00380BE7" w:rsidRPr="00256982" w:rsidRDefault="00380BE7" w:rsidP="009574E7">
            <w:pPr>
              <w:pStyle w:val="TableText"/>
              <w:rPr>
                <w:b/>
                <w:lang w:eastAsia="en-NZ"/>
              </w:rPr>
            </w:pPr>
            <w:r w:rsidRPr="00256982">
              <w:rPr>
                <w:b/>
                <w:lang w:eastAsia="en-NZ"/>
              </w:rPr>
              <w:t>Other land</w:t>
            </w:r>
          </w:p>
        </w:tc>
        <w:tc>
          <w:tcPr>
            <w:tcW w:w="1015" w:type="dxa"/>
            <w:tcBorders>
              <w:top w:val="nil"/>
              <w:left w:val="nil"/>
              <w:bottom w:val="double" w:sz="6" w:space="0" w:color="365F91"/>
              <w:right w:val="single" w:sz="8" w:space="0" w:color="365F91"/>
            </w:tcBorders>
            <w:shd w:val="clear" w:color="auto" w:fill="auto"/>
            <w:vAlign w:val="center"/>
            <w:hideMark/>
          </w:tcPr>
          <w:p w14:paraId="5E684ABA" w14:textId="77777777" w:rsidR="00380BE7" w:rsidRPr="00256982" w:rsidRDefault="00380BE7" w:rsidP="009574E7">
            <w:pPr>
              <w:pStyle w:val="TableText"/>
              <w:rPr>
                <w:lang w:eastAsia="en-NZ"/>
              </w:rPr>
            </w:pPr>
            <w:r w:rsidRPr="00256982">
              <w:rPr>
                <w:lang w:eastAsia="en-NZ"/>
              </w:rPr>
              <w:t>Other land</w:t>
            </w:r>
          </w:p>
        </w:tc>
        <w:tc>
          <w:tcPr>
            <w:tcW w:w="851" w:type="dxa"/>
            <w:tcBorders>
              <w:top w:val="nil"/>
              <w:left w:val="nil"/>
              <w:bottom w:val="double" w:sz="6" w:space="0" w:color="365F91"/>
              <w:right w:val="nil"/>
            </w:tcBorders>
            <w:shd w:val="clear" w:color="auto" w:fill="auto"/>
            <w:vAlign w:val="center"/>
            <w:hideMark/>
          </w:tcPr>
          <w:p w14:paraId="6207A7FF"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 </w:t>
            </w:r>
          </w:p>
        </w:tc>
        <w:tc>
          <w:tcPr>
            <w:tcW w:w="850" w:type="dxa"/>
            <w:tcBorders>
              <w:top w:val="nil"/>
              <w:left w:val="nil"/>
              <w:bottom w:val="double" w:sz="6" w:space="0" w:color="365F91"/>
              <w:right w:val="nil"/>
            </w:tcBorders>
            <w:shd w:val="clear" w:color="auto" w:fill="auto"/>
            <w:vAlign w:val="center"/>
            <w:hideMark/>
          </w:tcPr>
          <w:p w14:paraId="5AC4C717"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 </w:t>
            </w:r>
          </w:p>
        </w:tc>
        <w:tc>
          <w:tcPr>
            <w:tcW w:w="848" w:type="dxa"/>
            <w:tcBorders>
              <w:top w:val="nil"/>
              <w:left w:val="nil"/>
              <w:bottom w:val="double" w:sz="6" w:space="0" w:color="365F91"/>
              <w:right w:val="single" w:sz="8" w:space="0" w:color="365F91"/>
            </w:tcBorders>
            <w:shd w:val="clear" w:color="auto" w:fill="auto"/>
            <w:vAlign w:val="center"/>
            <w:hideMark/>
          </w:tcPr>
          <w:p w14:paraId="4A1694F2"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 </w:t>
            </w:r>
          </w:p>
        </w:tc>
        <w:tc>
          <w:tcPr>
            <w:tcW w:w="759" w:type="dxa"/>
            <w:tcBorders>
              <w:top w:val="nil"/>
              <w:left w:val="nil"/>
              <w:bottom w:val="double" w:sz="6" w:space="0" w:color="365F91"/>
              <w:right w:val="nil"/>
            </w:tcBorders>
            <w:shd w:val="clear" w:color="auto" w:fill="auto"/>
            <w:vAlign w:val="center"/>
            <w:hideMark/>
          </w:tcPr>
          <w:p w14:paraId="5F5CEEB7"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0.0</w:t>
            </w:r>
          </w:p>
        </w:tc>
        <w:tc>
          <w:tcPr>
            <w:tcW w:w="945" w:type="dxa"/>
            <w:tcBorders>
              <w:top w:val="nil"/>
              <w:left w:val="nil"/>
              <w:bottom w:val="double" w:sz="6" w:space="0" w:color="365F91"/>
              <w:right w:val="single" w:sz="8" w:space="0" w:color="365F91"/>
            </w:tcBorders>
            <w:shd w:val="clear" w:color="auto" w:fill="auto"/>
            <w:vAlign w:val="center"/>
            <w:hideMark/>
          </w:tcPr>
          <w:p w14:paraId="0B3EC46A"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0.0</w:t>
            </w:r>
          </w:p>
        </w:tc>
        <w:tc>
          <w:tcPr>
            <w:tcW w:w="1134" w:type="dxa"/>
            <w:tcBorders>
              <w:top w:val="nil"/>
              <w:left w:val="nil"/>
              <w:bottom w:val="double" w:sz="6" w:space="0" w:color="365F91"/>
              <w:right w:val="nil"/>
            </w:tcBorders>
            <w:shd w:val="clear" w:color="auto" w:fill="auto"/>
            <w:vAlign w:val="center"/>
            <w:hideMark/>
          </w:tcPr>
          <w:p w14:paraId="0201D97F"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0.0</w:t>
            </w:r>
          </w:p>
        </w:tc>
        <w:tc>
          <w:tcPr>
            <w:tcW w:w="999" w:type="dxa"/>
            <w:tcBorders>
              <w:top w:val="nil"/>
              <w:left w:val="nil"/>
              <w:bottom w:val="double" w:sz="6" w:space="0" w:color="365F91"/>
              <w:right w:val="nil"/>
            </w:tcBorders>
            <w:shd w:val="clear" w:color="auto" w:fill="auto"/>
            <w:vAlign w:val="center"/>
            <w:hideMark/>
          </w:tcPr>
          <w:p w14:paraId="1C019F73"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0.1</w:t>
            </w:r>
          </w:p>
        </w:tc>
        <w:tc>
          <w:tcPr>
            <w:tcW w:w="974" w:type="dxa"/>
            <w:tcBorders>
              <w:top w:val="nil"/>
              <w:left w:val="nil"/>
              <w:bottom w:val="double" w:sz="6" w:space="0" w:color="365F91"/>
              <w:right w:val="single" w:sz="8" w:space="0" w:color="365F91"/>
            </w:tcBorders>
            <w:shd w:val="clear" w:color="auto" w:fill="auto"/>
            <w:vAlign w:val="center"/>
            <w:hideMark/>
          </w:tcPr>
          <w:p w14:paraId="054ECF1B"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0.0</w:t>
            </w:r>
          </w:p>
        </w:tc>
        <w:tc>
          <w:tcPr>
            <w:tcW w:w="588" w:type="dxa"/>
            <w:tcBorders>
              <w:top w:val="nil"/>
              <w:left w:val="nil"/>
              <w:bottom w:val="double" w:sz="6" w:space="0" w:color="365F91"/>
              <w:right w:val="nil"/>
            </w:tcBorders>
            <w:shd w:val="clear" w:color="auto" w:fill="auto"/>
            <w:vAlign w:val="center"/>
            <w:hideMark/>
          </w:tcPr>
          <w:p w14:paraId="3B6BFE80"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 </w:t>
            </w:r>
          </w:p>
        </w:tc>
        <w:tc>
          <w:tcPr>
            <w:tcW w:w="981" w:type="dxa"/>
            <w:tcBorders>
              <w:top w:val="nil"/>
              <w:left w:val="nil"/>
              <w:bottom w:val="double" w:sz="6" w:space="0" w:color="365F91"/>
              <w:right w:val="single" w:sz="8" w:space="0" w:color="365F91"/>
            </w:tcBorders>
            <w:shd w:val="clear" w:color="auto" w:fill="auto"/>
            <w:vAlign w:val="center"/>
            <w:hideMark/>
          </w:tcPr>
          <w:p w14:paraId="390F371D"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 </w:t>
            </w:r>
          </w:p>
        </w:tc>
        <w:tc>
          <w:tcPr>
            <w:tcW w:w="1123" w:type="dxa"/>
            <w:tcBorders>
              <w:top w:val="nil"/>
              <w:left w:val="nil"/>
              <w:bottom w:val="double" w:sz="6" w:space="0" w:color="365F91"/>
              <w:right w:val="single" w:sz="8" w:space="0" w:color="365F91"/>
            </w:tcBorders>
            <w:shd w:val="clear" w:color="auto" w:fill="auto"/>
            <w:vAlign w:val="center"/>
            <w:hideMark/>
          </w:tcPr>
          <w:p w14:paraId="17C2195F"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 </w:t>
            </w:r>
          </w:p>
        </w:tc>
        <w:tc>
          <w:tcPr>
            <w:tcW w:w="873" w:type="dxa"/>
            <w:tcBorders>
              <w:top w:val="nil"/>
              <w:left w:val="nil"/>
              <w:bottom w:val="double" w:sz="6" w:space="0" w:color="365F91"/>
              <w:right w:val="single" w:sz="8" w:space="0" w:color="365F91"/>
            </w:tcBorders>
            <w:shd w:val="clear" w:color="000000" w:fill="D8D8D8"/>
            <w:vAlign w:val="center"/>
            <w:hideMark/>
          </w:tcPr>
          <w:p w14:paraId="0C541015"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896.7</w:t>
            </w:r>
          </w:p>
        </w:tc>
        <w:tc>
          <w:tcPr>
            <w:tcW w:w="873" w:type="dxa"/>
            <w:tcBorders>
              <w:top w:val="single" w:sz="8" w:space="0" w:color="365F91"/>
              <w:left w:val="nil"/>
              <w:bottom w:val="double" w:sz="6" w:space="0" w:color="365F91"/>
            </w:tcBorders>
            <w:shd w:val="clear" w:color="auto" w:fill="auto"/>
            <w:vAlign w:val="center"/>
            <w:hideMark/>
          </w:tcPr>
          <w:p w14:paraId="0FF99C72"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896.8</w:t>
            </w:r>
          </w:p>
        </w:tc>
      </w:tr>
      <w:tr w:rsidR="00380BE7" w:rsidRPr="00256982" w14:paraId="620AE23D" w14:textId="77777777" w:rsidTr="00142A81">
        <w:trPr>
          <w:trHeight w:val="319"/>
        </w:trPr>
        <w:tc>
          <w:tcPr>
            <w:tcW w:w="2200" w:type="dxa"/>
            <w:gridSpan w:val="2"/>
            <w:tcBorders>
              <w:top w:val="double" w:sz="6" w:space="0" w:color="365F91"/>
              <w:bottom w:val="nil"/>
              <w:right w:val="single" w:sz="8" w:space="0" w:color="1F497D"/>
            </w:tcBorders>
            <w:shd w:val="clear" w:color="auto" w:fill="auto"/>
            <w:vAlign w:val="center"/>
            <w:hideMark/>
          </w:tcPr>
          <w:p w14:paraId="185C5A8E" w14:textId="77777777" w:rsidR="00380BE7" w:rsidRPr="00256982" w:rsidRDefault="00380BE7" w:rsidP="009574E7">
            <w:pPr>
              <w:pStyle w:val="Tableboldblue"/>
              <w:rPr>
                <w:b w:val="0"/>
                <w:lang w:eastAsia="en-NZ"/>
              </w:rPr>
            </w:pPr>
            <w:r w:rsidRPr="00256982">
              <w:rPr>
                <w:b w:val="0"/>
                <w:lang w:eastAsia="en-NZ"/>
              </w:rPr>
              <w:t>Area as at 31 Dec 2016 (kha)</w:t>
            </w:r>
          </w:p>
        </w:tc>
        <w:tc>
          <w:tcPr>
            <w:tcW w:w="851" w:type="dxa"/>
            <w:tcBorders>
              <w:top w:val="nil"/>
              <w:left w:val="nil"/>
              <w:bottom w:val="nil"/>
              <w:right w:val="nil"/>
            </w:tcBorders>
            <w:shd w:val="clear" w:color="auto" w:fill="auto"/>
            <w:vAlign w:val="center"/>
            <w:hideMark/>
          </w:tcPr>
          <w:p w14:paraId="2A0AAEDD" w14:textId="77777777" w:rsidR="00380BE7" w:rsidRPr="00256982" w:rsidRDefault="00380BE7" w:rsidP="009574E7">
            <w:pPr>
              <w:jc w:val="right"/>
              <w:rPr>
                <w:rFonts w:ascii="Arial" w:hAnsi="Arial" w:cs="Arial"/>
                <w:color w:val="365F91"/>
                <w:sz w:val="16"/>
                <w:szCs w:val="16"/>
              </w:rPr>
            </w:pPr>
            <w:r w:rsidRPr="00256982">
              <w:rPr>
                <w:rFonts w:ascii="Arial" w:hAnsi="Arial" w:cs="Arial"/>
                <w:color w:val="365F91"/>
                <w:sz w:val="16"/>
                <w:szCs w:val="16"/>
              </w:rPr>
              <w:t>7,811.9</w:t>
            </w:r>
          </w:p>
        </w:tc>
        <w:tc>
          <w:tcPr>
            <w:tcW w:w="850" w:type="dxa"/>
            <w:tcBorders>
              <w:top w:val="nil"/>
              <w:left w:val="nil"/>
              <w:bottom w:val="nil"/>
              <w:right w:val="nil"/>
            </w:tcBorders>
            <w:shd w:val="clear" w:color="auto" w:fill="auto"/>
            <w:vAlign w:val="center"/>
            <w:hideMark/>
          </w:tcPr>
          <w:p w14:paraId="76E30D61" w14:textId="77777777" w:rsidR="00380BE7" w:rsidRPr="00256982" w:rsidRDefault="00380BE7" w:rsidP="009574E7">
            <w:pPr>
              <w:jc w:val="right"/>
              <w:rPr>
                <w:rFonts w:ascii="Arial" w:hAnsi="Arial" w:cs="Arial"/>
                <w:color w:val="365F91"/>
                <w:sz w:val="16"/>
                <w:szCs w:val="16"/>
              </w:rPr>
            </w:pPr>
            <w:r w:rsidRPr="00256982">
              <w:rPr>
                <w:rFonts w:ascii="Arial" w:hAnsi="Arial" w:cs="Arial"/>
                <w:color w:val="365F91"/>
                <w:sz w:val="16"/>
                <w:szCs w:val="16"/>
              </w:rPr>
              <w:t>1,432.8</w:t>
            </w:r>
          </w:p>
        </w:tc>
        <w:tc>
          <w:tcPr>
            <w:tcW w:w="848" w:type="dxa"/>
            <w:tcBorders>
              <w:top w:val="nil"/>
              <w:left w:val="nil"/>
              <w:bottom w:val="nil"/>
              <w:right w:val="single" w:sz="8" w:space="0" w:color="365F91"/>
            </w:tcBorders>
            <w:shd w:val="clear" w:color="auto" w:fill="auto"/>
            <w:vAlign w:val="center"/>
            <w:hideMark/>
          </w:tcPr>
          <w:p w14:paraId="7F852BCF" w14:textId="77777777" w:rsidR="00380BE7" w:rsidRPr="00256982" w:rsidRDefault="00380BE7" w:rsidP="009574E7">
            <w:pPr>
              <w:jc w:val="right"/>
              <w:rPr>
                <w:rFonts w:ascii="Arial" w:hAnsi="Arial" w:cs="Arial"/>
                <w:color w:val="365F91"/>
                <w:sz w:val="16"/>
                <w:szCs w:val="16"/>
              </w:rPr>
            </w:pPr>
            <w:r w:rsidRPr="00256982">
              <w:rPr>
                <w:rFonts w:ascii="Arial" w:hAnsi="Arial" w:cs="Arial"/>
                <w:color w:val="365F91"/>
                <w:sz w:val="16"/>
                <w:szCs w:val="16"/>
              </w:rPr>
              <w:t>676.4</w:t>
            </w:r>
          </w:p>
        </w:tc>
        <w:tc>
          <w:tcPr>
            <w:tcW w:w="759" w:type="dxa"/>
            <w:tcBorders>
              <w:top w:val="nil"/>
              <w:left w:val="nil"/>
              <w:bottom w:val="nil"/>
              <w:right w:val="nil"/>
            </w:tcBorders>
            <w:shd w:val="clear" w:color="auto" w:fill="auto"/>
            <w:vAlign w:val="center"/>
            <w:hideMark/>
          </w:tcPr>
          <w:p w14:paraId="32EEA1DB" w14:textId="77777777" w:rsidR="00380BE7" w:rsidRPr="00256982" w:rsidRDefault="00380BE7" w:rsidP="009574E7">
            <w:pPr>
              <w:jc w:val="right"/>
              <w:rPr>
                <w:rFonts w:ascii="Arial" w:hAnsi="Arial" w:cs="Arial"/>
                <w:color w:val="365F91"/>
                <w:sz w:val="16"/>
                <w:szCs w:val="16"/>
              </w:rPr>
            </w:pPr>
            <w:r w:rsidRPr="00256982">
              <w:rPr>
                <w:rFonts w:ascii="Arial" w:hAnsi="Arial" w:cs="Arial"/>
                <w:color w:val="365F91"/>
                <w:sz w:val="16"/>
                <w:szCs w:val="16"/>
              </w:rPr>
              <w:t>371.5</w:t>
            </w:r>
          </w:p>
        </w:tc>
        <w:tc>
          <w:tcPr>
            <w:tcW w:w="945" w:type="dxa"/>
            <w:tcBorders>
              <w:top w:val="nil"/>
              <w:left w:val="nil"/>
              <w:bottom w:val="nil"/>
              <w:right w:val="single" w:sz="8" w:space="0" w:color="365F91"/>
            </w:tcBorders>
            <w:shd w:val="clear" w:color="auto" w:fill="auto"/>
            <w:vAlign w:val="center"/>
            <w:hideMark/>
          </w:tcPr>
          <w:p w14:paraId="07C41991" w14:textId="77777777" w:rsidR="00380BE7" w:rsidRPr="00256982" w:rsidRDefault="00380BE7" w:rsidP="009574E7">
            <w:pPr>
              <w:jc w:val="right"/>
              <w:rPr>
                <w:rFonts w:ascii="Arial" w:hAnsi="Arial" w:cs="Arial"/>
                <w:color w:val="365F91"/>
                <w:sz w:val="16"/>
                <w:szCs w:val="16"/>
              </w:rPr>
            </w:pPr>
            <w:r w:rsidRPr="00256982">
              <w:rPr>
                <w:rFonts w:ascii="Arial" w:hAnsi="Arial" w:cs="Arial"/>
                <w:color w:val="365F91"/>
                <w:sz w:val="16"/>
                <w:szCs w:val="16"/>
              </w:rPr>
              <w:t>104.3</w:t>
            </w:r>
          </w:p>
        </w:tc>
        <w:tc>
          <w:tcPr>
            <w:tcW w:w="1134" w:type="dxa"/>
            <w:tcBorders>
              <w:top w:val="nil"/>
              <w:left w:val="nil"/>
              <w:bottom w:val="nil"/>
              <w:right w:val="nil"/>
            </w:tcBorders>
            <w:shd w:val="clear" w:color="auto" w:fill="auto"/>
            <w:vAlign w:val="center"/>
            <w:hideMark/>
          </w:tcPr>
          <w:p w14:paraId="09157C56" w14:textId="77777777" w:rsidR="00380BE7" w:rsidRPr="00256982" w:rsidRDefault="00380BE7" w:rsidP="009574E7">
            <w:pPr>
              <w:jc w:val="right"/>
              <w:rPr>
                <w:rFonts w:ascii="Arial" w:hAnsi="Arial" w:cs="Arial"/>
                <w:color w:val="365F91"/>
                <w:sz w:val="16"/>
                <w:szCs w:val="16"/>
              </w:rPr>
            </w:pPr>
            <w:r w:rsidRPr="00256982">
              <w:rPr>
                <w:rFonts w:ascii="Arial" w:hAnsi="Arial" w:cs="Arial"/>
                <w:color w:val="365F91"/>
                <w:sz w:val="16"/>
                <w:szCs w:val="16"/>
              </w:rPr>
              <w:t>6,851.1</w:t>
            </w:r>
          </w:p>
        </w:tc>
        <w:tc>
          <w:tcPr>
            <w:tcW w:w="999" w:type="dxa"/>
            <w:tcBorders>
              <w:top w:val="nil"/>
              <w:left w:val="nil"/>
              <w:bottom w:val="nil"/>
              <w:right w:val="nil"/>
            </w:tcBorders>
            <w:shd w:val="clear" w:color="auto" w:fill="auto"/>
            <w:vAlign w:val="center"/>
            <w:hideMark/>
          </w:tcPr>
          <w:p w14:paraId="184FAC9C" w14:textId="77777777" w:rsidR="00380BE7" w:rsidRPr="00256982" w:rsidRDefault="00380BE7" w:rsidP="009574E7">
            <w:pPr>
              <w:jc w:val="right"/>
              <w:rPr>
                <w:rFonts w:ascii="Arial" w:hAnsi="Arial" w:cs="Arial"/>
                <w:color w:val="365F91"/>
                <w:sz w:val="16"/>
                <w:szCs w:val="16"/>
              </w:rPr>
            </w:pPr>
            <w:r w:rsidRPr="00256982">
              <w:rPr>
                <w:rFonts w:ascii="Arial" w:hAnsi="Arial" w:cs="Arial"/>
                <w:color w:val="365F91"/>
                <w:sz w:val="16"/>
                <w:szCs w:val="16"/>
              </w:rPr>
              <w:t>6,438.7</w:t>
            </w:r>
          </w:p>
        </w:tc>
        <w:tc>
          <w:tcPr>
            <w:tcW w:w="974" w:type="dxa"/>
            <w:tcBorders>
              <w:top w:val="nil"/>
              <w:left w:val="nil"/>
              <w:bottom w:val="nil"/>
              <w:right w:val="single" w:sz="8" w:space="0" w:color="365F91"/>
            </w:tcBorders>
            <w:shd w:val="clear" w:color="auto" w:fill="auto"/>
            <w:vAlign w:val="center"/>
            <w:hideMark/>
          </w:tcPr>
          <w:p w14:paraId="439DAD72" w14:textId="77777777" w:rsidR="00380BE7" w:rsidRPr="00256982" w:rsidRDefault="00380BE7" w:rsidP="009574E7">
            <w:pPr>
              <w:jc w:val="right"/>
              <w:rPr>
                <w:rFonts w:ascii="Arial" w:hAnsi="Arial" w:cs="Arial"/>
                <w:color w:val="365F91"/>
                <w:sz w:val="16"/>
                <w:szCs w:val="16"/>
              </w:rPr>
            </w:pPr>
            <w:r w:rsidRPr="00256982">
              <w:rPr>
                <w:rFonts w:ascii="Arial" w:hAnsi="Arial" w:cs="Arial"/>
                <w:color w:val="365F91"/>
                <w:sz w:val="16"/>
                <w:szCs w:val="16"/>
              </w:rPr>
              <w:t>1,398.2</w:t>
            </w:r>
          </w:p>
        </w:tc>
        <w:tc>
          <w:tcPr>
            <w:tcW w:w="588" w:type="dxa"/>
            <w:tcBorders>
              <w:top w:val="nil"/>
              <w:left w:val="nil"/>
              <w:bottom w:val="nil"/>
              <w:right w:val="nil"/>
            </w:tcBorders>
            <w:shd w:val="clear" w:color="auto" w:fill="auto"/>
            <w:vAlign w:val="center"/>
            <w:hideMark/>
          </w:tcPr>
          <w:p w14:paraId="1313C0EA" w14:textId="77777777" w:rsidR="00380BE7" w:rsidRPr="00256982" w:rsidRDefault="00380BE7" w:rsidP="009574E7">
            <w:pPr>
              <w:jc w:val="right"/>
              <w:rPr>
                <w:rFonts w:ascii="Arial" w:hAnsi="Arial" w:cs="Arial"/>
                <w:color w:val="365F91"/>
                <w:sz w:val="16"/>
                <w:szCs w:val="16"/>
              </w:rPr>
            </w:pPr>
            <w:r w:rsidRPr="00256982">
              <w:rPr>
                <w:rFonts w:ascii="Arial" w:hAnsi="Arial" w:cs="Arial"/>
                <w:color w:val="365F91"/>
                <w:sz w:val="16"/>
                <w:szCs w:val="16"/>
              </w:rPr>
              <w:t>534.4</w:t>
            </w:r>
          </w:p>
        </w:tc>
        <w:tc>
          <w:tcPr>
            <w:tcW w:w="981" w:type="dxa"/>
            <w:tcBorders>
              <w:top w:val="nil"/>
              <w:left w:val="nil"/>
              <w:bottom w:val="nil"/>
              <w:right w:val="single" w:sz="8" w:space="0" w:color="365F91"/>
            </w:tcBorders>
            <w:shd w:val="clear" w:color="auto" w:fill="auto"/>
            <w:vAlign w:val="center"/>
            <w:hideMark/>
          </w:tcPr>
          <w:p w14:paraId="77DC83F5" w14:textId="77777777" w:rsidR="00380BE7" w:rsidRPr="00256982" w:rsidRDefault="00380BE7" w:rsidP="009574E7">
            <w:pPr>
              <w:jc w:val="right"/>
              <w:rPr>
                <w:rFonts w:ascii="Arial" w:hAnsi="Arial" w:cs="Arial"/>
                <w:color w:val="365F91"/>
                <w:sz w:val="16"/>
                <w:szCs w:val="16"/>
              </w:rPr>
            </w:pPr>
            <w:r w:rsidRPr="00256982">
              <w:rPr>
                <w:rFonts w:ascii="Arial" w:hAnsi="Arial" w:cs="Arial"/>
                <w:color w:val="365F91"/>
                <w:sz w:val="16"/>
                <w:szCs w:val="16"/>
              </w:rPr>
              <w:t>174.7</w:t>
            </w:r>
          </w:p>
        </w:tc>
        <w:tc>
          <w:tcPr>
            <w:tcW w:w="1123" w:type="dxa"/>
            <w:tcBorders>
              <w:top w:val="nil"/>
              <w:left w:val="nil"/>
              <w:bottom w:val="nil"/>
              <w:right w:val="single" w:sz="8" w:space="0" w:color="365F91"/>
            </w:tcBorders>
            <w:shd w:val="clear" w:color="auto" w:fill="auto"/>
            <w:vAlign w:val="center"/>
            <w:hideMark/>
          </w:tcPr>
          <w:p w14:paraId="61BF3B9F" w14:textId="77777777" w:rsidR="00380BE7" w:rsidRPr="00256982" w:rsidRDefault="00380BE7" w:rsidP="009574E7">
            <w:pPr>
              <w:jc w:val="right"/>
              <w:rPr>
                <w:rFonts w:ascii="Arial" w:hAnsi="Arial" w:cs="Arial"/>
                <w:color w:val="365F91"/>
                <w:sz w:val="16"/>
                <w:szCs w:val="16"/>
              </w:rPr>
            </w:pPr>
            <w:r w:rsidRPr="00256982">
              <w:rPr>
                <w:rFonts w:ascii="Arial" w:hAnsi="Arial" w:cs="Arial"/>
                <w:color w:val="365F91"/>
                <w:sz w:val="16"/>
                <w:szCs w:val="16"/>
              </w:rPr>
              <w:t>234.5</w:t>
            </w:r>
          </w:p>
        </w:tc>
        <w:tc>
          <w:tcPr>
            <w:tcW w:w="873" w:type="dxa"/>
            <w:tcBorders>
              <w:top w:val="nil"/>
              <w:left w:val="nil"/>
              <w:bottom w:val="nil"/>
              <w:right w:val="single" w:sz="8" w:space="0" w:color="365F91"/>
            </w:tcBorders>
            <w:shd w:val="clear" w:color="auto" w:fill="auto"/>
            <w:vAlign w:val="center"/>
            <w:hideMark/>
          </w:tcPr>
          <w:p w14:paraId="005F3914" w14:textId="77777777" w:rsidR="00380BE7" w:rsidRPr="00256982" w:rsidRDefault="00380BE7" w:rsidP="009574E7">
            <w:pPr>
              <w:jc w:val="right"/>
              <w:rPr>
                <w:rFonts w:ascii="Arial" w:hAnsi="Arial" w:cs="Arial"/>
                <w:color w:val="365F91"/>
                <w:sz w:val="16"/>
                <w:szCs w:val="16"/>
              </w:rPr>
            </w:pPr>
            <w:r w:rsidRPr="00256982">
              <w:rPr>
                <w:rFonts w:ascii="Arial" w:hAnsi="Arial" w:cs="Arial"/>
                <w:color w:val="365F91"/>
                <w:sz w:val="16"/>
                <w:szCs w:val="16"/>
              </w:rPr>
              <w:t>896.7</w:t>
            </w:r>
          </w:p>
        </w:tc>
        <w:tc>
          <w:tcPr>
            <w:tcW w:w="873" w:type="dxa"/>
            <w:tcBorders>
              <w:top w:val="nil"/>
              <w:left w:val="nil"/>
              <w:bottom w:val="nil"/>
            </w:tcBorders>
            <w:shd w:val="clear" w:color="000000" w:fill="D8D8D8"/>
            <w:vAlign w:val="center"/>
            <w:hideMark/>
          </w:tcPr>
          <w:p w14:paraId="601D6079" w14:textId="77777777" w:rsidR="00380BE7" w:rsidRPr="00256982" w:rsidRDefault="00380BE7" w:rsidP="009574E7">
            <w:pPr>
              <w:jc w:val="right"/>
              <w:rPr>
                <w:rFonts w:ascii="Arial" w:hAnsi="Arial" w:cs="Arial"/>
                <w:color w:val="365F91"/>
                <w:sz w:val="16"/>
                <w:szCs w:val="16"/>
              </w:rPr>
            </w:pPr>
            <w:r w:rsidRPr="00256982">
              <w:rPr>
                <w:rFonts w:ascii="Arial" w:hAnsi="Arial" w:cs="Arial"/>
                <w:color w:val="365F91"/>
                <w:sz w:val="16"/>
                <w:szCs w:val="16"/>
              </w:rPr>
              <w:t>26,925.2</w:t>
            </w:r>
          </w:p>
        </w:tc>
      </w:tr>
      <w:tr w:rsidR="00380BE7" w:rsidRPr="00256982" w14:paraId="21E22FBA" w14:textId="77777777" w:rsidTr="00142A81">
        <w:trPr>
          <w:trHeight w:val="319"/>
        </w:trPr>
        <w:tc>
          <w:tcPr>
            <w:tcW w:w="2200" w:type="dxa"/>
            <w:gridSpan w:val="2"/>
            <w:tcBorders>
              <w:top w:val="nil"/>
              <w:bottom w:val="nil"/>
              <w:right w:val="single" w:sz="8" w:space="0" w:color="1F497D"/>
            </w:tcBorders>
            <w:shd w:val="clear" w:color="auto" w:fill="auto"/>
            <w:vAlign w:val="center"/>
            <w:hideMark/>
          </w:tcPr>
          <w:p w14:paraId="5696360B" w14:textId="4D1ABB7E" w:rsidR="00380BE7" w:rsidRPr="00256982" w:rsidRDefault="00380BE7" w:rsidP="009574E7">
            <w:pPr>
              <w:pStyle w:val="Tableboldblue"/>
              <w:rPr>
                <w:b w:val="0"/>
                <w:lang w:eastAsia="en-NZ"/>
              </w:rPr>
            </w:pPr>
            <w:r w:rsidRPr="00256982">
              <w:rPr>
                <w:b w:val="0"/>
                <w:lang w:eastAsia="en-NZ"/>
              </w:rPr>
              <w:t xml:space="preserve">Net change </w:t>
            </w:r>
            <w:r w:rsidR="00142A81" w:rsidRPr="00256982">
              <w:rPr>
                <w:b w:val="0"/>
                <w:lang w:eastAsia="en-NZ"/>
              </w:rPr>
              <w:br/>
            </w:r>
            <w:r w:rsidRPr="00256982">
              <w:rPr>
                <w:b w:val="0"/>
                <w:lang w:eastAsia="en-NZ"/>
              </w:rPr>
              <w:t>31 Dec 2016–31 Dec 2017</w:t>
            </w:r>
          </w:p>
        </w:tc>
        <w:tc>
          <w:tcPr>
            <w:tcW w:w="851" w:type="dxa"/>
            <w:tcBorders>
              <w:top w:val="nil"/>
              <w:left w:val="nil"/>
              <w:bottom w:val="nil"/>
              <w:right w:val="nil"/>
            </w:tcBorders>
            <w:shd w:val="clear" w:color="auto" w:fill="auto"/>
            <w:noWrap/>
            <w:vAlign w:val="center"/>
            <w:hideMark/>
          </w:tcPr>
          <w:p w14:paraId="5BA435D0" w14:textId="77777777" w:rsidR="00380BE7" w:rsidRPr="00256982" w:rsidRDefault="00380BE7" w:rsidP="009574E7">
            <w:pPr>
              <w:jc w:val="right"/>
              <w:rPr>
                <w:rFonts w:ascii="Arial" w:hAnsi="Arial" w:cs="Arial"/>
                <w:color w:val="365F91"/>
                <w:sz w:val="16"/>
                <w:szCs w:val="16"/>
              </w:rPr>
            </w:pPr>
            <w:r w:rsidRPr="00256982">
              <w:rPr>
                <w:rFonts w:ascii="Arial" w:hAnsi="Arial" w:cs="Arial"/>
                <w:color w:val="365F91"/>
                <w:sz w:val="16"/>
                <w:szCs w:val="16"/>
              </w:rPr>
              <w:t>–0.5</w:t>
            </w:r>
          </w:p>
        </w:tc>
        <w:tc>
          <w:tcPr>
            <w:tcW w:w="850" w:type="dxa"/>
            <w:tcBorders>
              <w:top w:val="nil"/>
              <w:left w:val="nil"/>
              <w:bottom w:val="nil"/>
              <w:right w:val="nil"/>
            </w:tcBorders>
            <w:shd w:val="clear" w:color="auto" w:fill="auto"/>
            <w:noWrap/>
            <w:vAlign w:val="center"/>
            <w:hideMark/>
          </w:tcPr>
          <w:p w14:paraId="45B14308" w14:textId="77777777" w:rsidR="00380BE7" w:rsidRPr="00256982" w:rsidRDefault="00380BE7" w:rsidP="009574E7">
            <w:pPr>
              <w:jc w:val="right"/>
              <w:rPr>
                <w:rFonts w:ascii="Arial" w:hAnsi="Arial" w:cs="Arial"/>
                <w:color w:val="365F91"/>
                <w:sz w:val="16"/>
                <w:szCs w:val="16"/>
              </w:rPr>
            </w:pPr>
            <w:r w:rsidRPr="00256982">
              <w:rPr>
                <w:rFonts w:ascii="Arial" w:hAnsi="Arial" w:cs="Arial"/>
                <w:color w:val="365F91"/>
                <w:sz w:val="16"/>
                <w:szCs w:val="16"/>
              </w:rPr>
              <w:t>–3.1</w:t>
            </w:r>
          </w:p>
        </w:tc>
        <w:tc>
          <w:tcPr>
            <w:tcW w:w="848" w:type="dxa"/>
            <w:tcBorders>
              <w:top w:val="nil"/>
              <w:left w:val="nil"/>
              <w:bottom w:val="nil"/>
              <w:right w:val="single" w:sz="8" w:space="0" w:color="365F91"/>
            </w:tcBorders>
            <w:shd w:val="clear" w:color="auto" w:fill="auto"/>
            <w:noWrap/>
            <w:vAlign w:val="center"/>
            <w:hideMark/>
          </w:tcPr>
          <w:p w14:paraId="3C6554E9" w14:textId="77777777" w:rsidR="00380BE7" w:rsidRPr="00256982" w:rsidRDefault="00380BE7" w:rsidP="009574E7">
            <w:pPr>
              <w:jc w:val="right"/>
              <w:rPr>
                <w:rFonts w:ascii="Arial" w:hAnsi="Arial" w:cs="Arial"/>
                <w:color w:val="365F91"/>
                <w:sz w:val="16"/>
                <w:szCs w:val="16"/>
              </w:rPr>
            </w:pPr>
            <w:r w:rsidRPr="00256982">
              <w:rPr>
                <w:rFonts w:ascii="Arial" w:hAnsi="Arial" w:cs="Arial"/>
                <w:color w:val="365F91"/>
                <w:sz w:val="16"/>
                <w:szCs w:val="16"/>
              </w:rPr>
              <w:t>6.1</w:t>
            </w:r>
          </w:p>
        </w:tc>
        <w:tc>
          <w:tcPr>
            <w:tcW w:w="759" w:type="dxa"/>
            <w:tcBorders>
              <w:top w:val="nil"/>
              <w:left w:val="nil"/>
              <w:bottom w:val="nil"/>
              <w:right w:val="nil"/>
            </w:tcBorders>
            <w:shd w:val="clear" w:color="auto" w:fill="auto"/>
            <w:noWrap/>
            <w:vAlign w:val="center"/>
            <w:hideMark/>
          </w:tcPr>
          <w:p w14:paraId="167741AB" w14:textId="77777777" w:rsidR="00380BE7" w:rsidRPr="00256982" w:rsidRDefault="00380BE7" w:rsidP="009574E7">
            <w:pPr>
              <w:jc w:val="right"/>
              <w:rPr>
                <w:rFonts w:ascii="Arial" w:hAnsi="Arial" w:cs="Arial"/>
                <w:color w:val="365F91"/>
                <w:sz w:val="16"/>
                <w:szCs w:val="16"/>
              </w:rPr>
            </w:pPr>
            <w:r w:rsidRPr="00256982">
              <w:rPr>
                <w:rFonts w:ascii="Arial" w:hAnsi="Arial" w:cs="Arial"/>
                <w:color w:val="365F91"/>
                <w:sz w:val="16"/>
                <w:szCs w:val="16"/>
              </w:rPr>
              <w:t>–0.1</w:t>
            </w:r>
          </w:p>
        </w:tc>
        <w:tc>
          <w:tcPr>
            <w:tcW w:w="945" w:type="dxa"/>
            <w:tcBorders>
              <w:top w:val="nil"/>
              <w:left w:val="nil"/>
              <w:bottom w:val="nil"/>
              <w:right w:val="single" w:sz="8" w:space="0" w:color="365F91"/>
            </w:tcBorders>
            <w:shd w:val="clear" w:color="auto" w:fill="auto"/>
            <w:noWrap/>
            <w:vAlign w:val="center"/>
            <w:hideMark/>
          </w:tcPr>
          <w:p w14:paraId="781EFA7C" w14:textId="77777777" w:rsidR="00380BE7" w:rsidRPr="00256982" w:rsidRDefault="00380BE7" w:rsidP="009574E7">
            <w:pPr>
              <w:jc w:val="right"/>
              <w:rPr>
                <w:rFonts w:ascii="Arial" w:hAnsi="Arial" w:cs="Arial"/>
                <w:color w:val="365F91"/>
                <w:sz w:val="16"/>
                <w:szCs w:val="16"/>
              </w:rPr>
            </w:pPr>
            <w:r w:rsidRPr="00256982">
              <w:rPr>
                <w:rFonts w:ascii="Arial" w:hAnsi="Arial" w:cs="Arial"/>
                <w:color w:val="365F91"/>
                <w:sz w:val="16"/>
                <w:szCs w:val="16"/>
              </w:rPr>
              <w:t>0.2</w:t>
            </w:r>
          </w:p>
        </w:tc>
        <w:tc>
          <w:tcPr>
            <w:tcW w:w="1134" w:type="dxa"/>
            <w:tcBorders>
              <w:top w:val="nil"/>
              <w:left w:val="nil"/>
              <w:bottom w:val="nil"/>
              <w:right w:val="nil"/>
            </w:tcBorders>
            <w:shd w:val="clear" w:color="auto" w:fill="auto"/>
            <w:noWrap/>
            <w:vAlign w:val="center"/>
            <w:hideMark/>
          </w:tcPr>
          <w:p w14:paraId="577C5E2F" w14:textId="77777777" w:rsidR="00380BE7" w:rsidRPr="00256982" w:rsidRDefault="00380BE7" w:rsidP="009574E7">
            <w:pPr>
              <w:jc w:val="right"/>
              <w:rPr>
                <w:rFonts w:ascii="Arial" w:hAnsi="Arial" w:cs="Arial"/>
                <w:color w:val="365F91"/>
                <w:sz w:val="16"/>
                <w:szCs w:val="16"/>
              </w:rPr>
            </w:pPr>
            <w:r w:rsidRPr="00256982">
              <w:rPr>
                <w:rFonts w:ascii="Arial" w:hAnsi="Arial" w:cs="Arial"/>
                <w:color w:val="365F91"/>
                <w:sz w:val="16"/>
                <w:szCs w:val="16"/>
              </w:rPr>
              <w:t>13.3</w:t>
            </w:r>
          </w:p>
        </w:tc>
        <w:tc>
          <w:tcPr>
            <w:tcW w:w="999" w:type="dxa"/>
            <w:tcBorders>
              <w:top w:val="nil"/>
              <w:left w:val="nil"/>
              <w:bottom w:val="nil"/>
              <w:right w:val="nil"/>
            </w:tcBorders>
            <w:shd w:val="clear" w:color="auto" w:fill="auto"/>
            <w:noWrap/>
            <w:vAlign w:val="center"/>
            <w:hideMark/>
          </w:tcPr>
          <w:p w14:paraId="593603B8" w14:textId="77777777" w:rsidR="00380BE7" w:rsidRPr="00256982" w:rsidRDefault="00380BE7" w:rsidP="009574E7">
            <w:pPr>
              <w:jc w:val="right"/>
              <w:rPr>
                <w:rFonts w:ascii="Arial" w:hAnsi="Arial" w:cs="Arial"/>
                <w:color w:val="365F91"/>
                <w:sz w:val="16"/>
                <w:szCs w:val="16"/>
              </w:rPr>
            </w:pPr>
            <w:r w:rsidRPr="00256982">
              <w:rPr>
                <w:rFonts w:ascii="Arial" w:hAnsi="Arial" w:cs="Arial"/>
                <w:color w:val="365F91"/>
                <w:sz w:val="16"/>
                <w:szCs w:val="16"/>
              </w:rPr>
              <w:t>–14.8</w:t>
            </w:r>
          </w:p>
        </w:tc>
        <w:tc>
          <w:tcPr>
            <w:tcW w:w="974" w:type="dxa"/>
            <w:tcBorders>
              <w:top w:val="nil"/>
              <w:left w:val="nil"/>
              <w:bottom w:val="nil"/>
              <w:right w:val="single" w:sz="8" w:space="0" w:color="365F91"/>
            </w:tcBorders>
            <w:shd w:val="clear" w:color="auto" w:fill="auto"/>
            <w:noWrap/>
            <w:vAlign w:val="center"/>
            <w:hideMark/>
          </w:tcPr>
          <w:p w14:paraId="08399119" w14:textId="77777777" w:rsidR="00380BE7" w:rsidRPr="00256982" w:rsidRDefault="00380BE7" w:rsidP="009574E7">
            <w:pPr>
              <w:jc w:val="right"/>
              <w:rPr>
                <w:rFonts w:ascii="Arial" w:hAnsi="Arial" w:cs="Arial"/>
                <w:color w:val="365F91"/>
                <w:sz w:val="16"/>
                <w:szCs w:val="16"/>
              </w:rPr>
            </w:pPr>
            <w:r w:rsidRPr="00256982">
              <w:rPr>
                <w:rFonts w:ascii="Arial" w:hAnsi="Arial" w:cs="Arial"/>
                <w:color w:val="365F91"/>
                <w:sz w:val="16"/>
                <w:szCs w:val="16"/>
              </w:rPr>
              <w:t>–2.4</w:t>
            </w:r>
          </w:p>
        </w:tc>
        <w:tc>
          <w:tcPr>
            <w:tcW w:w="588" w:type="dxa"/>
            <w:tcBorders>
              <w:top w:val="nil"/>
              <w:left w:val="nil"/>
              <w:bottom w:val="nil"/>
              <w:right w:val="nil"/>
            </w:tcBorders>
            <w:shd w:val="clear" w:color="auto" w:fill="auto"/>
            <w:vAlign w:val="center"/>
            <w:hideMark/>
          </w:tcPr>
          <w:p w14:paraId="23802B19" w14:textId="77777777" w:rsidR="00380BE7" w:rsidRPr="00256982" w:rsidRDefault="00380BE7" w:rsidP="009574E7">
            <w:pPr>
              <w:jc w:val="right"/>
              <w:rPr>
                <w:rFonts w:ascii="Arial" w:hAnsi="Arial" w:cs="Arial"/>
                <w:color w:val="365F91"/>
                <w:sz w:val="16"/>
                <w:szCs w:val="16"/>
              </w:rPr>
            </w:pPr>
            <w:r w:rsidRPr="00256982">
              <w:rPr>
                <w:rFonts w:ascii="Arial" w:hAnsi="Arial" w:cs="Arial"/>
                <w:color w:val="365F91"/>
                <w:sz w:val="16"/>
                <w:szCs w:val="16"/>
              </w:rPr>
              <w:t>0.1</w:t>
            </w:r>
          </w:p>
        </w:tc>
        <w:tc>
          <w:tcPr>
            <w:tcW w:w="981" w:type="dxa"/>
            <w:tcBorders>
              <w:top w:val="nil"/>
              <w:left w:val="nil"/>
              <w:bottom w:val="nil"/>
              <w:right w:val="single" w:sz="8" w:space="0" w:color="365F91"/>
            </w:tcBorders>
            <w:shd w:val="clear" w:color="auto" w:fill="auto"/>
            <w:noWrap/>
            <w:vAlign w:val="center"/>
            <w:hideMark/>
          </w:tcPr>
          <w:p w14:paraId="07022EB5" w14:textId="77777777" w:rsidR="00380BE7" w:rsidRPr="00256982" w:rsidRDefault="00380BE7" w:rsidP="009574E7">
            <w:pPr>
              <w:jc w:val="right"/>
              <w:rPr>
                <w:rFonts w:ascii="Arial" w:hAnsi="Arial" w:cs="Arial"/>
                <w:color w:val="365F91"/>
                <w:sz w:val="16"/>
                <w:szCs w:val="16"/>
              </w:rPr>
            </w:pPr>
            <w:r w:rsidRPr="00256982">
              <w:rPr>
                <w:rFonts w:ascii="Arial" w:hAnsi="Arial" w:cs="Arial"/>
                <w:color w:val="365F91"/>
                <w:sz w:val="16"/>
                <w:szCs w:val="16"/>
              </w:rPr>
              <w:t>0.0</w:t>
            </w:r>
          </w:p>
        </w:tc>
        <w:tc>
          <w:tcPr>
            <w:tcW w:w="1123" w:type="dxa"/>
            <w:tcBorders>
              <w:top w:val="nil"/>
              <w:left w:val="nil"/>
              <w:bottom w:val="nil"/>
              <w:right w:val="single" w:sz="8" w:space="0" w:color="365F91"/>
            </w:tcBorders>
            <w:shd w:val="clear" w:color="auto" w:fill="auto"/>
            <w:noWrap/>
            <w:vAlign w:val="center"/>
            <w:hideMark/>
          </w:tcPr>
          <w:p w14:paraId="79C69A4F" w14:textId="77777777" w:rsidR="00380BE7" w:rsidRPr="00256982" w:rsidRDefault="00380BE7" w:rsidP="009574E7">
            <w:pPr>
              <w:jc w:val="right"/>
              <w:rPr>
                <w:rFonts w:ascii="Arial" w:hAnsi="Arial" w:cs="Arial"/>
                <w:color w:val="365F91"/>
                <w:sz w:val="16"/>
                <w:szCs w:val="16"/>
              </w:rPr>
            </w:pPr>
            <w:r w:rsidRPr="00256982">
              <w:rPr>
                <w:rFonts w:ascii="Arial" w:hAnsi="Arial" w:cs="Arial"/>
                <w:color w:val="365F91"/>
                <w:sz w:val="16"/>
                <w:szCs w:val="16"/>
              </w:rPr>
              <w:t>0.9</w:t>
            </w:r>
          </w:p>
        </w:tc>
        <w:tc>
          <w:tcPr>
            <w:tcW w:w="873" w:type="dxa"/>
            <w:tcBorders>
              <w:top w:val="nil"/>
              <w:left w:val="nil"/>
              <w:bottom w:val="nil"/>
              <w:right w:val="single" w:sz="8" w:space="0" w:color="365F91"/>
            </w:tcBorders>
            <w:shd w:val="clear" w:color="auto" w:fill="auto"/>
            <w:noWrap/>
            <w:vAlign w:val="center"/>
            <w:hideMark/>
          </w:tcPr>
          <w:p w14:paraId="531AD09E" w14:textId="77777777" w:rsidR="00380BE7" w:rsidRPr="00256982" w:rsidRDefault="00380BE7" w:rsidP="009574E7">
            <w:pPr>
              <w:jc w:val="right"/>
              <w:rPr>
                <w:rFonts w:ascii="Arial" w:hAnsi="Arial" w:cs="Arial"/>
                <w:color w:val="365F91"/>
                <w:sz w:val="16"/>
                <w:szCs w:val="16"/>
              </w:rPr>
            </w:pPr>
            <w:r w:rsidRPr="00256982">
              <w:rPr>
                <w:rFonts w:ascii="Arial" w:hAnsi="Arial" w:cs="Arial"/>
                <w:color w:val="365F91"/>
                <w:sz w:val="16"/>
                <w:szCs w:val="16"/>
              </w:rPr>
              <w:t>0.1</w:t>
            </w:r>
          </w:p>
        </w:tc>
        <w:tc>
          <w:tcPr>
            <w:tcW w:w="873" w:type="dxa"/>
            <w:tcBorders>
              <w:top w:val="nil"/>
              <w:left w:val="nil"/>
              <w:bottom w:val="nil"/>
            </w:tcBorders>
            <w:shd w:val="clear" w:color="auto" w:fill="auto"/>
            <w:noWrap/>
            <w:vAlign w:val="center"/>
            <w:hideMark/>
          </w:tcPr>
          <w:p w14:paraId="46C22A6B" w14:textId="77777777" w:rsidR="00380BE7" w:rsidRPr="00256982" w:rsidRDefault="00380BE7" w:rsidP="009574E7">
            <w:pPr>
              <w:jc w:val="right"/>
              <w:rPr>
                <w:rFonts w:ascii="Arial" w:hAnsi="Arial" w:cs="Arial"/>
                <w:color w:val="365F91"/>
                <w:sz w:val="16"/>
                <w:szCs w:val="16"/>
              </w:rPr>
            </w:pPr>
            <w:r w:rsidRPr="00256982">
              <w:rPr>
                <w:rFonts w:ascii="Arial" w:hAnsi="Arial" w:cs="Arial"/>
                <w:color w:val="365F91"/>
                <w:sz w:val="16"/>
                <w:szCs w:val="16"/>
              </w:rPr>
              <w:t>0.0</w:t>
            </w:r>
          </w:p>
        </w:tc>
      </w:tr>
      <w:tr w:rsidR="00380BE7" w:rsidRPr="00256982" w14:paraId="16356183" w14:textId="77777777" w:rsidTr="00142A81">
        <w:trPr>
          <w:trHeight w:val="319"/>
        </w:trPr>
        <w:tc>
          <w:tcPr>
            <w:tcW w:w="2200" w:type="dxa"/>
            <w:gridSpan w:val="2"/>
            <w:tcBorders>
              <w:top w:val="nil"/>
              <w:bottom w:val="single" w:sz="8" w:space="0" w:color="365F91"/>
              <w:right w:val="single" w:sz="8" w:space="0" w:color="1F497D"/>
            </w:tcBorders>
            <w:shd w:val="clear" w:color="auto" w:fill="auto"/>
            <w:vAlign w:val="center"/>
            <w:hideMark/>
          </w:tcPr>
          <w:p w14:paraId="7D4DB8C6" w14:textId="77777777" w:rsidR="00380BE7" w:rsidRPr="00256982" w:rsidRDefault="00380BE7" w:rsidP="009574E7">
            <w:pPr>
              <w:pStyle w:val="Tableboldblue"/>
              <w:rPr>
                <w:b w:val="0"/>
                <w:lang w:eastAsia="en-NZ"/>
              </w:rPr>
            </w:pPr>
            <w:r w:rsidRPr="00256982">
              <w:rPr>
                <w:b w:val="0"/>
                <w:lang w:eastAsia="en-NZ"/>
              </w:rPr>
              <w:t>Net change 2016–17 (%)</w:t>
            </w:r>
          </w:p>
        </w:tc>
        <w:tc>
          <w:tcPr>
            <w:tcW w:w="851" w:type="dxa"/>
            <w:tcBorders>
              <w:top w:val="nil"/>
              <w:left w:val="nil"/>
              <w:bottom w:val="single" w:sz="8" w:space="0" w:color="365F91"/>
              <w:right w:val="nil"/>
            </w:tcBorders>
            <w:shd w:val="clear" w:color="auto" w:fill="auto"/>
            <w:vAlign w:val="center"/>
            <w:hideMark/>
          </w:tcPr>
          <w:p w14:paraId="29B68BB4" w14:textId="77777777" w:rsidR="00380BE7" w:rsidRPr="00256982" w:rsidRDefault="00380BE7" w:rsidP="009574E7">
            <w:pPr>
              <w:jc w:val="right"/>
              <w:rPr>
                <w:rFonts w:ascii="Arial" w:hAnsi="Arial" w:cs="Arial"/>
                <w:color w:val="365F91"/>
                <w:sz w:val="16"/>
                <w:szCs w:val="16"/>
              </w:rPr>
            </w:pPr>
            <w:r w:rsidRPr="00256982">
              <w:rPr>
                <w:rFonts w:ascii="Arial" w:hAnsi="Arial" w:cs="Arial"/>
                <w:color w:val="365F91"/>
                <w:sz w:val="16"/>
                <w:szCs w:val="16"/>
              </w:rPr>
              <w:t>0.0</w:t>
            </w:r>
          </w:p>
        </w:tc>
        <w:tc>
          <w:tcPr>
            <w:tcW w:w="850" w:type="dxa"/>
            <w:tcBorders>
              <w:top w:val="nil"/>
              <w:left w:val="nil"/>
              <w:bottom w:val="single" w:sz="8" w:space="0" w:color="365F91"/>
              <w:right w:val="nil"/>
            </w:tcBorders>
            <w:shd w:val="clear" w:color="auto" w:fill="auto"/>
            <w:vAlign w:val="center"/>
            <w:hideMark/>
          </w:tcPr>
          <w:p w14:paraId="5B1A30F6" w14:textId="77777777" w:rsidR="00380BE7" w:rsidRPr="00256982" w:rsidRDefault="00380BE7" w:rsidP="009574E7">
            <w:pPr>
              <w:jc w:val="right"/>
              <w:rPr>
                <w:rFonts w:ascii="Arial" w:hAnsi="Arial" w:cs="Arial"/>
                <w:color w:val="365F91"/>
                <w:sz w:val="16"/>
                <w:szCs w:val="16"/>
              </w:rPr>
            </w:pPr>
            <w:r w:rsidRPr="00256982">
              <w:rPr>
                <w:rFonts w:ascii="Arial" w:hAnsi="Arial" w:cs="Arial"/>
                <w:color w:val="365F91"/>
                <w:sz w:val="16"/>
                <w:szCs w:val="16"/>
              </w:rPr>
              <w:t>–0.2</w:t>
            </w:r>
          </w:p>
        </w:tc>
        <w:tc>
          <w:tcPr>
            <w:tcW w:w="848" w:type="dxa"/>
            <w:tcBorders>
              <w:top w:val="nil"/>
              <w:left w:val="nil"/>
              <w:bottom w:val="single" w:sz="8" w:space="0" w:color="365F91"/>
              <w:right w:val="single" w:sz="8" w:space="0" w:color="365F91"/>
            </w:tcBorders>
            <w:shd w:val="clear" w:color="auto" w:fill="auto"/>
            <w:vAlign w:val="center"/>
            <w:hideMark/>
          </w:tcPr>
          <w:p w14:paraId="16D52C87" w14:textId="77777777" w:rsidR="00380BE7" w:rsidRPr="00256982" w:rsidRDefault="00380BE7" w:rsidP="009574E7">
            <w:pPr>
              <w:jc w:val="right"/>
              <w:rPr>
                <w:rFonts w:ascii="Arial" w:hAnsi="Arial" w:cs="Arial"/>
                <w:color w:val="365F91"/>
                <w:sz w:val="16"/>
                <w:szCs w:val="16"/>
              </w:rPr>
            </w:pPr>
            <w:r w:rsidRPr="00256982">
              <w:rPr>
                <w:rFonts w:ascii="Arial" w:hAnsi="Arial" w:cs="Arial"/>
                <w:color w:val="365F91"/>
                <w:sz w:val="16"/>
                <w:szCs w:val="16"/>
              </w:rPr>
              <w:t>0.9</w:t>
            </w:r>
          </w:p>
        </w:tc>
        <w:tc>
          <w:tcPr>
            <w:tcW w:w="759" w:type="dxa"/>
            <w:tcBorders>
              <w:top w:val="nil"/>
              <w:left w:val="nil"/>
              <w:bottom w:val="single" w:sz="8" w:space="0" w:color="365F91"/>
              <w:right w:val="nil"/>
            </w:tcBorders>
            <w:shd w:val="clear" w:color="auto" w:fill="auto"/>
            <w:vAlign w:val="center"/>
            <w:hideMark/>
          </w:tcPr>
          <w:p w14:paraId="0B1A04BF" w14:textId="77777777" w:rsidR="00380BE7" w:rsidRPr="00256982" w:rsidRDefault="00380BE7" w:rsidP="009574E7">
            <w:pPr>
              <w:jc w:val="right"/>
              <w:rPr>
                <w:rFonts w:ascii="Arial" w:hAnsi="Arial" w:cs="Arial"/>
                <w:color w:val="365F91"/>
                <w:sz w:val="16"/>
                <w:szCs w:val="16"/>
              </w:rPr>
            </w:pPr>
            <w:r w:rsidRPr="00256982">
              <w:rPr>
                <w:rFonts w:ascii="Arial" w:hAnsi="Arial" w:cs="Arial"/>
                <w:color w:val="365F91"/>
                <w:sz w:val="16"/>
                <w:szCs w:val="16"/>
              </w:rPr>
              <w:t>0.0</w:t>
            </w:r>
          </w:p>
        </w:tc>
        <w:tc>
          <w:tcPr>
            <w:tcW w:w="945" w:type="dxa"/>
            <w:tcBorders>
              <w:top w:val="nil"/>
              <w:left w:val="nil"/>
              <w:bottom w:val="single" w:sz="8" w:space="0" w:color="365F91"/>
              <w:right w:val="single" w:sz="8" w:space="0" w:color="365F91"/>
            </w:tcBorders>
            <w:shd w:val="clear" w:color="auto" w:fill="auto"/>
            <w:vAlign w:val="center"/>
            <w:hideMark/>
          </w:tcPr>
          <w:p w14:paraId="0034D4BA" w14:textId="77777777" w:rsidR="00380BE7" w:rsidRPr="00256982" w:rsidRDefault="00380BE7" w:rsidP="009574E7">
            <w:pPr>
              <w:jc w:val="right"/>
              <w:rPr>
                <w:rFonts w:ascii="Arial" w:hAnsi="Arial" w:cs="Arial"/>
                <w:color w:val="365F91"/>
                <w:sz w:val="16"/>
                <w:szCs w:val="16"/>
              </w:rPr>
            </w:pPr>
            <w:r w:rsidRPr="00256982">
              <w:rPr>
                <w:rFonts w:ascii="Arial" w:hAnsi="Arial" w:cs="Arial"/>
                <w:color w:val="365F91"/>
                <w:sz w:val="16"/>
                <w:szCs w:val="16"/>
              </w:rPr>
              <w:t>0.2</w:t>
            </w:r>
          </w:p>
        </w:tc>
        <w:tc>
          <w:tcPr>
            <w:tcW w:w="1134" w:type="dxa"/>
            <w:tcBorders>
              <w:top w:val="nil"/>
              <w:left w:val="nil"/>
              <w:bottom w:val="single" w:sz="8" w:space="0" w:color="365F91"/>
              <w:right w:val="nil"/>
            </w:tcBorders>
            <w:shd w:val="clear" w:color="auto" w:fill="auto"/>
            <w:vAlign w:val="center"/>
            <w:hideMark/>
          </w:tcPr>
          <w:p w14:paraId="05D1A609" w14:textId="77777777" w:rsidR="00380BE7" w:rsidRPr="00256982" w:rsidRDefault="00380BE7" w:rsidP="009574E7">
            <w:pPr>
              <w:jc w:val="right"/>
              <w:rPr>
                <w:rFonts w:ascii="Arial" w:hAnsi="Arial" w:cs="Arial"/>
                <w:color w:val="365F91"/>
                <w:sz w:val="16"/>
                <w:szCs w:val="16"/>
              </w:rPr>
            </w:pPr>
            <w:r w:rsidRPr="00256982">
              <w:rPr>
                <w:rFonts w:ascii="Arial" w:hAnsi="Arial" w:cs="Arial"/>
                <w:color w:val="365F91"/>
                <w:sz w:val="16"/>
                <w:szCs w:val="16"/>
              </w:rPr>
              <w:t>0.2</w:t>
            </w:r>
          </w:p>
        </w:tc>
        <w:tc>
          <w:tcPr>
            <w:tcW w:w="999" w:type="dxa"/>
            <w:tcBorders>
              <w:top w:val="nil"/>
              <w:left w:val="nil"/>
              <w:bottom w:val="single" w:sz="8" w:space="0" w:color="365F91"/>
              <w:right w:val="nil"/>
            </w:tcBorders>
            <w:shd w:val="clear" w:color="auto" w:fill="auto"/>
            <w:vAlign w:val="center"/>
            <w:hideMark/>
          </w:tcPr>
          <w:p w14:paraId="56DB5F2B" w14:textId="77777777" w:rsidR="00380BE7" w:rsidRPr="00256982" w:rsidRDefault="00380BE7" w:rsidP="009574E7">
            <w:pPr>
              <w:jc w:val="right"/>
              <w:rPr>
                <w:rFonts w:ascii="Arial" w:hAnsi="Arial" w:cs="Arial"/>
                <w:color w:val="365F91"/>
                <w:sz w:val="16"/>
                <w:szCs w:val="16"/>
              </w:rPr>
            </w:pPr>
            <w:r w:rsidRPr="00256982">
              <w:rPr>
                <w:rFonts w:ascii="Arial" w:hAnsi="Arial" w:cs="Arial"/>
                <w:color w:val="365F91"/>
                <w:sz w:val="16"/>
                <w:szCs w:val="16"/>
              </w:rPr>
              <w:t>–0.2</w:t>
            </w:r>
          </w:p>
        </w:tc>
        <w:tc>
          <w:tcPr>
            <w:tcW w:w="974" w:type="dxa"/>
            <w:tcBorders>
              <w:top w:val="nil"/>
              <w:left w:val="nil"/>
              <w:bottom w:val="single" w:sz="8" w:space="0" w:color="365F91"/>
              <w:right w:val="single" w:sz="8" w:space="0" w:color="365F91"/>
            </w:tcBorders>
            <w:shd w:val="clear" w:color="auto" w:fill="auto"/>
            <w:vAlign w:val="center"/>
            <w:hideMark/>
          </w:tcPr>
          <w:p w14:paraId="38DEC9CD" w14:textId="77777777" w:rsidR="00380BE7" w:rsidRPr="00256982" w:rsidRDefault="00380BE7" w:rsidP="009574E7">
            <w:pPr>
              <w:jc w:val="right"/>
              <w:rPr>
                <w:rFonts w:ascii="Arial" w:hAnsi="Arial" w:cs="Arial"/>
                <w:color w:val="365F91"/>
                <w:sz w:val="16"/>
                <w:szCs w:val="16"/>
              </w:rPr>
            </w:pPr>
            <w:r w:rsidRPr="00256982">
              <w:rPr>
                <w:rFonts w:ascii="Arial" w:hAnsi="Arial" w:cs="Arial"/>
                <w:color w:val="365F91"/>
                <w:sz w:val="16"/>
                <w:szCs w:val="16"/>
              </w:rPr>
              <w:t>–0.2</w:t>
            </w:r>
          </w:p>
        </w:tc>
        <w:tc>
          <w:tcPr>
            <w:tcW w:w="588" w:type="dxa"/>
            <w:tcBorders>
              <w:top w:val="nil"/>
              <w:left w:val="nil"/>
              <w:bottom w:val="single" w:sz="8" w:space="0" w:color="365F91"/>
              <w:right w:val="nil"/>
            </w:tcBorders>
            <w:shd w:val="clear" w:color="auto" w:fill="auto"/>
            <w:vAlign w:val="center"/>
            <w:hideMark/>
          </w:tcPr>
          <w:p w14:paraId="55F0949D" w14:textId="77777777" w:rsidR="00380BE7" w:rsidRPr="00256982" w:rsidRDefault="00380BE7" w:rsidP="009574E7">
            <w:pPr>
              <w:jc w:val="right"/>
              <w:rPr>
                <w:rFonts w:ascii="Arial" w:hAnsi="Arial" w:cs="Arial"/>
                <w:color w:val="365F91"/>
                <w:sz w:val="16"/>
                <w:szCs w:val="16"/>
              </w:rPr>
            </w:pPr>
            <w:r w:rsidRPr="00256982">
              <w:rPr>
                <w:rFonts w:ascii="Arial" w:hAnsi="Arial" w:cs="Arial"/>
                <w:color w:val="365F91"/>
                <w:sz w:val="16"/>
                <w:szCs w:val="16"/>
              </w:rPr>
              <w:t>0.0</w:t>
            </w:r>
          </w:p>
        </w:tc>
        <w:tc>
          <w:tcPr>
            <w:tcW w:w="981" w:type="dxa"/>
            <w:tcBorders>
              <w:top w:val="nil"/>
              <w:left w:val="nil"/>
              <w:bottom w:val="single" w:sz="8" w:space="0" w:color="365F91"/>
              <w:right w:val="single" w:sz="8" w:space="0" w:color="365F91"/>
            </w:tcBorders>
            <w:shd w:val="clear" w:color="auto" w:fill="auto"/>
            <w:vAlign w:val="center"/>
            <w:hideMark/>
          </w:tcPr>
          <w:p w14:paraId="09822E65" w14:textId="77777777" w:rsidR="00380BE7" w:rsidRPr="00256982" w:rsidRDefault="00380BE7" w:rsidP="009574E7">
            <w:pPr>
              <w:jc w:val="right"/>
              <w:rPr>
                <w:rFonts w:ascii="Arial" w:hAnsi="Arial" w:cs="Arial"/>
                <w:color w:val="365F91"/>
                <w:sz w:val="16"/>
                <w:szCs w:val="16"/>
              </w:rPr>
            </w:pPr>
            <w:r w:rsidRPr="00256982">
              <w:rPr>
                <w:rFonts w:ascii="Arial" w:hAnsi="Arial" w:cs="Arial"/>
                <w:color w:val="365F91"/>
                <w:sz w:val="16"/>
                <w:szCs w:val="16"/>
              </w:rPr>
              <w:t>0.0</w:t>
            </w:r>
          </w:p>
        </w:tc>
        <w:tc>
          <w:tcPr>
            <w:tcW w:w="1123" w:type="dxa"/>
            <w:tcBorders>
              <w:top w:val="nil"/>
              <w:left w:val="nil"/>
              <w:bottom w:val="single" w:sz="8" w:space="0" w:color="365F91"/>
              <w:right w:val="single" w:sz="8" w:space="0" w:color="365F91"/>
            </w:tcBorders>
            <w:shd w:val="clear" w:color="auto" w:fill="auto"/>
            <w:vAlign w:val="center"/>
            <w:hideMark/>
          </w:tcPr>
          <w:p w14:paraId="623A869F" w14:textId="77777777" w:rsidR="00380BE7" w:rsidRPr="00256982" w:rsidRDefault="00380BE7" w:rsidP="009574E7">
            <w:pPr>
              <w:jc w:val="right"/>
              <w:rPr>
                <w:rFonts w:ascii="Arial" w:hAnsi="Arial" w:cs="Arial"/>
                <w:color w:val="365F91"/>
                <w:sz w:val="16"/>
                <w:szCs w:val="16"/>
              </w:rPr>
            </w:pPr>
            <w:r w:rsidRPr="00256982">
              <w:rPr>
                <w:rFonts w:ascii="Arial" w:hAnsi="Arial" w:cs="Arial"/>
                <w:color w:val="365F91"/>
                <w:sz w:val="16"/>
                <w:szCs w:val="16"/>
              </w:rPr>
              <w:t>0.4</w:t>
            </w:r>
          </w:p>
        </w:tc>
        <w:tc>
          <w:tcPr>
            <w:tcW w:w="873" w:type="dxa"/>
            <w:tcBorders>
              <w:top w:val="nil"/>
              <w:left w:val="nil"/>
              <w:bottom w:val="single" w:sz="8" w:space="0" w:color="365F91"/>
              <w:right w:val="single" w:sz="8" w:space="0" w:color="365F91"/>
            </w:tcBorders>
            <w:shd w:val="clear" w:color="auto" w:fill="auto"/>
            <w:vAlign w:val="center"/>
            <w:hideMark/>
          </w:tcPr>
          <w:p w14:paraId="7A4B68DC" w14:textId="77777777" w:rsidR="00380BE7" w:rsidRPr="00256982" w:rsidRDefault="00380BE7" w:rsidP="009574E7">
            <w:pPr>
              <w:jc w:val="right"/>
              <w:rPr>
                <w:rFonts w:ascii="Arial" w:hAnsi="Arial" w:cs="Arial"/>
                <w:color w:val="365F91"/>
                <w:sz w:val="16"/>
                <w:szCs w:val="16"/>
              </w:rPr>
            </w:pPr>
            <w:r w:rsidRPr="00256982">
              <w:rPr>
                <w:rFonts w:ascii="Arial" w:hAnsi="Arial" w:cs="Arial"/>
                <w:color w:val="365F91"/>
                <w:sz w:val="16"/>
                <w:szCs w:val="16"/>
              </w:rPr>
              <w:t>0.0</w:t>
            </w:r>
          </w:p>
        </w:tc>
        <w:tc>
          <w:tcPr>
            <w:tcW w:w="873" w:type="dxa"/>
            <w:tcBorders>
              <w:top w:val="nil"/>
              <w:left w:val="nil"/>
              <w:bottom w:val="single" w:sz="8" w:space="0" w:color="365F91"/>
            </w:tcBorders>
            <w:shd w:val="clear" w:color="auto" w:fill="auto"/>
            <w:noWrap/>
            <w:vAlign w:val="center"/>
            <w:hideMark/>
          </w:tcPr>
          <w:p w14:paraId="3A02BDBA" w14:textId="77777777" w:rsidR="00380BE7" w:rsidRPr="00256982" w:rsidRDefault="00380BE7" w:rsidP="009574E7">
            <w:pPr>
              <w:jc w:val="right"/>
              <w:rPr>
                <w:rFonts w:ascii="Arial" w:hAnsi="Arial" w:cs="Arial"/>
                <w:color w:val="365F91"/>
                <w:sz w:val="16"/>
                <w:szCs w:val="16"/>
              </w:rPr>
            </w:pPr>
            <w:r w:rsidRPr="00256982">
              <w:rPr>
                <w:rFonts w:ascii="Arial" w:hAnsi="Arial" w:cs="Arial"/>
                <w:color w:val="365F91"/>
                <w:sz w:val="16"/>
                <w:szCs w:val="16"/>
              </w:rPr>
              <w:t>NA</w:t>
            </w:r>
          </w:p>
        </w:tc>
      </w:tr>
    </w:tbl>
    <w:p w14:paraId="18EAA95F" w14:textId="48ED7A03" w:rsidR="00380BE7" w:rsidRPr="00256982" w:rsidRDefault="00380BE7" w:rsidP="00142A81">
      <w:pPr>
        <w:pStyle w:val="Noteundertable"/>
      </w:pPr>
      <w:r w:rsidRPr="00256982">
        <w:rPr>
          <w:b/>
        </w:rPr>
        <w:t>Note:</w:t>
      </w:r>
      <w:r w:rsidRPr="00256982">
        <w:tab/>
        <w:t>Units in 000s hectares; NA = not applicable. Shaded cells indicate land remaining in each land use. The minimum area shown for land-use change is 100 hectares; however, areas are mapped to 1 hectare resolution. Blank cells indicate no land-use change during the period; 0.0 indicates land-use</w:t>
      </w:r>
      <w:r w:rsidR="00F62AC8" w:rsidRPr="00256982">
        <w:rPr>
          <w:sz w:val="17"/>
          <w:szCs w:val="17"/>
        </w:rPr>
        <w:t xml:space="preserve"> change was less than 100 hectares. Land use area values are as at the date indicated (31 December for 2016 and 2017). Columns and rows may not total due to rounding.</w:t>
      </w:r>
    </w:p>
    <w:p w14:paraId="7D705FA0" w14:textId="100AB953" w:rsidR="00380BE7" w:rsidRPr="00256982" w:rsidRDefault="00590491" w:rsidP="00380BE7">
      <w:pPr>
        <w:pStyle w:val="Table"/>
        <w:spacing w:before="0"/>
      </w:pPr>
      <w:bookmarkStart w:id="1160" w:name="_Toc5269513"/>
      <w:r>
        <w:lastRenderedPageBreak/>
        <w:pict w14:anchorId="49A668AE">
          <v:shape id="AutoShape 69" o:spid="_x0000_s1130" type="#_x0000_t32" style="position:absolute;left:0;text-align:left;margin-left:-.2pt;margin-top:15.55pt;width:106.8pt;height:59.6pt;z-index: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" strokecolor="white"/>
        </w:pict>
      </w:r>
      <w:r w:rsidR="00380BE7" w:rsidRPr="00256982">
        <w:t>Table 6.2.7</w:t>
      </w:r>
      <w:r w:rsidR="00380BE7" w:rsidRPr="00256982">
        <w:tab/>
        <w:t>New Zealand’s land-use change matrix from 1990 to 2017</w:t>
      </w:r>
      <w:bookmarkEnd w:id="1160"/>
    </w:p>
    <w:tbl>
      <w:tblPr>
        <w:tblW w:w="14057" w:type="dxa"/>
        <w:tblInd w:w="85" w:type="dxa"/>
        <w:tblLook w:val="04A0" w:firstRow="1" w:lastRow="0" w:firstColumn="1" w:lastColumn="0" w:noHBand="0" w:noVBand="1"/>
      </w:tblPr>
      <w:tblGrid>
        <w:gridCol w:w="1123"/>
        <w:gridCol w:w="1061"/>
        <w:gridCol w:w="816"/>
        <w:gridCol w:w="851"/>
        <w:gridCol w:w="850"/>
        <w:gridCol w:w="851"/>
        <w:gridCol w:w="992"/>
        <w:gridCol w:w="999"/>
        <w:gridCol w:w="999"/>
        <w:gridCol w:w="999"/>
        <w:gridCol w:w="830"/>
        <w:gridCol w:w="992"/>
        <w:gridCol w:w="1134"/>
        <w:gridCol w:w="709"/>
        <w:gridCol w:w="851"/>
      </w:tblGrid>
      <w:tr w:rsidR="00380BE7" w:rsidRPr="00256982" w14:paraId="00188C5A" w14:textId="77777777" w:rsidTr="009574E7">
        <w:trPr>
          <w:trHeight w:val="527"/>
        </w:trPr>
        <w:tc>
          <w:tcPr>
            <w:tcW w:w="1123" w:type="dxa"/>
            <w:vMerge w:val="restart"/>
            <w:tcBorders>
              <w:top w:val="single" w:sz="4" w:space="0" w:color="365F91"/>
              <w:bottom w:val="single" w:sz="4" w:space="0" w:color="365F91"/>
            </w:tcBorders>
            <w:shd w:val="clear" w:color="auto" w:fill="376092"/>
            <w:noWrap/>
            <w:vAlign w:val="bottom"/>
            <w:hideMark/>
          </w:tcPr>
          <w:p w14:paraId="5B116D37" w14:textId="77777777" w:rsidR="00380BE7" w:rsidRPr="00256982" w:rsidRDefault="00380BE7" w:rsidP="009574E7">
            <w:pPr>
              <w:pStyle w:val="TableTextBold"/>
              <w:spacing w:before="40" w:after="40"/>
              <w:rPr>
                <w:noProof w:val="0"/>
                <w:color w:val="FFFFFF"/>
                <w:lang w:eastAsia="en-NZ"/>
              </w:rPr>
            </w:pPr>
            <w:r w:rsidRPr="00256982">
              <w:rPr>
                <w:noProof w:val="0"/>
                <w:color w:val="FFFFFF"/>
                <w:lang w:eastAsia="en-NZ"/>
              </w:rPr>
              <w:t>2017</w:t>
            </w:r>
          </w:p>
        </w:tc>
        <w:tc>
          <w:tcPr>
            <w:tcW w:w="1061" w:type="dxa"/>
            <w:tcBorders>
              <w:top w:val="single" w:sz="4" w:space="0" w:color="365F91"/>
            </w:tcBorders>
            <w:shd w:val="clear" w:color="auto" w:fill="376092"/>
            <w:vAlign w:val="bottom"/>
            <w:hideMark/>
          </w:tcPr>
          <w:p w14:paraId="4697CCFE" w14:textId="013A0BDC" w:rsidR="00380BE7" w:rsidRPr="00256982" w:rsidRDefault="00380BE7" w:rsidP="009574E7">
            <w:pPr>
              <w:pStyle w:val="TableTextBold"/>
              <w:spacing w:before="40" w:after="40"/>
              <w:jc w:val="right"/>
              <w:rPr>
                <w:rFonts w:ascii="Calibri" w:hAnsi="Calibri"/>
                <w:noProof w:val="0"/>
                <w:color w:val="FFFFFF"/>
                <w:szCs w:val="22"/>
                <w:lang w:eastAsia="en-NZ"/>
              </w:rPr>
            </w:pPr>
            <w:r w:rsidRPr="00256982">
              <w:rPr>
                <w:noProof w:val="0"/>
                <w:color w:val="FFFFFF"/>
                <w:lang w:eastAsia="en-NZ"/>
              </w:rPr>
              <w:t>1990</w:t>
            </w:r>
          </w:p>
        </w:tc>
        <w:tc>
          <w:tcPr>
            <w:tcW w:w="2517" w:type="dxa"/>
            <w:gridSpan w:val="3"/>
            <w:tcBorders>
              <w:top w:val="single" w:sz="4" w:space="0" w:color="365F91"/>
              <w:bottom w:val="single" w:sz="4" w:space="0" w:color="FFFFFF"/>
            </w:tcBorders>
            <w:shd w:val="clear" w:color="auto" w:fill="376092"/>
            <w:vAlign w:val="bottom"/>
            <w:hideMark/>
          </w:tcPr>
          <w:p w14:paraId="48A00956" w14:textId="77777777" w:rsidR="00380BE7" w:rsidRPr="00256982" w:rsidRDefault="00380BE7" w:rsidP="00F62AC8">
            <w:pPr>
              <w:pStyle w:val="TableTextBold"/>
              <w:spacing w:before="40" w:after="40"/>
              <w:jc w:val="center"/>
              <w:rPr>
                <w:noProof w:val="0"/>
                <w:color w:val="FFFFFF"/>
                <w:lang w:eastAsia="en-NZ"/>
              </w:rPr>
            </w:pPr>
            <w:r w:rsidRPr="00256982">
              <w:rPr>
                <w:noProof w:val="0"/>
                <w:color w:val="FFFFFF"/>
                <w:lang w:eastAsia="en-NZ"/>
              </w:rPr>
              <w:t>Forest land</w:t>
            </w:r>
          </w:p>
        </w:tc>
        <w:tc>
          <w:tcPr>
            <w:tcW w:w="1843" w:type="dxa"/>
            <w:gridSpan w:val="2"/>
            <w:tcBorders>
              <w:top w:val="single" w:sz="4" w:space="0" w:color="365F91"/>
              <w:bottom w:val="single" w:sz="4" w:space="0" w:color="FFFFFF"/>
            </w:tcBorders>
            <w:shd w:val="clear" w:color="auto" w:fill="376092"/>
            <w:vAlign w:val="bottom"/>
            <w:hideMark/>
          </w:tcPr>
          <w:p w14:paraId="3E92F2A5" w14:textId="77777777" w:rsidR="00380BE7" w:rsidRPr="00256982" w:rsidRDefault="00380BE7" w:rsidP="00F62AC8">
            <w:pPr>
              <w:pStyle w:val="TableTextBold"/>
              <w:spacing w:before="40" w:after="40"/>
              <w:jc w:val="center"/>
              <w:rPr>
                <w:noProof w:val="0"/>
                <w:color w:val="FFFFFF"/>
                <w:lang w:eastAsia="en-NZ"/>
              </w:rPr>
            </w:pPr>
            <w:r w:rsidRPr="00256982">
              <w:rPr>
                <w:noProof w:val="0"/>
                <w:color w:val="FFFFFF"/>
                <w:lang w:eastAsia="en-NZ"/>
              </w:rPr>
              <w:t>Cropland</w:t>
            </w:r>
          </w:p>
        </w:tc>
        <w:tc>
          <w:tcPr>
            <w:tcW w:w="2997" w:type="dxa"/>
            <w:gridSpan w:val="3"/>
            <w:tcBorders>
              <w:top w:val="single" w:sz="4" w:space="0" w:color="365F91"/>
              <w:bottom w:val="single" w:sz="4" w:space="0" w:color="FFFFFF"/>
            </w:tcBorders>
            <w:shd w:val="clear" w:color="auto" w:fill="376092"/>
            <w:vAlign w:val="bottom"/>
            <w:hideMark/>
          </w:tcPr>
          <w:p w14:paraId="26738BF2" w14:textId="77777777" w:rsidR="00380BE7" w:rsidRPr="00256982" w:rsidRDefault="00380BE7" w:rsidP="00F62AC8">
            <w:pPr>
              <w:pStyle w:val="TableTextBold"/>
              <w:spacing w:before="40" w:after="40"/>
              <w:jc w:val="center"/>
              <w:rPr>
                <w:noProof w:val="0"/>
                <w:color w:val="FFFFFF"/>
                <w:lang w:eastAsia="en-NZ"/>
              </w:rPr>
            </w:pPr>
            <w:r w:rsidRPr="00256982">
              <w:rPr>
                <w:noProof w:val="0"/>
                <w:color w:val="FFFFFF"/>
                <w:lang w:eastAsia="en-NZ"/>
              </w:rPr>
              <w:t>Grassland</w:t>
            </w:r>
          </w:p>
        </w:tc>
        <w:tc>
          <w:tcPr>
            <w:tcW w:w="1822" w:type="dxa"/>
            <w:gridSpan w:val="2"/>
            <w:tcBorders>
              <w:top w:val="single" w:sz="4" w:space="0" w:color="365F91"/>
              <w:bottom w:val="single" w:sz="4" w:space="0" w:color="FFFFFF"/>
            </w:tcBorders>
            <w:shd w:val="clear" w:color="auto" w:fill="376092"/>
            <w:vAlign w:val="bottom"/>
            <w:hideMark/>
          </w:tcPr>
          <w:p w14:paraId="39CC7AE3" w14:textId="77777777" w:rsidR="00380BE7" w:rsidRPr="00256982" w:rsidRDefault="00380BE7" w:rsidP="00F62AC8">
            <w:pPr>
              <w:pStyle w:val="TableTextBold"/>
              <w:spacing w:before="40" w:after="40"/>
              <w:jc w:val="center"/>
              <w:rPr>
                <w:noProof w:val="0"/>
                <w:color w:val="FFFFFF"/>
                <w:lang w:eastAsia="en-NZ"/>
              </w:rPr>
            </w:pPr>
            <w:r w:rsidRPr="00256982">
              <w:rPr>
                <w:noProof w:val="0"/>
                <w:color w:val="FFFFFF"/>
                <w:lang w:eastAsia="en-NZ"/>
              </w:rPr>
              <w:t>Wetlands</w:t>
            </w:r>
          </w:p>
        </w:tc>
        <w:tc>
          <w:tcPr>
            <w:tcW w:w="1134" w:type="dxa"/>
            <w:tcBorders>
              <w:top w:val="single" w:sz="4" w:space="0" w:color="365F91"/>
              <w:bottom w:val="single" w:sz="4" w:space="0" w:color="FFFFFF"/>
            </w:tcBorders>
            <w:shd w:val="clear" w:color="auto" w:fill="376092"/>
            <w:vAlign w:val="bottom"/>
            <w:hideMark/>
          </w:tcPr>
          <w:p w14:paraId="7493243D" w14:textId="77777777" w:rsidR="00380BE7" w:rsidRPr="00256982" w:rsidRDefault="00380BE7" w:rsidP="00F62AC8">
            <w:pPr>
              <w:pStyle w:val="TableTextBold"/>
              <w:spacing w:before="40" w:after="40"/>
              <w:jc w:val="center"/>
              <w:rPr>
                <w:noProof w:val="0"/>
                <w:color w:val="FFFFFF"/>
                <w:lang w:eastAsia="en-NZ"/>
              </w:rPr>
            </w:pPr>
            <w:r w:rsidRPr="00256982">
              <w:rPr>
                <w:noProof w:val="0"/>
                <w:color w:val="FFFFFF"/>
                <w:lang w:eastAsia="en-NZ"/>
              </w:rPr>
              <w:t>Settlements</w:t>
            </w:r>
          </w:p>
        </w:tc>
        <w:tc>
          <w:tcPr>
            <w:tcW w:w="709" w:type="dxa"/>
            <w:tcBorders>
              <w:top w:val="single" w:sz="4" w:space="0" w:color="365F91"/>
              <w:bottom w:val="single" w:sz="4" w:space="0" w:color="FFFFFF"/>
            </w:tcBorders>
            <w:shd w:val="clear" w:color="auto" w:fill="376092"/>
            <w:vAlign w:val="bottom"/>
            <w:hideMark/>
          </w:tcPr>
          <w:p w14:paraId="4BE226D4" w14:textId="77777777" w:rsidR="00380BE7" w:rsidRPr="00256982" w:rsidRDefault="00380BE7" w:rsidP="00F62AC8">
            <w:pPr>
              <w:pStyle w:val="TableTextBold"/>
              <w:spacing w:before="40" w:after="40"/>
              <w:jc w:val="center"/>
              <w:rPr>
                <w:noProof w:val="0"/>
                <w:color w:val="FFFFFF"/>
                <w:lang w:eastAsia="en-NZ"/>
              </w:rPr>
            </w:pPr>
            <w:r w:rsidRPr="00256982">
              <w:rPr>
                <w:noProof w:val="0"/>
                <w:color w:val="FFFFFF"/>
                <w:lang w:eastAsia="en-NZ"/>
              </w:rPr>
              <w:t>Other land</w:t>
            </w:r>
          </w:p>
        </w:tc>
        <w:tc>
          <w:tcPr>
            <w:tcW w:w="851" w:type="dxa"/>
            <w:vMerge w:val="restart"/>
            <w:tcBorders>
              <w:top w:val="single" w:sz="4" w:space="0" w:color="365F91"/>
              <w:bottom w:val="single" w:sz="4" w:space="0" w:color="365F91"/>
            </w:tcBorders>
            <w:shd w:val="clear" w:color="auto" w:fill="376092"/>
            <w:vAlign w:val="bottom"/>
            <w:hideMark/>
          </w:tcPr>
          <w:p w14:paraId="3DF877CB" w14:textId="77777777" w:rsidR="00380BE7" w:rsidRPr="00256982" w:rsidRDefault="00380BE7" w:rsidP="00F62AC8">
            <w:pPr>
              <w:pStyle w:val="TableTextBold"/>
              <w:spacing w:before="40" w:after="40"/>
              <w:jc w:val="right"/>
              <w:rPr>
                <w:noProof w:val="0"/>
                <w:color w:val="FFFFFF"/>
                <w:lang w:eastAsia="en-NZ"/>
              </w:rPr>
            </w:pPr>
            <w:r w:rsidRPr="00256982">
              <w:rPr>
                <w:noProof w:val="0"/>
                <w:color w:val="FFFFFF"/>
                <w:lang w:eastAsia="en-NZ"/>
              </w:rPr>
              <w:t>Net area 31 Dec 2017 (kha)</w:t>
            </w:r>
          </w:p>
        </w:tc>
      </w:tr>
      <w:tr w:rsidR="00380BE7" w:rsidRPr="00256982" w14:paraId="3C2424A5" w14:textId="77777777" w:rsidTr="009574E7">
        <w:trPr>
          <w:trHeight w:val="522"/>
        </w:trPr>
        <w:tc>
          <w:tcPr>
            <w:tcW w:w="1123" w:type="dxa"/>
            <w:vMerge/>
            <w:tcBorders>
              <w:bottom w:val="single" w:sz="4" w:space="0" w:color="365F91"/>
            </w:tcBorders>
            <w:shd w:val="clear" w:color="auto" w:fill="376092"/>
            <w:vAlign w:val="center"/>
            <w:hideMark/>
          </w:tcPr>
          <w:p w14:paraId="48CD17DC" w14:textId="77777777" w:rsidR="00380BE7" w:rsidRPr="00256982" w:rsidRDefault="00380BE7" w:rsidP="009574E7">
            <w:pPr>
              <w:pStyle w:val="TableTextBold"/>
              <w:spacing w:before="40" w:after="40"/>
              <w:rPr>
                <w:noProof w:val="0"/>
                <w:color w:val="FFFFFF"/>
                <w:lang w:eastAsia="en-NZ"/>
              </w:rPr>
            </w:pPr>
          </w:p>
        </w:tc>
        <w:tc>
          <w:tcPr>
            <w:tcW w:w="1061" w:type="dxa"/>
            <w:tcBorders>
              <w:bottom w:val="single" w:sz="4" w:space="0" w:color="365F91"/>
            </w:tcBorders>
            <w:shd w:val="clear" w:color="auto" w:fill="376092"/>
            <w:vAlign w:val="bottom"/>
            <w:hideMark/>
          </w:tcPr>
          <w:p w14:paraId="7F19317B" w14:textId="77777777" w:rsidR="00380BE7" w:rsidRPr="00256982" w:rsidRDefault="00380BE7" w:rsidP="009574E7">
            <w:pPr>
              <w:pStyle w:val="TableTextBold"/>
              <w:spacing w:before="40" w:after="40"/>
              <w:rPr>
                <w:noProof w:val="0"/>
                <w:color w:val="FFFFFF"/>
                <w:lang w:eastAsia="en-NZ"/>
              </w:rPr>
            </w:pPr>
            <w:r w:rsidRPr="00256982">
              <w:rPr>
                <w:noProof w:val="0"/>
                <w:color w:val="FFFFFF"/>
                <w:lang w:eastAsia="en-NZ"/>
              </w:rPr>
              <w:t> </w:t>
            </w:r>
          </w:p>
        </w:tc>
        <w:tc>
          <w:tcPr>
            <w:tcW w:w="816" w:type="dxa"/>
            <w:tcBorders>
              <w:top w:val="single" w:sz="4" w:space="0" w:color="FFFFFF"/>
              <w:bottom w:val="single" w:sz="4" w:space="0" w:color="365F91"/>
            </w:tcBorders>
            <w:shd w:val="clear" w:color="auto" w:fill="376092"/>
            <w:vAlign w:val="bottom"/>
            <w:hideMark/>
          </w:tcPr>
          <w:p w14:paraId="048C2C01" w14:textId="77777777" w:rsidR="00380BE7" w:rsidRPr="00256982" w:rsidRDefault="00380BE7" w:rsidP="00F62AC8">
            <w:pPr>
              <w:pStyle w:val="TableTextBold"/>
              <w:spacing w:before="40" w:after="40"/>
              <w:jc w:val="center"/>
              <w:rPr>
                <w:noProof w:val="0"/>
                <w:color w:val="FFFFFF"/>
                <w:lang w:eastAsia="en-NZ"/>
              </w:rPr>
            </w:pPr>
            <w:r w:rsidRPr="00256982">
              <w:rPr>
                <w:noProof w:val="0"/>
                <w:color w:val="FFFFFF"/>
                <w:lang w:eastAsia="en-NZ"/>
              </w:rPr>
              <w:t>Natural</w:t>
            </w:r>
          </w:p>
        </w:tc>
        <w:tc>
          <w:tcPr>
            <w:tcW w:w="851" w:type="dxa"/>
            <w:tcBorders>
              <w:top w:val="single" w:sz="4" w:space="0" w:color="FFFFFF"/>
              <w:bottom w:val="single" w:sz="4" w:space="0" w:color="365F91"/>
            </w:tcBorders>
            <w:shd w:val="clear" w:color="auto" w:fill="376092"/>
            <w:vAlign w:val="bottom"/>
            <w:hideMark/>
          </w:tcPr>
          <w:p w14:paraId="1080E0A2" w14:textId="77777777" w:rsidR="00380BE7" w:rsidRPr="00256982" w:rsidRDefault="00380BE7" w:rsidP="00F62AC8">
            <w:pPr>
              <w:pStyle w:val="TableTextBold"/>
              <w:spacing w:before="40" w:after="40"/>
              <w:jc w:val="center"/>
              <w:rPr>
                <w:noProof w:val="0"/>
                <w:color w:val="FFFFFF"/>
                <w:lang w:eastAsia="en-NZ"/>
              </w:rPr>
            </w:pPr>
            <w:r w:rsidRPr="00256982">
              <w:rPr>
                <w:noProof w:val="0"/>
                <w:color w:val="FFFFFF"/>
                <w:lang w:eastAsia="en-NZ"/>
              </w:rPr>
              <w:t>Pre-1990 planted</w:t>
            </w:r>
          </w:p>
        </w:tc>
        <w:tc>
          <w:tcPr>
            <w:tcW w:w="850" w:type="dxa"/>
            <w:tcBorders>
              <w:top w:val="single" w:sz="4" w:space="0" w:color="FFFFFF"/>
              <w:bottom w:val="single" w:sz="4" w:space="0" w:color="365F91"/>
            </w:tcBorders>
            <w:shd w:val="clear" w:color="auto" w:fill="376092"/>
            <w:vAlign w:val="bottom"/>
            <w:hideMark/>
          </w:tcPr>
          <w:p w14:paraId="3B365828" w14:textId="77777777" w:rsidR="00380BE7" w:rsidRPr="00256982" w:rsidRDefault="00380BE7" w:rsidP="00F62AC8">
            <w:pPr>
              <w:pStyle w:val="TableTextBold"/>
              <w:spacing w:before="40" w:after="40"/>
              <w:jc w:val="center"/>
              <w:rPr>
                <w:noProof w:val="0"/>
                <w:color w:val="FFFFFF"/>
                <w:lang w:eastAsia="en-NZ"/>
              </w:rPr>
            </w:pPr>
            <w:r w:rsidRPr="00256982">
              <w:rPr>
                <w:noProof w:val="0"/>
                <w:color w:val="FFFFFF"/>
                <w:lang w:eastAsia="en-NZ"/>
              </w:rPr>
              <w:t>Post-1989</w:t>
            </w:r>
          </w:p>
        </w:tc>
        <w:tc>
          <w:tcPr>
            <w:tcW w:w="851" w:type="dxa"/>
            <w:tcBorders>
              <w:top w:val="single" w:sz="4" w:space="0" w:color="FFFFFF"/>
              <w:bottom w:val="single" w:sz="4" w:space="0" w:color="365F91"/>
            </w:tcBorders>
            <w:shd w:val="clear" w:color="auto" w:fill="376092"/>
            <w:vAlign w:val="bottom"/>
            <w:hideMark/>
          </w:tcPr>
          <w:p w14:paraId="2EE0BDF0" w14:textId="77777777" w:rsidR="00380BE7" w:rsidRPr="00256982" w:rsidRDefault="00380BE7" w:rsidP="00F62AC8">
            <w:pPr>
              <w:pStyle w:val="TableTextBold"/>
              <w:spacing w:before="40" w:after="40"/>
              <w:jc w:val="center"/>
              <w:rPr>
                <w:noProof w:val="0"/>
                <w:color w:val="FFFFFF"/>
                <w:lang w:eastAsia="en-NZ"/>
              </w:rPr>
            </w:pPr>
            <w:r w:rsidRPr="00256982">
              <w:rPr>
                <w:noProof w:val="0"/>
                <w:color w:val="FFFFFF"/>
                <w:lang w:eastAsia="en-NZ"/>
              </w:rPr>
              <w:t>Annual</w:t>
            </w:r>
          </w:p>
        </w:tc>
        <w:tc>
          <w:tcPr>
            <w:tcW w:w="992" w:type="dxa"/>
            <w:tcBorders>
              <w:top w:val="single" w:sz="4" w:space="0" w:color="FFFFFF"/>
              <w:bottom w:val="single" w:sz="4" w:space="0" w:color="365F91"/>
            </w:tcBorders>
            <w:shd w:val="clear" w:color="auto" w:fill="376092"/>
            <w:vAlign w:val="bottom"/>
            <w:hideMark/>
          </w:tcPr>
          <w:p w14:paraId="7EE37DFF" w14:textId="77777777" w:rsidR="00380BE7" w:rsidRPr="00256982" w:rsidRDefault="00380BE7" w:rsidP="00F62AC8">
            <w:pPr>
              <w:pStyle w:val="TableTextBold"/>
              <w:spacing w:before="40" w:after="40"/>
              <w:jc w:val="center"/>
              <w:rPr>
                <w:noProof w:val="0"/>
                <w:color w:val="FFFFFF"/>
                <w:lang w:eastAsia="en-NZ"/>
              </w:rPr>
            </w:pPr>
            <w:r w:rsidRPr="00256982">
              <w:rPr>
                <w:noProof w:val="0"/>
                <w:color w:val="FFFFFF"/>
                <w:lang w:eastAsia="en-NZ"/>
              </w:rPr>
              <w:t>Perennial</w:t>
            </w:r>
          </w:p>
        </w:tc>
        <w:tc>
          <w:tcPr>
            <w:tcW w:w="999" w:type="dxa"/>
            <w:tcBorders>
              <w:top w:val="single" w:sz="4" w:space="0" w:color="FFFFFF"/>
              <w:bottom w:val="single" w:sz="4" w:space="0" w:color="365F91"/>
            </w:tcBorders>
            <w:shd w:val="clear" w:color="auto" w:fill="376092"/>
            <w:vAlign w:val="bottom"/>
            <w:hideMark/>
          </w:tcPr>
          <w:p w14:paraId="7865895C" w14:textId="77777777" w:rsidR="00380BE7" w:rsidRPr="00256982" w:rsidRDefault="00380BE7" w:rsidP="00F62AC8">
            <w:pPr>
              <w:pStyle w:val="TableTextBold"/>
              <w:spacing w:before="40" w:after="40"/>
              <w:jc w:val="center"/>
              <w:rPr>
                <w:noProof w:val="0"/>
                <w:color w:val="FFFFFF"/>
                <w:lang w:eastAsia="en-NZ"/>
              </w:rPr>
            </w:pPr>
            <w:r w:rsidRPr="00256982">
              <w:rPr>
                <w:noProof w:val="0"/>
                <w:color w:val="FFFFFF"/>
                <w:lang w:eastAsia="en-NZ"/>
              </w:rPr>
              <w:t>High producing</w:t>
            </w:r>
          </w:p>
        </w:tc>
        <w:tc>
          <w:tcPr>
            <w:tcW w:w="999" w:type="dxa"/>
            <w:tcBorders>
              <w:top w:val="single" w:sz="4" w:space="0" w:color="FFFFFF"/>
              <w:bottom w:val="single" w:sz="4" w:space="0" w:color="365F91"/>
            </w:tcBorders>
            <w:shd w:val="clear" w:color="auto" w:fill="376092"/>
            <w:vAlign w:val="bottom"/>
            <w:hideMark/>
          </w:tcPr>
          <w:p w14:paraId="6A5373A6" w14:textId="77777777" w:rsidR="00380BE7" w:rsidRPr="00256982" w:rsidRDefault="00380BE7" w:rsidP="00F62AC8">
            <w:pPr>
              <w:pStyle w:val="TableTextBold"/>
              <w:spacing w:before="40" w:after="40"/>
              <w:jc w:val="center"/>
              <w:rPr>
                <w:noProof w:val="0"/>
                <w:color w:val="FFFFFF"/>
                <w:lang w:eastAsia="en-NZ"/>
              </w:rPr>
            </w:pPr>
            <w:r w:rsidRPr="00256982">
              <w:rPr>
                <w:noProof w:val="0"/>
                <w:color w:val="FFFFFF"/>
                <w:lang w:eastAsia="en-NZ"/>
              </w:rPr>
              <w:t>Low producing</w:t>
            </w:r>
          </w:p>
        </w:tc>
        <w:tc>
          <w:tcPr>
            <w:tcW w:w="999" w:type="dxa"/>
            <w:tcBorders>
              <w:top w:val="single" w:sz="4" w:space="0" w:color="FFFFFF"/>
              <w:bottom w:val="single" w:sz="4" w:space="0" w:color="365F91"/>
            </w:tcBorders>
            <w:shd w:val="clear" w:color="auto" w:fill="376092"/>
            <w:vAlign w:val="bottom"/>
            <w:hideMark/>
          </w:tcPr>
          <w:p w14:paraId="1E88906E" w14:textId="77777777" w:rsidR="00380BE7" w:rsidRPr="00256982" w:rsidRDefault="00380BE7" w:rsidP="00F62AC8">
            <w:pPr>
              <w:pStyle w:val="TableTextBold"/>
              <w:spacing w:before="40" w:after="40"/>
              <w:jc w:val="center"/>
              <w:rPr>
                <w:noProof w:val="0"/>
                <w:color w:val="FFFFFF"/>
                <w:lang w:eastAsia="en-NZ"/>
              </w:rPr>
            </w:pPr>
            <w:r w:rsidRPr="00256982">
              <w:rPr>
                <w:noProof w:val="0"/>
                <w:color w:val="FFFFFF"/>
                <w:lang w:eastAsia="en-NZ"/>
              </w:rPr>
              <w:t>With woody biomass</w:t>
            </w:r>
          </w:p>
        </w:tc>
        <w:tc>
          <w:tcPr>
            <w:tcW w:w="830" w:type="dxa"/>
            <w:tcBorders>
              <w:top w:val="single" w:sz="4" w:space="0" w:color="FFFFFF"/>
              <w:bottom w:val="single" w:sz="4" w:space="0" w:color="365F91"/>
            </w:tcBorders>
            <w:shd w:val="clear" w:color="auto" w:fill="376092"/>
            <w:vAlign w:val="bottom"/>
            <w:hideMark/>
          </w:tcPr>
          <w:p w14:paraId="78199FBA" w14:textId="77777777" w:rsidR="00380BE7" w:rsidRPr="00256982" w:rsidRDefault="00380BE7" w:rsidP="00F62AC8">
            <w:pPr>
              <w:pStyle w:val="TableTextBold"/>
              <w:spacing w:before="40" w:after="40"/>
              <w:jc w:val="center"/>
              <w:rPr>
                <w:noProof w:val="0"/>
                <w:color w:val="FFFFFF"/>
                <w:lang w:eastAsia="en-NZ"/>
              </w:rPr>
            </w:pPr>
            <w:r w:rsidRPr="00256982">
              <w:rPr>
                <w:noProof w:val="0"/>
                <w:color w:val="FFFFFF"/>
                <w:lang w:eastAsia="en-NZ"/>
              </w:rPr>
              <w:t>Open water</w:t>
            </w:r>
          </w:p>
        </w:tc>
        <w:tc>
          <w:tcPr>
            <w:tcW w:w="992" w:type="dxa"/>
            <w:tcBorders>
              <w:top w:val="single" w:sz="4" w:space="0" w:color="FFFFFF"/>
              <w:bottom w:val="single" w:sz="4" w:space="0" w:color="365F91"/>
            </w:tcBorders>
            <w:shd w:val="clear" w:color="auto" w:fill="376092"/>
            <w:vAlign w:val="bottom"/>
            <w:hideMark/>
          </w:tcPr>
          <w:p w14:paraId="0A11A5A0" w14:textId="77777777" w:rsidR="00380BE7" w:rsidRPr="00256982" w:rsidRDefault="00380BE7" w:rsidP="00F62AC8">
            <w:pPr>
              <w:pStyle w:val="TableTextBold"/>
              <w:spacing w:before="40" w:after="40"/>
              <w:jc w:val="center"/>
              <w:rPr>
                <w:noProof w:val="0"/>
                <w:color w:val="FFFFFF"/>
                <w:lang w:eastAsia="en-NZ"/>
              </w:rPr>
            </w:pPr>
            <w:r w:rsidRPr="00256982">
              <w:rPr>
                <w:noProof w:val="0"/>
                <w:color w:val="FFFFFF"/>
                <w:lang w:eastAsia="en-NZ"/>
              </w:rPr>
              <w:t>Vegetated</w:t>
            </w:r>
          </w:p>
        </w:tc>
        <w:tc>
          <w:tcPr>
            <w:tcW w:w="1134" w:type="dxa"/>
            <w:tcBorders>
              <w:top w:val="single" w:sz="4" w:space="0" w:color="FFFFFF"/>
              <w:bottom w:val="single" w:sz="4" w:space="0" w:color="365F91"/>
            </w:tcBorders>
            <w:shd w:val="clear" w:color="auto" w:fill="376092"/>
            <w:vAlign w:val="bottom"/>
            <w:hideMark/>
          </w:tcPr>
          <w:p w14:paraId="620B92C3" w14:textId="77777777" w:rsidR="00380BE7" w:rsidRPr="00256982" w:rsidRDefault="00380BE7" w:rsidP="00F62AC8">
            <w:pPr>
              <w:pStyle w:val="TableTextBold"/>
              <w:spacing w:before="40" w:after="40"/>
              <w:jc w:val="center"/>
              <w:rPr>
                <w:noProof w:val="0"/>
                <w:color w:val="FFFFFF"/>
                <w:lang w:eastAsia="en-NZ"/>
              </w:rPr>
            </w:pPr>
            <w:r w:rsidRPr="00256982">
              <w:rPr>
                <w:noProof w:val="0"/>
                <w:color w:val="FFFFFF"/>
                <w:lang w:eastAsia="en-NZ"/>
              </w:rPr>
              <w:t>Settlements</w:t>
            </w:r>
          </w:p>
        </w:tc>
        <w:tc>
          <w:tcPr>
            <w:tcW w:w="709" w:type="dxa"/>
            <w:tcBorders>
              <w:top w:val="single" w:sz="4" w:space="0" w:color="FFFFFF"/>
              <w:bottom w:val="single" w:sz="4" w:space="0" w:color="365F91"/>
            </w:tcBorders>
            <w:shd w:val="clear" w:color="auto" w:fill="376092"/>
            <w:vAlign w:val="bottom"/>
            <w:hideMark/>
          </w:tcPr>
          <w:p w14:paraId="710A200C" w14:textId="77777777" w:rsidR="00380BE7" w:rsidRPr="00256982" w:rsidRDefault="00380BE7" w:rsidP="00F62AC8">
            <w:pPr>
              <w:pStyle w:val="TableTextBold"/>
              <w:spacing w:before="40" w:after="40"/>
              <w:jc w:val="center"/>
              <w:rPr>
                <w:noProof w:val="0"/>
                <w:color w:val="FFFFFF"/>
                <w:lang w:eastAsia="en-NZ"/>
              </w:rPr>
            </w:pPr>
            <w:r w:rsidRPr="00256982">
              <w:rPr>
                <w:noProof w:val="0"/>
                <w:color w:val="FFFFFF"/>
                <w:lang w:eastAsia="en-NZ"/>
              </w:rPr>
              <w:t>Other land</w:t>
            </w:r>
          </w:p>
        </w:tc>
        <w:tc>
          <w:tcPr>
            <w:tcW w:w="851" w:type="dxa"/>
            <w:vMerge/>
            <w:tcBorders>
              <w:bottom w:val="single" w:sz="4" w:space="0" w:color="365F91"/>
            </w:tcBorders>
            <w:shd w:val="clear" w:color="auto" w:fill="376092"/>
            <w:vAlign w:val="center"/>
            <w:hideMark/>
          </w:tcPr>
          <w:p w14:paraId="2C7C6B11" w14:textId="77777777" w:rsidR="00380BE7" w:rsidRPr="00256982" w:rsidRDefault="00380BE7" w:rsidP="009574E7">
            <w:pPr>
              <w:pStyle w:val="TableTextBold"/>
              <w:spacing w:before="40" w:after="40"/>
              <w:rPr>
                <w:noProof w:val="0"/>
                <w:color w:val="FFFFFF"/>
                <w:lang w:eastAsia="en-NZ"/>
              </w:rPr>
            </w:pPr>
          </w:p>
        </w:tc>
      </w:tr>
      <w:tr w:rsidR="00380BE7" w:rsidRPr="00256982" w14:paraId="475E8ED6" w14:textId="77777777" w:rsidTr="00F62AC8">
        <w:trPr>
          <w:trHeight w:val="227"/>
        </w:trPr>
        <w:tc>
          <w:tcPr>
            <w:tcW w:w="1123" w:type="dxa"/>
            <w:vMerge w:val="restart"/>
            <w:tcBorders>
              <w:top w:val="single" w:sz="4" w:space="0" w:color="365F91"/>
              <w:bottom w:val="nil"/>
              <w:right w:val="nil"/>
            </w:tcBorders>
            <w:shd w:val="clear" w:color="auto" w:fill="auto"/>
            <w:noWrap/>
            <w:vAlign w:val="center"/>
            <w:hideMark/>
          </w:tcPr>
          <w:p w14:paraId="519EB3FE" w14:textId="77777777" w:rsidR="00380BE7" w:rsidRPr="00256982" w:rsidRDefault="00380BE7" w:rsidP="009574E7">
            <w:pPr>
              <w:pStyle w:val="TableText"/>
              <w:spacing w:before="40" w:after="40"/>
              <w:rPr>
                <w:b/>
                <w:lang w:eastAsia="en-NZ"/>
              </w:rPr>
            </w:pPr>
            <w:r w:rsidRPr="00256982">
              <w:rPr>
                <w:b/>
                <w:lang w:eastAsia="en-NZ"/>
              </w:rPr>
              <w:t>Forest land</w:t>
            </w:r>
          </w:p>
        </w:tc>
        <w:tc>
          <w:tcPr>
            <w:tcW w:w="1061" w:type="dxa"/>
            <w:tcBorders>
              <w:top w:val="single" w:sz="4" w:space="0" w:color="365F91"/>
              <w:left w:val="nil"/>
              <w:bottom w:val="nil"/>
              <w:right w:val="single" w:sz="8" w:space="0" w:color="365F91"/>
            </w:tcBorders>
            <w:shd w:val="clear" w:color="auto" w:fill="auto"/>
            <w:vAlign w:val="center"/>
            <w:hideMark/>
          </w:tcPr>
          <w:p w14:paraId="506C003F" w14:textId="77777777" w:rsidR="00380BE7" w:rsidRPr="00256982" w:rsidRDefault="00380BE7" w:rsidP="009574E7">
            <w:pPr>
              <w:pStyle w:val="TableText"/>
              <w:spacing w:before="40" w:after="40"/>
              <w:rPr>
                <w:lang w:eastAsia="en-NZ"/>
              </w:rPr>
            </w:pPr>
            <w:r w:rsidRPr="00256982">
              <w:rPr>
                <w:lang w:eastAsia="en-NZ"/>
              </w:rPr>
              <w:t>Natural</w:t>
            </w:r>
          </w:p>
        </w:tc>
        <w:tc>
          <w:tcPr>
            <w:tcW w:w="816" w:type="dxa"/>
            <w:tcBorders>
              <w:top w:val="nil"/>
              <w:left w:val="nil"/>
              <w:bottom w:val="nil"/>
              <w:right w:val="nil"/>
            </w:tcBorders>
            <w:shd w:val="clear" w:color="000000" w:fill="D8D8D8"/>
            <w:vAlign w:val="center"/>
            <w:hideMark/>
          </w:tcPr>
          <w:p w14:paraId="5A525D15"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7,808.5</w:t>
            </w:r>
          </w:p>
        </w:tc>
        <w:tc>
          <w:tcPr>
            <w:tcW w:w="851" w:type="dxa"/>
            <w:tcBorders>
              <w:top w:val="nil"/>
              <w:left w:val="nil"/>
              <w:bottom w:val="nil"/>
              <w:right w:val="nil"/>
            </w:tcBorders>
            <w:shd w:val="clear" w:color="auto" w:fill="auto"/>
            <w:vAlign w:val="center"/>
            <w:hideMark/>
          </w:tcPr>
          <w:p w14:paraId="24C9D38F"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2.8</w:t>
            </w:r>
          </w:p>
        </w:tc>
        <w:tc>
          <w:tcPr>
            <w:tcW w:w="850" w:type="dxa"/>
            <w:tcBorders>
              <w:top w:val="nil"/>
              <w:left w:val="nil"/>
              <w:bottom w:val="nil"/>
              <w:right w:val="single" w:sz="8" w:space="0" w:color="365F91"/>
            </w:tcBorders>
            <w:shd w:val="clear" w:color="auto" w:fill="auto"/>
            <w:vAlign w:val="center"/>
            <w:hideMark/>
          </w:tcPr>
          <w:p w14:paraId="6DC5E21F" w14:textId="77777777" w:rsidR="00380BE7" w:rsidRPr="00256982" w:rsidRDefault="00380BE7" w:rsidP="009574E7">
            <w:pPr>
              <w:jc w:val="left"/>
              <w:rPr>
                <w:rFonts w:ascii="Arial" w:hAnsi="Arial" w:cs="Arial"/>
                <w:color w:val="000000"/>
                <w:sz w:val="16"/>
                <w:szCs w:val="16"/>
              </w:rPr>
            </w:pPr>
            <w:r w:rsidRPr="00256982">
              <w:rPr>
                <w:rFonts w:ascii="Arial" w:hAnsi="Arial" w:cs="Arial"/>
                <w:color w:val="000000"/>
                <w:sz w:val="16"/>
                <w:szCs w:val="16"/>
              </w:rPr>
              <w:t> </w:t>
            </w:r>
          </w:p>
        </w:tc>
        <w:tc>
          <w:tcPr>
            <w:tcW w:w="851" w:type="dxa"/>
            <w:tcBorders>
              <w:top w:val="nil"/>
              <w:left w:val="nil"/>
              <w:bottom w:val="nil"/>
              <w:right w:val="nil"/>
            </w:tcBorders>
            <w:shd w:val="clear" w:color="auto" w:fill="auto"/>
            <w:vAlign w:val="center"/>
            <w:hideMark/>
          </w:tcPr>
          <w:p w14:paraId="5B80C2E9" w14:textId="77777777" w:rsidR="00380BE7" w:rsidRPr="00256982" w:rsidRDefault="00380BE7" w:rsidP="009574E7">
            <w:pPr>
              <w:rPr>
                <w:rFonts w:ascii="Arial" w:hAnsi="Arial" w:cs="Arial"/>
                <w:color w:val="000000"/>
                <w:sz w:val="16"/>
                <w:szCs w:val="16"/>
              </w:rPr>
            </w:pPr>
          </w:p>
        </w:tc>
        <w:tc>
          <w:tcPr>
            <w:tcW w:w="992" w:type="dxa"/>
            <w:tcBorders>
              <w:top w:val="nil"/>
              <w:left w:val="nil"/>
              <w:bottom w:val="nil"/>
              <w:right w:val="single" w:sz="8" w:space="0" w:color="365F91"/>
            </w:tcBorders>
            <w:shd w:val="clear" w:color="auto" w:fill="auto"/>
            <w:vAlign w:val="center"/>
            <w:hideMark/>
          </w:tcPr>
          <w:p w14:paraId="75C24406"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 </w:t>
            </w:r>
          </w:p>
        </w:tc>
        <w:tc>
          <w:tcPr>
            <w:tcW w:w="999" w:type="dxa"/>
            <w:tcBorders>
              <w:top w:val="nil"/>
              <w:left w:val="nil"/>
              <w:bottom w:val="nil"/>
              <w:right w:val="nil"/>
            </w:tcBorders>
            <w:shd w:val="clear" w:color="auto" w:fill="auto"/>
            <w:vAlign w:val="center"/>
            <w:hideMark/>
          </w:tcPr>
          <w:p w14:paraId="38B8A326"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0.0</w:t>
            </w:r>
          </w:p>
        </w:tc>
        <w:tc>
          <w:tcPr>
            <w:tcW w:w="999" w:type="dxa"/>
            <w:tcBorders>
              <w:top w:val="nil"/>
              <w:left w:val="nil"/>
              <w:bottom w:val="nil"/>
              <w:right w:val="nil"/>
            </w:tcBorders>
            <w:shd w:val="clear" w:color="auto" w:fill="auto"/>
            <w:vAlign w:val="center"/>
            <w:hideMark/>
          </w:tcPr>
          <w:p w14:paraId="1E57C425"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0.0</w:t>
            </w:r>
          </w:p>
        </w:tc>
        <w:tc>
          <w:tcPr>
            <w:tcW w:w="999" w:type="dxa"/>
            <w:tcBorders>
              <w:top w:val="nil"/>
              <w:left w:val="nil"/>
              <w:bottom w:val="nil"/>
              <w:right w:val="single" w:sz="8" w:space="0" w:color="365F91"/>
            </w:tcBorders>
            <w:shd w:val="clear" w:color="auto" w:fill="auto"/>
            <w:vAlign w:val="center"/>
            <w:hideMark/>
          </w:tcPr>
          <w:p w14:paraId="280C8307"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0.1</w:t>
            </w:r>
          </w:p>
        </w:tc>
        <w:tc>
          <w:tcPr>
            <w:tcW w:w="830" w:type="dxa"/>
            <w:tcBorders>
              <w:top w:val="nil"/>
              <w:left w:val="nil"/>
              <w:bottom w:val="nil"/>
              <w:right w:val="nil"/>
            </w:tcBorders>
            <w:shd w:val="clear" w:color="auto" w:fill="auto"/>
            <w:vAlign w:val="center"/>
            <w:hideMark/>
          </w:tcPr>
          <w:p w14:paraId="030B773E" w14:textId="77777777" w:rsidR="00380BE7" w:rsidRPr="00256982" w:rsidRDefault="00380BE7" w:rsidP="009574E7">
            <w:pPr>
              <w:jc w:val="right"/>
              <w:rPr>
                <w:rFonts w:ascii="Arial" w:hAnsi="Arial" w:cs="Arial"/>
                <w:color w:val="000000"/>
                <w:sz w:val="16"/>
                <w:szCs w:val="16"/>
              </w:rPr>
            </w:pPr>
          </w:p>
        </w:tc>
        <w:tc>
          <w:tcPr>
            <w:tcW w:w="992" w:type="dxa"/>
            <w:tcBorders>
              <w:top w:val="nil"/>
              <w:left w:val="nil"/>
              <w:bottom w:val="nil"/>
              <w:right w:val="single" w:sz="8" w:space="0" w:color="365F91"/>
            </w:tcBorders>
            <w:shd w:val="clear" w:color="auto" w:fill="auto"/>
            <w:vAlign w:val="center"/>
            <w:hideMark/>
          </w:tcPr>
          <w:p w14:paraId="69EA34E0"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 </w:t>
            </w:r>
          </w:p>
        </w:tc>
        <w:tc>
          <w:tcPr>
            <w:tcW w:w="1134" w:type="dxa"/>
            <w:tcBorders>
              <w:top w:val="nil"/>
              <w:left w:val="nil"/>
              <w:bottom w:val="nil"/>
              <w:right w:val="single" w:sz="8" w:space="0" w:color="365F91"/>
            </w:tcBorders>
            <w:shd w:val="clear" w:color="auto" w:fill="auto"/>
            <w:vAlign w:val="center"/>
            <w:hideMark/>
          </w:tcPr>
          <w:p w14:paraId="58FB6DC9"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 </w:t>
            </w:r>
          </w:p>
        </w:tc>
        <w:tc>
          <w:tcPr>
            <w:tcW w:w="709" w:type="dxa"/>
            <w:tcBorders>
              <w:top w:val="nil"/>
              <w:left w:val="nil"/>
              <w:bottom w:val="nil"/>
              <w:right w:val="single" w:sz="8" w:space="0" w:color="365F91"/>
            </w:tcBorders>
            <w:shd w:val="clear" w:color="auto" w:fill="auto"/>
            <w:vAlign w:val="center"/>
            <w:hideMark/>
          </w:tcPr>
          <w:p w14:paraId="40AFA4E4"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 </w:t>
            </w:r>
          </w:p>
        </w:tc>
        <w:tc>
          <w:tcPr>
            <w:tcW w:w="851" w:type="dxa"/>
            <w:tcBorders>
              <w:top w:val="nil"/>
              <w:left w:val="nil"/>
              <w:bottom w:val="nil"/>
            </w:tcBorders>
            <w:shd w:val="clear" w:color="auto" w:fill="auto"/>
            <w:vAlign w:val="center"/>
            <w:hideMark/>
          </w:tcPr>
          <w:p w14:paraId="2D5595BF"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7,811.4</w:t>
            </w:r>
          </w:p>
        </w:tc>
      </w:tr>
      <w:tr w:rsidR="00380BE7" w:rsidRPr="00256982" w14:paraId="3B1D42DB" w14:textId="77777777" w:rsidTr="00F62AC8">
        <w:trPr>
          <w:trHeight w:val="352"/>
        </w:trPr>
        <w:tc>
          <w:tcPr>
            <w:tcW w:w="1123" w:type="dxa"/>
            <w:vMerge/>
            <w:tcBorders>
              <w:top w:val="nil"/>
              <w:bottom w:val="nil"/>
              <w:right w:val="nil"/>
            </w:tcBorders>
            <w:vAlign w:val="center"/>
            <w:hideMark/>
          </w:tcPr>
          <w:p w14:paraId="119A8867" w14:textId="77777777" w:rsidR="00380BE7" w:rsidRPr="00256982" w:rsidRDefault="00380BE7" w:rsidP="009574E7">
            <w:pPr>
              <w:pStyle w:val="TableText"/>
              <w:spacing w:before="40" w:after="40"/>
              <w:rPr>
                <w:b/>
                <w:lang w:eastAsia="en-NZ"/>
              </w:rPr>
            </w:pPr>
          </w:p>
        </w:tc>
        <w:tc>
          <w:tcPr>
            <w:tcW w:w="1061" w:type="dxa"/>
            <w:tcBorders>
              <w:top w:val="nil"/>
              <w:left w:val="nil"/>
              <w:bottom w:val="nil"/>
              <w:right w:val="single" w:sz="8" w:space="0" w:color="365F91"/>
            </w:tcBorders>
            <w:shd w:val="clear" w:color="auto" w:fill="auto"/>
            <w:vAlign w:val="center"/>
            <w:hideMark/>
          </w:tcPr>
          <w:p w14:paraId="706F9708" w14:textId="77777777" w:rsidR="00380BE7" w:rsidRPr="00256982" w:rsidRDefault="00380BE7" w:rsidP="009574E7">
            <w:pPr>
              <w:pStyle w:val="TableText"/>
              <w:spacing w:before="40" w:after="40"/>
              <w:rPr>
                <w:lang w:eastAsia="en-NZ"/>
              </w:rPr>
            </w:pPr>
            <w:r w:rsidRPr="00256982">
              <w:rPr>
                <w:lang w:eastAsia="en-NZ"/>
              </w:rPr>
              <w:t>Pre-1990 planted</w:t>
            </w:r>
          </w:p>
        </w:tc>
        <w:tc>
          <w:tcPr>
            <w:tcW w:w="816" w:type="dxa"/>
            <w:tcBorders>
              <w:top w:val="nil"/>
              <w:left w:val="nil"/>
              <w:bottom w:val="nil"/>
              <w:right w:val="nil"/>
            </w:tcBorders>
            <w:shd w:val="clear" w:color="auto" w:fill="auto"/>
            <w:vAlign w:val="center"/>
            <w:hideMark/>
          </w:tcPr>
          <w:p w14:paraId="0401EFEB"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23.2</w:t>
            </w:r>
          </w:p>
        </w:tc>
        <w:tc>
          <w:tcPr>
            <w:tcW w:w="851" w:type="dxa"/>
            <w:tcBorders>
              <w:top w:val="nil"/>
              <w:left w:val="nil"/>
              <w:bottom w:val="nil"/>
              <w:right w:val="nil"/>
            </w:tcBorders>
            <w:shd w:val="clear" w:color="000000" w:fill="D8D8D8"/>
            <w:vAlign w:val="center"/>
            <w:hideMark/>
          </w:tcPr>
          <w:p w14:paraId="595DADF6"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1,405.5</w:t>
            </w:r>
          </w:p>
        </w:tc>
        <w:tc>
          <w:tcPr>
            <w:tcW w:w="850" w:type="dxa"/>
            <w:tcBorders>
              <w:top w:val="nil"/>
              <w:left w:val="nil"/>
              <w:bottom w:val="nil"/>
              <w:right w:val="single" w:sz="8" w:space="0" w:color="365F91"/>
            </w:tcBorders>
            <w:shd w:val="clear" w:color="auto" w:fill="auto"/>
            <w:vAlign w:val="center"/>
            <w:hideMark/>
          </w:tcPr>
          <w:p w14:paraId="79E79AEB"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 </w:t>
            </w:r>
          </w:p>
        </w:tc>
        <w:tc>
          <w:tcPr>
            <w:tcW w:w="851" w:type="dxa"/>
            <w:tcBorders>
              <w:top w:val="nil"/>
              <w:left w:val="nil"/>
              <w:bottom w:val="nil"/>
              <w:right w:val="nil"/>
            </w:tcBorders>
            <w:shd w:val="clear" w:color="auto" w:fill="auto"/>
            <w:vAlign w:val="center"/>
            <w:hideMark/>
          </w:tcPr>
          <w:p w14:paraId="452F206F" w14:textId="77777777" w:rsidR="00380BE7" w:rsidRPr="00256982" w:rsidRDefault="00380BE7" w:rsidP="009574E7">
            <w:pPr>
              <w:jc w:val="right"/>
              <w:rPr>
                <w:rFonts w:ascii="Arial" w:hAnsi="Arial" w:cs="Arial"/>
                <w:color w:val="000000"/>
                <w:sz w:val="16"/>
                <w:szCs w:val="16"/>
              </w:rPr>
            </w:pPr>
          </w:p>
        </w:tc>
        <w:tc>
          <w:tcPr>
            <w:tcW w:w="992" w:type="dxa"/>
            <w:tcBorders>
              <w:top w:val="nil"/>
              <w:left w:val="nil"/>
              <w:bottom w:val="nil"/>
              <w:right w:val="single" w:sz="8" w:space="0" w:color="365F91"/>
            </w:tcBorders>
            <w:shd w:val="clear" w:color="auto" w:fill="auto"/>
            <w:vAlign w:val="center"/>
            <w:hideMark/>
          </w:tcPr>
          <w:p w14:paraId="3BFC0DED"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 </w:t>
            </w:r>
          </w:p>
        </w:tc>
        <w:tc>
          <w:tcPr>
            <w:tcW w:w="999" w:type="dxa"/>
            <w:tcBorders>
              <w:top w:val="nil"/>
              <w:left w:val="nil"/>
              <w:bottom w:val="nil"/>
              <w:right w:val="nil"/>
            </w:tcBorders>
            <w:shd w:val="clear" w:color="auto" w:fill="auto"/>
            <w:vAlign w:val="center"/>
            <w:hideMark/>
          </w:tcPr>
          <w:p w14:paraId="4FAF2180"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0.2</w:t>
            </w:r>
          </w:p>
        </w:tc>
        <w:tc>
          <w:tcPr>
            <w:tcW w:w="999" w:type="dxa"/>
            <w:tcBorders>
              <w:top w:val="nil"/>
              <w:left w:val="nil"/>
              <w:bottom w:val="nil"/>
              <w:right w:val="nil"/>
            </w:tcBorders>
            <w:shd w:val="clear" w:color="auto" w:fill="auto"/>
            <w:vAlign w:val="center"/>
            <w:hideMark/>
          </w:tcPr>
          <w:p w14:paraId="0CA514A1"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0.4</w:t>
            </w:r>
          </w:p>
        </w:tc>
        <w:tc>
          <w:tcPr>
            <w:tcW w:w="999" w:type="dxa"/>
            <w:tcBorders>
              <w:top w:val="nil"/>
              <w:left w:val="nil"/>
              <w:bottom w:val="nil"/>
              <w:right w:val="single" w:sz="8" w:space="0" w:color="365F91"/>
            </w:tcBorders>
            <w:shd w:val="clear" w:color="auto" w:fill="auto"/>
            <w:vAlign w:val="center"/>
            <w:hideMark/>
          </w:tcPr>
          <w:p w14:paraId="341511E5"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0.4</w:t>
            </w:r>
          </w:p>
        </w:tc>
        <w:tc>
          <w:tcPr>
            <w:tcW w:w="830" w:type="dxa"/>
            <w:tcBorders>
              <w:top w:val="nil"/>
              <w:left w:val="nil"/>
              <w:bottom w:val="nil"/>
              <w:right w:val="nil"/>
            </w:tcBorders>
            <w:shd w:val="clear" w:color="auto" w:fill="auto"/>
            <w:vAlign w:val="center"/>
            <w:hideMark/>
          </w:tcPr>
          <w:p w14:paraId="275C5AE1" w14:textId="77777777" w:rsidR="00380BE7" w:rsidRPr="00256982" w:rsidRDefault="00380BE7" w:rsidP="009574E7">
            <w:pPr>
              <w:jc w:val="right"/>
              <w:rPr>
                <w:rFonts w:ascii="Arial" w:hAnsi="Arial" w:cs="Arial"/>
                <w:color w:val="000000"/>
                <w:sz w:val="16"/>
                <w:szCs w:val="16"/>
              </w:rPr>
            </w:pPr>
          </w:p>
        </w:tc>
        <w:tc>
          <w:tcPr>
            <w:tcW w:w="992" w:type="dxa"/>
            <w:tcBorders>
              <w:top w:val="nil"/>
              <w:left w:val="nil"/>
              <w:bottom w:val="nil"/>
              <w:right w:val="single" w:sz="8" w:space="0" w:color="365F91"/>
            </w:tcBorders>
            <w:shd w:val="clear" w:color="auto" w:fill="auto"/>
            <w:vAlign w:val="center"/>
            <w:hideMark/>
          </w:tcPr>
          <w:p w14:paraId="1D1737AB"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 </w:t>
            </w:r>
          </w:p>
        </w:tc>
        <w:tc>
          <w:tcPr>
            <w:tcW w:w="1134" w:type="dxa"/>
            <w:tcBorders>
              <w:top w:val="nil"/>
              <w:left w:val="nil"/>
              <w:bottom w:val="nil"/>
              <w:right w:val="single" w:sz="8" w:space="0" w:color="365F91"/>
            </w:tcBorders>
            <w:shd w:val="clear" w:color="auto" w:fill="auto"/>
            <w:vAlign w:val="center"/>
            <w:hideMark/>
          </w:tcPr>
          <w:p w14:paraId="1EBF4B01"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 </w:t>
            </w:r>
          </w:p>
        </w:tc>
        <w:tc>
          <w:tcPr>
            <w:tcW w:w="709" w:type="dxa"/>
            <w:tcBorders>
              <w:top w:val="nil"/>
              <w:left w:val="nil"/>
              <w:bottom w:val="nil"/>
              <w:right w:val="single" w:sz="8" w:space="0" w:color="365F91"/>
            </w:tcBorders>
            <w:shd w:val="clear" w:color="auto" w:fill="auto"/>
            <w:vAlign w:val="center"/>
            <w:hideMark/>
          </w:tcPr>
          <w:p w14:paraId="2BAD1B77"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 </w:t>
            </w:r>
          </w:p>
        </w:tc>
        <w:tc>
          <w:tcPr>
            <w:tcW w:w="851" w:type="dxa"/>
            <w:tcBorders>
              <w:top w:val="nil"/>
              <w:left w:val="nil"/>
              <w:bottom w:val="nil"/>
            </w:tcBorders>
            <w:shd w:val="clear" w:color="auto" w:fill="auto"/>
            <w:vAlign w:val="center"/>
            <w:hideMark/>
          </w:tcPr>
          <w:p w14:paraId="2B035D41"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1,429.7</w:t>
            </w:r>
          </w:p>
        </w:tc>
      </w:tr>
      <w:tr w:rsidR="00380BE7" w:rsidRPr="00256982" w14:paraId="463D01C2" w14:textId="77777777" w:rsidTr="00F62AC8">
        <w:trPr>
          <w:trHeight w:val="238"/>
        </w:trPr>
        <w:tc>
          <w:tcPr>
            <w:tcW w:w="1123" w:type="dxa"/>
            <w:tcBorders>
              <w:top w:val="nil"/>
              <w:bottom w:val="single" w:sz="8" w:space="0" w:color="365F91"/>
              <w:right w:val="nil"/>
            </w:tcBorders>
            <w:shd w:val="clear" w:color="auto" w:fill="auto"/>
            <w:vAlign w:val="center"/>
            <w:hideMark/>
          </w:tcPr>
          <w:p w14:paraId="6C9AA6E5" w14:textId="77777777" w:rsidR="00380BE7" w:rsidRPr="00256982" w:rsidRDefault="00380BE7" w:rsidP="009574E7">
            <w:pPr>
              <w:pStyle w:val="TableText"/>
              <w:spacing w:before="40" w:after="40"/>
              <w:rPr>
                <w:b/>
                <w:lang w:eastAsia="en-NZ"/>
              </w:rPr>
            </w:pPr>
            <w:r w:rsidRPr="00256982">
              <w:rPr>
                <w:b/>
                <w:lang w:eastAsia="en-NZ"/>
              </w:rPr>
              <w:t> </w:t>
            </w:r>
          </w:p>
        </w:tc>
        <w:tc>
          <w:tcPr>
            <w:tcW w:w="1061" w:type="dxa"/>
            <w:tcBorders>
              <w:top w:val="nil"/>
              <w:left w:val="nil"/>
              <w:bottom w:val="single" w:sz="8" w:space="0" w:color="365F91"/>
              <w:right w:val="single" w:sz="8" w:space="0" w:color="365F91"/>
            </w:tcBorders>
            <w:shd w:val="clear" w:color="auto" w:fill="auto"/>
            <w:vAlign w:val="center"/>
            <w:hideMark/>
          </w:tcPr>
          <w:p w14:paraId="04018925" w14:textId="77777777" w:rsidR="00380BE7" w:rsidRPr="00256982" w:rsidRDefault="00380BE7" w:rsidP="009574E7">
            <w:pPr>
              <w:pStyle w:val="TableText"/>
              <w:spacing w:before="40" w:after="40"/>
              <w:rPr>
                <w:lang w:eastAsia="en-NZ"/>
              </w:rPr>
            </w:pPr>
            <w:r w:rsidRPr="00256982">
              <w:rPr>
                <w:lang w:eastAsia="en-NZ"/>
              </w:rPr>
              <w:t>Post-1989</w:t>
            </w:r>
          </w:p>
        </w:tc>
        <w:tc>
          <w:tcPr>
            <w:tcW w:w="816" w:type="dxa"/>
            <w:tcBorders>
              <w:top w:val="nil"/>
              <w:left w:val="nil"/>
              <w:bottom w:val="single" w:sz="8" w:space="0" w:color="365F91"/>
              <w:right w:val="nil"/>
            </w:tcBorders>
            <w:shd w:val="clear" w:color="auto" w:fill="auto"/>
            <w:vAlign w:val="center"/>
            <w:hideMark/>
          </w:tcPr>
          <w:p w14:paraId="49F6FDEC"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 </w:t>
            </w:r>
          </w:p>
        </w:tc>
        <w:tc>
          <w:tcPr>
            <w:tcW w:w="851" w:type="dxa"/>
            <w:tcBorders>
              <w:top w:val="nil"/>
              <w:left w:val="nil"/>
              <w:bottom w:val="single" w:sz="8" w:space="0" w:color="365F91"/>
              <w:right w:val="nil"/>
            </w:tcBorders>
            <w:shd w:val="clear" w:color="auto" w:fill="auto"/>
            <w:vAlign w:val="center"/>
            <w:hideMark/>
          </w:tcPr>
          <w:p w14:paraId="23782A64"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 </w:t>
            </w:r>
          </w:p>
        </w:tc>
        <w:tc>
          <w:tcPr>
            <w:tcW w:w="850" w:type="dxa"/>
            <w:tcBorders>
              <w:top w:val="nil"/>
              <w:left w:val="nil"/>
              <w:bottom w:val="single" w:sz="8" w:space="0" w:color="365F91"/>
              <w:right w:val="single" w:sz="8" w:space="0" w:color="365F91"/>
            </w:tcBorders>
            <w:shd w:val="clear" w:color="000000" w:fill="D8D8D8"/>
            <w:vAlign w:val="center"/>
            <w:hideMark/>
          </w:tcPr>
          <w:p w14:paraId="53FF0822"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–30.3</w:t>
            </w:r>
          </w:p>
        </w:tc>
        <w:tc>
          <w:tcPr>
            <w:tcW w:w="851" w:type="dxa"/>
            <w:tcBorders>
              <w:top w:val="nil"/>
              <w:left w:val="nil"/>
              <w:bottom w:val="single" w:sz="8" w:space="0" w:color="365F91"/>
              <w:right w:val="nil"/>
            </w:tcBorders>
            <w:shd w:val="clear" w:color="auto" w:fill="auto"/>
            <w:vAlign w:val="center"/>
            <w:hideMark/>
          </w:tcPr>
          <w:p w14:paraId="79E7D6F7"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0.4</w:t>
            </w:r>
          </w:p>
        </w:tc>
        <w:tc>
          <w:tcPr>
            <w:tcW w:w="992" w:type="dxa"/>
            <w:tcBorders>
              <w:top w:val="nil"/>
              <w:left w:val="nil"/>
              <w:bottom w:val="single" w:sz="8" w:space="0" w:color="365F91"/>
              <w:right w:val="single" w:sz="8" w:space="0" w:color="365F91"/>
            </w:tcBorders>
            <w:shd w:val="clear" w:color="auto" w:fill="auto"/>
            <w:vAlign w:val="center"/>
            <w:hideMark/>
          </w:tcPr>
          <w:p w14:paraId="4E2EC108"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0.0</w:t>
            </w:r>
          </w:p>
        </w:tc>
        <w:tc>
          <w:tcPr>
            <w:tcW w:w="999" w:type="dxa"/>
            <w:tcBorders>
              <w:top w:val="nil"/>
              <w:left w:val="nil"/>
              <w:bottom w:val="single" w:sz="8" w:space="0" w:color="365F91"/>
              <w:right w:val="nil"/>
            </w:tcBorders>
            <w:shd w:val="clear" w:color="auto" w:fill="auto"/>
            <w:vAlign w:val="center"/>
            <w:hideMark/>
          </w:tcPr>
          <w:p w14:paraId="72B0411F"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129.6</w:t>
            </w:r>
          </w:p>
        </w:tc>
        <w:tc>
          <w:tcPr>
            <w:tcW w:w="999" w:type="dxa"/>
            <w:tcBorders>
              <w:top w:val="nil"/>
              <w:left w:val="nil"/>
              <w:bottom w:val="single" w:sz="8" w:space="0" w:color="365F91"/>
              <w:right w:val="nil"/>
            </w:tcBorders>
            <w:shd w:val="clear" w:color="auto" w:fill="auto"/>
            <w:vAlign w:val="center"/>
            <w:hideMark/>
          </w:tcPr>
          <w:p w14:paraId="6EBF2DB5"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419.5</w:t>
            </w:r>
          </w:p>
        </w:tc>
        <w:tc>
          <w:tcPr>
            <w:tcW w:w="999" w:type="dxa"/>
            <w:tcBorders>
              <w:top w:val="nil"/>
              <w:left w:val="nil"/>
              <w:bottom w:val="single" w:sz="8" w:space="0" w:color="365F91"/>
              <w:right w:val="single" w:sz="8" w:space="0" w:color="365F91"/>
            </w:tcBorders>
            <w:shd w:val="clear" w:color="auto" w:fill="auto"/>
            <w:vAlign w:val="center"/>
            <w:hideMark/>
          </w:tcPr>
          <w:p w14:paraId="374964E0"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159.0</w:t>
            </w:r>
          </w:p>
        </w:tc>
        <w:tc>
          <w:tcPr>
            <w:tcW w:w="830" w:type="dxa"/>
            <w:tcBorders>
              <w:top w:val="nil"/>
              <w:left w:val="nil"/>
              <w:bottom w:val="single" w:sz="8" w:space="0" w:color="365F91"/>
              <w:right w:val="nil"/>
            </w:tcBorders>
            <w:shd w:val="clear" w:color="auto" w:fill="auto"/>
            <w:vAlign w:val="center"/>
            <w:hideMark/>
          </w:tcPr>
          <w:p w14:paraId="15AFC36A"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0.1</w:t>
            </w:r>
          </w:p>
        </w:tc>
        <w:tc>
          <w:tcPr>
            <w:tcW w:w="992" w:type="dxa"/>
            <w:tcBorders>
              <w:top w:val="nil"/>
              <w:left w:val="nil"/>
              <w:bottom w:val="single" w:sz="8" w:space="0" w:color="365F91"/>
              <w:right w:val="single" w:sz="8" w:space="0" w:color="365F91"/>
            </w:tcBorders>
            <w:shd w:val="clear" w:color="auto" w:fill="auto"/>
            <w:vAlign w:val="center"/>
            <w:hideMark/>
          </w:tcPr>
          <w:p w14:paraId="12E86B6A"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0.3</w:t>
            </w:r>
          </w:p>
        </w:tc>
        <w:tc>
          <w:tcPr>
            <w:tcW w:w="1134" w:type="dxa"/>
            <w:tcBorders>
              <w:top w:val="nil"/>
              <w:left w:val="nil"/>
              <w:bottom w:val="single" w:sz="8" w:space="0" w:color="365F91"/>
              <w:right w:val="single" w:sz="8" w:space="0" w:color="365F91"/>
            </w:tcBorders>
            <w:shd w:val="clear" w:color="auto" w:fill="auto"/>
            <w:vAlign w:val="center"/>
            <w:hideMark/>
          </w:tcPr>
          <w:p w14:paraId="796D73EE"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0.0</w:t>
            </w:r>
          </w:p>
        </w:tc>
        <w:tc>
          <w:tcPr>
            <w:tcW w:w="709" w:type="dxa"/>
            <w:tcBorders>
              <w:top w:val="nil"/>
              <w:left w:val="nil"/>
              <w:bottom w:val="single" w:sz="8" w:space="0" w:color="365F91"/>
              <w:right w:val="single" w:sz="8" w:space="0" w:color="365F91"/>
            </w:tcBorders>
            <w:shd w:val="clear" w:color="auto" w:fill="auto"/>
            <w:vAlign w:val="center"/>
            <w:hideMark/>
          </w:tcPr>
          <w:p w14:paraId="77057B07"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3.8</w:t>
            </w:r>
          </w:p>
        </w:tc>
        <w:tc>
          <w:tcPr>
            <w:tcW w:w="851" w:type="dxa"/>
            <w:tcBorders>
              <w:top w:val="nil"/>
              <w:left w:val="nil"/>
              <w:bottom w:val="single" w:sz="8" w:space="0" w:color="365F91"/>
            </w:tcBorders>
            <w:shd w:val="clear" w:color="auto" w:fill="auto"/>
            <w:vAlign w:val="center"/>
            <w:hideMark/>
          </w:tcPr>
          <w:p w14:paraId="284DA844"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682.4</w:t>
            </w:r>
          </w:p>
        </w:tc>
      </w:tr>
      <w:tr w:rsidR="00380BE7" w:rsidRPr="00256982" w14:paraId="2758D6A5" w14:textId="77777777" w:rsidTr="00F62AC8">
        <w:trPr>
          <w:trHeight w:val="227"/>
        </w:trPr>
        <w:tc>
          <w:tcPr>
            <w:tcW w:w="1123" w:type="dxa"/>
            <w:vMerge w:val="restart"/>
            <w:tcBorders>
              <w:top w:val="nil"/>
              <w:bottom w:val="single" w:sz="8" w:space="0" w:color="365F91"/>
              <w:right w:val="nil"/>
            </w:tcBorders>
            <w:shd w:val="clear" w:color="auto" w:fill="auto"/>
            <w:noWrap/>
            <w:vAlign w:val="center"/>
            <w:hideMark/>
          </w:tcPr>
          <w:p w14:paraId="2D794D23" w14:textId="77777777" w:rsidR="00380BE7" w:rsidRPr="00256982" w:rsidRDefault="00380BE7" w:rsidP="009574E7">
            <w:pPr>
              <w:pStyle w:val="TableText"/>
              <w:spacing w:before="40" w:after="40"/>
              <w:rPr>
                <w:b/>
                <w:lang w:eastAsia="en-NZ"/>
              </w:rPr>
            </w:pPr>
            <w:r w:rsidRPr="00256982">
              <w:rPr>
                <w:b/>
                <w:lang w:eastAsia="en-NZ"/>
              </w:rPr>
              <w:t>Cropland</w:t>
            </w:r>
          </w:p>
        </w:tc>
        <w:tc>
          <w:tcPr>
            <w:tcW w:w="1061" w:type="dxa"/>
            <w:tcBorders>
              <w:top w:val="nil"/>
              <w:left w:val="nil"/>
              <w:bottom w:val="nil"/>
              <w:right w:val="single" w:sz="8" w:space="0" w:color="365F91"/>
            </w:tcBorders>
            <w:shd w:val="clear" w:color="auto" w:fill="auto"/>
            <w:vAlign w:val="center"/>
            <w:hideMark/>
          </w:tcPr>
          <w:p w14:paraId="21911381" w14:textId="77777777" w:rsidR="00380BE7" w:rsidRPr="00256982" w:rsidRDefault="00380BE7" w:rsidP="009574E7">
            <w:pPr>
              <w:pStyle w:val="TableText"/>
              <w:spacing w:before="40" w:after="40"/>
              <w:rPr>
                <w:lang w:eastAsia="en-NZ"/>
              </w:rPr>
            </w:pPr>
            <w:r w:rsidRPr="00256982">
              <w:rPr>
                <w:lang w:eastAsia="en-NZ"/>
              </w:rPr>
              <w:t>Annual</w:t>
            </w:r>
          </w:p>
        </w:tc>
        <w:tc>
          <w:tcPr>
            <w:tcW w:w="816" w:type="dxa"/>
            <w:tcBorders>
              <w:top w:val="nil"/>
              <w:left w:val="nil"/>
              <w:bottom w:val="nil"/>
              <w:right w:val="nil"/>
            </w:tcBorders>
            <w:shd w:val="clear" w:color="auto" w:fill="auto"/>
            <w:vAlign w:val="center"/>
            <w:hideMark/>
          </w:tcPr>
          <w:p w14:paraId="55A602E5"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0.0</w:t>
            </w:r>
          </w:p>
        </w:tc>
        <w:tc>
          <w:tcPr>
            <w:tcW w:w="851" w:type="dxa"/>
            <w:tcBorders>
              <w:top w:val="nil"/>
              <w:left w:val="nil"/>
              <w:bottom w:val="nil"/>
              <w:right w:val="nil"/>
            </w:tcBorders>
            <w:shd w:val="clear" w:color="auto" w:fill="auto"/>
            <w:vAlign w:val="center"/>
            <w:hideMark/>
          </w:tcPr>
          <w:p w14:paraId="5CC9EC86"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0.5</w:t>
            </w:r>
          </w:p>
        </w:tc>
        <w:tc>
          <w:tcPr>
            <w:tcW w:w="850" w:type="dxa"/>
            <w:tcBorders>
              <w:top w:val="nil"/>
              <w:left w:val="nil"/>
              <w:bottom w:val="nil"/>
              <w:right w:val="single" w:sz="8" w:space="0" w:color="365F91"/>
            </w:tcBorders>
            <w:shd w:val="clear" w:color="auto" w:fill="auto"/>
            <w:vAlign w:val="center"/>
            <w:hideMark/>
          </w:tcPr>
          <w:p w14:paraId="4983A8A5"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0.2</w:t>
            </w:r>
          </w:p>
        </w:tc>
        <w:tc>
          <w:tcPr>
            <w:tcW w:w="851" w:type="dxa"/>
            <w:tcBorders>
              <w:top w:val="nil"/>
              <w:left w:val="nil"/>
              <w:bottom w:val="nil"/>
              <w:right w:val="nil"/>
            </w:tcBorders>
            <w:shd w:val="clear" w:color="000000" w:fill="D8D8D8"/>
            <w:vAlign w:val="center"/>
            <w:hideMark/>
          </w:tcPr>
          <w:p w14:paraId="5AE9A538"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344.5</w:t>
            </w:r>
          </w:p>
        </w:tc>
        <w:tc>
          <w:tcPr>
            <w:tcW w:w="992" w:type="dxa"/>
            <w:tcBorders>
              <w:top w:val="nil"/>
              <w:left w:val="nil"/>
              <w:bottom w:val="nil"/>
              <w:right w:val="single" w:sz="8" w:space="0" w:color="365F91"/>
            </w:tcBorders>
            <w:shd w:val="clear" w:color="auto" w:fill="auto"/>
            <w:vAlign w:val="center"/>
            <w:hideMark/>
          </w:tcPr>
          <w:p w14:paraId="50744908"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2.4</w:t>
            </w:r>
          </w:p>
        </w:tc>
        <w:tc>
          <w:tcPr>
            <w:tcW w:w="999" w:type="dxa"/>
            <w:tcBorders>
              <w:top w:val="nil"/>
              <w:left w:val="nil"/>
              <w:bottom w:val="nil"/>
              <w:right w:val="nil"/>
            </w:tcBorders>
            <w:shd w:val="clear" w:color="auto" w:fill="auto"/>
            <w:vAlign w:val="center"/>
            <w:hideMark/>
          </w:tcPr>
          <w:p w14:paraId="1822A322"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22.9</w:t>
            </w:r>
          </w:p>
        </w:tc>
        <w:tc>
          <w:tcPr>
            <w:tcW w:w="999" w:type="dxa"/>
            <w:tcBorders>
              <w:top w:val="nil"/>
              <w:left w:val="nil"/>
              <w:bottom w:val="nil"/>
              <w:right w:val="nil"/>
            </w:tcBorders>
            <w:shd w:val="clear" w:color="auto" w:fill="auto"/>
            <w:vAlign w:val="center"/>
            <w:hideMark/>
          </w:tcPr>
          <w:p w14:paraId="03D9000F"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0.7</w:t>
            </w:r>
          </w:p>
        </w:tc>
        <w:tc>
          <w:tcPr>
            <w:tcW w:w="999" w:type="dxa"/>
            <w:tcBorders>
              <w:top w:val="nil"/>
              <w:left w:val="nil"/>
              <w:bottom w:val="nil"/>
              <w:right w:val="single" w:sz="8" w:space="0" w:color="365F91"/>
            </w:tcBorders>
            <w:shd w:val="clear" w:color="auto" w:fill="auto"/>
            <w:vAlign w:val="center"/>
            <w:hideMark/>
          </w:tcPr>
          <w:p w14:paraId="36E3F579"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0.1</w:t>
            </w:r>
          </w:p>
        </w:tc>
        <w:tc>
          <w:tcPr>
            <w:tcW w:w="830" w:type="dxa"/>
            <w:tcBorders>
              <w:top w:val="nil"/>
              <w:left w:val="nil"/>
              <w:bottom w:val="nil"/>
              <w:right w:val="nil"/>
            </w:tcBorders>
            <w:shd w:val="clear" w:color="auto" w:fill="auto"/>
            <w:vAlign w:val="center"/>
            <w:hideMark/>
          </w:tcPr>
          <w:p w14:paraId="624CFB5F"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0.0</w:t>
            </w:r>
          </w:p>
        </w:tc>
        <w:tc>
          <w:tcPr>
            <w:tcW w:w="992" w:type="dxa"/>
            <w:tcBorders>
              <w:top w:val="nil"/>
              <w:left w:val="nil"/>
              <w:bottom w:val="nil"/>
              <w:right w:val="single" w:sz="8" w:space="0" w:color="365F91"/>
            </w:tcBorders>
            <w:shd w:val="clear" w:color="auto" w:fill="auto"/>
            <w:vAlign w:val="center"/>
            <w:hideMark/>
          </w:tcPr>
          <w:p w14:paraId="3E54523D"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 </w:t>
            </w:r>
          </w:p>
        </w:tc>
        <w:tc>
          <w:tcPr>
            <w:tcW w:w="1134" w:type="dxa"/>
            <w:tcBorders>
              <w:top w:val="nil"/>
              <w:left w:val="nil"/>
              <w:bottom w:val="nil"/>
              <w:right w:val="single" w:sz="8" w:space="0" w:color="365F91"/>
            </w:tcBorders>
            <w:shd w:val="clear" w:color="auto" w:fill="auto"/>
            <w:vAlign w:val="center"/>
            <w:hideMark/>
          </w:tcPr>
          <w:p w14:paraId="43E3C920"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 </w:t>
            </w:r>
          </w:p>
        </w:tc>
        <w:tc>
          <w:tcPr>
            <w:tcW w:w="709" w:type="dxa"/>
            <w:tcBorders>
              <w:top w:val="nil"/>
              <w:left w:val="nil"/>
              <w:bottom w:val="nil"/>
              <w:right w:val="single" w:sz="8" w:space="0" w:color="365F91"/>
            </w:tcBorders>
            <w:shd w:val="clear" w:color="auto" w:fill="auto"/>
            <w:vAlign w:val="center"/>
            <w:hideMark/>
          </w:tcPr>
          <w:p w14:paraId="14A797BC"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0.1</w:t>
            </w:r>
          </w:p>
        </w:tc>
        <w:tc>
          <w:tcPr>
            <w:tcW w:w="851" w:type="dxa"/>
            <w:tcBorders>
              <w:top w:val="nil"/>
              <w:left w:val="nil"/>
              <w:bottom w:val="nil"/>
            </w:tcBorders>
            <w:shd w:val="clear" w:color="auto" w:fill="auto"/>
            <w:vAlign w:val="center"/>
            <w:hideMark/>
          </w:tcPr>
          <w:p w14:paraId="7C74C93B"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371.4</w:t>
            </w:r>
          </w:p>
        </w:tc>
      </w:tr>
      <w:tr w:rsidR="00380BE7" w:rsidRPr="00256982" w14:paraId="0D67CC48" w14:textId="77777777" w:rsidTr="00F62AC8">
        <w:trPr>
          <w:trHeight w:val="227"/>
        </w:trPr>
        <w:tc>
          <w:tcPr>
            <w:tcW w:w="1123" w:type="dxa"/>
            <w:vMerge/>
            <w:tcBorders>
              <w:top w:val="nil"/>
              <w:bottom w:val="single" w:sz="8" w:space="0" w:color="365F91"/>
              <w:right w:val="nil"/>
            </w:tcBorders>
            <w:vAlign w:val="center"/>
            <w:hideMark/>
          </w:tcPr>
          <w:p w14:paraId="162F3550" w14:textId="77777777" w:rsidR="00380BE7" w:rsidRPr="00256982" w:rsidRDefault="00380BE7" w:rsidP="009574E7">
            <w:pPr>
              <w:pStyle w:val="TableText"/>
              <w:spacing w:before="40" w:after="40"/>
              <w:rPr>
                <w:b/>
                <w:lang w:eastAsia="en-NZ"/>
              </w:rPr>
            </w:pPr>
          </w:p>
        </w:tc>
        <w:tc>
          <w:tcPr>
            <w:tcW w:w="1061" w:type="dxa"/>
            <w:tcBorders>
              <w:top w:val="nil"/>
              <w:left w:val="nil"/>
              <w:bottom w:val="single" w:sz="8" w:space="0" w:color="365F91"/>
              <w:right w:val="single" w:sz="8" w:space="0" w:color="365F91"/>
            </w:tcBorders>
            <w:shd w:val="clear" w:color="auto" w:fill="auto"/>
            <w:vAlign w:val="center"/>
            <w:hideMark/>
          </w:tcPr>
          <w:p w14:paraId="2C1CE879" w14:textId="77777777" w:rsidR="00380BE7" w:rsidRPr="00256982" w:rsidRDefault="00380BE7" w:rsidP="009574E7">
            <w:pPr>
              <w:pStyle w:val="TableText"/>
              <w:spacing w:before="40" w:after="40"/>
              <w:rPr>
                <w:lang w:eastAsia="en-NZ"/>
              </w:rPr>
            </w:pPr>
            <w:r w:rsidRPr="00256982">
              <w:rPr>
                <w:lang w:eastAsia="en-NZ"/>
              </w:rPr>
              <w:t>Perennial</w:t>
            </w:r>
          </w:p>
        </w:tc>
        <w:tc>
          <w:tcPr>
            <w:tcW w:w="816" w:type="dxa"/>
            <w:tcBorders>
              <w:top w:val="nil"/>
              <w:left w:val="nil"/>
              <w:bottom w:val="single" w:sz="8" w:space="0" w:color="365F91"/>
              <w:right w:val="nil"/>
            </w:tcBorders>
            <w:shd w:val="clear" w:color="auto" w:fill="auto"/>
            <w:vAlign w:val="center"/>
            <w:hideMark/>
          </w:tcPr>
          <w:p w14:paraId="6C0F3C73"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0.1</w:t>
            </w:r>
          </w:p>
        </w:tc>
        <w:tc>
          <w:tcPr>
            <w:tcW w:w="851" w:type="dxa"/>
            <w:tcBorders>
              <w:top w:val="nil"/>
              <w:left w:val="nil"/>
              <w:bottom w:val="single" w:sz="8" w:space="0" w:color="365F91"/>
              <w:right w:val="nil"/>
            </w:tcBorders>
            <w:shd w:val="clear" w:color="auto" w:fill="auto"/>
            <w:vAlign w:val="center"/>
            <w:hideMark/>
          </w:tcPr>
          <w:p w14:paraId="1F8F0775"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0.3</w:t>
            </w:r>
          </w:p>
        </w:tc>
        <w:tc>
          <w:tcPr>
            <w:tcW w:w="850" w:type="dxa"/>
            <w:tcBorders>
              <w:top w:val="nil"/>
              <w:left w:val="nil"/>
              <w:bottom w:val="single" w:sz="8" w:space="0" w:color="365F91"/>
              <w:right w:val="single" w:sz="8" w:space="0" w:color="365F91"/>
            </w:tcBorders>
            <w:shd w:val="clear" w:color="auto" w:fill="auto"/>
            <w:vAlign w:val="center"/>
            <w:hideMark/>
          </w:tcPr>
          <w:p w14:paraId="4D1DDAC3" w14:textId="77777777" w:rsidR="00380BE7" w:rsidRPr="00256982" w:rsidRDefault="00380BE7" w:rsidP="009574E7">
            <w:pPr>
              <w:jc w:val="left"/>
              <w:rPr>
                <w:rFonts w:ascii="Arial" w:hAnsi="Arial" w:cs="Arial"/>
                <w:color w:val="000000"/>
                <w:sz w:val="16"/>
                <w:szCs w:val="16"/>
              </w:rPr>
            </w:pPr>
            <w:r w:rsidRPr="00256982">
              <w:rPr>
                <w:rFonts w:ascii="Arial" w:hAnsi="Arial" w:cs="Arial"/>
                <w:color w:val="000000"/>
                <w:sz w:val="16"/>
                <w:szCs w:val="16"/>
              </w:rPr>
              <w:t>0.0</w:t>
            </w:r>
          </w:p>
        </w:tc>
        <w:tc>
          <w:tcPr>
            <w:tcW w:w="851" w:type="dxa"/>
            <w:tcBorders>
              <w:top w:val="nil"/>
              <w:left w:val="nil"/>
              <w:bottom w:val="single" w:sz="8" w:space="0" w:color="365F91"/>
              <w:right w:val="nil"/>
            </w:tcBorders>
            <w:shd w:val="clear" w:color="auto" w:fill="auto"/>
            <w:vAlign w:val="center"/>
            <w:hideMark/>
          </w:tcPr>
          <w:p w14:paraId="0D5E3AB8"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6.6</w:t>
            </w:r>
          </w:p>
        </w:tc>
        <w:tc>
          <w:tcPr>
            <w:tcW w:w="992" w:type="dxa"/>
            <w:tcBorders>
              <w:top w:val="nil"/>
              <w:left w:val="nil"/>
              <w:bottom w:val="single" w:sz="8" w:space="0" w:color="365F91"/>
              <w:right w:val="single" w:sz="8" w:space="0" w:color="365F91"/>
            </w:tcBorders>
            <w:shd w:val="clear" w:color="000000" w:fill="D8D8D8"/>
            <w:vAlign w:val="center"/>
            <w:hideMark/>
          </w:tcPr>
          <w:p w14:paraId="72FF4A15"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61.0</w:t>
            </w:r>
          </w:p>
        </w:tc>
        <w:tc>
          <w:tcPr>
            <w:tcW w:w="999" w:type="dxa"/>
            <w:tcBorders>
              <w:top w:val="nil"/>
              <w:left w:val="nil"/>
              <w:bottom w:val="single" w:sz="8" w:space="0" w:color="365F91"/>
              <w:right w:val="nil"/>
            </w:tcBorders>
            <w:shd w:val="clear" w:color="auto" w:fill="auto"/>
            <w:vAlign w:val="center"/>
            <w:hideMark/>
          </w:tcPr>
          <w:p w14:paraId="46C9EC08"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33.0</w:t>
            </w:r>
          </w:p>
        </w:tc>
        <w:tc>
          <w:tcPr>
            <w:tcW w:w="999" w:type="dxa"/>
            <w:tcBorders>
              <w:top w:val="nil"/>
              <w:left w:val="nil"/>
              <w:bottom w:val="single" w:sz="8" w:space="0" w:color="365F91"/>
              <w:right w:val="nil"/>
            </w:tcBorders>
            <w:shd w:val="clear" w:color="auto" w:fill="auto"/>
            <w:vAlign w:val="center"/>
            <w:hideMark/>
          </w:tcPr>
          <w:p w14:paraId="4B70D808"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3.0</w:t>
            </w:r>
          </w:p>
        </w:tc>
        <w:tc>
          <w:tcPr>
            <w:tcW w:w="999" w:type="dxa"/>
            <w:tcBorders>
              <w:top w:val="nil"/>
              <w:left w:val="nil"/>
              <w:bottom w:val="single" w:sz="8" w:space="0" w:color="365F91"/>
              <w:right w:val="single" w:sz="8" w:space="0" w:color="365F91"/>
            </w:tcBorders>
            <w:shd w:val="clear" w:color="auto" w:fill="auto"/>
            <w:vAlign w:val="center"/>
            <w:hideMark/>
          </w:tcPr>
          <w:p w14:paraId="431C7EAD"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0.4</w:t>
            </w:r>
          </w:p>
        </w:tc>
        <w:tc>
          <w:tcPr>
            <w:tcW w:w="830" w:type="dxa"/>
            <w:tcBorders>
              <w:top w:val="nil"/>
              <w:left w:val="nil"/>
              <w:bottom w:val="single" w:sz="8" w:space="0" w:color="365F91"/>
              <w:right w:val="nil"/>
            </w:tcBorders>
            <w:shd w:val="clear" w:color="auto" w:fill="auto"/>
            <w:vAlign w:val="center"/>
            <w:hideMark/>
          </w:tcPr>
          <w:p w14:paraId="37348F89"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0.0</w:t>
            </w:r>
          </w:p>
        </w:tc>
        <w:tc>
          <w:tcPr>
            <w:tcW w:w="992" w:type="dxa"/>
            <w:tcBorders>
              <w:top w:val="nil"/>
              <w:left w:val="nil"/>
              <w:bottom w:val="single" w:sz="8" w:space="0" w:color="365F91"/>
              <w:right w:val="single" w:sz="8" w:space="0" w:color="365F91"/>
            </w:tcBorders>
            <w:shd w:val="clear" w:color="auto" w:fill="auto"/>
            <w:vAlign w:val="center"/>
            <w:hideMark/>
          </w:tcPr>
          <w:p w14:paraId="767348B1"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0.0</w:t>
            </w:r>
          </w:p>
        </w:tc>
        <w:tc>
          <w:tcPr>
            <w:tcW w:w="1134" w:type="dxa"/>
            <w:tcBorders>
              <w:top w:val="nil"/>
              <w:left w:val="nil"/>
              <w:bottom w:val="single" w:sz="8" w:space="0" w:color="365F91"/>
              <w:right w:val="single" w:sz="8" w:space="0" w:color="365F91"/>
            </w:tcBorders>
            <w:shd w:val="clear" w:color="auto" w:fill="auto"/>
            <w:vAlign w:val="center"/>
            <w:hideMark/>
          </w:tcPr>
          <w:p w14:paraId="3FB8AAE8"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0.0</w:t>
            </w:r>
          </w:p>
        </w:tc>
        <w:tc>
          <w:tcPr>
            <w:tcW w:w="709" w:type="dxa"/>
            <w:tcBorders>
              <w:top w:val="nil"/>
              <w:left w:val="nil"/>
              <w:bottom w:val="single" w:sz="8" w:space="0" w:color="365F91"/>
              <w:right w:val="single" w:sz="8" w:space="0" w:color="365F91"/>
            </w:tcBorders>
            <w:shd w:val="clear" w:color="auto" w:fill="auto"/>
            <w:vAlign w:val="center"/>
            <w:hideMark/>
          </w:tcPr>
          <w:p w14:paraId="2A8162D2"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0.1</w:t>
            </w:r>
          </w:p>
        </w:tc>
        <w:tc>
          <w:tcPr>
            <w:tcW w:w="851" w:type="dxa"/>
            <w:tcBorders>
              <w:top w:val="nil"/>
              <w:left w:val="nil"/>
              <w:bottom w:val="single" w:sz="8" w:space="0" w:color="365F91"/>
            </w:tcBorders>
            <w:shd w:val="clear" w:color="auto" w:fill="auto"/>
            <w:vAlign w:val="center"/>
            <w:hideMark/>
          </w:tcPr>
          <w:p w14:paraId="40B8D247"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104.5</w:t>
            </w:r>
          </w:p>
        </w:tc>
      </w:tr>
      <w:tr w:rsidR="00380BE7" w:rsidRPr="00256982" w14:paraId="51DB929C" w14:textId="77777777" w:rsidTr="00F62AC8">
        <w:tc>
          <w:tcPr>
            <w:tcW w:w="1123" w:type="dxa"/>
            <w:vMerge w:val="restart"/>
            <w:tcBorders>
              <w:top w:val="nil"/>
              <w:bottom w:val="single" w:sz="8" w:space="0" w:color="365F91"/>
              <w:right w:val="nil"/>
            </w:tcBorders>
            <w:shd w:val="clear" w:color="auto" w:fill="auto"/>
            <w:noWrap/>
            <w:vAlign w:val="center"/>
            <w:hideMark/>
          </w:tcPr>
          <w:p w14:paraId="62149B81" w14:textId="77777777" w:rsidR="00380BE7" w:rsidRPr="00256982" w:rsidRDefault="00380BE7" w:rsidP="009574E7">
            <w:pPr>
              <w:pStyle w:val="TableText"/>
              <w:spacing w:before="40" w:after="40"/>
              <w:rPr>
                <w:b/>
                <w:lang w:eastAsia="en-NZ"/>
              </w:rPr>
            </w:pPr>
            <w:r w:rsidRPr="00256982">
              <w:rPr>
                <w:b/>
                <w:lang w:eastAsia="en-NZ"/>
              </w:rPr>
              <w:t>Grassland</w:t>
            </w:r>
          </w:p>
        </w:tc>
        <w:tc>
          <w:tcPr>
            <w:tcW w:w="1061" w:type="dxa"/>
            <w:tcBorders>
              <w:top w:val="nil"/>
              <w:left w:val="nil"/>
              <w:bottom w:val="nil"/>
              <w:right w:val="single" w:sz="8" w:space="0" w:color="365F91"/>
            </w:tcBorders>
            <w:shd w:val="clear" w:color="auto" w:fill="auto"/>
            <w:vAlign w:val="center"/>
            <w:hideMark/>
          </w:tcPr>
          <w:p w14:paraId="4B9E8A4A" w14:textId="77777777" w:rsidR="00380BE7" w:rsidRPr="00256982" w:rsidRDefault="00380BE7" w:rsidP="009574E7">
            <w:pPr>
              <w:pStyle w:val="TableText"/>
              <w:spacing w:before="40" w:after="40"/>
              <w:rPr>
                <w:lang w:eastAsia="en-NZ"/>
              </w:rPr>
            </w:pPr>
            <w:r w:rsidRPr="00256982">
              <w:rPr>
                <w:lang w:eastAsia="en-NZ"/>
              </w:rPr>
              <w:t>High producing</w:t>
            </w:r>
          </w:p>
        </w:tc>
        <w:tc>
          <w:tcPr>
            <w:tcW w:w="816" w:type="dxa"/>
            <w:tcBorders>
              <w:top w:val="nil"/>
              <w:left w:val="nil"/>
              <w:bottom w:val="nil"/>
              <w:right w:val="nil"/>
            </w:tcBorders>
            <w:shd w:val="clear" w:color="auto" w:fill="auto"/>
            <w:vAlign w:val="center"/>
            <w:hideMark/>
          </w:tcPr>
          <w:p w14:paraId="1C2C1E57"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13.4</w:t>
            </w:r>
          </w:p>
        </w:tc>
        <w:tc>
          <w:tcPr>
            <w:tcW w:w="851" w:type="dxa"/>
            <w:tcBorders>
              <w:top w:val="nil"/>
              <w:left w:val="nil"/>
              <w:bottom w:val="nil"/>
              <w:right w:val="nil"/>
            </w:tcBorders>
            <w:shd w:val="clear" w:color="auto" w:fill="auto"/>
            <w:vAlign w:val="center"/>
            <w:hideMark/>
          </w:tcPr>
          <w:p w14:paraId="6394A0D5"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86.1</w:t>
            </w:r>
          </w:p>
        </w:tc>
        <w:tc>
          <w:tcPr>
            <w:tcW w:w="850" w:type="dxa"/>
            <w:tcBorders>
              <w:top w:val="nil"/>
              <w:left w:val="nil"/>
              <w:bottom w:val="nil"/>
              <w:right w:val="single" w:sz="8" w:space="0" w:color="365F91"/>
            </w:tcBorders>
            <w:shd w:val="clear" w:color="auto" w:fill="auto"/>
            <w:vAlign w:val="center"/>
            <w:hideMark/>
          </w:tcPr>
          <w:p w14:paraId="57EAF22E"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19.9</w:t>
            </w:r>
          </w:p>
        </w:tc>
        <w:tc>
          <w:tcPr>
            <w:tcW w:w="851" w:type="dxa"/>
            <w:tcBorders>
              <w:top w:val="nil"/>
              <w:left w:val="nil"/>
              <w:bottom w:val="nil"/>
              <w:right w:val="nil"/>
            </w:tcBorders>
            <w:shd w:val="clear" w:color="auto" w:fill="auto"/>
            <w:vAlign w:val="center"/>
            <w:hideMark/>
          </w:tcPr>
          <w:p w14:paraId="6B59B0A4"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1.9</w:t>
            </w:r>
          </w:p>
        </w:tc>
        <w:tc>
          <w:tcPr>
            <w:tcW w:w="992" w:type="dxa"/>
            <w:tcBorders>
              <w:top w:val="nil"/>
              <w:left w:val="nil"/>
              <w:bottom w:val="nil"/>
              <w:right w:val="single" w:sz="8" w:space="0" w:color="365F91"/>
            </w:tcBorders>
            <w:shd w:val="clear" w:color="auto" w:fill="auto"/>
            <w:vAlign w:val="center"/>
            <w:hideMark/>
          </w:tcPr>
          <w:p w14:paraId="6ADA6CED"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4.3</w:t>
            </w:r>
          </w:p>
        </w:tc>
        <w:tc>
          <w:tcPr>
            <w:tcW w:w="999" w:type="dxa"/>
            <w:tcBorders>
              <w:top w:val="nil"/>
              <w:left w:val="nil"/>
              <w:bottom w:val="nil"/>
              <w:right w:val="nil"/>
            </w:tcBorders>
            <w:shd w:val="clear" w:color="000000" w:fill="D8D8D8"/>
            <w:vAlign w:val="center"/>
            <w:hideMark/>
          </w:tcPr>
          <w:p w14:paraId="5891A8EC"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5,621.7</w:t>
            </w:r>
          </w:p>
        </w:tc>
        <w:tc>
          <w:tcPr>
            <w:tcW w:w="999" w:type="dxa"/>
            <w:tcBorders>
              <w:top w:val="nil"/>
              <w:left w:val="nil"/>
              <w:bottom w:val="nil"/>
              <w:right w:val="nil"/>
            </w:tcBorders>
            <w:shd w:val="clear" w:color="auto" w:fill="auto"/>
            <w:vAlign w:val="center"/>
            <w:hideMark/>
          </w:tcPr>
          <w:p w14:paraId="670A4411"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1,081.6</w:t>
            </w:r>
          </w:p>
        </w:tc>
        <w:tc>
          <w:tcPr>
            <w:tcW w:w="999" w:type="dxa"/>
            <w:tcBorders>
              <w:top w:val="nil"/>
              <w:left w:val="nil"/>
              <w:bottom w:val="nil"/>
              <w:right w:val="single" w:sz="8" w:space="0" w:color="365F91"/>
            </w:tcBorders>
            <w:shd w:val="clear" w:color="auto" w:fill="auto"/>
            <w:vAlign w:val="center"/>
            <w:hideMark/>
          </w:tcPr>
          <w:p w14:paraId="0FE23451"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32.6</w:t>
            </w:r>
          </w:p>
        </w:tc>
        <w:tc>
          <w:tcPr>
            <w:tcW w:w="830" w:type="dxa"/>
            <w:tcBorders>
              <w:top w:val="nil"/>
              <w:left w:val="nil"/>
              <w:bottom w:val="nil"/>
              <w:right w:val="nil"/>
            </w:tcBorders>
            <w:shd w:val="clear" w:color="auto" w:fill="auto"/>
            <w:vAlign w:val="center"/>
            <w:hideMark/>
          </w:tcPr>
          <w:p w14:paraId="73FDCFBB"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0.1</w:t>
            </w:r>
          </w:p>
        </w:tc>
        <w:tc>
          <w:tcPr>
            <w:tcW w:w="992" w:type="dxa"/>
            <w:tcBorders>
              <w:top w:val="nil"/>
              <w:left w:val="nil"/>
              <w:bottom w:val="nil"/>
              <w:right w:val="single" w:sz="8" w:space="0" w:color="365F91"/>
            </w:tcBorders>
            <w:shd w:val="clear" w:color="auto" w:fill="auto"/>
            <w:vAlign w:val="center"/>
            <w:hideMark/>
          </w:tcPr>
          <w:p w14:paraId="6B171DA3"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2.5</w:t>
            </w:r>
          </w:p>
        </w:tc>
        <w:tc>
          <w:tcPr>
            <w:tcW w:w="1134" w:type="dxa"/>
            <w:tcBorders>
              <w:top w:val="nil"/>
              <w:left w:val="nil"/>
              <w:bottom w:val="nil"/>
              <w:right w:val="single" w:sz="8" w:space="0" w:color="365F91"/>
            </w:tcBorders>
            <w:shd w:val="clear" w:color="auto" w:fill="auto"/>
            <w:vAlign w:val="center"/>
            <w:hideMark/>
          </w:tcPr>
          <w:p w14:paraId="70D8D4D9"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0.0</w:t>
            </w:r>
          </w:p>
        </w:tc>
        <w:tc>
          <w:tcPr>
            <w:tcW w:w="709" w:type="dxa"/>
            <w:tcBorders>
              <w:top w:val="nil"/>
              <w:left w:val="nil"/>
              <w:bottom w:val="nil"/>
              <w:right w:val="single" w:sz="8" w:space="0" w:color="365F91"/>
            </w:tcBorders>
            <w:shd w:val="clear" w:color="auto" w:fill="auto"/>
            <w:vAlign w:val="center"/>
            <w:hideMark/>
          </w:tcPr>
          <w:p w14:paraId="496A728E"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0.4</w:t>
            </w:r>
          </w:p>
        </w:tc>
        <w:tc>
          <w:tcPr>
            <w:tcW w:w="851" w:type="dxa"/>
            <w:tcBorders>
              <w:top w:val="nil"/>
              <w:left w:val="nil"/>
              <w:bottom w:val="nil"/>
            </w:tcBorders>
            <w:shd w:val="clear" w:color="auto" w:fill="auto"/>
            <w:vAlign w:val="center"/>
            <w:hideMark/>
          </w:tcPr>
          <w:p w14:paraId="13B996D1"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6,864.4</w:t>
            </w:r>
          </w:p>
        </w:tc>
      </w:tr>
      <w:tr w:rsidR="00380BE7" w:rsidRPr="00256982" w14:paraId="7CA540E7" w14:textId="77777777" w:rsidTr="00F62AC8">
        <w:tc>
          <w:tcPr>
            <w:tcW w:w="1123" w:type="dxa"/>
            <w:vMerge/>
            <w:tcBorders>
              <w:top w:val="nil"/>
              <w:bottom w:val="single" w:sz="8" w:space="0" w:color="365F91"/>
              <w:right w:val="nil"/>
            </w:tcBorders>
            <w:vAlign w:val="center"/>
            <w:hideMark/>
          </w:tcPr>
          <w:p w14:paraId="6F945DD6" w14:textId="77777777" w:rsidR="00380BE7" w:rsidRPr="00256982" w:rsidRDefault="00380BE7" w:rsidP="009574E7">
            <w:pPr>
              <w:pStyle w:val="TableText"/>
              <w:spacing w:before="40" w:after="40"/>
              <w:rPr>
                <w:b/>
                <w:lang w:eastAsia="en-NZ"/>
              </w:rPr>
            </w:pPr>
          </w:p>
        </w:tc>
        <w:tc>
          <w:tcPr>
            <w:tcW w:w="1061" w:type="dxa"/>
            <w:tcBorders>
              <w:top w:val="nil"/>
              <w:left w:val="nil"/>
              <w:bottom w:val="nil"/>
              <w:right w:val="single" w:sz="8" w:space="0" w:color="365F91"/>
            </w:tcBorders>
            <w:shd w:val="clear" w:color="auto" w:fill="auto"/>
            <w:vAlign w:val="center"/>
            <w:hideMark/>
          </w:tcPr>
          <w:p w14:paraId="29E0BB8D" w14:textId="77777777" w:rsidR="00380BE7" w:rsidRPr="00256982" w:rsidRDefault="00380BE7" w:rsidP="009574E7">
            <w:pPr>
              <w:pStyle w:val="TableText"/>
              <w:spacing w:before="40" w:after="40"/>
              <w:rPr>
                <w:lang w:eastAsia="en-NZ"/>
              </w:rPr>
            </w:pPr>
            <w:r w:rsidRPr="00256982">
              <w:rPr>
                <w:lang w:eastAsia="en-NZ"/>
              </w:rPr>
              <w:t>Low producing</w:t>
            </w:r>
          </w:p>
        </w:tc>
        <w:tc>
          <w:tcPr>
            <w:tcW w:w="816" w:type="dxa"/>
            <w:tcBorders>
              <w:top w:val="nil"/>
              <w:left w:val="nil"/>
              <w:bottom w:val="nil"/>
              <w:right w:val="nil"/>
            </w:tcBorders>
            <w:shd w:val="clear" w:color="auto" w:fill="auto"/>
            <w:vAlign w:val="center"/>
            <w:hideMark/>
          </w:tcPr>
          <w:p w14:paraId="2D87DDC6"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21.1</w:t>
            </w:r>
          </w:p>
        </w:tc>
        <w:tc>
          <w:tcPr>
            <w:tcW w:w="851" w:type="dxa"/>
            <w:tcBorders>
              <w:top w:val="nil"/>
              <w:left w:val="nil"/>
              <w:bottom w:val="nil"/>
              <w:right w:val="nil"/>
            </w:tcBorders>
            <w:shd w:val="clear" w:color="auto" w:fill="auto"/>
            <w:vAlign w:val="center"/>
            <w:hideMark/>
          </w:tcPr>
          <w:p w14:paraId="5053CEB1"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28.6</w:t>
            </w:r>
          </w:p>
        </w:tc>
        <w:tc>
          <w:tcPr>
            <w:tcW w:w="850" w:type="dxa"/>
            <w:tcBorders>
              <w:top w:val="nil"/>
              <w:left w:val="nil"/>
              <w:bottom w:val="nil"/>
              <w:right w:val="single" w:sz="8" w:space="0" w:color="365F91"/>
            </w:tcBorders>
            <w:shd w:val="clear" w:color="auto" w:fill="auto"/>
            <w:vAlign w:val="center"/>
            <w:hideMark/>
          </w:tcPr>
          <w:p w14:paraId="3A2D4D5E"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7.4</w:t>
            </w:r>
          </w:p>
        </w:tc>
        <w:tc>
          <w:tcPr>
            <w:tcW w:w="851" w:type="dxa"/>
            <w:tcBorders>
              <w:top w:val="nil"/>
              <w:left w:val="nil"/>
              <w:bottom w:val="nil"/>
              <w:right w:val="nil"/>
            </w:tcBorders>
            <w:shd w:val="clear" w:color="auto" w:fill="auto"/>
            <w:vAlign w:val="center"/>
            <w:hideMark/>
          </w:tcPr>
          <w:p w14:paraId="76FDECA8"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0.0</w:t>
            </w:r>
          </w:p>
        </w:tc>
        <w:tc>
          <w:tcPr>
            <w:tcW w:w="992" w:type="dxa"/>
            <w:tcBorders>
              <w:top w:val="nil"/>
              <w:left w:val="nil"/>
              <w:bottom w:val="nil"/>
              <w:right w:val="single" w:sz="8" w:space="0" w:color="365F91"/>
            </w:tcBorders>
            <w:shd w:val="clear" w:color="auto" w:fill="auto"/>
            <w:vAlign w:val="center"/>
            <w:hideMark/>
          </w:tcPr>
          <w:p w14:paraId="066CDD40"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0.1</w:t>
            </w:r>
          </w:p>
        </w:tc>
        <w:tc>
          <w:tcPr>
            <w:tcW w:w="999" w:type="dxa"/>
            <w:tcBorders>
              <w:top w:val="nil"/>
              <w:left w:val="nil"/>
              <w:bottom w:val="nil"/>
              <w:right w:val="nil"/>
            </w:tcBorders>
            <w:shd w:val="clear" w:color="auto" w:fill="auto"/>
            <w:vAlign w:val="center"/>
            <w:hideMark/>
          </w:tcPr>
          <w:p w14:paraId="1970893D"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4.5</w:t>
            </w:r>
          </w:p>
        </w:tc>
        <w:tc>
          <w:tcPr>
            <w:tcW w:w="999" w:type="dxa"/>
            <w:tcBorders>
              <w:top w:val="nil"/>
              <w:left w:val="nil"/>
              <w:bottom w:val="nil"/>
              <w:right w:val="nil"/>
            </w:tcBorders>
            <w:shd w:val="clear" w:color="000000" w:fill="D8D8D8"/>
            <w:vAlign w:val="center"/>
            <w:hideMark/>
          </w:tcPr>
          <w:p w14:paraId="0D4DAA5A"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6,316.5</w:t>
            </w:r>
          </w:p>
        </w:tc>
        <w:tc>
          <w:tcPr>
            <w:tcW w:w="999" w:type="dxa"/>
            <w:tcBorders>
              <w:top w:val="nil"/>
              <w:left w:val="nil"/>
              <w:bottom w:val="nil"/>
              <w:right w:val="single" w:sz="8" w:space="0" w:color="365F91"/>
            </w:tcBorders>
            <w:shd w:val="clear" w:color="auto" w:fill="auto"/>
            <w:vAlign w:val="center"/>
            <w:hideMark/>
          </w:tcPr>
          <w:p w14:paraId="778CF338"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44.3</w:t>
            </w:r>
          </w:p>
        </w:tc>
        <w:tc>
          <w:tcPr>
            <w:tcW w:w="830" w:type="dxa"/>
            <w:tcBorders>
              <w:top w:val="nil"/>
              <w:left w:val="nil"/>
              <w:bottom w:val="nil"/>
              <w:right w:val="nil"/>
            </w:tcBorders>
            <w:shd w:val="clear" w:color="auto" w:fill="auto"/>
            <w:vAlign w:val="center"/>
            <w:hideMark/>
          </w:tcPr>
          <w:p w14:paraId="755B91D8"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0.1</w:t>
            </w:r>
          </w:p>
        </w:tc>
        <w:tc>
          <w:tcPr>
            <w:tcW w:w="992" w:type="dxa"/>
            <w:tcBorders>
              <w:top w:val="nil"/>
              <w:left w:val="nil"/>
              <w:bottom w:val="nil"/>
              <w:right w:val="single" w:sz="8" w:space="0" w:color="365F91"/>
            </w:tcBorders>
            <w:shd w:val="clear" w:color="auto" w:fill="auto"/>
            <w:vAlign w:val="center"/>
            <w:hideMark/>
          </w:tcPr>
          <w:p w14:paraId="54F6F7E4"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0.6</w:t>
            </w:r>
          </w:p>
        </w:tc>
        <w:tc>
          <w:tcPr>
            <w:tcW w:w="1134" w:type="dxa"/>
            <w:tcBorders>
              <w:top w:val="nil"/>
              <w:left w:val="nil"/>
              <w:bottom w:val="nil"/>
              <w:right w:val="single" w:sz="8" w:space="0" w:color="365F91"/>
            </w:tcBorders>
            <w:shd w:val="clear" w:color="auto" w:fill="auto"/>
            <w:vAlign w:val="center"/>
            <w:hideMark/>
          </w:tcPr>
          <w:p w14:paraId="2190B960"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 </w:t>
            </w:r>
          </w:p>
        </w:tc>
        <w:tc>
          <w:tcPr>
            <w:tcW w:w="709" w:type="dxa"/>
            <w:tcBorders>
              <w:top w:val="nil"/>
              <w:left w:val="nil"/>
              <w:bottom w:val="nil"/>
              <w:right w:val="single" w:sz="8" w:space="0" w:color="365F91"/>
            </w:tcBorders>
            <w:shd w:val="clear" w:color="auto" w:fill="auto"/>
            <w:vAlign w:val="center"/>
            <w:hideMark/>
          </w:tcPr>
          <w:p w14:paraId="48245FA8"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0.6</w:t>
            </w:r>
          </w:p>
        </w:tc>
        <w:tc>
          <w:tcPr>
            <w:tcW w:w="851" w:type="dxa"/>
            <w:tcBorders>
              <w:top w:val="nil"/>
              <w:left w:val="nil"/>
              <w:bottom w:val="nil"/>
            </w:tcBorders>
            <w:shd w:val="clear" w:color="auto" w:fill="auto"/>
            <w:vAlign w:val="center"/>
            <w:hideMark/>
          </w:tcPr>
          <w:p w14:paraId="36768A52"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6,423.9</w:t>
            </w:r>
          </w:p>
        </w:tc>
      </w:tr>
      <w:tr w:rsidR="00380BE7" w:rsidRPr="00256982" w14:paraId="2DF2E8C9" w14:textId="77777777" w:rsidTr="00F62AC8">
        <w:tc>
          <w:tcPr>
            <w:tcW w:w="1123" w:type="dxa"/>
            <w:vMerge/>
            <w:tcBorders>
              <w:top w:val="nil"/>
              <w:bottom w:val="single" w:sz="8" w:space="0" w:color="365F91"/>
              <w:right w:val="nil"/>
            </w:tcBorders>
            <w:vAlign w:val="center"/>
            <w:hideMark/>
          </w:tcPr>
          <w:p w14:paraId="6AB7EB4E" w14:textId="77777777" w:rsidR="00380BE7" w:rsidRPr="00256982" w:rsidRDefault="00380BE7" w:rsidP="009574E7">
            <w:pPr>
              <w:pStyle w:val="TableText"/>
              <w:spacing w:before="40" w:after="40"/>
              <w:rPr>
                <w:b/>
                <w:lang w:eastAsia="en-NZ"/>
              </w:rPr>
            </w:pPr>
          </w:p>
        </w:tc>
        <w:tc>
          <w:tcPr>
            <w:tcW w:w="1061" w:type="dxa"/>
            <w:tcBorders>
              <w:top w:val="nil"/>
              <w:left w:val="nil"/>
              <w:bottom w:val="single" w:sz="8" w:space="0" w:color="365F91"/>
              <w:right w:val="single" w:sz="8" w:space="0" w:color="365F91"/>
            </w:tcBorders>
            <w:shd w:val="clear" w:color="auto" w:fill="auto"/>
            <w:vAlign w:val="center"/>
            <w:hideMark/>
          </w:tcPr>
          <w:p w14:paraId="2CCB0640" w14:textId="77777777" w:rsidR="00380BE7" w:rsidRPr="00256982" w:rsidRDefault="00380BE7" w:rsidP="009574E7">
            <w:pPr>
              <w:pStyle w:val="TableText"/>
              <w:spacing w:before="40" w:after="40"/>
              <w:rPr>
                <w:lang w:eastAsia="en-NZ"/>
              </w:rPr>
            </w:pPr>
            <w:r w:rsidRPr="00256982">
              <w:rPr>
                <w:lang w:eastAsia="en-NZ"/>
              </w:rPr>
              <w:t>With woody biomass</w:t>
            </w:r>
          </w:p>
        </w:tc>
        <w:tc>
          <w:tcPr>
            <w:tcW w:w="816" w:type="dxa"/>
            <w:tcBorders>
              <w:top w:val="nil"/>
              <w:left w:val="nil"/>
              <w:bottom w:val="single" w:sz="8" w:space="0" w:color="365F91"/>
              <w:right w:val="nil"/>
            </w:tcBorders>
            <w:shd w:val="clear" w:color="auto" w:fill="auto"/>
            <w:vAlign w:val="center"/>
            <w:hideMark/>
          </w:tcPr>
          <w:p w14:paraId="03BB82D8"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9.1</w:t>
            </w:r>
          </w:p>
        </w:tc>
        <w:tc>
          <w:tcPr>
            <w:tcW w:w="851" w:type="dxa"/>
            <w:tcBorders>
              <w:top w:val="nil"/>
              <w:left w:val="nil"/>
              <w:bottom w:val="single" w:sz="8" w:space="0" w:color="365F91"/>
              <w:right w:val="nil"/>
            </w:tcBorders>
            <w:shd w:val="clear" w:color="auto" w:fill="auto"/>
            <w:vAlign w:val="center"/>
            <w:hideMark/>
          </w:tcPr>
          <w:p w14:paraId="4B9757C8"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9.5</w:t>
            </w:r>
          </w:p>
        </w:tc>
        <w:tc>
          <w:tcPr>
            <w:tcW w:w="850" w:type="dxa"/>
            <w:tcBorders>
              <w:top w:val="nil"/>
              <w:left w:val="nil"/>
              <w:bottom w:val="single" w:sz="8" w:space="0" w:color="365F91"/>
              <w:right w:val="single" w:sz="8" w:space="0" w:color="365F91"/>
            </w:tcBorders>
            <w:shd w:val="clear" w:color="auto" w:fill="auto"/>
            <w:vAlign w:val="center"/>
            <w:hideMark/>
          </w:tcPr>
          <w:p w14:paraId="080F8028"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2.4</w:t>
            </w:r>
          </w:p>
        </w:tc>
        <w:tc>
          <w:tcPr>
            <w:tcW w:w="851" w:type="dxa"/>
            <w:tcBorders>
              <w:top w:val="nil"/>
              <w:left w:val="nil"/>
              <w:bottom w:val="single" w:sz="8" w:space="0" w:color="365F91"/>
              <w:right w:val="nil"/>
            </w:tcBorders>
            <w:shd w:val="clear" w:color="auto" w:fill="auto"/>
            <w:vAlign w:val="center"/>
            <w:hideMark/>
          </w:tcPr>
          <w:p w14:paraId="55B4329B"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0.1</w:t>
            </w:r>
          </w:p>
        </w:tc>
        <w:tc>
          <w:tcPr>
            <w:tcW w:w="992" w:type="dxa"/>
            <w:tcBorders>
              <w:top w:val="nil"/>
              <w:left w:val="nil"/>
              <w:bottom w:val="single" w:sz="8" w:space="0" w:color="365F91"/>
              <w:right w:val="single" w:sz="8" w:space="0" w:color="365F91"/>
            </w:tcBorders>
            <w:shd w:val="clear" w:color="auto" w:fill="auto"/>
            <w:vAlign w:val="center"/>
            <w:hideMark/>
          </w:tcPr>
          <w:p w14:paraId="7D06475C"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0.1</w:t>
            </w:r>
          </w:p>
        </w:tc>
        <w:tc>
          <w:tcPr>
            <w:tcW w:w="999" w:type="dxa"/>
            <w:tcBorders>
              <w:top w:val="nil"/>
              <w:left w:val="nil"/>
              <w:bottom w:val="single" w:sz="8" w:space="0" w:color="365F91"/>
              <w:right w:val="nil"/>
            </w:tcBorders>
            <w:shd w:val="clear" w:color="auto" w:fill="auto"/>
            <w:vAlign w:val="center"/>
            <w:hideMark/>
          </w:tcPr>
          <w:p w14:paraId="74EC9991"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16.2</w:t>
            </w:r>
          </w:p>
        </w:tc>
        <w:tc>
          <w:tcPr>
            <w:tcW w:w="999" w:type="dxa"/>
            <w:tcBorders>
              <w:top w:val="nil"/>
              <w:left w:val="nil"/>
              <w:bottom w:val="single" w:sz="8" w:space="0" w:color="365F91"/>
              <w:right w:val="nil"/>
            </w:tcBorders>
            <w:shd w:val="clear" w:color="auto" w:fill="auto"/>
            <w:vAlign w:val="center"/>
            <w:hideMark/>
          </w:tcPr>
          <w:p w14:paraId="33CC4756"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75.7</w:t>
            </w:r>
          </w:p>
        </w:tc>
        <w:tc>
          <w:tcPr>
            <w:tcW w:w="999" w:type="dxa"/>
            <w:tcBorders>
              <w:top w:val="nil"/>
              <w:left w:val="nil"/>
              <w:bottom w:val="single" w:sz="8" w:space="0" w:color="365F91"/>
              <w:right w:val="single" w:sz="8" w:space="0" w:color="365F91"/>
            </w:tcBorders>
            <w:shd w:val="clear" w:color="000000" w:fill="D8D8D8"/>
            <w:vAlign w:val="center"/>
            <w:hideMark/>
          </w:tcPr>
          <w:p w14:paraId="3ED98B3B"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1,280.9</w:t>
            </w:r>
          </w:p>
        </w:tc>
        <w:tc>
          <w:tcPr>
            <w:tcW w:w="830" w:type="dxa"/>
            <w:tcBorders>
              <w:top w:val="nil"/>
              <w:left w:val="nil"/>
              <w:bottom w:val="single" w:sz="8" w:space="0" w:color="365F91"/>
              <w:right w:val="nil"/>
            </w:tcBorders>
            <w:shd w:val="clear" w:color="auto" w:fill="auto"/>
            <w:vAlign w:val="center"/>
            <w:hideMark/>
          </w:tcPr>
          <w:p w14:paraId="3ABF19DF"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0.3</w:t>
            </w:r>
          </w:p>
        </w:tc>
        <w:tc>
          <w:tcPr>
            <w:tcW w:w="992" w:type="dxa"/>
            <w:tcBorders>
              <w:top w:val="nil"/>
              <w:left w:val="nil"/>
              <w:bottom w:val="single" w:sz="8" w:space="0" w:color="365F91"/>
              <w:right w:val="single" w:sz="8" w:space="0" w:color="365F91"/>
            </w:tcBorders>
            <w:shd w:val="clear" w:color="auto" w:fill="auto"/>
            <w:vAlign w:val="center"/>
            <w:hideMark/>
          </w:tcPr>
          <w:p w14:paraId="505045C5"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0.1</w:t>
            </w:r>
          </w:p>
        </w:tc>
        <w:tc>
          <w:tcPr>
            <w:tcW w:w="1134" w:type="dxa"/>
            <w:tcBorders>
              <w:top w:val="nil"/>
              <w:left w:val="nil"/>
              <w:bottom w:val="single" w:sz="8" w:space="0" w:color="365F91"/>
              <w:right w:val="single" w:sz="8" w:space="0" w:color="365F91"/>
            </w:tcBorders>
            <w:shd w:val="clear" w:color="auto" w:fill="auto"/>
            <w:vAlign w:val="center"/>
            <w:hideMark/>
          </w:tcPr>
          <w:p w14:paraId="32917487"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0.0</w:t>
            </w:r>
          </w:p>
        </w:tc>
        <w:tc>
          <w:tcPr>
            <w:tcW w:w="709" w:type="dxa"/>
            <w:tcBorders>
              <w:top w:val="nil"/>
              <w:left w:val="nil"/>
              <w:bottom w:val="single" w:sz="8" w:space="0" w:color="365F91"/>
              <w:right w:val="single" w:sz="8" w:space="0" w:color="365F91"/>
            </w:tcBorders>
            <w:shd w:val="clear" w:color="auto" w:fill="auto"/>
            <w:vAlign w:val="center"/>
            <w:hideMark/>
          </w:tcPr>
          <w:p w14:paraId="11303058"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1.5</w:t>
            </w:r>
          </w:p>
        </w:tc>
        <w:tc>
          <w:tcPr>
            <w:tcW w:w="851" w:type="dxa"/>
            <w:tcBorders>
              <w:top w:val="nil"/>
              <w:left w:val="nil"/>
              <w:bottom w:val="single" w:sz="8" w:space="0" w:color="365F91"/>
            </w:tcBorders>
            <w:shd w:val="clear" w:color="auto" w:fill="auto"/>
            <w:vAlign w:val="center"/>
            <w:hideMark/>
          </w:tcPr>
          <w:p w14:paraId="00BB5685"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1,395.8</w:t>
            </w:r>
          </w:p>
        </w:tc>
      </w:tr>
      <w:tr w:rsidR="00380BE7" w:rsidRPr="00256982" w14:paraId="202A3E56" w14:textId="77777777" w:rsidTr="00F62AC8">
        <w:trPr>
          <w:trHeight w:val="352"/>
        </w:trPr>
        <w:tc>
          <w:tcPr>
            <w:tcW w:w="1123" w:type="dxa"/>
            <w:tcBorders>
              <w:top w:val="nil"/>
              <w:bottom w:val="nil"/>
              <w:right w:val="nil"/>
            </w:tcBorders>
            <w:shd w:val="clear" w:color="auto" w:fill="auto"/>
            <w:vAlign w:val="center"/>
            <w:hideMark/>
          </w:tcPr>
          <w:p w14:paraId="5AD930E6" w14:textId="77777777" w:rsidR="00380BE7" w:rsidRPr="00256982" w:rsidRDefault="00380BE7" w:rsidP="009574E7">
            <w:pPr>
              <w:pStyle w:val="TableText"/>
              <w:spacing w:before="40" w:after="40"/>
              <w:rPr>
                <w:b/>
                <w:lang w:eastAsia="en-NZ"/>
              </w:rPr>
            </w:pPr>
            <w:r w:rsidRPr="00256982">
              <w:rPr>
                <w:b/>
                <w:lang w:eastAsia="en-NZ"/>
              </w:rPr>
              <w:t>Wetlands</w:t>
            </w:r>
          </w:p>
        </w:tc>
        <w:tc>
          <w:tcPr>
            <w:tcW w:w="1061" w:type="dxa"/>
            <w:tcBorders>
              <w:top w:val="nil"/>
              <w:left w:val="nil"/>
              <w:bottom w:val="nil"/>
              <w:right w:val="single" w:sz="8" w:space="0" w:color="365F91"/>
            </w:tcBorders>
            <w:shd w:val="clear" w:color="auto" w:fill="auto"/>
            <w:vAlign w:val="center"/>
            <w:hideMark/>
          </w:tcPr>
          <w:p w14:paraId="5935D0A4" w14:textId="77777777" w:rsidR="00380BE7" w:rsidRPr="00256982" w:rsidRDefault="00380BE7" w:rsidP="009574E7">
            <w:pPr>
              <w:pStyle w:val="TableText"/>
              <w:spacing w:before="40" w:after="40"/>
              <w:rPr>
                <w:lang w:eastAsia="en-NZ"/>
              </w:rPr>
            </w:pPr>
            <w:r w:rsidRPr="00256982">
              <w:rPr>
                <w:lang w:eastAsia="en-NZ"/>
              </w:rPr>
              <w:t>Open water</w:t>
            </w:r>
          </w:p>
        </w:tc>
        <w:tc>
          <w:tcPr>
            <w:tcW w:w="816" w:type="dxa"/>
            <w:tcBorders>
              <w:top w:val="nil"/>
              <w:left w:val="nil"/>
              <w:bottom w:val="nil"/>
              <w:right w:val="nil"/>
            </w:tcBorders>
            <w:shd w:val="clear" w:color="auto" w:fill="auto"/>
            <w:vAlign w:val="center"/>
            <w:hideMark/>
          </w:tcPr>
          <w:p w14:paraId="00920716"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0.1</w:t>
            </w:r>
          </w:p>
        </w:tc>
        <w:tc>
          <w:tcPr>
            <w:tcW w:w="851" w:type="dxa"/>
            <w:tcBorders>
              <w:top w:val="nil"/>
              <w:left w:val="nil"/>
              <w:bottom w:val="nil"/>
              <w:right w:val="nil"/>
            </w:tcBorders>
            <w:shd w:val="clear" w:color="auto" w:fill="auto"/>
            <w:vAlign w:val="center"/>
            <w:hideMark/>
          </w:tcPr>
          <w:p w14:paraId="7D2692DB"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0.1</w:t>
            </w:r>
          </w:p>
        </w:tc>
        <w:tc>
          <w:tcPr>
            <w:tcW w:w="850" w:type="dxa"/>
            <w:tcBorders>
              <w:top w:val="nil"/>
              <w:left w:val="nil"/>
              <w:bottom w:val="nil"/>
              <w:right w:val="single" w:sz="8" w:space="0" w:color="365F91"/>
            </w:tcBorders>
            <w:shd w:val="clear" w:color="auto" w:fill="auto"/>
            <w:vAlign w:val="center"/>
            <w:hideMark/>
          </w:tcPr>
          <w:p w14:paraId="4BDCE0C8"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0.0</w:t>
            </w:r>
          </w:p>
        </w:tc>
        <w:tc>
          <w:tcPr>
            <w:tcW w:w="851" w:type="dxa"/>
            <w:tcBorders>
              <w:top w:val="nil"/>
              <w:left w:val="nil"/>
              <w:bottom w:val="nil"/>
              <w:right w:val="nil"/>
            </w:tcBorders>
            <w:shd w:val="clear" w:color="auto" w:fill="auto"/>
            <w:vAlign w:val="center"/>
            <w:hideMark/>
          </w:tcPr>
          <w:p w14:paraId="73A83C62"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0.4</w:t>
            </w:r>
          </w:p>
        </w:tc>
        <w:tc>
          <w:tcPr>
            <w:tcW w:w="992" w:type="dxa"/>
            <w:tcBorders>
              <w:top w:val="nil"/>
              <w:left w:val="nil"/>
              <w:bottom w:val="nil"/>
              <w:right w:val="single" w:sz="8" w:space="0" w:color="365F91"/>
            </w:tcBorders>
            <w:shd w:val="clear" w:color="auto" w:fill="auto"/>
            <w:vAlign w:val="center"/>
            <w:hideMark/>
          </w:tcPr>
          <w:p w14:paraId="182172BE"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0.0</w:t>
            </w:r>
          </w:p>
        </w:tc>
        <w:tc>
          <w:tcPr>
            <w:tcW w:w="999" w:type="dxa"/>
            <w:tcBorders>
              <w:top w:val="nil"/>
              <w:left w:val="nil"/>
              <w:bottom w:val="nil"/>
              <w:right w:val="nil"/>
            </w:tcBorders>
            <w:shd w:val="clear" w:color="auto" w:fill="auto"/>
            <w:vAlign w:val="center"/>
            <w:hideMark/>
          </w:tcPr>
          <w:p w14:paraId="563B8F4E"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2.7</w:t>
            </w:r>
          </w:p>
        </w:tc>
        <w:tc>
          <w:tcPr>
            <w:tcW w:w="999" w:type="dxa"/>
            <w:tcBorders>
              <w:top w:val="nil"/>
              <w:left w:val="nil"/>
              <w:bottom w:val="nil"/>
              <w:right w:val="nil"/>
            </w:tcBorders>
            <w:shd w:val="clear" w:color="auto" w:fill="auto"/>
            <w:vAlign w:val="center"/>
            <w:hideMark/>
          </w:tcPr>
          <w:p w14:paraId="45F58A96"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2.7</w:t>
            </w:r>
          </w:p>
        </w:tc>
        <w:tc>
          <w:tcPr>
            <w:tcW w:w="999" w:type="dxa"/>
            <w:tcBorders>
              <w:top w:val="nil"/>
              <w:left w:val="nil"/>
              <w:bottom w:val="nil"/>
              <w:right w:val="single" w:sz="8" w:space="0" w:color="365F91"/>
            </w:tcBorders>
            <w:shd w:val="clear" w:color="auto" w:fill="auto"/>
            <w:vAlign w:val="center"/>
            <w:hideMark/>
          </w:tcPr>
          <w:p w14:paraId="77D281DE"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0.3</w:t>
            </w:r>
          </w:p>
        </w:tc>
        <w:tc>
          <w:tcPr>
            <w:tcW w:w="830" w:type="dxa"/>
            <w:tcBorders>
              <w:top w:val="nil"/>
              <w:left w:val="nil"/>
              <w:bottom w:val="nil"/>
              <w:right w:val="nil"/>
            </w:tcBorders>
            <w:shd w:val="clear" w:color="000000" w:fill="D9D9D9"/>
            <w:vAlign w:val="center"/>
            <w:hideMark/>
          </w:tcPr>
          <w:p w14:paraId="61CD18A2"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526.9</w:t>
            </w:r>
          </w:p>
        </w:tc>
        <w:tc>
          <w:tcPr>
            <w:tcW w:w="992" w:type="dxa"/>
            <w:tcBorders>
              <w:top w:val="nil"/>
              <w:left w:val="nil"/>
              <w:bottom w:val="nil"/>
              <w:right w:val="single" w:sz="8" w:space="0" w:color="365F91"/>
            </w:tcBorders>
            <w:shd w:val="clear" w:color="auto" w:fill="auto"/>
            <w:vAlign w:val="center"/>
            <w:hideMark/>
          </w:tcPr>
          <w:p w14:paraId="1436E9C7"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0.4</w:t>
            </w:r>
          </w:p>
        </w:tc>
        <w:tc>
          <w:tcPr>
            <w:tcW w:w="1134" w:type="dxa"/>
            <w:tcBorders>
              <w:top w:val="nil"/>
              <w:left w:val="nil"/>
              <w:bottom w:val="nil"/>
              <w:right w:val="single" w:sz="8" w:space="0" w:color="365F91"/>
            </w:tcBorders>
            <w:shd w:val="clear" w:color="auto" w:fill="auto"/>
            <w:vAlign w:val="center"/>
            <w:hideMark/>
          </w:tcPr>
          <w:p w14:paraId="19B3327D"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0.0</w:t>
            </w:r>
          </w:p>
        </w:tc>
        <w:tc>
          <w:tcPr>
            <w:tcW w:w="709" w:type="dxa"/>
            <w:tcBorders>
              <w:top w:val="nil"/>
              <w:left w:val="nil"/>
              <w:bottom w:val="nil"/>
              <w:right w:val="single" w:sz="8" w:space="0" w:color="365F91"/>
            </w:tcBorders>
            <w:shd w:val="clear" w:color="auto" w:fill="auto"/>
            <w:vAlign w:val="center"/>
            <w:hideMark/>
          </w:tcPr>
          <w:p w14:paraId="0AA4ABEC"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0.7</w:t>
            </w:r>
          </w:p>
        </w:tc>
        <w:tc>
          <w:tcPr>
            <w:tcW w:w="851" w:type="dxa"/>
            <w:tcBorders>
              <w:top w:val="nil"/>
              <w:left w:val="nil"/>
              <w:bottom w:val="nil"/>
            </w:tcBorders>
            <w:shd w:val="clear" w:color="auto" w:fill="auto"/>
            <w:vAlign w:val="center"/>
            <w:hideMark/>
          </w:tcPr>
          <w:p w14:paraId="6A642D49"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534.6</w:t>
            </w:r>
          </w:p>
        </w:tc>
      </w:tr>
      <w:tr w:rsidR="00380BE7" w:rsidRPr="00256982" w14:paraId="1D5B124E" w14:textId="77777777" w:rsidTr="00F62AC8">
        <w:trPr>
          <w:trHeight w:val="238"/>
        </w:trPr>
        <w:tc>
          <w:tcPr>
            <w:tcW w:w="1123" w:type="dxa"/>
            <w:tcBorders>
              <w:top w:val="nil"/>
              <w:bottom w:val="single" w:sz="8" w:space="0" w:color="365F91"/>
              <w:right w:val="nil"/>
            </w:tcBorders>
            <w:shd w:val="clear" w:color="auto" w:fill="auto"/>
            <w:vAlign w:val="center"/>
            <w:hideMark/>
          </w:tcPr>
          <w:p w14:paraId="0FA6238A" w14:textId="77777777" w:rsidR="00380BE7" w:rsidRPr="00256982" w:rsidRDefault="00380BE7" w:rsidP="009574E7">
            <w:pPr>
              <w:pStyle w:val="TableText"/>
              <w:spacing w:before="40" w:after="40"/>
              <w:rPr>
                <w:b/>
                <w:lang w:eastAsia="en-NZ"/>
              </w:rPr>
            </w:pPr>
            <w:r w:rsidRPr="00256982">
              <w:rPr>
                <w:b/>
                <w:lang w:eastAsia="en-NZ"/>
              </w:rPr>
              <w:t> </w:t>
            </w:r>
          </w:p>
        </w:tc>
        <w:tc>
          <w:tcPr>
            <w:tcW w:w="1061" w:type="dxa"/>
            <w:tcBorders>
              <w:top w:val="nil"/>
              <w:left w:val="nil"/>
              <w:bottom w:val="single" w:sz="8" w:space="0" w:color="365F91"/>
              <w:right w:val="single" w:sz="8" w:space="0" w:color="365F91"/>
            </w:tcBorders>
            <w:shd w:val="clear" w:color="auto" w:fill="auto"/>
            <w:vAlign w:val="center"/>
            <w:hideMark/>
          </w:tcPr>
          <w:p w14:paraId="73AE24BE" w14:textId="77777777" w:rsidR="00380BE7" w:rsidRPr="00256982" w:rsidRDefault="00380BE7" w:rsidP="009574E7">
            <w:pPr>
              <w:pStyle w:val="TableText"/>
              <w:spacing w:before="40" w:after="40"/>
              <w:rPr>
                <w:lang w:eastAsia="en-NZ"/>
              </w:rPr>
            </w:pPr>
            <w:r w:rsidRPr="00256982">
              <w:rPr>
                <w:lang w:eastAsia="en-NZ"/>
              </w:rPr>
              <w:t>Vegetated</w:t>
            </w:r>
          </w:p>
        </w:tc>
        <w:tc>
          <w:tcPr>
            <w:tcW w:w="816" w:type="dxa"/>
            <w:tcBorders>
              <w:top w:val="nil"/>
              <w:left w:val="nil"/>
              <w:bottom w:val="single" w:sz="8" w:space="0" w:color="365F91"/>
              <w:right w:val="nil"/>
            </w:tcBorders>
            <w:shd w:val="clear" w:color="auto" w:fill="auto"/>
            <w:vAlign w:val="center"/>
            <w:hideMark/>
          </w:tcPr>
          <w:p w14:paraId="7AC49564"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0.0</w:t>
            </w:r>
          </w:p>
        </w:tc>
        <w:tc>
          <w:tcPr>
            <w:tcW w:w="851" w:type="dxa"/>
            <w:tcBorders>
              <w:top w:val="nil"/>
              <w:left w:val="nil"/>
              <w:bottom w:val="single" w:sz="8" w:space="0" w:color="365F91"/>
              <w:right w:val="nil"/>
            </w:tcBorders>
            <w:shd w:val="clear" w:color="auto" w:fill="auto"/>
            <w:vAlign w:val="center"/>
            <w:hideMark/>
          </w:tcPr>
          <w:p w14:paraId="62A40DA5"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0.2</w:t>
            </w:r>
          </w:p>
        </w:tc>
        <w:tc>
          <w:tcPr>
            <w:tcW w:w="850" w:type="dxa"/>
            <w:tcBorders>
              <w:top w:val="nil"/>
              <w:left w:val="nil"/>
              <w:bottom w:val="single" w:sz="8" w:space="0" w:color="365F91"/>
              <w:right w:val="single" w:sz="8" w:space="0" w:color="365F91"/>
            </w:tcBorders>
            <w:shd w:val="clear" w:color="auto" w:fill="auto"/>
            <w:vAlign w:val="center"/>
            <w:hideMark/>
          </w:tcPr>
          <w:p w14:paraId="4AAC5792"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0.0</w:t>
            </w:r>
          </w:p>
        </w:tc>
        <w:tc>
          <w:tcPr>
            <w:tcW w:w="851" w:type="dxa"/>
            <w:tcBorders>
              <w:top w:val="nil"/>
              <w:left w:val="nil"/>
              <w:bottom w:val="single" w:sz="8" w:space="0" w:color="365F91"/>
              <w:right w:val="nil"/>
            </w:tcBorders>
            <w:shd w:val="clear" w:color="auto" w:fill="auto"/>
            <w:vAlign w:val="center"/>
            <w:hideMark/>
          </w:tcPr>
          <w:p w14:paraId="50A853B4"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 </w:t>
            </w:r>
          </w:p>
        </w:tc>
        <w:tc>
          <w:tcPr>
            <w:tcW w:w="992" w:type="dxa"/>
            <w:tcBorders>
              <w:top w:val="nil"/>
              <w:left w:val="nil"/>
              <w:bottom w:val="single" w:sz="8" w:space="0" w:color="365F91"/>
              <w:right w:val="single" w:sz="8" w:space="0" w:color="365F91"/>
            </w:tcBorders>
            <w:shd w:val="clear" w:color="auto" w:fill="auto"/>
            <w:vAlign w:val="center"/>
            <w:hideMark/>
          </w:tcPr>
          <w:p w14:paraId="64A00E29"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0.0</w:t>
            </w:r>
          </w:p>
        </w:tc>
        <w:tc>
          <w:tcPr>
            <w:tcW w:w="999" w:type="dxa"/>
            <w:tcBorders>
              <w:top w:val="nil"/>
              <w:left w:val="nil"/>
              <w:bottom w:val="single" w:sz="8" w:space="0" w:color="365F91"/>
              <w:right w:val="nil"/>
            </w:tcBorders>
            <w:shd w:val="clear" w:color="auto" w:fill="auto"/>
            <w:vAlign w:val="center"/>
            <w:hideMark/>
          </w:tcPr>
          <w:p w14:paraId="6B4C18B4"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0.1</w:t>
            </w:r>
          </w:p>
        </w:tc>
        <w:tc>
          <w:tcPr>
            <w:tcW w:w="999" w:type="dxa"/>
            <w:tcBorders>
              <w:top w:val="nil"/>
              <w:left w:val="nil"/>
              <w:bottom w:val="single" w:sz="8" w:space="0" w:color="365F91"/>
              <w:right w:val="nil"/>
            </w:tcBorders>
            <w:shd w:val="clear" w:color="auto" w:fill="auto"/>
            <w:vAlign w:val="center"/>
            <w:hideMark/>
          </w:tcPr>
          <w:p w14:paraId="615C9B1D"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0.0</w:t>
            </w:r>
          </w:p>
        </w:tc>
        <w:tc>
          <w:tcPr>
            <w:tcW w:w="999" w:type="dxa"/>
            <w:tcBorders>
              <w:top w:val="nil"/>
              <w:left w:val="nil"/>
              <w:bottom w:val="single" w:sz="8" w:space="0" w:color="365F91"/>
              <w:right w:val="single" w:sz="8" w:space="0" w:color="365F91"/>
            </w:tcBorders>
            <w:shd w:val="clear" w:color="auto" w:fill="auto"/>
            <w:vAlign w:val="center"/>
            <w:hideMark/>
          </w:tcPr>
          <w:p w14:paraId="38B78CC4"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0.1</w:t>
            </w:r>
          </w:p>
        </w:tc>
        <w:tc>
          <w:tcPr>
            <w:tcW w:w="830" w:type="dxa"/>
            <w:tcBorders>
              <w:top w:val="nil"/>
              <w:left w:val="nil"/>
              <w:bottom w:val="single" w:sz="8" w:space="0" w:color="365F91"/>
              <w:right w:val="nil"/>
            </w:tcBorders>
            <w:shd w:val="clear" w:color="auto" w:fill="auto"/>
            <w:vAlign w:val="center"/>
            <w:hideMark/>
          </w:tcPr>
          <w:p w14:paraId="749FFDE3"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0.0</w:t>
            </w:r>
          </w:p>
        </w:tc>
        <w:tc>
          <w:tcPr>
            <w:tcW w:w="992" w:type="dxa"/>
            <w:tcBorders>
              <w:top w:val="nil"/>
              <w:left w:val="nil"/>
              <w:bottom w:val="single" w:sz="8" w:space="0" w:color="365F91"/>
              <w:right w:val="single" w:sz="8" w:space="0" w:color="365F91"/>
            </w:tcBorders>
            <w:shd w:val="clear" w:color="000000" w:fill="D8D8D8"/>
            <w:vAlign w:val="center"/>
            <w:hideMark/>
          </w:tcPr>
          <w:p w14:paraId="38DBE0A1"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174.3</w:t>
            </w:r>
          </w:p>
        </w:tc>
        <w:tc>
          <w:tcPr>
            <w:tcW w:w="1134" w:type="dxa"/>
            <w:tcBorders>
              <w:top w:val="nil"/>
              <w:left w:val="nil"/>
              <w:bottom w:val="single" w:sz="8" w:space="0" w:color="365F91"/>
              <w:right w:val="single" w:sz="8" w:space="0" w:color="365F91"/>
            </w:tcBorders>
            <w:shd w:val="clear" w:color="auto" w:fill="auto"/>
            <w:vAlign w:val="center"/>
            <w:hideMark/>
          </w:tcPr>
          <w:p w14:paraId="6645615E"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 </w:t>
            </w:r>
          </w:p>
        </w:tc>
        <w:tc>
          <w:tcPr>
            <w:tcW w:w="709" w:type="dxa"/>
            <w:tcBorders>
              <w:top w:val="nil"/>
              <w:left w:val="nil"/>
              <w:bottom w:val="single" w:sz="8" w:space="0" w:color="365F91"/>
              <w:right w:val="single" w:sz="8" w:space="0" w:color="365F91"/>
            </w:tcBorders>
            <w:shd w:val="clear" w:color="auto" w:fill="auto"/>
            <w:vAlign w:val="center"/>
            <w:hideMark/>
          </w:tcPr>
          <w:p w14:paraId="0EB54E09"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 </w:t>
            </w:r>
          </w:p>
        </w:tc>
        <w:tc>
          <w:tcPr>
            <w:tcW w:w="851" w:type="dxa"/>
            <w:tcBorders>
              <w:top w:val="nil"/>
              <w:left w:val="nil"/>
              <w:bottom w:val="single" w:sz="8" w:space="0" w:color="365F91"/>
            </w:tcBorders>
            <w:shd w:val="clear" w:color="auto" w:fill="auto"/>
            <w:vAlign w:val="center"/>
            <w:hideMark/>
          </w:tcPr>
          <w:p w14:paraId="5C7F5E8C"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174.7</w:t>
            </w:r>
          </w:p>
        </w:tc>
      </w:tr>
      <w:tr w:rsidR="00380BE7" w:rsidRPr="00256982" w14:paraId="3D9B3DED" w14:textId="77777777" w:rsidTr="00F62AC8">
        <w:trPr>
          <w:trHeight w:val="352"/>
        </w:trPr>
        <w:tc>
          <w:tcPr>
            <w:tcW w:w="1123" w:type="dxa"/>
            <w:tcBorders>
              <w:top w:val="nil"/>
              <w:bottom w:val="single" w:sz="8" w:space="0" w:color="365F91"/>
              <w:right w:val="nil"/>
            </w:tcBorders>
            <w:shd w:val="clear" w:color="auto" w:fill="auto"/>
            <w:vAlign w:val="center"/>
            <w:hideMark/>
          </w:tcPr>
          <w:p w14:paraId="49D9EDF6" w14:textId="77777777" w:rsidR="00380BE7" w:rsidRPr="00256982" w:rsidRDefault="00380BE7" w:rsidP="009574E7">
            <w:pPr>
              <w:pStyle w:val="TableText"/>
              <w:spacing w:before="40" w:after="40"/>
              <w:rPr>
                <w:b/>
                <w:lang w:eastAsia="en-NZ"/>
              </w:rPr>
            </w:pPr>
            <w:r w:rsidRPr="00256982">
              <w:rPr>
                <w:b/>
                <w:lang w:eastAsia="en-NZ"/>
              </w:rPr>
              <w:t>Settlements</w:t>
            </w:r>
          </w:p>
        </w:tc>
        <w:tc>
          <w:tcPr>
            <w:tcW w:w="1061" w:type="dxa"/>
            <w:tcBorders>
              <w:top w:val="nil"/>
              <w:left w:val="nil"/>
              <w:bottom w:val="single" w:sz="8" w:space="0" w:color="365F91"/>
              <w:right w:val="single" w:sz="8" w:space="0" w:color="365F91"/>
            </w:tcBorders>
            <w:shd w:val="clear" w:color="auto" w:fill="auto"/>
            <w:vAlign w:val="center"/>
            <w:hideMark/>
          </w:tcPr>
          <w:p w14:paraId="488AD5FA" w14:textId="77777777" w:rsidR="00380BE7" w:rsidRPr="00256982" w:rsidRDefault="00380BE7" w:rsidP="009574E7">
            <w:pPr>
              <w:pStyle w:val="TableText"/>
              <w:spacing w:before="40" w:after="40"/>
              <w:rPr>
                <w:lang w:eastAsia="en-NZ"/>
              </w:rPr>
            </w:pPr>
            <w:r w:rsidRPr="00256982">
              <w:rPr>
                <w:lang w:eastAsia="en-NZ"/>
              </w:rPr>
              <w:t>Settlements</w:t>
            </w:r>
          </w:p>
        </w:tc>
        <w:tc>
          <w:tcPr>
            <w:tcW w:w="816" w:type="dxa"/>
            <w:tcBorders>
              <w:top w:val="nil"/>
              <w:left w:val="nil"/>
              <w:bottom w:val="single" w:sz="8" w:space="0" w:color="365F91"/>
              <w:right w:val="nil"/>
            </w:tcBorders>
            <w:shd w:val="clear" w:color="auto" w:fill="auto"/>
            <w:vAlign w:val="center"/>
            <w:hideMark/>
          </w:tcPr>
          <w:p w14:paraId="113FA8F9"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0.4</w:t>
            </w:r>
          </w:p>
        </w:tc>
        <w:tc>
          <w:tcPr>
            <w:tcW w:w="851" w:type="dxa"/>
            <w:tcBorders>
              <w:top w:val="nil"/>
              <w:left w:val="nil"/>
              <w:bottom w:val="single" w:sz="8" w:space="0" w:color="365F91"/>
              <w:right w:val="nil"/>
            </w:tcBorders>
            <w:shd w:val="clear" w:color="auto" w:fill="auto"/>
            <w:vAlign w:val="center"/>
            <w:hideMark/>
          </w:tcPr>
          <w:p w14:paraId="52420111"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0.8</w:t>
            </w:r>
          </w:p>
        </w:tc>
        <w:tc>
          <w:tcPr>
            <w:tcW w:w="850" w:type="dxa"/>
            <w:tcBorders>
              <w:top w:val="nil"/>
              <w:left w:val="nil"/>
              <w:bottom w:val="single" w:sz="8" w:space="0" w:color="365F91"/>
              <w:right w:val="single" w:sz="8" w:space="0" w:color="365F91"/>
            </w:tcBorders>
            <w:shd w:val="clear" w:color="auto" w:fill="auto"/>
            <w:vAlign w:val="center"/>
            <w:hideMark/>
          </w:tcPr>
          <w:p w14:paraId="492FD440"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0.2</w:t>
            </w:r>
          </w:p>
        </w:tc>
        <w:tc>
          <w:tcPr>
            <w:tcW w:w="851" w:type="dxa"/>
            <w:tcBorders>
              <w:top w:val="nil"/>
              <w:left w:val="nil"/>
              <w:bottom w:val="single" w:sz="8" w:space="0" w:color="365F91"/>
              <w:right w:val="nil"/>
            </w:tcBorders>
            <w:shd w:val="clear" w:color="auto" w:fill="auto"/>
            <w:vAlign w:val="center"/>
            <w:hideMark/>
          </w:tcPr>
          <w:p w14:paraId="4AEE6461"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1.0</w:t>
            </w:r>
          </w:p>
        </w:tc>
        <w:tc>
          <w:tcPr>
            <w:tcW w:w="992" w:type="dxa"/>
            <w:tcBorders>
              <w:top w:val="nil"/>
              <w:left w:val="nil"/>
              <w:bottom w:val="single" w:sz="8" w:space="0" w:color="365F91"/>
              <w:right w:val="single" w:sz="8" w:space="0" w:color="365F91"/>
            </w:tcBorders>
            <w:shd w:val="clear" w:color="auto" w:fill="auto"/>
            <w:vAlign w:val="center"/>
            <w:hideMark/>
          </w:tcPr>
          <w:p w14:paraId="368DC1DE"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1.1</w:t>
            </w:r>
          </w:p>
        </w:tc>
        <w:tc>
          <w:tcPr>
            <w:tcW w:w="999" w:type="dxa"/>
            <w:tcBorders>
              <w:top w:val="nil"/>
              <w:left w:val="nil"/>
              <w:bottom w:val="single" w:sz="8" w:space="0" w:color="365F91"/>
              <w:right w:val="nil"/>
            </w:tcBorders>
            <w:shd w:val="clear" w:color="auto" w:fill="auto"/>
            <w:vAlign w:val="center"/>
            <w:hideMark/>
          </w:tcPr>
          <w:p w14:paraId="77533950"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20.9</w:t>
            </w:r>
          </w:p>
        </w:tc>
        <w:tc>
          <w:tcPr>
            <w:tcW w:w="999" w:type="dxa"/>
            <w:tcBorders>
              <w:top w:val="nil"/>
              <w:left w:val="nil"/>
              <w:bottom w:val="single" w:sz="8" w:space="0" w:color="365F91"/>
              <w:right w:val="nil"/>
            </w:tcBorders>
            <w:shd w:val="clear" w:color="auto" w:fill="auto"/>
            <w:vAlign w:val="center"/>
            <w:hideMark/>
          </w:tcPr>
          <w:p w14:paraId="4ECA9FD5"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2.2</w:t>
            </w:r>
          </w:p>
        </w:tc>
        <w:tc>
          <w:tcPr>
            <w:tcW w:w="999" w:type="dxa"/>
            <w:tcBorders>
              <w:top w:val="nil"/>
              <w:left w:val="nil"/>
              <w:bottom w:val="single" w:sz="8" w:space="0" w:color="365F91"/>
              <w:right w:val="single" w:sz="8" w:space="0" w:color="365F91"/>
            </w:tcBorders>
            <w:shd w:val="clear" w:color="auto" w:fill="auto"/>
            <w:vAlign w:val="center"/>
            <w:hideMark/>
          </w:tcPr>
          <w:p w14:paraId="4E628C43"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0.9</w:t>
            </w:r>
          </w:p>
        </w:tc>
        <w:tc>
          <w:tcPr>
            <w:tcW w:w="830" w:type="dxa"/>
            <w:tcBorders>
              <w:top w:val="nil"/>
              <w:left w:val="nil"/>
              <w:bottom w:val="single" w:sz="8" w:space="0" w:color="365F91"/>
              <w:right w:val="nil"/>
            </w:tcBorders>
            <w:shd w:val="clear" w:color="auto" w:fill="auto"/>
            <w:vAlign w:val="center"/>
            <w:hideMark/>
          </w:tcPr>
          <w:p w14:paraId="35ABD708"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0.0</w:t>
            </w:r>
          </w:p>
        </w:tc>
        <w:tc>
          <w:tcPr>
            <w:tcW w:w="992" w:type="dxa"/>
            <w:tcBorders>
              <w:top w:val="nil"/>
              <w:left w:val="nil"/>
              <w:bottom w:val="single" w:sz="8" w:space="0" w:color="365F91"/>
              <w:right w:val="single" w:sz="8" w:space="0" w:color="365F91"/>
            </w:tcBorders>
            <w:shd w:val="clear" w:color="auto" w:fill="auto"/>
            <w:vAlign w:val="center"/>
            <w:hideMark/>
          </w:tcPr>
          <w:p w14:paraId="1C652EF1"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0.0</w:t>
            </w:r>
          </w:p>
        </w:tc>
        <w:tc>
          <w:tcPr>
            <w:tcW w:w="1134" w:type="dxa"/>
            <w:tcBorders>
              <w:top w:val="nil"/>
              <w:left w:val="nil"/>
              <w:bottom w:val="single" w:sz="8" w:space="0" w:color="365F91"/>
              <w:right w:val="single" w:sz="8" w:space="0" w:color="365F91"/>
            </w:tcBorders>
            <w:shd w:val="clear" w:color="000000" w:fill="D8D8D8"/>
            <w:vAlign w:val="center"/>
            <w:hideMark/>
          </w:tcPr>
          <w:p w14:paraId="70C68FA4"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207.5</w:t>
            </w:r>
          </w:p>
        </w:tc>
        <w:tc>
          <w:tcPr>
            <w:tcW w:w="709" w:type="dxa"/>
            <w:tcBorders>
              <w:top w:val="nil"/>
              <w:left w:val="nil"/>
              <w:bottom w:val="single" w:sz="8" w:space="0" w:color="365F91"/>
              <w:right w:val="single" w:sz="8" w:space="0" w:color="365F91"/>
            </w:tcBorders>
            <w:shd w:val="clear" w:color="auto" w:fill="auto"/>
            <w:vAlign w:val="center"/>
            <w:hideMark/>
          </w:tcPr>
          <w:p w14:paraId="0C817A59"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0.4</w:t>
            </w:r>
          </w:p>
        </w:tc>
        <w:tc>
          <w:tcPr>
            <w:tcW w:w="851" w:type="dxa"/>
            <w:tcBorders>
              <w:top w:val="nil"/>
              <w:left w:val="nil"/>
              <w:bottom w:val="nil"/>
            </w:tcBorders>
            <w:shd w:val="clear" w:color="auto" w:fill="auto"/>
            <w:vAlign w:val="center"/>
            <w:hideMark/>
          </w:tcPr>
          <w:p w14:paraId="5E3F4DDF"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235.4</w:t>
            </w:r>
          </w:p>
        </w:tc>
      </w:tr>
      <w:tr w:rsidR="00380BE7" w:rsidRPr="00256982" w14:paraId="3C174796" w14:textId="77777777" w:rsidTr="00F62AC8">
        <w:trPr>
          <w:trHeight w:val="238"/>
        </w:trPr>
        <w:tc>
          <w:tcPr>
            <w:tcW w:w="1123" w:type="dxa"/>
            <w:tcBorders>
              <w:top w:val="nil"/>
              <w:bottom w:val="double" w:sz="6" w:space="0" w:color="365F91"/>
              <w:right w:val="nil"/>
            </w:tcBorders>
            <w:shd w:val="clear" w:color="auto" w:fill="auto"/>
            <w:vAlign w:val="center"/>
            <w:hideMark/>
          </w:tcPr>
          <w:p w14:paraId="07A385BE" w14:textId="77777777" w:rsidR="00380BE7" w:rsidRPr="00256982" w:rsidRDefault="00380BE7" w:rsidP="009574E7">
            <w:pPr>
              <w:pStyle w:val="TableText"/>
              <w:spacing w:before="40" w:after="40"/>
              <w:rPr>
                <w:b/>
                <w:lang w:eastAsia="en-NZ"/>
              </w:rPr>
            </w:pPr>
            <w:r w:rsidRPr="00256982">
              <w:rPr>
                <w:b/>
                <w:lang w:eastAsia="en-NZ"/>
              </w:rPr>
              <w:t>Other land</w:t>
            </w:r>
          </w:p>
        </w:tc>
        <w:tc>
          <w:tcPr>
            <w:tcW w:w="1061" w:type="dxa"/>
            <w:tcBorders>
              <w:top w:val="nil"/>
              <w:left w:val="nil"/>
              <w:bottom w:val="double" w:sz="6" w:space="0" w:color="365F91"/>
              <w:right w:val="single" w:sz="8" w:space="0" w:color="365F91"/>
            </w:tcBorders>
            <w:shd w:val="clear" w:color="auto" w:fill="auto"/>
            <w:vAlign w:val="center"/>
            <w:hideMark/>
          </w:tcPr>
          <w:p w14:paraId="274E78EE" w14:textId="77777777" w:rsidR="00380BE7" w:rsidRPr="00256982" w:rsidRDefault="00380BE7" w:rsidP="009574E7">
            <w:pPr>
              <w:pStyle w:val="TableText"/>
              <w:spacing w:before="40" w:after="40"/>
              <w:rPr>
                <w:lang w:eastAsia="en-NZ"/>
              </w:rPr>
            </w:pPr>
            <w:r w:rsidRPr="00256982">
              <w:rPr>
                <w:lang w:eastAsia="en-NZ"/>
              </w:rPr>
              <w:t>Other land</w:t>
            </w:r>
          </w:p>
        </w:tc>
        <w:tc>
          <w:tcPr>
            <w:tcW w:w="816" w:type="dxa"/>
            <w:tcBorders>
              <w:top w:val="nil"/>
              <w:left w:val="nil"/>
              <w:bottom w:val="double" w:sz="6" w:space="0" w:color="365F91"/>
              <w:right w:val="nil"/>
            </w:tcBorders>
            <w:shd w:val="clear" w:color="auto" w:fill="auto"/>
            <w:vAlign w:val="center"/>
            <w:hideMark/>
          </w:tcPr>
          <w:p w14:paraId="08821110"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1.166</w:t>
            </w:r>
          </w:p>
        </w:tc>
        <w:tc>
          <w:tcPr>
            <w:tcW w:w="851" w:type="dxa"/>
            <w:tcBorders>
              <w:top w:val="nil"/>
              <w:left w:val="nil"/>
              <w:bottom w:val="double" w:sz="6" w:space="0" w:color="365F91"/>
              <w:right w:val="nil"/>
            </w:tcBorders>
            <w:shd w:val="clear" w:color="auto" w:fill="auto"/>
            <w:vAlign w:val="center"/>
            <w:hideMark/>
          </w:tcPr>
          <w:p w14:paraId="00D55B0C"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1.091</w:t>
            </w:r>
          </w:p>
        </w:tc>
        <w:tc>
          <w:tcPr>
            <w:tcW w:w="850" w:type="dxa"/>
            <w:tcBorders>
              <w:top w:val="nil"/>
              <w:left w:val="nil"/>
              <w:bottom w:val="double" w:sz="6" w:space="0" w:color="365F91"/>
              <w:right w:val="single" w:sz="8" w:space="0" w:color="365F91"/>
            </w:tcBorders>
            <w:shd w:val="clear" w:color="auto" w:fill="auto"/>
            <w:vAlign w:val="center"/>
            <w:hideMark/>
          </w:tcPr>
          <w:p w14:paraId="141292BC"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0.204</w:t>
            </w:r>
          </w:p>
        </w:tc>
        <w:tc>
          <w:tcPr>
            <w:tcW w:w="851" w:type="dxa"/>
            <w:tcBorders>
              <w:top w:val="nil"/>
              <w:left w:val="nil"/>
              <w:bottom w:val="double" w:sz="6" w:space="0" w:color="365F91"/>
              <w:right w:val="nil"/>
            </w:tcBorders>
            <w:shd w:val="clear" w:color="auto" w:fill="auto"/>
            <w:vAlign w:val="center"/>
            <w:hideMark/>
          </w:tcPr>
          <w:p w14:paraId="2793F2B1"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0.038</w:t>
            </w:r>
          </w:p>
        </w:tc>
        <w:tc>
          <w:tcPr>
            <w:tcW w:w="992" w:type="dxa"/>
            <w:tcBorders>
              <w:top w:val="nil"/>
              <w:left w:val="nil"/>
              <w:bottom w:val="double" w:sz="6" w:space="0" w:color="365F91"/>
              <w:right w:val="single" w:sz="8" w:space="0" w:color="365F91"/>
            </w:tcBorders>
            <w:shd w:val="clear" w:color="auto" w:fill="auto"/>
            <w:vAlign w:val="center"/>
            <w:hideMark/>
          </w:tcPr>
          <w:p w14:paraId="71D23EB6"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0.035</w:t>
            </w:r>
          </w:p>
        </w:tc>
        <w:tc>
          <w:tcPr>
            <w:tcW w:w="999" w:type="dxa"/>
            <w:tcBorders>
              <w:top w:val="nil"/>
              <w:left w:val="nil"/>
              <w:bottom w:val="double" w:sz="6" w:space="0" w:color="365F91"/>
              <w:right w:val="nil"/>
            </w:tcBorders>
            <w:shd w:val="clear" w:color="auto" w:fill="auto"/>
            <w:vAlign w:val="center"/>
            <w:hideMark/>
          </w:tcPr>
          <w:p w14:paraId="29BCBC79"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1.416</w:t>
            </w:r>
          </w:p>
        </w:tc>
        <w:tc>
          <w:tcPr>
            <w:tcW w:w="999" w:type="dxa"/>
            <w:tcBorders>
              <w:top w:val="nil"/>
              <w:left w:val="nil"/>
              <w:bottom w:val="double" w:sz="6" w:space="0" w:color="365F91"/>
              <w:right w:val="nil"/>
            </w:tcBorders>
            <w:shd w:val="clear" w:color="auto" w:fill="auto"/>
            <w:vAlign w:val="center"/>
            <w:hideMark/>
          </w:tcPr>
          <w:p w14:paraId="489742DA"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2.326</w:t>
            </w:r>
          </w:p>
        </w:tc>
        <w:tc>
          <w:tcPr>
            <w:tcW w:w="999" w:type="dxa"/>
            <w:tcBorders>
              <w:top w:val="nil"/>
              <w:left w:val="nil"/>
              <w:bottom w:val="double" w:sz="6" w:space="0" w:color="365F91"/>
              <w:right w:val="single" w:sz="8" w:space="0" w:color="365F91"/>
            </w:tcBorders>
            <w:shd w:val="clear" w:color="auto" w:fill="auto"/>
            <w:vAlign w:val="center"/>
            <w:hideMark/>
          </w:tcPr>
          <w:p w14:paraId="6DEC7750"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0.915</w:t>
            </w:r>
          </w:p>
        </w:tc>
        <w:tc>
          <w:tcPr>
            <w:tcW w:w="830" w:type="dxa"/>
            <w:tcBorders>
              <w:top w:val="nil"/>
              <w:left w:val="nil"/>
              <w:bottom w:val="double" w:sz="6" w:space="0" w:color="365F91"/>
              <w:right w:val="nil"/>
            </w:tcBorders>
            <w:shd w:val="clear" w:color="auto" w:fill="auto"/>
            <w:vAlign w:val="center"/>
            <w:hideMark/>
          </w:tcPr>
          <w:p w14:paraId="23AA3B44"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0.074</w:t>
            </w:r>
          </w:p>
        </w:tc>
        <w:tc>
          <w:tcPr>
            <w:tcW w:w="992" w:type="dxa"/>
            <w:tcBorders>
              <w:top w:val="nil"/>
              <w:left w:val="nil"/>
              <w:bottom w:val="double" w:sz="6" w:space="0" w:color="365F91"/>
              <w:right w:val="single" w:sz="8" w:space="0" w:color="365F91"/>
            </w:tcBorders>
            <w:shd w:val="clear" w:color="auto" w:fill="auto"/>
            <w:vAlign w:val="center"/>
            <w:hideMark/>
          </w:tcPr>
          <w:p w14:paraId="54B05547"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0.222</w:t>
            </w:r>
          </w:p>
        </w:tc>
        <w:tc>
          <w:tcPr>
            <w:tcW w:w="1134" w:type="dxa"/>
            <w:tcBorders>
              <w:top w:val="nil"/>
              <w:left w:val="nil"/>
              <w:bottom w:val="double" w:sz="6" w:space="0" w:color="365F91"/>
              <w:right w:val="single" w:sz="8" w:space="0" w:color="365F91"/>
            </w:tcBorders>
            <w:shd w:val="clear" w:color="auto" w:fill="auto"/>
            <w:vAlign w:val="center"/>
            <w:hideMark/>
          </w:tcPr>
          <w:p w14:paraId="0BC459C4"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0.003</w:t>
            </w:r>
          </w:p>
        </w:tc>
        <w:tc>
          <w:tcPr>
            <w:tcW w:w="709" w:type="dxa"/>
            <w:tcBorders>
              <w:top w:val="nil"/>
              <w:left w:val="nil"/>
              <w:bottom w:val="double" w:sz="6" w:space="0" w:color="365F91"/>
              <w:right w:val="single" w:sz="8" w:space="0" w:color="365F91"/>
            </w:tcBorders>
            <w:shd w:val="clear" w:color="000000" w:fill="D8D8D8"/>
            <w:vAlign w:val="center"/>
            <w:hideMark/>
          </w:tcPr>
          <w:p w14:paraId="06B466EF"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889.3</w:t>
            </w:r>
          </w:p>
        </w:tc>
        <w:tc>
          <w:tcPr>
            <w:tcW w:w="851" w:type="dxa"/>
            <w:tcBorders>
              <w:top w:val="single" w:sz="8" w:space="0" w:color="365F91"/>
              <w:left w:val="nil"/>
              <w:bottom w:val="double" w:sz="6" w:space="0" w:color="365F91"/>
            </w:tcBorders>
            <w:shd w:val="clear" w:color="auto" w:fill="auto"/>
            <w:vAlign w:val="center"/>
            <w:hideMark/>
          </w:tcPr>
          <w:p w14:paraId="51DD912D" w14:textId="77777777" w:rsidR="00380BE7" w:rsidRPr="00256982" w:rsidRDefault="00380BE7" w:rsidP="009574E7">
            <w:pPr>
              <w:jc w:val="right"/>
              <w:rPr>
                <w:rFonts w:ascii="Arial" w:hAnsi="Arial" w:cs="Arial"/>
                <w:color w:val="000000"/>
                <w:sz w:val="16"/>
                <w:szCs w:val="16"/>
              </w:rPr>
            </w:pPr>
            <w:r w:rsidRPr="00256982">
              <w:rPr>
                <w:rFonts w:ascii="Arial" w:hAnsi="Arial" w:cs="Arial"/>
                <w:color w:val="000000"/>
                <w:sz w:val="16"/>
                <w:szCs w:val="16"/>
              </w:rPr>
              <w:t>896.8</w:t>
            </w:r>
          </w:p>
        </w:tc>
      </w:tr>
      <w:tr w:rsidR="00380BE7" w:rsidRPr="00256982" w14:paraId="6BCD1405" w14:textId="77777777" w:rsidTr="009574E7">
        <w:trPr>
          <w:trHeight w:val="309"/>
        </w:trPr>
        <w:tc>
          <w:tcPr>
            <w:tcW w:w="2184" w:type="dxa"/>
            <w:gridSpan w:val="2"/>
            <w:tcBorders>
              <w:top w:val="double" w:sz="6" w:space="0" w:color="365F91"/>
              <w:bottom w:val="nil"/>
              <w:right w:val="single" w:sz="8" w:space="0" w:color="1F497D"/>
            </w:tcBorders>
            <w:shd w:val="clear" w:color="auto" w:fill="auto"/>
            <w:vAlign w:val="center"/>
            <w:hideMark/>
          </w:tcPr>
          <w:p w14:paraId="64220FF8" w14:textId="77777777" w:rsidR="00380BE7" w:rsidRPr="00256982" w:rsidRDefault="00380BE7" w:rsidP="009574E7">
            <w:pPr>
              <w:pStyle w:val="Tableboldblue"/>
              <w:spacing w:before="40" w:after="40"/>
              <w:rPr>
                <w:b w:val="0"/>
                <w:lang w:eastAsia="en-NZ"/>
              </w:rPr>
            </w:pPr>
            <w:r w:rsidRPr="00256982">
              <w:rPr>
                <w:b w:val="0"/>
                <w:lang w:eastAsia="en-NZ"/>
              </w:rPr>
              <w:t>Area as at 1 Jan 1990 (kha)</w:t>
            </w:r>
          </w:p>
        </w:tc>
        <w:tc>
          <w:tcPr>
            <w:tcW w:w="816" w:type="dxa"/>
            <w:tcBorders>
              <w:top w:val="nil"/>
              <w:left w:val="nil"/>
              <w:bottom w:val="nil"/>
              <w:right w:val="nil"/>
            </w:tcBorders>
            <w:shd w:val="clear" w:color="auto" w:fill="auto"/>
            <w:vAlign w:val="center"/>
            <w:hideMark/>
          </w:tcPr>
          <w:p w14:paraId="09CB8C11" w14:textId="77777777" w:rsidR="00380BE7" w:rsidRPr="00256982" w:rsidRDefault="00380BE7" w:rsidP="009574E7">
            <w:pPr>
              <w:jc w:val="right"/>
              <w:rPr>
                <w:rFonts w:ascii="Arial" w:hAnsi="Arial" w:cs="Arial"/>
                <w:color w:val="365F91"/>
                <w:sz w:val="16"/>
                <w:szCs w:val="16"/>
              </w:rPr>
            </w:pPr>
            <w:r w:rsidRPr="00256982">
              <w:rPr>
                <w:rFonts w:ascii="Arial" w:hAnsi="Arial" w:cs="Arial"/>
                <w:color w:val="365F91"/>
                <w:sz w:val="16"/>
                <w:szCs w:val="16"/>
              </w:rPr>
              <w:t>7,877.1</w:t>
            </w:r>
          </w:p>
        </w:tc>
        <w:tc>
          <w:tcPr>
            <w:tcW w:w="851" w:type="dxa"/>
            <w:tcBorders>
              <w:top w:val="nil"/>
              <w:left w:val="nil"/>
              <w:bottom w:val="nil"/>
              <w:right w:val="nil"/>
            </w:tcBorders>
            <w:shd w:val="clear" w:color="auto" w:fill="auto"/>
            <w:vAlign w:val="center"/>
            <w:hideMark/>
          </w:tcPr>
          <w:p w14:paraId="60C91C06" w14:textId="77777777" w:rsidR="00380BE7" w:rsidRPr="00256982" w:rsidRDefault="00380BE7" w:rsidP="009574E7">
            <w:pPr>
              <w:jc w:val="right"/>
              <w:rPr>
                <w:rFonts w:ascii="Arial" w:hAnsi="Arial" w:cs="Arial"/>
                <w:color w:val="365F91"/>
                <w:sz w:val="16"/>
                <w:szCs w:val="16"/>
              </w:rPr>
            </w:pPr>
            <w:r w:rsidRPr="00256982">
              <w:rPr>
                <w:rFonts w:ascii="Arial" w:hAnsi="Arial" w:cs="Arial"/>
                <w:color w:val="365F91"/>
                <w:sz w:val="16"/>
                <w:szCs w:val="16"/>
              </w:rPr>
              <w:t>1,535.7</w:t>
            </w:r>
          </w:p>
        </w:tc>
        <w:tc>
          <w:tcPr>
            <w:tcW w:w="850" w:type="dxa"/>
            <w:tcBorders>
              <w:top w:val="nil"/>
              <w:left w:val="nil"/>
              <w:bottom w:val="nil"/>
              <w:right w:val="single" w:sz="8" w:space="0" w:color="365F91"/>
            </w:tcBorders>
            <w:shd w:val="clear" w:color="auto" w:fill="auto"/>
            <w:vAlign w:val="center"/>
            <w:hideMark/>
          </w:tcPr>
          <w:p w14:paraId="1E4506B2" w14:textId="77777777" w:rsidR="00380BE7" w:rsidRPr="00256982" w:rsidRDefault="00380BE7" w:rsidP="009574E7">
            <w:pPr>
              <w:jc w:val="right"/>
              <w:rPr>
                <w:rFonts w:ascii="Arial" w:hAnsi="Arial" w:cs="Arial"/>
                <w:color w:val="365F91"/>
                <w:sz w:val="16"/>
                <w:szCs w:val="16"/>
              </w:rPr>
            </w:pPr>
            <w:r w:rsidRPr="00256982">
              <w:rPr>
                <w:rFonts w:ascii="Arial" w:hAnsi="Arial" w:cs="Arial"/>
                <w:color w:val="365F91"/>
                <w:sz w:val="16"/>
                <w:szCs w:val="16"/>
              </w:rPr>
              <w:t>0.0</w:t>
            </w:r>
          </w:p>
        </w:tc>
        <w:tc>
          <w:tcPr>
            <w:tcW w:w="851" w:type="dxa"/>
            <w:tcBorders>
              <w:top w:val="nil"/>
              <w:left w:val="nil"/>
              <w:bottom w:val="nil"/>
              <w:right w:val="nil"/>
            </w:tcBorders>
            <w:shd w:val="clear" w:color="auto" w:fill="auto"/>
            <w:vAlign w:val="center"/>
            <w:hideMark/>
          </w:tcPr>
          <w:p w14:paraId="591E9F72" w14:textId="77777777" w:rsidR="00380BE7" w:rsidRPr="00256982" w:rsidRDefault="00380BE7" w:rsidP="009574E7">
            <w:pPr>
              <w:jc w:val="right"/>
              <w:rPr>
                <w:rFonts w:ascii="Arial" w:hAnsi="Arial" w:cs="Arial"/>
                <w:color w:val="365F91"/>
                <w:sz w:val="16"/>
                <w:szCs w:val="16"/>
              </w:rPr>
            </w:pPr>
            <w:r w:rsidRPr="00256982">
              <w:rPr>
                <w:rFonts w:ascii="Arial" w:hAnsi="Arial" w:cs="Arial"/>
                <w:color w:val="365F91"/>
                <w:sz w:val="16"/>
                <w:szCs w:val="16"/>
              </w:rPr>
              <w:t>355.0</w:t>
            </w:r>
          </w:p>
        </w:tc>
        <w:tc>
          <w:tcPr>
            <w:tcW w:w="992" w:type="dxa"/>
            <w:tcBorders>
              <w:top w:val="nil"/>
              <w:left w:val="nil"/>
              <w:bottom w:val="nil"/>
              <w:right w:val="single" w:sz="8" w:space="0" w:color="365F91"/>
            </w:tcBorders>
            <w:shd w:val="clear" w:color="auto" w:fill="auto"/>
            <w:vAlign w:val="center"/>
            <w:hideMark/>
          </w:tcPr>
          <w:p w14:paraId="06D7CEE1" w14:textId="77777777" w:rsidR="00380BE7" w:rsidRPr="00256982" w:rsidRDefault="00380BE7" w:rsidP="009574E7">
            <w:pPr>
              <w:jc w:val="right"/>
              <w:rPr>
                <w:rFonts w:ascii="Arial" w:hAnsi="Arial" w:cs="Arial"/>
                <w:color w:val="365F91"/>
                <w:sz w:val="16"/>
                <w:szCs w:val="16"/>
              </w:rPr>
            </w:pPr>
            <w:r w:rsidRPr="00256982">
              <w:rPr>
                <w:rFonts w:ascii="Arial" w:hAnsi="Arial" w:cs="Arial"/>
                <w:color w:val="365F91"/>
                <w:sz w:val="16"/>
                <w:szCs w:val="16"/>
              </w:rPr>
              <w:t>69.1</w:t>
            </w:r>
          </w:p>
        </w:tc>
        <w:tc>
          <w:tcPr>
            <w:tcW w:w="999" w:type="dxa"/>
            <w:tcBorders>
              <w:top w:val="nil"/>
              <w:left w:val="nil"/>
              <w:bottom w:val="nil"/>
              <w:right w:val="nil"/>
            </w:tcBorders>
            <w:shd w:val="clear" w:color="auto" w:fill="auto"/>
            <w:vAlign w:val="center"/>
            <w:hideMark/>
          </w:tcPr>
          <w:p w14:paraId="202847E3" w14:textId="77777777" w:rsidR="00380BE7" w:rsidRPr="00256982" w:rsidRDefault="00380BE7" w:rsidP="009574E7">
            <w:pPr>
              <w:jc w:val="right"/>
              <w:rPr>
                <w:rFonts w:ascii="Arial" w:hAnsi="Arial" w:cs="Arial"/>
                <w:color w:val="365F91"/>
                <w:sz w:val="16"/>
                <w:szCs w:val="16"/>
              </w:rPr>
            </w:pPr>
            <w:r w:rsidRPr="00256982">
              <w:rPr>
                <w:rFonts w:ascii="Arial" w:hAnsi="Arial" w:cs="Arial"/>
                <w:color w:val="365F91"/>
                <w:sz w:val="16"/>
                <w:szCs w:val="16"/>
              </w:rPr>
              <w:t>5,853.2</w:t>
            </w:r>
          </w:p>
        </w:tc>
        <w:tc>
          <w:tcPr>
            <w:tcW w:w="999" w:type="dxa"/>
            <w:tcBorders>
              <w:top w:val="nil"/>
              <w:left w:val="nil"/>
              <w:bottom w:val="nil"/>
              <w:right w:val="nil"/>
            </w:tcBorders>
            <w:shd w:val="clear" w:color="auto" w:fill="auto"/>
            <w:vAlign w:val="center"/>
            <w:hideMark/>
          </w:tcPr>
          <w:p w14:paraId="445A8124" w14:textId="77777777" w:rsidR="00380BE7" w:rsidRPr="00256982" w:rsidRDefault="00380BE7" w:rsidP="009574E7">
            <w:pPr>
              <w:jc w:val="right"/>
              <w:rPr>
                <w:rFonts w:ascii="Arial" w:hAnsi="Arial" w:cs="Arial"/>
                <w:color w:val="365F91"/>
                <w:sz w:val="16"/>
                <w:szCs w:val="16"/>
              </w:rPr>
            </w:pPr>
            <w:r w:rsidRPr="00256982">
              <w:rPr>
                <w:rFonts w:ascii="Arial" w:hAnsi="Arial" w:cs="Arial"/>
                <w:color w:val="365F91"/>
                <w:sz w:val="16"/>
                <w:szCs w:val="16"/>
              </w:rPr>
              <w:t>7,904.7</w:t>
            </w:r>
          </w:p>
        </w:tc>
        <w:tc>
          <w:tcPr>
            <w:tcW w:w="999" w:type="dxa"/>
            <w:tcBorders>
              <w:top w:val="nil"/>
              <w:left w:val="nil"/>
              <w:bottom w:val="nil"/>
              <w:right w:val="single" w:sz="8" w:space="0" w:color="365F91"/>
            </w:tcBorders>
            <w:shd w:val="clear" w:color="auto" w:fill="auto"/>
            <w:vAlign w:val="center"/>
            <w:hideMark/>
          </w:tcPr>
          <w:p w14:paraId="5F192C53" w14:textId="77777777" w:rsidR="00380BE7" w:rsidRPr="00256982" w:rsidRDefault="00380BE7" w:rsidP="009574E7">
            <w:pPr>
              <w:jc w:val="right"/>
              <w:rPr>
                <w:rFonts w:ascii="Arial" w:hAnsi="Arial" w:cs="Arial"/>
                <w:color w:val="365F91"/>
                <w:sz w:val="16"/>
                <w:szCs w:val="16"/>
              </w:rPr>
            </w:pPr>
            <w:r w:rsidRPr="00256982">
              <w:rPr>
                <w:rFonts w:ascii="Arial" w:hAnsi="Arial" w:cs="Arial"/>
                <w:color w:val="365F91"/>
                <w:sz w:val="16"/>
                <w:szCs w:val="16"/>
              </w:rPr>
              <w:t>1,520.0</w:t>
            </w:r>
          </w:p>
        </w:tc>
        <w:tc>
          <w:tcPr>
            <w:tcW w:w="830" w:type="dxa"/>
            <w:tcBorders>
              <w:top w:val="nil"/>
              <w:left w:val="nil"/>
              <w:bottom w:val="nil"/>
              <w:right w:val="nil"/>
            </w:tcBorders>
            <w:shd w:val="clear" w:color="auto" w:fill="auto"/>
            <w:vAlign w:val="center"/>
            <w:hideMark/>
          </w:tcPr>
          <w:p w14:paraId="63C65BB8" w14:textId="77777777" w:rsidR="00380BE7" w:rsidRPr="00256982" w:rsidRDefault="00380BE7" w:rsidP="009574E7">
            <w:pPr>
              <w:jc w:val="right"/>
              <w:rPr>
                <w:rFonts w:ascii="Arial" w:hAnsi="Arial" w:cs="Arial"/>
                <w:color w:val="365F91"/>
                <w:sz w:val="16"/>
                <w:szCs w:val="16"/>
              </w:rPr>
            </w:pPr>
            <w:r w:rsidRPr="00256982">
              <w:rPr>
                <w:rFonts w:ascii="Arial" w:hAnsi="Arial" w:cs="Arial"/>
                <w:color w:val="365F91"/>
                <w:sz w:val="16"/>
                <w:szCs w:val="16"/>
              </w:rPr>
              <w:t>527.7</w:t>
            </w:r>
          </w:p>
        </w:tc>
        <w:tc>
          <w:tcPr>
            <w:tcW w:w="992" w:type="dxa"/>
            <w:tcBorders>
              <w:top w:val="nil"/>
              <w:left w:val="nil"/>
              <w:bottom w:val="nil"/>
              <w:right w:val="single" w:sz="8" w:space="0" w:color="365F91"/>
            </w:tcBorders>
            <w:shd w:val="clear" w:color="auto" w:fill="auto"/>
            <w:vAlign w:val="center"/>
            <w:hideMark/>
          </w:tcPr>
          <w:p w14:paraId="4BB98D71" w14:textId="77777777" w:rsidR="00380BE7" w:rsidRPr="00256982" w:rsidRDefault="00380BE7" w:rsidP="009574E7">
            <w:pPr>
              <w:jc w:val="right"/>
              <w:rPr>
                <w:rFonts w:ascii="Arial" w:hAnsi="Arial" w:cs="Arial"/>
                <w:color w:val="365F91"/>
                <w:sz w:val="16"/>
                <w:szCs w:val="16"/>
              </w:rPr>
            </w:pPr>
            <w:r w:rsidRPr="00256982">
              <w:rPr>
                <w:rFonts w:ascii="Arial" w:hAnsi="Arial" w:cs="Arial"/>
                <w:color w:val="365F91"/>
                <w:sz w:val="16"/>
                <w:szCs w:val="16"/>
              </w:rPr>
              <w:t>178.4</w:t>
            </w:r>
          </w:p>
        </w:tc>
        <w:tc>
          <w:tcPr>
            <w:tcW w:w="1134" w:type="dxa"/>
            <w:tcBorders>
              <w:top w:val="nil"/>
              <w:left w:val="nil"/>
              <w:bottom w:val="nil"/>
              <w:right w:val="single" w:sz="8" w:space="0" w:color="365F91"/>
            </w:tcBorders>
            <w:shd w:val="clear" w:color="auto" w:fill="auto"/>
            <w:vAlign w:val="center"/>
            <w:hideMark/>
          </w:tcPr>
          <w:p w14:paraId="2873FB99" w14:textId="77777777" w:rsidR="00380BE7" w:rsidRPr="00256982" w:rsidRDefault="00380BE7" w:rsidP="009574E7">
            <w:pPr>
              <w:jc w:val="right"/>
              <w:rPr>
                <w:rFonts w:ascii="Arial" w:hAnsi="Arial" w:cs="Arial"/>
                <w:color w:val="365F91"/>
                <w:sz w:val="16"/>
                <w:szCs w:val="16"/>
              </w:rPr>
            </w:pPr>
            <w:r w:rsidRPr="00256982">
              <w:rPr>
                <w:rFonts w:ascii="Arial" w:hAnsi="Arial" w:cs="Arial"/>
                <w:color w:val="365F91"/>
                <w:sz w:val="16"/>
                <w:szCs w:val="16"/>
              </w:rPr>
              <w:t>207.5</w:t>
            </w:r>
          </w:p>
        </w:tc>
        <w:tc>
          <w:tcPr>
            <w:tcW w:w="709" w:type="dxa"/>
            <w:tcBorders>
              <w:top w:val="nil"/>
              <w:left w:val="nil"/>
              <w:bottom w:val="nil"/>
              <w:right w:val="single" w:sz="8" w:space="0" w:color="365F91"/>
            </w:tcBorders>
            <w:shd w:val="clear" w:color="auto" w:fill="auto"/>
            <w:vAlign w:val="center"/>
            <w:hideMark/>
          </w:tcPr>
          <w:p w14:paraId="0487E45E" w14:textId="77777777" w:rsidR="00380BE7" w:rsidRPr="00256982" w:rsidRDefault="00380BE7" w:rsidP="009574E7">
            <w:pPr>
              <w:jc w:val="right"/>
              <w:rPr>
                <w:rFonts w:ascii="Arial" w:hAnsi="Arial" w:cs="Arial"/>
                <w:color w:val="365F91"/>
                <w:sz w:val="16"/>
                <w:szCs w:val="16"/>
              </w:rPr>
            </w:pPr>
            <w:r w:rsidRPr="00256982">
              <w:rPr>
                <w:rFonts w:ascii="Arial" w:hAnsi="Arial" w:cs="Arial"/>
                <w:color w:val="365F91"/>
                <w:sz w:val="16"/>
                <w:szCs w:val="16"/>
              </w:rPr>
              <w:t>896.8</w:t>
            </w:r>
          </w:p>
        </w:tc>
        <w:tc>
          <w:tcPr>
            <w:tcW w:w="851" w:type="dxa"/>
            <w:tcBorders>
              <w:top w:val="nil"/>
              <w:left w:val="nil"/>
              <w:bottom w:val="nil"/>
            </w:tcBorders>
            <w:shd w:val="clear" w:color="000000" w:fill="D8D8D8"/>
            <w:vAlign w:val="center"/>
            <w:hideMark/>
          </w:tcPr>
          <w:p w14:paraId="6C509E12" w14:textId="77777777" w:rsidR="00380BE7" w:rsidRPr="00256982" w:rsidRDefault="00380BE7" w:rsidP="009574E7">
            <w:pPr>
              <w:jc w:val="right"/>
              <w:rPr>
                <w:rFonts w:ascii="Arial" w:hAnsi="Arial" w:cs="Arial"/>
                <w:color w:val="365F91"/>
                <w:sz w:val="16"/>
                <w:szCs w:val="16"/>
              </w:rPr>
            </w:pPr>
            <w:r w:rsidRPr="00256982">
              <w:rPr>
                <w:rFonts w:ascii="Arial" w:hAnsi="Arial" w:cs="Arial"/>
                <w:color w:val="365F91"/>
                <w:sz w:val="16"/>
                <w:szCs w:val="16"/>
              </w:rPr>
              <w:t>26,925.2</w:t>
            </w:r>
          </w:p>
        </w:tc>
      </w:tr>
      <w:tr w:rsidR="00380BE7" w:rsidRPr="00256982" w14:paraId="4487D4E8" w14:textId="77777777" w:rsidTr="009574E7">
        <w:trPr>
          <w:trHeight w:val="309"/>
        </w:trPr>
        <w:tc>
          <w:tcPr>
            <w:tcW w:w="2184" w:type="dxa"/>
            <w:gridSpan w:val="2"/>
            <w:tcBorders>
              <w:top w:val="nil"/>
              <w:right w:val="single" w:sz="8" w:space="0" w:color="1F497D"/>
            </w:tcBorders>
            <w:shd w:val="clear" w:color="auto" w:fill="auto"/>
            <w:vAlign w:val="center"/>
            <w:hideMark/>
          </w:tcPr>
          <w:p w14:paraId="3585EAD8" w14:textId="2AE5B81C" w:rsidR="00380BE7" w:rsidRPr="00256982" w:rsidRDefault="00380BE7" w:rsidP="009574E7">
            <w:pPr>
              <w:pStyle w:val="Tableboldblue"/>
              <w:spacing w:before="40" w:after="40"/>
              <w:rPr>
                <w:b w:val="0"/>
                <w:lang w:eastAsia="en-NZ"/>
              </w:rPr>
            </w:pPr>
            <w:r w:rsidRPr="00256982">
              <w:rPr>
                <w:b w:val="0"/>
                <w:lang w:eastAsia="en-NZ"/>
              </w:rPr>
              <w:t xml:space="preserve">Net change </w:t>
            </w:r>
            <w:r w:rsidR="00F62AC8" w:rsidRPr="00256982">
              <w:rPr>
                <w:b w:val="0"/>
                <w:lang w:eastAsia="en-NZ"/>
              </w:rPr>
              <w:br/>
            </w:r>
            <w:r w:rsidRPr="00256982">
              <w:rPr>
                <w:b w:val="0"/>
                <w:lang w:eastAsia="en-NZ"/>
              </w:rPr>
              <w:t>1 Jan 1990–31 Dec 2017</w:t>
            </w:r>
          </w:p>
        </w:tc>
        <w:tc>
          <w:tcPr>
            <w:tcW w:w="816" w:type="dxa"/>
            <w:tcBorders>
              <w:top w:val="nil"/>
              <w:left w:val="nil"/>
              <w:right w:val="nil"/>
            </w:tcBorders>
            <w:shd w:val="clear" w:color="auto" w:fill="auto"/>
            <w:noWrap/>
            <w:vAlign w:val="center"/>
            <w:hideMark/>
          </w:tcPr>
          <w:p w14:paraId="6D8F3104" w14:textId="77777777" w:rsidR="00380BE7" w:rsidRPr="00256982" w:rsidRDefault="00380BE7" w:rsidP="009574E7">
            <w:pPr>
              <w:jc w:val="right"/>
              <w:rPr>
                <w:rFonts w:ascii="Arial" w:hAnsi="Arial" w:cs="Arial"/>
                <w:color w:val="365F91"/>
                <w:sz w:val="16"/>
                <w:szCs w:val="16"/>
              </w:rPr>
            </w:pPr>
            <w:r w:rsidRPr="00256982">
              <w:rPr>
                <w:rFonts w:ascii="Arial" w:hAnsi="Arial" w:cs="Arial"/>
                <w:color w:val="365F91"/>
                <w:sz w:val="16"/>
                <w:szCs w:val="16"/>
              </w:rPr>
              <w:t>–65.6</w:t>
            </w:r>
          </w:p>
        </w:tc>
        <w:tc>
          <w:tcPr>
            <w:tcW w:w="851" w:type="dxa"/>
            <w:tcBorders>
              <w:top w:val="nil"/>
              <w:left w:val="nil"/>
              <w:right w:val="nil"/>
            </w:tcBorders>
            <w:shd w:val="clear" w:color="auto" w:fill="auto"/>
            <w:noWrap/>
            <w:vAlign w:val="center"/>
            <w:hideMark/>
          </w:tcPr>
          <w:p w14:paraId="29584A69" w14:textId="77777777" w:rsidR="00380BE7" w:rsidRPr="00256982" w:rsidRDefault="00380BE7" w:rsidP="009574E7">
            <w:pPr>
              <w:jc w:val="right"/>
              <w:rPr>
                <w:rFonts w:ascii="Arial" w:hAnsi="Arial" w:cs="Arial"/>
                <w:color w:val="365F91"/>
                <w:sz w:val="16"/>
                <w:szCs w:val="16"/>
              </w:rPr>
            </w:pPr>
            <w:r w:rsidRPr="00256982">
              <w:rPr>
                <w:rFonts w:ascii="Arial" w:hAnsi="Arial" w:cs="Arial"/>
                <w:color w:val="365F91"/>
                <w:sz w:val="16"/>
                <w:szCs w:val="16"/>
              </w:rPr>
              <w:t>–106.0</w:t>
            </w:r>
          </w:p>
        </w:tc>
        <w:tc>
          <w:tcPr>
            <w:tcW w:w="850" w:type="dxa"/>
            <w:tcBorders>
              <w:top w:val="nil"/>
              <w:left w:val="nil"/>
              <w:right w:val="single" w:sz="8" w:space="0" w:color="365F91"/>
            </w:tcBorders>
            <w:shd w:val="clear" w:color="auto" w:fill="auto"/>
            <w:noWrap/>
            <w:vAlign w:val="center"/>
            <w:hideMark/>
          </w:tcPr>
          <w:p w14:paraId="3B2B5D9C" w14:textId="77777777" w:rsidR="00380BE7" w:rsidRPr="00256982" w:rsidRDefault="00380BE7" w:rsidP="009574E7">
            <w:pPr>
              <w:jc w:val="right"/>
              <w:rPr>
                <w:rFonts w:ascii="Arial" w:hAnsi="Arial" w:cs="Arial"/>
                <w:color w:val="365F91"/>
                <w:sz w:val="16"/>
                <w:szCs w:val="16"/>
              </w:rPr>
            </w:pPr>
            <w:r w:rsidRPr="00256982">
              <w:rPr>
                <w:rFonts w:ascii="Arial" w:hAnsi="Arial" w:cs="Arial"/>
                <w:color w:val="365F91"/>
                <w:sz w:val="16"/>
                <w:szCs w:val="16"/>
              </w:rPr>
              <w:t>682.4</w:t>
            </w:r>
          </w:p>
        </w:tc>
        <w:tc>
          <w:tcPr>
            <w:tcW w:w="851" w:type="dxa"/>
            <w:tcBorders>
              <w:top w:val="nil"/>
              <w:left w:val="nil"/>
              <w:right w:val="nil"/>
            </w:tcBorders>
            <w:shd w:val="clear" w:color="auto" w:fill="auto"/>
            <w:noWrap/>
            <w:vAlign w:val="center"/>
            <w:hideMark/>
          </w:tcPr>
          <w:p w14:paraId="09B2FDBF" w14:textId="77777777" w:rsidR="00380BE7" w:rsidRPr="00256982" w:rsidRDefault="00380BE7" w:rsidP="009574E7">
            <w:pPr>
              <w:jc w:val="right"/>
              <w:rPr>
                <w:rFonts w:ascii="Arial" w:hAnsi="Arial" w:cs="Arial"/>
                <w:color w:val="365F91"/>
                <w:sz w:val="16"/>
                <w:szCs w:val="16"/>
              </w:rPr>
            </w:pPr>
            <w:r w:rsidRPr="00256982">
              <w:rPr>
                <w:rFonts w:ascii="Arial" w:hAnsi="Arial" w:cs="Arial"/>
                <w:color w:val="365F91"/>
                <w:sz w:val="16"/>
                <w:szCs w:val="16"/>
              </w:rPr>
              <w:t>16.5</w:t>
            </w:r>
          </w:p>
        </w:tc>
        <w:tc>
          <w:tcPr>
            <w:tcW w:w="992" w:type="dxa"/>
            <w:tcBorders>
              <w:top w:val="nil"/>
              <w:left w:val="nil"/>
              <w:right w:val="single" w:sz="8" w:space="0" w:color="365F91"/>
            </w:tcBorders>
            <w:shd w:val="clear" w:color="auto" w:fill="auto"/>
            <w:noWrap/>
            <w:vAlign w:val="center"/>
            <w:hideMark/>
          </w:tcPr>
          <w:p w14:paraId="32BD3439" w14:textId="77777777" w:rsidR="00380BE7" w:rsidRPr="00256982" w:rsidRDefault="00380BE7" w:rsidP="009574E7">
            <w:pPr>
              <w:jc w:val="right"/>
              <w:rPr>
                <w:rFonts w:ascii="Arial" w:hAnsi="Arial" w:cs="Arial"/>
                <w:color w:val="365F91"/>
                <w:sz w:val="16"/>
                <w:szCs w:val="16"/>
              </w:rPr>
            </w:pPr>
            <w:r w:rsidRPr="00256982">
              <w:rPr>
                <w:rFonts w:ascii="Arial" w:hAnsi="Arial" w:cs="Arial"/>
                <w:color w:val="365F91"/>
                <w:sz w:val="16"/>
                <w:szCs w:val="16"/>
              </w:rPr>
              <w:t>35.4</w:t>
            </w:r>
          </w:p>
        </w:tc>
        <w:tc>
          <w:tcPr>
            <w:tcW w:w="999" w:type="dxa"/>
            <w:tcBorders>
              <w:top w:val="nil"/>
              <w:left w:val="nil"/>
              <w:right w:val="nil"/>
            </w:tcBorders>
            <w:shd w:val="clear" w:color="auto" w:fill="auto"/>
            <w:noWrap/>
            <w:vAlign w:val="center"/>
            <w:hideMark/>
          </w:tcPr>
          <w:p w14:paraId="1F892C27" w14:textId="77777777" w:rsidR="00380BE7" w:rsidRPr="00256982" w:rsidRDefault="00380BE7" w:rsidP="009574E7">
            <w:pPr>
              <w:jc w:val="right"/>
              <w:rPr>
                <w:rFonts w:ascii="Arial" w:hAnsi="Arial" w:cs="Arial"/>
                <w:color w:val="365F91"/>
                <w:sz w:val="16"/>
                <w:szCs w:val="16"/>
              </w:rPr>
            </w:pPr>
            <w:r w:rsidRPr="00256982">
              <w:rPr>
                <w:rFonts w:ascii="Arial" w:hAnsi="Arial" w:cs="Arial"/>
                <w:color w:val="365F91"/>
                <w:sz w:val="16"/>
                <w:szCs w:val="16"/>
              </w:rPr>
              <w:t>1011.3</w:t>
            </w:r>
          </w:p>
        </w:tc>
        <w:tc>
          <w:tcPr>
            <w:tcW w:w="999" w:type="dxa"/>
            <w:tcBorders>
              <w:top w:val="nil"/>
              <w:left w:val="nil"/>
              <w:right w:val="nil"/>
            </w:tcBorders>
            <w:shd w:val="clear" w:color="auto" w:fill="auto"/>
            <w:noWrap/>
            <w:vAlign w:val="center"/>
            <w:hideMark/>
          </w:tcPr>
          <w:p w14:paraId="6C6F858B" w14:textId="77777777" w:rsidR="00380BE7" w:rsidRPr="00256982" w:rsidRDefault="00380BE7" w:rsidP="009574E7">
            <w:pPr>
              <w:jc w:val="right"/>
              <w:rPr>
                <w:rFonts w:ascii="Arial" w:hAnsi="Arial" w:cs="Arial"/>
                <w:color w:val="365F91"/>
                <w:sz w:val="16"/>
                <w:szCs w:val="16"/>
              </w:rPr>
            </w:pPr>
            <w:r w:rsidRPr="00256982">
              <w:rPr>
                <w:rFonts w:ascii="Arial" w:hAnsi="Arial" w:cs="Arial"/>
                <w:color w:val="365F91"/>
                <w:sz w:val="16"/>
                <w:szCs w:val="16"/>
              </w:rPr>
              <w:t>–1480.8</w:t>
            </w:r>
          </w:p>
        </w:tc>
        <w:tc>
          <w:tcPr>
            <w:tcW w:w="999" w:type="dxa"/>
            <w:tcBorders>
              <w:top w:val="nil"/>
              <w:left w:val="nil"/>
              <w:right w:val="single" w:sz="8" w:space="0" w:color="365F91"/>
            </w:tcBorders>
            <w:shd w:val="clear" w:color="auto" w:fill="auto"/>
            <w:noWrap/>
            <w:vAlign w:val="center"/>
            <w:hideMark/>
          </w:tcPr>
          <w:p w14:paraId="0D631A3D" w14:textId="77777777" w:rsidR="00380BE7" w:rsidRPr="00256982" w:rsidRDefault="00380BE7" w:rsidP="009574E7">
            <w:pPr>
              <w:jc w:val="right"/>
              <w:rPr>
                <w:rFonts w:ascii="Arial" w:hAnsi="Arial" w:cs="Arial"/>
                <w:color w:val="365F91"/>
                <w:sz w:val="16"/>
                <w:szCs w:val="16"/>
              </w:rPr>
            </w:pPr>
            <w:r w:rsidRPr="00256982">
              <w:rPr>
                <w:rFonts w:ascii="Arial" w:hAnsi="Arial" w:cs="Arial"/>
                <w:color w:val="365F91"/>
                <w:sz w:val="16"/>
                <w:szCs w:val="16"/>
              </w:rPr>
              <w:t>–124.1</w:t>
            </w:r>
          </w:p>
        </w:tc>
        <w:tc>
          <w:tcPr>
            <w:tcW w:w="830" w:type="dxa"/>
            <w:tcBorders>
              <w:top w:val="nil"/>
              <w:left w:val="nil"/>
              <w:right w:val="nil"/>
            </w:tcBorders>
            <w:shd w:val="clear" w:color="auto" w:fill="auto"/>
            <w:vAlign w:val="center"/>
            <w:hideMark/>
          </w:tcPr>
          <w:p w14:paraId="2DF249A3" w14:textId="77777777" w:rsidR="00380BE7" w:rsidRPr="00256982" w:rsidRDefault="00380BE7" w:rsidP="009574E7">
            <w:pPr>
              <w:jc w:val="right"/>
              <w:rPr>
                <w:rFonts w:ascii="Arial" w:hAnsi="Arial" w:cs="Arial"/>
                <w:color w:val="365F91"/>
                <w:sz w:val="16"/>
                <w:szCs w:val="16"/>
              </w:rPr>
            </w:pPr>
            <w:r w:rsidRPr="00256982">
              <w:rPr>
                <w:rFonts w:ascii="Arial" w:hAnsi="Arial" w:cs="Arial"/>
                <w:color w:val="365F91"/>
                <w:sz w:val="16"/>
                <w:szCs w:val="16"/>
              </w:rPr>
              <w:t>6.8</w:t>
            </w:r>
          </w:p>
        </w:tc>
        <w:tc>
          <w:tcPr>
            <w:tcW w:w="992" w:type="dxa"/>
            <w:tcBorders>
              <w:top w:val="nil"/>
              <w:left w:val="nil"/>
              <w:right w:val="single" w:sz="8" w:space="0" w:color="365F91"/>
            </w:tcBorders>
            <w:shd w:val="clear" w:color="auto" w:fill="auto"/>
            <w:noWrap/>
            <w:vAlign w:val="center"/>
            <w:hideMark/>
          </w:tcPr>
          <w:p w14:paraId="42FFC3E3" w14:textId="77777777" w:rsidR="00380BE7" w:rsidRPr="00256982" w:rsidRDefault="00380BE7" w:rsidP="009574E7">
            <w:pPr>
              <w:jc w:val="right"/>
              <w:rPr>
                <w:rFonts w:ascii="Arial" w:hAnsi="Arial" w:cs="Arial"/>
                <w:color w:val="365F91"/>
                <w:sz w:val="16"/>
                <w:szCs w:val="16"/>
              </w:rPr>
            </w:pPr>
            <w:r w:rsidRPr="00256982">
              <w:rPr>
                <w:rFonts w:ascii="Arial" w:hAnsi="Arial" w:cs="Arial"/>
                <w:color w:val="365F91"/>
                <w:sz w:val="16"/>
                <w:szCs w:val="16"/>
              </w:rPr>
              <w:t>–3.7</w:t>
            </w:r>
          </w:p>
        </w:tc>
        <w:tc>
          <w:tcPr>
            <w:tcW w:w="1134" w:type="dxa"/>
            <w:tcBorders>
              <w:top w:val="nil"/>
              <w:left w:val="nil"/>
              <w:right w:val="single" w:sz="8" w:space="0" w:color="365F91"/>
            </w:tcBorders>
            <w:shd w:val="clear" w:color="auto" w:fill="auto"/>
            <w:noWrap/>
            <w:vAlign w:val="center"/>
            <w:hideMark/>
          </w:tcPr>
          <w:p w14:paraId="690AB4DA" w14:textId="77777777" w:rsidR="00380BE7" w:rsidRPr="00256982" w:rsidRDefault="00380BE7" w:rsidP="009574E7">
            <w:pPr>
              <w:jc w:val="right"/>
              <w:rPr>
                <w:rFonts w:ascii="Arial" w:hAnsi="Arial" w:cs="Arial"/>
                <w:color w:val="365F91"/>
                <w:sz w:val="16"/>
                <w:szCs w:val="16"/>
              </w:rPr>
            </w:pPr>
            <w:r w:rsidRPr="00256982">
              <w:rPr>
                <w:rFonts w:ascii="Arial" w:hAnsi="Arial" w:cs="Arial"/>
                <w:color w:val="365F91"/>
                <w:sz w:val="16"/>
                <w:szCs w:val="16"/>
              </w:rPr>
              <w:t>27.9</w:t>
            </w:r>
          </w:p>
        </w:tc>
        <w:tc>
          <w:tcPr>
            <w:tcW w:w="709" w:type="dxa"/>
            <w:tcBorders>
              <w:top w:val="nil"/>
              <w:left w:val="nil"/>
              <w:right w:val="single" w:sz="8" w:space="0" w:color="365F91"/>
            </w:tcBorders>
            <w:shd w:val="clear" w:color="auto" w:fill="auto"/>
            <w:noWrap/>
            <w:vAlign w:val="center"/>
            <w:hideMark/>
          </w:tcPr>
          <w:p w14:paraId="5AC903C8" w14:textId="77777777" w:rsidR="00380BE7" w:rsidRPr="00256982" w:rsidRDefault="00380BE7" w:rsidP="009574E7">
            <w:pPr>
              <w:jc w:val="right"/>
              <w:rPr>
                <w:rFonts w:ascii="Arial" w:hAnsi="Arial" w:cs="Arial"/>
                <w:color w:val="365F91"/>
                <w:sz w:val="16"/>
                <w:szCs w:val="16"/>
              </w:rPr>
            </w:pPr>
            <w:r w:rsidRPr="00256982">
              <w:rPr>
                <w:rFonts w:ascii="Arial" w:hAnsi="Arial" w:cs="Arial"/>
                <w:color w:val="365F91"/>
                <w:sz w:val="16"/>
                <w:szCs w:val="16"/>
              </w:rPr>
              <w:t>0.0</w:t>
            </w:r>
          </w:p>
        </w:tc>
        <w:tc>
          <w:tcPr>
            <w:tcW w:w="851" w:type="dxa"/>
            <w:tcBorders>
              <w:top w:val="nil"/>
              <w:left w:val="nil"/>
            </w:tcBorders>
            <w:shd w:val="clear" w:color="auto" w:fill="auto"/>
            <w:noWrap/>
            <w:vAlign w:val="center"/>
            <w:hideMark/>
          </w:tcPr>
          <w:p w14:paraId="6CA301C5" w14:textId="77777777" w:rsidR="00380BE7" w:rsidRPr="00256982" w:rsidRDefault="00380BE7" w:rsidP="009574E7">
            <w:pPr>
              <w:jc w:val="right"/>
              <w:rPr>
                <w:rFonts w:ascii="Arial" w:hAnsi="Arial" w:cs="Arial"/>
                <w:color w:val="365F91"/>
                <w:sz w:val="16"/>
                <w:szCs w:val="16"/>
              </w:rPr>
            </w:pPr>
            <w:r w:rsidRPr="00256982">
              <w:rPr>
                <w:rFonts w:ascii="Arial" w:hAnsi="Arial" w:cs="Arial"/>
                <w:color w:val="365F91"/>
                <w:sz w:val="16"/>
                <w:szCs w:val="16"/>
              </w:rPr>
              <w:t>0.0</w:t>
            </w:r>
          </w:p>
        </w:tc>
      </w:tr>
      <w:tr w:rsidR="00380BE7" w:rsidRPr="00256982" w14:paraId="231A39EA" w14:textId="77777777" w:rsidTr="009574E7">
        <w:trPr>
          <w:trHeight w:val="309"/>
        </w:trPr>
        <w:tc>
          <w:tcPr>
            <w:tcW w:w="2184" w:type="dxa"/>
            <w:gridSpan w:val="2"/>
            <w:tcBorders>
              <w:top w:val="nil"/>
              <w:bottom w:val="single" w:sz="4" w:space="0" w:color="365F91"/>
              <w:right w:val="single" w:sz="8" w:space="0" w:color="1F497D"/>
            </w:tcBorders>
            <w:shd w:val="clear" w:color="auto" w:fill="auto"/>
            <w:vAlign w:val="center"/>
            <w:hideMark/>
          </w:tcPr>
          <w:p w14:paraId="29FFA951" w14:textId="77777777" w:rsidR="00380BE7" w:rsidRPr="00256982" w:rsidRDefault="00380BE7" w:rsidP="009574E7">
            <w:pPr>
              <w:pStyle w:val="Tableboldblue"/>
              <w:spacing w:before="40" w:after="40"/>
              <w:rPr>
                <w:b w:val="0"/>
                <w:lang w:eastAsia="en-NZ"/>
              </w:rPr>
            </w:pPr>
            <w:r w:rsidRPr="00256982">
              <w:rPr>
                <w:b w:val="0"/>
                <w:lang w:eastAsia="en-NZ"/>
              </w:rPr>
              <w:t>Net change 1990–2017 (%)</w:t>
            </w:r>
          </w:p>
        </w:tc>
        <w:tc>
          <w:tcPr>
            <w:tcW w:w="816" w:type="dxa"/>
            <w:tcBorders>
              <w:top w:val="nil"/>
              <w:left w:val="nil"/>
              <w:bottom w:val="single" w:sz="4" w:space="0" w:color="365F91"/>
              <w:right w:val="nil"/>
            </w:tcBorders>
            <w:shd w:val="clear" w:color="auto" w:fill="auto"/>
            <w:vAlign w:val="center"/>
            <w:hideMark/>
          </w:tcPr>
          <w:p w14:paraId="500F4485" w14:textId="77777777" w:rsidR="00380BE7" w:rsidRPr="00256982" w:rsidRDefault="00380BE7" w:rsidP="009574E7">
            <w:pPr>
              <w:jc w:val="right"/>
              <w:rPr>
                <w:rFonts w:ascii="Arial" w:hAnsi="Arial" w:cs="Arial"/>
                <w:color w:val="365F91"/>
                <w:sz w:val="16"/>
                <w:szCs w:val="16"/>
              </w:rPr>
            </w:pPr>
            <w:r w:rsidRPr="00256982">
              <w:rPr>
                <w:rFonts w:ascii="Arial" w:hAnsi="Arial" w:cs="Arial"/>
                <w:color w:val="365F91"/>
                <w:sz w:val="16"/>
                <w:szCs w:val="16"/>
              </w:rPr>
              <w:t>–0.8</w:t>
            </w:r>
          </w:p>
        </w:tc>
        <w:tc>
          <w:tcPr>
            <w:tcW w:w="851" w:type="dxa"/>
            <w:tcBorders>
              <w:top w:val="nil"/>
              <w:left w:val="nil"/>
              <w:bottom w:val="single" w:sz="4" w:space="0" w:color="365F91"/>
              <w:right w:val="nil"/>
            </w:tcBorders>
            <w:shd w:val="clear" w:color="auto" w:fill="auto"/>
            <w:vAlign w:val="center"/>
            <w:hideMark/>
          </w:tcPr>
          <w:p w14:paraId="74C46FB7" w14:textId="77777777" w:rsidR="00380BE7" w:rsidRPr="00256982" w:rsidRDefault="00380BE7" w:rsidP="009574E7">
            <w:pPr>
              <w:jc w:val="right"/>
              <w:rPr>
                <w:rFonts w:ascii="Arial" w:hAnsi="Arial" w:cs="Arial"/>
                <w:color w:val="365F91"/>
                <w:sz w:val="16"/>
                <w:szCs w:val="16"/>
              </w:rPr>
            </w:pPr>
            <w:r w:rsidRPr="00256982">
              <w:rPr>
                <w:rFonts w:ascii="Arial" w:hAnsi="Arial" w:cs="Arial"/>
                <w:color w:val="365F91"/>
                <w:sz w:val="16"/>
                <w:szCs w:val="16"/>
              </w:rPr>
              <w:t>–6.9</w:t>
            </w:r>
          </w:p>
        </w:tc>
        <w:tc>
          <w:tcPr>
            <w:tcW w:w="850" w:type="dxa"/>
            <w:tcBorders>
              <w:top w:val="nil"/>
              <w:left w:val="nil"/>
              <w:bottom w:val="single" w:sz="4" w:space="0" w:color="365F91"/>
              <w:right w:val="single" w:sz="8" w:space="0" w:color="365F91"/>
            </w:tcBorders>
            <w:shd w:val="clear" w:color="auto" w:fill="auto"/>
            <w:vAlign w:val="center"/>
            <w:hideMark/>
          </w:tcPr>
          <w:p w14:paraId="2EFEB1AC" w14:textId="77777777" w:rsidR="00380BE7" w:rsidRPr="00256982" w:rsidRDefault="00380BE7" w:rsidP="009574E7">
            <w:pPr>
              <w:jc w:val="right"/>
              <w:rPr>
                <w:rFonts w:ascii="Arial" w:hAnsi="Arial" w:cs="Arial"/>
                <w:color w:val="365F91"/>
                <w:sz w:val="16"/>
                <w:szCs w:val="16"/>
              </w:rPr>
            </w:pPr>
            <w:r w:rsidRPr="00256982">
              <w:rPr>
                <w:rFonts w:ascii="Arial" w:hAnsi="Arial" w:cs="Arial"/>
                <w:color w:val="365F91"/>
                <w:sz w:val="16"/>
                <w:szCs w:val="16"/>
              </w:rPr>
              <w:t>NA</w:t>
            </w:r>
          </w:p>
        </w:tc>
        <w:tc>
          <w:tcPr>
            <w:tcW w:w="851" w:type="dxa"/>
            <w:tcBorders>
              <w:top w:val="nil"/>
              <w:left w:val="nil"/>
              <w:bottom w:val="single" w:sz="4" w:space="0" w:color="365F91"/>
              <w:right w:val="nil"/>
            </w:tcBorders>
            <w:shd w:val="clear" w:color="auto" w:fill="auto"/>
            <w:vAlign w:val="center"/>
            <w:hideMark/>
          </w:tcPr>
          <w:p w14:paraId="7BF2E66D" w14:textId="77777777" w:rsidR="00380BE7" w:rsidRPr="00256982" w:rsidRDefault="00380BE7" w:rsidP="009574E7">
            <w:pPr>
              <w:jc w:val="right"/>
              <w:rPr>
                <w:rFonts w:ascii="Arial" w:hAnsi="Arial" w:cs="Arial"/>
                <w:color w:val="365F91"/>
                <w:sz w:val="16"/>
                <w:szCs w:val="16"/>
              </w:rPr>
            </w:pPr>
            <w:r w:rsidRPr="00256982">
              <w:rPr>
                <w:rFonts w:ascii="Arial" w:hAnsi="Arial" w:cs="Arial"/>
                <w:color w:val="365F91"/>
                <w:sz w:val="16"/>
                <w:szCs w:val="16"/>
              </w:rPr>
              <w:t>4.6</w:t>
            </w:r>
          </w:p>
        </w:tc>
        <w:tc>
          <w:tcPr>
            <w:tcW w:w="992" w:type="dxa"/>
            <w:tcBorders>
              <w:top w:val="nil"/>
              <w:left w:val="nil"/>
              <w:bottom w:val="single" w:sz="4" w:space="0" w:color="365F91"/>
              <w:right w:val="single" w:sz="8" w:space="0" w:color="365F91"/>
            </w:tcBorders>
            <w:shd w:val="clear" w:color="auto" w:fill="auto"/>
            <w:vAlign w:val="center"/>
            <w:hideMark/>
          </w:tcPr>
          <w:p w14:paraId="307EE6B9" w14:textId="77777777" w:rsidR="00380BE7" w:rsidRPr="00256982" w:rsidRDefault="00380BE7" w:rsidP="009574E7">
            <w:pPr>
              <w:jc w:val="right"/>
              <w:rPr>
                <w:rFonts w:ascii="Arial" w:hAnsi="Arial" w:cs="Arial"/>
                <w:color w:val="365F91"/>
                <w:sz w:val="16"/>
                <w:szCs w:val="16"/>
              </w:rPr>
            </w:pPr>
            <w:r w:rsidRPr="00256982">
              <w:rPr>
                <w:rFonts w:ascii="Arial" w:hAnsi="Arial" w:cs="Arial"/>
                <w:color w:val="365F91"/>
                <w:sz w:val="16"/>
                <w:szCs w:val="16"/>
              </w:rPr>
              <w:t>51.2</w:t>
            </w:r>
          </w:p>
        </w:tc>
        <w:tc>
          <w:tcPr>
            <w:tcW w:w="999" w:type="dxa"/>
            <w:tcBorders>
              <w:top w:val="nil"/>
              <w:left w:val="nil"/>
              <w:bottom w:val="single" w:sz="4" w:space="0" w:color="365F91"/>
              <w:right w:val="nil"/>
            </w:tcBorders>
            <w:shd w:val="clear" w:color="auto" w:fill="auto"/>
            <w:vAlign w:val="center"/>
            <w:hideMark/>
          </w:tcPr>
          <w:p w14:paraId="0F661C41" w14:textId="77777777" w:rsidR="00380BE7" w:rsidRPr="00256982" w:rsidRDefault="00380BE7" w:rsidP="009574E7">
            <w:pPr>
              <w:jc w:val="right"/>
              <w:rPr>
                <w:rFonts w:ascii="Arial" w:hAnsi="Arial" w:cs="Arial"/>
                <w:color w:val="365F91"/>
                <w:sz w:val="16"/>
                <w:szCs w:val="16"/>
              </w:rPr>
            </w:pPr>
            <w:r w:rsidRPr="00256982">
              <w:rPr>
                <w:rFonts w:ascii="Arial" w:hAnsi="Arial" w:cs="Arial"/>
                <w:color w:val="365F91"/>
                <w:sz w:val="16"/>
                <w:szCs w:val="16"/>
              </w:rPr>
              <w:t>17.3</w:t>
            </w:r>
          </w:p>
        </w:tc>
        <w:tc>
          <w:tcPr>
            <w:tcW w:w="999" w:type="dxa"/>
            <w:tcBorders>
              <w:top w:val="nil"/>
              <w:left w:val="nil"/>
              <w:bottom w:val="single" w:sz="4" w:space="0" w:color="365F91"/>
              <w:right w:val="nil"/>
            </w:tcBorders>
            <w:shd w:val="clear" w:color="auto" w:fill="auto"/>
            <w:vAlign w:val="center"/>
            <w:hideMark/>
          </w:tcPr>
          <w:p w14:paraId="5B56A34F" w14:textId="77777777" w:rsidR="00380BE7" w:rsidRPr="00256982" w:rsidRDefault="00380BE7" w:rsidP="009574E7">
            <w:pPr>
              <w:jc w:val="right"/>
              <w:rPr>
                <w:rFonts w:ascii="Arial" w:hAnsi="Arial" w:cs="Arial"/>
                <w:color w:val="365F91"/>
                <w:sz w:val="16"/>
                <w:szCs w:val="16"/>
              </w:rPr>
            </w:pPr>
            <w:r w:rsidRPr="00256982">
              <w:rPr>
                <w:rFonts w:ascii="Arial" w:hAnsi="Arial" w:cs="Arial"/>
                <w:color w:val="365F91"/>
                <w:sz w:val="16"/>
                <w:szCs w:val="16"/>
              </w:rPr>
              <w:t>–18.7</w:t>
            </w:r>
          </w:p>
        </w:tc>
        <w:tc>
          <w:tcPr>
            <w:tcW w:w="999" w:type="dxa"/>
            <w:tcBorders>
              <w:top w:val="nil"/>
              <w:left w:val="nil"/>
              <w:bottom w:val="single" w:sz="4" w:space="0" w:color="365F91"/>
              <w:right w:val="single" w:sz="8" w:space="0" w:color="365F91"/>
            </w:tcBorders>
            <w:shd w:val="clear" w:color="auto" w:fill="auto"/>
            <w:vAlign w:val="center"/>
            <w:hideMark/>
          </w:tcPr>
          <w:p w14:paraId="25C3E24C" w14:textId="77777777" w:rsidR="00380BE7" w:rsidRPr="00256982" w:rsidRDefault="00380BE7" w:rsidP="009574E7">
            <w:pPr>
              <w:jc w:val="right"/>
              <w:rPr>
                <w:rFonts w:ascii="Arial" w:hAnsi="Arial" w:cs="Arial"/>
                <w:color w:val="365F91"/>
                <w:sz w:val="16"/>
                <w:szCs w:val="16"/>
              </w:rPr>
            </w:pPr>
            <w:r w:rsidRPr="00256982">
              <w:rPr>
                <w:rFonts w:ascii="Arial" w:hAnsi="Arial" w:cs="Arial"/>
                <w:color w:val="365F91"/>
                <w:sz w:val="16"/>
                <w:szCs w:val="16"/>
              </w:rPr>
              <w:t>–8.2</w:t>
            </w:r>
          </w:p>
        </w:tc>
        <w:tc>
          <w:tcPr>
            <w:tcW w:w="830" w:type="dxa"/>
            <w:tcBorders>
              <w:top w:val="nil"/>
              <w:left w:val="nil"/>
              <w:bottom w:val="single" w:sz="4" w:space="0" w:color="365F91"/>
              <w:right w:val="nil"/>
            </w:tcBorders>
            <w:shd w:val="clear" w:color="auto" w:fill="auto"/>
            <w:vAlign w:val="center"/>
            <w:hideMark/>
          </w:tcPr>
          <w:p w14:paraId="66CD33DB" w14:textId="77777777" w:rsidR="00380BE7" w:rsidRPr="00256982" w:rsidRDefault="00380BE7" w:rsidP="009574E7">
            <w:pPr>
              <w:jc w:val="right"/>
              <w:rPr>
                <w:rFonts w:ascii="Arial" w:hAnsi="Arial" w:cs="Arial"/>
                <w:color w:val="365F91"/>
                <w:sz w:val="16"/>
                <w:szCs w:val="16"/>
              </w:rPr>
            </w:pPr>
            <w:r w:rsidRPr="00256982">
              <w:rPr>
                <w:rFonts w:ascii="Arial" w:hAnsi="Arial" w:cs="Arial"/>
                <w:color w:val="365F91"/>
                <w:sz w:val="16"/>
                <w:szCs w:val="16"/>
              </w:rPr>
              <w:t>1.3</w:t>
            </w:r>
          </w:p>
        </w:tc>
        <w:tc>
          <w:tcPr>
            <w:tcW w:w="992" w:type="dxa"/>
            <w:tcBorders>
              <w:top w:val="nil"/>
              <w:left w:val="nil"/>
              <w:bottom w:val="single" w:sz="4" w:space="0" w:color="365F91"/>
              <w:right w:val="single" w:sz="8" w:space="0" w:color="365F91"/>
            </w:tcBorders>
            <w:shd w:val="clear" w:color="auto" w:fill="auto"/>
            <w:vAlign w:val="center"/>
            <w:hideMark/>
          </w:tcPr>
          <w:p w14:paraId="694B45E0" w14:textId="77777777" w:rsidR="00380BE7" w:rsidRPr="00256982" w:rsidRDefault="00380BE7" w:rsidP="009574E7">
            <w:pPr>
              <w:jc w:val="right"/>
              <w:rPr>
                <w:rFonts w:ascii="Arial" w:hAnsi="Arial" w:cs="Arial"/>
                <w:color w:val="365F91"/>
                <w:sz w:val="16"/>
                <w:szCs w:val="16"/>
              </w:rPr>
            </w:pPr>
            <w:r w:rsidRPr="00256982">
              <w:rPr>
                <w:rFonts w:ascii="Arial" w:hAnsi="Arial" w:cs="Arial"/>
                <w:color w:val="365F91"/>
                <w:sz w:val="16"/>
                <w:szCs w:val="16"/>
              </w:rPr>
              <w:t>–2.1</w:t>
            </w:r>
          </w:p>
        </w:tc>
        <w:tc>
          <w:tcPr>
            <w:tcW w:w="1134" w:type="dxa"/>
            <w:tcBorders>
              <w:top w:val="nil"/>
              <w:left w:val="nil"/>
              <w:bottom w:val="single" w:sz="4" w:space="0" w:color="365F91"/>
              <w:right w:val="single" w:sz="8" w:space="0" w:color="365F91"/>
            </w:tcBorders>
            <w:shd w:val="clear" w:color="auto" w:fill="auto"/>
            <w:vAlign w:val="center"/>
            <w:hideMark/>
          </w:tcPr>
          <w:p w14:paraId="07C4A31B" w14:textId="77777777" w:rsidR="00380BE7" w:rsidRPr="00256982" w:rsidRDefault="00380BE7" w:rsidP="009574E7">
            <w:pPr>
              <w:jc w:val="right"/>
              <w:rPr>
                <w:rFonts w:ascii="Arial" w:hAnsi="Arial" w:cs="Arial"/>
                <w:color w:val="365F91"/>
                <w:sz w:val="16"/>
                <w:szCs w:val="16"/>
              </w:rPr>
            </w:pPr>
            <w:r w:rsidRPr="00256982">
              <w:rPr>
                <w:rFonts w:ascii="Arial" w:hAnsi="Arial" w:cs="Arial"/>
                <w:color w:val="365F91"/>
                <w:sz w:val="16"/>
                <w:szCs w:val="16"/>
              </w:rPr>
              <w:t>13.4</w:t>
            </w:r>
          </w:p>
        </w:tc>
        <w:tc>
          <w:tcPr>
            <w:tcW w:w="709" w:type="dxa"/>
            <w:tcBorders>
              <w:top w:val="nil"/>
              <w:left w:val="nil"/>
              <w:bottom w:val="single" w:sz="4" w:space="0" w:color="365F91"/>
              <w:right w:val="single" w:sz="8" w:space="0" w:color="365F91"/>
            </w:tcBorders>
            <w:shd w:val="clear" w:color="auto" w:fill="auto"/>
            <w:vAlign w:val="center"/>
            <w:hideMark/>
          </w:tcPr>
          <w:p w14:paraId="1DB1F889" w14:textId="77777777" w:rsidR="00380BE7" w:rsidRPr="00256982" w:rsidRDefault="00380BE7" w:rsidP="009574E7">
            <w:pPr>
              <w:jc w:val="right"/>
              <w:rPr>
                <w:rFonts w:ascii="Arial" w:hAnsi="Arial" w:cs="Arial"/>
                <w:color w:val="365F91"/>
                <w:sz w:val="16"/>
                <w:szCs w:val="16"/>
              </w:rPr>
            </w:pPr>
            <w:r w:rsidRPr="00256982">
              <w:rPr>
                <w:rFonts w:ascii="Arial" w:hAnsi="Arial" w:cs="Arial"/>
                <w:color w:val="365F91"/>
                <w:sz w:val="16"/>
                <w:szCs w:val="16"/>
              </w:rPr>
              <w:t>0.0</w:t>
            </w:r>
          </w:p>
        </w:tc>
        <w:tc>
          <w:tcPr>
            <w:tcW w:w="851" w:type="dxa"/>
            <w:tcBorders>
              <w:top w:val="nil"/>
              <w:left w:val="nil"/>
              <w:bottom w:val="single" w:sz="4" w:space="0" w:color="365F91"/>
            </w:tcBorders>
            <w:shd w:val="clear" w:color="auto" w:fill="auto"/>
            <w:noWrap/>
            <w:vAlign w:val="center"/>
            <w:hideMark/>
          </w:tcPr>
          <w:p w14:paraId="4F985C50" w14:textId="77777777" w:rsidR="00380BE7" w:rsidRPr="00256982" w:rsidRDefault="00380BE7" w:rsidP="009574E7">
            <w:pPr>
              <w:jc w:val="right"/>
              <w:rPr>
                <w:rFonts w:ascii="Arial" w:hAnsi="Arial" w:cs="Arial"/>
                <w:color w:val="365F91"/>
                <w:sz w:val="16"/>
                <w:szCs w:val="16"/>
              </w:rPr>
            </w:pPr>
            <w:r w:rsidRPr="00256982">
              <w:rPr>
                <w:rFonts w:ascii="Arial" w:hAnsi="Arial" w:cs="Arial"/>
                <w:color w:val="365F91"/>
                <w:sz w:val="16"/>
                <w:szCs w:val="16"/>
              </w:rPr>
              <w:t>NA</w:t>
            </w:r>
          </w:p>
        </w:tc>
      </w:tr>
    </w:tbl>
    <w:p w14:paraId="402C791C" w14:textId="77777777" w:rsidR="00380BE7" w:rsidRPr="00256982" w:rsidRDefault="00380BE7" w:rsidP="00380BE7">
      <w:pPr>
        <w:pStyle w:val="Noteundertable"/>
        <w:spacing w:after="0"/>
        <w:rPr>
          <w:sz w:val="17"/>
          <w:szCs w:val="17"/>
        </w:rPr>
      </w:pPr>
      <w:r w:rsidRPr="00256982">
        <w:rPr>
          <w:b/>
          <w:sz w:val="17"/>
          <w:szCs w:val="17"/>
        </w:rPr>
        <w:t>Note:</w:t>
      </w:r>
      <w:r w:rsidRPr="00256982">
        <w:rPr>
          <w:sz w:val="17"/>
          <w:szCs w:val="17"/>
        </w:rPr>
        <w:tab/>
        <w:t xml:space="preserve">Units in 000s hectares; NA = not applicable. Shaded cells indicate land remaining in each land use. Non-shaded cells represent the total area subject to a given land-use change between 1990 and 2017. Where an area experiences multiple land-use changes, for example post-1989 forest planted in grassland and subsequently deforested, this change area is represented in both change cells. To compensate, the change area is also deducted from both the grassland and post-1989 forest shaded land remaining cells. In the case of post-1989 forest, this leads to a negative value in the shaded post-1989 forest cell, because there was no area present at 1990 for the deforestation area to be deducted from. The minimum area shown for land-use change is 100 hectares; however, areas are mapped to 1 hectare resolution. Blank cells indicate no land-use change during the period; 0.0 indicates land-use change was less than 100 hectares. Land use area values are as at the date indicated (1 January for 1990 and 31 December for 2017). Columns and rows may not total due to rounding. </w:t>
      </w:r>
    </w:p>
    <w:p w14:paraId="769469C7" w14:textId="77777777" w:rsidR="00380BE7" w:rsidRPr="00256982" w:rsidRDefault="00380BE7" w:rsidP="00380BE7">
      <w:pPr>
        <w:pStyle w:val="BodyText"/>
        <w:rPr>
          <w:sz w:val="17"/>
          <w:szCs w:val="17"/>
        </w:rPr>
        <w:sectPr w:rsidR="00380BE7" w:rsidRPr="00256982" w:rsidSect="009574E7">
          <w:footerReference w:type="even" r:id="rId196"/>
          <w:footerReference w:type="default" r:id="rId197"/>
          <w:pgSz w:w="16840" w:h="11907" w:orient="landscape" w:code="9"/>
          <w:pgMar w:top="1701" w:right="1418" w:bottom="1701" w:left="1418" w:header="567" w:footer="567" w:gutter="0"/>
          <w:cols w:space="720"/>
          <w:docGrid w:linePitch="299"/>
        </w:sectPr>
      </w:pPr>
    </w:p>
    <w:p w14:paraId="36AAEA02" w14:textId="77777777" w:rsidR="00380BE7" w:rsidRPr="00256982" w:rsidRDefault="00380BE7" w:rsidP="00380BE7">
      <w:pPr>
        <w:pStyle w:val="Heading3"/>
        <w:spacing w:before="0"/>
      </w:pPr>
      <w:bookmarkStart w:id="1161" w:name="_Toc361645365"/>
      <w:r w:rsidRPr="00256982">
        <w:lastRenderedPageBreak/>
        <w:t>6.2.4</w:t>
      </w:r>
      <w:r w:rsidRPr="00256982">
        <w:tab/>
        <w:t>Methodological change</w:t>
      </w:r>
      <w:bookmarkEnd w:id="1161"/>
    </w:p>
    <w:p w14:paraId="55E02C29" w14:textId="77777777" w:rsidR="00380BE7" w:rsidRPr="00256982" w:rsidRDefault="00380BE7" w:rsidP="00380BE7">
      <w:pPr>
        <w:pStyle w:val="BodyText"/>
      </w:pPr>
      <w:r w:rsidRPr="00256982">
        <w:t>For this submission, a new 2016 land use map has been added to the time series and improvements have been made to the 1990, 2008 and 2012 land use maps. The method used to create the 2016 land use map was largely the same as that used for the 2012 land use map, with the following exceptions:</w:t>
      </w:r>
    </w:p>
    <w:p w14:paraId="140B0E25" w14:textId="77777777" w:rsidR="00380BE7" w:rsidRPr="00256982" w:rsidRDefault="00380BE7" w:rsidP="00EF26E3">
      <w:pPr>
        <w:pStyle w:val="Bullet"/>
      </w:pPr>
      <w:r w:rsidRPr="00256982">
        <w:t>the 2016 land use map was based on Sentinel-2 satellite imagery, as opposed to the SPOT-5 imagery used for the 2012 land use map. This required a change detection process between these two different imagery sources to be developed</w:t>
      </w:r>
    </w:p>
    <w:p w14:paraId="072A4E7A" w14:textId="77777777" w:rsidR="00380BE7" w:rsidRPr="00256982" w:rsidRDefault="00380BE7" w:rsidP="00EF26E3">
      <w:pPr>
        <w:pStyle w:val="Bullet"/>
      </w:pPr>
      <w:r w:rsidRPr="00256982">
        <w:t xml:space="preserve">the high and low producing grassland classes were remapped at 2008, 2012 and 2016 using a data fusion technique described in Manderson et al. (2018). This technique brought together a range of biophysical and land use data sets to create a probability map for high producing grassland at each mapping date. This map was used to classify grassland into high and low producing areas in the 2016 land use map and back-correct the 2012 and 2008 maps to maintain time-series consistency. (The 1990 land use map was assumed to contain a fair representation of the split between high and low producing grassland, based on the original mapping of this data set as described in section 6.2.2.) </w:t>
      </w:r>
    </w:p>
    <w:p w14:paraId="7D115829" w14:textId="77777777" w:rsidR="00380BE7" w:rsidRPr="00256982" w:rsidRDefault="00380BE7" w:rsidP="00380BE7">
      <w:pPr>
        <w:pStyle w:val="BodyText"/>
      </w:pPr>
      <w:r w:rsidRPr="00256982">
        <w:t>Through this remapping, the trend of grassland intensification, shown through the conversion of low producing grassland to high producing grassland, was exposed. This is illustrated in table 6.2.6, which shows an area of 1.082 million hectares of land changing from low producing grassland in 1990 to high producing grassland in 2017. In last year’s submission, this change area, from 1990 to 2016, was 133,000 hectares.</w:t>
      </w:r>
    </w:p>
    <w:p w14:paraId="1D7025CA" w14:textId="77777777" w:rsidR="00380BE7" w:rsidRPr="00256982" w:rsidRDefault="00380BE7" w:rsidP="00380BE7">
      <w:pPr>
        <w:pStyle w:val="Heading3"/>
        <w:spacing w:before="240"/>
      </w:pPr>
      <w:bookmarkStart w:id="1162" w:name="_Toc255466307"/>
      <w:bookmarkStart w:id="1163" w:name="_Toc261513114"/>
      <w:bookmarkStart w:id="1164" w:name="_Toc261513727"/>
      <w:bookmarkStart w:id="1165" w:name="_Toc280630237"/>
      <w:bookmarkStart w:id="1166" w:name="_Toc361645366"/>
      <w:r w:rsidRPr="00256982">
        <w:t>6.2.5</w:t>
      </w:r>
      <w:r w:rsidRPr="00256982">
        <w:tab/>
        <w:t>Uncertainties and time-series consistency</w:t>
      </w:r>
      <w:bookmarkEnd w:id="1162"/>
      <w:bookmarkEnd w:id="1163"/>
      <w:bookmarkEnd w:id="1164"/>
      <w:bookmarkEnd w:id="1165"/>
      <w:bookmarkEnd w:id="1166"/>
    </w:p>
    <w:p w14:paraId="72668AD3" w14:textId="77777777" w:rsidR="00380BE7" w:rsidRPr="00256982" w:rsidRDefault="00380BE7" w:rsidP="00380BE7">
      <w:pPr>
        <w:pStyle w:val="BodyText"/>
        <w:spacing w:after="100"/>
      </w:pPr>
      <w:r w:rsidRPr="00256982">
        <w:t>In 2014 an accuracy assessment was completed for the 2012 land use map. A stratified random sample of 2,000 points was made, and the land use classification was independently assessed at each point location. SPOT-6 natural colour 1.5-metre resolution imagery was used as the reference data source. This imagery met the criteria for a reference data source, having better resolution than the SPOT-5 10-metre resolution imagery used to create the 2012 land use map, and being acquired over a similar period.</w:t>
      </w:r>
      <w:r w:rsidRPr="00256982">
        <w:rPr>
          <w:rStyle w:val="FootnoteReference"/>
        </w:rPr>
        <w:footnoteReference w:id="58"/>
      </w:r>
      <w:r w:rsidRPr="00256982">
        <w:t xml:space="preserve"> </w:t>
      </w:r>
    </w:p>
    <w:p w14:paraId="62E8B5B0" w14:textId="77777777" w:rsidR="00380BE7" w:rsidRPr="00256982" w:rsidRDefault="00380BE7" w:rsidP="00380BE7">
      <w:pPr>
        <w:pStyle w:val="BodyText"/>
        <w:spacing w:after="100"/>
      </w:pPr>
      <w:r w:rsidRPr="00256982">
        <w:t xml:space="preserve">The overall map accuracy was found to be 95.2 per cent (Poyry Management Consulting </w:t>
      </w:r>
      <w:r w:rsidRPr="00256982">
        <w:rPr>
          <w:spacing w:val="-2"/>
        </w:rPr>
        <w:t>(NZ) Ltd, unpublished). The user and producer accuracies for the three forest classes were all over 94 per cent. For all forest classes, the total mapped area fell within the 95 per</w:t>
      </w:r>
      <w:r w:rsidRPr="00256982">
        <w:t xml:space="preserve"> cent confidence interval of the total class area as determined by the accuracy assessment.</w:t>
      </w:r>
    </w:p>
    <w:p w14:paraId="148F16A7" w14:textId="77777777" w:rsidR="00380BE7" w:rsidRPr="00256982" w:rsidRDefault="00380BE7" w:rsidP="00380BE7">
      <w:pPr>
        <w:pStyle w:val="BodyText"/>
        <w:spacing w:after="100"/>
      </w:pPr>
      <w:r w:rsidRPr="00256982">
        <w:t xml:space="preserve">Non-forest land uses generally had user and producer accuracies of over 90 per cent. Exceptions were the </w:t>
      </w:r>
      <w:r w:rsidRPr="00256982">
        <w:rPr>
          <w:i/>
        </w:rPr>
        <w:t>Wetlands</w:t>
      </w:r>
      <w:r w:rsidRPr="00256982">
        <w:t xml:space="preserve"> and </w:t>
      </w:r>
      <w:r w:rsidRPr="00256982">
        <w:rPr>
          <w:i/>
        </w:rPr>
        <w:t xml:space="preserve">Grassland with woody biomass </w:t>
      </w:r>
      <w:r w:rsidRPr="00256982">
        <w:t xml:space="preserve">categories, for which producer accuracies were 85 per cent and 60 per cent respectively (Poyry Management Consulting (NZ) Ltd, unpublished). The </w:t>
      </w:r>
      <w:r w:rsidRPr="00256982">
        <w:rPr>
          <w:i/>
        </w:rPr>
        <w:t>Wetlands</w:t>
      </w:r>
      <w:r w:rsidRPr="00256982">
        <w:t xml:space="preserve"> category was slightly under-mapped. This is because vegetated wetland</w:t>
      </w:r>
      <w:r w:rsidRPr="00256982">
        <w:rPr>
          <w:i/>
        </w:rPr>
        <w:t xml:space="preserve"> </w:t>
      </w:r>
      <w:r w:rsidRPr="00256982">
        <w:t>and grassland with woody biomass, are sometimes difficult to distinguish in imagery where the extent of flooding varies seasonally. Grassland with woody biomass</w:t>
      </w:r>
      <w:r w:rsidRPr="00256982">
        <w:rPr>
          <w:i/>
        </w:rPr>
        <w:t xml:space="preserve"> </w:t>
      </w:r>
      <w:r w:rsidRPr="00256982">
        <w:t>appears to be more substantially under-mapped, with accuracy assessment operators identifying areas of high and low producing grassland that should have been mapped as grassland with woody biomass. This is also a difficult judgement call, because the boundary between areas of low producing and high producing grassland and grassland with woody biomass can be hard to define.</w:t>
      </w:r>
    </w:p>
    <w:p w14:paraId="5064C5DB" w14:textId="77777777" w:rsidR="00380BE7" w:rsidRPr="00256982" w:rsidRDefault="00380BE7" w:rsidP="00380BE7">
      <w:pPr>
        <w:pStyle w:val="Heading3"/>
        <w:spacing w:before="240"/>
      </w:pPr>
      <w:bookmarkStart w:id="1167" w:name="_Toc255466308"/>
      <w:bookmarkStart w:id="1168" w:name="_Toc261513115"/>
      <w:bookmarkStart w:id="1169" w:name="_Toc261513728"/>
      <w:bookmarkStart w:id="1170" w:name="_Toc280630238"/>
      <w:bookmarkStart w:id="1171" w:name="_Toc361645367"/>
      <w:r w:rsidRPr="00256982">
        <w:lastRenderedPageBreak/>
        <w:t>6.2.6</w:t>
      </w:r>
      <w:r w:rsidRPr="00256982">
        <w:tab/>
        <w:t>Quality assurance/quality control (QA/QC) and verification</w:t>
      </w:r>
      <w:bookmarkEnd w:id="1167"/>
      <w:bookmarkEnd w:id="1168"/>
      <w:bookmarkEnd w:id="1169"/>
      <w:bookmarkEnd w:id="1170"/>
      <w:bookmarkEnd w:id="1171"/>
    </w:p>
    <w:p w14:paraId="45073D72" w14:textId="77777777" w:rsidR="00380BE7" w:rsidRPr="00256982" w:rsidRDefault="00380BE7" w:rsidP="00001036">
      <w:pPr>
        <w:pStyle w:val="BodyText"/>
        <w:spacing w:before="100" w:after="100"/>
      </w:pPr>
      <w:r w:rsidRPr="00256982">
        <w:t>Quality-control and quality-assurance procedures have been adopted for all data collection and data analyses, consistent with the 2006 IPCC Guidelines</w:t>
      </w:r>
      <w:r w:rsidRPr="00256982" w:rsidDel="00663F9D">
        <w:t xml:space="preserve"> </w:t>
      </w:r>
      <w:r w:rsidRPr="00256982">
        <w:t>(IPCC, 2006a) and New Zealand’s inventory quality-control and quality-assurance plan. Data quality and data assurance plans are established for each type of data used to determine carbon stock and stock changes, as well as for the mapping of the areal extent and spatial location of land-use changes.</w:t>
      </w:r>
    </w:p>
    <w:p w14:paraId="41CD24EB" w14:textId="77777777" w:rsidR="00380BE7" w:rsidRPr="00256982" w:rsidRDefault="00380BE7" w:rsidP="00001036">
      <w:pPr>
        <w:pStyle w:val="BodyText"/>
        <w:spacing w:before="100" w:after="100"/>
      </w:pPr>
      <w:r w:rsidRPr="00256982">
        <w:t xml:space="preserve">The 1990, 2008, 2012 and 2016 land use mapping data have been checked to determine the level of consistency in satellite image classification with the requirements set out in </w:t>
      </w:r>
      <w:r w:rsidRPr="00256982">
        <w:rPr>
          <w:i/>
        </w:rPr>
        <w:t>Land Use and Carbon Analysis System: Satellite imagery interpretation guide for land use classes</w:t>
      </w:r>
      <w:r w:rsidRPr="00256982">
        <w:t xml:space="preserve"> (Ministry for the Environment, 2012). </w:t>
      </w:r>
    </w:p>
    <w:p w14:paraId="760E116D" w14:textId="77777777" w:rsidR="00380BE7" w:rsidRPr="00256982" w:rsidRDefault="00380BE7" w:rsidP="00001036">
      <w:pPr>
        <w:pStyle w:val="BodyText"/>
        <w:spacing w:before="100" w:after="100"/>
      </w:pPr>
      <w:r w:rsidRPr="00256982">
        <w:t>The quality-control checks performed on the 1990 and 2008 land use maps included checking approximately 28,000 randomly selected points in areas mapped as forest and grassland with woody biomass. These were evaluated by independent assessors. In this exercise, independent assessors agreed with the original classification 91 per cent of the time. Where there was disagreement, the points were recorded in a register and this was used to plan improvements to the 1990 and 2008 land use maps. These improvements have now been completed.</w:t>
      </w:r>
    </w:p>
    <w:p w14:paraId="14BF7C6F" w14:textId="77777777" w:rsidR="00380BE7" w:rsidRPr="00256982" w:rsidRDefault="00380BE7" w:rsidP="00001036">
      <w:pPr>
        <w:pStyle w:val="BodyText"/>
        <w:spacing w:before="100" w:after="100"/>
      </w:pPr>
      <w:r w:rsidRPr="00256982">
        <w:t xml:space="preserve">Two distinct quality-control checks were performed on the 2012 land use map. The first of these checked every polygon where land-use change had occurred from a non-forest land use between 2008 and 2012. The acceptance criterion for this check was that the land use classification had to be correct at both mapping dates at least 90 per cent of the time. This means that the land use both at the start of the land-use change event and at the end of the land-use change event had to be correct. The second quality-control measure was to check the accuracy of destock detection in areas that were in a forest land use at 2008. Sampling for this check was designed to test that at least 90 per cent of the destocking had been detected at the 95 per cent confidence level. Checks were completed on each of the 16 regions of New Zealand individually and all regions passed. During this process, 14,443 points were checked. </w:t>
      </w:r>
    </w:p>
    <w:p w14:paraId="11156F4A" w14:textId="77777777" w:rsidR="00380BE7" w:rsidRPr="00256982" w:rsidRDefault="00380BE7" w:rsidP="00001036">
      <w:pPr>
        <w:pStyle w:val="BodyText"/>
        <w:spacing w:before="100" w:after="100"/>
      </w:pPr>
      <w:r w:rsidRPr="00256982">
        <w:t>Quality-control checking for the 2016 land use map was carried out region by region looking at all areas of expected change (based on mapping targets sent to the mapping supplier) and actual change supplied in the map. Checks were also made for invalid change, for example, a pre-1990 planted forest cannot change to a post-1989 forest. Spatial checks were performed to ensure that the integrity of the map had been maintained. These included checking for gaps and overlaps as well as that the total area of the map had not changed.</w:t>
      </w:r>
    </w:p>
    <w:p w14:paraId="7E5B2FDD" w14:textId="77777777" w:rsidR="00380BE7" w:rsidRPr="00256982" w:rsidRDefault="00380BE7" w:rsidP="00001036">
      <w:pPr>
        <w:pStyle w:val="BodyText"/>
        <w:spacing w:before="100" w:after="100"/>
      </w:pPr>
      <w:r w:rsidRPr="00256982">
        <w:t>Each mapping improvement activity carried out on the 1990, 2008 and 2012 maps has been subjected to quality-assurance checks to ensure accuracy and consistency. Quality-assurance strategies have been tailored to each improvement activity, usually including a combination of random sampling of updated areas and analysis of the changes in land use areas.</w:t>
      </w:r>
    </w:p>
    <w:p w14:paraId="0B482427" w14:textId="77777777" w:rsidR="00380BE7" w:rsidRPr="00256982" w:rsidRDefault="00380BE7" w:rsidP="00001036">
      <w:pPr>
        <w:pStyle w:val="BodyText"/>
        <w:spacing w:before="100" w:after="100"/>
      </w:pPr>
      <w:r w:rsidRPr="00256982">
        <w:t xml:space="preserve">The approach used to implement quality-assurance processes is documented in the LUCAS Data Quality Framework (PricewaterhouseCoopers, unpublished). </w:t>
      </w:r>
    </w:p>
    <w:p w14:paraId="699FB12D" w14:textId="77777777" w:rsidR="00380BE7" w:rsidRPr="00256982" w:rsidRDefault="00380BE7" w:rsidP="00380BE7">
      <w:pPr>
        <w:pStyle w:val="Heading3"/>
        <w:spacing w:before="280"/>
      </w:pPr>
      <w:bookmarkStart w:id="1172" w:name="_Toc255466309"/>
      <w:bookmarkStart w:id="1173" w:name="_Toc261513116"/>
      <w:bookmarkStart w:id="1174" w:name="_Toc261513729"/>
      <w:bookmarkStart w:id="1175" w:name="_Toc280630239"/>
      <w:bookmarkStart w:id="1176" w:name="_Toc361645368"/>
      <w:r w:rsidRPr="00256982">
        <w:t>6.2.7</w:t>
      </w:r>
      <w:r w:rsidRPr="00256982">
        <w:tab/>
        <w:t>Planned improvements</w:t>
      </w:r>
      <w:bookmarkEnd w:id="1172"/>
      <w:bookmarkEnd w:id="1173"/>
      <w:bookmarkEnd w:id="1174"/>
      <w:bookmarkEnd w:id="1175"/>
      <w:bookmarkEnd w:id="1176"/>
    </w:p>
    <w:p w14:paraId="2E5CF05A" w14:textId="77777777" w:rsidR="00380BE7" w:rsidRPr="00256982" w:rsidRDefault="00380BE7" w:rsidP="00380BE7">
      <w:pPr>
        <w:pStyle w:val="BodyText"/>
      </w:pPr>
      <w:r w:rsidRPr="00256982">
        <w:t>During 2019, the following mapping improvements will be undertaken:</w:t>
      </w:r>
    </w:p>
    <w:p w14:paraId="3E7D80D7" w14:textId="77777777" w:rsidR="00380BE7" w:rsidRPr="00256982" w:rsidRDefault="00380BE7" w:rsidP="00380BE7">
      <w:pPr>
        <w:pStyle w:val="Bullet"/>
        <w:numPr>
          <w:ilvl w:val="0"/>
          <w:numId w:val="8"/>
        </w:numPr>
      </w:pPr>
      <w:r w:rsidRPr="00256982">
        <w:t>improvement to the accuracy of the mapping of pre-1990 planted forest through scrutiny of the areas not included in the NZ ETS</w:t>
      </w:r>
    </w:p>
    <w:p w14:paraId="6FC49144" w14:textId="77777777" w:rsidR="00380BE7" w:rsidRPr="00256982" w:rsidRDefault="00380BE7" w:rsidP="00747904">
      <w:pPr>
        <w:pStyle w:val="Bullet"/>
        <w:numPr>
          <w:ilvl w:val="0"/>
          <w:numId w:val="8"/>
        </w:numPr>
        <w:spacing w:after="100"/>
      </w:pPr>
      <w:r w:rsidRPr="00256982">
        <w:t xml:space="preserve">identification of tree weed areas. These areas should be mapped as pre-1990 natural forest or post-1989 forest, if the infestation occurred after 1990. In some cases, they have been incorrectly mapped as pre-1990 planted forest because they have a similar spectral signature to New Zealand plantation forest species and sometimes </w:t>
      </w:r>
      <w:r w:rsidRPr="00256982">
        <w:rPr>
          <w:i/>
        </w:rPr>
        <w:t>are</w:t>
      </w:r>
      <w:r w:rsidRPr="00256982">
        <w:t xml:space="preserve"> the same species; for </w:t>
      </w:r>
      <w:r w:rsidRPr="00256982">
        <w:lastRenderedPageBreak/>
        <w:t xml:space="preserve">example, </w:t>
      </w:r>
      <w:r w:rsidRPr="00256982">
        <w:rPr>
          <w:i/>
        </w:rPr>
        <w:t>Pseudotsuga menziesii</w:t>
      </w:r>
      <w:r w:rsidRPr="00256982">
        <w:t xml:space="preserve"> (Douglas fir) is grown in plantations in the South Island but has also become a tree weed, spreading into nearby tussock high-country</w:t>
      </w:r>
    </w:p>
    <w:p w14:paraId="6305E3BF" w14:textId="77777777" w:rsidR="00380BE7" w:rsidRPr="00256982" w:rsidRDefault="00380BE7" w:rsidP="00747904">
      <w:pPr>
        <w:pStyle w:val="Bullet"/>
        <w:numPr>
          <w:ilvl w:val="0"/>
          <w:numId w:val="8"/>
        </w:numPr>
        <w:spacing w:after="100"/>
      </w:pPr>
      <w:r w:rsidRPr="00256982">
        <w:t>determining planting dates for post-1989 forests, which will provide a better picture of this forest class to support future reporting requirements.</w:t>
      </w:r>
    </w:p>
    <w:p w14:paraId="73FF14F0" w14:textId="77777777" w:rsidR="00380BE7" w:rsidRPr="00256982" w:rsidRDefault="00380BE7" w:rsidP="0026128C">
      <w:pPr>
        <w:pStyle w:val="Heading2"/>
        <w:spacing w:before="320"/>
      </w:pPr>
      <w:bookmarkStart w:id="1177" w:name="_Toc361644862"/>
      <w:bookmarkStart w:id="1178" w:name="_Toc391024699"/>
      <w:bookmarkStart w:id="1179" w:name="_Toc414531316"/>
      <w:bookmarkStart w:id="1180" w:name="_Toc474335458"/>
      <w:bookmarkStart w:id="1181" w:name="_Toc481751398"/>
      <w:bookmarkStart w:id="1182" w:name="_Toc522013950"/>
      <w:bookmarkStart w:id="1183" w:name="_Toc5269375"/>
      <w:r w:rsidRPr="00256982">
        <w:t>6.3</w:t>
      </w:r>
      <w:r w:rsidRPr="00256982">
        <w:tab/>
        <w:t>Soils</w:t>
      </w:r>
      <w:bookmarkEnd w:id="1177"/>
      <w:bookmarkEnd w:id="1178"/>
      <w:bookmarkEnd w:id="1179"/>
      <w:bookmarkEnd w:id="1180"/>
      <w:bookmarkEnd w:id="1181"/>
      <w:bookmarkEnd w:id="1182"/>
      <w:bookmarkEnd w:id="1183"/>
    </w:p>
    <w:p w14:paraId="1BD33360" w14:textId="77777777" w:rsidR="00380BE7" w:rsidRPr="00256982" w:rsidRDefault="00380BE7" w:rsidP="00747904">
      <w:pPr>
        <w:pStyle w:val="BodyText"/>
        <w:spacing w:after="100"/>
      </w:pPr>
      <w:r w:rsidRPr="00256982">
        <w:t>In this submission, New Zealand uses a Tier 2 method to estimate soil carbon changes in mineral soils and follows the Tier 1 approach for organic soils.</w:t>
      </w:r>
    </w:p>
    <w:p w14:paraId="1066AAD7" w14:textId="77777777" w:rsidR="00380BE7" w:rsidRPr="00256982" w:rsidRDefault="00380BE7" w:rsidP="00380BE7">
      <w:pPr>
        <w:pStyle w:val="Heading3"/>
        <w:spacing w:before="240"/>
      </w:pPr>
      <w:bookmarkStart w:id="1184" w:name="_Toc280630210"/>
      <w:r w:rsidRPr="00256982">
        <w:t>6.3.1</w:t>
      </w:r>
      <w:r w:rsidRPr="00256982">
        <w:tab/>
        <w:t>Mineral soils</w:t>
      </w:r>
      <w:bookmarkEnd w:id="1184"/>
    </w:p>
    <w:p w14:paraId="4DB4C017" w14:textId="77777777" w:rsidR="00380BE7" w:rsidRPr="00256982" w:rsidRDefault="00380BE7" w:rsidP="0026128C">
      <w:pPr>
        <w:pStyle w:val="BodyText"/>
        <w:spacing w:after="60"/>
      </w:pPr>
      <w:r w:rsidRPr="00256982">
        <w:t>New Zealand’s Tier 2 method for mineral soils involves estimating steady state soil organic carbon (SOC) stocks for each land use based on New Zealand soil data (described in more detail below). Changes in SOC stocks associated with land-use change are calculated according to the IPCC default method (IPCC, 2006a) using the equation:</w:t>
      </w:r>
    </w:p>
    <w:p w14:paraId="2A39FEDC" w14:textId="77777777" w:rsidR="00380BE7" w:rsidRPr="00256982" w:rsidRDefault="00380BE7" w:rsidP="00747904">
      <w:pPr>
        <w:pStyle w:val="BodyText"/>
        <w:spacing w:before="80" w:after="80"/>
        <w:jc w:val="center"/>
        <w:rPr>
          <w:i/>
        </w:rPr>
      </w:pPr>
      <w:r w:rsidRPr="00256982">
        <w:rPr>
          <w:rFonts w:ascii="Cambria Math" w:hAnsi="Cambria Math"/>
          <w:sz w:val="24"/>
          <w:szCs w:val="24"/>
        </w:rPr>
        <w:t>∆</w:t>
      </w:r>
      <w:r w:rsidRPr="00256982">
        <w:rPr>
          <w:rFonts w:ascii="Cambria Math" w:hAnsi="Cambria Math"/>
          <w:i/>
          <w:sz w:val="24"/>
          <w:szCs w:val="24"/>
        </w:rPr>
        <w:t>C</w:t>
      </w:r>
      <w:r w:rsidRPr="00256982">
        <w:rPr>
          <w:rFonts w:ascii="Cambria Math" w:hAnsi="Cambria Math"/>
          <w:sz w:val="24"/>
          <w:szCs w:val="24"/>
        </w:rPr>
        <w:t xml:space="preserve"> = [(SOC</w:t>
      </w:r>
      <w:r w:rsidRPr="00256982">
        <w:rPr>
          <w:rFonts w:ascii="Cambria Math" w:hAnsi="Cambria Math"/>
          <w:sz w:val="24"/>
          <w:szCs w:val="24"/>
          <w:vertAlign w:val="subscript"/>
        </w:rPr>
        <w:t xml:space="preserve">0 </w:t>
      </w:r>
      <w:r w:rsidRPr="00256982">
        <w:rPr>
          <w:rFonts w:ascii="Cambria Math" w:hAnsi="Cambria Math"/>
          <w:sz w:val="24"/>
          <w:szCs w:val="24"/>
        </w:rPr>
        <w:t>– SOC</w:t>
      </w:r>
      <w:r w:rsidRPr="00256982">
        <w:rPr>
          <w:rFonts w:ascii="Cambria Math" w:hAnsi="Cambria Math"/>
          <w:sz w:val="24"/>
          <w:szCs w:val="24"/>
          <w:vertAlign w:val="subscript"/>
        </w:rPr>
        <w:t>(0-T)</w:t>
      </w:r>
      <w:r w:rsidRPr="00256982">
        <w:rPr>
          <w:rFonts w:ascii="Cambria Math" w:hAnsi="Cambria Math"/>
          <w:sz w:val="24"/>
          <w:szCs w:val="24"/>
        </w:rPr>
        <w:t xml:space="preserve">)/20] </w:t>
      </w:r>
      <w:r w:rsidRPr="00256982">
        <w:rPr>
          <w:i/>
        </w:rPr>
        <w:t>×</w:t>
      </w:r>
      <w:r w:rsidRPr="00256982">
        <w:rPr>
          <w:rFonts w:ascii="Cambria Math" w:hAnsi="Cambria Math"/>
          <w:sz w:val="24"/>
          <w:szCs w:val="24"/>
        </w:rPr>
        <w:t xml:space="preserve"> </w:t>
      </w:r>
      <w:r w:rsidRPr="00256982">
        <w:rPr>
          <w:rFonts w:ascii="Cambria Math" w:hAnsi="Cambria Math"/>
          <w:i/>
          <w:sz w:val="24"/>
          <w:szCs w:val="24"/>
        </w:rPr>
        <w:t>A</w:t>
      </w:r>
      <w:r w:rsidRPr="00256982">
        <w:t xml:space="preserve"> </w:t>
      </w:r>
      <w:r w:rsidRPr="00256982">
        <w:tab/>
      </w:r>
      <w:r w:rsidRPr="00256982">
        <w:rPr>
          <w:i/>
        </w:rPr>
        <w:t>(3)</w:t>
      </w:r>
    </w:p>
    <w:p w14:paraId="0DF302DC" w14:textId="77777777" w:rsidR="00380BE7" w:rsidRPr="00256982" w:rsidRDefault="00380BE7" w:rsidP="0026128C">
      <w:pPr>
        <w:pStyle w:val="BodyText"/>
        <w:spacing w:before="60" w:after="0"/>
        <w:ind w:left="964" w:hanging="964"/>
        <w:jc w:val="left"/>
      </w:pPr>
      <w:r w:rsidRPr="00256982">
        <w:t xml:space="preserve">Where: </w:t>
      </w:r>
      <w:r w:rsidRPr="00256982">
        <w:tab/>
        <w:t>∆</w:t>
      </w:r>
      <w:r w:rsidRPr="00256982">
        <w:rPr>
          <w:i/>
        </w:rPr>
        <w:t>C</w:t>
      </w:r>
      <w:r w:rsidRPr="00256982">
        <w:t xml:space="preserve"> = change in carbon stocks (tonnes)</w:t>
      </w:r>
    </w:p>
    <w:p w14:paraId="3EC16998" w14:textId="77777777" w:rsidR="00380BE7" w:rsidRPr="00256982" w:rsidRDefault="00380BE7" w:rsidP="00380BE7">
      <w:pPr>
        <w:pStyle w:val="BodyText"/>
        <w:spacing w:after="0"/>
        <w:ind w:left="964" w:hanging="964"/>
        <w:jc w:val="left"/>
      </w:pPr>
      <w:r w:rsidRPr="00256982">
        <w:tab/>
        <w:t>SOC</w:t>
      </w:r>
      <w:r w:rsidRPr="00256982">
        <w:rPr>
          <w:vertAlign w:val="subscript"/>
        </w:rPr>
        <w:t xml:space="preserve">0 </w:t>
      </w:r>
      <w:r w:rsidRPr="00256982">
        <w:t>= stable SOC stock in the inventory year (tonnes C ha</w:t>
      </w:r>
      <w:r w:rsidRPr="00256982">
        <w:rPr>
          <w:vertAlign w:val="superscript"/>
        </w:rPr>
        <w:t>–1</w:t>
      </w:r>
      <w:r w:rsidRPr="00256982">
        <w:t>)</w:t>
      </w:r>
    </w:p>
    <w:p w14:paraId="1CFCC47D" w14:textId="77777777" w:rsidR="00380BE7" w:rsidRPr="00256982" w:rsidRDefault="00380BE7" w:rsidP="00380BE7">
      <w:pPr>
        <w:pStyle w:val="BodyText"/>
        <w:spacing w:before="100" w:after="0"/>
        <w:ind w:left="964" w:hanging="964"/>
        <w:jc w:val="left"/>
      </w:pPr>
      <w:r w:rsidRPr="00256982">
        <w:tab/>
        <w:t>SOC</w:t>
      </w:r>
      <w:r w:rsidRPr="00256982">
        <w:rPr>
          <w:vertAlign w:val="subscript"/>
        </w:rPr>
        <w:t xml:space="preserve">(0-T) </w:t>
      </w:r>
      <w:r w:rsidRPr="00256982">
        <w:t>= stable SOC stock T years prior to the inventory year (tonnes C ha</w:t>
      </w:r>
      <w:r w:rsidRPr="00256982">
        <w:rPr>
          <w:vertAlign w:val="superscript"/>
        </w:rPr>
        <w:t>–1</w:t>
      </w:r>
      <w:r w:rsidRPr="00256982">
        <w:t>)</w:t>
      </w:r>
    </w:p>
    <w:p w14:paraId="280AA1D7" w14:textId="77777777" w:rsidR="00380BE7" w:rsidRPr="00256982" w:rsidRDefault="00380BE7" w:rsidP="00380BE7">
      <w:pPr>
        <w:pStyle w:val="BodyText"/>
        <w:spacing w:before="100" w:after="0"/>
        <w:ind w:left="964" w:hanging="964"/>
        <w:jc w:val="left"/>
      </w:pPr>
      <w:r w:rsidRPr="00256982">
        <w:tab/>
      </w:r>
      <w:r w:rsidRPr="00256982">
        <w:rPr>
          <w:i/>
        </w:rPr>
        <w:t>A</w:t>
      </w:r>
      <w:r w:rsidRPr="00256982">
        <w:t xml:space="preserve"> = land area of parcels with these SOC terms (hectares)</w:t>
      </w:r>
    </w:p>
    <w:p w14:paraId="3AEF71F3" w14:textId="77777777" w:rsidR="00380BE7" w:rsidRPr="00256982" w:rsidRDefault="00380BE7" w:rsidP="00380BE7">
      <w:pPr>
        <w:pStyle w:val="BodyText"/>
        <w:ind w:left="964" w:hanging="964"/>
        <w:jc w:val="left"/>
      </w:pPr>
      <w:r w:rsidRPr="00256982">
        <w:tab/>
        <w:t>20 = default SOC stock transition period (year).</w:t>
      </w:r>
    </w:p>
    <w:p w14:paraId="0EF33DA3" w14:textId="77777777" w:rsidR="00380BE7" w:rsidRPr="00256982" w:rsidRDefault="00380BE7" w:rsidP="00380BE7">
      <w:pPr>
        <w:pStyle w:val="BodyText"/>
        <w:spacing w:before="100" w:after="100"/>
      </w:pPr>
      <w:r w:rsidRPr="00256982">
        <w:t>The SOC stock for each land use is characterised with country-specific data via the Soil Carbon Monitoring System (Soil CMS) model (McNeill and Barringer, unpublished; McNeill et al., unpublished</w:t>
      </w:r>
      <w:r w:rsidRPr="00256982">
        <w:rPr>
          <w:b/>
        </w:rPr>
        <w:t>)</w:t>
      </w:r>
      <w:r w:rsidRPr="00256982">
        <w:t xml:space="preserve">. The correct operation of the Soil CMS model involves fitting the model to the soil carbon data set and then using the coefficients for the different land use categories for each land use transition (equation 3). The interpretation of the different land use effects is informed by multi-comparison significance. </w:t>
      </w:r>
    </w:p>
    <w:p w14:paraId="24905F32" w14:textId="77777777" w:rsidR="00380BE7" w:rsidRPr="00256982" w:rsidRDefault="00380BE7" w:rsidP="00380BE7">
      <w:pPr>
        <w:pStyle w:val="Heading5"/>
      </w:pPr>
      <w:r w:rsidRPr="00256982">
        <w:t>Characterising SOC stocks: New Zealand’s Soil Carbon Monitoring System</w:t>
      </w:r>
    </w:p>
    <w:p w14:paraId="51A0D7DB" w14:textId="77777777" w:rsidR="00380BE7" w:rsidRPr="00256982" w:rsidRDefault="00380BE7" w:rsidP="00380BE7">
      <w:pPr>
        <w:pStyle w:val="BodyText"/>
        <w:spacing w:before="100" w:after="100"/>
      </w:pPr>
      <w:r w:rsidRPr="00256982">
        <w:t xml:space="preserve">Unbiased estimates of SOC stocks associated with each land use in New Zealand are calculated by using country-specific data in the Soil CMS model. The operation of the Soil CMS model to produce SOC pool estimates involves applying a linear statistical model to key factors of land use, climate and soil order, which together regulate net SOC storage. The model also includes an additional environmental factor consisting of the product of slope and rainfall (hereafter, slope </w:t>
      </w:r>
      <w:r w:rsidRPr="00256982">
        <w:rPr>
          <w:i/>
          <w:sz w:val="18"/>
        </w:rPr>
        <w:t>×</w:t>
      </w:r>
      <w:r w:rsidRPr="00256982">
        <w:t xml:space="preserve"> rainfall) – a term used as a proxy for erosivity, the potential for surface soil erosion to occur (Giltrap et al., unpublished). The end result is that the explanatory effect of the land use category on SOC stocks is isolated from other factors that affect SOC.</w:t>
      </w:r>
    </w:p>
    <w:p w14:paraId="2285CC78" w14:textId="315CFA15" w:rsidR="00380BE7" w:rsidRPr="00256982" w:rsidRDefault="00380BE7" w:rsidP="00380BE7">
      <w:pPr>
        <w:pStyle w:val="BodyText"/>
        <w:spacing w:before="100" w:after="100"/>
      </w:pPr>
      <w:r w:rsidRPr="00256982">
        <w:t xml:space="preserve">Two key assumptions underpin the operation of the Soil CMS model: first, the SOC values in the sample data set represent equilibrium SOC values for each stratified soil, climate and land use cell, and erosivity index; and, second, changes in land use are the key drivers of change in SOC at the decadal scale, while all other changes due to soil type, climate or erosivity are assumed to be constant (McNeill et al., 2014). The model allows for an explanatory effect by land use category, so that estimates grouped by land use are unbiased where a specific </w:t>
      </w:r>
      <w:r w:rsidR="00747904" w:rsidRPr="00256982">
        <w:t xml:space="preserve">land use category has an effect </w:t>
      </w:r>
      <w:r w:rsidRPr="00256982">
        <w:t>significantly different from the pooled soil carbon value from all land use categories. Where land use category is a significant explanatory variable of SOC, incorporating land use in the model</w:t>
      </w:r>
      <w:r w:rsidR="00747904" w:rsidRPr="00256982">
        <w:t xml:space="preserve"> </w:t>
      </w:r>
      <w:r w:rsidRPr="00256982">
        <w:t>reduces the overall residual standard error associated with soil carbon</w:t>
      </w:r>
      <w:r w:rsidRPr="00256982" w:rsidDel="00C55BF0">
        <w:t xml:space="preserve"> </w:t>
      </w:r>
      <w:r w:rsidRPr="00256982">
        <w:t>(McNeill and Barringer, unpublished).</w:t>
      </w:r>
    </w:p>
    <w:p w14:paraId="0201DE41" w14:textId="77777777" w:rsidR="00380BE7" w:rsidRPr="00256982" w:rsidRDefault="00380BE7" w:rsidP="00380BE7">
      <w:pPr>
        <w:pStyle w:val="Heading5"/>
        <w:spacing w:before="200"/>
      </w:pPr>
      <w:r w:rsidRPr="00256982">
        <w:lastRenderedPageBreak/>
        <w:t>Soil carbon linear parametric model</w:t>
      </w:r>
    </w:p>
    <w:p w14:paraId="1CB8221B" w14:textId="77777777" w:rsidR="00380BE7" w:rsidRPr="00256982" w:rsidRDefault="00380BE7" w:rsidP="00380BE7">
      <w:pPr>
        <w:pStyle w:val="BodyText"/>
        <w:spacing w:before="100" w:after="100"/>
        <w:rPr>
          <w:spacing w:val="-2"/>
        </w:rPr>
      </w:pPr>
      <w:r w:rsidRPr="00256982">
        <w:rPr>
          <w:spacing w:val="-2"/>
        </w:rPr>
        <w:t>The generalised least squares model used for the Soil CMS is a minimum variance unbiased estimator (Draper and Smith, 1998). This means that the soil carbon values, and the soil carbon changes as a result of a land use transition, are unbiased. This approach is consistent with the physically based soil carbon model outlined in the literature (Baisden et al., unpublished(b); Kirschbaum et al., unpublished; Scott et al., 2002; Tate et al., 2005).</w:t>
      </w:r>
    </w:p>
    <w:p w14:paraId="5F012C04" w14:textId="5FB4A0E4" w:rsidR="00380BE7" w:rsidRPr="00256982" w:rsidRDefault="00380BE7" w:rsidP="00380BE7">
      <w:pPr>
        <w:pStyle w:val="BodyText"/>
        <w:spacing w:before="100" w:after="100" w:line="240" w:lineRule="exact"/>
      </w:pPr>
      <w:r w:rsidRPr="00256982">
        <w:rPr>
          <w:rFonts w:eastAsia="Calibri"/>
        </w:rPr>
        <w:t xml:space="preserve">The </w:t>
      </w:r>
      <w:r w:rsidRPr="00256982">
        <w:t>generalised least squares</w:t>
      </w:r>
      <w:r w:rsidRPr="00256982">
        <w:rPr>
          <w:rFonts w:eastAsia="Calibri"/>
        </w:rPr>
        <w:t xml:space="preserve"> regression model for soil carbon in the 0–30-centimetre layer uses explanatory variables of the soil–climate factor, the land use category and slope </w:t>
      </w:r>
      <w:r w:rsidRPr="00256982">
        <w:rPr>
          <w:rFonts w:eastAsia="Calibri"/>
          <w:i/>
          <w:sz w:val="18"/>
        </w:rPr>
        <w:t>×</w:t>
      </w:r>
      <w:r w:rsidRPr="00256982">
        <w:rPr>
          <w:rFonts w:eastAsia="Calibri"/>
        </w:rPr>
        <w:t xml:space="preserve"> rainfall. This model is represented as an equation for the soil carbon </w:t>
      </w:r>
      <w:r w:rsidRPr="00256982">
        <w:fldChar w:fldCharType="begin"/>
      </w:r>
      <w:r w:rsidRPr="00256982">
        <w:instrText xml:space="preserve"> QUOTE </w:instrText>
      </w:r>
      <w:r w:rsidR="00590491">
        <w:rPr>
          <w:rFonts w:eastAsia="Calibri"/>
          <w:position w:val="-9"/>
        </w:rPr>
        <w:pict w14:anchorId="58A26832">
          <v:shape id="_x0000_i1132" type="#_x0000_t75" style="width:39pt;height:21.7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5&lt;/o:Version&gt;&lt;/o:DocumentProperties&gt;&lt;w:docPr&gt;&lt;w:view w:val=&quot;print&quot;/&gt;&lt;w:zoom w:percent=&quot;100&quot;/&gt;&lt;w:doNotEmbedSystemFonts/&gt;&lt;w:activeWritingStyle w:lang=&quot;EN-NZ&quot; w:vendorID=&quot;64&quot; w:dllVersion=&quot;131078&quot; w:nlCheck=&quot;on&quot; w:optionSet=&quot;1&quot;/&gt;&lt;w:stylePaneFormatFilter w:val=&quot;5804&quot;/&gt;&lt;w:defaultTabStop w:val=&quot;720&quot;/&gt;&lt;w:evenAndOddHeaders/&gt;&lt;w:drawingGridHorizontalSpacing w:val=&quot;187&quot;/&gt;&lt;w:displayVerticalDrawingGridEvery w:val=&quot;2&quot;/&gt;&lt;w:characterSpacingControl w:val=&quot;DontCompress&quot;/&gt;&lt;w:optimizeForBrowser/&gt;&lt;w:validateAgainstSchema/&gt;&lt;w:saveInvalidXML w:val=&quot;off&quot;/&gt;&lt;w:ignoreMixedContent w:val=&quot;off&quot;/&gt;&lt;w:alwaysShowPlaceholderText w:val=&quot;off&quot;/&gt;&lt;w:compat&gt;&lt;w:suppressBottomSpacing/&gt;&lt;w:suppressSpBfAfterPgBrk/&gt;&lt;w:doNotUseHTMLParagraphAutoSpacing/&gt;&lt;w:breakWrappedTables/&gt;&lt;w:snapToGridInCell/&gt;&lt;w:wrapTextWithPunct/&gt;&lt;w:useAsianBreakRules/&gt;&lt;w:useWord2002TableStyleRules/&gt;&lt;/w:compat&gt;&lt;wsp:rsids&gt;&lt;wsp:rsidRoot wsp:val=&quot;00702030&quot;/&gt;&lt;wsp:rsid wsp:val=&quot;00001716&quot;/&gt;&lt;wsp:rsid wsp:val=&quot;00007ABB&quot;/&gt;&lt;wsp:rsid wsp:val=&quot;00013566&quot;/&gt;&lt;wsp:rsid wsp:val=&quot;00015CFC&quot;/&gt;&lt;wsp:rsid wsp:val=&quot;000219C8&quot;/&gt;&lt;wsp:rsid wsp:val=&quot;00021ACF&quot;/&gt;&lt;wsp:rsid wsp:val=&quot;000233E5&quot;/&gt;&lt;wsp:rsid wsp:val=&quot;00027E55&quot;/&gt;&lt;wsp:rsid wsp:val=&quot;00032A28&quot;/&gt;&lt;wsp:rsid wsp:val=&quot;00035185&quot;/&gt;&lt;wsp:rsid wsp:val=&quot;00044580&quot;/&gt;&lt;wsp:rsid wsp:val=&quot;00050008&quot;/&gt;&lt;wsp:rsid wsp:val=&quot;0005134C&quot;/&gt;&lt;wsp:rsid wsp:val=&quot;0006123B&quot;/&gt;&lt;wsp:rsid wsp:val=&quot;00084588&quot;/&gt;&lt;wsp:rsid wsp:val=&quot;000A3774&quot;/&gt;&lt;wsp:rsid wsp:val=&quot;000C20A6&quot;/&gt;&lt;wsp:rsid wsp:val=&quot;000E1498&quot;/&gt;&lt;wsp:rsid wsp:val=&quot;000F4DEF&quot;/&gt;&lt;wsp:rsid wsp:val=&quot;000F6318&quot;/&gt;&lt;wsp:rsid wsp:val=&quot;00116E1B&quot;/&gt;&lt;wsp:rsid wsp:val=&quot;001221C3&quot;/&gt;&lt;wsp:rsid wsp:val=&quot;00133C9D&quot;/&gt;&lt;wsp:rsid wsp:val=&quot;00134FC2&quot;/&gt;&lt;wsp:rsid wsp:val=&quot;00135B33&quot;/&gt;&lt;wsp:rsid wsp:val=&quot;00153F5A&quot;/&gt;&lt;wsp:rsid wsp:val=&quot;001970E1&quot;/&gt;&lt;wsp:rsid wsp:val=&quot;001A1997&quot;/&gt;&lt;wsp:rsid wsp:val=&quot;001B6FD2&quot;/&gt;&lt;wsp:rsid wsp:val=&quot;001D3490&quot;/&gt;&lt;wsp:rsid wsp:val=&quot;001E0B7B&quot;/&gt;&lt;wsp:rsid wsp:val=&quot;00207ABF&quot;/&gt;&lt;wsp:rsid wsp:val=&quot;0023070D&quot;/&gt;&lt;wsp:rsid wsp:val=&quot;00240B42&quot;/&gt;&lt;wsp:rsid wsp:val=&quot;0024542F&quot;/&gt;&lt;wsp:rsid wsp:val=&quot;00260B48&quot;/&gt;&lt;wsp:rsid wsp:val=&quot;00273218&quot;/&gt;&lt;wsp:rsid wsp:val=&quot;0028581A&quot;/&gt;&lt;wsp:rsid wsp:val=&quot;002868D3&quot;/&gt;&lt;wsp:rsid wsp:val=&quot;00295B2A&quot;/&gt;&lt;wsp:rsid wsp:val=&quot;002A1361&quot;/&gt;&lt;wsp:rsid wsp:val=&quot;002A49D7&quot;/&gt;&lt;wsp:rsid wsp:val=&quot;002B1C5A&quot;/&gt;&lt;wsp:rsid wsp:val=&quot;002B3284&quot;/&gt;&lt;wsp:rsid wsp:val=&quot;002B6594&quot;/&gt;&lt;wsp:rsid wsp:val=&quot;002C7BFB&quot;/&gt;&lt;wsp:rsid wsp:val=&quot;002D60DB&quot;/&gt;&lt;wsp:rsid wsp:val=&quot;002D6A54&quot;/&gt;&lt;wsp:rsid wsp:val=&quot;002F134A&quot;/&gt;&lt;wsp:rsid wsp:val=&quot;00302D84&quot;/&gt;&lt;wsp:rsid wsp:val=&quot;00315760&quot;/&gt;&lt;wsp:rsid wsp:val=&quot;00333ACA&quot;/&gt;&lt;wsp:rsid wsp:val=&quot;00336A51&quot;/&gt;&lt;wsp:rsid wsp:val=&quot;0036046B&quot;/&gt;&lt;wsp:rsid wsp:val=&quot;0037590E&quot;/&gt;&lt;wsp:rsid wsp:val=&quot;00377186&quot;/&gt;&lt;wsp:rsid wsp:val=&quot;00380BE7&quot;/&gt;&lt;wsp:rsid wsp:val=&quot;00383207&quot;/&gt;&lt;wsp:rsid wsp:val=&quot;00391D8B&quot;/&gt;&lt;wsp:rsid wsp:val=&quot;003972EF&quot;/&gt;&lt;wsp:rsid wsp:val=&quot;00397D2B&quot;/&gt;&lt;wsp:rsid wsp:val=&quot;003A3F0A&quot;/&gt;&lt;wsp:rsid wsp:val=&quot;003A5006&quot;/&gt;&lt;wsp:rsid wsp:val=&quot;003C2615&quot;/&gt;&lt;wsp:rsid wsp:val=&quot;003C42C1&quot;/&gt;&lt;wsp:rsid wsp:val=&quot;003D0318&quot;/&gt;&lt;wsp:rsid wsp:val=&quot;003D5417&quot;/&gt;&lt;wsp:rsid wsp:val=&quot;003E2377&quot;/&gt;&lt;wsp:rsid wsp:val=&quot;00400F92&quot;/&gt;&lt;wsp:rsid wsp:val=&quot;0042424B&quot;/&gt;&lt;wsp:rsid wsp:val=&quot;00430D5D&quot;/&gt;&lt;wsp:rsid wsp:val=&quot;00440459&quot;/&gt;&lt;wsp:rsid wsp:val=&quot;00453950&quot;/&gt;&lt;wsp:rsid wsp:val=&quot;0045652C&quot;/&gt;&lt;wsp:rsid wsp:val=&quot;00462497&quot;/&gt;&lt;wsp:rsid wsp:val=&quot;004805A3&quot;/&gt;&lt;wsp:rsid wsp:val=&quot;00490EB0&quot;/&gt;&lt;wsp:rsid wsp:val=&quot;00494545&quot;/&gt;&lt;wsp:rsid wsp:val=&quot;004A555E&quot;/&gt;&lt;wsp:rsid wsp:val=&quot;004A618E&quot;/&gt;&lt;wsp:rsid wsp:val=&quot;004B6199&quot;/&gt;&lt;wsp:rsid wsp:val=&quot;004C4C3C&quot;/&gt;&lt;wsp:rsid wsp:val=&quot;004D0E3A&quot;/&gt;&lt;wsp:rsid wsp:val=&quot;004D3C29&quot;/&gt;&lt;wsp:rsid wsp:val=&quot;004E4B2C&quot;/&gt;&lt;wsp:rsid wsp:val=&quot;004F1572&quot;/&gt;&lt;wsp:rsid wsp:val=&quot;00501A5F&quot;/&gt;&lt;wsp:rsid wsp:val=&quot;005072D0&quot;/&gt;&lt;wsp:rsid wsp:val=&quot;00511420&quot;/&gt;&lt;wsp:rsid wsp:val=&quot;00526270&quot;/&gt;&lt;wsp:rsid wsp:val=&quot;00534210&quot;/&gt;&lt;wsp:rsid wsp:val=&quot;005369D9&quot;/&gt;&lt;wsp:rsid wsp:val=&quot;00546A6A&quot;/&gt;&lt;wsp:rsid wsp:val=&quot;005630B0&quot;/&gt;&lt;wsp:rsid wsp:val=&quot;005660CD&quot;/&gt;&lt;wsp:rsid wsp:val=&quot;005720F2&quot;/&gt;&lt;wsp:rsid wsp:val=&quot;00596603&quot;/&gt;&lt;wsp:rsid wsp:val=&quot;005A10D4&quot;/&gt;&lt;wsp:rsid wsp:val=&quot;005A1E61&quot;/&gt;&lt;wsp:rsid wsp:val=&quot;005B76A4&quot;/&gt;&lt;wsp:rsid wsp:val=&quot;005C3384&quot;/&gt;&lt;wsp:rsid wsp:val=&quot;005C416E&quot;/&gt;&lt;wsp:rsid wsp:val=&quot;005D1C3A&quot;/&gt;&lt;wsp:rsid wsp:val=&quot;005E43DD&quot;/&gt;&lt;wsp:rsid wsp:val=&quot;005F02D1&quot;/&gt;&lt;wsp:rsid wsp:val=&quot;00600179&quot;/&gt;&lt;wsp:rsid wsp:val=&quot;00603FC0&quot;/&gt;&lt;wsp:rsid wsp:val=&quot;00611ECD&quot;/&gt;&lt;wsp:rsid wsp:val=&quot;00623AC7&quot;/&gt;&lt;wsp:rsid wsp:val=&quot;00636BF0&quot;/&gt;&lt;wsp:rsid wsp:val=&quot;006401AB&quot;/&gt;&lt;wsp:rsid wsp:val=&quot;0064442E&quot;/&gt;&lt;wsp:rsid wsp:val=&quot;00646B6D&quot;/&gt;&lt;wsp:rsid wsp:val=&quot;00655908&quot;/&gt;&lt;wsp:rsid wsp:val=&quot;006654F8&quot;/&gt;&lt;wsp:rsid wsp:val=&quot;00665768&quot;/&gt;&lt;wsp:rsid wsp:val=&quot;00667291&quot;/&gt;&lt;wsp:rsid wsp:val=&quot;00686249&quot;/&gt;&lt;wsp:rsid wsp:val=&quot;00687504&quot;/&gt;&lt;wsp:rsid wsp:val=&quot;0068777C&quot;/&gt;&lt;wsp:rsid wsp:val=&quot;006A171F&quot;/&gt;&lt;wsp:rsid wsp:val=&quot;006A4E5F&quot;/&gt;&lt;wsp:rsid wsp:val=&quot;006D4600&quot;/&gt;&lt;wsp:rsid wsp:val=&quot;006E0A2C&quot;/&gt;&lt;wsp:rsid wsp:val=&quot;006E202B&quot;/&gt;&lt;wsp:rsid wsp:val=&quot;006E57B5&quot;/&gt;&lt;wsp:rsid wsp:val=&quot;006E6AE2&quot;/&gt;&lt;wsp:rsid wsp:val=&quot;006F0CF5&quot;/&gt;&lt;wsp:rsid wsp:val=&quot;00702030&quot;/&gt;&lt;wsp:rsid wsp:val=&quot;00702FA0&quot;/&gt;&lt;wsp:rsid wsp:val=&quot;00724218&quot;/&gt;&lt;wsp:rsid wsp:val=&quot;007350B6&quot;/&gt;&lt;wsp:rsid wsp:val=&quot;00737E65&quot;/&gt;&lt;wsp:rsid wsp:val=&quot;0074030A&quot;/&gt;&lt;wsp:rsid wsp:val=&quot;00753965&quot;/&gt;&lt;wsp:rsid wsp:val=&quot;00762043&quot;/&gt;&lt;wsp:rsid wsp:val=&quot;007633C2&quot;/&gt;&lt;wsp:rsid wsp:val=&quot;00765A47&quot;/&gt;&lt;wsp:rsid wsp:val=&quot;00766DF1&quot;/&gt;&lt;wsp:rsid wsp:val=&quot;00770E82&quot;/&gt;&lt;wsp:rsid wsp:val=&quot;00772E94&quot;/&gt;&lt;wsp:rsid wsp:val=&quot;00773278&quot;/&gt;&lt;wsp:rsid wsp:val=&quot;00773D22&quot;/&gt;&lt;wsp:rsid wsp:val=&quot;007A1993&quot;/&gt;&lt;wsp:rsid wsp:val=&quot;007A7194&quot;/&gt;&lt;wsp:rsid wsp:val=&quot;007B028B&quot;/&gt;&lt;wsp:rsid wsp:val=&quot;007B1D71&quot;/&gt;&lt;wsp:rsid wsp:val=&quot;007C00D0&quot;/&gt;&lt;wsp:rsid wsp:val=&quot;007C2186&quot;/&gt;&lt;wsp:rsid wsp:val=&quot;007F2233&quot;/&gt;&lt;wsp:rsid wsp:val=&quot;007F25E1&quot;/&gt;&lt;wsp:rsid wsp:val=&quot;007F73BB&quot;/&gt;&lt;wsp:rsid wsp:val=&quot;00806461&quot;/&gt;&lt;wsp:rsid wsp:val=&quot;0080694B&quot;/&gt;&lt;wsp:rsid wsp:val=&quot;008113E1&quot;/&gt;&lt;wsp:rsid wsp:val=&quot;0081779C&quot;/&gt;&lt;wsp:rsid wsp:val=&quot;00831D0D&quot;/&gt;&lt;wsp:rsid wsp:val=&quot;00832DEE&quot;/&gt;&lt;wsp:rsid wsp:val=&quot;00835C2B&quot;/&gt;&lt;wsp:rsid wsp:val=&quot;00837FBE&quot;/&gt;&lt;wsp:rsid wsp:val=&quot;00846B89&quot;/&gt;&lt;wsp:rsid wsp:val=&quot;0085534A&quot;/&gt;&lt;wsp:rsid wsp:val=&quot;00855A8A&quot;/&gt;&lt;wsp:rsid wsp:val=&quot;00886AAC&quot;/&gt;&lt;wsp:rsid wsp:val=&quot;008A2EC5&quot;/&gt;&lt;wsp:rsid wsp:val=&quot;008B77F5&quot;/&gt;&lt;wsp:rsid wsp:val=&quot;008C0279&quot;/&gt;&lt;wsp:rsid wsp:val=&quot;008C7F68&quot;/&gt;&lt;wsp:rsid wsp:val=&quot;008E380C&quot;/&gt;&lt;wsp:rsid wsp:val=&quot;008F25D2&quot;/&gt;&lt;wsp:rsid wsp:val=&quot;008F50EC&quot;/&gt;&lt;wsp:rsid wsp:val=&quot;00906C96&quot;/&gt;&lt;wsp:rsid wsp:val=&quot;00914CC6&quot;/&gt;&lt;wsp:rsid wsp:val=&quot;0092751F&quot;/&gt;&lt;wsp:rsid wsp:val=&quot;00932067&quot;/&gt;&lt;wsp:rsid wsp:val=&quot;0093594A&quot;/&gt;&lt;wsp:rsid wsp:val=&quot;00955D73&quot;/&gt;&lt;wsp:rsid wsp:val=&quot;00960C16&quot;/&gt;&lt;wsp:rsid wsp:val=&quot;0096512C&quot;/&gt;&lt;wsp:rsid wsp:val=&quot;0096540A&quot;/&gt;&lt;wsp:rsid wsp:val=&quot;009A0D25&quot;/&gt;&lt;wsp:rsid wsp:val=&quot;009C5D2A&quot;/&gt;&lt;wsp:rsid wsp:val=&quot;009E792C&quot;/&gt;&lt;wsp:rsid wsp:val=&quot;00A331E7&quot;/&gt;&lt;wsp:rsid wsp:val=&quot;00A41C3C&quot;/&gt;&lt;wsp:rsid wsp:val=&quot;00A42C52&quot;/&gt;&lt;wsp:rsid wsp:val=&quot;00A674FC&quot;/&gt;&lt;wsp:rsid wsp:val=&quot;00A72006&quot;/&gt;&lt;wsp:rsid wsp:val=&quot;00A72873&quot;/&gt;&lt;wsp:rsid wsp:val=&quot;00A808C7&quot;/&gt;&lt;wsp:rsid wsp:val=&quot;00AB2710&quot;/&gt;&lt;wsp:rsid wsp:val=&quot;00AB6612&quot;/&gt;&lt;wsp:rsid wsp:val=&quot;00AD05B0&quot;/&gt;&lt;wsp:rsid wsp:val=&quot;00AD184B&quot;/&gt;&lt;wsp:rsid wsp:val=&quot;00AE6B8F&quot;/&gt;&lt;wsp:rsid wsp:val=&quot;00B0566D&quot;/&gt;&lt;wsp:rsid wsp:val=&quot;00B10937&quot;/&gt;&lt;wsp:rsid wsp:val=&quot;00B35BD9&quot;/&gt;&lt;wsp:rsid wsp:val=&quot;00B37DE8&quot;/&gt;&lt;wsp:rsid wsp:val=&quot;00B448C0&quot;/&gt;&lt;wsp:rsid wsp:val=&quot;00B44BA5&quot;/&gt;&lt;wsp:rsid wsp:val=&quot;00B479C6&quot;/&gt;&lt;wsp:rsid wsp:val=&quot;00B615A9&quot;/&gt;&lt;wsp:rsid wsp:val=&quot;00B63FA9&quot;/&gt;&lt;wsp:rsid wsp:val=&quot;00B6460B&quot;/&gt;&lt;wsp:rsid wsp:val=&quot;00BA1651&quot;/&gt;&lt;wsp:rsid wsp:val=&quot;00BA5F7E&quot;/&gt;&lt;wsp:rsid wsp:val=&quot;00BC7E76&quot;/&gt;&lt;wsp:rsid wsp:val=&quot;00BE5DBA&quot;/&gt;&lt;wsp:rsid wsp:val=&quot;00BF12F6&quot;/&gt;&lt;wsp:rsid wsp:val=&quot;00C00765&quot;/&gt;&lt;wsp:rsid wsp:val=&quot;00C10464&quot;/&gt;&lt;wsp:rsid wsp:val=&quot;00C119C2&quot;/&gt;&lt;wsp:rsid wsp:val=&quot;00C13667&quot;/&gt;&lt;wsp:rsid wsp:val=&quot;00C21B54&quot;/&gt;&lt;wsp:rsid wsp:val=&quot;00C363AA&quot;/&gt;&lt;wsp:rsid wsp:val=&quot;00C40967&quot;/&gt;&lt;wsp:rsid wsp:val=&quot;00C463D8&quot;/&gt;&lt;wsp:rsid wsp:val=&quot;00C55A30&quot;/&gt;&lt;wsp:rsid wsp:val=&quot;00C600E2&quot;/&gt;&lt;wsp:rsid wsp:val=&quot;00C63D43&quot;/&gt;&lt;wsp:rsid wsp:val=&quot;00C74134&quot;/&gt;&lt;wsp:rsid wsp:val=&quot;00C823B1&quot;/&gt;&lt;wsp:rsid wsp:val=&quot;00C9625F&quot;/&gt;&lt;wsp:rsid wsp:val=&quot;00CA271E&quot;/&gt;&lt;wsp:rsid wsp:val=&quot;00CB1488&quot;/&gt;&lt;wsp:rsid wsp:val=&quot;00CB7414&quot;/&gt;&lt;wsp:rsid wsp:val=&quot;00CC4FF7&quot;/&gt;&lt;wsp:rsid wsp:val=&quot;00CE412B&quot;/&gt;&lt;wsp:rsid wsp:val=&quot;00D01CFE&quot;/&gt;&lt;wsp:rsid wsp:val=&quot;00D07C4B&quot;/&gt;&lt;wsp:rsid wsp:val=&quot;00D225D8&quot;/&gt;&lt;wsp:rsid wsp:val=&quot;00D33A2E&quot;/&gt;&lt;wsp:rsid wsp:val=&quot;00D4311F&quot;/&gt;&lt;wsp:rsid wsp:val=&quot;00D511A1&quot;/&gt;&lt;wsp:rsid wsp:val=&quot;00D872BF&quot;/&gt;&lt;wsp:rsid wsp:val=&quot;00DB124F&quot;/&gt;&lt;wsp:rsid wsp:val=&quot;00DC75B7&quot;/&gt;&lt;wsp:rsid wsp:val=&quot;00DE01F6&quot;/&gt;&lt;wsp:rsid wsp:val=&quot;00DE18EB&quot;/&gt;&lt;wsp:rsid wsp:val=&quot;00DE2998&quot;/&gt;&lt;wsp:rsid wsp:val=&quot;00DE4223&quot;/&gt;&lt;wsp:rsid wsp:val=&quot;00DE64BC&quot;/&gt;&lt;wsp:rsid wsp:val=&quot;00DE6B60&quot;/&gt;&lt;wsp:rsid wsp:val=&quot;00DF3C07&quot;/&gt;&lt;wsp:rsid wsp:val=&quot;00E01CCF&quot;/&gt;&lt;wsp:rsid wsp:val=&quot;00E06D10&quot;/&gt;&lt;wsp:rsid wsp:val=&quot;00E20458&quot;/&gt;&lt;wsp:rsid wsp:val=&quot;00E56487&quot;/&gt;&lt;wsp:rsid wsp:val=&quot;00E853F3&quot;/&gt;&lt;wsp:rsid wsp:val=&quot;00EC2491&quot;/&gt;&lt;wsp:rsid wsp:val=&quot;00EC3056&quot;/&gt;&lt;wsp:rsid wsp:val=&quot;00ED2C42&quot;/&gt;&lt;wsp:rsid wsp:val=&quot;00EF3B2B&quot;/&gt;&lt;wsp:rsid wsp:val=&quot;00F00EE9&quot;/&gt;&lt;wsp:rsid wsp:val=&quot;00F379DD&quot;/&gt;&lt;wsp:rsid wsp:val=&quot;00F47244&quot;/&gt;&lt;wsp:rsid wsp:val=&quot;00FA5F45&quot;/&gt;&lt;wsp:rsid wsp:val=&quot;00FA7522&quot;/&gt;&lt;wsp:rsid wsp:val=&quot;00FB5DA7&quot;/&gt;&lt;wsp:rsid wsp:val=&quot;00FB7629&quot;/&gt;&lt;wsp:rsid wsp:val=&quot;00FC2C59&quot;/&gt;&lt;wsp:rsid wsp:val=&quot;00FC5421&quot;/&gt;&lt;wsp:rsid wsp:val=&quot;00FD178C&quot;/&gt;&lt;wsp:rsid wsp:val=&quot;00FF67A7&quot;/&gt;&lt;/wsp:rsids&gt;&lt;/w:docPr&gt;&lt;w:body&gt;&lt;wx:sect&gt;&lt;w:p wsp:rsidR=&quot;00000000&quot; wsp:rsidRDefault=&quot;00A674FC&quot; wsp:rsidP=&quot;00A674FC&quot;&gt;&lt;m:oMathPara&gt;&lt;m:oMath&gt;&lt;m:sSubSup&gt;&lt;m:sSubSupPr&gt;&lt;m:ctrlPr&gt;&lt;w:rPr&gt;&lt;w:rFonts w:ascii=&quot;Cambria Math&quot; w:fareast=&quot;Calibri&quot; w:h-ansi=&quot;Cambria Math&quot;/&gt;&lt;wx:font wx:val=&quot;Cambria Math&quot;/&gt;&lt;w:i/&gt;&lt;w:sz-cs w:val=&quot;22&quot;/&gt;&lt;/w:rPr&gt;&lt;/m:ctrlPr&gt;&lt;/m:sSubSupPr&gt;&lt;m:e&gt;&lt;m:r&gt;&lt;w:rPr&gt;&lt;w:rFonts w:ascii=&quot;Cambria Math&quot; w:fareast=&quot;Calibri&quot; w:h-ansi=&quot;Cambria Math&quot;/&gt;&lt;wx:font wx:val=&quot;Cambria Math&quot;/&gt;&lt;w:i/&gt;&lt;w:sz-cs w:val=&quot;22&quot;/&gt;&lt;/w:rPr&gt;&lt;m:t&gt;C&lt;/m:t&gt;&lt;/m:r&gt;&lt;/m:e&gt;&lt;m:sub&gt;&lt;m:r&gt;&lt;w:rPr&gt;&lt;w:rFonts w:ascii=&quot;Cambria Math&quot; w:fareast=&quot;Calibri&quot; w:h-ansi=&quot;Cambria Math&quot;/&gt;&lt;wx:font wx:val=&quot;Cambria Math&quot;/&gt;&lt;w:i/&gt;&lt;w:sz-cs w:val=&quot;22&quot;/&gt;&lt;/w:rPr&gt;&lt;m:t&gt;i,j&lt;/m:t&gt;&lt;/m:r&gt;&lt;/m:sub&gt;&lt;m:sup&gt;&lt;m:r&gt;&lt;w:rPr&gt;&lt;w:rFonts w:ascii=&quot;Cambria Math&quot; w:fareast=&quot;Calibri&quot; w:h-ansi=&quot;Cambria Math&quot;/&gt;&lt;wx:font wx:val=&quot;Cambria Math&quot;/&gt;&lt;w:i/&gt;&lt;w:sz-cs w:val=&quot;22&quot;/&gt;&lt;/w:rPr&gt;&lt;m:t&gt;0-30cm&lt;/m:t&gt;&lt;/m:r&gt;&lt;/m:sup&gt;&lt;/m:sSubSup&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198" o:title="" chromakey="white"/>
          </v:shape>
        </w:pict>
      </w:r>
      <w:r w:rsidRPr="00256982">
        <w:instrText xml:space="preserve"> </w:instrText>
      </w:r>
      <w:r w:rsidRPr="00256982">
        <w:fldChar w:fldCharType="separate"/>
      </w:r>
      <w:r w:rsidR="00590491">
        <w:rPr>
          <w:rFonts w:eastAsia="Calibri"/>
          <w:position w:val="-9"/>
        </w:rPr>
        <w:pict w14:anchorId="55ACAAA0">
          <v:shape id="_x0000_i1133" type="#_x0000_t75" style="width:39pt;height:21.7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5&lt;/o:Version&gt;&lt;/o:DocumentProperties&gt;&lt;w:docPr&gt;&lt;w:view w:val=&quot;print&quot;/&gt;&lt;w:zoom w:percent=&quot;100&quot;/&gt;&lt;w:doNotEmbedSystemFonts/&gt;&lt;w:activeWritingStyle w:lang=&quot;EN-NZ&quot; w:vendorID=&quot;64&quot; w:dllVersion=&quot;131078&quot; w:nlCheck=&quot;on&quot; w:optionSet=&quot;1&quot;/&gt;&lt;w:stylePaneFormatFilter w:val=&quot;5804&quot;/&gt;&lt;w:defaultTabStop w:val=&quot;720&quot;/&gt;&lt;w:evenAndOddHeaders/&gt;&lt;w:drawingGridHorizontalSpacing w:val=&quot;187&quot;/&gt;&lt;w:displayVerticalDrawingGridEvery w:val=&quot;2&quot;/&gt;&lt;w:characterSpacingControl w:val=&quot;DontCompress&quot;/&gt;&lt;w:optimizeForBrowser/&gt;&lt;w:validateAgainstSchema/&gt;&lt;w:saveInvalidXML w:val=&quot;off&quot;/&gt;&lt;w:ignoreMixedContent w:val=&quot;off&quot;/&gt;&lt;w:alwaysShowPlaceholderText w:val=&quot;off&quot;/&gt;&lt;w:compat&gt;&lt;w:suppressBottomSpacing/&gt;&lt;w:suppressSpBfAfterPgBrk/&gt;&lt;w:doNotUseHTMLParagraphAutoSpacing/&gt;&lt;w:breakWrappedTables/&gt;&lt;w:snapToGridInCell/&gt;&lt;w:wrapTextWithPunct/&gt;&lt;w:useAsianBreakRules/&gt;&lt;w:useWord2002TableStyleRules/&gt;&lt;/w:compat&gt;&lt;wsp:rsids&gt;&lt;wsp:rsidRoot wsp:val=&quot;00702030&quot;/&gt;&lt;wsp:rsid wsp:val=&quot;00001716&quot;/&gt;&lt;wsp:rsid wsp:val=&quot;00007ABB&quot;/&gt;&lt;wsp:rsid wsp:val=&quot;00013566&quot;/&gt;&lt;wsp:rsid wsp:val=&quot;00015CFC&quot;/&gt;&lt;wsp:rsid wsp:val=&quot;000219C8&quot;/&gt;&lt;wsp:rsid wsp:val=&quot;00021ACF&quot;/&gt;&lt;wsp:rsid wsp:val=&quot;000233E5&quot;/&gt;&lt;wsp:rsid wsp:val=&quot;00027E55&quot;/&gt;&lt;wsp:rsid wsp:val=&quot;00032A28&quot;/&gt;&lt;wsp:rsid wsp:val=&quot;00035185&quot;/&gt;&lt;wsp:rsid wsp:val=&quot;00044580&quot;/&gt;&lt;wsp:rsid wsp:val=&quot;00050008&quot;/&gt;&lt;wsp:rsid wsp:val=&quot;0005134C&quot;/&gt;&lt;wsp:rsid wsp:val=&quot;0006123B&quot;/&gt;&lt;wsp:rsid wsp:val=&quot;00084588&quot;/&gt;&lt;wsp:rsid wsp:val=&quot;000A3774&quot;/&gt;&lt;wsp:rsid wsp:val=&quot;000C20A6&quot;/&gt;&lt;wsp:rsid wsp:val=&quot;000E1498&quot;/&gt;&lt;wsp:rsid wsp:val=&quot;000F4DEF&quot;/&gt;&lt;wsp:rsid wsp:val=&quot;000F6318&quot;/&gt;&lt;wsp:rsid wsp:val=&quot;00116E1B&quot;/&gt;&lt;wsp:rsid wsp:val=&quot;001221C3&quot;/&gt;&lt;wsp:rsid wsp:val=&quot;00133C9D&quot;/&gt;&lt;wsp:rsid wsp:val=&quot;00134FC2&quot;/&gt;&lt;wsp:rsid wsp:val=&quot;00135B33&quot;/&gt;&lt;wsp:rsid wsp:val=&quot;00153F5A&quot;/&gt;&lt;wsp:rsid wsp:val=&quot;001970E1&quot;/&gt;&lt;wsp:rsid wsp:val=&quot;001A1997&quot;/&gt;&lt;wsp:rsid wsp:val=&quot;001B6FD2&quot;/&gt;&lt;wsp:rsid wsp:val=&quot;001D3490&quot;/&gt;&lt;wsp:rsid wsp:val=&quot;001E0B7B&quot;/&gt;&lt;wsp:rsid wsp:val=&quot;00207ABF&quot;/&gt;&lt;wsp:rsid wsp:val=&quot;0023070D&quot;/&gt;&lt;wsp:rsid wsp:val=&quot;00240B42&quot;/&gt;&lt;wsp:rsid wsp:val=&quot;0024542F&quot;/&gt;&lt;wsp:rsid wsp:val=&quot;00260B48&quot;/&gt;&lt;wsp:rsid wsp:val=&quot;00273218&quot;/&gt;&lt;wsp:rsid wsp:val=&quot;0028581A&quot;/&gt;&lt;wsp:rsid wsp:val=&quot;002868D3&quot;/&gt;&lt;wsp:rsid wsp:val=&quot;00295B2A&quot;/&gt;&lt;wsp:rsid wsp:val=&quot;002A1361&quot;/&gt;&lt;wsp:rsid wsp:val=&quot;002A49D7&quot;/&gt;&lt;wsp:rsid wsp:val=&quot;002B1C5A&quot;/&gt;&lt;wsp:rsid wsp:val=&quot;002B3284&quot;/&gt;&lt;wsp:rsid wsp:val=&quot;002B6594&quot;/&gt;&lt;wsp:rsid wsp:val=&quot;002C7BFB&quot;/&gt;&lt;wsp:rsid wsp:val=&quot;002D60DB&quot;/&gt;&lt;wsp:rsid wsp:val=&quot;002D6A54&quot;/&gt;&lt;wsp:rsid wsp:val=&quot;002F134A&quot;/&gt;&lt;wsp:rsid wsp:val=&quot;00302D84&quot;/&gt;&lt;wsp:rsid wsp:val=&quot;00315760&quot;/&gt;&lt;wsp:rsid wsp:val=&quot;00333ACA&quot;/&gt;&lt;wsp:rsid wsp:val=&quot;00336A51&quot;/&gt;&lt;wsp:rsid wsp:val=&quot;0036046B&quot;/&gt;&lt;wsp:rsid wsp:val=&quot;0037590E&quot;/&gt;&lt;wsp:rsid wsp:val=&quot;00377186&quot;/&gt;&lt;wsp:rsid wsp:val=&quot;00380BE7&quot;/&gt;&lt;wsp:rsid wsp:val=&quot;00383207&quot;/&gt;&lt;wsp:rsid wsp:val=&quot;00391D8B&quot;/&gt;&lt;wsp:rsid wsp:val=&quot;003972EF&quot;/&gt;&lt;wsp:rsid wsp:val=&quot;00397D2B&quot;/&gt;&lt;wsp:rsid wsp:val=&quot;003A3F0A&quot;/&gt;&lt;wsp:rsid wsp:val=&quot;003A5006&quot;/&gt;&lt;wsp:rsid wsp:val=&quot;003C2615&quot;/&gt;&lt;wsp:rsid wsp:val=&quot;003C42C1&quot;/&gt;&lt;wsp:rsid wsp:val=&quot;003D0318&quot;/&gt;&lt;wsp:rsid wsp:val=&quot;003D5417&quot;/&gt;&lt;wsp:rsid wsp:val=&quot;003E2377&quot;/&gt;&lt;wsp:rsid wsp:val=&quot;00400F92&quot;/&gt;&lt;wsp:rsid wsp:val=&quot;0042424B&quot;/&gt;&lt;wsp:rsid wsp:val=&quot;00430D5D&quot;/&gt;&lt;wsp:rsid wsp:val=&quot;00440459&quot;/&gt;&lt;wsp:rsid wsp:val=&quot;00453950&quot;/&gt;&lt;wsp:rsid wsp:val=&quot;0045652C&quot;/&gt;&lt;wsp:rsid wsp:val=&quot;00462497&quot;/&gt;&lt;wsp:rsid wsp:val=&quot;004805A3&quot;/&gt;&lt;wsp:rsid wsp:val=&quot;00490EB0&quot;/&gt;&lt;wsp:rsid wsp:val=&quot;00494545&quot;/&gt;&lt;wsp:rsid wsp:val=&quot;004A555E&quot;/&gt;&lt;wsp:rsid wsp:val=&quot;004A618E&quot;/&gt;&lt;wsp:rsid wsp:val=&quot;004B6199&quot;/&gt;&lt;wsp:rsid wsp:val=&quot;004C4C3C&quot;/&gt;&lt;wsp:rsid wsp:val=&quot;004D0E3A&quot;/&gt;&lt;wsp:rsid wsp:val=&quot;004D3C29&quot;/&gt;&lt;wsp:rsid wsp:val=&quot;004E4B2C&quot;/&gt;&lt;wsp:rsid wsp:val=&quot;004F1572&quot;/&gt;&lt;wsp:rsid wsp:val=&quot;00501A5F&quot;/&gt;&lt;wsp:rsid wsp:val=&quot;005072D0&quot;/&gt;&lt;wsp:rsid wsp:val=&quot;00511420&quot;/&gt;&lt;wsp:rsid wsp:val=&quot;00526270&quot;/&gt;&lt;wsp:rsid wsp:val=&quot;00534210&quot;/&gt;&lt;wsp:rsid wsp:val=&quot;005369D9&quot;/&gt;&lt;wsp:rsid wsp:val=&quot;00546A6A&quot;/&gt;&lt;wsp:rsid wsp:val=&quot;005630B0&quot;/&gt;&lt;wsp:rsid wsp:val=&quot;005660CD&quot;/&gt;&lt;wsp:rsid wsp:val=&quot;005720F2&quot;/&gt;&lt;wsp:rsid wsp:val=&quot;00596603&quot;/&gt;&lt;wsp:rsid wsp:val=&quot;005A10D4&quot;/&gt;&lt;wsp:rsid wsp:val=&quot;005A1E61&quot;/&gt;&lt;wsp:rsid wsp:val=&quot;005B76A4&quot;/&gt;&lt;wsp:rsid wsp:val=&quot;005C3384&quot;/&gt;&lt;wsp:rsid wsp:val=&quot;005C416E&quot;/&gt;&lt;wsp:rsid wsp:val=&quot;005D1C3A&quot;/&gt;&lt;wsp:rsid wsp:val=&quot;005E43DD&quot;/&gt;&lt;wsp:rsid wsp:val=&quot;005F02D1&quot;/&gt;&lt;wsp:rsid wsp:val=&quot;00600179&quot;/&gt;&lt;wsp:rsid wsp:val=&quot;00603FC0&quot;/&gt;&lt;wsp:rsid wsp:val=&quot;00611ECD&quot;/&gt;&lt;wsp:rsid wsp:val=&quot;00623AC7&quot;/&gt;&lt;wsp:rsid wsp:val=&quot;00636BF0&quot;/&gt;&lt;wsp:rsid wsp:val=&quot;006401AB&quot;/&gt;&lt;wsp:rsid wsp:val=&quot;0064442E&quot;/&gt;&lt;wsp:rsid wsp:val=&quot;00646B6D&quot;/&gt;&lt;wsp:rsid wsp:val=&quot;00655908&quot;/&gt;&lt;wsp:rsid wsp:val=&quot;006654F8&quot;/&gt;&lt;wsp:rsid wsp:val=&quot;00665768&quot;/&gt;&lt;wsp:rsid wsp:val=&quot;00667291&quot;/&gt;&lt;wsp:rsid wsp:val=&quot;00686249&quot;/&gt;&lt;wsp:rsid wsp:val=&quot;00687504&quot;/&gt;&lt;wsp:rsid wsp:val=&quot;0068777C&quot;/&gt;&lt;wsp:rsid wsp:val=&quot;006A171F&quot;/&gt;&lt;wsp:rsid wsp:val=&quot;006A4E5F&quot;/&gt;&lt;wsp:rsid wsp:val=&quot;006D4600&quot;/&gt;&lt;wsp:rsid wsp:val=&quot;006E0A2C&quot;/&gt;&lt;wsp:rsid wsp:val=&quot;006E202B&quot;/&gt;&lt;wsp:rsid wsp:val=&quot;006E57B5&quot;/&gt;&lt;wsp:rsid wsp:val=&quot;006E6AE2&quot;/&gt;&lt;wsp:rsid wsp:val=&quot;006F0CF5&quot;/&gt;&lt;wsp:rsid wsp:val=&quot;00702030&quot;/&gt;&lt;wsp:rsid wsp:val=&quot;00702FA0&quot;/&gt;&lt;wsp:rsid wsp:val=&quot;00724218&quot;/&gt;&lt;wsp:rsid wsp:val=&quot;007350B6&quot;/&gt;&lt;wsp:rsid wsp:val=&quot;00737E65&quot;/&gt;&lt;wsp:rsid wsp:val=&quot;0074030A&quot;/&gt;&lt;wsp:rsid wsp:val=&quot;00753965&quot;/&gt;&lt;wsp:rsid wsp:val=&quot;00762043&quot;/&gt;&lt;wsp:rsid wsp:val=&quot;007633C2&quot;/&gt;&lt;wsp:rsid wsp:val=&quot;00765A47&quot;/&gt;&lt;wsp:rsid wsp:val=&quot;00766DF1&quot;/&gt;&lt;wsp:rsid wsp:val=&quot;00770E82&quot;/&gt;&lt;wsp:rsid wsp:val=&quot;00772E94&quot;/&gt;&lt;wsp:rsid wsp:val=&quot;00773278&quot;/&gt;&lt;wsp:rsid wsp:val=&quot;00773D22&quot;/&gt;&lt;wsp:rsid wsp:val=&quot;007A1993&quot;/&gt;&lt;wsp:rsid wsp:val=&quot;007A7194&quot;/&gt;&lt;wsp:rsid wsp:val=&quot;007B028B&quot;/&gt;&lt;wsp:rsid wsp:val=&quot;007B1D71&quot;/&gt;&lt;wsp:rsid wsp:val=&quot;007C00D0&quot;/&gt;&lt;wsp:rsid wsp:val=&quot;007C2186&quot;/&gt;&lt;wsp:rsid wsp:val=&quot;007F2233&quot;/&gt;&lt;wsp:rsid wsp:val=&quot;007F25E1&quot;/&gt;&lt;wsp:rsid wsp:val=&quot;007F73BB&quot;/&gt;&lt;wsp:rsid wsp:val=&quot;00806461&quot;/&gt;&lt;wsp:rsid wsp:val=&quot;0080694B&quot;/&gt;&lt;wsp:rsid wsp:val=&quot;008113E1&quot;/&gt;&lt;wsp:rsid wsp:val=&quot;0081779C&quot;/&gt;&lt;wsp:rsid wsp:val=&quot;00831D0D&quot;/&gt;&lt;wsp:rsid wsp:val=&quot;00832DEE&quot;/&gt;&lt;wsp:rsid wsp:val=&quot;00835C2B&quot;/&gt;&lt;wsp:rsid wsp:val=&quot;00837FBE&quot;/&gt;&lt;wsp:rsid wsp:val=&quot;00846B89&quot;/&gt;&lt;wsp:rsid wsp:val=&quot;0085534A&quot;/&gt;&lt;wsp:rsid wsp:val=&quot;00855A8A&quot;/&gt;&lt;wsp:rsid wsp:val=&quot;00886AAC&quot;/&gt;&lt;wsp:rsid wsp:val=&quot;008A2EC5&quot;/&gt;&lt;wsp:rsid wsp:val=&quot;008B77F5&quot;/&gt;&lt;wsp:rsid wsp:val=&quot;008C0279&quot;/&gt;&lt;wsp:rsid wsp:val=&quot;008C7F68&quot;/&gt;&lt;wsp:rsid wsp:val=&quot;008E380C&quot;/&gt;&lt;wsp:rsid wsp:val=&quot;008F25D2&quot;/&gt;&lt;wsp:rsid wsp:val=&quot;008F50EC&quot;/&gt;&lt;wsp:rsid wsp:val=&quot;00906C96&quot;/&gt;&lt;wsp:rsid wsp:val=&quot;00914CC6&quot;/&gt;&lt;wsp:rsid wsp:val=&quot;0092751F&quot;/&gt;&lt;wsp:rsid wsp:val=&quot;00932067&quot;/&gt;&lt;wsp:rsid wsp:val=&quot;0093594A&quot;/&gt;&lt;wsp:rsid wsp:val=&quot;00955D73&quot;/&gt;&lt;wsp:rsid wsp:val=&quot;00960C16&quot;/&gt;&lt;wsp:rsid wsp:val=&quot;0096512C&quot;/&gt;&lt;wsp:rsid wsp:val=&quot;0096540A&quot;/&gt;&lt;wsp:rsid wsp:val=&quot;009A0D25&quot;/&gt;&lt;wsp:rsid wsp:val=&quot;009C5D2A&quot;/&gt;&lt;wsp:rsid wsp:val=&quot;009E792C&quot;/&gt;&lt;wsp:rsid wsp:val=&quot;00A331E7&quot;/&gt;&lt;wsp:rsid wsp:val=&quot;00A41C3C&quot;/&gt;&lt;wsp:rsid wsp:val=&quot;00A42C52&quot;/&gt;&lt;wsp:rsid wsp:val=&quot;00A674FC&quot;/&gt;&lt;wsp:rsid wsp:val=&quot;00A72006&quot;/&gt;&lt;wsp:rsid wsp:val=&quot;00A72873&quot;/&gt;&lt;wsp:rsid wsp:val=&quot;00A808C7&quot;/&gt;&lt;wsp:rsid wsp:val=&quot;00AB2710&quot;/&gt;&lt;wsp:rsid wsp:val=&quot;00AB6612&quot;/&gt;&lt;wsp:rsid wsp:val=&quot;00AD05B0&quot;/&gt;&lt;wsp:rsid wsp:val=&quot;00AD184B&quot;/&gt;&lt;wsp:rsid wsp:val=&quot;00AE6B8F&quot;/&gt;&lt;wsp:rsid wsp:val=&quot;00B0566D&quot;/&gt;&lt;wsp:rsid wsp:val=&quot;00B10937&quot;/&gt;&lt;wsp:rsid wsp:val=&quot;00B35BD9&quot;/&gt;&lt;wsp:rsid wsp:val=&quot;00B37DE8&quot;/&gt;&lt;wsp:rsid wsp:val=&quot;00B448C0&quot;/&gt;&lt;wsp:rsid wsp:val=&quot;00B44BA5&quot;/&gt;&lt;wsp:rsid wsp:val=&quot;00B479C6&quot;/&gt;&lt;wsp:rsid wsp:val=&quot;00B615A9&quot;/&gt;&lt;wsp:rsid wsp:val=&quot;00B63FA9&quot;/&gt;&lt;wsp:rsid wsp:val=&quot;00B6460B&quot;/&gt;&lt;wsp:rsid wsp:val=&quot;00BA1651&quot;/&gt;&lt;wsp:rsid wsp:val=&quot;00BA5F7E&quot;/&gt;&lt;wsp:rsid wsp:val=&quot;00BC7E76&quot;/&gt;&lt;wsp:rsid wsp:val=&quot;00BE5DBA&quot;/&gt;&lt;wsp:rsid wsp:val=&quot;00BF12F6&quot;/&gt;&lt;wsp:rsid wsp:val=&quot;00C00765&quot;/&gt;&lt;wsp:rsid wsp:val=&quot;00C10464&quot;/&gt;&lt;wsp:rsid wsp:val=&quot;00C119C2&quot;/&gt;&lt;wsp:rsid wsp:val=&quot;00C13667&quot;/&gt;&lt;wsp:rsid wsp:val=&quot;00C21B54&quot;/&gt;&lt;wsp:rsid wsp:val=&quot;00C363AA&quot;/&gt;&lt;wsp:rsid wsp:val=&quot;00C40967&quot;/&gt;&lt;wsp:rsid wsp:val=&quot;00C463D8&quot;/&gt;&lt;wsp:rsid wsp:val=&quot;00C55A30&quot;/&gt;&lt;wsp:rsid wsp:val=&quot;00C600E2&quot;/&gt;&lt;wsp:rsid wsp:val=&quot;00C63D43&quot;/&gt;&lt;wsp:rsid wsp:val=&quot;00C74134&quot;/&gt;&lt;wsp:rsid wsp:val=&quot;00C823B1&quot;/&gt;&lt;wsp:rsid wsp:val=&quot;00C9625F&quot;/&gt;&lt;wsp:rsid wsp:val=&quot;00CA271E&quot;/&gt;&lt;wsp:rsid wsp:val=&quot;00CB1488&quot;/&gt;&lt;wsp:rsid wsp:val=&quot;00CB7414&quot;/&gt;&lt;wsp:rsid wsp:val=&quot;00CC4FF7&quot;/&gt;&lt;wsp:rsid wsp:val=&quot;00CE412B&quot;/&gt;&lt;wsp:rsid wsp:val=&quot;00D01CFE&quot;/&gt;&lt;wsp:rsid wsp:val=&quot;00D07C4B&quot;/&gt;&lt;wsp:rsid wsp:val=&quot;00D225D8&quot;/&gt;&lt;wsp:rsid wsp:val=&quot;00D33A2E&quot;/&gt;&lt;wsp:rsid wsp:val=&quot;00D4311F&quot;/&gt;&lt;wsp:rsid wsp:val=&quot;00D511A1&quot;/&gt;&lt;wsp:rsid wsp:val=&quot;00D872BF&quot;/&gt;&lt;wsp:rsid wsp:val=&quot;00DB124F&quot;/&gt;&lt;wsp:rsid wsp:val=&quot;00DC75B7&quot;/&gt;&lt;wsp:rsid wsp:val=&quot;00DE01F6&quot;/&gt;&lt;wsp:rsid wsp:val=&quot;00DE18EB&quot;/&gt;&lt;wsp:rsid wsp:val=&quot;00DE2998&quot;/&gt;&lt;wsp:rsid wsp:val=&quot;00DE4223&quot;/&gt;&lt;wsp:rsid wsp:val=&quot;00DE64BC&quot;/&gt;&lt;wsp:rsid wsp:val=&quot;00DE6B60&quot;/&gt;&lt;wsp:rsid wsp:val=&quot;00DF3C07&quot;/&gt;&lt;wsp:rsid wsp:val=&quot;00E01CCF&quot;/&gt;&lt;wsp:rsid wsp:val=&quot;00E06D10&quot;/&gt;&lt;wsp:rsid wsp:val=&quot;00E20458&quot;/&gt;&lt;wsp:rsid wsp:val=&quot;00E56487&quot;/&gt;&lt;wsp:rsid wsp:val=&quot;00E853F3&quot;/&gt;&lt;wsp:rsid wsp:val=&quot;00EC2491&quot;/&gt;&lt;wsp:rsid wsp:val=&quot;00EC3056&quot;/&gt;&lt;wsp:rsid wsp:val=&quot;00ED2C42&quot;/&gt;&lt;wsp:rsid wsp:val=&quot;00EF3B2B&quot;/&gt;&lt;wsp:rsid wsp:val=&quot;00F00EE9&quot;/&gt;&lt;wsp:rsid wsp:val=&quot;00F379DD&quot;/&gt;&lt;wsp:rsid wsp:val=&quot;00F47244&quot;/&gt;&lt;wsp:rsid wsp:val=&quot;00FA5F45&quot;/&gt;&lt;wsp:rsid wsp:val=&quot;00FA7522&quot;/&gt;&lt;wsp:rsid wsp:val=&quot;00FB5DA7&quot;/&gt;&lt;wsp:rsid wsp:val=&quot;00FB7629&quot;/&gt;&lt;wsp:rsid wsp:val=&quot;00FC2C59&quot;/&gt;&lt;wsp:rsid wsp:val=&quot;00FC5421&quot;/&gt;&lt;wsp:rsid wsp:val=&quot;00FD178C&quot;/&gt;&lt;wsp:rsid wsp:val=&quot;00FF67A7&quot;/&gt;&lt;/wsp:rsids&gt;&lt;/w:docPr&gt;&lt;w:body&gt;&lt;wx:sect&gt;&lt;w:p wsp:rsidR=&quot;00000000&quot; wsp:rsidRDefault=&quot;00A674FC&quot; wsp:rsidP=&quot;00A674FC&quot;&gt;&lt;m:oMathPara&gt;&lt;m:oMath&gt;&lt;m:sSubSup&gt;&lt;m:sSubSupPr&gt;&lt;m:ctrlPr&gt;&lt;w:rPr&gt;&lt;w:rFonts w:ascii=&quot;Cambria Math&quot; w:fareast=&quot;Calibri&quot; w:h-ansi=&quot;Cambria Math&quot;/&gt;&lt;wx:font wx:val=&quot;Cambria Math&quot;/&gt;&lt;w:i/&gt;&lt;w:sz-cs w:val=&quot;22&quot;/&gt;&lt;/w:rPr&gt;&lt;/m:ctrlPr&gt;&lt;/m:sSubSupPr&gt;&lt;m:e&gt;&lt;m:r&gt;&lt;w:rPr&gt;&lt;w:rFonts w:ascii=&quot;Cambria Math&quot; w:fareast=&quot;Calibri&quot; w:h-ansi=&quot;Cambria Math&quot;/&gt;&lt;wx:font wx:val=&quot;Cambria Math&quot;/&gt;&lt;w:i/&gt;&lt;w:sz-cs w:val=&quot;22&quot;/&gt;&lt;/w:rPr&gt;&lt;m:t&gt;C&lt;/m:t&gt;&lt;/m:r&gt;&lt;/m:e&gt;&lt;m:sub&gt;&lt;m:r&gt;&lt;w:rPr&gt;&lt;w:rFonts w:ascii=&quot;Cambria Math&quot; w:fareast=&quot;Calibri&quot; w:h-ansi=&quot;Cambria Math&quot;/&gt;&lt;wx:font wx:val=&quot;Cambria Math&quot;/&gt;&lt;w:i/&gt;&lt;w:sz-cs w:val=&quot;22&quot;/&gt;&lt;/w:rPr&gt;&lt;m:t&gt;i,j&lt;/m:t&gt;&lt;/m:r&gt;&lt;/m:sub&gt;&lt;m:sup&gt;&lt;m:r&gt;&lt;w:rPr&gt;&lt;w:rFonts w:ascii=&quot;Cambria Math&quot; w:fareast=&quot;Calibri&quot; w:h-ansi=&quot;Cambria Math&quot;/&gt;&lt;wx:font wx:val=&quot;Cambria Math&quot;/&gt;&lt;w:i/&gt;&lt;w:sz-cs w:val=&quot;22&quot;/&gt;&lt;/w:rPr&gt;&lt;m:t&gt;0-30cm&lt;/m:t&gt;&lt;/m:r&gt;&lt;/m:sup&gt;&lt;/m:sSubSup&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198" o:title="" chromakey="white"/>
          </v:shape>
        </w:pict>
      </w:r>
      <w:r w:rsidRPr="00256982">
        <w:fldChar w:fldCharType="end"/>
      </w:r>
      <w:r w:rsidRPr="00256982">
        <w:t xml:space="preserve"> </w:t>
      </w:r>
      <w:r w:rsidRPr="00256982">
        <w:rPr>
          <w:rFonts w:eastAsia="Calibri"/>
        </w:rPr>
        <w:t xml:space="preserve">in land use category </w:t>
      </w:r>
      <w:r w:rsidRPr="00256982">
        <w:rPr>
          <w:rFonts w:eastAsia="Calibri"/>
          <w:i/>
        </w:rPr>
        <w:t>i</w:t>
      </w:r>
      <w:r w:rsidRPr="00256982">
        <w:rPr>
          <w:rFonts w:eastAsia="Calibri"/>
        </w:rPr>
        <w:t xml:space="preserve"> and soil–climate class </w:t>
      </w:r>
      <w:r w:rsidRPr="00256982">
        <w:rPr>
          <w:rFonts w:eastAsia="Calibri"/>
          <w:i/>
        </w:rPr>
        <w:t>j</w:t>
      </w:r>
      <w:r w:rsidRPr="00256982">
        <w:rPr>
          <w:rFonts w:eastAsia="Calibri"/>
        </w:rPr>
        <w:t xml:space="preserve"> as:</w:t>
      </w:r>
    </w:p>
    <w:tbl>
      <w:tblPr>
        <w:tblW w:w="7655" w:type="dxa"/>
        <w:tblInd w:w="199" w:type="dxa"/>
        <w:tblLook w:val="04A0" w:firstRow="1" w:lastRow="0" w:firstColumn="1" w:lastColumn="0" w:noHBand="0" w:noVBand="1"/>
      </w:tblPr>
      <w:tblGrid>
        <w:gridCol w:w="648"/>
        <w:gridCol w:w="6015"/>
        <w:gridCol w:w="992"/>
      </w:tblGrid>
      <w:tr w:rsidR="00380BE7" w:rsidRPr="00256982" w14:paraId="349CD2CB" w14:textId="77777777" w:rsidTr="009574E7">
        <w:tc>
          <w:tcPr>
            <w:tcW w:w="423" w:type="pct"/>
            <w:shd w:val="clear" w:color="auto" w:fill="auto"/>
            <w:tcMar>
              <w:top w:w="57" w:type="dxa"/>
              <w:left w:w="57" w:type="dxa"/>
              <w:bottom w:w="57" w:type="dxa"/>
              <w:right w:w="57" w:type="dxa"/>
            </w:tcMar>
          </w:tcPr>
          <w:p w14:paraId="4B028DDD" w14:textId="77777777" w:rsidR="00380BE7" w:rsidRPr="00256982" w:rsidRDefault="00380BE7" w:rsidP="009574E7">
            <w:pPr>
              <w:pStyle w:val="BodyText"/>
              <w:spacing w:before="0" w:after="0"/>
              <w:rPr>
                <w:rFonts w:ascii="Calibri" w:eastAsia="Calibri" w:hAnsi="Calibri"/>
                <w:i/>
              </w:rPr>
            </w:pPr>
          </w:p>
        </w:tc>
        <w:tc>
          <w:tcPr>
            <w:tcW w:w="3929" w:type="pct"/>
            <w:shd w:val="clear" w:color="auto" w:fill="auto"/>
            <w:tcMar>
              <w:top w:w="57" w:type="dxa"/>
              <w:left w:w="57" w:type="dxa"/>
              <w:bottom w:w="57" w:type="dxa"/>
              <w:right w:w="57" w:type="dxa"/>
            </w:tcMar>
          </w:tcPr>
          <w:p w14:paraId="3C092D27" w14:textId="49799D16" w:rsidR="00380BE7" w:rsidRPr="00256982" w:rsidRDefault="00590491" w:rsidP="009574E7">
            <w:pPr>
              <w:pStyle w:val="BodyText"/>
              <w:spacing w:before="0" w:after="0"/>
              <w:jc w:val="center"/>
              <w:rPr>
                <w:rFonts w:eastAsia="Calibri"/>
                <w:i/>
                <w:szCs w:val="22"/>
              </w:rPr>
            </w:pPr>
            <w:r>
              <w:rPr>
                <w:rFonts w:eastAsia="Calibri"/>
              </w:rPr>
              <w:pict w14:anchorId="719A59F2">
                <v:shape id="_x0000_i1134" type="#_x0000_t75" style="width:162pt;height:21.7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5&lt;/o:Version&gt;&lt;/o:DocumentProperties&gt;&lt;w:docPr&gt;&lt;w:view w:val=&quot;print&quot;/&gt;&lt;w:zoom w:percent=&quot;100&quot;/&gt;&lt;w:doNotEmbedSystemFonts/&gt;&lt;w:activeWritingStyle w:lang=&quot;EN-NZ&quot; w:vendorID=&quot;64&quot; w:dllVersion=&quot;131078&quot; w:nlCheck=&quot;on&quot; w:optionSet=&quot;1&quot;/&gt;&lt;w:stylePaneFormatFilter w:val=&quot;5804&quot;/&gt;&lt;w:defaultTabStop w:val=&quot;720&quot;/&gt;&lt;w:evenAndOddHeaders/&gt;&lt;w:drawingGridHorizontalSpacing w:val=&quot;187&quot;/&gt;&lt;w:displayVerticalDrawingGridEvery w:val=&quot;2&quot;/&gt;&lt;w:characterSpacingControl w:val=&quot;DontCompress&quot;/&gt;&lt;w:optimizeForBrowser/&gt;&lt;w:validateAgainstSchema/&gt;&lt;w:saveInvalidXML w:val=&quot;off&quot;/&gt;&lt;w:ignoreMixedContent w:val=&quot;off&quot;/&gt;&lt;w:alwaysShowPlaceholderText w:val=&quot;off&quot;/&gt;&lt;w:compat&gt;&lt;w:suppressBottomSpacing/&gt;&lt;w:suppressSpBfAfterPgBrk/&gt;&lt;w:doNotUseHTMLParagraphAutoSpacing/&gt;&lt;w:breakWrappedTables/&gt;&lt;w:snapToGridInCell/&gt;&lt;w:wrapTextWithPunct/&gt;&lt;w:useAsianBreakRules/&gt;&lt;w:useWord2002TableStyleRules/&gt;&lt;/w:compat&gt;&lt;wsp:rsids&gt;&lt;wsp:rsidRoot wsp:val=&quot;00702030&quot;/&gt;&lt;wsp:rsid wsp:val=&quot;00001716&quot;/&gt;&lt;wsp:rsid wsp:val=&quot;00007ABB&quot;/&gt;&lt;wsp:rsid wsp:val=&quot;00013566&quot;/&gt;&lt;wsp:rsid wsp:val=&quot;00015CFC&quot;/&gt;&lt;wsp:rsid wsp:val=&quot;000219C8&quot;/&gt;&lt;wsp:rsid wsp:val=&quot;00021ACF&quot;/&gt;&lt;wsp:rsid wsp:val=&quot;000233E5&quot;/&gt;&lt;wsp:rsid wsp:val=&quot;00027E55&quot;/&gt;&lt;wsp:rsid wsp:val=&quot;00032A28&quot;/&gt;&lt;wsp:rsid wsp:val=&quot;00035185&quot;/&gt;&lt;wsp:rsid wsp:val=&quot;00044580&quot;/&gt;&lt;wsp:rsid wsp:val=&quot;00050008&quot;/&gt;&lt;wsp:rsid wsp:val=&quot;0005134C&quot;/&gt;&lt;wsp:rsid wsp:val=&quot;0006123B&quot;/&gt;&lt;wsp:rsid wsp:val=&quot;00084588&quot;/&gt;&lt;wsp:rsid wsp:val=&quot;000A3774&quot;/&gt;&lt;wsp:rsid wsp:val=&quot;000C20A6&quot;/&gt;&lt;wsp:rsid wsp:val=&quot;000E1498&quot;/&gt;&lt;wsp:rsid wsp:val=&quot;000F4DEF&quot;/&gt;&lt;wsp:rsid wsp:val=&quot;000F6318&quot;/&gt;&lt;wsp:rsid wsp:val=&quot;00116E1B&quot;/&gt;&lt;wsp:rsid wsp:val=&quot;001221C3&quot;/&gt;&lt;wsp:rsid wsp:val=&quot;00133C9D&quot;/&gt;&lt;wsp:rsid wsp:val=&quot;00134FC2&quot;/&gt;&lt;wsp:rsid wsp:val=&quot;00135B33&quot;/&gt;&lt;wsp:rsid wsp:val=&quot;00153F5A&quot;/&gt;&lt;wsp:rsid wsp:val=&quot;001970E1&quot;/&gt;&lt;wsp:rsid wsp:val=&quot;001A1997&quot;/&gt;&lt;wsp:rsid wsp:val=&quot;001B6FD2&quot;/&gt;&lt;wsp:rsid wsp:val=&quot;001D3490&quot;/&gt;&lt;wsp:rsid wsp:val=&quot;001E0B7B&quot;/&gt;&lt;wsp:rsid wsp:val=&quot;00207ABF&quot;/&gt;&lt;wsp:rsid wsp:val=&quot;0023070D&quot;/&gt;&lt;wsp:rsid wsp:val=&quot;00240B42&quot;/&gt;&lt;wsp:rsid wsp:val=&quot;0024542F&quot;/&gt;&lt;wsp:rsid wsp:val=&quot;00260B48&quot;/&gt;&lt;wsp:rsid wsp:val=&quot;00273218&quot;/&gt;&lt;wsp:rsid wsp:val=&quot;0028581A&quot;/&gt;&lt;wsp:rsid wsp:val=&quot;002868D3&quot;/&gt;&lt;wsp:rsid wsp:val=&quot;00295B2A&quot;/&gt;&lt;wsp:rsid wsp:val=&quot;002A1361&quot;/&gt;&lt;wsp:rsid wsp:val=&quot;002A49D7&quot;/&gt;&lt;wsp:rsid wsp:val=&quot;002B1C5A&quot;/&gt;&lt;wsp:rsid wsp:val=&quot;002B3284&quot;/&gt;&lt;wsp:rsid wsp:val=&quot;002B6594&quot;/&gt;&lt;wsp:rsid wsp:val=&quot;002C7BFB&quot;/&gt;&lt;wsp:rsid wsp:val=&quot;002D60DB&quot;/&gt;&lt;wsp:rsid wsp:val=&quot;002D6A54&quot;/&gt;&lt;wsp:rsid wsp:val=&quot;002F134A&quot;/&gt;&lt;wsp:rsid wsp:val=&quot;00302D84&quot;/&gt;&lt;wsp:rsid wsp:val=&quot;00315760&quot;/&gt;&lt;wsp:rsid wsp:val=&quot;00333ACA&quot;/&gt;&lt;wsp:rsid wsp:val=&quot;00336A51&quot;/&gt;&lt;wsp:rsid wsp:val=&quot;0036046B&quot;/&gt;&lt;wsp:rsid wsp:val=&quot;0037590E&quot;/&gt;&lt;wsp:rsid wsp:val=&quot;00377186&quot;/&gt;&lt;wsp:rsid wsp:val=&quot;00380BE7&quot;/&gt;&lt;wsp:rsid wsp:val=&quot;00383207&quot;/&gt;&lt;wsp:rsid wsp:val=&quot;00391D8B&quot;/&gt;&lt;wsp:rsid wsp:val=&quot;003972EF&quot;/&gt;&lt;wsp:rsid wsp:val=&quot;00397D2B&quot;/&gt;&lt;wsp:rsid wsp:val=&quot;003A3F0A&quot;/&gt;&lt;wsp:rsid wsp:val=&quot;003A5006&quot;/&gt;&lt;wsp:rsid wsp:val=&quot;003C2615&quot;/&gt;&lt;wsp:rsid wsp:val=&quot;003C42C1&quot;/&gt;&lt;wsp:rsid wsp:val=&quot;003D0318&quot;/&gt;&lt;wsp:rsid wsp:val=&quot;003D5417&quot;/&gt;&lt;wsp:rsid wsp:val=&quot;003E2377&quot;/&gt;&lt;wsp:rsid wsp:val=&quot;00400F92&quot;/&gt;&lt;wsp:rsid wsp:val=&quot;0042424B&quot;/&gt;&lt;wsp:rsid wsp:val=&quot;00430D5D&quot;/&gt;&lt;wsp:rsid wsp:val=&quot;00440459&quot;/&gt;&lt;wsp:rsid wsp:val=&quot;00453950&quot;/&gt;&lt;wsp:rsid wsp:val=&quot;0045652C&quot;/&gt;&lt;wsp:rsid wsp:val=&quot;00462497&quot;/&gt;&lt;wsp:rsid wsp:val=&quot;004805A3&quot;/&gt;&lt;wsp:rsid wsp:val=&quot;00490EB0&quot;/&gt;&lt;wsp:rsid wsp:val=&quot;00494545&quot;/&gt;&lt;wsp:rsid wsp:val=&quot;004A555E&quot;/&gt;&lt;wsp:rsid wsp:val=&quot;004A618E&quot;/&gt;&lt;wsp:rsid wsp:val=&quot;004B6199&quot;/&gt;&lt;wsp:rsid wsp:val=&quot;004C4C3C&quot;/&gt;&lt;wsp:rsid wsp:val=&quot;004D0E3A&quot;/&gt;&lt;wsp:rsid wsp:val=&quot;004D3C29&quot;/&gt;&lt;wsp:rsid wsp:val=&quot;004E4B2C&quot;/&gt;&lt;wsp:rsid wsp:val=&quot;004F1572&quot;/&gt;&lt;wsp:rsid wsp:val=&quot;00501A5F&quot;/&gt;&lt;wsp:rsid wsp:val=&quot;005072D0&quot;/&gt;&lt;wsp:rsid wsp:val=&quot;00511420&quot;/&gt;&lt;wsp:rsid wsp:val=&quot;00526270&quot;/&gt;&lt;wsp:rsid wsp:val=&quot;00534210&quot;/&gt;&lt;wsp:rsid wsp:val=&quot;005369D9&quot;/&gt;&lt;wsp:rsid wsp:val=&quot;00546A6A&quot;/&gt;&lt;wsp:rsid wsp:val=&quot;005630B0&quot;/&gt;&lt;wsp:rsid wsp:val=&quot;005660CD&quot;/&gt;&lt;wsp:rsid wsp:val=&quot;005720F2&quot;/&gt;&lt;wsp:rsid wsp:val=&quot;00596603&quot;/&gt;&lt;wsp:rsid wsp:val=&quot;005A10D4&quot;/&gt;&lt;wsp:rsid wsp:val=&quot;005A1E61&quot;/&gt;&lt;wsp:rsid wsp:val=&quot;005B76A4&quot;/&gt;&lt;wsp:rsid wsp:val=&quot;005C3384&quot;/&gt;&lt;wsp:rsid wsp:val=&quot;005C416E&quot;/&gt;&lt;wsp:rsid wsp:val=&quot;005D1C3A&quot;/&gt;&lt;wsp:rsid wsp:val=&quot;005E43DD&quot;/&gt;&lt;wsp:rsid wsp:val=&quot;005F02D1&quot;/&gt;&lt;wsp:rsid wsp:val=&quot;00600179&quot;/&gt;&lt;wsp:rsid wsp:val=&quot;00603FC0&quot;/&gt;&lt;wsp:rsid wsp:val=&quot;00611ECD&quot;/&gt;&lt;wsp:rsid wsp:val=&quot;00623AC7&quot;/&gt;&lt;wsp:rsid wsp:val=&quot;00636BF0&quot;/&gt;&lt;wsp:rsid wsp:val=&quot;006401AB&quot;/&gt;&lt;wsp:rsid wsp:val=&quot;0064442E&quot;/&gt;&lt;wsp:rsid wsp:val=&quot;00646B6D&quot;/&gt;&lt;wsp:rsid wsp:val=&quot;00655908&quot;/&gt;&lt;wsp:rsid wsp:val=&quot;006654F8&quot;/&gt;&lt;wsp:rsid wsp:val=&quot;00665768&quot;/&gt;&lt;wsp:rsid wsp:val=&quot;00667291&quot;/&gt;&lt;wsp:rsid wsp:val=&quot;00686249&quot;/&gt;&lt;wsp:rsid wsp:val=&quot;00687504&quot;/&gt;&lt;wsp:rsid wsp:val=&quot;0068777C&quot;/&gt;&lt;wsp:rsid wsp:val=&quot;006A171F&quot;/&gt;&lt;wsp:rsid wsp:val=&quot;006A4E5F&quot;/&gt;&lt;wsp:rsid wsp:val=&quot;006D4600&quot;/&gt;&lt;wsp:rsid wsp:val=&quot;006E0A2C&quot;/&gt;&lt;wsp:rsid wsp:val=&quot;006E202B&quot;/&gt;&lt;wsp:rsid wsp:val=&quot;006E57B5&quot;/&gt;&lt;wsp:rsid wsp:val=&quot;006E6AE2&quot;/&gt;&lt;wsp:rsid wsp:val=&quot;006F0CF5&quot;/&gt;&lt;wsp:rsid wsp:val=&quot;00702030&quot;/&gt;&lt;wsp:rsid wsp:val=&quot;00702FA0&quot;/&gt;&lt;wsp:rsid wsp:val=&quot;00724218&quot;/&gt;&lt;wsp:rsid wsp:val=&quot;007350B6&quot;/&gt;&lt;wsp:rsid wsp:val=&quot;00737E65&quot;/&gt;&lt;wsp:rsid wsp:val=&quot;0074030A&quot;/&gt;&lt;wsp:rsid wsp:val=&quot;00753965&quot;/&gt;&lt;wsp:rsid wsp:val=&quot;00762043&quot;/&gt;&lt;wsp:rsid wsp:val=&quot;007633C2&quot;/&gt;&lt;wsp:rsid wsp:val=&quot;00765A47&quot;/&gt;&lt;wsp:rsid wsp:val=&quot;00766DF1&quot;/&gt;&lt;wsp:rsid wsp:val=&quot;00770E82&quot;/&gt;&lt;wsp:rsid wsp:val=&quot;00772E94&quot;/&gt;&lt;wsp:rsid wsp:val=&quot;00773278&quot;/&gt;&lt;wsp:rsid wsp:val=&quot;00773D22&quot;/&gt;&lt;wsp:rsid wsp:val=&quot;007A1993&quot;/&gt;&lt;wsp:rsid wsp:val=&quot;007A7194&quot;/&gt;&lt;wsp:rsid wsp:val=&quot;007B028B&quot;/&gt;&lt;wsp:rsid wsp:val=&quot;007B1D71&quot;/&gt;&lt;wsp:rsid wsp:val=&quot;007C00D0&quot;/&gt;&lt;wsp:rsid wsp:val=&quot;007C2186&quot;/&gt;&lt;wsp:rsid wsp:val=&quot;007F2233&quot;/&gt;&lt;wsp:rsid wsp:val=&quot;007F25E1&quot;/&gt;&lt;wsp:rsid wsp:val=&quot;007F73BB&quot;/&gt;&lt;wsp:rsid wsp:val=&quot;00806461&quot;/&gt;&lt;wsp:rsid wsp:val=&quot;0080694B&quot;/&gt;&lt;wsp:rsid wsp:val=&quot;008113E1&quot;/&gt;&lt;wsp:rsid wsp:val=&quot;0081779C&quot;/&gt;&lt;wsp:rsid wsp:val=&quot;00831D0D&quot;/&gt;&lt;wsp:rsid wsp:val=&quot;00832DEE&quot;/&gt;&lt;wsp:rsid wsp:val=&quot;00835C2B&quot;/&gt;&lt;wsp:rsid wsp:val=&quot;00837FBE&quot;/&gt;&lt;wsp:rsid wsp:val=&quot;00843CFF&quot;/&gt;&lt;wsp:rsid wsp:val=&quot;00846B89&quot;/&gt;&lt;wsp:rsid wsp:val=&quot;0085534A&quot;/&gt;&lt;wsp:rsid wsp:val=&quot;00855A8A&quot;/&gt;&lt;wsp:rsid wsp:val=&quot;00886AAC&quot;/&gt;&lt;wsp:rsid wsp:val=&quot;008A2EC5&quot;/&gt;&lt;wsp:rsid wsp:val=&quot;008B77F5&quot;/&gt;&lt;wsp:rsid wsp:val=&quot;008C0279&quot;/&gt;&lt;wsp:rsid wsp:val=&quot;008C7F68&quot;/&gt;&lt;wsp:rsid wsp:val=&quot;008E380C&quot;/&gt;&lt;wsp:rsid wsp:val=&quot;008F25D2&quot;/&gt;&lt;wsp:rsid wsp:val=&quot;008F50EC&quot;/&gt;&lt;wsp:rsid wsp:val=&quot;00906C96&quot;/&gt;&lt;wsp:rsid wsp:val=&quot;00914CC6&quot;/&gt;&lt;wsp:rsid wsp:val=&quot;0092751F&quot;/&gt;&lt;wsp:rsid wsp:val=&quot;00932067&quot;/&gt;&lt;wsp:rsid wsp:val=&quot;0093594A&quot;/&gt;&lt;wsp:rsid wsp:val=&quot;00955D73&quot;/&gt;&lt;wsp:rsid wsp:val=&quot;00960C16&quot;/&gt;&lt;wsp:rsid wsp:val=&quot;0096512C&quot;/&gt;&lt;wsp:rsid wsp:val=&quot;0096540A&quot;/&gt;&lt;wsp:rsid wsp:val=&quot;009A0D25&quot;/&gt;&lt;wsp:rsid wsp:val=&quot;009C5D2A&quot;/&gt;&lt;wsp:rsid wsp:val=&quot;009E792C&quot;/&gt;&lt;wsp:rsid wsp:val=&quot;00A331E7&quot;/&gt;&lt;wsp:rsid wsp:val=&quot;00A41C3C&quot;/&gt;&lt;wsp:rsid wsp:val=&quot;00A42C52&quot;/&gt;&lt;wsp:rsid wsp:val=&quot;00A72006&quot;/&gt;&lt;wsp:rsid wsp:val=&quot;00A72873&quot;/&gt;&lt;wsp:rsid wsp:val=&quot;00A808C7&quot;/&gt;&lt;wsp:rsid wsp:val=&quot;00AB2710&quot;/&gt;&lt;wsp:rsid wsp:val=&quot;00AB6612&quot;/&gt;&lt;wsp:rsid wsp:val=&quot;00AD05B0&quot;/&gt;&lt;wsp:rsid wsp:val=&quot;00AD184B&quot;/&gt;&lt;wsp:rsid wsp:val=&quot;00AE6B8F&quot;/&gt;&lt;wsp:rsid wsp:val=&quot;00B0566D&quot;/&gt;&lt;wsp:rsid wsp:val=&quot;00B10937&quot;/&gt;&lt;wsp:rsid wsp:val=&quot;00B35BD9&quot;/&gt;&lt;wsp:rsid wsp:val=&quot;00B37DE8&quot;/&gt;&lt;wsp:rsid wsp:val=&quot;00B448C0&quot;/&gt;&lt;wsp:rsid wsp:val=&quot;00B44BA5&quot;/&gt;&lt;wsp:rsid wsp:val=&quot;00B479C6&quot;/&gt;&lt;wsp:rsid wsp:val=&quot;00B615A9&quot;/&gt;&lt;wsp:rsid wsp:val=&quot;00B63FA9&quot;/&gt;&lt;wsp:rsid wsp:val=&quot;00B6460B&quot;/&gt;&lt;wsp:rsid wsp:val=&quot;00BA1651&quot;/&gt;&lt;wsp:rsid wsp:val=&quot;00BA5F7E&quot;/&gt;&lt;wsp:rsid wsp:val=&quot;00BC7E76&quot;/&gt;&lt;wsp:rsid wsp:val=&quot;00BE5DBA&quot;/&gt;&lt;wsp:rsid wsp:val=&quot;00BF12F6&quot;/&gt;&lt;wsp:rsid wsp:val=&quot;00C00765&quot;/&gt;&lt;wsp:rsid wsp:val=&quot;00C10464&quot;/&gt;&lt;wsp:rsid wsp:val=&quot;00C119C2&quot;/&gt;&lt;wsp:rsid wsp:val=&quot;00C13667&quot;/&gt;&lt;wsp:rsid wsp:val=&quot;00C21B54&quot;/&gt;&lt;wsp:rsid wsp:val=&quot;00C363AA&quot;/&gt;&lt;wsp:rsid wsp:val=&quot;00C40967&quot;/&gt;&lt;wsp:rsid wsp:val=&quot;00C463D8&quot;/&gt;&lt;wsp:rsid wsp:val=&quot;00C55A30&quot;/&gt;&lt;wsp:rsid wsp:val=&quot;00C600E2&quot;/&gt;&lt;wsp:rsid wsp:val=&quot;00C63D43&quot;/&gt;&lt;wsp:rsid wsp:val=&quot;00C74134&quot;/&gt;&lt;wsp:rsid wsp:val=&quot;00C823B1&quot;/&gt;&lt;wsp:rsid wsp:val=&quot;00C9625F&quot;/&gt;&lt;wsp:rsid wsp:val=&quot;00CA271E&quot;/&gt;&lt;wsp:rsid wsp:val=&quot;00CB1488&quot;/&gt;&lt;wsp:rsid wsp:val=&quot;00CB7414&quot;/&gt;&lt;wsp:rsid wsp:val=&quot;00CC4FF7&quot;/&gt;&lt;wsp:rsid wsp:val=&quot;00CE412B&quot;/&gt;&lt;wsp:rsid wsp:val=&quot;00D01CFE&quot;/&gt;&lt;wsp:rsid wsp:val=&quot;00D07C4B&quot;/&gt;&lt;wsp:rsid wsp:val=&quot;00D225D8&quot;/&gt;&lt;wsp:rsid wsp:val=&quot;00D33A2E&quot;/&gt;&lt;wsp:rsid wsp:val=&quot;00D4311F&quot;/&gt;&lt;wsp:rsid wsp:val=&quot;00D511A1&quot;/&gt;&lt;wsp:rsid wsp:val=&quot;00D872BF&quot;/&gt;&lt;wsp:rsid wsp:val=&quot;00DB124F&quot;/&gt;&lt;wsp:rsid wsp:val=&quot;00DC75B7&quot;/&gt;&lt;wsp:rsid wsp:val=&quot;00DE01F6&quot;/&gt;&lt;wsp:rsid wsp:val=&quot;00DE18EB&quot;/&gt;&lt;wsp:rsid wsp:val=&quot;00DE2998&quot;/&gt;&lt;wsp:rsid wsp:val=&quot;00DE4223&quot;/&gt;&lt;wsp:rsid wsp:val=&quot;00DE64BC&quot;/&gt;&lt;wsp:rsid wsp:val=&quot;00DE6B60&quot;/&gt;&lt;wsp:rsid wsp:val=&quot;00DF3C07&quot;/&gt;&lt;wsp:rsid wsp:val=&quot;00E01CCF&quot;/&gt;&lt;wsp:rsid wsp:val=&quot;00E06D10&quot;/&gt;&lt;wsp:rsid wsp:val=&quot;00E20458&quot;/&gt;&lt;wsp:rsid wsp:val=&quot;00E56487&quot;/&gt;&lt;wsp:rsid wsp:val=&quot;00E853F3&quot;/&gt;&lt;wsp:rsid wsp:val=&quot;00EC2491&quot;/&gt;&lt;wsp:rsid wsp:val=&quot;00EC3056&quot;/&gt;&lt;wsp:rsid wsp:val=&quot;00ED2C42&quot;/&gt;&lt;wsp:rsid wsp:val=&quot;00EF3B2B&quot;/&gt;&lt;wsp:rsid wsp:val=&quot;00F00EE9&quot;/&gt;&lt;wsp:rsid wsp:val=&quot;00F379DD&quot;/&gt;&lt;wsp:rsid wsp:val=&quot;00F47244&quot;/&gt;&lt;wsp:rsid wsp:val=&quot;00FA5F45&quot;/&gt;&lt;wsp:rsid wsp:val=&quot;00FA7522&quot;/&gt;&lt;wsp:rsid wsp:val=&quot;00FB5DA7&quot;/&gt;&lt;wsp:rsid wsp:val=&quot;00FB7629&quot;/&gt;&lt;wsp:rsid wsp:val=&quot;00FC2C59&quot;/&gt;&lt;wsp:rsid wsp:val=&quot;00FC5421&quot;/&gt;&lt;wsp:rsid wsp:val=&quot;00FD178C&quot;/&gt;&lt;wsp:rsid wsp:val=&quot;00FF67A7&quot;/&gt;&lt;/wsp:rsids&gt;&lt;/w:docPr&gt;&lt;w:body&gt;&lt;wx:sect&gt;&lt;w:p wsp:rsidR=&quot;00000000&quot; wsp:rsidRPr=&quot;00843CFF&quot; wsp:rsidRDefault=&quot;00843CFF&quot; wsp:rsidP=&quot;00843CFF&quot;&gt;&lt;m:oMathPara&gt;&lt;m:oMath&gt;&lt;m:sSubSup&gt;&lt;m:sSubSupPr&gt;&lt;m:ctrlPr&gt;&lt;w:rPr&gt;&lt;w:rFonts w:ascii=&quot;Cambria Math&quot; w:fareast=&quot;Calibri&quot; w:h-ansi=&quot;Cambria Math&quot;/&gt;&lt;wx:font wx:val=&quot;Cambria Math&quot;/&gt;&lt;w:i/&gt;&lt;w:sz-cs w:val=&quot;22&quot;/&gt;&lt;/w:rPr&gt;&lt;/m:ctrlPr&gt;&lt;/m:sSubSupPr&gt;&lt;m:e&gt;&lt;m:r&gt;&lt;w:rPr&gt;&lt;w:rFonts w:ascii=&quot;Cambria Math&quot; w:fareast=&quot;Calibri&quot; w:h-ansi=&quot;Cambria Math&quot;/&gt;&lt;wx:font wx:val=&quot;Cambria Math&quot;/&gt;&lt;w:i/&gt;&lt;w:sz-cs w:val=&quot;22&quot;/&gt;&lt;/w:rPr&gt;&lt;m:t&gt;C&lt;/m:t&gt;&lt;/m:r&gt;&lt;/m:e&gt;&lt;m:sub&gt;&lt;m:r&gt;&lt;w:rPr&gt;&lt;w:rFonts w:ascii=&quot;Cambria Math&quot; w:fareast=&quot;Calibri&quot; w:h-ansi=&quot;Cambria Math&quot;/&gt;&lt;wx:font wx:val=&quot;Cambria Math&quot;/&gt;&lt;w:i/&gt;&lt;w:sz-cs w:val=&quot;22&quot;/&gt;&lt;/w:rPr&gt;&lt;m:t&gt;i,j&lt;/m:t&gt;&lt;/m:r&gt;&lt;/m:sub&gt;&lt;m:sup&gt;&lt;m:r&gt;&lt;w:rPr&gt;&lt;w:rFonts w:ascii=&quot;Cambria Math&quot; w:fareast=&quot;Calibri&quot; w:h-ansi=&quot;Cambria Math&quot;/&gt;&lt;wx:font wx:val=&quot;Cambria Math&quot;/&gt;&lt;w:i/&gt;&lt;w:sz-cs w:val=&quot;22&quot;/&gt;&lt;/w:rPr&gt;&lt;m:t&gt;0-30&lt;/m:t&gt;&lt;/m:r&gt;&lt;m:r&gt;&lt;m:rPr&gt;&lt;m:sty m:val=&quot;p&quot;/&gt;&lt;/m:rPr&gt;&lt;w:rPr&gt;&lt;w:rFonts w:ascii=&quot;Cambria Math&quot; w:fareast=&quot;Calibri&quot; w:h-ansi=&quot;Cambria Math&quot;/&gt;&lt;wx:font wx:val=&quot;Cambria Math&quot;/&gt;&lt;w:sz-cs w:val=&quot;22&quot;/&gt;&lt;/w:rPr&gt;&lt;m:t&gt;cm&lt;/m:t&gt;&lt;/m:r&gt;&lt;/m:sup&gt;&lt;/m:sSubSup&gt;&lt;m:r&gt;&lt;w:rPr&gt;&lt;w:rFonts w:ascii=&quot;Cambria Math&quot; w:fareast=&quot;Calibri&quot; w:h-ansi=&quot;Cambria Math&quot;/&gt;&lt;wx:font wx:val=&quot;Cambria Math&quot;/&gt;&lt;w:i/&gt;&lt;w:sz-cs w:val=&quot;22&quot;/&gt;&lt;/w:rPr&gt;&lt;m:t&gt;=M+&lt;/m:t&gt;&lt;/m:r&gt;&lt;m:sSub&gt;&lt;m:sSubPr&gt;&lt;m:ctrlPr&gt;&lt;w:rPr&gt;&lt;w:rFonts w:ascii=&quot;Cambria Math&quot; w:fareast=&quot;Calibri&quot; w:h-ansi=&quot;Cambria Math&quot;/&gt;&lt;wx:font wx:val=&quot;Cambria Math&quot;/&gt;&lt;w:i/&gt;&lt;w:sz-cs w:val=&quot;22&quot;/&gt;&lt;/w:rPr&gt;&lt;/m:ctrlPr&gt;&lt;/m:sSubPr&gt;&lt;m:e&gt;&lt;m:r&gt;&lt;w:rPr&gt;&lt;w:rFonts w:ascii=&quot;Cambria Math&quot; w:fareast=&quot;Calibri&quot; w:h-ansi=&quot;Cambria Math&quot;/&gt;&lt;wx:font wx:val=&quot;Cambria Math&quot;/&gt;&lt;w:i/&gt;&lt;w:sz-cs w:val=&quot;22&quot;/&gt;&lt;/w:rPr&gt;&lt;m:t&gt;L&lt;/m:t&gt;&lt;/m:r&gt;&lt;/m:e&gt;&lt;m:sub&gt;&lt;m:r&gt;&lt;w:rPr&gt;&lt;w:rFonts w:ascii=&quot;Cambria Math&quot; w:fareast=&quot;Calibri&quot; w:h-ansi=&quot;Cambria Math&quot;/&gt;&lt;wx:font wx:val=&quot;Cambria Math&quot;/&gt;&lt;w:i/&gt;&lt;w:sz-cs w:val=&quot;22&quot;/&gt;&lt;/w:rPr&gt;&lt;m:t&gt;i&lt;/m:t&gt;&lt;/m:r&gt;&lt;/m:sub&gt;&lt;/m:sSub&gt;&lt;m:r&gt;&lt;w:rPr&gt;&lt;w:rFonts w:ascii=&quot;Cambria Math&quot; w:fareast=&quot;Calibri&quot; w:h-ansi=&quot;Cambria Math&quot;/&gt;&lt;wx:font wx:val=&quot;Cambria Math&quot;/&gt;&lt;w:i/&gt;&lt;w:sz-cs w:val=&quot;22&quot;/&gt;&lt;/w:rPr&gt;&lt;m:t&gt;+&lt;/m:t&gt;&lt;/m:r&gt;&lt;m:sSub&gt;&lt;m:sSubPr&gt;&lt;m:ctrlPr&gt;&lt;w:rPr&gt;&lt;w:rFonts w:ascii=&quot;Cambria Math&quot; w:fareast=&quot;Calibri&quot; w:h-ansi=&quot;Cambria Math&quot;/&gt;&lt;wx:font wx:val=&quot;Cambria Math&quot;/&gt;&lt;w:i/&gt;&lt;w:sz-cs w:val=&quot;22&quot;/&gt;&lt;/w:rPr&gt;&lt;/m:ctrlPr&gt;&lt;/m:sSubPr&gt;&lt;m:e&gt;&lt;m:r&gt;&lt;w:rPr&gt;&lt;w:rFonts w:ascii=&quot;Cambria Math&quot; w:fareast=&quot;Calibri&quot; w:h-ansi=&quot;Cambria Math&quot;/&gt;&lt;wx:font wx:val=&quot;Cambria Math&quot;/&gt;&lt;w:i/&gt;&lt;w:sz-cs w:val=&quot;22&quot;/&gt;&lt;/w:rPr&gt;&lt;m:t&gt;S&lt;/m:t&gt;&lt;/m:r&gt;&lt;/m:e&gt;&lt;m:sub&gt;&lt;m:r&gt;&lt;w:rPr&gt;&lt;w:rFonts w:ascii=&quot;Cambria Math&quot; w:fareast=&quot;Calibri&quot; w:h-ansi=&quot;Cambria Math&quot;/&gt;&lt;wx:font wx:val=&quot;Cambria Math&quot;/&gt;&lt;w:i/&gt;&lt;w:sz-cs w:val=&quot;22&quot;/&gt;&lt;/w:rPr&gt;&lt;m:t&gt;j&lt;/m:t&gt;&lt;/m:r&gt;&lt;/m:sub&gt;&lt;/m:sSub&gt;&lt;m:r&gt;&lt;w:rPr&gt;&lt;w:rFonts w:ascii=&quot;Cambria Math&quot; w:fareast=&quot;Calibri&quot; w:h-ansi=&quot;Cambria Math&quot;/&gt;&lt;wx:font wx:val=&quot;Cambria Math&quot;/&gt;&lt;w:i/&gt;&lt;w:sz-cs w:val=&quot;22&quot;/&gt;&lt;/w:rPr&gt;&lt;m:t&gt;+b.SR+Îµ&lt;/m:t&gt;&lt;/m:r&gt;&lt;/m:oMath&gt;&lt;/m:oMathPara&gt;&lt;/w:p&gt;&lt;w:sectPr wsp:rsidR=&quot;00000000&quot; wsp:rsidRPr=&quot;00843CFF&quot;&gt;&lt;w:pgSz w:w=&quot;12240&quot; w:h=&quot;15840&quot;/&gt;&lt;w:pgMar w:top=&quot;1440&quot; w:right=&quot;1440&quot; w:bottom=&quot;1440&quot; w:left=&quot;1440&quot; w:header=&quot;720&quot; w:footer=&quot;720&quot; w:gutter=&quot;0&quot;/&gt;&lt;w:cols w:space=&quot;720&quot;/&gt;&lt;/w:sectPr&gt;&lt;/wx:sect&gt;&lt;/w:body&gt;&lt;/w:wordDocument&gt;">
                  <v:imagedata r:id="rId199" o:title="" chromakey="white"/>
                </v:shape>
              </w:pict>
            </w:r>
          </w:p>
        </w:tc>
        <w:tc>
          <w:tcPr>
            <w:tcW w:w="648" w:type="pct"/>
            <w:shd w:val="clear" w:color="auto" w:fill="auto"/>
            <w:tcMar>
              <w:top w:w="57" w:type="dxa"/>
              <w:left w:w="57" w:type="dxa"/>
              <w:bottom w:w="57" w:type="dxa"/>
              <w:right w:w="57" w:type="dxa"/>
            </w:tcMar>
            <w:vAlign w:val="center"/>
          </w:tcPr>
          <w:p w14:paraId="47161127" w14:textId="77777777" w:rsidR="00380BE7" w:rsidRPr="00256982" w:rsidRDefault="00380BE7" w:rsidP="009574E7">
            <w:pPr>
              <w:pStyle w:val="BodyText"/>
              <w:spacing w:before="0" w:after="0"/>
              <w:rPr>
                <w:rFonts w:eastAsia="Calibri"/>
                <w:i/>
                <w:szCs w:val="22"/>
              </w:rPr>
            </w:pPr>
            <w:r w:rsidRPr="00256982">
              <w:rPr>
                <w:rFonts w:eastAsia="Calibri"/>
                <w:i/>
                <w:szCs w:val="22"/>
              </w:rPr>
              <w:t>(4)</w:t>
            </w:r>
          </w:p>
        </w:tc>
      </w:tr>
    </w:tbl>
    <w:p w14:paraId="7F4F967A" w14:textId="77777777" w:rsidR="00380BE7" w:rsidRPr="00256982" w:rsidRDefault="00380BE7" w:rsidP="00380BE7">
      <w:pPr>
        <w:pStyle w:val="BodyText"/>
        <w:spacing w:after="0" w:line="240" w:lineRule="atLeast"/>
        <w:ind w:left="851" w:hanging="851"/>
        <w:rPr>
          <w:rFonts w:eastAsia="Calibri"/>
        </w:rPr>
      </w:pPr>
      <w:r w:rsidRPr="00256982">
        <w:rPr>
          <w:rFonts w:eastAsia="Calibri"/>
        </w:rPr>
        <w:t>Where:</w:t>
      </w:r>
      <w:r w:rsidRPr="00256982">
        <w:rPr>
          <w:rFonts w:eastAsia="Calibri"/>
        </w:rPr>
        <w:tab/>
      </w:r>
      <w:r w:rsidRPr="00256982">
        <w:rPr>
          <w:rFonts w:eastAsia="Calibri"/>
          <w:i/>
        </w:rPr>
        <w:t>M</w:t>
      </w:r>
      <w:r w:rsidRPr="00256982">
        <w:rPr>
          <w:rFonts w:eastAsia="Calibri"/>
        </w:rPr>
        <w:t xml:space="preserve"> = </w:t>
      </w:r>
      <w:r w:rsidRPr="00256982">
        <w:t>the mean soil carbon in the 0–30-centimetre layer for the combination of the reference level of land use (low producing grassland), the reference level for soil climate (MstTempHAC, i.e., ‘moist temperate high activity clay’), and level ground</w:t>
      </w:r>
    </w:p>
    <w:p w14:paraId="2B4CB345" w14:textId="77777777" w:rsidR="00380BE7" w:rsidRPr="00256982" w:rsidRDefault="00380BE7" w:rsidP="00380BE7">
      <w:pPr>
        <w:pStyle w:val="BodyText"/>
        <w:spacing w:after="0" w:line="240" w:lineRule="atLeast"/>
        <w:ind w:left="851" w:hanging="851"/>
        <w:rPr>
          <w:rFonts w:eastAsia="Calibri"/>
          <w:spacing w:val="-2"/>
        </w:rPr>
      </w:pPr>
      <w:r w:rsidRPr="00256982">
        <w:rPr>
          <w:rFonts w:eastAsia="Calibri"/>
          <w:i/>
        </w:rPr>
        <w:tab/>
      </w:r>
      <w:r w:rsidRPr="00256982">
        <w:rPr>
          <w:rFonts w:eastAsia="Calibri"/>
          <w:i/>
          <w:spacing w:val="-2"/>
        </w:rPr>
        <w:t>L</w:t>
      </w:r>
      <w:r w:rsidRPr="00256982">
        <w:rPr>
          <w:rFonts w:eastAsia="Calibri"/>
          <w:i/>
          <w:spacing w:val="-2"/>
          <w:vertAlign w:val="subscript"/>
        </w:rPr>
        <w:t xml:space="preserve">i </w:t>
      </w:r>
      <w:r w:rsidRPr="00256982">
        <w:rPr>
          <w:rFonts w:eastAsia="Calibri"/>
          <w:spacing w:val="-2"/>
        </w:rPr>
        <w:t xml:space="preserve">= the effect of the </w:t>
      </w:r>
      <w:r w:rsidRPr="00256982">
        <w:rPr>
          <w:rFonts w:eastAsia="Calibri"/>
          <w:i/>
          <w:spacing w:val="-2"/>
        </w:rPr>
        <w:t>i</w:t>
      </w:r>
      <w:r w:rsidRPr="00256982">
        <w:rPr>
          <w:rFonts w:eastAsia="Calibri"/>
          <w:spacing w:val="-2"/>
        </w:rPr>
        <w:t>-th land use, specifying the difference in soil carbon relative to the reference land use (low producing grassland), in tonnes per hectare</w:t>
      </w:r>
    </w:p>
    <w:p w14:paraId="388615BD" w14:textId="77777777" w:rsidR="00380BE7" w:rsidRPr="00256982" w:rsidRDefault="00380BE7" w:rsidP="00380BE7">
      <w:pPr>
        <w:pStyle w:val="BodyText"/>
        <w:spacing w:after="0" w:line="240" w:lineRule="atLeast"/>
        <w:ind w:left="851" w:hanging="851"/>
        <w:rPr>
          <w:rFonts w:eastAsia="Calibri"/>
        </w:rPr>
      </w:pPr>
      <w:r w:rsidRPr="00256982">
        <w:rPr>
          <w:rFonts w:eastAsia="Calibri"/>
          <w:i/>
        </w:rPr>
        <w:tab/>
        <w:t>S</w:t>
      </w:r>
      <w:r w:rsidRPr="00256982">
        <w:rPr>
          <w:rFonts w:eastAsia="Calibri"/>
          <w:i/>
          <w:vertAlign w:val="subscript"/>
        </w:rPr>
        <w:t>j</w:t>
      </w:r>
      <w:r w:rsidRPr="00256982">
        <w:rPr>
          <w:rFonts w:eastAsia="Calibri"/>
        </w:rPr>
        <w:t xml:space="preserve"> = the effect of the </w:t>
      </w:r>
      <w:r w:rsidRPr="00256982">
        <w:rPr>
          <w:rFonts w:eastAsia="Calibri"/>
          <w:i/>
        </w:rPr>
        <w:t>j</w:t>
      </w:r>
      <w:r w:rsidRPr="00256982">
        <w:rPr>
          <w:rFonts w:eastAsia="Calibri"/>
        </w:rPr>
        <w:t xml:space="preserve">-th soil–climate class relative to the reference level </w:t>
      </w:r>
    </w:p>
    <w:p w14:paraId="0AFCCBEE" w14:textId="77777777" w:rsidR="00380BE7" w:rsidRPr="00256982" w:rsidRDefault="00380BE7" w:rsidP="00A966E7">
      <w:pPr>
        <w:pStyle w:val="BodyText"/>
        <w:spacing w:after="0" w:line="240" w:lineRule="atLeast"/>
        <w:ind w:left="851" w:hanging="851"/>
        <w:jc w:val="left"/>
        <w:rPr>
          <w:rFonts w:eastAsia="Calibri"/>
        </w:rPr>
      </w:pPr>
      <w:r w:rsidRPr="00256982">
        <w:rPr>
          <w:rFonts w:eastAsia="Calibri"/>
          <w:i/>
        </w:rPr>
        <w:tab/>
        <w:t>b.SR</w:t>
      </w:r>
      <w:r w:rsidRPr="00256982">
        <w:rPr>
          <w:rFonts w:eastAsia="Calibri"/>
        </w:rPr>
        <w:t xml:space="preserve"> = the additional soil carbon for each unit of erosivity (slope </w:t>
      </w:r>
      <w:r w:rsidRPr="00256982">
        <w:rPr>
          <w:rFonts w:eastAsia="Calibri"/>
          <w:i/>
        </w:rPr>
        <w:t>×</w:t>
      </w:r>
      <w:r w:rsidRPr="00256982">
        <w:rPr>
          <w:rFonts w:eastAsia="Calibri"/>
        </w:rPr>
        <w:t xml:space="preserve"> rainfall)</w:t>
      </w:r>
      <w:r w:rsidRPr="00256982">
        <w:rPr>
          <w:rFonts w:eastAsia="Calibri"/>
          <w:i/>
        </w:rPr>
        <w:t xml:space="preserve"> </w:t>
      </w:r>
      <w:r w:rsidRPr="00256982">
        <w:rPr>
          <w:rFonts w:eastAsia="Calibri"/>
        </w:rPr>
        <w:t xml:space="preserve">(millidegree </w:t>
      </w:r>
      <w:r w:rsidRPr="00256982">
        <w:rPr>
          <w:rFonts w:eastAsia="Calibri"/>
          <w:i/>
        </w:rPr>
        <w:t>×</w:t>
      </w:r>
      <w:r w:rsidRPr="00256982">
        <w:rPr>
          <w:rFonts w:eastAsia="Calibri"/>
        </w:rPr>
        <w:t xml:space="preserve"> 10</w:t>
      </w:r>
      <w:r w:rsidRPr="00256982">
        <w:rPr>
          <w:rFonts w:eastAsia="Calibri"/>
          <w:vertAlign w:val="superscript"/>
        </w:rPr>
        <w:t>–1</w:t>
      </w:r>
      <w:r w:rsidRPr="00256982">
        <w:rPr>
          <w:rFonts w:eastAsia="Calibri"/>
        </w:rPr>
        <w:t>)</w:t>
      </w:r>
    </w:p>
    <w:p w14:paraId="1F281BE4" w14:textId="77777777" w:rsidR="00380BE7" w:rsidRPr="00256982" w:rsidRDefault="00380BE7" w:rsidP="00380BE7">
      <w:pPr>
        <w:pStyle w:val="BodyText"/>
        <w:spacing w:line="240" w:lineRule="atLeast"/>
        <w:ind w:left="851" w:hanging="851"/>
        <w:rPr>
          <w:rFonts w:eastAsia="Calibri"/>
        </w:rPr>
      </w:pPr>
      <w:r w:rsidRPr="00256982">
        <w:rPr>
          <w:rFonts w:eastAsia="Calibri"/>
          <w:i/>
          <w:sz w:val="20"/>
        </w:rPr>
        <w:tab/>
        <w:t>Ɛ</w:t>
      </w:r>
      <w:r w:rsidRPr="00256982">
        <w:rPr>
          <w:rFonts w:eastAsia="Calibri"/>
        </w:rPr>
        <w:t xml:space="preserve"> = the model uncertainty.</w:t>
      </w:r>
    </w:p>
    <w:p w14:paraId="60C2B6AB" w14:textId="77777777" w:rsidR="00380BE7" w:rsidRPr="00256982" w:rsidRDefault="00380BE7" w:rsidP="00001036">
      <w:pPr>
        <w:pStyle w:val="BodyText"/>
        <w:rPr>
          <w:rFonts w:eastAsia="Calibri"/>
          <w:szCs w:val="22"/>
        </w:rPr>
      </w:pPr>
      <w:r w:rsidRPr="00256982">
        <w:rPr>
          <w:rFonts w:eastAsia="Calibri"/>
        </w:rPr>
        <w:t xml:space="preserve">The quantities </w:t>
      </w:r>
      <w:r w:rsidRPr="00256982">
        <w:rPr>
          <w:rFonts w:eastAsia="Calibri"/>
          <w:i/>
        </w:rPr>
        <w:t>M</w:t>
      </w:r>
      <w:r w:rsidRPr="00256982">
        <w:rPr>
          <w:rFonts w:eastAsia="Calibri"/>
        </w:rPr>
        <w:t xml:space="preserve">, </w:t>
      </w:r>
      <w:r w:rsidRPr="00256982">
        <w:rPr>
          <w:rFonts w:eastAsia="Calibri"/>
          <w:i/>
        </w:rPr>
        <w:t>L</w:t>
      </w:r>
      <w:r w:rsidRPr="00256982">
        <w:rPr>
          <w:rFonts w:eastAsia="Calibri"/>
          <w:i/>
          <w:vertAlign w:val="subscript"/>
        </w:rPr>
        <w:t>i</w:t>
      </w:r>
      <w:r w:rsidRPr="00256982">
        <w:rPr>
          <w:rFonts w:eastAsia="Calibri"/>
        </w:rPr>
        <w:t xml:space="preserve">, </w:t>
      </w:r>
      <w:r w:rsidRPr="00256982">
        <w:rPr>
          <w:rFonts w:eastAsia="Calibri"/>
          <w:i/>
        </w:rPr>
        <w:t>S</w:t>
      </w:r>
      <w:r w:rsidRPr="00256982">
        <w:rPr>
          <w:rFonts w:eastAsia="Calibri"/>
          <w:i/>
          <w:vertAlign w:val="subscript"/>
        </w:rPr>
        <w:t>j</w:t>
      </w:r>
      <w:r w:rsidRPr="00256982">
        <w:rPr>
          <w:rFonts w:eastAsia="Calibri"/>
        </w:rPr>
        <w:t xml:space="preserve">, as well as the slope </w:t>
      </w:r>
      <w:r w:rsidRPr="00256982">
        <w:rPr>
          <w:rFonts w:eastAsia="Calibri"/>
          <w:i/>
        </w:rPr>
        <w:t>×</w:t>
      </w:r>
      <w:r w:rsidRPr="00256982">
        <w:rPr>
          <w:rFonts w:eastAsia="Calibri"/>
        </w:rPr>
        <w:t xml:space="preserve"> rainfall coefficient </w:t>
      </w:r>
      <w:r w:rsidRPr="00256982">
        <w:rPr>
          <w:rFonts w:eastAsia="Calibri"/>
          <w:i/>
        </w:rPr>
        <w:t>b.SR</w:t>
      </w:r>
      <w:r w:rsidRPr="00256982">
        <w:rPr>
          <w:rFonts w:eastAsia="Calibri"/>
        </w:rPr>
        <w:t xml:space="preserve">, are obtained by fitting a statistical model to the Soil CMS calibration data set; all other quantities are obtained from other data sets or from separate analyses (McNeill and Barringer, </w:t>
      </w:r>
      <w:r w:rsidRPr="00256982">
        <w:t>unpublished</w:t>
      </w:r>
      <w:r w:rsidRPr="00256982">
        <w:rPr>
          <w:rFonts w:eastAsia="Calibri"/>
        </w:rPr>
        <w:t xml:space="preserve">). </w:t>
      </w:r>
      <w:r w:rsidRPr="00256982">
        <w:rPr>
          <w:rFonts w:eastAsia="Calibri"/>
          <w:szCs w:val="22"/>
        </w:rPr>
        <w:t xml:space="preserve">For example, the mean value of the slope </w:t>
      </w:r>
      <w:r w:rsidRPr="00256982">
        <w:rPr>
          <w:rFonts w:eastAsia="Calibri"/>
          <w:i/>
          <w:szCs w:val="22"/>
        </w:rPr>
        <w:t>×</w:t>
      </w:r>
      <w:r w:rsidRPr="00256982">
        <w:rPr>
          <w:rFonts w:eastAsia="Calibri"/>
          <w:szCs w:val="22"/>
        </w:rPr>
        <w:t xml:space="preserve"> rainfall must be obtained from national statistics of rainfall and a terrain slope map, which has been calculated from geographic information system (GIS) layers (Giltrap et al., </w:t>
      </w:r>
      <w:r w:rsidRPr="00256982">
        <w:t>unpublished</w:t>
      </w:r>
      <w:r w:rsidRPr="00256982">
        <w:rPr>
          <w:rFonts w:eastAsia="Calibri"/>
          <w:szCs w:val="22"/>
        </w:rPr>
        <w:t>).</w:t>
      </w:r>
    </w:p>
    <w:p w14:paraId="28E6AAD8" w14:textId="77777777" w:rsidR="00380BE7" w:rsidRPr="00256982" w:rsidRDefault="00380BE7" w:rsidP="00001036">
      <w:pPr>
        <w:pStyle w:val="BodyText"/>
      </w:pPr>
      <w:r w:rsidRPr="00256982">
        <w:t xml:space="preserve">More elaborate alternatives to the model have been considered but were not found to be significantly better than the simple model given in equation 4 above (McNeill and Barringer, unpublished). </w:t>
      </w:r>
    </w:p>
    <w:p w14:paraId="3434E973" w14:textId="77777777" w:rsidR="00380BE7" w:rsidRPr="00256982" w:rsidRDefault="00380BE7" w:rsidP="00380BE7">
      <w:pPr>
        <w:pStyle w:val="Heading5"/>
      </w:pPr>
      <w:r w:rsidRPr="00256982">
        <w:t>Soil data sets</w:t>
      </w:r>
    </w:p>
    <w:p w14:paraId="6CECB778" w14:textId="77777777" w:rsidR="00380BE7" w:rsidRPr="00256982" w:rsidRDefault="00380BE7" w:rsidP="00001036">
      <w:pPr>
        <w:pStyle w:val="BodyText"/>
      </w:pPr>
      <w:r w:rsidRPr="00256982">
        <w:t xml:space="preserve">Soil data for the Soil CMS inventory model come from five sources. </w:t>
      </w:r>
    </w:p>
    <w:p w14:paraId="50475680" w14:textId="77777777" w:rsidR="00380BE7" w:rsidRPr="00256982" w:rsidRDefault="00380BE7" w:rsidP="00001036">
      <w:pPr>
        <w:pStyle w:val="BodyText"/>
      </w:pPr>
      <w:r w:rsidRPr="00256982">
        <w:rPr>
          <w:b/>
        </w:rPr>
        <w:t>Historic soils</w:t>
      </w:r>
      <w:r w:rsidRPr="00256982">
        <w:t xml:space="preserve">: This data set is derived primarily from the National Soils Database (NSD, </w:t>
      </w:r>
      <w:hyperlink r:id="rId200" w:history="1">
        <w:r w:rsidRPr="00256982">
          <w:rPr>
            <w:spacing w:val="-2"/>
          </w:rPr>
          <w:t>www.soils.landcareresearch.co.nz/soil-data/national-soils-data-repository-and-the-national-soils-database</w:t>
        </w:r>
      </w:hyperlink>
      <w:r w:rsidRPr="00256982">
        <w:t xml:space="preserve">), with a small number of samples from various supplementary data sets; data from all sources were collected between 1935 and 2005. The NSD represents soil profile data for over 1,500 soil pits scattered throughout New Zealand. These data contain the soil description following either the Soil Survey Method (Taylor and Pohlen, 1962) or </w:t>
      </w:r>
      <w:r w:rsidRPr="00256982">
        <w:rPr>
          <w:i/>
        </w:rPr>
        <w:t xml:space="preserve">Soil Description Handbook </w:t>
      </w:r>
      <w:r w:rsidRPr="00256982">
        <w:t xml:space="preserve">(Milne et al., 1995), as well as physical and chemical analyses from either the Landcare Research Environmental Chemistry Laboratory or the Department of Scientific and Industrial Research Soil Bureau Laboratory. This data set was collated as the first stocktake of available soil data for national greenhouse gas reporting and, as such, underwent substantial quality-assurance and quality-control checks (Baisden et al., unpublished(b); Scott et al., 2002; Tate et al., 2005). </w:t>
      </w:r>
    </w:p>
    <w:p w14:paraId="5BCE5985" w14:textId="0762D82E" w:rsidR="00380BE7" w:rsidRPr="00256982" w:rsidRDefault="00380BE7" w:rsidP="00001036">
      <w:pPr>
        <w:pStyle w:val="BodyText"/>
      </w:pPr>
      <w:r w:rsidRPr="00256982">
        <w:rPr>
          <w:b/>
        </w:rPr>
        <w:lastRenderedPageBreak/>
        <w:t>Natural forest soils</w:t>
      </w:r>
      <w:r w:rsidRPr="00256982">
        <w:t xml:space="preserve">: This data set was gathered between 2001 and 2007 as part of the Natural Forest Survey, with soil subsampled on an 8-kilometre grid across the country (Garrett, unpublished; see section 6.4.2 for more details of the 8-kilometre national grid system). The natural forest soils were important in the development of </w:t>
      </w:r>
      <w:r w:rsidR="00001036" w:rsidRPr="00256982">
        <w:t xml:space="preserve">the Soil CMS model because they </w:t>
      </w:r>
      <w:r w:rsidRPr="00256982">
        <w:t xml:space="preserve">provided spatial balancing in areas of New Zealand not adequately covered by the historic soils data set. </w:t>
      </w:r>
    </w:p>
    <w:p w14:paraId="164D282C" w14:textId="77777777" w:rsidR="00380BE7" w:rsidRPr="00256982" w:rsidRDefault="00380BE7" w:rsidP="00380BE7">
      <w:pPr>
        <w:pStyle w:val="BodyText"/>
        <w:spacing w:before="100" w:after="100"/>
        <w:rPr>
          <w:spacing w:val="-4"/>
        </w:rPr>
      </w:pPr>
      <w:r w:rsidRPr="00256982">
        <w:rPr>
          <w:b/>
          <w:spacing w:val="-4"/>
        </w:rPr>
        <w:t>Cropland data set</w:t>
      </w:r>
      <w:r w:rsidRPr="00256982">
        <w:rPr>
          <w:spacing w:val="-4"/>
        </w:rPr>
        <w:t>: The third source of data originated as a set of intensively spatially sampled high</w:t>
      </w:r>
      <w:r w:rsidRPr="00256982">
        <w:rPr>
          <w:i/>
          <w:spacing w:val="-4"/>
        </w:rPr>
        <w:t xml:space="preserve"> </w:t>
      </w:r>
      <w:r w:rsidRPr="00256982">
        <w:rPr>
          <w:spacing w:val="-4"/>
        </w:rPr>
        <w:t>producing grassland, annual cropland and perennial cropland records collected for other purposes, referred to as the cropland data set (Lawrence-Smith et al., 2010).</w:t>
      </w:r>
    </w:p>
    <w:p w14:paraId="290AE632" w14:textId="77777777" w:rsidR="00380BE7" w:rsidRPr="00256982" w:rsidRDefault="00380BE7" w:rsidP="00380BE7">
      <w:pPr>
        <w:pStyle w:val="BodyText"/>
        <w:spacing w:before="100" w:after="100"/>
      </w:pPr>
      <w:r w:rsidRPr="00256982">
        <w:rPr>
          <w:b/>
        </w:rPr>
        <w:t>Wetlands</w:t>
      </w:r>
      <w:r w:rsidRPr="00256982">
        <w:t>: The fourth source of data comprises wetland soil data from a recent research effort to combine field data with analysis of the spatial distribution of current wetlands in New Zealand (Ausseil et al., 2015). This resulted in the addition of 21 wetland mineral soil samples to the Soil CMS data set (McNeill et al., 2014).</w:t>
      </w:r>
    </w:p>
    <w:p w14:paraId="222DC736" w14:textId="77777777" w:rsidR="00380BE7" w:rsidRPr="00256982" w:rsidRDefault="00380BE7" w:rsidP="00380BE7">
      <w:pPr>
        <w:pStyle w:val="BodyText"/>
        <w:spacing w:before="100" w:after="100"/>
      </w:pPr>
      <w:r w:rsidRPr="00256982">
        <w:rPr>
          <w:b/>
        </w:rPr>
        <w:t>Post-1989 forest data</w:t>
      </w:r>
      <w:r w:rsidRPr="00256982">
        <w:t xml:space="preserve">: This data set was added to the analysis in 2014. It contains data collected specifically for Convention reporting from 90 post-1989 forest sites across New Zealand (Basher et al., unpublished; Interpine Forestry Limited, unpublished). </w:t>
      </w:r>
    </w:p>
    <w:p w14:paraId="51401B30" w14:textId="77777777" w:rsidR="00380BE7" w:rsidRPr="00256982" w:rsidRDefault="00380BE7" w:rsidP="00380BE7">
      <w:pPr>
        <w:pStyle w:val="BodyText"/>
        <w:spacing w:before="100" w:after="100"/>
      </w:pPr>
      <w:r w:rsidRPr="00256982">
        <w:t>Together, the five combined data sets cover most of New Zealand (see figure 6.3.1), including Stewart Island. Coverage does not extend to the Chatham Islands and other offshore islands. In addition to soil data, each record contains the site-specific climate, slope and rainfall attributes that are used in the analysis.</w:t>
      </w:r>
    </w:p>
    <w:p w14:paraId="486F0232" w14:textId="77777777" w:rsidR="0085587E" w:rsidRPr="00256982" w:rsidRDefault="0085587E" w:rsidP="0085587E">
      <w:pPr>
        <w:pStyle w:val="BodyText"/>
      </w:pPr>
      <w:r w:rsidRPr="00256982">
        <w:t>Due to a reliance on available data, coverage is dense in areas of agricultural activity, and the density of points varies widely between different regions (see figure 6.3.1). In addition, types of land use vary geographically: some are widespread (e.g., high</w:t>
      </w:r>
      <w:r w:rsidRPr="00256982">
        <w:rPr>
          <w:i/>
        </w:rPr>
        <w:t xml:space="preserve"> </w:t>
      </w:r>
      <w:r w:rsidRPr="00256982">
        <w:t xml:space="preserve">producing grassland), whereas others are spatially constrained (e.g., cropland), so that the number of soil samples needed varies by land use (McNeill et al., unpublished). </w:t>
      </w:r>
    </w:p>
    <w:p w14:paraId="528533AB" w14:textId="77777777" w:rsidR="0085587E" w:rsidRPr="00256982" w:rsidRDefault="0085587E" w:rsidP="0085587E">
      <w:pPr>
        <w:pStyle w:val="BodyText"/>
        <w:rPr>
          <w:spacing w:val="-2"/>
        </w:rPr>
      </w:pPr>
      <w:r w:rsidRPr="00256982">
        <w:rPr>
          <w:spacing w:val="-2"/>
        </w:rPr>
        <w:t xml:space="preserve">There is a wide variation in the number of records associated with the different land use categories and soil orders, with the largest land use category </w:t>
      </w:r>
      <w:r w:rsidRPr="00256982">
        <w:rPr>
          <w:i/>
          <w:spacing w:val="-2"/>
        </w:rPr>
        <w:t>Grassland</w:t>
      </w:r>
      <w:r w:rsidRPr="00256982">
        <w:rPr>
          <w:spacing w:val="-2"/>
        </w:rPr>
        <w:t xml:space="preserve"> having 1216 samples and the smallest (</w:t>
      </w:r>
      <w:r w:rsidRPr="00256982">
        <w:rPr>
          <w:i/>
          <w:spacing w:val="-2"/>
        </w:rPr>
        <w:t>Other land</w:t>
      </w:r>
      <w:r w:rsidRPr="00256982">
        <w:rPr>
          <w:spacing w:val="-2"/>
        </w:rPr>
        <w:t xml:space="preserve">) only three samples. While efforts to collect or obtain additional data in undersampled land use categories have been made since LUCAS was established, helping to reduce uncertainties, considerable variability among the land use effect uncertainties remains. </w:t>
      </w:r>
    </w:p>
    <w:p w14:paraId="235FDF99" w14:textId="77777777" w:rsidR="00380BE7" w:rsidRPr="00256982" w:rsidRDefault="00380BE7" w:rsidP="00380BE7">
      <w:pPr>
        <w:pStyle w:val="Figure"/>
        <w:spacing w:after="0"/>
      </w:pPr>
      <w:bookmarkStart w:id="1185" w:name="_Toc378853339"/>
      <w:bookmarkStart w:id="1186" w:name="_Toc405448089"/>
      <w:bookmarkStart w:id="1187" w:name="_Toc414531621"/>
      <w:bookmarkStart w:id="1188" w:name="_Toc474914644"/>
      <w:bookmarkStart w:id="1189" w:name="_Toc481752026"/>
      <w:bookmarkStart w:id="1190" w:name="_Toc522010704"/>
      <w:bookmarkStart w:id="1191" w:name="_Toc5269707"/>
      <w:r w:rsidRPr="00256982">
        <w:lastRenderedPageBreak/>
        <w:t>Figure 6.3.1</w:t>
      </w:r>
      <w:r w:rsidRPr="00256982">
        <w:tab/>
        <w:t>Soil samples in Soil CMS model calibration data set</w:t>
      </w:r>
      <w:bookmarkEnd w:id="1185"/>
      <w:bookmarkEnd w:id="1186"/>
      <w:bookmarkEnd w:id="1187"/>
      <w:bookmarkEnd w:id="1188"/>
      <w:bookmarkEnd w:id="1189"/>
      <w:bookmarkEnd w:id="1190"/>
      <w:bookmarkEnd w:id="1191"/>
    </w:p>
    <w:p w14:paraId="3011BE49" w14:textId="4D0D8778" w:rsidR="00380BE7" w:rsidRPr="00256982" w:rsidRDefault="00590491" w:rsidP="00944576">
      <w:pPr>
        <w:pStyle w:val="BodyText"/>
        <w:spacing w:before="60"/>
        <w:jc w:val="center"/>
      </w:pPr>
      <w:r>
        <w:rPr>
          <w:lang w:eastAsia="en-NZ"/>
        </w:rPr>
        <w:pict w14:anchorId="0D1FE390">
          <v:shape id="Picture 113" o:spid="_x0000_i1135" type="#_x0000_t75" style="width:392.25pt;height:500.25pt;visibility:visible;mso-wrap-style:square">
            <v:imagedata r:id="rId201" o:title="" cropbottom="584f"/>
          </v:shape>
        </w:pict>
      </w:r>
    </w:p>
    <w:p w14:paraId="7D63CEDC" w14:textId="5CDC38F3" w:rsidR="00380BE7" w:rsidRPr="00256982" w:rsidRDefault="00380BE7" w:rsidP="00380BE7">
      <w:pPr>
        <w:pStyle w:val="BodyText"/>
      </w:pPr>
      <w:r w:rsidRPr="00256982">
        <w:rPr>
          <w:i/>
        </w:rPr>
        <w:t>Settlements</w:t>
      </w:r>
      <w:r w:rsidRPr="00256982">
        <w:t xml:space="preserve"> and the open water component of </w:t>
      </w:r>
      <w:r w:rsidRPr="00256982">
        <w:rPr>
          <w:i/>
        </w:rPr>
        <w:t>Wetlands</w:t>
      </w:r>
      <w:r w:rsidRPr="00256982">
        <w:t xml:space="preserve"> were not used in the model due to lack of soil carbon data. Both land uses are assigned the reference level carbon stock, which is the same as low producing grassland, because no data are available for these land uses. The basis for using the reference level for </w:t>
      </w:r>
      <w:r w:rsidRPr="00256982">
        <w:rPr>
          <w:i/>
        </w:rPr>
        <w:t>Settlements</w:t>
      </w:r>
      <w:r w:rsidRPr="00256982">
        <w:t xml:space="preserve"> is supported by the land use definition used for the category because it includes not only impervious surfaces but also green spaces (urban park land, golf courses and other recreational areas, as explained in table 6.2.2). These areas are likely to have elevated carbon stock levels compared with low producing grassland</w:t>
      </w:r>
      <w:r w:rsidRPr="00256982">
        <w:rPr>
          <w:i/>
        </w:rPr>
        <w:t xml:space="preserve"> </w:t>
      </w:r>
      <w:r w:rsidRPr="00256982">
        <w:t xml:space="preserve">due to the treatments they receive. The </w:t>
      </w:r>
      <w:r w:rsidRPr="00256982">
        <w:rPr>
          <w:i/>
        </w:rPr>
        <w:t>Settlements</w:t>
      </w:r>
      <w:r w:rsidRPr="00256982">
        <w:t xml:space="preserve"> category makes up only 0.8 per cent of New Zealand’s total land area and is not a key category for New Zealand (in eithe</w:t>
      </w:r>
      <w:r w:rsidR="00944576" w:rsidRPr="00256982">
        <w:t xml:space="preserve">r the level or trend analysis); </w:t>
      </w:r>
      <w:r w:rsidRPr="00256982">
        <w:t xml:space="preserve">therefore, it is not an area prioritised for improvement within the National Inventory Report. </w:t>
      </w:r>
    </w:p>
    <w:p w14:paraId="7903BB17" w14:textId="77777777" w:rsidR="00380BE7" w:rsidRPr="00256982" w:rsidRDefault="00380BE7" w:rsidP="00380BE7">
      <w:pPr>
        <w:pStyle w:val="Heading5"/>
      </w:pPr>
      <w:r w:rsidRPr="00256982">
        <w:lastRenderedPageBreak/>
        <w:t>Ancillary data</w:t>
      </w:r>
    </w:p>
    <w:p w14:paraId="1F2D5439" w14:textId="77777777" w:rsidR="00380BE7" w:rsidRPr="00256982" w:rsidRDefault="00380BE7" w:rsidP="00742C7B">
      <w:pPr>
        <w:pStyle w:val="BodyText"/>
      </w:pPr>
      <w:r w:rsidRPr="00256982">
        <w:t>In addition to the soil data, the following ancillary data are used in the Soil CMS Model.</w:t>
      </w:r>
    </w:p>
    <w:p w14:paraId="2904D3B8" w14:textId="77777777" w:rsidR="00380BE7" w:rsidRPr="00256982" w:rsidRDefault="00380BE7" w:rsidP="00380BE7">
      <w:pPr>
        <w:pStyle w:val="BodyText"/>
      </w:pPr>
      <w:r w:rsidRPr="00256982">
        <w:rPr>
          <w:b/>
        </w:rPr>
        <w:t>S-map</w:t>
      </w:r>
      <w:r w:rsidRPr="00256982">
        <w:t xml:space="preserve">: S-map is a contemporary digital soil spatial information system for New Zealand (Lilburne et al., 2012), which provides the best-available knowledge of the classification of the soil order consistent with the </w:t>
      </w:r>
      <w:r w:rsidRPr="00256982">
        <w:rPr>
          <w:i/>
        </w:rPr>
        <w:t>New Zealand Soil Classification</w:t>
      </w:r>
      <w:r w:rsidRPr="00256982">
        <w:t xml:space="preserve"> (Hewitt, 2010). S</w:t>
      </w:r>
      <w:r w:rsidRPr="00256982">
        <w:noBreakHyphen/>
        <w:t xml:space="preserve">map coverage is not available for all the land area, because its focus is on regions of intensive agricultural use. </w:t>
      </w:r>
    </w:p>
    <w:p w14:paraId="393AF87C" w14:textId="77777777" w:rsidR="00380BE7" w:rsidRPr="00256982" w:rsidRDefault="00380BE7" w:rsidP="00380BE7">
      <w:pPr>
        <w:pStyle w:val="BodyText"/>
      </w:pPr>
      <w:r w:rsidRPr="00256982">
        <w:rPr>
          <w:b/>
        </w:rPr>
        <w:t>Fundamental Soils Layer</w:t>
      </w:r>
      <w:r w:rsidRPr="00256982">
        <w:t>: Where data on soil order were unavailable in S-map, data from the Fundamental Soils Layer were used instead. The Fundamental Soils Layer (www.soils.landcareresearch.co.nz/soil-data/fundamental-soil-layers) provides GIS information on the expert-assessed classification of soil order and other soil or landscape attributes over New Zealand. It is generated from the NZLRI and NSD.</w:t>
      </w:r>
    </w:p>
    <w:p w14:paraId="265B8131" w14:textId="77777777" w:rsidR="00380BE7" w:rsidRPr="00256982" w:rsidRDefault="00380BE7" w:rsidP="00380BE7">
      <w:pPr>
        <w:pStyle w:val="BodyText"/>
      </w:pPr>
      <w:r w:rsidRPr="00256982">
        <w:rPr>
          <w:b/>
        </w:rPr>
        <w:t>Topographic information</w:t>
      </w:r>
      <w:r w:rsidRPr="00256982">
        <w:t>: Topographic slope information was estimated from a digital elevation model generated from Land Information New Zealand 1:50,000 scale topographic data layers including 20-metre contours, spot heights, lake shorelines and coastline.</w:t>
      </w:r>
    </w:p>
    <w:p w14:paraId="1F780DF8" w14:textId="77777777" w:rsidR="00380BE7" w:rsidRPr="00256982" w:rsidRDefault="00380BE7" w:rsidP="00380BE7">
      <w:pPr>
        <w:pStyle w:val="Heading5"/>
      </w:pPr>
      <w:r w:rsidRPr="00256982">
        <w:t>Land use effects: Characterising soil carbon stocks</w:t>
      </w:r>
    </w:p>
    <w:p w14:paraId="5BBC9C6A" w14:textId="77777777" w:rsidR="00380BE7" w:rsidRPr="00256982" w:rsidRDefault="00380BE7" w:rsidP="00380BE7">
      <w:pPr>
        <w:pStyle w:val="BodyText"/>
        <w:spacing w:after="160"/>
      </w:pPr>
      <w:r w:rsidRPr="00256982">
        <w:t>The 2014 version of the Soil CMS model used in this report builds on previous model versions (McNeill and Barringer, unpublished). The ‘land use effect’ (LUE) denotes the influence of land use on SOC stocks and corresponds to the model coefficients calculated for each land use. The LUE for a transition from low</w:t>
      </w:r>
      <w:r w:rsidRPr="00256982">
        <w:rPr>
          <w:i/>
        </w:rPr>
        <w:t xml:space="preserve"> </w:t>
      </w:r>
      <w:r w:rsidRPr="00256982">
        <w:t>producing grassland to one of the other land uses can be obtained by using the coefficients of the soil carbon model (see table 6.3.1). Steady state SOC stocks for each land use (see table 6.3.2) are derived from the LUE coefficient in relation to the intercept (the reference of low producing grassland on high activity soils in a moist temperate climate – table 6.3.1). These values are used in equation 3 (as SOC</w:t>
      </w:r>
      <w:r w:rsidRPr="00256982">
        <w:rPr>
          <w:vertAlign w:val="subscript"/>
        </w:rPr>
        <w:t>0</w:t>
      </w:r>
      <w:r w:rsidRPr="00256982">
        <w:t xml:space="preserve"> and SOC</w:t>
      </w:r>
      <w:r w:rsidRPr="00256982">
        <w:rPr>
          <w:vertAlign w:val="subscript"/>
        </w:rPr>
        <w:t>(0-T)</w:t>
      </w:r>
      <w:r w:rsidRPr="00256982">
        <w:t>) to calculate soil carbon changes due to land-use change.</w:t>
      </w:r>
    </w:p>
    <w:p w14:paraId="6DC9669F" w14:textId="77777777" w:rsidR="00380BE7" w:rsidRPr="00256982" w:rsidRDefault="00380BE7" w:rsidP="00380BE7">
      <w:pPr>
        <w:pStyle w:val="Table"/>
      </w:pPr>
      <w:bookmarkStart w:id="1192" w:name="_Toc378853287"/>
      <w:bookmarkStart w:id="1193" w:name="_Toc391024085"/>
      <w:bookmarkStart w:id="1194" w:name="_Toc410028828"/>
      <w:bookmarkStart w:id="1195" w:name="_Toc414531456"/>
      <w:bookmarkStart w:id="1196" w:name="_Toc443645369"/>
      <w:bookmarkStart w:id="1197" w:name="_Toc474914588"/>
      <w:bookmarkStart w:id="1198" w:name="_Toc481751552"/>
      <w:bookmarkStart w:id="1199" w:name="_Toc522010609"/>
      <w:bookmarkStart w:id="1200" w:name="_Toc5269514"/>
      <w:r w:rsidRPr="00256982">
        <w:t>Table 6.3.1</w:t>
      </w:r>
      <w:r w:rsidRPr="00256982">
        <w:tab/>
        <w:t xml:space="preserve">Land use effect coefficients with standard errors, </w:t>
      </w:r>
      <w:r w:rsidRPr="00256982">
        <w:rPr>
          <w:i/>
        </w:rPr>
        <w:t>t</w:t>
      </w:r>
      <w:r w:rsidRPr="00256982">
        <w:t>-values, and corresponding</w:t>
      </w:r>
      <w:r w:rsidRPr="00256982">
        <w:br/>
      </w:r>
      <w:r w:rsidRPr="00256982">
        <w:rPr>
          <w:i/>
        </w:rPr>
        <w:t>p</w:t>
      </w:r>
      <w:r w:rsidRPr="00256982">
        <w:t>-value significance estimates, extracted from full model results</w:t>
      </w:r>
      <w:bookmarkEnd w:id="1192"/>
      <w:bookmarkEnd w:id="1193"/>
      <w:bookmarkEnd w:id="1194"/>
      <w:bookmarkEnd w:id="1195"/>
      <w:bookmarkEnd w:id="1196"/>
      <w:bookmarkEnd w:id="1197"/>
      <w:bookmarkEnd w:id="1198"/>
      <w:bookmarkEnd w:id="1199"/>
      <w:bookmarkEnd w:id="1200"/>
    </w:p>
    <w:tbl>
      <w:tblPr>
        <w:tblW w:w="8505" w:type="dxa"/>
        <w:tblInd w:w="108" w:type="dxa"/>
        <w:tblBorders>
          <w:bottom w:val="single" w:sz="8" w:space="0" w:color="365F91"/>
        </w:tblBorders>
        <w:tblLook w:val="04A0" w:firstRow="1" w:lastRow="0" w:firstColumn="1" w:lastColumn="0" w:noHBand="0" w:noVBand="1"/>
      </w:tblPr>
      <w:tblGrid>
        <w:gridCol w:w="2921"/>
        <w:gridCol w:w="1356"/>
        <w:gridCol w:w="1685"/>
        <w:gridCol w:w="1271"/>
        <w:gridCol w:w="1272"/>
      </w:tblGrid>
      <w:tr w:rsidR="00380BE7" w:rsidRPr="00256982" w14:paraId="23471CC1" w14:textId="77777777" w:rsidTr="009574E7">
        <w:trPr>
          <w:tblHeader/>
        </w:trPr>
        <w:tc>
          <w:tcPr>
            <w:tcW w:w="2745" w:type="dxa"/>
            <w:tcBorders>
              <w:top w:val="single" w:sz="4" w:space="0" w:color="365F91"/>
              <w:bottom w:val="single" w:sz="4" w:space="0" w:color="365F91"/>
              <w:right w:val="nil"/>
            </w:tcBorders>
            <w:shd w:val="clear" w:color="auto" w:fill="376092"/>
            <w:vAlign w:val="bottom"/>
          </w:tcPr>
          <w:p w14:paraId="6272D2FA" w14:textId="77777777" w:rsidR="00380BE7" w:rsidRPr="00256982" w:rsidRDefault="00380BE7" w:rsidP="009574E7">
            <w:pPr>
              <w:pStyle w:val="TableTextBold"/>
              <w:keepNext/>
              <w:rPr>
                <w:rFonts w:eastAsia="Arial"/>
                <w:noProof w:val="0"/>
                <w:color w:val="FFFFFF"/>
              </w:rPr>
            </w:pPr>
            <w:r w:rsidRPr="00256982">
              <w:rPr>
                <w:rFonts w:eastAsia="Arial"/>
                <w:noProof w:val="0"/>
                <w:color w:val="FFFFFF"/>
              </w:rPr>
              <w:t>Land use</w:t>
            </w:r>
          </w:p>
        </w:tc>
        <w:tc>
          <w:tcPr>
            <w:tcW w:w="1275" w:type="dxa"/>
            <w:tcBorders>
              <w:top w:val="single" w:sz="4" w:space="0" w:color="365F91"/>
              <w:bottom w:val="single" w:sz="4" w:space="0" w:color="365F91"/>
            </w:tcBorders>
            <w:shd w:val="clear" w:color="auto" w:fill="376092"/>
            <w:vAlign w:val="bottom"/>
          </w:tcPr>
          <w:p w14:paraId="6A14AC57" w14:textId="77777777" w:rsidR="00380BE7" w:rsidRPr="00256982" w:rsidRDefault="00380BE7" w:rsidP="009574E7">
            <w:pPr>
              <w:pStyle w:val="TableTextBold"/>
              <w:keepNext/>
              <w:jc w:val="center"/>
              <w:rPr>
                <w:rFonts w:eastAsia="Arial"/>
                <w:noProof w:val="0"/>
                <w:color w:val="FFFFFF"/>
              </w:rPr>
            </w:pPr>
            <w:r w:rsidRPr="00256982">
              <w:rPr>
                <w:rFonts w:eastAsia="Arial"/>
                <w:noProof w:val="0"/>
                <w:color w:val="FFFFFF"/>
              </w:rPr>
              <w:t>Value</w:t>
            </w:r>
          </w:p>
        </w:tc>
        <w:tc>
          <w:tcPr>
            <w:tcW w:w="1584" w:type="dxa"/>
            <w:tcBorders>
              <w:top w:val="single" w:sz="4" w:space="0" w:color="365F91"/>
              <w:bottom w:val="single" w:sz="4" w:space="0" w:color="365F91"/>
            </w:tcBorders>
            <w:shd w:val="clear" w:color="auto" w:fill="376092"/>
            <w:vAlign w:val="bottom"/>
          </w:tcPr>
          <w:p w14:paraId="3624788C" w14:textId="77777777" w:rsidR="00380BE7" w:rsidRPr="00256982" w:rsidRDefault="00380BE7" w:rsidP="009574E7">
            <w:pPr>
              <w:pStyle w:val="TableTextBold"/>
              <w:keepNext/>
              <w:jc w:val="center"/>
              <w:rPr>
                <w:rFonts w:eastAsia="Arial"/>
                <w:noProof w:val="0"/>
                <w:color w:val="FFFFFF"/>
              </w:rPr>
            </w:pPr>
            <w:r w:rsidRPr="00256982">
              <w:rPr>
                <w:rFonts w:eastAsia="Arial"/>
                <w:noProof w:val="0"/>
                <w:color w:val="FFFFFF"/>
              </w:rPr>
              <w:t>Standard error</w:t>
            </w:r>
          </w:p>
        </w:tc>
        <w:tc>
          <w:tcPr>
            <w:tcW w:w="1195" w:type="dxa"/>
            <w:tcBorders>
              <w:top w:val="single" w:sz="4" w:space="0" w:color="365F91"/>
              <w:bottom w:val="single" w:sz="4" w:space="0" w:color="365F91"/>
            </w:tcBorders>
            <w:shd w:val="clear" w:color="auto" w:fill="376092"/>
            <w:vAlign w:val="bottom"/>
          </w:tcPr>
          <w:p w14:paraId="30315EC3" w14:textId="77777777" w:rsidR="00380BE7" w:rsidRPr="00256982" w:rsidRDefault="00380BE7" w:rsidP="009574E7">
            <w:pPr>
              <w:pStyle w:val="TableTextBold"/>
              <w:keepNext/>
              <w:jc w:val="center"/>
              <w:rPr>
                <w:rFonts w:eastAsia="Arial"/>
                <w:noProof w:val="0"/>
                <w:color w:val="FFFFFF"/>
              </w:rPr>
            </w:pPr>
            <w:r w:rsidRPr="00256982">
              <w:rPr>
                <w:rFonts w:eastAsia="Arial"/>
                <w:i/>
                <w:noProof w:val="0"/>
                <w:color w:val="FFFFFF"/>
              </w:rPr>
              <w:t>t</w:t>
            </w:r>
            <w:r w:rsidRPr="00256982">
              <w:rPr>
                <w:rFonts w:eastAsia="Arial"/>
                <w:noProof w:val="0"/>
                <w:color w:val="FFFFFF"/>
              </w:rPr>
              <w:t>-value</w:t>
            </w:r>
          </w:p>
        </w:tc>
        <w:tc>
          <w:tcPr>
            <w:tcW w:w="1196" w:type="dxa"/>
            <w:tcBorders>
              <w:top w:val="single" w:sz="4" w:space="0" w:color="365F91"/>
              <w:bottom w:val="single" w:sz="4" w:space="0" w:color="365F91"/>
            </w:tcBorders>
            <w:shd w:val="clear" w:color="auto" w:fill="376092"/>
            <w:vAlign w:val="bottom"/>
          </w:tcPr>
          <w:p w14:paraId="710D38C0" w14:textId="77777777" w:rsidR="00380BE7" w:rsidRPr="00256982" w:rsidRDefault="00380BE7" w:rsidP="009574E7">
            <w:pPr>
              <w:pStyle w:val="TableTextBold"/>
              <w:keepNext/>
              <w:jc w:val="center"/>
              <w:rPr>
                <w:rFonts w:eastAsia="Arial"/>
                <w:noProof w:val="0"/>
                <w:color w:val="FFFFFF"/>
              </w:rPr>
            </w:pPr>
            <w:r w:rsidRPr="00256982">
              <w:rPr>
                <w:rFonts w:eastAsia="Arial"/>
                <w:i/>
                <w:noProof w:val="0"/>
                <w:color w:val="FFFFFF"/>
              </w:rPr>
              <w:t>p</w:t>
            </w:r>
            <w:r w:rsidRPr="00256982">
              <w:rPr>
                <w:rFonts w:eastAsia="Arial"/>
                <w:noProof w:val="0"/>
                <w:color w:val="FFFFFF"/>
              </w:rPr>
              <w:t>-value</w:t>
            </w:r>
          </w:p>
        </w:tc>
      </w:tr>
      <w:tr w:rsidR="00380BE7" w:rsidRPr="00256982" w14:paraId="0397D5A9" w14:textId="77777777" w:rsidTr="009574E7">
        <w:tc>
          <w:tcPr>
            <w:tcW w:w="2745" w:type="dxa"/>
            <w:tcBorders>
              <w:top w:val="single" w:sz="4" w:space="0" w:color="365F91"/>
              <w:bottom w:val="single" w:sz="4" w:space="0" w:color="365F91"/>
              <w:right w:val="nil"/>
            </w:tcBorders>
            <w:shd w:val="clear" w:color="auto" w:fill="auto"/>
          </w:tcPr>
          <w:p w14:paraId="7A26ED74" w14:textId="77777777" w:rsidR="00380BE7" w:rsidRPr="00256982" w:rsidRDefault="00380BE7" w:rsidP="009574E7">
            <w:pPr>
              <w:pStyle w:val="TableText"/>
              <w:keepNext/>
              <w:rPr>
                <w:rFonts w:eastAsia="Arial"/>
              </w:rPr>
            </w:pPr>
            <w:r w:rsidRPr="00256982">
              <w:rPr>
                <w:rFonts w:eastAsia="Arial"/>
              </w:rPr>
              <w:t xml:space="preserve">Intercept: </w:t>
            </w:r>
            <w:r w:rsidRPr="00256982">
              <w:rPr>
                <w:rFonts w:eastAsia="Arial"/>
                <w:lang w:eastAsia="en-NZ"/>
              </w:rPr>
              <w:t>Low producing grassland</w:t>
            </w:r>
          </w:p>
        </w:tc>
        <w:tc>
          <w:tcPr>
            <w:tcW w:w="1275" w:type="dxa"/>
            <w:tcBorders>
              <w:top w:val="single" w:sz="4" w:space="0" w:color="365F91"/>
              <w:left w:val="nil"/>
              <w:bottom w:val="single" w:sz="4" w:space="0" w:color="365F91"/>
              <w:right w:val="nil"/>
            </w:tcBorders>
            <w:shd w:val="clear" w:color="auto" w:fill="auto"/>
          </w:tcPr>
          <w:p w14:paraId="42707712" w14:textId="77777777" w:rsidR="00380BE7" w:rsidRPr="00256982" w:rsidRDefault="00380BE7" w:rsidP="009574E7">
            <w:pPr>
              <w:pStyle w:val="TableText"/>
              <w:keepNext/>
              <w:jc w:val="right"/>
              <w:rPr>
                <w:rFonts w:eastAsia="Arial"/>
              </w:rPr>
            </w:pPr>
            <w:r w:rsidRPr="00256982">
              <w:rPr>
                <w:rFonts w:eastAsia="Arial"/>
              </w:rPr>
              <w:t>105.98</w:t>
            </w:r>
          </w:p>
        </w:tc>
        <w:tc>
          <w:tcPr>
            <w:tcW w:w="1584" w:type="dxa"/>
            <w:tcBorders>
              <w:top w:val="single" w:sz="4" w:space="0" w:color="365F91"/>
              <w:left w:val="nil"/>
              <w:bottom w:val="single" w:sz="4" w:space="0" w:color="365F91"/>
              <w:right w:val="nil"/>
            </w:tcBorders>
            <w:shd w:val="clear" w:color="auto" w:fill="auto"/>
          </w:tcPr>
          <w:p w14:paraId="6F94D829" w14:textId="77777777" w:rsidR="00380BE7" w:rsidRPr="00256982" w:rsidRDefault="00380BE7" w:rsidP="009574E7">
            <w:pPr>
              <w:pStyle w:val="TableText"/>
              <w:keepNext/>
              <w:jc w:val="right"/>
              <w:rPr>
                <w:rFonts w:eastAsia="Arial"/>
              </w:rPr>
            </w:pPr>
            <w:r w:rsidRPr="00256982">
              <w:rPr>
                <w:rFonts w:eastAsia="Arial"/>
              </w:rPr>
              <w:t>3.96</w:t>
            </w:r>
          </w:p>
        </w:tc>
        <w:tc>
          <w:tcPr>
            <w:tcW w:w="1195" w:type="dxa"/>
            <w:tcBorders>
              <w:top w:val="single" w:sz="4" w:space="0" w:color="365F91"/>
              <w:left w:val="nil"/>
              <w:bottom w:val="single" w:sz="4" w:space="0" w:color="365F91"/>
              <w:right w:val="nil"/>
            </w:tcBorders>
            <w:shd w:val="clear" w:color="auto" w:fill="auto"/>
          </w:tcPr>
          <w:p w14:paraId="3C3588F1" w14:textId="77777777" w:rsidR="00380BE7" w:rsidRPr="00256982" w:rsidRDefault="00380BE7" w:rsidP="009574E7">
            <w:pPr>
              <w:pStyle w:val="TableText"/>
              <w:keepNext/>
              <w:jc w:val="right"/>
              <w:rPr>
                <w:rFonts w:eastAsia="Arial"/>
              </w:rPr>
            </w:pPr>
            <w:r w:rsidRPr="00256982">
              <w:rPr>
                <w:rFonts w:eastAsia="Arial"/>
              </w:rPr>
              <w:t>26.79</w:t>
            </w:r>
          </w:p>
        </w:tc>
        <w:tc>
          <w:tcPr>
            <w:tcW w:w="1196" w:type="dxa"/>
            <w:tcBorders>
              <w:top w:val="single" w:sz="4" w:space="0" w:color="365F91"/>
              <w:left w:val="nil"/>
              <w:bottom w:val="single" w:sz="4" w:space="0" w:color="365F91"/>
            </w:tcBorders>
            <w:shd w:val="clear" w:color="auto" w:fill="auto"/>
          </w:tcPr>
          <w:p w14:paraId="6CD35CB1" w14:textId="77777777" w:rsidR="00380BE7" w:rsidRPr="00256982" w:rsidRDefault="00380BE7" w:rsidP="009574E7">
            <w:pPr>
              <w:pStyle w:val="TableText"/>
              <w:keepNext/>
              <w:jc w:val="right"/>
              <w:rPr>
                <w:rFonts w:eastAsia="Arial"/>
              </w:rPr>
            </w:pPr>
            <w:r w:rsidRPr="00256982">
              <w:rPr>
                <w:rFonts w:eastAsia="Arial"/>
              </w:rPr>
              <w:t>0.000</w:t>
            </w:r>
          </w:p>
        </w:tc>
      </w:tr>
      <w:tr w:rsidR="00380BE7" w:rsidRPr="00256982" w14:paraId="2F30FB5C" w14:textId="77777777" w:rsidTr="009574E7">
        <w:tc>
          <w:tcPr>
            <w:tcW w:w="2745" w:type="dxa"/>
            <w:tcBorders>
              <w:top w:val="single" w:sz="4" w:space="0" w:color="365F91"/>
              <w:bottom w:val="single" w:sz="4" w:space="0" w:color="365F91"/>
              <w:right w:val="nil"/>
            </w:tcBorders>
            <w:shd w:val="clear" w:color="auto" w:fill="auto"/>
          </w:tcPr>
          <w:p w14:paraId="72EC6279" w14:textId="77777777" w:rsidR="00380BE7" w:rsidRPr="00256982" w:rsidRDefault="00380BE7" w:rsidP="009574E7">
            <w:pPr>
              <w:pStyle w:val="TableText"/>
              <w:rPr>
                <w:rFonts w:eastAsia="Arial"/>
              </w:rPr>
            </w:pPr>
            <w:r w:rsidRPr="00256982">
              <w:rPr>
                <w:rFonts w:eastAsia="Arial"/>
                <w:lang w:eastAsia="en-NZ"/>
              </w:rPr>
              <w:t>High producing grassland</w:t>
            </w:r>
          </w:p>
        </w:tc>
        <w:tc>
          <w:tcPr>
            <w:tcW w:w="1275" w:type="dxa"/>
            <w:tcBorders>
              <w:top w:val="single" w:sz="4" w:space="0" w:color="365F91"/>
              <w:left w:val="nil"/>
              <w:bottom w:val="single" w:sz="4" w:space="0" w:color="365F91"/>
              <w:right w:val="nil"/>
            </w:tcBorders>
            <w:shd w:val="clear" w:color="auto" w:fill="auto"/>
          </w:tcPr>
          <w:p w14:paraId="718AB0FE" w14:textId="77777777" w:rsidR="00380BE7" w:rsidRPr="00256982" w:rsidRDefault="00380BE7" w:rsidP="009574E7">
            <w:pPr>
              <w:pStyle w:val="TableText"/>
              <w:jc w:val="right"/>
              <w:rPr>
                <w:rFonts w:eastAsia="Arial"/>
              </w:rPr>
            </w:pPr>
            <w:r w:rsidRPr="00256982">
              <w:rPr>
                <w:rFonts w:eastAsia="Arial"/>
              </w:rPr>
              <w:t>–0.64</w:t>
            </w:r>
          </w:p>
        </w:tc>
        <w:tc>
          <w:tcPr>
            <w:tcW w:w="1584" w:type="dxa"/>
            <w:tcBorders>
              <w:top w:val="single" w:sz="4" w:space="0" w:color="365F91"/>
              <w:left w:val="nil"/>
              <w:bottom w:val="single" w:sz="4" w:space="0" w:color="365F91"/>
              <w:right w:val="nil"/>
            </w:tcBorders>
            <w:shd w:val="clear" w:color="auto" w:fill="auto"/>
          </w:tcPr>
          <w:p w14:paraId="70B4F5FC" w14:textId="77777777" w:rsidR="00380BE7" w:rsidRPr="00256982" w:rsidRDefault="00380BE7" w:rsidP="009574E7">
            <w:pPr>
              <w:pStyle w:val="TableText"/>
              <w:jc w:val="right"/>
              <w:rPr>
                <w:rFonts w:eastAsia="Arial"/>
              </w:rPr>
            </w:pPr>
            <w:r w:rsidRPr="00256982">
              <w:rPr>
                <w:rFonts w:eastAsia="Arial"/>
              </w:rPr>
              <w:t>3.13</w:t>
            </w:r>
          </w:p>
        </w:tc>
        <w:tc>
          <w:tcPr>
            <w:tcW w:w="1195" w:type="dxa"/>
            <w:tcBorders>
              <w:top w:val="single" w:sz="4" w:space="0" w:color="365F91"/>
              <w:left w:val="nil"/>
              <w:bottom w:val="single" w:sz="4" w:space="0" w:color="365F91"/>
              <w:right w:val="nil"/>
            </w:tcBorders>
            <w:shd w:val="clear" w:color="auto" w:fill="auto"/>
          </w:tcPr>
          <w:p w14:paraId="694DAC2C" w14:textId="77777777" w:rsidR="00380BE7" w:rsidRPr="00256982" w:rsidRDefault="00380BE7" w:rsidP="009574E7">
            <w:pPr>
              <w:pStyle w:val="TableText"/>
              <w:jc w:val="right"/>
              <w:rPr>
                <w:rFonts w:eastAsia="Arial"/>
              </w:rPr>
            </w:pPr>
            <w:r w:rsidRPr="00256982">
              <w:rPr>
                <w:rFonts w:eastAsia="Arial"/>
              </w:rPr>
              <w:t>–0.21</w:t>
            </w:r>
          </w:p>
        </w:tc>
        <w:tc>
          <w:tcPr>
            <w:tcW w:w="1196" w:type="dxa"/>
            <w:tcBorders>
              <w:top w:val="single" w:sz="4" w:space="0" w:color="365F91"/>
              <w:left w:val="nil"/>
              <w:bottom w:val="single" w:sz="4" w:space="0" w:color="365F91"/>
            </w:tcBorders>
            <w:shd w:val="clear" w:color="auto" w:fill="auto"/>
          </w:tcPr>
          <w:p w14:paraId="63D2F5EA" w14:textId="77777777" w:rsidR="00380BE7" w:rsidRPr="00256982" w:rsidRDefault="00380BE7" w:rsidP="009574E7">
            <w:pPr>
              <w:pStyle w:val="TableText"/>
              <w:jc w:val="right"/>
              <w:rPr>
                <w:rFonts w:eastAsia="Arial"/>
              </w:rPr>
            </w:pPr>
            <w:r w:rsidRPr="00256982">
              <w:rPr>
                <w:rFonts w:eastAsia="Arial"/>
              </w:rPr>
              <w:t>0.8370</w:t>
            </w:r>
          </w:p>
        </w:tc>
      </w:tr>
      <w:tr w:rsidR="00380BE7" w:rsidRPr="00256982" w14:paraId="00BEC07D" w14:textId="77777777" w:rsidTr="009574E7">
        <w:tc>
          <w:tcPr>
            <w:tcW w:w="2745" w:type="dxa"/>
            <w:tcBorders>
              <w:top w:val="single" w:sz="4" w:space="0" w:color="365F91"/>
              <w:bottom w:val="single" w:sz="4" w:space="0" w:color="365F91"/>
              <w:right w:val="nil"/>
            </w:tcBorders>
            <w:shd w:val="clear" w:color="auto" w:fill="auto"/>
          </w:tcPr>
          <w:p w14:paraId="0527BABD" w14:textId="77777777" w:rsidR="00380BE7" w:rsidRPr="00256982" w:rsidRDefault="00380BE7" w:rsidP="009574E7">
            <w:pPr>
              <w:pStyle w:val="TableText"/>
              <w:rPr>
                <w:rFonts w:eastAsia="Arial"/>
              </w:rPr>
            </w:pPr>
            <w:r w:rsidRPr="00256982">
              <w:rPr>
                <w:rFonts w:eastAsia="Arial"/>
              </w:rPr>
              <w:t>Grassland with woody biomass</w:t>
            </w:r>
          </w:p>
        </w:tc>
        <w:tc>
          <w:tcPr>
            <w:tcW w:w="1275" w:type="dxa"/>
            <w:tcBorders>
              <w:top w:val="single" w:sz="4" w:space="0" w:color="365F91"/>
              <w:left w:val="nil"/>
              <w:bottom w:val="single" w:sz="4" w:space="0" w:color="365F91"/>
              <w:right w:val="nil"/>
            </w:tcBorders>
            <w:shd w:val="clear" w:color="auto" w:fill="auto"/>
          </w:tcPr>
          <w:p w14:paraId="60338E9E" w14:textId="77777777" w:rsidR="00380BE7" w:rsidRPr="00256982" w:rsidRDefault="00380BE7" w:rsidP="009574E7">
            <w:pPr>
              <w:pStyle w:val="TableText"/>
              <w:jc w:val="right"/>
              <w:rPr>
                <w:rFonts w:eastAsia="Arial"/>
              </w:rPr>
            </w:pPr>
            <w:r w:rsidRPr="00256982">
              <w:rPr>
                <w:rFonts w:eastAsia="Arial"/>
              </w:rPr>
              <w:t>–7.75</w:t>
            </w:r>
          </w:p>
        </w:tc>
        <w:tc>
          <w:tcPr>
            <w:tcW w:w="1584" w:type="dxa"/>
            <w:tcBorders>
              <w:top w:val="single" w:sz="4" w:space="0" w:color="365F91"/>
              <w:left w:val="nil"/>
              <w:bottom w:val="single" w:sz="4" w:space="0" w:color="365F91"/>
              <w:right w:val="nil"/>
            </w:tcBorders>
            <w:shd w:val="clear" w:color="auto" w:fill="auto"/>
          </w:tcPr>
          <w:p w14:paraId="34F338D0" w14:textId="77777777" w:rsidR="00380BE7" w:rsidRPr="00256982" w:rsidRDefault="00380BE7" w:rsidP="009574E7">
            <w:pPr>
              <w:pStyle w:val="TableText"/>
              <w:jc w:val="right"/>
              <w:rPr>
                <w:rFonts w:eastAsia="Arial"/>
              </w:rPr>
            </w:pPr>
            <w:r w:rsidRPr="00256982">
              <w:rPr>
                <w:rFonts w:eastAsia="Arial"/>
              </w:rPr>
              <w:t>3.68</w:t>
            </w:r>
          </w:p>
        </w:tc>
        <w:tc>
          <w:tcPr>
            <w:tcW w:w="1195" w:type="dxa"/>
            <w:tcBorders>
              <w:top w:val="single" w:sz="4" w:space="0" w:color="365F91"/>
              <w:left w:val="nil"/>
              <w:bottom w:val="single" w:sz="4" w:space="0" w:color="365F91"/>
              <w:right w:val="nil"/>
            </w:tcBorders>
            <w:shd w:val="clear" w:color="auto" w:fill="auto"/>
          </w:tcPr>
          <w:p w14:paraId="71D74F3D" w14:textId="77777777" w:rsidR="00380BE7" w:rsidRPr="00256982" w:rsidRDefault="00380BE7" w:rsidP="009574E7">
            <w:pPr>
              <w:pStyle w:val="TableText"/>
              <w:jc w:val="right"/>
              <w:rPr>
                <w:rFonts w:eastAsia="Arial"/>
              </w:rPr>
            </w:pPr>
            <w:r w:rsidRPr="00256982">
              <w:rPr>
                <w:rFonts w:eastAsia="Arial"/>
              </w:rPr>
              <w:t>–2.11</w:t>
            </w:r>
          </w:p>
        </w:tc>
        <w:tc>
          <w:tcPr>
            <w:tcW w:w="1196" w:type="dxa"/>
            <w:tcBorders>
              <w:top w:val="single" w:sz="4" w:space="0" w:color="365F91"/>
              <w:left w:val="nil"/>
              <w:bottom w:val="single" w:sz="4" w:space="0" w:color="365F91"/>
            </w:tcBorders>
            <w:shd w:val="clear" w:color="auto" w:fill="auto"/>
          </w:tcPr>
          <w:p w14:paraId="6C07C288" w14:textId="77777777" w:rsidR="00380BE7" w:rsidRPr="00256982" w:rsidRDefault="00380BE7" w:rsidP="009574E7">
            <w:pPr>
              <w:pStyle w:val="TableText"/>
              <w:jc w:val="right"/>
              <w:rPr>
                <w:rFonts w:eastAsia="Arial"/>
              </w:rPr>
            </w:pPr>
            <w:r w:rsidRPr="00256982">
              <w:rPr>
                <w:rFonts w:eastAsia="Arial"/>
              </w:rPr>
              <w:t>0.0350</w:t>
            </w:r>
          </w:p>
        </w:tc>
      </w:tr>
      <w:tr w:rsidR="00380BE7" w:rsidRPr="00256982" w14:paraId="6765118A" w14:textId="77777777" w:rsidTr="009574E7">
        <w:tc>
          <w:tcPr>
            <w:tcW w:w="2745" w:type="dxa"/>
            <w:tcBorders>
              <w:top w:val="single" w:sz="4" w:space="0" w:color="365F91"/>
              <w:bottom w:val="single" w:sz="4" w:space="0" w:color="365F91"/>
              <w:right w:val="nil"/>
            </w:tcBorders>
            <w:shd w:val="clear" w:color="auto" w:fill="auto"/>
          </w:tcPr>
          <w:p w14:paraId="30EB303C" w14:textId="77777777" w:rsidR="00380BE7" w:rsidRPr="00256982" w:rsidRDefault="00380BE7" w:rsidP="009574E7">
            <w:pPr>
              <w:pStyle w:val="TableText"/>
              <w:rPr>
                <w:rFonts w:eastAsia="Arial"/>
              </w:rPr>
            </w:pPr>
            <w:r w:rsidRPr="00256982">
              <w:rPr>
                <w:rFonts w:eastAsia="Arial"/>
              </w:rPr>
              <w:t>Perennial cropland</w:t>
            </w:r>
          </w:p>
        </w:tc>
        <w:tc>
          <w:tcPr>
            <w:tcW w:w="1275" w:type="dxa"/>
            <w:tcBorders>
              <w:top w:val="single" w:sz="4" w:space="0" w:color="365F91"/>
              <w:left w:val="nil"/>
              <w:bottom w:val="single" w:sz="4" w:space="0" w:color="365F91"/>
              <w:right w:val="nil"/>
            </w:tcBorders>
            <w:shd w:val="clear" w:color="auto" w:fill="auto"/>
          </w:tcPr>
          <w:p w14:paraId="49A649CF" w14:textId="77777777" w:rsidR="00380BE7" w:rsidRPr="00256982" w:rsidRDefault="00380BE7" w:rsidP="009574E7">
            <w:pPr>
              <w:pStyle w:val="TableText"/>
              <w:jc w:val="right"/>
              <w:rPr>
                <w:rFonts w:eastAsia="Arial"/>
              </w:rPr>
            </w:pPr>
            <w:r w:rsidRPr="00256982">
              <w:rPr>
                <w:rFonts w:eastAsia="Arial"/>
              </w:rPr>
              <w:t>–17.54</w:t>
            </w:r>
          </w:p>
        </w:tc>
        <w:tc>
          <w:tcPr>
            <w:tcW w:w="1584" w:type="dxa"/>
            <w:tcBorders>
              <w:top w:val="single" w:sz="4" w:space="0" w:color="365F91"/>
              <w:left w:val="nil"/>
              <w:bottom w:val="single" w:sz="4" w:space="0" w:color="365F91"/>
              <w:right w:val="nil"/>
            </w:tcBorders>
            <w:shd w:val="clear" w:color="auto" w:fill="auto"/>
          </w:tcPr>
          <w:p w14:paraId="0B6A71A4" w14:textId="77777777" w:rsidR="00380BE7" w:rsidRPr="00256982" w:rsidRDefault="00380BE7" w:rsidP="009574E7">
            <w:pPr>
              <w:pStyle w:val="TableText"/>
              <w:jc w:val="right"/>
              <w:rPr>
                <w:rFonts w:eastAsia="Arial"/>
              </w:rPr>
            </w:pPr>
            <w:r w:rsidRPr="00256982">
              <w:rPr>
                <w:rFonts w:eastAsia="Arial"/>
              </w:rPr>
              <w:t>6.37</w:t>
            </w:r>
          </w:p>
        </w:tc>
        <w:tc>
          <w:tcPr>
            <w:tcW w:w="1195" w:type="dxa"/>
            <w:tcBorders>
              <w:top w:val="single" w:sz="4" w:space="0" w:color="365F91"/>
              <w:left w:val="nil"/>
              <w:bottom w:val="single" w:sz="4" w:space="0" w:color="365F91"/>
              <w:right w:val="nil"/>
            </w:tcBorders>
            <w:shd w:val="clear" w:color="auto" w:fill="auto"/>
          </w:tcPr>
          <w:p w14:paraId="0D965DDF" w14:textId="77777777" w:rsidR="00380BE7" w:rsidRPr="00256982" w:rsidRDefault="00380BE7" w:rsidP="009574E7">
            <w:pPr>
              <w:pStyle w:val="TableText"/>
              <w:jc w:val="right"/>
              <w:rPr>
                <w:rFonts w:eastAsia="Arial"/>
              </w:rPr>
            </w:pPr>
            <w:r w:rsidRPr="00256982">
              <w:rPr>
                <w:rFonts w:eastAsia="Arial"/>
              </w:rPr>
              <w:t>–2.76</w:t>
            </w:r>
          </w:p>
        </w:tc>
        <w:tc>
          <w:tcPr>
            <w:tcW w:w="1196" w:type="dxa"/>
            <w:tcBorders>
              <w:top w:val="single" w:sz="4" w:space="0" w:color="365F91"/>
              <w:left w:val="nil"/>
              <w:bottom w:val="single" w:sz="4" w:space="0" w:color="365F91"/>
            </w:tcBorders>
            <w:shd w:val="clear" w:color="auto" w:fill="auto"/>
          </w:tcPr>
          <w:p w14:paraId="5C9BFDD1" w14:textId="77777777" w:rsidR="00380BE7" w:rsidRPr="00256982" w:rsidRDefault="00380BE7" w:rsidP="009574E7">
            <w:pPr>
              <w:pStyle w:val="TableText"/>
              <w:jc w:val="right"/>
              <w:rPr>
                <w:rFonts w:eastAsia="Arial"/>
              </w:rPr>
            </w:pPr>
            <w:r w:rsidRPr="00256982">
              <w:rPr>
                <w:rFonts w:eastAsia="Arial"/>
              </w:rPr>
              <w:t>0.0059</w:t>
            </w:r>
          </w:p>
        </w:tc>
      </w:tr>
      <w:tr w:rsidR="00380BE7" w:rsidRPr="00256982" w14:paraId="212F72A3" w14:textId="77777777" w:rsidTr="009574E7">
        <w:tc>
          <w:tcPr>
            <w:tcW w:w="2745" w:type="dxa"/>
            <w:tcBorders>
              <w:top w:val="single" w:sz="4" w:space="0" w:color="365F91"/>
              <w:bottom w:val="single" w:sz="4" w:space="0" w:color="365F91"/>
              <w:right w:val="nil"/>
            </w:tcBorders>
            <w:shd w:val="clear" w:color="auto" w:fill="auto"/>
          </w:tcPr>
          <w:p w14:paraId="2B5EDA70" w14:textId="77777777" w:rsidR="00380BE7" w:rsidRPr="00256982" w:rsidRDefault="00380BE7" w:rsidP="009574E7">
            <w:pPr>
              <w:pStyle w:val="TableText"/>
              <w:rPr>
                <w:rFonts w:eastAsia="Arial"/>
              </w:rPr>
            </w:pPr>
            <w:r w:rsidRPr="00256982">
              <w:rPr>
                <w:rFonts w:eastAsia="Arial"/>
              </w:rPr>
              <w:t>Annual cropland</w:t>
            </w:r>
          </w:p>
        </w:tc>
        <w:tc>
          <w:tcPr>
            <w:tcW w:w="1275" w:type="dxa"/>
            <w:tcBorders>
              <w:top w:val="single" w:sz="4" w:space="0" w:color="365F91"/>
              <w:left w:val="nil"/>
              <w:bottom w:val="single" w:sz="4" w:space="0" w:color="365F91"/>
              <w:right w:val="nil"/>
            </w:tcBorders>
            <w:shd w:val="clear" w:color="auto" w:fill="auto"/>
          </w:tcPr>
          <w:p w14:paraId="70EEC577" w14:textId="77777777" w:rsidR="00380BE7" w:rsidRPr="00256982" w:rsidRDefault="00380BE7" w:rsidP="009574E7">
            <w:pPr>
              <w:pStyle w:val="TableText"/>
              <w:jc w:val="right"/>
              <w:rPr>
                <w:rFonts w:eastAsia="Arial"/>
              </w:rPr>
            </w:pPr>
            <w:r w:rsidRPr="00256982">
              <w:rPr>
                <w:rFonts w:eastAsia="Arial"/>
              </w:rPr>
              <w:t>–16.21</w:t>
            </w:r>
          </w:p>
        </w:tc>
        <w:tc>
          <w:tcPr>
            <w:tcW w:w="1584" w:type="dxa"/>
            <w:tcBorders>
              <w:top w:val="single" w:sz="4" w:space="0" w:color="365F91"/>
              <w:left w:val="nil"/>
              <w:bottom w:val="single" w:sz="4" w:space="0" w:color="365F91"/>
              <w:right w:val="nil"/>
            </w:tcBorders>
            <w:shd w:val="clear" w:color="auto" w:fill="auto"/>
          </w:tcPr>
          <w:p w14:paraId="131A4AB6" w14:textId="77777777" w:rsidR="00380BE7" w:rsidRPr="00256982" w:rsidRDefault="00380BE7" w:rsidP="009574E7">
            <w:pPr>
              <w:pStyle w:val="TableText"/>
              <w:jc w:val="right"/>
              <w:rPr>
                <w:rFonts w:eastAsia="Arial"/>
              </w:rPr>
            </w:pPr>
            <w:r w:rsidRPr="00256982">
              <w:rPr>
                <w:rFonts w:eastAsia="Arial"/>
              </w:rPr>
              <w:t>4.45</w:t>
            </w:r>
          </w:p>
        </w:tc>
        <w:tc>
          <w:tcPr>
            <w:tcW w:w="1195" w:type="dxa"/>
            <w:tcBorders>
              <w:top w:val="single" w:sz="4" w:space="0" w:color="365F91"/>
              <w:left w:val="nil"/>
              <w:bottom w:val="single" w:sz="4" w:space="0" w:color="365F91"/>
              <w:right w:val="nil"/>
            </w:tcBorders>
            <w:shd w:val="clear" w:color="auto" w:fill="auto"/>
          </w:tcPr>
          <w:p w14:paraId="72B0F1EB" w14:textId="77777777" w:rsidR="00380BE7" w:rsidRPr="00256982" w:rsidRDefault="00380BE7" w:rsidP="009574E7">
            <w:pPr>
              <w:pStyle w:val="TableText"/>
              <w:jc w:val="right"/>
              <w:rPr>
                <w:rFonts w:eastAsia="Arial"/>
              </w:rPr>
            </w:pPr>
            <w:r w:rsidRPr="00256982">
              <w:rPr>
                <w:rFonts w:eastAsia="Arial"/>
              </w:rPr>
              <w:t>–3.64</w:t>
            </w:r>
          </w:p>
        </w:tc>
        <w:tc>
          <w:tcPr>
            <w:tcW w:w="1196" w:type="dxa"/>
            <w:tcBorders>
              <w:top w:val="single" w:sz="4" w:space="0" w:color="365F91"/>
              <w:left w:val="nil"/>
              <w:bottom w:val="single" w:sz="4" w:space="0" w:color="365F91"/>
            </w:tcBorders>
            <w:shd w:val="clear" w:color="auto" w:fill="auto"/>
          </w:tcPr>
          <w:p w14:paraId="093DC15B" w14:textId="77777777" w:rsidR="00380BE7" w:rsidRPr="00256982" w:rsidRDefault="00380BE7" w:rsidP="009574E7">
            <w:pPr>
              <w:pStyle w:val="TableText"/>
              <w:jc w:val="right"/>
              <w:rPr>
                <w:rFonts w:eastAsia="Arial"/>
              </w:rPr>
            </w:pPr>
            <w:r w:rsidRPr="00256982">
              <w:rPr>
                <w:rFonts w:eastAsia="Arial"/>
              </w:rPr>
              <w:t>0.0003</w:t>
            </w:r>
          </w:p>
        </w:tc>
      </w:tr>
      <w:tr w:rsidR="00380BE7" w:rsidRPr="00256982" w14:paraId="64889EC5" w14:textId="77777777" w:rsidTr="009574E7">
        <w:tc>
          <w:tcPr>
            <w:tcW w:w="2745" w:type="dxa"/>
            <w:tcBorders>
              <w:top w:val="single" w:sz="4" w:space="0" w:color="365F91"/>
              <w:bottom w:val="single" w:sz="4" w:space="0" w:color="365F91"/>
              <w:right w:val="nil"/>
            </w:tcBorders>
            <w:shd w:val="clear" w:color="auto" w:fill="auto"/>
          </w:tcPr>
          <w:p w14:paraId="344DA1FF" w14:textId="77777777" w:rsidR="00380BE7" w:rsidRPr="00256982" w:rsidRDefault="00380BE7" w:rsidP="009574E7">
            <w:pPr>
              <w:pStyle w:val="TableText"/>
              <w:rPr>
                <w:rFonts w:eastAsia="Arial"/>
              </w:rPr>
            </w:pPr>
            <w:r w:rsidRPr="00256982">
              <w:rPr>
                <w:rFonts w:eastAsia="Arial"/>
              </w:rPr>
              <w:t>Vegetated wetland</w:t>
            </w:r>
          </w:p>
        </w:tc>
        <w:tc>
          <w:tcPr>
            <w:tcW w:w="1275" w:type="dxa"/>
            <w:tcBorders>
              <w:top w:val="single" w:sz="4" w:space="0" w:color="365F91"/>
              <w:left w:val="nil"/>
              <w:bottom w:val="single" w:sz="4" w:space="0" w:color="365F91"/>
              <w:right w:val="nil"/>
            </w:tcBorders>
            <w:shd w:val="clear" w:color="auto" w:fill="auto"/>
          </w:tcPr>
          <w:p w14:paraId="214C71C1" w14:textId="77777777" w:rsidR="00380BE7" w:rsidRPr="00256982" w:rsidRDefault="00380BE7" w:rsidP="009574E7">
            <w:pPr>
              <w:pStyle w:val="TableText"/>
              <w:jc w:val="right"/>
              <w:rPr>
                <w:rFonts w:eastAsia="Arial"/>
              </w:rPr>
            </w:pPr>
            <w:r w:rsidRPr="00256982">
              <w:rPr>
                <w:rFonts w:eastAsia="Arial"/>
              </w:rPr>
              <w:t>30.08</w:t>
            </w:r>
          </w:p>
        </w:tc>
        <w:tc>
          <w:tcPr>
            <w:tcW w:w="1584" w:type="dxa"/>
            <w:tcBorders>
              <w:top w:val="single" w:sz="4" w:space="0" w:color="365F91"/>
              <w:left w:val="nil"/>
              <w:bottom w:val="single" w:sz="4" w:space="0" w:color="365F91"/>
              <w:right w:val="nil"/>
            </w:tcBorders>
            <w:shd w:val="clear" w:color="auto" w:fill="auto"/>
          </w:tcPr>
          <w:p w14:paraId="0CB4C2D9" w14:textId="77777777" w:rsidR="00380BE7" w:rsidRPr="00256982" w:rsidRDefault="00380BE7" w:rsidP="009574E7">
            <w:pPr>
              <w:pStyle w:val="TableText"/>
              <w:jc w:val="right"/>
              <w:rPr>
                <w:rFonts w:eastAsia="Arial"/>
              </w:rPr>
            </w:pPr>
            <w:r w:rsidRPr="00256982">
              <w:rPr>
                <w:rFonts w:eastAsia="Arial"/>
              </w:rPr>
              <w:t>8.53</w:t>
            </w:r>
          </w:p>
        </w:tc>
        <w:tc>
          <w:tcPr>
            <w:tcW w:w="1195" w:type="dxa"/>
            <w:tcBorders>
              <w:top w:val="single" w:sz="4" w:space="0" w:color="365F91"/>
              <w:left w:val="nil"/>
              <w:bottom w:val="single" w:sz="4" w:space="0" w:color="365F91"/>
              <w:right w:val="nil"/>
            </w:tcBorders>
            <w:shd w:val="clear" w:color="auto" w:fill="auto"/>
          </w:tcPr>
          <w:p w14:paraId="0DA3A81F" w14:textId="77777777" w:rsidR="00380BE7" w:rsidRPr="00256982" w:rsidRDefault="00380BE7" w:rsidP="009574E7">
            <w:pPr>
              <w:pStyle w:val="TableText"/>
              <w:jc w:val="right"/>
              <w:rPr>
                <w:rFonts w:eastAsia="Arial"/>
              </w:rPr>
            </w:pPr>
            <w:r w:rsidRPr="00256982">
              <w:rPr>
                <w:rFonts w:eastAsia="Arial"/>
              </w:rPr>
              <w:t>3.52</w:t>
            </w:r>
          </w:p>
        </w:tc>
        <w:tc>
          <w:tcPr>
            <w:tcW w:w="1196" w:type="dxa"/>
            <w:tcBorders>
              <w:top w:val="single" w:sz="4" w:space="0" w:color="365F91"/>
              <w:left w:val="nil"/>
              <w:bottom w:val="single" w:sz="4" w:space="0" w:color="365F91"/>
            </w:tcBorders>
            <w:shd w:val="clear" w:color="auto" w:fill="auto"/>
          </w:tcPr>
          <w:p w14:paraId="5A7563F5" w14:textId="77777777" w:rsidR="00380BE7" w:rsidRPr="00256982" w:rsidRDefault="00380BE7" w:rsidP="009574E7">
            <w:pPr>
              <w:pStyle w:val="TableText"/>
              <w:jc w:val="right"/>
              <w:rPr>
                <w:rFonts w:eastAsia="Arial"/>
              </w:rPr>
            </w:pPr>
            <w:r w:rsidRPr="00256982">
              <w:rPr>
                <w:rFonts w:eastAsia="Arial"/>
              </w:rPr>
              <w:t>0.0004</w:t>
            </w:r>
          </w:p>
        </w:tc>
      </w:tr>
      <w:tr w:rsidR="00380BE7" w:rsidRPr="00256982" w14:paraId="1A1D2F42" w14:textId="77777777" w:rsidTr="009574E7">
        <w:tc>
          <w:tcPr>
            <w:tcW w:w="2745" w:type="dxa"/>
            <w:tcBorders>
              <w:top w:val="single" w:sz="4" w:space="0" w:color="365F91"/>
              <w:bottom w:val="single" w:sz="4" w:space="0" w:color="365F91"/>
              <w:right w:val="nil"/>
            </w:tcBorders>
            <w:shd w:val="clear" w:color="auto" w:fill="auto"/>
          </w:tcPr>
          <w:p w14:paraId="683FD391" w14:textId="77777777" w:rsidR="00380BE7" w:rsidRPr="00256982" w:rsidRDefault="00380BE7" w:rsidP="009574E7">
            <w:pPr>
              <w:pStyle w:val="TableText"/>
              <w:rPr>
                <w:rFonts w:eastAsia="Arial"/>
              </w:rPr>
            </w:pPr>
            <w:r w:rsidRPr="00256982">
              <w:rPr>
                <w:rFonts w:eastAsia="Arial"/>
              </w:rPr>
              <w:t>Pre-1990 planted forest</w:t>
            </w:r>
          </w:p>
        </w:tc>
        <w:tc>
          <w:tcPr>
            <w:tcW w:w="1275" w:type="dxa"/>
            <w:tcBorders>
              <w:top w:val="single" w:sz="4" w:space="0" w:color="365F91"/>
              <w:left w:val="nil"/>
              <w:bottom w:val="single" w:sz="4" w:space="0" w:color="365F91"/>
              <w:right w:val="nil"/>
            </w:tcBorders>
            <w:shd w:val="clear" w:color="auto" w:fill="auto"/>
          </w:tcPr>
          <w:p w14:paraId="73A44002" w14:textId="77777777" w:rsidR="00380BE7" w:rsidRPr="00256982" w:rsidRDefault="00380BE7" w:rsidP="009574E7">
            <w:pPr>
              <w:pStyle w:val="TableText"/>
              <w:jc w:val="right"/>
              <w:rPr>
                <w:rFonts w:eastAsia="Arial"/>
              </w:rPr>
            </w:pPr>
            <w:r w:rsidRPr="00256982">
              <w:rPr>
                <w:rFonts w:eastAsia="Arial"/>
              </w:rPr>
              <w:t>–13.54</w:t>
            </w:r>
          </w:p>
        </w:tc>
        <w:tc>
          <w:tcPr>
            <w:tcW w:w="1584" w:type="dxa"/>
            <w:tcBorders>
              <w:top w:val="single" w:sz="4" w:space="0" w:color="365F91"/>
              <w:left w:val="nil"/>
              <w:bottom w:val="single" w:sz="4" w:space="0" w:color="365F91"/>
              <w:right w:val="nil"/>
            </w:tcBorders>
            <w:shd w:val="clear" w:color="auto" w:fill="auto"/>
          </w:tcPr>
          <w:p w14:paraId="7F3880DD" w14:textId="77777777" w:rsidR="00380BE7" w:rsidRPr="00256982" w:rsidRDefault="00380BE7" w:rsidP="009574E7">
            <w:pPr>
              <w:pStyle w:val="TableText"/>
              <w:jc w:val="right"/>
              <w:rPr>
                <w:rFonts w:eastAsia="Arial"/>
              </w:rPr>
            </w:pPr>
            <w:r w:rsidRPr="00256982">
              <w:rPr>
                <w:rFonts w:eastAsia="Arial"/>
              </w:rPr>
              <w:t>5.78</w:t>
            </w:r>
          </w:p>
        </w:tc>
        <w:tc>
          <w:tcPr>
            <w:tcW w:w="1195" w:type="dxa"/>
            <w:tcBorders>
              <w:top w:val="single" w:sz="4" w:space="0" w:color="365F91"/>
              <w:left w:val="nil"/>
              <w:bottom w:val="single" w:sz="4" w:space="0" w:color="365F91"/>
              <w:right w:val="nil"/>
            </w:tcBorders>
            <w:shd w:val="clear" w:color="auto" w:fill="auto"/>
          </w:tcPr>
          <w:p w14:paraId="35B48D1B" w14:textId="77777777" w:rsidR="00380BE7" w:rsidRPr="00256982" w:rsidRDefault="00380BE7" w:rsidP="009574E7">
            <w:pPr>
              <w:pStyle w:val="TableText"/>
              <w:jc w:val="right"/>
              <w:rPr>
                <w:rFonts w:eastAsia="Arial"/>
              </w:rPr>
            </w:pPr>
            <w:r w:rsidRPr="00256982">
              <w:rPr>
                <w:rFonts w:eastAsia="Arial"/>
              </w:rPr>
              <w:t>–2.34</w:t>
            </w:r>
          </w:p>
        </w:tc>
        <w:tc>
          <w:tcPr>
            <w:tcW w:w="1196" w:type="dxa"/>
            <w:tcBorders>
              <w:top w:val="single" w:sz="4" w:space="0" w:color="365F91"/>
              <w:left w:val="nil"/>
              <w:bottom w:val="single" w:sz="4" w:space="0" w:color="365F91"/>
            </w:tcBorders>
            <w:shd w:val="clear" w:color="auto" w:fill="auto"/>
          </w:tcPr>
          <w:p w14:paraId="6A961129" w14:textId="77777777" w:rsidR="00380BE7" w:rsidRPr="00256982" w:rsidRDefault="00380BE7" w:rsidP="009574E7">
            <w:pPr>
              <w:pStyle w:val="TableText"/>
              <w:jc w:val="right"/>
              <w:rPr>
                <w:rFonts w:eastAsia="Arial"/>
              </w:rPr>
            </w:pPr>
            <w:r w:rsidRPr="00256982">
              <w:rPr>
                <w:rFonts w:eastAsia="Arial"/>
              </w:rPr>
              <w:t>0.0193</w:t>
            </w:r>
          </w:p>
        </w:tc>
      </w:tr>
      <w:tr w:rsidR="00380BE7" w:rsidRPr="00256982" w14:paraId="7BF6BEC0" w14:textId="77777777" w:rsidTr="009574E7">
        <w:tc>
          <w:tcPr>
            <w:tcW w:w="2745" w:type="dxa"/>
            <w:tcBorders>
              <w:top w:val="single" w:sz="4" w:space="0" w:color="365F91"/>
              <w:bottom w:val="single" w:sz="4" w:space="0" w:color="365F91"/>
              <w:right w:val="nil"/>
            </w:tcBorders>
            <w:shd w:val="clear" w:color="auto" w:fill="auto"/>
          </w:tcPr>
          <w:p w14:paraId="6CAAB6E3" w14:textId="77777777" w:rsidR="00380BE7" w:rsidRPr="00256982" w:rsidRDefault="00380BE7" w:rsidP="009574E7">
            <w:pPr>
              <w:pStyle w:val="TableText"/>
              <w:rPr>
                <w:rFonts w:eastAsia="Arial"/>
              </w:rPr>
            </w:pPr>
            <w:r w:rsidRPr="00256982">
              <w:rPr>
                <w:rFonts w:eastAsia="Arial"/>
              </w:rPr>
              <w:t>Post-1989 planted forest</w:t>
            </w:r>
          </w:p>
        </w:tc>
        <w:tc>
          <w:tcPr>
            <w:tcW w:w="1275" w:type="dxa"/>
            <w:tcBorders>
              <w:top w:val="single" w:sz="4" w:space="0" w:color="365F91"/>
              <w:left w:val="nil"/>
              <w:bottom w:val="single" w:sz="4" w:space="0" w:color="365F91"/>
              <w:right w:val="nil"/>
            </w:tcBorders>
            <w:shd w:val="clear" w:color="auto" w:fill="auto"/>
          </w:tcPr>
          <w:p w14:paraId="6C372058" w14:textId="77777777" w:rsidR="00380BE7" w:rsidRPr="00256982" w:rsidRDefault="00380BE7" w:rsidP="009574E7">
            <w:pPr>
              <w:pStyle w:val="TableText"/>
              <w:jc w:val="right"/>
              <w:rPr>
                <w:rFonts w:eastAsia="Arial"/>
              </w:rPr>
            </w:pPr>
            <w:r w:rsidRPr="00256982">
              <w:rPr>
                <w:rFonts w:eastAsia="Arial"/>
              </w:rPr>
              <w:t>–14.06</w:t>
            </w:r>
          </w:p>
        </w:tc>
        <w:tc>
          <w:tcPr>
            <w:tcW w:w="1584" w:type="dxa"/>
            <w:tcBorders>
              <w:top w:val="single" w:sz="4" w:space="0" w:color="365F91"/>
              <w:left w:val="nil"/>
              <w:bottom w:val="single" w:sz="4" w:space="0" w:color="365F91"/>
              <w:right w:val="nil"/>
            </w:tcBorders>
            <w:shd w:val="clear" w:color="auto" w:fill="auto"/>
          </w:tcPr>
          <w:p w14:paraId="19E0AFCE" w14:textId="77777777" w:rsidR="00380BE7" w:rsidRPr="00256982" w:rsidRDefault="00380BE7" w:rsidP="009574E7">
            <w:pPr>
              <w:pStyle w:val="TableText"/>
              <w:jc w:val="right"/>
              <w:rPr>
                <w:rFonts w:eastAsia="Arial"/>
              </w:rPr>
            </w:pPr>
            <w:r w:rsidRPr="00256982">
              <w:rPr>
                <w:rFonts w:eastAsia="Arial"/>
              </w:rPr>
              <w:t>4.86</w:t>
            </w:r>
          </w:p>
        </w:tc>
        <w:tc>
          <w:tcPr>
            <w:tcW w:w="1195" w:type="dxa"/>
            <w:tcBorders>
              <w:top w:val="single" w:sz="4" w:space="0" w:color="365F91"/>
              <w:left w:val="nil"/>
              <w:bottom w:val="single" w:sz="4" w:space="0" w:color="365F91"/>
              <w:right w:val="nil"/>
            </w:tcBorders>
            <w:shd w:val="clear" w:color="auto" w:fill="auto"/>
          </w:tcPr>
          <w:p w14:paraId="5BC53199" w14:textId="77777777" w:rsidR="00380BE7" w:rsidRPr="00256982" w:rsidRDefault="00380BE7" w:rsidP="009574E7">
            <w:pPr>
              <w:pStyle w:val="TableText"/>
              <w:jc w:val="right"/>
              <w:rPr>
                <w:rFonts w:eastAsia="Arial"/>
              </w:rPr>
            </w:pPr>
            <w:r w:rsidRPr="00256982">
              <w:rPr>
                <w:rFonts w:eastAsia="Arial"/>
              </w:rPr>
              <w:t>–2.90</w:t>
            </w:r>
          </w:p>
        </w:tc>
        <w:tc>
          <w:tcPr>
            <w:tcW w:w="1196" w:type="dxa"/>
            <w:tcBorders>
              <w:top w:val="single" w:sz="4" w:space="0" w:color="365F91"/>
              <w:left w:val="nil"/>
              <w:bottom w:val="single" w:sz="4" w:space="0" w:color="365F91"/>
            </w:tcBorders>
            <w:shd w:val="clear" w:color="auto" w:fill="auto"/>
          </w:tcPr>
          <w:p w14:paraId="370CAA87" w14:textId="77777777" w:rsidR="00380BE7" w:rsidRPr="00256982" w:rsidRDefault="00380BE7" w:rsidP="009574E7">
            <w:pPr>
              <w:pStyle w:val="TableText"/>
              <w:jc w:val="right"/>
              <w:rPr>
                <w:rFonts w:eastAsia="Arial"/>
              </w:rPr>
            </w:pPr>
            <w:r w:rsidRPr="00256982">
              <w:rPr>
                <w:rFonts w:eastAsia="Arial"/>
              </w:rPr>
              <w:t>0.0038</w:t>
            </w:r>
          </w:p>
        </w:tc>
      </w:tr>
      <w:tr w:rsidR="00380BE7" w:rsidRPr="00256982" w14:paraId="1D62C65D" w14:textId="77777777" w:rsidTr="009574E7">
        <w:tc>
          <w:tcPr>
            <w:tcW w:w="2745" w:type="dxa"/>
            <w:tcBorders>
              <w:top w:val="single" w:sz="4" w:space="0" w:color="365F91"/>
              <w:bottom w:val="single" w:sz="4" w:space="0" w:color="365F91"/>
              <w:right w:val="nil"/>
            </w:tcBorders>
            <w:shd w:val="clear" w:color="auto" w:fill="auto"/>
          </w:tcPr>
          <w:p w14:paraId="4400D76B" w14:textId="77777777" w:rsidR="00380BE7" w:rsidRPr="00256982" w:rsidRDefault="00380BE7" w:rsidP="009574E7">
            <w:pPr>
              <w:pStyle w:val="TableText"/>
              <w:rPr>
                <w:rFonts w:eastAsia="Arial"/>
              </w:rPr>
            </w:pPr>
            <w:r w:rsidRPr="00256982">
              <w:rPr>
                <w:rFonts w:eastAsia="Arial"/>
              </w:rPr>
              <w:t>Pre-1990 natural forest</w:t>
            </w:r>
          </w:p>
        </w:tc>
        <w:tc>
          <w:tcPr>
            <w:tcW w:w="1275" w:type="dxa"/>
            <w:tcBorders>
              <w:top w:val="single" w:sz="4" w:space="0" w:color="365F91"/>
              <w:left w:val="nil"/>
              <w:bottom w:val="single" w:sz="4" w:space="0" w:color="365F91"/>
              <w:right w:val="nil"/>
            </w:tcBorders>
            <w:shd w:val="clear" w:color="auto" w:fill="auto"/>
          </w:tcPr>
          <w:p w14:paraId="6F54ED86" w14:textId="77777777" w:rsidR="00380BE7" w:rsidRPr="00256982" w:rsidRDefault="00380BE7" w:rsidP="009574E7">
            <w:pPr>
              <w:pStyle w:val="TableText"/>
              <w:jc w:val="right"/>
              <w:rPr>
                <w:rFonts w:eastAsia="Arial"/>
              </w:rPr>
            </w:pPr>
            <w:r w:rsidRPr="00256982">
              <w:rPr>
                <w:rFonts w:eastAsia="Arial"/>
              </w:rPr>
              <w:t>–13.73</w:t>
            </w:r>
          </w:p>
        </w:tc>
        <w:tc>
          <w:tcPr>
            <w:tcW w:w="1584" w:type="dxa"/>
            <w:tcBorders>
              <w:top w:val="single" w:sz="4" w:space="0" w:color="365F91"/>
              <w:left w:val="nil"/>
              <w:bottom w:val="single" w:sz="4" w:space="0" w:color="365F91"/>
              <w:right w:val="nil"/>
            </w:tcBorders>
            <w:shd w:val="clear" w:color="auto" w:fill="auto"/>
          </w:tcPr>
          <w:p w14:paraId="28291CBA" w14:textId="77777777" w:rsidR="00380BE7" w:rsidRPr="00256982" w:rsidRDefault="00380BE7" w:rsidP="009574E7">
            <w:pPr>
              <w:pStyle w:val="TableText"/>
              <w:jc w:val="right"/>
              <w:rPr>
                <w:rFonts w:eastAsia="Arial"/>
              </w:rPr>
            </w:pPr>
            <w:r w:rsidRPr="00256982">
              <w:rPr>
                <w:rFonts w:eastAsia="Arial"/>
              </w:rPr>
              <w:t>3.70</w:t>
            </w:r>
          </w:p>
        </w:tc>
        <w:tc>
          <w:tcPr>
            <w:tcW w:w="1195" w:type="dxa"/>
            <w:tcBorders>
              <w:top w:val="single" w:sz="4" w:space="0" w:color="365F91"/>
              <w:left w:val="nil"/>
              <w:bottom w:val="single" w:sz="4" w:space="0" w:color="365F91"/>
              <w:right w:val="nil"/>
            </w:tcBorders>
            <w:shd w:val="clear" w:color="auto" w:fill="auto"/>
          </w:tcPr>
          <w:p w14:paraId="4C3FC68A" w14:textId="77777777" w:rsidR="00380BE7" w:rsidRPr="00256982" w:rsidRDefault="00380BE7" w:rsidP="009574E7">
            <w:pPr>
              <w:pStyle w:val="TableText"/>
              <w:jc w:val="right"/>
              <w:rPr>
                <w:rFonts w:eastAsia="Arial"/>
              </w:rPr>
            </w:pPr>
            <w:r w:rsidRPr="00256982">
              <w:rPr>
                <w:rFonts w:eastAsia="Arial"/>
              </w:rPr>
              <w:t>–3.71</w:t>
            </w:r>
          </w:p>
        </w:tc>
        <w:tc>
          <w:tcPr>
            <w:tcW w:w="1196" w:type="dxa"/>
            <w:tcBorders>
              <w:top w:val="single" w:sz="4" w:space="0" w:color="365F91"/>
              <w:left w:val="nil"/>
              <w:bottom w:val="single" w:sz="4" w:space="0" w:color="365F91"/>
            </w:tcBorders>
            <w:shd w:val="clear" w:color="auto" w:fill="auto"/>
          </w:tcPr>
          <w:p w14:paraId="45B07419" w14:textId="77777777" w:rsidR="00380BE7" w:rsidRPr="00256982" w:rsidRDefault="00380BE7" w:rsidP="009574E7">
            <w:pPr>
              <w:pStyle w:val="TableText"/>
              <w:jc w:val="right"/>
              <w:rPr>
                <w:rFonts w:eastAsia="Arial"/>
              </w:rPr>
            </w:pPr>
            <w:r w:rsidRPr="00256982">
              <w:rPr>
                <w:rFonts w:eastAsia="Arial"/>
              </w:rPr>
              <w:t>0.0002</w:t>
            </w:r>
          </w:p>
        </w:tc>
      </w:tr>
      <w:tr w:rsidR="00380BE7" w:rsidRPr="00256982" w14:paraId="121BDEB4" w14:textId="77777777" w:rsidTr="009574E7">
        <w:tc>
          <w:tcPr>
            <w:tcW w:w="2745" w:type="dxa"/>
            <w:tcBorders>
              <w:top w:val="single" w:sz="4" w:space="0" w:color="365F91"/>
              <w:bottom w:val="single" w:sz="4" w:space="0" w:color="365F91"/>
              <w:right w:val="nil"/>
            </w:tcBorders>
            <w:shd w:val="clear" w:color="auto" w:fill="auto"/>
          </w:tcPr>
          <w:p w14:paraId="7160AB1C" w14:textId="77777777" w:rsidR="00380BE7" w:rsidRPr="00256982" w:rsidRDefault="00380BE7" w:rsidP="009574E7">
            <w:pPr>
              <w:pStyle w:val="TableText"/>
              <w:rPr>
                <w:rFonts w:eastAsia="Arial"/>
              </w:rPr>
            </w:pPr>
            <w:r w:rsidRPr="00256982">
              <w:rPr>
                <w:rFonts w:eastAsia="Arial"/>
              </w:rPr>
              <w:t>Other land</w:t>
            </w:r>
          </w:p>
        </w:tc>
        <w:tc>
          <w:tcPr>
            <w:tcW w:w="1275" w:type="dxa"/>
            <w:tcBorders>
              <w:top w:val="single" w:sz="4" w:space="0" w:color="365F91"/>
              <w:left w:val="nil"/>
              <w:bottom w:val="single" w:sz="4" w:space="0" w:color="365F91"/>
              <w:right w:val="nil"/>
            </w:tcBorders>
            <w:shd w:val="clear" w:color="auto" w:fill="auto"/>
          </w:tcPr>
          <w:p w14:paraId="24913C65" w14:textId="77777777" w:rsidR="00380BE7" w:rsidRPr="00256982" w:rsidRDefault="00380BE7" w:rsidP="009574E7">
            <w:pPr>
              <w:pStyle w:val="TableText"/>
              <w:jc w:val="right"/>
              <w:rPr>
                <w:rFonts w:eastAsia="Arial"/>
              </w:rPr>
            </w:pPr>
            <w:r w:rsidRPr="00256982">
              <w:rPr>
                <w:rFonts w:eastAsia="Arial"/>
              </w:rPr>
              <w:t>–47.61</w:t>
            </w:r>
          </w:p>
        </w:tc>
        <w:tc>
          <w:tcPr>
            <w:tcW w:w="1584" w:type="dxa"/>
            <w:tcBorders>
              <w:top w:val="single" w:sz="4" w:space="0" w:color="365F91"/>
              <w:left w:val="nil"/>
              <w:bottom w:val="single" w:sz="4" w:space="0" w:color="365F91"/>
              <w:right w:val="nil"/>
            </w:tcBorders>
            <w:shd w:val="clear" w:color="auto" w:fill="auto"/>
          </w:tcPr>
          <w:p w14:paraId="72C6C5D5" w14:textId="77777777" w:rsidR="00380BE7" w:rsidRPr="00256982" w:rsidRDefault="00380BE7" w:rsidP="009574E7">
            <w:pPr>
              <w:pStyle w:val="TableText"/>
              <w:jc w:val="right"/>
              <w:rPr>
                <w:rFonts w:eastAsia="Arial"/>
              </w:rPr>
            </w:pPr>
            <w:r w:rsidRPr="00256982">
              <w:rPr>
                <w:rFonts w:eastAsia="Arial"/>
              </w:rPr>
              <w:t>21.05</w:t>
            </w:r>
          </w:p>
        </w:tc>
        <w:tc>
          <w:tcPr>
            <w:tcW w:w="1195" w:type="dxa"/>
            <w:tcBorders>
              <w:top w:val="single" w:sz="4" w:space="0" w:color="365F91"/>
              <w:left w:val="nil"/>
              <w:bottom w:val="single" w:sz="4" w:space="0" w:color="365F91"/>
              <w:right w:val="nil"/>
            </w:tcBorders>
            <w:shd w:val="clear" w:color="auto" w:fill="auto"/>
          </w:tcPr>
          <w:p w14:paraId="4EA05FBC" w14:textId="77777777" w:rsidR="00380BE7" w:rsidRPr="00256982" w:rsidRDefault="00380BE7" w:rsidP="009574E7">
            <w:pPr>
              <w:pStyle w:val="TableText"/>
              <w:jc w:val="right"/>
              <w:rPr>
                <w:rFonts w:eastAsia="Arial"/>
              </w:rPr>
            </w:pPr>
            <w:r w:rsidRPr="00256982">
              <w:rPr>
                <w:rFonts w:eastAsia="Arial"/>
              </w:rPr>
              <w:t>–2.26</w:t>
            </w:r>
          </w:p>
        </w:tc>
        <w:tc>
          <w:tcPr>
            <w:tcW w:w="1196" w:type="dxa"/>
            <w:tcBorders>
              <w:top w:val="single" w:sz="4" w:space="0" w:color="365F91"/>
              <w:left w:val="nil"/>
              <w:bottom w:val="single" w:sz="4" w:space="0" w:color="365F91"/>
            </w:tcBorders>
            <w:shd w:val="clear" w:color="auto" w:fill="auto"/>
          </w:tcPr>
          <w:p w14:paraId="798583BD" w14:textId="77777777" w:rsidR="00380BE7" w:rsidRPr="00256982" w:rsidRDefault="00380BE7" w:rsidP="009574E7">
            <w:pPr>
              <w:pStyle w:val="TableText"/>
              <w:jc w:val="right"/>
              <w:rPr>
                <w:rFonts w:eastAsia="Arial"/>
              </w:rPr>
            </w:pPr>
            <w:r w:rsidRPr="00256982">
              <w:rPr>
                <w:rFonts w:eastAsia="Arial"/>
              </w:rPr>
              <w:t>0.0238</w:t>
            </w:r>
          </w:p>
        </w:tc>
      </w:tr>
    </w:tbl>
    <w:p w14:paraId="523B4860" w14:textId="77777777" w:rsidR="00380BE7" w:rsidRPr="00256982" w:rsidRDefault="00380BE7" w:rsidP="00380BE7">
      <w:pPr>
        <w:pStyle w:val="Source"/>
      </w:pPr>
      <w:r w:rsidRPr="00256982">
        <w:rPr>
          <w:b/>
          <w:bCs/>
        </w:rPr>
        <w:t>Source</w:t>
      </w:r>
      <w:r w:rsidRPr="00256982">
        <w:rPr>
          <w:b/>
        </w:rPr>
        <w:t xml:space="preserve">: </w:t>
      </w:r>
      <w:r w:rsidRPr="00256982">
        <w:t>McNeill and Barringer (unpublished)</w:t>
      </w:r>
    </w:p>
    <w:p w14:paraId="4754726D" w14:textId="77777777" w:rsidR="00380BE7" w:rsidRPr="00256982" w:rsidRDefault="00380BE7" w:rsidP="00380BE7">
      <w:pPr>
        <w:pStyle w:val="Noteundertable"/>
      </w:pPr>
      <w:r w:rsidRPr="00256982">
        <w:rPr>
          <w:b/>
        </w:rPr>
        <w:t>Note:</w:t>
      </w:r>
      <w:r w:rsidRPr="00256982">
        <w:tab/>
        <w:t xml:space="preserve">The model intercept (estimate for low producing grassland) is used for </w:t>
      </w:r>
      <w:r w:rsidRPr="00256982">
        <w:rPr>
          <w:i/>
        </w:rPr>
        <w:t>Settlements</w:t>
      </w:r>
      <w:r w:rsidRPr="00256982">
        <w:t xml:space="preserve"> and </w:t>
      </w:r>
      <w:r w:rsidRPr="00256982">
        <w:rPr>
          <w:i/>
        </w:rPr>
        <w:t>Wetlands – open water</w:t>
      </w:r>
      <w:r w:rsidRPr="00256982">
        <w:t xml:space="preserve"> land use categories due to lack of data.</w:t>
      </w:r>
    </w:p>
    <w:p w14:paraId="0DB69A7D" w14:textId="77777777" w:rsidR="00380BE7" w:rsidRPr="00256982" w:rsidRDefault="00380BE7" w:rsidP="00380BE7">
      <w:pPr>
        <w:pStyle w:val="Table"/>
        <w:spacing w:before="240"/>
      </w:pPr>
      <w:bookmarkStart w:id="1201" w:name="_Toc443645370"/>
      <w:bookmarkStart w:id="1202" w:name="_Toc474914589"/>
      <w:bookmarkStart w:id="1203" w:name="_Toc481751553"/>
      <w:bookmarkStart w:id="1204" w:name="_Toc522010610"/>
      <w:bookmarkStart w:id="1205" w:name="_Toc5269515"/>
      <w:bookmarkStart w:id="1206" w:name="_Toc378853288"/>
      <w:bookmarkStart w:id="1207" w:name="_Toc391024086"/>
      <w:bookmarkStart w:id="1208" w:name="_Toc410028829"/>
      <w:bookmarkStart w:id="1209" w:name="_Toc414531457"/>
      <w:r w:rsidRPr="00256982">
        <w:lastRenderedPageBreak/>
        <w:t>Table 6.3.2</w:t>
      </w:r>
      <w:r w:rsidRPr="00256982">
        <w:tab/>
        <w:t>Steady state soil organic carbon stocks, with 95 per cent confidence intervals,</w:t>
      </w:r>
      <w:r w:rsidRPr="00256982">
        <w:br/>
        <w:t>calculated from Soil CMS model</w:t>
      </w:r>
      <w:bookmarkEnd w:id="1201"/>
      <w:bookmarkEnd w:id="1202"/>
      <w:bookmarkEnd w:id="1203"/>
      <w:bookmarkEnd w:id="1204"/>
      <w:bookmarkEnd w:id="1205"/>
      <w:r w:rsidRPr="00256982">
        <w:t xml:space="preserve"> </w:t>
      </w:r>
      <w:bookmarkEnd w:id="1206"/>
      <w:bookmarkEnd w:id="1207"/>
      <w:bookmarkEnd w:id="1208"/>
      <w:bookmarkEnd w:id="1209"/>
    </w:p>
    <w:tbl>
      <w:tblPr>
        <w:tblW w:w="8505" w:type="dxa"/>
        <w:tblInd w:w="108" w:type="dxa"/>
        <w:tblLayout w:type="fixed"/>
        <w:tblLook w:val="04A0" w:firstRow="1" w:lastRow="0" w:firstColumn="1" w:lastColumn="0" w:noHBand="0" w:noVBand="1"/>
      </w:tblPr>
      <w:tblGrid>
        <w:gridCol w:w="3098"/>
        <w:gridCol w:w="1954"/>
        <w:gridCol w:w="1726"/>
        <w:gridCol w:w="1727"/>
      </w:tblGrid>
      <w:tr w:rsidR="00380BE7" w:rsidRPr="00256982" w14:paraId="0CEF6A4E" w14:textId="77777777" w:rsidTr="009574E7">
        <w:tc>
          <w:tcPr>
            <w:tcW w:w="2880" w:type="dxa"/>
            <w:vMerge w:val="restart"/>
            <w:tcBorders>
              <w:top w:val="single" w:sz="4" w:space="0" w:color="365F91"/>
            </w:tcBorders>
            <w:shd w:val="clear" w:color="auto" w:fill="376092"/>
            <w:noWrap/>
            <w:vAlign w:val="bottom"/>
          </w:tcPr>
          <w:p w14:paraId="31516D8D" w14:textId="77777777" w:rsidR="00380BE7" w:rsidRPr="00256982" w:rsidRDefault="00380BE7" w:rsidP="0085587E">
            <w:pPr>
              <w:pStyle w:val="TableTextBold"/>
              <w:keepNext/>
              <w:rPr>
                <w:noProof w:val="0"/>
                <w:color w:val="FFFFFF"/>
                <w:lang w:eastAsia="en-NZ"/>
              </w:rPr>
            </w:pPr>
            <w:r w:rsidRPr="00256982">
              <w:rPr>
                <w:noProof w:val="0"/>
                <w:color w:val="FFFFFF"/>
                <w:lang w:eastAsia="en-NZ"/>
              </w:rPr>
              <w:t>Land use</w:t>
            </w:r>
          </w:p>
        </w:tc>
        <w:tc>
          <w:tcPr>
            <w:tcW w:w="1816" w:type="dxa"/>
            <w:vMerge w:val="restart"/>
            <w:tcBorders>
              <w:top w:val="single" w:sz="4" w:space="0" w:color="365F91"/>
            </w:tcBorders>
            <w:shd w:val="clear" w:color="auto" w:fill="376092"/>
            <w:noWrap/>
            <w:vAlign w:val="bottom"/>
          </w:tcPr>
          <w:p w14:paraId="1BE48048" w14:textId="77777777" w:rsidR="00380BE7" w:rsidRPr="00256982" w:rsidRDefault="00380BE7" w:rsidP="0085587E">
            <w:pPr>
              <w:pStyle w:val="TableTextBold"/>
              <w:keepNext/>
              <w:jc w:val="center"/>
              <w:rPr>
                <w:noProof w:val="0"/>
                <w:color w:val="FFFFFF"/>
                <w:lang w:eastAsia="en-NZ"/>
              </w:rPr>
            </w:pPr>
            <w:r w:rsidRPr="00256982">
              <w:rPr>
                <w:noProof w:val="0"/>
                <w:color w:val="FFFFFF"/>
                <w:lang w:eastAsia="en-NZ"/>
              </w:rPr>
              <w:t>Steady state carbon SOC stock (t C ha</w:t>
            </w:r>
            <w:r w:rsidRPr="00256982">
              <w:rPr>
                <w:noProof w:val="0"/>
                <w:color w:val="FFFFFF"/>
                <w:vertAlign w:val="superscript"/>
                <w:lang w:eastAsia="en-NZ"/>
              </w:rPr>
              <w:t>-1</w:t>
            </w:r>
            <w:r w:rsidRPr="00256982">
              <w:rPr>
                <w:noProof w:val="0"/>
                <w:color w:val="FFFFFF"/>
                <w:lang w:eastAsia="en-NZ"/>
              </w:rPr>
              <w:t>)</w:t>
            </w:r>
          </w:p>
        </w:tc>
        <w:tc>
          <w:tcPr>
            <w:tcW w:w="3209" w:type="dxa"/>
            <w:gridSpan w:val="2"/>
            <w:tcBorders>
              <w:top w:val="single" w:sz="4" w:space="0" w:color="365F91"/>
            </w:tcBorders>
            <w:shd w:val="clear" w:color="auto" w:fill="376092"/>
            <w:noWrap/>
            <w:vAlign w:val="bottom"/>
          </w:tcPr>
          <w:p w14:paraId="281A1DA1" w14:textId="77777777" w:rsidR="00380BE7" w:rsidRPr="00256982" w:rsidRDefault="00380BE7" w:rsidP="0085587E">
            <w:pPr>
              <w:pStyle w:val="TableTextBold"/>
              <w:keepNext/>
              <w:spacing w:after="0"/>
              <w:jc w:val="center"/>
              <w:rPr>
                <w:noProof w:val="0"/>
                <w:color w:val="FFFFFF"/>
                <w:lang w:eastAsia="en-NZ"/>
              </w:rPr>
            </w:pPr>
            <w:r w:rsidRPr="00256982">
              <w:rPr>
                <w:noProof w:val="0"/>
                <w:color w:val="FFFFFF"/>
                <w:lang w:eastAsia="en-NZ"/>
              </w:rPr>
              <w:t>95% confidence intervals (CI)</w:t>
            </w:r>
          </w:p>
        </w:tc>
      </w:tr>
      <w:tr w:rsidR="00380BE7" w:rsidRPr="00256982" w14:paraId="5D36EF05" w14:textId="77777777" w:rsidTr="009574E7">
        <w:tc>
          <w:tcPr>
            <w:tcW w:w="2880" w:type="dxa"/>
            <w:vMerge/>
            <w:tcBorders>
              <w:bottom w:val="single" w:sz="4" w:space="0" w:color="365F91"/>
            </w:tcBorders>
            <w:shd w:val="clear" w:color="auto" w:fill="376092"/>
            <w:noWrap/>
            <w:vAlign w:val="bottom"/>
            <w:hideMark/>
          </w:tcPr>
          <w:p w14:paraId="57CDEA62" w14:textId="77777777" w:rsidR="00380BE7" w:rsidRPr="00256982" w:rsidRDefault="00380BE7" w:rsidP="0085587E">
            <w:pPr>
              <w:pStyle w:val="TableTextBold"/>
              <w:keepNext/>
              <w:rPr>
                <w:noProof w:val="0"/>
                <w:color w:val="FFFFFF"/>
                <w:lang w:eastAsia="en-NZ"/>
              </w:rPr>
            </w:pPr>
          </w:p>
        </w:tc>
        <w:tc>
          <w:tcPr>
            <w:tcW w:w="1816" w:type="dxa"/>
            <w:vMerge/>
            <w:tcBorders>
              <w:bottom w:val="single" w:sz="4" w:space="0" w:color="365F91"/>
            </w:tcBorders>
            <w:shd w:val="clear" w:color="auto" w:fill="376092"/>
            <w:noWrap/>
            <w:vAlign w:val="bottom"/>
            <w:hideMark/>
          </w:tcPr>
          <w:p w14:paraId="11A58659" w14:textId="77777777" w:rsidR="00380BE7" w:rsidRPr="00256982" w:rsidRDefault="00380BE7" w:rsidP="0085587E">
            <w:pPr>
              <w:pStyle w:val="TableTextBold"/>
              <w:keepNext/>
              <w:jc w:val="center"/>
              <w:rPr>
                <w:noProof w:val="0"/>
                <w:color w:val="FFFFFF"/>
                <w:lang w:eastAsia="en-NZ"/>
              </w:rPr>
            </w:pPr>
          </w:p>
        </w:tc>
        <w:tc>
          <w:tcPr>
            <w:tcW w:w="1604" w:type="dxa"/>
            <w:tcBorders>
              <w:bottom w:val="single" w:sz="4" w:space="0" w:color="365F91"/>
            </w:tcBorders>
            <w:shd w:val="clear" w:color="auto" w:fill="376092"/>
            <w:noWrap/>
            <w:vAlign w:val="bottom"/>
            <w:hideMark/>
          </w:tcPr>
          <w:p w14:paraId="161FC885" w14:textId="77777777" w:rsidR="00380BE7" w:rsidRPr="00256982" w:rsidRDefault="00380BE7" w:rsidP="0085587E">
            <w:pPr>
              <w:pStyle w:val="TableTextBold"/>
              <w:keepNext/>
              <w:jc w:val="center"/>
              <w:rPr>
                <w:noProof w:val="0"/>
                <w:color w:val="FFFFFF"/>
                <w:lang w:eastAsia="en-NZ"/>
              </w:rPr>
            </w:pPr>
            <w:r w:rsidRPr="00256982">
              <w:rPr>
                <w:noProof w:val="0"/>
                <w:color w:val="FFFFFF"/>
                <w:lang w:eastAsia="en-NZ"/>
              </w:rPr>
              <w:t>2.5% CI SOC stock (t C ha</w:t>
            </w:r>
            <w:r w:rsidRPr="00256982">
              <w:rPr>
                <w:noProof w:val="0"/>
                <w:color w:val="FFFFFF"/>
                <w:vertAlign w:val="superscript"/>
                <w:lang w:eastAsia="en-NZ"/>
              </w:rPr>
              <w:t>-1</w:t>
            </w:r>
            <w:r w:rsidRPr="00256982">
              <w:rPr>
                <w:noProof w:val="0"/>
                <w:color w:val="FFFFFF"/>
                <w:lang w:eastAsia="en-NZ"/>
              </w:rPr>
              <w:t>)</w:t>
            </w:r>
          </w:p>
        </w:tc>
        <w:tc>
          <w:tcPr>
            <w:tcW w:w="1605" w:type="dxa"/>
            <w:tcBorders>
              <w:bottom w:val="single" w:sz="4" w:space="0" w:color="365F91"/>
            </w:tcBorders>
            <w:shd w:val="clear" w:color="auto" w:fill="376092"/>
            <w:noWrap/>
            <w:vAlign w:val="bottom"/>
            <w:hideMark/>
          </w:tcPr>
          <w:p w14:paraId="5C5C5508" w14:textId="77777777" w:rsidR="00380BE7" w:rsidRPr="00256982" w:rsidRDefault="00380BE7" w:rsidP="0085587E">
            <w:pPr>
              <w:pStyle w:val="TableTextBold"/>
              <w:keepNext/>
              <w:jc w:val="center"/>
              <w:rPr>
                <w:noProof w:val="0"/>
                <w:color w:val="FFFFFF"/>
                <w:lang w:eastAsia="en-NZ"/>
              </w:rPr>
            </w:pPr>
            <w:r w:rsidRPr="00256982">
              <w:rPr>
                <w:noProof w:val="0"/>
                <w:color w:val="FFFFFF"/>
                <w:lang w:eastAsia="en-NZ"/>
              </w:rPr>
              <w:t>97.5% CI SOC stock (t C ha</w:t>
            </w:r>
            <w:r w:rsidRPr="00256982">
              <w:rPr>
                <w:noProof w:val="0"/>
                <w:color w:val="FFFFFF"/>
                <w:vertAlign w:val="superscript"/>
                <w:lang w:eastAsia="en-NZ"/>
              </w:rPr>
              <w:t>-1</w:t>
            </w:r>
            <w:r w:rsidRPr="00256982">
              <w:rPr>
                <w:noProof w:val="0"/>
                <w:color w:val="FFFFFF"/>
                <w:lang w:eastAsia="en-NZ"/>
              </w:rPr>
              <w:t>)</w:t>
            </w:r>
          </w:p>
        </w:tc>
      </w:tr>
      <w:tr w:rsidR="00380BE7" w:rsidRPr="00256982" w14:paraId="656ADB3D" w14:textId="77777777" w:rsidTr="009574E7">
        <w:tc>
          <w:tcPr>
            <w:tcW w:w="2880" w:type="dxa"/>
            <w:tcBorders>
              <w:top w:val="single" w:sz="4" w:space="0" w:color="365F91"/>
              <w:bottom w:val="single" w:sz="4" w:space="0" w:color="365F91"/>
            </w:tcBorders>
            <w:noWrap/>
            <w:hideMark/>
          </w:tcPr>
          <w:p w14:paraId="1F7C67DD" w14:textId="77777777" w:rsidR="00380BE7" w:rsidRPr="00256982" w:rsidRDefault="00380BE7" w:rsidP="009574E7">
            <w:pPr>
              <w:pStyle w:val="TableText"/>
              <w:rPr>
                <w:lang w:eastAsia="en-NZ"/>
              </w:rPr>
            </w:pPr>
            <w:r w:rsidRPr="00256982">
              <w:rPr>
                <w:lang w:eastAsia="en-NZ"/>
              </w:rPr>
              <w:t>Pre-1990 natural forest</w:t>
            </w:r>
          </w:p>
        </w:tc>
        <w:tc>
          <w:tcPr>
            <w:tcW w:w="1816" w:type="dxa"/>
            <w:tcBorders>
              <w:top w:val="single" w:sz="4" w:space="0" w:color="365F91"/>
              <w:bottom w:val="single" w:sz="4" w:space="0" w:color="365F91"/>
            </w:tcBorders>
            <w:noWrap/>
            <w:hideMark/>
          </w:tcPr>
          <w:p w14:paraId="02A942FC" w14:textId="77777777" w:rsidR="00380BE7" w:rsidRPr="00256982" w:rsidRDefault="00380BE7" w:rsidP="009574E7">
            <w:pPr>
              <w:pStyle w:val="TableText"/>
              <w:tabs>
                <w:tab w:val="decimal" w:pos="577"/>
              </w:tabs>
              <w:jc w:val="center"/>
              <w:rPr>
                <w:lang w:eastAsia="en-NZ"/>
              </w:rPr>
            </w:pPr>
            <w:r w:rsidRPr="00256982">
              <w:t>92.25</w:t>
            </w:r>
          </w:p>
        </w:tc>
        <w:tc>
          <w:tcPr>
            <w:tcW w:w="1604" w:type="dxa"/>
            <w:tcBorders>
              <w:top w:val="single" w:sz="4" w:space="0" w:color="365F91"/>
              <w:bottom w:val="single" w:sz="4" w:space="0" w:color="365F91"/>
            </w:tcBorders>
            <w:noWrap/>
            <w:hideMark/>
          </w:tcPr>
          <w:p w14:paraId="327B6BC7" w14:textId="77777777" w:rsidR="00380BE7" w:rsidRPr="00256982" w:rsidRDefault="00380BE7" w:rsidP="009574E7">
            <w:pPr>
              <w:pStyle w:val="TableText"/>
              <w:tabs>
                <w:tab w:val="decimal" w:pos="577"/>
              </w:tabs>
              <w:jc w:val="center"/>
              <w:rPr>
                <w:lang w:eastAsia="en-NZ"/>
              </w:rPr>
            </w:pPr>
            <w:r w:rsidRPr="00256982">
              <w:t>84.99</w:t>
            </w:r>
          </w:p>
        </w:tc>
        <w:tc>
          <w:tcPr>
            <w:tcW w:w="1605" w:type="dxa"/>
            <w:tcBorders>
              <w:top w:val="single" w:sz="4" w:space="0" w:color="365F91"/>
              <w:bottom w:val="single" w:sz="4" w:space="0" w:color="365F91"/>
            </w:tcBorders>
            <w:noWrap/>
            <w:hideMark/>
          </w:tcPr>
          <w:p w14:paraId="43E28DE8" w14:textId="77777777" w:rsidR="00380BE7" w:rsidRPr="00256982" w:rsidRDefault="00380BE7" w:rsidP="009574E7">
            <w:pPr>
              <w:pStyle w:val="TableText"/>
              <w:tabs>
                <w:tab w:val="decimal" w:pos="577"/>
              </w:tabs>
              <w:jc w:val="center"/>
              <w:rPr>
                <w:lang w:eastAsia="en-NZ"/>
              </w:rPr>
            </w:pPr>
            <w:r w:rsidRPr="00256982">
              <w:t>99.51</w:t>
            </w:r>
          </w:p>
        </w:tc>
      </w:tr>
      <w:tr w:rsidR="00380BE7" w:rsidRPr="00256982" w14:paraId="5B4A408F" w14:textId="77777777" w:rsidTr="009574E7">
        <w:tc>
          <w:tcPr>
            <w:tcW w:w="2880" w:type="dxa"/>
            <w:tcBorders>
              <w:top w:val="single" w:sz="4" w:space="0" w:color="365F91"/>
              <w:bottom w:val="single" w:sz="4" w:space="0" w:color="365F91"/>
            </w:tcBorders>
            <w:noWrap/>
            <w:hideMark/>
          </w:tcPr>
          <w:p w14:paraId="4F69AAD2" w14:textId="77777777" w:rsidR="00380BE7" w:rsidRPr="00256982" w:rsidRDefault="00380BE7" w:rsidP="009574E7">
            <w:pPr>
              <w:pStyle w:val="TableText"/>
              <w:rPr>
                <w:lang w:eastAsia="en-NZ"/>
              </w:rPr>
            </w:pPr>
            <w:r w:rsidRPr="00256982">
              <w:rPr>
                <w:lang w:eastAsia="en-NZ"/>
              </w:rPr>
              <w:t>Pre-1990 planted forest</w:t>
            </w:r>
          </w:p>
        </w:tc>
        <w:tc>
          <w:tcPr>
            <w:tcW w:w="1816" w:type="dxa"/>
            <w:tcBorders>
              <w:top w:val="single" w:sz="4" w:space="0" w:color="365F91"/>
              <w:bottom w:val="single" w:sz="4" w:space="0" w:color="365F91"/>
            </w:tcBorders>
            <w:noWrap/>
            <w:hideMark/>
          </w:tcPr>
          <w:p w14:paraId="23CB1734" w14:textId="77777777" w:rsidR="00380BE7" w:rsidRPr="00256982" w:rsidRDefault="00380BE7" w:rsidP="009574E7">
            <w:pPr>
              <w:pStyle w:val="TableText"/>
              <w:tabs>
                <w:tab w:val="decimal" w:pos="577"/>
              </w:tabs>
              <w:jc w:val="center"/>
              <w:rPr>
                <w:lang w:eastAsia="en-NZ"/>
              </w:rPr>
            </w:pPr>
            <w:r w:rsidRPr="00256982">
              <w:t>92.44</w:t>
            </w:r>
          </w:p>
        </w:tc>
        <w:tc>
          <w:tcPr>
            <w:tcW w:w="1604" w:type="dxa"/>
            <w:tcBorders>
              <w:top w:val="single" w:sz="4" w:space="0" w:color="365F91"/>
              <w:bottom w:val="single" w:sz="4" w:space="0" w:color="365F91"/>
            </w:tcBorders>
            <w:noWrap/>
            <w:hideMark/>
          </w:tcPr>
          <w:p w14:paraId="4145E25C" w14:textId="77777777" w:rsidR="00380BE7" w:rsidRPr="00256982" w:rsidRDefault="00380BE7" w:rsidP="009574E7">
            <w:pPr>
              <w:pStyle w:val="TableText"/>
              <w:tabs>
                <w:tab w:val="decimal" w:pos="577"/>
              </w:tabs>
              <w:jc w:val="center"/>
              <w:rPr>
                <w:lang w:eastAsia="en-NZ"/>
              </w:rPr>
            </w:pPr>
            <w:r w:rsidRPr="00256982">
              <w:t>81.12</w:t>
            </w:r>
          </w:p>
        </w:tc>
        <w:tc>
          <w:tcPr>
            <w:tcW w:w="1605" w:type="dxa"/>
            <w:tcBorders>
              <w:top w:val="single" w:sz="4" w:space="0" w:color="365F91"/>
              <w:bottom w:val="single" w:sz="4" w:space="0" w:color="365F91"/>
            </w:tcBorders>
            <w:noWrap/>
            <w:hideMark/>
          </w:tcPr>
          <w:p w14:paraId="3109AD4D" w14:textId="77777777" w:rsidR="00380BE7" w:rsidRPr="00256982" w:rsidRDefault="00380BE7" w:rsidP="009574E7">
            <w:pPr>
              <w:pStyle w:val="TableText"/>
              <w:tabs>
                <w:tab w:val="decimal" w:pos="577"/>
              </w:tabs>
              <w:jc w:val="center"/>
              <w:rPr>
                <w:lang w:eastAsia="en-NZ"/>
              </w:rPr>
            </w:pPr>
            <w:r w:rsidRPr="00256982">
              <w:t>103.77</w:t>
            </w:r>
          </w:p>
        </w:tc>
      </w:tr>
      <w:tr w:rsidR="00380BE7" w:rsidRPr="00256982" w14:paraId="2F1812E4" w14:textId="77777777" w:rsidTr="009574E7">
        <w:tc>
          <w:tcPr>
            <w:tcW w:w="2880" w:type="dxa"/>
            <w:tcBorders>
              <w:top w:val="single" w:sz="4" w:space="0" w:color="365F91"/>
              <w:bottom w:val="single" w:sz="4" w:space="0" w:color="365F91"/>
            </w:tcBorders>
            <w:noWrap/>
            <w:hideMark/>
          </w:tcPr>
          <w:p w14:paraId="4A9B82C5" w14:textId="77777777" w:rsidR="00380BE7" w:rsidRPr="00256982" w:rsidRDefault="00380BE7" w:rsidP="009574E7">
            <w:pPr>
              <w:pStyle w:val="TableText"/>
              <w:rPr>
                <w:lang w:eastAsia="en-NZ"/>
              </w:rPr>
            </w:pPr>
            <w:r w:rsidRPr="00256982">
              <w:rPr>
                <w:lang w:eastAsia="en-NZ"/>
              </w:rPr>
              <w:t>Post-1989 forest</w:t>
            </w:r>
          </w:p>
        </w:tc>
        <w:tc>
          <w:tcPr>
            <w:tcW w:w="1816" w:type="dxa"/>
            <w:tcBorders>
              <w:top w:val="single" w:sz="4" w:space="0" w:color="365F91"/>
              <w:bottom w:val="single" w:sz="4" w:space="0" w:color="365F91"/>
            </w:tcBorders>
            <w:noWrap/>
            <w:hideMark/>
          </w:tcPr>
          <w:p w14:paraId="4AF48AB8" w14:textId="77777777" w:rsidR="00380BE7" w:rsidRPr="00256982" w:rsidRDefault="00380BE7" w:rsidP="009574E7">
            <w:pPr>
              <w:pStyle w:val="TableText"/>
              <w:tabs>
                <w:tab w:val="decimal" w:pos="577"/>
              </w:tabs>
              <w:jc w:val="center"/>
              <w:rPr>
                <w:lang w:eastAsia="en-NZ"/>
              </w:rPr>
            </w:pPr>
            <w:r w:rsidRPr="00256982">
              <w:t>91.92</w:t>
            </w:r>
          </w:p>
        </w:tc>
        <w:tc>
          <w:tcPr>
            <w:tcW w:w="1604" w:type="dxa"/>
            <w:tcBorders>
              <w:top w:val="single" w:sz="4" w:space="0" w:color="365F91"/>
              <w:bottom w:val="single" w:sz="4" w:space="0" w:color="365F91"/>
            </w:tcBorders>
            <w:noWrap/>
            <w:hideMark/>
          </w:tcPr>
          <w:p w14:paraId="227A95CE" w14:textId="77777777" w:rsidR="00380BE7" w:rsidRPr="00256982" w:rsidRDefault="00380BE7" w:rsidP="009574E7">
            <w:pPr>
              <w:pStyle w:val="TableText"/>
              <w:tabs>
                <w:tab w:val="decimal" w:pos="577"/>
              </w:tabs>
              <w:jc w:val="center"/>
              <w:rPr>
                <w:lang w:eastAsia="en-NZ"/>
              </w:rPr>
            </w:pPr>
            <w:r w:rsidRPr="00256982">
              <w:t>82.40</w:t>
            </w:r>
          </w:p>
        </w:tc>
        <w:tc>
          <w:tcPr>
            <w:tcW w:w="1605" w:type="dxa"/>
            <w:tcBorders>
              <w:top w:val="single" w:sz="4" w:space="0" w:color="365F91"/>
              <w:bottom w:val="single" w:sz="4" w:space="0" w:color="365F91"/>
            </w:tcBorders>
            <w:noWrap/>
            <w:hideMark/>
          </w:tcPr>
          <w:p w14:paraId="53D1B4F6" w14:textId="77777777" w:rsidR="00380BE7" w:rsidRPr="00256982" w:rsidRDefault="00380BE7" w:rsidP="009574E7">
            <w:pPr>
              <w:pStyle w:val="TableText"/>
              <w:tabs>
                <w:tab w:val="decimal" w:pos="577"/>
              </w:tabs>
              <w:jc w:val="center"/>
              <w:rPr>
                <w:lang w:eastAsia="en-NZ"/>
              </w:rPr>
            </w:pPr>
            <w:r w:rsidRPr="00256982">
              <w:t>101.44</w:t>
            </w:r>
          </w:p>
        </w:tc>
      </w:tr>
      <w:tr w:rsidR="00380BE7" w:rsidRPr="00256982" w14:paraId="39570E75" w14:textId="77777777" w:rsidTr="009574E7">
        <w:tc>
          <w:tcPr>
            <w:tcW w:w="2880" w:type="dxa"/>
            <w:tcBorders>
              <w:top w:val="single" w:sz="4" w:space="0" w:color="365F91"/>
              <w:bottom w:val="single" w:sz="4" w:space="0" w:color="365F91"/>
            </w:tcBorders>
            <w:noWrap/>
            <w:hideMark/>
          </w:tcPr>
          <w:p w14:paraId="49998048" w14:textId="77777777" w:rsidR="00380BE7" w:rsidRPr="00256982" w:rsidRDefault="00380BE7" w:rsidP="009574E7">
            <w:pPr>
              <w:pStyle w:val="TableText"/>
              <w:rPr>
                <w:lang w:eastAsia="en-NZ"/>
              </w:rPr>
            </w:pPr>
            <w:r w:rsidRPr="00256982">
              <w:rPr>
                <w:lang w:eastAsia="en-NZ"/>
              </w:rPr>
              <w:t>Grassland with woody biomass</w:t>
            </w:r>
          </w:p>
        </w:tc>
        <w:tc>
          <w:tcPr>
            <w:tcW w:w="1816" w:type="dxa"/>
            <w:tcBorders>
              <w:top w:val="single" w:sz="4" w:space="0" w:color="365F91"/>
              <w:bottom w:val="single" w:sz="4" w:space="0" w:color="365F91"/>
            </w:tcBorders>
            <w:noWrap/>
            <w:hideMark/>
          </w:tcPr>
          <w:p w14:paraId="20DB20A0" w14:textId="77777777" w:rsidR="00380BE7" w:rsidRPr="00256982" w:rsidRDefault="00380BE7" w:rsidP="009574E7">
            <w:pPr>
              <w:pStyle w:val="TableText"/>
              <w:tabs>
                <w:tab w:val="decimal" w:pos="577"/>
              </w:tabs>
              <w:jc w:val="center"/>
              <w:rPr>
                <w:lang w:eastAsia="en-NZ"/>
              </w:rPr>
            </w:pPr>
            <w:r w:rsidRPr="00256982">
              <w:t>98.23</w:t>
            </w:r>
          </w:p>
        </w:tc>
        <w:tc>
          <w:tcPr>
            <w:tcW w:w="1604" w:type="dxa"/>
            <w:tcBorders>
              <w:top w:val="single" w:sz="4" w:space="0" w:color="365F91"/>
              <w:bottom w:val="single" w:sz="4" w:space="0" w:color="365F91"/>
            </w:tcBorders>
            <w:noWrap/>
            <w:hideMark/>
          </w:tcPr>
          <w:p w14:paraId="117F6522" w14:textId="77777777" w:rsidR="00380BE7" w:rsidRPr="00256982" w:rsidRDefault="00380BE7" w:rsidP="009574E7">
            <w:pPr>
              <w:pStyle w:val="TableText"/>
              <w:tabs>
                <w:tab w:val="decimal" w:pos="577"/>
              </w:tabs>
              <w:jc w:val="center"/>
              <w:rPr>
                <w:lang w:eastAsia="en-NZ"/>
              </w:rPr>
            </w:pPr>
            <w:r w:rsidRPr="00256982">
              <w:t>91.02</w:t>
            </w:r>
          </w:p>
        </w:tc>
        <w:tc>
          <w:tcPr>
            <w:tcW w:w="1605" w:type="dxa"/>
            <w:tcBorders>
              <w:top w:val="single" w:sz="4" w:space="0" w:color="365F91"/>
              <w:bottom w:val="single" w:sz="4" w:space="0" w:color="365F91"/>
            </w:tcBorders>
            <w:noWrap/>
            <w:hideMark/>
          </w:tcPr>
          <w:p w14:paraId="5F577602" w14:textId="77777777" w:rsidR="00380BE7" w:rsidRPr="00256982" w:rsidRDefault="00380BE7" w:rsidP="009574E7">
            <w:pPr>
              <w:pStyle w:val="TableText"/>
              <w:tabs>
                <w:tab w:val="decimal" w:pos="577"/>
              </w:tabs>
              <w:jc w:val="center"/>
              <w:rPr>
                <w:lang w:eastAsia="en-NZ"/>
              </w:rPr>
            </w:pPr>
            <w:r w:rsidRPr="00256982">
              <w:t>105.43</w:t>
            </w:r>
          </w:p>
        </w:tc>
      </w:tr>
      <w:tr w:rsidR="00380BE7" w:rsidRPr="00256982" w14:paraId="1A8E2AE5" w14:textId="77777777" w:rsidTr="009574E7">
        <w:tc>
          <w:tcPr>
            <w:tcW w:w="2880" w:type="dxa"/>
            <w:tcBorders>
              <w:top w:val="single" w:sz="4" w:space="0" w:color="365F91"/>
              <w:bottom w:val="single" w:sz="4" w:space="0" w:color="365F91"/>
            </w:tcBorders>
            <w:noWrap/>
            <w:hideMark/>
          </w:tcPr>
          <w:p w14:paraId="5BD26F46" w14:textId="77777777" w:rsidR="00380BE7" w:rsidRPr="00256982" w:rsidRDefault="00380BE7" w:rsidP="009574E7">
            <w:pPr>
              <w:pStyle w:val="TableText"/>
              <w:rPr>
                <w:lang w:eastAsia="en-NZ"/>
              </w:rPr>
            </w:pPr>
            <w:r w:rsidRPr="00256982">
              <w:rPr>
                <w:lang w:eastAsia="en-NZ"/>
              </w:rPr>
              <w:t>High producing grassland</w:t>
            </w:r>
          </w:p>
        </w:tc>
        <w:tc>
          <w:tcPr>
            <w:tcW w:w="1816" w:type="dxa"/>
            <w:tcBorders>
              <w:top w:val="single" w:sz="4" w:space="0" w:color="365F91"/>
              <w:bottom w:val="single" w:sz="4" w:space="0" w:color="365F91"/>
            </w:tcBorders>
            <w:noWrap/>
            <w:hideMark/>
          </w:tcPr>
          <w:p w14:paraId="3303C94A" w14:textId="77777777" w:rsidR="00380BE7" w:rsidRPr="00256982" w:rsidRDefault="00380BE7" w:rsidP="009574E7">
            <w:pPr>
              <w:pStyle w:val="TableText"/>
              <w:tabs>
                <w:tab w:val="decimal" w:pos="577"/>
              </w:tabs>
              <w:jc w:val="center"/>
              <w:rPr>
                <w:lang w:eastAsia="en-NZ"/>
              </w:rPr>
            </w:pPr>
            <w:r w:rsidRPr="00256982">
              <w:t>105.34</w:t>
            </w:r>
          </w:p>
        </w:tc>
        <w:tc>
          <w:tcPr>
            <w:tcW w:w="1604" w:type="dxa"/>
            <w:tcBorders>
              <w:top w:val="single" w:sz="4" w:space="0" w:color="365F91"/>
              <w:bottom w:val="single" w:sz="4" w:space="0" w:color="365F91"/>
            </w:tcBorders>
            <w:noWrap/>
            <w:hideMark/>
          </w:tcPr>
          <w:p w14:paraId="334DF533" w14:textId="77777777" w:rsidR="00380BE7" w:rsidRPr="00256982" w:rsidRDefault="00380BE7" w:rsidP="009574E7">
            <w:pPr>
              <w:pStyle w:val="TableText"/>
              <w:tabs>
                <w:tab w:val="decimal" w:pos="577"/>
              </w:tabs>
              <w:jc w:val="center"/>
              <w:rPr>
                <w:lang w:eastAsia="en-NZ"/>
              </w:rPr>
            </w:pPr>
            <w:r w:rsidRPr="00256982">
              <w:t>99.21</w:t>
            </w:r>
          </w:p>
        </w:tc>
        <w:tc>
          <w:tcPr>
            <w:tcW w:w="1605" w:type="dxa"/>
            <w:tcBorders>
              <w:top w:val="single" w:sz="4" w:space="0" w:color="365F91"/>
              <w:bottom w:val="single" w:sz="4" w:space="0" w:color="365F91"/>
            </w:tcBorders>
            <w:noWrap/>
            <w:hideMark/>
          </w:tcPr>
          <w:p w14:paraId="50C46CC9" w14:textId="77777777" w:rsidR="00380BE7" w:rsidRPr="00256982" w:rsidRDefault="00380BE7" w:rsidP="009574E7">
            <w:pPr>
              <w:pStyle w:val="TableText"/>
              <w:tabs>
                <w:tab w:val="decimal" w:pos="577"/>
              </w:tabs>
              <w:jc w:val="center"/>
              <w:rPr>
                <w:lang w:eastAsia="en-NZ"/>
              </w:rPr>
            </w:pPr>
            <w:r w:rsidRPr="00256982">
              <w:t>111.47</w:t>
            </w:r>
          </w:p>
        </w:tc>
      </w:tr>
      <w:tr w:rsidR="00380BE7" w:rsidRPr="00256982" w14:paraId="0E3BB220" w14:textId="77777777" w:rsidTr="009574E7">
        <w:tc>
          <w:tcPr>
            <w:tcW w:w="2880" w:type="dxa"/>
            <w:tcBorders>
              <w:top w:val="single" w:sz="4" w:space="0" w:color="365F91"/>
              <w:bottom w:val="single" w:sz="4" w:space="0" w:color="365F91"/>
            </w:tcBorders>
            <w:noWrap/>
            <w:hideMark/>
          </w:tcPr>
          <w:p w14:paraId="5B105ECB" w14:textId="77777777" w:rsidR="00380BE7" w:rsidRPr="00256982" w:rsidRDefault="00380BE7" w:rsidP="009574E7">
            <w:pPr>
              <w:pStyle w:val="TableText"/>
              <w:rPr>
                <w:lang w:eastAsia="en-NZ"/>
              </w:rPr>
            </w:pPr>
            <w:r w:rsidRPr="00256982">
              <w:rPr>
                <w:lang w:eastAsia="en-NZ"/>
              </w:rPr>
              <w:t>Low producing grassland</w:t>
            </w:r>
          </w:p>
        </w:tc>
        <w:tc>
          <w:tcPr>
            <w:tcW w:w="1816" w:type="dxa"/>
            <w:tcBorders>
              <w:top w:val="single" w:sz="4" w:space="0" w:color="365F91"/>
              <w:bottom w:val="single" w:sz="4" w:space="0" w:color="365F91"/>
            </w:tcBorders>
            <w:noWrap/>
            <w:hideMark/>
          </w:tcPr>
          <w:p w14:paraId="1E117627" w14:textId="77777777" w:rsidR="00380BE7" w:rsidRPr="00256982" w:rsidRDefault="00380BE7" w:rsidP="009574E7">
            <w:pPr>
              <w:pStyle w:val="TableText"/>
              <w:tabs>
                <w:tab w:val="decimal" w:pos="577"/>
              </w:tabs>
              <w:jc w:val="center"/>
              <w:rPr>
                <w:lang w:eastAsia="en-NZ"/>
              </w:rPr>
            </w:pPr>
            <w:r w:rsidRPr="00256982">
              <w:t>105.98</w:t>
            </w:r>
          </w:p>
        </w:tc>
        <w:tc>
          <w:tcPr>
            <w:tcW w:w="1604" w:type="dxa"/>
            <w:tcBorders>
              <w:top w:val="single" w:sz="4" w:space="0" w:color="365F91"/>
              <w:bottom w:val="single" w:sz="4" w:space="0" w:color="365F91"/>
            </w:tcBorders>
            <w:noWrap/>
            <w:hideMark/>
          </w:tcPr>
          <w:p w14:paraId="1EEE78EE" w14:textId="77777777" w:rsidR="00380BE7" w:rsidRPr="00256982" w:rsidRDefault="00380BE7" w:rsidP="009574E7">
            <w:pPr>
              <w:pStyle w:val="TableText"/>
              <w:tabs>
                <w:tab w:val="decimal" w:pos="577"/>
              </w:tabs>
              <w:jc w:val="center"/>
              <w:rPr>
                <w:lang w:eastAsia="en-NZ"/>
              </w:rPr>
            </w:pPr>
            <w:r w:rsidRPr="00256982">
              <w:t>98.23</w:t>
            </w:r>
          </w:p>
        </w:tc>
        <w:tc>
          <w:tcPr>
            <w:tcW w:w="1605" w:type="dxa"/>
            <w:tcBorders>
              <w:top w:val="single" w:sz="4" w:space="0" w:color="365F91"/>
              <w:bottom w:val="single" w:sz="4" w:space="0" w:color="365F91"/>
            </w:tcBorders>
            <w:noWrap/>
            <w:hideMark/>
          </w:tcPr>
          <w:p w14:paraId="3DA2163B" w14:textId="77777777" w:rsidR="00380BE7" w:rsidRPr="00256982" w:rsidRDefault="00380BE7" w:rsidP="009574E7">
            <w:pPr>
              <w:pStyle w:val="TableText"/>
              <w:tabs>
                <w:tab w:val="decimal" w:pos="577"/>
              </w:tabs>
              <w:jc w:val="center"/>
              <w:rPr>
                <w:lang w:eastAsia="en-NZ"/>
              </w:rPr>
            </w:pPr>
            <w:r w:rsidRPr="00256982">
              <w:t>113.73</w:t>
            </w:r>
          </w:p>
        </w:tc>
      </w:tr>
      <w:tr w:rsidR="00380BE7" w:rsidRPr="00256982" w14:paraId="06168F55" w14:textId="77777777" w:rsidTr="009574E7">
        <w:tc>
          <w:tcPr>
            <w:tcW w:w="2880" w:type="dxa"/>
            <w:tcBorders>
              <w:top w:val="single" w:sz="4" w:space="0" w:color="365F91"/>
              <w:bottom w:val="single" w:sz="4" w:space="0" w:color="365F91"/>
            </w:tcBorders>
            <w:noWrap/>
            <w:hideMark/>
          </w:tcPr>
          <w:p w14:paraId="232D1D30" w14:textId="77777777" w:rsidR="00380BE7" w:rsidRPr="00256982" w:rsidRDefault="00380BE7" w:rsidP="009574E7">
            <w:pPr>
              <w:pStyle w:val="TableText"/>
            </w:pPr>
            <w:r w:rsidRPr="00256982">
              <w:t>Perennial cropland</w:t>
            </w:r>
          </w:p>
        </w:tc>
        <w:tc>
          <w:tcPr>
            <w:tcW w:w="1816" w:type="dxa"/>
            <w:tcBorders>
              <w:top w:val="single" w:sz="4" w:space="0" w:color="365F91"/>
              <w:bottom w:val="single" w:sz="4" w:space="0" w:color="365F91"/>
            </w:tcBorders>
            <w:noWrap/>
            <w:hideMark/>
          </w:tcPr>
          <w:p w14:paraId="14C590AF" w14:textId="77777777" w:rsidR="00380BE7" w:rsidRPr="00256982" w:rsidRDefault="00380BE7" w:rsidP="009574E7">
            <w:pPr>
              <w:pStyle w:val="TableText"/>
              <w:tabs>
                <w:tab w:val="decimal" w:pos="577"/>
              </w:tabs>
              <w:jc w:val="center"/>
            </w:pPr>
            <w:r w:rsidRPr="00256982">
              <w:t>88.44</w:t>
            </w:r>
          </w:p>
        </w:tc>
        <w:tc>
          <w:tcPr>
            <w:tcW w:w="1604" w:type="dxa"/>
            <w:tcBorders>
              <w:top w:val="single" w:sz="4" w:space="0" w:color="365F91"/>
              <w:bottom w:val="single" w:sz="4" w:space="0" w:color="365F91"/>
            </w:tcBorders>
            <w:noWrap/>
            <w:hideMark/>
          </w:tcPr>
          <w:p w14:paraId="7A4C3FAB" w14:textId="77777777" w:rsidR="00380BE7" w:rsidRPr="00256982" w:rsidRDefault="00380BE7" w:rsidP="009574E7">
            <w:pPr>
              <w:pStyle w:val="TableText"/>
              <w:tabs>
                <w:tab w:val="decimal" w:pos="577"/>
              </w:tabs>
              <w:jc w:val="center"/>
            </w:pPr>
            <w:r w:rsidRPr="00256982">
              <w:t>75.96</w:t>
            </w:r>
          </w:p>
        </w:tc>
        <w:tc>
          <w:tcPr>
            <w:tcW w:w="1605" w:type="dxa"/>
            <w:tcBorders>
              <w:top w:val="single" w:sz="4" w:space="0" w:color="365F91"/>
              <w:bottom w:val="single" w:sz="4" w:space="0" w:color="365F91"/>
            </w:tcBorders>
            <w:noWrap/>
            <w:hideMark/>
          </w:tcPr>
          <w:p w14:paraId="5A3388DE" w14:textId="77777777" w:rsidR="00380BE7" w:rsidRPr="00256982" w:rsidRDefault="00380BE7" w:rsidP="009574E7">
            <w:pPr>
              <w:pStyle w:val="TableText"/>
              <w:tabs>
                <w:tab w:val="decimal" w:pos="577"/>
              </w:tabs>
              <w:jc w:val="center"/>
            </w:pPr>
            <w:r w:rsidRPr="00256982">
              <w:t>100.92</w:t>
            </w:r>
          </w:p>
        </w:tc>
      </w:tr>
      <w:tr w:rsidR="00380BE7" w:rsidRPr="00256982" w14:paraId="101319B1" w14:textId="77777777" w:rsidTr="009574E7">
        <w:tc>
          <w:tcPr>
            <w:tcW w:w="2880" w:type="dxa"/>
            <w:tcBorders>
              <w:top w:val="single" w:sz="4" w:space="0" w:color="365F91"/>
              <w:bottom w:val="single" w:sz="4" w:space="0" w:color="365F91"/>
            </w:tcBorders>
            <w:noWrap/>
            <w:hideMark/>
          </w:tcPr>
          <w:p w14:paraId="2A856BD3" w14:textId="77777777" w:rsidR="00380BE7" w:rsidRPr="00256982" w:rsidRDefault="00380BE7" w:rsidP="009574E7">
            <w:pPr>
              <w:pStyle w:val="TableText"/>
            </w:pPr>
            <w:r w:rsidRPr="00256982">
              <w:t>Annual cropland</w:t>
            </w:r>
          </w:p>
        </w:tc>
        <w:tc>
          <w:tcPr>
            <w:tcW w:w="1816" w:type="dxa"/>
            <w:tcBorders>
              <w:top w:val="single" w:sz="4" w:space="0" w:color="365F91"/>
              <w:bottom w:val="single" w:sz="4" w:space="0" w:color="365F91"/>
            </w:tcBorders>
            <w:noWrap/>
            <w:hideMark/>
          </w:tcPr>
          <w:p w14:paraId="5B863D1E" w14:textId="77777777" w:rsidR="00380BE7" w:rsidRPr="00256982" w:rsidRDefault="00380BE7" w:rsidP="009574E7">
            <w:pPr>
              <w:pStyle w:val="TableText"/>
              <w:tabs>
                <w:tab w:val="decimal" w:pos="577"/>
              </w:tabs>
              <w:jc w:val="center"/>
            </w:pPr>
            <w:r w:rsidRPr="00256982">
              <w:t>89.77</w:t>
            </w:r>
          </w:p>
        </w:tc>
        <w:tc>
          <w:tcPr>
            <w:tcW w:w="1604" w:type="dxa"/>
            <w:tcBorders>
              <w:top w:val="single" w:sz="4" w:space="0" w:color="365F91"/>
              <w:bottom w:val="single" w:sz="4" w:space="0" w:color="365F91"/>
            </w:tcBorders>
            <w:noWrap/>
            <w:hideMark/>
          </w:tcPr>
          <w:p w14:paraId="47E37BF8" w14:textId="77777777" w:rsidR="00380BE7" w:rsidRPr="00256982" w:rsidRDefault="00380BE7" w:rsidP="009574E7">
            <w:pPr>
              <w:pStyle w:val="TableText"/>
              <w:tabs>
                <w:tab w:val="decimal" w:pos="577"/>
              </w:tabs>
              <w:jc w:val="center"/>
            </w:pPr>
            <w:r w:rsidRPr="00256982">
              <w:t>81.04</w:t>
            </w:r>
          </w:p>
        </w:tc>
        <w:tc>
          <w:tcPr>
            <w:tcW w:w="1605" w:type="dxa"/>
            <w:tcBorders>
              <w:top w:val="single" w:sz="4" w:space="0" w:color="365F91"/>
              <w:bottom w:val="single" w:sz="4" w:space="0" w:color="365F91"/>
            </w:tcBorders>
            <w:noWrap/>
            <w:hideMark/>
          </w:tcPr>
          <w:p w14:paraId="7D17AB49" w14:textId="77777777" w:rsidR="00380BE7" w:rsidRPr="00256982" w:rsidRDefault="00380BE7" w:rsidP="009574E7">
            <w:pPr>
              <w:pStyle w:val="TableText"/>
              <w:tabs>
                <w:tab w:val="decimal" w:pos="577"/>
              </w:tabs>
              <w:jc w:val="center"/>
            </w:pPr>
            <w:r w:rsidRPr="00256982">
              <w:t>98.49</w:t>
            </w:r>
          </w:p>
        </w:tc>
      </w:tr>
      <w:tr w:rsidR="00380BE7" w:rsidRPr="00256982" w14:paraId="046C21D6" w14:textId="77777777" w:rsidTr="009574E7">
        <w:tc>
          <w:tcPr>
            <w:tcW w:w="2880" w:type="dxa"/>
            <w:tcBorders>
              <w:top w:val="single" w:sz="4" w:space="0" w:color="365F91"/>
              <w:bottom w:val="single" w:sz="4" w:space="0" w:color="365F91"/>
            </w:tcBorders>
            <w:noWrap/>
            <w:hideMark/>
          </w:tcPr>
          <w:p w14:paraId="47CD4CAE" w14:textId="77777777" w:rsidR="00380BE7" w:rsidRPr="00256982" w:rsidRDefault="00380BE7" w:rsidP="009574E7">
            <w:pPr>
              <w:pStyle w:val="TableText"/>
            </w:pPr>
            <w:r w:rsidRPr="00256982">
              <w:t xml:space="preserve">Wetlands – open water </w:t>
            </w:r>
          </w:p>
        </w:tc>
        <w:tc>
          <w:tcPr>
            <w:tcW w:w="1816" w:type="dxa"/>
            <w:tcBorders>
              <w:top w:val="single" w:sz="4" w:space="0" w:color="365F91"/>
              <w:bottom w:val="single" w:sz="4" w:space="0" w:color="365F91"/>
            </w:tcBorders>
            <w:noWrap/>
            <w:hideMark/>
          </w:tcPr>
          <w:p w14:paraId="2A037D96" w14:textId="77777777" w:rsidR="00380BE7" w:rsidRPr="00256982" w:rsidRDefault="00380BE7" w:rsidP="009574E7">
            <w:pPr>
              <w:pStyle w:val="TableText"/>
              <w:tabs>
                <w:tab w:val="decimal" w:pos="577"/>
              </w:tabs>
              <w:jc w:val="center"/>
            </w:pPr>
            <w:r w:rsidRPr="00256982">
              <w:t>105.98</w:t>
            </w:r>
          </w:p>
        </w:tc>
        <w:tc>
          <w:tcPr>
            <w:tcW w:w="1604" w:type="dxa"/>
            <w:tcBorders>
              <w:top w:val="single" w:sz="4" w:space="0" w:color="365F91"/>
              <w:bottom w:val="single" w:sz="4" w:space="0" w:color="365F91"/>
            </w:tcBorders>
            <w:noWrap/>
            <w:hideMark/>
          </w:tcPr>
          <w:p w14:paraId="62F5BD2E" w14:textId="77777777" w:rsidR="00380BE7" w:rsidRPr="00256982" w:rsidRDefault="00380BE7" w:rsidP="009574E7">
            <w:pPr>
              <w:pStyle w:val="TableText"/>
              <w:tabs>
                <w:tab w:val="decimal" w:pos="577"/>
              </w:tabs>
              <w:jc w:val="center"/>
            </w:pPr>
            <w:r w:rsidRPr="00256982">
              <w:t>98.23</w:t>
            </w:r>
          </w:p>
        </w:tc>
        <w:tc>
          <w:tcPr>
            <w:tcW w:w="1605" w:type="dxa"/>
            <w:tcBorders>
              <w:top w:val="single" w:sz="4" w:space="0" w:color="365F91"/>
              <w:bottom w:val="single" w:sz="4" w:space="0" w:color="365F91"/>
            </w:tcBorders>
            <w:noWrap/>
            <w:hideMark/>
          </w:tcPr>
          <w:p w14:paraId="086777D0" w14:textId="77777777" w:rsidR="00380BE7" w:rsidRPr="00256982" w:rsidRDefault="00380BE7" w:rsidP="009574E7">
            <w:pPr>
              <w:pStyle w:val="TableText"/>
              <w:tabs>
                <w:tab w:val="decimal" w:pos="577"/>
              </w:tabs>
              <w:jc w:val="center"/>
            </w:pPr>
            <w:r w:rsidRPr="00256982">
              <w:t>113.73</w:t>
            </w:r>
          </w:p>
        </w:tc>
      </w:tr>
      <w:tr w:rsidR="00380BE7" w:rsidRPr="00256982" w14:paraId="7EE69687" w14:textId="77777777" w:rsidTr="009574E7">
        <w:tc>
          <w:tcPr>
            <w:tcW w:w="2880" w:type="dxa"/>
            <w:tcBorders>
              <w:top w:val="single" w:sz="4" w:space="0" w:color="365F91"/>
              <w:bottom w:val="single" w:sz="4" w:space="0" w:color="365F91"/>
            </w:tcBorders>
            <w:noWrap/>
            <w:hideMark/>
          </w:tcPr>
          <w:p w14:paraId="435AB5DB" w14:textId="77777777" w:rsidR="00380BE7" w:rsidRPr="00256982" w:rsidRDefault="00380BE7" w:rsidP="009574E7">
            <w:pPr>
              <w:pStyle w:val="TableText"/>
            </w:pPr>
            <w:r w:rsidRPr="00256982">
              <w:t>Wetlands – vegetated</w:t>
            </w:r>
          </w:p>
        </w:tc>
        <w:tc>
          <w:tcPr>
            <w:tcW w:w="1816" w:type="dxa"/>
            <w:tcBorders>
              <w:top w:val="single" w:sz="4" w:space="0" w:color="365F91"/>
              <w:bottom w:val="single" w:sz="4" w:space="0" w:color="365F91"/>
            </w:tcBorders>
            <w:noWrap/>
            <w:hideMark/>
          </w:tcPr>
          <w:p w14:paraId="09FF655C" w14:textId="77777777" w:rsidR="00380BE7" w:rsidRPr="00256982" w:rsidRDefault="00380BE7" w:rsidP="009574E7">
            <w:pPr>
              <w:pStyle w:val="TableText"/>
              <w:tabs>
                <w:tab w:val="decimal" w:pos="577"/>
              </w:tabs>
              <w:jc w:val="center"/>
            </w:pPr>
            <w:r w:rsidRPr="00256982">
              <w:t>136.06</w:t>
            </w:r>
          </w:p>
        </w:tc>
        <w:tc>
          <w:tcPr>
            <w:tcW w:w="1604" w:type="dxa"/>
            <w:tcBorders>
              <w:top w:val="single" w:sz="4" w:space="0" w:color="365F91"/>
              <w:bottom w:val="single" w:sz="4" w:space="0" w:color="365F91"/>
            </w:tcBorders>
            <w:noWrap/>
            <w:hideMark/>
          </w:tcPr>
          <w:p w14:paraId="25E022E3" w14:textId="77777777" w:rsidR="00380BE7" w:rsidRPr="00256982" w:rsidRDefault="00380BE7" w:rsidP="009574E7">
            <w:pPr>
              <w:pStyle w:val="TableText"/>
              <w:tabs>
                <w:tab w:val="decimal" w:pos="577"/>
              </w:tabs>
              <w:jc w:val="center"/>
            </w:pPr>
            <w:r w:rsidRPr="00256982">
              <w:t>119.33</w:t>
            </w:r>
          </w:p>
        </w:tc>
        <w:tc>
          <w:tcPr>
            <w:tcW w:w="1605" w:type="dxa"/>
            <w:tcBorders>
              <w:top w:val="single" w:sz="4" w:space="0" w:color="365F91"/>
              <w:bottom w:val="single" w:sz="4" w:space="0" w:color="365F91"/>
            </w:tcBorders>
            <w:noWrap/>
            <w:hideMark/>
          </w:tcPr>
          <w:p w14:paraId="22A7153D" w14:textId="77777777" w:rsidR="00380BE7" w:rsidRPr="00256982" w:rsidRDefault="00380BE7" w:rsidP="009574E7">
            <w:pPr>
              <w:pStyle w:val="TableText"/>
              <w:tabs>
                <w:tab w:val="decimal" w:pos="577"/>
              </w:tabs>
              <w:jc w:val="center"/>
            </w:pPr>
            <w:r w:rsidRPr="00256982">
              <w:t>152.78</w:t>
            </w:r>
          </w:p>
        </w:tc>
      </w:tr>
      <w:tr w:rsidR="00380BE7" w:rsidRPr="00256982" w14:paraId="441059AC" w14:textId="77777777" w:rsidTr="009574E7">
        <w:tc>
          <w:tcPr>
            <w:tcW w:w="2880" w:type="dxa"/>
            <w:tcBorders>
              <w:top w:val="single" w:sz="4" w:space="0" w:color="365F91"/>
              <w:bottom w:val="single" w:sz="4" w:space="0" w:color="365F91"/>
            </w:tcBorders>
            <w:noWrap/>
            <w:hideMark/>
          </w:tcPr>
          <w:p w14:paraId="6F29C348" w14:textId="77777777" w:rsidR="00380BE7" w:rsidRPr="00256982" w:rsidRDefault="00380BE7" w:rsidP="009574E7">
            <w:pPr>
              <w:pStyle w:val="TableText"/>
              <w:rPr>
                <w:lang w:eastAsia="en-NZ"/>
              </w:rPr>
            </w:pPr>
            <w:r w:rsidRPr="00256982">
              <w:rPr>
                <w:lang w:eastAsia="en-NZ"/>
              </w:rPr>
              <w:t>Settlements</w:t>
            </w:r>
          </w:p>
        </w:tc>
        <w:tc>
          <w:tcPr>
            <w:tcW w:w="1816" w:type="dxa"/>
            <w:tcBorders>
              <w:top w:val="single" w:sz="4" w:space="0" w:color="365F91"/>
              <w:bottom w:val="single" w:sz="4" w:space="0" w:color="365F91"/>
            </w:tcBorders>
            <w:noWrap/>
            <w:hideMark/>
          </w:tcPr>
          <w:p w14:paraId="3035A64E" w14:textId="77777777" w:rsidR="00380BE7" w:rsidRPr="00256982" w:rsidRDefault="00380BE7" w:rsidP="009574E7">
            <w:pPr>
              <w:pStyle w:val="TableText"/>
              <w:tabs>
                <w:tab w:val="decimal" w:pos="577"/>
              </w:tabs>
              <w:jc w:val="center"/>
              <w:rPr>
                <w:lang w:eastAsia="en-NZ"/>
              </w:rPr>
            </w:pPr>
            <w:r w:rsidRPr="00256982">
              <w:t>105.98</w:t>
            </w:r>
          </w:p>
        </w:tc>
        <w:tc>
          <w:tcPr>
            <w:tcW w:w="1604" w:type="dxa"/>
            <w:tcBorders>
              <w:top w:val="single" w:sz="4" w:space="0" w:color="365F91"/>
              <w:bottom w:val="single" w:sz="4" w:space="0" w:color="365F91"/>
            </w:tcBorders>
            <w:noWrap/>
            <w:hideMark/>
          </w:tcPr>
          <w:p w14:paraId="1539CFA3" w14:textId="77777777" w:rsidR="00380BE7" w:rsidRPr="00256982" w:rsidRDefault="00380BE7" w:rsidP="009574E7">
            <w:pPr>
              <w:pStyle w:val="TableText"/>
              <w:tabs>
                <w:tab w:val="decimal" w:pos="577"/>
              </w:tabs>
              <w:jc w:val="center"/>
              <w:rPr>
                <w:lang w:eastAsia="en-NZ"/>
              </w:rPr>
            </w:pPr>
            <w:r w:rsidRPr="00256982">
              <w:t>98.23</w:t>
            </w:r>
          </w:p>
        </w:tc>
        <w:tc>
          <w:tcPr>
            <w:tcW w:w="1605" w:type="dxa"/>
            <w:tcBorders>
              <w:top w:val="single" w:sz="4" w:space="0" w:color="365F91"/>
              <w:bottom w:val="single" w:sz="4" w:space="0" w:color="365F91"/>
            </w:tcBorders>
            <w:noWrap/>
            <w:hideMark/>
          </w:tcPr>
          <w:p w14:paraId="65DF56C3" w14:textId="77777777" w:rsidR="00380BE7" w:rsidRPr="00256982" w:rsidRDefault="00380BE7" w:rsidP="009574E7">
            <w:pPr>
              <w:pStyle w:val="TableText"/>
              <w:tabs>
                <w:tab w:val="decimal" w:pos="577"/>
              </w:tabs>
              <w:jc w:val="center"/>
              <w:rPr>
                <w:lang w:eastAsia="en-NZ"/>
              </w:rPr>
            </w:pPr>
            <w:r w:rsidRPr="00256982">
              <w:t>113.73</w:t>
            </w:r>
          </w:p>
        </w:tc>
      </w:tr>
      <w:tr w:rsidR="00380BE7" w:rsidRPr="00256982" w14:paraId="4FE9CADD" w14:textId="77777777" w:rsidTr="009574E7">
        <w:tc>
          <w:tcPr>
            <w:tcW w:w="2880" w:type="dxa"/>
            <w:tcBorders>
              <w:top w:val="single" w:sz="4" w:space="0" w:color="365F91"/>
              <w:bottom w:val="single" w:sz="4" w:space="0" w:color="365F91"/>
            </w:tcBorders>
            <w:noWrap/>
            <w:hideMark/>
          </w:tcPr>
          <w:p w14:paraId="424CE55D" w14:textId="77777777" w:rsidR="00380BE7" w:rsidRPr="00256982" w:rsidRDefault="00380BE7" w:rsidP="009574E7">
            <w:pPr>
              <w:pStyle w:val="TableText"/>
              <w:rPr>
                <w:lang w:eastAsia="en-NZ"/>
              </w:rPr>
            </w:pPr>
            <w:r w:rsidRPr="00256982">
              <w:rPr>
                <w:lang w:eastAsia="en-NZ"/>
              </w:rPr>
              <w:t>Other land</w:t>
            </w:r>
          </w:p>
        </w:tc>
        <w:tc>
          <w:tcPr>
            <w:tcW w:w="1816" w:type="dxa"/>
            <w:tcBorders>
              <w:top w:val="single" w:sz="4" w:space="0" w:color="365F91"/>
              <w:bottom w:val="single" w:sz="4" w:space="0" w:color="365F91"/>
            </w:tcBorders>
            <w:noWrap/>
            <w:hideMark/>
          </w:tcPr>
          <w:p w14:paraId="1B07FE60" w14:textId="77777777" w:rsidR="00380BE7" w:rsidRPr="00256982" w:rsidRDefault="00380BE7" w:rsidP="009574E7">
            <w:pPr>
              <w:pStyle w:val="TableText"/>
              <w:tabs>
                <w:tab w:val="decimal" w:pos="577"/>
              </w:tabs>
              <w:jc w:val="center"/>
              <w:rPr>
                <w:lang w:eastAsia="en-NZ"/>
              </w:rPr>
            </w:pPr>
            <w:r w:rsidRPr="00256982">
              <w:t>58.37</w:t>
            </w:r>
          </w:p>
        </w:tc>
        <w:tc>
          <w:tcPr>
            <w:tcW w:w="1604" w:type="dxa"/>
            <w:tcBorders>
              <w:top w:val="single" w:sz="4" w:space="0" w:color="365F91"/>
              <w:bottom w:val="single" w:sz="4" w:space="0" w:color="365F91"/>
            </w:tcBorders>
            <w:noWrap/>
            <w:hideMark/>
          </w:tcPr>
          <w:p w14:paraId="1CB65755" w14:textId="77777777" w:rsidR="00380BE7" w:rsidRPr="00256982" w:rsidRDefault="00380BE7" w:rsidP="009574E7">
            <w:pPr>
              <w:pStyle w:val="TableText"/>
              <w:tabs>
                <w:tab w:val="decimal" w:pos="577"/>
              </w:tabs>
              <w:jc w:val="center"/>
              <w:rPr>
                <w:lang w:eastAsia="en-NZ"/>
              </w:rPr>
            </w:pPr>
            <w:r w:rsidRPr="00256982">
              <w:t>17.12</w:t>
            </w:r>
          </w:p>
        </w:tc>
        <w:tc>
          <w:tcPr>
            <w:tcW w:w="1605" w:type="dxa"/>
            <w:tcBorders>
              <w:top w:val="single" w:sz="4" w:space="0" w:color="365F91"/>
              <w:bottom w:val="single" w:sz="4" w:space="0" w:color="365F91"/>
            </w:tcBorders>
            <w:noWrap/>
            <w:hideMark/>
          </w:tcPr>
          <w:p w14:paraId="1A412309" w14:textId="77777777" w:rsidR="00380BE7" w:rsidRPr="00256982" w:rsidRDefault="00380BE7" w:rsidP="009574E7">
            <w:pPr>
              <w:pStyle w:val="TableText"/>
              <w:tabs>
                <w:tab w:val="decimal" w:pos="577"/>
              </w:tabs>
              <w:jc w:val="center"/>
              <w:rPr>
                <w:lang w:eastAsia="en-NZ"/>
              </w:rPr>
            </w:pPr>
            <w:r w:rsidRPr="00256982">
              <w:t>99.62</w:t>
            </w:r>
          </w:p>
        </w:tc>
      </w:tr>
    </w:tbl>
    <w:p w14:paraId="57185BC6" w14:textId="77777777" w:rsidR="00380BE7" w:rsidRPr="00256982" w:rsidRDefault="00380BE7" w:rsidP="00F27196">
      <w:pPr>
        <w:pStyle w:val="Source"/>
        <w:spacing w:after="120"/>
      </w:pPr>
      <w:r w:rsidRPr="00256982">
        <w:rPr>
          <w:b/>
        </w:rPr>
        <w:t>Source</w:t>
      </w:r>
      <w:r w:rsidRPr="00256982">
        <w:t>: Calculated from McNeill and Barringer (unpublished)</w:t>
      </w:r>
    </w:p>
    <w:p w14:paraId="5C858C73" w14:textId="77777777" w:rsidR="00380BE7" w:rsidRPr="00256982" w:rsidRDefault="00380BE7" w:rsidP="00380BE7">
      <w:pPr>
        <w:pStyle w:val="BodyText"/>
      </w:pPr>
      <w:r w:rsidRPr="00256982">
        <w:t>The residual standard error for the model is 41.3 tonnes per hectare, and the corrected Akaike information criterion value is 21,044.2. The spatial autocorrelation scale distance is 18.1 kilometres, with a nugget of 0.47 (McNeill and Barringer, unpublished). A correction for spatial correlation is necessary because the samples are located close to one another rather than evenly spread throughout New Zealand (because land use is not distributed evenly throughout New Zealand). These values are consistent with earlier analyses (McNeill, unpublished(a), (b)). The use of the Akaike information criterion value as a model selection and comparison mechanism is widely supported in the literature in general and in soil modelling specifically (Burnham and Anderson, 2002; Elsgaard et al., 2012; Ogle et al., 2007).</w:t>
      </w:r>
    </w:p>
    <w:p w14:paraId="0A6A0999" w14:textId="77777777" w:rsidR="00380BE7" w:rsidRPr="00256982" w:rsidRDefault="00380BE7" w:rsidP="00380BE7">
      <w:pPr>
        <w:pStyle w:val="Heading5"/>
        <w:rPr>
          <w:lang w:eastAsia="en-NZ"/>
        </w:rPr>
      </w:pPr>
      <w:r w:rsidRPr="00256982">
        <w:rPr>
          <w:lang w:eastAsia="en-NZ"/>
        </w:rPr>
        <w:t>Measures of statistical validity: Assessing significant differences among SOC stocks</w:t>
      </w:r>
    </w:p>
    <w:p w14:paraId="20FEE2B0" w14:textId="77777777" w:rsidR="00380BE7" w:rsidRPr="00256982" w:rsidRDefault="00380BE7" w:rsidP="00380BE7">
      <w:pPr>
        <w:spacing w:before="120" w:after="120"/>
        <w:rPr>
          <w:rFonts w:eastAsia="Arial"/>
          <w:szCs w:val="22"/>
        </w:rPr>
      </w:pPr>
      <w:r w:rsidRPr="00256982">
        <w:rPr>
          <w:rFonts w:eastAsia="Arial"/>
          <w:szCs w:val="22"/>
        </w:rPr>
        <w:t xml:space="preserve">The uncertainty of the LUE (the change in soil carbon, assuming the transition is stable) between two land use categories in isolation is conceptually straightforward: two estimates of LUE are more likely to be significantly separated if their point estimates are farther apart after taking account of the covariance between the two land use effects. The standard error </w:t>
      </w:r>
      <w:r w:rsidRPr="00256982">
        <w:rPr>
          <w:rFonts w:eastAsia="Arial"/>
          <w:i/>
          <w:szCs w:val="22"/>
        </w:rPr>
        <w:t>ơ</w:t>
      </w:r>
      <w:r w:rsidRPr="00256982">
        <w:rPr>
          <w:rFonts w:eastAsia="Arial"/>
          <w:i/>
          <w:szCs w:val="22"/>
          <w:vertAlign w:val="subscript"/>
        </w:rPr>
        <w:t>i,j</w:t>
      </w:r>
      <w:r w:rsidRPr="00256982">
        <w:rPr>
          <w:rFonts w:eastAsia="Arial"/>
          <w:szCs w:val="22"/>
        </w:rPr>
        <w:t xml:space="preserve"> of the LUE change for a transition between two land use categories with effects</w:t>
      </w:r>
      <w:r w:rsidRPr="00256982">
        <w:rPr>
          <w:rFonts w:eastAsia="Arial"/>
          <w:i/>
          <w:szCs w:val="22"/>
        </w:rPr>
        <w:t xml:space="preserve"> L</w:t>
      </w:r>
      <w:r w:rsidRPr="00256982">
        <w:rPr>
          <w:rFonts w:eastAsia="Arial"/>
          <w:i/>
          <w:szCs w:val="22"/>
          <w:vertAlign w:val="subscript"/>
        </w:rPr>
        <w:t>i</w:t>
      </w:r>
      <w:r w:rsidRPr="00256982">
        <w:rPr>
          <w:rFonts w:eastAsia="Arial"/>
          <w:szCs w:val="22"/>
        </w:rPr>
        <w:t xml:space="preserve"> and </w:t>
      </w:r>
      <w:r w:rsidRPr="00256982">
        <w:rPr>
          <w:rFonts w:eastAsia="Arial"/>
          <w:i/>
          <w:szCs w:val="22"/>
        </w:rPr>
        <w:t>L</w:t>
      </w:r>
      <w:r w:rsidRPr="00256982">
        <w:rPr>
          <w:rFonts w:eastAsia="Arial"/>
          <w:i/>
          <w:szCs w:val="22"/>
          <w:vertAlign w:val="subscript"/>
        </w:rPr>
        <w:t>j</w:t>
      </w:r>
      <w:r w:rsidRPr="00256982">
        <w:rPr>
          <w:rFonts w:eastAsia="Arial"/>
          <w:szCs w:val="22"/>
        </w:rPr>
        <w:t xml:space="preserve"> is then estimated from:</w:t>
      </w:r>
    </w:p>
    <w:tbl>
      <w:tblPr>
        <w:tblW w:w="5000" w:type="pct"/>
        <w:tblLook w:val="04A0" w:firstRow="1" w:lastRow="0" w:firstColumn="1" w:lastColumn="0" w:noHBand="0" w:noVBand="1"/>
      </w:tblPr>
      <w:tblGrid>
        <w:gridCol w:w="862"/>
        <w:gridCol w:w="6895"/>
        <w:gridCol w:w="862"/>
      </w:tblGrid>
      <w:tr w:rsidR="00380BE7" w:rsidRPr="00256982" w14:paraId="26184E6A" w14:textId="77777777" w:rsidTr="009574E7">
        <w:tc>
          <w:tcPr>
            <w:tcW w:w="500" w:type="pct"/>
            <w:shd w:val="clear" w:color="auto" w:fill="auto"/>
            <w:tcMar>
              <w:top w:w="57" w:type="dxa"/>
              <w:left w:w="57" w:type="dxa"/>
              <w:bottom w:w="57" w:type="dxa"/>
              <w:right w:w="57" w:type="dxa"/>
            </w:tcMar>
            <w:vAlign w:val="center"/>
          </w:tcPr>
          <w:p w14:paraId="6D4B44F0" w14:textId="77777777" w:rsidR="00380BE7" w:rsidRPr="00256982" w:rsidRDefault="00380BE7" w:rsidP="009574E7">
            <w:pPr>
              <w:rPr>
                <w:rFonts w:eastAsia="Calibri"/>
                <w:i/>
                <w:sz w:val="20"/>
                <w:lang w:eastAsia="en-NZ"/>
              </w:rPr>
            </w:pPr>
          </w:p>
        </w:tc>
        <w:tc>
          <w:tcPr>
            <w:tcW w:w="4000" w:type="pct"/>
            <w:shd w:val="clear" w:color="auto" w:fill="auto"/>
            <w:tcMar>
              <w:top w:w="57" w:type="dxa"/>
              <w:left w:w="57" w:type="dxa"/>
              <w:bottom w:w="57" w:type="dxa"/>
              <w:right w:w="57" w:type="dxa"/>
            </w:tcMar>
            <w:vAlign w:val="center"/>
          </w:tcPr>
          <w:p w14:paraId="7BA0A491" w14:textId="3EFE162D" w:rsidR="00380BE7" w:rsidRPr="00256982" w:rsidRDefault="00590491" w:rsidP="009574E7">
            <w:pPr>
              <w:spacing w:before="120"/>
              <w:jc w:val="left"/>
              <w:rPr>
                <w:rFonts w:eastAsia="Calibri"/>
                <w:i/>
                <w:sz w:val="24"/>
                <w:szCs w:val="24"/>
                <w:lang w:eastAsia="en-NZ"/>
              </w:rPr>
            </w:pPr>
            <w:r>
              <w:rPr>
                <w:rFonts w:eastAsia="Calibri"/>
              </w:rPr>
              <w:pict w14:anchorId="23F9BE16">
                <v:shape id="_x0000_i1136" type="#_x0000_t75" style="width:225pt;height:29.2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5&lt;/o:Version&gt;&lt;/o:DocumentProperties&gt;&lt;w:docPr&gt;&lt;w:view w:val=&quot;print&quot;/&gt;&lt;w:zoom w:percent=&quot;100&quot;/&gt;&lt;w:doNotEmbedSystemFonts/&gt;&lt;w:activeWritingStyle w:lang=&quot;EN-NZ&quot; w:vendorID=&quot;64&quot; w:dllVersion=&quot;131078&quot; w:nlCheck=&quot;on&quot; w:optionSet=&quot;1&quot;/&gt;&lt;w:stylePaneFormatFilter w:val=&quot;5804&quot;/&gt;&lt;w:defaultTabStop w:val=&quot;720&quot;/&gt;&lt;w:evenAndOddHeaders/&gt;&lt;w:drawingGridHorizontalSpacing w:val=&quot;187&quot;/&gt;&lt;w:displayVerticalDrawingGridEvery w:val=&quot;2&quot;/&gt;&lt;w:characterSpacingControl w:val=&quot;DontCompress&quot;/&gt;&lt;w:optimizeForBrowser/&gt;&lt;w:validateAgainstSchema/&gt;&lt;w:saveInvalidXML w:val=&quot;off&quot;/&gt;&lt;w:ignoreMixedContent w:val=&quot;off&quot;/&gt;&lt;w:alwaysShowPlaceholderText w:val=&quot;off&quot;/&gt;&lt;w:compat&gt;&lt;w:suppressBottomSpacing/&gt;&lt;w:suppressSpBfAfterPgBrk/&gt;&lt;w:doNotUseHTMLParagraphAutoSpacing/&gt;&lt;w:breakWrappedTables/&gt;&lt;w:snapToGridInCell/&gt;&lt;w:wrapTextWithPunct/&gt;&lt;w:useAsianBreakRules/&gt;&lt;w:useWord2002TableStyleRules/&gt;&lt;/w:compat&gt;&lt;wsp:rsids&gt;&lt;wsp:rsidRoot wsp:val=&quot;00702030&quot;/&gt;&lt;wsp:rsid wsp:val=&quot;00001716&quot;/&gt;&lt;wsp:rsid wsp:val=&quot;00007ABB&quot;/&gt;&lt;wsp:rsid wsp:val=&quot;00013566&quot;/&gt;&lt;wsp:rsid wsp:val=&quot;00015CFC&quot;/&gt;&lt;wsp:rsid wsp:val=&quot;000219C8&quot;/&gt;&lt;wsp:rsid wsp:val=&quot;00021ACF&quot;/&gt;&lt;wsp:rsid wsp:val=&quot;000233E5&quot;/&gt;&lt;wsp:rsid wsp:val=&quot;00027E55&quot;/&gt;&lt;wsp:rsid wsp:val=&quot;00032A28&quot;/&gt;&lt;wsp:rsid wsp:val=&quot;00035185&quot;/&gt;&lt;wsp:rsid wsp:val=&quot;00044580&quot;/&gt;&lt;wsp:rsid wsp:val=&quot;00050008&quot;/&gt;&lt;wsp:rsid wsp:val=&quot;0005134C&quot;/&gt;&lt;wsp:rsid wsp:val=&quot;0006123B&quot;/&gt;&lt;wsp:rsid wsp:val=&quot;00084588&quot;/&gt;&lt;wsp:rsid wsp:val=&quot;000A3774&quot;/&gt;&lt;wsp:rsid wsp:val=&quot;000C20A6&quot;/&gt;&lt;wsp:rsid wsp:val=&quot;000D30F0&quot;/&gt;&lt;wsp:rsid wsp:val=&quot;000E1498&quot;/&gt;&lt;wsp:rsid wsp:val=&quot;000F4DEF&quot;/&gt;&lt;wsp:rsid wsp:val=&quot;000F6318&quot;/&gt;&lt;wsp:rsid wsp:val=&quot;00116E1B&quot;/&gt;&lt;wsp:rsid wsp:val=&quot;001221C3&quot;/&gt;&lt;wsp:rsid wsp:val=&quot;00133C9D&quot;/&gt;&lt;wsp:rsid wsp:val=&quot;00134FC2&quot;/&gt;&lt;wsp:rsid wsp:val=&quot;00135B33&quot;/&gt;&lt;wsp:rsid wsp:val=&quot;00153F5A&quot;/&gt;&lt;wsp:rsid wsp:val=&quot;001970E1&quot;/&gt;&lt;wsp:rsid wsp:val=&quot;001A1997&quot;/&gt;&lt;wsp:rsid wsp:val=&quot;001B6FD2&quot;/&gt;&lt;wsp:rsid wsp:val=&quot;001D3490&quot;/&gt;&lt;wsp:rsid wsp:val=&quot;001E0B7B&quot;/&gt;&lt;wsp:rsid wsp:val=&quot;00207ABF&quot;/&gt;&lt;wsp:rsid wsp:val=&quot;0023070D&quot;/&gt;&lt;wsp:rsid wsp:val=&quot;00240B42&quot;/&gt;&lt;wsp:rsid wsp:val=&quot;0024542F&quot;/&gt;&lt;wsp:rsid wsp:val=&quot;00260B48&quot;/&gt;&lt;wsp:rsid wsp:val=&quot;00273218&quot;/&gt;&lt;wsp:rsid wsp:val=&quot;0028581A&quot;/&gt;&lt;wsp:rsid wsp:val=&quot;002868D3&quot;/&gt;&lt;wsp:rsid wsp:val=&quot;00295B2A&quot;/&gt;&lt;wsp:rsid wsp:val=&quot;002A1361&quot;/&gt;&lt;wsp:rsid wsp:val=&quot;002A49D7&quot;/&gt;&lt;wsp:rsid wsp:val=&quot;002B1C5A&quot;/&gt;&lt;wsp:rsid wsp:val=&quot;002B3284&quot;/&gt;&lt;wsp:rsid wsp:val=&quot;002B6594&quot;/&gt;&lt;wsp:rsid wsp:val=&quot;002C7BFB&quot;/&gt;&lt;wsp:rsid wsp:val=&quot;002D60DB&quot;/&gt;&lt;wsp:rsid wsp:val=&quot;002D6A54&quot;/&gt;&lt;wsp:rsid wsp:val=&quot;002F134A&quot;/&gt;&lt;wsp:rsid wsp:val=&quot;00302D84&quot;/&gt;&lt;wsp:rsid wsp:val=&quot;00315760&quot;/&gt;&lt;wsp:rsid wsp:val=&quot;00333ACA&quot;/&gt;&lt;wsp:rsid wsp:val=&quot;00336A51&quot;/&gt;&lt;wsp:rsid wsp:val=&quot;0036046B&quot;/&gt;&lt;wsp:rsid wsp:val=&quot;0037590E&quot;/&gt;&lt;wsp:rsid wsp:val=&quot;00377186&quot;/&gt;&lt;wsp:rsid wsp:val=&quot;00380BE7&quot;/&gt;&lt;wsp:rsid wsp:val=&quot;00383207&quot;/&gt;&lt;wsp:rsid wsp:val=&quot;00391D8B&quot;/&gt;&lt;wsp:rsid wsp:val=&quot;003972EF&quot;/&gt;&lt;wsp:rsid wsp:val=&quot;00397D2B&quot;/&gt;&lt;wsp:rsid wsp:val=&quot;003A3F0A&quot;/&gt;&lt;wsp:rsid wsp:val=&quot;003A5006&quot;/&gt;&lt;wsp:rsid wsp:val=&quot;003C2615&quot;/&gt;&lt;wsp:rsid wsp:val=&quot;003C42C1&quot;/&gt;&lt;wsp:rsid wsp:val=&quot;003D0318&quot;/&gt;&lt;wsp:rsid wsp:val=&quot;003D5417&quot;/&gt;&lt;wsp:rsid wsp:val=&quot;003E2377&quot;/&gt;&lt;wsp:rsid wsp:val=&quot;00400F92&quot;/&gt;&lt;wsp:rsid wsp:val=&quot;0042424B&quot;/&gt;&lt;wsp:rsid wsp:val=&quot;00430D5D&quot;/&gt;&lt;wsp:rsid wsp:val=&quot;00440459&quot;/&gt;&lt;wsp:rsid wsp:val=&quot;00453950&quot;/&gt;&lt;wsp:rsid wsp:val=&quot;0045652C&quot;/&gt;&lt;wsp:rsid wsp:val=&quot;00462497&quot;/&gt;&lt;wsp:rsid wsp:val=&quot;004805A3&quot;/&gt;&lt;wsp:rsid wsp:val=&quot;00490EB0&quot;/&gt;&lt;wsp:rsid wsp:val=&quot;00494545&quot;/&gt;&lt;wsp:rsid wsp:val=&quot;004A555E&quot;/&gt;&lt;wsp:rsid wsp:val=&quot;004A618E&quot;/&gt;&lt;wsp:rsid wsp:val=&quot;004B6199&quot;/&gt;&lt;wsp:rsid wsp:val=&quot;004C4C3C&quot;/&gt;&lt;wsp:rsid wsp:val=&quot;004D0E3A&quot;/&gt;&lt;wsp:rsid wsp:val=&quot;004D3C29&quot;/&gt;&lt;wsp:rsid wsp:val=&quot;004E4B2C&quot;/&gt;&lt;wsp:rsid wsp:val=&quot;004F1572&quot;/&gt;&lt;wsp:rsid wsp:val=&quot;00501A5F&quot;/&gt;&lt;wsp:rsid wsp:val=&quot;005072D0&quot;/&gt;&lt;wsp:rsid wsp:val=&quot;00511420&quot;/&gt;&lt;wsp:rsid wsp:val=&quot;00526270&quot;/&gt;&lt;wsp:rsid wsp:val=&quot;00534210&quot;/&gt;&lt;wsp:rsid wsp:val=&quot;005369D9&quot;/&gt;&lt;wsp:rsid wsp:val=&quot;00546A6A&quot;/&gt;&lt;wsp:rsid wsp:val=&quot;005630B0&quot;/&gt;&lt;wsp:rsid wsp:val=&quot;005660CD&quot;/&gt;&lt;wsp:rsid wsp:val=&quot;005720F2&quot;/&gt;&lt;wsp:rsid wsp:val=&quot;00596603&quot;/&gt;&lt;wsp:rsid wsp:val=&quot;005A10D4&quot;/&gt;&lt;wsp:rsid wsp:val=&quot;005A1E61&quot;/&gt;&lt;wsp:rsid wsp:val=&quot;005B76A4&quot;/&gt;&lt;wsp:rsid wsp:val=&quot;005C3384&quot;/&gt;&lt;wsp:rsid wsp:val=&quot;005C416E&quot;/&gt;&lt;wsp:rsid wsp:val=&quot;005D1C3A&quot;/&gt;&lt;wsp:rsid wsp:val=&quot;005E43DD&quot;/&gt;&lt;wsp:rsid wsp:val=&quot;005F02D1&quot;/&gt;&lt;wsp:rsid wsp:val=&quot;00600179&quot;/&gt;&lt;wsp:rsid wsp:val=&quot;00603FC0&quot;/&gt;&lt;wsp:rsid wsp:val=&quot;00611ECD&quot;/&gt;&lt;wsp:rsid wsp:val=&quot;00623AC7&quot;/&gt;&lt;wsp:rsid wsp:val=&quot;00636BF0&quot;/&gt;&lt;wsp:rsid wsp:val=&quot;006401AB&quot;/&gt;&lt;wsp:rsid wsp:val=&quot;0064442E&quot;/&gt;&lt;wsp:rsid wsp:val=&quot;00646B6D&quot;/&gt;&lt;wsp:rsid wsp:val=&quot;00655908&quot;/&gt;&lt;wsp:rsid wsp:val=&quot;006654F8&quot;/&gt;&lt;wsp:rsid wsp:val=&quot;00665768&quot;/&gt;&lt;wsp:rsid wsp:val=&quot;00667291&quot;/&gt;&lt;wsp:rsid wsp:val=&quot;00686249&quot;/&gt;&lt;wsp:rsid wsp:val=&quot;00687504&quot;/&gt;&lt;wsp:rsid wsp:val=&quot;0068777C&quot;/&gt;&lt;wsp:rsid wsp:val=&quot;006A171F&quot;/&gt;&lt;wsp:rsid wsp:val=&quot;006A4E5F&quot;/&gt;&lt;wsp:rsid wsp:val=&quot;006D4600&quot;/&gt;&lt;wsp:rsid wsp:val=&quot;006E0A2C&quot;/&gt;&lt;wsp:rsid wsp:val=&quot;006E202B&quot;/&gt;&lt;wsp:rsid wsp:val=&quot;006E57B5&quot;/&gt;&lt;wsp:rsid wsp:val=&quot;006E6AE2&quot;/&gt;&lt;wsp:rsid wsp:val=&quot;006F0CF5&quot;/&gt;&lt;wsp:rsid wsp:val=&quot;00702030&quot;/&gt;&lt;wsp:rsid wsp:val=&quot;00702FA0&quot;/&gt;&lt;wsp:rsid wsp:val=&quot;00724218&quot;/&gt;&lt;wsp:rsid wsp:val=&quot;007350B6&quot;/&gt;&lt;wsp:rsid wsp:val=&quot;00737E65&quot;/&gt;&lt;wsp:rsid wsp:val=&quot;0074030A&quot;/&gt;&lt;wsp:rsid wsp:val=&quot;00753965&quot;/&gt;&lt;wsp:rsid wsp:val=&quot;00762043&quot;/&gt;&lt;wsp:rsid wsp:val=&quot;007633C2&quot;/&gt;&lt;wsp:rsid wsp:val=&quot;00765A47&quot;/&gt;&lt;wsp:rsid wsp:val=&quot;00766DF1&quot;/&gt;&lt;wsp:rsid wsp:val=&quot;00770E82&quot;/&gt;&lt;wsp:rsid wsp:val=&quot;00772E94&quot;/&gt;&lt;wsp:rsid wsp:val=&quot;00773278&quot;/&gt;&lt;wsp:rsid wsp:val=&quot;00773D22&quot;/&gt;&lt;wsp:rsid wsp:val=&quot;007A1993&quot;/&gt;&lt;wsp:rsid wsp:val=&quot;007A7194&quot;/&gt;&lt;wsp:rsid wsp:val=&quot;007B028B&quot;/&gt;&lt;wsp:rsid wsp:val=&quot;007B1D71&quot;/&gt;&lt;wsp:rsid wsp:val=&quot;007C00D0&quot;/&gt;&lt;wsp:rsid wsp:val=&quot;007C2186&quot;/&gt;&lt;wsp:rsid wsp:val=&quot;007F2233&quot;/&gt;&lt;wsp:rsid wsp:val=&quot;007F25E1&quot;/&gt;&lt;wsp:rsid wsp:val=&quot;007F73BB&quot;/&gt;&lt;wsp:rsid wsp:val=&quot;00806461&quot;/&gt;&lt;wsp:rsid wsp:val=&quot;0080694B&quot;/&gt;&lt;wsp:rsid wsp:val=&quot;008113E1&quot;/&gt;&lt;wsp:rsid wsp:val=&quot;0081779C&quot;/&gt;&lt;wsp:rsid wsp:val=&quot;00831D0D&quot;/&gt;&lt;wsp:rsid wsp:val=&quot;00832DEE&quot;/&gt;&lt;wsp:rsid wsp:val=&quot;00835C2B&quot;/&gt;&lt;wsp:rsid wsp:val=&quot;00837FBE&quot;/&gt;&lt;wsp:rsid wsp:val=&quot;00846B89&quot;/&gt;&lt;wsp:rsid wsp:val=&quot;0085534A&quot;/&gt;&lt;wsp:rsid wsp:val=&quot;00855A8A&quot;/&gt;&lt;wsp:rsid wsp:val=&quot;00886AAC&quot;/&gt;&lt;wsp:rsid wsp:val=&quot;008A2EC5&quot;/&gt;&lt;wsp:rsid wsp:val=&quot;008B77F5&quot;/&gt;&lt;wsp:rsid wsp:val=&quot;008C0279&quot;/&gt;&lt;wsp:rsid wsp:val=&quot;008C7F68&quot;/&gt;&lt;wsp:rsid wsp:val=&quot;008E380C&quot;/&gt;&lt;wsp:rsid wsp:val=&quot;008F25D2&quot;/&gt;&lt;wsp:rsid wsp:val=&quot;008F50EC&quot;/&gt;&lt;wsp:rsid wsp:val=&quot;00906C96&quot;/&gt;&lt;wsp:rsid wsp:val=&quot;00914CC6&quot;/&gt;&lt;wsp:rsid wsp:val=&quot;0092751F&quot;/&gt;&lt;wsp:rsid wsp:val=&quot;00932067&quot;/&gt;&lt;wsp:rsid wsp:val=&quot;0093594A&quot;/&gt;&lt;wsp:rsid wsp:val=&quot;00955D73&quot;/&gt;&lt;wsp:rsid wsp:val=&quot;00960C16&quot;/&gt;&lt;wsp:rsid wsp:val=&quot;0096512C&quot;/&gt;&lt;wsp:rsid wsp:val=&quot;0096540A&quot;/&gt;&lt;wsp:rsid wsp:val=&quot;009A0D25&quot;/&gt;&lt;wsp:rsid wsp:val=&quot;009C5D2A&quot;/&gt;&lt;wsp:rsid wsp:val=&quot;009E792C&quot;/&gt;&lt;wsp:rsid wsp:val=&quot;00A331E7&quot;/&gt;&lt;wsp:rsid wsp:val=&quot;00A41C3C&quot;/&gt;&lt;wsp:rsid wsp:val=&quot;00A42C52&quot;/&gt;&lt;wsp:rsid wsp:val=&quot;00A72006&quot;/&gt;&lt;wsp:rsid wsp:val=&quot;00A72873&quot;/&gt;&lt;wsp:rsid wsp:val=&quot;00A808C7&quot;/&gt;&lt;wsp:rsid wsp:val=&quot;00AB2710&quot;/&gt;&lt;wsp:rsid wsp:val=&quot;00AB6612&quot;/&gt;&lt;wsp:rsid wsp:val=&quot;00AD05B0&quot;/&gt;&lt;wsp:rsid wsp:val=&quot;00AD184B&quot;/&gt;&lt;wsp:rsid wsp:val=&quot;00AE6B8F&quot;/&gt;&lt;wsp:rsid wsp:val=&quot;00B0566D&quot;/&gt;&lt;wsp:rsid wsp:val=&quot;00B10937&quot;/&gt;&lt;wsp:rsid wsp:val=&quot;00B35BD9&quot;/&gt;&lt;wsp:rsid wsp:val=&quot;00B37DE8&quot;/&gt;&lt;wsp:rsid wsp:val=&quot;00B448C0&quot;/&gt;&lt;wsp:rsid wsp:val=&quot;00B44BA5&quot;/&gt;&lt;wsp:rsid wsp:val=&quot;00B479C6&quot;/&gt;&lt;wsp:rsid wsp:val=&quot;00B615A9&quot;/&gt;&lt;wsp:rsid wsp:val=&quot;00B63FA9&quot;/&gt;&lt;wsp:rsid wsp:val=&quot;00B6460B&quot;/&gt;&lt;wsp:rsid wsp:val=&quot;00BA1651&quot;/&gt;&lt;wsp:rsid wsp:val=&quot;00BA5F7E&quot;/&gt;&lt;wsp:rsid wsp:val=&quot;00BC7E76&quot;/&gt;&lt;wsp:rsid wsp:val=&quot;00BE5DBA&quot;/&gt;&lt;wsp:rsid wsp:val=&quot;00BF12F6&quot;/&gt;&lt;wsp:rsid wsp:val=&quot;00C00765&quot;/&gt;&lt;wsp:rsid wsp:val=&quot;00C10464&quot;/&gt;&lt;wsp:rsid wsp:val=&quot;00C119C2&quot;/&gt;&lt;wsp:rsid wsp:val=&quot;00C13667&quot;/&gt;&lt;wsp:rsid wsp:val=&quot;00C21B54&quot;/&gt;&lt;wsp:rsid wsp:val=&quot;00C363AA&quot;/&gt;&lt;wsp:rsid wsp:val=&quot;00C40967&quot;/&gt;&lt;wsp:rsid wsp:val=&quot;00C463D8&quot;/&gt;&lt;wsp:rsid wsp:val=&quot;00C55A30&quot;/&gt;&lt;wsp:rsid wsp:val=&quot;00C600E2&quot;/&gt;&lt;wsp:rsid wsp:val=&quot;00C63D43&quot;/&gt;&lt;wsp:rsid wsp:val=&quot;00C74134&quot;/&gt;&lt;wsp:rsid wsp:val=&quot;00C823B1&quot;/&gt;&lt;wsp:rsid wsp:val=&quot;00C9625F&quot;/&gt;&lt;wsp:rsid wsp:val=&quot;00CA271E&quot;/&gt;&lt;wsp:rsid wsp:val=&quot;00CB1488&quot;/&gt;&lt;wsp:rsid wsp:val=&quot;00CB7414&quot;/&gt;&lt;wsp:rsid wsp:val=&quot;00CC4FF7&quot;/&gt;&lt;wsp:rsid wsp:val=&quot;00CE412B&quot;/&gt;&lt;wsp:rsid wsp:val=&quot;00D01CFE&quot;/&gt;&lt;wsp:rsid wsp:val=&quot;00D07C4B&quot;/&gt;&lt;wsp:rsid wsp:val=&quot;00D225D8&quot;/&gt;&lt;wsp:rsid wsp:val=&quot;00D33A2E&quot;/&gt;&lt;wsp:rsid wsp:val=&quot;00D4311F&quot;/&gt;&lt;wsp:rsid wsp:val=&quot;00D511A1&quot;/&gt;&lt;wsp:rsid wsp:val=&quot;00D872BF&quot;/&gt;&lt;wsp:rsid wsp:val=&quot;00DB124F&quot;/&gt;&lt;wsp:rsid wsp:val=&quot;00DC75B7&quot;/&gt;&lt;wsp:rsid wsp:val=&quot;00DE01F6&quot;/&gt;&lt;wsp:rsid wsp:val=&quot;00DE18EB&quot;/&gt;&lt;wsp:rsid wsp:val=&quot;00DE2998&quot;/&gt;&lt;wsp:rsid wsp:val=&quot;00DE4223&quot;/&gt;&lt;wsp:rsid wsp:val=&quot;00DE64BC&quot;/&gt;&lt;wsp:rsid wsp:val=&quot;00DE6B60&quot;/&gt;&lt;wsp:rsid wsp:val=&quot;00DF3C07&quot;/&gt;&lt;wsp:rsid wsp:val=&quot;00E01CCF&quot;/&gt;&lt;wsp:rsid wsp:val=&quot;00E06D10&quot;/&gt;&lt;wsp:rsid wsp:val=&quot;00E20458&quot;/&gt;&lt;wsp:rsid wsp:val=&quot;00E56487&quot;/&gt;&lt;wsp:rsid wsp:val=&quot;00E853F3&quot;/&gt;&lt;wsp:rsid wsp:val=&quot;00EC2491&quot;/&gt;&lt;wsp:rsid wsp:val=&quot;00EC3056&quot;/&gt;&lt;wsp:rsid wsp:val=&quot;00ED2C42&quot;/&gt;&lt;wsp:rsid wsp:val=&quot;00EF3B2B&quot;/&gt;&lt;wsp:rsid wsp:val=&quot;00F00EE9&quot;/&gt;&lt;wsp:rsid wsp:val=&quot;00F379DD&quot;/&gt;&lt;wsp:rsid wsp:val=&quot;00F47244&quot;/&gt;&lt;wsp:rsid wsp:val=&quot;00FA5F45&quot;/&gt;&lt;wsp:rsid wsp:val=&quot;00FA7522&quot;/&gt;&lt;wsp:rsid wsp:val=&quot;00FB5DA7&quot;/&gt;&lt;wsp:rsid wsp:val=&quot;00FB7629&quot;/&gt;&lt;wsp:rsid wsp:val=&quot;00FC2C59&quot;/&gt;&lt;wsp:rsid wsp:val=&quot;00FC5421&quot;/&gt;&lt;wsp:rsid wsp:val=&quot;00FD178C&quot;/&gt;&lt;wsp:rsid wsp:val=&quot;00FF67A7&quot;/&gt;&lt;/wsp:rsids&gt;&lt;/w:docPr&gt;&lt;w:body&gt;&lt;wx:sect&gt;&lt;w:p wsp:rsidR=&quot;00000000&quot; wsp:rsidRPr=&quot;000D30F0&quot; wsp:rsidRDefault=&quot;000D30F0&quot; wsp:rsidP=&quot;000D30F0&quot;&gt;&lt;m:oMathPara&gt;&lt;m:oMathParaPr&gt;&lt;m:jc m:val=&quot;left&quot;/&gt;&lt;/m:oMathParaPr&gt;&lt;m:oMath&gt;&lt;m:sSub&gt;&lt;m:sSubPr&gt;&lt;m:ctrlPr&gt;&lt;w:rPr&gt;&lt;w:rFonts w:ascii=&quot;Cambria Math&quot; w:fareast=&quot;Calibri&quot; w:h-ansi=&quot;Cambria Math&quot;/&gt;&lt;wx:font wx:val=&quot;Cambria Math&quot;/&gt;&lt;w:i/&gt;&lt;w:sz w:val=&quot;24&quot;/&gt;&lt;w:sz-cs w:val=&quot;24&quot;/&gt;&lt;w:lang w:fareast=&quot;EN-NZ&quot;/&gt;&lt;/w:rPr&gt;&lt;/m:ctrlPr&gt;&lt;/m:sSubPr&gt;&lt;m:e&gt;&lt;m:r&gt;&lt;w:rPr&gt;&lt;w:rFonts w:ascii=&quot;Cambria Math&quot; w:fareast=&quot;Calibri&quot; w:h-ansi=&quot;Cambria Math&quot;/&gt;&lt;wx:font wx:val=&quot;Cambria Math&quot;/&gt;&lt;w:i/&gt;&lt;w:sz w:val=&quot;24&quot;/&gt;&lt;w:sz-cs w:val=&quot;24&quot;/&gt;&lt;w:lang w:fareast=&quot;EN-NZ&quot;/&gt;&lt;/w:rPr&gt;&lt;m:t&gt;Ïƒ&lt;/m:t&gt;&lt;/m:r&gt;&lt;/m:e&gt;&lt;m:sub&gt;&lt;m:r&gt;&lt;w:rPr&gt;&lt;w:rFonts w:ascii=&quot;Cambria Math&quot; w:fareast=&quot;Calibri&quot; w:h-ansi=&quot;Cambria Math&quot;/&gt;&lt;wx:font wx:val=&quot;Cambria Math&quot;/&gt;&lt;w:i/&gt;&lt;w:sz w:val=&quot;24&quot;/&gt;&lt;w:sz-cs w:val=&quot;24&quot;/&gt;&lt;w:lang w:fareast=&quot;EN-NZ&quot;/&gt;&lt;/w:rPr&gt;&lt;m:t&gt;i,j&lt;/m:t&gt;&lt;/m:r&gt;&lt;/m:sub&gt;&lt;/m:sSub&gt;&lt;m:r&gt;&lt;w:rPr&gt;&lt;w:rFonts w:ascii=&quot;Cambria Math&quot; w:fareast=&quot;Calibri&quot; w:h-ansi=&quot;Cambria Math&quot;/&gt;&lt;wx:font wx:val=&quot;Cambria Math&quot;/&gt;&lt;w:i/&gt;&lt;w:sz w:val=&quot;24&quot;/&gt;&lt;w:sz-cs w:val=&quot;24&quot;/&gt;&lt;w:lang w:fareast=&quot;EN-NZ&quot;/&gt;&lt;/w:rPr&gt;&lt;m:t&gt;=&lt;/m:t&gt;&lt;/m:r&gt;&lt;m:rad&gt;&lt;m:radPr&gt;&lt;m:degHide m:val=&quot;1&quot;/&gt;&lt;m:ctrlPr&gt;&lt;w:rPr&gt;&lt;w:rFonts w:ascii=&quot;Cambria Math&quot; w:fareast=&quot;Calibri&quot; w:h-ansi=&quot;Cambria Math&quot;/&gt;&lt;wx:font wx:val=&quot;Cambria Math&quot;/&gt;&lt;w:i/&gt;&lt;w:sz w:val=&quot;24&quot;/&gt;&lt;w:sz-cs w:val=&quot;24&quot;/&gt;&lt;w:lang w:fareast=&quot;EN-NZ&quot;/&gt;&lt;/w:rPr&gt;&lt;/m:ctrlPr&gt;&lt;/m:radPr&gt;&lt;m:deg/&gt;&lt;m:e&gt;&lt;m:r&gt;&lt;w:rPr&gt;&lt;w:rFonts w:ascii=&quot;Cambria Math&quot; w:fareast=&quot;Calibri&quot; w:h-ansi=&quot;Cambria Math&quot;/&gt;&lt;wx:font wx:val=&quot;Cambria Math&quot;/&gt;&lt;w:i/&gt;&lt;w:sz w:val=&quot;24&quot;/&gt;&lt;w:sz-cs w:val=&quot;24&quot;/&gt;&lt;w:lang w:fareast=&quot;EN-NZ&quot;/&gt;&lt;/w:rPr&gt;&lt;m:t&gt;Var &lt;/m:t&gt;&lt;/m:r&gt;&lt;m:d&gt;&lt;m:dPr&gt;&lt;m:ctrlPr&gt;&lt;w:rPr&gt;&lt;w:rFonts w:ascii=&quot;Cambria Math&quot; w:fareast=&quot;Calibri&quot; w:h-ansi=&quot;Cambria Math&quot;/&gt;&lt;wx:font wx:val=&quot;Cambria Math&quot;/&gt;&lt;w:i/&gt;&lt;w:sz w:val=&quot;24&quot;/&gt;&lt;w:sz-cs w:val=&quot;24&quot;/&gt;&lt;w:lang w:fareast=&quot;EN-NZ&quot;/&gt;&lt;/w:rPr&gt;&lt;/m:ctrlPr&gt;&lt;/m:dPr&gt;&lt;m:e&gt;&lt;m:sSub&gt;&lt;m:sSubPr&gt;&lt;m:ctrlPr&gt;&lt;w:rPr&gt;&lt;w:rFonts w:ascii=&quot;Cambria Math&quot; w:fareast=&quot;Calibri&quot; w:h-ansi=&quot;Cambria Math&quot;/&gt;&lt;wx:font wx:val=&quot;Cambria Math&quot;/&gt;&lt;w:i/&gt;&lt;w:sz w:val=&quot;24&quot;/&gt;&lt;w:sz-cs w:val=&quot;24&quot;/&gt;&lt;w:lang w:fareast=&quot;EN-NZ&quot;/&gt;&lt;/w:rPr&gt;&lt;/m:ctrlPr&gt;&lt;/m:sSubPr&gt;&lt;m:e&gt;&lt;m:r&gt;&lt;w:rPr&gt;&lt;w:rFonts w:ascii=&quot;Cambria Math&quot; w:fareast=&quot;Calibri&quot; w:h-ansi=&quot;Cambria Math&quot;/&gt;&lt;wx:font wx:val=&quot;Cambria Math&quot;/&gt;&lt;w:i/&gt;&lt;w:sz w:val=&quot;24&quot;/&gt;&lt;w:sz-cs w:val=&quot;24&quot;/&gt;&lt;w:lang w:fareast=&quot;EN-NZ&quot;/&gt;&lt;/w:rPr&gt;&lt;m:t&gt;L&lt;/m:t&gt;&lt;/m:r&gt;&lt;/m:e&gt;&lt;m:sub&gt;&lt;m:r&gt;&lt;w:rPr&gt;&lt;w:rFonts w:ascii=&quot;Cambria Math&quot; w:fareast=&quot;Calibri&quot; w:h-ansi=&quot;Cambria Math&quot;/&gt;&lt;wx:font wx:val=&quot;Cambria Math&quot;/&gt;&lt;w:i/&gt;&lt;w:sz w:val=&quot;24&quot;/&gt;&lt;w:sz-cs w:val=&quot;24&quot;/&gt;&lt;w:lang w:fareast=&quot;EN-NZ&quot;/&gt;&lt;/w:rPr&gt;&lt;m:t&gt;i&lt;/m:t&gt;&lt;/m:r&gt;&lt;/m:sub&gt;&lt;/m:sSub&gt;&lt;/m:e&gt;&lt;/m:d&gt;&lt;m:r&gt;&lt;w:rPr&gt;&lt;w:rFonts w:ascii=&quot;Cambria Math&quot; w:fareast=&quot;Calibri&quot; w:h-ansi=&quot;Cambria Math&quot;/&gt;&lt;wx:font wx:val=&quot;Cambria Math&quot;/&gt;&lt;w:i/&gt;&lt;w:sz w:val=&quot;24&quot;/&gt;&lt;w:sz-cs w:val=&quot;24&quot;/&gt;&lt;w:lang w:fareast=&quot;EN-NZ&quot;/&gt;&lt;/w:rPr&gt;&lt;m:t&gt;+Var &lt;/m:t&gt;&lt;/m:r&gt;&lt;m:d&gt;&lt;m:dPr&gt;&lt;m:ctrlPr&gt;&lt;w:rPr&gt;&lt;w:rFonts w:ascii=&quot;Cambria Math&quot; w:fareast=&quot;Calibri&quot; w:h-ansi=&quot;Cambria Math&quot;/&gt;&lt;wx:font wx:val=&quot;Cambria Math&quot;/&gt;&lt;w:i/&gt;&lt;w:sz w:val=&quot;24&quot;/&gt;&lt;w:sz-cs w:val=&quot;24&quot;/&gt;&lt;w:lang w:fareast=&quot;EN-NZ&quot;/&gt;&lt;/w:rPr&gt;&lt;/m:ctrlPr&gt;&lt;/m:dPr&gt;&lt;m:e&gt;&lt;m:sSub&gt;&lt;m:sSubPr&gt;&lt;m:ctrlPr&gt;&lt;w:rPr&gt;&lt;w:rFonts w:ascii=&quot;Cambria Math&quot; w:fareast=&quot;Calibri&quot; w:h-ansi=&quot;Cambria Math&quot;/&gt;&lt;wx:font wx:val=&quot;Cambria Math&quot;/&gt;&lt;w:i/&gt;&lt;w:sz w:val=&quot;24&quot;/&gt;&lt;w:sz-cs w:val=&quot;24&quot;/&gt;&lt;w:lang w:fareast=&quot;EN-NZ&quot;/&gt;&lt;/w:rPr&gt;&lt;/m:ctrlPr&gt;&lt;/m:sSubPr&gt;&lt;m:e&gt;&lt;m:r&gt;&lt;w:rPr&gt;&lt;w:rFonts w:ascii=&quot;Cambria Math&quot; w:fareast=&quot;Calibri&quot; w:h-ansi=&quot;Cambria Math&quot;/&gt;&lt;wx:font wx:val=&quot;Cambria Math&quot;/&gt;&lt;w:i/&gt;&lt;w:sz w:val=&quot;24&quot;/&gt;&lt;w:sz-cs w:val=&quot;24&quot;/&gt;&lt;w:lang w:fareast=&quot;EN-NZ&quot;/&gt;&lt;/w:rPr&gt;&lt;m:t&gt;L&lt;/m:t&gt;&lt;/m:r&gt;&lt;/m:e&gt;&lt;m:sub&gt;&lt;m:r&gt;&lt;w:rPr&gt;&lt;w:rFonts w:ascii=&quot;Cambria Math&quot; w:fareast=&quot;Calibri&quot; w:h-ansi=&quot;Cambria Math&quot;/&gt;&lt;wx:font wx:val=&quot;Cambria Math&quot;/&gt;&lt;w:i/&gt;&lt;w:sz w:val=&quot;24&quot;/&gt;&lt;w:sz-cs w:val=&quot;24&quot;/&gt;&lt;w:lang w:fareast=&quot;EN-NZ&quot;/&gt;&lt;/w:rPr&gt;&lt;m:t&gt;j&lt;/m:t&gt;&lt;/m:r&gt;&lt;/m:sub&gt;&lt;/m:sSub&gt;&lt;/m:e&gt;&lt;/m:d&gt;&lt;m:r&gt;&lt;w:rPr&gt;&lt;w:rFonts w:ascii=&quot;Cambria Math&quot; w:fareast=&quot;Calibri&quot; w:h-ansi=&quot;Cambria Math&quot;/&gt;&lt;wx:font wx:val=&quot;Cambria Math&quot;/&gt;&lt;w:i/&gt;&lt;w:sz w:val=&quot;24&quot;/&gt;&lt;w:sz-cs w:val=&quot;24&quot;/&gt;&lt;w:lang w:fareast=&quot;EN-NZ&quot;/&gt;&lt;/w:rPr&gt;&lt;m:t&gt;-2.Cov &lt;/m:t&gt;&lt;/m:r&gt;&lt;m:d&gt;&lt;m:dPr&gt;&lt;m:ctrlPr&gt;&lt;w:rPr&gt;&lt;w:rFonts w:ascii=&quot;Cambria Math&quot; w:fareast=&quot;Calibri&quot; w:h-ansi=&quot;Cambria Math&quot;/&gt;&lt;wx:font wx:val=&quot;Cambria Math&quot;/&gt;&lt;w:i/&gt;&lt;w:sz w:val=&quot;24&quot;/&gt;&lt;w:sz-cs w:val=&quot;24&quot;/&gt;&lt;w:lang w:fareast=&quot;EN-NZ&quot;/&gt;&lt;/w:rPr&gt;&lt;/m:ctrlPr&gt;&lt;/m:dPr&gt;&lt;m:e&gt;&lt;m:sSub&gt;&lt;m:sSubPr&gt;&lt;m:ctrlPr&gt;&lt;w:rPr&gt;&lt;w:rFonts w:ascii=&quot;Cambria Math&quot; w:fareast=&quot;Calibri&quot; w:h-ansi=&quot;Cambria Math&quot;/&gt;&lt;wx:font wx:val=&quot;Cambria Math&quot;/&gt;&lt;w:i/&gt;&lt;w:sz w:val=&quot;24&quot;/&gt;&lt;w:sz-cs w:val=&quot;24&quot;/&gt;&lt;w:lang w:fareast=&quot;EN-NZ&quot;/&gt;&lt;/w:rPr&gt;&lt;/m:ctrlPr&gt;&lt;/m:sSubPr&gt;&lt;m:e&gt;&lt;m:r&gt;&lt;w:rPr&gt;&lt;w:rFonts w:ascii=&quot;Cambria Math&quot; w:fareast=&quot;Calibri&quot; w:h-ansi=&quot;Cambria Math&quot;/&gt;&lt;wx:font wx:val=&quot;Cambria Math&quot;/&gt;&lt;w:i/&gt;&lt;w:sz w:val=&quot;24&quot;/&gt;&lt;w:sz-cs w:val=&quot;24&quot;/&gt;&lt;w:lang w:fareast=&quot;EN-NZ&quot;/&gt;&lt;/w:rPr&gt;&lt;m:t&gt;L&lt;/m:t&gt;&lt;/m:r&gt;&lt;/m:e&gt;&lt;m:sub&gt;&lt;m:r&gt;&lt;w:rPr&gt;&lt;w:rFonts w:ascii=&quot;Cambria Math&quot; w:fareast=&quot;Calibri&quot; w:h-ansi=&quot;Cambria Math&quot;/&gt;&lt;wx:font wx:val=&quot;Cambria Math&quot;/&gt;&lt;w:i/&gt;&lt;w:sz w:val=&quot;24&quot;/&gt;&lt;w:sz-cs w:val=&quot;24&quot;/&gt;&lt;w:lang w:fareast=&quot;EN-NZ&quot;/&gt;&lt;/w:rPr&gt;&lt;m:t&gt;i&lt;/m:t&gt;&lt;/m:r&gt;&lt;/m:sub&gt;&lt;/m:sSub&gt;&lt;m:r&gt;&lt;w:rPr&gt;&lt;w:rFonts w:ascii=&quot;Cambria Math&quot; w:fareast=&quot;Calibri&quot; w:h-ansi=&quot;Cambria Math&quot;/&gt;&lt;wx:font wx:val=&quot;Cambria Math&quot;/&gt;&lt;w:i/&gt;&lt;w:sz w:val=&quot;24&quot;/&gt;&lt;w:sz-cs w:val=&quot;24&quot;/&gt;&lt;w:lang w:fareast=&quot;EN-NZ&quot;/&gt;&lt;/w:rPr&gt;&lt;m:t&gt;,&lt;/m:t&gt;&lt;/m:r&gt;&lt;m:sSub&gt;&lt;m:sSubPr&gt;&lt;m:ctrlPr&gt;&lt;w:rPr&gt;&lt;w:rFonts w:ascii=&quot;Cambria Math&quot; w:fareast=&quot;Calibri&quot; w:h-ansi=&quot;Cambria Math&quot;/&gt;&lt;wx:font wx:val=&quot;Cambria Math&quot;/&gt;&lt;w:i/&gt;&lt;w:sz w:val=&quot;24&quot;/&gt;&lt;w:sz-cs w:val=&quot;24&quot;/&gt;&lt;w:lang w:fareast=&quot;EN-NZ&quot;/&gt;&lt;/w:rPr&gt;&lt;/m:ctrlPr&gt;&lt;/m:sSubPr&gt;&lt;m:e&gt;&lt;m:r&gt;&lt;w:rPr&gt;&lt;w:rFonts w:ascii=&quot;Cambria Math&quot; w:fareast=&quot;Calibri&quot; w:h-ansi=&quot;Cambria Math&quot;/&gt;&lt;wx:font wx:val=&quot;Cambria Math&quot;/&gt;&lt;w:i/&gt;&lt;w:sz w:val=&quot;24&quot;/&gt;&lt;w:sz-cs w:val=&quot;24&quot;/&gt;&lt;w:lang w:fareast=&quot;EN-NZ&quot;/&gt;&lt;/w:rPr&gt;&lt;m:t&gt;L&lt;/m:t&gt;&lt;/m:r&gt;&lt;/m:e&gt;&lt;m:sub&gt;&lt;m:r&gt;&lt;w:rPr&gt;&lt;w:rFonts w:ascii=&quot;Cambria Math&quot; w:fareast=&quot;Calibri&quot; w:h-ansi=&quot;Cambria Math&quot;/&gt;&lt;wx:font wx:val=&quot;Cambria Math&quot;/&gt;&lt;w:i/&gt;&lt;w:sz w:val=&quot;24&quot;/&gt;&lt;w:sz-cs w:val=&quot;24&quot;/&gt;&lt;w:lang w:fareast=&quot;EN-NZ&quot;/&gt;&lt;/w:rPr&gt;&lt;m:t&gt;j&lt;/m:t&gt;&lt;/m:r&gt;&lt;/m:sub&gt;&lt;/m:sSub&gt;&lt;/m:e&gt;&lt;/m:d&gt;&lt;/m:e&gt;&lt;/m:rad&gt;&lt;/m:oMath&gt;&lt;/m:oMathPara&gt;&lt;/w:p&gt;&lt;w:sectPr wsp:rsidR=&quot;00000000&quot; wsp:rsidRPr=&quot;000D30F0&quot;&gt;&lt;w:pgSz w:w=&quot;12240&quot; w:h=&quot;15840&quot;/&gt;&lt;w:pgMar w:top=&quot;1440&quot; w:right=&quot;1440&quot; w:bottom=&quot;1440&quot; w:left=&quot;1440&quot; w:header=&quot;720&quot; w:footer=&quot;720&quot; w:gutter=&quot;0&quot;/&gt;&lt;w:cols w:space=&quot;720&quot;/&gt;&lt;/w:sectPr&gt;&lt;/wx:sect&gt;&lt;/w:body&gt;&lt;/w:wordDocument&gt;">
                  <v:imagedata r:id="rId202" o:title="" chromakey="white"/>
                </v:shape>
              </w:pict>
            </w:r>
          </w:p>
        </w:tc>
        <w:tc>
          <w:tcPr>
            <w:tcW w:w="500" w:type="pct"/>
            <w:shd w:val="clear" w:color="auto" w:fill="auto"/>
            <w:tcMar>
              <w:top w:w="57" w:type="dxa"/>
              <w:left w:w="57" w:type="dxa"/>
              <w:bottom w:w="57" w:type="dxa"/>
              <w:right w:w="57" w:type="dxa"/>
            </w:tcMar>
            <w:vAlign w:val="center"/>
          </w:tcPr>
          <w:p w14:paraId="5CD658C4" w14:textId="77777777" w:rsidR="00380BE7" w:rsidRPr="00256982" w:rsidRDefault="00380BE7" w:rsidP="009574E7">
            <w:pPr>
              <w:spacing w:before="120"/>
              <w:rPr>
                <w:rFonts w:eastAsia="Calibri"/>
                <w:i/>
                <w:szCs w:val="22"/>
                <w:lang w:eastAsia="en-NZ"/>
              </w:rPr>
            </w:pPr>
            <w:r w:rsidRPr="00256982">
              <w:rPr>
                <w:rFonts w:eastAsia="Calibri"/>
                <w:i/>
                <w:szCs w:val="22"/>
                <w:lang w:eastAsia="en-NZ"/>
              </w:rPr>
              <w:t>(5)</w:t>
            </w:r>
          </w:p>
        </w:tc>
      </w:tr>
    </w:tbl>
    <w:p w14:paraId="0D8511FA" w14:textId="126C80D1" w:rsidR="00380BE7" w:rsidRPr="00256982" w:rsidRDefault="00380BE7" w:rsidP="00380BE7">
      <w:pPr>
        <w:spacing w:before="240" w:after="120"/>
        <w:ind w:left="993" w:hanging="993"/>
        <w:rPr>
          <w:rFonts w:eastAsia="Arial"/>
          <w:szCs w:val="22"/>
        </w:rPr>
      </w:pPr>
      <w:r w:rsidRPr="00256982">
        <w:rPr>
          <w:rFonts w:eastAsia="Arial"/>
          <w:szCs w:val="22"/>
        </w:rPr>
        <w:t>Where:</w:t>
      </w:r>
      <w:r w:rsidRPr="00256982">
        <w:rPr>
          <w:rFonts w:eastAsia="Arial"/>
          <w:szCs w:val="22"/>
        </w:rPr>
        <w:tab/>
      </w:r>
      <w:r w:rsidRPr="00256982">
        <w:rPr>
          <w:rFonts w:eastAsia="Arial"/>
          <w:i/>
          <w:szCs w:val="22"/>
        </w:rPr>
        <w:t>Var(L</w:t>
      </w:r>
      <w:r w:rsidRPr="00256982">
        <w:rPr>
          <w:rFonts w:eastAsia="Arial"/>
          <w:i/>
          <w:szCs w:val="22"/>
          <w:vertAlign w:val="subscript"/>
        </w:rPr>
        <w:t>i</w:t>
      </w:r>
      <w:r w:rsidRPr="00256982">
        <w:rPr>
          <w:rFonts w:eastAsia="Arial"/>
          <w:i/>
          <w:szCs w:val="22"/>
        </w:rPr>
        <w:t>)</w:t>
      </w:r>
      <w:r w:rsidRPr="00256982">
        <w:rPr>
          <w:rFonts w:eastAsia="Arial"/>
          <w:szCs w:val="22"/>
        </w:rPr>
        <w:t xml:space="preserve"> = the variance of land use effect</w:t>
      </w:r>
      <w:r w:rsidRPr="00256982">
        <w:rPr>
          <w:rFonts w:eastAsia="Arial"/>
          <w:szCs w:val="22"/>
        </w:rPr>
        <w:fldChar w:fldCharType="begin"/>
      </w:r>
      <w:r w:rsidRPr="00256982">
        <w:rPr>
          <w:rFonts w:eastAsia="Arial"/>
          <w:szCs w:val="22"/>
        </w:rPr>
        <w:instrText xml:space="preserve"> QUOTE </w:instrText>
      </w:r>
      <w:r w:rsidR="00590491">
        <w:rPr>
          <w:rFonts w:eastAsia="Arial"/>
          <w:position w:val="-5"/>
        </w:rPr>
        <w:pict w14:anchorId="0C1BB173">
          <v:shape id="_x0000_i1137" type="#_x0000_t75" style="width:6pt;height:14.2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5&lt;/o:Version&gt;&lt;/o:DocumentProperties&gt;&lt;w:docPr&gt;&lt;w:view w:val=&quot;print&quot;/&gt;&lt;w:zoom w:percent=&quot;100&quot;/&gt;&lt;w:doNotEmbedSystemFonts/&gt;&lt;w:activeWritingStyle w:lang=&quot;EN-NZ&quot; w:vendorID=&quot;64&quot; w:dllVersion=&quot;131078&quot; w:nlCheck=&quot;on&quot; w:optionSet=&quot;1&quot;/&gt;&lt;w:stylePaneFormatFilter w:val=&quot;5804&quot;/&gt;&lt;w:defaultTabStop w:val=&quot;720&quot;/&gt;&lt;w:evenAndOddHeaders/&gt;&lt;w:drawingGridHorizontalSpacing w:val=&quot;187&quot;/&gt;&lt;w:displayVerticalDrawingGridEvery w:val=&quot;2&quot;/&gt;&lt;w:characterSpacingControl w:val=&quot;DontCompress&quot;/&gt;&lt;w:optimizeForBrowser/&gt;&lt;w:validateAgainstSchema/&gt;&lt;w:saveInvalidXML w:val=&quot;off&quot;/&gt;&lt;w:ignoreMixedContent w:val=&quot;off&quot;/&gt;&lt;w:alwaysShowPlaceholderText w:val=&quot;off&quot;/&gt;&lt;w:compat&gt;&lt;w:suppressBottomSpacing/&gt;&lt;w:suppressSpBfAfterPgBrk/&gt;&lt;w:doNotUseHTMLParagraphAutoSpacing/&gt;&lt;w:breakWrappedTables/&gt;&lt;w:snapToGridInCell/&gt;&lt;w:wrapTextWithPunct/&gt;&lt;w:useAsianBreakRules/&gt;&lt;w:useWord2002TableStyleRules/&gt;&lt;/w:compat&gt;&lt;wsp:rsids&gt;&lt;wsp:rsidRoot wsp:val=&quot;00702030&quot;/&gt;&lt;wsp:rsid wsp:val=&quot;00001716&quot;/&gt;&lt;wsp:rsid wsp:val=&quot;00007ABB&quot;/&gt;&lt;wsp:rsid wsp:val=&quot;00013566&quot;/&gt;&lt;wsp:rsid wsp:val=&quot;00015CFC&quot;/&gt;&lt;wsp:rsid wsp:val=&quot;000219C8&quot;/&gt;&lt;wsp:rsid wsp:val=&quot;00021ACF&quot;/&gt;&lt;wsp:rsid wsp:val=&quot;000233E5&quot;/&gt;&lt;wsp:rsid wsp:val=&quot;00027E55&quot;/&gt;&lt;wsp:rsid wsp:val=&quot;00032A28&quot;/&gt;&lt;wsp:rsid wsp:val=&quot;00035185&quot;/&gt;&lt;wsp:rsid wsp:val=&quot;00044580&quot;/&gt;&lt;wsp:rsid wsp:val=&quot;00050008&quot;/&gt;&lt;wsp:rsid wsp:val=&quot;0005134C&quot;/&gt;&lt;wsp:rsid wsp:val=&quot;0006123B&quot;/&gt;&lt;wsp:rsid wsp:val=&quot;00084588&quot;/&gt;&lt;wsp:rsid wsp:val=&quot;000A3774&quot;/&gt;&lt;wsp:rsid wsp:val=&quot;000C20A6&quot;/&gt;&lt;wsp:rsid wsp:val=&quot;000E1498&quot;/&gt;&lt;wsp:rsid wsp:val=&quot;000F4DEF&quot;/&gt;&lt;wsp:rsid wsp:val=&quot;000F6318&quot;/&gt;&lt;wsp:rsid wsp:val=&quot;00116E1B&quot;/&gt;&lt;wsp:rsid wsp:val=&quot;001221C3&quot;/&gt;&lt;wsp:rsid wsp:val=&quot;00133C9D&quot;/&gt;&lt;wsp:rsid wsp:val=&quot;00134FC2&quot;/&gt;&lt;wsp:rsid wsp:val=&quot;00135B33&quot;/&gt;&lt;wsp:rsid wsp:val=&quot;00153F5A&quot;/&gt;&lt;wsp:rsid wsp:val=&quot;001970E1&quot;/&gt;&lt;wsp:rsid wsp:val=&quot;001A1997&quot;/&gt;&lt;wsp:rsid wsp:val=&quot;001B6FD2&quot;/&gt;&lt;wsp:rsid wsp:val=&quot;001D3490&quot;/&gt;&lt;wsp:rsid wsp:val=&quot;001E0B7B&quot;/&gt;&lt;wsp:rsid wsp:val=&quot;00207ABF&quot;/&gt;&lt;wsp:rsid wsp:val=&quot;0023070D&quot;/&gt;&lt;wsp:rsid wsp:val=&quot;00240B42&quot;/&gt;&lt;wsp:rsid wsp:val=&quot;0024542F&quot;/&gt;&lt;wsp:rsid wsp:val=&quot;00260B48&quot;/&gt;&lt;wsp:rsid wsp:val=&quot;00273218&quot;/&gt;&lt;wsp:rsid wsp:val=&quot;0028581A&quot;/&gt;&lt;wsp:rsid wsp:val=&quot;002868D3&quot;/&gt;&lt;wsp:rsid wsp:val=&quot;00295B2A&quot;/&gt;&lt;wsp:rsid wsp:val=&quot;002A1361&quot;/&gt;&lt;wsp:rsid wsp:val=&quot;002A49D7&quot;/&gt;&lt;wsp:rsid wsp:val=&quot;002B1C5A&quot;/&gt;&lt;wsp:rsid wsp:val=&quot;002B3284&quot;/&gt;&lt;wsp:rsid wsp:val=&quot;002B6594&quot;/&gt;&lt;wsp:rsid wsp:val=&quot;002C7BFB&quot;/&gt;&lt;wsp:rsid wsp:val=&quot;002D60DB&quot;/&gt;&lt;wsp:rsid wsp:val=&quot;002D6A54&quot;/&gt;&lt;wsp:rsid wsp:val=&quot;002E657D&quot;/&gt;&lt;wsp:rsid wsp:val=&quot;002F134A&quot;/&gt;&lt;wsp:rsid wsp:val=&quot;00302D84&quot;/&gt;&lt;wsp:rsid wsp:val=&quot;00315760&quot;/&gt;&lt;wsp:rsid wsp:val=&quot;00333ACA&quot;/&gt;&lt;wsp:rsid wsp:val=&quot;00336A51&quot;/&gt;&lt;wsp:rsid wsp:val=&quot;0036046B&quot;/&gt;&lt;wsp:rsid wsp:val=&quot;0037590E&quot;/&gt;&lt;wsp:rsid wsp:val=&quot;00377186&quot;/&gt;&lt;wsp:rsid wsp:val=&quot;00380BE7&quot;/&gt;&lt;wsp:rsid wsp:val=&quot;00383207&quot;/&gt;&lt;wsp:rsid wsp:val=&quot;00391D8B&quot;/&gt;&lt;wsp:rsid wsp:val=&quot;003972EF&quot;/&gt;&lt;wsp:rsid wsp:val=&quot;00397D2B&quot;/&gt;&lt;wsp:rsid wsp:val=&quot;003A3F0A&quot;/&gt;&lt;wsp:rsid wsp:val=&quot;003A5006&quot;/&gt;&lt;wsp:rsid wsp:val=&quot;003C2615&quot;/&gt;&lt;wsp:rsid wsp:val=&quot;003C42C1&quot;/&gt;&lt;wsp:rsid wsp:val=&quot;003D0318&quot;/&gt;&lt;wsp:rsid wsp:val=&quot;003D5417&quot;/&gt;&lt;wsp:rsid wsp:val=&quot;003E2377&quot;/&gt;&lt;wsp:rsid wsp:val=&quot;00400F92&quot;/&gt;&lt;wsp:rsid wsp:val=&quot;0042424B&quot;/&gt;&lt;wsp:rsid wsp:val=&quot;00430D5D&quot;/&gt;&lt;wsp:rsid wsp:val=&quot;00440459&quot;/&gt;&lt;wsp:rsid wsp:val=&quot;00453950&quot;/&gt;&lt;wsp:rsid wsp:val=&quot;0045652C&quot;/&gt;&lt;wsp:rsid wsp:val=&quot;00462497&quot;/&gt;&lt;wsp:rsid wsp:val=&quot;004805A3&quot;/&gt;&lt;wsp:rsid wsp:val=&quot;00490EB0&quot;/&gt;&lt;wsp:rsid wsp:val=&quot;00494545&quot;/&gt;&lt;wsp:rsid wsp:val=&quot;004A555E&quot;/&gt;&lt;wsp:rsid wsp:val=&quot;004A618E&quot;/&gt;&lt;wsp:rsid wsp:val=&quot;004B6199&quot;/&gt;&lt;wsp:rsid wsp:val=&quot;004C4C3C&quot;/&gt;&lt;wsp:rsid wsp:val=&quot;004D0E3A&quot;/&gt;&lt;wsp:rsid wsp:val=&quot;004D3C29&quot;/&gt;&lt;wsp:rsid wsp:val=&quot;004E4B2C&quot;/&gt;&lt;wsp:rsid wsp:val=&quot;004F1572&quot;/&gt;&lt;wsp:rsid wsp:val=&quot;00501A5F&quot;/&gt;&lt;wsp:rsid wsp:val=&quot;005072D0&quot;/&gt;&lt;wsp:rsid wsp:val=&quot;00511420&quot;/&gt;&lt;wsp:rsid wsp:val=&quot;00526270&quot;/&gt;&lt;wsp:rsid wsp:val=&quot;00534210&quot;/&gt;&lt;wsp:rsid wsp:val=&quot;005369D9&quot;/&gt;&lt;wsp:rsid wsp:val=&quot;00546A6A&quot;/&gt;&lt;wsp:rsid wsp:val=&quot;005630B0&quot;/&gt;&lt;wsp:rsid wsp:val=&quot;005660CD&quot;/&gt;&lt;wsp:rsid wsp:val=&quot;005720F2&quot;/&gt;&lt;wsp:rsid wsp:val=&quot;00596603&quot;/&gt;&lt;wsp:rsid wsp:val=&quot;005A10D4&quot;/&gt;&lt;wsp:rsid wsp:val=&quot;005A1E61&quot;/&gt;&lt;wsp:rsid wsp:val=&quot;005B76A4&quot;/&gt;&lt;wsp:rsid wsp:val=&quot;005C3384&quot;/&gt;&lt;wsp:rsid wsp:val=&quot;005C416E&quot;/&gt;&lt;wsp:rsid wsp:val=&quot;005D1C3A&quot;/&gt;&lt;wsp:rsid wsp:val=&quot;005E43DD&quot;/&gt;&lt;wsp:rsid wsp:val=&quot;005F02D1&quot;/&gt;&lt;wsp:rsid wsp:val=&quot;00600179&quot;/&gt;&lt;wsp:rsid wsp:val=&quot;00603FC0&quot;/&gt;&lt;wsp:rsid wsp:val=&quot;00611ECD&quot;/&gt;&lt;wsp:rsid wsp:val=&quot;00623AC7&quot;/&gt;&lt;wsp:rsid wsp:val=&quot;00636BF0&quot;/&gt;&lt;wsp:rsid wsp:val=&quot;006401AB&quot;/&gt;&lt;wsp:rsid wsp:val=&quot;0064442E&quot;/&gt;&lt;wsp:rsid wsp:val=&quot;00646B6D&quot;/&gt;&lt;wsp:rsid wsp:val=&quot;00655908&quot;/&gt;&lt;wsp:rsid wsp:val=&quot;006654F8&quot;/&gt;&lt;wsp:rsid wsp:val=&quot;00665768&quot;/&gt;&lt;wsp:rsid wsp:val=&quot;00667291&quot;/&gt;&lt;wsp:rsid wsp:val=&quot;00686249&quot;/&gt;&lt;wsp:rsid wsp:val=&quot;00687504&quot;/&gt;&lt;wsp:rsid wsp:val=&quot;0068777C&quot;/&gt;&lt;wsp:rsid wsp:val=&quot;006A171F&quot;/&gt;&lt;wsp:rsid wsp:val=&quot;006A4E5F&quot;/&gt;&lt;wsp:rsid wsp:val=&quot;006D4600&quot;/&gt;&lt;wsp:rsid wsp:val=&quot;006E0A2C&quot;/&gt;&lt;wsp:rsid wsp:val=&quot;006E202B&quot;/&gt;&lt;wsp:rsid wsp:val=&quot;006E57B5&quot;/&gt;&lt;wsp:rsid wsp:val=&quot;006E6AE2&quot;/&gt;&lt;wsp:rsid wsp:val=&quot;006F0CF5&quot;/&gt;&lt;wsp:rsid wsp:val=&quot;00702030&quot;/&gt;&lt;wsp:rsid wsp:val=&quot;00702FA0&quot;/&gt;&lt;wsp:rsid wsp:val=&quot;00724218&quot;/&gt;&lt;wsp:rsid wsp:val=&quot;007350B6&quot;/&gt;&lt;wsp:rsid wsp:val=&quot;00737E65&quot;/&gt;&lt;wsp:rsid wsp:val=&quot;0074030A&quot;/&gt;&lt;wsp:rsid wsp:val=&quot;00753965&quot;/&gt;&lt;wsp:rsid wsp:val=&quot;00762043&quot;/&gt;&lt;wsp:rsid wsp:val=&quot;007633C2&quot;/&gt;&lt;wsp:rsid wsp:val=&quot;00765A47&quot;/&gt;&lt;wsp:rsid wsp:val=&quot;00766DF1&quot;/&gt;&lt;wsp:rsid wsp:val=&quot;00770E82&quot;/&gt;&lt;wsp:rsid wsp:val=&quot;00772E94&quot;/&gt;&lt;wsp:rsid wsp:val=&quot;00773278&quot;/&gt;&lt;wsp:rsid wsp:val=&quot;00773D22&quot;/&gt;&lt;wsp:rsid wsp:val=&quot;007A1993&quot;/&gt;&lt;wsp:rsid wsp:val=&quot;007A7194&quot;/&gt;&lt;wsp:rsid wsp:val=&quot;007B028B&quot;/&gt;&lt;wsp:rsid wsp:val=&quot;007B1D71&quot;/&gt;&lt;wsp:rsid wsp:val=&quot;007C00D0&quot;/&gt;&lt;wsp:rsid wsp:val=&quot;007C2186&quot;/&gt;&lt;wsp:rsid wsp:val=&quot;007F2233&quot;/&gt;&lt;wsp:rsid wsp:val=&quot;007F25E1&quot;/&gt;&lt;wsp:rsid wsp:val=&quot;007F73BB&quot;/&gt;&lt;wsp:rsid wsp:val=&quot;00806461&quot;/&gt;&lt;wsp:rsid wsp:val=&quot;0080694B&quot;/&gt;&lt;wsp:rsid wsp:val=&quot;008113E1&quot;/&gt;&lt;wsp:rsid wsp:val=&quot;0081779C&quot;/&gt;&lt;wsp:rsid wsp:val=&quot;00831D0D&quot;/&gt;&lt;wsp:rsid wsp:val=&quot;00832DEE&quot;/&gt;&lt;wsp:rsid wsp:val=&quot;00835C2B&quot;/&gt;&lt;wsp:rsid wsp:val=&quot;00837FBE&quot;/&gt;&lt;wsp:rsid wsp:val=&quot;00846B89&quot;/&gt;&lt;wsp:rsid wsp:val=&quot;0085534A&quot;/&gt;&lt;wsp:rsid wsp:val=&quot;00855A8A&quot;/&gt;&lt;wsp:rsid wsp:val=&quot;00886AAC&quot;/&gt;&lt;wsp:rsid wsp:val=&quot;008A2EC5&quot;/&gt;&lt;wsp:rsid wsp:val=&quot;008B77F5&quot;/&gt;&lt;wsp:rsid wsp:val=&quot;008C0279&quot;/&gt;&lt;wsp:rsid wsp:val=&quot;008C7F68&quot;/&gt;&lt;wsp:rsid wsp:val=&quot;008E380C&quot;/&gt;&lt;wsp:rsid wsp:val=&quot;008F25D2&quot;/&gt;&lt;wsp:rsid wsp:val=&quot;008F50EC&quot;/&gt;&lt;wsp:rsid wsp:val=&quot;00906C96&quot;/&gt;&lt;wsp:rsid wsp:val=&quot;00914CC6&quot;/&gt;&lt;wsp:rsid wsp:val=&quot;0092751F&quot;/&gt;&lt;wsp:rsid wsp:val=&quot;00932067&quot;/&gt;&lt;wsp:rsid wsp:val=&quot;0093594A&quot;/&gt;&lt;wsp:rsid wsp:val=&quot;00955D73&quot;/&gt;&lt;wsp:rsid wsp:val=&quot;00960C16&quot;/&gt;&lt;wsp:rsid wsp:val=&quot;0096512C&quot;/&gt;&lt;wsp:rsid wsp:val=&quot;0096540A&quot;/&gt;&lt;wsp:rsid wsp:val=&quot;009A0D25&quot;/&gt;&lt;wsp:rsid wsp:val=&quot;009C5D2A&quot;/&gt;&lt;wsp:rsid wsp:val=&quot;009E792C&quot;/&gt;&lt;wsp:rsid wsp:val=&quot;00A331E7&quot;/&gt;&lt;wsp:rsid wsp:val=&quot;00A41C3C&quot;/&gt;&lt;wsp:rsid wsp:val=&quot;00A42C52&quot;/&gt;&lt;wsp:rsid wsp:val=&quot;00A72006&quot;/&gt;&lt;wsp:rsid wsp:val=&quot;00A72873&quot;/&gt;&lt;wsp:rsid wsp:val=&quot;00A808C7&quot;/&gt;&lt;wsp:rsid wsp:val=&quot;00AB2710&quot;/&gt;&lt;wsp:rsid wsp:val=&quot;00AB6612&quot;/&gt;&lt;wsp:rsid wsp:val=&quot;00AD05B0&quot;/&gt;&lt;wsp:rsid wsp:val=&quot;00AD184B&quot;/&gt;&lt;wsp:rsid wsp:val=&quot;00AE6B8F&quot;/&gt;&lt;wsp:rsid wsp:val=&quot;00B0566D&quot;/&gt;&lt;wsp:rsid wsp:val=&quot;00B10937&quot;/&gt;&lt;wsp:rsid wsp:val=&quot;00B35BD9&quot;/&gt;&lt;wsp:rsid wsp:val=&quot;00B37DE8&quot;/&gt;&lt;wsp:rsid wsp:val=&quot;00B448C0&quot;/&gt;&lt;wsp:rsid wsp:val=&quot;00B44BA5&quot;/&gt;&lt;wsp:rsid wsp:val=&quot;00B479C6&quot;/&gt;&lt;wsp:rsid wsp:val=&quot;00B615A9&quot;/&gt;&lt;wsp:rsid wsp:val=&quot;00B63FA9&quot;/&gt;&lt;wsp:rsid wsp:val=&quot;00B6460B&quot;/&gt;&lt;wsp:rsid wsp:val=&quot;00BA1651&quot;/&gt;&lt;wsp:rsid wsp:val=&quot;00BA5F7E&quot;/&gt;&lt;wsp:rsid wsp:val=&quot;00BC7E76&quot;/&gt;&lt;wsp:rsid wsp:val=&quot;00BE5DBA&quot;/&gt;&lt;wsp:rsid wsp:val=&quot;00BF12F6&quot;/&gt;&lt;wsp:rsid wsp:val=&quot;00C00765&quot;/&gt;&lt;wsp:rsid wsp:val=&quot;00C10464&quot;/&gt;&lt;wsp:rsid wsp:val=&quot;00C119C2&quot;/&gt;&lt;wsp:rsid wsp:val=&quot;00C13667&quot;/&gt;&lt;wsp:rsid wsp:val=&quot;00C21B54&quot;/&gt;&lt;wsp:rsid wsp:val=&quot;00C363AA&quot;/&gt;&lt;wsp:rsid wsp:val=&quot;00C40967&quot;/&gt;&lt;wsp:rsid wsp:val=&quot;00C463D8&quot;/&gt;&lt;wsp:rsid wsp:val=&quot;00C55A30&quot;/&gt;&lt;wsp:rsid wsp:val=&quot;00C600E2&quot;/&gt;&lt;wsp:rsid wsp:val=&quot;00C63D43&quot;/&gt;&lt;wsp:rsid wsp:val=&quot;00C74134&quot;/&gt;&lt;wsp:rsid wsp:val=&quot;00C823B1&quot;/&gt;&lt;wsp:rsid wsp:val=&quot;00C9625F&quot;/&gt;&lt;wsp:rsid wsp:val=&quot;00CA271E&quot;/&gt;&lt;wsp:rsid wsp:val=&quot;00CB1488&quot;/&gt;&lt;wsp:rsid wsp:val=&quot;00CB7414&quot;/&gt;&lt;wsp:rsid wsp:val=&quot;00CC4FF7&quot;/&gt;&lt;wsp:rsid wsp:val=&quot;00CE412B&quot;/&gt;&lt;wsp:rsid wsp:val=&quot;00D01CFE&quot;/&gt;&lt;wsp:rsid wsp:val=&quot;00D07C4B&quot;/&gt;&lt;wsp:rsid wsp:val=&quot;00D225D8&quot;/&gt;&lt;wsp:rsid wsp:val=&quot;00D33A2E&quot;/&gt;&lt;wsp:rsid wsp:val=&quot;00D4311F&quot;/&gt;&lt;wsp:rsid wsp:val=&quot;00D511A1&quot;/&gt;&lt;wsp:rsid wsp:val=&quot;00D872BF&quot;/&gt;&lt;wsp:rsid wsp:val=&quot;00DB124F&quot;/&gt;&lt;wsp:rsid wsp:val=&quot;00DC75B7&quot;/&gt;&lt;wsp:rsid wsp:val=&quot;00DE01F6&quot;/&gt;&lt;wsp:rsid wsp:val=&quot;00DE18EB&quot;/&gt;&lt;wsp:rsid wsp:val=&quot;00DE2998&quot;/&gt;&lt;wsp:rsid wsp:val=&quot;00DE4223&quot;/&gt;&lt;wsp:rsid wsp:val=&quot;00DE64BC&quot;/&gt;&lt;wsp:rsid wsp:val=&quot;00DE6B60&quot;/&gt;&lt;wsp:rsid wsp:val=&quot;00DF3C07&quot;/&gt;&lt;wsp:rsid wsp:val=&quot;00E01CCF&quot;/&gt;&lt;wsp:rsid wsp:val=&quot;00E06D10&quot;/&gt;&lt;wsp:rsid wsp:val=&quot;00E20458&quot;/&gt;&lt;wsp:rsid wsp:val=&quot;00E56487&quot;/&gt;&lt;wsp:rsid wsp:val=&quot;00E853F3&quot;/&gt;&lt;wsp:rsid wsp:val=&quot;00EC2491&quot;/&gt;&lt;wsp:rsid wsp:val=&quot;00EC3056&quot;/&gt;&lt;wsp:rsid wsp:val=&quot;00ED2C42&quot;/&gt;&lt;wsp:rsid wsp:val=&quot;00EF3B2B&quot;/&gt;&lt;wsp:rsid wsp:val=&quot;00F00EE9&quot;/&gt;&lt;wsp:rsid wsp:val=&quot;00F379DD&quot;/&gt;&lt;wsp:rsid wsp:val=&quot;00F47244&quot;/&gt;&lt;wsp:rsid wsp:val=&quot;00FA5F45&quot;/&gt;&lt;wsp:rsid wsp:val=&quot;00FA7522&quot;/&gt;&lt;wsp:rsid wsp:val=&quot;00FB5DA7&quot;/&gt;&lt;wsp:rsid wsp:val=&quot;00FB7629&quot;/&gt;&lt;wsp:rsid wsp:val=&quot;00FC2C59&quot;/&gt;&lt;wsp:rsid wsp:val=&quot;00FC5421&quot;/&gt;&lt;wsp:rsid wsp:val=&quot;00FD178C&quot;/&gt;&lt;wsp:rsid wsp:val=&quot;00FF67A7&quot;/&gt;&lt;/wsp:rsids&gt;&lt;/w:docPr&gt;&lt;w:body&gt;&lt;wx:sect&gt;&lt;w:p wsp:rsidR=&quot;00000000&quot; wsp:rsidRDefault=&quot;002E657D&quot; wsp:rsidP=&quot;002E657D&quot;&gt;&lt;m:oMathPara&gt;&lt;m:oMath&gt;&lt;m:r&gt;&lt;w:rPr&gt;&lt;w:rFonts w:ascii=&quot;Cambria Math&quot; w:fareast=&quot;Arial&quot; w:h-ansi=&quot;Cambria Math&quot;/&gt;&lt;wx:font wx:val=&quot;Cambria Math&quot;/&gt;&lt;w:i/&gt;&lt;w:sz-cs w:val=&quot;22&quot;/&gt;&lt;/w:rPr&gt;&lt;m:t&gt; i&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203" o:title="" chromakey="white"/>
          </v:shape>
        </w:pict>
      </w:r>
      <w:r w:rsidRPr="00256982">
        <w:rPr>
          <w:rFonts w:eastAsia="Arial"/>
          <w:szCs w:val="22"/>
        </w:rPr>
        <w:instrText xml:space="preserve"> </w:instrText>
      </w:r>
      <w:r w:rsidRPr="00256982">
        <w:rPr>
          <w:rFonts w:eastAsia="Arial"/>
          <w:szCs w:val="22"/>
        </w:rPr>
        <w:fldChar w:fldCharType="separate"/>
      </w:r>
      <w:r w:rsidR="00590491">
        <w:rPr>
          <w:rFonts w:eastAsia="Arial"/>
          <w:position w:val="-5"/>
        </w:rPr>
        <w:pict w14:anchorId="17D88BF1">
          <v:shape id="_x0000_i1138" type="#_x0000_t75" style="width:6pt;height:14.2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5&lt;/o:Version&gt;&lt;/o:DocumentProperties&gt;&lt;w:docPr&gt;&lt;w:view w:val=&quot;print&quot;/&gt;&lt;w:zoom w:percent=&quot;100&quot;/&gt;&lt;w:doNotEmbedSystemFonts/&gt;&lt;w:activeWritingStyle w:lang=&quot;EN-NZ&quot; w:vendorID=&quot;64&quot; w:dllVersion=&quot;131078&quot; w:nlCheck=&quot;on&quot; w:optionSet=&quot;1&quot;/&gt;&lt;w:stylePaneFormatFilter w:val=&quot;5804&quot;/&gt;&lt;w:defaultTabStop w:val=&quot;720&quot;/&gt;&lt;w:evenAndOddHeaders/&gt;&lt;w:drawingGridHorizontalSpacing w:val=&quot;187&quot;/&gt;&lt;w:displayVerticalDrawingGridEvery w:val=&quot;2&quot;/&gt;&lt;w:characterSpacingControl w:val=&quot;DontCompress&quot;/&gt;&lt;w:optimizeForBrowser/&gt;&lt;w:validateAgainstSchema/&gt;&lt;w:saveInvalidXML w:val=&quot;off&quot;/&gt;&lt;w:ignoreMixedContent w:val=&quot;off&quot;/&gt;&lt;w:alwaysShowPlaceholderText w:val=&quot;off&quot;/&gt;&lt;w:compat&gt;&lt;w:suppressBottomSpacing/&gt;&lt;w:suppressSpBfAfterPgBrk/&gt;&lt;w:doNotUseHTMLParagraphAutoSpacing/&gt;&lt;w:breakWrappedTables/&gt;&lt;w:snapToGridInCell/&gt;&lt;w:wrapTextWithPunct/&gt;&lt;w:useAsianBreakRules/&gt;&lt;w:useWord2002TableStyleRules/&gt;&lt;/w:compat&gt;&lt;wsp:rsids&gt;&lt;wsp:rsidRoot wsp:val=&quot;00702030&quot;/&gt;&lt;wsp:rsid wsp:val=&quot;00001716&quot;/&gt;&lt;wsp:rsid wsp:val=&quot;00007ABB&quot;/&gt;&lt;wsp:rsid wsp:val=&quot;00013566&quot;/&gt;&lt;wsp:rsid wsp:val=&quot;00015CFC&quot;/&gt;&lt;wsp:rsid wsp:val=&quot;000219C8&quot;/&gt;&lt;wsp:rsid wsp:val=&quot;00021ACF&quot;/&gt;&lt;wsp:rsid wsp:val=&quot;000233E5&quot;/&gt;&lt;wsp:rsid wsp:val=&quot;00027E55&quot;/&gt;&lt;wsp:rsid wsp:val=&quot;00032A28&quot;/&gt;&lt;wsp:rsid wsp:val=&quot;00035185&quot;/&gt;&lt;wsp:rsid wsp:val=&quot;00044580&quot;/&gt;&lt;wsp:rsid wsp:val=&quot;00050008&quot;/&gt;&lt;wsp:rsid wsp:val=&quot;0005134C&quot;/&gt;&lt;wsp:rsid wsp:val=&quot;0006123B&quot;/&gt;&lt;wsp:rsid wsp:val=&quot;00084588&quot;/&gt;&lt;wsp:rsid wsp:val=&quot;000A3774&quot;/&gt;&lt;wsp:rsid wsp:val=&quot;000C20A6&quot;/&gt;&lt;wsp:rsid wsp:val=&quot;000E1498&quot;/&gt;&lt;wsp:rsid wsp:val=&quot;000F4DEF&quot;/&gt;&lt;wsp:rsid wsp:val=&quot;000F6318&quot;/&gt;&lt;wsp:rsid wsp:val=&quot;00116E1B&quot;/&gt;&lt;wsp:rsid wsp:val=&quot;001221C3&quot;/&gt;&lt;wsp:rsid wsp:val=&quot;00133C9D&quot;/&gt;&lt;wsp:rsid wsp:val=&quot;00134FC2&quot;/&gt;&lt;wsp:rsid wsp:val=&quot;00135B33&quot;/&gt;&lt;wsp:rsid wsp:val=&quot;00153F5A&quot;/&gt;&lt;wsp:rsid wsp:val=&quot;001970E1&quot;/&gt;&lt;wsp:rsid wsp:val=&quot;001A1997&quot;/&gt;&lt;wsp:rsid wsp:val=&quot;001B6FD2&quot;/&gt;&lt;wsp:rsid wsp:val=&quot;001D3490&quot;/&gt;&lt;wsp:rsid wsp:val=&quot;001E0B7B&quot;/&gt;&lt;wsp:rsid wsp:val=&quot;00207ABF&quot;/&gt;&lt;wsp:rsid wsp:val=&quot;0023070D&quot;/&gt;&lt;wsp:rsid wsp:val=&quot;00240B42&quot;/&gt;&lt;wsp:rsid wsp:val=&quot;0024542F&quot;/&gt;&lt;wsp:rsid wsp:val=&quot;00260B48&quot;/&gt;&lt;wsp:rsid wsp:val=&quot;00273218&quot;/&gt;&lt;wsp:rsid wsp:val=&quot;0028581A&quot;/&gt;&lt;wsp:rsid wsp:val=&quot;002868D3&quot;/&gt;&lt;wsp:rsid wsp:val=&quot;00295B2A&quot;/&gt;&lt;wsp:rsid wsp:val=&quot;002A1361&quot;/&gt;&lt;wsp:rsid wsp:val=&quot;002A49D7&quot;/&gt;&lt;wsp:rsid wsp:val=&quot;002B1C5A&quot;/&gt;&lt;wsp:rsid wsp:val=&quot;002B3284&quot;/&gt;&lt;wsp:rsid wsp:val=&quot;002B6594&quot;/&gt;&lt;wsp:rsid wsp:val=&quot;002C7BFB&quot;/&gt;&lt;wsp:rsid wsp:val=&quot;002D60DB&quot;/&gt;&lt;wsp:rsid wsp:val=&quot;002D6A54&quot;/&gt;&lt;wsp:rsid wsp:val=&quot;002E657D&quot;/&gt;&lt;wsp:rsid wsp:val=&quot;002F134A&quot;/&gt;&lt;wsp:rsid wsp:val=&quot;00302D84&quot;/&gt;&lt;wsp:rsid wsp:val=&quot;00315760&quot;/&gt;&lt;wsp:rsid wsp:val=&quot;00333ACA&quot;/&gt;&lt;wsp:rsid wsp:val=&quot;00336A51&quot;/&gt;&lt;wsp:rsid wsp:val=&quot;0036046B&quot;/&gt;&lt;wsp:rsid wsp:val=&quot;0037590E&quot;/&gt;&lt;wsp:rsid wsp:val=&quot;00377186&quot;/&gt;&lt;wsp:rsid wsp:val=&quot;00380BE7&quot;/&gt;&lt;wsp:rsid wsp:val=&quot;00383207&quot;/&gt;&lt;wsp:rsid wsp:val=&quot;00391D8B&quot;/&gt;&lt;wsp:rsid wsp:val=&quot;003972EF&quot;/&gt;&lt;wsp:rsid wsp:val=&quot;00397D2B&quot;/&gt;&lt;wsp:rsid wsp:val=&quot;003A3F0A&quot;/&gt;&lt;wsp:rsid wsp:val=&quot;003A5006&quot;/&gt;&lt;wsp:rsid wsp:val=&quot;003C2615&quot;/&gt;&lt;wsp:rsid wsp:val=&quot;003C42C1&quot;/&gt;&lt;wsp:rsid wsp:val=&quot;003D0318&quot;/&gt;&lt;wsp:rsid wsp:val=&quot;003D5417&quot;/&gt;&lt;wsp:rsid wsp:val=&quot;003E2377&quot;/&gt;&lt;wsp:rsid wsp:val=&quot;00400F92&quot;/&gt;&lt;wsp:rsid wsp:val=&quot;0042424B&quot;/&gt;&lt;wsp:rsid wsp:val=&quot;00430D5D&quot;/&gt;&lt;wsp:rsid wsp:val=&quot;00440459&quot;/&gt;&lt;wsp:rsid wsp:val=&quot;00453950&quot;/&gt;&lt;wsp:rsid wsp:val=&quot;0045652C&quot;/&gt;&lt;wsp:rsid wsp:val=&quot;00462497&quot;/&gt;&lt;wsp:rsid wsp:val=&quot;004805A3&quot;/&gt;&lt;wsp:rsid wsp:val=&quot;00490EB0&quot;/&gt;&lt;wsp:rsid wsp:val=&quot;00494545&quot;/&gt;&lt;wsp:rsid wsp:val=&quot;004A555E&quot;/&gt;&lt;wsp:rsid wsp:val=&quot;004A618E&quot;/&gt;&lt;wsp:rsid wsp:val=&quot;004B6199&quot;/&gt;&lt;wsp:rsid wsp:val=&quot;004C4C3C&quot;/&gt;&lt;wsp:rsid wsp:val=&quot;004D0E3A&quot;/&gt;&lt;wsp:rsid wsp:val=&quot;004D3C29&quot;/&gt;&lt;wsp:rsid wsp:val=&quot;004E4B2C&quot;/&gt;&lt;wsp:rsid wsp:val=&quot;004F1572&quot;/&gt;&lt;wsp:rsid wsp:val=&quot;00501A5F&quot;/&gt;&lt;wsp:rsid wsp:val=&quot;005072D0&quot;/&gt;&lt;wsp:rsid wsp:val=&quot;00511420&quot;/&gt;&lt;wsp:rsid wsp:val=&quot;00526270&quot;/&gt;&lt;wsp:rsid wsp:val=&quot;00534210&quot;/&gt;&lt;wsp:rsid wsp:val=&quot;005369D9&quot;/&gt;&lt;wsp:rsid wsp:val=&quot;00546A6A&quot;/&gt;&lt;wsp:rsid wsp:val=&quot;005630B0&quot;/&gt;&lt;wsp:rsid wsp:val=&quot;005660CD&quot;/&gt;&lt;wsp:rsid wsp:val=&quot;005720F2&quot;/&gt;&lt;wsp:rsid wsp:val=&quot;00596603&quot;/&gt;&lt;wsp:rsid wsp:val=&quot;005A10D4&quot;/&gt;&lt;wsp:rsid wsp:val=&quot;005A1E61&quot;/&gt;&lt;wsp:rsid wsp:val=&quot;005B76A4&quot;/&gt;&lt;wsp:rsid wsp:val=&quot;005C3384&quot;/&gt;&lt;wsp:rsid wsp:val=&quot;005C416E&quot;/&gt;&lt;wsp:rsid wsp:val=&quot;005D1C3A&quot;/&gt;&lt;wsp:rsid wsp:val=&quot;005E43DD&quot;/&gt;&lt;wsp:rsid wsp:val=&quot;005F02D1&quot;/&gt;&lt;wsp:rsid wsp:val=&quot;00600179&quot;/&gt;&lt;wsp:rsid wsp:val=&quot;00603FC0&quot;/&gt;&lt;wsp:rsid wsp:val=&quot;00611ECD&quot;/&gt;&lt;wsp:rsid wsp:val=&quot;00623AC7&quot;/&gt;&lt;wsp:rsid wsp:val=&quot;00636BF0&quot;/&gt;&lt;wsp:rsid wsp:val=&quot;006401AB&quot;/&gt;&lt;wsp:rsid wsp:val=&quot;0064442E&quot;/&gt;&lt;wsp:rsid wsp:val=&quot;00646B6D&quot;/&gt;&lt;wsp:rsid wsp:val=&quot;00655908&quot;/&gt;&lt;wsp:rsid wsp:val=&quot;006654F8&quot;/&gt;&lt;wsp:rsid wsp:val=&quot;00665768&quot;/&gt;&lt;wsp:rsid wsp:val=&quot;00667291&quot;/&gt;&lt;wsp:rsid wsp:val=&quot;00686249&quot;/&gt;&lt;wsp:rsid wsp:val=&quot;00687504&quot;/&gt;&lt;wsp:rsid wsp:val=&quot;0068777C&quot;/&gt;&lt;wsp:rsid wsp:val=&quot;006A171F&quot;/&gt;&lt;wsp:rsid wsp:val=&quot;006A4E5F&quot;/&gt;&lt;wsp:rsid wsp:val=&quot;006D4600&quot;/&gt;&lt;wsp:rsid wsp:val=&quot;006E0A2C&quot;/&gt;&lt;wsp:rsid wsp:val=&quot;006E202B&quot;/&gt;&lt;wsp:rsid wsp:val=&quot;006E57B5&quot;/&gt;&lt;wsp:rsid wsp:val=&quot;006E6AE2&quot;/&gt;&lt;wsp:rsid wsp:val=&quot;006F0CF5&quot;/&gt;&lt;wsp:rsid wsp:val=&quot;00702030&quot;/&gt;&lt;wsp:rsid wsp:val=&quot;00702FA0&quot;/&gt;&lt;wsp:rsid wsp:val=&quot;00724218&quot;/&gt;&lt;wsp:rsid wsp:val=&quot;007350B6&quot;/&gt;&lt;wsp:rsid wsp:val=&quot;00737E65&quot;/&gt;&lt;wsp:rsid wsp:val=&quot;0074030A&quot;/&gt;&lt;wsp:rsid wsp:val=&quot;00753965&quot;/&gt;&lt;wsp:rsid wsp:val=&quot;00762043&quot;/&gt;&lt;wsp:rsid wsp:val=&quot;007633C2&quot;/&gt;&lt;wsp:rsid wsp:val=&quot;00765A47&quot;/&gt;&lt;wsp:rsid wsp:val=&quot;00766DF1&quot;/&gt;&lt;wsp:rsid wsp:val=&quot;00770E82&quot;/&gt;&lt;wsp:rsid wsp:val=&quot;00772E94&quot;/&gt;&lt;wsp:rsid wsp:val=&quot;00773278&quot;/&gt;&lt;wsp:rsid wsp:val=&quot;00773D22&quot;/&gt;&lt;wsp:rsid wsp:val=&quot;007A1993&quot;/&gt;&lt;wsp:rsid wsp:val=&quot;007A7194&quot;/&gt;&lt;wsp:rsid wsp:val=&quot;007B028B&quot;/&gt;&lt;wsp:rsid wsp:val=&quot;007B1D71&quot;/&gt;&lt;wsp:rsid wsp:val=&quot;007C00D0&quot;/&gt;&lt;wsp:rsid wsp:val=&quot;007C2186&quot;/&gt;&lt;wsp:rsid wsp:val=&quot;007F2233&quot;/&gt;&lt;wsp:rsid wsp:val=&quot;007F25E1&quot;/&gt;&lt;wsp:rsid wsp:val=&quot;007F73BB&quot;/&gt;&lt;wsp:rsid wsp:val=&quot;00806461&quot;/&gt;&lt;wsp:rsid wsp:val=&quot;0080694B&quot;/&gt;&lt;wsp:rsid wsp:val=&quot;008113E1&quot;/&gt;&lt;wsp:rsid wsp:val=&quot;0081779C&quot;/&gt;&lt;wsp:rsid wsp:val=&quot;00831D0D&quot;/&gt;&lt;wsp:rsid wsp:val=&quot;00832DEE&quot;/&gt;&lt;wsp:rsid wsp:val=&quot;00835C2B&quot;/&gt;&lt;wsp:rsid wsp:val=&quot;00837FBE&quot;/&gt;&lt;wsp:rsid wsp:val=&quot;00846B89&quot;/&gt;&lt;wsp:rsid wsp:val=&quot;0085534A&quot;/&gt;&lt;wsp:rsid wsp:val=&quot;00855A8A&quot;/&gt;&lt;wsp:rsid wsp:val=&quot;00886AAC&quot;/&gt;&lt;wsp:rsid wsp:val=&quot;008A2EC5&quot;/&gt;&lt;wsp:rsid wsp:val=&quot;008B77F5&quot;/&gt;&lt;wsp:rsid wsp:val=&quot;008C0279&quot;/&gt;&lt;wsp:rsid wsp:val=&quot;008C7F68&quot;/&gt;&lt;wsp:rsid wsp:val=&quot;008E380C&quot;/&gt;&lt;wsp:rsid wsp:val=&quot;008F25D2&quot;/&gt;&lt;wsp:rsid wsp:val=&quot;008F50EC&quot;/&gt;&lt;wsp:rsid wsp:val=&quot;00906C96&quot;/&gt;&lt;wsp:rsid wsp:val=&quot;00914CC6&quot;/&gt;&lt;wsp:rsid wsp:val=&quot;0092751F&quot;/&gt;&lt;wsp:rsid wsp:val=&quot;00932067&quot;/&gt;&lt;wsp:rsid wsp:val=&quot;0093594A&quot;/&gt;&lt;wsp:rsid wsp:val=&quot;00955D73&quot;/&gt;&lt;wsp:rsid wsp:val=&quot;00960C16&quot;/&gt;&lt;wsp:rsid wsp:val=&quot;0096512C&quot;/&gt;&lt;wsp:rsid wsp:val=&quot;0096540A&quot;/&gt;&lt;wsp:rsid wsp:val=&quot;009A0D25&quot;/&gt;&lt;wsp:rsid wsp:val=&quot;009C5D2A&quot;/&gt;&lt;wsp:rsid wsp:val=&quot;009E792C&quot;/&gt;&lt;wsp:rsid wsp:val=&quot;00A331E7&quot;/&gt;&lt;wsp:rsid wsp:val=&quot;00A41C3C&quot;/&gt;&lt;wsp:rsid wsp:val=&quot;00A42C52&quot;/&gt;&lt;wsp:rsid wsp:val=&quot;00A72006&quot;/&gt;&lt;wsp:rsid wsp:val=&quot;00A72873&quot;/&gt;&lt;wsp:rsid wsp:val=&quot;00A808C7&quot;/&gt;&lt;wsp:rsid wsp:val=&quot;00AB2710&quot;/&gt;&lt;wsp:rsid wsp:val=&quot;00AB6612&quot;/&gt;&lt;wsp:rsid wsp:val=&quot;00AD05B0&quot;/&gt;&lt;wsp:rsid wsp:val=&quot;00AD184B&quot;/&gt;&lt;wsp:rsid wsp:val=&quot;00AE6B8F&quot;/&gt;&lt;wsp:rsid wsp:val=&quot;00B0566D&quot;/&gt;&lt;wsp:rsid wsp:val=&quot;00B10937&quot;/&gt;&lt;wsp:rsid wsp:val=&quot;00B35BD9&quot;/&gt;&lt;wsp:rsid wsp:val=&quot;00B37DE8&quot;/&gt;&lt;wsp:rsid wsp:val=&quot;00B448C0&quot;/&gt;&lt;wsp:rsid wsp:val=&quot;00B44BA5&quot;/&gt;&lt;wsp:rsid wsp:val=&quot;00B479C6&quot;/&gt;&lt;wsp:rsid wsp:val=&quot;00B615A9&quot;/&gt;&lt;wsp:rsid wsp:val=&quot;00B63FA9&quot;/&gt;&lt;wsp:rsid wsp:val=&quot;00B6460B&quot;/&gt;&lt;wsp:rsid wsp:val=&quot;00BA1651&quot;/&gt;&lt;wsp:rsid wsp:val=&quot;00BA5F7E&quot;/&gt;&lt;wsp:rsid wsp:val=&quot;00BC7E76&quot;/&gt;&lt;wsp:rsid wsp:val=&quot;00BE5DBA&quot;/&gt;&lt;wsp:rsid wsp:val=&quot;00BF12F6&quot;/&gt;&lt;wsp:rsid wsp:val=&quot;00C00765&quot;/&gt;&lt;wsp:rsid wsp:val=&quot;00C10464&quot;/&gt;&lt;wsp:rsid wsp:val=&quot;00C119C2&quot;/&gt;&lt;wsp:rsid wsp:val=&quot;00C13667&quot;/&gt;&lt;wsp:rsid wsp:val=&quot;00C21B54&quot;/&gt;&lt;wsp:rsid wsp:val=&quot;00C363AA&quot;/&gt;&lt;wsp:rsid wsp:val=&quot;00C40967&quot;/&gt;&lt;wsp:rsid wsp:val=&quot;00C463D8&quot;/&gt;&lt;wsp:rsid wsp:val=&quot;00C55A30&quot;/&gt;&lt;wsp:rsid wsp:val=&quot;00C600E2&quot;/&gt;&lt;wsp:rsid wsp:val=&quot;00C63D43&quot;/&gt;&lt;wsp:rsid wsp:val=&quot;00C74134&quot;/&gt;&lt;wsp:rsid wsp:val=&quot;00C823B1&quot;/&gt;&lt;wsp:rsid wsp:val=&quot;00C9625F&quot;/&gt;&lt;wsp:rsid wsp:val=&quot;00CA271E&quot;/&gt;&lt;wsp:rsid wsp:val=&quot;00CB1488&quot;/&gt;&lt;wsp:rsid wsp:val=&quot;00CB7414&quot;/&gt;&lt;wsp:rsid wsp:val=&quot;00CC4FF7&quot;/&gt;&lt;wsp:rsid wsp:val=&quot;00CE412B&quot;/&gt;&lt;wsp:rsid wsp:val=&quot;00D01CFE&quot;/&gt;&lt;wsp:rsid wsp:val=&quot;00D07C4B&quot;/&gt;&lt;wsp:rsid wsp:val=&quot;00D225D8&quot;/&gt;&lt;wsp:rsid wsp:val=&quot;00D33A2E&quot;/&gt;&lt;wsp:rsid wsp:val=&quot;00D4311F&quot;/&gt;&lt;wsp:rsid wsp:val=&quot;00D511A1&quot;/&gt;&lt;wsp:rsid wsp:val=&quot;00D872BF&quot;/&gt;&lt;wsp:rsid wsp:val=&quot;00DB124F&quot;/&gt;&lt;wsp:rsid wsp:val=&quot;00DC75B7&quot;/&gt;&lt;wsp:rsid wsp:val=&quot;00DE01F6&quot;/&gt;&lt;wsp:rsid wsp:val=&quot;00DE18EB&quot;/&gt;&lt;wsp:rsid wsp:val=&quot;00DE2998&quot;/&gt;&lt;wsp:rsid wsp:val=&quot;00DE4223&quot;/&gt;&lt;wsp:rsid wsp:val=&quot;00DE64BC&quot;/&gt;&lt;wsp:rsid wsp:val=&quot;00DE6B60&quot;/&gt;&lt;wsp:rsid wsp:val=&quot;00DF3C07&quot;/&gt;&lt;wsp:rsid wsp:val=&quot;00E01CCF&quot;/&gt;&lt;wsp:rsid wsp:val=&quot;00E06D10&quot;/&gt;&lt;wsp:rsid wsp:val=&quot;00E20458&quot;/&gt;&lt;wsp:rsid wsp:val=&quot;00E56487&quot;/&gt;&lt;wsp:rsid wsp:val=&quot;00E853F3&quot;/&gt;&lt;wsp:rsid wsp:val=&quot;00EC2491&quot;/&gt;&lt;wsp:rsid wsp:val=&quot;00EC3056&quot;/&gt;&lt;wsp:rsid wsp:val=&quot;00ED2C42&quot;/&gt;&lt;wsp:rsid wsp:val=&quot;00EF3B2B&quot;/&gt;&lt;wsp:rsid wsp:val=&quot;00F00EE9&quot;/&gt;&lt;wsp:rsid wsp:val=&quot;00F379DD&quot;/&gt;&lt;wsp:rsid wsp:val=&quot;00F47244&quot;/&gt;&lt;wsp:rsid wsp:val=&quot;00FA5F45&quot;/&gt;&lt;wsp:rsid wsp:val=&quot;00FA7522&quot;/&gt;&lt;wsp:rsid wsp:val=&quot;00FB5DA7&quot;/&gt;&lt;wsp:rsid wsp:val=&quot;00FB7629&quot;/&gt;&lt;wsp:rsid wsp:val=&quot;00FC2C59&quot;/&gt;&lt;wsp:rsid wsp:val=&quot;00FC5421&quot;/&gt;&lt;wsp:rsid wsp:val=&quot;00FD178C&quot;/&gt;&lt;wsp:rsid wsp:val=&quot;00FF67A7&quot;/&gt;&lt;/wsp:rsids&gt;&lt;/w:docPr&gt;&lt;w:body&gt;&lt;wx:sect&gt;&lt;w:p wsp:rsidR=&quot;00000000&quot; wsp:rsidRDefault=&quot;002E657D&quot; wsp:rsidP=&quot;002E657D&quot;&gt;&lt;m:oMathPara&gt;&lt;m:oMath&gt;&lt;m:r&gt;&lt;w:rPr&gt;&lt;w:rFonts w:ascii=&quot;Cambria Math&quot; w:fareast=&quot;Arial&quot; w:h-ansi=&quot;Cambria Math&quot;/&gt;&lt;wx:font wx:val=&quot;Cambria Math&quot;/&gt;&lt;w:i/&gt;&lt;w:sz-cs w:val=&quot;22&quot;/&gt;&lt;/w:rPr&gt;&lt;m:t&gt; i&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203" o:title="" chromakey="white"/>
          </v:shape>
        </w:pict>
      </w:r>
      <w:r w:rsidRPr="00256982">
        <w:rPr>
          <w:rFonts w:eastAsia="Arial"/>
          <w:szCs w:val="22"/>
        </w:rPr>
        <w:fldChar w:fldCharType="end"/>
      </w:r>
    </w:p>
    <w:p w14:paraId="450F52A7" w14:textId="77777777" w:rsidR="00380BE7" w:rsidRPr="00256982" w:rsidRDefault="00380BE7" w:rsidP="00380BE7">
      <w:pPr>
        <w:spacing w:after="120"/>
        <w:ind w:left="993"/>
        <w:rPr>
          <w:rFonts w:eastAsia="Arial"/>
          <w:szCs w:val="22"/>
        </w:rPr>
      </w:pPr>
      <w:r w:rsidRPr="00256982">
        <w:rPr>
          <w:rFonts w:eastAsia="Arial"/>
          <w:i/>
          <w:szCs w:val="22"/>
        </w:rPr>
        <w:t>Cov(L</w:t>
      </w:r>
      <w:r w:rsidRPr="00256982">
        <w:rPr>
          <w:rFonts w:eastAsia="Arial"/>
          <w:i/>
          <w:szCs w:val="22"/>
          <w:vertAlign w:val="subscript"/>
        </w:rPr>
        <w:t>i</w:t>
      </w:r>
      <w:r w:rsidRPr="00256982">
        <w:rPr>
          <w:rFonts w:eastAsia="Arial"/>
          <w:i/>
          <w:szCs w:val="22"/>
        </w:rPr>
        <w:t>,L</w:t>
      </w:r>
      <w:r w:rsidRPr="00256982">
        <w:rPr>
          <w:rFonts w:eastAsia="Arial"/>
          <w:i/>
          <w:szCs w:val="22"/>
          <w:vertAlign w:val="subscript"/>
        </w:rPr>
        <w:t>j</w:t>
      </w:r>
      <w:r w:rsidRPr="00256982">
        <w:rPr>
          <w:rFonts w:eastAsia="Arial"/>
          <w:i/>
          <w:szCs w:val="22"/>
        </w:rPr>
        <w:t>)</w:t>
      </w:r>
      <w:r w:rsidRPr="00256982">
        <w:rPr>
          <w:rFonts w:eastAsia="Arial"/>
          <w:szCs w:val="22"/>
        </w:rPr>
        <w:t xml:space="preserve"> = the covariance between land use effects </w:t>
      </w:r>
      <w:r w:rsidRPr="00256982">
        <w:rPr>
          <w:rFonts w:eastAsia="Arial"/>
          <w:i/>
          <w:szCs w:val="22"/>
        </w:rPr>
        <w:t>L</w:t>
      </w:r>
      <w:r w:rsidRPr="00256982">
        <w:rPr>
          <w:rFonts w:eastAsia="Arial"/>
          <w:i/>
          <w:szCs w:val="22"/>
          <w:vertAlign w:val="subscript"/>
        </w:rPr>
        <w:t>i</w:t>
      </w:r>
      <w:r w:rsidRPr="00256982">
        <w:rPr>
          <w:rFonts w:eastAsia="Arial"/>
          <w:szCs w:val="22"/>
        </w:rPr>
        <w:t xml:space="preserve"> and </w:t>
      </w:r>
      <w:r w:rsidRPr="00256982">
        <w:rPr>
          <w:rFonts w:eastAsia="Arial"/>
          <w:i/>
          <w:szCs w:val="22"/>
        </w:rPr>
        <w:t>L</w:t>
      </w:r>
      <w:r w:rsidRPr="00256982">
        <w:rPr>
          <w:rFonts w:eastAsia="Arial"/>
          <w:i/>
          <w:szCs w:val="22"/>
          <w:vertAlign w:val="subscript"/>
        </w:rPr>
        <w:t>j</w:t>
      </w:r>
      <w:r w:rsidRPr="00256982">
        <w:rPr>
          <w:rFonts w:eastAsia="Arial"/>
          <w:szCs w:val="22"/>
        </w:rPr>
        <w:t xml:space="preserve"> (McNeill and Barringer, </w:t>
      </w:r>
      <w:r w:rsidRPr="00256982">
        <w:t>unpublished</w:t>
      </w:r>
      <w:r w:rsidRPr="00256982">
        <w:rPr>
          <w:rFonts w:eastAsia="Arial"/>
          <w:szCs w:val="22"/>
        </w:rPr>
        <w:t>; McNeill et al., unpublished).</w:t>
      </w:r>
    </w:p>
    <w:p w14:paraId="77E2984C" w14:textId="76F0C119" w:rsidR="00380BE7" w:rsidRPr="00256982" w:rsidRDefault="00380BE7" w:rsidP="00380BE7">
      <w:pPr>
        <w:pStyle w:val="BodyText"/>
      </w:pPr>
      <w:r w:rsidRPr="00256982">
        <w:t xml:space="preserve">Although equation 5 provides a mathematically straightforward way to estimate the significance of a single transition from one land use category to another (a comparison-wise significance), it is often desirable to be able to determine whether a number of land use categories are likely to be significantly different or essentially the same as an ensemble. As more comparisons are made between many different land use types, it becomes more likely that at least one of the LUE changes will be different as a result of random chance alone, resulting in an increase in the </w:t>
      </w:r>
      <w:r w:rsidRPr="00256982">
        <w:lastRenderedPageBreak/>
        <w:t>Type</w:t>
      </w:r>
      <w:r w:rsidR="00F27196" w:rsidRPr="00256982">
        <w:t> </w:t>
      </w:r>
      <w:r w:rsidRPr="00256982">
        <w:t>1 error. Thus, the significance of all possible land use transitions must be calculated as a family of simultaneous comparisons (multiple comparison significance), rather than one at a time (McNeill and Barringer, unpublished).</w:t>
      </w:r>
    </w:p>
    <w:p w14:paraId="4AF98E53" w14:textId="77777777" w:rsidR="00380BE7" w:rsidRPr="00256982" w:rsidRDefault="00380BE7" w:rsidP="00380BE7">
      <w:pPr>
        <w:pStyle w:val="BodyText"/>
      </w:pPr>
      <w:r w:rsidRPr="00256982">
        <w:t>To control the Type 1 error rate in multiple comparison significance testing for the soil carbon change model, all possible combinations of the land use categories were tested for equality (a two-sided test) simultaneously. For the Soil CMS model (McNeill and Barringer, unpublished), a closed-testing procedure described by Marcus et al. (1976) was used; this procedure is a general method for performing a number of hypothesis tests simultaneously implemented in the multi-comparison package in R (Bretz et al., 2010).</w:t>
      </w:r>
    </w:p>
    <w:p w14:paraId="62D5E396" w14:textId="77777777" w:rsidR="00380BE7" w:rsidRPr="00256982" w:rsidRDefault="00380BE7" w:rsidP="00380BE7">
      <w:pPr>
        <w:pStyle w:val="BodyText"/>
      </w:pPr>
      <w:r w:rsidRPr="00256982">
        <w:t xml:space="preserve">The closed-testing procedure described by Marcus et al. (1976) yielded point estimates and confidence intervals of a test statistic for each distinct combination of land use transitions, and the critical test is whether the confidence intervals include zero. All land use transition pairs were significant, except those involving </w:t>
      </w:r>
      <w:r w:rsidRPr="00256982">
        <w:rPr>
          <w:i/>
        </w:rPr>
        <w:t>Other land</w:t>
      </w:r>
      <w:r w:rsidRPr="00256982">
        <w:t xml:space="preserve"> (see figure 6.3.2).</w:t>
      </w:r>
    </w:p>
    <w:p w14:paraId="4288DEBD" w14:textId="77777777" w:rsidR="00380BE7" w:rsidRPr="00256982" w:rsidRDefault="00380BE7" w:rsidP="00380BE7">
      <w:pPr>
        <w:pStyle w:val="Figure"/>
      </w:pPr>
      <w:bookmarkStart w:id="1210" w:name="_Toc378853340"/>
      <w:bookmarkStart w:id="1211" w:name="_Toc405448090"/>
      <w:bookmarkStart w:id="1212" w:name="_Toc414531622"/>
      <w:bookmarkStart w:id="1213" w:name="_Toc474914645"/>
      <w:bookmarkStart w:id="1214" w:name="_Toc481752027"/>
      <w:bookmarkStart w:id="1215" w:name="_Toc522010705"/>
      <w:bookmarkStart w:id="1216" w:name="_Toc5269708"/>
      <w:r w:rsidRPr="00256982">
        <w:t>Figure 6.3.2</w:t>
      </w:r>
      <w:r w:rsidRPr="00256982">
        <w:tab/>
        <w:t>Result of applying the Marcus multi-comparison test to the adopted model</w:t>
      </w:r>
      <w:bookmarkEnd w:id="1210"/>
      <w:bookmarkEnd w:id="1211"/>
      <w:bookmarkEnd w:id="1212"/>
      <w:bookmarkEnd w:id="1213"/>
      <w:bookmarkEnd w:id="1214"/>
      <w:bookmarkEnd w:id="1215"/>
      <w:bookmarkEnd w:id="1216"/>
    </w:p>
    <w:p w14:paraId="17D5CC0F" w14:textId="678CE06D" w:rsidR="00380BE7" w:rsidRPr="00256982" w:rsidRDefault="00590491" w:rsidP="00F27196">
      <w:pPr>
        <w:pStyle w:val="BodyText"/>
        <w:spacing w:before="0"/>
        <w:jc w:val="center"/>
      </w:pPr>
      <w:r>
        <w:rPr>
          <w:lang w:eastAsia="en-NZ"/>
        </w:rPr>
        <w:pict w14:anchorId="5D497EA8">
          <v:shape id="Picture 117" o:spid="_x0000_i1139" type="#_x0000_t75" style="width:408pt;height:310.5pt;visibility:visible;mso-wrap-style:square">
            <v:imagedata r:id="rId204" o:title=""/>
          </v:shape>
        </w:pict>
      </w:r>
    </w:p>
    <w:p w14:paraId="0002154C" w14:textId="77777777" w:rsidR="00380BE7" w:rsidRPr="00256982" w:rsidRDefault="00380BE7" w:rsidP="00380BE7">
      <w:pPr>
        <w:pStyle w:val="Source"/>
      </w:pPr>
      <w:r w:rsidRPr="00256982">
        <w:rPr>
          <w:b/>
          <w:bCs/>
        </w:rPr>
        <w:t>Source</w:t>
      </w:r>
      <w:r w:rsidRPr="00256982">
        <w:t>: McNeill and Barringer (unpublished)</w:t>
      </w:r>
    </w:p>
    <w:p w14:paraId="6AF7C0C6" w14:textId="77777777" w:rsidR="00380BE7" w:rsidRPr="00256982" w:rsidRDefault="00380BE7" w:rsidP="00380BE7">
      <w:pPr>
        <w:pStyle w:val="Noteundertable"/>
      </w:pPr>
      <w:r w:rsidRPr="00256982">
        <w:rPr>
          <w:b/>
          <w:bCs/>
        </w:rPr>
        <w:t>Note:</w:t>
      </w:r>
      <w:r w:rsidRPr="00256982">
        <w:tab/>
        <w:t>The marker is the estimated value for the specified transition to indicate significance, and the error bars represent the 95 per cent confidence interval of the test statistic. Land use transitions with point estimates and confidence intervals marked with a grey square are considered highly significant differences within the set of all possible land use transitions.</w:t>
      </w:r>
    </w:p>
    <w:p w14:paraId="3DAB66AA" w14:textId="77777777" w:rsidR="00380BE7" w:rsidRPr="00256982" w:rsidRDefault="00380BE7" w:rsidP="00380BE7">
      <w:pPr>
        <w:pStyle w:val="BodyText"/>
      </w:pPr>
      <w:r w:rsidRPr="00256982">
        <w:rPr>
          <w:rFonts w:eastAsia="Arial"/>
        </w:rPr>
        <w:t xml:space="preserve">As the model results show (see figure 6.3.2), all transitions are significant in the multi-comparison sense, except those involving </w:t>
      </w:r>
      <w:r w:rsidRPr="00256982">
        <w:rPr>
          <w:rFonts w:eastAsia="Arial"/>
          <w:i/>
        </w:rPr>
        <w:t>Other land</w:t>
      </w:r>
      <w:r w:rsidRPr="00256982">
        <w:rPr>
          <w:rFonts w:eastAsia="Arial"/>
        </w:rPr>
        <w:t xml:space="preserve">. </w:t>
      </w:r>
      <w:r w:rsidRPr="00256982">
        <w:t xml:space="preserve">Land use transitions involving </w:t>
      </w:r>
      <w:r w:rsidRPr="00256982">
        <w:rPr>
          <w:i/>
        </w:rPr>
        <w:t>Other land</w:t>
      </w:r>
      <w:r w:rsidRPr="00256982">
        <w:t xml:space="preserve"> contribute relatively little to the carbon change estimates, because they make up approximately 1.0 per cent of all land-use change detected between 1990 and 2016. </w:t>
      </w:r>
    </w:p>
    <w:p w14:paraId="738E5D66" w14:textId="77777777" w:rsidR="00380BE7" w:rsidRPr="00256982" w:rsidRDefault="00380BE7" w:rsidP="00380BE7">
      <w:pPr>
        <w:pStyle w:val="BodyText"/>
      </w:pPr>
      <w:r w:rsidRPr="00256982">
        <w:t xml:space="preserve">It is important to note that this interpretation of significance does not alter the method of calculation of the soil carbon change as a result of land use transition. In particular, it would not </w:t>
      </w:r>
      <w:r w:rsidRPr="00256982">
        <w:lastRenderedPageBreak/>
        <w:t>be correct to substitute a value of zero for the effect of a land use transition where the transition itself is not significant in the multi-comparison sense, because, if such a substitution were to be carried out, the calculation of the soil carbon would no longer be unbiased. Avoiding the bias in this manner also reduces the residual uncertainty of the soil carbon estimates. For this reason, the effect of all land use transitions ought to be included in calculations of soil carbon change (McNeill and Barringer, unpublished; McNeill et al., 2014).</w:t>
      </w:r>
    </w:p>
    <w:p w14:paraId="37A2037F" w14:textId="77777777" w:rsidR="00380BE7" w:rsidRPr="00256982" w:rsidRDefault="00380BE7" w:rsidP="00380BE7">
      <w:pPr>
        <w:pStyle w:val="Heading3"/>
      </w:pPr>
      <w:r w:rsidRPr="00256982">
        <w:t>6.3.2</w:t>
      </w:r>
      <w:r w:rsidRPr="00256982">
        <w:tab/>
        <w:t>Organic soils</w:t>
      </w:r>
    </w:p>
    <w:p w14:paraId="5D6CF946" w14:textId="2DC3A994" w:rsidR="00380BE7" w:rsidRPr="00256982" w:rsidRDefault="00380BE7" w:rsidP="00380BE7">
      <w:pPr>
        <w:pStyle w:val="BodyText"/>
        <w:rPr>
          <w:spacing w:val="-2"/>
        </w:rPr>
      </w:pPr>
      <w:r w:rsidRPr="00256982">
        <w:rPr>
          <w:bCs/>
          <w:spacing w:val="-2"/>
        </w:rPr>
        <w:t>Organic soils occupy a small proportion of New Zealand’s total land area (</w:t>
      </w:r>
      <w:r w:rsidRPr="00256982">
        <w:rPr>
          <w:spacing w:val="-2"/>
        </w:rPr>
        <w:t>1.0</w:t>
      </w:r>
      <w:r w:rsidR="00256982" w:rsidRPr="00256982">
        <w:rPr>
          <w:spacing w:val="-2"/>
        </w:rPr>
        <w:t xml:space="preserve"> </w:t>
      </w:r>
      <w:r w:rsidRPr="00256982">
        <w:rPr>
          <w:spacing w:val="-2"/>
        </w:rPr>
        <w:t>per cent), and the area of organic soils subject to land-use change is approximately 0.7 per cent of New Zealand’s total land area. New Zealand uses a Tier 1 method to estimate SOC stock change in organic soils.</w:t>
      </w:r>
    </w:p>
    <w:p w14:paraId="38A3DFFA" w14:textId="77777777" w:rsidR="00380BE7" w:rsidRPr="00256982" w:rsidRDefault="00380BE7" w:rsidP="00380BE7">
      <w:pPr>
        <w:pStyle w:val="BodyText"/>
      </w:pPr>
      <w:r w:rsidRPr="00256982">
        <w:t xml:space="preserve">The definition of organic soils is derived from the </w:t>
      </w:r>
      <w:r w:rsidRPr="00256982">
        <w:rPr>
          <w:i/>
        </w:rPr>
        <w:t>New Zealand Soil Classification</w:t>
      </w:r>
      <w:r w:rsidRPr="00256982">
        <w:t xml:space="preserve"> (Hewitt, 2010), which defines organic soils as those soils with at least 18 per cent organic carbon in horizons at least 30 centimetres thick and within 60 centimetres of the soil surface. New Zealand-specific climate and soil data are used to estimate the areas of organic soil found in each climate zone. Climate data are based on the temperature data layer of the Land Environments New Zealand classification (Leathwick et al., 2002). Soil-type data are based on the Fundamental Soils Layer associated with the NZLRI (Newsome et al., 2008) and converted to the IPCC classification (Daly and Wilde, unpublished). These data layers have been analysed in a GIS system to determine the areas of organic soils in warm and cold climatic zones. These areas are compared with the land use to determine the area of organic soils in each. </w:t>
      </w:r>
    </w:p>
    <w:p w14:paraId="01D442BB" w14:textId="77777777" w:rsidR="00380BE7" w:rsidRPr="00256982" w:rsidRDefault="00380BE7" w:rsidP="00380BE7">
      <w:pPr>
        <w:pStyle w:val="BodyText"/>
      </w:pPr>
      <w:r w:rsidRPr="00256982">
        <w:t xml:space="preserve">The LULUCF organic soils definition is the same as that used for reporting under the Agriculture sector (Dresser et al., 2011). </w:t>
      </w:r>
    </w:p>
    <w:p w14:paraId="4710A94B" w14:textId="77777777" w:rsidR="00380BE7" w:rsidRPr="00256982" w:rsidRDefault="00380BE7" w:rsidP="00380BE7">
      <w:pPr>
        <w:pStyle w:val="BodyText"/>
      </w:pPr>
      <w:r w:rsidRPr="00256982">
        <w:t xml:space="preserve">New Zealand has used IPCC default emission factors for organic soils under the </w:t>
      </w:r>
      <w:r w:rsidRPr="00256982">
        <w:rPr>
          <w:i/>
        </w:rPr>
        <w:t>Forest land</w:t>
      </w:r>
      <w:r w:rsidRPr="00256982">
        <w:t xml:space="preserve">, </w:t>
      </w:r>
      <w:r w:rsidRPr="00256982">
        <w:rPr>
          <w:i/>
        </w:rPr>
        <w:t>Grassland</w:t>
      </w:r>
      <w:r w:rsidRPr="00256982">
        <w:t xml:space="preserve">, </w:t>
      </w:r>
      <w:r w:rsidRPr="00256982">
        <w:rPr>
          <w:i/>
        </w:rPr>
        <w:t>Cropland, Wetlands</w:t>
      </w:r>
      <w:r w:rsidRPr="00256982">
        <w:t xml:space="preserve"> and </w:t>
      </w:r>
      <w:r w:rsidRPr="00256982">
        <w:rPr>
          <w:i/>
        </w:rPr>
        <w:t>Settlements</w:t>
      </w:r>
      <w:r w:rsidRPr="00256982">
        <w:t xml:space="preserve"> categories (IPCC, 2006a) to estimate organic soil emissions (see table 6.3.3). IPCC guidance for organic soils under forest is limited to estimates associated with the drainage of organic soils in managed forests. In New Zealand, the drainage of natural forests does not occur and therefore no emissions are estimated from organic soils under natural forest. It is assumed that all planted forests on organic soils are drained prior to forest establishment. The temperate default for forest land is applied to the area of organic soils under planted forests to estimate emissions. The warm temperate and cold temperate defaults for the </w:t>
      </w:r>
      <w:r w:rsidRPr="00256982">
        <w:rPr>
          <w:i/>
        </w:rPr>
        <w:t>Grassland</w:t>
      </w:r>
      <w:r w:rsidRPr="00256982">
        <w:t xml:space="preserve">, </w:t>
      </w:r>
      <w:r w:rsidRPr="00256982">
        <w:rPr>
          <w:i/>
        </w:rPr>
        <w:t>Cropland</w:t>
      </w:r>
      <w:r w:rsidRPr="00256982">
        <w:t xml:space="preserve"> and </w:t>
      </w:r>
      <w:r w:rsidRPr="00256982">
        <w:rPr>
          <w:i/>
        </w:rPr>
        <w:t>Settlements</w:t>
      </w:r>
      <w:r w:rsidRPr="00256982">
        <w:t xml:space="preserve"> categories are applied in proportion to the area of land in New Zealand where the mean annual temperature is above or below 10</w:t>
      </w:r>
      <w:r w:rsidRPr="00256982">
        <w:sym w:font="Symbol" w:char="F0B0"/>
      </w:r>
      <w:r w:rsidRPr="00256982">
        <w:t xml:space="preserve">C respectively. New Zealand applies IPCC default emission factors for organic soils in the </w:t>
      </w:r>
      <w:r w:rsidRPr="00256982">
        <w:rPr>
          <w:i/>
        </w:rPr>
        <w:t>Wetlands</w:t>
      </w:r>
      <w:r w:rsidRPr="00256982">
        <w:t xml:space="preserve"> category for areas under peat extraction. There are no default emission factors for organic soils under </w:t>
      </w:r>
      <w:r w:rsidRPr="00256982">
        <w:rPr>
          <w:i/>
        </w:rPr>
        <w:t>Other land</w:t>
      </w:r>
      <w:r w:rsidRPr="00256982">
        <w:t xml:space="preserve">; therefore, emissions from organic soils under this land use category are not estimated. </w:t>
      </w:r>
    </w:p>
    <w:p w14:paraId="653B8647" w14:textId="77777777" w:rsidR="00380BE7" w:rsidRPr="00256982" w:rsidRDefault="00380BE7" w:rsidP="00380BE7">
      <w:pPr>
        <w:pStyle w:val="Table"/>
      </w:pPr>
      <w:bookmarkStart w:id="1217" w:name="_Toc310423395"/>
      <w:bookmarkStart w:id="1218" w:name="_Toc318362688"/>
      <w:bookmarkStart w:id="1219" w:name="_Toc342470750"/>
      <w:bookmarkStart w:id="1220" w:name="_Toc352504990"/>
      <w:bookmarkStart w:id="1221" w:name="_Toc361644888"/>
      <w:bookmarkStart w:id="1222" w:name="_Toc378853289"/>
      <w:bookmarkStart w:id="1223" w:name="_Toc391024087"/>
      <w:bookmarkStart w:id="1224" w:name="_Toc410028830"/>
      <w:bookmarkStart w:id="1225" w:name="_Toc414531458"/>
      <w:bookmarkStart w:id="1226" w:name="_Toc443645371"/>
      <w:bookmarkStart w:id="1227" w:name="_Toc474914590"/>
      <w:bookmarkStart w:id="1228" w:name="_Toc481751554"/>
      <w:bookmarkStart w:id="1229" w:name="_Toc522010611"/>
      <w:bookmarkStart w:id="1230" w:name="_Toc5269516"/>
      <w:r w:rsidRPr="00256982">
        <w:t>Table 6.3.3</w:t>
      </w:r>
      <w:r w:rsidRPr="00256982">
        <w:tab/>
        <w:t>New Zealand emission factors for organic soils</w:t>
      </w:r>
      <w:bookmarkEnd w:id="1217"/>
      <w:bookmarkEnd w:id="1218"/>
      <w:bookmarkEnd w:id="1219"/>
      <w:bookmarkEnd w:id="1220"/>
      <w:bookmarkEnd w:id="1221"/>
      <w:bookmarkEnd w:id="1222"/>
      <w:bookmarkEnd w:id="1223"/>
      <w:bookmarkEnd w:id="1224"/>
      <w:bookmarkEnd w:id="1225"/>
      <w:bookmarkEnd w:id="1226"/>
      <w:bookmarkEnd w:id="1227"/>
      <w:bookmarkEnd w:id="1228"/>
      <w:bookmarkEnd w:id="1229"/>
      <w:bookmarkEnd w:id="1230"/>
    </w:p>
    <w:tbl>
      <w:tblPr>
        <w:tblW w:w="8562" w:type="dxa"/>
        <w:tblInd w:w="108" w:type="dxa"/>
        <w:tblBorders>
          <w:bottom w:val="single" w:sz="8" w:space="0" w:color="365F91"/>
        </w:tblBorders>
        <w:tblLook w:val="04A0" w:firstRow="1" w:lastRow="0" w:firstColumn="1" w:lastColumn="0" w:noHBand="0" w:noVBand="1"/>
      </w:tblPr>
      <w:tblGrid>
        <w:gridCol w:w="1713"/>
        <w:gridCol w:w="1570"/>
        <w:gridCol w:w="2140"/>
        <w:gridCol w:w="3139"/>
      </w:tblGrid>
      <w:tr w:rsidR="00380BE7" w:rsidRPr="00256982" w14:paraId="1AB7CEEF" w14:textId="77777777" w:rsidTr="000310E4">
        <w:trPr>
          <w:tblHeader/>
        </w:trPr>
        <w:tc>
          <w:tcPr>
            <w:tcW w:w="1701" w:type="dxa"/>
            <w:tcBorders>
              <w:top w:val="single" w:sz="4" w:space="0" w:color="365F91"/>
              <w:bottom w:val="single" w:sz="4" w:space="0" w:color="365F91"/>
              <w:right w:val="nil"/>
            </w:tcBorders>
            <w:shd w:val="clear" w:color="auto" w:fill="365F91"/>
            <w:vAlign w:val="bottom"/>
          </w:tcPr>
          <w:p w14:paraId="379B2F14" w14:textId="77777777" w:rsidR="00380BE7" w:rsidRPr="00256982" w:rsidRDefault="00380BE7" w:rsidP="009574E7">
            <w:pPr>
              <w:pStyle w:val="TableTextBold"/>
              <w:keepNext/>
              <w:rPr>
                <w:rFonts w:eastAsia="Arial"/>
                <w:noProof w:val="0"/>
                <w:color w:val="FFFFFF"/>
              </w:rPr>
            </w:pPr>
            <w:r w:rsidRPr="00256982">
              <w:rPr>
                <w:rFonts w:eastAsia="Arial"/>
                <w:noProof w:val="0"/>
                <w:color w:val="FFFFFF"/>
              </w:rPr>
              <w:t>Land use</w:t>
            </w:r>
          </w:p>
        </w:tc>
        <w:tc>
          <w:tcPr>
            <w:tcW w:w="1560" w:type="dxa"/>
            <w:tcBorders>
              <w:top w:val="single" w:sz="4" w:space="0" w:color="365F91"/>
              <w:bottom w:val="single" w:sz="4" w:space="0" w:color="365F91"/>
            </w:tcBorders>
            <w:shd w:val="clear" w:color="auto" w:fill="365F91"/>
            <w:vAlign w:val="bottom"/>
          </w:tcPr>
          <w:p w14:paraId="5769F193" w14:textId="77777777" w:rsidR="00380BE7" w:rsidRPr="00256982" w:rsidRDefault="00380BE7" w:rsidP="009574E7">
            <w:pPr>
              <w:pStyle w:val="TableTextBold"/>
              <w:keepNext/>
              <w:rPr>
                <w:rFonts w:eastAsia="Arial"/>
                <w:noProof w:val="0"/>
                <w:color w:val="FFFFFF"/>
              </w:rPr>
            </w:pPr>
            <w:r w:rsidRPr="00256982">
              <w:rPr>
                <w:rFonts w:eastAsia="Arial"/>
                <w:noProof w:val="0"/>
                <w:color w:val="FFFFFF"/>
              </w:rPr>
              <w:t>Climatic temperature regime</w:t>
            </w:r>
          </w:p>
        </w:tc>
        <w:tc>
          <w:tcPr>
            <w:tcW w:w="2126" w:type="dxa"/>
            <w:tcBorders>
              <w:top w:val="single" w:sz="4" w:space="0" w:color="365F91"/>
              <w:bottom w:val="single" w:sz="4" w:space="0" w:color="365F91"/>
            </w:tcBorders>
            <w:shd w:val="clear" w:color="auto" w:fill="365F91"/>
            <w:vAlign w:val="bottom"/>
          </w:tcPr>
          <w:p w14:paraId="1665700B" w14:textId="77777777" w:rsidR="00380BE7" w:rsidRPr="00256982" w:rsidRDefault="00380BE7" w:rsidP="009574E7">
            <w:pPr>
              <w:pStyle w:val="TableTextBold"/>
              <w:keepNext/>
              <w:rPr>
                <w:rFonts w:eastAsia="Arial"/>
                <w:noProof w:val="0"/>
                <w:color w:val="FFFFFF"/>
              </w:rPr>
            </w:pPr>
            <w:r w:rsidRPr="00256982">
              <w:rPr>
                <w:rFonts w:eastAsia="Arial"/>
                <w:noProof w:val="0"/>
                <w:color w:val="FFFFFF"/>
              </w:rPr>
              <w:t>IPCC Tier 1 default emission factor applied and ranges (t C ha</w:t>
            </w:r>
            <w:r w:rsidRPr="00256982">
              <w:rPr>
                <w:rFonts w:eastAsia="Arial"/>
                <w:noProof w:val="0"/>
                <w:color w:val="FFFFFF"/>
                <w:vertAlign w:val="superscript"/>
              </w:rPr>
              <w:t xml:space="preserve">–1 </w:t>
            </w:r>
            <w:r w:rsidRPr="00256982">
              <w:rPr>
                <w:rFonts w:eastAsia="Arial"/>
                <w:noProof w:val="0"/>
                <w:color w:val="FFFFFF"/>
              </w:rPr>
              <w:t>yr</w:t>
            </w:r>
            <w:r w:rsidRPr="00256982">
              <w:rPr>
                <w:rFonts w:eastAsia="Arial"/>
                <w:noProof w:val="0"/>
                <w:color w:val="FFFFFF"/>
                <w:vertAlign w:val="superscript"/>
              </w:rPr>
              <w:t>–1</w:t>
            </w:r>
            <w:r w:rsidRPr="00256982">
              <w:rPr>
                <w:rFonts w:eastAsia="Arial"/>
                <w:noProof w:val="0"/>
                <w:color w:val="FFFFFF"/>
              </w:rPr>
              <w:t>)</w:t>
            </w:r>
          </w:p>
        </w:tc>
        <w:tc>
          <w:tcPr>
            <w:tcW w:w="3118" w:type="dxa"/>
            <w:tcBorders>
              <w:top w:val="single" w:sz="4" w:space="0" w:color="365F91"/>
              <w:bottom w:val="single" w:sz="4" w:space="0" w:color="365F91"/>
            </w:tcBorders>
            <w:shd w:val="clear" w:color="auto" w:fill="365F91"/>
            <w:vAlign w:val="bottom"/>
          </w:tcPr>
          <w:p w14:paraId="4C880F17" w14:textId="77777777" w:rsidR="00380BE7" w:rsidRPr="00256982" w:rsidRDefault="00380BE7" w:rsidP="009574E7">
            <w:pPr>
              <w:pStyle w:val="TableTextBold"/>
              <w:keepNext/>
              <w:rPr>
                <w:rFonts w:eastAsia="Arial"/>
                <w:noProof w:val="0"/>
                <w:color w:val="FFFFFF"/>
              </w:rPr>
            </w:pPr>
            <w:r w:rsidRPr="00256982">
              <w:rPr>
                <w:rFonts w:eastAsia="Arial"/>
                <w:noProof w:val="0"/>
                <w:color w:val="FFFFFF"/>
              </w:rPr>
              <w:t>Reference</w:t>
            </w:r>
          </w:p>
        </w:tc>
      </w:tr>
      <w:tr w:rsidR="00380BE7" w:rsidRPr="00256982" w14:paraId="13BF90A6" w14:textId="77777777" w:rsidTr="000310E4">
        <w:tc>
          <w:tcPr>
            <w:tcW w:w="1701" w:type="dxa"/>
            <w:tcBorders>
              <w:top w:val="single" w:sz="4" w:space="0" w:color="365F91"/>
              <w:right w:val="nil"/>
            </w:tcBorders>
            <w:shd w:val="clear" w:color="auto" w:fill="auto"/>
          </w:tcPr>
          <w:p w14:paraId="188A57AE" w14:textId="77777777" w:rsidR="00380BE7" w:rsidRPr="00256982" w:rsidRDefault="00380BE7" w:rsidP="009574E7">
            <w:pPr>
              <w:pStyle w:val="TableText"/>
              <w:keepNext/>
              <w:rPr>
                <w:rFonts w:eastAsia="Arial"/>
                <w:szCs w:val="22"/>
              </w:rPr>
            </w:pPr>
            <w:r w:rsidRPr="00256982">
              <w:rPr>
                <w:rFonts w:eastAsia="Arial"/>
                <w:szCs w:val="22"/>
              </w:rPr>
              <w:t>Pre-1990 natural forest</w:t>
            </w:r>
          </w:p>
        </w:tc>
        <w:tc>
          <w:tcPr>
            <w:tcW w:w="1560" w:type="dxa"/>
            <w:tcBorders>
              <w:top w:val="single" w:sz="4" w:space="0" w:color="365F91"/>
            </w:tcBorders>
            <w:shd w:val="clear" w:color="auto" w:fill="auto"/>
          </w:tcPr>
          <w:p w14:paraId="0E52722D" w14:textId="77777777" w:rsidR="00380BE7" w:rsidRPr="00256982" w:rsidRDefault="00380BE7" w:rsidP="009574E7">
            <w:pPr>
              <w:pStyle w:val="TableText"/>
              <w:rPr>
                <w:rFonts w:eastAsia="Arial"/>
                <w:szCs w:val="22"/>
              </w:rPr>
            </w:pPr>
            <w:r w:rsidRPr="00256982">
              <w:rPr>
                <w:rFonts w:eastAsia="Arial"/>
                <w:szCs w:val="22"/>
              </w:rPr>
              <w:t>Temperate</w:t>
            </w:r>
          </w:p>
        </w:tc>
        <w:tc>
          <w:tcPr>
            <w:tcW w:w="2126" w:type="dxa"/>
            <w:tcBorders>
              <w:top w:val="single" w:sz="4" w:space="0" w:color="365F91"/>
            </w:tcBorders>
            <w:shd w:val="clear" w:color="auto" w:fill="auto"/>
          </w:tcPr>
          <w:p w14:paraId="0BF2D229" w14:textId="77777777" w:rsidR="00380BE7" w:rsidRPr="00256982" w:rsidRDefault="00380BE7" w:rsidP="009574E7">
            <w:pPr>
              <w:pStyle w:val="TableText"/>
              <w:rPr>
                <w:rFonts w:eastAsia="Arial"/>
                <w:szCs w:val="22"/>
              </w:rPr>
            </w:pPr>
            <w:r w:rsidRPr="00256982">
              <w:rPr>
                <w:rFonts w:eastAsia="Arial"/>
                <w:szCs w:val="22"/>
              </w:rPr>
              <w:t>NA</w:t>
            </w:r>
          </w:p>
        </w:tc>
        <w:tc>
          <w:tcPr>
            <w:tcW w:w="3118" w:type="dxa"/>
            <w:tcBorders>
              <w:top w:val="single" w:sz="4" w:space="0" w:color="365F91"/>
            </w:tcBorders>
            <w:shd w:val="clear" w:color="auto" w:fill="auto"/>
          </w:tcPr>
          <w:p w14:paraId="7D753001" w14:textId="77777777" w:rsidR="00380BE7" w:rsidRPr="00256982" w:rsidDel="008E37A0" w:rsidRDefault="00380BE7" w:rsidP="009574E7">
            <w:pPr>
              <w:pStyle w:val="TableText"/>
              <w:rPr>
                <w:rFonts w:eastAsia="Arial"/>
                <w:szCs w:val="22"/>
              </w:rPr>
            </w:pPr>
            <w:r w:rsidRPr="00256982">
              <w:rPr>
                <w:rFonts w:eastAsia="Arial"/>
                <w:szCs w:val="22"/>
              </w:rPr>
              <w:t>IPCC guidance applies only to drained forest organic soils, which do not occur in natural forests in New Zealand (IPCC, 2006a,</w:t>
            </w:r>
            <w:r w:rsidRPr="00256982">
              <w:rPr>
                <w:rFonts w:eastAsia="Arial"/>
                <w:szCs w:val="22"/>
              </w:rPr>
              <w:fldChar w:fldCharType="begin"/>
            </w:r>
            <w:r w:rsidRPr="00256982">
              <w:rPr>
                <w:rFonts w:eastAsia="Arial"/>
                <w:szCs w:val="22"/>
              </w:rPr>
              <w:fldChar w:fldCharType="begin"/>
            </w:r>
            <w:r w:rsidRPr="00256982">
              <w:rPr>
                <w:rFonts w:eastAsia="Arial"/>
                <w:szCs w:val="22"/>
              </w:rPr>
              <w:instrText xml:space="preserve"> CITATION Pen03 \l 5129 </w:instrText>
            </w:r>
            <w:r w:rsidRPr="00256982">
              <w:rPr>
                <w:rFonts w:eastAsia="Arial"/>
                <w:szCs w:val="22"/>
              </w:rPr>
              <w:fldChar w:fldCharType="separate"/>
            </w:r>
            <w:r w:rsidRPr="00256982">
              <w:rPr>
                <w:rFonts w:eastAsia="Arial"/>
                <w:szCs w:val="22"/>
              </w:rPr>
              <w:instrText xml:space="preserve"> IPCC, 2003</w:instrText>
            </w:r>
            <w:r w:rsidRPr="00256982">
              <w:rPr>
                <w:rFonts w:eastAsia="Arial"/>
                <w:szCs w:val="22"/>
              </w:rPr>
              <w:fldChar w:fldCharType="end"/>
            </w:r>
            <w:r w:rsidRPr="00256982">
              <w:rPr>
                <w:rFonts w:eastAsia="Arial"/>
                <w:szCs w:val="22"/>
              </w:rPr>
              <w:fldChar w:fldCharType="end"/>
            </w:r>
            <w:r w:rsidRPr="00256982">
              <w:rPr>
                <w:rFonts w:eastAsia="Arial"/>
                <w:szCs w:val="22"/>
              </w:rPr>
              <w:t xml:space="preserve"> section 4.2.3.2).</w:t>
            </w:r>
          </w:p>
        </w:tc>
      </w:tr>
      <w:tr w:rsidR="00380BE7" w:rsidRPr="00256982" w14:paraId="284F0F82" w14:textId="77777777" w:rsidTr="000310E4">
        <w:tc>
          <w:tcPr>
            <w:tcW w:w="1701" w:type="dxa"/>
            <w:tcBorders>
              <w:top w:val="single" w:sz="8" w:space="0" w:color="365F91"/>
              <w:bottom w:val="single" w:sz="8" w:space="0" w:color="365F91"/>
              <w:right w:val="nil"/>
            </w:tcBorders>
            <w:shd w:val="clear" w:color="auto" w:fill="auto"/>
          </w:tcPr>
          <w:p w14:paraId="371CF491" w14:textId="77777777" w:rsidR="00380BE7" w:rsidRPr="00256982" w:rsidRDefault="00380BE7" w:rsidP="009574E7">
            <w:pPr>
              <w:pStyle w:val="TableText"/>
              <w:rPr>
                <w:rFonts w:eastAsia="Arial"/>
                <w:szCs w:val="22"/>
              </w:rPr>
            </w:pPr>
            <w:r w:rsidRPr="00256982">
              <w:rPr>
                <w:rFonts w:eastAsia="Arial"/>
                <w:szCs w:val="22"/>
              </w:rPr>
              <w:t xml:space="preserve">Pre-1990 and post-1989 planted forest </w:t>
            </w:r>
          </w:p>
        </w:tc>
        <w:tc>
          <w:tcPr>
            <w:tcW w:w="1560" w:type="dxa"/>
            <w:tcBorders>
              <w:top w:val="single" w:sz="8" w:space="0" w:color="365F91"/>
              <w:bottom w:val="single" w:sz="8" w:space="0" w:color="365F91"/>
            </w:tcBorders>
            <w:shd w:val="clear" w:color="auto" w:fill="auto"/>
          </w:tcPr>
          <w:p w14:paraId="6CDF245B" w14:textId="77777777" w:rsidR="00380BE7" w:rsidRPr="00256982" w:rsidRDefault="00380BE7" w:rsidP="009574E7">
            <w:pPr>
              <w:pStyle w:val="TableText"/>
              <w:rPr>
                <w:rFonts w:eastAsia="Arial"/>
                <w:szCs w:val="22"/>
              </w:rPr>
            </w:pPr>
            <w:r w:rsidRPr="00256982">
              <w:rPr>
                <w:rFonts w:eastAsia="Arial"/>
                <w:szCs w:val="22"/>
              </w:rPr>
              <w:t>Temperate</w:t>
            </w:r>
          </w:p>
        </w:tc>
        <w:tc>
          <w:tcPr>
            <w:tcW w:w="2126" w:type="dxa"/>
            <w:tcBorders>
              <w:top w:val="single" w:sz="8" w:space="0" w:color="365F91"/>
              <w:bottom w:val="single" w:sz="8" w:space="0" w:color="365F91"/>
            </w:tcBorders>
            <w:shd w:val="clear" w:color="auto" w:fill="auto"/>
          </w:tcPr>
          <w:p w14:paraId="4782B46A" w14:textId="77777777" w:rsidR="00380BE7" w:rsidRPr="00256982" w:rsidRDefault="00380BE7" w:rsidP="009574E7">
            <w:pPr>
              <w:pStyle w:val="TableText"/>
              <w:rPr>
                <w:rFonts w:eastAsia="Arial"/>
                <w:szCs w:val="22"/>
              </w:rPr>
            </w:pPr>
            <w:r w:rsidRPr="00256982">
              <w:rPr>
                <w:rFonts w:eastAsia="Arial"/>
                <w:szCs w:val="22"/>
              </w:rPr>
              <w:t>0.68 (range 0.41–1.91)</w:t>
            </w:r>
          </w:p>
        </w:tc>
        <w:tc>
          <w:tcPr>
            <w:tcW w:w="3118" w:type="dxa"/>
            <w:tcBorders>
              <w:top w:val="single" w:sz="8" w:space="0" w:color="365F91"/>
              <w:bottom w:val="single" w:sz="8" w:space="0" w:color="365F91"/>
            </w:tcBorders>
            <w:shd w:val="clear" w:color="auto" w:fill="auto"/>
          </w:tcPr>
          <w:p w14:paraId="7C501BFF" w14:textId="77777777" w:rsidR="00380BE7" w:rsidRPr="00256982" w:rsidRDefault="00380BE7" w:rsidP="009574E7">
            <w:pPr>
              <w:pStyle w:val="TableText"/>
              <w:rPr>
                <w:rFonts w:eastAsia="Arial"/>
                <w:szCs w:val="22"/>
              </w:rPr>
            </w:pPr>
            <w:r w:rsidRPr="00256982">
              <w:rPr>
                <w:rFonts w:eastAsia="Arial"/>
                <w:szCs w:val="22"/>
              </w:rPr>
              <w:t>IPCC (2006a, section 4.2.3.2, table 4.6)</w:t>
            </w:r>
          </w:p>
        </w:tc>
      </w:tr>
      <w:tr w:rsidR="00380BE7" w:rsidRPr="00256982" w14:paraId="4932E2CE" w14:textId="77777777" w:rsidTr="000310E4">
        <w:tc>
          <w:tcPr>
            <w:tcW w:w="1701" w:type="dxa"/>
            <w:tcBorders>
              <w:right w:val="nil"/>
            </w:tcBorders>
            <w:shd w:val="clear" w:color="auto" w:fill="auto"/>
          </w:tcPr>
          <w:p w14:paraId="7C12AA17" w14:textId="77777777" w:rsidR="00380BE7" w:rsidRPr="00256982" w:rsidRDefault="00380BE7" w:rsidP="009574E7">
            <w:pPr>
              <w:pStyle w:val="TableText"/>
              <w:rPr>
                <w:rFonts w:eastAsia="Arial"/>
                <w:szCs w:val="22"/>
              </w:rPr>
            </w:pPr>
            <w:r w:rsidRPr="00256982">
              <w:rPr>
                <w:rFonts w:eastAsia="Arial"/>
                <w:szCs w:val="22"/>
              </w:rPr>
              <w:t>Cropland</w:t>
            </w:r>
          </w:p>
        </w:tc>
        <w:tc>
          <w:tcPr>
            <w:tcW w:w="1560" w:type="dxa"/>
            <w:shd w:val="clear" w:color="auto" w:fill="auto"/>
          </w:tcPr>
          <w:p w14:paraId="73143993" w14:textId="77777777" w:rsidR="00380BE7" w:rsidRPr="00256982" w:rsidRDefault="00380BE7" w:rsidP="009574E7">
            <w:pPr>
              <w:pStyle w:val="TableText"/>
              <w:spacing w:after="0"/>
              <w:rPr>
                <w:rFonts w:eastAsia="Arial"/>
                <w:szCs w:val="22"/>
              </w:rPr>
            </w:pPr>
            <w:r w:rsidRPr="00256982">
              <w:rPr>
                <w:rFonts w:eastAsia="Arial"/>
                <w:szCs w:val="22"/>
              </w:rPr>
              <w:t>Cold temperate</w:t>
            </w:r>
          </w:p>
          <w:p w14:paraId="69F1BB1B" w14:textId="77777777" w:rsidR="00380BE7" w:rsidRPr="00256982" w:rsidRDefault="00380BE7" w:rsidP="009574E7">
            <w:pPr>
              <w:pStyle w:val="TableText"/>
              <w:rPr>
                <w:rFonts w:eastAsia="Arial"/>
                <w:szCs w:val="22"/>
              </w:rPr>
            </w:pPr>
            <w:r w:rsidRPr="00256982">
              <w:rPr>
                <w:rFonts w:eastAsia="Arial"/>
                <w:szCs w:val="22"/>
              </w:rPr>
              <w:t>Warm temperate</w:t>
            </w:r>
          </w:p>
        </w:tc>
        <w:tc>
          <w:tcPr>
            <w:tcW w:w="2126" w:type="dxa"/>
            <w:shd w:val="clear" w:color="auto" w:fill="auto"/>
          </w:tcPr>
          <w:p w14:paraId="79A3DAA4" w14:textId="77777777" w:rsidR="00380BE7" w:rsidRPr="00256982" w:rsidRDefault="00380BE7" w:rsidP="009574E7">
            <w:pPr>
              <w:pStyle w:val="TableText"/>
              <w:rPr>
                <w:rFonts w:eastAsia="Arial"/>
                <w:szCs w:val="22"/>
              </w:rPr>
            </w:pPr>
            <w:r w:rsidRPr="00256982">
              <w:rPr>
                <w:rFonts w:eastAsia="Arial"/>
                <w:szCs w:val="22"/>
              </w:rPr>
              <w:t>5.0 ± 90%</w:t>
            </w:r>
          </w:p>
          <w:p w14:paraId="1E07ABA2" w14:textId="77777777" w:rsidR="00380BE7" w:rsidRPr="00256982" w:rsidRDefault="00380BE7" w:rsidP="009574E7">
            <w:pPr>
              <w:pStyle w:val="TableText"/>
              <w:rPr>
                <w:rFonts w:eastAsia="Arial"/>
                <w:szCs w:val="22"/>
              </w:rPr>
            </w:pPr>
            <w:r w:rsidRPr="00256982">
              <w:rPr>
                <w:rFonts w:eastAsia="Arial"/>
                <w:szCs w:val="22"/>
              </w:rPr>
              <w:t>10.0 ± 90%</w:t>
            </w:r>
          </w:p>
        </w:tc>
        <w:tc>
          <w:tcPr>
            <w:tcW w:w="3118" w:type="dxa"/>
            <w:shd w:val="clear" w:color="auto" w:fill="auto"/>
          </w:tcPr>
          <w:p w14:paraId="2750289D" w14:textId="77777777" w:rsidR="00380BE7" w:rsidRPr="00256982" w:rsidRDefault="00380BE7" w:rsidP="009574E7">
            <w:pPr>
              <w:pStyle w:val="TableText"/>
              <w:rPr>
                <w:rFonts w:eastAsia="Arial"/>
                <w:szCs w:val="22"/>
              </w:rPr>
            </w:pPr>
            <w:r w:rsidRPr="00256982">
              <w:rPr>
                <w:rFonts w:eastAsia="Arial"/>
                <w:szCs w:val="22"/>
              </w:rPr>
              <w:t>IPCC (2006a, section 5.2.3.2, table 5.6)</w:t>
            </w:r>
          </w:p>
        </w:tc>
      </w:tr>
      <w:tr w:rsidR="00380BE7" w:rsidRPr="00256982" w14:paraId="7D9184CA" w14:textId="77777777" w:rsidTr="000310E4">
        <w:tc>
          <w:tcPr>
            <w:tcW w:w="1701" w:type="dxa"/>
            <w:tcBorders>
              <w:top w:val="single" w:sz="8" w:space="0" w:color="365F91"/>
              <w:bottom w:val="single" w:sz="8" w:space="0" w:color="365F91"/>
              <w:right w:val="nil"/>
            </w:tcBorders>
            <w:shd w:val="clear" w:color="auto" w:fill="auto"/>
          </w:tcPr>
          <w:p w14:paraId="4033D586" w14:textId="77777777" w:rsidR="00380BE7" w:rsidRPr="00256982" w:rsidRDefault="00380BE7" w:rsidP="009574E7">
            <w:pPr>
              <w:pStyle w:val="TableText"/>
              <w:rPr>
                <w:rFonts w:eastAsia="Arial"/>
                <w:szCs w:val="22"/>
              </w:rPr>
            </w:pPr>
            <w:r w:rsidRPr="00256982">
              <w:rPr>
                <w:rFonts w:eastAsia="Arial"/>
                <w:szCs w:val="22"/>
              </w:rPr>
              <w:lastRenderedPageBreak/>
              <w:t>Grassland</w:t>
            </w:r>
          </w:p>
        </w:tc>
        <w:tc>
          <w:tcPr>
            <w:tcW w:w="1560" w:type="dxa"/>
            <w:tcBorders>
              <w:top w:val="single" w:sz="8" w:space="0" w:color="365F91"/>
              <w:bottom w:val="single" w:sz="8" w:space="0" w:color="365F91"/>
            </w:tcBorders>
            <w:shd w:val="clear" w:color="auto" w:fill="auto"/>
          </w:tcPr>
          <w:p w14:paraId="1F93439B" w14:textId="77777777" w:rsidR="00380BE7" w:rsidRPr="00256982" w:rsidRDefault="00380BE7" w:rsidP="009574E7">
            <w:pPr>
              <w:pStyle w:val="TableText"/>
              <w:spacing w:after="0"/>
              <w:rPr>
                <w:rFonts w:eastAsia="Arial"/>
                <w:szCs w:val="22"/>
              </w:rPr>
            </w:pPr>
            <w:r w:rsidRPr="00256982">
              <w:rPr>
                <w:rFonts w:eastAsia="Arial"/>
                <w:szCs w:val="22"/>
              </w:rPr>
              <w:t>Cold temperate</w:t>
            </w:r>
          </w:p>
          <w:p w14:paraId="6F95678C" w14:textId="77777777" w:rsidR="00380BE7" w:rsidRPr="00256982" w:rsidRDefault="00380BE7" w:rsidP="009574E7">
            <w:pPr>
              <w:pStyle w:val="TableText"/>
              <w:rPr>
                <w:rFonts w:eastAsia="Arial"/>
                <w:szCs w:val="22"/>
              </w:rPr>
            </w:pPr>
            <w:r w:rsidRPr="00256982">
              <w:rPr>
                <w:rFonts w:eastAsia="Arial"/>
                <w:szCs w:val="22"/>
              </w:rPr>
              <w:t>Warm temperate</w:t>
            </w:r>
          </w:p>
        </w:tc>
        <w:tc>
          <w:tcPr>
            <w:tcW w:w="2126" w:type="dxa"/>
            <w:tcBorders>
              <w:top w:val="single" w:sz="8" w:space="0" w:color="365F91"/>
              <w:bottom w:val="single" w:sz="8" w:space="0" w:color="365F91"/>
            </w:tcBorders>
            <w:shd w:val="clear" w:color="auto" w:fill="auto"/>
          </w:tcPr>
          <w:p w14:paraId="51B268AF" w14:textId="77777777" w:rsidR="00380BE7" w:rsidRPr="00256982" w:rsidRDefault="00380BE7" w:rsidP="009574E7">
            <w:pPr>
              <w:pStyle w:val="TableText"/>
              <w:rPr>
                <w:rFonts w:eastAsia="Arial"/>
                <w:szCs w:val="22"/>
              </w:rPr>
            </w:pPr>
            <w:r w:rsidRPr="00256982">
              <w:rPr>
                <w:rFonts w:eastAsia="Arial"/>
                <w:szCs w:val="22"/>
              </w:rPr>
              <w:t>0.25 ± 90%</w:t>
            </w:r>
          </w:p>
          <w:p w14:paraId="4466E11C" w14:textId="77777777" w:rsidR="00380BE7" w:rsidRPr="00256982" w:rsidRDefault="00380BE7" w:rsidP="009574E7">
            <w:pPr>
              <w:pStyle w:val="TableText"/>
              <w:rPr>
                <w:rFonts w:eastAsia="Arial"/>
                <w:szCs w:val="22"/>
              </w:rPr>
            </w:pPr>
            <w:r w:rsidRPr="00256982">
              <w:rPr>
                <w:rFonts w:eastAsia="Arial"/>
                <w:szCs w:val="22"/>
              </w:rPr>
              <w:t>2.5 ± 90%</w:t>
            </w:r>
          </w:p>
        </w:tc>
        <w:tc>
          <w:tcPr>
            <w:tcW w:w="3118" w:type="dxa"/>
            <w:tcBorders>
              <w:top w:val="single" w:sz="8" w:space="0" w:color="365F91"/>
              <w:bottom w:val="single" w:sz="8" w:space="0" w:color="365F91"/>
            </w:tcBorders>
            <w:shd w:val="clear" w:color="auto" w:fill="auto"/>
          </w:tcPr>
          <w:p w14:paraId="39D6B95A" w14:textId="77777777" w:rsidR="00380BE7" w:rsidRPr="00256982" w:rsidRDefault="00380BE7" w:rsidP="009574E7">
            <w:pPr>
              <w:pStyle w:val="TableText"/>
              <w:rPr>
                <w:rFonts w:eastAsia="Arial"/>
                <w:szCs w:val="22"/>
              </w:rPr>
            </w:pPr>
            <w:r w:rsidRPr="00256982">
              <w:rPr>
                <w:rFonts w:eastAsia="Arial"/>
                <w:szCs w:val="22"/>
              </w:rPr>
              <w:t>IPCC (2006a, section 6.2.3.2, table 6.3)</w:t>
            </w:r>
          </w:p>
        </w:tc>
      </w:tr>
      <w:tr w:rsidR="00380BE7" w:rsidRPr="00256982" w14:paraId="2BBD3942" w14:textId="77777777" w:rsidTr="000310E4">
        <w:tc>
          <w:tcPr>
            <w:tcW w:w="1701" w:type="dxa"/>
            <w:tcBorders>
              <w:right w:val="nil"/>
            </w:tcBorders>
            <w:shd w:val="clear" w:color="auto" w:fill="auto"/>
          </w:tcPr>
          <w:p w14:paraId="52A02414" w14:textId="77777777" w:rsidR="00380BE7" w:rsidRPr="00256982" w:rsidRDefault="00380BE7" w:rsidP="009574E7">
            <w:pPr>
              <w:pStyle w:val="TableText"/>
              <w:rPr>
                <w:rFonts w:eastAsia="Arial"/>
                <w:szCs w:val="22"/>
              </w:rPr>
            </w:pPr>
            <w:r w:rsidRPr="00256982">
              <w:rPr>
                <w:rFonts w:eastAsia="Arial"/>
                <w:szCs w:val="22"/>
              </w:rPr>
              <w:t xml:space="preserve">Wetlands </w:t>
            </w:r>
          </w:p>
        </w:tc>
        <w:tc>
          <w:tcPr>
            <w:tcW w:w="1560" w:type="dxa"/>
            <w:shd w:val="clear" w:color="auto" w:fill="auto"/>
          </w:tcPr>
          <w:p w14:paraId="64950647" w14:textId="77777777" w:rsidR="00380BE7" w:rsidRPr="00256982" w:rsidRDefault="00380BE7" w:rsidP="009574E7">
            <w:pPr>
              <w:pStyle w:val="TableText"/>
              <w:rPr>
                <w:rFonts w:eastAsia="Arial"/>
                <w:szCs w:val="22"/>
              </w:rPr>
            </w:pPr>
            <w:r w:rsidRPr="00256982">
              <w:rPr>
                <w:rFonts w:eastAsia="Arial"/>
                <w:szCs w:val="22"/>
              </w:rPr>
              <w:t>NA</w:t>
            </w:r>
          </w:p>
        </w:tc>
        <w:tc>
          <w:tcPr>
            <w:tcW w:w="2126" w:type="dxa"/>
            <w:shd w:val="clear" w:color="auto" w:fill="auto"/>
          </w:tcPr>
          <w:p w14:paraId="441ECB07" w14:textId="77777777" w:rsidR="00380BE7" w:rsidRPr="00256982" w:rsidRDefault="00380BE7" w:rsidP="009574E7">
            <w:pPr>
              <w:pStyle w:val="TableText"/>
              <w:rPr>
                <w:rFonts w:eastAsia="Arial"/>
                <w:szCs w:val="22"/>
              </w:rPr>
            </w:pPr>
            <w:r w:rsidRPr="00256982">
              <w:rPr>
                <w:rFonts w:eastAsia="Arial"/>
                <w:szCs w:val="22"/>
              </w:rPr>
              <w:t>0.2 ± 90%</w:t>
            </w:r>
          </w:p>
        </w:tc>
        <w:tc>
          <w:tcPr>
            <w:tcW w:w="3118" w:type="dxa"/>
            <w:shd w:val="clear" w:color="auto" w:fill="auto"/>
          </w:tcPr>
          <w:p w14:paraId="6C5FA155" w14:textId="77777777" w:rsidR="00380BE7" w:rsidRPr="00256982" w:rsidRDefault="00380BE7" w:rsidP="009574E7">
            <w:pPr>
              <w:pStyle w:val="TableText"/>
              <w:rPr>
                <w:rFonts w:eastAsia="Arial"/>
                <w:szCs w:val="22"/>
              </w:rPr>
            </w:pPr>
            <w:r w:rsidRPr="00256982">
              <w:rPr>
                <w:rFonts w:eastAsia="Arial"/>
                <w:szCs w:val="22"/>
              </w:rPr>
              <w:t>IPCC guidance applies to managed peatlands and flooded lands to which separate methodologies apply for soils. See IPCC, 2006a, chapter 7.</w:t>
            </w:r>
          </w:p>
        </w:tc>
      </w:tr>
      <w:tr w:rsidR="00380BE7" w:rsidRPr="00256982" w14:paraId="0338DDD9" w14:textId="77777777" w:rsidTr="000310E4">
        <w:tc>
          <w:tcPr>
            <w:tcW w:w="1701" w:type="dxa"/>
            <w:tcBorders>
              <w:top w:val="single" w:sz="8" w:space="0" w:color="365F91"/>
              <w:bottom w:val="single" w:sz="8" w:space="0" w:color="365F91"/>
              <w:right w:val="nil"/>
            </w:tcBorders>
            <w:shd w:val="clear" w:color="auto" w:fill="auto"/>
          </w:tcPr>
          <w:p w14:paraId="154A6ABA" w14:textId="77777777" w:rsidR="00380BE7" w:rsidRPr="00256982" w:rsidRDefault="00380BE7" w:rsidP="009574E7">
            <w:pPr>
              <w:pStyle w:val="TableText"/>
              <w:rPr>
                <w:rFonts w:eastAsia="Arial"/>
                <w:szCs w:val="22"/>
              </w:rPr>
            </w:pPr>
            <w:r w:rsidRPr="00256982">
              <w:rPr>
                <w:rFonts w:eastAsia="Arial"/>
                <w:szCs w:val="22"/>
              </w:rPr>
              <w:t xml:space="preserve">Settlements </w:t>
            </w:r>
          </w:p>
        </w:tc>
        <w:tc>
          <w:tcPr>
            <w:tcW w:w="1560" w:type="dxa"/>
            <w:tcBorders>
              <w:top w:val="single" w:sz="8" w:space="0" w:color="365F91"/>
              <w:bottom w:val="single" w:sz="8" w:space="0" w:color="365F91"/>
            </w:tcBorders>
            <w:shd w:val="clear" w:color="auto" w:fill="auto"/>
          </w:tcPr>
          <w:p w14:paraId="62ED1B90" w14:textId="77777777" w:rsidR="00380BE7" w:rsidRPr="00256982" w:rsidRDefault="00380BE7" w:rsidP="009574E7">
            <w:pPr>
              <w:pStyle w:val="TableText"/>
              <w:spacing w:after="0"/>
              <w:rPr>
                <w:rFonts w:eastAsia="Arial"/>
                <w:szCs w:val="22"/>
              </w:rPr>
            </w:pPr>
            <w:r w:rsidRPr="00256982">
              <w:rPr>
                <w:rFonts w:eastAsia="Arial"/>
                <w:szCs w:val="22"/>
              </w:rPr>
              <w:t>Cold temperate</w:t>
            </w:r>
          </w:p>
          <w:p w14:paraId="3D4753C8" w14:textId="77777777" w:rsidR="00380BE7" w:rsidRPr="00256982" w:rsidRDefault="00380BE7" w:rsidP="009574E7">
            <w:pPr>
              <w:pStyle w:val="TableText"/>
              <w:rPr>
                <w:rFonts w:eastAsia="Arial"/>
                <w:szCs w:val="22"/>
              </w:rPr>
            </w:pPr>
            <w:r w:rsidRPr="00256982">
              <w:rPr>
                <w:rFonts w:eastAsia="Arial"/>
                <w:szCs w:val="22"/>
              </w:rPr>
              <w:t>Warm temperate</w:t>
            </w:r>
          </w:p>
        </w:tc>
        <w:tc>
          <w:tcPr>
            <w:tcW w:w="2126" w:type="dxa"/>
            <w:tcBorders>
              <w:top w:val="single" w:sz="8" w:space="0" w:color="365F91"/>
              <w:bottom w:val="single" w:sz="8" w:space="0" w:color="365F91"/>
            </w:tcBorders>
            <w:shd w:val="clear" w:color="auto" w:fill="auto"/>
          </w:tcPr>
          <w:p w14:paraId="7465EBC8" w14:textId="77777777" w:rsidR="00380BE7" w:rsidRPr="00256982" w:rsidRDefault="00380BE7" w:rsidP="009574E7">
            <w:pPr>
              <w:pStyle w:val="TableText"/>
              <w:rPr>
                <w:rFonts w:eastAsia="Arial"/>
                <w:szCs w:val="22"/>
              </w:rPr>
            </w:pPr>
            <w:r w:rsidRPr="00256982">
              <w:rPr>
                <w:rFonts w:eastAsia="Arial"/>
                <w:szCs w:val="22"/>
              </w:rPr>
              <w:t>5.0 ± 90%</w:t>
            </w:r>
          </w:p>
          <w:p w14:paraId="0513467B" w14:textId="77777777" w:rsidR="00380BE7" w:rsidRPr="00256982" w:rsidRDefault="00380BE7" w:rsidP="009574E7">
            <w:pPr>
              <w:pStyle w:val="TableText"/>
              <w:rPr>
                <w:rFonts w:eastAsia="Arial"/>
                <w:szCs w:val="22"/>
              </w:rPr>
            </w:pPr>
            <w:r w:rsidRPr="00256982">
              <w:rPr>
                <w:rFonts w:eastAsia="Arial"/>
                <w:szCs w:val="22"/>
              </w:rPr>
              <w:t>10.0 ± 90%</w:t>
            </w:r>
          </w:p>
        </w:tc>
        <w:tc>
          <w:tcPr>
            <w:tcW w:w="3118" w:type="dxa"/>
            <w:tcBorders>
              <w:top w:val="single" w:sz="8" w:space="0" w:color="365F91"/>
              <w:bottom w:val="single" w:sz="8" w:space="0" w:color="365F91"/>
            </w:tcBorders>
            <w:shd w:val="clear" w:color="auto" w:fill="auto"/>
          </w:tcPr>
          <w:p w14:paraId="4F8382AC" w14:textId="77777777" w:rsidR="00380BE7" w:rsidRPr="00256982" w:rsidRDefault="00380BE7" w:rsidP="009574E7">
            <w:pPr>
              <w:pStyle w:val="TableText"/>
              <w:rPr>
                <w:rFonts w:eastAsia="Arial"/>
                <w:szCs w:val="22"/>
              </w:rPr>
            </w:pPr>
            <w:r w:rsidRPr="00256982">
              <w:rPr>
                <w:rFonts w:eastAsia="Arial"/>
                <w:szCs w:val="22"/>
              </w:rPr>
              <w:t>Cropland emission factors used (IPCC, 2006a, section 8.2.3.2)</w:t>
            </w:r>
          </w:p>
        </w:tc>
      </w:tr>
      <w:tr w:rsidR="00380BE7" w:rsidRPr="00256982" w14:paraId="19F44CE2" w14:textId="77777777" w:rsidTr="000310E4">
        <w:tc>
          <w:tcPr>
            <w:tcW w:w="1701" w:type="dxa"/>
            <w:tcBorders>
              <w:right w:val="nil"/>
            </w:tcBorders>
            <w:shd w:val="clear" w:color="auto" w:fill="auto"/>
          </w:tcPr>
          <w:p w14:paraId="37A38DBF" w14:textId="77777777" w:rsidR="00380BE7" w:rsidRPr="00256982" w:rsidRDefault="00380BE7" w:rsidP="009574E7">
            <w:pPr>
              <w:pStyle w:val="TableText"/>
              <w:rPr>
                <w:rFonts w:eastAsia="Arial"/>
                <w:szCs w:val="22"/>
              </w:rPr>
            </w:pPr>
            <w:r w:rsidRPr="00256982">
              <w:rPr>
                <w:rFonts w:eastAsia="Arial"/>
                <w:szCs w:val="22"/>
              </w:rPr>
              <w:t>Other land</w:t>
            </w:r>
          </w:p>
        </w:tc>
        <w:tc>
          <w:tcPr>
            <w:tcW w:w="1560" w:type="dxa"/>
            <w:shd w:val="clear" w:color="auto" w:fill="auto"/>
          </w:tcPr>
          <w:p w14:paraId="1881AFE8" w14:textId="77777777" w:rsidR="00380BE7" w:rsidRPr="00256982" w:rsidRDefault="00380BE7" w:rsidP="009574E7">
            <w:pPr>
              <w:pStyle w:val="TableText"/>
              <w:rPr>
                <w:rFonts w:eastAsia="Arial"/>
                <w:szCs w:val="22"/>
              </w:rPr>
            </w:pPr>
            <w:r w:rsidRPr="00256982">
              <w:rPr>
                <w:rFonts w:eastAsia="Arial"/>
                <w:szCs w:val="22"/>
              </w:rPr>
              <w:t>NA</w:t>
            </w:r>
          </w:p>
        </w:tc>
        <w:tc>
          <w:tcPr>
            <w:tcW w:w="2126" w:type="dxa"/>
            <w:shd w:val="clear" w:color="auto" w:fill="auto"/>
          </w:tcPr>
          <w:p w14:paraId="424627C1" w14:textId="77777777" w:rsidR="00380BE7" w:rsidRPr="00256982" w:rsidRDefault="00380BE7" w:rsidP="009574E7">
            <w:pPr>
              <w:pStyle w:val="TableText"/>
              <w:rPr>
                <w:rFonts w:eastAsia="Arial"/>
                <w:szCs w:val="22"/>
              </w:rPr>
            </w:pPr>
            <w:r w:rsidRPr="00256982">
              <w:rPr>
                <w:rFonts w:eastAsia="Arial"/>
                <w:szCs w:val="22"/>
              </w:rPr>
              <w:t>NE</w:t>
            </w:r>
          </w:p>
        </w:tc>
        <w:tc>
          <w:tcPr>
            <w:tcW w:w="3118" w:type="dxa"/>
            <w:shd w:val="clear" w:color="auto" w:fill="auto"/>
          </w:tcPr>
          <w:p w14:paraId="186FF41A" w14:textId="77777777" w:rsidR="00380BE7" w:rsidRPr="00256982" w:rsidRDefault="00380BE7" w:rsidP="009574E7">
            <w:pPr>
              <w:pStyle w:val="TableText"/>
              <w:rPr>
                <w:rFonts w:eastAsia="Arial"/>
                <w:szCs w:val="22"/>
              </w:rPr>
            </w:pPr>
            <w:r w:rsidRPr="00256982">
              <w:rPr>
                <w:rFonts w:eastAsia="Arial"/>
                <w:szCs w:val="22"/>
              </w:rPr>
              <w:t>No IPCC guidance is available (IPCC, 2006a, chapter 9.3.3)</w:t>
            </w:r>
          </w:p>
        </w:tc>
      </w:tr>
    </w:tbl>
    <w:p w14:paraId="4C363FDC" w14:textId="77777777" w:rsidR="00380BE7" w:rsidRPr="00256982" w:rsidRDefault="00380BE7" w:rsidP="00380BE7">
      <w:pPr>
        <w:pStyle w:val="Noteundertable"/>
      </w:pPr>
      <w:r w:rsidRPr="00256982">
        <w:rPr>
          <w:b/>
        </w:rPr>
        <w:t>Note:</w:t>
      </w:r>
      <w:r w:rsidRPr="00256982">
        <w:tab/>
        <w:t xml:space="preserve">NA = not applicable; NE = not estimated. </w:t>
      </w:r>
    </w:p>
    <w:p w14:paraId="583CB8E1" w14:textId="77777777" w:rsidR="00380BE7" w:rsidRPr="00256982" w:rsidRDefault="00380BE7" w:rsidP="00380BE7">
      <w:pPr>
        <w:pStyle w:val="Heading3"/>
      </w:pPr>
      <w:bookmarkStart w:id="1231" w:name="_Toc255466316"/>
      <w:bookmarkStart w:id="1232" w:name="_Toc261513123"/>
      <w:bookmarkStart w:id="1233" w:name="_Toc261513736"/>
      <w:bookmarkStart w:id="1234" w:name="_Toc280630217"/>
      <w:r w:rsidRPr="00256982">
        <w:t>6.3.3</w:t>
      </w:r>
      <w:r w:rsidRPr="00256982">
        <w:tab/>
        <w:t>Uncertainties and time-series consistency</w:t>
      </w:r>
      <w:bookmarkEnd w:id="1231"/>
      <w:bookmarkEnd w:id="1232"/>
      <w:bookmarkEnd w:id="1233"/>
      <w:bookmarkEnd w:id="1234"/>
    </w:p>
    <w:p w14:paraId="2C8D8766" w14:textId="77777777" w:rsidR="00380BE7" w:rsidRPr="00256982" w:rsidRDefault="00380BE7" w:rsidP="00380BE7">
      <w:pPr>
        <w:pStyle w:val="Heading5"/>
        <w:spacing w:before="120"/>
        <w:rPr>
          <w:rFonts w:eastAsia="Calibri"/>
        </w:rPr>
      </w:pPr>
      <w:r w:rsidRPr="00256982">
        <w:rPr>
          <w:rFonts w:eastAsia="Calibri"/>
        </w:rPr>
        <w:t>Mineral soils</w:t>
      </w:r>
    </w:p>
    <w:p w14:paraId="4C9030F7" w14:textId="77777777" w:rsidR="00380BE7" w:rsidRPr="00256982" w:rsidRDefault="00380BE7" w:rsidP="00380BE7">
      <w:pPr>
        <w:pStyle w:val="BodyText"/>
      </w:pPr>
      <w:r w:rsidRPr="00256982">
        <w:t xml:space="preserve">For the most part, uncertainties associated with the model coefficients (see table 6.3.2) are substantially reduced from the Tier 1 default value of 95 per cent. Land uses with higher uncertainties are those with few data points, such as </w:t>
      </w:r>
      <w:r w:rsidRPr="00256982">
        <w:rPr>
          <w:i/>
        </w:rPr>
        <w:t>Other land</w:t>
      </w:r>
      <w:r w:rsidRPr="00256982">
        <w:t>, or are dominant land uses in the country and, thus, occur across a wide range of environmental conditions, such as low</w:t>
      </w:r>
      <w:r w:rsidRPr="00256982">
        <w:rPr>
          <w:i/>
        </w:rPr>
        <w:t xml:space="preserve"> </w:t>
      </w:r>
      <w:r w:rsidRPr="00256982">
        <w:t xml:space="preserve">producing grassland. </w:t>
      </w:r>
    </w:p>
    <w:p w14:paraId="52B3568F" w14:textId="77777777" w:rsidR="00380BE7" w:rsidRPr="00256982" w:rsidRDefault="00380BE7" w:rsidP="00380BE7">
      <w:pPr>
        <w:pStyle w:val="BodyText"/>
      </w:pPr>
      <w:r w:rsidRPr="00256982">
        <w:t>Uncertainties also arise from lack of soil carbon data for some soil, climate and land use combinations (Scott et al., 2002), and from variations in site selection, sample collection and laboratory analysis with data from different sources and time periods (Baisden et al., unpublished(b)). Other uncertainties in the Soil CMS model include: the assumption that soil carbon reaches steady state in all land uses and that there is a 20-year linear transition period to reach steady state; lack of soil carbon data and soil carbon change estimates below 0.3 metres; potential carbon losses from mass-movement erosion; and a possible interaction between land use and the soil–climate classification (Tate et al., 2004, 2005).</w:t>
      </w:r>
    </w:p>
    <w:p w14:paraId="450C9C31" w14:textId="77777777" w:rsidR="00380BE7" w:rsidRPr="00256982" w:rsidRDefault="00380BE7" w:rsidP="00380BE7">
      <w:pPr>
        <w:pStyle w:val="BodyText"/>
      </w:pPr>
      <w:r w:rsidRPr="00256982">
        <w:t xml:space="preserve">Work completed since 2005 has increased the number and distribution of soil samples that are included in the model. This has led to a reduction in the uncertainties for the land use effects, meaning all land use transitions, except for those involving </w:t>
      </w:r>
      <w:r w:rsidRPr="00256982">
        <w:rPr>
          <w:i/>
        </w:rPr>
        <w:t>Other land</w:t>
      </w:r>
      <w:r w:rsidRPr="00256982">
        <w:t xml:space="preserve">, are now significant in the multi-comparison sense (McNeill and Barringer, unpublished). </w:t>
      </w:r>
    </w:p>
    <w:p w14:paraId="0FD0E164" w14:textId="77777777" w:rsidR="00380BE7" w:rsidRPr="00256982" w:rsidRDefault="00380BE7" w:rsidP="00380BE7">
      <w:pPr>
        <w:pStyle w:val="Heading5"/>
        <w:rPr>
          <w:rFonts w:eastAsia="Calibri"/>
        </w:rPr>
      </w:pPr>
      <w:r w:rsidRPr="00256982">
        <w:rPr>
          <w:rFonts w:eastAsia="Calibri"/>
        </w:rPr>
        <w:t>Organic soils</w:t>
      </w:r>
    </w:p>
    <w:p w14:paraId="5B6367C8" w14:textId="77777777" w:rsidR="00380BE7" w:rsidRPr="00256982" w:rsidRDefault="00380BE7" w:rsidP="00380BE7">
      <w:pPr>
        <w:pStyle w:val="BodyText"/>
      </w:pPr>
      <w:r w:rsidRPr="00256982">
        <w:t xml:space="preserve">New Zealand uses the IPCC Tier 1 default value for uncertainty of organic soils under the categories </w:t>
      </w:r>
      <w:r w:rsidRPr="00256982">
        <w:rPr>
          <w:i/>
        </w:rPr>
        <w:t>Forest</w:t>
      </w:r>
      <w:r w:rsidRPr="00256982">
        <w:t xml:space="preserve"> </w:t>
      </w:r>
      <w:r w:rsidRPr="00256982">
        <w:rPr>
          <w:i/>
        </w:rPr>
        <w:t>land</w:t>
      </w:r>
      <w:r w:rsidRPr="00256982">
        <w:t xml:space="preserve">, </w:t>
      </w:r>
      <w:r w:rsidRPr="00256982">
        <w:rPr>
          <w:i/>
        </w:rPr>
        <w:t>Grassland</w:t>
      </w:r>
      <w:r w:rsidRPr="00256982">
        <w:t xml:space="preserve">, </w:t>
      </w:r>
      <w:r w:rsidRPr="00256982">
        <w:rPr>
          <w:i/>
        </w:rPr>
        <w:t>Cropland, Wetlands</w:t>
      </w:r>
      <w:r w:rsidRPr="00256982">
        <w:t xml:space="preserve"> and </w:t>
      </w:r>
      <w:r w:rsidRPr="00256982">
        <w:rPr>
          <w:i/>
        </w:rPr>
        <w:t>Settlements</w:t>
      </w:r>
      <w:r w:rsidRPr="00256982">
        <w:t>, as given in the 2006 IPCC Guidelines (2006a, tables 4.6, 5.6, 6.3 and 7.4). These values vary from 40 per cent for managed forests to 90 per cent for the other land uses.</w:t>
      </w:r>
    </w:p>
    <w:p w14:paraId="0F91552D" w14:textId="77777777" w:rsidR="00380BE7" w:rsidRPr="00256982" w:rsidRDefault="00380BE7" w:rsidP="00380BE7">
      <w:pPr>
        <w:pStyle w:val="BodyText"/>
      </w:pPr>
      <w:r w:rsidRPr="00256982">
        <w:t>Further detail on uncertainty for each land use is discussed in the appropriate category sections. The same method is used for all years of reporting to ensure time-series consistency.</w:t>
      </w:r>
    </w:p>
    <w:p w14:paraId="557D59F1" w14:textId="77777777" w:rsidR="00380BE7" w:rsidRPr="00256982" w:rsidRDefault="00380BE7" w:rsidP="00380BE7">
      <w:pPr>
        <w:pStyle w:val="Heading3"/>
        <w:spacing w:before="240"/>
      </w:pPr>
      <w:bookmarkStart w:id="1235" w:name="_Toc255466317"/>
      <w:bookmarkStart w:id="1236" w:name="_Toc261513124"/>
      <w:bookmarkStart w:id="1237" w:name="_Toc261513737"/>
      <w:bookmarkStart w:id="1238" w:name="_Toc280630218"/>
      <w:r w:rsidRPr="00256982">
        <w:t>6.3.4</w:t>
      </w:r>
      <w:r w:rsidRPr="00256982">
        <w:tab/>
        <w:t>Source-specific QA/QC and verification</w:t>
      </w:r>
      <w:bookmarkEnd w:id="1235"/>
      <w:bookmarkEnd w:id="1236"/>
      <w:bookmarkEnd w:id="1237"/>
      <w:bookmarkEnd w:id="1238"/>
    </w:p>
    <w:p w14:paraId="44F04E0A" w14:textId="77777777" w:rsidR="00380BE7" w:rsidRPr="00256982" w:rsidRDefault="00380BE7" w:rsidP="00380BE7">
      <w:pPr>
        <w:pStyle w:val="BodyText"/>
      </w:pPr>
      <w:r w:rsidRPr="00256982">
        <w:t>Quality-control and quality-assurance procedures have been adopted for all data collection and data analyses, to be consistent with 2006 IPCC Guidelines</w:t>
      </w:r>
      <w:r w:rsidRPr="00256982" w:rsidDel="00663F9D">
        <w:t xml:space="preserve"> </w:t>
      </w:r>
      <w:r w:rsidRPr="00256982">
        <w:t>(IPCC, 2006a) and New Zealand’s inventory quality-control and quality-assurance plan:</w:t>
      </w:r>
    </w:p>
    <w:p w14:paraId="51EEA727" w14:textId="77777777" w:rsidR="00380BE7" w:rsidRPr="00256982" w:rsidRDefault="00380BE7" w:rsidP="00380BE7">
      <w:pPr>
        <w:pStyle w:val="Bullet"/>
        <w:numPr>
          <w:ilvl w:val="0"/>
          <w:numId w:val="8"/>
        </w:numPr>
      </w:pPr>
      <w:r w:rsidRPr="00256982">
        <w:lastRenderedPageBreak/>
        <w:t>details of the quality-management system for data collection, laboratory analyses and database management of the NSD are given in Wilde (2003)</w:t>
      </w:r>
    </w:p>
    <w:p w14:paraId="4B8F74FC" w14:textId="77777777" w:rsidR="00380BE7" w:rsidRPr="00256982" w:rsidRDefault="00380BE7" w:rsidP="00380BE7">
      <w:pPr>
        <w:pStyle w:val="Bullet"/>
        <w:numPr>
          <w:ilvl w:val="0"/>
          <w:numId w:val="8"/>
        </w:numPr>
      </w:pPr>
      <w:r w:rsidRPr="00256982">
        <w:t>recent data collection, analyses and management methods are subject to the soils quality-control and quality-assurance plan</w:t>
      </w:r>
    </w:p>
    <w:p w14:paraId="5987BE03" w14:textId="77777777" w:rsidR="00380BE7" w:rsidRPr="00256982" w:rsidRDefault="00380BE7" w:rsidP="00380BE7">
      <w:pPr>
        <w:pStyle w:val="Bullet"/>
        <w:numPr>
          <w:ilvl w:val="0"/>
          <w:numId w:val="8"/>
        </w:numPr>
        <w:rPr>
          <w:rFonts w:eastAsia="Calibri"/>
        </w:rPr>
      </w:pPr>
      <w:r w:rsidRPr="00256982">
        <w:t>the consolidated soils data set used within the Soil CMS model has been subject to further quality-assurance</w:t>
      </w:r>
      <w:r w:rsidRPr="00256982">
        <w:rPr>
          <w:rFonts w:eastAsia="Calibri"/>
        </w:rPr>
        <w:t xml:space="preserve"> procedures (Fraser et al., </w:t>
      </w:r>
      <w:r w:rsidRPr="00256982">
        <w:t>unpublished</w:t>
      </w:r>
      <w:r w:rsidRPr="00256982">
        <w:rPr>
          <w:rFonts w:eastAsia="Calibri"/>
        </w:rPr>
        <w:t>).</w:t>
      </w:r>
    </w:p>
    <w:p w14:paraId="47916A75" w14:textId="77777777" w:rsidR="00380BE7" w:rsidRPr="00256982" w:rsidRDefault="00380BE7" w:rsidP="00380BE7">
      <w:pPr>
        <w:pStyle w:val="BodyText"/>
      </w:pPr>
      <w:r w:rsidRPr="00256982">
        <w:t>The Soil CMS model has been subject to various forms of testing, validation and recalibration. Testing of the Soil CMS model was completed to evaluate its ability to predict SOC stocks at regional and local scales. The results from the Soil CMS have been compared against independent, stratified soil sampling for South Island low</w:t>
      </w:r>
      <w:r w:rsidRPr="00256982">
        <w:rPr>
          <w:i/>
        </w:rPr>
        <w:t xml:space="preserve"> </w:t>
      </w:r>
      <w:r w:rsidRPr="00256982">
        <w:t>producing grassland (Scott et al., 2002) and for an area of the South Island containing a range of land-cover and soil-climate categories (Tate et al., 2003a, 2003b). A regional-scale validation exercise has also been performed using the largest climate–soil–land use combination cell, moist temperate and volcanic × high producing grassland, within dependent random sampling of 12 profiles taken on a fixed grid over a large area (2,000 square kilometres). Mean values derived from the random sampling were well within the 95 per cent confidence limits of the database values (Tate et al., 2005; Wilde et al., 2004). A second study validated the Soil CMS model for a different cell, dry temperate – high-activity clay – low</w:t>
      </w:r>
      <w:r w:rsidRPr="00256982">
        <w:rPr>
          <w:i/>
        </w:rPr>
        <w:t xml:space="preserve"> </w:t>
      </w:r>
      <w:r w:rsidRPr="00256982">
        <w:t>producing grassland, finding no significant differences among field data, calibration data and model estimates (Hedley et al., 2012). Overall, tests have indicated that the Soil CMS model estimates SOC stocks reasonably well at a range of scales (Tate et al., 2005).</w:t>
      </w:r>
    </w:p>
    <w:p w14:paraId="30ADDD87" w14:textId="77777777" w:rsidR="00380BE7" w:rsidRPr="00256982" w:rsidRDefault="00380BE7" w:rsidP="00380BE7">
      <w:pPr>
        <w:pStyle w:val="BodyText"/>
      </w:pPr>
      <w:r w:rsidRPr="00256982">
        <w:t xml:space="preserve">The system has also been validated for its ability to predict soil carbon changes between land uses at steady state for New Zealand’s main land-use change, grassland converted to planted forest. This was done by comparing the Soil CMS results with estimates based on paired sites (Baisden et al., unpublished(a); Tate et al., 2003a). This validation approach compares two nearby sites that have reasonably uniform morphological properties and were previously under a single land use, for which one site has changed to a different land use and sufficient time has elapsed for it to reach steady state values for soil carbon (Baisden et al., unpublished(a), unpublished(b)). This removes the influence that differing soil types, differing climatic conditions and previous land use regimes may have on soil carbon. Therefore, any resulting changes in soil carbon can be attributed to the most recent change in land use. In one study, results indicated that, once a weighting for forest species type was applied to the paired-site data set (to remove potential bias because </w:t>
      </w:r>
      <w:r w:rsidRPr="00256982">
        <w:rPr>
          <w:i/>
          <w:iCs/>
        </w:rPr>
        <w:t xml:space="preserve">Pinus radiata </w:t>
      </w:r>
      <w:r w:rsidRPr="00256982">
        <w:t>was under-represented in the analysis), the predictions of mean soil carbon from the Soil CMS model and paired sites were in agreement within 95 per cent confidence intervals (Baisden et al., unpublished(a), unpublished(b)). In a more recent study comparing low</w:t>
      </w:r>
      <w:r w:rsidRPr="00256982">
        <w:rPr>
          <w:i/>
        </w:rPr>
        <w:t xml:space="preserve"> </w:t>
      </w:r>
      <w:r w:rsidRPr="00256982">
        <w:t>producing grassland and pre-1990 planted forests (Hewitt et al., 2012), the measured decrease in SOC under pre-1990 planted forest (–17.4 tonnes ha</w:t>
      </w:r>
      <w:r w:rsidRPr="00256982">
        <w:rPr>
          <w:vertAlign w:val="superscript"/>
        </w:rPr>
        <w:t>–1</w:t>
      </w:r>
      <w:r w:rsidRPr="00256982">
        <w:t>) matched that determined by the Soil CMS model (McNeill et al., unpublished). This supported the Soil CMS model estimate (both in magnitude and direction) that forests planted pre-1990 have significantly lower SOC stocks than the low</w:t>
      </w:r>
      <w:r w:rsidRPr="00256982">
        <w:rPr>
          <w:i/>
        </w:rPr>
        <w:t xml:space="preserve"> </w:t>
      </w:r>
      <w:r w:rsidRPr="00256982">
        <w:t>producing grassland and that the sampling depth of 0.3 metres was adequate for the estimation of SOC stock change.</w:t>
      </w:r>
    </w:p>
    <w:p w14:paraId="19184169" w14:textId="77777777" w:rsidR="00380BE7" w:rsidRPr="00256982" w:rsidRDefault="00380BE7" w:rsidP="00380BE7">
      <w:pPr>
        <w:pStyle w:val="BodyText"/>
      </w:pPr>
      <w:r w:rsidRPr="00256982">
        <w:t xml:space="preserve">The carbon stock estimates produced by the Soil CMS model reflect the type of soils in New Zealand (over 50 per cent being high activity clay soils) and the history of land use (fairly recent human settlement and forest clearance when compared with many other countries). As a comparison, when New Zealand reported using the Tier 1 default methodology (as in the 2011 submission), low producing grassland had the second highest SOC stock of all land uses (the highest being high producing grassland). The SOC stock for low producing grassland was also higher than for pre-1990 natural forests in that analysis. </w:t>
      </w:r>
    </w:p>
    <w:p w14:paraId="529229EB" w14:textId="77777777" w:rsidR="00380BE7" w:rsidRPr="00256982" w:rsidRDefault="00380BE7" w:rsidP="00380BE7">
      <w:pPr>
        <w:pStyle w:val="Heading3"/>
      </w:pPr>
      <w:bookmarkStart w:id="1239" w:name="_Toc255466318"/>
      <w:bookmarkStart w:id="1240" w:name="_Toc261513125"/>
      <w:bookmarkStart w:id="1241" w:name="_Toc261513738"/>
      <w:bookmarkStart w:id="1242" w:name="_Toc280630219"/>
      <w:r w:rsidRPr="00256982">
        <w:lastRenderedPageBreak/>
        <w:t>6.3.5</w:t>
      </w:r>
      <w:r w:rsidRPr="00256982">
        <w:tab/>
        <w:t>Source-specific planned improvements</w:t>
      </w:r>
      <w:bookmarkEnd w:id="1239"/>
      <w:bookmarkEnd w:id="1240"/>
      <w:bookmarkEnd w:id="1241"/>
      <w:bookmarkEnd w:id="1242"/>
    </w:p>
    <w:p w14:paraId="4C5EEEDE" w14:textId="77777777" w:rsidR="00380BE7" w:rsidRPr="00256982" w:rsidRDefault="00380BE7" w:rsidP="00380BE7">
      <w:pPr>
        <w:pStyle w:val="BodyText"/>
      </w:pPr>
      <w:r w:rsidRPr="00256982">
        <w:t xml:space="preserve">Improvement activities include continuing to source empirical SOC data for under-represented land use categories and activity data. </w:t>
      </w:r>
    </w:p>
    <w:p w14:paraId="70FE93F6" w14:textId="77777777" w:rsidR="00380BE7" w:rsidRPr="00256982" w:rsidRDefault="00380BE7" w:rsidP="001A0825">
      <w:pPr>
        <w:pStyle w:val="Heading2"/>
        <w:spacing w:before="280"/>
      </w:pPr>
      <w:bookmarkStart w:id="1243" w:name="_Toc373395710"/>
      <w:bookmarkStart w:id="1244" w:name="_Toc391024700"/>
      <w:bookmarkStart w:id="1245" w:name="_Toc414531317"/>
      <w:bookmarkStart w:id="1246" w:name="_Toc474335459"/>
      <w:bookmarkStart w:id="1247" w:name="_Toc481751399"/>
      <w:bookmarkStart w:id="1248" w:name="_Toc522013951"/>
      <w:bookmarkStart w:id="1249" w:name="_Toc5269376"/>
      <w:r w:rsidRPr="00256982">
        <w:t>6.4</w:t>
      </w:r>
      <w:r w:rsidRPr="00256982">
        <w:tab/>
        <w:t>Forest land (CRF 4A)</w:t>
      </w:r>
      <w:bookmarkEnd w:id="1243"/>
      <w:bookmarkEnd w:id="1244"/>
      <w:bookmarkEnd w:id="1245"/>
      <w:bookmarkEnd w:id="1246"/>
      <w:bookmarkEnd w:id="1247"/>
      <w:bookmarkEnd w:id="1248"/>
      <w:bookmarkEnd w:id="1249"/>
    </w:p>
    <w:p w14:paraId="717F31FC" w14:textId="77777777" w:rsidR="00380BE7" w:rsidRPr="00256982" w:rsidRDefault="00380BE7" w:rsidP="001A0825">
      <w:pPr>
        <w:pStyle w:val="Heading3"/>
        <w:spacing w:before="200"/>
      </w:pPr>
      <w:bookmarkStart w:id="1250" w:name="_Toc255466325"/>
      <w:bookmarkStart w:id="1251" w:name="_Toc261513132"/>
      <w:bookmarkStart w:id="1252" w:name="_Toc261513745"/>
      <w:bookmarkStart w:id="1253" w:name="_Toc280630241"/>
      <w:bookmarkStart w:id="1254" w:name="_Toc373395711"/>
      <w:r w:rsidRPr="00256982">
        <w:t>6.4.1</w:t>
      </w:r>
      <w:r w:rsidRPr="00256982">
        <w:tab/>
        <w:t>Description</w:t>
      </w:r>
      <w:bookmarkEnd w:id="1250"/>
      <w:bookmarkEnd w:id="1251"/>
      <w:bookmarkEnd w:id="1252"/>
      <w:bookmarkEnd w:id="1253"/>
      <w:bookmarkEnd w:id="1254"/>
    </w:p>
    <w:p w14:paraId="37AD86DC" w14:textId="77777777" w:rsidR="00380BE7" w:rsidRPr="00256982" w:rsidRDefault="00380BE7" w:rsidP="00742C7B">
      <w:pPr>
        <w:pStyle w:val="BodyText"/>
        <w:spacing w:before="100" w:after="100"/>
      </w:pPr>
      <w:r w:rsidRPr="00256982">
        <w:t xml:space="preserve">In </w:t>
      </w:r>
      <w:r w:rsidRPr="00256982">
        <w:rPr>
          <w:i/>
        </w:rPr>
        <w:t>New Zealand’s</w:t>
      </w:r>
      <w:r w:rsidRPr="00256982">
        <w:t xml:space="preserve"> </w:t>
      </w:r>
      <w:r w:rsidRPr="00256982">
        <w:rPr>
          <w:i/>
        </w:rPr>
        <w:t>Initial Report under the Kyoto Protocol</w:t>
      </w:r>
      <w:r w:rsidRPr="00256982">
        <w:t xml:space="preserve"> (Ministry for the Environment, 2006), national forest definition parameters were specified as required by Decision 16/CMP.1 (UNFCCC, 2006). The New Zealand parameters are a minimum area of 1 hectare, a height of 5 metres and a minimum crown cover of 30 per cent. Where the height and canopy cover parameters are not met at the time of mapping, the land has been classified as </w:t>
      </w:r>
      <w:r w:rsidRPr="00256982">
        <w:rPr>
          <w:i/>
        </w:rPr>
        <w:t>Forest land</w:t>
      </w:r>
      <w:r w:rsidRPr="00256982">
        <w:t xml:space="preserve"> if the land-management practice(s) and local site conditions (including climate) are such that the forest parameters will be met over a 30- to 40-year timeframe. </w:t>
      </w:r>
    </w:p>
    <w:p w14:paraId="171B7892" w14:textId="77777777" w:rsidR="00380BE7" w:rsidRPr="00256982" w:rsidRDefault="00380BE7" w:rsidP="00742C7B">
      <w:pPr>
        <w:pStyle w:val="BodyText"/>
        <w:spacing w:before="100" w:after="100"/>
      </w:pPr>
      <w:r w:rsidRPr="00256982">
        <w:t xml:space="preserve">New Zealand also uses a minimum forest width of 30 metres from canopy edge to canopy edge. This removes linear shelterbelts from the </w:t>
      </w:r>
      <w:r w:rsidRPr="00256982">
        <w:rPr>
          <w:i/>
        </w:rPr>
        <w:t>Forest land</w:t>
      </w:r>
      <w:r w:rsidRPr="00256982">
        <w:t xml:space="preserve"> category because they are not on land managed as forest. The width and height of linear shelterbelts can vary because they are trimmed and topped from time to time. Furthermore, they form part of non-forest land uses, namely </w:t>
      </w:r>
      <w:r w:rsidRPr="00256982">
        <w:rPr>
          <w:i/>
        </w:rPr>
        <w:t>Cropland</w:t>
      </w:r>
      <w:r w:rsidRPr="00256982">
        <w:t xml:space="preserve"> and </w:t>
      </w:r>
      <w:r w:rsidRPr="00256982">
        <w:rPr>
          <w:i/>
        </w:rPr>
        <w:t>Grassland</w:t>
      </w:r>
      <w:r w:rsidRPr="00256982">
        <w:t xml:space="preserve"> (as shelter to crops and/or animals). </w:t>
      </w:r>
    </w:p>
    <w:p w14:paraId="13ED39EE" w14:textId="77777777" w:rsidR="00380BE7" w:rsidRPr="00256982" w:rsidRDefault="00380BE7" w:rsidP="00742C7B">
      <w:pPr>
        <w:pStyle w:val="BodyText"/>
        <w:spacing w:before="100" w:after="100"/>
      </w:pPr>
      <w:r w:rsidRPr="00256982">
        <w:t xml:space="preserve">New Zealand has adopted the definition of managed </w:t>
      </w:r>
      <w:r w:rsidRPr="00256982">
        <w:rPr>
          <w:i/>
        </w:rPr>
        <w:t>Forest land</w:t>
      </w:r>
      <w:r w:rsidRPr="00256982">
        <w:t xml:space="preserve"> as provided in the 2006 IPCC Guidelines (IPCC, 2006a, p 1.5): “Managed land is land where human interventions and practices have been applied to perform production, ecological or social functions”. Accordingly, all of New Zealand’s forests, both those planted for timber production and natural forests managed for conservation values, are considered managed forests.</w:t>
      </w:r>
    </w:p>
    <w:p w14:paraId="0ED41E7B" w14:textId="77777777" w:rsidR="00380BE7" w:rsidRPr="00256982" w:rsidRDefault="00380BE7" w:rsidP="00742C7B">
      <w:pPr>
        <w:pStyle w:val="BodyText"/>
        <w:spacing w:before="100" w:after="100"/>
      </w:pPr>
      <w:r w:rsidRPr="00256982">
        <w:rPr>
          <w:i/>
        </w:rPr>
        <w:t>Forest land</w:t>
      </w:r>
      <w:r w:rsidRPr="00256982">
        <w:t xml:space="preserve"> is the most significant contributor to carbon stock changes in the LULUCF sector. In 2017, forests covered 36.9 per cent (just under 10 million hectares) of New Zealand’s total land area. In 2017, </w:t>
      </w:r>
      <w:r w:rsidRPr="00256982">
        <w:rPr>
          <w:i/>
        </w:rPr>
        <w:t>Forest land</w:t>
      </w:r>
      <w:r w:rsidRPr="00256982">
        <w:t xml:space="preserve"> contributed –21,760.7</w:t>
      </w:r>
      <w:r w:rsidRPr="00256982">
        <w:rPr>
          <w:rFonts w:cs="Arial"/>
          <w:bCs/>
          <w:szCs w:val="16"/>
        </w:rPr>
        <w:t xml:space="preserve"> </w:t>
      </w:r>
      <w:r w:rsidRPr="00256982">
        <w:t>kt CO</w:t>
      </w:r>
      <w:r w:rsidRPr="00256982">
        <w:rPr>
          <w:vertAlign w:val="subscript"/>
        </w:rPr>
        <w:t>2</w:t>
      </w:r>
      <w:r w:rsidRPr="00256982">
        <w:t xml:space="preserve">-e of net emissions. This does not include emissions for the </w:t>
      </w:r>
      <w:r w:rsidRPr="00256982">
        <w:rPr>
          <w:i/>
        </w:rPr>
        <w:t>Harvested wood products</w:t>
      </w:r>
      <w:r w:rsidRPr="00256982">
        <w:t xml:space="preserve"> category, which are reported separately within the CRF Reporter. The </w:t>
      </w:r>
      <w:r w:rsidRPr="00256982">
        <w:rPr>
          <w:i/>
        </w:rPr>
        <w:t>Harvested wood products</w:t>
      </w:r>
      <w:r w:rsidRPr="00256982">
        <w:t xml:space="preserve"> category and calculation of emissions are reported in section 6.10. </w:t>
      </w:r>
    </w:p>
    <w:p w14:paraId="7AA1FEF1" w14:textId="77777777" w:rsidR="00380BE7" w:rsidRPr="00256982" w:rsidRDefault="00380BE7" w:rsidP="00380BE7">
      <w:pPr>
        <w:pStyle w:val="BodyText"/>
      </w:pPr>
      <w:r w:rsidRPr="00256982">
        <w:t xml:space="preserve">Net emissions from </w:t>
      </w:r>
      <w:r w:rsidRPr="00256982">
        <w:rPr>
          <w:i/>
        </w:rPr>
        <w:t>Forest land</w:t>
      </w:r>
      <w:r w:rsidRPr="00256982">
        <w:t xml:space="preserve"> have increased by 8,130.4 kt CO</w:t>
      </w:r>
      <w:r w:rsidRPr="00256982">
        <w:rPr>
          <w:vertAlign w:val="subscript"/>
        </w:rPr>
        <w:t>2</w:t>
      </w:r>
      <w:r w:rsidRPr="00256982">
        <w:t>-e (27.2 per cent) from the 1990 level of –29,891.0 kt CO</w:t>
      </w:r>
      <w:r w:rsidRPr="00256982">
        <w:rPr>
          <w:vertAlign w:val="subscript"/>
        </w:rPr>
        <w:t>2</w:t>
      </w:r>
      <w:r w:rsidRPr="00256982">
        <w:t xml:space="preserve">-e (see table 6.4.1). </w:t>
      </w:r>
    </w:p>
    <w:p w14:paraId="33BE4E79" w14:textId="77777777" w:rsidR="00380BE7" w:rsidRPr="00256982" w:rsidRDefault="00380BE7" w:rsidP="00742C7B">
      <w:pPr>
        <w:pStyle w:val="BodyText"/>
        <w:spacing w:before="100"/>
      </w:pPr>
      <w:r w:rsidRPr="00256982">
        <w:t xml:space="preserve">In 2017, </w:t>
      </w:r>
      <w:r w:rsidRPr="00256982">
        <w:rPr>
          <w:i/>
        </w:rPr>
        <w:t>Forest land remaining forest land</w:t>
      </w:r>
      <w:r w:rsidRPr="00256982">
        <w:t xml:space="preserve"> and </w:t>
      </w:r>
      <w:r w:rsidRPr="00256982">
        <w:rPr>
          <w:i/>
        </w:rPr>
        <w:t>Land converted to forest land</w:t>
      </w:r>
      <w:r w:rsidRPr="00256982">
        <w:t xml:space="preserve"> were key categories (trend and level assessment). </w:t>
      </w:r>
    </w:p>
    <w:p w14:paraId="26D55997" w14:textId="77777777" w:rsidR="00380BE7" w:rsidRPr="00256982" w:rsidRDefault="00380BE7" w:rsidP="00380BE7">
      <w:pPr>
        <w:pStyle w:val="Table"/>
      </w:pPr>
      <w:bookmarkStart w:id="1255" w:name="_Toc280630453"/>
      <w:bookmarkStart w:id="1256" w:name="_Toc310423404"/>
      <w:bookmarkStart w:id="1257" w:name="_Toc318362697"/>
      <w:bookmarkStart w:id="1258" w:name="_Toc342470759"/>
      <w:bookmarkStart w:id="1259" w:name="_Toc352504999"/>
      <w:bookmarkStart w:id="1260" w:name="_Toc373395724"/>
      <w:bookmarkStart w:id="1261" w:name="_Toc378853290"/>
      <w:bookmarkStart w:id="1262" w:name="_Toc391024088"/>
      <w:bookmarkStart w:id="1263" w:name="_Toc410028831"/>
      <w:bookmarkStart w:id="1264" w:name="_Toc414531459"/>
      <w:bookmarkStart w:id="1265" w:name="_Toc443645372"/>
      <w:bookmarkStart w:id="1266" w:name="_Toc474914591"/>
      <w:bookmarkStart w:id="1267" w:name="_Toc481751555"/>
      <w:bookmarkStart w:id="1268" w:name="_Toc522010612"/>
      <w:bookmarkStart w:id="1269" w:name="_Toc5269517"/>
      <w:r w:rsidRPr="00256982">
        <w:t>Table 6.4.1</w:t>
      </w:r>
      <w:r w:rsidRPr="00256982">
        <w:tab/>
        <w:t>New Zealand’s land-use change for the Forest land category, and associated</w:t>
      </w:r>
      <w:r w:rsidRPr="00256982">
        <w:br/>
        <w:t>CO</w:t>
      </w:r>
      <w:r w:rsidRPr="00256982">
        <w:rPr>
          <w:vertAlign w:val="subscript"/>
        </w:rPr>
        <w:t>2</w:t>
      </w:r>
      <w:r w:rsidRPr="00256982">
        <w:t>-e emissions</w:t>
      </w:r>
      <w:bookmarkEnd w:id="1255"/>
      <w:bookmarkEnd w:id="1256"/>
      <w:bookmarkEnd w:id="1257"/>
      <w:bookmarkEnd w:id="1258"/>
      <w:bookmarkEnd w:id="1259"/>
      <w:bookmarkEnd w:id="1260"/>
      <w:bookmarkEnd w:id="1261"/>
      <w:r w:rsidRPr="00256982">
        <w:t>, in 1990 and 201</w:t>
      </w:r>
      <w:bookmarkEnd w:id="1262"/>
      <w:bookmarkEnd w:id="1263"/>
      <w:bookmarkEnd w:id="1264"/>
      <w:bookmarkEnd w:id="1265"/>
      <w:bookmarkEnd w:id="1266"/>
      <w:bookmarkEnd w:id="1267"/>
      <w:bookmarkEnd w:id="1268"/>
      <w:r w:rsidRPr="00256982">
        <w:t>7</w:t>
      </w:r>
      <w:bookmarkEnd w:id="1269"/>
    </w:p>
    <w:tbl>
      <w:tblPr>
        <w:tblW w:w="8505" w:type="dxa"/>
        <w:tblInd w:w="108" w:type="dxa"/>
        <w:tblBorders>
          <w:bottom w:val="single" w:sz="8" w:space="0" w:color="365F91"/>
        </w:tblBorders>
        <w:tblLayout w:type="fixed"/>
        <w:tblLook w:val="04A0" w:firstRow="1" w:lastRow="0" w:firstColumn="1" w:lastColumn="0" w:noHBand="0" w:noVBand="1"/>
      </w:tblPr>
      <w:tblGrid>
        <w:gridCol w:w="2694"/>
        <w:gridCol w:w="1275"/>
        <w:gridCol w:w="1276"/>
        <w:gridCol w:w="992"/>
        <w:gridCol w:w="993"/>
        <w:gridCol w:w="1275"/>
      </w:tblGrid>
      <w:tr w:rsidR="00380BE7" w:rsidRPr="00256982" w14:paraId="5887D53B" w14:textId="77777777" w:rsidTr="001A0825">
        <w:tc>
          <w:tcPr>
            <w:tcW w:w="2694" w:type="dxa"/>
            <w:vMerge w:val="restart"/>
            <w:tcBorders>
              <w:top w:val="single" w:sz="4" w:space="0" w:color="365F91"/>
              <w:bottom w:val="nil"/>
              <w:right w:val="nil"/>
            </w:tcBorders>
            <w:shd w:val="clear" w:color="auto" w:fill="365F91"/>
            <w:noWrap/>
            <w:vAlign w:val="bottom"/>
          </w:tcPr>
          <w:p w14:paraId="61DAC354" w14:textId="77777777" w:rsidR="00380BE7" w:rsidRPr="00256982" w:rsidRDefault="00380BE7" w:rsidP="009574E7">
            <w:pPr>
              <w:pStyle w:val="TableTextBold"/>
              <w:keepNext/>
              <w:keepLines/>
              <w:rPr>
                <w:rFonts w:eastAsia="Arial"/>
                <w:noProof w:val="0"/>
                <w:color w:val="FFFFFF"/>
              </w:rPr>
            </w:pPr>
            <w:r w:rsidRPr="00256982">
              <w:rPr>
                <w:rFonts w:eastAsia="Arial"/>
                <w:noProof w:val="0"/>
                <w:color w:val="FFFFFF"/>
              </w:rPr>
              <w:t>Land use category</w:t>
            </w:r>
          </w:p>
        </w:tc>
        <w:tc>
          <w:tcPr>
            <w:tcW w:w="1275" w:type="dxa"/>
            <w:vMerge w:val="restart"/>
            <w:tcBorders>
              <w:top w:val="single" w:sz="4" w:space="0" w:color="365F91"/>
              <w:bottom w:val="nil"/>
            </w:tcBorders>
            <w:shd w:val="clear" w:color="auto" w:fill="365F91"/>
            <w:noWrap/>
            <w:vAlign w:val="bottom"/>
          </w:tcPr>
          <w:p w14:paraId="208466AD" w14:textId="77777777" w:rsidR="00380BE7" w:rsidRPr="00256982" w:rsidRDefault="00380BE7" w:rsidP="009574E7">
            <w:pPr>
              <w:pStyle w:val="TableTextBold"/>
              <w:keepNext/>
              <w:keepLines/>
              <w:jc w:val="center"/>
              <w:rPr>
                <w:rFonts w:eastAsia="Arial"/>
                <w:noProof w:val="0"/>
                <w:color w:val="FFFFFF"/>
              </w:rPr>
            </w:pPr>
            <w:r w:rsidRPr="00256982">
              <w:rPr>
                <w:rFonts w:eastAsia="Arial"/>
                <w:noProof w:val="0"/>
                <w:color w:val="FFFFFF"/>
              </w:rPr>
              <w:t>Net area as at 1990 (ha)</w:t>
            </w:r>
          </w:p>
        </w:tc>
        <w:tc>
          <w:tcPr>
            <w:tcW w:w="1276" w:type="dxa"/>
            <w:vMerge w:val="restart"/>
            <w:tcBorders>
              <w:top w:val="single" w:sz="4" w:space="0" w:color="365F91"/>
              <w:bottom w:val="nil"/>
            </w:tcBorders>
            <w:shd w:val="clear" w:color="auto" w:fill="365F91"/>
            <w:noWrap/>
            <w:vAlign w:val="bottom"/>
          </w:tcPr>
          <w:p w14:paraId="1263C9AD" w14:textId="77777777" w:rsidR="00380BE7" w:rsidRPr="00256982" w:rsidRDefault="00380BE7" w:rsidP="009574E7">
            <w:pPr>
              <w:pStyle w:val="TableTextBold"/>
              <w:keepNext/>
              <w:keepLines/>
              <w:jc w:val="center"/>
              <w:rPr>
                <w:rFonts w:eastAsia="Arial"/>
                <w:noProof w:val="0"/>
                <w:color w:val="FFFFFF"/>
              </w:rPr>
            </w:pPr>
            <w:r w:rsidRPr="00256982">
              <w:rPr>
                <w:rFonts w:eastAsia="Arial"/>
                <w:noProof w:val="0"/>
                <w:color w:val="FFFFFF"/>
              </w:rPr>
              <w:t>Net area as at 2017 (ha)</w:t>
            </w:r>
          </w:p>
        </w:tc>
        <w:tc>
          <w:tcPr>
            <w:tcW w:w="1985" w:type="dxa"/>
            <w:gridSpan w:val="2"/>
            <w:tcBorders>
              <w:top w:val="single" w:sz="4" w:space="0" w:color="365F91"/>
              <w:bottom w:val="nil"/>
            </w:tcBorders>
            <w:shd w:val="clear" w:color="auto" w:fill="365F91"/>
            <w:noWrap/>
            <w:vAlign w:val="bottom"/>
          </w:tcPr>
          <w:p w14:paraId="193CA89F" w14:textId="77777777" w:rsidR="00380BE7" w:rsidRPr="00256982" w:rsidRDefault="00380BE7" w:rsidP="009574E7">
            <w:pPr>
              <w:pStyle w:val="TableTextBold"/>
              <w:keepNext/>
              <w:keepLines/>
              <w:jc w:val="center"/>
              <w:rPr>
                <w:rFonts w:eastAsia="Arial"/>
                <w:noProof w:val="0"/>
                <w:color w:val="FFFFFF"/>
              </w:rPr>
            </w:pPr>
            <w:r w:rsidRPr="00256982">
              <w:rPr>
                <w:rFonts w:eastAsia="Arial"/>
                <w:noProof w:val="0"/>
                <w:color w:val="FFFFFF"/>
              </w:rPr>
              <w:t xml:space="preserve">Net emissions </w:t>
            </w:r>
            <w:r w:rsidRPr="00256982">
              <w:rPr>
                <w:rFonts w:eastAsia="Arial"/>
                <w:noProof w:val="0"/>
                <w:color w:val="FFFFFF"/>
              </w:rPr>
              <w:br/>
              <w:t>(kt CO</w:t>
            </w:r>
            <w:r w:rsidRPr="00256982">
              <w:rPr>
                <w:rFonts w:eastAsia="Arial"/>
                <w:noProof w:val="0"/>
                <w:color w:val="FFFFFF"/>
                <w:vertAlign w:val="subscript"/>
              </w:rPr>
              <w:t>2</w:t>
            </w:r>
            <w:r w:rsidRPr="00256982">
              <w:rPr>
                <w:rFonts w:eastAsia="Arial"/>
                <w:noProof w:val="0"/>
                <w:color w:val="FFFFFF"/>
              </w:rPr>
              <w:t>-e)</w:t>
            </w:r>
          </w:p>
        </w:tc>
        <w:tc>
          <w:tcPr>
            <w:tcW w:w="1275" w:type="dxa"/>
            <w:vMerge w:val="restart"/>
            <w:tcBorders>
              <w:top w:val="single" w:sz="4" w:space="0" w:color="365F91"/>
              <w:bottom w:val="nil"/>
            </w:tcBorders>
            <w:shd w:val="clear" w:color="auto" w:fill="365F91"/>
            <w:noWrap/>
            <w:vAlign w:val="bottom"/>
          </w:tcPr>
          <w:p w14:paraId="471DAD22" w14:textId="77777777" w:rsidR="00380BE7" w:rsidRPr="00256982" w:rsidRDefault="00380BE7" w:rsidP="009574E7">
            <w:pPr>
              <w:pStyle w:val="TableTextBold"/>
              <w:keepNext/>
              <w:keepLines/>
              <w:jc w:val="center"/>
              <w:rPr>
                <w:rFonts w:eastAsia="Arial"/>
                <w:noProof w:val="0"/>
                <w:color w:val="FFFFFF"/>
              </w:rPr>
            </w:pPr>
            <w:r w:rsidRPr="00256982">
              <w:rPr>
                <w:rFonts w:eastAsia="Arial"/>
                <w:noProof w:val="0"/>
                <w:color w:val="FFFFFF"/>
              </w:rPr>
              <w:t>Change from 1990 (%)</w:t>
            </w:r>
          </w:p>
        </w:tc>
      </w:tr>
      <w:tr w:rsidR="00380BE7" w:rsidRPr="00256982" w14:paraId="471D527D" w14:textId="77777777" w:rsidTr="009574E7">
        <w:tc>
          <w:tcPr>
            <w:tcW w:w="2694" w:type="dxa"/>
            <w:vMerge/>
            <w:tcBorders>
              <w:top w:val="nil"/>
              <w:bottom w:val="nil"/>
              <w:right w:val="nil"/>
            </w:tcBorders>
            <w:shd w:val="clear" w:color="auto" w:fill="376092"/>
            <w:noWrap/>
            <w:vAlign w:val="bottom"/>
          </w:tcPr>
          <w:p w14:paraId="6E0C1724" w14:textId="77777777" w:rsidR="00380BE7" w:rsidRPr="00256982" w:rsidRDefault="00380BE7" w:rsidP="009574E7">
            <w:pPr>
              <w:pStyle w:val="TableTextBold"/>
              <w:keepNext/>
              <w:jc w:val="center"/>
              <w:rPr>
                <w:rFonts w:eastAsia="Arial"/>
                <w:noProof w:val="0"/>
                <w:color w:val="FFFFFF"/>
              </w:rPr>
            </w:pPr>
          </w:p>
        </w:tc>
        <w:tc>
          <w:tcPr>
            <w:tcW w:w="1275" w:type="dxa"/>
            <w:vMerge/>
            <w:tcBorders>
              <w:top w:val="nil"/>
              <w:bottom w:val="nil"/>
            </w:tcBorders>
            <w:shd w:val="clear" w:color="auto" w:fill="376092"/>
            <w:noWrap/>
            <w:vAlign w:val="bottom"/>
          </w:tcPr>
          <w:p w14:paraId="60E0B0B2" w14:textId="77777777" w:rsidR="00380BE7" w:rsidRPr="00256982" w:rsidRDefault="00380BE7" w:rsidP="009574E7">
            <w:pPr>
              <w:pStyle w:val="TableTextBold"/>
              <w:jc w:val="center"/>
              <w:rPr>
                <w:rFonts w:eastAsia="Arial"/>
                <w:noProof w:val="0"/>
                <w:color w:val="FFFFFF"/>
              </w:rPr>
            </w:pPr>
          </w:p>
        </w:tc>
        <w:tc>
          <w:tcPr>
            <w:tcW w:w="1276" w:type="dxa"/>
            <w:vMerge/>
            <w:tcBorders>
              <w:top w:val="nil"/>
              <w:bottom w:val="nil"/>
            </w:tcBorders>
            <w:shd w:val="clear" w:color="auto" w:fill="376092"/>
            <w:noWrap/>
            <w:vAlign w:val="bottom"/>
          </w:tcPr>
          <w:p w14:paraId="26E776CE" w14:textId="77777777" w:rsidR="00380BE7" w:rsidRPr="00256982" w:rsidRDefault="00380BE7" w:rsidP="009574E7">
            <w:pPr>
              <w:pStyle w:val="TableTextBold"/>
              <w:jc w:val="center"/>
              <w:rPr>
                <w:rFonts w:eastAsia="Arial"/>
                <w:noProof w:val="0"/>
                <w:color w:val="FFFFFF"/>
              </w:rPr>
            </w:pPr>
          </w:p>
        </w:tc>
        <w:tc>
          <w:tcPr>
            <w:tcW w:w="992" w:type="dxa"/>
            <w:tcBorders>
              <w:top w:val="nil"/>
              <w:bottom w:val="nil"/>
            </w:tcBorders>
            <w:shd w:val="clear" w:color="auto" w:fill="376092"/>
            <w:noWrap/>
            <w:vAlign w:val="bottom"/>
          </w:tcPr>
          <w:p w14:paraId="18C58405" w14:textId="77777777" w:rsidR="00380BE7" w:rsidRPr="00256982" w:rsidRDefault="00380BE7" w:rsidP="009574E7">
            <w:pPr>
              <w:pStyle w:val="TableTextBold"/>
              <w:jc w:val="center"/>
              <w:rPr>
                <w:rFonts w:eastAsia="Arial"/>
                <w:noProof w:val="0"/>
                <w:color w:val="FFFFFF"/>
              </w:rPr>
            </w:pPr>
            <w:r w:rsidRPr="00256982">
              <w:rPr>
                <w:rFonts w:eastAsia="Arial"/>
                <w:noProof w:val="0"/>
                <w:color w:val="FFFFFF"/>
              </w:rPr>
              <w:t>1990</w:t>
            </w:r>
          </w:p>
        </w:tc>
        <w:tc>
          <w:tcPr>
            <w:tcW w:w="993" w:type="dxa"/>
            <w:tcBorders>
              <w:top w:val="nil"/>
              <w:bottom w:val="nil"/>
            </w:tcBorders>
            <w:shd w:val="clear" w:color="auto" w:fill="376092"/>
            <w:noWrap/>
            <w:vAlign w:val="bottom"/>
          </w:tcPr>
          <w:p w14:paraId="6C667CB8" w14:textId="77777777" w:rsidR="00380BE7" w:rsidRPr="00256982" w:rsidRDefault="00380BE7" w:rsidP="009574E7">
            <w:pPr>
              <w:pStyle w:val="TableTextBold"/>
              <w:jc w:val="center"/>
              <w:rPr>
                <w:rFonts w:eastAsia="Arial"/>
                <w:noProof w:val="0"/>
                <w:color w:val="FFFFFF"/>
              </w:rPr>
            </w:pPr>
            <w:r w:rsidRPr="00256982">
              <w:rPr>
                <w:rFonts w:eastAsia="Arial"/>
                <w:noProof w:val="0"/>
                <w:color w:val="FFFFFF"/>
              </w:rPr>
              <w:t>2017</w:t>
            </w:r>
          </w:p>
        </w:tc>
        <w:tc>
          <w:tcPr>
            <w:tcW w:w="1275" w:type="dxa"/>
            <w:vMerge/>
            <w:tcBorders>
              <w:top w:val="nil"/>
              <w:bottom w:val="nil"/>
            </w:tcBorders>
            <w:shd w:val="clear" w:color="auto" w:fill="376092"/>
            <w:noWrap/>
            <w:vAlign w:val="bottom"/>
          </w:tcPr>
          <w:p w14:paraId="32CB94EF" w14:textId="77777777" w:rsidR="00380BE7" w:rsidRPr="00256982" w:rsidRDefault="00380BE7" w:rsidP="009574E7">
            <w:pPr>
              <w:pStyle w:val="TableTextBold"/>
              <w:jc w:val="center"/>
              <w:rPr>
                <w:rFonts w:eastAsia="Arial"/>
                <w:noProof w:val="0"/>
                <w:color w:val="FFFFFF"/>
              </w:rPr>
            </w:pPr>
          </w:p>
        </w:tc>
      </w:tr>
      <w:tr w:rsidR="00380BE7" w:rsidRPr="00256982" w14:paraId="147ABC44" w14:textId="77777777" w:rsidTr="009574E7">
        <w:tc>
          <w:tcPr>
            <w:tcW w:w="2694" w:type="dxa"/>
            <w:tcBorders>
              <w:top w:val="nil"/>
              <w:bottom w:val="single" w:sz="8" w:space="0" w:color="365F91"/>
              <w:right w:val="nil"/>
            </w:tcBorders>
            <w:shd w:val="clear" w:color="auto" w:fill="auto"/>
            <w:noWrap/>
          </w:tcPr>
          <w:p w14:paraId="4AF2720E" w14:textId="77777777" w:rsidR="00380BE7" w:rsidRPr="00256982" w:rsidRDefault="00380BE7" w:rsidP="009574E7">
            <w:pPr>
              <w:pStyle w:val="TableText"/>
              <w:keepNext/>
              <w:rPr>
                <w:rFonts w:eastAsia="Arial"/>
                <w:szCs w:val="22"/>
              </w:rPr>
            </w:pPr>
            <w:bookmarkStart w:id="1270" w:name="_Hlk311101605"/>
            <w:r w:rsidRPr="00256982">
              <w:rPr>
                <w:rFonts w:eastAsia="Arial"/>
                <w:szCs w:val="22"/>
              </w:rPr>
              <w:t>Forest land remaining forest land</w:t>
            </w:r>
          </w:p>
        </w:tc>
        <w:tc>
          <w:tcPr>
            <w:tcW w:w="1275" w:type="dxa"/>
            <w:tcBorders>
              <w:top w:val="nil"/>
              <w:bottom w:val="single" w:sz="8" w:space="0" w:color="365F91"/>
            </w:tcBorders>
            <w:shd w:val="clear" w:color="auto" w:fill="auto"/>
            <w:noWrap/>
            <w:vAlign w:val="center"/>
          </w:tcPr>
          <w:p w14:paraId="520E6B76" w14:textId="77777777" w:rsidR="00380BE7" w:rsidRPr="00256982" w:rsidRDefault="00380BE7" w:rsidP="009574E7">
            <w:pPr>
              <w:pStyle w:val="TableText"/>
              <w:keepNext/>
              <w:jc w:val="right"/>
              <w:rPr>
                <w:rFonts w:eastAsia="Arial"/>
                <w:szCs w:val="22"/>
              </w:rPr>
            </w:pPr>
            <w:r w:rsidRPr="00256982">
              <w:rPr>
                <w:rFonts w:cs="Arial"/>
                <w:szCs w:val="16"/>
              </w:rPr>
              <w:t>8,568,173</w:t>
            </w:r>
          </w:p>
        </w:tc>
        <w:tc>
          <w:tcPr>
            <w:tcW w:w="1276" w:type="dxa"/>
            <w:tcBorders>
              <w:top w:val="nil"/>
              <w:bottom w:val="single" w:sz="8" w:space="0" w:color="365F91"/>
            </w:tcBorders>
            <w:shd w:val="clear" w:color="auto" w:fill="auto"/>
            <w:noWrap/>
            <w:vAlign w:val="center"/>
          </w:tcPr>
          <w:p w14:paraId="0E3D68AF" w14:textId="77777777" w:rsidR="00380BE7" w:rsidRPr="00256982" w:rsidRDefault="00380BE7" w:rsidP="009574E7">
            <w:pPr>
              <w:pStyle w:val="TableText"/>
              <w:keepNext/>
              <w:jc w:val="right"/>
              <w:rPr>
                <w:rFonts w:eastAsia="Arial"/>
                <w:szCs w:val="22"/>
              </w:rPr>
            </w:pPr>
            <w:r w:rsidRPr="00256982">
              <w:rPr>
                <w:rFonts w:cs="Arial"/>
                <w:szCs w:val="16"/>
              </w:rPr>
              <w:t>9,240,077</w:t>
            </w:r>
          </w:p>
        </w:tc>
        <w:tc>
          <w:tcPr>
            <w:tcW w:w="992" w:type="dxa"/>
            <w:tcBorders>
              <w:top w:val="nil"/>
              <w:bottom w:val="single" w:sz="8" w:space="0" w:color="365F91"/>
            </w:tcBorders>
            <w:shd w:val="clear" w:color="auto" w:fill="auto"/>
            <w:noWrap/>
            <w:vAlign w:val="center"/>
          </w:tcPr>
          <w:p w14:paraId="64E5BABE" w14:textId="77777777" w:rsidR="00380BE7" w:rsidRPr="00256982" w:rsidRDefault="00380BE7" w:rsidP="009574E7">
            <w:pPr>
              <w:pStyle w:val="TableText"/>
              <w:keepNext/>
              <w:jc w:val="right"/>
              <w:rPr>
                <w:rFonts w:eastAsia="Arial"/>
                <w:szCs w:val="22"/>
              </w:rPr>
            </w:pPr>
            <w:r w:rsidRPr="00256982">
              <w:t>–</w:t>
            </w:r>
            <w:r w:rsidRPr="00256982">
              <w:rPr>
                <w:rFonts w:cs="Arial"/>
                <w:szCs w:val="16"/>
              </w:rPr>
              <w:t xml:space="preserve">10,582.8 </w:t>
            </w:r>
          </w:p>
        </w:tc>
        <w:tc>
          <w:tcPr>
            <w:tcW w:w="993" w:type="dxa"/>
            <w:tcBorders>
              <w:top w:val="nil"/>
              <w:bottom w:val="single" w:sz="8" w:space="0" w:color="365F91"/>
            </w:tcBorders>
            <w:shd w:val="clear" w:color="auto" w:fill="auto"/>
            <w:noWrap/>
            <w:vAlign w:val="center"/>
          </w:tcPr>
          <w:p w14:paraId="5C39FB90" w14:textId="77777777" w:rsidR="00380BE7" w:rsidRPr="00256982" w:rsidRDefault="00380BE7" w:rsidP="009574E7">
            <w:pPr>
              <w:pStyle w:val="TableText"/>
              <w:keepNext/>
              <w:jc w:val="right"/>
              <w:rPr>
                <w:rFonts w:eastAsia="Arial"/>
                <w:szCs w:val="22"/>
              </w:rPr>
            </w:pPr>
            <w:r w:rsidRPr="00256982">
              <w:t>–</w:t>
            </w:r>
            <w:r w:rsidRPr="00256982">
              <w:rPr>
                <w:rFonts w:cs="Arial"/>
                <w:szCs w:val="16"/>
              </w:rPr>
              <w:t>5,568.9</w:t>
            </w:r>
          </w:p>
        </w:tc>
        <w:tc>
          <w:tcPr>
            <w:tcW w:w="1275" w:type="dxa"/>
            <w:tcBorders>
              <w:top w:val="nil"/>
              <w:bottom w:val="single" w:sz="8" w:space="0" w:color="365F91"/>
            </w:tcBorders>
            <w:shd w:val="clear" w:color="auto" w:fill="auto"/>
            <w:noWrap/>
            <w:vAlign w:val="center"/>
          </w:tcPr>
          <w:p w14:paraId="3774BCC6" w14:textId="77777777" w:rsidR="00380BE7" w:rsidRPr="00256982" w:rsidRDefault="00380BE7" w:rsidP="009574E7">
            <w:pPr>
              <w:pStyle w:val="TableText"/>
              <w:keepNext/>
              <w:jc w:val="right"/>
              <w:rPr>
                <w:rFonts w:eastAsia="Arial"/>
                <w:szCs w:val="22"/>
              </w:rPr>
            </w:pPr>
            <w:r w:rsidRPr="00256982">
              <w:rPr>
                <w:rFonts w:cs="Arial"/>
                <w:szCs w:val="16"/>
              </w:rPr>
              <w:t>+47.4</w:t>
            </w:r>
          </w:p>
        </w:tc>
      </w:tr>
      <w:bookmarkEnd w:id="1270"/>
      <w:tr w:rsidR="00380BE7" w:rsidRPr="00256982" w14:paraId="37AC50C9" w14:textId="77777777" w:rsidTr="009574E7">
        <w:tc>
          <w:tcPr>
            <w:tcW w:w="2694" w:type="dxa"/>
            <w:tcBorders>
              <w:right w:val="nil"/>
            </w:tcBorders>
            <w:shd w:val="clear" w:color="auto" w:fill="auto"/>
            <w:noWrap/>
          </w:tcPr>
          <w:p w14:paraId="4395495B" w14:textId="77777777" w:rsidR="00380BE7" w:rsidRPr="00256982" w:rsidRDefault="00380BE7" w:rsidP="009574E7">
            <w:pPr>
              <w:pStyle w:val="TableText"/>
              <w:keepNext/>
              <w:rPr>
                <w:rFonts w:eastAsia="Arial"/>
                <w:szCs w:val="22"/>
              </w:rPr>
            </w:pPr>
            <w:r w:rsidRPr="00256982">
              <w:rPr>
                <w:rFonts w:eastAsia="Arial"/>
                <w:szCs w:val="22"/>
              </w:rPr>
              <w:t>Land converted to forest land</w:t>
            </w:r>
          </w:p>
        </w:tc>
        <w:tc>
          <w:tcPr>
            <w:tcW w:w="1275" w:type="dxa"/>
            <w:shd w:val="clear" w:color="auto" w:fill="auto"/>
            <w:noWrap/>
            <w:vAlign w:val="center"/>
          </w:tcPr>
          <w:p w14:paraId="512BFAEE" w14:textId="77777777" w:rsidR="00380BE7" w:rsidRPr="00256982" w:rsidRDefault="00380BE7" w:rsidP="009574E7">
            <w:pPr>
              <w:pStyle w:val="TableText"/>
              <w:keepNext/>
              <w:jc w:val="right"/>
              <w:rPr>
                <w:rFonts w:eastAsia="Arial"/>
                <w:szCs w:val="22"/>
              </w:rPr>
            </w:pPr>
            <w:r w:rsidRPr="00256982">
              <w:rPr>
                <w:rFonts w:cs="Arial"/>
                <w:szCs w:val="16"/>
              </w:rPr>
              <w:t>844,564</w:t>
            </w:r>
          </w:p>
        </w:tc>
        <w:tc>
          <w:tcPr>
            <w:tcW w:w="1276" w:type="dxa"/>
            <w:shd w:val="clear" w:color="auto" w:fill="auto"/>
            <w:noWrap/>
            <w:vAlign w:val="center"/>
          </w:tcPr>
          <w:p w14:paraId="1F465242" w14:textId="77777777" w:rsidR="00380BE7" w:rsidRPr="00256982" w:rsidRDefault="00380BE7" w:rsidP="009574E7">
            <w:pPr>
              <w:pStyle w:val="TableText"/>
              <w:keepNext/>
              <w:jc w:val="right"/>
              <w:rPr>
                <w:rFonts w:eastAsia="Arial"/>
                <w:szCs w:val="22"/>
              </w:rPr>
            </w:pPr>
            <w:r w:rsidRPr="00256982">
              <w:rPr>
                <w:rFonts w:cs="Arial"/>
                <w:szCs w:val="16"/>
              </w:rPr>
              <w:t>683,518</w:t>
            </w:r>
          </w:p>
        </w:tc>
        <w:tc>
          <w:tcPr>
            <w:tcW w:w="992" w:type="dxa"/>
            <w:shd w:val="clear" w:color="auto" w:fill="auto"/>
            <w:noWrap/>
            <w:vAlign w:val="center"/>
          </w:tcPr>
          <w:p w14:paraId="67CE60A0" w14:textId="77777777" w:rsidR="00380BE7" w:rsidRPr="00256982" w:rsidRDefault="00380BE7" w:rsidP="009574E7">
            <w:pPr>
              <w:pStyle w:val="TableText"/>
              <w:keepNext/>
              <w:jc w:val="right"/>
              <w:rPr>
                <w:rFonts w:eastAsia="Arial"/>
                <w:szCs w:val="22"/>
              </w:rPr>
            </w:pPr>
            <w:r w:rsidRPr="00256982">
              <w:t>–</w:t>
            </w:r>
            <w:r w:rsidRPr="00256982">
              <w:rPr>
                <w:rFonts w:cs="Arial"/>
                <w:szCs w:val="16"/>
              </w:rPr>
              <w:t xml:space="preserve">19,308.2 </w:t>
            </w:r>
          </w:p>
        </w:tc>
        <w:tc>
          <w:tcPr>
            <w:tcW w:w="993" w:type="dxa"/>
            <w:shd w:val="clear" w:color="auto" w:fill="auto"/>
            <w:noWrap/>
            <w:vAlign w:val="center"/>
          </w:tcPr>
          <w:p w14:paraId="735DD23B" w14:textId="77777777" w:rsidR="00380BE7" w:rsidRPr="00256982" w:rsidRDefault="00380BE7" w:rsidP="009574E7">
            <w:pPr>
              <w:pStyle w:val="TableText"/>
              <w:keepNext/>
              <w:jc w:val="right"/>
              <w:rPr>
                <w:rFonts w:eastAsia="Arial"/>
                <w:szCs w:val="22"/>
              </w:rPr>
            </w:pPr>
            <w:r w:rsidRPr="00256982">
              <w:t>–</w:t>
            </w:r>
            <w:r w:rsidRPr="00256982">
              <w:rPr>
                <w:rFonts w:cs="Arial"/>
                <w:szCs w:val="16"/>
              </w:rPr>
              <w:t>16,191.8</w:t>
            </w:r>
          </w:p>
        </w:tc>
        <w:tc>
          <w:tcPr>
            <w:tcW w:w="1275" w:type="dxa"/>
            <w:shd w:val="clear" w:color="auto" w:fill="auto"/>
            <w:noWrap/>
            <w:vAlign w:val="center"/>
          </w:tcPr>
          <w:p w14:paraId="71572827" w14:textId="77777777" w:rsidR="00380BE7" w:rsidRPr="00256982" w:rsidRDefault="00380BE7" w:rsidP="009574E7">
            <w:pPr>
              <w:pStyle w:val="TableText"/>
              <w:keepNext/>
              <w:jc w:val="right"/>
              <w:rPr>
                <w:rFonts w:eastAsia="Arial"/>
                <w:szCs w:val="22"/>
              </w:rPr>
            </w:pPr>
            <w:r w:rsidRPr="00256982">
              <w:rPr>
                <w:rFonts w:cs="Arial"/>
                <w:szCs w:val="16"/>
              </w:rPr>
              <w:t>+16.1</w:t>
            </w:r>
          </w:p>
        </w:tc>
      </w:tr>
      <w:tr w:rsidR="00380BE7" w:rsidRPr="00256982" w14:paraId="04F5F68E" w14:textId="77777777" w:rsidTr="009574E7">
        <w:tc>
          <w:tcPr>
            <w:tcW w:w="2694" w:type="dxa"/>
            <w:tcBorders>
              <w:top w:val="single" w:sz="8" w:space="0" w:color="365F91"/>
              <w:bottom w:val="single" w:sz="8" w:space="0" w:color="365F91"/>
              <w:right w:val="nil"/>
            </w:tcBorders>
            <w:shd w:val="clear" w:color="auto" w:fill="auto"/>
            <w:noWrap/>
          </w:tcPr>
          <w:p w14:paraId="68A40928" w14:textId="77777777" w:rsidR="00380BE7" w:rsidRPr="00256982" w:rsidRDefault="00380BE7" w:rsidP="009574E7">
            <w:pPr>
              <w:pStyle w:val="Tableboldblue"/>
              <w:keepNext/>
              <w:rPr>
                <w:rFonts w:eastAsia="Arial"/>
              </w:rPr>
            </w:pPr>
            <w:r w:rsidRPr="00256982">
              <w:rPr>
                <w:rFonts w:eastAsia="Arial"/>
              </w:rPr>
              <w:t>Total</w:t>
            </w:r>
          </w:p>
        </w:tc>
        <w:tc>
          <w:tcPr>
            <w:tcW w:w="1275" w:type="dxa"/>
            <w:tcBorders>
              <w:top w:val="single" w:sz="8" w:space="0" w:color="365F91"/>
              <w:bottom w:val="single" w:sz="8" w:space="0" w:color="365F91"/>
            </w:tcBorders>
            <w:shd w:val="clear" w:color="auto" w:fill="auto"/>
            <w:noWrap/>
          </w:tcPr>
          <w:p w14:paraId="78003113" w14:textId="77777777" w:rsidR="00380BE7" w:rsidRPr="00256982" w:rsidRDefault="00380BE7" w:rsidP="009574E7">
            <w:pPr>
              <w:pStyle w:val="Tableboldblue"/>
              <w:jc w:val="right"/>
              <w:rPr>
                <w:rFonts w:eastAsia="Arial"/>
              </w:rPr>
            </w:pPr>
            <w:r w:rsidRPr="00256982">
              <w:rPr>
                <w:rFonts w:cs="Arial"/>
                <w:bCs/>
                <w:szCs w:val="16"/>
              </w:rPr>
              <w:t>9,412,737</w:t>
            </w:r>
          </w:p>
        </w:tc>
        <w:tc>
          <w:tcPr>
            <w:tcW w:w="1276" w:type="dxa"/>
            <w:tcBorders>
              <w:top w:val="single" w:sz="8" w:space="0" w:color="365F91"/>
              <w:bottom w:val="single" w:sz="8" w:space="0" w:color="365F91"/>
            </w:tcBorders>
            <w:shd w:val="clear" w:color="auto" w:fill="auto"/>
            <w:noWrap/>
          </w:tcPr>
          <w:p w14:paraId="3A67952C" w14:textId="77777777" w:rsidR="00380BE7" w:rsidRPr="00256982" w:rsidRDefault="00380BE7" w:rsidP="009574E7">
            <w:pPr>
              <w:pStyle w:val="Tableboldblue"/>
              <w:jc w:val="right"/>
              <w:rPr>
                <w:rFonts w:eastAsia="Arial"/>
              </w:rPr>
            </w:pPr>
            <w:r w:rsidRPr="00256982">
              <w:rPr>
                <w:rFonts w:cs="Arial"/>
                <w:bCs/>
                <w:szCs w:val="16"/>
              </w:rPr>
              <w:t>9,923,595</w:t>
            </w:r>
          </w:p>
        </w:tc>
        <w:tc>
          <w:tcPr>
            <w:tcW w:w="992" w:type="dxa"/>
            <w:tcBorders>
              <w:top w:val="single" w:sz="8" w:space="0" w:color="365F91"/>
              <w:bottom w:val="single" w:sz="8" w:space="0" w:color="365F91"/>
            </w:tcBorders>
            <w:shd w:val="clear" w:color="auto" w:fill="auto"/>
            <w:noWrap/>
            <w:vAlign w:val="center"/>
          </w:tcPr>
          <w:p w14:paraId="32D288C9" w14:textId="77777777" w:rsidR="00380BE7" w:rsidRPr="00256982" w:rsidRDefault="00380BE7" w:rsidP="009574E7">
            <w:pPr>
              <w:pStyle w:val="Tableboldblue"/>
              <w:jc w:val="right"/>
              <w:rPr>
                <w:rFonts w:eastAsia="Arial"/>
              </w:rPr>
            </w:pPr>
            <w:r w:rsidRPr="00256982">
              <w:t>–</w:t>
            </w:r>
            <w:r w:rsidRPr="00256982">
              <w:rPr>
                <w:rFonts w:cs="Arial"/>
                <w:bCs/>
                <w:szCs w:val="16"/>
              </w:rPr>
              <w:t xml:space="preserve">29,891.0 </w:t>
            </w:r>
          </w:p>
        </w:tc>
        <w:tc>
          <w:tcPr>
            <w:tcW w:w="993" w:type="dxa"/>
            <w:tcBorders>
              <w:top w:val="single" w:sz="8" w:space="0" w:color="365F91"/>
              <w:bottom w:val="single" w:sz="8" w:space="0" w:color="365F91"/>
            </w:tcBorders>
            <w:shd w:val="clear" w:color="auto" w:fill="auto"/>
            <w:noWrap/>
            <w:vAlign w:val="center"/>
          </w:tcPr>
          <w:p w14:paraId="51D64BA7" w14:textId="77777777" w:rsidR="00380BE7" w:rsidRPr="00256982" w:rsidRDefault="00380BE7" w:rsidP="009574E7">
            <w:pPr>
              <w:pStyle w:val="Tableboldblue"/>
              <w:jc w:val="right"/>
              <w:rPr>
                <w:rFonts w:eastAsia="Arial"/>
              </w:rPr>
            </w:pPr>
            <w:r w:rsidRPr="00256982">
              <w:t>–</w:t>
            </w:r>
            <w:r w:rsidRPr="00256982">
              <w:rPr>
                <w:rFonts w:cs="Arial"/>
                <w:bCs/>
                <w:szCs w:val="16"/>
              </w:rPr>
              <w:t>21,760.7</w:t>
            </w:r>
          </w:p>
        </w:tc>
        <w:tc>
          <w:tcPr>
            <w:tcW w:w="1275" w:type="dxa"/>
            <w:tcBorders>
              <w:top w:val="single" w:sz="8" w:space="0" w:color="365F91"/>
              <w:bottom w:val="single" w:sz="8" w:space="0" w:color="365F91"/>
            </w:tcBorders>
            <w:shd w:val="clear" w:color="auto" w:fill="auto"/>
            <w:noWrap/>
            <w:vAlign w:val="center"/>
          </w:tcPr>
          <w:p w14:paraId="25212E32" w14:textId="77777777" w:rsidR="00380BE7" w:rsidRPr="00256982" w:rsidRDefault="00380BE7" w:rsidP="009574E7">
            <w:pPr>
              <w:pStyle w:val="Tableboldblue"/>
              <w:jc w:val="right"/>
              <w:rPr>
                <w:rFonts w:eastAsia="Arial"/>
              </w:rPr>
            </w:pPr>
            <w:r w:rsidRPr="00256982">
              <w:rPr>
                <w:rFonts w:cs="Arial"/>
                <w:bCs/>
                <w:szCs w:val="16"/>
              </w:rPr>
              <w:t>+27.2</w:t>
            </w:r>
          </w:p>
        </w:tc>
      </w:tr>
    </w:tbl>
    <w:p w14:paraId="6B005683" w14:textId="77777777" w:rsidR="00380BE7" w:rsidRPr="00256982" w:rsidRDefault="00380BE7" w:rsidP="00380BE7">
      <w:pPr>
        <w:pStyle w:val="Noteundertable"/>
      </w:pPr>
      <w:r w:rsidRPr="00256982">
        <w:rPr>
          <w:b/>
        </w:rPr>
        <w:t>Note:</w:t>
      </w:r>
      <w:r w:rsidRPr="00256982">
        <w:tab/>
        <w:t xml:space="preserve">Net area in 1990 is as at 1 January 1990; net area in 2017 is as at 31 December. The area of </w:t>
      </w:r>
      <w:r w:rsidRPr="00256982">
        <w:rPr>
          <w:i/>
        </w:rPr>
        <w:t>Land converted to forest</w:t>
      </w:r>
      <w:r w:rsidRPr="00256982">
        <w:t xml:space="preserve"> includes land converted up to 28 years prior, and net area values include land in a state of conversion (due to land-use change prior to 1990) and afforestation since 1990. Net emission estimates are for the whole year indicated. Columns may not total due to rounding, and percentages presented are calculated from unrounded values.</w:t>
      </w:r>
    </w:p>
    <w:p w14:paraId="0703D0E3" w14:textId="77777777" w:rsidR="00380BE7" w:rsidRPr="00256982" w:rsidRDefault="00380BE7" w:rsidP="00380BE7">
      <w:pPr>
        <w:pStyle w:val="BodyText"/>
        <w:spacing w:before="100"/>
      </w:pPr>
      <w:r w:rsidRPr="00256982">
        <w:lastRenderedPageBreak/>
        <w:t xml:space="preserve">When reporting under the Convention and the Kyoto Protocol for </w:t>
      </w:r>
      <w:r w:rsidRPr="00256982">
        <w:rPr>
          <w:i/>
        </w:rPr>
        <w:t>Forest land</w:t>
      </w:r>
      <w:r w:rsidRPr="00256982">
        <w:t xml:space="preserve">, New Zealand uses three </w:t>
      </w:r>
      <w:r w:rsidRPr="00256982">
        <w:rPr>
          <w:i/>
        </w:rPr>
        <w:t>Forest land</w:t>
      </w:r>
      <w:r w:rsidRPr="00256982">
        <w:t xml:space="preserve"> types: pre-1990 natural forest (predominantly native forest), pre-1990 planted forest (predominantly </w:t>
      </w:r>
      <w:r w:rsidRPr="00256982">
        <w:rPr>
          <w:i/>
        </w:rPr>
        <w:t>Pinus radiata</w:t>
      </w:r>
      <w:r w:rsidRPr="00256982">
        <w:t>) and post-1989 forest (natural and planted forests established after 31 December 1989). The definitions used for mapping these land uses are given in table 6.2.2.</w:t>
      </w:r>
    </w:p>
    <w:p w14:paraId="38713A28" w14:textId="77777777" w:rsidR="00380BE7" w:rsidRPr="00256982" w:rsidRDefault="00380BE7" w:rsidP="00380BE7">
      <w:pPr>
        <w:pStyle w:val="BodyText"/>
        <w:spacing w:before="100"/>
      </w:pPr>
      <w:r w:rsidRPr="00256982">
        <w:t>While the change in total area of forest land between 1990 and 2017 is relatively small (5.4 per cent increase in area), the change in net emissions for this land is large. This is due to the disproportionate influence that plantation forests have on the emissions profile for this category. Key factors include the timing of afforestation that has occurred since 1990 and the increased level of harvesting in 2017, compared with 1990, because existing planted forests have reached maturity. Afforestation since 1990 is shown in figure 6.4.1 and the change in the amount of harvesting is displayed in figure 6.4.4.</w:t>
      </w:r>
    </w:p>
    <w:p w14:paraId="6AD0D204" w14:textId="77777777" w:rsidR="00380BE7" w:rsidRPr="00256982" w:rsidRDefault="00380BE7" w:rsidP="00380BE7">
      <w:pPr>
        <w:pStyle w:val="BodyText"/>
        <w:spacing w:before="100"/>
        <w:rPr>
          <w:spacing w:val="-2"/>
        </w:rPr>
      </w:pPr>
      <w:r w:rsidRPr="00256982">
        <w:rPr>
          <w:spacing w:val="-2"/>
        </w:rPr>
        <w:t>Table 6.4.2 shows land-use change by forest land type since 1990 and the associated CO</w:t>
      </w:r>
      <w:r w:rsidRPr="00256982">
        <w:rPr>
          <w:spacing w:val="-2"/>
          <w:vertAlign w:val="subscript"/>
        </w:rPr>
        <w:t>2</w:t>
      </w:r>
      <w:r w:rsidRPr="00256982">
        <w:rPr>
          <w:spacing w:val="-2"/>
        </w:rPr>
        <w:t xml:space="preserve"> emissions from carbon stock change (note: non-CO</w:t>
      </w:r>
      <w:r w:rsidRPr="00256982">
        <w:rPr>
          <w:spacing w:val="-2"/>
          <w:vertAlign w:val="subscript"/>
        </w:rPr>
        <w:t>2</w:t>
      </w:r>
      <w:r w:rsidRPr="00256982">
        <w:rPr>
          <w:spacing w:val="-2"/>
        </w:rPr>
        <w:t xml:space="preserve"> emissions are reported elsewhere). The change in the amount of harvesting is reflected in the change in net emissions from 1990 in the pre-1990 planted forest land use. The figures for post-1989 forest also vary greatly between 1990 and 2017 because, in 1990, only one year’s worth of planting was contributing to the emissions figures whereas, by 2017, there is much more land included and a greater biomass on this land.</w:t>
      </w:r>
    </w:p>
    <w:p w14:paraId="6815DA36" w14:textId="77777777" w:rsidR="00380BE7" w:rsidRPr="00256982" w:rsidRDefault="00380BE7" w:rsidP="00380BE7">
      <w:pPr>
        <w:pStyle w:val="Table"/>
      </w:pPr>
      <w:bookmarkStart w:id="1271" w:name="_Toc310423405"/>
      <w:bookmarkStart w:id="1272" w:name="_Toc318362698"/>
      <w:bookmarkStart w:id="1273" w:name="_Toc342470760"/>
      <w:bookmarkStart w:id="1274" w:name="_Toc352505000"/>
      <w:bookmarkStart w:id="1275" w:name="_Toc373395725"/>
      <w:bookmarkStart w:id="1276" w:name="_Toc378853291"/>
      <w:bookmarkStart w:id="1277" w:name="_Toc474914592"/>
      <w:bookmarkStart w:id="1278" w:name="_Toc481751556"/>
      <w:bookmarkStart w:id="1279" w:name="_Toc522010613"/>
      <w:bookmarkStart w:id="1280" w:name="_Toc5269518"/>
      <w:bookmarkStart w:id="1281" w:name="_Toc391024089"/>
      <w:bookmarkStart w:id="1282" w:name="_Toc410028832"/>
      <w:bookmarkStart w:id="1283" w:name="_Toc414531460"/>
      <w:bookmarkStart w:id="1284" w:name="_Toc443645373"/>
      <w:r w:rsidRPr="00256982">
        <w:t>Table 6.4.2</w:t>
      </w:r>
      <w:r w:rsidRPr="00256982">
        <w:tab/>
        <w:t>Change in land area and associated CO</w:t>
      </w:r>
      <w:r w:rsidRPr="00256982">
        <w:rPr>
          <w:vertAlign w:val="subscript"/>
        </w:rPr>
        <w:t>2</w:t>
      </w:r>
      <w:r w:rsidRPr="00256982">
        <w:t xml:space="preserve"> emissions from carbon stock change</w:t>
      </w:r>
      <w:bookmarkEnd w:id="1271"/>
      <w:bookmarkEnd w:id="1272"/>
      <w:bookmarkEnd w:id="1273"/>
      <w:bookmarkEnd w:id="1274"/>
      <w:bookmarkEnd w:id="1275"/>
      <w:bookmarkEnd w:id="1276"/>
      <w:r w:rsidRPr="00256982">
        <w:br/>
        <w:t>between 1990 and 2017 for New Zealand’s Forest land</w:t>
      </w:r>
      <w:bookmarkEnd w:id="1277"/>
      <w:bookmarkEnd w:id="1278"/>
      <w:bookmarkEnd w:id="1279"/>
      <w:bookmarkEnd w:id="1280"/>
      <w:r w:rsidRPr="00256982">
        <w:t xml:space="preserve"> </w:t>
      </w:r>
      <w:bookmarkEnd w:id="1281"/>
      <w:bookmarkEnd w:id="1282"/>
      <w:bookmarkEnd w:id="1283"/>
      <w:bookmarkEnd w:id="1284"/>
    </w:p>
    <w:tbl>
      <w:tblPr>
        <w:tblW w:w="8505" w:type="dxa"/>
        <w:tblInd w:w="108" w:type="dxa"/>
        <w:tblLayout w:type="fixed"/>
        <w:tblLook w:val="04A0" w:firstRow="1" w:lastRow="0" w:firstColumn="1" w:lastColumn="0" w:noHBand="0" w:noVBand="1"/>
      </w:tblPr>
      <w:tblGrid>
        <w:gridCol w:w="1985"/>
        <w:gridCol w:w="1276"/>
        <w:gridCol w:w="1275"/>
        <w:gridCol w:w="993"/>
        <w:gridCol w:w="992"/>
        <w:gridCol w:w="992"/>
        <w:gridCol w:w="992"/>
      </w:tblGrid>
      <w:tr w:rsidR="00380BE7" w:rsidRPr="00256982" w14:paraId="6A5A5607" w14:textId="77777777" w:rsidTr="009574E7">
        <w:tc>
          <w:tcPr>
            <w:tcW w:w="1985" w:type="dxa"/>
            <w:vMerge w:val="restart"/>
            <w:tcBorders>
              <w:top w:val="single" w:sz="4" w:space="0" w:color="365F91"/>
            </w:tcBorders>
            <w:shd w:val="clear" w:color="auto" w:fill="376092"/>
            <w:vAlign w:val="bottom"/>
          </w:tcPr>
          <w:p w14:paraId="29614613" w14:textId="77777777" w:rsidR="00380BE7" w:rsidRPr="00256982" w:rsidRDefault="00380BE7" w:rsidP="009574E7">
            <w:pPr>
              <w:pStyle w:val="TableTextBold"/>
              <w:spacing w:before="40" w:after="40"/>
              <w:rPr>
                <w:rFonts w:eastAsia="Arial"/>
                <w:noProof w:val="0"/>
                <w:color w:val="FFFFFF"/>
              </w:rPr>
            </w:pPr>
            <w:r w:rsidRPr="00256982">
              <w:rPr>
                <w:rFonts w:eastAsia="Arial"/>
                <w:noProof w:val="0"/>
                <w:color w:val="FFFFFF"/>
              </w:rPr>
              <w:t xml:space="preserve">Land use </w:t>
            </w:r>
          </w:p>
        </w:tc>
        <w:tc>
          <w:tcPr>
            <w:tcW w:w="1276" w:type="dxa"/>
            <w:tcBorders>
              <w:top w:val="single" w:sz="4" w:space="0" w:color="365F91"/>
            </w:tcBorders>
            <w:shd w:val="clear" w:color="auto" w:fill="376092"/>
            <w:vAlign w:val="bottom"/>
          </w:tcPr>
          <w:p w14:paraId="13CA156E" w14:textId="77777777" w:rsidR="00380BE7" w:rsidRPr="00256982" w:rsidRDefault="00380BE7" w:rsidP="009574E7">
            <w:pPr>
              <w:pStyle w:val="TableTextBold"/>
              <w:spacing w:before="40" w:after="40"/>
              <w:jc w:val="center"/>
              <w:rPr>
                <w:rFonts w:eastAsia="Arial"/>
                <w:noProof w:val="0"/>
                <w:color w:val="FFFFFF"/>
              </w:rPr>
            </w:pPr>
            <w:r w:rsidRPr="00256982">
              <w:rPr>
                <w:rFonts w:eastAsia="Arial"/>
                <w:noProof w:val="0"/>
                <w:color w:val="FFFFFF"/>
              </w:rPr>
              <w:t>Net area (ha)</w:t>
            </w:r>
          </w:p>
        </w:tc>
        <w:tc>
          <w:tcPr>
            <w:tcW w:w="1275" w:type="dxa"/>
            <w:tcBorders>
              <w:top w:val="single" w:sz="4" w:space="0" w:color="365F91"/>
            </w:tcBorders>
            <w:shd w:val="clear" w:color="auto" w:fill="376092"/>
            <w:vAlign w:val="bottom"/>
          </w:tcPr>
          <w:p w14:paraId="4AA4DE39" w14:textId="77777777" w:rsidR="00380BE7" w:rsidRPr="00256982" w:rsidRDefault="00380BE7" w:rsidP="009574E7">
            <w:pPr>
              <w:pStyle w:val="TableTextBold"/>
              <w:spacing w:before="40" w:after="40"/>
              <w:jc w:val="center"/>
              <w:rPr>
                <w:rFonts w:eastAsia="Arial"/>
                <w:noProof w:val="0"/>
                <w:color w:val="FFFFFF"/>
              </w:rPr>
            </w:pPr>
            <w:r w:rsidRPr="00256982">
              <w:rPr>
                <w:rFonts w:eastAsia="Arial"/>
                <w:noProof w:val="0"/>
                <w:color w:val="FFFFFF"/>
              </w:rPr>
              <w:t>Net area (ha)</w:t>
            </w:r>
          </w:p>
        </w:tc>
        <w:tc>
          <w:tcPr>
            <w:tcW w:w="993" w:type="dxa"/>
            <w:vMerge w:val="restart"/>
            <w:tcBorders>
              <w:top w:val="single" w:sz="4" w:space="0" w:color="365F91"/>
            </w:tcBorders>
            <w:shd w:val="clear" w:color="auto" w:fill="376092"/>
            <w:vAlign w:val="bottom"/>
          </w:tcPr>
          <w:p w14:paraId="31EE1291" w14:textId="77777777" w:rsidR="00380BE7" w:rsidRPr="00256982" w:rsidRDefault="00380BE7" w:rsidP="009574E7">
            <w:pPr>
              <w:pStyle w:val="TableTextBold"/>
              <w:spacing w:before="40" w:after="40"/>
              <w:jc w:val="center"/>
              <w:rPr>
                <w:rFonts w:eastAsia="Arial"/>
                <w:noProof w:val="0"/>
                <w:color w:val="FFFFFF"/>
              </w:rPr>
            </w:pPr>
            <w:r w:rsidRPr="00256982">
              <w:rPr>
                <w:rFonts w:eastAsia="Arial"/>
                <w:noProof w:val="0"/>
                <w:color w:val="FFFFFF"/>
              </w:rPr>
              <w:t>Change from 1990 (%)</w:t>
            </w:r>
          </w:p>
        </w:tc>
        <w:tc>
          <w:tcPr>
            <w:tcW w:w="1984" w:type="dxa"/>
            <w:gridSpan w:val="2"/>
            <w:tcBorders>
              <w:top w:val="single" w:sz="4" w:space="0" w:color="365F91"/>
            </w:tcBorders>
            <w:shd w:val="clear" w:color="auto" w:fill="376092"/>
            <w:vAlign w:val="bottom"/>
          </w:tcPr>
          <w:p w14:paraId="154B00B2" w14:textId="77777777" w:rsidR="00380BE7" w:rsidRPr="00256982" w:rsidRDefault="00380BE7" w:rsidP="009574E7">
            <w:pPr>
              <w:pStyle w:val="TableTextBold"/>
              <w:spacing w:before="40" w:after="40"/>
              <w:jc w:val="center"/>
              <w:rPr>
                <w:rFonts w:eastAsia="Arial"/>
                <w:noProof w:val="0"/>
                <w:color w:val="FFFFFF"/>
              </w:rPr>
            </w:pPr>
            <w:r w:rsidRPr="00256982">
              <w:rPr>
                <w:rFonts w:eastAsia="Arial"/>
                <w:noProof w:val="0"/>
                <w:color w:val="FFFFFF"/>
              </w:rPr>
              <w:t xml:space="preserve">Net emissions </w:t>
            </w:r>
            <w:r w:rsidRPr="00256982">
              <w:rPr>
                <w:rFonts w:eastAsia="Arial"/>
                <w:noProof w:val="0"/>
                <w:color w:val="FFFFFF"/>
              </w:rPr>
              <w:br/>
              <w:t>(kt CO</w:t>
            </w:r>
            <w:r w:rsidRPr="00256982">
              <w:rPr>
                <w:rFonts w:eastAsia="Arial"/>
                <w:noProof w:val="0"/>
                <w:color w:val="FFFFFF"/>
                <w:vertAlign w:val="subscript"/>
              </w:rPr>
              <w:t xml:space="preserve">2 </w:t>
            </w:r>
            <w:r w:rsidRPr="00256982">
              <w:rPr>
                <w:rFonts w:eastAsia="Arial"/>
                <w:noProof w:val="0"/>
                <w:color w:val="FFFFFF"/>
              </w:rPr>
              <w:t>only)</w:t>
            </w:r>
          </w:p>
        </w:tc>
        <w:tc>
          <w:tcPr>
            <w:tcW w:w="992" w:type="dxa"/>
            <w:vMerge w:val="restart"/>
            <w:tcBorders>
              <w:top w:val="single" w:sz="4" w:space="0" w:color="365F91"/>
            </w:tcBorders>
            <w:shd w:val="clear" w:color="auto" w:fill="376092"/>
            <w:vAlign w:val="bottom"/>
          </w:tcPr>
          <w:p w14:paraId="79667318" w14:textId="77777777" w:rsidR="00380BE7" w:rsidRPr="00256982" w:rsidRDefault="00380BE7" w:rsidP="009574E7">
            <w:pPr>
              <w:pStyle w:val="TableTextBold"/>
              <w:spacing w:before="40" w:after="40"/>
              <w:jc w:val="center"/>
              <w:rPr>
                <w:rFonts w:eastAsia="Arial"/>
                <w:noProof w:val="0"/>
                <w:color w:val="FFFFFF"/>
              </w:rPr>
            </w:pPr>
            <w:r w:rsidRPr="00256982">
              <w:rPr>
                <w:rFonts w:eastAsia="Arial"/>
                <w:noProof w:val="0"/>
                <w:color w:val="FFFFFF"/>
              </w:rPr>
              <w:t>Change from 1990 (%)</w:t>
            </w:r>
          </w:p>
        </w:tc>
      </w:tr>
      <w:tr w:rsidR="00380BE7" w:rsidRPr="00256982" w14:paraId="284BE85A" w14:textId="77777777" w:rsidTr="009574E7">
        <w:tc>
          <w:tcPr>
            <w:tcW w:w="1985" w:type="dxa"/>
            <w:vMerge/>
            <w:tcBorders>
              <w:bottom w:val="single" w:sz="4" w:space="0" w:color="365F91"/>
            </w:tcBorders>
            <w:shd w:val="clear" w:color="auto" w:fill="376092"/>
          </w:tcPr>
          <w:p w14:paraId="26A3438E" w14:textId="77777777" w:rsidR="00380BE7" w:rsidRPr="00256982" w:rsidRDefault="00380BE7" w:rsidP="009574E7">
            <w:pPr>
              <w:pStyle w:val="TableTextBold"/>
              <w:spacing w:before="40" w:after="40"/>
              <w:jc w:val="center"/>
              <w:rPr>
                <w:rFonts w:eastAsia="Arial"/>
                <w:noProof w:val="0"/>
                <w:color w:val="FFFFFF"/>
              </w:rPr>
            </w:pPr>
          </w:p>
        </w:tc>
        <w:tc>
          <w:tcPr>
            <w:tcW w:w="1276" w:type="dxa"/>
            <w:tcBorders>
              <w:bottom w:val="single" w:sz="4" w:space="0" w:color="365F91"/>
            </w:tcBorders>
            <w:shd w:val="clear" w:color="auto" w:fill="376092"/>
          </w:tcPr>
          <w:p w14:paraId="60635F79" w14:textId="77777777" w:rsidR="00380BE7" w:rsidRPr="00256982" w:rsidRDefault="00380BE7" w:rsidP="009574E7">
            <w:pPr>
              <w:pStyle w:val="TableTextBold"/>
              <w:spacing w:before="40" w:after="40"/>
              <w:jc w:val="center"/>
              <w:rPr>
                <w:rFonts w:eastAsia="Arial"/>
                <w:noProof w:val="0"/>
                <w:color w:val="FFFFFF"/>
              </w:rPr>
            </w:pPr>
            <w:r w:rsidRPr="00256982">
              <w:rPr>
                <w:rFonts w:eastAsia="Arial"/>
                <w:noProof w:val="0"/>
                <w:color w:val="FFFFFF"/>
              </w:rPr>
              <w:t>1990</w:t>
            </w:r>
          </w:p>
        </w:tc>
        <w:tc>
          <w:tcPr>
            <w:tcW w:w="1275" w:type="dxa"/>
            <w:tcBorders>
              <w:bottom w:val="single" w:sz="4" w:space="0" w:color="365F91"/>
            </w:tcBorders>
            <w:shd w:val="clear" w:color="auto" w:fill="376092"/>
          </w:tcPr>
          <w:p w14:paraId="5F528A55" w14:textId="77777777" w:rsidR="00380BE7" w:rsidRPr="00256982" w:rsidRDefault="00380BE7" w:rsidP="009574E7">
            <w:pPr>
              <w:pStyle w:val="TableTextBold"/>
              <w:spacing w:before="40" w:after="40"/>
              <w:jc w:val="center"/>
              <w:rPr>
                <w:rFonts w:eastAsia="Arial"/>
                <w:noProof w:val="0"/>
                <w:color w:val="FFFFFF"/>
              </w:rPr>
            </w:pPr>
            <w:r w:rsidRPr="00256982">
              <w:rPr>
                <w:rFonts w:eastAsia="Arial"/>
                <w:noProof w:val="0"/>
                <w:color w:val="FFFFFF"/>
              </w:rPr>
              <w:t>2017</w:t>
            </w:r>
          </w:p>
        </w:tc>
        <w:tc>
          <w:tcPr>
            <w:tcW w:w="993" w:type="dxa"/>
            <w:vMerge/>
            <w:tcBorders>
              <w:bottom w:val="single" w:sz="4" w:space="0" w:color="365F91"/>
            </w:tcBorders>
            <w:shd w:val="clear" w:color="auto" w:fill="376092"/>
          </w:tcPr>
          <w:p w14:paraId="7C91D5DD" w14:textId="77777777" w:rsidR="00380BE7" w:rsidRPr="00256982" w:rsidRDefault="00380BE7" w:rsidP="009574E7">
            <w:pPr>
              <w:pStyle w:val="TableTextBold"/>
              <w:spacing w:before="40" w:after="40"/>
              <w:jc w:val="center"/>
              <w:rPr>
                <w:rFonts w:eastAsia="Arial"/>
                <w:noProof w:val="0"/>
                <w:color w:val="FFFFFF"/>
              </w:rPr>
            </w:pPr>
          </w:p>
        </w:tc>
        <w:tc>
          <w:tcPr>
            <w:tcW w:w="992" w:type="dxa"/>
            <w:tcBorders>
              <w:bottom w:val="single" w:sz="4" w:space="0" w:color="365F91"/>
            </w:tcBorders>
            <w:shd w:val="clear" w:color="auto" w:fill="376092"/>
          </w:tcPr>
          <w:p w14:paraId="01C66A36" w14:textId="77777777" w:rsidR="00380BE7" w:rsidRPr="00256982" w:rsidRDefault="00380BE7" w:rsidP="009574E7">
            <w:pPr>
              <w:pStyle w:val="TableTextBold"/>
              <w:spacing w:before="40" w:after="40"/>
              <w:jc w:val="center"/>
              <w:rPr>
                <w:rFonts w:eastAsia="Arial"/>
                <w:noProof w:val="0"/>
                <w:color w:val="FFFFFF"/>
              </w:rPr>
            </w:pPr>
            <w:r w:rsidRPr="00256982">
              <w:rPr>
                <w:rFonts w:eastAsia="Arial"/>
                <w:noProof w:val="0"/>
                <w:color w:val="FFFFFF"/>
              </w:rPr>
              <w:t>1990</w:t>
            </w:r>
          </w:p>
        </w:tc>
        <w:tc>
          <w:tcPr>
            <w:tcW w:w="992" w:type="dxa"/>
            <w:tcBorders>
              <w:bottom w:val="single" w:sz="4" w:space="0" w:color="365F91"/>
            </w:tcBorders>
            <w:shd w:val="clear" w:color="auto" w:fill="376092"/>
          </w:tcPr>
          <w:p w14:paraId="33E554E3" w14:textId="77777777" w:rsidR="00380BE7" w:rsidRPr="00256982" w:rsidRDefault="00380BE7" w:rsidP="009574E7">
            <w:pPr>
              <w:pStyle w:val="TableTextBold"/>
              <w:spacing w:before="40" w:after="40"/>
              <w:jc w:val="center"/>
              <w:rPr>
                <w:rFonts w:eastAsia="Arial"/>
                <w:noProof w:val="0"/>
                <w:color w:val="FFFFFF"/>
              </w:rPr>
            </w:pPr>
            <w:r w:rsidRPr="00256982">
              <w:rPr>
                <w:rFonts w:eastAsia="Arial"/>
                <w:noProof w:val="0"/>
                <w:color w:val="FFFFFF"/>
              </w:rPr>
              <w:t>2017</w:t>
            </w:r>
          </w:p>
        </w:tc>
        <w:tc>
          <w:tcPr>
            <w:tcW w:w="992" w:type="dxa"/>
            <w:vMerge/>
            <w:tcBorders>
              <w:bottom w:val="single" w:sz="4" w:space="0" w:color="365F91"/>
            </w:tcBorders>
            <w:shd w:val="clear" w:color="auto" w:fill="376092"/>
          </w:tcPr>
          <w:p w14:paraId="7FF655F1" w14:textId="77777777" w:rsidR="00380BE7" w:rsidRPr="00256982" w:rsidRDefault="00380BE7" w:rsidP="009574E7">
            <w:pPr>
              <w:pStyle w:val="TableTextBold"/>
              <w:spacing w:before="40" w:after="40"/>
              <w:jc w:val="center"/>
              <w:rPr>
                <w:rFonts w:eastAsia="Arial"/>
                <w:noProof w:val="0"/>
                <w:color w:val="FFFFFF"/>
              </w:rPr>
            </w:pPr>
          </w:p>
        </w:tc>
      </w:tr>
      <w:tr w:rsidR="00380BE7" w:rsidRPr="00256982" w14:paraId="5343B489" w14:textId="77777777" w:rsidTr="009574E7">
        <w:tc>
          <w:tcPr>
            <w:tcW w:w="1985" w:type="dxa"/>
            <w:tcBorders>
              <w:top w:val="single" w:sz="4" w:space="0" w:color="365F91"/>
              <w:bottom w:val="single" w:sz="4" w:space="0" w:color="365F91"/>
            </w:tcBorders>
            <w:shd w:val="clear" w:color="auto" w:fill="auto"/>
          </w:tcPr>
          <w:p w14:paraId="031D8A75" w14:textId="77777777" w:rsidR="00380BE7" w:rsidRPr="00256982" w:rsidRDefault="00380BE7" w:rsidP="009574E7">
            <w:pPr>
              <w:pStyle w:val="TableText"/>
              <w:rPr>
                <w:rFonts w:eastAsia="Arial"/>
              </w:rPr>
            </w:pPr>
            <w:r w:rsidRPr="00256982">
              <w:rPr>
                <w:rFonts w:eastAsia="Arial"/>
              </w:rPr>
              <w:t>Pre-1990 natural forest</w:t>
            </w:r>
          </w:p>
        </w:tc>
        <w:tc>
          <w:tcPr>
            <w:tcW w:w="1276" w:type="dxa"/>
            <w:tcBorders>
              <w:top w:val="single" w:sz="4" w:space="0" w:color="365F91"/>
              <w:bottom w:val="single" w:sz="4" w:space="0" w:color="365F91"/>
            </w:tcBorders>
            <w:shd w:val="clear" w:color="auto" w:fill="auto"/>
            <w:vAlign w:val="center"/>
          </w:tcPr>
          <w:p w14:paraId="1F55621A" w14:textId="77777777" w:rsidR="00380BE7" w:rsidRPr="00256982" w:rsidRDefault="00380BE7" w:rsidP="009574E7">
            <w:pPr>
              <w:pStyle w:val="TableText"/>
              <w:jc w:val="right"/>
              <w:rPr>
                <w:rFonts w:eastAsia="Arial"/>
              </w:rPr>
            </w:pPr>
            <w:r w:rsidRPr="00256982">
              <w:rPr>
                <w:rFonts w:cs="Arial"/>
                <w:color w:val="000000"/>
                <w:szCs w:val="16"/>
              </w:rPr>
              <w:t>7,877,058</w:t>
            </w:r>
          </w:p>
        </w:tc>
        <w:tc>
          <w:tcPr>
            <w:tcW w:w="1275" w:type="dxa"/>
            <w:tcBorders>
              <w:top w:val="single" w:sz="4" w:space="0" w:color="365F91"/>
              <w:bottom w:val="single" w:sz="4" w:space="0" w:color="365F91"/>
            </w:tcBorders>
            <w:shd w:val="clear" w:color="auto" w:fill="auto"/>
            <w:vAlign w:val="center"/>
          </w:tcPr>
          <w:p w14:paraId="29A150BF" w14:textId="77777777" w:rsidR="00380BE7" w:rsidRPr="00256982" w:rsidRDefault="00380BE7" w:rsidP="009574E7">
            <w:pPr>
              <w:pStyle w:val="TableText"/>
              <w:jc w:val="right"/>
              <w:rPr>
                <w:rFonts w:eastAsia="Arial"/>
              </w:rPr>
            </w:pPr>
            <w:r w:rsidRPr="00256982">
              <w:rPr>
                <w:rFonts w:cs="Arial"/>
                <w:color w:val="000000"/>
                <w:szCs w:val="16"/>
              </w:rPr>
              <w:t>7,811,450</w:t>
            </w:r>
          </w:p>
        </w:tc>
        <w:tc>
          <w:tcPr>
            <w:tcW w:w="993" w:type="dxa"/>
            <w:tcBorders>
              <w:top w:val="single" w:sz="4" w:space="0" w:color="365F91"/>
              <w:bottom w:val="single" w:sz="4" w:space="0" w:color="365F91"/>
            </w:tcBorders>
            <w:shd w:val="clear" w:color="auto" w:fill="auto"/>
            <w:vAlign w:val="center"/>
          </w:tcPr>
          <w:p w14:paraId="2CA37CF0" w14:textId="77777777" w:rsidR="00380BE7" w:rsidRPr="00256982" w:rsidRDefault="00380BE7" w:rsidP="009574E7">
            <w:pPr>
              <w:pStyle w:val="TableText"/>
              <w:jc w:val="right"/>
              <w:rPr>
                <w:rFonts w:eastAsia="Arial"/>
              </w:rPr>
            </w:pPr>
            <w:r w:rsidRPr="00256982">
              <w:t>–</w:t>
            </w:r>
            <w:r w:rsidRPr="00256982">
              <w:rPr>
                <w:rFonts w:cs="Arial"/>
                <w:color w:val="000000"/>
                <w:szCs w:val="16"/>
              </w:rPr>
              <w:t>0.8</w:t>
            </w:r>
          </w:p>
        </w:tc>
        <w:tc>
          <w:tcPr>
            <w:tcW w:w="992" w:type="dxa"/>
            <w:tcBorders>
              <w:top w:val="single" w:sz="4" w:space="0" w:color="365F91"/>
              <w:bottom w:val="single" w:sz="4" w:space="0" w:color="365F91"/>
            </w:tcBorders>
            <w:shd w:val="clear" w:color="auto" w:fill="auto"/>
            <w:vAlign w:val="center"/>
          </w:tcPr>
          <w:p w14:paraId="16FCDCF4" w14:textId="77777777" w:rsidR="00380BE7" w:rsidRPr="00256982" w:rsidRDefault="00380BE7" w:rsidP="009574E7">
            <w:pPr>
              <w:pStyle w:val="TableText"/>
              <w:jc w:val="right"/>
              <w:rPr>
                <w:rFonts w:eastAsia="Arial"/>
              </w:rPr>
            </w:pPr>
            <w:r w:rsidRPr="00256982">
              <w:t>–</w:t>
            </w:r>
            <w:r w:rsidRPr="00256982">
              <w:rPr>
                <w:rFonts w:cs="Arial"/>
                <w:szCs w:val="16"/>
              </w:rPr>
              <w:t xml:space="preserve">6,327.1 </w:t>
            </w:r>
          </w:p>
        </w:tc>
        <w:tc>
          <w:tcPr>
            <w:tcW w:w="992" w:type="dxa"/>
            <w:tcBorders>
              <w:top w:val="single" w:sz="4" w:space="0" w:color="365F91"/>
              <w:bottom w:val="single" w:sz="4" w:space="0" w:color="365F91"/>
            </w:tcBorders>
            <w:shd w:val="clear" w:color="auto" w:fill="auto"/>
            <w:vAlign w:val="center"/>
          </w:tcPr>
          <w:p w14:paraId="7DB54757" w14:textId="77777777" w:rsidR="00380BE7" w:rsidRPr="00256982" w:rsidRDefault="00380BE7" w:rsidP="009574E7">
            <w:pPr>
              <w:pStyle w:val="TableText"/>
              <w:jc w:val="right"/>
              <w:rPr>
                <w:rFonts w:eastAsia="Arial"/>
              </w:rPr>
            </w:pPr>
            <w:r w:rsidRPr="00256982">
              <w:t>–</w:t>
            </w:r>
            <w:r w:rsidRPr="00256982">
              <w:rPr>
                <w:rFonts w:cs="Arial"/>
                <w:color w:val="000000"/>
                <w:szCs w:val="16"/>
              </w:rPr>
              <w:t>6,125.4</w:t>
            </w:r>
          </w:p>
        </w:tc>
        <w:tc>
          <w:tcPr>
            <w:tcW w:w="992" w:type="dxa"/>
            <w:tcBorders>
              <w:top w:val="single" w:sz="4" w:space="0" w:color="365F91"/>
              <w:bottom w:val="single" w:sz="4" w:space="0" w:color="365F91"/>
            </w:tcBorders>
            <w:shd w:val="clear" w:color="auto" w:fill="auto"/>
            <w:vAlign w:val="center"/>
          </w:tcPr>
          <w:p w14:paraId="2E7ED87B" w14:textId="77777777" w:rsidR="00380BE7" w:rsidRPr="00256982" w:rsidRDefault="00380BE7" w:rsidP="009574E7">
            <w:pPr>
              <w:pStyle w:val="TableText"/>
              <w:jc w:val="right"/>
              <w:rPr>
                <w:rFonts w:eastAsia="Arial"/>
              </w:rPr>
            </w:pPr>
            <w:r w:rsidRPr="00256982">
              <w:rPr>
                <w:rFonts w:cs="Arial"/>
                <w:szCs w:val="16"/>
              </w:rPr>
              <w:t>+3.2</w:t>
            </w:r>
          </w:p>
        </w:tc>
      </w:tr>
      <w:tr w:rsidR="00380BE7" w:rsidRPr="00256982" w14:paraId="649E490B" w14:textId="77777777" w:rsidTr="009574E7">
        <w:tc>
          <w:tcPr>
            <w:tcW w:w="1985" w:type="dxa"/>
            <w:tcBorders>
              <w:top w:val="single" w:sz="4" w:space="0" w:color="365F91"/>
              <w:bottom w:val="single" w:sz="4" w:space="0" w:color="365F91"/>
            </w:tcBorders>
            <w:shd w:val="clear" w:color="auto" w:fill="auto"/>
          </w:tcPr>
          <w:p w14:paraId="6771BB0B" w14:textId="77777777" w:rsidR="00380BE7" w:rsidRPr="00256982" w:rsidRDefault="00380BE7" w:rsidP="009574E7">
            <w:pPr>
              <w:pStyle w:val="TableText"/>
              <w:rPr>
                <w:rFonts w:eastAsia="Arial"/>
              </w:rPr>
            </w:pPr>
            <w:r w:rsidRPr="00256982">
              <w:rPr>
                <w:rFonts w:eastAsia="Arial"/>
              </w:rPr>
              <w:t>Pre-1990 planted forest</w:t>
            </w:r>
          </w:p>
        </w:tc>
        <w:tc>
          <w:tcPr>
            <w:tcW w:w="1276" w:type="dxa"/>
            <w:tcBorders>
              <w:top w:val="single" w:sz="4" w:space="0" w:color="365F91"/>
              <w:bottom w:val="single" w:sz="4" w:space="0" w:color="365F91"/>
            </w:tcBorders>
            <w:shd w:val="clear" w:color="auto" w:fill="auto"/>
            <w:vAlign w:val="center"/>
          </w:tcPr>
          <w:p w14:paraId="11217595" w14:textId="77777777" w:rsidR="00380BE7" w:rsidRPr="00256982" w:rsidRDefault="00380BE7" w:rsidP="009574E7">
            <w:pPr>
              <w:pStyle w:val="TableText"/>
              <w:jc w:val="right"/>
              <w:rPr>
                <w:rFonts w:eastAsia="Arial"/>
              </w:rPr>
            </w:pPr>
            <w:r w:rsidRPr="00256982">
              <w:rPr>
                <w:rFonts w:cs="Arial"/>
                <w:color w:val="000000"/>
                <w:szCs w:val="16"/>
              </w:rPr>
              <w:t>1,535,679</w:t>
            </w:r>
          </w:p>
        </w:tc>
        <w:tc>
          <w:tcPr>
            <w:tcW w:w="1275" w:type="dxa"/>
            <w:tcBorders>
              <w:top w:val="single" w:sz="4" w:space="0" w:color="365F91"/>
              <w:bottom w:val="single" w:sz="4" w:space="0" w:color="365F91"/>
            </w:tcBorders>
            <w:shd w:val="clear" w:color="auto" w:fill="auto"/>
            <w:vAlign w:val="center"/>
          </w:tcPr>
          <w:p w14:paraId="4BA88DC6" w14:textId="77777777" w:rsidR="00380BE7" w:rsidRPr="00256982" w:rsidRDefault="00380BE7" w:rsidP="009574E7">
            <w:pPr>
              <w:pStyle w:val="TableText"/>
              <w:jc w:val="right"/>
              <w:rPr>
                <w:rFonts w:eastAsia="Arial"/>
              </w:rPr>
            </w:pPr>
            <w:r w:rsidRPr="00256982">
              <w:rPr>
                <w:rFonts w:cs="Arial"/>
                <w:color w:val="000000"/>
                <w:szCs w:val="16"/>
              </w:rPr>
              <w:t>1,429,706</w:t>
            </w:r>
          </w:p>
        </w:tc>
        <w:tc>
          <w:tcPr>
            <w:tcW w:w="993" w:type="dxa"/>
            <w:tcBorders>
              <w:top w:val="single" w:sz="4" w:space="0" w:color="365F91"/>
              <w:bottom w:val="single" w:sz="4" w:space="0" w:color="365F91"/>
            </w:tcBorders>
            <w:shd w:val="clear" w:color="auto" w:fill="auto"/>
            <w:vAlign w:val="center"/>
          </w:tcPr>
          <w:p w14:paraId="1C53CB0F" w14:textId="77777777" w:rsidR="00380BE7" w:rsidRPr="00256982" w:rsidRDefault="00380BE7" w:rsidP="009574E7">
            <w:pPr>
              <w:pStyle w:val="TableText"/>
              <w:jc w:val="right"/>
              <w:rPr>
                <w:rFonts w:eastAsia="Arial"/>
              </w:rPr>
            </w:pPr>
            <w:r w:rsidRPr="00256982">
              <w:t>–</w:t>
            </w:r>
            <w:r w:rsidRPr="00256982">
              <w:rPr>
                <w:rFonts w:cs="Arial"/>
                <w:color w:val="000000"/>
                <w:szCs w:val="16"/>
              </w:rPr>
              <w:t>6.9</w:t>
            </w:r>
          </w:p>
        </w:tc>
        <w:tc>
          <w:tcPr>
            <w:tcW w:w="992" w:type="dxa"/>
            <w:tcBorders>
              <w:top w:val="single" w:sz="4" w:space="0" w:color="365F91"/>
              <w:bottom w:val="single" w:sz="4" w:space="0" w:color="365F91"/>
            </w:tcBorders>
            <w:shd w:val="clear" w:color="auto" w:fill="auto"/>
            <w:vAlign w:val="center"/>
          </w:tcPr>
          <w:p w14:paraId="55A1C807" w14:textId="77777777" w:rsidR="00380BE7" w:rsidRPr="00256982" w:rsidRDefault="00380BE7" w:rsidP="009574E7">
            <w:pPr>
              <w:pStyle w:val="TableText"/>
              <w:jc w:val="right"/>
              <w:rPr>
                <w:rFonts w:eastAsia="Arial"/>
              </w:rPr>
            </w:pPr>
            <w:r w:rsidRPr="00256982">
              <w:t>–</w:t>
            </w:r>
            <w:r w:rsidRPr="00256982">
              <w:rPr>
                <w:rFonts w:cs="Arial"/>
                <w:color w:val="000000"/>
                <w:szCs w:val="16"/>
              </w:rPr>
              <w:t>24,015.7</w:t>
            </w:r>
          </w:p>
        </w:tc>
        <w:tc>
          <w:tcPr>
            <w:tcW w:w="992" w:type="dxa"/>
            <w:tcBorders>
              <w:top w:val="single" w:sz="4" w:space="0" w:color="365F91"/>
              <w:bottom w:val="single" w:sz="4" w:space="0" w:color="365F91"/>
            </w:tcBorders>
            <w:shd w:val="clear" w:color="auto" w:fill="auto"/>
            <w:vAlign w:val="center"/>
          </w:tcPr>
          <w:p w14:paraId="3A839C9E" w14:textId="77777777" w:rsidR="00380BE7" w:rsidRPr="00256982" w:rsidRDefault="00380BE7" w:rsidP="009574E7">
            <w:pPr>
              <w:pStyle w:val="TableText"/>
              <w:jc w:val="right"/>
              <w:rPr>
                <w:rFonts w:eastAsia="Arial"/>
              </w:rPr>
            </w:pPr>
            <w:r w:rsidRPr="00256982">
              <w:rPr>
                <w:rFonts w:cs="Arial"/>
                <w:color w:val="000000"/>
                <w:szCs w:val="16"/>
              </w:rPr>
              <w:t>+366.6</w:t>
            </w:r>
          </w:p>
        </w:tc>
        <w:tc>
          <w:tcPr>
            <w:tcW w:w="992" w:type="dxa"/>
            <w:tcBorders>
              <w:top w:val="single" w:sz="4" w:space="0" w:color="365F91"/>
              <w:bottom w:val="single" w:sz="4" w:space="0" w:color="365F91"/>
            </w:tcBorders>
            <w:shd w:val="clear" w:color="auto" w:fill="auto"/>
            <w:vAlign w:val="center"/>
          </w:tcPr>
          <w:p w14:paraId="661C3EB3" w14:textId="77777777" w:rsidR="00380BE7" w:rsidRPr="00256982" w:rsidRDefault="00380BE7" w:rsidP="009574E7">
            <w:pPr>
              <w:pStyle w:val="TableText"/>
              <w:jc w:val="right"/>
              <w:rPr>
                <w:rFonts w:eastAsia="Arial"/>
              </w:rPr>
            </w:pPr>
            <w:r w:rsidRPr="00256982">
              <w:rPr>
                <w:rFonts w:cs="Arial"/>
                <w:szCs w:val="16"/>
              </w:rPr>
              <w:t>+101.5</w:t>
            </w:r>
          </w:p>
        </w:tc>
      </w:tr>
      <w:tr w:rsidR="00380BE7" w:rsidRPr="00256982" w14:paraId="6D0BC632" w14:textId="77777777" w:rsidTr="009574E7">
        <w:tc>
          <w:tcPr>
            <w:tcW w:w="1985" w:type="dxa"/>
            <w:tcBorders>
              <w:top w:val="single" w:sz="4" w:space="0" w:color="365F91"/>
              <w:bottom w:val="single" w:sz="4" w:space="0" w:color="365F91"/>
            </w:tcBorders>
            <w:shd w:val="clear" w:color="auto" w:fill="auto"/>
          </w:tcPr>
          <w:p w14:paraId="27651A0B" w14:textId="77777777" w:rsidR="00380BE7" w:rsidRPr="00256982" w:rsidRDefault="00380BE7" w:rsidP="009574E7">
            <w:pPr>
              <w:pStyle w:val="TableText"/>
              <w:rPr>
                <w:rFonts w:eastAsia="Arial"/>
              </w:rPr>
            </w:pPr>
            <w:r w:rsidRPr="00256982">
              <w:rPr>
                <w:rFonts w:eastAsia="Arial"/>
              </w:rPr>
              <w:t>Post-1989 forest</w:t>
            </w:r>
          </w:p>
        </w:tc>
        <w:tc>
          <w:tcPr>
            <w:tcW w:w="1276" w:type="dxa"/>
            <w:tcBorders>
              <w:top w:val="single" w:sz="4" w:space="0" w:color="365F91"/>
              <w:bottom w:val="single" w:sz="4" w:space="0" w:color="365F91"/>
            </w:tcBorders>
            <w:shd w:val="clear" w:color="auto" w:fill="auto"/>
            <w:vAlign w:val="center"/>
          </w:tcPr>
          <w:p w14:paraId="6CA4D2D0" w14:textId="77777777" w:rsidR="00380BE7" w:rsidRPr="00256982" w:rsidRDefault="00380BE7" w:rsidP="009574E7">
            <w:pPr>
              <w:pStyle w:val="TableText"/>
              <w:jc w:val="right"/>
              <w:rPr>
                <w:rFonts w:eastAsia="Arial"/>
              </w:rPr>
            </w:pPr>
            <w:r w:rsidRPr="00256982">
              <w:rPr>
                <w:rFonts w:cs="Arial"/>
                <w:color w:val="000000"/>
                <w:szCs w:val="16"/>
              </w:rPr>
              <w:t>0</w:t>
            </w:r>
          </w:p>
        </w:tc>
        <w:tc>
          <w:tcPr>
            <w:tcW w:w="1275" w:type="dxa"/>
            <w:tcBorders>
              <w:top w:val="single" w:sz="4" w:space="0" w:color="365F91"/>
              <w:bottom w:val="single" w:sz="4" w:space="0" w:color="365F91"/>
            </w:tcBorders>
            <w:shd w:val="clear" w:color="auto" w:fill="auto"/>
            <w:vAlign w:val="center"/>
          </w:tcPr>
          <w:p w14:paraId="0A3865F5" w14:textId="77777777" w:rsidR="00380BE7" w:rsidRPr="00256982" w:rsidRDefault="00380BE7" w:rsidP="009574E7">
            <w:pPr>
              <w:pStyle w:val="TableText"/>
              <w:jc w:val="right"/>
              <w:rPr>
                <w:rFonts w:eastAsia="Arial"/>
              </w:rPr>
            </w:pPr>
            <w:r w:rsidRPr="00256982">
              <w:rPr>
                <w:rFonts w:cs="Arial"/>
                <w:color w:val="000000"/>
                <w:szCs w:val="16"/>
              </w:rPr>
              <w:t>682,439</w:t>
            </w:r>
          </w:p>
        </w:tc>
        <w:tc>
          <w:tcPr>
            <w:tcW w:w="993" w:type="dxa"/>
            <w:tcBorders>
              <w:top w:val="single" w:sz="4" w:space="0" w:color="365F91"/>
              <w:bottom w:val="single" w:sz="4" w:space="0" w:color="365F91"/>
            </w:tcBorders>
            <w:shd w:val="clear" w:color="auto" w:fill="auto"/>
            <w:vAlign w:val="center"/>
          </w:tcPr>
          <w:p w14:paraId="30AC2D2A" w14:textId="77777777" w:rsidR="00380BE7" w:rsidRPr="00256982" w:rsidRDefault="00380BE7" w:rsidP="009574E7">
            <w:pPr>
              <w:pStyle w:val="TableText"/>
              <w:jc w:val="right"/>
              <w:rPr>
                <w:rFonts w:eastAsia="Arial"/>
              </w:rPr>
            </w:pPr>
            <w:r w:rsidRPr="00256982">
              <w:t>NA</w:t>
            </w:r>
          </w:p>
        </w:tc>
        <w:tc>
          <w:tcPr>
            <w:tcW w:w="992" w:type="dxa"/>
            <w:tcBorders>
              <w:top w:val="single" w:sz="4" w:space="0" w:color="365F91"/>
              <w:bottom w:val="single" w:sz="4" w:space="0" w:color="365F91"/>
            </w:tcBorders>
            <w:shd w:val="clear" w:color="auto" w:fill="auto"/>
            <w:vAlign w:val="center"/>
          </w:tcPr>
          <w:p w14:paraId="584D70D5" w14:textId="77777777" w:rsidR="00380BE7" w:rsidRPr="00256982" w:rsidRDefault="00380BE7" w:rsidP="009574E7">
            <w:pPr>
              <w:pStyle w:val="TableText"/>
              <w:jc w:val="right"/>
              <w:rPr>
                <w:rFonts w:eastAsia="Arial"/>
              </w:rPr>
            </w:pPr>
            <w:r w:rsidRPr="00256982">
              <w:rPr>
                <w:rFonts w:cs="Arial"/>
                <w:szCs w:val="16"/>
              </w:rPr>
              <w:t xml:space="preserve">247.1 </w:t>
            </w:r>
          </w:p>
        </w:tc>
        <w:tc>
          <w:tcPr>
            <w:tcW w:w="992" w:type="dxa"/>
            <w:tcBorders>
              <w:top w:val="single" w:sz="4" w:space="0" w:color="365F91"/>
              <w:bottom w:val="single" w:sz="4" w:space="0" w:color="365F91"/>
            </w:tcBorders>
            <w:shd w:val="clear" w:color="auto" w:fill="auto"/>
            <w:vAlign w:val="center"/>
          </w:tcPr>
          <w:p w14:paraId="2DEE8DA5" w14:textId="77777777" w:rsidR="00380BE7" w:rsidRPr="00256982" w:rsidRDefault="00380BE7" w:rsidP="009574E7">
            <w:pPr>
              <w:pStyle w:val="TableText"/>
              <w:jc w:val="right"/>
              <w:rPr>
                <w:rFonts w:eastAsia="Arial"/>
              </w:rPr>
            </w:pPr>
            <w:r w:rsidRPr="00256982">
              <w:t>–</w:t>
            </w:r>
            <w:r w:rsidRPr="00256982">
              <w:rPr>
                <w:rFonts w:cs="Arial"/>
                <w:szCs w:val="16"/>
              </w:rPr>
              <w:t xml:space="preserve">16,240.4 </w:t>
            </w:r>
          </w:p>
        </w:tc>
        <w:tc>
          <w:tcPr>
            <w:tcW w:w="992" w:type="dxa"/>
            <w:tcBorders>
              <w:top w:val="single" w:sz="4" w:space="0" w:color="365F91"/>
              <w:bottom w:val="single" w:sz="4" w:space="0" w:color="365F91"/>
            </w:tcBorders>
            <w:shd w:val="clear" w:color="auto" w:fill="auto"/>
            <w:vAlign w:val="center"/>
          </w:tcPr>
          <w:p w14:paraId="33BCCCDB" w14:textId="77777777" w:rsidR="00380BE7" w:rsidRPr="00256982" w:rsidRDefault="00380BE7" w:rsidP="009574E7">
            <w:pPr>
              <w:pStyle w:val="TableText"/>
              <w:jc w:val="right"/>
              <w:rPr>
                <w:rFonts w:eastAsia="Arial"/>
              </w:rPr>
            </w:pPr>
            <w:r w:rsidRPr="00256982">
              <w:t>–</w:t>
            </w:r>
            <w:r w:rsidRPr="00256982">
              <w:rPr>
                <w:rFonts w:cs="Arial"/>
                <w:szCs w:val="16"/>
              </w:rPr>
              <w:t>6,672.2</w:t>
            </w:r>
          </w:p>
        </w:tc>
      </w:tr>
      <w:tr w:rsidR="00380BE7" w:rsidRPr="00256982" w14:paraId="57E8A206" w14:textId="77777777" w:rsidTr="009574E7">
        <w:tc>
          <w:tcPr>
            <w:tcW w:w="1985" w:type="dxa"/>
            <w:tcBorders>
              <w:top w:val="single" w:sz="4" w:space="0" w:color="365F91"/>
              <w:bottom w:val="single" w:sz="4" w:space="0" w:color="365F91"/>
            </w:tcBorders>
            <w:shd w:val="clear" w:color="auto" w:fill="auto"/>
          </w:tcPr>
          <w:p w14:paraId="77BF67CB" w14:textId="77777777" w:rsidR="00380BE7" w:rsidRPr="00256982" w:rsidRDefault="00380BE7" w:rsidP="009574E7">
            <w:pPr>
              <w:pStyle w:val="Tableboldblue"/>
              <w:rPr>
                <w:rFonts w:eastAsia="Arial"/>
              </w:rPr>
            </w:pPr>
            <w:r w:rsidRPr="00256982">
              <w:rPr>
                <w:rFonts w:eastAsia="Arial"/>
              </w:rPr>
              <w:t>Total</w:t>
            </w:r>
          </w:p>
        </w:tc>
        <w:tc>
          <w:tcPr>
            <w:tcW w:w="1276" w:type="dxa"/>
            <w:tcBorders>
              <w:top w:val="single" w:sz="4" w:space="0" w:color="365F91"/>
              <w:bottom w:val="single" w:sz="4" w:space="0" w:color="365F91"/>
            </w:tcBorders>
            <w:shd w:val="clear" w:color="auto" w:fill="auto"/>
            <w:vAlign w:val="center"/>
          </w:tcPr>
          <w:p w14:paraId="04FDCBDD" w14:textId="77777777" w:rsidR="00380BE7" w:rsidRPr="00256982" w:rsidRDefault="00380BE7" w:rsidP="009574E7">
            <w:pPr>
              <w:pStyle w:val="Tableboldblue"/>
              <w:jc w:val="right"/>
            </w:pPr>
            <w:r w:rsidRPr="00256982">
              <w:t>9,412,737</w:t>
            </w:r>
          </w:p>
        </w:tc>
        <w:tc>
          <w:tcPr>
            <w:tcW w:w="1275" w:type="dxa"/>
            <w:tcBorders>
              <w:top w:val="single" w:sz="4" w:space="0" w:color="365F91"/>
              <w:bottom w:val="single" w:sz="4" w:space="0" w:color="365F91"/>
            </w:tcBorders>
            <w:shd w:val="clear" w:color="auto" w:fill="auto"/>
            <w:vAlign w:val="center"/>
          </w:tcPr>
          <w:p w14:paraId="17828D2B" w14:textId="77777777" w:rsidR="00380BE7" w:rsidRPr="00256982" w:rsidRDefault="00380BE7" w:rsidP="009574E7">
            <w:pPr>
              <w:pStyle w:val="Tableboldblue"/>
              <w:jc w:val="right"/>
            </w:pPr>
            <w:r w:rsidRPr="00256982">
              <w:t>9,923,595</w:t>
            </w:r>
          </w:p>
        </w:tc>
        <w:tc>
          <w:tcPr>
            <w:tcW w:w="993" w:type="dxa"/>
            <w:tcBorders>
              <w:top w:val="single" w:sz="4" w:space="0" w:color="365F91"/>
              <w:bottom w:val="single" w:sz="4" w:space="0" w:color="365F91"/>
            </w:tcBorders>
            <w:shd w:val="clear" w:color="auto" w:fill="auto"/>
            <w:vAlign w:val="center"/>
          </w:tcPr>
          <w:p w14:paraId="066E60B9" w14:textId="77777777" w:rsidR="00380BE7" w:rsidRPr="00256982" w:rsidRDefault="00380BE7" w:rsidP="009574E7">
            <w:pPr>
              <w:pStyle w:val="Tableboldblue"/>
              <w:jc w:val="right"/>
            </w:pPr>
            <w:r w:rsidRPr="00256982">
              <w:t>+5.4</w:t>
            </w:r>
          </w:p>
        </w:tc>
        <w:tc>
          <w:tcPr>
            <w:tcW w:w="992" w:type="dxa"/>
            <w:tcBorders>
              <w:top w:val="single" w:sz="4" w:space="0" w:color="365F91"/>
              <w:bottom w:val="single" w:sz="4" w:space="0" w:color="365F91"/>
            </w:tcBorders>
            <w:shd w:val="clear" w:color="auto" w:fill="auto"/>
            <w:vAlign w:val="center"/>
          </w:tcPr>
          <w:p w14:paraId="5381523A" w14:textId="77777777" w:rsidR="00380BE7" w:rsidRPr="00256982" w:rsidRDefault="00380BE7" w:rsidP="009574E7">
            <w:pPr>
              <w:pStyle w:val="Tableboldblue"/>
              <w:jc w:val="right"/>
              <w:rPr>
                <w:rFonts w:eastAsia="Arial"/>
              </w:rPr>
            </w:pPr>
            <w:r w:rsidRPr="00256982">
              <w:t>–</w:t>
            </w:r>
            <w:r w:rsidRPr="00256982">
              <w:rPr>
                <w:rFonts w:cs="Arial"/>
                <w:bCs/>
                <w:szCs w:val="16"/>
              </w:rPr>
              <w:t xml:space="preserve">30,095.7 </w:t>
            </w:r>
          </w:p>
        </w:tc>
        <w:tc>
          <w:tcPr>
            <w:tcW w:w="992" w:type="dxa"/>
            <w:tcBorders>
              <w:top w:val="single" w:sz="4" w:space="0" w:color="365F91"/>
              <w:bottom w:val="single" w:sz="4" w:space="0" w:color="365F91"/>
            </w:tcBorders>
            <w:shd w:val="clear" w:color="auto" w:fill="auto"/>
            <w:vAlign w:val="center"/>
          </w:tcPr>
          <w:p w14:paraId="233C5DAE" w14:textId="77777777" w:rsidR="00380BE7" w:rsidRPr="00256982" w:rsidRDefault="00380BE7" w:rsidP="009574E7">
            <w:pPr>
              <w:pStyle w:val="Tableboldblue"/>
              <w:jc w:val="right"/>
              <w:rPr>
                <w:rFonts w:eastAsia="Arial"/>
              </w:rPr>
            </w:pPr>
            <w:r w:rsidRPr="00256982">
              <w:t>–</w:t>
            </w:r>
            <w:r w:rsidRPr="00256982">
              <w:rPr>
                <w:rFonts w:cs="Arial"/>
                <w:bCs/>
                <w:szCs w:val="16"/>
              </w:rPr>
              <w:t xml:space="preserve">21,999.1 </w:t>
            </w:r>
          </w:p>
        </w:tc>
        <w:tc>
          <w:tcPr>
            <w:tcW w:w="992" w:type="dxa"/>
            <w:tcBorders>
              <w:top w:val="single" w:sz="4" w:space="0" w:color="365F91"/>
              <w:bottom w:val="single" w:sz="4" w:space="0" w:color="365F91"/>
            </w:tcBorders>
            <w:shd w:val="clear" w:color="auto" w:fill="auto"/>
            <w:vAlign w:val="center"/>
          </w:tcPr>
          <w:p w14:paraId="5DE2912F" w14:textId="77777777" w:rsidR="00380BE7" w:rsidRPr="00256982" w:rsidRDefault="00380BE7" w:rsidP="009574E7">
            <w:pPr>
              <w:pStyle w:val="Tableboldblue"/>
              <w:jc w:val="right"/>
              <w:rPr>
                <w:rFonts w:eastAsia="Arial"/>
              </w:rPr>
            </w:pPr>
            <w:r w:rsidRPr="00256982">
              <w:rPr>
                <w:rFonts w:cs="Arial"/>
                <w:bCs/>
                <w:szCs w:val="16"/>
              </w:rPr>
              <w:t>+26.9</w:t>
            </w:r>
          </w:p>
        </w:tc>
      </w:tr>
    </w:tbl>
    <w:p w14:paraId="129C93E1" w14:textId="77777777" w:rsidR="00380BE7" w:rsidRPr="00256982" w:rsidRDefault="00380BE7" w:rsidP="00380BE7">
      <w:pPr>
        <w:pStyle w:val="Noteundertable"/>
      </w:pPr>
      <w:r w:rsidRPr="00256982">
        <w:rPr>
          <w:b/>
        </w:rPr>
        <w:t>Note:</w:t>
      </w:r>
      <w:r w:rsidRPr="00256982">
        <w:tab/>
        <w:t>Net area in 1990 is as at 1 January 1990; net area in 2017 is as at 31 December. Net area values include land in a state of conversion to forest (due to land-use change prior to 1990) and afforestation since 1990. Net emissions estimates are for the whole year indicated. Columns may not total due to rounding. Emissions associated with the conversion of forest to other land uses are reported in the land use category the land is converted to.</w:t>
      </w:r>
    </w:p>
    <w:p w14:paraId="1BE1CE18" w14:textId="77777777" w:rsidR="00380BE7" w:rsidRPr="00256982" w:rsidRDefault="00380BE7" w:rsidP="00ED734E">
      <w:pPr>
        <w:pStyle w:val="BodyText"/>
        <w:spacing w:after="240"/>
      </w:pPr>
      <w:r w:rsidRPr="00256982">
        <w:t>Table 6.4.3 shows New Zealand’s carbon stock change by carbon pool within the</w:t>
      </w:r>
      <w:r w:rsidRPr="00256982">
        <w:rPr>
          <w:rFonts w:cs="Arial"/>
        </w:rPr>
        <w:t xml:space="preserve"> </w:t>
      </w:r>
      <w:r w:rsidRPr="00256982">
        <w:rPr>
          <w:rFonts w:cs="Arial"/>
          <w:i/>
        </w:rPr>
        <w:t>Forest</w:t>
      </w:r>
      <w:r w:rsidRPr="00256982">
        <w:rPr>
          <w:i/>
        </w:rPr>
        <w:t xml:space="preserve"> land</w:t>
      </w:r>
      <w:r w:rsidRPr="00256982">
        <w:t xml:space="preserve"> category from 1990 to 2017. Over this period, the total carbon stock stored in </w:t>
      </w:r>
      <w:r w:rsidRPr="00256982">
        <w:rPr>
          <w:i/>
        </w:rPr>
        <w:t>Forest land</w:t>
      </w:r>
      <w:r w:rsidRPr="00256982">
        <w:t xml:space="preserve"> has increased by 226,562.1 kt C, equivalent to emissions of –830,727.6 kt CO</w:t>
      </w:r>
      <w:r w:rsidRPr="00256982">
        <w:rPr>
          <w:vertAlign w:val="subscript"/>
        </w:rPr>
        <w:t>2</w:t>
      </w:r>
      <w:r w:rsidRPr="00256982">
        <w:t xml:space="preserve"> since 1990.</w:t>
      </w:r>
    </w:p>
    <w:p w14:paraId="40AC40C4" w14:textId="77777777" w:rsidR="00380BE7" w:rsidRPr="00256982" w:rsidRDefault="00380BE7" w:rsidP="00380BE7">
      <w:pPr>
        <w:pStyle w:val="Table"/>
      </w:pPr>
      <w:bookmarkStart w:id="1285" w:name="_Toc280630454"/>
      <w:bookmarkStart w:id="1286" w:name="_Toc310423406"/>
      <w:bookmarkStart w:id="1287" w:name="_Toc318362699"/>
      <w:bookmarkStart w:id="1288" w:name="_Toc342470761"/>
      <w:bookmarkStart w:id="1289" w:name="_Toc352505001"/>
      <w:bookmarkStart w:id="1290" w:name="_Toc373395726"/>
      <w:bookmarkStart w:id="1291" w:name="_Toc378853292"/>
      <w:bookmarkStart w:id="1292" w:name="_Toc391024090"/>
      <w:bookmarkStart w:id="1293" w:name="_Toc410028833"/>
      <w:bookmarkStart w:id="1294" w:name="_Toc414531461"/>
      <w:bookmarkStart w:id="1295" w:name="_Toc443645374"/>
      <w:bookmarkStart w:id="1296" w:name="_Toc474914593"/>
      <w:bookmarkStart w:id="1297" w:name="_Toc481751557"/>
      <w:bookmarkStart w:id="1298" w:name="_Toc522010614"/>
      <w:bookmarkStart w:id="1299" w:name="_Toc5269519"/>
      <w:r w:rsidRPr="00256982">
        <w:t>Table 6.4.3</w:t>
      </w:r>
      <w:r w:rsidRPr="00256982">
        <w:tab/>
        <w:t>New Zealand’s net carbon stock change by carbon pool for the</w:t>
      </w:r>
      <w:r w:rsidRPr="00256982">
        <w:rPr>
          <w:rFonts w:cs="Arial"/>
        </w:rPr>
        <w:t xml:space="preserve"> Forest</w:t>
      </w:r>
      <w:r w:rsidRPr="00256982">
        <w:t xml:space="preserve"> land category</w:t>
      </w:r>
      <w:r w:rsidRPr="00256982">
        <w:br/>
        <w:t>from 1990 to</w:t>
      </w:r>
      <w:bookmarkEnd w:id="1285"/>
      <w:bookmarkEnd w:id="1286"/>
      <w:bookmarkEnd w:id="1287"/>
      <w:bookmarkEnd w:id="1288"/>
      <w:bookmarkEnd w:id="1289"/>
      <w:bookmarkEnd w:id="1290"/>
      <w:bookmarkEnd w:id="1291"/>
      <w:bookmarkEnd w:id="1292"/>
      <w:r w:rsidRPr="00256982">
        <w:t> 201</w:t>
      </w:r>
      <w:bookmarkEnd w:id="1293"/>
      <w:bookmarkEnd w:id="1294"/>
      <w:bookmarkEnd w:id="1295"/>
      <w:bookmarkEnd w:id="1296"/>
      <w:bookmarkEnd w:id="1297"/>
      <w:r w:rsidRPr="00256982">
        <w:t>7</w:t>
      </w:r>
      <w:bookmarkEnd w:id="1298"/>
      <w:bookmarkEnd w:id="1299"/>
    </w:p>
    <w:tbl>
      <w:tblPr>
        <w:tblW w:w="8505" w:type="dxa"/>
        <w:tblInd w:w="108" w:type="dxa"/>
        <w:tblBorders>
          <w:bottom w:val="single" w:sz="8" w:space="0" w:color="365F91"/>
        </w:tblBorders>
        <w:tblLayout w:type="fixed"/>
        <w:tblLook w:val="04A0" w:firstRow="1" w:lastRow="0" w:firstColumn="1" w:lastColumn="0" w:noHBand="0" w:noVBand="1"/>
      </w:tblPr>
      <w:tblGrid>
        <w:gridCol w:w="2049"/>
        <w:gridCol w:w="1251"/>
        <w:gridCol w:w="1251"/>
        <w:gridCol w:w="1251"/>
        <w:gridCol w:w="1251"/>
        <w:gridCol w:w="1452"/>
      </w:tblGrid>
      <w:tr w:rsidR="00380BE7" w:rsidRPr="00256982" w14:paraId="4E359611" w14:textId="77777777" w:rsidTr="009574E7">
        <w:tc>
          <w:tcPr>
            <w:tcW w:w="2049" w:type="dxa"/>
            <w:vMerge w:val="restart"/>
            <w:tcBorders>
              <w:top w:val="single" w:sz="4" w:space="0" w:color="365F91"/>
              <w:bottom w:val="nil"/>
              <w:right w:val="nil"/>
            </w:tcBorders>
            <w:shd w:val="clear" w:color="auto" w:fill="376092"/>
            <w:vAlign w:val="bottom"/>
          </w:tcPr>
          <w:p w14:paraId="2B3D7513" w14:textId="77777777" w:rsidR="00380BE7" w:rsidRPr="00256982" w:rsidRDefault="00380BE7" w:rsidP="009574E7">
            <w:pPr>
              <w:pStyle w:val="TableTextBold"/>
              <w:keepNext/>
              <w:spacing w:before="40" w:after="40"/>
              <w:rPr>
                <w:rFonts w:eastAsia="Arial"/>
                <w:noProof w:val="0"/>
                <w:color w:val="FFFFFF"/>
              </w:rPr>
            </w:pPr>
            <w:r w:rsidRPr="00256982">
              <w:rPr>
                <w:rFonts w:eastAsia="Arial"/>
                <w:noProof w:val="0"/>
                <w:color w:val="FFFFFF"/>
              </w:rPr>
              <w:t>Land use</w:t>
            </w:r>
          </w:p>
        </w:tc>
        <w:tc>
          <w:tcPr>
            <w:tcW w:w="5004" w:type="dxa"/>
            <w:gridSpan w:val="4"/>
            <w:tcBorders>
              <w:top w:val="single" w:sz="4" w:space="0" w:color="365F91"/>
              <w:bottom w:val="nil"/>
            </w:tcBorders>
            <w:shd w:val="clear" w:color="auto" w:fill="376092"/>
            <w:vAlign w:val="bottom"/>
          </w:tcPr>
          <w:p w14:paraId="6FC11385" w14:textId="77777777" w:rsidR="00380BE7" w:rsidRPr="00256982" w:rsidRDefault="00380BE7" w:rsidP="009574E7">
            <w:pPr>
              <w:pStyle w:val="TableTextBold"/>
              <w:spacing w:before="40" w:after="40"/>
              <w:jc w:val="center"/>
              <w:rPr>
                <w:rFonts w:eastAsia="Arial"/>
                <w:noProof w:val="0"/>
                <w:color w:val="FFFFFF"/>
              </w:rPr>
            </w:pPr>
            <w:r w:rsidRPr="00256982">
              <w:rPr>
                <w:rFonts w:eastAsia="Arial"/>
                <w:noProof w:val="0"/>
                <w:color w:val="FFFFFF"/>
              </w:rPr>
              <w:t>Net carbon stock change 1990–2017 (kt C)</w:t>
            </w:r>
          </w:p>
        </w:tc>
        <w:tc>
          <w:tcPr>
            <w:tcW w:w="1452" w:type="dxa"/>
            <w:vMerge w:val="restart"/>
            <w:tcBorders>
              <w:top w:val="single" w:sz="4" w:space="0" w:color="365F91"/>
              <w:bottom w:val="nil"/>
            </w:tcBorders>
            <w:shd w:val="clear" w:color="auto" w:fill="376092"/>
            <w:vAlign w:val="bottom"/>
          </w:tcPr>
          <w:p w14:paraId="5D16C94E" w14:textId="77777777" w:rsidR="00380BE7" w:rsidRPr="00256982" w:rsidRDefault="00380BE7" w:rsidP="009574E7">
            <w:pPr>
              <w:pStyle w:val="TableTextBold"/>
              <w:spacing w:before="40" w:after="40"/>
              <w:jc w:val="center"/>
              <w:rPr>
                <w:rFonts w:eastAsia="Arial"/>
                <w:noProof w:val="0"/>
                <w:color w:val="FFFFFF"/>
              </w:rPr>
            </w:pPr>
            <w:r w:rsidRPr="00256982">
              <w:rPr>
                <w:rFonts w:eastAsia="Arial"/>
                <w:noProof w:val="0"/>
                <w:color w:val="FFFFFF"/>
              </w:rPr>
              <w:t>Emissions 1990–2017</w:t>
            </w:r>
            <w:r w:rsidRPr="00256982">
              <w:rPr>
                <w:rFonts w:eastAsia="Arial"/>
                <w:noProof w:val="0"/>
                <w:color w:val="FFFFFF"/>
              </w:rPr>
              <w:br/>
              <w:t>(kt CO</w:t>
            </w:r>
            <w:r w:rsidRPr="00256982">
              <w:rPr>
                <w:rFonts w:eastAsia="Arial"/>
                <w:noProof w:val="0"/>
                <w:color w:val="FFFFFF"/>
                <w:vertAlign w:val="subscript"/>
              </w:rPr>
              <w:t>2</w:t>
            </w:r>
            <w:r w:rsidRPr="00256982">
              <w:rPr>
                <w:rFonts w:eastAsia="Arial"/>
                <w:noProof w:val="0"/>
                <w:color w:val="FFFFFF"/>
              </w:rPr>
              <w:t>)</w:t>
            </w:r>
          </w:p>
        </w:tc>
      </w:tr>
      <w:tr w:rsidR="00380BE7" w:rsidRPr="00256982" w14:paraId="1AB943B1" w14:textId="77777777" w:rsidTr="009574E7">
        <w:tc>
          <w:tcPr>
            <w:tcW w:w="2049" w:type="dxa"/>
            <w:vMerge/>
            <w:tcBorders>
              <w:top w:val="nil"/>
              <w:bottom w:val="single" w:sz="4" w:space="0" w:color="365F91"/>
              <w:right w:val="nil"/>
            </w:tcBorders>
            <w:shd w:val="clear" w:color="auto" w:fill="376092"/>
            <w:vAlign w:val="bottom"/>
          </w:tcPr>
          <w:p w14:paraId="78CAF71E" w14:textId="77777777" w:rsidR="00380BE7" w:rsidRPr="00256982" w:rsidRDefault="00380BE7" w:rsidP="009574E7">
            <w:pPr>
              <w:pStyle w:val="TableTextBold"/>
              <w:keepNext/>
              <w:spacing w:before="40" w:after="40"/>
              <w:jc w:val="center"/>
              <w:rPr>
                <w:rFonts w:eastAsia="Arial"/>
                <w:noProof w:val="0"/>
                <w:color w:val="FFFFFF"/>
              </w:rPr>
            </w:pPr>
          </w:p>
        </w:tc>
        <w:tc>
          <w:tcPr>
            <w:tcW w:w="1251" w:type="dxa"/>
            <w:tcBorders>
              <w:top w:val="nil"/>
              <w:bottom w:val="single" w:sz="4" w:space="0" w:color="365F91"/>
            </w:tcBorders>
            <w:shd w:val="clear" w:color="auto" w:fill="376092"/>
            <w:vAlign w:val="bottom"/>
          </w:tcPr>
          <w:p w14:paraId="1D773E26" w14:textId="77777777" w:rsidR="00380BE7" w:rsidRPr="00256982" w:rsidRDefault="00380BE7" w:rsidP="009574E7">
            <w:pPr>
              <w:pStyle w:val="TableTextBold"/>
              <w:spacing w:before="40" w:after="40"/>
              <w:jc w:val="center"/>
              <w:rPr>
                <w:rFonts w:eastAsia="Arial"/>
                <w:noProof w:val="0"/>
                <w:color w:val="FFFFFF"/>
              </w:rPr>
            </w:pPr>
            <w:r w:rsidRPr="00256982">
              <w:rPr>
                <w:rFonts w:eastAsia="Arial"/>
                <w:noProof w:val="0"/>
                <w:color w:val="FFFFFF"/>
              </w:rPr>
              <w:t>Living biomass</w:t>
            </w:r>
          </w:p>
        </w:tc>
        <w:tc>
          <w:tcPr>
            <w:tcW w:w="1251" w:type="dxa"/>
            <w:tcBorders>
              <w:top w:val="nil"/>
              <w:bottom w:val="single" w:sz="4" w:space="0" w:color="365F91"/>
            </w:tcBorders>
            <w:shd w:val="clear" w:color="auto" w:fill="376092"/>
            <w:vAlign w:val="bottom"/>
          </w:tcPr>
          <w:p w14:paraId="02980236" w14:textId="77777777" w:rsidR="00380BE7" w:rsidRPr="00256982" w:rsidRDefault="00380BE7" w:rsidP="009574E7">
            <w:pPr>
              <w:pStyle w:val="TableTextBold"/>
              <w:spacing w:before="40" w:after="40"/>
              <w:jc w:val="center"/>
              <w:rPr>
                <w:rFonts w:eastAsia="Arial"/>
                <w:noProof w:val="0"/>
                <w:color w:val="FFFFFF"/>
              </w:rPr>
            </w:pPr>
            <w:r w:rsidRPr="00256982">
              <w:rPr>
                <w:rFonts w:eastAsia="Arial"/>
                <w:noProof w:val="0"/>
                <w:color w:val="FFFFFF"/>
              </w:rPr>
              <w:t>Dead organic matter</w:t>
            </w:r>
          </w:p>
        </w:tc>
        <w:tc>
          <w:tcPr>
            <w:tcW w:w="1251" w:type="dxa"/>
            <w:tcBorders>
              <w:top w:val="nil"/>
              <w:bottom w:val="single" w:sz="4" w:space="0" w:color="365F91"/>
            </w:tcBorders>
            <w:shd w:val="clear" w:color="auto" w:fill="376092"/>
            <w:vAlign w:val="bottom"/>
          </w:tcPr>
          <w:p w14:paraId="1C999342" w14:textId="77777777" w:rsidR="00380BE7" w:rsidRPr="00256982" w:rsidRDefault="00380BE7" w:rsidP="009574E7">
            <w:pPr>
              <w:pStyle w:val="TableTextBold"/>
              <w:spacing w:before="40" w:after="40"/>
              <w:jc w:val="center"/>
              <w:rPr>
                <w:rFonts w:eastAsia="Arial"/>
                <w:noProof w:val="0"/>
                <w:color w:val="FFFFFF"/>
              </w:rPr>
            </w:pPr>
            <w:r w:rsidRPr="00256982">
              <w:rPr>
                <w:rFonts w:eastAsia="Arial"/>
                <w:noProof w:val="0"/>
                <w:color w:val="FFFFFF"/>
              </w:rPr>
              <w:t>Soils</w:t>
            </w:r>
          </w:p>
        </w:tc>
        <w:tc>
          <w:tcPr>
            <w:tcW w:w="1251" w:type="dxa"/>
            <w:tcBorders>
              <w:top w:val="nil"/>
              <w:bottom w:val="single" w:sz="4" w:space="0" w:color="365F91"/>
            </w:tcBorders>
            <w:shd w:val="clear" w:color="auto" w:fill="376092"/>
            <w:vAlign w:val="bottom"/>
          </w:tcPr>
          <w:p w14:paraId="4AB302F3" w14:textId="77777777" w:rsidR="00380BE7" w:rsidRPr="00256982" w:rsidRDefault="00380BE7" w:rsidP="009574E7">
            <w:pPr>
              <w:pStyle w:val="TableTextBold"/>
              <w:spacing w:before="40" w:after="40"/>
              <w:jc w:val="center"/>
              <w:rPr>
                <w:rFonts w:eastAsia="Arial"/>
                <w:noProof w:val="0"/>
                <w:color w:val="FFFFFF"/>
              </w:rPr>
            </w:pPr>
            <w:r w:rsidRPr="00256982">
              <w:rPr>
                <w:rFonts w:eastAsia="Arial"/>
                <w:noProof w:val="0"/>
                <w:color w:val="FFFFFF"/>
              </w:rPr>
              <w:t>Total</w:t>
            </w:r>
          </w:p>
        </w:tc>
        <w:tc>
          <w:tcPr>
            <w:tcW w:w="1452" w:type="dxa"/>
            <w:vMerge/>
            <w:tcBorders>
              <w:top w:val="nil"/>
              <w:bottom w:val="single" w:sz="4" w:space="0" w:color="365F91"/>
            </w:tcBorders>
            <w:shd w:val="clear" w:color="auto" w:fill="376092"/>
            <w:vAlign w:val="bottom"/>
          </w:tcPr>
          <w:p w14:paraId="5085090E" w14:textId="77777777" w:rsidR="00380BE7" w:rsidRPr="00256982" w:rsidRDefault="00380BE7" w:rsidP="009574E7">
            <w:pPr>
              <w:pStyle w:val="TableTextBold"/>
              <w:spacing w:before="40" w:after="40"/>
              <w:jc w:val="center"/>
              <w:rPr>
                <w:rFonts w:eastAsia="Arial"/>
                <w:noProof w:val="0"/>
                <w:color w:val="FFFFFF"/>
              </w:rPr>
            </w:pPr>
          </w:p>
        </w:tc>
      </w:tr>
      <w:tr w:rsidR="00380BE7" w:rsidRPr="00256982" w14:paraId="2780F3C7" w14:textId="77777777" w:rsidTr="009574E7">
        <w:tc>
          <w:tcPr>
            <w:tcW w:w="2049" w:type="dxa"/>
            <w:tcBorders>
              <w:top w:val="single" w:sz="4" w:space="0" w:color="365F91"/>
              <w:bottom w:val="single" w:sz="4" w:space="0" w:color="365F91"/>
              <w:right w:val="nil"/>
            </w:tcBorders>
            <w:shd w:val="clear" w:color="auto" w:fill="auto"/>
          </w:tcPr>
          <w:p w14:paraId="50669C77" w14:textId="77777777" w:rsidR="00380BE7" w:rsidRPr="00256982" w:rsidRDefault="00380BE7" w:rsidP="009574E7">
            <w:pPr>
              <w:pStyle w:val="TableText"/>
              <w:rPr>
                <w:rFonts w:eastAsia="Arial"/>
              </w:rPr>
            </w:pPr>
            <w:r w:rsidRPr="00256982">
              <w:rPr>
                <w:rFonts w:eastAsia="Arial"/>
              </w:rPr>
              <w:t>Pre-1990 natural forest</w:t>
            </w:r>
          </w:p>
        </w:tc>
        <w:tc>
          <w:tcPr>
            <w:tcW w:w="1251" w:type="dxa"/>
            <w:tcBorders>
              <w:top w:val="single" w:sz="4" w:space="0" w:color="365F91"/>
              <w:bottom w:val="single" w:sz="4" w:space="0" w:color="365F91"/>
            </w:tcBorders>
            <w:shd w:val="clear" w:color="auto" w:fill="auto"/>
            <w:vAlign w:val="center"/>
          </w:tcPr>
          <w:p w14:paraId="0B8D5FCB" w14:textId="77777777" w:rsidR="00380BE7" w:rsidRPr="00256982" w:rsidRDefault="00380BE7" w:rsidP="009574E7">
            <w:pPr>
              <w:pStyle w:val="TableText"/>
              <w:jc w:val="right"/>
              <w:rPr>
                <w:rFonts w:eastAsia="Arial"/>
              </w:rPr>
            </w:pPr>
            <w:r w:rsidRPr="00256982">
              <w:rPr>
                <w:rFonts w:cs="Arial"/>
                <w:color w:val="000000"/>
                <w:szCs w:val="16"/>
              </w:rPr>
              <w:t>44,790.1</w:t>
            </w:r>
          </w:p>
        </w:tc>
        <w:tc>
          <w:tcPr>
            <w:tcW w:w="1251" w:type="dxa"/>
            <w:tcBorders>
              <w:top w:val="single" w:sz="4" w:space="0" w:color="365F91"/>
              <w:bottom w:val="single" w:sz="4" w:space="0" w:color="365F91"/>
            </w:tcBorders>
            <w:shd w:val="clear" w:color="auto" w:fill="auto"/>
            <w:vAlign w:val="center"/>
          </w:tcPr>
          <w:p w14:paraId="49A0AB10" w14:textId="77777777" w:rsidR="00380BE7" w:rsidRPr="00256982" w:rsidRDefault="00380BE7" w:rsidP="009574E7">
            <w:pPr>
              <w:pStyle w:val="TableText"/>
              <w:jc w:val="right"/>
              <w:rPr>
                <w:rFonts w:eastAsia="Arial"/>
              </w:rPr>
            </w:pPr>
            <w:r w:rsidRPr="00256982">
              <w:rPr>
                <w:rFonts w:cs="Arial"/>
                <w:color w:val="000000"/>
                <w:szCs w:val="16"/>
              </w:rPr>
              <w:t>2,411.5</w:t>
            </w:r>
          </w:p>
        </w:tc>
        <w:tc>
          <w:tcPr>
            <w:tcW w:w="1251" w:type="dxa"/>
            <w:tcBorders>
              <w:top w:val="single" w:sz="4" w:space="0" w:color="365F91"/>
              <w:bottom w:val="single" w:sz="4" w:space="0" w:color="365F91"/>
            </w:tcBorders>
            <w:shd w:val="clear" w:color="auto" w:fill="auto"/>
            <w:vAlign w:val="center"/>
          </w:tcPr>
          <w:p w14:paraId="33CF671F" w14:textId="77777777" w:rsidR="00380BE7" w:rsidRPr="00256982" w:rsidRDefault="00380BE7" w:rsidP="009574E7">
            <w:pPr>
              <w:pStyle w:val="TableText"/>
              <w:jc w:val="right"/>
              <w:rPr>
                <w:rFonts w:eastAsia="Arial"/>
              </w:rPr>
            </w:pPr>
            <w:r w:rsidRPr="00256982">
              <w:t>–</w:t>
            </w:r>
            <w:r w:rsidRPr="00256982">
              <w:rPr>
                <w:rFonts w:cs="Arial"/>
                <w:color w:val="000000"/>
                <w:szCs w:val="16"/>
              </w:rPr>
              <w:t>138.0</w:t>
            </w:r>
          </w:p>
        </w:tc>
        <w:tc>
          <w:tcPr>
            <w:tcW w:w="1251" w:type="dxa"/>
            <w:tcBorders>
              <w:top w:val="single" w:sz="4" w:space="0" w:color="365F91"/>
              <w:bottom w:val="single" w:sz="4" w:space="0" w:color="365F91"/>
            </w:tcBorders>
            <w:shd w:val="clear" w:color="auto" w:fill="auto"/>
            <w:vAlign w:val="bottom"/>
          </w:tcPr>
          <w:p w14:paraId="36B3CFBA" w14:textId="77777777" w:rsidR="00380BE7" w:rsidRPr="00256982" w:rsidRDefault="00380BE7" w:rsidP="009574E7">
            <w:pPr>
              <w:pStyle w:val="TableText"/>
              <w:jc w:val="right"/>
              <w:rPr>
                <w:rFonts w:eastAsia="Arial"/>
              </w:rPr>
            </w:pPr>
            <w:r w:rsidRPr="00256982">
              <w:rPr>
                <w:rFonts w:cs="Arial"/>
                <w:color w:val="000000"/>
                <w:szCs w:val="16"/>
              </w:rPr>
              <w:t>47,063.5</w:t>
            </w:r>
          </w:p>
        </w:tc>
        <w:tc>
          <w:tcPr>
            <w:tcW w:w="1452" w:type="dxa"/>
            <w:tcBorders>
              <w:top w:val="single" w:sz="4" w:space="0" w:color="365F91"/>
              <w:bottom w:val="single" w:sz="4" w:space="0" w:color="365F91"/>
            </w:tcBorders>
            <w:shd w:val="clear" w:color="auto" w:fill="auto"/>
            <w:vAlign w:val="bottom"/>
          </w:tcPr>
          <w:p w14:paraId="2B34E6A4" w14:textId="77777777" w:rsidR="00380BE7" w:rsidRPr="00256982" w:rsidRDefault="00380BE7" w:rsidP="009574E7">
            <w:pPr>
              <w:pStyle w:val="TableText"/>
              <w:jc w:val="right"/>
              <w:rPr>
                <w:rFonts w:eastAsia="Arial"/>
              </w:rPr>
            </w:pPr>
            <w:r w:rsidRPr="00256982">
              <w:t>–</w:t>
            </w:r>
            <w:r w:rsidRPr="00256982">
              <w:rPr>
                <w:rFonts w:cs="Arial"/>
                <w:color w:val="000000"/>
                <w:szCs w:val="16"/>
              </w:rPr>
              <w:t>172,566.2</w:t>
            </w:r>
          </w:p>
        </w:tc>
      </w:tr>
      <w:tr w:rsidR="00380BE7" w:rsidRPr="00256982" w14:paraId="555BEC07" w14:textId="77777777" w:rsidTr="009574E7">
        <w:tc>
          <w:tcPr>
            <w:tcW w:w="2049" w:type="dxa"/>
            <w:tcBorders>
              <w:top w:val="single" w:sz="4" w:space="0" w:color="365F91"/>
              <w:bottom w:val="single" w:sz="4" w:space="0" w:color="365F91"/>
              <w:right w:val="nil"/>
            </w:tcBorders>
            <w:shd w:val="clear" w:color="auto" w:fill="auto"/>
          </w:tcPr>
          <w:p w14:paraId="1914D6BD" w14:textId="77777777" w:rsidR="00380BE7" w:rsidRPr="00256982" w:rsidRDefault="00380BE7" w:rsidP="009574E7">
            <w:pPr>
              <w:pStyle w:val="TableText"/>
              <w:rPr>
                <w:rFonts w:eastAsia="Arial"/>
              </w:rPr>
            </w:pPr>
            <w:r w:rsidRPr="00256982">
              <w:rPr>
                <w:rFonts w:eastAsia="Arial"/>
              </w:rPr>
              <w:t>Pre-1990 planted forest</w:t>
            </w:r>
          </w:p>
        </w:tc>
        <w:tc>
          <w:tcPr>
            <w:tcW w:w="1251" w:type="dxa"/>
            <w:tcBorders>
              <w:top w:val="single" w:sz="4" w:space="0" w:color="365F91"/>
              <w:bottom w:val="single" w:sz="4" w:space="0" w:color="365F91"/>
            </w:tcBorders>
            <w:shd w:val="clear" w:color="auto" w:fill="auto"/>
            <w:vAlign w:val="center"/>
          </w:tcPr>
          <w:p w14:paraId="4F7EC20A" w14:textId="77777777" w:rsidR="00380BE7" w:rsidRPr="00256982" w:rsidRDefault="00380BE7" w:rsidP="009574E7">
            <w:pPr>
              <w:pStyle w:val="TableText"/>
              <w:jc w:val="right"/>
              <w:rPr>
                <w:rFonts w:eastAsia="Arial"/>
              </w:rPr>
            </w:pPr>
            <w:r w:rsidRPr="00256982">
              <w:rPr>
                <w:rFonts w:cs="Arial"/>
                <w:color w:val="000000"/>
                <w:szCs w:val="16"/>
              </w:rPr>
              <w:t>86,763.9</w:t>
            </w:r>
          </w:p>
        </w:tc>
        <w:tc>
          <w:tcPr>
            <w:tcW w:w="1251" w:type="dxa"/>
            <w:tcBorders>
              <w:top w:val="single" w:sz="4" w:space="0" w:color="365F91"/>
              <w:bottom w:val="single" w:sz="4" w:space="0" w:color="365F91"/>
            </w:tcBorders>
            <w:shd w:val="clear" w:color="auto" w:fill="auto"/>
            <w:vAlign w:val="center"/>
          </w:tcPr>
          <w:p w14:paraId="4CE6C802" w14:textId="77777777" w:rsidR="00380BE7" w:rsidRPr="00256982" w:rsidRDefault="00380BE7" w:rsidP="009574E7">
            <w:pPr>
              <w:pStyle w:val="TableText"/>
              <w:jc w:val="right"/>
              <w:rPr>
                <w:rFonts w:eastAsia="Arial"/>
              </w:rPr>
            </w:pPr>
            <w:r w:rsidRPr="00256982">
              <w:rPr>
                <w:rFonts w:cs="Arial"/>
                <w:color w:val="000000"/>
                <w:szCs w:val="16"/>
              </w:rPr>
              <w:t>19,906.5</w:t>
            </w:r>
          </w:p>
        </w:tc>
        <w:tc>
          <w:tcPr>
            <w:tcW w:w="1251" w:type="dxa"/>
            <w:tcBorders>
              <w:top w:val="single" w:sz="4" w:space="0" w:color="365F91"/>
              <w:bottom w:val="single" w:sz="4" w:space="0" w:color="365F91"/>
            </w:tcBorders>
            <w:shd w:val="clear" w:color="auto" w:fill="auto"/>
            <w:vAlign w:val="center"/>
          </w:tcPr>
          <w:p w14:paraId="4C93CE6A" w14:textId="77777777" w:rsidR="00380BE7" w:rsidRPr="00256982" w:rsidRDefault="00380BE7" w:rsidP="009574E7">
            <w:pPr>
              <w:pStyle w:val="TableText"/>
              <w:jc w:val="right"/>
              <w:rPr>
                <w:rFonts w:eastAsia="Arial"/>
              </w:rPr>
            </w:pPr>
            <w:r w:rsidRPr="00256982">
              <w:t>–</w:t>
            </w:r>
            <w:r w:rsidRPr="00256982">
              <w:rPr>
                <w:rFonts w:cs="Arial"/>
                <w:color w:val="000000"/>
                <w:szCs w:val="16"/>
              </w:rPr>
              <w:t>4,237.3</w:t>
            </w:r>
          </w:p>
        </w:tc>
        <w:tc>
          <w:tcPr>
            <w:tcW w:w="1251" w:type="dxa"/>
            <w:tcBorders>
              <w:top w:val="single" w:sz="4" w:space="0" w:color="365F91"/>
              <w:bottom w:val="single" w:sz="4" w:space="0" w:color="365F91"/>
            </w:tcBorders>
            <w:shd w:val="clear" w:color="auto" w:fill="auto"/>
            <w:vAlign w:val="bottom"/>
          </w:tcPr>
          <w:p w14:paraId="5D62A29B" w14:textId="77777777" w:rsidR="00380BE7" w:rsidRPr="00256982" w:rsidRDefault="00380BE7" w:rsidP="009574E7">
            <w:pPr>
              <w:pStyle w:val="TableText"/>
              <w:jc w:val="right"/>
              <w:rPr>
                <w:rFonts w:eastAsia="Arial"/>
              </w:rPr>
            </w:pPr>
            <w:r w:rsidRPr="00256982">
              <w:rPr>
                <w:rFonts w:cs="Arial"/>
                <w:color w:val="000000"/>
                <w:szCs w:val="16"/>
              </w:rPr>
              <w:t>102,433.1</w:t>
            </w:r>
          </w:p>
        </w:tc>
        <w:tc>
          <w:tcPr>
            <w:tcW w:w="1452" w:type="dxa"/>
            <w:tcBorders>
              <w:top w:val="single" w:sz="4" w:space="0" w:color="365F91"/>
              <w:bottom w:val="single" w:sz="4" w:space="0" w:color="365F91"/>
            </w:tcBorders>
            <w:shd w:val="clear" w:color="auto" w:fill="auto"/>
            <w:vAlign w:val="bottom"/>
          </w:tcPr>
          <w:p w14:paraId="2C04F5F1" w14:textId="77777777" w:rsidR="00380BE7" w:rsidRPr="00256982" w:rsidRDefault="00380BE7" w:rsidP="009574E7">
            <w:pPr>
              <w:pStyle w:val="TableText"/>
              <w:jc w:val="right"/>
              <w:rPr>
                <w:rFonts w:eastAsia="Arial"/>
              </w:rPr>
            </w:pPr>
            <w:r w:rsidRPr="00256982">
              <w:t>–</w:t>
            </w:r>
            <w:r w:rsidRPr="00256982">
              <w:rPr>
                <w:rFonts w:cs="Arial"/>
                <w:color w:val="000000"/>
                <w:szCs w:val="16"/>
              </w:rPr>
              <w:t>375,588.2</w:t>
            </w:r>
          </w:p>
        </w:tc>
      </w:tr>
      <w:tr w:rsidR="00380BE7" w:rsidRPr="00256982" w14:paraId="14544594" w14:textId="77777777" w:rsidTr="009574E7">
        <w:tc>
          <w:tcPr>
            <w:tcW w:w="2049" w:type="dxa"/>
            <w:tcBorders>
              <w:top w:val="single" w:sz="4" w:space="0" w:color="365F91"/>
              <w:bottom w:val="single" w:sz="4" w:space="0" w:color="365F91"/>
              <w:right w:val="nil"/>
            </w:tcBorders>
            <w:shd w:val="clear" w:color="auto" w:fill="auto"/>
          </w:tcPr>
          <w:p w14:paraId="427A9B57" w14:textId="77777777" w:rsidR="00380BE7" w:rsidRPr="00256982" w:rsidRDefault="00380BE7" w:rsidP="009574E7">
            <w:pPr>
              <w:pStyle w:val="TableText"/>
              <w:rPr>
                <w:rFonts w:eastAsia="Arial"/>
              </w:rPr>
            </w:pPr>
            <w:r w:rsidRPr="00256982">
              <w:rPr>
                <w:rFonts w:eastAsia="Arial"/>
              </w:rPr>
              <w:t xml:space="preserve">Post-1989 forest </w:t>
            </w:r>
          </w:p>
        </w:tc>
        <w:tc>
          <w:tcPr>
            <w:tcW w:w="1251" w:type="dxa"/>
            <w:tcBorders>
              <w:top w:val="single" w:sz="4" w:space="0" w:color="365F91"/>
              <w:bottom w:val="single" w:sz="4" w:space="0" w:color="365F91"/>
            </w:tcBorders>
            <w:shd w:val="clear" w:color="auto" w:fill="auto"/>
            <w:vAlign w:val="center"/>
          </w:tcPr>
          <w:p w14:paraId="74A6276D" w14:textId="77777777" w:rsidR="00380BE7" w:rsidRPr="00256982" w:rsidRDefault="00380BE7" w:rsidP="009574E7">
            <w:pPr>
              <w:pStyle w:val="TableText"/>
              <w:jc w:val="right"/>
              <w:rPr>
                <w:rFonts w:eastAsia="Arial"/>
              </w:rPr>
            </w:pPr>
            <w:r w:rsidRPr="00256982">
              <w:rPr>
                <w:rFonts w:cs="Arial"/>
                <w:color w:val="000000"/>
                <w:szCs w:val="16"/>
              </w:rPr>
              <w:t>74,698.5</w:t>
            </w:r>
          </w:p>
        </w:tc>
        <w:tc>
          <w:tcPr>
            <w:tcW w:w="1251" w:type="dxa"/>
            <w:tcBorders>
              <w:top w:val="single" w:sz="4" w:space="0" w:color="365F91"/>
              <w:bottom w:val="single" w:sz="4" w:space="0" w:color="365F91"/>
            </w:tcBorders>
            <w:shd w:val="clear" w:color="auto" w:fill="auto"/>
            <w:vAlign w:val="center"/>
          </w:tcPr>
          <w:p w14:paraId="25438419" w14:textId="77777777" w:rsidR="00380BE7" w:rsidRPr="00256982" w:rsidRDefault="00380BE7" w:rsidP="009574E7">
            <w:pPr>
              <w:pStyle w:val="TableText"/>
              <w:jc w:val="right"/>
              <w:rPr>
                <w:rFonts w:eastAsia="Arial"/>
              </w:rPr>
            </w:pPr>
            <w:r w:rsidRPr="00256982">
              <w:rPr>
                <w:rFonts w:cs="Arial"/>
                <w:color w:val="000000"/>
                <w:szCs w:val="16"/>
              </w:rPr>
              <w:t>9,779.8</w:t>
            </w:r>
          </w:p>
        </w:tc>
        <w:tc>
          <w:tcPr>
            <w:tcW w:w="1251" w:type="dxa"/>
            <w:tcBorders>
              <w:top w:val="single" w:sz="4" w:space="0" w:color="365F91"/>
              <w:bottom w:val="single" w:sz="4" w:space="0" w:color="365F91"/>
            </w:tcBorders>
            <w:shd w:val="clear" w:color="auto" w:fill="auto"/>
            <w:vAlign w:val="center"/>
          </w:tcPr>
          <w:p w14:paraId="2A2F8488" w14:textId="77777777" w:rsidR="00380BE7" w:rsidRPr="00256982" w:rsidRDefault="00380BE7" w:rsidP="009574E7">
            <w:pPr>
              <w:pStyle w:val="TableText"/>
              <w:jc w:val="right"/>
              <w:rPr>
                <w:rFonts w:eastAsia="Arial"/>
              </w:rPr>
            </w:pPr>
            <w:r w:rsidRPr="00256982">
              <w:t>–</w:t>
            </w:r>
            <w:r w:rsidRPr="00256982">
              <w:rPr>
                <w:rFonts w:cs="Arial"/>
                <w:color w:val="000000"/>
                <w:szCs w:val="16"/>
              </w:rPr>
              <w:t>7,412.9</w:t>
            </w:r>
          </w:p>
        </w:tc>
        <w:tc>
          <w:tcPr>
            <w:tcW w:w="1251" w:type="dxa"/>
            <w:tcBorders>
              <w:top w:val="single" w:sz="4" w:space="0" w:color="365F91"/>
              <w:bottom w:val="single" w:sz="4" w:space="0" w:color="365F91"/>
            </w:tcBorders>
            <w:shd w:val="clear" w:color="auto" w:fill="auto"/>
            <w:vAlign w:val="bottom"/>
          </w:tcPr>
          <w:p w14:paraId="7BFC19E3" w14:textId="77777777" w:rsidR="00380BE7" w:rsidRPr="00256982" w:rsidRDefault="00380BE7" w:rsidP="009574E7">
            <w:pPr>
              <w:pStyle w:val="TableText"/>
              <w:jc w:val="right"/>
              <w:rPr>
                <w:rFonts w:eastAsia="Arial"/>
              </w:rPr>
            </w:pPr>
            <w:r w:rsidRPr="00256982">
              <w:rPr>
                <w:rFonts w:cs="Arial"/>
                <w:color w:val="000000"/>
                <w:szCs w:val="16"/>
              </w:rPr>
              <w:t>77,065.4</w:t>
            </w:r>
          </w:p>
        </w:tc>
        <w:tc>
          <w:tcPr>
            <w:tcW w:w="1452" w:type="dxa"/>
            <w:tcBorders>
              <w:top w:val="single" w:sz="4" w:space="0" w:color="365F91"/>
              <w:bottom w:val="single" w:sz="4" w:space="0" w:color="365F91"/>
            </w:tcBorders>
            <w:shd w:val="clear" w:color="auto" w:fill="auto"/>
            <w:vAlign w:val="bottom"/>
          </w:tcPr>
          <w:p w14:paraId="117A1A6B" w14:textId="77777777" w:rsidR="00380BE7" w:rsidRPr="00256982" w:rsidRDefault="00380BE7" w:rsidP="009574E7">
            <w:pPr>
              <w:pStyle w:val="TableText"/>
              <w:jc w:val="right"/>
              <w:rPr>
                <w:rFonts w:eastAsia="Arial"/>
              </w:rPr>
            </w:pPr>
            <w:r w:rsidRPr="00256982">
              <w:t>–</w:t>
            </w:r>
            <w:r w:rsidRPr="00256982">
              <w:rPr>
                <w:rFonts w:cs="Arial"/>
                <w:color w:val="000000"/>
                <w:szCs w:val="16"/>
              </w:rPr>
              <w:t>282,573.2</w:t>
            </w:r>
          </w:p>
        </w:tc>
      </w:tr>
      <w:tr w:rsidR="00380BE7" w:rsidRPr="00256982" w14:paraId="58448F1B" w14:textId="77777777" w:rsidTr="009574E7">
        <w:tc>
          <w:tcPr>
            <w:tcW w:w="2049" w:type="dxa"/>
            <w:tcBorders>
              <w:top w:val="single" w:sz="4" w:space="0" w:color="365F91"/>
              <w:bottom w:val="single" w:sz="4" w:space="0" w:color="365F91"/>
              <w:right w:val="nil"/>
            </w:tcBorders>
            <w:shd w:val="clear" w:color="auto" w:fill="auto"/>
          </w:tcPr>
          <w:p w14:paraId="7FFDF5E9" w14:textId="77777777" w:rsidR="00380BE7" w:rsidRPr="00256982" w:rsidRDefault="00380BE7" w:rsidP="009574E7">
            <w:pPr>
              <w:pStyle w:val="Tableboldblue"/>
              <w:rPr>
                <w:rFonts w:eastAsia="Arial"/>
              </w:rPr>
            </w:pPr>
            <w:r w:rsidRPr="00256982">
              <w:rPr>
                <w:rFonts w:eastAsia="Arial"/>
              </w:rPr>
              <w:t>Total</w:t>
            </w:r>
          </w:p>
        </w:tc>
        <w:tc>
          <w:tcPr>
            <w:tcW w:w="1251" w:type="dxa"/>
            <w:tcBorders>
              <w:top w:val="single" w:sz="4" w:space="0" w:color="365F91"/>
              <w:bottom w:val="single" w:sz="4" w:space="0" w:color="365F91"/>
            </w:tcBorders>
            <w:shd w:val="clear" w:color="auto" w:fill="auto"/>
            <w:vAlign w:val="center"/>
          </w:tcPr>
          <w:p w14:paraId="4CCFDFDC" w14:textId="77777777" w:rsidR="00380BE7" w:rsidRPr="00256982" w:rsidRDefault="00380BE7" w:rsidP="009574E7">
            <w:pPr>
              <w:pStyle w:val="Tableboldblue"/>
              <w:jc w:val="right"/>
              <w:rPr>
                <w:rFonts w:eastAsia="Arial"/>
              </w:rPr>
            </w:pPr>
            <w:r w:rsidRPr="00256982">
              <w:rPr>
                <w:rFonts w:cs="Arial"/>
                <w:bCs/>
                <w:color w:val="000000"/>
                <w:szCs w:val="16"/>
              </w:rPr>
              <w:t>206,252.5</w:t>
            </w:r>
          </w:p>
        </w:tc>
        <w:tc>
          <w:tcPr>
            <w:tcW w:w="1251" w:type="dxa"/>
            <w:tcBorders>
              <w:top w:val="single" w:sz="4" w:space="0" w:color="365F91"/>
              <w:bottom w:val="single" w:sz="4" w:space="0" w:color="365F91"/>
            </w:tcBorders>
            <w:shd w:val="clear" w:color="auto" w:fill="auto"/>
            <w:vAlign w:val="center"/>
          </w:tcPr>
          <w:p w14:paraId="5DCBCA45" w14:textId="77777777" w:rsidR="00380BE7" w:rsidRPr="00256982" w:rsidRDefault="00380BE7" w:rsidP="009574E7">
            <w:pPr>
              <w:pStyle w:val="Tableboldblue"/>
              <w:jc w:val="right"/>
              <w:rPr>
                <w:rFonts w:eastAsia="Arial"/>
              </w:rPr>
            </w:pPr>
            <w:r w:rsidRPr="00256982">
              <w:rPr>
                <w:rFonts w:cs="Arial"/>
                <w:bCs/>
                <w:color w:val="000000"/>
                <w:szCs w:val="16"/>
              </w:rPr>
              <w:t>32,097.8</w:t>
            </w:r>
          </w:p>
        </w:tc>
        <w:tc>
          <w:tcPr>
            <w:tcW w:w="1251" w:type="dxa"/>
            <w:tcBorders>
              <w:top w:val="single" w:sz="4" w:space="0" w:color="365F91"/>
              <w:bottom w:val="single" w:sz="4" w:space="0" w:color="365F91"/>
            </w:tcBorders>
            <w:shd w:val="clear" w:color="auto" w:fill="auto"/>
            <w:vAlign w:val="center"/>
          </w:tcPr>
          <w:p w14:paraId="6E1BA09D" w14:textId="77777777" w:rsidR="00380BE7" w:rsidRPr="00256982" w:rsidRDefault="00380BE7" w:rsidP="009574E7">
            <w:pPr>
              <w:pStyle w:val="Tableboldblue"/>
              <w:jc w:val="right"/>
              <w:rPr>
                <w:rFonts w:eastAsia="Arial"/>
              </w:rPr>
            </w:pPr>
            <w:r w:rsidRPr="00256982">
              <w:t>–</w:t>
            </w:r>
            <w:r w:rsidRPr="00256982">
              <w:rPr>
                <w:rFonts w:cs="Arial"/>
                <w:bCs/>
                <w:color w:val="000000"/>
                <w:szCs w:val="16"/>
              </w:rPr>
              <w:t>11,788.2</w:t>
            </w:r>
          </w:p>
        </w:tc>
        <w:tc>
          <w:tcPr>
            <w:tcW w:w="1251" w:type="dxa"/>
            <w:tcBorders>
              <w:top w:val="single" w:sz="4" w:space="0" w:color="365F91"/>
              <w:bottom w:val="single" w:sz="4" w:space="0" w:color="365F91"/>
            </w:tcBorders>
            <w:shd w:val="clear" w:color="auto" w:fill="auto"/>
            <w:vAlign w:val="bottom"/>
          </w:tcPr>
          <w:p w14:paraId="34EDA84A" w14:textId="77777777" w:rsidR="00380BE7" w:rsidRPr="00256982" w:rsidRDefault="00380BE7" w:rsidP="009574E7">
            <w:pPr>
              <w:pStyle w:val="Tableboldblue"/>
              <w:jc w:val="right"/>
              <w:rPr>
                <w:rFonts w:eastAsia="Arial"/>
              </w:rPr>
            </w:pPr>
            <w:r w:rsidRPr="00256982">
              <w:rPr>
                <w:rFonts w:cs="Arial"/>
                <w:bCs/>
                <w:color w:val="000000"/>
                <w:szCs w:val="16"/>
              </w:rPr>
              <w:t>226,562.1</w:t>
            </w:r>
          </w:p>
        </w:tc>
        <w:tc>
          <w:tcPr>
            <w:tcW w:w="1452" w:type="dxa"/>
            <w:tcBorders>
              <w:top w:val="single" w:sz="4" w:space="0" w:color="365F91"/>
              <w:bottom w:val="single" w:sz="4" w:space="0" w:color="365F91"/>
            </w:tcBorders>
            <w:shd w:val="clear" w:color="auto" w:fill="auto"/>
            <w:vAlign w:val="bottom"/>
          </w:tcPr>
          <w:p w14:paraId="1C5DDF19" w14:textId="77777777" w:rsidR="00380BE7" w:rsidRPr="00256982" w:rsidRDefault="00380BE7" w:rsidP="009574E7">
            <w:pPr>
              <w:pStyle w:val="Tableboldblue"/>
              <w:jc w:val="right"/>
              <w:rPr>
                <w:rFonts w:eastAsia="Arial"/>
              </w:rPr>
            </w:pPr>
            <w:r w:rsidRPr="00256982">
              <w:t>–</w:t>
            </w:r>
            <w:r w:rsidRPr="00256982">
              <w:rPr>
                <w:rFonts w:cs="Arial"/>
                <w:bCs/>
                <w:color w:val="000000"/>
                <w:szCs w:val="16"/>
              </w:rPr>
              <w:t>830,727.6</w:t>
            </w:r>
          </w:p>
        </w:tc>
      </w:tr>
    </w:tbl>
    <w:p w14:paraId="5932F485" w14:textId="77777777" w:rsidR="00380BE7" w:rsidRPr="00256982" w:rsidRDefault="00380BE7" w:rsidP="00380BE7">
      <w:pPr>
        <w:pStyle w:val="Noteundertable"/>
      </w:pPr>
      <w:r w:rsidRPr="00256982">
        <w:rPr>
          <w:b/>
        </w:rPr>
        <w:t>Note:</w:t>
      </w:r>
      <w:r w:rsidRPr="00256982">
        <w:tab/>
        <w:t>Emissions associated with the conversion of forest are reported in the land use category the land is converted to. Columns may not total due to rounding.</w:t>
      </w:r>
    </w:p>
    <w:p w14:paraId="12DB79DF" w14:textId="77777777" w:rsidR="00380BE7" w:rsidRPr="00256982" w:rsidRDefault="00380BE7" w:rsidP="00380BE7">
      <w:pPr>
        <w:pStyle w:val="Heading5"/>
        <w:spacing w:before="280"/>
      </w:pPr>
      <w:bookmarkStart w:id="1300" w:name="_Toc255466326"/>
      <w:bookmarkStart w:id="1301" w:name="_Toc261513133"/>
      <w:bookmarkStart w:id="1302" w:name="_Toc261513746"/>
      <w:bookmarkStart w:id="1303" w:name="_Toc280630242"/>
      <w:r w:rsidRPr="00256982">
        <w:lastRenderedPageBreak/>
        <w:t>Pre-1990 natural forest</w:t>
      </w:r>
      <w:bookmarkEnd w:id="1300"/>
      <w:bookmarkEnd w:id="1301"/>
      <w:bookmarkEnd w:id="1302"/>
      <w:bookmarkEnd w:id="1303"/>
    </w:p>
    <w:p w14:paraId="08DF148A" w14:textId="67AD77B3" w:rsidR="00380BE7" w:rsidRPr="00256982" w:rsidRDefault="00380BE7" w:rsidP="00380BE7">
      <w:pPr>
        <w:pStyle w:val="BodyText"/>
      </w:pPr>
      <w:r w:rsidRPr="00256982">
        <w:t>Pre-1990 natural forest is the term used to distinguish New Zealand’s native and unplanted (self-sown or naturally regenerated) forests that existed prior to 1990. This land use includes mature forest as well as areas of regenerating vegetation that has the potential to return to forest under the management regime that existed prior to 1990. Pre-1990 natural forest ecosystems comprise of a range of indigenous and some naturalised exotic species. In New Zealand, two principal types of natural forest exist: beech forests (</w:t>
      </w:r>
      <w:r w:rsidRPr="00256982">
        <w:rPr>
          <w:i/>
        </w:rPr>
        <w:t xml:space="preserve">Fuscospora </w:t>
      </w:r>
      <w:r w:rsidRPr="00256982">
        <w:t xml:space="preserve">and </w:t>
      </w:r>
      <w:r w:rsidRPr="00256982">
        <w:rPr>
          <w:i/>
        </w:rPr>
        <w:t>Lophozonia</w:t>
      </w:r>
      <w:r w:rsidRPr="00256982">
        <w:t xml:space="preserve"> species) and mixed podocarp–broadleaf forests. In addition, a wide range of seral plant communities fits into the natural forest land use where they have the potential to succeed to forest </w:t>
      </w:r>
      <w:r w:rsidRPr="00256982">
        <w:rPr>
          <w:i/>
        </w:rPr>
        <w:t>in situ</w:t>
      </w:r>
      <w:r w:rsidR="00ED734E" w:rsidRPr="00256982">
        <w:t xml:space="preserve">. At present, New </w:t>
      </w:r>
      <w:r w:rsidRPr="00256982">
        <w:t>Zealand has just over 7.8 million hectares of pre-1990 natural forest (including these seral</w:t>
      </w:r>
      <w:r w:rsidR="00ED734E" w:rsidRPr="00256982">
        <w:t> </w:t>
      </w:r>
      <w:r w:rsidRPr="00256982">
        <w:t>plant communities). Pre-1990 natural forest equates to 29.0 per cent of New Zealand’s total land area.</w:t>
      </w:r>
    </w:p>
    <w:p w14:paraId="7123B245" w14:textId="77777777" w:rsidR="00380BE7" w:rsidRPr="00256982" w:rsidRDefault="00380BE7" w:rsidP="00380BE7">
      <w:pPr>
        <w:pStyle w:val="Heading5"/>
      </w:pPr>
      <w:bookmarkStart w:id="1304" w:name="_Toc255466327"/>
      <w:bookmarkStart w:id="1305" w:name="_Toc261513134"/>
      <w:bookmarkStart w:id="1306" w:name="_Toc261513747"/>
      <w:bookmarkStart w:id="1307" w:name="_Toc280630243"/>
      <w:r w:rsidRPr="00256982">
        <w:t>Pre-1990 planted forest</w:t>
      </w:r>
      <w:bookmarkEnd w:id="1304"/>
      <w:bookmarkEnd w:id="1305"/>
      <w:bookmarkEnd w:id="1306"/>
      <w:bookmarkEnd w:id="1307"/>
    </w:p>
    <w:p w14:paraId="017AED7E" w14:textId="77777777" w:rsidR="00380BE7" w:rsidRPr="00256982" w:rsidRDefault="00380BE7" w:rsidP="00380BE7">
      <w:pPr>
        <w:pStyle w:val="BodyText"/>
      </w:pPr>
      <w:r w:rsidRPr="00256982">
        <w:t>New Zealand has a substantial estate of planted forests created specifically for timber-supply purposes. In 2017, pre-1990 planted forests covered an estimated 1.43 million hectares of New Zealand (5.3 per cent of the total land area). New Zealand’s planted forests are intensively managed and there are well-established data on the estate’s extent and characteristics. The supply of a renewable timber resource has allowed New Zealand to protect and sustainably manage its pre</w:t>
      </w:r>
      <w:r w:rsidRPr="00256982">
        <w:noBreakHyphen/>
        <w:t xml:space="preserve">1990 natural forests. </w:t>
      </w:r>
      <w:r w:rsidRPr="00256982">
        <w:rPr>
          <w:i/>
        </w:rPr>
        <w:t xml:space="preserve">Pinus radiata </w:t>
      </w:r>
      <w:r w:rsidRPr="00256982">
        <w:t>is the dominant species, making up 90 per cent of the planted forest area. These forests are usually composed of stands of trees of a single age class, and all forests are subject to relatively standard silvicultural management regimes.</w:t>
      </w:r>
    </w:p>
    <w:p w14:paraId="63F5A7F4" w14:textId="77777777" w:rsidR="00380BE7" w:rsidRPr="00256982" w:rsidRDefault="00380BE7" w:rsidP="00380BE7">
      <w:pPr>
        <w:pStyle w:val="Heading5"/>
      </w:pPr>
      <w:bookmarkStart w:id="1308" w:name="_Toc255466328"/>
      <w:bookmarkStart w:id="1309" w:name="_Toc261513135"/>
      <w:bookmarkStart w:id="1310" w:name="_Toc261513748"/>
      <w:bookmarkStart w:id="1311" w:name="_Toc280630244"/>
      <w:r w:rsidRPr="00256982">
        <w:t>Post-1989 forest</w:t>
      </w:r>
      <w:bookmarkEnd w:id="1308"/>
      <w:bookmarkEnd w:id="1309"/>
      <w:bookmarkEnd w:id="1310"/>
      <w:bookmarkEnd w:id="1311"/>
    </w:p>
    <w:p w14:paraId="623929C9" w14:textId="72B55F99" w:rsidR="00380BE7" w:rsidRPr="00256982" w:rsidRDefault="00380BE7" w:rsidP="00380BE7">
      <w:pPr>
        <w:pStyle w:val="BodyText"/>
      </w:pPr>
      <w:r w:rsidRPr="00256982">
        <w:t xml:space="preserve">Between 1 January 1990 and 31 December 2017, the net area of forest established as a result of reforestation activities was 682,439 hectares (accounting for deforestation of post-1989 forests). It is estimated that 93.5 per cent of this forest type is planted forest, with the remaining area comprising natural forest. </w:t>
      </w:r>
      <w:r w:rsidRPr="00256982">
        <w:rPr>
          <w:i/>
        </w:rPr>
        <w:t xml:space="preserve">Pinus radiata </w:t>
      </w:r>
      <w:r w:rsidRPr="00256982">
        <w:t>comprises 90 per cent of the planted tree species in this forest</w:t>
      </w:r>
      <w:r w:rsidR="00ED734E" w:rsidRPr="00256982">
        <w:t xml:space="preserve"> </w:t>
      </w:r>
      <w:r w:rsidRPr="00256982">
        <w:t>type, with Douglas fir (</w:t>
      </w:r>
      <w:r w:rsidRPr="00256982">
        <w:rPr>
          <w:i/>
          <w:iCs/>
        </w:rPr>
        <w:t>Pseudotsuga menziesii</w:t>
      </w:r>
      <w:r w:rsidRPr="00256982">
        <w:t xml:space="preserve">) and </w:t>
      </w:r>
      <w:r w:rsidRPr="00256982">
        <w:rPr>
          <w:i/>
        </w:rPr>
        <w:t>Eucalyptus</w:t>
      </w:r>
      <w:r w:rsidRPr="00256982">
        <w:t xml:space="preserve"> species the majority of the remainder (Ministry for Primary Industries, 2017. The natural forest component of post-1989 forest comprises early successional vegetation, similar to the seral plant communities in pre</w:t>
      </w:r>
      <w:r w:rsidR="00ED734E" w:rsidRPr="00256982">
        <w:noBreakHyphen/>
      </w:r>
      <w:r w:rsidRPr="00256982">
        <w:t>1990 natural forest but at earlier successional stages.</w:t>
      </w:r>
    </w:p>
    <w:p w14:paraId="4604E9C6" w14:textId="77777777" w:rsidR="00380BE7" w:rsidRPr="00256982" w:rsidRDefault="00380BE7" w:rsidP="00380BE7">
      <w:pPr>
        <w:pStyle w:val="BodyText"/>
      </w:pPr>
      <w:r w:rsidRPr="00256982">
        <w:t>The new forest planting rate (afforestation) between 1990 and 2017 was, on average, 25,457 hectares per year. New planting rates were high from 1992 to 1998, averaging 61,877 hectares per year (see figure 6.4.1). A change in the taxation regime, an unprecedented price spike for forest products (with subsequent favourable publicity), a government focus on forestry as an instrument for regional development, and the conclusion of the state forest assets sale all contributed to high planting rates in the mid-1990s. The removal of agricultural subsidies and the generally poor performance of the New Zealand and international share markets also encouraged investors to seek alternatives (Rhodes and Novis, 2002).</w:t>
      </w:r>
    </w:p>
    <w:p w14:paraId="45891E08" w14:textId="77777777" w:rsidR="00380BE7" w:rsidRPr="00256982" w:rsidRDefault="00380BE7" w:rsidP="00380BE7">
      <w:pPr>
        <w:pStyle w:val="BodyText"/>
      </w:pPr>
      <w:r w:rsidRPr="00256982">
        <w:t xml:space="preserve">The rate of new planting declined from 1996, reaching an estimated low of 2,957 hectares in 2014. Afforestation has remained relatively low since then. The increase in planting between 2008 and 2012 is largely attributable to the NZ ETS (Ministry for Primary Industries, 2015b), the Afforestation Grant Scheme (Ministry for Primary Industries, 2015a) and the Permanent Forest Sink Initiative (Ministry for Primary Industries, 2015c), all of which were introduced by the New Zealand Government to encourage new planting and regeneration of natural ecosystems. A total of 6,536 hectares of new forest was planted in 2017. The reduction in planting rates has likely been caused by the relative profitability of other forms of land use, high rural land prices and a lack of confidence in the carbon market. However, the exclusion of international units from the NZ ETS on 31 May 2015, the conclusion of the NZ ETS review and the implementation of some of its findings have all contributed to higher carbon prices, which </w:t>
      </w:r>
      <w:r w:rsidRPr="00256982">
        <w:lastRenderedPageBreak/>
        <w:t xml:space="preserve">are expected to encourage larger areas of afforestation in the future. The One Billion Trees Fund is also expected to increase afforestation rates in future. The fund was established in 2018 to work in partnership with landowners and organisations to achieve the goal of planting 1 billion trees by 2028 (Te Uru Rākau, 2018). </w:t>
      </w:r>
    </w:p>
    <w:p w14:paraId="3851EF39" w14:textId="453D63AE" w:rsidR="00380BE7" w:rsidRPr="00256982" w:rsidRDefault="00380BE7" w:rsidP="00380BE7">
      <w:pPr>
        <w:pStyle w:val="BodyText"/>
      </w:pPr>
      <w:r w:rsidRPr="00256982">
        <w:t>The area defined and reported as planted forest under the Convention differs from the area captured by the NEFD from which the new planting and harvesting statistics are sourced. Convention reporting uses a gross stocked area standard, which includes forest tracks, skid sites and unstocked areas. The NEFD reports to a net stocked area standard. To account for these area differences, the net productive forest area has been identified and modelled separately. This ensures harvesting data used for Convention reporting are consistent with those reported by the Ministry for Primary Industries. Furthermore, an unstocked area component was added to the</w:t>
      </w:r>
      <w:r w:rsidR="00ED734E" w:rsidRPr="00256982">
        <w:t> </w:t>
      </w:r>
      <w:r w:rsidRPr="00256982">
        <w:t>new planting statistics between 2013 and 2017 to maintain consistency with the mapped area used up to 2012. This ensures the planted forest areas used for Convention reporting are consistent with those reported by the Ministry for Primary Industries and that time-series consistency is maintained for Convention reporting. The individual emission factors for the productive and unstocked areas are derived from appropriate plots in the national plot network, as described in section 6.4.2.</w:t>
      </w:r>
    </w:p>
    <w:p w14:paraId="3A534123" w14:textId="77777777" w:rsidR="00380BE7" w:rsidRPr="00256982" w:rsidRDefault="00380BE7" w:rsidP="00380BE7">
      <w:pPr>
        <w:pStyle w:val="Figure"/>
      </w:pPr>
      <w:bookmarkStart w:id="1312" w:name="_Toc474914646"/>
      <w:bookmarkStart w:id="1313" w:name="_Toc481752028"/>
      <w:bookmarkStart w:id="1314" w:name="_Toc522010706"/>
      <w:bookmarkStart w:id="1315" w:name="_Toc5269709"/>
      <w:r w:rsidRPr="00256982">
        <w:t>Figure 6.4.1</w:t>
      </w:r>
      <w:r w:rsidRPr="00256982">
        <w:tab/>
        <w:t>Annual areas of afforestation/reforestation in New Zealand from 1990 to 201</w:t>
      </w:r>
      <w:bookmarkEnd w:id="1312"/>
      <w:bookmarkEnd w:id="1313"/>
      <w:r w:rsidRPr="00256982">
        <w:t>7</w:t>
      </w:r>
      <w:bookmarkEnd w:id="1314"/>
      <w:bookmarkEnd w:id="1315"/>
    </w:p>
    <w:p w14:paraId="26F6B6FB" w14:textId="4AB083A5" w:rsidR="00380BE7" w:rsidRPr="00256982" w:rsidRDefault="00590491" w:rsidP="00380BE7">
      <w:r>
        <w:rPr>
          <w:lang w:eastAsia="en-NZ"/>
        </w:rPr>
        <w:pict w14:anchorId="58294757">
          <v:shape id="Chart 12" o:spid="_x0000_i1140" type="#_x0000_t75" style="width:426pt;height:264pt;visibility:visible" o:gfxdata="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">
            <v:imagedata r:id="rId205" o:title="" cropbottom="1804f"/>
            <o:lock v:ext="edit" aspectratio="f"/>
          </v:shape>
        </w:pict>
      </w:r>
    </w:p>
    <w:p w14:paraId="61D677CD" w14:textId="77777777" w:rsidR="00380BE7" w:rsidRPr="00256982" w:rsidRDefault="00380BE7" w:rsidP="00380BE7">
      <w:pPr>
        <w:pStyle w:val="Noteundertable"/>
      </w:pPr>
      <w:r w:rsidRPr="00256982">
        <w:rPr>
          <w:b/>
        </w:rPr>
        <w:t>Note:</w:t>
      </w:r>
      <w:r w:rsidRPr="00256982">
        <w:tab/>
        <w:t>Annual planting estimates are derived from annual surveys of forest nurseries, as published in the NEFD</w:t>
      </w:r>
      <w:r w:rsidRPr="00256982">
        <w:rPr>
          <w:i/>
        </w:rPr>
        <w:t xml:space="preserve"> </w:t>
      </w:r>
      <w:r w:rsidRPr="00256982">
        <w:t xml:space="preserve">(Ministry for Primary Industries, 2017), and have been scaled using a ratio derived from the LUCAS mapping of post-1989 forest area. </w:t>
      </w:r>
    </w:p>
    <w:p w14:paraId="7BBECB49" w14:textId="77777777" w:rsidR="00380BE7" w:rsidRPr="00256982" w:rsidRDefault="00380BE7" w:rsidP="00380BE7">
      <w:pPr>
        <w:pStyle w:val="BodyText"/>
      </w:pPr>
      <w:r w:rsidRPr="00256982">
        <w:t>Post-1989 forests did not become a net sink until 1996 (see figure 6.4.2) when net removals from forest growth surpassed net emissions. This was due to the loss of biomass in carbon stocks associated with the previous land use, in addition to the loss of soil carbon associated with a land-use change to forestry.</w:t>
      </w:r>
    </w:p>
    <w:p w14:paraId="6189AB39" w14:textId="77777777" w:rsidR="00380BE7" w:rsidRPr="00256982" w:rsidRDefault="00380BE7" w:rsidP="00380BE7">
      <w:pPr>
        <w:pStyle w:val="Figure"/>
      </w:pPr>
      <w:bookmarkStart w:id="1316" w:name="_Toc280630493"/>
      <w:bookmarkStart w:id="1317" w:name="_Toc318362751"/>
      <w:bookmarkStart w:id="1318" w:name="_Toc342470831"/>
      <w:bookmarkStart w:id="1319" w:name="_Toc352505159"/>
      <w:bookmarkStart w:id="1320" w:name="_Toc373395719"/>
      <w:bookmarkStart w:id="1321" w:name="_Toc378853342"/>
      <w:bookmarkStart w:id="1322" w:name="_Toc405448092"/>
      <w:bookmarkStart w:id="1323" w:name="_Toc414531624"/>
      <w:bookmarkStart w:id="1324" w:name="_Toc474914647"/>
      <w:bookmarkStart w:id="1325" w:name="_Toc481752029"/>
      <w:bookmarkStart w:id="1326" w:name="_Toc522010707"/>
      <w:bookmarkStart w:id="1327" w:name="_Toc5269710"/>
      <w:r w:rsidRPr="00256982">
        <w:lastRenderedPageBreak/>
        <w:t>Figure 6.4.2</w:t>
      </w:r>
      <w:r w:rsidRPr="00256982">
        <w:tab/>
        <w:t>New Zealand’s net carbon dioxide removals by post-1989 forests from 1990 to </w:t>
      </w:r>
      <w:bookmarkEnd w:id="1316"/>
      <w:bookmarkEnd w:id="1317"/>
      <w:bookmarkEnd w:id="1318"/>
      <w:bookmarkEnd w:id="1319"/>
      <w:bookmarkEnd w:id="1320"/>
      <w:bookmarkEnd w:id="1321"/>
      <w:r w:rsidRPr="00256982">
        <w:t>201</w:t>
      </w:r>
      <w:bookmarkEnd w:id="1322"/>
      <w:bookmarkEnd w:id="1323"/>
      <w:r w:rsidRPr="00256982">
        <w:t>7</w:t>
      </w:r>
      <w:bookmarkEnd w:id="1324"/>
      <w:bookmarkEnd w:id="1325"/>
      <w:bookmarkEnd w:id="1326"/>
      <w:bookmarkEnd w:id="1327"/>
    </w:p>
    <w:p w14:paraId="797AA5B6" w14:textId="373667C1" w:rsidR="00380BE7" w:rsidRPr="00256982" w:rsidRDefault="00590491" w:rsidP="00380BE7">
      <w:r>
        <w:rPr>
          <w:lang w:eastAsia="en-NZ"/>
        </w:rPr>
        <w:pict w14:anchorId="104FF8CA">
          <v:shape id="Chart 13" o:spid="_x0000_i1141" type="#_x0000_t75" style="width:417.75pt;height:258pt;visibility:visible" o:gfxdata="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">
            <v:imagedata r:id="rId206" o:title="" cropbottom="2412f"/>
            <o:lock v:ext="edit" aspectratio="f"/>
          </v:shape>
        </w:pict>
      </w:r>
    </w:p>
    <w:p w14:paraId="7904D016" w14:textId="77777777" w:rsidR="00380BE7" w:rsidRPr="00256982" w:rsidRDefault="00380BE7" w:rsidP="00ED734E">
      <w:pPr>
        <w:pStyle w:val="Heading5"/>
        <w:spacing w:before="360"/>
      </w:pPr>
      <w:bookmarkStart w:id="1328" w:name="_Toc255466329"/>
      <w:bookmarkStart w:id="1329" w:name="_Toc261513136"/>
      <w:bookmarkStart w:id="1330" w:name="_Toc261513749"/>
      <w:bookmarkStart w:id="1331" w:name="_Toc280630245"/>
      <w:r w:rsidRPr="00256982">
        <w:t>Deforestation</w:t>
      </w:r>
      <w:bookmarkEnd w:id="1328"/>
      <w:bookmarkEnd w:id="1329"/>
      <w:bookmarkEnd w:id="1330"/>
      <w:bookmarkEnd w:id="1331"/>
    </w:p>
    <w:p w14:paraId="48AFC99D" w14:textId="77777777" w:rsidR="00380BE7" w:rsidRPr="00256982" w:rsidRDefault="00380BE7" w:rsidP="00380BE7">
      <w:pPr>
        <w:pStyle w:val="BodyText"/>
      </w:pPr>
      <w:r w:rsidRPr="00256982">
        <w:t xml:space="preserve">In 2017, an estimated 4,007 hectares of </w:t>
      </w:r>
      <w:r w:rsidRPr="00256982">
        <w:rPr>
          <w:i/>
        </w:rPr>
        <w:t>Forest land</w:t>
      </w:r>
      <w:r w:rsidRPr="00256982">
        <w:t xml:space="preserve"> were converted to other land uses, primarily </w:t>
      </w:r>
      <w:r w:rsidRPr="00256982">
        <w:rPr>
          <w:i/>
        </w:rPr>
        <w:t>Grassland</w:t>
      </w:r>
      <w:r w:rsidRPr="00256982">
        <w:t xml:space="preserve">. Table 6.4.4 shows the areas of </w:t>
      </w:r>
      <w:r w:rsidRPr="00256982">
        <w:rPr>
          <w:i/>
        </w:rPr>
        <w:t>Forest land</w:t>
      </w:r>
      <w:r w:rsidRPr="00256982">
        <w:t xml:space="preserve"> subject to deforestation in 2017 and since 1990. The land uses that </w:t>
      </w:r>
      <w:r w:rsidRPr="00256982">
        <w:rPr>
          <w:i/>
        </w:rPr>
        <w:t>Forest land</w:t>
      </w:r>
      <w:r w:rsidRPr="00256982">
        <w:t xml:space="preserve"> has been converted to following deforestation are shown in tables 6.2.6 and 6.2.7.</w:t>
      </w:r>
    </w:p>
    <w:p w14:paraId="1AD65BFC" w14:textId="77777777" w:rsidR="00380BE7" w:rsidRPr="00256982" w:rsidRDefault="00380BE7" w:rsidP="00380BE7">
      <w:pPr>
        <w:pStyle w:val="Table"/>
      </w:pPr>
      <w:bookmarkStart w:id="1332" w:name="_Toc280630455"/>
      <w:bookmarkStart w:id="1333" w:name="_Toc310423407"/>
      <w:bookmarkStart w:id="1334" w:name="_Toc318362700"/>
      <w:bookmarkStart w:id="1335" w:name="_Toc342470762"/>
      <w:bookmarkStart w:id="1336" w:name="_Toc352505002"/>
      <w:bookmarkStart w:id="1337" w:name="_Toc373395727"/>
      <w:bookmarkStart w:id="1338" w:name="_Toc378853293"/>
      <w:bookmarkStart w:id="1339" w:name="_Toc391024091"/>
      <w:bookmarkStart w:id="1340" w:name="_Toc410028834"/>
      <w:bookmarkStart w:id="1341" w:name="_Toc414531462"/>
      <w:bookmarkStart w:id="1342" w:name="_Toc443645375"/>
      <w:bookmarkStart w:id="1343" w:name="_Toc474914594"/>
      <w:bookmarkStart w:id="1344" w:name="_Toc481751558"/>
      <w:bookmarkStart w:id="1345" w:name="_Toc522010615"/>
      <w:bookmarkStart w:id="1346" w:name="_Toc5269520"/>
      <w:r w:rsidRPr="00256982">
        <w:t>Table 6.4.4</w:t>
      </w:r>
      <w:r w:rsidRPr="00256982">
        <w:tab/>
        <w:t>New Zealand’s Forest land subject to deforestation</w:t>
      </w:r>
      <w:bookmarkEnd w:id="1332"/>
      <w:bookmarkEnd w:id="1333"/>
      <w:bookmarkEnd w:id="1334"/>
      <w:bookmarkEnd w:id="1335"/>
      <w:bookmarkEnd w:id="1336"/>
      <w:bookmarkEnd w:id="1337"/>
      <w:bookmarkEnd w:id="1338"/>
      <w:bookmarkEnd w:id="1339"/>
      <w:bookmarkEnd w:id="1340"/>
      <w:r w:rsidRPr="00256982">
        <w:t>, 1990 and 201</w:t>
      </w:r>
      <w:bookmarkEnd w:id="1341"/>
      <w:bookmarkEnd w:id="1342"/>
      <w:r w:rsidRPr="00256982">
        <w:t>7</w:t>
      </w:r>
      <w:bookmarkEnd w:id="1343"/>
      <w:bookmarkEnd w:id="1344"/>
      <w:bookmarkEnd w:id="1345"/>
      <w:bookmarkEnd w:id="1346"/>
    </w:p>
    <w:tbl>
      <w:tblPr>
        <w:tblW w:w="8505" w:type="dxa"/>
        <w:tblInd w:w="108" w:type="dxa"/>
        <w:tblLook w:val="04A0" w:firstRow="1" w:lastRow="0" w:firstColumn="1" w:lastColumn="0" w:noHBand="0" w:noVBand="1"/>
      </w:tblPr>
      <w:tblGrid>
        <w:gridCol w:w="1897"/>
        <w:gridCol w:w="1640"/>
        <w:gridCol w:w="795"/>
        <w:gridCol w:w="1778"/>
        <w:gridCol w:w="617"/>
        <w:gridCol w:w="1778"/>
      </w:tblGrid>
      <w:tr w:rsidR="00380BE7" w:rsidRPr="00256982" w14:paraId="722E45BA" w14:textId="77777777" w:rsidTr="009574E7">
        <w:tc>
          <w:tcPr>
            <w:tcW w:w="1897" w:type="dxa"/>
            <w:vMerge w:val="restart"/>
            <w:tcBorders>
              <w:top w:val="single" w:sz="4" w:space="0" w:color="365F91"/>
            </w:tcBorders>
            <w:shd w:val="clear" w:color="auto" w:fill="376092"/>
            <w:vAlign w:val="bottom"/>
          </w:tcPr>
          <w:p w14:paraId="2C93A51F" w14:textId="77777777" w:rsidR="00380BE7" w:rsidRPr="00256982" w:rsidRDefault="00380BE7" w:rsidP="009574E7">
            <w:pPr>
              <w:pStyle w:val="TableTextBold"/>
              <w:keepNext/>
              <w:rPr>
                <w:noProof w:val="0"/>
                <w:color w:val="FFFFFF"/>
              </w:rPr>
            </w:pPr>
            <w:r w:rsidRPr="00256982">
              <w:rPr>
                <w:noProof w:val="0"/>
                <w:color w:val="FFFFFF"/>
              </w:rPr>
              <w:t>Land use</w:t>
            </w:r>
          </w:p>
        </w:tc>
        <w:tc>
          <w:tcPr>
            <w:tcW w:w="1640" w:type="dxa"/>
            <w:vMerge w:val="restart"/>
            <w:tcBorders>
              <w:top w:val="single" w:sz="4" w:space="0" w:color="365F91"/>
            </w:tcBorders>
            <w:shd w:val="clear" w:color="auto" w:fill="376092"/>
            <w:vAlign w:val="bottom"/>
          </w:tcPr>
          <w:p w14:paraId="3732502F" w14:textId="77777777" w:rsidR="00380BE7" w:rsidRPr="00256982" w:rsidRDefault="00380BE7" w:rsidP="009574E7">
            <w:pPr>
              <w:pStyle w:val="TableTextBold"/>
              <w:keepNext/>
              <w:jc w:val="center"/>
              <w:rPr>
                <w:noProof w:val="0"/>
                <w:color w:val="FFFFFF"/>
              </w:rPr>
            </w:pPr>
            <w:r w:rsidRPr="00256982">
              <w:rPr>
                <w:noProof w:val="0"/>
                <w:color w:val="FFFFFF"/>
              </w:rPr>
              <w:t>Area of forest in 1990 (ha)</w:t>
            </w:r>
          </w:p>
        </w:tc>
        <w:tc>
          <w:tcPr>
            <w:tcW w:w="0" w:type="auto"/>
            <w:gridSpan w:val="2"/>
            <w:tcBorders>
              <w:top w:val="single" w:sz="4" w:space="0" w:color="365F91"/>
            </w:tcBorders>
            <w:shd w:val="clear" w:color="auto" w:fill="376092"/>
            <w:vAlign w:val="bottom"/>
          </w:tcPr>
          <w:p w14:paraId="203ADE36" w14:textId="77777777" w:rsidR="00380BE7" w:rsidRPr="00256982" w:rsidRDefault="00380BE7" w:rsidP="009574E7">
            <w:pPr>
              <w:pStyle w:val="TableTextBold"/>
              <w:keepNext/>
              <w:jc w:val="center"/>
              <w:rPr>
                <w:noProof w:val="0"/>
                <w:color w:val="FFFFFF"/>
              </w:rPr>
            </w:pPr>
            <w:r w:rsidRPr="00256982">
              <w:rPr>
                <w:noProof w:val="0"/>
                <w:color w:val="FFFFFF"/>
              </w:rPr>
              <w:t>Deforestation since 1990</w:t>
            </w:r>
          </w:p>
        </w:tc>
        <w:tc>
          <w:tcPr>
            <w:tcW w:w="0" w:type="auto"/>
            <w:gridSpan w:val="2"/>
            <w:tcBorders>
              <w:top w:val="single" w:sz="4" w:space="0" w:color="365F91"/>
            </w:tcBorders>
            <w:shd w:val="clear" w:color="auto" w:fill="376092"/>
            <w:vAlign w:val="bottom"/>
          </w:tcPr>
          <w:p w14:paraId="0D6B8DDE" w14:textId="77777777" w:rsidR="00380BE7" w:rsidRPr="00256982" w:rsidRDefault="00380BE7" w:rsidP="009574E7">
            <w:pPr>
              <w:pStyle w:val="TableTextBold"/>
              <w:keepNext/>
              <w:jc w:val="center"/>
              <w:rPr>
                <w:noProof w:val="0"/>
                <w:color w:val="FFFFFF"/>
              </w:rPr>
            </w:pPr>
            <w:r w:rsidRPr="00256982">
              <w:rPr>
                <w:noProof w:val="0"/>
                <w:color w:val="FFFFFF"/>
              </w:rPr>
              <w:t>Deforestation in 2017</w:t>
            </w:r>
          </w:p>
        </w:tc>
      </w:tr>
      <w:tr w:rsidR="00380BE7" w:rsidRPr="00256982" w14:paraId="19C0F12A" w14:textId="77777777" w:rsidTr="009574E7">
        <w:tc>
          <w:tcPr>
            <w:tcW w:w="1897" w:type="dxa"/>
            <w:vMerge/>
            <w:tcBorders>
              <w:bottom w:val="single" w:sz="4" w:space="0" w:color="365F91"/>
            </w:tcBorders>
            <w:shd w:val="clear" w:color="auto" w:fill="376092"/>
            <w:vAlign w:val="bottom"/>
          </w:tcPr>
          <w:p w14:paraId="7435E6BB" w14:textId="77777777" w:rsidR="00380BE7" w:rsidRPr="00256982" w:rsidRDefault="00380BE7" w:rsidP="009574E7">
            <w:pPr>
              <w:pStyle w:val="TableTextBold"/>
              <w:keepNext/>
              <w:jc w:val="center"/>
              <w:rPr>
                <w:noProof w:val="0"/>
                <w:color w:val="FFFFFF"/>
              </w:rPr>
            </w:pPr>
          </w:p>
        </w:tc>
        <w:tc>
          <w:tcPr>
            <w:tcW w:w="1640" w:type="dxa"/>
            <w:vMerge/>
            <w:tcBorders>
              <w:bottom w:val="single" w:sz="4" w:space="0" w:color="365F91"/>
            </w:tcBorders>
            <w:shd w:val="clear" w:color="auto" w:fill="376092"/>
            <w:vAlign w:val="bottom"/>
          </w:tcPr>
          <w:p w14:paraId="52E17F01" w14:textId="77777777" w:rsidR="00380BE7" w:rsidRPr="00256982" w:rsidRDefault="00380BE7" w:rsidP="009574E7">
            <w:pPr>
              <w:pStyle w:val="TableTextBold"/>
              <w:keepNext/>
              <w:jc w:val="center"/>
              <w:rPr>
                <w:noProof w:val="0"/>
                <w:color w:val="FFFFFF"/>
              </w:rPr>
            </w:pPr>
          </w:p>
        </w:tc>
        <w:tc>
          <w:tcPr>
            <w:tcW w:w="0" w:type="auto"/>
            <w:tcBorders>
              <w:bottom w:val="single" w:sz="4" w:space="0" w:color="365F91"/>
            </w:tcBorders>
            <w:shd w:val="clear" w:color="auto" w:fill="376092"/>
            <w:vAlign w:val="bottom"/>
          </w:tcPr>
          <w:p w14:paraId="2FD238EF" w14:textId="77777777" w:rsidR="00380BE7" w:rsidRPr="00256982" w:rsidRDefault="00380BE7" w:rsidP="009574E7">
            <w:pPr>
              <w:pStyle w:val="TableTextBold"/>
              <w:keepNext/>
              <w:jc w:val="center"/>
              <w:rPr>
                <w:noProof w:val="0"/>
                <w:color w:val="FFFFFF"/>
              </w:rPr>
            </w:pPr>
            <w:r w:rsidRPr="00256982">
              <w:rPr>
                <w:noProof w:val="0"/>
                <w:color w:val="FFFFFF"/>
              </w:rPr>
              <w:t xml:space="preserve">Area </w:t>
            </w:r>
            <w:r w:rsidRPr="00256982">
              <w:rPr>
                <w:noProof w:val="0"/>
                <w:color w:val="FFFFFF"/>
              </w:rPr>
              <w:br/>
              <w:t>(ha)</w:t>
            </w:r>
          </w:p>
        </w:tc>
        <w:tc>
          <w:tcPr>
            <w:tcW w:w="0" w:type="auto"/>
            <w:tcBorders>
              <w:bottom w:val="single" w:sz="4" w:space="0" w:color="365F91"/>
            </w:tcBorders>
            <w:shd w:val="clear" w:color="auto" w:fill="376092"/>
            <w:vAlign w:val="bottom"/>
          </w:tcPr>
          <w:p w14:paraId="2EDEEE0F" w14:textId="77777777" w:rsidR="00380BE7" w:rsidRPr="00256982" w:rsidRDefault="00380BE7" w:rsidP="009574E7">
            <w:pPr>
              <w:pStyle w:val="TableTextBold"/>
              <w:keepNext/>
              <w:jc w:val="center"/>
              <w:rPr>
                <w:noProof w:val="0"/>
                <w:color w:val="FFFFFF"/>
              </w:rPr>
            </w:pPr>
            <w:r w:rsidRPr="00256982">
              <w:rPr>
                <w:noProof w:val="0"/>
                <w:color w:val="FFFFFF"/>
              </w:rPr>
              <w:t>Proportion of 1990 area (%)</w:t>
            </w:r>
          </w:p>
        </w:tc>
        <w:tc>
          <w:tcPr>
            <w:tcW w:w="0" w:type="auto"/>
            <w:tcBorders>
              <w:bottom w:val="single" w:sz="4" w:space="0" w:color="365F91"/>
            </w:tcBorders>
            <w:shd w:val="clear" w:color="auto" w:fill="376092"/>
            <w:vAlign w:val="bottom"/>
          </w:tcPr>
          <w:p w14:paraId="395F88FF" w14:textId="77777777" w:rsidR="00380BE7" w:rsidRPr="00256982" w:rsidRDefault="00380BE7" w:rsidP="009574E7">
            <w:pPr>
              <w:pStyle w:val="TableTextBold"/>
              <w:keepNext/>
              <w:jc w:val="center"/>
              <w:rPr>
                <w:noProof w:val="0"/>
                <w:color w:val="FFFFFF"/>
              </w:rPr>
            </w:pPr>
            <w:r w:rsidRPr="00256982">
              <w:rPr>
                <w:noProof w:val="0"/>
                <w:color w:val="FFFFFF"/>
              </w:rPr>
              <w:t xml:space="preserve">Area </w:t>
            </w:r>
            <w:r w:rsidRPr="00256982">
              <w:rPr>
                <w:noProof w:val="0"/>
                <w:color w:val="FFFFFF"/>
              </w:rPr>
              <w:br/>
              <w:t>(ha)</w:t>
            </w:r>
          </w:p>
        </w:tc>
        <w:tc>
          <w:tcPr>
            <w:tcW w:w="0" w:type="auto"/>
            <w:tcBorders>
              <w:bottom w:val="single" w:sz="4" w:space="0" w:color="365F91"/>
            </w:tcBorders>
            <w:shd w:val="clear" w:color="auto" w:fill="376092"/>
            <w:vAlign w:val="bottom"/>
          </w:tcPr>
          <w:p w14:paraId="2117666C" w14:textId="77777777" w:rsidR="00380BE7" w:rsidRPr="00256982" w:rsidRDefault="00380BE7" w:rsidP="009574E7">
            <w:pPr>
              <w:pStyle w:val="TableTextBold"/>
              <w:keepNext/>
              <w:jc w:val="center"/>
              <w:rPr>
                <w:noProof w:val="0"/>
                <w:color w:val="FFFFFF"/>
              </w:rPr>
            </w:pPr>
            <w:r w:rsidRPr="00256982">
              <w:rPr>
                <w:noProof w:val="0"/>
                <w:color w:val="FFFFFF"/>
              </w:rPr>
              <w:t>Proportion of 1990 area (%)</w:t>
            </w:r>
          </w:p>
        </w:tc>
      </w:tr>
      <w:tr w:rsidR="00380BE7" w:rsidRPr="00256982" w14:paraId="446A23E0" w14:textId="77777777" w:rsidTr="009574E7">
        <w:tc>
          <w:tcPr>
            <w:tcW w:w="1897" w:type="dxa"/>
            <w:tcBorders>
              <w:top w:val="single" w:sz="4" w:space="0" w:color="365F91"/>
              <w:bottom w:val="single" w:sz="4" w:space="0" w:color="365F91"/>
            </w:tcBorders>
          </w:tcPr>
          <w:p w14:paraId="19F08704" w14:textId="77777777" w:rsidR="00380BE7" w:rsidRPr="00256982" w:rsidRDefault="00380BE7" w:rsidP="009574E7">
            <w:pPr>
              <w:pStyle w:val="TableText"/>
              <w:spacing w:before="50" w:after="50"/>
            </w:pPr>
            <w:r w:rsidRPr="00256982">
              <w:t>Pre-1990 natural forest</w:t>
            </w:r>
          </w:p>
        </w:tc>
        <w:tc>
          <w:tcPr>
            <w:tcW w:w="1640" w:type="dxa"/>
            <w:tcBorders>
              <w:top w:val="single" w:sz="4" w:space="0" w:color="365F91"/>
              <w:bottom w:val="single" w:sz="4" w:space="0" w:color="365F91"/>
            </w:tcBorders>
          </w:tcPr>
          <w:p w14:paraId="3B78651E" w14:textId="77777777" w:rsidR="00380BE7" w:rsidRPr="00256982" w:rsidRDefault="00380BE7" w:rsidP="009574E7">
            <w:pPr>
              <w:pStyle w:val="TableText"/>
              <w:spacing w:before="50" w:after="50"/>
              <w:jc w:val="center"/>
            </w:pPr>
            <w:r w:rsidRPr="00256982">
              <w:t>7,877,058</w:t>
            </w:r>
          </w:p>
        </w:tc>
        <w:tc>
          <w:tcPr>
            <w:tcW w:w="0" w:type="auto"/>
            <w:tcBorders>
              <w:top w:val="single" w:sz="4" w:space="0" w:color="365F91"/>
              <w:bottom w:val="single" w:sz="4" w:space="0" w:color="365F91"/>
            </w:tcBorders>
          </w:tcPr>
          <w:p w14:paraId="14CC0060" w14:textId="77777777" w:rsidR="00380BE7" w:rsidRPr="00256982" w:rsidRDefault="00380BE7" w:rsidP="009574E7">
            <w:pPr>
              <w:pStyle w:val="TableText"/>
              <w:spacing w:before="50" w:after="50"/>
              <w:jc w:val="center"/>
            </w:pPr>
            <w:r w:rsidRPr="00256982">
              <w:t>45,372</w:t>
            </w:r>
          </w:p>
        </w:tc>
        <w:tc>
          <w:tcPr>
            <w:tcW w:w="0" w:type="auto"/>
            <w:tcBorders>
              <w:top w:val="single" w:sz="4" w:space="0" w:color="365F91"/>
              <w:bottom w:val="single" w:sz="4" w:space="0" w:color="365F91"/>
            </w:tcBorders>
          </w:tcPr>
          <w:p w14:paraId="7137197F" w14:textId="77777777" w:rsidR="00380BE7" w:rsidRPr="00256982" w:rsidRDefault="00380BE7" w:rsidP="009574E7">
            <w:pPr>
              <w:pStyle w:val="TableText"/>
              <w:spacing w:before="50" w:after="50"/>
              <w:jc w:val="center"/>
            </w:pPr>
            <w:r w:rsidRPr="00256982">
              <w:t>0.58</w:t>
            </w:r>
          </w:p>
        </w:tc>
        <w:tc>
          <w:tcPr>
            <w:tcW w:w="0" w:type="auto"/>
            <w:tcBorders>
              <w:top w:val="single" w:sz="4" w:space="0" w:color="365F91"/>
              <w:bottom w:val="single" w:sz="4" w:space="0" w:color="365F91"/>
            </w:tcBorders>
          </w:tcPr>
          <w:p w14:paraId="69DA06EF" w14:textId="77777777" w:rsidR="00380BE7" w:rsidRPr="00256982" w:rsidRDefault="00380BE7" w:rsidP="009574E7">
            <w:pPr>
              <w:pStyle w:val="TableText"/>
              <w:spacing w:before="50" w:after="50"/>
              <w:jc w:val="center"/>
            </w:pPr>
            <w:r w:rsidRPr="00256982">
              <w:t>772</w:t>
            </w:r>
          </w:p>
        </w:tc>
        <w:tc>
          <w:tcPr>
            <w:tcW w:w="0" w:type="auto"/>
            <w:tcBorders>
              <w:top w:val="single" w:sz="4" w:space="0" w:color="365F91"/>
              <w:bottom w:val="single" w:sz="4" w:space="0" w:color="365F91"/>
            </w:tcBorders>
          </w:tcPr>
          <w:p w14:paraId="6C48EAF2" w14:textId="77777777" w:rsidR="00380BE7" w:rsidRPr="00256982" w:rsidRDefault="00380BE7" w:rsidP="009574E7">
            <w:pPr>
              <w:pStyle w:val="TableText"/>
              <w:spacing w:before="50" w:after="50"/>
              <w:jc w:val="center"/>
            </w:pPr>
            <w:r w:rsidRPr="00256982">
              <w:t>0.01</w:t>
            </w:r>
          </w:p>
        </w:tc>
      </w:tr>
      <w:tr w:rsidR="00380BE7" w:rsidRPr="00256982" w14:paraId="1678FE52" w14:textId="77777777" w:rsidTr="009574E7">
        <w:tc>
          <w:tcPr>
            <w:tcW w:w="1897" w:type="dxa"/>
            <w:tcBorders>
              <w:top w:val="single" w:sz="4" w:space="0" w:color="365F91"/>
              <w:bottom w:val="single" w:sz="4" w:space="0" w:color="365F91"/>
            </w:tcBorders>
          </w:tcPr>
          <w:p w14:paraId="36EF19D3" w14:textId="77777777" w:rsidR="00380BE7" w:rsidRPr="00256982" w:rsidRDefault="00380BE7" w:rsidP="009574E7">
            <w:pPr>
              <w:pStyle w:val="TableText"/>
              <w:spacing w:before="50" w:after="50"/>
            </w:pPr>
            <w:r w:rsidRPr="00256982">
              <w:t>Pre-1990 planted forest</w:t>
            </w:r>
          </w:p>
        </w:tc>
        <w:tc>
          <w:tcPr>
            <w:tcW w:w="1640" w:type="dxa"/>
            <w:tcBorders>
              <w:top w:val="single" w:sz="4" w:space="0" w:color="365F91"/>
              <w:bottom w:val="single" w:sz="4" w:space="0" w:color="365F91"/>
            </w:tcBorders>
          </w:tcPr>
          <w:p w14:paraId="0DBE7824" w14:textId="77777777" w:rsidR="00380BE7" w:rsidRPr="00256982" w:rsidRDefault="00380BE7" w:rsidP="009574E7">
            <w:pPr>
              <w:pStyle w:val="TableText"/>
              <w:spacing w:before="50" w:after="50"/>
              <w:jc w:val="center"/>
              <w:rPr>
                <w:i/>
                <w:iCs/>
                <w:szCs w:val="24"/>
              </w:rPr>
            </w:pPr>
            <w:r w:rsidRPr="00256982">
              <w:t>1,535,679</w:t>
            </w:r>
          </w:p>
        </w:tc>
        <w:tc>
          <w:tcPr>
            <w:tcW w:w="0" w:type="auto"/>
            <w:tcBorders>
              <w:top w:val="single" w:sz="4" w:space="0" w:color="365F91"/>
              <w:bottom w:val="single" w:sz="4" w:space="0" w:color="365F91"/>
            </w:tcBorders>
          </w:tcPr>
          <w:p w14:paraId="5F13B14D" w14:textId="77777777" w:rsidR="00380BE7" w:rsidRPr="00256982" w:rsidRDefault="00380BE7" w:rsidP="009574E7">
            <w:pPr>
              <w:pStyle w:val="TableText"/>
              <w:spacing w:before="50" w:after="50"/>
              <w:jc w:val="center"/>
              <w:rPr>
                <w:bCs/>
                <w:i/>
                <w:iCs/>
                <w:szCs w:val="24"/>
              </w:rPr>
            </w:pPr>
            <w:r w:rsidRPr="00256982">
              <w:t>127,288</w:t>
            </w:r>
          </w:p>
        </w:tc>
        <w:tc>
          <w:tcPr>
            <w:tcW w:w="0" w:type="auto"/>
            <w:tcBorders>
              <w:top w:val="single" w:sz="4" w:space="0" w:color="365F91"/>
              <w:bottom w:val="single" w:sz="4" w:space="0" w:color="365F91"/>
            </w:tcBorders>
          </w:tcPr>
          <w:p w14:paraId="1185C7F8" w14:textId="77777777" w:rsidR="00380BE7" w:rsidRPr="00256982" w:rsidRDefault="00380BE7" w:rsidP="009574E7">
            <w:pPr>
              <w:pStyle w:val="TableText"/>
              <w:spacing w:before="50" w:after="50"/>
              <w:jc w:val="center"/>
              <w:rPr>
                <w:bCs/>
                <w:i/>
                <w:iCs/>
                <w:szCs w:val="24"/>
              </w:rPr>
            </w:pPr>
            <w:r w:rsidRPr="00256982">
              <w:t>8.29</w:t>
            </w:r>
          </w:p>
        </w:tc>
        <w:tc>
          <w:tcPr>
            <w:tcW w:w="0" w:type="auto"/>
            <w:tcBorders>
              <w:top w:val="single" w:sz="4" w:space="0" w:color="365F91"/>
              <w:bottom w:val="single" w:sz="4" w:space="0" w:color="365F91"/>
            </w:tcBorders>
          </w:tcPr>
          <w:p w14:paraId="54552546" w14:textId="77777777" w:rsidR="00380BE7" w:rsidRPr="00256982" w:rsidRDefault="00380BE7" w:rsidP="009574E7">
            <w:pPr>
              <w:pStyle w:val="TableText"/>
              <w:spacing w:before="50" w:after="50"/>
              <w:jc w:val="center"/>
              <w:rPr>
                <w:bCs/>
                <w:i/>
                <w:iCs/>
                <w:szCs w:val="24"/>
              </w:rPr>
            </w:pPr>
            <w:r w:rsidRPr="00256982">
              <w:t>2,774</w:t>
            </w:r>
          </w:p>
        </w:tc>
        <w:tc>
          <w:tcPr>
            <w:tcW w:w="0" w:type="auto"/>
            <w:tcBorders>
              <w:top w:val="single" w:sz="4" w:space="0" w:color="365F91"/>
              <w:bottom w:val="single" w:sz="4" w:space="0" w:color="365F91"/>
            </w:tcBorders>
          </w:tcPr>
          <w:p w14:paraId="6183C066" w14:textId="77777777" w:rsidR="00380BE7" w:rsidRPr="00256982" w:rsidRDefault="00380BE7" w:rsidP="009574E7">
            <w:pPr>
              <w:pStyle w:val="TableText"/>
              <w:spacing w:before="50" w:after="50"/>
              <w:jc w:val="center"/>
              <w:rPr>
                <w:bCs/>
                <w:i/>
                <w:iCs/>
                <w:szCs w:val="24"/>
              </w:rPr>
            </w:pPr>
            <w:r w:rsidRPr="00256982">
              <w:t>0.18</w:t>
            </w:r>
          </w:p>
        </w:tc>
      </w:tr>
      <w:tr w:rsidR="00380BE7" w:rsidRPr="00256982" w14:paraId="6FC8AF0B" w14:textId="77777777" w:rsidTr="009574E7">
        <w:tc>
          <w:tcPr>
            <w:tcW w:w="1897" w:type="dxa"/>
            <w:tcBorders>
              <w:top w:val="single" w:sz="4" w:space="0" w:color="365F91"/>
              <w:bottom w:val="single" w:sz="4" w:space="0" w:color="365F91"/>
            </w:tcBorders>
          </w:tcPr>
          <w:p w14:paraId="3AC14D88" w14:textId="77777777" w:rsidR="00380BE7" w:rsidRPr="00256982" w:rsidRDefault="00380BE7" w:rsidP="009574E7">
            <w:pPr>
              <w:pStyle w:val="TableText"/>
              <w:spacing w:before="50" w:after="50"/>
            </w:pPr>
            <w:r w:rsidRPr="00256982">
              <w:t>Post-1989 forest</w:t>
            </w:r>
          </w:p>
        </w:tc>
        <w:tc>
          <w:tcPr>
            <w:tcW w:w="1640" w:type="dxa"/>
            <w:tcBorders>
              <w:top w:val="single" w:sz="4" w:space="0" w:color="365F91"/>
              <w:bottom w:val="single" w:sz="4" w:space="0" w:color="365F91"/>
            </w:tcBorders>
          </w:tcPr>
          <w:p w14:paraId="24C827A9" w14:textId="77777777" w:rsidR="00380BE7" w:rsidRPr="00256982" w:rsidRDefault="00380BE7" w:rsidP="009574E7">
            <w:pPr>
              <w:pStyle w:val="TableText"/>
              <w:spacing w:before="50" w:after="50"/>
              <w:jc w:val="center"/>
              <w:rPr>
                <w:szCs w:val="24"/>
              </w:rPr>
            </w:pPr>
            <w:r w:rsidRPr="00256982">
              <w:t>0</w:t>
            </w:r>
          </w:p>
        </w:tc>
        <w:tc>
          <w:tcPr>
            <w:tcW w:w="0" w:type="auto"/>
            <w:tcBorders>
              <w:top w:val="single" w:sz="4" w:space="0" w:color="365F91"/>
              <w:bottom w:val="single" w:sz="4" w:space="0" w:color="365F91"/>
            </w:tcBorders>
          </w:tcPr>
          <w:p w14:paraId="2DA63C49" w14:textId="77777777" w:rsidR="00380BE7" w:rsidRPr="00256982" w:rsidRDefault="00380BE7" w:rsidP="009574E7">
            <w:pPr>
              <w:pStyle w:val="TableText"/>
              <w:spacing w:before="50" w:after="50"/>
              <w:jc w:val="center"/>
              <w:rPr>
                <w:i/>
                <w:iCs/>
                <w:szCs w:val="24"/>
              </w:rPr>
            </w:pPr>
            <w:r w:rsidRPr="00256982">
              <w:t>30,347</w:t>
            </w:r>
          </w:p>
        </w:tc>
        <w:tc>
          <w:tcPr>
            <w:tcW w:w="0" w:type="auto"/>
            <w:tcBorders>
              <w:top w:val="single" w:sz="4" w:space="0" w:color="365F91"/>
              <w:bottom w:val="single" w:sz="4" w:space="0" w:color="365F91"/>
            </w:tcBorders>
          </w:tcPr>
          <w:p w14:paraId="5D6397B5" w14:textId="77777777" w:rsidR="00380BE7" w:rsidRPr="00256982" w:rsidRDefault="00380BE7" w:rsidP="009574E7">
            <w:pPr>
              <w:pStyle w:val="TableText"/>
              <w:spacing w:before="50" w:after="50"/>
              <w:jc w:val="center"/>
              <w:rPr>
                <w:i/>
                <w:iCs/>
                <w:szCs w:val="24"/>
              </w:rPr>
            </w:pPr>
            <w:r w:rsidRPr="00256982">
              <w:t>NA</w:t>
            </w:r>
          </w:p>
        </w:tc>
        <w:tc>
          <w:tcPr>
            <w:tcW w:w="0" w:type="auto"/>
            <w:tcBorders>
              <w:top w:val="single" w:sz="4" w:space="0" w:color="365F91"/>
              <w:bottom w:val="single" w:sz="4" w:space="0" w:color="365F91"/>
            </w:tcBorders>
          </w:tcPr>
          <w:p w14:paraId="50BFD6C4" w14:textId="77777777" w:rsidR="00380BE7" w:rsidRPr="00256982" w:rsidRDefault="00380BE7" w:rsidP="009574E7">
            <w:pPr>
              <w:pStyle w:val="TableText"/>
              <w:spacing w:before="50" w:after="50"/>
              <w:jc w:val="center"/>
              <w:rPr>
                <w:i/>
                <w:iCs/>
                <w:szCs w:val="24"/>
              </w:rPr>
            </w:pPr>
            <w:r w:rsidRPr="00256982">
              <w:t>462</w:t>
            </w:r>
          </w:p>
        </w:tc>
        <w:tc>
          <w:tcPr>
            <w:tcW w:w="0" w:type="auto"/>
            <w:tcBorders>
              <w:top w:val="single" w:sz="4" w:space="0" w:color="365F91"/>
              <w:bottom w:val="single" w:sz="4" w:space="0" w:color="365F91"/>
            </w:tcBorders>
          </w:tcPr>
          <w:p w14:paraId="6A9EF923" w14:textId="77777777" w:rsidR="00380BE7" w:rsidRPr="00256982" w:rsidRDefault="00380BE7" w:rsidP="009574E7">
            <w:pPr>
              <w:pStyle w:val="TableText"/>
              <w:spacing w:before="50" w:after="50"/>
              <w:jc w:val="center"/>
              <w:rPr>
                <w:i/>
                <w:iCs/>
                <w:szCs w:val="24"/>
              </w:rPr>
            </w:pPr>
            <w:r w:rsidRPr="00256982">
              <w:t>NA</w:t>
            </w:r>
          </w:p>
        </w:tc>
      </w:tr>
      <w:tr w:rsidR="00380BE7" w:rsidRPr="00256982" w14:paraId="383D1BA9" w14:textId="77777777" w:rsidTr="009574E7">
        <w:tc>
          <w:tcPr>
            <w:tcW w:w="1897" w:type="dxa"/>
            <w:tcBorders>
              <w:top w:val="single" w:sz="4" w:space="0" w:color="365F91"/>
              <w:bottom w:val="single" w:sz="4" w:space="0" w:color="365F91"/>
            </w:tcBorders>
          </w:tcPr>
          <w:p w14:paraId="00F03874" w14:textId="77777777" w:rsidR="00380BE7" w:rsidRPr="00256982" w:rsidRDefault="00380BE7" w:rsidP="009574E7">
            <w:pPr>
              <w:pStyle w:val="Tableboldblue"/>
              <w:spacing w:before="50" w:after="50"/>
            </w:pPr>
            <w:r w:rsidRPr="00256982">
              <w:t>Total</w:t>
            </w:r>
          </w:p>
        </w:tc>
        <w:tc>
          <w:tcPr>
            <w:tcW w:w="1640" w:type="dxa"/>
            <w:tcBorders>
              <w:top w:val="single" w:sz="4" w:space="0" w:color="365F91"/>
              <w:bottom w:val="single" w:sz="4" w:space="0" w:color="365F91"/>
            </w:tcBorders>
          </w:tcPr>
          <w:p w14:paraId="1AB26C92" w14:textId="77777777" w:rsidR="00380BE7" w:rsidRPr="00256982" w:rsidRDefault="00380BE7" w:rsidP="009574E7">
            <w:pPr>
              <w:pStyle w:val="Tableboldblue"/>
              <w:spacing w:before="50" w:after="50"/>
              <w:jc w:val="center"/>
            </w:pPr>
            <w:r w:rsidRPr="00256982">
              <w:t>9,412,737</w:t>
            </w:r>
          </w:p>
        </w:tc>
        <w:tc>
          <w:tcPr>
            <w:tcW w:w="0" w:type="auto"/>
            <w:tcBorders>
              <w:top w:val="single" w:sz="4" w:space="0" w:color="365F91"/>
              <w:bottom w:val="single" w:sz="4" w:space="0" w:color="365F91"/>
            </w:tcBorders>
          </w:tcPr>
          <w:p w14:paraId="49FBD9E2" w14:textId="77777777" w:rsidR="00380BE7" w:rsidRPr="00256982" w:rsidRDefault="00380BE7" w:rsidP="009574E7">
            <w:pPr>
              <w:pStyle w:val="Tableboldblue"/>
              <w:spacing w:before="50" w:after="50"/>
              <w:jc w:val="center"/>
            </w:pPr>
            <w:r w:rsidRPr="00256982">
              <w:t>203,007</w:t>
            </w:r>
          </w:p>
        </w:tc>
        <w:tc>
          <w:tcPr>
            <w:tcW w:w="0" w:type="auto"/>
            <w:tcBorders>
              <w:top w:val="single" w:sz="4" w:space="0" w:color="365F91"/>
              <w:bottom w:val="single" w:sz="4" w:space="0" w:color="365F91"/>
            </w:tcBorders>
          </w:tcPr>
          <w:p w14:paraId="5DE284F6" w14:textId="77777777" w:rsidR="00380BE7" w:rsidRPr="00256982" w:rsidRDefault="00380BE7" w:rsidP="009574E7">
            <w:pPr>
              <w:pStyle w:val="Tableboldblue"/>
              <w:spacing w:before="50" w:after="50"/>
              <w:jc w:val="center"/>
            </w:pPr>
            <w:r w:rsidRPr="00256982">
              <w:t>2.16</w:t>
            </w:r>
          </w:p>
        </w:tc>
        <w:tc>
          <w:tcPr>
            <w:tcW w:w="0" w:type="auto"/>
            <w:tcBorders>
              <w:top w:val="single" w:sz="4" w:space="0" w:color="365F91"/>
              <w:bottom w:val="single" w:sz="4" w:space="0" w:color="365F91"/>
            </w:tcBorders>
          </w:tcPr>
          <w:p w14:paraId="5613A908" w14:textId="77777777" w:rsidR="00380BE7" w:rsidRPr="00256982" w:rsidRDefault="00380BE7" w:rsidP="009574E7">
            <w:pPr>
              <w:pStyle w:val="Tableboldblue"/>
              <w:spacing w:before="50" w:after="50"/>
              <w:jc w:val="center"/>
            </w:pPr>
            <w:r w:rsidRPr="00256982">
              <w:t>4,007</w:t>
            </w:r>
          </w:p>
        </w:tc>
        <w:tc>
          <w:tcPr>
            <w:tcW w:w="0" w:type="auto"/>
            <w:tcBorders>
              <w:top w:val="single" w:sz="4" w:space="0" w:color="365F91"/>
              <w:bottom w:val="single" w:sz="4" w:space="0" w:color="365F91"/>
            </w:tcBorders>
          </w:tcPr>
          <w:p w14:paraId="4B4885AD" w14:textId="77777777" w:rsidR="00380BE7" w:rsidRPr="00256982" w:rsidRDefault="00380BE7" w:rsidP="009574E7">
            <w:pPr>
              <w:pStyle w:val="Tableboldblue"/>
              <w:spacing w:before="50" w:after="50"/>
              <w:jc w:val="center"/>
            </w:pPr>
            <w:r w:rsidRPr="00256982">
              <w:t>0.04</w:t>
            </w:r>
          </w:p>
        </w:tc>
      </w:tr>
    </w:tbl>
    <w:p w14:paraId="1B5AE5C2" w14:textId="77777777" w:rsidR="00380BE7" w:rsidRPr="00256982" w:rsidRDefault="00380BE7" w:rsidP="00380BE7">
      <w:pPr>
        <w:pStyle w:val="Noteundertable"/>
      </w:pPr>
      <w:r w:rsidRPr="00256982">
        <w:rPr>
          <w:b/>
        </w:rPr>
        <w:t>Note:</w:t>
      </w:r>
      <w:r w:rsidRPr="00256982">
        <w:tab/>
        <w:t>NA = not applicable. The 2017 areas are as at 31 December 2017; 1990 areas are as at 1 January 1990 and, therefore, differ from 1990 area values in the CRF tables, which are as at 31 December 1990. Columns may not total due to rounding.</w:t>
      </w:r>
    </w:p>
    <w:p w14:paraId="092D0245" w14:textId="77777777" w:rsidR="00380BE7" w:rsidRPr="00256982" w:rsidRDefault="00380BE7" w:rsidP="00380BE7">
      <w:pPr>
        <w:pStyle w:val="BodyText"/>
      </w:pPr>
      <w:r w:rsidRPr="00256982">
        <w:t xml:space="preserve">The conversion of </w:t>
      </w:r>
      <w:r w:rsidRPr="00256982">
        <w:rPr>
          <w:i/>
        </w:rPr>
        <w:t>Forest land</w:t>
      </w:r>
      <w:r w:rsidRPr="00256982">
        <w:t xml:space="preserve"> to </w:t>
      </w:r>
      <w:r w:rsidRPr="00256982">
        <w:rPr>
          <w:i/>
        </w:rPr>
        <w:t>Grassland</w:t>
      </w:r>
      <w:r w:rsidRPr="00256982">
        <w:t xml:space="preserve"> is due in part to the relative profitability of some forms of pastoral farming (particularly dairy farming) compared with forestry. </w:t>
      </w:r>
    </w:p>
    <w:p w14:paraId="1EBCCCC9" w14:textId="77777777" w:rsidR="00380BE7" w:rsidRPr="00256982" w:rsidRDefault="00380BE7" w:rsidP="00380BE7">
      <w:pPr>
        <w:pStyle w:val="BodyText"/>
      </w:pPr>
      <w:r w:rsidRPr="00256982">
        <w:t>Figure 6.4.3 illustrates the increase in planted forest deforestation that occurred leading up to 2008 and the decrease after the introduction of the NZ ETS in 2008.</w:t>
      </w:r>
    </w:p>
    <w:p w14:paraId="4C090BF1" w14:textId="77777777" w:rsidR="00380BE7" w:rsidRPr="00256982" w:rsidRDefault="00380BE7" w:rsidP="00C81ED0">
      <w:pPr>
        <w:pStyle w:val="BodyText"/>
      </w:pPr>
      <w:r w:rsidRPr="00256982">
        <w:t xml:space="preserve">During the first Kyoto Protocol commitment period (2008–12), it was expected that the level of deforestation would continue to be less than that seen prior to the introduction of the NZ ETS in 2008 (Manley, 2009). However, since the introduction of the NZ ETS, and throughout the first commitment period of the Kyoto Protocol, the carbon price was in steady decline and deforestation rates during this period were higher than expected. The low carbon price reduced the liability on forest owners for deforestation. More recently, the exclusion of international units from the NZ ETS on 31 May 2015, the conclusion of the NZ ETS review and the </w:t>
      </w:r>
      <w:r w:rsidRPr="00256982">
        <w:lastRenderedPageBreak/>
        <w:t>implementation of some of its findings have all contributed to higher carbon prices. These higher carbon prices have contributed to a reduction in deforestation and increased the uptake of the carbon equivalent forests provision from 2015.</w:t>
      </w:r>
      <w:bookmarkStart w:id="1347" w:name="_Toc318362752"/>
      <w:bookmarkStart w:id="1348" w:name="_Toc342470832"/>
      <w:bookmarkStart w:id="1349" w:name="_Toc352505160"/>
      <w:bookmarkStart w:id="1350" w:name="_Toc373395720"/>
      <w:bookmarkStart w:id="1351" w:name="_Toc378853343"/>
      <w:bookmarkStart w:id="1352" w:name="_Toc405448093"/>
      <w:bookmarkStart w:id="1353" w:name="_Toc414531625"/>
      <w:bookmarkStart w:id="1354" w:name="_Toc474914648"/>
      <w:bookmarkStart w:id="1355" w:name="_Toc481752030"/>
      <w:bookmarkStart w:id="1356" w:name="_Toc522010708"/>
    </w:p>
    <w:p w14:paraId="121BFCFD" w14:textId="77777777" w:rsidR="00380BE7" w:rsidRPr="00256982" w:rsidRDefault="00380BE7" w:rsidP="00380BE7">
      <w:pPr>
        <w:pStyle w:val="BodyText"/>
        <w:rPr>
          <w:rFonts w:ascii="Arial" w:hAnsi="Arial"/>
          <w:b/>
          <w:sz w:val="16"/>
        </w:rPr>
      </w:pPr>
      <w:r w:rsidRPr="00256982">
        <w:rPr>
          <w:rFonts w:ascii="Arial" w:hAnsi="Arial"/>
          <w:b/>
          <w:sz w:val="16"/>
        </w:rPr>
        <w:t>Figure 6.4.3</w:t>
      </w:r>
      <w:r w:rsidRPr="00256982">
        <w:rPr>
          <w:rFonts w:ascii="Arial" w:hAnsi="Arial"/>
          <w:b/>
          <w:sz w:val="16"/>
        </w:rPr>
        <w:tab/>
        <w:t xml:space="preserve">New Zealand’s area of deforestation since 1990, by Forest land </w:t>
      </w:r>
      <w:bookmarkEnd w:id="1347"/>
      <w:bookmarkEnd w:id="1348"/>
      <w:bookmarkEnd w:id="1349"/>
      <w:bookmarkEnd w:id="1350"/>
      <w:bookmarkEnd w:id="1351"/>
      <w:bookmarkEnd w:id="1352"/>
      <w:bookmarkEnd w:id="1353"/>
      <w:r w:rsidRPr="00256982">
        <w:rPr>
          <w:rFonts w:ascii="Arial" w:hAnsi="Arial"/>
          <w:b/>
          <w:sz w:val="16"/>
        </w:rPr>
        <w:t>category</w:t>
      </w:r>
      <w:bookmarkEnd w:id="1354"/>
      <w:bookmarkEnd w:id="1355"/>
      <w:bookmarkEnd w:id="1356"/>
    </w:p>
    <w:p w14:paraId="56C5209E" w14:textId="76038ADB" w:rsidR="00380BE7" w:rsidRPr="00256982" w:rsidRDefault="00590491" w:rsidP="00380BE7">
      <w:r>
        <w:rPr>
          <w:lang w:eastAsia="en-NZ"/>
        </w:rPr>
        <w:pict w14:anchorId="16375753">
          <v:shape id="Chart 14" o:spid="_x0000_i1142" type="#_x0000_t75" style="width:426pt;height:234pt;visibility:visible" o:gfxdata="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">
            <v:imagedata r:id="rId207" o:title="" croptop="3095f"/>
            <o:lock v:ext="edit" aspectratio="f"/>
          </v:shape>
        </w:pict>
      </w:r>
    </w:p>
    <w:p w14:paraId="6FDEBD65" w14:textId="77777777" w:rsidR="00380BE7" w:rsidRPr="00256982" w:rsidRDefault="00380BE7" w:rsidP="00C81ED0">
      <w:pPr>
        <w:pStyle w:val="BodyText"/>
      </w:pPr>
      <w:r w:rsidRPr="00256982">
        <w:t xml:space="preserve">There are no data on the deforestation profile of pre-1990 natural forests between 1990 and 2007 and, as a result, the total area of deforestation detected over this period is allocated evenly across the years. The rate of pre-1990 natural forest deforestation has been confirmed between 2008 and 2012 through satellite image mapping of deforestation (see figure 6.2.5). </w:t>
      </w:r>
    </w:p>
    <w:p w14:paraId="4F14BACF" w14:textId="77777777" w:rsidR="00380BE7" w:rsidRPr="00256982" w:rsidRDefault="00380BE7" w:rsidP="00380BE7">
      <w:pPr>
        <w:pStyle w:val="BodyText"/>
      </w:pPr>
      <w:r w:rsidRPr="00256982">
        <w:t>New Zealand assumes instant emissions of all biomass carbon at the time of deforestation, based on the following.</w:t>
      </w:r>
    </w:p>
    <w:p w14:paraId="694F7F6C" w14:textId="77777777" w:rsidR="00380BE7" w:rsidRPr="00256982" w:rsidRDefault="00380BE7" w:rsidP="00380BE7">
      <w:pPr>
        <w:pStyle w:val="Bullet"/>
        <w:numPr>
          <w:ilvl w:val="0"/>
          <w:numId w:val="8"/>
        </w:numPr>
      </w:pPr>
      <w:r w:rsidRPr="00256982">
        <w:t xml:space="preserve">The majority of deforestation since 2000 has resulted from land conversion to </w:t>
      </w:r>
      <w:r w:rsidRPr="00256982">
        <w:rPr>
          <w:i/>
        </w:rPr>
        <w:t>Grassland</w:t>
      </w:r>
      <w:r w:rsidRPr="00256982">
        <w:t>, leading to the rapid removal of all biomass as the land is prepared for farming.</w:t>
      </w:r>
    </w:p>
    <w:p w14:paraId="29D8457A" w14:textId="77777777" w:rsidR="00380BE7" w:rsidRPr="00256982" w:rsidRDefault="00380BE7" w:rsidP="00380BE7">
      <w:pPr>
        <w:pStyle w:val="Bullet"/>
        <w:numPr>
          <w:ilvl w:val="0"/>
          <w:numId w:val="8"/>
        </w:numPr>
      </w:pPr>
      <w:r w:rsidRPr="00256982">
        <w:t>It is not practical to estimate emissions from residues following deforestation activity given the rapid conversion from one land use to another and the multiple methods of removing residues. Furthermore, estimating biomass residue and decay rates for multiple disposal methods is difficult and costly.</w:t>
      </w:r>
    </w:p>
    <w:p w14:paraId="68EE1ABB" w14:textId="77777777" w:rsidR="00380BE7" w:rsidRPr="00256982" w:rsidRDefault="00380BE7" w:rsidP="00380BE7">
      <w:pPr>
        <w:pStyle w:val="BodyText"/>
      </w:pPr>
      <w:r w:rsidRPr="00256982">
        <w:t>Estimates of biomass burning emissions associated with deforestation are provided in the National Inventory Report (see section 6.11.5).</w:t>
      </w:r>
    </w:p>
    <w:p w14:paraId="118467BB" w14:textId="77777777" w:rsidR="00380BE7" w:rsidRPr="00256982" w:rsidRDefault="00380BE7" w:rsidP="00380BE7">
      <w:pPr>
        <w:pStyle w:val="BodyText"/>
      </w:pPr>
      <w:r w:rsidRPr="00256982">
        <w:t>Soil carbon changes associated with deforestation are modelled over a 20-year period using a linear change profile (see section 6.3).</w:t>
      </w:r>
    </w:p>
    <w:p w14:paraId="1F8C24B6" w14:textId="77777777" w:rsidR="00380BE7" w:rsidRPr="00256982" w:rsidRDefault="00380BE7" w:rsidP="00380BE7">
      <w:pPr>
        <w:pStyle w:val="BodyText"/>
      </w:pPr>
      <w:r w:rsidRPr="00256982">
        <w:t xml:space="preserve">Deforestation emissions are reported in the relevant </w:t>
      </w:r>
      <w:r w:rsidRPr="00256982">
        <w:rPr>
          <w:i/>
        </w:rPr>
        <w:t>Land converted to</w:t>
      </w:r>
      <w:r w:rsidRPr="00256982">
        <w:t xml:space="preserve"> category, as are all emissions from land-use change. See sections 6.2.2 and 11.3.3 for further information on deforestation. </w:t>
      </w:r>
    </w:p>
    <w:p w14:paraId="5E69214C" w14:textId="77777777" w:rsidR="00380BE7" w:rsidRPr="00256982" w:rsidRDefault="00380BE7" w:rsidP="00380BE7">
      <w:pPr>
        <w:pStyle w:val="Heading5"/>
      </w:pPr>
      <w:r w:rsidRPr="00256982">
        <w:t>Harvesting</w:t>
      </w:r>
    </w:p>
    <w:p w14:paraId="022F4FE2" w14:textId="77777777" w:rsidR="00380BE7" w:rsidRPr="00256982" w:rsidRDefault="00380BE7" w:rsidP="00380BE7">
      <w:pPr>
        <w:pStyle w:val="BodyText"/>
      </w:pPr>
      <w:r w:rsidRPr="00256982">
        <w:t xml:space="preserve">The estimated area across all planted forest (both pre-1990 and post-1989 planted forest) harvested each year between 1990 and 2017 is shown in figure 6.4.4. The estimated area between 1990 and 2009 is based on the harvested area reported in the NEFD. Roundwood statistics, sourced annually from the Ministry for Primary Industries (2017), are used when an </w:t>
      </w:r>
      <w:r w:rsidRPr="00256982">
        <w:lastRenderedPageBreak/>
        <w:t>increase in reported harvest volume is not consistent with the harvest area reported in the NEFD</w:t>
      </w:r>
      <w:r w:rsidRPr="00256982">
        <w:rPr>
          <w:i/>
        </w:rPr>
        <w:t xml:space="preserve"> </w:t>
      </w:r>
      <w:r w:rsidRPr="00256982">
        <w:t>(as in 2010 and 2011). Roundwood statistics are also used when published area data are not yet available (as in 2017). In this situation, the roundwood statistic is multiplied by the ratio of roundwood volume-to-area harvested over the previous four years to estimate the area harvested for the year in question.</w:t>
      </w:r>
    </w:p>
    <w:p w14:paraId="6C183A76" w14:textId="77777777" w:rsidR="00380BE7" w:rsidRPr="00256982" w:rsidRDefault="00380BE7" w:rsidP="00380BE7">
      <w:pPr>
        <w:pStyle w:val="Figure"/>
      </w:pPr>
      <w:bookmarkStart w:id="1357" w:name="_Toc474914649"/>
      <w:bookmarkStart w:id="1358" w:name="_Toc481752031"/>
      <w:bookmarkStart w:id="1359" w:name="_Toc522010709"/>
      <w:bookmarkStart w:id="1360" w:name="_Toc5269711"/>
      <w:r w:rsidRPr="00256982">
        <w:t>Figure 6.4.4</w:t>
      </w:r>
      <w:r w:rsidRPr="00256982">
        <w:tab/>
        <w:t>New Zealand’s area of planted forest harvest (inclusive of deforestation) from 1990</w:t>
      </w:r>
      <w:bookmarkEnd w:id="1357"/>
      <w:bookmarkEnd w:id="1358"/>
      <w:r w:rsidRPr="00256982">
        <w:t> to 2017</w:t>
      </w:r>
      <w:bookmarkEnd w:id="1359"/>
      <w:bookmarkEnd w:id="1360"/>
    </w:p>
    <w:p w14:paraId="7887A4E5" w14:textId="68A80F36" w:rsidR="00380BE7" w:rsidRPr="00256982" w:rsidRDefault="00590491" w:rsidP="00C81ED0">
      <w:pPr>
        <w:spacing w:after="120"/>
      </w:pPr>
      <w:r>
        <w:rPr>
          <w:lang w:eastAsia="en-NZ"/>
        </w:rPr>
        <w:pict w14:anchorId="0AD51C8D">
          <v:shape id="_x0000_i1143" type="#_x0000_t75" style="width:410.25pt;height:225.75pt;visibility:visible" o:gfxdata="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">
            <v:imagedata r:id="rId208" o:title="" croptop="2395f" cropbottom="6068f"/>
            <o:lock v:ext="edit" aspectratio="f"/>
          </v:shape>
        </w:pict>
      </w:r>
    </w:p>
    <w:p w14:paraId="06CDE8D8" w14:textId="77777777" w:rsidR="00380BE7" w:rsidRPr="00256982" w:rsidRDefault="00380BE7" w:rsidP="00380BE7">
      <w:pPr>
        <w:pStyle w:val="BodyText"/>
      </w:pPr>
      <w:r w:rsidRPr="00256982">
        <w:t>The total area harvested is then split by forest type into:</w:t>
      </w:r>
    </w:p>
    <w:p w14:paraId="246A5F7E" w14:textId="77777777" w:rsidR="00380BE7" w:rsidRPr="00256982" w:rsidRDefault="00380BE7" w:rsidP="00380BE7">
      <w:pPr>
        <w:pStyle w:val="Bullet"/>
        <w:numPr>
          <w:ilvl w:val="0"/>
          <w:numId w:val="8"/>
        </w:numPr>
      </w:pPr>
      <w:r w:rsidRPr="00256982">
        <w:t>pre-1990 planted forest harvesting</w:t>
      </w:r>
    </w:p>
    <w:p w14:paraId="1FDE2105" w14:textId="77777777" w:rsidR="00380BE7" w:rsidRPr="00256982" w:rsidRDefault="00380BE7" w:rsidP="00380BE7">
      <w:pPr>
        <w:pStyle w:val="Bullet"/>
        <w:numPr>
          <w:ilvl w:val="0"/>
          <w:numId w:val="8"/>
        </w:numPr>
      </w:pPr>
      <w:r w:rsidRPr="00256982">
        <w:t>post-1989 forest harvesting.</w:t>
      </w:r>
    </w:p>
    <w:p w14:paraId="27A571CB" w14:textId="77777777" w:rsidR="00380BE7" w:rsidRPr="00256982" w:rsidRDefault="00380BE7" w:rsidP="00380BE7">
      <w:pPr>
        <w:pStyle w:val="BodyText"/>
      </w:pPr>
      <w:r w:rsidRPr="00256982">
        <w:t>Pre-1990 planted forest harvesting is estimated as the difference between total harvesting (based on statistics from the Ministry for Primary Industries, as outlined above) and the amount of post-1989 forest harvesting estimated from mapping. Post-1989 forest harvesting is estimated from the harvested area mapped between 2008 and 2017.</w:t>
      </w:r>
    </w:p>
    <w:p w14:paraId="110B3C56" w14:textId="77777777" w:rsidR="00380BE7" w:rsidRPr="00256982" w:rsidRDefault="00380BE7" w:rsidP="00380BE7">
      <w:pPr>
        <w:pStyle w:val="BodyText"/>
      </w:pPr>
      <w:r w:rsidRPr="00256982">
        <w:t>The harvest area in planted forests is profiled to accurately reflect the actual ages at which harvesting takes place. The harvest profile is derived from the NEFD (Ministry for Primary Industries, 2017). The profiled harvesting approach is used because harvesting at a single age (e.g., 28 years) can lead to the harvest area exceeding the available area in a single age class. The profiling of harvest also maintains the integrity of the underlying age class by preventing over-mature ages from growing on unharvested. The profiling of harvest does not affect emissions because the average harvest age remains consistent between the single age class and profiled harvesting approaches.</w:t>
      </w:r>
    </w:p>
    <w:p w14:paraId="77165C92" w14:textId="77777777" w:rsidR="00380BE7" w:rsidRPr="00256982" w:rsidRDefault="00380BE7" w:rsidP="00380BE7">
      <w:pPr>
        <w:pStyle w:val="BodyText"/>
      </w:pPr>
      <w:r w:rsidRPr="00256982">
        <w:t xml:space="preserve">In 2017, it is estimated that 0.05 per cent of New Zealand’s total forest timber production was from the harvesting of natural forests (calculated from Ministry for Primary Industries, 2018). </w:t>
      </w:r>
    </w:p>
    <w:p w14:paraId="2FEA491F" w14:textId="77777777" w:rsidR="00380BE7" w:rsidRPr="00256982" w:rsidRDefault="00380BE7" w:rsidP="00380BE7">
      <w:pPr>
        <w:pStyle w:val="BodyText"/>
      </w:pPr>
      <w:r w:rsidRPr="00256982">
        <w:t xml:space="preserve">No timber is legally harvested from the natural forests in the publicly owned conservation estate (an area approximately 5.5 million hectares in size; Ministry for Primary Industries, 2015d) other than in exceptional circumstances where legislation allows. For example, on 17 April 2014, Cyclone Ita caused significant windfall damage to forests on the West Coast of the South Island. The West Coast Wind-blown Timber (Conservation Lands) Act 2014 was passed to allow the removal of timber from trees that were irreversibly damaged by Cyclone Ita. The Act does not allow timber removal from ecological areas, national parks, the Waitangiroto Nature </w:t>
      </w:r>
      <w:r w:rsidRPr="00256982">
        <w:lastRenderedPageBreak/>
        <w:t xml:space="preserve">Reserve and land covered by Te Wāhipounamu (the South West New Zealand World Heritage Area). The timber removal must be completed within a five-year period and there are restrictions on the amount of timber allowed to be salvaged from any particular area. The timber removed under the Act did not result in a significant increase in natural forest harvest volume in 2014 and 2015. Most other harvesting of natural forests is required by law to be undertaken on a sustainable basis (Forests Act 1949). </w:t>
      </w:r>
    </w:p>
    <w:p w14:paraId="4A03FC4F" w14:textId="77777777" w:rsidR="00380BE7" w:rsidRPr="00256982" w:rsidRDefault="00380BE7" w:rsidP="00380BE7">
      <w:pPr>
        <w:pStyle w:val="BodyText"/>
      </w:pPr>
      <w:r w:rsidRPr="00256982">
        <w:t>Any harvesting that occurs in natural forests is captured within the natural forest carbon stock and stock change estimates.</w:t>
      </w:r>
    </w:p>
    <w:p w14:paraId="15F33892" w14:textId="77777777" w:rsidR="00380BE7" w:rsidRPr="00256982" w:rsidRDefault="00380BE7" w:rsidP="00380BE7">
      <w:pPr>
        <w:pStyle w:val="Heading3"/>
      </w:pPr>
      <w:bookmarkStart w:id="1361" w:name="_Toc255466330"/>
      <w:bookmarkStart w:id="1362" w:name="_Toc261513137"/>
      <w:bookmarkStart w:id="1363" w:name="_Toc261513750"/>
      <w:bookmarkStart w:id="1364" w:name="_Toc280630246"/>
      <w:bookmarkStart w:id="1365" w:name="_Toc373395712"/>
      <w:r w:rsidRPr="00256982">
        <w:t>6.4.2</w:t>
      </w:r>
      <w:r w:rsidRPr="00256982">
        <w:tab/>
        <w:t>Methodological issues</w:t>
      </w:r>
      <w:bookmarkEnd w:id="1361"/>
      <w:bookmarkEnd w:id="1362"/>
      <w:bookmarkEnd w:id="1363"/>
      <w:bookmarkEnd w:id="1364"/>
      <w:bookmarkEnd w:id="1365"/>
    </w:p>
    <w:p w14:paraId="2ECDF2A9" w14:textId="77777777" w:rsidR="00380BE7" w:rsidRPr="00256982" w:rsidRDefault="00380BE7" w:rsidP="00380BE7">
      <w:pPr>
        <w:pStyle w:val="Heading4"/>
      </w:pPr>
      <w:bookmarkStart w:id="1366" w:name="_Toc255466331"/>
      <w:bookmarkStart w:id="1367" w:name="_Toc261513138"/>
      <w:bookmarkStart w:id="1368" w:name="_Toc261513751"/>
      <w:bookmarkStart w:id="1369" w:name="_Toc280630247"/>
      <w:r w:rsidRPr="00256982">
        <w:t>Forest land remaining forest land</w:t>
      </w:r>
      <w:bookmarkEnd w:id="1366"/>
      <w:bookmarkEnd w:id="1367"/>
      <w:bookmarkEnd w:id="1368"/>
      <w:bookmarkEnd w:id="1369"/>
      <w:r w:rsidRPr="00256982">
        <w:t xml:space="preserve"> (CRF 4.A.1)</w:t>
      </w:r>
    </w:p>
    <w:p w14:paraId="2DE30B06" w14:textId="77777777" w:rsidR="00380BE7" w:rsidRPr="00256982" w:rsidRDefault="00380BE7" w:rsidP="00380BE7">
      <w:pPr>
        <w:pStyle w:val="BodyText"/>
      </w:pPr>
      <w:r w:rsidRPr="00256982">
        <w:t xml:space="preserve">Only pre-1990 natural forest and pre-1990 planted forest are described in this section because post-1989 forest is included in the </w:t>
      </w:r>
      <w:r w:rsidRPr="00256982">
        <w:rPr>
          <w:i/>
        </w:rPr>
        <w:t>Land converted to forest land</w:t>
      </w:r>
      <w:r w:rsidRPr="00256982">
        <w:t xml:space="preserve"> category. Land converted to post-1989 forest had been in that land use for a maximum of 27 years in 2017 so it is still within the </w:t>
      </w:r>
      <w:r w:rsidRPr="00256982">
        <w:rPr>
          <w:i/>
        </w:rPr>
        <w:t>Land converted to forest land</w:t>
      </w:r>
      <w:r w:rsidRPr="00256982">
        <w:t xml:space="preserve"> category. New Zealand has chosen 28 years as the time it takes for land to reach a state of equilibrium. This is the average age at which the majority of planted radiata pine forests are harvested (Ministry for Primary Industries, 2017). Where there has been a land-use change between natural forest and planted forest, the associated carbon changes are reported under </w:t>
      </w:r>
      <w:r w:rsidRPr="00256982">
        <w:rPr>
          <w:i/>
        </w:rPr>
        <w:t>Forest land remaining forest land</w:t>
      </w:r>
      <w:r w:rsidRPr="00256982">
        <w:t xml:space="preserve">. </w:t>
      </w:r>
    </w:p>
    <w:p w14:paraId="7A2A9F8C" w14:textId="77777777" w:rsidR="00380BE7" w:rsidRPr="00256982" w:rsidRDefault="00380BE7" w:rsidP="00380BE7">
      <w:pPr>
        <w:pStyle w:val="BodyText"/>
      </w:pPr>
      <w:r w:rsidRPr="00256982">
        <w:t>New Zealand has established a sampling framework for forest inventory purposes based on an 8</w:t>
      </w:r>
      <w:r w:rsidRPr="00256982">
        <w:noBreakHyphen/>
        <w:t>kilometre national grid system (8-kilometres north–south by 8</w:t>
      </w:r>
      <w:r w:rsidRPr="00256982">
        <w:noBreakHyphen/>
        <w:t>kilometres east–west). The grid has a randomly selected origin and provides an unbiased framework for establishing plots for field and/or Light Detection and Ranging (LiDAR) measurements. The network is subdivided into a 4-kilometre grid for measurement of post-1989 forest. Forest monitoring plots are established and measured where a grid point falls in the land use to be sampled. Figure 6.4.5 shows the distribution of the pre-1990 natural and planted forest carbon monitoring plots throughout New Zealand.</w:t>
      </w:r>
    </w:p>
    <w:p w14:paraId="5037AACE" w14:textId="77777777" w:rsidR="00380BE7" w:rsidRPr="00256982" w:rsidRDefault="00380BE7" w:rsidP="00380BE7">
      <w:pPr>
        <w:pStyle w:val="Figure"/>
      </w:pPr>
      <w:bookmarkStart w:id="1370" w:name="_Toc280630494"/>
      <w:bookmarkStart w:id="1371" w:name="_Toc318362753"/>
      <w:bookmarkStart w:id="1372" w:name="_Toc342470833"/>
      <w:bookmarkStart w:id="1373" w:name="_Toc352505161"/>
      <w:bookmarkStart w:id="1374" w:name="_Toc373395721"/>
      <w:bookmarkStart w:id="1375" w:name="_Toc378853344"/>
      <w:bookmarkStart w:id="1376" w:name="_Toc405448094"/>
      <w:bookmarkStart w:id="1377" w:name="_Toc414531626"/>
      <w:bookmarkStart w:id="1378" w:name="_Toc474914650"/>
      <w:bookmarkStart w:id="1379" w:name="_Toc481752032"/>
      <w:bookmarkStart w:id="1380" w:name="_Toc522010710"/>
      <w:bookmarkStart w:id="1381" w:name="_Toc5269712"/>
      <w:r w:rsidRPr="00256982">
        <w:lastRenderedPageBreak/>
        <w:t>Figure 6.4.5</w:t>
      </w:r>
      <w:r w:rsidRPr="00256982">
        <w:tab/>
        <w:t>Location of New Zealand’s pre-1990 forest carbon monitoring plots</w:t>
      </w:r>
      <w:bookmarkEnd w:id="1370"/>
      <w:bookmarkEnd w:id="1371"/>
      <w:bookmarkEnd w:id="1372"/>
      <w:bookmarkEnd w:id="1373"/>
      <w:bookmarkEnd w:id="1374"/>
      <w:bookmarkEnd w:id="1375"/>
      <w:bookmarkEnd w:id="1376"/>
      <w:bookmarkEnd w:id="1377"/>
      <w:bookmarkEnd w:id="1378"/>
      <w:bookmarkEnd w:id="1379"/>
      <w:bookmarkEnd w:id="1380"/>
      <w:bookmarkEnd w:id="1381"/>
    </w:p>
    <w:p w14:paraId="02A07EE0" w14:textId="16647754" w:rsidR="00380BE7" w:rsidRPr="00256982" w:rsidRDefault="00590491" w:rsidP="00C81ED0">
      <w:pPr>
        <w:spacing w:after="120"/>
      </w:pPr>
      <w:r>
        <w:rPr>
          <w:lang w:eastAsia="en-NZ"/>
        </w:rPr>
        <w:pict w14:anchorId="2F9586E3">
          <v:shape id="Picture 122" o:spid="_x0000_i1144" type="#_x0000_t75" style="width:387.75pt;height:7in;visibility:visible;mso-wrap-style:square">
            <v:imagedata r:id="rId209" o:title="" cropbottom="752f"/>
          </v:shape>
        </w:pict>
      </w:r>
    </w:p>
    <w:p w14:paraId="62300947" w14:textId="77777777" w:rsidR="00380BE7" w:rsidRPr="00256982" w:rsidRDefault="00380BE7" w:rsidP="00380BE7">
      <w:pPr>
        <w:pStyle w:val="Heading5"/>
        <w:spacing w:before="360"/>
      </w:pPr>
      <w:bookmarkStart w:id="1382" w:name="_Toc255466332"/>
      <w:bookmarkStart w:id="1383" w:name="_Toc261513139"/>
      <w:bookmarkStart w:id="1384" w:name="_Toc261513752"/>
      <w:bookmarkStart w:id="1385" w:name="_Toc280630248"/>
      <w:r w:rsidRPr="00256982">
        <w:t>Pre-1990 natural forest</w:t>
      </w:r>
      <w:bookmarkEnd w:id="1382"/>
      <w:bookmarkEnd w:id="1383"/>
      <w:bookmarkEnd w:id="1384"/>
      <w:bookmarkEnd w:id="1385"/>
    </w:p>
    <w:p w14:paraId="67E0C195" w14:textId="77777777" w:rsidR="00380BE7" w:rsidRPr="00256982" w:rsidRDefault="00380BE7" w:rsidP="00380BE7">
      <w:pPr>
        <w:pStyle w:val="Heading6"/>
        <w:spacing w:before="160"/>
      </w:pPr>
      <w:r w:rsidRPr="00256982">
        <w:t>Plot network</w:t>
      </w:r>
    </w:p>
    <w:p w14:paraId="346F6B57" w14:textId="77777777" w:rsidR="00380BE7" w:rsidRPr="00256982" w:rsidRDefault="00380BE7" w:rsidP="00380BE7">
      <w:pPr>
        <w:pStyle w:val="BodyText"/>
        <w:rPr>
          <w:spacing w:val="-2"/>
        </w:rPr>
      </w:pPr>
      <w:r w:rsidRPr="00256982">
        <w:rPr>
          <w:spacing w:val="-2"/>
        </w:rPr>
        <w:t>A national monitoring programme designed to enable unbiased estimates of carbon stock and change for New Zealand’s natural forests was developed between 1998 and 2001 (Coomes et al., 2002). Permanent sample plots of 0.13 hectares were installed systematically on the 8</w:t>
      </w:r>
      <w:r w:rsidRPr="00256982">
        <w:rPr>
          <w:spacing w:val="-2"/>
        </w:rPr>
        <w:noBreakHyphen/>
        <w:t>kilometre grid across New Zealand’s natural forests (see figure 6.4.5) and these were first measured over five years between 2002 and 2007.</w:t>
      </w:r>
    </w:p>
    <w:p w14:paraId="3175A5E6" w14:textId="77777777" w:rsidR="00380BE7" w:rsidRPr="00256982" w:rsidRDefault="00380BE7" w:rsidP="00380BE7">
      <w:pPr>
        <w:pStyle w:val="BodyText"/>
      </w:pPr>
      <w:r w:rsidRPr="00256982">
        <w:t>The plots were sampled using vegetation monitoring methods designed specifically for the purpose of calculating carbon stocks (Payton et al., 2004).</w:t>
      </w:r>
    </w:p>
    <w:p w14:paraId="096A325D" w14:textId="77777777" w:rsidR="00380BE7" w:rsidRPr="00256982" w:rsidRDefault="00380BE7" w:rsidP="00380BE7">
      <w:pPr>
        <w:pStyle w:val="BodyText"/>
      </w:pPr>
      <w:r w:rsidRPr="00256982">
        <w:lastRenderedPageBreak/>
        <w:t>Re-measurement of the plot network provides repeat measures data suitable for calculating carbon stock change in natural forest. The first re-measurement of the plot network was completed between 2009 and 2014 following a revised methodology for re-measurement purposes (Ministry for the Environment, unpublished). For the third round of measurement, the programme is continuing at a reduced rate, with plots being measured on a 10-year cycle. Measurement of plots for this round began in 2014 and is scheduled for completion in 2024.</w:t>
      </w:r>
    </w:p>
    <w:p w14:paraId="4A1ACA0A" w14:textId="77777777" w:rsidR="00380BE7" w:rsidRPr="00256982" w:rsidRDefault="00380BE7" w:rsidP="00380BE7">
      <w:pPr>
        <w:pStyle w:val="BodyText"/>
        <w:rPr>
          <w:spacing w:val="-2"/>
        </w:rPr>
      </w:pPr>
      <w:r w:rsidRPr="00256982">
        <w:rPr>
          <w:spacing w:val="-2"/>
        </w:rPr>
        <w:t>At each plot, data are collected to calculate the volumes of trees, shrubs and dead organic matter present. These measurements are then used to estimate the carbon stocks for the biomass pools of:</w:t>
      </w:r>
    </w:p>
    <w:p w14:paraId="00C5BA94" w14:textId="77777777" w:rsidR="00380BE7" w:rsidRPr="00256982" w:rsidRDefault="00380BE7" w:rsidP="00380BE7">
      <w:pPr>
        <w:pStyle w:val="Bullet"/>
        <w:numPr>
          <w:ilvl w:val="0"/>
          <w:numId w:val="8"/>
        </w:numPr>
      </w:pPr>
      <w:r w:rsidRPr="00256982">
        <w:t>living biomass (comprising above-ground biomass and below-ground biomass)</w:t>
      </w:r>
    </w:p>
    <w:p w14:paraId="3C93642E" w14:textId="77777777" w:rsidR="00380BE7" w:rsidRPr="00256982" w:rsidRDefault="00380BE7" w:rsidP="00380BE7">
      <w:pPr>
        <w:pStyle w:val="Bullet"/>
        <w:numPr>
          <w:ilvl w:val="0"/>
          <w:numId w:val="8"/>
        </w:numPr>
      </w:pPr>
      <w:r w:rsidRPr="00256982">
        <w:t>dead organic matter (comprising dead wood and litter).</w:t>
      </w:r>
    </w:p>
    <w:p w14:paraId="7D771D30" w14:textId="77777777" w:rsidR="00380BE7" w:rsidRPr="00256982" w:rsidRDefault="00380BE7" w:rsidP="00380BE7">
      <w:pPr>
        <w:pStyle w:val="BodyText"/>
      </w:pPr>
      <w:r w:rsidRPr="00256982">
        <w:t>Table 6.4.5 summarises the method used to calculate the carbon stock in each biomass pool from the information collected at each plot.</w:t>
      </w:r>
    </w:p>
    <w:p w14:paraId="5DA7B5FE" w14:textId="77777777" w:rsidR="00380BE7" w:rsidRPr="00256982" w:rsidRDefault="00380BE7" w:rsidP="00380BE7">
      <w:pPr>
        <w:pStyle w:val="Table"/>
      </w:pPr>
      <w:bookmarkStart w:id="1386" w:name="_Toc280630456"/>
      <w:bookmarkStart w:id="1387" w:name="_Toc310423408"/>
      <w:bookmarkStart w:id="1388" w:name="_Toc318362701"/>
      <w:bookmarkStart w:id="1389" w:name="_Toc342470763"/>
      <w:bookmarkStart w:id="1390" w:name="_Toc352505003"/>
      <w:bookmarkStart w:id="1391" w:name="_Toc373395728"/>
      <w:bookmarkStart w:id="1392" w:name="_Toc378853294"/>
      <w:bookmarkStart w:id="1393" w:name="_Toc391024092"/>
      <w:bookmarkStart w:id="1394" w:name="_Toc410028835"/>
      <w:bookmarkStart w:id="1395" w:name="_Toc414531463"/>
      <w:bookmarkStart w:id="1396" w:name="_Toc443645376"/>
      <w:bookmarkStart w:id="1397" w:name="_Toc474914595"/>
      <w:bookmarkStart w:id="1398" w:name="_Toc481751559"/>
      <w:bookmarkStart w:id="1399" w:name="_Toc522010616"/>
      <w:bookmarkStart w:id="1400" w:name="_Toc5269521"/>
      <w:r w:rsidRPr="00256982">
        <w:t>Table 6.4.5</w:t>
      </w:r>
      <w:r w:rsidRPr="00256982">
        <w:tab/>
        <w:t>Summary of methods used to calculate New Zealand’s natural forest biomass</w:t>
      </w:r>
      <w:r w:rsidRPr="00256982">
        <w:br/>
        <w:t>carbon stock from plot data</w:t>
      </w:r>
      <w:bookmarkEnd w:id="1386"/>
      <w:bookmarkEnd w:id="1387"/>
      <w:bookmarkEnd w:id="1388"/>
      <w:bookmarkEnd w:id="1389"/>
      <w:bookmarkEnd w:id="1390"/>
      <w:bookmarkEnd w:id="1391"/>
      <w:bookmarkEnd w:id="1392"/>
      <w:bookmarkEnd w:id="1393"/>
      <w:bookmarkEnd w:id="1394"/>
      <w:bookmarkEnd w:id="1395"/>
      <w:bookmarkEnd w:id="1396"/>
      <w:bookmarkEnd w:id="1397"/>
      <w:bookmarkEnd w:id="1398"/>
      <w:bookmarkEnd w:id="1399"/>
      <w:bookmarkEnd w:id="1400"/>
    </w:p>
    <w:tbl>
      <w:tblPr>
        <w:tblW w:w="8562" w:type="dxa"/>
        <w:tblInd w:w="108" w:type="dxa"/>
        <w:tblLayout w:type="fixed"/>
        <w:tblLook w:val="04A0" w:firstRow="1" w:lastRow="0" w:firstColumn="1" w:lastColumn="0" w:noHBand="0" w:noVBand="1"/>
      </w:tblPr>
      <w:tblGrid>
        <w:gridCol w:w="999"/>
        <w:gridCol w:w="1997"/>
        <w:gridCol w:w="3569"/>
        <w:gridCol w:w="1997"/>
      </w:tblGrid>
      <w:tr w:rsidR="00380BE7" w:rsidRPr="00256982" w14:paraId="0133D1FE" w14:textId="77777777" w:rsidTr="00BA3EF6">
        <w:tc>
          <w:tcPr>
            <w:tcW w:w="1750" w:type="pct"/>
            <w:gridSpan w:val="2"/>
            <w:tcBorders>
              <w:top w:val="single" w:sz="4" w:space="0" w:color="365F91"/>
              <w:bottom w:val="single" w:sz="4" w:space="0" w:color="365F91"/>
            </w:tcBorders>
            <w:shd w:val="clear" w:color="auto" w:fill="365F91"/>
          </w:tcPr>
          <w:p w14:paraId="05FDBF59" w14:textId="77777777" w:rsidR="00380BE7" w:rsidRPr="00256982" w:rsidRDefault="00380BE7" w:rsidP="009574E7">
            <w:pPr>
              <w:pStyle w:val="TableTextBold"/>
              <w:rPr>
                <w:noProof w:val="0"/>
                <w:color w:val="FFFFFF"/>
              </w:rPr>
            </w:pPr>
            <w:r w:rsidRPr="00256982">
              <w:rPr>
                <w:noProof w:val="0"/>
                <w:color w:val="FFFFFF"/>
              </w:rPr>
              <w:t>Pool</w:t>
            </w:r>
          </w:p>
        </w:tc>
        <w:tc>
          <w:tcPr>
            <w:tcW w:w="2084" w:type="pct"/>
            <w:tcBorders>
              <w:top w:val="single" w:sz="4" w:space="0" w:color="365F91"/>
              <w:bottom w:val="single" w:sz="4" w:space="0" w:color="365F91"/>
            </w:tcBorders>
            <w:shd w:val="clear" w:color="auto" w:fill="365F91"/>
          </w:tcPr>
          <w:p w14:paraId="72A26649" w14:textId="77777777" w:rsidR="00380BE7" w:rsidRPr="00256982" w:rsidRDefault="00380BE7" w:rsidP="009574E7">
            <w:pPr>
              <w:pStyle w:val="TableTextBold"/>
              <w:rPr>
                <w:noProof w:val="0"/>
                <w:color w:val="FFFFFF"/>
              </w:rPr>
            </w:pPr>
            <w:r w:rsidRPr="00256982">
              <w:rPr>
                <w:noProof w:val="0"/>
                <w:color w:val="FFFFFF"/>
              </w:rPr>
              <w:t>Method</w:t>
            </w:r>
          </w:p>
        </w:tc>
        <w:tc>
          <w:tcPr>
            <w:tcW w:w="1166" w:type="pct"/>
            <w:tcBorders>
              <w:top w:val="single" w:sz="4" w:space="0" w:color="365F91"/>
              <w:bottom w:val="single" w:sz="4" w:space="0" w:color="365F91"/>
            </w:tcBorders>
            <w:shd w:val="clear" w:color="auto" w:fill="365F91"/>
          </w:tcPr>
          <w:p w14:paraId="5B3AFE1F" w14:textId="77777777" w:rsidR="00380BE7" w:rsidRPr="00256982" w:rsidRDefault="00380BE7" w:rsidP="009574E7">
            <w:pPr>
              <w:pStyle w:val="TableTextBold"/>
              <w:rPr>
                <w:noProof w:val="0"/>
                <w:color w:val="FFFFFF"/>
              </w:rPr>
            </w:pPr>
            <w:r w:rsidRPr="00256982">
              <w:rPr>
                <w:noProof w:val="0"/>
                <w:color w:val="FFFFFF"/>
              </w:rPr>
              <w:t>Source</w:t>
            </w:r>
          </w:p>
        </w:tc>
      </w:tr>
      <w:tr w:rsidR="00380BE7" w:rsidRPr="00256982" w14:paraId="1D7EC342" w14:textId="77777777" w:rsidTr="00BA3EF6">
        <w:tc>
          <w:tcPr>
            <w:tcW w:w="584" w:type="pct"/>
            <w:vMerge w:val="restart"/>
            <w:tcBorders>
              <w:top w:val="single" w:sz="4" w:space="0" w:color="365F91"/>
              <w:bottom w:val="single" w:sz="4" w:space="0" w:color="365F91"/>
            </w:tcBorders>
          </w:tcPr>
          <w:p w14:paraId="3C0BB1E0" w14:textId="77777777" w:rsidR="00380BE7" w:rsidRPr="00256982" w:rsidRDefault="00380BE7" w:rsidP="009574E7">
            <w:pPr>
              <w:pStyle w:val="TableText"/>
              <w:rPr>
                <w:b/>
              </w:rPr>
            </w:pPr>
            <w:r w:rsidRPr="00256982">
              <w:rPr>
                <w:b/>
              </w:rPr>
              <w:t>Living biomass</w:t>
            </w:r>
          </w:p>
        </w:tc>
        <w:tc>
          <w:tcPr>
            <w:tcW w:w="1166" w:type="pct"/>
            <w:tcBorders>
              <w:top w:val="single" w:sz="4" w:space="0" w:color="365F91"/>
              <w:bottom w:val="single" w:sz="4" w:space="0" w:color="365F91"/>
            </w:tcBorders>
          </w:tcPr>
          <w:p w14:paraId="27B3A57C" w14:textId="77777777" w:rsidR="00380BE7" w:rsidRPr="00256982" w:rsidRDefault="00380BE7" w:rsidP="009574E7">
            <w:pPr>
              <w:pStyle w:val="TableText"/>
            </w:pPr>
            <w:r w:rsidRPr="00256982">
              <w:t>Above-ground biomass</w:t>
            </w:r>
          </w:p>
        </w:tc>
        <w:tc>
          <w:tcPr>
            <w:tcW w:w="2084" w:type="pct"/>
            <w:tcBorders>
              <w:top w:val="single" w:sz="4" w:space="0" w:color="365F91"/>
              <w:bottom w:val="single" w:sz="4" w:space="0" w:color="365F91"/>
            </w:tcBorders>
          </w:tcPr>
          <w:p w14:paraId="31E05373" w14:textId="77777777" w:rsidR="00380BE7" w:rsidRPr="00256982" w:rsidRDefault="00380BE7" w:rsidP="009574E7">
            <w:pPr>
              <w:pStyle w:val="TableText"/>
            </w:pPr>
            <w:r w:rsidRPr="00256982">
              <w:t>Plot measurements; allometric equations</w:t>
            </w:r>
          </w:p>
        </w:tc>
        <w:tc>
          <w:tcPr>
            <w:tcW w:w="1166" w:type="pct"/>
            <w:tcBorders>
              <w:top w:val="single" w:sz="4" w:space="0" w:color="365F91"/>
              <w:bottom w:val="single" w:sz="4" w:space="0" w:color="365F91"/>
            </w:tcBorders>
          </w:tcPr>
          <w:p w14:paraId="05EE2E9C" w14:textId="77777777" w:rsidR="00380BE7" w:rsidRPr="00256982" w:rsidRDefault="00380BE7" w:rsidP="009574E7">
            <w:pPr>
              <w:pStyle w:val="TableText"/>
            </w:pPr>
            <w:r w:rsidRPr="00256982">
              <w:t>Holdaway et al. (2016)</w:t>
            </w:r>
          </w:p>
        </w:tc>
      </w:tr>
      <w:tr w:rsidR="00380BE7" w:rsidRPr="00256982" w14:paraId="4F44F6CB" w14:textId="77777777" w:rsidTr="00BA3EF6">
        <w:tc>
          <w:tcPr>
            <w:tcW w:w="584" w:type="pct"/>
            <w:vMerge/>
            <w:tcBorders>
              <w:bottom w:val="single" w:sz="4" w:space="0" w:color="365F91"/>
            </w:tcBorders>
          </w:tcPr>
          <w:p w14:paraId="23157160" w14:textId="77777777" w:rsidR="00380BE7" w:rsidRPr="00256982" w:rsidRDefault="00380BE7" w:rsidP="009574E7">
            <w:pPr>
              <w:pStyle w:val="TableText"/>
              <w:rPr>
                <w:b/>
              </w:rPr>
            </w:pPr>
          </w:p>
        </w:tc>
        <w:tc>
          <w:tcPr>
            <w:tcW w:w="1166" w:type="pct"/>
            <w:tcBorders>
              <w:top w:val="single" w:sz="4" w:space="0" w:color="365F91"/>
              <w:bottom w:val="single" w:sz="4" w:space="0" w:color="365F91"/>
            </w:tcBorders>
          </w:tcPr>
          <w:p w14:paraId="08AB44C6" w14:textId="77777777" w:rsidR="00380BE7" w:rsidRPr="00256982" w:rsidRDefault="00380BE7" w:rsidP="009574E7">
            <w:pPr>
              <w:pStyle w:val="TableText"/>
            </w:pPr>
            <w:r w:rsidRPr="00256982">
              <w:t>Below-ground biomass</w:t>
            </w:r>
          </w:p>
        </w:tc>
        <w:tc>
          <w:tcPr>
            <w:tcW w:w="2084" w:type="pct"/>
            <w:tcBorders>
              <w:top w:val="single" w:sz="4" w:space="0" w:color="365F91"/>
              <w:bottom w:val="single" w:sz="4" w:space="0" w:color="365F91"/>
            </w:tcBorders>
          </w:tcPr>
          <w:p w14:paraId="2D7A0BB0" w14:textId="77777777" w:rsidR="00380BE7" w:rsidRPr="00256982" w:rsidRDefault="00380BE7" w:rsidP="009574E7">
            <w:pPr>
              <w:pStyle w:val="TableText"/>
            </w:pPr>
            <w:r w:rsidRPr="00256982">
              <w:t xml:space="preserve">Estimated at 20 per cent of total living biomass </w:t>
            </w:r>
          </w:p>
        </w:tc>
        <w:tc>
          <w:tcPr>
            <w:tcW w:w="1166" w:type="pct"/>
            <w:tcBorders>
              <w:top w:val="single" w:sz="4" w:space="0" w:color="365F91"/>
              <w:bottom w:val="single" w:sz="4" w:space="0" w:color="365F91"/>
            </w:tcBorders>
          </w:tcPr>
          <w:p w14:paraId="3E1F3BC6" w14:textId="77777777" w:rsidR="00380BE7" w:rsidRPr="00256982" w:rsidRDefault="00380BE7" w:rsidP="009574E7">
            <w:pPr>
              <w:pStyle w:val="TableText"/>
            </w:pPr>
            <w:r w:rsidRPr="00256982">
              <w:t>Coomes et al. (2002)</w:t>
            </w:r>
          </w:p>
        </w:tc>
      </w:tr>
      <w:tr w:rsidR="00380BE7" w:rsidRPr="00256982" w14:paraId="69A249DB" w14:textId="77777777" w:rsidTr="00BA3EF6">
        <w:tc>
          <w:tcPr>
            <w:tcW w:w="584" w:type="pct"/>
            <w:vMerge w:val="restart"/>
            <w:tcBorders>
              <w:top w:val="single" w:sz="4" w:space="0" w:color="365F91"/>
              <w:bottom w:val="single" w:sz="4" w:space="0" w:color="365F91"/>
            </w:tcBorders>
          </w:tcPr>
          <w:p w14:paraId="23BC97C0" w14:textId="77777777" w:rsidR="00380BE7" w:rsidRPr="00256982" w:rsidRDefault="00380BE7" w:rsidP="009574E7">
            <w:pPr>
              <w:pStyle w:val="TableText"/>
              <w:rPr>
                <w:b/>
              </w:rPr>
            </w:pPr>
            <w:r w:rsidRPr="00256982">
              <w:rPr>
                <w:b/>
              </w:rPr>
              <w:t>Dead organic matter</w:t>
            </w:r>
          </w:p>
        </w:tc>
        <w:tc>
          <w:tcPr>
            <w:tcW w:w="1166" w:type="pct"/>
            <w:tcBorders>
              <w:top w:val="single" w:sz="4" w:space="0" w:color="365F91"/>
            </w:tcBorders>
          </w:tcPr>
          <w:p w14:paraId="1516579A" w14:textId="77777777" w:rsidR="00380BE7" w:rsidRPr="00256982" w:rsidRDefault="00380BE7" w:rsidP="009574E7">
            <w:pPr>
              <w:pStyle w:val="TableText"/>
            </w:pPr>
            <w:r w:rsidRPr="00256982">
              <w:t>Dead wood</w:t>
            </w:r>
          </w:p>
        </w:tc>
        <w:tc>
          <w:tcPr>
            <w:tcW w:w="2084" w:type="pct"/>
            <w:tcBorders>
              <w:top w:val="single" w:sz="4" w:space="0" w:color="365F91"/>
            </w:tcBorders>
          </w:tcPr>
          <w:p w14:paraId="152B60ED" w14:textId="77777777" w:rsidR="00380BE7" w:rsidRPr="00256982" w:rsidRDefault="00380BE7" w:rsidP="009574E7">
            <w:pPr>
              <w:pStyle w:val="TableText"/>
            </w:pPr>
            <w:r w:rsidRPr="00256982">
              <w:t xml:space="preserve">Plot measurements; allometric equations </w:t>
            </w:r>
          </w:p>
        </w:tc>
        <w:tc>
          <w:tcPr>
            <w:tcW w:w="1166" w:type="pct"/>
            <w:tcBorders>
              <w:top w:val="single" w:sz="4" w:space="0" w:color="365F91"/>
            </w:tcBorders>
          </w:tcPr>
          <w:p w14:paraId="3C321D7E" w14:textId="77777777" w:rsidR="00380BE7" w:rsidRPr="00256982" w:rsidRDefault="00380BE7" w:rsidP="009574E7">
            <w:pPr>
              <w:pStyle w:val="TableText"/>
            </w:pPr>
            <w:r w:rsidRPr="00256982">
              <w:t>Holdaway et al. (2016)</w:t>
            </w:r>
          </w:p>
        </w:tc>
      </w:tr>
      <w:tr w:rsidR="00380BE7" w:rsidRPr="00256982" w14:paraId="1EAAD19F" w14:textId="77777777" w:rsidTr="00BA3EF6">
        <w:tc>
          <w:tcPr>
            <w:tcW w:w="584" w:type="pct"/>
            <w:vMerge/>
            <w:tcBorders>
              <w:bottom w:val="single" w:sz="4" w:space="0" w:color="365F91"/>
            </w:tcBorders>
          </w:tcPr>
          <w:p w14:paraId="11F843A8" w14:textId="77777777" w:rsidR="00380BE7" w:rsidRPr="00256982" w:rsidRDefault="00380BE7" w:rsidP="009574E7">
            <w:pPr>
              <w:pStyle w:val="TableText"/>
            </w:pPr>
          </w:p>
        </w:tc>
        <w:tc>
          <w:tcPr>
            <w:tcW w:w="1166" w:type="pct"/>
            <w:tcBorders>
              <w:bottom w:val="single" w:sz="4" w:space="0" w:color="365F91"/>
            </w:tcBorders>
          </w:tcPr>
          <w:p w14:paraId="7C48497D" w14:textId="77777777" w:rsidR="00380BE7" w:rsidRPr="00256982" w:rsidRDefault="00380BE7" w:rsidP="009574E7">
            <w:pPr>
              <w:pStyle w:val="TableText"/>
            </w:pPr>
            <w:r w:rsidRPr="00256982">
              <w:t>Litter</w:t>
            </w:r>
          </w:p>
        </w:tc>
        <w:tc>
          <w:tcPr>
            <w:tcW w:w="2084" w:type="pct"/>
            <w:tcBorders>
              <w:bottom w:val="single" w:sz="4" w:space="0" w:color="365F91"/>
            </w:tcBorders>
          </w:tcPr>
          <w:p w14:paraId="7C3828DB" w14:textId="77777777" w:rsidR="00380BE7" w:rsidRPr="00256982" w:rsidRDefault="00380BE7" w:rsidP="009574E7">
            <w:pPr>
              <w:pStyle w:val="TableText"/>
            </w:pPr>
            <w:r w:rsidRPr="00256982">
              <w:t xml:space="preserve">Plot samples; laboratory analysis of samples collected at plots </w:t>
            </w:r>
          </w:p>
        </w:tc>
        <w:tc>
          <w:tcPr>
            <w:tcW w:w="1166" w:type="pct"/>
            <w:tcBorders>
              <w:bottom w:val="single" w:sz="4" w:space="0" w:color="365F91"/>
            </w:tcBorders>
          </w:tcPr>
          <w:p w14:paraId="118461DB" w14:textId="77777777" w:rsidR="00380BE7" w:rsidRPr="00256982" w:rsidRDefault="00380BE7" w:rsidP="009574E7">
            <w:pPr>
              <w:pStyle w:val="TableText"/>
            </w:pPr>
            <w:r w:rsidRPr="00256982">
              <w:t>Holdaway et al. (2016); Garrett (unpublished)</w:t>
            </w:r>
          </w:p>
        </w:tc>
      </w:tr>
    </w:tbl>
    <w:p w14:paraId="1A388A0B" w14:textId="77777777" w:rsidR="00380BE7" w:rsidRPr="00256982" w:rsidRDefault="00380BE7" w:rsidP="00380BE7">
      <w:pPr>
        <w:pStyle w:val="Heading6"/>
        <w:spacing w:before="360"/>
      </w:pPr>
      <w:bookmarkStart w:id="1401" w:name="_Toc255466334"/>
      <w:bookmarkStart w:id="1402" w:name="_Toc261513141"/>
      <w:bookmarkStart w:id="1403" w:name="_Toc261513754"/>
      <w:r w:rsidRPr="00256982">
        <w:t>Living biomass</w:t>
      </w:r>
    </w:p>
    <w:p w14:paraId="06149434" w14:textId="77777777" w:rsidR="00380BE7" w:rsidRPr="00256982" w:rsidRDefault="00380BE7" w:rsidP="00380BE7">
      <w:pPr>
        <w:pStyle w:val="BodyText"/>
      </w:pPr>
      <w:r w:rsidRPr="00256982">
        <w:t>Living biomass is separated into two carbon pools.</w:t>
      </w:r>
    </w:p>
    <w:p w14:paraId="5E8637F3" w14:textId="77777777" w:rsidR="00380BE7" w:rsidRPr="00256982" w:rsidRDefault="00380BE7" w:rsidP="00766AC8">
      <w:pPr>
        <w:pStyle w:val="BodyText"/>
        <w:numPr>
          <w:ilvl w:val="0"/>
          <w:numId w:val="28"/>
        </w:numPr>
        <w:spacing w:before="0"/>
        <w:ind w:left="397" w:hanging="397"/>
      </w:pPr>
      <w:r w:rsidRPr="00256982">
        <w:t>Above-ground biomass. The carbon content of individual trees and shrubs is calculated using species-specific allometric relationships between diameter, height and wood density (for trees), a non-specific conversion factor with diameter and height (for tree ferns) or volume and biomass (for shrubs) (Beets et al., 2012b; Holdaway et al., 2016). Shrub volumes are converted to carbon stocks using species- and/or site</w:t>
      </w:r>
      <w:r w:rsidRPr="00256982">
        <w:noBreakHyphen/>
        <w:t>specific conversion factors determined from the destructive harvesting of reference samples.</w:t>
      </w:r>
    </w:p>
    <w:p w14:paraId="5E1D53CC" w14:textId="77777777" w:rsidR="00380BE7" w:rsidRPr="00256982" w:rsidRDefault="00380BE7" w:rsidP="00766AC8">
      <w:pPr>
        <w:pStyle w:val="BodyText"/>
        <w:numPr>
          <w:ilvl w:val="0"/>
          <w:numId w:val="28"/>
        </w:numPr>
        <w:spacing w:before="0"/>
        <w:ind w:left="397" w:hanging="397"/>
      </w:pPr>
      <w:r w:rsidRPr="00256982">
        <w:t xml:space="preserve">Below-ground biomass. While the ratio of below-ground biomass to total biomass has been shown to vary from 9 per cent to 33 per cent, below-ground biomass is assumed to be 25 per cent of above-ground biomass (or 20 per cent of total biomass as reported in Coomes et al., 2002). </w:t>
      </w:r>
    </w:p>
    <w:p w14:paraId="26248FE1" w14:textId="77777777" w:rsidR="00380BE7" w:rsidRPr="00256982" w:rsidRDefault="00380BE7" w:rsidP="00380BE7">
      <w:pPr>
        <w:pStyle w:val="Heading6"/>
      </w:pPr>
      <w:r w:rsidRPr="00256982">
        <w:t>Dead organic matter</w:t>
      </w:r>
      <w:bookmarkEnd w:id="1401"/>
      <w:bookmarkEnd w:id="1402"/>
      <w:bookmarkEnd w:id="1403"/>
    </w:p>
    <w:p w14:paraId="63B06B40" w14:textId="77777777" w:rsidR="00380BE7" w:rsidRPr="00256982" w:rsidRDefault="00380BE7" w:rsidP="00380BE7">
      <w:pPr>
        <w:pStyle w:val="BodyText"/>
      </w:pPr>
      <w:r w:rsidRPr="00256982">
        <w:t>Dead organic matter is separated into two carbon pools.</w:t>
      </w:r>
    </w:p>
    <w:p w14:paraId="020F5F27" w14:textId="77777777" w:rsidR="00380BE7" w:rsidRPr="00256982" w:rsidRDefault="00380BE7" w:rsidP="00380BE7">
      <w:pPr>
        <w:pStyle w:val="BodyText"/>
        <w:spacing w:before="0"/>
        <w:ind w:left="397" w:hanging="397"/>
      </w:pPr>
      <w:r w:rsidRPr="00256982">
        <w:t>1.</w:t>
      </w:r>
      <w:r w:rsidRPr="00256982">
        <w:tab/>
        <w:t xml:space="preserve">Dead wood. The carbon content of dead standing trees is determined in the same way as live trees but excludes branch and foliage biomass calculations. The carbon content of the fallen wood and stumps is derived from the volume of the piece of wood, its species (if able to be identified) and what stage of decay it is at. Dead wood comprises woody debris with a diameter greater than 10 centimetres. </w:t>
      </w:r>
    </w:p>
    <w:p w14:paraId="22C21A09" w14:textId="77777777" w:rsidR="00380BE7" w:rsidRPr="00256982" w:rsidRDefault="00380BE7" w:rsidP="00380BE7">
      <w:pPr>
        <w:pStyle w:val="BodyText"/>
        <w:spacing w:before="0"/>
        <w:ind w:left="397" w:hanging="397"/>
      </w:pPr>
      <w:r w:rsidRPr="00256982">
        <w:t>2.</w:t>
      </w:r>
      <w:r w:rsidRPr="00256982">
        <w:tab/>
        <w:t>Litter. The carbon content of the fine debris is calculated by laboratory analysis of sampled material. Litter comprises fine woody debris (dead wood from 2.5 centimetres to 10.0 centimetres in diameter), the litter (all material less than 2.5 centimetres in diameter) and the fermented humic horizons. Samples were taken at approximately one-third of the natural forest plots.</w:t>
      </w:r>
    </w:p>
    <w:p w14:paraId="0B6D8DF6" w14:textId="77777777" w:rsidR="00380BE7" w:rsidRPr="00256982" w:rsidRDefault="00380BE7" w:rsidP="00380BE7">
      <w:pPr>
        <w:pStyle w:val="Heading6"/>
        <w:spacing w:before="120"/>
      </w:pPr>
      <w:r w:rsidRPr="00256982">
        <w:lastRenderedPageBreak/>
        <w:t>Carbon stock change</w:t>
      </w:r>
    </w:p>
    <w:p w14:paraId="04EBD3D0" w14:textId="77777777" w:rsidR="00380BE7" w:rsidRPr="00256982" w:rsidRDefault="00380BE7" w:rsidP="000C3D24">
      <w:pPr>
        <w:pStyle w:val="BodyText"/>
        <w:spacing w:before="100" w:after="100"/>
      </w:pPr>
      <w:r w:rsidRPr="00256982">
        <w:t>Carbon stock change in natural forest is calculated as the difference in carbon stock between two time points (</w:t>
      </w:r>
      <w:r w:rsidRPr="00256982">
        <w:rPr>
          <w:i/>
        </w:rPr>
        <w:t>t</w:t>
      </w:r>
      <w:r w:rsidRPr="00256982">
        <w:rPr>
          <w:i/>
          <w:vertAlign w:val="subscript"/>
        </w:rPr>
        <w:t>2</w:t>
      </w:r>
      <w:r w:rsidRPr="00256982">
        <w:t xml:space="preserve"> – </w:t>
      </w:r>
      <w:r w:rsidRPr="00256982">
        <w:rPr>
          <w:i/>
        </w:rPr>
        <w:t>t</w:t>
      </w:r>
      <w:r w:rsidRPr="00256982">
        <w:rPr>
          <w:i/>
          <w:vertAlign w:val="subscript"/>
        </w:rPr>
        <w:t>1</w:t>
      </w:r>
      <w:r w:rsidRPr="00256982">
        <w:t>). This is calculated for each plot, and the mean change across all plots is used as the national average. New Zealand has inventoried its pre-1990 natural forest at two points in time: 2002–07 and 2009–14 (the third round of measurements is under way and due for completion in 2024). The average measurement date of the first measurement period is 2004 and average measurement date of the second measurement period is 2011.</w:t>
      </w:r>
    </w:p>
    <w:p w14:paraId="662983F0" w14:textId="77777777" w:rsidR="00380BE7" w:rsidRPr="00256982" w:rsidRDefault="00380BE7" w:rsidP="000C3D24">
      <w:pPr>
        <w:pStyle w:val="BodyText"/>
        <w:spacing w:before="100" w:after="100"/>
      </w:pPr>
      <w:r w:rsidRPr="00256982">
        <w:t>Between 2002–07 and 2009–14, the regenerating forest component of New Zealand’s pre-1990 natural forest was a net sink of carbon, sequestering 1.39 tonnes C ha</w:t>
      </w:r>
      <w:r w:rsidRPr="00256982">
        <w:rPr>
          <w:vertAlign w:val="superscript"/>
        </w:rPr>
        <w:t>–1</w:t>
      </w:r>
      <w:r w:rsidRPr="00256982">
        <w:t xml:space="preserve"> yr</w:t>
      </w:r>
      <w:r w:rsidRPr="00256982">
        <w:rPr>
          <w:vertAlign w:val="superscript"/>
        </w:rPr>
        <w:t xml:space="preserve">–1 </w:t>
      </w:r>
      <w:r w:rsidRPr="00256982">
        <w:t>(95 per cent confidence interval 0.84 to 1.94) (Holdaway et al., 2016). The data are extrapolated back to 1990 and forward to the current inventory year to calculate stock changes for all years. Due to the dominance of tall forest types, the combined overall net change across all pre-1990 natural forest was indistinguishable from zero (+0.34 tonnes C ha</w:t>
      </w:r>
      <w:r w:rsidRPr="00256982">
        <w:rPr>
          <w:vertAlign w:val="superscript"/>
        </w:rPr>
        <w:t>–1</w:t>
      </w:r>
      <w:r w:rsidRPr="00256982">
        <w:t xml:space="preserve"> yr</w:t>
      </w:r>
      <w:r w:rsidRPr="00256982">
        <w:rPr>
          <w:vertAlign w:val="superscript"/>
        </w:rPr>
        <w:t>–1</w:t>
      </w:r>
      <w:r w:rsidRPr="00256982">
        <w:t xml:space="preserve"> (95 per cent confidence interval −0.09 to 0.77); Holdaway et al., 2016). Carbon stock change in regenerating forest was driven primarily by an increase in live above-ground biomass of 1.06 tonnes C ha</w:t>
      </w:r>
      <w:r w:rsidRPr="00256982">
        <w:rPr>
          <w:vertAlign w:val="superscript"/>
        </w:rPr>
        <w:t>–1</w:t>
      </w:r>
      <w:r w:rsidRPr="00256982">
        <w:t xml:space="preserve"> yr</w:t>
      </w:r>
      <w:r w:rsidRPr="00256982">
        <w:rPr>
          <w:vertAlign w:val="superscript"/>
        </w:rPr>
        <w:t xml:space="preserve">–1 </w:t>
      </w:r>
      <w:r w:rsidRPr="00256982">
        <w:t>(95 per cent confidence interval 0.65 to 1.47) (Holdaway et al., 2016).</w:t>
      </w:r>
    </w:p>
    <w:p w14:paraId="61B782ED" w14:textId="77777777" w:rsidR="00380BE7" w:rsidRPr="00256982" w:rsidRDefault="00380BE7" w:rsidP="00380BE7">
      <w:pPr>
        <w:pStyle w:val="Heading6"/>
      </w:pPr>
      <w:bookmarkStart w:id="1404" w:name="_Toc255466335"/>
      <w:bookmarkStart w:id="1405" w:name="_Toc261513142"/>
      <w:bookmarkStart w:id="1406" w:name="_Toc261513755"/>
      <w:r w:rsidRPr="00256982">
        <w:t>Soil organic carbon</w:t>
      </w:r>
      <w:bookmarkEnd w:id="1404"/>
      <w:bookmarkEnd w:id="1405"/>
      <w:bookmarkEnd w:id="1406"/>
    </w:p>
    <w:p w14:paraId="582697C9" w14:textId="77777777" w:rsidR="00380BE7" w:rsidRPr="00256982" w:rsidRDefault="00380BE7" w:rsidP="000C3D24">
      <w:pPr>
        <w:pStyle w:val="BodyText"/>
        <w:spacing w:before="100" w:after="100"/>
      </w:pPr>
      <w:r w:rsidRPr="00256982">
        <w:t>Mineral SOC stocks in pre-1990 natural forest land remaining pre-1990 natural forest land are estimated using a Tier 2 method. The steady state mineral SOC stock in pre-1990 natural forest is estimated to be 92.25 tonnes C ha</w:t>
      </w:r>
      <w:r w:rsidRPr="00256982">
        <w:rPr>
          <w:vertAlign w:val="superscript"/>
        </w:rPr>
        <w:t>–1</w:t>
      </w:r>
      <w:r w:rsidRPr="00256982">
        <w:t xml:space="preserve"> (see table 6.3.2).</w:t>
      </w:r>
    </w:p>
    <w:p w14:paraId="5B99E41E" w14:textId="77777777" w:rsidR="00380BE7" w:rsidRPr="00256982" w:rsidRDefault="00380BE7" w:rsidP="000C3D24">
      <w:pPr>
        <w:pStyle w:val="BodyText"/>
        <w:spacing w:before="100" w:after="100"/>
      </w:pPr>
      <w:r w:rsidRPr="00256982">
        <w:t>For organic soils, IPCC good practice guidance is limited to the estimation of carbon emissions associated with the drainage of organic soils in managed forests (IPCC, 2006a, section 4.2.3.1). In New Zealand, natural forests are not drained and, therefore, oxidation processes associated with drainage are not occurring. It is therefore assumed that there are no carbon emissions from organic soils in pre-1990 natural forest land remaining pre</w:t>
      </w:r>
      <w:r w:rsidRPr="00256982">
        <w:noBreakHyphen/>
        <w:t>1990 natural forest land.</w:t>
      </w:r>
    </w:p>
    <w:p w14:paraId="39D13488" w14:textId="77777777" w:rsidR="00380BE7" w:rsidRPr="00256982" w:rsidRDefault="00380BE7" w:rsidP="00380BE7">
      <w:pPr>
        <w:pStyle w:val="Heading5"/>
      </w:pPr>
      <w:r w:rsidRPr="00256982">
        <w:t>Non-CO</w:t>
      </w:r>
      <w:r w:rsidRPr="00256982">
        <w:rPr>
          <w:vertAlign w:val="subscript"/>
        </w:rPr>
        <w:t>2</w:t>
      </w:r>
      <w:r w:rsidRPr="00256982">
        <w:t xml:space="preserve"> emissions for pre-1990 natural forest </w:t>
      </w:r>
    </w:p>
    <w:p w14:paraId="29D912E2" w14:textId="77777777" w:rsidR="00380BE7" w:rsidRPr="00256982" w:rsidRDefault="00380BE7" w:rsidP="00380BE7">
      <w:pPr>
        <w:pStyle w:val="Heading6"/>
        <w:spacing w:before="120"/>
      </w:pPr>
      <w:r w:rsidRPr="00256982">
        <w:t>Direct N</w:t>
      </w:r>
      <w:r w:rsidRPr="00256982">
        <w:rPr>
          <w:vertAlign w:val="subscript"/>
        </w:rPr>
        <w:t>2</w:t>
      </w:r>
      <w:r w:rsidRPr="00256982">
        <w:t>O emissions from nitrogen fertilisation of forest land and other land</w:t>
      </w:r>
    </w:p>
    <w:p w14:paraId="07B63AE7" w14:textId="23E9AAC0" w:rsidR="00380BE7" w:rsidRPr="00256982" w:rsidRDefault="00380BE7" w:rsidP="000C3D24">
      <w:pPr>
        <w:pStyle w:val="BodyText"/>
        <w:spacing w:before="100" w:after="100"/>
      </w:pPr>
      <w:r w:rsidRPr="00256982">
        <w:t>New Zealand activity data on nitrogen fertilisation are not currently disaggregated by land use, and, therefore, all direct N</w:t>
      </w:r>
      <w:r w:rsidRPr="00256982">
        <w:rPr>
          <w:vertAlign w:val="subscript"/>
        </w:rPr>
        <w:t>2</w:t>
      </w:r>
      <w:r w:rsidRPr="00256982">
        <w:t>O emissions from nitrogen fertilisation of</w:t>
      </w:r>
      <w:r w:rsidRPr="00256982">
        <w:rPr>
          <w:i/>
        </w:rPr>
        <w:t xml:space="preserve"> Forest land </w:t>
      </w:r>
      <w:r w:rsidRPr="00256982">
        <w:t>and</w:t>
      </w:r>
      <w:r w:rsidRPr="00256982">
        <w:rPr>
          <w:i/>
        </w:rPr>
        <w:t xml:space="preserve"> Other land</w:t>
      </w:r>
      <w:r w:rsidR="002F5DA7" w:rsidRPr="00256982">
        <w:rPr>
          <w:i/>
        </w:rPr>
        <w:t xml:space="preserve"> </w:t>
      </w:r>
      <w:r w:rsidRPr="00256982">
        <w:t xml:space="preserve">are reported in the Agriculture sector under the category </w:t>
      </w:r>
      <w:r w:rsidRPr="00256982">
        <w:rPr>
          <w:i/>
        </w:rPr>
        <w:t>Direct N</w:t>
      </w:r>
      <w:r w:rsidRPr="00256982">
        <w:rPr>
          <w:i/>
          <w:vertAlign w:val="subscript"/>
        </w:rPr>
        <w:t>2</w:t>
      </w:r>
      <w:r w:rsidRPr="00256982">
        <w:rPr>
          <w:i/>
        </w:rPr>
        <w:t>O emissions from managed soils</w:t>
      </w:r>
      <w:r w:rsidRPr="00256982">
        <w:t>.</w:t>
      </w:r>
    </w:p>
    <w:p w14:paraId="74FE5860" w14:textId="77777777" w:rsidR="00380BE7" w:rsidRPr="00256982" w:rsidRDefault="00380BE7" w:rsidP="00380BE7">
      <w:pPr>
        <w:pStyle w:val="Heading5"/>
      </w:pPr>
      <w:bookmarkStart w:id="1407" w:name="_Toc255466337"/>
      <w:bookmarkStart w:id="1408" w:name="_Toc261513144"/>
      <w:bookmarkStart w:id="1409" w:name="_Toc261513757"/>
      <w:bookmarkStart w:id="1410" w:name="_Toc280630249"/>
      <w:r w:rsidRPr="00256982">
        <w:t>Pre-1990 planted forest</w:t>
      </w:r>
      <w:bookmarkEnd w:id="1407"/>
      <w:bookmarkEnd w:id="1408"/>
      <w:bookmarkEnd w:id="1409"/>
      <w:bookmarkEnd w:id="1410"/>
    </w:p>
    <w:p w14:paraId="5C915E5F" w14:textId="77777777" w:rsidR="00380BE7" w:rsidRPr="00256982" w:rsidRDefault="00380BE7" w:rsidP="000C3D24">
      <w:pPr>
        <w:pStyle w:val="BodyText"/>
        <w:spacing w:before="100" w:after="100"/>
      </w:pPr>
      <w:r w:rsidRPr="00256982">
        <w:t xml:space="preserve">All planted forest land established prior to 1990, whether established for wood production or ecosystem services, is included as pre-1990 planted forest. This category also includes areas that were natural forest in 1990 but have since been planted with exotic forest. The emissions associated with this area are calculated as the removal of biomass associated with pre-1990 natural forest and the subsequent growth of pre-1990 planted forest. The pre-1990 planted forest yield table best represents the growth on ex-natural forest land because it remains in the </w:t>
      </w:r>
      <w:r w:rsidRPr="00256982">
        <w:rPr>
          <w:i/>
        </w:rPr>
        <w:t>Forest land</w:t>
      </w:r>
      <w:r w:rsidRPr="00256982">
        <w:t xml:space="preserve"> category. </w:t>
      </w:r>
    </w:p>
    <w:p w14:paraId="4FDE5A52" w14:textId="77777777" w:rsidR="00380BE7" w:rsidRPr="00256982" w:rsidRDefault="00380BE7" w:rsidP="00380BE7">
      <w:pPr>
        <w:pStyle w:val="Heading6"/>
        <w:spacing w:before="200"/>
      </w:pPr>
      <w:r w:rsidRPr="00256982">
        <w:t>Pre-1990 planted forest inventory</w:t>
      </w:r>
    </w:p>
    <w:p w14:paraId="203BE6A4" w14:textId="77777777" w:rsidR="00380BE7" w:rsidRPr="00256982" w:rsidRDefault="00380BE7" w:rsidP="000C3D24">
      <w:pPr>
        <w:pStyle w:val="BodyText"/>
        <w:spacing w:before="100"/>
      </w:pPr>
      <w:r w:rsidRPr="00256982">
        <w:t>New Zealand’s pre-1990 planted forest was sampled in 2010, again in 2015, and has now moved onto a continuous measurement cycle from 2016 onwards. The analysis of the data collected has provided a plot-based estimate of carbon stock and mean carbon density within this forest type (Beets et al., 2012a). The pre-1990 planted forest inventory is closely linked, in terms of design and methodology, with the post-1989 planted forest inventory described later in this section.</w:t>
      </w:r>
    </w:p>
    <w:p w14:paraId="350BD5CE" w14:textId="001EB04E" w:rsidR="00380BE7" w:rsidRPr="00256982" w:rsidRDefault="00380BE7" w:rsidP="00380BE7">
      <w:pPr>
        <w:pStyle w:val="BodyText"/>
        <w:rPr>
          <w:spacing w:val="-2"/>
        </w:rPr>
      </w:pPr>
      <w:r w:rsidRPr="00256982">
        <w:rPr>
          <w:spacing w:val="-2"/>
        </w:rPr>
        <w:lastRenderedPageBreak/>
        <w:t>The pre-1990 planted forest inventory consists of 212 circular</w:t>
      </w:r>
      <w:r w:rsidR="00BA3EF6" w:rsidRPr="00256982">
        <w:rPr>
          <w:spacing w:val="-2"/>
        </w:rPr>
        <w:t xml:space="preserve"> 0.06-hectare plots (see figure </w:t>
      </w:r>
      <w:r w:rsidRPr="00256982">
        <w:rPr>
          <w:spacing w:val="-2"/>
        </w:rPr>
        <w:t>6.4.5) established on a systematic 8-kilometre grid (consistent with that used for all forest categories). These plots are ground measured using procedures described in Herries et al. (unpublished). Stand records and ground measurements are recorded between June and September at each plot. Measurements include: tree age; stocking (stems per hectare); stem diameters at breast height of live and dead trees; a sample of tree total heights for each tree species; pruned heights; and the timing of pruning and thinning activities. Ground plot centres were located using a 12</w:t>
      </w:r>
      <w:r w:rsidRPr="00256982">
        <w:rPr>
          <w:spacing w:val="-2"/>
        </w:rPr>
        <w:noBreakHyphen/>
        <w:t xml:space="preserve">channel differential global positioning system (GPS) for accurate LiDAR co-location and relocation for future measurements (Beets et al., 2012a). </w:t>
      </w:r>
    </w:p>
    <w:p w14:paraId="22160A77" w14:textId="77777777" w:rsidR="00380BE7" w:rsidRPr="00256982" w:rsidRDefault="00380BE7" w:rsidP="00380BE7">
      <w:pPr>
        <w:pStyle w:val="BodyText"/>
      </w:pPr>
      <w:r w:rsidRPr="00256982">
        <w:t>Airborne scanning LiDAR data were collected from 351 plots. LiDAR plots included those that were ground measured in addition to LiDAR-only plots, which are at 1 kilometre intervals nested within the 8 kilometre grid (Paul et al., unpublished(d)).</w:t>
      </w:r>
    </w:p>
    <w:p w14:paraId="429C4DC6" w14:textId="77777777" w:rsidR="00380BE7" w:rsidRPr="00256982" w:rsidRDefault="00380BE7" w:rsidP="00380BE7">
      <w:pPr>
        <w:pStyle w:val="Heading6"/>
        <w:spacing w:before="200"/>
      </w:pPr>
      <w:r w:rsidRPr="00256982">
        <w:t>Living biomass and dead organic matter</w:t>
      </w:r>
    </w:p>
    <w:p w14:paraId="016076E8" w14:textId="77777777" w:rsidR="00380BE7" w:rsidRPr="00256982" w:rsidRDefault="00380BE7" w:rsidP="00380BE7">
      <w:pPr>
        <w:pStyle w:val="BodyText"/>
        <w:spacing w:after="100"/>
        <w:rPr>
          <w:spacing w:val="-2"/>
        </w:rPr>
      </w:pPr>
      <w:r w:rsidRPr="00256982">
        <w:rPr>
          <w:spacing w:val="-2"/>
        </w:rPr>
        <w:t xml:space="preserve">The crop tree plot data collected from the planted forest inventories are modelled using a forest carbon modelling system (the Forest Carbon Predictor, version 4.12; Beets and Garrett, 2018; Beets et al., 2018a, 2018b; Paul et al., unpublished(a)) developed for the two most common plantation tree species in New Zealand: </w:t>
      </w:r>
      <w:r w:rsidRPr="00256982">
        <w:rPr>
          <w:i/>
          <w:spacing w:val="-2"/>
        </w:rPr>
        <w:t>Pinus radiata</w:t>
      </w:r>
      <w:r w:rsidRPr="00256982">
        <w:rPr>
          <w:spacing w:val="-2"/>
        </w:rPr>
        <w:t xml:space="preserve"> and </w:t>
      </w:r>
      <w:r w:rsidRPr="00256982">
        <w:rPr>
          <w:i/>
          <w:spacing w:val="-2"/>
        </w:rPr>
        <w:t>Pseudotsuga menziesii</w:t>
      </w:r>
      <w:r w:rsidRPr="00256982">
        <w:rPr>
          <w:spacing w:val="-2"/>
        </w:rPr>
        <w:t>. To enable predictions of carbon stocks and changes in New Zealand’s planted forests, this system integrates:</w:t>
      </w:r>
    </w:p>
    <w:p w14:paraId="6CBE4AD1" w14:textId="77777777" w:rsidR="00380BE7" w:rsidRPr="00256982" w:rsidRDefault="00380BE7" w:rsidP="00380BE7">
      <w:pPr>
        <w:pStyle w:val="Bullet"/>
        <w:numPr>
          <w:ilvl w:val="0"/>
          <w:numId w:val="8"/>
        </w:numPr>
      </w:pPr>
      <w:r w:rsidRPr="00256982">
        <w:t xml:space="preserve">the 300 Index growth model (Kimberley and Dean, 2006) for </w:t>
      </w:r>
      <w:r w:rsidRPr="00256982">
        <w:rPr>
          <w:i/>
        </w:rPr>
        <w:t>Pinus radiata</w:t>
      </w:r>
    </w:p>
    <w:p w14:paraId="5B491808" w14:textId="77777777" w:rsidR="00380BE7" w:rsidRPr="00256982" w:rsidRDefault="00380BE7" w:rsidP="00380BE7">
      <w:pPr>
        <w:pStyle w:val="Bullet"/>
        <w:numPr>
          <w:ilvl w:val="0"/>
          <w:numId w:val="8"/>
        </w:numPr>
      </w:pPr>
      <w:r w:rsidRPr="00256982">
        <w:t>the 500 Index growth model for Douglas fir (Knowles, 2005)</w:t>
      </w:r>
    </w:p>
    <w:p w14:paraId="1E2BC3B3" w14:textId="77777777" w:rsidR="00380BE7" w:rsidRPr="00256982" w:rsidRDefault="00380BE7" w:rsidP="00380BE7">
      <w:pPr>
        <w:pStyle w:val="Bullet"/>
        <w:numPr>
          <w:ilvl w:val="0"/>
          <w:numId w:val="8"/>
        </w:numPr>
      </w:pPr>
      <w:r w:rsidRPr="00256982">
        <w:t>a wood density model (Beets et al., 2007)</w:t>
      </w:r>
    </w:p>
    <w:p w14:paraId="0FFF66DF" w14:textId="77777777" w:rsidR="00380BE7" w:rsidRPr="00256982" w:rsidRDefault="00380BE7" w:rsidP="00380BE7">
      <w:pPr>
        <w:pStyle w:val="Bullet"/>
        <w:numPr>
          <w:ilvl w:val="0"/>
          <w:numId w:val="8"/>
        </w:numPr>
      </w:pPr>
      <w:r w:rsidRPr="00256982">
        <w:t xml:space="preserve">a stand tending model (Beets and Kimberley, unpublished) </w:t>
      </w:r>
    </w:p>
    <w:p w14:paraId="541A3F5E" w14:textId="77777777" w:rsidR="00380BE7" w:rsidRPr="00256982" w:rsidRDefault="00380BE7" w:rsidP="00380BE7">
      <w:pPr>
        <w:pStyle w:val="Bullet"/>
        <w:numPr>
          <w:ilvl w:val="0"/>
          <w:numId w:val="8"/>
        </w:numPr>
      </w:pPr>
      <w:r w:rsidRPr="00256982">
        <w:t>the C_Change carbon allocation model (Beets et al., 1999).</w:t>
      </w:r>
    </w:p>
    <w:p w14:paraId="0DFDE87F" w14:textId="77777777" w:rsidR="00380BE7" w:rsidRPr="00256982" w:rsidRDefault="00380BE7" w:rsidP="00380BE7">
      <w:pPr>
        <w:pStyle w:val="BodyText"/>
      </w:pPr>
      <w:r w:rsidRPr="00256982">
        <w:t xml:space="preserve">The individual components of the Forest Carbon Predictor are explained below and illustrated in figure 6.4.6. </w:t>
      </w:r>
    </w:p>
    <w:p w14:paraId="60CD0077" w14:textId="77777777" w:rsidR="00380BE7" w:rsidRPr="00256982" w:rsidRDefault="00380BE7" w:rsidP="00380BE7">
      <w:pPr>
        <w:pStyle w:val="BodyText"/>
      </w:pPr>
      <w:r w:rsidRPr="00256982">
        <w:rPr>
          <w:b/>
        </w:rPr>
        <w:t>The 300 Index and 500 Index growth models</w:t>
      </w:r>
      <w:r w:rsidRPr="00256982">
        <w:t xml:space="preserve"> produce a productivity index for forest plots derived from stand parameters. These stand parameters include: stand age, mean top height, basal area, stocking and stand silvicultural history. Plot latitude and altitude are also required to run the models. The growth models use these parameters to predict stem volume under bark over a full rotation (planting to harvest). A specific productivity index is produced for each plot, which is then used to estimate the total live and dead stem volume by annual increment. The growth models account for past and future silvicultural treatments using plot data, information on past silvicultural treatments and assumptions of future management events based on plot observations and standard regimes (Beets and Kimberley, unpublished).</w:t>
      </w:r>
    </w:p>
    <w:p w14:paraId="3397B524" w14:textId="77777777" w:rsidR="00380BE7" w:rsidRPr="00256982" w:rsidRDefault="00380BE7" w:rsidP="00380BE7">
      <w:pPr>
        <w:pStyle w:val="BodyText"/>
      </w:pPr>
      <w:r w:rsidRPr="00256982">
        <w:rPr>
          <w:b/>
        </w:rPr>
        <w:t>The wood density model</w:t>
      </w:r>
      <w:r w:rsidRPr="00256982">
        <w:t xml:space="preserve"> within the Forest Carbon Predictor uses site mean annual temperature, soil nitrogen fertility, ring age and stocking to determine the mean density of stem wood growth sheaths produced annually in </w:t>
      </w:r>
      <w:r w:rsidRPr="00256982">
        <w:rPr>
          <w:i/>
        </w:rPr>
        <w:t>Pinus radiata</w:t>
      </w:r>
      <w:r w:rsidRPr="00256982">
        <w:t>. Wood density is an important variable in the estimation of carbon. Of the parameters entered into the wood density model, temperature and stand age have the greatest influence on wood density, followed by site fertility and stocking. The combined result of these individual effects can be substantial, as shown in table 6.4.6 (Beets et al., 2007).</w:t>
      </w:r>
    </w:p>
    <w:p w14:paraId="5E0CECBC" w14:textId="77777777" w:rsidR="00380BE7" w:rsidRPr="00256982" w:rsidRDefault="00380BE7" w:rsidP="00380BE7">
      <w:pPr>
        <w:pStyle w:val="Table"/>
      </w:pPr>
      <w:bookmarkStart w:id="1411" w:name="_Toc310423409"/>
      <w:bookmarkStart w:id="1412" w:name="_Toc318362702"/>
      <w:bookmarkStart w:id="1413" w:name="_Toc342470764"/>
      <w:bookmarkStart w:id="1414" w:name="_Toc352505004"/>
      <w:bookmarkStart w:id="1415" w:name="_Toc373395729"/>
      <w:bookmarkStart w:id="1416" w:name="_Toc378853295"/>
      <w:bookmarkStart w:id="1417" w:name="_Toc391024093"/>
      <w:bookmarkStart w:id="1418" w:name="_Toc410028836"/>
      <w:bookmarkStart w:id="1419" w:name="_Toc414531464"/>
      <w:bookmarkStart w:id="1420" w:name="_Toc443645377"/>
      <w:bookmarkStart w:id="1421" w:name="_Toc474914596"/>
      <w:bookmarkStart w:id="1422" w:name="_Toc481751560"/>
      <w:bookmarkStart w:id="1423" w:name="_Toc522010617"/>
      <w:bookmarkStart w:id="1424" w:name="_Toc5269522"/>
      <w:r w:rsidRPr="00256982">
        <w:lastRenderedPageBreak/>
        <w:t xml:space="preserve">Table 6.4.6 </w:t>
      </w:r>
      <w:r w:rsidRPr="00256982">
        <w:tab/>
        <w:t>Influence of individual site and management factors on predicted wood density for New Zealand planted forest</w:t>
      </w:r>
      <w:bookmarkEnd w:id="1411"/>
      <w:bookmarkEnd w:id="1412"/>
      <w:bookmarkEnd w:id="1413"/>
      <w:bookmarkEnd w:id="1414"/>
      <w:bookmarkEnd w:id="1415"/>
      <w:bookmarkEnd w:id="1416"/>
      <w:bookmarkEnd w:id="1417"/>
      <w:bookmarkEnd w:id="1418"/>
      <w:bookmarkEnd w:id="1419"/>
      <w:bookmarkEnd w:id="1420"/>
      <w:bookmarkEnd w:id="1421"/>
      <w:bookmarkEnd w:id="1422"/>
      <w:bookmarkEnd w:id="1423"/>
      <w:bookmarkEnd w:id="1424"/>
    </w:p>
    <w:tbl>
      <w:tblPr>
        <w:tblW w:w="8505" w:type="dxa"/>
        <w:tblInd w:w="108" w:type="dxa"/>
        <w:tblLook w:val="04A0" w:firstRow="1" w:lastRow="0" w:firstColumn="1" w:lastColumn="0" w:noHBand="0" w:noVBand="1"/>
      </w:tblPr>
      <w:tblGrid>
        <w:gridCol w:w="4951"/>
        <w:gridCol w:w="1805"/>
        <w:gridCol w:w="1749"/>
      </w:tblGrid>
      <w:tr w:rsidR="00380BE7" w:rsidRPr="00256982" w14:paraId="7ABE9F47" w14:textId="77777777" w:rsidTr="009574E7">
        <w:tc>
          <w:tcPr>
            <w:tcW w:w="4654" w:type="dxa"/>
            <w:vMerge w:val="restart"/>
            <w:tcBorders>
              <w:top w:val="single" w:sz="4" w:space="0" w:color="365F91"/>
            </w:tcBorders>
            <w:shd w:val="clear" w:color="auto" w:fill="365F91"/>
            <w:vAlign w:val="bottom"/>
          </w:tcPr>
          <w:p w14:paraId="30E2CD27" w14:textId="77777777" w:rsidR="00380BE7" w:rsidRPr="00256982" w:rsidRDefault="00380BE7" w:rsidP="00E34468">
            <w:pPr>
              <w:pStyle w:val="TableTextBold"/>
              <w:keepNext/>
              <w:rPr>
                <w:noProof w:val="0"/>
                <w:color w:val="FFFFFF"/>
              </w:rPr>
            </w:pPr>
            <w:r w:rsidRPr="00256982">
              <w:rPr>
                <w:noProof w:val="0"/>
                <w:color w:val="FFFFFF"/>
              </w:rPr>
              <w:t>Factor affecting wood density</w:t>
            </w:r>
          </w:p>
        </w:tc>
        <w:tc>
          <w:tcPr>
            <w:tcW w:w="3341" w:type="dxa"/>
            <w:gridSpan w:val="2"/>
            <w:tcBorders>
              <w:top w:val="single" w:sz="4" w:space="0" w:color="365F91"/>
            </w:tcBorders>
            <w:shd w:val="clear" w:color="auto" w:fill="365F91"/>
            <w:vAlign w:val="bottom"/>
          </w:tcPr>
          <w:p w14:paraId="07E51761" w14:textId="77777777" w:rsidR="00380BE7" w:rsidRPr="00256982" w:rsidRDefault="00380BE7" w:rsidP="00E34468">
            <w:pPr>
              <w:pStyle w:val="TableTextBold"/>
              <w:keepNext/>
              <w:spacing w:after="0"/>
              <w:jc w:val="center"/>
              <w:rPr>
                <w:noProof w:val="0"/>
                <w:color w:val="FFFFFF"/>
              </w:rPr>
            </w:pPr>
            <w:r w:rsidRPr="00256982">
              <w:rPr>
                <w:noProof w:val="0"/>
                <w:color w:val="FFFFFF"/>
              </w:rPr>
              <w:t>Range in predicted density</w:t>
            </w:r>
          </w:p>
        </w:tc>
      </w:tr>
      <w:tr w:rsidR="00380BE7" w:rsidRPr="00256982" w14:paraId="0B170E22" w14:textId="77777777" w:rsidTr="009574E7">
        <w:tc>
          <w:tcPr>
            <w:tcW w:w="0" w:type="auto"/>
            <w:vMerge/>
            <w:tcBorders>
              <w:bottom w:val="single" w:sz="4" w:space="0" w:color="365F91"/>
            </w:tcBorders>
            <w:shd w:val="clear" w:color="auto" w:fill="365F91"/>
          </w:tcPr>
          <w:p w14:paraId="7DF16C16" w14:textId="77777777" w:rsidR="00380BE7" w:rsidRPr="00256982" w:rsidRDefault="00380BE7" w:rsidP="00E34468">
            <w:pPr>
              <w:pStyle w:val="TableTextBold"/>
              <w:keepNext/>
              <w:rPr>
                <w:noProof w:val="0"/>
              </w:rPr>
            </w:pPr>
          </w:p>
        </w:tc>
        <w:tc>
          <w:tcPr>
            <w:tcW w:w="1697" w:type="dxa"/>
            <w:tcBorders>
              <w:bottom w:val="single" w:sz="4" w:space="0" w:color="365F91"/>
            </w:tcBorders>
            <w:shd w:val="clear" w:color="auto" w:fill="365F91"/>
          </w:tcPr>
          <w:p w14:paraId="31CC8D97" w14:textId="77777777" w:rsidR="00380BE7" w:rsidRPr="00256982" w:rsidRDefault="00380BE7" w:rsidP="00E34468">
            <w:pPr>
              <w:pStyle w:val="TableTextBold"/>
              <w:keepNext/>
              <w:jc w:val="center"/>
              <w:rPr>
                <w:noProof w:val="0"/>
                <w:color w:val="FFFFFF"/>
              </w:rPr>
            </w:pPr>
            <w:r w:rsidRPr="00256982">
              <w:rPr>
                <w:noProof w:val="0"/>
                <w:color w:val="FFFFFF"/>
              </w:rPr>
              <w:t>(kg m</w:t>
            </w:r>
            <w:r w:rsidRPr="00256982">
              <w:rPr>
                <w:noProof w:val="0"/>
                <w:color w:val="FFFFFF"/>
                <w:vertAlign w:val="superscript"/>
              </w:rPr>
              <w:t>–3</w:t>
            </w:r>
            <w:r w:rsidRPr="00256982">
              <w:rPr>
                <w:noProof w:val="0"/>
                <w:color w:val="FFFFFF"/>
              </w:rPr>
              <w:t>)</w:t>
            </w:r>
          </w:p>
        </w:tc>
        <w:tc>
          <w:tcPr>
            <w:tcW w:w="1644" w:type="dxa"/>
            <w:tcBorders>
              <w:bottom w:val="single" w:sz="4" w:space="0" w:color="365F91"/>
            </w:tcBorders>
            <w:shd w:val="clear" w:color="auto" w:fill="365F91"/>
          </w:tcPr>
          <w:p w14:paraId="0F60AE9A" w14:textId="77777777" w:rsidR="00380BE7" w:rsidRPr="00256982" w:rsidRDefault="00380BE7" w:rsidP="00E34468">
            <w:pPr>
              <w:pStyle w:val="TableTextBold"/>
              <w:keepNext/>
              <w:rPr>
                <w:noProof w:val="0"/>
                <w:color w:val="FFFFFF"/>
              </w:rPr>
            </w:pPr>
            <w:r w:rsidRPr="00256982">
              <w:rPr>
                <w:noProof w:val="0"/>
                <w:color w:val="FFFFFF"/>
              </w:rPr>
              <w:t>(% difference)</w:t>
            </w:r>
          </w:p>
        </w:tc>
      </w:tr>
      <w:tr w:rsidR="00380BE7" w:rsidRPr="00256982" w14:paraId="37AB4328" w14:textId="77777777" w:rsidTr="009574E7">
        <w:tc>
          <w:tcPr>
            <w:tcW w:w="4654" w:type="dxa"/>
            <w:tcBorders>
              <w:top w:val="single" w:sz="4" w:space="0" w:color="365F91"/>
              <w:bottom w:val="single" w:sz="4" w:space="0" w:color="365F91"/>
            </w:tcBorders>
          </w:tcPr>
          <w:p w14:paraId="0E85ED12" w14:textId="77777777" w:rsidR="00380BE7" w:rsidRPr="00256982" w:rsidRDefault="00380BE7" w:rsidP="00E34468">
            <w:pPr>
              <w:pStyle w:val="TableText"/>
              <w:keepNext/>
            </w:pPr>
            <w:r w:rsidRPr="00256982">
              <w:t>Temperature: 8°C versus 16°C</w:t>
            </w:r>
          </w:p>
        </w:tc>
        <w:tc>
          <w:tcPr>
            <w:tcW w:w="1697" w:type="dxa"/>
            <w:tcBorders>
              <w:top w:val="single" w:sz="4" w:space="0" w:color="365F91"/>
              <w:bottom w:val="single" w:sz="4" w:space="0" w:color="365F91"/>
            </w:tcBorders>
          </w:tcPr>
          <w:p w14:paraId="42E4804A" w14:textId="77777777" w:rsidR="00380BE7" w:rsidRPr="00256982" w:rsidRDefault="00380BE7" w:rsidP="00E34468">
            <w:pPr>
              <w:pStyle w:val="TableText"/>
              <w:keepNext/>
              <w:jc w:val="center"/>
            </w:pPr>
            <w:r w:rsidRPr="00256982">
              <w:t>359–439</w:t>
            </w:r>
          </w:p>
        </w:tc>
        <w:tc>
          <w:tcPr>
            <w:tcW w:w="1644" w:type="dxa"/>
            <w:tcBorders>
              <w:top w:val="single" w:sz="4" w:space="0" w:color="365F91"/>
              <w:bottom w:val="single" w:sz="4" w:space="0" w:color="365F91"/>
            </w:tcBorders>
          </w:tcPr>
          <w:p w14:paraId="531A6BED" w14:textId="77777777" w:rsidR="00380BE7" w:rsidRPr="00256982" w:rsidRDefault="00380BE7" w:rsidP="00E34468">
            <w:pPr>
              <w:pStyle w:val="TableText"/>
              <w:keepNext/>
              <w:jc w:val="center"/>
            </w:pPr>
            <w:r w:rsidRPr="00256982">
              <w:t>22</w:t>
            </w:r>
          </w:p>
        </w:tc>
      </w:tr>
      <w:tr w:rsidR="00380BE7" w:rsidRPr="00256982" w14:paraId="34CB7243" w14:textId="77777777" w:rsidTr="009574E7">
        <w:tc>
          <w:tcPr>
            <w:tcW w:w="4654" w:type="dxa"/>
            <w:tcBorders>
              <w:top w:val="single" w:sz="4" w:space="0" w:color="365F91"/>
              <w:bottom w:val="single" w:sz="4" w:space="0" w:color="365F91"/>
            </w:tcBorders>
          </w:tcPr>
          <w:p w14:paraId="403C2A20" w14:textId="77777777" w:rsidR="00380BE7" w:rsidRPr="00256982" w:rsidRDefault="00380BE7" w:rsidP="009574E7">
            <w:pPr>
              <w:pStyle w:val="TableText"/>
            </w:pPr>
            <w:r w:rsidRPr="00256982">
              <w:t>Age: 10-year-old versus 30-year-old</w:t>
            </w:r>
          </w:p>
        </w:tc>
        <w:tc>
          <w:tcPr>
            <w:tcW w:w="1697" w:type="dxa"/>
            <w:tcBorders>
              <w:top w:val="single" w:sz="4" w:space="0" w:color="365F91"/>
              <w:bottom w:val="single" w:sz="4" w:space="0" w:color="365F91"/>
            </w:tcBorders>
          </w:tcPr>
          <w:p w14:paraId="5F28EA3C" w14:textId="77777777" w:rsidR="00380BE7" w:rsidRPr="00256982" w:rsidRDefault="00380BE7" w:rsidP="009574E7">
            <w:pPr>
              <w:pStyle w:val="TableText"/>
              <w:jc w:val="center"/>
            </w:pPr>
            <w:r w:rsidRPr="00256982">
              <w:t>380–446</w:t>
            </w:r>
          </w:p>
        </w:tc>
        <w:tc>
          <w:tcPr>
            <w:tcW w:w="1644" w:type="dxa"/>
            <w:tcBorders>
              <w:top w:val="single" w:sz="4" w:space="0" w:color="365F91"/>
              <w:bottom w:val="single" w:sz="4" w:space="0" w:color="365F91"/>
            </w:tcBorders>
          </w:tcPr>
          <w:p w14:paraId="3FAEED1E" w14:textId="77777777" w:rsidR="00380BE7" w:rsidRPr="00256982" w:rsidRDefault="00380BE7" w:rsidP="009574E7">
            <w:pPr>
              <w:pStyle w:val="TableText"/>
              <w:jc w:val="center"/>
            </w:pPr>
            <w:r w:rsidRPr="00256982">
              <w:t>17</w:t>
            </w:r>
          </w:p>
        </w:tc>
      </w:tr>
      <w:tr w:rsidR="00380BE7" w:rsidRPr="00256982" w14:paraId="11B51896" w14:textId="77777777" w:rsidTr="009574E7">
        <w:tc>
          <w:tcPr>
            <w:tcW w:w="4654" w:type="dxa"/>
            <w:tcBorders>
              <w:top w:val="single" w:sz="4" w:space="0" w:color="365F91"/>
              <w:bottom w:val="single" w:sz="4" w:space="0" w:color="365F91"/>
            </w:tcBorders>
          </w:tcPr>
          <w:p w14:paraId="7BEB506C" w14:textId="77777777" w:rsidR="00380BE7" w:rsidRPr="00256982" w:rsidRDefault="00380BE7" w:rsidP="009574E7">
            <w:pPr>
              <w:pStyle w:val="TableText"/>
            </w:pPr>
            <w:r w:rsidRPr="00256982">
              <w:t>C:N ratio: 12 versus 25</w:t>
            </w:r>
          </w:p>
        </w:tc>
        <w:tc>
          <w:tcPr>
            <w:tcW w:w="1697" w:type="dxa"/>
            <w:tcBorders>
              <w:top w:val="single" w:sz="4" w:space="0" w:color="365F91"/>
              <w:bottom w:val="single" w:sz="4" w:space="0" w:color="365F91"/>
            </w:tcBorders>
          </w:tcPr>
          <w:p w14:paraId="0D794882" w14:textId="77777777" w:rsidR="00380BE7" w:rsidRPr="00256982" w:rsidRDefault="00380BE7" w:rsidP="009574E7">
            <w:pPr>
              <w:pStyle w:val="TableText"/>
              <w:jc w:val="center"/>
            </w:pPr>
            <w:r w:rsidRPr="00256982">
              <w:t>384–418</w:t>
            </w:r>
          </w:p>
        </w:tc>
        <w:tc>
          <w:tcPr>
            <w:tcW w:w="1644" w:type="dxa"/>
            <w:tcBorders>
              <w:top w:val="single" w:sz="4" w:space="0" w:color="365F91"/>
              <w:bottom w:val="single" w:sz="4" w:space="0" w:color="365F91"/>
            </w:tcBorders>
          </w:tcPr>
          <w:p w14:paraId="00DF4DB7" w14:textId="77777777" w:rsidR="00380BE7" w:rsidRPr="00256982" w:rsidRDefault="00380BE7" w:rsidP="009574E7">
            <w:pPr>
              <w:pStyle w:val="TableText"/>
              <w:jc w:val="center"/>
            </w:pPr>
            <w:r w:rsidRPr="00256982">
              <w:t>9</w:t>
            </w:r>
          </w:p>
        </w:tc>
      </w:tr>
      <w:tr w:rsidR="00380BE7" w:rsidRPr="00256982" w14:paraId="016DFB07" w14:textId="77777777" w:rsidTr="009574E7">
        <w:tc>
          <w:tcPr>
            <w:tcW w:w="4654" w:type="dxa"/>
            <w:tcBorders>
              <w:top w:val="single" w:sz="4" w:space="0" w:color="365F91"/>
              <w:bottom w:val="single" w:sz="4" w:space="0" w:color="365F91"/>
            </w:tcBorders>
          </w:tcPr>
          <w:p w14:paraId="6B7CE152" w14:textId="77777777" w:rsidR="00380BE7" w:rsidRPr="00256982" w:rsidRDefault="00380BE7" w:rsidP="009574E7">
            <w:pPr>
              <w:pStyle w:val="TableText"/>
            </w:pPr>
            <w:r w:rsidRPr="00256982">
              <w:t>Stocking: 200 versus 500 stems ha</w:t>
            </w:r>
            <w:r w:rsidRPr="00256982">
              <w:rPr>
                <w:vertAlign w:val="superscript"/>
              </w:rPr>
              <w:t>–1</w:t>
            </w:r>
          </w:p>
        </w:tc>
        <w:tc>
          <w:tcPr>
            <w:tcW w:w="1697" w:type="dxa"/>
            <w:tcBorders>
              <w:top w:val="single" w:sz="4" w:space="0" w:color="365F91"/>
              <w:bottom w:val="single" w:sz="4" w:space="0" w:color="365F91"/>
            </w:tcBorders>
          </w:tcPr>
          <w:p w14:paraId="30DD0049" w14:textId="77777777" w:rsidR="00380BE7" w:rsidRPr="00256982" w:rsidRDefault="00380BE7" w:rsidP="009574E7">
            <w:pPr>
              <w:pStyle w:val="TableText"/>
              <w:jc w:val="center"/>
            </w:pPr>
            <w:r w:rsidRPr="00256982">
              <w:t>395–411</w:t>
            </w:r>
          </w:p>
        </w:tc>
        <w:tc>
          <w:tcPr>
            <w:tcW w:w="1644" w:type="dxa"/>
            <w:tcBorders>
              <w:top w:val="single" w:sz="4" w:space="0" w:color="365F91"/>
              <w:bottom w:val="single" w:sz="4" w:space="0" w:color="365F91"/>
            </w:tcBorders>
          </w:tcPr>
          <w:p w14:paraId="2960CB8F" w14:textId="77777777" w:rsidR="00380BE7" w:rsidRPr="00256982" w:rsidRDefault="00380BE7" w:rsidP="009574E7">
            <w:pPr>
              <w:pStyle w:val="TableText"/>
              <w:jc w:val="center"/>
            </w:pPr>
            <w:r w:rsidRPr="00256982">
              <w:t>4</w:t>
            </w:r>
          </w:p>
        </w:tc>
      </w:tr>
    </w:tbl>
    <w:p w14:paraId="7343F95B" w14:textId="77777777" w:rsidR="00380BE7" w:rsidRPr="00256982" w:rsidRDefault="00380BE7" w:rsidP="00380BE7">
      <w:pPr>
        <w:pStyle w:val="Noteundertable"/>
        <w:spacing w:before="160" w:after="0"/>
      </w:pPr>
      <w:r w:rsidRPr="00256982">
        <w:rPr>
          <w:b/>
        </w:rPr>
        <w:t>Note:</w:t>
      </w:r>
      <w:r w:rsidRPr="00256982">
        <w:t xml:space="preserve"> </w:t>
      </w:r>
      <w:r w:rsidRPr="00256982">
        <w:tab/>
        <w:t>C:N = carbon:nitrogen.</w:t>
      </w:r>
    </w:p>
    <w:p w14:paraId="11C212A5" w14:textId="77777777" w:rsidR="00380BE7" w:rsidRPr="00256982" w:rsidRDefault="00380BE7" w:rsidP="00380BE7">
      <w:pPr>
        <w:pStyle w:val="BodyText"/>
        <w:spacing w:before="240"/>
      </w:pPr>
      <w:r w:rsidRPr="00256982">
        <w:rPr>
          <w:b/>
        </w:rPr>
        <w:t xml:space="preserve">The stand tending model: </w:t>
      </w:r>
      <w:r w:rsidRPr="00256982">
        <w:t>New Zealand’s plantation forests are intensively managed and, therefore, pruning and thinning provide the majority of the inputs to the dead wood and litter pools. The Forest Carbon Predictor requires silvicultural history inputs to predict changes between biomass pools over time. The information required includes initial stocking, the timing of management events, stocking following each thinning operation and the pruned height and number of stems pruned for each pruning lift. Information on silvicultural events prior to the plot measurement date is normally gathered from forest owners but sometimes these data are incomplete. A history module has been incorporated into the Forest Carbon Predictor that makes use of existing data to identify potential gaps in the stand history. Within the history module, assumptions are made to complete the stand history based on field observations, standard management regimes and known silviculture to date (Beets and Kimberley, unpublished). The history module enables reasonable estimates of stand history and, therefore, biomass transfers between pools resulting from past silvicultural events.</w:t>
      </w:r>
    </w:p>
    <w:p w14:paraId="5D520940" w14:textId="77777777" w:rsidR="00380BE7" w:rsidRPr="00256982" w:rsidRDefault="00380BE7" w:rsidP="00380BE7">
      <w:pPr>
        <w:pStyle w:val="BodyText"/>
      </w:pPr>
      <w:r w:rsidRPr="00256982">
        <w:rPr>
          <w:b/>
        </w:rPr>
        <w:t>The C_Change carbon allocation model</w:t>
      </w:r>
      <w:r w:rsidRPr="00256982">
        <w:t xml:space="preserve"> is designed to apportion carbon to needles, branches, stems, roots and reproductive parts via growth partitioning functions and is integrated into the Forest Carbon Predictor. Dead wood and litter pools are estimated by accounting for losses to the live pools from natural mortality, disease effects on needle retention, branch and crown mortality and silvicultural management activities, for example, pruning and thinning. Component-specific and temperature-dependent decay functions are used to estimate losses of carbon to the atmosphere (Beets et al., 1999). The Forest Carbon Predictor also takes into account biomass removals during production thinning. </w:t>
      </w:r>
    </w:p>
    <w:p w14:paraId="2F39B6C4" w14:textId="77777777" w:rsidR="00380BE7" w:rsidRPr="00256982" w:rsidRDefault="00380BE7" w:rsidP="00380BE7">
      <w:pPr>
        <w:pStyle w:val="BodyText"/>
      </w:pPr>
      <w:r w:rsidRPr="00256982">
        <w:t>The individual plot yield curves generated by the Forest Carbon Predictor are combined into estimates of above-ground live biomass, below-ground live biomass, dead wood and litter in an area-weighted and age-based carbon yield table for the productive area of each type of planted forest. Plots that are located outside the productive area within the mapped forest boundary are used to provide emission factors for unstocked areas in both post-1989 forest and pre-1990 planted forest</w:t>
      </w:r>
      <w:r w:rsidRPr="00256982">
        <w:rPr>
          <w:i/>
        </w:rPr>
        <w:t xml:space="preserve"> </w:t>
      </w:r>
      <w:r w:rsidRPr="00256982">
        <w:t>(Paul et al., unpublished(d)).</w:t>
      </w:r>
    </w:p>
    <w:p w14:paraId="542540DD" w14:textId="77777777" w:rsidR="00380BE7" w:rsidRPr="00256982" w:rsidRDefault="00380BE7" w:rsidP="00E34468">
      <w:pPr>
        <w:pStyle w:val="BodyText"/>
      </w:pPr>
      <w:r w:rsidRPr="00256982">
        <w:t xml:space="preserve">Below-ground biomass is derived from the above-ground biomass estimates. For plantation crop trees, below-ground biomass is assumed to be 15 per cent to 20 per cent of total production, depending on stand age (Beets et al., 1999). The ratio for non-crop trees and shrubs is 25 per cent (Coomes et al., 2002). </w:t>
      </w:r>
    </w:p>
    <w:p w14:paraId="343638F3" w14:textId="77777777" w:rsidR="00380BE7" w:rsidRPr="00256982" w:rsidRDefault="00380BE7" w:rsidP="00380BE7">
      <w:pPr>
        <w:pStyle w:val="BodyText"/>
      </w:pPr>
      <w:r w:rsidRPr="00256982">
        <w:t>The carbon content of the dead wood pool within a rotation is estimated using the Forest Carbon Predictor model as described above. Immediately following harvesting, 30 per cent of the above-ground biomass pool is transferred to the dead wood pool; the other 70 per cent is instantaneously emitted. All material in the dead wood and litter pools is decayed using an empirically derived, temperature-dependent decay profile as described in Garrett et al. (2010).</w:t>
      </w:r>
    </w:p>
    <w:p w14:paraId="1F3393E0" w14:textId="77777777" w:rsidR="00380BE7" w:rsidRPr="00256982" w:rsidRDefault="00380BE7" w:rsidP="00380BE7">
      <w:pPr>
        <w:pStyle w:val="Figure"/>
      </w:pPr>
      <w:bookmarkStart w:id="1425" w:name="_Toc318362755"/>
      <w:bookmarkStart w:id="1426" w:name="_Toc342470835"/>
      <w:bookmarkStart w:id="1427" w:name="_Toc352505163"/>
      <w:bookmarkStart w:id="1428" w:name="_Toc373395722"/>
      <w:bookmarkStart w:id="1429" w:name="_Toc378853345"/>
      <w:bookmarkStart w:id="1430" w:name="_Toc405448095"/>
      <w:bookmarkStart w:id="1431" w:name="_Toc414531627"/>
      <w:bookmarkStart w:id="1432" w:name="_Toc474914651"/>
      <w:bookmarkStart w:id="1433" w:name="_Toc481752033"/>
      <w:bookmarkStart w:id="1434" w:name="_Toc522010711"/>
      <w:bookmarkStart w:id="1435" w:name="_Toc5269713"/>
      <w:r w:rsidRPr="00256982">
        <w:lastRenderedPageBreak/>
        <w:t>Figure 6.4.6</w:t>
      </w:r>
      <w:r w:rsidRPr="00256982">
        <w:tab/>
        <w:t>New Zealand’s planted forest inventory modelling process</w:t>
      </w:r>
      <w:bookmarkEnd w:id="1425"/>
      <w:bookmarkEnd w:id="1426"/>
      <w:bookmarkEnd w:id="1427"/>
      <w:bookmarkEnd w:id="1428"/>
      <w:bookmarkEnd w:id="1429"/>
      <w:bookmarkEnd w:id="1430"/>
      <w:bookmarkEnd w:id="1431"/>
      <w:bookmarkEnd w:id="1432"/>
      <w:bookmarkEnd w:id="1433"/>
      <w:bookmarkEnd w:id="1434"/>
      <w:bookmarkEnd w:id="1435"/>
    </w:p>
    <w:p w14:paraId="18BCCACD" w14:textId="5342FC25" w:rsidR="00380BE7" w:rsidRPr="00256982" w:rsidRDefault="00590491" w:rsidP="00380BE7">
      <w:pPr>
        <w:pStyle w:val="BodyText"/>
        <w:jc w:val="center"/>
      </w:pPr>
      <w:r>
        <w:rPr>
          <w:lang w:eastAsia="en-NZ"/>
        </w:rPr>
        <w:pict w14:anchorId="4247B04B">
          <v:shape id="Picture 123" o:spid="_x0000_i1145" type="#_x0000_t75" alt="FCP2.jpg" style="width:384pt;height:352.5pt;visibility:visible;mso-wrap-style:square">
            <v:imagedata r:id="rId210" o:title="FCP2"/>
          </v:shape>
        </w:pict>
      </w:r>
    </w:p>
    <w:p w14:paraId="1DBCC675" w14:textId="77777777" w:rsidR="00380BE7" w:rsidRPr="00256982" w:rsidRDefault="00380BE7" w:rsidP="00380BE7">
      <w:pPr>
        <w:pStyle w:val="Noteundertable"/>
      </w:pPr>
      <w:r w:rsidRPr="00256982">
        <w:rPr>
          <w:b/>
        </w:rPr>
        <w:t>Note:</w:t>
      </w:r>
      <w:r w:rsidRPr="00256982">
        <w:rPr>
          <w:b/>
        </w:rPr>
        <w:tab/>
      </w:r>
      <w:r w:rsidRPr="00256982">
        <w:t xml:space="preserve">CRF = common reporting format; LiDAR = Light Detection and Ranging. </w:t>
      </w:r>
      <w:r w:rsidRPr="00256982">
        <w:rPr>
          <w:b/>
        </w:rPr>
        <w:t xml:space="preserve">* </w:t>
      </w:r>
      <w:r w:rsidRPr="00256982">
        <w:t>LiDAR data are used for pre-1990 planted forests and were obtained in 2015.</w:t>
      </w:r>
    </w:p>
    <w:p w14:paraId="6E1641E1" w14:textId="77777777" w:rsidR="00380BE7" w:rsidRPr="00256982" w:rsidRDefault="00380BE7" w:rsidP="00380BE7">
      <w:pPr>
        <w:pStyle w:val="BodyText"/>
      </w:pPr>
      <w:r w:rsidRPr="00256982">
        <w:t xml:space="preserve">For shrubs and non-crop tree species measured within the planted forest plot network, the carbon content is estimated using species-specific allometric equations. These equations estimate carbon content from diameter and height measurements, and wood density by species (Beets et al., 2012a). </w:t>
      </w:r>
    </w:p>
    <w:p w14:paraId="66EA4A99" w14:textId="77777777" w:rsidR="00380BE7" w:rsidRPr="00256982" w:rsidRDefault="00380BE7" w:rsidP="00380BE7">
      <w:pPr>
        <w:pStyle w:val="BodyText"/>
      </w:pPr>
      <w:r w:rsidRPr="00256982">
        <w:t xml:space="preserve">Stock change in the productive area of pre-1990 planted forests is estimated using a forest type-specific national yield table. Plots that are located outside the productive area within the mapped forest boundary are used to provide emission factors for unstocked areas of pre-1990 planted forests (Paul et al., unpublished(a)). </w:t>
      </w:r>
    </w:p>
    <w:p w14:paraId="453CC525" w14:textId="77777777" w:rsidR="00380BE7" w:rsidRPr="00256982" w:rsidRDefault="00380BE7" w:rsidP="00380BE7">
      <w:pPr>
        <w:pStyle w:val="BodyText"/>
        <w:spacing w:after="100"/>
      </w:pPr>
      <w:r w:rsidRPr="00256982">
        <w:t>To utilise both plot measurements described above under the pre-1990 planted forest inventory, a single yield table per plot was developed using:</w:t>
      </w:r>
    </w:p>
    <w:p w14:paraId="4763F60E" w14:textId="77777777" w:rsidR="00380BE7" w:rsidRPr="00256982" w:rsidRDefault="00380BE7" w:rsidP="00380BE7">
      <w:pPr>
        <w:pStyle w:val="Bullet"/>
        <w:numPr>
          <w:ilvl w:val="0"/>
          <w:numId w:val="8"/>
        </w:numPr>
      </w:pPr>
      <w:r w:rsidRPr="00256982">
        <w:t>the earlier measurement for ages below the first measurement age</w:t>
      </w:r>
    </w:p>
    <w:p w14:paraId="60E35A37" w14:textId="77777777" w:rsidR="00380BE7" w:rsidRPr="00256982" w:rsidRDefault="00380BE7" w:rsidP="00380BE7">
      <w:pPr>
        <w:pStyle w:val="Bullet"/>
        <w:numPr>
          <w:ilvl w:val="0"/>
          <w:numId w:val="8"/>
        </w:numPr>
      </w:pPr>
      <w:r w:rsidRPr="00256982">
        <w:t>the later measurement for ages above the later measurement age</w:t>
      </w:r>
    </w:p>
    <w:p w14:paraId="0D08D5BD" w14:textId="77777777" w:rsidR="00380BE7" w:rsidRPr="00256982" w:rsidRDefault="00380BE7" w:rsidP="00380BE7">
      <w:pPr>
        <w:pStyle w:val="Bullet"/>
        <w:numPr>
          <w:ilvl w:val="0"/>
          <w:numId w:val="8"/>
        </w:numPr>
      </w:pPr>
      <w:r w:rsidRPr="00256982">
        <w:t xml:space="preserve">an interpolated estimate for the ages between the earlier and later measurements. </w:t>
      </w:r>
    </w:p>
    <w:p w14:paraId="26FC5A66" w14:textId="77777777" w:rsidR="00380BE7" w:rsidRPr="00256982" w:rsidRDefault="00380BE7" w:rsidP="00380BE7">
      <w:pPr>
        <w:pStyle w:val="BodyText"/>
      </w:pPr>
      <w:r w:rsidRPr="00256982">
        <w:t xml:space="preserve">For plots that have been measured once, a ratio estimator derived from plots that have been measured twice is applied to the predicted stocks at the missing measurement date (assuming that the correction for possible bias was the same in both strata) (Paul et al., unpublished(a)). </w:t>
      </w:r>
    </w:p>
    <w:p w14:paraId="3A24D15F" w14:textId="77777777" w:rsidR="00380BE7" w:rsidRPr="00256982" w:rsidRDefault="00380BE7" w:rsidP="00380BE7">
      <w:pPr>
        <w:pStyle w:val="BodyText"/>
      </w:pPr>
      <w:r w:rsidRPr="00256982">
        <w:lastRenderedPageBreak/>
        <w:t>The following approach is used to develop a LiDAR-adjusted yield table for pre-1990 planted forests. For LiDAR plots that were not coincident with a ground-measured plot, forest age is obtained from forest owners’ stand records. A regression model was developed for predicting carbon stocks using LiDAR metrics and forest age. A ratio estimator was developed using the LiDAR-derived estimate of age 20 carbon and the estimate obtained from the ground measured plots. This ratio estimator is used to adjust the yield table. The adjustment is used for all ages in the yield table and is also applied to all carbon pools in the table (Paul et al., unpublished(a)).</w:t>
      </w:r>
    </w:p>
    <w:p w14:paraId="31810CF1" w14:textId="77777777" w:rsidR="00380BE7" w:rsidRPr="00256982" w:rsidRDefault="00380BE7" w:rsidP="00380BE7">
      <w:pPr>
        <w:pStyle w:val="BodyText"/>
      </w:pPr>
      <w:r w:rsidRPr="00256982">
        <w:t>The carbon stock in pre-1990 planted forest as at 31 December 2014, estimated directly from the national plot network, is 130.7 ± 11.4 tonnes C ha</w:t>
      </w:r>
      <w:r w:rsidRPr="00256982">
        <w:rPr>
          <w:vertAlign w:val="superscript"/>
        </w:rPr>
        <w:t>–1</w:t>
      </w:r>
      <w:r w:rsidRPr="00256982">
        <w:t xml:space="preserve"> (at the 95 per cent confidence interval) (Paul et al., unpublished(a)). </w:t>
      </w:r>
    </w:p>
    <w:p w14:paraId="3EDA54D0" w14:textId="77777777" w:rsidR="00380BE7" w:rsidRPr="00256982" w:rsidRDefault="00380BE7" w:rsidP="00380BE7">
      <w:pPr>
        <w:pStyle w:val="Heading6"/>
      </w:pPr>
      <w:bookmarkStart w:id="1436" w:name="_Toc255466339"/>
      <w:bookmarkStart w:id="1437" w:name="_Toc261513146"/>
      <w:bookmarkStart w:id="1438" w:name="_Toc261513759"/>
      <w:r w:rsidRPr="00256982">
        <w:t>Soil organic carbon</w:t>
      </w:r>
      <w:bookmarkEnd w:id="1436"/>
      <w:bookmarkEnd w:id="1437"/>
      <w:bookmarkEnd w:id="1438"/>
    </w:p>
    <w:p w14:paraId="58F4928B" w14:textId="77777777" w:rsidR="00380BE7" w:rsidRPr="00256982" w:rsidRDefault="00380BE7" w:rsidP="00380BE7">
      <w:pPr>
        <w:pStyle w:val="BodyText"/>
      </w:pPr>
      <w:r w:rsidRPr="00256982">
        <w:t>SOC stocks in pre-1990 planted forests</w:t>
      </w:r>
      <w:r w:rsidRPr="00256982">
        <w:rPr>
          <w:i/>
        </w:rPr>
        <w:t xml:space="preserve"> </w:t>
      </w:r>
      <w:r w:rsidRPr="00256982">
        <w:t>are estimated using a Tier 2 method for mineral soils and a Tier 1 method for organic soils (see section 6.3). The steady state mineral SOC stock in pre-1990 planted forest is estimated to be 92.44 tonnes C ha</w:t>
      </w:r>
      <w:r w:rsidRPr="00256982">
        <w:rPr>
          <w:vertAlign w:val="superscript"/>
        </w:rPr>
        <w:t>–1</w:t>
      </w:r>
      <w:r w:rsidRPr="00256982">
        <w:t xml:space="preserve"> (see table 6.3.2). </w:t>
      </w:r>
    </w:p>
    <w:p w14:paraId="39A6B650" w14:textId="77777777" w:rsidR="00380BE7" w:rsidRPr="00256982" w:rsidRDefault="00380BE7" w:rsidP="00380BE7">
      <w:pPr>
        <w:pStyle w:val="BodyText"/>
      </w:pPr>
      <w:r w:rsidRPr="00256982">
        <w:t>The IPCC (2006a) default emission factor for organic soils under planted forest is 0.68 tonnes C ha</w:t>
      </w:r>
      <w:r w:rsidRPr="00256982">
        <w:rPr>
          <w:vertAlign w:val="superscript"/>
        </w:rPr>
        <w:t>–1</w:t>
      </w:r>
      <w:r w:rsidRPr="00256982">
        <w:t xml:space="preserve"> per annum (see table 6.3.3). Soil carbon change with harvesting is not explicitly estimated because the long-term SOC stock for this land use includes any emissions associated with harvesting.</w:t>
      </w:r>
    </w:p>
    <w:p w14:paraId="4BACF068" w14:textId="77777777" w:rsidR="00380BE7" w:rsidRPr="00256982" w:rsidRDefault="00380BE7" w:rsidP="00380BE7">
      <w:pPr>
        <w:pStyle w:val="Heading5"/>
      </w:pPr>
      <w:bookmarkStart w:id="1439" w:name="_Toc280630250"/>
      <w:bookmarkStart w:id="1440" w:name="_Toc255466340"/>
      <w:bookmarkStart w:id="1441" w:name="_Toc261513147"/>
      <w:bookmarkStart w:id="1442" w:name="_Toc261513760"/>
      <w:r w:rsidRPr="00256982">
        <w:t>Non-CO</w:t>
      </w:r>
      <w:r w:rsidRPr="00256982">
        <w:rPr>
          <w:vertAlign w:val="subscript"/>
        </w:rPr>
        <w:t>2</w:t>
      </w:r>
      <w:r w:rsidRPr="00256982">
        <w:t xml:space="preserve"> emissions</w:t>
      </w:r>
      <w:bookmarkEnd w:id="1439"/>
      <w:r w:rsidRPr="00256982">
        <w:t xml:space="preserve"> for pre-1990 planted forest </w:t>
      </w:r>
      <w:bookmarkEnd w:id="1440"/>
      <w:bookmarkEnd w:id="1441"/>
      <w:bookmarkEnd w:id="1442"/>
    </w:p>
    <w:p w14:paraId="448F9B59" w14:textId="77777777" w:rsidR="00380BE7" w:rsidRPr="00256982" w:rsidRDefault="00380BE7" w:rsidP="00380BE7">
      <w:pPr>
        <w:pStyle w:val="Heading6"/>
        <w:spacing w:before="120"/>
      </w:pPr>
      <w:bookmarkStart w:id="1443" w:name="_Toc255466341"/>
      <w:bookmarkStart w:id="1444" w:name="_Toc261513148"/>
      <w:bookmarkStart w:id="1445" w:name="_Toc261513761"/>
      <w:r w:rsidRPr="00256982">
        <w:t>Direct N</w:t>
      </w:r>
      <w:r w:rsidRPr="00256982">
        <w:rPr>
          <w:vertAlign w:val="subscript"/>
        </w:rPr>
        <w:t>2</w:t>
      </w:r>
      <w:r w:rsidRPr="00256982">
        <w:t>O emissions from nitrogen fertilisation of forest land and other land</w:t>
      </w:r>
    </w:p>
    <w:p w14:paraId="54478FCE" w14:textId="77777777" w:rsidR="00380BE7" w:rsidRPr="00256982" w:rsidRDefault="00380BE7" w:rsidP="00380BE7">
      <w:pPr>
        <w:pStyle w:val="BodyText"/>
      </w:pPr>
      <w:r w:rsidRPr="00256982">
        <w:t>New Zealand activity data on nitrogen fertilisation are not currently disaggregated by land use and, therefore, all Direct N</w:t>
      </w:r>
      <w:r w:rsidRPr="00256982">
        <w:rPr>
          <w:vertAlign w:val="subscript"/>
        </w:rPr>
        <w:t>2</w:t>
      </w:r>
      <w:r w:rsidRPr="00256982">
        <w:t>O</w:t>
      </w:r>
      <w:r w:rsidRPr="00256982">
        <w:rPr>
          <w:i/>
        </w:rPr>
        <w:t xml:space="preserve"> </w:t>
      </w:r>
      <w:r w:rsidRPr="00256982">
        <w:t>emissions from nitrogen fertilisation of</w:t>
      </w:r>
      <w:r w:rsidRPr="00256982">
        <w:rPr>
          <w:i/>
        </w:rPr>
        <w:t xml:space="preserve"> Forest land </w:t>
      </w:r>
      <w:r w:rsidRPr="00256982">
        <w:t>and</w:t>
      </w:r>
      <w:r w:rsidRPr="00256982">
        <w:rPr>
          <w:i/>
        </w:rPr>
        <w:t> Other land</w:t>
      </w:r>
      <w:r w:rsidRPr="00256982">
        <w:t xml:space="preserve"> are reported in the Agriculture sector under the category </w:t>
      </w:r>
      <w:r w:rsidRPr="00256982">
        <w:rPr>
          <w:i/>
        </w:rPr>
        <w:t>Direct N</w:t>
      </w:r>
      <w:r w:rsidRPr="00256982">
        <w:rPr>
          <w:i/>
          <w:vertAlign w:val="subscript"/>
        </w:rPr>
        <w:t>2</w:t>
      </w:r>
      <w:r w:rsidRPr="00256982">
        <w:rPr>
          <w:i/>
        </w:rPr>
        <w:t>O emissions from managed soils</w:t>
      </w:r>
      <w:r w:rsidRPr="00256982">
        <w:t>.</w:t>
      </w:r>
    </w:p>
    <w:p w14:paraId="5864AFF2" w14:textId="77777777" w:rsidR="00380BE7" w:rsidRPr="00256982" w:rsidRDefault="00380BE7" w:rsidP="00380BE7">
      <w:pPr>
        <w:pStyle w:val="Heading4"/>
      </w:pPr>
      <w:bookmarkStart w:id="1446" w:name="_Toc255466343"/>
      <w:bookmarkStart w:id="1447" w:name="_Toc261513150"/>
      <w:bookmarkStart w:id="1448" w:name="_Toc261513763"/>
      <w:bookmarkStart w:id="1449" w:name="_Toc280630251"/>
      <w:bookmarkEnd w:id="1443"/>
      <w:bookmarkEnd w:id="1444"/>
      <w:bookmarkEnd w:id="1445"/>
      <w:r w:rsidRPr="00256982">
        <w:t>Land converted to forest land</w:t>
      </w:r>
      <w:bookmarkEnd w:id="1446"/>
      <w:bookmarkEnd w:id="1447"/>
      <w:bookmarkEnd w:id="1448"/>
      <w:bookmarkEnd w:id="1449"/>
      <w:r w:rsidRPr="00256982">
        <w:t xml:space="preserve"> (CRF 4.A.2)</w:t>
      </w:r>
    </w:p>
    <w:p w14:paraId="29BEB626" w14:textId="77777777" w:rsidR="00380BE7" w:rsidRPr="00256982" w:rsidRDefault="00380BE7" w:rsidP="00380BE7">
      <w:pPr>
        <w:pStyle w:val="BodyText"/>
      </w:pPr>
      <w:r w:rsidRPr="00256982">
        <w:t xml:space="preserve">All </w:t>
      </w:r>
      <w:r w:rsidRPr="00256982">
        <w:rPr>
          <w:i/>
        </w:rPr>
        <w:t>Land converted to forest land</w:t>
      </w:r>
      <w:r w:rsidRPr="00256982">
        <w:t xml:space="preserve"> since 1 January 1990, either by planting or as a result of human-induced changes in land-management practice (e.g., removing grazing stock and actively facilitating the regeneration of tree species), is included as post-1989 forest. Post-1989 forest is split into two divisions for calculating emissions and removals: post-1989 natural forest and post-1989 planted forest. Reporting is at the aggregate level of post-1989 forest in the National Inventory Report.</w:t>
      </w:r>
    </w:p>
    <w:p w14:paraId="145EA47A" w14:textId="77777777" w:rsidR="00380BE7" w:rsidRPr="00256982" w:rsidRDefault="00380BE7" w:rsidP="00380BE7">
      <w:pPr>
        <w:pStyle w:val="BodyText"/>
        <w:rPr>
          <w:spacing w:val="-2"/>
        </w:rPr>
      </w:pPr>
      <w:r w:rsidRPr="00256982">
        <w:rPr>
          <w:spacing w:val="-2"/>
        </w:rPr>
        <w:t>When non-forest land is converted to forest land, all living biomass that was present at the time of forest establishment is assumed to be instantly emitted as a result of forest establishment preparation. Between 1990 and 2017, approximately 59 per cent of the non-forest land converted to post-1989 forest has been from low producing grassland, with 22 per cent converted from grassland with woody biomass and a further 18 per cent converted from high producing grassland. Grassland with woody biomass provides the largest source of emissions associated with land-use change to forest due to the amount of biomass present prior to land-use conversion.</w:t>
      </w:r>
    </w:p>
    <w:p w14:paraId="0DD8998A" w14:textId="77777777" w:rsidR="00380BE7" w:rsidRPr="00256982" w:rsidRDefault="00380BE7" w:rsidP="00380BE7">
      <w:pPr>
        <w:pStyle w:val="BodyText"/>
      </w:pPr>
      <w:r w:rsidRPr="00256982">
        <w:t>New Zealand’s post-1989 forests have been sampled on a systematic 4-kilometre grid-based plot network consistent with that used for the pre-1990 forest types, as shown in figure 6.4.7. Sampling includes both post-1989 planted forest and post-1989 natural forest; the methods are described below.</w:t>
      </w:r>
    </w:p>
    <w:p w14:paraId="498705F8" w14:textId="77777777" w:rsidR="00380BE7" w:rsidRPr="00256982" w:rsidRDefault="00380BE7" w:rsidP="00380BE7">
      <w:pPr>
        <w:pStyle w:val="Figure"/>
        <w:spacing w:after="0"/>
      </w:pPr>
      <w:bookmarkStart w:id="1450" w:name="_Toc373395723"/>
      <w:bookmarkStart w:id="1451" w:name="_Toc378853346"/>
      <w:bookmarkStart w:id="1452" w:name="_Toc405448096"/>
      <w:bookmarkStart w:id="1453" w:name="_Toc414531628"/>
      <w:bookmarkStart w:id="1454" w:name="_Toc474914652"/>
      <w:bookmarkStart w:id="1455" w:name="_Toc481752034"/>
      <w:bookmarkStart w:id="1456" w:name="_Toc522010712"/>
      <w:bookmarkStart w:id="1457" w:name="_Toc5269714"/>
      <w:r w:rsidRPr="00256982">
        <w:lastRenderedPageBreak/>
        <w:t>Figure 6.4.7</w:t>
      </w:r>
      <w:r w:rsidRPr="00256982">
        <w:tab/>
        <w:t>Location of New Zealand’s post-1989 forest plots</w:t>
      </w:r>
      <w:bookmarkEnd w:id="1450"/>
      <w:bookmarkEnd w:id="1451"/>
      <w:bookmarkEnd w:id="1452"/>
      <w:bookmarkEnd w:id="1453"/>
      <w:bookmarkEnd w:id="1454"/>
      <w:bookmarkEnd w:id="1455"/>
      <w:bookmarkEnd w:id="1456"/>
      <w:bookmarkEnd w:id="1457"/>
    </w:p>
    <w:p w14:paraId="5BFCD5D5" w14:textId="22C1F8BA" w:rsidR="00380BE7" w:rsidRPr="00256982" w:rsidRDefault="00590491" w:rsidP="00380BE7">
      <w:pPr>
        <w:pStyle w:val="BodyText"/>
        <w:spacing w:before="0"/>
      </w:pPr>
      <w:r>
        <w:rPr>
          <w:lang w:eastAsia="en-NZ"/>
        </w:rPr>
        <w:pict w14:anchorId="43BB8C23">
          <v:shape id="Picture 124" o:spid="_x0000_i1146" type="#_x0000_t75" style="width:387.75pt;height:496.5pt;visibility:visible;mso-wrap-style:square">
            <v:imagedata r:id="rId211" o:title="" cropbottom="676f"/>
          </v:shape>
        </w:pict>
      </w:r>
    </w:p>
    <w:p w14:paraId="0DA424F3" w14:textId="77777777" w:rsidR="00380BE7" w:rsidRPr="00256982" w:rsidRDefault="00380BE7" w:rsidP="00380BE7">
      <w:pPr>
        <w:pStyle w:val="Heading5"/>
        <w:spacing w:before="360"/>
      </w:pPr>
      <w:r w:rsidRPr="00256982">
        <w:t>Post-1989 planted forests</w:t>
      </w:r>
    </w:p>
    <w:p w14:paraId="6D2A2636" w14:textId="77777777" w:rsidR="00380BE7" w:rsidRPr="00256982" w:rsidRDefault="00380BE7" w:rsidP="00380BE7">
      <w:pPr>
        <w:pStyle w:val="BodyText"/>
      </w:pPr>
      <w:r w:rsidRPr="00256982">
        <w:t>All forest land planted since 1 January 1990, whether established for wood production or soil control purposes, is included as post-1989 forest.</w:t>
      </w:r>
    </w:p>
    <w:p w14:paraId="0508DEB5" w14:textId="77777777" w:rsidR="00380BE7" w:rsidRPr="00256982" w:rsidRDefault="00380BE7" w:rsidP="00380BE7">
      <w:pPr>
        <w:pStyle w:val="Heading6"/>
      </w:pPr>
      <w:bookmarkStart w:id="1458" w:name="_Toc255466345"/>
      <w:bookmarkStart w:id="1459" w:name="_Toc261513152"/>
      <w:bookmarkStart w:id="1460" w:name="_Toc261513765"/>
      <w:r w:rsidRPr="00256982">
        <w:t>Living biomass and dead organic matter</w:t>
      </w:r>
    </w:p>
    <w:p w14:paraId="4054673F" w14:textId="77777777" w:rsidR="00380BE7" w:rsidRPr="00256982" w:rsidRDefault="00380BE7" w:rsidP="00C353DA">
      <w:pPr>
        <w:pStyle w:val="BodyText"/>
      </w:pPr>
      <w:r w:rsidRPr="00256982">
        <w:t>A plot-based forest inventory system has been developed for carbon estimation in New Zealand’s post-1989 planted forest (see Beets et al., 2011a). The majority of post-1989 forests in New Zealand are privately owned and access could not be guaranteed at the beginning of the inventory. Initially, a double-sampling approach involving LiDAR was employed to reduce the possibility of a sampling bias arising from unmeasured plots (Stephens et al., 2012). In practice, access to privately owned forests was generally unrestricted so LiDAR was used to improve the precision of the carbon stock estimates using a ratio estimator procedure.</w:t>
      </w:r>
    </w:p>
    <w:p w14:paraId="0109BD26" w14:textId="77777777" w:rsidR="00380BE7" w:rsidRPr="00256982" w:rsidRDefault="00380BE7" w:rsidP="00380BE7">
      <w:pPr>
        <w:pStyle w:val="BodyText"/>
        <w:spacing w:after="100"/>
      </w:pPr>
      <w:r w:rsidRPr="00256982">
        <w:lastRenderedPageBreak/>
        <w:t>In the post-1989 planted forest inventory, circular 0.06 hectare permanent sample plots have been established within forests on a systematic 4-kilometre grid coincident with that used for the pre-1990 natural forest and pre-1990 planted forest inventories (Moore and Goulding, unpublished). Permanent sample plots were selected over temporary sample plots because change over time is more easily analysed when there are multiple measurements of the same plot set (Beets et al., 2011a).</w:t>
      </w:r>
    </w:p>
    <w:p w14:paraId="6DAA0570" w14:textId="77777777" w:rsidR="00380BE7" w:rsidRPr="00256982" w:rsidRDefault="00380BE7" w:rsidP="00380BE7">
      <w:pPr>
        <w:pStyle w:val="BodyText"/>
        <w:spacing w:before="100" w:after="100"/>
      </w:pPr>
      <w:r w:rsidRPr="00256982">
        <w:t>The initial post-1989 planted forest inventory carried out during the winters of 2007 and 2008 at 246 sites consisted of up to four sample plots in a cluster arrangement. The plots were sampled using the methods as described in Payton et al. (unpublished). A second inventory was carried out during the winters of 2011 and 2012 where the centre plot of the earlier established cluster plots was re-measured and additional new plots were established. In total, 342 plots were ground measured from the mapped area of post-1989 planted forest in the second inventory. Importantly, the additional plots in the later inventory addressed a bias in the earlier estimates caused by incomplete sampling of the forest area. This was due to the initial field inventory beginning prior to the completion of the 2008 land use map. The planted forest inventory shifted from a periodic to a continuous inventory in 2016. The continuous inventory measures around 140 permanent sample plots annually over a five-year re-measurement cycle. The continuous inventory provides annual data on forest management (e.g., harvest age and thinning), natural disturbance and growth that can be incorporated into planted forest carbon stock estimates.</w:t>
      </w:r>
    </w:p>
    <w:p w14:paraId="2E9F8117" w14:textId="3EB8FC55" w:rsidR="00380BE7" w:rsidRPr="00256982" w:rsidRDefault="00380BE7" w:rsidP="00380BE7">
      <w:pPr>
        <w:pStyle w:val="BodyText"/>
        <w:spacing w:before="100" w:after="100"/>
      </w:pPr>
      <w:r w:rsidRPr="00256982">
        <w:t>The ground measurements in the post-1989 planted forest inventory include: stem diameters of live and dead trees at breast height; a sample of tree heights for each tree species; pruned heights; measurement of dead wood and soil fertility samples for predicting wood density (Beets et al., 2011a). Silvicultural information, including tree age, stocking (stems per hectare) and timing of pruning and thinning activities, is gathered from forest owners and estimated by field teams on site. Ground plot centres are located using a 12-channel differential GPS for sub</w:t>
      </w:r>
      <w:r w:rsidR="001F0248" w:rsidRPr="00256982">
        <w:noBreakHyphen/>
      </w:r>
      <w:r w:rsidRPr="00256982">
        <w:t>meter LiDAR co-location and for relocation in future inventories (Beets et al., 2011a).</w:t>
      </w:r>
    </w:p>
    <w:p w14:paraId="382827D9" w14:textId="77777777" w:rsidR="00380BE7" w:rsidRPr="00256982" w:rsidRDefault="00380BE7" w:rsidP="00380BE7">
      <w:pPr>
        <w:pStyle w:val="BodyText"/>
        <w:spacing w:before="100" w:after="100"/>
      </w:pPr>
      <w:r w:rsidRPr="00256982">
        <w:t>Stock change in the productive area of post-1989 planted forest is estimated using a forest type-specific national yield table approach similar to that described above under ‘Living biomass and dead organic matter’ within pre-1990 planted forest. Plots that are located outside the productive area within the mapped forest boundary are used to provide carbon stock estimates for unstocked areas of post-1989 planted forests (Paul et al., unpublished(b)). It has been demonstrated in the development of the post-1989 forest yield table that forests planted on grassland are more productive than those planted on forest land (Paul et al., unpublished(c)).</w:t>
      </w:r>
    </w:p>
    <w:p w14:paraId="778D7729" w14:textId="77777777" w:rsidR="00380BE7" w:rsidRPr="00256982" w:rsidRDefault="00380BE7" w:rsidP="00380BE7">
      <w:pPr>
        <w:pStyle w:val="BodyText"/>
        <w:spacing w:after="100"/>
        <w:rPr>
          <w:spacing w:val="-2"/>
        </w:rPr>
      </w:pPr>
      <w:r w:rsidRPr="00256982">
        <w:rPr>
          <w:spacing w:val="-2"/>
        </w:rPr>
        <w:t>To utilise all plot measurements described above, a single yield table per plot was developed using the estimated carbon stock at each measurement date. An interpolated estimate is used to provide carbon stock at all ages between the measurement dates. The advantage of the interpolation method is that it maintains the actual carbon stock values at individual measurement dates. Individual yield tables are combined as weighted means in a national yield table for the productive area of post-1989 planted forest (Paul et al., unpublished(b)).</w:t>
      </w:r>
    </w:p>
    <w:p w14:paraId="09215D1A" w14:textId="77777777" w:rsidR="00380BE7" w:rsidRPr="00256982" w:rsidRDefault="00380BE7" w:rsidP="00380BE7">
      <w:pPr>
        <w:pStyle w:val="BodyText"/>
      </w:pPr>
      <w:r w:rsidRPr="00256982">
        <w:t xml:space="preserve">New Zealand plantation forests are actively managed, with thinning and pruning activities undertaken early in the rotation. The majority of these activities are completed before trees reach the age of 13 years. Thus the dead wood and litter pools from these management practices gradually increase leading up to this age. After the age of 13 years, when pruning and thinning cease and decay exceeds inputs, these pools decline. Due to the age-class structure of post-1989 forest in New Zealand, this can be seen as a rapid increase in the dead wood and litter pools over consecutive years. </w:t>
      </w:r>
    </w:p>
    <w:p w14:paraId="5FFD7600" w14:textId="77777777" w:rsidR="00380BE7" w:rsidRPr="00256982" w:rsidRDefault="00380BE7" w:rsidP="00380BE7">
      <w:pPr>
        <w:pStyle w:val="BodyText"/>
      </w:pPr>
      <w:r w:rsidRPr="00256982">
        <w:t>The carbon stock estimate for the productive area of post-1989 planted forest is 151.4 ± 21.5 tonnes C ha</w:t>
      </w:r>
      <w:r w:rsidRPr="00256982">
        <w:rPr>
          <w:vertAlign w:val="superscript"/>
        </w:rPr>
        <w:t>–1</w:t>
      </w:r>
      <w:r w:rsidRPr="00256982">
        <w:t xml:space="preserve"> (at the 95 per cent confidence interval) as at 31 December 2017 (Paul et al., unpublished(b)). This carbon stock estimate, while high, is consistent with the international comparisons provided in table 4.8 of the 2006 IPCC Guidelines (IPCC, 2006a) and </w:t>
      </w:r>
      <w:r w:rsidRPr="00256982">
        <w:lastRenderedPageBreak/>
        <w:t>reflects the composition of this forest type, which involves fast-growing and actively managed production forestry.</w:t>
      </w:r>
    </w:p>
    <w:bookmarkEnd w:id="1458"/>
    <w:bookmarkEnd w:id="1459"/>
    <w:bookmarkEnd w:id="1460"/>
    <w:p w14:paraId="19A4C9C0" w14:textId="77777777" w:rsidR="00380BE7" w:rsidRPr="00256982" w:rsidRDefault="00380BE7" w:rsidP="00380BE7">
      <w:pPr>
        <w:pStyle w:val="Heading5"/>
      </w:pPr>
      <w:r w:rsidRPr="00256982">
        <w:t>Post-1989 natural forests</w:t>
      </w:r>
    </w:p>
    <w:p w14:paraId="61DC85DE" w14:textId="77777777" w:rsidR="00380BE7" w:rsidRPr="00256982" w:rsidRDefault="00380BE7" w:rsidP="00380BE7">
      <w:pPr>
        <w:pStyle w:val="BodyText"/>
      </w:pPr>
      <w:r w:rsidRPr="00256982">
        <w:t xml:space="preserve">Post-1989 natural forest consists of forest land established since 1 January 1990 and has resulted from direct human-induced changes in land-management practice. The resulting vegetation is a seral plant community, generally comprising a mix of native and introduced species, which is in the early successional stages of reversion to mature forest. As the vegetation matures, it generally becomes increasingly dominated by native species and in most cases will become native forest. The active facilitation of tree species regeneration through the removal of grazing stock would, for example, result in a land-use change from </w:t>
      </w:r>
      <w:r w:rsidRPr="00256982">
        <w:rPr>
          <w:i/>
        </w:rPr>
        <w:t>Grassland</w:t>
      </w:r>
      <w:r w:rsidRPr="00256982">
        <w:t xml:space="preserve"> to </w:t>
      </w:r>
      <w:r w:rsidRPr="00256982">
        <w:rPr>
          <w:i/>
        </w:rPr>
        <w:t>Forest land</w:t>
      </w:r>
      <w:r w:rsidRPr="00256982">
        <w:t>. The post-1989 natural forest area covers an estimated 44,660 hectares.</w:t>
      </w:r>
    </w:p>
    <w:p w14:paraId="64087B8D" w14:textId="77777777" w:rsidR="00380BE7" w:rsidRPr="00256982" w:rsidRDefault="00380BE7" w:rsidP="00380BE7">
      <w:pPr>
        <w:pStyle w:val="BodyText"/>
      </w:pPr>
      <w:r w:rsidRPr="00256982">
        <w:t>Estimates of carbon stock and stock change in post-1989 natural forest are calculated using measurements taken from the field inventory. The inventory samples post-1989 natural forest using 0.04 hectare permanent sample plots on a systematic 4-kilometre grid (consistent with the post-1989 planted forest inventory). Twenty plots in post-1989 natural forest have been established and were measured for the first time in 2012. The plot network design is described in Beets et al. (2012a, 2014b) and detailed methods for plot measurement are given in the data collection manual (Ministry for the Environment, unpublished). The second round of plot measurements is currently taking place and is scheduled for completion in 2019.</w:t>
      </w:r>
    </w:p>
    <w:p w14:paraId="3478AB43" w14:textId="77777777" w:rsidR="00380BE7" w:rsidRPr="00256982" w:rsidRDefault="00380BE7" w:rsidP="00380BE7">
      <w:pPr>
        <w:pStyle w:val="Heading6"/>
      </w:pPr>
      <w:r w:rsidRPr="00256982">
        <w:t>Living biomass and dead organic matter</w:t>
      </w:r>
    </w:p>
    <w:p w14:paraId="144EF76B" w14:textId="77777777" w:rsidR="00380BE7" w:rsidRPr="00256982" w:rsidRDefault="00380BE7" w:rsidP="00380BE7">
      <w:pPr>
        <w:pStyle w:val="BodyText"/>
      </w:pPr>
      <w:r w:rsidRPr="00256982">
        <w:t>At permanent sample plots within post-1989 natural forest, measurements are taken of standing and fallen, live and dead plants. Destructive biomass samples have also been taken outside of the plots and are used to create plot-specific allometric equations, which are then applied to these measurements to calculate above-ground live biomass.</w:t>
      </w:r>
    </w:p>
    <w:p w14:paraId="347681B0" w14:textId="77777777" w:rsidR="00380BE7" w:rsidRPr="00256982" w:rsidRDefault="00380BE7" w:rsidP="00380BE7">
      <w:pPr>
        <w:pStyle w:val="BodyText"/>
      </w:pPr>
      <w:r w:rsidRPr="00256982">
        <w:t>The biomass of standing dead wood (woody debris with a diameter greater than 10 centimetres) and litter (woody debris with a diameter of less than 10 centimetres) is calculated as for living biomass but is then adjusted for decay using decay functions. Biomass of fallen dead wood is calculated from plot measurements of volume in combination with species-specific wood densities and then also adjusted for decay in the same way.</w:t>
      </w:r>
    </w:p>
    <w:p w14:paraId="415A1128" w14:textId="17089723" w:rsidR="00380BE7" w:rsidRPr="00256982" w:rsidRDefault="00380BE7" w:rsidP="00380BE7">
      <w:pPr>
        <w:pStyle w:val="BodyText"/>
        <w:rPr>
          <w:spacing w:val="-2"/>
        </w:rPr>
      </w:pPr>
      <w:r w:rsidRPr="00256982">
        <w:rPr>
          <w:spacing w:val="-2"/>
        </w:rPr>
        <w:t>Biomass sampling on post-1989 natural forest plots includes the determination of plant age, which enables the backcasting of biomass through time. Backcast estimates of biomass are used to calculate carbon stock change. The method used to do this was developed and validated using plots for which multiple measurements in time had been obta</w:t>
      </w:r>
      <w:r w:rsidR="001F0248" w:rsidRPr="00256982">
        <w:rPr>
          <w:spacing w:val="-2"/>
        </w:rPr>
        <w:t xml:space="preserve">ined and for which carbon stock </w:t>
      </w:r>
      <w:r w:rsidRPr="00256982">
        <w:rPr>
          <w:spacing w:val="-2"/>
        </w:rPr>
        <w:t>change was able to be measured directly (Beets et al., 2014a). Full methods for the calculation of carbon stock and stock change in post-1989 natural forest are described in Beets et al. (2014b).</w:t>
      </w:r>
    </w:p>
    <w:p w14:paraId="37510BAA" w14:textId="77777777" w:rsidR="00380BE7" w:rsidRPr="00256982" w:rsidRDefault="00380BE7" w:rsidP="00380BE7">
      <w:pPr>
        <w:pStyle w:val="BodyText"/>
      </w:pPr>
      <w:r w:rsidRPr="00256982">
        <w:t>The carbon stock estimate for post-1989 natural forest is 28.73 ± 7.14 tonnes C ha</w:t>
      </w:r>
      <w:r w:rsidRPr="00256982">
        <w:rPr>
          <w:vertAlign w:val="superscript"/>
        </w:rPr>
        <w:t>–1</w:t>
      </w:r>
      <w:r w:rsidRPr="00256982">
        <w:t xml:space="preserve"> (at the 95 per cent confidence interval) as at 31 December 2012 (Beets et al., 2014b). The average rate of carbon sequestration in post-1989 natural forest over the first commitment period was 2.4 tonnes C ha</w:t>
      </w:r>
      <w:r w:rsidRPr="00256982">
        <w:rPr>
          <w:vertAlign w:val="superscript"/>
        </w:rPr>
        <w:t>–1</w:t>
      </w:r>
      <w:r w:rsidRPr="00256982">
        <w:t xml:space="preserve"> yr</w:t>
      </w:r>
      <w:r w:rsidRPr="00256982">
        <w:rPr>
          <w:vertAlign w:val="superscript"/>
        </w:rPr>
        <w:t>–1</w:t>
      </w:r>
      <w:r w:rsidRPr="00256982">
        <w:t xml:space="preserve"> (calculated from Beets et al., 2014b). This rate is similar to previously reported rates of carbon sequestration in regenerating forest in New Zealand (Carswell et al., 2012; Trotter and MacKay, unpublished).</w:t>
      </w:r>
    </w:p>
    <w:p w14:paraId="3B395452" w14:textId="77777777" w:rsidR="00380BE7" w:rsidRPr="00256982" w:rsidRDefault="00380BE7" w:rsidP="00380BE7">
      <w:pPr>
        <w:pStyle w:val="Heading6"/>
      </w:pPr>
      <w:bookmarkStart w:id="1461" w:name="_Toc255466350"/>
      <w:bookmarkStart w:id="1462" w:name="_Toc261513157"/>
      <w:bookmarkStart w:id="1463" w:name="_Toc261513770"/>
      <w:r w:rsidRPr="00256982">
        <w:t>Soil organic carbon</w:t>
      </w:r>
      <w:bookmarkEnd w:id="1461"/>
      <w:bookmarkEnd w:id="1462"/>
      <w:bookmarkEnd w:id="1463"/>
    </w:p>
    <w:p w14:paraId="2164A648" w14:textId="77777777" w:rsidR="00380BE7" w:rsidRPr="00256982" w:rsidRDefault="00380BE7" w:rsidP="00380BE7">
      <w:pPr>
        <w:pStyle w:val="BodyText"/>
      </w:pPr>
      <w:r w:rsidRPr="00256982">
        <w:t>SOC stocks in land converted to post-1989 forest are estimated using a Tier 2 method for mineral soils and a Tier 1 method for organic soils, as described in section 6.3. The steady state mineral SOC stock in post-1989 forest is estimated to be 91.92 tonnes C ha</w:t>
      </w:r>
      <w:r w:rsidRPr="00256982">
        <w:rPr>
          <w:vertAlign w:val="superscript"/>
        </w:rPr>
        <w:t>–1</w:t>
      </w:r>
      <w:r w:rsidRPr="00256982">
        <w:t xml:space="preserve"> (see table 6.3.2). </w:t>
      </w:r>
    </w:p>
    <w:p w14:paraId="2D4BDF7D" w14:textId="77777777" w:rsidR="00380BE7" w:rsidRPr="00256982" w:rsidRDefault="00380BE7" w:rsidP="00380BE7">
      <w:pPr>
        <w:pStyle w:val="BodyText"/>
      </w:pPr>
      <w:r w:rsidRPr="00256982">
        <w:lastRenderedPageBreak/>
        <w:t>In the absence of data on the rate of change specific to country and land use, the IPCC default method of a linear change over a 20-year period is used to estimate the change in SOC stocks between the original land use and post-1989 forest land for any given period. For example, the soil carbon change associated with a land-use change from low producing grassland (SOC stock 105.98 tonnes C ha</w:t>
      </w:r>
      <w:r w:rsidRPr="00256982">
        <w:rPr>
          <w:vertAlign w:val="superscript"/>
        </w:rPr>
        <w:t>–1</w:t>
      </w:r>
      <w:r w:rsidRPr="00256982">
        <w:t>) to post-1989 forest (SOC stock 91.92 tonnes C ha</w:t>
      </w:r>
      <w:r w:rsidRPr="00256982">
        <w:rPr>
          <w:vertAlign w:val="superscript"/>
        </w:rPr>
        <w:t>–1</w:t>
      </w:r>
      <w:r w:rsidRPr="00256982">
        <w:t>) would be a loss of 14.06 tonnes C ha</w:t>
      </w:r>
      <w:r w:rsidRPr="00256982">
        <w:rPr>
          <w:vertAlign w:val="superscript"/>
        </w:rPr>
        <w:t>–1</w:t>
      </w:r>
      <w:r w:rsidRPr="00256982">
        <w:t xml:space="preserve"> over the 20-year period.</w:t>
      </w:r>
    </w:p>
    <w:p w14:paraId="52C99540" w14:textId="77777777" w:rsidR="00380BE7" w:rsidRPr="00256982" w:rsidRDefault="00380BE7" w:rsidP="00380BE7">
      <w:pPr>
        <w:pStyle w:val="BodyText"/>
        <w:rPr>
          <w:spacing w:val="-2"/>
        </w:rPr>
      </w:pPr>
      <w:r w:rsidRPr="00256982">
        <w:rPr>
          <w:spacing w:val="-2"/>
        </w:rPr>
        <w:t>The IPCC default emission factor for organic soils under planted forest is 0.68 tonnes C ha</w:t>
      </w:r>
      <w:r w:rsidRPr="00256982">
        <w:rPr>
          <w:spacing w:val="-2"/>
          <w:vertAlign w:val="superscript"/>
        </w:rPr>
        <w:t>–1</w:t>
      </w:r>
      <w:r w:rsidRPr="00256982">
        <w:rPr>
          <w:spacing w:val="-2"/>
        </w:rPr>
        <w:t xml:space="preserve"> per annum (see table 6.3.3). This is also applied to organic soils on land converted to post-1989 forest.</w:t>
      </w:r>
    </w:p>
    <w:p w14:paraId="1A6FA619" w14:textId="77777777" w:rsidR="00380BE7" w:rsidRPr="00256982" w:rsidRDefault="00380BE7" w:rsidP="00380BE7">
      <w:pPr>
        <w:pStyle w:val="Heading6"/>
      </w:pPr>
      <w:r w:rsidRPr="00256982">
        <w:t>Quality assurance and quality control</w:t>
      </w:r>
    </w:p>
    <w:p w14:paraId="4843CB7F" w14:textId="77777777" w:rsidR="00380BE7" w:rsidRPr="00256982" w:rsidRDefault="00380BE7" w:rsidP="00380BE7">
      <w:pPr>
        <w:pStyle w:val="BodyText"/>
      </w:pPr>
      <w:r w:rsidRPr="00256982">
        <w:t>Quality-assurance and quality-control activities were conducted throughout the post-1989 planted and natural forest data capture and processing steps. These activities were associated with the following: inventory design (Beets et al., 2014b; Brack, unpublished; Moore and Goulding, unpublished); acquisition of raw LiDAR data and LiDAR processing; checking eligibility of plots; independent audits of field plot measurements (Beets and Holt, unpublished); data processing and modelling; regression analysis and double-sampling procedures (Woollens, unpublished); and investigating LiDAR and ground plot co</w:t>
      </w:r>
      <w:r w:rsidRPr="00256982">
        <w:noBreakHyphen/>
        <w:t>location (Brack and Broadley, unpublished). These activities, along with those undertaken within the post-1989 natural forest, are described in more detail in section 6.4.4.</w:t>
      </w:r>
    </w:p>
    <w:p w14:paraId="6BE2ACBD" w14:textId="77777777" w:rsidR="00380BE7" w:rsidRPr="00256982" w:rsidRDefault="00380BE7" w:rsidP="00380BE7">
      <w:pPr>
        <w:pStyle w:val="Heading5"/>
      </w:pPr>
      <w:bookmarkStart w:id="1464" w:name="_Toc280630253"/>
      <w:bookmarkStart w:id="1465" w:name="_Toc255466351"/>
      <w:bookmarkStart w:id="1466" w:name="_Toc261513158"/>
      <w:bookmarkStart w:id="1467" w:name="_Toc261513771"/>
      <w:r w:rsidRPr="00256982">
        <w:t>Non-CO</w:t>
      </w:r>
      <w:r w:rsidRPr="00256982">
        <w:rPr>
          <w:vertAlign w:val="subscript"/>
        </w:rPr>
        <w:t>2</w:t>
      </w:r>
      <w:r w:rsidRPr="00256982">
        <w:t xml:space="preserve"> emissions</w:t>
      </w:r>
      <w:bookmarkEnd w:id="1464"/>
      <w:r w:rsidRPr="00256982">
        <w:t xml:space="preserve"> for post-1989 forest</w:t>
      </w:r>
    </w:p>
    <w:p w14:paraId="7209B42F" w14:textId="77777777" w:rsidR="00380BE7" w:rsidRPr="00256982" w:rsidRDefault="00380BE7" w:rsidP="00380BE7">
      <w:pPr>
        <w:pStyle w:val="Heading6"/>
        <w:spacing w:before="120"/>
      </w:pPr>
      <w:bookmarkStart w:id="1468" w:name="_Toc255466352"/>
      <w:bookmarkStart w:id="1469" w:name="_Toc261513159"/>
      <w:bookmarkStart w:id="1470" w:name="_Toc261513772"/>
      <w:bookmarkEnd w:id="1465"/>
      <w:bookmarkEnd w:id="1466"/>
      <w:bookmarkEnd w:id="1467"/>
      <w:r w:rsidRPr="00256982">
        <w:t>Direct N</w:t>
      </w:r>
      <w:r w:rsidRPr="00256982">
        <w:rPr>
          <w:vertAlign w:val="subscript"/>
        </w:rPr>
        <w:t>2</w:t>
      </w:r>
      <w:r w:rsidRPr="00256982">
        <w:t>O emissions from nitrogen fertilisation of forest land and other</w:t>
      </w:r>
      <w:bookmarkEnd w:id="1468"/>
      <w:bookmarkEnd w:id="1469"/>
      <w:bookmarkEnd w:id="1470"/>
      <w:r w:rsidRPr="00256982">
        <w:t xml:space="preserve"> land</w:t>
      </w:r>
    </w:p>
    <w:p w14:paraId="79527412" w14:textId="77777777" w:rsidR="00380BE7" w:rsidRPr="00256982" w:rsidRDefault="00380BE7" w:rsidP="00380BE7">
      <w:pPr>
        <w:pStyle w:val="BodyText"/>
      </w:pPr>
      <w:r w:rsidRPr="00256982">
        <w:t>New Zealand activity data on nitrogen fertilisation are not currently disaggregated by land use, therefore, all Direct N</w:t>
      </w:r>
      <w:r w:rsidRPr="00256982">
        <w:rPr>
          <w:vertAlign w:val="subscript"/>
        </w:rPr>
        <w:t>2</w:t>
      </w:r>
      <w:r w:rsidRPr="00256982">
        <w:t>O emissions from nitrogen fertilisation of</w:t>
      </w:r>
      <w:r w:rsidRPr="00256982">
        <w:rPr>
          <w:i/>
        </w:rPr>
        <w:t xml:space="preserve"> Forest land </w:t>
      </w:r>
      <w:r w:rsidRPr="00256982">
        <w:t>and</w:t>
      </w:r>
      <w:r w:rsidRPr="00256982">
        <w:rPr>
          <w:i/>
        </w:rPr>
        <w:t xml:space="preserve"> Other land</w:t>
      </w:r>
      <w:r w:rsidRPr="00256982">
        <w:t xml:space="preserve"> are reported in the Agriculture sector under the category </w:t>
      </w:r>
      <w:r w:rsidRPr="00256982">
        <w:rPr>
          <w:i/>
        </w:rPr>
        <w:t>Direct N</w:t>
      </w:r>
      <w:r w:rsidRPr="00256982">
        <w:rPr>
          <w:i/>
          <w:vertAlign w:val="subscript"/>
        </w:rPr>
        <w:t>2</w:t>
      </w:r>
      <w:r w:rsidRPr="00256982">
        <w:rPr>
          <w:i/>
        </w:rPr>
        <w:t>O emissions from managed soils</w:t>
      </w:r>
      <w:r w:rsidRPr="00256982">
        <w:t>.</w:t>
      </w:r>
    </w:p>
    <w:p w14:paraId="6B3BC043" w14:textId="77777777" w:rsidR="00380BE7" w:rsidRPr="00256982" w:rsidRDefault="00380BE7" w:rsidP="00380BE7">
      <w:pPr>
        <w:pStyle w:val="Heading3"/>
      </w:pPr>
      <w:bookmarkStart w:id="1471" w:name="_Toc255466354"/>
      <w:bookmarkStart w:id="1472" w:name="_Toc261513161"/>
      <w:bookmarkStart w:id="1473" w:name="_Toc261513774"/>
      <w:bookmarkStart w:id="1474" w:name="_Toc280630254"/>
      <w:bookmarkStart w:id="1475" w:name="_Toc373395713"/>
      <w:r w:rsidRPr="00256982">
        <w:t>6.4.3</w:t>
      </w:r>
      <w:r w:rsidRPr="00256982">
        <w:tab/>
        <w:t>Uncertainties and time-series consistency</w:t>
      </w:r>
      <w:bookmarkEnd w:id="1471"/>
      <w:bookmarkEnd w:id="1472"/>
      <w:bookmarkEnd w:id="1473"/>
      <w:bookmarkEnd w:id="1474"/>
      <w:bookmarkEnd w:id="1475"/>
    </w:p>
    <w:p w14:paraId="6E4BAF91" w14:textId="77777777" w:rsidR="00380BE7" w:rsidRPr="00256982" w:rsidRDefault="00380BE7" w:rsidP="00380BE7">
      <w:pPr>
        <w:pStyle w:val="BodyText"/>
      </w:pPr>
      <w:r w:rsidRPr="00256982">
        <w:t xml:space="preserve">Emissions from </w:t>
      </w:r>
      <w:r w:rsidRPr="00256982">
        <w:rPr>
          <w:i/>
        </w:rPr>
        <w:t>Forest land</w:t>
      </w:r>
      <w:r w:rsidRPr="00256982">
        <w:t xml:space="preserve"> are 8.3 per cent of New Zealand’s net emissions uncertainty in 2017 (annex 2). </w:t>
      </w:r>
      <w:r w:rsidRPr="00256982">
        <w:rPr>
          <w:i/>
        </w:rPr>
        <w:t>Forest land</w:t>
      </w:r>
      <w:r w:rsidRPr="00256982">
        <w:t xml:space="preserve"> introduces 7.2 per cent uncertainty into the trend in the national total from 1990 to 2017. </w:t>
      </w:r>
    </w:p>
    <w:p w14:paraId="689B36CC" w14:textId="77777777" w:rsidR="00380BE7" w:rsidRPr="00256982" w:rsidRDefault="00380BE7" w:rsidP="00380BE7">
      <w:pPr>
        <w:pStyle w:val="Heading5"/>
      </w:pPr>
      <w:bookmarkStart w:id="1476" w:name="_Toc249147596"/>
      <w:bookmarkStart w:id="1477" w:name="_Toc255466355"/>
      <w:bookmarkStart w:id="1478" w:name="_Toc261513162"/>
      <w:bookmarkStart w:id="1479" w:name="_Toc261513775"/>
      <w:bookmarkStart w:id="1480" w:name="_Toc280630255"/>
      <w:r w:rsidRPr="00256982">
        <w:t>Pre-1990 natural forest</w:t>
      </w:r>
      <w:bookmarkEnd w:id="1476"/>
      <w:bookmarkEnd w:id="1477"/>
      <w:bookmarkEnd w:id="1478"/>
      <w:bookmarkEnd w:id="1479"/>
      <w:bookmarkEnd w:id="1480"/>
    </w:p>
    <w:p w14:paraId="25922A52" w14:textId="77777777" w:rsidR="00380BE7" w:rsidRPr="00256982" w:rsidRDefault="00380BE7" w:rsidP="00380BE7">
      <w:pPr>
        <w:pStyle w:val="BodyText"/>
      </w:pPr>
      <w:r w:rsidRPr="00256982">
        <w:t>The uncertainty in mapping pre-1990 natural forest is ±5.0 per cent (see table 6.4.7). Further details are given in section 6.2.5.</w:t>
      </w:r>
    </w:p>
    <w:p w14:paraId="736E4914" w14:textId="77777777" w:rsidR="00380BE7" w:rsidRPr="00256982" w:rsidRDefault="00380BE7" w:rsidP="00380BE7">
      <w:pPr>
        <w:pStyle w:val="BodyText"/>
      </w:pPr>
      <w:r w:rsidRPr="00256982">
        <w:t>Uncertainty in biomass carbon stock and carbon stock change in New Zealand’s pre-1990 natural forest is calculated using a published methodology designed specifically for this purpose (Holdaway et al., 2014). The pre-1990 natural forest plot network provides biomass carbon stock estimates that are within 95 per cent confidence intervals of ±4.4 per cent of the mean (257.74 ± 11.33 tonnes C ha</w:t>
      </w:r>
      <w:r w:rsidRPr="00256982">
        <w:rPr>
          <w:vertAlign w:val="superscript"/>
        </w:rPr>
        <w:t>–1</w:t>
      </w:r>
      <w:r w:rsidRPr="00256982">
        <w:t>) for tall natural forest and ±18.27 per cent of the mean (88.80 ± 16.23 tonnes C ha</w:t>
      </w:r>
      <w:r w:rsidRPr="00256982">
        <w:rPr>
          <w:vertAlign w:val="superscript"/>
        </w:rPr>
        <w:t>–1</w:t>
      </w:r>
      <w:r w:rsidRPr="00256982">
        <w:t>) in regenerating natural forest (Holdaway et al., 2016). Estimates of carbon stock change in the regenerating component are within 95 per cent confidence intervals of ±39 per cent of the mean (1.39 ± 0.55 tonnes C ha</w:t>
      </w:r>
      <w:r w:rsidRPr="00256982">
        <w:rPr>
          <w:vertAlign w:val="superscript"/>
        </w:rPr>
        <w:t>–1</w:t>
      </w:r>
      <w:r w:rsidRPr="00256982">
        <w:t>). No significant change was found in the tall forest component of pre-1990 natural forest (0.34 ± 0.43 tonnes C ha</w:t>
      </w:r>
      <w:r w:rsidRPr="00256982">
        <w:rPr>
          <w:vertAlign w:val="superscript"/>
        </w:rPr>
        <w:t xml:space="preserve">–1 </w:t>
      </w:r>
      <w:r w:rsidRPr="00256982">
        <w:t>yr</w:t>
      </w:r>
      <w:r w:rsidRPr="00256982">
        <w:rPr>
          <w:vertAlign w:val="superscript"/>
        </w:rPr>
        <w:t>–1</w:t>
      </w:r>
      <w:r w:rsidRPr="00256982">
        <w:t>). The variation between individual plot estimates of biomass carbon change in regenerating and tall pre</w:t>
      </w:r>
      <w:r w:rsidRPr="00256982">
        <w:noBreakHyphen/>
        <w:t xml:space="preserve">1990 natural forest provides a combined uncertainty of ±126.6 per cent for the category (Holdaway et al., 2016). </w:t>
      </w:r>
    </w:p>
    <w:p w14:paraId="68F6746E" w14:textId="77777777" w:rsidR="00380BE7" w:rsidRPr="00256982" w:rsidRDefault="00380BE7" w:rsidP="00380BE7">
      <w:pPr>
        <w:pStyle w:val="Table"/>
      </w:pPr>
      <w:bookmarkStart w:id="1481" w:name="_Toc280630457"/>
      <w:bookmarkStart w:id="1482" w:name="_Toc310423410"/>
      <w:bookmarkStart w:id="1483" w:name="_Toc318362703"/>
      <w:bookmarkStart w:id="1484" w:name="_Toc342470765"/>
      <w:bookmarkStart w:id="1485" w:name="_Toc352505005"/>
      <w:bookmarkStart w:id="1486" w:name="_Toc373395730"/>
      <w:bookmarkStart w:id="1487" w:name="_Toc378853296"/>
      <w:bookmarkStart w:id="1488" w:name="_Toc391024094"/>
      <w:bookmarkStart w:id="1489" w:name="_Toc410028837"/>
      <w:bookmarkStart w:id="1490" w:name="_Toc414531465"/>
      <w:bookmarkStart w:id="1491" w:name="_Toc443645378"/>
      <w:bookmarkStart w:id="1492" w:name="_Toc474914597"/>
      <w:bookmarkStart w:id="1493" w:name="_Toc481751561"/>
      <w:bookmarkStart w:id="1494" w:name="_Toc522010618"/>
      <w:bookmarkStart w:id="1495" w:name="_Toc5269523"/>
      <w:r w:rsidRPr="00256982">
        <w:lastRenderedPageBreak/>
        <w:t xml:space="preserve">Table 6.4.7 </w:t>
      </w:r>
      <w:r w:rsidRPr="00256982">
        <w:tab/>
        <w:t>Uncertainty in New Zealand’s 2017 estimates from pre-1990 natural forest</w:t>
      </w:r>
      <w:bookmarkEnd w:id="1481"/>
      <w:bookmarkEnd w:id="1482"/>
      <w:bookmarkEnd w:id="1483"/>
      <w:bookmarkEnd w:id="1484"/>
      <w:r w:rsidRPr="00256982">
        <w:br/>
        <w:t>(including land in transition)</w:t>
      </w:r>
      <w:bookmarkEnd w:id="1485"/>
      <w:bookmarkEnd w:id="1486"/>
      <w:bookmarkEnd w:id="1487"/>
      <w:bookmarkEnd w:id="1488"/>
      <w:bookmarkEnd w:id="1489"/>
      <w:bookmarkEnd w:id="1490"/>
      <w:bookmarkEnd w:id="1491"/>
      <w:bookmarkEnd w:id="1492"/>
      <w:bookmarkEnd w:id="1493"/>
      <w:bookmarkEnd w:id="1494"/>
      <w:bookmarkEnd w:id="1495"/>
    </w:p>
    <w:tbl>
      <w:tblPr>
        <w:tblW w:w="8505" w:type="dxa"/>
        <w:tblInd w:w="108" w:type="dxa"/>
        <w:tblLook w:val="04A0" w:firstRow="1" w:lastRow="0" w:firstColumn="1" w:lastColumn="0" w:noHBand="0" w:noVBand="1"/>
      </w:tblPr>
      <w:tblGrid>
        <w:gridCol w:w="4668"/>
        <w:gridCol w:w="3837"/>
      </w:tblGrid>
      <w:tr w:rsidR="00380BE7" w:rsidRPr="00256982" w14:paraId="75DEF071" w14:textId="77777777" w:rsidTr="009574E7">
        <w:trPr>
          <w:trHeight w:val="285"/>
        </w:trPr>
        <w:tc>
          <w:tcPr>
            <w:tcW w:w="4413" w:type="dxa"/>
            <w:tcBorders>
              <w:top w:val="single" w:sz="4" w:space="0" w:color="365F91"/>
              <w:bottom w:val="single" w:sz="4" w:space="0" w:color="365F91"/>
            </w:tcBorders>
            <w:shd w:val="clear" w:color="auto" w:fill="365F91"/>
            <w:noWrap/>
            <w:hideMark/>
          </w:tcPr>
          <w:p w14:paraId="51DD9D04" w14:textId="77777777" w:rsidR="00380BE7" w:rsidRPr="00256982" w:rsidRDefault="00380BE7" w:rsidP="009574E7">
            <w:pPr>
              <w:pStyle w:val="TableTextBold"/>
              <w:rPr>
                <w:noProof w:val="0"/>
                <w:color w:val="FFFFFF"/>
              </w:rPr>
            </w:pPr>
            <w:r w:rsidRPr="00256982">
              <w:rPr>
                <w:noProof w:val="0"/>
                <w:color w:val="FFFFFF"/>
              </w:rPr>
              <w:t>Variable</w:t>
            </w:r>
          </w:p>
        </w:tc>
        <w:tc>
          <w:tcPr>
            <w:tcW w:w="3628" w:type="dxa"/>
            <w:tcBorders>
              <w:top w:val="single" w:sz="4" w:space="0" w:color="365F91"/>
              <w:bottom w:val="single" w:sz="4" w:space="0" w:color="365F91"/>
            </w:tcBorders>
            <w:shd w:val="clear" w:color="auto" w:fill="365F91"/>
            <w:noWrap/>
            <w:hideMark/>
          </w:tcPr>
          <w:p w14:paraId="3DDD825D" w14:textId="77777777" w:rsidR="00380BE7" w:rsidRPr="00256982" w:rsidRDefault="00380BE7" w:rsidP="009574E7">
            <w:pPr>
              <w:pStyle w:val="TableTextBold"/>
              <w:rPr>
                <w:noProof w:val="0"/>
                <w:color w:val="FFFFFF"/>
              </w:rPr>
            </w:pPr>
            <w:r w:rsidRPr="00256982">
              <w:rPr>
                <w:noProof w:val="0"/>
                <w:color w:val="FFFFFF"/>
              </w:rPr>
              <w:t>Uncertainty at a 95% confidence interval (%)</w:t>
            </w:r>
          </w:p>
        </w:tc>
      </w:tr>
      <w:tr w:rsidR="00380BE7" w:rsidRPr="00256982" w14:paraId="0EF2D990" w14:textId="77777777" w:rsidTr="009574E7">
        <w:trPr>
          <w:trHeight w:val="285"/>
        </w:trPr>
        <w:tc>
          <w:tcPr>
            <w:tcW w:w="4413" w:type="dxa"/>
            <w:tcBorders>
              <w:top w:val="single" w:sz="4" w:space="0" w:color="365F91"/>
              <w:bottom w:val="single" w:sz="4" w:space="0" w:color="365F91"/>
            </w:tcBorders>
            <w:noWrap/>
            <w:hideMark/>
          </w:tcPr>
          <w:p w14:paraId="04BB03E9" w14:textId="77777777" w:rsidR="00380BE7" w:rsidRPr="00256982" w:rsidRDefault="00380BE7" w:rsidP="009574E7">
            <w:pPr>
              <w:pStyle w:val="TableTextBold"/>
              <w:rPr>
                <w:noProof w:val="0"/>
              </w:rPr>
            </w:pPr>
            <w:r w:rsidRPr="00256982">
              <w:rPr>
                <w:noProof w:val="0"/>
              </w:rPr>
              <w:t>Activity data</w:t>
            </w:r>
          </w:p>
        </w:tc>
        <w:tc>
          <w:tcPr>
            <w:tcW w:w="3628" w:type="dxa"/>
            <w:tcBorders>
              <w:top w:val="single" w:sz="4" w:space="0" w:color="365F91"/>
              <w:bottom w:val="single" w:sz="4" w:space="0" w:color="365F91"/>
            </w:tcBorders>
            <w:noWrap/>
            <w:hideMark/>
          </w:tcPr>
          <w:p w14:paraId="1591A1A4" w14:textId="77777777" w:rsidR="00380BE7" w:rsidRPr="00256982" w:rsidRDefault="00380BE7" w:rsidP="009574E7">
            <w:pPr>
              <w:pStyle w:val="TableTextBold"/>
              <w:rPr>
                <w:noProof w:val="0"/>
              </w:rPr>
            </w:pPr>
          </w:p>
        </w:tc>
      </w:tr>
      <w:tr w:rsidR="00380BE7" w:rsidRPr="00256982" w14:paraId="3C2DEA11" w14:textId="77777777" w:rsidTr="009574E7">
        <w:trPr>
          <w:trHeight w:val="285"/>
        </w:trPr>
        <w:tc>
          <w:tcPr>
            <w:tcW w:w="4413" w:type="dxa"/>
            <w:tcBorders>
              <w:top w:val="single" w:sz="4" w:space="0" w:color="365F91"/>
              <w:bottom w:val="single" w:sz="4" w:space="0" w:color="365F91"/>
            </w:tcBorders>
            <w:noWrap/>
            <w:hideMark/>
          </w:tcPr>
          <w:p w14:paraId="159119A5" w14:textId="77777777" w:rsidR="00380BE7" w:rsidRPr="00256982" w:rsidRDefault="00380BE7" w:rsidP="009574E7">
            <w:pPr>
              <w:pStyle w:val="TableText"/>
            </w:pPr>
            <w:r w:rsidRPr="00256982">
              <w:t>Uncertainty in land area</w:t>
            </w:r>
          </w:p>
        </w:tc>
        <w:tc>
          <w:tcPr>
            <w:tcW w:w="3628" w:type="dxa"/>
            <w:tcBorders>
              <w:top w:val="single" w:sz="4" w:space="0" w:color="365F91"/>
              <w:bottom w:val="single" w:sz="4" w:space="0" w:color="365F91"/>
            </w:tcBorders>
            <w:noWrap/>
            <w:hideMark/>
          </w:tcPr>
          <w:p w14:paraId="7A91887C" w14:textId="77777777" w:rsidR="00380BE7" w:rsidRPr="00256982" w:rsidRDefault="00380BE7" w:rsidP="009574E7">
            <w:pPr>
              <w:pStyle w:val="TableText"/>
              <w:jc w:val="center"/>
            </w:pPr>
            <w:r w:rsidRPr="00256982">
              <w:t>±5.0</w:t>
            </w:r>
          </w:p>
        </w:tc>
      </w:tr>
      <w:tr w:rsidR="00380BE7" w:rsidRPr="00256982" w14:paraId="4EA363D5" w14:textId="77777777" w:rsidTr="009574E7">
        <w:trPr>
          <w:trHeight w:val="285"/>
        </w:trPr>
        <w:tc>
          <w:tcPr>
            <w:tcW w:w="4413" w:type="dxa"/>
            <w:tcBorders>
              <w:top w:val="single" w:sz="4" w:space="0" w:color="365F91"/>
              <w:bottom w:val="single" w:sz="4" w:space="0" w:color="365F91"/>
            </w:tcBorders>
            <w:noWrap/>
            <w:hideMark/>
          </w:tcPr>
          <w:p w14:paraId="4879731B" w14:textId="77777777" w:rsidR="00380BE7" w:rsidRPr="00256982" w:rsidRDefault="00380BE7" w:rsidP="009574E7">
            <w:pPr>
              <w:pStyle w:val="TableTextBold"/>
              <w:rPr>
                <w:noProof w:val="0"/>
              </w:rPr>
            </w:pPr>
            <w:r w:rsidRPr="00256982">
              <w:rPr>
                <w:noProof w:val="0"/>
              </w:rPr>
              <w:t>Emission factors</w:t>
            </w:r>
          </w:p>
        </w:tc>
        <w:tc>
          <w:tcPr>
            <w:tcW w:w="3628" w:type="dxa"/>
            <w:tcBorders>
              <w:top w:val="single" w:sz="4" w:space="0" w:color="365F91"/>
              <w:bottom w:val="single" w:sz="4" w:space="0" w:color="365F91"/>
            </w:tcBorders>
            <w:noWrap/>
            <w:hideMark/>
          </w:tcPr>
          <w:p w14:paraId="76419FFB" w14:textId="77777777" w:rsidR="00380BE7" w:rsidRPr="00256982" w:rsidRDefault="00380BE7" w:rsidP="009574E7">
            <w:pPr>
              <w:pStyle w:val="TableTextBold"/>
              <w:jc w:val="center"/>
              <w:rPr>
                <w:noProof w:val="0"/>
              </w:rPr>
            </w:pPr>
          </w:p>
        </w:tc>
      </w:tr>
      <w:tr w:rsidR="00380BE7" w:rsidRPr="00256982" w14:paraId="1E4148C1" w14:textId="77777777" w:rsidTr="009574E7">
        <w:trPr>
          <w:trHeight w:val="285"/>
        </w:trPr>
        <w:tc>
          <w:tcPr>
            <w:tcW w:w="4413" w:type="dxa"/>
            <w:tcBorders>
              <w:top w:val="single" w:sz="4" w:space="0" w:color="365F91"/>
              <w:bottom w:val="single" w:sz="4" w:space="0" w:color="365F91"/>
            </w:tcBorders>
            <w:noWrap/>
            <w:hideMark/>
          </w:tcPr>
          <w:p w14:paraId="6D39C1C3" w14:textId="77777777" w:rsidR="00380BE7" w:rsidRPr="00256982" w:rsidRDefault="00380BE7" w:rsidP="009574E7">
            <w:pPr>
              <w:pStyle w:val="TableText"/>
            </w:pPr>
            <w:r w:rsidRPr="00256982">
              <w:t>Uncertainty in biomass carbon stocks</w:t>
            </w:r>
          </w:p>
        </w:tc>
        <w:tc>
          <w:tcPr>
            <w:tcW w:w="3628" w:type="dxa"/>
            <w:tcBorders>
              <w:top w:val="single" w:sz="4" w:space="0" w:color="365F91"/>
              <w:bottom w:val="single" w:sz="4" w:space="0" w:color="365F91"/>
            </w:tcBorders>
            <w:noWrap/>
            <w:hideMark/>
          </w:tcPr>
          <w:p w14:paraId="5BCB3872" w14:textId="77777777" w:rsidR="00380BE7" w:rsidRPr="00256982" w:rsidRDefault="00380BE7" w:rsidP="009574E7">
            <w:pPr>
              <w:pStyle w:val="TableText"/>
              <w:jc w:val="center"/>
            </w:pPr>
            <w:r w:rsidRPr="00256982">
              <w:t>±6.7</w:t>
            </w:r>
          </w:p>
        </w:tc>
      </w:tr>
      <w:tr w:rsidR="00380BE7" w:rsidRPr="00256982" w14:paraId="75A7ABEC" w14:textId="77777777" w:rsidTr="009574E7">
        <w:trPr>
          <w:trHeight w:val="285"/>
        </w:trPr>
        <w:tc>
          <w:tcPr>
            <w:tcW w:w="4413" w:type="dxa"/>
            <w:tcBorders>
              <w:top w:val="single" w:sz="4" w:space="0" w:color="365F91"/>
              <w:bottom w:val="single" w:sz="4" w:space="0" w:color="365F91"/>
            </w:tcBorders>
            <w:noWrap/>
          </w:tcPr>
          <w:p w14:paraId="4990D7B3" w14:textId="77777777" w:rsidR="00380BE7" w:rsidRPr="00256982" w:rsidRDefault="00380BE7" w:rsidP="009574E7">
            <w:pPr>
              <w:pStyle w:val="TableText"/>
            </w:pPr>
            <w:r w:rsidRPr="00256982">
              <w:t>Uncertainty in biomass carbon change</w:t>
            </w:r>
          </w:p>
        </w:tc>
        <w:tc>
          <w:tcPr>
            <w:tcW w:w="3628" w:type="dxa"/>
            <w:tcBorders>
              <w:top w:val="single" w:sz="4" w:space="0" w:color="365F91"/>
              <w:bottom w:val="single" w:sz="4" w:space="0" w:color="365F91"/>
            </w:tcBorders>
            <w:noWrap/>
          </w:tcPr>
          <w:p w14:paraId="54AFC1B9" w14:textId="77777777" w:rsidR="00380BE7" w:rsidRPr="00256982" w:rsidRDefault="00380BE7" w:rsidP="009574E7">
            <w:pPr>
              <w:pStyle w:val="TableText"/>
              <w:jc w:val="center"/>
            </w:pPr>
            <w:r w:rsidRPr="00256982">
              <w:t>±126.6</w:t>
            </w:r>
          </w:p>
        </w:tc>
      </w:tr>
      <w:tr w:rsidR="00380BE7" w:rsidRPr="00256982" w14:paraId="187EB08E" w14:textId="77777777" w:rsidTr="009574E7">
        <w:trPr>
          <w:trHeight w:val="285"/>
        </w:trPr>
        <w:tc>
          <w:tcPr>
            <w:tcW w:w="4413" w:type="dxa"/>
            <w:tcBorders>
              <w:top w:val="single" w:sz="4" w:space="0" w:color="365F91"/>
              <w:bottom w:val="single" w:sz="4" w:space="0" w:color="365F91"/>
            </w:tcBorders>
            <w:noWrap/>
            <w:hideMark/>
          </w:tcPr>
          <w:p w14:paraId="3C7B7525" w14:textId="77777777" w:rsidR="00380BE7" w:rsidRPr="00256982" w:rsidRDefault="00380BE7" w:rsidP="009574E7">
            <w:pPr>
              <w:pStyle w:val="TableText"/>
            </w:pPr>
            <w:r w:rsidRPr="00256982">
              <w:t>Uncertainty in soil carbon stocks</w:t>
            </w:r>
          </w:p>
        </w:tc>
        <w:tc>
          <w:tcPr>
            <w:tcW w:w="3628" w:type="dxa"/>
            <w:tcBorders>
              <w:top w:val="single" w:sz="4" w:space="0" w:color="365F91"/>
              <w:bottom w:val="single" w:sz="4" w:space="0" w:color="365F91"/>
            </w:tcBorders>
            <w:noWrap/>
            <w:hideMark/>
          </w:tcPr>
          <w:p w14:paraId="6749E262" w14:textId="77777777" w:rsidR="00380BE7" w:rsidRPr="00256982" w:rsidRDefault="00380BE7" w:rsidP="009574E7">
            <w:pPr>
              <w:pStyle w:val="TableText"/>
              <w:jc w:val="center"/>
            </w:pPr>
            <w:r w:rsidRPr="00256982">
              <w:t>±7.9</w:t>
            </w:r>
          </w:p>
        </w:tc>
      </w:tr>
      <w:tr w:rsidR="00380BE7" w:rsidRPr="00256982" w14:paraId="03A4884C" w14:textId="77777777" w:rsidTr="009574E7">
        <w:trPr>
          <w:trHeight w:val="285"/>
        </w:trPr>
        <w:tc>
          <w:tcPr>
            <w:tcW w:w="4413" w:type="dxa"/>
            <w:tcBorders>
              <w:top w:val="single" w:sz="4" w:space="0" w:color="365F91"/>
              <w:bottom w:val="single" w:sz="4" w:space="0" w:color="365F91"/>
            </w:tcBorders>
            <w:noWrap/>
            <w:hideMark/>
          </w:tcPr>
          <w:p w14:paraId="4F480117" w14:textId="77777777" w:rsidR="00380BE7" w:rsidRPr="00256982" w:rsidRDefault="00380BE7" w:rsidP="009574E7">
            <w:pPr>
              <w:pStyle w:val="Tableboldblue"/>
            </w:pPr>
            <w:r w:rsidRPr="00256982">
              <w:t>Uncertainty introduced into net emissions for LULUCF</w:t>
            </w:r>
          </w:p>
        </w:tc>
        <w:tc>
          <w:tcPr>
            <w:tcW w:w="3628" w:type="dxa"/>
            <w:tcBorders>
              <w:top w:val="single" w:sz="4" w:space="0" w:color="365F91"/>
              <w:bottom w:val="single" w:sz="4" w:space="0" w:color="365F91"/>
            </w:tcBorders>
            <w:noWrap/>
            <w:hideMark/>
          </w:tcPr>
          <w:p w14:paraId="185EB077" w14:textId="77777777" w:rsidR="00380BE7" w:rsidRPr="00256982" w:rsidRDefault="00380BE7" w:rsidP="009574E7">
            <w:pPr>
              <w:pStyle w:val="Tableboldblue"/>
              <w:jc w:val="center"/>
            </w:pPr>
            <w:r w:rsidRPr="00256982">
              <w:t>±34.2</w:t>
            </w:r>
          </w:p>
        </w:tc>
      </w:tr>
    </w:tbl>
    <w:p w14:paraId="5A0D6E86" w14:textId="77777777" w:rsidR="00380BE7" w:rsidRPr="00256982" w:rsidRDefault="00380BE7" w:rsidP="00380BE7">
      <w:pPr>
        <w:pStyle w:val="Noteundertable"/>
      </w:pPr>
      <w:r w:rsidRPr="00256982">
        <w:rPr>
          <w:b/>
        </w:rPr>
        <w:t>Note:</w:t>
      </w:r>
      <w:r w:rsidRPr="00256982">
        <w:tab/>
        <w:t xml:space="preserve">A Monte Carlo simulation approach was used to assess the main sources of uncertainty in carbon stock and carbon stock change in pre-1990 natural forest. Land area includes land in transition in 2017. The activity data and combined emission factor uncertainty are weighted values and have been calculated using equations 3.1 and 3.2 from IPCC General Guidance and Reporting (IPCC, 2006b). </w:t>
      </w:r>
    </w:p>
    <w:p w14:paraId="5055FD3F" w14:textId="77777777" w:rsidR="00380BE7" w:rsidRPr="00256982" w:rsidRDefault="00380BE7" w:rsidP="00380BE7">
      <w:pPr>
        <w:pStyle w:val="Heading5"/>
      </w:pPr>
      <w:bookmarkStart w:id="1496" w:name="_Toc249147597"/>
      <w:bookmarkStart w:id="1497" w:name="_Toc255466356"/>
      <w:bookmarkStart w:id="1498" w:name="_Toc261513163"/>
      <w:bookmarkStart w:id="1499" w:name="_Toc261513776"/>
      <w:bookmarkStart w:id="1500" w:name="_Toc280630256"/>
      <w:r w:rsidRPr="00256982">
        <w:t>Pre-1990 planted forest</w:t>
      </w:r>
      <w:bookmarkEnd w:id="1496"/>
      <w:bookmarkEnd w:id="1497"/>
      <w:bookmarkEnd w:id="1498"/>
      <w:bookmarkEnd w:id="1499"/>
      <w:bookmarkEnd w:id="1500"/>
    </w:p>
    <w:p w14:paraId="0DE12950" w14:textId="77777777" w:rsidR="00380BE7" w:rsidRPr="00256982" w:rsidRDefault="00380BE7" w:rsidP="00380BE7">
      <w:pPr>
        <w:pStyle w:val="BodyText"/>
      </w:pPr>
      <w:r w:rsidRPr="00256982">
        <w:t>A national plot-based inventory system, in conjunction with a suite of models, is used to estimate carbon stock and carbon stock change within New Zealand’s planted forest (see Beets et al., 2012a). The models are collectively called the Forest Carbon Predictor version 4.1 (Beets and Kimberley, unpublished) and are described in further detail in section 6.4.2 under ‘Living biomass and dead organic matter’. Extensive work has been carried out to reduce the uncertainty in the estimates, including the use of a specifically designed plot network and research-based improvements to the models.</w:t>
      </w:r>
    </w:p>
    <w:p w14:paraId="11FAAA39" w14:textId="77777777" w:rsidR="00380BE7" w:rsidRPr="00256982" w:rsidRDefault="00380BE7" w:rsidP="00380BE7">
      <w:pPr>
        <w:pStyle w:val="BodyText"/>
      </w:pPr>
      <w:r w:rsidRPr="00256982">
        <w:t>A paper has been published on the validation of the Forest Carbon Predictor model (Beets et al., 2011b) used to produce carbon yield tables for the LULUCF sector. For the plots in this study, the estimates of total carbon stock per plot made using the Forest Carbon Predictor were found to be within 5 per cent of measured values. When just above-ground biomass per plot was considered, accuracy was within approximately 1 per cent. Carbon stock change was estimated within 5 per cent accuracy when linked with plot data at the start and end of each five-year period, linking closely with the scheduled duration between the national plot-based inventories (Moore and Goulding, unpublished).</w:t>
      </w:r>
    </w:p>
    <w:p w14:paraId="5860FD1C" w14:textId="77777777" w:rsidR="00380BE7" w:rsidRPr="00256982" w:rsidRDefault="00380BE7" w:rsidP="00380BE7">
      <w:pPr>
        <w:pStyle w:val="BodyText"/>
      </w:pPr>
      <w:r w:rsidRPr="00256982">
        <w:t>New Zealand’s pre-1990 planted forests were sampled in 2010 and 2015, and the analysis of the data collected has provided an unbiased plot-based estimate of carbon stock and change within this forest type. The uncertainty of the pre-1990 planted forest biomass estimate at the 95 per cent confidence interval is ±11.4 per cent (see table 6.4.8).</w:t>
      </w:r>
    </w:p>
    <w:p w14:paraId="1BDB020D" w14:textId="77777777" w:rsidR="00380BE7" w:rsidRPr="00256982" w:rsidRDefault="00380BE7" w:rsidP="00380BE7">
      <w:pPr>
        <w:pStyle w:val="BodyText"/>
      </w:pPr>
      <w:r w:rsidRPr="00256982">
        <w:t xml:space="preserve">The uncertainty in the estimates of pre-1990 planted forest for the 2019 submission is provided in table 6.4.8. </w:t>
      </w:r>
    </w:p>
    <w:p w14:paraId="3BEA6F42" w14:textId="77777777" w:rsidR="00380BE7" w:rsidRPr="00256982" w:rsidRDefault="00380BE7" w:rsidP="00380BE7">
      <w:pPr>
        <w:pStyle w:val="Table"/>
        <w:rPr>
          <w:rFonts w:cs="Arial"/>
          <w:szCs w:val="16"/>
        </w:rPr>
      </w:pPr>
      <w:bookmarkStart w:id="1501" w:name="_Toc280630458"/>
      <w:bookmarkStart w:id="1502" w:name="_Toc310423411"/>
      <w:bookmarkStart w:id="1503" w:name="_Toc318362704"/>
      <w:bookmarkStart w:id="1504" w:name="_Toc342470766"/>
      <w:bookmarkStart w:id="1505" w:name="_Toc352505006"/>
      <w:bookmarkStart w:id="1506" w:name="_Toc373395731"/>
      <w:bookmarkStart w:id="1507" w:name="_Toc378853297"/>
      <w:bookmarkStart w:id="1508" w:name="_Toc391024095"/>
      <w:bookmarkStart w:id="1509" w:name="_Toc410028838"/>
      <w:bookmarkStart w:id="1510" w:name="_Toc414531466"/>
      <w:bookmarkStart w:id="1511" w:name="_Toc443645379"/>
      <w:bookmarkStart w:id="1512" w:name="_Toc474914598"/>
      <w:bookmarkStart w:id="1513" w:name="_Toc481751562"/>
      <w:bookmarkStart w:id="1514" w:name="_Toc522010619"/>
      <w:bookmarkStart w:id="1515" w:name="_Toc5269524"/>
      <w:r w:rsidRPr="00256982">
        <w:t>Table 6.4.8</w:t>
      </w:r>
      <w:r w:rsidRPr="00256982">
        <w:tab/>
        <w:t xml:space="preserve">Uncertainty in New Zealand’s 2017 estimates from </w:t>
      </w:r>
      <w:r w:rsidRPr="00256982">
        <w:rPr>
          <w:rFonts w:cs="Arial"/>
          <w:szCs w:val="16"/>
        </w:rPr>
        <w:t>pre-1990 planted forest</w:t>
      </w:r>
      <w:bookmarkEnd w:id="1501"/>
      <w:bookmarkEnd w:id="1502"/>
      <w:bookmarkEnd w:id="1503"/>
      <w:bookmarkEnd w:id="1504"/>
      <w:r w:rsidRPr="00256982">
        <w:rPr>
          <w:rFonts w:cs="Arial"/>
          <w:szCs w:val="16"/>
        </w:rPr>
        <w:br/>
        <w:t>(including land in transition)</w:t>
      </w:r>
      <w:bookmarkEnd w:id="1505"/>
      <w:bookmarkEnd w:id="1506"/>
      <w:bookmarkEnd w:id="1507"/>
      <w:bookmarkEnd w:id="1508"/>
      <w:bookmarkEnd w:id="1509"/>
      <w:bookmarkEnd w:id="1510"/>
      <w:bookmarkEnd w:id="1511"/>
      <w:bookmarkEnd w:id="1512"/>
      <w:bookmarkEnd w:id="1513"/>
      <w:bookmarkEnd w:id="1514"/>
      <w:bookmarkEnd w:id="1515"/>
    </w:p>
    <w:tbl>
      <w:tblPr>
        <w:tblW w:w="8505" w:type="dxa"/>
        <w:tblInd w:w="108" w:type="dxa"/>
        <w:tblLook w:val="04A0" w:firstRow="1" w:lastRow="0" w:firstColumn="1" w:lastColumn="0" w:noHBand="0" w:noVBand="1"/>
      </w:tblPr>
      <w:tblGrid>
        <w:gridCol w:w="4625"/>
        <w:gridCol w:w="3880"/>
      </w:tblGrid>
      <w:tr w:rsidR="00380BE7" w:rsidRPr="00256982" w14:paraId="61DCED5A" w14:textId="77777777" w:rsidTr="009574E7">
        <w:tc>
          <w:tcPr>
            <w:tcW w:w="4366" w:type="dxa"/>
            <w:tcBorders>
              <w:top w:val="single" w:sz="4" w:space="0" w:color="365F91"/>
              <w:bottom w:val="single" w:sz="4" w:space="0" w:color="365F91"/>
            </w:tcBorders>
            <w:shd w:val="clear" w:color="auto" w:fill="365F91"/>
            <w:noWrap/>
            <w:hideMark/>
          </w:tcPr>
          <w:p w14:paraId="2BBB1C35" w14:textId="77777777" w:rsidR="00380BE7" w:rsidRPr="00256982" w:rsidRDefault="00380BE7" w:rsidP="007740E0">
            <w:pPr>
              <w:pStyle w:val="TableTextBold"/>
              <w:keepNext/>
              <w:rPr>
                <w:noProof w:val="0"/>
                <w:color w:val="FFFFFF"/>
              </w:rPr>
            </w:pPr>
            <w:r w:rsidRPr="00256982">
              <w:rPr>
                <w:noProof w:val="0"/>
                <w:color w:val="FFFFFF"/>
              </w:rPr>
              <w:t>Variable</w:t>
            </w:r>
          </w:p>
        </w:tc>
        <w:tc>
          <w:tcPr>
            <w:tcW w:w="3662" w:type="dxa"/>
            <w:tcBorders>
              <w:top w:val="single" w:sz="4" w:space="0" w:color="365F91"/>
              <w:bottom w:val="single" w:sz="4" w:space="0" w:color="365F91"/>
            </w:tcBorders>
            <w:shd w:val="clear" w:color="auto" w:fill="365F91"/>
            <w:noWrap/>
            <w:hideMark/>
          </w:tcPr>
          <w:p w14:paraId="4435DFF1" w14:textId="77777777" w:rsidR="00380BE7" w:rsidRPr="00256982" w:rsidRDefault="00380BE7" w:rsidP="007740E0">
            <w:pPr>
              <w:pStyle w:val="TableTextBold"/>
              <w:keepNext/>
              <w:jc w:val="center"/>
              <w:rPr>
                <w:noProof w:val="0"/>
                <w:color w:val="FFFFFF"/>
              </w:rPr>
            </w:pPr>
            <w:r w:rsidRPr="00256982">
              <w:rPr>
                <w:noProof w:val="0"/>
                <w:color w:val="FFFFFF"/>
              </w:rPr>
              <w:t>Uncertainty at a 95% confidence interval (%)</w:t>
            </w:r>
          </w:p>
        </w:tc>
      </w:tr>
      <w:tr w:rsidR="00380BE7" w:rsidRPr="00256982" w14:paraId="35A9BC59" w14:textId="77777777" w:rsidTr="009574E7">
        <w:tc>
          <w:tcPr>
            <w:tcW w:w="4366" w:type="dxa"/>
            <w:tcBorders>
              <w:top w:val="single" w:sz="4" w:space="0" w:color="365F91"/>
              <w:bottom w:val="single" w:sz="4" w:space="0" w:color="365F91"/>
            </w:tcBorders>
            <w:noWrap/>
            <w:hideMark/>
          </w:tcPr>
          <w:p w14:paraId="738A7680" w14:textId="77777777" w:rsidR="00380BE7" w:rsidRPr="00256982" w:rsidRDefault="00380BE7" w:rsidP="007740E0">
            <w:pPr>
              <w:pStyle w:val="TableTextBold"/>
              <w:keepNext/>
              <w:rPr>
                <w:noProof w:val="0"/>
              </w:rPr>
            </w:pPr>
            <w:r w:rsidRPr="00256982">
              <w:rPr>
                <w:noProof w:val="0"/>
              </w:rPr>
              <w:t>Activity data</w:t>
            </w:r>
          </w:p>
        </w:tc>
        <w:tc>
          <w:tcPr>
            <w:tcW w:w="3662" w:type="dxa"/>
            <w:tcBorders>
              <w:top w:val="single" w:sz="4" w:space="0" w:color="365F91"/>
              <w:bottom w:val="single" w:sz="4" w:space="0" w:color="365F91"/>
            </w:tcBorders>
            <w:noWrap/>
            <w:hideMark/>
          </w:tcPr>
          <w:p w14:paraId="21F1006B" w14:textId="77777777" w:rsidR="00380BE7" w:rsidRPr="00256982" w:rsidRDefault="00380BE7" w:rsidP="007740E0">
            <w:pPr>
              <w:pStyle w:val="TableTextBold"/>
              <w:keepNext/>
              <w:rPr>
                <w:noProof w:val="0"/>
              </w:rPr>
            </w:pPr>
          </w:p>
        </w:tc>
      </w:tr>
      <w:tr w:rsidR="00380BE7" w:rsidRPr="00256982" w14:paraId="66FE7156" w14:textId="77777777" w:rsidTr="009574E7">
        <w:tc>
          <w:tcPr>
            <w:tcW w:w="4366" w:type="dxa"/>
            <w:tcBorders>
              <w:top w:val="single" w:sz="4" w:space="0" w:color="365F91"/>
              <w:bottom w:val="single" w:sz="4" w:space="0" w:color="365F91"/>
            </w:tcBorders>
            <w:noWrap/>
            <w:hideMark/>
          </w:tcPr>
          <w:p w14:paraId="4BAB7401" w14:textId="77777777" w:rsidR="00380BE7" w:rsidRPr="00256982" w:rsidRDefault="00380BE7" w:rsidP="007740E0">
            <w:pPr>
              <w:pStyle w:val="TableText"/>
              <w:keepNext/>
            </w:pPr>
            <w:r w:rsidRPr="00256982">
              <w:t>Uncertainty in land area</w:t>
            </w:r>
          </w:p>
        </w:tc>
        <w:tc>
          <w:tcPr>
            <w:tcW w:w="3662" w:type="dxa"/>
            <w:tcBorders>
              <w:top w:val="single" w:sz="4" w:space="0" w:color="365F91"/>
              <w:bottom w:val="single" w:sz="4" w:space="0" w:color="365F91"/>
            </w:tcBorders>
            <w:noWrap/>
            <w:hideMark/>
          </w:tcPr>
          <w:p w14:paraId="0B8E23C2" w14:textId="77777777" w:rsidR="00380BE7" w:rsidRPr="00256982" w:rsidRDefault="00380BE7" w:rsidP="007740E0">
            <w:pPr>
              <w:pStyle w:val="TableText"/>
              <w:keepNext/>
              <w:jc w:val="center"/>
            </w:pPr>
            <w:r w:rsidRPr="00256982">
              <w:t>±5.0</w:t>
            </w:r>
          </w:p>
        </w:tc>
      </w:tr>
      <w:tr w:rsidR="00380BE7" w:rsidRPr="00256982" w14:paraId="18ABBCF1" w14:textId="77777777" w:rsidTr="009574E7">
        <w:tc>
          <w:tcPr>
            <w:tcW w:w="4366" w:type="dxa"/>
            <w:tcBorders>
              <w:top w:val="single" w:sz="4" w:space="0" w:color="365F91"/>
              <w:bottom w:val="single" w:sz="4" w:space="0" w:color="365F91"/>
            </w:tcBorders>
            <w:noWrap/>
            <w:hideMark/>
          </w:tcPr>
          <w:p w14:paraId="4A4EE25C" w14:textId="77777777" w:rsidR="00380BE7" w:rsidRPr="00256982" w:rsidRDefault="00380BE7" w:rsidP="007740E0">
            <w:pPr>
              <w:pStyle w:val="TableTextBold"/>
              <w:keepNext/>
              <w:rPr>
                <w:noProof w:val="0"/>
              </w:rPr>
            </w:pPr>
            <w:r w:rsidRPr="00256982">
              <w:rPr>
                <w:noProof w:val="0"/>
              </w:rPr>
              <w:t>Emission factors</w:t>
            </w:r>
          </w:p>
        </w:tc>
        <w:tc>
          <w:tcPr>
            <w:tcW w:w="3662" w:type="dxa"/>
            <w:tcBorders>
              <w:top w:val="single" w:sz="4" w:space="0" w:color="365F91"/>
              <w:bottom w:val="single" w:sz="4" w:space="0" w:color="365F91"/>
            </w:tcBorders>
            <w:noWrap/>
            <w:hideMark/>
          </w:tcPr>
          <w:p w14:paraId="4F4EAF66" w14:textId="77777777" w:rsidR="00380BE7" w:rsidRPr="00256982" w:rsidRDefault="00380BE7" w:rsidP="007740E0">
            <w:pPr>
              <w:pStyle w:val="TableTextBold"/>
              <w:keepNext/>
              <w:jc w:val="center"/>
              <w:rPr>
                <w:noProof w:val="0"/>
              </w:rPr>
            </w:pPr>
          </w:p>
        </w:tc>
      </w:tr>
      <w:tr w:rsidR="00380BE7" w:rsidRPr="00256982" w14:paraId="55672422" w14:textId="77777777" w:rsidTr="009574E7">
        <w:tc>
          <w:tcPr>
            <w:tcW w:w="4366" w:type="dxa"/>
            <w:tcBorders>
              <w:top w:val="single" w:sz="4" w:space="0" w:color="365F91"/>
              <w:bottom w:val="single" w:sz="4" w:space="0" w:color="365F91"/>
            </w:tcBorders>
            <w:noWrap/>
            <w:hideMark/>
          </w:tcPr>
          <w:p w14:paraId="0F7C17B6" w14:textId="77777777" w:rsidR="00380BE7" w:rsidRPr="00256982" w:rsidRDefault="00380BE7" w:rsidP="009574E7">
            <w:pPr>
              <w:pStyle w:val="TableText"/>
            </w:pPr>
            <w:r w:rsidRPr="00256982">
              <w:t>Uncertainty in biomass carbon stocks</w:t>
            </w:r>
          </w:p>
        </w:tc>
        <w:tc>
          <w:tcPr>
            <w:tcW w:w="3662" w:type="dxa"/>
            <w:tcBorders>
              <w:top w:val="single" w:sz="4" w:space="0" w:color="365F91"/>
              <w:bottom w:val="single" w:sz="4" w:space="0" w:color="365F91"/>
            </w:tcBorders>
            <w:noWrap/>
            <w:hideMark/>
          </w:tcPr>
          <w:p w14:paraId="26A65066" w14:textId="77777777" w:rsidR="00380BE7" w:rsidRPr="00256982" w:rsidRDefault="00380BE7" w:rsidP="009574E7">
            <w:pPr>
              <w:pStyle w:val="TableText"/>
              <w:jc w:val="center"/>
            </w:pPr>
            <w:r w:rsidRPr="00256982">
              <w:t>±11.4</w:t>
            </w:r>
          </w:p>
        </w:tc>
      </w:tr>
      <w:tr w:rsidR="00380BE7" w:rsidRPr="00256982" w14:paraId="45F96A21" w14:textId="77777777" w:rsidTr="009574E7">
        <w:tc>
          <w:tcPr>
            <w:tcW w:w="4366" w:type="dxa"/>
            <w:tcBorders>
              <w:top w:val="single" w:sz="4" w:space="0" w:color="365F91"/>
              <w:bottom w:val="single" w:sz="4" w:space="0" w:color="365F91"/>
            </w:tcBorders>
            <w:noWrap/>
            <w:hideMark/>
          </w:tcPr>
          <w:p w14:paraId="70E20656" w14:textId="77777777" w:rsidR="00380BE7" w:rsidRPr="00256982" w:rsidRDefault="00380BE7" w:rsidP="009574E7">
            <w:pPr>
              <w:pStyle w:val="TableText"/>
            </w:pPr>
            <w:r w:rsidRPr="00256982">
              <w:t>Uncertainty in soil carbon stocks</w:t>
            </w:r>
          </w:p>
        </w:tc>
        <w:tc>
          <w:tcPr>
            <w:tcW w:w="3662" w:type="dxa"/>
            <w:tcBorders>
              <w:top w:val="single" w:sz="4" w:space="0" w:color="365F91"/>
              <w:bottom w:val="single" w:sz="4" w:space="0" w:color="365F91"/>
            </w:tcBorders>
            <w:noWrap/>
            <w:hideMark/>
          </w:tcPr>
          <w:p w14:paraId="2A1A1737" w14:textId="77777777" w:rsidR="00380BE7" w:rsidRPr="00256982" w:rsidRDefault="00380BE7" w:rsidP="009574E7">
            <w:pPr>
              <w:pStyle w:val="TableText"/>
              <w:jc w:val="center"/>
            </w:pPr>
            <w:r w:rsidRPr="00256982">
              <w:t>±12.3</w:t>
            </w:r>
          </w:p>
        </w:tc>
      </w:tr>
      <w:tr w:rsidR="00380BE7" w:rsidRPr="00256982" w14:paraId="1242322F" w14:textId="77777777" w:rsidTr="009574E7">
        <w:tc>
          <w:tcPr>
            <w:tcW w:w="4366" w:type="dxa"/>
            <w:tcBorders>
              <w:top w:val="single" w:sz="4" w:space="0" w:color="365F91"/>
              <w:bottom w:val="single" w:sz="4" w:space="0" w:color="365F91"/>
            </w:tcBorders>
            <w:noWrap/>
            <w:hideMark/>
          </w:tcPr>
          <w:p w14:paraId="0C6942F7" w14:textId="77777777" w:rsidR="00380BE7" w:rsidRPr="00256982" w:rsidRDefault="00380BE7" w:rsidP="009574E7">
            <w:pPr>
              <w:pStyle w:val="Tableboldblue"/>
            </w:pPr>
            <w:r w:rsidRPr="00256982">
              <w:t>Uncertainty introduced into net emissions for LULUCF</w:t>
            </w:r>
          </w:p>
        </w:tc>
        <w:tc>
          <w:tcPr>
            <w:tcW w:w="3662" w:type="dxa"/>
            <w:tcBorders>
              <w:top w:val="single" w:sz="4" w:space="0" w:color="365F91"/>
              <w:bottom w:val="single" w:sz="4" w:space="0" w:color="365F91"/>
            </w:tcBorders>
            <w:noWrap/>
            <w:hideMark/>
          </w:tcPr>
          <w:p w14:paraId="3D3AC271" w14:textId="77777777" w:rsidR="00380BE7" w:rsidRPr="00256982" w:rsidRDefault="00380BE7" w:rsidP="009574E7">
            <w:pPr>
              <w:pStyle w:val="Tableboldblue"/>
              <w:jc w:val="center"/>
            </w:pPr>
            <w:r w:rsidRPr="00256982">
              <w:t>±34.3</w:t>
            </w:r>
          </w:p>
        </w:tc>
      </w:tr>
    </w:tbl>
    <w:p w14:paraId="108BF358" w14:textId="77777777" w:rsidR="00380BE7" w:rsidRPr="00256982" w:rsidRDefault="00380BE7" w:rsidP="00380BE7">
      <w:pPr>
        <w:pStyle w:val="Noteundertable"/>
        <w:spacing w:after="60"/>
      </w:pPr>
      <w:r w:rsidRPr="00256982">
        <w:rPr>
          <w:b/>
        </w:rPr>
        <w:lastRenderedPageBreak/>
        <w:t>Note:</w:t>
      </w:r>
      <w:r w:rsidRPr="00256982">
        <w:tab/>
        <w:t xml:space="preserve">The biomass uncertainties are low for pre-1990 planted forest (±11.4 per cent). However, the total uncertainty for the category is calculated on the net change. The age structure of the estate in 2017 results in large removals from growth and large emissions from harvesting, leaving a relatively small net change. Therefore, uncertainty is high in this category. Land area includes land in transition in 2017. The activity data and combined emission factor uncertainty are weighted values and have been calculated using equations 3.1 and 3.2 from IPCC General Guidance and Reporting (IPCC, 2006b). </w:t>
      </w:r>
    </w:p>
    <w:p w14:paraId="64032845" w14:textId="77777777" w:rsidR="00380BE7" w:rsidRPr="00256982" w:rsidRDefault="00380BE7" w:rsidP="00380BE7">
      <w:pPr>
        <w:pStyle w:val="Heading5"/>
      </w:pPr>
      <w:bookmarkStart w:id="1516" w:name="_Toc249147598"/>
      <w:bookmarkStart w:id="1517" w:name="_Toc255466357"/>
      <w:bookmarkStart w:id="1518" w:name="_Toc261513164"/>
      <w:bookmarkStart w:id="1519" w:name="_Toc261513777"/>
      <w:bookmarkStart w:id="1520" w:name="_Toc280630257"/>
      <w:r w:rsidRPr="00256982">
        <w:t>Post-1989 forest</w:t>
      </w:r>
      <w:bookmarkEnd w:id="1516"/>
      <w:bookmarkEnd w:id="1517"/>
      <w:bookmarkEnd w:id="1518"/>
      <w:bookmarkEnd w:id="1519"/>
      <w:bookmarkEnd w:id="1520"/>
    </w:p>
    <w:p w14:paraId="682CCCD6" w14:textId="77777777" w:rsidR="00380BE7" w:rsidRPr="00256982" w:rsidRDefault="00380BE7" w:rsidP="00380BE7">
      <w:pPr>
        <w:pStyle w:val="BodyText"/>
        <w:spacing w:after="100"/>
      </w:pPr>
      <w:r w:rsidRPr="00256982">
        <w:t>As described in section 6.4.2, post-1989 forest is split into post-1989 natural and post-1989 planted forest. The modelling process for post-1989 planted forest is similar to pre-1990 planted forest, and the uncertainty in the modelling process is outlined above. Additionally, the Forest Carbon Predictor validation is described in Beets et al. (2011b) and New Zealand’s inventory approach is described in Beets et al. (2011a).</w:t>
      </w:r>
    </w:p>
    <w:p w14:paraId="19BB0B8E" w14:textId="77777777" w:rsidR="00380BE7" w:rsidRPr="00256982" w:rsidRDefault="00380BE7" w:rsidP="00380BE7">
      <w:pPr>
        <w:pStyle w:val="BodyText"/>
        <w:spacing w:after="100"/>
      </w:pPr>
      <w:r w:rsidRPr="00256982">
        <w:t>New Zealand’s post-1989 planted forests were first sampled in 2007 and 2008 and then re</w:t>
      </w:r>
      <w:r w:rsidRPr="00256982">
        <w:noBreakHyphen/>
        <w:t>measured in 2011 and 2012. The planted forest inventory shifted from a periodic to a continuous inventory in 2016. The inventory provides a plot-based estimate of carbon stock within this forest type. The uncertainty of the post-1989 planted forest biomass estimate at the 95 per cent confidence interval is ±14.2 per cent (Paul et al., unpublished(b)).</w:t>
      </w:r>
    </w:p>
    <w:p w14:paraId="37B709F3" w14:textId="77777777" w:rsidR="00380BE7" w:rsidRPr="00256982" w:rsidRDefault="00380BE7" w:rsidP="00380BE7">
      <w:pPr>
        <w:pStyle w:val="BodyText"/>
        <w:spacing w:after="100"/>
      </w:pPr>
      <w:r w:rsidRPr="00256982">
        <w:t>When post-1989 forests were initially inventoried in 2007 and 2008, the mapping of the forest extent had yet to be completed. Consequently, the initial post-1989 forest sample was incomplete. When the national forest map had been completed, additional plots were measured in 2012 and 2013. The continuous inventory initiated in 2016 includes new planted forest plots as they are identified. The inclusion of these plots in the analysis provided an unbiased and representative sample of post-1989 planted and natural forests.</w:t>
      </w:r>
    </w:p>
    <w:p w14:paraId="04056E12" w14:textId="77777777" w:rsidR="00380BE7" w:rsidRPr="00256982" w:rsidRDefault="00380BE7" w:rsidP="00380BE7">
      <w:pPr>
        <w:pStyle w:val="BodyText"/>
        <w:spacing w:after="100"/>
      </w:pPr>
      <w:r w:rsidRPr="00256982">
        <w:t>The continuous planted forest inventory provides annual data on forest management (e.g., harvest age and thinning), natural disturbance and growth that can be incorporated into planted forest emission factors.</w:t>
      </w:r>
    </w:p>
    <w:p w14:paraId="5F5C6441" w14:textId="77777777" w:rsidR="00380BE7" w:rsidRPr="00256982" w:rsidRDefault="00380BE7" w:rsidP="00380BE7">
      <w:pPr>
        <w:pStyle w:val="BodyText"/>
        <w:rPr>
          <w:spacing w:val="-2"/>
        </w:rPr>
      </w:pPr>
      <w:r w:rsidRPr="00256982">
        <w:rPr>
          <w:spacing w:val="-2"/>
        </w:rPr>
        <w:t>The inventory of post-1989 natural forest provides estimates of carbon stock that are within 24.9 per cent of the mean at the 95 per cent confidence level as at 2012 (Beets et al., 2014b).</w:t>
      </w:r>
    </w:p>
    <w:p w14:paraId="767F08E5" w14:textId="77777777" w:rsidR="00380BE7" w:rsidRPr="00256982" w:rsidRDefault="00380BE7" w:rsidP="00380BE7">
      <w:pPr>
        <w:pStyle w:val="BodyText"/>
      </w:pPr>
      <w:bookmarkStart w:id="1521" w:name="_Toc280630459"/>
      <w:bookmarkStart w:id="1522" w:name="_Toc310423412"/>
      <w:bookmarkStart w:id="1523" w:name="_Toc318362705"/>
      <w:bookmarkStart w:id="1524" w:name="_Toc342470767"/>
      <w:bookmarkStart w:id="1525" w:name="_Toc352505007"/>
      <w:bookmarkStart w:id="1526" w:name="_Toc373395732"/>
      <w:bookmarkStart w:id="1527" w:name="_Toc378853298"/>
      <w:bookmarkStart w:id="1528" w:name="_Toc391024096"/>
      <w:bookmarkStart w:id="1529" w:name="_Toc410028839"/>
      <w:bookmarkStart w:id="1530" w:name="_Toc414531467"/>
      <w:bookmarkStart w:id="1531" w:name="_Toc443645380"/>
      <w:bookmarkStart w:id="1532" w:name="_Toc474914599"/>
      <w:bookmarkStart w:id="1533" w:name="_Toc481751563"/>
      <w:r w:rsidRPr="00256982">
        <w:t xml:space="preserve">The uncertainty in the estimates of post-1989 forest for the 2019 submission is provided in table 6.4.9. </w:t>
      </w:r>
    </w:p>
    <w:p w14:paraId="02853FFE" w14:textId="77777777" w:rsidR="00380BE7" w:rsidRPr="00256982" w:rsidRDefault="00380BE7" w:rsidP="00380BE7">
      <w:pPr>
        <w:pStyle w:val="Table"/>
      </w:pPr>
      <w:bookmarkStart w:id="1534" w:name="_Toc522010620"/>
      <w:bookmarkStart w:id="1535" w:name="_Toc5269525"/>
      <w:r w:rsidRPr="00256982">
        <w:t xml:space="preserve">Table 6.4.9 </w:t>
      </w:r>
      <w:r w:rsidRPr="00256982">
        <w:tab/>
        <w:t>Uncertainty in New Zealand’s 2017 estimates from post-1989 forest</w:t>
      </w:r>
      <w:bookmarkEnd w:id="1521"/>
      <w:bookmarkEnd w:id="1522"/>
      <w:bookmarkEnd w:id="1523"/>
      <w:bookmarkEnd w:id="1524"/>
      <w:r w:rsidRPr="00256982">
        <w:t xml:space="preserve"> (including land in transition)</w:t>
      </w:r>
      <w:bookmarkEnd w:id="1525"/>
      <w:bookmarkEnd w:id="1526"/>
      <w:bookmarkEnd w:id="1527"/>
      <w:bookmarkEnd w:id="1528"/>
      <w:bookmarkEnd w:id="1529"/>
      <w:bookmarkEnd w:id="1530"/>
      <w:bookmarkEnd w:id="1531"/>
      <w:bookmarkEnd w:id="1532"/>
      <w:bookmarkEnd w:id="1533"/>
      <w:bookmarkEnd w:id="1534"/>
      <w:bookmarkEnd w:id="1535"/>
    </w:p>
    <w:tbl>
      <w:tblPr>
        <w:tblW w:w="8505" w:type="dxa"/>
        <w:tblInd w:w="108" w:type="dxa"/>
        <w:tblLook w:val="04A0" w:firstRow="1" w:lastRow="0" w:firstColumn="1" w:lastColumn="0" w:noHBand="0" w:noVBand="1"/>
      </w:tblPr>
      <w:tblGrid>
        <w:gridCol w:w="4669"/>
        <w:gridCol w:w="3836"/>
      </w:tblGrid>
      <w:tr w:rsidR="00380BE7" w:rsidRPr="00256982" w14:paraId="125F5550" w14:textId="77777777" w:rsidTr="009574E7">
        <w:tc>
          <w:tcPr>
            <w:tcW w:w="4368" w:type="dxa"/>
            <w:tcBorders>
              <w:top w:val="single" w:sz="4" w:space="0" w:color="365F91"/>
              <w:bottom w:val="single" w:sz="4" w:space="0" w:color="365F91"/>
            </w:tcBorders>
            <w:shd w:val="clear" w:color="auto" w:fill="365F91"/>
            <w:noWrap/>
            <w:hideMark/>
          </w:tcPr>
          <w:p w14:paraId="4CF49E0F" w14:textId="77777777" w:rsidR="00380BE7" w:rsidRPr="00256982" w:rsidRDefault="00380BE7" w:rsidP="00350060">
            <w:pPr>
              <w:pStyle w:val="TableTextBold"/>
              <w:keepNext/>
              <w:spacing w:before="50" w:after="50"/>
              <w:rPr>
                <w:noProof w:val="0"/>
                <w:color w:val="FFFFFF"/>
              </w:rPr>
            </w:pPr>
            <w:r w:rsidRPr="00256982">
              <w:rPr>
                <w:noProof w:val="0"/>
                <w:color w:val="FFFFFF"/>
              </w:rPr>
              <w:t>Variable</w:t>
            </w:r>
          </w:p>
        </w:tc>
        <w:tc>
          <w:tcPr>
            <w:tcW w:w="3589" w:type="dxa"/>
            <w:tcBorders>
              <w:top w:val="single" w:sz="4" w:space="0" w:color="365F91"/>
              <w:bottom w:val="single" w:sz="4" w:space="0" w:color="365F91"/>
            </w:tcBorders>
            <w:shd w:val="clear" w:color="auto" w:fill="365F91"/>
            <w:noWrap/>
            <w:hideMark/>
          </w:tcPr>
          <w:p w14:paraId="5F60746D" w14:textId="77777777" w:rsidR="00380BE7" w:rsidRPr="00256982" w:rsidRDefault="00380BE7" w:rsidP="00350060">
            <w:pPr>
              <w:pStyle w:val="TableTextBold"/>
              <w:keepNext/>
              <w:spacing w:before="50" w:after="50"/>
              <w:jc w:val="center"/>
              <w:rPr>
                <w:noProof w:val="0"/>
                <w:color w:val="FFFFFF"/>
              </w:rPr>
            </w:pPr>
            <w:r w:rsidRPr="00256982">
              <w:rPr>
                <w:noProof w:val="0"/>
                <w:color w:val="FFFFFF"/>
              </w:rPr>
              <w:t>Uncertainty at a 95% confidence interval (%)</w:t>
            </w:r>
          </w:p>
        </w:tc>
      </w:tr>
      <w:tr w:rsidR="00380BE7" w:rsidRPr="00256982" w14:paraId="02FD3203" w14:textId="77777777" w:rsidTr="009574E7">
        <w:tc>
          <w:tcPr>
            <w:tcW w:w="4368" w:type="dxa"/>
            <w:tcBorders>
              <w:top w:val="single" w:sz="4" w:space="0" w:color="365F91"/>
              <w:bottom w:val="single" w:sz="4" w:space="0" w:color="365F91"/>
            </w:tcBorders>
            <w:noWrap/>
            <w:hideMark/>
          </w:tcPr>
          <w:p w14:paraId="6E589E20" w14:textId="77777777" w:rsidR="00380BE7" w:rsidRPr="00256982" w:rsidRDefault="00380BE7" w:rsidP="00350060">
            <w:pPr>
              <w:pStyle w:val="TableTextBold"/>
              <w:keepNext/>
              <w:spacing w:before="50" w:after="50"/>
              <w:rPr>
                <w:noProof w:val="0"/>
              </w:rPr>
            </w:pPr>
            <w:r w:rsidRPr="00256982">
              <w:rPr>
                <w:noProof w:val="0"/>
              </w:rPr>
              <w:t>Activity data</w:t>
            </w:r>
          </w:p>
        </w:tc>
        <w:tc>
          <w:tcPr>
            <w:tcW w:w="3589" w:type="dxa"/>
            <w:tcBorders>
              <w:top w:val="single" w:sz="4" w:space="0" w:color="365F91"/>
              <w:bottom w:val="single" w:sz="4" w:space="0" w:color="365F91"/>
            </w:tcBorders>
            <w:noWrap/>
            <w:hideMark/>
          </w:tcPr>
          <w:p w14:paraId="58B71714" w14:textId="77777777" w:rsidR="00380BE7" w:rsidRPr="00256982" w:rsidRDefault="00380BE7" w:rsidP="00350060">
            <w:pPr>
              <w:pStyle w:val="TableTextBold"/>
              <w:keepNext/>
              <w:tabs>
                <w:tab w:val="decimal" w:pos="373"/>
              </w:tabs>
              <w:spacing w:before="50" w:after="50"/>
              <w:jc w:val="center"/>
              <w:rPr>
                <w:noProof w:val="0"/>
              </w:rPr>
            </w:pPr>
          </w:p>
        </w:tc>
      </w:tr>
      <w:tr w:rsidR="00380BE7" w:rsidRPr="00256982" w14:paraId="0FBCA975" w14:textId="77777777" w:rsidTr="009574E7">
        <w:tc>
          <w:tcPr>
            <w:tcW w:w="4368" w:type="dxa"/>
            <w:tcBorders>
              <w:top w:val="single" w:sz="4" w:space="0" w:color="365F91"/>
              <w:bottom w:val="single" w:sz="4" w:space="0" w:color="365F91"/>
            </w:tcBorders>
            <w:noWrap/>
            <w:hideMark/>
          </w:tcPr>
          <w:p w14:paraId="4674451A" w14:textId="77777777" w:rsidR="00380BE7" w:rsidRPr="00256982" w:rsidRDefault="00380BE7" w:rsidP="00350060">
            <w:pPr>
              <w:pStyle w:val="TableText"/>
              <w:keepNext/>
              <w:spacing w:before="50" w:after="50"/>
            </w:pPr>
            <w:r w:rsidRPr="00256982">
              <w:t>Uncertainty in land area</w:t>
            </w:r>
          </w:p>
        </w:tc>
        <w:tc>
          <w:tcPr>
            <w:tcW w:w="3589" w:type="dxa"/>
            <w:tcBorders>
              <w:top w:val="single" w:sz="4" w:space="0" w:color="365F91"/>
              <w:bottom w:val="single" w:sz="4" w:space="0" w:color="365F91"/>
            </w:tcBorders>
            <w:noWrap/>
            <w:hideMark/>
          </w:tcPr>
          <w:p w14:paraId="758BD022" w14:textId="77777777" w:rsidR="00380BE7" w:rsidRPr="00256982" w:rsidRDefault="00380BE7" w:rsidP="00350060">
            <w:pPr>
              <w:pStyle w:val="TableText"/>
              <w:keepNext/>
              <w:tabs>
                <w:tab w:val="decimal" w:pos="373"/>
              </w:tabs>
              <w:spacing w:before="50" w:after="50"/>
              <w:jc w:val="center"/>
              <w:rPr>
                <w:szCs w:val="16"/>
              </w:rPr>
            </w:pPr>
            <w:r w:rsidRPr="00256982">
              <w:rPr>
                <w:szCs w:val="16"/>
              </w:rPr>
              <w:t>±8.0</w:t>
            </w:r>
          </w:p>
        </w:tc>
      </w:tr>
      <w:tr w:rsidR="00380BE7" w:rsidRPr="00256982" w14:paraId="336FA2B3" w14:textId="77777777" w:rsidTr="009574E7">
        <w:tc>
          <w:tcPr>
            <w:tcW w:w="4368" w:type="dxa"/>
            <w:tcBorders>
              <w:top w:val="single" w:sz="4" w:space="0" w:color="365F91"/>
              <w:bottom w:val="single" w:sz="4" w:space="0" w:color="365F91"/>
            </w:tcBorders>
            <w:noWrap/>
            <w:hideMark/>
          </w:tcPr>
          <w:p w14:paraId="53BD9FC8" w14:textId="77777777" w:rsidR="00380BE7" w:rsidRPr="00256982" w:rsidRDefault="00380BE7" w:rsidP="00350060">
            <w:pPr>
              <w:pStyle w:val="TableTextBold"/>
              <w:keepNext/>
              <w:spacing w:before="50" w:after="50"/>
              <w:rPr>
                <w:noProof w:val="0"/>
              </w:rPr>
            </w:pPr>
            <w:r w:rsidRPr="00256982">
              <w:rPr>
                <w:noProof w:val="0"/>
              </w:rPr>
              <w:t>Emission factors</w:t>
            </w:r>
          </w:p>
        </w:tc>
        <w:tc>
          <w:tcPr>
            <w:tcW w:w="3589" w:type="dxa"/>
            <w:tcBorders>
              <w:top w:val="single" w:sz="4" w:space="0" w:color="365F91"/>
              <w:bottom w:val="single" w:sz="4" w:space="0" w:color="365F91"/>
            </w:tcBorders>
            <w:noWrap/>
            <w:hideMark/>
          </w:tcPr>
          <w:p w14:paraId="2CA790ED" w14:textId="77777777" w:rsidR="00380BE7" w:rsidRPr="00256982" w:rsidRDefault="00380BE7" w:rsidP="00350060">
            <w:pPr>
              <w:pStyle w:val="TableTextBold"/>
              <w:keepNext/>
              <w:tabs>
                <w:tab w:val="decimal" w:pos="373"/>
              </w:tabs>
              <w:spacing w:before="50" w:after="50"/>
              <w:jc w:val="center"/>
              <w:rPr>
                <w:noProof w:val="0"/>
                <w:szCs w:val="16"/>
              </w:rPr>
            </w:pPr>
          </w:p>
        </w:tc>
      </w:tr>
      <w:tr w:rsidR="00380BE7" w:rsidRPr="00256982" w14:paraId="455822DF" w14:textId="77777777" w:rsidTr="009574E7">
        <w:tc>
          <w:tcPr>
            <w:tcW w:w="4368" w:type="dxa"/>
            <w:tcBorders>
              <w:top w:val="single" w:sz="4" w:space="0" w:color="365F91"/>
              <w:bottom w:val="single" w:sz="4" w:space="0" w:color="365F91"/>
            </w:tcBorders>
            <w:noWrap/>
            <w:hideMark/>
          </w:tcPr>
          <w:p w14:paraId="5CC17542" w14:textId="77777777" w:rsidR="00380BE7" w:rsidRPr="00256982" w:rsidRDefault="00380BE7" w:rsidP="00350060">
            <w:pPr>
              <w:pStyle w:val="TableText"/>
              <w:spacing w:before="50" w:after="50"/>
            </w:pPr>
            <w:r w:rsidRPr="00256982">
              <w:t>Uncertainty in biomass carbon stocks</w:t>
            </w:r>
          </w:p>
        </w:tc>
        <w:tc>
          <w:tcPr>
            <w:tcW w:w="3589" w:type="dxa"/>
            <w:tcBorders>
              <w:top w:val="single" w:sz="4" w:space="0" w:color="365F91"/>
              <w:bottom w:val="single" w:sz="4" w:space="0" w:color="365F91"/>
            </w:tcBorders>
            <w:noWrap/>
            <w:hideMark/>
          </w:tcPr>
          <w:p w14:paraId="04BC42B7" w14:textId="77777777" w:rsidR="00380BE7" w:rsidRPr="00256982" w:rsidRDefault="00380BE7" w:rsidP="00350060">
            <w:pPr>
              <w:pStyle w:val="TableText"/>
              <w:tabs>
                <w:tab w:val="decimal" w:pos="373"/>
              </w:tabs>
              <w:spacing w:before="50" w:after="50"/>
              <w:jc w:val="center"/>
              <w:rPr>
                <w:szCs w:val="16"/>
              </w:rPr>
            </w:pPr>
            <w:r w:rsidRPr="00256982">
              <w:rPr>
                <w:szCs w:val="16"/>
              </w:rPr>
              <w:t>±15.9</w:t>
            </w:r>
          </w:p>
        </w:tc>
      </w:tr>
      <w:tr w:rsidR="00380BE7" w:rsidRPr="00256982" w14:paraId="6E956D83" w14:textId="77777777" w:rsidTr="009574E7">
        <w:tc>
          <w:tcPr>
            <w:tcW w:w="4368" w:type="dxa"/>
            <w:tcBorders>
              <w:top w:val="single" w:sz="4" w:space="0" w:color="365F91"/>
              <w:bottom w:val="single" w:sz="4" w:space="0" w:color="365F91"/>
            </w:tcBorders>
            <w:noWrap/>
            <w:hideMark/>
          </w:tcPr>
          <w:p w14:paraId="613EAE49" w14:textId="77777777" w:rsidR="00380BE7" w:rsidRPr="00256982" w:rsidRDefault="00380BE7" w:rsidP="00350060">
            <w:pPr>
              <w:pStyle w:val="TableText"/>
              <w:spacing w:before="50" w:after="50"/>
            </w:pPr>
            <w:r w:rsidRPr="00256982">
              <w:t>Uncertainty in soil carbon stocks</w:t>
            </w:r>
          </w:p>
        </w:tc>
        <w:tc>
          <w:tcPr>
            <w:tcW w:w="3589" w:type="dxa"/>
            <w:tcBorders>
              <w:top w:val="single" w:sz="4" w:space="0" w:color="365F91"/>
              <w:bottom w:val="single" w:sz="4" w:space="0" w:color="365F91"/>
            </w:tcBorders>
            <w:noWrap/>
            <w:hideMark/>
          </w:tcPr>
          <w:p w14:paraId="3CB1083A" w14:textId="77777777" w:rsidR="00380BE7" w:rsidRPr="00256982" w:rsidRDefault="00380BE7" w:rsidP="00350060">
            <w:pPr>
              <w:pStyle w:val="TableText"/>
              <w:tabs>
                <w:tab w:val="decimal" w:pos="373"/>
              </w:tabs>
              <w:spacing w:before="50" w:after="50"/>
              <w:jc w:val="center"/>
              <w:rPr>
                <w:szCs w:val="16"/>
              </w:rPr>
            </w:pPr>
            <w:r w:rsidRPr="00256982">
              <w:rPr>
                <w:szCs w:val="16"/>
              </w:rPr>
              <w:t>±10.4</w:t>
            </w:r>
          </w:p>
        </w:tc>
      </w:tr>
      <w:tr w:rsidR="00380BE7" w:rsidRPr="00256982" w14:paraId="7578B35D" w14:textId="77777777" w:rsidTr="009574E7">
        <w:tc>
          <w:tcPr>
            <w:tcW w:w="4368" w:type="dxa"/>
            <w:tcBorders>
              <w:top w:val="single" w:sz="4" w:space="0" w:color="365F91"/>
              <w:bottom w:val="single" w:sz="4" w:space="0" w:color="365F91"/>
            </w:tcBorders>
            <w:noWrap/>
            <w:hideMark/>
          </w:tcPr>
          <w:p w14:paraId="75972FA0" w14:textId="77777777" w:rsidR="00380BE7" w:rsidRPr="00256982" w:rsidRDefault="00380BE7" w:rsidP="00350060">
            <w:pPr>
              <w:pStyle w:val="Tableboldblue"/>
              <w:spacing w:before="50" w:after="50"/>
            </w:pPr>
            <w:r w:rsidRPr="00256982">
              <w:t>Uncertainty introduced into net emissions for LULUCF</w:t>
            </w:r>
          </w:p>
        </w:tc>
        <w:tc>
          <w:tcPr>
            <w:tcW w:w="3589" w:type="dxa"/>
            <w:tcBorders>
              <w:top w:val="single" w:sz="4" w:space="0" w:color="365F91"/>
              <w:bottom w:val="single" w:sz="4" w:space="0" w:color="365F91"/>
            </w:tcBorders>
            <w:noWrap/>
            <w:hideMark/>
          </w:tcPr>
          <w:p w14:paraId="440B02D6" w14:textId="77777777" w:rsidR="00380BE7" w:rsidRPr="00256982" w:rsidRDefault="00380BE7" w:rsidP="00350060">
            <w:pPr>
              <w:pStyle w:val="Tableboldblue"/>
              <w:tabs>
                <w:tab w:val="decimal" w:pos="373"/>
              </w:tabs>
              <w:spacing w:before="50" w:after="50"/>
              <w:jc w:val="center"/>
            </w:pPr>
            <w:r w:rsidRPr="00256982">
              <w:t>±11.0</w:t>
            </w:r>
          </w:p>
        </w:tc>
      </w:tr>
    </w:tbl>
    <w:p w14:paraId="3285FF02" w14:textId="77777777" w:rsidR="00380BE7" w:rsidRPr="00256982" w:rsidRDefault="00380BE7" w:rsidP="00380BE7">
      <w:pPr>
        <w:pStyle w:val="Noteundertable"/>
      </w:pPr>
      <w:r w:rsidRPr="00256982">
        <w:rPr>
          <w:b/>
        </w:rPr>
        <w:t>Note:</w:t>
      </w:r>
      <w:r w:rsidRPr="00256982">
        <w:rPr>
          <w:i/>
        </w:rPr>
        <w:tab/>
      </w:r>
      <w:r w:rsidRPr="00256982">
        <w:t>Land area includes land in transition in 2017. The biomass carbon stocks value is the weighted value for post-1989 natural and post-1989 planted forests. The activity data and combined emission factor uncertainty are weighted values and have been calculated using equations 3.1 and 3.2 from IPCC General Guidance and Reporting (IPCC, 2006b).</w:t>
      </w:r>
    </w:p>
    <w:p w14:paraId="5994ABE5" w14:textId="77777777" w:rsidR="00380BE7" w:rsidRPr="00256982" w:rsidRDefault="00380BE7" w:rsidP="00380BE7">
      <w:pPr>
        <w:pStyle w:val="Heading3"/>
        <w:spacing w:before="240"/>
      </w:pPr>
      <w:bookmarkStart w:id="1536" w:name="_Toc255466360"/>
      <w:bookmarkStart w:id="1537" w:name="_Toc261513167"/>
      <w:bookmarkStart w:id="1538" w:name="_Toc261513780"/>
      <w:bookmarkStart w:id="1539" w:name="_Toc280630258"/>
      <w:bookmarkStart w:id="1540" w:name="_Toc373395714"/>
      <w:r w:rsidRPr="00256982">
        <w:lastRenderedPageBreak/>
        <w:t>6.4.4</w:t>
      </w:r>
      <w:r w:rsidRPr="00256982">
        <w:tab/>
        <w:t>Category-specific QA/QC and verification</w:t>
      </w:r>
      <w:bookmarkEnd w:id="1536"/>
      <w:bookmarkEnd w:id="1537"/>
      <w:bookmarkEnd w:id="1538"/>
      <w:bookmarkEnd w:id="1539"/>
      <w:bookmarkEnd w:id="1540"/>
    </w:p>
    <w:p w14:paraId="37934490" w14:textId="77777777" w:rsidR="00380BE7" w:rsidRPr="00256982" w:rsidRDefault="00380BE7" w:rsidP="00350060">
      <w:pPr>
        <w:pStyle w:val="BodyText"/>
        <w:spacing w:after="100"/>
      </w:pPr>
      <w:r w:rsidRPr="00256982">
        <w:t xml:space="preserve">Carbon dioxide emissions from both </w:t>
      </w:r>
      <w:r w:rsidRPr="00256982">
        <w:rPr>
          <w:i/>
        </w:rPr>
        <w:t>Forest land remaining forest land</w:t>
      </w:r>
      <w:r w:rsidRPr="00256982">
        <w:t xml:space="preserve"> and </w:t>
      </w:r>
      <w:r w:rsidRPr="00256982">
        <w:rPr>
          <w:i/>
        </w:rPr>
        <w:t xml:space="preserve">Land converted to forest land </w:t>
      </w:r>
      <w:r w:rsidRPr="00256982">
        <w:t>are key categories for both level and trend assessments. In the preparation of this inventory, the data for these emissions underwent Tier 1 quality-assurance and quality-control checks as well as Tier 2, category-specific quality-assurance and quality-control checks. Details of these checks are provided below.</w:t>
      </w:r>
    </w:p>
    <w:p w14:paraId="27BA1005" w14:textId="77777777" w:rsidR="00380BE7" w:rsidRPr="00256982" w:rsidRDefault="00380BE7" w:rsidP="00380BE7">
      <w:pPr>
        <w:pStyle w:val="Heading5"/>
      </w:pPr>
      <w:r w:rsidRPr="00256982">
        <w:t>Pre-1990 natural forest</w:t>
      </w:r>
    </w:p>
    <w:p w14:paraId="28056323" w14:textId="77777777" w:rsidR="00380BE7" w:rsidRPr="00256982" w:rsidRDefault="00380BE7" w:rsidP="00350060">
      <w:pPr>
        <w:pStyle w:val="BodyText"/>
        <w:spacing w:before="100" w:after="100"/>
      </w:pPr>
      <w:r w:rsidRPr="00256982">
        <w:t>Quality control and assurance are undertaken at the data collection, data entry and data analysis stages for natural forest.</w:t>
      </w:r>
    </w:p>
    <w:p w14:paraId="71B90EF4" w14:textId="77777777" w:rsidR="00380BE7" w:rsidRPr="00256982" w:rsidRDefault="00380BE7" w:rsidP="00350060">
      <w:pPr>
        <w:pStyle w:val="BodyText"/>
        <w:spacing w:before="100" w:after="100"/>
      </w:pPr>
      <w:r w:rsidRPr="00256982">
        <w:t>During the initial measurement of the natural forest plot network (2002–07), 5 per cent of plots measured in the first field season were subject to audit (Beets and Payton, unpublished). In all subsequent field seasons, data collection followed quality-assurance and quality-control processes, as described in Payton et al. (unpublished, 2004). This included on-site quality-control checks of field data and review by senior ecologists. Data were collected in the field and recorded by hand on paper field sheets. The electronic entry of all data has been subject to ongoing quality assurance and quality control, including line-by-line checking of the transcription of all data used in carbon calculations.</w:t>
      </w:r>
    </w:p>
    <w:p w14:paraId="637F8D4A" w14:textId="77777777" w:rsidR="00380BE7" w:rsidRPr="00256982" w:rsidRDefault="00380BE7" w:rsidP="00350060">
      <w:pPr>
        <w:pStyle w:val="BodyText"/>
        <w:spacing w:before="100" w:after="100"/>
      </w:pPr>
      <w:r w:rsidRPr="00256982">
        <w:t xml:space="preserve">During the re-measurement of the plot network from 2009–14, 10 per cent of plots measured were subject to independent audit. For the current re-measurement of the plot network, this has been reduced to 5 per cent of plots measured. This audit involves a partial re-measure of randomly selected plots, and the assessment of measurements against data quality standards as described in the data collection manual (Ministry for the Environment, unpublished). Data entry of all data is subject to quality assurance by the Ministry for the Environment for 10 per cent of plots. The data are also subject to further checking for measurement and data entry errors prior to analysis (Holdaway et al., unpublished). </w:t>
      </w:r>
    </w:p>
    <w:p w14:paraId="2F5C4A64" w14:textId="77777777" w:rsidR="00380BE7" w:rsidRPr="00256982" w:rsidRDefault="00380BE7" w:rsidP="00380BE7">
      <w:pPr>
        <w:pStyle w:val="Heading5"/>
      </w:pPr>
      <w:bookmarkStart w:id="1541" w:name="_Toc139253960"/>
      <w:r w:rsidRPr="00256982">
        <w:t>Pre-1990 planted forest and post-1989 planted forest</w:t>
      </w:r>
    </w:p>
    <w:p w14:paraId="029EB77F" w14:textId="77777777" w:rsidR="00380BE7" w:rsidRPr="00256982" w:rsidRDefault="00380BE7" w:rsidP="00380BE7">
      <w:pPr>
        <w:pStyle w:val="BodyText"/>
        <w:spacing w:after="100"/>
      </w:pPr>
      <w:r w:rsidRPr="00256982">
        <w:t>During the planted forest inventory, 7.5 per cent of plots are randomly audited without the prior knowledge of the inventory teams. Plots are fully and partially re-measured with feedback supplied no later than one month after measurement, to ensure prompt identification of data collection errors and procedural issues. Differences between the inventory and audit measurements are objectively and quantitatively scored. Measurements that exceed predefined tolerances incur incremental demerit points. Demerit severity depends on the size of error and the type of measurement. Special attention is given to the most influential measurements; for example, tree diameter, tree height and the number of trees in a plot. Plots that fail quality control have to be re</w:t>
      </w:r>
      <w:r w:rsidRPr="00256982">
        <w:noBreakHyphen/>
        <w:t xml:space="preserve">measured </w:t>
      </w:r>
      <w:r w:rsidRPr="00256982">
        <w:rPr>
          <w:spacing w:val="-2"/>
        </w:rPr>
        <w:t xml:space="preserve">(Beets et al., 2011a, 2012a). Following each inventory season, the data collection manual (Herries et al., unpublished) is revised to clarify procedures and highlight potential sources of error. </w:t>
      </w:r>
    </w:p>
    <w:p w14:paraId="1DF23C76" w14:textId="77777777" w:rsidR="00380BE7" w:rsidRPr="00256982" w:rsidRDefault="00380BE7" w:rsidP="00350060">
      <w:pPr>
        <w:pStyle w:val="BodyText"/>
        <w:spacing w:before="100" w:after="100"/>
      </w:pPr>
      <w:r w:rsidRPr="00256982">
        <w:t>The inventory data are pre-processed using Scion’s Permanent Sample Plot (PSP) system. The PSP system has been programmed to check for erroneous values over a wide range of attributes. The system automatically identifies fields that do not meet predetermined validation rules so these can be repaired manually before plot data are modelled by the Forest Carbon Predictor. The PSP data validation system and the Forest Carbon Predictor model were independently reviewed by Woollens (unpublished). The Forest Carbon Predictor has been recently validated in Beets et al. (2011b).</w:t>
      </w:r>
    </w:p>
    <w:p w14:paraId="71062C9F" w14:textId="77777777" w:rsidR="00380BE7" w:rsidRPr="00256982" w:rsidRDefault="00380BE7" w:rsidP="00350060">
      <w:pPr>
        <w:pStyle w:val="BodyText"/>
        <w:spacing w:before="100" w:after="100"/>
      </w:pPr>
      <w:r w:rsidRPr="00256982">
        <w:t xml:space="preserve">Quality-assurance and quality-control procedures for LiDAR data collected during the planted forest inventories involved the checking of data as they were acquired following the methodology outlined in Stephens et al. (2008). To ensure that the data were supplied within the </w:t>
      </w:r>
      <w:r w:rsidRPr="00256982">
        <w:lastRenderedPageBreak/>
        <w:t>predetermined specifications, the following activities were carried out: LiDAR sensor calibration and bore-sight alignment, checking of LiDAR point positional accuracy and point densities, correct point cloud classification and accuracy of digital terrain mapping. For example, the post-1989 forest inventory LiDAR acquisition included four individual sensor calibrations; six LiDAR point positional accuracy tests; and a summary of returns describing LiDAR specifications, which were provided for all data deliveries. Sites that failed to meet the required specifications were re-flown. These analyses were carried out using the LiDAR analysis software FUSION (McGaughey, 2010) and the Esri Arc Map GIS application. LiDAR metrics or parameters describing the forest from the canopy to the ground were extracted using FUSION. The process of extracting LiDAR metrics and the extracted metrics were audited by an organisation independent of the data capture and analysis (Stephens et al., 2008).</w:t>
      </w:r>
    </w:p>
    <w:p w14:paraId="14EAB19F" w14:textId="77777777" w:rsidR="00380BE7" w:rsidRPr="00256982" w:rsidRDefault="00380BE7" w:rsidP="00350060">
      <w:pPr>
        <w:pStyle w:val="BodyText"/>
        <w:spacing w:before="100" w:after="100"/>
      </w:pPr>
      <w:r w:rsidRPr="00256982">
        <w:t>The New Zealand estimates are 151.4 ± 21.5 tonnes C ha</w:t>
      </w:r>
      <w:r w:rsidRPr="00256982">
        <w:rPr>
          <w:vertAlign w:val="superscript"/>
        </w:rPr>
        <w:t>–1</w:t>
      </w:r>
      <w:r w:rsidRPr="00256982">
        <w:t xml:space="preserve"> for post-1989 planted forest as at 31 December 2017 (Paul et al., unpublished(b)) and 130.7 ± 11.4 tonnes C ha</w:t>
      </w:r>
      <w:r w:rsidRPr="00256982">
        <w:rPr>
          <w:vertAlign w:val="superscript"/>
        </w:rPr>
        <w:t>–1</w:t>
      </w:r>
      <w:r w:rsidRPr="00256982">
        <w:t xml:space="preserve"> for pre</w:t>
      </w:r>
      <w:r w:rsidRPr="00256982">
        <w:noBreakHyphen/>
        <w:t>1990 planted forest as at 31 December 2014 (Paul et al., unpublished(a)). These carbon stock estimates, while high, are consistent with the international comparisons provided in table 4.8 of the 2006 IPCC Guidelines (IPCC, 2006a) and reflect that this forest category is made up of fast-growing and actively managed production forestry.</w:t>
      </w:r>
    </w:p>
    <w:p w14:paraId="0AACDCEF" w14:textId="77777777" w:rsidR="00380BE7" w:rsidRPr="00256982" w:rsidRDefault="00380BE7" w:rsidP="00380BE7">
      <w:pPr>
        <w:pStyle w:val="Heading5"/>
      </w:pPr>
      <w:r w:rsidRPr="00256982">
        <w:t>Post-1989 natural forest</w:t>
      </w:r>
    </w:p>
    <w:p w14:paraId="24A46AD5" w14:textId="77777777" w:rsidR="00380BE7" w:rsidRPr="00256982" w:rsidRDefault="00380BE7" w:rsidP="00380BE7">
      <w:pPr>
        <w:pStyle w:val="BodyText"/>
      </w:pPr>
      <w:r w:rsidRPr="00256982">
        <w:t>As for pre-1990 natural forest, quality control and assurance were undertaken at the data collection, entry and analysis stages.</w:t>
      </w:r>
    </w:p>
    <w:p w14:paraId="52A33516" w14:textId="77777777" w:rsidR="00380BE7" w:rsidRPr="00256982" w:rsidRDefault="00380BE7" w:rsidP="00380BE7">
      <w:pPr>
        <w:pStyle w:val="BodyText"/>
      </w:pPr>
      <w:r w:rsidRPr="00256982">
        <w:t>During field data collection in 2012, 10 per cent of plots were subject to an independent field audit. The audit involved randomly selected sites being re-measured by an audit field team, and the assessment of differences between inventory and audit measurements against set data quality standards as set out in Ministry for the Environment (2012). Audit results are described in Beets and Holt (unpublished). Further checks for data entry and measurement were also undertaken prior to the data analysis stage, as described in Beets et al. (unpublished). The same process is being repeated for the re-measurement of the post-1989 natural forest plot network.</w:t>
      </w:r>
    </w:p>
    <w:p w14:paraId="5A386050" w14:textId="77777777" w:rsidR="00380BE7" w:rsidRPr="00256982" w:rsidRDefault="00380BE7" w:rsidP="00380BE7">
      <w:pPr>
        <w:pStyle w:val="Heading3"/>
        <w:spacing w:before="240"/>
      </w:pPr>
      <w:bookmarkStart w:id="1542" w:name="_Toc255466361"/>
      <w:bookmarkStart w:id="1543" w:name="_Toc261513168"/>
      <w:bookmarkStart w:id="1544" w:name="_Toc261513781"/>
      <w:bookmarkStart w:id="1545" w:name="_Toc280630259"/>
      <w:bookmarkStart w:id="1546" w:name="_Toc373395715"/>
      <w:r w:rsidRPr="00256982">
        <w:t>6.4.5</w:t>
      </w:r>
      <w:r w:rsidRPr="00256982">
        <w:tab/>
        <w:t>Category-specific recalculations</w:t>
      </w:r>
      <w:bookmarkEnd w:id="1542"/>
      <w:bookmarkEnd w:id="1543"/>
      <w:bookmarkEnd w:id="1544"/>
      <w:bookmarkEnd w:id="1545"/>
      <w:bookmarkEnd w:id="1546"/>
    </w:p>
    <w:bookmarkEnd w:id="1541"/>
    <w:p w14:paraId="3FD3B64D" w14:textId="77777777" w:rsidR="00380BE7" w:rsidRPr="00256982" w:rsidRDefault="00380BE7" w:rsidP="00380BE7">
      <w:pPr>
        <w:pStyle w:val="BodyText"/>
      </w:pPr>
      <w:r w:rsidRPr="00256982">
        <w:t xml:space="preserve">In this submission, New Zealand has recalculated its emission estimates for the whole LULUCF sector from 1990, including the </w:t>
      </w:r>
      <w:r w:rsidRPr="00256982">
        <w:rPr>
          <w:i/>
        </w:rPr>
        <w:t>Forest land</w:t>
      </w:r>
      <w:r w:rsidRPr="00256982">
        <w:t xml:space="preserve"> category. These recalculations have involved improved country-specific methods, activity data and emission factors. The impact of the recalculations on net CO</w:t>
      </w:r>
      <w:r w:rsidRPr="00256982">
        <w:rPr>
          <w:vertAlign w:val="subscript"/>
        </w:rPr>
        <w:t>2</w:t>
      </w:r>
      <w:r w:rsidRPr="00256982">
        <w:t xml:space="preserve">-e emission estimates for the </w:t>
      </w:r>
      <w:r w:rsidRPr="00256982">
        <w:rPr>
          <w:i/>
        </w:rPr>
        <w:t>Forest land</w:t>
      </w:r>
      <w:r w:rsidRPr="00256982">
        <w:t xml:space="preserve"> category is provided in table 6.4.10. The differences shown are a result of recalculations for all carbon pools used in reporting under the Convention and the Kyoto Protocol for the whole time series for the LULUCF sector. </w:t>
      </w:r>
    </w:p>
    <w:p w14:paraId="38058EA0" w14:textId="77777777" w:rsidR="00380BE7" w:rsidRPr="00256982" w:rsidRDefault="00380BE7" w:rsidP="00380BE7">
      <w:pPr>
        <w:pStyle w:val="Table"/>
      </w:pPr>
      <w:bookmarkStart w:id="1547" w:name="_Toc280630460"/>
      <w:bookmarkStart w:id="1548" w:name="_Toc310423413"/>
      <w:bookmarkStart w:id="1549" w:name="_Toc318362706"/>
      <w:bookmarkStart w:id="1550" w:name="_Toc342470768"/>
      <w:bookmarkStart w:id="1551" w:name="_Toc352505008"/>
      <w:bookmarkStart w:id="1552" w:name="_Toc373395733"/>
      <w:bookmarkStart w:id="1553" w:name="_Toc378853299"/>
      <w:bookmarkStart w:id="1554" w:name="_Toc391024097"/>
      <w:bookmarkStart w:id="1555" w:name="_Toc410028840"/>
      <w:bookmarkStart w:id="1556" w:name="_Toc414531468"/>
      <w:bookmarkStart w:id="1557" w:name="_Toc443645381"/>
      <w:bookmarkStart w:id="1558" w:name="_Toc474914600"/>
      <w:bookmarkStart w:id="1559" w:name="_Toc481751564"/>
      <w:bookmarkStart w:id="1560" w:name="_Toc522010621"/>
      <w:bookmarkStart w:id="1561" w:name="_Toc5269526"/>
      <w:r w:rsidRPr="00256982">
        <w:t xml:space="preserve">Table 6.4.10 </w:t>
      </w:r>
      <w:r w:rsidRPr="00256982">
        <w:tab/>
        <w:t>Recalculations of New Zealand’s estimates for the Forest land category in 1990 and</w:t>
      </w:r>
      <w:bookmarkEnd w:id="1547"/>
      <w:bookmarkEnd w:id="1548"/>
      <w:bookmarkEnd w:id="1549"/>
      <w:bookmarkEnd w:id="1550"/>
      <w:bookmarkEnd w:id="1551"/>
      <w:bookmarkEnd w:id="1552"/>
      <w:bookmarkEnd w:id="1553"/>
      <w:bookmarkEnd w:id="1554"/>
      <w:r w:rsidRPr="00256982">
        <w:t> 201</w:t>
      </w:r>
      <w:bookmarkEnd w:id="1555"/>
      <w:bookmarkEnd w:id="1556"/>
      <w:bookmarkEnd w:id="1557"/>
      <w:r w:rsidRPr="00256982">
        <w:t>6</w:t>
      </w:r>
      <w:bookmarkEnd w:id="1558"/>
      <w:bookmarkEnd w:id="1559"/>
      <w:bookmarkEnd w:id="1560"/>
      <w:bookmarkEnd w:id="1561"/>
    </w:p>
    <w:tbl>
      <w:tblPr>
        <w:tblW w:w="8505" w:type="dxa"/>
        <w:tblInd w:w="108" w:type="dxa"/>
        <w:tblLayout w:type="fixed"/>
        <w:tblLook w:val="04A0" w:firstRow="1" w:lastRow="0" w:firstColumn="1" w:lastColumn="0" w:noHBand="0" w:noVBand="1"/>
      </w:tblPr>
      <w:tblGrid>
        <w:gridCol w:w="1503"/>
        <w:gridCol w:w="1637"/>
        <w:gridCol w:w="1637"/>
        <w:gridCol w:w="2027"/>
        <w:gridCol w:w="1701"/>
      </w:tblGrid>
      <w:tr w:rsidR="00380BE7" w:rsidRPr="00256982" w14:paraId="2D7B7371" w14:textId="77777777" w:rsidTr="009574E7">
        <w:trPr>
          <w:tblHeader/>
        </w:trPr>
        <w:tc>
          <w:tcPr>
            <w:tcW w:w="1503" w:type="dxa"/>
            <w:tcBorders>
              <w:top w:val="single" w:sz="4" w:space="0" w:color="365F91"/>
              <w:bottom w:val="single" w:sz="4" w:space="0" w:color="365F91"/>
            </w:tcBorders>
            <w:shd w:val="clear" w:color="auto" w:fill="365F91"/>
            <w:vAlign w:val="bottom"/>
          </w:tcPr>
          <w:p w14:paraId="483D641F" w14:textId="77777777" w:rsidR="00380BE7" w:rsidRPr="00256982" w:rsidRDefault="00380BE7" w:rsidP="009574E7">
            <w:pPr>
              <w:pStyle w:val="TableTextBold"/>
              <w:keepNext/>
              <w:rPr>
                <w:noProof w:val="0"/>
                <w:color w:val="FFFFFF"/>
              </w:rPr>
            </w:pPr>
            <w:r w:rsidRPr="00256982">
              <w:rPr>
                <w:noProof w:val="0"/>
                <w:color w:val="FFFFFF"/>
              </w:rPr>
              <w:t>Net emissions (kt CO</w:t>
            </w:r>
            <w:r w:rsidRPr="00256982">
              <w:rPr>
                <w:noProof w:val="0"/>
                <w:color w:val="FFFFFF"/>
                <w:vertAlign w:val="subscript"/>
              </w:rPr>
              <w:t>2</w:t>
            </w:r>
            <w:r w:rsidRPr="00256982">
              <w:rPr>
                <w:noProof w:val="0"/>
                <w:color w:val="FFFFFF"/>
              </w:rPr>
              <w:t>-e)</w:t>
            </w:r>
          </w:p>
        </w:tc>
        <w:tc>
          <w:tcPr>
            <w:tcW w:w="3274" w:type="dxa"/>
            <w:gridSpan w:val="2"/>
            <w:tcBorders>
              <w:top w:val="single" w:sz="4" w:space="0" w:color="365F91"/>
              <w:bottom w:val="single" w:sz="4" w:space="0" w:color="365F91"/>
            </w:tcBorders>
            <w:shd w:val="clear" w:color="auto" w:fill="365F91"/>
            <w:vAlign w:val="bottom"/>
          </w:tcPr>
          <w:p w14:paraId="7636C47D" w14:textId="77777777" w:rsidR="00380BE7" w:rsidRPr="00256982" w:rsidRDefault="00380BE7" w:rsidP="009574E7">
            <w:pPr>
              <w:pStyle w:val="TableTextBold"/>
              <w:keepNext/>
              <w:spacing w:after="0"/>
              <w:jc w:val="center"/>
              <w:rPr>
                <w:noProof w:val="0"/>
                <w:color w:val="FFFFFF"/>
              </w:rPr>
            </w:pPr>
          </w:p>
        </w:tc>
        <w:tc>
          <w:tcPr>
            <w:tcW w:w="2027" w:type="dxa"/>
            <w:vMerge w:val="restart"/>
            <w:tcBorders>
              <w:top w:val="single" w:sz="4" w:space="0" w:color="365F91"/>
            </w:tcBorders>
            <w:shd w:val="clear" w:color="auto" w:fill="365F91"/>
            <w:vAlign w:val="bottom"/>
          </w:tcPr>
          <w:p w14:paraId="2E1CD756" w14:textId="77777777" w:rsidR="00380BE7" w:rsidRPr="00256982" w:rsidRDefault="00380BE7" w:rsidP="009574E7">
            <w:pPr>
              <w:pStyle w:val="TableTextBold"/>
              <w:keepNext/>
              <w:jc w:val="center"/>
              <w:rPr>
                <w:noProof w:val="0"/>
                <w:color w:val="FFFFFF"/>
              </w:rPr>
            </w:pPr>
            <w:r w:rsidRPr="00256982">
              <w:rPr>
                <w:noProof w:val="0"/>
                <w:color w:val="FFFFFF"/>
              </w:rPr>
              <w:t>Change from the 2018 submission (kt CO</w:t>
            </w:r>
            <w:r w:rsidRPr="00256982">
              <w:rPr>
                <w:noProof w:val="0"/>
                <w:color w:val="FFFFFF"/>
                <w:vertAlign w:val="subscript"/>
              </w:rPr>
              <w:t>2</w:t>
            </w:r>
            <w:r w:rsidRPr="00256982">
              <w:rPr>
                <w:noProof w:val="0"/>
                <w:color w:val="FFFFFF"/>
              </w:rPr>
              <w:t>-e)</w:t>
            </w:r>
          </w:p>
        </w:tc>
        <w:tc>
          <w:tcPr>
            <w:tcW w:w="1701" w:type="dxa"/>
            <w:tcBorders>
              <w:top w:val="single" w:sz="4" w:space="0" w:color="365F91"/>
              <w:bottom w:val="single" w:sz="4" w:space="0" w:color="365F91"/>
            </w:tcBorders>
            <w:shd w:val="clear" w:color="auto" w:fill="365F91"/>
            <w:vAlign w:val="bottom"/>
          </w:tcPr>
          <w:p w14:paraId="237DD5B0" w14:textId="77777777" w:rsidR="00380BE7" w:rsidRPr="00256982" w:rsidRDefault="00380BE7" w:rsidP="009574E7">
            <w:pPr>
              <w:pStyle w:val="TableTextBold"/>
              <w:keepNext/>
              <w:rPr>
                <w:noProof w:val="0"/>
                <w:color w:val="FFFFFF"/>
              </w:rPr>
            </w:pPr>
          </w:p>
        </w:tc>
      </w:tr>
      <w:tr w:rsidR="00380BE7" w:rsidRPr="00256982" w14:paraId="1E818455" w14:textId="77777777" w:rsidTr="009574E7">
        <w:trPr>
          <w:tblHeader/>
        </w:trPr>
        <w:tc>
          <w:tcPr>
            <w:tcW w:w="1503" w:type="dxa"/>
            <w:tcBorders>
              <w:top w:val="single" w:sz="4" w:space="0" w:color="365F91"/>
              <w:bottom w:val="single" w:sz="4" w:space="0" w:color="365F91"/>
            </w:tcBorders>
            <w:shd w:val="clear" w:color="auto" w:fill="365F91"/>
          </w:tcPr>
          <w:p w14:paraId="740879DC" w14:textId="77777777" w:rsidR="00380BE7" w:rsidRPr="00256982" w:rsidRDefault="00380BE7" w:rsidP="009574E7">
            <w:pPr>
              <w:pStyle w:val="TableTextBold"/>
              <w:keepNext/>
              <w:rPr>
                <w:noProof w:val="0"/>
                <w:color w:val="FFFFFF"/>
              </w:rPr>
            </w:pPr>
          </w:p>
        </w:tc>
        <w:tc>
          <w:tcPr>
            <w:tcW w:w="1637" w:type="dxa"/>
            <w:tcBorders>
              <w:top w:val="single" w:sz="4" w:space="0" w:color="365F91"/>
              <w:bottom w:val="single" w:sz="4" w:space="0" w:color="365F91"/>
            </w:tcBorders>
            <w:shd w:val="clear" w:color="auto" w:fill="365F91"/>
            <w:vAlign w:val="bottom"/>
          </w:tcPr>
          <w:p w14:paraId="0437D587" w14:textId="77777777" w:rsidR="00380BE7" w:rsidRPr="00256982" w:rsidRDefault="00380BE7" w:rsidP="009574E7">
            <w:pPr>
              <w:pStyle w:val="TableTextBold"/>
              <w:keepNext/>
              <w:jc w:val="center"/>
              <w:rPr>
                <w:noProof w:val="0"/>
                <w:color w:val="FFFFFF"/>
              </w:rPr>
            </w:pPr>
            <w:r w:rsidRPr="00256982">
              <w:rPr>
                <w:noProof w:val="0"/>
                <w:color w:val="FFFFFF"/>
              </w:rPr>
              <w:t>2018 submission</w:t>
            </w:r>
          </w:p>
        </w:tc>
        <w:tc>
          <w:tcPr>
            <w:tcW w:w="1637" w:type="dxa"/>
            <w:tcBorders>
              <w:top w:val="single" w:sz="4" w:space="0" w:color="365F91"/>
              <w:bottom w:val="single" w:sz="4" w:space="0" w:color="365F91"/>
            </w:tcBorders>
            <w:shd w:val="clear" w:color="auto" w:fill="365F91"/>
            <w:vAlign w:val="bottom"/>
          </w:tcPr>
          <w:p w14:paraId="6D073F08" w14:textId="77777777" w:rsidR="00380BE7" w:rsidRPr="00256982" w:rsidRDefault="00380BE7" w:rsidP="009574E7">
            <w:pPr>
              <w:pStyle w:val="TableTextBold"/>
              <w:keepNext/>
              <w:jc w:val="center"/>
              <w:rPr>
                <w:noProof w:val="0"/>
                <w:color w:val="FFFFFF"/>
              </w:rPr>
            </w:pPr>
            <w:r w:rsidRPr="00256982">
              <w:rPr>
                <w:noProof w:val="0"/>
                <w:color w:val="FFFFFF"/>
              </w:rPr>
              <w:t>2019 submission</w:t>
            </w:r>
          </w:p>
        </w:tc>
        <w:tc>
          <w:tcPr>
            <w:tcW w:w="2027" w:type="dxa"/>
            <w:vMerge/>
            <w:tcBorders>
              <w:bottom w:val="single" w:sz="4" w:space="0" w:color="365F91"/>
            </w:tcBorders>
            <w:shd w:val="clear" w:color="auto" w:fill="365F91"/>
            <w:vAlign w:val="bottom"/>
          </w:tcPr>
          <w:p w14:paraId="4A0A0F71" w14:textId="77777777" w:rsidR="00380BE7" w:rsidRPr="00256982" w:rsidRDefault="00380BE7" w:rsidP="009574E7">
            <w:pPr>
              <w:pStyle w:val="TableTextBold"/>
              <w:keepNext/>
              <w:jc w:val="center"/>
              <w:rPr>
                <w:noProof w:val="0"/>
                <w:color w:val="FFFFFF"/>
              </w:rPr>
            </w:pPr>
          </w:p>
        </w:tc>
        <w:tc>
          <w:tcPr>
            <w:tcW w:w="1701" w:type="dxa"/>
            <w:tcBorders>
              <w:top w:val="single" w:sz="4" w:space="0" w:color="365F91"/>
              <w:bottom w:val="single" w:sz="4" w:space="0" w:color="365F91"/>
            </w:tcBorders>
            <w:shd w:val="clear" w:color="auto" w:fill="365F91"/>
            <w:vAlign w:val="bottom"/>
          </w:tcPr>
          <w:p w14:paraId="7EFF2D80" w14:textId="77777777" w:rsidR="00380BE7" w:rsidRPr="00256982" w:rsidRDefault="00380BE7" w:rsidP="009574E7">
            <w:pPr>
              <w:pStyle w:val="TableTextBold"/>
              <w:keepNext/>
              <w:jc w:val="center"/>
              <w:rPr>
                <w:noProof w:val="0"/>
                <w:color w:val="FFFFFF"/>
              </w:rPr>
            </w:pPr>
            <w:r w:rsidRPr="00256982">
              <w:rPr>
                <w:noProof w:val="0"/>
                <w:color w:val="FFFFFF"/>
              </w:rPr>
              <w:t>% change</w:t>
            </w:r>
          </w:p>
        </w:tc>
      </w:tr>
      <w:tr w:rsidR="00380BE7" w:rsidRPr="00256982" w14:paraId="436647B0" w14:textId="77777777" w:rsidTr="009574E7">
        <w:tc>
          <w:tcPr>
            <w:tcW w:w="1503" w:type="dxa"/>
            <w:tcBorders>
              <w:top w:val="single" w:sz="4" w:space="0" w:color="365F91"/>
              <w:bottom w:val="single" w:sz="4" w:space="0" w:color="365F91"/>
            </w:tcBorders>
          </w:tcPr>
          <w:p w14:paraId="69BE7C08" w14:textId="77777777" w:rsidR="00380BE7" w:rsidRPr="00256982" w:rsidRDefault="00380BE7" w:rsidP="009574E7">
            <w:pPr>
              <w:pStyle w:val="TableText"/>
              <w:keepNext/>
            </w:pPr>
            <w:r w:rsidRPr="00256982">
              <w:t xml:space="preserve">1990 </w:t>
            </w:r>
          </w:p>
        </w:tc>
        <w:tc>
          <w:tcPr>
            <w:tcW w:w="1637" w:type="dxa"/>
            <w:tcBorders>
              <w:top w:val="single" w:sz="4" w:space="0" w:color="365F91"/>
              <w:bottom w:val="single" w:sz="4" w:space="0" w:color="365F91"/>
            </w:tcBorders>
            <w:vAlign w:val="bottom"/>
          </w:tcPr>
          <w:p w14:paraId="4BA91FDD" w14:textId="77777777" w:rsidR="00380BE7" w:rsidRPr="00256982" w:rsidRDefault="00380BE7" w:rsidP="009574E7">
            <w:pPr>
              <w:pStyle w:val="TableText"/>
              <w:keepNext/>
              <w:jc w:val="center"/>
            </w:pPr>
            <w:r w:rsidRPr="00256982">
              <w:t>–</w:t>
            </w:r>
            <w:r w:rsidRPr="00256982">
              <w:rPr>
                <w:rFonts w:cs="Arial"/>
                <w:color w:val="000000"/>
                <w:szCs w:val="16"/>
              </w:rPr>
              <w:t>28,909.3</w:t>
            </w:r>
          </w:p>
        </w:tc>
        <w:tc>
          <w:tcPr>
            <w:tcW w:w="1637" w:type="dxa"/>
            <w:tcBorders>
              <w:top w:val="single" w:sz="4" w:space="0" w:color="365F91"/>
              <w:bottom w:val="single" w:sz="4" w:space="0" w:color="365F91"/>
            </w:tcBorders>
            <w:vAlign w:val="bottom"/>
          </w:tcPr>
          <w:p w14:paraId="32383CC6" w14:textId="77777777" w:rsidR="00380BE7" w:rsidRPr="00256982" w:rsidRDefault="00380BE7" w:rsidP="009574E7">
            <w:pPr>
              <w:pStyle w:val="TableText"/>
              <w:keepNext/>
              <w:jc w:val="center"/>
            </w:pPr>
            <w:r w:rsidRPr="00256982">
              <w:t>–</w:t>
            </w:r>
            <w:r w:rsidRPr="00256982">
              <w:rPr>
                <w:rFonts w:cs="Arial"/>
                <w:color w:val="000000"/>
                <w:szCs w:val="16"/>
              </w:rPr>
              <w:t>29,891.0</w:t>
            </w:r>
          </w:p>
        </w:tc>
        <w:tc>
          <w:tcPr>
            <w:tcW w:w="2027" w:type="dxa"/>
            <w:tcBorders>
              <w:top w:val="single" w:sz="4" w:space="0" w:color="365F91"/>
              <w:bottom w:val="single" w:sz="4" w:space="0" w:color="365F91"/>
            </w:tcBorders>
            <w:vAlign w:val="bottom"/>
          </w:tcPr>
          <w:p w14:paraId="32804974" w14:textId="77777777" w:rsidR="00380BE7" w:rsidRPr="00256982" w:rsidRDefault="00380BE7" w:rsidP="009574E7">
            <w:pPr>
              <w:pStyle w:val="TableText"/>
              <w:keepNext/>
              <w:tabs>
                <w:tab w:val="decimal" w:pos="556"/>
              </w:tabs>
              <w:jc w:val="center"/>
            </w:pPr>
            <w:r w:rsidRPr="00256982">
              <w:t>–</w:t>
            </w:r>
            <w:r w:rsidRPr="00256982">
              <w:rPr>
                <w:rFonts w:cs="Arial"/>
                <w:color w:val="000000"/>
                <w:szCs w:val="16"/>
              </w:rPr>
              <w:t>981.7</w:t>
            </w:r>
          </w:p>
        </w:tc>
        <w:tc>
          <w:tcPr>
            <w:tcW w:w="1701" w:type="dxa"/>
            <w:tcBorders>
              <w:top w:val="single" w:sz="4" w:space="0" w:color="365F91"/>
              <w:bottom w:val="single" w:sz="4" w:space="0" w:color="365F91"/>
            </w:tcBorders>
            <w:vAlign w:val="center"/>
          </w:tcPr>
          <w:p w14:paraId="7E8EB297" w14:textId="77777777" w:rsidR="00380BE7" w:rsidRPr="00256982" w:rsidRDefault="00380BE7" w:rsidP="009574E7">
            <w:pPr>
              <w:pStyle w:val="TableText"/>
              <w:keepNext/>
              <w:tabs>
                <w:tab w:val="decimal" w:pos="556"/>
              </w:tabs>
              <w:jc w:val="center"/>
            </w:pPr>
            <w:r w:rsidRPr="00256982">
              <w:t>–</w:t>
            </w:r>
            <w:r w:rsidRPr="00256982">
              <w:rPr>
                <w:rFonts w:cs="Arial"/>
                <w:color w:val="000000"/>
                <w:szCs w:val="16"/>
              </w:rPr>
              <w:t>3.4</w:t>
            </w:r>
          </w:p>
        </w:tc>
      </w:tr>
      <w:tr w:rsidR="00380BE7" w:rsidRPr="00256982" w14:paraId="3EBE4BA6" w14:textId="77777777" w:rsidTr="009574E7">
        <w:tc>
          <w:tcPr>
            <w:tcW w:w="1503" w:type="dxa"/>
            <w:tcBorders>
              <w:top w:val="single" w:sz="4" w:space="0" w:color="365F91"/>
              <w:bottom w:val="single" w:sz="4" w:space="0" w:color="365F91"/>
            </w:tcBorders>
          </w:tcPr>
          <w:p w14:paraId="45D8F617" w14:textId="77777777" w:rsidR="00380BE7" w:rsidRPr="00256982" w:rsidRDefault="00380BE7" w:rsidP="009574E7">
            <w:pPr>
              <w:pStyle w:val="TableText"/>
              <w:keepNext/>
            </w:pPr>
            <w:r w:rsidRPr="00256982">
              <w:t>2016</w:t>
            </w:r>
          </w:p>
        </w:tc>
        <w:tc>
          <w:tcPr>
            <w:tcW w:w="1637" w:type="dxa"/>
            <w:tcBorders>
              <w:top w:val="single" w:sz="4" w:space="0" w:color="365F91"/>
              <w:bottom w:val="single" w:sz="4" w:space="0" w:color="365F91"/>
            </w:tcBorders>
            <w:vAlign w:val="bottom"/>
          </w:tcPr>
          <w:p w14:paraId="2F65B150" w14:textId="77777777" w:rsidR="00380BE7" w:rsidRPr="00256982" w:rsidRDefault="00380BE7" w:rsidP="009574E7">
            <w:pPr>
              <w:pStyle w:val="TableText"/>
              <w:keepNext/>
              <w:jc w:val="center"/>
            </w:pPr>
            <w:r w:rsidRPr="00256982">
              <w:t>–</w:t>
            </w:r>
            <w:r w:rsidRPr="00256982">
              <w:rPr>
                <w:rFonts w:cs="Arial"/>
                <w:color w:val="000000"/>
                <w:szCs w:val="16"/>
              </w:rPr>
              <w:t xml:space="preserve">21,845.9 </w:t>
            </w:r>
          </w:p>
        </w:tc>
        <w:tc>
          <w:tcPr>
            <w:tcW w:w="1637" w:type="dxa"/>
            <w:tcBorders>
              <w:top w:val="single" w:sz="4" w:space="0" w:color="365F91"/>
              <w:bottom w:val="single" w:sz="4" w:space="0" w:color="365F91"/>
            </w:tcBorders>
            <w:vAlign w:val="bottom"/>
          </w:tcPr>
          <w:p w14:paraId="6B50258C" w14:textId="77777777" w:rsidR="00380BE7" w:rsidRPr="00256982" w:rsidRDefault="00380BE7" w:rsidP="009574E7">
            <w:pPr>
              <w:pStyle w:val="TableText"/>
              <w:keepNext/>
              <w:jc w:val="center"/>
            </w:pPr>
            <w:r w:rsidRPr="00256982">
              <w:t>–</w:t>
            </w:r>
            <w:r w:rsidRPr="00256982">
              <w:rPr>
                <w:rFonts w:cs="Arial"/>
                <w:color w:val="000000"/>
                <w:szCs w:val="16"/>
              </w:rPr>
              <w:t>22,859.1</w:t>
            </w:r>
          </w:p>
        </w:tc>
        <w:tc>
          <w:tcPr>
            <w:tcW w:w="2027" w:type="dxa"/>
            <w:tcBorders>
              <w:top w:val="single" w:sz="4" w:space="0" w:color="365F91"/>
              <w:bottom w:val="single" w:sz="4" w:space="0" w:color="365F91"/>
            </w:tcBorders>
            <w:vAlign w:val="bottom"/>
          </w:tcPr>
          <w:p w14:paraId="7CBD63BE" w14:textId="77777777" w:rsidR="00380BE7" w:rsidRPr="00256982" w:rsidRDefault="00380BE7" w:rsidP="009574E7">
            <w:pPr>
              <w:pStyle w:val="TableText"/>
              <w:keepNext/>
              <w:tabs>
                <w:tab w:val="decimal" w:pos="556"/>
              </w:tabs>
              <w:jc w:val="center"/>
            </w:pPr>
            <w:r w:rsidRPr="00256982">
              <w:t>–</w:t>
            </w:r>
            <w:r w:rsidRPr="00256982">
              <w:rPr>
                <w:rFonts w:cs="Arial"/>
                <w:color w:val="000000"/>
                <w:szCs w:val="16"/>
              </w:rPr>
              <w:t>1,013.2</w:t>
            </w:r>
          </w:p>
        </w:tc>
        <w:tc>
          <w:tcPr>
            <w:tcW w:w="1701" w:type="dxa"/>
            <w:tcBorders>
              <w:top w:val="single" w:sz="4" w:space="0" w:color="365F91"/>
              <w:bottom w:val="single" w:sz="4" w:space="0" w:color="365F91"/>
            </w:tcBorders>
            <w:vAlign w:val="center"/>
          </w:tcPr>
          <w:p w14:paraId="08A861D8" w14:textId="77777777" w:rsidR="00380BE7" w:rsidRPr="00256982" w:rsidRDefault="00380BE7" w:rsidP="009574E7">
            <w:pPr>
              <w:pStyle w:val="TableText"/>
              <w:keepNext/>
              <w:tabs>
                <w:tab w:val="decimal" w:pos="556"/>
              </w:tabs>
              <w:jc w:val="center"/>
            </w:pPr>
            <w:r w:rsidRPr="00256982">
              <w:t>–</w:t>
            </w:r>
            <w:r w:rsidRPr="00256982">
              <w:rPr>
                <w:rFonts w:cs="Arial"/>
                <w:color w:val="000000"/>
                <w:szCs w:val="16"/>
              </w:rPr>
              <w:t>4.6</w:t>
            </w:r>
          </w:p>
        </w:tc>
      </w:tr>
      <w:tr w:rsidR="00380BE7" w:rsidRPr="00256982" w14:paraId="5E6D4329" w14:textId="77777777" w:rsidTr="009574E7">
        <w:tc>
          <w:tcPr>
            <w:tcW w:w="1503" w:type="dxa"/>
            <w:tcBorders>
              <w:top w:val="single" w:sz="4" w:space="0" w:color="365F91"/>
              <w:bottom w:val="single" w:sz="4" w:space="0" w:color="365F91"/>
            </w:tcBorders>
            <w:shd w:val="clear" w:color="auto" w:fill="FFFFFF"/>
            <w:vAlign w:val="bottom"/>
          </w:tcPr>
          <w:p w14:paraId="2568F147" w14:textId="77777777" w:rsidR="00380BE7" w:rsidRPr="00256982" w:rsidRDefault="00380BE7" w:rsidP="009574E7">
            <w:pPr>
              <w:pStyle w:val="Tableboldblue"/>
              <w:keepNext/>
            </w:pPr>
            <w:r w:rsidRPr="00256982">
              <w:t>Area (hectares)</w:t>
            </w:r>
          </w:p>
        </w:tc>
        <w:tc>
          <w:tcPr>
            <w:tcW w:w="3274" w:type="dxa"/>
            <w:gridSpan w:val="2"/>
            <w:tcBorders>
              <w:top w:val="single" w:sz="4" w:space="0" w:color="365F91"/>
              <w:bottom w:val="single" w:sz="4" w:space="0" w:color="365F91"/>
            </w:tcBorders>
            <w:shd w:val="clear" w:color="auto" w:fill="auto"/>
            <w:vAlign w:val="bottom"/>
          </w:tcPr>
          <w:p w14:paraId="45FCFFB1" w14:textId="77777777" w:rsidR="00380BE7" w:rsidRPr="00256982" w:rsidRDefault="00380BE7" w:rsidP="009574E7">
            <w:pPr>
              <w:pStyle w:val="TableText"/>
              <w:keepNext/>
              <w:rPr>
                <w:b/>
              </w:rPr>
            </w:pPr>
          </w:p>
        </w:tc>
        <w:tc>
          <w:tcPr>
            <w:tcW w:w="2027" w:type="dxa"/>
            <w:tcBorders>
              <w:top w:val="single" w:sz="4" w:space="0" w:color="365F91"/>
              <w:bottom w:val="single" w:sz="4" w:space="0" w:color="365F91"/>
            </w:tcBorders>
            <w:shd w:val="clear" w:color="auto" w:fill="auto"/>
            <w:vAlign w:val="bottom"/>
          </w:tcPr>
          <w:p w14:paraId="15EA0D68" w14:textId="77777777" w:rsidR="00380BE7" w:rsidRPr="00256982" w:rsidRDefault="00380BE7" w:rsidP="009574E7">
            <w:pPr>
              <w:pStyle w:val="TableText"/>
              <w:keepNext/>
              <w:tabs>
                <w:tab w:val="decimal" w:pos="556"/>
              </w:tabs>
              <w:jc w:val="center"/>
            </w:pPr>
          </w:p>
        </w:tc>
        <w:tc>
          <w:tcPr>
            <w:tcW w:w="1701" w:type="dxa"/>
            <w:tcBorders>
              <w:top w:val="single" w:sz="4" w:space="0" w:color="365F91"/>
              <w:bottom w:val="single" w:sz="4" w:space="0" w:color="365F91"/>
            </w:tcBorders>
            <w:shd w:val="clear" w:color="auto" w:fill="auto"/>
            <w:vAlign w:val="bottom"/>
          </w:tcPr>
          <w:p w14:paraId="4F111C08" w14:textId="77777777" w:rsidR="00380BE7" w:rsidRPr="00256982" w:rsidRDefault="00380BE7" w:rsidP="009574E7">
            <w:pPr>
              <w:pStyle w:val="TableText"/>
              <w:keepNext/>
              <w:tabs>
                <w:tab w:val="decimal" w:pos="556"/>
              </w:tabs>
              <w:jc w:val="center"/>
            </w:pPr>
          </w:p>
        </w:tc>
      </w:tr>
      <w:tr w:rsidR="00380BE7" w:rsidRPr="00256982" w14:paraId="2618185F" w14:textId="77777777" w:rsidTr="009574E7">
        <w:tc>
          <w:tcPr>
            <w:tcW w:w="1503" w:type="dxa"/>
            <w:tcBorders>
              <w:top w:val="single" w:sz="4" w:space="0" w:color="365F91"/>
              <w:bottom w:val="single" w:sz="4" w:space="0" w:color="365F91"/>
            </w:tcBorders>
          </w:tcPr>
          <w:p w14:paraId="20B65716" w14:textId="77777777" w:rsidR="00380BE7" w:rsidRPr="00256982" w:rsidRDefault="00380BE7" w:rsidP="009574E7">
            <w:pPr>
              <w:pStyle w:val="TableText"/>
              <w:keepNext/>
            </w:pPr>
            <w:r w:rsidRPr="00256982">
              <w:t xml:space="preserve">1990 </w:t>
            </w:r>
          </w:p>
        </w:tc>
        <w:tc>
          <w:tcPr>
            <w:tcW w:w="1637" w:type="dxa"/>
            <w:tcBorders>
              <w:top w:val="single" w:sz="4" w:space="0" w:color="365F91"/>
              <w:bottom w:val="single" w:sz="4" w:space="0" w:color="365F91"/>
            </w:tcBorders>
            <w:vAlign w:val="bottom"/>
          </w:tcPr>
          <w:p w14:paraId="0E379CA5" w14:textId="77777777" w:rsidR="00380BE7" w:rsidRPr="00256982" w:rsidRDefault="00380BE7" w:rsidP="009574E7">
            <w:pPr>
              <w:pStyle w:val="TableText"/>
              <w:keepNext/>
              <w:jc w:val="center"/>
            </w:pPr>
            <w:r w:rsidRPr="00256982">
              <w:rPr>
                <w:rFonts w:cs="Arial"/>
                <w:color w:val="000000"/>
                <w:szCs w:val="16"/>
              </w:rPr>
              <w:t xml:space="preserve">9,426,196 </w:t>
            </w:r>
          </w:p>
        </w:tc>
        <w:tc>
          <w:tcPr>
            <w:tcW w:w="1637" w:type="dxa"/>
            <w:tcBorders>
              <w:top w:val="single" w:sz="4" w:space="0" w:color="365F91"/>
              <w:bottom w:val="single" w:sz="4" w:space="0" w:color="365F91"/>
            </w:tcBorders>
            <w:vAlign w:val="bottom"/>
          </w:tcPr>
          <w:p w14:paraId="06811B85" w14:textId="77777777" w:rsidR="00380BE7" w:rsidRPr="00256982" w:rsidRDefault="00380BE7" w:rsidP="009574E7">
            <w:pPr>
              <w:pStyle w:val="TableText"/>
              <w:keepNext/>
              <w:jc w:val="center"/>
            </w:pPr>
            <w:r w:rsidRPr="00256982">
              <w:rPr>
                <w:rFonts w:cs="Arial"/>
                <w:color w:val="000000"/>
                <w:szCs w:val="16"/>
              </w:rPr>
              <w:t>9,425,570</w:t>
            </w:r>
          </w:p>
        </w:tc>
        <w:tc>
          <w:tcPr>
            <w:tcW w:w="2027" w:type="dxa"/>
            <w:tcBorders>
              <w:top w:val="single" w:sz="4" w:space="0" w:color="365F91"/>
              <w:bottom w:val="single" w:sz="4" w:space="0" w:color="365F91"/>
            </w:tcBorders>
            <w:vAlign w:val="bottom"/>
          </w:tcPr>
          <w:p w14:paraId="22096BED" w14:textId="77777777" w:rsidR="00380BE7" w:rsidRPr="00256982" w:rsidRDefault="00380BE7" w:rsidP="009574E7">
            <w:pPr>
              <w:pStyle w:val="TableText"/>
              <w:keepNext/>
              <w:tabs>
                <w:tab w:val="decimal" w:pos="556"/>
              </w:tabs>
              <w:jc w:val="center"/>
            </w:pPr>
            <w:r w:rsidRPr="00256982">
              <w:t>–</w:t>
            </w:r>
            <w:r w:rsidRPr="00256982">
              <w:rPr>
                <w:rFonts w:cs="Arial"/>
                <w:color w:val="000000"/>
                <w:szCs w:val="16"/>
              </w:rPr>
              <w:t>626</w:t>
            </w:r>
          </w:p>
        </w:tc>
        <w:tc>
          <w:tcPr>
            <w:tcW w:w="1701" w:type="dxa"/>
            <w:tcBorders>
              <w:top w:val="single" w:sz="4" w:space="0" w:color="365F91"/>
              <w:bottom w:val="single" w:sz="4" w:space="0" w:color="365F91"/>
            </w:tcBorders>
            <w:vAlign w:val="center"/>
          </w:tcPr>
          <w:p w14:paraId="5E7E15D3" w14:textId="77777777" w:rsidR="00380BE7" w:rsidRPr="00256982" w:rsidRDefault="00380BE7" w:rsidP="009574E7">
            <w:pPr>
              <w:pStyle w:val="TableText"/>
              <w:keepNext/>
              <w:tabs>
                <w:tab w:val="decimal" w:pos="556"/>
              </w:tabs>
              <w:jc w:val="center"/>
            </w:pPr>
            <w:r w:rsidRPr="00256982">
              <w:t>–</w:t>
            </w:r>
            <w:r w:rsidRPr="00256982">
              <w:rPr>
                <w:rFonts w:cs="Arial"/>
                <w:color w:val="000000"/>
                <w:szCs w:val="16"/>
              </w:rPr>
              <w:t>0.0</w:t>
            </w:r>
          </w:p>
        </w:tc>
      </w:tr>
      <w:tr w:rsidR="00380BE7" w:rsidRPr="00256982" w14:paraId="6922A33B" w14:textId="77777777" w:rsidTr="009574E7">
        <w:tc>
          <w:tcPr>
            <w:tcW w:w="1503" w:type="dxa"/>
            <w:tcBorders>
              <w:top w:val="single" w:sz="4" w:space="0" w:color="365F91"/>
              <w:bottom w:val="single" w:sz="4" w:space="0" w:color="365F91"/>
            </w:tcBorders>
          </w:tcPr>
          <w:p w14:paraId="056BAA64" w14:textId="77777777" w:rsidR="00380BE7" w:rsidRPr="00256982" w:rsidRDefault="00380BE7" w:rsidP="009574E7">
            <w:pPr>
              <w:pStyle w:val="TableText"/>
              <w:keepNext/>
            </w:pPr>
            <w:r w:rsidRPr="00256982">
              <w:t>2016</w:t>
            </w:r>
          </w:p>
        </w:tc>
        <w:tc>
          <w:tcPr>
            <w:tcW w:w="1637" w:type="dxa"/>
            <w:tcBorders>
              <w:top w:val="single" w:sz="4" w:space="0" w:color="365F91"/>
              <w:bottom w:val="single" w:sz="4" w:space="0" w:color="365F91"/>
            </w:tcBorders>
            <w:vAlign w:val="bottom"/>
          </w:tcPr>
          <w:p w14:paraId="0E746272" w14:textId="77777777" w:rsidR="00380BE7" w:rsidRPr="00256982" w:rsidRDefault="00380BE7" w:rsidP="009574E7">
            <w:pPr>
              <w:pStyle w:val="TableText"/>
              <w:keepNext/>
              <w:jc w:val="center"/>
            </w:pPr>
            <w:r w:rsidRPr="00256982">
              <w:rPr>
                <w:rFonts w:cs="Arial"/>
                <w:color w:val="000000"/>
                <w:szCs w:val="16"/>
              </w:rPr>
              <w:t xml:space="preserve">9,903,404 </w:t>
            </w:r>
          </w:p>
        </w:tc>
        <w:tc>
          <w:tcPr>
            <w:tcW w:w="1637" w:type="dxa"/>
            <w:tcBorders>
              <w:top w:val="single" w:sz="4" w:space="0" w:color="365F91"/>
              <w:bottom w:val="single" w:sz="4" w:space="0" w:color="365F91"/>
            </w:tcBorders>
            <w:vAlign w:val="bottom"/>
          </w:tcPr>
          <w:p w14:paraId="21F17806" w14:textId="77777777" w:rsidR="00380BE7" w:rsidRPr="00256982" w:rsidRDefault="00380BE7" w:rsidP="009574E7">
            <w:pPr>
              <w:pStyle w:val="TableText"/>
              <w:keepNext/>
              <w:jc w:val="center"/>
            </w:pPr>
            <w:r w:rsidRPr="00256982">
              <w:rPr>
                <w:rFonts w:cs="Arial"/>
                <w:color w:val="000000"/>
                <w:szCs w:val="16"/>
              </w:rPr>
              <w:t>9,921,054</w:t>
            </w:r>
          </w:p>
        </w:tc>
        <w:tc>
          <w:tcPr>
            <w:tcW w:w="2027" w:type="dxa"/>
            <w:tcBorders>
              <w:top w:val="single" w:sz="4" w:space="0" w:color="365F91"/>
              <w:bottom w:val="single" w:sz="4" w:space="0" w:color="365F91"/>
            </w:tcBorders>
            <w:vAlign w:val="bottom"/>
          </w:tcPr>
          <w:p w14:paraId="47963208" w14:textId="77777777" w:rsidR="00380BE7" w:rsidRPr="00256982" w:rsidRDefault="00380BE7" w:rsidP="009574E7">
            <w:pPr>
              <w:pStyle w:val="TableText"/>
              <w:keepNext/>
              <w:tabs>
                <w:tab w:val="decimal" w:pos="556"/>
              </w:tabs>
              <w:jc w:val="center"/>
            </w:pPr>
            <w:r w:rsidRPr="00256982">
              <w:rPr>
                <w:rFonts w:cs="Arial"/>
                <w:color w:val="000000"/>
                <w:szCs w:val="16"/>
              </w:rPr>
              <w:t>17,650</w:t>
            </w:r>
          </w:p>
        </w:tc>
        <w:tc>
          <w:tcPr>
            <w:tcW w:w="1701" w:type="dxa"/>
            <w:tcBorders>
              <w:top w:val="single" w:sz="4" w:space="0" w:color="365F91"/>
              <w:bottom w:val="single" w:sz="4" w:space="0" w:color="365F91"/>
            </w:tcBorders>
            <w:vAlign w:val="center"/>
          </w:tcPr>
          <w:p w14:paraId="680A2B0E" w14:textId="77777777" w:rsidR="00380BE7" w:rsidRPr="00256982" w:rsidRDefault="00380BE7" w:rsidP="009574E7">
            <w:pPr>
              <w:pStyle w:val="TableText"/>
              <w:keepNext/>
              <w:tabs>
                <w:tab w:val="decimal" w:pos="556"/>
              </w:tabs>
              <w:jc w:val="center"/>
            </w:pPr>
            <w:r w:rsidRPr="00256982">
              <w:rPr>
                <w:rFonts w:cs="Arial"/>
                <w:color w:val="000000"/>
                <w:szCs w:val="16"/>
              </w:rPr>
              <w:t>+0.2</w:t>
            </w:r>
          </w:p>
        </w:tc>
      </w:tr>
    </w:tbl>
    <w:p w14:paraId="70DD04E4" w14:textId="77777777" w:rsidR="00380BE7" w:rsidRPr="00256982" w:rsidRDefault="00380BE7" w:rsidP="00380BE7">
      <w:pPr>
        <w:pStyle w:val="Noteundertable"/>
      </w:pPr>
      <w:r w:rsidRPr="00256982">
        <w:rPr>
          <w:b/>
        </w:rPr>
        <w:t>Note:</w:t>
      </w:r>
      <w:r w:rsidRPr="00256982">
        <w:tab/>
        <w:t xml:space="preserve">Areas are as at the end of the year indicated. </w:t>
      </w:r>
    </w:p>
    <w:p w14:paraId="6A11A5B2" w14:textId="77777777" w:rsidR="00380BE7" w:rsidRPr="00256982" w:rsidRDefault="00380BE7" w:rsidP="00380BE7">
      <w:pPr>
        <w:pStyle w:val="BodyText"/>
      </w:pPr>
      <w:r w:rsidRPr="00256982">
        <w:lastRenderedPageBreak/>
        <w:t xml:space="preserve">For </w:t>
      </w:r>
      <w:r w:rsidRPr="00256982">
        <w:rPr>
          <w:i/>
        </w:rPr>
        <w:t>Forest land</w:t>
      </w:r>
      <w:r w:rsidRPr="00256982">
        <w:t>, the recalculation differences are due to the updated yield table for post-1989 planted forest and land use mapping improvements across the time series, as explained below.</w:t>
      </w:r>
      <w:bookmarkStart w:id="1562" w:name="_Toc255466362"/>
      <w:bookmarkStart w:id="1563" w:name="_Toc261513169"/>
      <w:bookmarkStart w:id="1564" w:name="_Toc261513782"/>
      <w:bookmarkStart w:id="1565" w:name="_Toc280630260"/>
    </w:p>
    <w:p w14:paraId="420E9C11" w14:textId="77777777" w:rsidR="00380BE7" w:rsidRPr="00256982" w:rsidRDefault="00380BE7" w:rsidP="00380BE7">
      <w:pPr>
        <w:pStyle w:val="Heading5"/>
        <w:spacing w:before="160"/>
      </w:pPr>
      <w:r w:rsidRPr="00256982">
        <w:t>Activity data</w:t>
      </w:r>
      <w:bookmarkEnd w:id="1562"/>
      <w:bookmarkEnd w:id="1563"/>
      <w:bookmarkEnd w:id="1564"/>
      <w:bookmarkEnd w:id="1565"/>
    </w:p>
    <w:p w14:paraId="4586226D" w14:textId="77777777" w:rsidR="00380BE7" w:rsidRPr="00256982" w:rsidRDefault="00380BE7" w:rsidP="00380BE7">
      <w:pPr>
        <w:pStyle w:val="BodyText"/>
      </w:pPr>
      <w:bookmarkStart w:id="1566" w:name="_Toc255466366"/>
      <w:bookmarkStart w:id="1567" w:name="_Toc261513173"/>
      <w:bookmarkStart w:id="1568" w:name="_Toc261513786"/>
      <w:r w:rsidRPr="00256982">
        <w:t xml:space="preserve">The total area of </w:t>
      </w:r>
      <w:r w:rsidRPr="00256982">
        <w:rPr>
          <w:i/>
        </w:rPr>
        <w:t>Forest land</w:t>
      </w:r>
      <w:r w:rsidRPr="00256982">
        <w:t>, as at 1 January 1990, has been reduced by 1,069 hectares as a result of reassessment of some areas previously classed as pre-1990 natural forest. These areas have been remapped as non-forest (grassland with woody biomass) throughout the time series.</w:t>
      </w:r>
    </w:p>
    <w:p w14:paraId="45E378CD" w14:textId="77777777" w:rsidR="00380BE7" w:rsidRPr="00256982" w:rsidRDefault="00380BE7" w:rsidP="00380BE7">
      <w:pPr>
        <w:pStyle w:val="BodyText"/>
      </w:pPr>
      <w:r w:rsidRPr="00256982">
        <w:t xml:space="preserve">The area estimates of afforestation and deforestation have been updated from the previous submission. These areas and the associated emissions are reported in the relevant </w:t>
      </w:r>
      <w:r w:rsidRPr="00256982">
        <w:rPr>
          <w:i/>
        </w:rPr>
        <w:t>Land converted to</w:t>
      </w:r>
      <w:r w:rsidRPr="00256982">
        <w:t xml:space="preserve"> category.</w:t>
      </w:r>
    </w:p>
    <w:p w14:paraId="429E3C12" w14:textId="77777777" w:rsidR="00380BE7" w:rsidRPr="00256982" w:rsidRDefault="00380BE7" w:rsidP="00380BE7">
      <w:pPr>
        <w:pStyle w:val="BodyText"/>
      </w:pPr>
      <w:r w:rsidRPr="00256982">
        <w:t>Recalculations were carried out for this category as a result of new activity data from the creation of a new land use map, as described in section 6.2.</w:t>
      </w:r>
    </w:p>
    <w:p w14:paraId="4B735215" w14:textId="77777777" w:rsidR="00380BE7" w:rsidRPr="00256982" w:rsidRDefault="00380BE7" w:rsidP="00380BE7">
      <w:pPr>
        <w:pStyle w:val="Heading5"/>
        <w:spacing w:before="160"/>
      </w:pPr>
      <w:bookmarkStart w:id="1569" w:name="_Toc280630261"/>
      <w:r w:rsidRPr="00256982">
        <w:t>Emission factors</w:t>
      </w:r>
      <w:bookmarkEnd w:id="1569"/>
    </w:p>
    <w:p w14:paraId="2220DDC7" w14:textId="77777777" w:rsidR="00380BE7" w:rsidRPr="00256982" w:rsidRDefault="00380BE7" w:rsidP="00380BE7">
      <w:pPr>
        <w:pStyle w:val="BodyText"/>
      </w:pPr>
      <w:r w:rsidRPr="00256982">
        <w:t>The post-1989 planted forest yield table has been revised for the 2019 submission. The revised yield table is based on two full measurement inventories of permanent sample plots in post-1989 planted forest carried out in 2008–09 and 2011–12, and a partial re-measure in 2016 and 2017 (due to the transition to the continuous five-year inventory cycle). The analysis of the data collected has provided a plot-based estimate of carbon stock and mean carbon density within this forest type, and is further described in section 6.4.2.</w:t>
      </w:r>
    </w:p>
    <w:p w14:paraId="61E8CF37" w14:textId="77777777" w:rsidR="00380BE7" w:rsidRPr="00256982" w:rsidRDefault="00380BE7" w:rsidP="00380BE7">
      <w:pPr>
        <w:pStyle w:val="Heading3"/>
        <w:spacing w:before="280"/>
      </w:pPr>
      <w:bookmarkStart w:id="1570" w:name="_Toc255466368"/>
      <w:bookmarkStart w:id="1571" w:name="_Toc261513175"/>
      <w:bookmarkStart w:id="1572" w:name="_Toc261513788"/>
      <w:bookmarkStart w:id="1573" w:name="_Toc280630262"/>
      <w:bookmarkStart w:id="1574" w:name="_Toc373395716"/>
      <w:bookmarkStart w:id="1575" w:name="_Toc139253961"/>
      <w:bookmarkEnd w:id="1566"/>
      <w:bookmarkEnd w:id="1567"/>
      <w:bookmarkEnd w:id="1568"/>
      <w:r w:rsidRPr="00256982">
        <w:t>6.4.6</w:t>
      </w:r>
      <w:r w:rsidRPr="00256982">
        <w:tab/>
        <w:t>Category-specific planned improvements</w:t>
      </w:r>
      <w:bookmarkEnd w:id="1570"/>
      <w:bookmarkEnd w:id="1571"/>
      <w:bookmarkEnd w:id="1572"/>
      <w:bookmarkEnd w:id="1573"/>
      <w:bookmarkEnd w:id="1574"/>
      <w:bookmarkEnd w:id="1575"/>
    </w:p>
    <w:p w14:paraId="3B626C77" w14:textId="77777777" w:rsidR="00380BE7" w:rsidRPr="00256982" w:rsidRDefault="00380BE7" w:rsidP="00380BE7">
      <w:pPr>
        <w:pStyle w:val="BodyText"/>
      </w:pPr>
      <w:r w:rsidRPr="00256982">
        <w:t>New Zealand will continue to measure the natural forest plot network on a 10-year cycle and analyse the data collected as they become available. Research is under way to better estimate the stock and change in the dead wood pool for natural forests.</w:t>
      </w:r>
    </w:p>
    <w:p w14:paraId="49E7D1E5" w14:textId="77777777" w:rsidR="00380BE7" w:rsidRPr="00256982" w:rsidRDefault="00380BE7" w:rsidP="00380BE7">
      <w:pPr>
        <w:pStyle w:val="BodyText"/>
      </w:pPr>
      <w:r w:rsidRPr="00256982">
        <w:t>Mapping of forest areas will be improved through improvements to the 2016 land use map, which includes a number of forest-specific mapping improvement tasks such as:</w:t>
      </w:r>
    </w:p>
    <w:p w14:paraId="5D6C0EAA" w14:textId="77777777" w:rsidR="00380BE7" w:rsidRPr="00256982" w:rsidRDefault="00380BE7" w:rsidP="00380BE7">
      <w:pPr>
        <w:pStyle w:val="Bullet"/>
        <w:numPr>
          <w:ilvl w:val="0"/>
          <w:numId w:val="8"/>
        </w:numPr>
      </w:pPr>
      <w:r w:rsidRPr="00256982">
        <w:t>better discrimination of pre-1990 planted forest and pre-1990 natural forest through an assessment of tree weeds</w:t>
      </w:r>
    </w:p>
    <w:p w14:paraId="157B6CBF" w14:textId="77777777" w:rsidR="00380BE7" w:rsidRPr="00256982" w:rsidRDefault="00380BE7" w:rsidP="00380BE7">
      <w:pPr>
        <w:pStyle w:val="Bullet"/>
        <w:numPr>
          <w:ilvl w:val="0"/>
          <w:numId w:val="8"/>
        </w:numPr>
      </w:pPr>
      <w:r w:rsidRPr="00256982">
        <w:t>mapping of newly planted forests through data supplied from the NZ ETS</w:t>
      </w:r>
    </w:p>
    <w:p w14:paraId="3B079ED3" w14:textId="77777777" w:rsidR="00380BE7" w:rsidRPr="00256982" w:rsidRDefault="00380BE7" w:rsidP="00380BE7">
      <w:pPr>
        <w:pStyle w:val="Bullet"/>
        <w:numPr>
          <w:ilvl w:val="0"/>
          <w:numId w:val="8"/>
        </w:numPr>
      </w:pPr>
      <w:r w:rsidRPr="00256982">
        <w:t>tracking of carbon equivalent forests within the land use maps.</w:t>
      </w:r>
    </w:p>
    <w:p w14:paraId="2E64CA69" w14:textId="77777777" w:rsidR="00380BE7" w:rsidRPr="00256982" w:rsidRDefault="00380BE7" w:rsidP="00380BE7">
      <w:pPr>
        <w:pStyle w:val="BodyText"/>
      </w:pPr>
      <w:r w:rsidRPr="00256982">
        <w:t xml:space="preserve">The assumption that controlled burning of post-harvest residues on afforested land does not occur will be revisited for a future submission, due to the increasing harvest rate in these forests as they reach maturity. </w:t>
      </w:r>
    </w:p>
    <w:p w14:paraId="6BB5FC1A" w14:textId="77777777" w:rsidR="00380BE7" w:rsidRPr="00256982" w:rsidRDefault="00380BE7" w:rsidP="00380BE7">
      <w:pPr>
        <w:pStyle w:val="BodyText"/>
      </w:pPr>
      <w:r w:rsidRPr="00256982">
        <w:t>The complete planted forest plot network (pre-1990 and post-1989) is being re</w:t>
      </w:r>
      <w:r w:rsidRPr="00256982">
        <w:noBreakHyphen/>
        <w:t>measured on a continuous basis (at five-year intervals). These data will be incorporated into the National Inventory Report as they become available.</w:t>
      </w:r>
    </w:p>
    <w:p w14:paraId="3F95691B" w14:textId="77777777" w:rsidR="00380BE7" w:rsidRPr="00256982" w:rsidRDefault="00380BE7" w:rsidP="00380BE7">
      <w:pPr>
        <w:pStyle w:val="Heading2"/>
        <w:spacing w:before="280"/>
      </w:pPr>
      <w:bookmarkStart w:id="1576" w:name="_Toc255466369"/>
      <w:bookmarkStart w:id="1577" w:name="_Toc261513176"/>
      <w:bookmarkStart w:id="1578" w:name="_Toc261513789"/>
      <w:bookmarkStart w:id="1579" w:name="_Toc280630263"/>
      <w:bookmarkStart w:id="1580" w:name="_Toc310423453"/>
      <w:bookmarkStart w:id="1581" w:name="_Toc342470719"/>
      <w:bookmarkStart w:id="1582" w:name="_Toc352504871"/>
      <w:bookmarkStart w:id="1583" w:name="_Toc391024701"/>
      <w:bookmarkStart w:id="1584" w:name="_Toc414531318"/>
      <w:bookmarkStart w:id="1585" w:name="_Toc474335460"/>
      <w:bookmarkStart w:id="1586" w:name="_Toc481751400"/>
      <w:bookmarkStart w:id="1587" w:name="_Toc522013952"/>
      <w:bookmarkStart w:id="1588" w:name="_Toc5269377"/>
      <w:r w:rsidRPr="00256982">
        <w:t>6.5</w:t>
      </w:r>
      <w:r w:rsidRPr="00256982">
        <w:tab/>
        <w:t>Cropland (CRF 4B)</w:t>
      </w:r>
      <w:bookmarkEnd w:id="1576"/>
      <w:bookmarkEnd w:id="1577"/>
      <w:bookmarkEnd w:id="1578"/>
      <w:bookmarkEnd w:id="1579"/>
      <w:bookmarkEnd w:id="1580"/>
      <w:bookmarkEnd w:id="1581"/>
      <w:bookmarkEnd w:id="1582"/>
      <w:bookmarkEnd w:id="1583"/>
      <w:bookmarkEnd w:id="1584"/>
      <w:bookmarkEnd w:id="1585"/>
      <w:bookmarkEnd w:id="1586"/>
      <w:bookmarkEnd w:id="1587"/>
      <w:bookmarkEnd w:id="1588"/>
    </w:p>
    <w:p w14:paraId="61EE0DCB" w14:textId="77777777" w:rsidR="00380BE7" w:rsidRPr="00256982" w:rsidRDefault="00380BE7" w:rsidP="00380BE7">
      <w:pPr>
        <w:pStyle w:val="Heading3"/>
        <w:spacing w:before="240"/>
      </w:pPr>
      <w:bookmarkStart w:id="1589" w:name="_Toc139253963"/>
      <w:bookmarkStart w:id="1590" w:name="_Toc255466370"/>
      <w:bookmarkStart w:id="1591" w:name="_Toc261513177"/>
      <w:bookmarkStart w:id="1592" w:name="_Toc261513790"/>
      <w:bookmarkStart w:id="1593" w:name="_Toc280630264"/>
      <w:r w:rsidRPr="00256982">
        <w:t>6.5.1</w:t>
      </w:r>
      <w:r w:rsidRPr="00256982">
        <w:tab/>
        <w:t>Description</w:t>
      </w:r>
      <w:bookmarkEnd w:id="1589"/>
      <w:bookmarkEnd w:id="1590"/>
      <w:bookmarkEnd w:id="1591"/>
      <w:bookmarkEnd w:id="1592"/>
      <w:bookmarkEnd w:id="1593"/>
    </w:p>
    <w:p w14:paraId="04940E8C" w14:textId="77777777" w:rsidR="00380BE7" w:rsidRPr="00256982" w:rsidRDefault="00380BE7" w:rsidP="00380BE7">
      <w:pPr>
        <w:pStyle w:val="BodyText"/>
      </w:pPr>
      <w:r w:rsidRPr="00256982">
        <w:rPr>
          <w:spacing w:val="-2"/>
        </w:rPr>
        <w:t xml:space="preserve">In 2017, the net emissions from </w:t>
      </w:r>
      <w:r w:rsidRPr="00256982">
        <w:rPr>
          <w:i/>
          <w:spacing w:val="-2"/>
        </w:rPr>
        <w:t>Cropland</w:t>
      </w:r>
      <w:r w:rsidRPr="00256982">
        <w:rPr>
          <w:spacing w:val="-2"/>
        </w:rPr>
        <w:t xml:space="preserve"> were </w:t>
      </w:r>
      <w:r w:rsidRPr="00256982">
        <w:rPr>
          <w:bCs/>
          <w:spacing w:val="-2"/>
        </w:rPr>
        <w:t xml:space="preserve">396.3 </w:t>
      </w:r>
      <w:r w:rsidRPr="00256982">
        <w:rPr>
          <w:spacing w:val="-2"/>
        </w:rPr>
        <w:t>kt CO</w:t>
      </w:r>
      <w:r w:rsidRPr="00256982">
        <w:rPr>
          <w:spacing w:val="-2"/>
          <w:vertAlign w:val="subscript"/>
        </w:rPr>
        <w:t>2</w:t>
      </w:r>
      <w:r w:rsidRPr="00256982">
        <w:rPr>
          <w:spacing w:val="-2"/>
        </w:rPr>
        <w:t>-e, comprising 387.4 kt </w:t>
      </w:r>
      <w:r w:rsidRPr="00256982">
        <w:t>CO</w:t>
      </w:r>
      <w:r w:rsidRPr="00256982">
        <w:rPr>
          <w:spacing w:val="-2"/>
          <w:vertAlign w:val="subscript"/>
        </w:rPr>
        <w:t>2</w:t>
      </w:r>
      <w:r w:rsidRPr="00256982">
        <w:t xml:space="preserve"> from carbon stock change and 0.03 kt N</w:t>
      </w:r>
      <w:r w:rsidRPr="00256982">
        <w:rPr>
          <w:vertAlign w:val="subscript"/>
        </w:rPr>
        <w:t>2</w:t>
      </w:r>
      <w:r w:rsidRPr="00256982">
        <w:t>O (8.9 kt CO</w:t>
      </w:r>
      <w:r w:rsidRPr="00256982">
        <w:rPr>
          <w:vertAlign w:val="subscript"/>
        </w:rPr>
        <w:t>2</w:t>
      </w:r>
      <w:r w:rsidRPr="00256982">
        <w:t xml:space="preserve">-e) from the nitrogen mineralisation on </w:t>
      </w:r>
      <w:r w:rsidRPr="00256982">
        <w:rPr>
          <w:i/>
        </w:rPr>
        <w:t>Land converted to cropland</w:t>
      </w:r>
      <w:r w:rsidRPr="00256982">
        <w:t xml:space="preserve">. Net emissions from </w:t>
      </w:r>
      <w:r w:rsidRPr="00256982">
        <w:rPr>
          <w:i/>
        </w:rPr>
        <w:t>Cropland</w:t>
      </w:r>
      <w:r w:rsidRPr="00256982">
        <w:t xml:space="preserve"> have decreased by 80.6 kt CO</w:t>
      </w:r>
      <w:r w:rsidRPr="00256982">
        <w:rPr>
          <w:vertAlign w:val="subscript"/>
        </w:rPr>
        <w:t>2</w:t>
      </w:r>
      <w:r w:rsidRPr="00256982">
        <w:t>-e (</w:t>
      </w:r>
      <w:r w:rsidRPr="00256982">
        <w:rPr>
          <w:bCs/>
        </w:rPr>
        <w:t xml:space="preserve">16.9 </w:t>
      </w:r>
      <w:r w:rsidRPr="00256982">
        <w:t xml:space="preserve">per cent) from the 1990 level when net emissions were </w:t>
      </w:r>
      <w:r w:rsidRPr="00256982">
        <w:rPr>
          <w:bCs/>
        </w:rPr>
        <w:t>476.9</w:t>
      </w:r>
      <w:r w:rsidRPr="00256982">
        <w:t xml:space="preserve"> kt CO</w:t>
      </w:r>
      <w:r w:rsidRPr="00256982">
        <w:rPr>
          <w:vertAlign w:val="subscript"/>
        </w:rPr>
        <w:t>2</w:t>
      </w:r>
      <w:r w:rsidRPr="00256982">
        <w:t xml:space="preserve">-e (see table 6.5.1). </w:t>
      </w:r>
    </w:p>
    <w:p w14:paraId="3EFED69E" w14:textId="77777777" w:rsidR="00380BE7" w:rsidRPr="00256982" w:rsidRDefault="00380BE7" w:rsidP="00380BE7">
      <w:pPr>
        <w:pStyle w:val="Table"/>
      </w:pPr>
      <w:bookmarkStart w:id="1594" w:name="_Toc280630461"/>
      <w:bookmarkStart w:id="1595" w:name="_Toc310423414"/>
      <w:bookmarkStart w:id="1596" w:name="_Toc318362707"/>
      <w:bookmarkStart w:id="1597" w:name="_Toc342470769"/>
      <w:bookmarkStart w:id="1598" w:name="_Toc352505009"/>
      <w:bookmarkStart w:id="1599" w:name="_Toc378853300"/>
      <w:bookmarkStart w:id="1600" w:name="_Toc391024098"/>
      <w:bookmarkStart w:id="1601" w:name="_Toc410028841"/>
      <w:bookmarkStart w:id="1602" w:name="_Toc414531469"/>
      <w:bookmarkStart w:id="1603" w:name="_Toc443645382"/>
      <w:bookmarkStart w:id="1604" w:name="_Toc474914601"/>
      <w:bookmarkStart w:id="1605" w:name="_Toc481751565"/>
      <w:bookmarkStart w:id="1606" w:name="_Toc522010622"/>
      <w:bookmarkStart w:id="1607" w:name="_Toc5269527"/>
      <w:r w:rsidRPr="00256982">
        <w:lastRenderedPageBreak/>
        <w:t>Table 6.5.1</w:t>
      </w:r>
      <w:r w:rsidRPr="00256982">
        <w:tab/>
        <w:t xml:space="preserve">New Zealand’s land-use change by Cropland category, and associated </w:t>
      </w:r>
      <w:r w:rsidRPr="00256982">
        <w:br/>
        <w:t>CO</w:t>
      </w:r>
      <w:r w:rsidRPr="00256982">
        <w:rPr>
          <w:vertAlign w:val="subscript"/>
        </w:rPr>
        <w:t>2</w:t>
      </w:r>
      <w:r w:rsidRPr="00256982">
        <w:t>-e emissions</w:t>
      </w:r>
      <w:bookmarkEnd w:id="1594"/>
      <w:bookmarkEnd w:id="1595"/>
      <w:bookmarkEnd w:id="1596"/>
      <w:bookmarkEnd w:id="1597"/>
      <w:bookmarkEnd w:id="1598"/>
      <w:bookmarkEnd w:id="1599"/>
      <w:r w:rsidRPr="00256982">
        <w:t xml:space="preserve">, 1990 </w:t>
      </w:r>
      <w:bookmarkEnd w:id="1600"/>
      <w:r w:rsidRPr="00256982">
        <w:t>and 201</w:t>
      </w:r>
      <w:bookmarkEnd w:id="1601"/>
      <w:bookmarkEnd w:id="1602"/>
      <w:bookmarkEnd w:id="1603"/>
      <w:bookmarkEnd w:id="1604"/>
      <w:bookmarkEnd w:id="1605"/>
      <w:r w:rsidRPr="00256982">
        <w:t>7</w:t>
      </w:r>
      <w:bookmarkEnd w:id="1606"/>
      <w:bookmarkEnd w:id="1607"/>
    </w:p>
    <w:tbl>
      <w:tblPr>
        <w:tblW w:w="8505" w:type="dxa"/>
        <w:tblInd w:w="108" w:type="dxa"/>
        <w:tblLayout w:type="fixed"/>
        <w:tblLook w:val="04A0" w:firstRow="1" w:lastRow="0" w:firstColumn="1" w:lastColumn="0" w:noHBand="0" w:noVBand="1"/>
      </w:tblPr>
      <w:tblGrid>
        <w:gridCol w:w="2797"/>
        <w:gridCol w:w="1359"/>
        <w:gridCol w:w="1207"/>
        <w:gridCol w:w="905"/>
        <w:gridCol w:w="904"/>
        <w:gridCol w:w="1333"/>
      </w:tblGrid>
      <w:tr w:rsidR="00380BE7" w:rsidRPr="00256982" w14:paraId="2AAF3A55" w14:textId="77777777" w:rsidTr="009574E7">
        <w:tc>
          <w:tcPr>
            <w:tcW w:w="2797" w:type="dxa"/>
            <w:vMerge w:val="restart"/>
            <w:tcBorders>
              <w:top w:val="single" w:sz="4" w:space="0" w:color="365F91"/>
            </w:tcBorders>
            <w:shd w:val="clear" w:color="auto" w:fill="365F91"/>
            <w:vAlign w:val="bottom"/>
          </w:tcPr>
          <w:p w14:paraId="517C495C" w14:textId="77777777" w:rsidR="00380BE7" w:rsidRPr="00256982" w:rsidRDefault="00380BE7" w:rsidP="007E75FA">
            <w:pPr>
              <w:pStyle w:val="TableTextBold"/>
              <w:keepNext/>
              <w:spacing w:before="40" w:after="40"/>
              <w:rPr>
                <w:noProof w:val="0"/>
                <w:color w:val="FFFFFF"/>
              </w:rPr>
            </w:pPr>
            <w:r w:rsidRPr="00256982">
              <w:rPr>
                <w:noProof w:val="0"/>
                <w:color w:val="FFFFFF"/>
              </w:rPr>
              <w:t>Cropland land use category</w:t>
            </w:r>
          </w:p>
        </w:tc>
        <w:tc>
          <w:tcPr>
            <w:tcW w:w="1359" w:type="dxa"/>
            <w:vMerge w:val="restart"/>
            <w:tcBorders>
              <w:top w:val="single" w:sz="4" w:space="0" w:color="365F91"/>
            </w:tcBorders>
            <w:shd w:val="clear" w:color="auto" w:fill="365F91"/>
            <w:vAlign w:val="bottom"/>
          </w:tcPr>
          <w:p w14:paraId="28171FB9" w14:textId="77777777" w:rsidR="00380BE7" w:rsidRPr="00256982" w:rsidRDefault="00380BE7" w:rsidP="007E75FA">
            <w:pPr>
              <w:pStyle w:val="TableTextBold"/>
              <w:spacing w:before="40" w:after="40"/>
              <w:jc w:val="center"/>
              <w:rPr>
                <w:noProof w:val="0"/>
                <w:color w:val="FFFFFF"/>
              </w:rPr>
            </w:pPr>
            <w:r w:rsidRPr="00256982">
              <w:rPr>
                <w:noProof w:val="0"/>
                <w:color w:val="FFFFFF"/>
              </w:rPr>
              <w:t>Net area as at 1990 (ha)</w:t>
            </w:r>
          </w:p>
        </w:tc>
        <w:tc>
          <w:tcPr>
            <w:tcW w:w="1207" w:type="dxa"/>
            <w:vMerge w:val="restart"/>
            <w:tcBorders>
              <w:top w:val="single" w:sz="4" w:space="0" w:color="365F91"/>
            </w:tcBorders>
            <w:shd w:val="clear" w:color="auto" w:fill="365F91"/>
            <w:vAlign w:val="bottom"/>
          </w:tcPr>
          <w:p w14:paraId="1A28B2C2" w14:textId="77777777" w:rsidR="00380BE7" w:rsidRPr="00256982" w:rsidRDefault="00380BE7" w:rsidP="007E75FA">
            <w:pPr>
              <w:pStyle w:val="TableTextBold"/>
              <w:spacing w:before="40" w:after="40"/>
              <w:jc w:val="center"/>
              <w:rPr>
                <w:noProof w:val="0"/>
                <w:color w:val="FFFFFF"/>
              </w:rPr>
            </w:pPr>
            <w:r w:rsidRPr="00256982">
              <w:rPr>
                <w:noProof w:val="0"/>
                <w:color w:val="FFFFFF"/>
              </w:rPr>
              <w:t>Net area as at 2017 (ha)</w:t>
            </w:r>
          </w:p>
        </w:tc>
        <w:tc>
          <w:tcPr>
            <w:tcW w:w="1809" w:type="dxa"/>
            <w:gridSpan w:val="2"/>
            <w:tcBorders>
              <w:top w:val="single" w:sz="4" w:space="0" w:color="365F91"/>
            </w:tcBorders>
            <w:shd w:val="clear" w:color="auto" w:fill="365F91"/>
            <w:vAlign w:val="bottom"/>
          </w:tcPr>
          <w:p w14:paraId="265E78F2" w14:textId="77777777" w:rsidR="00380BE7" w:rsidRPr="00256982" w:rsidRDefault="00380BE7" w:rsidP="007E75FA">
            <w:pPr>
              <w:pStyle w:val="TableTextBold"/>
              <w:spacing w:before="40" w:after="40"/>
              <w:jc w:val="center"/>
              <w:rPr>
                <w:noProof w:val="0"/>
                <w:color w:val="FFFFFF"/>
              </w:rPr>
            </w:pPr>
            <w:r w:rsidRPr="00256982">
              <w:rPr>
                <w:noProof w:val="0"/>
                <w:color w:val="FFFFFF"/>
              </w:rPr>
              <w:t xml:space="preserve">Net emissions </w:t>
            </w:r>
            <w:r w:rsidRPr="00256982">
              <w:rPr>
                <w:noProof w:val="0"/>
                <w:color w:val="FFFFFF"/>
              </w:rPr>
              <w:br/>
              <w:t>(kt CO</w:t>
            </w:r>
            <w:r w:rsidRPr="00256982">
              <w:rPr>
                <w:noProof w:val="0"/>
                <w:color w:val="FFFFFF"/>
                <w:vertAlign w:val="subscript"/>
              </w:rPr>
              <w:t>2</w:t>
            </w:r>
            <w:r w:rsidRPr="00256982">
              <w:rPr>
                <w:noProof w:val="0"/>
                <w:color w:val="FFFFFF"/>
              </w:rPr>
              <w:t>-e)</w:t>
            </w:r>
          </w:p>
        </w:tc>
        <w:tc>
          <w:tcPr>
            <w:tcW w:w="1333" w:type="dxa"/>
            <w:vMerge w:val="restart"/>
            <w:tcBorders>
              <w:top w:val="single" w:sz="4" w:space="0" w:color="365F91"/>
            </w:tcBorders>
            <w:shd w:val="clear" w:color="auto" w:fill="365F91"/>
            <w:vAlign w:val="bottom"/>
          </w:tcPr>
          <w:p w14:paraId="1152A5CC" w14:textId="77777777" w:rsidR="00380BE7" w:rsidRPr="00256982" w:rsidRDefault="00380BE7" w:rsidP="007E75FA">
            <w:pPr>
              <w:pStyle w:val="TableTextBold"/>
              <w:spacing w:before="40" w:after="40"/>
              <w:jc w:val="center"/>
              <w:rPr>
                <w:noProof w:val="0"/>
                <w:color w:val="FFFFFF"/>
              </w:rPr>
            </w:pPr>
            <w:r w:rsidRPr="00256982">
              <w:rPr>
                <w:noProof w:val="0"/>
                <w:color w:val="FFFFFF"/>
              </w:rPr>
              <w:t>Change from 1990 (%)</w:t>
            </w:r>
          </w:p>
        </w:tc>
      </w:tr>
      <w:tr w:rsidR="00380BE7" w:rsidRPr="00256982" w14:paraId="6637B7DD" w14:textId="77777777" w:rsidTr="009574E7">
        <w:tc>
          <w:tcPr>
            <w:tcW w:w="2797" w:type="dxa"/>
            <w:vMerge/>
            <w:tcBorders>
              <w:bottom w:val="single" w:sz="4" w:space="0" w:color="365F91"/>
            </w:tcBorders>
            <w:shd w:val="clear" w:color="auto" w:fill="365F91"/>
          </w:tcPr>
          <w:p w14:paraId="1F5DA3B3" w14:textId="77777777" w:rsidR="00380BE7" w:rsidRPr="00256982" w:rsidRDefault="00380BE7" w:rsidP="007E75FA">
            <w:pPr>
              <w:pStyle w:val="TableTextBold"/>
              <w:keepNext/>
              <w:spacing w:before="40" w:after="40"/>
              <w:rPr>
                <w:noProof w:val="0"/>
                <w:color w:val="FFFFFF"/>
              </w:rPr>
            </w:pPr>
          </w:p>
        </w:tc>
        <w:tc>
          <w:tcPr>
            <w:tcW w:w="1359" w:type="dxa"/>
            <w:vMerge/>
            <w:tcBorders>
              <w:bottom w:val="single" w:sz="4" w:space="0" w:color="365F91"/>
            </w:tcBorders>
            <w:shd w:val="clear" w:color="auto" w:fill="365F91"/>
          </w:tcPr>
          <w:p w14:paraId="665DD52E" w14:textId="77777777" w:rsidR="00380BE7" w:rsidRPr="00256982" w:rsidRDefault="00380BE7" w:rsidP="007E75FA">
            <w:pPr>
              <w:pStyle w:val="TableTextBold"/>
              <w:spacing w:before="40" w:after="40"/>
              <w:rPr>
                <w:noProof w:val="0"/>
                <w:color w:val="FFFFFF"/>
              </w:rPr>
            </w:pPr>
          </w:p>
        </w:tc>
        <w:tc>
          <w:tcPr>
            <w:tcW w:w="1207" w:type="dxa"/>
            <w:vMerge/>
            <w:tcBorders>
              <w:bottom w:val="single" w:sz="4" w:space="0" w:color="365F91"/>
            </w:tcBorders>
            <w:shd w:val="clear" w:color="auto" w:fill="365F91"/>
          </w:tcPr>
          <w:p w14:paraId="38C826AB" w14:textId="77777777" w:rsidR="00380BE7" w:rsidRPr="00256982" w:rsidRDefault="00380BE7" w:rsidP="007E75FA">
            <w:pPr>
              <w:pStyle w:val="TableTextBold"/>
              <w:spacing w:before="40" w:after="40"/>
              <w:rPr>
                <w:noProof w:val="0"/>
                <w:color w:val="FFFFFF"/>
              </w:rPr>
            </w:pPr>
          </w:p>
        </w:tc>
        <w:tc>
          <w:tcPr>
            <w:tcW w:w="905" w:type="dxa"/>
            <w:tcBorders>
              <w:bottom w:val="single" w:sz="4" w:space="0" w:color="365F91"/>
            </w:tcBorders>
            <w:shd w:val="clear" w:color="auto" w:fill="365F91"/>
          </w:tcPr>
          <w:p w14:paraId="7180499B" w14:textId="77777777" w:rsidR="00380BE7" w:rsidRPr="00256982" w:rsidRDefault="00380BE7" w:rsidP="007E75FA">
            <w:pPr>
              <w:pStyle w:val="TableTextBold"/>
              <w:spacing w:before="40" w:after="40"/>
              <w:jc w:val="center"/>
              <w:rPr>
                <w:noProof w:val="0"/>
                <w:color w:val="FFFFFF"/>
              </w:rPr>
            </w:pPr>
            <w:r w:rsidRPr="00256982">
              <w:rPr>
                <w:noProof w:val="0"/>
                <w:color w:val="FFFFFF"/>
              </w:rPr>
              <w:t>1990</w:t>
            </w:r>
          </w:p>
        </w:tc>
        <w:tc>
          <w:tcPr>
            <w:tcW w:w="904" w:type="dxa"/>
            <w:tcBorders>
              <w:bottom w:val="single" w:sz="4" w:space="0" w:color="365F91"/>
            </w:tcBorders>
            <w:shd w:val="clear" w:color="auto" w:fill="365F91"/>
          </w:tcPr>
          <w:p w14:paraId="6194B731" w14:textId="77777777" w:rsidR="00380BE7" w:rsidRPr="00256982" w:rsidRDefault="00380BE7" w:rsidP="007E75FA">
            <w:pPr>
              <w:pStyle w:val="TableTextBold"/>
              <w:spacing w:before="40" w:after="40"/>
              <w:jc w:val="center"/>
              <w:rPr>
                <w:noProof w:val="0"/>
                <w:color w:val="FFFFFF"/>
              </w:rPr>
            </w:pPr>
            <w:r w:rsidRPr="00256982">
              <w:rPr>
                <w:noProof w:val="0"/>
                <w:color w:val="FFFFFF"/>
              </w:rPr>
              <w:t>2017</w:t>
            </w:r>
          </w:p>
        </w:tc>
        <w:tc>
          <w:tcPr>
            <w:tcW w:w="1333" w:type="dxa"/>
            <w:vMerge/>
            <w:tcBorders>
              <w:bottom w:val="single" w:sz="4" w:space="0" w:color="365F91"/>
            </w:tcBorders>
            <w:shd w:val="clear" w:color="auto" w:fill="365F91"/>
          </w:tcPr>
          <w:p w14:paraId="2144C49E" w14:textId="77777777" w:rsidR="00380BE7" w:rsidRPr="00256982" w:rsidRDefault="00380BE7" w:rsidP="007E75FA">
            <w:pPr>
              <w:pStyle w:val="TableTextBold"/>
              <w:spacing w:before="40" w:after="40"/>
              <w:rPr>
                <w:noProof w:val="0"/>
                <w:color w:val="FFFFFF"/>
              </w:rPr>
            </w:pPr>
          </w:p>
        </w:tc>
      </w:tr>
      <w:tr w:rsidR="00380BE7" w:rsidRPr="00256982" w14:paraId="03D38F04" w14:textId="77777777" w:rsidTr="009574E7">
        <w:tc>
          <w:tcPr>
            <w:tcW w:w="2797" w:type="dxa"/>
            <w:tcBorders>
              <w:top w:val="single" w:sz="4" w:space="0" w:color="365F91"/>
              <w:bottom w:val="single" w:sz="4" w:space="0" w:color="365F91"/>
            </w:tcBorders>
          </w:tcPr>
          <w:p w14:paraId="02958AA8" w14:textId="77777777" w:rsidR="00380BE7" w:rsidRPr="00256982" w:rsidRDefault="00380BE7" w:rsidP="007E75FA">
            <w:pPr>
              <w:pStyle w:val="TableText"/>
              <w:keepNext/>
              <w:spacing w:before="40" w:after="40"/>
            </w:pPr>
            <w:r w:rsidRPr="00256982">
              <w:t>Cropland remaining cropland</w:t>
            </w:r>
          </w:p>
        </w:tc>
        <w:tc>
          <w:tcPr>
            <w:tcW w:w="1359" w:type="dxa"/>
            <w:tcBorders>
              <w:top w:val="single" w:sz="4" w:space="0" w:color="365F91"/>
              <w:bottom w:val="single" w:sz="4" w:space="0" w:color="365F91"/>
            </w:tcBorders>
          </w:tcPr>
          <w:p w14:paraId="3DF4FBB0" w14:textId="77777777" w:rsidR="00380BE7" w:rsidRPr="00256982" w:rsidRDefault="00380BE7" w:rsidP="007E75FA">
            <w:pPr>
              <w:pStyle w:val="TableText"/>
              <w:spacing w:before="40" w:after="40"/>
              <w:jc w:val="center"/>
            </w:pPr>
            <w:r w:rsidRPr="00256982">
              <w:t>384,757</w:t>
            </w:r>
          </w:p>
        </w:tc>
        <w:tc>
          <w:tcPr>
            <w:tcW w:w="1207" w:type="dxa"/>
            <w:tcBorders>
              <w:top w:val="single" w:sz="4" w:space="0" w:color="365F91"/>
              <w:bottom w:val="single" w:sz="4" w:space="0" w:color="365F91"/>
            </w:tcBorders>
          </w:tcPr>
          <w:p w14:paraId="7A6872AB" w14:textId="77777777" w:rsidR="00380BE7" w:rsidRPr="00256982" w:rsidRDefault="00380BE7" w:rsidP="007E75FA">
            <w:pPr>
              <w:pStyle w:val="TableText"/>
              <w:spacing w:before="40" w:after="40"/>
              <w:jc w:val="center"/>
            </w:pPr>
            <w:r w:rsidRPr="00256982">
              <w:t>414,933</w:t>
            </w:r>
          </w:p>
        </w:tc>
        <w:tc>
          <w:tcPr>
            <w:tcW w:w="905" w:type="dxa"/>
            <w:tcBorders>
              <w:top w:val="single" w:sz="4" w:space="0" w:color="365F91"/>
              <w:bottom w:val="single" w:sz="4" w:space="0" w:color="365F91"/>
            </w:tcBorders>
          </w:tcPr>
          <w:p w14:paraId="1403F1E6" w14:textId="77777777" w:rsidR="00380BE7" w:rsidRPr="00256982" w:rsidRDefault="00380BE7" w:rsidP="007E75FA">
            <w:pPr>
              <w:pStyle w:val="TableText"/>
              <w:spacing w:before="40" w:after="40"/>
              <w:jc w:val="center"/>
            </w:pPr>
            <w:r w:rsidRPr="00256982">
              <w:t xml:space="preserve">358.7 </w:t>
            </w:r>
          </w:p>
        </w:tc>
        <w:tc>
          <w:tcPr>
            <w:tcW w:w="904" w:type="dxa"/>
            <w:tcBorders>
              <w:top w:val="single" w:sz="4" w:space="0" w:color="365F91"/>
              <w:bottom w:val="single" w:sz="4" w:space="0" w:color="365F91"/>
            </w:tcBorders>
          </w:tcPr>
          <w:p w14:paraId="7663CE0E" w14:textId="77777777" w:rsidR="00380BE7" w:rsidRPr="00256982" w:rsidRDefault="00380BE7" w:rsidP="007E75FA">
            <w:pPr>
              <w:pStyle w:val="TableText"/>
              <w:spacing w:before="40" w:after="40"/>
              <w:jc w:val="center"/>
            </w:pPr>
            <w:r w:rsidRPr="00256982">
              <w:t xml:space="preserve">332.0 </w:t>
            </w:r>
          </w:p>
        </w:tc>
        <w:tc>
          <w:tcPr>
            <w:tcW w:w="1333" w:type="dxa"/>
            <w:tcBorders>
              <w:top w:val="single" w:sz="4" w:space="0" w:color="365F91"/>
              <w:bottom w:val="single" w:sz="4" w:space="0" w:color="365F91"/>
            </w:tcBorders>
          </w:tcPr>
          <w:p w14:paraId="6DE4F68E" w14:textId="77777777" w:rsidR="00380BE7" w:rsidRPr="00256982" w:rsidRDefault="00380BE7" w:rsidP="007E75FA">
            <w:pPr>
              <w:pStyle w:val="TableText"/>
              <w:spacing w:before="40" w:after="40"/>
              <w:jc w:val="center"/>
            </w:pPr>
            <w:r w:rsidRPr="00256982">
              <w:rPr>
                <w:rFonts w:cs="Arial"/>
                <w:szCs w:val="16"/>
              </w:rPr>
              <w:t>–</w:t>
            </w:r>
            <w:r w:rsidRPr="00256982">
              <w:t>7.5</w:t>
            </w:r>
          </w:p>
        </w:tc>
      </w:tr>
      <w:tr w:rsidR="00380BE7" w:rsidRPr="00256982" w14:paraId="11ED8483" w14:textId="77777777" w:rsidTr="009574E7">
        <w:tc>
          <w:tcPr>
            <w:tcW w:w="2797" w:type="dxa"/>
            <w:tcBorders>
              <w:top w:val="single" w:sz="4" w:space="0" w:color="365F91"/>
              <w:bottom w:val="single" w:sz="4" w:space="0" w:color="365F91"/>
            </w:tcBorders>
          </w:tcPr>
          <w:p w14:paraId="66222F71" w14:textId="77777777" w:rsidR="00380BE7" w:rsidRPr="00256982" w:rsidRDefault="00380BE7" w:rsidP="007E75FA">
            <w:pPr>
              <w:pStyle w:val="TableText"/>
              <w:keepNext/>
              <w:spacing w:before="40" w:after="40"/>
            </w:pPr>
            <w:r w:rsidRPr="00256982">
              <w:t>Land converted to cropland</w:t>
            </w:r>
          </w:p>
        </w:tc>
        <w:tc>
          <w:tcPr>
            <w:tcW w:w="1359" w:type="dxa"/>
            <w:tcBorders>
              <w:top w:val="single" w:sz="4" w:space="0" w:color="365F91"/>
              <w:bottom w:val="single" w:sz="4" w:space="0" w:color="365F91"/>
            </w:tcBorders>
          </w:tcPr>
          <w:p w14:paraId="4882FB96" w14:textId="77777777" w:rsidR="00380BE7" w:rsidRPr="00256982" w:rsidRDefault="00380BE7" w:rsidP="007E75FA">
            <w:pPr>
              <w:pStyle w:val="TableText"/>
              <w:spacing w:before="40" w:after="40"/>
              <w:jc w:val="center"/>
            </w:pPr>
            <w:r w:rsidRPr="00256982">
              <w:t>39,340</w:t>
            </w:r>
          </w:p>
        </w:tc>
        <w:tc>
          <w:tcPr>
            <w:tcW w:w="1207" w:type="dxa"/>
            <w:tcBorders>
              <w:top w:val="single" w:sz="4" w:space="0" w:color="365F91"/>
              <w:bottom w:val="single" w:sz="4" w:space="0" w:color="365F91"/>
            </w:tcBorders>
          </w:tcPr>
          <w:p w14:paraId="63FA74CB" w14:textId="77777777" w:rsidR="00380BE7" w:rsidRPr="00256982" w:rsidRDefault="00380BE7" w:rsidP="007E75FA">
            <w:pPr>
              <w:pStyle w:val="TableText"/>
              <w:spacing w:before="40" w:after="40"/>
              <w:jc w:val="center"/>
            </w:pPr>
            <w:r w:rsidRPr="00256982">
              <w:t>61,022</w:t>
            </w:r>
          </w:p>
        </w:tc>
        <w:tc>
          <w:tcPr>
            <w:tcW w:w="905" w:type="dxa"/>
            <w:tcBorders>
              <w:top w:val="single" w:sz="4" w:space="0" w:color="365F91"/>
              <w:bottom w:val="single" w:sz="4" w:space="0" w:color="365F91"/>
            </w:tcBorders>
          </w:tcPr>
          <w:p w14:paraId="1A5F7EA5" w14:textId="77777777" w:rsidR="00380BE7" w:rsidRPr="00256982" w:rsidRDefault="00380BE7" w:rsidP="007E75FA">
            <w:pPr>
              <w:pStyle w:val="TableText"/>
              <w:spacing w:before="40" w:after="40"/>
              <w:jc w:val="center"/>
            </w:pPr>
            <w:r w:rsidRPr="00256982">
              <w:t xml:space="preserve">118.2 </w:t>
            </w:r>
          </w:p>
        </w:tc>
        <w:tc>
          <w:tcPr>
            <w:tcW w:w="904" w:type="dxa"/>
            <w:tcBorders>
              <w:top w:val="single" w:sz="4" w:space="0" w:color="365F91"/>
              <w:bottom w:val="single" w:sz="4" w:space="0" w:color="365F91"/>
            </w:tcBorders>
          </w:tcPr>
          <w:p w14:paraId="5C8A2CD2" w14:textId="77777777" w:rsidR="00380BE7" w:rsidRPr="00256982" w:rsidRDefault="00380BE7" w:rsidP="007E75FA">
            <w:pPr>
              <w:pStyle w:val="TableText"/>
              <w:spacing w:before="40" w:after="40"/>
              <w:jc w:val="center"/>
            </w:pPr>
            <w:r w:rsidRPr="00256982">
              <w:t xml:space="preserve">64.3 </w:t>
            </w:r>
          </w:p>
        </w:tc>
        <w:tc>
          <w:tcPr>
            <w:tcW w:w="1333" w:type="dxa"/>
            <w:tcBorders>
              <w:top w:val="single" w:sz="4" w:space="0" w:color="365F91"/>
              <w:bottom w:val="single" w:sz="4" w:space="0" w:color="365F91"/>
            </w:tcBorders>
          </w:tcPr>
          <w:p w14:paraId="3BE66CED" w14:textId="77777777" w:rsidR="00380BE7" w:rsidRPr="00256982" w:rsidRDefault="00380BE7" w:rsidP="007E75FA">
            <w:pPr>
              <w:pStyle w:val="TableText"/>
              <w:spacing w:before="40" w:after="40"/>
              <w:jc w:val="center"/>
            </w:pPr>
            <w:r w:rsidRPr="00256982">
              <w:rPr>
                <w:rFonts w:cs="Arial"/>
                <w:szCs w:val="16"/>
              </w:rPr>
              <w:t>–</w:t>
            </w:r>
            <w:r w:rsidRPr="00256982">
              <w:t>45.6</w:t>
            </w:r>
          </w:p>
        </w:tc>
      </w:tr>
      <w:tr w:rsidR="00380BE7" w:rsidRPr="00256982" w14:paraId="316BAE16" w14:textId="77777777" w:rsidTr="009574E7">
        <w:tc>
          <w:tcPr>
            <w:tcW w:w="2797" w:type="dxa"/>
            <w:tcBorders>
              <w:top w:val="single" w:sz="4" w:space="0" w:color="365F91"/>
              <w:bottom w:val="single" w:sz="4" w:space="0" w:color="365F91"/>
            </w:tcBorders>
          </w:tcPr>
          <w:p w14:paraId="600142D8" w14:textId="77777777" w:rsidR="00380BE7" w:rsidRPr="00256982" w:rsidRDefault="00380BE7" w:rsidP="007E75FA">
            <w:pPr>
              <w:pStyle w:val="Tableboldblue"/>
              <w:spacing w:before="40" w:after="40"/>
            </w:pPr>
            <w:r w:rsidRPr="00256982">
              <w:t>Total</w:t>
            </w:r>
          </w:p>
        </w:tc>
        <w:tc>
          <w:tcPr>
            <w:tcW w:w="1359" w:type="dxa"/>
            <w:tcBorders>
              <w:top w:val="single" w:sz="4" w:space="0" w:color="365F91"/>
              <w:bottom w:val="single" w:sz="4" w:space="0" w:color="365F91"/>
            </w:tcBorders>
          </w:tcPr>
          <w:p w14:paraId="2B6E4D95" w14:textId="77777777" w:rsidR="00380BE7" w:rsidRPr="00256982" w:rsidRDefault="00380BE7" w:rsidP="007E75FA">
            <w:pPr>
              <w:pStyle w:val="Tableboldblue"/>
              <w:spacing w:before="40" w:after="40"/>
              <w:jc w:val="center"/>
            </w:pPr>
            <w:r w:rsidRPr="00256982">
              <w:t>424,097</w:t>
            </w:r>
          </w:p>
        </w:tc>
        <w:tc>
          <w:tcPr>
            <w:tcW w:w="1207" w:type="dxa"/>
            <w:tcBorders>
              <w:top w:val="single" w:sz="4" w:space="0" w:color="365F91"/>
              <w:bottom w:val="single" w:sz="4" w:space="0" w:color="365F91"/>
            </w:tcBorders>
          </w:tcPr>
          <w:p w14:paraId="41A3234C" w14:textId="77777777" w:rsidR="00380BE7" w:rsidRPr="00256982" w:rsidRDefault="00380BE7" w:rsidP="007E75FA">
            <w:pPr>
              <w:pStyle w:val="Tableboldblue"/>
              <w:spacing w:before="40" w:after="40"/>
              <w:jc w:val="center"/>
            </w:pPr>
            <w:r w:rsidRPr="00256982">
              <w:t>475,955</w:t>
            </w:r>
          </w:p>
        </w:tc>
        <w:tc>
          <w:tcPr>
            <w:tcW w:w="905" w:type="dxa"/>
            <w:tcBorders>
              <w:top w:val="single" w:sz="4" w:space="0" w:color="365F91"/>
              <w:bottom w:val="single" w:sz="4" w:space="0" w:color="365F91"/>
            </w:tcBorders>
          </w:tcPr>
          <w:p w14:paraId="2A8DF01B" w14:textId="77777777" w:rsidR="00380BE7" w:rsidRPr="00256982" w:rsidRDefault="00380BE7" w:rsidP="007E75FA">
            <w:pPr>
              <w:pStyle w:val="Tableboldblue"/>
              <w:spacing w:before="40" w:after="40"/>
              <w:jc w:val="center"/>
            </w:pPr>
            <w:r w:rsidRPr="00256982">
              <w:t xml:space="preserve">476.9 </w:t>
            </w:r>
          </w:p>
        </w:tc>
        <w:tc>
          <w:tcPr>
            <w:tcW w:w="904" w:type="dxa"/>
            <w:tcBorders>
              <w:top w:val="single" w:sz="4" w:space="0" w:color="365F91"/>
              <w:bottom w:val="single" w:sz="4" w:space="0" w:color="365F91"/>
            </w:tcBorders>
          </w:tcPr>
          <w:p w14:paraId="2240F8F4" w14:textId="77777777" w:rsidR="00380BE7" w:rsidRPr="00256982" w:rsidRDefault="00380BE7" w:rsidP="007E75FA">
            <w:pPr>
              <w:pStyle w:val="Tableboldblue"/>
              <w:spacing w:before="40" w:after="40"/>
              <w:jc w:val="center"/>
            </w:pPr>
            <w:r w:rsidRPr="00256982">
              <w:t xml:space="preserve">396.3 </w:t>
            </w:r>
          </w:p>
        </w:tc>
        <w:tc>
          <w:tcPr>
            <w:tcW w:w="1333" w:type="dxa"/>
            <w:tcBorders>
              <w:top w:val="single" w:sz="4" w:space="0" w:color="365F91"/>
              <w:bottom w:val="single" w:sz="4" w:space="0" w:color="365F91"/>
            </w:tcBorders>
          </w:tcPr>
          <w:p w14:paraId="319B6482" w14:textId="77777777" w:rsidR="00380BE7" w:rsidRPr="00256982" w:rsidRDefault="00380BE7" w:rsidP="007E75FA">
            <w:pPr>
              <w:pStyle w:val="Tableboldblue"/>
              <w:spacing w:before="40" w:after="40"/>
              <w:jc w:val="center"/>
            </w:pPr>
            <w:r w:rsidRPr="00256982">
              <w:rPr>
                <w:rFonts w:cs="Arial"/>
                <w:szCs w:val="16"/>
              </w:rPr>
              <w:t>–</w:t>
            </w:r>
            <w:r w:rsidRPr="00256982">
              <w:t>16.9</w:t>
            </w:r>
          </w:p>
        </w:tc>
      </w:tr>
    </w:tbl>
    <w:p w14:paraId="0B025A30" w14:textId="77777777" w:rsidR="00380BE7" w:rsidRPr="00256982" w:rsidRDefault="00380BE7" w:rsidP="00D93A9D">
      <w:pPr>
        <w:pStyle w:val="Noteundertable"/>
        <w:spacing w:before="80" w:after="100"/>
      </w:pPr>
      <w:r w:rsidRPr="00256982">
        <w:rPr>
          <w:b/>
        </w:rPr>
        <w:t>Note:</w:t>
      </w:r>
      <w:r w:rsidRPr="00256982">
        <w:tab/>
        <w:t xml:space="preserve">Net area in 1990 is as at 1 January 1990; net area in 2017 is as at 31 December. </w:t>
      </w:r>
      <w:r w:rsidRPr="00256982">
        <w:rPr>
          <w:i/>
        </w:rPr>
        <w:t>Land area converted to cropland</w:t>
      </w:r>
      <w:r w:rsidRPr="00256982">
        <w:t xml:space="preserve"> includes land converted up to 28 years prior. Net emission values are for the whole year indicated. Values include CO</w:t>
      </w:r>
      <w:r w:rsidRPr="00256982">
        <w:rPr>
          <w:vertAlign w:val="subscript"/>
        </w:rPr>
        <w:t>2</w:t>
      </w:r>
      <w:r w:rsidRPr="00256982">
        <w:t>-e emissions from N</w:t>
      </w:r>
      <w:r w:rsidRPr="00256982">
        <w:rPr>
          <w:vertAlign w:val="subscript"/>
        </w:rPr>
        <w:t>2</w:t>
      </w:r>
      <w:r w:rsidRPr="00256982">
        <w:t>O from cultivation of land.</w:t>
      </w:r>
    </w:p>
    <w:p w14:paraId="744A8EE5" w14:textId="77777777" w:rsidR="00380BE7" w:rsidRPr="00256982" w:rsidRDefault="00380BE7" w:rsidP="00D93A9D">
      <w:pPr>
        <w:pStyle w:val="BodyText"/>
        <w:spacing w:before="100" w:after="100"/>
      </w:pPr>
      <w:r w:rsidRPr="00256982">
        <w:t xml:space="preserve">The </w:t>
      </w:r>
      <w:r w:rsidRPr="00256982">
        <w:rPr>
          <w:i/>
        </w:rPr>
        <w:t>Cropland remaining cropland</w:t>
      </w:r>
      <w:r w:rsidRPr="00256982">
        <w:t xml:space="preserve"> category is responsible for the majority of </w:t>
      </w:r>
      <w:r w:rsidRPr="00256982">
        <w:rPr>
          <w:i/>
        </w:rPr>
        <w:t>Cropland</w:t>
      </w:r>
      <w:r w:rsidRPr="00256982">
        <w:t xml:space="preserve"> emissions. This category comprised 87.2 per cent of all </w:t>
      </w:r>
      <w:r w:rsidRPr="00256982">
        <w:rPr>
          <w:i/>
        </w:rPr>
        <w:t>Cropland</w:t>
      </w:r>
      <w:r w:rsidRPr="00256982">
        <w:t xml:space="preserve"> area in 2017. </w:t>
      </w:r>
    </w:p>
    <w:p w14:paraId="6B58CE84" w14:textId="77777777" w:rsidR="00380BE7" w:rsidRPr="00256982" w:rsidRDefault="00380BE7" w:rsidP="00D93A9D">
      <w:pPr>
        <w:pStyle w:val="BodyText"/>
        <w:spacing w:before="100" w:after="100"/>
      </w:pPr>
      <w:r w:rsidRPr="00256982">
        <w:t xml:space="preserve">The majority of emissions due to carbon stock change that have occurred in the </w:t>
      </w:r>
      <w:r w:rsidRPr="00256982">
        <w:rPr>
          <w:i/>
        </w:rPr>
        <w:t>Cropland</w:t>
      </w:r>
      <w:r w:rsidRPr="00256982">
        <w:t xml:space="preserve"> category since 1990 are in the SOC pool (</w:t>
      </w:r>
      <w:r w:rsidRPr="00256982">
        <w:rPr>
          <w:bCs/>
        </w:rPr>
        <w:t>3,871.4</w:t>
      </w:r>
      <w:r w:rsidRPr="00256982">
        <w:rPr>
          <w:b/>
          <w:bCs/>
        </w:rPr>
        <w:t xml:space="preserve"> </w:t>
      </w:r>
      <w:r w:rsidRPr="00256982">
        <w:t>kt C or 14,195.2 kt CO</w:t>
      </w:r>
      <w:r w:rsidRPr="00256982">
        <w:rPr>
          <w:vertAlign w:val="subscript"/>
        </w:rPr>
        <w:t>2</w:t>
      </w:r>
      <w:r w:rsidRPr="00256982">
        <w:t>) (see table 6.5.2).</w:t>
      </w:r>
    </w:p>
    <w:p w14:paraId="48F78A60" w14:textId="77777777" w:rsidR="00380BE7" w:rsidRPr="00256982" w:rsidRDefault="00380BE7" w:rsidP="00380BE7">
      <w:pPr>
        <w:pStyle w:val="Table"/>
      </w:pPr>
      <w:bookmarkStart w:id="1608" w:name="_Toc378853301"/>
      <w:bookmarkStart w:id="1609" w:name="_Toc391024099"/>
      <w:bookmarkStart w:id="1610" w:name="_Toc410028842"/>
      <w:bookmarkStart w:id="1611" w:name="_Toc414531470"/>
      <w:bookmarkStart w:id="1612" w:name="_Toc443645383"/>
      <w:bookmarkStart w:id="1613" w:name="_Toc474914602"/>
      <w:bookmarkStart w:id="1614" w:name="_Toc481751566"/>
      <w:bookmarkStart w:id="1615" w:name="_Toc522010623"/>
      <w:bookmarkStart w:id="1616" w:name="_Toc5269528"/>
      <w:r w:rsidRPr="00256982">
        <w:t>Table 6.5.2</w:t>
      </w:r>
      <w:r w:rsidRPr="00256982">
        <w:tab/>
        <w:t>New Zealand’s carbon stock change by carbon pool for the</w:t>
      </w:r>
      <w:r w:rsidRPr="00256982">
        <w:rPr>
          <w:rFonts w:cs="Arial"/>
        </w:rPr>
        <w:t xml:space="preserve"> Crop</w:t>
      </w:r>
      <w:r w:rsidRPr="00256982">
        <w:t>land category</w:t>
      </w:r>
      <w:r w:rsidRPr="00256982">
        <w:br/>
        <w:t>from 1990 to</w:t>
      </w:r>
      <w:bookmarkEnd w:id="1608"/>
      <w:bookmarkEnd w:id="1609"/>
      <w:r w:rsidRPr="00256982">
        <w:t> 201</w:t>
      </w:r>
      <w:bookmarkEnd w:id="1610"/>
      <w:bookmarkEnd w:id="1611"/>
      <w:bookmarkEnd w:id="1612"/>
      <w:bookmarkEnd w:id="1613"/>
      <w:bookmarkEnd w:id="1614"/>
      <w:r w:rsidRPr="00256982">
        <w:t>7</w:t>
      </w:r>
      <w:bookmarkEnd w:id="1615"/>
      <w:bookmarkEnd w:id="1616"/>
    </w:p>
    <w:tbl>
      <w:tblPr>
        <w:tblW w:w="8505" w:type="dxa"/>
        <w:tblInd w:w="108" w:type="dxa"/>
        <w:tblLook w:val="04A0" w:firstRow="1" w:lastRow="0" w:firstColumn="1" w:lastColumn="0" w:noHBand="0" w:noVBand="1"/>
      </w:tblPr>
      <w:tblGrid>
        <w:gridCol w:w="1700"/>
        <w:gridCol w:w="1350"/>
        <w:gridCol w:w="1455"/>
        <w:gridCol w:w="1269"/>
        <w:gridCol w:w="1269"/>
        <w:gridCol w:w="1462"/>
      </w:tblGrid>
      <w:tr w:rsidR="00380BE7" w:rsidRPr="00256982" w14:paraId="198CBC38" w14:textId="77777777" w:rsidTr="008C5B4C">
        <w:tc>
          <w:tcPr>
            <w:tcW w:w="1700" w:type="dxa"/>
            <w:vMerge w:val="restart"/>
            <w:tcBorders>
              <w:top w:val="single" w:sz="4" w:space="0" w:color="365F91"/>
            </w:tcBorders>
            <w:shd w:val="clear" w:color="auto" w:fill="365F91"/>
            <w:vAlign w:val="bottom"/>
          </w:tcPr>
          <w:p w14:paraId="5B84586B" w14:textId="77777777" w:rsidR="00380BE7" w:rsidRPr="00256982" w:rsidRDefault="00380BE7" w:rsidP="007E75FA">
            <w:pPr>
              <w:pStyle w:val="TableTextBold"/>
              <w:keepNext/>
              <w:spacing w:before="40" w:after="40"/>
              <w:rPr>
                <w:noProof w:val="0"/>
                <w:color w:val="FFFFFF"/>
              </w:rPr>
            </w:pPr>
            <w:r w:rsidRPr="00256982">
              <w:rPr>
                <w:noProof w:val="0"/>
                <w:color w:val="FFFFFF"/>
              </w:rPr>
              <w:t>Land use</w:t>
            </w:r>
          </w:p>
        </w:tc>
        <w:tc>
          <w:tcPr>
            <w:tcW w:w="5343" w:type="dxa"/>
            <w:gridSpan w:val="4"/>
            <w:tcBorders>
              <w:top w:val="single" w:sz="4" w:space="0" w:color="365F91"/>
            </w:tcBorders>
            <w:shd w:val="clear" w:color="auto" w:fill="365F91"/>
            <w:vAlign w:val="bottom"/>
          </w:tcPr>
          <w:p w14:paraId="7F40EF03" w14:textId="77777777" w:rsidR="00380BE7" w:rsidRPr="00256982" w:rsidRDefault="00380BE7" w:rsidP="007E75FA">
            <w:pPr>
              <w:pStyle w:val="TableTextBold"/>
              <w:keepNext/>
              <w:spacing w:before="40" w:after="40"/>
              <w:jc w:val="center"/>
              <w:rPr>
                <w:noProof w:val="0"/>
                <w:color w:val="FFFFFF"/>
              </w:rPr>
            </w:pPr>
            <w:r w:rsidRPr="00256982">
              <w:rPr>
                <w:noProof w:val="0"/>
                <w:color w:val="FFFFFF"/>
              </w:rPr>
              <w:t>Net carbon stock change 1990–2017 (kt C)</w:t>
            </w:r>
          </w:p>
        </w:tc>
        <w:tc>
          <w:tcPr>
            <w:tcW w:w="1462" w:type="dxa"/>
            <w:vMerge w:val="restart"/>
            <w:tcBorders>
              <w:top w:val="single" w:sz="4" w:space="0" w:color="365F91"/>
            </w:tcBorders>
            <w:shd w:val="clear" w:color="auto" w:fill="365F91"/>
            <w:vAlign w:val="bottom"/>
          </w:tcPr>
          <w:p w14:paraId="791E46BD" w14:textId="77777777" w:rsidR="00380BE7" w:rsidRPr="00256982" w:rsidRDefault="00380BE7" w:rsidP="007E75FA">
            <w:pPr>
              <w:pStyle w:val="TableTextBold"/>
              <w:keepNext/>
              <w:spacing w:before="40" w:after="40"/>
              <w:jc w:val="center"/>
              <w:rPr>
                <w:noProof w:val="0"/>
                <w:color w:val="FFFFFF"/>
              </w:rPr>
            </w:pPr>
            <w:r w:rsidRPr="00256982">
              <w:rPr>
                <w:noProof w:val="0"/>
                <w:color w:val="FFFFFF"/>
              </w:rPr>
              <w:t xml:space="preserve">Emissions </w:t>
            </w:r>
            <w:r w:rsidRPr="00256982">
              <w:rPr>
                <w:noProof w:val="0"/>
                <w:color w:val="FFFFFF"/>
              </w:rPr>
              <w:br/>
              <w:t>1990–2017</w:t>
            </w:r>
            <w:r w:rsidRPr="00256982">
              <w:rPr>
                <w:noProof w:val="0"/>
                <w:color w:val="FFFFFF"/>
              </w:rPr>
              <w:br/>
              <w:t>(kt CO</w:t>
            </w:r>
            <w:r w:rsidRPr="00256982">
              <w:rPr>
                <w:noProof w:val="0"/>
                <w:color w:val="FFFFFF"/>
                <w:vertAlign w:val="subscript"/>
              </w:rPr>
              <w:t>2</w:t>
            </w:r>
            <w:r w:rsidRPr="00256982">
              <w:rPr>
                <w:noProof w:val="0"/>
                <w:color w:val="FFFFFF"/>
              </w:rPr>
              <w:t>)</w:t>
            </w:r>
          </w:p>
        </w:tc>
      </w:tr>
      <w:tr w:rsidR="00380BE7" w:rsidRPr="00256982" w14:paraId="02C91176" w14:textId="77777777" w:rsidTr="008C5B4C">
        <w:tc>
          <w:tcPr>
            <w:tcW w:w="1700" w:type="dxa"/>
            <w:vMerge/>
            <w:tcBorders>
              <w:top w:val="single" w:sz="8" w:space="0" w:color="2E74B5"/>
              <w:bottom w:val="single" w:sz="4" w:space="0" w:color="365F91"/>
            </w:tcBorders>
            <w:shd w:val="clear" w:color="auto" w:fill="365F91"/>
            <w:vAlign w:val="bottom"/>
          </w:tcPr>
          <w:p w14:paraId="471D780D" w14:textId="77777777" w:rsidR="00380BE7" w:rsidRPr="00256982" w:rsidRDefault="00380BE7" w:rsidP="007E75FA">
            <w:pPr>
              <w:pStyle w:val="TableText"/>
              <w:keepNext/>
              <w:spacing w:before="40" w:after="40"/>
              <w:rPr>
                <w:color w:val="FFFFFF"/>
              </w:rPr>
            </w:pPr>
          </w:p>
        </w:tc>
        <w:tc>
          <w:tcPr>
            <w:tcW w:w="1350" w:type="dxa"/>
            <w:tcBorders>
              <w:bottom w:val="single" w:sz="4" w:space="0" w:color="365F91"/>
            </w:tcBorders>
            <w:shd w:val="clear" w:color="auto" w:fill="365F91"/>
            <w:vAlign w:val="bottom"/>
          </w:tcPr>
          <w:p w14:paraId="50935E0B" w14:textId="77777777" w:rsidR="00380BE7" w:rsidRPr="00256982" w:rsidRDefault="00380BE7" w:rsidP="007E75FA">
            <w:pPr>
              <w:pStyle w:val="TableTextBold"/>
              <w:keepNext/>
              <w:spacing w:before="40" w:after="40"/>
              <w:jc w:val="center"/>
              <w:rPr>
                <w:noProof w:val="0"/>
                <w:color w:val="FFFFFF"/>
              </w:rPr>
            </w:pPr>
            <w:r w:rsidRPr="00256982">
              <w:rPr>
                <w:noProof w:val="0"/>
                <w:color w:val="FFFFFF"/>
              </w:rPr>
              <w:t>Living biomass</w:t>
            </w:r>
          </w:p>
        </w:tc>
        <w:tc>
          <w:tcPr>
            <w:tcW w:w="1455" w:type="dxa"/>
            <w:tcBorders>
              <w:bottom w:val="single" w:sz="4" w:space="0" w:color="365F91"/>
            </w:tcBorders>
            <w:shd w:val="clear" w:color="auto" w:fill="365F91"/>
            <w:vAlign w:val="bottom"/>
          </w:tcPr>
          <w:p w14:paraId="408BA53C" w14:textId="77777777" w:rsidR="00380BE7" w:rsidRPr="00256982" w:rsidRDefault="00380BE7" w:rsidP="007E75FA">
            <w:pPr>
              <w:pStyle w:val="TableTextBold"/>
              <w:keepNext/>
              <w:spacing w:before="40" w:after="40"/>
              <w:jc w:val="center"/>
              <w:rPr>
                <w:noProof w:val="0"/>
                <w:color w:val="FFFFFF"/>
              </w:rPr>
            </w:pPr>
            <w:r w:rsidRPr="00256982">
              <w:rPr>
                <w:noProof w:val="0"/>
                <w:color w:val="FFFFFF"/>
              </w:rPr>
              <w:t>Dead organic matter</w:t>
            </w:r>
          </w:p>
        </w:tc>
        <w:tc>
          <w:tcPr>
            <w:tcW w:w="1269" w:type="dxa"/>
            <w:tcBorders>
              <w:bottom w:val="single" w:sz="4" w:space="0" w:color="365F91"/>
            </w:tcBorders>
            <w:shd w:val="clear" w:color="auto" w:fill="365F91"/>
            <w:vAlign w:val="bottom"/>
          </w:tcPr>
          <w:p w14:paraId="484ED573" w14:textId="77777777" w:rsidR="00380BE7" w:rsidRPr="00256982" w:rsidRDefault="00380BE7" w:rsidP="007E75FA">
            <w:pPr>
              <w:pStyle w:val="TableTextBold"/>
              <w:keepNext/>
              <w:spacing w:before="40" w:after="40"/>
              <w:jc w:val="center"/>
              <w:rPr>
                <w:noProof w:val="0"/>
                <w:color w:val="FFFFFF"/>
              </w:rPr>
            </w:pPr>
            <w:r w:rsidRPr="00256982">
              <w:rPr>
                <w:noProof w:val="0"/>
                <w:color w:val="FFFFFF"/>
              </w:rPr>
              <w:t>Soils</w:t>
            </w:r>
          </w:p>
        </w:tc>
        <w:tc>
          <w:tcPr>
            <w:tcW w:w="1269" w:type="dxa"/>
            <w:tcBorders>
              <w:bottom w:val="single" w:sz="4" w:space="0" w:color="365F91"/>
            </w:tcBorders>
            <w:shd w:val="clear" w:color="auto" w:fill="365F91"/>
            <w:vAlign w:val="bottom"/>
          </w:tcPr>
          <w:p w14:paraId="135F70C6" w14:textId="77777777" w:rsidR="00380BE7" w:rsidRPr="00256982" w:rsidRDefault="00380BE7" w:rsidP="007E75FA">
            <w:pPr>
              <w:pStyle w:val="TableTextBold"/>
              <w:keepNext/>
              <w:spacing w:before="40" w:after="40"/>
              <w:jc w:val="center"/>
              <w:rPr>
                <w:noProof w:val="0"/>
                <w:color w:val="FFFFFF"/>
              </w:rPr>
            </w:pPr>
            <w:r w:rsidRPr="00256982">
              <w:rPr>
                <w:noProof w:val="0"/>
                <w:color w:val="FFFFFF"/>
              </w:rPr>
              <w:t>Total</w:t>
            </w:r>
          </w:p>
        </w:tc>
        <w:tc>
          <w:tcPr>
            <w:tcW w:w="1462" w:type="dxa"/>
            <w:vMerge/>
            <w:tcBorders>
              <w:bottom w:val="single" w:sz="4" w:space="0" w:color="365F91"/>
            </w:tcBorders>
            <w:shd w:val="clear" w:color="auto" w:fill="365F91"/>
            <w:vAlign w:val="bottom"/>
          </w:tcPr>
          <w:p w14:paraId="4F762728" w14:textId="77777777" w:rsidR="00380BE7" w:rsidRPr="00256982" w:rsidRDefault="00380BE7" w:rsidP="007E75FA">
            <w:pPr>
              <w:pStyle w:val="TableText"/>
              <w:keepNext/>
              <w:spacing w:before="40" w:after="40"/>
              <w:jc w:val="center"/>
            </w:pPr>
          </w:p>
        </w:tc>
      </w:tr>
      <w:tr w:rsidR="00380BE7" w:rsidRPr="00256982" w14:paraId="155D0907" w14:textId="77777777" w:rsidTr="008C5B4C">
        <w:tc>
          <w:tcPr>
            <w:tcW w:w="1700" w:type="dxa"/>
            <w:tcBorders>
              <w:top w:val="single" w:sz="4" w:space="0" w:color="365F91"/>
              <w:bottom w:val="single" w:sz="4" w:space="0" w:color="365F91"/>
            </w:tcBorders>
          </w:tcPr>
          <w:p w14:paraId="76AF8CDE" w14:textId="77777777" w:rsidR="00380BE7" w:rsidRPr="00256982" w:rsidRDefault="00380BE7" w:rsidP="007E75FA">
            <w:pPr>
              <w:pStyle w:val="TableText"/>
              <w:spacing w:before="40" w:after="40"/>
            </w:pPr>
            <w:r w:rsidRPr="00256982">
              <w:t>Annual cropland</w:t>
            </w:r>
          </w:p>
        </w:tc>
        <w:tc>
          <w:tcPr>
            <w:tcW w:w="1350" w:type="dxa"/>
            <w:tcBorders>
              <w:top w:val="single" w:sz="4" w:space="0" w:color="365F91"/>
              <w:bottom w:val="single" w:sz="4" w:space="0" w:color="365F91"/>
            </w:tcBorders>
          </w:tcPr>
          <w:p w14:paraId="47BC18E9" w14:textId="77777777" w:rsidR="00380BE7" w:rsidRPr="00256982" w:rsidRDefault="00380BE7" w:rsidP="007E75FA">
            <w:pPr>
              <w:pStyle w:val="TableText"/>
              <w:keepNext/>
              <w:spacing w:before="40" w:after="40"/>
              <w:jc w:val="center"/>
            </w:pPr>
            <w:r w:rsidRPr="00256982">
              <w:rPr>
                <w:rFonts w:cs="Arial"/>
                <w:szCs w:val="16"/>
              </w:rPr>
              <w:t>–</w:t>
            </w:r>
            <w:r w:rsidRPr="00256982">
              <w:t>179.6</w:t>
            </w:r>
          </w:p>
        </w:tc>
        <w:tc>
          <w:tcPr>
            <w:tcW w:w="1455" w:type="dxa"/>
            <w:tcBorders>
              <w:top w:val="single" w:sz="4" w:space="0" w:color="365F91"/>
              <w:bottom w:val="single" w:sz="4" w:space="0" w:color="365F91"/>
            </w:tcBorders>
          </w:tcPr>
          <w:p w14:paraId="16148195" w14:textId="77777777" w:rsidR="00380BE7" w:rsidRPr="00256982" w:rsidRDefault="00380BE7" w:rsidP="007E75FA">
            <w:pPr>
              <w:pStyle w:val="TableText"/>
              <w:keepNext/>
              <w:spacing w:before="40" w:after="40"/>
              <w:jc w:val="center"/>
            </w:pPr>
            <w:r w:rsidRPr="00256982">
              <w:rPr>
                <w:rFonts w:cs="Arial"/>
                <w:szCs w:val="16"/>
              </w:rPr>
              <w:t>–</w:t>
            </w:r>
            <w:r w:rsidRPr="00256982">
              <w:t>10.6</w:t>
            </w:r>
          </w:p>
        </w:tc>
        <w:tc>
          <w:tcPr>
            <w:tcW w:w="1269" w:type="dxa"/>
            <w:tcBorders>
              <w:top w:val="single" w:sz="4" w:space="0" w:color="365F91"/>
              <w:bottom w:val="single" w:sz="4" w:space="0" w:color="365F91"/>
            </w:tcBorders>
          </w:tcPr>
          <w:p w14:paraId="2BBBE9ED" w14:textId="77777777" w:rsidR="00380BE7" w:rsidRPr="00256982" w:rsidRDefault="00380BE7" w:rsidP="007E75FA">
            <w:pPr>
              <w:pStyle w:val="TableText"/>
              <w:keepNext/>
              <w:spacing w:before="40" w:after="40"/>
              <w:jc w:val="center"/>
            </w:pPr>
            <w:r w:rsidRPr="00256982">
              <w:rPr>
                <w:rFonts w:cs="Arial"/>
                <w:szCs w:val="16"/>
              </w:rPr>
              <w:t>–</w:t>
            </w:r>
            <w:r w:rsidRPr="00256982">
              <w:t>2,600.3</w:t>
            </w:r>
          </w:p>
        </w:tc>
        <w:tc>
          <w:tcPr>
            <w:tcW w:w="1269" w:type="dxa"/>
            <w:tcBorders>
              <w:top w:val="single" w:sz="4" w:space="0" w:color="365F91"/>
              <w:bottom w:val="single" w:sz="4" w:space="0" w:color="365F91"/>
            </w:tcBorders>
          </w:tcPr>
          <w:p w14:paraId="6309F6CC" w14:textId="77777777" w:rsidR="00380BE7" w:rsidRPr="00256982" w:rsidRDefault="00380BE7" w:rsidP="007E75FA">
            <w:pPr>
              <w:pStyle w:val="TableText"/>
              <w:keepNext/>
              <w:spacing w:before="40" w:after="40"/>
              <w:jc w:val="center"/>
            </w:pPr>
            <w:r w:rsidRPr="00256982">
              <w:rPr>
                <w:rFonts w:cs="Arial"/>
                <w:szCs w:val="16"/>
              </w:rPr>
              <w:t>–</w:t>
            </w:r>
            <w:r w:rsidRPr="00256982">
              <w:t>2,790.5</w:t>
            </w:r>
          </w:p>
        </w:tc>
        <w:tc>
          <w:tcPr>
            <w:tcW w:w="1462" w:type="dxa"/>
            <w:tcBorders>
              <w:top w:val="single" w:sz="4" w:space="0" w:color="365F91"/>
              <w:bottom w:val="single" w:sz="4" w:space="0" w:color="365F91"/>
            </w:tcBorders>
          </w:tcPr>
          <w:p w14:paraId="104DD7D0" w14:textId="77777777" w:rsidR="00380BE7" w:rsidRPr="00256982" w:rsidRDefault="00380BE7" w:rsidP="007E75FA">
            <w:pPr>
              <w:pStyle w:val="TableText"/>
              <w:keepNext/>
              <w:spacing w:before="40" w:after="40"/>
              <w:jc w:val="center"/>
            </w:pPr>
            <w:r w:rsidRPr="00256982">
              <w:t>10,231.8</w:t>
            </w:r>
          </w:p>
        </w:tc>
      </w:tr>
      <w:tr w:rsidR="00380BE7" w:rsidRPr="00256982" w14:paraId="0EF8DEED" w14:textId="77777777" w:rsidTr="008C5B4C">
        <w:tc>
          <w:tcPr>
            <w:tcW w:w="1700" w:type="dxa"/>
            <w:tcBorders>
              <w:top w:val="single" w:sz="4" w:space="0" w:color="365F91"/>
              <w:bottom w:val="single" w:sz="4" w:space="0" w:color="365F91"/>
            </w:tcBorders>
          </w:tcPr>
          <w:p w14:paraId="2D300971" w14:textId="77777777" w:rsidR="00380BE7" w:rsidRPr="00256982" w:rsidRDefault="00380BE7" w:rsidP="007E75FA">
            <w:pPr>
              <w:pStyle w:val="TableText"/>
              <w:spacing w:before="40" w:after="40"/>
            </w:pPr>
            <w:r w:rsidRPr="00256982">
              <w:t xml:space="preserve">Perennial cropland </w:t>
            </w:r>
          </w:p>
        </w:tc>
        <w:tc>
          <w:tcPr>
            <w:tcW w:w="1350" w:type="dxa"/>
            <w:tcBorders>
              <w:top w:val="single" w:sz="4" w:space="0" w:color="365F91"/>
              <w:bottom w:val="single" w:sz="4" w:space="0" w:color="365F91"/>
            </w:tcBorders>
          </w:tcPr>
          <w:p w14:paraId="26E6FADC" w14:textId="77777777" w:rsidR="00380BE7" w:rsidRPr="00256982" w:rsidRDefault="00380BE7" w:rsidP="007E75FA">
            <w:pPr>
              <w:pStyle w:val="TableText"/>
              <w:keepNext/>
              <w:spacing w:before="40" w:after="40"/>
              <w:jc w:val="center"/>
            </w:pPr>
            <w:r w:rsidRPr="00256982">
              <w:t>288.8</w:t>
            </w:r>
          </w:p>
        </w:tc>
        <w:tc>
          <w:tcPr>
            <w:tcW w:w="1455" w:type="dxa"/>
            <w:tcBorders>
              <w:top w:val="single" w:sz="4" w:space="0" w:color="365F91"/>
              <w:bottom w:val="single" w:sz="4" w:space="0" w:color="365F91"/>
            </w:tcBorders>
          </w:tcPr>
          <w:p w14:paraId="0632965A" w14:textId="77777777" w:rsidR="00380BE7" w:rsidRPr="00256982" w:rsidRDefault="00380BE7" w:rsidP="007E75FA">
            <w:pPr>
              <w:pStyle w:val="TableText"/>
              <w:keepNext/>
              <w:spacing w:before="40" w:after="40"/>
              <w:jc w:val="center"/>
            </w:pPr>
            <w:r w:rsidRPr="00256982">
              <w:rPr>
                <w:rFonts w:cs="Arial"/>
                <w:szCs w:val="16"/>
              </w:rPr>
              <w:t>–</w:t>
            </w:r>
            <w:r w:rsidRPr="00256982">
              <w:t>6.1</w:t>
            </w:r>
          </w:p>
        </w:tc>
        <w:tc>
          <w:tcPr>
            <w:tcW w:w="1269" w:type="dxa"/>
            <w:tcBorders>
              <w:top w:val="single" w:sz="4" w:space="0" w:color="365F91"/>
              <w:bottom w:val="single" w:sz="4" w:space="0" w:color="365F91"/>
            </w:tcBorders>
          </w:tcPr>
          <w:p w14:paraId="5DBEB8A9" w14:textId="77777777" w:rsidR="00380BE7" w:rsidRPr="00256982" w:rsidRDefault="00380BE7" w:rsidP="007E75FA">
            <w:pPr>
              <w:pStyle w:val="TableText"/>
              <w:keepNext/>
              <w:spacing w:before="40" w:after="40"/>
              <w:jc w:val="center"/>
            </w:pPr>
            <w:r w:rsidRPr="00256982">
              <w:rPr>
                <w:rFonts w:cs="Arial"/>
                <w:szCs w:val="16"/>
              </w:rPr>
              <w:t>–</w:t>
            </w:r>
            <w:r w:rsidRPr="00256982">
              <w:t>1,271.1</w:t>
            </w:r>
          </w:p>
        </w:tc>
        <w:tc>
          <w:tcPr>
            <w:tcW w:w="1269" w:type="dxa"/>
            <w:tcBorders>
              <w:top w:val="single" w:sz="4" w:space="0" w:color="365F91"/>
              <w:bottom w:val="single" w:sz="4" w:space="0" w:color="365F91"/>
            </w:tcBorders>
          </w:tcPr>
          <w:p w14:paraId="78BF0D8C" w14:textId="77777777" w:rsidR="00380BE7" w:rsidRPr="00256982" w:rsidRDefault="00380BE7" w:rsidP="007E75FA">
            <w:pPr>
              <w:pStyle w:val="TableText"/>
              <w:keepNext/>
              <w:spacing w:before="40" w:after="40"/>
              <w:jc w:val="center"/>
            </w:pPr>
            <w:r w:rsidRPr="00256982">
              <w:rPr>
                <w:rFonts w:cs="Arial"/>
                <w:szCs w:val="16"/>
              </w:rPr>
              <w:t>–</w:t>
            </w:r>
            <w:r w:rsidRPr="00256982">
              <w:t>988.4</w:t>
            </w:r>
          </w:p>
        </w:tc>
        <w:tc>
          <w:tcPr>
            <w:tcW w:w="1462" w:type="dxa"/>
            <w:tcBorders>
              <w:top w:val="single" w:sz="4" w:space="0" w:color="365F91"/>
              <w:bottom w:val="single" w:sz="4" w:space="0" w:color="365F91"/>
            </w:tcBorders>
          </w:tcPr>
          <w:p w14:paraId="5477B21D" w14:textId="77777777" w:rsidR="00380BE7" w:rsidRPr="00256982" w:rsidRDefault="00380BE7" w:rsidP="007E75FA">
            <w:pPr>
              <w:pStyle w:val="TableText"/>
              <w:keepNext/>
              <w:spacing w:before="40" w:after="40"/>
              <w:jc w:val="center"/>
            </w:pPr>
            <w:r w:rsidRPr="00256982">
              <w:t>3,624.3</w:t>
            </w:r>
          </w:p>
        </w:tc>
      </w:tr>
      <w:tr w:rsidR="00380BE7" w:rsidRPr="00256982" w14:paraId="6F11B008" w14:textId="77777777" w:rsidTr="008C5B4C">
        <w:tc>
          <w:tcPr>
            <w:tcW w:w="1700" w:type="dxa"/>
            <w:tcBorders>
              <w:top w:val="single" w:sz="4" w:space="0" w:color="365F91"/>
              <w:bottom w:val="single" w:sz="4" w:space="0" w:color="365F91"/>
            </w:tcBorders>
          </w:tcPr>
          <w:p w14:paraId="7C8CDC25" w14:textId="77777777" w:rsidR="00380BE7" w:rsidRPr="00256982" w:rsidRDefault="00380BE7" w:rsidP="007E75FA">
            <w:pPr>
              <w:pStyle w:val="Tableboldblue"/>
              <w:keepNext/>
              <w:spacing w:before="40" w:after="40"/>
            </w:pPr>
            <w:r w:rsidRPr="00256982">
              <w:t>Total</w:t>
            </w:r>
          </w:p>
        </w:tc>
        <w:tc>
          <w:tcPr>
            <w:tcW w:w="1350" w:type="dxa"/>
            <w:tcBorders>
              <w:top w:val="single" w:sz="4" w:space="0" w:color="365F91"/>
              <w:bottom w:val="single" w:sz="4" w:space="0" w:color="365F91"/>
            </w:tcBorders>
          </w:tcPr>
          <w:p w14:paraId="42E68488" w14:textId="77777777" w:rsidR="00380BE7" w:rsidRPr="00256982" w:rsidRDefault="00380BE7" w:rsidP="007E75FA">
            <w:pPr>
              <w:pStyle w:val="Tableboldblue"/>
              <w:keepNext/>
              <w:spacing w:before="40" w:after="40"/>
              <w:jc w:val="center"/>
            </w:pPr>
            <w:r w:rsidRPr="00256982">
              <w:t>109.2</w:t>
            </w:r>
          </w:p>
        </w:tc>
        <w:tc>
          <w:tcPr>
            <w:tcW w:w="1455" w:type="dxa"/>
            <w:tcBorders>
              <w:top w:val="single" w:sz="4" w:space="0" w:color="365F91"/>
              <w:bottom w:val="single" w:sz="4" w:space="0" w:color="365F91"/>
            </w:tcBorders>
          </w:tcPr>
          <w:p w14:paraId="20773072" w14:textId="77777777" w:rsidR="00380BE7" w:rsidRPr="00256982" w:rsidRDefault="00380BE7" w:rsidP="007E75FA">
            <w:pPr>
              <w:pStyle w:val="Tableboldblue"/>
              <w:keepNext/>
              <w:spacing w:before="40" w:after="40"/>
              <w:jc w:val="center"/>
            </w:pPr>
            <w:r w:rsidRPr="00256982">
              <w:rPr>
                <w:rFonts w:cs="Arial"/>
                <w:szCs w:val="16"/>
              </w:rPr>
              <w:t>–</w:t>
            </w:r>
            <w:r w:rsidRPr="00256982">
              <w:t>16.7</w:t>
            </w:r>
          </w:p>
        </w:tc>
        <w:tc>
          <w:tcPr>
            <w:tcW w:w="1269" w:type="dxa"/>
            <w:tcBorders>
              <w:top w:val="single" w:sz="4" w:space="0" w:color="365F91"/>
              <w:bottom w:val="single" w:sz="4" w:space="0" w:color="365F91"/>
            </w:tcBorders>
          </w:tcPr>
          <w:p w14:paraId="178A537E" w14:textId="77777777" w:rsidR="00380BE7" w:rsidRPr="00256982" w:rsidRDefault="00380BE7" w:rsidP="007E75FA">
            <w:pPr>
              <w:pStyle w:val="Tableboldblue"/>
              <w:keepNext/>
              <w:spacing w:before="40" w:after="40"/>
              <w:jc w:val="center"/>
            </w:pPr>
            <w:r w:rsidRPr="00256982">
              <w:rPr>
                <w:rFonts w:cs="Arial"/>
                <w:szCs w:val="16"/>
              </w:rPr>
              <w:t>–</w:t>
            </w:r>
            <w:r w:rsidRPr="00256982">
              <w:t>3,871.4</w:t>
            </w:r>
          </w:p>
        </w:tc>
        <w:tc>
          <w:tcPr>
            <w:tcW w:w="1269" w:type="dxa"/>
            <w:tcBorders>
              <w:top w:val="single" w:sz="4" w:space="0" w:color="365F91"/>
              <w:bottom w:val="single" w:sz="4" w:space="0" w:color="365F91"/>
            </w:tcBorders>
          </w:tcPr>
          <w:p w14:paraId="30B1C697" w14:textId="77777777" w:rsidR="00380BE7" w:rsidRPr="00256982" w:rsidRDefault="00380BE7" w:rsidP="007E75FA">
            <w:pPr>
              <w:pStyle w:val="Tableboldblue"/>
              <w:keepNext/>
              <w:spacing w:before="40" w:after="40"/>
              <w:jc w:val="center"/>
            </w:pPr>
            <w:r w:rsidRPr="00256982">
              <w:rPr>
                <w:rFonts w:cs="Arial"/>
                <w:szCs w:val="16"/>
              </w:rPr>
              <w:t>–</w:t>
            </w:r>
            <w:r w:rsidRPr="00256982">
              <w:t>3,778.9</w:t>
            </w:r>
          </w:p>
        </w:tc>
        <w:tc>
          <w:tcPr>
            <w:tcW w:w="1462" w:type="dxa"/>
            <w:tcBorders>
              <w:top w:val="single" w:sz="4" w:space="0" w:color="365F91"/>
              <w:bottom w:val="single" w:sz="4" w:space="0" w:color="365F91"/>
            </w:tcBorders>
          </w:tcPr>
          <w:p w14:paraId="2F1C6314" w14:textId="77777777" w:rsidR="00380BE7" w:rsidRPr="00256982" w:rsidRDefault="00380BE7" w:rsidP="007E75FA">
            <w:pPr>
              <w:pStyle w:val="Tableboldblue"/>
              <w:keepNext/>
              <w:spacing w:before="40" w:after="40"/>
              <w:jc w:val="center"/>
            </w:pPr>
            <w:r w:rsidRPr="00256982">
              <w:t>13,856.1</w:t>
            </w:r>
          </w:p>
        </w:tc>
      </w:tr>
    </w:tbl>
    <w:p w14:paraId="149B24D6" w14:textId="77777777" w:rsidR="00380BE7" w:rsidRPr="00256982" w:rsidRDefault="00380BE7" w:rsidP="00D93A9D">
      <w:pPr>
        <w:pStyle w:val="Noteundertable"/>
        <w:spacing w:before="80" w:after="100"/>
      </w:pPr>
      <w:r w:rsidRPr="00256982">
        <w:rPr>
          <w:b/>
        </w:rPr>
        <w:t>Note:</w:t>
      </w:r>
      <w:r w:rsidRPr="00256982">
        <w:tab/>
        <w:t>This table includes CO</w:t>
      </w:r>
      <w:r w:rsidRPr="00256982">
        <w:rPr>
          <w:vertAlign w:val="subscript"/>
        </w:rPr>
        <w:t>2</w:t>
      </w:r>
      <w:r w:rsidRPr="00256982">
        <w:t xml:space="preserve"> emissions from carbon stock change only (emissions from N</w:t>
      </w:r>
      <w:r w:rsidRPr="00256982">
        <w:rPr>
          <w:vertAlign w:val="subscript"/>
        </w:rPr>
        <w:t>2</w:t>
      </w:r>
      <w:r w:rsidRPr="00256982">
        <w:t xml:space="preserve">O disturbance are not included in this table). The reported dead organic matter losses result from the loss of dead organic matter of woody land use categories on conversion to cropland. Columns may not total due to rounding. </w:t>
      </w:r>
    </w:p>
    <w:p w14:paraId="1EE0D805" w14:textId="77777777" w:rsidR="00380BE7" w:rsidRPr="00256982" w:rsidRDefault="00380BE7" w:rsidP="007E75FA">
      <w:pPr>
        <w:pStyle w:val="BodyText"/>
        <w:spacing w:before="100" w:after="100"/>
      </w:pPr>
      <w:r w:rsidRPr="00256982">
        <w:t xml:space="preserve">Table 6.5.3 shows land-use change by </w:t>
      </w:r>
      <w:r w:rsidRPr="00256982">
        <w:rPr>
          <w:i/>
        </w:rPr>
        <w:t>Cropland</w:t>
      </w:r>
      <w:r w:rsidRPr="00256982">
        <w:t xml:space="preserve"> land use since 1990, and the associated CO</w:t>
      </w:r>
      <w:r w:rsidRPr="00256982">
        <w:rPr>
          <w:vertAlign w:val="subscript"/>
        </w:rPr>
        <w:t>2</w:t>
      </w:r>
      <w:r w:rsidRPr="00256982">
        <w:t xml:space="preserve"> emissions from carbon stock change. The </w:t>
      </w:r>
      <w:r w:rsidRPr="00256982">
        <w:rPr>
          <w:i/>
        </w:rPr>
        <w:t>Cropland</w:t>
      </w:r>
      <w:r w:rsidRPr="00256982">
        <w:t xml:space="preserve"> category in New Zealand is separated into two land use types: annual and perennial. In 2017, there were 371,428 hectares of annual cropland in New Zealand (see table 6.5.3; 1.4 per cent of total land area) and 104,527 hectares of perennial cropland (see table 6.5.3; 0.4 per cent of total land area).</w:t>
      </w:r>
    </w:p>
    <w:p w14:paraId="32CC0D16" w14:textId="77777777" w:rsidR="00380BE7" w:rsidRPr="00256982" w:rsidRDefault="00380BE7" w:rsidP="007E75FA">
      <w:pPr>
        <w:pStyle w:val="BodyText"/>
        <w:spacing w:before="100" w:after="100"/>
      </w:pPr>
      <w:r w:rsidRPr="00256982">
        <w:t xml:space="preserve">Annual crops include cereals, grains, oil seeds, vegetables, root crops and forages. Perennial crops include orchards, vineyards and their associated shelterbelts except where these shelterbelts meet the criteria for the </w:t>
      </w:r>
      <w:r w:rsidRPr="00256982">
        <w:rPr>
          <w:i/>
        </w:rPr>
        <w:t>Forest land</w:t>
      </w:r>
      <w:r w:rsidRPr="00256982">
        <w:t xml:space="preserve"> category. </w:t>
      </w:r>
    </w:p>
    <w:p w14:paraId="591ED397" w14:textId="77777777" w:rsidR="00380BE7" w:rsidRPr="00256982" w:rsidRDefault="00380BE7" w:rsidP="007E75FA">
      <w:pPr>
        <w:pStyle w:val="BodyText"/>
        <w:spacing w:before="100" w:after="100"/>
      </w:pPr>
      <w:r w:rsidRPr="00256982">
        <w:t xml:space="preserve">The amount of carbon stored in, emitted by or removed from permanent cropland depends on crop type, management practices, soil properties and climate variables. Annual crops are harvested each year, with no long-term storage of carbon in biomass. However, the amount of carbon stored in woody vegetation in orchards can be significant, with the amount depending on the species, density, growth rates, and harvesting and pruning practices. </w:t>
      </w:r>
    </w:p>
    <w:p w14:paraId="0EA83674" w14:textId="77777777" w:rsidR="00380BE7" w:rsidRPr="00256982" w:rsidRDefault="00380BE7" w:rsidP="00D93A9D">
      <w:pPr>
        <w:pStyle w:val="Table"/>
        <w:spacing w:before="100" w:after="100"/>
      </w:pPr>
      <w:bookmarkStart w:id="1617" w:name="_Toc310423415"/>
      <w:bookmarkStart w:id="1618" w:name="_Toc318362708"/>
      <w:bookmarkStart w:id="1619" w:name="_Toc342470770"/>
      <w:bookmarkStart w:id="1620" w:name="_Toc352505010"/>
      <w:bookmarkStart w:id="1621" w:name="_Toc378853302"/>
      <w:bookmarkStart w:id="1622" w:name="_Toc391024100"/>
      <w:bookmarkStart w:id="1623" w:name="_Toc410028843"/>
      <w:bookmarkStart w:id="1624" w:name="_Toc414531471"/>
      <w:bookmarkStart w:id="1625" w:name="_Toc443645384"/>
      <w:bookmarkStart w:id="1626" w:name="_Toc474914603"/>
      <w:bookmarkStart w:id="1627" w:name="_Toc481751567"/>
      <w:bookmarkStart w:id="1628" w:name="_Toc522010624"/>
      <w:bookmarkStart w:id="1629" w:name="_Toc5269529"/>
      <w:r w:rsidRPr="00256982">
        <w:t>Table 6.5.3</w:t>
      </w:r>
      <w:r w:rsidRPr="00256982">
        <w:tab/>
        <w:t>New Zealand’s land-use change by Cropland land use, and associated CO</w:t>
      </w:r>
      <w:r w:rsidRPr="00256982">
        <w:rPr>
          <w:vertAlign w:val="subscript"/>
        </w:rPr>
        <w:t>2</w:t>
      </w:r>
      <w:r w:rsidRPr="00256982">
        <w:t xml:space="preserve"> emissions</w:t>
      </w:r>
      <w:r w:rsidRPr="00256982">
        <w:br/>
        <w:t>from carbon stock change</w:t>
      </w:r>
      <w:bookmarkEnd w:id="1617"/>
      <w:bookmarkEnd w:id="1618"/>
      <w:bookmarkEnd w:id="1619"/>
      <w:bookmarkEnd w:id="1620"/>
      <w:bookmarkEnd w:id="1621"/>
      <w:r w:rsidRPr="00256982">
        <w:t>, from 1990 to</w:t>
      </w:r>
      <w:bookmarkEnd w:id="1622"/>
      <w:r w:rsidRPr="00256982">
        <w:t> 201</w:t>
      </w:r>
      <w:bookmarkEnd w:id="1623"/>
      <w:bookmarkEnd w:id="1624"/>
      <w:bookmarkEnd w:id="1625"/>
      <w:bookmarkEnd w:id="1626"/>
      <w:bookmarkEnd w:id="1627"/>
      <w:r w:rsidRPr="00256982">
        <w:t>7</w:t>
      </w:r>
      <w:bookmarkEnd w:id="1628"/>
      <w:bookmarkEnd w:id="1629"/>
    </w:p>
    <w:tbl>
      <w:tblPr>
        <w:tblW w:w="8505" w:type="dxa"/>
        <w:tblInd w:w="108" w:type="dxa"/>
        <w:tblLook w:val="04A0" w:firstRow="1" w:lastRow="0" w:firstColumn="1" w:lastColumn="0" w:noHBand="0" w:noVBand="1"/>
      </w:tblPr>
      <w:tblGrid>
        <w:gridCol w:w="1560"/>
        <w:gridCol w:w="1275"/>
        <w:gridCol w:w="1294"/>
        <w:gridCol w:w="1172"/>
        <w:gridCol w:w="1091"/>
        <w:gridCol w:w="1082"/>
        <w:gridCol w:w="1031"/>
      </w:tblGrid>
      <w:tr w:rsidR="00380BE7" w:rsidRPr="00256982" w14:paraId="0316FAB6" w14:textId="77777777" w:rsidTr="008C5B4C">
        <w:tc>
          <w:tcPr>
            <w:tcW w:w="1560" w:type="dxa"/>
            <w:vMerge w:val="restart"/>
            <w:tcBorders>
              <w:top w:val="single" w:sz="4" w:space="0" w:color="365F91"/>
            </w:tcBorders>
            <w:shd w:val="clear" w:color="auto" w:fill="365F91"/>
            <w:vAlign w:val="bottom"/>
          </w:tcPr>
          <w:p w14:paraId="663DB783" w14:textId="77777777" w:rsidR="00380BE7" w:rsidRPr="00256982" w:rsidRDefault="00380BE7" w:rsidP="00D93A9D">
            <w:pPr>
              <w:pStyle w:val="TableTextBold"/>
              <w:spacing w:before="40" w:after="40"/>
              <w:rPr>
                <w:noProof w:val="0"/>
                <w:color w:val="FFFFFF"/>
              </w:rPr>
            </w:pPr>
            <w:r w:rsidRPr="00256982">
              <w:rPr>
                <w:noProof w:val="0"/>
                <w:color w:val="FFFFFF"/>
              </w:rPr>
              <w:t>Land use</w:t>
            </w:r>
          </w:p>
        </w:tc>
        <w:tc>
          <w:tcPr>
            <w:tcW w:w="1275" w:type="dxa"/>
            <w:vMerge w:val="restart"/>
            <w:tcBorders>
              <w:top w:val="single" w:sz="4" w:space="0" w:color="365F91"/>
            </w:tcBorders>
            <w:shd w:val="clear" w:color="auto" w:fill="365F91"/>
            <w:vAlign w:val="bottom"/>
          </w:tcPr>
          <w:p w14:paraId="68B5FF58" w14:textId="77777777" w:rsidR="00380BE7" w:rsidRPr="00256982" w:rsidRDefault="00380BE7" w:rsidP="007E75FA">
            <w:pPr>
              <w:pStyle w:val="TableTextBold"/>
              <w:keepNext/>
              <w:spacing w:before="40" w:after="40"/>
              <w:jc w:val="center"/>
              <w:rPr>
                <w:noProof w:val="0"/>
                <w:color w:val="FFFFFF"/>
              </w:rPr>
            </w:pPr>
            <w:r w:rsidRPr="00256982">
              <w:rPr>
                <w:noProof w:val="0"/>
                <w:color w:val="FFFFFF"/>
              </w:rPr>
              <w:t>Net area in 1990 (ha)</w:t>
            </w:r>
          </w:p>
        </w:tc>
        <w:tc>
          <w:tcPr>
            <w:tcW w:w="1294" w:type="dxa"/>
            <w:vMerge w:val="restart"/>
            <w:tcBorders>
              <w:top w:val="single" w:sz="4" w:space="0" w:color="365F91"/>
            </w:tcBorders>
            <w:shd w:val="clear" w:color="auto" w:fill="365F91"/>
            <w:vAlign w:val="bottom"/>
          </w:tcPr>
          <w:p w14:paraId="2911BC3F" w14:textId="77777777" w:rsidR="00380BE7" w:rsidRPr="00256982" w:rsidRDefault="00380BE7" w:rsidP="007E75FA">
            <w:pPr>
              <w:pStyle w:val="TableTextBold"/>
              <w:keepNext/>
              <w:spacing w:before="40" w:after="40"/>
              <w:jc w:val="center"/>
              <w:rPr>
                <w:noProof w:val="0"/>
                <w:color w:val="FFFFFF"/>
              </w:rPr>
            </w:pPr>
            <w:r w:rsidRPr="00256982">
              <w:rPr>
                <w:noProof w:val="0"/>
                <w:color w:val="FFFFFF"/>
              </w:rPr>
              <w:t>Net area in 2017 (ha)</w:t>
            </w:r>
          </w:p>
        </w:tc>
        <w:tc>
          <w:tcPr>
            <w:tcW w:w="1172" w:type="dxa"/>
            <w:vMerge w:val="restart"/>
            <w:tcBorders>
              <w:top w:val="single" w:sz="4" w:space="0" w:color="365F91"/>
            </w:tcBorders>
            <w:shd w:val="clear" w:color="auto" w:fill="365F91"/>
            <w:vAlign w:val="bottom"/>
          </w:tcPr>
          <w:p w14:paraId="286F783B" w14:textId="77777777" w:rsidR="00380BE7" w:rsidRPr="00256982" w:rsidRDefault="00380BE7" w:rsidP="007E75FA">
            <w:pPr>
              <w:pStyle w:val="TableTextBold"/>
              <w:keepNext/>
              <w:spacing w:before="40" w:after="40"/>
              <w:jc w:val="center"/>
              <w:rPr>
                <w:noProof w:val="0"/>
                <w:color w:val="FFFFFF"/>
              </w:rPr>
            </w:pPr>
            <w:r w:rsidRPr="00256982">
              <w:rPr>
                <w:noProof w:val="0"/>
                <w:color w:val="FFFFFF"/>
              </w:rPr>
              <w:t>Change from 1990 (%)</w:t>
            </w:r>
          </w:p>
        </w:tc>
        <w:tc>
          <w:tcPr>
            <w:tcW w:w="2173" w:type="dxa"/>
            <w:gridSpan w:val="2"/>
            <w:tcBorders>
              <w:top w:val="single" w:sz="4" w:space="0" w:color="365F91"/>
            </w:tcBorders>
            <w:shd w:val="clear" w:color="auto" w:fill="365F91"/>
            <w:vAlign w:val="bottom"/>
          </w:tcPr>
          <w:p w14:paraId="576443E0" w14:textId="77777777" w:rsidR="00380BE7" w:rsidRPr="00256982" w:rsidRDefault="00380BE7" w:rsidP="007E75FA">
            <w:pPr>
              <w:pStyle w:val="TableTextBold"/>
              <w:keepNext/>
              <w:spacing w:before="40" w:after="40"/>
              <w:jc w:val="center"/>
              <w:rPr>
                <w:noProof w:val="0"/>
                <w:color w:val="FFFFFF"/>
              </w:rPr>
            </w:pPr>
            <w:r w:rsidRPr="00256982">
              <w:rPr>
                <w:noProof w:val="0"/>
                <w:color w:val="FFFFFF"/>
              </w:rPr>
              <w:t xml:space="preserve">Net emissions </w:t>
            </w:r>
            <w:r w:rsidRPr="00256982">
              <w:rPr>
                <w:noProof w:val="0"/>
                <w:color w:val="FFFFFF"/>
              </w:rPr>
              <w:br/>
              <w:t>(kt CO</w:t>
            </w:r>
            <w:r w:rsidRPr="00256982">
              <w:rPr>
                <w:rFonts w:ascii="Arial Bold" w:hAnsi="Arial Bold"/>
                <w:noProof w:val="0"/>
                <w:color w:val="FFFFFF"/>
                <w:vertAlign w:val="subscript"/>
              </w:rPr>
              <w:t>2</w:t>
            </w:r>
            <w:r w:rsidRPr="00256982">
              <w:rPr>
                <w:noProof w:val="0"/>
                <w:color w:val="FFFFFF"/>
              </w:rPr>
              <w:t xml:space="preserve"> only)</w:t>
            </w:r>
          </w:p>
        </w:tc>
        <w:tc>
          <w:tcPr>
            <w:tcW w:w="1031" w:type="dxa"/>
            <w:vMerge w:val="restart"/>
            <w:tcBorders>
              <w:top w:val="single" w:sz="4" w:space="0" w:color="365F91"/>
            </w:tcBorders>
            <w:shd w:val="clear" w:color="auto" w:fill="365F91"/>
            <w:vAlign w:val="bottom"/>
          </w:tcPr>
          <w:p w14:paraId="3C8CDD6A" w14:textId="77777777" w:rsidR="00380BE7" w:rsidRPr="00256982" w:rsidRDefault="00380BE7" w:rsidP="007E75FA">
            <w:pPr>
              <w:pStyle w:val="TableTextBold"/>
              <w:keepNext/>
              <w:spacing w:before="40" w:after="40"/>
              <w:jc w:val="center"/>
              <w:rPr>
                <w:noProof w:val="0"/>
                <w:color w:val="FFFFFF"/>
              </w:rPr>
            </w:pPr>
            <w:r w:rsidRPr="00256982">
              <w:rPr>
                <w:noProof w:val="0"/>
                <w:color w:val="FFFFFF"/>
              </w:rPr>
              <w:t>Change from 1990 (%)</w:t>
            </w:r>
          </w:p>
        </w:tc>
      </w:tr>
      <w:tr w:rsidR="00380BE7" w:rsidRPr="00256982" w14:paraId="2C5D4825" w14:textId="77777777" w:rsidTr="008C5B4C">
        <w:tc>
          <w:tcPr>
            <w:tcW w:w="1560" w:type="dxa"/>
            <w:vMerge/>
            <w:tcBorders>
              <w:bottom w:val="single" w:sz="4" w:space="0" w:color="2E74B5"/>
            </w:tcBorders>
            <w:shd w:val="clear" w:color="auto" w:fill="365F91"/>
          </w:tcPr>
          <w:p w14:paraId="239CCB5F" w14:textId="77777777" w:rsidR="00380BE7" w:rsidRPr="00256982" w:rsidRDefault="00380BE7" w:rsidP="007E75FA">
            <w:pPr>
              <w:pStyle w:val="TableText"/>
              <w:keepNext/>
              <w:spacing w:before="40" w:after="40"/>
            </w:pPr>
          </w:p>
        </w:tc>
        <w:tc>
          <w:tcPr>
            <w:tcW w:w="1275" w:type="dxa"/>
            <w:vMerge/>
            <w:tcBorders>
              <w:bottom w:val="single" w:sz="4" w:space="0" w:color="2E74B5"/>
            </w:tcBorders>
            <w:shd w:val="clear" w:color="auto" w:fill="365F91"/>
          </w:tcPr>
          <w:p w14:paraId="5132B848" w14:textId="77777777" w:rsidR="00380BE7" w:rsidRPr="00256982" w:rsidRDefault="00380BE7" w:rsidP="007E75FA">
            <w:pPr>
              <w:pStyle w:val="TableText"/>
              <w:keepNext/>
              <w:spacing w:before="40" w:after="40"/>
            </w:pPr>
          </w:p>
        </w:tc>
        <w:tc>
          <w:tcPr>
            <w:tcW w:w="1294" w:type="dxa"/>
            <w:vMerge/>
            <w:tcBorders>
              <w:bottom w:val="single" w:sz="4" w:space="0" w:color="2E74B5"/>
            </w:tcBorders>
            <w:shd w:val="clear" w:color="auto" w:fill="365F91"/>
          </w:tcPr>
          <w:p w14:paraId="21D4788D" w14:textId="77777777" w:rsidR="00380BE7" w:rsidRPr="00256982" w:rsidRDefault="00380BE7" w:rsidP="007E75FA">
            <w:pPr>
              <w:pStyle w:val="TableText"/>
              <w:keepNext/>
              <w:spacing w:before="40" w:after="40"/>
            </w:pPr>
          </w:p>
        </w:tc>
        <w:tc>
          <w:tcPr>
            <w:tcW w:w="1172" w:type="dxa"/>
            <w:vMerge/>
            <w:tcBorders>
              <w:bottom w:val="single" w:sz="4" w:space="0" w:color="2E74B5"/>
            </w:tcBorders>
            <w:shd w:val="clear" w:color="auto" w:fill="365F91"/>
          </w:tcPr>
          <w:p w14:paraId="6F217D41" w14:textId="77777777" w:rsidR="00380BE7" w:rsidRPr="00256982" w:rsidRDefault="00380BE7" w:rsidP="007E75FA">
            <w:pPr>
              <w:pStyle w:val="TableTextBold"/>
              <w:keepNext/>
              <w:spacing w:before="40" w:after="40"/>
              <w:jc w:val="center"/>
              <w:rPr>
                <w:b w:val="0"/>
                <w:noProof w:val="0"/>
                <w:color w:val="FFFFFF"/>
              </w:rPr>
            </w:pPr>
          </w:p>
        </w:tc>
        <w:tc>
          <w:tcPr>
            <w:tcW w:w="1091" w:type="dxa"/>
            <w:tcBorders>
              <w:bottom w:val="single" w:sz="4" w:space="0" w:color="2E74B5"/>
            </w:tcBorders>
            <w:shd w:val="clear" w:color="auto" w:fill="365F91"/>
          </w:tcPr>
          <w:p w14:paraId="72CF241E" w14:textId="77777777" w:rsidR="00380BE7" w:rsidRPr="00256982" w:rsidRDefault="00380BE7" w:rsidP="007E75FA">
            <w:pPr>
              <w:pStyle w:val="TableText"/>
              <w:keepNext/>
              <w:spacing w:before="40" w:after="40"/>
              <w:jc w:val="center"/>
              <w:rPr>
                <w:b/>
                <w:color w:val="FFFFFF"/>
              </w:rPr>
            </w:pPr>
            <w:r w:rsidRPr="00256982">
              <w:rPr>
                <w:b/>
                <w:color w:val="FFFFFF"/>
              </w:rPr>
              <w:t>1990</w:t>
            </w:r>
          </w:p>
        </w:tc>
        <w:tc>
          <w:tcPr>
            <w:tcW w:w="1082" w:type="dxa"/>
            <w:tcBorders>
              <w:bottom w:val="single" w:sz="4" w:space="0" w:color="2E74B5"/>
            </w:tcBorders>
            <w:shd w:val="clear" w:color="auto" w:fill="365F91"/>
          </w:tcPr>
          <w:p w14:paraId="0FA97655" w14:textId="77777777" w:rsidR="00380BE7" w:rsidRPr="00256982" w:rsidRDefault="00380BE7" w:rsidP="007E75FA">
            <w:pPr>
              <w:pStyle w:val="TableText"/>
              <w:keepNext/>
              <w:spacing w:before="40" w:after="40"/>
              <w:jc w:val="center"/>
              <w:rPr>
                <w:b/>
                <w:color w:val="FFFFFF"/>
              </w:rPr>
            </w:pPr>
            <w:r w:rsidRPr="00256982">
              <w:rPr>
                <w:b/>
                <w:color w:val="FFFFFF"/>
              </w:rPr>
              <w:t>2017</w:t>
            </w:r>
          </w:p>
        </w:tc>
        <w:tc>
          <w:tcPr>
            <w:tcW w:w="1031" w:type="dxa"/>
            <w:vMerge/>
            <w:tcBorders>
              <w:bottom w:val="single" w:sz="4" w:space="0" w:color="2E74B5"/>
            </w:tcBorders>
            <w:shd w:val="clear" w:color="auto" w:fill="365F91"/>
          </w:tcPr>
          <w:p w14:paraId="732D4FDA" w14:textId="77777777" w:rsidR="00380BE7" w:rsidRPr="00256982" w:rsidRDefault="00380BE7" w:rsidP="007E75FA">
            <w:pPr>
              <w:pStyle w:val="TableText"/>
              <w:keepNext/>
              <w:spacing w:before="40" w:after="40"/>
            </w:pPr>
          </w:p>
        </w:tc>
      </w:tr>
      <w:tr w:rsidR="00380BE7" w:rsidRPr="00256982" w14:paraId="1A37F28B" w14:textId="77777777" w:rsidTr="008C5B4C">
        <w:tc>
          <w:tcPr>
            <w:tcW w:w="1560" w:type="dxa"/>
            <w:tcBorders>
              <w:top w:val="single" w:sz="4" w:space="0" w:color="2E74B5"/>
              <w:bottom w:val="single" w:sz="4" w:space="0" w:color="365F91"/>
            </w:tcBorders>
          </w:tcPr>
          <w:p w14:paraId="11A5874A" w14:textId="77777777" w:rsidR="00380BE7" w:rsidRPr="00256982" w:rsidRDefault="00380BE7" w:rsidP="00D93A9D">
            <w:pPr>
              <w:pStyle w:val="TableText"/>
              <w:spacing w:before="40" w:after="40"/>
            </w:pPr>
            <w:r w:rsidRPr="00256982">
              <w:t>Annual cropland</w:t>
            </w:r>
          </w:p>
        </w:tc>
        <w:tc>
          <w:tcPr>
            <w:tcW w:w="1275" w:type="dxa"/>
            <w:tcBorders>
              <w:top w:val="single" w:sz="4" w:space="0" w:color="2E74B5"/>
              <w:bottom w:val="single" w:sz="4" w:space="0" w:color="365F91"/>
            </w:tcBorders>
            <w:vAlign w:val="center"/>
          </w:tcPr>
          <w:p w14:paraId="1643DF2D" w14:textId="77777777" w:rsidR="00380BE7" w:rsidRPr="00256982" w:rsidRDefault="00380BE7" w:rsidP="007E75FA">
            <w:pPr>
              <w:pStyle w:val="TableText"/>
              <w:keepNext/>
              <w:spacing w:before="40" w:after="40"/>
              <w:jc w:val="center"/>
            </w:pPr>
            <w:r w:rsidRPr="00256982">
              <w:rPr>
                <w:rFonts w:cs="Arial"/>
                <w:color w:val="000000"/>
                <w:szCs w:val="16"/>
              </w:rPr>
              <w:t>354,974</w:t>
            </w:r>
          </w:p>
        </w:tc>
        <w:tc>
          <w:tcPr>
            <w:tcW w:w="1294" w:type="dxa"/>
            <w:tcBorders>
              <w:top w:val="single" w:sz="4" w:space="0" w:color="2E74B5"/>
              <w:bottom w:val="single" w:sz="4" w:space="0" w:color="365F91"/>
            </w:tcBorders>
            <w:vAlign w:val="center"/>
          </w:tcPr>
          <w:p w14:paraId="44D58B27" w14:textId="77777777" w:rsidR="00380BE7" w:rsidRPr="00256982" w:rsidRDefault="00380BE7" w:rsidP="007E75FA">
            <w:pPr>
              <w:pStyle w:val="TableText"/>
              <w:keepNext/>
              <w:spacing w:before="40" w:after="40"/>
              <w:jc w:val="center"/>
            </w:pPr>
            <w:r w:rsidRPr="00256982">
              <w:rPr>
                <w:rFonts w:cs="Arial"/>
                <w:color w:val="000000"/>
                <w:szCs w:val="16"/>
              </w:rPr>
              <w:t>371,428</w:t>
            </w:r>
          </w:p>
        </w:tc>
        <w:tc>
          <w:tcPr>
            <w:tcW w:w="1172" w:type="dxa"/>
            <w:tcBorders>
              <w:top w:val="single" w:sz="4" w:space="0" w:color="2E74B5"/>
              <w:bottom w:val="single" w:sz="4" w:space="0" w:color="365F91"/>
            </w:tcBorders>
            <w:vAlign w:val="center"/>
          </w:tcPr>
          <w:p w14:paraId="4F482DC9" w14:textId="77777777" w:rsidR="00380BE7" w:rsidRPr="00256982" w:rsidRDefault="00380BE7" w:rsidP="007E75FA">
            <w:pPr>
              <w:pStyle w:val="TableText"/>
              <w:keepNext/>
              <w:spacing w:before="40" w:after="40"/>
              <w:jc w:val="center"/>
            </w:pPr>
            <w:r w:rsidRPr="00256982">
              <w:rPr>
                <w:rFonts w:cs="Arial"/>
                <w:color w:val="000000"/>
                <w:szCs w:val="16"/>
              </w:rPr>
              <w:t>+4.6</w:t>
            </w:r>
          </w:p>
        </w:tc>
        <w:tc>
          <w:tcPr>
            <w:tcW w:w="1091" w:type="dxa"/>
            <w:tcBorders>
              <w:top w:val="single" w:sz="4" w:space="0" w:color="2E74B5"/>
              <w:bottom w:val="single" w:sz="4" w:space="0" w:color="365F91"/>
            </w:tcBorders>
            <w:vAlign w:val="center"/>
          </w:tcPr>
          <w:p w14:paraId="1F1150F6" w14:textId="77777777" w:rsidR="00380BE7" w:rsidRPr="00256982" w:rsidRDefault="00380BE7" w:rsidP="007E75FA">
            <w:pPr>
              <w:pStyle w:val="TableText"/>
              <w:keepNext/>
              <w:spacing w:before="40" w:after="40"/>
              <w:jc w:val="center"/>
            </w:pPr>
            <w:r w:rsidRPr="00256982">
              <w:rPr>
                <w:rFonts w:cs="Arial"/>
                <w:szCs w:val="16"/>
              </w:rPr>
              <w:t>342.6</w:t>
            </w:r>
          </w:p>
        </w:tc>
        <w:tc>
          <w:tcPr>
            <w:tcW w:w="1082" w:type="dxa"/>
            <w:tcBorders>
              <w:top w:val="single" w:sz="4" w:space="0" w:color="2E74B5"/>
              <w:bottom w:val="single" w:sz="4" w:space="0" w:color="365F91"/>
            </w:tcBorders>
            <w:vAlign w:val="center"/>
          </w:tcPr>
          <w:p w14:paraId="765BB825" w14:textId="77777777" w:rsidR="00380BE7" w:rsidRPr="00256982" w:rsidRDefault="00380BE7" w:rsidP="007E75FA">
            <w:pPr>
              <w:pStyle w:val="TableText"/>
              <w:keepNext/>
              <w:spacing w:before="40" w:after="40"/>
              <w:jc w:val="center"/>
            </w:pPr>
            <w:r w:rsidRPr="00256982">
              <w:rPr>
                <w:rFonts w:cs="Arial"/>
                <w:szCs w:val="16"/>
              </w:rPr>
              <w:t>320.4</w:t>
            </w:r>
          </w:p>
        </w:tc>
        <w:tc>
          <w:tcPr>
            <w:tcW w:w="1031" w:type="dxa"/>
            <w:tcBorders>
              <w:top w:val="single" w:sz="4" w:space="0" w:color="2E74B5"/>
              <w:bottom w:val="single" w:sz="4" w:space="0" w:color="365F91"/>
            </w:tcBorders>
            <w:vAlign w:val="center"/>
          </w:tcPr>
          <w:p w14:paraId="37B447EC" w14:textId="77777777" w:rsidR="00380BE7" w:rsidRPr="00256982" w:rsidRDefault="00380BE7" w:rsidP="007E75FA">
            <w:pPr>
              <w:pStyle w:val="TableText"/>
              <w:keepNext/>
              <w:spacing w:before="40" w:after="40"/>
              <w:jc w:val="center"/>
            </w:pPr>
            <w:r w:rsidRPr="00256982">
              <w:rPr>
                <w:rFonts w:cs="Arial"/>
                <w:color w:val="000000"/>
                <w:szCs w:val="16"/>
              </w:rPr>
              <w:t>–</w:t>
            </w:r>
            <w:r w:rsidRPr="00256982">
              <w:rPr>
                <w:rFonts w:cs="Arial"/>
                <w:szCs w:val="16"/>
              </w:rPr>
              <w:t>6.5</w:t>
            </w:r>
          </w:p>
        </w:tc>
      </w:tr>
      <w:tr w:rsidR="00380BE7" w:rsidRPr="00256982" w14:paraId="4A49950B" w14:textId="77777777" w:rsidTr="008C5B4C">
        <w:tc>
          <w:tcPr>
            <w:tcW w:w="1560" w:type="dxa"/>
            <w:tcBorders>
              <w:top w:val="single" w:sz="4" w:space="0" w:color="365F91"/>
              <w:bottom w:val="single" w:sz="4" w:space="0" w:color="365F91"/>
            </w:tcBorders>
          </w:tcPr>
          <w:p w14:paraId="6F606EBF" w14:textId="77777777" w:rsidR="00380BE7" w:rsidRPr="00256982" w:rsidRDefault="00380BE7" w:rsidP="00D93A9D">
            <w:pPr>
              <w:pStyle w:val="TableText"/>
              <w:spacing w:before="40" w:after="40"/>
            </w:pPr>
            <w:r w:rsidRPr="00256982">
              <w:t>Perennial cropland</w:t>
            </w:r>
          </w:p>
        </w:tc>
        <w:tc>
          <w:tcPr>
            <w:tcW w:w="1275" w:type="dxa"/>
            <w:tcBorders>
              <w:top w:val="single" w:sz="4" w:space="0" w:color="365F91"/>
              <w:bottom w:val="single" w:sz="4" w:space="0" w:color="365F91"/>
            </w:tcBorders>
            <w:vAlign w:val="center"/>
          </w:tcPr>
          <w:p w14:paraId="618594B0" w14:textId="77777777" w:rsidR="00380BE7" w:rsidRPr="00256982" w:rsidRDefault="00380BE7" w:rsidP="007E75FA">
            <w:pPr>
              <w:pStyle w:val="TableText"/>
              <w:keepNext/>
              <w:spacing w:before="40" w:after="40"/>
              <w:jc w:val="center"/>
            </w:pPr>
            <w:r w:rsidRPr="00256982">
              <w:rPr>
                <w:rFonts w:cs="Arial"/>
                <w:color w:val="000000"/>
                <w:szCs w:val="16"/>
              </w:rPr>
              <w:t>69,122</w:t>
            </w:r>
          </w:p>
        </w:tc>
        <w:tc>
          <w:tcPr>
            <w:tcW w:w="1294" w:type="dxa"/>
            <w:tcBorders>
              <w:top w:val="single" w:sz="4" w:space="0" w:color="365F91"/>
              <w:bottom w:val="single" w:sz="4" w:space="0" w:color="365F91"/>
            </w:tcBorders>
            <w:vAlign w:val="center"/>
          </w:tcPr>
          <w:p w14:paraId="5CA61527" w14:textId="77777777" w:rsidR="00380BE7" w:rsidRPr="00256982" w:rsidRDefault="00380BE7" w:rsidP="007E75FA">
            <w:pPr>
              <w:pStyle w:val="TableText"/>
              <w:keepNext/>
              <w:spacing w:before="40" w:after="40"/>
              <w:jc w:val="center"/>
            </w:pPr>
            <w:r w:rsidRPr="00256982">
              <w:rPr>
                <w:rFonts w:cs="Arial"/>
                <w:color w:val="000000"/>
                <w:szCs w:val="16"/>
              </w:rPr>
              <w:t>104,527</w:t>
            </w:r>
          </w:p>
        </w:tc>
        <w:tc>
          <w:tcPr>
            <w:tcW w:w="1172" w:type="dxa"/>
            <w:tcBorders>
              <w:top w:val="single" w:sz="4" w:space="0" w:color="365F91"/>
              <w:bottom w:val="single" w:sz="4" w:space="0" w:color="365F91"/>
            </w:tcBorders>
            <w:vAlign w:val="center"/>
          </w:tcPr>
          <w:p w14:paraId="6A86649D" w14:textId="77777777" w:rsidR="00380BE7" w:rsidRPr="00256982" w:rsidRDefault="00380BE7" w:rsidP="007E75FA">
            <w:pPr>
              <w:pStyle w:val="TableText"/>
              <w:keepNext/>
              <w:spacing w:before="40" w:after="40"/>
              <w:jc w:val="center"/>
            </w:pPr>
            <w:r w:rsidRPr="00256982">
              <w:rPr>
                <w:rFonts w:cs="Arial"/>
                <w:color w:val="000000"/>
                <w:szCs w:val="16"/>
              </w:rPr>
              <w:t>+51.2</w:t>
            </w:r>
          </w:p>
        </w:tc>
        <w:tc>
          <w:tcPr>
            <w:tcW w:w="1091" w:type="dxa"/>
            <w:tcBorders>
              <w:top w:val="single" w:sz="4" w:space="0" w:color="365F91"/>
              <w:bottom w:val="single" w:sz="4" w:space="0" w:color="365F91"/>
            </w:tcBorders>
            <w:vAlign w:val="center"/>
          </w:tcPr>
          <w:p w14:paraId="40CEC702" w14:textId="77777777" w:rsidR="00380BE7" w:rsidRPr="00256982" w:rsidRDefault="00380BE7" w:rsidP="007E75FA">
            <w:pPr>
              <w:pStyle w:val="TableText"/>
              <w:keepNext/>
              <w:spacing w:before="40" w:after="40"/>
              <w:jc w:val="center"/>
            </w:pPr>
            <w:r w:rsidRPr="00256982">
              <w:rPr>
                <w:rFonts w:cs="Arial"/>
                <w:color w:val="000000"/>
                <w:szCs w:val="16"/>
              </w:rPr>
              <w:t>126.8</w:t>
            </w:r>
          </w:p>
        </w:tc>
        <w:tc>
          <w:tcPr>
            <w:tcW w:w="1082" w:type="dxa"/>
            <w:tcBorders>
              <w:top w:val="single" w:sz="4" w:space="0" w:color="365F91"/>
              <w:bottom w:val="single" w:sz="4" w:space="0" w:color="365F91"/>
            </w:tcBorders>
            <w:vAlign w:val="center"/>
          </w:tcPr>
          <w:p w14:paraId="57B567C0" w14:textId="77777777" w:rsidR="00380BE7" w:rsidRPr="00256982" w:rsidRDefault="00380BE7" w:rsidP="007E75FA">
            <w:pPr>
              <w:pStyle w:val="TableText"/>
              <w:keepNext/>
              <w:spacing w:before="40" w:after="40"/>
              <w:jc w:val="center"/>
            </w:pPr>
            <w:r w:rsidRPr="00256982">
              <w:rPr>
                <w:rFonts w:cs="Arial"/>
                <w:color w:val="000000"/>
                <w:szCs w:val="16"/>
              </w:rPr>
              <w:t>67.0</w:t>
            </w:r>
          </w:p>
        </w:tc>
        <w:tc>
          <w:tcPr>
            <w:tcW w:w="1031" w:type="dxa"/>
            <w:tcBorders>
              <w:top w:val="single" w:sz="4" w:space="0" w:color="365F91"/>
              <w:bottom w:val="single" w:sz="4" w:space="0" w:color="365F91"/>
            </w:tcBorders>
            <w:vAlign w:val="center"/>
          </w:tcPr>
          <w:p w14:paraId="655A0A4A" w14:textId="77777777" w:rsidR="00380BE7" w:rsidRPr="00256982" w:rsidRDefault="00380BE7" w:rsidP="007E75FA">
            <w:pPr>
              <w:pStyle w:val="TableText"/>
              <w:keepNext/>
              <w:spacing w:before="40" w:after="40"/>
              <w:jc w:val="center"/>
            </w:pPr>
            <w:r w:rsidRPr="00256982">
              <w:rPr>
                <w:rFonts w:cs="Arial"/>
                <w:color w:val="000000"/>
                <w:szCs w:val="16"/>
              </w:rPr>
              <w:t>–</w:t>
            </w:r>
            <w:r w:rsidRPr="00256982">
              <w:rPr>
                <w:rFonts w:cs="Arial"/>
                <w:szCs w:val="16"/>
              </w:rPr>
              <w:t>47.1</w:t>
            </w:r>
          </w:p>
        </w:tc>
      </w:tr>
      <w:tr w:rsidR="00380BE7" w:rsidRPr="00256982" w14:paraId="16ACF682" w14:textId="77777777" w:rsidTr="008C5B4C">
        <w:tc>
          <w:tcPr>
            <w:tcW w:w="1560" w:type="dxa"/>
            <w:tcBorders>
              <w:top w:val="single" w:sz="4" w:space="0" w:color="365F91"/>
              <w:bottom w:val="single" w:sz="4" w:space="0" w:color="365F91"/>
            </w:tcBorders>
          </w:tcPr>
          <w:p w14:paraId="03E7B0E0" w14:textId="77777777" w:rsidR="00380BE7" w:rsidRPr="00256982" w:rsidRDefault="00380BE7" w:rsidP="00D93A9D">
            <w:pPr>
              <w:pStyle w:val="Tableboldblue"/>
              <w:spacing w:before="40" w:after="40"/>
            </w:pPr>
            <w:r w:rsidRPr="00256982">
              <w:t>Total</w:t>
            </w:r>
          </w:p>
        </w:tc>
        <w:tc>
          <w:tcPr>
            <w:tcW w:w="1275" w:type="dxa"/>
            <w:tcBorders>
              <w:top w:val="single" w:sz="4" w:space="0" w:color="365F91"/>
              <w:bottom w:val="single" w:sz="4" w:space="0" w:color="365F91"/>
            </w:tcBorders>
            <w:vAlign w:val="center"/>
          </w:tcPr>
          <w:p w14:paraId="6A7927BC" w14:textId="77777777" w:rsidR="00380BE7" w:rsidRPr="00256982" w:rsidRDefault="00380BE7" w:rsidP="007E75FA">
            <w:pPr>
              <w:pStyle w:val="Tableboldblue"/>
              <w:keepNext/>
              <w:spacing w:before="40" w:after="40"/>
              <w:jc w:val="center"/>
            </w:pPr>
            <w:r w:rsidRPr="00256982">
              <w:t>424,097</w:t>
            </w:r>
          </w:p>
        </w:tc>
        <w:tc>
          <w:tcPr>
            <w:tcW w:w="1294" w:type="dxa"/>
            <w:tcBorders>
              <w:top w:val="single" w:sz="4" w:space="0" w:color="365F91"/>
              <w:bottom w:val="single" w:sz="4" w:space="0" w:color="365F91"/>
            </w:tcBorders>
            <w:vAlign w:val="center"/>
          </w:tcPr>
          <w:p w14:paraId="44F65780" w14:textId="77777777" w:rsidR="00380BE7" w:rsidRPr="00256982" w:rsidRDefault="00380BE7" w:rsidP="007E75FA">
            <w:pPr>
              <w:pStyle w:val="Tableboldblue"/>
              <w:keepNext/>
              <w:spacing w:before="40" w:after="40"/>
              <w:jc w:val="center"/>
            </w:pPr>
            <w:r w:rsidRPr="00256982">
              <w:t>475,955</w:t>
            </w:r>
          </w:p>
        </w:tc>
        <w:tc>
          <w:tcPr>
            <w:tcW w:w="1172" w:type="dxa"/>
            <w:tcBorders>
              <w:top w:val="single" w:sz="4" w:space="0" w:color="365F91"/>
              <w:bottom w:val="single" w:sz="4" w:space="0" w:color="365F91"/>
            </w:tcBorders>
            <w:vAlign w:val="center"/>
          </w:tcPr>
          <w:p w14:paraId="39879B2C" w14:textId="77777777" w:rsidR="00380BE7" w:rsidRPr="00256982" w:rsidRDefault="00380BE7" w:rsidP="007E75FA">
            <w:pPr>
              <w:pStyle w:val="Tableboldblue"/>
              <w:keepNext/>
              <w:spacing w:before="40" w:after="40"/>
              <w:jc w:val="center"/>
            </w:pPr>
            <w:r w:rsidRPr="00256982">
              <w:t>+12.2</w:t>
            </w:r>
          </w:p>
        </w:tc>
        <w:tc>
          <w:tcPr>
            <w:tcW w:w="1091" w:type="dxa"/>
            <w:tcBorders>
              <w:top w:val="single" w:sz="4" w:space="0" w:color="365F91"/>
              <w:bottom w:val="single" w:sz="4" w:space="0" w:color="365F91"/>
            </w:tcBorders>
            <w:vAlign w:val="center"/>
          </w:tcPr>
          <w:p w14:paraId="2258C060" w14:textId="77777777" w:rsidR="00380BE7" w:rsidRPr="00256982" w:rsidRDefault="00380BE7" w:rsidP="007E75FA">
            <w:pPr>
              <w:pStyle w:val="Tableboldblue"/>
              <w:keepNext/>
              <w:spacing w:before="40" w:after="40"/>
              <w:jc w:val="center"/>
            </w:pPr>
            <w:r w:rsidRPr="00256982">
              <w:t>469.4</w:t>
            </w:r>
          </w:p>
        </w:tc>
        <w:tc>
          <w:tcPr>
            <w:tcW w:w="1082" w:type="dxa"/>
            <w:tcBorders>
              <w:top w:val="single" w:sz="4" w:space="0" w:color="365F91"/>
              <w:bottom w:val="single" w:sz="4" w:space="0" w:color="365F91"/>
            </w:tcBorders>
            <w:vAlign w:val="center"/>
          </w:tcPr>
          <w:p w14:paraId="41D8F11A" w14:textId="77777777" w:rsidR="00380BE7" w:rsidRPr="00256982" w:rsidRDefault="00380BE7" w:rsidP="007E75FA">
            <w:pPr>
              <w:pStyle w:val="Tableboldblue"/>
              <w:keepNext/>
              <w:spacing w:before="40" w:after="40"/>
              <w:jc w:val="center"/>
            </w:pPr>
            <w:r w:rsidRPr="00256982">
              <w:t>387.4</w:t>
            </w:r>
          </w:p>
        </w:tc>
        <w:tc>
          <w:tcPr>
            <w:tcW w:w="1031" w:type="dxa"/>
            <w:tcBorders>
              <w:top w:val="single" w:sz="4" w:space="0" w:color="365F91"/>
              <w:bottom w:val="single" w:sz="4" w:space="0" w:color="365F91"/>
            </w:tcBorders>
            <w:vAlign w:val="center"/>
          </w:tcPr>
          <w:p w14:paraId="3AA63E33" w14:textId="77777777" w:rsidR="00380BE7" w:rsidRPr="00256982" w:rsidRDefault="00380BE7" w:rsidP="007E75FA">
            <w:pPr>
              <w:pStyle w:val="Tableboldblue"/>
              <w:keepNext/>
              <w:spacing w:before="40" w:after="40"/>
              <w:jc w:val="center"/>
            </w:pPr>
            <w:r w:rsidRPr="00256982">
              <w:t>–17.5</w:t>
            </w:r>
          </w:p>
        </w:tc>
      </w:tr>
    </w:tbl>
    <w:p w14:paraId="047993C0" w14:textId="77777777" w:rsidR="00380BE7" w:rsidRPr="00256982" w:rsidRDefault="00380BE7" w:rsidP="00D93A9D">
      <w:pPr>
        <w:pStyle w:val="Noteundertable"/>
        <w:spacing w:before="100" w:after="0"/>
      </w:pPr>
      <w:r w:rsidRPr="00256982">
        <w:rPr>
          <w:b/>
        </w:rPr>
        <w:t>Note:</w:t>
      </w:r>
      <w:r w:rsidRPr="00256982">
        <w:rPr>
          <w:b/>
        </w:rPr>
        <w:tab/>
      </w:r>
      <w:r w:rsidRPr="00256982">
        <w:t>Net area in 1990 is as at 1 January 1990; net area in 2017 is as at 31 December. This table includes CO</w:t>
      </w:r>
      <w:r w:rsidRPr="00256982">
        <w:rPr>
          <w:vertAlign w:val="subscript"/>
        </w:rPr>
        <w:t>2</w:t>
      </w:r>
      <w:r w:rsidRPr="00256982">
        <w:t xml:space="preserve"> emissions from carbon stock change only. Columns may not total due to rounding.</w:t>
      </w:r>
    </w:p>
    <w:p w14:paraId="4725DAE8" w14:textId="77777777" w:rsidR="00380BE7" w:rsidRPr="00256982" w:rsidRDefault="00380BE7" w:rsidP="00380BE7">
      <w:pPr>
        <w:pStyle w:val="BodyText"/>
      </w:pPr>
      <w:r w:rsidRPr="00256982">
        <w:lastRenderedPageBreak/>
        <w:t xml:space="preserve">A summary of land-use change within the </w:t>
      </w:r>
      <w:r w:rsidRPr="00256982">
        <w:rPr>
          <w:i/>
        </w:rPr>
        <w:t>Cropland</w:t>
      </w:r>
      <w:r w:rsidRPr="00256982">
        <w:t xml:space="preserve"> category, by land use type and land conversion status, is provided in table 6.5.4. This shows that land-use change within the </w:t>
      </w:r>
      <w:r w:rsidRPr="00256982">
        <w:rPr>
          <w:i/>
        </w:rPr>
        <w:t>Cropland</w:t>
      </w:r>
      <w:r w:rsidRPr="00256982">
        <w:t xml:space="preserve"> category has been dominated by conversions to perennial cropland, both from within the </w:t>
      </w:r>
      <w:r w:rsidRPr="00256982">
        <w:rPr>
          <w:i/>
        </w:rPr>
        <w:t>Cropland</w:t>
      </w:r>
      <w:r w:rsidRPr="00256982">
        <w:t xml:space="preserve"> category and from other land use categories. This conversion has predominantly been for the establishment of vineyards (Davis and Wakelin, unpublished).</w:t>
      </w:r>
    </w:p>
    <w:p w14:paraId="124BCBED" w14:textId="77777777" w:rsidR="00380BE7" w:rsidRPr="00256982" w:rsidRDefault="00380BE7" w:rsidP="00380BE7">
      <w:pPr>
        <w:pStyle w:val="Table"/>
      </w:pPr>
      <w:bookmarkStart w:id="1630" w:name="_Toc310423416"/>
      <w:bookmarkStart w:id="1631" w:name="_Toc318362709"/>
      <w:bookmarkStart w:id="1632" w:name="_Toc342470771"/>
      <w:bookmarkStart w:id="1633" w:name="_Toc352505011"/>
      <w:bookmarkStart w:id="1634" w:name="_Toc378853303"/>
      <w:bookmarkStart w:id="1635" w:name="_Toc391024101"/>
      <w:bookmarkStart w:id="1636" w:name="_Toc410028844"/>
      <w:bookmarkStart w:id="1637" w:name="_Toc414531472"/>
      <w:bookmarkStart w:id="1638" w:name="_Toc443645385"/>
      <w:bookmarkStart w:id="1639" w:name="_Toc474914604"/>
      <w:bookmarkStart w:id="1640" w:name="_Toc481751568"/>
      <w:bookmarkStart w:id="1641" w:name="_Toc522010625"/>
      <w:bookmarkStart w:id="1642" w:name="_Toc5269530"/>
      <w:r w:rsidRPr="00256982">
        <w:t>Table 6.5.4</w:t>
      </w:r>
      <w:r w:rsidRPr="00256982">
        <w:tab/>
        <w:t>New Zealand’s land-use change for the Cropland category from 1990 to</w:t>
      </w:r>
      <w:bookmarkEnd w:id="1630"/>
      <w:bookmarkEnd w:id="1631"/>
      <w:bookmarkEnd w:id="1632"/>
      <w:bookmarkEnd w:id="1633"/>
      <w:bookmarkEnd w:id="1634"/>
      <w:bookmarkEnd w:id="1635"/>
      <w:r w:rsidRPr="00256982">
        <w:t> 201</w:t>
      </w:r>
      <w:bookmarkEnd w:id="1636"/>
      <w:bookmarkEnd w:id="1637"/>
      <w:bookmarkEnd w:id="1638"/>
      <w:bookmarkEnd w:id="1639"/>
      <w:bookmarkEnd w:id="1640"/>
      <w:bookmarkEnd w:id="1641"/>
      <w:r w:rsidRPr="00256982">
        <w:t>7</w:t>
      </w:r>
      <w:bookmarkEnd w:id="1642"/>
    </w:p>
    <w:tbl>
      <w:tblPr>
        <w:tblW w:w="8505" w:type="dxa"/>
        <w:tblInd w:w="108" w:type="dxa"/>
        <w:tblLook w:val="04A0" w:firstRow="1" w:lastRow="0" w:firstColumn="1" w:lastColumn="0" w:noHBand="0" w:noVBand="1"/>
      </w:tblPr>
      <w:tblGrid>
        <w:gridCol w:w="1726"/>
        <w:gridCol w:w="2487"/>
        <w:gridCol w:w="1461"/>
        <w:gridCol w:w="1508"/>
        <w:gridCol w:w="1323"/>
      </w:tblGrid>
      <w:tr w:rsidR="00380BE7" w:rsidRPr="00256982" w14:paraId="4C4035C9" w14:textId="77777777" w:rsidTr="009574E7">
        <w:trPr>
          <w:tblHeader/>
        </w:trPr>
        <w:tc>
          <w:tcPr>
            <w:tcW w:w="1726" w:type="dxa"/>
            <w:tcBorders>
              <w:top w:val="single" w:sz="4" w:space="0" w:color="365F91"/>
              <w:bottom w:val="single" w:sz="4" w:space="0" w:color="365F91"/>
            </w:tcBorders>
            <w:shd w:val="clear" w:color="auto" w:fill="365F91"/>
            <w:vAlign w:val="bottom"/>
          </w:tcPr>
          <w:p w14:paraId="00DB0E2E" w14:textId="77777777" w:rsidR="00380BE7" w:rsidRPr="00256982" w:rsidRDefault="00380BE7" w:rsidP="00C549F6">
            <w:pPr>
              <w:pStyle w:val="TableTextBold"/>
              <w:spacing w:before="50" w:after="50"/>
              <w:rPr>
                <w:noProof w:val="0"/>
                <w:color w:val="FFFFFF"/>
              </w:rPr>
            </w:pPr>
            <w:r w:rsidRPr="00256982">
              <w:rPr>
                <w:noProof w:val="0"/>
                <w:color w:val="FFFFFF"/>
              </w:rPr>
              <w:t>Cropland category</w:t>
            </w:r>
          </w:p>
        </w:tc>
        <w:tc>
          <w:tcPr>
            <w:tcW w:w="2487" w:type="dxa"/>
            <w:tcBorders>
              <w:top w:val="single" w:sz="4" w:space="0" w:color="365F91"/>
              <w:bottom w:val="single" w:sz="4" w:space="0" w:color="365F91"/>
            </w:tcBorders>
            <w:shd w:val="clear" w:color="auto" w:fill="365F91"/>
            <w:vAlign w:val="bottom"/>
          </w:tcPr>
          <w:p w14:paraId="6EBBAE56" w14:textId="77777777" w:rsidR="00380BE7" w:rsidRPr="00256982" w:rsidRDefault="00380BE7" w:rsidP="00C549F6">
            <w:pPr>
              <w:pStyle w:val="TableTextBold"/>
              <w:spacing w:before="50" w:after="50"/>
              <w:rPr>
                <w:noProof w:val="0"/>
                <w:color w:val="FFFFFF"/>
              </w:rPr>
            </w:pPr>
          </w:p>
        </w:tc>
        <w:tc>
          <w:tcPr>
            <w:tcW w:w="1461" w:type="dxa"/>
            <w:tcBorders>
              <w:top w:val="single" w:sz="4" w:space="0" w:color="365F91"/>
              <w:bottom w:val="single" w:sz="4" w:space="0" w:color="365F91"/>
            </w:tcBorders>
            <w:shd w:val="clear" w:color="auto" w:fill="365F91"/>
            <w:vAlign w:val="bottom"/>
          </w:tcPr>
          <w:p w14:paraId="311BF8DA" w14:textId="77777777" w:rsidR="00380BE7" w:rsidRPr="00256982" w:rsidRDefault="00380BE7" w:rsidP="00C549F6">
            <w:pPr>
              <w:pStyle w:val="TableTextBold"/>
              <w:spacing w:before="50" w:after="50"/>
              <w:jc w:val="center"/>
              <w:rPr>
                <w:noProof w:val="0"/>
                <w:color w:val="FFFFFF"/>
              </w:rPr>
            </w:pPr>
            <w:r w:rsidRPr="00256982">
              <w:rPr>
                <w:noProof w:val="0"/>
                <w:color w:val="FFFFFF"/>
              </w:rPr>
              <w:t>Net area in 1990 (ha)</w:t>
            </w:r>
          </w:p>
        </w:tc>
        <w:tc>
          <w:tcPr>
            <w:tcW w:w="1508" w:type="dxa"/>
            <w:tcBorders>
              <w:top w:val="single" w:sz="4" w:space="0" w:color="365F91"/>
              <w:bottom w:val="single" w:sz="4" w:space="0" w:color="365F91"/>
            </w:tcBorders>
            <w:shd w:val="clear" w:color="auto" w:fill="365F91"/>
            <w:vAlign w:val="bottom"/>
          </w:tcPr>
          <w:p w14:paraId="19269FE2" w14:textId="77777777" w:rsidR="00380BE7" w:rsidRPr="00256982" w:rsidRDefault="00380BE7" w:rsidP="00C549F6">
            <w:pPr>
              <w:pStyle w:val="TableTextBold"/>
              <w:spacing w:before="50" w:after="50"/>
              <w:jc w:val="center"/>
              <w:rPr>
                <w:noProof w:val="0"/>
                <w:color w:val="FFFFFF"/>
              </w:rPr>
            </w:pPr>
            <w:r w:rsidRPr="00256982">
              <w:rPr>
                <w:noProof w:val="0"/>
                <w:color w:val="FFFFFF"/>
              </w:rPr>
              <w:t>Net area in 2017 (ha)</w:t>
            </w:r>
          </w:p>
        </w:tc>
        <w:tc>
          <w:tcPr>
            <w:tcW w:w="1323" w:type="dxa"/>
            <w:tcBorders>
              <w:top w:val="single" w:sz="4" w:space="0" w:color="365F91"/>
              <w:bottom w:val="single" w:sz="4" w:space="0" w:color="365F91"/>
            </w:tcBorders>
            <w:shd w:val="clear" w:color="auto" w:fill="365F91"/>
            <w:vAlign w:val="bottom"/>
          </w:tcPr>
          <w:p w14:paraId="79D06F06" w14:textId="77777777" w:rsidR="00380BE7" w:rsidRPr="00256982" w:rsidRDefault="00380BE7" w:rsidP="00C549F6">
            <w:pPr>
              <w:pStyle w:val="TableTextBold"/>
              <w:spacing w:before="50" w:after="50"/>
              <w:jc w:val="center"/>
              <w:rPr>
                <w:noProof w:val="0"/>
                <w:color w:val="FFFFFF"/>
              </w:rPr>
            </w:pPr>
            <w:r w:rsidRPr="00256982">
              <w:rPr>
                <w:noProof w:val="0"/>
                <w:color w:val="FFFFFF"/>
              </w:rPr>
              <w:t>Change from 1990 (%)</w:t>
            </w:r>
          </w:p>
        </w:tc>
      </w:tr>
      <w:tr w:rsidR="00380BE7" w:rsidRPr="00256982" w14:paraId="69247E4E" w14:textId="77777777" w:rsidTr="009574E7">
        <w:tc>
          <w:tcPr>
            <w:tcW w:w="1726" w:type="dxa"/>
            <w:vMerge w:val="restart"/>
            <w:tcBorders>
              <w:top w:val="single" w:sz="4" w:space="0" w:color="365F91"/>
              <w:bottom w:val="single" w:sz="4" w:space="0" w:color="365F91"/>
            </w:tcBorders>
          </w:tcPr>
          <w:p w14:paraId="565C3C8E" w14:textId="77777777" w:rsidR="00380BE7" w:rsidRPr="00256982" w:rsidRDefault="00380BE7" w:rsidP="00C549F6">
            <w:pPr>
              <w:pStyle w:val="TableText"/>
              <w:spacing w:before="50" w:after="50"/>
            </w:pPr>
            <w:r w:rsidRPr="00256982">
              <w:t>Cropland remaining cropland</w:t>
            </w:r>
          </w:p>
        </w:tc>
        <w:tc>
          <w:tcPr>
            <w:tcW w:w="2487" w:type="dxa"/>
            <w:tcBorders>
              <w:top w:val="single" w:sz="4" w:space="0" w:color="365F91"/>
              <w:bottom w:val="single" w:sz="4" w:space="0" w:color="365F91"/>
            </w:tcBorders>
          </w:tcPr>
          <w:p w14:paraId="2B8BF9F1" w14:textId="77777777" w:rsidR="00380BE7" w:rsidRPr="00256982" w:rsidRDefault="00380BE7" w:rsidP="00C549F6">
            <w:pPr>
              <w:pStyle w:val="TableText"/>
              <w:spacing w:before="50" w:after="50"/>
            </w:pPr>
            <w:r w:rsidRPr="00256982">
              <w:t>Annual remaining annual</w:t>
            </w:r>
          </w:p>
        </w:tc>
        <w:tc>
          <w:tcPr>
            <w:tcW w:w="1461" w:type="dxa"/>
            <w:tcBorders>
              <w:top w:val="single" w:sz="4" w:space="0" w:color="365F91"/>
              <w:bottom w:val="single" w:sz="4" w:space="0" w:color="365F91"/>
            </w:tcBorders>
          </w:tcPr>
          <w:p w14:paraId="34004AAC" w14:textId="77777777" w:rsidR="00380BE7" w:rsidRPr="00256982" w:rsidRDefault="00380BE7" w:rsidP="00C549F6">
            <w:pPr>
              <w:pStyle w:val="TableText"/>
              <w:spacing w:before="50" w:after="50"/>
              <w:jc w:val="center"/>
            </w:pPr>
            <w:r w:rsidRPr="00256982">
              <w:t>325,076</w:t>
            </w:r>
          </w:p>
        </w:tc>
        <w:tc>
          <w:tcPr>
            <w:tcW w:w="1508" w:type="dxa"/>
            <w:tcBorders>
              <w:top w:val="single" w:sz="4" w:space="0" w:color="365F91"/>
              <w:bottom w:val="single" w:sz="4" w:space="0" w:color="365F91"/>
            </w:tcBorders>
          </w:tcPr>
          <w:p w14:paraId="0A3D8433" w14:textId="77777777" w:rsidR="00380BE7" w:rsidRPr="00256982" w:rsidRDefault="00380BE7" w:rsidP="00C549F6">
            <w:pPr>
              <w:pStyle w:val="TableText"/>
              <w:spacing w:before="50" w:after="50"/>
              <w:jc w:val="center"/>
            </w:pPr>
            <w:r w:rsidRPr="00256982">
              <w:t>344,859</w:t>
            </w:r>
          </w:p>
        </w:tc>
        <w:tc>
          <w:tcPr>
            <w:tcW w:w="1323" w:type="dxa"/>
            <w:tcBorders>
              <w:top w:val="single" w:sz="4" w:space="0" w:color="365F91"/>
              <w:bottom w:val="single" w:sz="4" w:space="0" w:color="365F91"/>
            </w:tcBorders>
          </w:tcPr>
          <w:p w14:paraId="75055897" w14:textId="77777777" w:rsidR="00380BE7" w:rsidRPr="00256982" w:rsidRDefault="00380BE7" w:rsidP="00C549F6">
            <w:pPr>
              <w:pStyle w:val="TableText"/>
              <w:spacing w:before="50" w:after="50"/>
              <w:jc w:val="center"/>
            </w:pPr>
            <w:r w:rsidRPr="00256982">
              <w:t>6.1</w:t>
            </w:r>
          </w:p>
        </w:tc>
      </w:tr>
      <w:tr w:rsidR="00380BE7" w:rsidRPr="00256982" w14:paraId="1269B963" w14:textId="77777777" w:rsidTr="009574E7">
        <w:tc>
          <w:tcPr>
            <w:tcW w:w="1726" w:type="dxa"/>
            <w:vMerge/>
            <w:tcBorders>
              <w:top w:val="single" w:sz="4" w:space="0" w:color="365F91"/>
            </w:tcBorders>
          </w:tcPr>
          <w:p w14:paraId="380E7471" w14:textId="77777777" w:rsidR="00380BE7" w:rsidRPr="00256982" w:rsidRDefault="00380BE7" w:rsidP="00C549F6">
            <w:pPr>
              <w:pStyle w:val="TableText"/>
              <w:spacing w:before="50" w:after="50"/>
            </w:pPr>
          </w:p>
        </w:tc>
        <w:tc>
          <w:tcPr>
            <w:tcW w:w="2487" w:type="dxa"/>
            <w:tcBorders>
              <w:top w:val="single" w:sz="4" w:space="0" w:color="365F91"/>
              <w:bottom w:val="single" w:sz="4" w:space="0" w:color="365F91"/>
            </w:tcBorders>
          </w:tcPr>
          <w:p w14:paraId="1D95E16E" w14:textId="77777777" w:rsidR="00380BE7" w:rsidRPr="00256982" w:rsidRDefault="00380BE7" w:rsidP="00C549F6">
            <w:pPr>
              <w:pStyle w:val="TableText"/>
              <w:spacing w:before="50" w:after="50"/>
            </w:pPr>
            <w:r w:rsidRPr="00256982">
              <w:t>Perennial remaining perennial</w:t>
            </w:r>
          </w:p>
        </w:tc>
        <w:tc>
          <w:tcPr>
            <w:tcW w:w="1461" w:type="dxa"/>
            <w:tcBorders>
              <w:top w:val="single" w:sz="4" w:space="0" w:color="365F91"/>
              <w:bottom w:val="single" w:sz="4" w:space="0" w:color="365F91"/>
            </w:tcBorders>
          </w:tcPr>
          <w:p w14:paraId="19F5EC4A" w14:textId="77777777" w:rsidR="00380BE7" w:rsidRPr="00256982" w:rsidRDefault="00380BE7" w:rsidP="00C549F6">
            <w:pPr>
              <w:pStyle w:val="TableText"/>
              <w:spacing w:before="50" w:after="50"/>
              <w:jc w:val="center"/>
            </w:pPr>
            <w:r w:rsidRPr="00256982">
              <w:t>58,782</w:t>
            </w:r>
          </w:p>
        </w:tc>
        <w:tc>
          <w:tcPr>
            <w:tcW w:w="1508" w:type="dxa"/>
            <w:tcBorders>
              <w:top w:val="single" w:sz="4" w:space="0" w:color="365F91"/>
              <w:bottom w:val="single" w:sz="4" w:space="0" w:color="365F91"/>
            </w:tcBorders>
          </w:tcPr>
          <w:p w14:paraId="0A76969F" w14:textId="77777777" w:rsidR="00380BE7" w:rsidRPr="00256982" w:rsidRDefault="00380BE7" w:rsidP="00C549F6">
            <w:pPr>
              <w:pStyle w:val="TableText"/>
              <w:spacing w:before="50" w:after="50"/>
              <w:jc w:val="center"/>
            </w:pPr>
            <w:r w:rsidRPr="00256982">
              <w:t>61,203</w:t>
            </w:r>
          </w:p>
        </w:tc>
        <w:tc>
          <w:tcPr>
            <w:tcW w:w="1323" w:type="dxa"/>
            <w:tcBorders>
              <w:top w:val="single" w:sz="4" w:space="0" w:color="365F91"/>
              <w:bottom w:val="single" w:sz="4" w:space="0" w:color="365F91"/>
            </w:tcBorders>
          </w:tcPr>
          <w:p w14:paraId="027D0D09" w14:textId="77777777" w:rsidR="00380BE7" w:rsidRPr="00256982" w:rsidRDefault="00380BE7" w:rsidP="00C549F6">
            <w:pPr>
              <w:pStyle w:val="TableText"/>
              <w:spacing w:before="50" w:after="50"/>
              <w:jc w:val="center"/>
            </w:pPr>
            <w:r w:rsidRPr="00256982">
              <w:t>4.1</w:t>
            </w:r>
          </w:p>
        </w:tc>
      </w:tr>
      <w:tr w:rsidR="00380BE7" w:rsidRPr="00256982" w14:paraId="7ADC44E5" w14:textId="77777777" w:rsidTr="009574E7">
        <w:tc>
          <w:tcPr>
            <w:tcW w:w="1726" w:type="dxa"/>
            <w:vMerge/>
          </w:tcPr>
          <w:p w14:paraId="7CF9B765" w14:textId="77777777" w:rsidR="00380BE7" w:rsidRPr="00256982" w:rsidRDefault="00380BE7" w:rsidP="00C549F6">
            <w:pPr>
              <w:pStyle w:val="TableText"/>
              <w:spacing w:before="50" w:after="50"/>
            </w:pPr>
          </w:p>
        </w:tc>
        <w:tc>
          <w:tcPr>
            <w:tcW w:w="2487" w:type="dxa"/>
            <w:tcBorders>
              <w:top w:val="single" w:sz="4" w:space="0" w:color="365F91"/>
              <w:bottom w:val="single" w:sz="4" w:space="0" w:color="365F91"/>
            </w:tcBorders>
          </w:tcPr>
          <w:p w14:paraId="12FDA9E3" w14:textId="77777777" w:rsidR="00380BE7" w:rsidRPr="00256982" w:rsidRDefault="00380BE7" w:rsidP="00C549F6">
            <w:pPr>
              <w:pStyle w:val="TableText"/>
              <w:spacing w:before="50" w:after="50"/>
            </w:pPr>
            <w:r w:rsidRPr="00256982">
              <w:t>Annual to perennial</w:t>
            </w:r>
          </w:p>
        </w:tc>
        <w:tc>
          <w:tcPr>
            <w:tcW w:w="1461" w:type="dxa"/>
            <w:tcBorders>
              <w:top w:val="single" w:sz="4" w:space="0" w:color="365F91"/>
              <w:bottom w:val="single" w:sz="4" w:space="0" w:color="365F91"/>
            </w:tcBorders>
          </w:tcPr>
          <w:p w14:paraId="286B173F" w14:textId="77777777" w:rsidR="00380BE7" w:rsidRPr="00256982" w:rsidRDefault="00380BE7" w:rsidP="00C549F6">
            <w:pPr>
              <w:pStyle w:val="TableText"/>
              <w:spacing w:before="50" w:after="50"/>
              <w:jc w:val="center"/>
            </w:pPr>
            <w:r w:rsidRPr="00256982">
              <w:t>898</w:t>
            </w:r>
          </w:p>
        </w:tc>
        <w:tc>
          <w:tcPr>
            <w:tcW w:w="1508" w:type="dxa"/>
            <w:tcBorders>
              <w:top w:val="single" w:sz="4" w:space="0" w:color="365F91"/>
              <w:bottom w:val="single" w:sz="4" w:space="0" w:color="365F91"/>
            </w:tcBorders>
          </w:tcPr>
          <w:p w14:paraId="2F67A50D" w14:textId="77777777" w:rsidR="00380BE7" w:rsidRPr="00256982" w:rsidRDefault="00380BE7" w:rsidP="00C549F6">
            <w:pPr>
              <w:pStyle w:val="TableText"/>
              <w:spacing w:before="50" w:after="50"/>
              <w:jc w:val="center"/>
            </w:pPr>
            <w:r w:rsidRPr="00256982">
              <w:t>6,517</w:t>
            </w:r>
          </w:p>
        </w:tc>
        <w:tc>
          <w:tcPr>
            <w:tcW w:w="1323" w:type="dxa"/>
            <w:tcBorders>
              <w:top w:val="single" w:sz="4" w:space="0" w:color="365F91"/>
              <w:bottom w:val="single" w:sz="4" w:space="0" w:color="365F91"/>
            </w:tcBorders>
          </w:tcPr>
          <w:p w14:paraId="3633C368" w14:textId="77777777" w:rsidR="00380BE7" w:rsidRPr="00256982" w:rsidRDefault="00380BE7" w:rsidP="00C549F6">
            <w:pPr>
              <w:pStyle w:val="TableText"/>
              <w:spacing w:before="50" w:after="50"/>
              <w:jc w:val="center"/>
            </w:pPr>
            <w:r w:rsidRPr="00256982">
              <w:t>625.7</w:t>
            </w:r>
          </w:p>
        </w:tc>
      </w:tr>
      <w:tr w:rsidR="00380BE7" w:rsidRPr="00256982" w14:paraId="046201DF" w14:textId="77777777" w:rsidTr="009574E7">
        <w:tc>
          <w:tcPr>
            <w:tcW w:w="1726" w:type="dxa"/>
            <w:vMerge/>
            <w:tcBorders>
              <w:bottom w:val="nil"/>
            </w:tcBorders>
          </w:tcPr>
          <w:p w14:paraId="6F4BF668" w14:textId="77777777" w:rsidR="00380BE7" w:rsidRPr="00256982" w:rsidRDefault="00380BE7" w:rsidP="00C549F6">
            <w:pPr>
              <w:pStyle w:val="TableText"/>
              <w:spacing w:before="50" w:after="50"/>
            </w:pPr>
          </w:p>
        </w:tc>
        <w:tc>
          <w:tcPr>
            <w:tcW w:w="2487" w:type="dxa"/>
            <w:tcBorders>
              <w:top w:val="single" w:sz="4" w:space="0" w:color="365F91"/>
              <w:bottom w:val="single" w:sz="4" w:space="0" w:color="365F91"/>
            </w:tcBorders>
          </w:tcPr>
          <w:p w14:paraId="5038DF4D" w14:textId="77777777" w:rsidR="00380BE7" w:rsidRPr="00256982" w:rsidRDefault="00380BE7" w:rsidP="00C549F6">
            <w:pPr>
              <w:pStyle w:val="TableText"/>
              <w:spacing w:before="50" w:after="50"/>
            </w:pPr>
            <w:r w:rsidRPr="00256982">
              <w:t>Perennial to annual</w:t>
            </w:r>
          </w:p>
        </w:tc>
        <w:tc>
          <w:tcPr>
            <w:tcW w:w="1461" w:type="dxa"/>
            <w:tcBorders>
              <w:top w:val="single" w:sz="4" w:space="0" w:color="365F91"/>
              <w:bottom w:val="single" w:sz="4" w:space="0" w:color="365F91"/>
            </w:tcBorders>
          </w:tcPr>
          <w:p w14:paraId="30DB7FFD" w14:textId="77777777" w:rsidR="00380BE7" w:rsidRPr="00256982" w:rsidRDefault="00380BE7" w:rsidP="00C549F6">
            <w:pPr>
              <w:pStyle w:val="TableText"/>
              <w:spacing w:before="50" w:after="50"/>
              <w:jc w:val="center"/>
            </w:pPr>
            <w:r w:rsidRPr="00256982">
              <w:t>0</w:t>
            </w:r>
          </w:p>
        </w:tc>
        <w:tc>
          <w:tcPr>
            <w:tcW w:w="1508" w:type="dxa"/>
            <w:tcBorders>
              <w:top w:val="single" w:sz="4" w:space="0" w:color="365F91"/>
              <w:bottom w:val="single" w:sz="4" w:space="0" w:color="365F91"/>
            </w:tcBorders>
          </w:tcPr>
          <w:p w14:paraId="6FC9DFC7" w14:textId="77777777" w:rsidR="00380BE7" w:rsidRPr="00256982" w:rsidRDefault="00380BE7" w:rsidP="00C549F6">
            <w:pPr>
              <w:pStyle w:val="TableText"/>
              <w:spacing w:before="50" w:after="50"/>
              <w:jc w:val="center"/>
            </w:pPr>
            <w:r w:rsidRPr="00256982">
              <w:t>2,354</w:t>
            </w:r>
          </w:p>
        </w:tc>
        <w:tc>
          <w:tcPr>
            <w:tcW w:w="1323" w:type="dxa"/>
            <w:tcBorders>
              <w:top w:val="single" w:sz="4" w:space="0" w:color="365F91"/>
              <w:bottom w:val="single" w:sz="4" w:space="0" w:color="365F91"/>
            </w:tcBorders>
          </w:tcPr>
          <w:p w14:paraId="2E9AD173" w14:textId="77777777" w:rsidR="00380BE7" w:rsidRPr="00256982" w:rsidRDefault="00380BE7" w:rsidP="00C549F6">
            <w:pPr>
              <w:pStyle w:val="TableText"/>
              <w:spacing w:before="50" w:after="50"/>
              <w:jc w:val="center"/>
            </w:pPr>
            <w:r w:rsidRPr="00256982">
              <w:t>NA</w:t>
            </w:r>
          </w:p>
        </w:tc>
      </w:tr>
      <w:tr w:rsidR="00380BE7" w:rsidRPr="00256982" w14:paraId="30CF0801" w14:textId="77777777" w:rsidTr="009574E7">
        <w:tc>
          <w:tcPr>
            <w:tcW w:w="1726" w:type="dxa"/>
            <w:tcBorders>
              <w:top w:val="nil"/>
              <w:bottom w:val="single" w:sz="4" w:space="0" w:color="365F91"/>
            </w:tcBorders>
          </w:tcPr>
          <w:p w14:paraId="3EEE7A5D" w14:textId="77777777" w:rsidR="00380BE7" w:rsidRPr="00256982" w:rsidRDefault="00380BE7" w:rsidP="00C549F6">
            <w:pPr>
              <w:pStyle w:val="TableText"/>
              <w:spacing w:before="50" w:after="50"/>
            </w:pPr>
          </w:p>
        </w:tc>
        <w:tc>
          <w:tcPr>
            <w:tcW w:w="2487" w:type="dxa"/>
            <w:tcBorders>
              <w:top w:val="single" w:sz="4" w:space="0" w:color="365F91"/>
              <w:bottom w:val="single" w:sz="4" w:space="0" w:color="365F91"/>
            </w:tcBorders>
          </w:tcPr>
          <w:p w14:paraId="5DD91E05" w14:textId="77777777" w:rsidR="00380BE7" w:rsidRPr="00256982" w:rsidRDefault="00380BE7" w:rsidP="00C549F6">
            <w:pPr>
              <w:pStyle w:val="TableText"/>
              <w:spacing w:before="50" w:after="50"/>
              <w:rPr>
                <w:i/>
              </w:rPr>
            </w:pPr>
            <w:r w:rsidRPr="00256982">
              <w:rPr>
                <w:i/>
              </w:rPr>
              <w:t>Subtotal</w:t>
            </w:r>
          </w:p>
        </w:tc>
        <w:tc>
          <w:tcPr>
            <w:tcW w:w="1461" w:type="dxa"/>
            <w:tcBorders>
              <w:top w:val="single" w:sz="4" w:space="0" w:color="365F91"/>
              <w:bottom w:val="single" w:sz="4" w:space="0" w:color="365F91"/>
            </w:tcBorders>
          </w:tcPr>
          <w:p w14:paraId="6D6196A8" w14:textId="77777777" w:rsidR="00380BE7" w:rsidRPr="00256982" w:rsidRDefault="00380BE7" w:rsidP="00C549F6">
            <w:pPr>
              <w:pStyle w:val="TableText"/>
              <w:spacing w:before="50" w:after="50"/>
              <w:jc w:val="center"/>
              <w:rPr>
                <w:i/>
              </w:rPr>
            </w:pPr>
            <w:r w:rsidRPr="00256982">
              <w:t>384,757</w:t>
            </w:r>
          </w:p>
        </w:tc>
        <w:tc>
          <w:tcPr>
            <w:tcW w:w="1508" w:type="dxa"/>
            <w:tcBorders>
              <w:top w:val="single" w:sz="4" w:space="0" w:color="365F91"/>
              <w:bottom w:val="single" w:sz="4" w:space="0" w:color="365F91"/>
            </w:tcBorders>
          </w:tcPr>
          <w:p w14:paraId="53DD9A00" w14:textId="77777777" w:rsidR="00380BE7" w:rsidRPr="00256982" w:rsidRDefault="00380BE7" w:rsidP="00C549F6">
            <w:pPr>
              <w:pStyle w:val="TableText"/>
              <w:spacing w:before="50" w:after="50"/>
              <w:jc w:val="center"/>
              <w:rPr>
                <w:i/>
              </w:rPr>
            </w:pPr>
            <w:r w:rsidRPr="00256982">
              <w:t>414,933</w:t>
            </w:r>
          </w:p>
        </w:tc>
        <w:tc>
          <w:tcPr>
            <w:tcW w:w="1323" w:type="dxa"/>
            <w:tcBorders>
              <w:top w:val="single" w:sz="4" w:space="0" w:color="365F91"/>
              <w:bottom w:val="single" w:sz="4" w:space="0" w:color="365F91"/>
            </w:tcBorders>
          </w:tcPr>
          <w:p w14:paraId="7769CC49" w14:textId="77777777" w:rsidR="00380BE7" w:rsidRPr="00256982" w:rsidRDefault="00380BE7" w:rsidP="00C549F6">
            <w:pPr>
              <w:pStyle w:val="TableText"/>
              <w:spacing w:before="50" w:after="50"/>
              <w:jc w:val="center"/>
              <w:rPr>
                <w:i/>
              </w:rPr>
            </w:pPr>
            <w:r w:rsidRPr="00256982">
              <w:t>7.8</w:t>
            </w:r>
          </w:p>
        </w:tc>
      </w:tr>
      <w:tr w:rsidR="00380BE7" w:rsidRPr="00256982" w14:paraId="56A9B679" w14:textId="77777777" w:rsidTr="009574E7">
        <w:tc>
          <w:tcPr>
            <w:tcW w:w="1726" w:type="dxa"/>
            <w:vMerge w:val="restart"/>
            <w:tcBorders>
              <w:top w:val="single" w:sz="4" w:space="0" w:color="365F91"/>
            </w:tcBorders>
          </w:tcPr>
          <w:p w14:paraId="1172CF08" w14:textId="77777777" w:rsidR="00380BE7" w:rsidRPr="00256982" w:rsidRDefault="00380BE7" w:rsidP="00C549F6">
            <w:pPr>
              <w:pStyle w:val="TableText"/>
              <w:spacing w:before="50" w:after="50"/>
            </w:pPr>
            <w:r w:rsidRPr="00256982">
              <w:t>Land in conversion to cropland</w:t>
            </w:r>
          </w:p>
        </w:tc>
        <w:tc>
          <w:tcPr>
            <w:tcW w:w="2487" w:type="dxa"/>
            <w:tcBorders>
              <w:top w:val="single" w:sz="4" w:space="0" w:color="365F91"/>
              <w:bottom w:val="single" w:sz="4" w:space="0" w:color="365F91"/>
            </w:tcBorders>
          </w:tcPr>
          <w:p w14:paraId="7C7D1003" w14:textId="77777777" w:rsidR="00380BE7" w:rsidRPr="00256982" w:rsidRDefault="00380BE7" w:rsidP="00C549F6">
            <w:pPr>
              <w:pStyle w:val="TableText"/>
              <w:spacing w:before="50" w:after="50"/>
            </w:pPr>
            <w:r w:rsidRPr="00256982">
              <w:t>Annual cropland</w:t>
            </w:r>
          </w:p>
        </w:tc>
        <w:tc>
          <w:tcPr>
            <w:tcW w:w="1461" w:type="dxa"/>
            <w:tcBorders>
              <w:top w:val="single" w:sz="4" w:space="0" w:color="365F91"/>
              <w:bottom w:val="single" w:sz="4" w:space="0" w:color="365F91"/>
            </w:tcBorders>
          </w:tcPr>
          <w:p w14:paraId="64DC4670" w14:textId="77777777" w:rsidR="00380BE7" w:rsidRPr="00256982" w:rsidRDefault="00380BE7" w:rsidP="00C549F6">
            <w:pPr>
              <w:pStyle w:val="TableText"/>
              <w:spacing w:before="50" w:after="50"/>
              <w:jc w:val="center"/>
            </w:pPr>
            <w:r w:rsidRPr="00256982">
              <w:t>29,898</w:t>
            </w:r>
          </w:p>
        </w:tc>
        <w:tc>
          <w:tcPr>
            <w:tcW w:w="1508" w:type="dxa"/>
            <w:tcBorders>
              <w:top w:val="single" w:sz="4" w:space="0" w:color="365F91"/>
              <w:bottom w:val="single" w:sz="4" w:space="0" w:color="365F91"/>
            </w:tcBorders>
          </w:tcPr>
          <w:p w14:paraId="7187208F" w14:textId="77777777" w:rsidR="00380BE7" w:rsidRPr="00256982" w:rsidRDefault="00380BE7" w:rsidP="00C549F6">
            <w:pPr>
              <w:pStyle w:val="TableText"/>
              <w:spacing w:before="50" w:after="50"/>
              <w:jc w:val="center"/>
            </w:pPr>
            <w:r w:rsidRPr="00256982">
              <w:t>24214.4</w:t>
            </w:r>
          </w:p>
        </w:tc>
        <w:tc>
          <w:tcPr>
            <w:tcW w:w="1323" w:type="dxa"/>
            <w:tcBorders>
              <w:top w:val="single" w:sz="4" w:space="0" w:color="365F91"/>
              <w:bottom w:val="single" w:sz="4" w:space="0" w:color="365F91"/>
            </w:tcBorders>
          </w:tcPr>
          <w:p w14:paraId="67F90109" w14:textId="77777777" w:rsidR="00380BE7" w:rsidRPr="00256982" w:rsidRDefault="00380BE7" w:rsidP="00C549F6">
            <w:pPr>
              <w:pStyle w:val="TableText"/>
              <w:spacing w:before="50" w:after="50"/>
              <w:jc w:val="center"/>
            </w:pPr>
            <w:r w:rsidRPr="00256982">
              <w:rPr>
                <w:rFonts w:cs="Arial"/>
                <w:color w:val="000000"/>
                <w:szCs w:val="16"/>
              </w:rPr>
              <w:t>–</w:t>
            </w:r>
            <w:r w:rsidRPr="00256982">
              <w:t>19.0</w:t>
            </w:r>
          </w:p>
        </w:tc>
      </w:tr>
      <w:tr w:rsidR="00380BE7" w:rsidRPr="00256982" w14:paraId="3F852A10" w14:textId="77777777" w:rsidTr="009574E7">
        <w:tc>
          <w:tcPr>
            <w:tcW w:w="1726" w:type="dxa"/>
            <w:vMerge/>
            <w:tcBorders>
              <w:bottom w:val="nil"/>
            </w:tcBorders>
          </w:tcPr>
          <w:p w14:paraId="47CA11A1" w14:textId="77777777" w:rsidR="00380BE7" w:rsidRPr="00256982" w:rsidRDefault="00380BE7" w:rsidP="00C549F6">
            <w:pPr>
              <w:pStyle w:val="TableText"/>
              <w:spacing w:before="50" w:after="50"/>
            </w:pPr>
          </w:p>
        </w:tc>
        <w:tc>
          <w:tcPr>
            <w:tcW w:w="2487" w:type="dxa"/>
            <w:tcBorders>
              <w:top w:val="single" w:sz="4" w:space="0" w:color="365F91"/>
              <w:bottom w:val="single" w:sz="4" w:space="0" w:color="365F91"/>
            </w:tcBorders>
          </w:tcPr>
          <w:p w14:paraId="2E1326E1" w14:textId="77777777" w:rsidR="00380BE7" w:rsidRPr="00256982" w:rsidRDefault="00380BE7" w:rsidP="00C549F6">
            <w:pPr>
              <w:pStyle w:val="TableText"/>
              <w:spacing w:before="50" w:after="50"/>
            </w:pPr>
            <w:r w:rsidRPr="00256982">
              <w:t>Perennial cropland</w:t>
            </w:r>
          </w:p>
        </w:tc>
        <w:tc>
          <w:tcPr>
            <w:tcW w:w="1461" w:type="dxa"/>
            <w:tcBorders>
              <w:top w:val="single" w:sz="4" w:space="0" w:color="365F91"/>
              <w:bottom w:val="single" w:sz="4" w:space="0" w:color="365F91"/>
            </w:tcBorders>
          </w:tcPr>
          <w:p w14:paraId="2FC753F7" w14:textId="77777777" w:rsidR="00380BE7" w:rsidRPr="00256982" w:rsidRDefault="00380BE7" w:rsidP="00C549F6">
            <w:pPr>
              <w:pStyle w:val="TableText"/>
              <w:spacing w:before="50" w:after="50"/>
              <w:jc w:val="center"/>
            </w:pPr>
            <w:r w:rsidRPr="00256982">
              <w:t>9,442</w:t>
            </w:r>
          </w:p>
        </w:tc>
        <w:tc>
          <w:tcPr>
            <w:tcW w:w="1508" w:type="dxa"/>
            <w:tcBorders>
              <w:top w:val="single" w:sz="4" w:space="0" w:color="365F91"/>
              <w:bottom w:val="single" w:sz="4" w:space="0" w:color="365F91"/>
            </w:tcBorders>
          </w:tcPr>
          <w:p w14:paraId="0CECF67D" w14:textId="77777777" w:rsidR="00380BE7" w:rsidRPr="00256982" w:rsidRDefault="00380BE7" w:rsidP="00C549F6">
            <w:pPr>
              <w:pStyle w:val="TableText"/>
              <w:spacing w:before="50" w:after="50"/>
              <w:jc w:val="center"/>
            </w:pPr>
            <w:r w:rsidRPr="00256982">
              <w:t>36,808</w:t>
            </w:r>
          </w:p>
        </w:tc>
        <w:tc>
          <w:tcPr>
            <w:tcW w:w="1323" w:type="dxa"/>
            <w:tcBorders>
              <w:top w:val="single" w:sz="4" w:space="0" w:color="365F91"/>
              <w:bottom w:val="single" w:sz="4" w:space="0" w:color="365F91"/>
            </w:tcBorders>
          </w:tcPr>
          <w:p w14:paraId="79B8BF05" w14:textId="77777777" w:rsidR="00380BE7" w:rsidRPr="00256982" w:rsidRDefault="00380BE7" w:rsidP="00C549F6">
            <w:pPr>
              <w:pStyle w:val="TableText"/>
              <w:spacing w:before="50" w:after="50"/>
              <w:jc w:val="center"/>
            </w:pPr>
            <w:r w:rsidRPr="00256982">
              <w:t>+289.8</w:t>
            </w:r>
          </w:p>
        </w:tc>
      </w:tr>
      <w:tr w:rsidR="00380BE7" w:rsidRPr="00256982" w14:paraId="33E55529" w14:textId="77777777" w:rsidTr="009574E7">
        <w:tc>
          <w:tcPr>
            <w:tcW w:w="1726" w:type="dxa"/>
            <w:tcBorders>
              <w:top w:val="nil"/>
              <w:bottom w:val="single" w:sz="4" w:space="0" w:color="365F91"/>
            </w:tcBorders>
          </w:tcPr>
          <w:p w14:paraId="72AB7C67" w14:textId="77777777" w:rsidR="00380BE7" w:rsidRPr="00256982" w:rsidRDefault="00380BE7" w:rsidP="00C549F6">
            <w:pPr>
              <w:pStyle w:val="TableTextBold"/>
              <w:spacing w:before="50" w:after="50"/>
              <w:rPr>
                <w:noProof w:val="0"/>
              </w:rPr>
            </w:pPr>
          </w:p>
        </w:tc>
        <w:tc>
          <w:tcPr>
            <w:tcW w:w="2487" w:type="dxa"/>
            <w:tcBorders>
              <w:top w:val="single" w:sz="4" w:space="0" w:color="365F91"/>
              <w:bottom w:val="single" w:sz="4" w:space="0" w:color="365F91"/>
            </w:tcBorders>
          </w:tcPr>
          <w:p w14:paraId="37D07E65" w14:textId="77777777" w:rsidR="00380BE7" w:rsidRPr="00256982" w:rsidRDefault="00380BE7" w:rsidP="00C549F6">
            <w:pPr>
              <w:pStyle w:val="TableText"/>
              <w:spacing w:before="50" w:after="50"/>
              <w:rPr>
                <w:i/>
              </w:rPr>
            </w:pPr>
            <w:r w:rsidRPr="00256982">
              <w:rPr>
                <w:i/>
              </w:rPr>
              <w:t>Subtotal</w:t>
            </w:r>
          </w:p>
        </w:tc>
        <w:tc>
          <w:tcPr>
            <w:tcW w:w="1461" w:type="dxa"/>
            <w:tcBorders>
              <w:top w:val="single" w:sz="4" w:space="0" w:color="365F91"/>
              <w:bottom w:val="single" w:sz="4" w:space="0" w:color="365F91"/>
            </w:tcBorders>
          </w:tcPr>
          <w:p w14:paraId="548DAFA6" w14:textId="77777777" w:rsidR="00380BE7" w:rsidRPr="00256982" w:rsidRDefault="00380BE7" w:rsidP="00C549F6">
            <w:pPr>
              <w:pStyle w:val="TableText"/>
              <w:spacing w:before="50" w:after="50"/>
              <w:jc w:val="center"/>
              <w:rPr>
                <w:i/>
              </w:rPr>
            </w:pPr>
            <w:r w:rsidRPr="00256982">
              <w:t>39,340</w:t>
            </w:r>
          </w:p>
        </w:tc>
        <w:tc>
          <w:tcPr>
            <w:tcW w:w="1508" w:type="dxa"/>
            <w:tcBorders>
              <w:top w:val="single" w:sz="4" w:space="0" w:color="365F91"/>
              <w:bottom w:val="single" w:sz="4" w:space="0" w:color="365F91"/>
            </w:tcBorders>
          </w:tcPr>
          <w:p w14:paraId="5A984DAB" w14:textId="77777777" w:rsidR="00380BE7" w:rsidRPr="00256982" w:rsidRDefault="00380BE7" w:rsidP="00C549F6">
            <w:pPr>
              <w:pStyle w:val="TableText"/>
              <w:spacing w:before="50" w:after="50"/>
              <w:jc w:val="center"/>
              <w:rPr>
                <w:i/>
              </w:rPr>
            </w:pPr>
            <w:r w:rsidRPr="00256982">
              <w:t>61,022</w:t>
            </w:r>
          </w:p>
        </w:tc>
        <w:tc>
          <w:tcPr>
            <w:tcW w:w="1323" w:type="dxa"/>
            <w:tcBorders>
              <w:top w:val="single" w:sz="4" w:space="0" w:color="365F91"/>
              <w:bottom w:val="single" w:sz="4" w:space="0" w:color="365F91"/>
            </w:tcBorders>
          </w:tcPr>
          <w:p w14:paraId="1FE87536" w14:textId="77777777" w:rsidR="00380BE7" w:rsidRPr="00256982" w:rsidRDefault="00380BE7" w:rsidP="00C549F6">
            <w:pPr>
              <w:pStyle w:val="TableText"/>
              <w:spacing w:before="50" w:after="50"/>
              <w:jc w:val="center"/>
              <w:rPr>
                <w:i/>
              </w:rPr>
            </w:pPr>
            <w:r w:rsidRPr="00256982">
              <w:t>+55.1</w:t>
            </w:r>
          </w:p>
        </w:tc>
      </w:tr>
      <w:tr w:rsidR="00380BE7" w:rsidRPr="00256982" w14:paraId="22EDE52A" w14:textId="77777777" w:rsidTr="009574E7">
        <w:tc>
          <w:tcPr>
            <w:tcW w:w="1726" w:type="dxa"/>
            <w:tcBorders>
              <w:top w:val="single" w:sz="4" w:space="0" w:color="365F91"/>
              <w:bottom w:val="single" w:sz="4" w:space="0" w:color="365F91"/>
            </w:tcBorders>
          </w:tcPr>
          <w:p w14:paraId="0000D6BF" w14:textId="77777777" w:rsidR="00380BE7" w:rsidRPr="00256982" w:rsidRDefault="00380BE7" w:rsidP="00C549F6">
            <w:pPr>
              <w:pStyle w:val="Tableboldblue"/>
              <w:spacing w:before="50" w:after="50"/>
            </w:pPr>
            <w:r w:rsidRPr="00256982">
              <w:t>Total</w:t>
            </w:r>
          </w:p>
        </w:tc>
        <w:tc>
          <w:tcPr>
            <w:tcW w:w="2487" w:type="dxa"/>
            <w:tcBorders>
              <w:top w:val="single" w:sz="4" w:space="0" w:color="365F91"/>
              <w:bottom w:val="single" w:sz="4" w:space="0" w:color="365F91"/>
            </w:tcBorders>
          </w:tcPr>
          <w:p w14:paraId="3B3B107D" w14:textId="77777777" w:rsidR="00380BE7" w:rsidRPr="00256982" w:rsidRDefault="00380BE7" w:rsidP="00C549F6">
            <w:pPr>
              <w:pStyle w:val="Tableboldblue"/>
              <w:spacing w:before="50" w:after="50"/>
            </w:pPr>
          </w:p>
        </w:tc>
        <w:tc>
          <w:tcPr>
            <w:tcW w:w="1461" w:type="dxa"/>
            <w:tcBorders>
              <w:top w:val="single" w:sz="4" w:space="0" w:color="365F91"/>
              <w:bottom w:val="single" w:sz="4" w:space="0" w:color="365F91"/>
            </w:tcBorders>
          </w:tcPr>
          <w:p w14:paraId="63F4609A" w14:textId="77777777" w:rsidR="00380BE7" w:rsidRPr="00256982" w:rsidRDefault="00380BE7" w:rsidP="00C549F6">
            <w:pPr>
              <w:pStyle w:val="Tableboldblue"/>
              <w:spacing w:before="50" w:after="50"/>
              <w:jc w:val="center"/>
            </w:pPr>
            <w:r w:rsidRPr="00256982">
              <w:t>424,097</w:t>
            </w:r>
          </w:p>
        </w:tc>
        <w:tc>
          <w:tcPr>
            <w:tcW w:w="1508" w:type="dxa"/>
            <w:tcBorders>
              <w:top w:val="single" w:sz="4" w:space="0" w:color="365F91"/>
              <w:bottom w:val="single" w:sz="4" w:space="0" w:color="365F91"/>
            </w:tcBorders>
          </w:tcPr>
          <w:p w14:paraId="312AEFBA" w14:textId="77777777" w:rsidR="00380BE7" w:rsidRPr="00256982" w:rsidRDefault="00380BE7" w:rsidP="00C549F6">
            <w:pPr>
              <w:pStyle w:val="Tableboldblue"/>
              <w:spacing w:before="50" w:after="50"/>
              <w:jc w:val="center"/>
            </w:pPr>
            <w:r w:rsidRPr="00256982">
              <w:t>475,955</w:t>
            </w:r>
          </w:p>
        </w:tc>
        <w:tc>
          <w:tcPr>
            <w:tcW w:w="1323" w:type="dxa"/>
            <w:tcBorders>
              <w:top w:val="single" w:sz="4" w:space="0" w:color="365F91"/>
              <w:bottom w:val="single" w:sz="4" w:space="0" w:color="365F91"/>
            </w:tcBorders>
          </w:tcPr>
          <w:p w14:paraId="573B8F1B" w14:textId="77777777" w:rsidR="00380BE7" w:rsidRPr="00256982" w:rsidRDefault="00380BE7" w:rsidP="00C549F6">
            <w:pPr>
              <w:pStyle w:val="Tableboldblue"/>
              <w:spacing w:before="50" w:after="50"/>
              <w:jc w:val="center"/>
            </w:pPr>
            <w:r w:rsidRPr="00256982">
              <w:t>+12.2</w:t>
            </w:r>
          </w:p>
        </w:tc>
      </w:tr>
    </w:tbl>
    <w:p w14:paraId="1B7D3462" w14:textId="77777777" w:rsidR="00380BE7" w:rsidRPr="00256982" w:rsidRDefault="00380BE7" w:rsidP="00380BE7">
      <w:pPr>
        <w:pStyle w:val="Noteundertable"/>
      </w:pPr>
      <w:r w:rsidRPr="00256982">
        <w:rPr>
          <w:b/>
        </w:rPr>
        <w:t>Note:</w:t>
      </w:r>
      <w:r w:rsidRPr="00256982">
        <w:tab/>
        <w:t>NA = not applicable. This table shows the change between 1 January 1990 and 31 December 2017. Columns may not total due to rounding.</w:t>
      </w:r>
    </w:p>
    <w:p w14:paraId="2D4F48F4" w14:textId="77777777" w:rsidR="00380BE7" w:rsidRPr="00256982" w:rsidRDefault="00380BE7" w:rsidP="00380BE7">
      <w:pPr>
        <w:pStyle w:val="BodyText"/>
      </w:pPr>
      <w:r w:rsidRPr="00256982">
        <w:t xml:space="preserve">In 2017, </w:t>
      </w:r>
      <w:r w:rsidRPr="00256982">
        <w:rPr>
          <w:i/>
        </w:rPr>
        <w:t>Cropland remaining cropland</w:t>
      </w:r>
      <w:r w:rsidRPr="00256982">
        <w:t xml:space="preserve"> was a key category (level assessment). </w:t>
      </w:r>
    </w:p>
    <w:p w14:paraId="55AE78B4" w14:textId="77777777" w:rsidR="00380BE7" w:rsidRPr="00256982" w:rsidRDefault="00380BE7" w:rsidP="00380BE7">
      <w:pPr>
        <w:pStyle w:val="Heading3"/>
        <w:spacing w:before="240"/>
      </w:pPr>
      <w:bookmarkStart w:id="1643" w:name="_Toc139253964"/>
      <w:bookmarkStart w:id="1644" w:name="_Toc255466373"/>
      <w:bookmarkStart w:id="1645" w:name="_Toc261513180"/>
      <w:bookmarkStart w:id="1646" w:name="_Toc261513793"/>
      <w:bookmarkStart w:id="1647" w:name="_Toc280630265"/>
      <w:r w:rsidRPr="00256982">
        <w:t>6.5.2</w:t>
      </w:r>
      <w:r w:rsidRPr="00256982">
        <w:tab/>
        <w:t>Methodological issues</w:t>
      </w:r>
      <w:bookmarkEnd w:id="1643"/>
      <w:bookmarkEnd w:id="1644"/>
      <w:bookmarkEnd w:id="1645"/>
      <w:bookmarkEnd w:id="1646"/>
      <w:bookmarkEnd w:id="1647"/>
      <w:r w:rsidRPr="00256982">
        <w:t xml:space="preserve"> </w:t>
      </w:r>
    </w:p>
    <w:p w14:paraId="215976D9" w14:textId="77777777" w:rsidR="00380BE7" w:rsidRPr="00256982" w:rsidRDefault="00380BE7" w:rsidP="00380BE7">
      <w:pPr>
        <w:pStyle w:val="BodyText"/>
      </w:pPr>
      <w:r w:rsidRPr="00256982">
        <w:t xml:space="preserve">Emissions and removals for the living biomass and dead organic matter pools have been calculated using IPCC Tier 1 emission factors for annual cropland, Tier 2 emission factors for perennial cropland (Davis and Wakelin, unpublished) and activity data as described in section 6.2. Emissions and removals by the SOC pool are estimated using a Tier 2 method for mineral soils and IPCC Tier 1 defaults for organic soils (section 6.3, IPCC, 2006a). </w:t>
      </w:r>
    </w:p>
    <w:p w14:paraId="00311410" w14:textId="77777777" w:rsidR="00380BE7" w:rsidRPr="00256982" w:rsidRDefault="00380BE7" w:rsidP="00380BE7">
      <w:pPr>
        <w:pStyle w:val="BodyText"/>
      </w:pPr>
      <w:r w:rsidRPr="00256982">
        <w:t xml:space="preserve">A summary of the New Zealand emission factors and other parameters used to estimate greenhouse gas emissions for the </w:t>
      </w:r>
      <w:r w:rsidRPr="00256982">
        <w:rPr>
          <w:i/>
        </w:rPr>
        <w:t>Cropland</w:t>
      </w:r>
      <w:r w:rsidRPr="00256982">
        <w:t xml:space="preserve"> category is provided in table 6.5.5. </w:t>
      </w:r>
      <w:bookmarkStart w:id="1648" w:name="_Toc310423418"/>
      <w:bookmarkStart w:id="1649" w:name="_Toc318362711"/>
      <w:bookmarkStart w:id="1650" w:name="_Toc342470773"/>
      <w:bookmarkStart w:id="1651" w:name="_Toc352505013"/>
      <w:bookmarkStart w:id="1652" w:name="_Toc378853304"/>
    </w:p>
    <w:p w14:paraId="75DB6A3F" w14:textId="05998D5A" w:rsidR="00380BE7" w:rsidRPr="00256982" w:rsidRDefault="00380BE7" w:rsidP="00380BE7">
      <w:pPr>
        <w:pStyle w:val="Table"/>
      </w:pPr>
      <w:bookmarkStart w:id="1653" w:name="_Toc391024102"/>
      <w:bookmarkStart w:id="1654" w:name="_Toc410028845"/>
      <w:bookmarkStart w:id="1655" w:name="_Toc414531473"/>
      <w:bookmarkStart w:id="1656" w:name="_Toc443645386"/>
      <w:bookmarkStart w:id="1657" w:name="_Toc474914605"/>
      <w:bookmarkStart w:id="1658" w:name="_Toc481751569"/>
      <w:bookmarkStart w:id="1659" w:name="_Toc522010626"/>
      <w:bookmarkStart w:id="1660" w:name="_Toc5269531"/>
      <w:r w:rsidRPr="00256982">
        <w:t>Table 6.5.5</w:t>
      </w:r>
      <w:r w:rsidRPr="00256982">
        <w:tab/>
        <w:t>Summary of New Zealand’s carbo</w:t>
      </w:r>
      <w:r w:rsidR="00897010" w:rsidRPr="00256982">
        <w:t xml:space="preserve">n stock change emission factors </w:t>
      </w:r>
      <w:r w:rsidRPr="00256982">
        <w:t>for</w:t>
      </w:r>
      <w:r w:rsidR="00897010" w:rsidRPr="00256982">
        <w:t> </w:t>
      </w:r>
      <w:r w:rsidRPr="00256982">
        <w:t>Cropland</w:t>
      </w:r>
      <w:bookmarkEnd w:id="1648"/>
      <w:bookmarkEnd w:id="1649"/>
      <w:bookmarkEnd w:id="1650"/>
      <w:bookmarkEnd w:id="1651"/>
      <w:bookmarkEnd w:id="1652"/>
      <w:bookmarkEnd w:id="1653"/>
      <w:bookmarkEnd w:id="1654"/>
      <w:bookmarkEnd w:id="1655"/>
      <w:bookmarkEnd w:id="1656"/>
      <w:bookmarkEnd w:id="1657"/>
      <w:bookmarkEnd w:id="1658"/>
      <w:bookmarkEnd w:id="1659"/>
      <w:bookmarkEnd w:id="1660"/>
    </w:p>
    <w:tbl>
      <w:tblPr>
        <w:tblW w:w="8505" w:type="dxa"/>
        <w:tblInd w:w="108" w:type="dxa"/>
        <w:tblLayout w:type="fixed"/>
        <w:tblCellMar>
          <w:left w:w="85" w:type="dxa"/>
          <w:right w:w="57" w:type="dxa"/>
        </w:tblCellMar>
        <w:tblLook w:val="04A0" w:firstRow="1" w:lastRow="0" w:firstColumn="1" w:lastColumn="0" w:noHBand="0" w:noVBand="1"/>
      </w:tblPr>
      <w:tblGrid>
        <w:gridCol w:w="949"/>
        <w:gridCol w:w="1722"/>
        <w:gridCol w:w="1275"/>
        <w:gridCol w:w="1276"/>
        <w:gridCol w:w="1142"/>
        <w:gridCol w:w="2141"/>
      </w:tblGrid>
      <w:tr w:rsidR="00380BE7" w:rsidRPr="00256982" w14:paraId="0B0CAE5C" w14:textId="77777777" w:rsidTr="009574E7">
        <w:trPr>
          <w:tblHeader/>
        </w:trPr>
        <w:tc>
          <w:tcPr>
            <w:tcW w:w="949" w:type="dxa"/>
            <w:tcBorders>
              <w:top w:val="single" w:sz="4" w:space="0" w:color="365F91"/>
              <w:bottom w:val="single" w:sz="4" w:space="0" w:color="365F91"/>
            </w:tcBorders>
            <w:shd w:val="clear" w:color="auto" w:fill="365F91"/>
            <w:vAlign w:val="bottom"/>
          </w:tcPr>
          <w:p w14:paraId="7D87FB2E" w14:textId="77777777" w:rsidR="00380BE7" w:rsidRPr="00256982" w:rsidRDefault="00380BE7" w:rsidP="009574E7">
            <w:pPr>
              <w:pStyle w:val="TableTextBold"/>
              <w:keepNext/>
              <w:rPr>
                <w:noProof w:val="0"/>
                <w:color w:val="FFFFFF"/>
              </w:rPr>
            </w:pPr>
            <w:r w:rsidRPr="00256982">
              <w:rPr>
                <w:noProof w:val="0"/>
                <w:color w:val="FFFFFF"/>
              </w:rPr>
              <w:t>Land use</w:t>
            </w:r>
          </w:p>
        </w:tc>
        <w:tc>
          <w:tcPr>
            <w:tcW w:w="1722" w:type="dxa"/>
            <w:tcBorders>
              <w:top w:val="single" w:sz="4" w:space="0" w:color="365F91"/>
              <w:bottom w:val="single" w:sz="4" w:space="0" w:color="365F91"/>
            </w:tcBorders>
            <w:shd w:val="clear" w:color="auto" w:fill="365F91"/>
            <w:vAlign w:val="bottom"/>
          </w:tcPr>
          <w:p w14:paraId="64BC0B85" w14:textId="77777777" w:rsidR="00380BE7" w:rsidRPr="00256982" w:rsidRDefault="00380BE7" w:rsidP="009574E7">
            <w:pPr>
              <w:pStyle w:val="TableTextBold"/>
              <w:keepNext/>
              <w:rPr>
                <w:noProof w:val="0"/>
                <w:color w:val="FFFFFF"/>
              </w:rPr>
            </w:pPr>
            <w:r w:rsidRPr="00256982">
              <w:rPr>
                <w:noProof w:val="0"/>
                <w:color w:val="FFFFFF"/>
              </w:rPr>
              <w:t>Carbon pool</w:t>
            </w:r>
          </w:p>
        </w:tc>
        <w:tc>
          <w:tcPr>
            <w:tcW w:w="1275" w:type="dxa"/>
            <w:tcBorders>
              <w:top w:val="single" w:sz="4" w:space="0" w:color="365F91"/>
              <w:bottom w:val="single" w:sz="4" w:space="0" w:color="365F91"/>
            </w:tcBorders>
            <w:shd w:val="clear" w:color="auto" w:fill="365F91"/>
            <w:vAlign w:val="bottom"/>
          </w:tcPr>
          <w:p w14:paraId="1D12D83E" w14:textId="77777777" w:rsidR="00380BE7" w:rsidRPr="00256982" w:rsidRDefault="00380BE7" w:rsidP="009574E7">
            <w:pPr>
              <w:pStyle w:val="TableTextBold"/>
              <w:keepNext/>
              <w:rPr>
                <w:noProof w:val="0"/>
                <w:color w:val="FFFFFF"/>
              </w:rPr>
            </w:pPr>
            <w:r w:rsidRPr="00256982">
              <w:rPr>
                <w:noProof w:val="0"/>
                <w:color w:val="FFFFFF"/>
              </w:rPr>
              <w:t xml:space="preserve">Steady state carbon stock </w:t>
            </w:r>
            <w:r w:rsidRPr="00256982">
              <w:rPr>
                <w:noProof w:val="0"/>
                <w:color w:val="FFFFFF"/>
              </w:rPr>
              <w:br/>
              <w:t>(t C ha</w:t>
            </w:r>
            <w:r w:rsidRPr="00256982">
              <w:rPr>
                <w:noProof w:val="0"/>
                <w:color w:val="FFFFFF"/>
                <w:vertAlign w:val="superscript"/>
              </w:rPr>
              <w:t>–1</w:t>
            </w:r>
            <w:r w:rsidRPr="00256982">
              <w:rPr>
                <w:noProof w:val="0"/>
                <w:color w:val="FFFFFF"/>
              </w:rPr>
              <w:t>)</w:t>
            </w:r>
          </w:p>
        </w:tc>
        <w:tc>
          <w:tcPr>
            <w:tcW w:w="1276" w:type="dxa"/>
            <w:tcBorders>
              <w:top w:val="single" w:sz="4" w:space="0" w:color="365F91"/>
              <w:bottom w:val="single" w:sz="4" w:space="0" w:color="365F91"/>
            </w:tcBorders>
            <w:shd w:val="clear" w:color="auto" w:fill="365F91"/>
            <w:vAlign w:val="bottom"/>
          </w:tcPr>
          <w:p w14:paraId="76FE7DB7" w14:textId="77777777" w:rsidR="00380BE7" w:rsidRPr="00256982" w:rsidRDefault="00380BE7" w:rsidP="009574E7">
            <w:pPr>
              <w:pStyle w:val="TableTextBold"/>
              <w:keepNext/>
              <w:rPr>
                <w:noProof w:val="0"/>
                <w:color w:val="FFFFFF"/>
              </w:rPr>
            </w:pPr>
            <w:r w:rsidRPr="00256982">
              <w:rPr>
                <w:noProof w:val="0"/>
                <w:color w:val="FFFFFF"/>
              </w:rPr>
              <w:t>Annual carbon stock change (t C ha</w:t>
            </w:r>
            <w:r w:rsidRPr="00256982">
              <w:rPr>
                <w:noProof w:val="0"/>
                <w:color w:val="FFFFFF"/>
                <w:vertAlign w:val="superscript"/>
              </w:rPr>
              <w:t>–1</w:t>
            </w:r>
            <w:r w:rsidRPr="00256982">
              <w:rPr>
                <w:noProof w:val="0"/>
                <w:color w:val="FFFFFF"/>
              </w:rPr>
              <w:t>)</w:t>
            </w:r>
          </w:p>
        </w:tc>
        <w:tc>
          <w:tcPr>
            <w:tcW w:w="1142" w:type="dxa"/>
            <w:tcBorders>
              <w:top w:val="single" w:sz="4" w:space="0" w:color="365F91"/>
              <w:bottom w:val="single" w:sz="4" w:space="0" w:color="365F91"/>
            </w:tcBorders>
            <w:shd w:val="clear" w:color="auto" w:fill="365F91"/>
            <w:vAlign w:val="bottom"/>
          </w:tcPr>
          <w:p w14:paraId="1C29C25B" w14:textId="77777777" w:rsidR="00380BE7" w:rsidRPr="00256982" w:rsidRDefault="00380BE7" w:rsidP="009574E7">
            <w:pPr>
              <w:pStyle w:val="TableTextBold"/>
              <w:keepNext/>
              <w:rPr>
                <w:noProof w:val="0"/>
                <w:color w:val="FFFFFF"/>
              </w:rPr>
            </w:pPr>
            <w:r w:rsidRPr="00256982">
              <w:rPr>
                <w:noProof w:val="0"/>
                <w:color w:val="FFFFFF"/>
              </w:rPr>
              <w:t>Years to reach steady state</w:t>
            </w:r>
          </w:p>
        </w:tc>
        <w:tc>
          <w:tcPr>
            <w:tcW w:w="2141" w:type="dxa"/>
            <w:tcBorders>
              <w:top w:val="single" w:sz="4" w:space="0" w:color="365F91"/>
              <w:bottom w:val="single" w:sz="4" w:space="0" w:color="365F91"/>
            </w:tcBorders>
            <w:shd w:val="clear" w:color="auto" w:fill="365F91"/>
            <w:vAlign w:val="bottom"/>
          </w:tcPr>
          <w:p w14:paraId="0911CDB1" w14:textId="77777777" w:rsidR="00380BE7" w:rsidRPr="00256982" w:rsidRDefault="00380BE7" w:rsidP="009574E7">
            <w:pPr>
              <w:pStyle w:val="TableTextBold"/>
              <w:keepNext/>
              <w:rPr>
                <w:noProof w:val="0"/>
                <w:color w:val="FFFFFF"/>
              </w:rPr>
            </w:pPr>
            <w:r w:rsidRPr="00256982">
              <w:rPr>
                <w:noProof w:val="0"/>
                <w:color w:val="FFFFFF"/>
              </w:rPr>
              <w:t>Source</w:t>
            </w:r>
          </w:p>
        </w:tc>
      </w:tr>
      <w:tr w:rsidR="00380BE7" w:rsidRPr="00256982" w14:paraId="1BA5554B" w14:textId="77777777" w:rsidTr="009574E7">
        <w:tc>
          <w:tcPr>
            <w:tcW w:w="949" w:type="dxa"/>
            <w:tcBorders>
              <w:top w:val="single" w:sz="4" w:space="0" w:color="365F91"/>
            </w:tcBorders>
          </w:tcPr>
          <w:p w14:paraId="0089B599" w14:textId="77777777" w:rsidR="00380BE7" w:rsidRPr="00256982" w:rsidRDefault="00380BE7" w:rsidP="009574E7">
            <w:pPr>
              <w:pStyle w:val="TableTextBold"/>
              <w:keepNext/>
              <w:rPr>
                <w:noProof w:val="0"/>
              </w:rPr>
            </w:pPr>
            <w:r w:rsidRPr="00256982">
              <w:rPr>
                <w:noProof w:val="0"/>
              </w:rPr>
              <w:t>Annual</w:t>
            </w:r>
          </w:p>
        </w:tc>
        <w:tc>
          <w:tcPr>
            <w:tcW w:w="1722" w:type="dxa"/>
            <w:tcBorders>
              <w:top w:val="single" w:sz="4" w:space="0" w:color="365F91"/>
              <w:bottom w:val="single" w:sz="4" w:space="0" w:color="365F91"/>
            </w:tcBorders>
          </w:tcPr>
          <w:p w14:paraId="3E086E92" w14:textId="77777777" w:rsidR="00380BE7" w:rsidRPr="00256982" w:rsidRDefault="00380BE7" w:rsidP="009574E7">
            <w:pPr>
              <w:pStyle w:val="TableText"/>
              <w:keepNext/>
            </w:pPr>
            <w:r w:rsidRPr="00256982">
              <w:t>Biomass</w:t>
            </w:r>
          </w:p>
        </w:tc>
        <w:tc>
          <w:tcPr>
            <w:tcW w:w="1275" w:type="dxa"/>
            <w:tcBorders>
              <w:top w:val="single" w:sz="4" w:space="0" w:color="365F91"/>
              <w:bottom w:val="single" w:sz="4" w:space="0" w:color="365F91"/>
            </w:tcBorders>
          </w:tcPr>
          <w:p w14:paraId="6486B586" w14:textId="77777777" w:rsidR="00380BE7" w:rsidRPr="00256982" w:rsidRDefault="00380BE7" w:rsidP="009574E7">
            <w:pPr>
              <w:pStyle w:val="TableText"/>
              <w:keepNext/>
            </w:pPr>
          </w:p>
        </w:tc>
        <w:tc>
          <w:tcPr>
            <w:tcW w:w="1276" w:type="dxa"/>
            <w:tcBorders>
              <w:top w:val="single" w:sz="4" w:space="0" w:color="365F91"/>
              <w:bottom w:val="single" w:sz="4" w:space="0" w:color="365F91"/>
            </w:tcBorders>
          </w:tcPr>
          <w:p w14:paraId="1EEEBCDC" w14:textId="77777777" w:rsidR="00380BE7" w:rsidRPr="00256982" w:rsidRDefault="00380BE7" w:rsidP="009574E7">
            <w:pPr>
              <w:pStyle w:val="TableText"/>
              <w:keepNext/>
            </w:pPr>
          </w:p>
        </w:tc>
        <w:tc>
          <w:tcPr>
            <w:tcW w:w="1142" w:type="dxa"/>
            <w:tcBorders>
              <w:top w:val="single" w:sz="4" w:space="0" w:color="365F91"/>
              <w:bottom w:val="single" w:sz="4" w:space="0" w:color="365F91"/>
            </w:tcBorders>
          </w:tcPr>
          <w:p w14:paraId="47CFFBF8" w14:textId="77777777" w:rsidR="00380BE7" w:rsidRPr="00256982" w:rsidRDefault="00380BE7" w:rsidP="009574E7">
            <w:pPr>
              <w:pStyle w:val="TableText"/>
              <w:keepNext/>
            </w:pPr>
          </w:p>
        </w:tc>
        <w:tc>
          <w:tcPr>
            <w:tcW w:w="2141" w:type="dxa"/>
            <w:tcBorders>
              <w:top w:val="single" w:sz="4" w:space="0" w:color="365F91"/>
              <w:bottom w:val="single" w:sz="4" w:space="0" w:color="365F91"/>
            </w:tcBorders>
          </w:tcPr>
          <w:p w14:paraId="11022DD7" w14:textId="77777777" w:rsidR="00380BE7" w:rsidRPr="00256982" w:rsidRDefault="00380BE7" w:rsidP="009574E7">
            <w:pPr>
              <w:pStyle w:val="TableText"/>
              <w:keepNext/>
            </w:pPr>
          </w:p>
        </w:tc>
      </w:tr>
      <w:tr w:rsidR="00380BE7" w:rsidRPr="00256982" w14:paraId="28D06A7B" w14:textId="77777777" w:rsidTr="009574E7">
        <w:tc>
          <w:tcPr>
            <w:tcW w:w="949" w:type="dxa"/>
          </w:tcPr>
          <w:p w14:paraId="30C5DCF6" w14:textId="77777777" w:rsidR="00380BE7" w:rsidRPr="00256982" w:rsidRDefault="00380BE7" w:rsidP="00DA6EA1">
            <w:pPr>
              <w:pStyle w:val="TableText"/>
            </w:pPr>
            <w:r w:rsidRPr="00256982">
              <w:t> </w:t>
            </w:r>
          </w:p>
        </w:tc>
        <w:tc>
          <w:tcPr>
            <w:tcW w:w="1722" w:type="dxa"/>
            <w:tcBorders>
              <w:top w:val="single" w:sz="4" w:space="0" w:color="365F91"/>
              <w:bottom w:val="single" w:sz="4" w:space="0" w:color="365F91"/>
            </w:tcBorders>
          </w:tcPr>
          <w:p w14:paraId="31BAA47B" w14:textId="77777777" w:rsidR="00380BE7" w:rsidRPr="00256982" w:rsidRDefault="00380BE7" w:rsidP="009574E7">
            <w:pPr>
              <w:pStyle w:val="TableText"/>
              <w:keepNext/>
            </w:pPr>
            <w:r w:rsidRPr="00256982">
              <w:t>Living biomass</w:t>
            </w:r>
          </w:p>
        </w:tc>
        <w:tc>
          <w:tcPr>
            <w:tcW w:w="1275" w:type="dxa"/>
            <w:tcBorders>
              <w:top w:val="single" w:sz="4" w:space="0" w:color="365F91"/>
              <w:bottom w:val="single" w:sz="4" w:space="0" w:color="365F91"/>
            </w:tcBorders>
          </w:tcPr>
          <w:p w14:paraId="6044D7BA" w14:textId="77777777" w:rsidR="00380BE7" w:rsidRPr="00256982" w:rsidRDefault="00380BE7" w:rsidP="009574E7">
            <w:pPr>
              <w:pStyle w:val="TableText"/>
              <w:keepNext/>
            </w:pPr>
            <w:r w:rsidRPr="00256982">
              <w:t>5.0</w:t>
            </w:r>
          </w:p>
        </w:tc>
        <w:tc>
          <w:tcPr>
            <w:tcW w:w="1276" w:type="dxa"/>
            <w:tcBorders>
              <w:top w:val="single" w:sz="4" w:space="0" w:color="365F91"/>
              <w:bottom w:val="single" w:sz="4" w:space="0" w:color="365F91"/>
            </w:tcBorders>
          </w:tcPr>
          <w:p w14:paraId="4C14DAA1" w14:textId="77777777" w:rsidR="00380BE7" w:rsidRPr="00256982" w:rsidRDefault="00380BE7" w:rsidP="009574E7">
            <w:pPr>
              <w:pStyle w:val="TableText"/>
              <w:keepNext/>
            </w:pPr>
            <w:r w:rsidRPr="00256982">
              <w:t>NA</w:t>
            </w:r>
          </w:p>
        </w:tc>
        <w:tc>
          <w:tcPr>
            <w:tcW w:w="1142" w:type="dxa"/>
            <w:tcBorders>
              <w:top w:val="single" w:sz="4" w:space="0" w:color="365F91"/>
              <w:bottom w:val="single" w:sz="4" w:space="0" w:color="365F91"/>
            </w:tcBorders>
          </w:tcPr>
          <w:p w14:paraId="57142715" w14:textId="77777777" w:rsidR="00380BE7" w:rsidRPr="00256982" w:rsidRDefault="00380BE7" w:rsidP="009574E7">
            <w:pPr>
              <w:pStyle w:val="TableText"/>
              <w:keepNext/>
            </w:pPr>
            <w:r w:rsidRPr="00256982">
              <w:t>1</w:t>
            </w:r>
          </w:p>
        </w:tc>
        <w:tc>
          <w:tcPr>
            <w:tcW w:w="2141" w:type="dxa"/>
            <w:tcBorders>
              <w:top w:val="single" w:sz="4" w:space="0" w:color="365F91"/>
              <w:bottom w:val="single" w:sz="4" w:space="0" w:color="365F91"/>
            </w:tcBorders>
          </w:tcPr>
          <w:p w14:paraId="3B2C2D3E" w14:textId="77777777" w:rsidR="00380BE7" w:rsidRPr="00256982" w:rsidRDefault="00380BE7" w:rsidP="009574E7">
            <w:pPr>
              <w:pStyle w:val="TableText"/>
              <w:keepNext/>
            </w:pPr>
            <w:r w:rsidRPr="00256982">
              <w:t>IPCC default (table 5.9, IPCC, 2006a)</w:t>
            </w:r>
          </w:p>
        </w:tc>
      </w:tr>
      <w:tr w:rsidR="00380BE7" w:rsidRPr="00256982" w14:paraId="28125A4E" w14:textId="77777777" w:rsidTr="009574E7">
        <w:tc>
          <w:tcPr>
            <w:tcW w:w="949" w:type="dxa"/>
          </w:tcPr>
          <w:p w14:paraId="5E91CB0C" w14:textId="77777777" w:rsidR="00380BE7" w:rsidRPr="00256982" w:rsidRDefault="00380BE7" w:rsidP="009574E7">
            <w:pPr>
              <w:pStyle w:val="TableText"/>
            </w:pPr>
            <w:r w:rsidRPr="00256982">
              <w:t> </w:t>
            </w:r>
          </w:p>
        </w:tc>
        <w:tc>
          <w:tcPr>
            <w:tcW w:w="1722" w:type="dxa"/>
            <w:tcBorders>
              <w:top w:val="single" w:sz="4" w:space="0" w:color="365F91"/>
              <w:bottom w:val="single" w:sz="4" w:space="0" w:color="365F91"/>
            </w:tcBorders>
          </w:tcPr>
          <w:p w14:paraId="1A276773" w14:textId="77777777" w:rsidR="00380BE7" w:rsidRPr="00256982" w:rsidRDefault="00380BE7" w:rsidP="009574E7">
            <w:pPr>
              <w:pStyle w:val="TableText"/>
            </w:pPr>
            <w:r w:rsidRPr="00256982">
              <w:t>Dead organic matter</w:t>
            </w:r>
          </w:p>
        </w:tc>
        <w:tc>
          <w:tcPr>
            <w:tcW w:w="1275" w:type="dxa"/>
            <w:tcBorders>
              <w:top w:val="single" w:sz="4" w:space="0" w:color="365F91"/>
              <w:bottom w:val="single" w:sz="4" w:space="0" w:color="365F91"/>
            </w:tcBorders>
          </w:tcPr>
          <w:p w14:paraId="74B86351" w14:textId="77777777" w:rsidR="00380BE7" w:rsidRPr="00256982" w:rsidRDefault="00380BE7" w:rsidP="009574E7">
            <w:pPr>
              <w:pStyle w:val="TableText"/>
            </w:pPr>
            <w:r w:rsidRPr="00256982">
              <w:t>NE</w:t>
            </w:r>
          </w:p>
        </w:tc>
        <w:tc>
          <w:tcPr>
            <w:tcW w:w="1276" w:type="dxa"/>
            <w:tcBorders>
              <w:top w:val="single" w:sz="4" w:space="0" w:color="365F91"/>
              <w:bottom w:val="single" w:sz="4" w:space="0" w:color="365F91"/>
            </w:tcBorders>
          </w:tcPr>
          <w:p w14:paraId="60C711A3" w14:textId="77777777" w:rsidR="00380BE7" w:rsidRPr="00256982" w:rsidRDefault="00380BE7" w:rsidP="009574E7">
            <w:pPr>
              <w:pStyle w:val="TableText"/>
            </w:pPr>
            <w:r w:rsidRPr="00256982">
              <w:t>NE</w:t>
            </w:r>
          </w:p>
        </w:tc>
        <w:tc>
          <w:tcPr>
            <w:tcW w:w="1142" w:type="dxa"/>
            <w:tcBorders>
              <w:top w:val="single" w:sz="4" w:space="0" w:color="365F91"/>
              <w:bottom w:val="single" w:sz="4" w:space="0" w:color="365F91"/>
            </w:tcBorders>
          </w:tcPr>
          <w:p w14:paraId="4FFC73C1" w14:textId="77777777" w:rsidR="00380BE7" w:rsidRPr="00256982" w:rsidRDefault="00380BE7" w:rsidP="009574E7">
            <w:pPr>
              <w:pStyle w:val="TableText"/>
            </w:pPr>
            <w:r w:rsidRPr="00256982">
              <w:t>NA</w:t>
            </w:r>
          </w:p>
        </w:tc>
        <w:tc>
          <w:tcPr>
            <w:tcW w:w="2141" w:type="dxa"/>
            <w:tcBorders>
              <w:top w:val="single" w:sz="4" w:space="0" w:color="365F91"/>
              <w:bottom w:val="single" w:sz="4" w:space="0" w:color="365F91"/>
            </w:tcBorders>
          </w:tcPr>
          <w:p w14:paraId="22F18F47" w14:textId="77777777" w:rsidR="00380BE7" w:rsidRPr="00256982" w:rsidRDefault="00380BE7" w:rsidP="009574E7">
            <w:pPr>
              <w:pStyle w:val="TableText"/>
            </w:pPr>
            <w:r w:rsidRPr="00256982">
              <w:t>No IPCC guidelines</w:t>
            </w:r>
          </w:p>
        </w:tc>
      </w:tr>
      <w:tr w:rsidR="00380BE7" w:rsidRPr="00256982" w14:paraId="36F61D9C" w14:textId="77777777" w:rsidTr="009574E7">
        <w:tc>
          <w:tcPr>
            <w:tcW w:w="949" w:type="dxa"/>
          </w:tcPr>
          <w:p w14:paraId="631F2F10" w14:textId="77777777" w:rsidR="00380BE7" w:rsidRPr="00256982" w:rsidRDefault="00380BE7" w:rsidP="009574E7">
            <w:pPr>
              <w:pStyle w:val="TableText"/>
            </w:pPr>
            <w:r w:rsidRPr="00256982">
              <w:t> </w:t>
            </w:r>
          </w:p>
        </w:tc>
        <w:tc>
          <w:tcPr>
            <w:tcW w:w="1722" w:type="dxa"/>
            <w:tcBorders>
              <w:top w:val="single" w:sz="4" w:space="0" w:color="365F91"/>
              <w:bottom w:val="single" w:sz="4" w:space="0" w:color="365F91"/>
            </w:tcBorders>
          </w:tcPr>
          <w:p w14:paraId="3E5D52A7" w14:textId="77777777" w:rsidR="00380BE7" w:rsidRPr="00256982" w:rsidRDefault="00380BE7" w:rsidP="009574E7">
            <w:pPr>
              <w:pStyle w:val="TableText"/>
              <w:rPr>
                <w:rFonts w:cs="Arial"/>
                <w:szCs w:val="16"/>
              </w:rPr>
            </w:pPr>
            <w:r w:rsidRPr="00256982">
              <w:t>Soils</w:t>
            </w:r>
          </w:p>
        </w:tc>
        <w:tc>
          <w:tcPr>
            <w:tcW w:w="1275" w:type="dxa"/>
            <w:tcBorders>
              <w:top w:val="single" w:sz="4" w:space="0" w:color="365F91"/>
              <w:bottom w:val="single" w:sz="4" w:space="0" w:color="365F91"/>
            </w:tcBorders>
          </w:tcPr>
          <w:p w14:paraId="1D38A258" w14:textId="77777777" w:rsidR="00380BE7" w:rsidRPr="00256982" w:rsidRDefault="00380BE7" w:rsidP="009574E7">
            <w:pPr>
              <w:pStyle w:val="TableText"/>
            </w:pPr>
          </w:p>
        </w:tc>
        <w:tc>
          <w:tcPr>
            <w:tcW w:w="1276" w:type="dxa"/>
            <w:tcBorders>
              <w:top w:val="single" w:sz="4" w:space="0" w:color="365F91"/>
              <w:bottom w:val="single" w:sz="4" w:space="0" w:color="365F91"/>
            </w:tcBorders>
          </w:tcPr>
          <w:p w14:paraId="20B8BCFF" w14:textId="77777777" w:rsidR="00380BE7" w:rsidRPr="00256982" w:rsidRDefault="00380BE7" w:rsidP="009574E7">
            <w:pPr>
              <w:pStyle w:val="TableText"/>
            </w:pPr>
          </w:p>
        </w:tc>
        <w:tc>
          <w:tcPr>
            <w:tcW w:w="1142" w:type="dxa"/>
            <w:tcBorders>
              <w:top w:val="single" w:sz="4" w:space="0" w:color="365F91"/>
              <w:bottom w:val="single" w:sz="4" w:space="0" w:color="365F91"/>
            </w:tcBorders>
          </w:tcPr>
          <w:p w14:paraId="6A3750DC" w14:textId="77777777" w:rsidR="00380BE7" w:rsidRPr="00256982" w:rsidRDefault="00380BE7" w:rsidP="009574E7">
            <w:pPr>
              <w:pStyle w:val="TableText"/>
            </w:pPr>
          </w:p>
        </w:tc>
        <w:tc>
          <w:tcPr>
            <w:tcW w:w="2141" w:type="dxa"/>
            <w:tcBorders>
              <w:top w:val="single" w:sz="4" w:space="0" w:color="365F91"/>
              <w:bottom w:val="single" w:sz="4" w:space="0" w:color="365F91"/>
            </w:tcBorders>
          </w:tcPr>
          <w:p w14:paraId="6725FA09" w14:textId="77777777" w:rsidR="00380BE7" w:rsidRPr="00256982" w:rsidRDefault="00380BE7" w:rsidP="009574E7">
            <w:pPr>
              <w:pStyle w:val="TableText"/>
            </w:pPr>
          </w:p>
        </w:tc>
      </w:tr>
      <w:tr w:rsidR="00380BE7" w:rsidRPr="00256982" w14:paraId="32B81E8F" w14:textId="77777777" w:rsidTr="009574E7">
        <w:tc>
          <w:tcPr>
            <w:tcW w:w="949" w:type="dxa"/>
          </w:tcPr>
          <w:p w14:paraId="1ADACA8F" w14:textId="77777777" w:rsidR="00380BE7" w:rsidRPr="00256982" w:rsidRDefault="00380BE7" w:rsidP="009574E7">
            <w:pPr>
              <w:pStyle w:val="TableText"/>
            </w:pPr>
          </w:p>
        </w:tc>
        <w:tc>
          <w:tcPr>
            <w:tcW w:w="1722" w:type="dxa"/>
            <w:tcBorders>
              <w:top w:val="single" w:sz="4" w:space="0" w:color="365F91"/>
              <w:bottom w:val="single" w:sz="4" w:space="0" w:color="365F91"/>
            </w:tcBorders>
          </w:tcPr>
          <w:p w14:paraId="56997E1B" w14:textId="77777777" w:rsidR="00380BE7" w:rsidRPr="00256982" w:rsidRDefault="00380BE7" w:rsidP="009574E7">
            <w:pPr>
              <w:pStyle w:val="TableText"/>
            </w:pPr>
            <w:r w:rsidRPr="00256982">
              <w:t xml:space="preserve">Mineral </w:t>
            </w:r>
          </w:p>
        </w:tc>
        <w:tc>
          <w:tcPr>
            <w:tcW w:w="1275" w:type="dxa"/>
            <w:tcBorders>
              <w:top w:val="single" w:sz="4" w:space="0" w:color="365F91"/>
              <w:bottom w:val="single" w:sz="4" w:space="0" w:color="365F91"/>
            </w:tcBorders>
          </w:tcPr>
          <w:p w14:paraId="5987A773" w14:textId="77777777" w:rsidR="00380BE7" w:rsidRPr="00256982" w:rsidRDefault="00380BE7" w:rsidP="009574E7">
            <w:pPr>
              <w:pStyle w:val="TableText"/>
            </w:pPr>
            <w:r w:rsidRPr="00256982">
              <w:t>89.77</w:t>
            </w:r>
          </w:p>
        </w:tc>
        <w:tc>
          <w:tcPr>
            <w:tcW w:w="1276" w:type="dxa"/>
            <w:tcBorders>
              <w:top w:val="single" w:sz="4" w:space="0" w:color="365F91"/>
              <w:bottom w:val="single" w:sz="4" w:space="0" w:color="365F91"/>
            </w:tcBorders>
          </w:tcPr>
          <w:p w14:paraId="442FD838" w14:textId="77777777" w:rsidR="00380BE7" w:rsidRPr="00256982" w:rsidRDefault="00380BE7" w:rsidP="009574E7">
            <w:pPr>
              <w:pStyle w:val="TableText"/>
            </w:pPr>
            <w:r w:rsidRPr="00256982">
              <w:t>*</w:t>
            </w:r>
          </w:p>
        </w:tc>
        <w:tc>
          <w:tcPr>
            <w:tcW w:w="1142" w:type="dxa"/>
            <w:tcBorders>
              <w:top w:val="single" w:sz="4" w:space="0" w:color="365F91"/>
              <w:bottom w:val="single" w:sz="4" w:space="0" w:color="365F91"/>
            </w:tcBorders>
          </w:tcPr>
          <w:p w14:paraId="7A86B654" w14:textId="77777777" w:rsidR="00380BE7" w:rsidRPr="00256982" w:rsidRDefault="00380BE7" w:rsidP="009574E7">
            <w:pPr>
              <w:pStyle w:val="TableText"/>
            </w:pPr>
            <w:r w:rsidRPr="00256982">
              <w:t>20</w:t>
            </w:r>
          </w:p>
        </w:tc>
        <w:tc>
          <w:tcPr>
            <w:tcW w:w="2141" w:type="dxa"/>
            <w:tcBorders>
              <w:top w:val="single" w:sz="4" w:space="0" w:color="365F91"/>
              <w:bottom w:val="single" w:sz="4" w:space="0" w:color="365F91"/>
            </w:tcBorders>
          </w:tcPr>
          <w:p w14:paraId="1D0DBA7D" w14:textId="77777777" w:rsidR="00380BE7" w:rsidRPr="00256982" w:rsidRDefault="00380BE7" w:rsidP="009574E7">
            <w:pPr>
              <w:pStyle w:val="TableText"/>
            </w:pPr>
            <w:r w:rsidRPr="00256982">
              <w:t>NZ-specific EF (McNeill and Barringer, unpublished)</w:t>
            </w:r>
          </w:p>
        </w:tc>
      </w:tr>
      <w:tr w:rsidR="00380BE7" w:rsidRPr="00256982" w14:paraId="340DCA94" w14:textId="77777777" w:rsidTr="009574E7">
        <w:tc>
          <w:tcPr>
            <w:tcW w:w="949" w:type="dxa"/>
            <w:tcBorders>
              <w:bottom w:val="single" w:sz="4" w:space="0" w:color="365F91"/>
            </w:tcBorders>
          </w:tcPr>
          <w:p w14:paraId="5C7922EC" w14:textId="77777777" w:rsidR="00380BE7" w:rsidRPr="00256982" w:rsidRDefault="00380BE7" w:rsidP="009574E7">
            <w:pPr>
              <w:pStyle w:val="TableText"/>
            </w:pPr>
          </w:p>
        </w:tc>
        <w:tc>
          <w:tcPr>
            <w:tcW w:w="1722" w:type="dxa"/>
            <w:tcBorders>
              <w:top w:val="single" w:sz="4" w:space="0" w:color="365F91"/>
              <w:bottom w:val="single" w:sz="4" w:space="0" w:color="365F91"/>
            </w:tcBorders>
          </w:tcPr>
          <w:p w14:paraId="2E3DA2CF" w14:textId="77777777" w:rsidR="00380BE7" w:rsidRPr="00256982" w:rsidRDefault="00380BE7" w:rsidP="009574E7">
            <w:pPr>
              <w:pStyle w:val="TableText"/>
            </w:pPr>
            <w:r w:rsidRPr="00256982">
              <w:t xml:space="preserve">Organic </w:t>
            </w:r>
          </w:p>
        </w:tc>
        <w:tc>
          <w:tcPr>
            <w:tcW w:w="1275" w:type="dxa"/>
            <w:tcBorders>
              <w:top w:val="single" w:sz="4" w:space="0" w:color="365F91"/>
              <w:bottom w:val="single" w:sz="4" w:space="0" w:color="365F91"/>
            </w:tcBorders>
          </w:tcPr>
          <w:p w14:paraId="0D9BA855" w14:textId="77777777" w:rsidR="00380BE7" w:rsidRPr="00256982" w:rsidRDefault="00380BE7" w:rsidP="009574E7">
            <w:pPr>
              <w:pStyle w:val="TableText"/>
            </w:pPr>
            <w:r w:rsidRPr="00256982">
              <w:t>NE</w:t>
            </w:r>
          </w:p>
        </w:tc>
        <w:tc>
          <w:tcPr>
            <w:tcW w:w="1276" w:type="dxa"/>
            <w:tcBorders>
              <w:top w:val="single" w:sz="4" w:space="0" w:color="365F91"/>
              <w:bottom w:val="single" w:sz="4" w:space="0" w:color="365F91"/>
            </w:tcBorders>
          </w:tcPr>
          <w:p w14:paraId="27958325" w14:textId="77777777" w:rsidR="00380BE7" w:rsidRPr="00256982" w:rsidRDefault="00380BE7" w:rsidP="009574E7">
            <w:pPr>
              <w:pStyle w:val="TableText"/>
            </w:pPr>
            <w:r w:rsidRPr="00256982">
              <w:t>–5.0 / –10.0</w:t>
            </w:r>
          </w:p>
        </w:tc>
        <w:tc>
          <w:tcPr>
            <w:tcW w:w="1142" w:type="dxa"/>
            <w:tcBorders>
              <w:top w:val="single" w:sz="4" w:space="0" w:color="365F91"/>
              <w:bottom w:val="single" w:sz="4" w:space="0" w:color="365F91"/>
            </w:tcBorders>
          </w:tcPr>
          <w:p w14:paraId="2DD4FA1C" w14:textId="77777777" w:rsidR="00380BE7" w:rsidRPr="00256982" w:rsidRDefault="00380BE7" w:rsidP="009574E7">
            <w:pPr>
              <w:pStyle w:val="TableText"/>
            </w:pPr>
          </w:p>
        </w:tc>
        <w:tc>
          <w:tcPr>
            <w:tcW w:w="2141" w:type="dxa"/>
            <w:tcBorders>
              <w:top w:val="single" w:sz="4" w:space="0" w:color="365F91"/>
              <w:bottom w:val="single" w:sz="4" w:space="0" w:color="365F91"/>
            </w:tcBorders>
          </w:tcPr>
          <w:p w14:paraId="5E8BCB94" w14:textId="77777777" w:rsidR="00380BE7" w:rsidRPr="00256982" w:rsidRDefault="00380BE7" w:rsidP="009574E7">
            <w:pPr>
              <w:pStyle w:val="TableText"/>
            </w:pPr>
            <w:r w:rsidRPr="00256982">
              <w:t>IPCC Tier 1 default, (table 5.6, IPCC, 2006a)</w:t>
            </w:r>
          </w:p>
        </w:tc>
      </w:tr>
      <w:tr w:rsidR="00380BE7" w:rsidRPr="00256982" w14:paraId="0A1A1A0D" w14:textId="77777777" w:rsidTr="009574E7">
        <w:tc>
          <w:tcPr>
            <w:tcW w:w="949" w:type="dxa"/>
            <w:tcBorders>
              <w:top w:val="single" w:sz="4" w:space="0" w:color="365F91"/>
            </w:tcBorders>
          </w:tcPr>
          <w:p w14:paraId="10215321" w14:textId="77777777" w:rsidR="00380BE7" w:rsidRPr="00256982" w:rsidRDefault="00380BE7" w:rsidP="009574E7">
            <w:pPr>
              <w:pStyle w:val="TableTextBold"/>
              <w:keepNext/>
              <w:rPr>
                <w:noProof w:val="0"/>
              </w:rPr>
            </w:pPr>
            <w:r w:rsidRPr="00256982">
              <w:rPr>
                <w:noProof w:val="0"/>
              </w:rPr>
              <w:t>Perennial</w:t>
            </w:r>
          </w:p>
        </w:tc>
        <w:tc>
          <w:tcPr>
            <w:tcW w:w="1722" w:type="dxa"/>
            <w:tcBorders>
              <w:top w:val="single" w:sz="4" w:space="0" w:color="365F91"/>
              <w:bottom w:val="single" w:sz="4" w:space="0" w:color="365F91"/>
            </w:tcBorders>
          </w:tcPr>
          <w:p w14:paraId="697ED7C7" w14:textId="77777777" w:rsidR="00380BE7" w:rsidRPr="00256982" w:rsidRDefault="00380BE7" w:rsidP="009574E7">
            <w:pPr>
              <w:pStyle w:val="TableText"/>
              <w:keepNext/>
            </w:pPr>
            <w:r w:rsidRPr="00256982">
              <w:t>Biomass</w:t>
            </w:r>
          </w:p>
        </w:tc>
        <w:tc>
          <w:tcPr>
            <w:tcW w:w="1275" w:type="dxa"/>
            <w:tcBorders>
              <w:top w:val="single" w:sz="4" w:space="0" w:color="365F91"/>
              <w:bottom w:val="single" w:sz="4" w:space="0" w:color="365F91"/>
            </w:tcBorders>
          </w:tcPr>
          <w:p w14:paraId="4228CF60" w14:textId="77777777" w:rsidR="00380BE7" w:rsidRPr="00256982" w:rsidRDefault="00380BE7" w:rsidP="009574E7">
            <w:pPr>
              <w:pStyle w:val="TableText"/>
              <w:keepNext/>
            </w:pPr>
          </w:p>
        </w:tc>
        <w:tc>
          <w:tcPr>
            <w:tcW w:w="1276" w:type="dxa"/>
            <w:tcBorders>
              <w:top w:val="single" w:sz="4" w:space="0" w:color="365F91"/>
              <w:bottom w:val="single" w:sz="4" w:space="0" w:color="365F91"/>
            </w:tcBorders>
          </w:tcPr>
          <w:p w14:paraId="32A866CC" w14:textId="77777777" w:rsidR="00380BE7" w:rsidRPr="00256982" w:rsidRDefault="00380BE7" w:rsidP="009574E7">
            <w:pPr>
              <w:pStyle w:val="TableText"/>
              <w:keepNext/>
            </w:pPr>
          </w:p>
        </w:tc>
        <w:tc>
          <w:tcPr>
            <w:tcW w:w="1142" w:type="dxa"/>
            <w:tcBorders>
              <w:top w:val="single" w:sz="4" w:space="0" w:color="365F91"/>
              <w:bottom w:val="single" w:sz="4" w:space="0" w:color="365F91"/>
            </w:tcBorders>
          </w:tcPr>
          <w:p w14:paraId="017C808C" w14:textId="77777777" w:rsidR="00380BE7" w:rsidRPr="00256982" w:rsidRDefault="00380BE7" w:rsidP="009574E7">
            <w:pPr>
              <w:pStyle w:val="TableText"/>
              <w:keepNext/>
            </w:pPr>
          </w:p>
        </w:tc>
        <w:tc>
          <w:tcPr>
            <w:tcW w:w="2141" w:type="dxa"/>
            <w:tcBorders>
              <w:top w:val="single" w:sz="4" w:space="0" w:color="365F91"/>
              <w:bottom w:val="single" w:sz="4" w:space="0" w:color="365F91"/>
            </w:tcBorders>
          </w:tcPr>
          <w:p w14:paraId="205C2592" w14:textId="77777777" w:rsidR="00380BE7" w:rsidRPr="00256982" w:rsidRDefault="00380BE7" w:rsidP="009574E7">
            <w:pPr>
              <w:pStyle w:val="TableText"/>
              <w:keepNext/>
            </w:pPr>
          </w:p>
        </w:tc>
      </w:tr>
      <w:tr w:rsidR="00380BE7" w:rsidRPr="00256982" w14:paraId="76A79E8F" w14:textId="77777777" w:rsidTr="009574E7">
        <w:tc>
          <w:tcPr>
            <w:tcW w:w="949" w:type="dxa"/>
          </w:tcPr>
          <w:p w14:paraId="266612B1" w14:textId="77777777" w:rsidR="00380BE7" w:rsidRPr="00256982" w:rsidRDefault="00380BE7" w:rsidP="009574E7">
            <w:pPr>
              <w:pStyle w:val="TableText"/>
              <w:keepNext/>
            </w:pPr>
            <w:r w:rsidRPr="00256982">
              <w:t> </w:t>
            </w:r>
          </w:p>
        </w:tc>
        <w:tc>
          <w:tcPr>
            <w:tcW w:w="1722" w:type="dxa"/>
            <w:tcBorders>
              <w:top w:val="single" w:sz="4" w:space="0" w:color="365F91"/>
              <w:bottom w:val="single" w:sz="4" w:space="0" w:color="365F91"/>
            </w:tcBorders>
          </w:tcPr>
          <w:p w14:paraId="34E7E7B5" w14:textId="77777777" w:rsidR="00380BE7" w:rsidRPr="00256982" w:rsidRDefault="00380BE7" w:rsidP="009574E7">
            <w:pPr>
              <w:pStyle w:val="TableText"/>
              <w:keepNext/>
            </w:pPr>
            <w:r w:rsidRPr="00256982">
              <w:t>Living biomass</w:t>
            </w:r>
          </w:p>
        </w:tc>
        <w:tc>
          <w:tcPr>
            <w:tcW w:w="1275" w:type="dxa"/>
            <w:tcBorders>
              <w:top w:val="single" w:sz="4" w:space="0" w:color="365F91"/>
              <w:bottom w:val="single" w:sz="4" w:space="0" w:color="365F91"/>
            </w:tcBorders>
          </w:tcPr>
          <w:p w14:paraId="3FB0CCF4" w14:textId="77777777" w:rsidR="00380BE7" w:rsidRPr="00256982" w:rsidRDefault="00380BE7" w:rsidP="009574E7">
            <w:pPr>
              <w:pStyle w:val="TableText"/>
              <w:keepNext/>
            </w:pPr>
            <w:r w:rsidRPr="00256982">
              <w:t>18.76</w:t>
            </w:r>
          </w:p>
        </w:tc>
        <w:tc>
          <w:tcPr>
            <w:tcW w:w="1276" w:type="dxa"/>
            <w:tcBorders>
              <w:top w:val="single" w:sz="4" w:space="0" w:color="365F91"/>
              <w:bottom w:val="single" w:sz="4" w:space="0" w:color="365F91"/>
            </w:tcBorders>
          </w:tcPr>
          <w:p w14:paraId="7CB385B1" w14:textId="77777777" w:rsidR="00380BE7" w:rsidRPr="00256982" w:rsidRDefault="00380BE7" w:rsidP="009574E7">
            <w:pPr>
              <w:pStyle w:val="TableText"/>
              <w:keepNext/>
            </w:pPr>
            <w:r w:rsidRPr="00256982">
              <w:t>0.67</w:t>
            </w:r>
          </w:p>
        </w:tc>
        <w:tc>
          <w:tcPr>
            <w:tcW w:w="1142" w:type="dxa"/>
            <w:tcBorders>
              <w:top w:val="single" w:sz="4" w:space="0" w:color="365F91"/>
              <w:bottom w:val="single" w:sz="4" w:space="0" w:color="365F91"/>
            </w:tcBorders>
          </w:tcPr>
          <w:p w14:paraId="0E1CBFC1" w14:textId="77777777" w:rsidR="00380BE7" w:rsidRPr="00256982" w:rsidRDefault="00380BE7" w:rsidP="009574E7">
            <w:pPr>
              <w:pStyle w:val="TableText"/>
              <w:keepNext/>
            </w:pPr>
            <w:r w:rsidRPr="00256982">
              <w:t>28</w:t>
            </w:r>
          </w:p>
        </w:tc>
        <w:tc>
          <w:tcPr>
            <w:tcW w:w="2141" w:type="dxa"/>
            <w:tcBorders>
              <w:top w:val="single" w:sz="4" w:space="0" w:color="365F91"/>
              <w:bottom w:val="single" w:sz="4" w:space="0" w:color="365F91"/>
            </w:tcBorders>
          </w:tcPr>
          <w:p w14:paraId="7FF50AAD" w14:textId="77777777" w:rsidR="00380BE7" w:rsidRPr="00256982" w:rsidRDefault="00380BE7" w:rsidP="009574E7">
            <w:pPr>
              <w:pStyle w:val="TableText"/>
              <w:keepNext/>
            </w:pPr>
            <w:r w:rsidRPr="00256982">
              <w:t>NZ-specific EF (Davis and Wakelin, unpublished)</w:t>
            </w:r>
          </w:p>
        </w:tc>
      </w:tr>
      <w:tr w:rsidR="00380BE7" w:rsidRPr="00256982" w14:paraId="569082C5" w14:textId="77777777" w:rsidTr="009574E7">
        <w:tc>
          <w:tcPr>
            <w:tcW w:w="949" w:type="dxa"/>
          </w:tcPr>
          <w:p w14:paraId="177ABCC7" w14:textId="77777777" w:rsidR="00380BE7" w:rsidRPr="00256982" w:rsidRDefault="00380BE7" w:rsidP="009574E7">
            <w:pPr>
              <w:pStyle w:val="TableText"/>
            </w:pPr>
            <w:r w:rsidRPr="00256982">
              <w:t> </w:t>
            </w:r>
          </w:p>
        </w:tc>
        <w:tc>
          <w:tcPr>
            <w:tcW w:w="1722" w:type="dxa"/>
            <w:tcBorders>
              <w:top w:val="single" w:sz="4" w:space="0" w:color="365F91"/>
              <w:bottom w:val="single" w:sz="4" w:space="0" w:color="365F91"/>
            </w:tcBorders>
          </w:tcPr>
          <w:p w14:paraId="5AA8D643" w14:textId="77777777" w:rsidR="00380BE7" w:rsidRPr="00256982" w:rsidRDefault="00380BE7" w:rsidP="009574E7">
            <w:pPr>
              <w:pStyle w:val="TableText"/>
            </w:pPr>
            <w:r w:rsidRPr="00256982">
              <w:t>Dead organic matter</w:t>
            </w:r>
          </w:p>
        </w:tc>
        <w:tc>
          <w:tcPr>
            <w:tcW w:w="1275" w:type="dxa"/>
            <w:tcBorders>
              <w:top w:val="single" w:sz="4" w:space="0" w:color="365F91"/>
              <w:bottom w:val="single" w:sz="4" w:space="0" w:color="365F91"/>
            </w:tcBorders>
          </w:tcPr>
          <w:p w14:paraId="1A30BC7B" w14:textId="77777777" w:rsidR="00380BE7" w:rsidRPr="00256982" w:rsidRDefault="00380BE7" w:rsidP="009574E7">
            <w:pPr>
              <w:pStyle w:val="TableText"/>
            </w:pPr>
            <w:r w:rsidRPr="00256982">
              <w:t>NE</w:t>
            </w:r>
          </w:p>
        </w:tc>
        <w:tc>
          <w:tcPr>
            <w:tcW w:w="1276" w:type="dxa"/>
            <w:tcBorders>
              <w:top w:val="single" w:sz="4" w:space="0" w:color="365F91"/>
              <w:bottom w:val="single" w:sz="4" w:space="0" w:color="365F91"/>
            </w:tcBorders>
          </w:tcPr>
          <w:p w14:paraId="5ABB82FD" w14:textId="77777777" w:rsidR="00380BE7" w:rsidRPr="00256982" w:rsidRDefault="00380BE7" w:rsidP="009574E7">
            <w:pPr>
              <w:pStyle w:val="TableText"/>
            </w:pPr>
            <w:r w:rsidRPr="00256982">
              <w:t>NE</w:t>
            </w:r>
          </w:p>
        </w:tc>
        <w:tc>
          <w:tcPr>
            <w:tcW w:w="1142" w:type="dxa"/>
            <w:tcBorders>
              <w:top w:val="single" w:sz="4" w:space="0" w:color="365F91"/>
              <w:bottom w:val="single" w:sz="4" w:space="0" w:color="365F91"/>
            </w:tcBorders>
          </w:tcPr>
          <w:p w14:paraId="669D089D" w14:textId="77777777" w:rsidR="00380BE7" w:rsidRPr="00256982" w:rsidRDefault="00380BE7" w:rsidP="009574E7">
            <w:pPr>
              <w:pStyle w:val="TableText"/>
            </w:pPr>
            <w:r w:rsidRPr="00256982">
              <w:t>NA</w:t>
            </w:r>
          </w:p>
        </w:tc>
        <w:tc>
          <w:tcPr>
            <w:tcW w:w="2141" w:type="dxa"/>
            <w:tcBorders>
              <w:top w:val="single" w:sz="4" w:space="0" w:color="365F91"/>
              <w:bottom w:val="single" w:sz="4" w:space="0" w:color="365F91"/>
            </w:tcBorders>
          </w:tcPr>
          <w:p w14:paraId="31604DAC" w14:textId="77777777" w:rsidR="00380BE7" w:rsidRPr="00256982" w:rsidRDefault="00380BE7" w:rsidP="009574E7">
            <w:pPr>
              <w:pStyle w:val="TableText"/>
            </w:pPr>
            <w:r w:rsidRPr="00256982">
              <w:t>No IPCC guidelines</w:t>
            </w:r>
          </w:p>
        </w:tc>
      </w:tr>
      <w:tr w:rsidR="00380BE7" w:rsidRPr="00256982" w14:paraId="3ECAFB62" w14:textId="77777777" w:rsidTr="009574E7">
        <w:tc>
          <w:tcPr>
            <w:tcW w:w="949" w:type="dxa"/>
          </w:tcPr>
          <w:p w14:paraId="00F59DC1" w14:textId="77777777" w:rsidR="00380BE7" w:rsidRPr="00256982" w:rsidRDefault="00380BE7" w:rsidP="009574E7">
            <w:pPr>
              <w:pStyle w:val="TableText"/>
            </w:pPr>
            <w:r w:rsidRPr="00256982">
              <w:t> </w:t>
            </w:r>
          </w:p>
        </w:tc>
        <w:tc>
          <w:tcPr>
            <w:tcW w:w="1722" w:type="dxa"/>
            <w:tcBorders>
              <w:top w:val="single" w:sz="4" w:space="0" w:color="365F91"/>
              <w:bottom w:val="single" w:sz="4" w:space="0" w:color="365F91"/>
            </w:tcBorders>
          </w:tcPr>
          <w:p w14:paraId="69B1B4F3" w14:textId="77777777" w:rsidR="00380BE7" w:rsidRPr="00256982" w:rsidRDefault="00380BE7" w:rsidP="009574E7">
            <w:pPr>
              <w:pStyle w:val="TableText"/>
              <w:keepNext/>
              <w:rPr>
                <w:rFonts w:cs="Arial"/>
                <w:szCs w:val="16"/>
              </w:rPr>
            </w:pPr>
            <w:r w:rsidRPr="00256982">
              <w:t>Soils</w:t>
            </w:r>
          </w:p>
        </w:tc>
        <w:tc>
          <w:tcPr>
            <w:tcW w:w="1275" w:type="dxa"/>
            <w:tcBorders>
              <w:top w:val="single" w:sz="4" w:space="0" w:color="365F91"/>
              <w:bottom w:val="single" w:sz="4" w:space="0" w:color="365F91"/>
            </w:tcBorders>
          </w:tcPr>
          <w:p w14:paraId="6177C530" w14:textId="77777777" w:rsidR="00380BE7" w:rsidRPr="00256982" w:rsidRDefault="00380BE7" w:rsidP="009574E7">
            <w:pPr>
              <w:pStyle w:val="TableText"/>
              <w:keepNext/>
            </w:pPr>
          </w:p>
        </w:tc>
        <w:tc>
          <w:tcPr>
            <w:tcW w:w="1276" w:type="dxa"/>
            <w:tcBorders>
              <w:top w:val="single" w:sz="4" w:space="0" w:color="365F91"/>
              <w:bottom w:val="single" w:sz="4" w:space="0" w:color="365F91"/>
            </w:tcBorders>
          </w:tcPr>
          <w:p w14:paraId="4AD4B1DB" w14:textId="77777777" w:rsidR="00380BE7" w:rsidRPr="00256982" w:rsidRDefault="00380BE7" w:rsidP="009574E7">
            <w:pPr>
              <w:pStyle w:val="TableText"/>
              <w:keepNext/>
            </w:pPr>
          </w:p>
        </w:tc>
        <w:tc>
          <w:tcPr>
            <w:tcW w:w="1142" w:type="dxa"/>
            <w:tcBorders>
              <w:top w:val="single" w:sz="4" w:space="0" w:color="365F91"/>
              <w:bottom w:val="single" w:sz="4" w:space="0" w:color="365F91"/>
            </w:tcBorders>
          </w:tcPr>
          <w:p w14:paraId="5CB7FC38" w14:textId="77777777" w:rsidR="00380BE7" w:rsidRPr="00256982" w:rsidRDefault="00380BE7" w:rsidP="009574E7">
            <w:pPr>
              <w:pStyle w:val="TableText"/>
              <w:keepNext/>
            </w:pPr>
          </w:p>
        </w:tc>
        <w:tc>
          <w:tcPr>
            <w:tcW w:w="2141" w:type="dxa"/>
            <w:tcBorders>
              <w:top w:val="single" w:sz="4" w:space="0" w:color="365F91"/>
              <w:bottom w:val="single" w:sz="4" w:space="0" w:color="365F91"/>
            </w:tcBorders>
          </w:tcPr>
          <w:p w14:paraId="1953CC22" w14:textId="77777777" w:rsidR="00380BE7" w:rsidRPr="00256982" w:rsidRDefault="00380BE7" w:rsidP="009574E7">
            <w:pPr>
              <w:pStyle w:val="TableText"/>
              <w:keepNext/>
            </w:pPr>
          </w:p>
        </w:tc>
      </w:tr>
      <w:tr w:rsidR="00380BE7" w:rsidRPr="00256982" w14:paraId="74ADA4D1" w14:textId="77777777" w:rsidTr="009574E7">
        <w:tc>
          <w:tcPr>
            <w:tcW w:w="949" w:type="dxa"/>
          </w:tcPr>
          <w:p w14:paraId="0C1ABFF0" w14:textId="77777777" w:rsidR="00380BE7" w:rsidRPr="00256982" w:rsidRDefault="00380BE7" w:rsidP="009574E7">
            <w:pPr>
              <w:pStyle w:val="TableText"/>
              <w:keepNext/>
            </w:pPr>
          </w:p>
        </w:tc>
        <w:tc>
          <w:tcPr>
            <w:tcW w:w="1722" w:type="dxa"/>
            <w:tcBorders>
              <w:top w:val="single" w:sz="4" w:space="0" w:color="365F91"/>
              <w:bottom w:val="single" w:sz="4" w:space="0" w:color="365F91"/>
            </w:tcBorders>
          </w:tcPr>
          <w:p w14:paraId="79420BC9" w14:textId="77777777" w:rsidR="00380BE7" w:rsidRPr="00256982" w:rsidRDefault="00380BE7" w:rsidP="009574E7">
            <w:pPr>
              <w:pStyle w:val="TableText"/>
              <w:keepNext/>
            </w:pPr>
            <w:r w:rsidRPr="00256982">
              <w:t xml:space="preserve">Mineral </w:t>
            </w:r>
          </w:p>
        </w:tc>
        <w:tc>
          <w:tcPr>
            <w:tcW w:w="1275" w:type="dxa"/>
            <w:tcBorders>
              <w:top w:val="single" w:sz="4" w:space="0" w:color="365F91"/>
              <w:bottom w:val="single" w:sz="4" w:space="0" w:color="365F91"/>
            </w:tcBorders>
          </w:tcPr>
          <w:p w14:paraId="75CB27A9" w14:textId="77777777" w:rsidR="00380BE7" w:rsidRPr="00256982" w:rsidRDefault="00380BE7" w:rsidP="009574E7">
            <w:pPr>
              <w:pStyle w:val="TableText"/>
              <w:keepNext/>
            </w:pPr>
            <w:r w:rsidRPr="00256982">
              <w:t>88.44</w:t>
            </w:r>
          </w:p>
        </w:tc>
        <w:tc>
          <w:tcPr>
            <w:tcW w:w="1276" w:type="dxa"/>
            <w:tcBorders>
              <w:top w:val="single" w:sz="4" w:space="0" w:color="365F91"/>
              <w:bottom w:val="single" w:sz="4" w:space="0" w:color="365F91"/>
            </w:tcBorders>
          </w:tcPr>
          <w:p w14:paraId="0DBD722A" w14:textId="77777777" w:rsidR="00380BE7" w:rsidRPr="00256982" w:rsidRDefault="00380BE7" w:rsidP="009574E7">
            <w:pPr>
              <w:pStyle w:val="TableText"/>
              <w:keepNext/>
            </w:pPr>
            <w:r w:rsidRPr="00256982">
              <w:t>[*]</w:t>
            </w:r>
          </w:p>
        </w:tc>
        <w:tc>
          <w:tcPr>
            <w:tcW w:w="1142" w:type="dxa"/>
            <w:tcBorders>
              <w:top w:val="single" w:sz="4" w:space="0" w:color="365F91"/>
              <w:bottom w:val="single" w:sz="4" w:space="0" w:color="365F91"/>
            </w:tcBorders>
          </w:tcPr>
          <w:p w14:paraId="37D15ACC" w14:textId="77777777" w:rsidR="00380BE7" w:rsidRPr="00256982" w:rsidRDefault="00380BE7" w:rsidP="009574E7">
            <w:pPr>
              <w:pStyle w:val="TableText"/>
              <w:keepNext/>
            </w:pPr>
            <w:r w:rsidRPr="00256982">
              <w:t>20</w:t>
            </w:r>
          </w:p>
        </w:tc>
        <w:tc>
          <w:tcPr>
            <w:tcW w:w="2141" w:type="dxa"/>
            <w:tcBorders>
              <w:top w:val="single" w:sz="4" w:space="0" w:color="365F91"/>
              <w:bottom w:val="single" w:sz="4" w:space="0" w:color="365F91"/>
            </w:tcBorders>
          </w:tcPr>
          <w:p w14:paraId="75951E05" w14:textId="77777777" w:rsidR="00380BE7" w:rsidRPr="00256982" w:rsidRDefault="00380BE7" w:rsidP="009574E7">
            <w:pPr>
              <w:pStyle w:val="TableText"/>
              <w:keepNext/>
            </w:pPr>
            <w:r w:rsidRPr="00256982">
              <w:t>NZ-specific EF (McNeill and Barringer, unpublished)</w:t>
            </w:r>
          </w:p>
        </w:tc>
      </w:tr>
      <w:tr w:rsidR="00380BE7" w:rsidRPr="00256982" w14:paraId="646AA219" w14:textId="77777777" w:rsidTr="009574E7">
        <w:tc>
          <w:tcPr>
            <w:tcW w:w="949" w:type="dxa"/>
            <w:tcBorders>
              <w:bottom w:val="single" w:sz="4" w:space="0" w:color="365F91"/>
            </w:tcBorders>
          </w:tcPr>
          <w:p w14:paraId="4498E1A2" w14:textId="77777777" w:rsidR="00380BE7" w:rsidRPr="00256982" w:rsidRDefault="00380BE7" w:rsidP="009574E7">
            <w:pPr>
              <w:pStyle w:val="TableText"/>
            </w:pPr>
          </w:p>
        </w:tc>
        <w:tc>
          <w:tcPr>
            <w:tcW w:w="1722" w:type="dxa"/>
            <w:tcBorders>
              <w:top w:val="single" w:sz="4" w:space="0" w:color="365F91"/>
              <w:bottom w:val="single" w:sz="4" w:space="0" w:color="365F91"/>
            </w:tcBorders>
          </w:tcPr>
          <w:p w14:paraId="3814D97F" w14:textId="77777777" w:rsidR="00380BE7" w:rsidRPr="00256982" w:rsidRDefault="00380BE7" w:rsidP="009574E7">
            <w:pPr>
              <w:pStyle w:val="TableText"/>
            </w:pPr>
            <w:r w:rsidRPr="00256982">
              <w:t>Organic</w:t>
            </w:r>
          </w:p>
        </w:tc>
        <w:tc>
          <w:tcPr>
            <w:tcW w:w="1275" w:type="dxa"/>
            <w:tcBorders>
              <w:top w:val="single" w:sz="4" w:space="0" w:color="365F91"/>
              <w:bottom w:val="single" w:sz="4" w:space="0" w:color="365F91"/>
            </w:tcBorders>
          </w:tcPr>
          <w:p w14:paraId="12E8A838" w14:textId="77777777" w:rsidR="00380BE7" w:rsidRPr="00256982" w:rsidRDefault="00380BE7" w:rsidP="009574E7">
            <w:pPr>
              <w:pStyle w:val="TableText"/>
            </w:pPr>
            <w:r w:rsidRPr="00256982">
              <w:t>NE</w:t>
            </w:r>
          </w:p>
        </w:tc>
        <w:tc>
          <w:tcPr>
            <w:tcW w:w="1276" w:type="dxa"/>
            <w:tcBorders>
              <w:top w:val="single" w:sz="4" w:space="0" w:color="365F91"/>
              <w:bottom w:val="single" w:sz="4" w:space="0" w:color="365F91"/>
            </w:tcBorders>
          </w:tcPr>
          <w:p w14:paraId="028A1FF9" w14:textId="77777777" w:rsidR="00380BE7" w:rsidRPr="00256982" w:rsidRDefault="00380BE7" w:rsidP="009574E7">
            <w:pPr>
              <w:pStyle w:val="TableText"/>
            </w:pPr>
            <w:r w:rsidRPr="00256982">
              <w:t>–5.0 / 10.0</w:t>
            </w:r>
          </w:p>
        </w:tc>
        <w:tc>
          <w:tcPr>
            <w:tcW w:w="1142" w:type="dxa"/>
            <w:tcBorders>
              <w:top w:val="single" w:sz="4" w:space="0" w:color="365F91"/>
              <w:bottom w:val="single" w:sz="4" w:space="0" w:color="365F91"/>
            </w:tcBorders>
          </w:tcPr>
          <w:p w14:paraId="07F94CB5" w14:textId="77777777" w:rsidR="00380BE7" w:rsidRPr="00256982" w:rsidRDefault="00380BE7" w:rsidP="009574E7">
            <w:pPr>
              <w:pStyle w:val="TableText"/>
            </w:pPr>
          </w:p>
        </w:tc>
        <w:tc>
          <w:tcPr>
            <w:tcW w:w="2141" w:type="dxa"/>
            <w:tcBorders>
              <w:top w:val="single" w:sz="4" w:space="0" w:color="365F91"/>
              <w:bottom w:val="single" w:sz="4" w:space="0" w:color="365F91"/>
            </w:tcBorders>
          </w:tcPr>
          <w:p w14:paraId="0200668B" w14:textId="77777777" w:rsidR="00380BE7" w:rsidRPr="00256982" w:rsidRDefault="00380BE7" w:rsidP="009574E7">
            <w:pPr>
              <w:pStyle w:val="TableText"/>
            </w:pPr>
            <w:r w:rsidRPr="00256982">
              <w:t>IPCC Tier 1 default (table 5.6, IPCC, 2006a)</w:t>
            </w:r>
          </w:p>
        </w:tc>
      </w:tr>
    </w:tbl>
    <w:p w14:paraId="69D99232" w14:textId="77777777" w:rsidR="00380BE7" w:rsidRPr="00256982" w:rsidRDefault="00380BE7" w:rsidP="00380BE7">
      <w:pPr>
        <w:pStyle w:val="Noteundertable"/>
      </w:pPr>
      <w:r w:rsidRPr="00256982">
        <w:rPr>
          <w:b/>
        </w:rPr>
        <w:t>Note:</w:t>
      </w:r>
      <w:r w:rsidRPr="00256982">
        <w:tab/>
        <w:t>EF = emission factor; NA = not applicable; NE = not estimated. * Annual carbon stock change in mineral soils on land undergoing land-use change will depend on the land use category the land has been converted to or from; see section 6.3</w:t>
      </w:r>
      <w:r w:rsidRPr="00256982">
        <w:rPr>
          <w:sz w:val="16"/>
          <w:szCs w:val="16"/>
        </w:rPr>
        <w:t>.</w:t>
      </w:r>
      <w:bookmarkStart w:id="1661" w:name="_Toc255466374"/>
      <w:bookmarkStart w:id="1662" w:name="_Toc261513181"/>
      <w:bookmarkStart w:id="1663" w:name="_Toc261513794"/>
    </w:p>
    <w:p w14:paraId="5ACA6E71" w14:textId="77777777" w:rsidR="00380BE7" w:rsidRPr="00256982" w:rsidRDefault="00380BE7" w:rsidP="00380BE7">
      <w:pPr>
        <w:pStyle w:val="Heading4"/>
      </w:pPr>
      <w:bookmarkStart w:id="1664" w:name="_Toc280630266"/>
      <w:r w:rsidRPr="00256982">
        <w:t>Cropland remaining cropland</w:t>
      </w:r>
      <w:bookmarkEnd w:id="1661"/>
      <w:bookmarkEnd w:id="1662"/>
      <w:bookmarkEnd w:id="1663"/>
      <w:bookmarkEnd w:id="1664"/>
      <w:r w:rsidRPr="00256982">
        <w:t xml:space="preserve"> (CRF 4.B.1)</w:t>
      </w:r>
    </w:p>
    <w:p w14:paraId="22FBBC92" w14:textId="77777777" w:rsidR="00380BE7" w:rsidRPr="00256982" w:rsidRDefault="00380BE7" w:rsidP="00380BE7">
      <w:pPr>
        <w:pStyle w:val="BodyText"/>
      </w:pPr>
      <w:r w:rsidRPr="00256982">
        <w:t xml:space="preserve">For </w:t>
      </w:r>
      <w:r w:rsidRPr="00256982">
        <w:rPr>
          <w:i/>
        </w:rPr>
        <w:t>Cropland remaining cropland</w:t>
      </w:r>
      <w:r w:rsidRPr="00256982">
        <w:t xml:space="preserve">, the Tier 1 assumption is that for annual cropland there is no change in biomass carbon stocks after the first year (section 5.2.1, IPCC, 2006a). The rationale is that the increase in biomass stocks in a single year is equal to the biomass losses from harvest and mortality in that same year. For perennial cropland, there is a change in carbon stocks associated with a land-use change. Where there has been land-use change between the </w:t>
      </w:r>
      <w:r w:rsidRPr="00256982">
        <w:rPr>
          <w:i/>
        </w:rPr>
        <w:t>Cropland</w:t>
      </w:r>
      <w:r w:rsidRPr="00256982">
        <w:t xml:space="preserve"> land use categories, carbon stock changes are reported under </w:t>
      </w:r>
      <w:r w:rsidRPr="00256982">
        <w:rPr>
          <w:i/>
        </w:rPr>
        <w:t>Cropland remaining cropland</w:t>
      </w:r>
      <w:r w:rsidRPr="00256982">
        <w:t xml:space="preserve">. </w:t>
      </w:r>
    </w:p>
    <w:p w14:paraId="2E7DE683" w14:textId="77777777" w:rsidR="00380BE7" w:rsidRPr="00256982" w:rsidRDefault="00380BE7" w:rsidP="00380BE7">
      <w:pPr>
        <w:pStyle w:val="Heading5"/>
      </w:pPr>
      <w:bookmarkStart w:id="1665" w:name="_Toc255466375"/>
      <w:bookmarkStart w:id="1666" w:name="_Toc261513182"/>
      <w:bookmarkStart w:id="1667" w:name="_Toc261513795"/>
      <w:bookmarkStart w:id="1668" w:name="_Toc280630267"/>
      <w:r w:rsidRPr="00256982">
        <w:t>Living biomass</w:t>
      </w:r>
      <w:bookmarkEnd w:id="1665"/>
      <w:bookmarkEnd w:id="1666"/>
      <w:bookmarkEnd w:id="1667"/>
      <w:bookmarkEnd w:id="1668"/>
    </w:p>
    <w:p w14:paraId="2F00EF48" w14:textId="77777777" w:rsidR="00380BE7" w:rsidRPr="00256982" w:rsidRDefault="00380BE7" w:rsidP="00380BE7">
      <w:pPr>
        <w:pStyle w:val="BodyText"/>
      </w:pPr>
      <w:r w:rsidRPr="00256982">
        <w:t>To estimate carbon stock change in living biomass for annual cropland converted to perennial cropland, New Zealand is using Tier 1 defaults for biomass carbon stocks at harvest. The value being used for annual cropland is 5.0 tonnes C ha</w:t>
      </w:r>
      <w:r w:rsidRPr="00256982">
        <w:rPr>
          <w:vertAlign w:val="superscript"/>
        </w:rPr>
        <w:t>–1</w:t>
      </w:r>
      <w:r w:rsidRPr="00256982">
        <w:t xml:space="preserve"> (table 5.9, IPCC, 2006a). The Tier 1 method for estimating carbon change assumes carbon stocks in biomass immediately after conversion are zero; that is, the land is cleared of all vegetation before planting crops (5.0 tonnes C ha</w:t>
      </w:r>
      <w:r w:rsidRPr="00256982">
        <w:rPr>
          <w:vertAlign w:val="superscript"/>
        </w:rPr>
        <w:t>–1</w:t>
      </w:r>
      <w:r w:rsidRPr="00256982">
        <w:t xml:space="preserve"> is instantly oxidised in the year of conversion). </w:t>
      </w:r>
    </w:p>
    <w:p w14:paraId="51E85FC4" w14:textId="18F5DED0" w:rsidR="00380BE7" w:rsidRPr="00256982" w:rsidRDefault="00380BE7" w:rsidP="00380BE7">
      <w:pPr>
        <w:pStyle w:val="BodyText"/>
      </w:pPr>
      <w:r w:rsidRPr="00256982">
        <w:t>To estimate growth after conversion of annual cropland to perennial cropland, New Zealand uses the biomass accumulation rate of 0.67 tonnes C ha</w:t>
      </w:r>
      <w:r w:rsidRPr="00256982">
        <w:rPr>
          <w:vertAlign w:val="superscript"/>
        </w:rPr>
        <w:t xml:space="preserve">–1 </w:t>
      </w:r>
      <w:r w:rsidRPr="00256982">
        <w:t>yr</w:t>
      </w:r>
      <w:r w:rsidRPr="00256982">
        <w:rPr>
          <w:vertAlign w:val="superscript"/>
        </w:rPr>
        <w:t>–1</w:t>
      </w:r>
      <w:r w:rsidRPr="00256982">
        <w:t>.</w:t>
      </w:r>
      <w:r w:rsidR="00C827F0" w:rsidRPr="00256982">
        <w:t xml:space="preserve"> This value is based on the New </w:t>
      </w:r>
      <w:r w:rsidRPr="00256982">
        <w:t>Zealand-specific value of 18.76 tonnes C ha</w:t>
      </w:r>
      <w:r w:rsidRPr="00256982">
        <w:rPr>
          <w:spacing w:val="-2"/>
          <w:vertAlign w:val="superscript"/>
        </w:rPr>
        <w:t>–1</w:t>
      </w:r>
      <w:r w:rsidRPr="00256982">
        <w:t xml:space="preserve"> (</w:t>
      </w:r>
      <w:r w:rsidRPr="00256982">
        <w:rPr>
          <w:spacing w:val="-2"/>
        </w:rPr>
        <w:t xml:space="preserve">Davis and Wakelin, </w:t>
      </w:r>
      <w:r w:rsidRPr="00256982">
        <w:t>unpublished), sequestered over 28 years, which is the maturity period New Zealand uses for its lands to reach steady state.</w:t>
      </w:r>
    </w:p>
    <w:p w14:paraId="5AAECE66" w14:textId="3E2355A2" w:rsidR="00380BE7" w:rsidRPr="00256982" w:rsidRDefault="00380BE7" w:rsidP="00380BE7">
      <w:pPr>
        <w:pStyle w:val="BodyText"/>
      </w:pPr>
      <w:r w:rsidRPr="00256982">
        <w:t>The available activity data do not provide information on areas of perennial cropland temporarily destocked; therefore, no losses in carbon stock due to temporary destocking are</w:t>
      </w:r>
      <w:r w:rsidR="00C827F0" w:rsidRPr="00256982">
        <w:t> </w:t>
      </w:r>
      <w:r w:rsidRPr="00256982">
        <w:t xml:space="preserve">reported. </w:t>
      </w:r>
    </w:p>
    <w:p w14:paraId="7F3103FB" w14:textId="77777777" w:rsidR="00380BE7" w:rsidRPr="00256982" w:rsidRDefault="00380BE7" w:rsidP="00380BE7">
      <w:pPr>
        <w:pStyle w:val="Heading5"/>
      </w:pPr>
      <w:bookmarkStart w:id="1669" w:name="_Toc255466376"/>
      <w:bookmarkStart w:id="1670" w:name="_Toc261513183"/>
      <w:bookmarkStart w:id="1671" w:name="_Toc261513796"/>
      <w:bookmarkStart w:id="1672" w:name="_Toc280630268"/>
      <w:r w:rsidRPr="00256982">
        <w:t>Dead organic matter</w:t>
      </w:r>
      <w:bookmarkEnd w:id="1669"/>
      <w:bookmarkEnd w:id="1670"/>
      <w:bookmarkEnd w:id="1671"/>
      <w:bookmarkEnd w:id="1672"/>
    </w:p>
    <w:p w14:paraId="1672A7BA" w14:textId="77777777" w:rsidR="00380BE7" w:rsidRPr="00256982" w:rsidRDefault="00380BE7" w:rsidP="00380BE7">
      <w:pPr>
        <w:pStyle w:val="BodyText"/>
      </w:pPr>
      <w:r w:rsidRPr="00256982">
        <w:t xml:space="preserve">New Zealand does not report estimates of dead organic matter in this category. The notation key NE (not estimated) is used in the CRF tables in accordance with paragraph 37(b) of Decision 24/CP.19 (UNFCCC, 2014). There is insufficient information to provide a basic approach with default parameters to estimate carbon stock change in dead organic matter pools in </w:t>
      </w:r>
      <w:r w:rsidRPr="00256982">
        <w:rPr>
          <w:i/>
        </w:rPr>
        <w:t>Cropland</w:t>
      </w:r>
      <w:r w:rsidRPr="00256982">
        <w:t xml:space="preserve"> </w:t>
      </w:r>
      <w:r w:rsidRPr="00256982">
        <w:rPr>
          <w:i/>
        </w:rPr>
        <w:t>remaining cropland</w:t>
      </w:r>
      <w:r w:rsidRPr="00256982">
        <w:t xml:space="preserve"> and, consequently, no Tier 1 method is provided (IPCC, 2006a).</w:t>
      </w:r>
    </w:p>
    <w:p w14:paraId="479941A4" w14:textId="77777777" w:rsidR="00380BE7" w:rsidRPr="00256982" w:rsidRDefault="00380BE7" w:rsidP="00380BE7">
      <w:pPr>
        <w:pStyle w:val="Heading5"/>
      </w:pPr>
      <w:bookmarkStart w:id="1673" w:name="_Toc255466377"/>
      <w:bookmarkStart w:id="1674" w:name="_Toc261513184"/>
      <w:bookmarkStart w:id="1675" w:name="_Toc261513797"/>
      <w:bookmarkStart w:id="1676" w:name="_Toc280630269"/>
      <w:r w:rsidRPr="00256982">
        <w:t>Soil organic carbon</w:t>
      </w:r>
      <w:bookmarkEnd w:id="1673"/>
      <w:bookmarkEnd w:id="1674"/>
      <w:bookmarkEnd w:id="1675"/>
      <w:bookmarkEnd w:id="1676"/>
    </w:p>
    <w:p w14:paraId="5D781DD2" w14:textId="77777777" w:rsidR="00380BE7" w:rsidRPr="00256982" w:rsidRDefault="00380BE7" w:rsidP="00380BE7">
      <w:pPr>
        <w:pStyle w:val="BodyText"/>
      </w:pPr>
      <w:bookmarkStart w:id="1677" w:name="_Toc255466378"/>
      <w:bookmarkStart w:id="1678" w:name="_Toc261513185"/>
      <w:bookmarkStart w:id="1679" w:name="_Toc261513798"/>
      <w:bookmarkStart w:id="1680" w:name="_Toc280630270"/>
      <w:r w:rsidRPr="00256982">
        <w:t xml:space="preserve">SOC stocks in </w:t>
      </w:r>
      <w:r w:rsidRPr="00256982">
        <w:rPr>
          <w:i/>
        </w:rPr>
        <w:t>Cropland</w:t>
      </w:r>
      <w:r w:rsidRPr="00256982">
        <w:t xml:space="preserve"> </w:t>
      </w:r>
      <w:r w:rsidRPr="00256982">
        <w:rPr>
          <w:i/>
        </w:rPr>
        <w:t>remaining cropland</w:t>
      </w:r>
      <w:r w:rsidRPr="00256982">
        <w:t xml:space="preserve"> are estimated using a Tier 2 method for mineral soils and a Tier 1 method for organic soils, as described in section 6.3. The steady state mineral SOC stock for annual cropland is estimated to be 89.77 tonnes C ha</w:t>
      </w:r>
      <w:r w:rsidRPr="00256982">
        <w:rPr>
          <w:vertAlign w:val="superscript"/>
        </w:rPr>
        <w:t>–1</w:t>
      </w:r>
      <w:r w:rsidRPr="00256982">
        <w:t>; for perennial cropland, it is estimated to be 88.44 tonnes C ha</w:t>
      </w:r>
      <w:r w:rsidRPr="00256982">
        <w:rPr>
          <w:vertAlign w:val="superscript"/>
        </w:rPr>
        <w:t>–1</w:t>
      </w:r>
      <w:r w:rsidRPr="00256982">
        <w:t xml:space="preserve"> (see table 6.3.2).</w:t>
      </w:r>
    </w:p>
    <w:p w14:paraId="641CFB0C" w14:textId="77777777" w:rsidR="00380BE7" w:rsidRPr="00256982" w:rsidRDefault="00380BE7" w:rsidP="00380BE7">
      <w:pPr>
        <w:pStyle w:val="BodyText"/>
      </w:pPr>
      <w:r w:rsidRPr="00256982">
        <w:t xml:space="preserve">Mineral soil carbon change for annual cropland converted to perennial cropland is estimated using the IPCC default method of applying a linear rate of change over 20 years (equation 2.2.5, IPCC, 2006a). </w:t>
      </w:r>
    </w:p>
    <w:p w14:paraId="46D7DB91" w14:textId="77777777" w:rsidR="00380BE7" w:rsidRPr="00256982" w:rsidRDefault="00380BE7" w:rsidP="00380BE7">
      <w:pPr>
        <w:pStyle w:val="BodyText"/>
      </w:pPr>
      <w:r w:rsidRPr="00256982">
        <w:lastRenderedPageBreak/>
        <w:t xml:space="preserve">The IPCC default emission factors for organic soils under </w:t>
      </w:r>
      <w:r w:rsidRPr="00256982">
        <w:rPr>
          <w:i/>
        </w:rPr>
        <w:t>Cropland</w:t>
      </w:r>
      <w:r w:rsidRPr="00256982">
        <w:t xml:space="preserve"> are 5.0 tonnes C ha</w:t>
      </w:r>
      <w:r w:rsidRPr="00256982">
        <w:rPr>
          <w:vertAlign w:val="superscript"/>
        </w:rPr>
        <w:t xml:space="preserve">–1 </w:t>
      </w:r>
      <w:r w:rsidRPr="00256982">
        <w:t>and 10.0 tonnes C ha</w:t>
      </w:r>
      <w:r w:rsidRPr="00256982">
        <w:rPr>
          <w:vertAlign w:val="superscript"/>
        </w:rPr>
        <w:t>–1</w:t>
      </w:r>
      <w:r w:rsidRPr="00256982">
        <w:t xml:space="preserve"> per annum for cold temperate and warm temperate regimes, respectively (see table 6.3.3).</w:t>
      </w:r>
    </w:p>
    <w:p w14:paraId="620F2C34" w14:textId="77777777" w:rsidR="00380BE7" w:rsidRPr="00256982" w:rsidRDefault="00380BE7" w:rsidP="00380BE7">
      <w:pPr>
        <w:pStyle w:val="Heading4"/>
      </w:pPr>
      <w:bookmarkStart w:id="1681" w:name="_Toc255466381"/>
      <w:bookmarkStart w:id="1682" w:name="_Toc261513188"/>
      <w:bookmarkStart w:id="1683" w:name="_Toc261513801"/>
      <w:bookmarkStart w:id="1684" w:name="_Toc280630272"/>
      <w:r w:rsidRPr="00256982">
        <w:t>Land converted to cropland</w:t>
      </w:r>
      <w:bookmarkEnd w:id="1681"/>
      <w:bookmarkEnd w:id="1682"/>
      <w:bookmarkEnd w:id="1683"/>
      <w:bookmarkEnd w:id="1684"/>
      <w:r w:rsidRPr="00256982">
        <w:t xml:space="preserve"> (CRF 4.B.2)</w:t>
      </w:r>
    </w:p>
    <w:p w14:paraId="7B1FC19F" w14:textId="77777777" w:rsidR="00380BE7" w:rsidRPr="00256982" w:rsidRDefault="00380BE7" w:rsidP="00380BE7">
      <w:pPr>
        <w:pStyle w:val="Heading5"/>
        <w:spacing w:before="120"/>
      </w:pPr>
      <w:bookmarkStart w:id="1685" w:name="_Toc255466382"/>
      <w:bookmarkStart w:id="1686" w:name="_Toc261513189"/>
      <w:bookmarkStart w:id="1687" w:name="_Toc261513802"/>
      <w:bookmarkStart w:id="1688" w:name="_Toc280630273"/>
      <w:r w:rsidRPr="00256982">
        <w:t>Living biomass</w:t>
      </w:r>
      <w:bookmarkEnd w:id="1685"/>
      <w:bookmarkEnd w:id="1686"/>
      <w:bookmarkEnd w:id="1687"/>
      <w:bookmarkEnd w:id="1688"/>
    </w:p>
    <w:p w14:paraId="0C53DED6" w14:textId="77777777" w:rsidR="00380BE7" w:rsidRPr="00256982" w:rsidRDefault="00380BE7" w:rsidP="00380BE7">
      <w:pPr>
        <w:pStyle w:val="BodyText"/>
      </w:pPr>
      <w:r w:rsidRPr="00256982">
        <w:t xml:space="preserve">New Zealand uses a Tier 1 method, and a combination of IPCC default and New Zealand-specific emission factors, to calculate emissions for </w:t>
      </w:r>
      <w:r w:rsidRPr="00256982">
        <w:rPr>
          <w:i/>
        </w:rPr>
        <w:t>Land converted to cropland</w:t>
      </w:r>
      <w:r w:rsidRPr="00256982">
        <w:t xml:space="preserve">. The Tier 1 method multiplies the area of </w:t>
      </w:r>
      <w:r w:rsidRPr="00256982">
        <w:rPr>
          <w:i/>
        </w:rPr>
        <w:t>Land converted to cropland</w:t>
      </w:r>
      <w:r w:rsidRPr="00256982">
        <w:t xml:space="preserve"> annually by the carbon stock change per area for that type of conversion. </w:t>
      </w:r>
    </w:p>
    <w:p w14:paraId="089864C7" w14:textId="77777777" w:rsidR="00380BE7" w:rsidRPr="00256982" w:rsidRDefault="00380BE7" w:rsidP="00380BE7">
      <w:pPr>
        <w:pStyle w:val="BodyText"/>
        <w:rPr>
          <w:spacing w:val="-2"/>
        </w:rPr>
      </w:pPr>
      <w:r w:rsidRPr="00256982">
        <w:rPr>
          <w:spacing w:val="-2"/>
        </w:rPr>
        <w:t>The Tier 1 method assumes carbon in living biomass and dead organic matter immediately after conversion is zero; that is, the land is cleared of all vegetation before planting crops. The amount of biomass cleared when land at steady state is converted is shown in tables 6.1.3 and 6.1.4.</w:t>
      </w:r>
    </w:p>
    <w:p w14:paraId="595EE023" w14:textId="77777777" w:rsidR="00380BE7" w:rsidRPr="00256982" w:rsidRDefault="00380BE7" w:rsidP="00380BE7">
      <w:pPr>
        <w:pStyle w:val="BodyText"/>
      </w:pPr>
      <w:r w:rsidRPr="00256982">
        <w:t>The Tier 1 method also includes changes in carbon stocks from one year of growth in the year conversion takes place, as outlined in equation 2.5 of the 2006 IPCC Guidelines (IPCC, 2006a).</w:t>
      </w:r>
    </w:p>
    <w:p w14:paraId="27C9813F" w14:textId="77777777" w:rsidR="00380BE7" w:rsidRPr="00256982" w:rsidRDefault="00380BE7" w:rsidP="00380BE7">
      <w:pPr>
        <w:pStyle w:val="BodyText"/>
      </w:pPr>
      <w:r w:rsidRPr="00256982">
        <w:t>To estimate growth after conversion to annual cropland, New Zealand uses the IPCC default biomass accumulation rate of 5.0 tonnes C ha</w:t>
      </w:r>
      <w:r w:rsidRPr="00256982">
        <w:rPr>
          <w:vertAlign w:val="superscript"/>
        </w:rPr>
        <w:t>–1</w:t>
      </w:r>
      <w:r w:rsidRPr="00256982">
        <w:t xml:space="preserve"> for the first year following conversion (table 5.9, IPCC, 2006a). After the first year, any increase in biomass stocks in annual cropland is assumed equal to biomass losses from harvest and mortality in that same year and, therefore, after the first year there is no net accumulation of biomass carbon stocks in </w:t>
      </w:r>
      <w:r w:rsidRPr="00256982">
        <w:rPr>
          <w:i/>
        </w:rPr>
        <w:t>Annual cropland remaining annual cropland</w:t>
      </w:r>
      <w:r w:rsidRPr="00256982">
        <w:t xml:space="preserve"> (IPCC, 2006a, section 5.2.1).</w:t>
      </w:r>
    </w:p>
    <w:p w14:paraId="78702241" w14:textId="77777777" w:rsidR="00380BE7" w:rsidRPr="00256982" w:rsidRDefault="00380BE7" w:rsidP="00380BE7">
      <w:pPr>
        <w:pStyle w:val="BodyText"/>
      </w:pPr>
      <w:r w:rsidRPr="00256982">
        <w:t>To estimate growth after conversion to perennial cropland, New Zealand uses the biomass accumulation rate of 0.67 tonnes C ha</w:t>
      </w:r>
      <w:r w:rsidRPr="00256982">
        <w:rPr>
          <w:vertAlign w:val="superscript"/>
        </w:rPr>
        <w:t xml:space="preserve">–1 </w:t>
      </w:r>
      <w:r w:rsidRPr="00256982">
        <w:t>yr</w:t>
      </w:r>
      <w:r w:rsidRPr="00256982">
        <w:rPr>
          <w:vertAlign w:val="superscript"/>
        </w:rPr>
        <w:t>–1</w:t>
      </w:r>
      <w:r w:rsidRPr="00256982">
        <w:t>. This value is based on the New Zealand-specific value of 18.76 tonnes C ha</w:t>
      </w:r>
      <w:r w:rsidRPr="00256982">
        <w:rPr>
          <w:spacing w:val="-2"/>
          <w:vertAlign w:val="superscript"/>
        </w:rPr>
        <w:t>–1</w:t>
      </w:r>
      <w:r w:rsidRPr="00256982">
        <w:t xml:space="preserve"> (</w:t>
      </w:r>
      <w:r w:rsidRPr="00256982">
        <w:rPr>
          <w:spacing w:val="-2"/>
        </w:rPr>
        <w:t xml:space="preserve">Davis and Wakelin, </w:t>
      </w:r>
      <w:r w:rsidRPr="00256982">
        <w:t>unpublished), sequestered over 28 years, which is the maturity period New Zealand uses for its lands to reach steady state.</w:t>
      </w:r>
    </w:p>
    <w:p w14:paraId="00DF05B0" w14:textId="77777777" w:rsidR="00380BE7" w:rsidRPr="00256982" w:rsidRDefault="00380BE7" w:rsidP="00380BE7">
      <w:pPr>
        <w:pStyle w:val="Heading5"/>
      </w:pPr>
      <w:bookmarkStart w:id="1689" w:name="_Toc255466383"/>
      <w:bookmarkStart w:id="1690" w:name="_Toc261513190"/>
      <w:bookmarkStart w:id="1691" w:name="_Toc261513803"/>
      <w:bookmarkStart w:id="1692" w:name="_Toc280630274"/>
      <w:r w:rsidRPr="00256982">
        <w:t>Dead organic matter</w:t>
      </w:r>
      <w:bookmarkEnd w:id="1689"/>
      <w:bookmarkEnd w:id="1690"/>
      <w:bookmarkEnd w:id="1691"/>
      <w:bookmarkEnd w:id="1692"/>
    </w:p>
    <w:p w14:paraId="06E9DDF9" w14:textId="211ED3D6" w:rsidR="00380BE7" w:rsidRPr="00256982" w:rsidRDefault="00380BE7" w:rsidP="00380BE7">
      <w:pPr>
        <w:pStyle w:val="BodyText"/>
        <w:rPr>
          <w:spacing w:val="-2"/>
        </w:rPr>
      </w:pPr>
      <w:r w:rsidRPr="00256982">
        <w:rPr>
          <w:spacing w:val="-2"/>
        </w:rPr>
        <w:t>New Zealand reports only losses in dead organic matter associated with the previous land use for this category. The losses are calculated based on the carbon in dead organic matter</w:t>
      </w:r>
      <w:r w:rsidR="00C827F0" w:rsidRPr="00256982">
        <w:rPr>
          <w:spacing w:val="-2"/>
        </w:rPr>
        <w:t xml:space="preserve"> </w:t>
      </w:r>
      <w:r w:rsidRPr="00256982">
        <w:rPr>
          <w:spacing w:val="-2"/>
        </w:rPr>
        <w:t>at the site prior to conversion to cropland. It is assumed that, immediately after conversion, dead organic matter is zero (all carbon in dead organic matter prior to conversion is instantly oxidised in the year of conversion). There is insufficient information to e</w:t>
      </w:r>
      <w:r w:rsidR="00C827F0" w:rsidRPr="00256982">
        <w:rPr>
          <w:spacing w:val="-2"/>
        </w:rPr>
        <w:t xml:space="preserve">stimate gain in carbon stock in </w:t>
      </w:r>
      <w:r w:rsidRPr="00256982">
        <w:rPr>
          <w:spacing w:val="-2"/>
        </w:rPr>
        <w:t>dead organic matter pools after land is converted to cropland (IPCC, 2006a). Consequently, where there are no dead organic matter losses associated with the previous land use, the notation key NE (not estimated) is used in the CRF tables in accordance with Decision 24/CP.19 (UNFCCC, 2014).</w:t>
      </w:r>
    </w:p>
    <w:p w14:paraId="54F5534D" w14:textId="77777777" w:rsidR="00380BE7" w:rsidRPr="00256982" w:rsidRDefault="00380BE7" w:rsidP="00380BE7">
      <w:pPr>
        <w:pStyle w:val="Heading5"/>
      </w:pPr>
      <w:bookmarkStart w:id="1693" w:name="_Toc255466384"/>
      <w:bookmarkStart w:id="1694" w:name="_Toc261513191"/>
      <w:bookmarkStart w:id="1695" w:name="_Toc261513804"/>
      <w:bookmarkStart w:id="1696" w:name="_Toc280630275"/>
      <w:r w:rsidRPr="00256982">
        <w:t>Soil organic carbon</w:t>
      </w:r>
      <w:bookmarkEnd w:id="1693"/>
      <w:bookmarkEnd w:id="1694"/>
      <w:bookmarkEnd w:id="1695"/>
      <w:bookmarkEnd w:id="1696"/>
    </w:p>
    <w:p w14:paraId="62899F01" w14:textId="77777777" w:rsidR="00380BE7" w:rsidRPr="00256982" w:rsidRDefault="00380BE7" w:rsidP="00380BE7">
      <w:pPr>
        <w:pStyle w:val="BodyText"/>
      </w:pPr>
      <w:bookmarkStart w:id="1697" w:name="_Toc255466385"/>
      <w:bookmarkStart w:id="1698" w:name="_Toc261513192"/>
      <w:bookmarkStart w:id="1699" w:name="_Toc261513805"/>
      <w:bookmarkStart w:id="1700" w:name="_Toc280630276"/>
      <w:r w:rsidRPr="00256982">
        <w:t xml:space="preserve">SOC stocks in land converted to annual and perennial cropland are estimated using a Tier 2 method for mineral soils and a Tier 1 method for organic soils, as described in section 6.3. In the absence of data on the rate of change specific to country and land use, the IPCC default of a linear change over a 20-year period is used to estimate the change in SOC stocks between the original and new land uses. </w:t>
      </w:r>
    </w:p>
    <w:p w14:paraId="54A5CC6B" w14:textId="77777777" w:rsidR="00380BE7" w:rsidRPr="00256982" w:rsidRDefault="00380BE7" w:rsidP="00380BE7">
      <w:pPr>
        <w:pStyle w:val="BodyText"/>
      </w:pPr>
      <w:r w:rsidRPr="00256982">
        <w:t xml:space="preserve">The IPCC default emission factors for organic soils under </w:t>
      </w:r>
      <w:r w:rsidRPr="00256982">
        <w:rPr>
          <w:i/>
        </w:rPr>
        <w:t>Cropland</w:t>
      </w:r>
      <w:r w:rsidRPr="00256982">
        <w:t xml:space="preserve"> are also applied to </w:t>
      </w:r>
      <w:r w:rsidRPr="00256982">
        <w:rPr>
          <w:i/>
        </w:rPr>
        <w:t>Land converted to cropland</w:t>
      </w:r>
      <w:r w:rsidRPr="00256982">
        <w:t>.</w:t>
      </w:r>
    </w:p>
    <w:p w14:paraId="77A003A7" w14:textId="77777777" w:rsidR="00380BE7" w:rsidRPr="00256982" w:rsidRDefault="00380BE7" w:rsidP="00380BE7">
      <w:pPr>
        <w:pStyle w:val="Heading5"/>
      </w:pPr>
      <w:r w:rsidRPr="00256982">
        <w:lastRenderedPageBreak/>
        <w:t>Non-CO</w:t>
      </w:r>
      <w:r w:rsidRPr="00256982">
        <w:rPr>
          <w:vertAlign w:val="subscript"/>
        </w:rPr>
        <w:t>2</w:t>
      </w:r>
      <w:r w:rsidRPr="00256982">
        <w:t xml:space="preserve"> emissions</w:t>
      </w:r>
      <w:bookmarkEnd w:id="1697"/>
      <w:bookmarkEnd w:id="1698"/>
      <w:bookmarkEnd w:id="1699"/>
      <w:bookmarkEnd w:id="1700"/>
    </w:p>
    <w:p w14:paraId="50B91541" w14:textId="77777777" w:rsidR="00380BE7" w:rsidRPr="00256982" w:rsidRDefault="00380BE7" w:rsidP="00380BE7">
      <w:pPr>
        <w:pStyle w:val="Heading6"/>
        <w:spacing w:before="120"/>
      </w:pPr>
      <w:bookmarkStart w:id="1701" w:name="_Toc255466386"/>
      <w:bookmarkStart w:id="1702" w:name="_Toc261513193"/>
      <w:bookmarkStart w:id="1703" w:name="_Toc261513806"/>
      <w:r w:rsidRPr="00256982">
        <w:t>Nitrous oxide emissions from disturbance associated with land-use conversion to cropland</w:t>
      </w:r>
      <w:bookmarkEnd w:id="1701"/>
      <w:bookmarkEnd w:id="1702"/>
      <w:bookmarkEnd w:id="1703"/>
    </w:p>
    <w:p w14:paraId="6771348E" w14:textId="77777777" w:rsidR="00380BE7" w:rsidRPr="00256982" w:rsidRDefault="00380BE7" w:rsidP="00380BE7">
      <w:pPr>
        <w:pStyle w:val="BodyText"/>
      </w:pPr>
      <w:r w:rsidRPr="00256982">
        <w:t xml:space="preserve">Nitrous oxide emissions from disturbance associated with land-use conversion to cropland are described in section 6.11.3. </w:t>
      </w:r>
    </w:p>
    <w:p w14:paraId="7CFA1289" w14:textId="77777777" w:rsidR="00380BE7" w:rsidRPr="00256982" w:rsidRDefault="00380BE7" w:rsidP="00380BE7">
      <w:pPr>
        <w:pStyle w:val="Heading3"/>
      </w:pPr>
      <w:bookmarkStart w:id="1704" w:name="_Toc139253965"/>
      <w:bookmarkStart w:id="1705" w:name="_Toc255466388"/>
      <w:bookmarkStart w:id="1706" w:name="_Toc261513195"/>
      <w:bookmarkStart w:id="1707" w:name="_Toc261513808"/>
      <w:bookmarkStart w:id="1708" w:name="_Toc280630277"/>
      <w:r w:rsidRPr="00256982">
        <w:t>6.5.3</w:t>
      </w:r>
      <w:r w:rsidRPr="00256982">
        <w:tab/>
        <w:t>Uncertainties and time-series consistency</w:t>
      </w:r>
      <w:bookmarkEnd w:id="1704"/>
      <w:bookmarkEnd w:id="1705"/>
      <w:bookmarkEnd w:id="1706"/>
      <w:bookmarkEnd w:id="1707"/>
      <w:bookmarkEnd w:id="1708"/>
    </w:p>
    <w:p w14:paraId="20A601A4" w14:textId="77777777" w:rsidR="00380BE7" w:rsidRPr="00256982" w:rsidRDefault="00380BE7" w:rsidP="00380BE7">
      <w:pPr>
        <w:pStyle w:val="BodyText"/>
      </w:pPr>
      <w:r w:rsidRPr="00256982">
        <w:t xml:space="preserve">The uncertainty in mapping </w:t>
      </w:r>
      <w:r w:rsidRPr="00256982">
        <w:rPr>
          <w:i/>
        </w:rPr>
        <w:t>Cropland</w:t>
      </w:r>
      <w:r w:rsidRPr="00256982">
        <w:t xml:space="preserve"> is </w:t>
      </w:r>
      <w:r w:rsidRPr="00256982">
        <w:sym w:font="Symbol" w:char="F0B1"/>
      </w:r>
      <w:r w:rsidRPr="00256982">
        <w:t>8.0 per cent (see table 6.5.6). Further details are given in section 6.2.5 and Dymond et al. (2008).</w:t>
      </w:r>
    </w:p>
    <w:p w14:paraId="1B99AB66" w14:textId="77777777" w:rsidR="00380BE7" w:rsidRPr="00256982" w:rsidRDefault="00380BE7" w:rsidP="00380BE7">
      <w:pPr>
        <w:pStyle w:val="BodyText"/>
      </w:pPr>
      <w:r w:rsidRPr="00256982">
        <w:t xml:space="preserve">New Zealand uses IPCC default values for biomass accumulation in annual cropland. For perennial cropland, a New Zealand-specific emission factor is used (Davis and Wakelin, unpublished). As the perennial and annual cropland emission factors are based on only a limited number of biomass studies, the uncertainty in these figures is estimated as </w:t>
      </w:r>
      <w:r w:rsidRPr="00256982">
        <w:sym w:font="Symbol" w:char="F0B1"/>
      </w:r>
      <w:r w:rsidRPr="00256982">
        <w:t>75 per cent (table 5.9, IPCC, 2006a).</w:t>
      </w:r>
    </w:p>
    <w:p w14:paraId="71513215" w14:textId="77777777" w:rsidR="00380BE7" w:rsidRPr="00256982" w:rsidRDefault="00380BE7" w:rsidP="00380BE7">
      <w:pPr>
        <w:pStyle w:val="BodyText"/>
      </w:pPr>
      <w:r w:rsidRPr="00256982">
        <w:t xml:space="preserve">For mineral soils, the uncertainty is </w:t>
      </w:r>
      <w:r w:rsidRPr="00256982">
        <w:sym w:font="Symbol" w:char="F0B1"/>
      </w:r>
      <w:r w:rsidRPr="00256982">
        <w:t xml:space="preserve">9.7 per cent for SOC in annual cropland and </w:t>
      </w:r>
      <w:r w:rsidRPr="00256982">
        <w:sym w:font="Symbol" w:char="F0B1"/>
      </w:r>
      <w:r w:rsidRPr="00256982">
        <w:t>14.1 per cent for SOC in perennial cropland, as calculated from the Tier 2 method estimates of SOC (see table 6.5.6). For organic soils, New Zealand uses IPCC default values for annual and perennial cropland. The uncertainty associated with the IPCC default values is 95 per cent (based on table 2.3, IPCC, 2006a).</w:t>
      </w:r>
    </w:p>
    <w:p w14:paraId="52FB3B26" w14:textId="77777777" w:rsidR="00380BE7" w:rsidRPr="00256982" w:rsidRDefault="00380BE7" w:rsidP="00380BE7">
      <w:pPr>
        <w:pStyle w:val="BodyText"/>
      </w:pPr>
      <w:r w:rsidRPr="00256982">
        <w:t>As shown in table 6.5.6, while uncertainty in activity data is low, the uncertainty in the IPCC default variables dominates the overall uncertainty in the estimate provided by New Zealand.</w:t>
      </w:r>
    </w:p>
    <w:p w14:paraId="0B1913D3" w14:textId="77777777" w:rsidR="00380BE7" w:rsidRPr="00256982" w:rsidRDefault="00380BE7" w:rsidP="00380BE7">
      <w:pPr>
        <w:pStyle w:val="Table"/>
      </w:pPr>
      <w:bookmarkStart w:id="1709" w:name="_Toc280630463"/>
      <w:bookmarkStart w:id="1710" w:name="_Toc310423419"/>
      <w:bookmarkStart w:id="1711" w:name="_Toc318362712"/>
      <w:bookmarkStart w:id="1712" w:name="_Toc342470774"/>
      <w:bookmarkStart w:id="1713" w:name="_Toc352505014"/>
      <w:bookmarkStart w:id="1714" w:name="_Toc378853305"/>
      <w:bookmarkStart w:id="1715" w:name="_Toc391024103"/>
      <w:bookmarkStart w:id="1716" w:name="_Toc410028846"/>
      <w:bookmarkStart w:id="1717" w:name="_Toc414531474"/>
      <w:bookmarkStart w:id="1718" w:name="_Toc443645387"/>
      <w:bookmarkStart w:id="1719" w:name="_Toc474914606"/>
      <w:bookmarkStart w:id="1720" w:name="_Toc481751570"/>
      <w:bookmarkStart w:id="1721" w:name="_Toc522010627"/>
      <w:bookmarkStart w:id="1722" w:name="_Toc5269532"/>
      <w:r w:rsidRPr="00256982">
        <w:t>Table 6.5.6</w:t>
      </w:r>
      <w:r w:rsidRPr="00256982">
        <w:tab/>
        <w:t>Uncertainty in New Zealand’s 2017 Cropland estimates</w:t>
      </w:r>
      <w:bookmarkEnd w:id="1709"/>
      <w:bookmarkEnd w:id="1710"/>
      <w:bookmarkEnd w:id="1711"/>
      <w:bookmarkEnd w:id="1712"/>
      <w:r w:rsidRPr="00256982">
        <w:t xml:space="preserve"> (including land in transition)</w:t>
      </w:r>
      <w:bookmarkEnd w:id="1713"/>
      <w:bookmarkEnd w:id="1714"/>
      <w:bookmarkEnd w:id="1715"/>
      <w:bookmarkEnd w:id="1716"/>
      <w:bookmarkEnd w:id="1717"/>
      <w:bookmarkEnd w:id="1718"/>
      <w:bookmarkEnd w:id="1719"/>
      <w:bookmarkEnd w:id="1720"/>
      <w:bookmarkEnd w:id="1721"/>
      <w:bookmarkEnd w:id="1722"/>
    </w:p>
    <w:tbl>
      <w:tblPr>
        <w:tblW w:w="8505" w:type="dxa"/>
        <w:tblInd w:w="108" w:type="dxa"/>
        <w:tblLook w:val="04A0" w:firstRow="1" w:lastRow="0" w:firstColumn="1" w:lastColumn="0" w:noHBand="0" w:noVBand="1"/>
      </w:tblPr>
      <w:tblGrid>
        <w:gridCol w:w="4719"/>
        <w:gridCol w:w="1788"/>
        <w:gridCol w:w="1998"/>
      </w:tblGrid>
      <w:tr w:rsidR="00380BE7" w:rsidRPr="00256982" w14:paraId="37A34CF4" w14:textId="77777777" w:rsidTr="009574E7">
        <w:tc>
          <w:tcPr>
            <w:tcW w:w="4404" w:type="dxa"/>
            <w:tcBorders>
              <w:top w:val="single" w:sz="4" w:space="0" w:color="365F91"/>
            </w:tcBorders>
            <w:shd w:val="clear" w:color="auto" w:fill="365F91"/>
            <w:noWrap/>
            <w:vAlign w:val="bottom"/>
            <w:hideMark/>
          </w:tcPr>
          <w:p w14:paraId="5C1A3229" w14:textId="77777777" w:rsidR="00380BE7" w:rsidRPr="00256982" w:rsidRDefault="00380BE7" w:rsidP="009574E7">
            <w:pPr>
              <w:pStyle w:val="TableTextBold"/>
              <w:keepNext/>
              <w:rPr>
                <w:noProof w:val="0"/>
                <w:color w:val="FFFFFF"/>
              </w:rPr>
            </w:pPr>
            <w:bookmarkStart w:id="1723" w:name="_Toc139253966"/>
            <w:bookmarkStart w:id="1724" w:name="_Toc255466389"/>
            <w:bookmarkStart w:id="1725" w:name="_Toc261513196"/>
            <w:bookmarkStart w:id="1726" w:name="_Toc261513809"/>
            <w:bookmarkStart w:id="1727" w:name="_Toc280630278"/>
          </w:p>
        </w:tc>
        <w:tc>
          <w:tcPr>
            <w:tcW w:w="3534" w:type="dxa"/>
            <w:gridSpan w:val="2"/>
            <w:tcBorders>
              <w:top w:val="single" w:sz="4" w:space="0" w:color="365F91"/>
            </w:tcBorders>
            <w:shd w:val="clear" w:color="auto" w:fill="365F91"/>
            <w:noWrap/>
            <w:hideMark/>
          </w:tcPr>
          <w:p w14:paraId="740324AF" w14:textId="77777777" w:rsidR="00380BE7" w:rsidRPr="00256982" w:rsidRDefault="00380BE7" w:rsidP="009574E7">
            <w:pPr>
              <w:pStyle w:val="TableTextBold"/>
              <w:keepNext/>
              <w:spacing w:after="0"/>
              <w:jc w:val="center"/>
              <w:rPr>
                <w:noProof w:val="0"/>
                <w:color w:val="FFFFFF"/>
              </w:rPr>
            </w:pPr>
            <w:r w:rsidRPr="00256982">
              <w:rPr>
                <w:noProof w:val="0"/>
                <w:color w:val="FFFFFF"/>
              </w:rPr>
              <w:t>Uncertainty at a 95% confidence interval</w:t>
            </w:r>
          </w:p>
        </w:tc>
      </w:tr>
      <w:tr w:rsidR="00380BE7" w:rsidRPr="00256982" w14:paraId="3C689E1B" w14:textId="77777777" w:rsidTr="009574E7">
        <w:tc>
          <w:tcPr>
            <w:tcW w:w="4404" w:type="dxa"/>
            <w:tcBorders>
              <w:bottom w:val="single" w:sz="4" w:space="0" w:color="365F91"/>
            </w:tcBorders>
            <w:shd w:val="clear" w:color="auto" w:fill="365F91"/>
            <w:noWrap/>
            <w:vAlign w:val="bottom"/>
          </w:tcPr>
          <w:p w14:paraId="0ECBFE64" w14:textId="77777777" w:rsidR="00380BE7" w:rsidRPr="00256982" w:rsidRDefault="00380BE7" w:rsidP="00C827F0">
            <w:pPr>
              <w:pStyle w:val="TableTextBold"/>
              <w:keepNext/>
              <w:spacing w:before="0"/>
              <w:rPr>
                <w:noProof w:val="0"/>
                <w:color w:val="FFFFFF"/>
              </w:rPr>
            </w:pPr>
          </w:p>
        </w:tc>
        <w:tc>
          <w:tcPr>
            <w:tcW w:w="1669" w:type="dxa"/>
            <w:tcBorders>
              <w:bottom w:val="single" w:sz="4" w:space="0" w:color="365F91"/>
            </w:tcBorders>
            <w:shd w:val="clear" w:color="auto" w:fill="365F91"/>
            <w:noWrap/>
            <w:vAlign w:val="bottom"/>
          </w:tcPr>
          <w:p w14:paraId="42EAFC53" w14:textId="77777777" w:rsidR="00380BE7" w:rsidRPr="00256982" w:rsidRDefault="00380BE7" w:rsidP="00C827F0">
            <w:pPr>
              <w:pStyle w:val="TableTextBold"/>
              <w:keepNext/>
              <w:spacing w:before="0"/>
              <w:jc w:val="center"/>
              <w:rPr>
                <w:noProof w:val="0"/>
                <w:color w:val="FFFFFF"/>
              </w:rPr>
            </w:pPr>
            <w:r w:rsidRPr="00256982">
              <w:rPr>
                <w:noProof w:val="0"/>
                <w:color w:val="FFFFFF"/>
              </w:rPr>
              <w:t>Annual cropland (%)</w:t>
            </w:r>
          </w:p>
        </w:tc>
        <w:tc>
          <w:tcPr>
            <w:tcW w:w="1865" w:type="dxa"/>
            <w:tcBorders>
              <w:bottom w:val="single" w:sz="4" w:space="0" w:color="365F91"/>
            </w:tcBorders>
            <w:shd w:val="clear" w:color="auto" w:fill="365F91"/>
            <w:noWrap/>
            <w:vAlign w:val="bottom"/>
          </w:tcPr>
          <w:p w14:paraId="4BDEC642" w14:textId="77777777" w:rsidR="00380BE7" w:rsidRPr="00256982" w:rsidRDefault="00380BE7" w:rsidP="00C827F0">
            <w:pPr>
              <w:pStyle w:val="TableTextBold"/>
              <w:keepNext/>
              <w:spacing w:before="0"/>
              <w:jc w:val="center"/>
              <w:rPr>
                <w:noProof w:val="0"/>
                <w:color w:val="FFFFFF"/>
              </w:rPr>
            </w:pPr>
            <w:r w:rsidRPr="00256982">
              <w:rPr>
                <w:noProof w:val="0"/>
                <w:color w:val="FFFFFF"/>
              </w:rPr>
              <w:t>Perennial cropland (%)</w:t>
            </w:r>
          </w:p>
        </w:tc>
      </w:tr>
      <w:tr w:rsidR="00380BE7" w:rsidRPr="00256982" w14:paraId="4C8FB6E0" w14:textId="77777777" w:rsidTr="009574E7">
        <w:tc>
          <w:tcPr>
            <w:tcW w:w="4404" w:type="dxa"/>
            <w:tcBorders>
              <w:top w:val="single" w:sz="4" w:space="0" w:color="365F91"/>
              <w:bottom w:val="single" w:sz="4" w:space="0" w:color="365F91"/>
            </w:tcBorders>
            <w:noWrap/>
            <w:hideMark/>
          </w:tcPr>
          <w:p w14:paraId="14863A44" w14:textId="77777777" w:rsidR="00380BE7" w:rsidRPr="00256982" w:rsidRDefault="00380BE7" w:rsidP="009574E7">
            <w:pPr>
              <w:pStyle w:val="TableTextBold"/>
              <w:rPr>
                <w:noProof w:val="0"/>
              </w:rPr>
            </w:pPr>
            <w:r w:rsidRPr="00256982">
              <w:rPr>
                <w:noProof w:val="0"/>
              </w:rPr>
              <w:t>Activity data</w:t>
            </w:r>
          </w:p>
        </w:tc>
        <w:tc>
          <w:tcPr>
            <w:tcW w:w="1669" w:type="dxa"/>
            <w:tcBorders>
              <w:top w:val="single" w:sz="4" w:space="0" w:color="365F91"/>
              <w:bottom w:val="single" w:sz="4" w:space="0" w:color="365F91"/>
            </w:tcBorders>
            <w:noWrap/>
            <w:hideMark/>
          </w:tcPr>
          <w:p w14:paraId="7C760EFA" w14:textId="77777777" w:rsidR="00380BE7" w:rsidRPr="00256982" w:rsidRDefault="00380BE7" w:rsidP="009574E7">
            <w:pPr>
              <w:pStyle w:val="TableTextBold"/>
              <w:tabs>
                <w:tab w:val="decimal" w:pos="325"/>
              </w:tabs>
              <w:jc w:val="center"/>
              <w:rPr>
                <w:noProof w:val="0"/>
              </w:rPr>
            </w:pPr>
          </w:p>
        </w:tc>
        <w:tc>
          <w:tcPr>
            <w:tcW w:w="1865" w:type="dxa"/>
            <w:tcBorders>
              <w:top w:val="single" w:sz="4" w:space="0" w:color="365F91"/>
              <w:bottom w:val="single" w:sz="4" w:space="0" w:color="365F91"/>
            </w:tcBorders>
            <w:noWrap/>
            <w:hideMark/>
          </w:tcPr>
          <w:p w14:paraId="58298993" w14:textId="77777777" w:rsidR="00380BE7" w:rsidRPr="00256982" w:rsidRDefault="00380BE7" w:rsidP="009574E7">
            <w:pPr>
              <w:pStyle w:val="TableTextBold"/>
              <w:tabs>
                <w:tab w:val="decimal" w:pos="325"/>
              </w:tabs>
              <w:jc w:val="center"/>
              <w:rPr>
                <w:noProof w:val="0"/>
              </w:rPr>
            </w:pPr>
          </w:p>
        </w:tc>
      </w:tr>
      <w:tr w:rsidR="00380BE7" w:rsidRPr="00256982" w14:paraId="63B8BD3B" w14:textId="77777777" w:rsidTr="009574E7">
        <w:tc>
          <w:tcPr>
            <w:tcW w:w="4404" w:type="dxa"/>
            <w:tcBorders>
              <w:top w:val="single" w:sz="4" w:space="0" w:color="365F91"/>
              <w:bottom w:val="single" w:sz="4" w:space="0" w:color="365F91"/>
            </w:tcBorders>
            <w:noWrap/>
            <w:hideMark/>
          </w:tcPr>
          <w:p w14:paraId="40678D7C" w14:textId="77777777" w:rsidR="00380BE7" w:rsidRPr="00256982" w:rsidRDefault="00380BE7" w:rsidP="009574E7">
            <w:pPr>
              <w:pStyle w:val="TableText"/>
            </w:pPr>
            <w:r w:rsidRPr="00256982">
              <w:t>Uncertainty in land area</w:t>
            </w:r>
          </w:p>
        </w:tc>
        <w:tc>
          <w:tcPr>
            <w:tcW w:w="1669" w:type="dxa"/>
            <w:tcBorders>
              <w:top w:val="single" w:sz="4" w:space="0" w:color="365F91"/>
              <w:bottom w:val="single" w:sz="4" w:space="0" w:color="365F91"/>
            </w:tcBorders>
            <w:noWrap/>
            <w:hideMark/>
          </w:tcPr>
          <w:p w14:paraId="5FABAD47" w14:textId="77777777" w:rsidR="00380BE7" w:rsidRPr="00256982" w:rsidRDefault="00380BE7" w:rsidP="009574E7">
            <w:pPr>
              <w:pStyle w:val="TableText"/>
              <w:tabs>
                <w:tab w:val="decimal" w:pos="325"/>
              </w:tabs>
              <w:jc w:val="center"/>
            </w:pPr>
            <w:r w:rsidRPr="00256982">
              <w:t>±8.0</w:t>
            </w:r>
          </w:p>
        </w:tc>
        <w:tc>
          <w:tcPr>
            <w:tcW w:w="1865" w:type="dxa"/>
            <w:tcBorders>
              <w:top w:val="single" w:sz="4" w:space="0" w:color="365F91"/>
              <w:bottom w:val="single" w:sz="4" w:space="0" w:color="365F91"/>
            </w:tcBorders>
            <w:noWrap/>
            <w:hideMark/>
          </w:tcPr>
          <w:p w14:paraId="582377D3" w14:textId="77777777" w:rsidR="00380BE7" w:rsidRPr="00256982" w:rsidRDefault="00380BE7" w:rsidP="009574E7">
            <w:pPr>
              <w:pStyle w:val="TableText"/>
              <w:tabs>
                <w:tab w:val="decimal" w:pos="325"/>
              </w:tabs>
              <w:jc w:val="center"/>
            </w:pPr>
            <w:r w:rsidRPr="00256982">
              <w:t>±8.0</w:t>
            </w:r>
          </w:p>
        </w:tc>
      </w:tr>
      <w:tr w:rsidR="00380BE7" w:rsidRPr="00256982" w14:paraId="36C3E889" w14:textId="77777777" w:rsidTr="009574E7">
        <w:tc>
          <w:tcPr>
            <w:tcW w:w="4404" w:type="dxa"/>
            <w:tcBorders>
              <w:top w:val="single" w:sz="4" w:space="0" w:color="365F91"/>
              <w:bottom w:val="single" w:sz="4" w:space="0" w:color="365F91"/>
            </w:tcBorders>
            <w:noWrap/>
            <w:hideMark/>
          </w:tcPr>
          <w:p w14:paraId="414069A2" w14:textId="77777777" w:rsidR="00380BE7" w:rsidRPr="00256982" w:rsidRDefault="00380BE7" w:rsidP="009574E7">
            <w:pPr>
              <w:pStyle w:val="TableTextBold"/>
              <w:rPr>
                <w:noProof w:val="0"/>
              </w:rPr>
            </w:pPr>
            <w:r w:rsidRPr="00256982">
              <w:rPr>
                <w:noProof w:val="0"/>
              </w:rPr>
              <w:t>Emission factors</w:t>
            </w:r>
          </w:p>
        </w:tc>
        <w:tc>
          <w:tcPr>
            <w:tcW w:w="1669" w:type="dxa"/>
            <w:tcBorders>
              <w:top w:val="single" w:sz="4" w:space="0" w:color="365F91"/>
              <w:bottom w:val="single" w:sz="4" w:space="0" w:color="365F91"/>
            </w:tcBorders>
            <w:noWrap/>
            <w:hideMark/>
          </w:tcPr>
          <w:p w14:paraId="5F214697" w14:textId="77777777" w:rsidR="00380BE7" w:rsidRPr="00256982" w:rsidRDefault="00380BE7" w:rsidP="009574E7">
            <w:pPr>
              <w:pStyle w:val="TableTextBold"/>
              <w:tabs>
                <w:tab w:val="decimal" w:pos="325"/>
              </w:tabs>
              <w:jc w:val="center"/>
              <w:rPr>
                <w:noProof w:val="0"/>
              </w:rPr>
            </w:pPr>
          </w:p>
        </w:tc>
        <w:tc>
          <w:tcPr>
            <w:tcW w:w="1865" w:type="dxa"/>
            <w:tcBorders>
              <w:top w:val="single" w:sz="4" w:space="0" w:color="365F91"/>
              <w:bottom w:val="single" w:sz="4" w:space="0" w:color="365F91"/>
            </w:tcBorders>
            <w:noWrap/>
            <w:hideMark/>
          </w:tcPr>
          <w:p w14:paraId="1A9DE76C" w14:textId="77777777" w:rsidR="00380BE7" w:rsidRPr="00256982" w:rsidRDefault="00380BE7" w:rsidP="009574E7">
            <w:pPr>
              <w:pStyle w:val="TableTextBold"/>
              <w:tabs>
                <w:tab w:val="decimal" w:pos="325"/>
              </w:tabs>
              <w:jc w:val="center"/>
              <w:rPr>
                <w:noProof w:val="0"/>
              </w:rPr>
            </w:pPr>
          </w:p>
        </w:tc>
      </w:tr>
      <w:tr w:rsidR="00380BE7" w:rsidRPr="00256982" w14:paraId="04A0A863" w14:textId="77777777" w:rsidTr="009574E7">
        <w:tc>
          <w:tcPr>
            <w:tcW w:w="4404" w:type="dxa"/>
            <w:tcBorders>
              <w:top w:val="single" w:sz="4" w:space="0" w:color="365F91"/>
              <w:bottom w:val="single" w:sz="4" w:space="0" w:color="365F91"/>
            </w:tcBorders>
            <w:noWrap/>
            <w:hideMark/>
          </w:tcPr>
          <w:p w14:paraId="14BCA27E" w14:textId="77777777" w:rsidR="00380BE7" w:rsidRPr="00256982" w:rsidRDefault="00380BE7" w:rsidP="009574E7">
            <w:pPr>
              <w:pStyle w:val="TableText"/>
            </w:pPr>
            <w:r w:rsidRPr="00256982">
              <w:t>Uncertainty in biomass carbon stocks</w:t>
            </w:r>
          </w:p>
        </w:tc>
        <w:tc>
          <w:tcPr>
            <w:tcW w:w="1669" w:type="dxa"/>
            <w:tcBorders>
              <w:top w:val="single" w:sz="4" w:space="0" w:color="365F91"/>
              <w:bottom w:val="single" w:sz="4" w:space="0" w:color="365F91"/>
            </w:tcBorders>
            <w:noWrap/>
            <w:hideMark/>
          </w:tcPr>
          <w:p w14:paraId="23B283A2" w14:textId="77777777" w:rsidR="00380BE7" w:rsidRPr="00256982" w:rsidRDefault="00380BE7" w:rsidP="009574E7">
            <w:pPr>
              <w:pStyle w:val="TableText"/>
              <w:tabs>
                <w:tab w:val="decimal" w:pos="325"/>
              </w:tabs>
              <w:jc w:val="center"/>
            </w:pPr>
            <w:r w:rsidRPr="00256982">
              <w:t>±75.0</w:t>
            </w:r>
          </w:p>
        </w:tc>
        <w:tc>
          <w:tcPr>
            <w:tcW w:w="1865" w:type="dxa"/>
            <w:tcBorders>
              <w:top w:val="single" w:sz="4" w:space="0" w:color="365F91"/>
              <w:bottom w:val="single" w:sz="4" w:space="0" w:color="365F91"/>
            </w:tcBorders>
            <w:noWrap/>
            <w:hideMark/>
          </w:tcPr>
          <w:p w14:paraId="127098C0" w14:textId="77777777" w:rsidR="00380BE7" w:rsidRPr="00256982" w:rsidRDefault="00380BE7" w:rsidP="009574E7">
            <w:pPr>
              <w:pStyle w:val="TableText"/>
              <w:tabs>
                <w:tab w:val="decimal" w:pos="325"/>
              </w:tabs>
              <w:jc w:val="center"/>
            </w:pPr>
            <w:r w:rsidRPr="00256982">
              <w:t>±75.0</w:t>
            </w:r>
          </w:p>
        </w:tc>
      </w:tr>
      <w:tr w:rsidR="00380BE7" w:rsidRPr="00256982" w14:paraId="34F00F82" w14:textId="77777777" w:rsidTr="009574E7">
        <w:tc>
          <w:tcPr>
            <w:tcW w:w="4404" w:type="dxa"/>
            <w:tcBorders>
              <w:top w:val="single" w:sz="4" w:space="0" w:color="365F91"/>
              <w:bottom w:val="single" w:sz="4" w:space="0" w:color="365F91"/>
            </w:tcBorders>
            <w:noWrap/>
            <w:hideMark/>
          </w:tcPr>
          <w:p w14:paraId="22689F01" w14:textId="77777777" w:rsidR="00380BE7" w:rsidRPr="00256982" w:rsidRDefault="00380BE7" w:rsidP="009574E7">
            <w:pPr>
              <w:pStyle w:val="TableText"/>
            </w:pPr>
            <w:r w:rsidRPr="00256982">
              <w:t>Uncertainty in soil carbon stocks</w:t>
            </w:r>
          </w:p>
        </w:tc>
        <w:tc>
          <w:tcPr>
            <w:tcW w:w="1669" w:type="dxa"/>
            <w:tcBorders>
              <w:top w:val="single" w:sz="4" w:space="0" w:color="365F91"/>
              <w:bottom w:val="single" w:sz="4" w:space="0" w:color="365F91"/>
            </w:tcBorders>
            <w:noWrap/>
            <w:hideMark/>
          </w:tcPr>
          <w:p w14:paraId="22A8B651" w14:textId="77777777" w:rsidR="00380BE7" w:rsidRPr="00256982" w:rsidRDefault="00380BE7" w:rsidP="009574E7">
            <w:pPr>
              <w:pStyle w:val="TableText"/>
              <w:tabs>
                <w:tab w:val="decimal" w:pos="325"/>
              </w:tabs>
              <w:jc w:val="center"/>
            </w:pPr>
            <w:r w:rsidRPr="00256982">
              <w:t>±9.7</w:t>
            </w:r>
          </w:p>
        </w:tc>
        <w:tc>
          <w:tcPr>
            <w:tcW w:w="1865" w:type="dxa"/>
            <w:tcBorders>
              <w:top w:val="single" w:sz="4" w:space="0" w:color="365F91"/>
              <w:bottom w:val="single" w:sz="4" w:space="0" w:color="365F91"/>
            </w:tcBorders>
            <w:noWrap/>
            <w:hideMark/>
          </w:tcPr>
          <w:p w14:paraId="3D6709CF" w14:textId="77777777" w:rsidR="00380BE7" w:rsidRPr="00256982" w:rsidRDefault="00380BE7" w:rsidP="009574E7">
            <w:pPr>
              <w:pStyle w:val="TableText"/>
              <w:tabs>
                <w:tab w:val="decimal" w:pos="325"/>
              </w:tabs>
              <w:jc w:val="center"/>
            </w:pPr>
            <w:r w:rsidRPr="00256982">
              <w:t>±14.1</w:t>
            </w:r>
          </w:p>
        </w:tc>
      </w:tr>
      <w:tr w:rsidR="00380BE7" w:rsidRPr="00256982" w14:paraId="54FE1DA0" w14:textId="77777777" w:rsidTr="009574E7">
        <w:tc>
          <w:tcPr>
            <w:tcW w:w="4404" w:type="dxa"/>
            <w:tcBorders>
              <w:top w:val="single" w:sz="4" w:space="0" w:color="365F91"/>
              <w:bottom w:val="single" w:sz="4" w:space="0" w:color="365F91"/>
            </w:tcBorders>
            <w:noWrap/>
            <w:hideMark/>
          </w:tcPr>
          <w:p w14:paraId="788FC8BD" w14:textId="77777777" w:rsidR="00380BE7" w:rsidRPr="00256982" w:rsidRDefault="00380BE7" w:rsidP="009574E7">
            <w:pPr>
              <w:pStyle w:val="Tableboldblue"/>
            </w:pPr>
            <w:r w:rsidRPr="00256982">
              <w:t>Uncertainty introduced into net emissions for LULUCF</w:t>
            </w:r>
          </w:p>
        </w:tc>
        <w:tc>
          <w:tcPr>
            <w:tcW w:w="1669" w:type="dxa"/>
            <w:tcBorders>
              <w:top w:val="single" w:sz="4" w:space="0" w:color="365F91"/>
              <w:bottom w:val="single" w:sz="4" w:space="0" w:color="365F91"/>
            </w:tcBorders>
            <w:noWrap/>
            <w:hideMark/>
          </w:tcPr>
          <w:p w14:paraId="3F14E4AF" w14:textId="77777777" w:rsidR="00380BE7" w:rsidRPr="00256982" w:rsidRDefault="00380BE7" w:rsidP="009574E7">
            <w:pPr>
              <w:pStyle w:val="Tableboldblue"/>
              <w:tabs>
                <w:tab w:val="decimal" w:pos="325"/>
              </w:tabs>
              <w:jc w:val="center"/>
            </w:pPr>
            <w:r w:rsidRPr="00256982">
              <w:t>±1.0</w:t>
            </w:r>
          </w:p>
        </w:tc>
        <w:tc>
          <w:tcPr>
            <w:tcW w:w="1865" w:type="dxa"/>
            <w:tcBorders>
              <w:top w:val="single" w:sz="4" w:space="0" w:color="365F91"/>
              <w:bottom w:val="single" w:sz="4" w:space="0" w:color="365F91"/>
            </w:tcBorders>
            <w:noWrap/>
            <w:hideMark/>
          </w:tcPr>
          <w:p w14:paraId="1F95E851" w14:textId="77777777" w:rsidR="00380BE7" w:rsidRPr="00256982" w:rsidRDefault="00380BE7" w:rsidP="009574E7">
            <w:pPr>
              <w:pStyle w:val="Tableboldblue"/>
              <w:tabs>
                <w:tab w:val="decimal" w:pos="325"/>
              </w:tabs>
              <w:jc w:val="center"/>
            </w:pPr>
            <w:r w:rsidRPr="00256982">
              <w:t>±0.4</w:t>
            </w:r>
          </w:p>
        </w:tc>
      </w:tr>
    </w:tbl>
    <w:p w14:paraId="33C377CA" w14:textId="77777777" w:rsidR="00380BE7" w:rsidRPr="00256982" w:rsidRDefault="00380BE7" w:rsidP="00380BE7">
      <w:pPr>
        <w:pStyle w:val="Heading3"/>
        <w:spacing w:before="440"/>
      </w:pPr>
      <w:r w:rsidRPr="00256982">
        <w:t>6.5.4</w:t>
      </w:r>
      <w:r w:rsidRPr="00256982">
        <w:tab/>
        <w:t>Category-specific QA/QC and verification</w:t>
      </w:r>
      <w:bookmarkEnd w:id="1723"/>
      <w:bookmarkEnd w:id="1724"/>
      <w:bookmarkEnd w:id="1725"/>
      <w:bookmarkEnd w:id="1726"/>
      <w:bookmarkEnd w:id="1727"/>
    </w:p>
    <w:p w14:paraId="6CD7531A" w14:textId="77777777" w:rsidR="00380BE7" w:rsidRPr="00256982" w:rsidRDefault="00380BE7" w:rsidP="00380BE7">
      <w:pPr>
        <w:pStyle w:val="BodyText"/>
      </w:pPr>
      <w:r w:rsidRPr="00256982">
        <w:t>In the preparation of this inventory, the data for CO</w:t>
      </w:r>
      <w:r w:rsidRPr="00256982">
        <w:rPr>
          <w:vertAlign w:val="subscript"/>
        </w:rPr>
        <w:t>2</w:t>
      </w:r>
      <w:r w:rsidRPr="00256982">
        <w:t xml:space="preserve"> emissions from the conversion to </w:t>
      </w:r>
      <w:r w:rsidRPr="00256982">
        <w:rPr>
          <w:i/>
        </w:rPr>
        <w:t>Cropland</w:t>
      </w:r>
      <w:r w:rsidRPr="00256982">
        <w:t xml:space="preserve"> category underwent Tier 1 quality checks. </w:t>
      </w:r>
      <w:r w:rsidRPr="00256982">
        <w:rPr>
          <w:i/>
        </w:rPr>
        <w:t>Cropland remaining cropland</w:t>
      </w:r>
      <w:r w:rsidRPr="00256982">
        <w:t xml:space="preserve"> was a key category in 2017 (level assessment). </w:t>
      </w:r>
    </w:p>
    <w:p w14:paraId="1B9BFAAB" w14:textId="32575E27" w:rsidR="00380BE7" w:rsidRPr="00256982" w:rsidRDefault="00380BE7" w:rsidP="00380BE7">
      <w:pPr>
        <w:pStyle w:val="BodyText"/>
        <w:rPr>
          <w:spacing w:val="-2"/>
        </w:rPr>
      </w:pPr>
      <w:r w:rsidRPr="00256982">
        <w:rPr>
          <w:spacing w:val="-2"/>
        </w:rPr>
        <w:t>As part of verification of the New Zealand-specific above-ground biomass emission factor for perennial cropland, this factor has been compared with the IPCC default for temperate perennial cropland (table 5.1, IPCC, 2006a). The New Zealand value for above-ground biomass of 18.76 tonnes C ha</w:t>
      </w:r>
      <w:r w:rsidRPr="00256982">
        <w:rPr>
          <w:spacing w:val="-2"/>
          <w:vertAlign w:val="superscript"/>
        </w:rPr>
        <w:t xml:space="preserve">–1 </w:t>
      </w:r>
      <w:r w:rsidRPr="00256982">
        <w:rPr>
          <w:spacing w:val="-2"/>
        </w:rPr>
        <w:t>is much lower than the default value of 63 tonnes C ha</w:t>
      </w:r>
      <w:r w:rsidRPr="00256982">
        <w:rPr>
          <w:spacing w:val="-2"/>
          <w:vertAlign w:val="superscript"/>
        </w:rPr>
        <w:t>–1</w:t>
      </w:r>
      <w:r w:rsidRPr="00256982">
        <w:rPr>
          <w:spacing w:val="-2"/>
        </w:rPr>
        <w:t xml:space="preserve"> provided in the 2006 IPCC Guidelines (IPCC, 2006a). Further research into the differences between the values has shown the IPCC default value is based on just four studies of agroforestry systems where crops are grown in rotation with trees, and none of these studies is New Zealand specific. While the country-specific emission factor used is based on a New Zealand study, it takes into account that New Zealand’s main perennial crops are not grown in rotation with trees (i</w:t>
      </w:r>
      <w:r w:rsidR="00286FF5" w:rsidRPr="00256982">
        <w:rPr>
          <w:spacing w:val="-2"/>
        </w:rPr>
        <w:t>.</w:t>
      </w:r>
      <w:r w:rsidRPr="00256982">
        <w:rPr>
          <w:spacing w:val="-2"/>
        </w:rPr>
        <w:t>e</w:t>
      </w:r>
      <w:r w:rsidR="00286FF5" w:rsidRPr="00256982">
        <w:rPr>
          <w:spacing w:val="-2"/>
        </w:rPr>
        <w:t>.</w:t>
      </w:r>
      <w:r w:rsidRPr="00256982">
        <w:rPr>
          <w:spacing w:val="-2"/>
        </w:rPr>
        <w:t xml:space="preserve">, are not part of an agroforestry system) and that a proportion of New Zealand’s main perennial crops is vine fruit </w:t>
      </w:r>
      <w:r w:rsidRPr="00256982">
        <w:rPr>
          <w:spacing w:val="-2"/>
        </w:rPr>
        <w:lastRenderedPageBreak/>
        <w:t>(i</w:t>
      </w:r>
      <w:r w:rsidR="00286FF5" w:rsidRPr="00256982">
        <w:rPr>
          <w:spacing w:val="-2"/>
        </w:rPr>
        <w:t>.</w:t>
      </w:r>
      <w:r w:rsidRPr="00256982">
        <w:rPr>
          <w:spacing w:val="-2"/>
        </w:rPr>
        <w:t>e</w:t>
      </w:r>
      <w:r w:rsidR="00286FF5" w:rsidRPr="00256982">
        <w:rPr>
          <w:spacing w:val="-2"/>
        </w:rPr>
        <w:t>.</w:t>
      </w:r>
      <w:r w:rsidRPr="00256982">
        <w:rPr>
          <w:spacing w:val="-2"/>
        </w:rPr>
        <w:t xml:space="preserve">, kiwifruit and grapes). This means it has lower carbon content per area in living biomass at maturity than the cropland types included in the study on which the IPCC default value is based. </w:t>
      </w:r>
    </w:p>
    <w:p w14:paraId="49EC2D17" w14:textId="77777777" w:rsidR="00380BE7" w:rsidRPr="00256982" w:rsidRDefault="00380BE7" w:rsidP="00380BE7">
      <w:pPr>
        <w:pStyle w:val="Heading3"/>
      </w:pPr>
      <w:bookmarkStart w:id="1728" w:name="_Toc139253967"/>
      <w:bookmarkStart w:id="1729" w:name="_Toc255466390"/>
      <w:bookmarkStart w:id="1730" w:name="_Toc261513197"/>
      <w:bookmarkStart w:id="1731" w:name="_Toc261513810"/>
      <w:bookmarkStart w:id="1732" w:name="_Toc280630279"/>
      <w:r w:rsidRPr="00256982">
        <w:t>6.5.5</w:t>
      </w:r>
      <w:r w:rsidRPr="00256982">
        <w:tab/>
        <w:t>Category-specific recalculations</w:t>
      </w:r>
      <w:bookmarkEnd w:id="1728"/>
      <w:bookmarkEnd w:id="1729"/>
      <w:bookmarkEnd w:id="1730"/>
      <w:bookmarkEnd w:id="1731"/>
      <w:bookmarkEnd w:id="1732"/>
    </w:p>
    <w:p w14:paraId="048AA353" w14:textId="77777777" w:rsidR="00380BE7" w:rsidRPr="00256982" w:rsidRDefault="00380BE7" w:rsidP="00380BE7">
      <w:pPr>
        <w:pStyle w:val="BodyText"/>
      </w:pPr>
      <w:r w:rsidRPr="00256982">
        <w:rPr>
          <w:spacing w:val="-2"/>
        </w:rPr>
        <w:t>The impact of recalculations on net CO</w:t>
      </w:r>
      <w:r w:rsidRPr="00256982">
        <w:rPr>
          <w:spacing w:val="-2"/>
          <w:vertAlign w:val="subscript"/>
        </w:rPr>
        <w:t>2</w:t>
      </w:r>
      <w:r w:rsidRPr="00256982">
        <w:rPr>
          <w:spacing w:val="-2"/>
        </w:rPr>
        <w:t xml:space="preserve">-e emission estimates for the </w:t>
      </w:r>
      <w:r w:rsidRPr="00256982">
        <w:rPr>
          <w:i/>
          <w:spacing w:val="-2"/>
        </w:rPr>
        <w:t>Cropland</w:t>
      </w:r>
      <w:r w:rsidRPr="00256982">
        <w:rPr>
          <w:spacing w:val="-2"/>
        </w:rPr>
        <w:t xml:space="preserve"> category is shown in table 6.5.7. Recalculations of the entire time series were carried out for this category as a result of updated activity data on the land area of </w:t>
      </w:r>
      <w:r w:rsidRPr="00256982">
        <w:rPr>
          <w:i/>
          <w:spacing w:val="-2"/>
        </w:rPr>
        <w:t>Cropland</w:t>
      </w:r>
      <w:r w:rsidRPr="00256982">
        <w:rPr>
          <w:spacing w:val="-2"/>
        </w:rPr>
        <w:t xml:space="preserve"> following the creation of a new land use map </w:t>
      </w:r>
      <w:r w:rsidRPr="00256982">
        <w:t>as described in section 6.2.</w:t>
      </w:r>
    </w:p>
    <w:p w14:paraId="55A86411" w14:textId="77777777" w:rsidR="00380BE7" w:rsidRPr="00256982" w:rsidRDefault="00380BE7" w:rsidP="00380BE7">
      <w:pPr>
        <w:pStyle w:val="Table"/>
      </w:pPr>
      <w:bookmarkStart w:id="1733" w:name="_Toc280630464"/>
      <w:bookmarkStart w:id="1734" w:name="_Toc310423420"/>
      <w:bookmarkStart w:id="1735" w:name="_Toc318362713"/>
      <w:bookmarkStart w:id="1736" w:name="_Toc342470775"/>
      <w:bookmarkStart w:id="1737" w:name="_Toc352505015"/>
      <w:bookmarkStart w:id="1738" w:name="_Toc378853306"/>
      <w:bookmarkStart w:id="1739" w:name="_Toc391024104"/>
      <w:bookmarkStart w:id="1740" w:name="_Toc410028847"/>
      <w:bookmarkStart w:id="1741" w:name="_Toc414531475"/>
      <w:bookmarkStart w:id="1742" w:name="_Toc443645388"/>
      <w:bookmarkStart w:id="1743" w:name="_Toc474914607"/>
      <w:bookmarkStart w:id="1744" w:name="_Toc481751571"/>
      <w:bookmarkStart w:id="1745" w:name="_Toc522010628"/>
      <w:bookmarkStart w:id="1746" w:name="_Toc5269533"/>
      <w:r w:rsidRPr="00256982">
        <w:t>Table 6.5.7</w:t>
      </w:r>
      <w:r w:rsidRPr="00256982">
        <w:rPr>
          <w:vertAlign w:val="superscript"/>
        </w:rPr>
        <w:tab/>
      </w:r>
      <w:r w:rsidRPr="00256982">
        <w:t>Recalculations of New Zealand’s net emissions from the Cropland category in 1990 and</w:t>
      </w:r>
      <w:bookmarkEnd w:id="1733"/>
      <w:bookmarkEnd w:id="1734"/>
      <w:bookmarkEnd w:id="1735"/>
      <w:bookmarkEnd w:id="1736"/>
      <w:bookmarkEnd w:id="1737"/>
      <w:bookmarkEnd w:id="1738"/>
      <w:bookmarkEnd w:id="1739"/>
      <w:r w:rsidRPr="00256982">
        <w:t> 201</w:t>
      </w:r>
      <w:bookmarkEnd w:id="1740"/>
      <w:bookmarkEnd w:id="1741"/>
      <w:bookmarkEnd w:id="1742"/>
      <w:r w:rsidRPr="00256982">
        <w:t>6</w:t>
      </w:r>
      <w:bookmarkEnd w:id="1743"/>
      <w:bookmarkEnd w:id="1744"/>
      <w:bookmarkEnd w:id="1745"/>
      <w:bookmarkEnd w:id="1746"/>
    </w:p>
    <w:tbl>
      <w:tblPr>
        <w:tblW w:w="8505" w:type="dxa"/>
        <w:tblInd w:w="108" w:type="dxa"/>
        <w:tblLayout w:type="fixed"/>
        <w:tblLook w:val="04A0" w:firstRow="1" w:lastRow="0" w:firstColumn="1" w:lastColumn="0" w:noHBand="0" w:noVBand="1"/>
      </w:tblPr>
      <w:tblGrid>
        <w:gridCol w:w="1109"/>
        <w:gridCol w:w="1849"/>
        <w:gridCol w:w="1849"/>
        <w:gridCol w:w="1849"/>
        <w:gridCol w:w="1849"/>
      </w:tblGrid>
      <w:tr w:rsidR="00380BE7" w:rsidRPr="00256982" w14:paraId="4B0713C8" w14:textId="77777777" w:rsidTr="009574E7">
        <w:tc>
          <w:tcPr>
            <w:tcW w:w="1109" w:type="dxa"/>
            <w:vMerge w:val="restart"/>
            <w:tcBorders>
              <w:top w:val="single" w:sz="4" w:space="0" w:color="365F91"/>
            </w:tcBorders>
            <w:shd w:val="clear" w:color="auto" w:fill="365F91"/>
            <w:vAlign w:val="bottom"/>
          </w:tcPr>
          <w:p w14:paraId="3813D3DE" w14:textId="77777777" w:rsidR="00380BE7" w:rsidRPr="00256982" w:rsidRDefault="00380BE7" w:rsidP="009574E7">
            <w:pPr>
              <w:pStyle w:val="TableTextBold"/>
              <w:rPr>
                <w:noProof w:val="0"/>
                <w:color w:val="FFFFFF"/>
              </w:rPr>
            </w:pPr>
            <w:r w:rsidRPr="00256982">
              <w:rPr>
                <w:noProof w:val="0"/>
                <w:color w:val="FFFFFF"/>
              </w:rPr>
              <w:t>Year</w:t>
            </w:r>
          </w:p>
        </w:tc>
        <w:tc>
          <w:tcPr>
            <w:tcW w:w="3698" w:type="dxa"/>
            <w:gridSpan w:val="2"/>
            <w:tcBorders>
              <w:top w:val="single" w:sz="4" w:space="0" w:color="365F91"/>
            </w:tcBorders>
            <w:shd w:val="clear" w:color="auto" w:fill="365F91"/>
            <w:noWrap/>
            <w:vAlign w:val="bottom"/>
          </w:tcPr>
          <w:p w14:paraId="6BB3B081" w14:textId="77777777" w:rsidR="00380BE7" w:rsidRPr="00256982" w:rsidRDefault="00380BE7" w:rsidP="009574E7">
            <w:pPr>
              <w:pStyle w:val="TableTextBold"/>
              <w:spacing w:after="0"/>
              <w:jc w:val="center"/>
              <w:rPr>
                <w:noProof w:val="0"/>
                <w:color w:val="FFFFFF"/>
              </w:rPr>
            </w:pPr>
            <w:r w:rsidRPr="00256982">
              <w:rPr>
                <w:noProof w:val="0"/>
                <w:color w:val="FFFFFF"/>
              </w:rPr>
              <w:t>Net emissions (kt CO</w:t>
            </w:r>
            <w:r w:rsidRPr="00256982">
              <w:rPr>
                <w:noProof w:val="0"/>
                <w:color w:val="FFFFFF"/>
                <w:vertAlign w:val="subscript"/>
              </w:rPr>
              <w:t>2</w:t>
            </w:r>
            <w:r w:rsidRPr="00256982">
              <w:rPr>
                <w:noProof w:val="0"/>
                <w:color w:val="FFFFFF"/>
              </w:rPr>
              <w:t>-e)</w:t>
            </w:r>
          </w:p>
        </w:tc>
        <w:tc>
          <w:tcPr>
            <w:tcW w:w="3698" w:type="dxa"/>
            <w:gridSpan w:val="2"/>
            <w:tcBorders>
              <w:top w:val="single" w:sz="4" w:space="0" w:color="365F91"/>
            </w:tcBorders>
            <w:shd w:val="clear" w:color="auto" w:fill="365F91"/>
            <w:vAlign w:val="bottom"/>
          </w:tcPr>
          <w:p w14:paraId="6787424B" w14:textId="77777777" w:rsidR="00380BE7" w:rsidRPr="00256982" w:rsidRDefault="00380BE7" w:rsidP="009574E7">
            <w:pPr>
              <w:pStyle w:val="TableTextBold"/>
              <w:spacing w:after="0"/>
              <w:jc w:val="center"/>
              <w:rPr>
                <w:noProof w:val="0"/>
                <w:color w:val="FFFFFF"/>
              </w:rPr>
            </w:pPr>
            <w:r w:rsidRPr="00256982">
              <w:rPr>
                <w:noProof w:val="0"/>
                <w:color w:val="FFFFFF"/>
              </w:rPr>
              <w:t>Change from the 2018 submission</w:t>
            </w:r>
          </w:p>
        </w:tc>
      </w:tr>
      <w:tr w:rsidR="00380BE7" w:rsidRPr="00256982" w14:paraId="74BE98F4" w14:textId="77777777" w:rsidTr="009574E7">
        <w:tc>
          <w:tcPr>
            <w:tcW w:w="1109" w:type="dxa"/>
            <w:vMerge/>
            <w:tcBorders>
              <w:bottom w:val="single" w:sz="4" w:space="0" w:color="365F91"/>
            </w:tcBorders>
            <w:shd w:val="clear" w:color="auto" w:fill="365F91"/>
          </w:tcPr>
          <w:p w14:paraId="698EC602" w14:textId="77777777" w:rsidR="00380BE7" w:rsidRPr="00256982" w:rsidRDefault="00380BE7" w:rsidP="009574E7">
            <w:pPr>
              <w:pStyle w:val="TableText"/>
              <w:rPr>
                <w:color w:val="FFFFFF"/>
              </w:rPr>
            </w:pPr>
          </w:p>
        </w:tc>
        <w:tc>
          <w:tcPr>
            <w:tcW w:w="1849" w:type="dxa"/>
            <w:tcBorders>
              <w:bottom w:val="single" w:sz="4" w:space="0" w:color="365F91"/>
            </w:tcBorders>
            <w:shd w:val="clear" w:color="auto" w:fill="365F91"/>
          </w:tcPr>
          <w:p w14:paraId="254F1937" w14:textId="77777777" w:rsidR="00380BE7" w:rsidRPr="00256982" w:rsidRDefault="00380BE7" w:rsidP="009574E7">
            <w:pPr>
              <w:pStyle w:val="TableText"/>
              <w:jc w:val="center"/>
              <w:rPr>
                <w:b/>
                <w:color w:val="FFFFFF"/>
              </w:rPr>
            </w:pPr>
            <w:r w:rsidRPr="00256982">
              <w:rPr>
                <w:b/>
                <w:color w:val="FFFFFF"/>
              </w:rPr>
              <w:t>2018 submission</w:t>
            </w:r>
          </w:p>
        </w:tc>
        <w:tc>
          <w:tcPr>
            <w:tcW w:w="1849" w:type="dxa"/>
            <w:tcBorders>
              <w:bottom w:val="single" w:sz="4" w:space="0" w:color="365F91"/>
            </w:tcBorders>
            <w:shd w:val="clear" w:color="auto" w:fill="365F91"/>
          </w:tcPr>
          <w:p w14:paraId="66870854" w14:textId="77777777" w:rsidR="00380BE7" w:rsidRPr="00256982" w:rsidRDefault="00380BE7" w:rsidP="009574E7">
            <w:pPr>
              <w:pStyle w:val="TableText"/>
              <w:jc w:val="center"/>
              <w:rPr>
                <w:b/>
                <w:color w:val="FFFFFF"/>
              </w:rPr>
            </w:pPr>
            <w:r w:rsidRPr="00256982">
              <w:rPr>
                <w:b/>
                <w:color w:val="FFFFFF"/>
              </w:rPr>
              <w:t>2019 submission</w:t>
            </w:r>
          </w:p>
        </w:tc>
        <w:tc>
          <w:tcPr>
            <w:tcW w:w="1849" w:type="dxa"/>
            <w:tcBorders>
              <w:bottom w:val="single" w:sz="4" w:space="0" w:color="365F91"/>
            </w:tcBorders>
            <w:shd w:val="clear" w:color="auto" w:fill="365F91"/>
          </w:tcPr>
          <w:p w14:paraId="655764F1" w14:textId="77777777" w:rsidR="00380BE7" w:rsidRPr="00256982" w:rsidRDefault="00380BE7" w:rsidP="009574E7">
            <w:pPr>
              <w:pStyle w:val="TableText"/>
              <w:jc w:val="center"/>
              <w:rPr>
                <w:b/>
                <w:color w:val="FFFFFF"/>
              </w:rPr>
            </w:pPr>
            <w:r w:rsidRPr="00256982">
              <w:rPr>
                <w:b/>
                <w:color w:val="FFFFFF"/>
              </w:rPr>
              <w:t>(kt CO</w:t>
            </w:r>
            <w:r w:rsidRPr="00256982">
              <w:rPr>
                <w:b/>
                <w:color w:val="FFFFFF"/>
                <w:vertAlign w:val="subscript"/>
              </w:rPr>
              <w:t>2</w:t>
            </w:r>
            <w:r w:rsidRPr="00256982">
              <w:rPr>
                <w:b/>
                <w:color w:val="FFFFFF"/>
              </w:rPr>
              <w:t>-e)</w:t>
            </w:r>
          </w:p>
        </w:tc>
        <w:tc>
          <w:tcPr>
            <w:tcW w:w="1849" w:type="dxa"/>
            <w:tcBorders>
              <w:bottom w:val="single" w:sz="4" w:space="0" w:color="365F91"/>
            </w:tcBorders>
            <w:shd w:val="clear" w:color="auto" w:fill="365F91"/>
          </w:tcPr>
          <w:p w14:paraId="64C85700" w14:textId="77777777" w:rsidR="00380BE7" w:rsidRPr="00256982" w:rsidRDefault="00380BE7" w:rsidP="009574E7">
            <w:pPr>
              <w:pStyle w:val="TableText"/>
              <w:jc w:val="center"/>
              <w:rPr>
                <w:b/>
                <w:color w:val="FFFFFF"/>
              </w:rPr>
            </w:pPr>
            <w:r w:rsidRPr="00256982">
              <w:rPr>
                <w:b/>
                <w:color w:val="FFFFFF"/>
              </w:rPr>
              <w:t>(%)</w:t>
            </w:r>
          </w:p>
        </w:tc>
      </w:tr>
      <w:tr w:rsidR="00380BE7" w:rsidRPr="00256982" w14:paraId="161FF954" w14:textId="77777777" w:rsidTr="009574E7">
        <w:tc>
          <w:tcPr>
            <w:tcW w:w="1109" w:type="dxa"/>
            <w:tcBorders>
              <w:top w:val="single" w:sz="4" w:space="0" w:color="365F91"/>
              <w:bottom w:val="single" w:sz="4" w:space="0" w:color="365F91"/>
            </w:tcBorders>
          </w:tcPr>
          <w:p w14:paraId="4EFEAF71" w14:textId="77777777" w:rsidR="00380BE7" w:rsidRPr="00256982" w:rsidRDefault="00380BE7" w:rsidP="009574E7">
            <w:pPr>
              <w:pStyle w:val="TableText"/>
            </w:pPr>
            <w:r w:rsidRPr="00256982">
              <w:t xml:space="preserve">1990 </w:t>
            </w:r>
          </w:p>
        </w:tc>
        <w:tc>
          <w:tcPr>
            <w:tcW w:w="1849" w:type="dxa"/>
            <w:tcBorders>
              <w:top w:val="single" w:sz="4" w:space="0" w:color="365F91"/>
              <w:bottom w:val="single" w:sz="4" w:space="0" w:color="365F91"/>
            </w:tcBorders>
          </w:tcPr>
          <w:p w14:paraId="1B9D63FC" w14:textId="77777777" w:rsidR="00380BE7" w:rsidRPr="00256982" w:rsidRDefault="00380BE7" w:rsidP="009574E7">
            <w:pPr>
              <w:pStyle w:val="TableText"/>
              <w:jc w:val="center"/>
            </w:pPr>
            <w:r w:rsidRPr="00256982">
              <w:t xml:space="preserve">476.8 </w:t>
            </w:r>
          </w:p>
        </w:tc>
        <w:tc>
          <w:tcPr>
            <w:tcW w:w="1849" w:type="dxa"/>
            <w:tcBorders>
              <w:top w:val="single" w:sz="4" w:space="0" w:color="365F91"/>
              <w:bottom w:val="single" w:sz="4" w:space="0" w:color="365F91"/>
            </w:tcBorders>
          </w:tcPr>
          <w:p w14:paraId="00117D89" w14:textId="77777777" w:rsidR="00380BE7" w:rsidRPr="00256982" w:rsidRDefault="00380BE7" w:rsidP="009574E7">
            <w:pPr>
              <w:pStyle w:val="TableText"/>
              <w:jc w:val="center"/>
            </w:pPr>
            <w:r w:rsidRPr="00256982">
              <w:t xml:space="preserve">476.9 </w:t>
            </w:r>
          </w:p>
        </w:tc>
        <w:tc>
          <w:tcPr>
            <w:tcW w:w="1849" w:type="dxa"/>
            <w:tcBorders>
              <w:top w:val="single" w:sz="4" w:space="0" w:color="365F91"/>
              <w:bottom w:val="single" w:sz="4" w:space="0" w:color="365F91"/>
            </w:tcBorders>
          </w:tcPr>
          <w:p w14:paraId="3A09B315" w14:textId="77777777" w:rsidR="00380BE7" w:rsidRPr="00256982" w:rsidRDefault="00380BE7" w:rsidP="009574E7">
            <w:pPr>
              <w:pStyle w:val="TableText"/>
              <w:jc w:val="center"/>
            </w:pPr>
            <w:r w:rsidRPr="00256982">
              <w:t xml:space="preserve">0.1 </w:t>
            </w:r>
          </w:p>
        </w:tc>
        <w:tc>
          <w:tcPr>
            <w:tcW w:w="1849" w:type="dxa"/>
            <w:tcBorders>
              <w:top w:val="single" w:sz="4" w:space="0" w:color="365F91"/>
              <w:bottom w:val="single" w:sz="4" w:space="0" w:color="365F91"/>
            </w:tcBorders>
          </w:tcPr>
          <w:p w14:paraId="2127FCF5" w14:textId="77777777" w:rsidR="00380BE7" w:rsidRPr="00256982" w:rsidRDefault="00380BE7" w:rsidP="009574E7">
            <w:pPr>
              <w:pStyle w:val="TableText"/>
              <w:jc w:val="center"/>
            </w:pPr>
            <w:r w:rsidRPr="00256982">
              <w:t>+0.02</w:t>
            </w:r>
          </w:p>
        </w:tc>
      </w:tr>
      <w:tr w:rsidR="00380BE7" w:rsidRPr="00256982" w14:paraId="00BE63EA" w14:textId="77777777" w:rsidTr="009574E7">
        <w:tc>
          <w:tcPr>
            <w:tcW w:w="1109" w:type="dxa"/>
            <w:tcBorders>
              <w:top w:val="single" w:sz="4" w:space="0" w:color="365F91"/>
              <w:bottom w:val="single" w:sz="4" w:space="0" w:color="365F91"/>
            </w:tcBorders>
          </w:tcPr>
          <w:p w14:paraId="63ACD970" w14:textId="77777777" w:rsidR="00380BE7" w:rsidRPr="00256982" w:rsidRDefault="00380BE7" w:rsidP="009574E7">
            <w:pPr>
              <w:pStyle w:val="TableText"/>
            </w:pPr>
            <w:r w:rsidRPr="00256982">
              <w:t>2016</w:t>
            </w:r>
          </w:p>
        </w:tc>
        <w:tc>
          <w:tcPr>
            <w:tcW w:w="1849" w:type="dxa"/>
            <w:tcBorders>
              <w:top w:val="single" w:sz="4" w:space="0" w:color="365F91"/>
              <w:bottom w:val="single" w:sz="4" w:space="0" w:color="365F91"/>
            </w:tcBorders>
          </w:tcPr>
          <w:p w14:paraId="791E9A4A" w14:textId="77777777" w:rsidR="00380BE7" w:rsidRPr="00256982" w:rsidRDefault="00380BE7" w:rsidP="009574E7">
            <w:pPr>
              <w:pStyle w:val="TableText"/>
              <w:jc w:val="center"/>
            </w:pPr>
            <w:r w:rsidRPr="00256982">
              <w:t xml:space="preserve">418.9 </w:t>
            </w:r>
          </w:p>
        </w:tc>
        <w:tc>
          <w:tcPr>
            <w:tcW w:w="1849" w:type="dxa"/>
            <w:tcBorders>
              <w:top w:val="single" w:sz="4" w:space="0" w:color="365F91"/>
              <w:bottom w:val="single" w:sz="4" w:space="0" w:color="365F91"/>
            </w:tcBorders>
          </w:tcPr>
          <w:p w14:paraId="26120BB6" w14:textId="77777777" w:rsidR="00380BE7" w:rsidRPr="00256982" w:rsidRDefault="00380BE7" w:rsidP="009574E7">
            <w:pPr>
              <w:pStyle w:val="TableText"/>
              <w:jc w:val="center"/>
            </w:pPr>
            <w:r w:rsidRPr="00256982">
              <w:t xml:space="preserve">415.5 </w:t>
            </w:r>
          </w:p>
        </w:tc>
        <w:tc>
          <w:tcPr>
            <w:tcW w:w="1849" w:type="dxa"/>
            <w:tcBorders>
              <w:top w:val="single" w:sz="4" w:space="0" w:color="365F91"/>
              <w:bottom w:val="single" w:sz="4" w:space="0" w:color="365F91"/>
            </w:tcBorders>
          </w:tcPr>
          <w:p w14:paraId="1D57FE4A" w14:textId="77777777" w:rsidR="00380BE7" w:rsidRPr="00256982" w:rsidRDefault="00380BE7" w:rsidP="009574E7">
            <w:pPr>
              <w:pStyle w:val="TableText"/>
              <w:jc w:val="center"/>
            </w:pPr>
            <w:r w:rsidRPr="00256982">
              <w:rPr>
                <w:rFonts w:cs="Arial"/>
                <w:color w:val="000000"/>
                <w:szCs w:val="16"/>
              </w:rPr>
              <w:t>–</w:t>
            </w:r>
            <w:r w:rsidRPr="00256982">
              <w:t xml:space="preserve">3.5 </w:t>
            </w:r>
          </w:p>
        </w:tc>
        <w:tc>
          <w:tcPr>
            <w:tcW w:w="1849" w:type="dxa"/>
            <w:tcBorders>
              <w:top w:val="single" w:sz="4" w:space="0" w:color="365F91"/>
              <w:bottom w:val="single" w:sz="4" w:space="0" w:color="365F91"/>
            </w:tcBorders>
          </w:tcPr>
          <w:p w14:paraId="53C32710" w14:textId="77777777" w:rsidR="00380BE7" w:rsidRPr="00256982" w:rsidRDefault="00380BE7" w:rsidP="009574E7">
            <w:pPr>
              <w:pStyle w:val="TableText"/>
              <w:jc w:val="center"/>
            </w:pPr>
            <w:r w:rsidRPr="00256982">
              <w:rPr>
                <w:rFonts w:cs="Arial"/>
                <w:color w:val="000000"/>
                <w:szCs w:val="16"/>
              </w:rPr>
              <w:t>–</w:t>
            </w:r>
            <w:r w:rsidRPr="00256982">
              <w:t>0.8</w:t>
            </w:r>
          </w:p>
        </w:tc>
      </w:tr>
    </w:tbl>
    <w:p w14:paraId="230BA5FB" w14:textId="77777777" w:rsidR="00380BE7" w:rsidRPr="00256982" w:rsidRDefault="00380BE7" w:rsidP="00380BE7">
      <w:pPr>
        <w:pStyle w:val="Heading3"/>
        <w:spacing w:before="480"/>
      </w:pPr>
      <w:bookmarkStart w:id="1747" w:name="_Toc139253968"/>
      <w:bookmarkStart w:id="1748" w:name="_Toc255466391"/>
      <w:bookmarkStart w:id="1749" w:name="_Toc261513198"/>
      <w:bookmarkStart w:id="1750" w:name="_Toc261513811"/>
      <w:bookmarkStart w:id="1751" w:name="_Toc280630283"/>
      <w:r w:rsidRPr="00256982">
        <w:t>6.5.6</w:t>
      </w:r>
      <w:r w:rsidRPr="00256982">
        <w:tab/>
        <w:t>Category-specific planned improvements</w:t>
      </w:r>
      <w:bookmarkEnd w:id="1747"/>
      <w:bookmarkEnd w:id="1748"/>
      <w:bookmarkEnd w:id="1749"/>
      <w:bookmarkEnd w:id="1750"/>
      <w:bookmarkEnd w:id="1751"/>
    </w:p>
    <w:p w14:paraId="10EB5AD7" w14:textId="77777777" w:rsidR="00380BE7" w:rsidRPr="00256982" w:rsidRDefault="00380BE7" w:rsidP="00380BE7">
      <w:pPr>
        <w:pStyle w:val="BodyText"/>
      </w:pPr>
      <w:r w:rsidRPr="00256982">
        <w:t xml:space="preserve">No improvements are planned for the </w:t>
      </w:r>
      <w:r w:rsidRPr="00256982">
        <w:rPr>
          <w:i/>
        </w:rPr>
        <w:t xml:space="preserve">Cropland </w:t>
      </w:r>
      <w:r w:rsidRPr="00256982">
        <w:t xml:space="preserve">category for the 2020 submission. </w:t>
      </w:r>
    </w:p>
    <w:p w14:paraId="3008A21E" w14:textId="77777777" w:rsidR="00380BE7" w:rsidRPr="00256982" w:rsidRDefault="00380BE7" w:rsidP="00380BE7">
      <w:pPr>
        <w:pStyle w:val="Heading2"/>
        <w:spacing w:before="280"/>
      </w:pPr>
      <w:bookmarkStart w:id="1752" w:name="_Toc69611750"/>
      <w:bookmarkStart w:id="1753" w:name="_Toc69612706"/>
      <w:bookmarkStart w:id="1754" w:name="_Toc69612905"/>
      <w:bookmarkStart w:id="1755" w:name="_Toc69613165"/>
      <w:bookmarkStart w:id="1756" w:name="_Toc69633329"/>
      <w:bookmarkStart w:id="1757" w:name="_Toc69717494"/>
      <w:bookmarkStart w:id="1758" w:name="_Toc69802976"/>
      <w:bookmarkStart w:id="1759" w:name="_Toc69815113"/>
      <w:bookmarkStart w:id="1760" w:name="_Toc70492406"/>
      <w:bookmarkStart w:id="1761" w:name="_Toc101310612"/>
      <w:bookmarkStart w:id="1762" w:name="_Toc101318472"/>
      <w:bookmarkStart w:id="1763" w:name="_Toc101318577"/>
      <w:bookmarkStart w:id="1764" w:name="_Toc101318761"/>
      <w:bookmarkStart w:id="1765" w:name="_Toc101334037"/>
      <w:bookmarkStart w:id="1766" w:name="_Toc134847215"/>
      <w:bookmarkStart w:id="1767" w:name="_Toc139253969"/>
      <w:bookmarkStart w:id="1768" w:name="_Toc144710423"/>
      <w:bookmarkStart w:id="1769" w:name="_Toc165890377"/>
      <w:bookmarkStart w:id="1770" w:name="_Toc195322671"/>
      <w:bookmarkStart w:id="1771" w:name="_Toc255466392"/>
      <w:bookmarkStart w:id="1772" w:name="_Toc261513199"/>
      <w:bookmarkStart w:id="1773" w:name="_Toc261513812"/>
      <w:bookmarkStart w:id="1774" w:name="_Toc280630284"/>
      <w:bookmarkStart w:id="1775" w:name="_Toc310423454"/>
      <w:bookmarkStart w:id="1776" w:name="_Toc342470720"/>
      <w:bookmarkStart w:id="1777" w:name="_Toc352504872"/>
      <w:bookmarkStart w:id="1778" w:name="_Toc391024702"/>
      <w:bookmarkStart w:id="1779" w:name="_Toc414531319"/>
      <w:bookmarkStart w:id="1780" w:name="_Toc474335461"/>
      <w:bookmarkStart w:id="1781" w:name="_Toc481751401"/>
      <w:bookmarkStart w:id="1782" w:name="_Toc522013953"/>
      <w:bookmarkStart w:id="1783" w:name="_Toc5269378"/>
      <w:bookmarkEnd w:id="1677"/>
      <w:bookmarkEnd w:id="1678"/>
      <w:bookmarkEnd w:id="1679"/>
      <w:bookmarkEnd w:id="1680"/>
      <w:r w:rsidRPr="00256982">
        <w:t>6.6</w:t>
      </w:r>
      <w:r w:rsidRPr="00256982">
        <w:tab/>
        <w:t>Grassland (CRF 4C)</w:t>
      </w:r>
      <w:bookmarkEnd w:id="1752"/>
      <w:bookmarkEnd w:id="1753"/>
      <w:bookmarkEnd w:id="1754"/>
      <w:bookmarkEnd w:id="1755"/>
      <w:bookmarkEnd w:id="1756"/>
      <w:bookmarkEnd w:id="1757"/>
      <w:bookmarkEnd w:id="1758"/>
      <w:bookmarkEnd w:id="1759"/>
      <w:bookmarkEnd w:id="1760"/>
      <w:bookmarkEnd w:id="1761"/>
      <w:bookmarkEnd w:id="1762"/>
      <w:bookmarkEnd w:id="1763"/>
      <w:bookmarkEnd w:id="1764"/>
      <w:bookmarkEnd w:id="1765"/>
      <w:bookmarkEnd w:id="1766"/>
      <w:bookmarkEnd w:id="1767"/>
      <w:bookmarkEnd w:id="1768"/>
      <w:bookmarkEnd w:id="1769"/>
      <w:bookmarkEnd w:id="1770"/>
      <w:bookmarkEnd w:id="1771"/>
      <w:bookmarkEnd w:id="1772"/>
      <w:bookmarkEnd w:id="1773"/>
      <w:bookmarkEnd w:id="1774"/>
      <w:bookmarkEnd w:id="1775"/>
      <w:bookmarkEnd w:id="1776"/>
      <w:bookmarkEnd w:id="1777"/>
      <w:bookmarkEnd w:id="1778"/>
      <w:bookmarkEnd w:id="1779"/>
      <w:bookmarkEnd w:id="1780"/>
      <w:bookmarkEnd w:id="1781"/>
      <w:bookmarkEnd w:id="1782"/>
      <w:bookmarkEnd w:id="1783"/>
    </w:p>
    <w:p w14:paraId="564016FA" w14:textId="77777777" w:rsidR="00380BE7" w:rsidRPr="00256982" w:rsidRDefault="00380BE7" w:rsidP="00380BE7">
      <w:pPr>
        <w:pStyle w:val="Heading3"/>
        <w:spacing w:before="160"/>
      </w:pPr>
      <w:bookmarkStart w:id="1784" w:name="_Toc139253970"/>
      <w:bookmarkStart w:id="1785" w:name="_Toc255466393"/>
      <w:bookmarkStart w:id="1786" w:name="_Toc261513200"/>
      <w:bookmarkStart w:id="1787" w:name="_Toc261513813"/>
      <w:bookmarkStart w:id="1788" w:name="_Toc280630285"/>
      <w:r w:rsidRPr="00256982">
        <w:t>6.6.1</w:t>
      </w:r>
      <w:r w:rsidRPr="00256982">
        <w:tab/>
        <w:t>Description</w:t>
      </w:r>
      <w:bookmarkEnd w:id="1784"/>
      <w:bookmarkEnd w:id="1785"/>
      <w:bookmarkEnd w:id="1786"/>
      <w:bookmarkEnd w:id="1787"/>
      <w:bookmarkEnd w:id="1788"/>
    </w:p>
    <w:p w14:paraId="73BE4E3F" w14:textId="77777777" w:rsidR="00380BE7" w:rsidRPr="00256982" w:rsidRDefault="00380BE7" w:rsidP="00380BE7">
      <w:pPr>
        <w:pStyle w:val="BodyText"/>
      </w:pPr>
      <w:r w:rsidRPr="00256982">
        <w:t xml:space="preserve">In New Zealand, the </w:t>
      </w:r>
      <w:r w:rsidRPr="00256982">
        <w:rPr>
          <w:i/>
        </w:rPr>
        <w:t>Grassland</w:t>
      </w:r>
      <w:r w:rsidRPr="00256982">
        <w:t xml:space="preserve"> category is used to describe a range of land cover types. In this submission, three types of </w:t>
      </w:r>
      <w:r w:rsidRPr="00256982">
        <w:rPr>
          <w:i/>
        </w:rPr>
        <w:t>Grassland</w:t>
      </w:r>
      <w:r w:rsidRPr="00256982">
        <w:t xml:space="preserve"> are used: high producing, low producing and with woody biomass. </w:t>
      </w:r>
    </w:p>
    <w:p w14:paraId="66CCABBD" w14:textId="77777777" w:rsidR="00380BE7" w:rsidRPr="00256982" w:rsidRDefault="00380BE7" w:rsidP="00380BE7">
      <w:pPr>
        <w:pStyle w:val="BodyText"/>
      </w:pPr>
      <w:r w:rsidRPr="00256982">
        <w:t xml:space="preserve">High producing grassland consists of intensively managed pasture land. Low producing grassland consists of low-fertility grasses on hill country, areas of native tussock and areas composed of low, shrubby vegetation, both above and below the timberline. Grassland with woody biomass consists of grassland areas where the cover of woody species is less than 30 per cent and/or does not meet, nor has the potential to meet, the New Zealand forest definition due to the current management regime (e.g., periodically cleared for grazing), characteristics of the vegetation or environmental constraints (e.g., alpine shrubland) (see table 6.2.2 for further details). Grassland with woody biomass is therefore a diverse land use. To account for these differences, grassland with woody biomass is subcategorised into two types, permanent and transitional, for modelling the effect of land-use change on carbon. Separate emission factors for each type of grassland with woody biomass are derived from the LUCAS plot network (Wakelin and Beets, unpublished). Within the CRF Reporter, reporting on grassland with woody biomass is at the aggregate level. </w:t>
      </w:r>
    </w:p>
    <w:p w14:paraId="54E55E61" w14:textId="77777777" w:rsidR="00380BE7" w:rsidRPr="00256982" w:rsidRDefault="00380BE7" w:rsidP="00380BE7">
      <w:pPr>
        <w:pStyle w:val="BodyText"/>
      </w:pPr>
      <w:r w:rsidRPr="00256982">
        <w:t>Land use research indicates that under business-as-usual grassland farming operations in New Zealand, areas of woody shrublands (grassland with woody biomass – transitional) within farmland do not become forest over a 30- to 40-year timeframe (Trotter and MacKay, unpublished). This is the case as long as the farmer’s intention is to use the land for grazing animals. When it becomes evident that the farmer has modified land management in a way that encourages sustained growth of woody vegetation that will undergo succession to forest, such as by removing stock or planting, then these areas will be mapped as forest. A description of the land-management approaches that result in the sustained growth of woody vegetation is contained in the mapping interpretation guide (Ministry for the Environment, 2012).</w:t>
      </w:r>
    </w:p>
    <w:p w14:paraId="7E629E94" w14:textId="77777777" w:rsidR="00380BE7" w:rsidRPr="00256982" w:rsidRDefault="00380BE7" w:rsidP="00380BE7">
      <w:pPr>
        <w:pStyle w:val="BodyText"/>
      </w:pPr>
      <w:r w:rsidRPr="00256982">
        <w:lastRenderedPageBreak/>
        <w:t xml:space="preserve">In contrast, grassland with woody biomass – permanent consists of land covered by woody vegetation that does not meet the forest definition and is not expected to do so under current ecological or environmental conditions. This vegetation occurs where the abiotic conditions at a site are conducive to low-stature vegetation; for example, vegetation growing at high altitudes, on low fertility soil or on frost flats. </w:t>
      </w:r>
    </w:p>
    <w:p w14:paraId="286A90D3" w14:textId="77777777" w:rsidR="00380BE7" w:rsidRPr="00256982" w:rsidRDefault="00380BE7" w:rsidP="00380BE7">
      <w:pPr>
        <w:pStyle w:val="BodyText"/>
      </w:pPr>
      <w:r w:rsidRPr="00256982">
        <w:t xml:space="preserve">The net emissions from </w:t>
      </w:r>
      <w:r w:rsidRPr="00256982">
        <w:rPr>
          <w:i/>
        </w:rPr>
        <w:t>Grassland</w:t>
      </w:r>
      <w:r w:rsidRPr="00256982">
        <w:t xml:space="preserve"> were 3,760.6</w:t>
      </w:r>
      <w:r w:rsidRPr="00256982">
        <w:rPr>
          <w:rFonts w:ascii="Arial" w:hAnsi="Arial" w:cs="Arial"/>
          <w:bCs/>
          <w:sz w:val="16"/>
          <w:szCs w:val="16"/>
        </w:rPr>
        <w:t xml:space="preserve"> </w:t>
      </w:r>
      <w:r w:rsidRPr="00256982">
        <w:t>kt CO</w:t>
      </w:r>
      <w:r w:rsidRPr="00256982">
        <w:rPr>
          <w:vertAlign w:val="subscript"/>
        </w:rPr>
        <w:t>2</w:t>
      </w:r>
      <w:r w:rsidRPr="00256982">
        <w:t>-e in 2017 (see table 6.6.1). These emissions comprise 3,652.1 kt CO</w:t>
      </w:r>
      <w:r w:rsidRPr="00256982">
        <w:rPr>
          <w:vertAlign w:val="subscript"/>
        </w:rPr>
        <w:t>2</w:t>
      </w:r>
      <w:r w:rsidRPr="00256982">
        <w:t xml:space="preserve"> emissions from carbon stock change, 0.1 kt N</w:t>
      </w:r>
      <w:r w:rsidRPr="00256982">
        <w:rPr>
          <w:vertAlign w:val="subscript"/>
        </w:rPr>
        <w:t>2</w:t>
      </w:r>
      <w:r w:rsidRPr="00256982">
        <w:t>O (29.9 kt CO</w:t>
      </w:r>
      <w:r w:rsidRPr="00256982">
        <w:rPr>
          <w:vertAlign w:val="subscript"/>
        </w:rPr>
        <w:t>2</w:t>
      </w:r>
      <w:r w:rsidRPr="00256982">
        <w:noBreakHyphen/>
        <w:t>e) and 3.1 kt CH</w:t>
      </w:r>
      <w:r w:rsidRPr="00256982">
        <w:rPr>
          <w:vertAlign w:val="subscript"/>
        </w:rPr>
        <w:t>4</w:t>
      </w:r>
      <w:r w:rsidRPr="00256982">
        <w:t xml:space="preserve"> (78.5 kt CO</w:t>
      </w:r>
      <w:r w:rsidRPr="00256982">
        <w:rPr>
          <w:vertAlign w:val="subscript"/>
        </w:rPr>
        <w:t>2</w:t>
      </w:r>
      <w:r w:rsidRPr="00256982">
        <w:t xml:space="preserve">-e) emissions from </w:t>
      </w:r>
      <w:r w:rsidRPr="00256982">
        <w:rPr>
          <w:i/>
        </w:rPr>
        <w:t>Biomass burning</w:t>
      </w:r>
      <w:r w:rsidRPr="00256982">
        <w:t xml:space="preserve"> and nitrogen mineralisation on </w:t>
      </w:r>
      <w:r w:rsidRPr="00256982">
        <w:rPr>
          <w:i/>
        </w:rPr>
        <w:t>Land converted to grassland</w:t>
      </w:r>
      <w:r w:rsidRPr="00256982">
        <w:t>.</w:t>
      </w:r>
    </w:p>
    <w:p w14:paraId="1B42A846" w14:textId="77777777" w:rsidR="00380BE7" w:rsidRPr="00256982" w:rsidRDefault="00380BE7" w:rsidP="00380BE7">
      <w:pPr>
        <w:pStyle w:val="BodyText"/>
      </w:pPr>
      <w:r w:rsidRPr="00256982">
        <w:t xml:space="preserve">The </w:t>
      </w:r>
      <w:r w:rsidRPr="00256982">
        <w:rPr>
          <w:i/>
        </w:rPr>
        <w:t>Grassland remaining grassland</w:t>
      </w:r>
      <w:r w:rsidRPr="00256982">
        <w:t xml:space="preserve"> and </w:t>
      </w:r>
      <w:r w:rsidRPr="00256982">
        <w:rPr>
          <w:i/>
        </w:rPr>
        <w:t>Land converted to grassland</w:t>
      </w:r>
      <w:r w:rsidRPr="00256982">
        <w:t xml:space="preserve"> categories were identified as key categories for the level and trend assessment in 2017.</w:t>
      </w:r>
    </w:p>
    <w:p w14:paraId="673E530E" w14:textId="77777777" w:rsidR="00380BE7" w:rsidRPr="00256982" w:rsidRDefault="00380BE7" w:rsidP="00380BE7">
      <w:pPr>
        <w:pStyle w:val="BodyText"/>
      </w:pPr>
      <w:r w:rsidRPr="00256982">
        <w:t xml:space="preserve">Net emissions from </w:t>
      </w:r>
      <w:r w:rsidRPr="00256982">
        <w:rPr>
          <w:i/>
        </w:rPr>
        <w:t xml:space="preserve">Grassland </w:t>
      </w:r>
      <w:r w:rsidRPr="00256982">
        <w:t>have increased by 3,511.6 kt CO</w:t>
      </w:r>
      <w:r w:rsidRPr="00256982">
        <w:rPr>
          <w:vertAlign w:val="subscript"/>
        </w:rPr>
        <w:t>2</w:t>
      </w:r>
      <w:r w:rsidRPr="00256982">
        <w:t>-e (1,410.5</w:t>
      </w:r>
      <w:r w:rsidRPr="00256982">
        <w:rPr>
          <w:bCs/>
        </w:rPr>
        <w:t xml:space="preserve"> </w:t>
      </w:r>
      <w:r w:rsidRPr="00256982">
        <w:t xml:space="preserve">per cent) from the 1990 level of </w:t>
      </w:r>
      <w:r w:rsidRPr="00256982">
        <w:rPr>
          <w:bCs/>
        </w:rPr>
        <w:t xml:space="preserve">249.0 </w:t>
      </w:r>
      <w:r w:rsidRPr="00256982">
        <w:t>kt CO</w:t>
      </w:r>
      <w:r w:rsidRPr="00256982">
        <w:rPr>
          <w:vertAlign w:val="subscript"/>
        </w:rPr>
        <w:t>2</w:t>
      </w:r>
      <w:r w:rsidRPr="00256982">
        <w:t>-e (see table 6.6.1). The majority of this change occurred in pre-1990 planted forest converted to high producing grassland and is the effect of deforestation that involves large losses in the living biomass pool.</w:t>
      </w:r>
    </w:p>
    <w:p w14:paraId="5D0520D1" w14:textId="77777777" w:rsidR="00380BE7" w:rsidRPr="00256982" w:rsidRDefault="00380BE7" w:rsidP="00380BE7">
      <w:pPr>
        <w:pStyle w:val="Table"/>
      </w:pPr>
      <w:bookmarkStart w:id="1789" w:name="_Toc280630465"/>
      <w:bookmarkStart w:id="1790" w:name="_Toc310423421"/>
      <w:bookmarkStart w:id="1791" w:name="_Toc318362714"/>
      <w:bookmarkStart w:id="1792" w:name="_Toc342470776"/>
      <w:bookmarkStart w:id="1793" w:name="_Toc352505016"/>
      <w:bookmarkStart w:id="1794" w:name="_Toc378853307"/>
      <w:bookmarkStart w:id="1795" w:name="_Toc391024105"/>
      <w:bookmarkStart w:id="1796" w:name="_Toc410028848"/>
      <w:bookmarkStart w:id="1797" w:name="_Toc414531476"/>
      <w:bookmarkStart w:id="1798" w:name="_Toc443645389"/>
      <w:bookmarkStart w:id="1799" w:name="_Toc474914608"/>
      <w:bookmarkStart w:id="1800" w:name="_Toc481751572"/>
      <w:bookmarkStart w:id="1801" w:name="_Toc522010629"/>
      <w:bookmarkStart w:id="1802" w:name="_Toc5269534"/>
      <w:r w:rsidRPr="00256982">
        <w:t>Table 6.6.1</w:t>
      </w:r>
      <w:r w:rsidRPr="00256982">
        <w:tab/>
        <w:t>New Zealand’s land-use change for the Grassland category, and associated</w:t>
      </w:r>
      <w:r w:rsidRPr="00256982">
        <w:br/>
        <w:t>CO</w:t>
      </w:r>
      <w:r w:rsidRPr="00256982">
        <w:rPr>
          <w:vertAlign w:val="subscript"/>
        </w:rPr>
        <w:t>2</w:t>
      </w:r>
      <w:r w:rsidRPr="00256982">
        <w:noBreakHyphen/>
        <w:t>e emissions, from 1990 to</w:t>
      </w:r>
      <w:bookmarkEnd w:id="1789"/>
      <w:bookmarkEnd w:id="1790"/>
      <w:bookmarkEnd w:id="1791"/>
      <w:bookmarkEnd w:id="1792"/>
      <w:bookmarkEnd w:id="1793"/>
      <w:r w:rsidRPr="00256982">
        <w:t> 201</w:t>
      </w:r>
      <w:bookmarkEnd w:id="1794"/>
      <w:bookmarkEnd w:id="1795"/>
      <w:bookmarkEnd w:id="1796"/>
      <w:bookmarkEnd w:id="1797"/>
      <w:bookmarkEnd w:id="1798"/>
      <w:bookmarkEnd w:id="1799"/>
      <w:bookmarkEnd w:id="1800"/>
      <w:r w:rsidRPr="00256982">
        <w:t>7</w:t>
      </w:r>
      <w:bookmarkEnd w:id="1801"/>
      <w:bookmarkEnd w:id="1802"/>
    </w:p>
    <w:tbl>
      <w:tblPr>
        <w:tblW w:w="8505" w:type="dxa"/>
        <w:tblInd w:w="108" w:type="dxa"/>
        <w:tblLayout w:type="fixed"/>
        <w:tblLook w:val="04A0" w:firstRow="1" w:lastRow="0" w:firstColumn="1" w:lastColumn="0" w:noHBand="0" w:noVBand="1"/>
      </w:tblPr>
      <w:tblGrid>
        <w:gridCol w:w="2619"/>
        <w:gridCol w:w="1357"/>
        <w:gridCol w:w="1357"/>
        <w:gridCol w:w="904"/>
        <w:gridCol w:w="1055"/>
        <w:gridCol w:w="1213"/>
      </w:tblGrid>
      <w:tr w:rsidR="00380BE7" w:rsidRPr="00256982" w14:paraId="75F92EBF" w14:textId="77777777" w:rsidTr="009574E7">
        <w:tc>
          <w:tcPr>
            <w:tcW w:w="2619" w:type="dxa"/>
            <w:vMerge w:val="restart"/>
            <w:tcBorders>
              <w:top w:val="single" w:sz="4" w:space="0" w:color="365F91"/>
            </w:tcBorders>
            <w:shd w:val="clear" w:color="auto" w:fill="365F91"/>
            <w:vAlign w:val="bottom"/>
          </w:tcPr>
          <w:p w14:paraId="28C8DEE0" w14:textId="77777777" w:rsidR="00380BE7" w:rsidRPr="00256982" w:rsidRDefault="00380BE7" w:rsidP="009574E7">
            <w:pPr>
              <w:pStyle w:val="TableText"/>
              <w:keepNext/>
              <w:rPr>
                <w:b/>
                <w:color w:val="FFFFFF"/>
              </w:rPr>
            </w:pPr>
            <w:r w:rsidRPr="00256982">
              <w:rPr>
                <w:b/>
                <w:color w:val="FFFFFF"/>
              </w:rPr>
              <w:t>Grassland land use category</w:t>
            </w:r>
          </w:p>
        </w:tc>
        <w:tc>
          <w:tcPr>
            <w:tcW w:w="1357" w:type="dxa"/>
            <w:vMerge w:val="restart"/>
            <w:tcBorders>
              <w:top w:val="single" w:sz="4" w:space="0" w:color="365F91"/>
            </w:tcBorders>
            <w:shd w:val="clear" w:color="auto" w:fill="365F91"/>
            <w:vAlign w:val="bottom"/>
          </w:tcPr>
          <w:p w14:paraId="3D1AEEE6" w14:textId="77777777" w:rsidR="00380BE7" w:rsidRPr="00256982" w:rsidRDefault="00380BE7" w:rsidP="009574E7">
            <w:pPr>
              <w:pStyle w:val="TableText"/>
              <w:keepNext/>
              <w:jc w:val="right"/>
              <w:rPr>
                <w:b/>
                <w:color w:val="FFFFFF"/>
              </w:rPr>
            </w:pPr>
            <w:r w:rsidRPr="00256982">
              <w:rPr>
                <w:b/>
                <w:color w:val="FFFFFF"/>
              </w:rPr>
              <w:t>Area as at 1990 (ha)</w:t>
            </w:r>
          </w:p>
        </w:tc>
        <w:tc>
          <w:tcPr>
            <w:tcW w:w="1357" w:type="dxa"/>
            <w:vMerge w:val="restart"/>
            <w:tcBorders>
              <w:top w:val="single" w:sz="4" w:space="0" w:color="365F91"/>
            </w:tcBorders>
            <w:shd w:val="clear" w:color="auto" w:fill="365F91"/>
            <w:vAlign w:val="bottom"/>
          </w:tcPr>
          <w:p w14:paraId="4D4BB7E2" w14:textId="77777777" w:rsidR="00380BE7" w:rsidRPr="00256982" w:rsidRDefault="00380BE7" w:rsidP="009574E7">
            <w:pPr>
              <w:pStyle w:val="TableText"/>
              <w:keepNext/>
              <w:jc w:val="right"/>
              <w:rPr>
                <w:b/>
                <w:color w:val="FFFFFF"/>
              </w:rPr>
            </w:pPr>
            <w:r w:rsidRPr="00256982">
              <w:rPr>
                <w:b/>
                <w:color w:val="FFFFFF"/>
              </w:rPr>
              <w:t>Area as at 2017 (ha)</w:t>
            </w:r>
          </w:p>
        </w:tc>
        <w:tc>
          <w:tcPr>
            <w:tcW w:w="1959" w:type="dxa"/>
            <w:gridSpan w:val="2"/>
            <w:tcBorders>
              <w:top w:val="single" w:sz="4" w:space="0" w:color="365F91"/>
            </w:tcBorders>
            <w:shd w:val="clear" w:color="auto" w:fill="365F91"/>
            <w:vAlign w:val="bottom"/>
          </w:tcPr>
          <w:p w14:paraId="6CDA3A22" w14:textId="77777777" w:rsidR="00380BE7" w:rsidRPr="00256982" w:rsidRDefault="00380BE7" w:rsidP="009574E7">
            <w:pPr>
              <w:pStyle w:val="TableText"/>
              <w:keepNext/>
              <w:jc w:val="center"/>
              <w:rPr>
                <w:b/>
                <w:color w:val="FFFFFF"/>
              </w:rPr>
            </w:pPr>
            <w:r w:rsidRPr="00256982">
              <w:rPr>
                <w:b/>
                <w:color w:val="FFFFFF"/>
              </w:rPr>
              <w:t xml:space="preserve">Net emissions </w:t>
            </w:r>
            <w:r w:rsidRPr="00256982">
              <w:rPr>
                <w:b/>
                <w:color w:val="FFFFFF"/>
              </w:rPr>
              <w:br/>
              <w:t>(kt CO</w:t>
            </w:r>
            <w:r w:rsidRPr="00256982">
              <w:rPr>
                <w:b/>
                <w:color w:val="FFFFFF"/>
                <w:vertAlign w:val="subscript"/>
              </w:rPr>
              <w:t>2</w:t>
            </w:r>
            <w:r w:rsidRPr="00256982">
              <w:rPr>
                <w:b/>
                <w:color w:val="FFFFFF"/>
              </w:rPr>
              <w:t>-e)</w:t>
            </w:r>
          </w:p>
        </w:tc>
        <w:tc>
          <w:tcPr>
            <w:tcW w:w="1213" w:type="dxa"/>
            <w:vMerge w:val="restart"/>
            <w:tcBorders>
              <w:top w:val="single" w:sz="4" w:space="0" w:color="365F91"/>
            </w:tcBorders>
            <w:shd w:val="clear" w:color="auto" w:fill="365F91"/>
            <w:vAlign w:val="bottom"/>
          </w:tcPr>
          <w:p w14:paraId="0AF50CD0" w14:textId="77777777" w:rsidR="00380BE7" w:rsidRPr="00256982" w:rsidRDefault="00380BE7" w:rsidP="009574E7">
            <w:pPr>
              <w:pStyle w:val="TableText"/>
              <w:keepNext/>
              <w:jc w:val="right"/>
              <w:rPr>
                <w:b/>
                <w:color w:val="FFFFFF"/>
              </w:rPr>
            </w:pPr>
            <w:r w:rsidRPr="00256982">
              <w:rPr>
                <w:b/>
                <w:color w:val="FFFFFF"/>
              </w:rPr>
              <w:t>Change from 1990 (%)</w:t>
            </w:r>
          </w:p>
        </w:tc>
      </w:tr>
      <w:tr w:rsidR="00380BE7" w:rsidRPr="00256982" w14:paraId="10FCB106" w14:textId="77777777" w:rsidTr="009574E7">
        <w:trPr>
          <w:trHeight w:val="300"/>
        </w:trPr>
        <w:tc>
          <w:tcPr>
            <w:tcW w:w="2619" w:type="dxa"/>
            <w:vMerge/>
            <w:tcBorders>
              <w:bottom w:val="single" w:sz="4" w:space="0" w:color="365F91"/>
            </w:tcBorders>
            <w:shd w:val="clear" w:color="auto" w:fill="365F91"/>
          </w:tcPr>
          <w:p w14:paraId="73835583" w14:textId="77777777" w:rsidR="00380BE7" w:rsidRPr="00256982" w:rsidRDefault="00380BE7" w:rsidP="009574E7">
            <w:pPr>
              <w:pStyle w:val="TableText"/>
              <w:keepNext/>
              <w:rPr>
                <w:rFonts w:eastAsia="Calibri"/>
              </w:rPr>
            </w:pPr>
          </w:p>
        </w:tc>
        <w:tc>
          <w:tcPr>
            <w:tcW w:w="1357" w:type="dxa"/>
            <w:vMerge/>
            <w:tcBorders>
              <w:bottom w:val="single" w:sz="4" w:space="0" w:color="365F91"/>
            </w:tcBorders>
            <w:shd w:val="clear" w:color="auto" w:fill="365F91"/>
          </w:tcPr>
          <w:p w14:paraId="107473CF" w14:textId="77777777" w:rsidR="00380BE7" w:rsidRPr="00256982" w:rsidRDefault="00380BE7" w:rsidP="009574E7">
            <w:pPr>
              <w:pStyle w:val="TableText"/>
              <w:keepNext/>
              <w:jc w:val="center"/>
              <w:rPr>
                <w:rFonts w:eastAsia="Calibri"/>
              </w:rPr>
            </w:pPr>
          </w:p>
        </w:tc>
        <w:tc>
          <w:tcPr>
            <w:tcW w:w="1357" w:type="dxa"/>
            <w:vMerge/>
            <w:tcBorders>
              <w:bottom w:val="single" w:sz="4" w:space="0" w:color="365F91"/>
            </w:tcBorders>
            <w:shd w:val="clear" w:color="auto" w:fill="365F91"/>
          </w:tcPr>
          <w:p w14:paraId="5E8B915B" w14:textId="77777777" w:rsidR="00380BE7" w:rsidRPr="00256982" w:rsidRDefault="00380BE7" w:rsidP="009574E7">
            <w:pPr>
              <w:pStyle w:val="TableText"/>
              <w:keepNext/>
              <w:jc w:val="center"/>
              <w:rPr>
                <w:rFonts w:eastAsia="Calibri"/>
              </w:rPr>
            </w:pPr>
          </w:p>
        </w:tc>
        <w:tc>
          <w:tcPr>
            <w:tcW w:w="904" w:type="dxa"/>
            <w:tcBorders>
              <w:bottom w:val="single" w:sz="4" w:space="0" w:color="365F91"/>
            </w:tcBorders>
            <w:shd w:val="clear" w:color="auto" w:fill="365F91"/>
          </w:tcPr>
          <w:p w14:paraId="2B544300" w14:textId="77777777" w:rsidR="00380BE7" w:rsidRPr="00256982" w:rsidRDefault="00380BE7" w:rsidP="009574E7">
            <w:pPr>
              <w:pStyle w:val="TableText"/>
              <w:keepNext/>
              <w:jc w:val="center"/>
              <w:rPr>
                <w:b/>
                <w:color w:val="FFFFFF"/>
              </w:rPr>
            </w:pPr>
            <w:r w:rsidRPr="00256982">
              <w:rPr>
                <w:b/>
                <w:color w:val="FFFFFF"/>
              </w:rPr>
              <w:t>1990</w:t>
            </w:r>
          </w:p>
        </w:tc>
        <w:tc>
          <w:tcPr>
            <w:tcW w:w="1055" w:type="dxa"/>
            <w:tcBorders>
              <w:bottom w:val="single" w:sz="4" w:space="0" w:color="365F91"/>
            </w:tcBorders>
            <w:shd w:val="clear" w:color="auto" w:fill="365F91"/>
          </w:tcPr>
          <w:p w14:paraId="5A9B22E7" w14:textId="77777777" w:rsidR="00380BE7" w:rsidRPr="00256982" w:rsidRDefault="00380BE7" w:rsidP="009574E7">
            <w:pPr>
              <w:pStyle w:val="TableText"/>
              <w:keepNext/>
              <w:jc w:val="center"/>
              <w:rPr>
                <w:b/>
                <w:color w:val="FFFFFF"/>
              </w:rPr>
            </w:pPr>
            <w:r w:rsidRPr="00256982">
              <w:rPr>
                <w:b/>
                <w:color w:val="FFFFFF"/>
              </w:rPr>
              <w:t>2017</w:t>
            </w:r>
          </w:p>
        </w:tc>
        <w:tc>
          <w:tcPr>
            <w:tcW w:w="1213" w:type="dxa"/>
            <w:vMerge/>
            <w:tcBorders>
              <w:bottom w:val="single" w:sz="4" w:space="0" w:color="365F91"/>
            </w:tcBorders>
            <w:shd w:val="clear" w:color="auto" w:fill="365F91"/>
          </w:tcPr>
          <w:p w14:paraId="0C96D1D6" w14:textId="77777777" w:rsidR="00380BE7" w:rsidRPr="00256982" w:rsidRDefault="00380BE7" w:rsidP="009574E7">
            <w:pPr>
              <w:pStyle w:val="TableText"/>
              <w:keepNext/>
              <w:jc w:val="center"/>
              <w:rPr>
                <w:rFonts w:eastAsia="Calibri"/>
              </w:rPr>
            </w:pPr>
          </w:p>
        </w:tc>
      </w:tr>
      <w:tr w:rsidR="00380BE7" w:rsidRPr="00256982" w14:paraId="1CAF454F" w14:textId="77777777" w:rsidTr="009574E7">
        <w:trPr>
          <w:trHeight w:val="20"/>
        </w:trPr>
        <w:tc>
          <w:tcPr>
            <w:tcW w:w="2619" w:type="dxa"/>
            <w:tcBorders>
              <w:top w:val="single" w:sz="4" w:space="0" w:color="365F91"/>
              <w:bottom w:val="single" w:sz="4" w:space="0" w:color="365F91"/>
            </w:tcBorders>
          </w:tcPr>
          <w:p w14:paraId="491FE216" w14:textId="77777777" w:rsidR="00380BE7" w:rsidRPr="00256982" w:rsidRDefault="00380BE7" w:rsidP="009574E7">
            <w:pPr>
              <w:pStyle w:val="TableText"/>
            </w:pPr>
            <w:r w:rsidRPr="00256982">
              <w:t>Grassland remaining grassland</w:t>
            </w:r>
          </w:p>
        </w:tc>
        <w:tc>
          <w:tcPr>
            <w:tcW w:w="1357" w:type="dxa"/>
            <w:tcBorders>
              <w:top w:val="single" w:sz="4" w:space="0" w:color="365F91"/>
              <w:bottom w:val="single" w:sz="4" w:space="0" w:color="365F91"/>
            </w:tcBorders>
            <w:vAlign w:val="center"/>
          </w:tcPr>
          <w:p w14:paraId="67313497" w14:textId="77777777" w:rsidR="00380BE7" w:rsidRPr="00256982" w:rsidRDefault="00380BE7" w:rsidP="009574E7">
            <w:pPr>
              <w:pStyle w:val="TableText"/>
              <w:jc w:val="right"/>
            </w:pPr>
            <w:r w:rsidRPr="00256982">
              <w:rPr>
                <w:rFonts w:cs="Arial"/>
                <w:szCs w:val="16"/>
              </w:rPr>
              <w:t>14,615,443</w:t>
            </w:r>
          </w:p>
        </w:tc>
        <w:tc>
          <w:tcPr>
            <w:tcW w:w="1357" w:type="dxa"/>
            <w:tcBorders>
              <w:top w:val="single" w:sz="4" w:space="0" w:color="365F91"/>
              <w:bottom w:val="single" w:sz="4" w:space="0" w:color="365F91"/>
            </w:tcBorders>
            <w:vAlign w:val="center"/>
          </w:tcPr>
          <w:p w14:paraId="65BB7373" w14:textId="77777777" w:rsidR="00380BE7" w:rsidRPr="00256982" w:rsidRDefault="00380BE7" w:rsidP="009574E7">
            <w:pPr>
              <w:pStyle w:val="TableText"/>
              <w:jc w:val="right"/>
            </w:pPr>
            <w:r w:rsidRPr="00256982">
              <w:rPr>
                <w:rFonts w:cs="Arial"/>
                <w:szCs w:val="16"/>
              </w:rPr>
              <w:t>14,481,132</w:t>
            </w:r>
          </w:p>
        </w:tc>
        <w:tc>
          <w:tcPr>
            <w:tcW w:w="904" w:type="dxa"/>
            <w:tcBorders>
              <w:top w:val="single" w:sz="4" w:space="0" w:color="365F91"/>
              <w:bottom w:val="single" w:sz="4" w:space="0" w:color="365F91"/>
            </w:tcBorders>
            <w:noWrap/>
            <w:vAlign w:val="center"/>
          </w:tcPr>
          <w:p w14:paraId="6348E083" w14:textId="77777777" w:rsidR="00380BE7" w:rsidRPr="00256982" w:rsidRDefault="00380BE7" w:rsidP="009574E7">
            <w:pPr>
              <w:pStyle w:val="TableText"/>
              <w:jc w:val="right"/>
            </w:pPr>
            <w:r w:rsidRPr="00256982">
              <w:t>–</w:t>
            </w:r>
            <w:r w:rsidRPr="00256982">
              <w:rPr>
                <w:rFonts w:cs="Arial"/>
                <w:szCs w:val="16"/>
              </w:rPr>
              <w:t xml:space="preserve">39.4 </w:t>
            </w:r>
          </w:p>
        </w:tc>
        <w:tc>
          <w:tcPr>
            <w:tcW w:w="1055" w:type="dxa"/>
            <w:tcBorders>
              <w:top w:val="single" w:sz="4" w:space="0" w:color="365F91"/>
              <w:bottom w:val="single" w:sz="4" w:space="0" w:color="365F91"/>
            </w:tcBorders>
            <w:noWrap/>
            <w:vAlign w:val="center"/>
          </w:tcPr>
          <w:p w14:paraId="7DD9E458" w14:textId="77777777" w:rsidR="00380BE7" w:rsidRPr="00256982" w:rsidRDefault="00380BE7" w:rsidP="009574E7">
            <w:pPr>
              <w:pStyle w:val="TableText"/>
              <w:jc w:val="right"/>
            </w:pPr>
            <w:r w:rsidRPr="00256982">
              <w:rPr>
                <w:rFonts w:cs="Arial"/>
                <w:szCs w:val="16"/>
              </w:rPr>
              <w:t xml:space="preserve">1,306.3 </w:t>
            </w:r>
          </w:p>
        </w:tc>
        <w:tc>
          <w:tcPr>
            <w:tcW w:w="1213" w:type="dxa"/>
            <w:tcBorders>
              <w:top w:val="single" w:sz="4" w:space="0" w:color="365F91"/>
              <w:bottom w:val="single" w:sz="4" w:space="0" w:color="365F91"/>
            </w:tcBorders>
            <w:vAlign w:val="center"/>
          </w:tcPr>
          <w:p w14:paraId="2B19ED3F" w14:textId="77777777" w:rsidR="00380BE7" w:rsidRPr="00256982" w:rsidRDefault="00380BE7" w:rsidP="009574E7">
            <w:pPr>
              <w:pStyle w:val="TableText"/>
              <w:jc w:val="right"/>
            </w:pPr>
            <w:r w:rsidRPr="00256982">
              <w:rPr>
                <w:rFonts w:cs="Arial"/>
                <w:szCs w:val="16"/>
              </w:rPr>
              <w:t>–3,419.1</w:t>
            </w:r>
          </w:p>
        </w:tc>
      </w:tr>
      <w:tr w:rsidR="00380BE7" w:rsidRPr="00256982" w14:paraId="76D62349" w14:textId="77777777" w:rsidTr="009574E7">
        <w:trPr>
          <w:trHeight w:val="20"/>
        </w:trPr>
        <w:tc>
          <w:tcPr>
            <w:tcW w:w="2619" w:type="dxa"/>
            <w:tcBorders>
              <w:top w:val="single" w:sz="4" w:space="0" w:color="365F91"/>
              <w:bottom w:val="single" w:sz="4" w:space="0" w:color="365F91"/>
            </w:tcBorders>
          </w:tcPr>
          <w:p w14:paraId="0B029CC1" w14:textId="77777777" w:rsidR="00380BE7" w:rsidRPr="00256982" w:rsidRDefault="00380BE7" w:rsidP="009574E7">
            <w:pPr>
              <w:pStyle w:val="TableText"/>
            </w:pPr>
            <w:r w:rsidRPr="00256982">
              <w:t>Land converted to grassland</w:t>
            </w:r>
          </w:p>
        </w:tc>
        <w:tc>
          <w:tcPr>
            <w:tcW w:w="1357" w:type="dxa"/>
            <w:tcBorders>
              <w:top w:val="single" w:sz="4" w:space="0" w:color="365F91"/>
              <w:bottom w:val="single" w:sz="4" w:space="0" w:color="365F91"/>
            </w:tcBorders>
            <w:vAlign w:val="center"/>
          </w:tcPr>
          <w:p w14:paraId="7E443C4D" w14:textId="77777777" w:rsidR="00380BE7" w:rsidRPr="00256982" w:rsidRDefault="00380BE7" w:rsidP="009574E7">
            <w:pPr>
              <w:pStyle w:val="TableText"/>
              <w:jc w:val="right"/>
            </w:pPr>
            <w:r w:rsidRPr="00256982">
              <w:rPr>
                <w:rFonts w:cs="Arial"/>
                <w:szCs w:val="16"/>
              </w:rPr>
              <w:t>662,405</w:t>
            </w:r>
          </w:p>
        </w:tc>
        <w:tc>
          <w:tcPr>
            <w:tcW w:w="1357" w:type="dxa"/>
            <w:tcBorders>
              <w:top w:val="single" w:sz="4" w:space="0" w:color="365F91"/>
              <w:bottom w:val="single" w:sz="4" w:space="0" w:color="365F91"/>
            </w:tcBorders>
            <w:vAlign w:val="center"/>
          </w:tcPr>
          <w:p w14:paraId="1ACA4BEA" w14:textId="77777777" w:rsidR="00380BE7" w:rsidRPr="00256982" w:rsidRDefault="00380BE7" w:rsidP="009574E7">
            <w:pPr>
              <w:pStyle w:val="TableText"/>
              <w:jc w:val="right"/>
            </w:pPr>
            <w:r w:rsidRPr="00256982">
              <w:rPr>
                <w:rFonts w:cs="Arial"/>
                <w:szCs w:val="16"/>
              </w:rPr>
              <w:t>203,038</w:t>
            </w:r>
          </w:p>
        </w:tc>
        <w:tc>
          <w:tcPr>
            <w:tcW w:w="904" w:type="dxa"/>
            <w:tcBorders>
              <w:top w:val="single" w:sz="4" w:space="0" w:color="365F91"/>
              <w:bottom w:val="single" w:sz="4" w:space="0" w:color="365F91"/>
            </w:tcBorders>
            <w:noWrap/>
            <w:vAlign w:val="center"/>
          </w:tcPr>
          <w:p w14:paraId="5DCEFFE3" w14:textId="77777777" w:rsidR="00380BE7" w:rsidRPr="00256982" w:rsidRDefault="00380BE7" w:rsidP="009574E7">
            <w:pPr>
              <w:pStyle w:val="TableText"/>
              <w:jc w:val="right"/>
            </w:pPr>
            <w:r w:rsidRPr="00256982">
              <w:rPr>
                <w:rFonts w:cs="Arial"/>
                <w:szCs w:val="16"/>
              </w:rPr>
              <w:t xml:space="preserve">288.3 </w:t>
            </w:r>
          </w:p>
        </w:tc>
        <w:tc>
          <w:tcPr>
            <w:tcW w:w="1055" w:type="dxa"/>
            <w:tcBorders>
              <w:top w:val="single" w:sz="4" w:space="0" w:color="365F91"/>
              <w:bottom w:val="single" w:sz="4" w:space="0" w:color="365F91"/>
            </w:tcBorders>
            <w:noWrap/>
            <w:vAlign w:val="center"/>
          </w:tcPr>
          <w:p w14:paraId="693B83ED" w14:textId="77777777" w:rsidR="00380BE7" w:rsidRPr="00256982" w:rsidRDefault="00380BE7" w:rsidP="009574E7">
            <w:pPr>
              <w:pStyle w:val="TableText"/>
              <w:jc w:val="right"/>
            </w:pPr>
            <w:r w:rsidRPr="00256982">
              <w:rPr>
                <w:rFonts w:cs="Arial"/>
                <w:szCs w:val="16"/>
              </w:rPr>
              <w:t xml:space="preserve">2,454.3 </w:t>
            </w:r>
          </w:p>
        </w:tc>
        <w:tc>
          <w:tcPr>
            <w:tcW w:w="1213" w:type="dxa"/>
            <w:tcBorders>
              <w:top w:val="single" w:sz="4" w:space="0" w:color="365F91"/>
              <w:bottom w:val="single" w:sz="4" w:space="0" w:color="365F91"/>
            </w:tcBorders>
            <w:vAlign w:val="center"/>
          </w:tcPr>
          <w:p w14:paraId="2B40FA7C" w14:textId="77777777" w:rsidR="00380BE7" w:rsidRPr="00256982" w:rsidRDefault="00380BE7" w:rsidP="009574E7">
            <w:pPr>
              <w:pStyle w:val="TableText"/>
              <w:jc w:val="right"/>
            </w:pPr>
            <w:r w:rsidRPr="00256982">
              <w:rPr>
                <w:rFonts w:cs="Arial"/>
                <w:szCs w:val="16"/>
              </w:rPr>
              <w:t>+751.2</w:t>
            </w:r>
          </w:p>
        </w:tc>
      </w:tr>
      <w:tr w:rsidR="00380BE7" w:rsidRPr="00256982" w14:paraId="7B3FFF4E" w14:textId="77777777" w:rsidTr="009574E7">
        <w:trPr>
          <w:trHeight w:val="20"/>
        </w:trPr>
        <w:tc>
          <w:tcPr>
            <w:tcW w:w="2619" w:type="dxa"/>
            <w:tcBorders>
              <w:top w:val="single" w:sz="4" w:space="0" w:color="365F91"/>
              <w:bottom w:val="single" w:sz="4" w:space="0" w:color="365F91"/>
            </w:tcBorders>
          </w:tcPr>
          <w:p w14:paraId="1014A939" w14:textId="77777777" w:rsidR="00380BE7" w:rsidRPr="00256982" w:rsidRDefault="00380BE7" w:rsidP="009574E7">
            <w:pPr>
              <w:pStyle w:val="Tableboldblue"/>
            </w:pPr>
            <w:r w:rsidRPr="00256982">
              <w:t>Total</w:t>
            </w:r>
          </w:p>
        </w:tc>
        <w:tc>
          <w:tcPr>
            <w:tcW w:w="1357" w:type="dxa"/>
            <w:tcBorders>
              <w:top w:val="single" w:sz="4" w:space="0" w:color="365F91"/>
              <w:bottom w:val="single" w:sz="4" w:space="0" w:color="365F91"/>
            </w:tcBorders>
          </w:tcPr>
          <w:p w14:paraId="03ACB35F" w14:textId="77777777" w:rsidR="00380BE7" w:rsidRPr="00256982" w:rsidRDefault="00380BE7" w:rsidP="009574E7">
            <w:pPr>
              <w:pStyle w:val="Tableboldblue"/>
              <w:jc w:val="right"/>
            </w:pPr>
            <w:r w:rsidRPr="00256982">
              <w:rPr>
                <w:rFonts w:cs="Arial"/>
                <w:bCs/>
                <w:szCs w:val="16"/>
              </w:rPr>
              <w:t>15,277,847</w:t>
            </w:r>
          </w:p>
        </w:tc>
        <w:tc>
          <w:tcPr>
            <w:tcW w:w="1357" w:type="dxa"/>
            <w:tcBorders>
              <w:top w:val="single" w:sz="4" w:space="0" w:color="365F91"/>
              <w:bottom w:val="single" w:sz="4" w:space="0" w:color="365F91"/>
            </w:tcBorders>
          </w:tcPr>
          <w:p w14:paraId="1369F7D1" w14:textId="77777777" w:rsidR="00380BE7" w:rsidRPr="00256982" w:rsidRDefault="00380BE7" w:rsidP="009574E7">
            <w:pPr>
              <w:pStyle w:val="Tableboldblue"/>
              <w:jc w:val="right"/>
            </w:pPr>
            <w:r w:rsidRPr="00256982">
              <w:rPr>
                <w:rFonts w:cs="Arial"/>
                <w:bCs/>
                <w:szCs w:val="16"/>
              </w:rPr>
              <w:t>14,684,170</w:t>
            </w:r>
          </w:p>
        </w:tc>
        <w:tc>
          <w:tcPr>
            <w:tcW w:w="904" w:type="dxa"/>
            <w:tcBorders>
              <w:top w:val="single" w:sz="4" w:space="0" w:color="365F91"/>
              <w:bottom w:val="single" w:sz="4" w:space="0" w:color="365F91"/>
            </w:tcBorders>
            <w:noWrap/>
            <w:vAlign w:val="center"/>
          </w:tcPr>
          <w:p w14:paraId="6354B828" w14:textId="77777777" w:rsidR="00380BE7" w:rsidRPr="00256982" w:rsidRDefault="00380BE7" w:rsidP="009574E7">
            <w:pPr>
              <w:pStyle w:val="Tableboldblue"/>
              <w:jc w:val="right"/>
            </w:pPr>
            <w:r w:rsidRPr="00256982">
              <w:rPr>
                <w:rFonts w:cs="Arial"/>
                <w:bCs/>
                <w:szCs w:val="16"/>
              </w:rPr>
              <w:t xml:space="preserve">249.0 </w:t>
            </w:r>
          </w:p>
        </w:tc>
        <w:tc>
          <w:tcPr>
            <w:tcW w:w="1055" w:type="dxa"/>
            <w:tcBorders>
              <w:top w:val="single" w:sz="4" w:space="0" w:color="365F91"/>
              <w:bottom w:val="single" w:sz="4" w:space="0" w:color="365F91"/>
            </w:tcBorders>
            <w:noWrap/>
            <w:vAlign w:val="center"/>
          </w:tcPr>
          <w:p w14:paraId="4429CF51" w14:textId="77777777" w:rsidR="00380BE7" w:rsidRPr="00256982" w:rsidRDefault="00380BE7" w:rsidP="009574E7">
            <w:pPr>
              <w:pStyle w:val="Tableboldblue"/>
              <w:jc w:val="right"/>
            </w:pPr>
            <w:r w:rsidRPr="00256982">
              <w:rPr>
                <w:rFonts w:cs="Arial"/>
                <w:bCs/>
                <w:szCs w:val="16"/>
              </w:rPr>
              <w:t xml:space="preserve">3,760.6 </w:t>
            </w:r>
          </w:p>
        </w:tc>
        <w:tc>
          <w:tcPr>
            <w:tcW w:w="1213" w:type="dxa"/>
            <w:tcBorders>
              <w:top w:val="single" w:sz="4" w:space="0" w:color="365F91"/>
              <w:bottom w:val="single" w:sz="4" w:space="0" w:color="365F91"/>
            </w:tcBorders>
            <w:vAlign w:val="center"/>
          </w:tcPr>
          <w:p w14:paraId="130328C6" w14:textId="77777777" w:rsidR="00380BE7" w:rsidRPr="00256982" w:rsidRDefault="00380BE7" w:rsidP="009574E7">
            <w:pPr>
              <w:pStyle w:val="Tableboldblue"/>
              <w:jc w:val="right"/>
            </w:pPr>
            <w:r w:rsidRPr="00256982">
              <w:rPr>
                <w:rFonts w:cs="Arial"/>
                <w:bCs/>
                <w:szCs w:val="16"/>
              </w:rPr>
              <w:t>+1,410.5</w:t>
            </w:r>
          </w:p>
        </w:tc>
      </w:tr>
    </w:tbl>
    <w:p w14:paraId="61324932" w14:textId="77777777" w:rsidR="00380BE7" w:rsidRPr="00256982" w:rsidRDefault="00380BE7" w:rsidP="00380BE7">
      <w:pPr>
        <w:pStyle w:val="Noteundertable"/>
        <w:rPr>
          <w:rFonts w:eastAsia="Calibri"/>
        </w:rPr>
      </w:pPr>
      <w:r w:rsidRPr="00256982">
        <w:rPr>
          <w:rFonts w:eastAsia="Calibri"/>
          <w:b/>
          <w:bCs/>
        </w:rPr>
        <w:t>Note</w:t>
      </w:r>
      <w:r w:rsidRPr="00256982">
        <w:rPr>
          <w:rFonts w:eastAsia="Calibri"/>
          <w:b/>
        </w:rPr>
        <w:t>:</w:t>
      </w:r>
      <w:r w:rsidRPr="00256982">
        <w:rPr>
          <w:rFonts w:eastAsia="Calibri"/>
        </w:rPr>
        <w:tab/>
      </w:r>
      <w:r w:rsidRPr="00256982">
        <w:t xml:space="preserve">Net area in 1990 is as at 1 January 1990; net area in 2017 is as at 31 December. </w:t>
      </w:r>
      <w:r w:rsidRPr="00256982">
        <w:rPr>
          <w:i/>
        </w:rPr>
        <w:t>Land converted to grassland</w:t>
      </w:r>
      <w:r w:rsidRPr="00256982">
        <w:t xml:space="preserve"> includes land converted up to 28 years prior. Net emission estimates are for the whole year indicated. Columns may not total due to rounding.</w:t>
      </w:r>
    </w:p>
    <w:p w14:paraId="612EF8BA" w14:textId="77777777" w:rsidR="00380BE7" w:rsidRPr="00256982" w:rsidRDefault="00380BE7" w:rsidP="00380BE7">
      <w:pPr>
        <w:pStyle w:val="BodyText"/>
      </w:pPr>
      <w:r w:rsidRPr="00256982">
        <w:t>In 2017, there were 6,864,404 hectares of high producing grassland (25.5 per cent of total land area), 6,423,928 hectares of low producing grassland (23.9 per cent of total land area) and 1,395,839 hectares of grassland with woody biomass (5.2 per cent of total land area).</w:t>
      </w:r>
    </w:p>
    <w:p w14:paraId="6208D12F" w14:textId="77777777" w:rsidR="00380BE7" w:rsidRPr="00256982" w:rsidRDefault="00380BE7" w:rsidP="00380BE7">
      <w:pPr>
        <w:pStyle w:val="BodyText"/>
      </w:pPr>
      <w:r w:rsidRPr="00256982">
        <w:t xml:space="preserve">From 1990 to 2017 the net carbon stock change attributed to </w:t>
      </w:r>
      <w:r w:rsidRPr="00256982">
        <w:rPr>
          <w:i/>
        </w:rPr>
        <w:t>Grassland</w:t>
      </w:r>
      <w:r w:rsidRPr="00256982">
        <w:t xml:space="preserve"> was a decrease of 37,057.9 kt C, equivalent to emissions of 135,878.9 kt CO</w:t>
      </w:r>
      <w:r w:rsidRPr="00256982">
        <w:rPr>
          <w:vertAlign w:val="subscript"/>
        </w:rPr>
        <w:t>2</w:t>
      </w:r>
      <w:r w:rsidRPr="00256982">
        <w:t xml:space="preserve"> from </w:t>
      </w:r>
      <w:r w:rsidRPr="00256982">
        <w:rPr>
          <w:i/>
        </w:rPr>
        <w:t>Grassland</w:t>
      </w:r>
      <w:r w:rsidRPr="00256982">
        <w:t xml:space="preserve"> since 1990 (see table 6.6.2). The majority of these emissions are due to the loss of living biomass carbon stock associated with </w:t>
      </w:r>
      <w:r w:rsidRPr="00256982">
        <w:rPr>
          <w:i/>
        </w:rPr>
        <w:t>Forest land</w:t>
      </w:r>
      <w:r w:rsidRPr="00256982">
        <w:t xml:space="preserve"> conversion to </w:t>
      </w:r>
      <w:r w:rsidRPr="00256982">
        <w:rPr>
          <w:i/>
        </w:rPr>
        <w:t>Grassland</w:t>
      </w:r>
      <w:r w:rsidRPr="00256982">
        <w:t xml:space="preserve"> (deforestation). </w:t>
      </w:r>
    </w:p>
    <w:p w14:paraId="074DDB35" w14:textId="77777777" w:rsidR="00380BE7" w:rsidRPr="00256982" w:rsidRDefault="00380BE7" w:rsidP="00380BE7">
      <w:pPr>
        <w:pStyle w:val="Table"/>
      </w:pPr>
      <w:bookmarkStart w:id="1803" w:name="_Toc280630467"/>
      <w:bookmarkStart w:id="1804" w:name="_Toc310423423"/>
      <w:bookmarkStart w:id="1805" w:name="_Toc318362716"/>
      <w:bookmarkStart w:id="1806" w:name="_Toc342470778"/>
      <w:bookmarkStart w:id="1807" w:name="_Toc352505018"/>
      <w:bookmarkStart w:id="1808" w:name="_Toc378853308"/>
      <w:bookmarkStart w:id="1809" w:name="_Toc391024106"/>
      <w:bookmarkStart w:id="1810" w:name="_Toc410028849"/>
      <w:bookmarkStart w:id="1811" w:name="_Toc414531477"/>
      <w:bookmarkStart w:id="1812" w:name="_Toc443645390"/>
      <w:bookmarkStart w:id="1813" w:name="_Toc474914609"/>
      <w:bookmarkStart w:id="1814" w:name="_Toc481751573"/>
      <w:bookmarkStart w:id="1815" w:name="_Toc522010630"/>
      <w:bookmarkStart w:id="1816" w:name="_Toc5269535"/>
      <w:r w:rsidRPr="00256982">
        <w:t>Table 6.6.2</w:t>
      </w:r>
      <w:r w:rsidRPr="00256982">
        <w:tab/>
        <w:t>New Zealand’s carbon stock change by carbon pool for the</w:t>
      </w:r>
      <w:r w:rsidRPr="00256982">
        <w:rPr>
          <w:rFonts w:cs="Arial"/>
        </w:rPr>
        <w:t xml:space="preserve"> Grassland</w:t>
      </w:r>
      <w:r w:rsidRPr="00256982">
        <w:t xml:space="preserve"> category</w:t>
      </w:r>
      <w:r w:rsidRPr="00256982">
        <w:br/>
        <w:t>from 1990 to</w:t>
      </w:r>
      <w:bookmarkEnd w:id="1803"/>
      <w:bookmarkEnd w:id="1804"/>
      <w:bookmarkEnd w:id="1805"/>
      <w:bookmarkEnd w:id="1806"/>
      <w:bookmarkEnd w:id="1807"/>
      <w:bookmarkEnd w:id="1808"/>
      <w:bookmarkEnd w:id="1809"/>
      <w:r w:rsidRPr="00256982">
        <w:t> 201</w:t>
      </w:r>
      <w:bookmarkEnd w:id="1810"/>
      <w:bookmarkEnd w:id="1811"/>
      <w:bookmarkEnd w:id="1812"/>
      <w:bookmarkEnd w:id="1813"/>
      <w:bookmarkEnd w:id="1814"/>
      <w:r w:rsidRPr="00256982">
        <w:t>7</w:t>
      </w:r>
      <w:bookmarkEnd w:id="1815"/>
      <w:bookmarkEnd w:id="1816"/>
    </w:p>
    <w:tbl>
      <w:tblPr>
        <w:tblW w:w="8505" w:type="dxa"/>
        <w:tblInd w:w="108" w:type="dxa"/>
        <w:tblLayout w:type="fixed"/>
        <w:tblLook w:val="04A0" w:firstRow="1" w:lastRow="0" w:firstColumn="1" w:lastColumn="0" w:noHBand="0" w:noVBand="1"/>
      </w:tblPr>
      <w:tblGrid>
        <w:gridCol w:w="2772"/>
        <w:gridCol w:w="1056"/>
        <w:gridCol w:w="1358"/>
        <w:gridCol w:w="1056"/>
        <w:gridCol w:w="1056"/>
        <w:gridCol w:w="1207"/>
      </w:tblGrid>
      <w:tr w:rsidR="00380BE7" w:rsidRPr="00256982" w14:paraId="3E7A267E" w14:textId="77777777" w:rsidTr="009574E7">
        <w:trPr>
          <w:trHeight w:val="287"/>
        </w:trPr>
        <w:tc>
          <w:tcPr>
            <w:tcW w:w="2772" w:type="dxa"/>
            <w:vMerge w:val="restart"/>
            <w:tcBorders>
              <w:top w:val="single" w:sz="4" w:space="0" w:color="365F91"/>
            </w:tcBorders>
            <w:shd w:val="clear" w:color="auto" w:fill="365F91"/>
            <w:vAlign w:val="bottom"/>
          </w:tcPr>
          <w:p w14:paraId="50DF3FA4" w14:textId="77777777" w:rsidR="00380BE7" w:rsidRPr="00256982" w:rsidRDefault="00380BE7" w:rsidP="009574E7">
            <w:pPr>
              <w:pStyle w:val="TableText"/>
              <w:keepNext/>
              <w:rPr>
                <w:b/>
                <w:color w:val="FFFFFF"/>
              </w:rPr>
            </w:pPr>
            <w:r w:rsidRPr="00256982">
              <w:rPr>
                <w:b/>
                <w:color w:val="FFFFFF"/>
              </w:rPr>
              <w:t>Grassland category</w:t>
            </w:r>
          </w:p>
        </w:tc>
        <w:tc>
          <w:tcPr>
            <w:tcW w:w="4526" w:type="dxa"/>
            <w:gridSpan w:val="4"/>
            <w:tcBorders>
              <w:top w:val="single" w:sz="4" w:space="0" w:color="365F91"/>
            </w:tcBorders>
            <w:shd w:val="clear" w:color="auto" w:fill="365F91"/>
            <w:vAlign w:val="bottom"/>
          </w:tcPr>
          <w:p w14:paraId="1F996A0C" w14:textId="77777777" w:rsidR="00380BE7" w:rsidRPr="00256982" w:rsidRDefault="00380BE7" w:rsidP="009574E7">
            <w:pPr>
              <w:pStyle w:val="TableText"/>
              <w:keepNext/>
              <w:jc w:val="center"/>
              <w:rPr>
                <w:b/>
                <w:color w:val="FFFFFF"/>
              </w:rPr>
            </w:pPr>
            <w:r w:rsidRPr="00256982">
              <w:rPr>
                <w:b/>
                <w:color w:val="FFFFFF"/>
              </w:rPr>
              <w:t>Net carbon stock change 1990–2017 (kt C)</w:t>
            </w:r>
          </w:p>
        </w:tc>
        <w:tc>
          <w:tcPr>
            <w:tcW w:w="1207" w:type="dxa"/>
            <w:vMerge w:val="restart"/>
            <w:tcBorders>
              <w:top w:val="single" w:sz="4" w:space="0" w:color="365F91"/>
            </w:tcBorders>
            <w:shd w:val="clear" w:color="auto" w:fill="365F91"/>
            <w:vAlign w:val="bottom"/>
          </w:tcPr>
          <w:p w14:paraId="5B85FE50" w14:textId="77777777" w:rsidR="00380BE7" w:rsidRPr="00256982" w:rsidRDefault="00380BE7" w:rsidP="009574E7">
            <w:pPr>
              <w:pStyle w:val="TableText"/>
              <w:keepNext/>
              <w:jc w:val="right"/>
              <w:rPr>
                <w:b/>
              </w:rPr>
            </w:pPr>
            <w:r w:rsidRPr="00256982">
              <w:rPr>
                <w:b/>
                <w:color w:val="FFFFFF"/>
                <w:shd w:val="clear" w:color="auto" w:fill="365F91"/>
              </w:rPr>
              <w:t xml:space="preserve">Emissions </w:t>
            </w:r>
            <w:r w:rsidRPr="00256982">
              <w:rPr>
                <w:b/>
                <w:color w:val="FFFFFF"/>
                <w:shd w:val="clear" w:color="auto" w:fill="365F91"/>
              </w:rPr>
              <w:br/>
              <w:t>1990–2017</w:t>
            </w:r>
            <w:r w:rsidRPr="00256982">
              <w:rPr>
                <w:b/>
                <w:color w:val="FFFFFF"/>
                <w:shd w:val="clear" w:color="auto" w:fill="365F91"/>
              </w:rPr>
              <w:br/>
              <w:t>(kt CO</w:t>
            </w:r>
            <w:r w:rsidRPr="00256982">
              <w:rPr>
                <w:b/>
                <w:color w:val="FFFFFF"/>
                <w:shd w:val="clear" w:color="auto" w:fill="365F91"/>
                <w:vertAlign w:val="subscript"/>
              </w:rPr>
              <w:t>2</w:t>
            </w:r>
            <w:r w:rsidRPr="00256982">
              <w:rPr>
                <w:b/>
                <w:color w:val="FFFFFF"/>
              </w:rPr>
              <w:t>)</w:t>
            </w:r>
          </w:p>
        </w:tc>
      </w:tr>
      <w:tr w:rsidR="00380BE7" w:rsidRPr="00256982" w14:paraId="29D722E2" w14:textId="77777777" w:rsidTr="009574E7">
        <w:trPr>
          <w:trHeight w:val="262"/>
        </w:trPr>
        <w:tc>
          <w:tcPr>
            <w:tcW w:w="2772" w:type="dxa"/>
            <w:vMerge/>
            <w:tcBorders>
              <w:bottom w:val="single" w:sz="4" w:space="0" w:color="365F91"/>
            </w:tcBorders>
            <w:shd w:val="clear" w:color="auto" w:fill="365F91"/>
            <w:vAlign w:val="bottom"/>
          </w:tcPr>
          <w:p w14:paraId="6F238B09" w14:textId="77777777" w:rsidR="00380BE7" w:rsidRPr="00256982" w:rsidRDefault="00380BE7" w:rsidP="009574E7">
            <w:pPr>
              <w:pStyle w:val="TableText"/>
              <w:keepNext/>
              <w:rPr>
                <w:color w:val="FFFFFF"/>
              </w:rPr>
            </w:pPr>
          </w:p>
        </w:tc>
        <w:tc>
          <w:tcPr>
            <w:tcW w:w="1056" w:type="dxa"/>
            <w:tcBorders>
              <w:bottom w:val="single" w:sz="4" w:space="0" w:color="365F91"/>
            </w:tcBorders>
            <w:shd w:val="clear" w:color="auto" w:fill="365F91"/>
            <w:vAlign w:val="bottom"/>
          </w:tcPr>
          <w:p w14:paraId="4199BB40" w14:textId="77777777" w:rsidR="00380BE7" w:rsidRPr="00256982" w:rsidRDefault="00380BE7" w:rsidP="009574E7">
            <w:pPr>
              <w:pStyle w:val="TableText"/>
              <w:keepNext/>
              <w:jc w:val="right"/>
              <w:rPr>
                <w:b/>
                <w:color w:val="FFFFFF"/>
              </w:rPr>
            </w:pPr>
            <w:r w:rsidRPr="00256982">
              <w:rPr>
                <w:b/>
                <w:color w:val="FFFFFF"/>
              </w:rPr>
              <w:t>Living biomass</w:t>
            </w:r>
          </w:p>
        </w:tc>
        <w:tc>
          <w:tcPr>
            <w:tcW w:w="1358" w:type="dxa"/>
            <w:tcBorders>
              <w:bottom w:val="single" w:sz="4" w:space="0" w:color="365F91"/>
            </w:tcBorders>
            <w:shd w:val="clear" w:color="auto" w:fill="365F91"/>
            <w:vAlign w:val="bottom"/>
          </w:tcPr>
          <w:p w14:paraId="41B15E24" w14:textId="77777777" w:rsidR="00380BE7" w:rsidRPr="00256982" w:rsidRDefault="00380BE7" w:rsidP="009574E7">
            <w:pPr>
              <w:pStyle w:val="TableText"/>
              <w:keepNext/>
              <w:jc w:val="right"/>
              <w:rPr>
                <w:b/>
                <w:color w:val="FFFFFF"/>
              </w:rPr>
            </w:pPr>
            <w:r w:rsidRPr="00256982">
              <w:rPr>
                <w:b/>
                <w:color w:val="FFFFFF"/>
              </w:rPr>
              <w:t>Dead organic matter</w:t>
            </w:r>
          </w:p>
        </w:tc>
        <w:tc>
          <w:tcPr>
            <w:tcW w:w="1056" w:type="dxa"/>
            <w:tcBorders>
              <w:bottom w:val="single" w:sz="4" w:space="0" w:color="365F91"/>
            </w:tcBorders>
            <w:shd w:val="clear" w:color="auto" w:fill="365F91"/>
            <w:vAlign w:val="bottom"/>
          </w:tcPr>
          <w:p w14:paraId="4C756764" w14:textId="77777777" w:rsidR="00380BE7" w:rsidRPr="00256982" w:rsidRDefault="00380BE7" w:rsidP="009574E7">
            <w:pPr>
              <w:pStyle w:val="TableText"/>
              <w:keepNext/>
              <w:jc w:val="right"/>
              <w:rPr>
                <w:b/>
                <w:color w:val="FFFFFF"/>
              </w:rPr>
            </w:pPr>
            <w:r w:rsidRPr="00256982">
              <w:rPr>
                <w:b/>
                <w:color w:val="FFFFFF"/>
              </w:rPr>
              <w:t>Soils</w:t>
            </w:r>
          </w:p>
        </w:tc>
        <w:tc>
          <w:tcPr>
            <w:tcW w:w="1056" w:type="dxa"/>
            <w:tcBorders>
              <w:bottom w:val="single" w:sz="4" w:space="0" w:color="365F91"/>
            </w:tcBorders>
            <w:shd w:val="clear" w:color="auto" w:fill="365F91"/>
            <w:vAlign w:val="bottom"/>
          </w:tcPr>
          <w:p w14:paraId="4F0C38C6" w14:textId="77777777" w:rsidR="00380BE7" w:rsidRPr="00256982" w:rsidRDefault="00380BE7" w:rsidP="009574E7">
            <w:pPr>
              <w:pStyle w:val="TableText"/>
              <w:keepNext/>
              <w:jc w:val="right"/>
              <w:rPr>
                <w:b/>
                <w:color w:val="FFFFFF"/>
              </w:rPr>
            </w:pPr>
            <w:r w:rsidRPr="00256982">
              <w:rPr>
                <w:b/>
                <w:color w:val="FFFFFF"/>
              </w:rPr>
              <w:t>Total</w:t>
            </w:r>
          </w:p>
        </w:tc>
        <w:tc>
          <w:tcPr>
            <w:tcW w:w="1207" w:type="dxa"/>
            <w:vMerge/>
            <w:tcBorders>
              <w:bottom w:val="single" w:sz="4" w:space="0" w:color="365F91"/>
            </w:tcBorders>
            <w:vAlign w:val="bottom"/>
          </w:tcPr>
          <w:p w14:paraId="22EAEEC8" w14:textId="77777777" w:rsidR="00380BE7" w:rsidRPr="00256982" w:rsidRDefault="00380BE7" w:rsidP="009574E7">
            <w:pPr>
              <w:pStyle w:val="TableText"/>
              <w:keepNext/>
              <w:jc w:val="right"/>
            </w:pPr>
          </w:p>
        </w:tc>
      </w:tr>
      <w:tr w:rsidR="00380BE7" w:rsidRPr="00256982" w14:paraId="2453D9D5" w14:textId="77777777" w:rsidTr="009574E7">
        <w:tc>
          <w:tcPr>
            <w:tcW w:w="2772" w:type="dxa"/>
            <w:tcBorders>
              <w:top w:val="single" w:sz="4" w:space="0" w:color="365F91"/>
              <w:bottom w:val="single" w:sz="4" w:space="0" w:color="365F91"/>
            </w:tcBorders>
          </w:tcPr>
          <w:p w14:paraId="3D6202BB" w14:textId="77777777" w:rsidR="00380BE7" w:rsidRPr="00256982" w:rsidRDefault="00380BE7" w:rsidP="009574E7">
            <w:pPr>
              <w:pStyle w:val="TableText"/>
              <w:keepNext/>
            </w:pPr>
            <w:r w:rsidRPr="00256982">
              <w:t>Grassland – high producing</w:t>
            </w:r>
          </w:p>
        </w:tc>
        <w:tc>
          <w:tcPr>
            <w:tcW w:w="1056" w:type="dxa"/>
            <w:tcBorders>
              <w:top w:val="single" w:sz="4" w:space="0" w:color="365F91"/>
              <w:bottom w:val="single" w:sz="4" w:space="0" w:color="365F91"/>
            </w:tcBorders>
            <w:vAlign w:val="center"/>
          </w:tcPr>
          <w:p w14:paraId="740F9679" w14:textId="77777777" w:rsidR="00380BE7" w:rsidRPr="00256982" w:rsidRDefault="00380BE7" w:rsidP="009574E7">
            <w:pPr>
              <w:pStyle w:val="TableText"/>
              <w:jc w:val="right"/>
            </w:pPr>
            <w:r w:rsidRPr="00256982">
              <w:t>–</w:t>
            </w:r>
            <w:r w:rsidRPr="00256982">
              <w:rPr>
                <w:rFonts w:cs="Arial"/>
                <w:color w:val="000000"/>
                <w:szCs w:val="16"/>
              </w:rPr>
              <w:t>15,855.9</w:t>
            </w:r>
          </w:p>
        </w:tc>
        <w:tc>
          <w:tcPr>
            <w:tcW w:w="1358" w:type="dxa"/>
            <w:tcBorders>
              <w:top w:val="single" w:sz="4" w:space="0" w:color="365F91"/>
              <w:bottom w:val="single" w:sz="4" w:space="0" w:color="365F91"/>
            </w:tcBorders>
            <w:vAlign w:val="center"/>
          </w:tcPr>
          <w:p w14:paraId="150C984B" w14:textId="77777777" w:rsidR="00380BE7" w:rsidRPr="00256982" w:rsidRDefault="00380BE7" w:rsidP="009574E7">
            <w:pPr>
              <w:pStyle w:val="TableText"/>
              <w:jc w:val="right"/>
              <w:rPr>
                <w:b/>
              </w:rPr>
            </w:pPr>
            <w:r w:rsidRPr="00256982">
              <w:t>–</w:t>
            </w:r>
            <w:r w:rsidRPr="00256982">
              <w:rPr>
                <w:rFonts w:cs="Arial"/>
                <w:color w:val="000000"/>
                <w:szCs w:val="16"/>
              </w:rPr>
              <w:t>1,717.4</w:t>
            </w:r>
          </w:p>
        </w:tc>
        <w:tc>
          <w:tcPr>
            <w:tcW w:w="1056" w:type="dxa"/>
            <w:tcBorders>
              <w:top w:val="single" w:sz="4" w:space="0" w:color="365F91"/>
              <w:bottom w:val="single" w:sz="4" w:space="0" w:color="365F91"/>
            </w:tcBorders>
            <w:vAlign w:val="center"/>
          </w:tcPr>
          <w:p w14:paraId="1F3B444C" w14:textId="77777777" w:rsidR="00380BE7" w:rsidRPr="00256982" w:rsidRDefault="00380BE7" w:rsidP="009574E7">
            <w:pPr>
              <w:pStyle w:val="TableText"/>
              <w:jc w:val="right"/>
              <w:rPr>
                <w:b/>
              </w:rPr>
            </w:pPr>
            <w:r w:rsidRPr="00256982">
              <w:t>–</w:t>
            </w:r>
            <w:r w:rsidRPr="00256982">
              <w:rPr>
                <w:rFonts w:cs="Arial"/>
                <w:color w:val="000000"/>
                <w:szCs w:val="16"/>
              </w:rPr>
              <w:t>7,941.4</w:t>
            </w:r>
          </w:p>
        </w:tc>
        <w:tc>
          <w:tcPr>
            <w:tcW w:w="1056" w:type="dxa"/>
            <w:tcBorders>
              <w:top w:val="single" w:sz="4" w:space="0" w:color="365F91"/>
              <w:bottom w:val="single" w:sz="4" w:space="0" w:color="365F91"/>
            </w:tcBorders>
            <w:vAlign w:val="center"/>
          </w:tcPr>
          <w:p w14:paraId="3FB7E34A" w14:textId="77777777" w:rsidR="00380BE7" w:rsidRPr="00256982" w:rsidRDefault="00380BE7" w:rsidP="009574E7">
            <w:pPr>
              <w:pStyle w:val="TableText"/>
              <w:jc w:val="right"/>
              <w:rPr>
                <w:b/>
              </w:rPr>
            </w:pPr>
            <w:r w:rsidRPr="00256982">
              <w:t>–</w:t>
            </w:r>
            <w:r w:rsidRPr="00256982">
              <w:rPr>
                <w:rFonts w:cs="Arial"/>
                <w:color w:val="000000"/>
                <w:szCs w:val="16"/>
              </w:rPr>
              <w:t>25,514.7</w:t>
            </w:r>
          </w:p>
        </w:tc>
        <w:tc>
          <w:tcPr>
            <w:tcW w:w="1207" w:type="dxa"/>
            <w:tcBorders>
              <w:top w:val="single" w:sz="4" w:space="0" w:color="365F91"/>
              <w:bottom w:val="single" w:sz="4" w:space="0" w:color="365F91"/>
            </w:tcBorders>
            <w:vAlign w:val="center"/>
          </w:tcPr>
          <w:p w14:paraId="0C9752E5" w14:textId="77777777" w:rsidR="00380BE7" w:rsidRPr="00256982" w:rsidRDefault="00380BE7" w:rsidP="009574E7">
            <w:pPr>
              <w:pStyle w:val="TableText"/>
              <w:jc w:val="right"/>
              <w:rPr>
                <w:b/>
              </w:rPr>
            </w:pPr>
            <w:r w:rsidRPr="00256982">
              <w:rPr>
                <w:rFonts w:cs="Arial"/>
                <w:color w:val="000000"/>
                <w:szCs w:val="16"/>
              </w:rPr>
              <w:t>93,553.9</w:t>
            </w:r>
          </w:p>
        </w:tc>
      </w:tr>
      <w:tr w:rsidR="00380BE7" w:rsidRPr="00256982" w14:paraId="1D82DC2E" w14:textId="77777777" w:rsidTr="009574E7">
        <w:tc>
          <w:tcPr>
            <w:tcW w:w="2772" w:type="dxa"/>
            <w:tcBorders>
              <w:top w:val="single" w:sz="4" w:space="0" w:color="365F91"/>
              <w:bottom w:val="single" w:sz="4" w:space="0" w:color="365F91"/>
            </w:tcBorders>
          </w:tcPr>
          <w:p w14:paraId="3FD89486" w14:textId="77777777" w:rsidR="00380BE7" w:rsidRPr="00256982" w:rsidRDefault="00380BE7" w:rsidP="009574E7">
            <w:pPr>
              <w:pStyle w:val="TableText"/>
              <w:keepNext/>
            </w:pPr>
            <w:r w:rsidRPr="00256982">
              <w:t>Grassland – low producing</w:t>
            </w:r>
          </w:p>
        </w:tc>
        <w:tc>
          <w:tcPr>
            <w:tcW w:w="1056" w:type="dxa"/>
            <w:tcBorders>
              <w:top w:val="single" w:sz="4" w:space="0" w:color="365F91"/>
              <w:bottom w:val="single" w:sz="4" w:space="0" w:color="365F91"/>
            </w:tcBorders>
            <w:vAlign w:val="center"/>
          </w:tcPr>
          <w:p w14:paraId="72C6B1D7" w14:textId="77777777" w:rsidR="00380BE7" w:rsidRPr="00256982" w:rsidRDefault="00380BE7" w:rsidP="009574E7">
            <w:pPr>
              <w:pStyle w:val="TableText"/>
              <w:jc w:val="right"/>
            </w:pPr>
            <w:r w:rsidRPr="00256982">
              <w:t>–</w:t>
            </w:r>
            <w:r w:rsidRPr="00256982">
              <w:rPr>
                <w:rFonts w:cs="Arial"/>
                <w:color w:val="000000"/>
                <w:szCs w:val="16"/>
              </w:rPr>
              <w:t>8,752.3</w:t>
            </w:r>
          </w:p>
        </w:tc>
        <w:tc>
          <w:tcPr>
            <w:tcW w:w="1358" w:type="dxa"/>
            <w:tcBorders>
              <w:top w:val="single" w:sz="4" w:space="0" w:color="365F91"/>
              <w:bottom w:val="single" w:sz="4" w:space="0" w:color="365F91"/>
            </w:tcBorders>
            <w:vAlign w:val="center"/>
          </w:tcPr>
          <w:p w14:paraId="4BA18B27" w14:textId="77777777" w:rsidR="00380BE7" w:rsidRPr="00256982" w:rsidRDefault="00380BE7" w:rsidP="009574E7">
            <w:pPr>
              <w:pStyle w:val="TableText"/>
              <w:jc w:val="right"/>
              <w:rPr>
                <w:b/>
              </w:rPr>
            </w:pPr>
            <w:r w:rsidRPr="00256982">
              <w:t>–</w:t>
            </w:r>
            <w:r w:rsidRPr="00256982">
              <w:rPr>
                <w:rFonts w:cs="Arial"/>
                <w:color w:val="000000"/>
                <w:szCs w:val="16"/>
              </w:rPr>
              <w:t>900.8</w:t>
            </w:r>
          </w:p>
        </w:tc>
        <w:tc>
          <w:tcPr>
            <w:tcW w:w="1056" w:type="dxa"/>
            <w:tcBorders>
              <w:top w:val="single" w:sz="4" w:space="0" w:color="365F91"/>
              <w:bottom w:val="single" w:sz="4" w:space="0" w:color="365F91"/>
            </w:tcBorders>
            <w:vAlign w:val="center"/>
          </w:tcPr>
          <w:p w14:paraId="0F642F5D" w14:textId="77777777" w:rsidR="00380BE7" w:rsidRPr="00256982" w:rsidRDefault="00380BE7" w:rsidP="009574E7">
            <w:pPr>
              <w:pStyle w:val="TableText"/>
              <w:jc w:val="right"/>
              <w:rPr>
                <w:b/>
              </w:rPr>
            </w:pPr>
            <w:r w:rsidRPr="00256982">
              <w:rPr>
                <w:rFonts w:cs="Arial"/>
                <w:color w:val="000000"/>
                <w:szCs w:val="16"/>
              </w:rPr>
              <w:t>478.0</w:t>
            </w:r>
          </w:p>
        </w:tc>
        <w:tc>
          <w:tcPr>
            <w:tcW w:w="1056" w:type="dxa"/>
            <w:tcBorders>
              <w:top w:val="single" w:sz="4" w:space="0" w:color="365F91"/>
              <w:bottom w:val="single" w:sz="4" w:space="0" w:color="365F91"/>
            </w:tcBorders>
            <w:vAlign w:val="center"/>
          </w:tcPr>
          <w:p w14:paraId="1179AE3F" w14:textId="77777777" w:rsidR="00380BE7" w:rsidRPr="00256982" w:rsidRDefault="00380BE7" w:rsidP="009574E7">
            <w:pPr>
              <w:pStyle w:val="TableText"/>
              <w:jc w:val="right"/>
              <w:rPr>
                <w:b/>
              </w:rPr>
            </w:pPr>
            <w:r w:rsidRPr="00256982">
              <w:t>–</w:t>
            </w:r>
            <w:r w:rsidRPr="00256982">
              <w:rPr>
                <w:rFonts w:cs="Arial"/>
                <w:color w:val="000000"/>
                <w:szCs w:val="16"/>
              </w:rPr>
              <w:t>9,175.1</w:t>
            </w:r>
          </w:p>
        </w:tc>
        <w:tc>
          <w:tcPr>
            <w:tcW w:w="1207" w:type="dxa"/>
            <w:tcBorders>
              <w:top w:val="single" w:sz="4" w:space="0" w:color="365F91"/>
              <w:bottom w:val="single" w:sz="4" w:space="0" w:color="365F91"/>
            </w:tcBorders>
            <w:vAlign w:val="center"/>
          </w:tcPr>
          <w:p w14:paraId="041E67DB" w14:textId="77777777" w:rsidR="00380BE7" w:rsidRPr="00256982" w:rsidRDefault="00380BE7" w:rsidP="009574E7">
            <w:pPr>
              <w:pStyle w:val="TableText"/>
              <w:jc w:val="right"/>
              <w:rPr>
                <w:b/>
              </w:rPr>
            </w:pPr>
            <w:r w:rsidRPr="00256982">
              <w:rPr>
                <w:rFonts w:cs="Arial"/>
                <w:color w:val="000000"/>
                <w:szCs w:val="16"/>
              </w:rPr>
              <w:t>33,641.9</w:t>
            </w:r>
          </w:p>
        </w:tc>
      </w:tr>
      <w:tr w:rsidR="00380BE7" w:rsidRPr="00256982" w14:paraId="7006A485" w14:textId="77777777" w:rsidTr="009574E7">
        <w:tc>
          <w:tcPr>
            <w:tcW w:w="2772" w:type="dxa"/>
            <w:tcBorders>
              <w:top w:val="single" w:sz="4" w:space="0" w:color="365F91"/>
              <w:bottom w:val="single" w:sz="4" w:space="0" w:color="365F91"/>
            </w:tcBorders>
          </w:tcPr>
          <w:p w14:paraId="40459D37" w14:textId="77777777" w:rsidR="00380BE7" w:rsidRPr="00256982" w:rsidRDefault="00380BE7" w:rsidP="009574E7">
            <w:pPr>
              <w:pStyle w:val="TableText"/>
              <w:keepNext/>
            </w:pPr>
            <w:r w:rsidRPr="00256982">
              <w:t>Grassland – with woody biomass</w:t>
            </w:r>
          </w:p>
        </w:tc>
        <w:tc>
          <w:tcPr>
            <w:tcW w:w="1056" w:type="dxa"/>
            <w:tcBorders>
              <w:top w:val="single" w:sz="4" w:space="0" w:color="365F91"/>
              <w:bottom w:val="single" w:sz="4" w:space="0" w:color="365F91"/>
            </w:tcBorders>
            <w:vAlign w:val="center"/>
          </w:tcPr>
          <w:p w14:paraId="49AD0BEA" w14:textId="77777777" w:rsidR="00380BE7" w:rsidRPr="00256982" w:rsidRDefault="00380BE7" w:rsidP="009574E7">
            <w:pPr>
              <w:pStyle w:val="TableText"/>
              <w:jc w:val="right"/>
            </w:pPr>
            <w:r w:rsidRPr="00256982">
              <w:t>–</w:t>
            </w:r>
            <w:r w:rsidRPr="00256982">
              <w:rPr>
                <w:rFonts w:cs="Arial"/>
                <w:color w:val="000000"/>
                <w:szCs w:val="16"/>
              </w:rPr>
              <w:t>1,087.5</w:t>
            </w:r>
          </w:p>
        </w:tc>
        <w:tc>
          <w:tcPr>
            <w:tcW w:w="1358" w:type="dxa"/>
            <w:tcBorders>
              <w:top w:val="single" w:sz="4" w:space="0" w:color="365F91"/>
              <w:bottom w:val="single" w:sz="4" w:space="0" w:color="365F91"/>
            </w:tcBorders>
            <w:vAlign w:val="center"/>
          </w:tcPr>
          <w:p w14:paraId="0EAEEE0C" w14:textId="77777777" w:rsidR="00380BE7" w:rsidRPr="00256982" w:rsidRDefault="00380BE7" w:rsidP="009574E7">
            <w:pPr>
              <w:pStyle w:val="TableText"/>
              <w:jc w:val="right"/>
              <w:rPr>
                <w:b/>
              </w:rPr>
            </w:pPr>
            <w:r w:rsidRPr="00256982">
              <w:t>–</w:t>
            </w:r>
            <w:r w:rsidRPr="00256982">
              <w:rPr>
                <w:rFonts w:cs="Arial"/>
                <w:color w:val="000000"/>
                <w:szCs w:val="16"/>
              </w:rPr>
              <w:t>218.7</w:t>
            </w:r>
          </w:p>
        </w:tc>
        <w:tc>
          <w:tcPr>
            <w:tcW w:w="1056" w:type="dxa"/>
            <w:tcBorders>
              <w:top w:val="single" w:sz="4" w:space="0" w:color="365F91"/>
              <w:bottom w:val="single" w:sz="4" w:space="0" w:color="365F91"/>
            </w:tcBorders>
            <w:vAlign w:val="center"/>
          </w:tcPr>
          <w:p w14:paraId="67EEF442" w14:textId="77777777" w:rsidR="00380BE7" w:rsidRPr="00256982" w:rsidRDefault="00380BE7" w:rsidP="009574E7">
            <w:pPr>
              <w:pStyle w:val="TableText"/>
              <w:jc w:val="right"/>
              <w:rPr>
                <w:b/>
              </w:rPr>
            </w:pPr>
            <w:r w:rsidRPr="00256982">
              <w:t>–</w:t>
            </w:r>
            <w:r w:rsidRPr="00256982">
              <w:rPr>
                <w:rFonts w:cs="Arial"/>
                <w:color w:val="000000"/>
                <w:szCs w:val="16"/>
              </w:rPr>
              <w:t>1,061.9</w:t>
            </w:r>
          </w:p>
        </w:tc>
        <w:tc>
          <w:tcPr>
            <w:tcW w:w="1056" w:type="dxa"/>
            <w:tcBorders>
              <w:top w:val="single" w:sz="4" w:space="0" w:color="365F91"/>
              <w:bottom w:val="single" w:sz="4" w:space="0" w:color="365F91"/>
            </w:tcBorders>
            <w:vAlign w:val="center"/>
          </w:tcPr>
          <w:p w14:paraId="551D8721" w14:textId="77777777" w:rsidR="00380BE7" w:rsidRPr="00256982" w:rsidRDefault="00380BE7" w:rsidP="009574E7">
            <w:pPr>
              <w:pStyle w:val="TableText"/>
              <w:jc w:val="right"/>
              <w:rPr>
                <w:b/>
              </w:rPr>
            </w:pPr>
            <w:r w:rsidRPr="00256982">
              <w:t>–</w:t>
            </w:r>
            <w:r w:rsidRPr="00256982">
              <w:rPr>
                <w:rFonts w:cs="Arial"/>
                <w:color w:val="000000"/>
                <w:szCs w:val="16"/>
              </w:rPr>
              <w:t>2,368.1</w:t>
            </w:r>
          </w:p>
        </w:tc>
        <w:tc>
          <w:tcPr>
            <w:tcW w:w="1207" w:type="dxa"/>
            <w:tcBorders>
              <w:top w:val="single" w:sz="4" w:space="0" w:color="365F91"/>
              <w:bottom w:val="single" w:sz="4" w:space="0" w:color="365F91"/>
            </w:tcBorders>
            <w:vAlign w:val="center"/>
          </w:tcPr>
          <w:p w14:paraId="68D5E031" w14:textId="77777777" w:rsidR="00380BE7" w:rsidRPr="00256982" w:rsidRDefault="00380BE7" w:rsidP="009574E7">
            <w:pPr>
              <w:pStyle w:val="TableText"/>
              <w:jc w:val="right"/>
              <w:rPr>
                <w:b/>
              </w:rPr>
            </w:pPr>
            <w:r w:rsidRPr="00256982">
              <w:rPr>
                <w:rFonts w:cs="Arial"/>
                <w:color w:val="000000"/>
                <w:szCs w:val="16"/>
              </w:rPr>
              <w:t>8,683.1</w:t>
            </w:r>
          </w:p>
        </w:tc>
      </w:tr>
      <w:tr w:rsidR="00380BE7" w:rsidRPr="00256982" w14:paraId="1BA67A4C" w14:textId="77777777" w:rsidTr="009574E7">
        <w:tc>
          <w:tcPr>
            <w:tcW w:w="2772" w:type="dxa"/>
            <w:tcBorders>
              <w:top w:val="single" w:sz="4" w:space="0" w:color="365F91"/>
              <w:bottom w:val="single" w:sz="4" w:space="0" w:color="365F91"/>
            </w:tcBorders>
          </w:tcPr>
          <w:p w14:paraId="49E271A9" w14:textId="77777777" w:rsidR="00380BE7" w:rsidRPr="00256982" w:rsidRDefault="00380BE7" w:rsidP="009574E7">
            <w:pPr>
              <w:pStyle w:val="Tableboldblue"/>
            </w:pPr>
            <w:r w:rsidRPr="00256982">
              <w:t>Total</w:t>
            </w:r>
          </w:p>
        </w:tc>
        <w:tc>
          <w:tcPr>
            <w:tcW w:w="1056" w:type="dxa"/>
            <w:tcBorders>
              <w:top w:val="single" w:sz="4" w:space="0" w:color="365F91"/>
              <w:bottom w:val="single" w:sz="4" w:space="0" w:color="365F91"/>
            </w:tcBorders>
            <w:vAlign w:val="center"/>
          </w:tcPr>
          <w:p w14:paraId="0F2F373D" w14:textId="77777777" w:rsidR="00380BE7" w:rsidRPr="00256982" w:rsidRDefault="00380BE7" w:rsidP="009574E7">
            <w:pPr>
              <w:pStyle w:val="Tableboldblue"/>
              <w:jc w:val="right"/>
              <w:rPr>
                <w:rFonts w:cs="Arial"/>
                <w:bCs/>
                <w:szCs w:val="16"/>
              </w:rPr>
            </w:pPr>
            <w:r w:rsidRPr="00256982">
              <w:rPr>
                <w:rFonts w:cs="Arial"/>
                <w:bCs/>
                <w:szCs w:val="16"/>
              </w:rPr>
              <w:t>–25,695.6</w:t>
            </w:r>
          </w:p>
        </w:tc>
        <w:tc>
          <w:tcPr>
            <w:tcW w:w="1358" w:type="dxa"/>
            <w:tcBorders>
              <w:top w:val="single" w:sz="4" w:space="0" w:color="365F91"/>
              <w:bottom w:val="single" w:sz="4" w:space="0" w:color="365F91"/>
            </w:tcBorders>
            <w:vAlign w:val="center"/>
          </w:tcPr>
          <w:p w14:paraId="2166E6A5" w14:textId="77777777" w:rsidR="00380BE7" w:rsidRPr="00256982" w:rsidRDefault="00380BE7" w:rsidP="009574E7">
            <w:pPr>
              <w:pStyle w:val="Tableboldblue"/>
              <w:jc w:val="right"/>
              <w:rPr>
                <w:rFonts w:cs="Arial"/>
                <w:bCs/>
                <w:szCs w:val="16"/>
              </w:rPr>
            </w:pPr>
            <w:r w:rsidRPr="00256982">
              <w:rPr>
                <w:rFonts w:cs="Arial"/>
                <w:bCs/>
                <w:szCs w:val="16"/>
              </w:rPr>
              <w:t>–2,837.0</w:t>
            </w:r>
          </w:p>
        </w:tc>
        <w:tc>
          <w:tcPr>
            <w:tcW w:w="1056" w:type="dxa"/>
            <w:tcBorders>
              <w:top w:val="single" w:sz="4" w:space="0" w:color="365F91"/>
              <w:bottom w:val="single" w:sz="4" w:space="0" w:color="365F91"/>
            </w:tcBorders>
            <w:vAlign w:val="center"/>
          </w:tcPr>
          <w:p w14:paraId="03AB065C" w14:textId="77777777" w:rsidR="00380BE7" w:rsidRPr="00256982" w:rsidRDefault="00380BE7" w:rsidP="009574E7">
            <w:pPr>
              <w:pStyle w:val="Tableboldblue"/>
              <w:jc w:val="right"/>
              <w:rPr>
                <w:rFonts w:cs="Arial"/>
                <w:bCs/>
                <w:szCs w:val="16"/>
              </w:rPr>
            </w:pPr>
            <w:r w:rsidRPr="00256982">
              <w:rPr>
                <w:rFonts w:cs="Arial"/>
                <w:bCs/>
                <w:szCs w:val="16"/>
              </w:rPr>
              <w:t>–8,525.3</w:t>
            </w:r>
          </w:p>
        </w:tc>
        <w:tc>
          <w:tcPr>
            <w:tcW w:w="1056" w:type="dxa"/>
            <w:tcBorders>
              <w:top w:val="single" w:sz="4" w:space="0" w:color="365F91"/>
              <w:bottom w:val="single" w:sz="4" w:space="0" w:color="365F91"/>
            </w:tcBorders>
            <w:vAlign w:val="center"/>
          </w:tcPr>
          <w:p w14:paraId="531FB6A9" w14:textId="77777777" w:rsidR="00380BE7" w:rsidRPr="00256982" w:rsidRDefault="00380BE7" w:rsidP="009574E7">
            <w:pPr>
              <w:pStyle w:val="Tableboldblue"/>
              <w:jc w:val="right"/>
              <w:rPr>
                <w:rFonts w:cs="Arial"/>
                <w:bCs/>
                <w:szCs w:val="16"/>
              </w:rPr>
            </w:pPr>
            <w:r w:rsidRPr="00256982">
              <w:rPr>
                <w:rFonts w:cs="Arial"/>
                <w:bCs/>
                <w:szCs w:val="16"/>
              </w:rPr>
              <w:t>–37,057.9</w:t>
            </w:r>
          </w:p>
        </w:tc>
        <w:tc>
          <w:tcPr>
            <w:tcW w:w="1207" w:type="dxa"/>
            <w:tcBorders>
              <w:top w:val="single" w:sz="4" w:space="0" w:color="365F91"/>
              <w:bottom w:val="single" w:sz="4" w:space="0" w:color="365F91"/>
            </w:tcBorders>
            <w:vAlign w:val="center"/>
          </w:tcPr>
          <w:p w14:paraId="02AF56ED" w14:textId="77777777" w:rsidR="00380BE7" w:rsidRPr="00256982" w:rsidRDefault="00380BE7" w:rsidP="009574E7">
            <w:pPr>
              <w:pStyle w:val="Tableboldblue"/>
              <w:jc w:val="right"/>
              <w:rPr>
                <w:rFonts w:cs="Arial"/>
                <w:bCs/>
                <w:szCs w:val="16"/>
              </w:rPr>
            </w:pPr>
            <w:r w:rsidRPr="00256982">
              <w:rPr>
                <w:rFonts w:cs="Arial"/>
                <w:bCs/>
                <w:szCs w:val="16"/>
              </w:rPr>
              <w:t>135,878.9</w:t>
            </w:r>
          </w:p>
        </w:tc>
      </w:tr>
    </w:tbl>
    <w:p w14:paraId="5CAE71ED" w14:textId="77777777" w:rsidR="00380BE7" w:rsidRPr="00256982" w:rsidRDefault="00380BE7" w:rsidP="00380BE7">
      <w:pPr>
        <w:pStyle w:val="Noteundertable"/>
      </w:pPr>
      <w:r w:rsidRPr="00256982">
        <w:rPr>
          <w:b/>
          <w:bCs/>
        </w:rPr>
        <w:t>Note</w:t>
      </w:r>
      <w:r w:rsidRPr="00256982">
        <w:rPr>
          <w:b/>
        </w:rPr>
        <w:t>:</w:t>
      </w:r>
      <w:r w:rsidRPr="00256982">
        <w:tab/>
        <w:t>Columns may not total due to rounding.</w:t>
      </w:r>
    </w:p>
    <w:p w14:paraId="2B558A68" w14:textId="77777777" w:rsidR="00380BE7" w:rsidRPr="00256982" w:rsidRDefault="00380BE7" w:rsidP="00380BE7">
      <w:pPr>
        <w:pStyle w:val="Heading5"/>
      </w:pPr>
      <w:bookmarkStart w:id="1817" w:name="_Toc255466394"/>
      <w:bookmarkStart w:id="1818" w:name="_Toc261513201"/>
      <w:bookmarkStart w:id="1819" w:name="_Toc261513814"/>
      <w:bookmarkStart w:id="1820" w:name="_Toc280630286"/>
      <w:r w:rsidRPr="00256982">
        <w:lastRenderedPageBreak/>
        <w:t>Grassland remaining grassland</w:t>
      </w:r>
      <w:bookmarkEnd w:id="1817"/>
      <w:bookmarkEnd w:id="1818"/>
      <w:bookmarkEnd w:id="1819"/>
      <w:bookmarkEnd w:id="1820"/>
    </w:p>
    <w:p w14:paraId="0BAB948C" w14:textId="77777777" w:rsidR="00380BE7" w:rsidRPr="00256982" w:rsidRDefault="00380BE7" w:rsidP="00380BE7">
      <w:pPr>
        <w:pStyle w:val="BodyText"/>
      </w:pPr>
      <w:r w:rsidRPr="00256982">
        <w:t xml:space="preserve">There were 14,481,132 hectares of </w:t>
      </w:r>
      <w:r w:rsidRPr="00256982">
        <w:rPr>
          <w:i/>
        </w:rPr>
        <w:t>Grassland remaining grassland</w:t>
      </w:r>
      <w:r w:rsidRPr="00256982">
        <w:t xml:space="preserve"> as at 2017, equivalent to 53.8 per cent of New Zealand’s total land area. For estimating carbon stock change with land-use change, this category has been subcategorised into land use types: high producing, low producing and with woody biomass. </w:t>
      </w:r>
    </w:p>
    <w:p w14:paraId="506E6D64" w14:textId="77777777" w:rsidR="00380BE7" w:rsidRPr="00256982" w:rsidRDefault="00380BE7" w:rsidP="00380BE7">
      <w:pPr>
        <w:pStyle w:val="Heading5"/>
      </w:pPr>
      <w:bookmarkStart w:id="1821" w:name="_Toc255466395"/>
      <w:bookmarkStart w:id="1822" w:name="_Toc261513202"/>
      <w:bookmarkStart w:id="1823" w:name="_Toc261513815"/>
      <w:bookmarkStart w:id="1824" w:name="_Toc280630287"/>
      <w:r w:rsidRPr="00256982">
        <w:t>Land converted to grassland</w:t>
      </w:r>
      <w:bookmarkEnd w:id="1821"/>
      <w:bookmarkEnd w:id="1822"/>
      <w:bookmarkEnd w:id="1823"/>
      <w:bookmarkEnd w:id="1824"/>
    </w:p>
    <w:p w14:paraId="37676773" w14:textId="77777777" w:rsidR="00380BE7" w:rsidRPr="00256982" w:rsidRDefault="00380BE7" w:rsidP="00C549F6">
      <w:pPr>
        <w:pStyle w:val="BodyText"/>
        <w:spacing w:before="100" w:after="100"/>
      </w:pPr>
      <w:r w:rsidRPr="00256982">
        <w:t xml:space="preserve">Much of New Zealand’s grassland is grazed, with agriculture being the main land use. The majority of New Zealand’s agriculture is based on extensive pasture systems, with animals grazed outdoors year-round. Increased profitability of dairy farming relative to other land uses has seen a recent trend for conversion of planted forest to pasture (deforestation). </w:t>
      </w:r>
    </w:p>
    <w:p w14:paraId="14F8839E" w14:textId="77777777" w:rsidR="00380BE7" w:rsidRPr="00256982" w:rsidRDefault="00380BE7" w:rsidP="00C549F6">
      <w:pPr>
        <w:pStyle w:val="BodyText"/>
        <w:spacing w:before="100" w:after="100"/>
      </w:pPr>
      <w:r w:rsidRPr="00256982">
        <w:t xml:space="preserve">Between 2016 and 2017, 4,040 hectares of land was converted to </w:t>
      </w:r>
      <w:r w:rsidRPr="00256982">
        <w:rPr>
          <w:i/>
        </w:rPr>
        <w:t>Grassland</w:t>
      </w:r>
      <w:r w:rsidRPr="00256982">
        <w:t xml:space="preserve">, while 7,866 hectares of </w:t>
      </w:r>
      <w:r w:rsidRPr="00256982">
        <w:rPr>
          <w:i/>
        </w:rPr>
        <w:t>Grassland</w:t>
      </w:r>
      <w:r w:rsidRPr="00256982">
        <w:t xml:space="preserve"> was converted to other land use categories.</w:t>
      </w:r>
    </w:p>
    <w:p w14:paraId="1CDDF9E6" w14:textId="77777777" w:rsidR="00380BE7" w:rsidRPr="00256982" w:rsidRDefault="00380BE7" w:rsidP="00C549F6">
      <w:pPr>
        <w:pStyle w:val="BodyText"/>
        <w:spacing w:before="100" w:after="100"/>
      </w:pPr>
      <w:r w:rsidRPr="00256982">
        <w:t xml:space="preserve">The majority (94.0 per cent) of </w:t>
      </w:r>
      <w:r w:rsidRPr="00256982">
        <w:rPr>
          <w:i/>
        </w:rPr>
        <w:t>Land converted to grassland</w:t>
      </w:r>
      <w:r w:rsidRPr="00256982">
        <w:t xml:space="preserve"> since 1 January 1990 is land that was previously </w:t>
      </w:r>
      <w:r w:rsidRPr="00256982">
        <w:rPr>
          <w:i/>
        </w:rPr>
        <w:t>Forest land</w:t>
      </w:r>
      <w:r w:rsidRPr="00256982">
        <w:t xml:space="preserve">. The 197,478 hectares of </w:t>
      </w:r>
      <w:r w:rsidRPr="00256982">
        <w:rPr>
          <w:i/>
        </w:rPr>
        <w:t>Forest land</w:t>
      </w:r>
      <w:r w:rsidRPr="00256982">
        <w:t xml:space="preserve"> converted to </w:t>
      </w:r>
      <w:r w:rsidRPr="00256982">
        <w:rPr>
          <w:i/>
        </w:rPr>
        <w:t>Grassland</w:t>
      </w:r>
      <w:r w:rsidRPr="00256982">
        <w:t xml:space="preserve"> since 1 January 1990 comprises an estimated 43,577 hectares of natural forest and 124,270 hectares of pre-1990 planted forest. A further 29,631 hectares of post-1989 forest (land that was not </w:t>
      </w:r>
      <w:r w:rsidRPr="00256982">
        <w:rPr>
          <w:i/>
        </w:rPr>
        <w:t>Forest land</w:t>
      </w:r>
      <w:r w:rsidRPr="00256982">
        <w:t xml:space="preserve"> at the start of 1990) has also been converted to </w:t>
      </w:r>
      <w:r w:rsidRPr="00256982">
        <w:rPr>
          <w:i/>
        </w:rPr>
        <w:t>Grassland</w:t>
      </w:r>
      <w:r w:rsidRPr="00256982">
        <w:t xml:space="preserve"> since 1 January 1990. (For more information on deforestation, see sections 6.2 and 6.4 and chapter 11.) Land-use change of </w:t>
      </w:r>
      <w:r w:rsidRPr="00256982">
        <w:rPr>
          <w:i/>
        </w:rPr>
        <w:t>Forest land</w:t>
      </w:r>
      <w:r w:rsidRPr="00256982">
        <w:t xml:space="preserve"> to </w:t>
      </w:r>
      <w:r w:rsidRPr="00256982">
        <w:rPr>
          <w:i/>
        </w:rPr>
        <w:t xml:space="preserve">Grassland </w:t>
      </w:r>
      <w:r w:rsidRPr="00256982">
        <w:t>resulted in net emissions of 2,450.3 kt CO</w:t>
      </w:r>
      <w:r w:rsidRPr="00256982">
        <w:rPr>
          <w:vertAlign w:val="subscript"/>
        </w:rPr>
        <w:t xml:space="preserve">2 </w:t>
      </w:r>
      <w:r w:rsidRPr="00256982">
        <w:t>in 2017.</w:t>
      </w:r>
    </w:p>
    <w:p w14:paraId="0AC8BA8F" w14:textId="77777777" w:rsidR="00380BE7" w:rsidRPr="00256982" w:rsidRDefault="00380BE7" w:rsidP="00C549F6">
      <w:pPr>
        <w:pStyle w:val="Heading3"/>
        <w:spacing w:before="280"/>
      </w:pPr>
      <w:bookmarkStart w:id="1825" w:name="_Toc139253971"/>
      <w:bookmarkStart w:id="1826" w:name="_Toc255466396"/>
      <w:bookmarkStart w:id="1827" w:name="_Toc261513203"/>
      <w:bookmarkStart w:id="1828" w:name="_Toc261513816"/>
      <w:bookmarkStart w:id="1829" w:name="_Toc280630288"/>
      <w:r w:rsidRPr="00256982">
        <w:t>6.6.2</w:t>
      </w:r>
      <w:r w:rsidRPr="00256982">
        <w:tab/>
        <w:t>Methodological issues</w:t>
      </w:r>
      <w:bookmarkEnd w:id="1825"/>
      <w:bookmarkEnd w:id="1826"/>
      <w:bookmarkEnd w:id="1827"/>
      <w:bookmarkEnd w:id="1828"/>
      <w:bookmarkEnd w:id="1829"/>
    </w:p>
    <w:p w14:paraId="51A9B6CC" w14:textId="77777777" w:rsidR="00380BE7" w:rsidRPr="00256982" w:rsidRDefault="00380BE7" w:rsidP="00380BE7">
      <w:pPr>
        <w:pStyle w:val="BodyText"/>
        <w:rPr>
          <w:spacing w:val="-2"/>
        </w:rPr>
      </w:pPr>
      <w:r w:rsidRPr="00256982">
        <w:t xml:space="preserve">Emissions and removals from living biomass and dead organic matter have been calculated using a combination of IPCC Tier 1 emission factors and country-specific factors (see table 6.6.3). Emissions and removals from mineral soils are estimated using a </w:t>
      </w:r>
      <w:r w:rsidRPr="00256982">
        <w:rPr>
          <w:spacing w:val="-2"/>
        </w:rPr>
        <w:t xml:space="preserve">Tier 2 method, whereas organic soils are estimated using a Tier 1 method (see section 6.3). </w:t>
      </w:r>
    </w:p>
    <w:p w14:paraId="76D68872" w14:textId="77777777" w:rsidR="00380BE7" w:rsidRPr="00256982" w:rsidRDefault="00380BE7" w:rsidP="00380BE7">
      <w:pPr>
        <w:pStyle w:val="Table"/>
      </w:pPr>
      <w:bookmarkStart w:id="1830" w:name="_Toc310423425"/>
      <w:bookmarkStart w:id="1831" w:name="_Toc318362718"/>
      <w:bookmarkStart w:id="1832" w:name="_Toc342470780"/>
      <w:bookmarkStart w:id="1833" w:name="_Toc352505020"/>
      <w:bookmarkStart w:id="1834" w:name="_Toc378853309"/>
      <w:bookmarkStart w:id="1835" w:name="_Toc391024107"/>
      <w:bookmarkStart w:id="1836" w:name="_Toc410028850"/>
      <w:bookmarkStart w:id="1837" w:name="_Toc414531478"/>
      <w:bookmarkStart w:id="1838" w:name="_Toc443645391"/>
      <w:bookmarkStart w:id="1839" w:name="_Toc474914610"/>
      <w:bookmarkStart w:id="1840" w:name="_Toc481751574"/>
      <w:bookmarkStart w:id="1841" w:name="_Toc522010631"/>
      <w:bookmarkStart w:id="1842" w:name="_Toc5269536"/>
      <w:bookmarkStart w:id="1843" w:name="_Toc255466397"/>
      <w:bookmarkStart w:id="1844" w:name="_Toc261513204"/>
      <w:bookmarkStart w:id="1845" w:name="_Toc261513817"/>
      <w:r w:rsidRPr="00256982">
        <w:t>Table 6.6.3</w:t>
      </w:r>
      <w:r w:rsidRPr="00256982">
        <w:tab/>
        <w:t>Summary of New Zealand’s biomass emission factors for Grassland</w:t>
      </w:r>
      <w:bookmarkEnd w:id="1830"/>
      <w:bookmarkEnd w:id="1831"/>
      <w:bookmarkEnd w:id="1832"/>
      <w:bookmarkEnd w:id="1833"/>
      <w:bookmarkEnd w:id="1834"/>
      <w:bookmarkEnd w:id="1835"/>
      <w:bookmarkEnd w:id="1836"/>
      <w:bookmarkEnd w:id="1837"/>
      <w:bookmarkEnd w:id="1838"/>
      <w:bookmarkEnd w:id="1839"/>
      <w:bookmarkEnd w:id="1840"/>
      <w:bookmarkEnd w:id="1841"/>
      <w:bookmarkEnd w:id="1842"/>
    </w:p>
    <w:tbl>
      <w:tblPr>
        <w:tblW w:w="8505" w:type="dxa"/>
        <w:tblInd w:w="108" w:type="dxa"/>
        <w:tblLook w:val="04A0" w:firstRow="1" w:lastRow="0" w:firstColumn="1" w:lastColumn="0" w:noHBand="0" w:noVBand="1"/>
      </w:tblPr>
      <w:tblGrid>
        <w:gridCol w:w="1246"/>
        <w:gridCol w:w="1857"/>
        <w:gridCol w:w="1320"/>
        <w:gridCol w:w="1491"/>
        <w:gridCol w:w="1335"/>
        <w:gridCol w:w="1256"/>
      </w:tblGrid>
      <w:tr w:rsidR="00380BE7" w:rsidRPr="00256982" w14:paraId="662E7EB0" w14:textId="77777777" w:rsidTr="009574E7">
        <w:trPr>
          <w:trHeight w:val="20"/>
          <w:tblHeader/>
        </w:trPr>
        <w:tc>
          <w:tcPr>
            <w:tcW w:w="1180" w:type="dxa"/>
            <w:tcBorders>
              <w:top w:val="single" w:sz="4" w:space="0" w:color="365F91"/>
              <w:bottom w:val="single" w:sz="4" w:space="0" w:color="365F91"/>
            </w:tcBorders>
            <w:shd w:val="clear" w:color="auto" w:fill="365F91"/>
            <w:vAlign w:val="bottom"/>
          </w:tcPr>
          <w:p w14:paraId="1F3D838A" w14:textId="77777777" w:rsidR="00380BE7" w:rsidRPr="00256982" w:rsidRDefault="00380BE7" w:rsidP="009574E7">
            <w:pPr>
              <w:pStyle w:val="TableTextBold"/>
              <w:keepNext/>
              <w:rPr>
                <w:noProof w:val="0"/>
                <w:color w:val="FFFFFF"/>
              </w:rPr>
            </w:pPr>
            <w:r w:rsidRPr="00256982">
              <w:rPr>
                <w:noProof w:val="0"/>
                <w:color w:val="FFFFFF"/>
              </w:rPr>
              <w:t>Land use</w:t>
            </w:r>
          </w:p>
        </w:tc>
        <w:tc>
          <w:tcPr>
            <w:tcW w:w="1757" w:type="dxa"/>
            <w:tcBorders>
              <w:top w:val="single" w:sz="4" w:space="0" w:color="365F91"/>
              <w:bottom w:val="single" w:sz="4" w:space="0" w:color="365F91"/>
            </w:tcBorders>
            <w:shd w:val="clear" w:color="auto" w:fill="365F91"/>
            <w:vAlign w:val="bottom"/>
          </w:tcPr>
          <w:p w14:paraId="15EBFE02" w14:textId="77777777" w:rsidR="00380BE7" w:rsidRPr="00256982" w:rsidRDefault="00380BE7" w:rsidP="009574E7">
            <w:pPr>
              <w:pStyle w:val="TableTextBold"/>
              <w:rPr>
                <w:noProof w:val="0"/>
                <w:color w:val="FFFFFF"/>
              </w:rPr>
            </w:pPr>
            <w:r w:rsidRPr="00256982">
              <w:rPr>
                <w:noProof w:val="0"/>
                <w:color w:val="FFFFFF"/>
              </w:rPr>
              <w:t>Carbon pool</w:t>
            </w:r>
          </w:p>
        </w:tc>
        <w:tc>
          <w:tcPr>
            <w:tcW w:w="1249" w:type="dxa"/>
            <w:tcBorders>
              <w:top w:val="single" w:sz="4" w:space="0" w:color="365F91"/>
              <w:bottom w:val="single" w:sz="4" w:space="0" w:color="365F91"/>
            </w:tcBorders>
            <w:shd w:val="clear" w:color="auto" w:fill="365F91"/>
            <w:vAlign w:val="bottom"/>
          </w:tcPr>
          <w:p w14:paraId="197C4109" w14:textId="77777777" w:rsidR="00380BE7" w:rsidRPr="00256982" w:rsidRDefault="00380BE7" w:rsidP="009574E7">
            <w:pPr>
              <w:pStyle w:val="TableTextBold"/>
              <w:jc w:val="center"/>
              <w:rPr>
                <w:noProof w:val="0"/>
                <w:color w:val="FFFFFF"/>
              </w:rPr>
            </w:pPr>
            <w:r w:rsidRPr="00256982">
              <w:rPr>
                <w:noProof w:val="0"/>
                <w:color w:val="FFFFFF"/>
              </w:rPr>
              <w:t>Steady state carbon stock</w:t>
            </w:r>
            <w:r w:rsidRPr="00256982">
              <w:rPr>
                <w:noProof w:val="0"/>
                <w:color w:val="FFFFFF"/>
              </w:rPr>
              <w:br/>
              <w:t>(t C ha</w:t>
            </w:r>
            <w:r w:rsidRPr="00256982">
              <w:rPr>
                <w:noProof w:val="0"/>
                <w:color w:val="FFFFFF"/>
                <w:vertAlign w:val="superscript"/>
              </w:rPr>
              <w:t>–1</w:t>
            </w:r>
            <w:r w:rsidRPr="00256982">
              <w:rPr>
                <w:noProof w:val="0"/>
                <w:color w:val="FFFFFF"/>
              </w:rPr>
              <w:t>)</w:t>
            </w:r>
          </w:p>
        </w:tc>
        <w:tc>
          <w:tcPr>
            <w:tcW w:w="1411" w:type="dxa"/>
            <w:tcBorders>
              <w:top w:val="single" w:sz="4" w:space="0" w:color="365F91"/>
              <w:bottom w:val="single" w:sz="4" w:space="0" w:color="365F91"/>
            </w:tcBorders>
            <w:shd w:val="clear" w:color="auto" w:fill="365F91"/>
            <w:vAlign w:val="bottom"/>
          </w:tcPr>
          <w:p w14:paraId="4ED7B37C" w14:textId="77777777" w:rsidR="00380BE7" w:rsidRPr="00256982" w:rsidRDefault="00380BE7" w:rsidP="009574E7">
            <w:pPr>
              <w:pStyle w:val="TableTextBold"/>
              <w:jc w:val="center"/>
              <w:rPr>
                <w:noProof w:val="0"/>
                <w:color w:val="FFFFFF"/>
              </w:rPr>
            </w:pPr>
            <w:r w:rsidRPr="00256982">
              <w:rPr>
                <w:noProof w:val="0"/>
                <w:color w:val="FFFFFF"/>
              </w:rPr>
              <w:t xml:space="preserve">Annual carbon accumulation </w:t>
            </w:r>
            <w:r w:rsidRPr="00256982">
              <w:rPr>
                <w:noProof w:val="0"/>
                <w:color w:val="FFFFFF"/>
              </w:rPr>
              <w:br/>
              <w:t>(t C ha</w:t>
            </w:r>
            <w:r w:rsidRPr="00256982">
              <w:rPr>
                <w:noProof w:val="0"/>
                <w:color w:val="FFFFFF"/>
                <w:vertAlign w:val="superscript"/>
              </w:rPr>
              <w:t>–1</w:t>
            </w:r>
            <w:r w:rsidRPr="00256982">
              <w:rPr>
                <w:noProof w:val="0"/>
                <w:color w:val="FFFFFF"/>
              </w:rPr>
              <w:t>)</w:t>
            </w:r>
          </w:p>
        </w:tc>
        <w:tc>
          <w:tcPr>
            <w:tcW w:w="1263" w:type="dxa"/>
            <w:tcBorders>
              <w:top w:val="single" w:sz="4" w:space="0" w:color="365F91"/>
              <w:bottom w:val="single" w:sz="4" w:space="0" w:color="365F91"/>
            </w:tcBorders>
            <w:shd w:val="clear" w:color="auto" w:fill="365F91"/>
            <w:vAlign w:val="bottom"/>
          </w:tcPr>
          <w:p w14:paraId="440D853F" w14:textId="77777777" w:rsidR="00380BE7" w:rsidRPr="00256982" w:rsidRDefault="00380BE7" w:rsidP="009574E7">
            <w:pPr>
              <w:pStyle w:val="TableTextBold"/>
              <w:jc w:val="center"/>
              <w:rPr>
                <w:noProof w:val="0"/>
                <w:color w:val="FFFFFF"/>
              </w:rPr>
            </w:pPr>
            <w:r w:rsidRPr="00256982">
              <w:rPr>
                <w:noProof w:val="0"/>
                <w:color w:val="FFFFFF"/>
              </w:rPr>
              <w:t>Years to reach steady state</w:t>
            </w:r>
          </w:p>
        </w:tc>
        <w:tc>
          <w:tcPr>
            <w:tcW w:w="1189" w:type="dxa"/>
            <w:tcBorders>
              <w:top w:val="single" w:sz="4" w:space="0" w:color="365F91"/>
              <w:bottom w:val="single" w:sz="4" w:space="0" w:color="365F91"/>
            </w:tcBorders>
            <w:shd w:val="clear" w:color="auto" w:fill="365F91"/>
            <w:vAlign w:val="bottom"/>
          </w:tcPr>
          <w:p w14:paraId="55BD9CA0" w14:textId="77777777" w:rsidR="00380BE7" w:rsidRPr="00256982" w:rsidRDefault="00380BE7" w:rsidP="009574E7">
            <w:pPr>
              <w:pStyle w:val="TableTextBold"/>
              <w:rPr>
                <w:noProof w:val="0"/>
                <w:color w:val="FFFFFF"/>
              </w:rPr>
            </w:pPr>
            <w:r w:rsidRPr="00256982">
              <w:rPr>
                <w:noProof w:val="0"/>
                <w:color w:val="FFFFFF"/>
              </w:rPr>
              <w:t>Source</w:t>
            </w:r>
          </w:p>
        </w:tc>
      </w:tr>
      <w:tr w:rsidR="00380BE7" w:rsidRPr="00256982" w14:paraId="00431DB5" w14:textId="77777777" w:rsidTr="009574E7">
        <w:trPr>
          <w:trHeight w:val="20"/>
        </w:trPr>
        <w:tc>
          <w:tcPr>
            <w:tcW w:w="1180" w:type="dxa"/>
            <w:vMerge w:val="restart"/>
            <w:tcBorders>
              <w:top w:val="single" w:sz="4" w:space="0" w:color="365F91"/>
            </w:tcBorders>
          </w:tcPr>
          <w:p w14:paraId="20BF1A9A" w14:textId="77777777" w:rsidR="00380BE7" w:rsidRPr="00256982" w:rsidRDefault="00380BE7" w:rsidP="009574E7">
            <w:pPr>
              <w:pStyle w:val="TableText"/>
              <w:spacing w:before="50" w:after="50"/>
            </w:pPr>
            <w:r w:rsidRPr="00256982">
              <w:t>High producing</w:t>
            </w:r>
          </w:p>
        </w:tc>
        <w:tc>
          <w:tcPr>
            <w:tcW w:w="1757" w:type="dxa"/>
            <w:tcBorders>
              <w:top w:val="single" w:sz="4" w:space="0" w:color="365F91"/>
              <w:bottom w:val="single" w:sz="4" w:space="0" w:color="365F91"/>
            </w:tcBorders>
          </w:tcPr>
          <w:p w14:paraId="5E6C58AA" w14:textId="77777777" w:rsidR="00380BE7" w:rsidRPr="00256982" w:rsidRDefault="00380BE7" w:rsidP="009574E7">
            <w:pPr>
              <w:pStyle w:val="TableText"/>
              <w:spacing w:before="50" w:after="50"/>
              <w:rPr>
                <w:b/>
              </w:rPr>
            </w:pPr>
            <w:r w:rsidRPr="00256982">
              <w:rPr>
                <w:b/>
              </w:rPr>
              <w:t>Total biomass</w:t>
            </w:r>
          </w:p>
        </w:tc>
        <w:tc>
          <w:tcPr>
            <w:tcW w:w="1249" w:type="dxa"/>
            <w:tcBorders>
              <w:top w:val="single" w:sz="4" w:space="0" w:color="365F91"/>
              <w:bottom w:val="single" w:sz="4" w:space="0" w:color="365F91"/>
            </w:tcBorders>
          </w:tcPr>
          <w:p w14:paraId="7D925FF9" w14:textId="77777777" w:rsidR="00380BE7" w:rsidRPr="00256982" w:rsidRDefault="00380BE7" w:rsidP="009574E7">
            <w:pPr>
              <w:pStyle w:val="TableText"/>
              <w:spacing w:before="50" w:after="50"/>
              <w:jc w:val="center"/>
              <w:rPr>
                <w:b/>
              </w:rPr>
            </w:pPr>
            <w:r w:rsidRPr="00256982">
              <w:rPr>
                <w:b/>
              </w:rPr>
              <w:t>6.345</w:t>
            </w:r>
          </w:p>
        </w:tc>
        <w:tc>
          <w:tcPr>
            <w:tcW w:w="1411" w:type="dxa"/>
            <w:tcBorders>
              <w:top w:val="single" w:sz="4" w:space="0" w:color="365F91"/>
              <w:bottom w:val="single" w:sz="4" w:space="0" w:color="365F91"/>
            </w:tcBorders>
          </w:tcPr>
          <w:p w14:paraId="7378DB13" w14:textId="77777777" w:rsidR="00380BE7" w:rsidRPr="00256982" w:rsidRDefault="00380BE7" w:rsidP="009574E7">
            <w:pPr>
              <w:pStyle w:val="TableText"/>
              <w:spacing w:before="50" w:after="50"/>
              <w:jc w:val="center"/>
              <w:rPr>
                <w:b/>
              </w:rPr>
            </w:pPr>
            <w:r w:rsidRPr="00256982">
              <w:rPr>
                <w:b/>
              </w:rPr>
              <w:t>6.345</w:t>
            </w:r>
          </w:p>
        </w:tc>
        <w:tc>
          <w:tcPr>
            <w:tcW w:w="1263" w:type="dxa"/>
            <w:tcBorders>
              <w:top w:val="single" w:sz="4" w:space="0" w:color="365F91"/>
              <w:bottom w:val="single" w:sz="4" w:space="0" w:color="365F91"/>
            </w:tcBorders>
          </w:tcPr>
          <w:p w14:paraId="7E795F69" w14:textId="77777777" w:rsidR="00380BE7" w:rsidRPr="00256982" w:rsidRDefault="00380BE7" w:rsidP="009574E7">
            <w:pPr>
              <w:pStyle w:val="TableText"/>
              <w:spacing w:before="50" w:after="50"/>
              <w:jc w:val="center"/>
              <w:rPr>
                <w:b/>
              </w:rPr>
            </w:pPr>
            <w:r w:rsidRPr="00256982">
              <w:rPr>
                <w:b/>
              </w:rPr>
              <w:t>1</w:t>
            </w:r>
          </w:p>
        </w:tc>
        <w:tc>
          <w:tcPr>
            <w:tcW w:w="1189" w:type="dxa"/>
            <w:vMerge w:val="restart"/>
            <w:tcBorders>
              <w:top w:val="single" w:sz="4" w:space="0" w:color="365F91"/>
              <w:bottom w:val="single" w:sz="4" w:space="0" w:color="365F91"/>
            </w:tcBorders>
          </w:tcPr>
          <w:p w14:paraId="114E348F" w14:textId="77777777" w:rsidR="00380BE7" w:rsidRPr="00256982" w:rsidRDefault="00380BE7" w:rsidP="009574E7">
            <w:pPr>
              <w:pStyle w:val="TableText"/>
              <w:spacing w:before="50" w:after="50"/>
            </w:pPr>
            <w:r w:rsidRPr="00256982">
              <w:t>IPCC, 2006a, table 6.4</w:t>
            </w:r>
          </w:p>
        </w:tc>
      </w:tr>
      <w:tr w:rsidR="00380BE7" w:rsidRPr="00256982" w14:paraId="205B0E2C" w14:textId="77777777" w:rsidTr="009574E7">
        <w:trPr>
          <w:trHeight w:val="20"/>
        </w:trPr>
        <w:tc>
          <w:tcPr>
            <w:tcW w:w="1180" w:type="dxa"/>
            <w:vMerge/>
          </w:tcPr>
          <w:p w14:paraId="29D74E5F" w14:textId="77777777" w:rsidR="00380BE7" w:rsidRPr="00256982" w:rsidRDefault="00380BE7" w:rsidP="009574E7">
            <w:pPr>
              <w:pStyle w:val="TableText"/>
              <w:spacing w:before="50" w:after="50"/>
            </w:pPr>
          </w:p>
        </w:tc>
        <w:tc>
          <w:tcPr>
            <w:tcW w:w="1757" w:type="dxa"/>
            <w:tcBorders>
              <w:top w:val="single" w:sz="4" w:space="0" w:color="365F91"/>
              <w:bottom w:val="single" w:sz="4" w:space="0" w:color="365F91"/>
            </w:tcBorders>
          </w:tcPr>
          <w:p w14:paraId="43E64D08" w14:textId="77777777" w:rsidR="00380BE7" w:rsidRPr="00256982" w:rsidRDefault="00380BE7" w:rsidP="009574E7">
            <w:pPr>
              <w:pStyle w:val="TableText"/>
              <w:spacing w:before="50" w:after="50"/>
              <w:rPr>
                <w:i/>
              </w:rPr>
            </w:pPr>
            <w:r w:rsidRPr="00256982">
              <w:rPr>
                <w:i/>
              </w:rPr>
              <w:t>Living biomass</w:t>
            </w:r>
          </w:p>
        </w:tc>
        <w:tc>
          <w:tcPr>
            <w:tcW w:w="1249" w:type="dxa"/>
            <w:tcBorders>
              <w:top w:val="single" w:sz="4" w:space="0" w:color="365F91"/>
              <w:bottom w:val="single" w:sz="4" w:space="0" w:color="365F91"/>
            </w:tcBorders>
          </w:tcPr>
          <w:p w14:paraId="75260ECF" w14:textId="77777777" w:rsidR="00380BE7" w:rsidRPr="00256982" w:rsidRDefault="00380BE7" w:rsidP="009574E7">
            <w:pPr>
              <w:pStyle w:val="TableText"/>
              <w:spacing w:before="50" w:after="50"/>
              <w:jc w:val="center"/>
            </w:pPr>
          </w:p>
        </w:tc>
        <w:tc>
          <w:tcPr>
            <w:tcW w:w="1411" w:type="dxa"/>
            <w:tcBorders>
              <w:top w:val="single" w:sz="4" w:space="0" w:color="365F91"/>
              <w:bottom w:val="single" w:sz="4" w:space="0" w:color="365F91"/>
            </w:tcBorders>
          </w:tcPr>
          <w:p w14:paraId="50131269" w14:textId="77777777" w:rsidR="00380BE7" w:rsidRPr="00256982" w:rsidRDefault="00380BE7" w:rsidP="009574E7">
            <w:pPr>
              <w:pStyle w:val="TableText"/>
              <w:spacing w:before="50" w:after="50"/>
              <w:jc w:val="center"/>
            </w:pPr>
          </w:p>
        </w:tc>
        <w:tc>
          <w:tcPr>
            <w:tcW w:w="1263" w:type="dxa"/>
            <w:tcBorders>
              <w:top w:val="single" w:sz="4" w:space="0" w:color="365F91"/>
              <w:bottom w:val="single" w:sz="4" w:space="0" w:color="365F91"/>
            </w:tcBorders>
          </w:tcPr>
          <w:p w14:paraId="06B61FB0" w14:textId="77777777" w:rsidR="00380BE7" w:rsidRPr="00256982" w:rsidRDefault="00380BE7" w:rsidP="009574E7">
            <w:pPr>
              <w:pStyle w:val="TableText"/>
              <w:spacing w:before="50" w:after="50"/>
              <w:jc w:val="center"/>
            </w:pPr>
          </w:p>
        </w:tc>
        <w:tc>
          <w:tcPr>
            <w:tcW w:w="1189" w:type="dxa"/>
            <w:vMerge/>
            <w:tcBorders>
              <w:top w:val="single" w:sz="4" w:space="0" w:color="365F91"/>
              <w:bottom w:val="single" w:sz="4" w:space="0" w:color="365F91"/>
            </w:tcBorders>
          </w:tcPr>
          <w:p w14:paraId="13EA58BD" w14:textId="77777777" w:rsidR="00380BE7" w:rsidRPr="00256982" w:rsidRDefault="00380BE7" w:rsidP="009574E7">
            <w:pPr>
              <w:pStyle w:val="TableText"/>
              <w:spacing w:before="50" w:after="50"/>
            </w:pPr>
          </w:p>
        </w:tc>
      </w:tr>
      <w:tr w:rsidR="00380BE7" w:rsidRPr="00256982" w14:paraId="6FB4CAB6" w14:textId="77777777" w:rsidTr="009574E7">
        <w:trPr>
          <w:trHeight w:val="20"/>
        </w:trPr>
        <w:tc>
          <w:tcPr>
            <w:tcW w:w="1180" w:type="dxa"/>
            <w:vMerge/>
          </w:tcPr>
          <w:p w14:paraId="603B7AB6" w14:textId="77777777" w:rsidR="00380BE7" w:rsidRPr="00256982" w:rsidRDefault="00380BE7" w:rsidP="009574E7">
            <w:pPr>
              <w:pStyle w:val="TableText"/>
              <w:spacing w:before="50" w:after="50"/>
            </w:pPr>
          </w:p>
        </w:tc>
        <w:tc>
          <w:tcPr>
            <w:tcW w:w="1757" w:type="dxa"/>
            <w:tcBorders>
              <w:top w:val="single" w:sz="4" w:space="0" w:color="365F91"/>
              <w:bottom w:val="single" w:sz="4" w:space="0" w:color="365F91"/>
            </w:tcBorders>
          </w:tcPr>
          <w:p w14:paraId="64DF71F4" w14:textId="77777777" w:rsidR="00380BE7" w:rsidRPr="00256982" w:rsidRDefault="00380BE7" w:rsidP="009574E7">
            <w:pPr>
              <w:pStyle w:val="TableText"/>
              <w:spacing w:before="50" w:after="50"/>
            </w:pPr>
            <w:r w:rsidRPr="00256982">
              <w:tab/>
              <w:t>AGB</w:t>
            </w:r>
          </w:p>
        </w:tc>
        <w:tc>
          <w:tcPr>
            <w:tcW w:w="1249" w:type="dxa"/>
            <w:tcBorders>
              <w:top w:val="single" w:sz="4" w:space="0" w:color="365F91"/>
              <w:bottom w:val="single" w:sz="4" w:space="0" w:color="365F91"/>
            </w:tcBorders>
          </w:tcPr>
          <w:p w14:paraId="6B2395AC" w14:textId="77777777" w:rsidR="00380BE7" w:rsidRPr="00256982" w:rsidRDefault="00380BE7" w:rsidP="009574E7">
            <w:pPr>
              <w:pStyle w:val="TableText"/>
              <w:spacing w:before="50" w:after="50"/>
              <w:jc w:val="center"/>
            </w:pPr>
            <w:r w:rsidRPr="00256982">
              <w:t>1.269</w:t>
            </w:r>
          </w:p>
        </w:tc>
        <w:tc>
          <w:tcPr>
            <w:tcW w:w="1411" w:type="dxa"/>
            <w:tcBorders>
              <w:top w:val="single" w:sz="4" w:space="0" w:color="365F91"/>
              <w:bottom w:val="single" w:sz="4" w:space="0" w:color="365F91"/>
            </w:tcBorders>
          </w:tcPr>
          <w:p w14:paraId="4F31E73D" w14:textId="77777777" w:rsidR="00380BE7" w:rsidRPr="00256982" w:rsidRDefault="00380BE7" w:rsidP="009574E7">
            <w:pPr>
              <w:pStyle w:val="TableText"/>
              <w:spacing w:before="50" w:after="50"/>
              <w:jc w:val="center"/>
            </w:pPr>
            <w:r w:rsidRPr="00256982">
              <w:t>1.269</w:t>
            </w:r>
          </w:p>
        </w:tc>
        <w:tc>
          <w:tcPr>
            <w:tcW w:w="1263" w:type="dxa"/>
            <w:tcBorders>
              <w:top w:val="single" w:sz="4" w:space="0" w:color="365F91"/>
              <w:bottom w:val="single" w:sz="4" w:space="0" w:color="365F91"/>
            </w:tcBorders>
          </w:tcPr>
          <w:p w14:paraId="4880DD76" w14:textId="77777777" w:rsidR="00380BE7" w:rsidRPr="00256982" w:rsidRDefault="00380BE7" w:rsidP="009574E7">
            <w:pPr>
              <w:pStyle w:val="TableText"/>
              <w:spacing w:before="50" w:after="50"/>
              <w:jc w:val="center"/>
            </w:pPr>
            <w:r w:rsidRPr="00256982">
              <w:t>1</w:t>
            </w:r>
          </w:p>
        </w:tc>
        <w:tc>
          <w:tcPr>
            <w:tcW w:w="1189" w:type="dxa"/>
            <w:vMerge/>
            <w:tcBorders>
              <w:top w:val="single" w:sz="4" w:space="0" w:color="365F91"/>
              <w:bottom w:val="single" w:sz="4" w:space="0" w:color="365F91"/>
            </w:tcBorders>
          </w:tcPr>
          <w:p w14:paraId="12BCCA97" w14:textId="77777777" w:rsidR="00380BE7" w:rsidRPr="00256982" w:rsidRDefault="00380BE7" w:rsidP="009574E7">
            <w:pPr>
              <w:pStyle w:val="TableText"/>
              <w:spacing w:before="50" w:after="50"/>
            </w:pPr>
          </w:p>
        </w:tc>
      </w:tr>
      <w:tr w:rsidR="00380BE7" w:rsidRPr="00256982" w14:paraId="4F42082A" w14:textId="77777777" w:rsidTr="009574E7">
        <w:trPr>
          <w:trHeight w:val="20"/>
        </w:trPr>
        <w:tc>
          <w:tcPr>
            <w:tcW w:w="1180" w:type="dxa"/>
            <w:vMerge/>
          </w:tcPr>
          <w:p w14:paraId="05D18961" w14:textId="77777777" w:rsidR="00380BE7" w:rsidRPr="00256982" w:rsidRDefault="00380BE7" w:rsidP="009574E7">
            <w:pPr>
              <w:pStyle w:val="TableText"/>
              <w:spacing w:before="50" w:after="50"/>
            </w:pPr>
          </w:p>
        </w:tc>
        <w:tc>
          <w:tcPr>
            <w:tcW w:w="1757" w:type="dxa"/>
            <w:tcBorders>
              <w:top w:val="single" w:sz="4" w:space="0" w:color="365F91"/>
              <w:bottom w:val="single" w:sz="4" w:space="0" w:color="365F91"/>
            </w:tcBorders>
          </w:tcPr>
          <w:p w14:paraId="528FF906" w14:textId="77777777" w:rsidR="00380BE7" w:rsidRPr="00256982" w:rsidRDefault="00380BE7" w:rsidP="009574E7">
            <w:pPr>
              <w:pStyle w:val="TableText"/>
              <w:spacing w:before="50" w:after="50"/>
            </w:pPr>
            <w:r w:rsidRPr="00256982">
              <w:tab/>
              <w:t>BGB</w:t>
            </w:r>
          </w:p>
        </w:tc>
        <w:tc>
          <w:tcPr>
            <w:tcW w:w="1249" w:type="dxa"/>
            <w:tcBorders>
              <w:top w:val="single" w:sz="4" w:space="0" w:color="365F91"/>
              <w:bottom w:val="single" w:sz="4" w:space="0" w:color="365F91"/>
            </w:tcBorders>
          </w:tcPr>
          <w:p w14:paraId="78512A27" w14:textId="77777777" w:rsidR="00380BE7" w:rsidRPr="00256982" w:rsidRDefault="00380BE7" w:rsidP="009574E7">
            <w:pPr>
              <w:pStyle w:val="TableText"/>
              <w:spacing w:before="50" w:after="50"/>
              <w:jc w:val="center"/>
            </w:pPr>
            <w:r w:rsidRPr="00256982">
              <w:t>5.076</w:t>
            </w:r>
          </w:p>
        </w:tc>
        <w:tc>
          <w:tcPr>
            <w:tcW w:w="1411" w:type="dxa"/>
            <w:tcBorders>
              <w:top w:val="single" w:sz="4" w:space="0" w:color="365F91"/>
              <w:bottom w:val="single" w:sz="4" w:space="0" w:color="365F91"/>
            </w:tcBorders>
          </w:tcPr>
          <w:p w14:paraId="5CCB053D" w14:textId="77777777" w:rsidR="00380BE7" w:rsidRPr="00256982" w:rsidRDefault="00380BE7" w:rsidP="009574E7">
            <w:pPr>
              <w:pStyle w:val="TableText"/>
              <w:spacing w:before="50" w:after="50"/>
              <w:jc w:val="center"/>
            </w:pPr>
            <w:r w:rsidRPr="00256982">
              <w:t>5.076</w:t>
            </w:r>
          </w:p>
        </w:tc>
        <w:tc>
          <w:tcPr>
            <w:tcW w:w="1263" w:type="dxa"/>
            <w:tcBorders>
              <w:top w:val="single" w:sz="4" w:space="0" w:color="365F91"/>
              <w:bottom w:val="single" w:sz="4" w:space="0" w:color="365F91"/>
            </w:tcBorders>
          </w:tcPr>
          <w:p w14:paraId="7394E4BA" w14:textId="77777777" w:rsidR="00380BE7" w:rsidRPr="00256982" w:rsidRDefault="00380BE7" w:rsidP="009574E7">
            <w:pPr>
              <w:pStyle w:val="TableText"/>
              <w:spacing w:before="50" w:after="50"/>
              <w:jc w:val="center"/>
            </w:pPr>
            <w:r w:rsidRPr="00256982">
              <w:t>1</w:t>
            </w:r>
          </w:p>
        </w:tc>
        <w:tc>
          <w:tcPr>
            <w:tcW w:w="1189" w:type="dxa"/>
            <w:vMerge/>
            <w:tcBorders>
              <w:top w:val="single" w:sz="4" w:space="0" w:color="365F91"/>
              <w:bottom w:val="single" w:sz="4" w:space="0" w:color="365F91"/>
            </w:tcBorders>
          </w:tcPr>
          <w:p w14:paraId="32179F2B" w14:textId="77777777" w:rsidR="00380BE7" w:rsidRPr="00256982" w:rsidRDefault="00380BE7" w:rsidP="009574E7">
            <w:pPr>
              <w:pStyle w:val="TableText"/>
              <w:spacing w:before="50" w:after="50"/>
            </w:pPr>
          </w:p>
        </w:tc>
      </w:tr>
      <w:tr w:rsidR="00380BE7" w:rsidRPr="00256982" w14:paraId="3CAD098C" w14:textId="77777777" w:rsidTr="009574E7">
        <w:trPr>
          <w:trHeight w:val="20"/>
        </w:trPr>
        <w:tc>
          <w:tcPr>
            <w:tcW w:w="1180" w:type="dxa"/>
            <w:vMerge/>
            <w:tcBorders>
              <w:bottom w:val="single" w:sz="4" w:space="0" w:color="365F91"/>
            </w:tcBorders>
          </w:tcPr>
          <w:p w14:paraId="33402167" w14:textId="77777777" w:rsidR="00380BE7" w:rsidRPr="00256982" w:rsidRDefault="00380BE7" w:rsidP="009574E7">
            <w:pPr>
              <w:pStyle w:val="TableText"/>
              <w:spacing w:before="50" w:after="50"/>
            </w:pPr>
          </w:p>
        </w:tc>
        <w:tc>
          <w:tcPr>
            <w:tcW w:w="1757" w:type="dxa"/>
            <w:tcBorders>
              <w:top w:val="single" w:sz="4" w:space="0" w:color="365F91"/>
              <w:bottom w:val="single" w:sz="4" w:space="0" w:color="365F91"/>
            </w:tcBorders>
          </w:tcPr>
          <w:p w14:paraId="3E4E46B5" w14:textId="77777777" w:rsidR="00380BE7" w:rsidRPr="00256982" w:rsidRDefault="00380BE7" w:rsidP="009574E7">
            <w:pPr>
              <w:pStyle w:val="TableText"/>
              <w:spacing w:before="50" w:after="50"/>
              <w:rPr>
                <w:i/>
              </w:rPr>
            </w:pPr>
            <w:r w:rsidRPr="00256982">
              <w:rPr>
                <w:i/>
              </w:rPr>
              <w:t>Dead organic matter</w:t>
            </w:r>
          </w:p>
        </w:tc>
        <w:tc>
          <w:tcPr>
            <w:tcW w:w="1249" w:type="dxa"/>
            <w:tcBorders>
              <w:top w:val="single" w:sz="4" w:space="0" w:color="365F91"/>
              <w:bottom w:val="single" w:sz="4" w:space="0" w:color="365F91"/>
            </w:tcBorders>
          </w:tcPr>
          <w:p w14:paraId="5BFB62DF" w14:textId="77777777" w:rsidR="00380BE7" w:rsidRPr="00256982" w:rsidRDefault="00380BE7" w:rsidP="009574E7">
            <w:pPr>
              <w:pStyle w:val="TableText"/>
              <w:spacing w:before="50" w:after="50"/>
              <w:jc w:val="center"/>
            </w:pPr>
            <w:r w:rsidRPr="00256982">
              <w:t>NE</w:t>
            </w:r>
          </w:p>
        </w:tc>
        <w:tc>
          <w:tcPr>
            <w:tcW w:w="1411" w:type="dxa"/>
            <w:tcBorders>
              <w:top w:val="single" w:sz="4" w:space="0" w:color="365F91"/>
              <w:bottom w:val="single" w:sz="4" w:space="0" w:color="365F91"/>
            </w:tcBorders>
          </w:tcPr>
          <w:p w14:paraId="560CEC09" w14:textId="77777777" w:rsidR="00380BE7" w:rsidRPr="00256982" w:rsidRDefault="00380BE7" w:rsidP="009574E7">
            <w:pPr>
              <w:pStyle w:val="TableText"/>
              <w:spacing w:before="50" w:after="50"/>
              <w:jc w:val="center"/>
            </w:pPr>
            <w:r w:rsidRPr="00256982">
              <w:t>NA</w:t>
            </w:r>
          </w:p>
        </w:tc>
        <w:tc>
          <w:tcPr>
            <w:tcW w:w="1263" w:type="dxa"/>
            <w:tcBorders>
              <w:top w:val="single" w:sz="4" w:space="0" w:color="365F91"/>
              <w:bottom w:val="single" w:sz="4" w:space="0" w:color="365F91"/>
            </w:tcBorders>
          </w:tcPr>
          <w:p w14:paraId="48C80C1B" w14:textId="77777777" w:rsidR="00380BE7" w:rsidRPr="00256982" w:rsidRDefault="00380BE7" w:rsidP="009574E7">
            <w:pPr>
              <w:pStyle w:val="TableText"/>
              <w:spacing w:before="50" w:after="50"/>
              <w:jc w:val="center"/>
            </w:pPr>
            <w:r w:rsidRPr="00256982">
              <w:t>NA</w:t>
            </w:r>
          </w:p>
        </w:tc>
        <w:tc>
          <w:tcPr>
            <w:tcW w:w="1189" w:type="dxa"/>
            <w:tcBorders>
              <w:top w:val="single" w:sz="4" w:space="0" w:color="365F91"/>
              <w:bottom w:val="single" w:sz="4" w:space="0" w:color="365F91"/>
            </w:tcBorders>
          </w:tcPr>
          <w:p w14:paraId="3D8544CC" w14:textId="77777777" w:rsidR="00380BE7" w:rsidRPr="00256982" w:rsidRDefault="00380BE7" w:rsidP="009574E7">
            <w:pPr>
              <w:pStyle w:val="TableText"/>
              <w:spacing w:before="50" w:after="50"/>
            </w:pPr>
            <w:r w:rsidRPr="00256982">
              <w:t>No IPCC guidelines</w:t>
            </w:r>
          </w:p>
        </w:tc>
      </w:tr>
      <w:tr w:rsidR="00380BE7" w:rsidRPr="00256982" w14:paraId="7A30D154" w14:textId="77777777" w:rsidTr="009574E7">
        <w:trPr>
          <w:trHeight w:val="20"/>
        </w:trPr>
        <w:tc>
          <w:tcPr>
            <w:tcW w:w="1180" w:type="dxa"/>
            <w:vMerge w:val="restart"/>
            <w:tcBorders>
              <w:top w:val="single" w:sz="4" w:space="0" w:color="365F91"/>
              <w:bottom w:val="single" w:sz="4" w:space="0" w:color="365F91"/>
            </w:tcBorders>
          </w:tcPr>
          <w:p w14:paraId="5554059E" w14:textId="77777777" w:rsidR="00380BE7" w:rsidRPr="00256982" w:rsidRDefault="00380BE7" w:rsidP="00486B11">
            <w:pPr>
              <w:pStyle w:val="TableText"/>
              <w:spacing w:before="40" w:after="40"/>
            </w:pPr>
            <w:r w:rsidRPr="00256982">
              <w:t>Low producing</w:t>
            </w:r>
          </w:p>
        </w:tc>
        <w:tc>
          <w:tcPr>
            <w:tcW w:w="1757" w:type="dxa"/>
            <w:tcBorders>
              <w:top w:val="single" w:sz="4" w:space="0" w:color="365F91"/>
              <w:bottom w:val="single" w:sz="4" w:space="0" w:color="365F91"/>
            </w:tcBorders>
          </w:tcPr>
          <w:p w14:paraId="13685C5D" w14:textId="77777777" w:rsidR="00380BE7" w:rsidRPr="00256982" w:rsidRDefault="00380BE7" w:rsidP="00486B11">
            <w:pPr>
              <w:pStyle w:val="TableText"/>
              <w:spacing w:before="40" w:after="40"/>
              <w:rPr>
                <w:b/>
              </w:rPr>
            </w:pPr>
            <w:r w:rsidRPr="00256982">
              <w:rPr>
                <w:b/>
              </w:rPr>
              <w:t>Total biomass</w:t>
            </w:r>
          </w:p>
        </w:tc>
        <w:tc>
          <w:tcPr>
            <w:tcW w:w="1249" w:type="dxa"/>
            <w:tcBorders>
              <w:top w:val="single" w:sz="4" w:space="0" w:color="365F91"/>
              <w:bottom w:val="single" w:sz="4" w:space="0" w:color="365F91"/>
            </w:tcBorders>
          </w:tcPr>
          <w:p w14:paraId="25AC06B9" w14:textId="77777777" w:rsidR="00380BE7" w:rsidRPr="00256982" w:rsidRDefault="00380BE7" w:rsidP="00486B11">
            <w:pPr>
              <w:pStyle w:val="TableText"/>
              <w:spacing w:before="40" w:after="40"/>
              <w:jc w:val="center"/>
              <w:rPr>
                <w:b/>
              </w:rPr>
            </w:pPr>
            <w:r w:rsidRPr="00256982">
              <w:rPr>
                <w:b/>
              </w:rPr>
              <w:t>2.867</w:t>
            </w:r>
          </w:p>
        </w:tc>
        <w:tc>
          <w:tcPr>
            <w:tcW w:w="1411" w:type="dxa"/>
            <w:tcBorders>
              <w:top w:val="single" w:sz="4" w:space="0" w:color="365F91"/>
              <w:bottom w:val="single" w:sz="4" w:space="0" w:color="365F91"/>
            </w:tcBorders>
          </w:tcPr>
          <w:p w14:paraId="538A9DC1" w14:textId="77777777" w:rsidR="00380BE7" w:rsidRPr="00256982" w:rsidRDefault="00380BE7" w:rsidP="00486B11">
            <w:pPr>
              <w:pStyle w:val="TableText"/>
              <w:spacing w:before="40" w:after="40"/>
              <w:jc w:val="center"/>
              <w:rPr>
                <w:b/>
              </w:rPr>
            </w:pPr>
            <w:r w:rsidRPr="00256982">
              <w:rPr>
                <w:b/>
              </w:rPr>
              <w:t>2.867</w:t>
            </w:r>
          </w:p>
        </w:tc>
        <w:tc>
          <w:tcPr>
            <w:tcW w:w="1263" w:type="dxa"/>
            <w:tcBorders>
              <w:top w:val="single" w:sz="4" w:space="0" w:color="365F91"/>
              <w:bottom w:val="single" w:sz="4" w:space="0" w:color="365F91"/>
            </w:tcBorders>
          </w:tcPr>
          <w:p w14:paraId="07D2D7F3" w14:textId="77777777" w:rsidR="00380BE7" w:rsidRPr="00256982" w:rsidRDefault="00380BE7" w:rsidP="00486B11">
            <w:pPr>
              <w:pStyle w:val="TableText"/>
              <w:spacing w:before="40" w:after="40"/>
              <w:jc w:val="center"/>
              <w:rPr>
                <w:b/>
              </w:rPr>
            </w:pPr>
            <w:r w:rsidRPr="00256982">
              <w:rPr>
                <w:b/>
              </w:rPr>
              <w:t>1</w:t>
            </w:r>
          </w:p>
        </w:tc>
        <w:tc>
          <w:tcPr>
            <w:tcW w:w="1189" w:type="dxa"/>
            <w:vMerge w:val="restart"/>
            <w:tcBorders>
              <w:top w:val="single" w:sz="4" w:space="0" w:color="365F91"/>
              <w:bottom w:val="single" w:sz="4" w:space="0" w:color="365F91"/>
            </w:tcBorders>
          </w:tcPr>
          <w:p w14:paraId="3EB328CB" w14:textId="77777777" w:rsidR="00380BE7" w:rsidRPr="00256982" w:rsidRDefault="00380BE7" w:rsidP="00486B11">
            <w:pPr>
              <w:pStyle w:val="TableText"/>
              <w:spacing w:before="40" w:after="40"/>
            </w:pPr>
            <w:r w:rsidRPr="00256982">
              <w:t>IPCC, 2006a, table 6.4</w:t>
            </w:r>
          </w:p>
        </w:tc>
      </w:tr>
      <w:tr w:rsidR="00380BE7" w:rsidRPr="00256982" w14:paraId="57B884C1" w14:textId="77777777" w:rsidTr="009574E7">
        <w:trPr>
          <w:trHeight w:val="20"/>
        </w:trPr>
        <w:tc>
          <w:tcPr>
            <w:tcW w:w="1180" w:type="dxa"/>
            <w:vMerge/>
            <w:tcBorders>
              <w:top w:val="single" w:sz="4" w:space="0" w:color="365F91"/>
            </w:tcBorders>
          </w:tcPr>
          <w:p w14:paraId="3DDB7EB3" w14:textId="77777777" w:rsidR="00380BE7" w:rsidRPr="00256982" w:rsidRDefault="00380BE7" w:rsidP="00486B11">
            <w:pPr>
              <w:pStyle w:val="TableText"/>
              <w:spacing w:before="40" w:after="40"/>
            </w:pPr>
          </w:p>
        </w:tc>
        <w:tc>
          <w:tcPr>
            <w:tcW w:w="1757" w:type="dxa"/>
            <w:tcBorders>
              <w:top w:val="single" w:sz="4" w:space="0" w:color="365F91"/>
              <w:bottom w:val="single" w:sz="4" w:space="0" w:color="365F91"/>
            </w:tcBorders>
          </w:tcPr>
          <w:p w14:paraId="2898642F" w14:textId="77777777" w:rsidR="00380BE7" w:rsidRPr="00256982" w:rsidRDefault="00380BE7" w:rsidP="00486B11">
            <w:pPr>
              <w:pStyle w:val="TableText"/>
              <w:spacing w:before="40" w:after="40"/>
              <w:rPr>
                <w:i/>
              </w:rPr>
            </w:pPr>
            <w:r w:rsidRPr="00256982">
              <w:rPr>
                <w:i/>
              </w:rPr>
              <w:t>Living biomass</w:t>
            </w:r>
          </w:p>
        </w:tc>
        <w:tc>
          <w:tcPr>
            <w:tcW w:w="1249" w:type="dxa"/>
            <w:tcBorders>
              <w:top w:val="single" w:sz="4" w:space="0" w:color="365F91"/>
              <w:bottom w:val="single" w:sz="4" w:space="0" w:color="365F91"/>
            </w:tcBorders>
          </w:tcPr>
          <w:p w14:paraId="794819AA" w14:textId="77777777" w:rsidR="00380BE7" w:rsidRPr="00256982" w:rsidRDefault="00380BE7" w:rsidP="00486B11">
            <w:pPr>
              <w:pStyle w:val="TableText"/>
              <w:spacing w:before="40" w:after="40"/>
              <w:jc w:val="center"/>
            </w:pPr>
          </w:p>
        </w:tc>
        <w:tc>
          <w:tcPr>
            <w:tcW w:w="1411" w:type="dxa"/>
            <w:tcBorders>
              <w:top w:val="single" w:sz="4" w:space="0" w:color="365F91"/>
              <w:bottom w:val="single" w:sz="4" w:space="0" w:color="365F91"/>
            </w:tcBorders>
          </w:tcPr>
          <w:p w14:paraId="5E0D909B" w14:textId="77777777" w:rsidR="00380BE7" w:rsidRPr="00256982" w:rsidRDefault="00380BE7" w:rsidP="00486B11">
            <w:pPr>
              <w:pStyle w:val="TableText"/>
              <w:spacing w:before="40" w:after="40"/>
              <w:jc w:val="center"/>
            </w:pPr>
          </w:p>
        </w:tc>
        <w:tc>
          <w:tcPr>
            <w:tcW w:w="1263" w:type="dxa"/>
            <w:tcBorders>
              <w:top w:val="single" w:sz="4" w:space="0" w:color="365F91"/>
              <w:bottom w:val="single" w:sz="4" w:space="0" w:color="365F91"/>
            </w:tcBorders>
          </w:tcPr>
          <w:p w14:paraId="49718245" w14:textId="77777777" w:rsidR="00380BE7" w:rsidRPr="00256982" w:rsidRDefault="00380BE7" w:rsidP="00486B11">
            <w:pPr>
              <w:pStyle w:val="TableText"/>
              <w:spacing w:before="40" w:after="40"/>
              <w:jc w:val="center"/>
            </w:pPr>
          </w:p>
        </w:tc>
        <w:tc>
          <w:tcPr>
            <w:tcW w:w="1189" w:type="dxa"/>
            <w:vMerge/>
            <w:tcBorders>
              <w:top w:val="single" w:sz="4" w:space="0" w:color="365F91"/>
              <w:bottom w:val="single" w:sz="4" w:space="0" w:color="365F91"/>
            </w:tcBorders>
          </w:tcPr>
          <w:p w14:paraId="229F637D" w14:textId="77777777" w:rsidR="00380BE7" w:rsidRPr="00256982" w:rsidRDefault="00380BE7" w:rsidP="00486B11">
            <w:pPr>
              <w:pStyle w:val="TableText"/>
              <w:spacing w:before="40" w:after="40"/>
            </w:pPr>
          </w:p>
        </w:tc>
      </w:tr>
      <w:tr w:rsidR="00380BE7" w:rsidRPr="00256982" w14:paraId="0D3BE259" w14:textId="77777777" w:rsidTr="009574E7">
        <w:trPr>
          <w:trHeight w:val="20"/>
        </w:trPr>
        <w:tc>
          <w:tcPr>
            <w:tcW w:w="1180" w:type="dxa"/>
            <w:vMerge/>
          </w:tcPr>
          <w:p w14:paraId="5CC9D1DA" w14:textId="77777777" w:rsidR="00380BE7" w:rsidRPr="00256982" w:rsidRDefault="00380BE7" w:rsidP="00486B11">
            <w:pPr>
              <w:pStyle w:val="TableText"/>
              <w:spacing w:before="40" w:after="40"/>
            </w:pPr>
          </w:p>
        </w:tc>
        <w:tc>
          <w:tcPr>
            <w:tcW w:w="1757" w:type="dxa"/>
            <w:tcBorders>
              <w:top w:val="single" w:sz="4" w:space="0" w:color="365F91"/>
              <w:bottom w:val="single" w:sz="4" w:space="0" w:color="365F91"/>
            </w:tcBorders>
          </w:tcPr>
          <w:p w14:paraId="45848E0F" w14:textId="77777777" w:rsidR="00380BE7" w:rsidRPr="00256982" w:rsidRDefault="00380BE7" w:rsidP="00486B11">
            <w:pPr>
              <w:pStyle w:val="TableText"/>
              <w:spacing w:before="40" w:after="40"/>
            </w:pPr>
            <w:r w:rsidRPr="00256982">
              <w:tab/>
              <w:t>AGB</w:t>
            </w:r>
          </w:p>
        </w:tc>
        <w:tc>
          <w:tcPr>
            <w:tcW w:w="1249" w:type="dxa"/>
            <w:tcBorders>
              <w:top w:val="single" w:sz="4" w:space="0" w:color="365F91"/>
              <w:bottom w:val="single" w:sz="4" w:space="0" w:color="365F91"/>
            </w:tcBorders>
          </w:tcPr>
          <w:p w14:paraId="094AA494" w14:textId="77777777" w:rsidR="00380BE7" w:rsidRPr="00256982" w:rsidRDefault="00380BE7" w:rsidP="00486B11">
            <w:pPr>
              <w:pStyle w:val="TableText"/>
              <w:spacing w:before="40" w:after="40"/>
              <w:jc w:val="center"/>
            </w:pPr>
            <w:r w:rsidRPr="00256982">
              <w:t>0.752</w:t>
            </w:r>
          </w:p>
        </w:tc>
        <w:tc>
          <w:tcPr>
            <w:tcW w:w="1411" w:type="dxa"/>
            <w:tcBorders>
              <w:top w:val="single" w:sz="4" w:space="0" w:color="365F91"/>
              <w:bottom w:val="single" w:sz="4" w:space="0" w:color="365F91"/>
            </w:tcBorders>
          </w:tcPr>
          <w:p w14:paraId="0F986E0D" w14:textId="77777777" w:rsidR="00380BE7" w:rsidRPr="00256982" w:rsidRDefault="00380BE7" w:rsidP="00486B11">
            <w:pPr>
              <w:pStyle w:val="TableText"/>
              <w:spacing w:before="40" w:after="40"/>
              <w:jc w:val="center"/>
            </w:pPr>
            <w:r w:rsidRPr="00256982">
              <w:t>0.752</w:t>
            </w:r>
          </w:p>
        </w:tc>
        <w:tc>
          <w:tcPr>
            <w:tcW w:w="1263" w:type="dxa"/>
            <w:tcBorders>
              <w:top w:val="single" w:sz="4" w:space="0" w:color="365F91"/>
              <w:bottom w:val="single" w:sz="4" w:space="0" w:color="365F91"/>
            </w:tcBorders>
          </w:tcPr>
          <w:p w14:paraId="65C2A99C" w14:textId="77777777" w:rsidR="00380BE7" w:rsidRPr="00256982" w:rsidRDefault="00380BE7" w:rsidP="00486B11">
            <w:pPr>
              <w:pStyle w:val="TableText"/>
              <w:spacing w:before="40" w:after="40"/>
              <w:jc w:val="center"/>
            </w:pPr>
            <w:r w:rsidRPr="00256982">
              <w:t>1</w:t>
            </w:r>
          </w:p>
        </w:tc>
        <w:tc>
          <w:tcPr>
            <w:tcW w:w="1189" w:type="dxa"/>
            <w:vMerge/>
            <w:tcBorders>
              <w:top w:val="single" w:sz="4" w:space="0" w:color="365F91"/>
              <w:bottom w:val="single" w:sz="4" w:space="0" w:color="365F91"/>
            </w:tcBorders>
          </w:tcPr>
          <w:p w14:paraId="77F1AB0C" w14:textId="77777777" w:rsidR="00380BE7" w:rsidRPr="00256982" w:rsidRDefault="00380BE7" w:rsidP="00486B11">
            <w:pPr>
              <w:pStyle w:val="TableText"/>
              <w:spacing w:before="40" w:after="40"/>
            </w:pPr>
          </w:p>
        </w:tc>
      </w:tr>
      <w:tr w:rsidR="00380BE7" w:rsidRPr="00256982" w14:paraId="3503DAAE" w14:textId="77777777" w:rsidTr="009574E7">
        <w:trPr>
          <w:trHeight w:val="20"/>
        </w:trPr>
        <w:tc>
          <w:tcPr>
            <w:tcW w:w="1180" w:type="dxa"/>
            <w:vMerge/>
          </w:tcPr>
          <w:p w14:paraId="4D6734E4" w14:textId="77777777" w:rsidR="00380BE7" w:rsidRPr="00256982" w:rsidRDefault="00380BE7" w:rsidP="00486B11">
            <w:pPr>
              <w:pStyle w:val="TableText"/>
              <w:spacing w:before="40" w:after="40"/>
            </w:pPr>
          </w:p>
        </w:tc>
        <w:tc>
          <w:tcPr>
            <w:tcW w:w="1757" w:type="dxa"/>
            <w:tcBorders>
              <w:top w:val="single" w:sz="4" w:space="0" w:color="365F91"/>
              <w:bottom w:val="single" w:sz="4" w:space="0" w:color="365F91"/>
            </w:tcBorders>
          </w:tcPr>
          <w:p w14:paraId="0B64F063" w14:textId="77777777" w:rsidR="00380BE7" w:rsidRPr="00256982" w:rsidRDefault="00380BE7" w:rsidP="00486B11">
            <w:pPr>
              <w:pStyle w:val="TableText"/>
              <w:spacing w:before="40" w:after="40"/>
            </w:pPr>
            <w:r w:rsidRPr="00256982">
              <w:tab/>
              <w:t>BGB</w:t>
            </w:r>
          </w:p>
        </w:tc>
        <w:tc>
          <w:tcPr>
            <w:tcW w:w="1249" w:type="dxa"/>
            <w:tcBorders>
              <w:top w:val="single" w:sz="4" w:space="0" w:color="365F91"/>
              <w:bottom w:val="single" w:sz="4" w:space="0" w:color="365F91"/>
            </w:tcBorders>
          </w:tcPr>
          <w:p w14:paraId="3A66CC79" w14:textId="77777777" w:rsidR="00380BE7" w:rsidRPr="00256982" w:rsidRDefault="00380BE7" w:rsidP="00486B11">
            <w:pPr>
              <w:pStyle w:val="TableText"/>
              <w:spacing w:before="40" w:after="40"/>
              <w:jc w:val="center"/>
            </w:pPr>
            <w:r w:rsidRPr="00256982">
              <w:t>2.115</w:t>
            </w:r>
          </w:p>
        </w:tc>
        <w:tc>
          <w:tcPr>
            <w:tcW w:w="1411" w:type="dxa"/>
            <w:tcBorders>
              <w:top w:val="single" w:sz="4" w:space="0" w:color="365F91"/>
              <w:bottom w:val="single" w:sz="4" w:space="0" w:color="365F91"/>
            </w:tcBorders>
          </w:tcPr>
          <w:p w14:paraId="14BF14E0" w14:textId="77777777" w:rsidR="00380BE7" w:rsidRPr="00256982" w:rsidRDefault="00380BE7" w:rsidP="00486B11">
            <w:pPr>
              <w:pStyle w:val="TableText"/>
              <w:spacing w:before="40" w:after="40"/>
              <w:jc w:val="center"/>
            </w:pPr>
            <w:r w:rsidRPr="00256982">
              <w:t>2.115</w:t>
            </w:r>
          </w:p>
        </w:tc>
        <w:tc>
          <w:tcPr>
            <w:tcW w:w="1263" w:type="dxa"/>
            <w:tcBorders>
              <w:top w:val="single" w:sz="4" w:space="0" w:color="365F91"/>
              <w:bottom w:val="single" w:sz="4" w:space="0" w:color="365F91"/>
            </w:tcBorders>
          </w:tcPr>
          <w:p w14:paraId="0190A3D4" w14:textId="77777777" w:rsidR="00380BE7" w:rsidRPr="00256982" w:rsidRDefault="00380BE7" w:rsidP="00486B11">
            <w:pPr>
              <w:pStyle w:val="TableText"/>
              <w:spacing w:before="40" w:after="40"/>
              <w:jc w:val="center"/>
            </w:pPr>
            <w:r w:rsidRPr="00256982">
              <w:t>1</w:t>
            </w:r>
          </w:p>
        </w:tc>
        <w:tc>
          <w:tcPr>
            <w:tcW w:w="1189" w:type="dxa"/>
            <w:vMerge/>
            <w:tcBorders>
              <w:top w:val="single" w:sz="4" w:space="0" w:color="365F91"/>
              <w:bottom w:val="single" w:sz="4" w:space="0" w:color="365F91"/>
            </w:tcBorders>
          </w:tcPr>
          <w:p w14:paraId="24E9B650" w14:textId="77777777" w:rsidR="00380BE7" w:rsidRPr="00256982" w:rsidRDefault="00380BE7" w:rsidP="00486B11">
            <w:pPr>
              <w:pStyle w:val="TableText"/>
              <w:spacing w:before="40" w:after="40"/>
            </w:pPr>
          </w:p>
        </w:tc>
      </w:tr>
      <w:tr w:rsidR="00380BE7" w:rsidRPr="00256982" w14:paraId="15CA9D09" w14:textId="77777777" w:rsidTr="009574E7">
        <w:trPr>
          <w:trHeight w:val="20"/>
        </w:trPr>
        <w:tc>
          <w:tcPr>
            <w:tcW w:w="1180" w:type="dxa"/>
            <w:vMerge/>
            <w:tcBorders>
              <w:bottom w:val="single" w:sz="4" w:space="0" w:color="365F91"/>
            </w:tcBorders>
          </w:tcPr>
          <w:p w14:paraId="6FE90C5A" w14:textId="77777777" w:rsidR="00380BE7" w:rsidRPr="00256982" w:rsidRDefault="00380BE7" w:rsidP="00486B11">
            <w:pPr>
              <w:pStyle w:val="TableText"/>
              <w:spacing w:before="40" w:after="40"/>
            </w:pPr>
          </w:p>
        </w:tc>
        <w:tc>
          <w:tcPr>
            <w:tcW w:w="1757" w:type="dxa"/>
            <w:tcBorders>
              <w:top w:val="single" w:sz="4" w:space="0" w:color="365F91"/>
              <w:bottom w:val="single" w:sz="4" w:space="0" w:color="365F91"/>
            </w:tcBorders>
          </w:tcPr>
          <w:p w14:paraId="5A8BD7A9" w14:textId="77777777" w:rsidR="00380BE7" w:rsidRPr="00256982" w:rsidRDefault="00380BE7" w:rsidP="00486B11">
            <w:pPr>
              <w:pStyle w:val="TableText"/>
              <w:spacing w:before="40" w:after="40"/>
              <w:rPr>
                <w:i/>
              </w:rPr>
            </w:pPr>
            <w:r w:rsidRPr="00256982">
              <w:rPr>
                <w:i/>
              </w:rPr>
              <w:t>Dead organic matter</w:t>
            </w:r>
          </w:p>
        </w:tc>
        <w:tc>
          <w:tcPr>
            <w:tcW w:w="1249" w:type="dxa"/>
            <w:tcBorders>
              <w:top w:val="single" w:sz="4" w:space="0" w:color="365F91"/>
              <w:bottom w:val="single" w:sz="4" w:space="0" w:color="365F91"/>
            </w:tcBorders>
          </w:tcPr>
          <w:p w14:paraId="41DD5379" w14:textId="77777777" w:rsidR="00380BE7" w:rsidRPr="00256982" w:rsidRDefault="00380BE7" w:rsidP="00486B11">
            <w:pPr>
              <w:pStyle w:val="TableText"/>
              <w:spacing w:before="40" w:after="40"/>
              <w:jc w:val="center"/>
            </w:pPr>
            <w:r w:rsidRPr="00256982">
              <w:t>NE</w:t>
            </w:r>
          </w:p>
        </w:tc>
        <w:tc>
          <w:tcPr>
            <w:tcW w:w="1411" w:type="dxa"/>
            <w:tcBorders>
              <w:top w:val="single" w:sz="4" w:space="0" w:color="365F91"/>
              <w:bottom w:val="single" w:sz="4" w:space="0" w:color="365F91"/>
            </w:tcBorders>
          </w:tcPr>
          <w:p w14:paraId="62D82411" w14:textId="77777777" w:rsidR="00380BE7" w:rsidRPr="00256982" w:rsidRDefault="00380BE7" w:rsidP="00486B11">
            <w:pPr>
              <w:pStyle w:val="TableText"/>
              <w:spacing w:before="40" w:after="40"/>
              <w:jc w:val="center"/>
            </w:pPr>
            <w:r w:rsidRPr="00256982">
              <w:t>NA</w:t>
            </w:r>
          </w:p>
        </w:tc>
        <w:tc>
          <w:tcPr>
            <w:tcW w:w="1263" w:type="dxa"/>
            <w:tcBorders>
              <w:top w:val="single" w:sz="4" w:space="0" w:color="365F91"/>
              <w:bottom w:val="single" w:sz="4" w:space="0" w:color="365F91"/>
            </w:tcBorders>
          </w:tcPr>
          <w:p w14:paraId="18EC9B96" w14:textId="77777777" w:rsidR="00380BE7" w:rsidRPr="00256982" w:rsidRDefault="00380BE7" w:rsidP="00486B11">
            <w:pPr>
              <w:pStyle w:val="TableText"/>
              <w:spacing w:before="40" w:after="40"/>
              <w:jc w:val="center"/>
            </w:pPr>
            <w:r w:rsidRPr="00256982">
              <w:t>NA</w:t>
            </w:r>
          </w:p>
        </w:tc>
        <w:tc>
          <w:tcPr>
            <w:tcW w:w="1189" w:type="dxa"/>
            <w:tcBorders>
              <w:top w:val="single" w:sz="4" w:space="0" w:color="365F91"/>
              <w:bottom w:val="single" w:sz="4" w:space="0" w:color="365F91"/>
            </w:tcBorders>
          </w:tcPr>
          <w:p w14:paraId="48198330" w14:textId="77777777" w:rsidR="00380BE7" w:rsidRPr="00256982" w:rsidRDefault="00380BE7" w:rsidP="00486B11">
            <w:pPr>
              <w:pStyle w:val="TableText"/>
              <w:spacing w:before="40" w:after="40"/>
            </w:pPr>
            <w:r w:rsidRPr="00256982">
              <w:t>No IPCC guidelines</w:t>
            </w:r>
          </w:p>
        </w:tc>
      </w:tr>
      <w:tr w:rsidR="00380BE7" w:rsidRPr="00256982" w14:paraId="27DA1D9D" w14:textId="77777777" w:rsidTr="009574E7">
        <w:trPr>
          <w:trHeight w:val="20"/>
        </w:trPr>
        <w:tc>
          <w:tcPr>
            <w:tcW w:w="1180" w:type="dxa"/>
            <w:vMerge w:val="restart"/>
            <w:tcBorders>
              <w:top w:val="single" w:sz="4" w:space="0" w:color="365F91"/>
              <w:bottom w:val="single" w:sz="4" w:space="0" w:color="365F91"/>
            </w:tcBorders>
          </w:tcPr>
          <w:p w14:paraId="18F71885" w14:textId="77777777" w:rsidR="00380BE7" w:rsidRPr="00256982" w:rsidRDefault="00380BE7" w:rsidP="00486B11">
            <w:pPr>
              <w:pStyle w:val="TableText"/>
              <w:spacing w:before="40" w:after="40"/>
            </w:pPr>
            <w:r w:rsidRPr="00256982">
              <w:t>With woody biomass –transitional</w:t>
            </w:r>
          </w:p>
        </w:tc>
        <w:tc>
          <w:tcPr>
            <w:tcW w:w="1757" w:type="dxa"/>
            <w:tcBorders>
              <w:top w:val="single" w:sz="4" w:space="0" w:color="365F91"/>
              <w:bottom w:val="single" w:sz="4" w:space="0" w:color="365F91"/>
            </w:tcBorders>
          </w:tcPr>
          <w:p w14:paraId="5A746D46" w14:textId="77777777" w:rsidR="00380BE7" w:rsidRPr="00256982" w:rsidRDefault="00380BE7" w:rsidP="00486B11">
            <w:pPr>
              <w:pStyle w:val="TableText"/>
              <w:spacing w:before="40" w:after="40"/>
              <w:rPr>
                <w:b/>
              </w:rPr>
            </w:pPr>
            <w:r w:rsidRPr="00256982">
              <w:rPr>
                <w:b/>
              </w:rPr>
              <w:t>Total biomass</w:t>
            </w:r>
          </w:p>
        </w:tc>
        <w:tc>
          <w:tcPr>
            <w:tcW w:w="1249" w:type="dxa"/>
            <w:tcBorders>
              <w:top w:val="single" w:sz="4" w:space="0" w:color="365F91"/>
              <w:bottom w:val="single" w:sz="4" w:space="0" w:color="365F91"/>
            </w:tcBorders>
          </w:tcPr>
          <w:p w14:paraId="3F90F0CB" w14:textId="77777777" w:rsidR="00380BE7" w:rsidRPr="00256982" w:rsidRDefault="00380BE7" w:rsidP="00486B11">
            <w:pPr>
              <w:pStyle w:val="TableText"/>
              <w:spacing w:before="40" w:after="40"/>
              <w:jc w:val="center"/>
              <w:rPr>
                <w:b/>
              </w:rPr>
            </w:pPr>
            <w:r w:rsidRPr="00256982">
              <w:rPr>
                <w:b/>
              </w:rPr>
              <w:t>13.05</w:t>
            </w:r>
          </w:p>
        </w:tc>
        <w:tc>
          <w:tcPr>
            <w:tcW w:w="1411" w:type="dxa"/>
            <w:tcBorders>
              <w:top w:val="single" w:sz="4" w:space="0" w:color="365F91"/>
              <w:bottom w:val="single" w:sz="4" w:space="0" w:color="365F91"/>
            </w:tcBorders>
          </w:tcPr>
          <w:p w14:paraId="367277D5" w14:textId="77777777" w:rsidR="00380BE7" w:rsidRPr="00256982" w:rsidRDefault="00380BE7" w:rsidP="00486B11">
            <w:pPr>
              <w:pStyle w:val="TableText"/>
              <w:spacing w:before="40" w:after="40"/>
              <w:jc w:val="center"/>
              <w:rPr>
                <w:b/>
              </w:rPr>
            </w:pPr>
            <w:r w:rsidRPr="00256982">
              <w:rPr>
                <w:b/>
              </w:rPr>
              <w:t>0.47</w:t>
            </w:r>
          </w:p>
        </w:tc>
        <w:tc>
          <w:tcPr>
            <w:tcW w:w="1263" w:type="dxa"/>
            <w:tcBorders>
              <w:top w:val="single" w:sz="4" w:space="0" w:color="365F91"/>
              <w:bottom w:val="single" w:sz="4" w:space="0" w:color="365F91"/>
            </w:tcBorders>
          </w:tcPr>
          <w:p w14:paraId="606C0948" w14:textId="77777777" w:rsidR="00380BE7" w:rsidRPr="00256982" w:rsidRDefault="00380BE7" w:rsidP="00486B11">
            <w:pPr>
              <w:pStyle w:val="TableText"/>
              <w:spacing w:before="40" w:after="40"/>
              <w:jc w:val="center"/>
              <w:rPr>
                <w:b/>
              </w:rPr>
            </w:pPr>
            <w:r w:rsidRPr="00256982">
              <w:rPr>
                <w:b/>
              </w:rPr>
              <w:t>28</w:t>
            </w:r>
          </w:p>
        </w:tc>
        <w:tc>
          <w:tcPr>
            <w:tcW w:w="1189" w:type="dxa"/>
            <w:vMerge w:val="restart"/>
            <w:tcBorders>
              <w:top w:val="single" w:sz="4" w:space="0" w:color="365F91"/>
              <w:bottom w:val="single" w:sz="4" w:space="0" w:color="365F91"/>
            </w:tcBorders>
          </w:tcPr>
          <w:p w14:paraId="2BAD065E" w14:textId="77777777" w:rsidR="00380BE7" w:rsidRPr="00256982" w:rsidRDefault="00380BE7" w:rsidP="00486B11">
            <w:pPr>
              <w:pStyle w:val="TableText"/>
              <w:spacing w:before="40" w:after="40"/>
            </w:pPr>
            <w:r w:rsidRPr="00256982">
              <w:t>Wakelin and Beets, unpublished</w:t>
            </w:r>
          </w:p>
        </w:tc>
      </w:tr>
      <w:tr w:rsidR="00380BE7" w:rsidRPr="00256982" w14:paraId="7A47558A" w14:textId="77777777" w:rsidTr="009574E7">
        <w:trPr>
          <w:trHeight w:val="20"/>
        </w:trPr>
        <w:tc>
          <w:tcPr>
            <w:tcW w:w="1180" w:type="dxa"/>
            <w:vMerge/>
            <w:tcBorders>
              <w:top w:val="single" w:sz="4" w:space="0" w:color="365F91"/>
            </w:tcBorders>
          </w:tcPr>
          <w:p w14:paraId="75AEE53A" w14:textId="77777777" w:rsidR="00380BE7" w:rsidRPr="00256982" w:rsidRDefault="00380BE7" w:rsidP="00486B11">
            <w:pPr>
              <w:pStyle w:val="TableText"/>
              <w:spacing w:before="40" w:after="40"/>
            </w:pPr>
          </w:p>
        </w:tc>
        <w:tc>
          <w:tcPr>
            <w:tcW w:w="1757" w:type="dxa"/>
            <w:tcBorders>
              <w:top w:val="single" w:sz="4" w:space="0" w:color="365F91"/>
              <w:bottom w:val="single" w:sz="4" w:space="0" w:color="365F91"/>
            </w:tcBorders>
          </w:tcPr>
          <w:p w14:paraId="519CD010" w14:textId="77777777" w:rsidR="00380BE7" w:rsidRPr="00256982" w:rsidRDefault="00380BE7" w:rsidP="00486B11">
            <w:pPr>
              <w:pStyle w:val="TableText"/>
              <w:spacing w:before="40" w:after="40"/>
              <w:rPr>
                <w:i/>
              </w:rPr>
            </w:pPr>
            <w:r w:rsidRPr="00256982">
              <w:rPr>
                <w:i/>
              </w:rPr>
              <w:t>Living biomass</w:t>
            </w:r>
          </w:p>
        </w:tc>
        <w:tc>
          <w:tcPr>
            <w:tcW w:w="1249" w:type="dxa"/>
            <w:tcBorders>
              <w:top w:val="single" w:sz="4" w:space="0" w:color="365F91"/>
              <w:bottom w:val="single" w:sz="4" w:space="0" w:color="365F91"/>
            </w:tcBorders>
          </w:tcPr>
          <w:p w14:paraId="07E6E888" w14:textId="77777777" w:rsidR="00380BE7" w:rsidRPr="00256982" w:rsidRDefault="00380BE7" w:rsidP="00486B11">
            <w:pPr>
              <w:pStyle w:val="TableText"/>
              <w:spacing w:before="40" w:after="40"/>
              <w:jc w:val="center"/>
            </w:pPr>
          </w:p>
        </w:tc>
        <w:tc>
          <w:tcPr>
            <w:tcW w:w="1411" w:type="dxa"/>
            <w:tcBorders>
              <w:top w:val="single" w:sz="4" w:space="0" w:color="365F91"/>
              <w:bottom w:val="single" w:sz="4" w:space="0" w:color="365F91"/>
            </w:tcBorders>
          </w:tcPr>
          <w:p w14:paraId="40736067" w14:textId="77777777" w:rsidR="00380BE7" w:rsidRPr="00256982" w:rsidRDefault="00380BE7" w:rsidP="00486B11">
            <w:pPr>
              <w:pStyle w:val="TableText"/>
              <w:spacing w:before="40" w:after="40"/>
              <w:jc w:val="center"/>
            </w:pPr>
          </w:p>
        </w:tc>
        <w:tc>
          <w:tcPr>
            <w:tcW w:w="1263" w:type="dxa"/>
            <w:tcBorders>
              <w:top w:val="single" w:sz="4" w:space="0" w:color="365F91"/>
              <w:bottom w:val="single" w:sz="4" w:space="0" w:color="365F91"/>
            </w:tcBorders>
          </w:tcPr>
          <w:p w14:paraId="254635B2" w14:textId="77777777" w:rsidR="00380BE7" w:rsidRPr="00256982" w:rsidRDefault="00380BE7" w:rsidP="00486B11">
            <w:pPr>
              <w:pStyle w:val="TableText"/>
              <w:spacing w:before="40" w:after="40"/>
              <w:jc w:val="center"/>
            </w:pPr>
          </w:p>
        </w:tc>
        <w:tc>
          <w:tcPr>
            <w:tcW w:w="1189" w:type="dxa"/>
            <w:vMerge/>
            <w:tcBorders>
              <w:top w:val="single" w:sz="4" w:space="0" w:color="365F91"/>
              <w:bottom w:val="single" w:sz="4" w:space="0" w:color="365F91"/>
            </w:tcBorders>
          </w:tcPr>
          <w:p w14:paraId="1186C52F" w14:textId="77777777" w:rsidR="00380BE7" w:rsidRPr="00256982" w:rsidRDefault="00380BE7" w:rsidP="00486B11">
            <w:pPr>
              <w:pStyle w:val="TableText"/>
              <w:spacing w:before="40" w:after="40"/>
            </w:pPr>
          </w:p>
        </w:tc>
      </w:tr>
      <w:tr w:rsidR="00380BE7" w:rsidRPr="00256982" w14:paraId="4488C6B5" w14:textId="77777777" w:rsidTr="009574E7">
        <w:trPr>
          <w:trHeight w:val="20"/>
        </w:trPr>
        <w:tc>
          <w:tcPr>
            <w:tcW w:w="1180" w:type="dxa"/>
            <w:vMerge/>
          </w:tcPr>
          <w:p w14:paraId="1DA99B8D" w14:textId="77777777" w:rsidR="00380BE7" w:rsidRPr="00256982" w:rsidRDefault="00380BE7" w:rsidP="00486B11">
            <w:pPr>
              <w:pStyle w:val="TableText"/>
              <w:spacing w:before="40" w:after="40"/>
            </w:pPr>
          </w:p>
        </w:tc>
        <w:tc>
          <w:tcPr>
            <w:tcW w:w="1757" w:type="dxa"/>
            <w:tcBorders>
              <w:top w:val="single" w:sz="4" w:space="0" w:color="365F91"/>
              <w:bottom w:val="single" w:sz="4" w:space="0" w:color="365F91"/>
            </w:tcBorders>
          </w:tcPr>
          <w:p w14:paraId="0EC132FD" w14:textId="77777777" w:rsidR="00380BE7" w:rsidRPr="00256982" w:rsidRDefault="00380BE7" w:rsidP="00486B11">
            <w:pPr>
              <w:pStyle w:val="TableText"/>
              <w:spacing w:before="40" w:after="40"/>
            </w:pPr>
            <w:r w:rsidRPr="00256982">
              <w:tab/>
              <w:t>AGB</w:t>
            </w:r>
          </w:p>
        </w:tc>
        <w:tc>
          <w:tcPr>
            <w:tcW w:w="1249" w:type="dxa"/>
            <w:tcBorders>
              <w:top w:val="single" w:sz="4" w:space="0" w:color="365F91"/>
              <w:bottom w:val="single" w:sz="4" w:space="0" w:color="365F91"/>
            </w:tcBorders>
          </w:tcPr>
          <w:p w14:paraId="24CDC152" w14:textId="77777777" w:rsidR="00380BE7" w:rsidRPr="00256982" w:rsidRDefault="00380BE7" w:rsidP="00486B11">
            <w:pPr>
              <w:pStyle w:val="TableText"/>
              <w:spacing w:before="40" w:after="40"/>
              <w:jc w:val="center"/>
            </w:pPr>
            <w:r w:rsidRPr="00256982">
              <w:t>9.35</w:t>
            </w:r>
          </w:p>
        </w:tc>
        <w:tc>
          <w:tcPr>
            <w:tcW w:w="1411" w:type="dxa"/>
            <w:tcBorders>
              <w:top w:val="single" w:sz="4" w:space="0" w:color="365F91"/>
              <w:bottom w:val="single" w:sz="4" w:space="0" w:color="365F91"/>
            </w:tcBorders>
          </w:tcPr>
          <w:p w14:paraId="047E1D1E" w14:textId="77777777" w:rsidR="00380BE7" w:rsidRPr="00256982" w:rsidRDefault="00380BE7" w:rsidP="00486B11">
            <w:pPr>
              <w:pStyle w:val="TableText"/>
              <w:spacing w:before="40" w:after="40"/>
              <w:jc w:val="center"/>
            </w:pPr>
            <w:r w:rsidRPr="00256982">
              <w:t>0.33</w:t>
            </w:r>
          </w:p>
        </w:tc>
        <w:tc>
          <w:tcPr>
            <w:tcW w:w="1263" w:type="dxa"/>
            <w:tcBorders>
              <w:top w:val="single" w:sz="4" w:space="0" w:color="365F91"/>
              <w:bottom w:val="single" w:sz="4" w:space="0" w:color="365F91"/>
            </w:tcBorders>
          </w:tcPr>
          <w:p w14:paraId="752FAF75" w14:textId="77777777" w:rsidR="00380BE7" w:rsidRPr="00256982" w:rsidRDefault="00380BE7" w:rsidP="00486B11">
            <w:pPr>
              <w:pStyle w:val="TableText"/>
              <w:spacing w:before="40" w:after="40"/>
              <w:jc w:val="center"/>
            </w:pPr>
            <w:r w:rsidRPr="00256982">
              <w:t>28</w:t>
            </w:r>
          </w:p>
        </w:tc>
        <w:tc>
          <w:tcPr>
            <w:tcW w:w="1189" w:type="dxa"/>
            <w:vMerge/>
            <w:tcBorders>
              <w:top w:val="single" w:sz="4" w:space="0" w:color="365F91"/>
            </w:tcBorders>
          </w:tcPr>
          <w:p w14:paraId="416B181C" w14:textId="77777777" w:rsidR="00380BE7" w:rsidRPr="00256982" w:rsidRDefault="00380BE7" w:rsidP="00486B11">
            <w:pPr>
              <w:pStyle w:val="TableText"/>
              <w:spacing w:before="40" w:after="40"/>
            </w:pPr>
          </w:p>
        </w:tc>
      </w:tr>
      <w:tr w:rsidR="00380BE7" w:rsidRPr="00256982" w14:paraId="38597FF6" w14:textId="77777777" w:rsidTr="009574E7">
        <w:trPr>
          <w:trHeight w:val="20"/>
        </w:trPr>
        <w:tc>
          <w:tcPr>
            <w:tcW w:w="1180" w:type="dxa"/>
            <w:vMerge/>
          </w:tcPr>
          <w:p w14:paraId="4E3BF41B" w14:textId="77777777" w:rsidR="00380BE7" w:rsidRPr="00256982" w:rsidRDefault="00380BE7" w:rsidP="00486B11">
            <w:pPr>
              <w:pStyle w:val="TableText"/>
              <w:spacing w:before="40" w:after="40"/>
            </w:pPr>
          </w:p>
        </w:tc>
        <w:tc>
          <w:tcPr>
            <w:tcW w:w="1757" w:type="dxa"/>
            <w:tcBorders>
              <w:top w:val="single" w:sz="4" w:space="0" w:color="365F91"/>
              <w:bottom w:val="single" w:sz="4" w:space="0" w:color="365F91"/>
            </w:tcBorders>
          </w:tcPr>
          <w:p w14:paraId="6D108E4A" w14:textId="77777777" w:rsidR="00380BE7" w:rsidRPr="00256982" w:rsidRDefault="00380BE7" w:rsidP="00486B11">
            <w:pPr>
              <w:pStyle w:val="TableText"/>
              <w:spacing w:before="40" w:after="40"/>
            </w:pPr>
            <w:r w:rsidRPr="00256982">
              <w:tab/>
              <w:t>BGB</w:t>
            </w:r>
          </w:p>
        </w:tc>
        <w:tc>
          <w:tcPr>
            <w:tcW w:w="1249" w:type="dxa"/>
            <w:tcBorders>
              <w:top w:val="single" w:sz="4" w:space="0" w:color="365F91"/>
              <w:bottom w:val="single" w:sz="4" w:space="0" w:color="365F91"/>
            </w:tcBorders>
          </w:tcPr>
          <w:p w14:paraId="2F2FAEF6" w14:textId="77777777" w:rsidR="00380BE7" w:rsidRPr="00256982" w:rsidRDefault="00380BE7" w:rsidP="00486B11">
            <w:pPr>
              <w:pStyle w:val="TableText"/>
              <w:spacing w:before="40" w:after="40"/>
              <w:jc w:val="center"/>
            </w:pPr>
            <w:r w:rsidRPr="00256982">
              <w:t>3.05</w:t>
            </w:r>
          </w:p>
        </w:tc>
        <w:tc>
          <w:tcPr>
            <w:tcW w:w="1411" w:type="dxa"/>
            <w:tcBorders>
              <w:top w:val="single" w:sz="4" w:space="0" w:color="365F91"/>
              <w:bottom w:val="single" w:sz="4" w:space="0" w:color="365F91"/>
            </w:tcBorders>
          </w:tcPr>
          <w:p w14:paraId="5357D36E" w14:textId="77777777" w:rsidR="00380BE7" w:rsidRPr="00256982" w:rsidRDefault="00380BE7" w:rsidP="00486B11">
            <w:pPr>
              <w:pStyle w:val="TableText"/>
              <w:spacing w:before="40" w:after="40"/>
              <w:jc w:val="center"/>
            </w:pPr>
            <w:r w:rsidRPr="00256982">
              <w:t>0.11</w:t>
            </w:r>
          </w:p>
        </w:tc>
        <w:tc>
          <w:tcPr>
            <w:tcW w:w="1263" w:type="dxa"/>
            <w:tcBorders>
              <w:top w:val="single" w:sz="4" w:space="0" w:color="365F91"/>
              <w:bottom w:val="single" w:sz="4" w:space="0" w:color="365F91"/>
            </w:tcBorders>
          </w:tcPr>
          <w:p w14:paraId="6B570869" w14:textId="77777777" w:rsidR="00380BE7" w:rsidRPr="00256982" w:rsidRDefault="00380BE7" w:rsidP="00486B11">
            <w:pPr>
              <w:pStyle w:val="TableText"/>
              <w:spacing w:before="40" w:after="40"/>
              <w:jc w:val="center"/>
            </w:pPr>
            <w:r w:rsidRPr="00256982">
              <w:t>28</w:t>
            </w:r>
          </w:p>
        </w:tc>
        <w:tc>
          <w:tcPr>
            <w:tcW w:w="1189" w:type="dxa"/>
            <w:vMerge/>
            <w:tcBorders>
              <w:top w:val="single" w:sz="4" w:space="0" w:color="365F91"/>
            </w:tcBorders>
          </w:tcPr>
          <w:p w14:paraId="04EAA21A" w14:textId="77777777" w:rsidR="00380BE7" w:rsidRPr="00256982" w:rsidRDefault="00380BE7" w:rsidP="00486B11">
            <w:pPr>
              <w:pStyle w:val="TableText"/>
              <w:spacing w:before="40" w:after="40"/>
            </w:pPr>
          </w:p>
        </w:tc>
      </w:tr>
      <w:tr w:rsidR="00380BE7" w:rsidRPr="00256982" w14:paraId="60FD97DD" w14:textId="77777777" w:rsidTr="009574E7">
        <w:trPr>
          <w:trHeight w:val="20"/>
        </w:trPr>
        <w:tc>
          <w:tcPr>
            <w:tcW w:w="1180" w:type="dxa"/>
            <w:vMerge/>
          </w:tcPr>
          <w:p w14:paraId="5C8EC2E7" w14:textId="77777777" w:rsidR="00380BE7" w:rsidRPr="00256982" w:rsidRDefault="00380BE7" w:rsidP="00486B11">
            <w:pPr>
              <w:pStyle w:val="TableText"/>
              <w:spacing w:before="40" w:after="40"/>
            </w:pPr>
          </w:p>
        </w:tc>
        <w:tc>
          <w:tcPr>
            <w:tcW w:w="1757" w:type="dxa"/>
            <w:tcBorders>
              <w:top w:val="single" w:sz="4" w:space="0" w:color="365F91"/>
              <w:bottom w:val="single" w:sz="4" w:space="0" w:color="365F91"/>
            </w:tcBorders>
          </w:tcPr>
          <w:p w14:paraId="6BD7FD25" w14:textId="77777777" w:rsidR="00380BE7" w:rsidRPr="00256982" w:rsidRDefault="00380BE7" w:rsidP="00486B11">
            <w:pPr>
              <w:pStyle w:val="TableText"/>
              <w:spacing w:before="40" w:after="40"/>
              <w:rPr>
                <w:i/>
              </w:rPr>
            </w:pPr>
            <w:r w:rsidRPr="00256982">
              <w:rPr>
                <w:i/>
              </w:rPr>
              <w:t>Dead organic matter</w:t>
            </w:r>
          </w:p>
        </w:tc>
        <w:tc>
          <w:tcPr>
            <w:tcW w:w="1249" w:type="dxa"/>
            <w:tcBorders>
              <w:top w:val="single" w:sz="4" w:space="0" w:color="365F91"/>
              <w:bottom w:val="single" w:sz="4" w:space="0" w:color="365F91"/>
            </w:tcBorders>
          </w:tcPr>
          <w:p w14:paraId="58175D7D" w14:textId="77777777" w:rsidR="00380BE7" w:rsidRPr="00256982" w:rsidRDefault="00380BE7" w:rsidP="00486B11">
            <w:pPr>
              <w:pStyle w:val="TableText"/>
              <w:spacing w:before="40" w:after="40"/>
              <w:jc w:val="center"/>
            </w:pPr>
          </w:p>
        </w:tc>
        <w:tc>
          <w:tcPr>
            <w:tcW w:w="1411" w:type="dxa"/>
            <w:tcBorders>
              <w:top w:val="single" w:sz="4" w:space="0" w:color="365F91"/>
              <w:bottom w:val="single" w:sz="4" w:space="0" w:color="365F91"/>
            </w:tcBorders>
          </w:tcPr>
          <w:p w14:paraId="136A77BA" w14:textId="77777777" w:rsidR="00380BE7" w:rsidRPr="00256982" w:rsidRDefault="00380BE7" w:rsidP="00486B11">
            <w:pPr>
              <w:pStyle w:val="TableText"/>
              <w:spacing w:before="40" w:after="40"/>
              <w:jc w:val="center"/>
            </w:pPr>
          </w:p>
        </w:tc>
        <w:tc>
          <w:tcPr>
            <w:tcW w:w="1263" w:type="dxa"/>
            <w:tcBorders>
              <w:top w:val="single" w:sz="4" w:space="0" w:color="365F91"/>
              <w:bottom w:val="single" w:sz="4" w:space="0" w:color="365F91"/>
            </w:tcBorders>
          </w:tcPr>
          <w:p w14:paraId="767FE2F3" w14:textId="77777777" w:rsidR="00380BE7" w:rsidRPr="00256982" w:rsidRDefault="00380BE7" w:rsidP="00486B11">
            <w:pPr>
              <w:pStyle w:val="TableText"/>
              <w:spacing w:before="40" w:after="40"/>
              <w:jc w:val="center"/>
            </w:pPr>
          </w:p>
        </w:tc>
        <w:tc>
          <w:tcPr>
            <w:tcW w:w="1189" w:type="dxa"/>
            <w:vMerge/>
          </w:tcPr>
          <w:p w14:paraId="23326FF4" w14:textId="77777777" w:rsidR="00380BE7" w:rsidRPr="00256982" w:rsidRDefault="00380BE7" w:rsidP="00486B11">
            <w:pPr>
              <w:pStyle w:val="TableText"/>
              <w:spacing w:before="40" w:after="40"/>
            </w:pPr>
          </w:p>
        </w:tc>
      </w:tr>
      <w:tr w:rsidR="00380BE7" w:rsidRPr="00256982" w14:paraId="3F2A4166" w14:textId="77777777" w:rsidTr="009574E7">
        <w:trPr>
          <w:trHeight w:val="20"/>
        </w:trPr>
        <w:tc>
          <w:tcPr>
            <w:tcW w:w="1180" w:type="dxa"/>
            <w:vMerge/>
          </w:tcPr>
          <w:p w14:paraId="7BB7EA46" w14:textId="77777777" w:rsidR="00380BE7" w:rsidRPr="00256982" w:rsidRDefault="00380BE7" w:rsidP="00486B11">
            <w:pPr>
              <w:pStyle w:val="TableText"/>
              <w:spacing w:before="40" w:after="40"/>
            </w:pPr>
          </w:p>
        </w:tc>
        <w:tc>
          <w:tcPr>
            <w:tcW w:w="1757" w:type="dxa"/>
            <w:tcBorders>
              <w:top w:val="single" w:sz="4" w:space="0" w:color="365F91"/>
              <w:bottom w:val="single" w:sz="4" w:space="0" w:color="365F91"/>
            </w:tcBorders>
          </w:tcPr>
          <w:p w14:paraId="59A37C55" w14:textId="77777777" w:rsidR="00380BE7" w:rsidRPr="00256982" w:rsidRDefault="00380BE7" w:rsidP="00486B11">
            <w:pPr>
              <w:pStyle w:val="TableText"/>
              <w:spacing w:before="40" w:after="40"/>
            </w:pPr>
            <w:r w:rsidRPr="00256982">
              <w:tab/>
              <w:t>Dead wood</w:t>
            </w:r>
          </w:p>
        </w:tc>
        <w:tc>
          <w:tcPr>
            <w:tcW w:w="1249" w:type="dxa"/>
            <w:tcBorders>
              <w:top w:val="single" w:sz="4" w:space="0" w:color="365F91"/>
              <w:bottom w:val="single" w:sz="4" w:space="0" w:color="365F91"/>
            </w:tcBorders>
          </w:tcPr>
          <w:p w14:paraId="6FE5C149" w14:textId="77777777" w:rsidR="00380BE7" w:rsidRPr="00256982" w:rsidRDefault="00380BE7" w:rsidP="00486B11">
            <w:pPr>
              <w:pStyle w:val="TableText"/>
              <w:spacing w:before="40" w:after="40"/>
              <w:jc w:val="center"/>
            </w:pPr>
            <w:r w:rsidRPr="00256982">
              <w:t>0.10</w:t>
            </w:r>
          </w:p>
        </w:tc>
        <w:tc>
          <w:tcPr>
            <w:tcW w:w="1411" w:type="dxa"/>
            <w:tcBorders>
              <w:top w:val="single" w:sz="4" w:space="0" w:color="365F91"/>
              <w:bottom w:val="single" w:sz="4" w:space="0" w:color="365F91"/>
            </w:tcBorders>
          </w:tcPr>
          <w:p w14:paraId="5C3509C0" w14:textId="77777777" w:rsidR="00380BE7" w:rsidRPr="00256982" w:rsidRDefault="00380BE7" w:rsidP="00486B11">
            <w:pPr>
              <w:pStyle w:val="TableText"/>
              <w:spacing w:before="40" w:after="40"/>
              <w:jc w:val="center"/>
            </w:pPr>
            <w:r w:rsidRPr="00256982">
              <w:t>0.004</w:t>
            </w:r>
          </w:p>
        </w:tc>
        <w:tc>
          <w:tcPr>
            <w:tcW w:w="1263" w:type="dxa"/>
            <w:tcBorders>
              <w:top w:val="single" w:sz="4" w:space="0" w:color="365F91"/>
              <w:bottom w:val="single" w:sz="4" w:space="0" w:color="365F91"/>
            </w:tcBorders>
          </w:tcPr>
          <w:p w14:paraId="79C3EAE1" w14:textId="77777777" w:rsidR="00380BE7" w:rsidRPr="00256982" w:rsidRDefault="00380BE7" w:rsidP="00486B11">
            <w:pPr>
              <w:pStyle w:val="TableText"/>
              <w:spacing w:before="40" w:after="40"/>
              <w:jc w:val="center"/>
            </w:pPr>
            <w:r w:rsidRPr="00256982">
              <w:t>28</w:t>
            </w:r>
          </w:p>
        </w:tc>
        <w:tc>
          <w:tcPr>
            <w:tcW w:w="1189" w:type="dxa"/>
            <w:vMerge/>
          </w:tcPr>
          <w:p w14:paraId="6C16BBA9" w14:textId="77777777" w:rsidR="00380BE7" w:rsidRPr="00256982" w:rsidRDefault="00380BE7" w:rsidP="00486B11">
            <w:pPr>
              <w:pStyle w:val="TableText"/>
              <w:spacing w:before="40" w:after="40"/>
            </w:pPr>
          </w:p>
        </w:tc>
      </w:tr>
      <w:tr w:rsidR="00380BE7" w:rsidRPr="00256982" w14:paraId="2A8ECC7E" w14:textId="77777777" w:rsidTr="009574E7">
        <w:trPr>
          <w:trHeight w:val="20"/>
        </w:trPr>
        <w:tc>
          <w:tcPr>
            <w:tcW w:w="1180" w:type="dxa"/>
            <w:vMerge/>
            <w:tcBorders>
              <w:bottom w:val="single" w:sz="4" w:space="0" w:color="365F91"/>
            </w:tcBorders>
          </w:tcPr>
          <w:p w14:paraId="531BBB66" w14:textId="77777777" w:rsidR="00380BE7" w:rsidRPr="00256982" w:rsidRDefault="00380BE7" w:rsidP="00486B11">
            <w:pPr>
              <w:pStyle w:val="TableText"/>
              <w:spacing w:before="40" w:after="40"/>
            </w:pPr>
          </w:p>
        </w:tc>
        <w:tc>
          <w:tcPr>
            <w:tcW w:w="1757" w:type="dxa"/>
            <w:tcBorders>
              <w:top w:val="single" w:sz="4" w:space="0" w:color="365F91"/>
              <w:bottom w:val="single" w:sz="4" w:space="0" w:color="365F91"/>
            </w:tcBorders>
          </w:tcPr>
          <w:p w14:paraId="69F10D9F" w14:textId="77777777" w:rsidR="00380BE7" w:rsidRPr="00256982" w:rsidRDefault="00380BE7" w:rsidP="00486B11">
            <w:pPr>
              <w:pStyle w:val="TableText"/>
              <w:spacing w:before="40" w:after="40"/>
            </w:pPr>
            <w:r w:rsidRPr="00256982">
              <w:tab/>
              <w:t>Litter</w:t>
            </w:r>
          </w:p>
        </w:tc>
        <w:tc>
          <w:tcPr>
            <w:tcW w:w="1249" w:type="dxa"/>
            <w:tcBorders>
              <w:top w:val="single" w:sz="4" w:space="0" w:color="365F91"/>
              <w:bottom w:val="single" w:sz="4" w:space="0" w:color="365F91"/>
            </w:tcBorders>
          </w:tcPr>
          <w:p w14:paraId="5FA4773C" w14:textId="77777777" w:rsidR="00380BE7" w:rsidRPr="00256982" w:rsidRDefault="00380BE7" w:rsidP="00486B11">
            <w:pPr>
              <w:pStyle w:val="TableText"/>
              <w:spacing w:before="40" w:after="40"/>
              <w:jc w:val="center"/>
            </w:pPr>
            <w:r w:rsidRPr="00256982">
              <w:t>0.55</w:t>
            </w:r>
          </w:p>
        </w:tc>
        <w:tc>
          <w:tcPr>
            <w:tcW w:w="1411" w:type="dxa"/>
            <w:tcBorders>
              <w:top w:val="single" w:sz="4" w:space="0" w:color="365F91"/>
              <w:bottom w:val="single" w:sz="4" w:space="0" w:color="365F91"/>
            </w:tcBorders>
          </w:tcPr>
          <w:p w14:paraId="437F16E8" w14:textId="77777777" w:rsidR="00380BE7" w:rsidRPr="00256982" w:rsidRDefault="00380BE7" w:rsidP="00486B11">
            <w:pPr>
              <w:pStyle w:val="TableText"/>
              <w:spacing w:before="40" w:after="40"/>
              <w:jc w:val="center"/>
            </w:pPr>
            <w:r w:rsidRPr="00256982">
              <w:t>0.02</w:t>
            </w:r>
          </w:p>
        </w:tc>
        <w:tc>
          <w:tcPr>
            <w:tcW w:w="1263" w:type="dxa"/>
            <w:tcBorders>
              <w:top w:val="single" w:sz="4" w:space="0" w:color="365F91"/>
              <w:bottom w:val="single" w:sz="4" w:space="0" w:color="365F91"/>
            </w:tcBorders>
          </w:tcPr>
          <w:p w14:paraId="7D9EA183" w14:textId="77777777" w:rsidR="00380BE7" w:rsidRPr="00256982" w:rsidRDefault="00380BE7" w:rsidP="00486B11">
            <w:pPr>
              <w:pStyle w:val="TableText"/>
              <w:spacing w:before="40" w:after="40"/>
              <w:jc w:val="center"/>
            </w:pPr>
            <w:r w:rsidRPr="00256982">
              <w:t>28</w:t>
            </w:r>
          </w:p>
        </w:tc>
        <w:tc>
          <w:tcPr>
            <w:tcW w:w="1189" w:type="dxa"/>
            <w:vMerge/>
            <w:tcBorders>
              <w:bottom w:val="single" w:sz="4" w:space="0" w:color="365F91"/>
            </w:tcBorders>
          </w:tcPr>
          <w:p w14:paraId="49A7199F" w14:textId="77777777" w:rsidR="00380BE7" w:rsidRPr="00256982" w:rsidRDefault="00380BE7" w:rsidP="00486B11">
            <w:pPr>
              <w:pStyle w:val="TableText"/>
              <w:spacing w:before="40" w:after="40"/>
            </w:pPr>
          </w:p>
        </w:tc>
      </w:tr>
      <w:tr w:rsidR="00380BE7" w:rsidRPr="00256982" w14:paraId="143B4C30" w14:textId="77777777" w:rsidTr="009574E7">
        <w:trPr>
          <w:trHeight w:val="20"/>
        </w:trPr>
        <w:tc>
          <w:tcPr>
            <w:tcW w:w="1180" w:type="dxa"/>
            <w:vMerge w:val="restart"/>
            <w:tcBorders>
              <w:top w:val="single" w:sz="4" w:space="0" w:color="365F91"/>
              <w:bottom w:val="single" w:sz="4" w:space="0" w:color="365F91"/>
            </w:tcBorders>
          </w:tcPr>
          <w:p w14:paraId="4347CE8C" w14:textId="77777777" w:rsidR="00380BE7" w:rsidRPr="00256982" w:rsidRDefault="00380BE7" w:rsidP="00486B11">
            <w:pPr>
              <w:pStyle w:val="TableText"/>
              <w:spacing w:before="40" w:after="40"/>
            </w:pPr>
            <w:r w:rsidRPr="00256982">
              <w:lastRenderedPageBreak/>
              <w:t>With woody biomass – permanent</w:t>
            </w:r>
          </w:p>
        </w:tc>
        <w:tc>
          <w:tcPr>
            <w:tcW w:w="1757" w:type="dxa"/>
            <w:tcBorders>
              <w:top w:val="single" w:sz="4" w:space="0" w:color="365F91"/>
              <w:bottom w:val="single" w:sz="4" w:space="0" w:color="365F91"/>
            </w:tcBorders>
          </w:tcPr>
          <w:p w14:paraId="34CBA35B" w14:textId="77777777" w:rsidR="00380BE7" w:rsidRPr="00256982" w:rsidRDefault="00380BE7" w:rsidP="00486B11">
            <w:pPr>
              <w:pStyle w:val="TableText"/>
              <w:spacing w:before="40" w:after="40"/>
              <w:rPr>
                <w:b/>
              </w:rPr>
            </w:pPr>
            <w:r w:rsidRPr="00256982">
              <w:rPr>
                <w:b/>
              </w:rPr>
              <w:t>Total biomass</w:t>
            </w:r>
          </w:p>
        </w:tc>
        <w:tc>
          <w:tcPr>
            <w:tcW w:w="1249" w:type="dxa"/>
            <w:tcBorders>
              <w:top w:val="single" w:sz="4" w:space="0" w:color="365F91"/>
              <w:bottom w:val="single" w:sz="4" w:space="0" w:color="365F91"/>
            </w:tcBorders>
          </w:tcPr>
          <w:p w14:paraId="0346B361" w14:textId="77777777" w:rsidR="00380BE7" w:rsidRPr="00256982" w:rsidRDefault="00380BE7" w:rsidP="00486B11">
            <w:pPr>
              <w:pStyle w:val="TableText"/>
              <w:spacing w:before="40" w:after="40"/>
              <w:jc w:val="center"/>
              <w:rPr>
                <w:b/>
              </w:rPr>
            </w:pPr>
            <w:r w:rsidRPr="00256982">
              <w:rPr>
                <w:b/>
              </w:rPr>
              <w:t>60.57</w:t>
            </w:r>
          </w:p>
        </w:tc>
        <w:tc>
          <w:tcPr>
            <w:tcW w:w="1411" w:type="dxa"/>
            <w:tcBorders>
              <w:top w:val="single" w:sz="4" w:space="0" w:color="365F91"/>
              <w:bottom w:val="single" w:sz="4" w:space="0" w:color="365F91"/>
            </w:tcBorders>
          </w:tcPr>
          <w:p w14:paraId="4A5C3122" w14:textId="77777777" w:rsidR="00380BE7" w:rsidRPr="00256982" w:rsidRDefault="00380BE7" w:rsidP="00486B11">
            <w:pPr>
              <w:pStyle w:val="TableText"/>
              <w:spacing w:before="40" w:after="40"/>
              <w:jc w:val="center"/>
              <w:rPr>
                <w:b/>
              </w:rPr>
            </w:pPr>
            <w:r w:rsidRPr="00256982">
              <w:rPr>
                <w:b/>
              </w:rPr>
              <w:t xml:space="preserve"> NO</w:t>
            </w:r>
          </w:p>
        </w:tc>
        <w:tc>
          <w:tcPr>
            <w:tcW w:w="1263" w:type="dxa"/>
            <w:tcBorders>
              <w:top w:val="single" w:sz="4" w:space="0" w:color="365F91"/>
              <w:bottom w:val="single" w:sz="4" w:space="0" w:color="365F91"/>
            </w:tcBorders>
          </w:tcPr>
          <w:p w14:paraId="4DD5B53A" w14:textId="77777777" w:rsidR="00380BE7" w:rsidRPr="00256982" w:rsidRDefault="00380BE7" w:rsidP="00486B11">
            <w:pPr>
              <w:pStyle w:val="TableText"/>
              <w:spacing w:before="40" w:after="40"/>
              <w:jc w:val="center"/>
              <w:rPr>
                <w:b/>
              </w:rPr>
            </w:pPr>
            <w:r w:rsidRPr="00256982">
              <w:rPr>
                <w:b/>
              </w:rPr>
              <w:t>28</w:t>
            </w:r>
          </w:p>
        </w:tc>
        <w:tc>
          <w:tcPr>
            <w:tcW w:w="1189" w:type="dxa"/>
            <w:vMerge w:val="restart"/>
            <w:tcBorders>
              <w:top w:val="single" w:sz="4" w:space="0" w:color="365F91"/>
              <w:bottom w:val="single" w:sz="4" w:space="0" w:color="365F91"/>
            </w:tcBorders>
          </w:tcPr>
          <w:p w14:paraId="1A9654AE" w14:textId="77777777" w:rsidR="00380BE7" w:rsidRPr="00256982" w:rsidRDefault="00380BE7" w:rsidP="00486B11">
            <w:pPr>
              <w:pStyle w:val="TableText"/>
              <w:spacing w:before="40" w:after="40"/>
            </w:pPr>
            <w:r w:rsidRPr="00256982">
              <w:t>Wakelin and Beets, unpublished</w:t>
            </w:r>
          </w:p>
        </w:tc>
      </w:tr>
      <w:tr w:rsidR="00380BE7" w:rsidRPr="00256982" w14:paraId="3413204E" w14:textId="77777777" w:rsidTr="009574E7">
        <w:trPr>
          <w:trHeight w:val="20"/>
        </w:trPr>
        <w:tc>
          <w:tcPr>
            <w:tcW w:w="1180" w:type="dxa"/>
            <w:vMerge/>
            <w:tcBorders>
              <w:top w:val="single" w:sz="4" w:space="0" w:color="365F91"/>
              <w:bottom w:val="single" w:sz="4" w:space="0" w:color="365F91"/>
            </w:tcBorders>
          </w:tcPr>
          <w:p w14:paraId="41E69106" w14:textId="77777777" w:rsidR="00380BE7" w:rsidRPr="00256982" w:rsidRDefault="00380BE7" w:rsidP="00486B11">
            <w:pPr>
              <w:pStyle w:val="TableText"/>
              <w:spacing w:before="40" w:after="40"/>
            </w:pPr>
          </w:p>
        </w:tc>
        <w:tc>
          <w:tcPr>
            <w:tcW w:w="1757" w:type="dxa"/>
            <w:tcBorders>
              <w:top w:val="single" w:sz="4" w:space="0" w:color="365F91"/>
              <w:bottom w:val="single" w:sz="4" w:space="0" w:color="365F91"/>
            </w:tcBorders>
          </w:tcPr>
          <w:p w14:paraId="455666E0" w14:textId="77777777" w:rsidR="00380BE7" w:rsidRPr="00256982" w:rsidRDefault="00380BE7" w:rsidP="00486B11">
            <w:pPr>
              <w:pStyle w:val="TableText"/>
              <w:spacing w:before="40" w:after="40"/>
              <w:rPr>
                <w:i/>
              </w:rPr>
            </w:pPr>
            <w:r w:rsidRPr="00256982">
              <w:rPr>
                <w:i/>
              </w:rPr>
              <w:t>Living biomass</w:t>
            </w:r>
          </w:p>
        </w:tc>
        <w:tc>
          <w:tcPr>
            <w:tcW w:w="1249" w:type="dxa"/>
            <w:tcBorders>
              <w:top w:val="single" w:sz="4" w:space="0" w:color="365F91"/>
              <w:bottom w:val="single" w:sz="4" w:space="0" w:color="365F91"/>
            </w:tcBorders>
          </w:tcPr>
          <w:p w14:paraId="1EB57518" w14:textId="77777777" w:rsidR="00380BE7" w:rsidRPr="00256982" w:rsidRDefault="00380BE7" w:rsidP="00486B11">
            <w:pPr>
              <w:pStyle w:val="TableText"/>
              <w:spacing w:before="40" w:after="40"/>
              <w:jc w:val="center"/>
            </w:pPr>
          </w:p>
        </w:tc>
        <w:tc>
          <w:tcPr>
            <w:tcW w:w="1411" w:type="dxa"/>
            <w:tcBorders>
              <w:top w:val="single" w:sz="4" w:space="0" w:color="365F91"/>
              <w:bottom w:val="single" w:sz="4" w:space="0" w:color="365F91"/>
            </w:tcBorders>
          </w:tcPr>
          <w:p w14:paraId="3259EBC4" w14:textId="77777777" w:rsidR="00380BE7" w:rsidRPr="00256982" w:rsidRDefault="00380BE7" w:rsidP="00486B11">
            <w:pPr>
              <w:pStyle w:val="TableText"/>
              <w:spacing w:before="40" w:after="40"/>
              <w:jc w:val="center"/>
            </w:pPr>
          </w:p>
        </w:tc>
        <w:tc>
          <w:tcPr>
            <w:tcW w:w="1263" w:type="dxa"/>
            <w:tcBorders>
              <w:top w:val="single" w:sz="4" w:space="0" w:color="365F91"/>
              <w:bottom w:val="single" w:sz="4" w:space="0" w:color="365F91"/>
            </w:tcBorders>
          </w:tcPr>
          <w:p w14:paraId="3EB69412" w14:textId="77777777" w:rsidR="00380BE7" w:rsidRPr="00256982" w:rsidRDefault="00380BE7" w:rsidP="00486B11">
            <w:pPr>
              <w:pStyle w:val="TableText"/>
              <w:spacing w:before="40" w:after="40"/>
              <w:jc w:val="center"/>
            </w:pPr>
          </w:p>
        </w:tc>
        <w:tc>
          <w:tcPr>
            <w:tcW w:w="1189" w:type="dxa"/>
            <w:vMerge/>
            <w:tcBorders>
              <w:top w:val="single" w:sz="4" w:space="0" w:color="365F91"/>
              <w:bottom w:val="single" w:sz="4" w:space="0" w:color="365F91"/>
            </w:tcBorders>
          </w:tcPr>
          <w:p w14:paraId="7D5B5685" w14:textId="77777777" w:rsidR="00380BE7" w:rsidRPr="00256982" w:rsidRDefault="00380BE7" w:rsidP="00486B11">
            <w:pPr>
              <w:pStyle w:val="TableText"/>
              <w:spacing w:before="40" w:after="40"/>
            </w:pPr>
          </w:p>
        </w:tc>
      </w:tr>
      <w:tr w:rsidR="00380BE7" w:rsidRPr="00256982" w14:paraId="5211150D" w14:textId="77777777" w:rsidTr="009574E7">
        <w:trPr>
          <w:trHeight w:val="20"/>
        </w:trPr>
        <w:tc>
          <w:tcPr>
            <w:tcW w:w="1180" w:type="dxa"/>
            <w:vMerge/>
            <w:tcBorders>
              <w:bottom w:val="single" w:sz="4" w:space="0" w:color="365F91"/>
            </w:tcBorders>
          </w:tcPr>
          <w:p w14:paraId="5CCB3111" w14:textId="77777777" w:rsidR="00380BE7" w:rsidRPr="00256982" w:rsidRDefault="00380BE7" w:rsidP="00486B11">
            <w:pPr>
              <w:pStyle w:val="TableText"/>
              <w:spacing w:before="40" w:after="40"/>
            </w:pPr>
          </w:p>
        </w:tc>
        <w:tc>
          <w:tcPr>
            <w:tcW w:w="1757" w:type="dxa"/>
            <w:tcBorders>
              <w:top w:val="single" w:sz="4" w:space="0" w:color="365F91"/>
              <w:bottom w:val="single" w:sz="4" w:space="0" w:color="365F91"/>
            </w:tcBorders>
          </w:tcPr>
          <w:p w14:paraId="7A26461E" w14:textId="77777777" w:rsidR="00380BE7" w:rsidRPr="00256982" w:rsidRDefault="00380BE7" w:rsidP="00486B11">
            <w:pPr>
              <w:pStyle w:val="TableText"/>
              <w:spacing w:before="40" w:after="40"/>
            </w:pPr>
            <w:r w:rsidRPr="00256982">
              <w:tab/>
              <w:t>AGB</w:t>
            </w:r>
          </w:p>
        </w:tc>
        <w:tc>
          <w:tcPr>
            <w:tcW w:w="1249" w:type="dxa"/>
            <w:tcBorders>
              <w:top w:val="single" w:sz="4" w:space="0" w:color="365F91"/>
              <w:bottom w:val="single" w:sz="4" w:space="0" w:color="365F91"/>
            </w:tcBorders>
          </w:tcPr>
          <w:p w14:paraId="295CF126" w14:textId="77777777" w:rsidR="00380BE7" w:rsidRPr="00256982" w:rsidRDefault="00380BE7" w:rsidP="00486B11">
            <w:pPr>
              <w:pStyle w:val="TableText"/>
              <w:spacing w:before="40" w:after="40"/>
              <w:jc w:val="center"/>
            </w:pPr>
            <w:r w:rsidRPr="00256982">
              <w:t>45.18</w:t>
            </w:r>
          </w:p>
        </w:tc>
        <w:tc>
          <w:tcPr>
            <w:tcW w:w="1411" w:type="dxa"/>
            <w:tcBorders>
              <w:top w:val="single" w:sz="4" w:space="0" w:color="365F91"/>
              <w:bottom w:val="single" w:sz="4" w:space="0" w:color="365F91"/>
            </w:tcBorders>
          </w:tcPr>
          <w:p w14:paraId="6D9C0935" w14:textId="77777777" w:rsidR="00380BE7" w:rsidRPr="00256982" w:rsidRDefault="00380BE7" w:rsidP="00486B11">
            <w:pPr>
              <w:pStyle w:val="TableText"/>
              <w:spacing w:before="40" w:after="40"/>
              <w:jc w:val="center"/>
            </w:pPr>
            <w:r w:rsidRPr="00256982">
              <w:t>NO</w:t>
            </w:r>
          </w:p>
        </w:tc>
        <w:tc>
          <w:tcPr>
            <w:tcW w:w="1263" w:type="dxa"/>
            <w:tcBorders>
              <w:top w:val="single" w:sz="4" w:space="0" w:color="365F91"/>
              <w:bottom w:val="single" w:sz="4" w:space="0" w:color="365F91"/>
            </w:tcBorders>
          </w:tcPr>
          <w:p w14:paraId="161A1E42" w14:textId="77777777" w:rsidR="00380BE7" w:rsidRPr="00256982" w:rsidRDefault="00380BE7" w:rsidP="00486B11">
            <w:pPr>
              <w:pStyle w:val="TableText"/>
              <w:spacing w:before="40" w:after="40"/>
              <w:jc w:val="center"/>
            </w:pPr>
            <w:r w:rsidRPr="00256982">
              <w:t>28</w:t>
            </w:r>
          </w:p>
        </w:tc>
        <w:tc>
          <w:tcPr>
            <w:tcW w:w="1189" w:type="dxa"/>
            <w:vMerge/>
            <w:tcBorders>
              <w:bottom w:val="single" w:sz="4" w:space="0" w:color="365F91"/>
            </w:tcBorders>
          </w:tcPr>
          <w:p w14:paraId="030781F4" w14:textId="77777777" w:rsidR="00380BE7" w:rsidRPr="00256982" w:rsidRDefault="00380BE7" w:rsidP="00486B11">
            <w:pPr>
              <w:pStyle w:val="TableText"/>
              <w:spacing w:before="40" w:after="40"/>
            </w:pPr>
          </w:p>
        </w:tc>
      </w:tr>
      <w:tr w:rsidR="00380BE7" w:rsidRPr="00256982" w14:paraId="3C844DAD" w14:textId="77777777" w:rsidTr="009574E7">
        <w:trPr>
          <w:trHeight w:val="20"/>
        </w:trPr>
        <w:tc>
          <w:tcPr>
            <w:tcW w:w="1180" w:type="dxa"/>
            <w:vMerge/>
            <w:tcBorders>
              <w:bottom w:val="single" w:sz="4" w:space="0" w:color="365F91"/>
            </w:tcBorders>
          </w:tcPr>
          <w:p w14:paraId="74618264" w14:textId="77777777" w:rsidR="00380BE7" w:rsidRPr="00256982" w:rsidRDefault="00380BE7" w:rsidP="00486B11">
            <w:pPr>
              <w:pStyle w:val="TableText"/>
              <w:spacing w:before="40" w:after="40"/>
            </w:pPr>
          </w:p>
        </w:tc>
        <w:tc>
          <w:tcPr>
            <w:tcW w:w="1757" w:type="dxa"/>
            <w:tcBorders>
              <w:top w:val="single" w:sz="4" w:space="0" w:color="365F91"/>
              <w:bottom w:val="single" w:sz="4" w:space="0" w:color="365F91"/>
            </w:tcBorders>
          </w:tcPr>
          <w:p w14:paraId="5BD43209" w14:textId="77777777" w:rsidR="00380BE7" w:rsidRPr="00256982" w:rsidRDefault="00380BE7" w:rsidP="00486B11">
            <w:pPr>
              <w:pStyle w:val="TableText"/>
              <w:spacing w:before="40" w:after="40"/>
            </w:pPr>
            <w:r w:rsidRPr="00256982">
              <w:tab/>
              <w:t>BGB</w:t>
            </w:r>
          </w:p>
        </w:tc>
        <w:tc>
          <w:tcPr>
            <w:tcW w:w="1249" w:type="dxa"/>
            <w:tcBorders>
              <w:top w:val="single" w:sz="4" w:space="0" w:color="365F91"/>
              <w:bottom w:val="single" w:sz="4" w:space="0" w:color="365F91"/>
            </w:tcBorders>
          </w:tcPr>
          <w:p w14:paraId="769058E9" w14:textId="77777777" w:rsidR="00380BE7" w:rsidRPr="00256982" w:rsidRDefault="00380BE7" w:rsidP="00486B11">
            <w:pPr>
              <w:pStyle w:val="TableText"/>
              <w:spacing w:before="40" w:after="40"/>
              <w:jc w:val="center"/>
            </w:pPr>
            <w:r w:rsidRPr="00256982">
              <w:t>11.71</w:t>
            </w:r>
          </w:p>
        </w:tc>
        <w:tc>
          <w:tcPr>
            <w:tcW w:w="1411" w:type="dxa"/>
            <w:tcBorders>
              <w:top w:val="single" w:sz="4" w:space="0" w:color="365F91"/>
              <w:bottom w:val="single" w:sz="4" w:space="0" w:color="365F91"/>
            </w:tcBorders>
          </w:tcPr>
          <w:p w14:paraId="1AAFD417" w14:textId="77777777" w:rsidR="00380BE7" w:rsidRPr="00256982" w:rsidRDefault="00380BE7" w:rsidP="00486B11">
            <w:pPr>
              <w:pStyle w:val="TableText"/>
              <w:spacing w:before="40" w:after="40"/>
              <w:jc w:val="center"/>
            </w:pPr>
            <w:r w:rsidRPr="00256982">
              <w:t>NO</w:t>
            </w:r>
          </w:p>
        </w:tc>
        <w:tc>
          <w:tcPr>
            <w:tcW w:w="1263" w:type="dxa"/>
            <w:tcBorders>
              <w:top w:val="single" w:sz="4" w:space="0" w:color="365F91"/>
              <w:bottom w:val="single" w:sz="4" w:space="0" w:color="365F91"/>
            </w:tcBorders>
          </w:tcPr>
          <w:p w14:paraId="66682A21" w14:textId="77777777" w:rsidR="00380BE7" w:rsidRPr="00256982" w:rsidRDefault="00380BE7" w:rsidP="00486B11">
            <w:pPr>
              <w:pStyle w:val="TableText"/>
              <w:spacing w:before="40" w:after="40"/>
              <w:jc w:val="center"/>
            </w:pPr>
            <w:r w:rsidRPr="00256982">
              <w:t>28</w:t>
            </w:r>
          </w:p>
        </w:tc>
        <w:tc>
          <w:tcPr>
            <w:tcW w:w="1189" w:type="dxa"/>
            <w:vMerge/>
            <w:tcBorders>
              <w:bottom w:val="single" w:sz="4" w:space="0" w:color="365F91"/>
            </w:tcBorders>
          </w:tcPr>
          <w:p w14:paraId="45252189" w14:textId="77777777" w:rsidR="00380BE7" w:rsidRPr="00256982" w:rsidRDefault="00380BE7" w:rsidP="00486B11">
            <w:pPr>
              <w:pStyle w:val="TableText"/>
              <w:spacing w:before="40" w:after="40"/>
            </w:pPr>
          </w:p>
        </w:tc>
      </w:tr>
      <w:tr w:rsidR="00380BE7" w:rsidRPr="00256982" w14:paraId="30276B95" w14:textId="77777777" w:rsidTr="009574E7">
        <w:trPr>
          <w:trHeight w:val="20"/>
        </w:trPr>
        <w:tc>
          <w:tcPr>
            <w:tcW w:w="1180" w:type="dxa"/>
            <w:vMerge/>
            <w:tcBorders>
              <w:bottom w:val="single" w:sz="4" w:space="0" w:color="365F91"/>
            </w:tcBorders>
          </w:tcPr>
          <w:p w14:paraId="3AA4B592" w14:textId="77777777" w:rsidR="00380BE7" w:rsidRPr="00256982" w:rsidRDefault="00380BE7" w:rsidP="00486B11">
            <w:pPr>
              <w:pStyle w:val="TableText"/>
              <w:spacing w:before="40" w:after="40"/>
            </w:pPr>
          </w:p>
        </w:tc>
        <w:tc>
          <w:tcPr>
            <w:tcW w:w="1757" w:type="dxa"/>
            <w:tcBorders>
              <w:top w:val="single" w:sz="4" w:space="0" w:color="365F91"/>
              <w:bottom w:val="single" w:sz="4" w:space="0" w:color="365F91"/>
            </w:tcBorders>
          </w:tcPr>
          <w:p w14:paraId="5BD68611" w14:textId="77777777" w:rsidR="00380BE7" w:rsidRPr="00256982" w:rsidRDefault="00380BE7" w:rsidP="00486B11">
            <w:pPr>
              <w:pStyle w:val="TableText"/>
              <w:spacing w:before="40" w:after="40"/>
              <w:rPr>
                <w:i/>
              </w:rPr>
            </w:pPr>
            <w:r w:rsidRPr="00256982">
              <w:rPr>
                <w:i/>
              </w:rPr>
              <w:t>Dead organic matter</w:t>
            </w:r>
          </w:p>
        </w:tc>
        <w:tc>
          <w:tcPr>
            <w:tcW w:w="1249" w:type="dxa"/>
            <w:tcBorders>
              <w:top w:val="single" w:sz="4" w:space="0" w:color="365F91"/>
              <w:bottom w:val="single" w:sz="4" w:space="0" w:color="365F91"/>
            </w:tcBorders>
          </w:tcPr>
          <w:p w14:paraId="4FE226D2" w14:textId="77777777" w:rsidR="00380BE7" w:rsidRPr="00256982" w:rsidRDefault="00380BE7" w:rsidP="00486B11">
            <w:pPr>
              <w:pStyle w:val="TableText"/>
              <w:spacing w:before="40" w:after="40"/>
              <w:jc w:val="center"/>
            </w:pPr>
          </w:p>
        </w:tc>
        <w:tc>
          <w:tcPr>
            <w:tcW w:w="1411" w:type="dxa"/>
            <w:tcBorders>
              <w:top w:val="single" w:sz="4" w:space="0" w:color="365F91"/>
              <w:bottom w:val="single" w:sz="4" w:space="0" w:color="365F91"/>
            </w:tcBorders>
          </w:tcPr>
          <w:p w14:paraId="31F82EAA" w14:textId="77777777" w:rsidR="00380BE7" w:rsidRPr="00256982" w:rsidRDefault="00380BE7" w:rsidP="00486B11">
            <w:pPr>
              <w:pStyle w:val="TableText"/>
              <w:spacing w:before="40" w:after="40"/>
              <w:jc w:val="center"/>
            </w:pPr>
          </w:p>
        </w:tc>
        <w:tc>
          <w:tcPr>
            <w:tcW w:w="1263" w:type="dxa"/>
            <w:tcBorders>
              <w:top w:val="single" w:sz="4" w:space="0" w:color="365F91"/>
              <w:bottom w:val="single" w:sz="4" w:space="0" w:color="365F91"/>
            </w:tcBorders>
          </w:tcPr>
          <w:p w14:paraId="19230A93" w14:textId="77777777" w:rsidR="00380BE7" w:rsidRPr="00256982" w:rsidRDefault="00380BE7" w:rsidP="00486B11">
            <w:pPr>
              <w:pStyle w:val="TableText"/>
              <w:spacing w:before="40" w:after="40"/>
              <w:jc w:val="center"/>
            </w:pPr>
          </w:p>
        </w:tc>
        <w:tc>
          <w:tcPr>
            <w:tcW w:w="1189" w:type="dxa"/>
            <w:vMerge/>
            <w:tcBorders>
              <w:bottom w:val="single" w:sz="4" w:space="0" w:color="365F91"/>
            </w:tcBorders>
          </w:tcPr>
          <w:p w14:paraId="70596292" w14:textId="77777777" w:rsidR="00380BE7" w:rsidRPr="00256982" w:rsidRDefault="00380BE7" w:rsidP="00486B11">
            <w:pPr>
              <w:pStyle w:val="TableText"/>
              <w:spacing w:before="40" w:after="40"/>
            </w:pPr>
          </w:p>
        </w:tc>
      </w:tr>
      <w:tr w:rsidR="00380BE7" w:rsidRPr="00256982" w14:paraId="4820BDD0" w14:textId="77777777" w:rsidTr="009574E7">
        <w:trPr>
          <w:trHeight w:val="20"/>
        </w:trPr>
        <w:tc>
          <w:tcPr>
            <w:tcW w:w="1180" w:type="dxa"/>
            <w:vMerge/>
            <w:tcBorders>
              <w:bottom w:val="single" w:sz="4" w:space="0" w:color="365F91"/>
            </w:tcBorders>
          </w:tcPr>
          <w:p w14:paraId="7357065F" w14:textId="77777777" w:rsidR="00380BE7" w:rsidRPr="00256982" w:rsidRDefault="00380BE7" w:rsidP="00486B11">
            <w:pPr>
              <w:pStyle w:val="TableText"/>
              <w:spacing w:before="40" w:after="40"/>
            </w:pPr>
          </w:p>
        </w:tc>
        <w:tc>
          <w:tcPr>
            <w:tcW w:w="1757" w:type="dxa"/>
            <w:tcBorders>
              <w:top w:val="single" w:sz="4" w:space="0" w:color="365F91"/>
              <w:bottom w:val="single" w:sz="4" w:space="0" w:color="365F91"/>
            </w:tcBorders>
          </w:tcPr>
          <w:p w14:paraId="6C9C6325" w14:textId="77777777" w:rsidR="00380BE7" w:rsidRPr="00256982" w:rsidRDefault="00380BE7" w:rsidP="00486B11">
            <w:pPr>
              <w:pStyle w:val="TableText"/>
              <w:spacing w:before="40" w:after="40"/>
            </w:pPr>
            <w:r w:rsidRPr="00256982">
              <w:tab/>
              <w:t>Dead wood</w:t>
            </w:r>
          </w:p>
        </w:tc>
        <w:tc>
          <w:tcPr>
            <w:tcW w:w="1249" w:type="dxa"/>
            <w:tcBorders>
              <w:top w:val="single" w:sz="4" w:space="0" w:color="365F91"/>
              <w:bottom w:val="single" w:sz="4" w:space="0" w:color="365F91"/>
            </w:tcBorders>
          </w:tcPr>
          <w:p w14:paraId="46946D5D" w14:textId="77777777" w:rsidR="00380BE7" w:rsidRPr="00256982" w:rsidRDefault="00380BE7" w:rsidP="00486B11">
            <w:pPr>
              <w:pStyle w:val="TableText"/>
              <w:spacing w:before="40" w:after="40"/>
              <w:jc w:val="center"/>
            </w:pPr>
            <w:r w:rsidRPr="00256982">
              <w:t>3.68</w:t>
            </w:r>
          </w:p>
        </w:tc>
        <w:tc>
          <w:tcPr>
            <w:tcW w:w="1411" w:type="dxa"/>
            <w:tcBorders>
              <w:top w:val="single" w:sz="4" w:space="0" w:color="365F91"/>
              <w:bottom w:val="single" w:sz="4" w:space="0" w:color="365F91"/>
            </w:tcBorders>
          </w:tcPr>
          <w:p w14:paraId="47346A6B" w14:textId="77777777" w:rsidR="00380BE7" w:rsidRPr="00256982" w:rsidRDefault="00380BE7" w:rsidP="00486B11">
            <w:pPr>
              <w:pStyle w:val="TableText"/>
              <w:spacing w:before="40" w:after="40"/>
              <w:jc w:val="center"/>
            </w:pPr>
            <w:r w:rsidRPr="00256982">
              <w:t>NO</w:t>
            </w:r>
          </w:p>
        </w:tc>
        <w:tc>
          <w:tcPr>
            <w:tcW w:w="1263" w:type="dxa"/>
            <w:tcBorders>
              <w:top w:val="single" w:sz="4" w:space="0" w:color="365F91"/>
              <w:bottom w:val="single" w:sz="4" w:space="0" w:color="365F91"/>
            </w:tcBorders>
          </w:tcPr>
          <w:p w14:paraId="40E35859" w14:textId="77777777" w:rsidR="00380BE7" w:rsidRPr="00256982" w:rsidRDefault="00380BE7" w:rsidP="00486B11">
            <w:pPr>
              <w:pStyle w:val="TableText"/>
              <w:spacing w:before="40" w:after="40"/>
              <w:jc w:val="center"/>
            </w:pPr>
            <w:r w:rsidRPr="00256982">
              <w:t>28</w:t>
            </w:r>
          </w:p>
        </w:tc>
        <w:tc>
          <w:tcPr>
            <w:tcW w:w="1189" w:type="dxa"/>
            <w:vMerge/>
            <w:tcBorders>
              <w:bottom w:val="single" w:sz="4" w:space="0" w:color="365F91"/>
            </w:tcBorders>
          </w:tcPr>
          <w:p w14:paraId="6CC12120" w14:textId="77777777" w:rsidR="00380BE7" w:rsidRPr="00256982" w:rsidRDefault="00380BE7" w:rsidP="00486B11">
            <w:pPr>
              <w:pStyle w:val="TableText"/>
              <w:spacing w:before="40" w:after="40"/>
            </w:pPr>
          </w:p>
        </w:tc>
      </w:tr>
      <w:tr w:rsidR="00380BE7" w:rsidRPr="00256982" w14:paraId="2699C741" w14:textId="77777777" w:rsidTr="009574E7">
        <w:trPr>
          <w:trHeight w:val="20"/>
        </w:trPr>
        <w:tc>
          <w:tcPr>
            <w:tcW w:w="1180" w:type="dxa"/>
            <w:vMerge/>
            <w:tcBorders>
              <w:bottom w:val="single" w:sz="4" w:space="0" w:color="365F91"/>
            </w:tcBorders>
          </w:tcPr>
          <w:p w14:paraId="2B1EB1B3" w14:textId="77777777" w:rsidR="00380BE7" w:rsidRPr="00256982" w:rsidRDefault="00380BE7" w:rsidP="00486B11">
            <w:pPr>
              <w:pStyle w:val="TableText"/>
              <w:spacing w:before="40" w:after="40"/>
            </w:pPr>
          </w:p>
        </w:tc>
        <w:tc>
          <w:tcPr>
            <w:tcW w:w="1757" w:type="dxa"/>
            <w:tcBorders>
              <w:top w:val="single" w:sz="4" w:space="0" w:color="365F91"/>
              <w:bottom w:val="single" w:sz="4" w:space="0" w:color="365F91"/>
            </w:tcBorders>
          </w:tcPr>
          <w:p w14:paraId="5393F166" w14:textId="77777777" w:rsidR="00380BE7" w:rsidRPr="00256982" w:rsidRDefault="00380BE7" w:rsidP="00486B11">
            <w:pPr>
              <w:pStyle w:val="TableText"/>
              <w:spacing w:before="40" w:after="40"/>
            </w:pPr>
            <w:r w:rsidRPr="00256982">
              <w:tab/>
              <w:t>Litter</w:t>
            </w:r>
          </w:p>
        </w:tc>
        <w:tc>
          <w:tcPr>
            <w:tcW w:w="1249" w:type="dxa"/>
            <w:tcBorders>
              <w:top w:val="single" w:sz="4" w:space="0" w:color="365F91"/>
              <w:bottom w:val="single" w:sz="4" w:space="0" w:color="365F91"/>
            </w:tcBorders>
          </w:tcPr>
          <w:p w14:paraId="6DA0B9EE" w14:textId="77777777" w:rsidR="00380BE7" w:rsidRPr="00256982" w:rsidRDefault="00380BE7" w:rsidP="00486B11">
            <w:pPr>
              <w:pStyle w:val="TableText"/>
              <w:spacing w:before="40" w:after="40"/>
              <w:jc w:val="center"/>
            </w:pPr>
            <w:r w:rsidRPr="00256982">
              <w:t>0.00</w:t>
            </w:r>
          </w:p>
        </w:tc>
        <w:tc>
          <w:tcPr>
            <w:tcW w:w="1411" w:type="dxa"/>
            <w:tcBorders>
              <w:top w:val="single" w:sz="4" w:space="0" w:color="365F91"/>
              <w:bottom w:val="single" w:sz="4" w:space="0" w:color="365F91"/>
            </w:tcBorders>
          </w:tcPr>
          <w:p w14:paraId="4A09E489" w14:textId="77777777" w:rsidR="00380BE7" w:rsidRPr="00256982" w:rsidRDefault="00380BE7" w:rsidP="00486B11">
            <w:pPr>
              <w:pStyle w:val="TableText"/>
              <w:spacing w:before="40" w:after="40"/>
              <w:jc w:val="center"/>
            </w:pPr>
            <w:r w:rsidRPr="00256982">
              <w:t>NO</w:t>
            </w:r>
          </w:p>
        </w:tc>
        <w:tc>
          <w:tcPr>
            <w:tcW w:w="1263" w:type="dxa"/>
            <w:tcBorders>
              <w:top w:val="single" w:sz="4" w:space="0" w:color="365F91"/>
              <w:bottom w:val="single" w:sz="4" w:space="0" w:color="365F91"/>
            </w:tcBorders>
          </w:tcPr>
          <w:p w14:paraId="78912605" w14:textId="77777777" w:rsidR="00380BE7" w:rsidRPr="00256982" w:rsidRDefault="00380BE7" w:rsidP="00486B11">
            <w:pPr>
              <w:pStyle w:val="TableText"/>
              <w:spacing w:before="40" w:after="40"/>
              <w:jc w:val="center"/>
            </w:pPr>
            <w:r w:rsidRPr="00256982">
              <w:t>28</w:t>
            </w:r>
          </w:p>
        </w:tc>
        <w:tc>
          <w:tcPr>
            <w:tcW w:w="1189" w:type="dxa"/>
            <w:vMerge/>
            <w:tcBorders>
              <w:bottom w:val="single" w:sz="4" w:space="0" w:color="365F91"/>
            </w:tcBorders>
          </w:tcPr>
          <w:p w14:paraId="736C8E3E" w14:textId="77777777" w:rsidR="00380BE7" w:rsidRPr="00256982" w:rsidRDefault="00380BE7" w:rsidP="00486B11">
            <w:pPr>
              <w:pStyle w:val="TableText"/>
              <w:spacing w:before="40" w:after="40"/>
            </w:pPr>
          </w:p>
        </w:tc>
      </w:tr>
    </w:tbl>
    <w:p w14:paraId="747DBD49" w14:textId="77777777" w:rsidR="00380BE7" w:rsidRPr="00256982" w:rsidRDefault="00380BE7" w:rsidP="00E71976">
      <w:pPr>
        <w:pStyle w:val="Noteundertable"/>
        <w:spacing w:after="80"/>
      </w:pPr>
      <w:r w:rsidRPr="00256982">
        <w:rPr>
          <w:b/>
        </w:rPr>
        <w:t>Note:</w:t>
      </w:r>
      <w:r w:rsidRPr="00256982">
        <w:tab/>
        <w:t>AGB = above-ground biomass; BGB = below-ground biomass; NA = not applicable; NE = not estimated; NO = not occurring. Columns may not total due to rounding. The high producing grassland figure is based on the Warm temperate – wet figure from table 6.4 of the 2006 IPCC Guidelines, and the low producing grassland figure is based on the Warm temperate – dry figure from the same table (IPCC, 2006a).</w:t>
      </w:r>
    </w:p>
    <w:p w14:paraId="16D38DF6" w14:textId="77777777" w:rsidR="00380BE7" w:rsidRPr="00256982" w:rsidRDefault="00380BE7" w:rsidP="00380BE7">
      <w:pPr>
        <w:pStyle w:val="Heading4"/>
      </w:pPr>
      <w:bookmarkStart w:id="1846" w:name="_Toc280630289"/>
      <w:r w:rsidRPr="00256982">
        <w:t>Grassland remaining grassland</w:t>
      </w:r>
      <w:bookmarkEnd w:id="1843"/>
      <w:bookmarkEnd w:id="1844"/>
      <w:bookmarkEnd w:id="1845"/>
      <w:bookmarkEnd w:id="1846"/>
      <w:r w:rsidRPr="00256982">
        <w:t xml:space="preserve"> (CRF 4.C.1)</w:t>
      </w:r>
    </w:p>
    <w:p w14:paraId="4CF9D455" w14:textId="77777777" w:rsidR="00380BE7" w:rsidRPr="00256982" w:rsidRDefault="00380BE7" w:rsidP="00E71976">
      <w:pPr>
        <w:pStyle w:val="BodyText"/>
        <w:spacing w:before="100" w:after="100"/>
      </w:pPr>
      <w:r w:rsidRPr="00256982">
        <w:t xml:space="preserve">For </w:t>
      </w:r>
      <w:r w:rsidRPr="00256982">
        <w:rPr>
          <w:i/>
        </w:rPr>
        <w:t>Grassland remaining grassland</w:t>
      </w:r>
      <w:r w:rsidRPr="00256982">
        <w:t xml:space="preserve">, the Tier 1 assumption is there is no change in carbon stocks (section 6.2.1.1, IPCC, 2006a). The rationale is that, where management practices are static, carbon stocks will be in an approximately steady state; that is, carbon accumulation through plant growth is roughly balanced by losses. New Zealand has reported NA (not applicable) in the CRF tables where there is no land-use change at the category level because no emissions or removals are assumed to have occurred. However, there is a significant area (1,254,893 hectares) in a state of conversion from one grassland type to another. The carbon stock changes for these land-use changes are reported under </w:t>
      </w:r>
      <w:r w:rsidRPr="00256982">
        <w:rPr>
          <w:i/>
        </w:rPr>
        <w:t>Grassland remaining grassland</w:t>
      </w:r>
      <w:r w:rsidRPr="00256982">
        <w:t>.</w:t>
      </w:r>
    </w:p>
    <w:p w14:paraId="2753A309" w14:textId="77777777" w:rsidR="00380BE7" w:rsidRPr="00256982" w:rsidRDefault="00380BE7" w:rsidP="00E71976">
      <w:pPr>
        <w:pStyle w:val="Heading5"/>
        <w:spacing w:before="200"/>
      </w:pPr>
      <w:bookmarkStart w:id="1847" w:name="_Toc255466398"/>
      <w:bookmarkStart w:id="1848" w:name="_Toc261513205"/>
      <w:bookmarkStart w:id="1849" w:name="_Toc261513818"/>
      <w:bookmarkStart w:id="1850" w:name="_Toc280630290"/>
      <w:r w:rsidRPr="00256982">
        <w:t>Living biomass</w:t>
      </w:r>
      <w:bookmarkEnd w:id="1847"/>
      <w:bookmarkEnd w:id="1848"/>
      <w:bookmarkEnd w:id="1849"/>
      <w:bookmarkEnd w:id="1850"/>
    </w:p>
    <w:p w14:paraId="4EA26829" w14:textId="77777777" w:rsidR="00380BE7" w:rsidRPr="00256982" w:rsidRDefault="00380BE7" w:rsidP="00E71976">
      <w:pPr>
        <w:pStyle w:val="BodyText"/>
        <w:spacing w:before="100" w:after="100"/>
      </w:pPr>
      <w:r w:rsidRPr="00256982">
        <w:t>To calculate carbon stock change in living biomass on land converted from one category to another (e.g., low producing grassland converted to high producing grassland), it is assumed the carbon in living biomass immediately after conversion is zero; that is, the land is cleared of all vegetation. In the same year, carbon stocks in living biomass increase by the amount given in table 6.6.3 representing the annual growth in biomass for land converted to another land use. The values used for high producing and low producing grassland are Tier 1 defaults (table 6.6.3). The values given for grassland with woody biomass are country-specific factors based on the LUCAS national plot network (Wakelin and Beets, unpublished).</w:t>
      </w:r>
    </w:p>
    <w:p w14:paraId="4782C935" w14:textId="77777777" w:rsidR="00380BE7" w:rsidRPr="00256982" w:rsidRDefault="00380BE7" w:rsidP="00E71976">
      <w:pPr>
        <w:pStyle w:val="Heading5"/>
        <w:spacing w:before="200"/>
      </w:pPr>
      <w:bookmarkStart w:id="1851" w:name="_Toc255466399"/>
      <w:bookmarkStart w:id="1852" w:name="_Toc261513206"/>
      <w:bookmarkStart w:id="1853" w:name="_Toc261513819"/>
      <w:bookmarkStart w:id="1854" w:name="_Toc280630291"/>
      <w:r w:rsidRPr="00256982">
        <w:t>Dead organic matter</w:t>
      </w:r>
      <w:bookmarkEnd w:id="1851"/>
      <w:bookmarkEnd w:id="1852"/>
      <w:bookmarkEnd w:id="1853"/>
      <w:bookmarkEnd w:id="1854"/>
    </w:p>
    <w:p w14:paraId="7F6DC7B3" w14:textId="77777777" w:rsidR="00380BE7" w:rsidRPr="00256982" w:rsidRDefault="00380BE7" w:rsidP="00E71976">
      <w:pPr>
        <w:pStyle w:val="BodyText"/>
        <w:spacing w:before="100" w:after="100"/>
      </w:pPr>
      <w:r w:rsidRPr="00256982">
        <w:t xml:space="preserve">New Zealand does not report estimates of dead organic matter for high producing grassland or low producing grassland because there are no Tier 1 defaults provided in the 2006 IPCC Guidelines. There is insufficient information to develop default coefficients for estimating the dead organic matter pool for these two categories (IPCC, 2006a). The notation key NE (not estimated) is used in the CRF tables in accordance with paragraph 37(b) of Decision 24/CP.19 (UNFCCC, 2014). </w:t>
      </w:r>
    </w:p>
    <w:p w14:paraId="319308E0" w14:textId="77777777" w:rsidR="00380BE7" w:rsidRPr="00256982" w:rsidRDefault="00380BE7" w:rsidP="00E71976">
      <w:pPr>
        <w:pStyle w:val="BodyText"/>
        <w:spacing w:before="100" w:after="100"/>
      </w:pPr>
      <w:r w:rsidRPr="00256982">
        <w:t>For grassland with woody biomass, an estimate of dead organic matter is derived from the LUCAS national plot network (Wakelin and Beets, unpublished), and estimates of changes in dead organic matter stocks with conversion to and from this land use are reported.</w:t>
      </w:r>
    </w:p>
    <w:p w14:paraId="70C8541C" w14:textId="77777777" w:rsidR="00380BE7" w:rsidRPr="00256982" w:rsidRDefault="00380BE7" w:rsidP="00ED0B35">
      <w:pPr>
        <w:pStyle w:val="Heading5"/>
        <w:spacing w:before="200"/>
      </w:pPr>
      <w:bookmarkStart w:id="1855" w:name="_Toc255466400"/>
      <w:bookmarkStart w:id="1856" w:name="_Toc261513207"/>
      <w:bookmarkStart w:id="1857" w:name="_Toc261513820"/>
      <w:bookmarkStart w:id="1858" w:name="_Toc280630292"/>
      <w:r w:rsidRPr="00256982">
        <w:t>Soil carbon</w:t>
      </w:r>
      <w:bookmarkEnd w:id="1855"/>
      <w:bookmarkEnd w:id="1856"/>
      <w:bookmarkEnd w:id="1857"/>
      <w:bookmarkEnd w:id="1858"/>
    </w:p>
    <w:p w14:paraId="504FB51A" w14:textId="77777777" w:rsidR="00380BE7" w:rsidRPr="00256982" w:rsidRDefault="00380BE7" w:rsidP="00ED0B35">
      <w:pPr>
        <w:pStyle w:val="BodyText"/>
        <w:spacing w:before="100" w:after="100"/>
      </w:pPr>
      <w:bookmarkStart w:id="1859" w:name="_Toc255466401"/>
      <w:bookmarkStart w:id="1860" w:name="_Toc261513208"/>
      <w:bookmarkStart w:id="1861" w:name="_Toc261513821"/>
      <w:r w:rsidRPr="00256982">
        <w:t xml:space="preserve">SOC stocks in </w:t>
      </w:r>
      <w:r w:rsidRPr="00256982">
        <w:rPr>
          <w:i/>
        </w:rPr>
        <w:t>Grassland remaining grassland</w:t>
      </w:r>
      <w:r w:rsidRPr="00256982">
        <w:t xml:space="preserve"> are estimated using a Tier 2 method for mineral soils (see table 6.6.4) and a Tier 1 method for organic soils (see section 6.3). The IPCC default emission factors for organic soils under </w:t>
      </w:r>
      <w:r w:rsidRPr="00256982">
        <w:rPr>
          <w:i/>
        </w:rPr>
        <w:t>Grassland</w:t>
      </w:r>
      <w:r w:rsidRPr="00256982">
        <w:t xml:space="preserve"> are 0.25 tonnes and 2.5 tonnes C ha</w:t>
      </w:r>
      <w:r w:rsidRPr="00256982">
        <w:rPr>
          <w:vertAlign w:val="superscript"/>
        </w:rPr>
        <w:t>–1</w:t>
      </w:r>
      <w:r w:rsidRPr="00256982">
        <w:t xml:space="preserve"> per annum for cold temperate and warm temperate regimes respectively (IPCC, 2006a). </w:t>
      </w:r>
    </w:p>
    <w:p w14:paraId="1CE374E6" w14:textId="3517FE27" w:rsidR="00380BE7" w:rsidRPr="00256982" w:rsidRDefault="00380BE7" w:rsidP="00380BE7">
      <w:pPr>
        <w:pStyle w:val="Table"/>
      </w:pPr>
      <w:bookmarkStart w:id="1862" w:name="_Toc280630469"/>
      <w:bookmarkStart w:id="1863" w:name="_Toc310423426"/>
      <w:bookmarkStart w:id="1864" w:name="_Toc318362719"/>
      <w:bookmarkStart w:id="1865" w:name="_Toc342470781"/>
      <w:bookmarkStart w:id="1866" w:name="_Toc352505021"/>
      <w:bookmarkStart w:id="1867" w:name="_Toc378853310"/>
      <w:bookmarkStart w:id="1868" w:name="_Toc391024108"/>
      <w:bookmarkStart w:id="1869" w:name="_Toc410028851"/>
      <w:bookmarkStart w:id="1870" w:name="_Toc414531479"/>
      <w:bookmarkStart w:id="1871" w:name="_Toc443645392"/>
      <w:bookmarkStart w:id="1872" w:name="_Toc474914611"/>
      <w:bookmarkStart w:id="1873" w:name="_Toc481751575"/>
      <w:bookmarkStart w:id="1874" w:name="_Toc522010632"/>
      <w:bookmarkStart w:id="1875" w:name="_Toc5269537"/>
      <w:r w:rsidRPr="00256982">
        <w:lastRenderedPageBreak/>
        <w:t>Table 6.6.4</w:t>
      </w:r>
      <w:r w:rsidRPr="00256982">
        <w:tab/>
        <w:t>New Zealand’s soil carbon stock values by Grassland type</w:t>
      </w:r>
      <w:bookmarkEnd w:id="1862"/>
      <w:bookmarkEnd w:id="1863"/>
      <w:bookmarkEnd w:id="1864"/>
      <w:bookmarkEnd w:id="1865"/>
      <w:bookmarkEnd w:id="1866"/>
      <w:bookmarkEnd w:id="1867"/>
      <w:bookmarkEnd w:id="1868"/>
      <w:bookmarkEnd w:id="1869"/>
      <w:bookmarkEnd w:id="1870"/>
      <w:r w:rsidRPr="00256982">
        <w:t>: from table</w:t>
      </w:r>
      <w:r w:rsidR="00C53888" w:rsidRPr="00256982">
        <w:t> </w:t>
      </w:r>
      <w:r w:rsidRPr="00256982">
        <w:t>6.3.2</w:t>
      </w:r>
      <w:bookmarkEnd w:id="1871"/>
      <w:bookmarkEnd w:id="1872"/>
      <w:bookmarkEnd w:id="1873"/>
      <w:bookmarkEnd w:id="1874"/>
      <w:bookmarkEnd w:id="1875"/>
    </w:p>
    <w:tbl>
      <w:tblPr>
        <w:tblW w:w="8505" w:type="dxa"/>
        <w:tblInd w:w="108" w:type="dxa"/>
        <w:tblBorders>
          <w:top w:val="single" w:sz="4" w:space="0" w:color="365F91"/>
          <w:bottom w:val="single" w:sz="4" w:space="0" w:color="365F91"/>
          <w:insideH w:val="single" w:sz="4" w:space="0" w:color="365F91"/>
        </w:tblBorders>
        <w:tblLayout w:type="fixed"/>
        <w:tblLook w:val="0000" w:firstRow="0" w:lastRow="0" w:firstColumn="0" w:lastColumn="0" w:noHBand="0" w:noVBand="0"/>
      </w:tblPr>
      <w:tblGrid>
        <w:gridCol w:w="4110"/>
        <w:gridCol w:w="4395"/>
      </w:tblGrid>
      <w:tr w:rsidR="00380BE7" w:rsidRPr="00256982" w14:paraId="55B32634" w14:textId="77777777" w:rsidTr="009574E7">
        <w:tc>
          <w:tcPr>
            <w:tcW w:w="2977" w:type="dxa"/>
            <w:shd w:val="clear" w:color="auto" w:fill="365F91"/>
          </w:tcPr>
          <w:p w14:paraId="5D0855D9" w14:textId="77777777" w:rsidR="00380BE7" w:rsidRPr="00256982" w:rsidRDefault="00380BE7" w:rsidP="009574E7">
            <w:pPr>
              <w:pStyle w:val="TableTextBold"/>
              <w:spacing w:before="50" w:after="50"/>
              <w:rPr>
                <w:noProof w:val="0"/>
                <w:color w:val="FFFFFF"/>
              </w:rPr>
            </w:pPr>
            <w:r w:rsidRPr="00256982">
              <w:rPr>
                <w:noProof w:val="0"/>
                <w:color w:val="FFFFFF"/>
              </w:rPr>
              <w:t>Land use</w:t>
            </w:r>
          </w:p>
        </w:tc>
        <w:tc>
          <w:tcPr>
            <w:tcW w:w="3183" w:type="dxa"/>
            <w:shd w:val="clear" w:color="auto" w:fill="365F91"/>
          </w:tcPr>
          <w:p w14:paraId="23D24BD0" w14:textId="77777777" w:rsidR="00380BE7" w:rsidRPr="00256982" w:rsidRDefault="00380BE7" w:rsidP="009574E7">
            <w:pPr>
              <w:pStyle w:val="TableTextBold"/>
              <w:spacing w:before="50" w:after="50"/>
              <w:jc w:val="center"/>
              <w:rPr>
                <w:noProof w:val="0"/>
                <w:color w:val="FFFFFF"/>
              </w:rPr>
            </w:pPr>
            <w:r w:rsidRPr="00256982">
              <w:rPr>
                <w:noProof w:val="0"/>
                <w:color w:val="FFFFFF"/>
              </w:rPr>
              <w:t>Soil carbon stock density (t C ha</w:t>
            </w:r>
            <w:r w:rsidRPr="00256982">
              <w:rPr>
                <w:rFonts w:ascii="Arial Bold" w:hAnsi="Arial Bold"/>
                <w:noProof w:val="0"/>
                <w:color w:val="FFFFFF"/>
                <w:vertAlign w:val="superscript"/>
              </w:rPr>
              <w:t>–1</w:t>
            </w:r>
            <w:r w:rsidRPr="00256982">
              <w:rPr>
                <w:noProof w:val="0"/>
                <w:color w:val="FFFFFF"/>
              </w:rPr>
              <w:t>)</w:t>
            </w:r>
          </w:p>
        </w:tc>
      </w:tr>
      <w:tr w:rsidR="00380BE7" w:rsidRPr="00256982" w14:paraId="13E0C7E6" w14:textId="77777777" w:rsidTr="009574E7">
        <w:tc>
          <w:tcPr>
            <w:tcW w:w="2977" w:type="dxa"/>
          </w:tcPr>
          <w:p w14:paraId="54CD8935" w14:textId="77777777" w:rsidR="00380BE7" w:rsidRPr="00256982" w:rsidRDefault="00380BE7" w:rsidP="009574E7">
            <w:pPr>
              <w:pStyle w:val="TableText"/>
              <w:keepNext/>
              <w:spacing w:before="50" w:after="50"/>
            </w:pPr>
            <w:r w:rsidRPr="00256982">
              <w:t>High producing grassland</w:t>
            </w:r>
          </w:p>
        </w:tc>
        <w:tc>
          <w:tcPr>
            <w:tcW w:w="3183" w:type="dxa"/>
          </w:tcPr>
          <w:p w14:paraId="6C159ACE" w14:textId="77777777" w:rsidR="00380BE7" w:rsidRPr="00256982" w:rsidRDefault="00380BE7" w:rsidP="009574E7">
            <w:pPr>
              <w:pStyle w:val="TableText"/>
              <w:spacing w:before="50" w:after="50"/>
              <w:jc w:val="center"/>
            </w:pPr>
            <w:r w:rsidRPr="00256982">
              <w:t>105.34</w:t>
            </w:r>
          </w:p>
        </w:tc>
      </w:tr>
      <w:tr w:rsidR="00380BE7" w:rsidRPr="00256982" w14:paraId="7C0751F2" w14:textId="77777777" w:rsidTr="009574E7">
        <w:trPr>
          <w:trHeight w:val="252"/>
        </w:trPr>
        <w:tc>
          <w:tcPr>
            <w:tcW w:w="2977" w:type="dxa"/>
          </w:tcPr>
          <w:p w14:paraId="31618E29" w14:textId="77777777" w:rsidR="00380BE7" w:rsidRPr="00256982" w:rsidRDefault="00380BE7" w:rsidP="009574E7">
            <w:pPr>
              <w:pStyle w:val="TableText"/>
              <w:spacing w:before="50" w:after="50"/>
            </w:pPr>
            <w:r w:rsidRPr="00256982">
              <w:t>Low producing grassland</w:t>
            </w:r>
          </w:p>
        </w:tc>
        <w:tc>
          <w:tcPr>
            <w:tcW w:w="3183" w:type="dxa"/>
          </w:tcPr>
          <w:p w14:paraId="069778F0" w14:textId="77777777" w:rsidR="00380BE7" w:rsidRPr="00256982" w:rsidRDefault="00380BE7" w:rsidP="009574E7">
            <w:pPr>
              <w:pStyle w:val="TableText"/>
              <w:spacing w:before="50" w:after="50"/>
              <w:jc w:val="center"/>
            </w:pPr>
            <w:r w:rsidRPr="00256982">
              <w:t>105.98</w:t>
            </w:r>
          </w:p>
        </w:tc>
      </w:tr>
      <w:tr w:rsidR="00380BE7" w:rsidRPr="00256982" w14:paraId="795A0206" w14:textId="77777777" w:rsidTr="009574E7">
        <w:tc>
          <w:tcPr>
            <w:tcW w:w="2977" w:type="dxa"/>
          </w:tcPr>
          <w:p w14:paraId="3FDFAB0C" w14:textId="77777777" w:rsidR="00380BE7" w:rsidRPr="00256982" w:rsidRDefault="00380BE7" w:rsidP="009574E7">
            <w:pPr>
              <w:pStyle w:val="TableText"/>
              <w:spacing w:before="50" w:after="50"/>
            </w:pPr>
            <w:r w:rsidRPr="00256982">
              <w:t>Grassland with woody biomass</w:t>
            </w:r>
          </w:p>
        </w:tc>
        <w:tc>
          <w:tcPr>
            <w:tcW w:w="3183" w:type="dxa"/>
          </w:tcPr>
          <w:p w14:paraId="02B1C833" w14:textId="77777777" w:rsidR="00380BE7" w:rsidRPr="00256982" w:rsidRDefault="00380BE7" w:rsidP="009574E7">
            <w:pPr>
              <w:pStyle w:val="TableText"/>
              <w:spacing w:before="50" w:after="50"/>
              <w:jc w:val="center"/>
            </w:pPr>
            <w:r w:rsidRPr="00256982">
              <w:t>98.23</w:t>
            </w:r>
          </w:p>
        </w:tc>
      </w:tr>
    </w:tbl>
    <w:p w14:paraId="0D0C948D" w14:textId="77777777" w:rsidR="00380BE7" w:rsidRPr="00256982" w:rsidRDefault="00380BE7" w:rsidP="00ED0B35">
      <w:pPr>
        <w:pStyle w:val="Heading4"/>
        <w:spacing w:before="360"/>
      </w:pPr>
      <w:bookmarkStart w:id="1876" w:name="_Toc255466404"/>
      <w:bookmarkStart w:id="1877" w:name="_Toc261513211"/>
      <w:bookmarkStart w:id="1878" w:name="_Toc261513824"/>
      <w:bookmarkStart w:id="1879" w:name="_Toc280630295"/>
      <w:bookmarkEnd w:id="1859"/>
      <w:bookmarkEnd w:id="1860"/>
      <w:bookmarkEnd w:id="1861"/>
      <w:r w:rsidRPr="00256982">
        <w:t>Land converted to grassland</w:t>
      </w:r>
      <w:bookmarkEnd w:id="1876"/>
      <w:bookmarkEnd w:id="1877"/>
      <w:bookmarkEnd w:id="1878"/>
      <w:bookmarkEnd w:id="1879"/>
      <w:r w:rsidRPr="00256982">
        <w:t xml:space="preserve"> (CRF 4.C.2)</w:t>
      </w:r>
    </w:p>
    <w:p w14:paraId="36AB8CB6" w14:textId="77777777" w:rsidR="00380BE7" w:rsidRPr="00256982" w:rsidRDefault="00380BE7" w:rsidP="00380BE7">
      <w:pPr>
        <w:pStyle w:val="Heading5"/>
        <w:spacing w:before="160"/>
      </w:pPr>
      <w:bookmarkStart w:id="1880" w:name="_Toc255466405"/>
      <w:bookmarkStart w:id="1881" w:name="_Toc261513212"/>
      <w:bookmarkStart w:id="1882" w:name="_Toc261513825"/>
      <w:bookmarkStart w:id="1883" w:name="_Toc280630296"/>
      <w:r w:rsidRPr="00256982">
        <w:t>Living biomass</w:t>
      </w:r>
      <w:bookmarkEnd w:id="1880"/>
      <w:bookmarkEnd w:id="1881"/>
      <w:bookmarkEnd w:id="1882"/>
      <w:bookmarkEnd w:id="1883"/>
    </w:p>
    <w:p w14:paraId="6E41F164" w14:textId="77777777" w:rsidR="00380BE7" w:rsidRPr="00256982" w:rsidRDefault="00380BE7" w:rsidP="00486B11">
      <w:pPr>
        <w:pStyle w:val="BodyText"/>
      </w:pPr>
      <w:r w:rsidRPr="00256982">
        <w:t xml:space="preserve">New Zealand applies a Tier 1 method to calculate emissions for </w:t>
      </w:r>
      <w:r w:rsidRPr="00256982">
        <w:rPr>
          <w:i/>
        </w:rPr>
        <w:t>Land converted to grassland</w:t>
      </w:r>
      <w:r w:rsidRPr="00256982">
        <w:t xml:space="preserve">. The Tier 1 method multiplies the area of </w:t>
      </w:r>
      <w:r w:rsidRPr="00256982">
        <w:rPr>
          <w:i/>
        </w:rPr>
        <w:t>Land converted to grassland</w:t>
      </w:r>
      <w:r w:rsidRPr="00256982">
        <w:t xml:space="preserve"> annually by the carbon stock change per area for that type of conversion. </w:t>
      </w:r>
    </w:p>
    <w:p w14:paraId="72D669E8" w14:textId="77777777" w:rsidR="00380BE7" w:rsidRPr="00256982" w:rsidRDefault="00380BE7" w:rsidP="00486B11">
      <w:pPr>
        <w:pStyle w:val="BodyText"/>
      </w:pPr>
      <w:r w:rsidRPr="00256982">
        <w:t>The Tier 1 method assumes carbon in living biomass immediately after conversion is zero; that is, the land is cleared of all vegetation at conversion and is instantly oxidised. The emission factors for estimating the amount of biomass that is cleared when land at steady state is converted to another land use is shown in table 6.1.3. The Tier 1 method also includes changes in carbon stocks from one year of growth from the grassland category that land was converted to in the year conversion takes place, as outlined in equation 2.9 of the 2006 IPCC Guidelines (IPCC, 2006a).</w:t>
      </w:r>
    </w:p>
    <w:p w14:paraId="26A9EEBB" w14:textId="77777777" w:rsidR="00380BE7" w:rsidRPr="00256982" w:rsidRDefault="00380BE7" w:rsidP="00486B11">
      <w:pPr>
        <w:pStyle w:val="Heading5"/>
      </w:pPr>
      <w:bookmarkStart w:id="1884" w:name="_Toc255466406"/>
      <w:bookmarkStart w:id="1885" w:name="_Toc261513213"/>
      <w:bookmarkStart w:id="1886" w:name="_Toc261513826"/>
      <w:bookmarkStart w:id="1887" w:name="_Toc280630297"/>
      <w:r w:rsidRPr="00256982">
        <w:t>Dead organic matter</w:t>
      </w:r>
      <w:bookmarkEnd w:id="1884"/>
      <w:bookmarkEnd w:id="1885"/>
      <w:bookmarkEnd w:id="1886"/>
      <w:bookmarkEnd w:id="1887"/>
    </w:p>
    <w:p w14:paraId="603842BD" w14:textId="77777777" w:rsidR="00380BE7" w:rsidRPr="00256982" w:rsidRDefault="00380BE7" w:rsidP="00380BE7">
      <w:pPr>
        <w:pStyle w:val="BodyText"/>
        <w:spacing w:before="100" w:after="100"/>
        <w:rPr>
          <w:spacing w:val="-2"/>
        </w:rPr>
      </w:pPr>
      <w:r w:rsidRPr="00256982">
        <w:rPr>
          <w:spacing w:val="-2"/>
        </w:rPr>
        <w:t xml:space="preserve">For land conversion to high and low producing grassland, New Zealand reports only losses in dead organic matter. The losses are calculated based on the carbon in dead organic matter at the site prior to conversion to </w:t>
      </w:r>
      <w:r w:rsidRPr="00256982">
        <w:rPr>
          <w:i/>
          <w:spacing w:val="-2"/>
        </w:rPr>
        <w:t>Grassland</w:t>
      </w:r>
      <w:r w:rsidRPr="00256982">
        <w:rPr>
          <w:spacing w:val="-2"/>
        </w:rPr>
        <w:t>. It is assumed that, immediately after conversion, the carbon in the dead organic matter pool is zero (all carbon in dead organic matter prior to conversion is instantly oxidised in the year of conversion). New Zealand applies the Tier 1 default method to high and low producing grassland land uses, which assumes there is no dead wood or litter accumulating in land converted to grassland (IPCC, 2006a). Therefore, where there are no dead organic matter losses associated with the previous land use, the notation key NE (not estimated) is used in the CRF tables in accordance with Decision 24/CP.19 (UNFCCC, 2014).</w:t>
      </w:r>
    </w:p>
    <w:p w14:paraId="69653F73" w14:textId="77777777" w:rsidR="00380BE7" w:rsidRPr="00256982" w:rsidRDefault="00380BE7" w:rsidP="00ED0B35">
      <w:pPr>
        <w:pStyle w:val="BodyText"/>
        <w:spacing w:before="100" w:after="100"/>
      </w:pPr>
      <w:r w:rsidRPr="00256982">
        <w:t>Where land is converted to grassland with woody biomass, dead organic matter accumulates to 0.65 tonnes C ha</w:t>
      </w:r>
      <w:r w:rsidRPr="00256982">
        <w:rPr>
          <w:vertAlign w:val="superscript"/>
        </w:rPr>
        <w:t>–1</w:t>
      </w:r>
      <w:r w:rsidRPr="00256982">
        <w:t xml:space="preserve"> (see table 6.6.3) over 28 years (the maturity period New Zealand has chosen for land to reach steady state).</w:t>
      </w:r>
    </w:p>
    <w:p w14:paraId="6C40031B" w14:textId="77777777" w:rsidR="00380BE7" w:rsidRPr="00256982" w:rsidRDefault="00380BE7" w:rsidP="00380BE7">
      <w:pPr>
        <w:pStyle w:val="Heading5"/>
      </w:pPr>
      <w:bookmarkStart w:id="1888" w:name="_Toc255466407"/>
      <w:bookmarkStart w:id="1889" w:name="_Toc261513214"/>
      <w:bookmarkStart w:id="1890" w:name="_Toc261513827"/>
      <w:bookmarkStart w:id="1891" w:name="_Toc280630298"/>
      <w:bookmarkStart w:id="1892" w:name="_Toc139253972"/>
      <w:r w:rsidRPr="00256982">
        <w:t>Soil organic carbon</w:t>
      </w:r>
      <w:bookmarkEnd w:id="1888"/>
      <w:bookmarkEnd w:id="1889"/>
      <w:bookmarkEnd w:id="1890"/>
      <w:bookmarkEnd w:id="1891"/>
    </w:p>
    <w:p w14:paraId="6EC404F6" w14:textId="77777777" w:rsidR="00380BE7" w:rsidRPr="00256982" w:rsidRDefault="00380BE7" w:rsidP="00ED0B35">
      <w:pPr>
        <w:pStyle w:val="BodyText"/>
        <w:spacing w:before="100" w:after="100"/>
      </w:pPr>
      <w:r w:rsidRPr="00256982">
        <w:t xml:space="preserve">Soil carbon stocks in </w:t>
      </w:r>
      <w:r w:rsidRPr="00256982">
        <w:rPr>
          <w:i/>
        </w:rPr>
        <w:t>Land converted to grassland</w:t>
      </w:r>
      <w:r w:rsidRPr="00256982">
        <w:t xml:space="preserve"> are estimated using a Tier 2 method for mineral soils and a Tier 1 method for organic soils (see section 6.3). In the absence of data on the rate of change specific to country and land use, the IPCC default of a linear change over a 20</w:t>
      </w:r>
      <w:r w:rsidRPr="00256982">
        <w:noBreakHyphen/>
        <w:t xml:space="preserve">year period is used to estimate the change in SOC stocks between the original land use and the new land use. </w:t>
      </w:r>
    </w:p>
    <w:p w14:paraId="70FF4FC5" w14:textId="4CB199DF" w:rsidR="00380BE7" w:rsidRPr="00256982" w:rsidRDefault="00380BE7" w:rsidP="00ED0B35">
      <w:pPr>
        <w:pStyle w:val="BodyText"/>
        <w:spacing w:before="100" w:after="100"/>
      </w:pPr>
      <w:r w:rsidRPr="00256982">
        <w:t xml:space="preserve">The IPCC default emission factors for organic soils under </w:t>
      </w:r>
      <w:r w:rsidRPr="00256982">
        <w:rPr>
          <w:i/>
        </w:rPr>
        <w:t xml:space="preserve">Grassland </w:t>
      </w:r>
      <w:r w:rsidRPr="00256982">
        <w:t xml:space="preserve">are also applied to </w:t>
      </w:r>
      <w:r w:rsidRPr="00256982">
        <w:rPr>
          <w:i/>
        </w:rPr>
        <w:t>Land converted to grassland</w:t>
      </w:r>
      <w:r w:rsidRPr="00256982">
        <w:t xml:space="preserve"> (IPCC, 2006a).</w:t>
      </w:r>
    </w:p>
    <w:p w14:paraId="0DA422E5" w14:textId="77777777" w:rsidR="00380BE7" w:rsidRPr="00256982" w:rsidRDefault="00380BE7" w:rsidP="00ED0B35">
      <w:pPr>
        <w:pStyle w:val="Heading3"/>
        <w:spacing w:before="240"/>
      </w:pPr>
      <w:bookmarkStart w:id="1893" w:name="_Toc255466410"/>
      <w:bookmarkStart w:id="1894" w:name="_Toc261513217"/>
      <w:bookmarkStart w:id="1895" w:name="_Toc261513830"/>
      <w:bookmarkStart w:id="1896" w:name="_Toc280630300"/>
      <w:r w:rsidRPr="00256982">
        <w:t>6.6.3</w:t>
      </w:r>
      <w:r w:rsidRPr="00256982">
        <w:tab/>
        <w:t>Uncertainties and time-series consistency</w:t>
      </w:r>
      <w:bookmarkEnd w:id="1892"/>
      <w:bookmarkEnd w:id="1893"/>
      <w:bookmarkEnd w:id="1894"/>
      <w:bookmarkEnd w:id="1895"/>
      <w:bookmarkEnd w:id="1896"/>
    </w:p>
    <w:p w14:paraId="6CDB5513" w14:textId="77777777" w:rsidR="00380BE7" w:rsidRPr="00256982" w:rsidRDefault="00380BE7" w:rsidP="00ED0B35">
      <w:pPr>
        <w:pStyle w:val="BodyText"/>
        <w:spacing w:before="100" w:after="100"/>
      </w:pPr>
      <w:r w:rsidRPr="00256982">
        <w:t xml:space="preserve">The uncertainty in mapping </w:t>
      </w:r>
      <w:r w:rsidRPr="00256982">
        <w:rPr>
          <w:i/>
        </w:rPr>
        <w:t>Grassland</w:t>
      </w:r>
      <w:r w:rsidRPr="00256982">
        <w:t xml:space="preserve"> is ±8.0 per cent for high and low producing grassland, and ±83 per cent for grassland with woody biomass (table 6.6.5). Further details are given in section 6.2.5.</w:t>
      </w:r>
    </w:p>
    <w:p w14:paraId="355BA859" w14:textId="77777777" w:rsidR="00380BE7" w:rsidRPr="00256982" w:rsidRDefault="00380BE7" w:rsidP="00ED0B35">
      <w:pPr>
        <w:pStyle w:val="BodyText"/>
        <w:spacing w:before="100" w:after="100"/>
      </w:pPr>
      <w:r w:rsidRPr="00256982">
        <w:lastRenderedPageBreak/>
        <w:t xml:space="preserve">New Zealand uses IPCC default values for biomass accumulation in high producing and low producing grassland. The uncertainty in these figures is given as </w:t>
      </w:r>
      <w:r w:rsidRPr="00256982">
        <w:sym w:font="Symbol" w:char="F0B1"/>
      </w:r>
      <w:r w:rsidRPr="00256982">
        <w:t>75 per cent (table 6.4, IPCC, 2006a). A New Zealand-specific value derived from the LUCAS national plot network is used for biomass accumulation in grassland with woody biomass. Grassland with woody biomass is a diverse land use; therefore, the IPCC default uncertainty value is used (Wakelin and Beets, unpublished).</w:t>
      </w:r>
    </w:p>
    <w:p w14:paraId="18562E49" w14:textId="77777777" w:rsidR="00380BE7" w:rsidRPr="00256982" w:rsidRDefault="00380BE7" w:rsidP="00380BE7">
      <w:pPr>
        <w:pStyle w:val="Table"/>
      </w:pPr>
      <w:bookmarkStart w:id="1897" w:name="_Toc280630470"/>
      <w:bookmarkStart w:id="1898" w:name="_Toc310423427"/>
      <w:bookmarkStart w:id="1899" w:name="_Toc318362720"/>
      <w:bookmarkStart w:id="1900" w:name="_Toc342470782"/>
      <w:bookmarkStart w:id="1901" w:name="_Toc352505022"/>
      <w:bookmarkStart w:id="1902" w:name="_Toc378853311"/>
      <w:bookmarkStart w:id="1903" w:name="_Toc391024109"/>
      <w:bookmarkStart w:id="1904" w:name="_Toc410028852"/>
      <w:bookmarkStart w:id="1905" w:name="_Toc414531480"/>
      <w:bookmarkStart w:id="1906" w:name="_Toc443645393"/>
      <w:bookmarkStart w:id="1907" w:name="_Toc474914612"/>
      <w:bookmarkStart w:id="1908" w:name="_Toc481751576"/>
      <w:bookmarkStart w:id="1909" w:name="_Toc522010633"/>
      <w:bookmarkStart w:id="1910" w:name="_Toc5269538"/>
      <w:r w:rsidRPr="00256982">
        <w:t>Table 6.6.5</w:t>
      </w:r>
      <w:r w:rsidRPr="00256982">
        <w:tab/>
        <w:t>Uncertainty in New Zealand’s 2017 estimates for the Grassland category</w:t>
      </w:r>
      <w:bookmarkEnd w:id="1897"/>
      <w:bookmarkEnd w:id="1898"/>
      <w:bookmarkEnd w:id="1899"/>
      <w:bookmarkEnd w:id="1900"/>
      <w:r w:rsidRPr="00256982">
        <w:br/>
        <w:t>(including land in transition)</w:t>
      </w:r>
      <w:bookmarkStart w:id="1911" w:name="_Toc139253973"/>
      <w:bookmarkStart w:id="1912" w:name="_Toc255466411"/>
      <w:bookmarkStart w:id="1913" w:name="_Toc261513218"/>
      <w:bookmarkStart w:id="1914" w:name="_Toc261513831"/>
      <w:bookmarkStart w:id="1915" w:name="_Toc280630301"/>
      <w:bookmarkEnd w:id="1901"/>
      <w:bookmarkEnd w:id="1902"/>
      <w:bookmarkEnd w:id="1903"/>
      <w:bookmarkEnd w:id="1904"/>
      <w:bookmarkEnd w:id="1905"/>
      <w:bookmarkEnd w:id="1906"/>
      <w:bookmarkEnd w:id="1907"/>
      <w:bookmarkEnd w:id="1908"/>
      <w:bookmarkEnd w:id="1909"/>
      <w:bookmarkEnd w:id="1910"/>
    </w:p>
    <w:tbl>
      <w:tblPr>
        <w:tblW w:w="8562" w:type="dxa"/>
        <w:tblInd w:w="108" w:type="dxa"/>
        <w:tblLayout w:type="fixed"/>
        <w:tblLook w:val="04A0" w:firstRow="1" w:lastRow="0" w:firstColumn="1" w:lastColumn="0" w:noHBand="0" w:noVBand="1"/>
      </w:tblPr>
      <w:tblGrid>
        <w:gridCol w:w="2998"/>
        <w:gridCol w:w="1712"/>
        <w:gridCol w:w="1712"/>
        <w:gridCol w:w="2140"/>
      </w:tblGrid>
      <w:tr w:rsidR="00380BE7" w:rsidRPr="00256982" w14:paraId="54A959B2" w14:textId="77777777" w:rsidTr="00D319CD">
        <w:tc>
          <w:tcPr>
            <w:tcW w:w="2977" w:type="dxa"/>
            <w:tcBorders>
              <w:top w:val="single" w:sz="4" w:space="0" w:color="365F91"/>
            </w:tcBorders>
            <w:shd w:val="clear" w:color="auto" w:fill="365F91"/>
            <w:noWrap/>
            <w:hideMark/>
          </w:tcPr>
          <w:p w14:paraId="3D3A52BA" w14:textId="77777777" w:rsidR="00380BE7" w:rsidRPr="00256982" w:rsidRDefault="00380BE7" w:rsidP="009574E7">
            <w:pPr>
              <w:pStyle w:val="TableTextBold"/>
              <w:keepNext/>
              <w:spacing w:before="40" w:after="40"/>
              <w:rPr>
                <w:noProof w:val="0"/>
                <w:color w:val="FFFFFF"/>
              </w:rPr>
            </w:pPr>
          </w:p>
        </w:tc>
        <w:tc>
          <w:tcPr>
            <w:tcW w:w="5528" w:type="dxa"/>
            <w:gridSpan w:val="3"/>
            <w:tcBorders>
              <w:top w:val="single" w:sz="4" w:space="0" w:color="365F91"/>
            </w:tcBorders>
            <w:shd w:val="clear" w:color="auto" w:fill="365F91"/>
            <w:noWrap/>
            <w:hideMark/>
          </w:tcPr>
          <w:p w14:paraId="018489DB" w14:textId="77777777" w:rsidR="00380BE7" w:rsidRPr="00256982" w:rsidRDefault="00380BE7" w:rsidP="009574E7">
            <w:pPr>
              <w:pStyle w:val="TableTextBold"/>
              <w:keepNext/>
              <w:spacing w:before="40" w:after="40"/>
              <w:jc w:val="center"/>
              <w:rPr>
                <w:noProof w:val="0"/>
                <w:color w:val="FFFFFF"/>
              </w:rPr>
            </w:pPr>
            <w:r w:rsidRPr="00256982">
              <w:rPr>
                <w:noProof w:val="0"/>
                <w:color w:val="FFFFFF"/>
              </w:rPr>
              <w:t>Uncertainty at a 95% confidence interval</w:t>
            </w:r>
          </w:p>
        </w:tc>
      </w:tr>
      <w:tr w:rsidR="00380BE7" w:rsidRPr="00256982" w14:paraId="2DF113B3" w14:textId="77777777" w:rsidTr="00D319CD">
        <w:tc>
          <w:tcPr>
            <w:tcW w:w="2977" w:type="dxa"/>
            <w:tcBorders>
              <w:bottom w:val="single" w:sz="4" w:space="0" w:color="2E74B5"/>
            </w:tcBorders>
            <w:shd w:val="clear" w:color="auto" w:fill="365F91"/>
            <w:noWrap/>
            <w:vAlign w:val="bottom"/>
            <w:hideMark/>
          </w:tcPr>
          <w:p w14:paraId="7FE2D1E9" w14:textId="77777777" w:rsidR="00380BE7" w:rsidRPr="00256982" w:rsidRDefault="00380BE7" w:rsidP="009574E7">
            <w:pPr>
              <w:pStyle w:val="TableTextBold"/>
              <w:keepNext/>
              <w:spacing w:before="40" w:after="40"/>
              <w:rPr>
                <w:noProof w:val="0"/>
                <w:color w:val="FFFFFF"/>
              </w:rPr>
            </w:pPr>
            <w:r w:rsidRPr="00256982">
              <w:rPr>
                <w:noProof w:val="0"/>
                <w:color w:val="FFFFFF"/>
              </w:rPr>
              <w:t>Land use</w:t>
            </w:r>
          </w:p>
        </w:tc>
        <w:tc>
          <w:tcPr>
            <w:tcW w:w="1701" w:type="dxa"/>
            <w:tcBorders>
              <w:bottom w:val="single" w:sz="4" w:space="0" w:color="2E74B5"/>
            </w:tcBorders>
            <w:shd w:val="clear" w:color="auto" w:fill="365F91"/>
            <w:noWrap/>
            <w:hideMark/>
          </w:tcPr>
          <w:p w14:paraId="3B9BD18E" w14:textId="77777777" w:rsidR="00380BE7" w:rsidRPr="00256982" w:rsidRDefault="00380BE7" w:rsidP="009574E7">
            <w:pPr>
              <w:pStyle w:val="TableTextBold"/>
              <w:keepNext/>
              <w:spacing w:before="40" w:after="40"/>
              <w:jc w:val="center"/>
              <w:rPr>
                <w:noProof w:val="0"/>
                <w:color w:val="FFFFFF"/>
              </w:rPr>
            </w:pPr>
            <w:r w:rsidRPr="00256982">
              <w:rPr>
                <w:noProof w:val="0"/>
                <w:color w:val="FFFFFF"/>
              </w:rPr>
              <w:t>High producing (%)</w:t>
            </w:r>
          </w:p>
        </w:tc>
        <w:tc>
          <w:tcPr>
            <w:tcW w:w="1701" w:type="dxa"/>
            <w:tcBorders>
              <w:bottom w:val="single" w:sz="4" w:space="0" w:color="2E74B5"/>
            </w:tcBorders>
            <w:shd w:val="clear" w:color="auto" w:fill="365F91"/>
            <w:noWrap/>
            <w:hideMark/>
          </w:tcPr>
          <w:p w14:paraId="63C2FC71" w14:textId="77777777" w:rsidR="00380BE7" w:rsidRPr="00256982" w:rsidRDefault="00380BE7" w:rsidP="009574E7">
            <w:pPr>
              <w:pStyle w:val="TableTextBold"/>
              <w:keepNext/>
              <w:spacing w:before="40" w:after="40"/>
              <w:jc w:val="center"/>
              <w:rPr>
                <w:noProof w:val="0"/>
                <w:color w:val="FFFFFF"/>
              </w:rPr>
            </w:pPr>
            <w:r w:rsidRPr="00256982">
              <w:rPr>
                <w:noProof w:val="0"/>
                <w:color w:val="FFFFFF"/>
              </w:rPr>
              <w:t>Low producing (%)</w:t>
            </w:r>
          </w:p>
        </w:tc>
        <w:tc>
          <w:tcPr>
            <w:tcW w:w="2126" w:type="dxa"/>
            <w:tcBorders>
              <w:bottom w:val="single" w:sz="4" w:space="0" w:color="2E74B5"/>
            </w:tcBorders>
            <w:shd w:val="clear" w:color="auto" w:fill="365F91"/>
            <w:noWrap/>
            <w:hideMark/>
          </w:tcPr>
          <w:p w14:paraId="4A5B5C4F" w14:textId="77777777" w:rsidR="00380BE7" w:rsidRPr="00256982" w:rsidRDefault="00380BE7" w:rsidP="009574E7">
            <w:pPr>
              <w:pStyle w:val="TableTextBold"/>
              <w:keepNext/>
              <w:spacing w:before="40" w:after="40"/>
              <w:jc w:val="center"/>
              <w:rPr>
                <w:noProof w:val="0"/>
                <w:color w:val="FFFFFF"/>
              </w:rPr>
            </w:pPr>
            <w:r w:rsidRPr="00256982">
              <w:rPr>
                <w:noProof w:val="0"/>
                <w:color w:val="FFFFFF"/>
              </w:rPr>
              <w:t>With woody biomass (%)</w:t>
            </w:r>
          </w:p>
        </w:tc>
      </w:tr>
      <w:tr w:rsidR="00380BE7" w:rsidRPr="00256982" w14:paraId="0731E1CE" w14:textId="77777777" w:rsidTr="00D319CD">
        <w:tc>
          <w:tcPr>
            <w:tcW w:w="2977" w:type="dxa"/>
            <w:tcBorders>
              <w:top w:val="single" w:sz="4" w:space="0" w:color="2E74B5"/>
              <w:bottom w:val="single" w:sz="4" w:space="0" w:color="365F91"/>
            </w:tcBorders>
            <w:noWrap/>
            <w:hideMark/>
          </w:tcPr>
          <w:p w14:paraId="148D7B11" w14:textId="77777777" w:rsidR="00380BE7" w:rsidRPr="00256982" w:rsidRDefault="00380BE7" w:rsidP="009574E7">
            <w:pPr>
              <w:pStyle w:val="TableTextBold"/>
              <w:keepNext/>
              <w:spacing w:before="40" w:after="40"/>
              <w:rPr>
                <w:noProof w:val="0"/>
              </w:rPr>
            </w:pPr>
            <w:r w:rsidRPr="00256982">
              <w:rPr>
                <w:noProof w:val="0"/>
              </w:rPr>
              <w:t>Activity data</w:t>
            </w:r>
          </w:p>
        </w:tc>
        <w:tc>
          <w:tcPr>
            <w:tcW w:w="1701" w:type="dxa"/>
            <w:tcBorders>
              <w:top w:val="single" w:sz="4" w:space="0" w:color="2E74B5"/>
              <w:bottom w:val="single" w:sz="4" w:space="0" w:color="365F91"/>
            </w:tcBorders>
            <w:noWrap/>
            <w:hideMark/>
          </w:tcPr>
          <w:p w14:paraId="12B70821" w14:textId="77777777" w:rsidR="00380BE7" w:rsidRPr="00256982" w:rsidRDefault="00380BE7" w:rsidP="009574E7">
            <w:pPr>
              <w:pStyle w:val="TableTextBold"/>
              <w:tabs>
                <w:tab w:val="decimal" w:pos="723"/>
              </w:tabs>
              <w:spacing w:before="40" w:after="40"/>
              <w:jc w:val="center"/>
              <w:rPr>
                <w:noProof w:val="0"/>
              </w:rPr>
            </w:pPr>
          </w:p>
        </w:tc>
        <w:tc>
          <w:tcPr>
            <w:tcW w:w="1701" w:type="dxa"/>
            <w:tcBorders>
              <w:top w:val="single" w:sz="4" w:space="0" w:color="2E74B5"/>
              <w:bottom w:val="single" w:sz="4" w:space="0" w:color="365F91"/>
            </w:tcBorders>
            <w:noWrap/>
            <w:hideMark/>
          </w:tcPr>
          <w:p w14:paraId="12BFA25F" w14:textId="77777777" w:rsidR="00380BE7" w:rsidRPr="00256982" w:rsidRDefault="00380BE7" w:rsidP="009574E7">
            <w:pPr>
              <w:pStyle w:val="TableTextBold"/>
              <w:tabs>
                <w:tab w:val="decimal" w:pos="723"/>
              </w:tabs>
              <w:spacing w:before="40" w:after="40"/>
              <w:jc w:val="center"/>
              <w:rPr>
                <w:noProof w:val="0"/>
              </w:rPr>
            </w:pPr>
          </w:p>
        </w:tc>
        <w:tc>
          <w:tcPr>
            <w:tcW w:w="2126" w:type="dxa"/>
            <w:tcBorders>
              <w:top w:val="single" w:sz="4" w:space="0" w:color="2E74B5"/>
              <w:bottom w:val="single" w:sz="4" w:space="0" w:color="365F91"/>
            </w:tcBorders>
            <w:noWrap/>
            <w:hideMark/>
          </w:tcPr>
          <w:p w14:paraId="5CC4DBD2" w14:textId="77777777" w:rsidR="00380BE7" w:rsidRPr="00256982" w:rsidRDefault="00380BE7" w:rsidP="009574E7">
            <w:pPr>
              <w:pStyle w:val="TableTextBold"/>
              <w:tabs>
                <w:tab w:val="decimal" w:pos="723"/>
              </w:tabs>
              <w:spacing w:before="40" w:after="40"/>
              <w:jc w:val="center"/>
              <w:rPr>
                <w:noProof w:val="0"/>
              </w:rPr>
            </w:pPr>
          </w:p>
        </w:tc>
      </w:tr>
      <w:tr w:rsidR="00380BE7" w:rsidRPr="00256982" w14:paraId="18E3F6B7" w14:textId="77777777" w:rsidTr="00D319CD">
        <w:tc>
          <w:tcPr>
            <w:tcW w:w="2977" w:type="dxa"/>
            <w:tcBorders>
              <w:top w:val="single" w:sz="4" w:space="0" w:color="365F91"/>
              <w:bottom w:val="single" w:sz="4" w:space="0" w:color="365F91"/>
            </w:tcBorders>
            <w:noWrap/>
            <w:hideMark/>
          </w:tcPr>
          <w:p w14:paraId="1FB05F80" w14:textId="77777777" w:rsidR="00380BE7" w:rsidRPr="00256982" w:rsidRDefault="00380BE7" w:rsidP="009574E7">
            <w:pPr>
              <w:pStyle w:val="TableText"/>
              <w:spacing w:before="40" w:after="40"/>
            </w:pPr>
            <w:r w:rsidRPr="00256982">
              <w:t>Uncertainty in land area</w:t>
            </w:r>
          </w:p>
        </w:tc>
        <w:tc>
          <w:tcPr>
            <w:tcW w:w="1701" w:type="dxa"/>
            <w:tcBorders>
              <w:top w:val="single" w:sz="4" w:space="0" w:color="365F91"/>
              <w:bottom w:val="single" w:sz="4" w:space="0" w:color="365F91"/>
            </w:tcBorders>
            <w:noWrap/>
            <w:hideMark/>
          </w:tcPr>
          <w:p w14:paraId="4C4C65CD" w14:textId="77777777" w:rsidR="00380BE7" w:rsidRPr="00256982" w:rsidRDefault="00380BE7" w:rsidP="009574E7">
            <w:pPr>
              <w:pStyle w:val="TableText"/>
              <w:tabs>
                <w:tab w:val="decimal" w:pos="581"/>
                <w:tab w:val="decimal" w:pos="723"/>
              </w:tabs>
              <w:spacing w:before="40" w:after="40"/>
              <w:jc w:val="center"/>
            </w:pPr>
            <w:r w:rsidRPr="00256982">
              <w:t>±8.0</w:t>
            </w:r>
          </w:p>
        </w:tc>
        <w:tc>
          <w:tcPr>
            <w:tcW w:w="1701" w:type="dxa"/>
            <w:tcBorders>
              <w:top w:val="single" w:sz="4" w:space="0" w:color="365F91"/>
              <w:bottom w:val="single" w:sz="4" w:space="0" w:color="365F91"/>
            </w:tcBorders>
            <w:noWrap/>
            <w:hideMark/>
          </w:tcPr>
          <w:p w14:paraId="29EA3B12" w14:textId="77777777" w:rsidR="00380BE7" w:rsidRPr="00256982" w:rsidRDefault="00380BE7" w:rsidP="009574E7">
            <w:pPr>
              <w:pStyle w:val="TableText"/>
              <w:tabs>
                <w:tab w:val="decimal" w:pos="581"/>
                <w:tab w:val="decimal" w:pos="723"/>
              </w:tabs>
              <w:spacing w:before="40" w:after="40"/>
              <w:jc w:val="center"/>
            </w:pPr>
            <w:r w:rsidRPr="00256982">
              <w:t>±8.0</w:t>
            </w:r>
          </w:p>
        </w:tc>
        <w:tc>
          <w:tcPr>
            <w:tcW w:w="2126" w:type="dxa"/>
            <w:tcBorders>
              <w:top w:val="single" w:sz="4" w:space="0" w:color="365F91"/>
              <w:bottom w:val="single" w:sz="4" w:space="0" w:color="365F91"/>
            </w:tcBorders>
            <w:noWrap/>
            <w:hideMark/>
          </w:tcPr>
          <w:p w14:paraId="19E8F3F6" w14:textId="77777777" w:rsidR="00380BE7" w:rsidRPr="00256982" w:rsidRDefault="00380BE7" w:rsidP="009574E7">
            <w:pPr>
              <w:pStyle w:val="TableText"/>
              <w:tabs>
                <w:tab w:val="decimal" w:pos="581"/>
                <w:tab w:val="decimal" w:pos="723"/>
              </w:tabs>
              <w:spacing w:before="40" w:after="40"/>
              <w:jc w:val="center"/>
            </w:pPr>
            <w:r w:rsidRPr="00256982">
              <w:t>±83.0</w:t>
            </w:r>
          </w:p>
        </w:tc>
      </w:tr>
      <w:tr w:rsidR="00380BE7" w:rsidRPr="00256982" w14:paraId="3A777F51" w14:textId="77777777" w:rsidTr="00D319CD">
        <w:tc>
          <w:tcPr>
            <w:tcW w:w="2977" w:type="dxa"/>
            <w:tcBorders>
              <w:top w:val="single" w:sz="4" w:space="0" w:color="365F91"/>
              <w:bottom w:val="single" w:sz="4" w:space="0" w:color="365F91"/>
            </w:tcBorders>
            <w:noWrap/>
            <w:hideMark/>
          </w:tcPr>
          <w:p w14:paraId="7C7C95DB" w14:textId="77777777" w:rsidR="00380BE7" w:rsidRPr="00256982" w:rsidRDefault="00380BE7" w:rsidP="009574E7">
            <w:pPr>
              <w:pStyle w:val="TableTextBold"/>
              <w:spacing w:before="40" w:after="40"/>
              <w:rPr>
                <w:noProof w:val="0"/>
              </w:rPr>
            </w:pPr>
            <w:r w:rsidRPr="00256982">
              <w:rPr>
                <w:noProof w:val="0"/>
              </w:rPr>
              <w:t>Emission factors</w:t>
            </w:r>
          </w:p>
        </w:tc>
        <w:tc>
          <w:tcPr>
            <w:tcW w:w="1701" w:type="dxa"/>
            <w:tcBorders>
              <w:top w:val="single" w:sz="4" w:space="0" w:color="365F91"/>
              <w:bottom w:val="single" w:sz="4" w:space="0" w:color="365F91"/>
            </w:tcBorders>
            <w:noWrap/>
            <w:hideMark/>
          </w:tcPr>
          <w:p w14:paraId="528DE86C" w14:textId="77777777" w:rsidR="00380BE7" w:rsidRPr="00256982" w:rsidRDefault="00380BE7" w:rsidP="009574E7">
            <w:pPr>
              <w:pStyle w:val="TableTextBold"/>
              <w:tabs>
                <w:tab w:val="clear" w:pos="567"/>
                <w:tab w:val="decimal" w:pos="581"/>
                <w:tab w:val="decimal" w:pos="723"/>
              </w:tabs>
              <w:spacing w:before="40" w:after="40"/>
              <w:jc w:val="center"/>
              <w:rPr>
                <w:noProof w:val="0"/>
              </w:rPr>
            </w:pPr>
          </w:p>
        </w:tc>
        <w:tc>
          <w:tcPr>
            <w:tcW w:w="1701" w:type="dxa"/>
            <w:tcBorders>
              <w:top w:val="single" w:sz="4" w:space="0" w:color="365F91"/>
              <w:bottom w:val="single" w:sz="4" w:space="0" w:color="365F91"/>
            </w:tcBorders>
            <w:noWrap/>
            <w:hideMark/>
          </w:tcPr>
          <w:p w14:paraId="291A466F" w14:textId="77777777" w:rsidR="00380BE7" w:rsidRPr="00256982" w:rsidRDefault="00380BE7" w:rsidP="009574E7">
            <w:pPr>
              <w:pStyle w:val="TableTextBold"/>
              <w:tabs>
                <w:tab w:val="clear" w:pos="567"/>
                <w:tab w:val="decimal" w:pos="581"/>
                <w:tab w:val="decimal" w:pos="723"/>
              </w:tabs>
              <w:spacing w:before="40" w:after="40"/>
              <w:jc w:val="center"/>
              <w:rPr>
                <w:noProof w:val="0"/>
              </w:rPr>
            </w:pPr>
          </w:p>
        </w:tc>
        <w:tc>
          <w:tcPr>
            <w:tcW w:w="2126" w:type="dxa"/>
            <w:tcBorders>
              <w:top w:val="single" w:sz="4" w:space="0" w:color="365F91"/>
              <w:bottom w:val="single" w:sz="4" w:space="0" w:color="365F91"/>
            </w:tcBorders>
            <w:noWrap/>
            <w:hideMark/>
          </w:tcPr>
          <w:p w14:paraId="700CE9F0" w14:textId="77777777" w:rsidR="00380BE7" w:rsidRPr="00256982" w:rsidRDefault="00380BE7" w:rsidP="009574E7">
            <w:pPr>
              <w:pStyle w:val="TableTextBold"/>
              <w:tabs>
                <w:tab w:val="clear" w:pos="567"/>
                <w:tab w:val="decimal" w:pos="581"/>
                <w:tab w:val="decimal" w:pos="723"/>
              </w:tabs>
              <w:spacing w:before="40" w:after="40"/>
              <w:jc w:val="center"/>
              <w:rPr>
                <w:noProof w:val="0"/>
              </w:rPr>
            </w:pPr>
          </w:p>
        </w:tc>
      </w:tr>
      <w:tr w:rsidR="00380BE7" w:rsidRPr="00256982" w14:paraId="508C9D41" w14:textId="77777777" w:rsidTr="00D319CD">
        <w:tc>
          <w:tcPr>
            <w:tcW w:w="2977" w:type="dxa"/>
            <w:tcBorders>
              <w:top w:val="single" w:sz="4" w:space="0" w:color="365F91"/>
              <w:bottom w:val="single" w:sz="4" w:space="0" w:color="365F91"/>
            </w:tcBorders>
            <w:noWrap/>
            <w:hideMark/>
          </w:tcPr>
          <w:p w14:paraId="155C2C42" w14:textId="77777777" w:rsidR="00380BE7" w:rsidRPr="00256982" w:rsidRDefault="00380BE7" w:rsidP="009574E7">
            <w:pPr>
              <w:pStyle w:val="TableText"/>
              <w:spacing w:before="40" w:after="40"/>
            </w:pPr>
            <w:r w:rsidRPr="00256982">
              <w:t>Uncertainty in biomass carbon stocks</w:t>
            </w:r>
          </w:p>
        </w:tc>
        <w:tc>
          <w:tcPr>
            <w:tcW w:w="1701" w:type="dxa"/>
            <w:tcBorders>
              <w:top w:val="single" w:sz="4" w:space="0" w:color="365F91"/>
              <w:bottom w:val="single" w:sz="4" w:space="0" w:color="365F91"/>
            </w:tcBorders>
            <w:noWrap/>
            <w:hideMark/>
          </w:tcPr>
          <w:p w14:paraId="0C1A8DB0" w14:textId="77777777" w:rsidR="00380BE7" w:rsidRPr="00256982" w:rsidRDefault="00380BE7" w:rsidP="009574E7">
            <w:pPr>
              <w:pStyle w:val="TableText"/>
              <w:tabs>
                <w:tab w:val="decimal" w:pos="581"/>
                <w:tab w:val="decimal" w:pos="723"/>
              </w:tabs>
              <w:spacing w:before="40" w:after="40"/>
              <w:jc w:val="center"/>
            </w:pPr>
            <w:r w:rsidRPr="00256982">
              <w:t>±75.0</w:t>
            </w:r>
          </w:p>
        </w:tc>
        <w:tc>
          <w:tcPr>
            <w:tcW w:w="1701" w:type="dxa"/>
            <w:tcBorders>
              <w:top w:val="single" w:sz="4" w:space="0" w:color="365F91"/>
              <w:bottom w:val="single" w:sz="4" w:space="0" w:color="365F91"/>
            </w:tcBorders>
            <w:noWrap/>
            <w:hideMark/>
          </w:tcPr>
          <w:p w14:paraId="71BA44C5" w14:textId="77777777" w:rsidR="00380BE7" w:rsidRPr="00256982" w:rsidRDefault="00380BE7" w:rsidP="009574E7">
            <w:pPr>
              <w:pStyle w:val="TableText"/>
              <w:tabs>
                <w:tab w:val="decimal" w:pos="581"/>
                <w:tab w:val="decimal" w:pos="723"/>
              </w:tabs>
              <w:spacing w:before="40" w:after="40"/>
              <w:jc w:val="center"/>
            </w:pPr>
            <w:r w:rsidRPr="00256982">
              <w:t>±75.0</w:t>
            </w:r>
          </w:p>
        </w:tc>
        <w:tc>
          <w:tcPr>
            <w:tcW w:w="2126" w:type="dxa"/>
            <w:tcBorders>
              <w:top w:val="single" w:sz="4" w:space="0" w:color="365F91"/>
              <w:bottom w:val="single" w:sz="4" w:space="0" w:color="365F91"/>
            </w:tcBorders>
            <w:noWrap/>
            <w:hideMark/>
          </w:tcPr>
          <w:p w14:paraId="11ED1D60" w14:textId="77777777" w:rsidR="00380BE7" w:rsidRPr="00256982" w:rsidRDefault="00380BE7" w:rsidP="009574E7">
            <w:pPr>
              <w:pStyle w:val="TableText"/>
              <w:tabs>
                <w:tab w:val="decimal" w:pos="581"/>
                <w:tab w:val="decimal" w:pos="723"/>
              </w:tabs>
              <w:spacing w:before="40" w:after="40"/>
              <w:jc w:val="center"/>
            </w:pPr>
            <w:r w:rsidRPr="00256982">
              <w:t>±75.0</w:t>
            </w:r>
          </w:p>
        </w:tc>
      </w:tr>
      <w:tr w:rsidR="00380BE7" w:rsidRPr="00256982" w14:paraId="728E4204" w14:textId="77777777" w:rsidTr="00D319CD">
        <w:tc>
          <w:tcPr>
            <w:tcW w:w="2977" w:type="dxa"/>
            <w:tcBorders>
              <w:top w:val="single" w:sz="4" w:space="0" w:color="365F91"/>
              <w:bottom w:val="single" w:sz="4" w:space="0" w:color="365F91"/>
            </w:tcBorders>
            <w:noWrap/>
            <w:hideMark/>
          </w:tcPr>
          <w:p w14:paraId="3D7994FD" w14:textId="77777777" w:rsidR="00380BE7" w:rsidRPr="00256982" w:rsidRDefault="00380BE7" w:rsidP="009574E7">
            <w:pPr>
              <w:pStyle w:val="TableText"/>
              <w:spacing w:before="40" w:after="40"/>
            </w:pPr>
            <w:r w:rsidRPr="00256982">
              <w:t>Uncertainty in soil carbon stocks</w:t>
            </w:r>
          </w:p>
        </w:tc>
        <w:tc>
          <w:tcPr>
            <w:tcW w:w="1701" w:type="dxa"/>
            <w:tcBorders>
              <w:top w:val="single" w:sz="4" w:space="0" w:color="365F91"/>
              <w:bottom w:val="single" w:sz="4" w:space="0" w:color="365F91"/>
            </w:tcBorders>
            <w:noWrap/>
            <w:hideMark/>
          </w:tcPr>
          <w:p w14:paraId="7C558799" w14:textId="77777777" w:rsidR="00380BE7" w:rsidRPr="00256982" w:rsidRDefault="00380BE7" w:rsidP="009574E7">
            <w:pPr>
              <w:pStyle w:val="TableText"/>
              <w:tabs>
                <w:tab w:val="decimal" w:pos="581"/>
                <w:tab w:val="decimal" w:pos="723"/>
              </w:tabs>
              <w:spacing w:before="40" w:after="40"/>
              <w:jc w:val="center"/>
            </w:pPr>
            <w:r w:rsidRPr="00256982">
              <w:t>±5.8</w:t>
            </w:r>
          </w:p>
        </w:tc>
        <w:tc>
          <w:tcPr>
            <w:tcW w:w="1701" w:type="dxa"/>
            <w:tcBorders>
              <w:top w:val="single" w:sz="4" w:space="0" w:color="365F91"/>
              <w:bottom w:val="single" w:sz="4" w:space="0" w:color="365F91"/>
            </w:tcBorders>
            <w:noWrap/>
            <w:hideMark/>
          </w:tcPr>
          <w:p w14:paraId="783FE2AD" w14:textId="77777777" w:rsidR="00380BE7" w:rsidRPr="00256982" w:rsidRDefault="00380BE7" w:rsidP="009574E7">
            <w:pPr>
              <w:pStyle w:val="TableText"/>
              <w:tabs>
                <w:tab w:val="decimal" w:pos="581"/>
                <w:tab w:val="decimal" w:pos="723"/>
              </w:tabs>
              <w:spacing w:before="40" w:after="40"/>
              <w:jc w:val="center"/>
            </w:pPr>
            <w:r w:rsidRPr="00256982">
              <w:t>±7.3</w:t>
            </w:r>
          </w:p>
        </w:tc>
        <w:tc>
          <w:tcPr>
            <w:tcW w:w="2126" w:type="dxa"/>
            <w:tcBorders>
              <w:top w:val="single" w:sz="4" w:space="0" w:color="365F91"/>
              <w:bottom w:val="single" w:sz="4" w:space="0" w:color="365F91"/>
            </w:tcBorders>
            <w:noWrap/>
            <w:hideMark/>
          </w:tcPr>
          <w:p w14:paraId="45E80ED8" w14:textId="77777777" w:rsidR="00380BE7" w:rsidRPr="00256982" w:rsidRDefault="00380BE7" w:rsidP="009574E7">
            <w:pPr>
              <w:pStyle w:val="TableText"/>
              <w:tabs>
                <w:tab w:val="decimal" w:pos="581"/>
                <w:tab w:val="decimal" w:pos="723"/>
              </w:tabs>
              <w:spacing w:before="40" w:after="40"/>
              <w:jc w:val="center"/>
            </w:pPr>
            <w:r w:rsidRPr="00256982">
              <w:t>±7.3</w:t>
            </w:r>
          </w:p>
        </w:tc>
      </w:tr>
      <w:tr w:rsidR="00380BE7" w:rsidRPr="00256982" w14:paraId="5A643BE4" w14:textId="77777777" w:rsidTr="00D319CD">
        <w:tc>
          <w:tcPr>
            <w:tcW w:w="2977" w:type="dxa"/>
            <w:tcBorders>
              <w:top w:val="single" w:sz="4" w:space="0" w:color="365F91"/>
              <w:bottom w:val="single" w:sz="4" w:space="0" w:color="365F91"/>
            </w:tcBorders>
            <w:noWrap/>
            <w:hideMark/>
          </w:tcPr>
          <w:p w14:paraId="56879394" w14:textId="77777777" w:rsidR="00380BE7" w:rsidRPr="00256982" w:rsidRDefault="00380BE7" w:rsidP="009574E7">
            <w:pPr>
              <w:pStyle w:val="Tableboldblue"/>
              <w:spacing w:before="40" w:after="40"/>
            </w:pPr>
            <w:r w:rsidRPr="00256982">
              <w:t>Uncertainty introduced into net emissions for LULUCF</w:t>
            </w:r>
          </w:p>
        </w:tc>
        <w:tc>
          <w:tcPr>
            <w:tcW w:w="1701" w:type="dxa"/>
            <w:tcBorders>
              <w:top w:val="single" w:sz="4" w:space="0" w:color="365F91"/>
              <w:bottom w:val="single" w:sz="4" w:space="0" w:color="365F91"/>
            </w:tcBorders>
            <w:noWrap/>
            <w:hideMark/>
          </w:tcPr>
          <w:p w14:paraId="2A3585FC" w14:textId="77777777" w:rsidR="00380BE7" w:rsidRPr="00256982" w:rsidRDefault="00380BE7" w:rsidP="009574E7">
            <w:pPr>
              <w:pStyle w:val="Tableboldblue"/>
              <w:tabs>
                <w:tab w:val="decimal" w:pos="581"/>
                <w:tab w:val="decimal" w:pos="723"/>
              </w:tabs>
              <w:spacing w:before="40" w:after="40"/>
              <w:jc w:val="center"/>
            </w:pPr>
            <w:r w:rsidRPr="00256982">
              <w:t>±4.4</w:t>
            </w:r>
          </w:p>
        </w:tc>
        <w:tc>
          <w:tcPr>
            <w:tcW w:w="1701" w:type="dxa"/>
            <w:tcBorders>
              <w:top w:val="single" w:sz="4" w:space="0" w:color="365F91"/>
              <w:bottom w:val="single" w:sz="4" w:space="0" w:color="365F91"/>
            </w:tcBorders>
            <w:noWrap/>
            <w:hideMark/>
          </w:tcPr>
          <w:p w14:paraId="6261D9A1" w14:textId="77777777" w:rsidR="00380BE7" w:rsidRPr="00256982" w:rsidRDefault="00380BE7" w:rsidP="009574E7">
            <w:pPr>
              <w:pStyle w:val="Tableboldblue"/>
              <w:tabs>
                <w:tab w:val="decimal" w:pos="581"/>
                <w:tab w:val="decimal" w:pos="723"/>
              </w:tabs>
              <w:spacing w:before="40" w:after="40"/>
              <w:jc w:val="center"/>
            </w:pPr>
            <w:r w:rsidRPr="00256982">
              <w:t>±0.5</w:t>
            </w:r>
          </w:p>
        </w:tc>
        <w:tc>
          <w:tcPr>
            <w:tcW w:w="2126" w:type="dxa"/>
            <w:tcBorders>
              <w:top w:val="single" w:sz="4" w:space="0" w:color="365F91"/>
              <w:bottom w:val="single" w:sz="4" w:space="0" w:color="365F91"/>
            </w:tcBorders>
            <w:noWrap/>
            <w:hideMark/>
          </w:tcPr>
          <w:p w14:paraId="5EE6E175" w14:textId="77777777" w:rsidR="00380BE7" w:rsidRPr="00256982" w:rsidRDefault="00380BE7" w:rsidP="009574E7">
            <w:pPr>
              <w:pStyle w:val="Tableboldblue"/>
              <w:tabs>
                <w:tab w:val="decimal" w:pos="581"/>
                <w:tab w:val="decimal" w:pos="723"/>
              </w:tabs>
              <w:spacing w:before="40" w:after="40"/>
              <w:jc w:val="center"/>
            </w:pPr>
            <w:r w:rsidRPr="00256982">
              <w:t>±0.5</w:t>
            </w:r>
          </w:p>
        </w:tc>
      </w:tr>
    </w:tbl>
    <w:p w14:paraId="525A735E" w14:textId="77777777" w:rsidR="00380BE7" w:rsidRPr="00256982" w:rsidRDefault="00380BE7" w:rsidP="00380BE7">
      <w:pPr>
        <w:pStyle w:val="Noteundertable"/>
      </w:pPr>
      <w:r w:rsidRPr="00256982">
        <w:rPr>
          <w:b/>
        </w:rPr>
        <w:t>Note:</w:t>
      </w:r>
      <w:r w:rsidRPr="00256982">
        <w:tab/>
        <w:t>Uncertainty in biomass carbon stocks for grassland with woody biomass is estimated using the IPCC default uncertainty value because an independent estimate of uncertainty for this category is not available.</w:t>
      </w:r>
    </w:p>
    <w:p w14:paraId="7308B94F" w14:textId="77777777" w:rsidR="00380BE7" w:rsidRPr="00256982" w:rsidRDefault="00380BE7" w:rsidP="00380BE7">
      <w:pPr>
        <w:pStyle w:val="Heading3"/>
        <w:spacing w:before="240"/>
      </w:pPr>
      <w:r w:rsidRPr="00256982">
        <w:t>6.6.4</w:t>
      </w:r>
      <w:r w:rsidRPr="00256982">
        <w:tab/>
        <w:t>Category-specific QA/QC and verification</w:t>
      </w:r>
      <w:bookmarkEnd w:id="1911"/>
      <w:bookmarkEnd w:id="1912"/>
      <w:bookmarkEnd w:id="1913"/>
      <w:bookmarkEnd w:id="1914"/>
      <w:bookmarkEnd w:id="1915"/>
    </w:p>
    <w:p w14:paraId="30B9F593" w14:textId="77777777" w:rsidR="00380BE7" w:rsidRPr="00256982" w:rsidRDefault="00380BE7" w:rsidP="00380BE7">
      <w:pPr>
        <w:pStyle w:val="BodyText"/>
      </w:pPr>
      <w:bookmarkStart w:id="1916" w:name="_Toc139253974"/>
      <w:r w:rsidRPr="00256982">
        <w:t xml:space="preserve">Carbon dioxide emissions from the </w:t>
      </w:r>
      <w:r w:rsidRPr="00256982">
        <w:rPr>
          <w:i/>
        </w:rPr>
        <w:t>Grassland remaining grassland</w:t>
      </w:r>
      <w:r w:rsidRPr="00256982">
        <w:t xml:space="preserve"> and </w:t>
      </w:r>
      <w:r w:rsidRPr="00256982">
        <w:rPr>
          <w:i/>
        </w:rPr>
        <w:t>Land converted to grassland</w:t>
      </w:r>
      <w:r w:rsidRPr="00256982">
        <w:t xml:space="preserve"> categories are key categories (level and trend). In the preparation of this inventory, the data for these emissions underwent Tier 1 quality checks.</w:t>
      </w:r>
    </w:p>
    <w:p w14:paraId="690ED534" w14:textId="77777777" w:rsidR="00380BE7" w:rsidRPr="00256982" w:rsidRDefault="00380BE7" w:rsidP="00380BE7">
      <w:pPr>
        <w:pStyle w:val="Heading3"/>
        <w:spacing w:before="240"/>
      </w:pPr>
      <w:bookmarkStart w:id="1917" w:name="_Toc255466412"/>
      <w:bookmarkStart w:id="1918" w:name="_Toc261513219"/>
      <w:bookmarkStart w:id="1919" w:name="_Toc261513832"/>
      <w:bookmarkStart w:id="1920" w:name="_Toc280630302"/>
      <w:r w:rsidRPr="00256982">
        <w:t>6.6.5</w:t>
      </w:r>
      <w:r w:rsidRPr="00256982">
        <w:tab/>
        <w:t>Category-specific recalculations</w:t>
      </w:r>
      <w:bookmarkEnd w:id="1916"/>
      <w:bookmarkEnd w:id="1917"/>
      <w:bookmarkEnd w:id="1918"/>
      <w:bookmarkEnd w:id="1919"/>
      <w:bookmarkEnd w:id="1920"/>
    </w:p>
    <w:p w14:paraId="79160CB2" w14:textId="77777777" w:rsidR="00380BE7" w:rsidRPr="00256982" w:rsidRDefault="00380BE7" w:rsidP="00380BE7">
      <w:pPr>
        <w:pStyle w:val="BodyText"/>
      </w:pPr>
      <w:bookmarkStart w:id="1921" w:name="_Toc139253975"/>
      <w:r w:rsidRPr="00256982">
        <w:t>The impact of recalculations on net CO</w:t>
      </w:r>
      <w:r w:rsidRPr="00256982">
        <w:rPr>
          <w:vertAlign w:val="subscript"/>
        </w:rPr>
        <w:t>2</w:t>
      </w:r>
      <w:r w:rsidRPr="00256982">
        <w:t xml:space="preserve">-e emission estimates for the </w:t>
      </w:r>
      <w:r w:rsidRPr="00256982">
        <w:rPr>
          <w:i/>
        </w:rPr>
        <w:t>Grassland</w:t>
      </w:r>
      <w:r w:rsidRPr="00256982">
        <w:t xml:space="preserve"> category is shown in table 6.6.6. </w:t>
      </w:r>
    </w:p>
    <w:p w14:paraId="5DF1FC94" w14:textId="77777777" w:rsidR="00380BE7" w:rsidRPr="00256982" w:rsidRDefault="00380BE7" w:rsidP="00380BE7">
      <w:pPr>
        <w:pStyle w:val="Table"/>
      </w:pPr>
      <w:bookmarkStart w:id="1922" w:name="_Toc310423428"/>
      <w:bookmarkStart w:id="1923" w:name="_Toc318362721"/>
      <w:bookmarkStart w:id="1924" w:name="_Toc342470783"/>
      <w:bookmarkStart w:id="1925" w:name="_Toc352505023"/>
      <w:bookmarkStart w:id="1926" w:name="_Toc378853312"/>
      <w:bookmarkStart w:id="1927" w:name="_Toc391024110"/>
      <w:bookmarkStart w:id="1928" w:name="_Toc410028853"/>
      <w:bookmarkStart w:id="1929" w:name="_Toc414531481"/>
      <w:bookmarkStart w:id="1930" w:name="_Toc443645394"/>
      <w:bookmarkStart w:id="1931" w:name="_Toc474914613"/>
      <w:bookmarkStart w:id="1932" w:name="_Toc481751577"/>
      <w:bookmarkStart w:id="1933" w:name="_Toc522010634"/>
      <w:bookmarkStart w:id="1934" w:name="_Toc5269539"/>
      <w:r w:rsidRPr="00256982">
        <w:t>Table 6.6.6</w:t>
      </w:r>
      <w:r w:rsidRPr="00256982">
        <w:tab/>
        <w:t>Recalculations of New Zealand’s net emissions from the Grassland category in 1990 and</w:t>
      </w:r>
      <w:bookmarkEnd w:id="1922"/>
      <w:bookmarkEnd w:id="1923"/>
      <w:bookmarkEnd w:id="1924"/>
      <w:bookmarkEnd w:id="1925"/>
      <w:bookmarkEnd w:id="1926"/>
      <w:bookmarkEnd w:id="1927"/>
      <w:r w:rsidRPr="00256982">
        <w:t> </w:t>
      </w:r>
      <w:bookmarkEnd w:id="1928"/>
      <w:bookmarkEnd w:id="1929"/>
      <w:bookmarkEnd w:id="1930"/>
      <w:r w:rsidRPr="00256982">
        <w:t>2016</w:t>
      </w:r>
      <w:bookmarkEnd w:id="1931"/>
      <w:bookmarkEnd w:id="1932"/>
      <w:bookmarkEnd w:id="1933"/>
      <w:bookmarkEnd w:id="1934"/>
    </w:p>
    <w:tbl>
      <w:tblPr>
        <w:tblW w:w="8505" w:type="dxa"/>
        <w:tblInd w:w="108" w:type="dxa"/>
        <w:tblLayout w:type="fixed"/>
        <w:tblLook w:val="04A0" w:firstRow="1" w:lastRow="0" w:firstColumn="1" w:lastColumn="0" w:noHBand="0" w:noVBand="1"/>
      </w:tblPr>
      <w:tblGrid>
        <w:gridCol w:w="1203"/>
        <w:gridCol w:w="1825"/>
        <w:gridCol w:w="1825"/>
        <w:gridCol w:w="1825"/>
        <w:gridCol w:w="1827"/>
      </w:tblGrid>
      <w:tr w:rsidR="00380BE7" w:rsidRPr="00256982" w14:paraId="538135A0" w14:textId="77777777" w:rsidTr="009574E7">
        <w:tc>
          <w:tcPr>
            <w:tcW w:w="1203" w:type="dxa"/>
            <w:vMerge w:val="restart"/>
            <w:tcBorders>
              <w:top w:val="single" w:sz="4" w:space="0" w:color="365F91"/>
            </w:tcBorders>
            <w:shd w:val="clear" w:color="auto" w:fill="365F91"/>
            <w:vAlign w:val="bottom"/>
          </w:tcPr>
          <w:p w14:paraId="2773939B" w14:textId="77777777" w:rsidR="00380BE7" w:rsidRPr="00256982" w:rsidRDefault="00380BE7" w:rsidP="00ED0B35">
            <w:pPr>
              <w:pStyle w:val="TableTextBold"/>
              <w:keepNext/>
              <w:spacing w:before="50"/>
              <w:rPr>
                <w:noProof w:val="0"/>
                <w:color w:val="FFFFFF"/>
              </w:rPr>
            </w:pPr>
            <w:r w:rsidRPr="00256982">
              <w:rPr>
                <w:noProof w:val="0"/>
                <w:color w:val="FFFFFF"/>
              </w:rPr>
              <w:t>Year</w:t>
            </w:r>
          </w:p>
        </w:tc>
        <w:tc>
          <w:tcPr>
            <w:tcW w:w="3650" w:type="dxa"/>
            <w:gridSpan w:val="2"/>
            <w:tcBorders>
              <w:top w:val="single" w:sz="4" w:space="0" w:color="365F91"/>
            </w:tcBorders>
            <w:shd w:val="clear" w:color="auto" w:fill="365F91"/>
            <w:noWrap/>
            <w:vAlign w:val="bottom"/>
          </w:tcPr>
          <w:p w14:paraId="17F272FC" w14:textId="77777777" w:rsidR="00380BE7" w:rsidRPr="00256982" w:rsidRDefault="00380BE7" w:rsidP="00ED0B35">
            <w:pPr>
              <w:pStyle w:val="TableTextBold"/>
              <w:keepNext/>
              <w:spacing w:before="50"/>
              <w:jc w:val="center"/>
              <w:rPr>
                <w:noProof w:val="0"/>
                <w:color w:val="FFFFFF"/>
              </w:rPr>
            </w:pPr>
            <w:r w:rsidRPr="00256982">
              <w:rPr>
                <w:noProof w:val="0"/>
                <w:color w:val="FFFFFF"/>
              </w:rPr>
              <w:t>Net emissions (kt CO</w:t>
            </w:r>
            <w:r w:rsidRPr="00256982">
              <w:rPr>
                <w:noProof w:val="0"/>
                <w:color w:val="FFFFFF"/>
                <w:vertAlign w:val="subscript"/>
              </w:rPr>
              <w:t>2</w:t>
            </w:r>
            <w:r w:rsidRPr="00256982">
              <w:rPr>
                <w:noProof w:val="0"/>
                <w:color w:val="FFFFFF"/>
              </w:rPr>
              <w:t>-e)</w:t>
            </w:r>
          </w:p>
        </w:tc>
        <w:tc>
          <w:tcPr>
            <w:tcW w:w="3652" w:type="dxa"/>
            <w:gridSpan w:val="2"/>
            <w:tcBorders>
              <w:top w:val="single" w:sz="4" w:space="0" w:color="365F91"/>
            </w:tcBorders>
            <w:shd w:val="clear" w:color="auto" w:fill="365F91"/>
            <w:vAlign w:val="bottom"/>
          </w:tcPr>
          <w:p w14:paraId="4B31E093" w14:textId="77777777" w:rsidR="00380BE7" w:rsidRPr="00256982" w:rsidRDefault="00380BE7" w:rsidP="00ED0B35">
            <w:pPr>
              <w:pStyle w:val="TableTextBold"/>
              <w:keepNext/>
              <w:spacing w:before="50"/>
              <w:jc w:val="center"/>
              <w:rPr>
                <w:noProof w:val="0"/>
                <w:color w:val="FFFFFF"/>
              </w:rPr>
            </w:pPr>
            <w:r w:rsidRPr="00256982">
              <w:rPr>
                <w:noProof w:val="0"/>
                <w:color w:val="FFFFFF"/>
              </w:rPr>
              <w:t>Change from the 2018 submission</w:t>
            </w:r>
          </w:p>
        </w:tc>
      </w:tr>
      <w:tr w:rsidR="00380BE7" w:rsidRPr="00256982" w14:paraId="0E60D941" w14:textId="77777777" w:rsidTr="009574E7">
        <w:tc>
          <w:tcPr>
            <w:tcW w:w="1203" w:type="dxa"/>
            <w:vMerge/>
            <w:tcBorders>
              <w:bottom w:val="single" w:sz="4" w:space="0" w:color="365F91"/>
            </w:tcBorders>
            <w:shd w:val="clear" w:color="auto" w:fill="365F91"/>
            <w:vAlign w:val="bottom"/>
          </w:tcPr>
          <w:p w14:paraId="1EF32D3E" w14:textId="77777777" w:rsidR="00380BE7" w:rsidRPr="00256982" w:rsidRDefault="00380BE7" w:rsidP="00ED0B35">
            <w:pPr>
              <w:pStyle w:val="TableTextBold"/>
              <w:keepNext/>
              <w:spacing w:before="50"/>
              <w:jc w:val="center"/>
              <w:rPr>
                <w:noProof w:val="0"/>
                <w:color w:val="FFFFFF"/>
              </w:rPr>
            </w:pPr>
          </w:p>
        </w:tc>
        <w:tc>
          <w:tcPr>
            <w:tcW w:w="1825" w:type="dxa"/>
            <w:tcBorders>
              <w:bottom w:val="single" w:sz="4" w:space="0" w:color="365F91"/>
            </w:tcBorders>
            <w:shd w:val="clear" w:color="auto" w:fill="365F91"/>
            <w:vAlign w:val="bottom"/>
          </w:tcPr>
          <w:p w14:paraId="721B6F7F" w14:textId="77777777" w:rsidR="00380BE7" w:rsidRPr="00256982" w:rsidRDefault="00380BE7" w:rsidP="00ED0B35">
            <w:pPr>
              <w:pStyle w:val="TableTextBold"/>
              <w:keepNext/>
              <w:spacing w:before="50"/>
              <w:jc w:val="center"/>
              <w:rPr>
                <w:noProof w:val="0"/>
                <w:color w:val="FFFFFF"/>
              </w:rPr>
            </w:pPr>
            <w:r w:rsidRPr="00256982">
              <w:rPr>
                <w:noProof w:val="0"/>
                <w:color w:val="FFFFFF"/>
              </w:rPr>
              <w:t>2018 submission</w:t>
            </w:r>
          </w:p>
        </w:tc>
        <w:tc>
          <w:tcPr>
            <w:tcW w:w="1825" w:type="dxa"/>
            <w:tcBorders>
              <w:bottom w:val="single" w:sz="4" w:space="0" w:color="365F91"/>
            </w:tcBorders>
            <w:shd w:val="clear" w:color="auto" w:fill="365F91"/>
            <w:vAlign w:val="bottom"/>
          </w:tcPr>
          <w:p w14:paraId="21916262" w14:textId="77777777" w:rsidR="00380BE7" w:rsidRPr="00256982" w:rsidRDefault="00380BE7" w:rsidP="00ED0B35">
            <w:pPr>
              <w:pStyle w:val="TableTextBold"/>
              <w:keepNext/>
              <w:spacing w:before="50"/>
              <w:jc w:val="center"/>
              <w:rPr>
                <w:noProof w:val="0"/>
                <w:color w:val="FFFFFF"/>
              </w:rPr>
            </w:pPr>
            <w:r w:rsidRPr="00256982">
              <w:rPr>
                <w:noProof w:val="0"/>
                <w:color w:val="FFFFFF"/>
              </w:rPr>
              <w:t>2019 submission</w:t>
            </w:r>
          </w:p>
        </w:tc>
        <w:tc>
          <w:tcPr>
            <w:tcW w:w="1825" w:type="dxa"/>
            <w:tcBorders>
              <w:bottom w:val="single" w:sz="4" w:space="0" w:color="365F91"/>
            </w:tcBorders>
            <w:shd w:val="clear" w:color="auto" w:fill="365F91"/>
            <w:vAlign w:val="bottom"/>
          </w:tcPr>
          <w:p w14:paraId="61781E32" w14:textId="77777777" w:rsidR="00380BE7" w:rsidRPr="00256982" w:rsidRDefault="00380BE7" w:rsidP="00ED0B35">
            <w:pPr>
              <w:pStyle w:val="TableTextBold"/>
              <w:keepNext/>
              <w:spacing w:before="50"/>
              <w:jc w:val="center"/>
              <w:rPr>
                <w:noProof w:val="0"/>
                <w:color w:val="FFFFFF"/>
              </w:rPr>
            </w:pPr>
            <w:r w:rsidRPr="00256982">
              <w:rPr>
                <w:noProof w:val="0"/>
                <w:color w:val="FFFFFF"/>
              </w:rPr>
              <w:t>(kt CO</w:t>
            </w:r>
            <w:r w:rsidRPr="00256982">
              <w:rPr>
                <w:noProof w:val="0"/>
                <w:color w:val="FFFFFF"/>
                <w:vertAlign w:val="subscript"/>
              </w:rPr>
              <w:t>2</w:t>
            </w:r>
            <w:r w:rsidRPr="00256982">
              <w:rPr>
                <w:noProof w:val="0"/>
                <w:color w:val="FFFFFF"/>
              </w:rPr>
              <w:t>-e)</w:t>
            </w:r>
          </w:p>
        </w:tc>
        <w:tc>
          <w:tcPr>
            <w:tcW w:w="1827" w:type="dxa"/>
            <w:tcBorders>
              <w:bottom w:val="single" w:sz="4" w:space="0" w:color="365F91"/>
            </w:tcBorders>
            <w:shd w:val="clear" w:color="auto" w:fill="365F91"/>
            <w:vAlign w:val="bottom"/>
          </w:tcPr>
          <w:p w14:paraId="582B40C6" w14:textId="77777777" w:rsidR="00380BE7" w:rsidRPr="00256982" w:rsidRDefault="00380BE7" w:rsidP="00ED0B35">
            <w:pPr>
              <w:pStyle w:val="TableTextBold"/>
              <w:keepNext/>
              <w:spacing w:before="50"/>
              <w:jc w:val="center"/>
              <w:rPr>
                <w:noProof w:val="0"/>
                <w:color w:val="FFFFFF"/>
              </w:rPr>
            </w:pPr>
            <w:r w:rsidRPr="00256982">
              <w:rPr>
                <w:noProof w:val="0"/>
                <w:color w:val="FFFFFF"/>
              </w:rPr>
              <w:t>(%)</w:t>
            </w:r>
          </w:p>
        </w:tc>
      </w:tr>
      <w:tr w:rsidR="00380BE7" w:rsidRPr="00256982" w14:paraId="706290A4" w14:textId="77777777" w:rsidTr="009574E7">
        <w:tc>
          <w:tcPr>
            <w:tcW w:w="1203" w:type="dxa"/>
            <w:tcBorders>
              <w:top w:val="single" w:sz="4" w:space="0" w:color="365F91"/>
              <w:bottom w:val="single" w:sz="4" w:space="0" w:color="365F91"/>
            </w:tcBorders>
          </w:tcPr>
          <w:p w14:paraId="347B469D" w14:textId="77777777" w:rsidR="00380BE7" w:rsidRPr="00256982" w:rsidRDefault="00380BE7" w:rsidP="00ED0B35">
            <w:pPr>
              <w:pStyle w:val="TableText"/>
              <w:spacing w:before="50"/>
            </w:pPr>
            <w:r w:rsidRPr="00256982">
              <w:t xml:space="preserve">1990 </w:t>
            </w:r>
          </w:p>
        </w:tc>
        <w:tc>
          <w:tcPr>
            <w:tcW w:w="1825" w:type="dxa"/>
            <w:tcBorders>
              <w:top w:val="single" w:sz="4" w:space="0" w:color="365F91"/>
              <w:bottom w:val="single" w:sz="4" w:space="0" w:color="365F91"/>
            </w:tcBorders>
            <w:vAlign w:val="center"/>
          </w:tcPr>
          <w:p w14:paraId="7850D11E" w14:textId="77777777" w:rsidR="00380BE7" w:rsidRPr="00256982" w:rsidRDefault="00380BE7" w:rsidP="00ED0B35">
            <w:pPr>
              <w:pStyle w:val="TableText"/>
              <w:spacing w:before="50"/>
              <w:jc w:val="center"/>
              <w:rPr>
                <w:color w:val="000000"/>
              </w:rPr>
            </w:pPr>
            <w:r w:rsidRPr="00256982">
              <w:rPr>
                <w:rFonts w:cs="Arial"/>
                <w:color w:val="000000"/>
                <w:szCs w:val="16"/>
              </w:rPr>
              <w:t>896.7</w:t>
            </w:r>
          </w:p>
        </w:tc>
        <w:tc>
          <w:tcPr>
            <w:tcW w:w="1825" w:type="dxa"/>
            <w:tcBorders>
              <w:top w:val="single" w:sz="4" w:space="0" w:color="365F91"/>
              <w:bottom w:val="single" w:sz="4" w:space="0" w:color="365F91"/>
            </w:tcBorders>
            <w:vAlign w:val="center"/>
          </w:tcPr>
          <w:p w14:paraId="4F73752B" w14:textId="77777777" w:rsidR="00380BE7" w:rsidRPr="00256982" w:rsidRDefault="00380BE7" w:rsidP="00ED0B35">
            <w:pPr>
              <w:pStyle w:val="TableText"/>
              <w:spacing w:before="50"/>
              <w:jc w:val="center"/>
              <w:rPr>
                <w:color w:val="000000"/>
              </w:rPr>
            </w:pPr>
            <w:r w:rsidRPr="00256982">
              <w:rPr>
                <w:rFonts w:cs="Arial"/>
                <w:color w:val="000000"/>
                <w:szCs w:val="16"/>
              </w:rPr>
              <w:t>249.0</w:t>
            </w:r>
          </w:p>
        </w:tc>
        <w:tc>
          <w:tcPr>
            <w:tcW w:w="1825" w:type="dxa"/>
            <w:tcBorders>
              <w:top w:val="single" w:sz="4" w:space="0" w:color="365F91"/>
              <w:bottom w:val="single" w:sz="4" w:space="0" w:color="365F91"/>
            </w:tcBorders>
            <w:vAlign w:val="center"/>
          </w:tcPr>
          <w:p w14:paraId="1B62C379" w14:textId="77777777" w:rsidR="00380BE7" w:rsidRPr="00256982" w:rsidRDefault="00380BE7" w:rsidP="00ED0B35">
            <w:pPr>
              <w:pStyle w:val="TableText"/>
              <w:spacing w:before="50"/>
              <w:jc w:val="center"/>
              <w:rPr>
                <w:color w:val="000000"/>
              </w:rPr>
            </w:pPr>
            <w:r w:rsidRPr="00256982">
              <w:t>–</w:t>
            </w:r>
            <w:r w:rsidRPr="00256982">
              <w:rPr>
                <w:rFonts w:cs="Arial"/>
                <w:color w:val="000000"/>
                <w:szCs w:val="16"/>
              </w:rPr>
              <w:t xml:space="preserve">647.7 </w:t>
            </w:r>
          </w:p>
        </w:tc>
        <w:tc>
          <w:tcPr>
            <w:tcW w:w="1827" w:type="dxa"/>
            <w:tcBorders>
              <w:top w:val="single" w:sz="4" w:space="0" w:color="365F91"/>
              <w:bottom w:val="single" w:sz="4" w:space="0" w:color="365F91"/>
            </w:tcBorders>
            <w:vAlign w:val="center"/>
          </w:tcPr>
          <w:p w14:paraId="36F1AC0F" w14:textId="77777777" w:rsidR="00380BE7" w:rsidRPr="00256982" w:rsidRDefault="00380BE7" w:rsidP="00ED0B35">
            <w:pPr>
              <w:pStyle w:val="TableText"/>
              <w:spacing w:before="50"/>
              <w:jc w:val="center"/>
              <w:rPr>
                <w:color w:val="000000"/>
              </w:rPr>
            </w:pPr>
            <w:r w:rsidRPr="00256982">
              <w:t>–</w:t>
            </w:r>
            <w:r w:rsidRPr="00256982">
              <w:rPr>
                <w:rFonts w:cs="Arial"/>
                <w:color w:val="000000"/>
                <w:szCs w:val="16"/>
              </w:rPr>
              <w:t>72.2</w:t>
            </w:r>
          </w:p>
        </w:tc>
      </w:tr>
      <w:tr w:rsidR="00380BE7" w:rsidRPr="00256982" w14:paraId="53B806AD" w14:textId="77777777" w:rsidTr="009574E7">
        <w:tc>
          <w:tcPr>
            <w:tcW w:w="1203" w:type="dxa"/>
            <w:tcBorders>
              <w:top w:val="single" w:sz="4" w:space="0" w:color="365F91"/>
              <w:bottom w:val="single" w:sz="4" w:space="0" w:color="365F91"/>
            </w:tcBorders>
          </w:tcPr>
          <w:p w14:paraId="1053D193" w14:textId="77777777" w:rsidR="00380BE7" w:rsidRPr="00256982" w:rsidRDefault="00380BE7" w:rsidP="00ED0B35">
            <w:pPr>
              <w:pStyle w:val="TableText"/>
              <w:spacing w:before="50"/>
            </w:pPr>
            <w:r w:rsidRPr="00256982">
              <w:t>2016</w:t>
            </w:r>
          </w:p>
        </w:tc>
        <w:tc>
          <w:tcPr>
            <w:tcW w:w="1825" w:type="dxa"/>
            <w:tcBorders>
              <w:top w:val="single" w:sz="4" w:space="0" w:color="365F91"/>
              <w:bottom w:val="single" w:sz="4" w:space="0" w:color="365F91"/>
            </w:tcBorders>
            <w:vAlign w:val="center"/>
          </w:tcPr>
          <w:p w14:paraId="7A9BC0C0" w14:textId="77777777" w:rsidR="00380BE7" w:rsidRPr="00256982" w:rsidRDefault="00380BE7" w:rsidP="00ED0B35">
            <w:pPr>
              <w:pStyle w:val="TableText"/>
              <w:spacing w:before="50"/>
              <w:jc w:val="center"/>
              <w:rPr>
                <w:color w:val="000000"/>
              </w:rPr>
            </w:pPr>
            <w:r w:rsidRPr="00256982">
              <w:rPr>
                <w:rFonts w:cs="Arial"/>
                <w:color w:val="000000"/>
                <w:szCs w:val="16"/>
              </w:rPr>
              <w:t>4,464.3</w:t>
            </w:r>
          </w:p>
        </w:tc>
        <w:tc>
          <w:tcPr>
            <w:tcW w:w="1825" w:type="dxa"/>
            <w:tcBorders>
              <w:top w:val="single" w:sz="4" w:space="0" w:color="365F91"/>
              <w:bottom w:val="single" w:sz="4" w:space="0" w:color="365F91"/>
            </w:tcBorders>
            <w:vAlign w:val="center"/>
          </w:tcPr>
          <w:p w14:paraId="443E8979" w14:textId="77777777" w:rsidR="00380BE7" w:rsidRPr="00256982" w:rsidRDefault="00380BE7" w:rsidP="00ED0B35">
            <w:pPr>
              <w:pStyle w:val="TableText"/>
              <w:spacing w:before="50"/>
              <w:jc w:val="center"/>
              <w:rPr>
                <w:color w:val="000000"/>
              </w:rPr>
            </w:pPr>
            <w:r w:rsidRPr="00256982">
              <w:rPr>
                <w:rFonts w:cs="Arial"/>
                <w:color w:val="000000"/>
                <w:szCs w:val="16"/>
              </w:rPr>
              <w:t>4,126.1</w:t>
            </w:r>
          </w:p>
        </w:tc>
        <w:tc>
          <w:tcPr>
            <w:tcW w:w="1825" w:type="dxa"/>
            <w:tcBorders>
              <w:top w:val="single" w:sz="4" w:space="0" w:color="365F91"/>
              <w:bottom w:val="single" w:sz="4" w:space="0" w:color="365F91"/>
            </w:tcBorders>
            <w:vAlign w:val="center"/>
          </w:tcPr>
          <w:p w14:paraId="2E2CCD63" w14:textId="77777777" w:rsidR="00380BE7" w:rsidRPr="00256982" w:rsidRDefault="00380BE7" w:rsidP="00ED0B35">
            <w:pPr>
              <w:pStyle w:val="TableText"/>
              <w:spacing w:before="50"/>
              <w:jc w:val="center"/>
              <w:rPr>
                <w:color w:val="000000"/>
              </w:rPr>
            </w:pPr>
            <w:r w:rsidRPr="00256982">
              <w:t>–</w:t>
            </w:r>
            <w:r w:rsidRPr="00256982">
              <w:rPr>
                <w:rFonts w:cs="Arial"/>
                <w:color w:val="000000"/>
                <w:szCs w:val="16"/>
              </w:rPr>
              <w:t xml:space="preserve">338.1 </w:t>
            </w:r>
          </w:p>
        </w:tc>
        <w:tc>
          <w:tcPr>
            <w:tcW w:w="1827" w:type="dxa"/>
            <w:tcBorders>
              <w:top w:val="single" w:sz="4" w:space="0" w:color="365F91"/>
              <w:bottom w:val="single" w:sz="4" w:space="0" w:color="365F91"/>
            </w:tcBorders>
            <w:vAlign w:val="center"/>
          </w:tcPr>
          <w:p w14:paraId="07D00E0F" w14:textId="77777777" w:rsidR="00380BE7" w:rsidRPr="00256982" w:rsidRDefault="00380BE7" w:rsidP="00ED0B35">
            <w:pPr>
              <w:pStyle w:val="TableText"/>
              <w:spacing w:before="50"/>
              <w:jc w:val="center"/>
              <w:rPr>
                <w:color w:val="000000"/>
              </w:rPr>
            </w:pPr>
            <w:r w:rsidRPr="00256982">
              <w:t>–</w:t>
            </w:r>
            <w:r w:rsidRPr="00256982">
              <w:rPr>
                <w:rFonts w:cs="Arial"/>
                <w:color w:val="000000"/>
                <w:szCs w:val="16"/>
              </w:rPr>
              <w:t>7.6</w:t>
            </w:r>
          </w:p>
        </w:tc>
      </w:tr>
    </w:tbl>
    <w:p w14:paraId="55E501A6" w14:textId="77777777" w:rsidR="00380BE7" w:rsidRPr="00256982" w:rsidRDefault="00380BE7" w:rsidP="00D319CD">
      <w:pPr>
        <w:pStyle w:val="BodyText"/>
        <w:spacing w:before="240"/>
      </w:pPr>
      <w:bookmarkStart w:id="1935" w:name="_Toc255466413"/>
      <w:bookmarkStart w:id="1936" w:name="_Toc261513220"/>
      <w:bookmarkStart w:id="1937" w:name="_Toc261513833"/>
      <w:r w:rsidRPr="00256982">
        <w:t xml:space="preserve">Recalculations of the entire time series were carried out for this category as a result of updated activity data on the land area of the </w:t>
      </w:r>
      <w:r w:rsidRPr="00256982">
        <w:rPr>
          <w:i/>
        </w:rPr>
        <w:t>Grassland</w:t>
      </w:r>
      <w:r w:rsidRPr="00256982">
        <w:t xml:space="preserve"> categories following the creation of a new land use map, as described in section 6.2. For the 2016 land use map, a new data fusion technique was used to improve the discrimination between high producing grassland and low producing grassland (Manderson et al., 2018). This technique was also applied to the 2008 and 2012 land use maps to maintain time-series consistency. The remapping of these grassland subcategories has increased the amount of land transitioning from low producing grassland to high producing grassland between 1990 and 2016. This better reflects the agricultural intensification that has occurred in New Zealand over that period and is more closely aligned to independent agriculture sector statistics that track this intensification. </w:t>
      </w:r>
    </w:p>
    <w:p w14:paraId="4D7D1F3C" w14:textId="77777777" w:rsidR="00380BE7" w:rsidRPr="00256982" w:rsidRDefault="00380BE7" w:rsidP="00380BE7">
      <w:pPr>
        <w:pStyle w:val="Heading3"/>
      </w:pPr>
      <w:bookmarkStart w:id="1938" w:name="_Toc280630305"/>
      <w:r w:rsidRPr="00256982">
        <w:t>6.6.6</w:t>
      </w:r>
      <w:r w:rsidRPr="00256982">
        <w:tab/>
        <w:t>Category-specific planned improvements</w:t>
      </w:r>
      <w:bookmarkEnd w:id="1921"/>
      <w:bookmarkEnd w:id="1935"/>
      <w:bookmarkEnd w:id="1936"/>
      <w:bookmarkEnd w:id="1937"/>
      <w:bookmarkEnd w:id="1938"/>
    </w:p>
    <w:p w14:paraId="54242A25" w14:textId="77777777" w:rsidR="00380BE7" w:rsidRPr="00256982" w:rsidRDefault="00380BE7" w:rsidP="00380BE7">
      <w:pPr>
        <w:pStyle w:val="BodyText"/>
      </w:pPr>
      <w:bookmarkStart w:id="1939" w:name="_Toc69611751"/>
      <w:bookmarkStart w:id="1940" w:name="_Toc69612707"/>
      <w:bookmarkStart w:id="1941" w:name="_Toc69612906"/>
      <w:bookmarkStart w:id="1942" w:name="_Toc69613166"/>
      <w:bookmarkStart w:id="1943" w:name="_Toc69633330"/>
      <w:bookmarkStart w:id="1944" w:name="_Toc69717495"/>
      <w:bookmarkStart w:id="1945" w:name="_Toc69802977"/>
      <w:bookmarkStart w:id="1946" w:name="_Toc69815114"/>
      <w:bookmarkStart w:id="1947" w:name="_Toc70492407"/>
      <w:bookmarkStart w:id="1948" w:name="_Toc101310613"/>
      <w:bookmarkStart w:id="1949" w:name="_Toc101318473"/>
      <w:bookmarkStart w:id="1950" w:name="_Toc101318578"/>
      <w:bookmarkStart w:id="1951" w:name="_Toc101318762"/>
      <w:bookmarkStart w:id="1952" w:name="_Toc101334038"/>
      <w:bookmarkStart w:id="1953" w:name="_Toc134847216"/>
      <w:bookmarkStart w:id="1954" w:name="_Toc139253976"/>
      <w:bookmarkStart w:id="1955" w:name="_Toc144710424"/>
      <w:bookmarkStart w:id="1956" w:name="_Toc165890378"/>
      <w:r w:rsidRPr="00256982">
        <w:t xml:space="preserve">No improvements are planned for the </w:t>
      </w:r>
      <w:r w:rsidRPr="00256982">
        <w:rPr>
          <w:i/>
        </w:rPr>
        <w:t xml:space="preserve">Grassland </w:t>
      </w:r>
      <w:r w:rsidRPr="00256982">
        <w:t xml:space="preserve">category for the 2020 submission. </w:t>
      </w:r>
    </w:p>
    <w:p w14:paraId="0A71B61F" w14:textId="77777777" w:rsidR="00380BE7" w:rsidRPr="00256982" w:rsidRDefault="00380BE7" w:rsidP="00380BE7">
      <w:pPr>
        <w:pStyle w:val="Heading2"/>
      </w:pPr>
      <w:bookmarkStart w:id="1957" w:name="_Toc310423455"/>
      <w:bookmarkStart w:id="1958" w:name="_Toc342470721"/>
      <w:bookmarkStart w:id="1959" w:name="_Toc352504873"/>
      <w:bookmarkStart w:id="1960" w:name="_Toc391024703"/>
      <w:bookmarkStart w:id="1961" w:name="_Toc414531320"/>
      <w:bookmarkStart w:id="1962" w:name="_Toc474335462"/>
      <w:bookmarkStart w:id="1963" w:name="_Toc481751402"/>
      <w:bookmarkStart w:id="1964" w:name="_Toc522013954"/>
      <w:bookmarkStart w:id="1965" w:name="_Toc5269379"/>
      <w:bookmarkEnd w:id="1939"/>
      <w:bookmarkEnd w:id="1940"/>
      <w:bookmarkEnd w:id="1941"/>
      <w:bookmarkEnd w:id="1942"/>
      <w:bookmarkEnd w:id="1943"/>
      <w:bookmarkEnd w:id="1944"/>
      <w:bookmarkEnd w:id="1945"/>
      <w:bookmarkEnd w:id="1946"/>
      <w:bookmarkEnd w:id="1947"/>
      <w:bookmarkEnd w:id="1948"/>
      <w:bookmarkEnd w:id="1949"/>
      <w:bookmarkEnd w:id="1950"/>
      <w:bookmarkEnd w:id="1951"/>
      <w:bookmarkEnd w:id="1952"/>
      <w:bookmarkEnd w:id="1953"/>
      <w:bookmarkEnd w:id="1954"/>
      <w:bookmarkEnd w:id="1955"/>
      <w:bookmarkEnd w:id="1956"/>
      <w:r w:rsidRPr="00256982">
        <w:lastRenderedPageBreak/>
        <w:t>6.7</w:t>
      </w:r>
      <w:r w:rsidRPr="00256982">
        <w:tab/>
        <w:t>Wetlands (CRF 4D)</w:t>
      </w:r>
      <w:bookmarkEnd w:id="1957"/>
      <w:bookmarkEnd w:id="1958"/>
      <w:bookmarkEnd w:id="1959"/>
      <w:bookmarkEnd w:id="1960"/>
      <w:bookmarkEnd w:id="1961"/>
      <w:bookmarkEnd w:id="1962"/>
      <w:bookmarkEnd w:id="1963"/>
      <w:bookmarkEnd w:id="1964"/>
      <w:bookmarkEnd w:id="1965"/>
    </w:p>
    <w:p w14:paraId="47646D39" w14:textId="77777777" w:rsidR="00380BE7" w:rsidRPr="00256982" w:rsidRDefault="00380BE7" w:rsidP="00380BE7">
      <w:pPr>
        <w:pStyle w:val="Heading3"/>
        <w:spacing w:before="240"/>
      </w:pPr>
      <w:r w:rsidRPr="00256982">
        <w:t>6.7.1</w:t>
      </w:r>
      <w:r w:rsidRPr="00256982">
        <w:tab/>
        <w:t>Description</w:t>
      </w:r>
    </w:p>
    <w:p w14:paraId="72BEF2C1" w14:textId="77777777" w:rsidR="00380BE7" w:rsidRPr="00256982" w:rsidRDefault="00380BE7" w:rsidP="00380BE7">
      <w:pPr>
        <w:pStyle w:val="BodyText"/>
      </w:pPr>
      <w:r w:rsidRPr="00256982">
        <w:t>New Zealand has around 425,000 kilometres of rivers and streams, and almost 4,000 lakes that are larger than a hectare (Ministry for the Environment and Stats NZ, 2017). Damming, diverting and extracting water for power generation, irrigation and human consumption have modified the nature of these waterways and can deplete flows and reduce groundwater levels. Demand for accessible land has also led to the modification of a large proportion of New Zealand’s vegetated wetland areas to provide pastoral land cover. Just over 10 per cent of wetlands present prior to European settlement remain across New Zealand (McGlone, 2009).</w:t>
      </w:r>
    </w:p>
    <w:p w14:paraId="2273C828" w14:textId="77777777" w:rsidR="00380BE7" w:rsidRPr="00256982" w:rsidRDefault="00380BE7" w:rsidP="00380BE7">
      <w:pPr>
        <w:pStyle w:val="BodyText"/>
      </w:pPr>
      <w:r w:rsidRPr="00256982">
        <w:t>Section 3.2 of 2006 IPCC Guidelines</w:t>
      </w:r>
      <w:r w:rsidRPr="00256982">
        <w:rPr>
          <w:i/>
        </w:rPr>
        <w:t xml:space="preserve"> </w:t>
      </w:r>
      <w:r w:rsidRPr="00256982">
        <w:t xml:space="preserve">defines </w:t>
      </w:r>
      <w:r w:rsidRPr="00256982">
        <w:rPr>
          <w:i/>
        </w:rPr>
        <w:t>Wetlands</w:t>
      </w:r>
      <w:r w:rsidRPr="00256982">
        <w:t xml:space="preserve"> as “areas of peat extraction and land that is covered or saturated by water for all or part of the year (e.g., peatlands) and that does not fall into the </w:t>
      </w:r>
      <w:r w:rsidRPr="00256982">
        <w:rPr>
          <w:i/>
        </w:rPr>
        <w:t>Forest Land</w:t>
      </w:r>
      <w:r w:rsidRPr="00256982">
        <w:t xml:space="preserve">, </w:t>
      </w:r>
      <w:r w:rsidRPr="00256982">
        <w:rPr>
          <w:i/>
        </w:rPr>
        <w:t>Cropland</w:t>
      </w:r>
      <w:r w:rsidRPr="00256982">
        <w:t xml:space="preserve">, </w:t>
      </w:r>
      <w:r w:rsidRPr="00256982">
        <w:rPr>
          <w:i/>
        </w:rPr>
        <w:t>Grassland</w:t>
      </w:r>
      <w:r w:rsidRPr="00256982">
        <w:t xml:space="preserve"> or </w:t>
      </w:r>
      <w:r w:rsidRPr="00256982">
        <w:rPr>
          <w:i/>
        </w:rPr>
        <w:t>Settlements</w:t>
      </w:r>
      <w:r w:rsidRPr="00256982">
        <w:t xml:space="preserve"> categories” (IPCC, 2006a, p 3.6). The definition includes reservoirs as a managed subdivision (e.g., flooded lands), and natural rivers and lakes as unmanaged subdivisions. Flooded lands, a subcategory of </w:t>
      </w:r>
      <w:r w:rsidRPr="00256982">
        <w:rPr>
          <w:i/>
        </w:rPr>
        <w:t>Wetlands</w:t>
      </w:r>
      <w:r w:rsidRPr="00256982">
        <w:t>, are defined in the 2006 IPCC Guidelines</w:t>
      </w:r>
      <w:r w:rsidRPr="00256982" w:rsidDel="0015189E">
        <w:t xml:space="preserve"> </w:t>
      </w:r>
      <w:r w:rsidRPr="00256982">
        <w:t>(IPCC, 2006a, p 7.19) as:</w:t>
      </w:r>
    </w:p>
    <w:p w14:paraId="4ED26BB1" w14:textId="77777777" w:rsidR="00380BE7" w:rsidRPr="00256982" w:rsidRDefault="00380BE7" w:rsidP="00380BE7">
      <w:pPr>
        <w:pStyle w:val="Quote"/>
        <w:spacing w:before="60"/>
      </w:pPr>
      <w:r w:rsidRPr="00256982">
        <w:t>… water bodies where human activities have caused changes in the amount of surface area covered by water, typically through water level regulation. ... Regulated lakes and rivers that do not have substantial changes in water area in comparison with the pre-flooded ecosystem are not considered as Flooded Lands.</w:t>
      </w:r>
      <w:r w:rsidRPr="00256982" w:rsidDel="00C52895">
        <w:t xml:space="preserve"> </w:t>
      </w:r>
    </w:p>
    <w:p w14:paraId="797A31E0" w14:textId="77777777" w:rsidR="00380BE7" w:rsidRPr="00256982" w:rsidRDefault="00380BE7" w:rsidP="00380BE7">
      <w:pPr>
        <w:pStyle w:val="BodyText"/>
      </w:pPr>
      <w:r w:rsidRPr="00256982">
        <w:t>The majority of New Zealand’s hydroelectric schemes are based on rivers and lakes where the main pre-flooded ecosystem was a natural lake or river; therefore, they are not defined as flooded lands.</w:t>
      </w:r>
      <w:r w:rsidRPr="00256982">
        <w:rPr>
          <w:rStyle w:val="FootnoteReference"/>
        </w:rPr>
        <w:footnoteReference w:id="59"/>
      </w:r>
      <w:r w:rsidRPr="00256982">
        <w:t xml:space="preserve"> </w:t>
      </w:r>
    </w:p>
    <w:p w14:paraId="5FD850A4" w14:textId="77777777" w:rsidR="00380BE7" w:rsidRPr="00256982" w:rsidRDefault="00380BE7" w:rsidP="00380BE7">
      <w:pPr>
        <w:pStyle w:val="BodyText"/>
      </w:pPr>
      <w:r w:rsidRPr="00256982">
        <w:t xml:space="preserve">New Zealand’s </w:t>
      </w:r>
      <w:r w:rsidRPr="00256982">
        <w:rPr>
          <w:i/>
        </w:rPr>
        <w:t>Wetlands</w:t>
      </w:r>
      <w:r w:rsidRPr="00256982">
        <w:t xml:space="preserve"> are currently mapped into two types: open water, which includes artificially flooded lands, lakes and rivers; and vegetated wetland, which includes herbaceous vegetation that is periodically flooded, and estuarine and tidal areas. New Zealand originally mapped its vegetated wetlands using existing LCDB data (see section 6.2, for more information). Areas of open water were originally mapped using hydrological boundaries defined by Land Information New Zealand. </w:t>
      </w:r>
    </w:p>
    <w:p w14:paraId="089A7D92" w14:textId="77777777" w:rsidR="00380BE7" w:rsidRPr="00256982" w:rsidRDefault="00380BE7" w:rsidP="00380BE7">
      <w:pPr>
        <w:pStyle w:val="BodyText"/>
      </w:pPr>
      <w:r w:rsidRPr="00256982">
        <w:t xml:space="preserve">Improvements to the mapping of wetland extent have been made using ancillary national and regional data sets. Changes to wetland extent have been mapped into the 2008, 2012 and 2016 land use maps based on changes detected in satellite imagery. </w:t>
      </w:r>
    </w:p>
    <w:p w14:paraId="29D00349" w14:textId="77777777" w:rsidR="00380BE7" w:rsidRPr="00256982" w:rsidRDefault="00380BE7" w:rsidP="00380BE7">
      <w:pPr>
        <w:pStyle w:val="BodyText"/>
      </w:pPr>
      <w:r w:rsidRPr="00256982">
        <w:t>Improvements in mapping that occurred in conjunction with the creation of the 2016 Land Use Map have enabled the area of artificially flooded land to be identified and distinguished from naturally occurring open water (e.g., natural lakes). Examples of artificially flooded lands in New Zealand include irrigation reservoirs and the Clyde Dam hydroelectric dam. The acquisition of this activity data will enable the associated stock changes for land converted to flooded land to be estimated once methods to interpolate and extrapolate to fill in the time series are developed.</w:t>
      </w:r>
    </w:p>
    <w:p w14:paraId="2C1AD8AB" w14:textId="77777777" w:rsidR="00380BE7" w:rsidRPr="00256982" w:rsidRDefault="00380BE7" w:rsidP="00380BE7">
      <w:pPr>
        <w:pStyle w:val="BodyText"/>
      </w:pPr>
      <w:r w:rsidRPr="00256982">
        <w:t>In 2017, there were 534,551 hectares of open water and 174,685 hectares of vegetated wetlands. Together these two land use types make up 2.6 per cent of the total New Zealand land area. In 2017, there were 273 hectares under peat extraction.</w:t>
      </w:r>
    </w:p>
    <w:p w14:paraId="1CF6E719" w14:textId="77777777" w:rsidR="00380BE7" w:rsidRPr="00256982" w:rsidRDefault="00380BE7" w:rsidP="00380BE7">
      <w:pPr>
        <w:pStyle w:val="BodyText"/>
      </w:pPr>
      <w:r w:rsidRPr="00256982">
        <w:t>In 2017, there were 13.9 kt CO</w:t>
      </w:r>
      <w:r w:rsidRPr="00256982">
        <w:rPr>
          <w:vertAlign w:val="subscript"/>
        </w:rPr>
        <w:t>2</w:t>
      </w:r>
      <w:r w:rsidRPr="00256982">
        <w:t xml:space="preserve">-e emissions from </w:t>
      </w:r>
      <w:r w:rsidRPr="00256982">
        <w:rPr>
          <w:i/>
        </w:rPr>
        <w:t>Wetlands</w:t>
      </w:r>
      <w:r w:rsidRPr="00256982">
        <w:t xml:space="preserve">, compared with emissions of </w:t>
      </w:r>
      <w:r w:rsidRPr="00256982">
        <w:br/>
        <w:t>–10.0 kt CO</w:t>
      </w:r>
      <w:r w:rsidRPr="00256982">
        <w:rPr>
          <w:vertAlign w:val="subscript"/>
        </w:rPr>
        <w:t>2</w:t>
      </w:r>
      <w:r w:rsidRPr="00256982">
        <w:t xml:space="preserve">-e from </w:t>
      </w:r>
      <w:r w:rsidRPr="00256982">
        <w:rPr>
          <w:i/>
        </w:rPr>
        <w:t>Wetlands</w:t>
      </w:r>
      <w:r w:rsidRPr="00256982">
        <w:t xml:space="preserve"> in 1990 (see table 6.7.1). This changing trend, from net remover </w:t>
      </w:r>
      <w:r w:rsidRPr="00256982">
        <w:lastRenderedPageBreak/>
        <w:t>in 1990 to net emitter in 2017 is due to the shift in land-use change patterns that have been observed since 1990, when compared with the changes that had occurred before 1990.</w:t>
      </w:r>
    </w:p>
    <w:p w14:paraId="470C6ECB" w14:textId="77777777" w:rsidR="00380BE7" w:rsidRPr="00256982" w:rsidRDefault="00380BE7" w:rsidP="00380BE7">
      <w:pPr>
        <w:pStyle w:val="BodyText"/>
      </w:pPr>
      <w:r w:rsidRPr="00256982">
        <w:t>As at 2017, there were 7,574</w:t>
      </w:r>
      <w:r w:rsidRPr="00256982">
        <w:rPr>
          <w:rFonts w:cs="Arial"/>
          <w:szCs w:val="16"/>
        </w:rPr>
        <w:t xml:space="preserve"> </w:t>
      </w:r>
      <w:r w:rsidRPr="00256982">
        <w:t xml:space="preserve">hectares in a state of conversion to </w:t>
      </w:r>
      <w:r w:rsidRPr="00256982">
        <w:rPr>
          <w:i/>
        </w:rPr>
        <w:t>Wetlands</w:t>
      </w:r>
      <w:r w:rsidRPr="00256982">
        <w:t xml:space="preserve"> (table 6.7.1). These lands have been converted to </w:t>
      </w:r>
      <w:r w:rsidRPr="00256982">
        <w:rPr>
          <w:i/>
        </w:rPr>
        <w:t>Wetlands</w:t>
      </w:r>
      <w:r w:rsidRPr="00256982">
        <w:t xml:space="preserve"> during the previous 28 years but have not yet reached steady state.</w:t>
      </w:r>
    </w:p>
    <w:p w14:paraId="43032AE0" w14:textId="77777777" w:rsidR="00380BE7" w:rsidRPr="00256982" w:rsidRDefault="00380BE7" w:rsidP="00380BE7">
      <w:pPr>
        <w:pStyle w:val="Table"/>
      </w:pPr>
      <w:bookmarkStart w:id="1966" w:name="_Toc342470784"/>
      <w:bookmarkStart w:id="1967" w:name="_Toc352505024"/>
      <w:bookmarkStart w:id="1968" w:name="_Toc378853313"/>
      <w:bookmarkStart w:id="1969" w:name="_Toc391024111"/>
      <w:bookmarkStart w:id="1970" w:name="_Toc410028854"/>
      <w:bookmarkStart w:id="1971" w:name="_Toc414531482"/>
      <w:bookmarkStart w:id="1972" w:name="_Toc443645395"/>
      <w:bookmarkStart w:id="1973" w:name="_Toc474914614"/>
      <w:bookmarkStart w:id="1974" w:name="_Toc481751578"/>
      <w:bookmarkStart w:id="1975" w:name="_Toc522010635"/>
      <w:bookmarkStart w:id="1976" w:name="_Toc5269540"/>
      <w:r w:rsidRPr="00256982">
        <w:t>Table 6.7.1</w:t>
      </w:r>
      <w:r w:rsidRPr="00256982">
        <w:tab/>
        <w:t>New Zealand’s land-use change for the Wetlands category, and associated</w:t>
      </w:r>
      <w:r w:rsidRPr="00256982">
        <w:br/>
        <w:t>CO</w:t>
      </w:r>
      <w:r w:rsidRPr="00256982">
        <w:rPr>
          <w:vertAlign w:val="subscript"/>
        </w:rPr>
        <w:t>2</w:t>
      </w:r>
      <w:r w:rsidRPr="00256982">
        <w:t>-e emissions</w:t>
      </w:r>
      <w:bookmarkEnd w:id="1966"/>
      <w:bookmarkEnd w:id="1967"/>
      <w:bookmarkEnd w:id="1968"/>
      <w:r w:rsidRPr="00256982">
        <w:t xml:space="preserve">, in 1990 and </w:t>
      </w:r>
      <w:bookmarkEnd w:id="1969"/>
      <w:bookmarkEnd w:id="1970"/>
      <w:bookmarkEnd w:id="1971"/>
      <w:r w:rsidRPr="00256982">
        <w:t>201</w:t>
      </w:r>
      <w:bookmarkEnd w:id="1972"/>
      <w:bookmarkEnd w:id="1973"/>
      <w:bookmarkEnd w:id="1974"/>
      <w:bookmarkEnd w:id="1975"/>
      <w:r w:rsidRPr="00256982">
        <w:t>7</w:t>
      </w:r>
      <w:bookmarkEnd w:id="1976"/>
    </w:p>
    <w:tbl>
      <w:tblPr>
        <w:tblW w:w="8505" w:type="dxa"/>
        <w:tblInd w:w="108" w:type="dxa"/>
        <w:tblLayout w:type="fixed"/>
        <w:tblLook w:val="04A0" w:firstRow="1" w:lastRow="0" w:firstColumn="1" w:lastColumn="0" w:noHBand="0" w:noVBand="1"/>
      </w:tblPr>
      <w:tblGrid>
        <w:gridCol w:w="2770"/>
        <w:gridCol w:w="1206"/>
        <w:gridCol w:w="1055"/>
        <w:gridCol w:w="1055"/>
        <w:gridCol w:w="1112"/>
        <w:gridCol w:w="1307"/>
      </w:tblGrid>
      <w:tr w:rsidR="00380BE7" w:rsidRPr="00256982" w14:paraId="2888D2AB" w14:textId="77777777" w:rsidTr="009574E7">
        <w:tc>
          <w:tcPr>
            <w:tcW w:w="2770" w:type="dxa"/>
            <w:vMerge w:val="restart"/>
            <w:tcBorders>
              <w:top w:val="single" w:sz="4" w:space="0" w:color="365F91"/>
            </w:tcBorders>
            <w:shd w:val="clear" w:color="auto" w:fill="365F91"/>
            <w:vAlign w:val="bottom"/>
          </w:tcPr>
          <w:p w14:paraId="6B90B800" w14:textId="77777777" w:rsidR="00380BE7" w:rsidRPr="00256982" w:rsidRDefault="00380BE7" w:rsidP="009574E7">
            <w:pPr>
              <w:pStyle w:val="TableTextBold"/>
              <w:keepNext/>
              <w:spacing w:before="40" w:after="40"/>
              <w:rPr>
                <w:noProof w:val="0"/>
                <w:color w:val="FFFFFF"/>
              </w:rPr>
            </w:pPr>
            <w:r w:rsidRPr="00256982">
              <w:rPr>
                <w:noProof w:val="0"/>
                <w:color w:val="FFFFFF"/>
              </w:rPr>
              <w:t>Wetlands land use category</w:t>
            </w:r>
          </w:p>
        </w:tc>
        <w:tc>
          <w:tcPr>
            <w:tcW w:w="2261" w:type="dxa"/>
            <w:gridSpan w:val="2"/>
            <w:tcBorders>
              <w:top w:val="single" w:sz="4" w:space="0" w:color="365F91"/>
            </w:tcBorders>
            <w:shd w:val="clear" w:color="auto" w:fill="365F91"/>
            <w:vAlign w:val="bottom"/>
          </w:tcPr>
          <w:p w14:paraId="29EFD608" w14:textId="77777777" w:rsidR="00380BE7" w:rsidRPr="00256982" w:rsidRDefault="00380BE7" w:rsidP="009574E7">
            <w:pPr>
              <w:pStyle w:val="TableTextBold"/>
              <w:keepNext/>
              <w:spacing w:before="40" w:after="40"/>
              <w:jc w:val="center"/>
              <w:rPr>
                <w:noProof w:val="0"/>
                <w:color w:val="FFFFFF"/>
              </w:rPr>
            </w:pPr>
            <w:r w:rsidRPr="00256982">
              <w:rPr>
                <w:noProof w:val="0"/>
                <w:color w:val="FFFFFF"/>
              </w:rPr>
              <w:t>Net area (ha) as at</w:t>
            </w:r>
          </w:p>
        </w:tc>
        <w:tc>
          <w:tcPr>
            <w:tcW w:w="2167" w:type="dxa"/>
            <w:gridSpan w:val="2"/>
            <w:tcBorders>
              <w:top w:val="single" w:sz="4" w:space="0" w:color="365F91"/>
            </w:tcBorders>
            <w:shd w:val="clear" w:color="auto" w:fill="365F91"/>
            <w:vAlign w:val="bottom"/>
          </w:tcPr>
          <w:p w14:paraId="70F2B876" w14:textId="77777777" w:rsidR="00380BE7" w:rsidRPr="00256982" w:rsidRDefault="00380BE7" w:rsidP="009574E7">
            <w:pPr>
              <w:pStyle w:val="TableTextBold"/>
              <w:keepNext/>
              <w:spacing w:before="40" w:after="40"/>
              <w:jc w:val="center"/>
              <w:rPr>
                <w:noProof w:val="0"/>
                <w:color w:val="FFFFFF"/>
              </w:rPr>
            </w:pPr>
            <w:r w:rsidRPr="00256982">
              <w:rPr>
                <w:noProof w:val="0"/>
                <w:color w:val="FFFFFF"/>
              </w:rPr>
              <w:t>Net emissions</w:t>
            </w:r>
            <w:r w:rsidRPr="00256982">
              <w:rPr>
                <w:noProof w:val="0"/>
                <w:color w:val="FFFFFF"/>
                <w:vertAlign w:val="superscript"/>
              </w:rPr>
              <w:br/>
            </w:r>
            <w:r w:rsidRPr="00256982">
              <w:rPr>
                <w:noProof w:val="0"/>
                <w:color w:val="FFFFFF"/>
              </w:rPr>
              <w:t>(kt CO</w:t>
            </w:r>
            <w:r w:rsidRPr="00256982">
              <w:rPr>
                <w:noProof w:val="0"/>
                <w:color w:val="FFFFFF"/>
                <w:vertAlign w:val="subscript"/>
              </w:rPr>
              <w:t>2</w:t>
            </w:r>
            <w:r w:rsidRPr="00256982">
              <w:rPr>
                <w:noProof w:val="0"/>
                <w:color w:val="FFFFFF"/>
              </w:rPr>
              <w:t>-e)</w:t>
            </w:r>
          </w:p>
        </w:tc>
        <w:tc>
          <w:tcPr>
            <w:tcW w:w="1307" w:type="dxa"/>
            <w:vMerge w:val="restart"/>
            <w:tcBorders>
              <w:top w:val="single" w:sz="4" w:space="0" w:color="365F91"/>
            </w:tcBorders>
            <w:shd w:val="clear" w:color="auto" w:fill="365F91"/>
            <w:vAlign w:val="bottom"/>
          </w:tcPr>
          <w:p w14:paraId="2A9B729E" w14:textId="77777777" w:rsidR="00380BE7" w:rsidRPr="00256982" w:rsidRDefault="00380BE7" w:rsidP="009574E7">
            <w:pPr>
              <w:pStyle w:val="TableTextBold"/>
              <w:keepNext/>
              <w:spacing w:before="40" w:after="40"/>
              <w:jc w:val="center"/>
              <w:rPr>
                <w:noProof w:val="0"/>
                <w:color w:val="FFFFFF"/>
              </w:rPr>
            </w:pPr>
            <w:r w:rsidRPr="00256982">
              <w:rPr>
                <w:noProof w:val="0"/>
                <w:color w:val="FFFFFF"/>
              </w:rPr>
              <w:t>Change from 1990 (%)</w:t>
            </w:r>
          </w:p>
        </w:tc>
      </w:tr>
      <w:tr w:rsidR="00380BE7" w:rsidRPr="00256982" w14:paraId="322231C9" w14:textId="77777777" w:rsidTr="009574E7">
        <w:tc>
          <w:tcPr>
            <w:tcW w:w="2770" w:type="dxa"/>
            <w:vMerge/>
            <w:tcBorders>
              <w:bottom w:val="single" w:sz="4" w:space="0" w:color="365F91"/>
            </w:tcBorders>
            <w:shd w:val="clear" w:color="auto" w:fill="365F91"/>
            <w:vAlign w:val="bottom"/>
          </w:tcPr>
          <w:p w14:paraId="2406B799" w14:textId="77777777" w:rsidR="00380BE7" w:rsidRPr="00256982" w:rsidRDefault="00380BE7" w:rsidP="009574E7">
            <w:pPr>
              <w:pStyle w:val="TableTextBold"/>
              <w:keepNext/>
              <w:spacing w:before="40" w:after="40"/>
              <w:rPr>
                <w:noProof w:val="0"/>
                <w:color w:val="FFFFFF"/>
              </w:rPr>
            </w:pPr>
          </w:p>
        </w:tc>
        <w:tc>
          <w:tcPr>
            <w:tcW w:w="1206" w:type="dxa"/>
            <w:tcBorders>
              <w:bottom w:val="single" w:sz="4" w:space="0" w:color="365F91"/>
            </w:tcBorders>
            <w:shd w:val="clear" w:color="auto" w:fill="365F91"/>
            <w:vAlign w:val="bottom"/>
          </w:tcPr>
          <w:p w14:paraId="30BE3B61" w14:textId="77777777" w:rsidR="00380BE7" w:rsidRPr="00256982" w:rsidRDefault="00380BE7" w:rsidP="009574E7">
            <w:pPr>
              <w:pStyle w:val="TableTextBold"/>
              <w:keepNext/>
              <w:spacing w:before="40" w:after="40"/>
              <w:jc w:val="center"/>
              <w:rPr>
                <w:noProof w:val="0"/>
                <w:color w:val="FFFFFF"/>
              </w:rPr>
            </w:pPr>
            <w:r w:rsidRPr="00256982">
              <w:rPr>
                <w:noProof w:val="0"/>
                <w:color w:val="FFFFFF"/>
              </w:rPr>
              <w:t>1990</w:t>
            </w:r>
          </w:p>
        </w:tc>
        <w:tc>
          <w:tcPr>
            <w:tcW w:w="1055" w:type="dxa"/>
            <w:tcBorders>
              <w:bottom w:val="single" w:sz="4" w:space="0" w:color="365F91"/>
            </w:tcBorders>
            <w:shd w:val="clear" w:color="auto" w:fill="365F91"/>
            <w:vAlign w:val="bottom"/>
          </w:tcPr>
          <w:p w14:paraId="0CF8C711" w14:textId="77777777" w:rsidR="00380BE7" w:rsidRPr="00256982" w:rsidRDefault="00380BE7" w:rsidP="009574E7">
            <w:pPr>
              <w:pStyle w:val="TableTextBold"/>
              <w:keepNext/>
              <w:spacing w:before="40" w:after="40"/>
              <w:jc w:val="center"/>
              <w:rPr>
                <w:noProof w:val="0"/>
                <w:color w:val="FFFFFF"/>
              </w:rPr>
            </w:pPr>
            <w:r w:rsidRPr="00256982">
              <w:rPr>
                <w:noProof w:val="0"/>
                <w:color w:val="FFFFFF"/>
              </w:rPr>
              <w:t>2017</w:t>
            </w:r>
          </w:p>
        </w:tc>
        <w:tc>
          <w:tcPr>
            <w:tcW w:w="1055" w:type="dxa"/>
            <w:tcBorders>
              <w:bottom w:val="single" w:sz="4" w:space="0" w:color="365F91"/>
            </w:tcBorders>
            <w:shd w:val="clear" w:color="auto" w:fill="365F91"/>
            <w:vAlign w:val="bottom"/>
          </w:tcPr>
          <w:p w14:paraId="3EF98DF3" w14:textId="77777777" w:rsidR="00380BE7" w:rsidRPr="00256982" w:rsidRDefault="00380BE7" w:rsidP="009574E7">
            <w:pPr>
              <w:pStyle w:val="TableTextBold"/>
              <w:keepNext/>
              <w:spacing w:before="40" w:after="40"/>
              <w:jc w:val="center"/>
              <w:rPr>
                <w:noProof w:val="0"/>
                <w:color w:val="FFFFFF"/>
              </w:rPr>
            </w:pPr>
            <w:r w:rsidRPr="00256982">
              <w:rPr>
                <w:noProof w:val="0"/>
                <w:color w:val="FFFFFF"/>
              </w:rPr>
              <w:t>1990</w:t>
            </w:r>
          </w:p>
        </w:tc>
        <w:tc>
          <w:tcPr>
            <w:tcW w:w="1112" w:type="dxa"/>
            <w:tcBorders>
              <w:bottom w:val="single" w:sz="4" w:space="0" w:color="365F91"/>
            </w:tcBorders>
            <w:shd w:val="clear" w:color="auto" w:fill="365F91"/>
            <w:vAlign w:val="bottom"/>
          </w:tcPr>
          <w:p w14:paraId="06C774A7" w14:textId="77777777" w:rsidR="00380BE7" w:rsidRPr="00256982" w:rsidRDefault="00380BE7" w:rsidP="009574E7">
            <w:pPr>
              <w:pStyle w:val="TableTextBold"/>
              <w:keepNext/>
              <w:spacing w:before="40" w:after="40"/>
              <w:jc w:val="center"/>
              <w:rPr>
                <w:noProof w:val="0"/>
                <w:color w:val="FFFFFF"/>
              </w:rPr>
            </w:pPr>
            <w:r w:rsidRPr="00256982">
              <w:rPr>
                <w:noProof w:val="0"/>
                <w:color w:val="FFFFFF"/>
              </w:rPr>
              <w:t>2017</w:t>
            </w:r>
          </w:p>
        </w:tc>
        <w:tc>
          <w:tcPr>
            <w:tcW w:w="1307" w:type="dxa"/>
            <w:vMerge/>
            <w:tcBorders>
              <w:bottom w:val="single" w:sz="4" w:space="0" w:color="365F91"/>
            </w:tcBorders>
            <w:shd w:val="clear" w:color="auto" w:fill="365F91"/>
            <w:vAlign w:val="bottom"/>
          </w:tcPr>
          <w:p w14:paraId="2CD2E830" w14:textId="77777777" w:rsidR="00380BE7" w:rsidRPr="00256982" w:rsidRDefault="00380BE7" w:rsidP="009574E7">
            <w:pPr>
              <w:pStyle w:val="TableTextBold"/>
              <w:keepNext/>
              <w:spacing w:before="40" w:after="40"/>
              <w:rPr>
                <w:noProof w:val="0"/>
                <w:color w:val="FFFFFF"/>
              </w:rPr>
            </w:pPr>
          </w:p>
        </w:tc>
      </w:tr>
      <w:tr w:rsidR="00380BE7" w:rsidRPr="00256982" w14:paraId="3F0BB6C7" w14:textId="77777777" w:rsidTr="009574E7">
        <w:tc>
          <w:tcPr>
            <w:tcW w:w="2770" w:type="dxa"/>
            <w:tcBorders>
              <w:top w:val="single" w:sz="4" w:space="0" w:color="365F91"/>
              <w:bottom w:val="single" w:sz="4" w:space="0" w:color="365F91"/>
            </w:tcBorders>
          </w:tcPr>
          <w:p w14:paraId="64DCB646" w14:textId="77777777" w:rsidR="00380BE7" w:rsidRPr="00256982" w:rsidRDefault="00380BE7" w:rsidP="00ED0B35">
            <w:pPr>
              <w:pStyle w:val="TableText"/>
            </w:pPr>
            <w:r w:rsidRPr="00256982">
              <w:t>Wetlands remaining wetlands</w:t>
            </w:r>
          </w:p>
        </w:tc>
        <w:tc>
          <w:tcPr>
            <w:tcW w:w="1206" w:type="dxa"/>
            <w:tcBorders>
              <w:top w:val="single" w:sz="4" w:space="0" w:color="365F91"/>
              <w:bottom w:val="single" w:sz="4" w:space="0" w:color="365F91"/>
            </w:tcBorders>
          </w:tcPr>
          <w:p w14:paraId="0249757F" w14:textId="77777777" w:rsidR="00380BE7" w:rsidRPr="00256982" w:rsidRDefault="00380BE7" w:rsidP="00ED0B35">
            <w:pPr>
              <w:pStyle w:val="TableText"/>
              <w:jc w:val="right"/>
            </w:pPr>
            <w:r w:rsidRPr="00256982">
              <w:t>691,756</w:t>
            </w:r>
          </w:p>
        </w:tc>
        <w:tc>
          <w:tcPr>
            <w:tcW w:w="1055" w:type="dxa"/>
            <w:tcBorders>
              <w:top w:val="single" w:sz="4" w:space="0" w:color="365F91"/>
              <w:bottom w:val="single" w:sz="4" w:space="0" w:color="365F91"/>
            </w:tcBorders>
          </w:tcPr>
          <w:p w14:paraId="572D4959" w14:textId="77777777" w:rsidR="00380BE7" w:rsidRPr="00256982" w:rsidRDefault="00380BE7" w:rsidP="00ED0B35">
            <w:pPr>
              <w:pStyle w:val="TableText"/>
              <w:jc w:val="right"/>
            </w:pPr>
            <w:r w:rsidRPr="00256982">
              <w:t>701,662</w:t>
            </w:r>
          </w:p>
        </w:tc>
        <w:tc>
          <w:tcPr>
            <w:tcW w:w="1055" w:type="dxa"/>
            <w:tcBorders>
              <w:top w:val="single" w:sz="4" w:space="0" w:color="365F91"/>
              <w:bottom w:val="single" w:sz="4" w:space="0" w:color="365F91"/>
            </w:tcBorders>
          </w:tcPr>
          <w:p w14:paraId="7F63CEB8" w14:textId="77777777" w:rsidR="00380BE7" w:rsidRPr="00256982" w:rsidRDefault="00380BE7" w:rsidP="00ED0B35">
            <w:pPr>
              <w:pStyle w:val="TableText"/>
              <w:jc w:val="right"/>
            </w:pPr>
            <w:r w:rsidRPr="00256982">
              <w:t xml:space="preserve">9.4 </w:t>
            </w:r>
          </w:p>
        </w:tc>
        <w:tc>
          <w:tcPr>
            <w:tcW w:w="1112" w:type="dxa"/>
            <w:tcBorders>
              <w:top w:val="single" w:sz="4" w:space="0" w:color="365F91"/>
              <w:bottom w:val="single" w:sz="4" w:space="0" w:color="365F91"/>
            </w:tcBorders>
          </w:tcPr>
          <w:p w14:paraId="32FE758F" w14:textId="77777777" w:rsidR="00380BE7" w:rsidRPr="00256982" w:rsidRDefault="00380BE7" w:rsidP="00ED0B35">
            <w:pPr>
              <w:pStyle w:val="TableText"/>
              <w:jc w:val="right"/>
            </w:pPr>
            <w:r w:rsidRPr="00256982">
              <w:t xml:space="preserve">18.6 </w:t>
            </w:r>
          </w:p>
        </w:tc>
        <w:tc>
          <w:tcPr>
            <w:tcW w:w="1307" w:type="dxa"/>
            <w:tcBorders>
              <w:top w:val="single" w:sz="4" w:space="0" w:color="365F91"/>
              <w:bottom w:val="single" w:sz="4" w:space="0" w:color="365F91"/>
            </w:tcBorders>
          </w:tcPr>
          <w:p w14:paraId="66F0CD95" w14:textId="77777777" w:rsidR="00380BE7" w:rsidRPr="00256982" w:rsidRDefault="00380BE7" w:rsidP="00ED0B35">
            <w:pPr>
              <w:pStyle w:val="TableText"/>
              <w:jc w:val="right"/>
            </w:pPr>
            <w:r w:rsidRPr="00256982">
              <w:t>+97.0</w:t>
            </w:r>
          </w:p>
        </w:tc>
      </w:tr>
      <w:tr w:rsidR="00380BE7" w:rsidRPr="00256982" w14:paraId="3056EE87" w14:textId="77777777" w:rsidTr="009574E7">
        <w:tc>
          <w:tcPr>
            <w:tcW w:w="2770" w:type="dxa"/>
            <w:tcBorders>
              <w:top w:val="single" w:sz="4" w:space="0" w:color="365F91"/>
              <w:bottom w:val="single" w:sz="4" w:space="0" w:color="365F91"/>
            </w:tcBorders>
          </w:tcPr>
          <w:p w14:paraId="3F6FCE7A" w14:textId="77777777" w:rsidR="00380BE7" w:rsidRPr="00256982" w:rsidRDefault="00380BE7" w:rsidP="00ED0B35">
            <w:pPr>
              <w:pStyle w:val="TableText"/>
            </w:pPr>
            <w:r w:rsidRPr="00256982">
              <w:t>Land converted to wetlands</w:t>
            </w:r>
          </w:p>
        </w:tc>
        <w:tc>
          <w:tcPr>
            <w:tcW w:w="1206" w:type="dxa"/>
            <w:tcBorders>
              <w:top w:val="single" w:sz="4" w:space="0" w:color="365F91"/>
              <w:bottom w:val="single" w:sz="4" w:space="0" w:color="365F91"/>
            </w:tcBorders>
          </w:tcPr>
          <w:p w14:paraId="3F510486" w14:textId="77777777" w:rsidR="00380BE7" w:rsidRPr="00256982" w:rsidRDefault="00380BE7" w:rsidP="00ED0B35">
            <w:pPr>
              <w:pStyle w:val="TableText"/>
              <w:jc w:val="right"/>
            </w:pPr>
            <w:r w:rsidRPr="00256982">
              <w:t>14,386</w:t>
            </w:r>
          </w:p>
        </w:tc>
        <w:tc>
          <w:tcPr>
            <w:tcW w:w="1055" w:type="dxa"/>
            <w:tcBorders>
              <w:top w:val="single" w:sz="4" w:space="0" w:color="365F91"/>
              <w:bottom w:val="single" w:sz="4" w:space="0" w:color="365F91"/>
            </w:tcBorders>
          </w:tcPr>
          <w:p w14:paraId="2227593B" w14:textId="77777777" w:rsidR="00380BE7" w:rsidRPr="00256982" w:rsidRDefault="00380BE7" w:rsidP="00ED0B35">
            <w:pPr>
              <w:pStyle w:val="TableText"/>
              <w:jc w:val="right"/>
            </w:pPr>
            <w:r w:rsidRPr="00256982">
              <w:t>7,574</w:t>
            </w:r>
          </w:p>
        </w:tc>
        <w:tc>
          <w:tcPr>
            <w:tcW w:w="1055" w:type="dxa"/>
            <w:tcBorders>
              <w:top w:val="single" w:sz="4" w:space="0" w:color="365F91"/>
              <w:bottom w:val="single" w:sz="4" w:space="0" w:color="365F91"/>
            </w:tcBorders>
          </w:tcPr>
          <w:p w14:paraId="5A96EA06" w14:textId="77777777" w:rsidR="00380BE7" w:rsidRPr="00256982" w:rsidRDefault="00380BE7" w:rsidP="00ED0B35">
            <w:pPr>
              <w:pStyle w:val="TableText"/>
              <w:jc w:val="right"/>
            </w:pPr>
            <w:r w:rsidRPr="00256982">
              <w:rPr>
                <w:rFonts w:cs="Arial"/>
                <w:color w:val="000000"/>
                <w:szCs w:val="16"/>
              </w:rPr>
              <w:t>–</w:t>
            </w:r>
            <w:r w:rsidRPr="00256982">
              <w:t xml:space="preserve">19.4 </w:t>
            </w:r>
          </w:p>
        </w:tc>
        <w:tc>
          <w:tcPr>
            <w:tcW w:w="1112" w:type="dxa"/>
            <w:tcBorders>
              <w:top w:val="single" w:sz="4" w:space="0" w:color="365F91"/>
              <w:bottom w:val="single" w:sz="4" w:space="0" w:color="365F91"/>
            </w:tcBorders>
          </w:tcPr>
          <w:p w14:paraId="6A9CCDDB" w14:textId="77777777" w:rsidR="00380BE7" w:rsidRPr="00256982" w:rsidRDefault="00380BE7" w:rsidP="00ED0B35">
            <w:pPr>
              <w:pStyle w:val="TableText"/>
              <w:jc w:val="right"/>
            </w:pPr>
            <w:r w:rsidRPr="00256982">
              <w:rPr>
                <w:rFonts w:cs="Arial"/>
                <w:color w:val="000000"/>
                <w:szCs w:val="16"/>
              </w:rPr>
              <w:t>–</w:t>
            </w:r>
            <w:r w:rsidRPr="00256982">
              <w:t xml:space="preserve">4.7 </w:t>
            </w:r>
          </w:p>
        </w:tc>
        <w:tc>
          <w:tcPr>
            <w:tcW w:w="1307" w:type="dxa"/>
            <w:tcBorders>
              <w:top w:val="single" w:sz="4" w:space="0" w:color="365F91"/>
              <w:bottom w:val="single" w:sz="4" w:space="0" w:color="365F91"/>
            </w:tcBorders>
          </w:tcPr>
          <w:p w14:paraId="1C92370F" w14:textId="77777777" w:rsidR="00380BE7" w:rsidRPr="00256982" w:rsidRDefault="00380BE7" w:rsidP="00ED0B35">
            <w:pPr>
              <w:pStyle w:val="TableText"/>
              <w:jc w:val="right"/>
            </w:pPr>
            <w:r w:rsidRPr="00256982">
              <w:t>+76.0</w:t>
            </w:r>
          </w:p>
        </w:tc>
      </w:tr>
      <w:tr w:rsidR="00380BE7" w:rsidRPr="00256982" w14:paraId="6BEDB487" w14:textId="77777777" w:rsidTr="009574E7">
        <w:tc>
          <w:tcPr>
            <w:tcW w:w="2770" w:type="dxa"/>
            <w:tcBorders>
              <w:top w:val="single" w:sz="4" w:space="0" w:color="365F91"/>
              <w:bottom w:val="single" w:sz="4" w:space="0" w:color="365F91"/>
            </w:tcBorders>
          </w:tcPr>
          <w:p w14:paraId="12096DBD" w14:textId="77777777" w:rsidR="00380BE7" w:rsidRPr="00256982" w:rsidRDefault="00380BE7" w:rsidP="00ED0B35">
            <w:pPr>
              <w:pStyle w:val="Tableboldblue"/>
            </w:pPr>
            <w:r w:rsidRPr="00256982">
              <w:t>Total</w:t>
            </w:r>
          </w:p>
        </w:tc>
        <w:tc>
          <w:tcPr>
            <w:tcW w:w="1206" w:type="dxa"/>
            <w:tcBorders>
              <w:top w:val="single" w:sz="4" w:space="0" w:color="365F91"/>
              <w:bottom w:val="single" w:sz="4" w:space="0" w:color="365F91"/>
            </w:tcBorders>
          </w:tcPr>
          <w:p w14:paraId="0EC3A416" w14:textId="77777777" w:rsidR="00380BE7" w:rsidRPr="00256982" w:rsidRDefault="00380BE7" w:rsidP="00ED0B35">
            <w:pPr>
              <w:pStyle w:val="Tableboldblue"/>
              <w:jc w:val="right"/>
            </w:pPr>
            <w:r w:rsidRPr="00256982">
              <w:t>706,142</w:t>
            </w:r>
          </w:p>
        </w:tc>
        <w:tc>
          <w:tcPr>
            <w:tcW w:w="1055" w:type="dxa"/>
            <w:tcBorders>
              <w:top w:val="single" w:sz="4" w:space="0" w:color="365F91"/>
              <w:bottom w:val="single" w:sz="4" w:space="0" w:color="365F91"/>
            </w:tcBorders>
          </w:tcPr>
          <w:p w14:paraId="027A8ADB" w14:textId="77777777" w:rsidR="00380BE7" w:rsidRPr="00256982" w:rsidRDefault="00380BE7" w:rsidP="00ED0B35">
            <w:pPr>
              <w:pStyle w:val="Tableboldblue"/>
              <w:jc w:val="right"/>
            </w:pPr>
            <w:r w:rsidRPr="00256982">
              <w:t>709,236</w:t>
            </w:r>
          </w:p>
        </w:tc>
        <w:tc>
          <w:tcPr>
            <w:tcW w:w="1055" w:type="dxa"/>
            <w:tcBorders>
              <w:top w:val="single" w:sz="4" w:space="0" w:color="365F91"/>
              <w:bottom w:val="single" w:sz="4" w:space="0" w:color="365F91"/>
            </w:tcBorders>
          </w:tcPr>
          <w:p w14:paraId="322DA324" w14:textId="77777777" w:rsidR="00380BE7" w:rsidRPr="00256982" w:rsidRDefault="00380BE7" w:rsidP="00ED0B35">
            <w:pPr>
              <w:pStyle w:val="Tableboldblue"/>
              <w:jc w:val="right"/>
            </w:pPr>
            <w:r w:rsidRPr="00256982">
              <w:rPr>
                <w:rFonts w:cs="Arial"/>
                <w:color w:val="000000"/>
                <w:szCs w:val="16"/>
              </w:rPr>
              <w:t>–</w:t>
            </w:r>
            <w:r w:rsidRPr="00256982">
              <w:t xml:space="preserve">10.0 </w:t>
            </w:r>
          </w:p>
        </w:tc>
        <w:tc>
          <w:tcPr>
            <w:tcW w:w="1112" w:type="dxa"/>
            <w:tcBorders>
              <w:top w:val="single" w:sz="4" w:space="0" w:color="365F91"/>
              <w:bottom w:val="single" w:sz="4" w:space="0" w:color="365F91"/>
            </w:tcBorders>
          </w:tcPr>
          <w:p w14:paraId="1BD85CAC" w14:textId="77777777" w:rsidR="00380BE7" w:rsidRPr="00256982" w:rsidRDefault="00380BE7" w:rsidP="00ED0B35">
            <w:pPr>
              <w:pStyle w:val="Tableboldblue"/>
              <w:jc w:val="right"/>
            </w:pPr>
            <w:r w:rsidRPr="00256982">
              <w:t>+13.9</w:t>
            </w:r>
          </w:p>
        </w:tc>
        <w:tc>
          <w:tcPr>
            <w:tcW w:w="1307" w:type="dxa"/>
            <w:tcBorders>
              <w:top w:val="single" w:sz="4" w:space="0" w:color="365F91"/>
              <w:bottom w:val="single" w:sz="4" w:space="0" w:color="365F91"/>
            </w:tcBorders>
          </w:tcPr>
          <w:p w14:paraId="5667ECA1" w14:textId="77777777" w:rsidR="00380BE7" w:rsidRPr="00256982" w:rsidRDefault="00380BE7" w:rsidP="00ED0B35">
            <w:pPr>
              <w:pStyle w:val="Tableboldblue"/>
              <w:jc w:val="right"/>
            </w:pPr>
            <w:r w:rsidRPr="00256982">
              <w:t>+240.0</w:t>
            </w:r>
          </w:p>
        </w:tc>
      </w:tr>
    </w:tbl>
    <w:p w14:paraId="1933894B" w14:textId="77777777" w:rsidR="00380BE7" w:rsidRPr="00256982" w:rsidRDefault="00380BE7" w:rsidP="00380BE7">
      <w:pPr>
        <w:pStyle w:val="Noteundertable"/>
      </w:pPr>
      <w:r w:rsidRPr="00256982">
        <w:rPr>
          <w:b/>
        </w:rPr>
        <w:t xml:space="preserve">Note: </w:t>
      </w:r>
      <w:r w:rsidRPr="00256982">
        <w:rPr>
          <w:b/>
        </w:rPr>
        <w:tab/>
      </w:r>
      <w:r w:rsidRPr="00256982">
        <w:t>Net area in 1990 is as at 1 January 1990; net area in 2017 is as at 31 December.</w:t>
      </w:r>
      <w:r w:rsidRPr="00256982">
        <w:rPr>
          <w:i/>
        </w:rPr>
        <w:t xml:space="preserve"> Land converted to wetlands</w:t>
      </w:r>
      <w:r w:rsidRPr="00256982">
        <w:t xml:space="preserve"> includes land converted up to 28 years prior. </w:t>
      </w:r>
      <w:r w:rsidRPr="00256982">
        <w:rPr>
          <w:i/>
        </w:rPr>
        <w:t>Land converted to wetlands</w:t>
      </w:r>
      <w:r w:rsidRPr="00256982">
        <w:t xml:space="preserve"> consists of land converted to hydro lakes prior to 1990. Net emission values are for the whole year indicated. Columns may not total due to rounding. </w:t>
      </w:r>
    </w:p>
    <w:p w14:paraId="6926CB99" w14:textId="77777777" w:rsidR="00380BE7" w:rsidRPr="00256982" w:rsidRDefault="00380BE7" w:rsidP="00380BE7">
      <w:pPr>
        <w:pStyle w:val="BodyText"/>
      </w:pPr>
      <w:r w:rsidRPr="00256982">
        <w:t xml:space="preserve">From 1990 to 2017, the net carbon stock in </w:t>
      </w:r>
      <w:r w:rsidRPr="00256982">
        <w:rPr>
          <w:i/>
        </w:rPr>
        <w:t>Wetlands</w:t>
      </w:r>
      <w:r w:rsidRPr="00256982">
        <w:t xml:space="preserve"> decreased by 102.0 kt C, equivalent to emissions of 374.0 kt CO</w:t>
      </w:r>
      <w:r w:rsidRPr="00256982">
        <w:rPr>
          <w:vertAlign w:val="subscript"/>
        </w:rPr>
        <w:t>2</w:t>
      </w:r>
      <w:r w:rsidRPr="00256982">
        <w:t xml:space="preserve"> in total since 1990 (see table 6.7.2).</w:t>
      </w:r>
    </w:p>
    <w:p w14:paraId="105DA61E" w14:textId="77777777" w:rsidR="00380BE7" w:rsidRPr="00256982" w:rsidRDefault="00380BE7" w:rsidP="00380BE7">
      <w:pPr>
        <w:pStyle w:val="Table"/>
      </w:pPr>
      <w:bookmarkStart w:id="1977" w:name="_Toc342470785"/>
      <w:bookmarkStart w:id="1978" w:name="_Toc352505025"/>
      <w:bookmarkStart w:id="1979" w:name="_Toc378853314"/>
      <w:bookmarkStart w:id="1980" w:name="_Toc391024112"/>
      <w:bookmarkStart w:id="1981" w:name="_Toc410028855"/>
      <w:bookmarkStart w:id="1982" w:name="_Toc414531483"/>
      <w:bookmarkStart w:id="1983" w:name="_Toc443645396"/>
      <w:bookmarkStart w:id="1984" w:name="_Toc474914615"/>
      <w:bookmarkStart w:id="1985" w:name="_Toc481751579"/>
      <w:bookmarkStart w:id="1986" w:name="_Toc522010636"/>
      <w:bookmarkStart w:id="1987" w:name="_Toc5269541"/>
      <w:r w:rsidRPr="00256982">
        <w:t>Table 6.7.2</w:t>
      </w:r>
      <w:r w:rsidRPr="00256982">
        <w:tab/>
        <w:t>New Zealand’s carbon stock change by carbon pool for the Wetlands category from 1990 to</w:t>
      </w:r>
      <w:bookmarkEnd w:id="1977"/>
      <w:bookmarkEnd w:id="1978"/>
      <w:bookmarkEnd w:id="1979"/>
      <w:bookmarkEnd w:id="1980"/>
      <w:r w:rsidRPr="00256982">
        <w:t> 201</w:t>
      </w:r>
      <w:bookmarkEnd w:id="1981"/>
      <w:bookmarkEnd w:id="1982"/>
      <w:bookmarkEnd w:id="1983"/>
      <w:bookmarkEnd w:id="1984"/>
      <w:bookmarkEnd w:id="1985"/>
      <w:r w:rsidRPr="00256982">
        <w:t>7</w:t>
      </w:r>
      <w:bookmarkEnd w:id="1986"/>
      <w:bookmarkEnd w:id="1987"/>
    </w:p>
    <w:tbl>
      <w:tblPr>
        <w:tblW w:w="8505" w:type="dxa"/>
        <w:tblInd w:w="108" w:type="dxa"/>
        <w:tblLayout w:type="fixed"/>
        <w:tblLook w:val="04A0" w:firstRow="1" w:lastRow="0" w:firstColumn="1" w:lastColumn="0" w:noHBand="0" w:noVBand="1"/>
      </w:tblPr>
      <w:tblGrid>
        <w:gridCol w:w="2467"/>
        <w:gridCol w:w="1206"/>
        <w:gridCol w:w="1345"/>
        <w:gridCol w:w="1150"/>
        <w:gridCol w:w="1150"/>
        <w:gridCol w:w="1187"/>
      </w:tblGrid>
      <w:tr w:rsidR="00380BE7" w:rsidRPr="00256982" w14:paraId="35085DF5" w14:textId="77777777" w:rsidTr="009574E7">
        <w:tc>
          <w:tcPr>
            <w:tcW w:w="2467" w:type="dxa"/>
            <w:vMerge w:val="restart"/>
            <w:tcBorders>
              <w:top w:val="single" w:sz="4" w:space="0" w:color="365F91"/>
            </w:tcBorders>
            <w:shd w:val="clear" w:color="auto" w:fill="365F91"/>
            <w:vAlign w:val="bottom"/>
          </w:tcPr>
          <w:p w14:paraId="73BA9833" w14:textId="77777777" w:rsidR="00380BE7" w:rsidRPr="00256982" w:rsidRDefault="00380BE7" w:rsidP="009574E7">
            <w:pPr>
              <w:pStyle w:val="TableTextBold"/>
              <w:spacing w:before="40" w:after="40"/>
              <w:rPr>
                <w:noProof w:val="0"/>
                <w:color w:val="FFFFFF"/>
              </w:rPr>
            </w:pPr>
            <w:r w:rsidRPr="00256982">
              <w:rPr>
                <w:noProof w:val="0"/>
                <w:color w:val="FFFFFF"/>
              </w:rPr>
              <w:t>Land use</w:t>
            </w:r>
          </w:p>
        </w:tc>
        <w:tc>
          <w:tcPr>
            <w:tcW w:w="4851" w:type="dxa"/>
            <w:gridSpan w:val="4"/>
            <w:tcBorders>
              <w:top w:val="single" w:sz="4" w:space="0" w:color="365F91"/>
            </w:tcBorders>
            <w:shd w:val="clear" w:color="auto" w:fill="365F91"/>
            <w:vAlign w:val="bottom"/>
          </w:tcPr>
          <w:p w14:paraId="586DCB6C" w14:textId="77777777" w:rsidR="00380BE7" w:rsidRPr="00256982" w:rsidRDefault="00380BE7" w:rsidP="009574E7">
            <w:pPr>
              <w:pStyle w:val="TableTextBold"/>
              <w:spacing w:before="40" w:after="40"/>
              <w:jc w:val="center"/>
              <w:rPr>
                <w:noProof w:val="0"/>
                <w:color w:val="FFFFFF"/>
              </w:rPr>
            </w:pPr>
            <w:r w:rsidRPr="00256982">
              <w:rPr>
                <w:noProof w:val="0"/>
                <w:color w:val="FFFFFF"/>
              </w:rPr>
              <w:t>Net carbon stock change 1990–2017 (kt C)</w:t>
            </w:r>
          </w:p>
        </w:tc>
        <w:tc>
          <w:tcPr>
            <w:tcW w:w="1187" w:type="dxa"/>
            <w:vMerge w:val="restart"/>
            <w:tcBorders>
              <w:top w:val="single" w:sz="4" w:space="0" w:color="365F91"/>
            </w:tcBorders>
            <w:shd w:val="clear" w:color="auto" w:fill="365F91"/>
            <w:vAlign w:val="bottom"/>
          </w:tcPr>
          <w:p w14:paraId="0721C17C" w14:textId="77777777" w:rsidR="00380BE7" w:rsidRPr="00256982" w:rsidRDefault="00380BE7" w:rsidP="009574E7">
            <w:pPr>
              <w:pStyle w:val="TableTextBold"/>
              <w:spacing w:before="40" w:after="40"/>
              <w:jc w:val="center"/>
              <w:rPr>
                <w:noProof w:val="0"/>
                <w:color w:val="FFFFFF"/>
              </w:rPr>
            </w:pPr>
            <w:r w:rsidRPr="00256982">
              <w:rPr>
                <w:noProof w:val="0"/>
                <w:color w:val="FFFFFF"/>
              </w:rPr>
              <w:t>Emissions 1990–2017</w:t>
            </w:r>
            <w:r w:rsidRPr="00256982">
              <w:rPr>
                <w:noProof w:val="0"/>
                <w:color w:val="FFFFFF"/>
              </w:rPr>
              <w:br/>
              <w:t>(kt CO</w:t>
            </w:r>
            <w:r w:rsidRPr="00256982">
              <w:rPr>
                <w:noProof w:val="0"/>
                <w:color w:val="FFFFFF"/>
                <w:vertAlign w:val="subscript"/>
              </w:rPr>
              <w:t>2</w:t>
            </w:r>
            <w:r w:rsidRPr="00256982">
              <w:rPr>
                <w:noProof w:val="0"/>
                <w:color w:val="FFFFFF"/>
              </w:rPr>
              <w:t>)</w:t>
            </w:r>
          </w:p>
        </w:tc>
      </w:tr>
      <w:tr w:rsidR="00380BE7" w:rsidRPr="00256982" w14:paraId="66C5A22A" w14:textId="77777777" w:rsidTr="009574E7">
        <w:tc>
          <w:tcPr>
            <w:tcW w:w="2467" w:type="dxa"/>
            <w:vMerge/>
            <w:tcBorders>
              <w:bottom w:val="single" w:sz="4" w:space="0" w:color="365F91"/>
            </w:tcBorders>
          </w:tcPr>
          <w:p w14:paraId="1D09446A" w14:textId="77777777" w:rsidR="00380BE7" w:rsidRPr="00256982" w:rsidRDefault="00380BE7" w:rsidP="009574E7">
            <w:pPr>
              <w:pStyle w:val="TableTextBold"/>
              <w:spacing w:before="40" w:after="40"/>
              <w:rPr>
                <w:noProof w:val="0"/>
                <w:color w:val="FFFFFF"/>
              </w:rPr>
            </w:pPr>
          </w:p>
        </w:tc>
        <w:tc>
          <w:tcPr>
            <w:tcW w:w="1206" w:type="dxa"/>
            <w:tcBorders>
              <w:bottom w:val="single" w:sz="4" w:space="0" w:color="365F91"/>
            </w:tcBorders>
            <w:shd w:val="clear" w:color="auto" w:fill="365F91"/>
            <w:vAlign w:val="bottom"/>
          </w:tcPr>
          <w:p w14:paraId="07926A22" w14:textId="77777777" w:rsidR="00380BE7" w:rsidRPr="00256982" w:rsidRDefault="00380BE7" w:rsidP="009574E7">
            <w:pPr>
              <w:pStyle w:val="TableTextBold"/>
              <w:spacing w:before="40" w:after="40"/>
              <w:jc w:val="center"/>
              <w:rPr>
                <w:noProof w:val="0"/>
                <w:color w:val="FFFFFF"/>
              </w:rPr>
            </w:pPr>
            <w:r w:rsidRPr="00256982">
              <w:rPr>
                <w:noProof w:val="0"/>
                <w:color w:val="FFFFFF"/>
              </w:rPr>
              <w:t>Living biomass</w:t>
            </w:r>
          </w:p>
        </w:tc>
        <w:tc>
          <w:tcPr>
            <w:tcW w:w="1345" w:type="dxa"/>
            <w:tcBorders>
              <w:bottom w:val="single" w:sz="4" w:space="0" w:color="365F91"/>
            </w:tcBorders>
            <w:shd w:val="clear" w:color="auto" w:fill="365F91"/>
            <w:vAlign w:val="bottom"/>
          </w:tcPr>
          <w:p w14:paraId="16FE42BE" w14:textId="77777777" w:rsidR="00380BE7" w:rsidRPr="00256982" w:rsidRDefault="00380BE7" w:rsidP="009574E7">
            <w:pPr>
              <w:pStyle w:val="TableTextBold"/>
              <w:spacing w:before="40" w:after="40"/>
              <w:jc w:val="center"/>
              <w:rPr>
                <w:noProof w:val="0"/>
                <w:color w:val="FFFFFF"/>
              </w:rPr>
            </w:pPr>
            <w:r w:rsidRPr="00256982">
              <w:rPr>
                <w:noProof w:val="0"/>
                <w:color w:val="FFFFFF"/>
              </w:rPr>
              <w:t>Dead organic matter</w:t>
            </w:r>
          </w:p>
        </w:tc>
        <w:tc>
          <w:tcPr>
            <w:tcW w:w="1150" w:type="dxa"/>
            <w:tcBorders>
              <w:bottom w:val="single" w:sz="4" w:space="0" w:color="365F91"/>
            </w:tcBorders>
            <w:shd w:val="clear" w:color="auto" w:fill="365F91"/>
            <w:vAlign w:val="bottom"/>
          </w:tcPr>
          <w:p w14:paraId="335322D4" w14:textId="77777777" w:rsidR="00380BE7" w:rsidRPr="00256982" w:rsidRDefault="00380BE7" w:rsidP="009574E7">
            <w:pPr>
              <w:pStyle w:val="TableTextBold"/>
              <w:spacing w:before="40" w:after="40"/>
              <w:jc w:val="center"/>
              <w:rPr>
                <w:noProof w:val="0"/>
                <w:color w:val="FFFFFF"/>
              </w:rPr>
            </w:pPr>
            <w:r w:rsidRPr="00256982">
              <w:rPr>
                <w:noProof w:val="0"/>
                <w:color w:val="FFFFFF"/>
              </w:rPr>
              <w:t>Soils</w:t>
            </w:r>
          </w:p>
        </w:tc>
        <w:tc>
          <w:tcPr>
            <w:tcW w:w="1150" w:type="dxa"/>
            <w:tcBorders>
              <w:bottom w:val="single" w:sz="4" w:space="0" w:color="365F91"/>
            </w:tcBorders>
            <w:shd w:val="clear" w:color="auto" w:fill="365F91"/>
            <w:vAlign w:val="bottom"/>
          </w:tcPr>
          <w:p w14:paraId="176BF483" w14:textId="77777777" w:rsidR="00380BE7" w:rsidRPr="00256982" w:rsidRDefault="00380BE7" w:rsidP="009574E7">
            <w:pPr>
              <w:pStyle w:val="TableTextBold"/>
              <w:spacing w:before="40" w:after="40"/>
              <w:jc w:val="center"/>
              <w:rPr>
                <w:noProof w:val="0"/>
                <w:color w:val="FFFFFF"/>
              </w:rPr>
            </w:pPr>
            <w:r w:rsidRPr="00256982">
              <w:rPr>
                <w:noProof w:val="0"/>
                <w:color w:val="FFFFFF"/>
              </w:rPr>
              <w:t>Total</w:t>
            </w:r>
          </w:p>
        </w:tc>
        <w:tc>
          <w:tcPr>
            <w:tcW w:w="1187" w:type="dxa"/>
            <w:vMerge/>
            <w:tcBorders>
              <w:bottom w:val="single" w:sz="4" w:space="0" w:color="365F91"/>
            </w:tcBorders>
          </w:tcPr>
          <w:p w14:paraId="239002BC" w14:textId="77777777" w:rsidR="00380BE7" w:rsidRPr="00256982" w:rsidRDefault="00380BE7" w:rsidP="009574E7">
            <w:pPr>
              <w:pStyle w:val="TableTextBold"/>
              <w:spacing w:before="40" w:after="40"/>
              <w:jc w:val="center"/>
              <w:rPr>
                <w:noProof w:val="0"/>
                <w:color w:val="FFFFFF"/>
              </w:rPr>
            </w:pPr>
          </w:p>
        </w:tc>
      </w:tr>
      <w:tr w:rsidR="00380BE7" w:rsidRPr="00256982" w14:paraId="32758C09" w14:textId="77777777" w:rsidTr="009574E7">
        <w:trPr>
          <w:trHeight w:val="221"/>
        </w:trPr>
        <w:tc>
          <w:tcPr>
            <w:tcW w:w="2467" w:type="dxa"/>
            <w:tcBorders>
              <w:top w:val="single" w:sz="4" w:space="0" w:color="365F91"/>
              <w:bottom w:val="single" w:sz="4" w:space="0" w:color="365F91"/>
            </w:tcBorders>
          </w:tcPr>
          <w:p w14:paraId="46EB041E" w14:textId="77777777" w:rsidR="00380BE7" w:rsidRPr="00256982" w:rsidRDefault="00380BE7" w:rsidP="00ED0B35">
            <w:pPr>
              <w:pStyle w:val="TableText"/>
            </w:pPr>
            <w:r w:rsidRPr="00256982">
              <w:t>Wetlands – vegetated</w:t>
            </w:r>
          </w:p>
        </w:tc>
        <w:tc>
          <w:tcPr>
            <w:tcW w:w="1206" w:type="dxa"/>
            <w:tcBorders>
              <w:top w:val="single" w:sz="4" w:space="0" w:color="365F91"/>
              <w:bottom w:val="single" w:sz="4" w:space="0" w:color="365F91"/>
            </w:tcBorders>
          </w:tcPr>
          <w:p w14:paraId="4109CB17" w14:textId="77777777" w:rsidR="00380BE7" w:rsidRPr="00256982" w:rsidRDefault="00380BE7" w:rsidP="00ED0B35">
            <w:pPr>
              <w:pStyle w:val="TableText"/>
              <w:jc w:val="right"/>
            </w:pPr>
            <w:r w:rsidRPr="00256982">
              <w:rPr>
                <w:rFonts w:cs="Arial"/>
                <w:color w:val="000000"/>
                <w:szCs w:val="16"/>
              </w:rPr>
              <w:t>–</w:t>
            </w:r>
            <w:r w:rsidRPr="00256982">
              <w:t>36.9</w:t>
            </w:r>
          </w:p>
        </w:tc>
        <w:tc>
          <w:tcPr>
            <w:tcW w:w="1345" w:type="dxa"/>
            <w:tcBorders>
              <w:top w:val="single" w:sz="4" w:space="0" w:color="365F91"/>
              <w:bottom w:val="single" w:sz="4" w:space="0" w:color="365F91"/>
            </w:tcBorders>
          </w:tcPr>
          <w:p w14:paraId="2FC1032E" w14:textId="77777777" w:rsidR="00380BE7" w:rsidRPr="00256982" w:rsidRDefault="00380BE7" w:rsidP="00ED0B35">
            <w:pPr>
              <w:pStyle w:val="TableText"/>
              <w:jc w:val="right"/>
            </w:pPr>
            <w:r w:rsidRPr="00256982">
              <w:rPr>
                <w:rFonts w:cs="Arial"/>
                <w:color w:val="000000"/>
                <w:szCs w:val="16"/>
              </w:rPr>
              <w:t>–</w:t>
            </w:r>
            <w:r w:rsidRPr="00256982">
              <w:t>2.9</w:t>
            </w:r>
          </w:p>
        </w:tc>
        <w:tc>
          <w:tcPr>
            <w:tcW w:w="1150" w:type="dxa"/>
            <w:tcBorders>
              <w:top w:val="single" w:sz="4" w:space="0" w:color="365F91"/>
              <w:bottom w:val="single" w:sz="4" w:space="0" w:color="365F91"/>
            </w:tcBorders>
          </w:tcPr>
          <w:p w14:paraId="1AA3BCAD" w14:textId="77777777" w:rsidR="00380BE7" w:rsidRPr="00256982" w:rsidRDefault="00380BE7" w:rsidP="00ED0B35">
            <w:pPr>
              <w:pStyle w:val="TableText"/>
              <w:jc w:val="right"/>
            </w:pPr>
            <w:r w:rsidRPr="00256982">
              <w:rPr>
                <w:rFonts w:cs="Arial"/>
                <w:color w:val="000000"/>
                <w:szCs w:val="16"/>
              </w:rPr>
              <w:t>–</w:t>
            </w:r>
            <w:r w:rsidRPr="00256982">
              <w:t>80.9</w:t>
            </w:r>
          </w:p>
        </w:tc>
        <w:tc>
          <w:tcPr>
            <w:tcW w:w="1150" w:type="dxa"/>
            <w:tcBorders>
              <w:top w:val="single" w:sz="4" w:space="0" w:color="365F91"/>
              <w:bottom w:val="single" w:sz="4" w:space="0" w:color="365F91"/>
            </w:tcBorders>
          </w:tcPr>
          <w:p w14:paraId="1689FED5" w14:textId="77777777" w:rsidR="00380BE7" w:rsidRPr="00256982" w:rsidRDefault="00380BE7" w:rsidP="00ED0B35">
            <w:pPr>
              <w:pStyle w:val="TableText"/>
              <w:jc w:val="right"/>
            </w:pPr>
            <w:r w:rsidRPr="00256982">
              <w:rPr>
                <w:rFonts w:cs="Arial"/>
                <w:color w:val="000000"/>
                <w:szCs w:val="16"/>
              </w:rPr>
              <w:t>–</w:t>
            </w:r>
            <w:r w:rsidRPr="00256982">
              <w:t>120.7</w:t>
            </w:r>
          </w:p>
        </w:tc>
        <w:tc>
          <w:tcPr>
            <w:tcW w:w="1187" w:type="dxa"/>
            <w:tcBorders>
              <w:top w:val="single" w:sz="4" w:space="0" w:color="365F91"/>
              <w:bottom w:val="single" w:sz="4" w:space="0" w:color="365F91"/>
            </w:tcBorders>
          </w:tcPr>
          <w:p w14:paraId="4701FDE1" w14:textId="77777777" w:rsidR="00380BE7" w:rsidRPr="00256982" w:rsidRDefault="00380BE7" w:rsidP="00ED0B35">
            <w:pPr>
              <w:pStyle w:val="TableText"/>
              <w:jc w:val="right"/>
            </w:pPr>
            <w:r w:rsidRPr="00256982">
              <w:t>442.5</w:t>
            </w:r>
          </w:p>
        </w:tc>
      </w:tr>
      <w:tr w:rsidR="00380BE7" w:rsidRPr="00256982" w14:paraId="0DAB4AA2" w14:textId="77777777" w:rsidTr="009574E7">
        <w:tc>
          <w:tcPr>
            <w:tcW w:w="2467" w:type="dxa"/>
            <w:tcBorders>
              <w:top w:val="single" w:sz="4" w:space="0" w:color="365F91"/>
              <w:bottom w:val="single" w:sz="4" w:space="0" w:color="365F91"/>
            </w:tcBorders>
          </w:tcPr>
          <w:p w14:paraId="628A134E" w14:textId="77777777" w:rsidR="00380BE7" w:rsidRPr="00256982" w:rsidRDefault="00380BE7" w:rsidP="00ED0B35">
            <w:pPr>
              <w:pStyle w:val="TableText"/>
            </w:pPr>
            <w:r w:rsidRPr="00256982">
              <w:t>Wetlands – open water</w:t>
            </w:r>
          </w:p>
        </w:tc>
        <w:tc>
          <w:tcPr>
            <w:tcW w:w="1206" w:type="dxa"/>
            <w:tcBorders>
              <w:top w:val="single" w:sz="4" w:space="0" w:color="365F91"/>
              <w:bottom w:val="single" w:sz="4" w:space="0" w:color="365F91"/>
            </w:tcBorders>
          </w:tcPr>
          <w:p w14:paraId="66136F99" w14:textId="77777777" w:rsidR="00380BE7" w:rsidRPr="00256982" w:rsidRDefault="00380BE7" w:rsidP="00ED0B35">
            <w:pPr>
              <w:pStyle w:val="TableText"/>
              <w:jc w:val="right"/>
            </w:pPr>
            <w:r w:rsidRPr="00256982">
              <w:rPr>
                <w:rFonts w:cs="Arial"/>
                <w:color w:val="000000"/>
                <w:szCs w:val="16"/>
              </w:rPr>
              <w:t>–</w:t>
            </w:r>
            <w:r w:rsidRPr="00256982">
              <w:t>71.6</w:t>
            </w:r>
          </w:p>
        </w:tc>
        <w:tc>
          <w:tcPr>
            <w:tcW w:w="1345" w:type="dxa"/>
            <w:tcBorders>
              <w:top w:val="single" w:sz="4" w:space="0" w:color="365F91"/>
              <w:bottom w:val="single" w:sz="4" w:space="0" w:color="365F91"/>
            </w:tcBorders>
          </w:tcPr>
          <w:p w14:paraId="12AD3FBD" w14:textId="77777777" w:rsidR="00380BE7" w:rsidRPr="00256982" w:rsidRDefault="00380BE7" w:rsidP="00ED0B35">
            <w:pPr>
              <w:pStyle w:val="TableText"/>
              <w:jc w:val="right"/>
            </w:pPr>
            <w:r w:rsidRPr="00256982">
              <w:rPr>
                <w:rFonts w:cs="Arial"/>
                <w:color w:val="000000"/>
                <w:szCs w:val="16"/>
              </w:rPr>
              <w:t>–</w:t>
            </w:r>
            <w:r w:rsidRPr="00256982">
              <w:t>4.3</w:t>
            </w:r>
          </w:p>
        </w:tc>
        <w:tc>
          <w:tcPr>
            <w:tcW w:w="1150" w:type="dxa"/>
            <w:tcBorders>
              <w:top w:val="single" w:sz="4" w:space="0" w:color="365F91"/>
              <w:bottom w:val="single" w:sz="4" w:space="0" w:color="365F91"/>
            </w:tcBorders>
          </w:tcPr>
          <w:p w14:paraId="1B72F281" w14:textId="77777777" w:rsidR="00380BE7" w:rsidRPr="00256982" w:rsidRDefault="00380BE7" w:rsidP="00ED0B35">
            <w:pPr>
              <w:pStyle w:val="TableText"/>
              <w:jc w:val="right"/>
            </w:pPr>
            <w:r w:rsidRPr="00256982">
              <w:t>94.6</w:t>
            </w:r>
          </w:p>
        </w:tc>
        <w:tc>
          <w:tcPr>
            <w:tcW w:w="1150" w:type="dxa"/>
            <w:tcBorders>
              <w:top w:val="single" w:sz="4" w:space="0" w:color="365F91"/>
              <w:bottom w:val="single" w:sz="4" w:space="0" w:color="365F91"/>
            </w:tcBorders>
          </w:tcPr>
          <w:p w14:paraId="23CE0539" w14:textId="77777777" w:rsidR="00380BE7" w:rsidRPr="00256982" w:rsidRDefault="00380BE7" w:rsidP="00ED0B35">
            <w:pPr>
              <w:pStyle w:val="TableText"/>
              <w:jc w:val="right"/>
            </w:pPr>
            <w:r w:rsidRPr="00256982">
              <w:t>18.7</w:t>
            </w:r>
          </w:p>
        </w:tc>
        <w:tc>
          <w:tcPr>
            <w:tcW w:w="1187" w:type="dxa"/>
            <w:tcBorders>
              <w:top w:val="single" w:sz="4" w:space="0" w:color="365F91"/>
              <w:bottom w:val="single" w:sz="4" w:space="0" w:color="365F91"/>
            </w:tcBorders>
          </w:tcPr>
          <w:p w14:paraId="31AB24B0" w14:textId="77777777" w:rsidR="00380BE7" w:rsidRPr="00256982" w:rsidRDefault="00380BE7" w:rsidP="00ED0B35">
            <w:pPr>
              <w:pStyle w:val="TableText"/>
              <w:jc w:val="right"/>
            </w:pPr>
            <w:r w:rsidRPr="00256982">
              <w:rPr>
                <w:rFonts w:cs="Arial"/>
                <w:color w:val="000000"/>
                <w:szCs w:val="16"/>
              </w:rPr>
              <w:t>–</w:t>
            </w:r>
            <w:r w:rsidRPr="00256982">
              <w:t>68.5</w:t>
            </w:r>
          </w:p>
        </w:tc>
      </w:tr>
      <w:tr w:rsidR="00380BE7" w:rsidRPr="00256982" w14:paraId="4E8C7054" w14:textId="77777777" w:rsidTr="009574E7">
        <w:tc>
          <w:tcPr>
            <w:tcW w:w="2467" w:type="dxa"/>
            <w:tcBorders>
              <w:top w:val="single" w:sz="4" w:space="0" w:color="365F91"/>
              <w:bottom w:val="single" w:sz="4" w:space="0" w:color="365F91"/>
            </w:tcBorders>
          </w:tcPr>
          <w:p w14:paraId="7F5AE265" w14:textId="77777777" w:rsidR="00380BE7" w:rsidRPr="00256982" w:rsidRDefault="00380BE7" w:rsidP="00ED0B35">
            <w:pPr>
              <w:pStyle w:val="Tableboldblue"/>
            </w:pPr>
            <w:r w:rsidRPr="00256982">
              <w:t>Total</w:t>
            </w:r>
          </w:p>
        </w:tc>
        <w:tc>
          <w:tcPr>
            <w:tcW w:w="1206" w:type="dxa"/>
            <w:tcBorders>
              <w:top w:val="single" w:sz="4" w:space="0" w:color="365F91"/>
              <w:bottom w:val="single" w:sz="4" w:space="0" w:color="365F91"/>
            </w:tcBorders>
          </w:tcPr>
          <w:p w14:paraId="5CAC29B6" w14:textId="77777777" w:rsidR="00380BE7" w:rsidRPr="00256982" w:rsidRDefault="00380BE7" w:rsidP="00ED0B35">
            <w:pPr>
              <w:pStyle w:val="Tableboldblue"/>
              <w:jc w:val="right"/>
              <w:rPr>
                <w:color w:val="44546A"/>
              </w:rPr>
            </w:pPr>
            <w:r w:rsidRPr="00256982">
              <w:rPr>
                <w:rFonts w:cs="Arial"/>
                <w:color w:val="000000"/>
                <w:szCs w:val="16"/>
              </w:rPr>
              <w:t>–</w:t>
            </w:r>
            <w:r w:rsidRPr="00256982">
              <w:t>108.5</w:t>
            </w:r>
          </w:p>
        </w:tc>
        <w:tc>
          <w:tcPr>
            <w:tcW w:w="1345" w:type="dxa"/>
            <w:tcBorders>
              <w:top w:val="single" w:sz="4" w:space="0" w:color="365F91"/>
              <w:bottom w:val="single" w:sz="4" w:space="0" w:color="365F91"/>
            </w:tcBorders>
          </w:tcPr>
          <w:p w14:paraId="53C9100B" w14:textId="77777777" w:rsidR="00380BE7" w:rsidRPr="00256982" w:rsidRDefault="00380BE7" w:rsidP="00ED0B35">
            <w:pPr>
              <w:pStyle w:val="Tableboldblue"/>
              <w:jc w:val="right"/>
              <w:rPr>
                <w:color w:val="44546A"/>
              </w:rPr>
            </w:pPr>
            <w:r w:rsidRPr="00256982">
              <w:rPr>
                <w:rFonts w:cs="Arial"/>
                <w:color w:val="000000"/>
                <w:szCs w:val="16"/>
              </w:rPr>
              <w:t>–</w:t>
            </w:r>
            <w:r w:rsidRPr="00256982">
              <w:t>7.1</w:t>
            </w:r>
          </w:p>
        </w:tc>
        <w:tc>
          <w:tcPr>
            <w:tcW w:w="1150" w:type="dxa"/>
            <w:tcBorders>
              <w:top w:val="single" w:sz="4" w:space="0" w:color="365F91"/>
              <w:bottom w:val="single" w:sz="4" w:space="0" w:color="365F91"/>
            </w:tcBorders>
          </w:tcPr>
          <w:p w14:paraId="63796989" w14:textId="77777777" w:rsidR="00380BE7" w:rsidRPr="00256982" w:rsidRDefault="00380BE7" w:rsidP="00ED0B35">
            <w:pPr>
              <w:pStyle w:val="Tableboldblue"/>
              <w:jc w:val="right"/>
              <w:rPr>
                <w:color w:val="44546A"/>
              </w:rPr>
            </w:pPr>
            <w:r w:rsidRPr="00256982">
              <w:t>13.7</w:t>
            </w:r>
          </w:p>
        </w:tc>
        <w:tc>
          <w:tcPr>
            <w:tcW w:w="1150" w:type="dxa"/>
            <w:tcBorders>
              <w:top w:val="single" w:sz="4" w:space="0" w:color="365F91"/>
              <w:bottom w:val="single" w:sz="4" w:space="0" w:color="365F91"/>
            </w:tcBorders>
          </w:tcPr>
          <w:p w14:paraId="43D28A0E" w14:textId="77777777" w:rsidR="00380BE7" w:rsidRPr="00256982" w:rsidRDefault="00380BE7" w:rsidP="00ED0B35">
            <w:pPr>
              <w:pStyle w:val="Tableboldblue"/>
              <w:jc w:val="right"/>
              <w:rPr>
                <w:color w:val="44546A"/>
              </w:rPr>
            </w:pPr>
            <w:r w:rsidRPr="00256982">
              <w:rPr>
                <w:rFonts w:cs="Arial"/>
                <w:color w:val="000000"/>
                <w:szCs w:val="16"/>
              </w:rPr>
              <w:t>–</w:t>
            </w:r>
            <w:r w:rsidRPr="00256982">
              <w:t>102.0</w:t>
            </w:r>
          </w:p>
        </w:tc>
        <w:tc>
          <w:tcPr>
            <w:tcW w:w="1187" w:type="dxa"/>
            <w:tcBorders>
              <w:top w:val="single" w:sz="4" w:space="0" w:color="365F91"/>
              <w:bottom w:val="single" w:sz="4" w:space="0" w:color="365F91"/>
            </w:tcBorders>
          </w:tcPr>
          <w:p w14:paraId="7F071A64" w14:textId="77777777" w:rsidR="00380BE7" w:rsidRPr="00256982" w:rsidRDefault="00380BE7" w:rsidP="00ED0B35">
            <w:pPr>
              <w:pStyle w:val="Tableboldblue"/>
              <w:jc w:val="right"/>
              <w:rPr>
                <w:color w:val="44546A"/>
              </w:rPr>
            </w:pPr>
            <w:r w:rsidRPr="00256982">
              <w:t>374.0</w:t>
            </w:r>
          </w:p>
        </w:tc>
      </w:tr>
    </w:tbl>
    <w:p w14:paraId="7CBE260C" w14:textId="77777777" w:rsidR="00380BE7" w:rsidRPr="00256982" w:rsidRDefault="00380BE7" w:rsidP="00380BE7">
      <w:pPr>
        <w:pStyle w:val="Noteundertable"/>
      </w:pPr>
      <w:r w:rsidRPr="00256982">
        <w:rPr>
          <w:b/>
        </w:rPr>
        <w:t xml:space="preserve">Note: </w:t>
      </w:r>
      <w:r w:rsidRPr="00256982">
        <w:rPr>
          <w:b/>
        </w:rPr>
        <w:tab/>
      </w:r>
      <w:r w:rsidRPr="00256982">
        <w:t>Columns may not total due to rounding.</w:t>
      </w:r>
    </w:p>
    <w:p w14:paraId="25C68AE7" w14:textId="77777777" w:rsidR="00380BE7" w:rsidRPr="00256982" w:rsidRDefault="00380BE7" w:rsidP="00380BE7">
      <w:pPr>
        <w:pStyle w:val="Heading3"/>
      </w:pPr>
      <w:r w:rsidRPr="00256982">
        <w:t>6.7.2</w:t>
      </w:r>
      <w:r w:rsidRPr="00256982">
        <w:tab/>
        <w:t>Methodological issues</w:t>
      </w:r>
    </w:p>
    <w:p w14:paraId="4CCB932A" w14:textId="77777777" w:rsidR="00380BE7" w:rsidRPr="00256982" w:rsidRDefault="00380BE7" w:rsidP="00380BE7">
      <w:pPr>
        <w:pStyle w:val="Heading4"/>
      </w:pPr>
      <w:r w:rsidRPr="00256982">
        <w:t>Wetlands remaining wetlands (CRF 4.D.1)</w:t>
      </w:r>
    </w:p>
    <w:p w14:paraId="38D98488" w14:textId="77777777" w:rsidR="00380BE7" w:rsidRPr="00256982" w:rsidRDefault="00380BE7" w:rsidP="00380BE7">
      <w:pPr>
        <w:pStyle w:val="Heading5"/>
        <w:spacing w:before="160"/>
      </w:pPr>
      <w:r w:rsidRPr="00256982">
        <w:t xml:space="preserve">Living biomass and dead organic matter </w:t>
      </w:r>
    </w:p>
    <w:p w14:paraId="0BBE19D2" w14:textId="77777777" w:rsidR="00380BE7" w:rsidRPr="00256982" w:rsidRDefault="00380BE7" w:rsidP="00380BE7">
      <w:pPr>
        <w:pStyle w:val="BodyText"/>
        <w:rPr>
          <w:spacing w:val="-2"/>
        </w:rPr>
      </w:pPr>
      <w:r w:rsidRPr="00256982">
        <w:rPr>
          <w:spacing w:val="-2"/>
        </w:rPr>
        <w:t>New Zealand applies Tier 1 methods for estimating CO</w:t>
      </w:r>
      <w:r w:rsidRPr="00256982">
        <w:rPr>
          <w:spacing w:val="-2"/>
          <w:vertAlign w:val="subscript"/>
        </w:rPr>
        <w:t>2</w:t>
      </w:r>
      <w:r w:rsidRPr="00256982">
        <w:rPr>
          <w:spacing w:val="-2"/>
        </w:rPr>
        <w:t xml:space="preserve"> emissions in </w:t>
      </w:r>
      <w:r w:rsidRPr="00256982">
        <w:rPr>
          <w:i/>
          <w:spacing w:val="-2"/>
        </w:rPr>
        <w:t>Wetlands remaining wetlands</w:t>
      </w:r>
      <w:r w:rsidRPr="00256982">
        <w:rPr>
          <w:spacing w:val="-2"/>
        </w:rPr>
        <w:t xml:space="preserve"> (following the guidance provided in section 7.1 of the 2006 IPCC Guidelines</w:t>
      </w:r>
      <w:r w:rsidRPr="00256982" w:rsidDel="0015189E">
        <w:rPr>
          <w:spacing w:val="-2"/>
        </w:rPr>
        <w:t xml:space="preserve"> </w:t>
      </w:r>
      <w:r w:rsidRPr="00256982">
        <w:rPr>
          <w:spacing w:val="-2"/>
        </w:rPr>
        <w:t xml:space="preserve">(IPCC, 2006a)). Chapter 7 (IPCC, 2006a) provides guidance for estimating emissions from flooded land and extraction from peat land. Recultivation of peat land is included under the Agriculture sector. </w:t>
      </w:r>
    </w:p>
    <w:p w14:paraId="16F13A8C" w14:textId="77777777" w:rsidR="00380BE7" w:rsidRPr="00256982" w:rsidRDefault="00380BE7" w:rsidP="00380BE7">
      <w:pPr>
        <w:pStyle w:val="BodyText"/>
      </w:pPr>
      <w:r w:rsidRPr="00256982">
        <w:t xml:space="preserve">Due to the current lack of data on biomass carbon stock changes in </w:t>
      </w:r>
      <w:r w:rsidRPr="00256982">
        <w:rPr>
          <w:i/>
        </w:rPr>
        <w:t>Wetlands remaining wetlands</w:t>
      </w:r>
      <w:r w:rsidRPr="00256982">
        <w:t>, New Zealand has not prepared estimates for change in living biomass or dead organic matter for this category. New Zealand reports the notation key NE (not estimated) in the CRF table for this category.</w:t>
      </w:r>
    </w:p>
    <w:p w14:paraId="3F5FDB9C" w14:textId="77777777" w:rsidR="00380BE7" w:rsidRPr="00256982" w:rsidRDefault="00380BE7" w:rsidP="00380BE7">
      <w:pPr>
        <w:pStyle w:val="Heading5"/>
      </w:pPr>
      <w:r w:rsidRPr="00256982">
        <w:t>Soil carbon</w:t>
      </w:r>
    </w:p>
    <w:p w14:paraId="5B78C5D7" w14:textId="77777777" w:rsidR="00380BE7" w:rsidRPr="00256982" w:rsidRDefault="00380BE7" w:rsidP="007A551F">
      <w:pPr>
        <w:pStyle w:val="BodyText"/>
      </w:pPr>
      <w:r w:rsidRPr="00256982">
        <w:t xml:space="preserve">SOC stocks in </w:t>
      </w:r>
      <w:r w:rsidRPr="00256982">
        <w:rPr>
          <w:i/>
        </w:rPr>
        <w:t>Wetlands remaining wetlands</w:t>
      </w:r>
      <w:r w:rsidRPr="00256982">
        <w:t xml:space="preserve"> are estimated using a Tier 2 method for mineral soils (see section 6.3) and Tier 1 methods for organic soils. The mineral soil steady state carbon stock for vegetated wetlands is estimated to be </w:t>
      </w:r>
      <w:r w:rsidRPr="00256982">
        <w:rPr>
          <w:color w:val="000000"/>
          <w:lang w:eastAsia="en-NZ"/>
        </w:rPr>
        <w:t xml:space="preserve">136.06 </w:t>
      </w:r>
      <w:r w:rsidRPr="00256982">
        <w:t>tonnes C ha</w:t>
      </w:r>
      <w:r w:rsidRPr="00256982">
        <w:rPr>
          <w:vertAlign w:val="superscript"/>
        </w:rPr>
        <w:t>–1</w:t>
      </w:r>
      <w:r w:rsidRPr="00256982">
        <w:t xml:space="preserve">, with an uncertainty of </w:t>
      </w:r>
      <w:r w:rsidRPr="00256982">
        <w:lastRenderedPageBreak/>
        <w:t>±12.3 per cent (see table 6.3.2). For open water, the SOC stock at equilibrium is assumed to be the same value as that of low producing grassland (105.98 tonnes C ha</w:t>
      </w:r>
      <w:r w:rsidRPr="00256982">
        <w:rPr>
          <w:vertAlign w:val="superscript"/>
        </w:rPr>
        <w:t>–1</w:t>
      </w:r>
      <w:r w:rsidRPr="00256982">
        <w:t xml:space="preserve">, with an uncertainty of ±7.3 per cent). </w:t>
      </w:r>
    </w:p>
    <w:p w14:paraId="434A9E99" w14:textId="77777777" w:rsidR="00380BE7" w:rsidRPr="00256982" w:rsidRDefault="00380BE7" w:rsidP="007A551F">
      <w:pPr>
        <w:pStyle w:val="BodyText"/>
      </w:pPr>
      <w:r w:rsidRPr="00256982">
        <w:t xml:space="preserve">For mineral soils, as with living biomass and dead organic matter, there are no emissions for </w:t>
      </w:r>
      <w:r w:rsidRPr="00256982">
        <w:rPr>
          <w:i/>
        </w:rPr>
        <w:t xml:space="preserve">Wetlands </w:t>
      </w:r>
      <w:r w:rsidRPr="00256982">
        <w:t>in steady state so the notation key NE (not estimated) is used in accordance with Decision 24/CP.19 (UNFCCC, 2014).</w:t>
      </w:r>
    </w:p>
    <w:p w14:paraId="20B33717" w14:textId="77777777" w:rsidR="00380BE7" w:rsidRPr="00256982" w:rsidRDefault="00380BE7" w:rsidP="007A551F">
      <w:pPr>
        <w:pStyle w:val="BodyText"/>
      </w:pPr>
      <w:r w:rsidRPr="00256982">
        <w:t xml:space="preserve">For organic soils, IPCC good practice guidance is limited to the estimation of carbon emissions associated with peat extraction. In New Zealand, oligotrophic </w:t>
      </w:r>
      <w:r w:rsidRPr="00256982">
        <w:rPr>
          <w:i/>
        </w:rPr>
        <w:t>Sphagnum</w:t>
      </w:r>
      <w:r w:rsidRPr="00256982">
        <w:t xml:space="preserve"> peat is mined for horticultural use (Clarkson, unpublished). Carbon dioxide emissions from the extraction of horticultural peat are estimated from two sources: on-site emissions from peat production and off-site emissions from its subsequent use. Tier 1 default emission factors are applied. </w:t>
      </w:r>
      <w:r w:rsidRPr="00256982">
        <w:rPr>
          <w:szCs w:val="22"/>
        </w:rPr>
        <w:t>Non-CO</w:t>
      </w:r>
      <w:r w:rsidRPr="00256982">
        <w:rPr>
          <w:szCs w:val="22"/>
          <w:vertAlign w:val="subscript"/>
        </w:rPr>
        <w:t>2</w:t>
      </w:r>
      <w:r w:rsidRPr="00256982">
        <w:rPr>
          <w:szCs w:val="22"/>
        </w:rPr>
        <w:t xml:space="preserve"> emissions are not estimated because there is no method for estimating N</w:t>
      </w:r>
      <w:r w:rsidRPr="00256982">
        <w:rPr>
          <w:szCs w:val="22"/>
          <w:vertAlign w:val="subscript"/>
        </w:rPr>
        <w:t>2</w:t>
      </w:r>
      <w:r w:rsidRPr="00256982">
        <w:rPr>
          <w:szCs w:val="22"/>
        </w:rPr>
        <w:t>O emissions from the extraction of nutrient poor peat, and no CH</w:t>
      </w:r>
      <w:r w:rsidRPr="00256982">
        <w:rPr>
          <w:szCs w:val="22"/>
          <w:vertAlign w:val="subscript"/>
        </w:rPr>
        <w:t>4</w:t>
      </w:r>
      <w:r w:rsidRPr="00256982">
        <w:rPr>
          <w:szCs w:val="22"/>
        </w:rPr>
        <w:t xml:space="preserve"> emissions occur from this activity.</w:t>
      </w:r>
    </w:p>
    <w:p w14:paraId="1655293A" w14:textId="77777777" w:rsidR="00380BE7" w:rsidRPr="00256982" w:rsidRDefault="00380BE7" w:rsidP="00380BE7">
      <w:pPr>
        <w:pStyle w:val="Heading4"/>
      </w:pPr>
      <w:r w:rsidRPr="00256982">
        <w:t>Land converted to wetlands (CRF 4.D.2)</w:t>
      </w:r>
    </w:p>
    <w:p w14:paraId="5C1B4E91" w14:textId="77777777" w:rsidR="00380BE7" w:rsidRPr="00256982" w:rsidRDefault="00380BE7" w:rsidP="00380BE7">
      <w:pPr>
        <w:pStyle w:val="BodyText"/>
        <w:rPr>
          <w:spacing w:val="-2"/>
        </w:rPr>
      </w:pPr>
      <w:r w:rsidRPr="00256982">
        <w:rPr>
          <w:spacing w:val="-2"/>
        </w:rPr>
        <w:t>Between 1990 and 2017, 7,633 hectares of land were converted to</w:t>
      </w:r>
      <w:r w:rsidRPr="00256982">
        <w:rPr>
          <w:i/>
          <w:spacing w:val="-2"/>
        </w:rPr>
        <w:t xml:space="preserve"> Wetlands</w:t>
      </w:r>
      <w:r w:rsidRPr="00256982">
        <w:rPr>
          <w:spacing w:val="-2"/>
        </w:rPr>
        <w:t xml:space="preserve">, while 4,538 hectares of </w:t>
      </w:r>
      <w:r w:rsidRPr="00256982">
        <w:rPr>
          <w:i/>
          <w:spacing w:val="-2"/>
        </w:rPr>
        <w:t>Wetlands</w:t>
      </w:r>
      <w:r w:rsidRPr="00256982">
        <w:rPr>
          <w:spacing w:val="-2"/>
        </w:rPr>
        <w:t xml:space="preserve"> were converted to other land uses (mainly </w:t>
      </w:r>
      <w:r w:rsidRPr="00256982">
        <w:rPr>
          <w:i/>
          <w:spacing w:val="-2"/>
        </w:rPr>
        <w:t>Grassland</w:t>
      </w:r>
      <w:r w:rsidRPr="00256982">
        <w:rPr>
          <w:spacing w:val="-2"/>
        </w:rPr>
        <w:t xml:space="preserve"> at 3,749 hectares). This resulted in a net increase in total area reported under </w:t>
      </w:r>
      <w:r w:rsidRPr="00256982">
        <w:rPr>
          <w:i/>
          <w:spacing w:val="-2"/>
        </w:rPr>
        <w:t>Wetlands</w:t>
      </w:r>
      <w:r w:rsidRPr="00256982">
        <w:rPr>
          <w:spacing w:val="-2"/>
        </w:rPr>
        <w:t xml:space="preserve"> of 3,094 hectares. The wetland losses were mainly related to the conversion of vegetated wetland to grassland (3,182 hectares), however, these losses were offset by gains in the area of wetland open water (6,823 hectares). This was mainly due to the development of irrigation ponds in the Canterbury and Otago regions, however, approximately 760 hectares of new open water has resulted from new lakes forming within the Southern Alps, often at the foot of glaciers. </w:t>
      </w:r>
    </w:p>
    <w:p w14:paraId="1EA1E8DE" w14:textId="77777777" w:rsidR="00380BE7" w:rsidRPr="00256982" w:rsidRDefault="00380BE7" w:rsidP="00380BE7">
      <w:pPr>
        <w:pStyle w:val="BodyText"/>
      </w:pPr>
      <w:r w:rsidRPr="00256982">
        <w:rPr>
          <w:i/>
        </w:rPr>
        <w:t>Land converted to peat extraction</w:t>
      </w:r>
      <w:r w:rsidRPr="00256982">
        <w:t xml:space="preserve"> emissions are reported in the CRF tables as NO (not occurring) because the areas under peat extraction have remained static since 1990. For </w:t>
      </w:r>
      <w:r w:rsidRPr="00256982">
        <w:rPr>
          <w:i/>
        </w:rPr>
        <w:t>Land converted to flooded land</w:t>
      </w:r>
      <w:r w:rsidRPr="00256982">
        <w:t xml:space="preserve">, the area is included in the area mapped as </w:t>
      </w:r>
      <w:r w:rsidRPr="00256982">
        <w:rPr>
          <w:i/>
        </w:rPr>
        <w:t>Land converted to open water</w:t>
      </w:r>
      <w:r w:rsidRPr="00256982">
        <w:t xml:space="preserve"> (this category includes naturally occurring open water (natural lakes) as well as intentionally flooded land). This means emissions for </w:t>
      </w:r>
      <w:r w:rsidRPr="00256982">
        <w:rPr>
          <w:i/>
        </w:rPr>
        <w:t>Land converted to flooded land</w:t>
      </w:r>
      <w:r w:rsidRPr="00256982">
        <w:t xml:space="preserve"> are reported as IE (included elsewhere), and these emissions are captured under </w:t>
      </w:r>
      <w:r w:rsidRPr="00256982">
        <w:rPr>
          <w:i/>
        </w:rPr>
        <w:t>Land converted to open water</w:t>
      </w:r>
      <w:r w:rsidRPr="00256982">
        <w:t xml:space="preserve"> instead.</w:t>
      </w:r>
    </w:p>
    <w:p w14:paraId="446F5E78" w14:textId="77777777" w:rsidR="00380BE7" w:rsidRPr="00256982" w:rsidRDefault="00380BE7" w:rsidP="00380BE7">
      <w:pPr>
        <w:pStyle w:val="Heading5"/>
      </w:pPr>
      <w:r w:rsidRPr="00256982">
        <w:t xml:space="preserve">Living biomass and dead organic matter </w:t>
      </w:r>
    </w:p>
    <w:p w14:paraId="7F8808EB" w14:textId="77777777" w:rsidR="00380BE7" w:rsidRPr="00256982" w:rsidRDefault="00380BE7" w:rsidP="00380BE7">
      <w:pPr>
        <w:pStyle w:val="BodyText"/>
        <w:spacing w:before="100"/>
        <w:rPr>
          <w:spacing w:val="-2"/>
        </w:rPr>
      </w:pPr>
      <w:r w:rsidRPr="00256982">
        <w:rPr>
          <w:spacing w:val="-2"/>
        </w:rPr>
        <w:t xml:space="preserve">New Zealand uses a Tier 1 method to calculate emissions from </w:t>
      </w:r>
      <w:r w:rsidRPr="00256982">
        <w:rPr>
          <w:i/>
          <w:spacing w:val="-2"/>
        </w:rPr>
        <w:t>Land converted to wetlands</w:t>
      </w:r>
      <w:r w:rsidRPr="00256982">
        <w:rPr>
          <w:spacing w:val="-2"/>
        </w:rPr>
        <w:t xml:space="preserve"> (equation 7.10, IPCC, 2006a). The Tier 1 method assumes the carbon in living biomass and dead organic matter present before conversion is lost in the same year as the conversion takes place. </w:t>
      </w:r>
    </w:p>
    <w:p w14:paraId="20CB0BB8" w14:textId="77777777" w:rsidR="00380BE7" w:rsidRPr="00256982" w:rsidRDefault="00380BE7" w:rsidP="00380BE7">
      <w:pPr>
        <w:pStyle w:val="BodyText"/>
        <w:spacing w:before="100"/>
      </w:pPr>
      <w:r w:rsidRPr="00256982">
        <w:t xml:space="preserve">For open water wetlands, the carbon stocks in living biomass and dead organic matter following conversions are equal to zero. For vegetated wetlands, the carbon stocks in living biomass and dead organic matter are not estimated because there is no guidance in the 2006 IPCC Guidelines (IPCC, 2006a) for estimating carbon stock following land-use change to </w:t>
      </w:r>
      <w:r w:rsidRPr="00256982">
        <w:rPr>
          <w:i/>
        </w:rPr>
        <w:t>Wetlands</w:t>
      </w:r>
      <w:r w:rsidRPr="00256982">
        <w:t xml:space="preserve">, and all emissions from land-use change to </w:t>
      </w:r>
      <w:r w:rsidRPr="00256982">
        <w:rPr>
          <w:i/>
        </w:rPr>
        <w:t>Wetlands</w:t>
      </w:r>
      <w:r w:rsidRPr="00256982">
        <w:t xml:space="preserve"> from removal of the previous vegetation are instantly emitted. </w:t>
      </w:r>
    </w:p>
    <w:p w14:paraId="288D5E7F" w14:textId="77777777" w:rsidR="00380BE7" w:rsidRPr="00256982" w:rsidRDefault="00380BE7" w:rsidP="00380BE7">
      <w:pPr>
        <w:pStyle w:val="BodyText"/>
        <w:spacing w:before="100"/>
      </w:pPr>
      <w:r w:rsidRPr="00256982">
        <w:t xml:space="preserve">If the land-use change does not occur, the notation key NO (not occurring) is reported within the CRF tables. If the estimate of gains in biomass is zero, then NA (not applicable) is reported instead because it is not possible to enter zero for biomass gains in the CRF reporting software. </w:t>
      </w:r>
    </w:p>
    <w:p w14:paraId="526F0102" w14:textId="77777777" w:rsidR="00380BE7" w:rsidRPr="00256982" w:rsidRDefault="00380BE7" w:rsidP="00380BE7">
      <w:pPr>
        <w:pStyle w:val="Heading5"/>
      </w:pPr>
      <w:r w:rsidRPr="00256982">
        <w:t>Soil carbon</w:t>
      </w:r>
    </w:p>
    <w:p w14:paraId="07867F86" w14:textId="77777777" w:rsidR="00380BE7" w:rsidRPr="00256982" w:rsidRDefault="00380BE7" w:rsidP="00380BE7">
      <w:pPr>
        <w:pStyle w:val="BodyText"/>
        <w:spacing w:before="100"/>
      </w:pPr>
      <w:r w:rsidRPr="00256982">
        <w:t xml:space="preserve">SOC stocks in </w:t>
      </w:r>
      <w:r w:rsidRPr="00256982">
        <w:rPr>
          <w:i/>
        </w:rPr>
        <w:t>Land converted to wetlands</w:t>
      </w:r>
      <w:r w:rsidRPr="00256982">
        <w:t xml:space="preserve"> are estimated using a Tier 2 method, as described in section 6.3. In the absence of data on the rate of change specific to country and land use, the </w:t>
      </w:r>
      <w:r w:rsidRPr="00256982">
        <w:lastRenderedPageBreak/>
        <w:t xml:space="preserve">IPCC default method of a linear change over a 20-year period is used to estimate the change in SOC stocks between the original land use and </w:t>
      </w:r>
      <w:r w:rsidRPr="00256982">
        <w:rPr>
          <w:i/>
        </w:rPr>
        <w:t>Wetlands</w:t>
      </w:r>
      <w:r w:rsidRPr="00256982">
        <w:t xml:space="preserve"> for any given period. </w:t>
      </w:r>
    </w:p>
    <w:p w14:paraId="4DD6EA55" w14:textId="77777777" w:rsidR="00380BE7" w:rsidRPr="00256982" w:rsidRDefault="00380BE7" w:rsidP="00380BE7">
      <w:pPr>
        <w:pStyle w:val="Heading5"/>
      </w:pPr>
      <w:r w:rsidRPr="00256982">
        <w:t>Non-CO</w:t>
      </w:r>
      <w:r w:rsidRPr="00256982">
        <w:rPr>
          <w:vertAlign w:val="subscript"/>
        </w:rPr>
        <w:t>2</w:t>
      </w:r>
      <w:r w:rsidRPr="00256982">
        <w:t xml:space="preserve"> emissions</w:t>
      </w:r>
    </w:p>
    <w:p w14:paraId="48E890A0" w14:textId="77777777" w:rsidR="00380BE7" w:rsidRPr="00256982" w:rsidRDefault="00380BE7" w:rsidP="00380BE7">
      <w:pPr>
        <w:pStyle w:val="Heading6"/>
        <w:spacing w:before="120"/>
      </w:pPr>
      <w:r w:rsidRPr="00256982">
        <w:t>Non-CO</w:t>
      </w:r>
      <w:r w:rsidRPr="00256982">
        <w:rPr>
          <w:vertAlign w:val="subscript"/>
        </w:rPr>
        <w:t>2</w:t>
      </w:r>
      <w:r w:rsidRPr="00256982">
        <w:t xml:space="preserve"> emissions from drainage of soils and wetlands</w:t>
      </w:r>
    </w:p>
    <w:p w14:paraId="1D012A7C" w14:textId="77777777" w:rsidR="00380BE7" w:rsidRPr="00256982" w:rsidRDefault="00380BE7" w:rsidP="002578F9">
      <w:pPr>
        <w:pStyle w:val="BodyText"/>
        <w:spacing w:before="100" w:after="100"/>
      </w:pPr>
      <w:r w:rsidRPr="00256982">
        <w:t xml:space="preserve">New Zealand has not prepared estimates for this category. The notation key NE (not estimated) is used in the CRF tables where either no activity data are available to report on this activity or no Tier 1 methodology exists within the accepted guidelines for providing estimates. Use of these notation keys is in accordance with Decision 24/CP.19 (UNFCCC, 2014). </w:t>
      </w:r>
    </w:p>
    <w:p w14:paraId="50C7A126" w14:textId="77777777" w:rsidR="00380BE7" w:rsidRPr="00256982" w:rsidRDefault="00380BE7" w:rsidP="002578F9">
      <w:pPr>
        <w:pStyle w:val="Heading3"/>
        <w:spacing w:before="280"/>
      </w:pPr>
      <w:r w:rsidRPr="00256982">
        <w:t>6.7.3</w:t>
      </w:r>
      <w:r w:rsidRPr="00256982">
        <w:tab/>
        <w:t>Uncertainties and time-series consistency</w:t>
      </w:r>
    </w:p>
    <w:p w14:paraId="157E214C" w14:textId="77777777" w:rsidR="00380BE7" w:rsidRPr="00256982" w:rsidRDefault="00380BE7" w:rsidP="002578F9">
      <w:pPr>
        <w:pStyle w:val="BodyText"/>
        <w:spacing w:before="100" w:after="100"/>
      </w:pPr>
      <w:r w:rsidRPr="00256982">
        <w:t xml:space="preserve">The uncertainty in mapping </w:t>
      </w:r>
      <w:r w:rsidRPr="00256982">
        <w:rPr>
          <w:i/>
        </w:rPr>
        <w:t>Wetlands</w:t>
      </w:r>
      <w:r w:rsidRPr="00256982">
        <w:t xml:space="preserve"> is ±33.0 per cent (see table 6.7.3). Further details are given in section 6.2.5. The uncertainty for mineral SOC stocks in vegetated wetlands is ±12.3 per cent. The u</w:t>
      </w:r>
      <w:r w:rsidRPr="00256982">
        <w:rPr>
          <w:szCs w:val="22"/>
        </w:rPr>
        <w:t>ncertainty in the emission factor for peat extracted for horticultural use is ±90 per cent, the default IPCC value provided in the 2006 IPCC Guidelines (IPCC, 2006a).</w:t>
      </w:r>
    </w:p>
    <w:p w14:paraId="22D02911" w14:textId="77777777" w:rsidR="00380BE7" w:rsidRPr="00256982" w:rsidRDefault="00380BE7" w:rsidP="002578F9">
      <w:pPr>
        <w:pStyle w:val="BodyText"/>
        <w:spacing w:before="100" w:after="100"/>
      </w:pPr>
      <w:r w:rsidRPr="00256982">
        <w:t xml:space="preserve">Because emissions from </w:t>
      </w:r>
      <w:r w:rsidRPr="00256982">
        <w:rPr>
          <w:i/>
        </w:rPr>
        <w:t>Wetlands</w:t>
      </w:r>
      <w:r w:rsidRPr="00256982">
        <w:t xml:space="preserve"> are very small, the uncertainty introduced into net emissions for LULUCF is also very small.</w:t>
      </w:r>
    </w:p>
    <w:p w14:paraId="26C43D74" w14:textId="77777777" w:rsidR="00380BE7" w:rsidRPr="00256982" w:rsidRDefault="00380BE7" w:rsidP="00380BE7">
      <w:pPr>
        <w:pStyle w:val="Table"/>
      </w:pPr>
      <w:bookmarkStart w:id="1988" w:name="_Toc342470786"/>
      <w:bookmarkStart w:id="1989" w:name="_Toc352505026"/>
      <w:bookmarkStart w:id="1990" w:name="_Toc378853315"/>
      <w:bookmarkStart w:id="1991" w:name="_Toc391024113"/>
      <w:bookmarkStart w:id="1992" w:name="_Toc410028856"/>
      <w:bookmarkStart w:id="1993" w:name="_Toc414531484"/>
      <w:bookmarkStart w:id="1994" w:name="_Toc443645397"/>
      <w:bookmarkStart w:id="1995" w:name="_Toc474914616"/>
      <w:bookmarkStart w:id="1996" w:name="_Toc481751580"/>
      <w:bookmarkStart w:id="1997" w:name="_Toc522010637"/>
      <w:bookmarkStart w:id="1998" w:name="_Toc5269542"/>
      <w:r w:rsidRPr="00256982">
        <w:t>Table 6.7.3</w:t>
      </w:r>
      <w:r w:rsidRPr="00256982">
        <w:tab/>
        <w:t>Uncertainty in New Zealand’s 2017 estimates for the Wetlands category</w:t>
      </w:r>
      <w:bookmarkEnd w:id="1988"/>
      <w:r w:rsidRPr="00256982">
        <w:t xml:space="preserve"> (including land in transition)</w:t>
      </w:r>
      <w:bookmarkEnd w:id="1989"/>
      <w:bookmarkEnd w:id="1990"/>
      <w:bookmarkEnd w:id="1991"/>
      <w:bookmarkEnd w:id="1992"/>
      <w:bookmarkEnd w:id="1993"/>
      <w:bookmarkEnd w:id="1994"/>
      <w:bookmarkEnd w:id="1995"/>
      <w:bookmarkEnd w:id="1996"/>
      <w:bookmarkEnd w:id="1997"/>
      <w:bookmarkEnd w:id="1998"/>
    </w:p>
    <w:tbl>
      <w:tblPr>
        <w:tblW w:w="8505" w:type="dxa"/>
        <w:tblInd w:w="108" w:type="dxa"/>
        <w:tblCellMar>
          <w:left w:w="85" w:type="dxa"/>
          <w:right w:w="57" w:type="dxa"/>
        </w:tblCellMar>
        <w:tblLook w:val="04A0" w:firstRow="1" w:lastRow="0" w:firstColumn="1" w:lastColumn="0" w:noHBand="0" w:noVBand="1"/>
      </w:tblPr>
      <w:tblGrid>
        <w:gridCol w:w="4088"/>
        <w:gridCol w:w="2126"/>
        <w:gridCol w:w="2291"/>
      </w:tblGrid>
      <w:tr w:rsidR="00380BE7" w:rsidRPr="00256982" w14:paraId="21F51DFB" w14:textId="77777777" w:rsidTr="00423509">
        <w:tc>
          <w:tcPr>
            <w:tcW w:w="4088" w:type="dxa"/>
            <w:tcBorders>
              <w:top w:val="single" w:sz="4" w:space="0" w:color="365F91"/>
              <w:bottom w:val="single" w:sz="4" w:space="0" w:color="365F91"/>
            </w:tcBorders>
            <w:shd w:val="clear" w:color="auto" w:fill="365F91"/>
            <w:noWrap/>
            <w:vAlign w:val="bottom"/>
            <w:hideMark/>
          </w:tcPr>
          <w:p w14:paraId="51766188" w14:textId="77777777" w:rsidR="00380BE7" w:rsidRPr="00256982" w:rsidRDefault="00380BE7" w:rsidP="009574E7">
            <w:pPr>
              <w:pStyle w:val="TableTextBold"/>
              <w:spacing w:after="0"/>
              <w:rPr>
                <w:noProof w:val="0"/>
                <w:color w:val="FFFFFF"/>
              </w:rPr>
            </w:pPr>
            <w:r w:rsidRPr="00256982">
              <w:rPr>
                <w:noProof w:val="0"/>
                <w:color w:val="FFFFFF"/>
              </w:rPr>
              <w:t>Variable</w:t>
            </w:r>
          </w:p>
        </w:tc>
        <w:tc>
          <w:tcPr>
            <w:tcW w:w="4417" w:type="dxa"/>
            <w:gridSpan w:val="2"/>
            <w:tcBorders>
              <w:top w:val="single" w:sz="4" w:space="0" w:color="365F91"/>
              <w:bottom w:val="single" w:sz="4" w:space="0" w:color="365F91"/>
            </w:tcBorders>
            <w:shd w:val="clear" w:color="auto" w:fill="365F91"/>
            <w:noWrap/>
            <w:hideMark/>
          </w:tcPr>
          <w:p w14:paraId="458888CE" w14:textId="77777777" w:rsidR="00380BE7" w:rsidRPr="00256982" w:rsidRDefault="00380BE7" w:rsidP="009574E7">
            <w:pPr>
              <w:pStyle w:val="TableTextBold"/>
              <w:spacing w:after="0"/>
              <w:jc w:val="center"/>
              <w:rPr>
                <w:noProof w:val="0"/>
                <w:color w:val="FFFFFF"/>
              </w:rPr>
            </w:pPr>
            <w:r w:rsidRPr="00256982">
              <w:rPr>
                <w:noProof w:val="0"/>
                <w:color w:val="FFFFFF"/>
              </w:rPr>
              <w:t>Uncertainty at a 95% confidence interval</w:t>
            </w:r>
          </w:p>
        </w:tc>
      </w:tr>
      <w:tr w:rsidR="00380BE7" w:rsidRPr="00256982" w14:paraId="2F1B4DA7" w14:textId="77777777" w:rsidTr="00423509">
        <w:tc>
          <w:tcPr>
            <w:tcW w:w="4088" w:type="dxa"/>
            <w:tcBorders>
              <w:bottom w:val="single" w:sz="4" w:space="0" w:color="365F91"/>
            </w:tcBorders>
            <w:shd w:val="clear" w:color="auto" w:fill="365F91"/>
            <w:noWrap/>
            <w:vAlign w:val="bottom"/>
          </w:tcPr>
          <w:p w14:paraId="538BE32D" w14:textId="77777777" w:rsidR="00380BE7" w:rsidRPr="00256982" w:rsidRDefault="00380BE7" w:rsidP="009574E7">
            <w:pPr>
              <w:pStyle w:val="TableTextBold"/>
              <w:keepNext/>
              <w:spacing w:before="0"/>
              <w:rPr>
                <w:noProof w:val="0"/>
                <w:color w:val="FFFFFF"/>
              </w:rPr>
            </w:pPr>
            <w:r w:rsidRPr="00256982">
              <w:rPr>
                <w:noProof w:val="0"/>
                <w:color w:val="FFFFFF"/>
              </w:rPr>
              <w:t>Land use</w:t>
            </w:r>
          </w:p>
        </w:tc>
        <w:tc>
          <w:tcPr>
            <w:tcW w:w="2126" w:type="dxa"/>
            <w:tcBorders>
              <w:bottom w:val="single" w:sz="4" w:space="0" w:color="365F91"/>
            </w:tcBorders>
            <w:shd w:val="clear" w:color="auto" w:fill="365F91"/>
            <w:noWrap/>
            <w:vAlign w:val="bottom"/>
          </w:tcPr>
          <w:p w14:paraId="389709A5" w14:textId="77777777" w:rsidR="00380BE7" w:rsidRPr="00256982" w:rsidRDefault="00380BE7" w:rsidP="009574E7">
            <w:pPr>
              <w:pStyle w:val="TableTextBold"/>
              <w:keepNext/>
              <w:jc w:val="center"/>
              <w:rPr>
                <w:noProof w:val="0"/>
                <w:color w:val="FFFFFF"/>
              </w:rPr>
            </w:pPr>
            <w:r w:rsidRPr="00256982">
              <w:rPr>
                <w:noProof w:val="0"/>
                <w:color w:val="FFFFFF"/>
              </w:rPr>
              <w:t>Wetlands –vegetated (%)</w:t>
            </w:r>
          </w:p>
        </w:tc>
        <w:tc>
          <w:tcPr>
            <w:tcW w:w="2291" w:type="dxa"/>
            <w:tcBorders>
              <w:bottom w:val="single" w:sz="4" w:space="0" w:color="365F91"/>
            </w:tcBorders>
            <w:shd w:val="clear" w:color="auto" w:fill="365F91"/>
            <w:noWrap/>
            <w:vAlign w:val="bottom"/>
          </w:tcPr>
          <w:p w14:paraId="1559BFAF" w14:textId="77777777" w:rsidR="00380BE7" w:rsidRPr="00256982" w:rsidRDefault="00380BE7" w:rsidP="009574E7">
            <w:pPr>
              <w:pStyle w:val="TableTextBold"/>
              <w:keepNext/>
              <w:jc w:val="center"/>
              <w:rPr>
                <w:noProof w:val="0"/>
                <w:color w:val="FFFFFF"/>
              </w:rPr>
            </w:pPr>
            <w:r w:rsidRPr="00256982">
              <w:rPr>
                <w:noProof w:val="0"/>
                <w:color w:val="FFFFFF"/>
              </w:rPr>
              <w:t>Wetlands – open water (%)</w:t>
            </w:r>
          </w:p>
        </w:tc>
      </w:tr>
      <w:tr w:rsidR="00380BE7" w:rsidRPr="00256982" w14:paraId="7EDAF880" w14:textId="77777777" w:rsidTr="00423509">
        <w:tc>
          <w:tcPr>
            <w:tcW w:w="4088" w:type="dxa"/>
            <w:tcBorders>
              <w:top w:val="single" w:sz="4" w:space="0" w:color="365F91"/>
              <w:bottom w:val="single" w:sz="4" w:space="0" w:color="365F91"/>
            </w:tcBorders>
            <w:noWrap/>
            <w:hideMark/>
          </w:tcPr>
          <w:p w14:paraId="457ED888" w14:textId="77777777" w:rsidR="00380BE7" w:rsidRPr="00256982" w:rsidRDefault="00380BE7" w:rsidP="00423509">
            <w:pPr>
              <w:pStyle w:val="TableTextBold"/>
              <w:spacing w:before="40" w:after="40"/>
              <w:rPr>
                <w:noProof w:val="0"/>
              </w:rPr>
            </w:pPr>
            <w:r w:rsidRPr="00256982">
              <w:rPr>
                <w:noProof w:val="0"/>
              </w:rPr>
              <w:t>Activity data</w:t>
            </w:r>
          </w:p>
        </w:tc>
        <w:tc>
          <w:tcPr>
            <w:tcW w:w="2126" w:type="dxa"/>
            <w:tcBorders>
              <w:top w:val="single" w:sz="4" w:space="0" w:color="365F91"/>
              <w:bottom w:val="single" w:sz="4" w:space="0" w:color="365F91"/>
            </w:tcBorders>
            <w:noWrap/>
            <w:hideMark/>
          </w:tcPr>
          <w:p w14:paraId="2E45C395" w14:textId="77777777" w:rsidR="00380BE7" w:rsidRPr="00256982" w:rsidRDefault="00380BE7" w:rsidP="00423509">
            <w:pPr>
              <w:pStyle w:val="TableTextBold"/>
              <w:spacing w:before="40" w:after="40"/>
              <w:jc w:val="center"/>
              <w:rPr>
                <w:noProof w:val="0"/>
              </w:rPr>
            </w:pPr>
          </w:p>
        </w:tc>
        <w:tc>
          <w:tcPr>
            <w:tcW w:w="2291" w:type="dxa"/>
            <w:tcBorders>
              <w:top w:val="single" w:sz="4" w:space="0" w:color="365F91"/>
              <w:bottom w:val="single" w:sz="4" w:space="0" w:color="365F91"/>
            </w:tcBorders>
            <w:noWrap/>
            <w:hideMark/>
          </w:tcPr>
          <w:p w14:paraId="456CED5E" w14:textId="77777777" w:rsidR="00380BE7" w:rsidRPr="00256982" w:rsidRDefault="00380BE7" w:rsidP="00423509">
            <w:pPr>
              <w:pStyle w:val="TableTextBold"/>
              <w:spacing w:before="40" w:after="40"/>
              <w:jc w:val="center"/>
              <w:rPr>
                <w:noProof w:val="0"/>
              </w:rPr>
            </w:pPr>
          </w:p>
        </w:tc>
      </w:tr>
      <w:tr w:rsidR="00380BE7" w:rsidRPr="00256982" w14:paraId="52382EDA" w14:textId="77777777" w:rsidTr="00423509">
        <w:tc>
          <w:tcPr>
            <w:tcW w:w="4088" w:type="dxa"/>
            <w:tcBorders>
              <w:top w:val="single" w:sz="4" w:space="0" w:color="365F91"/>
              <w:bottom w:val="single" w:sz="4" w:space="0" w:color="365F91"/>
            </w:tcBorders>
            <w:noWrap/>
            <w:hideMark/>
          </w:tcPr>
          <w:p w14:paraId="317C4009" w14:textId="77777777" w:rsidR="00380BE7" w:rsidRPr="00256982" w:rsidRDefault="00380BE7" w:rsidP="00423509">
            <w:pPr>
              <w:pStyle w:val="TableText"/>
              <w:spacing w:before="40" w:after="40"/>
            </w:pPr>
            <w:r w:rsidRPr="00256982">
              <w:t>Uncertainty in land area</w:t>
            </w:r>
          </w:p>
        </w:tc>
        <w:tc>
          <w:tcPr>
            <w:tcW w:w="2126" w:type="dxa"/>
            <w:tcBorders>
              <w:top w:val="single" w:sz="4" w:space="0" w:color="365F91"/>
              <w:bottom w:val="single" w:sz="4" w:space="0" w:color="365F91"/>
            </w:tcBorders>
            <w:noWrap/>
            <w:hideMark/>
          </w:tcPr>
          <w:p w14:paraId="06B164BA" w14:textId="77777777" w:rsidR="00380BE7" w:rsidRPr="00256982" w:rsidRDefault="00380BE7" w:rsidP="00423509">
            <w:pPr>
              <w:pStyle w:val="TableText"/>
              <w:spacing w:before="40" w:after="40"/>
              <w:jc w:val="center"/>
            </w:pPr>
            <w:r w:rsidRPr="00256982">
              <w:t>±33.0</w:t>
            </w:r>
          </w:p>
        </w:tc>
        <w:tc>
          <w:tcPr>
            <w:tcW w:w="2291" w:type="dxa"/>
            <w:tcBorders>
              <w:top w:val="single" w:sz="4" w:space="0" w:color="365F91"/>
              <w:bottom w:val="single" w:sz="4" w:space="0" w:color="365F91"/>
            </w:tcBorders>
            <w:noWrap/>
            <w:hideMark/>
          </w:tcPr>
          <w:p w14:paraId="5E71E3AC" w14:textId="77777777" w:rsidR="00380BE7" w:rsidRPr="00256982" w:rsidRDefault="00380BE7" w:rsidP="00423509">
            <w:pPr>
              <w:pStyle w:val="TableText"/>
              <w:spacing w:before="40" w:after="40"/>
              <w:jc w:val="center"/>
            </w:pPr>
            <w:r w:rsidRPr="00256982">
              <w:t>±33.0</w:t>
            </w:r>
          </w:p>
        </w:tc>
      </w:tr>
      <w:tr w:rsidR="00380BE7" w:rsidRPr="00256982" w14:paraId="4EA9E853" w14:textId="77777777" w:rsidTr="00423509">
        <w:tc>
          <w:tcPr>
            <w:tcW w:w="4088" w:type="dxa"/>
            <w:tcBorders>
              <w:top w:val="single" w:sz="4" w:space="0" w:color="365F91"/>
              <w:bottom w:val="single" w:sz="4" w:space="0" w:color="365F91"/>
            </w:tcBorders>
            <w:noWrap/>
            <w:hideMark/>
          </w:tcPr>
          <w:p w14:paraId="506A3437" w14:textId="77777777" w:rsidR="00380BE7" w:rsidRPr="00256982" w:rsidRDefault="00380BE7" w:rsidP="00423509">
            <w:pPr>
              <w:pStyle w:val="TableTextBold"/>
              <w:spacing w:before="40" w:after="40"/>
              <w:rPr>
                <w:noProof w:val="0"/>
              </w:rPr>
            </w:pPr>
            <w:r w:rsidRPr="00256982">
              <w:rPr>
                <w:noProof w:val="0"/>
              </w:rPr>
              <w:t>Emission factors</w:t>
            </w:r>
          </w:p>
        </w:tc>
        <w:tc>
          <w:tcPr>
            <w:tcW w:w="2126" w:type="dxa"/>
            <w:tcBorders>
              <w:top w:val="single" w:sz="4" w:space="0" w:color="365F91"/>
              <w:bottom w:val="single" w:sz="4" w:space="0" w:color="365F91"/>
            </w:tcBorders>
            <w:noWrap/>
            <w:hideMark/>
          </w:tcPr>
          <w:p w14:paraId="156205B7" w14:textId="77777777" w:rsidR="00380BE7" w:rsidRPr="00256982" w:rsidRDefault="00380BE7" w:rsidP="00423509">
            <w:pPr>
              <w:pStyle w:val="TableTextBold"/>
              <w:spacing w:before="40" w:after="40"/>
              <w:jc w:val="center"/>
              <w:rPr>
                <w:noProof w:val="0"/>
              </w:rPr>
            </w:pPr>
          </w:p>
        </w:tc>
        <w:tc>
          <w:tcPr>
            <w:tcW w:w="2291" w:type="dxa"/>
            <w:tcBorders>
              <w:top w:val="single" w:sz="4" w:space="0" w:color="365F91"/>
              <w:bottom w:val="single" w:sz="4" w:space="0" w:color="365F91"/>
            </w:tcBorders>
            <w:noWrap/>
            <w:hideMark/>
          </w:tcPr>
          <w:p w14:paraId="6C81E7E3" w14:textId="77777777" w:rsidR="00380BE7" w:rsidRPr="00256982" w:rsidRDefault="00380BE7" w:rsidP="00423509">
            <w:pPr>
              <w:pStyle w:val="TableTextBold"/>
              <w:spacing w:before="40" w:after="40"/>
              <w:jc w:val="center"/>
              <w:rPr>
                <w:noProof w:val="0"/>
              </w:rPr>
            </w:pPr>
          </w:p>
        </w:tc>
      </w:tr>
      <w:tr w:rsidR="00380BE7" w:rsidRPr="00256982" w14:paraId="0518A46C" w14:textId="77777777" w:rsidTr="00423509">
        <w:tc>
          <w:tcPr>
            <w:tcW w:w="4088" w:type="dxa"/>
            <w:tcBorders>
              <w:top w:val="single" w:sz="4" w:space="0" w:color="365F91"/>
              <w:bottom w:val="single" w:sz="4" w:space="0" w:color="365F91"/>
            </w:tcBorders>
            <w:noWrap/>
            <w:hideMark/>
          </w:tcPr>
          <w:p w14:paraId="6742918A" w14:textId="77777777" w:rsidR="00380BE7" w:rsidRPr="00256982" w:rsidRDefault="00380BE7" w:rsidP="00423509">
            <w:pPr>
              <w:pStyle w:val="TableText"/>
              <w:spacing w:before="40" w:after="40"/>
            </w:pPr>
            <w:r w:rsidRPr="00256982">
              <w:t>Uncertainty in biomass carbon stocks</w:t>
            </w:r>
          </w:p>
        </w:tc>
        <w:tc>
          <w:tcPr>
            <w:tcW w:w="2126" w:type="dxa"/>
            <w:tcBorders>
              <w:top w:val="single" w:sz="4" w:space="0" w:color="365F91"/>
              <w:bottom w:val="single" w:sz="4" w:space="0" w:color="365F91"/>
            </w:tcBorders>
            <w:noWrap/>
            <w:hideMark/>
          </w:tcPr>
          <w:p w14:paraId="7FD64FB8" w14:textId="77777777" w:rsidR="00380BE7" w:rsidRPr="00256982" w:rsidRDefault="00380BE7" w:rsidP="00423509">
            <w:pPr>
              <w:pStyle w:val="TableText"/>
              <w:spacing w:before="40" w:after="40"/>
              <w:jc w:val="center"/>
            </w:pPr>
            <w:r w:rsidRPr="00256982">
              <w:t>±75.0</w:t>
            </w:r>
          </w:p>
        </w:tc>
        <w:tc>
          <w:tcPr>
            <w:tcW w:w="2291" w:type="dxa"/>
            <w:tcBorders>
              <w:top w:val="single" w:sz="4" w:space="0" w:color="365F91"/>
              <w:bottom w:val="single" w:sz="4" w:space="0" w:color="365F91"/>
            </w:tcBorders>
            <w:noWrap/>
            <w:hideMark/>
          </w:tcPr>
          <w:p w14:paraId="5BBD37F5" w14:textId="77777777" w:rsidR="00380BE7" w:rsidRPr="00256982" w:rsidRDefault="00380BE7" w:rsidP="00423509">
            <w:pPr>
              <w:pStyle w:val="TableText"/>
              <w:spacing w:before="40" w:after="40"/>
              <w:jc w:val="center"/>
            </w:pPr>
            <w:r w:rsidRPr="00256982">
              <w:t>NA</w:t>
            </w:r>
          </w:p>
        </w:tc>
      </w:tr>
      <w:tr w:rsidR="00380BE7" w:rsidRPr="00256982" w14:paraId="4EB65312" w14:textId="77777777" w:rsidTr="00423509">
        <w:tc>
          <w:tcPr>
            <w:tcW w:w="4088" w:type="dxa"/>
            <w:tcBorders>
              <w:top w:val="single" w:sz="4" w:space="0" w:color="365F91"/>
              <w:bottom w:val="single" w:sz="4" w:space="0" w:color="365F91"/>
            </w:tcBorders>
            <w:noWrap/>
            <w:hideMark/>
          </w:tcPr>
          <w:p w14:paraId="1D6884B9" w14:textId="77777777" w:rsidR="00380BE7" w:rsidRPr="00256982" w:rsidRDefault="00380BE7" w:rsidP="00423509">
            <w:pPr>
              <w:pStyle w:val="TableText"/>
              <w:spacing w:before="40" w:after="40"/>
            </w:pPr>
            <w:r w:rsidRPr="00256982">
              <w:t>Uncertainty in mineral soil carbon stocks</w:t>
            </w:r>
          </w:p>
        </w:tc>
        <w:tc>
          <w:tcPr>
            <w:tcW w:w="2126" w:type="dxa"/>
            <w:tcBorders>
              <w:top w:val="single" w:sz="4" w:space="0" w:color="365F91"/>
              <w:bottom w:val="single" w:sz="4" w:space="0" w:color="365F91"/>
            </w:tcBorders>
            <w:noWrap/>
            <w:hideMark/>
          </w:tcPr>
          <w:p w14:paraId="4DB87D9B" w14:textId="77777777" w:rsidR="00380BE7" w:rsidRPr="00256982" w:rsidRDefault="00380BE7" w:rsidP="00423509">
            <w:pPr>
              <w:pStyle w:val="TableText"/>
              <w:spacing w:before="40" w:after="40"/>
              <w:jc w:val="center"/>
            </w:pPr>
            <w:r w:rsidRPr="00256982">
              <w:t>±12.3</w:t>
            </w:r>
          </w:p>
        </w:tc>
        <w:tc>
          <w:tcPr>
            <w:tcW w:w="2291" w:type="dxa"/>
            <w:tcBorders>
              <w:top w:val="single" w:sz="4" w:space="0" w:color="365F91"/>
              <w:bottom w:val="single" w:sz="4" w:space="0" w:color="365F91"/>
            </w:tcBorders>
            <w:noWrap/>
            <w:hideMark/>
          </w:tcPr>
          <w:p w14:paraId="39B77954" w14:textId="77777777" w:rsidR="00380BE7" w:rsidRPr="00256982" w:rsidRDefault="00380BE7" w:rsidP="00423509">
            <w:pPr>
              <w:pStyle w:val="TableText"/>
              <w:spacing w:before="40" w:after="40"/>
              <w:jc w:val="center"/>
            </w:pPr>
            <w:r w:rsidRPr="00256982">
              <w:t>NA</w:t>
            </w:r>
          </w:p>
        </w:tc>
      </w:tr>
      <w:tr w:rsidR="00380BE7" w:rsidRPr="00256982" w14:paraId="559764F4" w14:textId="77777777" w:rsidTr="00423509">
        <w:tc>
          <w:tcPr>
            <w:tcW w:w="4088" w:type="dxa"/>
            <w:tcBorders>
              <w:top w:val="single" w:sz="4" w:space="0" w:color="365F91"/>
              <w:bottom w:val="single" w:sz="4" w:space="0" w:color="365F91"/>
            </w:tcBorders>
            <w:noWrap/>
          </w:tcPr>
          <w:p w14:paraId="439DC549" w14:textId="77777777" w:rsidR="00380BE7" w:rsidRPr="00256982" w:rsidRDefault="00380BE7" w:rsidP="00423509">
            <w:pPr>
              <w:pStyle w:val="TableText"/>
              <w:spacing w:before="40" w:after="40"/>
            </w:pPr>
            <w:r w:rsidRPr="00256982">
              <w:t>Uncertainty in organic soil carbon stocks (on-site CO</w:t>
            </w:r>
            <w:r w:rsidRPr="00256982">
              <w:rPr>
                <w:vertAlign w:val="subscript"/>
              </w:rPr>
              <w:t>2</w:t>
            </w:r>
            <w:r w:rsidRPr="00256982">
              <w:t xml:space="preserve"> emissions from peat extraction)</w:t>
            </w:r>
          </w:p>
        </w:tc>
        <w:tc>
          <w:tcPr>
            <w:tcW w:w="2126" w:type="dxa"/>
            <w:tcBorders>
              <w:top w:val="single" w:sz="4" w:space="0" w:color="365F91"/>
              <w:bottom w:val="single" w:sz="4" w:space="0" w:color="365F91"/>
            </w:tcBorders>
            <w:noWrap/>
          </w:tcPr>
          <w:p w14:paraId="16A66301" w14:textId="77777777" w:rsidR="00380BE7" w:rsidRPr="00256982" w:rsidRDefault="00380BE7" w:rsidP="00423509">
            <w:pPr>
              <w:pStyle w:val="TableText"/>
              <w:spacing w:before="40" w:after="40"/>
              <w:jc w:val="center"/>
            </w:pPr>
            <w:r w:rsidRPr="00256982">
              <w:t>±90.0</w:t>
            </w:r>
          </w:p>
        </w:tc>
        <w:tc>
          <w:tcPr>
            <w:tcW w:w="2291" w:type="dxa"/>
            <w:tcBorders>
              <w:top w:val="single" w:sz="4" w:space="0" w:color="365F91"/>
              <w:bottom w:val="single" w:sz="4" w:space="0" w:color="365F91"/>
            </w:tcBorders>
            <w:noWrap/>
          </w:tcPr>
          <w:p w14:paraId="0830DCE8" w14:textId="77777777" w:rsidR="00380BE7" w:rsidRPr="00256982" w:rsidRDefault="00380BE7" w:rsidP="00423509">
            <w:pPr>
              <w:pStyle w:val="TableText"/>
              <w:spacing w:before="40" w:after="40"/>
              <w:jc w:val="center"/>
            </w:pPr>
            <w:r w:rsidRPr="00256982">
              <w:t>NA</w:t>
            </w:r>
          </w:p>
        </w:tc>
      </w:tr>
      <w:tr w:rsidR="00380BE7" w:rsidRPr="00256982" w14:paraId="5D5D43FC" w14:textId="77777777" w:rsidTr="00423509">
        <w:tc>
          <w:tcPr>
            <w:tcW w:w="4088" w:type="dxa"/>
            <w:tcBorders>
              <w:top w:val="single" w:sz="4" w:space="0" w:color="365F91"/>
              <w:bottom w:val="single" w:sz="4" w:space="0" w:color="365F91"/>
            </w:tcBorders>
            <w:noWrap/>
            <w:hideMark/>
          </w:tcPr>
          <w:p w14:paraId="2C08D915" w14:textId="77777777" w:rsidR="00380BE7" w:rsidRPr="00256982" w:rsidRDefault="00380BE7" w:rsidP="00423509">
            <w:pPr>
              <w:pStyle w:val="Tableboldblue"/>
              <w:spacing w:before="40" w:after="40"/>
            </w:pPr>
            <w:r w:rsidRPr="00256982">
              <w:t>Uncertainty introduced into net emissions for LULUCF</w:t>
            </w:r>
          </w:p>
        </w:tc>
        <w:tc>
          <w:tcPr>
            <w:tcW w:w="2126" w:type="dxa"/>
            <w:tcBorders>
              <w:top w:val="single" w:sz="4" w:space="0" w:color="365F91"/>
              <w:bottom w:val="single" w:sz="4" w:space="0" w:color="365F91"/>
            </w:tcBorders>
            <w:noWrap/>
            <w:hideMark/>
          </w:tcPr>
          <w:p w14:paraId="6A7CB871" w14:textId="77777777" w:rsidR="00380BE7" w:rsidRPr="00256982" w:rsidRDefault="00380BE7" w:rsidP="00423509">
            <w:pPr>
              <w:pStyle w:val="Tableboldblue"/>
              <w:spacing w:before="40" w:after="40"/>
              <w:jc w:val="center"/>
            </w:pPr>
            <w:r w:rsidRPr="00256982">
              <w:t>±0.071</w:t>
            </w:r>
          </w:p>
        </w:tc>
        <w:tc>
          <w:tcPr>
            <w:tcW w:w="2291" w:type="dxa"/>
            <w:tcBorders>
              <w:top w:val="single" w:sz="4" w:space="0" w:color="365F91"/>
              <w:bottom w:val="single" w:sz="4" w:space="0" w:color="365F91"/>
            </w:tcBorders>
            <w:noWrap/>
            <w:hideMark/>
          </w:tcPr>
          <w:p w14:paraId="4DBCC1A2" w14:textId="77777777" w:rsidR="00380BE7" w:rsidRPr="00256982" w:rsidRDefault="00380BE7" w:rsidP="00423509">
            <w:pPr>
              <w:pStyle w:val="Tableboldblue"/>
              <w:spacing w:before="40" w:after="40"/>
              <w:jc w:val="center"/>
            </w:pPr>
            <w:r w:rsidRPr="00256982">
              <w:t>±0.009</w:t>
            </w:r>
          </w:p>
        </w:tc>
      </w:tr>
    </w:tbl>
    <w:p w14:paraId="5E05F61C" w14:textId="77777777" w:rsidR="00380BE7" w:rsidRPr="00256982" w:rsidRDefault="00380BE7" w:rsidP="002578F9">
      <w:pPr>
        <w:pStyle w:val="Noteundertable"/>
        <w:spacing w:after="80"/>
      </w:pPr>
      <w:r w:rsidRPr="00256982">
        <w:rPr>
          <w:b/>
        </w:rPr>
        <w:t>Note:</w:t>
      </w:r>
      <w:r w:rsidRPr="00256982">
        <w:tab/>
        <w:t>NA = not applicable. The activity data and combined emission factor uncertainty are weighted values and have been calculated using equation 3.2 from IPCC General Guidance and Reporting (IPCC, 2006b).</w:t>
      </w:r>
    </w:p>
    <w:p w14:paraId="25BF68AA" w14:textId="77777777" w:rsidR="00380BE7" w:rsidRPr="00256982" w:rsidRDefault="00380BE7" w:rsidP="002578F9">
      <w:pPr>
        <w:pStyle w:val="Heading3"/>
        <w:spacing w:before="280"/>
      </w:pPr>
      <w:r w:rsidRPr="00256982">
        <w:t>6.7.4</w:t>
      </w:r>
      <w:r w:rsidRPr="00256982">
        <w:tab/>
        <w:t>Category-specific QA/QC and verification</w:t>
      </w:r>
    </w:p>
    <w:p w14:paraId="3B1F0917" w14:textId="77777777" w:rsidR="00380BE7" w:rsidRPr="00256982" w:rsidRDefault="00380BE7" w:rsidP="002578F9">
      <w:pPr>
        <w:pStyle w:val="BodyText"/>
        <w:spacing w:before="100"/>
      </w:pPr>
      <w:r w:rsidRPr="00256982">
        <w:t>In the preparation of this inventory, the activity data and emission factor for carbon change underwent Tier 1 quality checks.</w:t>
      </w:r>
    </w:p>
    <w:p w14:paraId="30AC8E33" w14:textId="77777777" w:rsidR="00380BE7" w:rsidRPr="00256982" w:rsidRDefault="00380BE7" w:rsidP="002578F9">
      <w:pPr>
        <w:pStyle w:val="Heading3"/>
        <w:spacing w:before="280"/>
      </w:pPr>
      <w:r w:rsidRPr="00256982">
        <w:t>6.7.5</w:t>
      </w:r>
      <w:r w:rsidRPr="00256982">
        <w:tab/>
        <w:t>Category-specific recalculations</w:t>
      </w:r>
    </w:p>
    <w:p w14:paraId="66D80202" w14:textId="77777777" w:rsidR="00380BE7" w:rsidRPr="00256982" w:rsidRDefault="00380BE7" w:rsidP="002578F9">
      <w:pPr>
        <w:pStyle w:val="BodyText"/>
        <w:spacing w:before="100"/>
      </w:pPr>
      <w:r w:rsidRPr="00256982">
        <w:t>The impact of recalculations on net CO</w:t>
      </w:r>
      <w:r w:rsidRPr="00256982">
        <w:rPr>
          <w:vertAlign w:val="subscript"/>
        </w:rPr>
        <w:t>2</w:t>
      </w:r>
      <w:r w:rsidRPr="00256982">
        <w:t xml:space="preserve">-e emission estimates for </w:t>
      </w:r>
      <w:r w:rsidRPr="00256982">
        <w:rPr>
          <w:i/>
        </w:rPr>
        <w:t>Wetlands</w:t>
      </w:r>
      <w:r w:rsidRPr="00256982">
        <w:t xml:space="preserve"> is shown in table 6.7.4. Recalculations were carried out for this category as a result of updating activity data from the creation of a new land use map, as described in section 6.2.</w:t>
      </w:r>
    </w:p>
    <w:p w14:paraId="07D1EB82" w14:textId="77777777" w:rsidR="00380BE7" w:rsidRPr="00256982" w:rsidRDefault="00380BE7" w:rsidP="00380BE7">
      <w:pPr>
        <w:pStyle w:val="Table"/>
      </w:pPr>
      <w:bookmarkStart w:id="1999" w:name="_Toc342470787"/>
      <w:bookmarkStart w:id="2000" w:name="_Toc352505027"/>
      <w:bookmarkStart w:id="2001" w:name="_Toc378853316"/>
      <w:bookmarkStart w:id="2002" w:name="_Toc391024114"/>
      <w:bookmarkStart w:id="2003" w:name="_Toc410028857"/>
      <w:bookmarkStart w:id="2004" w:name="_Toc414531485"/>
      <w:bookmarkStart w:id="2005" w:name="_Toc443645398"/>
      <w:bookmarkStart w:id="2006" w:name="_Toc474914617"/>
      <w:bookmarkStart w:id="2007" w:name="_Toc481751581"/>
      <w:bookmarkStart w:id="2008" w:name="_Toc522010638"/>
      <w:bookmarkStart w:id="2009" w:name="_Toc5269543"/>
      <w:r w:rsidRPr="00256982">
        <w:t>Table 6.7.4</w:t>
      </w:r>
      <w:r w:rsidRPr="00256982">
        <w:tab/>
        <w:t>Recalculations for New Zealand’s net emissions from the Wetlands category in 1990 and</w:t>
      </w:r>
      <w:bookmarkEnd w:id="1999"/>
      <w:bookmarkEnd w:id="2000"/>
      <w:bookmarkEnd w:id="2001"/>
      <w:bookmarkEnd w:id="2002"/>
      <w:r w:rsidRPr="00256982">
        <w:t> 201</w:t>
      </w:r>
      <w:bookmarkEnd w:id="2003"/>
      <w:bookmarkEnd w:id="2004"/>
      <w:bookmarkEnd w:id="2005"/>
      <w:r w:rsidRPr="00256982">
        <w:t>6</w:t>
      </w:r>
      <w:bookmarkEnd w:id="2006"/>
      <w:bookmarkEnd w:id="2007"/>
      <w:bookmarkEnd w:id="2008"/>
      <w:bookmarkEnd w:id="2009"/>
    </w:p>
    <w:tbl>
      <w:tblPr>
        <w:tblW w:w="8505" w:type="dxa"/>
        <w:tblInd w:w="108" w:type="dxa"/>
        <w:tblLayout w:type="fixed"/>
        <w:tblLook w:val="04A0" w:firstRow="1" w:lastRow="0" w:firstColumn="1" w:lastColumn="0" w:noHBand="0" w:noVBand="1"/>
      </w:tblPr>
      <w:tblGrid>
        <w:gridCol w:w="1050"/>
        <w:gridCol w:w="1863"/>
        <w:gridCol w:w="1864"/>
        <w:gridCol w:w="1864"/>
        <w:gridCol w:w="1864"/>
      </w:tblGrid>
      <w:tr w:rsidR="00380BE7" w:rsidRPr="00256982" w14:paraId="2E61CFF4" w14:textId="77777777" w:rsidTr="009574E7">
        <w:tc>
          <w:tcPr>
            <w:tcW w:w="1050" w:type="dxa"/>
            <w:vMerge w:val="restart"/>
            <w:tcBorders>
              <w:top w:val="single" w:sz="4" w:space="0" w:color="365F91"/>
            </w:tcBorders>
            <w:shd w:val="clear" w:color="auto" w:fill="365F91"/>
            <w:vAlign w:val="bottom"/>
          </w:tcPr>
          <w:p w14:paraId="1B449978" w14:textId="77777777" w:rsidR="00380BE7" w:rsidRPr="00256982" w:rsidRDefault="00380BE7" w:rsidP="002578F9">
            <w:pPr>
              <w:pStyle w:val="TableTextBold"/>
              <w:keepNext/>
              <w:spacing w:before="40" w:after="40"/>
              <w:rPr>
                <w:noProof w:val="0"/>
                <w:color w:val="FFFFFF"/>
              </w:rPr>
            </w:pPr>
            <w:r w:rsidRPr="00256982">
              <w:rPr>
                <w:noProof w:val="0"/>
                <w:color w:val="FFFFFF"/>
              </w:rPr>
              <w:t>Year</w:t>
            </w:r>
          </w:p>
        </w:tc>
        <w:tc>
          <w:tcPr>
            <w:tcW w:w="3727" w:type="dxa"/>
            <w:gridSpan w:val="2"/>
            <w:tcBorders>
              <w:top w:val="single" w:sz="4" w:space="0" w:color="365F91"/>
            </w:tcBorders>
            <w:shd w:val="clear" w:color="auto" w:fill="365F91"/>
            <w:noWrap/>
          </w:tcPr>
          <w:p w14:paraId="31C04FC2" w14:textId="77777777" w:rsidR="00380BE7" w:rsidRPr="00256982" w:rsidRDefault="00380BE7" w:rsidP="002578F9">
            <w:pPr>
              <w:pStyle w:val="TableTextBold"/>
              <w:keepNext/>
              <w:spacing w:before="40" w:after="40"/>
              <w:jc w:val="center"/>
              <w:rPr>
                <w:noProof w:val="0"/>
                <w:color w:val="FFFFFF"/>
              </w:rPr>
            </w:pPr>
            <w:r w:rsidRPr="00256982">
              <w:rPr>
                <w:noProof w:val="0"/>
                <w:color w:val="FFFFFF"/>
              </w:rPr>
              <w:t>Net emissions (kt CO</w:t>
            </w:r>
            <w:r w:rsidRPr="00256982">
              <w:rPr>
                <w:rFonts w:ascii="Arial Bold" w:hAnsi="Arial Bold"/>
                <w:noProof w:val="0"/>
                <w:color w:val="FFFFFF"/>
                <w:vertAlign w:val="subscript"/>
              </w:rPr>
              <w:t>2</w:t>
            </w:r>
            <w:r w:rsidRPr="00256982">
              <w:rPr>
                <w:noProof w:val="0"/>
                <w:color w:val="FFFFFF"/>
              </w:rPr>
              <w:t>-e)</w:t>
            </w:r>
          </w:p>
        </w:tc>
        <w:tc>
          <w:tcPr>
            <w:tcW w:w="3728" w:type="dxa"/>
            <w:gridSpan w:val="2"/>
            <w:tcBorders>
              <w:top w:val="single" w:sz="4" w:space="0" w:color="365F91"/>
            </w:tcBorders>
            <w:shd w:val="clear" w:color="auto" w:fill="365F91"/>
          </w:tcPr>
          <w:p w14:paraId="39C0A409" w14:textId="77777777" w:rsidR="00380BE7" w:rsidRPr="00256982" w:rsidRDefault="00380BE7" w:rsidP="002578F9">
            <w:pPr>
              <w:pStyle w:val="TableTextBold"/>
              <w:keepNext/>
              <w:spacing w:before="40" w:after="40"/>
              <w:jc w:val="center"/>
              <w:rPr>
                <w:noProof w:val="0"/>
                <w:color w:val="FFFFFF"/>
              </w:rPr>
            </w:pPr>
            <w:r w:rsidRPr="00256982">
              <w:rPr>
                <w:noProof w:val="0"/>
                <w:color w:val="FFFFFF"/>
              </w:rPr>
              <w:t>Change from the 2018 submission</w:t>
            </w:r>
          </w:p>
        </w:tc>
      </w:tr>
      <w:tr w:rsidR="00380BE7" w:rsidRPr="00256982" w14:paraId="258F1C7C" w14:textId="77777777" w:rsidTr="009574E7">
        <w:tc>
          <w:tcPr>
            <w:tcW w:w="1050" w:type="dxa"/>
            <w:vMerge/>
            <w:tcBorders>
              <w:bottom w:val="single" w:sz="4" w:space="0" w:color="365F91"/>
            </w:tcBorders>
            <w:shd w:val="clear" w:color="auto" w:fill="365F91"/>
          </w:tcPr>
          <w:p w14:paraId="79737F95" w14:textId="77777777" w:rsidR="00380BE7" w:rsidRPr="00256982" w:rsidRDefault="00380BE7" w:rsidP="002578F9">
            <w:pPr>
              <w:keepNext/>
              <w:spacing w:before="40" w:after="40"/>
              <w:rPr>
                <w:rFonts w:ascii="Arial" w:hAnsi="Arial"/>
                <w:color w:val="FFFFFF"/>
              </w:rPr>
            </w:pPr>
          </w:p>
        </w:tc>
        <w:tc>
          <w:tcPr>
            <w:tcW w:w="1863" w:type="dxa"/>
            <w:tcBorders>
              <w:bottom w:val="single" w:sz="4" w:space="0" w:color="365F91"/>
            </w:tcBorders>
            <w:shd w:val="clear" w:color="auto" w:fill="365F91"/>
          </w:tcPr>
          <w:p w14:paraId="5EF25CF4" w14:textId="77777777" w:rsidR="00380BE7" w:rsidRPr="00256982" w:rsidRDefault="00380BE7" w:rsidP="002578F9">
            <w:pPr>
              <w:pStyle w:val="TableText"/>
              <w:keepNext/>
              <w:spacing w:before="40" w:after="40"/>
              <w:jc w:val="center"/>
              <w:rPr>
                <w:b/>
                <w:color w:val="FFFFFF"/>
              </w:rPr>
            </w:pPr>
            <w:r w:rsidRPr="00256982">
              <w:rPr>
                <w:b/>
                <w:color w:val="FFFFFF"/>
              </w:rPr>
              <w:t>2018 submission</w:t>
            </w:r>
          </w:p>
        </w:tc>
        <w:tc>
          <w:tcPr>
            <w:tcW w:w="1864" w:type="dxa"/>
            <w:tcBorders>
              <w:bottom w:val="single" w:sz="4" w:space="0" w:color="365F91"/>
            </w:tcBorders>
            <w:shd w:val="clear" w:color="auto" w:fill="365F91"/>
          </w:tcPr>
          <w:p w14:paraId="12E4F727" w14:textId="77777777" w:rsidR="00380BE7" w:rsidRPr="00256982" w:rsidRDefault="00380BE7" w:rsidP="002578F9">
            <w:pPr>
              <w:pStyle w:val="TableText"/>
              <w:keepNext/>
              <w:spacing w:before="40" w:after="40"/>
              <w:jc w:val="center"/>
              <w:rPr>
                <w:b/>
                <w:color w:val="FFFFFF"/>
              </w:rPr>
            </w:pPr>
            <w:r w:rsidRPr="00256982">
              <w:rPr>
                <w:b/>
                <w:color w:val="FFFFFF"/>
              </w:rPr>
              <w:t>2019 submission</w:t>
            </w:r>
          </w:p>
        </w:tc>
        <w:tc>
          <w:tcPr>
            <w:tcW w:w="1864" w:type="dxa"/>
            <w:tcBorders>
              <w:bottom w:val="single" w:sz="4" w:space="0" w:color="365F91"/>
            </w:tcBorders>
            <w:shd w:val="clear" w:color="auto" w:fill="365F91"/>
          </w:tcPr>
          <w:p w14:paraId="74EA45F7" w14:textId="77777777" w:rsidR="00380BE7" w:rsidRPr="00256982" w:rsidRDefault="00380BE7" w:rsidP="002578F9">
            <w:pPr>
              <w:pStyle w:val="TableText"/>
              <w:keepNext/>
              <w:spacing w:before="40" w:after="40"/>
              <w:jc w:val="center"/>
              <w:rPr>
                <w:b/>
                <w:color w:val="FFFFFF"/>
              </w:rPr>
            </w:pPr>
            <w:r w:rsidRPr="00256982">
              <w:rPr>
                <w:b/>
                <w:color w:val="FFFFFF"/>
              </w:rPr>
              <w:t>(kt CO</w:t>
            </w:r>
            <w:r w:rsidRPr="00256982">
              <w:rPr>
                <w:b/>
                <w:color w:val="FFFFFF"/>
                <w:vertAlign w:val="subscript"/>
              </w:rPr>
              <w:t>2</w:t>
            </w:r>
            <w:r w:rsidRPr="00256982">
              <w:rPr>
                <w:b/>
                <w:color w:val="FFFFFF"/>
              </w:rPr>
              <w:t>-e)</w:t>
            </w:r>
          </w:p>
        </w:tc>
        <w:tc>
          <w:tcPr>
            <w:tcW w:w="1864" w:type="dxa"/>
            <w:tcBorders>
              <w:bottom w:val="single" w:sz="4" w:space="0" w:color="365F91"/>
            </w:tcBorders>
            <w:shd w:val="clear" w:color="auto" w:fill="365F91"/>
          </w:tcPr>
          <w:p w14:paraId="5A8B1AC7" w14:textId="77777777" w:rsidR="00380BE7" w:rsidRPr="00256982" w:rsidRDefault="00380BE7" w:rsidP="002578F9">
            <w:pPr>
              <w:pStyle w:val="TableText"/>
              <w:keepNext/>
              <w:spacing w:before="40" w:after="40"/>
              <w:jc w:val="center"/>
              <w:rPr>
                <w:b/>
                <w:color w:val="FFFFFF"/>
              </w:rPr>
            </w:pPr>
            <w:r w:rsidRPr="00256982">
              <w:rPr>
                <w:b/>
                <w:color w:val="FFFFFF"/>
              </w:rPr>
              <w:t>(%)</w:t>
            </w:r>
          </w:p>
        </w:tc>
      </w:tr>
      <w:tr w:rsidR="00380BE7" w:rsidRPr="00256982" w14:paraId="4E76665F" w14:textId="77777777" w:rsidTr="009574E7">
        <w:tc>
          <w:tcPr>
            <w:tcW w:w="1050" w:type="dxa"/>
            <w:tcBorders>
              <w:top w:val="single" w:sz="4" w:space="0" w:color="365F91"/>
              <w:bottom w:val="single" w:sz="4" w:space="0" w:color="365F91"/>
            </w:tcBorders>
          </w:tcPr>
          <w:p w14:paraId="7E4492DD" w14:textId="77777777" w:rsidR="00380BE7" w:rsidRPr="00256982" w:rsidRDefault="00380BE7" w:rsidP="002578F9">
            <w:pPr>
              <w:pStyle w:val="TableText"/>
              <w:spacing w:before="40" w:after="40"/>
            </w:pPr>
            <w:r w:rsidRPr="00256982">
              <w:t xml:space="preserve">1990 </w:t>
            </w:r>
          </w:p>
        </w:tc>
        <w:tc>
          <w:tcPr>
            <w:tcW w:w="1863" w:type="dxa"/>
            <w:tcBorders>
              <w:top w:val="single" w:sz="4" w:space="0" w:color="365F91"/>
              <w:bottom w:val="single" w:sz="4" w:space="0" w:color="365F91"/>
            </w:tcBorders>
          </w:tcPr>
          <w:p w14:paraId="27C335FA" w14:textId="77777777" w:rsidR="00380BE7" w:rsidRPr="00256982" w:rsidRDefault="00380BE7" w:rsidP="002578F9">
            <w:pPr>
              <w:pStyle w:val="TableText"/>
              <w:keepNext/>
              <w:tabs>
                <w:tab w:val="decimal" w:pos="369"/>
              </w:tabs>
              <w:spacing w:before="40" w:after="40"/>
              <w:jc w:val="center"/>
            </w:pPr>
            <w:r w:rsidRPr="00256982">
              <w:rPr>
                <w:rFonts w:cs="Arial"/>
                <w:color w:val="000000"/>
                <w:szCs w:val="16"/>
              </w:rPr>
              <w:t>–</w:t>
            </w:r>
            <w:r w:rsidRPr="00256982">
              <w:t xml:space="preserve">10.9 </w:t>
            </w:r>
          </w:p>
        </w:tc>
        <w:tc>
          <w:tcPr>
            <w:tcW w:w="1864" w:type="dxa"/>
            <w:tcBorders>
              <w:top w:val="single" w:sz="4" w:space="0" w:color="365F91"/>
              <w:bottom w:val="single" w:sz="4" w:space="0" w:color="365F91"/>
            </w:tcBorders>
          </w:tcPr>
          <w:p w14:paraId="06FA7DE2" w14:textId="77777777" w:rsidR="00380BE7" w:rsidRPr="00256982" w:rsidRDefault="00380BE7" w:rsidP="002578F9">
            <w:pPr>
              <w:pStyle w:val="TableText"/>
              <w:keepNext/>
              <w:tabs>
                <w:tab w:val="decimal" w:pos="369"/>
              </w:tabs>
              <w:spacing w:before="40" w:after="40"/>
              <w:jc w:val="center"/>
            </w:pPr>
            <w:r w:rsidRPr="00256982">
              <w:rPr>
                <w:rFonts w:cs="Arial"/>
                <w:color w:val="000000"/>
                <w:szCs w:val="16"/>
              </w:rPr>
              <w:t>–</w:t>
            </w:r>
            <w:r w:rsidRPr="00256982">
              <w:t xml:space="preserve">10.0 </w:t>
            </w:r>
          </w:p>
        </w:tc>
        <w:tc>
          <w:tcPr>
            <w:tcW w:w="1864" w:type="dxa"/>
            <w:tcBorders>
              <w:top w:val="single" w:sz="4" w:space="0" w:color="365F91"/>
              <w:bottom w:val="single" w:sz="4" w:space="0" w:color="365F91"/>
            </w:tcBorders>
          </w:tcPr>
          <w:p w14:paraId="52BBF435" w14:textId="77777777" w:rsidR="00380BE7" w:rsidRPr="00256982" w:rsidRDefault="00380BE7" w:rsidP="002578F9">
            <w:pPr>
              <w:pStyle w:val="TableText"/>
              <w:keepNext/>
              <w:tabs>
                <w:tab w:val="decimal" w:pos="369"/>
              </w:tabs>
              <w:spacing w:before="40" w:after="40"/>
              <w:jc w:val="center"/>
            </w:pPr>
            <w:r w:rsidRPr="00256982">
              <w:t xml:space="preserve">1.0 </w:t>
            </w:r>
          </w:p>
        </w:tc>
        <w:tc>
          <w:tcPr>
            <w:tcW w:w="1864" w:type="dxa"/>
            <w:tcBorders>
              <w:top w:val="single" w:sz="4" w:space="0" w:color="365F91"/>
              <w:bottom w:val="single" w:sz="4" w:space="0" w:color="365F91"/>
            </w:tcBorders>
          </w:tcPr>
          <w:p w14:paraId="0F947C6F" w14:textId="77777777" w:rsidR="00380BE7" w:rsidRPr="00256982" w:rsidRDefault="00380BE7" w:rsidP="002578F9">
            <w:pPr>
              <w:pStyle w:val="TableText"/>
              <w:keepNext/>
              <w:tabs>
                <w:tab w:val="decimal" w:pos="369"/>
              </w:tabs>
              <w:spacing w:before="40" w:after="40"/>
              <w:jc w:val="center"/>
            </w:pPr>
            <w:r w:rsidRPr="00256982">
              <w:t>+9.0</w:t>
            </w:r>
          </w:p>
        </w:tc>
      </w:tr>
      <w:tr w:rsidR="00380BE7" w:rsidRPr="00256982" w14:paraId="044BEEB1" w14:textId="77777777" w:rsidTr="009574E7">
        <w:tc>
          <w:tcPr>
            <w:tcW w:w="1050" w:type="dxa"/>
            <w:tcBorders>
              <w:top w:val="single" w:sz="4" w:space="0" w:color="365F91"/>
              <w:bottom w:val="single" w:sz="4" w:space="0" w:color="365F91"/>
            </w:tcBorders>
          </w:tcPr>
          <w:p w14:paraId="2F421F42" w14:textId="77777777" w:rsidR="00380BE7" w:rsidRPr="00256982" w:rsidRDefault="00380BE7" w:rsidP="002578F9">
            <w:pPr>
              <w:pStyle w:val="TableText"/>
              <w:spacing w:before="40" w:after="40"/>
            </w:pPr>
            <w:r w:rsidRPr="00256982">
              <w:t>2016</w:t>
            </w:r>
          </w:p>
        </w:tc>
        <w:tc>
          <w:tcPr>
            <w:tcW w:w="1863" w:type="dxa"/>
            <w:tcBorders>
              <w:top w:val="single" w:sz="4" w:space="0" w:color="365F91"/>
              <w:bottom w:val="single" w:sz="4" w:space="0" w:color="365F91"/>
            </w:tcBorders>
          </w:tcPr>
          <w:p w14:paraId="16B5EB2A" w14:textId="77777777" w:rsidR="00380BE7" w:rsidRPr="00256982" w:rsidRDefault="00380BE7" w:rsidP="002578F9">
            <w:pPr>
              <w:pStyle w:val="TableText"/>
              <w:tabs>
                <w:tab w:val="decimal" w:pos="369"/>
              </w:tabs>
              <w:spacing w:before="40" w:after="40"/>
              <w:jc w:val="center"/>
            </w:pPr>
            <w:r w:rsidRPr="00256982">
              <w:t xml:space="preserve">20.0 </w:t>
            </w:r>
          </w:p>
        </w:tc>
        <w:tc>
          <w:tcPr>
            <w:tcW w:w="1864" w:type="dxa"/>
            <w:tcBorders>
              <w:top w:val="single" w:sz="4" w:space="0" w:color="365F91"/>
              <w:bottom w:val="single" w:sz="4" w:space="0" w:color="365F91"/>
            </w:tcBorders>
          </w:tcPr>
          <w:p w14:paraId="5C0B68F9" w14:textId="77777777" w:rsidR="00380BE7" w:rsidRPr="00256982" w:rsidRDefault="00380BE7" w:rsidP="002578F9">
            <w:pPr>
              <w:pStyle w:val="TableText"/>
              <w:tabs>
                <w:tab w:val="decimal" w:pos="369"/>
              </w:tabs>
              <w:spacing w:before="40" w:after="40"/>
              <w:jc w:val="center"/>
            </w:pPr>
            <w:r w:rsidRPr="00256982">
              <w:t xml:space="preserve">106.7 </w:t>
            </w:r>
          </w:p>
        </w:tc>
        <w:tc>
          <w:tcPr>
            <w:tcW w:w="1864" w:type="dxa"/>
            <w:tcBorders>
              <w:top w:val="single" w:sz="4" w:space="0" w:color="365F91"/>
              <w:bottom w:val="single" w:sz="4" w:space="0" w:color="365F91"/>
            </w:tcBorders>
          </w:tcPr>
          <w:p w14:paraId="3CC6F392" w14:textId="77777777" w:rsidR="00380BE7" w:rsidRPr="00256982" w:rsidRDefault="00380BE7" w:rsidP="002578F9">
            <w:pPr>
              <w:pStyle w:val="TableText"/>
              <w:tabs>
                <w:tab w:val="decimal" w:pos="369"/>
              </w:tabs>
              <w:spacing w:before="40" w:after="40"/>
              <w:jc w:val="center"/>
            </w:pPr>
            <w:r w:rsidRPr="00256982">
              <w:t xml:space="preserve">86.7 </w:t>
            </w:r>
          </w:p>
        </w:tc>
        <w:tc>
          <w:tcPr>
            <w:tcW w:w="1864" w:type="dxa"/>
            <w:tcBorders>
              <w:top w:val="single" w:sz="4" w:space="0" w:color="365F91"/>
              <w:bottom w:val="single" w:sz="4" w:space="0" w:color="365F91"/>
            </w:tcBorders>
          </w:tcPr>
          <w:p w14:paraId="377AFD15" w14:textId="77777777" w:rsidR="00380BE7" w:rsidRPr="00256982" w:rsidRDefault="00380BE7" w:rsidP="002578F9">
            <w:pPr>
              <w:pStyle w:val="TableText"/>
              <w:tabs>
                <w:tab w:val="decimal" w:pos="369"/>
              </w:tabs>
              <w:spacing w:before="40" w:after="40"/>
              <w:jc w:val="center"/>
            </w:pPr>
            <w:r w:rsidRPr="00256982">
              <w:t>+433.5</w:t>
            </w:r>
          </w:p>
        </w:tc>
      </w:tr>
    </w:tbl>
    <w:p w14:paraId="7010AA87" w14:textId="77777777" w:rsidR="00380BE7" w:rsidRPr="00256982" w:rsidRDefault="00380BE7" w:rsidP="00380BE7">
      <w:pPr>
        <w:pStyle w:val="Heading3"/>
        <w:spacing w:before="480"/>
      </w:pPr>
      <w:r w:rsidRPr="00256982">
        <w:lastRenderedPageBreak/>
        <w:t>6.7.6</w:t>
      </w:r>
      <w:r w:rsidRPr="00256982">
        <w:tab/>
        <w:t>Category-specific planned improvements</w:t>
      </w:r>
    </w:p>
    <w:p w14:paraId="4A6B0004" w14:textId="77777777" w:rsidR="00380BE7" w:rsidRPr="00256982" w:rsidRDefault="00380BE7" w:rsidP="00380BE7">
      <w:pPr>
        <w:pStyle w:val="BodyText"/>
      </w:pPr>
      <w:r w:rsidRPr="00256982">
        <w:t xml:space="preserve">The following improvements are planned for the </w:t>
      </w:r>
      <w:r w:rsidRPr="00256982">
        <w:rPr>
          <w:i/>
        </w:rPr>
        <w:t xml:space="preserve">Wetlands </w:t>
      </w:r>
      <w:r w:rsidRPr="00256982">
        <w:t>category:</w:t>
      </w:r>
    </w:p>
    <w:p w14:paraId="05EC86C7" w14:textId="77777777" w:rsidR="00380BE7" w:rsidRPr="00256982" w:rsidRDefault="00380BE7" w:rsidP="00380BE7">
      <w:pPr>
        <w:pStyle w:val="Bullet"/>
        <w:numPr>
          <w:ilvl w:val="0"/>
          <w:numId w:val="8"/>
        </w:numPr>
      </w:pPr>
      <w:r w:rsidRPr="00256982">
        <w:t>estimating emissions from land converted to flooded land</w:t>
      </w:r>
    </w:p>
    <w:p w14:paraId="5DFB344B" w14:textId="77777777" w:rsidR="00380BE7" w:rsidRPr="00256982" w:rsidRDefault="00380BE7" w:rsidP="00380BE7">
      <w:pPr>
        <w:pStyle w:val="Bullet"/>
        <w:numPr>
          <w:ilvl w:val="0"/>
          <w:numId w:val="8"/>
        </w:numPr>
      </w:pPr>
      <w:r w:rsidRPr="00256982">
        <w:t>estimating non-CO</w:t>
      </w:r>
      <w:r w:rsidRPr="00256982">
        <w:rPr>
          <w:vertAlign w:val="subscript"/>
        </w:rPr>
        <w:t>2</w:t>
      </w:r>
      <w:r w:rsidRPr="00256982">
        <w:t xml:space="preserve"> emissions from the drainage of soils and wetlands.</w:t>
      </w:r>
    </w:p>
    <w:p w14:paraId="0911FD56" w14:textId="77777777" w:rsidR="00380BE7" w:rsidRPr="00256982" w:rsidRDefault="00380BE7" w:rsidP="00380BE7">
      <w:pPr>
        <w:pStyle w:val="Heading2"/>
        <w:spacing w:before="280"/>
      </w:pPr>
      <w:bookmarkStart w:id="2010" w:name="_Toc310423456"/>
      <w:bookmarkStart w:id="2011" w:name="_Toc342470722"/>
      <w:bookmarkStart w:id="2012" w:name="_Toc352504874"/>
      <w:bookmarkStart w:id="2013" w:name="_Toc391024704"/>
      <w:bookmarkStart w:id="2014" w:name="_Toc414531321"/>
      <w:bookmarkStart w:id="2015" w:name="_Toc474335463"/>
      <w:bookmarkStart w:id="2016" w:name="_Toc481751403"/>
      <w:bookmarkStart w:id="2017" w:name="_Toc522013955"/>
      <w:bookmarkStart w:id="2018" w:name="_Toc5269380"/>
      <w:r w:rsidRPr="00256982">
        <w:t>6.8</w:t>
      </w:r>
      <w:r w:rsidRPr="00256982">
        <w:tab/>
        <w:t>Settlements (CRF 4E)</w:t>
      </w:r>
      <w:bookmarkEnd w:id="2010"/>
      <w:bookmarkEnd w:id="2011"/>
      <w:bookmarkEnd w:id="2012"/>
      <w:bookmarkEnd w:id="2013"/>
      <w:bookmarkEnd w:id="2014"/>
      <w:bookmarkEnd w:id="2015"/>
      <w:bookmarkEnd w:id="2016"/>
      <w:bookmarkEnd w:id="2017"/>
      <w:bookmarkEnd w:id="2018"/>
    </w:p>
    <w:p w14:paraId="123088CA" w14:textId="77777777" w:rsidR="00380BE7" w:rsidRPr="00256982" w:rsidRDefault="00380BE7" w:rsidP="007C55B9">
      <w:pPr>
        <w:pStyle w:val="Heading3"/>
        <w:spacing w:before="160"/>
      </w:pPr>
      <w:r w:rsidRPr="00256982">
        <w:t>6.8.1</w:t>
      </w:r>
      <w:r w:rsidRPr="00256982">
        <w:tab/>
        <w:t>Description</w:t>
      </w:r>
    </w:p>
    <w:p w14:paraId="6AFC57DD" w14:textId="77777777" w:rsidR="00380BE7" w:rsidRPr="00256982" w:rsidRDefault="00380BE7" w:rsidP="00380BE7">
      <w:pPr>
        <w:pStyle w:val="BodyText"/>
      </w:pPr>
      <w:r w:rsidRPr="00256982">
        <w:t xml:space="preserve">The </w:t>
      </w:r>
      <w:r w:rsidRPr="00256982">
        <w:rPr>
          <w:i/>
        </w:rPr>
        <w:t>Settlements</w:t>
      </w:r>
      <w:r w:rsidRPr="00256982">
        <w:t xml:space="preserve"> land use category, as described in chapter 3.2 of 2006 IPCC Guidelines, includes “all developed land, including transportation infrastructure and human settlements of any size, unless they are already included under other categories” (IPCC, 2006a, p 3.7). </w:t>
      </w:r>
      <w:r w:rsidRPr="00256982">
        <w:rPr>
          <w:i/>
        </w:rPr>
        <w:t>Settlements</w:t>
      </w:r>
      <w:r w:rsidRPr="00256982">
        <w:t xml:space="preserve"> include trees grown along streets, in public and private gardens, and in parks associated with urban areas. </w:t>
      </w:r>
    </w:p>
    <w:p w14:paraId="6DC3B91C" w14:textId="77777777" w:rsidR="00380BE7" w:rsidRPr="00256982" w:rsidRDefault="00380BE7" w:rsidP="00380BE7">
      <w:pPr>
        <w:pStyle w:val="BodyText"/>
      </w:pPr>
      <w:r w:rsidRPr="00256982">
        <w:t xml:space="preserve">In 2017, there were 235,378 hectares of </w:t>
      </w:r>
      <w:r w:rsidRPr="00256982">
        <w:rPr>
          <w:i/>
        </w:rPr>
        <w:t>Settlements</w:t>
      </w:r>
      <w:r w:rsidRPr="00256982">
        <w:t xml:space="preserve"> in New Zealand, an increase of 27,870 hectares since 1990. This category comprised 0.9 per cent of New Zealand’s total land area in 2017. The largest area of change to </w:t>
      </w:r>
      <w:r w:rsidRPr="00256982">
        <w:rPr>
          <w:i/>
        </w:rPr>
        <w:t>Settlements</w:t>
      </w:r>
      <w:r w:rsidRPr="00256982">
        <w:t xml:space="preserve"> between 1990 and 2017 was from high producing grassland, with 20,890 hectares of high producing</w:t>
      </w:r>
      <w:r w:rsidRPr="00256982">
        <w:rPr>
          <w:i/>
        </w:rPr>
        <w:t xml:space="preserve"> </w:t>
      </w:r>
      <w:r w:rsidRPr="00256982">
        <w:t xml:space="preserve">grassland converted to </w:t>
      </w:r>
      <w:r w:rsidRPr="00256982">
        <w:rPr>
          <w:i/>
        </w:rPr>
        <w:t>Settlements</w:t>
      </w:r>
      <w:r w:rsidRPr="00256982">
        <w:t xml:space="preserve"> between 1990 and 2017.</w:t>
      </w:r>
    </w:p>
    <w:p w14:paraId="08A162E2" w14:textId="77777777" w:rsidR="00380BE7" w:rsidRPr="00256982" w:rsidRDefault="00380BE7" w:rsidP="00380BE7">
      <w:pPr>
        <w:pStyle w:val="BodyText"/>
      </w:pPr>
      <w:r w:rsidRPr="00256982">
        <w:t xml:space="preserve">In 2017, the net emissions from </w:t>
      </w:r>
      <w:r w:rsidRPr="00256982">
        <w:rPr>
          <w:i/>
        </w:rPr>
        <w:t>Settlements</w:t>
      </w:r>
      <w:r w:rsidRPr="00256982">
        <w:t xml:space="preserve"> were 100.7 kt CO</w:t>
      </w:r>
      <w:r w:rsidRPr="00256982">
        <w:rPr>
          <w:vertAlign w:val="subscript"/>
        </w:rPr>
        <w:t>2</w:t>
      </w:r>
      <w:r w:rsidRPr="00256982">
        <w:t xml:space="preserve">-e, an increase of 38.6 per cent from net emissions in 1990 (see table 6.8.1). This change in emissions is mainly from the category of </w:t>
      </w:r>
      <w:r w:rsidRPr="00256982">
        <w:rPr>
          <w:i/>
        </w:rPr>
        <w:t xml:space="preserve">Land converted to settlements </w:t>
      </w:r>
      <w:r w:rsidRPr="00256982">
        <w:t xml:space="preserve">and results from the drainage of organic soils. </w:t>
      </w:r>
      <w:r w:rsidRPr="00256982">
        <w:rPr>
          <w:i/>
        </w:rPr>
        <w:t>Settlements</w:t>
      </w:r>
      <w:r w:rsidRPr="00256982">
        <w:t xml:space="preserve"> was not a key category in 2017.</w:t>
      </w:r>
    </w:p>
    <w:p w14:paraId="325B2762" w14:textId="77777777" w:rsidR="00380BE7" w:rsidRPr="00256982" w:rsidRDefault="00380BE7" w:rsidP="00380BE7">
      <w:pPr>
        <w:pStyle w:val="Table"/>
      </w:pPr>
      <w:bookmarkStart w:id="2019" w:name="_Toc342470788"/>
      <w:bookmarkStart w:id="2020" w:name="_Toc352505028"/>
      <w:bookmarkStart w:id="2021" w:name="_Toc378853317"/>
      <w:bookmarkStart w:id="2022" w:name="_Toc391024115"/>
      <w:bookmarkStart w:id="2023" w:name="_Toc410028858"/>
      <w:bookmarkStart w:id="2024" w:name="_Toc414531486"/>
      <w:bookmarkStart w:id="2025" w:name="_Toc443645399"/>
      <w:bookmarkStart w:id="2026" w:name="_Toc474914618"/>
      <w:bookmarkStart w:id="2027" w:name="_Toc481751582"/>
      <w:bookmarkStart w:id="2028" w:name="_Toc522010639"/>
      <w:bookmarkStart w:id="2029" w:name="_Toc5269544"/>
      <w:r w:rsidRPr="00256982">
        <w:t>Table 6.8.1</w:t>
      </w:r>
      <w:r w:rsidRPr="00256982">
        <w:tab/>
        <w:t>New Zealand’s land-use change for the Settlements category, and</w:t>
      </w:r>
      <w:r w:rsidRPr="00256982">
        <w:br/>
        <w:t>associated CO</w:t>
      </w:r>
      <w:r w:rsidRPr="00256982">
        <w:rPr>
          <w:vertAlign w:val="subscript"/>
        </w:rPr>
        <w:t>2</w:t>
      </w:r>
      <w:r w:rsidRPr="00256982">
        <w:noBreakHyphen/>
        <w:t>e emissions</w:t>
      </w:r>
      <w:bookmarkEnd w:id="2019"/>
      <w:bookmarkEnd w:id="2020"/>
      <w:bookmarkEnd w:id="2021"/>
      <w:r w:rsidRPr="00256982">
        <w:t>, from 1990 to</w:t>
      </w:r>
      <w:bookmarkEnd w:id="2022"/>
      <w:r w:rsidRPr="00256982">
        <w:t> 201</w:t>
      </w:r>
      <w:bookmarkEnd w:id="2023"/>
      <w:bookmarkEnd w:id="2024"/>
      <w:bookmarkEnd w:id="2025"/>
      <w:bookmarkEnd w:id="2026"/>
      <w:bookmarkEnd w:id="2027"/>
      <w:r w:rsidRPr="00256982">
        <w:t>7</w:t>
      </w:r>
      <w:bookmarkEnd w:id="2028"/>
      <w:bookmarkEnd w:id="2029"/>
    </w:p>
    <w:tbl>
      <w:tblPr>
        <w:tblW w:w="8505" w:type="dxa"/>
        <w:tblInd w:w="108" w:type="dxa"/>
        <w:tblLayout w:type="fixed"/>
        <w:tblLook w:val="04A0" w:firstRow="1" w:lastRow="0" w:firstColumn="1" w:lastColumn="0" w:noHBand="0" w:noVBand="1"/>
      </w:tblPr>
      <w:tblGrid>
        <w:gridCol w:w="2977"/>
        <w:gridCol w:w="1134"/>
        <w:gridCol w:w="1134"/>
        <w:gridCol w:w="851"/>
        <w:gridCol w:w="850"/>
        <w:gridCol w:w="1559"/>
      </w:tblGrid>
      <w:tr w:rsidR="00380BE7" w:rsidRPr="00256982" w14:paraId="3A46A406" w14:textId="77777777" w:rsidTr="009574E7">
        <w:trPr>
          <w:tblHeader/>
        </w:trPr>
        <w:tc>
          <w:tcPr>
            <w:tcW w:w="2977" w:type="dxa"/>
            <w:vMerge w:val="restart"/>
            <w:tcBorders>
              <w:top w:val="single" w:sz="4" w:space="0" w:color="365F91"/>
            </w:tcBorders>
            <w:shd w:val="clear" w:color="auto" w:fill="365F91"/>
            <w:vAlign w:val="bottom"/>
          </w:tcPr>
          <w:p w14:paraId="6E02A5AD" w14:textId="77777777" w:rsidR="00380BE7" w:rsidRPr="00256982" w:rsidRDefault="00380BE7" w:rsidP="009574E7">
            <w:pPr>
              <w:pStyle w:val="TableTextBold"/>
              <w:keepNext/>
              <w:rPr>
                <w:noProof w:val="0"/>
                <w:color w:val="FFFFFF"/>
              </w:rPr>
            </w:pPr>
            <w:r w:rsidRPr="00256982">
              <w:rPr>
                <w:noProof w:val="0"/>
                <w:color w:val="FFFFFF"/>
              </w:rPr>
              <w:t>Settlements land use category</w:t>
            </w:r>
          </w:p>
        </w:tc>
        <w:tc>
          <w:tcPr>
            <w:tcW w:w="2268" w:type="dxa"/>
            <w:gridSpan w:val="2"/>
            <w:tcBorders>
              <w:top w:val="single" w:sz="4" w:space="0" w:color="365F91"/>
            </w:tcBorders>
            <w:shd w:val="clear" w:color="auto" w:fill="365F91"/>
            <w:vAlign w:val="bottom"/>
          </w:tcPr>
          <w:p w14:paraId="769ADE32" w14:textId="77777777" w:rsidR="00380BE7" w:rsidRPr="00256982" w:rsidRDefault="00380BE7" w:rsidP="009574E7">
            <w:pPr>
              <w:pStyle w:val="TableTextBold"/>
              <w:keepNext/>
              <w:jc w:val="center"/>
              <w:rPr>
                <w:noProof w:val="0"/>
                <w:color w:val="FFFFFF"/>
              </w:rPr>
            </w:pPr>
            <w:r w:rsidRPr="00256982">
              <w:rPr>
                <w:noProof w:val="0"/>
                <w:color w:val="FFFFFF"/>
              </w:rPr>
              <w:t>Net area (ha) as at</w:t>
            </w:r>
          </w:p>
        </w:tc>
        <w:tc>
          <w:tcPr>
            <w:tcW w:w="1701" w:type="dxa"/>
            <w:gridSpan w:val="2"/>
            <w:tcBorders>
              <w:top w:val="single" w:sz="4" w:space="0" w:color="365F91"/>
            </w:tcBorders>
            <w:shd w:val="clear" w:color="auto" w:fill="365F91"/>
            <w:vAlign w:val="bottom"/>
          </w:tcPr>
          <w:p w14:paraId="2E4B2A36" w14:textId="77777777" w:rsidR="00380BE7" w:rsidRPr="00256982" w:rsidRDefault="00380BE7" w:rsidP="009574E7">
            <w:pPr>
              <w:pStyle w:val="TableTextBold"/>
              <w:keepNext/>
              <w:jc w:val="center"/>
              <w:rPr>
                <w:noProof w:val="0"/>
                <w:color w:val="FFFFFF"/>
              </w:rPr>
            </w:pPr>
            <w:r w:rsidRPr="00256982">
              <w:rPr>
                <w:noProof w:val="0"/>
                <w:color w:val="FFFFFF"/>
              </w:rPr>
              <w:t xml:space="preserve">Net emissions </w:t>
            </w:r>
            <w:r w:rsidRPr="00256982">
              <w:rPr>
                <w:noProof w:val="0"/>
                <w:color w:val="FFFFFF"/>
              </w:rPr>
              <w:br/>
              <w:t>(kt CO</w:t>
            </w:r>
            <w:r w:rsidRPr="00256982">
              <w:rPr>
                <w:noProof w:val="0"/>
                <w:color w:val="FFFFFF"/>
                <w:vertAlign w:val="subscript"/>
              </w:rPr>
              <w:t>2</w:t>
            </w:r>
            <w:r w:rsidRPr="00256982">
              <w:rPr>
                <w:noProof w:val="0"/>
                <w:color w:val="FFFFFF"/>
              </w:rPr>
              <w:t>-e)</w:t>
            </w:r>
          </w:p>
        </w:tc>
        <w:tc>
          <w:tcPr>
            <w:tcW w:w="1559" w:type="dxa"/>
            <w:vMerge w:val="restart"/>
            <w:tcBorders>
              <w:top w:val="single" w:sz="4" w:space="0" w:color="365F91"/>
            </w:tcBorders>
            <w:shd w:val="clear" w:color="auto" w:fill="365F91"/>
            <w:vAlign w:val="bottom"/>
          </w:tcPr>
          <w:p w14:paraId="149F31D0" w14:textId="77777777" w:rsidR="00380BE7" w:rsidRPr="00256982" w:rsidRDefault="00380BE7" w:rsidP="009574E7">
            <w:pPr>
              <w:pStyle w:val="TableTextBold"/>
              <w:keepNext/>
              <w:jc w:val="center"/>
              <w:rPr>
                <w:noProof w:val="0"/>
                <w:color w:val="FFFFFF"/>
              </w:rPr>
            </w:pPr>
            <w:r w:rsidRPr="00256982">
              <w:rPr>
                <w:noProof w:val="0"/>
                <w:color w:val="FFFFFF"/>
              </w:rPr>
              <w:t>Change from 1990 (%)</w:t>
            </w:r>
          </w:p>
        </w:tc>
      </w:tr>
      <w:tr w:rsidR="00380BE7" w:rsidRPr="00256982" w14:paraId="3046199B" w14:textId="77777777" w:rsidTr="009574E7">
        <w:trPr>
          <w:tblHeader/>
        </w:trPr>
        <w:tc>
          <w:tcPr>
            <w:tcW w:w="2977" w:type="dxa"/>
            <w:vMerge/>
            <w:tcBorders>
              <w:bottom w:val="single" w:sz="4" w:space="0" w:color="365F91"/>
            </w:tcBorders>
          </w:tcPr>
          <w:p w14:paraId="430F3B25" w14:textId="77777777" w:rsidR="00380BE7" w:rsidRPr="00256982" w:rsidRDefault="00380BE7" w:rsidP="009574E7">
            <w:pPr>
              <w:keepNext/>
              <w:keepLines/>
              <w:spacing w:before="60" w:after="60"/>
            </w:pPr>
          </w:p>
        </w:tc>
        <w:tc>
          <w:tcPr>
            <w:tcW w:w="1134" w:type="dxa"/>
            <w:tcBorders>
              <w:bottom w:val="single" w:sz="4" w:space="0" w:color="365F91"/>
            </w:tcBorders>
            <w:shd w:val="clear" w:color="auto" w:fill="365F91"/>
          </w:tcPr>
          <w:p w14:paraId="3A5CC06D" w14:textId="77777777" w:rsidR="00380BE7" w:rsidRPr="00256982" w:rsidRDefault="00380BE7" w:rsidP="009574E7">
            <w:pPr>
              <w:pStyle w:val="TableTextBold"/>
              <w:keepNext/>
              <w:jc w:val="center"/>
              <w:rPr>
                <w:noProof w:val="0"/>
                <w:color w:val="FFFFFF"/>
              </w:rPr>
            </w:pPr>
            <w:r w:rsidRPr="00256982">
              <w:rPr>
                <w:noProof w:val="0"/>
                <w:color w:val="FFFFFF"/>
              </w:rPr>
              <w:t>1990</w:t>
            </w:r>
          </w:p>
        </w:tc>
        <w:tc>
          <w:tcPr>
            <w:tcW w:w="1134" w:type="dxa"/>
            <w:tcBorders>
              <w:bottom w:val="single" w:sz="4" w:space="0" w:color="365F91"/>
            </w:tcBorders>
            <w:shd w:val="clear" w:color="auto" w:fill="365F91"/>
          </w:tcPr>
          <w:p w14:paraId="134EE21A" w14:textId="77777777" w:rsidR="00380BE7" w:rsidRPr="00256982" w:rsidRDefault="00380BE7" w:rsidP="009574E7">
            <w:pPr>
              <w:pStyle w:val="TableTextBold"/>
              <w:keepNext/>
              <w:jc w:val="center"/>
              <w:rPr>
                <w:noProof w:val="0"/>
                <w:color w:val="FFFFFF"/>
              </w:rPr>
            </w:pPr>
            <w:r w:rsidRPr="00256982">
              <w:rPr>
                <w:noProof w:val="0"/>
                <w:color w:val="FFFFFF"/>
              </w:rPr>
              <w:t>2017</w:t>
            </w:r>
          </w:p>
        </w:tc>
        <w:tc>
          <w:tcPr>
            <w:tcW w:w="851" w:type="dxa"/>
            <w:tcBorders>
              <w:bottom w:val="single" w:sz="4" w:space="0" w:color="365F91"/>
            </w:tcBorders>
            <w:shd w:val="clear" w:color="auto" w:fill="365F91"/>
          </w:tcPr>
          <w:p w14:paraId="5444C461" w14:textId="77777777" w:rsidR="00380BE7" w:rsidRPr="00256982" w:rsidRDefault="00380BE7" w:rsidP="009574E7">
            <w:pPr>
              <w:pStyle w:val="TableTextBold"/>
              <w:keepNext/>
              <w:jc w:val="center"/>
              <w:rPr>
                <w:noProof w:val="0"/>
                <w:color w:val="FFFFFF"/>
              </w:rPr>
            </w:pPr>
            <w:r w:rsidRPr="00256982">
              <w:rPr>
                <w:noProof w:val="0"/>
                <w:color w:val="FFFFFF"/>
              </w:rPr>
              <w:t>1990</w:t>
            </w:r>
          </w:p>
        </w:tc>
        <w:tc>
          <w:tcPr>
            <w:tcW w:w="850" w:type="dxa"/>
            <w:tcBorders>
              <w:bottom w:val="single" w:sz="4" w:space="0" w:color="365F91"/>
            </w:tcBorders>
            <w:shd w:val="clear" w:color="auto" w:fill="365F91"/>
          </w:tcPr>
          <w:p w14:paraId="6D2E9B45" w14:textId="77777777" w:rsidR="00380BE7" w:rsidRPr="00256982" w:rsidRDefault="00380BE7" w:rsidP="009574E7">
            <w:pPr>
              <w:pStyle w:val="TableTextBold"/>
              <w:keepNext/>
              <w:jc w:val="center"/>
              <w:rPr>
                <w:noProof w:val="0"/>
                <w:color w:val="FFFFFF"/>
              </w:rPr>
            </w:pPr>
            <w:r w:rsidRPr="00256982">
              <w:rPr>
                <w:noProof w:val="0"/>
                <w:color w:val="FFFFFF"/>
              </w:rPr>
              <w:t>2017</w:t>
            </w:r>
          </w:p>
        </w:tc>
        <w:tc>
          <w:tcPr>
            <w:tcW w:w="1559" w:type="dxa"/>
            <w:vMerge/>
            <w:tcBorders>
              <w:bottom w:val="single" w:sz="4" w:space="0" w:color="365F91"/>
            </w:tcBorders>
          </w:tcPr>
          <w:p w14:paraId="3007A4B2" w14:textId="77777777" w:rsidR="00380BE7" w:rsidRPr="00256982" w:rsidRDefault="00380BE7" w:rsidP="009574E7">
            <w:pPr>
              <w:keepNext/>
              <w:keepLines/>
              <w:spacing w:before="60" w:after="60"/>
              <w:jc w:val="center"/>
              <w:rPr>
                <w:rFonts w:ascii="Arial" w:hAnsi="Arial"/>
              </w:rPr>
            </w:pPr>
          </w:p>
        </w:tc>
      </w:tr>
      <w:tr w:rsidR="00380BE7" w:rsidRPr="00256982" w14:paraId="56A20DE9" w14:textId="77777777" w:rsidTr="009574E7">
        <w:tc>
          <w:tcPr>
            <w:tcW w:w="2977" w:type="dxa"/>
            <w:tcBorders>
              <w:top w:val="single" w:sz="4" w:space="0" w:color="365F91"/>
              <w:bottom w:val="single" w:sz="4" w:space="0" w:color="365F91"/>
            </w:tcBorders>
          </w:tcPr>
          <w:p w14:paraId="0C511A17" w14:textId="77777777" w:rsidR="00380BE7" w:rsidRPr="00256982" w:rsidRDefault="00380BE7" w:rsidP="009574E7">
            <w:pPr>
              <w:pStyle w:val="TableText"/>
              <w:keepNext/>
            </w:pPr>
            <w:r w:rsidRPr="00256982">
              <w:t>Settlements remaining settlements</w:t>
            </w:r>
          </w:p>
        </w:tc>
        <w:tc>
          <w:tcPr>
            <w:tcW w:w="1134" w:type="dxa"/>
            <w:tcBorders>
              <w:top w:val="single" w:sz="4" w:space="0" w:color="365F91"/>
              <w:bottom w:val="single" w:sz="4" w:space="0" w:color="365F91"/>
            </w:tcBorders>
          </w:tcPr>
          <w:p w14:paraId="1E62A279" w14:textId="77777777" w:rsidR="00380BE7" w:rsidRPr="00256982" w:rsidRDefault="00380BE7" w:rsidP="009574E7">
            <w:pPr>
              <w:pStyle w:val="TableText"/>
              <w:keepNext/>
              <w:jc w:val="center"/>
            </w:pPr>
            <w:r w:rsidRPr="00256982">
              <w:t>184,229</w:t>
            </w:r>
          </w:p>
        </w:tc>
        <w:tc>
          <w:tcPr>
            <w:tcW w:w="1134" w:type="dxa"/>
            <w:tcBorders>
              <w:top w:val="single" w:sz="4" w:space="0" w:color="365F91"/>
              <w:bottom w:val="single" w:sz="4" w:space="0" w:color="365F91"/>
            </w:tcBorders>
          </w:tcPr>
          <w:p w14:paraId="48FFC5B0" w14:textId="77777777" w:rsidR="00380BE7" w:rsidRPr="00256982" w:rsidRDefault="00380BE7" w:rsidP="009574E7">
            <w:pPr>
              <w:pStyle w:val="TableText"/>
              <w:keepNext/>
              <w:jc w:val="center"/>
            </w:pPr>
            <w:r w:rsidRPr="00256982">
              <w:t>207,464</w:t>
            </w:r>
          </w:p>
        </w:tc>
        <w:tc>
          <w:tcPr>
            <w:tcW w:w="851" w:type="dxa"/>
            <w:tcBorders>
              <w:top w:val="single" w:sz="4" w:space="0" w:color="365F91"/>
              <w:bottom w:val="single" w:sz="4" w:space="0" w:color="365F91"/>
            </w:tcBorders>
          </w:tcPr>
          <w:p w14:paraId="174FC097" w14:textId="77777777" w:rsidR="00380BE7" w:rsidRPr="00256982" w:rsidRDefault="00380BE7" w:rsidP="009574E7">
            <w:pPr>
              <w:pStyle w:val="TableText"/>
              <w:keepNext/>
              <w:jc w:val="center"/>
            </w:pPr>
            <w:r w:rsidRPr="00256982">
              <w:t>+65.1</w:t>
            </w:r>
          </w:p>
        </w:tc>
        <w:tc>
          <w:tcPr>
            <w:tcW w:w="850" w:type="dxa"/>
            <w:tcBorders>
              <w:top w:val="single" w:sz="4" w:space="0" w:color="365F91"/>
              <w:bottom w:val="single" w:sz="4" w:space="0" w:color="365F91"/>
            </w:tcBorders>
          </w:tcPr>
          <w:p w14:paraId="699C178D" w14:textId="77777777" w:rsidR="00380BE7" w:rsidRPr="00256982" w:rsidRDefault="00380BE7" w:rsidP="009574E7">
            <w:pPr>
              <w:pStyle w:val="TableText"/>
              <w:keepNext/>
              <w:jc w:val="center"/>
            </w:pPr>
            <w:r w:rsidRPr="00256982">
              <w:t>+65.1</w:t>
            </w:r>
          </w:p>
        </w:tc>
        <w:tc>
          <w:tcPr>
            <w:tcW w:w="1559" w:type="dxa"/>
            <w:tcBorders>
              <w:top w:val="single" w:sz="4" w:space="0" w:color="365F91"/>
              <w:bottom w:val="single" w:sz="4" w:space="0" w:color="365F91"/>
            </w:tcBorders>
          </w:tcPr>
          <w:p w14:paraId="24406CFE" w14:textId="77777777" w:rsidR="00380BE7" w:rsidRPr="00256982" w:rsidRDefault="00380BE7" w:rsidP="009574E7">
            <w:pPr>
              <w:pStyle w:val="TableText"/>
              <w:keepNext/>
              <w:jc w:val="center"/>
            </w:pPr>
            <w:r w:rsidRPr="00256982">
              <w:t>0.0</w:t>
            </w:r>
          </w:p>
        </w:tc>
      </w:tr>
      <w:tr w:rsidR="00380BE7" w:rsidRPr="00256982" w14:paraId="010562D4" w14:textId="77777777" w:rsidTr="009574E7">
        <w:tc>
          <w:tcPr>
            <w:tcW w:w="2977" w:type="dxa"/>
            <w:tcBorders>
              <w:top w:val="single" w:sz="4" w:space="0" w:color="365F91"/>
              <w:bottom w:val="single" w:sz="4" w:space="0" w:color="365F91"/>
            </w:tcBorders>
          </w:tcPr>
          <w:p w14:paraId="21FC81FB" w14:textId="77777777" w:rsidR="00380BE7" w:rsidRPr="00256982" w:rsidRDefault="00380BE7" w:rsidP="009574E7">
            <w:pPr>
              <w:pStyle w:val="TableText"/>
            </w:pPr>
            <w:r w:rsidRPr="00256982">
              <w:t>Land converted to settlements</w:t>
            </w:r>
          </w:p>
        </w:tc>
        <w:tc>
          <w:tcPr>
            <w:tcW w:w="1134" w:type="dxa"/>
            <w:tcBorders>
              <w:top w:val="single" w:sz="4" w:space="0" w:color="365F91"/>
              <w:bottom w:val="single" w:sz="4" w:space="0" w:color="365F91"/>
            </w:tcBorders>
          </w:tcPr>
          <w:p w14:paraId="6F1347F5" w14:textId="77777777" w:rsidR="00380BE7" w:rsidRPr="00256982" w:rsidRDefault="00380BE7" w:rsidP="009574E7">
            <w:pPr>
              <w:pStyle w:val="TableText"/>
              <w:jc w:val="center"/>
            </w:pPr>
            <w:r w:rsidRPr="00256982">
              <w:t>23,279</w:t>
            </w:r>
          </w:p>
        </w:tc>
        <w:tc>
          <w:tcPr>
            <w:tcW w:w="1134" w:type="dxa"/>
            <w:tcBorders>
              <w:top w:val="single" w:sz="4" w:space="0" w:color="365F91"/>
              <w:bottom w:val="single" w:sz="4" w:space="0" w:color="365F91"/>
            </w:tcBorders>
          </w:tcPr>
          <w:p w14:paraId="51BC70AC" w14:textId="77777777" w:rsidR="00380BE7" w:rsidRPr="00256982" w:rsidRDefault="00380BE7" w:rsidP="009574E7">
            <w:pPr>
              <w:pStyle w:val="TableText"/>
              <w:jc w:val="center"/>
            </w:pPr>
            <w:r w:rsidRPr="00256982">
              <w:t>27,913</w:t>
            </w:r>
          </w:p>
        </w:tc>
        <w:tc>
          <w:tcPr>
            <w:tcW w:w="851" w:type="dxa"/>
            <w:tcBorders>
              <w:top w:val="single" w:sz="4" w:space="0" w:color="365F91"/>
              <w:bottom w:val="single" w:sz="4" w:space="0" w:color="365F91"/>
            </w:tcBorders>
          </w:tcPr>
          <w:p w14:paraId="453B5B43" w14:textId="77777777" w:rsidR="00380BE7" w:rsidRPr="00256982" w:rsidRDefault="00380BE7" w:rsidP="009574E7">
            <w:pPr>
              <w:pStyle w:val="TableText"/>
              <w:jc w:val="center"/>
            </w:pPr>
            <w:r w:rsidRPr="00256982">
              <w:t xml:space="preserve">7.6 </w:t>
            </w:r>
          </w:p>
        </w:tc>
        <w:tc>
          <w:tcPr>
            <w:tcW w:w="850" w:type="dxa"/>
            <w:tcBorders>
              <w:top w:val="single" w:sz="4" w:space="0" w:color="365F91"/>
              <w:bottom w:val="single" w:sz="4" w:space="0" w:color="365F91"/>
            </w:tcBorders>
          </w:tcPr>
          <w:p w14:paraId="1128FEF2" w14:textId="77777777" w:rsidR="00380BE7" w:rsidRPr="00256982" w:rsidRDefault="00380BE7" w:rsidP="009574E7">
            <w:pPr>
              <w:pStyle w:val="TableText"/>
              <w:jc w:val="center"/>
            </w:pPr>
            <w:r w:rsidRPr="00256982">
              <w:t xml:space="preserve">35.6 </w:t>
            </w:r>
          </w:p>
        </w:tc>
        <w:tc>
          <w:tcPr>
            <w:tcW w:w="1559" w:type="dxa"/>
            <w:tcBorders>
              <w:top w:val="single" w:sz="4" w:space="0" w:color="365F91"/>
              <w:bottom w:val="single" w:sz="4" w:space="0" w:color="365F91"/>
            </w:tcBorders>
          </w:tcPr>
          <w:p w14:paraId="6CC94914" w14:textId="77777777" w:rsidR="00380BE7" w:rsidRPr="00256982" w:rsidRDefault="00380BE7" w:rsidP="009574E7">
            <w:pPr>
              <w:pStyle w:val="TableText"/>
              <w:jc w:val="center"/>
            </w:pPr>
            <w:r w:rsidRPr="00256982">
              <w:t>+370.8</w:t>
            </w:r>
          </w:p>
        </w:tc>
      </w:tr>
      <w:tr w:rsidR="00380BE7" w:rsidRPr="00256982" w14:paraId="63A9A0F2" w14:textId="77777777" w:rsidTr="009574E7">
        <w:tc>
          <w:tcPr>
            <w:tcW w:w="2977" w:type="dxa"/>
            <w:tcBorders>
              <w:top w:val="single" w:sz="4" w:space="0" w:color="365F91"/>
              <w:bottom w:val="single" w:sz="4" w:space="0" w:color="365F91"/>
            </w:tcBorders>
          </w:tcPr>
          <w:p w14:paraId="46AD1B7C" w14:textId="77777777" w:rsidR="00380BE7" w:rsidRPr="00256982" w:rsidRDefault="00380BE7" w:rsidP="009574E7">
            <w:pPr>
              <w:pStyle w:val="Tableboldblue"/>
            </w:pPr>
            <w:r w:rsidRPr="00256982">
              <w:t>Total</w:t>
            </w:r>
          </w:p>
        </w:tc>
        <w:tc>
          <w:tcPr>
            <w:tcW w:w="1134" w:type="dxa"/>
            <w:tcBorders>
              <w:top w:val="single" w:sz="4" w:space="0" w:color="365F91"/>
              <w:bottom w:val="single" w:sz="4" w:space="0" w:color="365F91"/>
            </w:tcBorders>
          </w:tcPr>
          <w:p w14:paraId="7A042DED" w14:textId="77777777" w:rsidR="00380BE7" w:rsidRPr="00256982" w:rsidRDefault="00380BE7" w:rsidP="009574E7">
            <w:pPr>
              <w:pStyle w:val="Tableboldblue"/>
              <w:jc w:val="center"/>
              <w:rPr>
                <w:color w:val="44546A"/>
              </w:rPr>
            </w:pPr>
            <w:r w:rsidRPr="00256982">
              <w:t>207,508</w:t>
            </w:r>
          </w:p>
        </w:tc>
        <w:tc>
          <w:tcPr>
            <w:tcW w:w="1134" w:type="dxa"/>
            <w:tcBorders>
              <w:top w:val="single" w:sz="4" w:space="0" w:color="365F91"/>
              <w:bottom w:val="single" w:sz="4" w:space="0" w:color="365F91"/>
            </w:tcBorders>
          </w:tcPr>
          <w:p w14:paraId="0D62C627" w14:textId="77777777" w:rsidR="00380BE7" w:rsidRPr="00256982" w:rsidRDefault="00380BE7" w:rsidP="009574E7">
            <w:pPr>
              <w:pStyle w:val="Tableboldblue"/>
              <w:jc w:val="center"/>
              <w:rPr>
                <w:color w:val="44546A"/>
              </w:rPr>
            </w:pPr>
            <w:r w:rsidRPr="00256982">
              <w:t>235,378</w:t>
            </w:r>
          </w:p>
        </w:tc>
        <w:tc>
          <w:tcPr>
            <w:tcW w:w="851" w:type="dxa"/>
            <w:tcBorders>
              <w:top w:val="single" w:sz="4" w:space="0" w:color="365F91"/>
              <w:bottom w:val="single" w:sz="4" w:space="0" w:color="365F91"/>
            </w:tcBorders>
          </w:tcPr>
          <w:p w14:paraId="21586CC2" w14:textId="77777777" w:rsidR="00380BE7" w:rsidRPr="00256982" w:rsidRDefault="00380BE7" w:rsidP="009574E7">
            <w:pPr>
              <w:pStyle w:val="Tableboldblue"/>
              <w:jc w:val="center"/>
              <w:rPr>
                <w:color w:val="44546A"/>
              </w:rPr>
            </w:pPr>
            <w:r w:rsidRPr="00256982">
              <w:t xml:space="preserve">72.7 </w:t>
            </w:r>
          </w:p>
        </w:tc>
        <w:tc>
          <w:tcPr>
            <w:tcW w:w="850" w:type="dxa"/>
            <w:tcBorders>
              <w:top w:val="single" w:sz="4" w:space="0" w:color="365F91"/>
              <w:bottom w:val="single" w:sz="4" w:space="0" w:color="365F91"/>
            </w:tcBorders>
          </w:tcPr>
          <w:p w14:paraId="585116DB" w14:textId="77777777" w:rsidR="00380BE7" w:rsidRPr="00256982" w:rsidRDefault="00380BE7" w:rsidP="009574E7">
            <w:pPr>
              <w:pStyle w:val="Tableboldblue"/>
              <w:jc w:val="center"/>
              <w:rPr>
                <w:color w:val="44546A"/>
              </w:rPr>
            </w:pPr>
            <w:r w:rsidRPr="00256982">
              <w:t xml:space="preserve">100.7 </w:t>
            </w:r>
          </w:p>
        </w:tc>
        <w:tc>
          <w:tcPr>
            <w:tcW w:w="1559" w:type="dxa"/>
            <w:tcBorders>
              <w:top w:val="single" w:sz="4" w:space="0" w:color="365F91"/>
              <w:bottom w:val="single" w:sz="4" w:space="0" w:color="365F91"/>
            </w:tcBorders>
          </w:tcPr>
          <w:p w14:paraId="39E6BB3B" w14:textId="77777777" w:rsidR="00380BE7" w:rsidRPr="00256982" w:rsidRDefault="00380BE7" w:rsidP="009574E7">
            <w:pPr>
              <w:pStyle w:val="Tableboldblue"/>
              <w:jc w:val="center"/>
              <w:rPr>
                <w:color w:val="44546A"/>
              </w:rPr>
            </w:pPr>
            <w:r w:rsidRPr="00256982">
              <w:t>+38.6</w:t>
            </w:r>
          </w:p>
        </w:tc>
      </w:tr>
    </w:tbl>
    <w:p w14:paraId="7D904DEF" w14:textId="77777777" w:rsidR="00380BE7" w:rsidRPr="00256982" w:rsidRDefault="00380BE7" w:rsidP="00380BE7">
      <w:pPr>
        <w:pStyle w:val="Noteundertable"/>
      </w:pPr>
      <w:r w:rsidRPr="00256982">
        <w:rPr>
          <w:b/>
        </w:rPr>
        <w:t>Note:</w:t>
      </w:r>
      <w:r w:rsidRPr="00256982">
        <w:tab/>
        <w:t xml:space="preserve">Net area in 1990 is as at 1 January 1990; net area in 2017 is as at 31 December. </w:t>
      </w:r>
      <w:r w:rsidRPr="00256982">
        <w:rPr>
          <w:i/>
        </w:rPr>
        <w:t>Land converted to settlements</w:t>
      </w:r>
      <w:r w:rsidRPr="00256982">
        <w:t xml:space="preserve"> includes land converted up to 28 years prior. Net emission values are for the whole year indicated. Columns may not total due to rounding. </w:t>
      </w:r>
    </w:p>
    <w:p w14:paraId="240ACADA" w14:textId="77777777" w:rsidR="00380BE7" w:rsidRPr="00256982" w:rsidRDefault="00380BE7" w:rsidP="00380BE7">
      <w:pPr>
        <w:pStyle w:val="BodyText"/>
        <w:rPr>
          <w:spacing w:val="-2"/>
        </w:rPr>
      </w:pPr>
      <w:r w:rsidRPr="00256982">
        <w:rPr>
          <w:spacing w:val="-2"/>
        </w:rPr>
        <w:t xml:space="preserve">In 2017, there were 207,464 hectares in the category </w:t>
      </w:r>
      <w:r w:rsidRPr="00256982">
        <w:rPr>
          <w:i/>
          <w:spacing w:val="-2"/>
        </w:rPr>
        <w:t>Settlements remaining settlements</w:t>
      </w:r>
      <w:r w:rsidRPr="00256982">
        <w:rPr>
          <w:spacing w:val="-2"/>
        </w:rPr>
        <w:t xml:space="preserve"> (see table 6.8.1). The emissions in this category are all from drainage of organic soils for establishment of settlements. Carbon in living biomass and dead organic matter for this land use category is estimated as zero but, because zero is not a valid entry for biomass gains in the CRF Reporter, the notation key NA (not applicable) is reported for biomass gains instead. The carbon stock in mineral soil for this land use is assumed to be in steady state so this is also reported as zero. </w:t>
      </w:r>
    </w:p>
    <w:p w14:paraId="4D14DEF1" w14:textId="77777777" w:rsidR="00380BE7" w:rsidRPr="00256982" w:rsidRDefault="00380BE7" w:rsidP="00380BE7">
      <w:pPr>
        <w:pStyle w:val="BodyText"/>
      </w:pPr>
      <w:r w:rsidRPr="00256982">
        <w:t xml:space="preserve">From 1990 to 2017, the net carbon stock change for </w:t>
      </w:r>
      <w:r w:rsidRPr="00256982">
        <w:rPr>
          <w:i/>
        </w:rPr>
        <w:t>Settlements</w:t>
      </w:r>
      <w:r w:rsidRPr="00256982">
        <w:t xml:space="preserve"> decreased by 890.9 kt C, equivalent to emissions of 3,266.5 kt CO</w:t>
      </w:r>
      <w:r w:rsidRPr="00256982">
        <w:rPr>
          <w:vertAlign w:val="subscript"/>
        </w:rPr>
        <w:t>2</w:t>
      </w:r>
      <w:r w:rsidRPr="00256982">
        <w:t xml:space="preserve"> in total since 1990 (see table 6.8.2). These carbon stock losses are predominantly due to the loss of carbon from organic soils associated with drainage when land is converted to </w:t>
      </w:r>
      <w:r w:rsidRPr="00256982">
        <w:rPr>
          <w:i/>
        </w:rPr>
        <w:t>Settlements</w:t>
      </w:r>
      <w:r w:rsidRPr="00256982">
        <w:t xml:space="preserve">. </w:t>
      </w:r>
    </w:p>
    <w:p w14:paraId="34B9A3E9" w14:textId="77777777" w:rsidR="00380BE7" w:rsidRPr="00256982" w:rsidRDefault="00380BE7" w:rsidP="00380BE7">
      <w:pPr>
        <w:pStyle w:val="Table"/>
      </w:pPr>
      <w:bookmarkStart w:id="2030" w:name="_Toc352505029"/>
      <w:bookmarkStart w:id="2031" w:name="_Toc342470789"/>
      <w:bookmarkStart w:id="2032" w:name="_Toc378853318"/>
      <w:bookmarkStart w:id="2033" w:name="_Toc391024116"/>
      <w:bookmarkStart w:id="2034" w:name="_Toc410028859"/>
      <w:bookmarkStart w:id="2035" w:name="_Toc414531487"/>
      <w:bookmarkStart w:id="2036" w:name="_Toc443645400"/>
      <w:bookmarkStart w:id="2037" w:name="_Toc474914619"/>
      <w:bookmarkStart w:id="2038" w:name="_Toc481751583"/>
      <w:bookmarkStart w:id="2039" w:name="_Toc522010640"/>
      <w:bookmarkStart w:id="2040" w:name="_Toc5269545"/>
      <w:r w:rsidRPr="00256982">
        <w:lastRenderedPageBreak/>
        <w:t>Table 6.8.2</w:t>
      </w:r>
      <w:r w:rsidRPr="00256982">
        <w:tab/>
        <w:t>New Zealand’s carbon stock change by carbon pool for the Settlements category</w:t>
      </w:r>
      <w:r w:rsidRPr="00256982">
        <w:br/>
        <w:t>from 1990 to</w:t>
      </w:r>
      <w:bookmarkEnd w:id="2030"/>
      <w:bookmarkEnd w:id="2031"/>
      <w:bookmarkEnd w:id="2032"/>
      <w:bookmarkEnd w:id="2033"/>
      <w:r w:rsidRPr="00256982">
        <w:t> 201</w:t>
      </w:r>
      <w:bookmarkEnd w:id="2034"/>
      <w:bookmarkEnd w:id="2035"/>
      <w:bookmarkEnd w:id="2036"/>
      <w:bookmarkEnd w:id="2037"/>
      <w:bookmarkEnd w:id="2038"/>
      <w:bookmarkEnd w:id="2039"/>
      <w:r w:rsidRPr="00256982">
        <w:t>7</w:t>
      </w:r>
      <w:bookmarkEnd w:id="2040"/>
    </w:p>
    <w:tbl>
      <w:tblPr>
        <w:tblW w:w="8505" w:type="dxa"/>
        <w:tblInd w:w="108" w:type="dxa"/>
        <w:tblLook w:val="04A0" w:firstRow="1" w:lastRow="0" w:firstColumn="1" w:lastColumn="0" w:noHBand="0" w:noVBand="1"/>
      </w:tblPr>
      <w:tblGrid>
        <w:gridCol w:w="1912"/>
        <w:gridCol w:w="1281"/>
        <w:gridCol w:w="1394"/>
        <w:gridCol w:w="931"/>
        <w:gridCol w:w="1125"/>
        <w:gridCol w:w="1862"/>
      </w:tblGrid>
      <w:tr w:rsidR="00380BE7" w:rsidRPr="00256982" w14:paraId="595A3A71" w14:textId="77777777" w:rsidTr="009574E7">
        <w:tc>
          <w:tcPr>
            <w:tcW w:w="1912" w:type="dxa"/>
            <w:vMerge w:val="restart"/>
            <w:tcBorders>
              <w:top w:val="single" w:sz="4" w:space="0" w:color="365F91"/>
            </w:tcBorders>
            <w:shd w:val="clear" w:color="auto" w:fill="365F91"/>
            <w:vAlign w:val="bottom"/>
          </w:tcPr>
          <w:p w14:paraId="50D1EBBF" w14:textId="77777777" w:rsidR="00380BE7" w:rsidRPr="00256982" w:rsidRDefault="00380BE7" w:rsidP="009574E7">
            <w:pPr>
              <w:pStyle w:val="TableTextBold"/>
              <w:keepNext/>
              <w:rPr>
                <w:noProof w:val="0"/>
                <w:color w:val="FFFFFF"/>
              </w:rPr>
            </w:pPr>
            <w:r w:rsidRPr="00256982">
              <w:rPr>
                <w:noProof w:val="0"/>
                <w:color w:val="FFFFFF"/>
              </w:rPr>
              <w:t>Land use category</w:t>
            </w:r>
          </w:p>
        </w:tc>
        <w:tc>
          <w:tcPr>
            <w:tcW w:w="4731" w:type="dxa"/>
            <w:gridSpan w:val="4"/>
            <w:tcBorders>
              <w:top w:val="single" w:sz="4" w:space="0" w:color="365F91"/>
            </w:tcBorders>
            <w:shd w:val="clear" w:color="auto" w:fill="365F91"/>
            <w:vAlign w:val="bottom"/>
          </w:tcPr>
          <w:p w14:paraId="204DF0E1" w14:textId="77777777" w:rsidR="00380BE7" w:rsidRPr="00256982" w:rsidRDefault="00380BE7" w:rsidP="009574E7">
            <w:pPr>
              <w:pStyle w:val="TableTextBold"/>
              <w:keepNext/>
              <w:jc w:val="center"/>
              <w:rPr>
                <w:noProof w:val="0"/>
                <w:color w:val="FFFFFF"/>
              </w:rPr>
            </w:pPr>
            <w:r w:rsidRPr="00256982">
              <w:rPr>
                <w:noProof w:val="0"/>
                <w:color w:val="FFFFFF"/>
              </w:rPr>
              <w:t>Net carbon stock change 1990–2017 (kt C)</w:t>
            </w:r>
          </w:p>
        </w:tc>
        <w:tc>
          <w:tcPr>
            <w:tcW w:w="1862" w:type="dxa"/>
            <w:vMerge w:val="restart"/>
            <w:tcBorders>
              <w:top w:val="single" w:sz="4" w:space="0" w:color="365F91"/>
            </w:tcBorders>
            <w:shd w:val="clear" w:color="auto" w:fill="365F91"/>
            <w:vAlign w:val="bottom"/>
          </w:tcPr>
          <w:p w14:paraId="691EB031" w14:textId="77777777" w:rsidR="00380BE7" w:rsidRPr="00256982" w:rsidRDefault="00380BE7" w:rsidP="009574E7">
            <w:pPr>
              <w:pStyle w:val="TableTextBold"/>
              <w:keepNext/>
              <w:jc w:val="center"/>
              <w:rPr>
                <w:noProof w:val="0"/>
                <w:color w:val="FFFFFF"/>
              </w:rPr>
            </w:pPr>
            <w:r w:rsidRPr="00256982">
              <w:rPr>
                <w:noProof w:val="0"/>
                <w:color w:val="FFFFFF"/>
              </w:rPr>
              <w:t xml:space="preserve">Emissions </w:t>
            </w:r>
            <w:r w:rsidRPr="00256982">
              <w:rPr>
                <w:noProof w:val="0"/>
                <w:color w:val="FFFFFF"/>
              </w:rPr>
              <w:br/>
              <w:t>1990–2017</w:t>
            </w:r>
            <w:r w:rsidRPr="00256982">
              <w:rPr>
                <w:noProof w:val="0"/>
                <w:color w:val="FFFFFF"/>
              </w:rPr>
              <w:br/>
              <w:t>(kt CO</w:t>
            </w:r>
            <w:r w:rsidRPr="00256982">
              <w:rPr>
                <w:noProof w:val="0"/>
                <w:color w:val="FFFFFF"/>
                <w:vertAlign w:val="subscript"/>
              </w:rPr>
              <w:t>2</w:t>
            </w:r>
            <w:r w:rsidRPr="00256982">
              <w:rPr>
                <w:noProof w:val="0"/>
                <w:color w:val="FFFFFF"/>
              </w:rPr>
              <w:t>)</w:t>
            </w:r>
          </w:p>
        </w:tc>
      </w:tr>
      <w:tr w:rsidR="00380BE7" w:rsidRPr="00256982" w14:paraId="2547719C" w14:textId="77777777" w:rsidTr="009574E7">
        <w:tc>
          <w:tcPr>
            <w:tcW w:w="1912" w:type="dxa"/>
            <w:vMerge/>
            <w:tcBorders>
              <w:bottom w:val="single" w:sz="4" w:space="0" w:color="365F91"/>
            </w:tcBorders>
          </w:tcPr>
          <w:p w14:paraId="7580D771" w14:textId="77777777" w:rsidR="00380BE7" w:rsidRPr="00256982" w:rsidRDefault="00380BE7" w:rsidP="009574E7">
            <w:pPr>
              <w:keepNext/>
              <w:spacing w:before="60" w:after="60"/>
              <w:rPr>
                <w:rFonts w:ascii="Arial" w:hAnsi="Arial"/>
                <w:b/>
              </w:rPr>
            </w:pPr>
          </w:p>
        </w:tc>
        <w:tc>
          <w:tcPr>
            <w:tcW w:w="1281" w:type="dxa"/>
            <w:tcBorders>
              <w:bottom w:val="single" w:sz="4" w:space="0" w:color="365F91"/>
            </w:tcBorders>
            <w:shd w:val="clear" w:color="auto" w:fill="365F91"/>
            <w:vAlign w:val="bottom"/>
          </w:tcPr>
          <w:p w14:paraId="6AD5F472" w14:textId="77777777" w:rsidR="00380BE7" w:rsidRPr="00256982" w:rsidRDefault="00380BE7" w:rsidP="009574E7">
            <w:pPr>
              <w:pStyle w:val="TableTextBold"/>
              <w:jc w:val="center"/>
              <w:rPr>
                <w:noProof w:val="0"/>
                <w:color w:val="FFFFFF"/>
              </w:rPr>
            </w:pPr>
            <w:r w:rsidRPr="00256982">
              <w:rPr>
                <w:noProof w:val="0"/>
                <w:color w:val="FFFFFF"/>
              </w:rPr>
              <w:t>Living biomass</w:t>
            </w:r>
          </w:p>
        </w:tc>
        <w:tc>
          <w:tcPr>
            <w:tcW w:w="1394" w:type="dxa"/>
            <w:tcBorders>
              <w:bottom w:val="single" w:sz="4" w:space="0" w:color="365F91"/>
            </w:tcBorders>
            <w:shd w:val="clear" w:color="auto" w:fill="365F91"/>
            <w:vAlign w:val="bottom"/>
          </w:tcPr>
          <w:p w14:paraId="2D0FB6EC" w14:textId="77777777" w:rsidR="00380BE7" w:rsidRPr="00256982" w:rsidRDefault="00380BE7" w:rsidP="009574E7">
            <w:pPr>
              <w:pStyle w:val="TableTextBold"/>
              <w:jc w:val="center"/>
              <w:rPr>
                <w:noProof w:val="0"/>
                <w:color w:val="FFFFFF"/>
              </w:rPr>
            </w:pPr>
            <w:r w:rsidRPr="00256982">
              <w:rPr>
                <w:noProof w:val="0"/>
                <w:color w:val="FFFFFF"/>
              </w:rPr>
              <w:t>Dead organic matter</w:t>
            </w:r>
          </w:p>
        </w:tc>
        <w:tc>
          <w:tcPr>
            <w:tcW w:w="931" w:type="dxa"/>
            <w:tcBorders>
              <w:bottom w:val="single" w:sz="4" w:space="0" w:color="365F91"/>
            </w:tcBorders>
            <w:shd w:val="clear" w:color="auto" w:fill="365F91"/>
            <w:vAlign w:val="bottom"/>
          </w:tcPr>
          <w:p w14:paraId="4EE938CD" w14:textId="77777777" w:rsidR="00380BE7" w:rsidRPr="00256982" w:rsidRDefault="00380BE7" w:rsidP="009574E7">
            <w:pPr>
              <w:pStyle w:val="TableTextBold"/>
              <w:jc w:val="center"/>
              <w:rPr>
                <w:noProof w:val="0"/>
                <w:color w:val="FFFFFF"/>
              </w:rPr>
            </w:pPr>
            <w:r w:rsidRPr="00256982">
              <w:rPr>
                <w:noProof w:val="0"/>
                <w:color w:val="FFFFFF"/>
              </w:rPr>
              <w:t>Soils</w:t>
            </w:r>
          </w:p>
        </w:tc>
        <w:tc>
          <w:tcPr>
            <w:tcW w:w="1125" w:type="dxa"/>
            <w:tcBorders>
              <w:bottom w:val="single" w:sz="4" w:space="0" w:color="365F91"/>
            </w:tcBorders>
            <w:shd w:val="clear" w:color="auto" w:fill="365F91"/>
            <w:vAlign w:val="bottom"/>
          </w:tcPr>
          <w:p w14:paraId="6434EBBC" w14:textId="77777777" w:rsidR="00380BE7" w:rsidRPr="00256982" w:rsidRDefault="00380BE7" w:rsidP="009574E7">
            <w:pPr>
              <w:pStyle w:val="TableTextBold"/>
              <w:jc w:val="center"/>
              <w:rPr>
                <w:noProof w:val="0"/>
                <w:color w:val="FFFFFF"/>
              </w:rPr>
            </w:pPr>
            <w:r w:rsidRPr="00256982">
              <w:rPr>
                <w:noProof w:val="0"/>
                <w:color w:val="FFFFFF"/>
              </w:rPr>
              <w:t>Total</w:t>
            </w:r>
          </w:p>
        </w:tc>
        <w:tc>
          <w:tcPr>
            <w:tcW w:w="1862" w:type="dxa"/>
            <w:vMerge/>
            <w:tcBorders>
              <w:bottom w:val="single" w:sz="4" w:space="0" w:color="365F91"/>
            </w:tcBorders>
          </w:tcPr>
          <w:p w14:paraId="5D446E47" w14:textId="77777777" w:rsidR="00380BE7" w:rsidRPr="00256982" w:rsidRDefault="00380BE7" w:rsidP="009574E7">
            <w:pPr>
              <w:keepNext/>
              <w:spacing w:before="60" w:after="60"/>
              <w:jc w:val="center"/>
              <w:rPr>
                <w:rFonts w:ascii="Arial" w:hAnsi="Arial"/>
                <w:b/>
              </w:rPr>
            </w:pPr>
          </w:p>
        </w:tc>
      </w:tr>
      <w:tr w:rsidR="00380BE7" w:rsidRPr="00256982" w14:paraId="4DD46AEC" w14:textId="77777777" w:rsidTr="009574E7">
        <w:tc>
          <w:tcPr>
            <w:tcW w:w="1912" w:type="dxa"/>
            <w:tcBorders>
              <w:top w:val="single" w:sz="4" w:space="0" w:color="365F91"/>
              <w:bottom w:val="single" w:sz="4" w:space="0" w:color="365F91"/>
            </w:tcBorders>
          </w:tcPr>
          <w:p w14:paraId="40DE4304" w14:textId="77777777" w:rsidR="00380BE7" w:rsidRPr="00256982" w:rsidRDefault="00380BE7" w:rsidP="009574E7">
            <w:pPr>
              <w:pStyle w:val="TableText"/>
            </w:pPr>
            <w:r w:rsidRPr="00256982">
              <w:t>Settlements</w:t>
            </w:r>
          </w:p>
        </w:tc>
        <w:tc>
          <w:tcPr>
            <w:tcW w:w="1281" w:type="dxa"/>
            <w:tcBorders>
              <w:top w:val="single" w:sz="4" w:space="0" w:color="365F91"/>
              <w:bottom w:val="single" w:sz="4" w:space="0" w:color="365F91"/>
            </w:tcBorders>
          </w:tcPr>
          <w:p w14:paraId="29BDC606" w14:textId="77777777" w:rsidR="00380BE7" w:rsidRPr="00256982" w:rsidRDefault="00380BE7" w:rsidP="009574E7">
            <w:pPr>
              <w:pStyle w:val="TableText"/>
              <w:jc w:val="center"/>
            </w:pPr>
            <w:r w:rsidRPr="00256982">
              <w:rPr>
                <w:rFonts w:cs="Arial"/>
                <w:color w:val="000000"/>
                <w:szCs w:val="16"/>
              </w:rPr>
              <w:t>–</w:t>
            </w:r>
            <w:r w:rsidRPr="00256982">
              <w:t>394.4</w:t>
            </w:r>
          </w:p>
        </w:tc>
        <w:tc>
          <w:tcPr>
            <w:tcW w:w="1394" w:type="dxa"/>
            <w:tcBorders>
              <w:top w:val="single" w:sz="4" w:space="0" w:color="365F91"/>
              <w:bottom w:val="single" w:sz="4" w:space="0" w:color="365F91"/>
            </w:tcBorders>
          </w:tcPr>
          <w:p w14:paraId="70629849" w14:textId="77777777" w:rsidR="00380BE7" w:rsidRPr="00256982" w:rsidRDefault="00380BE7" w:rsidP="009574E7">
            <w:pPr>
              <w:pStyle w:val="TableText"/>
              <w:jc w:val="center"/>
            </w:pPr>
            <w:r w:rsidRPr="00256982">
              <w:rPr>
                <w:rFonts w:cs="Arial"/>
                <w:color w:val="000000"/>
                <w:szCs w:val="16"/>
              </w:rPr>
              <w:t>–</w:t>
            </w:r>
            <w:r w:rsidRPr="00256982">
              <w:t>22.3</w:t>
            </w:r>
          </w:p>
        </w:tc>
        <w:tc>
          <w:tcPr>
            <w:tcW w:w="931" w:type="dxa"/>
            <w:tcBorders>
              <w:top w:val="single" w:sz="4" w:space="0" w:color="365F91"/>
              <w:bottom w:val="single" w:sz="4" w:space="0" w:color="365F91"/>
            </w:tcBorders>
          </w:tcPr>
          <w:p w14:paraId="11792CFF" w14:textId="77777777" w:rsidR="00380BE7" w:rsidRPr="00256982" w:rsidRDefault="00380BE7" w:rsidP="009574E7">
            <w:pPr>
              <w:pStyle w:val="TableText"/>
              <w:jc w:val="center"/>
            </w:pPr>
            <w:r w:rsidRPr="00256982">
              <w:rPr>
                <w:rFonts w:cs="Arial"/>
                <w:color w:val="000000"/>
                <w:szCs w:val="16"/>
              </w:rPr>
              <w:t>–</w:t>
            </w:r>
            <w:r w:rsidRPr="00256982">
              <w:t>474.2</w:t>
            </w:r>
          </w:p>
        </w:tc>
        <w:tc>
          <w:tcPr>
            <w:tcW w:w="1125" w:type="dxa"/>
            <w:tcBorders>
              <w:top w:val="single" w:sz="4" w:space="0" w:color="365F91"/>
              <w:bottom w:val="single" w:sz="4" w:space="0" w:color="365F91"/>
            </w:tcBorders>
          </w:tcPr>
          <w:p w14:paraId="70BFEB81" w14:textId="77777777" w:rsidR="00380BE7" w:rsidRPr="00256982" w:rsidRDefault="00380BE7" w:rsidP="009574E7">
            <w:pPr>
              <w:pStyle w:val="TableText"/>
              <w:jc w:val="center"/>
            </w:pPr>
            <w:r w:rsidRPr="00256982">
              <w:rPr>
                <w:rFonts w:cs="Arial"/>
                <w:color w:val="000000"/>
                <w:szCs w:val="16"/>
              </w:rPr>
              <w:t>–</w:t>
            </w:r>
            <w:r w:rsidRPr="00256982">
              <w:t>890.9</w:t>
            </w:r>
          </w:p>
        </w:tc>
        <w:tc>
          <w:tcPr>
            <w:tcW w:w="1862" w:type="dxa"/>
            <w:tcBorders>
              <w:top w:val="single" w:sz="4" w:space="0" w:color="365F91"/>
              <w:bottom w:val="single" w:sz="4" w:space="0" w:color="365F91"/>
            </w:tcBorders>
          </w:tcPr>
          <w:p w14:paraId="0DBAAEE6" w14:textId="77777777" w:rsidR="00380BE7" w:rsidRPr="00256982" w:rsidRDefault="00380BE7" w:rsidP="009574E7">
            <w:pPr>
              <w:pStyle w:val="TableText"/>
              <w:jc w:val="center"/>
            </w:pPr>
            <w:r w:rsidRPr="00256982">
              <w:t>3,266.5</w:t>
            </w:r>
          </w:p>
        </w:tc>
      </w:tr>
    </w:tbl>
    <w:p w14:paraId="6916B081" w14:textId="77777777" w:rsidR="00380BE7" w:rsidRPr="00256982" w:rsidRDefault="00380BE7" w:rsidP="00380BE7">
      <w:pPr>
        <w:pStyle w:val="Heading3"/>
        <w:spacing w:before="480"/>
      </w:pPr>
      <w:r w:rsidRPr="00256982">
        <w:t>6.8.2</w:t>
      </w:r>
      <w:r w:rsidRPr="00256982">
        <w:tab/>
        <w:t>Methodological issues</w:t>
      </w:r>
    </w:p>
    <w:p w14:paraId="267E3DB9" w14:textId="77777777" w:rsidR="00380BE7" w:rsidRPr="00256982" w:rsidRDefault="00380BE7" w:rsidP="00380BE7">
      <w:pPr>
        <w:pStyle w:val="Heading4"/>
      </w:pPr>
      <w:r w:rsidRPr="00256982">
        <w:t>Settlements remaining settlements (CRF 4.E.1)</w:t>
      </w:r>
    </w:p>
    <w:p w14:paraId="5412BB85" w14:textId="77777777" w:rsidR="00380BE7" w:rsidRPr="00256982" w:rsidRDefault="00380BE7" w:rsidP="00380BE7">
      <w:pPr>
        <w:pStyle w:val="BodyText"/>
      </w:pPr>
      <w:r w:rsidRPr="00256982">
        <w:t xml:space="preserve">New Zealand applies Tier 1 methods for estimating emissions from the </w:t>
      </w:r>
      <w:r w:rsidRPr="00256982">
        <w:rPr>
          <w:i/>
        </w:rPr>
        <w:t xml:space="preserve">Settlements remaining settlements </w:t>
      </w:r>
      <w:r w:rsidRPr="00256982">
        <w:t>category</w:t>
      </w:r>
      <w:r w:rsidRPr="00256982">
        <w:rPr>
          <w:i/>
        </w:rPr>
        <w:t xml:space="preserve">. </w:t>
      </w:r>
      <w:r w:rsidRPr="00256982">
        <w:t>The assumptions are that there is no change in carbon stocks for living biomass, dead organic matter or mineral soils.</w:t>
      </w:r>
      <w:r w:rsidRPr="00256982" w:rsidDel="00394041">
        <w:t xml:space="preserve"> </w:t>
      </w:r>
      <w:r w:rsidRPr="00256982">
        <w:t>The Tier 1 method for organic soils conversely assumes emissions are constant if they are drained. Where organic soils occur in this category, they are assumed to be drained. New Zealand reports emissions applying a factor of either 5.0 tonnes C ha</w:t>
      </w:r>
      <w:r w:rsidRPr="00256982">
        <w:rPr>
          <w:vertAlign w:val="superscript"/>
        </w:rPr>
        <w:t xml:space="preserve">–1 </w:t>
      </w:r>
      <w:r w:rsidRPr="00256982">
        <w:t>yr</w:t>
      </w:r>
      <w:r w:rsidRPr="00256982">
        <w:rPr>
          <w:vertAlign w:val="superscript"/>
        </w:rPr>
        <w:t>–1</w:t>
      </w:r>
      <w:r w:rsidRPr="00256982">
        <w:t xml:space="preserve"> or 10.0 tonnes C ha</w:t>
      </w:r>
      <w:r w:rsidRPr="00256982">
        <w:rPr>
          <w:vertAlign w:val="superscript"/>
        </w:rPr>
        <w:t xml:space="preserve">–1 </w:t>
      </w:r>
      <w:r w:rsidRPr="00256982">
        <w:t>yr</w:t>
      </w:r>
      <w:r w:rsidRPr="00256982">
        <w:rPr>
          <w:vertAlign w:val="superscript"/>
        </w:rPr>
        <w:t>–1</w:t>
      </w:r>
      <w:r w:rsidRPr="00256982">
        <w:t xml:space="preserve">, depending on the climatic temperature regime of the area (sections 5.2.3.2 and 8.2.3.2, IPCC, 2006a). </w:t>
      </w:r>
    </w:p>
    <w:p w14:paraId="6DB0CAEF" w14:textId="77777777" w:rsidR="00380BE7" w:rsidRPr="00256982" w:rsidRDefault="00380BE7" w:rsidP="00380BE7">
      <w:pPr>
        <w:pStyle w:val="BodyText"/>
      </w:pPr>
      <w:r w:rsidRPr="00256982">
        <w:t>Because this is not a key category, New Zealand is not investigating methods to move to a higher tier of reporting for this category.</w:t>
      </w:r>
    </w:p>
    <w:p w14:paraId="32662910" w14:textId="77777777" w:rsidR="00380BE7" w:rsidRPr="00256982" w:rsidRDefault="00380BE7" w:rsidP="00380BE7">
      <w:pPr>
        <w:pStyle w:val="Heading4"/>
      </w:pPr>
      <w:r w:rsidRPr="00256982">
        <w:t>Land converted to settlements (CRF 4.E.2)</w:t>
      </w:r>
    </w:p>
    <w:p w14:paraId="14421691" w14:textId="77777777" w:rsidR="00380BE7" w:rsidRPr="00256982" w:rsidRDefault="00380BE7" w:rsidP="00380BE7">
      <w:pPr>
        <w:pStyle w:val="Heading5"/>
        <w:spacing w:before="160"/>
      </w:pPr>
      <w:r w:rsidRPr="00256982">
        <w:t>Living biomass and dead organic matter</w:t>
      </w:r>
    </w:p>
    <w:p w14:paraId="466884A7" w14:textId="77777777" w:rsidR="00380BE7" w:rsidRPr="00256982" w:rsidRDefault="00380BE7" w:rsidP="00380BE7">
      <w:pPr>
        <w:pStyle w:val="BodyText"/>
      </w:pPr>
      <w:r w:rsidRPr="00256982">
        <w:t xml:space="preserve">New Zealand has applied a Tier 1 method for estimating carbon stock change with land conversion to </w:t>
      </w:r>
      <w:r w:rsidRPr="00256982">
        <w:rPr>
          <w:i/>
        </w:rPr>
        <w:t>Settlements</w:t>
      </w:r>
      <w:r w:rsidRPr="00256982">
        <w:t xml:space="preserve"> (equation 2.16, IPCC, 2006a). This is the same as that used for other areas of land-use conversion (e.g., </w:t>
      </w:r>
      <w:r w:rsidRPr="00256982">
        <w:rPr>
          <w:i/>
        </w:rPr>
        <w:t>Land converted to cropland</w:t>
      </w:r>
      <w:r w:rsidRPr="00256982">
        <w:t>). The default assumptions for a Tier 1 estimate are that all living biomass and dead organic matter present before conversion are lost in the same year as the conversion takes place. Furthermore, carbon stocks in living biomass and dead organic matter following conversion are equal to zero (sections 8.3.1 and 8.3.2, IPCC, 2006a).</w:t>
      </w:r>
    </w:p>
    <w:p w14:paraId="32B5DB8D" w14:textId="77777777" w:rsidR="00380BE7" w:rsidRPr="00256982" w:rsidRDefault="00380BE7" w:rsidP="00380BE7">
      <w:pPr>
        <w:pStyle w:val="Heading5"/>
        <w:spacing w:before="200"/>
      </w:pPr>
      <w:r w:rsidRPr="00256982">
        <w:t>Soil carbon</w:t>
      </w:r>
    </w:p>
    <w:p w14:paraId="05B484BF" w14:textId="77777777" w:rsidR="00380BE7" w:rsidRPr="00256982" w:rsidRDefault="00380BE7" w:rsidP="00380BE7">
      <w:pPr>
        <w:pStyle w:val="BodyText"/>
      </w:pPr>
      <w:r w:rsidRPr="00256982">
        <w:t xml:space="preserve">SOC stocks in mineral soil for </w:t>
      </w:r>
      <w:r w:rsidRPr="00256982">
        <w:rPr>
          <w:i/>
        </w:rPr>
        <w:t>Land converted to settlements</w:t>
      </w:r>
      <w:r w:rsidRPr="00256982">
        <w:t xml:space="preserve"> are estimated using a Tier 2 method (see section 6.3). In the absence of data on the rate of change specific to either country or land use, the IPCC default of a linear change over a 20-year period is used to estimate the change in SOC stocks between the original land use and </w:t>
      </w:r>
      <w:r w:rsidRPr="00256982">
        <w:rPr>
          <w:i/>
        </w:rPr>
        <w:t>Settlements</w:t>
      </w:r>
      <w:r w:rsidRPr="00256982">
        <w:t xml:space="preserve"> for any given period. For organic soils, loss of soil carbon is estimated using the Tier 1 method, using the same method as for </w:t>
      </w:r>
      <w:r w:rsidRPr="00256982">
        <w:rPr>
          <w:i/>
        </w:rPr>
        <w:t>Settlements remaining settlements</w:t>
      </w:r>
      <w:r w:rsidRPr="00256982">
        <w:t xml:space="preserve">. </w:t>
      </w:r>
    </w:p>
    <w:p w14:paraId="795542AA" w14:textId="77777777" w:rsidR="00380BE7" w:rsidRPr="00256982" w:rsidRDefault="00380BE7" w:rsidP="00380BE7">
      <w:pPr>
        <w:pStyle w:val="Heading3"/>
        <w:spacing w:before="280"/>
      </w:pPr>
      <w:r w:rsidRPr="00256982">
        <w:t>6.8.3</w:t>
      </w:r>
      <w:r w:rsidRPr="00256982">
        <w:tab/>
        <w:t>Uncertainties and time-series consistency</w:t>
      </w:r>
    </w:p>
    <w:p w14:paraId="56EB6533" w14:textId="77777777" w:rsidR="00380BE7" w:rsidRPr="00256982" w:rsidRDefault="00380BE7" w:rsidP="00380BE7">
      <w:pPr>
        <w:pStyle w:val="BodyText"/>
      </w:pPr>
      <w:r w:rsidRPr="00256982">
        <w:t xml:space="preserve">The uncertainty in mapping </w:t>
      </w:r>
      <w:r w:rsidRPr="00256982">
        <w:rPr>
          <w:i/>
        </w:rPr>
        <w:t>Settlements</w:t>
      </w:r>
      <w:r w:rsidRPr="00256982">
        <w:t xml:space="preserve"> is </w:t>
      </w:r>
      <w:r w:rsidRPr="00256982">
        <w:sym w:font="Symbol" w:char="F0B1"/>
      </w:r>
      <w:r w:rsidRPr="00256982">
        <w:t>22.0 per cent (see table 6.8.3). Further details are given in section 6.2.5.</w:t>
      </w:r>
    </w:p>
    <w:p w14:paraId="1F962FAB" w14:textId="77777777" w:rsidR="00380BE7" w:rsidRPr="00256982" w:rsidRDefault="00380BE7" w:rsidP="00380BE7">
      <w:pPr>
        <w:pStyle w:val="BodyText"/>
      </w:pPr>
      <w:r w:rsidRPr="00256982">
        <w:t xml:space="preserve">New Zealand uses the IPCC default values for biomass accumulation and biomass loss on conversion to </w:t>
      </w:r>
      <w:r w:rsidRPr="00256982">
        <w:rPr>
          <w:i/>
        </w:rPr>
        <w:t>Settlements</w:t>
      </w:r>
      <w:r w:rsidRPr="00256982">
        <w:t xml:space="preserve">. The uncertainty in these figures is </w:t>
      </w:r>
      <w:r w:rsidRPr="00256982">
        <w:sym w:font="Symbol" w:char="F0B1"/>
      </w:r>
      <w:r w:rsidRPr="00256982">
        <w:t xml:space="preserve">75.0 per cent. For soils, the default uncertainty of </w:t>
      </w:r>
      <w:r w:rsidRPr="00256982">
        <w:sym w:font="Symbol" w:char="F0B1"/>
      </w:r>
      <w:r w:rsidRPr="00256982">
        <w:t>95.0 per cent is applied here.</w:t>
      </w:r>
    </w:p>
    <w:p w14:paraId="5FAF7A4D" w14:textId="77777777" w:rsidR="00380BE7" w:rsidRPr="00256982" w:rsidRDefault="00380BE7" w:rsidP="00380BE7">
      <w:pPr>
        <w:pStyle w:val="Table"/>
      </w:pPr>
      <w:bookmarkStart w:id="2041" w:name="_Toc342470791"/>
      <w:bookmarkStart w:id="2042" w:name="_Toc352505031"/>
      <w:bookmarkStart w:id="2043" w:name="_Toc378853320"/>
      <w:bookmarkStart w:id="2044" w:name="_Toc391024118"/>
      <w:bookmarkStart w:id="2045" w:name="_Toc410028860"/>
      <w:bookmarkStart w:id="2046" w:name="_Toc414531488"/>
      <w:bookmarkStart w:id="2047" w:name="_Toc443645401"/>
      <w:bookmarkStart w:id="2048" w:name="_Toc474914620"/>
      <w:bookmarkStart w:id="2049" w:name="_Toc481751584"/>
      <w:bookmarkStart w:id="2050" w:name="_Toc522010641"/>
      <w:bookmarkStart w:id="2051" w:name="_Toc5269546"/>
      <w:r w:rsidRPr="00256982">
        <w:lastRenderedPageBreak/>
        <w:t>Table 6.8.3</w:t>
      </w:r>
      <w:r w:rsidRPr="00256982">
        <w:tab/>
        <w:t>Uncertainty in New Zealand’s 2017 estimates for the Settlements category</w:t>
      </w:r>
      <w:bookmarkEnd w:id="2041"/>
      <w:r w:rsidRPr="00256982">
        <w:br/>
        <w:t>(including land in transition)</w:t>
      </w:r>
      <w:bookmarkEnd w:id="2042"/>
      <w:bookmarkEnd w:id="2043"/>
      <w:bookmarkEnd w:id="2044"/>
      <w:bookmarkEnd w:id="2045"/>
      <w:bookmarkEnd w:id="2046"/>
      <w:bookmarkEnd w:id="2047"/>
      <w:bookmarkEnd w:id="2048"/>
      <w:bookmarkEnd w:id="2049"/>
      <w:bookmarkEnd w:id="2050"/>
      <w:bookmarkEnd w:id="2051"/>
    </w:p>
    <w:tbl>
      <w:tblPr>
        <w:tblW w:w="8505" w:type="dxa"/>
        <w:tblInd w:w="108" w:type="dxa"/>
        <w:tblLook w:val="04A0" w:firstRow="1" w:lastRow="0" w:firstColumn="1" w:lastColumn="0" w:noHBand="0" w:noVBand="1"/>
      </w:tblPr>
      <w:tblGrid>
        <w:gridCol w:w="4685"/>
        <w:gridCol w:w="3820"/>
      </w:tblGrid>
      <w:tr w:rsidR="00380BE7" w:rsidRPr="00256982" w14:paraId="5C4329EA" w14:textId="77777777" w:rsidTr="009574E7">
        <w:trPr>
          <w:trHeight w:val="285"/>
        </w:trPr>
        <w:tc>
          <w:tcPr>
            <w:tcW w:w="4404" w:type="dxa"/>
            <w:tcBorders>
              <w:top w:val="single" w:sz="4" w:space="0" w:color="365F91"/>
              <w:bottom w:val="single" w:sz="4" w:space="0" w:color="365F91"/>
            </w:tcBorders>
            <w:shd w:val="clear" w:color="auto" w:fill="365F91"/>
            <w:noWrap/>
            <w:hideMark/>
          </w:tcPr>
          <w:p w14:paraId="69F3CB3D" w14:textId="77777777" w:rsidR="00380BE7" w:rsidRPr="00256982" w:rsidRDefault="00380BE7" w:rsidP="009574E7">
            <w:pPr>
              <w:pStyle w:val="TableTextBold"/>
              <w:keepNext/>
              <w:rPr>
                <w:noProof w:val="0"/>
                <w:color w:val="FFFFFF"/>
              </w:rPr>
            </w:pPr>
            <w:r w:rsidRPr="00256982">
              <w:rPr>
                <w:noProof w:val="0"/>
                <w:color w:val="FFFFFF"/>
              </w:rPr>
              <w:t>Variable</w:t>
            </w:r>
          </w:p>
        </w:tc>
        <w:tc>
          <w:tcPr>
            <w:tcW w:w="3591" w:type="dxa"/>
            <w:tcBorders>
              <w:top w:val="single" w:sz="4" w:space="0" w:color="365F91"/>
              <w:bottom w:val="single" w:sz="4" w:space="0" w:color="365F91"/>
            </w:tcBorders>
            <w:shd w:val="clear" w:color="auto" w:fill="365F91"/>
            <w:noWrap/>
            <w:hideMark/>
          </w:tcPr>
          <w:p w14:paraId="48C8D93F" w14:textId="77777777" w:rsidR="00380BE7" w:rsidRPr="00256982" w:rsidRDefault="00380BE7" w:rsidP="009574E7">
            <w:pPr>
              <w:pStyle w:val="TableTextBold"/>
              <w:rPr>
                <w:noProof w:val="0"/>
                <w:color w:val="FFFFFF"/>
              </w:rPr>
            </w:pPr>
            <w:r w:rsidRPr="00256982">
              <w:rPr>
                <w:noProof w:val="0"/>
                <w:color w:val="FFFFFF"/>
              </w:rPr>
              <w:t>Uncertainty at a 95% confidence interval (%)</w:t>
            </w:r>
          </w:p>
        </w:tc>
      </w:tr>
      <w:tr w:rsidR="00380BE7" w:rsidRPr="00256982" w14:paraId="331EC5CF" w14:textId="77777777" w:rsidTr="009574E7">
        <w:trPr>
          <w:trHeight w:val="285"/>
        </w:trPr>
        <w:tc>
          <w:tcPr>
            <w:tcW w:w="4404" w:type="dxa"/>
            <w:tcBorders>
              <w:top w:val="single" w:sz="4" w:space="0" w:color="365F91"/>
              <w:bottom w:val="single" w:sz="4" w:space="0" w:color="365F91"/>
            </w:tcBorders>
            <w:noWrap/>
            <w:hideMark/>
          </w:tcPr>
          <w:p w14:paraId="17ABE2A8" w14:textId="77777777" w:rsidR="00380BE7" w:rsidRPr="00256982" w:rsidRDefault="00380BE7" w:rsidP="009574E7">
            <w:pPr>
              <w:pStyle w:val="TableTextBold"/>
              <w:keepNext/>
              <w:rPr>
                <w:noProof w:val="0"/>
              </w:rPr>
            </w:pPr>
            <w:r w:rsidRPr="00256982">
              <w:rPr>
                <w:noProof w:val="0"/>
              </w:rPr>
              <w:t>Activity data</w:t>
            </w:r>
          </w:p>
        </w:tc>
        <w:tc>
          <w:tcPr>
            <w:tcW w:w="3591" w:type="dxa"/>
            <w:tcBorders>
              <w:top w:val="single" w:sz="4" w:space="0" w:color="365F91"/>
              <w:bottom w:val="single" w:sz="4" w:space="0" w:color="365F91"/>
            </w:tcBorders>
            <w:noWrap/>
            <w:hideMark/>
          </w:tcPr>
          <w:p w14:paraId="3823090B" w14:textId="77777777" w:rsidR="00380BE7" w:rsidRPr="00256982" w:rsidRDefault="00380BE7" w:rsidP="009574E7">
            <w:pPr>
              <w:pStyle w:val="TableTextBold"/>
              <w:tabs>
                <w:tab w:val="decimal" w:pos="0"/>
              </w:tabs>
              <w:rPr>
                <w:noProof w:val="0"/>
              </w:rPr>
            </w:pPr>
          </w:p>
        </w:tc>
      </w:tr>
      <w:tr w:rsidR="00380BE7" w:rsidRPr="00256982" w14:paraId="4ED0566A" w14:textId="77777777" w:rsidTr="009574E7">
        <w:trPr>
          <w:trHeight w:val="285"/>
        </w:trPr>
        <w:tc>
          <w:tcPr>
            <w:tcW w:w="4404" w:type="dxa"/>
            <w:tcBorders>
              <w:top w:val="single" w:sz="4" w:space="0" w:color="365F91"/>
              <w:bottom w:val="single" w:sz="4" w:space="0" w:color="365F91"/>
            </w:tcBorders>
            <w:noWrap/>
            <w:hideMark/>
          </w:tcPr>
          <w:p w14:paraId="3E9775BC" w14:textId="77777777" w:rsidR="00380BE7" w:rsidRPr="00256982" w:rsidRDefault="00380BE7" w:rsidP="009574E7">
            <w:pPr>
              <w:pStyle w:val="TableText"/>
              <w:keepNext/>
            </w:pPr>
            <w:r w:rsidRPr="00256982">
              <w:t>Uncertainty in land area</w:t>
            </w:r>
          </w:p>
        </w:tc>
        <w:tc>
          <w:tcPr>
            <w:tcW w:w="3591" w:type="dxa"/>
            <w:tcBorders>
              <w:top w:val="single" w:sz="4" w:space="0" w:color="365F91"/>
              <w:bottom w:val="single" w:sz="4" w:space="0" w:color="365F91"/>
            </w:tcBorders>
            <w:noWrap/>
            <w:hideMark/>
          </w:tcPr>
          <w:p w14:paraId="538C777A" w14:textId="77777777" w:rsidR="00380BE7" w:rsidRPr="00256982" w:rsidRDefault="00380BE7" w:rsidP="009574E7">
            <w:pPr>
              <w:pStyle w:val="TableText"/>
              <w:tabs>
                <w:tab w:val="decimal" w:pos="0"/>
              </w:tabs>
              <w:jc w:val="center"/>
            </w:pPr>
            <w:r w:rsidRPr="00256982">
              <w:t>±22.0</w:t>
            </w:r>
          </w:p>
        </w:tc>
      </w:tr>
      <w:tr w:rsidR="00380BE7" w:rsidRPr="00256982" w14:paraId="34FDE327" w14:textId="77777777" w:rsidTr="009574E7">
        <w:trPr>
          <w:trHeight w:val="285"/>
        </w:trPr>
        <w:tc>
          <w:tcPr>
            <w:tcW w:w="4404" w:type="dxa"/>
            <w:tcBorders>
              <w:top w:val="single" w:sz="4" w:space="0" w:color="365F91"/>
              <w:bottom w:val="single" w:sz="4" w:space="0" w:color="365F91"/>
            </w:tcBorders>
            <w:noWrap/>
            <w:hideMark/>
          </w:tcPr>
          <w:p w14:paraId="29900B35" w14:textId="77777777" w:rsidR="00380BE7" w:rsidRPr="00256982" w:rsidRDefault="00380BE7" w:rsidP="009574E7">
            <w:pPr>
              <w:pStyle w:val="TableTextBold"/>
              <w:keepNext/>
              <w:rPr>
                <w:noProof w:val="0"/>
              </w:rPr>
            </w:pPr>
            <w:r w:rsidRPr="00256982">
              <w:rPr>
                <w:noProof w:val="0"/>
              </w:rPr>
              <w:t>Emission factors</w:t>
            </w:r>
          </w:p>
        </w:tc>
        <w:tc>
          <w:tcPr>
            <w:tcW w:w="3591" w:type="dxa"/>
            <w:tcBorders>
              <w:top w:val="single" w:sz="4" w:space="0" w:color="365F91"/>
              <w:bottom w:val="single" w:sz="4" w:space="0" w:color="365F91"/>
            </w:tcBorders>
            <w:noWrap/>
            <w:hideMark/>
          </w:tcPr>
          <w:p w14:paraId="160ABCE9" w14:textId="77777777" w:rsidR="00380BE7" w:rsidRPr="00256982" w:rsidRDefault="00380BE7" w:rsidP="009574E7">
            <w:pPr>
              <w:pStyle w:val="TableTextBold"/>
              <w:tabs>
                <w:tab w:val="decimal" w:pos="0"/>
              </w:tabs>
              <w:jc w:val="center"/>
              <w:rPr>
                <w:noProof w:val="0"/>
              </w:rPr>
            </w:pPr>
          </w:p>
        </w:tc>
      </w:tr>
      <w:tr w:rsidR="00380BE7" w:rsidRPr="00256982" w14:paraId="76DEE358" w14:textId="77777777" w:rsidTr="009574E7">
        <w:trPr>
          <w:trHeight w:val="285"/>
        </w:trPr>
        <w:tc>
          <w:tcPr>
            <w:tcW w:w="4404" w:type="dxa"/>
            <w:tcBorders>
              <w:top w:val="single" w:sz="4" w:space="0" w:color="365F91"/>
              <w:bottom w:val="single" w:sz="4" w:space="0" w:color="365F91"/>
            </w:tcBorders>
            <w:noWrap/>
            <w:hideMark/>
          </w:tcPr>
          <w:p w14:paraId="0B0024F7" w14:textId="77777777" w:rsidR="00380BE7" w:rsidRPr="00256982" w:rsidRDefault="00380BE7" w:rsidP="009574E7">
            <w:pPr>
              <w:pStyle w:val="TableText"/>
            </w:pPr>
            <w:r w:rsidRPr="00256982">
              <w:t>Uncertainty in biomass carbon stocks</w:t>
            </w:r>
          </w:p>
        </w:tc>
        <w:tc>
          <w:tcPr>
            <w:tcW w:w="3591" w:type="dxa"/>
            <w:tcBorders>
              <w:top w:val="single" w:sz="4" w:space="0" w:color="365F91"/>
              <w:bottom w:val="single" w:sz="4" w:space="0" w:color="365F91"/>
            </w:tcBorders>
            <w:noWrap/>
            <w:hideMark/>
          </w:tcPr>
          <w:p w14:paraId="1F96CA62" w14:textId="77777777" w:rsidR="00380BE7" w:rsidRPr="00256982" w:rsidRDefault="00380BE7" w:rsidP="009574E7">
            <w:pPr>
              <w:pStyle w:val="TableText"/>
              <w:tabs>
                <w:tab w:val="decimal" w:pos="0"/>
              </w:tabs>
              <w:jc w:val="center"/>
            </w:pPr>
            <w:r w:rsidRPr="00256982">
              <w:t>±75.0</w:t>
            </w:r>
          </w:p>
        </w:tc>
      </w:tr>
      <w:tr w:rsidR="00380BE7" w:rsidRPr="00256982" w14:paraId="466F06A6" w14:textId="77777777" w:rsidTr="009574E7">
        <w:trPr>
          <w:trHeight w:val="285"/>
        </w:trPr>
        <w:tc>
          <w:tcPr>
            <w:tcW w:w="4404" w:type="dxa"/>
            <w:tcBorders>
              <w:top w:val="single" w:sz="4" w:space="0" w:color="365F91"/>
              <w:bottom w:val="single" w:sz="4" w:space="0" w:color="365F91"/>
            </w:tcBorders>
            <w:noWrap/>
            <w:hideMark/>
          </w:tcPr>
          <w:p w14:paraId="5FC4ADB0" w14:textId="77777777" w:rsidR="00380BE7" w:rsidRPr="00256982" w:rsidRDefault="00380BE7" w:rsidP="009574E7">
            <w:pPr>
              <w:pStyle w:val="TableText"/>
            </w:pPr>
            <w:r w:rsidRPr="00256982">
              <w:t>Uncertainty in soil carbon stocks</w:t>
            </w:r>
          </w:p>
        </w:tc>
        <w:tc>
          <w:tcPr>
            <w:tcW w:w="3591" w:type="dxa"/>
            <w:tcBorders>
              <w:top w:val="single" w:sz="4" w:space="0" w:color="365F91"/>
              <w:bottom w:val="single" w:sz="4" w:space="0" w:color="365F91"/>
            </w:tcBorders>
            <w:noWrap/>
            <w:hideMark/>
          </w:tcPr>
          <w:p w14:paraId="1748298F" w14:textId="77777777" w:rsidR="00380BE7" w:rsidRPr="00256982" w:rsidRDefault="00380BE7" w:rsidP="009574E7">
            <w:pPr>
              <w:pStyle w:val="TableText"/>
              <w:tabs>
                <w:tab w:val="decimal" w:pos="0"/>
              </w:tabs>
              <w:jc w:val="center"/>
            </w:pPr>
            <w:r w:rsidRPr="00256982">
              <w:t>±95.0</w:t>
            </w:r>
          </w:p>
        </w:tc>
      </w:tr>
      <w:tr w:rsidR="00380BE7" w:rsidRPr="00256982" w14:paraId="65197456" w14:textId="77777777" w:rsidTr="009574E7">
        <w:trPr>
          <w:trHeight w:val="285"/>
        </w:trPr>
        <w:tc>
          <w:tcPr>
            <w:tcW w:w="4404" w:type="dxa"/>
            <w:tcBorders>
              <w:top w:val="single" w:sz="4" w:space="0" w:color="365F91"/>
              <w:bottom w:val="single" w:sz="4" w:space="0" w:color="365F91"/>
            </w:tcBorders>
            <w:noWrap/>
            <w:hideMark/>
          </w:tcPr>
          <w:p w14:paraId="2C5EF4E2" w14:textId="77777777" w:rsidR="00380BE7" w:rsidRPr="00256982" w:rsidRDefault="00380BE7" w:rsidP="009574E7">
            <w:pPr>
              <w:pStyle w:val="Tableboldblue"/>
            </w:pPr>
            <w:r w:rsidRPr="00256982">
              <w:t>Uncertainty introduced into net emissions for LULUCF</w:t>
            </w:r>
          </w:p>
        </w:tc>
        <w:tc>
          <w:tcPr>
            <w:tcW w:w="3591" w:type="dxa"/>
            <w:tcBorders>
              <w:top w:val="single" w:sz="4" w:space="0" w:color="365F91"/>
              <w:bottom w:val="single" w:sz="4" w:space="0" w:color="365F91"/>
            </w:tcBorders>
            <w:noWrap/>
            <w:hideMark/>
          </w:tcPr>
          <w:p w14:paraId="51E54F21" w14:textId="77777777" w:rsidR="00380BE7" w:rsidRPr="00256982" w:rsidRDefault="00380BE7" w:rsidP="009574E7">
            <w:pPr>
              <w:pStyle w:val="Tableboldblue"/>
              <w:tabs>
                <w:tab w:val="decimal" w:pos="0"/>
              </w:tabs>
              <w:jc w:val="center"/>
            </w:pPr>
            <w:r w:rsidRPr="00256982">
              <w:t>±0.3</w:t>
            </w:r>
          </w:p>
        </w:tc>
      </w:tr>
    </w:tbl>
    <w:p w14:paraId="1C90EECC" w14:textId="77777777" w:rsidR="00380BE7" w:rsidRPr="00256982" w:rsidRDefault="00380BE7" w:rsidP="00380BE7">
      <w:pPr>
        <w:pStyle w:val="Noteundertable"/>
      </w:pPr>
      <w:r w:rsidRPr="00256982">
        <w:rPr>
          <w:b/>
        </w:rPr>
        <w:t>Note:</w:t>
      </w:r>
      <w:r w:rsidRPr="00256982">
        <w:tab/>
        <w:t xml:space="preserve">The activity data and combined emission factor uncertainty are weighted values and have been calculated using equation 3.2 from IPCC General Guidance and Reporting (IPCC, 2006b). </w:t>
      </w:r>
    </w:p>
    <w:p w14:paraId="7F25BCA1" w14:textId="77777777" w:rsidR="00380BE7" w:rsidRPr="00256982" w:rsidRDefault="00380BE7" w:rsidP="00380BE7">
      <w:pPr>
        <w:pStyle w:val="Heading3"/>
        <w:spacing w:before="240"/>
      </w:pPr>
      <w:r w:rsidRPr="00256982">
        <w:t>6.8.4</w:t>
      </w:r>
      <w:r w:rsidRPr="00256982">
        <w:tab/>
        <w:t>Category-specific QA/QC and verification</w:t>
      </w:r>
    </w:p>
    <w:p w14:paraId="65C2795A" w14:textId="77777777" w:rsidR="00380BE7" w:rsidRPr="00256982" w:rsidRDefault="00380BE7" w:rsidP="00380BE7">
      <w:pPr>
        <w:pStyle w:val="BodyText"/>
      </w:pPr>
      <w:r w:rsidRPr="00256982">
        <w:t>In the preparation of this inventory, the activity data for these emissions underwent Tier 1 quality checks.</w:t>
      </w:r>
    </w:p>
    <w:p w14:paraId="70B65E1D" w14:textId="77777777" w:rsidR="00380BE7" w:rsidRPr="00256982" w:rsidRDefault="00380BE7" w:rsidP="00380BE7">
      <w:pPr>
        <w:pStyle w:val="Heading3"/>
        <w:spacing w:before="240"/>
      </w:pPr>
      <w:r w:rsidRPr="00256982">
        <w:t>6.8.5</w:t>
      </w:r>
      <w:r w:rsidRPr="00256982">
        <w:tab/>
        <w:t>Category-specific recalculations</w:t>
      </w:r>
    </w:p>
    <w:p w14:paraId="1F45785F" w14:textId="6231FE2D" w:rsidR="00380BE7" w:rsidRPr="00256982" w:rsidRDefault="00380BE7" w:rsidP="00380BE7">
      <w:pPr>
        <w:pStyle w:val="BodyText"/>
      </w:pPr>
      <w:r w:rsidRPr="00256982">
        <w:t>Recalculations were carried out for this category (table 6.8.4) as a result of new activity data from the creation of a new land use map, as described in section 6.2.</w:t>
      </w:r>
    </w:p>
    <w:p w14:paraId="47279579" w14:textId="77777777" w:rsidR="00380BE7" w:rsidRPr="00256982" w:rsidRDefault="00380BE7" w:rsidP="00380BE7">
      <w:pPr>
        <w:pStyle w:val="Table"/>
      </w:pPr>
      <w:bookmarkStart w:id="2052" w:name="_Toc342470792"/>
      <w:bookmarkStart w:id="2053" w:name="_Toc352505032"/>
      <w:bookmarkStart w:id="2054" w:name="_Toc378853321"/>
      <w:bookmarkStart w:id="2055" w:name="_Toc391024119"/>
      <w:bookmarkStart w:id="2056" w:name="_Toc410028861"/>
      <w:bookmarkStart w:id="2057" w:name="_Toc414531489"/>
      <w:bookmarkStart w:id="2058" w:name="_Toc443645402"/>
      <w:bookmarkStart w:id="2059" w:name="_Toc474914621"/>
      <w:bookmarkStart w:id="2060" w:name="_Toc481751585"/>
      <w:bookmarkStart w:id="2061" w:name="_Toc522010642"/>
      <w:bookmarkStart w:id="2062" w:name="_Toc5269547"/>
      <w:r w:rsidRPr="00256982">
        <w:t>Table 6.8.4</w:t>
      </w:r>
      <w:r w:rsidRPr="00256982">
        <w:rPr>
          <w:vertAlign w:val="superscript"/>
        </w:rPr>
        <w:tab/>
      </w:r>
      <w:r w:rsidRPr="00256982">
        <w:t>Recalculations for New Zealand’s net emissions from the Settlements category</w:t>
      </w:r>
      <w:r w:rsidRPr="00256982">
        <w:br/>
        <w:t>in 1990 and</w:t>
      </w:r>
      <w:bookmarkEnd w:id="2052"/>
      <w:bookmarkEnd w:id="2053"/>
      <w:bookmarkEnd w:id="2054"/>
      <w:bookmarkEnd w:id="2055"/>
      <w:r w:rsidRPr="00256982">
        <w:t> 201</w:t>
      </w:r>
      <w:bookmarkEnd w:id="2056"/>
      <w:bookmarkEnd w:id="2057"/>
      <w:bookmarkEnd w:id="2058"/>
      <w:r w:rsidRPr="00256982">
        <w:t>6</w:t>
      </w:r>
      <w:bookmarkEnd w:id="2059"/>
      <w:bookmarkEnd w:id="2060"/>
      <w:bookmarkEnd w:id="2061"/>
      <w:bookmarkEnd w:id="2062"/>
    </w:p>
    <w:tbl>
      <w:tblPr>
        <w:tblW w:w="8505" w:type="dxa"/>
        <w:tblInd w:w="108" w:type="dxa"/>
        <w:tblLayout w:type="fixed"/>
        <w:tblLook w:val="04A0" w:firstRow="1" w:lastRow="0" w:firstColumn="1" w:lastColumn="0" w:noHBand="0" w:noVBand="1"/>
      </w:tblPr>
      <w:tblGrid>
        <w:gridCol w:w="1109"/>
        <w:gridCol w:w="1849"/>
        <w:gridCol w:w="1849"/>
        <w:gridCol w:w="1849"/>
        <w:gridCol w:w="1849"/>
      </w:tblGrid>
      <w:tr w:rsidR="00380BE7" w:rsidRPr="00256982" w14:paraId="7E888DAA" w14:textId="77777777" w:rsidTr="009574E7">
        <w:tc>
          <w:tcPr>
            <w:tcW w:w="1109" w:type="dxa"/>
            <w:vMerge w:val="restart"/>
            <w:tcBorders>
              <w:top w:val="single" w:sz="4" w:space="0" w:color="365F91"/>
            </w:tcBorders>
            <w:shd w:val="clear" w:color="auto" w:fill="365F91"/>
            <w:vAlign w:val="bottom"/>
          </w:tcPr>
          <w:p w14:paraId="549E2F4D" w14:textId="77777777" w:rsidR="00380BE7" w:rsidRPr="00256982" w:rsidRDefault="00380BE7" w:rsidP="009574E7">
            <w:pPr>
              <w:pStyle w:val="TableTextBold"/>
              <w:keepNext/>
              <w:spacing w:before="40" w:after="40"/>
              <w:rPr>
                <w:noProof w:val="0"/>
                <w:color w:val="FFFFFF"/>
              </w:rPr>
            </w:pPr>
            <w:r w:rsidRPr="00256982">
              <w:rPr>
                <w:noProof w:val="0"/>
                <w:color w:val="FFFFFF"/>
              </w:rPr>
              <w:t>Year</w:t>
            </w:r>
          </w:p>
        </w:tc>
        <w:tc>
          <w:tcPr>
            <w:tcW w:w="3698" w:type="dxa"/>
            <w:gridSpan w:val="2"/>
            <w:tcBorders>
              <w:top w:val="single" w:sz="4" w:space="0" w:color="365F91"/>
            </w:tcBorders>
            <w:shd w:val="clear" w:color="auto" w:fill="365F91"/>
            <w:noWrap/>
          </w:tcPr>
          <w:p w14:paraId="53898FD6" w14:textId="77777777" w:rsidR="00380BE7" w:rsidRPr="00256982" w:rsidRDefault="00380BE7" w:rsidP="009574E7">
            <w:pPr>
              <w:pStyle w:val="TableTextBold"/>
              <w:keepNext/>
              <w:spacing w:before="40" w:after="40"/>
              <w:jc w:val="center"/>
              <w:rPr>
                <w:noProof w:val="0"/>
                <w:color w:val="FFFFFF"/>
              </w:rPr>
            </w:pPr>
            <w:r w:rsidRPr="00256982">
              <w:rPr>
                <w:noProof w:val="0"/>
                <w:color w:val="FFFFFF"/>
              </w:rPr>
              <w:t>Net emissions (kt CO</w:t>
            </w:r>
            <w:r w:rsidRPr="00256982">
              <w:rPr>
                <w:noProof w:val="0"/>
                <w:color w:val="FFFFFF"/>
                <w:vertAlign w:val="subscript"/>
              </w:rPr>
              <w:t>2</w:t>
            </w:r>
            <w:r w:rsidRPr="00256982">
              <w:rPr>
                <w:noProof w:val="0"/>
                <w:color w:val="FFFFFF"/>
              </w:rPr>
              <w:t>-e)</w:t>
            </w:r>
          </w:p>
        </w:tc>
        <w:tc>
          <w:tcPr>
            <w:tcW w:w="3698" w:type="dxa"/>
            <w:gridSpan w:val="2"/>
            <w:tcBorders>
              <w:top w:val="single" w:sz="4" w:space="0" w:color="365F91"/>
            </w:tcBorders>
            <w:shd w:val="clear" w:color="auto" w:fill="365F91"/>
          </w:tcPr>
          <w:p w14:paraId="5F5FF00A" w14:textId="77777777" w:rsidR="00380BE7" w:rsidRPr="00256982" w:rsidRDefault="00380BE7" w:rsidP="009574E7">
            <w:pPr>
              <w:pStyle w:val="TableTextBold"/>
              <w:keepNext/>
              <w:spacing w:before="40" w:after="40"/>
              <w:jc w:val="center"/>
              <w:rPr>
                <w:noProof w:val="0"/>
                <w:color w:val="FFFFFF"/>
              </w:rPr>
            </w:pPr>
            <w:r w:rsidRPr="00256982">
              <w:rPr>
                <w:noProof w:val="0"/>
                <w:color w:val="FFFFFF"/>
              </w:rPr>
              <w:t>Change from the 2018 submission</w:t>
            </w:r>
          </w:p>
        </w:tc>
      </w:tr>
      <w:tr w:rsidR="00380BE7" w:rsidRPr="00256982" w14:paraId="48837C73" w14:textId="77777777" w:rsidTr="009574E7">
        <w:tc>
          <w:tcPr>
            <w:tcW w:w="1109" w:type="dxa"/>
            <w:vMerge/>
            <w:tcBorders>
              <w:bottom w:val="single" w:sz="4" w:space="0" w:color="365F91"/>
            </w:tcBorders>
            <w:shd w:val="clear" w:color="auto" w:fill="365F91"/>
          </w:tcPr>
          <w:p w14:paraId="57AFB163" w14:textId="77777777" w:rsidR="00380BE7" w:rsidRPr="00256982" w:rsidRDefault="00380BE7" w:rsidP="009574E7">
            <w:pPr>
              <w:pStyle w:val="TableText"/>
              <w:keepNext/>
              <w:spacing w:before="40" w:after="40"/>
            </w:pPr>
          </w:p>
        </w:tc>
        <w:tc>
          <w:tcPr>
            <w:tcW w:w="1849" w:type="dxa"/>
            <w:tcBorders>
              <w:bottom w:val="single" w:sz="4" w:space="0" w:color="365F91"/>
            </w:tcBorders>
            <w:shd w:val="clear" w:color="auto" w:fill="365F91"/>
          </w:tcPr>
          <w:p w14:paraId="0A34FBE9" w14:textId="77777777" w:rsidR="00380BE7" w:rsidRPr="00256982" w:rsidRDefault="00380BE7" w:rsidP="009574E7">
            <w:pPr>
              <w:pStyle w:val="TableText"/>
              <w:keepNext/>
              <w:spacing w:before="40" w:after="40"/>
              <w:jc w:val="center"/>
              <w:rPr>
                <w:b/>
                <w:color w:val="FFFFFF"/>
              </w:rPr>
            </w:pPr>
            <w:r w:rsidRPr="00256982">
              <w:rPr>
                <w:b/>
                <w:color w:val="FFFFFF"/>
              </w:rPr>
              <w:t>2018 submission</w:t>
            </w:r>
          </w:p>
        </w:tc>
        <w:tc>
          <w:tcPr>
            <w:tcW w:w="1849" w:type="dxa"/>
            <w:tcBorders>
              <w:bottom w:val="single" w:sz="4" w:space="0" w:color="365F91"/>
            </w:tcBorders>
            <w:shd w:val="clear" w:color="auto" w:fill="365F91"/>
          </w:tcPr>
          <w:p w14:paraId="2DB0BE10" w14:textId="77777777" w:rsidR="00380BE7" w:rsidRPr="00256982" w:rsidRDefault="00380BE7" w:rsidP="009574E7">
            <w:pPr>
              <w:pStyle w:val="TableText"/>
              <w:keepNext/>
              <w:spacing w:before="40" w:after="40"/>
              <w:jc w:val="center"/>
              <w:rPr>
                <w:b/>
                <w:color w:val="FFFFFF"/>
              </w:rPr>
            </w:pPr>
            <w:r w:rsidRPr="00256982">
              <w:rPr>
                <w:b/>
                <w:color w:val="FFFFFF"/>
              </w:rPr>
              <w:t>2019 submission</w:t>
            </w:r>
          </w:p>
        </w:tc>
        <w:tc>
          <w:tcPr>
            <w:tcW w:w="1849" w:type="dxa"/>
            <w:tcBorders>
              <w:bottom w:val="single" w:sz="4" w:space="0" w:color="365F91"/>
            </w:tcBorders>
            <w:shd w:val="clear" w:color="auto" w:fill="365F91"/>
          </w:tcPr>
          <w:p w14:paraId="707829ED" w14:textId="77777777" w:rsidR="00380BE7" w:rsidRPr="00256982" w:rsidRDefault="00380BE7" w:rsidP="009574E7">
            <w:pPr>
              <w:pStyle w:val="TableText"/>
              <w:keepNext/>
              <w:spacing w:before="40" w:after="40"/>
              <w:jc w:val="center"/>
              <w:rPr>
                <w:b/>
                <w:color w:val="FFFFFF"/>
              </w:rPr>
            </w:pPr>
            <w:r w:rsidRPr="00256982">
              <w:rPr>
                <w:b/>
                <w:color w:val="FFFFFF"/>
              </w:rPr>
              <w:t>(kt CO</w:t>
            </w:r>
            <w:r w:rsidRPr="00256982">
              <w:rPr>
                <w:b/>
                <w:color w:val="FFFFFF"/>
                <w:vertAlign w:val="subscript"/>
              </w:rPr>
              <w:t>2</w:t>
            </w:r>
            <w:r w:rsidRPr="00256982">
              <w:rPr>
                <w:b/>
                <w:color w:val="FFFFFF"/>
              </w:rPr>
              <w:t>-e)</w:t>
            </w:r>
          </w:p>
        </w:tc>
        <w:tc>
          <w:tcPr>
            <w:tcW w:w="1849" w:type="dxa"/>
            <w:tcBorders>
              <w:bottom w:val="single" w:sz="4" w:space="0" w:color="365F91"/>
            </w:tcBorders>
            <w:shd w:val="clear" w:color="auto" w:fill="365F91"/>
          </w:tcPr>
          <w:p w14:paraId="4CED5931" w14:textId="77777777" w:rsidR="00380BE7" w:rsidRPr="00256982" w:rsidRDefault="00380BE7" w:rsidP="009574E7">
            <w:pPr>
              <w:pStyle w:val="TableText"/>
              <w:keepNext/>
              <w:spacing w:before="40" w:after="40"/>
              <w:jc w:val="center"/>
              <w:rPr>
                <w:b/>
                <w:color w:val="FFFFFF"/>
              </w:rPr>
            </w:pPr>
            <w:r w:rsidRPr="00256982">
              <w:rPr>
                <w:b/>
                <w:color w:val="FFFFFF"/>
              </w:rPr>
              <w:t>(%)</w:t>
            </w:r>
          </w:p>
        </w:tc>
      </w:tr>
      <w:tr w:rsidR="00380BE7" w:rsidRPr="00256982" w14:paraId="4FD11359" w14:textId="77777777" w:rsidTr="009574E7">
        <w:tc>
          <w:tcPr>
            <w:tcW w:w="1109" w:type="dxa"/>
            <w:tcBorders>
              <w:top w:val="single" w:sz="4" w:space="0" w:color="365F91"/>
              <w:bottom w:val="single" w:sz="4" w:space="0" w:color="365F91"/>
            </w:tcBorders>
          </w:tcPr>
          <w:p w14:paraId="774A24D6" w14:textId="77777777" w:rsidR="00380BE7" w:rsidRPr="00256982" w:rsidRDefault="00380BE7" w:rsidP="009574E7">
            <w:pPr>
              <w:pStyle w:val="TableText"/>
              <w:spacing w:before="40" w:after="40"/>
            </w:pPr>
            <w:r w:rsidRPr="00256982">
              <w:t xml:space="preserve">1990 </w:t>
            </w:r>
          </w:p>
        </w:tc>
        <w:tc>
          <w:tcPr>
            <w:tcW w:w="1849" w:type="dxa"/>
            <w:tcBorders>
              <w:top w:val="single" w:sz="4" w:space="0" w:color="365F91"/>
              <w:bottom w:val="single" w:sz="4" w:space="0" w:color="365F91"/>
            </w:tcBorders>
          </w:tcPr>
          <w:p w14:paraId="72741682" w14:textId="77777777" w:rsidR="00380BE7" w:rsidRPr="00256982" w:rsidRDefault="00380BE7" w:rsidP="009574E7">
            <w:pPr>
              <w:pStyle w:val="TableText"/>
              <w:tabs>
                <w:tab w:val="decimal" w:pos="458"/>
              </w:tabs>
              <w:spacing w:before="40" w:after="40"/>
              <w:jc w:val="center"/>
              <w:rPr>
                <w:color w:val="000000"/>
              </w:rPr>
            </w:pPr>
            <w:r w:rsidRPr="00256982">
              <w:t xml:space="preserve">67.7 </w:t>
            </w:r>
          </w:p>
        </w:tc>
        <w:tc>
          <w:tcPr>
            <w:tcW w:w="1849" w:type="dxa"/>
            <w:tcBorders>
              <w:top w:val="single" w:sz="4" w:space="0" w:color="365F91"/>
              <w:bottom w:val="single" w:sz="4" w:space="0" w:color="365F91"/>
            </w:tcBorders>
          </w:tcPr>
          <w:p w14:paraId="6A90614D" w14:textId="77777777" w:rsidR="00380BE7" w:rsidRPr="00256982" w:rsidRDefault="00380BE7" w:rsidP="009574E7">
            <w:pPr>
              <w:pStyle w:val="TableText"/>
              <w:tabs>
                <w:tab w:val="decimal" w:pos="458"/>
              </w:tabs>
              <w:spacing w:before="40" w:after="40"/>
              <w:jc w:val="center"/>
              <w:rPr>
                <w:color w:val="000000"/>
              </w:rPr>
            </w:pPr>
            <w:r w:rsidRPr="00256982">
              <w:t xml:space="preserve">72.7 </w:t>
            </w:r>
          </w:p>
        </w:tc>
        <w:tc>
          <w:tcPr>
            <w:tcW w:w="1849" w:type="dxa"/>
            <w:tcBorders>
              <w:top w:val="single" w:sz="4" w:space="0" w:color="365F91"/>
              <w:bottom w:val="single" w:sz="4" w:space="0" w:color="365F91"/>
            </w:tcBorders>
          </w:tcPr>
          <w:p w14:paraId="3FF1AC5A" w14:textId="77777777" w:rsidR="00380BE7" w:rsidRPr="00256982" w:rsidRDefault="00380BE7" w:rsidP="009574E7">
            <w:pPr>
              <w:pStyle w:val="TableText"/>
              <w:tabs>
                <w:tab w:val="decimal" w:pos="458"/>
              </w:tabs>
              <w:spacing w:before="40" w:after="40"/>
              <w:jc w:val="center"/>
              <w:rPr>
                <w:color w:val="000000"/>
              </w:rPr>
            </w:pPr>
            <w:r w:rsidRPr="00256982">
              <w:t xml:space="preserve">4.9 </w:t>
            </w:r>
          </w:p>
        </w:tc>
        <w:tc>
          <w:tcPr>
            <w:tcW w:w="1849" w:type="dxa"/>
            <w:tcBorders>
              <w:top w:val="single" w:sz="4" w:space="0" w:color="365F91"/>
              <w:bottom w:val="single" w:sz="4" w:space="0" w:color="365F91"/>
            </w:tcBorders>
          </w:tcPr>
          <w:p w14:paraId="356DC952" w14:textId="77777777" w:rsidR="00380BE7" w:rsidRPr="00256982" w:rsidRDefault="00380BE7" w:rsidP="009574E7">
            <w:pPr>
              <w:pStyle w:val="TableText"/>
              <w:tabs>
                <w:tab w:val="decimal" w:pos="458"/>
              </w:tabs>
              <w:spacing w:before="40" w:after="40"/>
              <w:jc w:val="center"/>
              <w:rPr>
                <w:color w:val="000000"/>
              </w:rPr>
            </w:pPr>
            <w:r w:rsidRPr="00256982">
              <w:t>+7.25</w:t>
            </w:r>
          </w:p>
        </w:tc>
      </w:tr>
      <w:tr w:rsidR="00380BE7" w:rsidRPr="00256982" w14:paraId="44E2A41A" w14:textId="77777777" w:rsidTr="009574E7">
        <w:tc>
          <w:tcPr>
            <w:tcW w:w="1109" w:type="dxa"/>
            <w:tcBorders>
              <w:top w:val="single" w:sz="4" w:space="0" w:color="365F91"/>
              <w:bottom w:val="single" w:sz="4" w:space="0" w:color="365F91"/>
            </w:tcBorders>
          </w:tcPr>
          <w:p w14:paraId="22E01EE4" w14:textId="77777777" w:rsidR="00380BE7" w:rsidRPr="00256982" w:rsidRDefault="00380BE7" w:rsidP="009574E7">
            <w:pPr>
              <w:pStyle w:val="TableText"/>
              <w:spacing w:before="40" w:after="40"/>
            </w:pPr>
            <w:r w:rsidRPr="00256982">
              <w:t>2016</w:t>
            </w:r>
          </w:p>
        </w:tc>
        <w:tc>
          <w:tcPr>
            <w:tcW w:w="1849" w:type="dxa"/>
            <w:tcBorders>
              <w:top w:val="single" w:sz="4" w:space="0" w:color="365F91"/>
              <w:bottom w:val="single" w:sz="4" w:space="0" w:color="365F91"/>
            </w:tcBorders>
          </w:tcPr>
          <w:p w14:paraId="0B0DD757" w14:textId="77777777" w:rsidR="00380BE7" w:rsidRPr="00256982" w:rsidRDefault="00380BE7" w:rsidP="009574E7">
            <w:pPr>
              <w:pStyle w:val="TableText"/>
              <w:tabs>
                <w:tab w:val="decimal" w:pos="458"/>
              </w:tabs>
              <w:spacing w:before="40" w:after="40"/>
              <w:jc w:val="center"/>
              <w:rPr>
                <w:color w:val="000000"/>
              </w:rPr>
            </w:pPr>
            <w:r w:rsidRPr="00256982">
              <w:t xml:space="preserve">78.9 </w:t>
            </w:r>
          </w:p>
        </w:tc>
        <w:tc>
          <w:tcPr>
            <w:tcW w:w="1849" w:type="dxa"/>
            <w:tcBorders>
              <w:top w:val="single" w:sz="4" w:space="0" w:color="365F91"/>
              <w:bottom w:val="single" w:sz="4" w:space="0" w:color="365F91"/>
            </w:tcBorders>
          </w:tcPr>
          <w:p w14:paraId="2D0AD529" w14:textId="77777777" w:rsidR="00380BE7" w:rsidRPr="00256982" w:rsidRDefault="00380BE7" w:rsidP="009574E7">
            <w:pPr>
              <w:pStyle w:val="TableText"/>
              <w:tabs>
                <w:tab w:val="decimal" w:pos="458"/>
              </w:tabs>
              <w:spacing w:before="40" w:after="40"/>
              <w:jc w:val="center"/>
              <w:rPr>
                <w:color w:val="000000"/>
              </w:rPr>
            </w:pPr>
            <w:r w:rsidRPr="00256982">
              <w:t xml:space="preserve">137.9 </w:t>
            </w:r>
          </w:p>
        </w:tc>
        <w:tc>
          <w:tcPr>
            <w:tcW w:w="1849" w:type="dxa"/>
            <w:tcBorders>
              <w:top w:val="single" w:sz="4" w:space="0" w:color="365F91"/>
              <w:bottom w:val="single" w:sz="4" w:space="0" w:color="365F91"/>
            </w:tcBorders>
          </w:tcPr>
          <w:p w14:paraId="13A05459" w14:textId="77777777" w:rsidR="00380BE7" w:rsidRPr="00256982" w:rsidRDefault="00380BE7" w:rsidP="009574E7">
            <w:pPr>
              <w:pStyle w:val="TableText"/>
              <w:tabs>
                <w:tab w:val="decimal" w:pos="458"/>
              </w:tabs>
              <w:spacing w:before="40" w:after="40"/>
              <w:jc w:val="center"/>
              <w:rPr>
                <w:color w:val="000000"/>
              </w:rPr>
            </w:pPr>
            <w:r w:rsidRPr="00256982">
              <w:t xml:space="preserve">59.0 </w:t>
            </w:r>
          </w:p>
        </w:tc>
        <w:tc>
          <w:tcPr>
            <w:tcW w:w="1849" w:type="dxa"/>
            <w:tcBorders>
              <w:top w:val="single" w:sz="4" w:space="0" w:color="365F91"/>
              <w:bottom w:val="single" w:sz="4" w:space="0" w:color="365F91"/>
            </w:tcBorders>
          </w:tcPr>
          <w:p w14:paraId="08D094A1" w14:textId="77777777" w:rsidR="00380BE7" w:rsidRPr="00256982" w:rsidRDefault="00380BE7" w:rsidP="009574E7">
            <w:pPr>
              <w:pStyle w:val="TableText"/>
              <w:tabs>
                <w:tab w:val="decimal" w:pos="458"/>
              </w:tabs>
              <w:spacing w:before="40" w:after="40"/>
              <w:jc w:val="center"/>
              <w:rPr>
                <w:color w:val="000000"/>
              </w:rPr>
            </w:pPr>
            <w:r w:rsidRPr="00256982">
              <w:t>+74.8</w:t>
            </w:r>
          </w:p>
        </w:tc>
      </w:tr>
    </w:tbl>
    <w:p w14:paraId="45BE5B74" w14:textId="77777777" w:rsidR="00380BE7" w:rsidRPr="00256982" w:rsidRDefault="00380BE7" w:rsidP="00380BE7">
      <w:pPr>
        <w:pStyle w:val="Heading3"/>
      </w:pPr>
      <w:r w:rsidRPr="00256982">
        <w:t>6.8.6</w:t>
      </w:r>
      <w:r w:rsidRPr="00256982">
        <w:tab/>
        <w:t>Category-specific planned improvements</w:t>
      </w:r>
    </w:p>
    <w:p w14:paraId="32C73B19" w14:textId="77777777" w:rsidR="00380BE7" w:rsidRPr="00256982" w:rsidRDefault="00380BE7" w:rsidP="00380BE7">
      <w:pPr>
        <w:pStyle w:val="BodyText"/>
      </w:pPr>
      <w:r w:rsidRPr="00256982">
        <w:t xml:space="preserve">No improvements are planned for the </w:t>
      </w:r>
      <w:r w:rsidRPr="00256982">
        <w:rPr>
          <w:i/>
        </w:rPr>
        <w:t xml:space="preserve">Settlements </w:t>
      </w:r>
      <w:r w:rsidRPr="00256982">
        <w:t xml:space="preserve">category for the 2020 submission. </w:t>
      </w:r>
    </w:p>
    <w:p w14:paraId="2032EC46" w14:textId="77777777" w:rsidR="00380BE7" w:rsidRPr="00256982" w:rsidRDefault="00380BE7" w:rsidP="00380BE7">
      <w:pPr>
        <w:pStyle w:val="Heading2"/>
        <w:spacing w:before="240"/>
      </w:pPr>
      <w:bookmarkStart w:id="2063" w:name="_Toc310423457"/>
      <w:bookmarkStart w:id="2064" w:name="_Toc342470723"/>
      <w:bookmarkStart w:id="2065" w:name="_Toc352504875"/>
      <w:bookmarkStart w:id="2066" w:name="_Toc391024705"/>
      <w:bookmarkStart w:id="2067" w:name="_Toc414531322"/>
      <w:bookmarkStart w:id="2068" w:name="_Toc474335464"/>
      <w:bookmarkStart w:id="2069" w:name="_Toc481751404"/>
      <w:bookmarkStart w:id="2070" w:name="_Toc522013956"/>
      <w:bookmarkStart w:id="2071" w:name="_Toc5269381"/>
      <w:r w:rsidRPr="00256982">
        <w:t>6.9</w:t>
      </w:r>
      <w:r w:rsidRPr="00256982">
        <w:tab/>
        <w:t>Other land (CRF 4F)</w:t>
      </w:r>
      <w:bookmarkEnd w:id="2063"/>
      <w:bookmarkEnd w:id="2064"/>
      <w:bookmarkEnd w:id="2065"/>
      <w:bookmarkEnd w:id="2066"/>
      <w:bookmarkEnd w:id="2067"/>
      <w:bookmarkEnd w:id="2068"/>
      <w:bookmarkEnd w:id="2069"/>
      <w:bookmarkEnd w:id="2070"/>
      <w:bookmarkEnd w:id="2071"/>
    </w:p>
    <w:p w14:paraId="5C9F0A20" w14:textId="77777777" w:rsidR="00380BE7" w:rsidRPr="00256982" w:rsidRDefault="00380BE7" w:rsidP="00380BE7">
      <w:pPr>
        <w:pStyle w:val="Heading3"/>
        <w:spacing w:before="120"/>
      </w:pPr>
      <w:r w:rsidRPr="00256982">
        <w:t>6.9.1</w:t>
      </w:r>
      <w:r w:rsidRPr="00256982">
        <w:tab/>
        <w:t>Description</w:t>
      </w:r>
    </w:p>
    <w:p w14:paraId="5C545F84" w14:textId="77777777" w:rsidR="00380BE7" w:rsidRPr="00256982" w:rsidRDefault="00380BE7" w:rsidP="00380BE7">
      <w:pPr>
        <w:pStyle w:val="BodyText"/>
      </w:pPr>
      <w:r w:rsidRPr="00256982">
        <w:rPr>
          <w:i/>
        </w:rPr>
        <w:t>Other land</w:t>
      </w:r>
      <w:r w:rsidRPr="00256982">
        <w:t xml:space="preserve"> is defined in section 3.2 of the 2006 IPCC Guidelines (IPCC, 2006a) as including bare soil, rock, ice and all unmanaged land areas that do not fall into any of the other five land use categories. It consists mostly of steep, rocky terrain at high elevation, often covered in snow or ice. This category is 3.3 per cent of New Zealand’s total land area.</w:t>
      </w:r>
    </w:p>
    <w:p w14:paraId="2BE12864" w14:textId="77777777" w:rsidR="00380BE7" w:rsidRPr="00256982" w:rsidRDefault="00380BE7" w:rsidP="00380BE7">
      <w:pPr>
        <w:pStyle w:val="BodyText"/>
        <w:rPr>
          <w:spacing w:val="-2"/>
        </w:rPr>
      </w:pPr>
      <w:r w:rsidRPr="00256982">
        <w:rPr>
          <w:spacing w:val="-2"/>
        </w:rPr>
        <w:t xml:space="preserve">In 2017, the net emissions from </w:t>
      </w:r>
      <w:r w:rsidRPr="00256982">
        <w:rPr>
          <w:i/>
          <w:spacing w:val="-2"/>
        </w:rPr>
        <w:t>Other land</w:t>
      </w:r>
      <w:r w:rsidRPr="00256982">
        <w:rPr>
          <w:spacing w:val="-2"/>
        </w:rPr>
        <w:t xml:space="preserve"> were 49.2 kt CO</w:t>
      </w:r>
      <w:r w:rsidRPr="00256982">
        <w:rPr>
          <w:spacing w:val="-2"/>
          <w:vertAlign w:val="subscript"/>
        </w:rPr>
        <w:t>2</w:t>
      </w:r>
      <w:r w:rsidRPr="00256982">
        <w:rPr>
          <w:spacing w:val="-2"/>
        </w:rPr>
        <w:t>-e (see table 6.9.1). They are 35.6 kt CO</w:t>
      </w:r>
      <w:r w:rsidRPr="00256982">
        <w:rPr>
          <w:spacing w:val="-2"/>
          <w:vertAlign w:val="subscript"/>
        </w:rPr>
        <w:t>2</w:t>
      </w:r>
      <w:r w:rsidRPr="00256982">
        <w:rPr>
          <w:spacing w:val="-2"/>
        </w:rPr>
        <w:t>-e (261.7 per cent) higher than the 1990 level of 13.6 kt CO</w:t>
      </w:r>
      <w:r w:rsidRPr="00256982">
        <w:rPr>
          <w:spacing w:val="-2"/>
          <w:vertAlign w:val="subscript"/>
        </w:rPr>
        <w:t>2</w:t>
      </w:r>
      <w:r w:rsidRPr="00256982">
        <w:rPr>
          <w:spacing w:val="-2"/>
        </w:rPr>
        <w:noBreakHyphen/>
        <w:t xml:space="preserve">e. The majority of these emissions occur in the </w:t>
      </w:r>
      <w:r w:rsidRPr="00256982">
        <w:rPr>
          <w:i/>
          <w:spacing w:val="-2"/>
        </w:rPr>
        <w:t>Land converted to other land</w:t>
      </w:r>
      <w:r w:rsidRPr="00256982">
        <w:rPr>
          <w:spacing w:val="-2"/>
        </w:rPr>
        <w:t xml:space="preserve"> category. This is primarily because the area of land estimated as having been converted to </w:t>
      </w:r>
      <w:r w:rsidRPr="00256982">
        <w:rPr>
          <w:i/>
          <w:spacing w:val="-2"/>
        </w:rPr>
        <w:t>Other land</w:t>
      </w:r>
      <w:r w:rsidRPr="00256982">
        <w:rPr>
          <w:spacing w:val="-2"/>
        </w:rPr>
        <w:t xml:space="preserve"> has been steadily increasing since 1990. </w:t>
      </w:r>
    </w:p>
    <w:p w14:paraId="77D74B35" w14:textId="77777777" w:rsidR="00380BE7" w:rsidRPr="00256982" w:rsidRDefault="00380BE7" w:rsidP="00380BE7">
      <w:pPr>
        <w:pStyle w:val="BodyText"/>
      </w:pPr>
      <w:r w:rsidRPr="00256982">
        <w:t xml:space="preserve">An analysis of change in area between 1990 and 2017 shows that, of the 7,492 hectares converted from </w:t>
      </w:r>
      <w:r w:rsidRPr="00256982">
        <w:rPr>
          <w:i/>
        </w:rPr>
        <w:t>Other land</w:t>
      </w:r>
      <w:r w:rsidRPr="00256982">
        <w:t xml:space="preserve"> to different land use categories, 3,808 hectares were converted to post-1989 forest and 1,453 hectares were converted to grassland with woody biomass.</w:t>
      </w:r>
    </w:p>
    <w:p w14:paraId="196D2A04" w14:textId="77777777" w:rsidR="00380BE7" w:rsidRPr="00256982" w:rsidRDefault="00380BE7" w:rsidP="00380BE7">
      <w:pPr>
        <w:pStyle w:val="BodyText"/>
      </w:pPr>
      <w:r w:rsidRPr="00256982">
        <w:lastRenderedPageBreak/>
        <w:t xml:space="preserve">Between 1 January 1990 and 31 December 2017, there were 7,490 hectares of </w:t>
      </w:r>
      <w:r w:rsidRPr="00256982">
        <w:rPr>
          <w:i/>
        </w:rPr>
        <w:t>Land converted to other land</w:t>
      </w:r>
      <w:r w:rsidRPr="00256982">
        <w:t xml:space="preserve">; most (4,657 hectares) of this was from the </w:t>
      </w:r>
      <w:r w:rsidRPr="00256982">
        <w:rPr>
          <w:i/>
        </w:rPr>
        <w:t>Grassland</w:t>
      </w:r>
      <w:r w:rsidRPr="00256982">
        <w:t xml:space="preserve"> categories. This is likely to be mainly due to conversion of </w:t>
      </w:r>
      <w:r w:rsidRPr="00256982">
        <w:rPr>
          <w:i/>
        </w:rPr>
        <w:t>Grassland</w:t>
      </w:r>
      <w:r w:rsidRPr="00256982">
        <w:t xml:space="preserve"> to roads, mines and quarries. </w:t>
      </w:r>
    </w:p>
    <w:p w14:paraId="0BF19560" w14:textId="77777777" w:rsidR="00380BE7" w:rsidRPr="00256982" w:rsidRDefault="00380BE7" w:rsidP="00380BE7">
      <w:pPr>
        <w:pStyle w:val="BodyText"/>
      </w:pPr>
      <w:r w:rsidRPr="00256982">
        <w:t xml:space="preserve">In 2017, </w:t>
      </w:r>
      <w:r w:rsidRPr="00256982">
        <w:rPr>
          <w:i/>
        </w:rPr>
        <w:t>Land converted to Other land</w:t>
      </w:r>
      <w:r w:rsidRPr="00256982">
        <w:t xml:space="preserve"> was not a key category.</w:t>
      </w:r>
    </w:p>
    <w:p w14:paraId="4DFC4703" w14:textId="77777777" w:rsidR="00380BE7" w:rsidRPr="00256982" w:rsidRDefault="00380BE7" w:rsidP="00380BE7">
      <w:pPr>
        <w:pStyle w:val="Table"/>
      </w:pPr>
      <w:bookmarkStart w:id="2072" w:name="_Toc342470793"/>
      <w:bookmarkStart w:id="2073" w:name="_Toc352505033"/>
      <w:bookmarkStart w:id="2074" w:name="_Toc378853322"/>
      <w:bookmarkStart w:id="2075" w:name="_Toc391024120"/>
      <w:bookmarkStart w:id="2076" w:name="_Toc410028862"/>
      <w:bookmarkStart w:id="2077" w:name="_Toc414531490"/>
      <w:bookmarkStart w:id="2078" w:name="_Toc443645403"/>
      <w:bookmarkStart w:id="2079" w:name="_Toc474914622"/>
      <w:bookmarkStart w:id="2080" w:name="_Toc481751586"/>
      <w:bookmarkStart w:id="2081" w:name="_Toc522010643"/>
      <w:bookmarkStart w:id="2082" w:name="_Toc5269548"/>
      <w:r w:rsidRPr="00256982">
        <w:t>Table 6.9.1</w:t>
      </w:r>
      <w:r w:rsidRPr="00256982">
        <w:tab/>
        <w:t>New Zealand’s land-use change for the land use category Other land from 1990 to</w:t>
      </w:r>
      <w:bookmarkEnd w:id="2072"/>
      <w:bookmarkEnd w:id="2073"/>
      <w:bookmarkEnd w:id="2074"/>
      <w:bookmarkEnd w:id="2075"/>
      <w:r w:rsidRPr="00256982">
        <w:t> 201</w:t>
      </w:r>
      <w:bookmarkEnd w:id="2076"/>
      <w:bookmarkEnd w:id="2077"/>
      <w:bookmarkEnd w:id="2078"/>
      <w:bookmarkEnd w:id="2079"/>
      <w:bookmarkEnd w:id="2080"/>
      <w:bookmarkEnd w:id="2081"/>
      <w:r w:rsidRPr="00256982">
        <w:t>7</w:t>
      </w:r>
      <w:bookmarkEnd w:id="2082"/>
    </w:p>
    <w:tbl>
      <w:tblPr>
        <w:tblW w:w="8505" w:type="dxa"/>
        <w:tblInd w:w="108" w:type="dxa"/>
        <w:tblLayout w:type="fixed"/>
        <w:tblLook w:val="04A0" w:firstRow="1" w:lastRow="0" w:firstColumn="1" w:lastColumn="0" w:noHBand="0" w:noVBand="1"/>
      </w:tblPr>
      <w:tblGrid>
        <w:gridCol w:w="2947"/>
        <w:gridCol w:w="1055"/>
        <w:gridCol w:w="1056"/>
        <w:gridCol w:w="1206"/>
        <w:gridCol w:w="1055"/>
        <w:gridCol w:w="1186"/>
      </w:tblGrid>
      <w:tr w:rsidR="00380BE7" w:rsidRPr="00256982" w14:paraId="2C207051" w14:textId="77777777" w:rsidTr="009574E7">
        <w:tc>
          <w:tcPr>
            <w:tcW w:w="2947" w:type="dxa"/>
            <w:vMerge w:val="restart"/>
            <w:tcBorders>
              <w:top w:val="single" w:sz="4" w:space="0" w:color="365F91"/>
            </w:tcBorders>
            <w:shd w:val="clear" w:color="auto" w:fill="365F91"/>
            <w:vAlign w:val="bottom"/>
          </w:tcPr>
          <w:p w14:paraId="623D0E56" w14:textId="77777777" w:rsidR="00380BE7" w:rsidRPr="00256982" w:rsidRDefault="00380BE7" w:rsidP="009574E7">
            <w:pPr>
              <w:pStyle w:val="TableTextBold"/>
              <w:keepNext/>
              <w:spacing w:before="40" w:after="40"/>
              <w:rPr>
                <w:noProof w:val="0"/>
                <w:color w:val="FFFFFF"/>
              </w:rPr>
            </w:pPr>
            <w:r w:rsidRPr="00256982">
              <w:rPr>
                <w:noProof w:val="0"/>
                <w:color w:val="FFFFFF"/>
              </w:rPr>
              <w:t>Land use category – Other land</w:t>
            </w:r>
          </w:p>
        </w:tc>
        <w:tc>
          <w:tcPr>
            <w:tcW w:w="1055" w:type="dxa"/>
            <w:vMerge w:val="restart"/>
            <w:tcBorders>
              <w:top w:val="single" w:sz="4" w:space="0" w:color="365F91"/>
            </w:tcBorders>
            <w:shd w:val="clear" w:color="auto" w:fill="365F91"/>
            <w:vAlign w:val="bottom"/>
          </w:tcPr>
          <w:p w14:paraId="5B5BE7AF" w14:textId="77777777" w:rsidR="00380BE7" w:rsidRPr="00256982" w:rsidRDefault="00380BE7" w:rsidP="009574E7">
            <w:pPr>
              <w:pStyle w:val="TableTextBold"/>
              <w:spacing w:before="40" w:after="40"/>
              <w:jc w:val="center"/>
              <w:rPr>
                <w:noProof w:val="0"/>
                <w:color w:val="FFFFFF"/>
              </w:rPr>
            </w:pPr>
            <w:r w:rsidRPr="00256982">
              <w:rPr>
                <w:noProof w:val="0"/>
                <w:color w:val="FFFFFF"/>
              </w:rPr>
              <w:t>Net area as at 1990 (ha)</w:t>
            </w:r>
          </w:p>
        </w:tc>
        <w:tc>
          <w:tcPr>
            <w:tcW w:w="1056" w:type="dxa"/>
            <w:vMerge w:val="restart"/>
            <w:tcBorders>
              <w:top w:val="single" w:sz="4" w:space="0" w:color="365F91"/>
            </w:tcBorders>
            <w:shd w:val="clear" w:color="auto" w:fill="365F91"/>
            <w:vAlign w:val="bottom"/>
          </w:tcPr>
          <w:p w14:paraId="6FD41ABC" w14:textId="77777777" w:rsidR="00380BE7" w:rsidRPr="00256982" w:rsidRDefault="00380BE7" w:rsidP="009574E7">
            <w:pPr>
              <w:pStyle w:val="TableTextBold"/>
              <w:spacing w:before="40" w:after="40"/>
              <w:jc w:val="center"/>
              <w:rPr>
                <w:noProof w:val="0"/>
                <w:color w:val="FFFFFF"/>
              </w:rPr>
            </w:pPr>
            <w:r w:rsidRPr="00256982">
              <w:rPr>
                <w:noProof w:val="0"/>
                <w:color w:val="FFFFFF"/>
              </w:rPr>
              <w:t>Net area as at 2017 (ha)</w:t>
            </w:r>
          </w:p>
        </w:tc>
        <w:tc>
          <w:tcPr>
            <w:tcW w:w="2261" w:type="dxa"/>
            <w:gridSpan w:val="2"/>
            <w:tcBorders>
              <w:top w:val="single" w:sz="4" w:space="0" w:color="365F91"/>
            </w:tcBorders>
            <w:shd w:val="clear" w:color="auto" w:fill="365F91"/>
            <w:vAlign w:val="bottom"/>
          </w:tcPr>
          <w:p w14:paraId="3712894C" w14:textId="77777777" w:rsidR="00380BE7" w:rsidRPr="00256982" w:rsidRDefault="00380BE7" w:rsidP="009574E7">
            <w:pPr>
              <w:pStyle w:val="TableTextBold"/>
              <w:spacing w:before="40" w:after="40"/>
              <w:jc w:val="center"/>
              <w:rPr>
                <w:noProof w:val="0"/>
                <w:color w:val="FFFFFF"/>
              </w:rPr>
            </w:pPr>
            <w:r w:rsidRPr="00256982">
              <w:rPr>
                <w:noProof w:val="0"/>
                <w:color w:val="FFFFFF"/>
              </w:rPr>
              <w:t xml:space="preserve">Net emissions </w:t>
            </w:r>
            <w:r w:rsidRPr="00256982">
              <w:rPr>
                <w:noProof w:val="0"/>
                <w:color w:val="FFFFFF"/>
              </w:rPr>
              <w:br/>
              <w:t>(kt CO</w:t>
            </w:r>
            <w:r w:rsidRPr="00256982">
              <w:rPr>
                <w:noProof w:val="0"/>
                <w:color w:val="FFFFFF"/>
                <w:vertAlign w:val="subscript"/>
              </w:rPr>
              <w:t>2</w:t>
            </w:r>
            <w:r w:rsidRPr="00256982">
              <w:rPr>
                <w:noProof w:val="0"/>
                <w:color w:val="FFFFFF"/>
              </w:rPr>
              <w:t>-e)</w:t>
            </w:r>
          </w:p>
        </w:tc>
        <w:tc>
          <w:tcPr>
            <w:tcW w:w="1186" w:type="dxa"/>
            <w:vMerge w:val="restart"/>
            <w:tcBorders>
              <w:top w:val="single" w:sz="4" w:space="0" w:color="365F91"/>
            </w:tcBorders>
            <w:shd w:val="clear" w:color="auto" w:fill="365F91"/>
            <w:vAlign w:val="bottom"/>
          </w:tcPr>
          <w:p w14:paraId="5D29EAC5" w14:textId="77777777" w:rsidR="00380BE7" w:rsidRPr="00256982" w:rsidRDefault="00380BE7" w:rsidP="009574E7">
            <w:pPr>
              <w:pStyle w:val="TableTextBold"/>
              <w:spacing w:before="40" w:after="40"/>
              <w:jc w:val="center"/>
              <w:rPr>
                <w:noProof w:val="0"/>
                <w:color w:val="FFFFFF"/>
              </w:rPr>
            </w:pPr>
            <w:r w:rsidRPr="00256982">
              <w:rPr>
                <w:noProof w:val="0"/>
                <w:color w:val="FFFFFF"/>
              </w:rPr>
              <w:t>Change from 1990 (%)</w:t>
            </w:r>
          </w:p>
        </w:tc>
      </w:tr>
      <w:tr w:rsidR="00380BE7" w:rsidRPr="00256982" w14:paraId="2BD98E82" w14:textId="77777777" w:rsidTr="009574E7">
        <w:trPr>
          <w:trHeight w:val="285"/>
        </w:trPr>
        <w:tc>
          <w:tcPr>
            <w:tcW w:w="2947" w:type="dxa"/>
            <w:vMerge/>
            <w:tcBorders>
              <w:bottom w:val="single" w:sz="4" w:space="0" w:color="365F91"/>
            </w:tcBorders>
          </w:tcPr>
          <w:p w14:paraId="7381AAB7" w14:textId="77777777" w:rsidR="00380BE7" w:rsidRPr="00256982" w:rsidRDefault="00380BE7" w:rsidP="009574E7">
            <w:pPr>
              <w:keepNext/>
              <w:spacing w:before="40" w:after="40"/>
              <w:rPr>
                <w:rFonts w:ascii="Arial" w:hAnsi="Arial"/>
              </w:rPr>
            </w:pPr>
          </w:p>
        </w:tc>
        <w:tc>
          <w:tcPr>
            <w:tcW w:w="1055" w:type="dxa"/>
            <w:vMerge/>
            <w:tcBorders>
              <w:bottom w:val="single" w:sz="4" w:space="0" w:color="365F91"/>
            </w:tcBorders>
          </w:tcPr>
          <w:p w14:paraId="507F1FC5" w14:textId="77777777" w:rsidR="00380BE7" w:rsidRPr="00256982" w:rsidRDefault="00380BE7" w:rsidP="009574E7">
            <w:pPr>
              <w:spacing w:before="40" w:after="40"/>
              <w:jc w:val="center"/>
              <w:rPr>
                <w:rFonts w:ascii="Arial" w:hAnsi="Arial"/>
                <w:b/>
              </w:rPr>
            </w:pPr>
          </w:p>
        </w:tc>
        <w:tc>
          <w:tcPr>
            <w:tcW w:w="1056" w:type="dxa"/>
            <w:vMerge/>
            <w:tcBorders>
              <w:bottom w:val="single" w:sz="4" w:space="0" w:color="365F91"/>
            </w:tcBorders>
          </w:tcPr>
          <w:p w14:paraId="37F2BAFC" w14:textId="77777777" w:rsidR="00380BE7" w:rsidRPr="00256982" w:rsidRDefault="00380BE7" w:rsidP="009574E7">
            <w:pPr>
              <w:spacing w:before="40" w:after="40"/>
              <w:jc w:val="center"/>
              <w:rPr>
                <w:rFonts w:ascii="Arial" w:hAnsi="Arial"/>
                <w:b/>
              </w:rPr>
            </w:pPr>
          </w:p>
        </w:tc>
        <w:tc>
          <w:tcPr>
            <w:tcW w:w="1206" w:type="dxa"/>
            <w:tcBorders>
              <w:bottom w:val="single" w:sz="4" w:space="0" w:color="365F91"/>
            </w:tcBorders>
            <w:shd w:val="clear" w:color="auto" w:fill="365F91"/>
          </w:tcPr>
          <w:p w14:paraId="75FC1708" w14:textId="77777777" w:rsidR="00380BE7" w:rsidRPr="00256982" w:rsidRDefault="00380BE7" w:rsidP="009574E7">
            <w:pPr>
              <w:pStyle w:val="TableTextBold"/>
              <w:spacing w:before="40" w:after="40"/>
              <w:jc w:val="center"/>
              <w:rPr>
                <w:noProof w:val="0"/>
                <w:color w:val="FFFFFF"/>
              </w:rPr>
            </w:pPr>
            <w:r w:rsidRPr="00256982">
              <w:rPr>
                <w:noProof w:val="0"/>
                <w:color w:val="FFFFFF"/>
              </w:rPr>
              <w:t>1990</w:t>
            </w:r>
          </w:p>
        </w:tc>
        <w:tc>
          <w:tcPr>
            <w:tcW w:w="1055" w:type="dxa"/>
            <w:tcBorders>
              <w:bottom w:val="single" w:sz="4" w:space="0" w:color="365F91"/>
            </w:tcBorders>
            <w:shd w:val="clear" w:color="auto" w:fill="365F91"/>
          </w:tcPr>
          <w:p w14:paraId="630C84AA" w14:textId="77777777" w:rsidR="00380BE7" w:rsidRPr="00256982" w:rsidRDefault="00380BE7" w:rsidP="009574E7">
            <w:pPr>
              <w:pStyle w:val="TableTextBold"/>
              <w:spacing w:before="40" w:after="40"/>
              <w:jc w:val="center"/>
              <w:rPr>
                <w:noProof w:val="0"/>
                <w:color w:val="FFFFFF"/>
              </w:rPr>
            </w:pPr>
            <w:r w:rsidRPr="00256982">
              <w:rPr>
                <w:noProof w:val="0"/>
                <w:color w:val="FFFFFF"/>
              </w:rPr>
              <w:t>2017</w:t>
            </w:r>
          </w:p>
        </w:tc>
        <w:tc>
          <w:tcPr>
            <w:tcW w:w="1186" w:type="dxa"/>
            <w:vMerge/>
            <w:tcBorders>
              <w:bottom w:val="single" w:sz="4" w:space="0" w:color="365F91"/>
            </w:tcBorders>
            <w:shd w:val="clear" w:color="auto" w:fill="365F91"/>
          </w:tcPr>
          <w:p w14:paraId="724A6A36" w14:textId="77777777" w:rsidR="00380BE7" w:rsidRPr="00256982" w:rsidRDefault="00380BE7" w:rsidP="009574E7">
            <w:pPr>
              <w:spacing w:before="40" w:after="40"/>
              <w:jc w:val="center"/>
              <w:rPr>
                <w:rFonts w:ascii="Arial" w:hAnsi="Arial"/>
                <w:b/>
              </w:rPr>
            </w:pPr>
          </w:p>
        </w:tc>
      </w:tr>
      <w:tr w:rsidR="00380BE7" w:rsidRPr="00256982" w14:paraId="5E029A64" w14:textId="77777777" w:rsidTr="009574E7">
        <w:tc>
          <w:tcPr>
            <w:tcW w:w="2947" w:type="dxa"/>
            <w:tcBorders>
              <w:top w:val="single" w:sz="4" w:space="0" w:color="365F91"/>
              <w:bottom w:val="single" w:sz="4" w:space="0" w:color="365F91"/>
            </w:tcBorders>
          </w:tcPr>
          <w:p w14:paraId="543CD27D" w14:textId="77777777" w:rsidR="00380BE7" w:rsidRPr="00256982" w:rsidRDefault="00380BE7" w:rsidP="009574E7">
            <w:pPr>
              <w:pStyle w:val="TableText"/>
            </w:pPr>
            <w:r w:rsidRPr="00256982">
              <w:t>Other land remaining other land</w:t>
            </w:r>
          </w:p>
        </w:tc>
        <w:tc>
          <w:tcPr>
            <w:tcW w:w="1055" w:type="dxa"/>
            <w:tcBorders>
              <w:top w:val="single" w:sz="4" w:space="0" w:color="365F91"/>
              <w:bottom w:val="single" w:sz="4" w:space="0" w:color="365F91"/>
            </w:tcBorders>
          </w:tcPr>
          <w:p w14:paraId="3C63E744" w14:textId="77777777" w:rsidR="00380BE7" w:rsidRPr="00256982" w:rsidRDefault="00380BE7" w:rsidP="009574E7">
            <w:pPr>
              <w:pStyle w:val="TableText"/>
              <w:jc w:val="center"/>
            </w:pPr>
            <w:r w:rsidRPr="00256982">
              <w:t>896,836</w:t>
            </w:r>
          </w:p>
        </w:tc>
        <w:tc>
          <w:tcPr>
            <w:tcW w:w="1056" w:type="dxa"/>
            <w:tcBorders>
              <w:top w:val="single" w:sz="4" w:space="0" w:color="365F91"/>
              <w:bottom w:val="single" w:sz="4" w:space="0" w:color="365F91"/>
            </w:tcBorders>
          </w:tcPr>
          <w:p w14:paraId="5FABFE15" w14:textId="77777777" w:rsidR="00380BE7" w:rsidRPr="00256982" w:rsidRDefault="00380BE7" w:rsidP="009574E7">
            <w:pPr>
              <w:pStyle w:val="TableText"/>
              <w:jc w:val="center"/>
            </w:pPr>
            <w:r w:rsidRPr="00256982">
              <w:t>889,837</w:t>
            </w:r>
          </w:p>
        </w:tc>
        <w:tc>
          <w:tcPr>
            <w:tcW w:w="1206" w:type="dxa"/>
            <w:tcBorders>
              <w:top w:val="single" w:sz="4" w:space="0" w:color="365F91"/>
              <w:bottom w:val="single" w:sz="4" w:space="0" w:color="365F91"/>
            </w:tcBorders>
          </w:tcPr>
          <w:p w14:paraId="643F586C" w14:textId="77777777" w:rsidR="00380BE7" w:rsidRPr="00256982" w:rsidRDefault="00380BE7" w:rsidP="009574E7">
            <w:pPr>
              <w:pStyle w:val="TableText"/>
              <w:jc w:val="center"/>
            </w:pPr>
            <w:r w:rsidRPr="00256982">
              <w:t xml:space="preserve"> 0.1 </w:t>
            </w:r>
          </w:p>
        </w:tc>
        <w:tc>
          <w:tcPr>
            <w:tcW w:w="1055" w:type="dxa"/>
            <w:tcBorders>
              <w:top w:val="single" w:sz="4" w:space="0" w:color="365F91"/>
              <w:bottom w:val="single" w:sz="4" w:space="0" w:color="365F91"/>
            </w:tcBorders>
          </w:tcPr>
          <w:p w14:paraId="6D301D8B" w14:textId="77777777" w:rsidR="00380BE7" w:rsidRPr="00256982" w:rsidRDefault="00380BE7" w:rsidP="009574E7">
            <w:pPr>
              <w:pStyle w:val="TableText"/>
              <w:jc w:val="center"/>
              <w:rPr>
                <w:rFonts w:cs="Arial"/>
                <w:szCs w:val="16"/>
              </w:rPr>
            </w:pPr>
            <w:r w:rsidRPr="00256982">
              <w:t xml:space="preserve"> 3.6 </w:t>
            </w:r>
          </w:p>
        </w:tc>
        <w:tc>
          <w:tcPr>
            <w:tcW w:w="1186" w:type="dxa"/>
            <w:tcBorders>
              <w:top w:val="single" w:sz="4" w:space="0" w:color="365F91"/>
              <w:bottom w:val="single" w:sz="4" w:space="0" w:color="365F91"/>
            </w:tcBorders>
          </w:tcPr>
          <w:p w14:paraId="69EA566E" w14:textId="77777777" w:rsidR="00380BE7" w:rsidRPr="00256982" w:rsidRDefault="00380BE7" w:rsidP="009574E7">
            <w:pPr>
              <w:pStyle w:val="TableText"/>
              <w:jc w:val="center"/>
            </w:pPr>
            <w:r w:rsidRPr="00256982">
              <w:t>+3,444.4</w:t>
            </w:r>
          </w:p>
        </w:tc>
      </w:tr>
      <w:tr w:rsidR="00380BE7" w:rsidRPr="00256982" w14:paraId="64A60174" w14:textId="77777777" w:rsidTr="009574E7">
        <w:tc>
          <w:tcPr>
            <w:tcW w:w="2947" w:type="dxa"/>
            <w:tcBorders>
              <w:top w:val="single" w:sz="4" w:space="0" w:color="365F91"/>
              <w:bottom w:val="single" w:sz="4" w:space="0" w:color="365F91"/>
            </w:tcBorders>
          </w:tcPr>
          <w:p w14:paraId="24E9E5C4" w14:textId="77777777" w:rsidR="00380BE7" w:rsidRPr="00256982" w:rsidRDefault="00380BE7" w:rsidP="009574E7">
            <w:pPr>
              <w:pStyle w:val="TableText"/>
            </w:pPr>
            <w:r w:rsidRPr="00256982">
              <w:t>Land converted to other land</w:t>
            </w:r>
          </w:p>
        </w:tc>
        <w:tc>
          <w:tcPr>
            <w:tcW w:w="1055" w:type="dxa"/>
            <w:tcBorders>
              <w:top w:val="single" w:sz="4" w:space="0" w:color="365F91"/>
              <w:bottom w:val="single" w:sz="4" w:space="0" w:color="365F91"/>
            </w:tcBorders>
          </w:tcPr>
          <w:p w14:paraId="3C205836" w14:textId="77777777" w:rsidR="00380BE7" w:rsidRPr="00256982" w:rsidRDefault="00380BE7" w:rsidP="009574E7">
            <w:pPr>
              <w:pStyle w:val="TableText"/>
              <w:jc w:val="center"/>
            </w:pPr>
            <w:r w:rsidRPr="00256982">
              <w:t>0</w:t>
            </w:r>
          </w:p>
        </w:tc>
        <w:tc>
          <w:tcPr>
            <w:tcW w:w="1056" w:type="dxa"/>
            <w:tcBorders>
              <w:top w:val="single" w:sz="4" w:space="0" w:color="365F91"/>
              <w:bottom w:val="single" w:sz="4" w:space="0" w:color="365F91"/>
            </w:tcBorders>
          </w:tcPr>
          <w:p w14:paraId="3FE4D873" w14:textId="77777777" w:rsidR="00380BE7" w:rsidRPr="00256982" w:rsidRDefault="00380BE7" w:rsidP="009574E7">
            <w:pPr>
              <w:pStyle w:val="TableText"/>
              <w:jc w:val="center"/>
            </w:pPr>
            <w:r w:rsidRPr="00256982">
              <w:t>6,997</w:t>
            </w:r>
          </w:p>
        </w:tc>
        <w:tc>
          <w:tcPr>
            <w:tcW w:w="1206" w:type="dxa"/>
            <w:tcBorders>
              <w:top w:val="single" w:sz="4" w:space="0" w:color="365F91"/>
              <w:bottom w:val="single" w:sz="4" w:space="0" w:color="365F91"/>
            </w:tcBorders>
          </w:tcPr>
          <w:p w14:paraId="49507C88" w14:textId="77777777" w:rsidR="00380BE7" w:rsidRPr="00256982" w:rsidRDefault="00380BE7" w:rsidP="009574E7">
            <w:pPr>
              <w:pStyle w:val="TableText"/>
              <w:jc w:val="center"/>
            </w:pPr>
            <w:r w:rsidRPr="00256982">
              <w:t xml:space="preserve">13.5 </w:t>
            </w:r>
          </w:p>
        </w:tc>
        <w:tc>
          <w:tcPr>
            <w:tcW w:w="1055" w:type="dxa"/>
            <w:tcBorders>
              <w:top w:val="single" w:sz="4" w:space="0" w:color="365F91"/>
              <w:bottom w:val="single" w:sz="4" w:space="0" w:color="365F91"/>
            </w:tcBorders>
          </w:tcPr>
          <w:p w14:paraId="2FC6558F" w14:textId="77777777" w:rsidR="00380BE7" w:rsidRPr="00256982" w:rsidRDefault="00380BE7" w:rsidP="009574E7">
            <w:pPr>
              <w:pStyle w:val="TableText"/>
              <w:jc w:val="center"/>
            </w:pPr>
            <w:r w:rsidRPr="00256982">
              <w:t xml:space="preserve">45.6 </w:t>
            </w:r>
          </w:p>
        </w:tc>
        <w:tc>
          <w:tcPr>
            <w:tcW w:w="1186" w:type="dxa"/>
            <w:tcBorders>
              <w:top w:val="single" w:sz="4" w:space="0" w:color="365F91"/>
              <w:bottom w:val="single" w:sz="4" w:space="0" w:color="365F91"/>
            </w:tcBorders>
          </w:tcPr>
          <w:p w14:paraId="66CD14DB" w14:textId="77777777" w:rsidR="00380BE7" w:rsidRPr="00256982" w:rsidRDefault="00380BE7" w:rsidP="009574E7">
            <w:pPr>
              <w:pStyle w:val="TableText"/>
              <w:jc w:val="center"/>
            </w:pPr>
            <w:r w:rsidRPr="00256982">
              <w:t>+237.9</w:t>
            </w:r>
          </w:p>
        </w:tc>
      </w:tr>
      <w:tr w:rsidR="00380BE7" w:rsidRPr="00256982" w14:paraId="0331F51E" w14:textId="77777777" w:rsidTr="009574E7">
        <w:trPr>
          <w:trHeight w:val="209"/>
        </w:trPr>
        <w:tc>
          <w:tcPr>
            <w:tcW w:w="2947" w:type="dxa"/>
            <w:tcBorders>
              <w:top w:val="single" w:sz="4" w:space="0" w:color="365F91"/>
              <w:bottom w:val="single" w:sz="4" w:space="0" w:color="365F91"/>
            </w:tcBorders>
          </w:tcPr>
          <w:p w14:paraId="4F92AE8F" w14:textId="77777777" w:rsidR="00380BE7" w:rsidRPr="00256982" w:rsidRDefault="00380BE7" w:rsidP="009574E7">
            <w:pPr>
              <w:pStyle w:val="Tableboldblue"/>
            </w:pPr>
            <w:r w:rsidRPr="00256982">
              <w:t>Total</w:t>
            </w:r>
          </w:p>
        </w:tc>
        <w:tc>
          <w:tcPr>
            <w:tcW w:w="1055" w:type="dxa"/>
            <w:tcBorders>
              <w:top w:val="single" w:sz="4" w:space="0" w:color="365F91"/>
              <w:bottom w:val="single" w:sz="4" w:space="0" w:color="365F91"/>
            </w:tcBorders>
          </w:tcPr>
          <w:p w14:paraId="493F819C" w14:textId="77777777" w:rsidR="00380BE7" w:rsidRPr="00256982" w:rsidRDefault="00380BE7" w:rsidP="009574E7">
            <w:pPr>
              <w:pStyle w:val="Tableboldblue"/>
              <w:jc w:val="center"/>
            </w:pPr>
            <w:r w:rsidRPr="00256982">
              <w:t>896,836</w:t>
            </w:r>
          </w:p>
        </w:tc>
        <w:tc>
          <w:tcPr>
            <w:tcW w:w="1056" w:type="dxa"/>
            <w:tcBorders>
              <w:top w:val="single" w:sz="4" w:space="0" w:color="365F91"/>
              <w:bottom w:val="single" w:sz="4" w:space="0" w:color="365F91"/>
            </w:tcBorders>
          </w:tcPr>
          <w:p w14:paraId="245C1976" w14:textId="77777777" w:rsidR="00380BE7" w:rsidRPr="00256982" w:rsidRDefault="00380BE7" w:rsidP="009574E7">
            <w:pPr>
              <w:pStyle w:val="Tableboldblue"/>
              <w:jc w:val="center"/>
            </w:pPr>
            <w:r w:rsidRPr="00256982">
              <w:t>896,834</w:t>
            </w:r>
          </w:p>
        </w:tc>
        <w:tc>
          <w:tcPr>
            <w:tcW w:w="1206" w:type="dxa"/>
            <w:tcBorders>
              <w:top w:val="single" w:sz="4" w:space="0" w:color="365F91"/>
              <w:bottom w:val="single" w:sz="4" w:space="0" w:color="365F91"/>
            </w:tcBorders>
          </w:tcPr>
          <w:p w14:paraId="7C498AE5" w14:textId="77777777" w:rsidR="00380BE7" w:rsidRPr="00256982" w:rsidRDefault="00380BE7" w:rsidP="009574E7">
            <w:pPr>
              <w:pStyle w:val="Tableboldblue"/>
              <w:jc w:val="center"/>
            </w:pPr>
            <w:r w:rsidRPr="00256982">
              <w:t xml:space="preserve">13.6 </w:t>
            </w:r>
          </w:p>
        </w:tc>
        <w:tc>
          <w:tcPr>
            <w:tcW w:w="1055" w:type="dxa"/>
            <w:tcBorders>
              <w:top w:val="single" w:sz="4" w:space="0" w:color="365F91"/>
              <w:bottom w:val="single" w:sz="4" w:space="0" w:color="365F91"/>
            </w:tcBorders>
          </w:tcPr>
          <w:p w14:paraId="2C627AE3" w14:textId="77777777" w:rsidR="00380BE7" w:rsidRPr="00256982" w:rsidRDefault="00380BE7" w:rsidP="009574E7">
            <w:pPr>
              <w:pStyle w:val="Tableboldblue"/>
              <w:jc w:val="center"/>
            </w:pPr>
            <w:r w:rsidRPr="00256982">
              <w:t xml:space="preserve">49.2 </w:t>
            </w:r>
          </w:p>
        </w:tc>
        <w:tc>
          <w:tcPr>
            <w:tcW w:w="1186" w:type="dxa"/>
            <w:tcBorders>
              <w:top w:val="single" w:sz="4" w:space="0" w:color="365F91"/>
              <w:bottom w:val="single" w:sz="4" w:space="0" w:color="365F91"/>
            </w:tcBorders>
          </w:tcPr>
          <w:p w14:paraId="59112E81" w14:textId="77777777" w:rsidR="00380BE7" w:rsidRPr="00256982" w:rsidRDefault="00380BE7" w:rsidP="009574E7">
            <w:pPr>
              <w:pStyle w:val="Tableboldblue"/>
              <w:jc w:val="center"/>
            </w:pPr>
            <w:r w:rsidRPr="00256982">
              <w:t>+261.7</w:t>
            </w:r>
          </w:p>
        </w:tc>
      </w:tr>
    </w:tbl>
    <w:p w14:paraId="2E9522BE" w14:textId="77777777" w:rsidR="00380BE7" w:rsidRPr="00256982" w:rsidRDefault="00380BE7" w:rsidP="00380BE7">
      <w:pPr>
        <w:pStyle w:val="Noteundertable"/>
      </w:pPr>
      <w:r w:rsidRPr="00256982">
        <w:rPr>
          <w:b/>
        </w:rPr>
        <w:t>Note:</w:t>
      </w:r>
      <w:r w:rsidRPr="00256982">
        <w:tab/>
        <w:t xml:space="preserve">Net area in 1990 is as at 1 January 1990; net area in 2017 is as at 31 December. </w:t>
      </w:r>
      <w:r w:rsidRPr="00256982">
        <w:rPr>
          <w:i/>
        </w:rPr>
        <w:t>Land converted to other land</w:t>
      </w:r>
      <w:r w:rsidRPr="00256982">
        <w:t xml:space="preserve"> includes land converted up to 28 years prior. Net emission values are for the whole year indicated. Net emissions for </w:t>
      </w:r>
      <w:r w:rsidRPr="00256982">
        <w:rPr>
          <w:i/>
        </w:rPr>
        <w:t>Other land remaining other land</w:t>
      </w:r>
      <w:r w:rsidRPr="00256982">
        <w:t xml:space="preserve"> are not applicable (NA) because changes in carbon stocks and non-CO</w:t>
      </w:r>
      <w:r w:rsidRPr="00256982">
        <w:rPr>
          <w:vertAlign w:val="subscript"/>
        </w:rPr>
        <w:t>2</w:t>
      </w:r>
      <w:r w:rsidRPr="00256982">
        <w:t xml:space="preserve"> emissions are not estimated (NE) for this category; see section 6.9.2 for details. Columns may not total due to rounding.</w:t>
      </w:r>
    </w:p>
    <w:p w14:paraId="2A629843" w14:textId="77777777" w:rsidR="00380BE7" w:rsidRPr="00256982" w:rsidRDefault="00380BE7" w:rsidP="00380BE7">
      <w:pPr>
        <w:pStyle w:val="Heading3"/>
      </w:pPr>
      <w:r w:rsidRPr="00256982">
        <w:t>6.9.2</w:t>
      </w:r>
      <w:r w:rsidRPr="00256982">
        <w:tab/>
        <w:t>Methodological issues</w:t>
      </w:r>
    </w:p>
    <w:p w14:paraId="23780687" w14:textId="77777777" w:rsidR="00380BE7" w:rsidRPr="00256982" w:rsidRDefault="00380BE7" w:rsidP="00380BE7">
      <w:pPr>
        <w:pStyle w:val="Heading4"/>
      </w:pPr>
      <w:r w:rsidRPr="00256982">
        <w:t>Other land remaining other land (CRF 4.F.1)</w:t>
      </w:r>
    </w:p>
    <w:p w14:paraId="4E9F27C2" w14:textId="77777777" w:rsidR="00380BE7" w:rsidRPr="00256982" w:rsidRDefault="00380BE7" w:rsidP="00380BE7">
      <w:pPr>
        <w:pStyle w:val="BodyText"/>
      </w:pPr>
      <w:r w:rsidRPr="00256982">
        <w:t xml:space="preserve">The area of </w:t>
      </w:r>
      <w:r w:rsidRPr="00256982">
        <w:rPr>
          <w:i/>
        </w:rPr>
        <w:t>Other land</w:t>
      </w:r>
      <w:r w:rsidRPr="00256982">
        <w:t xml:space="preserve"> has been estimated based on national land use maps as described in section 6.2.</w:t>
      </w:r>
    </w:p>
    <w:p w14:paraId="4AC51897" w14:textId="77777777" w:rsidR="00380BE7" w:rsidRPr="00256982" w:rsidRDefault="00380BE7" w:rsidP="00380BE7">
      <w:pPr>
        <w:pStyle w:val="BodyText"/>
      </w:pPr>
      <w:r w:rsidRPr="00256982">
        <w:t xml:space="preserve">A summary of the New Zealand emission factors and other parameters used to estimate greenhouse gas emissions for </w:t>
      </w:r>
      <w:r w:rsidRPr="00256982">
        <w:rPr>
          <w:i/>
        </w:rPr>
        <w:t>Other land</w:t>
      </w:r>
      <w:r w:rsidRPr="00256982">
        <w:t xml:space="preserve"> is provided in table 6.9.2. </w:t>
      </w:r>
    </w:p>
    <w:p w14:paraId="064D2DE7" w14:textId="77777777" w:rsidR="00380BE7" w:rsidRPr="00256982" w:rsidRDefault="00380BE7" w:rsidP="00380BE7">
      <w:pPr>
        <w:pStyle w:val="Table"/>
      </w:pPr>
      <w:bookmarkStart w:id="2083" w:name="_Toc342470794"/>
      <w:bookmarkStart w:id="2084" w:name="_Toc352505034"/>
      <w:bookmarkStart w:id="2085" w:name="_Toc378853323"/>
      <w:bookmarkStart w:id="2086" w:name="_Toc391024121"/>
      <w:bookmarkStart w:id="2087" w:name="_Toc410028863"/>
      <w:bookmarkStart w:id="2088" w:name="_Toc414531491"/>
      <w:bookmarkStart w:id="2089" w:name="_Toc443645404"/>
      <w:bookmarkStart w:id="2090" w:name="_Toc474914623"/>
      <w:bookmarkStart w:id="2091" w:name="_Toc481751587"/>
      <w:bookmarkStart w:id="2092" w:name="_Toc522010644"/>
      <w:bookmarkStart w:id="2093" w:name="_Toc5269549"/>
      <w:r w:rsidRPr="00256982">
        <w:t>Table 6.9.2</w:t>
      </w:r>
      <w:r w:rsidRPr="00256982">
        <w:tab/>
        <w:t>Summary of New Zealand emission factors for the land use category</w:t>
      </w:r>
      <w:bookmarkEnd w:id="2083"/>
      <w:bookmarkEnd w:id="2084"/>
      <w:bookmarkEnd w:id="2085"/>
      <w:r w:rsidRPr="00256982">
        <w:t xml:space="preserve"> Other land</w:t>
      </w:r>
      <w:bookmarkEnd w:id="2086"/>
      <w:bookmarkEnd w:id="2087"/>
      <w:bookmarkEnd w:id="2088"/>
      <w:bookmarkEnd w:id="2089"/>
      <w:bookmarkEnd w:id="2090"/>
      <w:bookmarkEnd w:id="2091"/>
      <w:bookmarkEnd w:id="2092"/>
      <w:bookmarkEnd w:id="2093"/>
    </w:p>
    <w:tbl>
      <w:tblPr>
        <w:tblW w:w="8505" w:type="dxa"/>
        <w:tblInd w:w="108" w:type="dxa"/>
        <w:tblLook w:val="04A0" w:firstRow="1" w:lastRow="0" w:firstColumn="1" w:lastColumn="0" w:noHBand="0" w:noVBand="1"/>
      </w:tblPr>
      <w:tblGrid>
        <w:gridCol w:w="1560"/>
        <w:gridCol w:w="1417"/>
        <w:gridCol w:w="1276"/>
        <w:gridCol w:w="2408"/>
        <w:gridCol w:w="1844"/>
      </w:tblGrid>
      <w:tr w:rsidR="00380BE7" w:rsidRPr="00256982" w14:paraId="6F4A0A0A" w14:textId="77777777" w:rsidTr="009574E7">
        <w:tc>
          <w:tcPr>
            <w:tcW w:w="1560" w:type="dxa"/>
            <w:tcBorders>
              <w:top w:val="single" w:sz="4" w:space="0" w:color="365F91"/>
              <w:bottom w:val="single" w:sz="4" w:space="0" w:color="365F91"/>
            </w:tcBorders>
            <w:shd w:val="clear" w:color="auto" w:fill="365F91"/>
          </w:tcPr>
          <w:p w14:paraId="59E6B09D" w14:textId="77777777" w:rsidR="00380BE7" w:rsidRPr="00256982" w:rsidRDefault="00380BE7" w:rsidP="009574E7">
            <w:pPr>
              <w:pStyle w:val="TableTextBold"/>
              <w:keepNext/>
              <w:rPr>
                <w:noProof w:val="0"/>
                <w:color w:val="FFFFFF"/>
              </w:rPr>
            </w:pPr>
            <w:r w:rsidRPr="00256982">
              <w:rPr>
                <w:noProof w:val="0"/>
                <w:color w:val="FFFFFF"/>
              </w:rPr>
              <w:t xml:space="preserve">Other land </w:t>
            </w:r>
            <w:r w:rsidRPr="00256982">
              <w:rPr>
                <w:noProof w:val="0"/>
                <w:color w:val="FFFFFF"/>
              </w:rPr>
              <w:br/>
              <w:t>greenhouse gas source category</w:t>
            </w:r>
          </w:p>
        </w:tc>
        <w:tc>
          <w:tcPr>
            <w:tcW w:w="1417" w:type="dxa"/>
            <w:tcBorders>
              <w:top w:val="single" w:sz="4" w:space="0" w:color="365F91"/>
              <w:bottom w:val="single" w:sz="4" w:space="0" w:color="365F91"/>
            </w:tcBorders>
            <w:shd w:val="clear" w:color="auto" w:fill="365F91"/>
            <w:vAlign w:val="bottom"/>
          </w:tcPr>
          <w:p w14:paraId="02124BA2" w14:textId="77777777" w:rsidR="00380BE7" w:rsidRPr="00256982" w:rsidRDefault="00380BE7" w:rsidP="009574E7">
            <w:pPr>
              <w:pStyle w:val="TableTextBold"/>
              <w:keepNext/>
              <w:rPr>
                <w:noProof w:val="0"/>
                <w:color w:val="FFFFFF"/>
              </w:rPr>
            </w:pPr>
            <w:r w:rsidRPr="00256982">
              <w:rPr>
                <w:noProof w:val="0"/>
                <w:color w:val="FFFFFF"/>
              </w:rPr>
              <w:t xml:space="preserve">Steady state carbon stock </w:t>
            </w:r>
            <w:r w:rsidRPr="00256982">
              <w:rPr>
                <w:noProof w:val="0"/>
                <w:color w:val="FFFFFF"/>
              </w:rPr>
              <w:br/>
              <w:t>(t C ha</w:t>
            </w:r>
            <w:r w:rsidRPr="00256982">
              <w:rPr>
                <w:noProof w:val="0"/>
                <w:color w:val="FFFFFF"/>
                <w:vertAlign w:val="superscript"/>
              </w:rPr>
              <w:t>–1</w:t>
            </w:r>
            <w:r w:rsidRPr="00256982">
              <w:rPr>
                <w:noProof w:val="0"/>
                <w:color w:val="FFFFFF"/>
              </w:rPr>
              <w:t>)</w:t>
            </w:r>
          </w:p>
        </w:tc>
        <w:tc>
          <w:tcPr>
            <w:tcW w:w="1276" w:type="dxa"/>
            <w:tcBorders>
              <w:top w:val="single" w:sz="4" w:space="0" w:color="365F91"/>
              <w:bottom w:val="single" w:sz="4" w:space="0" w:color="365F91"/>
            </w:tcBorders>
            <w:shd w:val="clear" w:color="auto" w:fill="365F91"/>
            <w:vAlign w:val="bottom"/>
          </w:tcPr>
          <w:p w14:paraId="12EC3C1A" w14:textId="77777777" w:rsidR="00380BE7" w:rsidRPr="00256982" w:rsidRDefault="00380BE7" w:rsidP="009574E7">
            <w:pPr>
              <w:pStyle w:val="TableTextBold"/>
              <w:keepNext/>
              <w:rPr>
                <w:noProof w:val="0"/>
                <w:color w:val="FFFFFF"/>
              </w:rPr>
            </w:pPr>
            <w:r w:rsidRPr="00256982">
              <w:rPr>
                <w:noProof w:val="0"/>
                <w:color w:val="FFFFFF"/>
              </w:rPr>
              <w:t>Years to reach steady state</w:t>
            </w:r>
          </w:p>
        </w:tc>
        <w:tc>
          <w:tcPr>
            <w:tcW w:w="2408" w:type="dxa"/>
            <w:tcBorders>
              <w:top w:val="single" w:sz="4" w:space="0" w:color="365F91"/>
              <w:bottom w:val="single" w:sz="4" w:space="0" w:color="365F91"/>
            </w:tcBorders>
            <w:shd w:val="clear" w:color="auto" w:fill="365F91"/>
            <w:vAlign w:val="bottom"/>
          </w:tcPr>
          <w:p w14:paraId="0BCA7869" w14:textId="77777777" w:rsidR="00380BE7" w:rsidRPr="00256982" w:rsidRDefault="00380BE7" w:rsidP="009574E7">
            <w:pPr>
              <w:pStyle w:val="TableTextBold"/>
              <w:keepNext/>
              <w:rPr>
                <w:noProof w:val="0"/>
                <w:color w:val="FFFFFF"/>
              </w:rPr>
            </w:pPr>
            <w:r w:rsidRPr="00256982">
              <w:rPr>
                <w:noProof w:val="0"/>
                <w:color w:val="FFFFFF"/>
              </w:rPr>
              <w:t>Carbon stock change on conversion to Other land (t C ha</w:t>
            </w:r>
            <w:r w:rsidRPr="00256982">
              <w:rPr>
                <w:noProof w:val="0"/>
                <w:color w:val="FFFFFF"/>
                <w:vertAlign w:val="superscript"/>
              </w:rPr>
              <w:t>–1</w:t>
            </w:r>
            <w:r w:rsidRPr="00256982">
              <w:rPr>
                <w:noProof w:val="0"/>
                <w:color w:val="FFFFFF"/>
              </w:rPr>
              <w:t>)</w:t>
            </w:r>
          </w:p>
        </w:tc>
        <w:tc>
          <w:tcPr>
            <w:tcW w:w="1844" w:type="dxa"/>
            <w:tcBorders>
              <w:top w:val="single" w:sz="4" w:space="0" w:color="365F91"/>
              <w:bottom w:val="single" w:sz="4" w:space="0" w:color="365F91"/>
            </w:tcBorders>
            <w:shd w:val="clear" w:color="auto" w:fill="365F91"/>
            <w:vAlign w:val="bottom"/>
          </w:tcPr>
          <w:p w14:paraId="7179F8C8" w14:textId="77777777" w:rsidR="00380BE7" w:rsidRPr="00256982" w:rsidRDefault="00380BE7" w:rsidP="009574E7">
            <w:pPr>
              <w:pStyle w:val="TableTextBold"/>
              <w:keepNext/>
              <w:rPr>
                <w:noProof w:val="0"/>
                <w:color w:val="FFFFFF"/>
              </w:rPr>
            </w:pPr>
            <w:r w:rsidRPr="00256982">
              <w:rPr>
                <w:noProof w:val="0"/>
                <w:color w:val="FFFFFF"/>
              </w:rPr>
              <w:t>Reference</w:t>
            </w:r>
          </w:p>
        </w:tc>
      </w:tr>
      <w:tr w:rsidR="00380BE7" w:rsidRPr="00256982" w14:paraId="104DF70C" w14:textId="77777777" w:rsidTr="009574E7">
        <w:tc>
          <w:tcPr>
            <w:tcW w:w="1560" w:type="dxa"/>
            <w:tcBorders>
              <w:top w:val="single" w:sz="4" w:space="0" w:color="365F91"/>
              <w:bottom w:val="single" w:sz="4" w:space="0" w:color="365F91"/>
            </w:tcBorders>
          </w:tcPr>
          <w:p w14:paraId="0670055E" w14:textId="77777777" w:rsidR="00380BE7" w:rsidRPr="00256982" w:rsidRDefault="00380BE7" w:rsidP="009574E7">
            <w:pPr>
              <w:pStyle w:val="TableText"/>
            </w:pPr>
            <w:r w:rsidRPr="00256982">
              <w:t>Biomass</w:t>
            </w:r>
          </w:p>
        </w:tc>
        <w:tc>
          <w:tcPr>
            <w:tcW w:w="1417" w:type="dxa"/>
            <w:tcBorders>
              <w:top w:val="single" w:sz="4" w:space="0" w:color="365F91"/>
              <w:bottom w:val="single" w:sz="4" w:space="0" w:color="365F91"/>
            </w:tcBorders>
          </w:tcPr>
          <w:p w14:paraId="128A91A3" w14:textId="77777777" w:rsidR="00380BE7" w:rsidRPr="00256982" w:rsidRDefault="00380BE7" w:rsidP="009574E7">
            <w:pPr>
              <w:pStyle w:val="TableText"/>
            </w:pPr>
            <w:r w:rsidRPr="00256982">
              <w:t>NE</w:t>
            </w:r>
          </w:p>
        </w:tc>
        <w:tc>
          <w:tcPr>
            <w:tcW w:w="1276" w:type="dxa"/>
            <w:tcBorders>
              <w:top w:val="single" w:sz="4" w:space="0" w:color="365F91"/>
              <w:bottom w:val="single" w:sz="4" w:space="0" w:color="365F91"/>
            </w:tcBorders>
          </w:tcPr>
          <w:p w14:paraId="6901CD50" w14:textId="77777777" w:rsidR="00380BE7" w:rsidRPr="00256982" w:rsidRDefault="00380BE7" w:rsidP="009574E7">
            <w:pPr>
              <w:pStyle w:val="TableText"/>
            </w:pPr>
            <w:r w:rsidRPr="00256982">
              <w:t>NA</w:t>
            </w:r>
          </w:p>
        </w:tc>
        <w:tc>
          <w:tcPr>
            <w:tcW w:w="2408" w:type="dxa"/>
            <w:tcBorders>
              <w:top w:val="single" w:sz="4" w:space="0" w:color="365F91"/>
              <w:bottom w:val="single" w:sz="4" w:space="0" w:color="365F91"/>
            </w:tcBorders>
          </w:tcPr>
          <w:p w14:paraId="052E71A0" w14:textId="77777777" w:rsidR="00380BE7" w:rsidRPr="00256982" w:rsidRDefault="00380BE7" w:rsidP="009574E7">
            <w:pPr>
              <w:pStyle w:val="TableText"/>
            </w:pPr>
            <w:r w:rsidRPr="00256982">
              <w:t>Instantaneous loss of previous land use carbon stock</w:t>
            </w:r>
          </w:p>
        </w:tc>
        <w:tc>
          <w:tcPr>
            <w:tcW w:w="1844" w:type="dxa"/>
            <w:tcBorders>
              <w:top w:val="single" w:sz="4" w:space="0" w:color="365F91"/>
              <w:bottom w:val="single" w:sz="4" w:space="0" w:color="365F91"/>
            </w:tcBorders>
          </w:tcPr>
          <w:p w14:paraId="61C9A864" w14:textId="77777777" w:rsidR="00380BE7" w:rsidRPr="00256982" w:rsidRDefault="00380BE7" w:rsidP="009574E7">
            <w:pPr>
              <w:pStyle w:val="TableText"/>
            </w:pPr>
            <w:r w:rsidRPr="00256982">
              <w:t>IPCC Tier 1 default assumption (section 9.3.1, IPCC, 2006a)</w:t>
            </w:r>
          </w:p>
        </w:tc>
      </w:tr>
      <w:tr w:rsidR="00380BE7" w:rsidRPr="00256982" w14:paraId="5730DDB9" w14:textId="77777777" w:rsidTr="009574E7">
        <w:tc>
          <w:tcPr>
            <w:tcW w:w="1560" w:type="dxa"/>
            <w:tcBorders>
              <w:top w:val="single" w:sz="4" w:space="0" w:color="365F91"/>
              <w:bottom w:val="single" w:sz="4" w:space="0" w:color="365F91"/>
            </w:tcBorders>
          </w:tcPr>
          <w:p w14:paraId="1A0B3E5C" w14:textId="77777777" w:rsidR="00380BE7" w:rsidRPr="00256982" w:rsidRDefault="00380BE7" w:rsidP="009574E7">
            <w:pPr>
              <w:pStyle w:val="TableText"/>
            </w:pPr>
            <w:r w:rsidRPr="00256982">
              <w:t>Soils (mineral)</w:t>
            </w:r>
          </w:p>
        </w:tc>
        <w:tc>
          <w:tcPr>
            <w:tcW w:w="1417" w:type="dxa"/>
            <w:tcBorders>
              <w:top w:val="single" w:sz="4" w:space="0" w:color="365F91"/>
              <w:bottom w:val="single" w:sz="4" w:space="0" w:color="365F91"/>
            </w:tcBorders>
          </w:tcPr>
          <w:p w14:paraId="3C640F56" w14:textId="77777777" w:rsidR="00380BE7" w:rsidRPr="00256982" w:rsidRDefault="00380BE7" w:rsidP="009574E7">
            <w:pPr>
              <w:pStyle w:val="TableText"/>
            </w:pPr>
            <w:r w:rsidRPr="00256982">
              <w:t>58.37</w:t>
            </w:r>
          </w:p>
        </w:tc>
        <w:tc>
          <w:tcPr>
            <w:tcW w:w="1276" w:type="dxa"/>
            <w:tcBorders>
              <w:top w:val="single" w:sz="4" w:space="0" w:color="365F91"/>
              <w:bottom w:val="single" w:sz="4" w:space="0" w:color="365F91"/>
            </w:tcBorders>
          </w:tcPr>
          <w:p w14:paraId="65AD2DC2" w14:textId="77777777" w:rsidR="00380BE7" w:rsidRPr="00256982" w:rsidRDefault="00380BE7" w:rsidP="009574E7">
            <w:pPr>
              <w:pStyle w:val="TableText"/>
            </w:pPr>
            <w:r w:rsidRPr="00256982">
              <w:t>20</w:t>
            </w:r>
          </w:p>
        </w:tc>
        <w:tc>
          <w:tcPr>
            <w:tcW w:w="2408" w:type="dxa"/>
            <w:tcBorders>
              <w:top w:val="single" w:sz="4" w:space="0" w:color="365F91"/>
              <w:bottom w:val="single" w:sz="4" w:space="0" w:color="365F91"/>
            </w:tcBorders>
          </w:tcPr>
          <w:p w14:paraId="3FC14B4F" w14:textId="77777777" w:rsidR="00380BE7" w:rsidRPr="00256982" w:rsidRDefault="00380BE7" w:rsidP="009574E7">
            <w:pPr>
              <w:pStyle w:val="TableText"/>
            </w:pPr>
            <w:r w:rsidRPr="00256982">
              <w:t>Linear change over the conversion period between new and previous stock values</w:t>
            </w:r>
          </w:p>
        </w:tc>
        <w:tc>
          <w:tcPr>
            <w:tcW w:w="1844" w:type="dxa"/>
            <w:tcBorders>
              <w:top w:val="single" w:sz="4" w:space="0" w:color="365F91"/>
              <w:bottom w:val="single" w:sz="4" w:space="0" w:color="365F91"/>
            </w:tcBorders>
          </w:tcPr>
          <w:p w14:paraId="7572FBC0" w14:textId="77777777" w:rsidR="00380BE7" w:rsidRPr="00256982" w:rsidRDefault="00380BE7" w:rsidP="009574E7">
            <w:pPr>
              <w:pStyle w:val="TableText"/>
            </w:pPr>
            <w:r w:rsidRPr="00256982">
              <w:t>Section 6.3 of this submission</w:t>
            </w:r>
          </w:p>
        </w:tc>
      </w:tr>
      <w:tr w:rsidR="00380BE7" w:rsidRPr="00256982" w14:paraId="54F13123" w14:textId="77777777" w:rsidTr="009574E7">
        <w:tc>
          <w:tcPr>
            <w:tcW w:w="1560" w:type="dxa"/>
            <w:tcBorders>
              <w:top w:val="single" w:sz="4" w:space="0" w:color="365F91"/>
              <w:bottom w:val="single" w:sz="4" w:space="0" w:color="365F91"/>
            </w:tcBorders>
          </w:tcPr>
          <w:p w14:paraId="08B6EE7B" w14:textId="77777777" w:rsidR="00380BE7" w:rsidRPr="00256982" w:rsidRDefault="00380BE7" w:rsidP="009574E7">
            <w:pPr>
              <w:pStyle w:val="TableText"/>
            </w:pPr>
            <w:r w:rsidRPr="00256982">
              <w:t>Biomass burning</w:t>
            </w:r>
          </w:p>
        </w:tc>
        <w:tc>
          <w:tcPr>
            <w:tcW w:w="1417" w:type="dxa"/>
            <w:tcBorders>
              <w:top w:val="single" w:sz="4" w:space="0" w:color="365F91"/>
              <w:bottom w:val="single" w:sz="4" w:space="0" w:color="365F91"/>
            </w:tcBorders>
          </w:tcPr>
          <w:p w14:paraId="6CE7AA37" w14:textId="77777777" w:rsidR="00380BE7" w:rsidRPr="00256982" w:rsidRDefault="00380BE7" w:rsidP="009574E7">
            <w:pPr>
              <w:pStyle w:val="TableText"/>
            </w:pPr>
            <w:r w:rsidRPr="00256982">
              <w:t>NE</w:t>
            </w:r>
          </w:p>
        </w:tc>
        <w:tc>
          <w:tcPr>
            <w:tcW w:w="1276" w:type="dxa"/>
            <w:tcBorders>
              <w:top w:val="single" w:sz="4" w:space="0" w:color="365F91"/>
              <w:bottom w:val="single" w:sz="4" w:space="0" w:color="365F91"/>
            </w:tcBorders>
          </w:tcPr>
          <w:p w14:paraId="0E79EF67" w14:textId="77777777" w:rsidR="00380BE7" w:rsidRPr="00256982" w:rsidRDefault="00380BE7" w:rsidP="009574E7">
            <w:pPr>
              <w:pStyle w:val="TableText"/>
            </w:pPr>
            <w:r w:rsidRPr="00256982">
              <w:t>NA</w:t>
            </w:r>
          </w:p>
        </w:tc>
        <w:tc>
          <w:tcPr>
            <w:tcW w:w="2408" w:type="dxa"/>
            <w:tcBorders>
              <w:top w:val="single" w:sz="4" w:space="0" w:color="365F91"/>
              <w:bottom w:val="single" w:sz="4" w:space="0" w:color="365F91"/>
            </w:tcBorders>
          </w:tcPr>
          <w:p w14:paraId="76E1F9C9" w14:textId="77777777" w:rsidR="00380BE7" w:rsidRPr="00256982" w:rsidRDefault="00380BE7" w:rsidP="009574E7">
            <w:pPr>
              <w:pStyle w:val="TableText"/>
            </w:pPr>
            <w:r w:rsidRPr="00256982">
              <w:t>NE</w:t>
            </w:r>
          </w:p>
        </w:tc>
        <w:tc>
          <w:tcPr>
            <w:tcW w:w="1844" w:type="dxa"/>
            <w:tcBorders>
              <w:top w:val="single" w:sz="4" w:space="0" w:color="365F91"/>
              <w:bottom w:val="single" w:sz="4" w:space="0" w:color="365F91"/>
            </w:tcBorders>
          </w:tcPr>
          <w:p w14:paraId="56389D23" w14:textId="77777777" w:rsidR="00380BE7" w:rsidRPr="00256982" w:rsidRDefault="00380BE7" w:rsidP="009574E7">
            <w:pPr>
              <w:pStyle w:val="TableText"/>
            </w:pPr>
          </w:p>
        </w:tc>
      </w:tr>
    </w:tbl>
    <w:p w14:paraId="43F6FB5C" w14:textId="77777777" w:rsidR="00380BE7" w:rsidRPr="00256982" w:rsidRDefault="00380BE7" w:rsidP="00380BE7">
      <w:pPr>
        <w:pStyle w:val="Noteundertable"/>
      </w:pPr>
      <w:r w:rsidRPr="00256982">
        <w:rPr>
          <w:b/>
        </w:rPr>
        <w:t>Note</w:t>
      </w:r>
      <w:r w:rsidRPr="00256982">
        <w:t xml:space="preserve">: </w:t>
      </w:r>
      <w:r w:rsidRPr="00256982">
        <w:tab/>
        <w:t>NA = not applicable; NE = not estimated.</w:t>
      </w:r>
    </w:p>
    <w:p w14:paraId="7515C49F" w14:textId="77777777" w:rsidR="00380BE7" w:rsidRPr="00256982" w:rsidRDefault="00380BE7" w:rsidP="00380BE7">
      <w:pPr>
        <w:pStyle w:val="Heading5"/>
      </w:pPr>
      <w:r w:rsidRPr="00256982">
        <w:t xml:space="preserve">Living biomass and dead organic matter </w:t>
      </w:r>
    </w:p>
    <w:p w14:paraId="5F24FD8C" w14:textId="77777777" w:rsidR="00380BE7" w:rsidRPr="00256982" w:rsidRDefault="00380BE7" w:rsidP="00380BE7">
      <w:pPr>
        <w:pStyle w:val="BodyText"/>
      </w:pPr>
      <w:r w:rsidRPr="00256982">
        <w:t xml:space="preserve">All of New Zealand’s land area in the </w:t>
      </w:r>
      <w:r w:rsidRPr="00256982">
        <w:rPr>
          <w:i/>
        </w:rPr>
        <w:t>Other land</w:t>
      </w:r>
      <w:r w:rsidRPr="00256982">
        <w:t xml:space="preserve"> category is classified as ‘managed’. New Zealand considers all land to be managed, because all land is under some form of management plan, regardless of the intensity and/or type of land-management practices. Reporting for the category </w:t>
      </w:r>
      <w:r w:rsidRPr="00256982">
        <w:rPr>
          <w:i/>
        </w:rPr>
        <w:t>Other land remaining other land</w:t>
      </w:r>
      <w:r w:rsidRPr="00256982">
        <w:t xml:space="preserve"> is not mandatory. New Zealand applies the Tier 1 approach to this category, which assumes carbon accumulation and loss for the biomass pool is zero in all years subsequent to the year of conversion (section 9.3.1, IPCC, 2006a). </w:t>
      </w:r>
    </w:p>
    <w:p w14:paraId="291FD261" w14:textId="77777777" w:rsidR="00380BE7" w:rsidRPr="00256982" w:rsidRDefault="00380BE7" w:rsidP="00380BE7">
      <w:pPr>
        <w:pStyle w:val="Heading5"/>
      </w:pPr>
      <w:r w:rsidRPr="00256982">
        <w:lastRenderedPageBreak/>
        <w:t xml:space="preserve">Soil carbon </w:t>
      </w:r>
    </w:p>
    <w:p w14:paraId="44D6AA01" w14:textId="77777777" w:rsidR="00380BE7" w:rsidRPr="00256982" w:rsidRDefault="00380BE7" w:rsidP="00380BE7">
      <w:pPr>
        <w:pStyle w:val="BodyText"/>
      </w:pPr>
      <w:r w:rsidRPr="00256982">
        <w:t xml:space="preserve">SOC stocks in </w:t>
      </w:r>
      <w:r w:rsidRPr="00256982">
        <w:rPr>
          <w:i/>
        </w:rPr>
        <w:t>Other land remaining other land</w:t>
      </w:r>
      <w:r w:rsidRPr="00256982">
        <w:t xml:space="preserve"> are estimated using a Tier 2 method for mineral soils (see section 6.3). The steady state mineral SOC stock in </w:t>
      </w:r>
      <w:r w:rsidRPr="00256982">
        <w:rPr>
          <w:i/>
        </w:rPr>
        <w:t>Other land</w:t>
      </w:r>
      <w:r w:rsidRPr="00256982">
        <w:t xml:space="preserve"> is estimated to be </w:t>
      </w:r>
      <w:r w:rsidRPr="00256982">
        <w:rPr>
          <w:color w:val="000000"/>
          <w:lang w:eastAsia="en-NZ"/>
        </w:rPr>
        <w:t>58.37 </w:t>
      </w:r>
      <w:r w:rsidRPr="00256982">
        <w:t>tonnes C ha</w:t>
      </w:r>
      <w:r w:rsidRPr="00256982">
        <w:rPr>
          <w:vertAlign w:val="superscript"/>
        </w:rPr>
        <w:t>–1</w:t>
      </w:r>
      <w:r w:rsidRPr="00256982">
        <w:t xml:space="preserve">. This is based on only three samples so has an associated uncertainty of ±70.7 per cent (McNeill and Barringer, unpublished). </w:t>
      </w:r>
    </w:p>
    <w:p w14:paraId="7A44CF3D" w14:textId="77777777" w:rsidR="00380BE7" w:rsidRPr="00256982" w:rsidRDefault="00380BE7" w:rsidP="00380BE7">
      <w:pPr>
        <w:pStyle w:val="Heading4"/>
      </w:pPr>
      <w:r w:rsidRPr="00256982">
        <w:t>Land converted to other land (CRF 4.F.2)</w:t>
      </w:r>
    </w:p>
    <w:p w14:paraId="3CCF400F" w14:textId="77777777" w:rsidR="00380BE7" w:rsidRPr="00256982" w:rsidRDefault="00380BE7" w:rsidP="00380BE7">
      <w:pPr>
        <w:pStyle w:val="Heading5"/>
        <w:spacing w:before="160"/>
      </w:pPr>
      <w:r w:rsidRPr="00256982">
        <w:t>Living biomass and dead organic matter</w:t>
      </w:r>
    </w:p>
    <w:p w14:paraId="75D964AD" w14:textId="77777777" w:rsidR="00380BE7" w:rsidRPr="00256982" w:rsidRDefault="00380BE7" w:rsidP="00380BE7">
      <w:pPr>
        <w:pStyle w:val="BodyText"/>
      </w:pPr>
      <w:r w:rsidRPr="00256982">
        <w:t xml:space="preserve">New Zealand uses a Tier 1 method to calculate emissions for </w:t>
      </w:r>
      <w:r w:rsidRPr="00256982">
        <w:rPr>
          <w:i/>
        </w:rPr>
        <w:t>Land converted to other land</w:t>
      </w:r>
      <w:r w:rsidRPr="00256982">
        <w:t xml:space="preserve"> (equation 2.16, IPCC, 2006a). This is the same as that used for other areas of land-use conversion (e.g., </w:t>
      </w:r>
      <w:r w:rsidRPr="00256982">
        <w:rPr>
          <w:i/>
        </w:rPr>
        <w:t>Land converted to cropland</w:t>
      </w:r>
      <w:r w:rsidRPr="00256982">
        <w:t xml:space="preserve">). The Tier 1 method assumes the carbon in living biomass and dead organic matter present before conversion is lost and instantly oxidised in the same year as the conversion takes place and that carbon stocks in living biomass and dead organic matter following conversion are equal to zero. There is no Tier 1 method for calculating carbon accumulation in living biomass or dead organic matter for </w:t>
      </w:r>
      <w:r w:rsidRPr="00256982">
        <w:rPr>
          <w:i/>
        </w:rPr>
        <w:t>Land converted to other land</w:t>
      </w:r>
      <w:r w:rsidRPr="00256982">
        <w:t>.</w:t>
      </w:r>
    </w:p>
    <w:p w14:paraId="2FF829E6" w14:textId="77777777" w:rsidR="00380BE7" w:rsidRPr="00256982" w:rsidRDefault="00380BE7" w:rsidP="00380BE7">
      <w:pPr>
        <w:pStyle w:val="Heading5"/>
      </w:pPr>
      <w:r w:rsidRPr="00256982">
        <w:t xml:space="preserve">Soil carbon </w:t>
      </w:r>
    </w:p>
    <w:p w14:paraId="5E6C2981" w14:textId="77777777" w:rsidR="00380BE7" w:rsidRPr="00256982" w:rsidRDefault="00380BE7" w:rsidP="00380BE7">
      <w:pPr>
        <w:pStyle w:val="BodyText"/>
      </w:pPr>
      <w:r w:rsidRPr="00256982">
        <w:t xml:space="preserve">SOC stocks in </w:t>
      </w:r>
      <w:r w:rsidRPr="00256982">
        <w:rPr>
          <w:i/>
        </w:rPr>
        <w:t>Land converted to other land</w:t>
      </w:r>
      <w:r w:rsidRPr="00256982">
        <w:t xml:space="preserve"> prior to conversion are estimated using a Tier 2 method (see section 6.3). The IPCC default method of a linear change over a 20</w:t>
      </w:r>
      <w:r w:rsidRPr="00256982">
        <w:noBreakHyphen/>
        <w:t xml:space="preserve">year period is used to estimate the change in SOC stocks between the original land use and other land for any given period. </w:t>
      </w:r>
    </w:p>
    <w:p w14:paraId="7681289B" w14:textId="77777777" w:rsidR="00380BE7" w:rsidRPr="00256982" w:rsidRDefault="00380BE7" w:rsidP="00380BE7">
      <w:pPr>
        <w:pStyle w:val="Heading3"/>
      </w:pPr>
      <w:r w:rsidRPr="00256982">
        <w:t>6.9.3</w:t>
      </w:r>
      <w:r w:rsidRPr="00256982">
        <w:tab/>
        <w:t>Uncertainties and time-series consistency</w:t>
      </w:r>
    </w:p>
    <w:p w14:paraId="53FFADFB" w14:textId="77777777" w:rsidR="00380BE7" w:rsidRPr="00256982" w:rsidRDefault="00380BE7" w:rsidP="00380BE7">
      <w:pPr>
        <w:pStyle w:val="BodyText"/>
      </w:pPr>
      <w:r w:rsidRPr="00256982">
        <w:t xml:space="preserve">Uncertainty in the IPCC default variables dominates the overall uncertainty in the estimate provided by New Zealand. Uncertainty in </w:t>
      </w:r>
      <w:r w:rsidRPr="00256982">
        <w:rPr>
          <w:i/>
        </w:rPr>
        <w:t>Other land</w:t>
      </w:r>
      <w:r w:rsidRPr="00256982">
        <w:t xml:space="preserve"> introduces ±0.1 per cent uncertainty into the LULUCF net carbon emissions (see table 6.9.3). This is low because the change in </w:t>
      </w:r>
      <w:r w:rsidRPr="00256982">
        <w:rPr>
          <w:i/>
        </w:rPr>
        <w:t>Other land</w:t>
      </w:r>
      <w:r w:rsidRPr="00256982">
        <w:t xml:space="preserve"> and the emissions from </w:t>
      </w:r>
      <w:r w:rsidRPr="00256982">
        <w:rPr>
          <w:i/>
        </w:rPr>
        <w:t>Other land</w:t>
      </w:r>
      <w:r w:rsidRPr="00256982">
        <w:t xml:space="preserve"> are low.</w:t>
      </w:r>
    </w:p>
    <w:p w14:paraId="12C250C6" w14:textId="77777777" w:rsidR="00380BE7" w:rsidRPr="00256982" w:rsidRDefault="00380BE7" w:rsidP="00380BE7">
      <w:pPr>
        <w:pStyle w:val="Table"/>
      </w:pPr>
      <w:bookmarkStart w:id="2094" w:name="_Toc342470795"/>
      <w:bookmarkStart w:id="2095" w:name="_Toc352505035"/>
      <w:bookmarkStart w:id="2096" w:name="_Toc378853324"/>
      <w:bookmarkStart w:id="2097" w:name="_Toc391024122"/>
      <w:bookmarkStart w:id="2098" w:name="_Toc410028864"/>
      <w:bookmarkStart w:id="2099" w:name="_Toc414531492"/>
      <w:bookmarkStart w:id="2100" w:name="_Toc443645405"/>
      <w:bookmarkStart w:id="2101" w:name="_Toc474914624"/>
      <w:bookmarkStart w:id="2102" w:name="_Toc481751588"/>
      <w:bookmarkStart w:id="2103" w:name="_Toc522010645"/>
      <w:bookmarkStart w:id="2104" w:name="_Toc5269550"/>
      <w:r w:rsidRPr="00256982">
        <w:t>Table 6.9.3</w:t>
      </w:r>
      <w:r w:rsidRPr="00256982">
        <w:tab/>
        <w:t>Uncertainty in New Zealand’s 2017 estimates for the land use category</w:t>
      </w:r>
      <w:bookmarkEnd w:id="2094"/>
      <w:r w:rsidRPr="00256982">
        <w:t xml:space="preserve"> Other land (including land in transition)</w:t>
      </w:r>
      <w:bookmarkEnd w:id="2095"/>
      <w:bookmarkEnd w:id="2096"/>
      <w:bookmarkEnd w:id="2097"/>
      <w:bookmarkEnd w:id="2098"/>
      <w:bookmarkEnd w:id="2099"/>
      <w:bookmarkEnd w:id="2100"/>
      <w:bookmarkEnd w:id="2101"/>
      <w:bookmarkEnd w:id="2102"/>
      <w:bookmarkEnd w:id="2103"/>
      <w:bookmarkEnd w:id="2104"/>
    </w:p>
    <w:tbl>
      <w:tblPr>
        <w:tblW w:w="8562" w:type="dxa"/>
        <w:tblInd w:w="108" w:type="dxa"/>
        <w:tblLook w:val="04A0" w:firstRow="1" w:lastRow="0" w:firstColumn="1" w:lastColumn="0" w:noHBand="0" w:noVBand="1"/>
      </w:tblPr>
      <w:tblGrid>
        <w:gridCol w:w="4718"/>
        <w:gridCol w:w="3844"/>
      </w:tblGrid>
      <w:tr w:rsidR="00380BE7" w:rsidRPr="00256982" w14:paraId="606A9DBE" w14:textId="77777777" w:rsidTr="002A68B1">
        <w:trPr>
          <w:trHeight w:val="285"/>
        </w:trPr>
        <w:tc>
          <w:tcPr>
            <w:tcW w:w="4406" w:type="dxa"/>
            <w:tcBorders>
              <w:top w:val="single" w:sz="4" w:space="0" w:color="365F91"/>
              <w:bottom w:val="single" w:sz="4" w:space="0" w:color="365F91"/>
            </w:tcBorders>
            <w:shd w:val="clear" w:color="auto" w:fill="365F91"/>
            <w:noWrap/>
            <w:hideMark/>
          </w:tcPr>
          <w:p w14:paraId="43A1868F" w14:textId="77777777" w:rsidR="00380BE7" w:rsidRPr="00256982" w:rsidRDefault="00380BE7" w:rsidP="009574E7">
            <w:pPr>
              <w:pStyle w:val="TableTextBold"/>
              <w:rPr>
                <w:noProof w:val="0"/>
                <w:color w:val="FFFFFF"/>
              </w:rPr>
            </w:pPr>
            <w:r w:rsidRPr="00256982">
              <w:rPr>
                <w:noProof w:val="0"/>
                <w:color w:val="FFFFFF"/>
              </w:rPr>
              <w:t>Variable</w:t>
            </w:r>
          </w:p>
        </w:tc>
        <w:tc>
          <w:tcPr>
            <w:tcW w:w="3589" w:type="dxa"/>
            <w:tcBorders>
              <w:top w:val="single" w:sz="4" w:space="0" w:color="365F91"/>
              <w:bottom w:val="single" w:sz="4" w:space="0" w:color="365F91"/>
            </w:tcBorders>
            <w:shd w:val="clear" w:color="auto" w:fill="365F91"/>
            <w:noWrap/>
            <w:hideMark/>
          </w:tcPr>
          <w:p w14:paraId="26B3F27E" w14:textId="77777777" w:rsidR="00380BE7" w:rsidRPr="00256982" w:rsidRDefault="00380BE7" w:rsidP="009574E7">
            <w:pPr>
              <w:pStyle w:val="TableTextBold"/>
              <w:jc w:val="center"/>
              <w:rPr>
                <w:noProof w:val="0"/>
                <w:color w:val="FFFFFF"/>
              </w:rPr>
            </w:pPr>
            <w:r w:rsidRPr="00256982">
              <w:rPr>
                <w:noProof w:val="0"/>
                <w:color w:val="FFFFFF"/>
              </w:rPr>
              <w:t>Uncertainty at a 95% confidence interval (%)</w:t>
            </w:r>
          </w:p>
        </w:tc>
      </w:tr>
      <w:tr w:rsidR="00380BE7" w:rsidRPr="00256982" w14:paraId="0BBF3A61" w14:textId="77777777" w:rsidTr="002A68B1">
        <w:trPr>
          <w:trHeight w:val="285"/>
        </w:trPr>
        <w:tc>
          <w:tcPr>
            <w:tcW w:w="4406" w:type="dxa"/>
            <w:tcBorders>
              <w:top w:val="single" w:sz="4" w:space="0" w:color="365F91"/>
              <w:bottom w:val="single" w:sz="4" w:space="0" w:color="365F91"/>
            </w:tcBorders>
            <w:noWrap/>
            <w:hideMark/>
          </w:tcPr>
          <w:p w14:paraId="75327749" w14:textId="77777777" w:rsidR="00380BE7" w:rsidRPr="00256982" w:rsidRDefault="00380BE7" w:rsidP="009574E7">
            <w:pPr>
              <w:pStyle w:val="TableTextBold"/>
              <w:rPr>
                <w:noProof w:val="0"/>
              </w:rPr>
            </w:pPr>
            <w:r w:rsidRPr="00256982">
              <w:rPr>
                <w:noProof w:val="0"/>
              </w:rPr>
              <w:t>Activity data</w:t>
            </w:r>
          </w:p>
        </w:tc>
        <w:tc>
          <w:tcPr>
            <w:tcW w:w="3589" w:type="dxa"/>
            <w:tcBorders>
              <w:top w:val="single" w:sz="4" w:space="0" w:color="365F91"/>
              <w:bottom w:val="single" w:sz="4" w:space="0" w:color="365F91"/>
            </w:tcBorders>
            <w:noWrap/>
            <w:hideMark/>
          </w:tcPr>
          <w:p w14:paraId="2C170FA0" w14:textId="77777777" w:rsidR="00380BE7" w:rsidRPr="00256982" w:rsidRDefault="00380BE7" w:rsidP="009574E7">
            <w:pPr>
              <w:pStyle w:val="TableTextBold"/>
              <w:tabs>
                <w:tab w:val="decimal" w:pos="362"/>
              </w:tabs>
              <w:jc w:val="center"/>
              <w:rPr>
                <w:noProof w:val="0"/>
              </w:rPr>
            </w:pPr>
          </w:p>
        </w:tc>
      </w:tr>
      <w:tr w:rsidR="00380BE7" w:rsidRPr="00256982" w14:paraId="67DAF45C" w14:textId="77777777" w:rsidTr="002A68B1">
        <w:trPr>
          <w:trHeight w:val="285"/>
        </w:trPr>
        <w:tc>
          <w:tcPr>
            <w:tcW w:w="4406" w:type="dxa"/>
            <w:tcBorders>
              <w:top w:val="single" w:sz="4" w:space="0" w:color="365F91"/>
              <w:bottom w:val="single" w:sz="4" w:space="0" w:color="365F91"/>
            </w:tcBorders>
            <w:noWrap/>
            <w:hideMark/>
          </w:tcPr>
          <w:p w14:paraId="422F5921" w14:textId="77777777" w:rsidR="00380BE7" w:rsidRPr="00256982" w:rsidRDefault="00380BE7" w:rsidP="009574E7">
            <w:pPr>
              <w:pStyle w:val="TableText"/>
            </w:pPr>
            <w:r w:rsidRPr="00256982">
              <w:t>Uncertainty in land area</w:t>
            </w:r>
          </w:p>
        </w:tc>
        <w:tc>
          <w:tcPr>
            <w:tcW w:w="3589" w:type="dxa"/>
            <w:tcBorders>
              <w:top w:val="single" w:sz="4" w:space="0" w:color="365F91"/>
              <w:bottom w:val="single" w:sz="4" w:space="0" w:color="365F91"/>
            </w:tcBorders>
            <w:noWrap/>
            <w:hideMark/>
          </w:tcPr>
          <w:p w14:paraId="2D7B222D" w14:textId="77777777" w:rsidR="00380BE7" w:rsidRPr="00256982" w:rsidRDefault="00380BE7" w:rsidP="009574E7">
            <w:pPr>
              <w:pStyle w:val="TableText"/>
              <w:tabs>
                <w:tab w:val="decimal" w:pos="362"/>
              </w:tabs>
              <w:jc w:val="center"/>
            </w:pPr>
            <w:r w:rsidRPr="00256982">
              <w:t>±22.0</w:t>
            </w:r>
          </w:p>
        </w:tc>
      </w:tr>
      <w:tr w:rsidR="00380BE7" w:rsidRPr="00256982" w14:paraId="27DE8C6B" w14:textId="77777777" w:rsidTr="002A68B1">
        <w:trPr>
          <w:trHeight w:val="285"/>
        </w:trPr>
        <w:tc>
          <w:tcPr>
            <w:tcW w:w="4406" w:type="dxa"/>
            <w:tcBorders>
              <w:top w:val="single" w:sz="4" w:space="0" w:color="365F91"/>
              <w:bottom w:val="single" w:sz="4" w:space="0" w:color="365F91"/>
            </w:tcBorders>
            <w:noWrap/>
            <w:hideMark/>
          </w:tcPr>
          <w:p w14:paraId="55DD495C" w14:textId="77777777" w:rsidR="00380BE7" w:rsidRPr="00256982" w:rsidRDefault="00380BE7" w:rsidP="009574E7">
            <w:pPr>
              <w:pStyle w:val="TableTextBold"/>
              <w:rPr>
                <w:noProof w:val="0"/>
              </w:rPr>
            </w:pPr>
            <w:r w:rsidRPr="00256982">
              <w:rPr>
                <w:noProof w:val="0"/>
              </w:rPr>
              <w:t>Emission factors</w:t>
            </w:r>
          </w:p>
        </w:tc>
        <w:tc>
          <w:tcPr>
            <w:tcW w:w="3589" w:type="dxa"/>
            <w:tcBorders>
              <w:top w:val="single" w:sz="4" w:space="0" w:color="365F91"/>
              <w:bottom w:val="single" w:sz="4" w:space="0" w:color="365F91"/>
            </w:tcBorders>
            <w:noWrap/>
            <w:hideMark/>
          </w:tcPr>
          <w:p w14:paraId="25542364" w14:textId="77777777" w:rsidR="00380BE7" w:rsidRPr="00256982" w:rsidRDefault="00380BE7" w:rsidP="009574E7">
            <w:pPr>
              <w:pStyle w:val="TableTextBold"/>
              <w:tabs>
                <w:tab w:val="decimal" w:pos="362"/>
              </w:tabs>
              <w:jc w:val="center"/>
              <w:rPr>
                <w:noProof w:val="0"/>
              </w:rPr>
            </w:pPr>
          </w:p>
        </w:tc>
      </w:tr>
      <w:tr w:rsidR="00380BE7" w:rsidRPr="00256982" w14:paraId="3945736A" w14:textId="77777777" w:rsidTr="002A68B1">
        <w:trPr>
          <w:trHeight w:val="285"/>
        </w:trPr>
        <w:tc>
          <w:tcPr>
            <w:tcW w:w="4406" w:type="dxa"/>
            <w:tcBorders>
              <w:top w:val="single" w:sz="4" w:space="0" w:color="365F91"/>
              <w:bottom w:val="single" w:sz="4" w:space="0" w:color="365F91"/>
            </w:tcBorders>
            <w:noWrap/>
            <w:hideMark/>
          </w:tcPr>
          <w:p w14:paraId="1FBDBD97" w14:textId="77777777" w:rsidR="00380BE7" w:rsidRPr="00256982" w:rsidRDefault="00380BE7" w:rsidP="009574E7">
            <w:pPr>
              <w:pStyle w:val="TableText"/>
            </w:pPr>
            <w:r w:rsidRPr="00256982">
              <w:t>Uncertainty in biomass carbon stocks</w:t>
            </w:r>
          </w:p>
        </w:tc>
        <w:tc>
          <w:tcPr>
            <w:tcW w:w="3589" w:type="dxa"/>
            <w:tcBorders>
              <w:top w:val="single" w:sz="4" w:space="0" w:color="365F91"/>
              <w:bottom w:val="single" w:sz="4" w:space="0" w:color="365F91"/>
            </w:tcBorders>
            <w:noWrap/>
            <w:hideMark/>
          </w:tcPr>
          <w:p w14:paraId="4D1EFFBA" w14:textId="77777777" w:rsidR="00380BE7" w:rsidRPr="00256982" w:rsidRDefault="00380BE7" w:rsidP="009574E7">
            <w:pPr>
              <w:pStyle w:val="TableText"/>
              <w:tabs>
                <w:tab w:val="decimal" w:pos="362"/>
              </w:tabs>
              <w:jc w:val="center"/>
            </w:pPr>
            <w:r w:rsidRPr="00256982">
              <w:t>±75.0</w:t>
            </w:r>
          </w:p>
        </w:tc>
      </w:tr>
      <w:tr w:rsidR="00380BE7" w:rsidRPr="00256982" w14:paraId="2FC93FE7" w14:textId="77777777" w:rsidTr="002A68B1">
        <w:trPr>
          <w:trHeight w:val="285"/>
        </w:trPr>
        <w:tc>
          <w:tcPr>
            <w:tcW w:w="4406" w:type="dxa"/>
            <w:tcBorders>
              <w:top w:val="single" w:sz="4" w:space="0" w:color="365F91"/>
              <w:bottom w:val="single" w:sz="4" w:space="0" w:color="365F91"/>
            </w:tcBorders>
            <w:noWrap/>
            <w:hideMark/>
          </w:tcPr>
          <w:p w14:paraId="3869721D" w14:textId="77777777" w:rsidR="00380BE7" w:rsidRPr="00256982" w:rsidRDefault="00380BE7" w:rsidP="009574E7">
            <w:pPr>
              <w:pStyle w:val="TableText"/>
            </w:pPr>
            <w:r w:rsidRPr="00256982">
              <w:t>Uncertainty in soil carbon stocks</w:t>
            </w:r>
          </w:p>
        </w:tc>
        <w:tc>
          <w:tcPr>
            <w:tcW w:w="3589" w:type="dxa"/>
            <w:tcBorders>
              <w:top w:val="single" w:sz="4" w:space="0" w:color="365F91"/>
              <w:bottom w:val="single" w:sz="4" w:space="0" w:color="365F91"/>
            </w:tcBorders>
            <w:noWrap/>
            <w:hideMark/>
          </w:tcPr>
          <w:p w14:paraId="404B9CC0" w14:textId="77777777" w:rsidR="00380BE7" w:rsidRPr="00256982" w:rsidRDefault="00380BE7" w:rsidP="009574E7">
            <w:pPr>
              <w:pStyle w:val="TableText"/>
              <w:tabs>
                <w:tab w:val="decimal" w:pos="362"/>
              </w:tabs>
              <w:jc w:val="center"/>
            </w:pPr>
            <w:r w:rsidRPr="00256982">
              <w:t>±70.7</w:t>
            </w:r>
          </w:p>
        </w:tc>
      </w:tr>
      <w:tr w:rsidR="00380BE7" w:rsidRPr="00256982" w14:paraId="671DCDEA" w14:textId="77777777" w:rsidTr="002A68B1">
        <w:trPr>
          <w:trHeight w:val="285"/>
        </w:trPr>
        <w:tc>
          <w:tcPr>
            <w:tcW w:w="4406" w:type="dxa"/>
            <w:tcBorders>
              <w:top w:val="single" w:sz="4" w:space="0" w:color="365F91"/>
              <w:bottom w:val="single" w:sz="4" w:space="0" w:color="365F91"/>
            </w:tcBorders>
            <w:noWrap/>
            <w:hideMark/>
          </w:tcPr>
          <w:p w14:paraId="56A545B3" w14:textId="77777777" w:rsidR="00380BE7" w:rsidRPr="00256982" w:rsidRDefault="00380BE7" w:rsidP="009574E7">
            <w:pPr>
              <w:pStyle w:val="Tableboldblue"/>
            </w:pPr>
            <w:r w:rsidRPr="00256982">
              <w:t>Uncertainty introduced into net emissions for LULUCF</w:t>
            </w:r>
          </w:p>
        </w:tc>
        <w:tc>
          <w:tcPr>
            <w:tcW w:w="3589" w:type="dxa"/>
            <w:tcBorders>
              <w:top w:val="single" w:sz="4" w:space="0" w:color="365F91"/>
              <w:bottom w:val="single" w:sz="4" w:space="0" w:color="365F91"/>
            </w:tcBorders>
            <w:noWrap/>
            <w:hideMark/>
          </w:tcPr>
          <w:p w14:paraId="1D6FDA7E" w14:textId="77777777" w:rsidR="00380BE7" w:rsidRPr="00256982" w:rsidRDefault="00380BE7" w:rsidP="009574E7">
            <w:pPr>
              <w:pStyle w:val="Tableboldblue"/>
              <w:tabs>
                <w:tab w:val="decimal" w:pos="362"/>
              </w:tabs>
              <w:jc w:val="center"/>
            </w:pPr>
            <w:r w:rsidRPr="00256982">
              <w:t>±0.1</w:t>
            </w:r>
          </w:p>
        </w:tc>
      </w:tr>
    </w:tbl>
    <w:p w14:paraId="7D718869" w14:textId="77777777" w:rsidR="00380BE7" w:rsidRPr="00256982" w:rsidRDefault="00380BE7" w:rsidP="00380BE7">
      <w:pPr>
        <w:pStyle w:val="Noteundertable"/>
      </w:pPr>
      <w:r w:rsidRPr="00256982">
        <w:rPr>
          <w:b/>
        </w:rPr>
        <w:t>Note:</w:t>
      </w:r>
      <w:r w:rsidRPr="00256982">
        <w:tab/>
        <w:t xml:space="preserve">The activity data and combined emission factor uncertainty are weighted values and have been calculated using equation 3.2 from IPCC General Guidance and Reporting (IPCC, 2006b). </w:t>
      </w:r>
    </w:p>
    <w:p w14:paraId="078B0E66" w14:textId="77777777" w:rsidR="00380BE7" w:rsidRPr="00256982" w:rsidRDefault="00380BE7" w:rsidP="00380BE7">
      <w:pPr>
        <w:pStyle w:val="Heading3"/>
        <w:spacing w:before="240"/>
      </w:pPr>
      <w:r w:rsidRPr="00256982">
        <w:t>6.9.4</w:t>
      </w:r>
      <w:r w:rsidRPr="00256982">
        <w:tab/>
        <w:t>Category-specific QA/QC and verification</w:t>
      </w:r>
    </w:p>
    <w:p w14:paraId="7CB4020B" w14:textId="77777777" w:rsidR="00380BE7" w:rsidRPr="00256982" w:rsidRDefault="00380BE7" w:rsidP="00380BE7">
      <w:pPr>
        <w:pStyle w:val="BodyText"/>
        <w:rPr>
          <w:spacing w:val="-2"/>
        </w:rPr>
      </w:pPr>
      <w:r w:rsidRPr="00256982">
        <w:rPr>
          <w:spacing w:val="-2"/>
        </w:rPr>
        <w:t>In the preparation of this inventory, the data for these emissions underwent Tier 1 quality checks.</w:t>
      </w:r>
    </w:p>
    <w:p w14:paraId="20BF5988" w14:textId="77777777" w:rsidR="00380BE7" w:rsidRPr="00256982" w:rsidRDefault="00380BE7" w:rsidP="00380BE7">
      <w:pPr>
        <w:pStyle w:val="Heading3"/>
      </w:pPr>
      <w:r w:rsidRPr="00256982">
        <w:lastRenderedPageBreak/>
        <w:t>6.9.5</w:t>
      </w:r>
      <w:r w:rsidRPr="00256982">
        <w:tab/>
        <w:t>Category-specific recalculations</w:t>
      </w:r>
    </w:p>
    <w:p w14:paraId="67DA81DB" w14:textId="77777777" w:rsidR="00380BE7" w:rsidRPr="00256982" w:rsidRDefault="00380BE7" w:rsidP="00380BE7">
      <w:pPr>
        <w:pStyle w:val="BodyText"/>
        <w:rPr>
          <w:spacing w:val="-2"/>
        </w:rPr>
      </w:pPr>
      <w:r w:rsidRPr="00256982">
        <w:rPr>
          <w:spacing w:val="-2"/>
        </w:rPr>
        <w:t>The impact of recalculations on net CO</w:t>
      </w:r>
      <w:r w:rsidRPr="00256982">
        <w:rPr>
          <w:spacing w:val="-2"/>
          <w:vertAlign w:val="subscript"/>
        </w:rPr>
        <w:t>2</w:t>
      </w:r>
      <w:r w:rsidRPr="00256982">
        <w:rPr>
          <w:spacing w:val="-2"/>
        </w:rPr>
        <w:t xml:space="preserve">-e emission estimates for the </w:t>
      </w:r>
      <w:r w:rsidRPr="00256982">
        <w:rPr>
          <w:i/>
          <w:spacing w:val="-2"/>
        </w:rPr>
        <w:t>Other land</w:t>
      </w:r>
      <w:r w:rsidRPr="00256982">
        <w:rPr>
          <w:spacing w:val="-2"/>
        </w:rPr>
        <w:t xml:space="preserve"> category is shown in table 6.9.4. Recalculations were carried out for this category as a result of new activity data from the creation of the new land use map, as described in section 6.2.</w:t>
      </w:r>
    </w:p>
    <w:p w14:paraId="44B4AB64" w14:textId="77777777" w:rsidR="00380BE7" w:rsidRPr="00256982" w:rsidRDefault="00380BE7" w:rsidP="00380BE7">
      <w:pPr>
        <w:pStyle w:val="Table"/>
      </w:pPr>
      <w:bookmarkStart w:id="2105" w:name="_Toc342470796"/>
      <w:bookmarkStart w:id="2106" w:name="_Toc352505036"/>
      <w:bookmarkStart w:id="2107" w:name="_Toc378853325"/>
      <w:bookmarkStart w:id="2108" w:name="_Toc391024123"/>
      <w:bookmarkStart w:id="2109" w:name="_Toc410028865"/>
      <w:bookmarkStart w:id="2110" w:name="_Toc414531493"/>
      <w:bookmarkStart w:id="2111" w:name="_Toc443645406"/>
      <w:bookmarkStart w:id="2112" w:name="_Toc474914625"/>
      <w:bookmarkStart w:id="2113" w:name="_Toc481751589"/>
      <w:bookmarkStart w:id="2114" w:name="_Toc522010646"/>
      <w:bookmarkStart w:id="2115" w:name="_Toc5269551"/>
      <w:bookmarkStart w:id="2116" w:name="_Toc195322672"/>
      <w:bookmarkStart w:id="2117" w:name="_Toc255466414"/>
      <w:bookmarkStart w:id="2118" w:name="_Toc261513221"/>
      <w:bookmarkStart w:id="2119" w:name="_Toc261513834"/>
      <w:bookmarkStart w:id="2120" w:name="_Toc280630306"/>
      <w:r w:rsidRPr="00256982">
        <w:t>Table 6.9.4</w:t>
      </w:r>
      <w:r w:rsidRPr="00256982">
        <w:rPr>
          <w:vertAlign w:val="superscript"/>
        </w:rPr>
        <w:tab/>
      </w:r>
      <w:r w:rsidRPr="00256982">
        <w:t>Recalculations for New Zealand’s net emissions from the Other land category in 1990 and </w:t>
      </w:r>
      <w:bookmarkEnd w:id="2105"/>
      <w:bookmarkEnd w:id="2106"/>
      <w:bookmarkEnd w:id="2107"/>
      <w:bookmarkEnd w:id="2108"/>
      <w:bookmarkEnd w:id="2109"/>
      <w:bookmarkEnd w:id="2110"/>
      <w:bookmarkEnd w:id="2111"/>
      <w:bookmarkEnd w:id="2112"/>
      <w:bookmarkEnd w:id="2113"/>
      <w:r w:rsidRPr="00256982">
        <w:t>2016</w:t>
      </w:r>
      <w:bookmarkEnd w:id="2114"/>
      <w:bookmarkEnd w:id="2115"/>
    </w:p>
    <w:tbl>
      <w:tblPr>
        <w:tblW w:w="8562" w:type="dxa"/>
        <w:tblInd w:w="108" w:type="dxa"/>
        <w:tblLook w:val="04A0" w:firstRow="1" w:lastRow="0" w:firstColumn="1" w:lastColumn="0" w:noHBand="0" w:noVBand="1"/>
      </w:tblPr>
      <w:tblGrid>
        <w:gridCol w:w="1117"/>
        <w:gridCol w:w="1862"/>
        <w:gridCol w:w="1861"/>
        <w:gridCol w:w="1861"/>
        <w:gridCol w:w="1861"/>
      </w:tblGrid>
      <w:tr w:rsidR="00380BE7" w:rsidRPr="00256982" w14:paraId="41C1955E" w14:textId="77777777" w:rsidTr="002A68B1">
        <w:tc>
          <w:tcPr>
            <w:tcW w:w="652" w:type="pct"/>
            <w:vMerge w:val="restart"/>
            <w:tcBorders>
              <w:top w:val="single" w:sz="4" w:space="0" w:color="365F91"/>
            </w:tcBorders>
            <w:shd w:val="clear" w:color="auto" w:fill="365F91"/>
            <w:vAlign w:val="bottom"/>
          </w:tcPr>
          <w:p w14:paraId="621FE654" w14:textId="77777777" w:rsidR="00380BE7" w:rsidRPr="00256982" w:rsidRDefault="00380BE7" w:rsidP="009574E7">
            <w:pPr>
              <w:pStyle w:val="TableTextBold"/>
              <w:rPr>
                <w:noProof w:val="0"/>
                <w:color w:val="FFFFFF"/>
              </w:rPr>
            </w:pPr>
            <w:r w:rsidRPr="00256982">
              <w:rPr>
                <w:noProof w:val="0"/>
                <w:color w:val="FFFFFF"/>
              </w:rPr>
              <w:t>Year</w:t>
            </w:r>
          </w:p>
        </w:tc>
        <w:tc>
          <w:tcPr>
            <w:tcW w:w="2174" w:type="pct"/>
            <w:gridSpan w:val="2"/>
            <w:tcBorders>
              <w:top w:val="single" w:sz="4" w:space="0" w:color="365F91"/>
            </w:tcBorders>
            <w:shd w:val="clear" w:color="auto" w:fill="365F91"/>
            <w:noWrap/>
          </w:tcPr>
          <w:p w14:paraId="7CD41DE5" w14:textId="77777777" w:rsidR="00380BE7" w:rsidRPr="00256982" w:rsidRDefault="00380BE7" w:rsidP="009574E7">
            <w:pPr>
              <w:pStyle w:val="TableTextBold"/>
              <w:jc w:val="center"/>
              <w:rPr>
                <w:noProof w:val="0"/>
                <w:color w:val="FFFFFF"/>
              </w:rPr>
            </w:pPr>
            <w:r w:rsidRPr="00256982">
              <w:rPr>
                <w:noProof w:val="0"/>
                <w:color w:val="FFFFFF"/>
              </w:rPr>
              <w:t>Net emissions (kt CO</w:t>
            </w:r>
            <w:r w:rsidRPr="00256982">
              <w:rPr>
                <w:noProof w:val="0"/>
                <w:color w:val="FFFFFF"/>
                <w:vertAlign w:val="subscript"/>
              </w:rPr>
              <w:t>2</w:t>
            </w:r>
            <w:r w:rsidRPr="00256982">
              <w:rPr>
                <w:noProof w:val="0"/>
                <w:color w:val="FFFFFF"/>
              </w:rPr>
              <w:t>-e)</w:t>
            </w:r>
          </w:p>
        </w:tc>
        <w:tc>
          <w:tcPr>
            <w:tcW w:w="2174" w:type="pct"/>
            <w:gridSpan w:val="2"/>
            <w:tcBorders>
              <w:top w:val="single" w:sz="4" w:space="0" w:color="365F91"/>
            </w:tcBorders>
            <w:shd w:val="clear" w:color="auto" w:fill="365F91"/>
          </w:tcPr>
          <w:p w14:paraId="708BE448" w14:textId="77777777" w:rsidR="00380BE7" w:rsidRPr="00256982" w:rsidRDefault="00380BE7" w:rsidP="009574E7">
            <w:pPr>
              <w:pStyle w:val="TableTextBold"/>
              <w:jc w:val="center"/>
              <w:rPr>
                <w:noProof w:val="0"/>
                <w:color w:val="FFFFFF"/>
              </w:rPr>
            </w:pPr>
            <w:r w:rsidRPr="00256982">
              <w:rPr>
                <w:noProof w:val="0"/>
                <w:color w:val="FFFFFF"/>
              </w:rPr>
              <w:t>Change from the 2018 submission</w:t>
            </w:r>
          </w:p>
        </w:tc>
      </w:tr>
      <w:tr w:rsidR="00380BE7" w:rsidRPr="00256982" w14:paraId="14DE6F9B" w14:textId="77777777" w:rsidTr="002A68B1">
        <w:tc>
          <w:tcPr>
            <w:tcW w:w="652" w:type="pct"/>
            <w:vMerge/>
            <w:tcBorders>
              <w:bottom w:val="single" w:sz="4" w:space="0" w:color="365F91"/>
            </w:tcBorders>
            <w:shd w:val="clear" w:color="auto" w:fill="365F91"/>
          </w:tcPr>
          <w:p w14:paraId="3A8C10B0" w14:textId="77777777" w:rsidR="00380BE7" w:rsidRPr="00256982" w:rsidRDefault="00380BE7" w:rsidP="009574E7">
            <w:pPr>
              <w:pStyle w:val="TableText"/>
              <w:rPr>
                <w:color w:val="FFFFFF"/>
              </w:rPr>
            </w:pPr>
          </w:p>
        </w:tc>
        <w:tc>
          <w:tcPr>
            <w:tcW w:w="1087" w:type="pct"/>
            <w:tcBorders>
              <w:bottom w:val="single" w:sz="4" w:space="0" w:color="365F91"/>
            </w:tcBorders>
            <w:shd w:val="clear" w:color="auto" w:fill="365F91"/>
          </w:tcPr>
          <w:p w14:paraId="2A690C1A" w14:textId="77777777" w:rsidR="00380BE7" w:rsidRPr="00256982" w:rsidRDefault="00380BE7" w:rsidP="009574E7">
            <w:pPr>
              <w:pStyle w:val="TableTextBold"/>
              <w:jc w:val="center"/>
              <w:rPr>
                <w:noProof w:val="0"/>
                <w:color w:val="FFFFFF"/>
              </w:rPr>
            </w:pPr>
            <w:r w:rsidRPr="00256982">
              <w:rPr>
                <w:noProof w:val="0"/>
                <w:color w:val="FFFFFF"/>
              </w:rPr>
              <w:t>2018 submission</w:t>
            </w:r>
          </w:p>
        </w:tc>
        <w:tc>
          <w:tcPr>
            <w:tcW w:w="1087" w:type="pct"/>
            <w:tcBorders>
              <w:bottom w:val="single" w:sz="4" w:space="0" w:color="365F91"/>
            </w:tcBorders>
            <w:shd w:val="clear" w:color="auto" w:fill="365F91"/>
          </w:tcPr>
          <w:p w14:paraId="1B0204F5" w14:textId="77777777" w:rsidR="00380BE7" w:rsidRPr="00256982" w:rsidRDefault="00380BE7" w:rsidP="009574E7">
            <w:pPr>
              <w:pStyle w:val="TableTextBold"/>
              <w:jc w:val="center"/>
              <w:rPr>
                <w:noProof w:val="0"/>
                <w:color w:val="FFFFFF"/>
              </w:rPr>
            </w:pPr>
            <w:r w:rsidRPr="00256982">
              <w:rPr>
                <w:noProof w:val="0"/>
                <w:color w:val="FFFFFF"/>
              </w:rPr>
              <w:t>2019 submission</w:t>
            </w:r>
          </w:p>
        </w:tc>
        <w:tc>
          <w:tcPr>
            <w:tcW w:w="1087" w:type="pct"/>
            <w:tcBorders>
              <w:bottom w:val="single" w:sz="4" w:space="0" w:color="365F91"/>
            </w:tcBorders>
            <w:shd w:val="clear" w:color="auto" w:fill="365F91"/>
          </w:tcPr>
          <w:p w14:paraId="3784F7BB" w14:textId="77777777" w:rsidR="00380BE7" w:rsidRPr="00256982" w:rsidRDefault="00380BE7" w:rsidP="009574E7">
            <w:pPr>
              <w:pStyle w:val="TableTextBold"/>
              <w:jc w:val="center"/>
              <w:rPr>
                <w:noProof w:val="0"/>
                <w:color w:val="FFFFFF"/>
              </w:rPr>
            </w:pPr>
            <w:r w:rsidRPr="00256982">
              <w:rPr>
                <w:noProof w:val="0"/>
                <w:color w:val="FFFFFF"/>
              </w:rPr>
              <w:t>(kt CO</w:t>
            </w:r>
            <w:r w:rsidRPr="00256982">
              <w:rPr>
                <w:noProof w:val="0"/>
                <w:color w:val="FFFFFF"/>
                <w:vertAlign w:val="subscript"/>
              </w:rPr>
              <w:t>2</w:t>
            </w:r>
            <w:r w:rsidRPr="00256982">
              <w:rPr>
                <w:noProof w:val="0"/>
                <w:color w:val="FFFFFF"/>
              </w:rPr>
              <w:t>-e)</w:t>
            </w:r>
          </w:p>
        </w:tc>
        <w:tc>
          <w:tcPr>
            <w:tcW w:w="1087" w:type="pct"/>
            <w:tcBorders>
              <w:bottom w:val="single" w:sz="4" w:space="0" w:color="365F91"/>
            </w:tcBorders>
            <w:shd w:val="clear" w:color="auto" w:fill="365F91"/>
          </w:tcPr>
          <w:p w14:paraId="03209AC7" w14:textId="77777777" w:rsidR="00380BE7" w:rsidRPr="00256982" w:rsidRDefault="00380BE7" w:rsidP="009574E7">
            <w:pPr>
              <w:pStyle w:val="TableTextBold"/>
              <w:jc w:val="center"/>
              <w:rPr>
                <w:noProof w:val="0"/>
                <w:color w:val="FFFFFF"/>
              </w:rPr>
            </w:pPr>
            <w:r w:rsidRPr="00256982">
              <w:rPr>
                <w:noProof w:val="0"/>
                <w:color w:val="FFFFFF"/>
              </w:rPr>
              <w:t>(%)</w:t>
            </w:r>
          </w:p>
        </w:tc>
      </w:tr>
      <w:tr w:rsidR="00380BE7" w:rsidRPr="00256982" w14:paraId="37423FEE" w14:textId="77777777" w:rsidTr="002A68B1">
        <w:tc>
          <w:tcPr>
            <w:tcW w:w="652" w:type="pct"/>
            <w:tcBorders>
              <w:top w:val="single" w:sz="4" w:space="0" w:color="365F91"/>
              <w:bottom w:val="single" w:sz="4" w:space="0" w:color="365F91"/>
            </w:tcBorders>
          </w:tcPr>
          <w:p w14:paraId="346C4057" w14:textId="77777777" w:rsidR="00380BE7" w:rsidRPr="00256982" w:rsidRDefault="00380BE7" w:rsidP="009574E7">
            <w:pPr>
              <w:pStyle w:val="TableText"/>
            </w:pPr>
            <w:r w:rsidRPr="00256982">
              <w:t xml:space="preserve">1990 </w:t>
            </w:r>
          </w:p>
        </w:tc>
        <w:tc>
          <w:tcPr>
            <w:tcW w:w="1087" w:type="pct"/>
            <w:tcBorders>
              <w:top w:val="single" w:sz="4" w:space="0" w:color="365F91"/>
              <w:bottom w:val="single" w:sz="4" w:space="0" w:color="365F91"/>
            </w:tcBorders>
          </w:tcPr>
          <w:p w14:paraId="37ED0879" w14:textId="77777777" w:rsidR="00380BE7" w:rsidRPr="00256982" w:rsidRDefault="00380BE7" w:rsidP="009574E7">
            <w:pPr>
              <w:pStyle w:val="TableText"/>
              <w:tabs>
                <w:tab w:val="decimal" w:pos="458"/>
              </w:tabs>
              <w:jc w:val="center"/>
            </w:pPr>
            <w:r w:rsidRPr="00256982">
              <w:t xml:space="preserve">12.4 </w:t>
            </w:r>
          </w:p>
        </w:tc>
        <w:tc>
          <w:tcPr>
            <w:tcW w:w="1087" w:type="pct"/>
            <w:tcBorders>
              <w:top w:val="single" w:sz="4" w:space="0" w:color="365F91"/>
              <w:bottom w:val="single" w:sz="4" w:space="0" w:color="365F91"/>
            </w:tcBorders>
          </w:tcPr>
          <w:p w14:paraId="1B6ACCA5" w14:textId="77777777" w:rsidR="00380BE7" w:rsidRPr="00256982" w:rsidRDefault="00380BE7" w:rsidP="009574E7">
            <w:pPr>
              <w:pStyle w:val="TableText"/>
              <w:tabs>
                <w:tab w:val="decimal" w:pos="458"/>
              </w:tabs>
              <w:jc w:val="center"/>
            </w:pPr>
            <w:r w:rsidRPr="00256982">
              <w:t xml:space="preserve">13.6 </w:t>
            </w:r>
          </w:p>
        </w:tc>
        <w:tc>
          <w:tcPr>
            <w:tcW w:w="1087" w:type="pct"/>
            <w:tcBorders>
              <w:top w:val="single" w:sz="4" w:space="0" w:color="365F91"/>
              <w:bottom w:val="single" w:sz="4" w:space="0" w:color="365F91"/>
            </w:tcBorders>
          </w:tcPr>
          <w:p w14:paraId="6B39A2BE" w14:textId="77777777" w:rsidR="00380BE7" w:rsidRPr="00256982" w:rsidRDefault="00380BE7" w:rsidP="009574E7">
            <w:pPr>
              <w:pStyle w:val="TableText"/>
              <w:tabs>
                <w:tab w:val="decimal" w:pos="458"/>
              </w:tabs>
              <w:jc w:val="center"/>
            </w:pPr>
            <w:r w:rsidRPr="00256982">
              <w:t xml:space="preserve">1.2 </w:t>
            </w:r>
          </w:p>
        </w:tc>
        <w:tc>
          <w:tcPr>
            <w:tcW w:w="1087" w:type="pct"/>
            <w:tcBorders>
              <w:top w:val="single" w:sz="4" w:space="0" w:color="365F91"/>
              <w:bottom w:val="single" w:sz="4" w:space="0" w:color="365F91"/>
            </w:tcBorders>
          </w:tcPr>
          <w:p w14:paraId="1D2533D5" w14:textId="77777777" w:rsidR="00380BE7" w:rsidRPr="00256982" w:rsidRDefault="00380BE7" w:rsidP="009574E7">
            <w:pPr>
              <w:pStyle w:val="TableText"/>
              <w:tabs>
                <w:tab w:val="decimal" w:pos="458"/>
              </w:tabs>
              <w:jc w:val="center"/>
            </w:pPr>
            <w:r w:rsidRPr="00256982">
              <w:t>+9.9</w:t>
            </w:r>
          </w:p>
        </w:tc>
      </w:tr>
      <w:tr w:rsidR="00380BE7" w:rsidRPr="00256982" w14:paraId="4F06E062" w14:textId="77777777" w:rsidTr="002A68B1">
        <w:tc>
          <w:tcPr>
            <w:tcW w:w="652" w:type="pct"/>
            <w:tcBorders>
              <w:top w:val="single" w:sz="4" w:space="0" w:color="365F91"/>
              <w:bottom w:val="single" w:sz="4" w:space="0" w:color="365F91"/>
            </w:tcBorders>
          </w:tcPr>
          <w:p w14:paraId="039B673B" w14:textId="77777777" w:rsidR="00380BE7" w:rsidRPr="00256982" w:rsidRDefault="00380BE7" w:rsidP="009574E7">
            <w:pPr>
              <w:pStyle w:val="TableText"/>
            </w:pPr>
            <w:r w:rsidRPr="00256982">
              <w:t>2016</w:t>
            </w:r>
          </w:p>
        </w:tc>
        <w:tc>
          <w:tcPr>
            <w:tcW w:w="1087" w:type="pct"/>
            <w:tcBorders>
              <w:top w:val="single" w:sz="4" w:space="0" w:color="365F91"/>
              <w:bottom w:val="single" w:sz="4" w:space="0" w:color="365F91"/>
            </w:tcBorders>
          </w:tcPr>
          <w:p w14:paraId="7BD3E6C5" w14:textId="77777777" w:rsidR="00380BE7" w:rsidRPr="00256982" w:rsidRDefault="00380BE7" w:rsidP="009574E7">
            <w:pPr>
              <w:pStyle w:val="TableText"/>
              <w:tabs>
                <w:tab w:val="decimal" w:pos="458"/>
              </w:tabs>
              <w:jc w:val="center"/>
            </w:pPr>
            <w:r w:rsidRPr="00256982">
              <w:t xml:space="preserve">36.6 </w:t>
            </w:r>
          </w:p>
        </w:tc>
        <w:tc>
          <w:tcPr>
            <w:tcW w:w="1087" w:type="pct"/>
            <w:tcBorders>
              <w:top w:val="single" w:sz="4" w:space="0" w:color="365F91"/>
              <w:bottom w:val="single" w:sz="4" w:space="0" w:color="365F91"/>
            </w:tcBorders>
          </w:tcPr>
          <w:p w14:paraId="0B491772" w14:textId="77777777" w:rsidR="00380BE7" w:rsidRPr="00256982" w:rsidRDefault="00380BE7" w:rsidP="009574E7">
            <w:pPr>
              <w:pStyle w:val="TableText"/>
              <w:tabs>
                <w:tab w:val="decimal" w:pos="458"/>
              </w:tabs>
              <w:jc w:val="center"/>
            </w:pPr>
            <w:r w:rsidRPr="00256982">
              <w:t xml:space="preserve">178.3 </w:t>
            </w:r>
          </w:p>
        </w:tc>
        <w:tc>
          <w:tcPr>
            <w:tcW w:w="1087" w:type="pct"/>
            <w:tcBorders>
              <w:top w:val="single" w:sz="4" w:space="0" w:color="365F91"/>
              <w:bottom w:val="single" w:sz="4" w:space="0" w:color="365F91"/>
            </w:tcBorders>
          </w:tcPr>
          <w:p w14:paraId="0E1517E8" w14:textId="77777777" w:rsidR="00380BE7" w:rsidRPr="00256982" w:rsidRDefault="00380BE7" w:rsidP="009574E7">
            <w:pPr>
              <w:pStyle w:val="TableText"/>
              <w:tabs>
                <w:tab w:val="decimal" w:pos="458"/>
              </w:tabs>
              <w:jc w:val="center"/>
            </w:pPr>
            <w:r w:rsidRPr="00256982">
              <w:t xml:space="preserve">141.8 </w:t>
            </w:r>
          </w:p>
        </w:tc>
        <w:tc>
          <w:tcPr>
            <w:tcW w:w="1087" w:type="pct"/>
            <w:tcBorders>
              <w:top w:val="single" w:sz="4" w:space="0" w:color="365F91"/>
              <w:bottom w:val="single" w:sz="4" w:space="0" w:color="365F91"/>
            </w:tcBorders>
          </w:tcPr>
          <w:p w14:paraId="5A42C831" w14:textId="77777777" w:rsidR="00380BE7" w:rsidRPr="00256982" w:rsidRDefault="00380BE7" w:rsidP="009574E7">
            <w:pPr>
              <w:pStyle w:val="TableText"/>
              <w:tabs>
                <w:tab w:val="decimal" w:pos="458"/>
              </w:tabs>
              <w:jc w:val="center"/>
            </w:pPr>
            <w:r w:rsidRPr="00256982">
              <w:t>+387.9</w:t>
            </w:r>
          </w:p>
        </w:tc>
      </w:tr>
    </w:tbl>
    <w:p w14:paraId="55DAEE9C" w14:textId="77777777" w:rsidR="00380BE7" w:rsidRPr="00256982" w:rsidRDefault="00380BE7" w:rsidP="007C55B9">
      <w:pPr>
        <w:pStyle w:val="Heading3"/>
      </w:pPr>
      <w:r w:rsidRPr="00256982">
        <w:t>6.9.6</w:t>
      </w:r>
      <w:r w:rsidRPr="00256982">
        <w:tab/>
        <w:t>Category-specific planned improvements</w:t>
      </w:r>
    </w:p>
    <w:bookmarkEnd w:id="2116"/>
    <w:bookmarkEnd w:id="2117"/>
    <w:bookmarkEnd w:id="2118"/>
    <w:bookmarkEnd w:id="2119"/>
    <w:bookmarkEnd w:id="2120"/>
    <w:p w14:paraId="4B00BCCC" w14:textId="77777777" w:rsidR="00380BE7" w:rsidRPr="00256982" w:rsidRDefault="00380BE7" w:rsidP="00380BE7">
      <w:pPr>
        <w:pStyle w:val="BodyText"/>
      </w:pPr>
      <w:r w:rsidRPr="00256982">
        <w:t xml:space="preserve">No improvements are planned for the </w:t>
      </w:r>
      <w:r w:rsidRPr="00256982">
        <w:rPr>
          <w:i/>
        </w:rPr>
        <w:t xml:space="preserve">Other land </w:t>
      </w:r>
      <w:r w:rsidRPr="00256982">
        <w:t xml:space="preserve">category for the 2020 submission. </w:t>
      </w:r>
    </w:p>
    <w:p w14:paraId="7657CE0D" w14:textId="77777777" w:rsidR="00380BE7" w:rsidRPr="00256982" w:rsidRDefault="00380BE7" w:rsidP="00380BE7">
      <w:pPr>
        <w:pStyle w:val="Heading2"/>
      </w:pPr>
      <w:bookmarkStart w:id="2121" w:name="_Toc414531323"/>
      <w:bookmarkStart w:id="2122" w:name="_Toc474335465"/>
      <w:bookmarkStart w:id="2123" w:name="_Toc481751405"/>
      <w:bookmarkStart w:id="2124" w:name="_Toc522013957"/>
      <w:bookmarkStart w:id="2125" w:name="_Toc5269382"/>
      <w:r w:rsidRPr="00256982">
        <w:t>6.10</w:t>
      </w:r>
      <w:r w:rsidRPr="00256982">
        <w:tab/>
        <w:t>Harvested wood products (CRF 4G)</w:t>
      </w:r>
      <w:bookmarkEnd w:id="2121"/>
      <w:bookmarkEnd w:id="2122"/>
      <w:bookmarkEnd w:id="2123"/>
      <w:bookmarkEnd w:id="2124"/>
      <w:bookmarkEnd w:id="2125"/>
    </w:p>
    <w:p w14:paraId="2188B0CD" w14:textId="77777777" w:rsidR="00380BE7" w:rsidRPr="00256982" w:rsidRDefault="00380BE7" w:rsidP="007C55B9">
      <w:pPr>
        <w:pStyle w:val="Heading3"/>
        <w:spacing w:before="160"/>
      </w:pPr>
      <w:r w:rsidRPr="00256982">
        <w:t>6.10.1</w:t>
      </w:r>
      <w:r w:rsidRPr="00256982">
        <w:tab/>
        <w:t>Description</w:t>
      </w:r>
    </w:p>
    <w:p w14:paraId="13F3677E" w14:textId="77777777" w:rsidR="00380BE7" w:rsidRPr="00256982" w:rsidRDefault="00380BE7" w:rsidP="00380BE7">
      <w:pPr>
        <w:pStyle w:val="BodyText"/>
      </w:pPr>
      <w:r w:rsidRPr="00256982">
        <w:t xml:space="preserve">In 2017, the net emissions from </w:t>
      </w:r>
      <w:r w:rsidRPr="00256982">
        <w:rPr>
          <w:i/>
        </w:rPr>
        <w:t xml:space="preserve">Harvested wood products </w:t>
      </w:r>
      <w:r w:rsidRPr="00256982">
        <w:t>were –6,518.5 kt CO</w:t>
      </w:r>
      <w:r w:rsidRPr="00256982">
        <w:rPr>
          <w:vertAlign w:val="subscript"/>
        </w:rPr>
        <w:t>2</w:t>
      </w:r>
      <w:r w:rsidRPr="00256982">
        <w:t xml:space="preserve">-e. This is </w:t>
      </w:r>
      <w:r w:rsidRPr="00256982">
        <w:br/>
        <w:t>–4,445.6 kt CO</w:t>
      </w:r>
      <w:r w:rsidRPr="00256982">
        <w:rPr>
          <w:vertAlign w:val="subscript"/>
        </w:rPr>
        <w:t>2</w:t>
      </w:r>
      <w:r w:rsidRPr="00256982">
        <w:noBreakHyphen/>
        <w:t>e (214.5 per cent) lower than the 1990 level of –2,072.9 kt CO</w:t>
      </w:r>
      <w:r w:rsidRPr="00256982">
        <w:rPr>
          <w:vertAlign w:val="subscript"/>
        </w:rPr>
        <w:t>2</w:t>
      </w:r>
      <w:r w:rsidRPr="00256982">
        <w:noBreakHyphen/>
        <w:t xml:space="preserve">e. The decrease in emissions in the </w:t>
      </w:r>
      <w:r w:rsidRPr="00256982">
        <w:rPr>
          <w:i/>
        </w:rPr>
        <w:t xml:space="preserve">Harvested wood products </w:t>
      </w:r>
      <w:r w:rsidRPr="00256982">
        <w:t>category</w:t>
      </w:r>
      <w:r w:rsidRPr="00256982">
        <w:rPr>
          <w:i/>
        </w:rPr>
        <w:t xml:space="preserve"> </w:t>
      </w:r>
      <w:r w:rsidRPr="00256982">
        <w:t xml:space="preserve">is driven by the increased rate of harvest that has occurred since 1990, as shown in figure 6.10.1. </w:t>
      </w:r>
    </w:p>
    <w:p w14:paraId="7BD5F708" w14:textId="77777777" w:rsidR="00380BE7" w:rsidRPr="00256982" w:rsidRDefault="00380BE7" w:rsidP="002A68B1">
      <w:pPr>
        <w:pStyle w:val="Figure"/>
      </w:pPr>
      <w:bookmarkStart w:id="2126" w:name="_Toc405448097"/>
      <w:bookmarkStart w:id="2127" w:name="_Toc414531629"/>
      <w:bookmarkStart w:id="2128" w:name="_Toc474914653"/>
      <w:bookmarkStart w:id="2129" w:name="_Toc481752035"/>
      <w:bookmarkStart w:id="2130" w:name="_Toc522010713"/>
      <w:bookmarkStart w:id="2131" w:name="_Toc5269715"/>
      <w:r w:rsidRPr="00256982">
        <w:t>Figure 6.10.1</w:t>
      </w:r>
      <w:r w:rsidRPr="00256982">
        <w:tab/>
        <w:t>Volume of roundwood produced and exported between 1990 to </w:t>
      </w:r>
      <w:bookmarkEnd w:id="2126"/>
      <w:bookmarkEnd w:id="2127"/>
      <w:bookmarkEnd w:id="2128"/>
      <w:bookmarkEnd w:id="2129"/>
      <w:bookmarkEnd w:id="2130"/>
      <w:r w:rsidRPr="00256982">
        <w:t>2017</w:t>
      </w:r>
      <w:bookmarkEnd w:id="2131"/>
    </w:p>
    <w:p w14:paraId="5A72D8D4" w14:textId="3A1A0A07" w:rsidR="00380BE7" w:rsidRPr="00256982" w:rsidRDefault="00590491" w:rsidP="00380BE7">
      <w:r>
        <w:rPr>
          <w:lang w:eastAsia="en-NZ"/>
        </w:rPr>
        <w:pict w14:anchorId="7722F0BC">
          <v:shape id="Chart 16" o:spid="_x0000_i1147" type="#_x0000_t75" style="width:420.75pt;height:238.5pt;visibility:visible" o:gfxdata="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">
            <v:imagedata r:id="rId212" o:title="" croptop="2784f"/>
            <o:lock v:ext="edit" aspectratio="f"/>
          </v:shape>
        </w:pict>
      </w:r>
    </w:p>
    <w:p w14:paraId="02F51EA7" w14:textId="77777777" w:rsidR="00380BE7" w:rsidRPr="00256982" w:rsidRDefault="00380BE7" w:rsidP="000076CA">
      <w:pPr>
        <w:pStyle w:val="BodyText"/>
        <w:spacing w:before="200" w:after="100"/>
      </w:pPr>
      <w:r w:rsidRPr="00256982">
        <w:t xml:space="preserve">New Zealand has a large planted forest estate that provides the majority of wood products consumed domestically and exported in either product or raw material form. These forests were planted from the 1920s to supplement and eventually replace the harvesting of natural forests. Forest planting from the 1960s provides a resource specifically established to provide products to the export market. New Zealand currently processes under 50 per cent of its annual harvest. The remaining harvest is exported in raw material form. New Zealand is currently the second largest exporter of softwood logs after the Russian Federation (Wakelin, unpublished(f)). New Zealand’s planted forests are dominated by radiata pine, which is used in a wide range of </w:t>
      </w:r>
      <w:r w:rsidRPr="00256982">
        <w:lastRenderedPageBreak/>
        <w:t>applications including timber-frame construction, packaging, plywood, medium density fibreboard (MDF), posts and poles and mechanical and chemical pulping (see CRF table 4.Gs2).</w:t>
      </w:r>
    </w:p>
    <w:p w14:paraId="10A593C9" w14:textId="77777777" w:rsidR="00380BE7" w:rsidRPr="00256982" w:rsidRDefault="00380BE7" w:rsidP="00380BE7">
      <w:pPr>
        <w:pStyle w:val="BodyText"/>
        <w:spacing w:after="100"/>
      </w:pPr>
      <w:r w:rsidRPr="00256982">
        <w:t xml:space="preserve">In 2017, </w:t>
      </w:r>
      <w:r w:rsidRPr="00256982">
        <w:rPr>
          <w:i/>
        </w:rPr>
        <w:t>Harvested wood products</w:t>
      </w:r>
      <w:r w:rsidRPr="00256982">
        <w:t xml:space="preserve"> was a key category (trend and level assessment).</w:t>
      </w:r>
    </w:p>
    <w:p w14:paraId="3B233274" w14:textId="77777777" w:rsidR="00380BE7" w:rsidRPr="00256982" w:rsidRDefault="00380BE7" w:rsidP="00380BE7">
      <w:pPr>
        <w:pStyle w:val="Heading3"/>
        <w:spacing w:before="240"/>
      </w:pPr>
      <w:r w:rsidRPr="00256982">
        <w:t>6.10.2</w:t>
      </w:r>
      <w:r w:rsidRPr="00256982">
        <w:tab/>
        <w:t>Methodological issues</w:t>
      </w:r>
    </w:p>
    <w:p w14:paraId="505371F8" w14:textId="77777777" w:rsidR="00380BE7" w:rsidRPr="00256982" w:rsidRDefault="00380BE7" w:rsidP="000076CA">
      <w:pPr>
        <w:pStyle w:val="BodyText"/>
        <w:spacing w:before="100" w:after="100"/>
      </w:pPr>
      <w:r w:rsidRPr="00256982">
        <w:t xml:space="preserve">New Zealand has selected the production approach to report </w:t>
      </w:r>
      <w:r w:rsidRPr="00256982">
        <w:rPr>
          <w:i/>
        </w:rPr>
        <w:t>Harvested wood products</w:t>
      </w:r>
      <w:r w:rsidRPr="00256982">
        <w:t xml:space="preserve"> in the National Inventory Report. To do this, New Zealand has adapted the default </w:t>
      </w:r>
      <w:r w:rsidRPr="00256982">
        <w:rPr>
          <w:i/>
        </w:rPr>
        <w:t>Harvested wood products</w:t>
      </w:r>
      <w:r w:rsidRPr="00256982">
        <w:t xml:space="preserve"> model and uses a Tier 2 method (section 12.2.1.2, IPCC, 2006a), which involves using country-specific activity data and parameters (Wakelin, unpublished(g)). </w:t>
      </w:r>
    </w:p>
    <w:p w14:paraId="2C480B2A" w14:textId="77777777" w:rsidR="00380BE7" w:rsidRPr="00256982" w:rsidRDefault="00380BE7" w:rsidP="00380BE7">
      <w:pPr>
        <w:pStyle w:val="Heading5"/>
        <w:spacing w:before="200"/>
      </w:pPr>
      <w:r w:rsidRPr="00256982">
        <w:t>Activity data</w:t>
      </w:r>
    </w:p>
    <w:p w14:paraId="62E11C74" w14:textId="77777777" w:rsidR="00380BE7" w:rsidRPr="00256982" w:rsidRDefault="00380BE7" w:rsidP="00380BE7">
      <w:pPr>
        <w:pStyle w:val="BodyText"/>
        <w:spacing w:before="100" w:after="100"/>
      </w:pPr>
      <w:r w:rsidRPr="00256982">
        <w:t xml:space="preserve">Activity data are from the Food and Agriculture Organization statistical database (FAOSTAT) that is provided to the Food and Agriculture Organization by the Ministry for Primary Industries. Errors within the data sourced from FAOSTAT were corrected, including adding missing data and updating data that were not updated from the previous estimates. The data were corrected using data directly from the Ministry for Primary Industries. </w:t>
      </w:r>
    </w:p>
    <w:p w14:paraId="710D71F1" w14:textId="77777777" w:rsidR="00380BE7" w:rsidRPr="00256982" w:rsidRDefault="00380BE7" w:rsidP="00380BE7">
      <w:pPr>
        <w:pStyle w:val="BodyText"/>
        <w:spacing w:before="100" w:after="100"/>
      </w:pPr>
      <w:r w:rsidRPr="00256982">
        <w:t xml:space="preserve">Activity data for the period 1900–60 are populated using the IPCC model method, which assumes that consumption is correlated with population growth. The default value for Oceania for the annual rate of increase for the period 1900–60 was used by New Zealand. This information is used to initialise </w:t>
      </w:r>
      <w:r w:rsidRPr="00256982">
        <w:rPr>
          <w:i/>
        </w:rPr>
        <w:t>Harvested wood products</w:t>
      </w:r>
      <w:r w:rsidRPr="00256982">
        <w:t xml:space="preserve"> stocks as at 1 January 1990. </w:t>
      </w:r>
    </w:p>
    <w:p w14:paraId="2BD928A8" w14:textId="77777777" w:rsidR="00380BE7" w:rsidRPr="00256982" w:rsidRDefault="00380BE7" w:rsidP="00380BE7">
      <w:pPr>
        <w:pStyle w:val="BodyText"/>
        <w:spacing w:before="100" w:after="100"/>
      </w:pPr>
      <w:r w:rsidRPr="00256982">
        <w:t>A large proportion (over 50 per cent) of New Zealand’s harvest was exported as raw materials in the form of logs or wood chips in 2017 (figure 6.10.1) (Ministry for Primary Industries, 2018). The FAOSTAT database provides data on the export quantity of raw materials but provides no information on the conversion of these materials to products or their expected half-lives. Research was completed in 2016 to provide information on harvested wood products from exported logs in New Zealand’s three main export markets (China, South Korea and India). This research provides activity data for the conversion of New Zealand-produced raw materials to harvested wood products in export markets (Ministry for Primary Industries, 2016). These data provide an improvement on the default assumption that exported raw materials were converted into products at the same rate as domestic production.</w:t>
      </w:r>
    </w:p>
    <w:p w14:paraId="44F9837B" w14:textId="77777777" w:rsidR="00380BE7" w:rsidRPr="00256982" w:rsidRDefault="00380BE7" w:rsidP="00380BE7">
      <w:pPr>
        <w:pStyle w:val="Heading5"/>
        <w:spacing w:before="200"/>
      </w:pPr>
      <w:r w:rsidRPr="00256982">
        <w:t>Emission factors</w:t>
      </w:r>
    </w:p>
    <w:p w14:paraId="3335E658" w14:textId="77777777" w:rsidR="00380BE7" w:rsidRPr="00256982" w:rsidRDefault="00380BE7" w:rsidP="00380BE7">
      <w:pPr>
        <w:pStyle w:val="BodyText"/>
        <w:spacing w:before="100" w:after="100"/>
      </w:pPr>
      <w:r w:rsidRPr="00256982">
        <w:t>A wood carbon content value of 50 per cent is used in the harvested wood products model to maintain consistency with the planted forest model (table 4.3, IPCC, 2006a). A country-specific wood density value of 420 kilograms per square metre is used for sawnwood produced from coniferous species (Jones, 2005). This value is used to reflect coniferous species’ contribution to New Zealand roundwood making up around 98 per cent of annual harvest. A country-specific wood density value of 500 kg/m</w:t>
      </w:r>
      <w:r w:rsidRPr="00256982">
        <w:rPr>
          <w:vertAlign w:val="superscript"/>
        </w:rPr>
        <w:t>2</w:t>
      </w:r>
      <w:r w:rsidRPr="00256982">
        <w:t xml:space="preserve"> is used for sawnwood produced from non-coniferous species (Jones, 2005). Non-coniferous species (mainly </w:t>
      </w:r>
      <w:r w:rsidRPr="00256982">
        <w:rPr>
          <w:i/>
        </w:rPr>
        <w:t>Eucalyptus</w:t>
      </w:r>
      <w:r w:rsidRPr="00256982">
        <w:t xml:space="preserve"> species) make up around 2 per cent of annual harvest. The default IPCC bark factor (11 per cent; annex 4A.1, IPCC, 2006a) is used for conifers and is considered appropriate for New Zealand. Wood-based panels and paper products all use IPCC defaults because no country-specific value is available (see table 6.10.1).</w:t>
      </w:r>
    </w:p>
    <w:p w14:paraId="35D27D95" w14:textId="77777777" w:rsidR="00380BE7" w:rsidRPr="00256982" w:rsidRDefault="00380BE7" w:rsidP="00380BE7">
      <w:pPr>
        <w:pStyle w:val="Table"/>
      </w:pPr>
      <w:bookmarkStart w:id="2132" w:name="_Toc410028866"/>
      <w:bookmarkStart w:id="2133" w:name="_Toc414531494"/>
      <w:bookmarkStart w:id="2134" w:name="_Toc443645407"/>
      <w:bookmarkStart w:id="2135" w:name="_Toc474914626"/>
      <w:bookmarkStart w:id="2136" w:name="_Toc481751590"/>
      <w:bookmarkStart w:id="2137" w:name="_Toc522010647"/>
      <w:bookmarkStart w:id="2138" w:name="_Toc5269552"/>
      <w:r w:rsidRPr="00256982">
        <w:t>Table 6.10.1</w:t>
      </w:r>
      <w:r w:rsidRPr="00256982">
        <w:tab/>
        <w:t>Country-specific conversion factors for Harvested wood products produced</w:t>
      </w:r>
      <w:r w:rsidRPr="00256982">
        <w:br/>
        <w:t>from New Zealand</w:t>
      </w:r>
      <w:bookmarkEnd w:id="2132"/>
      <w:bookmarkEnd w:id="2133"/>
      <w:bookmarkEnd w:id="2134"/>
      <w:bookmarkEnd w:id="2135"/>
      <w:bookmarkEnd w:id="2136"/>
      <w:r w:rsidRPr="00256982">
        <w:t xml:space="preserve"> wood</w:t>
      </w:r>
      <w:bookmarkEnd w:id="2137"/>
      <w:bookmarkEnd w:id="2138"/>
    </w:p>
    <w:tbl>
      <w:tblPr>
        <w:tblW w:w="8505" w:type="dxa"/>
        <w:tblInd w:w="108" w:type="dxa"/>
        <w:tblBorders>
          <w:top w:val="single" w:sz="4" w:space="0" w:color="365F91"/>
          <w:bottom w:val="single" w:sz="4" w:space="0" w:color="365F91"/>
          <w:insideH w:val="single" w:sz="4" w:space="0" w:color="365F91"/>
        </w:tblBorders>
        <w:tblLook w:val="04A0" w:firstRow="1" w:lastRow="0" w:firstColumn="1" w:lastColumn="0" w:noHBand="0" w:noVBand="1"/>
      </w:tblPr>
      <w:tblGrid>
        <w:gridCol w:w="3969"/>
        <w:gridCol w:w="1985"/>
        <w:gridCol w:w="2551"/>
      </w:tblGrid>
      <w:tr w:rsidR="00380BE7" w:rsidRPr="00256982" w14:paraId="05D0148D" w14:textId="77777777" w:rsidTr="007C55B9">
        <w:trPr>
          <w:tblHeader/>
        </w:trPr>
        <w:tc>
          <w:tcPr>
            <w:tcW w:w="3969" w:type="dxa"/>
            <w:shd w:val="clear" w:color="auto" w:fill="365F91"/>
            <w:vAlign w:val="bottom"/>
          </w:tcPr>
          <w:p w14:paraId="67289F22" w14:textId="77777777" w:rsidR="00380BE7" w:rsidRPr="00256982" w:rsidRDefault="00380BE7" w:rsidP="009574E7">
            <w:pPr>
              <w:pStyle w:val="TableTextBold"/>
              <w:keepNext/>
              <w:keepLines/>
              <w:spacing w:before="40" w:after="40"/>
              <w:rPr>
                <w:noProof w:val="0"/>
                <w:color w:val="FFFFFF"/>
              </w:rPr>
            </w:pPr>
            <w:r w:rsidRPr="00256982">
              <w:rPr>
                <w:noProof w:val="0"/>
                <w:color w:val="FFFFFF"/>
              </w:rPr>
              <w:t>Category</w:t>
            </w:r>
          </w:p>
        </w:tc>
        <w:tc>
          <w:tcPr>
            <w:tcW w:w="1985" w:type="dxa"/>
            <w:shd w:val="clear" w:color="auto" w:fill="365F91"/>
            <w:vAlign w:val="bottom"/>
          </w:tcPr>
          <w:p w14:paraId="1C6DCBAC" w14:textId="77777777" w:rsidR="00380BE7" w:rsidRPr="00256982" w:rsidRDefault="00380BE7" w:rsidP="009574E7">
            <w:pPr>
              <w:pStyle w:val="TableTextBold"/>
              <w:keepNext/>
              <w:keepLines/>
              <w:spacing w:before="40" w:after="40"/>
              <w:jc w:val="center"/>
              <w:rPr>
                <w:noProof w:val="0"/>
                <w:color w:val="FFFFFF"/>
              </w:rPr>
            </w:pPr>
            <w:r w:rsidRPr="00256982">
              <w:rPr>
                <w:noProof w:val="0"/>
                <w:color w:val="FFFFFF"/>
              </w:rPr>
              <w:t>Factor (t C/m</w:t>
            </w:r>
            <w:r w:rsidRPr="00256982">
              <w:rPr>
                <w:rFonts w:ascii="Arial Bold" w:hAnsi="Arial Bold"/>
                <w:noProof w:val="0"/>
                <w:color w:val="FFFFFF"/>
                <w:vertAlign w:val="superscript"/>
              </w:rPr>
              <w:t>2</w:t>
            </w:r>
            <w:r w:rsidRPr="00256982">
              <w:rPr>
                <w:noProof w:val="0"/>
                <w:color w:val="FFFFFF"/>
              </w:rPr>
              <w:t xml:space="preserve"> or t C/t*)</w:t>
            </w:r>
          </w:p>
        </w:tc>
        <w:tc>
          <w:tcPr>
            <w:tcW w:w="2551" w:type="dxa"/>
            <w:shd w:val="clear" w:color="auto" w:fill="365F91"/>
            <w:vAlign w:val="bottom"/>
          </w:tcPr>
          <w:p w14:paraId="3B2B43AD" w14:textId="77777777" w:rsidR="00380BE7" w:rsidRPr="00256982" w:rsidRDefault="00380BE7" w:rsidP="009574E7">
            <w:pPr>
              <w:pStyle w:val="TableTextBold"/>
              <w:keepNext/>
              <w:keepLines/>
              <w:spacing w:before="40" w:after="40"/>
              <w:rPr>
                <w:noProof w:val="0"/>
                <w:color w:val="FFFFFF"/>
              </w:rPr>
            </w:pPr>
            <w:r w:rsidRPr="00256982">
              <w:rPr>
                <w:noProof w:val="0"/>
                <w:color w:val="FFFFFF"/>
              </w:rPr>
              <w:t>Source</w:t>
            </w:r>
          </w:p>
        </w:tc>
      </w:tr>
      <w:tr w:rsidR="00380BE7" w:rsidRPr="00256982" w14:paraId="0087B85F" w14:textId="77777777" w:rsidTr="009574E7">
        <w:tc>
          <w:tcPr>
            <w:tcW w:w="3969" w:type="dxa"/>
            <w:shd w:val="clear" w:color="auto" w:fill="auto"/>
          </w:tcPr>
          <w:p w14:paraId="1AB10A64" w14:textId="77777777" w:rsidR="00380BE7" w:rsidRPr="00256982" w:rsidRDefault="00380BE7" w:rsidP="009574E7">
            <w:pPr>
              <w:pStyle w:val="TableText"/>
              <w:spacing w:before="40" w:after="40"/>
            </w:pPr>
            <w:r w:rsidRPr="00256982">
              <w:t>Sawnwood, other industrial roundwood (coniferous)</w:t>
            </w:r>
          </w:p>
        </w:tc>
        <w:tc>
          <w:tcPr>
            <w:tcW w:w="1985" w:type="dxa"/>
            <w:shd w:val="clear" w:color="auto" w:fill="auto"/>
          </w:tcPr>
          <w:p w14:paraId="14E85567" w14:textId="77777777" w:rsidR="00380BE7" w:rsidRPr="00256982" w:rsidRDefault="00380BE7" w:rsidP="009574E7">
            <w:pPr>
              <w:pStyle w:val="TableText"/>
              <w:tabs>
                <w:tab w:val="decimal" w:pos="181"/>
              </w:tabs>
              <w:spacing w:before="40" w:after="40"/>
              <w:jc w:val="center"/>
            </w:pPr>
            <w:r w:rsidRPr="00256982">
              <w:t>0.210</w:t>
            </w:r>
          </w:p>
        </w:tc>
        <w:tc>
          <w:tcPr>
            <w:tcW w:w="2551" w:type="dxa"/>
            <w:shd w:val="clear" w:color="auto" w:fill="auto"/>
          </w:tcPr>
          <w:p w14:paraId="3021174D" w14:textId="77777777" w:rsidR="00380BE7" w:rsidRPr="00256982" w:rsidRDefault="00380BE7" w:rsidP="009574E7">
            <w:pPr>
              <w:pStyle w:val="TableText"/>
              <w:spacing w:before="40" w:after="40"/>
            </w:pPr>
            <w:r w:rsidRPr="00256982">
              <w:t>Country specific (Jones, 2005)</w:t>
            </w:r>
          </w:p>
        </w:tc>
      </w:tr>
      <w:tr w:rsidR="00380BE7" w:rsidRPr="00256982" w14:paraId="36A1F8BB" w14:textId="77777777" w:rsidTr="009574E7">
        <w:tc>
          <w:tcPr>
            <w:tcW w:w="3969" w:type="dxa"/>
            <w:shd w:val="clear" w:color="auto" w:fill="auto"/>
          </w:tcPr>
          <w:p w14:paraId="71B8CE5B" w14:textId="77777777" w:rsidR="00380BE7" w:rsidRPr="00256982" w:rsidRDefault="00380BE7" w:rsidP="009574E7">
            <w:pPr>
              <w:pStyle w:val="TableText"/>
              <w:spacing w:before="40" w:after="40"/>
            </w:pPr>
            <w:r w:rsidRPr="00256982">
              <w:t>Sawnwood, other industrial roundwood (non-coniferous)</w:t>
            </w:r>
          </w:p>
        </w:tc>
        <w:tc>
          <w:tcPr>
            <w:tcW w:w="1985" w:type="dxa"/>
            <w:shd w:val="clear" w:color="auto" w:fill="auto"/>
          </w:tcPr>
          <w:p w14:paraId="59D15B97" w14:textId="77777777" w:rsidR="00380BE7" w:rsidRPr="00256982" w:rsidRDefault="00380BE7" w:rsidP="009574E7">
            <w:pPr>
              <w:pStyle w:val="TableText"/>
              <w:tabs>
                <w:tab w:val="decimal" w:pos="181"/>
              </w:tabs>
              <w:spacing w:before="40" w:after="40"/>
              <w:jc w:val="center"/>
            </w:pPr>
            <w:r w:rsidRPr="00256982">
              <w:t>0.250</w:t>
            </w:r>
          </w:p>
        </w:tc>
        <w:tc>
          <w:tcPr>
            <w:tcW w:w="2551" w:type="dxa"/>
            <w:shd w:val="clear" w:color="auto" w:fill="auto"/>
          </w:tcPr>
          <w:p w14:paraId="4FB38FD7" w14:textId="77777777" w:rsidR="00380BE7" w:rsidRPr="00256982" w:rsidRDefault="00380BE7" w:rsidP="009574E7">
            <w:pPr>
              <w:pStyle w:val="TableText"/>
              <w:spacing w:before="40" w:after="40"/>
            </w:pPr>
            <w:r w:rsidRPr="00256982">
              <w:t>Country specific (Jones, 2005)</w:t>
            </w:r>
          </w:p>
        </w:tc>
      </w:tr>
      <w:tr w:rsidR="00380BE7" w:rsidRPr="00256982" w14:paraId="797454DC" w14:textId="77777777" w:rsidTr="009574E7">
        <w:tc>
          <w:tcPr>
            <w:tcW w:w="3969" w:type="dxa"/>
            <w:shd w:val="clear" w:color="auto" w:fill="auto"/>
          </w:tcPr>
          <w:p w14:paraId="7ECFFEAA" w14:textId="77777777" w:rsidR="00380BE7" w:rsidRPr="00256982" w:rsidRDefault="00380BE7" w:rsidP="009574E7">
            <w:pPr>
              <w:pStyle w:val="TableText"/>
              <w:spacing w:before="40" w:after="40"/>
            </w:pPr>
            <w:r w:rsidRPr="00256982">
              <w:t>Veneer sheets</w:t>
            </w:r>
          </w:p>
        </w:tc>
        <w:tc>
          <w:tcPr>
            <w:tcW w:w="1985" w:type="dxa"/>
            <w:shd w:val="clear" w:color="auto" w:fill="auto"/>
          </w:tcPr>
          <w:p w14:paraId="0C69ACB5" w14:textId="77777777" w:rsidR="00380BE7" w:rsidRPr="00256982" w:rsidRDefault="00380BE7" w:rsidP="009574E7">
            <w:pPr>
              <w:pStyle w:val="TableText"/>
              <w:tabs>
                <w:tab w:val="decimal" w:pos="181"/>
              </w:tabs>
              <w:spacing w:before="40" w:after="40"/>
              <w:jc w:val="center"/>
            </w:pPr>
            <w:r w:rsidRPr="00256982">
              <w:t>0.210</w:t>
            </w:r>
          </w:p>
        </w:tc>
        <w:tc>
          <w:tcPr>
            <w:tcW w:w="2551" w:type="dxa"/>
            <w:shd w:val="clear" w:color="auto" w:fill="auto"/>
          </w:tcPr>
          <w:p w14:paraId="4D13536D" w14:textId="77777777" w:rsidR="00380BE7" w:rsidRPr="00256982" w:rsidRDefault="00380BE7" w:rsidP="009574E7">
            <w:pPr>
              <w:pStyle w:val="TableText"/>
              <w:spacing w:before="40" w:after="40"/>
            </w:pPr>
            <w:r w:rsidRPr="00256982">
              <w:t>Country specific (Jones, 2005)</w:t>
            </w:r>
          </w:p>
        </w:tc>
      </w:tr>
      <w:tr w:rsidR="00380BE7" w:rsidRPr="00256982" w14:paraId="002D8F27" w14:textId="77777777" w:rsidTr="009574E7">
        <w:tc>
          <w:tcPr>
            <w:tcW w:w="3969" w:type="dxa"/>
            <w:shd w:val="clear" w:color="auto" w:fill="auto"/>
          </w:tcPr>
          <w:p w14:paraId="7EE87B12" w14:textId="77777777" w:rsidR="00380BE7" w:rsidRPr="00256982" w:rsidRDefault="00380BE7" w:rsidP="009574E7">
            <w:pPr>
              <w:pStyle w:val="TableText"/>
              <w:spacing w:before="40" w:after="40"/>
            </w:pPr>
            <w:r w:rsidRPr="00256982">
              <w:lastRenderedPageBreak/>
              <w:t>Plywood</w:t>
            </w:r>
          </w:p>
        </w:tc>
        <w:tc>
          <w:tcPr>
            <w:tcW w:w="1985" w:type="dxa"/>
            <w:shd w:val="clear" w:color="auto" w:fill="auto"/>
          </w:tcPr>
          <w:p w14:paraId="37C66B2F" w14:textId="77777777" w:rsidR="00380BE7" w:rsidRPr="00256982" w:rsidRDefault="00380BE7" w:rsidP="009574E7">
            <w:pPr>
              <w:pStyle w:val="TableText"/>
              <w:tabs>
                <w:tab w:val="decimal" w:pos="181"/>
              </w:tabs>
              <w:spacing w:before="40" w:after="40"/>
              <w:jc w:val="center"/>
            </w:pPr>
            <w:r w:rsidRPr="00256982">
              <w:t>0.267</w:t>
            </w:r>
          </w:p>
        </w:tc>
        <w:tc>
          <w:tcPr>
            <w:tcW w:w="2551" w:type="dxa"/>
            <w:shd w:val="clear" w:color="auto" w:fill="auto"/>
          </w:tcPr>
          <w:p w14:paraId="520AB779" w14:textId="77777777" w:rsidR="00380BE7" w:rsidRPr="00256982" w:rsidRDefault="00380BE7" w:rsidP="009574E7">
            <w:pPr>
              <w:pStyle w:val="TableText"/>
              <w:spacing w:before="40" w:after="40"/>
            </w:pPr>
            <w:r w:rsidRPr="00256982">
              <w:t>IPCC default (IPCC, 2014)</w:t>
            </w:r>
          </w:p>
        </w:tc>
      </w:tr>
      <w:tr w:rsidR="00380BE7" w:rsidRPr="00256982" w14:paraId="5C17B156" w14:textId="77777777" w:rsidTr="009574E7">
        <w:tc>
          <w:tcPr>
            <w:tcW w:w="3969" w:type="dxa"/>
            <w:shd w:val="clear" w:color="auto" w:fill="auto"/>
          </w:tcPr>
          <w:p w14:paraId="6ED977BF" w14:textId="77777777" w:rsidR="00380BE7" w:rsidRPr="00256982" w:rsidRDefault="00380BE7" w:rsidP="009574E7">
            <w:pPr>
              <w:pStyle w:val="TableText"/>
              <w:spacing w:before="40" w:after="40"/>
            </w:pPr>
            <w:r w:rsidRPr="00256982">
              <w:t>Particle board</w:t>
            </w:r>
          </w:p>
        </w:tc>
        <w:tc>
          <w:tcPr>
            <w:tcW w:w="1985" w:type="dxa"/>
            <w:shd w:val="clear" w:color="auto" w:fill="auto"/>
          </w:tcPr>
          <w:p w14:paraId="27D3DD84" w14:textId="77777777" w:rsidR="00380BE7" w:rsidRPr="00256982" w:rsidRDefault="00380BE7" w:rsidP="009574E7">
            <w:pPr>
              <w:pStyle w:val="TableText"/>
              <w:tabs>
                <w:tab w:val="decimal" w:pos="181"/>
              </w:tabs>
              <w:spacing w:before="40" w:after="40"/>
              <w:jc w:val="center"/>
            </w:pPr>
            <w:r w:rsidRPr="00256982">
              <w:t>0.269</w:t>
            </w:r>
          </w:p>
        </w:tc>
        <w:tc>
          <w:tcPr>
            <w:tcW w:w="2551" w:type="dxa"/>
            <w:shd w:val="clear" w:color="auto" w:fill="auto"/>
          </w:tcPr>
          <w:p w14:paraId="05E5CDE0" w14:textId="77777777" w:rsidR="00380BE7" w:rsidRPr="00256982" w:rsidRDefault="00380BE7" w:rsidP="009574E7">
            <w:pPr>
              <w:pStyle w:val="TableText"/>
              <w:spacing w:before="40" w:after="40"/>
            </w:pPr>
            <w:r w:rsidRPr="00256982">
              <w:t>IPCC default (IPCC, 2014)</w:t>
            </w:r>
          </w:p>
        </w:tc>
      </w:tr>
      <w:tr w:rsidR="00380BE7" w:rsidRPr="00256982" w14:paraId="226C850E" w14:textId="77777777" w:rsidTr="009574E7">
        <w:tc>
          <w:tcPr>
            <w:tcW w:w="3969" w:type="dxa"/>
            <w:shd w:val="clear" w:color="auto" w:fill="auto"/>
          </w:tcPr>
          <w:p w14:paraId="13FB1B78" w14:textId="77777777" w:rsidR="00380BE7" w:rsidRPr="00256982" w:rsidRDefault="00380BE7" w:rsidP="009574E7">
            <w:pPr>
              <w:pStyle w:val="TableText"/>
              <w:spacing w:before="40" w:after="40"/>
            </w:pPr>
            <w:r w:rsidRPr="00256982">
              <w:t>Fibreboard (compressed)</w:t>
            </w:r>
          </w:p>
        </w:tc>
        <w:tc>
          <w:tcPr>
            <w:tcW w:w="1985" w:type="dxa"/>
            <w:shd w:val="clear" w:color="auto" w:fill="auto"/>
          </w:tcPr>
          <w:p w14:paraId="23597B4D" w14:textId="77777777" w:rsidR="00380BE7" w:rsidRPr="00256982" w:rsidRDefault="00380BE7" w:rsidP="009574E7">
            <w:pPr>
              <w:pStyle w:val="TableText"/>
              <w:tabs>
                <w:tab w:val="decimal" w:pos="181"/>
              </w:tabs>
              <w:spacing w:before="40" w:after="40"/>
              <w:jc w:val="center"/>
            </w:pPr>
            <w:r w:rsidRPr="00256982">
              <w:t>0.315</w:t>
            </w:r>
          </w:p>
        </w:tc>
        <w:tc>
          <w:tcPr>
            <w:tcW w:w="2551" w:type="dxa"/>
            <w:shd w:val="clear" w:color="auto" w:fill="auto"/>
          </w:tcPr>
          <w:p w14:paraId="3ADBEEFF" w14:textId="77777777" w:rsidR="00380BE7" w:rsidRPr="00256982" w:rsidRDefault="00380BE7" w:rsidP="009574E7">
            <w:pPr>
              <w:pStyle w:val="TableText"/>
              <w:spacing w:before="40" w:after="40"/>
            </w:pPr>
            <w:r w:rsidRPr="00256982">
              <w:t>IPCC default (IPCC, 2014)</w:t>
            </w:r>
          </w:p>
        </w:tc>
      </w:tr>
      <w:tr w:rsidR="00380BE7" w:rsidRPr="00256982" w14:paraId="63593249" w14:textId="77777777" w:rsidTr="009574E7">
        <w:tc>
          <w:tcPr>
            <w:tcW w:w="3969" w:type="dxa"/>
            <w:shd w:val="clear" w:color="auto" w:fill="auto"/>
          </w:tcPr>
          <w:p w14:paraId="38392A73" w14:textId="77777777" w:rsidR="00380BE7" w:rsidRPr="00256982" w:rsidRDefault="00380BE7" w:rsidP="009574E7">
            <w:pPr>
              <w:pStyle w:val="TableText"/>
              <w:spacing w:before="40" w:after="40"/>
            </w:pPr>
            <w:r w:rsidRPr="00256982">
              <w:t>Insulating board/other fibreboard</w:t>
            </w:r>
          </w:p>
        </w:tc>
        <w:tc>
          <w:tcPr>
            <w:tcW w:w="1985" w:type="dxa"/>
            <w:shd w:val="clear" w:color="auto" w:fill="auto"/>
          </w:tcPr>
          <w:p w14:paraId="041E58BF" w14:textId="77777777" w:rsidR="00380BE7" w:rsidRPr="00256982" w:rsidRDefault="00380BE7" w:rsidP="009574E7">
            <w:pPr>
              <w:pStyle w:val="TableText"/>
              <w:tabs>
                <w:tab w:val="decimal" w:pos="181"/>
              </w:tabs>
              <w:spacing w:before="40" w:after="40"/>
              <w:jc w:val="center"/>
            </w:pPr>
            <w:r w:rsidRPr="00256982">
              <w:t>0.075</w:t>
            </w:r>
          </w:p>
        </w:tc>
        <w:tc>
          <w:tcPr>
            <w:tcW w:w="2551" w:type="dxa"/>
            <w:shd w:val="clear" w:color="auto" w:fill="auto"/>
          </w:tcPr>
          <w:p w14:paraId="1B3F3822" w14:textId="77777777" w:rsidR="00380BE7" w:rsidRPr="00256982" w:rsidRDefault="00380BE7" w:rsidP="009574E7">
            <w:pPr>
              <w:pStyle w:val="TableText"/>
              <w:spacing w:before="40" w:after="40"/>
            </w:pPr>
            <w:r w:rsidRPr="00256982">
              <w:t>IPCC default (IPCC, 2014)</w:t>
            </w:r>
          </w:p>
        </w:tc>
      </w:tr>
      <w:tr w:rsidR="00380BE7" w:rsidRPr="00256982" w14:paraId="5D4CF8BB" w14:textId="77777777" w:rsidTr="009574E7">
        <w:tc>
          <w:tcPr>
            <w:tcW w:w="3969" w:type="dxa"/>
            <w:shd w:val="clear" w:color="auto" w:fill="auto"/>
          </w:tcPr>
          <w:p w14:paraId="6FEB14BA" w14:textId="77777777" w:rsidR="00380BE7" w:rsidRPr="00256982" w:rsidRDefault="00380BE7" w:rsidP="009574E7">
            <w:pPr>
              <w:pStyle w:val="TableText"/>
              <w:spacing w:before="40" w:after="40"/>
            </w:pPr>
            <w:r w:rsidRPr="00256982">
              <w:t>Paper products</w:t>
            </w:r>
          </w:p>
        </w:tc>
        <w:tc>
          <w:tcPr>
            <w:tcW w:w="1985" w:type="dxa"/>
            <w:shd w:val="clear" w:color="auto" w:fill="auto"/>
          </w:tcPr>
          <w:p w14:paraId="2887073A" w14:textId="77777777" w:rsidR="00380BE7" w:rsidRPr="00256982" w:rsidRDefault="00380BE7" w:rsidP="009574E7">
            <w:pPr>
              <w:pStyle w:val="TableText"/>
              <w:tabs>
                <w:tab w:val="decimal" w:pos="181"/>
              </w:tabs>
              <w:spacing w:before="40" w:after="40"/>
              <w:ind w:right="-57"/>
              <w:jc w:val="center"/>
            </w:pPr>
            <w:r w:rsidRPr="00256982">
              <w:t>0.450*</w:t>
            </w:r>
          </w:p>
        </w:tc>
        <w:tc>
          <w:tcPr>
            <w:tcW w:w="2551" w:type="dxa"/>
            <w:shd w:val="clear" w:color="auto" w:fill="auto"/>
          </w:tcPr>
          <w:p w14:paraId="5F2D0606" w14:textId="77777777" w:rsidR="00380BE7" w:rsidRPr="00256982" w:rsidRDefault="00380BE7" w:rsidP="009574E7">
            <w:pPr>
              <w:pStyle w:val="TableText"/>
              <w:spacing w:before="40" w:after="40"/>
            </w:pPr>
            <w:r w:rsidRPr="00256982">
              <w:t>IPCC default (IPCC, 2014)</w:t>
            </w:r>
          </w:p>
        </w:tc>
      </w:tr>
    </w:tbl>
    <w:p w14:paraId="6CEF14FE" w14:textId="77777777" w:rsidR="00380BE7" w:rsidRPr="00256982" w:rsidRDefault="00380BE7" w:rsidP="00380BE7">
      <w:pPr>
        <w:pStyle w:val="Noteundertable"/>
      </w:pPr>
      <w:r w:rsidRPr="00256982">
        <w:rPr>
          <w:b/>
        </w:rPr>
        <w:t>Note:</w:t>
      </w:r>
      <w:r w:rsidRPr="00256982">
        <w:tab/>
        <w:t>* Indicates where factors are given in tonnes of carbon per tonne of product.</w:t>
      </w:r>
    </w:p>
    <w:p w14:paraId="2B05462B" w14:textId="77777777" w:rsidR="00380BE7" w:rsidRPr="00256982" w:rsidRDefault="00380BE7" w:rsidP="000076CA">
      <w:pPr>
        <w:pStyle w:val="Heading5"/>
        <w:spacing w:before="120"/>
      </w:pPr>
      <w:r w:rsidRPr="00256982">
        <w:t xml:space="preserve">Half-lives </w:t>
      </w:r>
    </w:p>
    <w:p w14:paraId="046196B3" w14:textId="77777777" w:rsidR="00380BE7" w:rsidRPr="00256982" w:rsidRDefault="00380BE7" w:rsidP="00380BE7">
      <w:pPr>
        <w:pStyle w:val="BodyText"/>
      </w:pPr>
      <w:r w:rsidRPr="00256982">
        <w:t xml:space="preserve">Half-lives determine the discard rate of products from service in the </w:t>
      </w:r>
      <w:r w:rsidRPr="00256982">
        <w:rPr>
          <w:i/>
        </w:rPr>
        <w:t xml:space="preserve">Harvested wood products </w:t>
      </w:r>
      <w:r w:rsidRPr="00256982">
        <w:t>category. New Zealand uses half-lives of 35 years for </w:t>
      </w:r>
      <w:r w:rsidRPr="00256982">
        <w:rPr>
          <w:i/>
        </w:rPr>
        <w:t>Sawnwood</w:t>
      </w:r>
      <w:r w:rsidRPr="00256982">
        <w:t>,</w:t>
      </w:r>
      <w:r w:rsidRPr="00256982">
        <w:rPr>
          <w:i/>
        </w:rPr>
        <w:t xml:space="preserve"> </w:t>
      </w:r>
      <w:r w:rsidRPr="00256982">
        <w:t>25 years for</w:t>
      </w:r>
      <w:r w:rsidRPr="00256982">
        <w:rPr>
          <w:i/>
        </w:rPr>
        <w:t xml:space="preserve"> Panels</w:t>
      </w:r>
      <w:r w:rsidRPr="00256982" w:rsidDel="00C32CA0">
        <w:rPr>
          <w:i/>
        </w:rPr>
        <w:t xml:space="preserve"> </w:t>
      </w:r>
      <w:r w:rsidRPr="00256982">
        <w:t xml:space="preserve">and two years for </w:t>
      </w:r>
      <w:r w:rsidRPr="00256982">
        <w:rPr>
          <w:i/>
        </w:rPr>
        <w:t>Paper and paperboard</w:t>
      </w:r>
      <w:r w:rsidRPr="00256982">
        <w:t xml:space="preserve"> from the Kyoto Protocol Supplement (IPCC, 2014) for domestic production. These half-lives are used to align with the method used in KP-LULUCF and to increase the accuracy of the estimates over the default categories (</w:t>
      </w:r>
      <w:r w:rsidRPr="00256982">
        <w:rPr>
          <w:i/>
        </w:rPr>
        <w:t xml:space="preserve">Solid wood </w:t>
      </w:r>
      <w:r w:rsidRPr="00256982">
        <w:t>and</w:t>
      </w:r>
      <w:r w:rsidRPr="00256982">
        <w:rPr>
          <w:i/>
        </w:rPr>
        <w:t xml:space="preserve"> Paper and paperboard</w:t>
      </w:r>
      <w:r w:rsidRPr="00256982">
        <w:t>)</w:t>
      </w:r>
      <w:r w:rsidRPr="00256982">
        <w:rPr>
          <w:i/>
        </w:rPr>
        <w:t xml:space="preserve"> </w:t>
      </w:r>
      <w:r w:rsidRPr="00256982">
        <w:t>(table 12.2, IPCC, 2006a).</w:t>
      </w:r>
    </w:p>
    <w:p w14:paraId="2EDEF18C" w14:textId="77777777" w:rsidR="00380BE7" w:rsidRPr="00256982" w:rsidRDefault="00380BE7" w:rsidP="00380BE7">
      <w:pPr>
        <w:pStyle w:val="BodyText"/>
        <w:rPr>
          <w:spacing w:val="-2"/>
        </w:rPr>
      </w:pPr>
      <w:r w:rsidRPr="00256982">
        <w:rPr>
          <w:spacing w:val="-2"/>
        </w:rPr>
        <w:t xml:space="preserve">Research completed in 2016 provided information on harvested wood products from exported logs in New Zealand’s three main export markets (China, South Korea and India). The study found that the majority of New Zealand wood is converted into construction and packaging materials. Weighted half-lives were found to be 6.6, 18 and 2.5 years for China, South Korea and India respectively (Ministry for Primary Industries, 2016). The weighted half-lives for China and India are significantly lower than the IPCC default half-lives for </w:t>
      </w:r>
      <w:r w:rsidRPr="00256982">
        <w:rPr>
          <w:i/>
          <w:spacing w:val="-2"/>
        </w:rPr>
        <w:t>Sawnwood</w:t>
      </w:r>
      <w:r w:rsidRPr="00256982">
        <w:rPr>
          <w:spacing w:val="-2"/>
        </w:rPr>
        <w:t xml:space="preserve"> and </w:t>
      </w:r>
      <w:r w:rsidRPr="00256982">
        <w:rPr>
          <w:i/>
          <w:spacing w:val="-2"/>
        </w:rPr>
        <w:t>Panels</w:t>
      </w:r>
      <w:r w:rsidRPr="00256982">
        <w:rPr>
          <w:spacing w:val="-2"/>
        </w:rPr>
        <w:t xml:space="preserve"> (35 and 25 years respectively) (IPCC, 2014). These findings are included in New Zealand’s </w:t>
      </w:r>
      <w:r w:rsidRPr="00256982">
        <w:rPr>
          <w:i/>
          <w:spacing w:val="-2"/>
        </w:rPr>
        <w:t>Harvested wood products</w:t>
      </w:r>
      <w:r w:rsidRPr="00256982">
        <w:rPr>
          <w:spacing w:val="-2"/>
        </w:rPr>
        <w:t xml:space="preserve"> estimates and provide an improvement on the default assumption where exported raw materials were discarded at the same rate as domestic production.</w:t>
      </w:r>
    </w:p>
    <w:p w14:paraId="39E55B41" w14:textId="77777777" w:rsidR="00380BE7" w:rsidRPr="00256982" w:rsidRDefault="00380BE7" w:rsidP="00380BE7">
      <w:pPr>
        <w:pStyle w:val="Heading3"/>
      </w:pPr>
      <w:r w:rsidRPr="00256982">
        <w:t>6.10.3</w:t>
      </w:r>
      <w:r w:rsidRPr="00256982">
        <w:tab/>
        <w:t>Uncertainties and time-series consistency</w:t>
      </w:r>
    </w:p>
    <w:p w14:paraId="2EEAACD3" w14:textId="77777777" w:rsidR="00380BE7" w:rsidRPr="00256982" w:rsidRDefault="00380BE7" w:rsidP="00380BE7">
      <w:pPr>
        <w:pStyle w:val="BodyText"/>
      </w:pPr>
      <w:r w:rsidRPr="00256982">
        <w:t xml:space="preserve">Uncertainty in the </w:t>
      </w:r>
      <w:r w:rsidRPr="00256982">
        <w:rPr>
          <w:i/>
        </w:rPr>
        <w:t>Harvested wood products</w:t>
      </w:r>
      <w:r w:rsidRPr="00256982">
        <w:t xml:space="preserve"> estimates is introduced by activity data, conversion factors and decay parameters. The </w:t>
      </w:r>
      <w:r w:rsidRPr="00256982">
        <w:rPr>
          <w:i/>
        </w:rPr>
        <w:t>Harvested wood products</w:t>
      </w:r>
      <w:r w:rsidRPr="00256982">
        <w:t xml:space="preserve"> category provides the third-greatest contribution to uncertainty in the LULUCF sector. This is driven by large removals in this pool and high uncertainty associated with the end-use and discard rates of New Zealand wood. Uncertainty limits for </w:t>
      </w:r>
      <w:r w:rsidRPr="00256982">
        <w:rPr>
          <w:i/>
        </w:rPr>
        <w:t>Harvested wood products</w:t>
      </w:r>
      <w:r w:rsidRPr="00256982">
        <w:t xml:space="preserve"> data and parameters are given in table 6.10.2. Uncertainty in New Zealand’s 2017 estimates from emissions associated with </w:t>
      </w:r>
      <w:r w:rsidRPr="00256982">
        <w:rPr>
          <w:i/>
        </w:rPr>
        <w:t>Harvested wood products</w:t>
      </w:r>
      <w:r w:rsidRPr="00256982">
        <w:t xml:space="preserve"> is provided in table 6.10.3.</w:t>
      </w:r>
    </w:p>
    <w:p w14:paraId="7BF4D6D1" w14:textId="77777777" w:rsidR="00380BE7" w:rsidRPr="00256982" w:rsidRDefault="00380BE7" w:rsidP="00380BE7">
      <w:pPr>
        <w:pStyle w:val="Table"/>
      </w:pPr>
      <w:bookmarkStart w:id="2139" w:name="_Toc410028867"/>
      <w:bookmarkStart w:id="2140" w:name="_Toc414531495"/>
      <w:bookmarkStart w:id="2141" w:name="_Toc443645408"/>
      <w:bookmarkStart w:id="2142" w:name="_Toc474914627"/>
      <w:bookmarkStart w:id="2143" w:name="_Toc481751591"/>
      <w:bookmarkStart w:id="2144" w:name="_Toc522010648"/>
      <w:bookmarkStart w:id="2145" w:name="_Toc5269553"/>
      <w:r w:rsidRPr="00256982">
        <w:t>Table 6.10.2</w:t>
      </w:r>
      <w:r w:rsidRPr="00256982">
        <w:tab/>
        <w:t>Uncertainty in Harvested wood products data and parameters</w:t>
      </w:r>
      <w:bookmarkEnd w:id="2139"/>
      <w:bookmarkEnd w:id="2140"/>
      <w:bookmarkEnd w:id="2141"/>
      <w:bookmarkEnd w:id="2142"/>
      <w:bookmarkEnd w:id="2143"/>
      <w:bookmarkEnd w:id="2144"/>
      <w:bookmarkEnd w:id="2145"/>
    </w:p>
    <w:tbl>
      <w:tblPr>
        <w:tblW w:w="8505" w:type="dxa"/>
        <w:tblInd w:w="108" w:type="dxa"/>
        <w:tblLayout w:type="fixed"/>
        <w:tblLook w:val="04A0" w:firstRow="1" w:lastRow="0" w:firstColumn="1" w:lastColumn="0" w:noHBand="0" w:noVBand="1"/>
      </w:tblPr>
      <w:tblGrid>
        <w:gridCol w:w="3261"/>
        <w:gridCol w:w="1842"/>
        <w:gridCol w:w="3402"/>
      </w:tblGrid>
      <w:tr w:rsidR="00380BE7" w:rsidRPr="00256982" w14:paraId="1C312919" w14:textId="77777777" w:rsidTr="009574E7">
        <w:tc>
          <w:tcPr>
            <w:tcW w:w="3261" w:type="dxa"/>
            <w:tcBorders>
              <w:top w:val="single" w:sz="4" w:space="0" w:color="365F91"/>
              <w:bottom w:val="single" w:sz="4" w:space="0" w:color="365F91"/>
            </w:tcBorders>
            <w:shd w:val="clear" w:color="auto" w:fill="365F91"/>
            <w:vAlign w:val="bottom"/>
          </w:tcPr>
          <w:p w14:paraId="7AE20AA8" w14:textId="77777777" w:rsidR="00380BE7" w:rsidRPr="00256982" w:rsidRDefault="00380BE7" w:rsidP="009574E7">
            <w:pPr>
              <w:pStyle w:val="TableTextBold"/>
              <w:keepNext/>
              <w:rPr>
                <w:noProof w:val="0"/>
                <w:color w:val="FFFFFF"/>
              </w:rPr>
            </w:pPr>
            <w:r w:rsidRPr="00256982">
              <w:rPr>
                <w:noProof w:val="0"/>
                <w:color w:val="FFFFFF"/>
              </w:rPr>
              <w:t>Parameter</w:t>
            </w:r>
          </w:p>
        </w:tc>
        <w:tc>
          <w:tcPr>
            <w:tcW w:w="1842" w:type="dxa"/>
            <w:tcBorders>
              <w:top w:val="single" w:sz="4" w:space="0" w:color="365F91"/>
              <w:bottom w:val="single" w:sz="4" w:space="0" w:color="365F91"/>
            </w:tcBorders>
            <w:shd w:val="clear" w:color="auto" w:fill="365F91"/>
            <w:vAlign w:val="bottom"/>
          </w:tcPr>
          <w:p w14:paraId="4CBFBD40" w14:textId="77777777" w:rsidR="00380BE7" w:rsidRPr="00256982" w:rsidRDefault="00380BE7" w:rsidP="009574E7">
            <w:pPr>
              <w:pStyle w:val="TableTextBold"/>
              <w:keepNext/>
              <w:jc w:val="center"/>
              <w:rPr>
                <w:noProof w:val="0"/>
                <w:color w:val="FFFFFF"/>
              </w:rPr>
            </w:pPr>
            <w:r w:rsidRPr="00256982">
              <w:rPr>
                <w:noProof w:val="0"/>
                <w:color w:val="FFFFFF"/>
              </w:rPr>
              <w:t>Per cent uncertainty</w:t>
            </w:r>
          </w:p>
        </w:tc>
        <w:tc>
          <w:tcPr>
            <w:tcW w:w="3402" w:type="dxa"/>
            <w:tcBorders>
              <w:top w:val="single" w:sz="4" w:space="0" w:color="365F91"/>
              <w:bottom w:val="single" w:sz="4" w:space="0" w:color="365F91"/>
            </w:tcBorders>
            <w:shd w:val="clear" w:color="auto" w:fill="365F91"/>
            <w:vAlign w:val="bottom"/>
          </w:tcPr>
          <w:p w14:paraId="72CC2194" w14:textId="77777777" w:rsidR="00380BE7" w:rsidRPr="00256982" w:rsidRDefault="00380BE7" w:rsidP="009574E7">
            <w:pPr>
              <w:pStyle w:val="TableTextBold"/>
              <w:keepNext/>
              <w:rPr>
                <w:noProof w:val="0"/>
                <w:color w:val="FFFFFF"/>
              </w:rPr>
            </w:pPr>
            <w:r w:rsidRPr="00256982">
              <w:rPr>
                <w:noProof w:val="0"/>
                <w:color w:val="FFFFFF"/>
              </w:rPr>
              <w:t>Origin</w:t>
            </w:r>
          </w:p>
        </w:tc>
      </w:tr>
      <w:tr w:rsidR="00380BE7" w:rsidRPr="00256982" w14:paraId="68A5C358" w14:textId="77777777" w:rsidTr="009574E7">
        <w:tc>
          <w:tcPr>
            <w:tcW w:w="3261" w:type="dxa"/>
            <w:tcBorders>
              <w:top w:val="single" w:sz="4" w:space="0" w:color="365F91"/>
              <w:bottom w:val="single" w:sz="4" w:space="0" w:color="365F91"/>
            </w:tcBorders>
          </w:tcPr>
          <w:p w14:paraId="25026127" w14:textId="77777777" w:rsidR="00380BE7" w:rsidRPr="00256982" w:rsidRDefault="00380BE7" w:rsidP="009574E7">
            <w:pPr>
              <w:pStyle w:val="TableText"/>
              <w:keepNext/>
              <w:spacing w:before="40" w:after="40"/>
            </w:pPr>
            <w:r w:rsidRPr="00256982">
              <w:t>Roundwood removals data</w:t>
            </w:r>
          </w:p>
        </w:tc>
        <w:tc>
          <w:tcPr>
            <w:tcW w:w="1842" w:type="dxa"/>
            <w:tcBorders>
              <w:top w:val="single" w:sz="4" w:space="0" w:color="365F91"/>
              <w:bottom w:val="single" w:sz="4" w:space="0" w:color="365F91"/>
            </w:tcBorders>
          </w:tcPr>
          <w:p w14:paraId="6755CA11" w14:textId="77777777" w:rsidR="00380BE7" w:rsidRPr="00256982" w:rsidRDefault="00380BE7" w:rsidP="009574E7">
            <w:pPr>
              <w:pStyle w:val="TableText"/>
              <w:keepNext/>
              <w:spacing w:before="40" w:after="40"/>
              <w:jc w:val="center"/>
            </w:pPr>
            <w:r w:rsidRPr="00256982">
              <w:t>±20</w:t>
            </w:r>
          </w:p>
        </w:tc>
        <w:tc>
          <w:tcPr>
            <w:tcW w:w="3402" w:type="dxa"/>
            <w:tcBorders>
              <w:top w:val="single" w:sz="4" w:space="0" w:color="365F91"/>
              <w:bottom w:val="single" w:sz="4" w:space="0" w:color="365F91"/>
            </w:tcBorders>
          </w:tcPr>
          <w:p w14:paraId="6135D128" w14:textId="77777777" w:rsidR="00380BE7" w:rsidRPr="00256982" w:rsidRDefault="00380BE7" w:rsidP="009574E7">
            <w:pPr>
              <w:pStyle w:val="TableText"/>
              <w:keepNext/>
              <w:spacing w:before="40" w:after="40"/>
            </w:pPr>
            <w:r w:rsidRPr="00256982">
              <w:t>Country specific (Wakelin, unpublished(g))</w:t>
            </w:r>
          </w:p>
        </w:tc>
      </w:tr>
      <w:tr w:rsidR="00380BE7" w:rsidRPr="00256982" w14:paraId="527CF34B" w14:textId="77777777" w:rsidTr="009574E7">
        <w:tc>
          <w:tcPr>
            <w:tcW w:w="3261" w:type="dxa"/>
            <w:tcBorders>
              <w:top w:val="single" w:sz="4" w:space="0" w:color="365F91"/>
              <w:bottom w:val="single" w:sz="4" w:space="0" w:color="365F91"/>
            </w:tcBorders>
          </w:tcPr>
          <w:p w14:paraId="3A4402AD" w14:textId="77777777" w:rsidR="00380BE7" w:rsidRPr="00256982" w:rsidRDefault="00380BE7" w:rsidP="009574E7">
            <w:pPr>
              <w:pStyle w:val="TableText"/>
              <w:keepNext/>
              <w:spacing w:before="40" w:after="40"/>
            </w:pPr>
            <w:r w:rsidRPr="00256982">
              <w:t>Harvested wood products production, import and export data</w:t>
            </w:r>
          </w:p>
        </w:tc>
        <w:tc>
          <w:tcPr>
            <w:tcW w:w="1842" w:type="dxa"/>
            <w:tcBorders>
              <w:top w:val="single" w:sz="4" w:space="0" w:color="365F91"/>
              <w:bottom w:val="single" w:sz="4" w:space="0" w:color="365F91"/>
            </w:tcBorders>
          </w:tcPr>
          <w:p w14:paraId="5E277C6A" w14:textId="77777777" w:rsidR="00380BE7" w:rsidRPr="00256982" w:rsidRDefault="00380BE7" w:rsidP="009574E7">
            <w:pPr>
              <w:pStyle w:val="TableText"/>
              <w:keepNext/>
              <w:spacing w:before="40" w:after="40"/>
              <w:jc w:val="center"/>
            </w:pPr>
            <w:r w:rsidRPr="00256982">
              <w:t>±15</w:t>
            </w:r>
          </w:p>
        </w:tc>
        <w:tc>
          <w:tcPr>
            <w:tcW w:w="3402" w:type="dxa"/>
            <w:tcBorders>
              <w:top w:val="single" w:sz="4" w:space="0" w:color="365F91"/>
              <w:bottom w:val="single" w:sz="4" w:space="0" w:color="365F91"/>
            </w:tcBorders>
          </w:tcPr>
          <w:p w14:paraId="2BDCD8FC" w14:textId="77777777" w:rsidR="00380BE7" w:rsidRPr="00256982" w:rsidRDefault="00380BE7" w:rsidP="009574E7">
            <w:pPr>
              <w:pStyle w:val="TableText"/>
              <w:keepNext/>
              <w:spacing w:before="40" w:after="40"/>
            </w:pPr>
            <w:r w:rsidRPr="00256982">
              <w:t>IPCC default (table 12.6, IPCC, 2006a)</w:t>
            </w:r>
          </w:p>
        </w:tc>
      </w:tr>
      <w:tr w:rsidR="00380BE7" w:rsidRPr="00256982" w14:paraId="2A0ED0A1" w14:textId="77777777" w:rsidTr="009574E7">
        <w:tc>
          <w:tcPr>
            <w:tcW w:w="3261" w:type="dxa"/>
            <w:tcBorders>
              <w:top w:val="single" w:sz="4" w:space="0" w:color="365F91"/>
              <w:bottom w:val="single" w:sz="4" w:space="0" w:color="365F91"/>
            </w:tcBorders>
          </w:tcPr>
          <w:p w14:paraId="1E8E637B" w14:textId="77777777" w:rsidR="00380BE7" w:rsidRPr="00256982" w:rsidRDefault="00380BE7" w:rsidP="009574E7">
            <w:pPr>
              <w:pStyle w:val="TableText"/>
              <w:spacing w:before="40" w:after="40"/>
            </w:pPr>
            <w:r w:rsidRPr="00256982">
              <w:t>Product volume to weight factors</w:t>
            </w:r>
          </w:p>
        </w:tc>
        <w:tc>
          <w:tcPr>
            <w:tcW w:w="1842" w:type="dxa"/>
            <w:tcBorders>
              <w:top w:val="single" w:sz="4" w:space="0" w:color="365F91"/>
              <w:bottom w:val="single" w:sz="4" w:space="0" w:color="365F91"/>
            </w:tcBorders>
          </w:tcPr>
          <w:p w14:paraId="578B3A5A" w14:textId="77777777" w:rsidR="00380BE7" w:rsidRPr="00256982" w:rsidRDefault="00380BE7" w:rsidP="009574E7">
            <w:pPr>
              <w:pStyle w:val="TableText"/>
              <w:spacing w:before="40" w:after="40"/>
              <w:jc w:val="center"/>
            </w:pPr>
            <w:r w:rsidRPr="00256982">
              <w:rPr>
                <w:rFonts w:cs="Arial"/>
              </w:rPr>
              <w:t>±</w:t>
            </w:r>
            <w:r w:rsidRPr="00256982">
              <w:t>10</w:t>
            </w:r>
          </w:p>
        </w:tc>
        <w:tc>
          <w:tcPr>
            <w:tcW w:w="3402" w:type="dxa"/>
            <w:tcBorders>
              <w:top w:val="single" w:sz="4" w:space="0" w:color="365F91"/>
              <w:bottom w:val="single" w:sz="4" w:space="0" w:color="365F91"/>
            </w:tcBorders>
          </w:tcPr>
          <w:p w14:paraId="134A7247" w14:textId="77777777" w:rsidR="00380BE7" w:rsidRPr="00256982" w:rsidRDefault="00380BE7" w:rsidP="009574E7">
            <w:pPr>
              <w:pStyle w:val="TableText"/>
              <w:spacing w:before="40" w:after="40"/>
            </w:pPr>
            <w:r w:rsidRPr="00256982">
              <w:t>Country specific (Wakelin, unpublished(g))</w:t>
            </w:r>
          </w:p>
        </w:tc>
      </w:tr>
      <w:tr w:rsidR="00380BE7" w:rsidRPr="00256982" w14:paraId="780F51AC" w14:textId="77777777" w:rsidTr="009574E7">
        <w:tc>
          <w:tcPr>
            <w:tcW w:w="3261" w:type="dxa"/>
            <w:tcBorders>
              <w:top w:val="single" w:sz="4" w:space="0" w:color="365F91"/>
              <w:bottom w:val="single" w:sz="4" w:space="0" w:color="365F91"/>
            </w:tcBorders>
          </w:tcPr>
          <w:p w14:paraId="15668B3B" w14:textId="77777777" w:rsidR="00380BE7" w:rsidRPr="00256982" w:rsidRDefault="00380BE7" w:rsidP="009574E7">
            <w:pPr>
              <w:pStyle w:val="TableText"/>
              <w:spacing w:before="40" w:after="40"/>
            </w:pPr>
            <w:r w:rsidRPr="00256982">
              <w:t>Oven dry product weight to carbon weight</w:t>
            </w:r>
          </w:p>
        </w:tc>
        <w:tc>
          <w:tcPr>
            <w:tcW w:w="1842" w:type="dxa"/>
            <w:tcBorders>
              <w:top w:val="single" w:sz="4" w:space="0" w:color="365F91"/>
              <w:bottom w:val="single" w:sz="4" w:space="0" w:color="365F91"/>
            </w:tcBorders>
          </w:tcPr>
          <w:p w14:paraId="19F808A3" w14:textId="77777777" w:rsidR="00380BE7" w:rsidRPr="00256982" w:rsidRDefault="00380BE7" w:rsidP="009574E7">
            <w:pPr>
              <w:pStyle w:val="TableText"/>
              <w:spacing w:before="40" w:after="40"/>
              <w:jc w:val="center"/>
            </w:pPr>
            <w:r w:rsidRPr="00256982">
              <w:rPr>
                <w:rFonts w:cs="Arial"/>
              </w:rPr>
              <w:t>±</w:t>
            </w:r>
            <w:r w:rsidRPr="00256982">
              <w:t>5</w:t>
            </w:r>
          </w:p>
        </w:tc>
        <w:tc>
          <w:tcPr>
            <w:tcW w:w="3402" w:type="dxa"/>
            <w:tcBorders>
              <w:top w:val="single" w:sz="4" w:space="0" w:color="365F91"/>
              <w:bottom w:val="single" w:sz="4" w:space="0" w:color="365F91"/>
            </w:tcBorders>
          </w:tcPr>
          <w:p w14:paraId="5B702383" w14:textId="77777777" w:rsidR="00380BE7" w:rsidRPr="00256982" w:rsidRDefault="00380BE7" w:rsidP="009574E7">
            <w:pPr>
              <w:pStyle w:val="TableText"/>
              <w:spacing w:before="40" w:after="40"/>
            </w:pPr>
            <w:r w:rsidRPr="00256982">
              <w:t>Country specific (Wakelin, unpublished(g))</w:t>
            </w:r>
          </w:p>
        </w:tc>
      </w:tr>
      <w:tr w:rsidR="00380BE7" w:rsidRPr="00256982" w14:paraId="510ED722" w14:textId="77777777" w:rsidTr="009574E7">
        <w:tc>
          <w:tcPr>
            <w:tcW w:w="3261" w:type="dxa"/>
            <w:tcBorders>
              <w:top w:val="single" w:sz="4" w:space="0" w:color="365F91"/>
              <w:bottom w:val="single" w:sz="4" w:space="0" w:color="365F91"/>
            </w:tcBorders>
          </w:tcPr>
          <w:p w14:paraId="7EBD21B3" w14:textId="77777777" w:rsidR="00380BE7" w:rsidRPr="00256982" w:rsidRDefault="00380BE7" w:rsidP="009574E7">
            <w:pPr>
              <w:pStyle w:val="TableText"/>
              <w:spacing w:before="40" w:after="40"/>
            </w:pPr>
            <w:r w:rsidRPr="00256982">
              <w:t>Discard rate, domestic</w:t>
            </w:r>
          </w:p>
        </w:tc>
        <w:tc>
          <w:tcPr>
            <w:tcW w:w="1842" w:type="dxa"/>
            <w:tcBorders>
              <w:top w:val="single" w:sz="4" w:space="0" w:color="365F91"/>
              <w:bottom w:val="single" w:sz="4" w:space="0" w:color="365F91"/>
            </w:tcBorders>
          </w:tcPr>
          <w:p w14:paraId="38C2D7B9" w14:textId="77777777" w:rsidR="00380BE7" w:rsidRPr="00256982" w:rsidRDefault="00380BE7" w:rsidP="009574E7">
            <w:pPr>
              <w:pStyle w:val="TableText"/>
              <w:spacing w:before="40" w:after="40"/>
              <w:jc w:val="center"/>
            </w:pPr>
            <w:r w:rsidRPr="00256982">
              <w:rPr>
                <w:rFonts w:cs="Arial"/>
              </w:rPr>
              <w:t>±</w:t>
            </w:r>
            <w:r w:rsidRPr="00256982">
              <w:t>50</w:t>
            </w:r>
          </w:p>
        </w:tc>
        <w:tc>
          <w:tcPr>
            <w:tcW w:w="3402" w:type="dxa"/>
            <w:tcBorders>
              <w:top w:val="single" w:sz="4" w:space="0" w:color="365F91"/>
              <w:bottom w:val="single" w:sz="4" w:space="0" w:color="365F91"/>
            </w:tcBorders>
          </w:tcPr>
          <w:p w14:paraId="25DAAC40" w14:textId="77777777" w:rsidR="00380BE7" w:rsidRPr="00256982" w:rsidRDefault="00380BE7" w:rsidP="009574E7">
            <w:pPr>
              <w:pStyle w:val="TableText"/>
              <w:spacing w:before="40" w:after="40"/>
            </w:pPr>
            <w:r w:rsidRPr="00256982">
              <w:t>Country specific (Wakelin, unpublished(g))</w:t>
            </w:r>
          </w:p>
        </w:tc>
      </w:tr>
      <w:tr w:rsidR="00380BE7" w:rsidRPr="00256982" w14:paraId="0F31A05D" w14:textId="77777777" w:rsidTr="009574E7">
        <w:tc>
          <w:tcPr>
            <w:tcW w:w="3261" w:type="dxa"/>
            <w:tcBorders>
              <w:top w:val="single" w:sz="4" w:space="0" w:color="365F91"/>
              <w:bottom w:val="single" w:sz="4" w:space="0" w:color="365F91"/>
            </w:tcBorders>
            <w:shd w:val="clear" w:color="auto" w:fill="auto"/>
          </w:tcPr>
          <w:p w14:paraId="416022EC" w14:textId="77777777" w:rsidR="00380BE7" w:rsidRPr="00256982" w:rsidRDefault="00380BE7" w:rsidP="009574E7">
            <w:pPr>
              <w:pStyle w:val="TableText"/>
              <w:spacing w:before="40" w:after="40"/>
            </w:pPr>
            <w:r w:rsidRPr="00256982">
              <w:t>Discard rate, export</w:t>
            </w:r>
          </w:p>
        </w:tc>
        <w:tc>
          <w:tcPr>
            <w:tcW w:w="1842" w:type="dxa"/>
            <w:tcBorders>
              <w:top w:val="single" w:sz="4" w:space="0" w:color="365F91"/>
              <w:bottom w:val="single" w:sz="4" w:space="0" w:color="365F91"/>
            </w:tcBorders>
            <w:shd w:val="clear" w:color="auto" w:fill="auto"/>
          </w:tcPr>
          <w:p w14:paraId="20287CF8" w14:textId="77777777" w:rsidR="00380BE7" w:rsidRPr="00256982" w:rsidRDefault="00380BE7" w:rsidP="009574E7">
            <w:pPr>
              <w:pStyle w:val="TableText"/>
              <w:spacing w:before="40" w:after="40"/>
              <w:jc w:val="center"/>
            </w:pPr>
            <w:r w:rsidRPr="00256982">
              <w:rPr>
                <w:rFonts w:cs="Arial"/>
              </w:rPr>
              <w:t>±</w:t>
            </w:r>
            <w:r w:rsidRPr="00256982">
              <w:t>90</w:t>
            </w:r>
          </w:p>
        </w:tc>
        <w:tc>
          <w:tcPr>
            <w:tcW w:w="3402" w:type="dxa"/>
            <w:tcBorders>
              <w:top w:val="single" w:sz="4" w:space="0" w:color="365F91"/>
              <w:bottom w:val="single" w:sz="4" w:space="0" w:color="365F91"/>
            </w:tcBorders>
            <w:shd w:val="clear" w:color="auto" w:fill="auto"/>
          </w:tcPr>
          <w:p w14:paraId="4C4F09A3" w14:textId="77777777" w:rsidR="00380BE7" w:rsidRPr="00256982" w:rsidRDefault="00380BE7" w:rsidP="009574E7">
            <w:pPr>
              <w:pStyle w:val="TableText"/>
              <w:spacing w:before="40" w:after="40"/>
            </w:pPr>
            <w:r w:rsidRPr="00256982">
              <w:t>Country specific (Wakelin, unpublished(g))</w:t>
            </w:r>
          </w:p>
        </w:tc>
      </w:tr>
    </w:tbl>
    <w:p w14:paraId="7DE1C3B5" w14:textId="77777777" w:rsidR="00380BE7" w:rsidRPr="00256982" w:rsidRDefault="00380BE7" w:rsidP="00380BE7">
      <w:pPr>
        <w:pStyle w:val="Table"/>
        <w:spacing w:before="240"/>
      </w:pPr>
      <w:bookmarkStart w:id="2146" w:name="_Toc410028868"/>
      <w:bookmarkStart w:id="2147" w:name="_Toc414531496"/>
      <w:bookmarkStart w:id="2148" w:name="_Toc443645409"/>
      <w:bookmarkStart w:id="2149" w:name="_Toc474914628"/>
      <w:bookmarkStart w:id="2150" w:name="_Toc481751592"/>
      <w:bookmarkStart w:id="2151" w:name="_Toc522010649"/>
      <w:bookmarkStart w:id="2152" w:name="_Toc5269554"/>
      <w:r w:rsidRPr="00256982">
        <w:lastRenderedPageBreak/>
        <w:t>Table 6.10.3</w:t>
      </w:r>
      <w:r w:rsidRPr="00256982">
        <w:tab/>
        <w:t>Uncertainty in New Zealand’s 2017 estimates from emissions associated with</w:t>
      </w:r>
      <w:r w:rsidRPr="00256982">
        <w:br/>
        <w:t>Harvested wood products</w:t>
      </w:r>
      <w:bookmarkEnd w:id="2146"/>
      <w:bookmarkEnd w:id="2147"/>
      <w:bookmarkEnd w:id="2148"/>
      <w:bookmarkEnd w:id="2149"/>
      <w:bookmarkEnd w:id="2150"/>
      <w:bookmarkEnd w:id="2151"/>
      <w:bookmarkEnd w:id="2152"/>
    </w:p>
    <w:tbl>
      <w:tblPr>
        <w:tblW w:w="8505" w:type="dxa"/>
        <w:tblInd w:w="108" w:type="dxa"/>
        <w:tblLook w:val="04A0" w:firstRow="1" w:lastRow="0" w:firstColumn="1" w:lastColumn="0" w:noHBand="0" w:noVBand="1"/>
      </w:tblPr>
      <w:tblGrid>
        <w:gridCol w:w="4687"/>
        <w:gridCol w:w="3818"/>
      </w:tblGrid>
      <w:tr w:rsidR="00380BE7" w:rsidRPr="00256982" w14:paraId="54254520" w14:textId="77777777" w:rsidTr="009574E7">
        <w:trPr>
          <w:tblHeader/>
        </w:trPr>
        <w:tc>
          <w:tcPr>
            <w:tcW w:w="4406" w:type="dxa"/>
            <w:tcBorders>
              <w:top w:val="single" w:sz="4" w:space="0" w:color="365F91"/>
              <w:bottom w:val="single" w:sz="4" w:space="0" w:color="365F91"/>
            </w:tcBorders>
            <w:shd w:val="clear" w:color="auto" w:fill="365F91"/>
            <w:noWrap/>
            <w:hideMark/>
          </w:tcPr>
          <w:p w14:paraId="591DF23C" w14:textId="77777777" w:rsidR="00380BE7" w:rsidRPr="00256982" w:rsidRDefault="00380BE7" w:rsidP="009574E7">
            <w:pPr>
              <w:pStyle w:val="TableTextBold"/>
              <w:keepNext/>
              <w:spacing w:before="40" w:after="40"/>
              <w:rPr>
                <w:noProof w:val="0"/>
                <w:color w:val="FFFFFF"/>
              </w:rPr>
            </w:pPr>
            <w:r w:rsidRPr="00256982">
              <w:rPr>
                <w:noProof w:val="0"/>
                <w:color w:val="FFFFFF"/>
              </w:rPr>
              <w:t>Variable</w:t>
            </w:r>
          </w:p>
        </w:tc>
        <w:tc>
          <w:tcPr>
            <w:tcW w:w="3589" w:type="dxa"/>
            <w:tcBorders>
              <w:top w:val="single" w:sz="4" w:space="0" w:color="365F91"/>
              <w:bottom w:val="single" w:sz="4" w:space="0" w:color="365F91"/>
            </w:tcBorders>
            <w:shd w:val="clear" w:color="auto" w:fill="365F91"/>
            <w:noWrap/>
            <w:hideMark/>
          </w:tcPr>
          <w:p w14:paraId="6CE2CED2" w14:textId="77777777" w:rsidR="00380BE7" w:rsidRPr="00256982" w:rsidRDefault="00380BE7" w:rsidP="009574E7">
            <w:pPr>
              <w:pStyle w:val="TableTextBold"/>
              <w:spacing w:before="40" w:after="40"/>
              <w:jc w:val="center"/>
              <w:rPr>
                <w:noProof w:val="0"/>
                <w:color w:val="FFFFFF"/>
              </w:rPr>
            </w:pPr>
            <w:r w:rsidRPr="00256982">
              <w:rPr>
                <w:noProof w:val="0"/>
                <w:color w:val="FFFFFF"/>
              </w:rPr>
              <w:t>Uncertainty at a 95% confidence interval (%)</w:t>
            </w:r>
          </w:p>
        </w:tc>
      </w:tr>
      <w:tr w:rsidR="00380BE7" w:rsidRPr="00256982" w14:paraId="7A5DDE7E" w14:textId="77777777" w:rsidTr="009574E7">
        <w:tc>
          <w:tcPr>
            <w:tcW w:w="4406" w:type="dxa"/>
            <w:tcBorders>
              <w:top w:val="single" w:sz="4" w:space="0" w:color="365F91"/>
              <w:bottom w:val="single" w:sz="4" w:space="0" w:color="365F91"/>
            </w:tcBorders>
            <w:noWrap/>
            <w:hideMark/>
          </w:tcPr>
          <w:p w14:paraId="34D9B9C3" w14:textId="77777777" w:rsidR="00380BE7" w:rsidRPr="00256982" w:rsidRDefault="00380BE7" w:rsidP="009574E7">
            <w:pPr>
              <w:pStyle w:val="TableTextBold"/>
              <w:keepNext/>
              <w:spacing w:before="40" w:after="40"/>
              <w:rPr>
                <w:noProof w:val="0"/>
              </w:rPr>
            </w:pPr>
            <w:r w:rsidRPr="00256982">
              <w:rPr>
                <w:noProof w:val="0"/>
              </w:rPr>
              <w:t>Activity data</w:t>
            </w:r>
          </w:p>
        </w:tc>
        <w:tc>
          <w:tcPr>
            <w:tcW w:w="3589" w:type="dxa"/>
            <w:tcBorders>
              <w:top w:val="single" w:sz="4" w:space="0" w:color="365F91"/>
              <w:bottom w:val="single" w:sz="4" w:space="0" w:color="365F91"/>
            </w:tcBorders>
            <w:noWrap/>
            <w:hideMark/>
          </w:tcPr>
          <w:p w14:paraId="1FB83F37" w14:textId="77777777" w:rsidR="00380BE7" w:rsidRPr="00256982" w:rsidRDefault="00380BE7" w:rsidP="009574E7">
            <w:pPr>
              <w:pStyle w:val="TableTextBold"/>
              <w:tabs>
                <w:tab w:val="decimal" w:pos="0"/>
              </w:tabs>
              <w:spacing w:before="40" w:after="40"/>
              <w:jc w:val="center"/>
              <w:rPr>
                <w:noProof w:val="0"/>
              </w:rPr>
            </w:pPr>
          </w:p>
        </w:tc>
      </w:tr>
      <w:tr w:rsidR="00380BE7" w:rsidRPr="00256982" w14:paraId="5A5EC521" w14:textId="77777777" w:rsidTr="009574E7">
        <w:tc>
          <w:tcPr>
            <w:tcW w:w="4406" w:type="dxa"/>
            <w:tcBorders>
              <w:top w:val="single" w:sz="4" w:space="0" w:color="365F91"/>
              <w:bottom w:val="single" w:sz="4" w:space="0" w:color="365F91"/>
            </w:tcBorders>
            <w:noWrap/>
            <w:hideMark/>
          </w:tcPr>
          <w:p w14:paraId="7E2D8CD8" w14:textId="77777777" w:rsidR="00380BE7" w:rsidRPr="00256982" w:rsidRDefault="00380BE7" w:rsidP="009574E7">
            <w:pPr>
              <w:pStyle w:val="TableText"/>
              <w:keepNext/>
              <w:spacing w:before="40" w:after="40"/>
            </w:pPr>
            <w:r w:rsidRPr="00256982">
              <w:t>Uncertainty in activity data</w:t>
            </w:r>
          </w:p>
        </w:tc>
        <w:tc>
          <w:tcPr>
            <w:tcW w:w="3589" w:type="dxa"/>
            <w:tcBorders>
              <w:top w:val="single" w:sz="4" w:space="0" w:color="365F91"/>
              <w:bottom w:val="single" w:sz="4" w:space="0" w:color="365F91"/>
            </w:tcBorders>
            <w:noWrap/>
            <w:hideMark/>
          </w:tcPr>
          <w:p w14:paraId="34812B16" w14:textId="77777777" w:rsidR="00380BE7" w:rsidRPr="00256982" w:rsidRDefault="00380BE7" w:rsidP="009574E7">
            <w:pPr>
              <w:pStyle w:val="TableText"/>
              <w:tabs>
                <w:tab w:val="decimal" w:pos="0"/>
              </w:tabs>
              <w:spacing w:before="40" w:after="40"/>
              <w:jc w:val="center"/>
            </w:pPr>
            <w:r w:rsidRPr="00256982">
              <w:t>±15.0</w:t>
            </w:r>
          </w:p>
        </w:tc>
      </w:tr>
      <w:tr w:rsidR="00380BE7" w:rsidRPr="00256982" w14:paraId="688DBC92" w14:textId="77777777" w:rsidTr="009574E7">
        <w:tc>
          <w:tcPr>
            <w:tcW w:w="4406" w:type="dxa"/>
            <w:tcBorders>
              <w:top w:val="single" w:sz="4" w:space="0" w:color="365F91"/>
              <w:bottom w:val="single" w:sz="4" w:space="0" w:color="365F91"/>
            </w:tcBorders>
            <w:noWrap/>
            <w:hideMark/>
          </w:tcPr>
          <w:p w14:paraId="00BD708A" w14:textId="77777777" w:rsidR="00380BE7" w:rsidRPr="00256982" w:rsidRDefault="00380BE7" w:rsidP="009574E7">
            <w:pPr>
              <w:pStyle w:val="TableTextBold"/>
              <w:keepNext/>
              <w:spacing w:before="40" w:after="40"/>
              <w:rPr>
                <w:noProof w:val="0"/>
              </w:rPr>
            </w:pPr>
            <w:r w:rsidRPr="00256982">
              <w:rPr>
                <w:noProof w:val="0"/>
              </w:rPr>
              <w:t>Emission factors</w:t>
            </w:r>
          </w:p>
        </w:tc>
        <w:tc>
          <w:tcPr>
            <w:tcW w:w="3589" w:type="dxa"/>
            <w:tcBorders>
              <w:top w:val="single" w:sz="4" w:space="0" w:color="365F91"/>
              <w:bottom w:val="single" w:sz="4" w:space="0" w:color="365F91"/>
            </w:tcBorders>
            <w:noWrap/>
            <w:hideMark/>
          </w:tcPr>
          <w:p w14:paraId="7E9300AC" w14:textId="77777777" w:rsidR="00380BE7" w:rsidRPr="00256982" w:rsidRDefault="00380BE7" w:rsidP="009574E7">
            <w:pPr>
              <w:pStyle w:val="TableTextBold"/>
              <w:tabs>
                <w:tab w:val="decimal" w:pos="0"/>
              </w:tabs>
              <w:spacing w:before="40" w:after="40"/>
              <w:jc w:val="center"/>
              <w:rPr>
                <w:noProof w:val="0"/>
              </w:rPr>
            </w:pPr>
          </w:p>
        </w:tc>
      </w:tr>
      <w:tr w:rsidR="00380BE7" w:rsidRPr="00256982" w14:paraId="405904D4" w14:textId="77777777" w:rsidTr="009574E7">
        <w:tc>
          <w:tcPr>
            <w:tcW w:w="4406" w:type="dxa"/>
            <w:tcBorders>
              <w:top w:val="single" w:sz="4" w:space="0" w:color="365F91"/>
              <w:bottom w:val="single" w:sz="4" w:space="0" w:color="365F91"/>
            </w:tcBorders>
            <w:noWrap/>
            <w:hideMark/>
          </w:tcPr>
          <w:p w14:paraId="20881C9C" w14:textId="77777777" w:rsidR="00380BE7" w:rsidRPr="00256982" w:rsidRDefault="00380BE7" w:rsidP="009574E7">
            <w:pPr>
              <w:pStyle w:val="TableText"/>
              <w:spacing w:before="40" w:after="40"/>
            </w:pPr>
            <w:r w:rsidRPr="00256982">
              <w:t>Domestic production</w:t>
            </w:r>
          </w:p>
        </w:tc>
        <w:tc>
          <w:tcPr>
            <w:tcW w:w="3589" w:type="dxa"/>
            <w:tcBorders>
              <w:top w:val="single" w:sz="4" w:space="0" w:color="365F91"/>
              <w:bottom w:val="single" w:sz="4" w:space="0" w:color="365F91"/>
            </w:tcBorders>
            <w:noWrap/>
            <w:hideMark/>
          </w:tcPr>
          <w:p w14:paraId="20BE51E8" w14:textId="77777777" w:rsidR="00380BE7" w:rsidRPr="00256982" w:rsidRDefault="00380BE7" w:rsidP="009574E7">
            <w:pPr>
              <w:pStyle w:val="TableText"/>
              <w:tabs>
                <w:tab w:val="decimal" w:pos="0"/>
              </w:tabs>
              <w:spacing w:before="40" w:after="40"/>
              <w:jc w:val="center"/>
            </w:pPr>
            <w:r w:rsidRPr="00256982">
              <w:t>±51.2</w:t>
            </w:r>
          </w:p>
        </w:tc>
      </w:tr>
      <w:tr w:rsidR="00380BE7" w:rsidRPr="00256982" w14:paraId="321D5A2D" w14:textId="77777777" w:rsidTr="009574E7">
        <w:tc>
          <w:tcPr>
            <w:tcW w:w="4406" w:type="dxa"/>
            <w:tcBorders>
              <w:top w:val="single" w:sz="4" w:space="0" w:color="365F91"/>
              <w:bottom w:val="single" w:sz="4" w:space="0" w:color="365F91"/>
            </w:tcBorders>
            <w:noWrap/>
            <w:hideMark/>
          </w:tcPr>
          <w:p w14:paraId="321B00CC" w14:textId="77777777" w:rsidR="00380BE7" w:rsidRPr="00256982" w:rsidRDefault="00380BE7" w:rsidP="009574E7">
            <w:pPr>
              <w:pStyle w:val="TableText"/>
              <w:spacing w:before="40" w:after="40"/>
            </w:pPr>
            <w:r w:rsidRPr="00256982">
              <w:t>Export raw materials</w:t>
            </w:r>
          </w:p>
        </w:tc>
        <w:tc>
          <w:tcPr>
            <w:tcW w:w="3589" w:type="dxa"/>
            <w:tcBorders>
              <w:top w:val="single" w:sz="4" w:space="0" w:color="365F91"/>
              <w:bottom w:val="single" w:sz="4" w:space="0" w:color="365F91"/>
            </w:tcBorders>
            <w:noWrap/>
            <w:hideMark/>
          </w:tcPr>
          <w:p w14:paraId="50FA6C66" w14:textId="77777777" w:rsidR="00380BE7" w:rsidRPr="00256982" w:rsidRDefault="00380BE7" w:rsidP="009574E7">
            <w:pPr>
              <w:pStyle w:val="TableText"/>
              <w:tabs>
                <w:tab w:val="decimal" w:pos="0"/>
              </w:tabs>
              <w:spacing w:before="40" w:after="40"/>
              <w:jc w:val="center"/>
            </w:pPr>
            <w:r w:rsidRPr="00256982">
              <w:t>±90.7</w:t>
            </w:r>
          </w:p>
        </w:tc>
      </w:tr>
      <w:tr w:rsidR="00380BE7" w:rsidRPr="00256982" w14:paraId="65DA414C" w14:textId="77777777" w:rsidTr="009574E7">
        <w:tc>
          <w:tcPr>
            <w:tcW w:w="4406" w:type="dxa"/>
            <w:tcBorders>
              <w:top w:val="single" w:sz="4" w:space="0" w:color="365F91"/>
              <w:bottom w:val="single" w:sz="4" w:space="0" w:color="365F91"/>
            </w:tcBorders>
            <w:noWrap/>
            <w:hideMark/>
          </w:tcPr>
          <w:p w14:paraId="2B193103" w14:textId="77777777" w:rsidR="00380BE7" w:rsidRPr="00256982" w:rsidRDefault="00380BE7" w:rsidP="009574E7">
            <w:pPr>
              <w:pStyle w:val="TableText"/>
              <w:spacing w:before="40" w:after="40"/>
              <w:rPr>
                <w:b/>
              </w:rPr>
            </w:pPr>
            <w:r w:rsidRPr="00256982">
              <w:t>Total domestic and export uncertainty</w:t>
            </w:r>
          </w:p>
        </w:tc>
        <w:tc>
          <w:tcPr>
            <w:tcW w:w="3589" w:type="dxa"/>
            <w:tcBorders>
              <w:top w:val="single" w:sz="4" w:space="0" w:color="365F91"/>
              <w:bottom w:val="single" w:sz="4" w:space="0" w:color="365F91"/>
            </w:tcBorders>
            <w:noWrap/>
            <w:hideMark/>
          </w:tcPr>
          <w:p w14:paraId="007A1091" w14:textId="77777777" w:rsidR="00380BE7" w:rsidRPr="00256982" w:rsidRDefault="00380BE7" w:rsidP="009574E7">
            <w:pPr>
              <w:pStyle w:val="TableText"/>
              <w:tabs>
                <w:tab w:val="decimal" w:pos="0"/>
              </w:tabs>
              <w:spacing w:before="40" w:after="40"/>
              <w:jc w:val="center"/>
            </w:pPr>
            <w:r w:rsidRPr="00256982">
              <w:t>±67.4</w:t>
            </w:r>
          </w:p>
        </w:tc>
      </w:tr>
      <w:tr w:rsidR="00380BE7" w:rsidRPr="00256982" w14:paraId="6E60DF17" w14:textId="77777777" w:rsidTr="009574E7">
        <w:tc>
          <w:tcPr>
            <w:tcW w:w="4406" w:type="dxa"/>
            <w:tcBorders>
              <w:top w:val="single" w:sz="4" w:space="0" w:color="365F91"/>
              <w:bottom w:val="single" w:sz="4" w:space="0" w:color="365F91"/>
            </w:tcBorders>
            <w:noWrap/>
            <w:hideMark/>
          </w:tcPr>
          <w:p w14:paraId="0107EA6A" w14:textId="77777777" w:rsidR="00380BE7" w:rsidRPr="00256982" w:rsidRDefault="00380BE7" w:rsidP="009574E7">
            <w:pPr>
              <w:pStyle w:val="Tableboldblue"/>
              <w:spacing w:before="40" w:after="40"/>
            </w:pPr>
            <w:r w:rsidRPr="00256982">
              <w:t>Uncertainty introduced into net emissions for LULUCF</w:t>
            </w:r>
          </w:p>
        </w:tc>
        <w:tc>
          <w:tcPr>
            <w:tcW w:w="3589" w:type="dxa"/>
            <w:tcBorders>
              <w:top w:val="single" w:sz="4" w:space="0" w:color="365F91"/>
              <w:bottom w:val="single" w:sz="4" w:space="0" w:color="365F91"/>
            </w:tcBorders>
            <w:noWrap/>
            <w:hideMark/>
          </w:tcPr>
          <w:p w14:paraId="27B88F5E" w14:textId="77777777" w:rsidR="00380BE7" w:rsidRPr="00256982" w:rsidRDefault="00380BE7" w:rsidP="009574E7">
            <w:pPr>
              <w:pStyle w:val="Tableboldblue"/>
              <w:tabs>
                <w:tab w:val="decimal" w:pos="0"/>
              </w:tabs>
              <w:spacing w:before="40" w:after="40"/>
              <w:jc w:val="center"/>
            </w:pPr>
            <w:r w:rsidRPr="00256982">
              <w:t>±18.6</w:t>
            </w:r>
          </w:p>
        </w:tc>
      </w:tr>
    </w:tbl>
    <w:p w14:paraId="155B67D0" w14:textId="77777777" w:rsidR="00380BE7" w:rsidRPr="00256982" w:rsidRDefault="00380BE7" w:rsidP="000076CA">
      <w:pPr>
        <w:pStyle w:val="Heading3"/>
      </w:pPr>
      <w:r w:rsidRPr="00256982">
        <w:t>6.10.4</w:t>
      </w:r>
      <w:r w:rsidRPr="00256982">
        <w:tab/>
        <w:t>Category-specific QA/QC and verification</w:t>
      </w:r>
    </w:p>
    <w:p w14:paraId="6EAA4863" w14:textId="77777777" w:rsidR="00380BE7" w:rsidRPr="00256982" w:rsidRDefault="00380BE7" w:rsidP="00380BE7">
      <w:pPr>
        <w:pStyle w:val="BodyText"/>
      </w:pPr>
      <w:r w:rsidRPr="00256982">
        <w:t>New Zealand data from FAOSTAT were checked against data from the Ministry for Primary Industries (the agency responsible for the collection of these data). Missing totals in aggregate categories were filled by summing individual product categories, and incorrect estimates were replaced.</w:t>
      </w:r>
    </w:p>
    <w:p w14:paraId="15A7F627" w14:textId="77777777" w:rsidR="00380BE7" w:rsidRPr="00256982" w:rsidRDefault="00380BE7" w:rsidP="00380BE7">
      <w:pPr>
        <w:pStyle w:val="Heading3"/>
        <w:spacing w:before="240"/>
      </w:pPr>
      <w:r w:rsidRPr="00256982">
        <w:t>6.10.5</w:t>
      </w:r>
      <w:r w:rsidRPr="00256982">
        <w:tab/>
        <w:t>Category-specific recalculations</w:t>
      </w:r>
    </w:p>
    <w:p w14:paraId="679AF721" w14:textId="77777777" w:rsidR="00380BE7" w:rsidRPr="00256982" w:rsidRDefault="00380BE7" w:rsidP="00380BE7">
      <w:pPr>
        <w:pStyle w:val="BodyText"/>
      </w:pPr>
      <w:r w:rsidRPr="00256982">
        <w:t>Harvested wood product data from the FAOSTAT database is regularly updated. To account for the updated provisional data within the FAOSTAT database, recalculations for New Zealand’s emissions from harvested wood products were undertaken (Table 6.10.4).</w:t>
      </w:r>
    </w:p>
    <w:p w14:paraId="3F079956" w14:textId="77777777" w:rsidR="00380BE7" w:rsidRPr="00256982" w:rsidRDefault="00380BE7" w:rsidP="00380BE7">
      <w:pPr>
        <w:pStyle w:val="Table"/>
      </w:pPr>
      <w:bookmarkStart w:id="2153" w:name="_Toc443645410"/>
      <w:bookmarkStart w:id="2154" w:name="_Toc474914629"/>
      <w:bookmarkStart w:id="2155" w:name="_Toc481751593"/>
      <w:bookmarkStart w:id="2156" w:name="_Toc522010650"/>
      <w:bookmarkStart w:id="2157" w:name="_Toc5269555"/>
      <w:r w:rsidRPr="00256982">
        <w:t>Table 6.10.4</w:t>
      </w:r>
      <w:r w:rsidRPr="00256982">
        <w:tab/>
        <w:t>Recalculations for New Zealand’s net emissions from the Harvested wood products</w:t>
      </w:r>
      <w:r w:rsidRPr="00256982">
        <w:br/>
        <w:t>category in 1990 and 201</w:t>
      </w:r>
      <w:bookmarkEnd w:id="2153"/>
      <w:r w:rsidRPr="00256982">
        <w:t>6</w:t>
      </w:r>
      <w:bookmarkEnd w:id="2154"/>
      <w:bookmarkEnd w:id="2155"/>
      <w:bookmarkEnd w:id="2156"/>
      <w:bookmarkEnd w:id="2157"/>
    </w:p>
    <w:tbl>
      <w:tblPr>
        <w:tblW w:w="8505" w:type="dxa"/>
        <w:tblInd w:w="108" w:type="dxa"/>
        <w:tblLook w:val="04A0" w:firstRow="1" w:lastRow="0" w:firstColumn="1" w:lastColumn="0" w:noHBand="0" w:noVBand="1"/>
      </w:tblPr>
      <w:tblGrid>
        <w:gridCol w:w="1109"/>
        <w:gridCol w:w="1849"/>
        <w:gridCol w:w="1849"/>
        <w:gridCol w:w="1849"/>
        <w:gridCol w:w="1849"/>
      </w:tblGrid>
      <w:tr w:rsidR="00380BE7" w:rsidRPr="00256982" w14:paraId="266879EB" w14:textId="77777777" w:rsidTr="009574E7">
        <w:tc>
          <w:tcPr>
            <w:tcW w:w="652" w:type="pct"/>
            <w:vMerge w:val="restart"/>
            <w:tcBorders>
              <w:top w:val="single" w:sz="4" w:space="0" w:color="365F91"/>
            </w:tcBorders>
            <w:shd w:val="clear" w:color="auto" w:fill="365F91"/>
            <w:vAlign w:val="bottom"/>
          </w:tcPr>
          <w:p w14:paraId="219244BF" w14:textId="77777777" w:rsidR="00380BE7" w:rsidRPr="00256982" w:rsidRDefault="00380BE7" w:rsidP="000076CA">
            <w:pPr>
              <w:pStyle w:val="TableTextBold"/>
              <w:spacing w:before="40" w:after="40"/>
              <w:rPr>
                <w:noProof w:val="0"/>
                <w:color w:val="FFFFFF"/>
              </w:rPr>
            </w:pPr>
            <w:r w:rsidRPr="00256982">
              <w:rPr>
                <w:noProof w:val="0"/>
                <w:color w:val="FFFFFF"/>
              </w:rPr>
              <w:t>Year</w:t>
            </w:r>
          </w:p>
        </w:tc>
        <w:tc>
          <w:tcPr>
            <w:tcW w:w="2174" w:type="pct"/>
            <w:gridSpan w:val="2"/>
            <w:tcBorders>
              <w:top w:val="single" w:sz="4" w:space="0" w:color="365F91"/>
            </w:tcBorders>
            <w:shd w:val="clear" w:color="auto" w:fill="365F91"/>
            <w:noWrap/>
          </w:tcPr>
          <w:p w14:paraId="03641853" w14:textId="77777777" w:rsidR="00380BE7" w:rsidRPr="00256982" w:rsidRDefault="00380BE7" w:rsidP="000076CA">
            <w:pPr>
              <w:pStyle w:val="TableTextBold"/>
              <w:spacing w:before="40" w:after="40"/>
              <w:jc w:val="center"/>
              <w:rPr>
                <w:noProof w:val="0"/>
                <w:color w:val="FFFFFF"/>
              </w:rPr>
            </w:pPr>
            <w:r w:rsidRPr="00256982">
              <w:rPr>
                <w:noProof w:val="0"/>
                <w:color w:val="FFFFFF"/>
              </w:rPr>
              <w:t>Net emissions (kt CO</w:t>
            </w:r>
            <w:r w:rsidRPr="00256982">
              <w:rPr>
                <w:noProof w:val="0"/>
                <w:color w:val="FFFFFF"/>
                <w:vertAlign w:val="subscript"/>
              </w:rPr>
              <w:t>2</w:t>
            </w:r>
            <w:r w:rsidRPr="00256982">
              <w:rPr>
                <w:noProof w:val="0"/>
                <w:color w:val="FFFFFF"/>
              </w:rPr>
              <w:t>-e)</w:t>
            </w:r>
          </w:p>
        </w:tc>
        <w:tc>
          <w:tcPr>
            <w:tcW w:w="2174" w:type="pct"/>
            <w:gridSpan w:val="2"/>
            <w:tcBorders>
              <w:top w:val="single" w:sz="4" w:space="0" w:color="365F91"/>
            </w:tcBorders>
            <w:shd w:val="clear" w:color="auto" w:fill="365F91"/>
          </w:tcPr>
          <w:p w14:paraId="3205DFD3" w14:textId="77777777" w:rsidR="00380BE7" w:rsidRPr="00256982" w:rsidRDefault="00380BE7" w:rsidP="000076CA">
            <w:pPr>
              <w:pStyle w:val="TableTextBold"/>
              <w:spacing w:before="40" w:after="40"/>
              <w:jc w:val="center"/>
              <w:rPr>
                <w:noProof w:val="0"/>
                <w:color w:val="FFFFFF"/>
              </w:rPr>
            </w:pPr>
            <w:r w:rsidRPr="00256982">
              <w:rPr>
                <w:noProof w:val="0"/>
                <w:color w:val="FFFFFF"/>
              </w:rPr>
              <w:t>Change from the 2018 submission</w:t>
            </w:r>
          </w:p>
        </w:tc>
      </w:tr>
      <w:tr w:rsidR="00380BE7" w:rsidRPr="00256982" w14:paraId="481FB462" w14:textId="77777777" w:rsidTr="009574E7">
        <w:tc>
          <w:tcPr>
            <w:tcW w:w="652" w:type="pct"/>
            <w:vMerge/>
            <w:tcBorders>
              <w:bottom w:val="single" w:sz="4" w:space="0" w:color="365F91"/>
            </w:tcBorders>
            <w:shd w:val="clear" w:color="auto" w:fill="365F91"/>
          </w:tcPr>
          <w:p w14:paraId="111A052A" w14:textId="77777777" w:rsidR="00380BE7" w:rsidRPr="00256982" w:rsidRDefault="00380BE7" w:rsidP="000076CA">
            <w:pPr>
              <w:pStyle w:val="TableText"/>
              <w:spacing w:before="40" w:after="40"/>
              <w:rPr>
                <w:color w:val="FFFFFF"/>
              </w:rPr>
            </w:pPr>
          </w:p>
        </w:tc>
        <w:tc>
          <w:tcPr>
            <w:tcW w:w="1087" w:type="pct"/>
            <w:tcBorders>
              <w:bottom w:val="single" w:sz="4" w:space="0" w:color="365F91"/>
            </w:tcBorders>
            <w:shd w:val="clear" w:color="auto" w:fill="365F91"/>
          </w:tcPr>
          <w:p w14:paraId="2E44D91A" w14:textId="77777777" w:rsidR="00380BE7" w:rsidRPr="00256982" w:rsidRDefault="00380BE7" w:rsidP="000076CA">
            <w:pPr>
              <w:pStyle w:val="TableTextBold"/>
              <w:spacing w:before="40" w:after="40"/>
              <w:jc w:val="center"/>
              <w:rPr>
                <w:noProof w:val="0"/>
                <w:color w:val="FFFFFF"/>
              </w:rPr>
            </w:pPr>
            <w:r w:rsidRPr="00256982">
              <w:rPr>
                <w:noProof w:val="0"/>
                <w:color w:val="FFFFFF"/>
              </w:rPr>
              <w:t>2018 submission</w:t>
            </w:r>
          </w:p>
        </w:tc>
        <w:tc>
          <w:tcPr>
            <w:tcW w:w="1087" w:type="pct"/>
            <w:tcBorders>
              <w:bottom w:val="single" w:sz="4" w:space="0" w:color="365F91"/>
            </w:tcBorders>
            <w:shd w:val="clear" w:color="auto" w:fill="365F91"/>
          </w:tcPr>
          <w:p w14:paraId="224980CE" w14:textId="77777777" w:rsidR="00380BE7" w:rsidRPr="00256982" w:rsidRDefault="00380BE7" w:rsidP="000076CA">
            <w:pPr>
              <w:pStyle w:val="TableTextBold"/>
              <w:spacing w:before="40" w:after="40"/>
              <w:jc w:val="center"/>
              <w:rPr>
                <w:noProof w:val="0"/>
                <w:color w:val="FFFFFF"/>
              </w:rPr>
            </w:pPr>
            <w:r w:rsidRPr="00256982">
              <w:rPr>
                <w:noProof w:val="0"/>
                <w:color w:val="FFFFFF"/>
              </w:rPr>
              <w:t>2019 submission</w:t>
            </w:r>
          </w:p>
        </w:tc>
        <w:tc>
          <w:tcPr>
            <w:tcW w:w="1087" w:type="pct"/>
            <w:tcBorders>
              <w:bottom w:val="single" w:sz="4" w:space="0" w:color="365F91"/>
            </w:tcBorders>
            <w:shd w:val="clear" w:color="auto" w:fill="365F91"/>
          </w:tcPr>
          <w:p w14:paraId="78DF27D0" w14:textId="77777777" w:rsidR="00380BE7" w:rsidRPr="00256982" w:rsidRDefault="00380BE7" w:rsidP="000076CA">
            <w:pPr>
              <w:pStyle w:val="TableTextBold"/>
              <w:spacing w:before="40" w:after="40"/>
              <w:jc w:val="center"/>
              <w:rPr>
                <w:noProof w:val="0"/>
                <w:color w:val="FFFFFF"/>
              </w:rPr>
            </w:pPr>
            <w:r w:rsidRPr="00256982">
              <w:rPr>
                <w:noProof w:val="0"/>
                <w:color w:val="FFFFFF"/>
              </w:rPr>
              <w:t>(kt CO</w:t>
            </w:r>
            <w:r w:rsidRPr="00256982">
              <w:rPr>
                <w:noProof w:val="0"/>
                <w:color w:val="FFFFFF"/>
                <w:vertAlign w:val="subscript"/>
              </w:rPr>
              <w:t>2</w:t>
            </w:r>
            <w:r w:rsidRPr="00256982">
              <w:rPr>
                <w:noProof w:val="0"/>
                <w:color w:val="FFFFFF"/>
              </w:rPr>
              <w:t>-e)</w:t>
            </w:r>
          </w:p>
        </w:tc>
        <w:tc>
          <w:tcPr>
            <w:tcW w:w="1087" w:type="pct"/>
            <w:tcBorders>
              <w:bottom w:val="single" w:sz="4" w:space="0" w:color="365F91"/>
            </w:tcBorders>
            <w:shd w:val="clear" w:color="auto" w:fill="365F91"/>
          </w:tcPr>
          <w:p w14:paraId="2407539F" w14:textId="77777777" w:rsidR="00380BE7" w:rsidRPr="00256982" w:rsidRDefault="00380BE7" w:rsidP="000076CA">
            <w:pPr>
              <w:pStyle w:val="TableTextBold"/>
              <w:spacing w:before="40" w:after="40"/>
              <w:jc w:val="center"/>
              <w:rPr>
                <w:noProof w:val="0"/>
                <w:color w:val="FFFFFF"/>
              </w:rPr>
            </w:pPr>
            <w:r w:rsidRPr="00256982">
              <w:rPr>
                <w:noProof w:val="0"/>
                <w:color w:val="FFFFFF"/>
              </w:rPr>
              <w:t>(%)</w:t>
            </w:r>
          </w:p>
        </w:tc>
      </w:tr>
      <w:tr w:rsidR="00380BE7" w:rsidRPr="00256982" w14:paraId="02D328DF" w14:textId="77777777" w:rsidTr="009574E7">
        <w:tc>
          <w:tcPr>
            <w:tcW w:w="652" w:type="pct"/>
            <w:tcBorders>
              <w:top w:val="single" w:sz="4" w:space="0" w:color="365F91"/>
              <w:bottom w:val="single" w:sz="4" w:space="0" w:color="365F91"/>
            </w:tcBorders>
          </w:tcPr>
          <w:p w14:paraId="0357E13B" w14:textId="77777777" w:rsidR="00380BE7" w:rsidRPr="00256982" w:rsidRDefault="00380BE7" w:rsidP="000076CA">
            <w:pPr>
              <w:pStyle w:val="TableText"/>
              <w:spacing w:before="40" w:after="40"/>
            </w:pPr>
            <w:r w:rsidRPr="00256982">
              <w:t xml:space="preserve">1990 </w:t>
            </w:r>
          </w:p>
        </w:tc>
        <w:tc>
          <w:tcPr>
            <w:tcW w:w="1087" w:type="pct"/>
            <w:tcBorders>
              <w:top w:val="single" w:sz="4" w:space="0" w:color="365F91"/>
              <w:bottom w:val="single" w:sz="4" w:space="0" w:color="365F91"/>
            </w:tcBorders>
          </w:tcPr>
          <w:p w14:paraId="5D684ECD" w14:textId="77777777" w:rsidR="00380BE7" w:rsidRPr="00256982" w:rsidRDefault="00380BE7" w:rsidP="000076CA">
            <w:pPr>
              <w:pStyle w:val="TableText"/>
              <w:tabs>
                <w:tab w:val="decimal" w:pos="599"/>
              </w:tabs>
              <w:spacing w:before="40" w:after="40"/>
              <w:jc w:val="center"/>
            </w:pPr>
            <w:r w:rsidRPr="00256982">
              <w:rPr>
                <w:rFonts w:cs="Arial"/>
                <w:color w:val="000000"/>
                <w:szCs w:val="16"/>
              </w:rPr>
              <w:t>–</w:t>
            </w:r>
            <w:r w:rsidRPr="00256982">
              <w:t>2,072.91</w:t>
            </w:r>
          </w:p>
        </w:tc>
        <w:tc>
          <w:tcPr>
            <w:tcW w:w="1087" w:type="pct"/>
            <w:tcBorders>
              <w:top w:val="single" w:sz="4" w:space="0" w:color="365F91"/>
              <w:bottom w:val="single" w:sz="4" w:space="0" w:color="365F91"/>
            </w:tcBorders>
          </w:tcPr>
          <w:p w14:paraId="05A3FB6C" w14:textId="77777777" w:rsidR="00380BE7" w:rsidRPr="00256982" w:rsidRDefault="00380BE7" w:rsidP="000076CA">
            <w:pPr>
              <w:pStyle w:val="TableText"/>
              <w:tabs>
                <w:tab w:val="decimal" w:pos="599"/>
              </w:tabs>
              <w:spacing w:before="40" w:after="40"/>
              <w:jc w:val="center"/>
            </w:pPr>
            <w:r w:rsidRPr="00256982">
              <w:rPr>
                <w:rFonts w:cs="Arial"/>
                <w:color w:val="000000"/>
                <w:szCs w:val="16"/>
              </w:rPr>
              <w:t>–</w:t>
            </w:r>
            <w:r w:rsidRPr="00256982">
              <w:t>2,072.91</w:t>
            </w:r>
          </w:p>
        </w:tc>
        <w:tc>
          <w:tcPr>
            <w:tcW w:w="1087" w:type="pct"/>
            <w:tcBorders>
              <w:top w:val="single" w:sz="4" w:space="0" w:color="365F91"/>
              <w:bottom w:val="single" w:sz="4" w:space="0" w:color="365F91"/>
            </w:tcBorders>
          </w:tcPr>
          <w:p w14:paraId="7EF115C1" w14:textId="77777777" w:rsidR="00380BE7" w:rsidRPr="00256982" w:rsidRDefault="00380BE7" w:rsidP="000076CA">
            <w:pPr>
              <w:pStyle w:val="TableText"/>
              <w:tabs>
                <w:tab w:val="decimal" w:pos="599"/>
              </w:tabs>
              <w:spacing w:before="40" w:after="40"/>
              <w:jc w:val="center"/>
            </w:pPr>
            <w:r w:rsidRPr="00256982">
              <w:t xml:space="preserve">0.0 </w:t>
            </w:r>
          </w:p>
        </w:tc>
        <w:tc>
          <w:tcPr>
            <w:tcW w:w="1087" w:type="pct"/>
            <w:tcBorders>
              <w:top w:val="single" w:sz="4" w:space="0" w:color="365F91"/>
              <w:bottom w:val="single" w:sz="4" w:space="0" w:color="365F91"/>
            </w:tcBorders>
          </w:tcPr>
          <w:p w14:paraId="01DC7DCF" w14:textId="77777777" w:rsidR="00380BE7" w:rsidRPr="00256982" w:rsidRDefault="00380BE7" w:rsidP="000076CA">
            <w:pPr>
              <w:pStyle w:val="TableText"/>
              <w:tabs>
                <w:tab w:val="decimal" w:pos="599"/>
              </w:tabs>
              <w:spacing w:before="40" w:after="40"/>
              <w:jc w:val="center"/>
            </w:pPr>
            <w:r w:rsidRPr="00256982">
              <w:t>0.0</w:t>
            </w:r>
          </w:p>
        </w:tc>
      </w:tr>
      <w:tr w:rsidR="00380BE7" w:rsidRPr="00256982" w14:paraId="10EF3AE7" w14:textId="77777777" w:rsidTr="009574E7">
        <w:tc>
          <w:tcPr>
            <w:tcW w:w="652" w:type="pct"/>
            <w:tcBorders>
              <w:top w:val="single" w:sz="4" w:space="0" w:color="365F91"/>
              <w:bottom w:val="single" w:sz="4" w:space="0" w:color="365F91"/>
            </w:tcBorders>
          </w:tcPr>
          <w:p w14:paraId="79D3AF1A" w14:textId="77777777" w:rsidR="00380BE7" w:rsidRPr="00256982" w:rsidRDefault="00380BE7" w:rsidP="000076CA">
            <w:pPr>
              <w:pStyle w:val="TableText"/>
              <w:spacing w:before="40" w:after="40"/>
            </w:pPr>
            <w:r w:rsidRPr="00256982">
              <w:t>2016</w:t>
            </w:r>
          </w:p>
        </w:tc>
        <w:tc>
          <w:tcPr>
            <w:tcW w:w="1087" w:type="pct"/>
            <w:tcBorders>
              <w:top w:val="single" w:sz="4" w:space="0" w:color="365F91"/>
              <w:bottom w:val="single" w:sz="4" w:space="0" w:color="365F91"/>
            </w:tcBorders>
          </w:tcPr>
          <w:p w14:paraId="48F18335" w14:textId="77777777" w:rsidR="00380BE7" w:rsidRPr="00256982" w:rsidRDefault="00380BE7" w:rsidP="000076CA">
            <w:pPr>
              <w:pStyle w:val="TableText"/>
              <w:tabs>
                <w:tab w:val="decimal" w:pos="599"/>
              </w:tabs>
              <w:spacing w:before="40" w:after="40"/>
              <w:jc w:val="center"/>
            </w:pPr>
            <w:r w:rsidRPr="00256982">
              <w:rPr>
                <w:rFonts w:cs="Arial"/>
                <w:color w:val="000000"/>
                <w:szCs w:val="16"/>
              </w:rPr>
              <w:t>–</w:t>
            </w:r>
            <w:r w:rsidRPr="00256982">
              <w:t>5,946.38</w:t>
            </w:r>
          </w:p>
        </w:tc>
        <w:tc>
          <w:tcPr>
            <w:tcW w:w="1087" w:type="pct"/>
            <w:tcBorders>
              <w:top w:val="single" w:sz="4" w:space="0" w:color="365F91"/>
              <w:bottom w:val="single" w:sz="4" w:space="0" w:color="365F91"/>
            </w:tcBorders>
          </w:tcPr>
          <w:p w14:paraId="744369E2" w14:textId="77777777" w:rsidR="00380BE7" w:rsidRPr="00256982" w:rsidRDefault="00380BE7" w:rsidP="000076CA">
            <w:pPr>
              <w:pStyle w:val="TableText"/>
              <w:tabs>
                <w:tab w:val="decimal" w:pos="599"/>
              </w:tabs>
              <w:spacing w:before="40" w:after="40"/>
              <w:jc w:val="center"/>
            </w:pPr>
            <w:r w:rsidRPr="00256982">
              <w:rPr>
                <w:rFonts w:cs="Arial"/>
                <w:color w:val="000000"/>
                <w:szCs w:val="16"/>
              </w:rPr>
              <w:t>–</w:t>
            </w:r>
            <w:r w:rsidRPr="00256982">
              <w:t>6,936.94</w:t>
            </w:r>
          </w:p>
        </w:tc>
        <w:tc>
          <w:tcPr>
            <w:tcW w:w="1087" w:type="pct"/>
            <w:tcBorders>
              <w:top w:val="single" w:sz="4" w:space="0" w:color="365F91"/>
              <w:bottom w:val="single" w:sz="4" w:space="0" w:color="365F91"/>
            </w:tcBorders>
          </w:tcPr>
          <w:p w14:paraId="5941F6F1" w14:textId="77777777" w:rsidR="00380BE7" w:rsidRPr="00256982" w:rsidRDefault="00380BE7" w:rsidP="000076CA">
            <w:pPr>
              <w:pStyle w:val="TableText"/>
              <w:tabs>
                <w:tab w:val="decimal" w:pos="599"/>
              </w:tabs>
              <w:spacing w:before="40" w:after="40"/>
              <w:jc w:val="center"/>
            </w:pPr>
            <w:r w:rsidRPr="00256982">
              <w:rPr>
                <w:rFonts w:cs="Arial"/>
                <w:color w:val="000000"/>
                <w:szCs w:val="16"/>
              </w:rPr>
              <w:t>–</w:t>
            </w:r>
            <w:r w:rsidRPr="00256982">
              <w:t xml:space="preserve">990.6 </w:t>
            </w:r>
          </w:p>
        </w:tc>
        <w:tc>
          <w:tcPr>
            <w:tcW w:w="1087" w:type="pct"/>
            <w:tcBorders>
              <w:top w:val="single" w:sz="4" w:space="0" w:color="365F91"/>
              <w:bottom w:val="single" w:sz="4" w:space="0" w:color="365F91"/>
            </w:tcBorders>
          </w:tcPr>
          <w:p w14:paraId="52AB4E7F" w14:textId="77777777" w:rsidR="00380BE7" w:rsidRPr="00256982" w:rsidRDefault="00380BE7" w:rsidP="000076CA">
            <w:pPr>
              <w:pStyle w:val="TableText"/>
              <w:tabs>
                <w:tab w:val="decimal" w:pos="599"/>
              </w:tabs>
              <w:spacing w:before="40" w:after="40"/>
              <w:jc w:val="center"/>
            </w:pPr>
            <w:r w:rsidRPr="00256982">
              <w:rPr>
                <w:rFonts w:cs="Arial"/>
                <w:color w:val="000000"/>
                <w:szCs w:val="16"/>
              </w:rPr>
              <w:t>–</w:t>
            </w:r>
            <w:r w:rsidRPr="00256982">
              <w:t>16.7</w:t>
            </w:r>
          </w:p>
        </w:tc>
      </w:tr>
    </w:tbl>
    <w:p w14:paraId="44B35E73" w14:textId="77777777" w:rsidR="00380BE7" w:rsidRPr="00256982" w:rsidRDefault="00380BE7" w:rsidP="000076CA">
      <w:pPr>
        <w:pStyle w:val="Heading3"/>
      </w:pPr>
      <w:r w:rsidRPr="00256982">
        <w:t>6.10.6</w:t>
      </w:r>
      <w:r w:rsidRPr="00256982">
        <w:tab/>
        <w:t>Category-specific planned improvements</w:t>
      </w:r>
    </w:p>
    <w:p w14:paraId="303B33E6" w14:textId="77777777" w:rsidR="00380BE7" w:rsidRPr="00256982" w:rsidRDefault="00380BE7" w:rsidP="00380BE7">
      <w:pPr>
        <w:pStyle w:val="BodyText"/>
      </w:pPr>
      <w:r w:rsidRPr="00256982">
        <w:t xml:space="preserve">No category-specific improvements are planned for the next submission. </w:t>
      </w:r>
      <w:bookmarkStart w:id="2158" w:name="_Toc280630349"/>
      <w:bookmarkStart w:id="2159" w:name="_Toc310423458"/>
      <w:bookmarkStart w:id="2160" w:name="_Toc342470724"/>
      <w:bookmarkStart w:id="2161" w:name="_Toc352504876"/>
      <w:bookmarkStart w:id="2162" w:name="_Toc391024706"/>
      <w:bookmarkStart w:id="2163" w:name="_Toc414531324"/>
      <w:bookmarkStart w:id="2164" w:name="_Toc474335466"/>
      <w:bookmarkStart w:id="2165" w:name="_Toc481751406"/>
    </w:p>
    <w:p w14:paraId="6A42DB63" w14:textId="77777777" w:rsidR="00380BE7" w:rsidRPr="00256982" w:rsidRDefault="00380BE7" w:rsidP="00380BE7">
      <w:pPr>
        <w:pStyle w:val="Heading2"/>
        <w:spacing w:before="240"/>
      </w:pPr>
      <w:bookmarkStart w:id="2166" w:name="_Toc522013958"/>
      <w:bookmarkStart w:id="2167" w:name="_Toc5269383"/>
      <w:r w:rsidRPr="00256982">
        <w:t>6.11</w:t>
      </w:r>
      <w:r w:rsidRPr="00256982">
        <w:tab/>
        <w:t>Non-CO</w:t>
      </w:r>
      <w:r w:rsidRPr="00256982">
        <w:rPr>
          <w:rFonts w:ascii="Arial Bold" w:hAnsi="Arial Bold"/>
          <w:vertAlign w:val="subscript"/>
        </w:rPr>
        <w:t>2</w:t>
      </w:r>
      <w:r w:rsidRPr="00256982">
        <w:t xml:space="preserve"> emissions (CRF 4(I–V))</w:t>
      </w:r>
      <w:bookmarkEnd w:id="2158"/>
      <w:bookmarkEnd w:id="2159"/>
      <w:bookmarkEnd w:id="2160"/>
      <w:bookmarkEnd w:id="2161"/>
      <w:bookmarkEnd w:id="2162"/>
      <w:bookmarkEnd w:id="2163"/>
      <w:bookmarkEnd w:id="2164"/>
      <w:bookmarkEnd w:id="2165"/>
      <w:bookmarkEnd w:id="2166"/>
      <w:bookmarkEnd w:id="2167"/>
    </w:p>
    <w:p w14:paraId="21E76731" w14:textId="77777777" w:rsidR="00380BE7" w:rsidRPr="00256982" w:rsidRDefault="00380BE7" w:rsidP="00380BE7">
      <w:pPr>
        <w:pStyle w:val="Heading3"/>
        <w:spacing w:before="240"/>
      </w:pPr>
      <w:bookmarkStart w:id="2168" w:name="_Toc280630350"/>
      <w:r w:rsidRPr="00256982">
        <w:t xml:space="preserve">6.11.1 </w:t>
      </w:r>
      <w:r w:rsidRPr="00256982">
        <w:tab/>
        <w:t>Direct N</w:t>
      </w:r>
      <w:r w:rsidRPr="00256982">
        <w:rPr>
          <w:vertAlign w:val="subscript"/>
        </w:rPr>
        <w:t>2</w:t>
      </w:r>
      <w:r w:rsidRPr="00256982">
        <w:t>O emissions from nitrogen fertilisation of</w:t>
      </w:r>
      <w:r w:rsidRPr="00256982">
        <w:br/>
        <w:t>forest land and other land (CRF 4(I)</w:t>
      </w:r>
      <w:bookmarkEnd w:id="2168"/>
      <w:r w:rsidRPr="00256982">
        <w:t>)</w:t>
      </w:r>
    </w:p>
    <w:p w14:paraId="456E90CD" w14:textId="77777777" w:rsidR="00380BE7" w:rsidRPr="00256982" w:rsidRDefault="00380BE7" w:rsidP="00380BE7">
      <w:pPr>
        <w:pStyle w:val="BodyText"/>
        <w:spacing w:after="100"/>
      </w:pPr>
      <w:r w:rsidRPr="00256982">
        <w:t>New Zealand’s activity data on nitrogen fertilisation are not currently disaggregated by land use and, therefore, all Direct N</w:t>
      </w:r>
      <w:r w:rsidRPr="00256982">
        <w:rPr>
          <w:vertAlign w:val="subscript"/>
        </w:rPr>
        <w:t>2</w:t>
      </w:r>
      <w:r w:rsidRPr="00256982">
        <w:t>O emissions from nitrogen fertilisation of</w:t>
      </w:r>
      <w:r w:rsidRPr="00256982">
        <w:rPr>
          <w:i/>
        </w:rPr>
        <w:t xml:space="preserve"> Forest land </w:t>
      </w:r>
      <w:r w:rsidRPr="00256982">
        <w:t>and</w:t>
      </w:r>
      <w:r w:rsidRPr="00256982">
        <w:rPr>
          <w:i/>
        </w:rPr>
        <w:t xml:space="preserve"> Other land</w:t>
      </w:r>
      <w:r w:rsidRPr="00256982">
        <w:t xml:space="preserve"> are reported in the Agriculture sector under the category </w:t>
      </w:r>
      <w:r w:rsidRPr="00256982">
        <w:rPr>
          <w:i/>
        </w:rPr>
        <w:t>Direct N</w:t>
      </w:r>
      <w:r w:rsidRPr="00256982">
        <w:rPr>
          <w:i/>
          <w:vertAlign w:val="subscript"/>
        </w:rPr>
        <w:t>2</w:t>
      </w:r>
      <w:r w:rsidRPr="00256982">
        <w:rPr>
          <w:i/>
        </w:rPr>
        <w:t>O emissions from managed soils</w:t>
      </w:r>
      <w:r w:rsidRPr="00256982">
        <w:t xml:space="preserve"> (CRF 3.D.a). The notation key IE (included elsewhere) is reported in the CRF tables for the LULUCF sector.</w:t>
      </w:r>
    </w:p>
    <w:p w14:paraId="3DB5E5AF" w14:textId="77777777" w:rsidR="00380BE7" w:rsidRPr="00256982" w:rsidRDefault="00380BE7" w:rsidP="00380BE7">
      <w:pPr>
        <w:pStyle w:val="Heading3"/>
        <w:spacing w:before="240"/>
      </w:pPr>
      <w:bookmarkStart w:id="2169" w:name="_Toc280630351"/>
      <w:r w:rsidRPr="00256982">
        <w:t xml:space="preserve">6.11.2 </w:t>
      </w:r>
      <w:r w:rsidRPr="00256982">
        <w:tab/>
        <w:t>Emissions from drainage and rewetting of organic and mineral soils (CRF 4(II)</w:t>
      </w:r>
      <w:bookmarkEnd w:id="2169"/>
      <w:r w:rsidRPr="00256982">
        <w:t xml:space="preserve">) </w:t>
      </w:r>
    </w:p>
    <w:p w14:paraId="063942EB" w14:textId="77777777" w:rsidR="00380BE7" w:rsidRPr="00256982" w:rsidRDefault="00380BE7" w:rsidP="00091D5B">
      <w:pPr>
        <w:pStyle w:val="BodyText"/>
        <w:spacing w:before="100" w:after="100"/>
      </w:pPr>
      <w:r w:rsidRPr="00256982">
        <w:t xml:space="preserve">New Zealand has not prepared estimates for this category. Carbon dioxide emissions resulting from drainage of organic soils when land use is changed are reported within CRF tables 4.A to 4.F, and IE (included elsewhere) is reported in table CRF 4(II) in these cases. The drainage of soils and wetlands is a relatively minor activity in New Zealand and there is insufficient </w:t>
      </w:r>
      <w:r w:rsidRPr="00256982">
        <w:lastRenderedPageBreak/>
        <w:t>information to reliably report on this activity where not associated with land-use change. This means the notation key NE (not estimated) is also reported in this CRF table within the LULUCF</w:t>
      </w:r>
      <w:r w:rsidRPr="00256982">
        <w:rPr>
          <w:i/>
        </w:rPr>
        <w:t xml:space="preserve"> </w:t>
      </w:r>
      <w:r w:rsidRPr="00256982">
        <w:t>sector in accordance with paragraph 37(b) of Decision 24/CP.19 (UNFCCC, 2014).</w:t>
      </w:r>
    </w:p>
    <w:p w14:paraId="5DC8EAC4" w14:textId="0C9211B8" w:rsidR="00380BE7" w:rsidRPr="00256982" w:rsidRDefault="00380BE7" w:rsidP="00380BE7">
      <w:pPr>
        <w:pStyle w:val="Heading3"/>
        <w:spacing w:before="240"/>
      </w:pPr>
      <w:bookmarkStart w:id="2170" w:name="_Toc280630352"/>
      <w:r w:rsidRPr="00256982">
        <w:t xml:space="preserve">6.11.3 </w:t>
      </w:r>
      <w:r w:rsidRPr="00256982">
        <w:tab/>
        <w:t>Direct N</w:t>
      </w:r>
      <w:r w:rsidRPr="00256982">
        <w:rPr>
          <w:vertAlign w:val="subscript"/>
        </w:rPr>
        <w:t>2</w:t>
      </w:r>
      <w:r w:rsidRPr="00256982">
        <w:t>O emissions from nitrogen</w:t>
      </w:r>
      <w:r w:rsidR="00091D5B" w:rsidRPr="00256982">
        <w:br/>
      </w:r>
      <w:r w:rsidRPr="00256982">
        <w:t>mineralisation/immobilisation (CRF 4(III)</w:t>
      </w:r>
      <w:bookmarkEnd w:id="2170"/>
      <w:r w:rsidRPr="00256982">
        <w:t>)</w:t>
      </w:r>
    </w:p>
    <w:p w14:paraId="7FE34049" w14:textId="77777777" w:rsidR="00380BE7" w:rsidRPr="00256982" w:rsidRDefault="00380BE7" w:rsidP="00380BE7">
      <w:pPr>
        <w:pStyle w:val="Heading4"/>
        <w:spacing w:before="120"/>
      </w:pPr>
      <w:bookmarkStart w:id="2171" w:name="_Toc280630353"/>
      <w:r w:rsidRPr="00256982">
        <w:t>Description</w:t>
      </w:r>
      <w:bookmarkEnd w:id="2171"/>
      <w:r w:rsidRPr="00256982">
        <w:t xml:space="preserve"> </w:t>
      </w:r>
    </w:p>
    <w:p w14:paraId="4C261D9D" w14:textId="77777777" w:rsidR="00380BE7" w:rsidRPr="00256982" w:rsidRDefault="00380BE7" w:rsidP="00380BE7">
      <w:pPr>
        <w:pStyle w:val="BodyText"/>
        <w:spacing w:before="100" w:after="100"/>
      </w:pPr>
      <w:r w:rsidRPr="00256982">
        <w:t>Nitrous oxide emissions result from the mineralisation of soil organic matter with land-use change. This mineralisation results in an associated conversion of nitrogen previously in the soil organic matter to ammonium and nitrate. Microbial activity in the soil converts some of the ammonium and nitrate present to N</w:t>
      </w:r>
      <w:r w:rsidRPr="00256982">
        <w:rPr>
          <w:vertAlign w:val="subscript"/>
        </w:rPr>
        <w:t>2</w:t>
      </w:r>
      <w:r w:rsidRPr="00256982">
        <w:t>O. An increase in this microbial substrate caused by a net decrease in soil organic matter can therefore be expected to give an increase in net N</w:t>
      </w:r>
      <w:r w:rsidRPr="00256982">
        <w:rPr>
          <w:vertAlign w:val="subscript"/>
        </w:rPr>
        <w:t>2</w:t>
      </w:r>
      <w:r w:rsidRPr="00256982">
        <w:t>O emissions (section 11, IPCC, 2006a).</w:t>
      </w:r>
    </w:p>
    <w:p w14:paraId="6D4AFBDB" w14:textId="77777777" w:rsidR="00380BE7" w:rsidRPr="00256982" w:rsidRDefault="00380BE7" w:rsidP="00380BE7">
      <w:pPr>
        <w:pStyle w:val="BodyText"/>
        <w:spacing w:before="100" w:after="100"/>
      </w:pPr>
      <w:r w:rsidRPr="00256982">
        <w:t>Direct N</w:t>
      </w:r>
      <w:r w:rsidRPr="00256982">
        <w:rPr>
          <w:spacing w:val="-2"/>
          <w:vertAlign w:val="subscript"/>
        </w:rPr>
        <w:t>2</w:t>
      </w:r>
      <w:r w:rsidRPr="00256982">
        <w:t>O emissions from nitrogen mineralisation/immobilisation are minor in New Zealand, estimated at 0.3 kt N</w:t>
      </w:r>
      <w:r w:rsidRPr="00256982">
        <w:rPr>
          <w:spacing w:val="-2"/>
          <w:vertAlign w:val="subscript"/>
        </w:rPr>
        <w:t>2</w:t>
      </w:r>
      <w:r w:rsidRPr="00256982">
        <w:t>O in 2017 compared with 0.6 kt N</w:t>
      </w:r>
      <w:r w:rsidRPr="00256982">
        <w:rPr>
          <w:spacing w:val="-2"/>
          <w:vertAlign w:val="subscript"/>
        </w:rPr>
        <w:t>2</w:t>
      </w:r>
      <w:r w:rsidRPr="00256982">
        <w:t>O in 1990.</w:t>
      </w:r>
      <w:bookmarkStart w:id="2172" w:name="_Toc280630354"/>
    </w:p>
    <w:p w14:paraId="70ACE902" w14:textId="77777777" w:rsidR="00380BE7" w:rsidRPr="00256982" w:rsidRDefault="00380BE7" w:rsidP="00BD57EC">
      <w:pPr>
        <w:pStyle w:val="Heading4"/>
        <w:spacing w:before="220"/>
      </w:pPr>
      <w:r w:rsidRPr="00256982">
        <w:t>Methodological issues</w:t>
      </w:r>
      <w:bookmarkEnd w:id="2172"/>
    </w:p>
    <w:p w14:paraId="3473D3A9" w14:textId="77777777" w:rsidR="00380BE7" w:rsidRPr="00256982" w:rsidRDefault="00380BE7" w:rsidP="00380BE7">
      <w:pPr>
        <w:pStyle w:val="BodyText"/>
        <w:spacing w:before="100" w:after="100"/>
      </w:pPr>
      <w:r w:rsidRPr="00256982">
        <w:t>To estimate N</w:t>
      </w:r>
      <w:r w:rsidRPr="00256982">
        <w:rPr>
          <w:vertAlign w:val="subscript"/>
        </w:rPr>
        <w:t>2</w:t>
      </w:r>
      <w:r w:rsidRPr="00256982">
        <w:t>O emissions from disturbance associated with land-use change, New Zealand uses the method outlined in the 2006 IPCC Guidelines (equations 11.2 and 11.8, IPCC, 2006a). The inputs to these equations are:</w:t>
      </w:r>
    </w:p>
    <w:p w14:paraId="5A8BBD74" w14:textId="77777777" w:rsidR="00380BE7" w:rsidRPr="00256982" w:rsidRDefault="00380BE7" w:rsidP="00380BE7">
      <w:pPr>
        <w:pStyle w:val="Bullet"/>
        <w:numPr>
          <w:ilvl w:val="0"/>
          <w:numId w:val="8"/>
        </w:numPr>
        <w:spacing w:after="100"/>
      </w:pPr>
      <w:r w:rsidRPr="00256982">
        <w:t>loss of carbon in mineral soils</w:t>
      </w:r>
    </w:p>
    <w:p w14:paraId="3DEFFAC9" w14:textId="02BA9F43" w:rsidR="00380BE7" w:rsidRPr="00256982" w:rsidRDefault="00380BE7" w:rsidP="00380BE7">
      <w:pPr>
        <w:pStyle w:val="Bullet"/>
        <w:numPr>
          <w:ilvl w:val="0"/>
          <w:numId w:val="8"/>
        </w:numPr>
        <w:spacing w:after="100"/>
      </w:pPr>
      <w:r w:rsidRPr="00256982">
        <w:t>EF1 – the emission factor for calculating emissions of N</w:t>
      </w:r>
      <w:r w:rsidRPr="00256982">
        <w:rPr>
          <w:vertAlign w:val="subscript"/>
        </w:rPr>
        <w:t>2</w:t>
      </w:r>
      <w:r w:rsidRPr="00256982">
        <w:t>O from nitrogen in the soil. New</w:t>
      </w:r>
      <w:r w:rsidR="00BD57EC" w:rsidRPr="00256982">
        <w:t> </w:t>
      </w:r>
      <w:r w:rsidRPr="00256982">
        <w:t>Zealand uses a country-specific value of 0.01 kg N</w:t>
      </w:r>
      <w:r w:rsidRPr="00256982">
        <w:rPr>
          <w:vertAlign w:val="subscript"/>
        </w:rPr>
        <w:t>2</w:t>
      </w:r>
      <w:r w:rsidRPr="00256982">
        <w:t>O – N/kg N (Kelliher and de</w:t>
      </w:r>
      <w:r w:rsidR="00760888" w:rsidRPr="00256982">
        <w:t> </w:t>
      </w:r>
      <w:r w:rsidRPr="00256982">
        <w:t>Klein, unpublished)</w:t>
      </w:r>
    </w:p>
    <w:p w14:paraId="3A74BD39" w14:textId="77777777" w:rsidR="00380BE7" w:rsidRPr="00256982" w:rsidRDefault="00380BE7" w:rsidP="00380BE7">
      <w:pPr>
        <w:pStyle w:val="Bullet"/>
        <w:numPr>
          <w:ilvl w:val="0"/>
          <w:numId w:val="8"/>
        </w:numPr>
        <w:spacing w:after="100"/>
      </w:pPr>
      <w:r w:rsidRPr="00256982">
        <w:t xml:space="preserve">C:N ratio – the IPCC default ratio of carbon to nitrogen in soil organic matter (1:15) is used (IPCC, 2006a, p 11.16). </w:t>
      </w:r>
    </w:p>
    <w:p w14:paraId="2B8C0322" w14:textId="77777777" w:rsidR="00380BE7" w:rsidRPr="00256982" w:rsidRDefault="00380BE7" w:rsidP="00380BE7">
      <w:pPr>
        <w:pStyle w:val="BodyText"/>
        <w:spacing w:before="100" w:after="100"/>
      </w:pPr>
      <w:r w:rsidRPr="00256982">
        <w:t>Where an area of land is converted to a land use with a higher original mineral SOC stock than the category it is converted from, no N</w:t>
      </w:r>
      <w:r w:rsidRPr="00256982">
        <w:rPr>
          <w:vertAlign w:val="subscript"/>
        </w:rPr>
        <w:t>2</w:t>
      </w:r>
      <w:r w:rsidRPr="00256982">
        <w:t>O emissions have been estimated as occurring because there is no associated loss of SOC. For instance, cropland converted to forest land is estimated not to result in net N</w:t>
      </w:r>
      <w:r w:rsidRPr="00256982">
        <w:rPr>
          <w:vertAlign w:val="subscript"/>
        </w:rPr>
        <w:t>2</w:t>
      </w:r>
      <w:r w:rsidRPr="00256982">
        <w:t>O emissions because this land-use conversion is associated with a net gain in SOC in New Zealand (see table 6.3.1). In these situations, the notation key NO (not occurring) is reported in the CRF tables.</w:t>
      </w:r>
    </w:p>
    <w:p w14:paraId="3560F782" w14:textId="77777777" w:rsidR="00380BE7" w:rsidRPr="00256982" w:rsidRDefault="00380BE7" w:rsidP="00380BE7">
      <w:pPr>
        <w:pStyle w:val="Heading4"/>
      </w:pPr>
      <w:bookmarkStart w:id="2173" w:name="_Toc280630355"/>
      <w:r w:rsidRPr="00256982">
        <w:t>Uncertainties and time-series consistency</w:t>
      </w:r>
      <w:bookmarkEnd w:id="2173"/>
    </w:p>
    <w:p w14:paraId="64040CFE" w14:textId="77777777" w:rsidR="00380BE7" w:rsidRPr="00256982" w:rsidRDefault="00380BE7" w:rsidP="00380BE7">
      <w:pPr>
        <w:pStyle w:val="BodyText"/>
      </w:pPr>
      <w:r w:rsidRPr="00256982">
        <w:t>New Zealand uses a country-specific value for calculating N</w:t>
      </w:r>
      <w:r w:rsidRPr="00256982">
        <w:rPr>
          <w:vertAlign w:val="subscript"/>
        </w:rPr>
        <w:t>2</w:t>
      </w:r>
      <w:r w:rsidRPr="00256982">
        <w:t xml:space="preserve">O emissions from nitrogen in soil. This value has a high level of uncertainty, which is estimated at 40.0 per cent (see table 6.11.1). </w:t>
      </w:r>
    </w:p>
    <w:p w14:paraId="0A735327" w14:textId="77777777" w:rsidR="00380BE7" w:rsidRPr="00256982" w:rsidRDefault="00380BE7" w:rsidP="00380BE7">
      <w:pPr>
        <w:pStyle w:val="Table"/>
      </w:pPr>
      <w:bookmarkStart w:id="2174" w:name="_Toc310423430"/>
      <w:bookmarkStart w:id="2175" w:name="_Toc318362723"/>
      <w:bookmarkStart w:id="2176" w:name="_Toc342470798"/>
      <w:bookmarkStart w:id="2177" w:name="_Toc352505038"/>
      <w:bookmarkStart w:id="2178" w:name="_Toc378853327"/>
      <w:bookmarkStart w:id="2179" w:name="_Toc391024125"/>
      <w:bookmarkStart w:id="2180" w:name="_Toc410028869"/>
      <w:bookmarkStart w:id="2181" w:name="_Toc414531497"/>
      <w:bookmarkStart w:id="2182" w:name="_Toc443645411"/>
      <w:bookmarkStart w:id="2183" w:name="_Toc474914630"/>
      <w:bookmarkStart w:id="2184" w:name="_Toc481751594"/>
      <w:bookmarkStart w:id="2185" w:name="_Toc522010651"/>
      <w:bookmarkStart w:id="2186" w:name="_Toc5269556"/>
      <w:r w:rsidRPr="00256982">
        <w:t>Table 6.11.1</w:t>
      </w:r>
      <w:r w:rsidRPr="00256982">
        <w:tab/>
        <w:t>Uncertainty in New Zealand’s 2017 estimates for N</w:t>
      </w:r>
      <w:r w:rsidRPr="00256982">
        <w:rPr>
          <w:vertAlign w:val="subscript"/>
        </w:rPr>
        <w:t>2</w:t>
      </w:r>
      <w:r w:rsidRPr="00256982">
        <w:t xml:space="preserve">O emissions from </w:t>
      </w:r>
      <w:bookmarkEnd w:id="2174"/>
      <w:bookmarkEnd w:id="2175"/>
      <w:bookmarkEnd w:id="2176"/>
      <w:bookmarkEnd w:id="2177"/>
      <w:bookmarkEnd w:id="2178"/>
      <w:bookmarkEnd w:id="2179"/>
      <w:r w:rsidRPr="00256982">
        <w:t>land-use change</w:t>
      </w:r>
      <w:bookmarkEnd w:id="2180"/>
      <w:bookmarkEnd w:id="2181"/>
      <w:bookmarkEnd w:id="2182"/>
      <w:bookmarkEnd w:id="2183"/>
      <w:bookmarkEnd w:id="2184"/>
      <w:bookmarkEnd w:id="2185"/>
      <w:bookmarkEnd w:id="2186"/>
    </w:p>
    <w:tbl>
      <w:tblPr>
        <w:tblW w:w="8505" w:type="dxa"/>
        <w:tblInd w:w="108" w:type="dxa"/>
        <w:tblLook w:val="04A0" w:firstRow="1" w:lastRow="0" w:firstColumn="1" w:lastColumn="0" w:noHBand="0" w:noVBand="1"/>
      </w:tblPr>
      <w:tblGrid>
        <w:gridCol w:w="4696"/>
        <w:gridCol w:w="3809"/>
      </w:tblGrid>
      <w:tr w:rsidR="00380BE7" w:rsidRPr="00256982" w14:paraId="7CF9C572" w14:textId="77777777" w:rsidTr="009574E7">
        <w:trPr>
          <w:tblHeader/>
        </w:trPr>
        <w:tc>
          <w:tcPr>
            <w:tcW w:w="4253" w:type="dxa"/>
            <w:tcBorders>
              <w:top w:val="single" w:sz="4" w:space="0" w:color="365F91"/>
              <w:bottom w:val="single" w:sz="4" w:space="0" w:color="365F91"/>
            </w:tcBorders>
            <w:shd w:val="clear" w:color="auto" w:fill="365F91"/>
            <w:noWrap/>
            <w:hideMark/>
          </w:tcPr>
          <w:p w14:paraId="0549C1B5" w14:textId="77777777" w:rsidR="00380BE7" w:rsidRPr="00256982" w:rsidRDefault="00380BE7" w:rsidP="009574E7">
            <w:pPr>
              <w:pStyle w:val="TableTextBold"/>
              <w:keepNext/>
              <w:spacing w:before="40" w:after="40"/>
              <w:rPr>
                <w:noProof w:val="0"/>
                <w:color w:val="FFFFFF"/>
              </w:rPr>
            </w:pPr>
            <w:r w:rsidRPr="00256982">
              <w:rPr>
                <w:noProof w:val="0"/>
                <w:color w:val="FFFFFF"/>
              </w:rPr>
              <w:t>Variable</w:t>
            </w:r>
          </w:p>
        </w:tc>
        <w:tc>
          <w:tcPr>
            <w:tcW w:w="3450" w:type="dxa"/>
            <w:tcBorders>
              <w:top w:val="single" w:sz="4" w:space="0" w:color="365F91"/>
              <w:bottom w:val="single" w:sz="4" w:space="0" w:color="365F91"/>
            </w:tcBorders>
            <w:shd w:val="clear" w:color="auto" w:fill="365F91"/>
            <w:noWrap/>
            <w:hideMark/>
          </w:tcPr>
          <w:p w14:paraId="7998FB9E" w14:textId="77777777" w:rsidR="00380BE7" w:rsidRPr="00256982" w:rsidRDefault="00380BE7" w:rsidP="009574E7">
            <w:pPr>
              <w:pStyle w:val="TableTextBold"/>
              <w:spacing w:before="40" w:after="40"/>
              <w:jc w:val="center"/>
              <w:rPr>
                <w:noProof w:val="0"/>
                <w:color w:val="FFFFFF"/>
              </w:rPr>
            </w:pPr>
            <w:r w:rsidRPr="00256982">
              <w:rPr>
                <w:noProof w:val="0"/>
                <w:color w:val="FFFFFF"/>
              </w:rPr>
              <w:t>Uncertainty at a 95% confidence interval (%)</w:t>
            </w:r>
          </w:p>
        </w:tc>
      </w:tr>
      <w:tr w:rsidR="00380BE7" w:rsidRPr="00256982" w14:paraId="67C7BF9A" w14:textId="77777777" w:rsidTr="009574E7">
        <w:tc>
          <w:tcPr>
            <w:tcW w:w="4253" w:type="dxa"/>
            <w:tcBorders>
              <w:top w:val="single" w:sz="4" w:space="0" w:color="365F91"/>
              <w:bottom w:val="single" w:sz="4" w:space="0" w:color="365F91"/>
            </w:tcBorders>
            <w:noWrap/>
            <w:hideMark/>
          </w:tcPr>
          <w:p w14:paraId="151899BB" w14:textId="77777777" w:rsidR="00380BE7" w:rsidRPr="00256982" w:rsidRDefault="00380BE7" w:rsidP="009574E7">
            <w:pPr>
              <w:pStyle w:val="TableTextBold"/>
              <w:keepNext/>
              <w:spacing w:before="40" w:after="40"/>
              <w:rPr>
                <w:noProof w:val="0"/>
              </w:rPr>
            </w:pPr>
            <w:r w:rsidRPr="00256982">
              <w:rPr>
                <w:noProof w:val="0"/>
              </w:rPr>
              <w:t>Activity data</w:t>
            </w:r>
          </w:p>
        </w:tc>
        <w:tc>
          <w:tcPr>
            <w:tcW w:w="3450" w:type="dxa"/>
            <w:tcBorders>
              <w:top w:val="single" w:sz="4" w:space="0" w:color="365F91"/>
              <w:bottom w:val="single" w:sz="4" w:space="0" w:color="365F91"/>
            </w:tcBorders>
            <w:noWrap/>
            <w:hideMark/>
          </w:tcPr>
          <w:p w14:paraId="6BCE6363" w14:textId="77777777" w:rsidR="00380BE7" w:rsidRPr="00256982" w:rsidRDefault="00380BE7" w:rsidP="009574E7">
            <w:pPr>
              <w:pStyle w:val="TableTextBold"/>
              <w:tabs>
                <w:tab w:val="decimal" w:pos="0"/>
              </w:tabs>
              <w:spacing w:before="40" w:after="40"/>
              <w:jc w:val="center"/>
              <w:rPr>
                <w:noProof w:val="0"/>
              </w:rPr>
            </w:pPr>
          </w:p>
        </w:tc>
      </w:tr>
      <w:tr w:rsidR="00380BE7" w:rsidRPr="00256982" w14:paraId="1B66F4AC" w14:textId="77777777" w:rsidTr="009574E7">
        <w:tc>
          <w:tcPr>
            <w:tcW w:w="4253" w:type="dxa"/>
            <w:tcBorders>
              <w:top w:val="single" w:sz="4" w:space="0" w:color="365F91"/>
              <w:bottom w:val="single" w:sz="4" w:space="0" w:color="365F91"/>
            </w:tcBorders>
            <w:noWrap/>
            <w:hideMark/>
          </w:tcPr>
          <w:p w14:paraId="750E73D9" w14:textId="77777777" w:rsidR="00380BE7" w:rsidRPr="00256982" w:rsidRDefault="00380BE7" w:rsidP="009574E7">
            <w:pPr>
              <w:pStyle w:val="TableText"/>
              <w:keepNext/>
              <w:spacing w:before="40" w:after="40"/>
            </w:pPr>
            <w:r w:rsidRPr="00256982">
              <w:t>Uncertainty in land area</w:t>
            </w:r>
          </w:p>
        </w:tc>
        <w:tc>
          <w:tcPr>
            <w:tcW w:w="3450" w:type="dxa"/>
            <w:tcBorders>
              <w:top w:val="single" w:sz="4" w:space="0" w:color="365F91"/>
              <w:bottom w:val="single" w:sz="4" w:space="0" w:color="365F91"/>
            </w:tcBorders>
            <w:noWrap/>
            <w:hideMark/>
          </w:tcPr>
          <w:p w14:paraId="467F442B" w14:textId="77777777" w:rsidR="00380BE7" w:rsidRPr="00256982" w:rsidRDefault="00380BE7" w:rsidP="009574E7">
            <w:pPr>
              <w:pStyle w:val="TableText"/>
              <w:tabs>
                <w:tab w:val="decimal" w:pos="0"/>
              </w:tabs>
              <w:spacing w:before="40" w:after="40"/>
              <w:jc w:val="center"/>
            </w:pPr>
            <w:r w:rsidRPr="00256982">
              <w:t>±8.0</w:t>
            </w:r>
          </w:p>
        </w:tc>
      </w:tr>
      <w:tr w:rsidR="00380BE7" w:rsidRPr="00256982" w14:paraId="12194BB6" w14:textId="77777777" w:rsidTr="009574E7">
        <w:tc>
          <w:tcPr>
            <w:tcW w:w="4253" w:type="dxa"/>
            <w:tcBorders>
              <w:top w:val="single" w:sz="4" w:space="0" w:color="365F91"/>
              <w:bottom w:val="single" w:sz="4" w:space="0" w:color="365F91"/>
            </w:tcBorders>
            <w:noWrap/>
            <w:hideMark/>
          </w:tcPr>
          <w:p w14:paraId="57C53629" w14:textId="77777777" w:rsidR="00380BE7" w:rsidRPr="00256982" w:rsidRDefault="00380BE7" w:rsidP="009574E7">
            <w:pPr>
              <w:pStyle w:val="TableTextBold"/>
              <w:keepNext/>
              <w:spacing w:before="40" w:after="40"/>
              <w:rPr>
                <w:noProof w:val="0"/>
              </w:rPr>
            </w:pPr>
            <w:r w:rsidRPr="00256982">
              <w:rPr>
                <w:noProof w:val="0"/>
              </w:rPr>
              <w:t>Emission factors</w:t>
            </w:r>
          </w:p>
        </w:tc>
        <w:tc>
          <w:tcPr>
            <w:tcW w:w="3450" w:type="dxa"/>
            <w:tcBorders>
              <w:top w:val="single" w:sz="4" w:space="0" w:color="365F91"/>
              <w:bottom w:val="single" w:sz="4" w:space="0" w:color="365F91"/>
            </w:tcBorders>
            <w:noWrap/>
            <w:hideMark/>
          </w:tcPr>
          <w:p w14:paraId="43BBAE44" w14:textId="77777777" w:rsidR="00380BE7" w:rsidRPr="00256982" w:rsidRDefault="00380BE7" w:rsidP="009574E7">
            <w:pPr>
              <w:pStyle w:val="TableTextBold"/>
              <w:tabs>
                <w:tab w:val="decimal" w:pos="0"/>
              </w:tabs>
              <w:spacing w:before="40" w:after="40"/>
              <w:jc w:val="center"/>
              <w:rPr>
                <w:noProof w:val="0"/>
              </w:rPr>
            </w:pPr>
          </w:p>
        </w:tc>
      </w:tr>
      <w:tr w:rsidR="00380BE7" w:rsidRPr="00256982" w14:paraId="0D13C4AE" w14:textId="77777777" w:rsidTr="009574E7">
        <w:tc>
          <w:tcPr>
            <w:tcW w:w="4253" w:type="dxa"/>
            <w:tcBorders>
              <w:top w:val="single" w:sz="4" w:space="0" w:color="365F91"/>
              <w:bottom w:val="single" w:sz="4" w:space="0" w:color="365F91"/>
            </w:tcBorders>
            <w:noWrap/>
            <w:hideMark/>
          </w:tcPr>
          <w:p w14:paraId="6F7A32E5" w14:textId="77777777" w:rsidR="00380BE7" w:rsidRPr="00256982" w:rsidRDefault="00380BE7" w:rsidP="009574E7">
            <w:pPr>
              <w:pStyle w:val="TableText"/>
              <w:spacing w:before="40" w:after="40"/>
            </w:pPr>
            <w:r w:rsidRPr="00256982">
              <w:t>Uncertainty in N</w:t>
            </w:r>
            <w:r w:rsidRPr="00256982">
              <w:rPr>
                <w:vertAlign w:val="subscript"/>
              </w:rPr>
              <w:t>2</w:t>
            </w:r>
            <w:r w:rsidRPr="00256982">
              <w:t>O calculation</w:t>
            </w:r>
          </w:p>
        </w:tc>
        <w:tc>
          <w:tcPr>
            <w:tcW w:w="3450" w:type="dxa"/>
            <w:tcBorders>
              <w:top w:val="single" w:sz="4" w:space="0" w:color="365F91"/>
              <w:bottom w:val="single" w:sz="4" w:space="0" w:color="365F91"/>
            </w:tcBorders>
            <w:noWrap/>
            <w:hideMark/>
          </w:tcPr>
          <w:p w14:paraId="3DFF7AB8" w14:textId="77777777" w:rsidR="00380BE7" w:rsidRPr="00256982" w:rsidRDefault="00380BE7" w:rsidP="009574E7">
            <w:pPr>
              <w:pStyle w:val="TableText"/>
              <w:tabs>
                <w:tab w:val="decimal" w:pos="0"/>
              </w:tabs>
              <w:spacing w:before="40" w:after="40"/>
              <w:jc w:val="center"/>
            </w:pPr>
            <w:r w:rsidRPr="00256982">
              <w:t>±40.0</w:t>
            </w:r>
          </w:p>
        </w:tc>
      </w:tr>
      <w:tr w:rsidR="00380BE7" w:rsidRPr="00256982" w14:paraId="6A9EBD3D" w14:textId="77777777" w:rsidTr="009574E7">
        <w:tc>
          <w:tcPr>
            <w:tcW w:w="4253" w:type="dxa"/>
            <w:tcBorders>
              <w:top w:val="single" w:sz="4" w:space="0" w:color="365F91"/>
              <w:bottom w:val="single" w:sz="4" w:space="0" w:color="365F91"/>
            </w:tcBorders>
            <w:noWrap/>
          </w:tcPr>
          <w:p w14:paraId="4A6D06E6" w14:textId="77777777" w:rsidR="00380BE7" w:rsidRPr="00256982" w:rsidRDefault="00380BE7" w:rsidP="009574E7">
            <w:pPr>
              <w:pStyle w:val="TableText"/>
              <w:spacing w:before="40" w:after="40"/>
            </w:pPr>
            <w:r w:rsidRPr="00256982">
              <w:t>Uncertainty in carbon calculation</w:t>
            </w:r>
          </w:p>
        </w:tc>
        <w:tc>
          <w:tcPr>
            <w:tcW w:w="3450" w:type="dxa"/>
            <w:tcBorders>
              <w:top w:val="single" w:sz="4" w:space="0" w:color="365F91"/>
              <w:bottom w:val="single" w:sz="4" w:space="0" w:color="365F91"/>
            </w:tcBorders>
            <w:noWrap/>
          </w:tcPr>
          <w:p w14:paraId="53AE8E87" w14:textId="77777777" w:rsidR="00380BE7" w:rsidRPr="00256982" w:rsidRDefault="00380BE7" w:rsidP="009574E7">
            <w:pPr>
              <w:pStyle w:val="TableText"/>
              <w:tabs>
                <w:tab w:val="decimal" w:pos="0"/>
              </w:tabs>
              <w:spacing w:before="40" w:after="40"/>
              <w:jc w:val="center"/>
            </w:pPr>
            <w:r w:rsidRPr="00256982">
              <w:t>±33.0</w:t>
            </w:r>
          </w:p>
        </w:tc>
      </w:tr>
      <w:tr w:rsidR="00380BE7" w:rsidRPr="00256982" w14:paraId="7915E3B0" w14:textId="77777777" w:rsidTr="009574E7">
        <w:tc>
          <w:tcPr>
            <w:tcW w:w="4253" w:type="dxa"/>
            <w:tcBorders>
              <w:top w:val="single" w:sz="4" w:space="0" w:color="365F91"/>
              <w:bottom w:val="single" w:sz="4" w:space="0" w:color="365F91"/>
            </w:tcBorders>
            <w:noWrap/>
            <w:hideMark/>
          </w:tcPr>
          <w:p w14:paraId="66CEB216" w14:textId="77777777" w:rsidR="00380BE7" w:rsidRPr="00256982" w:rsidRDefault="00380BE7" w:rsidP="009574E7">
            <w:pPr>
              <w:pStyle w:val="Tableboldblue"/>
              <w:spacing w:before="40" w:after="40"/>
            </w:pPr>
            <w:r w:rsidRPr="00256982">
              <w:t>Uncertainty introduced into net emissions for LULUCF</w:t>
            </w:r>
          </w:p>
        </w:tc>
        <w:tc>
          <w:tcPr>
            <w:tcW w:w="3450" w:type="dxa"/>
            <w:tcBorders>
              <w:top w:val="single" w:sz="4" w:space="0" w:color="365F91"/>
              <w:bottom w:val="single" w:sz="4" w:space="0" w:color="365F91"/>
            </w:tcBorders>
            <w:noWrap/>
            <w:hideMark/>
          </w:tcPr>
          <w:p w14:paraId="2292E989" w14:textId="77777777" w:rsidR="00380BE7" w:rsidRPr="00256982" w:rsidRDefault="00380BE7" w:rsidP="009574E7">
            <w:pPr>
              <w:pStyle w:val="Tableboldblue"/>
              <w:tabs>
                <w:tab w:val="decimal" w:pos="0"/>
              </w:tabs>
              <w:spacing w:before="40" w:after="40"/>
              <w:jc w:val="center"/>
            </w:pPr>
            <w:r w:rsidRPr="00256982">
              <w:t>IE</w:t>
            </w:r>
          </w:p>
        </w:tc>
      </w:tr>
    </w:tbl>
    <w:p w14:paraId="57CCDC9C" w14:textId="77777777" w:rsidR="00380BE7" w:rsidRPr="00256982" w:rsidRDefault="00380BE7" w:rsidP="00380BE7">
      <w:pPr>
        <w:pStyle w:val="Heading4"/>
        <w:spacing w:before="360"/>
      </w:pPr>
      <w:bookmarkStart w:id="2187" w:name="_Toc280630357"/>
      <w:r w:rsidRPr="00256982">
        <w:lastRenderedPageBreak/>
        <w:t>Source-specific planned improvements</w:t>
      </w:r>
      <w:bookmarkEnd w:id="2187"/>
    </w:p>
    <w:p w14:paraId="6938284F" w14:textId="77777777" w:rsidR="00380BE7" w:rsidRPr="00256982" w:rsidRDefault="00380BE7" w:rsidP="00380BE7">
      <w:pPr>
        <w:pStyle w:val="BodyText"/>
      </w:pPr>
      <w:bookmarkStart w:id="2188" w:name="_Toc255466320"/>
      <w:bookmarkStart w:id="2189" w:name="_Toc261513127"/>
      <w:bookmarkStart w:id="2190" w:name="_Toc261513740"/>
      <w:bookmarkStart w:id="2191" w:name="_Toc280630364"/>
      <w:r w:rsidRPr="00256982">
        <w:t>No improvements are planned for this category at this time.</w:t>
      </w:r>
    </w:p>
    <w:p w14:paraId="2A6F3E29" w14:textId="77777777" w:rsidR="00380BE7" w:rsidRPr="00256982" w:rsidRDefault="00380BE7" w:rsidP="00380BE7">
      <w:pPr>
        <w:pStyle w:val="Heading3"/>
      </w:pPr>
      <w:r w:rsidRPr="00256982">
        <w:t xml:space="preserve">6.11.4 </w:t>
      </w:r>
      <w:r w:rsidRPr="00256982">
        <w:tab/>
        <w:t>Indirect N</w:t>
      </w:r>
      <w:r w:rsidRPr="00256982">
        <w:rPr>
          <w:vertAlign w:val="subscript"/>
        </w:rPr>
        <w:t>2</w:t>
      </w:r>
      <w:r w:rsidRPr="00256982">
        <w:t>O emissions from managed soils (CRF 4(IV))</w:t>
      </w:r>
    </w:p>
    <w:p w14:paraId="08B06E1C" w14:textId="77777777" w:rsidR="00380BE7" w:rsidRPr="00256982" w:rsidRDefault="00380BE7" w:rsidP="00380BE7">
      <w:pPr>
        <w:pStyle w:val="Heading4"/>
      </w:pPr>
      <w:r w:rsidRPr="00256982">
        <w:t>Description</w:t>
      </w:r>
    </w:p>
    <w:p w14:paraId="737CD906" w14:textId="77777777" w:rsidR="00380BE7" w:rsidRPr="00256982" w:rsidRDefault="00380BE7" w:rsidP="00380BE7">
      <w:pPr>
        <w:pStyle w:val="BodyText"/>
      </w:pPr>
      <w:r w:rsidRPr="00256982">
        <w:t xml:space="preserve">New Zealand cannot separate the sources of nitrogen between </w:t>
      </w:r>
      <w:r w:rsidRPr="00256982">
        <w:rPr>
          <w:i/>
        </w:rPr>
        <w:t>Cropland</w:t>
      </w:r>
      <w:r w:rsidRPr="00256982">
        <w:t xml:space="preserve">, </w:t>
      </w:r>
      <w:r w:rsidRPr="00256982">
        <w:rPr>
          <w:i/>
        </w:rPr>
        <w:t>Grassland</w:t>
      </w:r>
      <w:r w:rsidRPr="00256982">
        <w:t xml:space="preserve"> and </w:t>
      </w:r>
      <w:r w:rsidRPr="00256982">
        <w:rPr>
          <w:i/>
        </w:rPr>
        <w:t>Other land</w:t>
      </w:r>
      <w:r w:rsidRPr="00256982">
        <w:t xml:space="preserve"> uses. For this reason, it reports all </w:t>
      </w:r>
      <w:r w:rsidRPr="00256982">
        <w:rPr>
          <w:i/>
        </w:rPr>
        <w:t>Indirect N</w:t>
      </w:r>
      <w:r w:rsidRPr="00256982">
        <w:rPr>
          <w:i/>
          <w:vertAlign w:val="subscript"/>
        </w:rPr>
        <w:t>2</w:t>
      </w:r>
      <w:r w:rsidRPr="00256982">
        <w:rPr>
          <w:i/>
        </w:rPr>
        <w:t>O emissions from managed soils</w:t>
      </w:r>
      <w:r w:rsidRPr="00256982">
        <w:t xml:space="preserve"> within CRF table 3.D.b in the Agriculture</w:t>
      </w:r>
      <w:r w:rsidRPr="00256982">
        <w:rPr>
          <w:i/>
        </w:rPr>
        <w:t xml:space="preserve"> </w:t>
      </w:r>
      <w:r w:rsidRPr="00256982">
        <w:t>sector and uses the notation key IE (included elsewhere) within CRF table 4(IV) of the</w:t>
      </w:r>
      <w:r w:rsidRPr="00256982">
        <w:rPr>
          <w:i/>
        </w:rPr>
        <w:t xml:space="preserve"> </w:t>
      </w:r>
      <w:r w:rsidRPr="00256982">
        <w:t xml:space="preserve">LULUCF sector. </w:t>
      </w:r>
    </w:p>
    <w:p w14:paraId="179EA581" w14:textId="77777777" w:rsidR="00380BE7" w:rsidRPr="00256982" w:rsidRDefault="00380BE7" w:rsidP="00380BE7">
      <w:pPr>
        <w:pStyle w:val="Heading3"/>
      </w:pPr>
      <w:r w:rsidRPr="00256982">
        <w:t xml:space="preserve">6.11.5 </w:t>
      </w:r>
      <w:r w:rsidRPr="00256982">
        <w:tab/>
        <w:t>Biomass burning</w:t>
      </w:r>
      <w:bookmarkEnd w:id="2188"/>
      <w:bookmarkEnd w:id="2189"/>
      <w:bookmarkEnd w:id="2190"/>
      <w:r w:rsidRPr="00256982">
        <w:t xml:space="preserve"> (CRF 4(V)</w:t>
      </w:r>
      <w:bookmarkEnd w:id="2191"/>
      <w:r w:rsidRPr="00256982">
        <w:t>)</w:t>
      </w:r>
    </w:p>
    <w:p w14:paraId="3C40161D" w14:textId="77777777" w:rsidR="00380BE7" w:rsidRPr="00256982" w:rsidRDefault="00380BE7" w:rsidP="00380BE7">
      <w:pPr>
        <w:pStyle w:val="Heading4"/>
      </w:pPr>
      <w:bookmarkStart w:id="2192" w:name="_Toc280630365"/>
      <w:r w:rsidRPr="00256982">
        <w:t>Description</w:t>
      </w:r>
      <w:bookmarkEnd w:id="2192"/>
    </w:p>
    <w:p w14:paraId="019D1E9F" w14:textId="77777777" w:rsidR="00380BE7" w:rsidRPr="00256982" w:rsidRDefault="00380BE7" w:rsidP="00380BE7">
      <w:pPr>
        <w:pStyle w:val="BodyText"/>
      </w:pPr>
      <w:r w:rsidRPr="00256982">
        <w:rPr>
          <w:i/>
        </w:rPr>
        <w:t>Biomass burning</w:t>
      </w:r>
      <w:r w:rsidRPr="00256982">
        <w:t xml:space="preserve"> can occur as a result of wildfires or controlled burning, and results in emissions of CO</w:t>
      </w:r>
      <w:r w:rsidRPr="00256982">
        <w:rPr>
          <w:vertAlign w:val="subscript"/>
        </w:rPr>
        <w:t>2</w:t>
      </w:r>
      <w:r w:rsidRPr="00256982">
        <w:t>, CH</w:t>
      </w:r>
      <w:r w:rsidRPr="00256982">
        <w:rPr>
          <w:vertAlign w:val="subscript"/>
        </w:rPr>
        <w:t>4</w:t>
      </w:r>
      <w:r w:rsidRPr="00256982">
        <w:t>, N</w:t>
      </w:r>
      <w:r w:rsidRPr="00256982">
        <w:rPr>
          <w:vertAlign w:val="subscript"/>
        </w:rPr>
        <w:t>2</w:t>
      </w:r>
      <w:r w:rsidRPr="00256982">
        <w:t>O, CO and NO</w:t>
      </w:r>
      <w:r w:rsidRPr="00256982">
        <w:rPr>
          <w:vertAlign w:val="subscript"/>
        </w:rPr>
        <w:t>x</w:t>
      </w:r>
      <w:r w:rsidRPr="00256982">
        <w:t xml:space="preserve">. </w:t>
      </w:r>
      <w:r w:rsidRPr="00256982">
        <w:rPr>
          <w:i/>
        </w:rPr>
        <w:t>Biomass burning</w:t>
      </w:r>
      <w:r w:rsidRPr="00256982" w:rsidDel="008B158D">
        <w:t xml:space="preserve"> </w:t>
      </w:r>
      <w:r w:rsidRPr="00256982">
        <w:t>is not a significant source of emissions for New Zealand because the practice of controlled burning is limited and wildfires are not common due to New Zealand’s temperate climate and vegetation.</w:t>
      </w:r>
    </w:p>
    <w:p w14:paraId="03AC6333" w14:textId="51CF50B2" w:rsidR="00380BE7" w:rsidRPr="00256982" w:rsidRDefault="00380BE7" w:rsidP="00380BE7">
      <w:pPr>
        <w:pStyle w:val="BodyText"/>
      </w:pPr>
      <w:r w:rsidRPr="00256982">
        <w:t>The two types of biomass burning (i.e., wildfire and controlled burning) that occur in New</w:t>
      </w:r>
      <w:r w:rsidR="0068773D" w:rsidRPr="00256982">
        <w:t> </w:t>
      </w:r>
      <w:r w:rsidRPr="00256982">
        <w:t xml:space="preserve">Zealand are reported in two main land use categories: </w:t>
      </w:r>
      <w:r w:rsidRPr="00256982">
        <w:rPr>
          <w:i/>
        </w:rPr>
        <w:t>Forest land</w:t>
      </w:r>
      <w:r w:rsidRPr="00256982">
        <w:t xml:space="preserve"> and </w:t>
      </w:r>
      <w:r w:rsidRPr="00256982">
        <w:rPr>
          <w:i/>
        </w:rPr>
        <w:t>Grassland</w:t>
      </w:r>
      <w:r w:rsidRPr="00256982">
        <w:t xml:space="preserve">. Emissions reported in forest land are further separated by forest type, and emissions from grassland are reported from the controlled burning of tussockland (in ecosystems dominated by </w:t>
      </w:r>
      <w:r w:rsidRPr="00256982">
        <w:rPr>
          <w:i/>
        </w:rPr>
        <w:t xml:space="preserve">Chionochloa </w:t>
      </w:r>
      <w:r w:rsidRPr="00256982">
        <w:t>spp.) and from wildfires in exotic pasture grassland.</w:t>
      </w:r>
    </w:p>
    <w:p w14:paraId="0766602B" w14:textId="77777777" w:rsidR="00380BE7" w:rsidRPr="00256982" w:rsidRDefault="00380BE7" w:rsidP="00380BE7">
      <w:pPr>
        <w:pStyle w:val="BodyText"/>
      </w:pPr>
      <w:r w:rsidRPr="00256982">
        <w:t>Non-CO</w:t>
      </w:r>
      <w:r w:rsidRPr="00256982">
        <w:rPr>
          <w:vertAlign w:val="subscript"/>
        </w:rPr>
        <w:t xml:space="preserve">2 </w:t>
      </w:r>
      <w:r w:rsidRPr="00256982">
        <w:t xml:space="preserve">emissions from </w:t>
      </w:r>
      <w:r w:rsidRPr="00256982">
        <w:rPr>
          <w:i/>
        </w:rPr>
        <w:t>Biomass burning</w:t>
      </w:r>
      <w:r w:rsidRPr="00256982">
        <w:t xml:space="preserve"> in 2017 were 3.7 kt CH</w:t>
      </w:r>
      <w:r w:rsidRPr="00256982">
        <w:rPr>
          <w:vertAlign w:val="subscript"/>
        </w:rPr>
        <w:t>4</w:t>
      </w:r>
      <w:r w:rsidRPr="00256982">
        <w:t xml:space="preserve"> (92.9 kt CO</w:t>
      </w:r>
      <w:r w:rsidRPr="00256982">
        <w:rPr>
          <w:vertAlign w:val="subscript"/>
        </w:rPr>
        <w:t>2</w:t>
      </w:r>
      <w:r w:rsidRPr="00256982">
        <w:t>-e) and 0.09 kt N</w:t>
      </w:r>
      <w:r w:rsidRPr="00256982">
        <w:rPr>
          <w:vertAlign w:val="subscript"/>
        </w:rPr>
        <w:t>2</w:t>
      </w:r>
      <w:r w:rsidRPr="00256982">
        <w:t>O (25.3 kt CO</w:t>
      </w:r>
      <w:r w:rsidRPr="00256982">
        <w:rPr>
          <w:vertAlign w:val="subscript"/>
        </w:rPr>
        <w:t>2</w:t>
      </w:r>
      <w:r w:rsidRPr="00256982">
        <w:t>-e) (see table 6.11.2).</w:t>
      </w:r>
    </w:p>
    <w:p w14:paraId="7D83F8EA" w14:textId="77777777" w:rsidR="00380BE7" w:rsidRPr="00256982" w:rsidRDefault="00380BE7" w:rsidP="00380BE7">
      <w:pPr>
        <w:pStyle w:val="Table"/>
      </w:pPr>
      <w:bookmarkStart w:id="2193" w:name="_Toc310423431"/>
      <w:bookmarkStart w:id="2194" w:name="_Toc318362724"/>
      <w:bookmarkStart w:id="2195" w:name="_Toc342470799"/>
      <w:bookmarkStart w:id="2196" w:name="_Toc352505039"/>
      <w:bookmarkStart w:id="2197" w:name="_Toc378853328"/>
      <w:bookmarkStart w:id="2198" w:name="_Toc391024126"/>
      <w:bookmarkStart w:id="2199" w:name="_Toc410028870"/>
      <w:bookmarkStart w:id="2200" w:name="_Toc414531498"/>
      <w:bookmarkStart w:id="2201" w:name="_Toc443645412"/>
      <w:bookmarkStart w:id="2202" w:name="_Toc474914631"/>
      <w:bookmarkStart w:id="2203" w:name="_Toc481751595"/>
      <w:bookmarkStart w:id="2204" w:name="_Toc522010652"/>
      <w:bookmarkStart w:id="2205" w:name="_Toc5269557"/>
      <w:r w:rsidRPr="00256982">
        <w:t>Table 6.11.2</w:t>
      </w:r>
      <w:r w:rsidRPr="00256982">
        <w:tab/>
        <w:t>Non-CO</w:t>
      </w:r>
      <w:r w:rsidRPr="00256982">
        <w:rPr>
          <w:vertAlign w:val="subscript"/>
        </w:rPr>
        <w:t>2</w:t>
      </w:r>
      <w:r w:rsidRPr="00256982">
        <w:t xml:space="preserve"> emissions from Biomass burning</w:t>
      </w:r>
      <w:bookmarkEnd w:id="2193"/>
      <w:bookmarkEnd w:id="2194"/>
      <w:bookmarkEnd w:id="2195"/>
      <w:bookmarkEnd w:id="2196"/>
      <w:bookmarkEnd w:id="2197"/>
      <w:bookmarkEnd w:id="2198"/>
      <w:bookmarkEnd w:id="2199"/>
      <w:bookmarkEnd w:id="2200"/>
      <w:bookmarkEnd w:id="2201"/>
      <w:bookmarkEnd w:id="2202"/>
      <w:bookmarkEnd w:id="2203"/>
      <w:bookmarkEnd w:id="2204"/>
      <w:bookmarkEnd w:id="2205"/>
    </w:p>
    <w:tbl>
      <w:tblPr>
        <w:tblW w:w="8505" w:type="dxa"/>
        <w:tblInd w:w="108" w:type="dxa"/>
        <w:tblBorders>
          <w:top w:val="single" w:sz="4" w:space="0" w:color="365F91"/>
          <w:bottom w:val="single" w:sz="4" w:space="0" w:color="365F91"/>
          <w:insideH w:val="single" w:sz="4" w:space="0" w:color="365F91"/>
        </w:tblBorders>
        <w:tblLook w:val="04A0" w:firstRow="1" w:lastRow="0" w:firstColumn="1" w:lastColumn="0" w:noHBand="0" w:noVBand="1"/>
      </w:tblPr>
      <w:tblGrid>
        <w:gridCol w:w="4092"/>
        <w:gridCol w:w="1055"/>
        <w:gridCol w:w="1056"/>
        <w:gridCol w:w="2302"/>
      </w:tblGrid>
      <w:tr w:rsidR="00380BE7" w:rsidRPr="00256982" w14:paraId="5F6A9E62" w14:textId="77777777" w:rsidTr="009574E7">
        <w:tc>
          <w:tcPr>
            <w:tcW w:w="4092" w:type="dxa"/>
            <w:shd w:val="clear" w:color="auto" w:fill="365F91"/>
          </w:tcPr>
          <w:p w14:paraId="4AF118C8" w14:textId="77777777" w:rsidR="00380BE7" w:rsidRPr="00256982" w:rsidRDefault="00380BE7" w:rsidP="009574E7">
            <w:pPr>
              <w:pStyle w:val="TableTextBold"/>
              <w:spacing w:before="40" w:after="40"/>
              <w:rPr>
                <w:noProof w:val="0"/>
                <w:color w:val="FFFFFF"/>
              </w:rPr>
            </w:pPr>
            <w:r w:rsidRPr="00256982">
              <w:rPr>
                <w:noProof w:val="0"/>
                <w:color w:val="FFFFFF"/>
              </w:rPr>
              <w:t>Emissions</w:t>
            </w:r>
          </w:p>
        </w:tc>
        <w:tc>
          <w:tcPr>
            <w:tcW w:w="1055" w:type="dxa"/>
            <w:shd w:val="clear" w:color="auto" w:fill="365F91"/>
          </w:tcPr>
          <w:p w14:paraId="1E5092BD" w14:textId="77777777" w:rsidR="00380BE7" w:rsidRPr="00256982" w:rsidRDefault="00380BE7" w:rsidP="009574E7">
            <w:pPr>
              <w:pStyle w:val="TableTextBold"/>
              <w:spacing w:before="40" w:after="40"/>
              <w:jc w:val="center"/>
              <w:rPr>
                <w:noProof w:val="0"/>
                <w:color w:val="FFFFFF"/>
              </w:rPr>
            </w:pPr>
            <w:r w:rsidRPr="00256982">
              <w:rPr>
                <w:noProof w:val="0"/>
                <w:color w:val="FFFFFF"/>
              </w:rPr>
              <w:t>1990</w:t>
            </w:r>
          </w:p>
        </w:tc>
        <w:tc>
          <w:tcPr>
            <w:tcW w:w="1056" w:type="dxa"/>
            <w:shd w:val="clear" w:color="auto" w:fill="365F91"/>
          </w:tcPr>
          <w:p w14:paraId="141A2D96" w14:textId="77777777" w:rsidR="00380BE7" w:rsidRPr="00256982" w:rsidRDefault="00380BE7" w:rsidP="009574E7">
            <w:pPr>
              <w:pStyle w:val="TableTextBold"/>
              <w:spacing w:before="40" w:after="40"/>
              <w:jc w:val="center"/>
              <w:rPr>
                <w:noProof w:val="0"/>
                <w:color w:val="FFFFFF"/>
              </w:rPr>
            </w:pPr>
            <w:r w:rsidRPr="00256982">
              <w:rPr>
                <w:noProof w:val="0"/>
                <w:color w:val="FFFFFF"/>
              </w:rPr>
              <w:t>2017</w:t>
            </w:r>
          </w:p>
        </w:tc>
        <w:tc>
          <w:tcPr>
            <w:tcW w:w="2302" w:type="dxa"/>
            <w:shd w:val="clear" w:color="auto" w:fill="365F91"/>
          </w:tcPr>
          <w:p w14:paraId="4B538D90" w14:textId="77777777" w:rsidR="00380BE7" w:rsidRPr="00256982" w:rsidRDefault="00380BE7" w:rsidP="009574E7">
            <w:pPr>
              <w:pStyle w:val="TableTextBold"/>
              <w:spacing w:before="40" w:after="40"/>
              <w:jc w:val="center"/>
              <w:rPr>
                <w:noProof w:val="0"/>
                <w:color w:val="FFFFFF"/>
              </w:rPr>
            </w:pPr>
            <w:r w:rsidRPr="00256982">
              <w:rPr>
                <w:noProof w:val="0"/>
                <w:color w:val="FFFFFF"/>
              </w:rPr>
              <w:t>Change since 1990 (%)</w:t>
            </w:r>
          </w:p>
        </w:tc>
      </w:tr>
      <w:tr w:rsidR="00380BE7" w:rsidRPr="00256982" w14:paraId="729EC40E" w14:textId="77777777" w:rsidTr="009574E7">
        <w:tc>
          <w:tcPr>
            <w:tcW w:w="4092" w:type="dxa"/>
          </w:tcPr>
          <w:p w14:paraId="184B03F9" w14:textId="77777777" w:rsidR="00380BE7" w:rsidRPr="00256982" w:rsidRDefault="00380BE7" w:rsidP="009574E7">
            <w:pPr>
              <w:pStyle w:val="TableText"/>
            </w:pPr>
            <w:r w:rsidRPr="00256982">
              <w:t>CH</w:t>
            </w:r>
            <w:r w:rsidRPr="00256982">
              <w:rPr>
                <w:vertAlign w:val="subscript"/>
              </w:rPr>
              <w:t>4</w:t>
            </w:r>
            <w:r w:rsidRPr="00256982">
              <w:t xml:space="preserve"> emissions (kt CH</w:t>
            </w:r>
            <w:r w:rsidRPr="00256982">
              <w:rPr>
                <w:vertAlign w:val="subscript"/>
              </w:rPr>
              <w:t>4</w:t>
            </w:r>
            <w:r w:rsidRPr="00256982">
              <w:t>)</w:t>
            </w:r>
          </w:p>
        </w:tc>
        <w:tc>
          <w:tcPr>
            <w:tcW w:w="1055" w:type="dxa"/>
          </w:tcPr>
          <w:p w14:paraId="10E4304A" w14:textId="77777777" w:rsidR="00380BE7" w:rsidRPr="00256982" w:rsidRDefault="00380BE7" w:rsidP="009574E7">
            <w:pPr>
              <w:pStyle w:val="TableText"/>
              <w:tabs>
                <w:tab w:val="decimal" w:pos="204"/>
              </w:tabs>
              <w:jc w:val="center"/>
            </w:pPr>
            <w:r w:rsidRPr="00256982">
              <w:t>3.9</w:t>
            </w:r>
          </w:p>
        </w:tc>
        <w:tc>
          <w:tcPr>
            <w:tcW w:w="1056" w:type="dxa"/>
          </w:tcPr>
          <w:p w14:paraId="1D1D4FA4" w14:textId="77777777" w:rsidR="00380BE7" w:rsidRPr="00256982" w:rsidRDefault="00380BE7" w:rsidP="009574E7">
            <w:pPr>
              <w:pStyle w:val="TableText"/>
              <w:tabs>
                <w:tab w:val="decimal" w:pos="204"/>
              </w:tabs>
              <w:jc w:val="center"/>
            </w:pPr>
            <w:r w:rsidRPr="00256982">
              <w:t>3.7</w:t>
            </w:r>
          </w:p>
        </w:tc>
        <w:tc>
          <w:tcPr>
            <w:tcW w:w="2302" w:type="dxa"/>
          </w:tcPr>
          <w:p w14:paraId="0885085E" w14:textId="77777777" w:rsidR="00380BE7" w:rsidRPr="00256982" w:rsidRDefault="00380BE7" w:rsidP="009574E7">
            <w:pPr>
              <w:pStyle w:val="TableText"/>
              <w:tabs>
                <w:tab w:val="decimal" w:pos="204"/>
              </w:tabs>
              <w:jc w:val="center"/>
            </w:pPr>
            <w:r w:rsidRPr="00256982">
              <w:t>–5.1</w:t>
            </w:r>
          </w:p>
        </w:tc>
      </w:tr>
      <w:tr w:rsidR="00380BE7" w:rsidRPr="00256982" w14:paraId="71BC311D" w14:textId="77777777" w:rsidTr="009574E7">
        <w:tc>
          <w:tcPr>
            <w:tcW w:w="4092" w:type="dxa"/>
          </w:tcPr>
          <w:p w14:paraId="4FD438FB" w14:textId="77777777" w:rsidR="00380BE7" w:rsidRPr="00256982" w:rsidRDefault="00380BE7" w:rsidP="009574E7">
            <w:pPr>
              <w:pStyle w:val="TableText"/>
            </w:pPr>
            <w:r w:rsidRPr="00256982">
              <w:t>N</w:t>
            </w:r>
            <w:r w:rsidRPr="00256982">
              <w:rPr>
                <w:vertAlign w:val="subscript"/>
              </w:rPr>
              <w:t>2</w:t>
            </w:r>
            <w:r w:rsidRPr="00256982">
              <w:t>O emissions (kt N</w:t>
            </w:r>
            <w:r w:rsidRPr="00256982">
              <w:rPr>
                <w:vertAlign w:val="subscript"/>
              </w:rPr>
              <w:t>2</w:t>
            </w:r>
            <w:r w:rsidRPr="00256982">
              <w:t>O)</w:t>
            </w:r>
          </w:p>
        </w:tc>
        <w:tc>
          <w:tcPr>
            <w:tcW w:w="1055" w:type="dxa"/>
          </w:tcPr>
          <w:p w14:paraId="1B9AE49B" w14:textId="77777777" w:rsidR="00380BE7" w:rsidRPr="00256982" w:rsidRDefault="00380BE7" w:rsidP="009574E7">
            <w:pPr>
              <w:pStyle w:val="TableText"/>
              <w:tabs>
                <w:tab w:val="decimal" w:pos="204"/>
              </w:tabs>
              <w:jc w:val="center"/>
            </w:pPr>
            <w:r w:rsidRPr="00256982">
              <w:t>0.11</w:t>
            </w:r>
          </w:p>
        </w:tc>
        <w:tc>
          <w:tcPr>
            <w:tcW w:w="1056" w:type="dxa"/>
          </w:tcPr>
          <w:p w14:paraId="2040C59C" w14:textId="77777777" w:rsidR="00380BE7" w:rsidRPr="00256982" w:rsidRDefault="00380BE7" w:rsidP="009574E7">
            <w:pPr>
              <w:pStyle w:val="TableText"/>
              <w:tabs>
                <w:tab w:val="decimal" w:pos="204"/>
              </w:tabs>
              <w:jc w:val="center"/>
            </w:pPr>
            <w:r w:rsidRPr="00256982">
              <w:t>0.09</w:t>
            </w:r>
          </w:p>
        </w:tc>
        <w:tc>
          <w:tcPr>
            <w:tcW w:w="2302" w:type="dxa"/>
          </w:tcPr>
          <w:p w14:paraId="6FE9A718" w14:textId="77777777" w:rsidR="00380BE7" w:rsidRPr="00256982" w:rsidRDefault="00380BE7" w:rsidP="009574E7">
            <w:pPr>
              <w:pStyle w:val="TableText"/>
              <w:tabs>
                <w:tab w:val="decimal" w:pos="204"/>
              </w:tabs>
              <w:jc w:val="center"/>
            </w:pPr>
            <w:r w:rsidRPr="00256982">
              <w:t>–25.9</w:t>
            </w:r>
          </w:p>
        </w:tc>
      </w:tr>
    </w:tbl>
    <w:p w14:paraId="5BB506DE" w14:textId="77777777" w:rsidR="00380BE7" w:rsidRPr="00256982" w:rsidRDefault="00380BE7" w:rsidP="00380BE7">
      <w:pPr>
        <w:pStyle w:val="Heading4"/>
        <w:spacing w:before="360"/>
      </w:pPr>
      <w:bookmarkStart w:id="2206" w:name="_Toc280630366"/>
      <w:r w:rsidRPr="00256982">
        <w:t>Methodological issues</w:t>
      </w:r>
      <w:bookmarkEnd w:id="2206"/>
    </w:p>
    <w:p w14:paraId="4AD54AB0" w14:textId="5294293F" w:rsidR="00380BE7" w:rsidRPr="00256982" w:rsidRDefault="00380BE7" w:rsidP="00380BE7">
      <w:pPr>
        <w:pStyle w:val="BodyText"/>
      </w:pPr>
      <w:r w:rsidRPr="00256982">
        <w:t xml:space="preserve">The general approach for estimating greenhouse gas emissions from </w:t>
      </w:r>
      <w:r w:rsidRPr="00256982">
        <w:rPr>
          <w:i/>
        </w:rPr>
        <w:t>Biomass burning</w:t>
      </w:r>
      <w:r w:rsidRPr="00256982" w:rsidDel="002456C0">
        <w:t xml:space="preserve"> </w:t>
      </w:r>
      <w:r w:rsidRPr="00256982">
        <w:t xml:space="preserve">is the same regardless of the specific land use type. New Zealand employs Tier 2 methodologies to estimate emissions from </w:t>
      </w:r>
      <w:r w:rsidRPr="00256982">
        <w:rPr>
          <w:i/>
        </w:rPr>
        <w:t>Biomass burning</w:t>
      </w:r>
      <w:r w:rsidRPr="00256982">
        <w:t>. A combination of country-specific carbon fractions (Beets, unpublished), emission factors (Thomas et al., 2011) and combustion factors (Wakelin, unpublished(a),</w:t>
      </w:r>
      <w:r w:rsidR="0068773D" w:rsidRPr="00256982">
        <w:t> </w:t>
      </w:r>
      <w:r w:rsidRPr="00256982">
        <w:t>(i); Payton and Pearce, 2009) are employed along with the 2006 IPCC Guidelines default carbon fractions, emission factors, combustion factors and equations to derive emissions (sections 2.4, 4.2.4 and 6.2.4, IPCC, 2006a).</w:t>
      </w:r>
    </w:p>
    <w:p w14:paraId="739F2C2F" w14:textId="77777777" w:rsidR="00380BE7" w:rsidRPr="00256982" w:rsidRDefault="00380BE7" w:rsidP="00380BE7">
      <w:pPr>
        <w:pStyle w:val="BodyText"/>
        <w:rPr>
          <w:szCs w:val="22"/>
        </w:rPr>
      </w:pPr>
      <w:r w:rsidRPr="00256982">
        <w:t>For all land uses, CO</w:t>
      </w:r>
      <w:r w:rsidRPr="00256982">
        <w:rPr>
          <w:vertAlign w:val="subscript"/>
        </w:rPr>
        <w:t>2</w:t>
      </w:r>
      <w:r w:rsidRPr="00256982">
        <w:t xml:space="preserve"> emissions are captured in the general stock change calculation following the 2006 IPCC Guidelines (IPCC, 2006a)</w:t>
      </w:r>
      <w:r w:rsidRPr="00256982">
        <w:rPr>
          <w:szCs w:val="22"/>
        </w:rPr>
        <w:t>. C</w:t>
      </w:r>
      <w:r w:rsidRPr="00256982">
        <w:t>arbon dioxide</w:t>
      </w:r>
      <w:r w:rsidRPr="00256982" w:rsidDel="00097907">
        <w:t xml:space="preserve"> </w:t>
      </w:r>
      <w:r w:rsidRPr="00256982">
        <w:t xml:space="preserve">emissions resultant from biomass burning are reported as </w:t>
      </w:r>
      <w:r w:rsidRPr="00256982">
        <w:rPr>
          <w:szCs w:val="22"/>
        </w:rPr>
        <w:t>IE (included elsewhere), where emissions are captured in the stock change calculation within the land use category, or NE (not estimated), where no data exist or subsequent regrowth is not captured.</w:t>
      </w:r>
    </w:p>
    <w:p w14:paraId="3C6EF6A5" w14:textId="77777777" w:rsidR="00380BE7" w:rsidRPr="00256982" w:rsidRDefault="00380BE7" w:rsidP="00380BE7">
      <w:pPr>
        <w:pStyle w:val="BodyText"/>
        <w:rPr>
          <w:spacing w:val="-2"/>
        </w:rPr>
      </w:pPr>
      <w:r w:rsidRPr="00256982">
        <w:rPr>
          <w:szCs w:val="22"/>
        </w:rPr>
        <w:lastRenderedPageBreak/>
        <w:t>I</w:t>
      </w:r>
      <w:r w:rsidRPr="00256982">
        <w:t>n grassland, CO</w:t>
      </w:r>
      <w:r w:rsidRPr="00256982">
        <w:rPr>
          <w:vertAlign w:val="subscript"/>
        </w:rPr>
        <w:t xml:space="preserve">2 </w:t>
      </w:r>
      <w:r w:rsidRPr="00256982">
        <w:t>emissions from biomass burning are assumed to be equal to subsequent regrowth. The assumption of equivalence is accepted as reasonable in this scenario as per the 2006 IPCC Guidelines, sections 2.4 and 6.2.4 (IPCC, 2006a).</w:t>
      </w:r>
    </w:p>
    <w:p w14:paraId="07F8DD41" w14:textId="77777777" w:rsidR="00380BE7" w:rsidRPr="00256982" w:rsidRDefault="00380BE7" w:rsidP="00380BE7">
      <w:pPr>
        <w:pStyle w:val="BodyText"/>
      </w:pPr>
      <w:r w:rsidRPr="00256982">
        <w:rPr>
          <w:spacing w:val="-2"/>
        </w:rPr>
        <w:t xml:space="preserve">In cropland, </w:t>
      </w:r>
      <w:r w:rsidRPr="00256982">
        <w:t>CH</w:t>
      </w:r>
      <w:r w:rsidRPr="00256982">
        <w:rPr>
          <w:vertAlign w:val="subscript"/>
        </w:rPr>
        <w:t>4</w:t>
      </w:r>
      <w:r w:rsidRPr="00256982">
        <w:t xml:space="preserve"> and N</w:t>
      </w:r>
      <w:r w:rsidRPr="00256982">
        <w:rPr>
          <w:vertAlign w:val="subscript"/>
        </w:rPr>
        <w:t>2</w:t>
      </w:r>
      <w:r w:rsidRPr="00256982">
        <w:t xml:space="preserve">O emissions from controlled burning are reported as IE </w:t>
      </w:r>
      <w:r w:rsidRPr="00256982">
        <w:rPr>
          <w:szCs w:val="22"/>
        </w:rPr>
        <w:t>(included elsewhere)</w:t>
      </w:r>
      <w:r w:rsidRPr="00256982">
        <w:t>. This is because emissions from the burning of crop stubble associated with controlled burning in cropland are reported under the Agriculture sector (chapter 5) and reported within CRF table 3.F.</w:t>
      </w:r>
    </w:p>
    <w:p w14:paraId="714CBAC3" w14:textId="77777777" w:rsidR="00380BE7" w:rsidRPr="00256982" w:rsidRDefault="00380BE7" w:rsidP="00380BE7">
      <w:pPr>
        <w:pStyle w:val="Heading5"/>
      </w:pPr>
      <w:r w:rsidRPr="00256982">
        <w:t>Wildfire</w:t>
      </w:r>
    </w:p>
    <w:p w14:paraId="27A5B4DD" w14:textId="77777777" w:rsidR="00380BE7" w:rsidRPr="00256982" w:rsidRDefault="00380BE7" w:rsidP="00380BE7">
      <w:pPr>
        <w:pStyle w:val="BodyText"/>
      </w:pPr>
      <w:r w:rsidRPr="00256982">
        <w:rPr>
          <w:rFonts w:cs="Arial"/>
        </w:rPr>
        <w:t>Wildfire activity data has historically been compiled by the New Zealand Rural Fire Authority (NRFA). This responsibility has passed to Fire and Emergency New Zealand (FENZ) following the merger of the NRFA and New Zealand Fire Service in July 2017 (Wakelin, unpublished(h)).</w:t>
      </w:r>
    </w:p>
    <w:p w14:paraId="1B185D07" w14:textId="12B10EE8" w:rsidR="00380BE7" w:rsidRPr="00256982" w:rsidRDefault="00380BE7" w:rsidP="00380BE7">
      <w:pPr>
        <w:pStyle w:val="BodyText"/>
      </w:pPr>
      <w:r w:rsidRPr="00256982">
        <w:t>Wildfire activity data are sourced from the FENZ database, which has data from 1991/92</w:t>
      </w:r>
      <w:r w:rsidR="0068773D" w:rsidRPr="00256982">
        <w:t xml:space="preserve"> </w:t>
      </w:r>
      <w:r w:rsidRPr="00256982">
        <w:t>onwards (Wakelin and Clifford, unpublished). The April year data from the database are converted to calendar years for use in the National Inventory Report (Wakelin and Clifford, unpublished).</w:t>
      </w:r>
    </w:p>
    <w:p w14:paraId="10B587C0" w14:textId="77777777" w:rsidR="00380BE7" w:rsidRPr="00256982" w:rsidRDefault="00380BE7" w:rsidP="00380BE7">
      <w:pPr>
        <w:pStyle w:val="BodyText"/>
      </w:pPr>
      <w:r w:rsidRPr="00256982">
        <w:t>There has not been a significant change in total wildfire activity since 1990. However, there were significantly more wildfires in planted forests during 2016 than previous years, likely caused by summer droughts and one of the strongest El Niño weather patterns on record (National Institute of Water and Atmospheric Research, 2018).</w:t>
      </w:r>
    </w:p>
    <w:p w14:paraId="1F2578B0" w14:textId="77777777" w:rsidR="00380BE7" w:rsidRPr="00256982" w:rsidRDefault="00380BE7" w:rsidP="00380BE7">
      <w:pPr>
        <w:pStyle w:val="BodyText"/>
        <w:rPr>
          <w:rFonts w:cs="Arial"/>
        </w:rPr>
      </w:pPr>
      <w:r w:rsidRPr="00256982">
        <w:t xml:space="preserve">Wildfires induced by natural disturbances (e.g., lightning) are estimated to account for only 0.1 per cent of burning in </w:t>
      </w:r>
      <w:r w:rsidRPr="00256982">
        <w:rPr>
          <w:i/>
        </w:rPr>
        <w:t>Grassland</w:t>
      </w:r>
      <w:r w:rsidRPr="00256982">
        <w:t xml:space="preserve"> and </w:t>
      </w:r>
      <w:r w:rsidRPr="00256982">
        <w:rPr>
          <w:i/>
        </w:rPr>
        <w:t>Forest land</w:t>
      </w:r>
      <w:r w:rsidRPr="00256982">
        <w:t xml:space="preserve"> in New Zealand (Doherty et al., unpublished; Wakelin, unpublished(b)). Non-CO</w:t>
      </w:r>
      <w:r w:rsidRPr="00256982">
        <w:rPr>
          <w:vertAlign w:val="subscript"/>
        </w:rPr>
        <w:t>2</w:t>
      </w:r>
      <w:r w:rsidRPr="00256982">
        <w:t xml:space="preserve"> emissions from wildfires induced by natural disturbances are reported using data collected by FENZ. FENZ does not distinguish between anthropogenic and natural wildfire events. Given the small incidence of natural-disturbance-induced wildfires in New Zealand, this is not regarded as a significant source of error.</w:t>
      </w:r>
    </w:p>
    <w:p w14:paraId="7B93CAA8" w14:textId="77777777" w:rsidR="00380BE7" w:rsidRPr="00256982" w:rsidRDefault="00380BE7" w:rsidP="00380BE7">
      <w:pPr>
        <w:pStyle w:val="BodyText"/>
      </w:pPr>
      <w:r w:rsidRPr="00256982">
        <w:t>Emissions of CO</w:t>
      </w:r>
      <w:r w:rsidRPr="00256982">
        <w:rPr>
          <w:vertAlign w:val="subscript"/>
        </w:rPr>
        <w:t>2</w:t>
      </w:r>
      <w:r w:rsidRPr="00256982">
        <w:t xml:space="preserve"> from wildfires in </w:t>
      </w:r>
      <w:r w:rsidRPr="00256982">
        <w:rPr>
          <w:i/>
        </w:rPr>
        <w:t>Forest land remaining forest land</w:t>
      </w:r>
      <w:r w:rsidRPr="00256982">
        <w:t xml:space="preserve"> are included in the general stock change calculation. In </w:t>
      </w:r>
      <w:r w:rsidRPr="00256982">
        <w:rPr>
          <w:i/>
        </w:rPr>
        <w:t>Forest land remaining forest land</w:t>
      </w:r>
      <w:r w:rsidRPr="00256982">
        <w:t>, burned stands are either harvested (so emissions are included with the harvesting emissions) or left to grow on at reduced stocking. Carbon dioxide emissions are reported when the stand is harvested or deforested (with no reduction in stock when compared with an unburned stand). For both natural and planted forests, emissions from areas burned are captured within the forest plot networks that New Zealand uses to estimate carbon stock change. In these cases, to avoid double counting of CO</w:t>
      </w:r>
      <w:r w:rsidRPr="00256982">
        <w:rPr>
          <w:vertAlign w:val="subscript"/>
        </w:rPr>
        <w:t>2</w:t>
      </w:r>
      <w:r w:rsidRPr="00256982">
        <w:t xml:space="preserve"> emissions, the notation key IE (included elsewhere) is used.</w:t>
      </w:r>
    </w:p>
    <w:p w14:paraId="6FD27D40" w14:textId="77777777" w:rsidR="00380BE7" w:rsidRPr="00256982" w:rsidRDefault="00380BE7" w:rsidP="00380BE7">
      <w:pPr>
        <w:pStyle w:val="BodyText"/>
      </w:pPr>
      <w:r w:rsidRPr="00256982">
        <w:t>A single weighted biomass density is used to estimate non-CO</w:t>
      </w:r>
      <w:r w:rsidRPr="00256982">
        <w:rPr>
          <w:vertAlign w:val="subscript"/>
        </w:rPr>
        <w:t>2</w:t>
      </w:r>
      <w:r w:rsidRPr="00256982">
        <w:t xml:space="preserve"> emissions from wildfire in the </w:t>
      </w:r>
      <w:r w:rsidRPr="00256982">
        <w:rPr>
          <w:i/>
        </w:rPr>
        <w:t>Forest land remaining forest land</w:t>
      </w:r>
      <w:r w:rsidRPr="00256982">
        <w:t xml:space="preserve"> category. Wildfire activity data are attributed to each category by proportion of forest type estimated to be burned over the time series until 2007, and then using the actual areas from the wildfire database from that point on. The split prior to 2007 assumes 87.5 per cent to planted forest and the remainder to natural forest (Wakelin, unpublished(h)).</w:t>
      </w:r>
      <w:r w:rsidRPr="00256982" w:rsidDel="00A5190E">
        <w:t xml:space="preserve"> </w:t>
      </w:r>
      <w:r w:rsidRPr="00256982">
        <w:t>The planted forest activity data are further split into pre-1990 forest and post</w:t>
      </w:r>
      <w:r w:rsidRPr="00256982">
        <w:noBreakHyphen/>
        <w:t>1989 forest by the proportion of area each forest type makes up of the total planted forest area. In planted forest, it is assumed that the carbon stock affected by wildfire is equivalent to the carbon stock at the average stand age in each forest type (Wakelin, unpublished(d)). The individual forest type estimates that make up the single weighted figure are derived from the national plot network described in section 6.4.</w:t>
      </w:r>
    </w:p>
    <w:p w14:paraId="791BE194" w14:textId="77777777" w:rsidR="00380BE7" w:rsidRPr="00256982" w:rsidRDefault="00380BE7" w:rsidP="00380BE7">
      <w:pPr>
        <w:pStyle w:val="BodyText"/>
      </w:pPr>
      <w:r w:rsidRPr="00256982">
        <w:lastRenderedPageBreak/>
        <w:t xml:space="preserve">An estimate for wildfire in </w:t>
      </w:r>
      <w:r w:rsidRPr="00256982">
        <w:rPr>
          <w:i/>
        </w:rPr>
        <w:t>Land converted to grassland</w:t>
      </w:r>
      <w:r w:rsidRPr="00256982">
        <w:t xml:space="preserve"> is provided in this submission. The activity data for wildfire in </w:t>
      </w:r>
      <w:r w:rsidRPr="00256982">
        <w:rPr>
          <w:i/>
        </w:rPr>
        <w:t>Grassland</w:t>
      </w:r>
      <w:r w:rsidRPr="00256982">
        <w:t xml:space="preserve"> are attributed to the </w:t>
      </w:r>
      <w:r w:rsidRPr="00256982">
        <w:rPr>
          <w:i/>
        </w:rPr>
        <w:t>Land converted to</w:t>
      </w:r>
      <w:r w:rsidRPr="00256982">
        <w:t xml:space="preserve"> and </w:t>
      </w:r>
      <w:r w:rsidRPr="00256982">
        <w:rPr>
          <w:i/>
        </w:rPr>
        <w:t>Land remaining</w:t>
      </w:r>
      <w:r w:rsidRPr="00256982">
        <w:t xml:space="preserve"> categories by the proportion each category makes up of the total area.</w:t>
      </w:r>
    </w:p>
    <w:p w14:paraId="3DA9E92C" w14:textId="77777777" w:rsidR="00380BE7" w:rsidRPr="00256982" w:rsidRDefault="00380BE7" w:rsidP="00380BE7">
      <w:pPr>
        <w:pStyle w:val="Heading5"/>
      </w:pPr>
      <w:r w:rsidRPr="00256982">
        <w:t>Controlled burning</w:t>
      </w:r>
    </w:p>
    <w:p w14:paraId="3A6300F2" w14:textId="77777777" w:rsidR="00380BE7" w:rsidRPr="00256982" w:rsidRDefault="00380BE7" w:rsidP="00380BE7">
      <w:pPr>
        <w:pStyle w:val="BodyText"/>
      </w:pPr>
      <w:r w:rsidRPr="00256982">
        <w:t xml:space="preserve">Controlled burning emissions are reported within </w:t>
      </w:r>
      <w:r w:rsidRPr="00256982">
        <w:rPr>
          <w:i/>
        </w:rPr>
        <w:t>Grassland</w:t>
      </w:r>
      <w:r w:rsidRPr="00256982">
        <w:t xml:space="preserve"> </w:t>
      </w:r>
      <w:r w:rsidRPr="00256982">
        <w:rPr>
          <w:i/>
        </w:rPr>
        <w:t xml:space="preserve">converted to forest land </w:t>
      </w:r>
      <w:r w:rsidRPr="00256982">
        <w:t xml:space="preserve">(due to site preparation for conversion), within </w:t>
      </w:r>
      <w:r w:rsidRPr="00256982">
        <w:rPr>
          <w:i/>
        </w:rPr>
        <w:t>Forest land remaining forest land</w:t>
      </w:r>
      <w:r w:rsidRPr="00256982">
        <w:t xml:space="preserve"> (from the clearing of vegetation (natural forest) prior to the establishment of exotic planted forest and the burning of post-harvest slash prior to restocking), within </w:t>
      </w:r>
      <w:r w:rsidRPr="00256982">
        <w:rPr>
          <w:i/>
        </w:rPr>
        <w:t>Forest land converted to</w:t>
      </w:r>
      <w:r w:rsidRPr="00256982">
        <w:t xml:space="preserve"> </w:t>
      </w:r>
      <w:r w:rsidRPr="00256982">
        <w:rPr>
          <w:i/>
        </w:rPr>
        <w:t>grassland</w:t>
      </w:r>
      <w:r w:rsidRPr="00256982">
        <w:t xml:space="preserve"> (from controlled burning associated with deforestation) and within </w:t>
      </w:r>
      <w:r w:rsidRPr="00256982">
        <w:rPr>
          <w:i/>
        </w:rPr>
        <w:t>Grassland remaining grassland</w:t>
      </w:r>
      <w:r w:rsidRPr="00256982">
        <w:t xml:space="preserve"> (due to savanna (tussock) and pasture land management practices).</w:t>
      </w:r>
    </w:p>
    <w:p w14:paraId="03281417" w14:textId="77777777" w:rsidR="00380BE7" w:rsidRPr="00256982" w:rsidRDefault="00380BE7" w:rsidP="00380BE7">
      <w:pPr>
        <w:pStyle w:val="BodyText"/>
        <w:rPr>
          <w:spacing w:val="-2"/>
        </w:rPr>
      </w:pPr>
      <w:r w:rsidRPr="00256982">
        <w:t xml:space="preserve">A survey of controlled burning in planted forest was carried out in 2011 to estimate controlled burning activity on </w:t>
      </w:r>
      <w:r w:rsidRPr="00256982">
        <w:rPr>
          <w:i/>
        </w:rPr>
        <w:t>Forest land</w:t>
      </w:r>
      <w:r w:rsidRPr="00256982">
        <w:t xml:space="preserve"> in New Zealand. Estimates were provided for burning associated with the clearing of vegetation (i.e., pre-1990 natural forest and grassland with woody biomass) </w:t>
      </w:r>
      <w:r w:rsidRPr="00256982">
        <w:rPr>
          <w:spacing w:val="-2"/>
        </w:rPr>
        <w:t>prior to the establishment of exotic planted forest. The survey indicated that 5 per cent of conversions to planted forest involved burning to clear vegetation. This was allocated to pre-1990 planted forest (conversions from pre-1990 natural forest) and post-1989 forest (conversions from grassland with woody biomass) on a pro rata basis (Wakelin, unpublished(e)).</w:t>
      </w:r>
    </w:p>
    <w:p w14:paraId="33977778" w14:textId="77777777" w:rsidR="00380BE7" w:rsidRPr="00256982" w:rsidRDefault="00380BE7" w:rsidP="00380BE7">
      <w:pPr>
        <w:pStyle w:val="BodyText"/>
      </w:pPr>
      <w:r w:rsidRPr="00256982">
        <w:t>Activity data (area of land-use change) for grassland with woody biomass converted to forest are based on annual land-use changes, as estimated in section 6.2, and an estimate of area burned from a survey of forest owners.</w:t>
      </w:r>
    </w:p>
    <w:p w14:paraId="54CF0A84" w14:textId="77777777" w:rsidR="00380BE7" w:rsidRPr="00256982" w:rsidRDefault="00380BE7" w:rsidP="00380BE7">
      <w:pPr>
        <w:pStyle w:val="BodyText"/>
      </w:pPr>
      <w:r w:rsidRPr="00256982">
        <w:t>Activity data are combined with emission factors derived from the national plot network (see table 6.1.3) to estimate non-CO</w:t>
      </w:r>
      <w:r w:rsidRPr="00256982">
        <w:rPr>
          <w:vertAlign w:val="subscript"/>
        </w:rPr>
        <w:t>2</w:t>
      </w:r>
      <w:r w:rsidRPr="00256982">
        <w:t xml:space="preserve"> emissions from burning associated with the clearing of vegetation prior to the establishment of exotic planted forest. Below-ground biomass is assumed not to burn. The IPCC default combustion proportion for the burning of non-eucalypt temperate forest (category: all ‘other’ temperate forests) in land clearing fires is 0.51 (table 2.6, IPCC, 2006a) and, for the burning of shrublands (grassland with woody biomass), there is a New Zealand-specific combustion factor of 0.7 (Wakelin, unpublished(a), (i)), which is then applied to estimate emissions from the activity data.</w:t>
      </w:r>
    </w:p>
    <w:p w14:paraId="25D34538" w14:textId="77777777" w:rsidR="00380BE7" w:rsidRPr="00256982" w:rsidRDefault="00380BE7" w:rsidP="00380BE7">
      <w:pPr>
        <w:pStyle w:val="BodyText"/>
      </w:pPr>
      <w:r w:rsidRPr="00256982">
        <w:t>The survey also provided data on the burning of post-harvest slash prior to restocking. This activity was found to occur mainly as a training exercise for wildfire control or for the clearing of slash heaps on skid sites. The data indicated that 0.8 per cent of restocked area was burned each year in recent years. This estimate was combined with two earlier estimates of controlled burning in planted forest (Forest Industry Training and Education Council, 2005; Robertson, 1998) to provide activity data throughout the time series. It is assumed that 1.6 per cent of restocked area was burned from 1990 to 1997. From 1997, the area burned declines linearly to 0.8 per cent, which is used from 2005 onwards (Wakelin, unpublished(e)).</w:t>
      </w:r>
    </w:p>
    <w:p w14:paraId="351331F6" w14:textId="77777777" w:rsidR="00380BE7" w:rsidRPr="00256982" w:rsidRDefault="00380BE7" w:rsidP="0068773D">
      <w:pPr>
        <w:pStyle w:val="BodyText"/>
        <w:spacing w:before="100" w:after="100"/>
      </w:pPr>
      <w:r w:rsidRPr="00256982">
        <w:t xml:space="preserve">Activity data are combined with an emission factor derived from the pre-1990 planted forest carbon-yield table to estimate emissions from the burning of post-harvest slash (harvest residue) on </w:t>
      </w:r>
      <w:r w:rsidRPr="00256982">
        <w:rPr>
          <w:i/>
        </w:rPr>
        <w:t>Forest land</w:t>
      </w:r>
      <w:r w:rsidRPr="00256982">
        <w:t>. The harvest residue is calculated by subtracting the amount of above-ground biomass that is taken off site as logs (70 per cent) from the total above-ground biomass predicted at the age of 28 years (the average harvest age in New Zealand). Below-ground biomass is assumed not to burn. The IPCC default combustion proportion for the burning of harvest residue in non-eucalypt temperate forest (0.62) is applied to estimate emissions from this activity (table 2.6, IPCC, 2006a).</w:t>
      </w:r>
    </w:p>
    <w:p w14:paraId="3C70822F" w14:textId="77777777" w:rsidR="00380BE7" w:rsidRPr="00256982" w:rsidRDefault="00380BE7" w:rsidP="0068773D">
      <w:pPr>
        <w:pStyle w:val="BodyText"/>
        <w:spacing w:before="100" w:after="100"/>
      </w:pPr>
      <w:r w:rsidRPr="00256982">
        <w:t xml:space="preserve">An estimate is provided for burning of post-harvest residues associated with deforestation in the National Inventory Report. No information is available on the extent of burning associated with deforestation in New Zealand. Therefore, it is assumed that 30 per cent of conversions involve burning to clear residues. The IPCC default combustion proportion for the burning of harvest </w:t>
      </w:r>
      <w:r w:rsidRPr="00256982">
        <w:lastRenderedPageBreak/>
        <w:t>residue in non-eucalypt temperate forest (0.62) is applied to category-specific emission factors to estimate emissions from this activity. The emission factor excludes the proportion of logs taken off site (70 per cent of above-ground biomass) and is taken from the plot-network-derived yield tables by forest type at the average age of harvest in New Zealand.</w:t>
      </w:r>
    </w:p>
    <w:p w14:paraId="433F1A6B" w14:textId="77777777" w:rsidR="00380BE7" w:rsidRPr="00256982" w:rsidRDefault="00380BE7" w:rsidP="0068773D">
      <w:pPr>
        <w:pStyle w:val="BodyText"/>
        <w:spacing w:before="100" w:after="100"/>
      </w:pPr>
      <w:r w:rsidRPr="00256982">
        <w:t>Carbon dioxide emissions from controlled burning in planted forests are captured at the time of conversion or harvest.</w:t>
      </w:r>
    </w:p>
    <w:p w14:paraId="66E55070" w14:textId="77777777" w:rsidR="00380BE7" w:rsidRPr="00256982" w:rsidRDefault="00380BE7" w:rsidP="0068773D">
      <w:pPr>
        <w:pStyle w:val="BodyText"/>
        <w:spacing w:before="100" w:after="100"/>
      </w:pPr>
      <w:r w:rsidRPr="00256982">
        <w:t>The burning of tussock (</w:t>
      </w:r>
      <w:r w:rsidRPr="00256982">
        <w:rPr>
          <w:i/>
        </w:rPr>
        <w:t>Chionochloa</w:t>
      </w:r>
      <w:r w:rsidRPr="00256982">
        <w:t xml:space="preserve"> spp.) grassland occurs in the South Island of New Zealand for pasture renewal and weed control. The amount of burning has been decreasing steadily over the past 50 years, as a result of changes in lease tenure and a reduction in grazing pressure. The tussock burning data are sourced from consents under the Resource Management Act 1991 for activities that occurred between 1990 and 2004. Statistics New Zealand provides these data from 2005 because burning became a permitted activity under the Act in some regions (Thomas et al., 2011).</w:t>
      </w:r>
    </w:p>
    <w:p w14:paraId="064BC32A" w14:textId="77777777" w:rsidR="00380BE7" w:rsidRPr="00256982" w:rsidRDefault="00380BE7" w:rsidP="0068773D">
      <w:pPr>
        <w:pStyle w:val="BodyText"/>
        <w:spacing w:before="100" w:after="100"/>
      </w:pPr>
      <w:r w:rsidRPr="00256982">
        <w:t>Current practice in New Zealand is to burn in damp spring conditions, reducing the amount of biomass consumed by fire. To reflect this, a country-specific burning carbon fraction of 0.555 (spring burn carbon fractions averaged across two sites (Payton and Pearce, 2009)) is applied to a country-specific biomass density of 28 tonnes of dry matter. The ratio of biomass density to carbon lost upon burning is 0.45 (as cited in Thomas et al., 2011).</w:t>
      </w:r>
    </w:p>
    <w:p w14:paraId="238ADA02" w14:textId="77777777" w:rsidR="00380BE7" w:rsidRPr="00256982" w:rsidRDefault="00380BE7" w:rsidP="0068773D">
      <w:pPr>
        <w:pStyle w:val="BodyText"/>
        <w:spacing w:before="100" w:after="100"/>
      </w:pPr>
      <w:r w:rsidRPr="00256982">
        <w:t xml:space="preserve">An estimate for controlled burning in </w:t>
      </w:r>
      <w:r w:rsidRPr="00256982">
        <w:rPr>
          <w:i/>
        </w:rPr>
        <w:t>Grassland remaining grassland</w:t>
      </w:r>
      <w:r w:rsidRPr="00256982">
        <w:t xml:space="preserve"> (grassland with woody biomass) is provided in this submission. The activity data are sourced from Statistics New Zealand’s Agricultural Production Survey. The activity data are combined with an emission factor derived from the national plot network (see table 6.1.3) to estimate non</w:t>
      </w:r>
      <w:r w:rsidRPr="00256982">
        <w:noBreakHyphen/>
        <w:t>CO</w:t>
      </w:r>
      <w:r w:rsidRPr="00256982">
        <w:rPr>
          <w:vertAlign w:val="subscript"/>
        </w:rPr>
        <w:t>2</w:t>
      </w:r>
      <w:r w:rsidRPr="00256982">
        <w:t xml:space="preserve"> emissions from burning associated with the clearing of vegetation for pasture regeneration. Below-ground biomass is assumed not to burn. The New Zealand-specific default combustion proportion for the burning of shrublands of 0.7 (Wakelin, unpublished(a), (i)) is then applied to estimate emissions from this activity (table 2.6, IPCC, 2006a).</w:t>
      </w:r>
    </w:p>
    <w:p w14:paraId="20DA3799" w14:textId="77777777" w:rsidR="00380BE7" w:rsidRPr="00256982" w:rsidRDefault="00380BE7" w:rsidP="0068773D">
      <w:pPr>
        <w:pStyle w:val="BodyText"/>
        <w:spacing w:before="100" w:after="100"/>
      </w:pPr>
      <w:r w:rsidRPr="00256982">
        <w:t xml:space="preserve">Different emission factors derived from the LUCAS plot network are used for wildfire and controlled burning on grassland with woody biomass in the inventory. The differences are due to the vegetation that is typically converted to forest, which is generally of a lesser stature when compared with other shrubland (Wakelin and Beets, unpublished). </w:t>
      </w:r>
    </w:p>
    <w:p w14:paraId="6E93BD40" w14:textId="77777777" w:rsidR="00380BE7" w:rsidRPr="00256982" w:rsidRDefault="00380BE7" w:rsidP="0068773D">
      <w:pPr>
        <w:pStyle w:val="BodyText"/>
        <w:spacing w:before="100" w:after="100"/>
      </w:pPr>
      <w:r w:rsidRPr="00256982">
        <w:rPr>
          <w:i/>
        </w:rPr>
        <w:t>Biomass burning</w:t>
      </w:r>
      <w:r w:rsidRPr="00256982">
        <w:t xml:space="preserve"> is not a key category for New Zealand.</w:t>
      </w:r>
    </w:p>
    <w:p w14:paraId="34D023D5" w14:textId="77777777" w:rsidR="00380BE7" w:rsidRPr="00256982" w:rsidRDefault="00380BE7" w:rsidP="00380BE7">
      <w:pPr>
        <w:pStyle w:val="Heading4"/>
      </w:pPr>
      <w:bookmarkStart w:id="2207" w:name="_Toc232906997"/>
      <w:bookmarkStart w:id="2208" w:name="_Toc255466321"/>
      <w:bookmarkStart w:id="2209" w:name="_Toc261513128"/>
      <w:bookmarkStart w:id="2210" w:name="_Toc261513741"/>
      <w:bookmarkStart w:id="2211" w:name="_Toc280630367"/>
      <w:r w:rsidRPr="00256982">
        <w:t>Uncertainties and time-series consistency</w:t>
      </w:r>
      <w:bookmarkEnd w:id="2207"/>
      <w:bookmarkEnd w:id="2208"/>
      <w:bookmarkEnd w:id="2209"/>
      <w:bookmarkEnd w:id="2210"/>
      <w:bookmarkEnd w:id="2211"/>
    </w:p>
    <w:p w14:paraId="2FFB654B" w14:textId="77777777" w:rsidR="00380BE7" w:rsidRPr="00256982" w:rsidRDefault="00380BE7" w:rsidP="00380BE7">
      <w:pPr>
        <w:pStyle w:val="BodyText"/>
        <w:rPr>
          <w:spacing w:val="-2"/>
        </w:rPr>
      </w:pPr>
      <w:r w:rsidRPr="00256982">
        <w:rPr>
          <w:spacing w:val="-2"/>
        </w:rPr>
        <w:t>Uncertainties arise from relatively coarse activity data for wildfires and controlled burning activities in New Zealand (see table 6.11.3). The biomass burning statistics have gaps in the time series where data collection did not occur or survey methodologies changed. Assumptions are made for some activity data, emission factors and burning fractions where insufficient data exist.</w:t>
      </w:r>
    </w:p>
    <w:p w14:paraId="5A69A997" w14:textId="77777777" w:rsidR="00380BE7" w:rsidRPr="00256982" w:rsidRDefault="00380BE7" w:rsidP="00380BE7">
      <w:pPr>
        <w:pStyle w:val="Table"/>
      </w:pPr>
      <w:bookmarkStart w:id="2212" w:name="_Toc310423432"/>
      <w:bookmarkStart w:id="2213" w:name="_Toc318362725"/>
      <w:bookmarkStart w:id="2214" w:name="_Toc342470800"/>
      <w:bookmarkStart w:id="2215" w:name="_Toc352505040"/>
      <w:bookmarkStart w:id="2216" w:name="_Toc378853329"/>
      <w:bookmarkStart w:id="2217" w:name="_Toc391024127"/>
      <w:bookmarkStart w:id="2218" w:name="_Toc410028871"/>
      <w:bookmarkStart w:id="2219" w:name="_Toc414531499"/>
      <w:bookmarkStart w:id="2220" w:name="_Toc443645413"/>
      <w:bookmarkStart w:id="2221" w:name="_Toc474914632"/>
      <w:bookmarkStart w:id="2222" w:name="_Toc481751596"/>
      <w:bookmarkStart w:id="2223" w:name="_Toc522010653"/>
      <w:bookmarkStart w:id="2224" w:name="_Toc5269558"/>
      <w:r w:rsidRPr="00256982">
        <w:t>Table 6.11.3</w:t>
      </w:r>
      <w:r w:rsidRPr="00256982">
        <w:tab/>
        <w:t>Uncertainty in New Zealand’s 2016 estimates for CH</w:t>
      </w:r>
      <w:r w:rsidRPr="00256982">
        <w:rPr>
          <w:vertAlign w:val="subscript"/>
        </w:rPr>
        <w:t>4</w:t>
      </w:r>
      <w:bookmarkEnd w:id="2212"/>
      <w:r w:rsidRPr="00256982">
        <w:t xml:space="preserve"> and N</w:t>
      </w:r>
      <w:r w:rsidRPr="00256982">
        <w:rPr>
          <w:vertAlign w:val="subscript"/>
        </w:rPr>
        <w:t>2</w:t>
      </w:r>
      <w:r w:rsidRPr="00256982">
        <w:t>O emissions from Biomass burning</w:t>
      </w:r>
      <w:bookmarkEnd w:id="2213"/>
      <w:bookmarkEnd w:id="2214"/>
      <w:bookmarkEnd w:id="2215"/>
      <w:bookmarkEnd w:id="2216"/>
      <w:bookmarkEnd w:id="2217"/>
      <w:bookmarkEnd w:id="2218"/>
      <w:bookmarkEnd w:id="2219"/>
      <w:bookmarkEnd w:id="2220"/>
      <w:bookmarkEnd w:id="2221"/>
      <w:bookmarkEnd w:id="2222"/>
      <w:bookmarkEnd w:id="2223"/>
      <w:bookmarkEnd w:id="2224"/>
    </w:p>
    <w:tbl>
      <w:tblPr>
        <w:tblW w:w="8505" w:type="dxa"/>
        <w:tblInd w:w="108" w:type="dxa"/>
        <w:tblBorders>
          <w:top w:val="single" w:sz="4" w:space="0" w:color="365F91"/>
          <w:bottom w:val="single" w:sz="4" w:space="0" w:color="365F91"/>
          <w:insideH w:val="single" w:sz="4" w:space="0" w:color="365F91"/>
        </w:tblBorders>
        <w:tblLayout w:type="fixed"/>
        <w:tblLook w:val="04A0" w:firstRow="1" w:lastRow="0" w:firstColumn="1" w:lastColumn="0" w:noHBand="0" w:noVBand="1"/>
      </w:tblPr>
      <w:tblGrid>
        <w:gridCol w:w="4655"/>
        <w:gridCol w:w="3850"/>
      </w:tblGrid>
      <w:tr w:rsidR="00380BE7" w:rsidRPr="00256982" w14:paraId="725DD180" w14:textId="77777777" w:rsidTr="009574E7">
        <w:trPr>
          <w:trHeight w:val="20"/>
        </w:trPr>
        <w:tc>
          <w:tcPr>
            <w:tcW w:w="4479" w:type="dxa"/>
            <w:shd w:val="clear" w:color="auto" w:fill="365F91"/>
            <w:noWrap/>
            <w:hideMark/>
          </w:tcPr>
          <w:p w14:paraId="229BDA4D" w14:textId="77777777" w:rsidR="00380BE7" w:rsidRPr="00256982" w:rsidRDefault="00380BE7" w:rsidP="009574E7">
            <w:pPr>
              <w:pStyle w:val="TableTextBold"/>
              <w:spacing w:before="40" w:after="40"/>
              <w:rPr>
                <w:noProof w:val="0"/>
                <w:color w:val="FFFFFF"/>
              </w:rPr>
            </w:pPr>
            <w:r w:rsidRPr="00256982">
              <w:rPr>
                <w:noProof w:val="0"/>
                <w:color w:val="FFFFFF"/>
              </w:rPr>
              <w:t>Variable</w:t>
            </w:r>
          </w:p>
        </w:tc>
        <w:tc>
          <w:tcPr>
            <w:tcW w:w="3705" w:type="dxa"/>
            <w:shd w:val="clear" w:color="auto" w:fill="365F91"/>
            <w:noWrap/>
            <w:hideMark/>
          </w:tcPr>
          <w:p w14:paraId="50128AA6" w14:textId="77777777" w:rsidR="00380BE7" w:rsidRPr="00256982" w:rsidRDefault="00380BE7" w:rsidP="009574E7">
            <w:pPr>
              <w:pStyle w:val="TableTextBold"/>
              <w:spacing w:before="40" w:after="40"/>
              <w:jc w:val="center"/>
              <w:rPr>
                <w:noProof w:val="0"/>
                <w:color w:val="FFFFFF"/>
              </w:rPr>
            </w:pPr>
            <w:r w:rsidRPr="00256982">
              <w:rPr>
                <w:noProof w:val="0"/>
                <w:color w:val="FFFFFF"/>
              </w:rPr>
              <w:t>Uncertainty at a 95% confidence interval (%)</w:t>
            </w:r>
          </w:p>
        </w:tc>
      </w:tr>
      <w:tr w:rsidR="00380BE7" w:rsidRPr="00256982" w14:paraId="4029F388" w14:textId="77777777" w:rsidTr="009574E7">
        <w:trPr>
          <w:trHeight w:val="20"/>
        </w:trPr>
        <w:tc>
          <w:tcPr>
            <w:tcW w:w="4479" w:type="dxa"/>
            <w:noWrap/>
            <w:hideMark/>
          </w:tcPr>
          <w:p w14:paraId="143B1B7B" w14:textId="77777777" w:rsidR="00380BE7" w:rsidRPr="00256982" w:rsidRDefault="00380BE7" w:rsidP="009574E7">
            <w:pPr>
              <w:pStyle w:val="TableTextBold"/>
              <w:spacing w:before="40" w:after="40"/>
              <w:rPr>
                <w:noProof w:val="0"/>
              </w:rPr>
            </w:pPr>
            <w:r w:rsidRPr="00256982">
              <w:rPr>
                <w:noProof w:val="0"/>
              </w:rPr>
              <w:t>Activity data</w:t>
            </w:r>
          </w:p>
        </w:tc>
        <w:tc>
          <w:tcPr>
            <w:tcW w:w="3705" w:type="dxa"/>
            <w:noWrap/>
            <w:hideMark/>
          </w:tcPr>
          <w:p w14:paraId="3A99FA73" w14:textId="77777777" w:rsidR="00380BE7" w:rsidRPr="00256982" w:rsidRDefault="00380BE7" w:rsidP="009574E7">
            <w:pPr>
              <w:pStyle w:val="TableTextBold"/>
              <w:tabs>
                <w:tab w:val="decimal" w:pos="714"/>
              </w:tabs>
              <w:spacing w:before="40" w:after="40"/>
              <w:jc w:val="center"/>
              <w:rPr>
                <w:noProof w:val="0"/>
              </w:rPr>
            </w:pPr>
          </w:p>
        </w:tc>
      </w:tr>
      <w:tr w:rsidR="00380BE7" w:rsidRPr="00256982" w14:paraId="2F9201ED" w14:textId="77777777" w:rsidTr="009574E7">
        <w:trPr>
          <w:trHeight w:val="20"/>
        </w:trPr>
        <w:tc>
          <w:tcPr>
            <w:tcW w:w="4479" w:type="dxa"/>
            <w:noWrap/>
            <w:hideMark/>
          </w:tcPr>
          <w:p w14:paraId="24707582" w14:textId="77777777" w:rsidR="00380BE7" w:rsidRPr="00256982" w:rsidRDefault="00380BE7" w:rsidP="009574E7">
            <w:pPr>
              <w:pStyle w:val="TableText"/>
              <w:spacing w:before="40" w:after="40"/>
              <w:rPr>
                <w:b/>
              </w:rPr>
            </w:pPr>
            <w:r w:rsidRPr="00256982">
              <w:t>Uncertainty in activity data</w:t>
            </w:r>
          </w:p>
        </w:tc>
        <w:tc>
          <w:tcPr>
            <w:tcW w:w="3705" w:type="dxa"/>
            <w:noWrap/>
            <w:hideMark/>
          </w:tcPr>
          <w:p w14:paraId="0958D28C" w14:textId="77777777" w:rsidR="00380BE7" w:rsidRPr="00256982" w:rsidRDefault="00380BE7" w:rsidP="009574E7">
            <w:pPr>
              <w:pStyle w:val="TableText"/>
              <w:tabs>
                <w:tab w:val="decimal" w:pos="714"/>
              </w:tabs>
              <w:spacing w:before="40" w:after="40"/>
              <w:jc w:val="center"/>
            </w:pPr>
            <w:r w:rsidRPr="00256982">
              <w:t>±30.0</w:t>
            </w:r>
          </w:p>
        </w:tc>
      </w:tr>
      <w:tr w:rsidR="00380BE7" w:rsidRPr="00256982" w14:paraId="2B145F3C" w14:textId="77777777" w:rsidTr="009574E7">
        <w:trPr>
          <w:trHeight w:val="20"/>
        </w:trPr>
        <w:tc>
          <w:tcPr>
            <w:tcW w:w="4479" w:type="dxa"/>
            <w:noWrap/>
            <w:hideMark/>
          </w:tcPr>
          <w:p w14:paraId="0F60BC5D" w14:textId="77777777" w:rsidR="00380BE7" w:rsidRPr="00256982" w:rsidRDefault="00380BE7" w:rsidP="009574E7">
            <w:pPr>
              <w:pStyle w:val="TableTextBold"/>
              <w:spacing w:before="40" w:after="40"/>
              <w:rPr>
                <w:noProof w:val="0"/>
              </w:rPr>
            </w:pPr>
            <w:r w:rsidRPr="00256982">
              <w:rPr>
                <w:noProof w:val="0"/>
              </w:rPr>
              <w:t>Emission factors</w:t>
            </w:r>
          </w:p>
        </w:tc>
        <w:tc>
          <w:tcPr>
            <w:tcW w:w="3705" w:type="dxa"/>
            <w:noWrap/>
            <w:hideMark/>
          </w:tcPr>
          <w:p w14:paraId="0D26F868" w14:textId="77777777" w:rsidR="00380BE7" w:rsidRPr="00256982" w:rsidRDefault="00380BE7" w:rsidP="009574E7">
            <w:pPr>
              <w:pStyle w:val="TableTextBold"/>
              <w:tabs>
                <w:tab w:val="decimal" w:pos="714"/>
              </w:tabs>
              <w:spacing w:before="40" w:after="40"/>
              <w:jc w:val="center"/>
              <w:rPr>
                <w:noProof w:val="0"/>
              </w:rPr>
            </w:pPr>
          </w:p>
        </w:tc>
      </w:tr>
      <w:tr w:rsidR="00380BE7" w:rsidRPr="00256982" w14:paraId="01E83C6B" w14:textId="77777777" w:rsidTr="009574E7">
        <w:trPr>
          <w:trHeight w:val="20"/>
        </w:trPr>
        <w:tc>
          <w:tcPr>
            <w:tcW w:w="4479" w:type="dxa"/>
            <w:noWrap/>
            <w:hideMark/>
          </w:tcPr>
          <w:p w14:paraId="47965624" w14:textId="77777777" w:rsidR="00380BE7" w:rsidRPr="00256982" w:rsidRDefault="00380BE7" w:rsidP="009574E7">
            <w:pPr>
              <w:pStyle w:val="TableText"/>
              <w:spacing w:before="40" w:after="40"/>
              <w:rPr>
                <w:b/>
              </w:rPr>
            </w:pPr>
            <w:r w:rsidRPr="00256982">
              <w:t>Uncertainty in emission factors</w:t>
            </w:r>
          </w:p>
        </w:tc>
        <w:tc>
          <w:tcPr>
            <w:tcW w:w="3705" w:type="dxa"/>
            <w:noWrap/>
            <w:hideMark/>
          </w:tcPr>
          <w:p w14:paraId="6D7378A5" w14:textId="77777777" w:rsidR="00380BE7" w:rsidRPr="00256982" w:rsidRDefault="00380BE7" w:rsidP="009574E7">
            <w:pPr>
              <w:pStyle w:val="TableText"/>
              <w:tabs>
                <w:tab w:val="decimal" w:pos="714"/>
              </w:tabs>
              <w:spacing w:before="40" w:after="40"/>
              <w:jc w:val="center"/>
            </w:pPr>
            <w:r w:rsidRPr="00256982">
              <w:t>±41.6</w:t>
            </w:r>
          </w:p>
        </w:tc>
      </w:tr>
      <w:tr w:rsidR="00380BE7" w:rsidRPr="00256982" w14:paraId="0236646B" w14:textId="77777777" w:rsidTr="009574E7">
        <w:trPr>
          <w:trHeight w:val="20"/>
        </w:trPr>
        <w:tc>
          <w:tcPr>
            <w:tcW w:w="4479" w:type="dxa"/>
            <w:noWrap/>
            <w:hideMark/>
          </w:tcPr>
          <w:p w14:paraId="45628CB1" w14:textId="77777777" w:rsidR="00380BE7" w:rsidRPr="00256982" w:rsidRDefault="00380BE7" w:rsidP="009574E7">
            <w:pPr>
              <w:pStyle w:val="Tableboldblue"/>
              <w:spacing w:before="40" w:after="40"/>
            </w:pPr>
            <w:r w:rsidRPr="00256982">
              <w:t>Uncertainty introduced into net emissions for LULUCF</w:t>
            </w:r>
          </w:p>
        </w:tc>
        <w:tc>
          <w:tcPr>
            <w:tcW w:w="3705" w:type="dxa"/>
            <w:noWrap/>
            <w:hideMark/>
          </w:tcPr>
          <w:p w14:paraId="70BC4881" w14:textId="77777777" w:rsidR="00380BE7" w:rsidRPr="00256982" w:rsidRDefault="00380BE7" w:rsidP="009574E7">
            <w:pPr>
              <w:pStyle w:val="Tableboldblue"/>
              <w:tabs>
                <w:tab w:val="decimal" w:pos="714"/>
              </w:tabs>
              <w:spacing w:before="40" w:after="40"/>
              <w:jc w:val="center"/>
            </w:pPr>
            <w:r w:rsidRPr="00256982">
              <w:t>±0.3</w:t>
            </w:r>
          </w:p>
        </w:tc>
      </w:tr>
    </w:tbl>
    <w:p w14:paraId="7BB7118B" w14:textId="77777777" w:rsidR="00380BE7" w:rsidRPr="00256982" w:rsidRDefault="00380BE7" w:rsidP="00380BE7">
      <w:pPr>
        <w:pStyle w:val="Heading4"/>
        <w:spacing w:before="360"/>
      </w:pPr>
      <w:bookmarkStart w:id="2225" w:name="_Toc255466322"/>
      <w:bookmarkStart w:id="2226" w:name="_Toc261513129"/>
      <w:bookmarkStart w:id="2227" w:name="_Toc261513742"/>
      <w:bookmarkStart w:id="2228" w:name="_Toc280630368"/>
      <w:r w:rsidRPr="00256982">
        <w:lastRenderedPageBreak/>
        <w:t>Source-specific QA/QC and verification</w:t>
      </w:r>
      <w:bookmarkEnd w:id="2225"/>
      <w:bookmarkEnd w:id="2226"/>
      <w:bookmarkEnd w:id="2227"/>
      <w:bookmarkEnd w:id="2228"/>
    </w:p>
    <w:p w14:paraId="3928F5F0" w14:textId="77777777" w:rsidR="00380BE7" w:rsidRPr="00256982" w:rsidRDefault="00380BE7" w:rsidP="00380BE7">
      <w:pPr>
        <w:pStyle w:val="BodyText"/>
        <w:keepLines/>
      </w:pPr>
      <w:r w:rsidRPr="00256982">
        <w:t xml:space="preserve">Quality-control and quality-assurance measures are applied to the biomass burning activity data and emission factors. The biomass burning data set is verified whenever new data are supplied. The </w:t>
      </w:r>
      <w:r w:rsidRPr="00256982">
        <w:rPr>
          <w:i/>
        </w:rPr>
        <w:t>Biomass burning</w:t>
      </w:r>
      <w:r w:rsidRPr="00256982">
        <w:t xml:space="preserve"> parameters (burning and emission factors), assumptions and data set have been reviewed (Payton and Pearce, 2009; Thomas et al., 2011; Wakelin, unpublished(b), (d), (e), (i); Wakelin et al., unpublished).</w:t>
      </w:r>
    </w:p>
    <w:p w14:paraId="736FCD14" w14:textId="77777777" w:rsidR="00380BE7" w:rsidRPr="00256982" w:rsidRDefault="00380BE7" w:rsidP="00380BE7">
      <w:pPr>
        <w:pStyle w:val="Heading4"/>
      </w:pPr>
      <w:bookmarkStart w:id="2229" w:name="_Toc280630369"/>
      <w:bookmarkStart w:id="2230" w:name="_Toc232906999"/>
      <w:bookmarkStart w:id="2231" w:name="_Toc255466323"/>
      <w:bookmarkStart w:id="2232" w:name="_Toc261513130"/>
      <w:bookmarkStart w:id="2233" w:name="_Toc261513743"/>
      <w:r w:rsidRPr="00256982">
        <w:t>Source-specific recalculations</w:t>
      </w:r>
      <w:bookmarkEnd w:id="2229"/>
    </w:p>
    <w:p w14:paraId="231B70C1" w14:textId="77777777" w:rsidR="00380BE7" w:rsidRPr="00256982" w:rsidRDefault="00380BE7" w:rsidP="00380BE7">
      <w:pPr>
        <w:pStyle w:val="BodyText"/>
      </w:pPr>
      <w:r w:rsidRPr="00256982">
        <w:t xml:space="preserve">The post-1989 planted forest yield table used in the controlled burning calculations following harvest and deforestation has been updated in this submission (see section 6.4.5 for further details). Activity data have also been updated between the 2017 and 2018 submissions. New estimates for controlled burning in </w:t>
      </w:r>
      <w:r w:rsidRPr="00256982">
        <w:rPr>
          <w:i/>
        </w:rPr>
        <w:t>Grassland remaining grassland</w:t>
      </w:r>
      <w:r w:rsidRPr="00256982">
        <w:t xml:space="preserve"> have required recalculations across the time series. The non-CO</w:t>
      </w:r>
      <w:r w:rsidRPr="00256982">
        <w:rPr>
          <w:vertAlign w:val="subscript"/>
        </w:rPr>
        <w:t>2</w:t>
      </w:r>
      <w:r w:rsidRPr="00256982">
        <w:t xml:space="preserve"> biomass burning emission factors have been updated to follow the 2006 IPCC Guidelines (IPCC, 2006a).</w:t>
      </w:r>
    </w:p>
    <w:p w14:paraId="6EC15295" w14:textId="77777777" w:rsidR="00380BE7" w:rsidRPr="00256982" w:rsidRDefault="00380BE7" w:rsidP="00380BE7">
      <w:pPr>
        <w:pStyle w:val="Heading4"/>
      </w:pPr>
      <w:bookmarkStart w:id="2234" w:name="_Toc280630370"/>
      <w:r w:rsidRPr="00256982">
        <w:t>Source-specific planned improvements</w:t>
      </w:r>
      <w:bookmarkEnd w:id="2230"/>
      <w:bookmarkEnd w:id="2231"/>
      <w:bookmarkEnd w:id="2232"/>
      <w:bookmarkEnd w:id="2233"/>
      <w:bookmarkEnd w:id="2234"/>
    </w:p>
    <w:p w14:paraId="098A205C" w14:textId="77777777" w:rsidR="00380BE7" w:rsidRPr="00256982" w:rsidRDefault="00380BE7" w:rsidP="00380BE7">
      <w:pPr>
        <w:pStyle w:val="BodyText"/>
      </w:pPr>
      <w:r w:rsidRPr="00256982">
        <w:t xml:space="preserve">The assumption that controlled burning of post-harvest residues on afforested land does not occur will be revisited in a future submission, due to the increasing harvest rate in these forests as they reach maturity. </w:t>
      </w:r>
    </w:p>
    <w:p w14:paraId="13081136" w14:textId="77777777" w:rsidR="00380BE7" w:rsidRPr="00256982" w:rsidRDefault="00380BE7" w:rsidP="00380BE7">
      <w:pPr>
        <w:pStyle w:val="BodyText"/>
      </w:pPr>
    </w:p>
    <w:p w14:paraId="37890967" w14:textId="77777777" w:rsidR="00380BE7" w:rsidRPr="00256982" w:rsidRDefault="00380BE7" w:rsidP="00876059">
      <w:pPr>
        <w:pStyle w:val="Heading2"/>
        <w:spacing w:before="0" w:after="360"/>
      </w:pPr>
      <w:r w:rsidRPr="00256982">
        <w:br w:type="page"/>
      </w:r>
      <w:bookmarkStart w:id="2235" w:name="_Toc414531325"/>
      <w:bookmarkStart w:id="2236" w:name="_Toc474335467"/>
      <w:bookmarkStart w:id="2237" w:name="_Toc481751407"/>
      <w:bookmarkStart w:id="2238" w:name="_Toc522013959"/>
      <w:bookmarkStart w:id="2239" w:name="_Toc5269384"/>
      <w:r w:rsidRPr="00256982">
        <w:lastRenderedPageBreak/>
        <w:t>Chapter 6: References</w:t>
      </w:r>
      <w:bookmarkEnd w:id="2235"/>
      <w:bookmarkEnd w:id="2236"/>
      <w:bookmarkEnd w:id="2237"/>
      <w:bookmarkEnd w:id="2238"/>
      <w:bookmarkEnd w:id="2239"/>
    </w:p>
    <w:p w14:paraId="1F3A8485" w14:textId="77777777" w:rsidR="00380BE7" w:rsidRPr="00256982" w:rsidRDefault="00380BE7" w:rsidP="00380BE7">
      <w:pPr>
        <w:pStyle w:val="References"/>
      </w:pPr>
      <w:r w:rsidRPr="00256982">
        <w:t xml:space="preserve">Ausseil A, Jamali H, Clarkson B, Golubiewski N. 2015. Soil carbon stocks in wetlands of New Zealand and impact of land conversion since European settlement. </w:t>
      </w:r>
      <w:r w:rsidRPr="00256982">
        <w:rPr>
          <w:i/>
        </w:rPr>
        <w:t>Wetlands Ecology and Management</w:t>
      </w:r>
      <w:r w:rsidRPr="00256982">
        <w:t xml:space="preserve"> 23(5): 947–961</w:t>
      </w:r>
      <w:r w:rsidRPr="00256982">
        <w:rPr>
          <w:iCs/>
        </w:rPr>
        <w:t>.</w:t>
      </w:r>
    </w:p>
    <w:p w14:paraId="22FA9C76" w14:textId="77777777" w:rsidR="00380BE7" w:rsidRPr="00256982" w:rsidRDefault="00380BE7" w:rsidP="00380BE7">
      <w:pPr>
        <w:pStyle w:val="References"/>
      </w:pPr>
      <w:r w:rsidRPr="00256982">
        <w:t xml:space="preserve">Baisden WT, Beets PN, Davis M, Wilde RH, Arnold G, Trotter CM. Unpublished(a). </w:t>
      </w:r>
      <w:r w:rsidRPr="00256982">
        <w:rPr>
          <w:iCs/>
        </w:rPr>
        <w:t>Changes in New Zealand’s Soil Carbon Stocks Following Afforestation of Pastures</w:t>
      </w:r>
      <w:r w:rsidRPr="00256982">
        <w:t>. Landcare Research New Zealand Ltd Contract Report: LC0506/105.</w:t>
      </w:r>
    </w:p>
    <w:p w14:paraId="035132E9" w14:textId="77777777" w:rsidR="00380BE7" w:rsidRPr="00256982" w:rsidRDefault="00380BE7" w:rsidP="00380BE7">
      <w:pPr>
        <w:pStyle w:val="References"/>
      </w:pPr>
      <w:r w:rsidRPr="00256982">
        <w:t xml:space="preserve">Baisden WT, Wilde RH, Arnold G, Trotter CM. Unpublished(b). </w:t>
      </w:r>
      <w:r w:rsidRPr="00256982">
        <w:rPr>
          <w:iCs/>
        </w:rPr>
        <w:t>Operating the New Zealand Soil Carbon Monitoring System</w:t>
      </w:r>
      <w:r w:rsidRPr="00256982">
        <w:t>. Landcare Research Contract Report: LC0506/107.</w:t>
      </w:r>
    </w:p>
    <w:p w14:paraId="5D1AD887" w14:textId="77777777" w:rsidR="00380BE7" w:rsidRPr="00256982" w:rsidRDefault="00380BE7" w:rsidP="00380BE7">
      <w:pPr>
        <w:pStyle w:val="References"/>
      </w:pPr>
      <w:r w:rsidRPr="00256982">
        <w:t xml:space="preserve">Basher L, Burrows L, Hough S, Lambie S, Ross C, Thornburrow D, Garrett L, Paul T, Evanson T, Oliver G, Osorio R, Pearce S, Hill R. Unpublished. </w:t>
      </w:r>
      <w:r w:rsidRPr="00256982">
        <w:rPr>
          <w:iCs/>
        </w:rPr>
        <w:t>Soil Data Collection and Analysis of Post-1989 Planted Forest Plot Network</w:t>
      </w:r>
      <w:r w:rsidRPr="00256982">
        <w:t>. Contract report prepared for the Ministry for the Environment by Landcare Research, New Zealand Forest Research Institute Limited (trading as Scion) and LandSystems.</w:t>
      </w:r>
    </w:p>
    <w:p w14:paraId="69F1A29C" w14:textId="77777777" w:rsidR="00380BE7" w:rsidRPr="00256982" w:rsidRDefault="00380BE7" w:rsidP="00380BE7">
      <w:pPr>
        <w:pStyle w:val="References"/>
      </w:pPr>
      <w:r w:rsidRPr="00256982">
        <w:t>Beets PN. Unpublished. Carbon fraction of radiata pine biomass components. Contract report prepared for the Ministry for the Environment by New Zealand Forest Research Institute Ltd (trading as Scion) in 2017.</w:t>
      </w:r>
    </w:p>
    <w:p w14:paraId="75F83D45" w14:textId="77777777" w:rsidR="00380BE7" w:rsidRPr="00256982" w:rsidRDefault="00380BE7" w:rsidP="00380BE7">
      <w:pPr>
        <w:pStyle w:val="References"/>
      </w:pPr>
      <w:r w:rsidRPr="00256982">
        <w:t xml:space="preserve">Beets PN, Brandon AM, Goulding CJ, Kimberley MO, Paul TSH, Searles NB. 2011a. The inventory of carbon stock in New Zealand’s post-1989 planted forest. </w:t>
      </w:r>
      <w:r w:rsidRPr="00256982">
        <w:rPr>
          <w:i/>
          <w:iCs/>
        </w:rPr>
        <w:t>Forest Ecology and Management</w:t>
      </w:r>
      <w:r w:rsidRPr="00256982">
        <w:t xml:space="preserve"> 262: </w:t>
      </w:r>
      <w:r w:rsidRPr="00256982">
        <w:br/>
        <w:t>1119–1130.</w:t>
      </w:r>
    </w:p>
    <w:p w14:paraId="4F5370E8" w14:textId="77777777" w:rsidR="00380BE7" w:rsidRPr="00256982" w:rsidRDefault="00380BE7" w:rsidP="00380BE7">
      <w:pPr>
        <w:pStyle w:val="References"/>
      </w:pPr>
      <w:r w:rsidRPr="00256982">
        <w:t xml:space="preserve">Beets PN, Brandon AM, Goulding CJ, Kimberley MO, Paul TSH, Searles N. 2012a. The national inventory of carbon stock in New Zealand’s pre-1990 planted forest using a LiDAR incomplete-transect approach. </w:t>
      </w:r>
      <w:r w:rsidRPr="00256982">
        <w:rPr>
          <w:i/>
          <w:iCs/>
        </w:rPr>
        <w:t>Forest Ecology and Management</w:t>
      </w:r>
      <w:r w:rsidRPr="00256982">
        <w:t xml:space="preserve"> 280: 187–197.</w:t>
      </w:r>
    </w:p>
    <w:p w14:paraId="4F1F6366" w14:textId="77777777" w:rsidR="00380BE7" w:rsidRPr="00256982" w:rsidRDefault="00380BE7" w:rsidP="00380BE7">
      <w:pPr>
        <w:pStyle w:val="References"/>
      </w:pPr>
      <w:r w:rsidRPr="00256982">
        <w:t xml:space="preserve">Beets PN, Garrett, LG. 2018. Carbon fraction of </w:t>
      </w:r>
      <w:r w:rsidRPr="00256982">
        <w:rPr>
          <w:i/>
        </w:rPr>
        <w:t>Pinus radiata</w:t>
      </w:r>
      <w:r w:rsidRPr="00256982">
        <w:t xml:space="preserve"> biomass components within New Zealand. </w:t>
      </w:r>
      <w:r w:rsidRPr="00256982">
        <w:rPr>
          <w:i/>
        </w:rPr>
        <w:t>New Zealand Journal of Forestry Science</w:t>
      </w:r>
      <w:r w:rsidRPr="00256982">
        <w:t xml:space="preserve"> 48: 14.</w:t>
      </w:r>
    </w:p>
    <w:p w14:paraId="02352836" w14:textId="77777777" w:rsidR="00380BE7" w:rsidRPr="00256982" w:rsidRDefault="00380BE7" w:rsidP="00380BE7">
      <w:pPr>
        <w:pStyle w:val="References"/>
      </w:pPr>
      <w:r w:rsidRPr="00256982">
        <w:t xml:space="preserve">Beets PN, Holt L. Unpublished. </w:t>
      </w:r>
      <w:r w:rsidRPr="00256982">
        <w:rPr>
          <w:iCs/>
        </w:rPr>
        <w:t xml:space="preserve">Audit of the LUCAS Post-1989 Natural Forest Plot Inventory </w:t>
      </w:r>
      <w:r w:rsidRPr="00256982">
        <w:rPr>
          <w:iCs/>
        </w:rPr>
        <w:br/>
        <w:t>2012–2013</w:t>
      </w:r>
      <w:r w:rsidRPr="00256982">
        <w:t>. Contract report prepared for the Ministry for the Environment by New Zealand Forest Research Institute Ltd (trading as Scion).</w:t>
      </w:r>
    </w:p>
    <w:p w14:paraId="4C543F29" w14:textId="77777777" w:rsidR="00380BE7" w:rsidRPr="00256982" w:rsidRDefault="00380BE7" w:rsidP="00380BE7">
      <w:pPr>
        <w:pStyle w:val="References"/>
      </w:pPr>
      <w:r w:rsidRPr="00256982">
        <w:t xml:space="preserve">Beets PN, Kimberley MO. Unpublished. Improvements Contained in the Forest Carbon Predictor Version 3. </w:t>
      </w:r>
      <w:r w:rsidRPr="00256982">
        <w:rPr>
          <w:szCs w:val="22"/>
        </w:rPr>
        <w:t>Contract report prepared for the Ministry for the Environment by</w:t>
      </w:r>
      <w:r w:rsidRPr="00256982">
        <w:t xml:space="preserve"> </w:t>
      </w:r>
      <w:r w:rsidRPr="00256982">
        <w:rPr>
          <w:szCs w:val="22"/>
        </w:rPr>
        <w:t>New Zealand Forest Research Institute</w:t>
      </w:r>
      <w:r w:rsidRPr="00256982">
        <w:t xml:space="preserve"> Ltd (trading as Scion).</w:t>
      </w:r>
    </w:p>
    <w:p w14:paraId="5707F3CB" w14:textId="77777777" w:rsidR="00380BE7" w:rsidRPr="00256982" w:rsidRDefault="00380BE7" w:rsidP="00380BE7">
      <w:pPr>
        <w:pStyle w:val="References"/>
      </w:pPr>
      <w:r w:rsidRPr="00256982">
        <w:t xml:space="preserve">Beets PN, Kimberley MO, McKinley RB. 2007. Predicting wood density of </w:t>
      </w:r>
      <w:r w:rsidRPr="00256982">
        <w:rPr>
          <w:i/>
        </w:rPr>
        <w:t>Pinus radiata</w:t>
      </w:r>
      <w:r w:rsidRPr="00256982">
        <w:t xml:space="preserve"> annual growth increments. </w:t>
      </w:r>
      <w:r w:rsidRPr="00256982">
        <w:rPr>
          <w:i/>
          <w:iCs/>
        </w:rPr>
        <w:t xml:space="preserve">New Zealand Journal of Forestry Science </w:t>
      </w:r>
      <w:r w:rsidRPr="00256982">
        <w:t>37: 241–266.</w:t>
      </w:r>
    </w:p>
    <w:p w14:paraId="672092CD" w14:textId="77777777" w:rsidR="00380BE7" w:rsidRPr="00256982" w:rsidRDefault="00380BE7" w:rsidP="00380BE7">
      <w:pPr>
        <w:pStyle w:val="References"/>
      </w:pPr>
      <w:r w:rsidRPr="00256982">
        <w:t xml:space="preserve">Beets PN, Kimberley MO, Oliver GR, Pearce SH. 2018a. Predicting wood density of growth increments of Douglas-fir stands in New Zealand. </w:t>
      </w:r>
      <w:r w:rsidRPr="00256982">
        <w:rPr>
          <w:i/>
        </w:rPr>
        <w:t>New Zealand Journal of Forestry Science</w:t>
      </w:r>
      <w:r w:rsidRPr="00256982">
        <w:t xml:space="preserve"> 48: 8.</w:t>
      </w:r>
    </w:p>
    <w:p w14:paraId="67ACBD6E" w14:textId="77777777" w:rsidR="00380BE7" w:rsidRPr="00256982" w:rsidRDefault="00380BE7" w:rsidP="00380BE7">
      <w:pPr>
        <w:pStyle w:val="References"/>
      </w:pPr>
      <w:r w:rsidRPr="00256982">
        <w:t xml:space="preserve">Beets PN, Kimberley MO, Oliver GR, Pearce SH, Graham JD. 2014a. The application of stem analysis methods to estimate carbon sequestration in arboreal shrubs from a single measurement of field plots. </w:t>
      </w:r>
      <w:r w:rsidRPr="00256982">
        <w:rPr>
          <w:i/>
        </w:rPr>
        <w:t>Forests</w:t>
      </w:r>
      <w:r w:rsidRPr="00256982">
        <w:t xml:space="preserve"> 5: 919–935.</w:t>
      </w:r>
    </w:p>
    <w:p w14:paraId="68EC0192" w14:textId="77777777" w:rsidR="00380BE7" w:rsidRPr="00256982" w:rsidRDefault="00380BE7" w:rsidP="00380BE7">
      <w:pPr>
        <w:pStyle w:val="References"/>
      </w:pPr>
      <w:r w:rsidRPr="00256982">
        <w:t>Beets PN, Kimberley MO, Oliver GR, Pearce SH, Graham JD. Unpublished. Post-1989 Natural Forest Carbon Stocks and Changes. Contract report 20093 prepared for the Ministry for the Environment by New Zealand Forest Research Institute Ltd (trading as Scion).</w:t>
      </w:r>
    </w:p>
    <w:p w14:paraId="41052B5C" w14:textId="77777777" w:rsidR="00380BE7" w:rsidRPr="00256982" w:rsidRDefault="00380BE7" w:rsidP="00380BE7">
      <w:pPr>
        <w:pStyle w:val="References"/>
      </w:pPr>
      <w:r w:rsidRPr="00256982">
        <w:t xml:space="preserve">Beets PN, Kimberley MO, Oliver GR, Pearce, SH, Graham JD, Brandon A. 2012b. Allometric Equations for Estimating Carbon Stocks in Natural Forest in New Zealand. </w:t>
      </w:r>
      <w:r w:rsidRPr="00256982">
        <w:rPr>
          <w:i/>
        </w:rPr>
        <w:t>Forests</w:t>
      </w:r>
      <w:r w:rsidRPr="00256982">
        <w:t xml:space="preserve"> 3: 818–839.</w:t>
      </w:r>
    </w:p>
    <w:p w14:paraId="7E5D42C8" w14:textId="77777777" w:rsidR="00380BE7" w:rsidRPr="00256982" w:rsidRDefault="00380BE7" w:rsidP="00380BE7">
      <w:pPr>
        <w:pStyle w:val="References"/>
      </w:pPr>
      <w:r w:rsidRPr="00256982">
        <w:t>Beets PN, Kimberley MO, Oliver GR, Pearce SH, Graham JD, Henley D, Meason DF. 2018b. Plantation species-specific adjustment functions for the Forest Carbon Predictor in New Zealand.</w:t>
      </w:r>
      <w:r w:rsidRPr="00256982">
        <w:rPr>
          <w:i/>
        </w:rPr>
        <w:t xml:space="preserve"> New Zealand Journal of Forestry Science </w:t>
      </w:r>
      <w:r w:rsidRPr="00256982">
        <w:t>48: 20.</w:t>
      </w:r>
    </w:p>
    <w:p w14:paraId="5AD7F51B" w14:textId="6C391EC7" w:rsidR="00380BE7" w:rsidRPr="00256982" w:rsidRDefault="00380BE7" w:rsidP="00380BE7">
      <w:pPr>
        <w:pStyle w:val="References"/>
        <w:rPr>
          <w:lang w:eastAsia="en-NZ"/>
        </w:rPr>
      </w:pPr>
      <w:r w:rsidRPr="00256982">
        <w:t xml:space="preserve">Beets PN, Kimberley MO, Paul TSH, Garrett LG. 2011b. Planted Forest Carbon Monitoring System </w:t>
      </w:r>
      <w:r w:rsidR="00876059" w:rsidRPr="00256982">
        <w:br/>
      </w:r>
      <w:r w:rsidRPr="00256982">
        <w:t xml:space="preserve">– Forest carbon model validation study for </w:t>
      </w:r>
      <w:r w:rsidRPr="00256982">
        <w:rPr>
          <w:i/>
          <w:iCs/>
        </w:rPr>
        <w:t>Pinus radiata</w:t>
      </w:r>
      <w:r w:rsidRPr="00256982">
        <w:t xml:space="preserve">. </w:t>
      </w:r>
      <w:r w:rsidRPr="00256982">
        <w:rPr>
          <w:i/>
          <w:iCs/>
        </w:rPr>
        <w:t>New Zealand Journal of Forestry Science</w:t>
      </w:r>
      <w:r w:rsidRPr="00256982">
        <w:t xml:space="preserve"> 41:</w:t>
      </w:r>
      <w:r w:rsidR="00876059" w:rsidRPr="00256982">
        <w:t> </w:t>
      </w:r>
      <w:r w:rsidRPr="00256982">
        <w:t>177–189.</w:t>
      </w:r>
    </w:p>
    <w:p w14:paraId="29E2EFCA" w14:textId="77777777" w:rsidR="00380BE7" w:rsidRPr="00256982" w:rsidRDefault="00380BE7" w:rsidP="00380BE7">
      <w:pPr>
        <w:pStyle w:val="References"/>
        <w:rPr>
          <w:b/>
          <w:i/>
        </w:rPr>
      </w:pPr>
      <w:r w:rsidRPr="00256982">
        <w:lastRenderedPageBreak/>
        <w:t xml:space="preserve">Beets PN, Kimberley MO, Paul TSH, Oliver GR, Pearce SH, Buswell JM. 2014b. The Inventory of Carbon Stocks in New Zealand’s Post-1989 Natural Forest for Reporting under the Kyoto Protocol. </w:t>
      </w:r>
      <w:r w:rsidRPr="00256982">
        <w:rPr>
          <w:rFonts w:cs="Arial"/>
          <w:i/>
          <w:iCs/>
          <w:color w:val="222222"/>
        </w:rPr>
        <w:t>Forests</w:t>
      </w:r>
      <w:r w:rsidRPr="00256982">
        <w:rPr>
          <w:rFonts w:cs="Arial"/>
          <w:color w:val="222222"/>
        </w:rPr>
        <w:t xml:space="preserve"> </w:t>
      </w:r>
      <w:r w:rsidRPr="00256982">
        <w:rPr>
          <w:rFonts w:cs="Arial"/>
          <w:iCs/>
          <w:color w:val="222222"/>
        </w:rPr>
        <w:t>5</w:t>
      </w:r>
      <w:r w:rsidRPr="00256982">
        <w:rPr>
          <w:rFonts w:cs="Arial"/>
          <w:color w:val="222222"/>
        </w:rPr>
        <w:t>(9): 2230–2252</w:t>
      </w:r>
      <w:r w:rsidRPr="00256982">
        <w:rPr>
          <w:rFonts w:cs="Arial"/>
          <w:i/>
          <w:color w:val="222222"/>
        </w:rPr>
        <w:t>.</w:t>
      </w:r>
    </w:p>
    <w:p w14:paraId="0215F034" w14:textId="77777777" w:rsidR="00380BE7" w:rsidRPr="00256982" w:rsidRDefault="00380BE7" w:rsidP="00380BE7">
      <w:pPr>
        <w:pStyle w:val="References"/>
      </w:pPr>
      <w:r w:rsidRPr="00256982">
        <w:t xml:space="preserve">Beets PN, Payton IJ. Unpublished. </w:t>
      </w:r>
      <w:r w:rsidRPr="00256982">
        <w:rPr>
          <w:iCs/>
        </w:rPr>
        <w:t>CMS Indigenous Forest and Shrubland QA/QC in Implementation Year 2002</w:t>
      </w:r>
      <w:r w:rsidRPr="00256982">
        <w:t>. Contract report prepared for the Ministry for the Environment by New Zealand Forest Research Institute Ltd and Landcare Research New Zealand Ltd.</w:t>
      </w:r>
    </w:p>
    <w:p w14:paraId="1EACA9DF" w14:textId="77777777" w:rsidR="00380BE7" w:rsidRPr="00256982" w:rsidRDefault="00380BE7" w:rsidP="00380BE7">
      <w:pPr>
        <w:pStyle w:val="References"/>
      </w:pPr>
      <w:r w:rsidRPr="00256982">
        <w:t xml:space="preserve">Beets PN, Robertson KA, Ford-Robertson JB, Gordon J, Maclaren JP. 1999. Description and validation of C_change: A model for simulating carbon content in managed </w:t>
      </w:r>
      <w:r w:rsidRPr="00256982">
        <w:rPr>
          <w:i/>
        </w:rPr>
        <w:t>Pinus radiata</w:t>
      </w:r>
      <w:r w:rsidRPr="00256982">
        <w:t xml:space="preserve"> stands. </w:t>
      </w:r>
      <w:r w:rsidRPr="00256982">
        <w:rPr>
          <w:i/>
          <w:iCs/>
        </w:rPr>
        <w:t>New Zealand Journal of Forestry Science</w:t>
      </w:r>
      <w:r w:rsidRPr="00256982">
        <w:t xml:space="preserve"> 29(3): 409–427.</w:t>
      </w:r>
    </w:p>
    <w:p w14:paraId="60FDA595" w14:textId="77777777" w:rsidR="00380BE7" w:rsidRPr="00256982" w:rsidRDefault="00380BE7" w:rsidP="00380BE7">
      <w:pPr>
        <w:pStyle w:val="References"/>
      </w:pPr>
      <w:r w:rsidRPr="00256982">
        <w:t xml:space="preserve">Brack C. Unpublished. </w:t>
      </w:r>
      <w:r w:rsidRPr="00256982">
        <w:rPr>
          <w:iCs/>
        </w:rPr>
        <w:t>Planted Forest Inventory Design: Post-1989 exotic</w:t>
      </w:r>
      <w:r w:rsidRPr="00256982">
        <w:t>. Contract report prepared for the Ministry for the Environment.</w:t>
      </w:r>
    </w:p>
    <w:p w14:paraId="7DC6203D" w14:textId="77777777" w:rsidR="00380BE7" w:rsidRPr="00256982" w:rsidRDefault="00380BE7" w:rsidP="00380BE7">
      <w:pPr>
        <w:pStyle w:val="References"/>
      </w:pPr>
      <w:r w:rsidRPr="00256982">
        <w:t xml:space="preserve">Brack C, Broadley J. Unpublished. </w:t>
      </w:r>
      <w:r w:rsidRPr="00256982">
        <w:rPr>
          <w:iCs/>
        </w:rPr>
        <w:t>Co-location of LiDAR and Post-1989 Forest Plots</w:t>
      </w:r>
      <w:r w:rsidRPr="00256982">
        <w:t>. Contract report prepared for the Ministry for the Environment.</w:t>
      </w:r>
    </w:p>
    <w:p w14:paraId="34CFBF91" w14:textId="77777777" w:rsidR="00380BE7" w:rsidRPr="00256982" w:rsidRDefault="00380BE7" w:rsidP="00380BE7">
      <w:pPr>
        <w:pStyle w:val="References"/>
      </w:pPr>
      <w:r w:rsidRPr="00256982">
        <w:t xml:space="preserve">Bretz F, Hothorn T, Westfall P. 2010. </w:t>
      </w:r>
      <w:r w:rsidRPr="00256982">
        <w:rPr>
          <w:i/>
          <w:iCs/>
        </w:rPr>
        <w:t>Multiple Comparisons Using R</w:t>
      </w:r>
      <w:r w:rsidRPr="00256982">
        <w:t>. Boca Raton, FL: CRC Press.</w:t>
      </w:r>
    </w:p>
    <w:p w14:paraId="20F4FDD0" w14:textId="77777777" w:rsidR="00380BE7" w:rsidRPr="00256982" w:rsidRDefault="00380BE7" w:rsidP="00380BE7">
      <w:pPr>
        <w:pStyle w:val="References"/>
      </w:pPr>
      <w:r w:rsidRPr="00256982">
        <w:t xml:space="preserve">Burnham KP, Anderson DR. 2002. </w:t>
      </w:r>
      <w:r w:rsidRPr="00256982">
        <w:rPr>
          <w:i/>
        </w:rPr>
        <w:t>Model Selection and Multimodel Inference: A Practical Information-Theoretic Approach</w:t>
      </w:r>
      <w:r w:rsidRPr="00256982">
        <w:t>. 2nd edn. New York: Springer.</w:t>
      </w:r>
    </w:p>
    <w:p w14:paraId="71B9C9C2" w14:textId="77777777" w:rsidR="00380BE7" w:rsidRPr="00256982" w:rsidRDefault="00380BE7" w:rsidP="00380BE7">
      <w:pPr>
        <w:pStyle w:val="References"/>
      </w:pPr>
      <w:r w:rsidRPr="00256982">
        <w:t xml:space="preserve">Carswell FE, Burrows LE, Hall GMJ, Mason NWH, Allen RB. 2012. Carbon and plant diversity gain during 200 years of woody succession in lowland. </w:t>
      </w:r>
      <w:r w:rsidRPr="00256982">
        <w:rPr>
          <w:i/>
          <w:iCs/>
        </w:rPr>
        <w:t>New Zealand Journal of Ecology</w:t>
      </w:r>
      <w:r w:rsidRPr="00256982">
        <w:t xml:space="preserve"> 36(2): 191–202.</w:t>
      </w:r>
    </w:p>
    <w:p w14:paraId="7F7E1654" w14:textId="77777777" w:rsidR="00380BE7" w:rsidRPr="00256982" w:rsidRDefault="00380BE7" w:rsidP="00380BE7">
      <w:pPr>
        <w:pStyle w:val="References"/>
      </w:pPr>
      <w:r w:rsidRPr="00256982">
        <w:t>Clarkson, B. Unpublished. Peat extraction in New Zealand wetlands. Contract report prepared for the Ministry for the Environment. Landcare Research New Zealand Ltd Contract Report: LC2710.</w:t>
      </w:r>
    </w:p>
    <w:p w14:paraId="232B824A" w14:textId="77777777" w:rsidR="00380BE7" w:rsidRPr="00256982" w:rsidRDefault="00380BE7" w:rsidP="00380BE7">
      <w:pPr>
        <w:pStyle w:val="References"/>
      </w:pPr>
      <w:r w:rsidRPr="00256982">
        <w:t xml:space="preserve">Coomes DA, Allen RB, Scott NA, Goulding CJ, Beets PN. 2002. Designing systems to monitor carbon stocks in forests and shrublands. </w:t>
      </w:r>
      <w:r w:rsidRPr="00256982">
        <w:rPr>
          <w:i/>
          <w:iCs/>
        </w:rPr>
        <w:t>Forest Ecology and Management</w:t>
      </w:r>
      <w:r w:rsidRPr="00256982">
        <w:t xml:space="preserve"> 164: 89–108.</w:t>
      </w:r>
    </w:p>
    <w:p w14:paraId="57320867" w14:textId="77777777" w:rsidR="00380BE7" w:rsidRPr="00256982" w:rsidRDefault="00380BE7" w:rsidP="00380BE7">
      <w:pPr>
        <w:pStyle w:val="References"/>
      </w:pPr>
      <w:r w:rsidRPr="00256982">
        <w:t xml:space="preserve">Daly BK, Wilde RH. Unpublished. </w:t>
      </w:r>
      <w:r w:rsidRPr="00256982">
        <w:rPr>
          <w:iCs/>
        </w:rPr>
        <w:t>Contribution of Soil Carbon to New Zealand’s CO</w:t>
      </w:r>
      <w:r w:rsidRPr="00256982">
        <w:rPr>
          <w:iCs/>
          <w:vertAlign w:val="subscript"/>
        </w:rPr>
        <w:t>2</w:t>
      </w:r>
      <w:r w:rsidRPr="00256982">
        <w:rPr>
          <w:iCs/>
        </w:rPr>
        <w:t xml:space="preserve"> Emissions: I Reclassification of New Zealand Soil Series to IPCC Categories</w:t>
      </w:r>
      <w:r w:rsidRPr="00256982">
        <w:t>. Contract report prepared for the Ministry for the Environment. Landcare Research Contract Report: LC9697/096.</w:t>
      </w:r>
    </w:p>
    <w:p w14:paraId="3579481C" w14:textId="77777777" w:rsidR="00380BE7" w:rsidRPr="00256982" w:rsidRDefault="00380BE7" w:rsidP="00380BE7">
      <w:pPr>
        <w:pStyle w:val="References"/>
      </w:pPr>
      <w:r w:rsidRPr="00256982">
        <w:t xml:space="preserve">Davis MR, Wakelin SJ. Unpublished. </w:t>
      </w:r>
      <w:r w:rsidRPr="00256982">
        <w:rPr>
          <w:iCs/>
        </w:rPr>
        <w:t>Perennial Cropland Biomass: Sampling Requirements</w:t>
      </w:r>
      <w:r w:rsidRPr="00256982">
        <w:t>. Report prepared for the Ministry for the Environment by New Zealand Forest Research Institute Limited (trading as Scion). Contract report 11407.</w:t>
      </w:r>
    </w:p>
    <w:p w14:paraId="08D03B35" w14:textId="77777777" w:rsidR="00380BE7" w:rsidRPr="00256982" w:rsidRDefault="00380BE7" w:rsidP="00380BE7">
      <w:pPr>
        <w:pStyle w:val="References"/>
      </w:pPr>
      <w:r w:rsidRPr="00256982">
        <w:t xml:space="preserve">Doherty JJ, Anderson SA, Pearce HG. Unpublished. </w:t>
      </w:r>
      <w:r w:rsidRPr="00256982">
        <w:rPr>
          <w:iCs/>
        </w:rPr>
        <w:t>An Analysis of Wildfire Records in New Zealand: 1991–2007</w:t>
      </w:r>
      <w:r w:rsidRPr="00256982">
        <w:t>. Contract report 12796 prepared for the Ministry for the Environment by New Zealand Forest Research Institute Ltd (trading as Scion).</w:t>
      </w:r>
    </w:p>
    <w:p w14:paraId="377C1C59" w14:textId="77777777" w:rsidR="00380BE7" w:rsidRPr="00256982" w:rsidRDefault="00380BE7" w:rsidP="00380BE7">
      <w:pPr>
        <w:pStyle w:val="References"/>
      </w:pPr>
      <w:r w:rsidRPr="00256982">
        <w:t xml:space="preserve">Draper NR, Smith H. 1998. </w:t>
      </w:r>
      <w:r w:rsidRPr="00256982">
        <w:rPr>
          <w:i/>
          <w:iCs/>
        </w:rPr>
        <w:t>Applied Regression Analysis</w:t>
      </w:r>
      <w:r w:rsidRPr="00256982">
        <w:t>. New York: Wiley.</w:t>
      </w:r>
    </w:p>
    <w:p w14:paraId="2F584FBC" w14:textId="77777777" w:rsidR="00380BE7" w:rsidRPr="00256982" w:rsidRDefault="00380BE7" w:rsidP="00380BE7">
      <w:pPr>
        <w:pStyle w:val="References"/>
      </w:pPr>
      <w:r w:rsidRPr="00256982">
        <w:t xml:space="preserve">Dresser M, Hewitt A, Willoughby J, Bellis S. 2011. </w:t>
      </w:r>
      <w:r w:rsidRPr="00256982">
        <w:rPr>
          <w:i/>
          <w:iCs/>
        </w:rPr>
        <w:t>Area of Organic Soils</w:t>
      </w:r>
      <w:r w:rsidRPr="00256982">
        <w:t>. Report prepared for the Ministry of Agriculture and Forestry by Landcare Research. Wellington: Ministry of Agriculture and Forestry.</w:t>
      </w:r>
    </w:p>
    <w:p w14:paraId="69F7AB1F" w14:textId="77777777" w:rsidR="00380BE7" w:rsidRPr="00256982" w:rsidRDefault="00380BE7" w:rsidP="00380BE7">
      <w:pPr>
        <w:pStyle w:val="References"/>
      </w:pPr>
      <w:r w:rsidRPr="00256982">
        <w:t xml:space="preserve">Dymond JR, Shepherd JD. 2004. The spatial distribution of indigenous forest and its composition in the Wellington region, New Zealand, from ETM+ satellite imagery. </w:t>
      </w:r>
      <w:r w:rsidRPr="00256982">
        <w:rPr>
          <w:i/>
          <w:iCs/>
        </w:rPr>
        <w:t>Remote Sensing of Environment</w:t>
      </w:r>
      <w:r w:rsidRPr="00256982">
        <w:t xml:space="preserve"> 90: 116–125.</w:t>
      </w:r>
    </w:p>
    <w:p w14:paraId="5D6CBD92" w14:textId="77777777" w:rsidR="00380BE7" w:rsidRPr="00256982" w:rsidRDefault="00380BE7" w:rsidP="00380BE7">
      <w:pPr>
        <w:pStyle w:val="References"/>
      </w:pPr>
      <w:r w:rsidRPr="00256982">
        <w:t xml:space="preserve">Dymond JR, Shepherd JD, Arnold GC, Trotter CM. 2008. Estimating area of forest change by random sampling of change strata mapped using satellite imagery. </w:t>
      </w:r>
      <w:r w:rsidRPr="00256982">
        <w:rPr>
          <w:i/>
          <w:iCs/>
        </w:rPr>
        <w:t>Forest Science</w:t>
      </w:r>
      <w:r w:rsidRPr="00256982">
        <w:t xml:space="preserve"> 54(5): 475–480.</w:t>
      </w:r>
    </w:p>
    <w:p w14:paraId="2FB166CD" w14:textId="77777777" w:rsidR="00380BE7" w:rsidRPr="00256982" w:rsidRDefault="00380BE7" w:rsidP="00380BE7">
      <w:pPr>
        <w:pStyle w:val="References"/>
      </w:pPr>
      <w:r w:rsidRPr="00256982">
        <w:t xml:space="preserve">Dymond JR, Shepherd JD, Qi J. 2001. A simple physical model of vegetation reflectance for standardising optical satellite imagery. </w:t>
      </w:r>
      <w:r w:rsidRPr="00256982">
        <w:rPr>
          <w:i/>
          <w:iCs/>
        </w:rPr>
        <w:t>Remote Sensing of Environment</w:t>
      </w:r>
      <w:r w:rsidRPr="00256982">
        <w:t xml:space="preserve"> 37: 230–239.</w:t>
      </w:r>
    </w:p>
    <w:p w14:paraId="43C19B5E" w14:textId="77777777" w:rsidR="00380BE7" w:rsidRPr="00256982" w:rsidRDefault="00380BE7" w:rsidP="00380BE7">
      <w:pPr>
        <w:pStyle w:val="References"/>
      </w:pPr>
      <w:r w:rsidRPr="00256982">
        <w:t>Elsgaard L, Görresa CM, Hoffmann CC, Blicher-Mathiesen G, Schelde K, Petersen SO. 2012. Net ecosystem exchange of CO</w:t>
      </w:r>
      <w:r w:rsidRPr="00256982">
        <w:rPr>
          <w:vertAlign w:val="subscript"/>
        </w:rPr>
        <w:t>2</w:t>
      </w:r>
      <w:r w:rsidRPr="00256982">
        <w:t xml:space="preserve"> and carbon balance for eight temperate organic soils under agricultural management. </w:t>
      </w:r>
      <w:r w:rsidRPr="00256982">
        <w:rPr>
          <w:i/>
          <w:iCs/>
        </w:rPr>
        <w:t>Agriculture, Ecosystems &amp; Environment</w:t>
      </w:r>
      <w:r w:rsidRPr="00256982">
        <w:t xml:space="preserve"> 162: 52–67.</w:t>
      </w:r>
    </w:p>
    <w:p w14:paraId="75723744" w14:textId="77777777" w:rsidR="00380BE7" w:rsidRPr="00256982" w:rsidRDefault="00380BE7" w:rsidP="00380BE7">
      <w:pPr>
        <w:pStyle w:val="References"/>
      </w:pPr>
      <w:r w:rsidRPr="00256982">
        <w:t xml:space="preserve">Eyles GO. 1977. NZLRI worksheets and their applications to rural planning. </w:t>
      </w:r>
      <w:r w:rsidRPr="00256982">
        <w:rPr>
          <w:i/>
          <w:iCs/>
        </w:rPr>
        <w:t>Town Planning Quarterly</w:t>
      </w:r>
      <w:r w:rsidRPr="00256982">
        <w:t xml:space="preserve"> 47: 38–44.</w:t>
      </w:r>
    </w:p>
    <w:p w14:paraId="39BF2EE7" w14:textId="77777777" w:rsidR="00380BE7" w:rsidRPr="00256982" w:rsidRDefault="00380BE7" w:rsidP="00380BE7">
      <w:pPr>
        <w:pStyle w:val="References"/>
      </w:pPr>
      <w:r w:rsidRPr="00256982">
        <w:t xml:space="preserve">Forest Industry Training and Education Council. 2005. </w:t>
      </w:r>
      <w:r w:rsidRPr="00256982">
        <w:rPr>
          <w:i/>
          <w:iCs/>
        </w:rPr>
        <w:t>Best Practice Guidelines for Land Preparation</w:t>
      </w:r>
      <w:r w:rsidRPr="00256982">
        <w:t>. Revised edn. Rotorua: Forest Industry Training and Education Council.</w:t>
      </w:r>
    </w:p>
    <w:p w14:paraId="76772FDA" w14:textId="7639BE6F" w:rsidR="00380BE7" w:rsidRPr="00256982" w:rsidRDefault="00380BE7" w:rsidP="00380BE7">
      <w:pPr>
        <w:pStyle w:val="References"/>
      </w:pPr>
      <w:r w:rsidRPr="00256982">
        <w:lastRenderedPageBreak/>
        <w:t xml:space="preserve">Forests Act 1949. Retrieved from: </w:t>
      </w:r>
      <w:hyperlink r:id="rId213" w:history="1">
        <w:r w:rsidRPr="00256982">
          <w:rPr>
            <w:rStyle w:val="Hyperlink"/>
            <w:color w:val="auto"/>
          </w:rPr>
          <w:t>www.legislation.govt.nz/act/public/1949/0019/latest/whole.html</w:t>
        </w:r>
      </w:hyperlink>
      <w:r w:rsidRPr="00256982">
        <w:t xml:space="preserve"> (10</w:t>
      </w:r>
      <w:r w:rsidR="00582908" w:rsidRPr="00256982">
        <w:t> </w:t>
      </w:r>
      <w:r w:rsidRPr="00256982">
        <w:t>December 2018).</w:t>
      </w:r>
    </w:p>
    <w:p w14:paraId="5573B987" w14:textId="77777777" w:rsidR="00380BE7" w:rsidRPr="00256982" w:rsidRDefault="00380BE7" w:rsidP="00380BE7">
      <w:pPr>
        <w:pStyle w:val="References"/>
      </w:pPr>
      <w:r w:rsidRPr="00256982">
        <w:t xml:space="preserve">Fraser S, Wilde H, Payton I, Scott J. Unpublished. </w:t>
      </w:r>
      <w:r w:rsidRPr="00256982">
        <w:rPr>
          <w:iCs/>
        </w:rPr>
        <w:t>Historic Soils Dataset – Land Use Reclassification</w:t>
      </w:r>
      <w:r w:rsidRPr="00256982">
        <w:t>. Contract report prepared for the Ministry for the Environment by Landcare Research New Zealand Ltd. Contract report: LC0809/131.</w:t>
      </w:r>
    </w:p>
    <w:p w14:paraId="53A14948" w14:textId="77777777" w:rsidR="00380BE7" w:rsidRPr="00256982" w:rsidRDefault="00380BE7" w:rsidP="00380BE7">
      <w:pPr>
        <w:pStyle w:val="References"/>
      </w:pPr>
      <w:r w:rsidRPr="00256982">
        <w:t xml:space="preserve">Garrett LG. Unpublished. </w:t>
      </w:r>
      <w:r w:rsidRPr="00256982">
        <w:rPr>
          <w:iCs/>
        </w:rPr>
        <w:t>Natural Forests Soils – Data Checking and Carbon Content of the Mineral Soil</w:t>
      </w:r>
      <w:r w:rsidRPr="00256982">
        <w:t>. Contract report prepared for the Ministry for the Environment by New Zealand Forest Research Institute Ltd (trading as Scion).</w:t>
      </w:r>
    </w:p>
    <w:p w14:paraId="6D8535CE" w14:textId="77777777" w:rsidR="00380BE7" w:rsidRPr="00256982" w:rsidRDefault="00380BE7" w:rsidP="00380BE7">
      <w:pPr>
        <w:pStyle w:val="References"/>
      </w:pPr>
      <w:r w:rsidRPr="00256982">
        <w:t xml:space="preserve">Garrett LG, Kimberley MO, Oliver GR, Pearce SH, Paul TSH. 2010. Decomposition of woody debris in managed </w:t>
      </w:r>
      <w:r w:rsidRPr="00256982">
        <w:rPr>
          <w:i/>
        </w:rPr>
        <w:t>Pinus radiata</w:t>
      </w:r>
      <w:r w:rsidRPr="00256982">
        <w:t xml:space="preserve">. </w:t>
      </w:r>
      <w:r w:rsidRPr="00256982">
        <w:rPr>
          <w:i/>
          <w:iCs/>
        </w:rPr>
        <w:t>Forest Ecology and Management</w:t>
      </w:r>
      <w:r w:rsidRPr="00256982">
        <w:t xml:space="preserve"> 260: 1389–1398.</w:t>
      </w:r>
    </w:p>
    <w:p w14:paraId="2A6E1A32" w14:textId="77777777" w:rsidR="00380BE7" w:rsidRPr="00256982" w:rsidRDefault="00380BE7" w:rsidP="00380BE7">
      <w:pPr>
        <w:pStyle w:val="References"/>
      </w:pPr>
      <w:r w:rsidRPr="00256982">
        <w:t xml:space="preserve">Giltrap DJ, Betts H, Wilde RH, Oliver G, Tate KR, Baisden WT. Unpublished. </w:t>
      </w:r>
      <w:r w:rsidRPr="00256982">
        <w:rPr>
          <w:iCs/>
        </w:rPr>
        <w:t>Contribution of Soil Carbon to New Zealand’s CO</w:t>
      </w:r>
      <w:r w:rsidRPr="00256982">
        <w:rPr>
          <w:iCs/>
          <w:vertAlign w:val="subscript"/>
        </w:rPr>
        <w:t>2</w:t>
      </w:r>
      <w:r w:rsidRPr="00256982">
        <w:rPr>
          <w:iCs/>
        </w:rPr>
        <w:t xml:space="preserve"> Emissions. XIII: Integrate general linear model and digital elevation model</w:t>
      </w:r>
      <w:r w:rsidRPr="00256982">
        <w:t>. Landcare Research, Forest Research Joint Contract Report: JNT 9899/136.</w:t>
      </w:r>
    </w:p>
    <w:p w14:paraId="5CEFBB77" w14:textId="77777777" w:rsidR="00380BE7" w:rsidRPr="00256982" w:rsidRDefault="00380BE7" w:rsidP="00380BE7">
      <w:pPr>
        <w:pStyle w:val="References"/>
      </w:pPr>
      <w:r w:rsidRPr="00256982">
        <w:t xml:space="preserve">Hedley CB, Payton IJ, Lynn IH, Carrick ST, Webb TH, McNeill S. 2012. Random sampling of stony and non-stony soils for testing a national soil carbon monitoring system. </w:t>
      </w:r>
      <w:r w:rsidRPr="00256982">
        <w:rPr>
          <w:i/>
          <w:iCs/>
        </w:rPr>
        <w:t>Soil Research</w:t>
      </w:r>
      <w:r w:rsidRPr="00256982">
        <w:t> 50(1): 18–29.</w:t>
      </w:r>
    </w:p>
    <w:p w14:paraId="73F7B31F" w14:textId="77777777" w:rsidR="00380BE7" w:rsidRPr="00256982" w:rsidRDefault="00380BE7" w:rsidP="00380BE7">
      <w:pPr>
        <w:pStyle w:val="References"/>
      </w:pPr>
      <w:r w:rsidRPr="00256982">
        <w:t xml:space="preserve">Herries D, Paul TSH, Beets PN, Chikono C, Thompson R, Searles N. Unpublished. </w:t>
      </w:r>
      <w:r w:rsidRPr="00256982">
        <w:rPr>
          <w:iCs/>
        </w:rPr>
        <w:t>Land Use and Carbon Analysis System: Planted forest data collection manual</w:t>
      </w:r>
      <w:r w:rsidRPr="00256982">
        <w:t>. Wellington: Ministry for the Environment.</w:t>
      </w:r>
    </w:p>
    <w:p w14:paraId="009FA5E0" w14:textId="77777777" w:rsidR="00380BE7" w:rsidRPr="00256982" w:rsidRDefault="00380BE7" w:rsidP="00380BE7">
      <w:pPr>
        <w:pStyle w:val="References"/>
      </w:pPr>
      <w:r w:rsidRPr="00256982">
        <w:t xml:space="preserve">Hewitt A, Forrester G, Fraser S, Hedley C, Lynn I, Payton I. 2012. Afforestation effects on soil carbon stocks of low productivity grassland in New Zealand. </w:t>
      </w:r>
      <w:r w:rsidRPr="00256982">
        <w:rPr>
          <w:i/>
          <w:iCs/>
        </w:rPr>
        <w:t>Soil Use and Management</w:t>
      </w:r>
      <w:r w:rsidRPr="00256982">
        <w:t xml:space="preserve"> 28(4): 508–516.</w:t>
      </w:r>
    </w:p>
    <w:p w14:paraId="07AB2E5D" w14:textId="77777777" w:rsidR="00380BE7" w:rsidRPr="00256982" w:rsidRDefault="00380BE7" w:rsidP="00380BE7">
      <w:pPr>
        <w:pStyle w:val="References"/>
      </w:pPr>
      <w:r w:rsidRPr="00256982">
        <w:t xml:space="preserve">Hewitt AE. 2010. </w:t>
      </w:r>
      <w:r w:rsidRPr="00256982">
        <w:rPr>
          <w:i/>
        </w:rPr>
        <w:t>New Zealand Soil Classification</w:t>
      </w:r>
      <w:r w:rsidRPr="00256982">
        <w:t>. 3rd edn. Landcare Research Science Series No. 1. Lincoln: Manaaki-Whenua Press.</w:t>
      </w:r>
    </w:p>
    <w:p w14:paraId="4D1E4ACD" w14:textId="77777777" w:rsidR="00380BE7" w:rsidRPr="00256982" w:rsidRDefault="00380BE7" w:rsidP="00380BE7">
      <w:pPr>
        <w:pStyle w:val="References"/>
      </w:pPr>
      <w:r w:rsidRPr="00256982">
        <w:t xml:space="preserve">Holdaway RJ, Easdale TA, Carswell FE, Richardson SJ, Peltzer DA, Mason NW, Brandon AM, Coomes DA. 2016. Nationally representative plot network reveals contrasting drivers of net biomass change in secondary and old-growth forests. </w:t>
      </w:r>
      <w:r w:rsidRPr="00256982">
        <w:rPr>
          <w:i/>
        </w:rPr>
        <w:t>Ecosystems</w:t>
      </w:r>
      <w:r w:rsidRPr="00256982">
        <w:t xml:space="preserve"> 20: 944–959.</w:t>
      </w:r>
    </w:p>
    <w:p w14:paraId="1E28757A" w14:textId="77777777" w:rsidR="00380BE7" w:rsidRPr="00256982" w:rsidRDefault="00380BE7" w:rsidP="00380BE7">
      <w:pPr>
        <w:pStyle w:val="References"/>
      </w:pPr>
      <w:r w:rsidRPr="00256982">
        <w:t xml:space="preserve">Holdaway RJ, Easdale TA, Dickie IA, Morse CW, Maule H, Carswell FE. Unpublished. </w:t>
      </w:r>
      <w:r w:rsidRPr="00256982">
        <w:rPr>
          <w:iCs/>
        </w:rPr>
        <w:t>Data Preparation and Checking Procedures for LUCAS Natural Forest Plot Analysis</w:t>
      </w:r>
      <w:r w:rsidRPr="00256982">
        <w:t>. Contract report prepared for the Ministry for the Environment by Landcare Research New Zealand Ltd.</w:t>
      </w:r>
    </w:p>
    <w:p w14:paraId="112F80C5" w14:textId="77777777" w:rsidR="00380BE7" w:rsidRPr="00256982" w:rsidRDefault="00380BE7" w:rsidP="00380BE7">
      <w:pPr>
        <w:pStyle w:val="References"/>
      </w:pPr>
      <w:r w:rsidRPr="00256982">
        <w:t xml:space="preserve">Holdaway RJ, McNeill SJ, Mason NWH, Carswell FE. 2014. Propagating uncertainty in plot-based estimates of forest carbon stock and carbon stock change. </w:t>
      </w:r>
      <w:r w:rsidRPr="00256982">
        <w:rPr>
          <w:i/>
          <w:iCs/>
        </w:rPr>
        <w:t>Ecosystems</w:t>
      </w:r>
      <w:r w:rsidRPr="00256982">
        <w:t xml:space="preserve"> 17: 627–640.</w:t>
      </w:r>
    </w:p>
    <w:p w14:paraId="666BC8ED" w14:textId="77777777" w:rsidR="00380BE7" w:rsidRPr="00256982" w:rsidRDefault="00380BE7" w:rsidP="00380BE7">
      <w:pPr>
        <w:pStyle w:val="References"/>
      </w:pPr>
      <w:r w:rsidRPr="00256982">
        <w:t xml:space="preserve">Hunter G, McNeill S. Unpublished. </w:t>
      </w:r>
      <w:r w:rsidRPr="00256982">
        <w:rPr>
          <w:iCs/>
        </w:rPr>
        <w:t>Review of LUCAS Land use Backcasting 1962–1989.</w:t>
      </w:r>
      <w:r w:rsidRPr="00256982">
        <w:t xml:space="preserve"> Contract report prepared for the Ministry for the Environment by Landcare Research New Zealand Ltd. Contract report number LC70.</w:t>
      </w:r>
    </w:p>
    <w:p w14:paraId="50081140" w14:textId="77777777" w:rsidR="00380BE7" w:rsidRPr="00256982" w:rsidRDefault="00380BE7" w:rsidP="00380BE7">
      <w:pPr>
        <w:pStyle w:val="References"/>
      </w:pPr>
      <w:r w:rsidRPr="00256982">
        <w:t>Indufor Asia Pacific. 2018. New Zealand Deforestation Mapping 2015 and 2016 – Final Report. Contract report prepared for the Ministry for the Environment. Wellington: Ministry for the Environment.</w:t>
      </w:r>
    </w:p>
    <w:p w14:paraId="608AA654" w14:textId="77777777" w:rsidR="00380BE7" w:rsidRPr="00256982" w:rsidRDefault="00380BE7" w:rsidP="00380BE7">
      <w:pPr>
        <w:pStyle w:val="References"/>
      </w:pPr>
      <w:r w:rsidRPr="00256982">
        <w:t xml:space="preserve">Interpine Forestry Limited. Unpublished. </w:t>
      </w:r>
      <w:r w:rsidRPr="00256982">
        <w:rPr>
          <w:iCs/>
        </w:rPr>
        <w:t>LUCAS Post-1989 Planted Forest Soil Survey</w:t>
      </w:r>
      <w:r w:rsidRPr="00256982">
        <w:t>. Report prepared for the Ministry for the Environment.</w:t>
      </w:r>
    </w:p>
    <w:p w14:paraId="421BDBCD" w14:textId="77777777" w:rsidR="00380BE7" w:rsidRPr="00256982" w:rsidRDefault="00380BE7" w:rsidP="00380BE7">
      <w:pPr>
        <w:pStyle w:val="References"/>
      </w:pPr>
      <w:r w:rsidRPr="00256982">
        <w:t xml:space="preserve">IPCC. 2003. </w:t>
      </w:r>
      <w:r w:rsidRPr="00256982">
        <w:rPr>
          <w:i/>
          <w:iCs/>
        </w:rPr>
        <w:t>Good Practice Guidance for Land-use, Land-use Change and Forestry</w:t>
      </w:r>
      <w:r w:rsidRPr="00256982">
        <w:t>. IPCC National Greenhouse Gas Inventories Programme. Published for the IPCC by the Institute for Global Environmental Strategies, Japan.</w:t>
      </w:r>
    </w:p>
    <w:p w14:paraId="41CC27E8" w14:textId="597EA0A8" w:rsidR="00380BE7" w:rsidRPr="00256982" w:rsidRDefault="00380BE7" w:rsidP="00380BE7">
      <w:pPr>
        <w:pStyle w:val="References"/>
      </w:pPr>
      <w:r w:rsidRPr="00256982">
        <w:t xml:space="preserve">IPCC. 2006a. </w:t>
      </w:r>
      <w:r w:rsidR="00D832EB" w:rsidRPr="00256982">
        <w:t xml:space="preserve">Eggleston HS, Buendia L, Miwa K, Ngara T, Tanabe K (eds). </w:t>
      </w:r>
      <w:r w:rsidRPr="00256982">
        <w:rPr>
          <w:i/>
          <w:iCs/>
        </w:rPr>
        <w:t>2006 IPCC Guidelines for National Greenhouse Gas Inventories. Volume 4. Agriculture, Forestry and Other Land Use. IPCC National Greenhouse Gas Inventories Programme</w:t>
      </w:r>
      <w:r w:rsidRPr="00256982">
        <w:t>. Japan: Institute for Global Environmental Strategies for IPCC.</w:t>
      </w:r>
    </w:p>
    <w:p w14:paraId="5023C05A" w14:textId="77777777" w:rsidR="00380BE7" w:rsidRPr="00256982" w:rsidRDefault="00380BE7" w:rsidP="00380BE7">
      <w:pPr>
        <w:pStyle w:val="References"/>
      </w:pPr>
      <w:r w:rsidRPr="00256982">
        <w:t xml:space="preserve">IPCC. 2006b. </w:t>
      </w:r>
      <w:r w:rsidRPr="00256982">
        <w:rPr>
          <w:i/>
          <w:iCs/>
        </w:rPr>
        <w:t>General Guidance and Reporting</w:t>
      </w:r>
      <w:r w:rsidRPr="00256982">
        <w:t xml:space="preserve">. </w:t>
      </w:r>
      <w:r w:rsidRPr="00256982">
        <w:rPr>
          <w:i/>
        </w:rPr>
        <w:t xml:space="preserve">Volume 1. </w:t>
      </w:r>
      <w:r w:rsidRPr="00256982">
        <w:t>Eggleston HS, Buendia L, Miwa K, Ngara T, Tanabe K (eds). Japan: Institute for Global Environmental Strategies for IPCC.</w:t>
      </w:r>
    </w:p>
    <w:p w14:paraId="06972B12" w14:textId="77777777" w:rsidR="00380BE7" w:rsidRPr="00256982" w:rsidRDefault="00380BE7" w:rsidP="00380BE7">
      <w:pPr>
        <w:pStyle w:val="References"/>
      </w:pPr>
      <w:r w:rsidRPr="00256982">
        <w:t xml:space="preserve">IPCC. 2014. Hiraishi T, Krug T, Tanabe K, Srivastava N, Baasansuren J, Fukuda M, Troxler TG (eds). </w:t>
      </w:r>
      <w:r w:rsidRPr="00256982">
        <w:rPr>
          <w:i/>
          <w:iCs/>
        </w:rPr>
        <w:t>2013 Revised Supplementary Methods and Good Practice Guidance Arising from the Kyoto Protocol</w:t>
      </w:r>
      <w:r w:rsidRPr="00256982">
        <w:t>. Switzerland: IPCC.</w:t>
      </w:r>
    </w:p>
    <w:p w14:paraId="705BF401" w14:textId="77777777" w:rsidR="00380BE7" w:rsidRPr="00256982" w:rsidRDefault="00380BE7" w:rsidP="00380BE7">
      <w:pPr>
        <w:pStyle w:val="References"/>
      </w:pPr>
      <w:r w:rsidRPr="00256982">
        <w:t xml:space="preserve">Jones T. 2005. Wood properties of commercial tree species. In: M Colley (ed.) </w:t>
      </w:r>
      <w:r w:rsidRPr="00256982">
        <w:rPr>
          <w:i/>
          <w:iCs/>
        </w:rPr>
        <w:t>NZIF 2005 Forestry Handbook</w:t>
      </w:r>
      <w:r w:rsidRPr="00256982">
        <w:t>. Wellington: New Zealand Institute of Forestry. pp 204–207.</w:t>
      </w:r>
    </w:p>
    <w:p w14:paraId="12ACB97C" w14:textId="77777777" w:rsidR="00380BE7" w:rsidRPr="00256982" w:rsidRDefault="00380BE7" w:rsidP="00380BE7">
      <w:pPr>
        <w:pStyle w:val="References"/>
      </w:pPr>
      <w:r w:rsidRPr="00256982">
        <w:lastRenderedPageBreak/>
        <w:t>Joyce K. Unpublished. Ministry for the Environment LUCAS 1990–2008 Change Detection Quality Assessment Procedure, GNS Science Consultancy Report 2009/45.</w:t>
      </w:r>
    </w:p>
    <w:p w14:paraId="07548BEA" w14:textId="77777777" w:rsidR="00380BE7" w:rsidRPr="00256982" w:rsidRDefault="00380BE7" w:rsidP="00380BE7">
      <w:pPr>
        <w:pStyle w:val="References"/>
      </w:pPr>
      <w:r w:rsidRPr="00256982">
        <w:t xml:space="preserve">Kelliher FM, de Klein CA. Unpublished. </w:t>
      </w:r>
      <w:r w:rsidRPr="00256982">
        <w:rPr>
          <w:iCs/>
        </w:rPr>
        <w:t>Review of New Zealand’s Fertiliser Nitrous Oxide Emission Factor (EF1) Data</w:t>
      </w:r>
      <w:r w:rsidRPr="00256982">
        <w:t>. Contract report prepared for the Ministry for the Environment.</w:t>
      </w:r>
    </w:p>
    <w:p w14:paraId="51883685" w14:textId="77777777" w:rsidR="00380BE7" w:rsidRPr="00256982" w:rsidRDefault="00380BE7" w:rsidP="00380BE7">
      <w:pPr>
        <w:pStyle w:val="References"/>
      </w:pPr>
      <w:r w:rsidRPr="00256982">
        <w:t xml:space="preserve">Kimberley MO, Dean MG. 2006. </w:t>
      </w:r>
      <w:r w:rsidRPr="00256982">
        <w:rPr>
          <w:i/>
          <w:iCs/>
        </w:rPr>
        <w:t>A Validation of the 300 Index Growth Model</w:t>
      </w:r>
      <w:r w:rsidRPr="00256982">
        <w:t>. Report prepared for the Plantation Management Cooperative.</w:t>
      </w:r>
    </w:p>
    <w:p w14:paraId="71A07417" w14:textId="77777777" w:rsidR="00380BE7" w:rsidRPr="00256982" w:rsidRDefault="00380BE7" w:rsidP="00380BE7">
      <w:pPr>
        <w:pStyle w:val="References"/>
      </w:pPr>
      <w:r w:rsidRPr="00256982">
        <w:t xml:space="preserve">Kirschbaum M, Trotter C, Wakelin S, Baisden T, Curtin D, Dymond J, Ghani A, Jones HS, Deurer M, Arnold G, Beets PN, Davis MR, Hedley C, Peltzer D, Ross C, Schipper L, Sutherland A, Wang H, Beare M, Clothier B, Mason N, Ward M. Unpublished. </w:t>
      </w:r>
      <w:r w:rsidRPr="00256982">
        <w:rPr>
          <w:iCs/>
        </w:rPr>
        <w:t>Carbon Stocks and Changes in New Zealand’s Soils and Forests, and Implications of Post-2012 Accounting Options for Land-based Emissions Offsets and Mitigation Opportunities</w:t>
      </w:r>
      <w:r w:rsidRPr="00256982">
        <w:t>. Contract report prepared for the Ministry for the Environment.</w:t>
      </w:r>
    </w:p>
    <w:p w14:paraId="33928626" w14:textId="77777777" w:rsidR="00380BE7" w:rsidRPr="00256982" w:rsidRDefault="00380BE7" w:rsidP="00380BE7">
      <w:pPr>
        <w:pStyle w:val="References"/>
      </w:pPr>
      <w:r w:rsidRPr="00256982">
        <w:t xml:space="preserve">Knowles RL. 2005. Development of a productivity index for Douglas-fir. </w:t>
      </w:r>
      <w:r w:rsidRPr="00256982">
        <w:rPr>
          <w:i/>
          <w:iCs/>
        </w:rPr>
        <w:t>New Zealand Journal of Forestry</w:t>
      </w:r>
      <w:r w:rsidRPr="00256982">
        <w:t xml:space="preserve"> 50(2): 19–22.</w:t>
      </w:r>
    </w:p>
    <w:p w14:paraId="173139F2" w14:textId="635688B0" w:rsidR="00380BE7" w:rsidRPr="00256982" w:rsidRDefault="00380BE7" w:rsidP="00380BE7">
      <w:pPr>
        <w:pStyle w:val="References"/>
      </w:pPr>
      <w:r w:rsidRPr="00256982">
        <w:t xml:space="preserve">Lawrence-Smith EJ, Tregurtha CS, Beare MH. 2010. </w:t>
      </w:r>
      <w:r w:rsidRPr="00256982">
        <w:rPr>
          <w:i/>
          <w:iCs/>
        </w:rPr>
        <w:t>Land Management Index Data for use in New</w:t>
      </w:r>
      <w:r w:rsidR="00582908" w:rsidRPr="00256982">
        <w:rPr>
          <w:i/>
          <w:iCs/>
        </w:rPr>
        <w:t> </w:t>
      </w:r>
      <w:r w:rsidRPr="00256982">
        <w:rPr>
          <w:i/>
          <w:iCs/>
        </w:rPr>
        <w:t>Zealand’s Soil Carbon Monitoring System</w:t>
      </w:r>
      <w:r w:rsidRPr="00256982">
        <w:t>. Contract report prepared by Plant and Food Research for the Ministry for the Environment. Contract report number: SPTS 4612. Wellington: Ministry for the</w:t>
      </w:r>
      <w:r w:rsidR="00582908" w:rsidRPr="00256982">
        <w:t> </w:t>
      </w:r>
      <w:r w:rsidRPr="00256982">
        <w:t>Environment.</w:t>
      </w:r>
    </w:p>
    <w:p w14:paraId="5688C018" w14:textId="77777777" w:rsidR="00380BE7" w:rsidRPr="00256982" w:rsidRDefault="00380BE7" w:rsidP="00380BE7">
      <w:pPr>
        <w:pStyle w:val="References"/>
      </w:pPr>
      <w:r w:rsidRPr="00256982">
        <w:t xml:space="preserve">Leathwick J, Morgan F, Wilson G, Rutledge D, McLeod M, Johnston K. 2002. </w:t>
      </w:r>
      <w:r w:rsidRPr="00256982">
        <w:rPr>
          <w:i/>
          <w:iCs/>
        </w:rPr>
        <w:t>Land Environments of New Zealand: A Technical Guide</w:t>
      </w:r>
      <w:r w:rsidRPr="00256982">
        <w:t>. Wellington: Ministry for the Environment.</w:t>
      </w:r>
    </w:p>
    <w:p w14:paraId="573E47FC" w14:textId="77777777" w:rsidR="00380BE7" w:rsidRPr="00256982" w:rsidRDefault="00380BE7" w:rsidP="00380BE7">
      <w:pPr>
        <w:pStyle w:val="References"/>
      </w:pPr>
      <w:r w:rsidRPr="00256982">
        <w:t>Lilburne LR, Hewitt AE, Webb TW. 2012. Soil and informatics science combine to develop S</w:t>
      </w:r>
      <w:r w:rsidRPr="00256982">
        <w:noBreakHyphen/>
        <w:t xml:space="preserve">map: A new generation soil information system for New Zealand. </w:t>
      </w:r>
      <w:r w:rsidRPr="00256982">
        <w:rPr>
          <w:i/>
          <w:iCs/>
        </w:rPr>
        <w:t>Geoderma</w:t>
      </w:r>
      <w:r w:rsidRPr="00256982">
        <w:t xml:space="preserve"> 170: 232–238.</w:t>
      </w:r>
    </w:p>
    <w:p w14:paraId="0B5C84A3" w14:textId="77777777" w:rsidR="00380BE7" w:rsidRPr="00256982" w:rsidRDefault="00380BE7" w:rsidP="00380BE7">
      <w:pPr>
        <w:pStyle w:val="References"/>
      </w:pPr>
      <w:r w:rsidRPr="00256982">
        <w:t xml:space="preserve">Manderson A, Hoogendoorn C, Newsome P. 2018. </w:t>
      </w:r>
      <w:r w:rsidRPr="00256982">
        <w:rPr>
          <w:i/>
        </w:rPr>
        <w:t>Grassland improvement mapping using Innovative Data Analysis (IDA) techniques</w:t>
      </w:r>
      <w:r w:rsidRPr="00256982">
        <w:t>. Contract report prepared for the Ministry for the Environment by Landcare Research New Zealand Ltd.</w:t>
      </w:r>
    </w:p>
    <w:p w14:paraId="77591EE1" w14:textId="77777777" w:rsidR="00380BE7" w:rsidRPr="00256982" w:rsidRDefault="00380BE7" w:rsidP="00380BE7">
      <w:pPr>
        <w:pStyle w:val="References"/>
      </w:pPr>
      <w:r w:rsidRPr="00256982">
        <w:t xml:space="preserve">Manley B. 2009. </w:t>
      </w:r>
      <w:r w:rsidRPr="00256982">
        <w:rPr>
          <w:i/>
          <w:iCs/>
        </w:rPr>
        <w:t>2008 Deforestation Intentions Survey</w:t>
      </w:r>
      <w:r w:rsidRPr="00256982">
        <w:t>. Contract report prepared for the Ministry of Agriculture and Forestry by New Zealand School of Forestry, University of Canterbury. Wellington: Ministry of Agriculture and Forestry.</w:t>
      </w:r>
    </w:p>
    <w:p w14:paraId="31028A63" w14:textId="77777777" w:rsidR="00380BE7" w:rsidRPr="00256982" w:rsidRDefault="00380BE7" w:rsidP="00380BE7">
      <w:pPr>
        <w:pStyle w:val="References"/>
      </w:pPr>
      <w:r w:rsidRPr="00256982">
        <w:t xml:space="preserve">Manley B. 2018. </w:t>
      </w:r>
      <w:r w:rsidRPr="00256982">
        <w:rPr>
          <w:i/>
        </w:rPr>
        <w:t>Deforestation Intentions Survey</w:t>
      </w:r>
      <w:r w:rsidRPr="00256982">
        <w:t xml:space="preserve"> </w:t>
      </w:r>
      <w:r w:rsidRPr="00256982">
        <w:rPr>
          <w:i/>
        </w:rPr>
        <w:t>2017</w:t>
      </w:r>
      <w:r w:rsidRPr="00256982">
        <w:t>. Wellington: Ministry for Primary Industries.</w:t>
      </w:r>
    </w:p>
    <w:p w14:paraId="4983BA20" w14:textId="77777777" w:rsidR="00380BE7" w:rsidRPr="00256982" w:rsidRDefault="00380BE7" w:rsidP="00380BE7">
      <w:pPr>
        <w:pStyle w:val="References"/>
      </w:pPr>
      <w:r w:rsidRPr="00256982">
        <w:t xml:space="preserve">Marcus R, Peritz E, Gabriel KR. 1976. On closed testing procedures with special reference to ordered analysis of variance. </w:t>
      </w:r>
      <w:r w:rsidRPr="00256982">
        <w:rPr>
          <w:i/>
          <w:iCs/>
        </w:rPr>
        <w:t xml:space="preserve">Biometrika </w:t>
      </w:r>
      <w:r w:rsidRPr="00256982">
        <w:t>63: 655–660.</w:t>
      </w:r>
    </w:p>
    <w:p w14:paraId="5D884660" w14:textId="77777777" w:rsidR="00380BE7" w:rsidRPr="00256982" w:rsidRDefault="00380BE7" w:rsidP="00380BE7">
      <w:pPr>
        <w:pStyle w:val="References"/>
      </w:pPr>
      <w:r w:rsidRPr="00256982">
        <w:t xml:space="preserve">McGaughey RJ. 2010. </w:t>
      </w:r>
      <w:r w:rsidRPr="00256982">
        <w:rPr>
          <w:i/>
          <w:iCs/>
        </w:rPr>
        <w:t>Fusion/LDV: Software for LiDAR Data Analysis and Visualisation.</w:t>
      </w:r>
      <w:r w:rsidRPr="00256982">
        <w:t xml:space="preserve"> Seattle: USDA Forest Service Pacific Northwest Research Station.</w:t>
      </w:r>
    </w:p>
    <w:p w14:paraId="5000A82A" w14:textId="77777777" w:rsidR="00380BE7" w:rsidRPr="00256982" w:rsidRDefault="00380BE7" w:rsidP="00380BE7">
      <w:pPr>
        <w:pStyle w:val="References"/>
      </w:pPr>
      <w:r w:rsidRPr="00256982">
        <w:t xml:space="preserve">McGlone MS. 2009. Postglacial history of New Zealand wetlands and implications for their conservation. </w:t>
      </w:r>
      <w:r w:rsidRPr="00256982">
        <w:rPr>
          <w:i/>
          <w:iCs/>
        </w:rPr>
        <w:t>New Zealand Journal of Ecology</w:t>
      </w:r>
      <w:r w:rsidRPr="00256982">
        <w:t xml:space="preserve"> 33: 1–23.</w:t>
      </w:r>
    </w:p>
    <w:p w14:paraId="4440448D" w14:textId="77777777" w:rsidR="00380BE7" w:rsidRPr="00256982" w:rsidRDefault="00380BE7" w:rsidP="00380BE7">
      <w:pPr>
        <w:pStyle w:val="References"/>
      </w:pPr>
      <w:r w:rsidRPr="00256982">
        <w:t xml:space="preserve">McNeill SJ. Unpublished(a). LC93 </w:t>
      </w:r>
      <w:r w:rsidRPr="00256982">
        <w:rPr>
          <w:iCs/>
        </w:rPr>
        <w:t>Soil CMS Model Recalibration and Uncertainty Analysis</w:t>
      </w:r>
      <w:r w:rsidRPr="00256982">
        <w:t>. Contract report prepared for the Ministry for the Environment by Landcare Research New Zealand Ltd.</w:t>
      </w:r>
    </w:p>
    <w:p w14:paraId="7092A146" w14:textId="77777777" w:rsidR="00380BE7" w:rsidRPr="00256982" w:rsidRDefault="00380BE7" w:rsidP="00380BE7">
      <w:pPr>
        <w:pStyle w:val="References"/>
      </w:pPr>
      <w:r w:rsidRPr="00256982">
        <w:t xml:space="preserve">McNeill SJ. Unpublished(b). LC975 </w:t>
      </w:r>
      <w:r w:rsidRPr="00256982">
        <w:rPr>
          <w:iCs/>
        </w:rPr>
        <w:t>Respecification and Reclassification of the MfE Soil CMS model</w:t>
      </w:r>
      <w:r w:rsidRPr="00256982">
        <w:t>. Contract report prepared for the Ministry for the Environment by Landcare Research New Zealand Ltd.</w:t>
      </w:r>
    </w:p>
    <w:p w14:paraId="4441E248" w14:textId="77777777" w:rsidR="00380BE7" w:rsidRPr="00256982" w:rsidRDefault="00380BE7" w:rsidP="00380BE7">
      <w:pPr>
        <w:pStyle w:val="References"/>
      </w:pPr>
      <w:r w:rsidRPr="00256982">
        <w:t xml:space="preserve">McNeill SJ, Barringer JRF. Unpublished. </w:t>
      </w:r>
      <w:r w:rsidRPr="00256982">
        <w:rPr>
          <w:iCs/>
        </w:rPr>
        <w:t>Respecification and Reclassification of the 2013 MfE Soil CMS Model</w:t>
      </w:r>
      <w:r w:rsidRPr="00256982">
        <w:t>. Prepared for the Ministry for the Environment by Landcare Research New Zealand Ltd.</w:t>
      </w:r>
    </w:p>
    <w:p w14:paraId="2E92B4B5" w14:textId="77777777" w:rsidR="00380BE7" w:rsidRPr="00256982" w:rsidRDefault="00380BE7" w:rsidP="00380BE7">
      <w:pPr>
        <w:pStyle w:val="References"/>
      </w:pPr>
      <w:r w:rsidRPr="00256982">
        <w:t xml:space="preserve">McNeill SJ, Barringer JRF, Forrester GJ. Unpublished. LC1650 </w:t>
      </w:r>
      <w:r w:rsidRPr="00256982">
        <w:rPr>
          <w:iCs/>
        </w:rPr>
        <w:t>Development, Refinement and Calibration of the MfE Soil CMS Model</w:t>
      </w:r>
      <w:r w:rsidRPr="00256982">
        <w:t>. Prepared for the Ministry for the Environment by Landcare Research New Zealand Ltd.</w:t>
      </w:r>
    </w:p>
    <w:p w14:paraId="4D2B4158" w14:textId="77777777" w:rsidR="00380BE7" w:rsidRPr="00256982" w:rsidRDefault="00380BE7" w:rsidP="00380BE7">
      <w:pPr>
        <w:pStyle w:val="References"/>
      </w:pPr>
      <w:r w:rsidRPr="00256982">
        <w:t xml:space="preserve">McNeill SJ, Golubiewski NE, Barringer J. 2014. Development and calibration of a soil carbon inventory model for New Zealand. </w:t>
      </w:r>
      <w:r w:rsidRPr="00256982">
        <w:rPr>
          <w:i/>
          <w:iCs/>
        </w:rPr>
        <w:t>Soil Research</w:t>
      </w:r>
      <w:r w:rsidRPr="00256982">
        <w:t xml:space="preserve"> 52: 789–804.</w:t>
      </w:r>
    </w:p>
    <w:p w14:paraId="0F76B2A6" w14:textId="77777777" w:rsidR="00380BE7" w:rsidRPr="00256982" w:rsidRDefault="00380BE7" w:rsidP="00380BE7">
      <w:pPr>
        <w:pStyle w:val="References"/>
      </w:pPr>
      <w:r w:rsidRPr="00256982">
        <w:t xml:space="preserve">Milne JDG, Clayden B, Singleton PL, Wilson AD. 1995. </w:t>
      </w:r>
      <w:r w:rsidRPr="00256982">
        <w:rPr>
          <w:i/>
          <w:iCs/>
        </w:rPr>
        <w:t>Soil Description Handbook</w:t>
      </w:r>
      <w:r w:rsidRPr="00256982">
        <w:t>. Lincoln: Manaaki Whenua Press.</w:t>
      </w:r>
    </w:p>
    <w:p w14:paraId="57B05070" w14:textId="77777777" w:rsidR="00380BE7" w:rsidRPr="00256982" w:rsidRDefault="00380BE7" w:rsidP="00380BE7">
      <w:pPr>
        <w:pStyle w:val="References"/>
      </w:pPr>
      <w:r w:rsidRPr="00256982">
        <w:t xml:space="preserve">Ministry for Primary Industries. 2015a. </w:t>
      </w:r>
      <w:r w:rsidRPr="00256982">
        <w:rPr>
          <w:i/>
          <w:iCs/>
        </w:rPr>
        <w:t>Afforestation Grant Scheme</w:t>
      </w:r>
      <w:r w:rsidRPr="00256982">
        <w:t xml:space="preserve">. Wellington: Ministry for Primary Industries. Retrieved from </w:t>
      </w:r>
      <w:hyperlink r:id="rId214" w:history="1">
        <w:r w:rsidRPr="00256982">
          <w:rPr>
            <w:rStyle w:val="Hyperlink"/>
            <w:color w:val="auto"/>
          </w:rPr>
          <w:t>https://mpi.govt.nz/funding-and-programmes/forestry/afforestation-grant-scheme</w:t>
        </w:r>
      </w:hyperlink>
      <w:r w:rsidRPr="00256982">
        <w:t xml:space="preserve"> (20 November 2015).</w:t>
      </w:r>
    </w:p>
    <w:p w14:paraId="220AB321" w14:textId="77777777" w:rsidR="00380BE7" w:rsidRPr="00256982" w:rsidRDefault="00380BE7" w:rsidP="00380BE7">
      <w:pPr>
        <w:pStyle w:val="References"/>
      </w:pPr>
      <w:r w:rsidRPr="00256982">
        <w:lastRenderedPageBreak/>
        <w:t xml:space="preserve">Ministry for Primary Industries. 2015b. </w:t>
      </w:r>
      <w:r w:rsidRPr="00256982">
        <w:rPr>
          <w:i/>
          <w:iCs/>
        </w:rPr>
        <w:t>An overview of forestry in the emissions trading scheme</w:t>
      </w:r>
      <w:r w:rsidRPr="00256982">
        <w:t>. Retrieved from https://www.mpi.govt.nz/dmsdocument/6991/loggedIn (6 March 2019).</w:t>
      </w:r>
    </w:p>
    <w:p w14:paraId="3DF4B2FF" w14:textId="77777777" w:rsidR="00380BE7" w:rsidRPr="00256982" w:rsidRDefault="00380BE7" w:rsidP="00380BE7">
      <w:pPr>
        <w:pStyle w:val="References"/>
      </w:pPr>
      <w:r w:rsidRPr="00256982">
        <w:t xml:space="preserve">Ministry for Primary Industries. 2015c. </w:t>
      </w:r>
      <w:r w:rsidRPr="00256982">
        <w:rPr>
          <w:i/>
          <w:iCs/>
        </w:rPr>
        <w:t>Guide to the</w:t>
      </w:r>
      <w:r w:rsidRPr="00256982">
        <w:t xml:space="preserve"> </w:t>
      </w:r>
      <w:r w:rsidRPr="00256982">
        <w:rPr>
          <w:i/>
          <w:iCs/>
        </w:rPr>
        <w:t>Permanent Forest Sink Initiative</w:t>
      </w:r>
      <w:r w:rsidRPr="00256982">
        <w:t>. Wellington: Ministry for Primary Industries. Retrieved from www.mpi.govt.nz/funding-and-programmes/ forestry/permanent-forest-sink-initiative (20 November 2015).</w:t>
      </w:r>
    </w:p>
    <w:p w14:paraId="6F83B1DB" w14:textId="77777777" w:rsidR="00380BE7" w:rsidRPr="00256982" w:rsidRDefault="00380BE7" w:rsidP="00380BE7">
      <w:pPr>
        <w:pStyle w:val="References"/>
        <w:rPr>
          <w:spacing w:val="-2"/>
        </w:rPr>
      </w:pPr>
      <w:r w:rsidRPr="00256982">
        <w:rPr>
          <w:spacing w:val="-2"/>
        </w:rPr>
        <w:t xml:space="preserve">Ministry for Primary Industries. 2015d. </w:t>
      </w:r>
      <w:r w:rsidRPr="00256982">
        <w:rPr>
          <w:i/>
          <w:spacing w:val="-2"/>
        </w:rPr>
        <w:t>Sustainable Management of New Zealand’s Forests: New Zealand’s Third Country Report on the Montreal Process Criteria and Indicators</w:t>
      </w:r>
      <w:r w:rsidRPr="00256982">
        <w:rPr>
          <w:spacing w:val="-2"/>
        </w:rPr>
        <w:t>. Retrieved from http://mpi.govt.nz/growing-and-producing/forestry/overview/montreal-process/ (23 February 2017).</w:t>
      </w:r>
    </w:p>
    <w:p w14:paraId="2A4B1ADE" w14:textId="77777777" w:rsidR="00380BE7" w:rsidRPr="00256982" w:rsidRDefault="00380BE7" w:rsidP="00380BE7">
      <w:pPr>
        <w:pStyle w:val="References"/>
      </w:pPr>
      <w:r w:rsidRPr="00256982">
        <w:t xml:space="preserve">Ministry for Primary Industries. 2016. </w:t>
      </w:r>
      <w:r w:rsidRPr="00256982">
        <w:rPr>
          <w:i/>
          <w:iCs/>
        </w:rPr>
        <w:t>Material Flow and End-use of Harvested Wood Products Produced from New Zealand Log Exports</w:t>
      </w:r>
      <w:r w:rsidRPr="00256982">
        <w:t>. Wellington: Ministry for Primary Industries.</w:t>
      </w:r>
    </w:p>
    <w:p w14:paraId="1E527750" w14:textId="77777777" w:rsidR="00380BE7" w:rsidRPr="00256982" w:rsidRDefault="00380BE7" w:rsidP="00380BE7">
      <w:pPr>
        <w:pStyle w:val="References"/>
      </w:pPr>
      <w:r w:rsidRPr="00256982">
        <w:t xml:space="preserve">Ministry for Primary Industries. 2017. </w:t>
      </w:r>
      <w:r w:rsidRPr="00256982">
        <w:rPr>
          <w:i/>
          <w:iCs/>
        </w:rPr>
        <w:t>National Exotic Forest Description as at 1 April 2017</w:t>
      </w:r>
      <w:r w:rsidRPr="00256982">
        <w:t>. Wellington: Ministry for Primary Industries.</w:t>
      </w:r>
    </w:p>
    <w:p w14:paraId="5CB80889" w14:textId="77777777" w:rsidR="00380BE7" w:rsidRPr="00256982" w:rsidRDefault="00380BE7" w:rsidP="00380BE7">
      <w:pPr>
        <w:pStyle w:val="References"/>
      </w:pPr>
      <w:r w:rsidRPr="00256982">
        <w:t>Ministry for Primary Industries. 2018</w:t>
      </w:r>
      <w:r w:rsidRPr="00256982">
        <w:rPr>
          <w:i/>
        </w:rPr>
        <w:t>. Forestry Production and Trade Statistics Detail the Production, Trade, and Other Forestry Activities in New Zealand</w:t>
      </w:r>
      <w:r w:rsidRPr="00256982">
        <w:t xml:space="preserve">. Wellington: Ministry for Primary Industries. Retrieved from </w:t>
      </w:r>
      <w:hyperlink r:id="rId215" w:history="1">
        <w:r w:rsidRPr="00256982">
          <w:rPr>
            <w:rStyle w:val="Hyperlink"/>
            <w:color w:val="auto"/>
          </w:rPr>
          <w:t>https://mpi.govt.nz/news-and-resources/statistics-and-forecasting/forestry</w:t>
        </w:r>
      </w:hyperlink>
      <w:r w:rsidRPr="00256982">
        <w:t xml:space="preserve"> (25 October 2018).</w:t>
      </w:r>
    </w:p>
    <w:p w14:paraId="1B2C4CC2" w14:textId="77777777" w:rsidR="00380BE7" w:rsidRPr="00256982" w:rsidRDefault="00380BE7" w:rsidP="00380BE7">
      <w:pPr>
        <w:pStyle w:val="References"/>
      </w:pPr>
      <w:r w:rsidRPr="00256982">
        <w:t xml:space="preserve">Ministry for the Environment. 2006. </w:t>
      </w:r>
      <w:r w:rsidRPr="00256982">
        <w:rPr>
          <w:i/>
          <w:iCs/>
        </w:rPr>
        <w:t>New Zealand’s Initial Report under the Kyoto Protocol</w:t>
      </w:r>
      <w:r w:rsidRPr="00256982">
        <w:t>. Wellington: Ministry for the Environment. Retrieved from www.mfe.govt.nz/publications/climate/new-zealands-initial-report-under-the-kyoto-protocol/index.html (14 July 2011).</w:t>
      </w:r>
    </w:p>
    <w:p w14:paraId="0D8971EA" w14:textId="77777777" w:rsidR="00380BE7" w:rsidRPr="00256982" w:rsidRDefault="00380BE7" w:rsidP="00380BE7">
      <w:pPr>
        <w:pStyle w:val="References"/>
      </w:pPr>
      <w:r w:rsidRPr="00256982">
        <w:t xml:space="preserve">Ministry for the Environment. 2012. </w:t>
      </w:r>
      <w:r w:rsidRPr="00256982">
        <w:rPr>
          <w:i/>
        </w:rPr>
        <w:t>Land Use and Carbon Analysis System: Satellite imagery interpretation guide for land use classes</w:t>
      </w:r>
      <w:r w:rsidRPr="00256982">
        <w:t>. 2nd edn. Wellington: Ministry for the Environment.</w:t>
      </w:r>
    </w:p>
    <w:p w14:paraId="6CE3E3C3" w14:textId="77777777" w:rsidR="00380BE7" w:rsidRPr="00256982" w:rsidRDefault="00380BE7" w:rsidP="00380BE7">
      <w:pPr>
        <w:pStyle w:val="References"/>
      </w:pPr>
      <w:r w:rsidRPr="00256982">
        <w:t>Ministry for the Environment. Unpublished. Land Use Carbon Analysis System Natural Forest Data Collection Manual.</w:t>
      </w:r>
    </w:p>
    <w:p w14:paraId="7DA5B429" w14:textId="77777777" w:rsidR="00380BE7" w:rsidRPr="00256982" w:rsidRDefault="00380BE7" w:rsidP="00380BE7">
      <w:pPr>
        <w:pStyle w:val="References"/>
      </w:pPr>
      <w:r w:rsidRPr="00256982">
        <w:t xml:space="preserve">Ministry for the Environment and Stats NZ. 2017. </w:t>
      </w:r>
      <w:r w:rsidRPr="00256982">
        <w:rPr>
          <w:i/>
        </w:rPr>
        <w:t>New Zealand’s Environmental Reporting Series: Our fresh water 2017</w:t>
      </w:r>
      <w:r w:rsidRPr="00256982">
        <w:t xml:space="preserve">. Retrieved from </w:t>
      </w:r>
      <w:hyperlink r:id="rId216" w:history="1">
        <w:r w:rsidRPr="00256982">
          <w:t>www.mfe.govt.nz</w:t>
        </w:r>
      </w:hyperlink>
      <w:r w:rsidRPr="00256982">
        <w:t xml:space="preserve"> and www.stats.govt.nz.</w:t>
      </w:r>
    </w:p>
    <w:p w14:paraId="58FD80B4" w14:textId="77777777" w:rsidR="00380BE7" w:rsidRPr="00256982" w:rsidRDefault="00380BE7" w:rsidP="00380BE7">
      <w:pPr>
        <w:pStyle w:val="References"/>
      </w:pPr>
      <w:r w:rsidRPr="00256982">
        <w:t>Moore JR, Goulding CJ. Unpublished. Sampling Methods and Associated Levels of Precision for a National Carbon Inventory in Planted Forests. Contract report prepared for Ministry for the Environment.</w:t>
      </w:r>
    </w:p>
    <w:p w14:paraId="103F6451" w14:textId="77777777" w:rsidR="00380BE7" w:rsidRPr="00256982" w:rsidRDefault="00380BE7" w:rsidP="00380BE7">
      <w:pPr>
        <w:pStyle w:val="References"/>
      </w:pPr>
      <w:r w:rsidRPr="00256982">
        <w:t xml:space="preserve">National Institute of Water and Atmospheric Research. 2018. The impact of El Niño and La Niña on New Zealand’s climate. Retrieved from </w:t>
      </w:r>
      <w:hyperlink r:id="rId217" w:history="1">
        <w:r w:rsidRPr="00256982">
          <w:t>www.niwa.co.nz/climate/information-and-resources/elnino/elnino-impacts-on-newzealand</w:t>
        </w:r>
      </w:hyperlink>
      <w:r w:rsidRPr="00256982">
        <w:t xml:space="preserve"> (18 December 2018).</w:t>
      </w:r>
    </w:p>
    <w:p w14:paraId="6AF8329E" w14:textId="77777777" w:rsidR="00380BE7" w:rsidRPr="00256982" w:rsidRDefault="00380BE7" w:rsidP="00380BE7">
      <w:pPr>
        <w:pStyle w:val="References"/>
      </w:pPr>
      <w:r w:rsidRPr="00256982">
        <w:t xml:space="preserve">Newsome P, Shepherd J, Pairman D. 2013. </w:t>
      </w:r>
      <w:r w:rsidRPr="00256982">
        <w:rPr>
          <w:i/>
        </w:rPr>
        <w:t>Establishing New Zealand’s LUCAS Land Use and Land Use-Change and Forestry 2012 Map</w:t>
      </w:r>
      <w:r w:rsidRPr="00256982">
        <w:t>. Contract report prepared for the Ministry for the Environment by Landcare Research New Zealand Ltd.</w:t>
      </w:r>
    </w:p>
    <w:p w14:paraId="4EBAC445" w14:textId="77777777" w:rsidR="00380BE7" w:rsidRPr="00256982" w:rsidRDefault="00380BE7" w:rsidP="00380BE7">
      <w:pPr>
        <w:pStyle w:val="References"/>
      </w:pPr>
      <w:r w:rsidRPr="00256982">
        <w:t xml:space="preserve">Newsome P, Shepherd J, Pairman D, Bellis S, Manderson A. 2018. </w:t>
      </w:r>
      <w:r w:rsidRPr="00256982">
        <w:rPr>
          <w:i/>
        </w:rPr>
        <w:t>Establishing New Zealand’s LUCAS 2016 Land Use Map</w:t>
      </w:r>
      <w:r w:rsidRPr="00256982">
        <w:t>. Contract report prepared for the Ministry for the Environment by Landcare Research New Zealand Ltd.</w:t>
      </w:r>
    </w:p>
    <w:p w14:paraId="6E08620E" w14:textId="77777777" w:rsidR="00380BE7" w:rsidRPr="00256982" w:rsidRDefault="00380BE7" w:rsidP="00380BE7">
      <w:pPr>
        <w:pStyle w:val="References"/>
      </w:pPr>
      <w:r w:rsidRPr="00256982">
        <w:t xml:space="preserve">Newsome PF, Wilde RH, Willoughby EJ. 2008. </w:t>
      </w:r>
      <w:r w:rsidRPr="00256982">
        <w:rPr>
          <w:i/>
        </w:rPr>
        <w:t>Land Resource Information System Spatial Data Layers: Data Dictionary</w:t>
      </w:r>
      <w:r w:rsidRPr="00256982">
        <w:t>. Palmerston North: Landcare Research New Zealand Ltd.</w:t>
      </w:r>
    </w:p>
    <w:p w14:paraId="52A6AEDE" w14:textId="77777777" w:rsidR="00380BE7" w:rsidRPr="00256982" w:rsidRDefault="00380BE7" w:rsidP="00380BE7">
      <w:pPr>
        <w:pStyle w:val="References"/>
      </w:pPr>
      <w:r w:rsidRPr="00256982">
        <w:t xml:space="preserve">Ogle SM, Breidt FJ, Easter M, Williams S, Paustian K. 2007. An empirically based approach for estimating uncertainty associated with modelling carbon sequestration in soils. </w:t>
      </w:r>
      <w:r w:rsidRPr="00256982">
        <w:rPr>
          <w:i/>
        </w:rPr>
        <w:t>Ecological Modelling</w:t>
      </w:r>
      <w:r w:rsidRPr="00256982">
        <w:t xml:space="preserve"> 205: 453–463.</w:t>
      </w:r>
    </w:p>
    <w:p w14:paraId="5F8F572F" w14:textId="77777777" w:rsidR="00380BE7" w:rsidRPr="00256982" w:rsidRDefault="00380BE7" w:rsidP="00380BE7">
      <w:pPr>
        <w:pStyle w:val="References"/>
      </w:pPr>
      <w:r w:rsidRPr="00256982">
        <w:t>Paul TSH, Andersen C, Kimberley MO, Dash J, Beets PN. Unpublished(a). Carbon Stock Changes in New Zealand’s Pre-1990 Planted Forests Based on a Periodic Ground Inventory. Contract report prepared for the Ministry for the Environment by the New Zealand Forest Research Institute Ltd (trading as Scion) in 2016.</w:t>
      </w:r>
    </w:p>
    <w:p w14:paraId="19108C6E" w14:textId="77777777" w:rsidR="00380BE7" w:rsidRPr="00256982" w:rsidRDefault="00380BE7" w:rsidP="00380BE7">
      <w:pPr>
        <w:pStyle w:val="References"/>
      </w:pPr>
      <w:r w:rsidRPr="00256982">
        <w:t>Paul TSH, Kimberley MO, Andersen C. Unpublished(b). The 2017 NFI plot analysis Yield tables and carbon stocks at measurement. Unpublished contract report prepared for the Ministry for the Environment by New Zealand Forest Research Institute Ltd (trading as Scion) in 2018.</w:t>
      </w:r>
    </w:p>
    <w:p w14:paraId="2AE81015" w14:textId="77777777" w:rsidR="00380BE7" w:rsidRPr="00256982" w:rsidRDefault="00380BE7" w:rsidP="00380BE7">
      <w:pPr>
        <w:pStyle w:val="References"/>
      </w:pPr>
      <w:r w:rsidRPr="00256982">
        <w:t>Paul TSH, Kimberley MO, Beets PN. Unpublished(c). Post-1989 and Pre-1990 Planted Forest Carbon Yield Tables and Stock Changes. Contract report prepared for the Ministry for the Environment by the New Zealand Forest Research Institute Ltd (trading as Scion).</w:t>
      </w:r>
    </w:p>
    <w:p w14:paraId="23BDD158" w14:textId="77777777" w:rsidR="00380BE7" w:rsidRPr="00256982" w:rsidRDefault="00380BE7" w:rsidP="00380BE7">
      <w:pPr>
        <w:pStyle w:val="References"/>
      </w:pPr>
      <w:r w:rsidRPr="00256982">
        <w:lastRenderedPageBreak/>
        <w:t>Paul TSH, Wakelin SJ, Kimberley MO, Beets PN. Unpublished(d). Stocked Plantation Area in Mapped Post-1989 and Pre-1990 Forests, and Associated Crop Yield Tables and CRA Simulation Input Data. Contract report prepared for the Ministry for the Environment by New Zealand Forest Research Institute Ltd (trading as Scion) in 2014.</w:t>
      </w:r>
    </w:p>
    <w:p w14:paraId="4414DD08" w14:textId="58586099" w:rsidR="00380BE7" w:rsidRPr="00256982" w:rsidRDefault="00380BE7" w:rsidP="00380BE7">
      <w:pPr>
        <w:pStyle w:val="References"/>
      </w:pPr>
      <w:r w:rsidRPr="00256982">
        <w:t>Payton IJ, Beets PN, Wilde H, Beadel S. Unpublished. CMS: Progress Report on Fieldwork Contract (03/04-0226-L) for the Period to 15 February 2004. Contract report prepared for the Ministry for the Environment by Landcare Research New Zealand Limited and New Zealand Forest Research Ltd.</w:t>
      </w:r>
    </w:p>
    <w:p w14:paraId="6F70615B" w14:textId="77777777" w:rsidR="00380BE7" w:rsidRPr="00256982" w:rsidRDefault="00380BE7" w:rsidP="00380BE7">
      <w:pPr>
        <w:pStyle w:val="References"/>
      </w:pPr>
      <w:r w:rsidRPr="00256982" w:rsidDel="00EA06F5">
        <w:t>Payton IJ, Newell CL, Beets PN</w:t>
      </w:r>
      <w:r w:rsidRPr="00256982">
        <w:t>.</w:t>
      </w:r>
      <w:r w:rsidRPr="00256982" w:rsidDel="00EA06F5">
        <w:t xml:space="preserve"> 2004. </w:t>
      </w:r>
      <w:r w:rsidRPr="00256982" w:rsidDel="00EA06F5">
        <w:rPr>
          <w:i/>
        </w:rPr>
        <w:t>New Zealand Carbon Monitoring System Indigenous Forest and Shrubland Data Collection Manual</w:t>
      </w:r>
      <w:r w:rsidRPr="00256982" w:rsidDel="00EA06F5">
        <w:t>. Christchurch: Caxton Press.</w:t>
      </w:r>
    </w:p>
    <w:p w14:paraId="4553DE03" w14:textId="77777777" w:rsidR="00380BE7" w:rsidRPr="00256982" w:rsidDel="00EA06F5" w:rsidRDefault="00380BE7" w:rsidP="00380BE7">
      <w:pPr>
        <w:pStyle w:val="References"/>
      </w:pPr>
      <w:r w:rsidRPr="00256982">
        <w:t xml:space="preserve">Payton IJ, Pearce HG. 2009. </w:t>
      </w:r>
      <w:r w:rsidRPr="00256982">
        <w:rPr>
          <w:i/>
        </w:rPr>
        <w:t>Fire-induced Changes to the Vegetation of Tall-tussock (Chionochloa rigida) Grassland Ecosystems.</w:t>
      </w:r>
      <w:r w:rsidRPr="00256982">
        <w:t xml:space="preserve"> Science for Conservation 290. Wellington: Department of Conservation.</w:t>
      </w:r>
    </w:p>
    <w:p w14:paraId="3D78FFF8" w14:textId="77777777" w:rsidR="00380BE7" w:rsidRPr="00256982" w:rsidRDefault="00380BE7" w:rsidP="00380BE7">
      <w:pPr>
        <w:pStyle w:val="References"/>
      </w:pPr>
      <w:r w:rsidRPr="00256982">
        <w:t xml:space="preserve">Poyry Management Consulting (NZ) Ltd. Unpublished. Accuracy Assessment of LUCAS 2012 Land Use Map. Contract report prepared for the Ministry for the Environment. </w:t>
      </w:r>
    </w:p>
    <w:p w14:paraId="66008FA1" w14:textId="77777777" w:rsidR="00380BE7" w:rsidRPr="00256982" w:rsidRDefault="00380BE7" w:rsidP="00380BE7">
      <w:pPr>
        <w:pStyle w:val="References"/>
      </w:pPr>
      <w:r w:rsidRPr="00256982">
        <w:t>PricewaterhouseCoopers. Unpublished. LUCAS Data Quality Framework. Contract report prepared for the Ministry for the Environment.</w:t>
      </w:r>
    </w:p>
    <w:p w14:paraId="3E92F8B8" w14:textId="77777777" w:rsidR="00380BE7" w:rsidRPr="00256982" w:rsidRDefault="00380BE7" w:rsidP="00380BE7">
      <w:pPr>
        <w:pStyle w:val="References"/>
      </w:pPr>
      <w:r w:rsidRPr="00256982">
        <w:t xml:space="preserve">Rhodes D, Novis J. 2002. </w:t>
      </w:r>
      <w:r w:rsidRPr="00256982">
        <w:rPr>
          <w:i/>
        </w:rPr>
        <w:t>The Impact of Incentives on the Development of Plantation Forest Resources in New Zealand</w:t>
      </w:r>
      <w:r w:rsidRPr="00256982">
        <w:t>. MAF information paper no 45. MAF policy division. Wellington: Ministry of Agriculture and Forestry.</w:t>
      </w:r>
    </w:p>
    <w:p w14:paraId="275C6D88" w14:textId="77777777" w:rsidR="00380BE7" w:rsidRPr="00256982" w:rsidRDefault="00380BE7" w:rsidP="00380BE7">
      <w:pPr>
        <w:pStyle w:val="References"/>
      </w:pPr>
      <w:r w:rsidRPr="00256982">
        <w:t xml:space="preserve">Robertson KA. 1998. Loss of organic matter and carbon during slash burns in New Zealand exotic forests. </w:t>
      </w:r>
      <w:r w:rsidRPr="00256982">
        <w:rPr>
          <w:i/>
        </w:rPr>
        <w:t>New Zealand Journal of Forestry Science</w:t>
      </w:r>
      <w:r w:rsidRPr="00256982">
        <w:t xml:space="preserve"> 28(2): 221–241.</w:t>
      </w:r>
    </w:p>
    <w:p w14:paraId="1FE2C736" w14:textId="77777777" w:rsidR="00380BE7" w:rsidRPr="00256982" w:rsidRDefault="00380BE7" w:rsidP="00380BE7">
      <w:pPr>
        <w:pStyle w:val="References"/>
      </w:pPr>
      <w:r w:rsidRPr="00256982">
        <w:t xml:space="preserve">Scott NA, Tate KR, Giltrap DJ, Tattersall SC, Wilde RH, Newsome P, Davis MR. 2002. Monitoring land-use change effects on soil carbon in New Zealand: Quantifying baseline soil carbon stocks. </w:t>
      </w:r>
      <w:r w:rsidRPr="00256982">
        <w:rPr>
          <w:i/>
        </w:rPr>
        <w:t>Environmental Pollution</w:t>
      </w:r>
      <w:r w:rsidRPr="00256982">
        <w:t xml:space="preserve"> 116: S167–186.</w:t>
      </w:r>
    </w:p>
    <w:p w14:paraId="5A011D0F" w14:textId="77777777" w:rsidR="00380BE7" w:rsidRPr="00256982" w:rsidRDefault="00380BE7" w:rsidP="00380BE7">
      <w:pPr>
        <w:pStyle w:val="References"/>
      </w:pPr>
      <w:r w:rsidRPr="00256982">
        <w:t>Shepherd JD, Bunting P, Dymond JR. 2013. Segmentation of imagery based on iterative elimination.</w:t>
      </w:r>
      <w:r w:rsidRPr="00256982">
        <w:rPr>
          <w:i/>
        </w:rPr>
        <w:t xml:space="preserve"> Remote Sensing of Environment. </w:t>
      </w:r>
      <w:r w:rsidRPr="00256982">
        <w:t>(Manuscript in preparation.).</w:t>
      </w:r>
    </w:p>
    <w:p w14:paraId="77C4BC5C" w14:textId="77777777" w:rsidR="00380BE7" w:rsidRPr="00256982" w:rsidRDefault="00380BE7" w:rsidP="00380BE7">
      <w:pPr>
        <w:pStyle w:val="References"/>
      </w:pPr>
      <w:r w:rsidRPr="00256982">
        <w:t xml:space="preserve">Shepherd JD, Dymond JR. 2003. Correcting satellite imagery for the variance of reflectance and illumination with topography. </w:t>
      </w:r>
      <w:r w:rsidRPr="00256982">
        <w:rPr>
          <w:i/>
        </w:rPr>
        <w:t>International Journal of Remote Sensing</w:t>
      </w:r>
      <w:r w:rsidRPr="00256982">
        <w:t xml:space="preserve"> 24: 3503–3514.</w:t>
      </w:r>
    </w:p>
    <w:p w14:paraId="517B158C" w14:textId="77777777" w:rsidR="00380BE7" w:rsidRPr="00256982" w:rsidRDefault="00380BE7" w:rsidP="00380BE7">
      <w:pPr>
        <w:pStyle w:val="References"/>
      </w:pPr>
      <w:r w:rsidRPr="00256982">
        <w:t>Shepherd JD, Newsome P. Unpublished(a). Establishing New Zealand’s Kyoto Land Use and Land-use change and Forestry 1990 Map. Contract report prepared for the Ministry for the Environment.</w:t>
      </w:r>
    </w:p>
    <w:p w14:paraId="79F68D13" w14:textId="77777777" w:rsidR="00380BE7" w:rsidRPr="00256982" w:rsidRDefault="00380BE7" w:rsidP="00380BE7">
      <w:pPr>
        <w:pStyle w:val="References"/>
      </w:pPr>
      <w:r w:rsidRPr="00256982">
        <w:t>Shepherd JD, Newsome P. Unpublished(b). Establishing New Zealand’s Kyoto Land Use and Land-use change and Forestry 2008 Map. Contract report prepared for the Ministry for the Environment.</w:t>
      </w:r>
    </w:p>
    <w:p w14:paraId="028EFD5B" w14:textId="77777777" w:rsidR="00380BE7" w:rsidRPr="00256982" w:rsidRDefault="00380BE7" w:rsidP="00380BE7">
      <w:pPr>
        <w:pStyle w:val="References"/>
      </w:pPr>
      <w:r w:rsidRPr="00256982">
        <w:t xml:space="preserve">Stephens PR, Kimberley MO, Beets PN, Paul TSH, Searles N, Bell A, Brack C, Broadley J. 2012. Airborne scanning LiDAR in a double sampling forest carbon inventory. </w:t>
      </w:r>
      <w:r w:rsidRPr="00256982">
        <w:rPr>
          <w:i/>
          <w:iCs/>
        </w:rPr>
        <w:t>Remote Sensing of Environment</w:t>
      </w:r>
      <w:r w:rsidRPr="00256982">
        <w:t xml:space="preserve"> 117: 348–357.</w:t>
      </w:r>
    </w:p>
    <w:p w14:paraId="429A2B74" w14:textId="77777777" w:rsidR="00380BE7" w:rsidRPr="00256982" w:rsidRDefault="00380BE7" w:rsidP="00380BE7">
      <w:pPr>
        <w:pStyle w:val="References"/>
        <w:rPr>
          <w:sz w:val="24"/>
        </w:rPr>
      </w:pPr>
      <w:r w:rsidRPr="00256982">
        <w:t xml:space="preserve">Stephens PR, McGaughey RJ, Dougherty T, Farrier T, Geard BV, Loubser D. 2008. Quality assurance and quality control procedures of airborne scanning LiDAR for a nation-wide carbon inventory of planted forests. In: </w:t>
      </w:r>
      <w:r w:rsidRPr="00256982">
        <w:rPr>
          <w:i/>
          <w:iCs/>
        </w:rPr>
        <w:t>Proceedings of SilviLaser 2008: 8th International Conference on LiDAR Applications in Forest Assessment and Inventory</w:t>
      </w:r>
      <w:r w:rsidRPr="00256982">
        <w:t>. Edinburgh.</w:t>
      </w:r>
    </w:p>
    <w:p w14:paraId="2F81DF1B" w14:textId="77777777" w:rsidR="00380BE7" w:rsidRPr="00256982" w:rsidRDefault="00380BE7" w:rsidP="00380BE7">
      <w:pPr>
        <w:pStyle w:val="References"/>
      </w:pPr>
      <w:r w:rsidRPr="00256982">
        <w:t xml:space="preserve">Tate KR, Barton JP, Trustrum NA, Baisden WT, Saggar S, Wilde RH, Giltrap DJ, Scott NA. 2003a. Monitoring and modelling soil organic carbon stocks and flows in New Zealand. In: CA Scott-Smith (ed.) </w:t>
      </w:r>
      <w:r w:rsidRPr="00256982">
        <w:rPr>
          <w:i/>
          <w:iCs/>
        </w:rPr>
        <w:t>Soil Organic Carbon and Agriculture: Developing Indicators for Policy Analysis. Proceedings of an OECD Expert Meeting, Ottawa, ON.</w:t>
      </w:r>
      <w:r w:rsidRPr="00256982">
        <w:t xml:space="preserve"> France: Agriculture and Agri-Food Canada and Organisation for Economic Co-operation and Development.</w:t>
      </w:r>
    </w:p>
    <w:p w14:paraId="2458D0BF" w14:textId="77777777" w:rsidR="00380BE7" w:rsidRPr="00256982" w:rsidRDefault="00380BE7" w:rsidP="00380BE7">
      <w:pPr>
        <w:pStyle w:val="References"/>
      </w:pPr>
      <w:r w:rsidRPr="00256982">
        <w:t xml:space="preserve">Tate KR, Scott NA, Saggar S, Giltrap DJ, Baisden WT, Newsome PF, Trotter CM, Wilde RH. 2003b. Land-use change alters New Zealand’s terrestrial carbon budget: Uncertainties associated with estimates of soil carbon change between 1990–2000. </w:t>
      </w:r>
      <w:r w:rsidRPr="00256982">
        <w:rPr>
          <w:i/>
          <w:iCs/>
        </w:rPr>
        <w:t>Tellus, Series B: Chemical and Physical Meteorology</w:t>
      </w:r>
      <w:r w:rsidRPr="00256982">
        <w:t xml:space="preserve"> 55(2): 364–377.</w:t>
      </w:r>
    </w:p>
    <w:p w14:paraId="7E4D033A" w14:textId="77777777" w:rsidR="00380BE7" w:rsidRPr="00256982" w:rsidRDefault="00380BE7" w:rsidP="00380BE7">
      <w:pPr>
        <w:pStyle w:val="References"/>
      </w:pPr>
      <w:r w:rsidRPr="00256982">
        <w:t xml:space="preserve">Tate KR, Wilde RH, Giltrap DJ, Baisden WT, Saggar S, Trustrum NA, Scott NA. 2004. Current approaches to soil carbon monitoring in New Zealand. In: </w:t>
      </w:r>
      <w:r w:rsidRPr="00256982">
        <w:rPr>
          <w:i/>
          <w:iCs/>
        </w:rPr>
        <w:t>SuperSoil 2004: Proceedings of the 3rd Australian New Zealand Soils Conference</w:t>
      </w:r>
      <w:r w:rsidRPr="00256982">
        <w:t xml:space="preserve">, 5–9 December 2004, Sydney, University of Sydney, Australia. Retrieved from </w:t>
      </w:r>
      <w:hyperlink r:id="rId218" w:history="1">
        <w:r w:rsidRPr="00256982">
          <w:rPr>
            <w:rStyle w:val="Hyperlink"/>
            <w:color w:val="auto"/>
          </w:rPr>
          <w:t>www.regional.org.au/au/asssi/supersoil2004 (27</w:t>
        </w:r>
      </w:hyperlink>
      <w:r w:rsidRPr="00256982">
        <w:t xml:space="preserve"> February 2018).</w:t>
      </w:r>
    </w:p>
    <w:p w14:paraId="6B81D216" w14:textId="77777777" w:rsidR="00380BE7" w:rsidRPr="00256982" w:rsidRDefault="00380BE7" w:rsidP="00380BE7">
      <w:pPr>
        <w:pStyle w:val="References"/>
      </w:pPr>
      <w:r w:rsidRPr="00256982">
        <w:lastRenderedPageBreak/>
        <w:t xml:space="preserve">Tate KR, Wilde RH, Giltrap DJ, Baisden WT, Saggar S, Trustrum NA, Scott NA, Barton JP. 2005. Soil organic carbon stocks and flows in New Zealand: System development, measurement and modelling. </w:t>
      </w:r>
      <w:r w:rsidRPr="00256982">
        <w:rPr>
          <w:i/>
          <w:iCs/>
        </w:rPr>
        <w:t>Canadian Journal of Soil Science</w:t>
      </w:r>
      <w:r w:rsidRPr="00256982">
        <w:t xml:space="preserve"> 85(4): 481–489.</w:t>
      </w:r>
    </w:p>
    <w:p w14:paraId="6E65864F" w14:textId="77777777" w:rsidR="00380BE7" w:rsidRPr="00256982" w:rsidRDefault="00380BE7" w:rsidP="00380BE7">
      <w:pPr>
        <w:pStyle w:val="References"/>
      </w:pPr>
      <w:r w:rsidRPr="00256982">
        <w:t xml:space="preserve">Taylor NH, Pohlen IJ. 1962. </w:t>
      </w:r>
      <w:r w:rsidRPr="00256982">
        <w:rPr>
          <w:i/>
          <w:iCs/>
        </w:rPr>
        <w:t>Soil Survey Method: A New Zealand Handbook for the Field Study of Soils.</w:t>
      </w:r>
      <w:r w:rsidRPr="00256982">
        <w:t xml:space="preserve"> Lower Hutt: New Zealand Soil Bureau.</w:t>
      </w:r>
    </w:p>
    <w:p w14:paraId="47DE6954" w14:textId="77777777" w:rsidR="00380BE7" w:rsidRPr="00256982" w:rsidRDefault="00380BE7" w:rsidP="00380BE7">
      <w:pPr>
        <w:pStyle w:val="References"/>
      </w:pPr>
      <w:r w:rsidRPr="00256982">
        <w:t xml:space="preserve">Te Uru Rākau. 2018. </w:t>
      </w:r>
      <w:r w:rsidRPr="00256982">
        <w:rPr>
          <w:i/>
        </w:rPr>
        <w:t>One Billion Trees Fund.</w:t>
      </w:r>
      <w:r w:rsidRPr="00256982">
        <w:t xml:space="preserve"> Wellington: Te Uru Rākau. Retrieved from www.mpi.govt.nz/funding-and-programmes/forestry/planting-one-billion-trees/one-billion-tree-fund (5 February 2019).</w:t>
      </w:r>
    </w:p>
    <w:p w14:paraId="3A7B9342" w14:textId="77777777" w:rsidR="00380BE7" w:rsidRPr="00256982" w:rsidRDefault="00380BE7" w:rsidP="00380BE7">
      <w:pPr>
        <w:pStyle w:val="References"/>
      </w:pPr>
      <w:r w:rsidRPr="00256982">
        <w:t xml:space="preserve">Thomas S, Hume E, Fraser T, Curtin D. 2011. </w:t>
      </w:r>
      <w:r w:rsidRPr="00256982">
        <w:rPr>
          <w:i/>
        </w:rPr>
        <w:t>Factors and Activity Data to Estimate Nitrous Oxide Emissions from Cropping Systems, and Stubble and Tussock Burning</w:t>
      </w:r>
      <w:r w:rsidRPr="00256982">
        <w:t>. Report prepared for the Ministry of Agriculture and Forestry by Plant and Food Research (formerly Crop and Food Research) technical paper no. 2012/16. Wellington: Ministry of Agriculture and Forestry.</w:t>
      </w:r>
    </w:p>
    <w:p w14:paraId="31CD195A" w14:textId="77777777" w:rsidR="00380BE7" w:rsidRPr="00256982" w:rsidRDefault="00380BE7" w:rsidP="00380BE7">
      <w:pPr>
        <w:pStyle w:val="References"/>
      </w:pPr>
      <w:r w:rsidRPr="00256982">
        <w:t xml:space="preserve">Thompson S, Gruner I, Gapare N. 2004. </w:t>
      </w:r>
      <w:r w:rsidRPr="00256982">
        <w:rPr>
          <w:i/>
          <w:iCs/>
        </w:rPr>
        <w:t>New Zealand Land Cover Database Version 2: Illustrated guide to target classes</w:t>
      </w:r>
      <w:r w:rsidRPr="00256982">
        <w:t>. Report prepared for the Ministry for the Environment. Wellington: Ministry for the Environment.</w:t>
      </w:r>
    </w:p>
    <w:p w14:paraId="24526B63" w14:textId="77777777" w:rsidR="00380BE7" w:rsidRPr="00256982" w:rsidRDefault="00380BE7" w:rsidP="00380BE7">
      <w:pPr>
        <w:pStyle w:val="References"/>
      </w:pPr>
      <w:r w:rsidRPr="00256982">
        <w:t xml:space="preserve">Trotter C, MacKay A. Unpublished. </w:t>
      </w:r>
      <w:r w:rsidRPr="00256982">
        <w:rPr>
          <w:iCs/>
        </w:rPr>
        <w:t>Potential Forest Land</w:t>
      </w:r>
      <w:r w:rsidRPr="00256982">
        <w:t>. Landcare Research New Zealand Ltd Contract Report: 04/05-0410-L.</w:t>
      </w:r>
    </w:p>
    <w:p w14:paraId="08EE78B4" w14:textId="77777777" w:rsidR="00380BE7" w:rsidRPr="00256982" w:rsidRDefault="00380BE7" w:rsidP="00380BE7">
      <w:pPr>
        <w:pStyle w:val="References"/>
      </w:pPr>
      <w:r w:rsidRPr="00256982">
        <w:t>UNFCCC. 2006</w:t>
      </w:r>
      <w:r w:rsidRPr="00256982">
        <w:rPr>
          <w:i/>
        </w:rPr>
        <w:t>. Report of the Conference of the Parties serving as the meeting of the Parties to the Kyoto Protocol on its first session, held at Montreal from 28 November to 10 December 2005: Addendum – Part 2: Action taken by the Conference of the Parties serving as the meeting of the Parties to the Kyoto Protocol at its first session</w:t>
      </w:r>
      <w:r w:rsidRPr="00256982">
        <w:t>. FCCC/KP/CMP/2005/8/Add.3.</w:t>
      </w:r>
    </w:p>
    <w:p w14:paraId="3F994CA9" w14:textId="77777777" w:rsidR="00380BE7" w:rsidRPr="00256982" w:rsidRDefault="00380BE7" w:rsidP="00380BE7">
      <w:pPr>
        <w:pStyle w:val="References"/>
      </w:pPr>
      <w:r w:rsidRPr="00256982">
        <w:t>UNFCCC. 2014</w:t>
      </w:r>
      <w:r w:rsidRPr="00256982">
        <w:rPr>
          <w:i/>
        </w:rPr>
        <w:t>. Report of the Conference of the Parties on its nineteenth session, held in Warsaw from 11 to 23 November 2013: Addendum – Part 2: Action taken by the Conference of the Parties at its nineteenth session</w:t>
      </w:r>
      <w:r w:rsidRPr="00256982">
        <w:t>. FCCC/CP/2013/10/Add.3.</w:t>
      </w:r>
    </w:p>
    <w:p w14:paraId="771EBCDE" w14:textId="77777777" w:rsidR="00380BE7" w:rsidRPr="00256982" w:rsidRDefault="00380BE7" w:rsidP="00380BE7">
      <w:pPr>
        <w:pStyle w:val="References"/>
      </w:pPr>
      <w:r w:rsidRPr="00256982">
        <w:t>Wakelin SJ. Unpublished(a). Scientific research underpinning New Zealand’s carbon inventory in planted forests. Objective 9 – UNFCCC planted forest carbon inventory methodology. Milestone 2 – Review of shrubland clearance assumptions in the national carbon inventory. Contract report prepared for the Ministry for the Environment by New Zealand Forest Research Institute Ltd (trading as Scion) in 2004.</w:t>
      </w:r>
    </w:p>
    <w:p w14:paraId="714089CE" w14:textId="1864100B" w:rsidR="00380BE7" w:rsidRPr="00256982" w:rsidRDefault="00380BE7" w:rsidP="00380BE7">
      <w:pPr>
        <w:pStyle w:val="References"/>
      </w:pPr>
      <w:r w:rsidRPr="00256982">
        <w:t xml:space="preserve">Wakelin SJ. Unpublished(b). </w:t>
      </w:r>
      <w:r w:rsidRPr="00256982">
        <w:rPr>
          <w:iCs/>
        </w:rPr>
        <w:t>Review of LULUCF Biomass Burning Assumptions in New Zealand’s Greenhouse Gas Inventory</w:t>
      </w:r>
      <w:r w:rsidRPr="00256982">
        <w:t>. Contract report prepared for the Ministry for the Environment by Ensis in</w:t>
      </w:r>
      <w:r w:rsidR="00582908" w:rsidRPr="00256982">
        <w:t> </w:t>
      </w:r>
      <w:r w:rsidRPr="00256982">
        <w:t>2006.</w:t>
      </w:r>
    </w:p>
    <w:p w14:paraId="53F39919" w14:textId="05ADCF88" w:rsidR="00380BE7" w:rsidRPr="00256982" w:rsidRDefault="00380BE7" w:rsidP="00380BE7">
      <w:pPr>
        <w:pStyle w:val="References"/>
      </w:pPr>
      <w:r w:rsidRPr="00256982">
        <w:t xml:space="preserve">Wakelin SJ. Unpublished(c). </w:t>
      </w:r>
      <w:r w:rsidRPr="00256982">
        <w:rPr>
          <w:iCs/>
        </w:rPr>
        <w:t>Carbon Inventory of New Zealand’s Planted Forests – Calculations revised in October 2008 for New Zealand’s 2007 Greenhouse Gas Inventory</w:t>
      </w:r>
      <w:r w:rsidRPr="00256982">
        <w:t>. Contract report prepared for the Ministry of Agriculture and Forestry by New Zealand Forest Research Institute Ltd (trading as Scion) in</w:t>
      </w:r>
      <w:r w:rsidR="00582908" w:rsidRPr="00256982">
        <w:t> </w:t>
      </w:r>
      <w:r w:rsidRPr="00256982">
        <w:t>2008.</w:t>
      </w:r>
    </w:p>
    <w:p w14:paraId="43453843" w14:textId="77777777" w:rsidR="00380BE7" w:rsidRPr="00256982" w:rsidRDefault="00380BE7" w:rsidP="00380BE7">
      <w:pPr>
        <w:pStyle w:val="References"/>
      </w:pPr>
      <w:r w:rsidRPr="00256982">
        <w:t xml:space="preserve">Wakelin SJ. Unpublished(d). </w:t>
      </w:r>
      <w:r w:rsidRPr="00256982">
        <w:rPr>
          <w:iCs/>
        </w:rPr>
        <w:t>Apportioning Wildfire Emissions to Forest Sub-categories in the National Greenhouse Gas Inventory</w:t>
      </w:r>
      <w:r w:rsidRPr="00256982">
        <w:t>. Contract report prepared for the Ministry for the Environment by New Zealand Forest Research Institute Ltd (trading as Scion) in 2011.</w:t>
      </w:r>
    </w:p>
    <w:p w14:paraId="518C368F" w14:textId="77777777" w:rsidR="00380BE7" w:rsidRPr="00256982" w:rsidRDefault="00380BE7" w:rsidP="00380BE7">
      <w:pPr>
        <w:pStyle w:val="References"/>
      </w:pPr>
      <w:r w:rsidRPr="00256982">
        <w:t xml:space="preserve">Wakelin SJ. Unpublished(e). </w:t>
      </w:r>
      <w:r w:rsidRPr="00256982">
        <w:rPr>
          <w:iCs/>
        </w:rPr>
        <w:t>Controlled Biomass Burning Emissions for the 2011 Greenhouse Gas Inventory</w:t>
      </w:r>
      <w:r w:rsidRPr="00256982">
        <w:t>. Contract report prepared for the Ministry for the Environment by New Zealand Forest Research Institute Ltd (trading as Scion) in 2012.</w:t>
      </w:r>
    </w:p>
    <w:p w14:paraId="0B15EC16" w14:textId="77777777" w:rsidR="00380BE7" w:rsidRPr="00256982" w:rsidRDefault="00380BE7" w:rsidP="00380BE7">
      <w:pPr>
        <w:pStyle w:val="References"/>
      </w:pPr>
      <w:r w:rsidRPr="00256982">
        <w:t xml:space="preserve">Wakelin SJ. Unpublished(f). </w:t>
      </w:r>
      <w:r w:rsidRPr="00256982">
        <w:rPr>
          <w:iCs/>
        </w:rPr>
        <w:t>Harvested Wood Products for New Zealand’s 2013 GHG Inventory</w:t>
      </w:r>
      <w:r w:rsidRPr="00256982">
        <w:t>. Contract report prepared for the Ministry for the Environment by New Zealand Forest Research Institute Ltd (trading as Scion) in 2014.</w:t>
      </w:r>
    </w:p>
    <w:p w14:paraId="630EBD31" w14:textId="77777777" w:rsidR="00380BE7" w:rsidRPr="00256982" w:rsidRDefault="00380BE7" w:rsidP="00380BE7">
      <w:pPr>
        <w:pStyle w:val="References"/>
      </w:pPr>
      <w:r w:rsidRPr="00256982">
        <w:t xml:space="preserve">Wakelin SJ. Unpublished(g). </w:t>
      </w:r>
      <w:r w:rsidRPr="00256982">
        <w:rPr>
          <w:iCs/>
        </w:rPr>
        <w:t>Harvested Wood Products Model Revision</w:t>
      </w:r>
      <w:r w:rsidRPr="00256982">
        <w:t>. Contract report prepared for the Ministry for the Environment by New Zealand Forest Research Institute Ltd (trading as Scion) in 2017.</w:t>
      </w:r>
    </w:p>
    <w:p w14:paraId="477CD94A" w14:textId="77777777" w:rsidR="00380BE7" w:rsidRPr="00256982" w:rsidRDefault="00380BE7" w:rsidP="00380BE7">
      <w:pPr>
        <w:pStyle w:val="References"/>
      </w:pPr>
      <w:r w:rsidRPr="00256982">
        <w:t>Wakelin SJ. Unpublished(h). Biomass Burning Activity Data for New Zealand’s 1990–2017 Greenhouse Gas Inventory. Contract report prepared for the Ministry for the Environment by New Zealand Forest Research Institute Ltd (trading as Scion) in 2018.</w:t>
      </w:r>
    </w:p>
    <w:p w14:paraId="1BA8D995" w14:textId="77777777" w:rsidR="00380BE7" w:rsidRPr="00256982" w:rsidRDefault="00380BE7" w:rsidP="00380BE7">
      <w:pPr>
        <w:pStyle w:val="References"/>
      </w:pPr>
      <w:r w:rsidRPr="00256982">
        <w:t>Wakelin SJ. Unpublished(i). Review of Emissions from Prescribed Burning of Standing Vegetation in New Zealand. Contract report prepared for the Ministry for the Environment by New Zealand Forest Research Institute Ltd (trading as Scion) in 2018.</w:t>
      </w:r>
    </w:p>
    <w:p w14:paraId="37AFD99C" w14:textId="77777777" w:rsidR="00380BE7" w:rsidRPr="00256982" w:rsidRDefault="00380BE7" w:rsidP="00380BE7">
      <w:pPr>
        <w:pStyle w:val="References"/>
      </w:pPr>
      <w:r w:rsidRPr="00256982">
        <w:lastRenderedPageBreak/>
        <w:t xml:space="preserve">Wakelin SJ, Beets PN. Unpublished. </w:t>
      </w:r>
      <w:r w:rsidRPr="00256982">
        <w:rPr>
          <w:iCs/>
        </w:rPr>
        <w:t>Emission Factors for managed and unmanaged Grassland with Woody Biomass</w:t>
      </w:r>
      <w:r w:rsidRPr="00256982">
        <w:t>. Contract report prepared for the Ministry for the Environment by New Zealand Forest Research Institute Ltd (trading as Scion) in 2013.</w:t>
      </w:r>
    </w:p>
    <w:p w14:paraId="703BFD27" w14:textId="77777777" w:rsidR="00380BE7" w:rsidRPr="00256982" w:rsidRDefault="00380BE7" w:rsidP="00380BE7">
      <w:pPr>
        <w:pStyle w:val="References"/>
      </w:pPr>
      <w:r w:rsidRPr="00256982">
        <w:rPr>
          <w:szCs w:val="22"/>
        </w:rPr>
        <w:t xml:space="preserve">Wakelin SJ, Clifford VR. </w:t>
      </w:r>
      <w:r w:rsidRPr="00256982">
        <w:t>Unpublished</w:t>
      </w:r>
      <w:r w:rsidRPr="00256982">
        <w:rPr>
          <w:szCs w:val="22"/>
        </w:rPr>
        <w:t xml:space="preserve">. </w:t>
      </w:r>
      <w:r w:rsidRPr="00256982">
        <w:rPr>
          <w:iCs/>
          <w:szCs w:val="22"/>
        </w:rPr>
        <w:t>Update of Wildfire Data for the 2012 Greenhouse Gas Inventory</w:t>
      </w:r>
      <w:r w:rsidRPr="00256982">
        <w:rPr>
          <w:szCs w:val="22"/>
        </w:rPr>
        <w:t xml:space="preserve">. Contract report prepared for the Ministry for the Environment by </w:t>
      </w:r>
      <w:r w:rsidRPr="00256982">
        <w:t>New Zealand Forest Research Institute Ltd (trading as Scion) in 2013.</w:t>
      </w:r>
    </w:p>
    <w:p w14:paraId="486BA5F2" w14:textId="77777777" w:rsidR="00380BE7" w:rsidRPr="00256982" w:rsidRDefault="00380BE7" w:rsidP="00380BE7">
      <w:pPr>
        <w:pStyle w:val="References"/>
      </w:pPr>
      <w:r w:rsidRPr="00256982">
        <w:t xml:space="preserve">Wakelin SJ, Clifford VR, Anderson SAJ, Pearce HG. Unpublished. </w:t>
      </w:r>
      <w:r w:rsidRPr="00256982">
        <w:rPr>
          <w:iCs/>
        </w:rPr>
        <w:t>Review of LULUCF Non-carbon Emissions in New Zealand’s Greenhouse Gas Inventory</w:t>
      </w:r>
      <w:r w:rsidRPr="00256982">
        <w:t>. Contract report 17342 prepared for Ministry for the Environment by New Zealand Forest Research Institute Ltd (trading as Scion) in 2009.</w:t>
      </w:r>
    </w:p>
    <w:p w14:paraId="64CA1A97" w14:textId="77777777" w:rsidR="00380BE7" w:rsidRPr="00256982" w:rsidRDefault="00380BE7" w:rsidP="00380BE7">
      <w:pPr>
        <w:pStyle w:val="References"/>
      </w:pPr>
      <w:r w:rsidRPr="00256982">
        <w:t xml:space="preserve">Wilde HR. 2003. </w:t>
      </w:r>
      <w:r w:rsidRPr="00256982">
        <w:rPr>
          <w:i/>
        </w:rPr>
        <w:t>Manual for National Soils Database</w:t>
      </w:r>
      <w:r w:rsidRPr="00256982">
        <w:t>. Palmerston North: Landcare Research New Zealand Ltd.</w:t>
      </w:r>
    </w:p>
    <w:p w14:paraId="386AFF5A" w14:textId="77777777" w:rsidR="00380BE7" w:rsidRPr="00256982" w:rsidRDefault="00380BE7" w:rsidP="00380BE7">
      <w:pPr>
        <w:pStyle w:val="References"/>
      </w:pPr>
      <w:r w:rsidRPr="00256982">
        <w:t xml:space="preserve">Wilde HR, Davis M, Tate K, Giltrap DJ. 2004. Testing the representativeness of soil carbon data held in databases underpinning the New Zealand Soil Carbon Monitoring System. </w:t>
      </w:r>
      <w:r w:rsidRPr="00256982">
        <w:rPr>
          <w:i/>
        </w:rPr>
        <w:t>SuperSoil 2004: 3rd Australian New Zealand Soils Conference</w:t>
      </w:r>
      <w:r w:rsidRPr="00256982">
        <w:t>, 5–9 December 2004. University of Sydney, Australia.</w:t>
      </w:r>
    </w:p>
    <w:p w14:paraId="7BD2FA21" w14:textId="77777777" w:rsidR="00380BE7" w:rsidRPr="00256982" w:rsidRDefault="00380BE7" w:rsidP="00380BE7">
      <w:pPr>
        <w:pStyle w:val="References"/>
        <w:rPr>
          <w:b/>
          <w:bCs/>
        </w:rPr>
      </w:pPr>
      <w:r w:rsidRPr="00256982">
        <w:t xml:space="preserve">Woollens R. Unpublished. Commentary on </w:t>
      </w:r>
      <w:r w:rsidRPr="00256982">
        <w:rPr>
          <w:iCs/>
        </w:rPr>
        <w:t>analysis of the 2007–2008 Planted Forest Carbon Monitoring System Inventory Data of Post-1989 Forests</w:t>
      </w:r>
      <w:r w:rsidRPr="00256982">
        <w:t>. Report 11448 prepared for Ministry for the Environment.</w:t>
      </w:r>
    </w:p>
    <w:p w14:paraId="67D2CD68" w14:textId="77777777" w:rsidR="00380BE7" w:rsidRPr="00256982" w:rsidRDefault="00380BE7" w:rsidP="00380BE7"/>
    <w:p w14:paraId="0BE309B4" w14:textId="54327D8C" w:rsidR="00380BE7" w:rsidRPr="00256982" w:rsidRDefault="009F5A6C" w:rsidP="009F5A6C">
      <w:pPr>
        <w:pStyle w:val="Heading1"/>
      </w:pPr>
      <w:r w:rsidRPr="00256982">
        <w:br w:type="page"/>
      </w:r>
      <w:bookmarkStart w:id="2240" w:name="_Toc5269385"/>
      <w:r w:rsidRPr="00256982">
        <w:lastRenderedPageBreak/>
        <w:t>Chapter 7: Waste</w:t>
      </w:r>
      <w:bookmarkEnd w:id="2240"/>
    </w:p>
    <w:p w14:paraId="086C23A2" w14:textId="77777777" w:rsidR="00005A00" w:rsidRPr="00256982" w:rsidRDefault="00005A00" w:rsidP="00005A00">
      <w:pPr>
        <w:pStyle w:val="Heading2"/>
        <w:spacing w:before="240"/>
      </w:pPr>
      <w:bookmarkStart w:id="2241" w:name="_Toc342470716"/>
      <w:bookmarkStart w:id="2242" w:name="_Toc352504868"/>
      <w:bookmarkStart w:id="2243" w:name="_Toc448321547"/>
      <w:bookmarkStart w:id="2244" w:name="_Toc481751409"/>
      <w:bookmarkStart w:id="2245" w:name="_Toc511116624"/>
      <w:bookmarkStart w:id="2246" w:name="_Toc5269386"/>
      <w:r w:rsidRPr="00256982">
        <w:t>7.1</w:t>
      </w:r>
      <w:r w:rsidRPr="00256982">
        <w:tab/>
        <w:t>Sector overview</w:t>
      </w:r>
      <w:bookmarkEnd w:id="2241"/>
      <w:bookmarkEnd w:id="2242"/>
      <w:bookmarkEnd w:id="2243"/>
      <w:bookmarkEnd w:id="2244"/>
      <w:bookmarkEnd w:id="2245"/>
      <w:bookmarkEnd w:id="2246"/>
    </w:p>
    <w:p w14:paraId="379FBD51" w14:textId="77777777" w:rsidR="00005A00" w:rsidRPr="00256982" w:rsidRDefault="00005A00" w:rsidP="00005A00">
      <w:pPr>
        <w:pStyle w:val="Heading3"/>
        <w:spacing w:before="240"/>
      </w:pPr>
      <w:r w:rsidRPr="00256982">
        <w:t>7.1.1</w:t>
      </w:r>
      <w:r w:rsidRPr="00256982">
        <w:tab/>
        <w:t>The Waste sector in New Zealand</w:t>
      </w:r>
    </w:p>
    <w:p w14:paraId="062EA080" w14:textId="77777777" w:rsidR="00005A00" w:rsidRPr="00256982" w:rsidRDefault="00005A00" w:rsidP="00005A00">
      <w:pPr>
        <w:pStyle w:val="BodyText"/>
      </w:pPr>
      <w:r w:rsidRPr="00256982">
        <w:t xml:space="preserve">In New Zealand, virtually all solid waste is disposed to land. Most of the country’s household and commercial waste is placed in managed municipal landfills. In addition, there are many small unmanaged disposal sites such as those on farms and in industry that are still in operation for other waste types. Before 2010, some municipal waste was also disposed to unmanaged or uncategorised sites. </w:t>
      </w:r>
    </w:p>
    <w:p w14:paraId="45CFFA55" w14:textId="77777777" w:rsidR="00005A00" w:rsidRPr="00256982" w:rsidRDefault="00005A00" w:rsidP="00005A00">
      <w:pPr>
        <w:pStyle w:val="BodyText"/>
        <w:rPr>
          <w:bCs/>
          <w:iCs/>
        </w:rPr>
      </w:pPr>
      <w:r w:rsidRPr="00256982">
        <w:rPr>
          <w:bCs/>
          <w:iCs/>
        </w:rPr>
        <w:t xml:space="preserve">Most wastewater treatment in New Zealand is aerobic, including domestic, commercial and industrial wastewater. Methane </w:t>
      </w:r>
      <w:r w:rsidRPr="00256982">
        <w:t>(CH</w:t>
      </w:r>
      <w:r w:rsidRPr="00256982">
        <w:rPr>
          <w:vertAlign w:val="subscript"/>
        </w:rPr>
        <w:t>4</w:t>
      </w:r>
      <w:r w:rsidRPr="00256982">
        <w:t xml:space="preserve">) </w:t>
      </w:r>
      <w:r w:rsidRPr="00256982">
        <w:rPr>
          <w:bCs/>
          <w:iCs/>
        </w:rPr>
        <w:t>emissions from domestic wastewater are mainly from rural septic tank usage. Wastewater emissions are also from some municipal treatment plants, which use semi-aerobic processes, and from industries in New Zealand, in particular, the meat and the pulp and paper industries.</w:t>
      </w:r>
    </w:p>
    <w:p w14:paraId="56C372AF" w14:textId="77777777" w:rsidR="00005A00" w:rsidRPr="00256982" w:rsidRDefault="00005A00" w:rsidP="00005A00">
      <w:pPr>
        <w:pStyle w:val="BodyText"/>
        <w:rPr>
          <w:bCs/>
          <w:iCs/>
        </w:rPr>
      </w:pPr>
      <w:r w:rsidRPr="00256982">
        <w:rPr>
          <w:bCs/>
          <w:iCs/>
        </w:rPr>
        <w:t xml:space="preserve">There is no incineration of municipal waste in New Zealand. Incineration is used only on a very small scale, mainly for hazardous and clinical waste, and has declined over time due to environmental regulation and the availability of other disposal options. </w:t>
      </w:r>
    </w:p>
    <w:p w14:paraId="23137B51" w14:textId="77777777" w:rsidR="00005A00" w:rsidRPr="00256982" w:rsidRDefault="00005A00" w:rsidP="00005A00">
      <w:pPr>
        <w:pStyle w:val="BodyText"/>
        <w:rPr>
          <w:bCs/>
          <w:iCs/>
        </w:rPr>
      </w:pPr>
      <w:r w:rsidRPr="00256982">
        <w:t xml:space="preserve">Emissions from composting and open burning are estimated for the first time in this submission. </w:t>
      </w:r>
      <w:r w:rsidRPr="00256982">
        <w:rPr>
          <w:bCs/>
          <w:iCs/>
        </w:rPr>
        <w:t>No other emission sources for direct greenhouse gases are applicable to New Zealand and no other activity data are available.</w:t>
      </w:r>
    </w:p>
    <w:p w14:paraId="3D6EA0CD" w14:textId="566492CB" w:rsidR="00005A00" w:rsidRPr="00256982" w:rsidRDefault="00005A00" w:rsidP="002539EB">
      <w:pPr>
        <w:pStyle w:val="BodyText"/>
        <w:rPr>
          <w:b/>
        </w:rPr>
      </w:pPr>
      <w:r w:rsidRPr="00256982">
        <w:t xml:space="preserve">Beginning with the 2019 submission, New Zealand is reporting emissions from Tokelau, which is a dependent territory of New Zealand. Emissions from Tokelau for all activities are reported in annex 7 of the National Inventory Report and within the ‘Other’ sector in the </w:t>
      </w:r>
      <w:r w:rsidR="002539EB" w:rsidRPr="00256982">
        <w:t>c</w:t>
      </w:r>
      <w:r w:rsidRPr="00256982">
        <w:t xml:space="preserve">ommon </w:t>
      </w:r>
      <w:r w:rsidR="002539EB" w:rsidRPr="00256982">
        <w:t>r</w:t>
      </w:r>
      <w:r w:rsidRPr="00256982">
        <w:t xml:space="preserve">eporting </w:t>
      </w:r>
      <w:r w:rsidR="002539EB" w:rsidRPr="00256982">
        <w:t>f</w:t>
      </w:r>
      <w:r w:rsidRPr="00256982">
        <w:t>ormat (CRF) tables. This is due to the significantly different methods applied and the prohibitive complexity of integrating emissions within the main sectors. Therefore, all emissions reported in this sector are from New Zealand excluding Tokelau. Please refer to chapter 8 and annex 7 for details of methods applied and the emissions for Tokelau.</w:t>
      </w:r>
    </w:p>
    <w:p w14:paraId="581BB229" w14:textId="77777777" w:rsidR="00005A00" w:rsidRPr="00256982" w:rsidRDefault="00005A00" w:rsidP="00005A00">
      <w:pPr>
        <w:pStyle w:val="Heading3"/>
      </w:pPr>
      <w:r w:rsidRPr="00256982">
        <w:t xml:space="preserve">7.1.2 </w:t>
      </w:r>
      <w:r w:rsidRPr="00256982">
        <w:tab/>
        <w:t>Emissions summary</w:t>
      </w:r>
    </w:p>
    <w:p w14:paraId="398EB8FE" w14:textId="77777777" w:rsidR="00005A00" w:rsidRPr="00256982" w:rsidRDefault="00005A00" w:rsidP="00005A00">
      <w:pPr>
        <w:pStyle w:val="BodyText"/>
      </w:pPr>
      <w:r w:rsidRPr="00256982">
        <w:t>The Waste sector in New Zealand produces mainly CH</w:t>
      </w:r>
      <w:r w:rsidRPr="00256982">
        <w:rPr>
          <w:vertAlign w:val="subscript"/>
        </w:rPr>
        <w:t>4</w:t>
      </w:r>
      <w:r w:rsidRPr="00256982">
        <w:t xml:space="preserve"> emissions (96.9 per cent) followed by nitrous oxide (N</w:t>
      </w:r>
      <w:r w:rsidRPr="00256982">
        <w:rPr>
          <w:vertAlign w:val="subscript"/>
        </w:rPr>
        <w:t>2</w:t>
      </w:r>
      <w:r w:rsidRPr="00256982">
        <w:t>O) emissions (3.0 per cent) and carbon dioxide (CO</w:t>
      </w:r>
      <w:r w:rsidRPr="00256982">
        <w:rPr>
          <w:vertAlign w:val="subscript"/>
        </w:rPr>
        <w:t>2</w:t>
      </w:r>
      <w:r w:rsidRPr="00256982">
        <w:t>) emissions (0.1 per cent). There are also emissions of CO</w:t>
      </w:r>
      <w:r w:rsidRPr="00256982">
        <w:rPr>
          <w:vertAlign w:val="subscript"/>
        </w:rPr>
        <w:t>2</w:t>
      </w:r>
      <w:r w:rsidRPr="00256982">
        <w:t xml:space="preserve"> from the disposal of solid waste, but these are of biogenic origin and are not reported.</w:t>
      </w:r>
    </w:p>
    <w:p w14:paraId="335BC9E8" w14:textId="77777777" w:rsidR="00005A00" w:rsidRPr="00256982" w:rsidRDefault="00005A00" w:rsidP="00005A00">
      <w:pPr>
        <w:pStyle w:val="Heading4"/>
      </w:pPr>
      <w:r w:rsidRPr="00256982">
        <w:t>2017</w:t>
      </w:r>
    </w:p>
    <w:p w14:paraId="635D96C1" w14:textId="3D8C57E5" w:rsidR="00005A00" w:rsidRPr="00256982" w:rsidRDefault="00005A00" w:rsidP="00005A00">
      <w:pPr>
        <w:pStyle w:val="BodyText"/>
      </w:pPr>
      <w:r w:rsidRPr="00256982">
        <w:t>In 2017, emissions from the Waste sector contributed 4,124.7 kilotonnes of carbon dioxide equivalent (kt CO</w:t>
      </w:r>
      <w:r w:rsidRPr="00256982">
        <w:rPr>
          <w:vertAlign w:val="subscript"/>
        </w:rPr>
        <w:t>2</w:t>
      </w:r>
      <w:r w:rsidRPr="00256982">
        <w:t xml:space="preserve">-e), or 5.1 per cent, of New Zealand’s gross greenhouse gas emissions. The largest source category is </w:t>
      </w:r>
      <w:r w:rsidRPr="00256982">
        <w:rPr>
          <w:i/>
        </w:rPr>
        <w:t>Solid waste disposal</w:t>
      </w:r>
      <w:r w:rsidRPr="00256982">
        <w:t>, as shown in table 7.1.1 (emissions by source</w:t>
      </w:r>
      <w:r w:rsidR="002539EB" w:rsidRPr="00256982">
        <w:t> </w:t>
      </w:r>
      <w:r w:rsidRPr="00256982">
        <w:t>category).</w:t>
      </w:r>
    </w:p>
    <w:p w14:paraId="186D6346" w14:textId="77777777" w:rsidR="00005A00" w:rsidRPr="00256982" w:rsidRDefault="00005A00" w:rsidP="00005A00">
      <w:pPr>
        <w:pStyle w:val="Heading4"/>
      </w:pPr>
      <w:r w:rsidRPr="00256982">
        <w:lastRenderedPageBreak/>
        <w:t>1990–2017</w:t>
      </w:r>
    </w:p>
    <w:p w14:paraId="37864341" w14:textId="77777777" w:rsidR="00005A00" w:rsidRPr="00256982" w:rsidRDefault="00005A00" w:rsidP="00005A00">
      <w:pPr>
        <w:pStyle w:val="BodyText"/>
        <w:rPr>
          <w:rFonts w:eastAsia="+mn-ea"/>
        </w:rPr>
      </w:pPr>
      <w:r w:rsidRPr="00256982">
        <w:rPr>
          <w:rFonts w:eastAsia="+mn-ea"/>
        </w:rPr>
        <w:t>Total Waste sector emissions in 2017 were 82.9 kt CO</w:t>
      </w:r>
      <w:r w:rsidRPr="00256982">
        <w:rPr>
          <w:rFonts w:eastAsia="+mn-ea"/>
          <w:vertAlign w:val="subscript"/>
        </w:rPr>
        <w:t>2</w:t>
      </w:r>
      <w:r w:rsidRPr="00256982">
        <w:rPr>
          <w:rFonts w:eastAsia="+mn-ea"/>
        </w:rPr>
        <w:t>-e (2.1 per cent) above 1990 emissions of 4,041.9 kt CO</w:t>
      </w:r>
      <w:r w:rsidRPr="00256982">
        <w:rPr>
          <w:rFonts w:eastAsia="+mn-ea"/>
          <w:vertAlign w:val="subscript"/>
        </w:rPr>
        <w:t>2</w:t>
      </w:r>
      <w:r w:rsidRPr="00256982">
        <w:rPr>
          <w:rFonts w:eastAsia="+mn-ea"/>
        </w:rPr>
        <w:t>-e. Annual emissions increased between 1990 and 2002, peaking at 4,844.5 kt CO</w:t>
      </w:r>
      <w:r w:rsidRPr="00256982">
        <w:rPr>
          <w:rFonts w:eastAsia="+mn-ea"/>
          <w:vertAlign w:val="subscript"/>
        </w:rPr>
        <w:t>2</w:t>
      </w:r>
      <w:r w:rsidRPr="00256982">
        <w:rPr>
          <w:rFonts w:eastAsia="+mn-ea"/>
        </w:rPr>
        <w:t xml:space="preserve">-e in 2002, and have generally decreased since that time. Growth in population and economic activity since 1990 has resulted in increasing volumes of solid waste and wastewater for the whole of the time series. Ongoing improvements in the management of solid waste disposal at municipal landfills, particularly increased </w:t>
      </w:r>
      <w:r w:rsidRPr="00256982">
        <w:t>CH</w:t>
      </w:r>
      <w:r w:rsidRPr="00256982">
        <w:rPr>
          <w:vertAlign w:val="subscript"/>
        </w:rPr>
        <w:t>4</w:t>
      </w:r>
      <w:r w:rsidRPr="00256982">
        <w:rPr>
          <w:rFonts w:eastAsia="+mn-ea"/>
        </w:rPr>
        <w:t xml:space="preserve"> recovery driven by the National Environmental Standards for Air Quality introduced in 2004, have meant total Waste sector emissions have been trending down since 2005 in spite of increasing volumes of solid waste and wastewater. </w:t>
      </w:r>
      <w:r w:rsidRPr="00256982">
        <w:t>The trends are shown in figures 7.1.1 and 7.1.2.</w:t>
      </w:r>
    </w:p>
    <w:p w14:paraId="34CEF1C0" w14:textId="77777777" w:rsidR="00005A00" w:rsidRPr="00256982" w:rsidRDefault="00005A00" w:rsidP="00005A00">
      <w:pPr>
        <w:pStyle w:val="Heading4"/>
      </w:pPr>
      <w:r w:rsidRPr="00256982">
        <w:t>2016–2017</w:t>
      </w:r>
    </w:p>
    <w:p w14:paraId="021D2420" w14:textId="77777777" w:rsidR="00005A00" w:rsidRPr="00256982" w:rsidRDefault="00005A00" w:rsidP="00005A00">
      <w:pPr>
        <w:pStyle w:val="BodyText"/>
      </w:pPr>
      <w:r w:rsidRPr="00256982">
        <w:t>Total Waste sector emissions in 2017 were 8.3 kt CO</w:t>
      </w:r>
      <w:r w:rsidRPr="00256982">
        <w:rPr>
          <w:vertAlign w:val="subscript"/>
        </w:rPr>
        <w:t>2</w:t>
      </w:r>
      <w:r w:rsidRPr="00256982">
        <w:t>-e (0.2 per cent) higher than in 2016. This increase is largely the result of increases in CH</w:t>
      </w:r>
      <w:r w:rsidRPr="00256982">
        <w:rPr>
          <w:vertAlign w:val="subscript"/>
        </w:rPr>
        <w:t>4</w:t>
      </w:r>
      <w:r w:rsidRPr="00256982">
        <w:t xml:space="preserve"> emissions in the</w:t>
      </w:r>
      <w:r w:rsidRPr="00256982">
        <w:rPr>
          <w:i/>
        </w:rPr>
        <w:t xml:space="preserve"> Solid waste disposal</w:t>
      </w:r>
      <w:r w:rsidRPr="00256982">
        <w:t xml:space="preserve"> category, mostly due to a net reduction in CH</w:t>
      </w:r>
      <w:r w:rsidRPr="00256982">
        <w:rPr>
          <w:vertAlign w:val="subscript"/>
        </w:rPr>
        <w:t>4</w:t>
      </w:r>
      <w:r w:rsidRPr="00256982">
        <w:t xml:space="preserve"> recovery rates.</w:t>
      </w:r>
    </w:p>
    <w:p w14:paraId="32FF9D24" w14:textId="77777777" w:rsidR="00005A00" w:rsidRPr="00256982" w:rsidRDefault="00005A00" w:rsidP="00005A00">
      <w:pPr>
        <w:pStyle w:val="Table"/>
      </w:pPr>
      <w:bookmarkStart w:id="2247" w:name="_Toc310423388"/>
      <w:bookmarkStart w:id="2248" w:name="_Toc318362681"/>
      <w:bookmarkStart w:id="2249" w:name="_Toc342470743"/>
      <w:bookmarkStart w:id="2250" w:name="_Toc352504983"/>
      <w:bookmarkStart w:id="2251" w:name="_Toc378853271"/>
      <w:bookmarkStart w:id="2252" w:name="_Toc444001615"/>
      <w:bookmarkStart w:id="2253" w:name="_Toc451176167"/>
      <w:bookmarkStart w:id="2254" w:name="_Toc481751597"/>
      <w:bookmarkStart w:id="2255" w:name="_Toc508019320"/>
      <w:bookmarkStart w:id="2256" w:name="_Toc511116818"/>
      <w:bookmarkStart w:id="2257" w:name="_Toc5269559"/>
      <w:r w:rsidRPr="00256982">
        <w:t xml:space="preserve">Table 7.1.1 </w:t>
      </w:r>
      <w:r w:rsidRPr="00256982">
        <w:tab/>
        <w:t xml:space="preserve">New Zealand’s greenhouse gas emissions for the Waste sector </w:t>
      </w:r>
      <w:r w:rsidRPr="00256982">
        <w:br/>
      </w:r>
      <w:bookmarkEnd w:id="2247"/>
      <w:bookmarkEnd w:id="2248"/>
      <w:bookmarkEnd w:id="2249"/>
      <w:bookmarkEnd w:id="2250"/>
      <w:bookmarkEnd w:id="2251"/>
      <w:r w:rsidRPr="00256982">
        <w:t>by source category</w:t>
      </w:r>
      <w:bookmarkEnd w:id="2252"/>
      <w:bookmarkEnd w:id="2253"/>
      <w:bookmarkEnd w:id="2254"/>
      <w:r w:rsidRPr="00256982">
        <w:t xml:space="preserve"> 1990 and 201</w:t>
      </w:r>
      <w:bookmarkEnd w:id="2255"/>
      <w:bookmarkEnd w:id="2256"/>
      <w:r w:rsidRPr="00256982">
        <w:t>7</w:t>
      </w:r>
      <w:bookmarkEnd w:id="2257"/>
    </w:p>
    <w:tbl>
      <w:tblPr>
        <w:tblW w:w="8505" w:type="dxa"/>
        <w:tblInd w:w="108" w:type="dxa"/>
        <w:tblLayout w:type="fixed"/>
        <w:tblLook w:val="04A0" w:firstRow="1" w:lastRow="0" w:firstColumn="1" w:lastColumn="0" w:noHBand="0" w:noVBand="1"/>
      </w:tblPr>
      <w:tblGrid>
        <w:gridCol w:w="2693"/>
        <w:gridCol w:w="851"/>
        <w:gridCol w:w="992"/>
        <w:gridCol w:w="1133"/>
        <w:gridCol w:w="1133"/>
        <w:gridCol w:w="851"/>
        <w:gridCol w:w="852"/>
      </w:tblGrid>
      <w:tr w:rsidR="00005A00" w:rsidRPr="00256982" w14:paraId="528E60C3" w14:textId="77777777" w:rsidTr="00AA14F1">
        <w:tc>
          <w:tcPr>
            <w:tcW w:w="1583" w:type="pct"/>
            <w:tcBorders>
              <w:top w:val="single" w:sz="4" w:space="0" w:color="365F91"/>
              <w:bottom w:val="single" w:sz="4" w:space="0" w:color="365F91"/>
            </w:tcBorders>
            <w:shd w:val="clear" w:color="auto" w:fill="365F91"/>
          </w:tcPr>
          <w:p w14:paraId="133C4CCB" w14:textId="77777777" w:rsidR="00005A00" w:rsidRPr="00256982" w:rsidRDefault="00005A00" w:rsidP="00AA14F1">
            <w:pPr>
              <w:rPr>
                <w:color w:val="FFFFFF"/>
              </w:rPr>
            </w:pPr>
          </w:p>
        </w:tc>
        <w:tc>
          <w:tcPr>
            <w:tcW w:w="1083" w:type="pct"/>
            <w:gridSpan w:val="2"/>
            <w:tcBorders>
              <w:top w:val="single" w:sz="4" w:space="0" w:color="365F91"/>
              <w:bottom w:val="single" w:sz="4" w:space="0" w:color="365F91"/>
            </w:tcBorders>
            <w:shd w:val="clear" w:color="auto" w:fill="365F91"/>
            <w:vAlign w:val="bottom"/>
          </w:tcPr>
          <w:p w14:paraId="0B5AC2A5" w14:textId="77777777" w:rsidR="00005A00" w:rsidRPr="00256982" w:rsidRDefault="00005A00" w:rsidP="00AA14F1">
            <w:pPr>
              <w:pStyle w:val="TableTextBold"/>
              <w:jc w:val="center"/>
              <w:rPr>
                <w:noProof w:val="0"/>
                <w:color w:val="FFFFFF"/>
              </w:rPr>
            </w:pPr>
            <w:r w:rsidRPr="00256982">
              <w:rPr>
                <w:noProof w:val="0"/>
                <w:color w:val="FFFFFF"/>
              </w:rPr>
              <w:t xml:space="preserve">Emissions </w:t>
            </w:r>
            <w:r w:rsidRPr="00256982">
              <w:rPr>
                <w:noProof w:val="0"/>
                <w:color w:val="FFFFFF"/>
              </w:rPr>
              <w:br/>
              <w:t>(kt CO</w:t>
            </w:r>
            <w:r w:rsidRPr="00256982">
              <w:rPr>
                <w:noProof w:val="0"/>
                <w:color w:val="FFFFFF"/>
                <w:vertAlign w:val="subscript"/>
              </w:rPr>
              <w:t>2</w:t>
            </w:r>
            <w:r w:rsidRPr="00256982">
              <w:rPr>
                <w:noProof w:val="0"/>
                <w:color w:val="FFFFFF"/>
              </w:rPr>
              <w:t>-e)</w:t>
            </w:r>
          </w:p>
        </w:tc>
        <w:tc>
          <w:tcPr>
            <w:tcW w:w="666" w:type="pct"/>
            <w:tcBorders>
              <w:top w:val="single" w:sz="4" w:space="0" w:color="365F91"/>
              <w:bottom w:val="single" w:sz="4" w:space="0" w:color="365F91"/>
            </w:tcBorders>
            <w:shd w:val="clear" w:color="auto" w:fill="365F91"/>
            <w:vAlign w:val="bottom"/>
          </w:tcPr>
          <w:p w14:paraId="33E9DE94" w14:textId="77777777" w:rsidR="00005A00" w:rsidRPr="00256982" w:rsidRDefault="00005A00" w:rsidP="00AA14F1">
            <w:pPr>
              <w:pStyle w:val="TableTextBold"/>
              <w:jc w:val="center"/>
              <w:rPr>
                <w:noProof w:val="0"/>
                <w:color w:val="FFFFFF"/>
              </w:rPr>
            </w:pPr>
            <w:r w:rsidRPr="00256982">
              <w:rPr>
                <w:noProof w:val="0"/>
                <w:color w:val="FFFFFF"/>
              </w:rPr>
              <w:t>Difference (kt CO</w:t>
            </w:r>
            <w:r w:rsidRPr="00256982">
              <w:rPr>
                <w:noProof w:val="0"/>
                <w:color w:val="FFFFFF"/>
                <w:vertAlign w:val="subscript"/>
              </w:rPr>
              <w:t>2</w:t>
            </w:r>
            <w:r w:rsidRPr="00256982">
              <w:rPr>
                <w:noProof w:val="0"/>
                <w:color w:val="FFFFFF"/>
              </w:rPr>
              <w:t>-e)</w:t>
            </w:r>
          </w:p>
        </w:tc>
        <w:tc>
          <w:tcPr>
            <w:tcW w:w="666" w:type="pct"/>
            <w:tcBorders>
              <w:top w:val="single" w:sz="4" w:space="0" w:color="365F91"/>
              <w:bottom w:val="single" w:sz="4" w:space="0" w:color="365F91"/>
            </w:tcBorders>
            <w:shd w:val="clear" w:color="auto" w:fill="365F91"/>
            <w:vAlign w:val="bottom"/>
          </w:tcPr>
          <w:p w14:paraId="2E0C94CE" w14:textId="77777777" w:rsidR="00005A00" w:rsidRPr="00256982" w:rsidRDefault="00005A00" w:rsidP="00AA14F1">
            <w:pPr>
              <w:pStyle w:val="TableTextBold"/>
              <w:rPr>
                <w:noProof w:val="0"/>
                <w:color w:val="FFFFFF"/>
              </w:rPr>
            </w:pPr>
            <w:r w:rsidRPr="00256982">
              <w:rPr>
                <w:noProof w:val="0"/>
                <w:color w:val="FFFFFF"/>
              </w:rPr>
              <w:t>Change (%)</w:t>
            </w:r>
          </w:p>
        </w:tc>
        <w:tc>
          <w:tcPr>
            <w:tcW w:w="1001" w:type="pct"/>
            <w:gridSpan w:val="2"/>
            <w:tcBorders>
              <w:top w:val="single" w:sz="4" w:space="0" w:color="365F91"/>
              <w:bottom w:val="single" w:sz="4" w:space="0" w:color="365F91"/>
            </w:tcBorders>
            <w:shd w:val="clear" w:color="auto" w:fill="365F91"/>
            <w:vAlign w:val="bottom"/>
          </w:tcPr>
          <w:p w14:paraId="33B56FCA" w14:textId="77777777" w:rsidR="00005A00" w:rsidRPr="00256982" w:rsidRDefault="00005A00" w:rsidP="00AA14F1">
            <w:pPr>
              <w:pStyle w:val="TableTextBold"/>
              <w:jc w:val="center"/>
              <w:rPr>
                <w:noProof w:val="0"/>
                <w:color w:val="FFFFFF"/>
              </w:rPr>
            </w:pPr>
            <w:r w:rsidRPr="00256982">
              <w:rPr>
                <w:noProof w:val="0"/>
                <w:color w:val="FFFFFF"/>
              </w:rPr>
              <w:t>Share (%)</w:t>
            </w:r>
          </w:p>
        </w:tc>
      </w:tr>
      <w:tr w:rsidR="00005A00" w:rsidRPr="00256982" w14:paraId="7A448B60" w14:textId="77777777" w:rsidTr="00AA14F1">
        <w:tc>
          <w:tcPr>
            <w:tcW w:w="1583" w:type="pct"/>
            <w:tcBorders>
              <w:top w:val="single" w:sz="4" w:space="0" w:color="365F91"/>
              <w:bottom w:val="single" w:sz="4" w:space="0" w:color="365F91"/>
            </w:tcBorders>
            <w:shd w:val="clear" w:color="auto" w:fill="FFFFFF"/>
          </w:tcPr>
          <w:p w14:paraId="3B230483" w14:textId="77777777" w:rsidR="00005A00" w:rsidRPr="00256982" w:rsidRDefault="00005A00" w:rsidP="00AA14F1">
            <w:pPr>
              <w:pStyle w:val="Tableboldblue"/>
            </w:pPr>
            <w:r w:rsidRPr="00256982">
              <w:t>Source category</w:t>
            </w:r>
          </w:p>
        </w:tc>
        <w:tc>
          <w:tcPr>
            <w:tcW w:w="500" w:type="pct"/>
            <w:tcBorders>
              <w:top w:val="single" w:sz="4" w:space="0" w:color="365F91"/>
              <w:bottom w:val="single" w:sz="4" w:space="0" w:color="365F91"/>
            </w:tcBorders>
            <w:shd w:val="clear" w:color="auto" w:fill="FFFFFF"/>
            <w:vAlign w:val="bottom"/>
          </w:tcPr>
          <w:p w14:paraId="4970F01A" w14:textId="77777777" w:rsidR="00005A00" w:rsidRPr="00256982" w:rsidRDefault="00005A00" w:rsidP="00AA14F1">
            <w:pPr>
              <w:pStyle w:val="Tableboldblue"/>
              <w:jc w:val="center"/>
            </w:pPr>
            <w:r w:rsidRPr="00256982">
              <w:t>1990</w:t>
            </w:r>
          </w:p>
        </w:tc>
        <w:tc>
          <w:tcPr>
            <w:tcW w:w="583" w:type="pct"/>
            <w:tcBorders>
              <w:top w:val="single" w:sz="4" w:space="0" w:color="365F91"/>
              <w:bottom w:val="single" w:sz="4" w:space="0" w:color="365F91"/>
            </w:tcBorders>
            <w:shd w:val="clear" w:color="auto" w:fill="FFFFFF"/>
            <w:vAlign w:val="bottom"/>
          </w:tcPr>
          <w:p w14:paraId="0CB7FF79" w14:textId="77777777" w:rsidR="00005A00" w:rsidRPr="00256982" w:rsidRDefault="00005A00" w:rsidP="00AA14F1">
            <w:pPr>
              <w:pStyle w:val="Tableboldblue"/>
              <w:jc w:val="center"/>
            </w:pPr>
            <w:r w:rsidRPr="00256982">
              <w:t>2017</w:t>
            </w:r>
          </w:p>
        </w:tc>
        <w:tc>
          <w:tcPr>
            <w:tcW w:w="666" w:type="pct"/>
            <w:tcBorders>
              <w:top w:val="single" w:sz="4" w:space="0" w:color="365F91"/>
              <w:bottom w:val="single" w:sz="4" w:space="0" w:color="365F91"/>
            </w:tcBorders>
            <w:shd w:val="clear" w:color="auto" w:fill="FFFFFF"/>
            <w:vAlign w:val="bottom"/>
          </w:tcPr>
          <w:p w14:paraId="09D07943" w14:textId="77777777" w:rsidR="00005A00" w:rsidRPr="00256982" w:rsidRDefault="00005A00" w:rsidP="00AA14F1">
            <w:pPr>
              <w:pStyle w:val="Tableboldblue"/>
              <w:jc w:val="center"/>
            </w:pPr>
            <w:r w:rsidRPr="00256982">
              <w:t>1990–2017</w:t>
            </w:r>
          </w:p>
        </w:tc>
        <w:tc>
          <w:tcPr>
            <w:tcW w:w="666" w:type="pct"/>
            <w:tcBorders>
              <w:top w:val="single" w:sz="4" w:space="0" w:color="365F91"/>
              <w:bottom w:val="single" w:sz="4" w:space="0" w:color="365F91"/>
            </w:tcBorders>
            <w:shd w:val="clear" w:color="auto" w:fill="FFFFFF"/>
            <w:vAlign w:val="bottom"/>
          </w:tcPr>
          <w:p w14:paraId="1DC8AA93" w14:textId="77777777" w:rsidR="00005A00" w:rsidRPr="00256982" w:rsidRDefault="00005A00" w:rsidP="00AA14F1">
            <w:pPr>
              <w:pStyle w:val="Tableboldblue"/>
              <w:jc w:val="center"/>
            </w:pPr>
            <w:r w:rsidRPr="00256982">
              <w:t>1990–2017</w:t>
            </w:r>
          </w:p>
        </w:tc>
        <w:tc>
          <w:tcPr>
            <w:tcW w:w="500" w:type="pct"/>
            <w:tcBorders>
              <w:top w:val="single" w:sz="4" w:space="0" w:color="365F91"/>
              <w:bottom w:val="single" w:sz="4" w:space="0" w:color="365F91"/>
            </w:tcBorders>
            <w:shd w:val="clear" w:color="auto" w:fill="FFFFFF"/>
            <w:vAlign w:val="bottom"/>
          </w:tcPr>
          <w:p w14:paraId="36449BD3" w14:textId="77777777" w:rsidR="00005A00" w:rsidRPr="00256982" w:rsidRDefault="00005A00" w:rsidP="00AA14F1">
            <w:pPr>
              <w:pStyle w:val="Tableboldblue"/>
              <w:jc w:val="center"/>
            </w:pPr>
            <w:r w:rsidRPr="00256982">
              <w:t>1990</w:t>
            </w:r>
          </w:p>
        </w:tc>
        <w:tc>
          <w:tcPr>
            <w:tcW w:w="501" w:type="pct"/>
            <w:tcBorders>
              <w:top w:val="single" w:sz="4" w:space="0" w:color="365F91"/>
              <w:bottom w:val="single" w:sz="4" w:space="0" w:color="365F91"/>
            </w:tcBorders>
            <w:shd w:val="clear" w:color="auto" w:fill="FFFFFF"/>
            <w:vAlign w:val="bottom"/>
          </w:tcPr>
          <w:p w14:paraId="011AC001" w14:textId="77777777" w:rsidR="00005A00" w:rsidRPr="00256982" w:rsidRDefault="00005A00" w:rsidP="00AA14F1">
            <w:pPr>
              <w:pStyle w:val="Tableboldblue"/>
              <w:jc w:val="center"/>
            </w:pPr>
            <w:r w:rsidRPr="00256982">
              <w:t>2017</w:t>
            </w:r>
          </w:p>
        </w:tc>
      </w:tr>
      <w:tr w:rsidR="00005A00" w:rsidRPr="00256982" w14:paraId="61431110" w14:textId="77777777" w:rsidTr="00AA14F1">
        <w:tc>
          <w:tcPr>
            <w:tcW w:w="1583" w:type="pct"/>
            <w:tcBorders>
              <w:top w:val="single" w:sz="4" w:space="0" w:color="365F91"/>
              <w:bottom w:val="single" w:sz="4" w:space="0" w:color="365F91"/>
            </w:tcBorders>
          </w:tcPr>
          <w:p w14:paraId="32A3D7BD" w14:textId="77777777" w:rsidR="00005A00" w:rsidRPr="00256982" w:rsidRDefault="00005A00" w:rsidP="00AA14F1">
            <w:pPr>
              <w:pStyle w:val="TableText"/>
            </w:pPr>
            <w:r w:rsidRPr="00256982">
              <w:t>Solid waste disposal (5.A)</w:t>
            </w:r>
          </w:p>
        </w:tc>
        <w:tc>
          <w:tcPr>
            <w:tcW w:w="500" w:type="pct"/>
            <w:tcBorders>
              <w:top w:val="single" w:sz="4" w:space="0" w:color="365F91"/>
              <w:bottom w:val="single" w:sz="4" w:space="0" w:color="365F91"/>
            </w:tcBorders>
          </w:tcPr>
          <w:p w14:paraId="52984866" w14:textId="77777777" w:rsidR="00005A00" w:rsidRPr="00256982" w:rsidRDefault="00005A00" w:rsidP="00AA14F1">
            <w:pPr>
              <w:pStyle w:val="TableText"/>
              <w:tabs>
                <w:tab w:val="decimal" w:pos="598"/>
              </w:tabs>
              <w:jc w:val="center"/>
              <w:rPr>
                <w:rFonts w:cs="Arial"/>
                <w:highlight w:val="yellow"/>
              </w:rPr>
            </w:pPr>
            <w:r w:rsidRPr="00256982">
              <w:rPr>
                <w:rFonts w:cs="Arial"/>
              </w:rPr>
              <w:t>3,711.3</w:t>
            </w:r>
          </w:p>
        </w:tc>
        <w:tc>
          <w:tcPr>
            <w:tcW w:w="583" w:type="pct"/>
            <w:tcBorders>
              <w:top w:val="single" w:sz="4" w:space="0" w:color="365F91"/>
              <w:bottom w:val="single" w:sz="4" w:space="0" w:color="365F91"/>
            </w:tcBorders>
          </w:tcPr>
          <w:p w14:paraId="371E499F" w14:textId="77777777" w:rsidR="00005A00" w:rsidRPr="00256982" w:rsidRDefault="00005A00" w:rsidP="00AA14F1">
            <w:pPr>
              <w:pStyle w:val="TableText"/>
              <w:tabs>
                <w:tab w:val="decimal" w:pos="598"/>
              </w:tabs>
              <w:jc w:val="center"/>
              <w:rPr>
                <w:highlight w:val="yellow"/>
              </w:rPr>
            </w:pPr>
            <w:r w:rsidRPr="00256982">
              <w:t>3,724.5</w:t>
            </w:r>
          </w:p>
        </w:tc>
        <w:tc>
          <w:tcPr>
            <w:tcW w:w="666" w:type="pct"/>
            <w:tcBorders>
              <w:top w:val="single" w:sz="4" w:space="0" w:color="365F91"/>
              <w:bottom w:val="single" w:sz="4" w:space="0" w:color="365F91"/>
            </w:tcBorders>
          </w:tcPr>
          <w:p w14:paraId="1FFB2710" w14:textId="77777777" w:rsidR="00005A00" w:rsidRPr="00256982" w:rsidRDefault="00005A00" w:rsidP="00AA14F1">
            <w:pPr>
              <w:pStyle w:val="TableText"/>
              <w:tabs>
                <w:tab w:val="decimal" w:pos="598"/>
              </w:tabs>
              <w:jc w:val="right"/>
              <w:rPr>
                <w:highlight w:val="yellow"/>
              </w:rPr>
            </w:pPr>
            <w:r w:rsidRPr="00256982">
              <w:t>13.1</w:t>
            </w:r>
          </w:p>
        </w:tc>
        <w:tc>
          <w:tcPr>
            <w:tcW w:w="666" w:type="pct"/>
            <w:tcBorders>
              <w:top w:val="single" w:sz="4" w:space="0" w:color="365F91"/>
              <w:bottom w:val="single" w:sz="4" w:space="0" w:color="365F91"/>
            </w:tcBorders>
          </w:tcPr>
          <w:p w14:paraId="0116638A" w14:textId="77777777" w:rsidR="00005A00" w:rsidRPr="00256982" w:rsidRDefault="00005A00" w:rsidP="00AA14F1">
            <w:pPr>
              <w:pStyle w:val="TableText"/>
              <w:tabs>
                <w:tab w:val="decimal" w:pos="598"/>
              </w:tabs>
              <w:jc w:val="right"/>
              <w:rPr>
                <w:highlight w:val="yellow"/>
              </w:rPr>
            </w:pPr>
            <w:r w:rsidRPr="00256982">
              <w:t>0.4</w:t>
            </w:r>
          </w:p>
        </w:tc>
        <w:tc>
          <w:tcPr>
            <w:tcW w:w="500" w:type="pct"/>
            <w:tcBorders>
              <w:top w:val="single" w:sz="4" w:space="0" w:color="365F91"/>
              <w:bottom w:val="single" w:sz="4" w:space="0" w:color="365F91"/>
            </w:tcBorders>
          </w:tcPr>
          <w:p w14:paraId="52F546A0" w14:textId="77777777" w:rsidR="00005A00" w:rsidRPr="00256982" w:rsidRDefault="00005A00" w:rsidP="00AA14F1">
            <w:pPr>
              <w:pStyle w:val="TableText"/>
              <w:tabs>
                <w:tab w:val="decimal" w:pos="598"/>
              </w:tabs>
              <w:jc w:val="right"/>
              <w:rPr>
                <w:highlight w:val="yellow"/>
              </w:rPr>
            </w:pPr>
            <w:r w:rsidRPr="00256982">
              <w:t>91.8</w:t>
            </w:r>
          </w:p>
        </w:tc>
        <w:tc>
          <w:tcPr>
            <w:tcW w:w="501" w:type="pct"/>
            <w:tcBorders>
              <w:top w:val="single" w:sz="4" w:space="0" w:color="365F91"/>
              <w:bottom w:val="single" w:sz="4" w:space="0" w:color="365F91"/>
            </w:tcBorders>
          </w:tcPr>
          <w:p w14:paraId="26A34963" w14:textId="77777777" w:rsidR="00005A00" w:rsidRPr="00256982" w:rsidRDefault="00005A00" w:rsidP="00AA14F1">
            <w:pPr>
              <w:pStyle w:val="TableText"/>
              <w:tabs>
                <w:tab w:val="decimal" w:pos="598"/>
              </w:tabs>
              <w:jc w:val="right"/>
              <w:rPr>
                <w:highlight w:val="yellow"/>
              </w:rPr>
            </w:pPr>
            <w:r w:rsidRPr="00256982">
              <w:t>90.3</w:t>
            </w:r>
          </w:p>
        </w:tc>
      </w:tr>
      <w:tr w:rsidR="00005A00" w:rsidRPr="00256982" w14:paraId="36629C6A" w14:textId="77777777" w:rsidTr="00AA14F1">
        <w:tc>
          <w:tcPr>
            <w:tcW w:w="1583" w:type="pct"/>
            <w:tcBorders>
              <w:top w:val="single" w:sz="4" w:space="0" w:color="365F91"/>
              <w:bottom w:val="single" w:sz="4" w:space="0" w:color="365F91"/>
            </w:tcBorders>
          </w:tcPr>
          <w:p w14:paraId="64F27232" w14:textId="77777777" w:rsidR="00005A00" w:rsidRPr="00256982" w:rsidRDefault="00005A00" w:rsidP="00AA14F1">
            <w:pPr>
              <w:pStyle w:val="TableText"/>
            </w:pPr>
            <w:r w:rsidRPr="00256982">
              <w:t>Biological treatment of solid waste (5.B)</w:t>
            </w:r>
          </w:p>
        </w:tc>
        <w:tc>
          <w:tcPr>
            <w:tcW w:w="500" w:type="pct"/>
            <w:tcBorders>
              <w:top w:val="single" w:sz="4" w:space="0" w:color="365F91"/>
              <w:bottom w:val="single" w:sz="4" w:space="0" w:color="365F91"/>
            </w:tcBorders>
          </w:tcPr>
          <w:p w14:paraId="4413CAC5" w14:textId="77777777" w:rsidR="00005A00" w:rsidRPr="00256982" w:rsidRDefault="00005A00" w:rsidP="00AA14F1">
            <w:pPr>
              <w:pStyle w:val="TableText"/>
              <w:tabs>
                <w:tab w:val="decimal" w:pos="598"/>
              </w:tabs>
              <w:jc w:val="center"/>
              <w:rPr>
                <w:highlight w:val="yellow"/>
              </w:rPr>
            </w:pPr>
            <w:r w:rsidRPr="00256982">
              <w:t>4.7</w:t>
            </w:r>
          </w:p>
        </w:tc>
        <w:tc>
          <w:tcPr>
            <w:tcW w:w="583" w:type="pct"/>
            <w:tcBorders>
              <w:top w:val="single" w:sz="4" w:space="0" w:color="365F91"/>
              <w:bottom w:val="single" w:sz="4" w:space="0" w:color="365F91"/>
            </w:tcBorders>
          </w:tcPr>
          <w:p w14:paraId="4656C2E7" w14:textId="77777777" w:rsidR="00005A00" w:rsidRPr="00256982" w:rsidRDefault="00005A00" w:rsidP="00AA14F1">
            <w:pPr>
              <w:pStyle w:val="TableText"/>
              <w:tabs>
                <w:tab w:val="decimal" w:pos="598"/>
              </w:tabs>
              <w:jc w:val="center"/>
              <w:rPr>
                <w:highlight w:val="yellow"/>
              </w:rPr>
            </w:pPr>
            <w:r w:rsidRPr="00256982">
              <w:t>30.0</w:t>
            </w:r>
          </w:p>
        </w:tc>
        <w:tc>
          <w:tcPr>
            <w:tcW w:w="666" w:type="pct"/>
            <w:tcBorders>
              <w:top w:val="single" w:sz="4" w:space="0" w:color="365F91"/>
              <w:bottom w:val="single" w:sz="4" w:space="0" w:color="365F91"/>
            </w:tcBorders>
          </w:tcPr>
          <w:p w14:paraId="098001DF" w14:textId="77777777" w:rsidR="00005A00" w:rsidRPr="00256982" w:rsidRDefault="00005A00" w:rsidP="00AA14F1">
            <w:pPr>
              <w:pStyle w:val="TableText"/>
              <w:tabs>
                <w:tab w:val="decimal" w:pos="598"/>
              </w:tabs>
              <w:jc w:val="right"/>
              <w:rPr>
                <w:highlight w:val="yellow"/>
              </w:rPr>
            </w:pPr>
            <w:r w:rsidRPr="00256982">
              <w:t>25.3</w:t>
            </w:r>
          </w:p>
        </w:tc>
        <w:tc>
          <w:tcPr>
            <w:tcW w:w="666" w:type="pct"/>
            <w:tcBorders>
              <w:top w:val="single" w:sz="4" w:space="0" w:color="365F91"/>
              <w:bottom w:val="single" w:sz="4" w:space="0" w:color="365F91"/>
            </w:tcBorders>
          </w:tcPr>
          <w:p w14:paraId="0ED47559" w14:textId="77777777" w:rsidR="00005A00" w:rsidRPr="00256982" w:rsidRDefault="00005A00" w:rsidP="00AA14F1">
            <w:pPr>
              <w:pStyle w:val="TableText"/>
              <w:tabs>
                <w:tab w:val="decimal" w:pos="598"/>
              </w:tabs>
              <w:jc w:val="right"/>
              <w:rPr>
                <w:highlight w:val="yellow"/>
              </w:rPr>
            </w:pPr>
            <w:r w:rsidRPr="00256982">
              <w:t>538.2</w:t>
            </w:r>
          </w:p>
        </w:tc>
        <w:tc>
          <w:tcPr>
            <w:tcW w:w="500" w:type="pct"/>
            <w:tcBorders>
              <w:top w:val="single" w:sz="4" w:space="0" w:color="365F91"/>
              <w:bottom w:val="single" w:sz="4" w:space="0" w:color="365F91"/>
            </w:tcBorders>
          </w:tcPr>
          <w:p w14:paraId="07A686B1" w14:textId="77777777" w:rsidR="00005A00" w:rsidRPr="00256982" w:rsidRDefault="00005A00" w:rsidP="00AA14F1">
            <w:pPr>
              <w:pStyle w:val="TableText"/>
              <w:tabs>
                <w:tab w:val="decimal" w:pos="598"/>
              </w:tabs>
              <w:jc w:val="right"/>
              <w:rPr>
                <w:highlight w:val="yellow"/>
              </w:rPr>
            </w:pPr>
            <w:r w:rsidRPr="00256982">
              <w:t>0.1</w:t>
            </w:r>
          </w:p>
        </w:tc>
        <w:tc>
          <w:tcPr>
            <w:tcW w:w="501" w:type="pct"/>
            <w:tcBorders>
              <w:top w:val="single" w:sz="4" w:space="0" w:color="365F91"/>
              <w:bottom w:val="single" w:sz="4" w:space="0" w:color="365F91"/>
            </w:tcBorders>
          </w:tcPr>
          <w:p w14:paraId="1A89DFFD" w14:textId="77777777" w:rsidR="00005A00" w:rsidRPr="00256982" w:rsidRDefault="00005A00" w:rsidP="00AA14F1">
            <w:pPr>
              <w:pStyle w:val="TableText"/>
              <w:tabs>
                <w:tab w:val="decimal" w:pos="598"/>
              </w:tabs>
              <w:jc w:val="right"/>
              <w:rPr>
                <w:highlight w:val="yellow"/>
              </w:rPr>
            </w:pPr>
            <w:r w:rsidRPr="00256982">
              <w:t>0.7</w:t>
            </w:r>
          </w:p>
        </w:tc>
      </w:tr>
      <w:tr w:rsidR="00005A00" w:rsidRPr="00256982" w14:paraId="43EDB48F" w14:textId="77777777" w:rsidTr="00AA14F1">
        <w:tc>
          <w:tcPr>
            <w:tcW w:w="1583" w:type="pct"/>
            <w:tcBorders>
              <w:top w:val="single" w:sz="4" w:space="0" w:color="365F91"/>
              <w:bottom w:val="single" w:sz="4" w:space="0" w:color="365F91"/>
            </w:tcBorders>
          </w:tcPr>
          <w:p w14:paraId="00176E7F" w14:textId="77777777" w:rsidR="00005A00" w:rsidRPr="00256982" w:rsidRDefault="00005A00" w:rsidP="00AA14F1">
            <w:pPr>
              <w:pStyle w:val="TableText"/>
            </w:pPr>
            <w:r w:rsidRPr="00256982">
              <w:t>Incineration and open burning of waste (5.C)</w:t>
            </w:r>
          </w:p>
        </w:tc>
        <w:tc>
          <w:tcPr>
            <w:tcW w:w="500" w:type="pct"/>
            <w:tcBorders>
              <w:top w:val="single" w:sz="4" w:space="0" w:color="365F91"/>
              <w:bottom w:val="single" w:sz="4" w:space="0" w:color="365F91"/>
            </w:tcBorders>
          </w:tcPr>
          <w:p w14:paraId="1DF6A567" w14:textId="77777777" w:rsidR="00005A00" w:rsidRPr="00256982" w:rsidRDefault="00005A00" w:rsidP="00AA14F1">
            <w:pPr>
              <w:pStyle w:val="TableText"/>
              <w:tabs>
                <w:tab w:val="decimal" w:pos="598"/>
              </w:tabs>
              <w:jc w:val="center"/>
              <w:rPr>
                <w:highlight w:val="yellow"/>
              </w:rPr>
            </w:pPr>
            <w:r w:rsidRPr="00256982">
              <w:t>24.6</w:t>
            </w:r>
          </w:p>
        </w:tc>
        <w:tc>
          <w:tcPr>
            <w:tcW w:w="583" w:type="pct"/>
            <w:tcBorders>
              <w:top w:val="single" w:sz="4" w:space="0" w:color="365F91"/>
              <w:bottom w:val="single" w:sz="4" w:space="0" w:color="365F91"/>
            </w:tcBorders>
          </w:tcPr>
          <w:p w14:paraId="1A341ACB" w14:textId="77777777" w:rsidR="00005A00" w:rsidRPr="00256982" w:rsidRDefault="00005A00" w:rsidP="00AA14F1">
            <w:pPr>
              <w:pStyle w:val="TableText"/>
              <w:tabs>
                <w:tab w:val="decimal" w:pos="598"/>
              </w:tabs>
              <w:jc w:val="center"/>
              <w:rPr>
                <w:highlight w:val="yellow"/>
              </w:rPr>
            </w:pPr>
            <w:r w:rsidRPr="00256982">
              <w:t>8.8</w:t>
            </w:r>
          </w:p>
        </w:tc>
        <w:tc>
          <w:tcPr>
            <w:tcW w:w="666" w:type="pct"/>
            <w:tcBorders>
              <w:top w:val="single" w:sz="4" w:space="0" w:color="365F91"/>
              <w:bottom w:val="single" w:sz="4" w:space="0" w:color="365F91"/>
            </w:tcBorders>
          </w:tcPr>
          <w:p w14:paraId="5BF48B9A" w14:textId="77777777" w:rsidR="00005A00" w:rsidRPr="00256982" w:rsidRDefault="00005A00" w:rsidP="00AA14F1">
            <w:pPr>
              <w:pStyle w:val="TableText"/>
              <w:tabs>
                <w:tab w:val="decimal" w:pos="598"/>
              </w:tabs>
              <w:jc w:val="right"/>
              <w:rPr>
                <w:highlight w:val="yellow"/>
              </w:rPr>
            </w:pPr>
            <w:r w:rsidRPr="00256982">
              <w:t>–15.8</w:t>
            </w:r>
          </w:p>
        </w:tc>
        <w:tc>
          <w:tcPr>
            <w:tcW w:w="666" w:type="pct"/>
            <w:tcBorders>
              <w:top w:val="single" w:sz="4" w:space="0" w:color="365F91"/>
              <w:bottom w:val="single" w:sz="4" w:space="0" w:color="365F91"/>
            </w:tcBorders>
          </w:tcPr>
          <w:p w14:paraId="4F9C7314" w14:textId="77777777" w:rsidR="00005A00" w:rsidRPr="00256982" w:rsidRDefault="00005A00" w:rsidP="00AA14F1">
            <w:pPr>
              <w:pStyle w:val="TableText"/>
              <w:tabs>
                <w:tab w:val="decimal" w:pos="598"/>
              </w:tabs>
              <w:jc w:val="right"/>
              <w:rPr>
                <w:highlight w:val="yellow"/>
              </w:rPr>
            </w:pPr>
            <w:r w:rsidRPr="00256982">
              <w:t>–64.3</w:t>
            </w:r>
          </w:p>
        </w:tc>
        <w:tc>
          <w:tcPr>
            <w:tcW w:w="500" w:type="pct"/>
            <w:tcBorders>
              <w:top w:val="single" w:sz="4" w:space="0" w:color="365F91"/>
              <w:bottom w:val="single" w:sz="4" w:space="0" w:color="365F91"/>
            </w:tcBorders>
          </w:tcPr>
          <w:p w14:paraId="3FF7A1D4" w14:textId="77777777" w:rsidR="00005A00" w:rsidRPr="00256982" w:rsidRDefault="00005A00" w:rsidP="00AA14F1">
            <w:pPr>
              <w:pStyle w:val="TableText"/>
              <w:tabs>
                <w:tab w:val="decimal" w:pos="598"/>
              </w:tabs>
              <w:jc w:val="right"/>
              <w:rPr>
                <w:highlight w:val="yellow"/>
              </w:rPr>
            </w:pPr>
            <w:r w:rsidRPr="00256982">
              <w:t>0.6</w:t>
            </w:r>
          </w:p>
        </w:tc>
        <w:tc>
          <w:tcPr>
            <w:tcW w:w="501" w:type="pct"/>
            <w:tcBorders>
              <w:top w:val="single" w:sz="4" w:space="0" w:color="365F91"/>
              <w:bottom w:val="single" w:sz="4" w:space="0" w:color="365F91"/>
            </w:tcBorders>
          </w:tcPr>
          <w:p w14:paraId="1A081A82" w14:textId="77777777" w:rsidR="00005A00" w:rsidRPr="00256982" w:rsidRDefault="00005A00" w:rsidP="00AA14F1">
            <w:pPr>
              <w:pStyle w:val="TableText"/>
              <w:tabs>
                <w:tab w:val="decimal" w:pos="598"/>
              </w:tabs>
              <w:jc w:val="right"/>
              <w:rPr>
                <w:highlight w:val="yellow"/>
              </w:rPr>
            </w:pPr>
            <w:r w:rsidRPr="00256982">
              <w:t>0.2</w:t>
            </w:r>
          </w:p>
        </w:tc>
      </w:tr>
      <w:tr w:rsidR="00005A00" w:rsidRPr="00256982" w14:paraId="08D2960E" w14:textId="77777777" w:rsidTr="00AA14F1">
        <w:tc>
          <w:tcPr>
            <w:tcW w:w="1583" w:type="pct"/>
            <w:tcBorders>
              <w:top w:val="single" w:sz="4" w:space="0" w:color="365F91"/>
              <w:bottom w:val="single" w:sz="4" w:space="0" w:color="365F91"/>
            </w:tcBorders>
          </w:tcPr>
          <w:p w14:paraId="1134A8CB" w14:textId="77777777" w:rsidR="00005A00" w:rsidRPr="00256982" w:rsidRDefault="00005A00" w:rsidP="00AA14F1">
            <w:pPr>
              <w:pStyle w:val="TableText"/>
            </w:pPr>
            <w:r w:rsidRPr="00256982">
              <w:t>Wastewater treatment and discharge (5.D)</w:t>
            </w:r>
          </w:p>
        </w:tc>
        <w:tc>
          <w:tcPr>
            <w:tcW w:w="500" w:type="pct"/>
            <w:tcBorders>
              <w:top w:val="single" w:sz="4" w:space="0" w:color="365F91"/>
              <w:bottom w:val="single" w:sz="4" w:space="0" w:color="365F91"/>
            </w:tcBorders>
          </w:tcPr>
          <w:p w14:paraId="2C3C3B3B" w14:textId="77777777" w:rsidR="00005A00" w:rsidRPr="00256982" w:rsidRDefault="00005A00" w:rsidP="00AA14F1">
            <w:pPr>
              <w:pStyle w:val="TableText"/>
              <w:tabs>
                <w:tab w:val="decimal" w:pos="598"/>
              </w:tabs>
              <w:jc w:val="center"/>
              <w:rPr>
                <w:highlight w:val="yellow"/>
              </w:rPr>
            </w:pPr>
            <w:r w:rsidRPr="00256982">
              <w:t>301.2</w:t>
            </w:r>
          </w:p>
        </w:tc>
        <w:tc>
          <w:tcPr>
            <w:tcW w:w="583" w:type="pct"/>
            <w:tcBorders>
              <w:top w:val="single" w:sz="4" w:space="0" w:color="365F91"/>
              <w:bottom w:val="single" w:sz="4" w:space="0" w:color="365F91"/>
            </w:tcBorders>
          </w:tcPr>
          <w:p w14:paraId="1DB904DA" w14:textId="77777777" w:rsidR="00005A00" w:rsidRPr="00256982" w:rsidRDefault="00005A00" w:rsidP="00AA14F1">
            <w:pPr>
              <w:pStyle w:val="TableText"/>
              <w:tabs>
                <w:tab w:val="decimal" w:pos="598"/>
              </w:tabs>
              <w:jc w:val="center"/>
              <w:rPr>
                <w:highlight w:val="yellow"/>
              </w:rPr>
            </w:pPr>
            <w:r w:rsidRPr="00256982">
              <w:t>361.5</w:t>
            </w:r>
          </w:p>
        </w:tc>
        <w:tc>
          <w:tcPr>
            <w:tcW w:w="666" w:type="pct"/>
            <w:tcBorders>
              <w:top w:val="single" w:sz="4" w:space="0" w:color="365F91"/>
              <w:bottom w:val="single" w:sz="4" w:space="0" w:color="365F91"/>
            </w:tcBorders>
          </w:tcPr>
          <w:p w14:paraId="5DFBDE6F" w14:textId="77777777" w:rsidR="00005A00" w:rsidRPr="00256982" w:rsidRDefault="00005A00" w:rsidP="00AA14F1">
            <w:pPr>
              <w:pStyle w:val="TableText"/>
              <w:tabs>
                <w:tab w:val="decimal" w:pos="598"/>
              </w:tabs>
              <w:jc w:val="right"/>
              <w:rPr>
                <w:highlight w:val="yellow"/>
              </w:rPr>
            </w:pPr>
            <w:r w:rsidRPr="00256982">
              <w:t>60.3</w:t>
            </w:r>
          </w:p>
        </w:tc>
        <w:tc>
          <w:tcPr>
            <w:tcW w:w="666" w:type="pct"/>
            <w:tcBorders>
              <w:top w:val="single" w:sz="4" w:space="0" w:color="365F91"/>
              <w:bottom w:val="single" w:sz="4" w:space="0" w:color="365F91"/>
            </w:tcBorders>
          </w:tcPr>
          <w:p w14:paraId="22912DDB" w14:textId="77777777" w:rsidR="00005A00" w:rsidRPr="00256982" w:rsidRDefault="00005A00" w:rsidP="00AA14F1">
            <w:pPr>
              <w:pStyle w:val="TableText"/>
              <w:tabs>
                <w:tab w:val="decimal" w:pos="598"/>
              </w:tabs>
              <w:jc w:val="right"/>
              <w:rPr>
                <w:highlight w:val="yellow"/>
              </w:rPr>
            </w:pPr>
            <w:r w:rsidRPr="00256982">
              <w:t>20.0</w:t>
            </w:r>
          </w:p>
        </w:tc>
        <w:tc>
          <w:tcPr>
            <w:tcW w:w="500" w:type="pct"/>
            <w:tcBorders>
              <w:top w:val="single" w:sz="4" w:space="0" w:color="365F91"/>
              <w:bottom w:val="single" w:sz="4" w:space="0" w:color="365F91"/>
            </w:tcBorders>
          </w:tcPr>
          <w:p w14:paraId="3698E2C1" w14:textId="77777777" w:rsidR="00005A00" w:rsidRPr="00256982" w:rsidRDefault="00005A00" w:rsidP="00AA14F1">
            <w:pPr>
              <w:pStyle w:val="TableText"/>
              <w:tabs>
                <w:tab w:val="decimal" w:pos="598"/>
              </w:tabs>
              <w:jc w:val="right"/>
              <w:rPr>
                <w:highlight w:val="yellow"/>
              </w:rPr>
            </w:pPr>
            <w:r w:rsidRPr="00256982">
              <w:t>7.5</w:t>
            </w:r>
          </w:p>
        </w:tc>
        <w:tc>
          <w:tcPr>
            <w:tcW w:w="501" w:type="pct"/>
            <w:tcBorders>
              <w:top w:val="single" w:sz="4" w:space="0" w:color="365F91"/>
              <w:bottom w:val="single" w:sz="4" w:space="0" w:color="365F91"/>
            </w:tcBorders>
          </w:tcPr>
          <w:p w14:paraId="223FE8CC" w14:textId="77777777" w:rsidR="00005A00" w:rsidRPr="00256982" w:rsidRDefault="00005A00" w:rsidP="00AA14F1">
            <w:pPr>
              <w:pStyle w:val="TableText"/>
              <w:tabs>
                <w:tab w:val="decimal" w:pos="598"/>
              </w:tabs>
              <w:jc w:val="right"/>
              <w:rPr>
                <w:highlight w:val="yellow"/>
              </w:rPr>
            </w:pPr>
            <w:r w:rsidRPr="00256982">
              <w:t>8.8</w:t>
            </w:r>
          </w:p>
        </w:tc>
      </w:tr>
      <w:tr w:rsidR="00005A00" w:rsidRPr="00256982" w14:paraId="4CB7863B" w14:textId="77777777" w:rsidTr="00AA14F1">
        <w:tc>
          <w:tcPr>
            <w:tcW w:w="1583" w:type="pct"/>
            <w:tcBorders>
              <w:top w:val="single" w:sz="4" w:space="0" w:color="365F91"/>
              <w:bottom w:val="single" w:sz="4" w:space="0" w:color="365F91"/>
            </w:tcBorders>
            <w:shd w:val="clear" w:color="auto" w:fill="FFFFFF"/>
          </w:tcPr>
          <w:p w14:paraId="11D3568E" w14:textId="77777777" w:rsidR="00005A00" w:rsidRPr="00256982" w:rsidRDefault="00005A00" w:rsidP="00AA14F1">
            <w:pPr>
              <w:pStyle w:val="Tableboldblue"/>
            </w:pPr>
            <w:r w:rsidRPr="00256982">
              <w:t>Total</w:t>
            </w:r>
          </w:p>
        </w:tc>
        <w:tc>
          <w:tcPr>
            <w:tcW w:w="500" w:type="pct"/>
            <w:tcBorders>
              <w:top w:val="single" w:sz="4" w:space="0" w:color="365F91"/>
              <w:bottom w:val="single" w:sz="4" w:space="0" w:color="365F91"/>
            </w:tcBorders>
            <w:shd w:val="clear" w:color="auto" w:fill="FFFFFF"/>
          </w:tcPr>
          <w:p w14:paraId="73AC334A" w14:textId="77777777" w:rsidR="00005A00" w:rsidRPr="00256982" w:rsidRDefault="00005A00" w:rsidP="00AA14F1">
            <w:pPr>
              <w:pStyle w:val="Tableboldblue"/>
              <w:jc w:val="right"/>
            </w:pPr>
            <w:r w:rsidRPr="00256982">
              <w:t>4,041.9</w:t>
            </w:r>
          </w:p>
        </w:tc>
        <w:tc>
          <w:tcPr>
            <w:tcW w:w="583" w:type="pct"/>
            <w:tcBorders>
              <w:top w:val="single" w:sz="4" w:space="0" w:color="365F91"/>
              <w:bottom w:val="single" w:sz="4" w:space="0" w:color="365F91"/>
            </w:tcBorders>
            <w:shd w:val="clear" w:color="auto" w:fill="FFFFFF"/>
          </w:tcPr>
          <w:p w14:paraId="30389672" w14:textId="77777777" w:rsidR="00005A00" w:rsidRPr="00256982" w:rsidRDefault="00005A00" w:rsidP="00AA14F1">
            <w:pPr>
              <w:pStyle w:val="Tableboldblue"/>
              <w:jc w:val="right"/>
            </w:pPr>
            <w:r w:rsidRPr="00256982">
              <w:t>4,124.7</w:t>
            </w:r>
          </w:p>
        </w:tc>
        <w:tc>
          <w:tcPr>
            <w:tcW w:w="666" w:type="pct"/>
            <w:tcBorders>
              <w:top w:val="single" w:sz="4" w:space="0" w:color="365F91"/>
              <w:bottom w:val="single" w:sz="4" w:space="0" w:color="365F91"/>
            </w:tcBorders>
            <w:shd w:val="clear" w:color="auto" w:fill="FFFFFF"/>
          </w:tcPr>
          <w:p w14:paraId="05F050EF" w14:textId="77777777" w:rsidR="00005A00" w:rsidRPr="00256982" w:rsidRDefault="00005A00" w:rsidP="00AA14F1">
            <w:pPr>
              <w:pStyle w:val="Tableboldblue"/>
              <w:jc w:val="right"/>
            </w:pPr>
            <w:r w:rsidRPr="00256982">
              <w:t>82.9</w:t>
            </w:r>
          </w:p>
        </w:tc>
        <w:tc>
          <w:tcPr>
            <w:tcW w:w="666" w:type="pct"/>
            <w:tcBorders>
              <w:top w:val="single" w:sz="4" w:space="0" w:color="365F91"/>
              <w:bottom w:val="single" w:sz="4" w:space="0" w:color="365F91"/>
            </w:tcBorders>
            <w:shd w:val="clear" w:color="auto" w:fill="FFFFFF"/>
          </w:tcPr>
          <w:p w14:paraId="6F5D992B" w14:textId="77777777" w:rsidR="00005A00" w:rsidRPr="00256982" w:rsidRDefault="00005A00" w:rsidP="00AA14F1">
            <w:pPr>
              <w:pStyle w:val="Tableboldblue"/>
              <w:jc w:val="right"/>
            </w:pPr>
            <w:r w:rsidRPr="00256982">
              <w:t>2.1</w:t>
            </w:r>
          </w:p>
        </w:tc>
        <w:tc>
          <w:tcPr>
            <w:tcW w:w="500" w:type="pct"/>
            <w:tcBorders>
              <w:top w:val="single" w:sz="4" w:space="0" w:color="365F91"/>
              <w:bottom w:val="single" w:sz="4" w:space="0" w:color="365F91"/>
            </w:tcBorders>
            <w:shd w:val="clear" w:color="auto" w:fill="FFFFFF"/>
          </w:tcPr>
          <w:p w14:paraId="74C9F73C" w14:textId="77777777" w:rsidR="00005A00" w:rsidRPr="00256982" w:rsidRDefault="00005A00" w:rsidP="00AA14F1">
            <w:pPr>
              <w:pStyle w:val="Tableboldblue"/>
              <w:jc w:val="right"/>
            </w:pPr>
            <w:r w:rsidRPr="00256982">
              <w:t>–</w:t>
            </w:r>
          </w:p>
        </w:tc>
        <w:tc>
          <w:tcPr>
            <w:tcW w:w="501" w:type="pct"/>
            <w:tcBorders>
              <w:top w:val="single" w:sz="4" w:space="0" w:color="365F91"/>
              <w:bottom w:val="single" w:sz="4" w:space="0" w:color="365F91"/>
            </w:tcBorders>
            <w:shd w:val="clear" w:color="auto" w:fill="FFFFFF"/>
          </w:tcPr>
          <w:p w14:paraId="031EB94E" w14:textId="77777777" w:rsidR="00005A00" w:rsidRPr="00256982" w:rsidRDefault="00005A00" w:rsidP="00AA14F1">
            <w:pPr>
              <w:pStyle w:val="Tableboldblue"/>
              <w:jc w:val="right"/>
            </w:pPr>
            <w:r w:rsidRPr="00256982">
              <w:t>–</w:t>
            </w:r>
          </w:p>
        </w:tc>
      </w:tr>
    </w:tbl>
    <w:p w14:paraId="37A5554F" w14:textId="77777777" w:rsidR="00005A00" w:rsidRPr="00256982" w:rsidRDefault="00005A00" w:rsidP="00005A00">
      <w:pPr>
        <w:pStyle w:val="Noteundertable"/>
      </w:pPr>
      <w:r w:rsidRPr="00256982">
        <w:rPr>
          <w:b/>
        </w:rPr>
        <w:t>Note:</w:t>
      </w:r>
      <w:r w:rsidRPr="00256982">
        <w:tab/>
        <w:t>Percentages presented are calculated from unrounded values. Columns may not total due to rounding.</w:t>
      </w:r>
    </w:p>
    <w:p w14:paraId="5CC69A4E" w14:textId="77777777" w:rsidR="00005A00" w:rsidRPr="00256982" w:rsidRDefault="00005A00" w:rsidP="00005A00">
      <w:pPr>
        <w:pStyle w:val="Figure"/>
        <w:spacing w:before="240"/>
      </w:pPr>
      <w:bookmarkStart w:id="2258" w:name="_Toc511116987"/>
      <w:bookmarkStart w:id="2259" w:name="_Toc5269716"/>
      <w:bookmarkStart w:id="2260" w:name="_Toc318362743"/>
      <w:bookmarkStart w:id="2261" w:name="_Toc342470823"/>
      <w:bookmarkStart w:id="2262" w:name="_Toc352505151"/>
      <w:bookmarkStart w:id="2263" w:name="_Toc444001673"/>
      <w:bookmarkStart w:id="2264" w:name="_Toc447275717"/>
      <w:bookmarkStart w:id="2265" w:name="_Toc481752036"/>
      <w:r w:rsidRPr="00256982">
        <w:t>Figure 7.1.1</w:t>
      </w:r>
      <w:r w:rsidRPr="00256982">
        <w:tab/>
        <w:t>Profile of emissions from New Zealand’s Waste sector by source from 1990 to 2017</w:t>
      </w:r>
      <w:bookmarkEnd w:id="2258"/>
      <w:bookmarkEnd w:id="2259"/>
    </w:p>
    <w:p w14:paraId="4A1A7DAC" w14:textId="242891A8" w:rsidR="00005A00" w:rsidRPr="00256982" w:rsidRDefault="00590491" w:rsidP="00005A00">
      <w:r>
        <w:rPr>
          <w:lang w:eastAsia="en-NZ"/>
        </w:rPr>
        <w:pict w14:anchorId="5528A1A4">
          <v:shape id="_x0000_i1148" type="#_x0000_t75" style="width:415.5pt;height:225pt;visibility:visible" o:gfxdata="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">
            <v:imagedata r:id="rId219" o:title="" cropbottom="3543f"/>
            <o:lock v:ext="edit" aspectratio="f"/>
          </v:shape>
        </w:pict>
      </w:r>
      <w:r w:rsidR="00005A00" w:rsidRPr="00256982">
        <w:rPr>
          <w:rStyle w:val="CommentReference"/>
          <w:rFonts w:ascii="Calibri" w:eastAsia="Arial" w:hAnsi="Calibri"/>
          <w:lang w:eastAsia="en-NZ"/>
        </w:rPr>
        <w:t xml:space="preserve"> </w:t>
      </w:r>
    </w:p>
    <w:p w14:paraId="7554196E" w14:textId="7C3BC4A9" w:rsidR="00005A00" w:rsidRPr="00256982" w:rsidRDefault="00005A00" w:rsidP="00005A00">
      <w:pPr>
        <w:pStyle w:val="Figure"/>
        <w:spacing w:after="60"/>
      </w:pPr>
      <w:bookmarkStart w:id="2266" w:name="_Toc511116988"/>
      <w:bookmarkStart w:id="2267" w:name="_Toc444001674"/>
      <w:bookmarkStart w:id="2268" w:name="_Toc447275718"/>
      <w:bookmarkStart w:id="2269" w:name="_Toc481752037"/>
      <w:bookmarkStart w:id="2270" w:name="_Toc5269717"/>
      <w:bookmarkEnd w:id="2260"/>
      <w:bookmarkEnd w:id="2261"/>
      <w:bookmarkEnd w:id="2262"/>
      <w:bookmarkEnd w:id="2263"/>
      <w:bookmarkEnd w:id="2264"/>
      <w:bookmarkEnd w:id="2265"/>
      <w:r w:rsidRPr="00256982">
        <w:lastRenderedPageBreak/>
        <w:t>Figure 7.1.2</w:t>
      </w:r>
      <w:r w:rsidRPr="00256982">
        <w:tab/>
        <w:t>Change in New Zealand’s emissions from the Waste sector by source category</w:t>
      </w:r>
      <w:r w:rsidRPr="00256982">
        <w:br/>
        <w:t>from 1990 to 2017</w:t>
      </w:r>
      <w:bookmarkEnd w:id="2266"/>
      <w:bookmarkEnd w:id="2267"/>
      <w:bookmarkEnd w:id="2268"/>
      <w:bookmarkEnd w:id="2269"/>
      <w:bookmarkEnd w:id="2270"/>
    </w:p>
    <w:p w14:paraId="36608B05" w14:textId="3433015F" w:rsidR="00005A00" w:rsidRPr="00256982" w:rsidRDefault="00590491" w:rsidP="002539EB">
      <w:pPr>
        <w:spacing w:after="120"/>
      </w:pPr>
      <w:r>
        <w:rPr>
          <w:lang w:eastAsia="en-NZ"/>
        </w:rPr>
        <w:pict w14:anchorId="12CDE5ED">
          <v:shape id="_x0000_i1149" type="#_x0000_t75" style="width:395.25pt;height:238.5pt;visibility:visible" o:gfxdata="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">
            <v:imagedata r:id="rId220" o:title="" croptop="2640f" cropbottom="884f"/>
            <o:lock v:ext="edit" aspectratio="f"/>
          </v:shape>
        </w:pict>
      </w:r>
    </w:p>
    <w:p w14:paraId="30C2149C" w14:textId="77777777" w:rsidR="00005A00" w:rsidRPr="00256982" w:rsidRDefault="00005A00" w:rsidP="005816E9">
      <w:pPr>
        <w:pStyle w:val="Heading3"/>
        <w:spacing w:before="240"/>
      </w:pPr>
      <w:bookmarkStart w:id="2271" w:name="_Toc255466292"/>
      <w:bookmarkStart w:id="2272" w:name="_Toc261513099"/>
      <w:bookmarkStart w:id="2273" w:name="_Toc261513712"/>
      <w:r w:rsidRPr="00256982">
        <w:t>7.1.3</w:t>
      </w:r>
      <w:r w:rsidRPr="00256982">
        <w:tab/>
        <w:t>Key categories for Waste sector emissions</w:t>
      </w:r>
    </w:p>
    <w:p w14:paraId="209D7DB0" w14:textId="77777777" w:rsidR="00005A00" w:rsidRPr="00256982" w:rsidRDefault="00005A00" w:rsidP="00005A00">
      <w:pPr>
        <w:pStyle w:val="BodyText"/>
      </w:pPr>
      <w:r w:rsidRPr="00256982">
        <w:t xml:space="preserve">Details of New Zealand’s key category analysis are in chapter 1, section 1.5. The key categories in the Waste sector are listed in table 7.1.2. </w:t>
      </w:r>
    </w:p>
    <w:p w14:paraId="54EB9AAF" w14:textId="77777777" w:rsidR="00005A00" w:rsidRPr="00256982" w:rsidRDefault="00005A00" w:rsidP="00005A00">
      <w:pPr>
        <w:pStyle w:val="Table"/>
      </w:pPr>
      <w:bookmarkStart w:id="2274" w:name="_Toc444001616"/>
      <w:bookmarkStart w:id="2275" w:name="_Toc451176168"/>
      <w:bookmarkStart w:id="2276" w:name="_Toc481751598"/>
      <w:bookmarkStart w:id="2277" w:name="_Toc508019321"/>
      <w:bookmarkStart w:id="2278" w:name="_Toc511116819"/>
      <w:bookmarkStart w:id="2279" w:name="_Toc5269560"/>
      <w:r w:rsidRPr="00256982">
        <w:t xml:space="preserve">Table 7.1.2 </w:t>
      </w:r>
      <w:r w:rsidRPr="00256982">
        <w:tab/>
        <w:t>Key categories in the Waste sector</w:t>
      </w:r>
      <w:bookmarkEnd w:id="2274"/>
      <w:bookmarkEnd w:id="2275"/>
      <w:bookmarkEnd w:id="2276"/>
      <w:bookmarkEnd w:id="2277"/>
      <w:bookmarkEnd w:id="2278"/>
      <w:bookmarkEnd w:id="2279"/>
    </w:p>
    <w:tbl>
      <w:tblPr>
        <w:tblW w:w="8562" w:type="dxa"/>
        <w:tblInd w:w="108" w:type="dxa"/>
        <w:tblBorders>
          <w:top w:val="single" w:sz="4" w:space="0" w:color="365F91"/>
          <w:bottom w:val="single" w:sz="4" w:space="0" w:color="365F91"/>
          <w:insideH w:val="single" w:sz="4" w:space="0" w:color="365F91"/>
        </w:tblBorders>
        <w:tblLook w:val="04A0" w:firstRow="1" w:lastRow="0" w:firstColumn="1" w:lastColumn="0" w:noHBand="0" w:noVBand="1"/>
      </w:tblPr>
      <w:tblGrid>
        <w:gridCol w:w="2195"/>
        <w:gridCol w:w="3211"/>
        <w:gridCol w:w="764"/>
        <w:gridCol w:w="2392"/>
      </w:tblGrid>
      <w:tr w:rsidR="00005A00" w:rsidRPr="00256982" w14:paraId="146FFB3C" w14:textId="77777777" w:rsidTr="002539EB">
        <w:trPr>
          <w:tblHeader/>
        </w:trPr>
        <w:tc>
          <w:tcPr>
            <w:tcW w:w="1282" w:type="pct"/>
            <w:tcBorders>
              <w:top w:val="single" w:sz="4" w:space="0" w:color="365F91"/>
              <w:left w:val="nil"/>
              <w:bottom w:val="single" w:sz="4" w:space="0" w:color="365F91"/>
              <w:right w:val="nil"/>
            </w:tcBorders>
            <w:shd w:val="clear" w:color="000000" w:fill="365F91"/>
          </w:tcPr>
          <w:p w14:paraId="6D9A0BEE" w14:textId="77777777" w:rsidR="00005A00" w:rsidRPr="00256982" w:rsidRDefault="00005A00" w:rsidP="00AA14F1">
            <w:pPr>
              <w:pStyle w:val="TableTextBold"/>
              <w:rPr>
                <w:noProof w:val="0"/>
                <w:color w:val="FFFFFF"/>
              </w:rPr>
            </w:pPr>
            <w:r w:rsidRPr="00256982">
              <w:rPr>
                <w:noProof w:val="0"/>
                <w:color w:val="FFFFFF"/>
              </w:rPr>
              <w:t>CRF category code</w:t>
            </w:r>
          </w:p>
        </w:tc>
        <w:tc>
          <w:tcPr>
            <w:tcW w:w="1875" w:type="pct"/>
            <w:tcBorders>
              <w:top w:val="single" w:sz="4" w:space="0" w:color="365F91"/>
              <w:left w:val="nil"/>
              <w:bottom w:val="single" w:sz="4" w:space="0" w:color="365F91"/>
              <w:right w:val="nil"/>
            </w:tcBorders>
            <w:shd w:val="clear" w:color="000000" w:fill="365F91"/>
          </w:tcPr>
          <w:p w14:paraId="49C899EE" w14:textId="77777777" w:rsidR="00005A00" w:rsidRPr="00256982" w:rsidRDefault="00005A00" w:rsidP="00AA14F1">
            <w:pPr>
              <w:pStyle w:val="TableTextBold"/>
              <w:rPr>
                <w:noProof w:val="0"/>
                <w:color w:val="FFFFFF"/>
              </w:rPr>
            </w:pPr>
            <w:r w:rsidRPr="00256982">
              <w:rPr>
                <w:noProof w:val="0"/>
                <w:color w:val="FFFFFF"/>
              </w:rPr>
              <w:t>IPCC categories</w:t>
            </w:r>
          </w:p>
        </w:tc>
        <w:tc>
          <w:tcPr>
            <w:tcW w:w="446" w:type="pct"/>
            <w:tcBorders>
              <w:top w:val="single" w:sz="4" w:space="0" w:color="365F91"/>
              <w:left w:val="nil"/>
              <w:bottom w:val="single" w:sz="4" w:space="0" w:color="365F91"/>
              <w:right w:val="nil"/>
            </w:tcBorders>
            <w:shd w:val="clear" w:color="000000" w:fill="365F91"/>
          </w:tcPr>
          <w:p w14:paraId="2FC60BAA" w14:textId="77777777" w:rsidR="00005A00" w:rsidRPr="00256982" w:rsidRDefault="00005A00" w:rsidP="00AA14F1">
            <w:pPr>
              <w:pStyle w:val="TableTextBold"/>
              <w:rPr>
                <w:noProof w:val="0"/>
                <w:color w:val="FFFFFF"/>
              </w:rPr>
            </w:pPr>
            <w:r w:rsidRPr="00256982">
              <w:rPr>
                <w:noProof w:val="0"/>
                <w:color w:val="FFFFFF"/>
              </w:rPr>
              <w:t>Gas</w:t>
            </w:r>
          </w:p>
        </w:tc>
        <w:tc>
          <w:tcPr>
            <w:tcW w:w="1397" w:type="pct"/>
            <w:tcBorders>
              <w:top w:val="single" w:sz="4" w:space="0" w:color="365F91"/>
              <w:left w:val="nil"/>
              <w:bottom w:val="single" w:sz="4" w:space="0" w:color="365F91"/>
              <w:right w:val="nil"/>
            </w:tcBorders>
            <w:shd w:val="clear" w:color="000000" w:fill="365F91"/>
          </w:tcPr>
          <w:p w14:paraId="5BBA482E" w14:textId="77777777" w:rsidR="00005A00" w:rsidRPr="00256982" w:rsidRDefault="00005A00" w:rsidP="00AA14F1">
            <w:pPr>
              <w:pStyle w:val="TableTextBold"/>
              <w:rPr>
                <w:noProof w:val="0"/>
                <w:color w:val="FFFFFF"/>
              </w:rPr>
            </w:pPr>
            <w:r w:rsidRPr="00256982">
              <w:rPr>
                <w:noProof w:val="0"/>
                <w:color w:val="FFFFFF"/>
              </w:rPr>
              <w:t>Criteria for identification</w:t>
            </w:r>
          </w:p>
        </w:tc>
      </w:tr>
      <w:tr w:rsidR="00005A00" w:rsidRPr="00256982" w14:paraId="055A13B9" w14:textId="77777777" w:rsidTr="002539EB">
        <w:tc>
          <w:tcPr>
            <w:tcW w:w="1282" w:type="pct"/>
            <w:tcBorders>
              <w:top w:val="single" w:sz="4" w:space="0" w:color="365F91"/>
            </w:tcBorders>
            <w:shd w:val="clear" w:color="auto" w:fill="FFFFFF"/>
          </w:tcPr>
          <w:p w14:paraId="2705DD34" w14:textId="77777777" w:rsidR="00005A00" w:rsidRPr="00256982" w:rsidRDefault="00005A00" w:rsidP="00AA14F1">
            <w:pPr>
              <w:pStyle w:val="TableText"/>
              <w:rPr>
                <w:highlight w:val="yellow"/>
              </w:rPr>
            </w:pPr>
            <w:r w:rsidRPr="00256982">
              <w:t>5.A</w:t>
            </w:r>
          </w:p>
        </w:tc>
        <w:tc>
          <w:tcPr>
            <w:tcW w:w="1875" w:type="pct"/>
            <w:tcBorders>
              <w:top w:val="single" w:sz="4" w:space="0" w:color="365F91"/>
            </w:tcBorders>
            <w:shd w:val="clear" w:color="auto" w:fill="FFFFFF"/>
          </w:tcPr>
          <w:p w14:paraId="2703D468" w14:textId="77777777" w:rsidR="00005A00" w:rsidRPr="00256982" w:rsidRDefault="00005A00" w:rsidP="00AA14F1">
            <w:pPr>
              <w:pStyle w:val="TableText"/>
              <w:rPr>
                <w:szCs w:val="16"/>
                <w:highlight w:val="yellow"/>
                <w:lang w:eastAsia="en-NZ"/>
              </w:rPr>
            </w:pPr>
            <w:r w:rsidRPr="00256982">
              <w:rPr>
                <w:szCs w:val="16"/>
                <w:lang w:eastAsia="en-NZ"/>
              </w:rPr>
              <w:t>Solid waste disposal</w:t>
            </w:r>
          </w:p>
        </w:tc>
        <w:tc>
          <w:tcPr>
            <w:tcW w:w="446" w:type="pct"/>
            <w:tcBorders>
              <w:top w:val="single" w:sz="4" w:space="0" w:color="365F91"/>
            </w:tcBorders>
            <w:shd w:val="clear" w:color="auto" w:fill="FFFFFF"/>
          </w:tcPr>
          <w:p w14:paraId="58F85C51" w14:textId="77777777" w:rsidR="00005A00" w:rsidRPr="00256982" w:rsidRDefault="00005A00" w:rsidP="00AA14F1">
            <w:pPr>
              <w:pStyle w:val="TableText"/>
              <w:jc w:val="center"/>
              <w:rPr>
                <w:szCs w:val="16"/>
                <w:lang w:eastAsia="en-NZ"/>
              </w:rPr>
            </w:pPr>
            <w:r w:rsidRPr="00256982">
              <w:rPr>
                <w:szCs w:val="16"/>
                <w:lang w:eastAsia="en-NZ"/>
              </w:rPr>
              <w:t>CH</w:t>
            </w:r>
            <w:r w:rsidRPr="00256982">
              <w:rPr>
                <w:szCs w:val="16"/>
                <w:vertAlign w:val="subscript"/>
                <w:lang w:eastAsia="en-NZ"/>
              </w:rPr>
              <w:t>4</w:t>
            </w:r>
          </w:p>
        </w:tc>
        <w:tc>
          <w:tcPr>
            <w:tcW w:w="1397" w:type="pct"/>
            <w:tcBorders>
              <w:top w:val="single" w:sz="4" w:space="0" w:color="365F91"/>
            </w:tcBorders>
            <w:shd w:val="clear" w:color="auto" w:fill="FFFFFF"/>
          </w:tcPr>
          <w:p w14:paraId="4AFA74A7" w14:textId="77777777" w:rsidR="00005A00" w:rsidRPr="00256982" w:rsidRDefault="00005A00" w:rsidP="00AA14F1">
            <w:pPr>
              <w:pStyle w:val="TableText"/>
              <w:rPr>
                <w:szCs w:val="16"/>
                <w:lang w:eastAsia="en-NZ"/>
              </w:rPr>
            </w:pPr>
            <w:r w:rsidRPr="00256982">
              <w:rPr>
                <w:szCs w:val="16"/>
                <w:lang w:eastAsia="en-NZ"/>
              </w:rPr>
              <w:t>L1, T1</w:t>
            </w:r>
          </w:p>
        </w:tc>
      </w:tr>
      <w:tr w:rsidR="00005A00" w:rsidRPr="00256982" w14:paraId="6874A75D" w14:textId="77777777" w:rsidTr="002539EB">
        <w:tc>
          <w:tcPr>
            <w:tcW w:w="1282" w:type="pct"/>
            <w:shd w:val="clear" w:color="auto" w:fill="FFFFFF"/>
          </w:tcPr>
          <w:p w14:paraId="6BB346A5" w14:textId="77777777" w:rsidR="00005A00" w:rsidRPr="00256982" w:rsidRDefault="00005A00" w:rsidP="00AA14F1">
            <w:pPr>
              <w:pStyle w:val="TableText"/>
              <w:rPr>
                <w:highlight w:val="yellow"/>
              </w:rPr>
            </w:pPr>
            <w:r w:rsidRPr="00256982">
              <w:t>5.D</w:t>
            </w:r>
          </w:p>
        </w:tc>
        <w:tc>
          <w:tcPr>
            <w:tcW w:w="1875" w:type="pct"/>
            <w:shd w:val="clear" w:color="auto" w:fill="FFFFFF"/>
          </w:tcPr>
          <w:p w14:paraId="57AA08BF" w14:textId="77777777" w:rsidR="00005A00" w:rsidRPr="00256982" w:rsidRDefault="00005A00" w:rsidP="00AA14F1">
            <w:pPr>
              <w:pStyle w:val="TableText"/>
              <w:rPr>
                <w:szCs w:val="16"/>
                <w:highlight w:val="yellow"/>
                <w:lang w:eastAsia="en-NZ"/>
              </w:rPr>
            </w:pPr>
            <w:r w:rsidRPr="00256982">
              <w:rPr>
                <w:szCs w:val="16"/>
                <w:lang w:eastAsia="en-NZ"/>
              </w:rPr>
              <w:t>Wastewater treatment and discharge</w:t>
            </w:r>
          </w:p>
        </w:tc>
        <w:tc>
          <w:tcPr>
            <w:tcW w:w="446" w:type="pct"/>
            <w:shd w:val="clear" w:color="auto" w:fill="FFFFFF"/>
          </w:tcPr>
          <w:p w14:paraId="311E7B4D" w14:textId="77777777" w:rsidR="00005A00" w:rsidRPr="00256982" w:rsidRDefault="00005A00" w:rsidP="00AA14F1">
            <w:pPr>
              <w:pStyle w:val="TableText"/>
              <w:jc w:val="center"/>
              <w:rPr>
                <w:szCs w:val="16"/>
                <w:highlight w:val="yellow"/>
                <w:lang w:eastAsia="en-NZ"/>
              </w:rPr>
            </w:pPr>
            <w:r w:rsidRPr="00256982">
              <w:rPr>
                <w:szCs w:val="16"/>
                <w:lang w:eastAsia="en-NZ"/>
              </w:rPr>
              <w:t>CH</w:t>
            </w:r>
            <w:r w:rsidRPr="00256982">
              <w:rPr>
                <w:szCs w:val="16"/>
                <w:vertAlign w:val="subscript"/>
                <w:lang w:eastAsia="en-NZ"/>
              </w:rPr>
              <w:t>4</w:t>
            </w:r>
          </w:p>
        </w:tc>
        <w:tc>
          <w:tcPr>
            <w:tcW w:w="1397" w:type="pct"/>
            <w:shd w:val="clear" w:color="auto" w:fill="FFFFFF"/>
          </w:tcPr>
          <w:p w14:paraId="796D12BC" w14:textId="77777777" w:rsidR="00005A00" w:rsidRPr="00256982" w:rsidRDefault="00005A00" w:rsidP="00AA14F1">
            <w:pPr>
              <w:pStyle w:val="TableText"/>
              <w:rPr>
                <w:szCs w:val="16"/>
                <w:lang w:eastAsia="en-NZ"/>
              </w:rPr>
            </w:pPr>
            <w:r w:rsidRPr="00256982">
              <w:rPr>
                <w:szCs w:val="16"/>
                <w:lang w:eastAsia="en-NZ"/>
              </w:rPr>
              <w:t>L1</w:t>
            </w:r>
          </w:p>
        </w:tc>
      </w:tr>
    </w:tbl>
    <w:p w14:paraId="5E45785E" w14:textId="77777777" w:rsidR="00005A00" w:rsidRPr="00256982" w:rsidRDefault="00005A00" w:rsidP="00005A00">
      <w:pPr>
        <w:pStyle w:val="Noteundertable"/>
      </w:pPr>
      <w:bookmarkStart w:id="2280" w:name="_Toc280630205"/>
      <w:r w:rsidRPr="00256982">
        <w:rPr>
          <w:b/>
        </w:rPr>
        <w:t>Note:</w:t>
      </w:r>
      <w:r w:rsidRPr="00256982">
        <w:t xml:space="preserve"> </w:t>
      </w:r>
      <w:r w:rsidRPr="00256982">
        <w:tab/>
        <w:t>L1 means a key category is identified under the level analysis – approach 1 and T1 is trend analysis – approach 1. See chapter 1 for more information.</w:t>
      </w:r>
    </w:p>
    <w:p w14:paraId="2A27A955" w14:textId="77777777" w:rsidR="00005A00" w:rsidRPr="00256982" w:rsidRDefault="00005A00" w:rsidP="00005A00">
      <w:pPr>
        <w:pStyle w:val="Heading3"/>
      </w:pPr>
      <w:r w:rsidRPr="00256982">
        <w:t>7.1.4</w:t>
      </w:r>
      <w:r w:rsidRPr="00256982">
        <w:tab/>
        <w:t xml:space="preserve">Methodological issues for </w:t>
      </w:r>
      <w:bookmarkEnd w:id="2271"/>
      <w:bookmarkEnd w:id="2272"/>
      <w:bookmarkEnd w:id="2273"/>
      <w:r w:rsidRPr="00256982">
        <w:t>the Waste sector</w:t>
      </w:r>
      <w:bookmarkEnd w:id="2280"/>
    </w:p>
    <w:p w14:paraId="4E97ED08" w14:textId="77777777" w:rsidR="00005A00" w:rsidRPr="00256982" w:rsidRDefault="00005A00" w:rsidP="00005A00">
      <w:pPr>
        <w:pStyle w:val="BodyText"/>
      </w:pPr>
      <w:r w:rsidRPr="00256982">
        <w:t xml:space="preserve">Activity data have come from a variety of sources. Municipal solid waste disposal data, from mandatory reporting under the Waste Minimisation Act 2008 and from the New Zealand Emissions Trading Scheme (NZ ETS), were used for the years for which they are available (2010 onwards). Activity data for all other sources were based on specific surveys. Interpolation based on gross domestic product (GDP) or population is used for other years. </w:t>
      </w:r>
    </w:p>
    <w:p w14:paraId="356D2CDD" w14:textId="77777777" w:rsidR="00005A00" w:rsidRPr="00256982" w:rsidRDefault="00005A00" w:rsidP="00005A00">
      <w:pPr>
        <w:pStyle w:val="BodyText"/>
      </w:pPr>
      <w:r w:rsidRPr="00256982">
        <w:t xml:space="preserve">New Zealand uses Tier 2 methodologies for estimating emissions from the </w:t>
      </w:r>
      <w:r w:rsidRPr="00256982">
        <w:rPr>
          <w:i/>
        </w:rPr>
        <w:t>Solid waste disposal</w:t>
      </w:r>
      <w:r w:rsidRPr="00256982">
        <w:t xml:space="preserve"> source category, which is a key category, and for some wastewater emissions. Tier 1 methods are used to estimate other emissions in the Waste sector.</w:t>
      </w:r>
    </w:p>
    <w:p w14:paraId="385EF5C6" w14:textId="77777777" w:rsidR="00005A00" w:rsidRPr="00256982" w:rsidRDefault="00005A00" w:rsidP="00005A00">
      <w:pPr>
        <w:pStyle w:val="BodyText"/>
        <w:rPr>
          <w:spacing w:val="-2"/>
        </w:rPr>
      </w:pPr>
      <w:r w:rsidRPr="00256982">
        <w:rPr>
          <w:spacing w:val="-2"/>
        </w:rPr>
        <w:t xml:space="preserve">Country-specific emission factors have been used where available, including parameters for municipal waste and for treatment of some types of industrial wastewater (Cardno, unpublished). </w:t>
      </w:r>
    </w:p>
    <w:p w14:paraId="2E077E74" w14:textId="77777777" w:rsidR="00005A00" w:rsidRPr="00256982" w:rsidRDefault="00005A00" w:rsidP="00005A00">
      <w:pPr>
        <w:pStyle w:val="BodyText"/>
      </w:pPr>
      <w:r w:rsidRPr="00256982">
        <w:t xml:space="preserve">Methodological issues are discussed under each source category in this chapter. </w:t>
      </w:r>
    </w:p>
    <w:p w14:paraId="708AF397" w14:textId="77777777" w:rsidR="00005A00" w:rsidRPr="00256982" w:rsidRDefault="00005A00" w:rsidP="00005A00">
      <w:pPr>
        <w:pStyle w:val="Heading3"/>
      </w:pPr>
      <w:r w:rsidRPr="00256982">
        <w:lastRenderedPageBreak/>
        <w:t>7.1.5</w:t>
      </w:r>
      <w:r w:rsidRPr="00256982">
        <w:tab/>
        <w:t>Uncertainties</w:t>
      </w:r>
    </w:p>
    <w:p w14:paraId="1DAFE4B0" w14:textId="77777777" w:rsidR="00005A00" w:rsidRPr="00256982" w:rsidRDefault="00005A00" w:rsidP="00005A00">
      <w:pPr>
        <w:pStyle w:val="BodyText"/>
      </w:pPr>
      <w:r w:rsidRPr="00256982">
        <w:t>The uncertainties for emission estimates are discussed under each category in this chapter. For most sources, they conform to default uncertainties in the 2006 Intergovernmental Panel on Climate Change (IPCC) Guidelines (IPCC, 2006a). Much higher uncertainties are reported for unmanaged waste, due to uncertainty in the activity data, and for indirect N</w:t>
      </w:r>
      <w:r w:rsidRPr="00256982">
        <w:rPr>
          <w:vertAlign w:val="subscript"/>
        </w:rPr>
        <w:t>2</w:t>
      </w:r>
      <w:r w:rsidRPr="00256982">
        <w:t xml:space="preserve">O emissions from wastewater going into rivers and sea water due to uncertainty in the emission factors. </w:t>
      </w:r>
    </w:p>
    <w:p w14:paraId="7FE4FF16" w14:textId="77777777" w:rsidR="00005A00" w:rsidRPr="00256982" w:rsidRDefault="00005A00" w:rsidP="00005A00">
      <w:pPr>
        <w:pStyle w:val="Heading3"/>
      </w:pPr>
      <w:r w:rsidRPr="00256982">
        <w:t>7.1.6</w:t>
      </w:r>
      <w:r w:rsidRPr="00256982">
        <w:tab/>
        <w:t>Verification</w:t>
      </w:r>
    </w:p>
    <w:p w14:paraId="0F1AF651" w14:textId="77777777" w:rsidR="00005A00" w:rsidRPr="00256982" w:rsidRDefault="00005A00" w:rsidP="00005A00">
      <w:pPr>
        <w:pStyle w:val="BodyText"/>
      </w:pPr>
      <w:r w:rsidRPr="00256982">
        <w:t>Where available, data from different sources were used for verification. Municipal landfills report their activity data annually under the requirements of the Waste Minimisation Act 2008 and, in addition, most now report activity data and estimated emissions as part of the NZ ETS. These data sources are used as primary sources or for verification, as appropriate.</w:t>
      </w:r>
    </w:p>
    <w:p w14:paraId="186836B4" w14:textId="77777777" w:rsidR="00005A00" w:rsidRPr="00256982" w:rsidRDefault="00005A00" w:rsidP="00005A00">
      <w:pPr>
        <w:pStyle w:val="BodyText"/>
      </w:pPr>
      <w:r w:rsidRPr="00256982">
        <w:t xml:space="preserve">Data on wastewater treatment have been obtained from surveys. </w:t>
      </w:r>
    </w:p>
    <w:p w14:paraId="7107507C" w14:textId="77777777" w:rsidR="00005A00" w:rsidRPr="00256982" w:rsidRDefault="00005A00" w:rsidP="00005A00">
      <w:pPr>
        <w:pStyle w:val="Heading3"/>
      </w:pPr>
      <w:r w:rsidRPr="00256982">
        <w:t>7.1.7</w:t>
      </w:r>
      <w:r w:rsidRPr="00256982">
        <w:tab/>
        <w:t>Recalculations and improvements</w:t>
      </w:r>
    </w:p>
    <w:p w14:paraId="40A78E9F" w14:textId="77777777" w:rsidR="00005A00" w:rsidRPr="00256982" w:rsidRDefault="00005A00" w:rsidP="00005A00">
      <w:pPr>
        <w:pStyle w:val="BodyText"/>
      </w:pPr>
      <w:r w:rsidRPr="00256982">
        <w:t>There have been numerous changes and improvements in the Waste sector resulting in recalculations for several categories. These improvements are a combination of planned improvements and responses to issues found during reviews of previous submissions. Due to these changes, emissions in the Waste sector have increased by 179.2 kt CO</w:t>
      </w:r>
      <w:r w:rsidRPr="00256982">
        <w:rPr>
          <w:vertAlign w:val="subscript"/>
        </w:rPr>
        <w:t>2</w:t>
      </w:r>
      <w:r w:rsidRPr="00256982">
        <w:t>-e (4.6 per cent) in 1990 and increased by 278.3 kt CO</w:t>
      </w:r>
      <w:r w:rsidRPr="00256982">
        <w:rPr>
          <w:vertAlign w:val="subscript"/>
        </w:rPr>
        <w:t>2</w:t>
      </w:r>
      <w:r w:rsidRPr="00256982">
        <w:t>-e (7.3 per cent) in 2016.</w:t>
      </w:r>
    </w:p>
    <w:p w14:paraId="7717410D" w14:textId="77777777" w:rsidR="00005A00" w:rsidRPr="00256982" w:rsidRDefault="00005A00" w:rsidP="00005A00">
      <w:pPr>
        <w:pStyle w:val="BodyText"/>
        <w:rPr>
          <w:spacing w:val="-2"/>
        </w:rPr>
      </w:pPr>
      <w:r w:rsidRPr="00256982">
        <w:rPr>
          <w:spacing w:val="-2"/>
        </w:rPr>
        <w:t xml:space="preserve">The most significant changes have been made to the </w:t>
      </w:r>
      <w:r w:rsidRPr="00256982">
        <w:rPr>
          <w:i/>
          <w:spacing w:val="-2"/>
        </w:rPr>
        <w:t>Managed waste disposal sites</w:t>
      </w:r>
      <w:r w:rsidRPr="00256982">
        <w:rPr>
          <w:spacing w:val="-2"/>
        </w:rPr>
        <w:t xml:space="preserve"> source category and have resulted in the largest recalculation for the waste sector. This has increased emissions by 252.6 kt CO</w:t>
      </w:r>
      <w:r w:rsidRPr="00256982">
        <w:rPr>
          <w:spacing w:val="-2"/>
          <w:vertAlign w:val="subscript"/>
        </w:rPr>
        <w:t>2</w:t>
      </w:r>
      <w:r w:rsidRPr="00256982">
        <w:rPr>
          <w:spacing w:val="-2"/>
        </w:rPr>
        <w:t>-e (20.8 per cent) in 1990 and increased by 301.0 kt CO</w:t>
      </w:r>
      <w:r w:rsidRPr="00256982">
        <w:rPr>
          <w:spacing w:val="-2"/>
          <w:vertAlign w:val="subscript"/>
        </w:rPr>
        <w:t>2</w:t>
      </w:r>
      <w:r w:rsidRPr="00256982">
        <w:rPr>
          <w:spacing w:val="-2"/>
        </w:rPr>
        <w:t>-e (27.8 per cent) in 2016. This change is largely due to a correction to emissions from landfills without landfill gas (LFG) collection, where an incorrect parameter was applied.</w:t>
      </w:r>
    </w:p>
    <w:p w14:paraId="52278103" w14:textId="77777777" w:rsidR="00005A00" w:rsidRPr="00256982" w:rsidRDefault="00005A00" w:rsidP="00005A00">
      <w:pPr>
        <w:pStyle w:val="BodyText"/>
      </w:pPr>
      <w:r w:rsidRPr="00256982">
        <w:t>In addition, several other improvements and corrections have been made to this and other categories in the Waste sector. Further details can be found under methodological issues for each source category and also in chapter 10.</w:t>
      </w:r>
    </w:p>
    <w:p w14:paraId="508D4281" w14:textId="77777777" w:rsidR="00005A00" w:rsidRPr="00256982" w:rsidRDefault="00005A00" w:rsidP="00005A00">
      <w:pPr>
        <w:pStyle w:val="Heading3"/>
      </w:pPr>
      <w:r w:rsidRPr="00256982">
        <w:t>7.1.8</w:t>
      </w:r>
      <w:r w:rsidRPr="00256982">
        <w:tab/>
        <w:t>Quality-assurance/quality-control (QA/QC) processes</w:t>
      </w:r>
    </w:p>
    <w:p w14:paraId="563D36B6" w14:textId="77777777" w:rsidR="00005A00" w:rsidRPr="00256982" w:rsidRDefault="00005A00" w:rsidP="00005A00">
      <w:pPr>
        <w:pStyle w:val="BodyText"/>
      </w:pPr>
      <w:r w:rsidRPr="00256982">
        <w:t>Figure 7.1.3 shows a flow diagram for data in the Waste sector, including quality-assurance and quality-control processes. Tier 1 quality checks were carried out on all data for key categories in this sector.</w:t>
      </w:r>
    </w:p>
    <w:p w14:paraId="0568DAE2" w14:textId="77777777" w:rsidR="00005A00" w:rsidRPr="00256982" w:rsidRDefault="00005A00" w:rsidP="00005A00">
      <w:pPr>
        <w:pStyle w:val="Figure"/>
      </w:pPr>
      <w:bookmarkStart w:id="2281" w:name="_Toc444001675"/>
      <w:bookmarkStart w:id="2282" w:name="_Toc447275719"/>
      <w:bookmarkStart w:id="2283" w:name="_Toc481752038"/>
      <w:bookmarkStart w:id="2284" w:name="_Toc511116989"/>
      <w:bookmarkStart w:id="2285" w:name="_Toc5269718"/>
      <w:r w:rsidRPr="00256982">
        <w:lastRenderedPageBreak/>
        <w:t xml:space="preserve">Figure 7.1.3 </w:t>
      </w:r>
      <w:r w:rsidRPr="00256982">
        <w:tab/>
        <w:t>Tier 1 quality checks for the Waste sector</w:t>
      </w:r>
      <w:bookmarkEnd w:id="2281"/>
      <w:bookmarkEnd w:id="2282"/>
      <w:bookmarkEnd w:id="2283"/>
      <w:bookmarkEnd w:id="2284"/>
      <w:bookmarkEnd w:id="2285"/>
    </w:p>
    <w:p w14:paraId="22A1BFC2" w14:textId="77777777" w:rsidR="00005A00" w:rsidRPr="00256982" w:rsidRDefault="00005A00" w:rsidP="00005A00">
      <w:pPr>
        <w:pStyle w:val="BodyText"/>
        <w:jc w:val="center"/>
      </w:pPr>
      <w:r w:rsidRPr="00256982">
        <w:object w:dxaOrig="9488" w:dyaOrig="8081" w14:anchorId="7FFA644D">
          <v:shape id="_x0000_i1150" type="#_x0000_t75" style="width:409.5pt;height:374.25pt" o:ole="">
            <v:imagedata r:id="rId221" o:title=""/>
          </v:shape>
          <o:OLEObject Type="Embed" ProgID="Visio.Drawing.11" ShapeID="_x0000_i1150" DrawAspect="Content" ObjectID="_1616241227" r:id="rId222"/>
        </w:object>
      </w:r>
    </w:p>
    <w:p w14:paraId="32463D09" w14:textId="77777777" w:rsidR="00005A00" w:rsidRPr="00256982" w:rsidRDefault="00005A00" w:rsidP="00005A00">
      <w:pPr>
        <w:pStyle w:val="Heading2"/>
      </w:pPr>
      <w:bookmarkStart w:id="2286" w:name="_Toc448321548"/>
      <w:bookmarkStart w:id="2287" w:name="_Toc481751410"/>
      <w:bookmarkStart w:id="2288" w:name="_Toc511116625"/>
      <w:bookmarkStart w:id="2289" w:name="_Toc5269387"/>
      <w:r w:rsidRPr="00256982">
        <w:t>7.2</w:t>
      </w:r>
      <w:r w:rsidRPr="00256982">
        <w:tab/>
        <w:t>Solid waste disposal (5.A)</w:t>
      </w:r>
      <w:bookmarkEnd w:id="2286"/>
      <w:bookmarkEnd w:id="2287"/>
      <w:bookmarkEnd w:id="2288"/>
      <w:bookmarkEnd w:id="2289"/>
    </w:p>
    <w:p w14:paraId="4BA047A7" w14:textId="77777777" w:rsidR="00005A00" w:rsidRPr="00256982" w:rsidRDefault="00005A00" w:rsidP="00005A00">
      <w:pPr>
        <w:pStyle w:val="Heading3"/>
        <w:spacing w:before="240"/>
      </w:pPr>
      <w:r w:rsidRPr="00256982">
        <w:t>7.2.1</w:t>
      </w:r>
      <w:r w:rsidRPr="00256982">
        <w:tab/>
        <w:t>Description</w:t>
      </w:r>
    </w:p>
    <w:p w14:paraId="5EE9B326" w14:textId="77777777" w:rsidR="00005A00" w:rsidRPr="00256982" w:rsidRDefault="00005A00" w:rsidP="00005A00">
      <w:pPr>
        <w:pStyle w:val="BodyText"/>
      </w:pPr>
      <w:r w:rsidRPr="00256982">
        <w:t xml:space="preserve">Household and industrial solid waste in New Zealand is disposed of almost exclusively to landfills. The three broad types of landfill sites in New Zealand are: </w:t>
      </w:r>
    </w:p>
    <w:p w14:paraId="468A9EB5" w14:textId="77777777" w:rsidR="00005A00" w:rsidRPr="00256982" w:rsidRDefault="00005A00" w:rsidP="00766AC8">
      <w:pPr>
        <w:numPr>
          <w:ilvl w:val="0"/>
          <w:numId w:val="29"/>
        </w:numPr>
        <w:spacing w:after="120"/>
        <w:ind w:left="397" w:hanging="397"/>
      </w:pPr>
      <w:r w:rsidRPr="00256982">
        <w:t>municipal landfills, which are used for disposal of household waste but may also accept industrial waste or other types of solid waste</w:t>
      </w:r>
    </w:p>
    <w:p w14:paraId="4EF760CB" w14:textId="77777777" w:rsidR="00005A00" w:rsidRPr="00256982" w:rsidRDefault="00005A00" w:rsidP="00766AC8">
      <w:pPr>
        <w:numPr>
          <w:ilvl w:val="0"/>
          <w:numId w:val="29"/>
        </w:numPr>
        <w:spacing w:after="120"/>
        <w:ind w:left="397" w:hanging="397"/>
      </w:pPr>
      <w:r w:rsidRPr="00256982">
        <w:t xml:space="preserve">non-municipal landfills or significant landfill sites that do not accept household waste. These include cleanfills (sites disposing of largely inert waste), industrial fills and sites that dispose of construction and demolition waste </w:t>
      </w:r>
    </w:p>
    <w:p w14:paraId="034919D3" w14:textId="77777777" w:rsidR="00005A00" w:rsidRPr="00256982" w:rsidRDefault="00005A00" w:rsidP="00766AC8">
      <w:pPr>
        <w:numPr>
          <w:ilvl w:val="0"/>
          <w:numId w:val="29"/>
        </w:numPr>
        <w:spacing w:after="120"/>
        <w:ind w:left="397" w:hanging="397"/>
      </w:pPr>
      <w:r w:rsidRPr="00256982">
        <w:t>farm fills, which are used for disposal of household and other on-farm waste to land; disposal of waste to land is prevalent on farms in New Zealand.</w:t>
      </w:r>
    </w:p>
    <w:p w14:paraId="26707178" w14:textId="77777777" w:rsidR="00005A00" w:rsidRPr="00256982" w:rsidRDefault="00005A00" w:rsidP="00005A00">
      <w:pPr>
        <w:pStyle w:val="BodyText"/>
      </w:pPr>
      <w:r w:rsidRPr="00256982">
        <w:t>These types of landfill sites map on to the CRF tables, as shown in table 7.2.1. All currently operational municipal landfill sites are managed sites (IPCC, 2006a) but some emissions also come from uncategorised municipal landfill sites, which were in operation before 2010.</w:t>
      </w:r>
    </w:p>
    <w:p w14:paraId="42BDDCD1" w14:textId="77777777" w:rsidR="00005A00" w:rsidRPr="00256982" w:rsidRDefault="00005A00" w:rsidP="00005A00">
      <w:pPr>
        <w:pStyle w:val="Table"/>
      </w:pPr>
      <w:bookmarkStart w:id="2290" w:name="_Toc444001617"/>
      <w:bookmarkStart w:id="2291" w:name="_Toc451176169"/>
      <w:bookmarkStart w:id="2292" w:name="_Toc481751599"/>
      <w:bookmarkStart w:id="2293" w:name="_Toc508019322"/>
      <w:bookmarkStart w:id="2294" w:name="_Toc511116820"/>
      <w:bookmarkStart w:id="2295" w:name="_Toc5269561"/>
      <w:r w:rsidRPr="00256982">
        <w:lastRenderedPageBreak/>
        <w:t xml:space="preserve">Table 7.2.1 </w:t>
      </w:r>
      <w:r w:rsidRPr="00256982">
        <w:tab/>
        <w:t>Landfill emissions in the common reporting format table</w:t>
      </w:r>
      <w:bookmarkEnd w:id="2290"/>
      <w:bookmarkEnd w:id="2291"/>
      <w:bookmarkEnd w:id="2292"/>
      <w:bookmarkEnd w:id="2293"/>
      <w:bookmarkEnd w:id="2294"/>
      <w:bookmarkEnd w:id="2295"/>
    </w:p>
    <w:tbl>
      <w:tblPr>
        <w:tblW w:w="8505" w:type="dxa"/>
        <w:tblInd w:w="108" w:type="dxa"/>
        <w:tblLook w:val="04A0" w:firstRow="1" w:lastRow="0" w:firstColumn="1" w:lastColumn="0" w:noHBand="0" w:noVBand="1"/>
      </w:tblPr>
      <w:tblGrid>
        <w:gridCol w:w="1843"/>
        <w:gridCol w:w="2268"/>
        <w:gridCol w:w="4394"/>
      </w:tblGrid>
      <w:tr w:rsidR="00005A00" w:rsidRPr="00256982" w14:paraId="7439E9E4" w14:textId="77777777" w:rsidTr="00AA14F1">
        <w:tc>
          <w:tcPr>
            <w:tcW w:w="1843" w:type="dxa"/>
            <w:tcBorders>
              <w:top w:val="single" w:sz="4" w:space="0" w:color="365F91"/>
              <w:bottom w:val="single" w:sz="4" w:space="0" w:color="365F91"/>
            </w:tcBorders>
            <w:shd w:val="clear" w:color="auto" w:fill="365F91"/>
          </w:tcPr>
          <w:p w14:paraId="08CD0EB4" w14:textId="77777777" w:rsidR="00005A00" w:rsidRPr="00256982" w:rsidRDefault="00005A00" w:rsidP="00AA14F1">
            <w:pPr>
              <w:pStyle w:val="TableTextBold"/>
              <w:keepNext/>
              <w:spacing w:before="50" w:after="50"/>
              <w:rPr>
                <w:noProof w:val="0"/>
                <w:color w:val="FFFFFF"/>
              </w:rPr>
            </w:pPr>
            <w:r w:rsidRPr="00256982">
              <w:rPr>
                <w:noProof w:val="0"/>
                <w:color w:val="FFFFFF"/>
              </w:rPr>
              <w:t>CRF category code</w:t>
            </w:r>
          </w:p>
        </w:tc>
        <w:tc>
          <w:tcPr>
            <w:tcW w:w="2268" w:type="dxa"/>
            <w:tcBorders>
              <w:top w:val="single" w:sz="4" w:space="0" w:color="365F91"/>
              <w:bottom w:val="single" w:sz="4" w:space="0" w:color="365F91"/>
            </w:tcBorders>
            <w:shd w:val="clear" w:color="auto" w:fill="365F91"/>
          </w:tcPr>
          <w:p w14:paraId="3DB9BB86" w14:textId="77777777" w:rsidR="00005A00" w:rsidRPr="00256982" w:rsidRDefault="00005A00" w:rsidP="00AA14F1">
            <w:pPr>
              <w:pStyle w:val="TableTextBold"/>
              <w:keepNext/>
              <w:spacing w:before="50" w:after="50"/>
              <w:rPr>
                <w:noProof w:val="0"/>
                <w:color w:val="FFFFFF"/>
              </w:rPr>
            </w:pPr>
            <w:r w:rsidRPr="00256982">
              <w:rPr>
                <w:noProof w:val="0"/>
                <w:color w:val="FFFFFF"/>
              </w:rPr>
              <w:t xml:space="preserve">Landfill type </w:t>
            </w:r>
          </w:p>
        </w:tc>
        <w:tc>
          <w:tcPr>
            <w:tcW w:w="4394" w:type="dxa"/>
            <w:tcBorders>
              <w:top w:val="single" w:sz="4" w:space="0" w:color="365F91"/>
              <w:bottom w:val="single" w:sz="4" w:space="0" w:color="365F91"/>
            </w:tcBorders>
            <w:shd w:val="clear" w:color="auto" w:fill="365F91"/>
          </w:tcPr>
          <w:p w14:paraId="195BDCFF" w14:textId="77777777" w:rsidR="00005A00" w:rsidRPr="00256982" w:rsidRDefault="00005A00" w:rsidP="00AA14F1">
            <w:pPr>
              <w:pStyle w:val="TableTextBold"/>
              <w:keepNext/>
              <w:spacing w:before="50" w:after="50"/>
              <w:rPr>
                <w:noProof w:val="0"/>
                <w:color w:val="FFFFFF"/>
              </w:rPr>
            </w:pPr>
            <w:r w:rsidRPr="00256982">
              <w:rPr>
                <w:noProof w:val="0"/>
                <w:color w:val="FFFFFF"/>
              </w:rPr>
              <w:t>Comment</w:t>
            </w:r>
          </w:p>
        </w:tc>
      </w:tr>
      <w:tr w:rsidR="00005A00" w:rsidRPr="00256982" w14:paraId="053F9472" w14:textId="77777777" w:rsidTr="00AA14F1">
        <w:tc>
          <w:tcPr>
            <w:tcW w:w="1843" w:type="dxa"/>
            <w:tcBorders>
              <w:top w:val="single" w:sz="4" w:space="0" w:color="365F91"/>
              <w:bottom w:val="single" w:sz="4" w:space="0" w:color="365F91"/>
            </w:tcBorders>
          </w:tcPr>
          <w:p w14:paraId="6CCEC610" w14:textId="77777777" w:rsidR="00005A00" w:rsidRPr="00256982" w:rsidRDefault="00005A00" w:rsidP="00AA14F1">
            <w:pPr>
              <w:pStyle w:val="TableText"/>
              <w:keepNext/>
              <w:spacing w:before="50" w:after="50"/>
            </w:pPr>
            <w:r w:rsidRPr="00256982">
              <w:t>5.A.1.a (Anaerobic)</w:t>
            </w:r>
          </w:p>
        </w:tc>
        <w:tc>
          <w:tcPr>
            <w:tcW w:w="2268" w:type="dxa"/>
            <w:tcBorders>
              <w:top w:val="single" w:sz="4" w:space="0" w:color="365F91"/>
              <w:bottom w:val="single" w:sz="4" w:space="0" w:color="365F91"/>
            </w:tcBorders>
          </w:tcPr>
          <w:p w14:paraId="539145ED" w14:textId="77777777" w:rsidR="00005A00" w:rsidRPr="00256982" w:rsidRDefault="00005A00" w:rsidP="00AA14F1">
            <w:pPr>
              <w:pStyle w:val="TableText"/>
              <w:keepNext/>
              <w:spacing w:before="50" w:after="50"/>
            </w:pPr>
            <w:r w:rsidRPr="00256982">
              <w:t>Managed municipal landfills</w:t>
            </w:r>
          </w:p>
        </w:tc>
        <w:tc>
          <w:tcPr>
            <w:tcW w:w="4394" w:type="dxa"/>
            <w:tcBorders>
              <w:top w:val="single" w:sz="4" w:space="0" w:color="365F91"/>
              <w:bottom w:val="single" w:sz="4" w:space="0" w:color="365F91"/>
            </w:tcBorders>
          </w:tcPr>
          <w:p w14:paraId="07348784" w14:textId="77777777" w:rsidR="00005A00" w:rsidRPr="00256982" w:rsidRDefault="00005A00" w:rsidP="00AA14F1">
            <w:pPr>
              <w:pStyle w:val="TableText"/>
              <w:keepNext/>
              <w:spacing w:before="50" w:after="50"/>
              <w:rPr>
                <w:rFonts w:cs="Arial"/>
                <w:szCs w:val="16"/>
              </w:rPr>
            </w:pPr>
            <w:r w:rsidRPr="00256982">
              <w:rPr>
                <w:rFonts w:cs="Arial"/>
                <w:szCs w:val="16"/>
              </w:rPr>
              <w:t>Includes all currently operational municipal landfill sites and all sites with gas recovery</w:t>
            </w:r>
          </w:p>
        </w:tc>
      </w:tr>
      <w:tr w:rsidR="00005A00" w:rsidRPr="00256982" w14:paraId="2484A282" w14:textId="77777777" w:rsidTr="00AA14F1">
        <w:tc>
          <w:tcPr>
            <w:tcW w:w="1843" w:type="dxa"/>
            <w:tcBorders>
              <w:top w:val="single" w:sz="4" w:space="0" w:color="365F91"/>
              <w:bottom w:val="single" w:sz="4" w:space="0" w:color="365F91"/>
            </w:tcBorders>
          </w:tcPr>
          <w:p w14:paraId="732E8372" w14:textId="77777777" w:rsidR="00005A00" w:rsidRPr="00256982" w:rsidRDefault="00005A00" w:rsidP="00AA14F1">
            <w:pPr>
              <w:pStyle w:val="TableText"/>
              <w:spacing w:before="50" w:after="50"/>
            </w:pPr>
            <w:r w:rsidRPr="00256982">
              <w:t>5.A.1.b (Semi-aerobic)</w:t>
            </w:r>
          </w:p>
        </w:tc>
        <w:tc>
          <w:tcPr>
            <w:tcW w:w="2268" w:type="dxa"/>
            <w:tcBorders>
              <w:top w:val="single" w:sz="4" w:space="0" w:color="365F91"/>
              <w:bottom w:val="single" w:sz="4" w:space="0" w:color="365F91"/>
            </w:tcBorders>
          </w:tcPr>
          <w:p w14:paraId="5A75A8CB" w14:textId="77777777" w:rsidR="00005A00" w:rsidRPr="00256982" w:rsidRDefault="00005A00" w:rsidP="00AA14F1">
            <w:pPr>
              <w:pStyle w:val="TableText"/>
              <w:spacing w:before="50" w:after="50"/>
            </w:pPr>
            <w:r w:rsidRPr="00256982">
              <w:t>–</w:t>
            </w:r>
          </w:p>
        </w:tc>
        <w:tc>
          <w:tcPr>
            <w:tcW w:w="4394" w:type="dxa"/>
            <w:tcBorders>
              <w:top w:val="single" w:sz="4" w:space="0" w:color="365F91"/>
              <w:bottom w:val="single" w:sz="4" w:space="0" w:color="365F91"/>
            </w:tcBorders>
          </w:tcPr>
          <w:p w14:paraId="6ED961AA" w14:textId="77777777" w:rsidR="00005A00" w:rsidRPr="00256982" w:rsidRDefault="00005A00" w:rsidP="00AA14F1">
            <w:pPr>
              <w:pStyle w:val="TableText"/>
              <w:spacing w:before="50" w:after="50"/>
              <w:rPr>
                <w:rFonts w:cs="Arial"/>
                <w:szCs w:val="16"/>
              </w:rPr>
            </w:pPr>
            <w:r w:rsidRPr="00256982">
              <w:rPr>
                <w:rFonts w:cs="Arial"/>
                <w:szCs w:val="16"/>
              </w:rPr>
              <w:t>No semi-aerobic landfill sites identified in New Zealand</w:t>
            </w:r>
          </w:p>
        </w:tc>
      </w:tr>
      <w:tr w:rsidR="00005A00" w:rsidRPr="00256982" w14:paraId="351D9C34" w14:textId="77777777" w:rsidTr="00AA14F1">
        <w:tc>
          <w:tcPr>
            <w:tcW w:w="1843" w:type="dxa"/>
            <w:tcBorders>
              <w:top w:val="single" w:sz="4" w:space="0" w:color="365F91"/>
              <w:bottom w:val="single" w:sz="4" w:space="0" w:color="365F91"/>
            </w:tcBorders>
          </w:tcPr>
          <w:p w14:paraId="0F5B1080" w14:textId="77777777" w:rsidR="00005A00" w:rsidRPr="00256982" w:rsidRDefault="00005A00" w:rsidP="00AA14F1">
            <w:pPr>
              <w:pStyle w:val="TableText"/>
              <w:spacing w:before="50" w:after="50"/>
              <w:rPr>
                <w:rFonts w:cs="Arial"/>
                <w:szCs w:val="16"/>
              </w:rPr>
            </w:pPr>
            <w:r w:rsidRPr="00256982">
              <w:t>5.A.2 (Unmanaged)</w:t>
            </w:r>
          </w:p>
        </w:tc>
        <w:tc>
          <w:tcPr>
            <w:tcW w:w="2268" w:type="dxa"/>
            <w:tcBorders>
              <w:top w:val="single" w:sz="4" w:space="0" w:color="365F91"/>
              <w:bottom w:val="single" w:sz="4" w:space="0" w:color="365F91"/>
            </w:tcBorders>
          </w:tcPr>
          <w:p w14:paraId="3394A59D" w14:textId="77777777" w:rsidR="00005A00" w:rsidRPr="00256982" w:rsidRDefault="00005A00" w:rsidP="00AA14F1">
            <w:pPr>
              <w:pStyle w:val="TableText"/>
              <w:spacing w:before="50" w:after="50"/>
            </w:pPr>
            <w:r w:rsidRPr="00256982">
              <w:rPr>
                <w:rFonts w:cs="Arial"/>
                <w:szCs w:val="16"/>
              </w:rPr>
              <w:t>Non-municipal landfills</w:t>
            </w:r>
          </w:p>
        </w:tc>
        <w:tc>
          <w:tcPr>
            <w:tcW w:w="4394" w:type="dxa"/>
            <w:tcBorders>
              <w:top w:val="single" w:sz="4" w:space="0" w:color="365F91"/>
              <w:bottom w:val="single" w:sz="4" w:space="0" w:color="365F91"/>
            </w:tcBorders>
          </w:tcPr>
          <w:p w14:paraId="68A24AD4" w14:textId="77777777" w:rsidR="00005A00" w:rsidRPr="00256982" w:rsidRDefault="00005A00" w:rsidP="00AA14F1">
            <w:pPr>
              <w:pStyle w:val="TableText"/>
              <w:spacing w:before="50" w:after="50"/>
              <w:rPr>
                <w:rFonts w:cs="Arial"/>
                <w:szCs w:val="16"/>
              </w:rPr>
            </w:pPr>
            <w:r w:rsidRPr="00256982">
              <w:rPr>
                <w:rFonts w:cs="Arial"/>
                <w:szCs w:val="16"/>
              </w:rPr>
              <w:t>Includes industrial landfills</w:t>
            </w:r>
          </w:p>
        </w:tc>
      </w:tr>
      <w:tr w:rsidR="00005A00" w:rsidRPr="00256982" w14:paraId="6075B03F" w14:textId="77777777" w:rsidTr="00AA14F1">
        <w:tc>
          <w:tcPr>
            <w:tcW w:w="1843" w:type="dxa"/>
            <w:tcBorders>
              <w:top w:val="single" w:sz="4" w:space="0" w:color="365F91"/>
              <w:bottom w:val="single" w:sz="4" w:space="0" w:color="365F91"/>
            </w:tcBorders>
          </w:tcPr>
          <w:p w14:paraId="4BFE5407" w14:textId="77777777" w:rsidR="00005A00" w:rsidRPr="00256982" w:rsidRDefault="00005A00" w:rsidP="00AA14F1">
            <w:pPr>
              <w:pStyle w:val="TableText"/>
              <w:spacing w:before="50" w:after="50"/>
              <w:rPr>
                <w:rFonts w:cs="Arial"/>
                <w:szCs w:val="16"/>
              </w:rPr>
            </w:pPr>
            <w:r w:rsidRPr="00256982">
              <w:t>5.A.2 (Unmanaged)</w:t>
            </w:r>
          </w:p>
        </w:tc>
        <w:tc>
          <w:tcPr>
            <w:tcW w:w="2268" w:type="dxa"/>
            <w:tcBorders>
              <w:top w:val="single" w:sz="4" w:space="0" w:color="365F91"/>
              <w:bottom w:val="single" w:sz="4" w:space="0" w:color="365F91"/>
            </w:tcBorders>
          </w:tcPr>
          <w:p w14:paraId="76EA61E9" w14:textId="77777777" w:rsidR="00005A00" w:rsidRPr="00256982" w:rsidRDefault="00005A00" w:rsidP="00AA14F1">
            <w:pPr>
              <w:pStyle w:val="TableText"/>
              <w:spacing w:before="50" w:after="50"/>
              <w:rPr>
                <w:rFonts w:cs="Arial"/>
                <w:szCs w:val="16"/>
              </w:rPr>
            </w:pPr>
            <w:r w:rsidRPr="00256982">
              <w:rPr>
                <w:rFonts w:cs="Arial"/>
                <w:szCs w:val="16"/>
              </w:rPr>
              <w:t>Farm fills</w:t>
            </w:r>
          </w:p>
        </w:tc>
        <w:tc>
          <w:tcPr>
            <w:tcW w:w="4394" w:type="dxa"/>
            <w:tcBorders>
              <w:top w:val="single" w:sz="4" w:space="0" w:color="365F91"/>
              <w:bottom w:val="single" w:sz="4" w:space="0" w:color="365F91"/>
            </w:tcBorders>
          </w:tcPr>
          <w:p w14:paraId="18BB31E4" w14:textId="77777777" w:rsidR="00005A00" w:rsidRPr="00256982" w:rsidRDefault="00005A00" w:rsidP="00AA14F1">
            <w:pPr>
              <w:pStyle w:val="TableText"/>
              <w:spacing w:before="50" w:after="50"/>
              <w:rPr>
                <w:rFonts w:cs="Arial"/>
                <w:szCs w:val="16"/>
                <w:highlight w:val="yellow"/>
              </w:rPr>
            </w:pPr>
            <w:r w:rsidRPr="00256982">
              <w:rPr>
                <w:rFonts w:cs="Arial"/>
                <w:szCs w:val="16"/>
              </w:rPr>
              <w:t>Disposal of waste on farms</w:t>
            </w:r>
          </w:p>
        </w:tc>
      </w:tr>
      <w:tr w:rsidR="00005A00" w:rsidRPr="00256982" w14:paraId="4E8911BB" w14:textId="77777777" w:rsidTr="00AA14F1">
        <w:tc>
          <w:tcPr>
            <w:tcW w:w="1843" w:type="dxa"/>
            <w:tcBorders>
              <w:top w:val="single" w:sz="4" w:space="0" w:color="365F91"/>
              <w:bottom w:val="single" w:sz="4" w:space="0" w:color="365F91"/>
            </w:tcBorders>
          </w:tcPr>
          <w:p w14:paraId="1DF7587A" w14:textId="77777777" w:rsidR="00005A00" w:rsidRPr="00256982" w:rsidRDefault="00005A00" w:rsidP="00AA14F1">
            <w:pPr>
              <w:pStyle w:val="TableText"/>
              <w:spacing w:before="50" w:after="50"/>
            </w:pPr>
            <w:r w:rsidRPr="00256982">
              <w:t>5.A.3 (Uncategorised)</w:t>
            </w:r>
          </w:p>
        </w:tc>
        <w:tc>
          <w:tcPr>
            <w:tcW w:w="2268" w:type="dxa"/>
            <w:tcBorders>
              <w:top w:val="single" w:sz="4" w:space="0" w:color="365F91"/>
              <w:bottom w:val="single" w:sz="4" w:space="0" w:color="365F91"/>
            </w:tcBorders>
          </w:tcPr>
          <w:p w14:paraId="3509EFE7" w14:textId="77777777" w:rsidR="00005A00" w:rsidRPr="00256982" w:rsidRDefault="00005A00" w:rsidP="00AA14F1">
            <w:pPr>
              <w:pStyle w:val="TableText"/>
              <w:spacing w:before="50" w:after="50"/>
            </w:pPr>
            <w:r w:rsidRPr="00256982">
              <w:t>Other municipal landfills</w:t>
            </w:r>
          </w:p>
        </w:tc>
        <w:tc>
          <w:tcPr>
            <w:tcW w:w="4394" w:type="dxa"/>
            <w:tcBorders>
              <w:top w:val="single" w:sz="4" w:space="0" w:color="365F91"/>
              <w:bottom w:val="single" w:sz="4" w:space="0" w:color="365F91"/>
            </w:tcBorders>
          </w:tcPr>
          <w:p w14:paraId="59453181" w14:textId="77777777" w:rsidR="00005A00" w:rsidRPr="00256982" w:rsidRDefault="00005A00" w:rsidP="00AA14F1">
            <w:pPr>
              <w:pStyle w:val="TableText"/>
              <w:spacing w:before="50" w:after="50"/>
            </w:pPr>
            <w:r w:rsidRPr="00256982">
              <w:t>Prior to 2010 only</w:t>
            </w:r>
          </w:p>
        </w:tc>
      </w:tr>
    </w:tbl>
    <w:p w14:paraId="7B7A140A" w14:textId="77777777" w:rsidR="00005A00" w:rsidRPr="00256982" w:rsidRDefault="00005A00" w:rsidP="00005A00">
      <w:pPr>
        <w:pStyle w:val="BodyText"/>
        <w:spacing w:before="240"/>
      </w:pPr>
      <w:r w:rsidRPr="00256982">
        <w:t xml:space="preserve">Since 1990, there have been a number of initiatives to improve solid waste management practices in New Zealand. These include: </w:t>
      </w:r>
    </w:p>
    <w:p w14:paraId="155FAD0F" w14:textId="77777777" w:rsidR="00005A00" w:rsidRPr="00256982" w:rsidRDefault="00005A00" w:rsidP="002539EB">
      <w:pPr>
        <w:pStyle w:val="Bullet"/>
      </w:pPr>
      <w:r w:rsidRPr="00256982">
        <w:t>requirements for all landfills to meet resource consent conditions set under the Resource Management Act 1991</w:t>
      </w:r>
    </w:p>
    <w:p w14:paraId="127EE1CF" w14:textId="77777777" w:rsidR="00005A00" w:rsidRPr="00256982" w:rsidRDefault="00005A00" w:rsidP="00005A00">
      <w:pPr>
        <w:pStyle w:val="Bullet"/>
        <w:numPr>
          <w:ilvl w:val="0"/>
          <w:numId w:val="8"/>
        </w:numPr>
      </w:pPr>
      <w:r w:rsidRPr="00256982">
        <w:t>the National Environmental Standards for Air Quality (2004) set under the Resource Management Act 1991, which require large landfills to capture landfill gas. This has significantly increased the use of LFG collection technology</w:t>
      </w:r>
    </w:p>
    <w:p w14:paraId="28A96F02" w14:textId="77777777" w:rsidR="00005A00" w:rsidRPr="00256982" w:rsidRDefault="00005A00" w:rsidP="00005A00">
      <w:pPr>
        <w:pStyle w:val="Bullet"/>
        <w:numPr>
          <w:ilvl w:val="0"/>
          <w:numId w:val="8"/>
        </w:numPr>
      </w:pPr>
      <w:r w:rsidRPr="00256982">
        <w:t xml:space="preserve">guidance and direction to local government and the Waste sector through </w:t>
      </w:r>
      <w:r w:rsidRPr="00256982">
        <w:rPr>
          <w:i/>
        </w:rPr>
        <w:t>The</w:t>
      </w:r>
      <w:r w:rsidRPr="00256982">
        <w:t xml:space="preserve"> </w:t>
      </w:r>
      <w:r w:rsidRPr="00256982">
        <w:rPr>
          <w:i/>
        </w:rPr>
        <w:t>New Zealand Waste Strategy</w:t>
      </w:r>
      <w:r w:rsidRPr="00256982">
        <w:t xml:space="preserve"> (Ministry for the Environment, 2002a) and its revision in 2010 (Ministry for the Environment, 2010)</w:t>
      </w:r>
    </w:p>
    <w:p w14:paraId="07146B09" w14:textId="77777777" w:rsidR="00005A00" w:rsidRPr="00256982" w:rsidRDefault="00005A00" w:rsidP="00005A00">
      <w:pPr>
        <w:pStyle w:val="Bullet"/>
        <w:numPr>
          <w:ilvl w:val="0"/>
          <w:numId w:val="8"/>
        </w:numPr>
      </w:pPr>
      <w:r w:rsidRPr="00256982">
        <w:t xml:space="preserve">development of the </w:t>
      </w:r>
      <w:r w:rsidRPr="00256982">
        <w:rPr>
          <w:i/>
        </w:rPr>
        <w:t>Solid Waste Analysis Protocol</w:t>
      </w:r>
      <w:r w:rsidRPr="00256982">
        <w:t>, which provides a consistent classification system, sampling regimes and survey procedures to estimate the composition of solid waste (Ministry for the Environment, 2002b)</w:t>
      </w:r>
    </w:p>
    <w:p w14:paraId="355ADA70" w14:textId="77777777" w:rsidR="00005A00" w:rsidRPr="00256982" w:rsidRDefault="00005A00" w:rsidP="00005A00">
      <w:pPr>
        <w:pStyle w:val="Bullet"/>
        <w:numPr>
          <w:ilvl w:val="0"/>
          <w:numId w:val="8"/>
        </w:numPr>
      </w:pPr>
      <w:r w:rsidRPr="00256982">
        <w:t>the Waste Minimisation Act 2008, which imposes a levy of NZ$10 per tonne of municipal solid waste and enables regulations to establish product stewardship requirements and for information reporting.</w:t>
      </w:r>
    </w:p>
    <w:p w14:paraId="797ACDEE" w14:textId="77777777" w:rsidR="00005A00" w:rsidRPr="00256982" w:rsidRDefault="00005A00" w:rsidP="00005A00">
      <w:pPr>
        <w:pStyle w:val="BodyText"/>
      </w:pPr>
      <w:r w:rsidRPr="00256982">
        <w:t>In addition, most municipal landfills are now mandatory participants in the NZ ETS with obligations to report and surrender emission units for their CH</w:t>
      </w:r>
      <w:r w:rsidRPr="00256982">
        <w:rPr>
          <w:vertAlign w:val="subscript"/>
        </w:rPr>
        <w:t>4</w:t>
      </w:r>
      <w:r w:rsidRPr="00256982">
        <w:t xml:space="preserve"> emissions.</w:t>
      </w:r>
    </w:p>
    <w:p w14:paraId="773B1C18" w14:textId="77777777" w:rsidR="00005A00" w:rsidRPr="00256982" w:rsidRDefault="00005A00" w:rsidP="00005A00">
      <w:pPr>
        <w:pStyle w:val="BodyText"/>
      </w:pPr>
      <w:r w:rsidRPr="00256982">
        <w:t>These initiatives have contributed to substantial improvements in waste management since 1990. A large number of small, often poorly located and substandard municipal landfills have been closed, and most communities are now using larger, more modern regional facilities for disposal of their waste. There are now 39 significant municipal landfill sites, in comparison with 327 in 1995 and 563 in 1971.</w:t>
      </w:r>
    </w:p>
    <w:p w14:paraId="31B1AFA5" w14:textId="77777777" w:rsidR="00005A00" w:rsidRPr="00256982" w:rsidRDefault="00005A00" w:rsidP="00005A00">
      <w:pPr>
        <w:pStyle w:val="BodyText"/>
      </w:pPr>
      <w:r w:rsidRPr="00256982">
        <w:t>Non-municipal landfills and farm fills are also required to comply with regional policies and plans made under the Resource Management Act 1991. However, these facilities are not currently required to monitor and report the waste they accept, to pay the waste levy, or to participate in the NZ ETS.</w:t>
      </w:r>
    </w:p>
    <w:p w14:paraId="08AC0837" w14:textId="77777777" w:rsidR="00005A00" w:rsidRPr="00256982" w:rsidRDefault="00005A00" w:rsidP="00005A00">
      <w:pPr>
        <w:pStyle w:val="BodyText"/>
      </w:pPr>
      <w:r w:rsidRPr="00256982">
        <w:t xml:space="preserve">In 2017, the </w:t>
      </w:r>
      <w:r w:rsidRPr="00256982">
        <w:rPr>
          <w:i/>
        </w:rPr>
        <w:t>Solid waste disposal</w:t>
      </w:r>
      <w:r w:rsidRPr="00256982">
        <w:t xml:space="preserve"> source category contributed 3,724.5 kt CO</w:t>
      </w:r>
      <w:r w:rsidRPr="00256982">
        <w:rPr>
          <w:vertAlign w:val="subscript"/>
        </w:rPr>
        <w:t>2</w:t>
      </w:r>
      <w:r w:rsidRPr="00256982">
        <w:t xml:space="preserve">-e (90.3 per cent) of total emissions from the Waste sector. Emissions from </w:t>
      </w:r>
      <w:r w:rsidRPr="00256982">
        <w:rPr>
          <w:i/>
        </w:rPr>
        <w:t>Solid waste disposal</w:t>
      </w:r>
      <w:r w:rsidRPr="00256982">
        <w:t xml:space="preserve"> in 2017 were 13.1 kt CO</w:t>
      </w:r>
      <w:r w:rsidRPr="00256982">
        <w:rPr>
          <w:vertAlign w:val="subscript"/>
        </w:rPr>
        <w:t>2</w:t>
      </w:r>
      <w:r w:rsidRPr="00256982">
        <w:t>-e (0.4 per cent) above the 1990 level of 3,711.3 kt CO</w:t>
      </w:r>
      <w:r w:rsidRPr="00256982">
        <w:rPr>
          <w:vertAlign w:val="subscript"/>
        </w:rPr>
        <w:t>2</w:t>
      </w:r>
      <w:r w:rsidRPr="00256982">
        <w:t>-e. While there is year to year variation, this net increase is the result of two contrary trends. First, population and economic growth have driven ongoing increases in the amount of municipal waste generated but, secondly, improved landfill management practices, particularly LFG recovery, have offset this increase, resulting in emissions peaking in 2005.</w:t>
      </w:r>
    </w:p>
    <w:p w14:paraId="4AC3CD18" w14:textId="77777777" w:rsidR="00005A00" w:rsidRPr="00256982" w:rsidRDefault="00005A00" w:rsidP="00005A00">
      <w:pPr>
        <w:pStyle w:val="BodyText"/>
      </w:pPr>
      <w:r w:rsidRPr="00256982">
        <w:t xml:space="preserve">Methane emissions from </w:t>
      </w:r>
      <w:r w:rsidRPr="00256982">
        <w:rPr>
          <w:i/>
        </w:rPr>
        <w:t>Solid waste disposal</w:t>
      </w:r>
      <w:r w:rsidRPr="00256982">
        <w:t xml:space="preserve"> were identified as a key category in the 2017 level assessment and trend assessment.</w:t>
      </w:r>
    </w:p>
    <w:p w14:paraId="549FE483" w14:textId="77777777" w:rsidR="00005A00" w:rsidRPr="00256982" w:rsidRDefault="00005A00" w:rsidP="00005A00">
      <w:pPr>
        <w:pStyle w:val="Heading3"/>
      </w:pPr>
      <w:r w:rsidRPr="00256982">
        <w:lastRenderedPageBreak/>
        <w:t>7.2.2</w:t>
      </w:r>
      <w:r w:rsidRPr="00256982">
        <w:tab/>
        <w:t xml:space="preserve">Methodological issues </w:t>
      </w:r>
    </w:p>
    <w:p w14:paraId="150E6AC8" w14:textId="77777777" w:rsidR="00005A00" w:rsidRPr="00256982" w:rsidRDefault="00005A00" w:rsidP="00005A00">
      <w:pPr>
        <w:pStyle w:val="Heading4"/>
        <w:tabs>
          <w:tab w:val="left" w:pos="851"/>
        </w:tabs>
      </w:pPr>
      <w:r w:rsidRPr="00256982">
        <w:t>Choice of activity data</w:t>
      </w:r>
    </w:p>
    <w:p w14:paraId="6523316D" w14:textId="77777777" w:rsidR="00005A00" w:rsidRPr="00256982" w:rsidRDefault="00005A00" w:rsidP="00005A00">
      <w:pPr>
        <w:pStyle w:val="Heading5"/>
        <w:spacing w:before="160"/>
      </w:pPr>
      <w:r w:rsidRPr="00256982">
        <w:t>Municipal landfills (5.A.1.a and 5.A.3)</w:t>
      </w:r>
    </w:p>
    <w:p w14:paraId="122C1A56" w14:textId="77777777" w:rsidR="00005A00" w:rsidRPr="00256982" w:rsidRDefault="00005A00" w:rsidP="00005A00">
      <w:pPr>
        <w:pStyle w:val="BodyText"/>
        <w:spacing w:after="100"/>
      </w:pPr>
      <w:r w:rsidRPr="00256982">
        <w:t xml:space="preserve">Annual total waste placement to all municipal landfills has been estimated based on: </w:t>
      </w:r>
    </w:p>
    <w:p w14:paraId="40FB12C2" w14:textId="77777777" w:rsidR="00005A00" w:rsidRPr="00256982" w:rsidRDefault="00005A00" w:rsidP="00005A00">
      <w:pPr>
        <w:pStyle w:val="Bullet"/>
        <w:numPr>
          <w:ilvl w:val="0"/>
          <w:numId w:val="8"/>
        </w:numPr>
        <w:spacing w:after="100"/>
      </w:pPr>
      <w:r w:rsidRPr="00256982">
        <w:t>back-casting from a 1982 national survey, using real (inflation-adjusted) GDP, for the years before 1982</w:t>
      </w:r>
    </w:p>
    <w:p w14:paraId="7B0B7B2F" w14:textId="77777777" w:rsidR="00005A00" w:rsidRPr="00256982" w:rsidRDefault="00005A00" w:rsidP="00005A00">
      <w:pPr>
        <w:pStyle w:val="Bullet"/>
        <w:numPr>
          <w:ilvl w:val="0"/>
          <w:numId w:val="8"/>
        </w:numPr>
        <w:spacing w:after="100"/>
      </w:pPr>
      <w:r w:rsidRPr="00256982">
        <w:t>national surveys carried out for the years 1982, 1995, 1998, 2002 and 2006</w:t>
      </w:r>
    </w:p>
    <w:p w14:paraId="0281AAB2" w14:textId="77777777" w:rsidR="00005A00" w:rsidRPr="00256982" w:rsidRDefault="00005A00" w:rsidP="00005A00">
      <w:pPr>
        <w:pStyle w:val="Bullet"/>
        <w:numPr>
          <w:ilvl w:val="0"/>
          <w:numId w:val="8"/>
        </w:numPr>
        <w:spacing w:after="100"/>
      </w:pPr>
      <w:r w:rsidRPr="00256982">
        <w:t>linear interpolation for the years between these surveys</w:t>
      </w:r>
    </w:p>
    <w:p w14:paraId="437E2271" w14:textId="77777777" w:rsidR="00005A00" w:rsidRPr="00256982" w:rsidRDefault="00005A00" w:rsidP="00005A00">
      <w:pPr>
        <w:pStyle w:val="Bullet"/>
        <w:numPr>
          <w:ilvl w:val="0"/>
          <w:numId w:val="8"/>
        </w:numPr>
        <w:spacing w:after="100"/>
      </w:pPr>
      <w:r w:rsidRPr="00256982">
        <w:t>linear interpolation for the years 2007 to 2009</w:t>
      </w:r>
    </w:p>
    <w:p w14:paraId="58FC103C" w14:textId="77777777" w:rsidR="00005A00" w:rsidRPr="00256982" w:rsidRDefault="00005A00" w:rsidP="00005A00">
      <w:pPr>
        <w:pStyle w:val="Bullet"/>
        <w:numPr>
          <w:ilvl w:val="0"/>
          <w:numId w:val="8"/>
        </w:numPr>
        <w:spacing w:after="100"/>
      </w:pPr>
      <w:r w:rsidRPr="00256982">
        <w:t xml:space="preserve">data collected annually under the requirements of the Waste Minimisation Act 2008 for the years since 2010. </w:t>
      </w:r>
    </w:p>
    <w:p w14:paraId="5907ADB4" w14:textId="77777777" w:rsidR="00005A00" w:rsidRPr="00256982" w:rsidRDefault="00005A00" w:rsidP="00005A00">
      <w:pPr>
        <w:pStyle w:val="BodyText"/>
        <w:spacing w:after="100"/>
      </w:pPr>
      <w:r w:rsidRPr="00256982">
        <w:t xml:space="preserve">A regression analysis established that there was a correlation between real GDP and the amount of waste landfilled up to 2002. The transition from national surveys to using Waste Minimisation Act 2008 information uses a linear interpolation. Other methods were explored, but this approach gave the most robust estimates (Eunomia and Waste Not, unpublished). </w:t>
      </w:r>
    </w:p>
    <w:p w14:paraId="169FBF6A" w14:textId="77777777" w:rsidR="00005A00" w:rsidRPr="00256982" w:rsidRDefault="00005A00" w:rsidP="00005A00">
      <w:pPr>
        <w:pStyle w:val="BodyText"/>
        <w:spacing w:after="100"/>
        <w:rPr>
          <w:spacing w:val="-2"/>
        </w:rPr>
      </w:pPr>
      <w:r w:rsidRPr="00256982">
        <w:rPr>
          <w:spacing w:val="-2"/>
        </w:rPr>
        <w:t>Activity data are also available from individual landfill sites. This information was collected from landfill operators by a survey in 2009 (SKM, unpublished(b)). The 24 landfills that were operating at that time and that either had LFG recovery systems, or were planning to install LFG recovery systems by 2012, all provided data. The data included annual waste placement history and intentions. Some of these sites have since closed and are no longer accepting waste, but they all still generate CH</w:t>
      </w:r>
      <w:r w:rsidRPr="00256982">
        <w:rPr>
          <w:spacing w:val="-2"/>
          <w:vertAlign w:val="subscript"/>
        </w:rPr>
        <w:t>4</w:t>
      </w:r>
      <w:r w:rsidRPr="00256982">
        <w:rPr>
          <w:spacing w:val="-2"/>
        </w:rPr>
        <w:t xml:space="preserve"> emissions. One new large landfill site has opened in New Zealand since 2009 and has subsequently been included. </w:t>
      </w:r>
      <w:r w:rsidRPr="00256982">
        <w:t>From 2010 onwards, all municipal landfills report placement under the Waste Minimisation Act 2008.</w:t>
      </w:r>
    </w:p>
    <w:p w14:paraId="097F0400" w14:textId="77777777" w:rsidR="00005A00" w:rsidRPr="00256982" w:rsidRDefault="00005A00" w:rsidP="00E84218">
      <w:pPr>
        <w:pStyle w:val="BodyText"/>
        <w:rPr>
          <w:spacing w:val="-2"/>
        </w:rPr>
      </w:pPr>
      <w:r w:rsidRPr="00256982">
        <w:rPr>
          <w:spacing w:val="-2"/>
        </w:rPr>
        <w:t>For 1950 to 1995, the waste placement for the uncategorised category (5.A.3) is estimated as a fixed fraction (10 per cent) of the difference between the national total and sites with LFG recovery as shown in the equation:</w:t>
      </w:r>
    </w:p>
    <w:p w14:paraId="68C93A35" w14:textId="77777777" w:rsidR="00005A00" w:rsidRPr="00256982" w:rsidRDefault="00590491" w:rsidP="00E84218">
      <w:pPr>
        <w:spacing w:after="100" w:afterAutospacing="1"/>
        <w:jc w:val="center"/>
        <w:rPr>
          <w:rFonts w:ascii="Calibri" w:hAnsi="Calibri"/>
        </w:rPr>
      </w:pPr>
      <w:r>
        <w:pict w14:anchorId="43E6C872">
          <v:shape id="_x0000_i1151" type="#_x0000_t75" style="width:345.75pt;height:14.25pt" equationxml="&lt;?xml version=&quot;1.0&quot; encoding=&quot;UTF-8&quot; standalone=&quot;yes&quot;?&gt;&#10;&lt;?mso-application progid=&quot;Word.Document&quot;?&gt;&#10;&lt;w:wordDocument xmlns:aml=&quot;http://schemas.microsoft.com/aml/2001/core&quot; xmlns:wpc=&quot;http://schemas.microsoft.com/office/word/2010/wordprocessingCanvas&quot; xmlns:cx=&quot;http://schemas.microsoft.com/office/drawing/2014/chartex&quot; xmlns:cx1=&quot;http://schemas.microsoft.com/office/drawing/2015/9/8/chartex&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docPr&gt;&lt;w:view w:val=&quot;print&quot;/&gt;&lt;w:zoom w:percent=&quot;140&quot;/&gt;&lt;w:doNotEmbedSystemFonts/&gt;&lt;w:activeWritingStyle w:lang=&quot;EN-NZ&quot; w:vendorID=&quot;64&quot; w:dllVersion=&quot;131078&quot; w:nlCheck=&quot;on&quot; w:optionSet=&quot;1&quot;/&gt;&lt;w:activeWritingStyle w:lang=&quot;EN-GB&quot; w:vendorID=&quot;64&quot; w:dllVersion=&quot;131078&quot; w:nlCheck=&quot;on&quot; w:optionSet=&quot;1&quot;/&gt;&lt;w:stylePaneFormatFilter w:val=&quot;1808&quot;/&gt;&lt;w:defaultTabStop w:val=&quot;397&quot;/&gt;&lt;w:evenAndOddHeaders/&gt;&lt;w:drawingGridHorizontalSpacing w:val=&quot;187&quot;/&gt;&lt;w:displayVerticalDrawingGridEvery w:val=&quot;2&quot;/&gt;&lt;w:characterSpacingControl w:val=&quot;DontCompress&quot;/&gt;&lt;w:optimizeForBrowser/&gt;&lt;w:relyOnVML/&gt;&lt;w:allowPNG/&gt;&lt;w:validateAgainstSchema/&gt;&lt;w:saveInvalidXML w:val=&quot;off&quot;/&gt;&lt;w:ignoreMixedContent w:val=&quot;off&quot;/&gt;&lt;w:alwaysShowPlaceholderText w:val=&quot;off&quot;/&gt;&lt;w:compat&gt;&lt;w:suppressBottomSpacing/&gt;&lt;w:suppressTopSpacing/&gt;&lt;w:suppressSpBfAfterPgBrk/&gt;&lt;w:doNotUseHTMLParagraphAutoSpacing/&gt;&lt;w:breakWrappedTables/&gt;&lt;w:snapToGridInCell/&gt;&lt;w:wrapTextWithPunct/&gt;&lt;w:useAsianBreakRules/&gt;&lt;w:useWord2002TableStyleRules/&gt;&lt;/w:compat&gt;&lt;wsp:rsids&gt;&lt;wsp:rsidRoot wsp:val=&quot;000A4993&quot;/&gt;&lt;wsp:rsid wsp:val=&quot;00001716&quot;/&gt;&lt;wsp:rsid wsp:val=&quot;00005BB6&quot;/&gt;&lt;wsp:rsid wsp:val=&quot;0000602E&quot;/&gt;&lt;wsp:rsid wsp:val=&quot;00007ABB&quot;/&gt;&lt;wsp:rsid wsp:val=&quot;00007B65&quot;/&gt;&lt;wsp:rsid wsp:val=&quot;0001433B&quot;/&gt;&lt;wsp:rsid wsp:val=&quot;00016A44&quot;/&gt;&lt;wsp:rsid wsp:val=&quot;00021ACF&quot;/&gt;&lt;wsp:rsid wsp:val=&quot;00022F48&quot;/&gt;&lt;wsp:rsid wsp:val=&quot;000253AD&quot;/&gt;&lt;wsp:rsid wsp:val=&quot;00027E55&quot;/&gt;&lt;wsp:rsid wsp:val=&quot;000318E3&quot;/&gt;&lt;wsp:rsid wsp:val=&quot;00032A28&quot;/&gt;&lt;wsp:rsid wsp:val=&quot;00033B90&quot;/&gt;&lt;wsp:rsid wsp:val=&quot;00035185&quot;/&gt;&lt;wsp:rsid wsp:val=&quot;00036719&quot;/&gt;&lt;wsp:rsid wsp:val=&quot;00040112&quot;/&gt;&lt;wsp:rsid wsp:val=&quot;00040669&quot;/&gt;&lt;wsp:rsid wsp:val=&quot;000413B0&quot;/&gt;&lt;wsp:rsid wsp:val=&quot;0004149A&quot;/&gt;&lt;wsp:rsid wsp:val=&quot;000440E1&quot;/&gt;&lt;wsp:rsid wsp:val=&quot;00045F4B&quot;/&gt;&lt;wsp:rsid wsp:val=&quot;00046CC7&quot;/&gt;&lt;wsp:rsid wsp:val=&quot;00050008&quot;/&gt;&lt;wsp:rsid wsp:val=&quot;00050F9B&quot;/&gt;&lt;wsp:rsid wsp:val=&quot;0005239F&quot;/&gt;&lt;wsp:rsid wsp:val=&quot;00052B25&quot;/&gt;&lt;wsp:rsid wsp:val=&quot;00052FC0&quot;/&gt;&lt;wsp:rsid wsp:val=&quot;00053AC7&quot;/&gt;&lt;wsp:rsid wsp:val=&quot;0005512B&quot;/&gt;&lt;wsp:rsid wsp:val=&quot;000563EF&quot;/&gt;&lt;wsp:rsid wsp:val=&quot;00057741&quot;/&gt;&lt;wsp:rsid wsp:val=&quot;0006057E&quot;/&gt;&lt;wsp:rsid wsp:val=&quot;00060A5A&quot;/&gt;&lt;wsp:rsid wsp:val=&quot;00063451&quot;/&gt;&lt;wsp:rsid wsp:val=&quot;000644ED&quot;/&gt;&lt;wsp:rsid wsp:val=&quot;00066BC8&quot;/&gt;&lt;wsp:rsid wsp:val=&quot;000704E6&quot;/&gt;&lt;wsp:rsid wsp:val=&quot;000715CA&quot;/&gt;&lt;wsp:rsid wsp:val=&quot;00071839&quot;/&gt;&lt;wsp:rsid wsp:val=&quot;00072B74&quot;/&gt;&lt;wsp:rsid wsp:val=&quot;00075CD8&quot;/&gt;&lt;wsp:rsid wsp:val=&quot;0007731F&quot;/&gt;&lt;wsp:rsid wsp:val=&quot;00080418&quot;/&gt;&lt;wsp:rsid wsp:val=&quot;00080E01&quot;/&gt;&lt;wsp:rsid wsp:val=&quot;00083A65&quot;/&gt;&lt;wsp:rsid wsp:val=&quot;0008411E&quot;/&gt;&lt;wsp:rsid wsp:val=&quot;00084B89&quot;/&gt;&lt;wsp:rsid wsp:val=&quot;00086459&quot;/&gt;&lt;wsp:rsid wsp:val=&quot;00086E97&quot;/&gt;&lt;wsp:rsid wsp:val=&quot;00093882&quot;/&gt;&lt;wsp:rsid wsp:val=&quot;000951DA&quot;/&gt;&lt;wsp:rsid wsp:val=&quot;000970B6&quot;/&gt;&lt;wsp:rsid wsp:val=&quot;000A1303&quot;/&gt;&lt;wsp:rsid wsp:val=&quot;000A4993&quot;/&gt;&lt;wsp:rsid wsp:val=&quot;000A79BA&quot;/&gt;&lt;wsp:rsid wsp:val=&quot;000B7D2E&quot;/&gt;&lt;wsp:rsid wsp:val=&quot;000C04DE&quot;/&gt;&lt;wsp:rsid wsp:val=&quot;000C076F&quot;/&gt;&lt;wsp:rsid wsp:val=&quot;000C20A6&quot;/&gt;&lt;wsp:rsid wsp:val=&quot;000C285F&quot;/&gt;&lt;wsp:rsid wsp:val=&quot;000C49CF&quot;/&gt;&lt;wsp:rsid wsp:val=&quot;000C4CD0&quot;/&gt;&lt;wsp:rsid wsp:val=&quot;000D0194&quot;/&gt;&lt;wsp:rsid wsp:val=&quot;000D0D4C&quot;/&gt;&lt;wsp:rsid wsp:val=&quot;000D326B&quot;/&gt;&lt;wsp:rsid wsp:val=&quot;000D7DC8&quot;/&gt;&lt;wsp:rsid wsp:val=&quot;000E0581&quot;/&gt;&lt;wsp:rsid wsp:val=&quot;000E2C16&quot;/&gt;&lt;wsp:rsid wsp:val=&quot;000E31C1&quot;/&gt;&lt;wsp:rsid wsp:val=&quot;000E375A&quot;/&gt;&lt;wsp:rsid wsp:val=&quot;000E3B50&quot;/&gt;&lt;wsp:rsid wsp:val=&quot;000E6196&quot;/&gt;&lt;wsp:rsid wsp:val=&quot;000E6D64&quot;/&gt;&lt;wsp:rsid wsp:val=&quot;000E7EBE&quot;/&gt;&lt;wsp:rsid wsp:val=&quot;000F22B6&quot;/&gt;&lt;wsp:rsid wsp:val=&quot;000F2F1C&quot;/&gt;&lt;wsp:rsid wsp:val=&quot;000F4DEF&quot;/&gt;&lt;wsp:rsid wsp:val=&quot;000F7E20&quot;/&gt;&lt;wsp:rsid wsp:val=&quot;001044BF&quot;/&gt;&lt;wsp:rsid wsp:val=&quot;001062E3&quot;/&gt;&lt;wsp:rsid wsp:val=&quot;00106B51&quot;/&gt;&lt;wsp:rsid wsp:val=&quot;001112E5&quot;/&gt;&lt;wsp:rsid wsp:val=&quot;0011130C&quot;/&gt;&lt;wsp:rsid wsp:val=&quot;001119D3&quot;/&gt;&lt;wsp:rsid wsp:val=&quot;00111C93&quot;/&gt;&lt;wsp:rsid wsp:val=&quot;0011600A&quot;/&gt;&lt;wsp:rsid wsp:val=&quot;00116E1B&quot;/&gt;&lt;wsp:rsid wsp:val=&quot;001178DD&quot;/&gt;&lt;wsp:rsid wsp:val=&quot;00120E46&quot;/&gt;&lt;wsp:rsid wsp:val=&quot;001221C3&quot;/&gt;&lt;wsp:rsid wsp:val=&quot;00122D3D&quot;/&gt;&lt;wsp:rsid wsp:val=&quot;001234CE&quot;/&gt;&lt;wsp:rsid wsp:val=&quot;00127506&quot;/&gt;&lt;wsp:rsid wsp:val=&quot;00131D65&quot;/&gt;&lt;wsp:rsid wsp:val=&quot;001324CE&quot;/&gt;&lt;wsp:rsid wsp:val=&quot;00132698&quot;/&gt;&lt;wsp:rsid wsp:val=&quot;00132932&quot;/&gt;&lt;wsp:rsid wsp:val=&quot;00133DDE&quot;/&gt;&lt;wsp:rsid wsp:val=&quot;00133E74&quot;/&gt;&lt;wsp:rsid wsp:val=&quot;00140977&quot;/&gt;&lt;wsp:rsid wsp:val=&quot;001444EF&quot;/&gt;&lt;wsp:rsid wsp:val=&quot;001469B6&quot;/&gt;&lt;wsp:rsid wsp:val=&quot;0014787C&quot;/&gt;&lt;wsp:rsid wsp:val=&quot;00153F5A&quot;/&gt;&lt;wsp:rsid wsp:val=&quot;0016076A&quot;/&gt;&lt;wsp:rsid wsp:val=&quot;00160BE7&quot;/&gt;&lt;wsp:rsid wsp:val=&quot;00163BEC&quot;/&gt;&lt;wsp:rsid wsp:val=&quot;0016587E&quot;/&gt;&lt;wsp:rsid wsp:val=&quot;00166FD3&quot;/&gt;&lt;wsp:rsid wsp:val=&quot;00167F55&quot;/&gt;&lt;wsp:rsid wsp:val=&quot;00173D8C&quot;/&gt;&lt;wsp:rsid wsp:val=&quot;00174AD9&quot;/&gt;&lt;wsp:rsid wsp:val=&quot;00177915&quot;/&gt;&lt;wsp:rsid wsp:val=&quot;001970E1&quot;/&gt;&lt;wsp:rsid wsp:val=&quot;00197BE0&quot;/&gt;&lt;wsp:rsid wsp:val=&quot;00197E8E&quot;/&gt;&lt;wsp:rsid wsp:val=&quot;001A108F&quot;/&gt;&lt;wsp:rsid wsp:val=&quot;001A1997&quot;/&gt;&lt;wsp:rsid wsp:val=&quot;001A43CE&quot;/&gt;&lt;wsp:rsid wsp:val=&quot;001B017D&quot;/&gt;&lt;wsp:rsid wsp:val=&quot;001B4083&quot;/&gt;&lt;wsp:rsid wsp:val=&quot;001B41CC&quot;/&gt;&lt;wsp:rsid wsp:val=&quot;001B555B&quot;/&gt;&lt;wsp:rsid wsp:val=&quot;001B564F&quot;/&gt;&lt;wsp:rsid wsp:val=&quot;001B59C0&quot;/&gt;&lt;wsp:rsid wsp:val=&quot;001B6BBB&quot;/&gt;&lt;wsp:rsid wsp:val=&quot;001B6FD2&quot;/&gt;&lt;wsp:rsid wsp:val=&quot;001C2E6E&quot;/&gt;&lt;wsp:rsid wsp:val=&quot;001D3452&quot;/&gt;&lt;wsp:rsid wsp:val=&quot;001D4529&quot;/&gt;&lt;wsp:rsid wsp:val=&quot;001D6CC3&quot;/&gt;&lt;wsp:rsid wsp:val=&quot;001D7BC5&quot;/&gt;&lt;wsp:rsid wsp:val=&quot;001E4F4D&quot;/&gt;&lt;wsp:rsid wsp:val=&quot;001F1704&quot;/&gt;&lt;wsp:rsid wsp:val=&quot;001F2AFA&quot;/&gt;&lt;wsp:rsid wsp:val=&quot;001F6B7E&quot;/&gt;&lt;wsp:rsid wsp:val=&quot;001F6C61&quot;/&gt;&lt;wsp:rsid wsp:val=&quot;0020149B&quot;/&gt;&lt;wsp:rsid wsp:val=&quot;00202D98&quot;/&gt;&lt;wsp:rsid wsp:val=&quot;00202E89&quot;/&gt;&lt;wsp:rsid wsp:val=&quot;00203279&quot;/&gt;&lt;wsp:rsid wsp:val=&quot;00203350&quot;/&gt;&lt;wsp:rsid wsp:val=&quot;00206475&quot;/&gt;&lt;wsp:rsid wsp:val=&quot;00207ABF&quot;/&gt;&lt;wsp:rsid wsp:val=&quot;00210A63&quot;/&gt;&lt;wsp:rsid wsp:val=&quot;002130B4&quot;/&gt;&lt;wsp:rsid wsp:val=&quot;00223CCC&quot;/&gt;&lt;wsp:rsid wsp:val=&quot;00227FB1&quot;/&gt;&lt;wsp:rsid wsp:val=&quot;002304B1&quot;/&gt;&lt;wsp:rsid wsp:val=&quot;0023348F&quot;/&gt;&lt;wsp:rsid wsp:val=&quot;002376C1&quot;/&gt;&lt;wsp:rsid wsp:val=&quot;00240B42&quot;/&gt;&lt;wsp:rsid wsp:val=&quot;00240E0E&quot;/&gt;&lt;wsp:rsid wsp:val=&quot;002461E6&quot;/&gt;&lt;wsp:rsid wsp:val=&quot;00251206&quot;/&gt;&lt;wsp:rsid wsp:val=&quot;00251D13&quot;/&gt;&lt;wsp:rsid wsp:val=&quot;00253FD5&quot;/&gt;&lt;wsp:rsid wsp:val=&quot;00260B48&quot;/&gt;&lt;wsp:rsid wsp:val=&quot;002633AB&quot;/&gt;&lt;wsp:rsid wsp:val=&quot;00267CBE&quot;/&gt;&lt;wsp:rsid wsp:val=&quot;00271429&quot;/&gt;&lt;wsp:rsid wsp:val=&quot;00272C61&quot;/&gt;&lt;wsp:rsid wsp:val=&quot;00272D32&quot;/&gt;&lt;wsp:rsid wsp:val=&quot;00281299&quot;/&gt;&lt;wsp:rsid wsp:val=&quot;002829F7&quot;/&gt;&lt;wsp:rsid wsp:val=&quot;00282BC8&quot;/&gt;&lt;wsp:rsid wsp:val=&quot;0028581A&quot;/&gt;&lt;wsp:rsid wsp:val=&quot;002868D3&quot;/&gt;&lt;wsp:rsid wsp:val=&quot;00291650&quot;/&gt;&lt;wsp:rsid wsp:val=&quot;00292CDD&quot;/&gt;&lt;wsp:rsid wsp:val=&quot;00294F2D&quot;/&gt;&lt;wsp:rsid wsp:val=&quot;00295B2A&quot;/&gt;&lt;wsp:rsid wsp:val=&quot;00296072&quot;/&gt;&lt;wsp:rsid wsp:val=&quot;002A02B6&quot;/&gt;&lt;wsp:rsid wsp:val=&quot;002A1361&quot;/&gt;&lt;wsp:rsid wsp:val=&quot;002A2022&quot;/&gt;&lt;wsp:rsid wsp:val=&quot;002A49D7&quot;/&gt;&lt;wsp:rsid wsp:val=&quot;002A58D3&quot;/&gt;&lt;wsp:rsid wsp:val=&quot;002A7374&quot;/&gt;&lt;wsp:rsid wsp:val=&quot;002B048A&quot;/&gt;&lt;wsp:rsid wsp:val=&quot;002B0C89&quot;/&gt;&lt;wsp:rsid wsp:val=&quot;002B12CA&quot;/&gt;&lt;wsp:rsid wsp:val=&quot;002B1C5A&quot;/&gt;&lt;wsp:rsid wsp:val=&quot;002B3284&quot;/&gt;&lt;wsp:rsid wsp:val=&quot;002B4CCE&quot;/&gt;&lt;wsp:rsid wsp:val=&quot;002B5693&quot;/&gt;&lt;wsp:rsid wsp:val=&quot;002B66AB&quot;/&gt;&lt;wsp:rsid wsp:val=&quot;002B687D&quot;/&gt;&lt;wsp:rsid wsp:val=&quot;002C3DE9&quot;/&gt;&lt;wsp:rsid wsp:val=&quot;002C4DFE&quot;/&gt;&lt;wsp:rsid wsp:val=&quot;002C51B8&quot;/&gt;&lt;wsp:rsid wsp:val=&quot;002C6A38&quot;/&gt;&lt;wsp:rsid wsp:val=&quot;002C7C94&quot;/&gt;&lt;wsp:rsid wsp:val=&quot;002D5991&quot;/&gt;&lt;wsp:rsid wsp:val=&quot;002D60DB&quot;/&gt;&lt;wsp:rsid wsp:val=&quot;002D6A54&quot;/&gt;&lt;wsp:rsid wsp:val=&quot;002E0ADD&quot;/&gt;&lt;wsp:rsid wsp:val=&quot;002E2E0B&quot;/&gt;&lt;wsp:rsid wsp:val=&quot;002E4DD2&quot;/&gt;&lt;wsp:rsid wsp:val=&quot;002E5A25&quot;/&gt;&lt;wsp:rsid wsp:val=&quot;002E71DD&quot;/&gt;&lt;wsp:rsid wsp:val=&quot;002F134A&quot;/&gt;&lt;wsp:rsid wsp:val=&quot;002F161F&quot;/&gt;&lt;wsp:rsid wsp:val=&quot;002F3D3E&quot;/&gt;&lt;wsp:rsid wsp:val=&quot;002F5AEB&quot;/&gt;&lt;wsp:rsid wsp:val=&quot;00300AC5&quot;/&gt;&lt;wsp:rsid wsp:val=&quot;00302D84&quot;/&gt;&lt;wsp:rsid wsp:val=&quot;003069A9&quot;/&gt;&lt;wsp:rsid wsp:val=&quot;00313445&quot;/&gt;&lt;wsp:rsid wsp:val=&quot;00313D1A&quot;/&gt;&lt;wsp:rsid wsp:val=&quot;00313FFF&quot;/&gt;&lt;wsp:rsid wsp:val=&quot;00315760&quot;/&gt;&lt;wsp:rsid wsp:val=&quot;0031579D&quot;/&gt;&lt;wsp:rsid wsp:val=&quot;003174BF&quot;/&gt;&lt;wsp:rsid wsp:val=&quot;003200AC&quot;/&gt;&lt;wsp:rsid wsp:val=&quot;00321F27&quot;/&gt;&lt;wsp:rsid wsp:val=&quot;003254AF&quot;/&gt;&lt;wsp:rsid wsp:val=&quot;00331563&quot;/&gt;&lt;wsp:rsid wsp:val=&quot;00331960&quot;/&gt;&lt;wsp:rsid wsp:val=&quot;00332F25&quot;/&gt;&lt;wsp:rsid wsp:val=&quot;00335D3A&quot;/&gt;&lt;wsp:rsid wsp:val=&quot;00336127&quot;/&gt;&lt;wsp:rsid wsp:val=&quot;00341A68&quot;/&gt;&lt;wsp:rsid wsp:val=&quot;003443DA&quot;/&gt;&lt;wsp:rsid wsp:val=&quot;003465DB&quot;/&gt;&lt;wsp:rsid wsp:val=&quot;0034766B&quot;/&gt;&lt;wsp:rsid wsp:val=&quot;00347C24&quot;/&gt;&lt;wsp:rsid wsp:val=&quot;00357D0F&quot;/&gt;&lt;wsp:rsid wsp:val=&quot;00363351&quot;/&gt;&lt;wsp:rsid wsp:val=&quot;00363762&quot;/&gt;&lt;wsp:rsid wsp:val=&quot;00366356&quot;/&gt;&lt;wsp:rsid wsp:val=&quot;00367410&quot;/&gt;&lt;wsp:rsid wsp:val=&quot;00367601&quot;/&gt;&lt;wsp:rsid wsp:val=&quot;00367658&quot;/&gt;&lt;wsp:rsid wsp:val=&quot;00367E33&quot;/&gt;&lt;wsp:rsid wsp:val=&quot;0037043D&quot;/&gt;&lt;wsp:rsid wsp:val=&quot;003714FE&quot;/&gt;&lt;wsp:rsid wsp:val=&quot;0037590E&quot;/&gt;&lt;wsp:rsid wsp:val=&quot;00376043&quot;/&gt;&lt;wsp:rsid wsp:val=&quot;00377186&quot;/&gt;&lt;wsp:rsid wsp:val=&quot;0037760F&quot;/&gt;&lt;wsp:rsid wsp:val=&quot;0037762E&quot;/&gt;&lt;wsp:rsid wsp:val=&quot;0038099B&quot;/&gt;&lt;wsp:rsid wsp:val=&quot;00383207&quot;/&gt;&lt;wsp:rsid wsp:val=&quot;00383877&quot;/&gt;&lt;wsp:rsid wsp:val=&quot;00384A4E&quot;/&gt;&lt;wsp:rsid wsp:val=&quot;0039036B&quot;/&gt;&lt;wsp:rsid wsp:val=&quot;00394909&quot;/&gt;&lt;wsp:rsid wsp:val=&quot;00394ACC&quot;/&gt;&lt;wsp:rsid wsp:val=&quot;003972EF&quot;/&gt;&lt;wsp:rsid wsp:val=&quot;00397D2B&quot;/&gt;&lt;wsp:rsid wsp:val=&quot;003A472E&quot;/&gt;&lt;wsp:rsid wsp:val=&quot;003A5006&quot;/&gt;&lt;wsp:rsid wsp:val=&quot;003A770B&quot;/&gt;&lt;wsp:rsid wsp:val=&quot;003B4B21&quot;/&gt;&lt;wsp:rsid wsp:val=&quot;003B5C46&quot;/&gt;&lt;wsp:rsid wsp:val=&quot;003B7A2A&quot;/&gt;&lt;wsp:rsid wsp:val=&quot;003B7FFA&quot;/&gt;&lt;wsp:rsid wsp:val=&quot;003C2615&quot;/&gt;&lt;wsp:rsid wsp:val=&quot;003C3999&quot;/&gt;&lt;wsp:rsid wsp:val=&quot;003C708D&quot;/&gt;&lt;wsp:rsid wsp:val=&quot;003C7A1C&quot;/&gt;&lt;wsp:rsid wsp:val=&quot;003D0318&quot;/&gt;&lt;wsp:rsid wsp:val=&quot;003D4B45&quot;/&gt;&lt;wsp:rsid wsp:val=&quot;003D51AF&quot;/&gt;&lt;wsp:rsid wsp:val=&quot;003D5417&quot;/&gt;&lt;wsp:rsid wsp:val=&quot;003D75EC&quot;/&gt;&lt;wsp:rsid wsp:val=&quot;003E041D&quot;/&gt;&lt;wsp:rsid wsp:val=&quot;003E41B7&quot;/&gt;&lt;wsp:rsid wsp:val=&quot;003E56B9&quot;/&gt;&lt;wsp:rsid wsp:val=&quot;003E5AAB&quot;/&gt;&lt;wsp:rsid wsp:val=&quot;003E6A30&quot;/&gt;&lt;wsp:rsid wsp:val=&quot;003F314A&quot;/&gt;&lt;wsp:rsid wsp:val=&quot;003F32C8&quot;/&gt;&lt;wsp:rsid wsp:val=&quot;003F5194&quot;/&gt;&lt;wsp:rsid wsp:val=&quot;00400F92&quot;/&gt;&lt;wsp:rsid wsp:val=&quot;00402B27&quot;/&gt;&lt;wsp:rsid wsp:val=&quot;00412AA3&quot;/&gt;&lt;wsp:rsid wsp:val=&quot;00413232&quot;/&gt;&lt;wsp:rsid wsp:val=&quot;004145AA&quot;/&gt;&lt;wsp:rsid wsp:val=&quot;00417D5C&quot;/&gt;&lt;wsp:rsid wsp:val=&quot;00422794&quot;/&gt;&lt;wsp:rsid wsp:val=&quot;00423A9D&quot;/&gt;&lt;wsp:rsid wsp:val=&quot;0042424B&quot;/&gt;&lt;wsp:rsid wsp:val=&quot;00424911&quot;/&gt;&lt;wsp:rsid wsp:val=&quot;00426EED&quot;/&gt;&lt;wsp:rsid wsp:val=&quot;00427789&quot;/&gt;&lt;wsp:rsid wsp:val=&quot;00430D5D&quot;/&gt;&lt;wsp:rsid wsp:val=&quot;00444DCF&quot;/&gt;&lt;wsp:rsid wsp:val=&quot;00446558&quot;/&gt;&lt;wsp:rsid wsp:val=&quot;00455A00&quot;/&gt;&lt;wsp:rsid wsp:val=&quot;0045652C&quot;/&gt;&lt;wsp:rsid wsp:val=&quot;00456B64&quot;/&gt;&lt;wsp:rsid wsp:val=&quot;0045724E&quot;/&gt;&lt;wsp:rsid wsp:val=&quot;004601FD&quot;/&gt;&lt;wsp:rsid wsp:val=&quot;00462497&quot;/&gt;&lt;wsp:rsid wsp:val=&quot;00462816&quot;/&gt;&lt;wsp:rsid wsp:val=&quot;00464D2E&quot;/&gt;&lt;wsp:rsid wsp:val=&quot;004655F1&quot;/&gt;&lt;wsp:rsid wsp:val=&quot;00467391&quot;/&gt;&lt;wsp:rsid wsp:val=&quot;00470D75&quot;/&gt;&lt;wsp:rsid wsp:val=&quot;00471505&quot;/&gt;&lt;wsp:rsid wsp:val=&quot;00472117&quot;/&gt;&lt;wsp:rsid wsp:val=&quot;004732ED&quot;/&gt;&lt;wsp:rsid wsp:val=&quot;004805A3&quot;/&gt;&lt;wsp:rsid wsp:val=&quot;00482116&quot;/&gt;&lt;wsp:rsid wsp:val=&quot;00482A62&quot;/&gt;&lt;wsp:rsid wsp:val=&quot;004841B3&quot;/&gt;&lt;wsp:rsid wsp:val=&quot;00486C65&quot;/&gt;&lt;wsp:rsid wsp:val=&quot;00486D78&quot;/&gt;&lt;wsp:rsid wsp:val=&quot;00490EB0&quot;/&gt;&lt;wsp:rsid wsp:val=&quot;00492B58&quot;/&gt;&lt;wsp:rsid wsp:val=&quot;00493ED0&quot;/&gt;&lt;wsp:rsid wsp:val=&quot;00496EDD&quot;/&gt;&lt;wsp:rsid wsp:val=&quot;00497452&quot;/&gt;&lt;wsp:rsid wsp:val=&quot;004A1A14&quot;/&gt;&lt;wsp:rsid wsp:val=&quot;004A3B41&quot;/&gt;&lt;wsp:rsid wsp:val=&quot;004A4134&quot;/&gt;&lt;wsp:rsid wsp:val=&quot;004A46F6&quot;/&gt;&lt;wsp:rsid wsp:val=&quot;004A610C&quot;/&gt;&lt;wsp:rsid wsp:val=&quot;004A618E&quot;/&gt;&lt;wsp:rsid wsp:val=&quot;004B0193&quot;/&gt;&lt;wsp:rsid wsp:val=&quot;004B04BD&quot;/&gt;&lt;wsp:rsid wsp:val=&quot;004B2593&quot;/&gt;&lt;wsp:rsid wsp:val=&quot;004B36D8&quot;/&gt;&lt;wsp:rsid wsp:val=&quot;004B497F&quot;/&gt;&lt;wsp:rsid wsp:val=&quot;004B4F59&quot;/&gt;&lt;wsp:rsid wsp:val=&quot;004B598B&quot;/&gt;&lt;wsp:rsid wsp:val=&quot;004B65C4&quot;/&gt;&lt;wsp:rsid wsp:val=&quot;004B7AB8&quot;/&gt;&lt;wsp:rsid wsp:val=&quot;004C64F3&quot;/&gt;&lt;wsp:rsid wsp:val=&quot;004D1389&quot;/&gt;&lt;wsp:rsid wsp:val=&quot;004D4C86&quot;/&gt;&lt;wsp:rsid wsp:val=&quot;004D7331&quot;/&gt;&lt;wsp:rsid wsp:val=&quot;004E1EF1&quot;/&gt;&lt;wsp:rsid wsp:val=&quot;004E4B2C&quot;/&gt;&lt;wsp:rsid wsp:val=&quot;004E599A&quot;/&gt;&lt;wsp:rsid wsp:val=&quot;004E70E6&quot;/&gt;&lt;wsp:rsid wsp:val=&quot;004F1572&quot;/&gt;&lt;wsp:rsid wsp:val=&quot;004F341A&quot;/&gt;&lt;wsp:rsid wsp:val=&quot;004F60F6&quot;/&gt;&lt;wsp:rsid wsp:val=&quot;004F6A79&quot;/&gt;&lt;wsp:rsid wsp:val=&quot;00501171&quot;/&gt;&lt;wsp:rsid wsp:val=&quot;00501698&quot;/&gt;&lt;wsp:rsid wsp:val=&quot;00501912&quot;/&gt;&lt;wsp:rsid wsp:val=&quot;00501B1F&quot;/&gt;&lt;wsp:rsid wsp:val=&quot;00502959&quot;/&gt;&lt;wsp:rsid wsp:val=&quot;00503710&quot;/&gt;&lt;wsp:rsid wsp:val=&quot;0050480C&quot;/&gt;&lt;wsp:rsid wsp:val=&quot;00506E07&quot;/&gt;&lt;wsp:rsid wsp:val=&quot;005072FB&quot;/&gt;&lt;wsp:rsid wsp:val=&quot;00510060&quot;/&gt;&lt;wsp:rsid wsp:val=&quot;00511241&quot;/&gt;&lt;wsp:rsid wsp:val=&quot;00511895&quot;/&gt;&lt;wsp:rsid wsp:val=&quot;00511D18&quot;/&gt;&lt;wsp:rsid wsp:val=&quot;005173F2&quot;/&gt;&lt;wsp:rsid wsp:val=&quot;00521122&quot;/&gt;&lt;wsp:rsid wsp:val=&quot;005215C2&quot;/&gt;&lt;wsp:rsid wsp:val=&quot;005249C7&quot;/&gt;&lt;wsp:rsid wsp:val=&quot;00524BBC&quot;/&gt;&lt;wsp:rsid wsp:val=&quot;00524EE3&quot;/&gt;&lt;wsp:rsid wsp:val=&quot;00526270&quot;/&gt;&lt;wsp:rsid wsp:val=&quot;005268CA&quot;/&gt;&lt;wsp:rsid wsp:val=&quot;00532E2A&quot;/&gt;&lt;wsp:rsid wsp:val=&quot;00534210&quot;/&gt;&lt;wsp:rsid wsp:val=&quot;00534D84&quot;/&gt;&lt;wsp:rsid wsp:val=&quot;0054295A&quot;/&gt;&lt;wsp:rsid wsp:val=&quot;0054388F&quot;/&gt;&lt;wsp:rsid wsp:val=&quot;00546A6A&quot;/&gt;&lt;wsp:rsid wsp:val=&quot;00547494&quot;/&gt;&lt;wsp:rsid wsp:val=&quot;005512C5&quot;/&gt;&lt;wsp:rsid wsp:val=&quot;00551AB7&quot;/&gt;&lt;wsp:rsid wsp:val=&quot;005572F1&quot;/&gt;&lt;wsp:rsid wsp:val=&quot;00561790&quot;/&gt;&lt;wsp:rsid wsp:val=&quot;005630B0&quot;/&gt;&lt;wsp:rsid wsp:val=&quot;005640AE&quot;/&gt;&lt;wsp:rsid wsp:val=&quot;005660CD&quot;/&gt;&lt;wsp:rsid wsp:val=&quot;005720F2&quot;/&gt;&lt;wsp:rsid wsp:val=&quot;00574968&quot;/&gt;&lt;wsp:rsid wsp:val=&quot;00574F37&quot;/&gt;&lt;wsp:rsid wsp:val=&quot;00575222&quot;/&gt;&lt;wsp:rsid wsp:val=&quot;00575FD8&quot;/&gt;&lt;wsp:rsid wsp:val=&quot;00577493&quot;/&gt;&lt;wsp:rsid wsp:val=&quot;00581028&quot;/&gt;&lt;wsp:rsid wsp:val=&quot;00584786&quot;/&gt;&lt;wsp:rsid wsp:val=&quot;00584B94&quot;/&gt;&lt;wsp:rsid wsp:val=&quot;0058721D&quot;/&gt;&lt;wsp:rsid wsp:val=&quot;00596603&quot;/&gt;&lt;wsp:rsid wsp:val=&quot;00597531&quot;/&gt;&lt;wsp:rsid wsp:val=&quot;005A50E4&quot;/&gt;&lt;wsp:rsid wsp:val=&quot;005A7C25&quot;/&gt;&lt;wsp:rsid wsp:val=&quot;005B0A94&quot;/&gt;&lt;wsp:rsid wsp:val=&quot;005B3603&quot;/&gt;&lt;wsp:rsid wsp:val=&quot;005B47FF&quot;/&gt;&lt;wsp:rsid wsp:val=&quot;005B76A4&quot;/&gt;&lt;wsp:rsid wsp:val=&quot;005C3384&quot;/&gt;&lt;wsp:rsid wsp:val=&quot;005C416E&quot;/&gt;&lt;wsp:rsid wsp:val=&quot;005C624D&quot;/&gt;&lt;wsp:rsid wsp:val=&quot;005C6446&quot;/&gt;&lt;wsp:rsid wsp:val=&quot;005C6F03&quot;/&gt;&lt;wsp:rsid wsp:val=&quot;005C7792&quot;/&gt;&lt;wsp:rsid wsp:val=&quot;005D1C3A&quot;/&gt;&lt;wsp:rsid wsp:val=&quot;005D2BDC&quot;/&gt;&lt;wsp:rsid wsp:val=&quot;005D5080&quot;/&gt;&lt;wsp:rsid wsp:val=&quot;005D736A&quot;/&gt;&lt;wsp:rsid wsp:val=&quot;005E3DE5&quot;/&gt;&lt;wsp:rsid wsp:val=&quot;005E43DD&quot;/&gt;&lt;wsp:rsid wsp:val=&quot;005E7824&quot;/&gt;&lt;wsp:rsid wsp:val=&quot;005E7855&quot;/&gt;&lt;wsp:rsid wsp:val=&quot;005F19AE&quot;/&gt;&lt;wsp:rsid wsp:val=&quot;005F205D&quot;/&gt;&lt;wsp:rsid wsp:val=&quot;005F4E8B&quot;/&gt;&lt;wsp:rsid wsp:val=&quot;005F67E2&quot;/&gt;&lt;wsp:rsid wsp:val=&quot;005F7F0C&quot;/&gt;&lt;wsp:rsid wsp:val=&quot;00600179&quot;/&gt;&lt;wsp:rsid wsp:val=&quot;0060169E&quot;/&gt;&lt;wsp:rsid wsp:val=&quot;00603FC0&quot;/&gt;&lt;wsp:rsid wsp:val=&quot;006040BB&quot;/&gt;&lt;wsp:rsid wsp:val=&quot;006062D0&quot;/&gt;&lt;wsp:rsid wsp:val=&quot;00607743&quot;/&gt;&lt;wsp:rsid wsp:val=&quot;00620CF0&quot;/&gt;&lt;wsp:rsid wsp:val=&quot;00623246&quot;/&gt;&lt;wsp:rsid wsp:val=&quot;0063224E&quot;/&gt;&lt;wsp:rsid wsp:val=&quot;00636BF0&quot;/&gt;&lt;wsp:rsid wsp:val=&quot;00644A15&quot;/&gt;&lt;wsp:rsid wsp:val=&quot;00646B6D&quot;/&gt;&lt;wsp:rsid wsp:val=&quot;00652AE1&quot;/&gt;&lt;wsp:rsid wsp:val=&quot;00653826&quot;/&gt;&lt;wsp:rsid wsp:val=&quot;00655908&quot;/&gt;&lt;wsp:rsid wsp:val=&quot;00660E8C&quot;/&gt;&lt;wsp:rsid wsp:val=&quot;00662B78&quot;/&gt;&lt;wsp:rsid wsp:val=&quot;006654F8&quot;/&gt;&lt;wsp:rsid wsp:val=&quot;00665768&quot;/&gt;&lt;wsp:rsid wsp:val=&quot;00667291&quot;/&gt;&lt;wsp:rsid wsp:val=&quot;006679C2&quot;/&gt;&lt;wsp:rsid wsp:val=&quot;006712F8&quot;/&gt;&lt;wsp:rsid wsp:val=&quot;006725CC&quot;/&gt;&lt;wsp:rsid wsp:val=&quot;00675BD6&quot;/&gt;&lt;wsp:rsid wsp:val=&quot;00676D68&quot;/&gt;&lt;wsp:rsid wsp:val=&quot;00680646&quot;/&gt;&lt;wsp:rsid wsp:val=&quot;0068299D&quot;/&gt;&lt;wsp:rsid wsp:val=&quot;0068395B&quot;/&gt;&lt;wsp:rsid wsp:val=&quot;00684494&quot;/&gt;&lt;wsp:rsid wsp:val=&quot;00686249&quot;/&gt;&lt;wsp:rsid wsp:val=&quot;00686260&quot;/&gt;&lt;wsp:rsid wsp:val=&quot;00687504&quot;/&gt;&lt;wsp:rsid wsp:val=&quot;006A171F&quot;/&gt;&lt;wsp:rsid wsp:val=&quot;006A4644&quot;/&gt;&lt;wsp:rsid wsp:val=&quot;006A4E5F&quot;/&gt;&lt;wsp:rsid wsp:val=&quot;006B0C68&quot;/&gt;&lt;wsp:rsid wsp:val=&quot;006B7024&quot;/&gt;&lt;wsp:rsid wsp:val=&quot;006C30AA&quot;/&gt;&lt;wsp:rsid wsp:val=&quot;006C4F45&quot;/&gt;&lt;wsp:rsid wsp:val=&quot;006C6142&quot;/&gt;&lt;wsp:rsid wsp:val=&quot;006C7644&quot;/&gt;&lt;wsp:rsid wsp:val=&quot;006D0BD8&quot;/&gt;&lt;wsp:rsid wsp:val=&quot;006D113A&quot;/&gt;&lt;wsp:rsid wsp:val=&quot;006D23F4&quot;/&gt;&lt;wsp:rsid wsp:val=&quot;006D4600&quot;/&gt;&lt;wsp:rsid wsp:val=&quot;006D6C4C&quot;/&gt;&lt;wsp:rsid wsp:val=&quot;006E09DC&quot;/&gt;&lt;wsp:rsid wsp:val=&quot;006E0A2C&quot;/&gt;&lt;wsp:rsid wsp:val=&quot;006E1420&quot;/&gt;&lt;wsp:rsid wsp:val=&quot;006E1AAA&quot;/&gt;&lt;wsp:rsid wsp:val=&quot;006E1F68&quot;/&gt;&lt;wsp:rsid wsp:val=&quot;006E202B&quot;/&gt;&lt;wsp:rsid wsp:val=&quot;006E48E8&quot;/&gt;&lt;wsp:rsid wsp:val=&quot;006E57B5&quot;/&gt;&lt;wsp:rsid wsp:val=&quot;006E6F62&quot;/&gt;&lt;wsp:rsid wsp:val=&quot;006F2796&quot;/&gt;&lt;wsp:rsid wsp:val=&quot;006F338C&quot;/&gt;&lt;wsp:rsid wsp:val=&quot;006F3BEF&quot;/&gt;&lt;wsp:rsid wsp:val=&quot;006F47B2&quot;/&gt;&lt;wsp:rsid wsp:val=&quot;007002FF&quot;/&gt;&lt;wsp:rsid wsp:val=&quot;00702FA0&quot;/&gt;&lt;wsp:rsid wsp:val=&quot;007041B0&quot;/&gt;&lt;wsp:rsid wsp:val=&quot;00707D3F&quot;/&gt;&lt;wsp:rsid wsp:val=&quot;007118A6&quot;/&gt;&lt;wsp:rsid wsp:val=&quot;00713306&quot;/&gt;&lt;wsp:rsid wsp:val=&quot;00716AEA&quot;/&gt;&lt;wsp:rsid wsp:val=&quot;00717B4A&quot;/&gt;&lt;wsp:rsid wsp:val=&quot;00720328&quot;/&gt;&lt;wsp:rsid wsp:val=&quot;00720DEB&quot;/&gt;&lt;wsp:rsid wsp:val=&quot;00724218&quot;/&gt;&lt;wsp:rsid wsp:val=&quot;00727178&quot;/&gt;&lt;wsp:rsid wsp:val=&quot;007272B0&quot;/&gt;&lt;wsp:rsid wsp:val=&quot;00737C98&quot;/&gt;&lt;wsp:rsid wsp:val=&quot;00737E65&quot;/&gt;&lt;wsp:rsid wsp:val=&quot;0074030A&quot;/&gt;&lt;wsp:rsid wsp:val=&quot;0074541C&quot;/&gt;&lt;wsp:rsid wsp:val=&quot;00750748&quot;/&gt;&lt;wsp:rsid wsp:val=&quot;00750C39&quot;/&gt;&lt;wsp:rsid wsp:val=&quot;0075151B&quot;/&gt;&lt;wsp:rsid wsp:val=&quot;0075408A&quot;/&gt;&lt;wsp:rsid wsp:val=&quot;00754DC1&quot;/&gt;&lt;wsp:rsid wsp:val=&quot;00756CD0&quot;/&gt;&lt;wsp:rsid wsp:val=&quot;00762043&quot;/&gt;&lt;wsp:rsid wsp:val=&quot;0076234C&quot;/&gt;&lt;wsp:rsid wsp:val=&quot;007633C2&quot;/&gt;&lt;wsp:rsid wsp:val=&quot;00765A47&quot;/&gt;&lt;wsp:rsid wsp:val=&quot;00766845&quot;/&gt;&lt;wsp:rsid wsp:val=&quot;00770E82&quot;/&gt;&lt;wsp:rsid wsp:val=&quot;007721F8&quot;/&gt;&lt;wsp:rsid wsp:val=&quot;00772E94&quot;/&gt;&lt;wsp:rsid wsp:val=&quot;00773D15&quot;/&gt;&lt;wsp:rsid wsp:val=&quot;00774037&quot;/&gt;&lt;wsp:rsid wsp:val=&quot;007745B5&quot;/&gt;&lt;wsp:rsid wsp:val=&quot;00780511&quot;/&gt;&lt;wsp:rsid wsp:val=&quot;00785F85&quot;/&gt;&lt;wsp:rsid wsp:val=&quot;00787667&quot;/&gt;&lt;wsp:rsid wsp:val=&quot;00787E80&quot;/&gt;&lt;wsp:rsid wsp:val=&quot;00791D29&quot;/&gt;&lt;wsp:rsid wsp:val=&quot;00797276&quot;/&gt;&lt;wsp:rsid wsp:val=&quot;007A0888&quot;/&gt;&lt;wsp:rsid wsp:val=&quot;007A09D6&quot;/&gt;&lt;wsp:rsid wsp:val=&quot;007A2737&quot;/&gt;&lt;wsp:rsid wsp:val=&quot;007A2B7D&quot;/&gt;&lt;wsp:rsid wsp:val=&quot;007A5B83&quot;/&gt;&lt;wsp:rsid wsp:val=&quot;007B028B&quot;/&gt;&lt;wsp:rsid wsp:val=&quot;007B1197&quot;/&gt;&lt;wsp:rsid wsp:val=&quot;007B1D71&quot;/&gt;&lt;wsp:rsid wsp:val=&quot;007B4899&quot;/&gt;&lt;wsp:rsid wsp:val=&quot;007C00D0&quot;/&gt;&lt;wsp:rsid wsp:val=&quot;007C2186&quot;/&gt;&lt;wsp:rsid wsp:val=&quot;007C362C&quot;/&gt;&lt;wsp:rsid wsp:val=&quot;007C387D&quot;/&gt;&lt;wsp:rsid wsp:val=&quot;007C59CD&quot;/&gt;&lt;wsp:rsid wsp:val=&quot;007C5C02&quot;/&gt;&lt;wsp:rsid wsp:val=&quot;007D46D4&quot;/&gt;&lt;wsp:rsid wsp:val=&quot;007D52DA&quot;/&gt;&lt;wsp:rsid wsp:val=&quot;007E36E9&quot;/&gt;&lt;wsp:rsid wsp:val=&quot;007F157D&quot;/&gt;&lt;wsp:rsid wsp:val=&quot;007F2233&quot;/&gt;&lt;wsp:rsid wsp:val=&quot;0080083C&quot;/&gt;&lt;wsp:rsid wsp:val=&quot;00802FCF&quot;/&gt;&lt;wsp:rsid wsp:val=&quot;008060DD&quot;/&gt;&lt;wsp:rsid wsp:val=&quot;0080694B&quot;/&gt;&lt;wsp:rsid wsp:val=&quot;0081779C&quot;/&gt;&lt;wsp:rsid wsp:val=&quot;00817CAF&quot;/&gt;&lt;wsp:rsid wsp:val=&quot;008209DE&quot;/&gt;&lt;wsp:rsid wsp:val=&quot;00823891&quot;/&gt;&lt;wsp:rsid wsp:val=&quot;00827CAE&quot;/&gt;&lt;wsp:rsid wsp:val=&quot;008311A3&quot;/&gt;&lt;wsp:rsid wsp:val=&quot;00831D0D&quot;/&gt;&lt;wsp:rsid wsp:val=&quot;0083235F&quot;/&gt;&lt;wsp:rsid wsp:val=&quot;00832DEE&quot;/&gt;&lt;wsp:rsid wsp:val=&quot;00834F5A&quot;/&gt;&lt;wsp:rsid wsp:val=&quot;0083719A&quot;/&gt;&lt;wsp:rsid wsp:val=&quot;00842144&quot;/&gt;&lt;wsp:rsid wsp:val=&quot;008444D6&quot;/&gt;&lt;wsp:rsid wsp:val=&quot;00844CB1&quot;/&gt;&lt;wsp:rsid wsp:val=&quot;008457AB&quot;/&gt;&lt;wsp:rsid wsp:val=&quot;0084600C&quot;/&gt;&lt;wsp:rsid wsp:val=&quot;008517C4&quot;/&gt;&lt;wsp:rsid wsp:val=&quot;00851D28&quot;/&gt;&lt;wsp:rsid wsp:val=&quot;00855A8A&quot;/&gt;&lt;wsp:rsid wsp:val=&quot;00860123&quot;/&gt;&lt;wsp:rsid wsp:val=&quot;00861223&quot;/&gt;&lt;wsp:rsid wsp:val=&quot;00865872&quot;/&gt;&lt;wsp:rsid wsp:val=&quot;008677A6&quot;/&gt;&lt;wsp:rsid wsp:val=&quot;00872234&quot;/&gt;&lt;wsp:rsid wsp:val=&quot;00877079&quot;/&gt;&lt;wsp:rsid wsp:val=&quot;0088295C&quot;/&gt;&lt;wsp:rsid wsp:val=&quot;00882AD8&quot;/&gt;&lt;wsp:rsid wsp:val=&quot;00882C9B&quot;/&gt;&lt;wsp:rsid wsp:val=&quot;0089113F&quot;/&gt;&lt;wsp:rsid wsp:val=&quot;00893A96&quot;/&gt;&lt;wsp:rsid wsp:val=&quot;00894559&quot;/&gt;&lt;wsp:rsid wsp:val=&quot;0089464D&quot;/&gt;&lt;wsp:rsid wsp:val=&quot;008957B1&quot;/&gt;&lt;wsp:rsid wsp:val=&quot;008979AA&quot;/&gt;&lt;wsp:rsid wsp:val=&quot;008A1775&quot;/&gt;&lt;wsp:rsid wsp:val=&quot;008A2EC5&quot;/&gt;&lt;wsp:rsid wsp:val=&quot;008A427C&quot;/&gt;&lt;wsp:rsid wsp:val=&quot;008A4EC6&quot;/&gt;&lt;wsp:rsid wsp:val=&quot;008A664B&quot;/&gt;&lt;wsp:rsid wsp:val=&quot;008B21BA&quot;/&gt;&lt;wsp:rsid wsp:val=&quot;008B40F5&quot;/&gt;&lt;wsp:rsid wsp:val=&quot;008B5DD6&quot;/&gt;&lt;wsp:rsid wsp:val=&quot;008B6680&quot;/&gt;&lt;wsp:rsid wsp:val=&quot;008B6701&quot;/&gt;&lt;wsp:rsid wsp:val=&quot;008B77F5&quot;/&gt;&lt;wsp:rsid wsp:val=&quot;008C0279&quot;/&gt;&lt;wsp:rsid wsp:val=&quot;008C5C06&quot;/&gt;&lt;wsp:rsid wsp:val=&quot;008C7670&quot;/&gt;&lt;wsp:rsid wsp:val=&quot;008C7F68&quot;/&gt;&lt;wsp:rsid wsp:val=&quot;008D0221&quot;/&gt;&lt;wsp:rsid wsp:val=&quot;008D0C8C&quot;/&gt;&lt;wsp:rsid wsp:val=&quot;008D2032&quot;/&gt;&lt;wsp:rsid wsp:val=&quot;008D382A&quot;/&gt;&lt;wsp:rsid wsp:val=&quot;008D4F63&quot;/&gt;&lt;wsp:rsid wsp:val=&quot;008E0391&quot;/&gt;&lt;wsp:rsid wsp:val=&quot;008E0EE9&quot;/&gt;&lt;wsp:rsid wsp:val=&quot;008E114F&quot;/&gt;&lt;wsp:rsid wsp:val=&quot;008E380C&quot;/&gt;&lt;wsp:rsid wsp:val=&quot;008E3EB0&quot;/&gt;&lt;wsp:rsid wsp:val=&quot;008F25D2&quot;/&gt;&lt;wsp:rsid wsp:val=&quot;008F50EC&quot;/&gt;&lt;wsp:rsid wsp:val=&quot;009016C2&quot;/&gt;&lt;wsp:rsid wsp:val=&quot;0090401D&quot;/&gt;&lt;wsp:rsid wsp:val=&quot;009058C9&quot;/&gt;&lt;wsp:rsid wsp:val=&quot;00907033&quot;/&gt;&lt;wsp:rsid wsp:val=&quot;00907CB2&quot;/&gt;&lt;wsp:rsid wsp:val=&quot;009105F4&quot;/&gt;&lt;wsp:rsid wsp:val=&quot;0091268F&quot;/&gt;&lt;wsp:rsid wsp:val=&quot;00914CC6&quot;/&gt;&lt;wsp:rsid wsp:val=&quot;00915DB2&quot;/&gt;&lt;wsp:rsid wsp:val=&quot;00915F52&quot;/&gt;&lt;wsp:rsid wsp:val=&quot;009165EB&quot;/&gt;&lt;wsp:rsid wsp:val=&quot;00917953&quot;/&gt;&lt;wsp:rsid wsp:val=&quot;0092026A&quot;/&gt;&lt;wsp:rsid wsp:val=&quot;00925105&quot;/&gt;&lt;wsp:rsid wsp:val=&quot;009253B3&quot;/&gt;&lt;wsp:rsid wsp:val=&quot;00925E68&quot;/&gt;&lt;wsp:rsid wsp:val=&quot;00926929&quot;/&gt;&lt;wsp:rsid wsp:val=&quot;009269D6&quot;/&gt;&lt;wsp:rsid wsp:val=&quot;0092751F&quot;/&gt;&lt;wsp:rsid wsp:val=&quot;00927698&quot;/&gt;&lt;wsp:rsid wsp:val=&quot;0092770C&quot;/&gt;&lt;wsp:rsid wsp:val=&quot;00927994&quot;/&gt;&lt;wsp:rsid wsp:val=&quot;00931F00&quot;/&gt;&lt;wsp:rsid wsp:val=&quot;00932067&quot;/&gt;&lt;wsp:rsid wsp:val=&quot;009321DD&quot;/&gt;&lt;wsp:rsid wsp:val=&quot;0093594A&quot;/&gt;&lt;wsp:rsid wsp:val=&quot;00940989&quot;/&gt;&lt;wsp:rsid wsp:val=&quot;009412D1&quot;/&gt;&lt;wsp:rsid wsp:val=&quot;00941747&quot;/&gt;&lt;wsp:rsid wsp:val=&quot;00942D43&quot;/&gt;&lt;wsp:rsid wsp:val=&quot;00950F6E&quot;/&gt;&lt;wsp:rsid wsp:val=&quot;00954359&quot;/&gt;&lt;wsp:rsid wsp:val=&quot;00955D73&quot;/&gt;&lt;wsp:rsid wsp:val=&quot;00957EFB&quot;/&gt;&lt;wsp:rsid wsp:val=&quot;009624CE&quot;/&gt;&lt;wsp:rsid wsp:val=&quot;009625A7&quot;/&gt;&lt;wsp:rsid wsp:val=&quot;0096512C&quot;/&gt;&lt;wsp:rsid wsp:val=&quot;0096540A&quot;/&gt;&lt;wsp:rsid wsp:val=&quot;00967360&quot;/&gt;&lt;wsp:rsid wsp:val=&quot;009748BA&quot;/&gt;&lt;wsp:rsid wsp:val=&quot;009751B6&quot;/&gt;&lt;wsp:rsid wsp:val=&quot;00975233&quot;/&gt;&lt;wsp:rsid wsp:val=&quot;00980269&quot;/&gt;&lt;wsp:rsid wsp:val=&quot;009845F7&quot;/&gt;&lt;wsp:rsid wsp:val=&quot;00993BF5&quot;/&gt;&lt;wsp:rsid wsp:val=&quot;009976EC&quot;/&gt;&lt;wsp:rsid wsp:val=&quot;009A4DB8&quot;/&gt;&lt;wsp:rsid wsp:val=&quot;009B06B9&quot;/&gt;&lt;wsp:rsid wsp:val=&quot;009B4CD2&quot;/&gt;&lt;wsp:rsid wsp:val=&quot;009B6C6F&quot;/&gt;&lt;wsp:rsid wsp:val=&quot;009B7743&quot;/&gt;&lt;wsp:rsid wsp:val=&quot;009C224F&quot;/&gt;&lt;wsp:rsid wsp:val=&quot;009C2BBD&quot;/&gt;&lt;wsp:rsid wsp:val=&quot;009C5D2A&quot;/&gt;&lt;wsp:rsid wsp:val=&quot;009C7D78&quot;/&gt;&lt;wsp:rsid wsp:val=&quot;009D333E&quot;/&gt;&lt;wsp:rsid wsp:val=&quot;009D4DE3&quot;/&gt;&lt;wsp:rsid wsp:val=&quot;009D50AA&quot;/&gt;&lt;wsp:rsid wsp:val=&quot;009D725E&quot;/&gt;&lt;wsp:rsid wsp:val=&quot;009E1DC8&quot;/&gt;&lt;wsp:rsid wsp:val=&quot;009E1EF9&quot;/&gt;&lt;wsp:rsid wsp:val=&quot;009E7FF9&quot;/&gt;&lt;wsp:rsid wsp:val=&quot;009F7093&quot;/&gt;&lt;wsp:rsid wsp:val=&quot;009F74F1&quot;/&gt;&lt;wsp:rsid wsp:val=&quot;00A10BA1&quot;/&gt;&lt;wsp:rsid wsp:val=&quot;00A15433&quot;/&gt;&lt;wsp:rsid wsp:val=&quot;00A222F7&quot;/&gt;&lt;wsp:rsid wsp:val=&quot;00A22BE0&quot;/&gt;&lt;wsp:rsid wsp:val=&quot;00A236D1&quot;/&gt;&lt;wsp:rsid wsp:val=&quot;00A23B6A&quot;/&gt;&lt;wsp:rsid wsp:val=&quot;00A2697E&quot;/&gt;&lt;wsp:rsid wsp:val=&quot;00A26B5F&quot;/&gt;&lt;wsp:rsid wsp:val=&quot;00A31F98&quot;/&gt;&lt;wsp:rsid wsp:val=&quot;00A32DA4&quot;/&gt;&lt;wsp:rsid wsp:val=&quot;00A33083&quot;/&gt;&lt;wsp:rsid wsp:val=&quot;00A331E7&quot;/&gt;&lt;wsp:rsid wsp:val=&quot;00A3326B&quot;/&gt;&lt;wsp:rsid wsp:val=&quot;00A41050&quot;/&gt;&lt;wsp:rsid wsp:val=&quot;00A41569&quot;/&gt;&lt;wsp:rsid wsp:val=&quot;00A41A45&quot;/&gt;&lt;wsp:rsid wsp:val=&quot;00A41C3C&quot;/&gt;&lt;wsp:rsid wsp:val=&quot;00A443A3&quot;/&gt;&lt;wsp:rsid wsp:val=&quot;00A46807&quot;/&gt;&lt;wsp:rsid wsp:val=&quot;00A478A5&quot;/&gt;&lt;wsp:rsid wsp:val=&quot;00A53609&quot;/&gt;&lt;wsp:rsid wsp:val=&quot;00A551E4&quot;/&gt;&lt;wsp:rsid wsp:val=&quot;00A603BF&quot;/&gt;&lt;wsp:rsid wsp:val=&quot;00A61888&quot;/&gt;&lt;wsp:rsid wsp:val=&quot;00A624C6&quot;/&gt;&lt;wsp:rsid wsp:val=&quot;00A64AEC&quot;/&gt;&lt;wsp:rsid wsp:val=&quot;00A64CE2&quot;/&gt;&lt;wsp:rsid wsp:val=&quot;00A66622&quot;/&gt;&lt;wsp:rsid wsp:val=&quot;00A66D84&quot;/&gt;&lt;wsp:rsid wsp:val=&quot;00A7004E&quot;/&gt;&lt;wsp:rsid wsp:val=&quot;00A706BE&quot;/&gt;&lt;wsp:rsid wsp:val=&quot;00A71B38&quot;/&gt;&lt;wsp:rsid wsp:val=&quot;00A76E5E&quot;/&gt;&lt;wsp:rsid wsp:val=&quot;00A77C99&quot;/&gt;&lt;wsp:rsid wsp:val=&quot;00A82628&quot;/&gt;&lt;wsp:rsid wsp:val=&quot;00A84709&quot;/&gt;&lt;wsp:rsid wsp:val=&quot;00A94C42&quot;/&gt;&lt;wsp:rsid wsp:val=&quot;00A953F6&quot;/&gt;&lt;wsp:rsid wsp:val=&quot;00A958FC&quot;/&gt;&lt;wsp:rsid wsp:val=&quot;00A972DD&quot;/&gt;&lt;wsp:rsid wsp:val=&quot;00AA1BBC&quot;/&gt;&lt;wsp:rsid wsp:val=&quot;00AA49A2&quot;/&gt;&lt;wsp:rsid wsp:val=&quot;00AA670D&quot;/&gt;&lt;wsp:rsid wsp:val=&quot;00AB2710&quot;/&gt;&lt;wsp:rsid wsp:val=&quot;00AC13C0&quot;/&gt;&lt;wsp:rsid wsp:val=&quot;00AC2D2B&quot;/&gt;&lt;wsp:rsid wsp:val=&quot;00AC4A96&quot;/&gt;&lt;wsp:rsid wsp:val=&quot;00AD0322&quot;/&gt;&lt;wsp:rsid wsp:val=&quot;00AD1047&quot;/&gt;&lt;wsp:rsid wsp:val=&quot;00AD184B&quot;/&gt;&lt;wsp:rsid wsp:val=&quot;00AD4179&quot;/&gt;&lt;wsp:rsid wsp:val=&quot;00AD6461&quot;/&gt;&lt;wsp:rsid wsp:val=&quot;00AE0FA0&quot;/&gt;&lt;wsp:rsid wsp:val=&quot;00AE4853&quot;/&gt;&lt;wsp:rsid wsp:val=&quot;00AE6CD0&quot;/&gt;&lt;wsp:rsid wsp:val=&quot;00AE766D&quot;/&gt;&lt;wsp:rsid wsp:val=&quot;00AF4EC3&quot;/&gt;&lt;wsp:rsid wsp:val=&quot;00AF4FCC&quot;/&gt;&lt;wsp:rsid wsp:val=&quot;00B00A5D&quot;/&gt;&lt;wsp:rsid wsp:val=&quot;00B04B3D&quot;/&gt;&lt;wsp:rsid wsp:val=&quot;00B0566D&quot;/&gt;&lt;wsp:rsid wsp:val=&quot;00B11024&quot;/&gt;&lt;wsp:rsid wsp:val=&quot;00B15354&quot;/&gt;&lt;wsp:rsid wsp:val=&quot;00B170B5&quot;/&gt;&lt;wsp:rsid wsp:val=&quot;00B22C41&quot;/&gt;&lt;wsp:rsid wsp:val=&quot;00B22F58&quot;/&gt;&lt;wsp:rsid wsp:val=&quot;00B24CA7&quot;/&gt;&lt;wsp:rsid wsp:val=&quot;00B30482&quot;/&gt;&lt;wsp:rsid wsp:val=&quot;00B31DC3&quot;/&gt;&lt;wsp:rsid wsp:val=&quot;00B35BD9&quot;/&gt;&lt;wsp:rsid wsp:val=&quot;00B35D55&quot;/&gt;&lt;wsp:rsid wsp:val=&quot;00B35EFD&quot;/&gt;&lt;wsp:rsid wsp:val=&quot;00B3648B&quot;/&gt;&lt;wsp:rsid wsp:val=&quot;00B369B8&quot;/&gt;&lt;wsp:rsid wsp:val=&quot;00B37B08&quot;/&gt;&lt;wsp:rsid wsp:val=&quot;00B37DE8&quot;/&gt;&lt;wsp:rsid wsp:val=&quot;00B41919&quot;/&gt;&lt;wsp:rsid wsp:val=&quot;00B44BA5&quot;/&gt;&lt;wsp:rsid wsp:val=&quot;00B5354E&quot;/&gt;&lt;wsp:rsid wsp:val=&quot;00B623F9&quot;/&gt;&lt;wsp:rsid wsp:val=&quot;00B625DC&quot;/&gt;&lt;wsp:rsid wsp:val=&quot;00B65146&quot;/&gt;&lt;wsp:rsid wsp:val=&quot;00B673F0&quot;/&gt;&lt;wsp:rsid wsp:val=&quot;00B76074&quot;/&gt;&lt;wsp:rsid wsp:val=&quot;00B818DC&quot;/&gt;&lt;wsp:rsid wsp:val=&quot;00B84CF5&quot;/&gt;&lt;wsp:rsid wsp:val=&quot;00B8519D&quot;/&gt;&lt;wsp:rsid wsp:val=&quot;00B90454&quot;/&gt;&lt;wsp:rsid wsp:val=&quot;00B94F5B&quot;/&gt;&lt;wsp:rsid wsp:val=&quot;00BA5F7E&quot;/&gt;&lt;wsp:rsid wsp:val=&quot;00BB2472&quot;/&gt;&lt;wsp:rsid wsp:val=&quot;00BB2C38&quot;/&gt;&lt;wsp:rsid wsp:val=&quot;00BB5339&quot;/&gt;&lt;wsp:rsid wsp:val=&quot;00BB7BC7&quot;/&gt;&lt;wsp:rsid wsp:val=&quot;00BC1B8D&quot;/&gt;&lt;wsp:rsid wsp:val=&quot;00BC3604&quot;/&gt;&lt;wsp:rsid wsp:val=&quot;00BC3988&quot;/&gt;&lt;wsp:rsid wsp:val=&quot;00BC3AE0&quot;/&gt;&lt;wsp:rsid wsp:val=&quot;00BC7E76&quot;/&gt;&lt;wsp:rsid wsp:val=&quot;00BD1548&quot;/&gt;&lt;wsp:rsid wsp:val=&quot;00BD1586&quot;/&gt;&lt;wsp:rsid wsp:val=&quot;00BD4141&quot;/&gt;&lt;wsp:rsid wsp:val=&quot;00BD4AE2&quot;/&gt;&lt;wsp:rsid wsp:val=&quot;00BD64F7&quot;/&gt;&lt;wsp:rsid wsp:val=&quot;00BE6A20&quot;/&gt;&lt;wsp:rsid wsp:val=&quot;00BE6DB7&quot;/&gt;&lt;wsp:rsid wsp:val=&quot;00BF0F53&quot;/&gt;&lt;wsp:rsid wsp:val=&quot;00BF12F6&quot;/&gt;&lt;wsp:rsid wsp:val=&quot;00BF6835&quot;/&gt;&lt;wsp:rsid wsp:val=&quot;00BF6F7D&quot;/&gt;&lt;wsp:rsid wsp:val=&quot;00C00765&quot;/&gt;&lt;wsp:rsid wsp:val=&quot;00C05F09&quot;/&gt;&lt;wsp:rsid wsp:val=&quot;00C10464&quot;/&gt;&lt;wsp:rsid wsp:val=&quot;00C1142F&quot;/&gt;&lt;wsp:rsid wsp:val=&quot;00C119C2&quot;/&gt;&lt;wsp:rsid wsp:val=&quot;00C12F1D&quot;/&gt;&lt;wsp:rsid wsp:val=&quot;00C14253&quot;/&gt;&lt;wsp:rsid wsp:val=&quot;00C14450&quot;/&gt;&lt;wsp:rsid wsp:val=&quot;00C15A9E&quot;/&gt;&lt;wsp:rsid wsp:val=&quot;00C15C0D&quot;/&gt;&lt;wsp:rsid wsp:val=&quot;00C17B61&quot;/&gt;&lt;wsp:rsid wsp:val=&quot;00C20807&quot;/&gt;&lt;wsp:rsid wsp:val=&quot;00C21B54&quot;/&gt;&lt;wsp:rsid wsp:val=&quot;00C2450A&quot;/&gt;&lt;wsp:rsid wsp:val=&quot;00C24F0F&quot;/&gt;&lt;wsp:rsid wsp:val=&quot;00C30360&quot;/&gt;&lt;wsp:rsid wsp:val=&quot;00C3056D&quot;/&gt;&lt;wsp:rsid wsp:val=&quot;00C32AA7&quot;/&gt;&lt;wsp:rsid wsp:val=&quot;00C3307F&quot;/&gt;&lt;wsp:rsid wsp:val=&quot;00C330BE&quot;/&gt;&lt;wsp:rsid wsp:val=&quot;00C370D2&quot;/&gt;&lt;wsp:rsid wsp:val=&quot;00C37183&quot;/&gt;&lt;wsp:rsid wsp:val=&quot;00C37745&quot;/&gt;&lt;wsp:rsid wsp:val=&quot;00C40967&quot;/&gt;&lt;wsp:rsid wsp:val=&quot;00C41845&quot;/&gt;&lt;wsp:rsid wsp:val=&quot;00C42142&quot;/&gt;&lt;wsp:rsid wsp:val=&quot;00C438AF&quot;/&gt;&lt;wsp:rsid wsp:val=&quot;00C50262&quot;/&gt;&lt;wsp:rsid wsp:val=&quot;00C50757&quot;/&gt;&lt;wsp:rsid wsp:val=&quot;00C50A82&quot;/&gt;&lt;wsp:rsid wsp:val=&quot;00C53DEA&quot;/&gt;&lt;wsp:rsid wsp:val=&quot;00C57F24&quot;/&gt;&lt;wsp:rsid wsp:val=&quot;00C600E2&quot;/&gt;&lt;wsp:rsid wsp:val=&quot;00C63D43&quot;/&gt;&lt;wsp:rsid wsp:val=&quot;00C6494D&quot;/&gt;&lt;wsp:rsid wsp:val=&quot;00C73944&quot;/&gt;&lt;wsp:rsid wsp:val=&quot;00C74134&quot;/&gt;&lt;wsp:rsid wsp:val=&quot;00C75711&quot;/&gt;&lt;wsp:rsid wsp:val=&quot;00C823B1&quot;/&gt;&lt;wsp:rsid wsp:val=&quot;00C8307A&quot;/&gt;&lt;wsp:rsid wsp:val=&quot;00C84955&quot;/&gt;&lt;wsp:rsid wsp:val=&quot;00C86205&quot;/&gt;&lt;wsp:rsid wsp:val=&quot;00C86345&quot;/&gt;&lt;wsp:rsid wsp:val=&quot;00C9075B&quot;/&gt;&lt;wsp:rsid wsp:val=&quot;00C93E9A&quot;/&gt;&lt;wsp:rsid wsp:val=&quot;00C94075&quot;/&gt;&lt;wsp:rsid wsp:val=&quot;00C9515E&quot;/&gt;&lt;wsp:rsid wsp:val=&quot;00CA271E&quot;/&gt;&lt;wsp:rsid wsp:val=&quot;00CA408C&quot;/&gt;&lt;wsp:rsid wsp:val=&quot;00CB0D02&quot;/&gt;&lt;wsp:rsid wsp:val=&quot;00CB1488&quot;/&gt;&lt;wsp:rsid wsp:val=&quot;00CB5B36&quot;/&gt;&lt;wsp:rsid wsp:val=&quot;00CB7141&quot;/&gt;&lt;wsp:rsid wsp:val=&quot;00CB7414&quot;/&gt;&lt;wsp:rsid wsp:val=&quot;00CC2EF5&quot;/&gt;&lt;wsp:rsid wsp:val=&quot;00CC3A95&quot;/&gt;&lt;wsp:rsid wsp:val=&quot;00CC5114&quot;/&gt;&lt;wsp:rsid wsp:val=&quot;00CD0C7E&quot;/&gt;&lt;wsp:rsid wsp:val=&quot;00CD1265&quot;/&gt;&lt;wsp:rsid wsp:val=&quot;00CD3503&quot;/&gt;&lt;wsp:rsid wsp:val=&quot;00CD6861&quot;/&gt;&lt;wsp:rsid wsp:val=&quot;00CE06AF&quot;/&gt;&lt;wsp:rsid wsp:val=&quot;00CE128E&quot;/&gt;&lt;wsp:rsid wsp:val=&quot;00CE1B1D&quot;/&gt;&lt;wsp:rsid wsp:val=&quot;00CE28F4&quot;/&gt;&lt;wsp:rsid wsp:val=&quot;00CE444B&quot;/&gt;&lt;wsp:rsid wsp:val=&quot;00CE7A34&quot;/&gt;&lt;wsp:rsid wsp:val=&quot;00CF3380&quot;/&gt;&lt;wsp:rsid wsp:val=&quot;00CF4E71&quot;/&gt;&lt;wsp:rsid wsp:val=&quot;00CF7693&quot;/&gt;&lt;wsp:rsid wsp:val=&quot;00D001D7&quot;/&gt;&lt;wsp:rsid wsp:val=&quot;00D007D6&quot;/&gt;&lt;wsp:rsid wsp:val=&quot;00D01CFE&quot;/&gt;&lt;wsp:rsid wsp:val=&quot;00D04936&quot;/&gt;&lt;wsp:rsid wsp:val=&quot;00D05FA7&quot;/&gt;&lt;wsp:rsid wsp:val=&quot;00D07C4B&quot;/&gt;&lt;wsp:rsid wsp:val=&quot;00D102CD&quot;/&gt;&lt;wsp:rsid wsp:val=&quot;00D11FE2&quot;/&gt;&lt;wsp:rsid wsp:val=&quot;00D127D2&quot;/&gt;&lt;wsp:rsid wsp:val=&quot;00D154D9&quot;/&gt;&lt;wsp:rsid wsp:val=&quot;00D16967&quot;/&gt;&lt;wsp:rsid wsp:val=&quot;00D17910&quot;/&gt;&lt;wsp:rsid wsp:val=&quot;00D225D8&quot;/&gt;&lt;wsp:rsid wsp:val=&quot;00D306A1&quot;/&gt;&lt;wsp:rsid wsp:val=&quot;00D33A2E&quot;/&gt;&lt;wsp:rsid wsp:val=&quot;00D372AE&quot;/&gt;&lt;wsp:rsid wsp:val=&quot;00D376A9&quot;/&gt;&lt;wsp:rsid wsp:val=&quot;00D4120C&quot;/&gt;&lt;wsp:rsid wsp:val=&quot;00D41986&quot;/&gt;&lt;wsp:rsid wsp:val=&quot;00D455A1&quot;/&gt;&lt;wsp:rsid wsp:val=&quot;00D47152&quot;/&gt;&lt;wsp:rsid wsp:val=&quot;00D511A1&quot;/&gt;&lt;wsp:rsid wsp:val=&quot;00D52CD0&quot;/&gt;&lt;wsp:rsid wsp:val=&quot;00D55236&quot;/&gt;&lt;wsp:rsid wsp:val=&quot;00D65D22&quot;/&gt;&lt;wsp:rsid wsp:val=&quot;00D67D78&quot;/&gt;&lt;wsp:rsid wsp:val=&quot;00D748FB&quot;/&gt;&lt;wsp:rsid wsp:val=&quot;00D74A2E&quot;/&gt;&lt;wsp:rsid wsp:val=&quot;00D7524F&quot;/&gt;&lt;wsp:rsid wsp:val=&quot;00D75AD7&quot;/&gt;&lt;wsp:rsid wsp:val=&quot;00D75E1A&quot;/&gt;&lt;wsp:rsid wsp:val=&quot;00D76128&quot;/&gt;&lt;wsp:rsid wsp:val=&quot;00D76DA9&quot;/&gt;&lt;wsp:rsid wsp:val=&quot;00D80623&quot;/&gt;&lt;wsp:rsid wsp:val=&quot;00D81088&quot;/&gt;&lt;wsp:rsid wsp:val=&quot;00D81AEA&quot;/&gt;&lt;wsp:rsid wsp:val=&quot;00D832AD&quot;/&gt;&lt;wsp:rsid wsp:val=&quot;00D860F9&quot;/&gt;&lt;wsp:rsid wsp:val=&quot;00D872BF&quot;/&gt;&lt;wsp:rsid wsp:val=&quot;00D87F03&quot;/&gt;&lt;wsp:rsid wsp:val=&quot;00D9440D&quot;/&gt;&lt;wsp:rsid wsp:val=&quot;00D9493E&quot;/&gt;&lt;wsp:rsid wsp:val=&quot;00D96B96&quot;/&gt;&lt;wsp:rsid wsp:val=&quot;00D96F26&quot;/&gt;&lt;wsp:rsid wsp:val=&quot;00DA0BEA&quot;/&gt;&lt;wsp:rsid wsp:val=&quot;00DA5F27&quot;/&gt;&lt;wsp:rsid wsp:val=&quot;00DA6448&quot;/&gt;&lt;wsp:rsid wsp:val=&quot;00DA6A28&quot;/&gt;&lt;wsp:rsid wsp:val=&quot;00DB1FD2&quot;/&gt;&lt;wsp:rsid wsp:val=&quot;00DB7810&quot;/&gt;&lt;wsp:rsid wsp:val=&quot;00DC09EC&quot;/&gt;&lt;wsp:rsid wsp:val=&quot;00DC1F51&quot;/&gt;&lt;wsp:rsid wsp:val=&quot;00DC223C&quot;/&gt;&lt;wsp:rsid wsp:val=&quot;00DC2F33&quot;/&gt;&lt;wsp:rsid wsp:val=&quot;00DC36A8&quot;/&gt;&lt;wsp:rsid wsp:val=&quot;00DC5CD9&quot;/&gt;&lt;wsp:rsid wsp:val=&quot;00DD31D3&quot;/&gt;&lt;wsp:rsid wsp:val=&quot;00DD4895&quot;/&gt;&lt;wsp:rsid wsp:val=&quot;00DD6481&quot;/&gt;&lt;wsp:rsid wsp:val=&quot;00DD653F&quot;/&gt;&lt;wsp:rsid wsp:val=&quot;00DE01F6&quot;/&gt;&lt;wsp:rsid wsp:val=&quot;00DE034D&quot;/&gt;&lt;wsp:rsid wsp:val=&quot;00DE195E&quot;/&gt;&lt;wsp:rsid wsp:val=&quot;00DE1F09&quot;/&gt;&lt;wsp:rsid wsp:val=&quot;00DE2040&quot;/&gt;&lt;wsp:rsid wsp:val=&quot;00DE2998&quot;/&gt;&lt;wsp:rsid wsp:val=&quot;00DE2E87&quot;/&gt;&lt;wsp:rsid wsp:val=&quot;00DE3FED&quot;/&gt;&lt;wsp:rsid wsp:val=&quot;00DE4223&quot;/&gt;&lt;wsp:rsid wsp:val=&quot;00DE6B60&quot;/&gt;&lt;wsp:rsid wsp:val=&quot;00DE7E89&quot;/&gt;&lt;wsp:rsid wsp:val=&quot;00DF01C0&quot;/&gt;&lt;wsp:rsid wsp:val=&quot;00DF661D&quot;/&gt;&lt;wsp:rsid wsp:val=&quot;00DF6B64&quot;/&gt;&lt;wsp:rsid wsp:val=&quot;00DF7263&quot;/&gt;&lt;wsp:rsid wsp:val=&quot;00E06C6B&quot;/&gt;&lt;wsp:rsid wsp:val=&quot;00E06D10&quot;/&gt;&lt;wsp:rsid wsp:val=&quot;00E10414&quot;/&gt;&lt;wsp:rsid wsp:val=&quot;00E107EA&quot;/&gt;&lt;wsp:rsid wsp:val=&quot;00E12040&quot;/&gt;&lt;wsp:rsid wsp:val=&quot;00E131AA&quot;/&gt;&lt;wsp:rsid wsp:val=&quot;00E165D8&quot;/&gt;&lt;wsp:rsid wsp:val=&quot;00E20458&quot;/&gt;&lt;wsp:rsid wsp:val=&quot;00E219B9&quot;/&gt;&lt;wsp:rsid wsp:val=&quot;00E22532&quot;/&gt;&lt;wsp:rsid wsp:val=&quot;00E22A80&quot;/&gt;&lt;wsp:rsid wsp:val=&quot;00E23F42&quot;/&gt;&lt;wsp:rsid wsp:val=&quot;00E24D0A&quot;/&gt;&lt;wsp:rsid wsp:val=&quot;00E24D5D&quot;/&gt;&lt;wsp:rsid wsp:val=&quot;00E27E51&quot;/&gt;&lt;wsp:rsid wsp:val=&quot;00E32F6D&quot;/&gt;&lt;wsp:rsid wsp:val=&quot;00E334DA&quot;/&gt;&lt;wsp:rsid wsp:val=&quot;00E33D37&quot;/&gt;&lt;wsp:rsid wsp:val=&quot;00E3468B&quot;/&gt;&lt;wsp:rsid wsp:val=&quot;00E37096&quot;/&gt;&lt;wsp:rsid wsp:val=&quot;00E40B33&quot;/&gt;&lt;wsp:rsid wsp:val=&quot;00E433FA&quot;/&gt;&lt;wsp:rsid wsp:val=&quot;00E44C44&quot;/&gt;&lt;wsp:rsid wsp:val=&quot;00E46215&quot;/&gt;&lt;wsp:rsid wsp:val=&quot;00E52151&quot;/&gt;&lt;wsp:rsid wsp:val=&quot;00E5452B&quot;/&gt;&lt;wsp:rsid wsp:val=&quot;00E55B60&quot;/&gt;&lt;wsp:rsid wsp:val=&quot;00E56487&quot;/&gt;&lt;wsp:rsid wsp:val=&quot;00E605C5&quot;/&gt;&lt;wsp:rsid wsp:val=&quot;00E645F5&quot;/&gt;&lt;wsp:rsid wsp:val=&quot;00E66B24&quot;/&gt;&lt;wsp:rsid wsp:val=&quot;00E673B3&quot;/&gt;&lt;wsp:rsid wsp:val=&quot;00E71182&quot;/&gt;&lt;wsp:rsid wsp:val=&quot;00E72D0A&quot;/&gt;&lt;wsp:rsid wsp:val=&quot;00E75B55&quot;/&gt;&lt;wsp:rsid wsp:val=&quot;00E7797A&quot;/&gt;&lt;wsp:rsid wsp:val=&quot;00E779DE&quot;/&gt;&lt;wsp:rsid wsp:val=&quot;00E80037&quot;/&gt;&lt;wsp:rsid wsp:val=&quot;00E802F4&quot;/&gt;&lt;wsp:rsid wsp:val=&quot;00E82DB3&quot;/&gt;&lt;wsp:rsid wsp:val=&quot;00E8462F&quot;/&gt;&lt;wsp:rsid wsp:val=&quot;00E846C6&quot;/&gt;&lt;wsp:rsid wsp:val=&quot;00E846E5&quot;/&gt;&lt;wsp:rsid wsp:val=&quot;00E853F3&quot;/&gt;&lt;wsp:rsid wsp:val=&quot;00E857C2&quot;/&gt;&lt;wsp:rsid wsp:val=&quot;00E8645B&quot;/&gt;&lt;wsp:rsid wsp:val=&quot;00E8715E&quot;/&gt;&lt;wsp:rsid wsp:val=&quot;00E91BEC&quot;/&gt;&lt;wsp:rsid wsp:val=&quot;00E92087&quot;/&gt;&lt;wsp:rsid wsp:val=&quot;00EA0BCD&quot;/&gt;&lt;wsp:rsid wsp:val=&quot;00EA3CE4&quot;/&gt;&lt;wsp:rsid wsp:val=&quot;00EA3F26&quot;/&gt;&lt;wsp:rsid wsp:val=&quot;00EA639C&quot;/&gt;&lt;wsp:rsid wsp:val=&quot;00EA66E6&quot;/&gt;&lt;wsp:rsid wsp:val=&quot;00EA77F9&quot;/&gt;&lt;wsp:rsid wsp:val=&quot;00EB2FEC&quot;/&gt;&lt;wsp:rsid wsp:val=&quot;00EC030A&quot;/&gt;&lt;wsp:rsid wsp:val=&quot;00EC1262&quot;/&gt;&lt;wsp:rsid wsp:val=&quot;00EC2491&quot;/&gt;&lt;wsp:rsid wsp:val=&quot;00EC2A77&quot;/&gt;&lt;wsp:rsid wsp:val=&quot;00EC311F&quot;/&gt;&lt;wsp:rsid wsp:val=&quot;00ED0C86&quot;/&gt;&lt;wsp:rsid wsp:val=&quot;00ED2C42&quot;/&gt;&lt;wsp:rsid wsp:val=&quot;00ED3792&quot;/&gt;&lt;wsp:rsid wsp:val=&quot;00EE09C1&quot;/&gt;&lt;wsp:rsid wsp:val=&quot;00EE2D29&quot;/&gt;&lt;wsp:rsid wsp:val=&quot;00EE411A&quot;/&gt;&lt;wsp:rsid wsp:val=&quot;00EE4317&quot;/&gt;&lt;wsp:rsid wsp:val=&quot;00EE4819&quot;/&gt;&lt;wsp:rsid wsp:val=&quot;00EE509B&quot;/&gt;&lt;wsp:rsid wsp:val=&quot;00EE58C2&quot;/&gt;&lt;wsp:rsid wsp:val=&quot;00EE5BCF&quot;/&gt;&lt;wsp:rsid wsp:val=&quot;00EE7404&quot;/&gt;&lt;wsp:rsid wsp:val=&quot;00EF1A0B&quot;/&gt;&lt;wsp:rsid wsp:val=&quot;00EF2452&quot;/&gt;&lt;wsp:rsid wsp:val=&quot;00EF3B2B&quot;/&gt;&lt;wsp:rsid wsp:val=&quot;00EF60D2&quot;/&gt;&lt;wsp:rsid wsp:val=&quot;00EF6C72&quot;/&gt;&lt;wsp:rsid wsp:val=&quot;00F00EE9&quot;/&gt;&lt;wsp:rsid wsp:val=&quot;00F01A83&quot;/&gt;&lt;wsp:rsid wsp:val=&quot;00F01A95&quot;/&gt;&lt;wsp:rsid wsp:val=&quot;00F06B0A&quot;/&gt;&lt;wsp:rsid wsp:val=&quot;00F120AB&quot;/&gt;&lt;wsp:rsid wsp:val=&quot;00F144BD&quot;/&gt;&lt;wsp:rsid wsp:val=&quot;00F147FA&quot;/&gt;&lt;wsp:rsid wsp:val=&quot;00F14808&quot;/&gt;&lt;wsp:rsid wsp:val=&quot;00F246CE&quot;/&gt;&lt;wsp:rsid wsp:val=&quot;00F266DF&quot;/&gt;&lt;wsp:rsid wsp:val=&quot;00F27418&quot;/&gt;&lt;wsp:rsid wsp:val=&quot;00F31BBC&quot;/&gt;&lt;wsp:rsid wsp:val=&quot;00F3238B&quot;/&gt;&lt;wsp:rsid wsp:val=&quot;00F333E6&quot;/&gt;&lt;wsp:rsid wsp:val=&quot;00F338F6&quot;/&gt;&lt;wsp:rsid wsp:val=&quot;00F341FC&quot;/&gt;&lt;wsp:rsid wsp:val=&quot;00F379DD&quot;/&gt;&lt;wsp:rsid wsp:val=&quot;00F42A93&quot;/&gt;&lt;wsp:rsid wsp:val=&quot;00F4410C&quot;/&gt;&lt;wsp:rsid wsp:val=&quot;00F445C4&quot;/&gt;&lt;wsp:rsid wsp:val=&quot;00F4483E&quot;/&gt;&lt;wsp:rsid wsp:val=&quot;00F456D0&quot;/&gt;&lt;wsp:rsid wsp:val=&quot;00F47244&quot;/&gt;&lt;wsp:rsid wsp:val=&quot;00F479B1&quot;/&gt;&lt;wsp:rsid wsp:val=&quot;00F47A4C&quot;/&gt;&lt;wsp:rsid wsp:val=&quot;00F53118&quot;/&gt;&lt;wsp:rsid wsp:val=&quot;00F54218&quot;/&gt;&lt;wsp:rsid wsp:val=&quot;00F618B4&quot;/&gt;&lt;wsp:rsid wsp:val=&quot;00F63D6E&quot;/&gt;&lt;wsp:rsid wsp:val=&quot;00F72BCF&quot;/&gt;&lt;wsp:rsid wsp:val=&quot;00F767C0&quot;/&gt;&lt;wsp:rsid wsp:val=&quot;00F80D64&quot;/&gt;&lt;wsp:rsid wsp:val=&quot;00F84024&quot;/&gt;&lt;wsp:rsid wsp:val=&quot;00F867DD&quot;/&gt;&lt;wsp:rsid wsp:val=&quot;00F936A8&quot;/&gt;&lt;wsp:rsid wsp:val=&quot;00F940C2&quot;/&gt;&lt;wsp:rsid wsp:val=&quot;00F94B90&quot;/&gt;&lt;wsp:rsid wsp:val=&quot;00F94C11&quot;/&gt;&lt;wsp:rsid wsp:val=&quot;00F96AB5&quot;/&gt;&lt;wsp:rsid wsp:val=&quot;00FA3199&quot;/&gt;&lt;wsp:rsid wsp:val=&quot;00FA5F45&quot;/&gt;&lt;wsp:rsid wsp:val=&quot;00FA617F&quot;/&gt;&lt;wsp:rsid wsp:val=&quot;00FA7522&quot;/&gt;&lt;wsp:rsid wsp:val=&quot;00FB1B0A&quot;/&gt;&lt;wsp:rsid wsp:val=&quot;00FB3463&quot;/&gt;&lt;wsp:rsid wsp:val=&quot;00FB5CA2&quot;/&gt;&lt;wsp:rsid wsp:val=&quot;00FB7C95&quot;/&gt;&lt;wsp:rsid wsp:val=&quot;00FC1B40&quot;/&gt;&lt;wsp:rsid wsp:val=&quot;00FC2920&quot;/&gt;&lt;wsp:rsid wsp:val=&quot;00FC2C59&quot;/&gt;&lt;wsp:rsid wsp:val=&quot;00FD178C&quot;/&gt;&lt;wsp:rsid wsp:val=&quot;00FD2EB4&quot;/&gt;&lt;wsp:rsid wsp:val=&quot;00FD3B7E&quot;/&gt;&lt;wsp:rsid wsp:val=&quot;00FD6066&quot;/&gt;&lt;wsp:rsid wsp:val=&quot;00FD7E7B&quot;/&gt;&lt;wsp:rsid wsp:val=&quot;00FE0B81&quot;/&gt;&lt;wsp:rsid wsp:val=&quot;00FE1E05&quot;/&gt;&lt;wsp:rsid wsp:val=&quot;00FE6B44&quot;/&gt;&lt;wsp:rsid wsp:val=&quot;00FF037B&quot;/&gt;&lt;wsp:rsid wsp:val=&quot;00FF0D77&quot;/&gt;&lt;wsp:rsid wsp:val=&quot;00FF133C&quot;/&gt;&lt;wsp:rsid wsp:val=&quot;00FF17E4&quot;/&gt;&lt;wsp:rsid wsp:val=&quot;00FF1B1D&quot;/&gt;&lt;wsp:rsid wsp:val=&quot;00FF5B35&quot;/&gt;&lt;/wsp:rsids&gt;&lt;/w:docPr&gt;&lt;w:body&gt;&lt;wx:sect&gt;&lt;w:p wsp:rsidR=&quot;00000000&quot; wsp:rsidRPr=&quot;008B6680&quot; wsp:rsidRDefault=&quot;008B6680&quot; wsp:rsidP=&quot;008B6680&quot;&gt;&lt;m:oMathPara&gt;&lt;m:oMath&gt;&lt;m:r&gt;&lt;w:rPr&gt;&lt;w:rFonts w:ascii=&quot;Cambria Math&quot; w:h-ansi=&quot;Cambria Math&quot;/&gt;&lt;wx:font wx:val=&quot;Cambria Math&quot;/&gt;&lt;w:i/&gt;&lt;/w:rPr&gt;&lt;m:t&gt;disposal for 5.A.3= 10%Ã—&lt;/m:t&gt;&lt;/m:r&gt;&lt;m:d&gt;&lt;m:dPr&gt;&lt;m:ctrlPr&gt;&lt;w:rPr&gt;&lt;w:rFonts w:ascii=&quot;Cambria Math&quot; w:h-ansi=&quot;Cambria Math&quot;/&gt;&lt;wx:font wx:val=&quot;Cambria Math&quot;/&gt;&lt;w:i/&gt;&lt;/w:rPr&gt;&lt;/m:ctrlPr&gt;&lt;/m:dPr&gt;&lt;m:e&gt;&lt;m:r&gt;&lt;w:rPr&gt;&lt;w:rFonts w:ascii=&quot;Cambria Math&quot; w:h-ansi=&quot;Cambria Math&quot;/&gt;&lt;wx:font wx:val=&quot;Cambria Math&quot;/&gt;&lt;w:i/&gt;&lt;/w:rPr&gt;&lt;m:t&gt;national total-disposal for LFG sites&lt;/m:t&gt;&lt;/m:r&gt;&lt;/m:e&gt;&lt;/m:d&gt;&lt;/m:oMath&gt;&lt;/m:oMathPara&gt;&lt;/w:p&gt;&lt;w:sectPr wsp:rsidR=&quot;00000000&quot; wsp:rsidRPr=&quot;008B6680&quot;&gt;&lt;w:pgSz w:w=&quot;12240&quot; w:h=&quot;15840&quot;/&gt;&lt;w:pgMar w:top=&quot;1440&quot; w:right=&quot;1440&quot; w:bottom=&quot;1440&quot; w:left=&quot;1440&quot; w:header=&quot;720&quot; w:footer=&quot;720&quot; w:gutter=&quot;0&quot;/&gt;&lt;w:cols w:space=&quot;720&quot;/&gt;&lt;/w:sectPr&gt;&lt;/wx:sect&gt;&lt;/w:body&gt;&lt;/w:wordDocument&gt;">
            <v:imagedata r:id="rId223" o:title="" chromakey="white"/>
          </v:shape>
        </w:pict>
      </w:r>
    </w:p>
    <w:p w14:paraId="0ACAE4AA" w14:textId="77777777" w:rsidR="00005A00" w:rsidRPr="00256982" w:rsidRDefault="00005A00" w:rsidP="00E84218">
      <w:pPr>
        <w:pStyle w:val="BodyText"/>
      </w:pPr>
      <w:r w:rsidRPr="00256982">
        <w:rPr>
          <w:spacing w:val="-2"/>
        </w:rPr>
        <w:t>Between 1995 and 2010, the 10 per cent fraction declines to zero, and ac</w:t>
      </w:r>
      <w:r w:rsidRPr="00256982">
        <w:t>tivity data for uncategorised sites is reported as not occurring (NO) from 2010 onwards.</w:t>
      </w:r>
    </w:p>
    <w:p w14:paraId="24B30655" w14:textId="77777777" w:rsidR="00005A00" w:rsidRPr="00256982" w:rsidRDefault="00005A00" w:rsidP="00E84218">
      <w:pPr>
        <w:pStyle w:val="BodyText"/>
      </w:pPr>
      <w:r w:rsidRPr="00256982">
        <w:t>Table 7.2.2 shows waste placement from the beginning of the model in 1950 to 2017. Landfill sites that had LFG recovery at any time since 1950 are included in the ‘sites with LFG recovery’ category even though no sites had LFG recovery before 1985. There is also a small amount of sludge disposed of in sites without LFG recovery, and this has increased steadily from 2.4 kt in 1950 to 5.3 kt in 2017 (Tonkin and Taylor Ltd, unpublished(a)). This amount is estimated separately and is additional to the amounts reported in table 7.2.2.</w:t>
      </w:r>
    </w:p>
    <w:p w14:paraId="0306A3AE" w14:textId="77777777" w:rsidR="00005A00" w:rsidRPr="00256982" w:rsidRDefault="00005A00" w:rsidP="00005A00">
      <w:pPr>
        <w:pStyle w:val="Table"/>
      </w:pPr>
      <w:bookmarkStart w:id="2296" w:name="_Toc508019323"/>
      <w:bookmarkStart w:id="2297" w:name="_Toc511116821"/>
      <w:bookmarkStart w:id="2298" w:name="_Toc5269562"/>
      <w:r w:rsidRPr="00256982">
        <w:t xml:space="preserve">Table 7.2.2 </w:t>
      </w:r>
      <w:r w:rsidRPr="00256982">
        <w:tab/>
        <w:t>Solid waste deposited to municipal and uncategorised landfills from 1950 to 201</w:t>
      </w:r>
      <w:bookmarkEnd w:id="2296"/>
      <w:bookmarkEnd w:id="2297"/>
      <w:r w:rsidRPr="00256982">
        <w:t>7</w:t>
      </w:r>
      <w:bookmarkEnd w:id="2298"/>
    </w:p>
    <w:tbl>
      <w:tblPr>
        <w:tblW w:w="8505" w:type="dxa"/>
        <w:tblInd w:w="108" w:type="dxa"/>
        <w:tblLook w:val="04A0" w:firstRow="1" w:lastRow="0" w:firstColumn="1" w:lastColumn="0" w:noHBand="0" w:noVBand="1"/>
      </w:tblPr>
      <w:tblGrid>
        <w:gridCol w:w="993"/>
        <w:gridCol w:w="1942"/>
        <w:gridCol w:w="2168"/>
        <w:gridCol w:w="1843"/>
        <w:gridCol w:w="1559"/>
      </w:tblGrid>
      <w:tr w:rsidR="00005A00" w:rsidRPr="00256982" w14:paraId="38AEE859" w14:textId="77777777" w:rsidTr="00AA14F1">
        <w:trPr>
          <w:tblHeader/>
        </w:trPr>
        <w:tc>
          <w:tcPr>
            <w:tcW w:w="993" w:type="dxa"/>
            <w:tcBorders>
              <w:top w:val="single" w:sz="4" w:space="0" w:color="365F91"/>
              <w:bottom w:val="single" w:sz="4" w:space="0" w:color="365F91"/>
            </w:tcBorders>
            <w:shd w:val="clear" w:color="auto" w:fill="365F91"/>
            <w:vAlign w:val="bottom"/>
          </w:tcPr>
          <w:p w14:paraId="30C1F18D" w14:textId="77777777" w:rsidR="00005A00" w:rsidRPr="00256982" w:rsidRDefault="00005A00" w:rsidP="00AA14F1">
            <w:pPr>
              <w:pStyle w:val="TableTextBold"/>
              <w:keepNext/>
              <w:spacing w:before="50" w:after="50"/>
              <w:rPr>
                <w:noProof w:val="0"/>
                <w:color w:val="FFFFFF"/>
              </w:rPr>
            </w:pPr>
            <w:r w:rsidRPr="00256982">
              <w:rPr>
                <w:noProof w:val="0"/>
                <w:color w:val="FFFFFF"/>
              </w:rPr>
              <w:t>Year</w:t>
            </w:r>
          </w:p>
        </w:tc>
        <w:tc>
          <w:tcPr>
            <w:tcW w:w="1942" w:type="dxa"/>
            <w:tcBorders>
              <w:top w:val="single" w:sz="4" w:space="0" w:color="365F91"/>
              <w:bottom w:val="single" w:sz="4" w:space="0" w:color="365F91"/>
            </w:tcBorders>
            <w:shd w:val="clear" w:color="auto" w:fill="365F91"/>
            <w:vAlign w:val="bottom"/>
          </w:tcPr>
          <w:p w14:paraId="1B5C6F91" w14:textId="77777777" w:rsidR="00005A00" w:rsidRPr="00256982" w:rsidRDefault="00005A00" w:rsidP="00AA14F1">
            <w:pPr>
              <w:pStyle w:val="TableTextBold"/>
              <w:spacing w:before="50" w:after="50"/>
              <w:jc w:val="center"/>
              <w:rPr>
                <w:noProof w:val="0"/>
                <w:color w:val="FFFFFF"/>
              </w:rPr>
            </w:pPr>
            <w:r w:rsidRPr="00256982">
              <w:rPr>
                <w:noProof w:val="0"/>
                <w:color w:val="FFFFFF"/>
              </w:rPr>
              <w:t xml:space="preserve">Sites with LFG </w:t>
            </w:r>
            <w:r w:rsidRPr="00256982">
              <w:rPr>
                <w:noProof w:val="0"/>
                <w:color w:val="FFFFFF"/>
              </w:rPr>
              <w:br/>
              <w:t>recovery (kt)</w:t>
            </w:r>
          </w:p>
        </w:tc>
        <w:tc>
          <w:tcPr>
            <w:tcW w:w="2168" w:type="dxa"/>
            <w:tcBorders>
              <w:top w:val="single" w:sz="4" w:space="0" w:color="365F91"/>
              <w:bottom w:val="single" w:sz="4" w:space="0" w:color="365F91"/>
            </w:tcBorders>
            <w:shd w:val="clear" w:color="auto" w:fill="365F91"/>
            <w:vAlign w:val="bottom"/>
          </w:tcPr>
          <w:p w14:paraId="4430C0C7" w14:textId="77777777" w:rsidR="00005A00" w:rsidRPr="00256982" w:rsidRDefault="00005A00" w:rsidP="00AA14F1">
            <w:pPr>
              <w:pStyle w:val="TableTextBold"/>
              <w:spacing w:before="50" w:after="50"/>
              <w:jc w:val="center"/>
              <w:rPr>
                <w:noProof w:val="0"/>
                <w:color w:val="FFFFFF"/>
              </w:rPr>
            </w:pPr>
            <w:r w:rsidRPr="00256982">
              <w:rPr>
                <w:noProof w:val="0"/>
                <w:color w:val="FFFFFF"/>
              </w:rPr>
              <w:t xml:space="preserve">Sites without </w:t>
            </w:r>
            <w:r w:rsidRPr="00256982">
              <w:rPr>
                <w:noProof w:val="0"/>
                <w:color w:val="FFFFFF"/>
              </w:rPr>
              <w:br/>
              <w:t>LFG recovery (kt)</w:t>
            </w:r>
          </w:p>
        </w:tc>
        <w:tc>
          <w:tcPr>
            <w:tcW w:w="1843" w:type="dxa"/>
            <w:tcBorders>
              <w:top w:val="single" w:sz="4" w:space="0" w:color="365F91"/>
              <w:bottom w:val="single" w:sz="4" w:space="0" w:color="365F91"/>
            </w:tcBorders>
            <w:shd w:val="clear" w:color="auto" w:fill="365F91"/>
            <w:vAlign w:val="bottom"/>
          </w:tcPr>
          <w:p w14:paraId="1D60677D" w14:textId="77777777" w:rsidR="00005A00" w:rsidRPr="00256982" w:rsidRDefault="00005A00" w:rsidP="00AA14F1">
            <w:pPr>
              <w:pStyle w:val="TableTextBold"/>
              <w:spacing w:before="50" w:after="50"/>
              <w:jc w:val="center"/>
              <w:rPr>
                <w:noProof w:val="0"/>
                <w:color w:val="FFFFFF"/>
              </w:rPr>
            </w:pPr>
            <w:r w:rsidRPr="00256982">
              <w:rPr>
                <w:noProof w:val="0"/>
                <w:color w:val="FFFFFF"/>
              </w:rPr>
              <w:t xml:space="preserve">Uncategorised </w:t>
            </w:r>
            <w:r w:rsidRPr="00256982">
              <w:rPr>
                <w:noProof w:val="0"/>
                <w:color w:val="FFFFFF"/>
              </w:rPr>
              <w:br/>
              <w:t>sites (kt)</w:t>
            </w:r>
          </w:p>
        </w:tc>
        <w:tc>
          <w:tcPr>
            <w:tcW w:w="1559" w:type="dxa"/>
            <w:tcBorders>
              <w:top w:val="single" w:sz="4" w:space="0" w:color="365F91"/>
              <w:bottom w:val="single" w:sz="4" w:space="0" w:color="365F91"/>
            </w:tcBorders>
            <w:shd w:val="clear" w:color="auto" w:fill="365F91"/>
            <w:vAlign w:val="bottom"/>
          </w:tcPr>
          <w:p w14:paraId="166EEE0B" w14:textId="77777777" w:rsidR="00005A00" w:rsidRPr="00256982" w:rsidRDefault="00005A00" w:rsidP="00AA14F1">
            <w:pPr>
              <w:pStyle w:val="TableTextBold"/>
              <w:spacing w:before="50" w:after="50"/>
              <w:jc w:val="center"/>
              <w:rPr>
                <w:noProof w:val="0"/>
                <w:color w:val="FFFFFF"/>
              </w:rPr>
            </w:pPr>
            <w:r w:rsidRPr="00256982">
              <w:rPr>
                <w:noProof w:val="0"/>
                <w:color w:val="FFFFFF"/>
              </w:rPr>
              <w:t>National total (kt)</w:t>
            </w:r>
          </w:p>
        </w:tc>
      </w:tr>
      <w:tr w:rsidR="00005A00" w:rsidRPr="00256982" w14:paraId="1240AE37" w14:textId="77777777" w:rsidTr="00AA14F1">
        <w:tc>
          <w:tcPr>
            <w:tcW w:w="993" w:type="dxa"/>
            <w:tcBorders>
              <w:top w:val="single" w:sz="4" w:space="0" w:color="365F91"/>
              <w:bottom w:val="single" w:sz="4" w:space="0" w:color="365F91"/>
            </w:tcBorders>
          </w:tcPr>
          <w:p w14:paraId="29147BB2" w14:textId="77777777" w:rsidR="00005A00" w:rsidRPr="00256982" w:rsidRDefault="00005A00" w:rsidP="00AA14F1">
            <w:pPr>
              <w:pStyle w:val="TableTextBold"/>
              <w:spacing w:before="50" w:after="50"/>
              <w:rPr>
                <w:noProof w:val="0"/>
              </w:rPr>
            </w:pPr>
            <w:r w:rsidRPr="00256982">
              <w:rPr>
                <w:noProof w:val="0"/>
              </w:rPr>
              <w:t>1950</w:t>
            </w:r>
          </w:p>
        </w:tc>
        <w:tc>
          <w:tcPr>
            <w:tcW w:w="1942" w:type="dxa"/>
            <w:tcBorders>
              <w:top w:val="single" w:sz="4" w:space="0" w:color="365F91"/>
              <w:bottom w:val="single" w:sz="4" w:space="0" w:color="365F91"/>
            </w:tcBorders>
            <w:shd w:val="clear" w:color="auto" w:fill="auto"/>
          </w:tcPr>
          <w:p w14:paraId="11DA1B95" w14:textId="77777777" w:rsidR="00005A00" w:rsidRPr="00256982" w:rsidRDefault="00005A00" w:rsidP="00AA14F1">
            <w:pPr>
              <w:pStyle w:val="TableText"/>
              <w:spacing w:before="50" w:after="50"/>
              <w:jc w:val="center"/>
            </w:pPr>
            <w:r w:rsidRPr="00256982">
              <w:t xml:space="preserve"> 33.7 </w:t>
            </w:r>
          </w:p>
        </w:tc>
        <w:tc>
          <w:tcPr>
            <w:tcW w:w="2168" w:type="dxa"/>
            <w:tcBorders>
              <w:top w:val="single" w:sz="4" w:space="0" w:color="365F91"/>
              <w:bottom w:val="single" w:sz="4" w:space="0" w:color="365F91"/>
            </w:tcBorders>
            <w:shd w:val="clear" w:color="auto" w:fill="auto"/>
          </w:tcPr>
          <w:p w14:paraId="7760D447" w14:textId="77777777" w:rsidR="00005A00" w:rsidRPr="00256982" w:rsidRDefault="00005A00" w:rsidP="00AA14F1">
            <w:pPr>
              <w:pStyle w:val="TableText"/>
              <w:spacing w:before="50" w:after="50"/>
              <w:jc w:val="center"/>
            </w:pPr>
            <w:r w:rsidRPr="00256982">
              <w:t xml:space="preserve"> 74.7 </w:t>
            </w:r>
          </w:p>
        </w:tc>
        <w:tc>
          <w:tcPr>
            <w:tcW w:w="1843" w:type="dxa"/>
            <w:tcBorders>
              <w:top w:val="single" w:sz="4" w:space="0" w:color="365F91"/>
              <w:bottom w:val="single" w:sz="4" w:space="0" w:color="365F91"/>
            </w:tcBorders>
            <w:shd w:val="clear" w:color="auto" w:fill="auto"/>
          </w:tcPr>
          <w:p w14:paraId="58BCADFD" w14:textId="77777777" w:rsidR="00005A00" w:rsidRPr="00256982" w:rsidRDefault="00005A00" w:rsidP="00AA14F1">
            <w:pPr>
              <w:pStyle w:val="TableText"/>
              <w:spacing w:before="50" w:after="50"/>
              <w:jc w:val="center"/>
            </w:pPr>
            <w:r w:rsidRPr="00256982">
              <w:t xml:space="preserve"> 8.3 </w:t>
            </w:r>
          </w:p>
        </w:tc>
        <w:tc>
          <w:tcPr>
            <w:tcW w:w="1559" w:type="dxa"/>
            <w:tcBorders>
              <w:top w:val="single" w:sz="4" w:space="0" w:color="365F91"/>
              <w:bottom w:val="single" w:sz="4" w:space="0" w:color="365F91"/>
            </w:tcBorders>
            <w:shd w:val="clear" w:color="auto" w:fill="auto"/>
          </w:tcPr>
          <w:p w14:paraId="596BA909" w14:textId="77777777" w:rsidR="00005A00" w:rsidRPr="00256982" w:rsidRDefault="00005A00" w:rsidP="00AA14F1">
            <w:pPr>
              <w:pStyle w:val="TableText"/>
              <w:spacing w:before="50" w:after="50"/>
              <w:jc w:val="center"/>
            </w:pPr>
            <w:r w:rsidRPr="00256982">
              <w:t xml:space="preserve"> 116.6 </w:t>
            </w:r>
          </w:p>
        </w:tc>
      </w:tr>
      <w:tr w:rsidR="00005A00" w:rsidRPr="00256982" w14:paraId="09747A70" w14:textId="77777777" w:rsidTr="00AA14F1">
        <w:tc>
          <w:tcPr>
            <w:tcW w:w="993" w:type="dxa"/>
            <w:tcBorders>
              <w:top w:val="single" w:sz="4" w:space="0" w:color="365F91"/>
              <w:bottom w:val="single" w:sz="4" w:space="0" w:color="365F91"/>
            </w:tcBorders>
          </w:tcPr>
          <w:p w14:paraId="566835B1" w14:textId="77777777" w:rsidR="00005A00" w:rsidRPr="00256982" w:rsidRDefault="00005A00" w:rsidP="00AA14F1">
            <w:pPr>
              <w:pStyle w:val="TableTextBold"/>
              <w:spacing w:before="50" w:after="50"/>
              <w:rPr>
                <w:noProof w:val="0"/>
              </w:rPr>
            </w:pPr>
            <w:r w:rsidRPr="00256982">
              <w:rPr>
                <w:noProof w:val="0"/>
              </w:rPr>
              <w:t>1951</w:t>
            </w:r>
          </w:p>
        </w:tc>
        <w:tc>
          <w:tcPr>
            <w:tcW w:w="1942" w:type="dxa"/>
            <w:tcBorders>
              <w:top w:val="single" w:sz="4" w:space="0" w:color="365F91"/>
              <w:bottom w:val="single" w:sz="4" w:space="0" w:color="365F91"/>
            </w:tcBorders>
            <w:shd w:val="clear" w:color="auto" w:fill="auto"/>
          </w:tcPr>
          <w:p w14:paraId="76E0AC9A" w14:textId="77777777" w:rsidR="00005A00" w:rsidRPr="00256982" w:rsidRDefault="00005A00" w:rsidP="00AA14F1">
            <w:pPr>
              <w:pStyle w:val="TableText"/>
              <w:spacing w:before="50" w:after="50"/>
              <w:jc w:val="center"/>
            </w:pPr>
            <w:r w:rsidRPr="00256982">
              <w:t xml:space="preserve"> 77.5 </w:t>
            </w:r>
          </w:p>
        </w:tc>
        <w:tc>
          <w:tcPr>
            <w:tcW w:w="2168" w:type="dxa"/>
            <w:tcBorders>
              <w:top w:val="single" w:sz="4" w:space="0" w:color="365F91"/>
              <w:bottom w:val="single" w:sz="4" w:space="0" w:color="365F91"/>
            </w:tcBorders>
            <w:shd w:val="clear" w:color="auto" w:fill="auto"/>
          </w:tcPr>
          <w:p w14:paraId="244A7FF7" w14:textId="77777777" w:rsidR="00005A00" w:rsidRPr="00256982" w:rsidRDefault="00005A00" w:rsidP="00AA14F1">
            <w:pPr>
              <w:pStyle w:val="TableText"/>
              <w:spacing w:before="50" w:after="50"/>
              <w:jc w:val="center"/>
            </w:pPr>
            <w:r w:rsidRPr="00256982">
              <w:t xml:space="preserve"> 164.7 </w:t>
            </w:r>
          </w:p>
        </w:tc>
        <w:tc>
          <w:tcPr>
            <w:tcW w:w="1843" w:type="dxa"/>
            <w:tcBorders>
              <w:top w:val="single" w:sz="4" w:space="0" w:color="365F91"/>
              <w:bottom w:val="single" w:sz="4" w:space="0" w:color="365F91"/>
            </w:tcBorders>
            <w:shd w:val="clear" w:color="auto" w:fill="auto"/>
          </w:tcPr>
          <w:p w14:paraId="591BEF7C" w14:textId="77777777" w:rsidR="00005A00" w:rsidRPr="00256982" w:rsidRDefault="00005A00" w:rsidP="00AA14F1">
            <w:pPr>
              <w:pStyle w:val="TableText"/>
              <w:spacing w:before="50" w:after="50"/>
              <w:jc w:val="center"/>
            </w:pPr>
            <w:r w:rsidRPr="00256982">
              <w:t xml:space="preserve"> 18.3 </w:t>
            </w:r>
          </w:p>
        </w:tc>
        <w:tc>
          <w:tcPr>
            <w:tcW w:w="1559" w:type="dxa"/>
            <w:tcBorders>
              <w:top w:val="single" w:sz="4" w:space="0" w:color="365F91"/>
              <w:bottom w:val="single" w:sz="4" w:space="0" w:color="365F91"/>
            </w:tcBorders>
            <w:shd w:val="clear" w:color="auto" w:fill="auto"/>
          </w:tcPr>
          <w:p w14:paraId="1FBF5033" w14:textId="77777777" w:rsidR="00005A00" w:rsidRPr="00256982" w:rsidRDefault="00005A00" w:rsidP="00AA14F1">
            <w:pPr>
              <w:pStyle w:val="TableText"/>
              <w:spacing w:before="50" w:after="50"/>
              <w:jc w:val="center"/>
            </w:pPr>
            <w:r w:rsidRPr="00256982">
              <w:t xml:space="preserve"> 260.6 </w:t>
            </w:r>
          </w:p>
        </w:tc>
      </w:tr>
      <w:tr w:rsidR="00005A00" w:rsidRPr="00256982" w14:paraId="4727A657" w14:textId="77777777" w:rsidTr="00AA14F1">
        <w:tc>
          <w:tcPr>
            <w:tcW w:w="993" w:type="dxa"/>
            <w:tcBorders>
              <w:top w:val="single" w:sz="4" w:space="0" w:color="365F91"/>
              <w:bottom w:val="single" w:sz="4" w:space="0" w:color="365F91"/>
            </w:tcBorders>
          </w:tcPr>
          <w:p w14:paraId="5489E038" w14:textId="77777777" w:rsidR="00005A00" w:rsidRPr="00256982" w:rsidRDefault="00005A00" w:rsidP="00AA14F1">
            <w:pPr>
              <w:pStyle w:val="TableTextBold"/>
              <w:spacing w:before="50" w:after="50"/>
              <w:rPr>
                <w:noProof w:val="0"/>
              </w:rPr>
            </w:pPr>
            <w:r w:rsidRPr="00256982">
              <w:rPr>
                <w:noProof w:val="0"/>
              </w:rPr>
              <w:t>1952</w:t>
            </w:r>
          </w:p>
        </w:tc>
        <w:tc>
          <w:tcPr>
            <w:tcW w:w="1942" w:type="dxa"/>
            <w:tcBorders>
              <w:top w:val="single" w:sz="4" w:space="0" w:color="365F91"/>
              <w:bottom w:val="single" w:sz="4" w:space="0" w:color="365F91"/>
            </w:tcBorders>
            <w:shd w:val="clear" w:color="auto" w:fill="auto"/>
          </w:tcPr>
          <w:p w14:paraId="486BB3C3" w14:textId="77777777" w:rsidR="00005A00" w:rsidRPr="00256982" w:rsidRDefault="00005A00" w:rsidP="00AA14F1">
            <w:pPr>
              <w:pStyle w:val="TableText"/>
              <w:spacing w:before="50" w:after="50"/>
              <w:jc w:val="center"/>
            </w:pPr>
            <w:r w:rsidRPr="00256982">
              <w:t xml:space="preserve"> 77.5 </w:t>
            </w:r>
          </w:p>
        </w:tc>
        <w:tc>
          <w:tcPr>
            <w:tcW w:w="2168" w:type="dxa"/>
            <w:tcBorders>
              <w:top w:val="single" w:sz="4" w:space="0" w:color="365F91"/>
              <w:bottom w:val="single" w:sz="4" w:space="0" w:color="365F91"/>
            </w:tcBorders>
            <w:shd w:val="clear" w:color="auto" w:fill="auto"/>
          </w:tcPr>
          <w:p w14:paraId="66DC1D80" w14:textId="77777777" w:rsidR="00005A00" w:rsidRPr="00256982" w:rsidRDefault="00005A00" w:rsidP="00AA14F1">
            <w:pPr>
              <w:pStyle w:val="TableText"/>
              <w:spacing w:before="50" w:after="50"/>
              <w:jc w:val="center"/>
            </w:pPr>
            <w:r w:rsidRPr="00256982">
              <w:t xml:space="preserve"> 118.7 </w:t>
            </w:r>
          </w:p>
        </w:tc>
        <w:tc>
          <w:tcPr>
            <w:tcW w:w="1843" w:type="dxa"/>
            <w:tcBorders>
              <w:top w:val="single" w:sz="4" w:space="0" w:color="365F91"/>
              <w:bottom w:val="single" w:sz="4" w:space="0" w:color="365F91"/>
            </w:tcBorders>
            <w:shd w:val="clear" w:color="auto" w:fill="auto"/>
          </w:tcPr>
          <w:p w14:paraId="2564934A" w14:textId="77777777" w:rsidR="00005A00" w:rsidRPr="00256982" w:rsidRDefault="00005A00" w:rsidP="00AA14F1">
            <w:pPr>
              <w:pStyle w:val="TableText"/>
              <w:spacing w:before="50" w:after="50"/>
              <w:jc w:val="center"/>
            </w:pPr>
            <w:r w:rsidRPr="00256982">
              <w:t xml:space="preserve"> 13.2 </w:t>
            </w:r>
          </w:p>
        </w:tc>
        <w:tc>
          <w:tcPr>
            <w:tcW w:w="1559" w:type="dxa"/>
            <w:tcBorders>
              <w:top w:val="single" w:sz="4" w:space="0" w:color="365F91"/>
              <w:bottom w:val="single" w:sz="4" w:space="0" w:color="365F91"/>
            </w:tcBorders>
            <w:shd w:val="clear" w:color="auto" w:fill="auto"/>
          </w:tcPr>
          <w:p w14:paraId="1E7344EB" w14:textId="77777777" w:rsidR="00005A00" w:rsidRPr="00256982" w:rsidRDefault="00005A00" w:rsidP="00AA14F1">
            <w:pPr>
              <w:pStyle w:val="TableText"/>
              <w:spacing w:before="50" w:after="50"/>
              <w:jc w:val="center"/>
            </w:pPr>
            <w:r w:rsidRPr="00256982">
              <w:t xml:space="preserve"> 209.4 </w:t>
            </w:r>
          </w:p>
        </w:tc>
      </w:tr>
      <w:tr w:rsidR="00005A00" w:rsidRPr="00256982" w14:paraId="5699EAE2" w14:textId="77777777" w:rsidTr="00AA14F1">
        <w:tc>
          <w:tcPr>
            <w:tcW w:w="993" w:type="dxa"/>
            <w:tcBorders>
              <w:top w:val="single" w:sz="4" w:space="0" w:color="365F91"/>
              <w:bottom w:val="single" w:sz="4" w:space="0" w:color="365F91"/>
            </w:tcBorders>
          </w:tcPr>
          <w:p w14:paraId="57252F92" w14:textId="77777777" w:rsidR="00005A00" w:rsidRPr="00256982" w:rsidRDefault="00005A00" w:rsidP="00AA14F1">
            <w:pPr>
              <w:pStyle w:val="TableTextBold"/>
              <w:spacing w:before="50" w:after="50"/>
              <w:rPr>
                <w:noProof w:val="0"/>
              </w:rPr>
            </w:pPr>
            <w:r w:rsidRPr="00256982">
              <w:rPr>
                <w:noProof w:val="0"/>
              </w:rPr>
              <w:t>1953</w:t>
            </w:r>
          </w:p>
        </w:tc>
        <w:tc>
          <w:tcPr>
            <w:tcW w:w="1942" w:type="dxa"/>
            <w:tcBorders>
              <w:top w:val="single" w:sz="4" w:space="0" w:color="365F91"/>
              <w:bottom w:val="single" w:sz="4" w:space="0" w:color="365F91"/>
            </w:tcBorders>
            <w:shd w:val="clear" w:color="auto" w:fill="auto"/>
          </w:tcPr>
          <w:p w14:paraId="489ED752" w14:textId="77777777" w:rsidR="00005A00" w:rsidRPr="00256982" w:rsidRDefault="00005A00" w:rsidP="00AA14F1">
            <w:pPr>
              <w:pStyle w:val="TableText"/>
              <w:spacing w:before="50" w:after="50"/>
              <w:jc w:val="center"/>
            </w:pPr>
            <w:r w:rsidRPr="00256982">
              <w:t xml:space="preserve"> 77.5 </w:t>
            </w:r>
          </w:p>
        </w:tc>
        <w:tc>
          <w:tcPr>
            <w:tcW w:w="2168" w:type="dxa"/>
            <w:tcBorders>
              <w:top w:val="single" w:sz="4" w:space="0" w:color="365F91"/>
              <w:bottom w:val="single" w:sz="4" w:space="0" w:color="365F91"/>
            </w:tcBorders>
            <w:shd w:val="clear" w:color="auto" w:fill="auto"/>
          </w:tcPr>
          <w:p w14:paraId="10B7321E" w14:textId="77777777" w:rsidR="00005A00" w:rsidRPr="00256982" w:rsidRDefault="00005A00" w:rsidP="00AA14F1">
            <w:pPr>
              <w:pStyle w:val="TableText"/>
              <w:spacing w:before="50" w:after="50"/>
              <w:jc w:val="center"/>
            </w:pPr>
            <w:r w:rsidRPr="00256982">
              <w:t xml:space="preserve"> 127.3 </w:t>
            </w:r>
          </w:p>
        </w:tc>
        <w:tc>
          <w:tcPr>
            <w:tcW w:w="1843" w:type="dxa"/>
            <w:tcBorders>
              <w:top w:val="single" w:sz="4" w:space="0" w:color="365F91"/>
              <w:bottom w:val="single" w:sz="4" w:space="0" w:color="365F91"/>
            </w:tcBorders>
            <w:shd w:val="clear" w:color="auto" w:fill="auto"/>
          </w:tcPr>
          <w:p w14:paraId="5F0A6DC2" w14:textId="77777777" w:rsidR="00005A00" w:rsidRPr="00256982" w:rsidRDefault="00005A00" w:rsidP="00AA14F1">
            <w:pPr>
              <w:pStyle w:val="TableText"/>
              <w:spacing w:before="50" w:after="50"/>
              <w:jc w:val="center"/>
            </w:pPr>
            <w:r w:rsidRPr="00256982">
              <w:t xml:space="preserve"> 14.1 </w:t>
            </w:r>
          </w:p>
        </w:tc>
        <w:tc>
          <w:tcPr>
            <w:tcW w:w="1559" w:type="dxa"/>
            <w:tcBorders>
              <w:top w:val="single" w:sz="4" w:space="0" w:color="365F91"/>
              <w:bottom w:val="single" w:sz="4" w:space="0" w:color="365F91"/>
            </w:tcBorders>
            <w:shd w:val="clear" w:color="auto" w:fill="auto"/>
          </w:tcPr>
          <w:p w14:paraId="2E21828B" w14:textId="77777777" w:rsidR="00005A00" w:rsidRPr="00256982" w:rsidRDefault="00005A00" w:rsidP="00AA14F1">
            <w:pPr>
              <w:pStyle w:val="TableText"/>
              <w:spacing w:before="50" w:after="50"/>
              <w:jc w:val="center"/>
            </w:pPr>
            <w:r w:rsidRPr="00256982">
              <w:t xml:space="preserve"> 219.0 </w:t>
            </w:r>
          </w:p>
        </w:tc>
      </w:tr>
      <w:tr w:rsidR="00005A00" w:rsidRPr="00256982" w14:paraId="43101DE5" w14:textId="77777777" w:rsidTr="00AA14F1">
        <w:tc>
          <w:tcPr>
            <w:tcW w:w="993" w:type="dxa"/>
            <w:tcBorders>
              <w:top w:val="single" w:sz="4" w:space="0" w:color="365F91"/>
              <w:bottom w:val="single" w:sz="4" w:space="0" w:color="365F91"/>
            </w:tcBorders>
          </w:tcPr>
          <w:p w14:paraId="69D4B884" w14:textId="77777777" w:rsidR="00005A00" w:rsidRPr="00256982" w:rsidRDefault="00005A00" w:rsidP="00AA14F1">
            <w:pPr>
              <w:pStyle w:val="TableTextBold"/>
              <w:spacing w:before="50" w:after="50"/>
              <w:rPr>
                <w:noProof w:val="0"/>
              </w:rPr>
            </w:pPr>
            <w:r w:rsidRPr="00256982">
              <w:rPr>
                <w:noProof w:val="0"/>
              </w:rPr>
              <w:t>1954</w:t>
            </w:r>
          </w:p>
        </w:tc>
        <w:tc>
          <w:tcPr>
            <w:tcW w:w="1942" w:type="dxa"/>
            <w:tcBorders>
              <w:top w:val="single" w:sz="4" w:space="0" w:color="365F91"/>
              <w:bottom w:val="single" w:sz="4" w:space="0" w:color="365F91"/>
            </w:tcBorders>
            <w:shd w:val="clear" w:color="auto" w:fill="auto"/>
          </w:tcPr>
          <w:p w14:paraId="20B786AF" w14:textId="77777777" w:rsidR="00005A00" w:rsidRPr="00256982" w:rsidRDefault="00005A00" w:rsidP="00AA14F1">
            <w:pPr>
              <w:pStyle w:val="TableText"/>
              <w:spacing w:before="50" w:after="50"/>
              <w:jc w:val="center"/>
            </w:pPr>
            <w:r w:rsidRPr="00256982">
              <w:t xml:space="preserve"> 77.5 </w:t>
            </w:r>
          </w:p>
        </w:tc>
        <w:tc>
          <w:tcPr>
            <w:tcW w:w="2168" w:type="dxa"/>
            <w:tcBorders>
              <w:top w:val="single" w:sz="4" w:space="0" w:color="365F91"/>
              <w:bottom w:val="single" w:sz="4" w:space="0" w:color="365F91"/>
            </w:tcBorders>
            <w:shd w:val="clear" w:color="auto" w:fill="auto"/>
          </w:tcPr>
          <w:p w14:paraId="3BB69C2D" w14:textId="77777777" w:rsidR="00005A00" w:rsidRPr="00256982" w:rsidRDefault="00005A00" w:rsidP="00AA14F1">
            <w:pPr>
              <w:pStyle w:val="TableText"/>
              <w:spacing w:before="50" w:after="50"/>
              <w:jc w:val="center"/>
            </w:pPr>
            <w:r w:rsidRPr="00256982">
              <w:t xml:space="preserve"> 195.3 </w:t>
            </w:r>
          </w:p>
        </w:tc>
        <w:tc>
          <w:tcPr>
            <w:tcW w:w="1843" w:type="dxa"/>
            <w:tcBorders>
              <w:top w:val="single" w:sz="4" w:space="0" w:color="365F91"/>
              <w:bottom w:val="single" w:sz="4" w:space="0" w:color="365F91"/>
            </w:tcBorders>
            <w:shd w:val="clear" w:color="auto" w:fill="auto"/>
          </w:tcPr>
          <w:p w14:paraId="67923174" w14:textId="77777777" w:rsidR="00005A00" w:rsidRPr="00256982" w:rsidRDefault="00005A00" w:rsidP="00AA14F1">
            <w:pPr>
              <w:pStyle w:val="TableText"/>
              <w:spacing w:before="50" w:after="50"/>
              <w:jc w:val="center"/>
            </w:pPr>
            <w:r w:rsidRPr="00256982">
              <w:t xml:space="preserve"> 21.7 </w:t>
            </w:r>
          </w:p>
        </w:tc>
        <w:tc>
          <w:tcPr>
            <w:tcW w:w="1559" w:type="dxa"/>
            <w:tcBorders>
              <w:top w:val="single" w:sz="4" w:space="0" w:color="365F91"/>
              <w:bottom w:val="single" w:sz="4" w:space="0" w:color="365F91"/>
            </w:tcBorders>
            <w:shd w:val="clear" w:color="auto" w:fill="auto"/>
          </w:tcPr>
          <w:p w14:paraId="6E801770" w14:textId="77777777" w:rsidR="00005A00" w:rsidRPr="00256982" w:rsidRDefault="00005A00" w:rsidP="00AA14F1">
            <w:pPr>
              <w:pStyle w:val="TableText"/>
              <w:spacing w:before="50" w:after="50"/>
              <w:jc w:val="center"/>
            </w:pPr>
            <w:r w:rsidRPr="00256982">
              <w:t xml:space="preserve"> 294.5 </w:t>
            </w:r>
          </w:p>
        </w:tc>
      </w:tr>
      <w:tr w:rsidR="00005A00" w:rsidRPr="00256982" w14:paraId="7CEE000F" w14:textId="77777777" w:rsidTr="00AA14F1">
        <w:tc>
          <w:tcPr>
            <w:tcW w:w="993" w:type="dxa"/>
            <w:tcBorders>
              <w:top w:val="single" w:sz="4" w:space="0" w:color="365F91"/>
              <w:bottom w:val="single" w:sz="4" w:space="0" w:color="365F91"/>
            </w:tcBorders>
          </w:tcPr>
          <w:p w14:paraId="5C57BDEB" w14:textId="77777777" w:rsidR="00005A00" w:rsidRPr="00256982" w:rsidRDefault="00005A00" w:rsidP="00AA14F1">
            <w:pPr>
              <w:pStyle w:val="TableTextBold"/>
              <w:spacing w:before="50" w:after="50"/>
              <w:rPr>
                <w:noProof w:val="0"/>
              </w:rPr>
            </w:pPr>
            <w:r w:rsidRPr="00256982">
              <w:rPr>
                <w:noProof w:val="0"/>
              </w:rPr>
              <w:t>1955</w:t>
            </w:r>
          </w:p>
        </w:tc>
        <w:tc>
          <w:tcPr>
            <w:tcW w:w="1942" w:type="dxa"/>
            <w:tcBorders>
              <w:top w:val="single" w:sz="4" w:space="0" w:color="365F91"/>
              <w:bottom w:val="single" w:sz="4" w:space="0" w:color="365F91"/>
            </w:tcBorders>
            <w:shd w:val="clear" w:color="auto" w:fill="auto"/>
          </w:tcPr>
          <w:p w14:paraId="2D1DD782" w14:textId="77777777" w:rsidR="00005A00" w:rsidRPr="00256982" w:rsidRDefault="00005A00" w:rsidP="00AA14F1">
            <w:pPr>
              <w:pStyle w:val="TableText"/>
              <w:spacing w:before="50" w:after="50"/>
              <w:jc w:val="center"/>
            </w:pPr>
            <w:r w:rsidRPr="00256982">
              <w:t xml:space="preserve"> 181.7 </w:t>
            </w:r>
          </w:p>
        </w:tc>
        <w:tc>
          <w:tcPr>
            <w:tcW w:w="2168" w:type="dxa"/>
            <w:tcBorders>
              <w:top w:val="single" w:sz="4" w:space="0" w:color="365F91"/>
              <w:bottom w:val="single" w:sz="4" w:space="0" w:color="365F91"/>
            </w:tcBorders>
            <w:shd w:val="clear" w:color="auto" w:fill="auto"/>
          </w:tcPr>
          <w:p w14:paraId="6CE168B8" w14:textId="77777777" w:rsidR="00005A00" w:rsidRPr="00256982" w:rsidRDefault="00005A00" w:rsidP="00AA14F1">
            <w:pPr>
              <w:pStyle w:val="TableText"/>
              <w:spacing w:before="50" w:after="50"/>
              <w:jc w:val="center"/>
            </w:pPr>
            <w:r w:rsidRPr="00256982">
              <w:t xml:space="preserve"> 180.3 </w:t>
            </w:r>
          </w:p>
        </w:tc>
        <w:tc>
          <w:tcPr>
            <w:tcW w:w="1843" w:type="dxa"/>
            <w:tcBorders>
              <w:top w:val="single" w:sz="4" w:space="0" w:color="365F91"/>
              <w:bottom w:val="single" w:sz="4" w:space="0" w:color="365F91"/>
            </w:tcBorders>
            <w:shd w:val="clear" w:color="auto" w:fill="auto"/>
          </w:tcPr>
          <w:p w14:paraId="1E7B5A86" w14:textId="77777777" w:rsidR="00005A00" w:rsidRPr="00256982" w:rsidRDefault="00005A00" w:rsidP="00AA14F1">
            <w:pPr>
              <w:pStyle w:val="TableText"/>
              <w:spacing w:before="50" w:after="50"/>
              <w:jc w:val="center"/>
            </w:pPr>
            <w:r w:rsidRPr="00256982">
              <w:t xml:space="preserve"> 20.0 </w:t>
            </w:r>
          </w:p>
        </w:tc>
        <w:tc>
          <w:tcPr>
            <w:tcW w:w="1559" w:type="dxa"/>
            <w:tcBorders>
              <w:top w:val="single" w:sz="4" w:space="0" w:color="365F91"/>
              <w:bottom w:val="single" w:sz="4" w:space="0" w:color="365F91"/>
            </w:tcBorders>
            <w:shd w:val="clear" w:color="auto" w:fill="auto"/>
          </w:tcPr>
          <w:p w14:paraId="7D4C8DEF" w14:textId="77777777" w:rsidR="00005A00" w:rsidRPr="00256982" w:rsidRDefault="00005A00" w:rsidP="00AA14F1">
            <w:pPr>
              <w:pStyle w:val="TableText"/>
              <w:spacing w:before="50" w:after="50"/>
              <w:jc w:val="center"/>
            </w:pPr>
            <w:r w:rsidRPr="00256982">
              <w:t xml:space="preserve"> 382.1 </w:t>
            </w:r>
          </w:p>
        </w:tc>
      </w:tr>
      <w:tr w:rsidR="00005A00" w:rsidRPr="00256982" w14:paraId="130FEF39" w14:textId="77777777" w:rsidTr="00AA14F1">
        <w:tc>
          <w:tcPr>
            <w:tcW w:w="993" w:type="dxa"/>
            <w:tcBorders>
              <w:top w:val="single" w:sz="4" w:space="0" w:color="365F91"/>
              <w:bottom w:val="single" w:sz="4" w:space="0" w:color="365F91"/>
            </w:tcBorders>
          </w:tcPr>
          <w:p w14:paraId="51853190" w14:textId="77777777" w:rsidR="00005A00" w:rsidRPr="00256982" w:rsidRDefault="00005A00" w:rsidP="00AA14F1">
            <w:pPr>
              <w:pStyle w:val="TableTextBold"/>
              <w:spacing w:before="50" w:after="50"/>
              <w:rPr>
                <w:noProof w:val="0"/>
              </w:rPr>
            </w:pPr>
            <w:r w:rsidRPr="00256982">
              <w:rPr>
                <w:noProof w:val="0"/>
              </w:rPr>
              <w:lastRenderedPageBreak/>
              <w:t>1956</w:t>
            </w:r>
          </w:p>
        </w:tc>
        <w:tc>
          <w:tcPr>
            <w:tcW w:w="1942" w:type="dxa"/>
            <w:tcBorders>
              <w:top w:val="single" w:sz="4" w:space="0" w:color="365F91"/>
              <w:bottom w:val="single" w:sz="4" w:space="0" w:color="365F91"/>
            </w:tcBorders>
            <w:shd w:val="clear" w:color="auto" w:fill="auto"/>
          </w:tcPr>
          <w:p w14:paraId="7DCB53B9" w14:textId="77777777" w:rsidR="00005A00" w:rsidRPr="00256982" w:rsidRDefault="00005A00" w:rsidP="00AA14F1">
            <w:pPr>
              <w:pStyle w:val="TableText"/>
              <w:spacing w:before="50" w:after="50"/>
              <w:jc w:val="center"/>
            </w:pPr>
            <w:r w:rsidRPr="00256982">
              <w:t xml:space="preserve"> 181.7 </w:t>
            </w:r>
          </w:p>
        </w:tc>
        <w:tc>
          <w:tcPr>
            <w:tcW w:w="2168" w:type="dxa"/>
            <w:tcBorders>
              <w:top w:val="single" w:sz="4" w:space="0" w:color="365F91"/>
              <w:bottom w:val="single" w:sz="4" w:space="0" w:color="365F91"/>
            </w:tcBorders>
            <w:shd w:val="clear" w:color="auto" w:fill="auto"/>
          </w:tcPr>
          <w:p w14:paraId="7C57EE6B" w14:textId="77777777" w:rsidR="00005A00" w:rsidRPr="00256982" w:rsidRDefault="00005A00" w:rsidP="00AA14F1">
            <w:pPr>
              <w:pStyle w:val="TableText"/>
              <w:spacing w:before="50" w:after="50"/>
              <w:jc w:val="center"/>
            </w:pPr>
            <w:r w:rsidRPr="00256982">
              <w:t xml:space="preserve"> 202.7 </w:t>
            </w:r>
          </w:p>
        </w:tc>
        <w:tc>
          <w:tcPr>
            <w:tcW w:w="1843" w:type="dxa"/>
            <w:tcBorders>
              <w:top w:val="single" w:sz="4" w:space="0" w:color="365F91"/>
              <w:bottom w:val="single" w:sz="4" w:space="0" w:color="365F91"/>
            </w:tcBorders>
            <w:shd w:val="clear" w:color="auto" w:fill="auto"/>
          </w:tcPr>
          <w:p w14:paraId="546275C8" w14:textId="77777777" w:rsidR="00005A00" w:rsidRPr="00256982" w:rsidRDefault="00005A00" w:rsidP="00AA14F1">
            <w:pPr>
              <w:pStyle w:val="TableText"/>
              <w:spacing w:before="50" w:after="50"/>
              <w:jc w:val="center"/>
            </w:pPr>
            <w:r w:rsidRPr="00256982">
              <w:t xml:space="preserve"> 22.5 </w:t>
            </w:r>
          </w:p>
        </w:tc>
        <w:tc>
          <w:tcPr>
            <w:tcW w:w="1559" w:type="dxa"/>
            <w:tcBorders>
              <w:top w:val="single" w:sz="4" w:space="0" w:color="365F91"/>
              <w:bottom w:val="single" w:sz="4" w:space="0" w:color="365F91"/>
            </w:tcBorders>
            <w:shd w:val="clear" w:color="auto" w:fill="auto"/>
          </w:tcPr>
          <w:p w14:paraId="604D5DAF" w14:textId="77777777" w:rsidR="00005A00" w:rsidRPr="00256982" w:rsidRDefault="00005A00" w:rsidP="00AA14F1">
            <w:pPr>
              <w:pStyle w:val="TableText"/>
              <w:spacing w:before="50" w:after="50"/>
              <w:jc w:val="center"/>
            </w:pPr>
            <w:r w:rsidRPr="00256982">
              <w:t xml:space="preserve"> 407.0 </w:t>
            </w:r>
          </w:p>
        </w:tc>
      </w:tr>
      <w:tr w:rsidR="00005A00" w:rsidRPr="00256982" w14:paraId="13E5D51C" w14:textId="77777777" w:rsidTr="00AA14F1">
        <w:tc>
          <w:tcPr>
            <w:tcW w:w="993" w:type="dxa"/>
            <w:tcBorders>
              <w:top w:val="single" w:sz="4" w:space="0" w:color="365F91"/>
              <w:bottom w:val="single" w:sz="4" w:space="0" w:color="365F91"/>
            </w:tcBorders>
          </w:tcPr>
          <w:p w14:paraId="65591FB8" w14:textId="77777777" w:rsidR="00005A00" w:rsidRPr="00256982" w:rsidRDefault="00005A00" w:rsidP="00AA14F1">
            <w:pPr>
              <w:pStyle w:val="TableTextBold"/>
              <w:spacing w:before="50" w:after="50"/>
              <w:rPr>
                <w:noProof w:val="0"/>
              </w:rPr>
            </w:pPr>
            <w:r w:rsidRPr="00256982">
              <w:rPr>
                <w:noProof w:val="0"/>
              </w:rPr>
              <w:t>1957</w:t>
            </w:r>
          </w:p>
        </w:tc>
        <w:tc>
          <w:tcPr>
            <w:tcW w:w="1942" w:type="dxa"/>
            <w:tcBorders>
              <w:top w:val="single" w:sz="4" w:space="0" w:color="365F91"/>
              <w:bottom w:val="single" w:sz="4" w:space="0" w:color="365F91"/>
            </w:tcBorders>
            <w:shd w:val="clear" w:color="auto" w:fill="auto"/>
          </w:tcPr>
          <w:p w14:paraId="2722B0A9" w14:textId="77777777" w:rsidR="00005A00" w:rsidRPr="00256982" w:rsidRDefault="00005A00" w:rsidP="00AA14F1">
            <w:pPr>
              <w:pStyle w:val="TableText"/>
              <w:spacing w:before="50" w:after="50"/>
              <w:jc w:val="center"/>
            </w:pPr>
            <w:r w:rsidRPr="00256982">
              <w:t xml:space="preserve"> 181.7 </w:t>
            </w:r>
          </w:p>
        </w:tc>
        <w:tc>
          <w:tcPr>
            <w:tcW w:w="2168" w:type="dxa"/>
            <w:tcBorders>
              <w:top w:val="single" w:sz="4" w:space="0" w:color="365F91"/>
              <w:bottom w:val="single" w:sz="4" w:space="0" w:color="365F91"/>
            </w:tcBorders>
            <w:shd w:val="clear" w:color="auto" w:fill="auto"/>
          </w:tcPr>
          <w:p w14:paraId="78DFFC90" w14:textId="77777777" w:rsidR="00005A00" w:rsidRPr="00256982" w:rsidRDefault="00005A00" w:rsidP="00AA14F1">
            <w:pPr>
              <w:pStyle w:val="TableText"/>
              <w:spacing w:before="50" w:after="50"/>
              <w:jc w:val="center"/>
            </w:pPr>
            <w:r w:rsidRPr="00256982">
              <w:t xml:space="preserve"> 241.8 </w:t>
            </w:r>
          </w:p>
        </w:tc>
        <w:tc>
          <w:tcPr>
            <w:tcW w:w="1843" w:type="dxa"/>
            <w:tcBorders>
              <w:top w:val="single" w:sz="4" w:space="0" w:color="365F91"/>
              <w:bottom w:val="single" w:sz="4" w:space="0" w:color="365F91"/>
            </w:tcBorders>
            <w:shd w:val="clear" w:color="auto" w:fill="auto"/>
          </w:tcPr>
          <w:p w14:paraId="43E910DB" w14:textId="77777777" w:rsidR="00005A00" w:rsidRPr="00256982" w:rsidRDefault="00005A00" w:rsidP="00AA14F1">
            <w:pPr>
              <w:pStyle w:val="TableText"/>
              <w:spacing w:before="50" w:after="50"/>
              <w:jc w:val="center"/>
            </w:pPr>
            <w:r w:rsidRPr="00256982">
              <w:t xml:space="preserve"> 26.9 </w:t>
            </w:r>
          </w:p>
        </w:tc>
        <w:tc>
          <w:tcPr>
            <w:tcW w:w="1559" w:type="dxa"/>
            <w:tcBorders>
              <w:top w:val="single" w:sz="4" w:space="0" w:color="365F91"/>
              <w:bottom w:val="single" w:sz="4" w:space="0" w:color="365F91"/>
            </w:tcBorders>
            <w:shd w:val="clear" w:color="auto" w:fill="auto"/>
          </w:tcPr>
          <w:p w14:paraId="5F3874CD" w14:textId="77777777" w:rsidR="00005A00" w:rsidRPr="00256982" w:rsidRDefault="00005A00" w:rsidP="00AA14F1">
            <w:pPr>
              <w:pStyle w:val="TableText"/>
              <w:spacing w:before="50" w:after="50"/>
              <w:jc w:val="center"/>
            </w:pPr>
            <w:r w:rsidRPr="00256982">
              <w:t xml:space="preserve"> 450.4 </w:t>
            </w:r>
          </w:p>
        </w:tc>
      </w:tr>
      <w:tr w:rsidR="00005A00" w:rsidRPr="00256982" w14:paraId="53491548" w14:textId="77777777" w:rsidTr="00AA14F1">
        <w:tc>
          <w:tcPr>
            <w:tcW w:w="993" w:type="dxa"/>
            <w:tcBorders>
              <w:top w:val="single" w:sz="4" w:space="0" w:color="365F91"/>
              <w:bottom w:val="single" w:sz="4" w:space="0" w:color="365F91"/>
            </w:tcBorders>
          </w:tcPr>
          <w:p w14:paraId="732D5794" w14:textId="77777777" w:rsidR="00005A00" w:rsidRPr="00256982" w:rsidRDefault="00005A00" w:rsidP="00AA14F1">
            <w:pPr>
              <w:pStyle w:val="TableTextBold"/>
              <w:spacing w:before="50" w:after="50"/>
              <w:rPr>
                <w:noProof w:val="0"/>
              </w:rPr>
            </w:pPr>
            <w:r w:rsidRPr="00256982">
              <w:rPr>
                <w:noProof w:val="0"/>
              </w:rPr>
              <w:t>1958</w:t>
            </w:r>
          </w:p>
        </w:tc>
        <w:tc>
          <w:tcPr>
            <w:tcW w:w="1942" w:type="dxa"/>
            <w:tcBorders>
              <w:top w:val="single" w:sz="4" w:space="0" w:color="365F91"/>
              <w:bottom w:val="single" w:sz="4" w:space="0" w:color="365F91"/>
            </w:tcBorders>
            <w:shd w:val="clear" w:color="auto" w:fill="auto"/>
          </w:tcPr>
          <w:p w14:paraId="2D85C2C0" w14:textId="77777777" w:rsidR="00005A00" w:rsidRPr="00256982" w:rsidRDefault="00005A00" w:rsidP="00AA14F1">
            <w:pPr>
              <w:pStyle w:val="TableText"/>
              <w:spacing w:before="50" w:after="50"/>
              <w:jc w:val="center"/>
            </w:pPr>
            <w:r w:rsidRPr="00256982">
              <w:t xml:space="preserve"> 181.7 </w:t>
            </w:r>
          </w:p>
        </w:tc>
        <w:tc>
          <w:tcPr>
            <w:tcW w:w="2168" w:type="dxa"/>
            <w:tcBorders>
              <w:top w:val="single" w:sz="4" w:space="0" w:color="365F91"/>
              <w:bottom w:val="single" w:sz="4" w:space="0" w:color="365F91"/>
            </w:tcBorders>
            <w:shd w:val="clear" w:color="auto" w:fill="auto"/>
          </w:tcPr>
          <w:p w14:paraId="7F8D0E7F" w14:textId="77777777" w:rsidR="00005A00" w:rsidRPr="00256982" w:rsidRDefault="00005A00" w:rsidP="00AA14F1">
            <w:pPr>
              <w:pStyle w:val="TableText"/>
              <w:spacing w:before="50" w:after="50"/>
              <w:jc w:val="center"/>
            </w:pPr>
            <w:r w:rsidRPr="00256982">
              <w:t xml:space="preserve"> 267.1 </w:t>
            </w:r>
          </w:p>
        </w:tc>
        <w:tc>
          <w:tcPr>
            <w:tcW w:w="1843" w:type="dxa"/>
            <w:tcBorders>
              <w:top w:val="single" w:sz="4" w:space="0" w:color="365F91"/>
              <w:bottom w:val="single" w:sz="4" w:space="0" w:color="365F91"/>
            </w:tcBorders>
            <w:shd w:val="clear" w:color="auto" w:fill="auto"/>
          </w:tcPr>
          <w:p w14:paraId="61721AAA" w14:textId="77777777" w:rsidR="00005A00" w:rsidRPr="00256982" w:rsidRDefault="00005A00" w:rsidP="00AA14F1">
            <w:pPr>
              <w:pStyle w:val="TableText"/>
              <w:spacing w:before="50" w:after="50"/>
              <w:jc w:val="center"/>
            </w:pPr>
            <w:r w:rsidRPr="00256982">
              <w:t xml:space="preserve"> 29.7 </w:t>
            </w:r>
          </w:p>
        </w:tc>
        <w:tc>
          <w:tcPr>
            <w:tcW w:w="1559" w:type="dxa"/>
            <w:tcBorders>
              <w:top w:val="single" w:sz="4" w:space="0" w:color="365F91"/>
              <w:bottom w:val="single" w:sz="4" w:space="0" w:color="365F91"/>
            </w:tcBorders>
            <w:shd w:val="clear" w:color="auto" w:fill="auto"/>
          </w:tcPr>
          <w:p w14:paraId="7175E7C3" w14:textId="77777777" w:rsidR="00005A00" w:rsidRPr="00256982" w:rsidRDefault="00005A00" w:rsidP="00AA14F1">
            <w:pPr>
              <w:pStyle w:val="TableText"/>
              <w:spacing w:before="50" w:after="50"/>
              <w:jc w:val="center"/>
            </w:pPr>
            <w:r w:rsidRPr="00256982">
              <w:t xml:space="preserve"> 478.5 </w:t>
            </w:r>
          </w:p>
        </w:tc>
      </w:tr>
      <w:tr w:rsidR="00005A00" w:rsidRPr="00256982" w14:paraId="01128E99" w14:textId="77777777" w:rsidTr="00AA14F1">
        <w:tc>
          <w:tcPr>
            <w:tcW w:w="993" w:type="dxa"/>
            <w:tcBorders>
              <w:top w:val="single" w:sz="4" w:space="0" w:color="365F91"/>
              <w:bottom w:val="single" w:sz="4" w:space="0" w:color="365F91"/>
            </w:tcBorders>
          </w:tcPr>
          <w:p w14:paraId="35C2454C" w14:textId="77777777" w:rsidR="00005A00" w:rsidRPr="00256982" w:rsidRDefault="00005A00" w:rsidP="00AA14F1">
            <w:pPr>
              <w:pStyle w:val="TableTextBold"/>
              <w:spacing w:before="50" w:after="50"/>
              <w:rPr>
                <w:noProof w:val="0"/>
              </w:rPr>
            </w:pPr>
            <w:r w:rsidRPr="00256982">
              <w:rPr>
                <w:noProof w:val="0"/>
              </w:rPr>
              <w:t>1959</w:t>
            </w:r>
          </w:p>
        </w:tc>
        <w:tc>
          <w:tcPr>
            <w:tcW w:w="1942" w:type="dxa"/>
            <w:tcBorders>
              <w:top w:val="single" w:sz="4" w:space="0" w:color="365F91"/>
              <w:bottom w:val="single" w:sz="4" w:space="0" w:color="365F91"/>
            </w:tcBorders>
            <w:shd w:val="clear" w:color="auto" w:fill="auto"/>
          </w:tcPr>
          <w:p w14:paraId="78E93BCA" w14:textId="77777777" w:rsidR="00005A00" w:rsidRPr="00256982" w:rsidRDefault="00005A00" w:rsidP="00AA14F1">
            <w:pPr>
              <w:pStyle w:val="TableText"/>
              <w:spacing w:before="50" w:after="50"/>
              <w:jc w:val="center"/>
            </w:pPr>
            <w:r w:rsidRPr="00256982">
              <w:t xml:space="preserve"> 181.7 </w:t>
            </w:r>
          </w:p>
        </w:tc>
        <w:tc>
          <w:tcPr>
            <w:tcW w:w="2168" w:type="dxa"/>
            <w:tcBorders>
              <w:top w:val="single" w:sz="4" w:space="0" w:color="365F91"/>
              <w:bottom w:val="single" w:sz="4" w:space="0" w:color="365F91"/>
            </w:tcBorders>
            <w:shd w:val="clear" w:color="auto" w:fill="auto"/>
          </w:tcPr>
          <w:p w14:paraId="26A7A3A7" w14:textId="77777777" w:rsidR="00005A00" w:rsidRPr="00256982" w:rsidRDefault="00005A00" w:rsidP="00AA14F1">
            <w:pPr>
              <w:pStyle w:val="TableText"/>
              <w:spacing w:before="50" w:after="50"/>
              <w:jc w:val="center"/>
            </w:pPr>
            <w:r w:rsidRPr="00256982">
              <w:t xml:space="preserve"> 281.5 </w:t>
            </w:r>
          </w:p>
        </w:tc>
        <w:tc>
          <w:tcPr>
            <w:tcW w:w="1843" w:type="dxa"/>
            <w:tcBorders>
              <w:top w:val="single" w:sz="4" w:space="0" w:color="365F91"/>
              <w:bottom w:val="single" w:sz="4" w:space="0" w:color="365F91"/>
            </w:tcBorders>
            <w:shd w:val="clear" w:color="auto" w:fill="auto"/>
          </w:tcPr>
          <w:p w14:paraId="083E0D78" w14:textId="77777777" w:rsidR="00005A00" w:rsidRPr="00256982" w:rsidRDefault="00005A00" w:rsidP="00AA14F1">
            <w:pPr>
              <w:pStyle w:val="TableText"/>
              <w:spacing w:before="50" w:after="50"/>
              <w:jc w:val="center"/>
            </w:pPr>
            <w:r w:rsidRPr="00256982">
              <w:t xml:space="preserve"> 31.3 </w:t>
            </w:r>
          </w:p>
        </w:tc>
        <w:tc>
          <w:tcPr>
            <w:tcW w:w="1559" w:type="dxa"/>
            <w:tcBorders>
              <w:top w:val="single" w:sz="4" w:space="0" w:color="365F91"/>
              <w:bottom w:val="single" w:sz="4" w:space="0" w:color="365F91"/>
            </w:tcBorders>
            <w:shd w:val="clear" w:color="auto" w:fill="auto"/>
          </w:tcPr>
          <w:p w14:paraId="4F97793A" w14:textId="77777777" w:rsidR="00005A00" w:rsidRPr="00256982" w:rsidRDefault="00005A00" w:rsidP="00AA14F1">
            <w:pPr>
              <w:pStyle w:val="TableText"/>
              <w:spacing w:before="50" w:after="50"/>
              <w:jc w:val="center"/>
            </w:pPr>
            <w:r w:rsidRPr="00256982">
              <w:t xml:space="preserve"> 494.5 </w:t>
            </w:r>
          </w:p>
        </w:tc>
      </w:tr>
      <w:tr w:rsidR="00005A00" w:rsidRPr="00256982" w14:paraId="231AE34C" w14:textId="77777777" w:rsidTr="00AA14F1">
        <w:tc>
          <w:tcPr>
            <w:tcW w:w="993" w:type="dxa"/>
            <w:tcBorders>
              <w:top w:val="single" w:sz="4" w:space="0" w:color="365F91"/>
              <w:bottom w:val="single" w:sz="4" w:space="0" w:color="365F91"/>
            </w:tcBorders>
          </w:tcPr>
          <w:p w14:paraId="3FF545F8" w14:textId="77777777" w:rsidR="00005A00" w:rsidRPr="00256982" w:rsidRDefault="00005A00" w:rsidP="00AA14F1">
            <w:pPr>
              <w:pStyle w:val="TableTextBold"/>
              <w:spacing w:before="50" w:after="50"/>
              <w:rPr>
                <w:noProof w:val="0"/>
              </w:rPr>
            </w:pPr>
            <w:r w:rsidRPr="00256982">
              <w:rPr>
                <w:noProof w:val="0"/>
              </w:rPr>
              <w:t>1960</w:t>
            </w:r>
          </w:p>
        </w:tc>
        <w:tc>
          <w:tcPr>
            <w:tcW w:w="1942" w:type="dxa"/>
            <w:tcBorders>
              <w:top w:val="single" w:sz="4" w:space="0" w:color="365F91"/>
              <w:bottom w:val="single" w:sz="4" w:space="0" w:color="365F91"/>
            </w:tcBorders>
            <w:shd w:val="clear" w:color="auto" w:fill="auto"/>
          </w:tcPr>
          <w:p w14:paraId="3F8A1263" w14:textId="77777777" w:rsidR="00005A00" w:rsidRPr="00256982" w:rsidRDefault="00005A00" w:rsidP="00AA14F1">
            <w:pPr>
              <w:pStyle w:val="TableText"/>
              <w:spacing w:before="50" w:after="50"/>
              <w:jc w:val="center"/>
            </w:pPr>
            <w:r w:rsidRPr="00256982">
              <w:t xml:space="preserve"> 181.7 </w:t>
            </w:r>
          </w:p>
        </w:tc>
        <w:tc>
          <w:tcPr>
            <w:tcW w:w="2168" w:type="dxa"/>
            <w:tcBorders>
              <w:top w:val="single" w:sz="4" w:space="0" w:color="365F91"/>
              <w:bottom w:val="single" w:sz="4" w:space="0" w:color="365F91"/>
            </w:tcBorders>
            <w:shd w:val="clear" w:color="auto" w:fill="auto"/>
          </w:tcPr>
          <w:p w14:paraId="2EF0365C" w14:textId="77777777" w:rsidR="00005A00" w:rsidRPr="00256982" w:rsidRDefault="00005A00" w:rsidP="00AA14F1">
            <w:pPr>
              <w:pStyle w:val="TableText"/>
              <w:spacing w:before="50" w:after="50"/>
              <w:jc w:val="center"/>
            </w:pPr>
            <w:r w:rsidRPr="00256982">
              <w:t xml:space="preserve"> 349.3 </w:t>
            </w:r>
          </w:p>
        </w:tc>
        <w:tc>
          <w:tcPr>
            <w:tcW w:w="1843" w:type="dxa"/>
            <w:tcBorders>
              <w:top w:val="single" w:sz="4" w:space="0" w:color="365F91"/>
              <w:bottom w:val="single" w:sz="4" w:space="0" w:color="365F91"/>
            </w:tcBorders>
            <w:shd w:val="clear" w:color="auto" w:fill="auto"/>
          </w:tcPr>
          <w:p w14:paraId="50622B75" w14:textId="77777777" w:rsidR="00005A00" w:rsidRPr="00256982" w:rsidRDefault="00005A00" w:rsidP="00AA14F1">
            <w:pPr>
              <w:pStyle w:val="TableText"/>
              <w:spacing w:before="50" w:after="50"/>
              <w:jc w:val="center"/>
            </w:pPr>
            <w:r w:rsidRPr="00256982">
              <w:t xml:space="preserve"> 38.8 </w:t>
            </w:r>
          </w:p>
        </w:tc>
        <w:tc>
          <w:tcPr>
            <w:tcW w:w="1559" w:type="dxa"/>
            <w:tcBorders>
              <w:top w:val="single" w:sz="4" w:space="0" w:color="365F91"/>
              <w:bottom w:val="single" w:sz="4" w:space="0" w:color="365F91"/>
            </w:tcBorders>
            <w:shd w:val="clear" w:color="auto" w:fill="auto"/>
          </w:tcPr>
          <w:p w14:paraId="6129FEA5" w14:textId="77777777" w:rsidR="00005A00" w:rsidRPr="00256982" w:rsidRDefault="00005A00" w:rsidP="00AA14F1">
            <w:pPr>
              <w:pStyle w:val="TableText"/>
              <w:spacing w:before="50" w:after="50"/>
              <w:jc w:val="center"/>
            </w:pPr>
            <w:r w:rsidRPr="00256982">
              <w:t xml:space="preserve"> 569.9 </w:t>
            </w:r>
          </w:p>
        </w:tc>
      </w:tr>
      <w:tr w:rsidR="00005A00" w:rsidRPr="00256982" w14:paraId="7E983764" w14:textId="77777777" w:rsidTr="00AA14F1">
        <w:tc>
          <w:tcPr>
            <w:tcW w:w="993" w:type="dxa"/>
            <w:tcBorders>
              <w:top w:val="single" w:sz="4" w:space="0" w:color="365F91"/>
              <w:bottom w:val="single" w:sz="4" w:space="0" w:color="365F91"/>
            </w:tcBorders>
          </w:tcPr>
          <w:p w14:paraId="598EAEE7" w14:textId="77777777" w:rsidR="00005A00" w:rsidRPr="00256982" w:rsidRDefault="00005A00" w:rsidP="00AA14F1">
            <w:pPr>
              <w:pStyle w:val="TableTextBold"/>
              <w:spacing w:before="50" w:after="50"/>
              <w:rPr>
                <w:noProof w:val="0"/>
              </w:rPr>
            </w:pPr>
            <w:r w:rsidRPr="00256982">
              <w:rPr>
                <w:noProof w:val="0"/>
              </w:rPr>
              <w:t>1961</w:t>
            </w:r>
          </w:p>
        </w:tc>
        <w:tc>
          <w:tcPr>
            <w:tcW w:w="1942" w:type="dxa"/>
            <w:tcBorders>
              <w:top w:val="single" w:sz="4" w:space="0" w:color="365F91"/>
              <w:bottom w:val="single" w:sz="4" w:space="0" w:color="365F91"/>
            </w:tcBorders>
            <w:shd w:val="clear" w:color="auto" w:fill="auto"/>
          </w:tcPr>
          <w:p w14:paraId="51D8BB05" w14:textId="77777777" w:rsidR="00005A00" w:rsidRPr="00256982" w:rsidRDefault="00005A00" w:rsidP="00AA14F1">
            <w:pPr>
              <w:pStyle w:val="TableText"/>
              <w:spacing w:before="50" w:after="50"/>
              <w:jc w:val="center"/>
            </w:pPr>
            <w:r w:rsidRPr="00256982">
              <w:t xml:space="preserve"> 181.7 </w:t>
            </w:r>
          </w:p>
        </w:tc>
        <w:tc>
          <w:tcPr>
            <w:tcW w:w="2168" w:type="dxa"/>
            <w:tcBorders>
              <w:top w:val="single" w:sz="4" w:space="0" w:color="365F91"/>
              <w:bottom w:val="single" w:sz="4" w:space="0" w:color="365F91"/>
            </w:tcBorders>
            <w:shd w:val="clear" w:color="auto" w:fill="auto"/>
          </w:tcPr>
          <w:p w14:paraId="028B8643" w14:textId="77777777" w:rsidR="00005A00" w:rsidRPr="00256982" w:rsidRDefault="00005A00" w:rsidP="00AA14F1">
            <w:pPr>
              <w:pStyle w:val="TableText"/>
              <w:spacing w:before="50" w:after="50"/>
              <w:jc w:val="center"/>
            </w:pPr>
            <w:r w:rsidRPr="00256982">
              <w:t xml:space="preserve"> 438.5 </w:t>
            </w:r>
          </w:p>
        </w:tc>
        <w:tc>
          <w:tcPr>
            <w:tcW w:w="1843" w:type="dxa"/>
            <w:tcBorders>
              <w:top w:val="single" w:sz="4" w:space="0" w:color="365F91"/>
              <w:bottom w:val="single" w:sz="4" w:space="0" w:color="365F91"/>
            </w:tcBorders>
            <w:shd w:val="clear" w:color="auto" w:fill="auto"/>
          </w:tcPr>
          <w:p w14:paraId="3DAA6AD8" w14:textId="77777777" w:rsidR="00005A00" w:rsidRPr="00256982" w:rsidRDefault="00005A00" w:rsidP="00AA14F1">
            <w:pPr>
              <w:pStyle w:val="TableText"/>
              <w:spacing w:before="50" w:after="50"/>
              <w:jc w:val="center"/>
            </w:pPr>
            <w:r w:rsidRPr="00256982">
              <w:t xml:space="preserve"> 48.7 </w:t>
            </w:r>
          </w:p>
        </w:tc>
        <w:tc>
          <w:tcPr>
            <w:tcW w:w="1559" w:type="dxa"/>
            <w:tcBorders>
              <w:top w:val="single" w:sz="4" w:space="0" w:color="365F91"/>
              <w:bottom w:val="single" w:sz="4" w:space="0" w:color="365F91"/>
            </w:tcBorders>
            <w:shd w:val="clear" w:color="auto" w:fill="auto"/>
          </w:tcPr>
          <w:p w14:paraId="4DD1A448" w14:textId="77777777" w:rsidR="00005A00" w:rsidRPr="00256982" w:rsidRDefault="00005A00" w:rsidP="00AA14F1">
            <w:pPr>
              <w:pStyle w:val="TableText"/>
              <w:spacing w:before="50" w:after="50"/>
              <w:jc w:val="center"/>
            </w:pPr>
            <w:r w:rsidRPr="00256982">
              <w:t xml:space="preserve"> 668.9 </w:t>
            </w:r>
          </w:p>
        </w:tc>
      </w:tr>
      <w:tr w:rsidR="00005A00" w:rsidRPr="00256982" w14:paraId="12D3316F" w14:textId="77777777" w:rsidTr="00AA14F1">
        <w:tc>
          <w:tcPr>
            <w:tcW w:w="993" w:type="dxa"/>
            <w:tcBorders>
              <w:top w:val="single" w:sz="4" w:space="0" w:color="365F91"/>
              <w:bottom w:val="single" w:sz="4" w:space="0" w:color="365F91"/>
            </w:tcBorders>
          </w:tcPr>
          <w:p w14:paraId="30920458" w14:textId="77777777" w:rsidR="00005A00" w:rsidRPr="00256982" w:rsidRDefault="00005A00" w:rsidP="00AA14F1">
            <w:pPr>
              <w:pStyle w:val="TableTextBold"/>
              <w:spacing w:before="50" w:after="50"/>
              <w:rPr>
                <w:noProof w:val="0"/>
              </w:rPr>
            </w:pPr>
            <w:r w:rsidRPr="00256982">
              <w:rPr>
                <w:noProof w:val="0"/>
              </w:rPr>
              <w:t>1962</w:t>
            </w:r>
          </w:p>
        </w:tc>
        <w:tc>
          <w:tcPr>
            <w:tcW w:w="1942" w:type="dxa"/>
            <w:tcBorders>
              <w:top w:val="single" w:sz="4" w:space="0" w:color="365F91"/>
              <w:bottom w:val="single" w:sz="4" w:space="0" w:color="365F91"/>
            </w:tcBorders>
            <w:shd w:val="clear" w:color="auto" w:fill="auto"/>
          </w:tcPr>
          <w:p w14:paraId="6CBD781C" w14:textId="77777777" w:rsidR="00005A00" w:rsidRPr="00256982" w:rsidRDefault="00005A00" w:rsidP="00AA14F1">
            <w:pPr>
              <w:pStyle w:val="TableText"/>
              <w:spacing w:before="50" w:after="50"/>
              <w:jc w:val="center"/>
            </w:pPr>
            <w:r w:rsidRPr="00256982">
              <w:t xml:space="preserve"> 181.7 </w:t>
            </w:r>
          </w:p>
        </w:tc>
        <w:tc>
          <w:tcPr>
            <w:tcW w:w="2168" w:type="dxa"/>
            <w:tcBorders>
              <w:top w:val="single" w:sz="4" w:space="0" w:color="365F91"/>
              <w:bottom w:val="single" w:sz="4" w:space="0" w:color="365F91"/>
            </w:tcBorders>
            <w:shd w:val="clear" w:color="auto" w:fill="auto"/>
          </w:tcPr>
          <w:p w14:paraId="3BB5C9B3" w14:textId="77777777" w:rsidR="00005A00" w:rsidRPr="00256982" w:rsidRDefault="00005A00" w:rsidP="00AA14F1">
            <w:pPr>
              <w:pStyle w:val="TableText"/>
              <w:spacing w:before="50" w:after="50"/>
              <w:jc w:val="center"/>
            </w:pPr>
            <w:r w:rsidRPr="00256982">
              <w:t xml:space="preserve"> 447.2 </w:t>
            </w:r>
          </w:p>
        </w:tc>
        <w:tc>
          <w:tcPr>
            <w:tcW w:w="1843" w:type="dxa"/>
            <w:tcBorders>
              <w:top w:val="single" w:sz="4" w:space="0" w:color="365F91"/>
              <w:bottom w:val="single" w:sz="4" w:space="0" w:color="365F91"/>
            </w:tcBorders>
            <w:shd w:val="clear" w:color="auto" w:fill="auto"/>
          </w:tcPr>
          <w:p w14:paraId="4807B7DC" w14:textId="77777777" w:rsidR="00005A00" w:rsidRPr="00256982" w:rsidRDefault="00005A00" w:rsidP="00AA14F1">
            <w:pPr>
              <w:pStyle w:val="TableText"/>
              <w:spacing w:before="50" w:after="50"/>
              <w:jc w:val="center"/>
            </w:pPr>
            <w:r w:rsidRPr="00256982">
              <w:t xml:space="preserve"> 49.7 </w:t>
            </w:r>
          </w:p>
        </w:tc>
        <w:tc>
          <w:tcPr>
            <w:tcW w:w="1559" w:type="dxa"/>
            <w:tcBorders>
              <w:top w:val="single" w:sz="4" w:space="0" w:color="365F91"/>
              <w:bottom w:val="single" w:sz="4" w:space="0" w:color="365F91"/>
            </w:tcBorders>
            <w:shd w:val="clear" w:color="auto" w:fill="auto"/>
          </w:tcPr>
          <w:p w14:paraId="6B2558F9" w14:textId="77777777" w:rsidR="00005A00" w:rsidRPr="00256982" w:rsidRDefault="00005A00" w:rsidP="00AA14F1">
            <w:pPr>
              <w:pStyle w:val="TableText"/>
              <w:spacing w:before="50" w:after="50"/>
              <w:jc w:val="center"/>
            </w:pPr>
            <w:r w:rsidRPr="00256982">
              <w:t xml:space="preserve"> 678.6 </w:t>
            </w:r>
          </w:p>
        </w:tc>
      </w:tr>
      <w:tr w:rsidR="00005A00" w:rsidRPr="00256982" w14:paraId="569103C6" w14:textId="77777777" w:rsidTr="00AA14F1">
        <w:tc>
          <w:tcPr>
            <w:tcW w:w="993" w:type="dxa"/>
            <w:tcBorders>
              <w:top w:val="single" w:sz="4" w:space="0" w:color="365F91"/>
              <w:bottom w:val="single" w:sz="4" w:space="0" w:color="365F91"/>
            </w:tcBorders>
          </w:tcPr>
          <w:p w14:paraId="4B1C353B" w14:textId="77777777" w:rsidR="00005A00" w:rsidRPr="00256982" w:rsidRDefault="00005A00" w:rsidP="00AA14F1">
            <w:pPr>
              <w:pStyle w:val="TableTextBold"/>
              <w:spacing w:before="50" w:after="50"/>
              <w:rPr>
                <w:noProof w:val="0"/>
              </w:rPr>
            </w:pPr>
            <w:r w:rsidRPr="00256982">
              <w:rPr>
                <w:noProof w:val="0"/>
              </w:rPr>
              <w:t>1963</w:t>
            </w:r>
          </w:p>
        </w:tc>
        <w:tc>
          <w:tcPr>
            <w:tcW w:w="1942" w:type="dxa"/>
            <w:tcBorders>
              <w:top w:val="single" w:sz="4" w:space="0" w:color="365F91"/>
              <w:bottom w:val="single" w:sz="4" w:space="0" w:color="365F91"/>
            </w:tcBorders>
            <w:shd w:val="clear" w:color="auto" w:fill="auto"/>
          </w:tcPr>
          <w:p w14:paraId="14330455" w14:textId="77777777" w:rsidR="00005A00" w:rsidRPr="00256982" w:rsidRDefault="00005A00" w:rsidP="00AA14F1">
            <w:pPr>
              <w:pStyle w:val="TableText"/>
              <w:spacing w:before="50" w:after="50"/>
              <w:jc w:val="center"/>
            </w:pPr>
            <w:r w:rsidRPr="00256982">
              <w:t xml:space="preserve"> 447.9 </w:t>
            </w:r>
          </w:p>
        </w:tc>
        <w:tc>
          <w:tcPr>
            <w:tcW w:w="2168" w:type="dxa"/>
            <w:tcBorders>
              <w:top w:val="single" w:sz="4" w:space="0" w:color="365F91"/>
              <w:bottom w:val="single" w:sz="4" w:space="0" w:color="365F91"/>
            </w:tcBorders>
            <w:shd w:val="clear" w:color="auto" w:fill="auto"/>
          </w:tcPr>
          <w:p w14:paraId="0439F9F0" w14:textId="77777777" w:rsidR="00005A00" w:rsidRPr="00256982" w:rsidRDefault="00005A00" w:rsidP="00AA14F1">
            <w:pPr>
              <w:pStyle w:val="TableText"/>
              <w:spacing w:before="50" w:after="50"/>
              <w:jc w:val="center"/>
            </w:pPr>
            <w:r w:rsidRPr="00256982">
              <w:t xml:space="preserve"> 297.3 </w:t>
            </w:r>
          </w:p>
        </w:tc>
        <w:tc>
          <w:tcPr>
            <w:tcW w:w="1843" w:type="dxa"/>
            <w:tcBorders>
              <w:top w:val="single" w:sz="4" w:space="0" w:color="365F91"/>
              <w:bottom w:val="single" w:sz="4" w:space="0" w:color="365F91"/>
            </w:tcBorders>
            <w:shd w:val="clear" w:color="auto" w:fill="auto"/>
          </w:tcPr>
          <w:p w14:paraId="3F36237C" w14:textId="77777777" w:rsidR="00005A00" w:rsidRPr="00256982" w:rsidRDefault="00005A00" w:rsidP="00AA14F1">
            <w:pPr>
              <w:pStyle w:val="TableText"/>
              <w:spacing w:before="50" w:after="50"/>
              <w:jc w:val="center"/>
            </w:pPr>
            <w:r w:rsidRPr="00256982">
              <w:t xml:space="preserve"> 33.0 </w:t>
            </w:r>
          </w:p>
        </w:tc>
        <w:tc>
          <w:tcPr>
            <w:tcW w:w="1559" w:type="dxa"/>
            <w:tcBorders>
              <w:top w:val="single" w:sz="4" w:space="0" w:color="365F91"/>
              <w:bottom w:val="single" w:sz="4" w:space="0" w:color="365F91"/>
            </w:tcBorders>
            <w:shd w:val="clear" w:color="auto" w:fill="auto"/>
          </w:tcPr>
          <w:p w14:paraId="1AFC27D6" w14:textId="77777777" w:rsidR="00005A00" w:rsidRPr="00256982" w:rsidRDefault="00005A00" w:rsidP="00AA14F1">
            <w:pPr>
              <w:pStyle w:val="TableText"/>
              <w:spacing w:before="50" w:after="50"/>
              <w:jc w:val="center"/>
            </w:pPr>
            <w:r w:rsidRPr="00256982">
              <w:t xml:space="preserve"> 778.2 </w:t>
            </w:r>
          </w:p>
        </w:tc>
      </w:tr>
      <w:tr w:rsidR="00005A00" w:rsidRPr="00256982" w14:paraId="4C67E607" w14:textId="77777777" w:rsidTr="00AA14F1">
        <w:tc>
          <w:tcPr>
            <w:tcW w:w="993" w:type="dxa"/>
            <w:tcBorders>
              <w:top w:val="single" w:sz="4" w:space="0" w:color="365F91"/>
              <w:bottom w:val="single" w:sz="4" w:space="0" w:color="365F91"/>
            </w:tcBorders>
          </w:tcPr>
          <w:p w14:paraId="144AA444" w14:textId="77777777" w:rsidR="00005A00" w:rsidRPr="00256982" w:rsidRDefault="00005A00" w:rsidP="00AA14F1">
            <w:pPr>
              <w:pStyle w:val="TableTextBold"/>
              <w:spacing w:before="50" w:after="50"/>
              <w:rPr>
                <w:noProof w:val="0"/>
              </w:rPr>
            </w:pPr>
            <w:r w:rsidRPr="00256982">
              <w:rPr>
                <w:noProof w:val="0"/>
              </w:rPr>
              <w:t>1964</w:t>
            </w:r>
          </w:p>
        </w:tc>
        <w:tc>
          <w:tcPr>
            <w:tcW w:w="1942" w:type="dxa"/>
            <w:tcBorders>
              <w:top w:val="single" w:sz="4" w:space="0" w:color="365F91"/>
              <w:bottom w:val="single" w:sz="4" w:space="0" w:color="365F91"/>
            </w:tcBorders>
            <w:shd w:val="clear" w:color="auto" w:fill="auto"/>
          </w:tcPr>
          <w:p w14:paraId="0E8C764F" w14:textId="77777777" w:rsidR="00005A00" w:rsidRPr="00256982" w:rsidRDefault="00005A00" w:rsidP="00AA14F1">
            <w:pPr>
              <w:pStyle w:val="TableText"/>
              <w:spacing w:before="50" w:after="50"/>
              <w:jc w:val="center"/>
            </w:pPr>
            <w:r w:rsidRPr="00256982">
              <w:t xml:space="preserve"> 447.9 </w:t>
            </w:r>
          </w:p>
        </w:tc>
        <w:tc>
          <w:tcPr>
            <w:tcW w:w="2168" w:type="dxa"/>
            <w:tcBorders>
              <w:top w:val="single" w:sz="4" w:space="0" w:color="365F91"/>
              <w:bottom w:val="single" w:sz="4" w:space="0" w:color="365F91"/>
            </w:tcBorders>
            <w:shd w:val="clear" w:color="auto" w:fill="auto"/>
          </w:tcPr>
          <w:p w14:paraId="3DA3719E" w14:textId="77777777" w:rsidR="00005A00" w:rsidRPr="00256982" w:rsidRDefault="00005A00" w:rsidP="00AA14F1">
            <w:pPr>
              <w:pStyle w:val="TableText"/>
              <w:spacing w:before="50" w:after="50"/>
              <w:jc w:val="center"/>
            </w:pPr>
            <w:r w:rsidRPr="00256982">
              <w:t xml:space="preserve"> 369.1 </w:t>
            </w:r>
          </w:p>
        </w:tc>
        <w:tc>
          <w:tcPr>
            <w:tcW w:w="1843" w:type="dxa"/>
            <w:tcBorders>
              <w:top w:val="single" w:sz="4" w:space="0" w:color="365F91"/>
              <w:bottom w:val="single" w:sz="4" w:space="0" w:color="365F91"/>
            </w:tcBorders>
            <w:shd w:val="clear" w:color="auto" w:fill="auto"/>
          </w:tcPr>
          <w:p w14:paraId="424A87BA" w14:textId="77777777" w:rsidR="00005A00" w:rsidRPr="00256982" w:rsidRDefault="00005A00" w:rsidP="00AA14F1">
            <w:pPr>
              <w:pStyle w:val="TableText"/>
              <w:spacing w:before="50" w:after="50"/>
              <w:jc w:val="center"/>
            </w:pPr>
            <w:r w:rsidRPr="00256982">
              <w:t xml:space="preserve"> 41.0 </w:t>
            </w:r>
          </w:p>
        </w:tc>
        <w:tc>
          <w:tcPr>
            <w:tcW w:w="1559" w:type="dxa"/>
            <w:tcBorders>
              <w:top w:val="single" w:sz="4" w:space="0" w:color="365F91"/>
              <w:bottom w:val="single" w:sz="4" w:space="0" w:color="365F91"/>
            </w:tcBorders>
            <w:shd w:val="clear" w:color="auto" w:fill="auto"/>
          </w:tcPr>
          <w:p w14:paraId="4045AF6E" w14:textId="77777777" w:rsidR="00005A00" w:rsidRPr="00256982" w:rsidRDefault="00005A00" w:rsidP="00AA14F1">
            <w:pPr>
              <w:pStyle w:val="TableText"/>
              <w:spacing w:before="50" w:after="50"/>
              <w:jc w:val="center"/>
            </w:pPr>
            <w:r w:rsidRPr="00256982">
              <w:t xml:space="preserve"> 858.0 </w:t>
            </w:r>
          </w:p>
        </w:tc>
      </w:tr>
      <w:tr w:rsidR="00005A00" w:rsidRPr="00256982" w14:paraId="13A08E8E" w14:textId="77777777" w:rsidTr="00AA14F1">
        <w:tc>
          <w:tcPr>
            <w:tcW w:w="993" w:type="dxa"/>
            <w:tcBorders>
              <w:top w:val="single" w:sz="4" w:space="0" w:color="365F91"/>
              <w:bottom w:val="single" w:sz="4" w:space="0" w:color="365F91"/>
            </w:tcBorders>
          </w:tcPr>
          <w:p w14:paraId="48F076EE" w14:textId="77777777" w:rsidR="00005A00" w:rsidRPr="00256982" w:rsidRDefault="00005A00" w:rsidP="00AA14F1">
            <w:pPr>
              <w:pStyle w:val="TableTextBold"/>
              <w:spacing w:before="50" w:after="50"/>
              <w:rPr>
                <w:noProof w:val="0"/>
              </w:rPr>
            </w:pPr>
            <w:r w:rsidRPr="00256982">
              <w:rPr>
                <w:noProof w:val="0"/>
              </w:rPr>
              <w:t>1965</w:t>
            </w:r>
          </w:p>
        </w:tc>
        <w:tc>
          <w:tcPr>
            <w:tcW w:w="1942" w:type="dxa"/>
            <w:tcBorders>
              <w:top w:val="single" w:sz="4" w:space="0" w:color="365F91"/>
              <w:bottom w:val="single" w:sz="4" w:space="0" w:color="365F91"/>
            </w:tcBorders>
            <w:shd w:val="clear" w:color="auto" w:fill="auto"/>
          </w:tcPr>
          <w:p w14:paraId="4C0F60E0" w14:textId="77777777" w:rsidR="00005A00" w:rsidRPr="00256982" w:rsidRDefault="00005A00" w:rsidP="00AA14F1">
            <w:pPr>
              <w:pStyle w:val="TableText"/>
              <w:spacing w:before="50" w:after="50"/>
              <w:jc w:val="center"/>
            </w:pPr>
            <w:r w:rsidRPr="00256982">
              <w:t xml:space="preserve"> 447.9 </w:t>
            </w:r>
          </w:p>
        </w:tc>
        <w:tc>
          <w:tcPr>
            <w:tcW w:w="2168" w:type="dxa"/>
            <w:tcBorders>
              <w:top w:val="single" w:sz="4" w:space="0" w:color="365F91"/>
              <w:bottom w:val="single" w:sz="4" w:space="0" w:color="365F91"/>
            </w:tcBorders>
            <w:shd w:val="clear" w:color="auto" w:fill="auto"/>
          </w:tcPr>
          <w:p w14:paraId="0504581B" w14:textId="77777777" w:rsidR="00005A00" w:rsidRPr="00256982" w:rsidRDefault="00005A00" w:rsidP="00AA14F1">
            <w:pPr>
              <w:pStyle w:val="TableText"/>
              <w:spacing w:before="50" w:after="50"/>
              <w:jc w:val="center"/>
            </w:pPr>
            <w:r w:rsidRPr="00256982">
              <w:t xml:space="preserve"> 477.2 </w:t>
            </w:r>
          </w:p>
        </w:tc>
        <w:tc>
          <w:tcPr>
            <w:tcW w:w="1843" w:type="dxa"/>
            <w:tcBorders>
              <w:top w:val="single" w:sz="4" w:space="0" w:color="365F91"/>
              <w:bottom w:val="single" w:sz="4" w:space="0" w:color="365F91"/>
            </w:tcBorders>
            <w:shd w:val="clear" w:color="auto" w:fill="auto"/>
          </w:tcPr>
          <w:p w14:paraId="12B4B869" w14:textId="77777777" w:rsidR="00005A00" w:rsidRPr="00256982" w:rsidRDefault="00005A00" w:rsidP="00AA14F1">
            <w:pPr>
              <w:pStyle w:val="TableText"/>
              <w:spacing w:before="50" w:after="50"/>
              <w:jc w:val="center"/>
            </w:pPr>
            <w:r w:rsidRPr="00256982">
              <w:t xml:space="preserve"> 53.0 </w:t>
            </w:r>
          </w:p>
        </w:tc>
        <w:tc>
          <w:tcPr>
            <w:tcW w:w="1559" w:type="dxa"/>
            <w:tcBorders>
              <w:top w:val="single" w:sz="4" w:space="0" w:color="365F91"/>
              <w:bottom w:val="single" w:sz="4" w:space="0" w:color="365F91"/>
            </w:tcBorders>
            <w:shd w:val="clear" w:color="auto" w:fill="auto"/>
          </w:tcPr>
          <w:p w14:paraId="3A135B41" w14:textId="77777777" w:rsidR="00005A00" w:rsidRPr="00256982" w:rsidRDefault="00005A00" w:rsidP="00AA14F1">
            <w:pPr>
              <w:pStyle w:val="TableText"/>
              <w:spacing w:before="50" w:after="50"/>
              <w:jc w:val="center"/>
            </w:pPr>
            <w:r w:rsidRPr="00256982">
              <w:t xml:space="preserve"> 978.1 </w:t>
            </w:r>
          </w:p>
        </w:tc>
      </w:tr>
      <w:tr w:rsidR="00005A00" w:rsidRPr="00256982" w14:paraId="292A1861" w14:textId="77777777" w:rsidTr="00AA14F1">
        <w:tc>
          <w:tcPr>
            <w:tcW w:w="993" w:type="dxa"/>
            <w:tcBorders>
              <w:top w:val="single" w:sz="4" w:space="0" w:color="365F91"/>
              <w:bottom w:val="single" w:sz="4" w:space="0" w:color="365F91"/>
            </w:tcBorders>
          </w:tcPr>
          <w:p w14:paraId="11898B12" w14:textId="77777777" w:rsidR="00005A00" w:rsidRPr="00256982" w:rsidRDefault="00005A00" w:rsidP="00AA14F1">
            <w:pPr>
              <w:pStyle w:val="TableTextBold"/>
              <w:spacing w:before="50" w:after="50"/>
              <w:rPr>
                <w:noProof w:val="0"/>
              </w:rPr>
            </w:pPr>
            <w:r w:rsidRPr="00256982">
              <w:rPr>
                <w:noProof w:val="0"/>
              </w:rPr>
              <w:t>1966</w:t>
            </w:r>
          </w:p>
        </w:tc>
        <w:tc>
          <w:tcPr>
            <w:tcW w:w="1942" w:type="dxa"/>
            <w:tcBorders>
              <w:top w:val="single" w:sz="4" w:space="0" w:color="365F91"/>
              <w:bottom w:val="single" w:sz="4" w:space="0" w:color="365F91"/>
            </w:tcBorders>
            <w:shd w:val="clear" w:color="auto" w:fill="auto"/>
          </w:tcPr>
          <w:p w14:paraId="64A8EED4" w14:textId="77777777" w:rsidR="00005A00" w:rsidRPr="00256982" w:rsidRDefault="00005A00" w:rsidP="00AA14F1">
            <w:pPr>
              <w:pStyle w:val="TableText"/>
              <w:spacing w:before="50" w:after="50"/>
              <w:jc w:val="center"/>
            </w:pPr>
            <w:r w:rsidRPr="00256982">
              <w:t xml:space="preserve"> 447.9 </w:t>
            </w:r>
          </w:p>
        </w:tc>
        <w:tc>
          <w:tcPr>
            <w:tcW w:w="2168" w:type="dxa"/>
            <w:tcBorders>
              <w:top w:val="single" w:sz="4" w:space="0" w:color="365F91"/>
              <w:bottom w:val="single" w:sz="4" w:space="0" w:color="365F91"/>
            </w:tcBorders>
            <w:shd w:val="clear" w:color="auto" w:fill="auto"/>
          </w:tcPr>
          <w:p w14:paraId="3FDF2B2F" w14:textId="77777777" w:rsidR="00005A00" w:rsidRPr="00256982" w:rsidRDefault="00005A00" w:rsidP="00AA14F1">
            <w:pPr>
              <w:pStyle w:val="TableText"/>
              <w:spacing w:before="50" w:after="50"/>
              <w:jc w:val="center"/>
            </w:pPr>
            <w:r w:rsidRPr="00256982">
              <w:t xml:space="preserve"> 566.8 </w:t>
            </w:r>
          </w:p>
        </w:tc>
        <w:tc>
          <w:tcPr>
            <w:tcW w:w="1843" w:type="dxa"/>
            <w:tcBorders>
              <w:top w:val="single" w:sz="4" w:space="0" w:color="365F91"/>
              <w:bottom w:val="single" w:sz="4" w:space="0" w:color="365F91"/>
            </w:tcBorders>
            <w:shd w:val="clear" w:color="auto" w:fill="auto"/>
          </w:tcPr>
          <w:p w14:paraId="6F8880B0" w14:textId="77777777" w:rsidR="00005A00" w:rsidRPr="00256982" w:rsidRDefault="00005A00" w:rsidP="00AA14F1">
            <w:pPr>
              <w:pStyle w:val="TableText"/>
              <w:spacing w:before="50" w:after="50"/>
              <w:jc w:val="center"/>
            </w:pPr>
            <w:r w:rsidRPr="00256982">
              <w:t xml:space="preserve"> 63.0 </w:t>
            </w:r>
          </w:p>
        </w:tc>
        <w:tc>
          <w:tcPr>
            <w:tcW w:w="1559" w:type="dxa"/>
            <w:tcBorders>
              <w:top w:val="single" w:sz="4" w:space="0" w:color="365F91"/>
              <w:bottom w:val="single" w:sz="4" w:space="0" w:color="365F91"/>
            </w:tcBorders>
            <w:shd w:val="clear" w:color="auto" w:fill="auto"/>
          </w:tcPr>
          <w:p w14:paraId="62BDDF3D" w14:textId="77777777" w:rsidR="00005A00" w:rsidRPr="00256982" w:rsidRDefault="00005A00" w:rsidP="00AA14F1">
            <w:pPr>
              <w:pStyle w:val="TableText"/>
              <w:spacing w:before="50" w:after="50"/>
              <w:jc w:val="center"/>
            </w:pPr>
            <w:r w:rsidRPr="00256982">
              <w:t xml:space="preserve"> 1,077.6 </w:t>
            </w:r>
          </w:p>
        </w:tc>
      </w:tr>
      <w:tr w:rsidR="00005A00" w:rsidRPr="00256982" w14:paraId="5807516F" w14:textId="77777777" w:rsidTr="00AA14F1">
        <w:tc>
          <w:tcPr>
            <w:tcW w:w="993" w:type="dxa"/>
            <w:tcBorders>
              <w:top w:val="single" w:sz="4" w:space="0" w:color="365F91"/>
              <w:bottom w:val="single" w:sz="4" w:space="0" w:color="365F91"/>
            </w:tcBorders>
          </w:tcPr>
          <w:p w14:paraId="4EF60652" w14:textId="77777777" w:rsidR="00005A00" w:rsidRPr="00256982" w:rsidRDefault="00005A00" w:rsidP="00AA14F1">
            <w:pPr>
              <w:pStyle w:val="TableTextBold"/>
              <w:spacing w:before="50" w:after="50"/>
              <w:rPr>
                <w:noProof w:val="0"/>
              </w:rPr>
            </w:pPr>
            <w:r w:rsidRPr="00256982">
              <w:rPr>
                <w:noProof w:val="0"/>
              </w:rPr>
              <w:t>1967</w:t>
            </w:r>
          </w:p>
        </w:tc>
        <w:tc>
          <w:tcPr>
            <w:tcW w:w="1942" w:type="dxa"/>
            <w:tcBorders>
              <w:top w:val="single" w:sz="4" w:space="0" w:color="365F91"/>
              <w:bottom w:val="single" w:sz="4" w:space="0" w:color="365F91"/>
            </w:tcBorders>
            <w:shd w:val="clear" w:color="auto" w:fill="auto"/>
          </w:tcPr>
          <w:p w14:paraId="4F5D63C3" w14:textId="77777777" w:rsidR="00005A00" w:rsidRPr="00256982" w:rsidRDefault="00005A00" w:rsidP="00AA14F1">
            <w:pPr>
              <w:pStyle w:val="TableText"/>
              <w:spacing w:before="50" w:after="50"/>
              <w:jc w:val="center"/>
            </w:pPr>
            <w:r w:rsidRPr="00256982">
              <w:t xml:space="preserve"> 495.8 </w:t>
            </w:r>
          </w:p>
        </w:tc>
        <w:tc>
          <w:tcPr>
            <w:tcW w:w="2168" w:type="dxa"/>
            <w:tcBorders>
              <w:top w:val="single" w:sz="4" w:space="0" w:color="365F91"/>
              <w:bottom w:val="single" w:sz="4" w:space="0" w:color="365F91"/>
            </w:tcBorders>
            <w:shd w:val="clear" w:color="auto" w:fill="auto"/>
          </w:tcPr>
          <w:p w14:paraId="4CC8FFDD" w14:textId="77777777" w:rsidR="00005A00" w:rsidRPr="00256982" w:rsidRDefault="00005A00" w:rsidP="00AA14F1">
            <w:pPr>
              <w:pStyle w:val="TableText"/>
              <w:spacing w:before="50" w:after="50"/>
              <w:jc w:val="center"/>
            </w:pPr>
            <w:r w:rsidRPr="00256982">
              <w:t xml:space="preserve"> 486.0 </w:t>
            </w:r>
          </w:p>
        </w:tc>
        <w:tc>
          <w:tcPr>
            <w:tcW w:w="1843" w:type="dxa"/>
            <w:tcBorders>
              <w:top w:val="single" w:sz="4" w:space="0" w:color="365F91"/>
              <w:bottom w:val="single" w:sz="4" w:space="0" w:color="365F91"/>
            </w:tcBorders>
            <w:shd w:val="clear" w:color="auto" w:fill="auto"/>
          </w:tcPr>
          <w:p w14:paraId="560C9AD3" w14:textId="77777777" w:rsidR="00005A00" w:rsidRPr="00256982" w:rsidRDefault="00005A00" w:rsidP="00AA14F1">
            <w:pPr>
              <w:pStyle w:val="TableText"/>
              <w:spacing w:before="50" w:after="50"/>
              <w:jc w:val="center"/>
            </w:pPr>
            <w:r w:rsidRPr="00256982">
              <w:t xml:space="preserve"> 54.0 </w:t>
            </w:r>
          </w:p>
        </w:tc>
        <w:tc>
          <w:tcPr>
            <w:tcW w:w="1559" w:type="dxa"/>
            <w:tcBorders>
              <w:top w:val="single" w:sz="4" w:space="0" w:color="365F91"/>
              <w:bottom w:val="single" w:sz="4" w:space="0" w:color="365F91"/>
            </w:tcBorders>
            <w:shd w:val="clear" w:color="auto" w:fill="auto"/>
          </w:tcPr>
          <w:p w14:paraId="3C9C6CD1" w14:textId="77777777" w:rsidR="00005A00" w:rsidRPr="00256982" w:rsidRDefault="00005A00" w:rsidP="00AA14F1">
            <w:pPr>
              <w:pStyle w:val="TableText"/>
              <w:spacing w:before="50" w:after="50"/>
              <w:jc w:val="center"/>
            </w:pPr>
            <w:r w:rsidRPr="00256982">
              <w:t xml:space="preserve"> 1,035.8 </w:t>
            </w:r>
          </w:p>
        </w:tc>
      </w:tr>
      <w:tr w:rsidR="00005A00" w:rsidRPr="00256982" w14:paraId="1B87BC5C" w14:textId="77777777" w:rsidTr="00AA14F1">
        <w:tc>
          <w:tcPr>
            <w:tcW w:w="993" w:type="dxa"/>
            <w:tcBorders>
              <w:top w:val="single" w:sz="4" w:space="0" w:color="365F91"/>
              <w:bottom w:val="single" w:sz="4" w:space="0" w:color="365F91"/>
            </w:tcBorders>
          </w:tcPr>
          <w:p w14:paraId="2BCC026A" w14:textId="77777777" w:rsidR="00005A00" w:rsidRPr="00256982" w:rsidRDefault="00005A00" w:rsidP="00AA14F1">
            <w:pPr>
              <w:pStyle w:val="TableTextBold"/>
              <w:spacing w:before="50" w:after="50"/>
              <w:rPr>
                <w:noProof w:val="0"/>
              </w:rPr>
            </w:pPr>
            <w:r w:rsidRPr="00256982">
              <w:rPr>
                <w:noProof w:val="0"/>
              </w:rPr>
              <w:t>1968</w:t>
            </w:r>
          </w:p>
        </w:tc>
        <w:tc>
          <w:tcPr>
            <w:tcW w:w="1942" w:type="dxa"/>
            <w:tcBorders>
              <w:top w:val="single" w:sz="4" w:space="0" w:color="365F91"/>
              <w:bottom w:val="single" w:sz="4" w:space="0" w:color="365F91"/>
            </w:tcBorders>
            <w:shd w:val="clear" w:color="auto" w:fill="auto"/>
          </w:tcPr>
          <w:p w14:paraId="4C857659" w14:textId="77777777" w:rsidR="00005A00" w:rsidRPr="00256982" w:rsidRDefault="00005A00" w:rsidP="00AA14F1">
            <w:pPr>
              <w:pStyle w:val="TableText"/>
              <w:spacing w:before="50" w:after="50"/>
              <w:jc w:val="center"/>
            </w:pPr>
            <w:r w:rsidRPr="00256982">
              <w:t xml:space="preserve"> 495.8 </w:t>
            </w:r>
          </w:p>
        </w:tc>
        <w:tc>
          <w:tcPr>
            <w:tcW w:w="2168" w:type="dxa"/>
            <w:tcBorders>
              <w:top w:val="single" w:sz="4" w:space="0" w:color="365F91"/>
              <w:bottom w:val="single" w:sz="4" w:space="0" w:color="365F91"/>
            </w:tcBorders>
            <w:shd w:val="clear" w:color="auto" w:fill="auto"/>
          </w:tcPr>
          <w:p w14:paraId="371A0601" w14:textId="77777777" w:rsidR="00005A00" w:rsidRPr="00256982" w:rsidRDefault="00005A00" w:rsidP="00AA14F1">
            <w:pPr>
              <w:pStyle w:val="TableText"/>
              <w:spacing w:before="50" w:after="50"/>
              <w:jc w:val="center"/>
            </w:pPr>
            <w:r w:rsidRPr="00256982">
              <w:t xml:space="preserve"> 485.2 </w:t>
            </w:r>
          </w:p>
        </w:tc>
        <w:tc>
          <w:tcPr>
            <w:tcW w:w="1843" w:type="dxa"/>
            <w:tcBorders>
              <w:top w:val="single" w:sz="4" w:space="0" w:color="365F91"/>
              <w:bottom w:val="single" w:sz="4" w:space="0" w:color="365F91"/>
            </w:tcBorders>
            <w:shd w:val="clear" w:color="auto" w:fill="auto"/>
          </w:tcPr>
          <w:p w14:paraId="7C652DC0" w14:textId="77777777" w:rsidR="00005A00" w:rsidRPr="00256982" w:rsidRDefault="00005A00" w:rsidP="00AA14F1">
            <w:pPr>
              <w:pStyle w:val="TableText"/>
              <w:spacing w:before="50" w:after="50"/>
              <w:jc w:val="center"/>
            </w:pPr>
            <w:r w:rsidRPr="00256982">
              <w:t xml:space="preserve"> 53.9 </w:t>
            </w:r>
          </w:p>
        </w:tc>
        <w:tc>
          <w:tcPr>
            <w:tcW w:w="1559" w:type="dxa"/>
            <w:tcBorders>
              <w:top w:val="single" w:sz="4" w:space="0" w:color="365F91"/>
              <w:bottom w:val="single" w:sz="4" w:space="0" w:color="365F91"/>
            </w:tcBorders>
            <w:shd w:val="clear" w:color="auto" w:fill="auto"/>
          </w:tcPr>
          <w:p w14:paraId="50991356" w14:textId="77777777" w:rsidR="00005A00" w:rsidRPr="00256982" w:rsidRDefault="00005A00" w:rsidP="00AA14F1">
            <w:pPr>
              <w:pStyle w:val="TableText"/>
              <w:spacing w:before="50" w:after="50"/>
              <w:jc w:val="center"/>
            </w:pPr>
            <w:r w:rsidRPr="00256982">
              <w:t xml:space="preserve"> 1,034.9 </w:t>
            </w:r>
          </w:p>
        </w:tc>
      </w:tr>
      <w:tr w:rsidR="00005A00" w:rsidRPr="00256982" w14:paraId="528F5057" w14:textId="77777777" w:rsidTr="00AA14F1">
        <w:tc>
          <w:tcPr>
            <w:tcW w:w="993" w:type="dxa"/>
            <w:tcBorders>
              <w:top w:val="single" w:sz="4" w:space="0" w:color="365F91"/>
              <w:bottom w:val="single" w:sz="4" w:space="0" w:color="365F91"/>
            </w:tcBorders>
          </w:tcPr>
          <w:p w14:paraId="4151E166" w14:textId="77777777" w:rsidR="00005A00" w:rsidRPr="00256982" w:rsidRDefault="00005A00" w:rsidP="00AA14F1">
            <w:pPr>
              <w:pStyle w:val="TableTextBold"/>
              <w:spacing w:before="50" w:after="50"/>
              <w:rPr>
                <w:noProof w:val="0"/>
              </w:rPr>
            </w:pPr>
            <w:r w:rsidRPr="00256982">
              <w:rPr>
                <w:noProof w:val="0"/>
              </w:rPr>
              <w:t>1969</w:t>
            </w:r>
          </w:p>
        </w:tc>
        <w:tc>
          <w:tcPr>
            <w:tcW w:w="1942" w:type="dxa"/>
            <w:tcBorders>
              <w:top w:val="single" w:sz="4" w:space="0" w:color="365F91"/>
              <w:bottom w:val="single" w:sz="4" w:space="0" w:color="365F91"/>
            </w:tcBorders>
            <w:shd w:val="clear" w:color="auto" w:fill="auto"/>
          </w:tcPr>
          <w:p w14:paraId="7D40E6EF" w14:textId="77777777" w:rsidR="00005A00" w:rsidRPr="00256982" w:rsidRDefault="00005A00" w:rsidP="00AA14F1">
            <w:pPr>
              <w:pStyle w:val="TableText"/>
              <w:spacing w:before="50" w:after="50"/>
              <w:jc w:val="center"/>
            </w:pPr>
            <w:r w:rsidRPr="00256982">
              <w:t xml:space="preserve"> 495.8 </w:t>
            </w:r>
          </w:p>
        </w:tc>
        <w:tc>
          <w:tcPr>
            <w:tcW w:w="2168" w:type="dxa"/>
            <w:tcBorders>
              <w:top w:val="single" w:sz="4" w:space="0" w:color="365F91"/>
              <w:bottom w:val="single" w:sz="4" w:space="0" w:color="365F91"/>
            </w:tcBorders>
            <w:shd w:val="clear" w:color="auto" w:fill="auto"/>
          </w:tcPr>
          <w:p w14:paraId="3DE859B5" w14:textId="77777777" w:rsidR="00005A00" w:rsidRPr="00256982" w:rsidRDefault="00005A00" w:rsidP="00AA14F1">
            <w:pPr>
              <w:pStyle w:val="TableText"/>
              <w:spacing w:before="50" w:after="50"/>
              <w:jc w:val="center"/>
            </w:pPr>
            <w:r w:rsidRPr="00256982">
              <w:t xml:space="preserve"> 489.1 </w:t>
            </w:r>
          </w:p>
        </w:tc>
        <w:tc>
          <w:tcPr>
            <w:tcW w:w="1843" w:type="dxa"/>
            <w:tcBorders>
              <w:top w:val="single" w:sz="4" w:space="0" w:color="365F91"/>
              <w:bottom w:val="single" w:sz="4" w:space="0" w:color="365F91"/>
            </w:tcBorders>
            <w:shd w:val="clear" w:color="auto" w:fill="auto"/>
          </w:tcPr>
          <w:p w14:paraId="15C64A66" w14:textId="77777777" w:rsidR="00005A00" w:rsidRPr="00256982" w:rsidRDefault="00005A00" w:rsidP="00AA14F1">
            <w:pPr>
              <w:pStyle w:val="TableText"/>
              <w:spacing w:before="50" w:after="50"/>
              <w:jc w:val="center"/>
            </w:pPr>
            <w:r w:rsidRPr="00256982">
              <w:t xml:space="preserve"> 54.3 </w:t>
            </w:r>
          </w:p>
        </w:tc>
        <w:tc>
          <w:tcPr>
            <w:tcW w:w="1559" w:type="dxa"/>
            <w:tcBorders>
              <w:top w:val="single" w:sz="4" w:space="0" w:color="365F91"/>
              <w:bottom w:val="single" w:sz="4" w:space="0" w:color="365F91"/>
            </w:tcBorders>
            <w:shd w:val="clear" w:color="auto" w:fill="auto"/>
          </w:tcPr>
          <w:p w14:paraId="7320F621" w14:textId="77777777" w:rsidR="00005A00" w:rsidRPr="00256982" w:rsidRDefault="00005A00" w:rsidP="00AA14F1">
            <w:pPr>
              <w:pStyle w:val="TableText"/>
              <w:spacing w:before="50" w:after="50"/>
              <w:jc w:val="center"/>
            </w:pPr>
            <w:r w:rsidRPr="00256982">
              <w:t xml:space="preserve"> 1,039.2 </w:t>
            </w:r>
          </w:p>
        </w:tc>
      </w:tr>
      <w:tr w:rsidR="00005A00" w:rsidRPr="00256982" w14:paraId="20FE7053" w14:textId="77777777" w:rsidTr="00AA14F1">
        <w:tc>
          <w:tcPr>
            <w:tcW w:w="993" w:type="dxa"/>
            <w:tcBorders>
              <w:top w:val="single" w:sz="4" w:space="0" w:color="365F91"/>
              <w:bottom w:val="single" w:sz="4" w:space="0" w:color="365F91"/>
            </w:tcBorders>
          </w:tcPr>
          <w:p w14:paraId="5F09F94A" w14:textId="77777777" w:rsidR="00005A00" w:rsidRPr="00256982" w:rsidRDefault="00005A00" w:rsidP="00AA14F1">
            <w:pPr>
              <w:pStyle w:val="TableTextBold"/>
              <w:spacing w:before="50" w:after="50"/>
              <w:rPr>
                <w:noProof w:val="0"/>
              </w:rPr>
            </w:pPr>
            <w:r w:rsidRPr="00256982">
              <w:rPr>
                <w:noProof w:val="0"/>
              </w:rPr>
              <w:t>1970</w:t>
            </w:r>
          </w:p>
        </w:tc>
        <w:tc>
          <w:tcPr>
            <w:tcW w:w="1942" w:type="dxa"/>
            <w:tcBorders>
              <w:top w:val="single" w:sz="4" w:space="0" w:color="365F91"/>
              <w:bottom w:val="single" w:sz="4" w:space="0" w:color="365F91"/>
            </w:tcBorders>
            <w:shd w:val="clear" w:color="auto" w:fill="auto"/>
          </w:tcPr>
          <w:p w14:paraId="1CAD6400" w14:textId="77777777" w:rsidR="00005A00" w:rsidRPr="00256982" w:rsidRDefault="00005A00" w:rsidP="00AA14F1">
            <w:pPr>
              <w:pStyle w:val="TableText"/>
              <w:spacing w:before="50" w:after="50"/>
              <w:jc w:val="center"/>
            </w:pPr>
            <w:r w:rsidRPr="00256982">
              <w:t xml:space="preserve"> 654.1 </w:t>
            </w:r>
          </w:p>
        </w:tc>
        <w:tc>
          <w:tcPr>
            <w:tcW w:w="2168" w:type="dxa"/>
            <w:tcBorders>
              <w:top w:val="single" w:sz="4" w:space="0" w:color="365F91"/>
              <w:bottom w:val="single" w:sz="4" w:space="0" w:color="365F91"/>
            </w:tcBorders>
            <w:shd w:val="clear" w:color="auto" w:fill="auto"/>
          </w:tcPr>
          <w:p w14:paraId="42E21EDA" w14:textId="77777777" w:rsidR="00005A00" w:rsidRPr="00256982" w:rsidRDefault="00005A00" w:rsidP="00AA14F1">
            <w:pPr>
              <w:pStyle w:val="TableText"/>
              <w:spacing w:before="50" w:after="50"/>
              <w:jc w:val="center"/>
            </w:pPr>
            <w:r w:rsidRPr="00256982">
              <w:t xml:space="preserve"> 497.4 </w:t>
            </w:r>
          </w:p>
        </w:tc>
        <w:tc>
          <w:tcPr>
            <w:tcW w:w="1843" w:type="dxa"/>
            <w:tcBorders>
              <w:top w:val="single" w:sz="4" w:space="0" w:color="365F91"/>
              <w:bottom w:val="single" w:sz="4" w:space="0" w:color="365F91"/>
            </w:tcBorders>
            <w:shd w:val="clear" w:color="auto" w:fill="auto"/>
          </w:tcPr>
          <w:p w14:paraId="77C67CA4" w14:textId="77777777" w:rsidR="00005A00" w:rsidRPr="00256982" w:rsidRDefault="00005A00" w:rsidP="00AA14F1">
            <w:pPr>
              <w:pStyle w:val="TableText"/>
              <w:spacing w:before="50" w:after="50"/>
              <w:jc w:val="center"/>
            </w:pPr>
            <w:r w:rsidRPr="00256982">
              <w:t xml:space="preserve"> 55.3 </w:t>
            </w:r>
          </w:p>
        </w:tc>
        <w:tc>
          <w:tcPr>
            <w:tcW w:w="1559" w:type="dxa"/>
            <w:tcBorders>
              <w:top w:val="single" w:sz="4" w:space="0" w:color="365F91"/>
              <w:bottom w:val="single" w:sz="4" w:space="0" w:color="365F91"/>
            </w:tcBorders>
            <w:shd w:val="clear" w:color="auto" w:fill="auto"/>
          </w:tcPr>
          <w:p w14:paraId="14A88B8E" w14:textId="77777777" w:rsidR="00005A00" w:rsidRPr="00256982" w:rsidRDefault="00005A00" w:rsidP="00AA14F1">
            <w:pPr>
              <w:pStyle w:val="TableText"/>
              <w:spacing w:before="50" w:after="50"/>
              <w:jc w:val="center"/>
            </w:pPr>
            <w:r w:rsidRPr="00256982">
              <w:t xml:space="preserve"> 1,206.9 </w:t>
            </w:r>
          </w:p>
        </w:tc>
      </w:tr>
      <w:tr w:rsidR="00005A00" w:rsidRPr="00256982" w14:paraId="2E301362" w14:textId="77777777" w:rsidTr="00AA14F1">
        <w:tc>
          <w:tcPr>
            <w:tcW w:w="993" w:type="dxa"/>
            <w:tcBorders>
              <w:top w:val="single" w:sz="4" w:space="0" w:color="365F91"/>
              <w:bottom w:val="single" w:sz="4" w:space="0" w:color="365F91"/>
            </w:tcBorders>
          </w:tcPr>
          <w:p w14:paraId="5C27DA4C" w14:textId="77777777" w:rsidR="00005A00" w:rsidRPr="00256982" w:rsidRDefault="00005A00" w:rsidP="00AA14F1">
            <w:pPr>
              <w:pStyle w:val="TableTextBold"/>
              <w:spacing w:before="50" w:after="50"/>
              <w:rPr>
                <w:noProof w:val="0"/>
              </w:rPr>
            </w:pPr>
            <w:r w:rsidRPr="00256982">
              <w:rPr>
                <w:noProof w:val="0"/>
              </w:rPr>
              <w:t>1971</w:t>
            </w:r>
          </w:p>
        </w:tc>
        <w:tc>
          <w:tcPr>
            <w:tcW w:w="1942" w:type="dxa"/>
            <w:tcBorders>
              <w:top w:val="single" w:sz="4" w:space="0" w:color="365F91"/>
              <w:bottom w:val="single" w:sz="4" w:space="0" w:color="365F91"/>
            </w:tcBorders>
            <w:shd w:val="clear" w:color="auto" w:fill="auto"/>
          </w:tcPr>
          <w:p w14:paraId="7FEE6DA6" w14:textId="77777777" w:rsidR="00005A00" w:rsidRPr="00256982" w:rsidRDefault="00005A00" w:rsidP="00AA14F1">
            <w:pPr>
              <w:pStyle w:val="TableText"/>
              <w:spacing w:before="50" w:after="50"/>
              <w:jc w:val="center"/>
            </w:pPr>
            <w:r w:rsidRPr="00256982">
              <w:t xml:space="preserve"> 654.1 </w:t>
            </w:r>
          </w:p>
        </w:tc>
        <w:tc>
          <w:tcPr>
            <w:tcW w:w="2168" w:type="dxa"/>
            <w:tcBorders>
              <w:top w:val="single" w:sz="4" w:space="0" w:color="365F91"/>
              <w:bottom w:val="single" w:sz="4" w:space="0" w:color="365F91"/>
            </w:tcBorders>
            <w:shd w:val="clear" w:color="auto" w:fill="auto"/>
          </w:tcPr>
          <w:p w14:paraId="78F1638D" w14:textId="77777777" w:rsidR="00005A00" w:rsidRPr="00256982" w:rsidRDefault="00005A00" w:rsidP="00AA14F1">
            <w:pPr>
              <w:pStyle w:val="TableText"/>
              <w:spacing w:before="50" w:after="50"/>
              <w:jc w:val="center"/>
            </w:pPr>
            <w:r w:rsidRPr="00256982">
              <w:t xml:space="preserve"> 554.4 </w:t>
            </w:r>
          </w:p>
        </w:tc>
        <w:tc>
          <w:tcPr>
            <w:tcW w:w="1843" w:type="dxa"/>
            <w:tcBorders>
              <w:top w:val="single" w:sz="4" w:space="0" w:color="365F91"/>
              <w:bottom w:val="single" w:sz="4" w:space="0" w:color="365F91"/>
            </w:tcBorders>
            <w:shd w:val="clear" w:color="auto" w:fill="auto"/>
          </w:tcPr>
          <w:p w14:paraId="5F8507F0" w14:textId="77777777" w:rsidR="00005A00" w:rsidRPr="00256982" w:rsidRDefault="00005A00" w:rsidP="00AA14F1">
            <w:pPr>
              <w:pStyle w:val="TableText"/>
              <w:spacing w:before="50" w:after="50"/>
              <w:jc w:val="center"/>
            </w:pPr>
            <w:r w:rsidRPr="00256982">
              <w:t xml:space="preserve"> 61.6 </w:t>
            </w:r>
          </w:p>
        </w:tc>
        <w:tc>
          <w:tcPr>
            <w:tcW w:w="1559" w:type="dxa"/>
            <w:tcBorders>
              <w:top w:val="single" w:sz="4" w:space="0" w:color="365F91"/>
              <w:bottom w:val="single" w:sz="4" w:space="0" w:color="365F91"/>
            </w:tcBorders>
            <w:shd w:val="clear" w:color="auto" w:fill="auto"/>
          </w:tcPr>
          <w:p w14:paraId="0D8E7BCD" w14:textId="77777777" w:rsidR="00005A00" w:rsidRPr="00256982" w:rsidRDefault="00005A00" w:rsidP="00AA14F1">
            <w:pPr>
              <w:pStyle w:val="TableText"/>
              <w:spacing w:before="50" w:after="50"/>
              <w:jc w:val="center"/>
            </w:pPr>
            <w:r w:rsidRPr="00256982">
              <w:t xml:space="preserve"> 1,270.1 </w:t>
            </w:r>
          </w:p>
        </w:tc>
      </w:tr>
      <w:tr w:rsidR="00005A00" w:rsidRPr="00256982" w14:paraId="47C0B444" w14:textId="77777777" w:rsidTr="00AA14F1">
        <w:tc>
          <w:tcPr>
            <w:tcW w:w="993" w:type="dxa"/>
            <w:tcBorders>
              <w:top w:val="single" w:sz="4" w:space="0" w:color="365F91"/>
              <w:bottom w:val="single" w:sz="4" w:space="0" w:color="365F91"/>
            </w:tcBorders>
          </w:tcPr>
          <w:p w14:paraId="05645B04" w14:textId="77777777" w:rsidR="00005A00" w:rsidRPr="00256982" w:rsidRDefault="00005A00" w:rsidP="00AA14F1">
            <w:pPr>
              <w:pStyle w:val="TableTextBold"/>
              <w:spacing w:before="50" w:after="50"/>
              <w:rPr>
                <w:noProof w:val="0"/>
              </w:rPr>
            </w:pPr>
            <w:r w:rsidRPr="00256982">
              <w:rPr>
                <w:noProof w:val="0"/>
              </w:rPr>
              <w:t>1972</w:t>
            </w:r>
          </w:p>
        </w:tc>
        <w:tc>
          <w:tcPr>
            <w:tcW w:w="1942" w:type="dxa"/>
            <w:tcBorders>
              <w:top w:val="single" w:sz="4" w:space="0" w:color="365F91"/>
              <w:bottom w:val="single" w:sz="4" w:space="0" w:color="365F91"/>
            </w:tcBorders>
            <w:shd w:val="clear" w:color="auto" w:fill="auto"/>
          </w:tcPr>
          <w:p w14:paraId="760455B5" w14:textId="77777777" w:rsidR="00005A00" w:rsidRPr="00256982" w:rsidRDefault="00005A00" w:rsidP="00AA14F1">
            <w:pPr>
              <w:pStyle w:val="TableText"/>
              <w:spacing w:before="50" w:after="50"/>
              <w:jc w:val="center"/>
            </w:pPr>
            <w:r w:rsidRPr="00256982">
              <w:t xml:space="preserve"> 672.5 </w:t>
            </w:r>
          </w:p>
        </w:tc>
        <w:tc>
          <w:tcPr>
            <w:tcW w:w="2168" w:type="dxa"/>
            <w:tcBorders>
              <w:top w:val="single" w:sz="4" w:space="0" w:color="365F91"/>
              <w:bottom w:val="single" w:sz="4" w:space="0" w:color="365F91"/>
            </w:tcBorders>
            <w:shd w:val="clear" w:color="auto" w:fill="auto"/>
          </w:tcPr>
          <w:p w14:paraId="1F58F5DF" w14:textId="77777777" w:rsidR="00005A00" w:rsidRPr="00256982" w:rsidRDefault="00005A00" w:rsidP="00AA14F1">
            <w:pPr>
              <w:pStyle w:val="TableText"/>
              <w:spacing w:before="50" w:after="50"/>
              <w:jc w:val="center"/>
            </w:pPr>
            <w:r w:rsidRPr="00256982">
              <w:t xml:space="preserve"> 746.9 </w:t>
            </w:r>
          </w:p>
        </w:tc>
        <w:tc>
          <w:tcPr>
            <w:tcW w:w="1843" w:type="dxa"/>
            <w:tcBorders>
              <w:top w:val="single" w:sz="4" w:space="0" w:color="365F91"/>
              <w:bottom w:val="single" w:sz="4" w:space="0" w:color="365F91"/>
            </w:tcBorders>
            <w:shd w:val="clear" w:color="auto" w:fill="auto"/>
          </w:tcPr>
          <w:p w14:paraId="32DD1BE4" w14:textId="77777777" w:rsidR="00005A00" w:rsidRPr="00256982" w:rsidRDefault="00005A00" w:rsidP="00AA14F1">
            <w:pPr>
              <w:pStyle w:val="TableText"/>
              <w:spacing w:before="50" w:after="50"/>
              <w:jc w:val="center"/>
            </w:pPr>
            <w:r w:rsidRPr="00256982">
              <w:t xml:space="preserve"> 83.0 </w:t>
            </w:r>
          </w:p>
        </w:tc>
        <w:tc>
          <w:tcPr>
            <w:tcW w:w="1559" w:type="dxa"/>
            <w:tcBorders>
              <w:top w:val="single" w:sz="4" w:space="0" w:color="365F91"/>
              <w:bottom w:val="single" w:sz="4" w:space="0" w:color="365F91"/>
            </w:tcBorders>
            <w:shd w:val="clear" w:color="auto" w:fill="auto"/>
          </w:tcPr>
          <w:p w14:paraId="6783D64A" w14:textId="77777777" w:rsidR="00005A00" w:rsidRPr="00256982" w:rsidRDefault="00005A00" w:rsidP="00AA14F1">
            <w:pPr>
              <w:pStyle w:val="TableText"/>
              <w:spacing w:before="50" w:after="50"/>
              <w:jc w:val="center"/>
            </w:pPr>
            <w:r w:rsidRPr="00256982">
              <w:t xml:space="preserve"> 1,502.5 </w:t>
            </w:r>
          </w:p>
        </w:tc>
      </w:tr>
      <w:tr w:rsidR="00005A00" w:rsidRPr="00256982" w14:paraId="01B6F3BF" w14:textId="77777777" w:rsidTr="00AA14F1">
        <w:tc>
          <w:tcPr>
            <w:tcW w:w="993" w:type="dxa"/>
            <w:tcBorders>
              <w:top w:val="single" w:sz="4" w:space="0" w:color="365F91"/>
              <w:bottom w:val="single" w:sz="4" w:space="0" w:color="365F91"/>
            </w:tcBorders>
          </w:tcPr>
          <w:p w14:paraId="46D0774F" w14:textId="77777777" w:rsidR="00005A00" w:rsidRPr="00256982" w:rsidRDefault="00005A00" w:rsidP="00AA14F1">
            <w:pPr>
              <w:pStyle w:val="TableTextBold"/>
              <w:spacing w:before="50" w:after="50"/>
              <w:rPr>
                <w:noProof w:val="0"/>
              </w:rPr>
            </w:pPr>
            <w:r w:rsidRPr="00256982">
              <w:rPr>
                <w:noProof w:val="0"/>
              </w:rPr>
              <w:t>1973</w:t>
            </w:r>
          </w:p>
        </w:tc>
        <w:tc>
          <w:tcPr>
            <w:tcW w:w="1942" w:type="dxa"/>
            <w:tcBorders>
              <w:top w:val="single" w:sz="4" w:space="0" w:color="365F91"/>
              <w:bottom w:val="single" w:sz="4" w:space="0" w:color="365F91"/>
            </w:tcBorders>
            <w:shd w:val="clear" w:color="auto" w:fill="auto"/>
          </w:tcPr>
          <w:p w14:paraId="467DED09" w14:textId="77777777" w:rsidR="00005A00" w:rsidRPr="00256982" w:rsidRDefault="00005A00" w:rsidP="00AA14F1">
            <w:pPr>
              <w:pStyle w:val="TableText"/>
              <w:spacing w:before="50" w:after="50"/>
              <w:jc w:val="center"/>
            </w:pPr>
            <w:r w:rsidRPr="00256982">
              <w:t xml:space="preserve"> 672.5 </w:t>
            </w:r>
          </w:p>
        </w:tc>
        <w:tc>
          <w:tcPr>
            <w:tcW w:w="2168" w:type="dxa"/>
            <w:tcBorders>
              <w:top w:val="single" w:sz="4" w:space="0" w:color="365F91"/>
              <w:bottom w:val="single" w:sz="4" w:space="0" w:color="365F91"/>
            </w:tcBorders>
            <w:shd w:val="clear" w:color="auto" w:fill="auto"/>
          </w:tcPr>
          <w:p w14:paraId="67FB5C37" w14:textId="77777777" w:rsidR="00005A00" w:rsidRPr="00256982" w:rsidRDefault="00005A00" w:rsidP="00AA14F1">
            <w:pPr>
              <w:pStyle w:val="TableText"/>
              <w:spacing w:before="50" w:after="50"/>
              <w:jc w:val="center"/>
            </w:pPr>
            <w:r w:rsidRPr="00256982">
              <w:t xml:space="preserve"> 889.1 </w:t>
            </w:r>
          </w:p>
        </w:tc>
        <w:tc>
          <w:tcPr>
            <w:tcW w:w="1843" w:type="dxa"/>
            <w:tcBorders>
              <w:top w:val="single" w:sz="4" w:space="0" w:color="365F91"/>
              <w:bottom w:val="single" w:sz="4" w:space="0" w:color="365F91"/>
            </w:tcBorders>
            <w:shd w:val="clear" w:color="auto" w:fill="auto"/>
          </w:tcPr>
          <w:p w14:paraId="310DA40A" w14:textId="77777777" w:rsidR="00005A00" w:rsidRPr="00256982" w:rsidRDefault="00005A00" w:rsidP="00AA14F1">
            <w:pPr>
              <w:pStyle w:val="TableText"/>
              <w:spacing w:before="50" w:after="50"/>
              <w:jc w:val="center"/>
            </w:pPr>
            <w:r w:rsidRPr="00256982">
              <w:t xml:space="preserve"> 98.8 </w:t>
            </w:r>
          </w:p>
        </w:tc>
        <w:tc>
          <w:tcPr>
            <w:tcW w:w="1559" w:type="dxa"/>
            <w:tcBorders>
              <w:top w:val="single" w:sz="4" w:space="0" w:color="365F91"/>
              <w:bottom w:val="single" w:sz="4" w:space="0" w:color="365F91"/>
            </w:tcBorders>
            <w:shd w:val="clear" w:color="auto" w:fill="auto"/>
          </w:tcPr>
          <w:p w14:paraId="735AE959" w14:textId="77777777" w:rsidR="00005A00" w:rsidRPr="00256982" w:rsidRDefault="00005A00" w:rsidP="00AA14F1">
            <w:pPr>
              <w:pStyle w:val="TableText"/>
              <w:spacing w:before="50" w:after="50"/>
              <w:jc w:val="center"/>
            </w:pPr>
            <w:r w:rsidRPr="00256982">
              <w:t xml:space="preserve"> 1,660.4 </w:t>
            </w:r>
          </w:p>
        </w:tc>
      </w:tr>
      <w:tr w:rsidR="00005A00" w:rsidRPr="00256982" w14:paraId="19BA49B8" w14:textId="77777777" w:rsidTr="00AA14F1">
        <w:tc>
          <w:tcPr>
            <w:tcW w:w="993" w:type="dxa"/>
            <w:tcBorders>
              <w:top w:val="single" w:sz="4" w:space="0" w:color="365F91"/>
              <w:bottom w:val="single" w:sz="4" w:space="0" w:color="365F91"/>
            </w:tcBorders>
          </w:tcPr>
          <w:p w14:paraId="62B195F7" w14:textId="77777777" w:rsidR="00005A00" w:rsidRPr="00256982" w:rsidRDefault="00005A00" w:rsidP="00AA14F1">
            <w:pPr>
              <w:pStyle w:val="TableTextBold"/>
              <w:spacing w:before="50" w:after="50"/>
              <w:rPr>
                <w:noProof w:val="0"/>
              </w:rPr>
            </w:pPr>
            <w:r w:rsidRPr="00256982">
              <w:rPr>
                <w:noProof w:val="0"/>
              </w:rPr>
              <w:t>1974</w:t>
            </w:r>
          </w:p>
        </w:tc>
        <w:tc>
          <w:tcPr>
            <w:tcW w:w="1942" w:type="dxa"/>
            <w:tcBorders>
              <w:top w:val="single" w:sz="4" w:space="0" w:color="365F91"/>
              <w:bottom w:val="single" w:sz="4" w:space="0" w:color="365F91"/>
            </w:tcBorders>
            <w:shd w:val="clear" w:color="auto" w:fill="auto"/>
          </w:tcPr>
          <w:p w14:paraId="51D30BAF" w14:textId="77777777" w:rsidR="00005A00" w:rsidRPr="00256982" w:rsidRDefault="00005A00" w:rsidP="00AA14F1">
            <w:pPr>
              <w:pStyle w:val="TableText"/>
              <w:spacing w:before="50" w:after="50"/>
              <w:jc w:val="center"/>
            </w:pPr>
            <w:r w:rsidRPr="00256982">
              <w:t xml:space="preserve"> 844.5 </w:t>
            </w:r>
          </w:p>
        </w:tc>
        <w:tc>
          <w:tcPr>
            <w:tcW w:w="2168" w:type="dxa"/>
            <w:tcBorders>
              <w:top w:val="single" w:sz="4" w:space="0" w:color="365F91"/>
              <w:bottom w:val="single" w:sz="4" w:space="0" w:color="365F91"/>
            </w:tcBorders>
            <w:shd w:val="clear" w:color="auto" w:fill="auto"/>
          </w:tcPr>
          <w:p w14:paraId="28741915" w14:textId="77777777" w:rsidR="00005A00" w:rsidRPr="00256982" w:rsidRDefault="00005A00" w:rsidP="00AA14F1">
            <w:pPr>
              <w:pStyle w:val="TableText"/>
              <w:spacing w:before="50" w:after="50"/>
              <w:jc w:val="center"/>
            </w:pPr>
            <w:r w:rsidRPr="00256982">
              <w:t xml:space="preserve"> 839.4 </w:t>
            </w:r>
          </w:p>
        </w:tc>
        <w:tc>
          <w:tcPr>
            <w:tcW w:w="1843" w:type="dxa"/>
            <w:tcBorders>
              <w:top w:val="single" w:sz="4" w:space="0" w:color="365F91"/>
              <w:bottom w:val="single" w:sz="4" w:space="0" w:color="365F91"/>
            </w:tcBorders>
            <w:shd w:val="clear" w:color="auto" w:fill="auto"/>
          </w:tcPr>
          <w:p w14:paraId="08F312AC" w14:textId="77777777" w:rsidR="00005A00" w:rsidRPr="00256982" w:rsidRDefault="00005A00" w:rsidP="00AA14F1">
            <w:pPr>
              <w:pStyle w:val="TableText"/>
              <w:spacing w:before="50" w:after="50"/>
              <w:jc w:val="center"/>
            </w:pPr>
            <w:r w:rsidRPr="00256982">
              <w:t xml:space="preserve"> 93.3 </w:t>
            </w:r>
          </w:p>
        </w:tc>
        <w:tc>
          <w:tcPr>
            <w:tcW w:w="1559" w:type="dxa"/>
            <w:tcBorders>
              <w:top w:val="single" w:sz="4" w:space="0" w:color="365F91"/>
              <w:bottom w:val="single" w:sz="4" w:space="0" w:color="365F91"/>
            </w:tcBorders>
            <w:shd w:val="clear" w:color="auto" w:fill="auto"/>
          </w:tcPr>
          <w:p w14:paraId="7020145E" w14:textId="77777777" w:rsidR="00005A00" w:rsidRPr="00256982" w:rsidRDefault="00005A00" w:rsidP="00AA14F1">
            <w:pPr>
              <w:pStyle w:val="TableText"/>
              <w:spacing w:before="50" w:after="50"/>
              <w:jc w:val="center"/>
            </w:pPr>
            <w:r w:rsidRPr="00256982">
              <w:t xml:space="preserve"> 1,777.1 </w:t>
            </w:r>
          </w:p>
        </w:tc>
      </w:tr>
      <w:tr w:rsidR="00005A00" w:rsidRPr="00256982" w14:paraId="4D989BA7" w14:textId="77777777" w:rsidTr="00AA14F1">
        <w:tc>
          <w:tcPr>
            <w:tcW w:w="993" w:type="dxa"/>
            <w:tcBorders>
              <w:top w:val="single" w:sz="4" w:space="0" w:color="365F91"/>
              <w:bottom w:val="single" w:sz="4" w:space="0" w:color="365F91"/>
            </w:tcBorders>
          </w:tcPr>
          <w:p w14:paraId="1AAADD28" w14:textId="77777777" w:rsidR="00005A00" w:rsidRPr="00256982" w:rsidRDefault="00005A00" w:rsidP="00AA14F1">
            <w:pPr>
              <w:pStyle w:val="TableTextBold"/>
              <w:spacing w:before="50" w:after="50"/>
              <w:rPr>
                <w:noProof w:val="0"/>
              </w:rPr>
            </w:pPr>
            <w:r w:rsidRPr="00256982">
              <w:rPr>
                <w:noProof w:val="0"/>
              </w:rPr>
              <w:t>1975</w:t>
            </w:r>
          </w:p>
        </w:tc>
        <w:tc>
          <w:tcPr>
            <w:tcW w:w="1942" w:type="dxa"/>
            <w:tcBorders>
              <w:top w:val="single" w:sz="4" w:space="0" w:color="365F91"/>
              <w:bottom w:val="single" w:sz="4" w:space="0" w:color="365F91"/>
            </w:tcBorders>
            <w:shd w:val="clear" w:color="auto" w:fill="auto"/>
          </w:tcPr>
          <w:p w14:paraId="27F2FBAF" w14:textId="77777777" w:rsidR="00005A00" w:rsidRPr="00256982" w:rsidRDefault="00005A00" w:rsidP="00AA14F1">
            <w:pPr>
              <w:pStyle w:val="TableText"/>
              <w:spacing w:before="50" w:after="50"/>
              <w:jc w:val="center"/>
            </w:pPr>
            <w:r w:rsidRPr="00256982">
              <w:t xml:space="preserve"> 844.5 </w:t>
            </w:r>
          </w:p>
        </w:tc>
        <w:tc>
          <w:tcPr>
            <w:tcW w:w="2168" w:type="dxa"/>
            <w:tcBorders>
              <w:top w:val="single" w:sz="4" w:space="0" w:color="365F91"/>
              <w:bottom w:val="single" w:sz="4" w:space="0" w:color="365F91"/>
            </w:tcBorders>
            <w:shd w:val="clear" w:color="auto" w:fill="auto"/>
          </w:tcPr>
          <w:p w14:paraId="2FAE2C3C" w14:textId="77777777" w:rsidR="00005A00" w:rsidRPr="00256982" w:rsidRDefault="00005A00" w:rsidP="00AA14F1">
            <w:pPr>
              <w:pStyle w:val="TableText"/>
              <w:spacing w:before="50" w:after="50"/>
              <w:jc w:val="center"/>
            </w:pPr>
            <w:r w:rsidRPr="00256982">
              <w:t xml:space="preserve"> 736.6 </w:t>
            </w:r>
          </w:p>
        </w:tc>
        <w:tc>
          <w:tcPr>
            <w:tcW w:w="1843" w:type="dxa"/>
            <w:tcBorders>
              <w:top w:val="single" w:sz="4" w:space="0" w:color="365F91"/>
              <w:bottom w:val="single" w:sz="4" w:space="0" w:color="365F91"/>
            </w:tcBorders>
            <w:shd w:val="clear" w:color="auto" w:fill="auto"/>
          </w:tcPr>
          <w:p w14:paraId="47E3D476" w14:textId="77777777" w:rsidR="00005A00" w:rsidRPr="00256982" w:rsidRDefault="00005A00" w:rsidP="00AA14F1">
            <w:pPr>
              <w:pStyle w:val="TableText"/>
              <w:spacing w:before="50" w:after="50"/>
              <w:jc w:val="center"/>
            </w:pPr>
            <w:r w:rsidRPr="00256982">
              <w:t xml:space="preserve"> 81.8 </w:t>
            </w:r>
          </w:p>
        </w:tc>
        <w:tc>
          <w:tcPr>
            <w:tcW w:w="1559" w:type="dxa"/>
            <w:tcBorders>
              <w:top w:val="single" w:sz="4" w:space="0" w:color="365F91"/>
              <w:bottom w:val="single" w:sz="4" w:space="0" w:color="365F91"/>
            </w:tcBorders>
            <w:shd w:val="clear" w:color="auto" w:fill="auto"/>
          </w:tcPr>
          <w:p w14:paraId="0A5A8478" w14:textId="77777777" w:rsidR="00005A00" w:rsidRPr="00256982" w:rsidRDefault="00005A00" w:rsidP="00AA14F1">
            <w:pPr>
              <w:pStyle w:val="TableText"/>
              <w:spacing w:before="50" w:after="50"/>
              <w:jc w:val="center"/>
            </w:pPr>
            <w:r w:rsidRPr="00256982">
              <w:t xml:space="preserve"> 1,662.9 </w:t>
            </w:r>
          </w:p>
        </w:tc>
      </w:tr>
      <w:tr w:rsidR="00005A00" w:rsidRPr="00256982" w14:paraId="4225E631" w14:textId="77777777" w:rsidTr="00AA14F1">
        <w:tc>
          <w:tcPr>
            <w:tcW w:w="993" w:type="dxa"/>
            <w:tcBorders>
              <w:top w:val="single" w:sz="4" w:space="0" w:color="365F91"/>
              <w:bottom w:val="single" w:sz="4" w:space="0" w:color="365F91"/>
            </w:tcBorders>
          </w:tcPr>
          <w:p w14:paraId="72982803" w14:textId="77777777" w:rsidR="00005A00" w:rsidRPr="00256982" w:rsidRDefault="00005A00" w:rsidP="00AA14F1">
            <w:pPr>
              <w:pStyle w:val="TableTextBold"/>
              <w:spacing w:before="50" w:after="50"/>
              <w:rPr>
                <w:noProof w:val="0"/>
              </w:rPr>
            </w:pPr>
            <w:r w:rsidRPr="00256982">
              <w:rPr>
                <w:noProof w:val="0"/>
              </w:rPr>
              <w:t>1976</w:t>
            </w:r>
          </w:p>
        </w:tc>
        <w:tc>
          <w:tcPr>
            <w:tcW w:w="1942" w:type="dxa"/>
            <w:tcBorders>
              <w:top w:val="single" w:sz="4" w:space="0" w:color="365F91"/>
              <w:bottom w:val="single" w:sz="4" w:space="0" w:color="365F91"/>
            </w:tcBorders>
            <w:shd w:val="clear" w:color="auto" w:fill="auto"/>
          </w:tcPr>
          <w:p w14:paraId="5243ECD5" w14:textId="77777777" w:rsidR="00005A00" w:rsidRPr="00256982" w:rsidRDefault="00005A00" w:rsidP="00AA14F1">
            <w:pPr>
              <w:pStyle w:val="TableText"/>
              <w:spacing w:before="50" w:after="50"/>
              <w:jc w:val="center"/>
            </w:pPr>
            <w:r w:rsidRPr="00256982">
              <w:t xml:space="preserve"> 984.9 </w:t>
            </w:r>
          </w:p>
        </w:tc>
        <w:tc>
          <w:tcPr>
            <w:tcW w:w="2168" w:type="dxa"/>
            <w:tcBorders>
              <w:top w:val="single" w:sz="4" w:space="0" w:color="365F91"/>
              <w:bottom w:val="single" w:sz="4" w:space="0" w:color="365F91"/>
            </w:tcBorders>
            <w:shd w:val="clear" w:color="auto" w:fill="auto"/>
          </w:tcPr>
          <w:p w14:paraId="12E17708" w14:textId="77777777" w:rsidR="00005A00" w:rsidRPr="00256982" w:rsidRDefault="00005A00" w:rsidP="00AA14F1">
            <w:pPr>
              <w:pStyle w:val="TableText"/>
              <w:spacing w:before="50" w:after="50"/>
              <w:jc w:val="center"/>
            </w:pPr>
            <w:r w:rsidRPr="00256982">
              <w:t xml:space="preserve"> 578.2 </w:t>
            </w:r>
          </w:p>
        </w:tc>
        <w:tc>
          <w:tcPr>
            <w:tcW w:w="1843" w:type="dxa"/>
            <w:tcBorders>
              <w:top w:val="single" w:sz="4" w:space="0" w:color="365F91"/>
              <w:bottom w:val="single" w:sz="4" w:space="0" w:color="365F91"/>
            </w:tcBorders>
            <w:shd w:val="clear" w:color="auto" w:fill="auto"/>
          </w:tcPr>
          <w:p w14:paraId="6EA0249A" w14:textId="77777777" w:rsidR="00005A00" w:rsidRPr="00256982" w:rsidRDefault="00005A00" w:rsidP="00AA14F1">
            <w:pPr>
              <w:pStyle w:val="TableText"/>
              <w:spacing w:before="50" w:after="50"/>
              <w:jc w:val="center"/>
            </w:pPr>
            <w:r w:rsidRPr="00256982">
              <w:t xml:space="preserve"> 64.2 </w:t>
            </w:r>
          </w:p>
        </w:tc>
        <w:tc>
          <w:tcPr>
            <w:tcW w:w="1559" w:type="dxa"/>
            <w:tcBorders>
              <w:top w:val="single" w:sz="4" w:space="0" w:color="365F91"/>
              <w:bottom w:val="single" w:sz="4" w:space="0" w:color="365F91"/>
            </w:tcBorders>
            <w:shd w:val="clear" w:color="auto" w:fill="auto"/>
          </w:tcPr>
          <w:p w14:paraId="10A918B7" w14:textId="77777777" w:rsidR="00005A00" w:rsidRPr="00256982" w:rsidRDefault="00005A00" w:rsidP="00AA14F1">
            <w:pPr>
              <w:pStyle w:val="TableText"/>
              <w:spacing w:before="50" w:after="50"/>
              <w:jc w:val="center"/>
            </w:pPr>
            <w:r w:rsidRPr="00256982">
              <w:t xml:space="preserve"> 1,627.4 </w:t>
            </w:r>
          </w:p>
        </w:tc>
      </w:tr>
      <w:tr w:rsidR="00005A00" w:rsidRPr="00256982" w14:paraId="0538A04E" w14:textId="77777777" w:rsidTr="00AA14F1">
        <w:tc>
          <w:tcPr>
            <w:tcW w:w="993" w:type="dxa"/>
            <w:tcBorders>
              <w:top w:val="single" w:sz="4" w:space="0" w:color="365F91"/>
              <w:bottom w:val="single" w:sz="4" w:space="0" w:color="365F91"/>
            </w:tcBorders>
          </w:tcPr>
          <w:p w14:paraId="42FCCB1B" w14:textId="77777777" w:rsidR="00005A00" w:rsidRPr="00256982" w:rsidRDefault="00005A00" w:rsidP="00AA14F1">
            <w:pPr>
              <w:pStyle w:val="TableTextBold"/>
              <w:spacing w:before="50" w:after="50"/>
              <w:rPr>
                <w:noProof w:val="0"/>
              </w:rPr>
            </w:pPr>
            <w:r w:rsidRPr="00256982">
              <w:rPr>
                <w:noProof w:val="0"/>
              </w:rPr>
              <w:t>1977</w:t>
            </w:r>
          </w:p>
        </w:tc>
        <w:tc>
          <w:tcPr>
            <w:tcW w:w="1942" w:type="dxa"/>
            <w:tcBorders>
              <w:top w:val="single" w:sz="4" w:space="0" w:color="365F91"/>
              <w:bottom w:val="single" w:sz="4" w:space="0" w:color="365F91"/>
            </w:tcBorders>
            <w:shd w:val="clear" w:color="auto" w:fill="auto"/>
          </w:tcPr>
          <w:p w14:paraId="77089476" w14:textId="77777777" w:rsidR="00005A00" w:rsidRPr="00256982" w:rsidRDefault="00005A00" w:rsidP="00AA14F1">
            <w:pPr>
              <w:pStyle w:val="TableText"/>
              <w:spacing w:before="50" w:after="50"/>
              <w:jc w:val="center"/>
            </w:pPr>
            <w:r w:rsidRPr="00256982">
              <w:t xml:space="preserve"> 984.9 </w:t>
            </w:r>
          </w:p>
        </w:tc>
        <w:tc>
          <w:tcPr>
            <w:tcW w:w="2168" w:type="dxa"/>
            <w:tcBorders>
              <w:top w:val="single" w:sz="4" w:space="0" w:color="365F91"/>
              <w:bottom w:val="single" w:sz="4" w:space="0" w:color="365F91"/>
            </w:tcBorders>
            <w:shd w:val="clear" w:color="auto" w:fill="auto"/>
          </w:tcPr>
          <w:p w14:paraId="1F3461EA" w14:textId="77777777" w:rsidR="00005A00" w:rsidRPr="00256982" w:rsidRDefault="00005A00" w:rsidP="00AA14F1">
            <w:pPr>
              <w:pStyle w:val="TableText"/>
              <w:spacing w:before="50" w:after="50"/>
              <w:jc w:val="center"/>
            </w:pPr>
            <w:r w:rsidRPr="00256982">
              <w:t xml:space="preserve"> 713.0 </w:t>
            </w:r>
          </w:p>
        </w:tc>
        <w:tc>
          <w:tcPr>
            <w:tcW w:w="1843" w:type="dxa"/>
            <w:tcBorders>
              <w:top w:val="single" w:sz="4" w:space="0" w:color="365F91"/>
              <w:bottom w:val="single" w:sz="4" w:space="0" w:color="365F91"/>
            </w:tcBorders>
            <w:shd w:val="clear" w:color="auto" w:fill="auto"/>
          </w:tcPr>
          <w:p w14:paraId="379D08FA" w14:textId="77777777" w:rsidR="00005A00" w:rsidRPr="00256982" w:rsidRDefault="00005A00" w:rsidP="00AA14F1">
            <w:pPr>
              <w:pStyle w:val="TableText"/>
              <w:spacing w:before="50" w:after="50"/>
              <w:jc w:val="center"/>
            </w:pPr>
            <w:r w:rsidRPr="00256982">
              <w:t xml:space="preserve"> 79.2 </w:t>
            </w:r>
          </w:p>
        </w:tc>
        <w:tc>
          <w:tcPr>
            <w:tcW w:w="1559" w:type="dxa"/>
            <w:tcBorders>
              <w:top w:val="single" w:sz="4" w:space="0" w:color="365F91"/>
              <w:bottom w:val="single" w:sz="4" w:space="0" w:color="365F91"/>
            </w:tcBorders>
            <w:shd w:val="clear" w:color="auto" w:fill="auto"/>
          </w:tcPr>
          <w:p w14:paraId="1E6E36CA" w14:textId="77777777" w:rsidR="00005A00" w:rsidRPr="00256982" w:rsidRDefault="00005A00" w:rsidP="00AA14F1">
            <w:pPr>
              <w:pStyle w:val="TableText"/>
              <w:spacing w:before="50" w:after="50"/>
              <w:jc w:val="center"/>
            </w:pPr>
            <w:r w:rsidRPr="00256982">
              <w:t xml:space="preserve"> 1,777.2 </w:t>
            </w:r>
          </w:p>
        </w:tc>
      </w:tr>
      <w:tr w:rsidR="00005A00" w:rsidRPr="00256982" w14:paraId="6D71F70F" w14:textId="77777777" w:rsidTr="00AA14F1">
        <w:tc>
          <w:tcPr>
            <w:tcW w:w="993" w:type="dxa"/>
            <w:tcBorders>
              <w:top w:val="single" w:sz="4" w:space="0" w:color="365F91"/>
              <w:bottom w:val="single" w:sz="4" w:space="0" w:color="365F91"/>
            </w:tcBorders>
          </w:tcPr>
          <w:p w14:paraId="686A774C" w14:textId="77777777" w:rsidR="00005A00" w:rsidRPr="00256982" w:rsidRDefault="00005A00" w:rsidP="00AA14F1">
            <w:pPr>
              <w:pStyle w:val="TableTextBold"/>
              <w:spacing w:before="50" w:after="50"/>
              <w:rPr>
                <w:noProof w:val="0"/>
              </w:rPr>
            </w:pPr>
            <w:r w:rsidRPr="00256982">
              <w:rPr>
                <w:noProof w:val="0"/>
              </w:rPr>
              <w:t>1978</w:t>
            </w:r>
          </w:p>
        </w:tc>
        <w:tc>
          <w:tcPr>
            <w:tcW w:w="1942" w:type="dxa"/>
            <w:tcBorders>
              <w:top w:val="single" w:sz="4" w:space="0" w:color="365F91"/>
              <w:bottom w:val="single" w:sz="4" w:space="0" w:color="365F91"/>
            </w:tcBorders>
            <w:shd w:val="clear" w:color="auto" w:fill="auto"/>
          </w:tcPr>
          <w:p w14:paraId="576F89D5" w14:textId="77777777" w:rsidR="00005A00" w:rsidRPr="00256982" w:rsidRDefault="00005A00" w:rsidP="00AA14F1">
            <w:pPr>
              <w:pStyle w:val="TableText"/>
              <w:spacing w:before="50" w:after="50"/>
              <w:jc w:val="center"/>
            </w:pPr>
            <w:r w:rsidRPr="00256982">
              <w:t xml:space="preserve"> 984.9 </w:t>
            </w:r>
          </w:p>
        </w:tc>
        <w:tc>
          <w:tcPr>
            <w:tcW w:w="2168" w:type="dxa"/>
            <w:tcBorders>
              <w:top w:val="single" w:sz="4" w:space="0" w:color="365F91"/>
              <w:bottom w:val="single" w:sz="4" w:space="0" w:color="365F91"/>
            </w:tcBorders>
            <w:shd w:val="clear" w:color="auto" w:fill="auto"/>
          </w:tcPr>
          <w:p w14:paraId="6D078771" w14:textId="77777777" w:rsidR="00005A00" w:rsidRPr="00256982" w:rsidRDefault="00005A00" w:rsidP="00AA14F1">
            <w:pPr>
              <w:pStyle w:val="TableText"/>
              <w:spacing w:before="50" w:after="50"/>
              <w:jc w:val="center"/>
            </w:pPr>
            <w:r w:rsidRPr="00256982">
              <w:t xml:space="preserve"> 588.6 </w:t>
            </w:r>
          </w:p>
        </w:tc>
        <w:tc>
          <w:tcPr>
            <w:tcW w:w="1843" w:type="dxa"/>
            <w:tcBorders>
              <w:top w:val="single" w:sz="4" w:space="0" w:color="365F91"/>
              <w:bottom w:val="single" w:sz="4" w:space="0" w:color="365F91"/>
            </w:tcBorders>
            <w:shd w:val="clear" w:color="auto" w:fill="auto"/>
          </w:tcPr>
          <w:p w14:paraId="54E3FCCD" w14:textId="77777777" w:rsidR="00005A00" w:rsidRPr="00256982" w:rsidRDefault="00005A00" w:rsidP="00AA14F1">
            <w:pPr>
              <w:pStyle w:val="TableText"/>
              <w:spacing w:before="50" w:after="50"/>
              <w:jc w:val="center"/>
            </w:pPr>
            <w:r w:rsidRPr="00256982">
              <w:t xml:space="preserve"> 65.4 </w:t>
            </w:r>
          </w:p>
        </w:tc>
        <w:tc>
          <w:tcPr>
            <w:tcW w:w="1559" w:type="dxa"/>
            <w:tcBorders>
              <w:top w:val="single" w:sz="4" w:space="0" w:color="365F91"/>
              <w:bottom w:val="single" w:sz="4" w:space="0" w:color="365F91"/>
            </w:tcBorders>
            <w:shd w:val="clear" w:color="auto" w:fill="auto"/>
          </w:tcPr>
          <w:p w14:paraId="49661CF6" w14:textId="77777777" w:rsidR="00005A00" w:rsidRPr="00256982" w:rsidRDefault="00005A00" w:rsidP="00AA14F1">
            <w:pPr>
              <w:pStyle w:val="TableText"/>
              <w:spacing w:before="50" w:after="50"/>
              <w:jc w:val="center"/>
            </w:pPr>
            <w:r w:rsidRPr="00256982">
              <w:t xml:space="preserve"> 1,639.0 </w:t>
            </w:r>
          </w:p>
        </w:tc>
      </w:tr>
      <w:tr w:rsidR="00005A00" w:rsidRPr="00256982" w14:paraId="1A3208B9" w14:textId="77777777" w:rsidTr="00AA14F1">
        <w:tc>
          <w:tcPr>
            <w:tcW w:w="993" w:type="dxa"/>
            <w:tcBorders>
              <w:top w:val="single" w:sz="4" w:space="0" w:color="365F91"/>
              <w:bottom w:val="single" w:sz="4" w:space="0" w:color="365F91"/>
            </w:tcBorders>
          </w:tcPr>
          <w:p w14:paraId="481FF7A7" w14:textId="77777777" w:rsidR="00005A00" w:rsidRPr="00256982" w:rsidRDefault="00005A00" w:rsidP="00AA14F1">
            <w:pPr>
              <w:pStyle w:val="TableTextBold"/>
              <w:spacing w:before="50" w:after="50"/>
              <w:rPr>
                <w:noProof w:val="0"/>
              </w:rPr>
            </w:pPr>
            <w:r w:rsidRPr="00256982">
              <w:rPr>
                <w:noProof w:val="0"/>
              </w:rPr>
              <w:t>1979</w:t>
            </w:r>
          </w:p>
        </w:tc>
        <w:tc>
          <w:tcPr>
            <w:tcW w:w="1942" w:type="dxa"/>
            <w:tcBorders>
              <w:top w:val="single" w:sz="4" w:space="0" w:color="365F91"/>
              <w:bottom w:val="single" w:sz="4" w:space="0" w:color="365F91"/>
            </w:tcBorders>
            <w:shd w:val="clear" w:color="auto" w:fill="auto"/>
          </w:tcPr>
          <w:p w14:paraId="0D6CAF97" w14:textId="77777777" w:rsidR="00005A00" w:rsidRPr="00256982" w:rsidRDefault="00005A00" w:rsidP="00AA14F1">
            <w:pPr>
              <w:pStyle w:val="TableText"/>
              <w:spacing w:before="50" w:after="50"/>
              <w:jc w:val="center"/>
            </w:pPr>
            <w:r w:rsidRPr="00256982">
              <w:t xml:space="preserve"> 984.9 </w:t>
            </w:r>
          </w:p>
        </w:tc>
        <w:tc>
          <w:tcPr>
            <w:tcW w:w="2168" w:type="dxa"/>
            <w:tcBorders>
              <w:top w:val="single" w:sz="4" w:space="0" w:color="365F91"/>
              <w:bottom w:val="single" w:sz="4" w:space="0" w:color="365F91"/>
            </w:tcBorders>
            <w:shd w:val="clear" w:color="auto" w:fill="auto"/>
          </w:tcPr>
          <w:p w14:paraId="1D98F93E" w14:textId="77777777" w:rsidR="00005A00" w:rsidRPr="00256982" w:rsidRDefault="00005A00" w:rsidP="00AA14F1">
            <w:pPr>
              <w:pStyle w:val="TableText"/>
              <w:spacing w:before="50" w:after="50"/>
              <w:jc w:val="center"/>
            </w:pPr>
            <w:r w:rsidRPr="00256982">
              <w:t xml:space="preserve"> 581.8 </w:t>
            </w:r>
          </w:p>
        </w:tc>
        <w:tc>
          <w:tcPr>
            <w:tcW w:w="1843" w:type="dxa"/>
            <w:tcBorders>
              <w:top w:val="single" w:sz="4" w:space="0" w:color="365F91"/>
              <w:bottom w:val="single" w:sz="4" w:space="0" w:color="365F91"/>
            </w:tcBorders>
            <w:shd w:val="clear" w:color="auto" w:fill="auto"/>
          </w:tcPr>
          <w:p w14:paraId="109E7AA5" w14:textId="77777777" w:rsidR="00005A00" w:rsidRPr="00256982" w:rsidRDefault="00005A00" w:rsidP="00AA14F1">
            <w:pPr>
              <w:pStyle w:val="TableText"/>
              <w:spacing w:before="50" w:after="50"/>
              <w:jc w:val="center"/>
            </w:pPr>
            <w:r w:rsidRPr="00256982">
              <w:t xml:space="preserve"> 64.6 </w:t>
            </w:r>
          </w:p>
        </w:tc>
        <w:tc>
          <w:tcPr>
            <w:tcW w:w="1559" w:type="dxa"/>
            <w:tcBorders>
              <w:top w:val="single" w:sz="4" w:space="0" w:color="365F91"/>
              <w:bottom w:val="single" w:sz="4" w:space="0" w:color="365F91"/>
            </w:tcBorders>
            <w:shd w:val="clear" w:color="auto" w:fill="auto"/>
          </w:tcPr>
          <w:p w14:paraId="2AD3CB7B" w14:textId="77777777" w:rsidR="00005A00" w:rsidRPr="00256982" w:rsidRDefault="00005A00" w:rsidP="00AA14F1">
            <w:pPr>
              <w:pStyle w:val="TableText"/>
              <w:spacing w:before="50" w:after="50"/>
              <w:jc w:val="center"/>
            </w:pPr>
            <w:r w:rsidRPr="00256982">
              <w:t xml:space="preserve"> 1,631.4 </w:t>
            </w:r>
          </w:p>
        </w:tc>
      </w:tr>
      <w:tr w:rsidR="00005A00" w:rsidRPr="00256982" w14:paraId="42BCA6CE" w14:textId="77777777" w:rsidTr="00AA14F1">
        <w:tc>
          <w:tcPr>
            <w:tcW w:w="993" w:type="dxa"/>
            <w:tcBorders>
              <w:top w:val="single" w:sz="4" w:space="0" w:color="365F91"/>
              <w:bottom w:val="single" w:sz="4" w:space="0" w:color="365F91"/>
            </w:tcBorders>
          </w:tcPr>
          <w:p w14:paraId="0C856F49" w14:textId="77777777" w:rsidR="00005A00" w:rsidRPr="00256982" w:rsidRDefault="00005A00" w:rsidP="00AA14F1">
            <w:pPr>
              <w:pStyle w:val="TableTextBold"/>
              <w:spacing w:before="50" w:after="50"/>
              <w:rPr>
                <w:noProof w:val="0"/>
              </w:rPr>
            </w:pPr>
            <w:r w:rsidRPr="00256982">
              <w:rPr>
                <w:noProof w:val="0"/>
              </w:rPr>
              <w:t>1980</w:t>
            </w:r>
          </w:p>
        </w:tc>
        <w:tc>
          <w:tcPr>
            <w:tcW w:w="1942" w:type="dxa"/>
            <w:tcBorders>
              <w:top w:val="single" w:sz="4" w:space="0" w:color="365F91"/>
              <w:bottom w:val="single" w:sz="4" w:space="0" w:color="365F91"/>
            </w:tcBorders>
            <w:shd w:val="clear" w:color="auto" w:fill="auto"/>
          </w:tcPr>
          <w:p w14:paraId="760B0155" w14:textId="77777777" w:rsidR="00005A00" w:rsidRPr="00256982" w:rsidRDefault="00005A00" w:rsidP="00AA14F1">
            <w:pPr>
              <w:pStyle w:val="TableText"/>
              <w:spacing w:before="50" w:after="50"/>
              <w:jc w:val="center"/>
            </w:pPr>
            <w:r w:rsidRPr="00256982">
              <w:t xml:space="preserve"> 984.9 </w:t>
            </w:r>
          </w:p>
        </w:tc>
        <w:tc>
          <w:tcPr>
            <w:tcW w:w="2168" w:type="dxa"/>
            <w:tcBorders>
              <w:top w:val="single" w:sz="4" w:space="0" w:color="365F91"/>
              <w:bottom w:val="single" w:sz="4" w:space="0" w:color="365F91"/>
            </w:tcBorders>
            <w:shd w:val="clear" w:color="auto" w:fill="auto"/>
          </w:tcPr>
          <w:p w14:paraId="1F3F1477" w14:textId="77777777" w:rsidR="00005A00" w:rsidRPr="00256982" w:rsidRDefault="00005A00" w:rsidP="00AA14F1">
            <w:pPr>
              <w:pStyle w:val="TableText"/>
              <w:spacing w:before="50" w:after="50"/>
              <w:jc w:val="center"/>
            </w:pPr>
            <w:r w:rsidRPr="00256982">
              <w:t xml:space="preserve"> 572.1 </w:t>
            </w:r>
          </w:p>
        </w:tc>
        <w:tc>
          <w:tcPr>
            <w:tcW w:w="1843" w:type="dxa"/>
            <w:tcBorders>
              <w:top w:val="single" w:sz="4" w:space="0" w:color="365F91"/>
              <w:bottom w:val="single" w:sz="4" w:space="0" w:color="365F91"/>
            </w:tcBorders>
            <w:shd w:val="clear" w:color="auto" w:fill="auto"/>
          </w:tcPr>
          <w:p w14:paraId="5200D300" w14:textId="77777777" w:rsidR="00005A00" w:rsidRPr="00256982" w:rsidRDefault="00005A00" w:rsidP="00AA14F1">
            <w:pPr>
              <w:pStyle w:val="TableText"/>
              <w:spacing w:before="50" w:after="50"/>
              <w:jc w:val="center"/>
            </w:pPr>
            <w:r w:rsidRPr="00256982">
              <w:t xml:space="preserve"> 63.6 </w:t>
            </w:r>
          </w:p>
        </w:tc>
        <w:tc>
          <w:tcPr>
            <w:tcW w:w="1559" w:type="dxa"/>
            <w:tcBorders>
              <w:top w:val="single" w:sz="4" w:space="0" w:color="365F91"/>
              <w:bottom w:val="single" w:sz="4" w:space="0" w:color="365F91"/>
            </w:tcBorders>
            <w:shd w:val="clear" w:color="auto" w:fill="auto"/>
          </w:tcPr>
          <w:p w14:paraId="04AB8291" w14:textId="77777777" w:rsidR="00005A00" w:rsidRPr="00256982" w:rsidRDefault="00005A00" w:rsidP="00AA14F1">
            <w:pPr>
              <w:pStyle w:val="TableText"/>
              <w:spacing w:before="50" w:after="50"/>
              <w:jc w:val="center"/>
            </w:pPr>
            <w:r w:rsidRPr="00256982">
              <w:t xml:space="preserve"> 1,620.6 </w:t>
            </w:r>
          </w:p>
        </w:tc>
      </w:tr>
      <w:tr w:rsidR="00005A00" w:rsidRPr="00256982" w14:paraId="1E39750F" w14:textId="77777777" w:rsidTr="00AA14F1">
        <w:tc>
          <w:tcPr>
            <w:tcW w:w="993" w:type="dxa"/>
            <w:tcBorders>
              <w:top w:val="single" w:sz="4" w:space="0" w:color="365F91"/>
              <w:bottom w:val="single" w:sz="4" w:space="0" w:color="365F91"/>
            </w:tcBorders>
          </w:tcPr>
          <w:p w14:paraId="5A57F42B" w14:textId="77777777" w:rsidR="00005A00" w:rsidRPr="00256982" w:rsidRDefault="00005A00" w:rsidP="00AA14F1">
            <w:pPr>
              <w:pStyle w:val="TableTextBold"/>
              <w:spacing w:before="50" w:after="50"/>
              <w:rPr>
                <w:noProof w:val="0"/>
              </w:rPr>
            </w:pPr>
            <w:r w:rsidRPr="00256982">
              <w:rPr>
                <w:noProof w:val="0"/>
              </w:rPr>
              <w:t>1981</w:t>
            </w:r>
          </w:p>
        </w:tc>
        <w:tc>
          <w:tcPr>
            <w:tcW w:w="1942" w:type="dxa"/>
            <w:tcBorders>
              <w:top w:val="single" w:sz="4" w:space="0" w:color="365F91"/>
              <w:bottom w:val="single" w:sz="4" w:space="0" w:color="365F91"/>
            </w:tcBorders>
            <w:shd w:val="clear" w:color="auto" w:fill="auto"/>
          </w:tcPr>
          <w:p w14:paraId="7B3EEC76" w14:textId="77777777" w:rsidR="00005A00" w:rsidRPr="00256982" w:rsidRDefault="00005A00" w:rsidP="00AA14F1">
            <w:pPr>
              <w:pStyle w:val="TableText"/>
              <w:spacing w:before="50" w:after="50"/>
              <w:jc w:val="center"/>
            </w:pPr>
            <w:r w:rsidRPr="00256982">
              <w:t xml:space="preserve"> 984.9 </w:t>
            </w:r>
          </w:p>
        </w:tc>
        <w:tc>
          <w:tcPr>
            <w:tcW w:w="2168" w:type="dxa"/>
            <w:tcBorders>
              <w:top w:val="single" w:sz="4" w:space="0" w:color="365F91"/>
              <w:bottom w:val="single" w:sz="4" w:space="0" w:color="365F91"/>
            </w:tcBorders>
            <w:shd w:val="clear" w:color="auto" w:fill="auto"/>
          </w:tcPr>
          <w:p w14:paraId="380258B6" w14:textId="77777777" w:rsidR="00005A00" w:rsidRPr="00256982" w:rsidRDefault="00005A00" w:rsidP="00AA14F1">
            <w:pPr>
              <w:pStyle w:val="TableText"/>
              <w:spacing w:before="50" w:after="50"/>
              <w:jc w:val="center"/>
            </w:pPr>
            <w:r w:rsidRPr="00256982">
              <w:t xml:space="preserve"> 581.8 </w:t>
            </w:r>
          </w:p>
        </w:tc>
        <w:tc>
          <w:tcPr>
            <w:tcW w:w="1843" w:type="dxa"/>
            <w:tcBorders>
              <w:top w:val="single" w:sz="4" w:space="0" w:color="365F91"/>
              <w:bottom w:val="single" w:sz="4" w:space="0" w:color="365F91"/>
            </w:tcBorders>
            <w:shd w:val="clear" w:color="auto" w:fill="auto"/>
          </w:tcPr>
          <w:p w14:paraId="4D12230C" w14:textId="77777777" w:rsidR="00005A00" w:rsidRPr="00256982" w:rsidRDefault="00005A00" w:rsidP="00AA14F1">
            <w:pPr>
              <w:pStyle w:val="TableText"/>
              <w:spacing w:before="50" w:after="50"/>
              <w:jc w:val="center"/>
            </w:pPr>
            <w:r w:rsidRPr="00256982">
              <w:t xml:space="preserve"> 64.6 </w:t>
            </w:r>
          </w:p>
        </w:tc>
        <w:tc>
          <w:tcPr>
            <w:tcW w:w="1559" w:type="dxa"/>
            <w:tcBorders>
              <w:top w:val="single" w:sz="4" w:space="0" w:color="365F91"/>
              <w:bottom w:val="single" w:sz="4" w:space="0" w:color="365F91"/>
            </w:tcBorders>
            <w:shd w:val="clear" w:color="auto" w:fill="auto"/>
          </w:tcPr>
          <w:p w14:paraId="4BD75089" w14:textId="77777777" w:rsidR="00005A00" w:rsidRPr="00256982" w:rsidRDefault="00005A00" w:rsidP="00AA14F1">
            <w:pPr>
              <w:pStyle w:val="TableText"/>
              <w:spacing w:before="50" w:after="50"/>
              <w:jc w:val="center"/>
            </w:pPr>
            <w:r w:rsidRPr="00256982">
              <w:t xml:space="preserve"> 1,631.4 </w:t>
            </w:r>
          </w:p>
        </w:tc>
      </w:tr>
      <w:tr w:rsidR="00005A00" w:rsidRPr="00256982" w14:paraId="3F846796" w14:textId="77777777" w:rsidTr="00AA14F1">
        <w:tc>
          <w:tcPr>
            <w:tcW w:w="993" w:type="dxa"/>
            <w:tcBorders>
              <w:top w:val="single" w:sz="4" w:space="0" w:color="365F91"/>
              <w:bottom w:val="single" w:sz="4" w:space="0" w:color="365F91"/>
            </w:tcBorders>
          </w:tcPr>
          <w:p w14:paraId="1D4C7966" w14:textId="77777777" w:rsidR="00005A00" w:rsidRPr="00256982" w:rsidRDefault="00005A00" w:rsidP="00AA14F1">
            <w:pPr>
              <w:pStyle w:val="TableTextBold"/>
              <w:spacing w:before="50" w:after="50"/>
              <w:rPr>
                <w:noProof w:val="0"/>
              </w:rPr>
            </w:pPr>
            <w:r w:rsidRPr="00256982">
              <w:rPr>
                <w:noProof w:val="0"/>
              </w:rPr>
              <w:t>1982</w:t>
            </w:r>
          </w:p>
        </w:tc>
        <w:tc>
          <w:tcPr>
            <w:tcW w:w="1942" w:type="dxa"/>
            <w:tcBorders>
              <w:top w:val="single" w:sz="4" w:space="0" w:color="365F91"/>
              <w:bottom w:val="single" w:sz="4" w:space="0" w:color="365F91"/>
            </w:tcBorders>
            <w:shd w:val="clear" w:color="auto" w:fill="auto"/>
          </w:tcPr>
          <w:p w14:paraId="19D9F355" w14:textId="77777777" w:rsidR="00005A00" w:rsidRPr="00256982" w:rsidRDefault="00005A00" w:rsidP="00AA14F1">
            <w:pPr>
              <w:pStyle w:val="TableText"/>
              <w:spacing w:before="50" w:after="50"/>
              <w:jc w:val="center"/>
            </w:pPr>
            <w:r w:rsidRPr="00256982">
              <w:t xml:space="preserve"> 984.9 </w:t>
            </w:r>
          </w:p>
        </w:tc>
        <w:tc>
          <w:tcPr>
            <w:tcW w:w="2168" w:type="dxa"/>
            <w:tcBorders>
              <w:top w:val="single" w:sz="4" w:space="0" w:color="365F91"/>
              <w:bottom w:val="single" w:sz="4" w:space="0" w:color="365F91"/>
            </w:tcBorders>
            <w:shd w:val="clear" w:color="auto" w:fill="auto"/>
          </w:tcPr>
          <w:p w14:paraId="5958BCF9" w14:textId="77777777" w:rsidR="00005A00" w:rsidRPr="00256982" w:rsidRDefault="00005A00" w:rsidP="00AA14F1">
            <w:pPr>
              <w:pStyle w:val="TableText"/>
              <w:spacing w:before="50" w:after="50"/>
              <w:jc w:val="center"/>
            </w:pPr>
            <w:r w:rsidRPr="00256982">
              <w:t xml:space="preserve"> 937.7 </w:t>
            </w:r>
          </w:p>
        </w:tc>
        <w:tc>
          <w:tcPr>
            <w:tcW w:w="1843" w:type="dxa"/>
            <w:tcBorders>
              <w:top w:val="single" w:sz="4" w:space="0" w:color="365F91"/>
              <w:bottom w:val="single" w:sz="4" w:space="0" w:color="365F91"/>
            </w:tcBorders>
            <w:shd w:val="clear" w:color="auto" w:fill="auto"/>
          </w:tcPr>
          <w:p w14:paraId="3C568608" w14:textId="77777777" w:rsidR="00005A00" w:rsidRPr="00256982" w:rsidRDefault="00005A00" w:rsidP="00AA14F1">
            <w:pPr>
              <w:pStyle w:val="TableText"/>
              <w:spacing w:before="50" w:after="50"/>
              <w:jc w:val="center"/>
            </w:pPr>
            <w:r w:rsidRPr="00256982">
              <w:t xml:space="preserve"> 104.2 </w:t>
            </w:r>
          </w:p>
        </w:tc>
        <w:tc>
          <w:tcPr>
            <w:tcW w:w="1559" w:type="dxa"/>
            <w:tcBorders>
              <w:top w:val="single" w:sz="4" w:space="0" w:color="365F91"/>
              <w:bottom w:val="single" w:sz="4" w:space="0" w:color="365F91"/>
            </w:tcBorders>
            <w:shd w:val="clear" w:color="auto" w:fill="auto"/>
          </w:tcPr>
          <w:p w14:paraId="5E60B81F" w14:textId="77777777" w:rsidR="00005A00" w:rsidRPr="00256982" w:rsidRDefault="00005A00" w:rsidP="00AA14F1">
            <w:pPr>
              <w:pStyle w:val="TableText"/>
              <w:spacing w:before="50" w:after="50"/>
              <w:jc w:val="center"/>
            </w:pPr>
            <w:r w:rsidRPr="00256982">
              <w:t xml:space="preserve"> 2,026.8 </w:t>
            </w:r>
          </w:p>
        </w:tc>
      </w:tr>
      <w:tr w:rsidR="00005A00" w:rsidRPr="00256982" w14:paraId="24DBCBC4" w14:textId="77777777" w:rsidTr="00AA14F1">
        <w:tc>
          <w:tcPr>
            <w:tcW w:w="993" w:type="dxa"/>
            <w:tcBorders>
              <w:top w:val="single" w:sz="4" w:space="0" w:color="365F91"/>
              <w:bottom w:val="single" w:sz="4" w:space="0" w:color="365F91"/>
            </w:tcBorders>
          </w:tcPr>
          <w:p w14:paraId="5586B5AA" w14:textId="77777777" w:rsidR="00005A00" w:rsidRPr="00256982" w:rsidRDefault="00005A00" w:rsidP="00AA14F1">
            <w:pPr>
              <w:pStyle w:val="TableTextBold"/>
              <w:spacing w:before="50" w:after="50"/>
              <w:rPr>
                <w:noProof w:val="0"/>
              </w:rPr>
            </w:pPr>
            <w:r w:rsidRPr="00256982">
              <w:rPr>
                <w:noProof w:val="0"/>
              </w:rPr>
              <w:t>1983</w:t>
            </w:r>
          </w:p>
        </w:tc>
        <w:tc>
          <w:tcPr>
            <w:tcW w:w="1942" w:type="dxa"/>
            <w:tcBorders>
              <w:top w:val="single" w:sz="4" w:space="0" w:color="365F91"/>
              <w:bottom w:val="single" w:sz="4" w:space="0" w:color="365F91"/>
            </w:tcBorders>
            <w:shd w:val="clear" w:color="auto" w:fill="auto"/>
          </w:tcPr>
          <w:p w14:paraId="2BF4223C" w14:textId="77777777" w:rsidR="00005A00" w:rsidRPr="00256982" w:rsidRDefault="00005A00" w:rsidP="00AA14F1">
            <w:pPr>
              <w:pStyle w:val="TableText"/>
              <w:spacing w:before="50" w:after="50"/>
              <w:jc w:val="center"/>
            </w:pPr>
            <w:r w:rsidRPr="00256982">
              <w:t xml:space="preserve"> 984.9 </w:t>
            </w:r>
          </w:p>
        </w:tc>
        <w:tc>
          <w:tcPr>
            <w:tcW w:w="2168" w:type="dxa"/>
            <w:tcBorders>
              <w:top w:val="single" w:sz="4" w:space="0" w:color="365F91"/>
              <w:bottom w:val="single" w:sz="4" w:space="0" w:color="365F91"/>
            </w:tcBorders>
            <w:shd w:val="clear" w:color="auto" w:fill="auto"/>
          </w:tcPr>
          <w:p w14:paraId="4FD22BB7" w14:textId="77777777" w:rsidR="00005A00" w:rsidRPr="00256982" w:rsidRDefault="00005A00" w:rsidP="00AA14F1">
            <w:pPr>
              <w:pStyle w:val="TableText"/>
              <w:spacing w:before="50" w:after="50"/>
              <w:jc w:val="center"/>
            </w:pPr>
            <w:r w:rsidRPr="00256982">
              <w:t xml:space="preserve"> 1,017.6 </w:t>
            </w:r>
          </w:p>
        </w:tc>
        <w:tc>
          <w:tcPr>
            <w:tcW w:w="1843" w:type="dxa"/>
            <w:tcBorders>
              <w:top w:val="single" w:sz="4" w:space="0" w:color="365F91"/>
              <w:bottom w:val="single" w:sz="4" w:space="0" w:color="365F91"/>
            </w:tcBorders>
            <w:shd w:val="clear" w:color="auto" w:fill="auto"/>
          </w:tcPr>
          <w:p w14:paraId="4CE3F61A" w14:textId="77777777" w:rsidR="00005A00" w:rsidRPr="00256982" w:rsidRDefault="00005A00" w:rsidP="00AA14F1">
            <w:pPr>
              <w:pStyle w:val="TableText"/>
              <w:spacing w:before="50" w:after="50"/>
              <w:jc w:val="center"/>
            </w:pPr>
            <w:r w:rsidRPr="00256982">
              <w:t xml:space="preserve"> 113.1 </w:t>
            </w:r>
          </w:p>
        </w:tc>
        <w:tc>
          <w:tcPr>
            <w:tcW w:w="1559" w:type="dxa"/>
            <w:tcBorders>
              <w:top w:val="single" w:sz="4" w:space="0" w:color="365F91"/>
              <w:bottom w:val="single" w:sz="4" w:space="0" w:color="365F91"/>
            </w:tcBorders>
            <w:shd w:val="clear" w:color="auto" w:fill="auto"/>
          </w:tcPr>
          <w:p w14:paraId="60652F7E" w14:textId="77777777" w:rsidR="00005A00" w:rsidRPr="00256982" w:rsidRDefault="00005A00" w:rsidP="00AA14F1">
            <w:pPr>
              <w:pStyle w:val="TableText"/>
              <w:spacing w:before="50" w:after="50"/>
              <w:jc w:val="center"/>
            </w:pPr>
            <w:r w:rsidRPr="00256982">
              <w:t xml:space="preserve"> 2,115.7 </w:t>
            </w:r>
          </w:p>
        </w:tc>
      </w:tr>
      <w:tr w:rsidR="00005A00" w:rsidRPr="00256982" w14:paraId="0BA91F95" w14:textId="77777777" w:rsidTr="00AA14F1">
        <w:tc>
          <w:tcPr>
            <w:tcW w:w="993" w:type="dxa"/>
            <w:tcBorders>
              <w:top w:val="single" w:sz="4" w:space="0" w:color="365F91"/>
              <w:bottom w:val="single" w:sz="4" w:space="0" w:color="365F91"/>
            </w:tcBorders>
          </w:tcPr>
          <w:p w14:paraId="1F24F3A0" w14:textId="77777777" w:rsidR="00005A00" w:rsidRPr="00256982" w:rsidRDefault="00005A00" w:rsidP="00AA14F1">
            <w:pPr>
              <w:pStyle w:val="TableTextBold"/>
              <w:spacing w:before="50" w:after="50"/>
              <w:rPr>
                <w:noProof w:val="0"/>
              </w:rPr>
            </w:pPr>
            <w:r w:rsidRPr="00256982">
              <w:rPr>
                <w:noProof w:val="0"/>
              </w:rPr>
              <w:t>1984</w:t>
            </w:r>
          </w:p>
        </w:tc>
        <w:tc>
          <w:tcPr>
            <w:tcW w:w="1942" w:type="dxa"/>
            <w:tcBorders>
              <w:top w:val="single" w:sz="4" w:space="0" w:color="365F91"/>
              <w:bottom w:val="single" w:sz="4" w:space="0" w:color="365F91"/>
            </w:tcBorders>
            <w:shd w:val="clear" w:color="auto" w:fill="auto"/>
          </w:tcPr>
          <w:p w14:paraId="67A2F74C" w14:textId="77777777" w:rsidR="00005A00" w:rsidRPr="00256982" w:rsidRDefault="00005A00" w:rsidP="00AA14F1">
            <w:pPr>
              <w:pStyle w:val="TableText"/>
              <w:spacing w:before="50" w:after="50"/>
              <w:jc w:val="center"/>
            </w:pPr>
            <w:r w:rsidRPr="00256982">
              <w:t xml:space="preserve"> 1,156.5 </w:t>
            </w:r>
          </w:p>
        </w:tc>
        <w:tc>
          <w:tcPr>
            <w:tcW w:w="2168" w:type="dxa"/>
            <w:tcBorders>
              <w:top w:val="single" w:sz="4" w:space="0" w:color="365F91"/>
              <w:bottom w:val="single" w:sz="4" w:space="0" w:color="365F91"/>
            </w:tcBorders>
            <w:shd w:val="clear" w:color="auto" w:fill="auto"/>
          </w:tcPr>
          <w:p w14:paraId="71F604F5" w14:textId="77777777" w:rsidR="00005A00" w:rsidRPr="00256982" w:rsidRDefault="00005A00" w:rsidP="00AA14F1">
            <w:pPr>
              <w:pStyle w:val="TableText"/>
              <w:spacing w:before="50" w:after="50"/>
              <w:jc w:val="center"/>
            </w:pPr>
            <w:r w:rsidRPr="00256982">
              <w:t xml:space="preserve"> 943.2 </w:t>
            </w:r>
          </w:p>
        </w:tc>
        <w:tc>
          <w:tcPr>
            <w:tcW w:w="1843" w:type="dxa"/>
            <w:tcBorders>
              <w:top w:val="single" w:sz="4" w:space="0" w:color="365F91"/>
              <w:bottom w:val="single" w:sz="4" w:space="0" w:color="365F91"/>
            </w:tcBorders>
            <w:shd w:val="clear" w:color="auto" w:fill="auto"/>
          </w:tcPr>
          <w:p w14:paraId="06292FDB" w14:textId="77777777" w:rsidR="00005A00" w:rsidRPr="00256982" w:rsidRDefault="00005A00" w:rsidP="00AA14F1">
            <w:pPr>
              <w:pStyle w:val="TableText"/>
              <w:spacing w:before="50" w:after="50"/>
              <w:jc w:val="center"/>
            </w:pPr>
            <w:r w:rsidRPr="00256982">
              <w:t xml:space="preserve"> 104.8 </w:t>
            </w:r>
          </w:p>
        </w:tc>
        <w:tc>
          <w:tcPr>
            <w:tcW w:w="1559" w:type="dxa"/>
            <w:tcBorders>
              <w:top w:val="single" w:sz="4" w:space="0" w:color="365F91"/>
              <w:bottom w:val="single" w:sz="4" w:space="0" w:color="365F91"/>
            </w:tcBorders>
            <w:shd w:val="clear" w:color="auto" w:fill="auto"/>
          </w:tcPr>
          <w:p w14:paraId="751D99FB" w14:textId="77777777" w:rsidR="00005A00" w:rsidRPr="00256982" w:rsidRDefault="00005A00" w:rsidP="00AA14F1">
            <w:pPr>
              <w:pStyle w:val="TableText"/>
              <w:spacing w:before="50" w:after="50"/>
              <w:jc w:val="center"/>
            </w:pPr>
            <w:r w:rsidRPr="00256982">
              <w:t xml:space="preserve"> 2,204.5 </w:t>
            </w:r>
          </w:p>
        </w:tc>
      </w:tr>
      <w:tr w:rsidR="00005A00" w:rsidRPr="00256982" w14:paraId="32F89DA0" w14:textId="77777777" w:rsidTr="00AA14F1">
        <w:tc>
          <w:tcPr>
            <w:tcW w:w="993" w:type="dxa"/>
            <w:tcBorders>
              <w:top w:val="single" w:sz="4" w:space="0" w:color="365F91"/>
              <w:bottom w:val="single" w:sz="4" w:space="0" w:color="365F91"/>
            </w:tcBorders>
          </w:tcPr>
          <w:p w14:paraId="722D5218" w14:textId="77777777" w:rsidR="00005A00" w:rsidRPr="00256982" w:rsidRDefault="00005A00" w:rsidP="00AA14F1">
            <w:pPr>
              <w:pStyle w:val="TableTextBold"/>
              <w:spacing w:before="50" w:after="50"/>
              <w:rPr>
                <w:noProof w:val="0"/>
              </w:rPr>
            </w:pPr>
            <w:r w:rsidRPr="00256982">
              <w:rPr>
                <w:noProof w:val="0"/>
              </w:rPr>
              <w:t>1985</w:t>
            </w:r>
          </w:p>
        </w:tc>
        <w:tc>
          <w:tcPr>
            <w:tcW w:w="1942" w:type="dxa"/>
            <w:tcBorders>
              <w:top w:val="single" w:sz="4" w:space="0" w:color="365F91"/>
              <w:bottom w:val="single" w:sz="4" w:space="0" w:color="365F91"/>
            </w:tcBorders>
            <w:shd w:val="clear" w:color="auto" w:fill="auto"/>
          </w:tcPr>
          <w:p w14:paraId="4FB3610C" w14:textId="77777777" w:rsidR="00005A00" w:rsidRPr="00256982" w:rsidRDefault="00005A00" w:rsidP="00AA14F1">
            <w:pPr>
              <w:pStyle w:val="TableText"/>
              <w:spacing w:before="50" w:after="50"/>
              <w:jc w:val="center"/>
            </w:pPr>
            <w:r w:rsidRPr="00256982">
              <w:t xml:space="preserve"> 1,259.1 </w:t>
            </w:r>
          </w:p>
        </w:tc>
        <w:tc>
          <w:tcPr>
            <w:tcW w:w="2168" w:type="dxa"/>
            <w:tcBorders>
              <w:top w:val="single" w:sz="4" w:space="0" w:color="365F91"/>
              <w:bottom w:val="single" w:sz="4" w:space="0" w:color="365F91"/>
            </w:tcBorders>
            <w:shd w:val="clear" w:color="auto" w:fill="auto"/>
          </w:tcPr>
          <w:p w14:paraId="2F9EECCA" w14:textId="77777777" w:rsidR="00005A00" w:rsidRPr="00256982" w:rsidRDefault="00005A00" w:rsidP="00AA14F1">
            <w:pPr>
              <w:pStyle w:val="TableText"/>
              <w:spacing w:before="50" w:after="50"/>
              <w:jc w:val="center"/>
            </w:pPr>
            <w:r w:rsidRPr="00256982">
              <w:t xml:space="preserve"> 930.9 </w:t>
            </w:r>
          </w:p>
        </w:tc>
        <w:tc>
          <w:tcPr>
            <w:tcW w:w="1843" w:type="dxa"/>
            <w:tcBorders>
              <w:top w:val="single" w:sz="4" w:space="0" w:color="365F91"/>
              <w:bottom w:val="single" w:sz="4" w:space="0" w:color="365F91"/>
            </w:tcBorders>
            <w:shd w:val="clear" w:color="auto" w:fill="auto"/>
          </w:tcPr>
          <w:p w14:paraId="7EEEDCA4" w14:textId="77777777" w:rsidR="00005A00" w:rsidRPr="00256982" w:rsidRDefault="00005A00" w:rsidP="00AA14F1">
            <w:pPr>
              <w:pStyle w:val="TableText"/>
              <w:spacing w:before="50" w:after="50"/>
              <w:jc w:val="center"/>
            </w:pPr>
            <w:r w:rsidRPr="00256982">
              <w:t xml:space="preserve"> 103.4 </w:t>
            </w:r>
          </w:p>
        </w:tc>
        <w:tc>
          <w:tcPr>
            <w:tcW w:w="1559" w:type="dxa"/>
            <w:tcBorders>
              <w:top w:val="single" w:sz="4" w:space="0" w:color="365F91"/>
              <w:bottom w:val="single" w:sz="4" w:space="0" w:color="365F91"/>
            </w:tcBorders>
            <w:shd w:val="clear" w:color="auto" w:fill="auto"/>
          </w:tcPr>
          <w:p w14:paraId="2C9388EC" w14:textId="77777777" w:rsidR="00005A00" w:rsidRPr="00256982" w:rsidRDefault="00005A00" w:rsidP="00AA14F1">
            <w:pPr>
              <w:pStyle w:val="TableText"/>
              <w:spacing w:before="50" w:after="50"/>
              <w:jc w:val="center"/>
            </w:pPr>
            <w:r w:rsidRPr="00256982">
              <w:t xml:space="preserve"> 2,293.4 </w:t>
            </w:r>
          </w:p>
        </w:tc>
      </w:tr>
      <w:tr w:rsidR="00005A00" w:rsidRPr="00256982" w14:paraId="33058996" w14:textId="77777777" w:rsidTr="00AA14F1">
        <w:tc>
          <w:tcPr>
            <w:tcW w:w="993" w:type="dxa"/>
            <w:tcBorders>
              <w:top w:val="single" w:sz="4" w:space="0" w:color="365F91"/>
              <w:bottom w:val="single" w:sz="4" w:space="0" w:color="365F91"/>
            </w:tcBorders>
          </w:tcPr>
          <w:p w14:paraId="06C3DF71" w14:textId="77777777" w:rsidR="00005A00" w:rsidRPr="00256982" w:rsidRDefault="00005A00" w:rsidP="00AA14F1">
            <w:pPr>
              <w:pStyle w:val="TableTextBold"/>
              <w:spacing w:before="50" w:after="50"/>
              <w:rPr>
                <w:noProof w:val="0"/>
              </w:rPr>
            </w:pPr>
            <w:r w:rsidRPr="00256982">
              <w:rPr>
                <w:noProof w:val="0"/>
              </w:rPr>
              <w:t>1986</w:t>
            </w:r>
          </w:p>
        </w:tc>
        <w:tc>
          <w:tcPr>
            <w:tcW w:w="1942" w:type="dxa"/>
            <w:tcBorders>
              <w:top w:val="single" w:sz="4" w:space="0" w:color="365F91"/>
              <w:bottom w:val="single" w:sz="4" w:space="0" w:color="365F91"/>
            </w:tcBorders>
            <w:shd w:val="clear" w:color="auto" w:fill="auto"/>
          </w:tcPr>
          <w:p w14:paraId="235F9D23" w14:textId="77777777" w:rsidR="00005A00" w:rsidRPr="00256982" w:rsidRDefault="00005A00" w:rsidP="00AA14F1">
            <w:pPr>
              <w:pStyle w:val="TableText"/>
              <w:spacing w:before="50" w:after="50"/>
              <w:jc w:val="center"/>
            </w:pPr>
            <w:r w:rsidRPr="00256982">
              <w:t xml:space="preserve"> 1,259.1 </w:t>
            </w:r>
          </w:p>
        </w:tc>
        <w:tc>
          <w:tcPr>
            <w:tcW w:w="2168" w:type="dxa"/>
            <w:tcBorders>
              <w:top w:val="single" w:sz="4" w:space="0" w:color="365F91"/>
              <w:bottom w:val="single" w:sz="4" w:space="0" w:color="365F91"/>
            </w:tcBorders>
            <w:shd w:val="clear" w:color="auto" w:fill="auto"/>
          </w:tcPr>
          <w:p w14:paraId="261C0C34" w14:textId="77777777" w:rsidR="00005A00" w:rsidRPr="00256982" w:rsidRDefault="00005A00" w:rsidP="00AA14F1">
            <w:pPr>
              <w:pStyle w:val="TableText"/>
              <w:spacing w:before="50" w:after="50"/>
              <w:jc w:val="center"/>
            </w:pPr>
            <w:r w:rsidRPr="00256982">
              <w:t xml:space="preserve"> 1,010.9 </w:t>
            </w:r>
          </w:p>
        </w:tc>
        <w:tc>
          <w:tcPr>
            <w:tcW w:w="1843" w:type="dxa"/>
            <w:tcBorders>
              <w:top w:val="single" w:sz="4" w:space="0" w:color="365F91"/>
              <w:bottom w:val="single" w:sz="4" w:space="0" w:color="365F91"/>
            </w:tcBorders>
            <w:shd w:val="clear" w:color="auto" w:fill="auto"/>
          </w:tcPr>
          <w:p w14:paraId="1D0CDB1E" w14:textId="77777777" w:rsidR="00005A00" w:rsidRPr="00256982" w:rsidRDefault="00005A00" w:rsidP="00AA14F1">
            <w:pPr>
              <w:pStyle w:val="TableText"/>
              <w:spacing w:before="50" w:after="50"/>
              <w:jc w:val="center"/>
            </w:pPr>
            <w:r w:rsidRPr="00256982">
              <w:t xml:space="preserve"> 112.3 </w:t>
            </w:r>
          </w:p>
        </w:tc>
        <w:tc>
          <w:tcPr>
            <w:tcW w:w="1559" w:type="dxa"/>
            <w:tcBorders>
              <w:top w:val="single" w:sz="4" w:space="0" w:color="365F91"/>
              <w:bottom w:val="single" w:sz="4" w:space="0" w:color="365F91"/>
            </w:tcBorders>
            <w:shd w:val="clear" w:color="auto" w:fill="auto"/>
          </w:tcPr>
          <w:p w14:paraId="113ED888" w14:textId="77777777" w:rsidR="00005A00" w:rsidRPr="00256982" w:rsidRDefault="00005A00" w:rsidP="00AA14F1">
            <w:pPr>
              <w:pStyle w:val="TableText"/>
              <w:spacing w:before="50" w:after="50"/>
              <w:jc w:val="center"/>
            </w:pPr>
            <w:r w:rsidRPr="00256982">
              <w:t xml:space="preserve"> 2,382.3 </w:t>
            </w:r>
          </w:p>
        </w:tc>
      </w:tr>
      <w:tr w:rsidR="00005A00" w:rsidRPr="00256982" w14:paraId="4EFAB3B9" w14:textId="77777777" w:rsidTr="00AA14F1">
        <w:tc>
          <w:tcPr>
            <w:tcW w:w="993" w:type="dxa"/>
            <w:tcBorders>
              <w:top w:val="single" w:sz="4" w:space="0" w:color="365F91"/>
              <w:bottom w:val="single" w:sz="4" w:space="0" w:color="365F91"/>
            </w:tcBorders>
          </w:tcPr>
          <w:p w14:paraId="767C1176" w14:textId="77777777" w:rsidR="00005A00" w:rsidRPr="00256982" w:rsidRDefault="00005A00" w:rsidP="00AA14F1">
            <w:pPr>
              <w:pStyle w:val="TableTextBold"/>
              <w:spacing w:before="50" w:after="50"/>
              <w:rPr>
                <w:noProof w:val="0"/>
              </w:rPr>
            </w:pPr>
            <w:r w:rsidRPr="00256982">
              <w:rPr>
                <w:noProof w:val="0"/>
              </w:rPr>
              <w:t>1987</w:t>
            </w:r>
          </w:p>
        </w:tc>
        <w:tc>
          <w:tcPr>
            <w:tcW w:w="1942" w:type="dxa"/>
            <w:tcBorders>
              <w:top w:val="single" w:sz="4" w:space="0" w:color="365F91"/>
              <w:bottom w:val="single" w:sz="4" w:space="0" w:color="365F91"/>
            </w:tcBorders>
            <w:shd w:val="clear" w:color="auto" w:fill="auto"/>
          </w:tcPr>
          <w:p w14:paraId="10B6D122" w14:textId="77777777" w:rsidR="00005A00" w:rsidRPr="00256982" w:rsidRDefault="00005A00" w:rsidP="00AA14F1">
            <w:pPr>
              <w:pStyle w:val="TableText"/>
              <w:spacing w:before="50" w:after="50"/>
              <w:jc w:val="center"/>
            </w:pPr>
            <w:r w:rsidRPr="00256982">
              <w:t xml:space="preserve"> 1,342.7 </w:t>
            </w:r>
          </w:p>
        </w:tc>
        <w:tc>
          <w:tcPr>
            <w:tcW w:w="2168" w:type="dxa"/>
            <w:tcBorders>
              <w:top w:val="single" w:sz="4" w:space="0" w:color="365F91"/>
              <w:bottom w:val="single" w:sz="4" w:space="0" w:color="365F91"/>
            </w:tcBorders>
            <w:shd w:val="clear" w:color="auto" w:fill="auto"/>
          </w:tcPr>
          <w:p w14:paraId="5081C32B" w14:textId="77777777" w:rsidR="00005A00" w:rsidRPr="00256982" w:rsidRDefault="00005A00" w:rsidP="00AA14F1">
            <w:pPr>
              <w:pStyle w:val="TableText"/>
              <w:spacing w:before="50" w:after="50"/>
              <w:jc w:val="center"/>
            </w:pPr>
            <w:r w:rsidRPr="00256982">
              <w:t xml:space="preserve"> 1,015.6 </w:t>
            </w:r>
          </w:p>
        </w:tc>
        <w:tc>
          <w:tcPr>
            <w:tcW w:w="1843" w:type="dxa"/>
            <w:tcBorders>
              <w:top w:val="single" w:sz="4" w:space="0" w:color="365F91"/>
              <w:bottom w:val="single" w:sz="4" w:space="0" w:color="365F91"/>
            </w:tcBorders>
            <w:shd w:val="clear" w:color="auto" w:fill="auto"/>
          </w:tcPr>
          <w:p w14:paraId="1D291CD8" w14:textId="77777777" w:rsidR="00005A00" w:rsidRPr="00256982" w:rsidRDefault="00005A00" w:rsidP="00AA14F1">
            <w:pPr>
              <w:pStyle w:val="TableText"/>
              <w:spacing w:before="50" w:after="50"/>
              <w:jc w:val="center"/>
            </w:pPr>
            <w:r w:rsidRPr="00256982">
              <w:t xml:space="preserve"> 112.8 </w:t>
            </w:r>
          </w:p>
        </w:tc>
        <w:tc>
          <w:tcPr>
            <w:tcW w:w="1559" w:type="dxa"/>
            <w:tcBorders>
              <w:top w:val="single" w:sz="4" w:space="0" w:color="365F91"/>
              <w:bottom w:val="single" w:sz="4" w:space="0" w:color="365F91"/>
            </w:tcBorders>
            <w:shd w:val="clear" w:color="auto" w:fill="auto"/>
          </w:tcPr>
          <w:p w14:paraId="4D44443D" w14:textId="77777777" w:rsidR="00005A00" w:rsidRPr="00256982" w:rsidRDefault="00005A00" w:rsidP="00AA14F1">
            <w:pPr>
              <w:pStyle w:val="TableText"/>
              <w:spacing w:before="50" w:after="50"/>
              <w:jc w:val="center"/>
            </w:pPr>
            <w:r w:rsidRPr="00256982">
              <w:t xml:space="preserve"> 2,471.1 </w:t>
            </w:r>
          </w:p>
        </w:tc>
      </w:tr>
      <w:tr w:rsidR="00005A00" w:rsidRPr="00256982" w14:paraId="5A3CAA3B" w14:textId="77777777" w:rsidTr="00AA14F1">
        <w:tc>
          <w:tcPr>
            <w:tcW w:w="993" w:type="dxa"/>
            <w:tcBorders>
              <w:top w:val="single" w:sz="4" w:space="0" w:color="365F91"/>
              <w:bottom w:val="single" w:sz="4" w:space="0" w:color="365F91"/>
            </w:tcBorders>
          </w:tcPr>
          <w:p w14:paraId="02CD98B4" w14:textId="77777777" w:rsidR="00005A00" w:rsidRPr="00256982" w:rsidRDefault="00005A00" w:rsidP="00AA14F1">
            <w:pPr>
              <w:pStyle w:val="TableTextBold"/>
              <w:spacing w:before="50" w:after="50"/>
              <w:rPr>
                <w:noProof w:val="0"/>
              </w:rPr>
            </w:pPr>
            <w:r w:rsidRPr="00256982">
              <w:rPr>
                <w:noProof w:val="0"/>
              </w:rPr>
              <w:t>1988</w:t>
            </w:r>
          </w:p>
        </w:tc>
        <w:tc>
          <w:tcPr>
            <w:tcW w:w="1942" w:type="dxa"/>
            <w:tcBorders>
              <w:top w:val="single" w:sz="4" w:space="0" w:color="365F91"/>
              <w:bottom w:val="single" w:sz="4" w:space="0" w:color="365F91"/>
            </w:tcBorders>
            <w:shd w:val="clear" w:color="auto" w:fill="auto"/>
          </w:tcPr>
          <w:p w14:paraId="2467D25C" w14:textId="77777777" w:rsidR="00005A00" w:rsidRPr="00256982" w:rsidRDefault="00005A00" w:rsidP="00AA14F1">
            <w:pPr>
              <w:pStyle w:val="TableText"/>
              <w:spacing w:before="50" w:after="50"/>
              <w:jc w:val="center"/>
            </w:pPr>
            <w:r w:rsidRPr="00256982">
              <w:t xml:space="preserve"> 1,432.6 </w:t>
            </w:r>
          </w:p>
        </w:tc>
        <w:tc>
          <w:tcPr>
            <w:tcW w:w="2168" w:type="dxa"/>
            <w:tcBorders>
              <w:top w:val="single" w:sz="4" w:space="0" w:color="365F91"/>
              <w:bottom w:val="single" w:sz="4" w:space="0" w:color="365F91"/>
            </w:tcBorders>
            <w:shd w:val="clear" w:color="auto" w:fill="auto"/>
          </w:tcPr>
          <w:p w14:paraId="3DFDEA44" w14:textId="77777777" w:rsidR="00005A00" w:rsidRPr="00256982" w:rsidRDefault="00005A00" w:rsidP="00AA14F1">
            <w:pPr>
              <w:pStyle w:val="TableText"/>
              <w:spacing w:before="50" w:after="50"/>
              <w:jc w:val="center"/>
            </w:pPr>
            <w:r w:rsidRPr="00256982">
              <w:t xml:space="preserve"> 1,014.7 </w:t>
            </w:r>
          </w:p>
        </w:tc>
        <w:tc>
          <w:tcPr>
            <w:tcW w:w="1843" w:type="dxa"/>
            <w:tcBorders>
              <w:top w:val="single" w:sz="4" w:space="0" w:color="365F91"/>
              <w:bottom w:val="single" w:sz="4" w:space="0" w:color="365F91"/>
            </w:tcBorders>
            <w:shd w:val="clear" w:color="auto" w:fill="auto"/>
          </w:tcPr>
          <w:p w14:paraId="51111130" w14:textId="77777777" w:rsidR="00005A00" w:rsidRPr="00256982" w:rsidRDefault="00005A00" w:rsidP="00AA14F1">
            <w:pPr>
              <w:pStyle w:val="TableText"/>
              <w:spacing w:before="50" w:after="50"/>
              <w:jc w:val="center"/>
            </w:pPr>
            <w:r w:rsidRPr="00256982">
              <w:t xml:space="preserve"> 112.7 </w:t>
            </w:r>
          </w:p>
        </w:tc>
        <w:tc>
          <w:tcPr>
            <w:tcW w:w="1559" w:type="dxa"/>
            <w:tcBorders>
              <w:top w:val="single" w:sz="4" w:space="0" w:color="365F91"/>
              <w:bottom w:val="single" w:sz="4" w:space="0" w:color="365F91"/>
            </w:tcBorders>
            <w:shd w:val="clear" w:color="auto" w:fill="auto"/>
          </w:tcPr>
          <w:p w14:paraId="16CD3A27" w14:textId="77777777" w:rsidR="00005A00" w:rsidRPr="00256982" w:rsidRDefault="00005A00" w:rsidP="00AA14F1">
            <w:pPr>
              <w:pStyle w:val="TableText"/>
              <w:spacing w:before="50" w:after="50"/>
              <w:jc w:val="center"/>
            </w:pPr>
            <w:r w:rsidRPr="00256982">
              <w:t xml:space="preserve"> 2,560.0 </w:t>
            </w:r>
          </w:p>
        </w:tc>
      </w:tr>
      <w:tr w:rsidR="00005A00" w:rsidRPr="00256982" w14:paraId="642B974E" w14:textId="77777777" w:rsidTr="00AA14F1">
        <w:tc>
          <w:tcPr>
            <w:tcW w:w="993" w:type="dxa"/>
            <w:tcBorders>
              <w:top w:val="single" w:sz="4" w:space="0" w:color="365F91"/>
              <w:bottom w:val="single" w:sz="4" w:space="0" w:color="365F91"/>
            </w:tcBorders>
          </w:tcPr>
          <w:p w14:paraId="645B7EE2" w14:textId="77777777" w:rsidR="00005A00" w:rsidRPr="00256982" w:rsidRDefault="00005A00" w:rsidP="00AA14F1">
            <w:pPr>
              <w:pStyle w:val="TableTextBold"/>
              <w:spacing w:before="50" w:after="50"/>
              <w:rPr>
                <w:noProof w:val="0"/>
              </w:rPr>
            </w:pPr>
            <w:r w:rsidRPr="00256982">
              <w:rPr>
                <w:noProof w:val="0"/>
              </w:rPr>
              <w:t>1989</w:t>
            </w:r>
          </w:p>
        </w:tc>
        <w:tc>
          <w:tcPr>
            <w:tcW w:w="1942" w:type="dxa"/>
            <w:tcBorders>
              <w:top w:val="single" w:sz="4" w:space="0" w:color="365F91"/>
              <w:bottom w:val="single" w:sz="4" w:space="0" w:color="365F91"/>
            </w:tcBorders>
            <w:shd w:val="clear" w:color="auto" w:fill="auto"/>
          </w:tcPr>
          <w:p w14:paraId="251FA20F" w14:textId="77777777" w:rsidR="00005A00" w:rsidRPr="00256982" w:rsidRDefault="00005A00" w:rsidP="00AA14F1">
            <w:pPr>
              <w:pStyle w:val="TableText"/>
              <w:spacing w:before="50" w:after="50"/>
              <w:jc w:val="center"/>
            </w:pPr>
            <w:r w:rsidRPr="00256982">
              <w:t xml:space="preserve"> 1,432.6 </w:t>
            </w:r>
          </w:p>
        </w:tc>
        <w:tc>
          <w:tcPr>
            <w:tcW w:w="2168" w:type="dxa"/>
            <w:tcBorders>
              <w:top w:val="single" w:sz="4" w:space="0" w:color="365F91"/>
              <w:bottom w:val="single" w:sz="4" w:space="0" w:color="365F91"/>
            </w:tcBorders>
            <w:shd w:val="clear" w:color="auto" w:fill="auto"/>
          </w:tcPr>
          <w:p w14:paraId="4998D9E3" w14:textId="77777777" w:rsidR="00005A00" w:rsidRPr="00256982" w:rsidRDefault="00005A00" w:rsidP="00AA14F1">
            <w:pPr>
              <w:pStyle w:val="TableText"/>
              <w:spacing w:before="50" w:after="50"/>
              <w:jc w:val="center"/>
            </w:pPr>
            <w:r w:rsidRPr="00256982">
              <w:t xml:space="preserve"> 1,094.7 </w:t>
            </w:r>
          </w:p>
        </w:tc>
        <w:tc>
          <w:tcPr>
            <w:tcW w:w="1843" w:type="dxa"/>
            <w:tcBorders>
              <w:top w:val="single" w:sz="4" w:space="0" w:color="365F91"/>
              <w:bottom w:val="single" w:sz="4" w:space="0" w:color="365F91"/>
            </w:tcBorders>
            <w:shd w:val="clear" w:color="auto" w:fill="auto"/>
          </w:tcPr>
          <w:p w14:paraId="07EBBB66" w14:textId="77777777" w:rsidR="00005A00" w:rsidRPr="00256982" w:rsidRDefault="00005A00" w:rsidP="00AA14F1">
            <w:pPr>
              <w:pStyle w:val="TableText"/>
              <w:spacing w:before="50" w:after="50"/>
              <w:jc w:val="center"/>
            </w:pPr>
            <w:r w:rsidRPr="00256982">
              <w:t xml:space="preserve"> 121.6 </w:t>
            </w:r>
          </w:p>
        </w:tc>
        <w:tc>
          <w:tcPr>
            <w:tcW w:w="1559" w:type="dxa"/>
            <w:tcBorders>
              <w:top w:val="single" w:sz="4" w:space="0" w:color="365F91"/>
              <w:bottom w:val="single" w:sz="4" w:space="0" w:color="365F91"/>
            </w:tcBorders>
            <w:shd w:val="clear" w:color="auto" w:fill="auto"/>
          </w:tcPr>
          <w:p w14:paraId="7980FB0A" w14:textId="77777777" w:rsidR="00005A00" w:rsidRPr="00256982" w:rsidRDefault="00005A00" w:rsidP="00AA14F1">
            <w:pPr>
              <w:pStyle w:val="TableText"/>
              <w:spacing w:before="50" w:after="50"/>
              <w:jc w:val="center"/>
            </w:pPr>
            <w:r w:rsidRPr="00256982">
              <w:t xml:space="preserve"> 2,648.9 </w:t>
            </w:r>
          </w:p>
        </w:tc>
      </w:tr>
      <w:tr w:rsidR="00005A00" w:rsidRPr="00256982" w14:paraId="204B4D4B" w14:textId="77777777" w:rsidTr="00AA14F1">
        <w:tc>
          <w:tcPr>
            <w:tcW w:w="993" w:type="dxa"/>
            <w:tcBorders>
              <w:top w:val="single" w:sz="4" w:space="0" w:color="365F91"/>
              <w:bottom w:val="single" w:sz="4" w:space="0" w:color="365F91"/>
            </w:tcBorders>
          </w:tcPr>
          <w:p w14:paraId="77588218" w14:textId="77777777" w:rsidR="00005A00" w:rsidRPr="00256982" w:rsidRDefault="00005A00" w:rsidP="00AA14F1">
            <w:pPr>
              <w:pStyle w:val="TableTextBold"/>
              <w:spacing w:before="50" w:after="50"/>
              <w:rPr>
                <w:noProof w:val="0"/>
              </w:rPr>
            </w:pPr>
            <w:r w:rsidRPr="00256982">
              <w:rPr>
                <w:noProof w:val="0"/>
              </w:rPr>
              <w:t>1990</w:t>
            </w:r>
          </w:p>
        </w:tc>
        <w:tc>
          <w:tcPr>
            <w:tcW w:w="1942" w:type="dxa"/>
            <w:tcBorders>
              <w:top w:val="single" w:sz="4" w:space="0" w:color="365F91"/>
              <w:bottom w:val="single" w:sz="4" w:space="0" w:color="365F91"/>
            </w:tcBorders>
            <w:shd w:val="clear" w:color="auto" w:fill="auto"/>
          </w:tcPr>
          <w:p w14:paraId="1983CF1A" w14:textId="77777777" w:rsidR="00005A00" w:rsidRPr="00256982" w:rsidRDefault="00005A00" w:rsidP="00AA14F1">
            <w:pPr>
              <w:pStyle w:val="TableText"/>
              <w:spacing w:before="50" w:after="50"/>
              <w:jc w:val="center"/>
              <w:rPr>
                <w:rFonts w:cs="Arial"/>
                <w:szCs w:val="16"/>
                <w:highlight w:val="yellow"/>
              </w:rPr>
            </w:pPr>
            <w:r w:rsidRPr="00256982">
              <w:t>1,432.6</w:t>
            </w:r>
          </w:p>
        </w:tc>
        <w:tc>
          <w:tcPr>
            <w:tcW w:w="2168" w:type="dxa"/>
            <w:tcBorders>
              <w:top w:val="single" w:sz="4" w:space="0" w:color="365F91"/>
              <w:bottom w:val="single" w:sz="4" w:space="0" w:color="365F91"/>
            </w:tcBorders>
            <w:shd w:val="clear" w:color="auto" w:fill="auto"/>
          </w:tcPr>
          <w:p w14:paraId="70ACE000" w14:textId="77777777" w:rsidR="00005A00" w:rsidRPr="00256982" w:rsidRDefault="00005A00" w:rsidP="00AA14F1">
            <w:pPr>
              <w:pStyle w:val="TableText"/>
              <w:spacing w:before="50" w:after="50"/>
              <w:jc w:val="center"/>
              <w:rPr>
                <w:rFonts w:cs="Arial"/>
                <w:szCs w:val="16"/>
                <w:highlight w:val="yellow"/>
              </w:rPr>
            </w:pPr>
            <w:r w:rsidRPr="00256982">
              <w:t xml:space="preserve"> 1,174.7 </w:t>
            </w:r>
          </w:p>
        </w:tc>
        <w:tc>
          <w:tcPr>
            <w:tcW w:w="1843" w:type="dxa"/>
            <w:tcBorders>
              <w:top w:val="single" w:sz="4" w:space="0" w:color="365F91"/>
              <w:bottom w:val="single" w:sz="4" w:space="0" w:color="365F91"/>
            </w:tcBorders>
            <w:shd w:val="clear" w:color="auto" w:fill="auto"/>
          </w:tcPr>
          <w:p w14:paraId="331A4BBF" w14:textId="77777777" w:rsidR="00005A00" w:rsidRPr="00256982" w:rsidRDefault="00005A00" w:rsidP="00AA14F1">
            <w:pPr>
              <w:pStyle w:val="TableText"/>
              <w:spacing w:before="50" w:after="50"/>
              <w:jc w:val="center"/>
              <w:rPr>
                <w:rFonts w:cs="Arial"/>
                <w:szCs w:val="16"/>
                <w:highlight w:val="yellow"/>
              </w:rPr>
            </w:pPr>
            <w:r w:rsidRPr="00256982">
              <w:t>130.5</w:t>
            </w:r>
          </w:p>
        </w:tc>
        <w:tc>
          <w:tcPr>
            <w:tcW w:w="1559" w:type="dxa"/>
            <w:tcBorders>
              <w:top w:val="single" w:sz="4" w:space="0" w:color="365F91"/>
              <w:bottom w:val="single" w:sz="4" w:space="0" w:color="365F91"/>
            </w:tcBorders>
            <w:shd w:val="clear" w:color="auto" w:fill="auto"/>
          </w:tcPr>
          <w:p w14:paraId="12D8C005" w14:textId="77777777" w:rsidR="00005A00" w:rsidRPr="00256982" w:rsidRDefault="00005A00" w:rsidP="00AA14F1">
            <w:pPr>
              <w:pStyle w:val="TableText"/>
              <w:spacing w:before="50" w:after="50"/>
              <w:jc w:val="center"/>
              <w:rPr>
                <w:rFonts w:cs="Arial"/>
                <w:szCs w:val="16"/>
                <w:highlight w:val="yellow"/>
              </w:rPr>
            </w:pPr>
            <w:r w:rsidRPr="00256982">
              <w:t xml:space="preserve"> 2,737.8 </w:t>
            </w:r>
          </w:p>
        </w:tc>
      </w:tr>
      <w:tr w:rsidR="00005A00" w:rsidRPr="00256982" w14:paraId="1A38B9EE" w14:textId="77777777" w:rsidTr="00AA14F1">
        <w:tc>
          <w:tcPr>
            <w:tcW w:w="993" w:type="dxa"/>
            <w:tcBorders>
              <w:top w:val="single" w:sz="4" w:space="0" w:color="365F91"/>
              <w:bottom w:val="single" w:sz="4" w:space="0" w:color="365F91"/>
            </w:tcBorders>
          </w:tcPr>
          <w:p w14:paraId="03E1090C" w14:textId="77777777" w:rsidR="00005A00" w:rsidRPr="00256982" w:rsidRDefault="00005A00" w:rsidP="00AA14F1">
            <w:pPr>
              <w:pStyle w:val="TableTextBold"/>
              <w:spacing w:before="50" w:after="50"/>
              <w:rPr>
                <w:noProof w:val="0"/>
              </w:rPr>
            </w:pPr>
            <w:r w:rsidRPr="00256982">
              <w:rPr>
                <w:noProof w:val="0"/>
              </w:rPr>
              <w:t>1991</w:t>
            </w:r>
          </w:p>
        </w:tc>
        <w:tc>
          <w:tcPr>
            <w:tcW w:w="1942" w:type="dxa"/>
            <w:tcBorders>
              <w:top w:val="single" w:sz="4" w:space="0" w:color="365F91"/>
              <w:bottom w:val="single" w:sz="4" w:space="0" w:color="365F91"/>
            </w:tcBorders>
            <w:shd w:val="clear" w:color="auto" w:fill="auto"/>
          </w:tcPr>
          <w:p w14:paraId="6B24B9D1" w14:textId="77777777" w:rsidR="00005A00" w:rsidRPr="00256982" w:rsidRDefault="00005A00" w:rsidP="00AA14F1">
            <w:pPr>
              <w:pStyle w:val="TableText"/>
              <w:spacing w:before="50" w:after="50"/>
              <w:jc w:val="center"/>
              <w:rPr>
                <w:rFonts w:cs="Arial"/>
                <w:szCs w:val="16"/>
                <w:highlight w:val="yellow"/>
              </w:rPr>
            </w:pPr>
            <w:r w:rsidRPr="00256982">
              <w:t>1,432.6</w:t>
            </w:r>
          </w:p>
        </w:tc>
        <w:tc>
          <w:tcPr>
            <w:tcW w:w="2168" w:type="dxa"/>
            <w:tcBorders>
              <w:top w:val="single" w:sz="4" w:space="0" w:color="365F91"/>
              <w:bottom w:val="single" w:sz="4" w:space="0" w:color="365F91"/>
            </w:tcBorders>
            <w:shd w:val="clear" w:color="auto" w:fill="auto"/>
          </w:tcPr>
          <w:p w14:paraId="7AF98A6C" w14:textId="77777777" w:rsidR="00005A00" w:rsidRPr="00256982" w:rsidRDefault="00005A00" w:rsidP="00AA14F1">
            <w:pPr>
              <w:pStyle w:val="TableText"/>
              <w:spacing w:before="50" w:after="50"/>
              <w:jc w:val="center"/>
              <w:rPr>
                <w:rFonts w:cs="Arial"/>
                <w:szCs w:val="16"/>
                <w:highlight w:val="yellow"/>
              </w:rPr>
            </w:pPr>
            <w:r w:rsidRPr="00256982">
              <w:t xml:space="preserve"> 1,254.7 </w:t>
            </w:r>
          </w:p>
        </w:tc>
        <w:tc>
          <w:tcPr>
            <w:tcW w:w="1843" w:type="dxa"/>
            <w:tcBorders>
              <w:top w:val="single" w:sz="4" w:space="0" w:color="365F91"/>
              <w:bottom w:val="single" w:sz="4" w:space="0" w:color="365F91"/>
            </w:tcBorders>
            <w:shd w:val="clear" w:color="auto" w:fill="auto"/>
          </w:tcPr>
          <w:p w14:paraId="5240490B" w14:textId="77777777" w:rsidR="00005A00" w:rsidRPr="00256982" w:rsidRDefault="00005A00" w:rsidP="00AA14F1">
            <w:pPr>
              <w:pStyle w:val="TableText"/>
              <w:spacing w:before="50" w:after="50"/>
              <w:jc w:val="center"/>
              <w:rPr>
                <w:rFonts w:cs="Arial"/>
                <w:szCs w:val="16"/>
                <w:highlight w:val="yellow"/>
              </w:rPr>
            </w:pPr>
            <w:r w:rsidRPr="00256982">
              <w:t>139.4</w:t>
            </w:r>
          </w:p>
        </w:tc>
        <w:tc>
          <w:tcPr>
            <w:tcW w:w="1559" w:type="dxa"/>
            <w:tcBorders>
              <w:top w:val="single" w:sz="4" w:space="0" w:color="365F91"/>
              <w:bottom w:val="single" w:sz="4" w:space="0" w:color="365F91"/>
            </w:tcBorders>
            <w:shd w:val="clear" w:color="auto" w:fill="auto"/>
          </w:tcPr>
          <w:p w14:paraId="073F15EC" w14:textId="77777777" w:rsidR="00005A00" w:rsidRPr="00256982" w:rsidRDefault="00005A00" w:rsidP="00AA14F1">
            <w:pPr>
              <w:pStyle w:val="TableText"/>
              <w:spacing w:before="50" w:after="50"/>
              <w:jc w:val="center"/>
              <w:rPr>
                <w:rFonts w:cs="Arial"/>
                <w:szCs w:val="16"/>
                <w:highlight w:val="yellow"/>
              </w:rPr>
            </w:pPr>
            <w:r w:rsidRPr="00256982">
              <w:t xml:space="preserve"> 2,826.6 </w:t>
            </w:r>
          </w:p>
        </w:tc>
      </w:tr>
      <w:tr w:rsidR="00005A00" w:rsidRPr="00256982" w14:paraId="6F8F9F80" w14:textId="77777777" w:rsidTr="00AA14F1">
        <w:tc>
          <w:tcPr>
            <w:tcW w:w="993" w:type="dxa"/>
            <w:tcBorders>
              <w:top w:val="single" w:sz="4" w:space="0" w:color="365F91"/>
              <w:bottom w:val="single" w:sz="4" w:space="0" w:color="365F91"/>
            </w:tcBorders>
          </w:tcPr>
          <w:p w14:paraId="0D41A5F9" w14:textId="77777777" w:rsidR="00005A00" w:rsidRPr="00256982" w:rsidRDefault="00005A00" w:rsidP="00AA14F1">
            <w:pPr>
              <w:pStyle w:val="TableTextBold"/>
              <w:spacing w:before="50" w:after="50"/>
              <w:rPr>
                <w:noProof w:val="0"/>
              </w:rPr>
            </w:pPr>
            <w:r w:rsidRPr="00256982">
              <w:rPr>
                <w:noProof w:val="0"/>
              </w:rPr>
              <w:t>1992</w:t>
            </w:r>
          </w:p>
        </w:tc>
        <w:tc>
          <w:tcPr>
            <w:tcW w:w="1942" w:type="dxa"/>
            <w:tcBorders>
              <w:top w:val="single" w:sz="4" w:space="0" w:color="365F91"/>
              <w:bottom w:val="single" w:sz="4" w:space="0" w:color="365F91"/>
            </w:tcBorders>
            <w:shd w:val="clear" w:color="auto" w:fill="auto"/>
          </w:tcPr>
          <w:p w14:paraId="2A88F203" w14:textId="77777777" w:rsidR="00005A00" w:rsidRPr="00256982" w:rsidRDefault="00005A00" w:rsidP="00AA14F1">
            <w:pPr>
              <w:pStyle w:val="TableText"/>
              <w:spacing w:before="50" w:after="50"/>
              <w:jc w:val="center"/>
              <w:rPr>
                <w:rFonts w:cs="Arial"/>
                <w:szCs w:val="16"/>
                <w:highlight w:val="yellow"/>
              </w:rPr>
            </w:pPr>
            <w:r w:rsidRPr="00256982">
              <w:t>1,432.6</w:t>
            </w:r>
          </w:p>
        </w:tc>
        <w:tc>
          <w:tcPr>
            <w:tcW w:w="2168" w:type="dxa"/>
            <w:tcBorders>
              <w:top w:val="single" w:sz="4" w:space="0" w:color="365F91"/>
              <w:bottom w:val="single" w:sz="4" w:space="0" w:color="365F91"/>
            </w:tcBorders>
            <w:shd w:val="clear" w:color="auto" w:fill="auto"/>
          </w:tcPr>
          <w:p w14:paraId="62B92B8A" w14:textId="77777777" w:rsidR="00005A00" w:rsidRPr="00256982" w:rsidRDefault="00005A00" w:rsidP="00AA14F1">
            <w:pPr>
              <w:pStyle w:val="TableText"/>
              <w:spacing w:before="50" w:after="50"/>
              <w:jc w:val="center"/>
              <w:rPr>
                <w:rFonts w:cs="Arial"/>
                <w:szCs w:val="16"/>
                <w:highlight w:val="yellow"/>
              </w:rPr>
            </w:pPr>
            <w:r w:rsidRPr="00256982">
              <w:t xml:space="preserve"> 1,334.7 </w:t>
            </w:r>
          </w:p>
        </w:tc>
        <w:tc>
          <w:tcPr>
            <w:tcW w:w="1843" w:type="dxa"/>
            <w:tcBorders>
              <w:top w:val="single" w:sz="4" w:space="0" w:color="365F91"/>
              <w:bottom w:val="single" w:sz="4" w:space="0" w:color="365F91"/>
            </w:tcBorders>
            <w:shd w:val="clear" w:color="auto" w:fill="auto"/>
          </w:tcPr>
          <w:p w14:paraId="74C82DCA" w14:textId="77777777" w:rsidR="00005A00" w:rsidRPr="00256982" w:rsidRDefault="00005A00" w:rsidP="00AA14F1">
            <w:pPr>
              <w:pStyle w:val="TableText"/>
              <w:spacing w:before="50" w:after="50"/>
              <w:jc w:val="center"/>
              <w:rPr>
                <w:rFonts w:cs="Arial"/>
                <w:szCs w:val="16"/>
                <w:highlight w:val="yellow"/>
              </w:rPr>
            </w:pPr>
            <w:r w:rsidRPr="00256982">
              <w:t>148.3</w:t>
            </w:r>
          </w:p>
        </w:tc>
        <w:tc>
          <w:tcPr>
            <w:tcW w:w="1559" w:type="dxa"/>
            <w:tcBorders>
              <w:top w:val="single" w:sz="4" w:space="0" w:color="365F91"/>
              <w:bottom w:val="single" w:sz="4" w:space="0" w:color="365F91"/>
            </w:tcBorders>
            <w:shd w:val="clear" w:color="auto" w:fill="auto"/>
          </w:tcPr>
          <w:p w14:paraId="3E91845C" w14:textId="77777777" w:rsidR="00005A00" w:rsidRPr="00256982" w:rsidRDefault="00005A00" w:rsidP="00AA14F1">
            <w:pPr>
              <w:pStyle w:val="TableText"/>
              <w:spacing w:before="50" w:after="50"/>
              <w:jc w:val="center"/>
              <w:rPr>
                <w:rFonts w:cs="Arial"/>
                <w:szCs w:val="16"/>
                <w:highlight w:val="yellow"/>
              </w:rPr>
            </w:pPr>
            <w:r w:rsidRPr="00256982">
              <w:t xml:space="preserve"> 2,915.5 </w:t>
            </w:r>
          </w:p>
        </w:tc>
      </w:tr>
      <w:tr w:rsidR="00005A00" w:rsidRPr="00256982" w14:paraId="0A0E68BF" w14:textId="77777777" w:rsidTr="00AA14F1">
        <w:tc>
          <w:tcPr>
            <w:tcW w:w="993" w:type="dxa"/>
            <w:tcBorders>
              <w:top w:val="single" w:sz="4" w:space="0" w:color="365F91"/>
              <w:bottom w:val="single" w:sz="4" w:space="0" w:color="365F91"/>
            </w:tcBorders>
          </w:tcPr>
          <w:p w14:paraId="73E6E8C8" w14:textId="77777777" w:rsidR="00005A00" w:rsidRPr="00256982" w:rsidRDefault="00005A00" w:rsidP="00AA14F1">
            <w:pPr>
              <w:pStyle w:val="TableTextBold"/>
              <w:spacing w:before="50" w:after="50"/>
              <w:rPr>
                <w:noProof w:val="0"/>
              </w:rPr>
            </w:pPr>
            <w:r w:rsidRPr="00256982">
              <w:rPr>
                <w:noProof w:val="0"/>
              </w:rPr>
              <w:t>1993</w:t>
            </w:r>
          </w:p>
        </w:tc>
        <w:tc>
          <w:tcPr>
            <w:tcW w:w="1942" w:type="dxa"/>
            <w:tcBorders>
              <w:top w:val="single" w:sz="4" w:space="0" w:color="365F91"/>
              <w:bottom w:val="single" w:sz="4" w:space="0" w:color="365F91"/>
            </w:tcBorders>
            <w:shd w:val="clear" w:color="auto" w:fill="auto"/>
          </w:tcPr>
          <w:p w14:paraId="7C7D4773" w14:textId="77777777" w:rsidR="00005A00" w:rsidRPr="00256982" w:rsidRDefault="00005A00" w:rsidP="00AA14F1">
            <w:pPr>
              <w:pStyle w:val="TableText"/>
              <w:spacing w:before="50" w:after="50"/>
              <w:jc w:val="center"/>
              <w:rPr>
                <w:highlight w:val="yellow"/>
              </w:rPr>
            </w:pPr>
            <w:r w:rsidRPr="00256982">
              <w:t>1,650.5</w:t>
            </w:r>
          </w:p>
        </w:tc>
        <w:tc>
          <w:tcPr>
            <w:tcW w:w="2168" w:type="dxa"/>
            <w:tcBorders>
              <w:top w:val="single" w:sz="4" w:space="0" w:color="365F91"/>
              <w:bottom w:val="single" w:sz="4" w:space="0" w:color="365F91"/>
            </w:tcBorders>
            <w:shd w:val="clear" w:color="auto" w:fill="auto"/>
          </w:tcPr>
          <w:p w14:paraId="6D2AFE49" w14:textId="77777777" w:rsidR="00005A00" w:rsidRPr="00256982" w:rsidRDefault="00005A00" w:rsidP="00AA14F1">
            <w:pPr>
              <w:pStyle w:val="TableText"/>
              <w:spacing w:before="50" w:after="50"/>
              <w:jc w:val="center"/>
              <w:rPr>
                <w:highlight w:val="yellow"/>
              </w:rPr>
            </w:pPr>
            <w:r w:rsidRPr="00256982">
              <w:t xml:space="preserve"> 1,218.5 </w:t>
            </w:r>
          </w:p>
        </w:tc>
        <w:tc>
          <w:tcPr>
            <w:tcW w:w="1843" w:type="dxa"/>
            <w:tcBorders>
              <w:top w:val="single" w:sz="4" w:space="0" w:color="365F91"/>
              <w:bottom w:val="single" w:sz="4" w:space="0" w:color="365F91"/>
            </w:tcBorders>
            <w:shd w:val="clear" w:color="auto" w:fill="auto"/>
          </w:tcPr>
          <w:p w14:paraId="256A2BEF" w14:textId="77777777" w:rsidR="00005A00" w:rsidRPr="00256982" w:rsidRDefault="00005A00" w:rsidP="00AA14F1">
            <w:pPr>
              <w:pStyle w:val="TableText"/>
              <w:spacing w:before="50" w:after="50"/>
              <w:jc w:val="center"/>
              <w:rPr>
                <w:highlight w:val="yellow"/>
              </w:rPr>
            </w:pPr>
            <w:r w:rsidRPr="00256982">
              <w:t>135.4</w:t>
            </w:r>
          </w:p>
        </w:tc>
        <w:tc>
          <w:tcPr>
            <w:tcW w:w="1559" w:type="dxa"/>
            <w:tcBorders>
              <w:top w:val="single" w:sz="4" w:space="0" w:color="365F91"/>
              <w:bottom w:val="single" w:sz="4" w:space="0" w:color="365F91"/>
            </w:tcBorders>
            <w:shd w:val="clear" w:color="auto" w:fill="auto"/>
          </w:tcPr>
          <w:p w14:paraId="75243B93" w14:textId="77777777" w:rsidR="00005A00" w:rsidRPr="00256982" w:rsidRDefault="00005A00" w:rsidP="00AA14F1">
            <w:pPr>
              <w:pStyle w:val="TableText"/>
              <w:spacing w:before="50" w:after="50"/>
              <w:jc w:val="center"/>
              <w:rPr>
                <w:highlight w:val="yellow"/>
              </w:rPr>
            </w:pPr>
            <w:r w:rsidRPr="00256982">
              <w:t xml:space="preserve"> 3,004.4 </w:t>
            </w:r>
          </w:p>
        </w:tc>
      </w:tr>
      <w:tr w:rsidR="00005A00" w:rsidRPr="00256982" w14:paraId="28EF369F" w14:textId="77777777" w:rsidTr="00AA14F1">
        <w:tc>
          <w:tcPr>
            <w:tcW w:w="993" w:type="dxa"/>
            <w:tcBorders>
              <w:top w:val="single" w:sz="4" w:space="0" w:color="365F91"/>
              <w:bottom w:val="single" w:sz="4" w:space="0" w:color="365F91"/>
            </w:tcBorders>
          </w:tcPr>
          <w:p w14:paraId="65D5220E" w14:textId="77777777" w:rsidR="00005A00" w:rsidRPr="00256982" w:rsidRDefault="00005A00" w:rsidP="00AA14F1">
            <w:pPr>
              <w:pStyle w:val="TableTextBold"/>
              <w:spacing w:before="50" w:after="50"/>
              <w:rPr>
                <w:noProof w:val="0"/>
              </w:rPr>
            </w:pPr>
            <w:r w:rsidRPr="00256982">
              <w:rPr>
                <w:noProof w:val="0"/>
              </w:rPr>
              <w:t>1994</w:t>
            </w:r>
          </w:p>
        </w:tc>
        <w:tc>
          <w:tcPr>
            <w:tcW w:w="1942" w:type="dxa"/>
            <w:tcBorders>
              <w:top w:val="single" w:sz="4" w:space="0" w:color="365F91"/>
              <w:bottom w:val="single" w:sz="4" w:space="0" w:color="365F91"/>
            </w:tcBorders>
            <w:shd w:val="clear" w:color="auto" w:fill="auto"/>
          </w:tcPr>
          <w:p w14:paraId="3C88558B" w14:textId="77777777" w:rsidR="00005A00" w:rsidRPr="00256982" w:rsidRDefault="00005A00" w:rsidP="00AA14F1">
            <w:pPr>
              <w:pStyle w:val="TableText"/>
              <w:spacing w:before="50" w:after="50"/>
              <w:jc w:val="center"/>
              <w:rPr>
                <w:highlight w:val="yellow"/>
              </w:rPr>
            </w:pPr>
            <w:r w:rsidRPr="00256982">
              <w:t>1,687.5</w:t>
            </w:r>
          </w:p>
        </w:tc>
        <w:tc>
          <w:tcPr>
            <w:tcW w:w="2168" w:type="dxa"/>
            <w:tcBorders>
              <w:top w:val="single" w:sz="4" w:space="0" w:color="365F91"/>
              <w:bottom w:val="single" w:sz="4" w:space="0" w:color="365F91"/>
            </w:tcBorders>
            <w:shd w:val="clear" w:color="auto" w:fill="auto"/>
          </w:tcPr>
          <w:p w14:paraId="554682E5" w14:textId="77777777" w:rsidR="00005A00" w:rsidRPr="00256982" w:rsidRDefault="00005A00" w:rsidP="00AA14F1">
            <w:pPr>
              <w:pStyle w:val="TableText"/>
              <w:spacing w:before="50" w:after="50"/>
              <w:jc w:val="center"/>
              <w:rPr>
                <w:highlight w:val="yellow"/>
              </w:rPr>
            </w:pPr>
            <w:r w:rsidRPr="00256982">
              <w:t xml:space="preserve"> 1,265.2 </w:t>
            </w:r>
          </w:p>
        </w:tc>
        <w:tc>
          <w:tcPr>
            <w:tcW w:w="1843" w:type="dxa"/>
            <w:tcBorders>
              <w:top w:val="single" w:sz="4" w:space="0" w:color="365F91"/>
              <w:bottom w:val="single" w:sz="4" w:space="0" w:color="365F91"/>
            </w:tcBorders>
            <w:shd w:val="clear" w:color="auto" w:fill="auto"/>
          </w:tcPr>
          <w:p w14:paraId="0D187D63" w14:textId="77777777" w:rsidR="00005A00" w:rsidRPr="00256982" w:rsidRDefault="00005A00" w:rsidP="00AA14F1">
            <w:pPr>
              <w:pStyle w:val="TableText"/>
              <w:spacing w:before="50" w:after="50"/>
              <w:jc w:val="center"/>
              <w:rPr>
                <w:highlight w:val="yellow"/>
              </w:rPr>
            </w:pPr>
            <w:r w:rsidRPr="00256982">
              <w:t>140.6</w:t>
            </w:r>
          </w:p>
        </w:tc>
        <w:tc>
          <w:tcPr>
            <w:tcW w:w="1559" w:type="dxa"/>
            <w:tcBorders>
              <w:top w:val="single" w:sz="4" w:space="0" w:color="365F91"/>
              <w:bottom w:val="single" w:sz="4" w:space="0" w:color="365F91"/>
            </w:tcBorders>
            <w:shd w:val="clear" w:color="auto" w:fill="auto"/>
          </w:tcPr>
          <w:p w14:paraId="7F8EEB8B" w14:textId="77777777" w:rsidR="00005A00" w:rsidRPr="00256982" w:rsidRDefault="00005A00" w:rsidP="00AA14F1">
            <w:pPr>
              <w:pStyle w:val="TableText"/>
              <w:spacing w:before="50" w:after="50"/>
              <w:jc w:val="center"/>
              <w:rPr>
                <w:highlight w:val="yellow"/>
              </w:rPr>
            </w:pPr>
            <w:r w:rsidRPr="00256982">
              <w:t xml:space="preserve"> 3,093.2 </w:t>
            </w:r>
          </w:p>
        </w:tc>
      </w:tr>
      <w:tr w:rsidR="00005A00" w:rsidRPr="00256982" w14:paraId="4B045ADC" w14:textId="77777777" w:rsidTr="00AA14F1">
        <w:tc>
          <w:tcPr>
            <w:tcW w:w="993" w:type="dxa"/>
            <w:tcBorders>
              <w:top w:val="single" w:sz="4" w:space="0" w:color="365F91"/>
              <w:bottom w:val="single" w:sz="4" w:space="0" w:color="365F91"/>
            </w:tcBorders>
          </w:tcPr>
          <w:p w14:paraId="7C0F46CD" w14:textId="77777777" w:rsidR="00005A00" w:rsidRPr="00256982" w:rsidRDefault="00005A00" w:rsidP="00AA14F1">
            <w:pPr>
              <w:pStyle w:val="TableTextBold"/>
              <w:spacing w:before="50" w:after="50"/>
              <w:rPr>
                <w:noProof w:val="0"/>
              </w:rPr>
            </w:pPr>
            <w:r w:rsidRPr="00256982">
              <w:rPr>
                <w:noProof w:val="0"/>
              </w:rPr>
              <w:t>1995</w:t>
            </w:r>
          </w:p>
        </w:tc>
        <w:tc>
          <w:tcPr>
            <w:tcW w:w="1942" w:type="dxa"/>
            <w:tcBorders>
              <w:top w:val="single" w:sz="4" w:space="0" w:color="365F91"/>
              <w:bottom w:val="single" w:sz="4" w:space="0" w:color="365F91"/>
            </w:tcBorders>
            <w:shd w:val="clear" w:color="auto" w:fill="auto"/>
          </w:tcPr>
          <w:p w14:paraId="711C2CE4" w14:textId="77777777" w:rsidR="00005A00" w:rsidRPr="00256982" w:rsidRDefault="00005A00" w:rsidP="00AA14F1">
            <w:pPr>
              <w:pStyle w:val="TableText"/>
              <w:spacing w:before="50" w:after="50"/>
              <w:jc w:val="center"/>
              <w:rPr>
                <w:highlight w:val="yellow"/>
              </w:rPr>
            </w:pPr>
            <w:r w:rsidRPr="00256982">
              <w:t>1,687.5</w:t>
            </w:r>
          </w:p>
        </w:tc>
        <w:tc>
          <w:tcPr>
            <w:tcW w:w="2168" w:type="dxa"/>
            <w:tcBorders>
              <w:top w:val="single" w:sz="4" w:space="0" w:color="365F91"/>
              <w:bottom w:val="single" w:sz="4" w:space="0" w:color="365F91"/>
            </w:tcBorders>
            <w:shd w:val="clear" w:color="auto" w:fill="auto"/>
          </w:tcPr>
          <w:p w14:paraId="60F321EF" w14:textId="77777777" w:rsidR="00005A00" w:rsidRPr="00256982" w:rsidRDefault="00005A00" w:rsidP="00AA14F1">
            <w:pPr>
              <w:pStyle w:val="TableText"/>
              <w:spacing w:before="50" w:after="50"/>
              <w:jc w:val="center"/>
              <w:rPr>
                <w:highlight w:val="yellow"/>
              </w:rPr>
            </w:pPr>
            <w:r w:rsidRPr="00256982">
              <w:t xml:space="preserve"> 1,345.2 </w:t>
            </w:r>
          </w:p>
        </w:tc>
        <w:tc>
          <w:tcPr>
            <w:tcW w:w="1843" w:type="dxa"/>
            <w:tcBorders>
              <w:top w:val="single" w:sz="4" w:space="0" w:color="365F91"/>
              <w:bottom w:val="single" w:sz="4" w:space="0" w:color="365F91"/>
            </w:tcBorders>
            <w:shd w:val="clear" w:color="auto" w:fill="auto"/>
          </w:tcPr>
          <w:p w14:paraId="6A69B872" w14:textId="77777777" w:rsidR="00005A00" w:rsidRPr="00256982" w:rsidRDefault="00005A00" w:rsidP="00AA14F1">
            <w:pPr>
              <w:pStyle w:val="TableText"/>
              <w:spacing w:before="50" w:after="50"/>
              <w:jc w:val="center"/>
              <w:rPr>
                <w:highlight w:val="yellow"/>
              </w:rPr>
            </w:pPr>
            <w:r w:rsidRPr="00256982">
              <w:t>149.5</w:t>
            </w:r>
          </w:p>
        </w:tc>
        <w:tc>
          <w:tcPr>
            <w:tcW w:w="1559" w:type="dxa"/>
            <w:tcBorders>
              <w:top w:val="single" w:sz="4" w:space="0" w:color="365F91"/>
              <w:bottom w:val="single" w:sz="4" w:space="0" w:color="365F91"/>
            </w:tcBorders>
            <w:shd w:val="clear" w:color="auto" w:fill="auto"/>
          </w:tcPr>
          <w:p w14:paraId="74D5D975" w14:textId="77777777" w:rsidR="00005A00" w:rsidRPr="00256982" w:rsidRDefault="00005A00" w:rsidP="00AA14F1">
            <w:pPr>
              <w:pStyle w:val="TableText"/>
              <w:spacing w:before="50" w:after="50"/>
              <w:jc w:val="center"/>
              <w:rPr>
                <w:highlight w:val="yellow"/>
              </w:rPr>
            </w:pPr>
            <w:r w:rsidRPr="00256982">
              <w:t xml:space="preserve"> 3,182.1 </w:t>
            </w:r>
          </w:p>
        </w:tc>
      </w:tr>
      <w:tr w:rsidR="00005A00" w:rsidRPr="00256982" w14:paraId="18F50A3E" w14:textId="77777777" w:rsidTr="00AA14F1">
        <w:tc>
          <w:tcPr>
            <w:tcW w:w="993" w:type="dxa"/>
            <w:tcBorders>
              <w:top w:val="single" w:sz="4" w:space="0" w:color="365F91"/>
              <w:bottom w:val="single" w:sz="4" w:space="0" w:color="365F91"/>
            </w:tcBorders>
          </w:tcPr>
          <w:p w14:paraId="011E7F6B" w14:textId="77777777" w:rsidR="00005A00" w:rsidRPr="00256982" w:rsidRDefault="00005A00" w:rsidP="00AA14F1">
            <w:pPr>
              <w:pStyle w:val="TableTextBold"/>
              <w:spacing w:before="50" w:after="50"/>
              <w:rPr>
                <w:noProof w:val="0"/>
              </w:rPr>
            </w:pPr>
            <w:r w:rsidRPr="00256982">
              <w:rPr>
                <w:noProof w:val="0"/>
              </w:rPr>
              <w:t>1996</w:t>
            </w:r>
          </w:p>
        </w:tc>
        <w:tc>
          <w:tcPr>
            <w:tcW w:w="1942" w:type="dxa"/>
            <w:tcBorders>
              <w:top w:val="single" w:sz="4" w:space="0" w:color="365F91"/>
              <w:bottom w:val="single" w:sz="4" w:space="0" w:color="365F91"/>
            </w:tcBorders>
            <w:shd w:val="clear" w:color="auto" w:fill="auto"/>
          </w:tcPr>
          <w:p w14:paraId="0A0AE904" w14:textId="77777777" w:rsidR="00005A00" w:rsidRPr="00256982" w:rsidRDefault="00005A00" w:rsidP="00AA14F1">
            <w:pPr>
              <w:pStyle w:val="TableText"/>
              <w:spacing w:before="50" w:after="50"/>
              <w:jc w:val="center"/>
              <w:rPr>
                <w:highlight w:val="yellow"/>
              </w:rPr>
            </w:pPr>
            <w:r w:rsidRPr="00256982">
              <w:t>1,735.0</w:t>
            </w:r>
          </w:p>
        </w:tc>
        <w:tc>
          <w:tcPr>
            <w:tcW w:w="2168" w:type="dxa"/>
            <w:tcBorders>
              <w:top w:val="single" w:sz="4" w:space="0" w:color="365F91"/>
              <w:bottom w:val="single" w:sz="4" w:space="0" w:color="365F91"/>
            </w:tcBorders>
            <w:shd w:val="clear" w:color="auto" w:fill="auto"/>
          </w:tcPr>
          <w:p w14:paraId="5F99FA52" w14:textId="77777777" w:rsidR="00005A00" w:rsidRPr="00256982" w:rsidRDefault="00005A00" w:rsidP="00AA14F1">
            <w:pPr>
              <w:pStyle w:val="TableText"/>
              <w:spacing w:before="50" w:after="50"/>
              <w:jc w:val="center"/>
              <w:rPr>
                <w:highlight w:val="yellow"/>
              </w:rPr>
            </w:pPr>
            <w:r w:rsidRPr="00256982">
              <w:t xml:space="preserve"> 1,186.0 </w:t>
            </w:r>
          </w:p>
        </w:tc>
        <w:tc>
          <w:tcPr>
            <w:tcW w:w="1843" w:type="dxa"/>
            <w:tcBorders>
              <w:top w:val="single" w:sz="4" w:space="0" w:color="365F91"/>
              <w:bottom w:val="single" w:sz="4" w:space="0" w:color="365F91"/>
            </w:tcBorders>
            <w:shd w:val="clear" w:color="auto" w:fill="auto"/>
          </w:tcPr>
          <w:p w14:paraId="31250627" w14:textId="77777777" w:rsidR="00005A00" w:rsidRPr="00256982" w:rsidRDefault="00005A00" w:rsidP="00AA14F1">
            <w:pPr>
              <w:pStyle w:val="TableText"/>
              <w:spacing w:before="50" w:after="50"/>
              <w:jc w:val="center"/>
              <w:rPr>
                <w:highlight w:val="yellow"/>
              </w:rPr>
            </w:pPr>
            <w:r w:rsidRPr="00256982">
              <w:t>122.1</w:t>
            </w:r>
          </w:p>
        </w:tc>
        <w:tc>
          <w:tcPr>
            <w:tcW w:w="1559" w:type="dxa"/>
            <w:tcBorders>
              <w:top w:val="single" w:sz="4" w:space="0" w:color="365F91"/>
              <w:bottom w:val="single" w:sz="4" w:space="0" w:color="365F91"/>
            </w:tcBorders>
            <w:shd w:val="clear" w:color="auto" w:fill="auto"/>
          </w:tcPr>
          <w:p w14:paraId="7469C69A" w14:textId="77777777" w:rsidR="00005A00" w:rsidRPr="00256982" w:rsidRDefault="00005A00" w:rsidP="00AA14F1">
            <w:pPr>
              <w:pStyle w:val="TableText"/>
              <w:spacing w:before="50" w:after="50"/>
              <w:jc w:val="center"/>
              <w:rPr>
                <w:highlight w:val="yellow"/>
              </w:rPr>
            </w:pPr>
            <w:r w:rsidRPr="00256982">
              <w:t xml:space="preserve"> 3,043.1 </w:t>
            </w:r>
          </w:p>
        </w:tc>
      </w:tr>
      <w:tr w:rsidR="00005A00" w:rsidRPr="00256982" w14:paraId="4864718B" w14:textId="77777777" w:rsidTr="00AA14F1">
        <w:tc>
          <w:tcPr>
            <w:tcW w:w="993" w:type="dxa"/>
            <w:tcBorders>
              <w:top w:val="single" w:sz="4" w:space="0" w:color="365F91"/>
              <w:bottom w:val="single" w:sz="4" w:space="0" w:color="365F91"/>
            </w:tcBorders>
          </w:tcPr>
          <w:p w14:paraId="0B96AF96" w14:textId="77777777" w:rsidR="00005A00" w:rsidRPr="00256982" w:rsidRDefault="00005A00" w:rsidP="00AA14F1">
            <w:pPr>
              <w:pStyle w:val="TableTextBold"/>
              <w:spacing w:before="50" w:after="50"/>
              <w:rPr>
                <w:noProof w:val="0"/>
              </w:rPr>
            </w:pPr>
            <w:r w:rsidRPr="00256982">
              <w:rPr>
                <w:noProof w:val="0"/>
              </w:rPr>
              <w:t>1997</w:t>
            </w:r>
          </w:p>
        </w:tc>
        <w:tc>
          <w:tcPr>
            <w:tcW w:w="1942" w:type="dxa"/>
            <w:tcBorders>
              <w:top w:val="single" w:sz="4" w:space="0" w:color="365F91"/>
              <w:bottom w:val="single" w:sz="4" w:space="0" w:color="365F91"/>
            </w:tcBorders>
            <w:shd w:val="clear" w:color="auto" w:fill="auto"/>
          </w:tcPr>
          <w:p w14:paraId="2EDAD6C6" w14:textId="77777777" w:rsidR="00005A00" w:rsidRPr="00256982" w:rsidRDefault="00005A00" w:rsidP="00AA14F1">
            <w:pPr>
              <w:pStyle w:val="TableText"/>
              <w:spacing w:before="50" w:after="50"/>
              <w:jc w:val="center"/>
              <w:rPr>
                <w:highlight w:val="yellow"/>
              </w:rPr>
            </w:pPr>
            <w:r w:rsidRPr="00256982">
              <w:t>1,671.2</w:t>
            </w:r>
          </w:p>
        </w:tc>
        <w:tc>
          <w:tcPr>
            <w:tcW w:w="2168" w:type="dxa"/>
            <w:tcBorders>
              <w:top w:val="single" w:sz="4" w:space="0" w:color="365F91"/>
              <w:bottom w:val="single" w:sz="4" w:space="0" w:color="365F91"/>
            </w:tcBorders>
            <w:shd w:val="clear" w:color="auto" w:fill="auto"/>
          </w:tcPr>
          <w:p w14:paraId="1C6E3622" w14:textId="77777777" w:rsidR="00005A00" w:rsidRPr="00256982" w:rsidRDefault="00005A00" w:rsidP="00AA14F1">
            <w:pPr>
              <w:pStyle w:val="TableText"/>
              <w:spacing w:before="50" w:after="50"/>
              <w:jc w:val="center"/>
              <w:rPr>
                <w:highlight w:val="yellow"/>
              </w:rPr>
            </w:pPr>
            <w:r w:rsidRPr="00256982">
              <w:t xml:space="preserve"> 1,126.0 </w:t>
            </w:r>
          </w:p>
        </w:tc>
        <w:tc>
          <w:tcPr>
            <w:tcW w:w="1843" w:type="dxa"/>
            <w:tcBorders>
              <w:top w:val="single" w:sz="4" w:space="0" w:color="365F91"/>
              <w:bottom w:val="single" w:sz="4" w:space="0" w:color="365F91"/>
            </w:tcBorders>
            <w:shd w:val="clear" w:color="auto" w:fill="auto"/>
          </w:tcPr>
          <w:p w14:paraId="4B1F85C6" w14:textId="77777777" w:rsidR="00005A00" w:rsidRPr="00256982" w:rsidRDefault="00005A00" w:rsidP="00AA14F1">
            <w:pPr>
              <w:pStyle w:val="TableText"/>
              <w:spacing w:before="50" w:after="50"/>
              <w:jc w:val="center"/>
              <w:rPr>
                <w:highlight w:val="yellow"/>
              </w:rPr>
            </w:pPr>
            <w:r w:rsidRPr="00256982">
              <w:t>106.8</w:t>
            </w:r>
          </w:p>
        </w:tc>
        <w:tc>
          <w:tcPr>
            <w:tcW w:w="1559" w:type="dxa"/>
            <w:tcBorders>
              <w:top w:val="single" w:sz="4" w:space="0" w:color="365F91"/>
              <w:bottom w:val="single" w:sz="4" w:space="0" w:color="365F91"/>
            </w:tcBorders>
            <w:shd w:val="clear" w:color="auto" w:fill="auto"/>
          </w:tcPr>
          <w:p w14:paraId="135BEB74" w14:textId="77777777" w:rsidR="00005A00" w:rsidRPr="00256982" w:rsidRDefault="00005A00" w:rsidP="00AA14F1">
            <w:pPr>
              <w:pStyle w:val="TableText"/>
              <w:spacing w:before="50" w:after="50"/>
              <w:jc w:val="center"/>
              <w:rPr>
                <w:highlight w:val="yellow"/>
              </w:rPr>
            </w:pPr>
            <w:r w:rsidRPr="00256982">
              <w:t xml:space="preserve"> 2,904.1 </w:t>
            </w:r>
          </w:p>
        </w:tc>
      </w:tr>
      <w:tr w:rsidR="00005A00" w:rsidRPr="00256982" w14:paraId="24260558" w14:textId="77777777" w:rsidTr="00AA14F1">
        <w:tc>
          <w:tcPr>
            <w:tcW w:w="993" w:type="dxa"/>
            <w:tcBorders>
              <w:top w:val="single" w:sz="4" w:space="0" w:color="365F91"/>
              <w:bottom w:val="single" w:sz="4" w:space="0" w:color="365F91"/>
            </w:tcBorders>
          </w:tcPr>
          <w:p w14:paraId="5064C85F" w14:textId="77777777" w:rsidR="00005A00" w:rsidRPr="00256982" w:rsidRDefault="00005A00" w:rsidP="00AA14F1">
            <w:pPr>
              <w:pStyle w:val="TableTextBold"/>
              <w:spacing w:before="50" w:after="50"/>
              <w:rPr>
                <w:noProof w:val="0"/>
              </w:rPr>
            </w:pPr>
            <w:r w:rsidRPr="00256982">
              <w:rPr>
                <w:noProof w:val="0"/>
              </w:rPr>
              <w:t>1998</w:t>
            </w:r>
          </w:p>
        </w:tc>
        <w:tc>
          <w:tcPr>
            <w:tcW w:w="1942" w:type="dxa"/>
            <w:tcBorders>
              <w:top w:val="single" w:sz="4" w:space="0" w:color="365F91"/>
              <w:bottom w:val="single" w:sz="4" w:space="0" w:color="365F91"/>
            </w:tcBorders>
            <w:shd w:val="clear" w:color="auto" w:fill="auto"/>
          </w:tcPr>
          <w:p w14:paraId="4567CD69" w14:textId="77777777" w:rsidR="00005A00" w:rsidRPr="00256982" w:rsidRDefault="00005A00" w:rsidP="00AA14F1">
            <w:pPr>
              <w:pStyle w:val="TableText"/>
              <w:spacing w:before="50" w:after="50"/>
              <w:jc w:val="center"/>
              <w:rPr>
                <w:highlight w:val="yellow"/>
              </w:rPr>
            </w:pPr>
            <w:r w:rsidRPr="00256982">
              <w:t>1,575.0</w:t>
            </w:r>
          </w:p>
        </w:tc>
        <w:tc>
          <w:tcPr>
            <w:tcW w:w="2168" w:type="dxa"/>
            <w:tcBorders>
              <w:top w:val="single" w:sz="4" w:space="0" w:color="365F91"/>
              <w:bottom w:val="single" w:sz="4" w:space="0" w:color="365F91"/>
            </w:tcBorders>
            <w:shd w:val="clear" w:color="auto" w:fill="auto"/>
          </w:tcPr>
          <w:p w14:paraId="3A401A60" w14:textId="77777777" w:rsidR="00005A00" w:rsidRPr="00256982" w:rsidRDefault="00005A00" w:rsidP="00AA14F1">
            <w:pPr>
              <w:pStyle w:val="TableText"/>
              <w:spacing w:before="50" w:after="50"/>
              <w:jc w:val="center"/>
              <w:rPr>
                <w:highlight w:val="yellow"/>
              </w:rPr>
            </w:pPr>
            <w:r w:rsidRPr="00256982">
              <w:t xml:space="preserve"> 1,094.8 </w:t>
            </w:r>
          </w:p>
        </w:tc>
        <w:tc>
          <w:tcPr>
            <w:tcW w:w="1843" w:type="dxa"/>
            <w:tcBorders>
              <w:top w:val="single" w:sz="4" w:space="0" w:color="365F91"/>
              <w:bottom w:val="single" w:sz="4" w:space="0" w:color="365F91"/>
            </w:tcBorders>
            <w:shd w:val="clear" w:color="auto" w:fill="auto"/>
          </w:tcPr>
          <w:p w14:paraId="48409790" w14:textId="77777777" w:rsidR="00005A00" w:rsidRPr="00256982" w:rsidRDefault="00005A00" w:rsidP="00AA14F1">
            <w:pPr>
              <w:pStyle w:val="TableText"/>
              <w:spacing w:before="50" w:after="50"/>
              <w:jc w:val="center"/>
              <w:rPr>
                <w:highlight w:val="yellow"/>
              </w:rPr>
            </w:pPr>
            <w:r w:rsidRPr="00256982">
              <w:t>95.2</w:t>
            </w:r>
          </w:p>
        </w:tc>
        <w:tc>
          <w:tcPr>
            <w:tcW w:w="1559" w:type="dxa"/>
            <w:tcBorders>
              <w:top w:val="single" w:sz="4" w:space="0" w:color="365F91"/>
              <w:bottom w:val="single" w:sz="4" w:space="0" w:color="365F91"/>
            </w:tcBorders>
            <w:shd w:val="clear" w:color="auto" w:fill="auto"/>
          </w:tcPr>
          <w:p w14:paraId="71033C1D" w14:textId="77777777" w:rsidR="00005A00" w:rsidRPr="00256982" w:rsidRDefault="00005A00" w:rsidP="00AA14F1">
            <w:pPr>
              <w:pStyle w:val="TableText"/>
              <w:spacing w:before="50" w:after="50"/>
              <w:jc w:val="center"/>
              <w:rPr>
                <w:highlight w:val="yellow"/>
              </w:rPr>
            </w:pPr>
            <w:r w:rsidRPr="00256982">
              <w:t xml:space="preserve"> 2,765.0 </w:t>
            </w:r>
          </w:p>
        </w:tc>
      </w:tr>
      <w:tr w:rsidR="00005A00" w:rsidRPr="00256982" w14:paraId="5EE717E0" w14:textId="77777777" w:rsidTr="00AA14F1">
        <w:tc>
          <w:tcPr>
            <w:tcW w:w="993" w:type="dxa"/>
            <w:tcBorders>
              <w:top w:val="single" w:sz="4" w:space="0" w:color="365F91"/>
              <w:bottom w:val="single" w:sz="4" w:space="0" w:color="365F91"/>
            </w:tcBorders>
          </w:tcPr>
          <w:p w14:paraId="61A7CE85" w14:textId="77777777" w:rsidR="00005A00" w:rsidRPr="00256982" w:rsidRDefault="00005A00" w:rsidP="00AA14F1">
            <w:pPr>
              <w:pStyle w:val="TableTextBold"/>
              <w:spacing w:before="50" w:after="50"/>
              <w:rPr>
                <w:noProof w:val="0"/>
              </w:rPr>
            </w:pPr>
            <w:r w:rsidRPr="00256982">
              <w:rPr>
                <w:noProof w:val="0"/>
              </w:rPr>
              <w:t>1999</w:t>
            </w:r>
          </w:p>
        </w:tc>
        <w:tc>
          <w:tcPr>
            <w:tcW w:w="1942" w:type="dxa"/>
            <w:tcBorders>
              <w:top w:val="single" w:sz="4" w:space="0" w:color="365F91"/>
              <w:bottom w:val="single" w:sz="4" w:space="0" w:color="365F91"/>
            </w:tcBorders>
            <w:shd w:val="clear" w:color="auto" w:fill="auto"/>
          </w:tcPr>
          <w:p w14:paraId="7DAA9E14" w14:textId="77777777" w:rsidR="00005A00" w:rsidRPr="00256982" w:rsidRDefault="00005A00" w:rsidP="00AA14F1">
            <w:pPr>
              <w:pStyle w:val="TableText"/>
              <w:spacing w:before="50" w:after="50"/>
              <w:jc w:val="center"/>
              <w:rPr>
                <w:highlight w:val="yellow"/>
              </w:rPr>
            </w:pPr>
            <w:r w:rsidRPr="00256982">
              <w:t>1,575.0</w:t>
            </w:r>
          </w:p>
        </w:tc>
        <w:tc>
          <w:tcPr>
            <w:tcW w:w="2168" w:type="dxa"/>
            <w:tcBorders>
              <w:top w:val="single" w:sz="4" w:space="0" w:color="365F91"/>
              <w:bottom w:val="single" w:sz="4" w:space="0" w:color="365F91"/>
            </w:tcBorders>
            <w:shd w:val="clear" w:color="auto" w:fill="auto"/>
          </w:tcPr>
          <w:p w14:paraId="157F5656" w14:textId="77777777" w:rsidR="00005A00" w:rsidRPr="00256982" w:rsidRDefault="00005A00" w:rsidP="00AA14F1">
            <w:pPr>
              <w:pStyle w:val="TableText"/>
              <w:spacing w:before="50" w:after="50"/>
              <w:jc w:val="center"/>
              <w:rPr>
                <w:highlight w:val="yellow"/>
              </w:rPr>
            </w:pPr>
            <w:r w:rsidRPr="00256982">
              <w:t xml:space="preserve"> 1,162.3 </w:t>
            </w:r>
          </w:p>
        </w:tc>
        <w:tc>
          <w:tcPr>
            <w:tcW w:w="1843" w:type="dxa"/>
            <w:tcBorders>
              <w:top w:val="single" w:sz="4" w:space="0" w:color="365F91"/>
              <w:bottom w:val="single" w:sz="4" w:space="0" w:color="365F91"/>
            </w:tcBorders>
            <w:shd w:val="clear" w:color="auto" w:fill="auto"/>
          </w:tcPr>
          <w:p w14:paraId="511FD877" w14:textId="77777777" w:rsidR="00005A00" w:rsidRPr="00256982" w:rsidRDefault="00005A00" w:rsidP="00AA14F1">
            <w:pPr>
              <w:pStyle w:val="TableText"/>
              <w:spacing w:before="50" w:after="50"/>
              <w:jc w:val="center"/>
              <w:rPr>
                <w:highlight w:val="yellow"/>
              </w:rPr>
            </w:pPr>
            <w:r w:rsidRPr="00256982">
              <w:t>92.0</w:t>
            </w:r>
          </w:p>
        </w:tc>
        <w:tc>
          <w:tcPr>
            <w:tcW w:w="1559" w:type="dxa"/>
            <w:tcBorders>
              <w:top w:val="single" w:sz="4" w:space="0" w:color="365F91"/>
              <w:bottom w:val="single" w:sz="4" w:space="0" w:color="365F91"/>
            </w:tcBorders>
            <w:shd w:val="clear" w:color="auto" w:fill="auto"/>
          </w:tcPr>
          <w:p w14:paraId="4DC0220C" w14:textId="77777777" w:rsidR="00005A00" w:rsidRPr="00256982" w:rsidRDefault="00005A00" w:rsidP="00AA14F1">
            <w:pPr>
              <w:pStyle w:val="TableText"/>
              <w:spacing w:before="50" w:after="50"/>
              <w:jc w:val="center"/>
              <w:rPr>
                <w:highlight w:val="yellow"/>
              </w:rPr>
            </w:pPr>
            <w:r w:rsidRPr="00256982">
              <w:t xml:space="preserve"> 2,829.3 </w:t>
            </w:r>
          </w:p>
        </w:tc>
      </w:tr>
      <w:tr w:rsidR="00005A00" w:rsidRPr="00256982" w14:paraId="4CA7AE09" w14:textId="77777777" w:rsidTr="00AA14F1">
        <w:tc>
          <w:tcPr>
            <w:tcW w:w="993" w:type="dxa"/>
            <w:tcBorders>
              <w:top w:val="single" w:sz="4" w:space="0" w:color="365F91"/>
              <w:bottom w:val="single" w:sz="4" w:space="0" w:color="365F91"/>
            </w:tcBorders>
          </w:tcPr>
          <w:p w14:paraId="628BCD55" w14:textId="77777777" w:rsidR="00005A00" w:rsidRPr="00256982" w:rsidRDefault="00005A00" w:rsidP="00AA14F1">
            <w:pPr>
              <w:pStyle w:val="TableTextBold"/>
              <w:spacing w:before="50" w:after="50"/>
              <w:rPr>
                <w:noProof w:val="0"/>
              </w:rPr>
            </w:pPr>
            <w:r w:rsidRPr="00256982">
              <w:rPr>
                <w:noProof w:val="0"/>
              </w:rPr>
              <w:t>2000</w:t>
            </w:r>
          </w:p>
        </w:tc>
        <w:tc>
          <w:tcPr>
            <w:tcW w:w="1942" w:type="dxa"/>
            <w:tcBorders>
              <w:top w:val="single" w:sz="4" w:space="0" w:color="365F91"/>
              <w:bottom w:val="single" w:sz="4" w:space="0" w:color="365F91"/>
            </w:tcBorders>
            <w:shd w:val="clear" w:color="auto" w:fill="auto"/>
          </w:tcPr>
          <w:p w14:paraId="2851115E" w14:textId="77777777" w:rsidR="00005A00" w:rsidRPr="00256982" w:rsidRDefault="00005A00" w:rsidP="00AA14F1">
            <w:pPr>
              <w:pStyle w:val="TableText"/>
              <w:spacing w:before="50" w:after="50"/>
              <w:jc w:val="center"/>
              <w:rPr>
                <w:highlight w:val="yellow"/>
              </w:rPr>
            </w:pPr>
            <w:r w:rsidRPr="00256982">
              <w:t>1,575.0</w:t>
            </w:r>
          </w:p>
        </w:tc>
        <w:tc>
          <w:tcPr>
            <w:tcW w:w="2168" w:type="dxa"/>
            <w:tcBorders>
              <w:top w:val="single" w:sz="4" w:space="0" w:color="365F91"/>
              <w:bottom w:val="single" w:sz="4" w:space="0" w:color="365F91"/>
            </w:tcBorders>
            <w:shd w:val="clear" w:color="auto" w:fill="auto"/>
          </w:tcPr>
          <w:p w14:paraId="491414AC" w14:textId="77777777" w:rsidR="00005A00" w:rsidRPr="00256982" w:rsidRDefault="00005A00" w:rsidP="00AA14F1">
            <w:pPr>
              <w:pStyle w:val="TableText"/>
              <w:spacing w:before="50" w:after="50"/>
              <w:jc w:val="center"/>
              <w:rPr>
                <w:highlight w:val="yellow"/>
              </w:rPr>
            </w:pPr>
            <w:r w:rsidRPr="00256982">
              <w:t xml:space="preserve"> 1,230.6 </w:t>
            </w:r>
          </w:p>
        </w:tc>
        <w:tc>
          <w:tcPr>
            <w:tcW w:w="1843" w:type="dxa"/>
            <w:tcBorders>
              <w:top w:val="single" w:sz="4" w:space="0" w:color="365F91"/>
              <w:bottom w:val="single" w:sz="4" w:space="0" w:color="365F91"/>
            </w:tcBorders>
            <w:shd w:val="clear" w:color="auto" w:fill="auto"/>
          </w:tcPr>
          <w:p w14:paraId="2269D5F0" w14:textId="77777777" w:rsidR="00005A00" w:rsidRPr="00256982" w:rsidRDefault="00005A00" w:rsidP="00AA14F1">
            <w:pPr>
              <w:pStyle w:val="TableText"/>
              <w:spacing w:before="50" w:after="50"/>
              <w:jc w:val="center"/>
              <w:rPr>
                <w:highlight w:val="yellow"/>
              </w:rPr>
            </w:pPr>
            <w:r w:rsidRPr="00256982">
              <w:t>87.9</w:t>
            </w:r>
          </w:p>
        </w:tc>
        <w:tc>
          <w:tcPr>
            <w:tcW w:w="1559" w:type="dxa"/>
            <w:tcBorders>
              <w:top w:val="single" w:sz="4" w:space="0" w:color="365F91"/>
              <w:bottom w:val="single" w:sz="4" w:space="0" w:color="365F91"/>
            </w:tcBorders>
            <w:shd w:val="clear" w:color="auto" w:fill="auto"/>
          </w:tcPr>
          <w:p w14:paraId="51412EA7" w14:textId="77777777" w:rsidR="00005A00" w:rsidRPr="00256982" w:rsidRDefault="00005A00" w:rsidP="00AA14F1">
            <w:pPr>
              <w:pStyle w:val="TableText"/>
              <w:spacing w:before="50" w:after="50"/>
              <w:jc w:val="center"/>
              <w:rPr>
                <w:highlight w:val="yellow"/>
              </w:rPr>
            </w:pPr>
            <w:r w:rsidRPr="00256982">
              <w:t xml:space="preserve"> 2,893.5 </w:t>
            </w:r>
          </w:p>
        </w:tc>
      </w:tr>
      <w:tr w:rsidR="00005A00" w:rsidRPr="00256982" w14:paraId="137AEB50" w14:textId="77777777" w:rsidTr="00AA14F1">
        <w:tc>
          <w:tcPr>
            <w:tcW w:w="993" w:type="dxa"/>
            <w:tcBorders>
              <w:top w:val="single" w:sz="4" w:space="0" w:color="365F91"/>
              <w:bottom w:val="single" w:sz="4" w:space="0" w:color="365F91"/>
            </w:tcBorders>
          </w:tcPr>
          <w:p w14:paraId="57CC624A" w14:textId="77777777" w:rsidR="00005A00" w:rsidRPr="00256982" w:rsidRDefault="00005A00" w:rsidP="00AA14F1">
            <w:pPr>
              <w:pStyle w:val="TableTextBold"/>
              <w:spacing w:before="50" w:after="50"/>
              <w:rPr>
                <w:noProof w:val="0"/>
              </w:rPr>
            </w:pPr>
            <w:r w:rsidRPr="00256982">
              <w:rPr>
                <w:noProof w:val="0"/>
              </w:rPr>
              <w:lastRenderedPageBreak/>
              <w:t>2001</w:t>
            </w:r>
          </w:p>
        </w:tc>
        <w:tc>
          <w:tcPr>
            <w:tcW w:w="1942" w:type="dxa"/>
            <w:tcBorders>
              <w:top w:val="single" w:sz="4" w:space="0" w:color="365F91"/>
              <w:bottom w:val="single" w:sz="4" w:space="0" w:color="365F91"/>
            </w:tcBorders>
            <w:shd w:val="clear" w:color="auto" w:fill="auto"/>
          </w:tcPr>
          <w:p w14:paraId="56E3949C" w14:textId="77777777" w:rsidR="00005A00" w:rsidRPr="00256982" w:rsidRDefault="00005A00" w:rsidP="00AA14F1">
            <w:pPr>
              <w:pStyle w:val="TableText"/>
              <w:spacing w:before="50" w:after="50"/>
              <w:jc w:val="center"/>
              <w:rPr>
                <w:highlight w:val="yellow"/>
              </w:rPr>
            </w:pPr>
            <w:r w:rsidRPr="00256982">
              <w:t>1,718.3</w:t>
            </w:r>
          </w:p>
        </w:tc>
        <w:tc>
          <w:tcPr>
            <w:tcW w:w="2168" w:type="dxa"/>
            <w:tcBorders>
              <w:top w:val="single" w:sz="4" w:space="0" w:color="365F91"/>
              <w:bottom w:val="single" w:sz="4" w:space="0" w:color="365F91"/>
            </w:tcBorders>
            <w:shd w:val="clear" w:color="auto" w:fill="auto"/>
          </w:tcPr>
          <w:p w14:paraId="73C91BCE" w14:textId="77777777" w:rsidR="00005A00" w:rsidRPr="00256982" w:rsidRDefault="00005A00" w:rsidP="00AA14F1">
            <w:pPr>
              <w:pStyle w:val="TableText"/>
              <w:spacing w:before="50" w:after="50"/>
              <w:jc w:val="center"/>
              <w:rPr>
                <w:highlight w:val="yellow"/>
              </w:rPr>
            </w:pPr>
            <w:r w:rsidRPr="00256982">
              <w:t xml:space="preserve"> 1,165.1 </w:t>
            </w:r>
          </w:p>
        </w:tc>
        <w:tc>
          <w:tcPr>
            <w:tcW w:w="1843" w:type="dxa"/>
            <w:tcBorders>
              <w:top w:val="single" w:sz="4" w:space="0" w:color="365F91"/>
              <w:bottom w:val="single" w:sz="4" w:space="0" w:color="365F91"/>
            </w:tcBorders>
            <w:shd w:val="clear" w:color="auto" w:fill="auto"/>
          </w:tcPr>
          <w:p w14:paraId="053CA6B3" w14:textId="77777777" w:rsidR="00005A00" w:rsidRPr="00256982" w:rsidRDefault="00005A00" w:rsidP="00AA14F1">
            <w:pPr>
              <w:pStyle w:val="TableText"/>
              <w:spacing w:before="50" w:after="50"/>
              <w:jc w:val="center"/>
              <w:rPr>
                <w:highlight w:val="yellow"/>
              </w:rPr>
            </w:pPr>
            <w:r w:rsidRPr="00256982">
              <w:t>74.4</w:t>
            </w:r>
          </w:p>
        </w:tc>
        <w:tc>
          <w:tcPr>
            <w:tcW w:w="1559" w:type="dxa"/>
            <w:tcBorders>
              <w:top w:val="single" w:sz="4" w:space="0" w:color="365F91"/>
              <w:bottom w:val="single" w:sz="4" w:space="0" w:color="365F91"/>
            </w:tcBorders>
            <w:shd w:val="clear" w:color="auto" w:fill="auto"/>
          </w:tcPr>
          <w:p w14:paraId="02D3D40F" w14:textId="77777777" w:rsidR="00005A00" w:rsidRPr="00256982" w:rsidRDefault="00005A00" w:rsidP="00AA14F1">
            <w:pPr>
              <w:pStyle w:val="TableText"/>
              <w:spacing w:before="50" w:after="50"/>
              <w:jc w:val="center"/>
              <w:rPr>
                <w:highlight w:val="yellow"/>
              </w:rPr>
            </w:pPr>
            <w:r w:rsidRPr="00256982">
              <w:t xml:space="preserve"> 2,957.8 </w:t>
            </w:r>
          </w:p>
        </w:tc>
      </w:tr>
      <w:tr w:rsidR="00005A00" w:rsidRPr="00256982" w14:paraId="12EFA005" w14:textId="77777777" w:rsidTr="00AA14F1">
        <w:tc>
          <w:tcPr>
            <w:tcW w:w="993" w:type="dxa"/>
            <w:tcBorders>
              <w:top w:val="single" w:sz="4" w:space="0" w:color="365F91"/>
              <w:bottom w:val="single" w:sz="4" w:space="0" w:color="365F91"/>
            </w:tcBorders>
          </w:tcPr>
          <w:p w14:paraId="6DA227D1" w14:textId="77777777" w:rsidR="00005A00" w:rsidRPr="00256982" w:rsidRDefault="00005A00" w:rsidP="00AA14F1">
            <w:pPr>
              <w:pStyle w:val="TableTextBold"/>
              <w:spacing w:before="50" w:after="50"/>
              <w:rPr>
                <w:noProof w:val="0"/>
              </w:rPr>
            </w:pPr>
            <w:r w:rsidRPr="00256982">
              <w:rPr>
                <w:noProof w:val="0"/>
              </w:rPr>
              <w:t>2002</w:t>
            </w:r>
          </w:p>
        </w:tc>
        <w:tc>
          <w:tcPr>
            <w:tcW w:w="1942" w:type="dxa"/>
            <w:tcBorders>
              <w:top w:val="single" w:sz="4" w:space="0" w:color="365F91"/>
              <w:bottom w:val="single" w:sz="4" w:space="0" w:color="365F91"/>
            </w:tcBorders>
            <w:shd w:val="clear" w:color="auto" w:fill="auto"/>
          </w:tcPr>
          <w:p w14:paraId="00DE5FE9" w14:textId="77777777" w:rsidR="00005A00" w:rsidRPr="00256982" w:rsidRDefault="00005A00" w:rsidP="00AA14F1">
            <w:pPr>
              <w:pStyle w:val="TableText"/>
              <w:spacing w:before="50" w:after="50"/>
              <w:jc w:val="center"/>
              <w:rPr>
                <w:highlight w:val="yellow"/>
              </w:rPr>
            </w:pPr>
            <w:r w:rsidRPr="00256982">
              <w:t>1,714.2</w:t>
            </w:r>
          </w:p>
        </w:tc>
        <w:tc>
          <w:tcPr>
            <w:tcW w:w="2168" w:type="dxa"/>
            <w:tcBorders>
              <w:top w:val="single" w:sz="4" w:space="0" w:color="365F91"/>
              <w:bottom w:val="single" w:sz="4" w:space="0" w:color="365F91"/>
            </w:tcBorders>
            <w:shd w:val="clear" w:color="auto" w:fill="auto"/>
          </w:tcPr>
          <w:p w14:paraId="6E121F2B" w14:textId="77777777" w:rsidR="00005A00" w:rsidRPr="00256982" w:rsidRDefault="00005A00" w:rsidP="00AA14F1">
            <w:pPr>
              <w:pStyle w:val="TableText"/>
              <w:spacing w:before="50" w:after="50"/>
              <w:jc w:val="center"/>
              <w:rPr>
                <w:highlight w:val="yellow"/>
              </w:rPr>
            </w:pPr>
            <w:r w:rsidRPr="00256982">
              <w:t xml:space="preserve"> 1,238.0 </w:t>
            </w:r>
          </w:p>
        </w:tc>
        <w:tc>
          <w:tcPr>
            <w:tcW w:w="1843" w:type="dxa"/>
            <w:tcBorders>
              <w:top w:val="single" w:sz="4" w:space="0" w:color="365F91"/>
              <w:bottom w:val="single" w:sz="4" w:space="0" w:color="365F91"/>
            </w:tcBorders>
            <w:shd w:val="clear" w:color="auto" w:fill="auto"/>
          </w:tcPr>
          <w:p w14:paraId="4842B74C" w14:textId="77777777" w:rsidR="00005A00" w:rsidRPr="00256982" w:rsidRDefault="00005A00" w:rsidP="00AA14F1">
            <w:pPr>
              <w:pStyle w:val="TableText"/>
              <w:spacing w:before="50" w:after="50"/>
              <w:jc w:val="center"/>
              <w:rPr>
                <w:highlight w:val="yellow"/>
              </w:rPr>
            </w:pPr>
            <w:r w:rsidRPr="00256982">
              <w:t>69.7</w:t>
            </w:r>
          </w:p>
        </w:tc>
        <w:tc>
          <w:tcPr>
            <w:tcW w:w="1559" w:type="dxa"/>
            <w:tcBorders>
              <w:top w:val="single" w:sz="4" w:space="0" w:color="365F91"/>
              <w:bottom w:val="single" w:sz="4" w:space="0" w:color="365F91"/>
            </w:tcBorders>
            <w:shd w:val="clear" w:color="auto" w:fill="auto"/>
          </w:tcPr>
          <w:p w14:paraId="427EBB98" w14:textId="77777777" w:rsidR="00005A00" w:rsidRPr="00256982" w:rsidRDefault="00005A00" w:rsidP="00AA14F1">
            <w:pPr>
              <w:pStyle w:val="TableText"/>
              <w:spacing w:before="50" w:after="50"/>
              <w:jc w:val="center"/>
              <w:rPr>
                <w:highlight w:val="yellow"/>
              </w:rPr>
            </w:pPr>
            <w:r w:rsidRPr="00256982">
              <w:t xml:space="preserve"> 3,022.0 </w:t>
            </w:r>
          </w:p>
        </w:tc>
      </w:tr>
      <w:tr w:rsidR="00005A00" w:rsidRPr="00256982" w14:paraId="5E532AAF" w14:textId="77777777" w:rsidTr="00AA14F1">
        <w:tc>
          <w:tcPr>
            <w:tcW w:w="993" w:type="dxa"/>
            <w:tcBorders>
              <w:top w:val="single" w:sz="4" w:space="0" w:color="365F91"/>
              <w:bottom w:val="single" w:sz="4" w:space="0" w:color="365F91"/>
            </w:tcBorders>
          </w:tcPr>
          <w:p w14:paraId="0DDAA594" w14:textId="77777777" w:rsidR="00005A00" w:rsidRPr="00256982" w:rsidRDefault="00005A00" w:rsidP="00AA14F1">
            <w:pPr>
              <w:pStyle w:val="TableTextBold"/>
              <w:spacing w:before="50" w:after="50"/>
              <w:rPr>
                <w:noProof w:val="0"/>
              </w:rPr>
            </w:pPr>
            <w:r w:rsidRPr="00256982">
              <w:rPr>
                <w:noProof w:val="0"/>
              </w:rPr>
              <w:t>2003</w:t>
            </w:r>
          </w:p>
        </w:tc>
        <w:tc>
          <w:tcPr>
            <w:tcW w:w="1942" w:type="dxa"/>
            <w:tcBorders>
              <w:top w:val="single" w:sz="4" w:space="0" w:color="365F91"/>
              <w:bottom w:val="single" w:sz="4" w:space="0" w:color="365F91"/>
            </w:tcBorders>
            <w:shd w:val="clear" w:color="auto" w:fill="auto"/>
          </w:tcPr>
          <w:p w14:paraId="180ED65D" w14:textId="77777777" w:rsidR="00005A00" w:rsidRPr="00256982" w:rsidRDefault="00005A00" w:rsidP="00AA14F1">
            <w:pPr>
              <w:pStyle w:val="TableText"/>
              <w:spacing w:before="50" w:after="50"/>
              <w:jc w:val="center"/>
              <w:rPr>
                <w:highlight w:val="yellow"/>
              </w:rPr>
            </w:pPr>
            <w:r w:rsidRPr="00256982">
              <w:t>1,626.8</w:t>
            </w:r>
          </w:p>
        </w:tc>
        <w:tc>
          <w:tcPr>
            <w:tcW w:w="2168" w:type="dxa"/>
            <w:tcBorders>
              <w:top w:val="single" w:sz="4" w:space="0" w:color="365F91"/>
              <w:bottom w:val="single" w:sz="4" w:space="0" w:color="365F91"/>
            </w:tcBorders>
            <w:shd w:val="clear" w:color="auto" w:fill="auto"/>
          </w:tcPr>
          <w:p w14:paraId="0C427F16" w14:textId="77777777" w:rsidR="00005A00" w:rsidRPr="00256982" w:rsidRDefault="00005A00" w:rsidP="00AA14F1">
            <w:pPr>
              <w:pStyle w:val="TableText"/>
              <w:spacing w:before="50" w:after="50"/>
              <w:jc w:val="center"/>
              <w:rPr>
                <w:highlight w:val="yellow"/>
              </w:rPr>
            </w:pPr>
            <w:r w:rsidRPr="00256982">
              <w:t xml:space="preserve"> 1,362.0 </w:t>
            </w:r>
          </w:p>
        </w:tc>
        <w:tc>
          <w:tcPr>
            <w:tcW w:w="1843" w:type="dxa"/>
            <w:tcBorders>
              <w:top w:val="single" w:sz="4" w:space="0" w:color="365F91"/>
              <w:bottom w:val="single" w:sz="4" w:space="0" w:color="365F91"/>
            </w:tcBorders>
            <w:shd w:val="clear" w:color="auto" w:fill="auto"/>
          </w:tcPr>
          <w:p w14:paraId="6E12258A" w14:textId="77777777" w:rsidR="00005A00" w:rsidRPr="00256982" w:rsidRDefault="00005A00" w:rsidP="00AA14F1">
            <w:pPr>
              <w:pStyle w:val="TableText"/>
              <w:spacing w:before="50" w:after="50"/>
              <w:jc w:val="center"/>
              <w:rPr>
                <w:highlight w:val="yellow"/>
              </w:rPr>
            </w:pPr>
            <w:r w:rsidRPr="00256982">
              <w:t>66.7</w:t>
            </w:r>
          </w:p>
        </w:tc>
        <w:tc>
          <w:tcPr>
            <w:tcW w:w="1559" w:type="dxa"/>
            <w:tcBorders>
              <w:top w:val="single" w:sz="4" w:space="0" w:color="365F91"/>
              <w:bottom w:val="single" w:sz="4" w:space="0" w:color="365F91"/>
            </w:tcBorders>
            <w:shd w:val="clear" w:color="auto" w:fill="auto"/>
          </w:tcPr>
          <w:p w14:paraId="493701F7" w14:textId="77777777" w:rsidR="00005A00" w:rsidRPr="00256982" w:rsidRDefault="00005A00" w:rsidP="00AA14F1">
            <w:pPr>
              <w:pStyle w:val="TableText"/>
              <w:spacing w:before="50" w:after="50"/>
              <w:jc w:val="center"/>
              <w:rPr>
                <w:highlight w:val="yellow"/>
              </w:rPr>
            </w:pPr>
            <w:r w:rsidRPr="00256982">
              <w:t xml:space="preserve"> 3,055.5 </w:t>
            </w:r>
          </w:p>
        </w:tc>
      </w:tr>
      <w:tr w:rsidR="00005A00" w:rsidRPr="00256982" w14:paraId="5A353FE8" w14:textId="77777777" w:rsidTr="00AA14F1">
        <w:tc>
          <w:tcPr>
            <w:tcW w:w="993" w:type="dxa"/>
            <w:tcBorders>
              <w:top w:val="single" w:sz="4" w:space="0" w:color="365F91"/>
              <w:bottom w:val="single" w:sz="4" w:space="0" w:color="365F91"/>
            </w:tcBorders>
          </w:tcPr>
          <w:p w14:paraId="37996021" w14:textId="77777777" w:rsidR="00005A00" w:rsidRPr="00256982" w:rsidRDefault="00005A00" w:rsidP="00AA14F1">
            <w:pPr>
              <w:pStyle w:val="TableTextBold"/>
              <w:spacing w:before="50" w:after="50"/>
              <w:rPr>
                <w:noProof w:val="0"/>
              </w:rPr>
            </w:pPr>
            <w:r w:rsidRPr="00256982">
              <w:rPr>
                <w:noProof w:val="0"/>
              </w:rPr>
              <w:t>2004</w:t>
            </w:r>
          </w:p>
        </w:tc>
        <w:tc>
          <w:tcPr>
            <w:tcW w:w="1942" w:type="dxa"/>
            <w:tcBorders>
              <w:top w:val="single" w:sz="4" w:space="0" w:color="365F91"/>
              <w:bottom w:val="single" w:sz="4" w:space="0" w:color="365F91"/>
            </w:tcBorders>
            <w:shd w:val="clear" w:color="auto" w:fill="auto"/>
          </w:tcPr>
          <w:p w14:paraId="1209A2B0" w14:textId="77777777" w:rsidR="00005A00" w:rsidRPr="00256982" w:rsidRDefault="00005A00" w:rsidP="00AA14F1">
            <w:pPr>
              <w:pStyle w:val="TableText"/>
              <w:spacing w:before="50" w:after="50"/>
              <w:jc w:val="center"/>
              <w:rPr>
                <w:highlight w:val="yellow"/>
              </w:rPr>
            </w:pPr>
            <w:r w:rsidRPr="00256982">
              <w:t>1,676.5</w:t>
            </w:r>
          </w:p>
        </w:tc>
        <w:tc>
          <w:tcPr>
            <w:tcW w:w="2168" w:type="dxa"/>
            <w:tcBorders>
              <w:top w:val="single" w:sz="4" w:space="0" w:color="365F91"/>
              <w:bottom w:val="single" w:sz="4" w:space="0" w:color="365F91"/>
            </w:tcBorders>
            <w:shd w:val="clear" w:color="auto" w:fill="auto"/>
          </w:tcPr>
          <w:p w14:paraId="16B30578" w14:textId="77777777" w:rsidR="00005A00" w:rsidRPr="00256982" w:rsidRDefault="00005A00" w:rsidP="00AA14F1">
            <w:pPr>
              <w:pStyle w:val="TableText"/>
              <w:spacing w:before="50" w:after="50"/>
              <w:jc w:val="center"/>
              <w:rPr>
                <w:highlight w:val="yellow"/>
              </w:rPr>
            </w:pPr>
            <w:r w:rsidRPr="00256982">
              <w:t xml:space="preserve"> 1,356.0 </w:t>
            </w:r>
          </w:p>
        </w:tc>
        <w:tc>
          <w:tcPr>
            <w:tcW w:w="1843" w:type="dxa"/>
            <w:tcBorders>
              <w:top w:val="single" w:sz="4" w:space="0" w:color="365F91"/>
              <w:bottom w:val="single" w:sz="4" w:space="0" w:color="365F91"/>
            </w:tcBorders>
            <w:shd w:val="clear" w:color="auto" w:fill="auto"/>
          </w:tcPr>
          <w:p w14:paraId="6CE583AA" w14:textId="77777777" w:rsidR="00005A00" w:rsidRPr="00256982" w:rsidRDefault="00005A00" w:rsidP="00AA14F1">
            <w:pPr>
              <w:pStyle w:val="TableText"/>
              <w:spacing w:before="50" w:after="50"/>
              <w:jc w:val="center"/>
              <w:rPr>
                <w:highlight w:val="yellow"/>
              </w:rPr>
            </w:pPr>
            <w:r w:rsidRPr="00256982">
              <w:t>56.5</w:t>
            </w:r>
          </w:p>
        </w:tc>
        <w:tc>
          <w:tcPr>
            <w:tcW w:w="1559" w:type="dxa"/>
            <w:tcBorders>
              <w:top w:val="single" w:sz="4" w:space="0" w:color="365F91"/>
              <w:bottom w:val="single" w:sz="4" w:space="0" w:color="365F91"/>
            </w:tcBorders>
            <w:shd w:val="clear" w:color="auto" w:fill="auto"/>
          </w:tcPr>
          <w:p w14:paraId="3BF8FE01" w14:textId="77777777" w:rsidR="00005A00" w:rsidRPr="00256982" w:rsidRDefault="00005A00" w:rsidP="00AA14F1">
            <w:pPr>
              <w:pStyle w:val="TableText"/>
              <w:spacing w:before="50" w:after="50"/>
              <w:jc w:val="center"/>
              <w:rPr>
                <w:highlight w:val="yellow"/>
              </w:rPr>
            </w:pPr>
            <w:r w:rsidRPr="00256982">
              <w:t xml:space="preserve"> 3,089.0 </w:t>
            </w:r>
          </w:p>
        </w:tc>
      </w:tr>
      <w:tr w:rsidR="00005A00" w:rsidRPr="00256982" w14:paraId="4A48F638" w14:textId="77777777" w:rsidTr="00AA14F1">
        <w:tc>
          <w:tcPr>
            <w:tcW w:w="993" w:type="dxa"/>
            <w:tcBorders>
              <w:top w:val="single" w:sz="4" w:space="0" w:color="365F91"/>
              <w:bottom w:val="single" w:sz="4" w:space="0" w:color="365F91"/>
            </w:tcBorders>
          </w:tcPr>
          <w:p w14:paraId="47E1956D" w14:textId="77777777" w:rsidR="00005A00" w:rsidRPr="00256982" w:rsidRDefault="00005A00" w:rsidP="00AA14F1">
            <w:pPr>
              <w:pStyle w:val="TableTextBold"/>
              <w:spacing w:before="50" w:after="50"/>
              <w:rPr>
                <w:noProof w:val="0"/>
              </w:rPr>
            </w:pPr>
            <w:r w:rsidRPr="00256982">
              <w:rPr>
                <w:noProof w:val="0"/>
              </w:rPr>
              <w:t>2005</w:t>
            </w:r>
          </w:p>
        </w:tc>
        <w:tc>
          <w:tcPr>
            <w:tcW w:w="1942" w:type="dxa"/>
            <w:tcBorders>
              <w:top w:val="single" w:sz="4" w:space="0" w:color="365F91"/>
              <w:bottom w:val="single" w:sz="4" w:space="0" w:color="365F91"/>
            </w:tcBorders>
            <w:shd w:val="clear" w:color="auto" w:fill="auto"/>
          </w:tcPr>
          <w:p w14:paraId="342E50E3" w14:textId="77777777" w:rsidR="00005A00" w:rsidRPr="00256982" w:rsidRDefault="00005A00" w:rsidP="00AA14F1">
            <w:pPr>
              <w:pStyle w:val="TableText"/>
              <w:spacing w:before="50" w:after="50"/>
              <w:jc w:val="center"/>
              <w:rPr>
                <w:highlight w:val="yellow"/>
              </w:rPr>
            </w:pPr>
            <w:r w:rsidRPr="00256982">
              <w:t>1,881.2</w:t>
            </w:r>
          </w:p>
        </w:tc>
        <w:tc>
          <w:tcPr>
            <w:tcW w:w="2168" w:type="dxa"/>
            <w:tcBorders>
              <w:top w:val="single" w:sz="4" w:space="0" w:color="365F91"/>
              <w:bottom w:val="single" w:sz="4" w:space="0" w:color="365F91"/>
            </w:tcBorders>
            <w:shd w:val="clear" w:color="auto" w:fill="auto"/>
          </w:tcPr>
          <w:p w14:paraId="6FE1E995" w14:textId="77777777" w:rsidR="00005A00" w:rsidRPr="00256982" w:rsidRDefault="00005A00" w:rsidP="00AA14F1">
            <w:pPr>
              <w:pStyle w:val="TableText"/>
              <w:spacing w:before="50" w:after="50"/>
              <w:jc w:val="center"/>
              <w:rPr>
                <w:highlight w:val="yellow"/>
              </w:rPr>
            </w:pPr>
            <w:r w:rsidRPr="00256982">
              <w:t xml:space="preserve"> 1,199.9 </w:t>
            </w:r>
          </w:p>
        </w:tc>
        <w:tc>
          <w:tcPr>
            <w:tcW w:w="1843" w:type="dxa"/>
            <w:tcBorders>
              <w:top w:val="single" w:sz="4" w:space="0" w:color="365F91"/>
              <w:bottom w:val="single" w:sz="4" w:space="0" w:color="365F91"/>
            </w:tcBorders>
            <w:shd w:val="clear" w:color="auto" w:fill="auto"/>
          </w:tcPr>
          <w:p w14:paraId="48CAE028" w14:textId="77777777" w:rsidR="00005A00" w:rsidRPr="00256982" w:rsidRDefault="00005A00" w:rsidP="00AA14F1">
            <w:pPr>
              <w:pStyle w:val="TableText"/>
              <w:spacing w:before="50" w:after="50"/>
              <w:jc w:val="center"/>
              <w:rPr>
                <w:highlight w:val="yellow"/>
              </w:rPr>
            </w:pPr>
            <w:r w:rsidRPr="00256982">
              <w:t>41.4</w:t>
            </w:r>
          </w:p>
        </w:tc>
        <w:tc>
          <w:tcPr>
            <w:tcW w:w="1559" w:type="dxa"/>
            <w:tcBorders>
              <w:top w:val="single" w:sz="4" w:space="0" w:color="365F91"/>
              <w:bottom w:val="single" w:sz="4" w:space="0" w:color="365F91"/>
            </w:tcBorders>
            <w:shd w:val="clear" w:color="auto" w:fill="auto"/>
          </w:tcPr>
          <w:p w14:paraId="2A062F15" w14:textId="77777777" w:rsidR="00005A00" w:rsidRPr="00256982" w:rsidRDefault="00005A00" w:rsidP="00AA14F1">
            <w:pPr>
              <w:pStyle w:val="TableText"/>
              <w:spacing w:before="50" w:after="50"/>
              <w:jc w:val="center"/>
              <w:rPr>
                <w:highlight w:val="yellow"/>
              </w:rPr>
            </w:pPr>
            <w:r w:rsidRPr="00256982">
              <w:t xml:space="preserve"> 3,122.5 </w:t>
            </w:r>
          </w:p>
        </w:tc>
      </w:tr>
      <w:tr w:rsidR="00005A00" w:rsidRPr="00256982" w14:paraId="42C05BBC" w14:textId="77777777" w:rsidTr="00AA14F1">
        <w:tc>
          <w:tcPr>
            <w:tcW w:w="993" w:type="dxa"/>
            <w:tcBorders>
              <w:top w:val="single" w:sz="4" w:space="0" w:color="365F91"/>
              <w:bottom w:val="single" w:sz="4" w:space="0" w:color="365F91"/>
            </w:tcBorders>
          </w:tcPr>
          <w:p w14:paraId="6C1AA805" w14:textId="77777777" w:rsidR="00005A00" w:rsidRPr="00256982" w:rsidRDefault="00005A00" w:rsidP="00AA14F1">
            <w:pPr>
              <w:pStyle w:val="TableTextBold"/>
              <w:spacing w:before="50" w:after="50"/>
              <w:rPr>
                <w:noProof w:val="0"/>
              </w:rPr>
            </w:pPr>
            <w:r w:rsidRPr="00256982">
              <w:rPr>
                <w:noProof w:val="0"/>
              </w:rPr>
              <w:t>2006</w:t>
            </w:r>
          </w:p>
        </w:tc>
        <w:tc>
          <w:tcPr>
            <w:tcW w:w="1942" w:type="dxa"/>
            <w:tcBorders>
              <w:top w:val="single" w:sz="4" w:space="0" w:color="365F91"/>
              <w:bottom w:val="single" w:sz="4" w:space="0" w:color="365F91"/>
            </w:tcBorders>
            <w:shd w:val="clear" w:color="auto" w:fill="auto"/>
          </w:tcPr>
          <w:p w14:paraId="55ACB450" w14:textId="77777777" w:rsidR="00005A00" w:rsidRPr="00256982" w:rsidRDefault="00005A00" w:rsidP="00AA14F1">
            <w:pPr>
              <w:pStyle w:val="TableText"/>
              <w:spacing w:before="50" w:after="50"/>
              <w:jc w:val="center"/>
              <w:rPr>
                <w:highlight w:val="yellow"/>
              </w:rPr>
            </w:pPr>
            <w:r w:rsidRPr="00256982">
              <w:t>2,305.4</w:t>
            </w:r>
          </w:p>
        </w:tc>
        <w:tc>
          <w:tcPr>
            <w:tcW w:w="2168" w:type="dxa"/>
            <w:tcBorders>
              <w:top w:val="single" w:sz="4" w:space="0" w:color="365F91"/>
              <w:bottom w:val="single" w:sz="4" w:space="0" w:color="365F91"/>
            </w:tcBorders>
            <w:shd w:val="clear" w:color="auto" w:fill="auto"/>
          </w:tcPr>
          <w:p w14:paraId="5D8E3B80" w14:textId="77777777" w:rsidR="00005A00" w:rsidRPr="00256982" w:rsidRDefault="00005A00" w:rsidP="00AA14F1">
            <w:pPr>
              <w:pStyle w:val="TableText"/>
              <w:spacing w:before="50" w:after="50"/>
              <w:jc w:val="center"/>
              <w:rPr>
                <w:highlight w:val="yellow"/>
              </w:rPr>
            </w:pPr>
            <w:r w:rsidRPr="00256982">
              <w:t xml:space="preserve"> 827.9 </w:t>
            </w:r>
          </w:p>
        </w:tc>
        <w:tc>
          <w:tcPr>
            <w:tcW w:w="1843" w:type="dxa"/>
            <w:tcBorders>
              <w:top w:val="single" w:sz="4" w:space="0" w:color="365F91"/>
              <w:bottom w:val="single" w:sz="4" w:space="0" w:color="365F91"/>
            </w:tcBorders>
            <w:shd w:val="clear" w:color="auto" w:fill="auto"/>
          </w:tcPr>
          <w:p w14:paraId="348D808E" w14:textId="77777777" w:rsidR="00005A00" w:rsidRPr="00256982" w:rsidRDefault="00005A00" w:rsidP="00AA14F1">
            <w:pPr>
              <w:pStyle w:val="TableText"/>
              <w:spacing w:before="50" w:after="50"/>
              <w:jc w:val="center"/>
              <w:rPr>
                <w:highlight w:val="yellow"/>
              </w:rPr>
            </w:pPr>
            <w:r w:rsidRPr="00256982">
              <w:t>22.7</w:t>
            </w:r>
          </w:p>
        </w:tc>
        <w:tc>
          <w:tcPr>
            <w:tcW w:w="1559" w:type="dxa"/>
            <w:tcBorders>
              <w:top w:val="single" w:sz="4" w:space="0" w:color="365F91"/>
              <w:bottom w:val="single" w:sz="4" w:space="0" w:color="365F91"/>
            </w:tcBorders>
            <w:shd w:val="clear" w:color="auto" w:fill="auto"/>
          </w:tcPr>
          <w:p w14:paraId="3389A65F" w14:textId="77777777" w:rsidR="00005A00" w:rsidRPr="00256982" w:rsidRDefault="00005A00" w:rsidP="00AA14F1">
            <w:pPr>
              <w:pStyle w:val="TableText"/>
              <w:spacing w:before="50" w:after="50"/>
              <w:jc w:val="center"/>
              <w:rPr>
                <w:highlight w:val="yellow"/>
              </w:rPr>
            </w:pPr>
            <w:r w:rsidRPr="00256982">
              <w:t xml:space="preserve"> 3,156.0 </w:t>
            </w:r>
          </w:p>
        </w:tc>
      </w:tr>
      <w:tr w:rsidR="00005A00" w:rsidRPr="00256982" w14:paraId="1295A346" w14:textId="77777777" w:rsidTr="00AA14F1">
        <w:tc>
          <w:tcPr>
            <w:tcW w:w="993" w:type="dxa"/>
            <w:tcBorders>
              <w:top w:val="single" w:sz="4" w:space="0" w:color="365F91"/>
              <w:bottom w:val="single" w:sz="4" w:space="0" w:color="365F91"/>
            </w:tcBorders>
          </w:tcPr>
          <w:p w14:paraId="688C113D" w14:textId="77777777" w:rsidR="00005A00" w:rsidRPr="00256982" w:rsidRDefault="00005A00" w:rsidP="00AA14F1">
            <w:pPr>
              <w:pStyle w:val="TableTextBold"/>
              <w:spacing w:before="50" w:after="50"/>
              <w:rPr>
                <w:noProof w:val="0"/>
              </w:rPr>
            </w:pPr>
            <w:r w:rsidRPr="00256982">
              <w:rPr>
                <w:noProof w:val="0"/>
              </w:rPr>
              <w:t>2007</w:t>
            </w:r>
          </w:p>
        </w:tc>
        <w:tc>
          <w:tcPr>
            <w:tcW w:w="1942" w:type="dxa"/>
            <w:tcBorders>
              <w:top w:val="single" w:sz="4" w:space="0" w:color="365F91"/>
              <w:bottom w:val="single" w:sz="4" w:space="0" w:color="365F91"/>
            </w:tcBorders>
            <w:shd w:val="clear" w:color="auto" w:fill="auto"/>
          </w:tcPr>
          <w:p w14:paraId="607E381C" w14:textId="77777777" w:rsidR="00005A00" w:rsidRPr="00256982" w:rsidRDefault="00005A00" w:rsidP="00AA14F1">
            <w:pPr>
              <w:pStyle w:val="TableText"/>
              <w:spacing w:before="50" w:after="50"/>
              <w:jc w:val="center"/>
              <w:rPr>
                <w:highlight w:val="yellow"/>
              </w:rPr>
            </w:pPr>
            <w:r w:rsidRPr="00256982">
              <w:t>2,158.8</w:t>
            </w:r>
          </w:p>
        </w:tc>
        <w:tc>
          <w:tcPr>
            <w:tcW w:w="2168" w:type="dxa"/>
            <w:tcBorders>
              <w:top w:val="single" w:sz="4" w:space="0" w:color="365F91"/>
              <w:bottom w:val="single" w:sz="4" w:space="0" w:color="365F91"/>
            </w:tcBorders>
            <w:shd w:val="clear" w:color="auto" w:fill="auto"/>
          </w:tcPr>
          <w:p w14:paraId="653B7A0A" w14:textId="77777777" w:rsidR="00005A00" w:rsidRPr="00256982" w:rsidRDefault="00005A00" w:rsidP="00AA14F1">
            <w:pPr>
              <w:pStyle w:val="TableText"/>
              <w:spacing w:before="50" w:after="50"/>
              <w:jc w:val="center"/>
              <w:rPr>
                <w:highlight w:val="yellow"/>
              </w:rPr>
            </w:pPr>
            <w:r w:rsidRPr="00256982">
              <w:t xml:space="preserve"> 824.2 </w:t>
            </w:r>
          </w:p>
        </w:tc>
        <w:tc>
          <w:tcPr>
            <w:tcW w:w="1843" w:type="dxa"/>
            <w:tcBorders>
              <w:top w:val="single" w:sz="4" w:space="0" w:color="365F91"/>
              <w:bottom w:val="single" w:sz="4" w:space="0" w:color="365F91"/>
            </w:tcBorders>
            <w:shd w:val="clear" w:color="auto" w:fill="auto"/>
          </w:tcPr>
          <w:p w14:paraId="35C5B2BE" w14:textId="77777777" w:rsidR="00005A00" w:rsidRPr="00256982" w:rsidRDefault="00005A00" w:rsidP="00AA14F1">
            <w:pPr>
              <w:pStyle w:val="TableText"/>
              <w:spacing w:before="50" w:after="50"/>
              <w:jc w:val="center"/>
              <w:rPr>
                <w:highlight w:val="yellow"/>
              </w:rPr>
            </w:pPr>
            <w:r w:rsidRPr="00256982">
              <w:t>16.8</w:t>
            </w:r>
          </w:p>
        </w:tc>
        <w:tc>
          <w:tcPr>
            <w:tcW w:w="1559" w:type="dxa"/>
            <w:tcBorders>
              <w:top w:val="single" w:sz="4" w:space="0" w:color="365F91"/>
              <w:bottom w:val="single" w:sz="4" w:space="0" w:color="365F91"/>
            </w:tcBorders>
            <w:shd w:val="clear" w:color="auto" w:fill="auto"/>
          </w:tcPr>
          <w:p w14:paraId="7C66E615" w14:textId="77777777" w:rsidR="00005A00" w:rsidRPr="00256982" w:rsidRDefault="00005A00" w:rsidP="00AA14F1">
            <w:pPr>
              <w:pStyle w:val="TableText"/>
              <w:spacing w:before="50" w:after="50"/>
              <w:jc w:val="center"/>
              <w:rPr>
                <w:highlight w:val="yellow"/>
              </w:rPr>
            </w:pPr>
            <w:r w:rsidRPr="00256982">
              <w:t xml:space="preserve"> 2,999.8 </w:t>
            </w:r>
          </w:p>
        </w:tc>
      </w:tr>
      <w:tr w:rsidR="00005A00" w:rsidRPr="00256982" w14:paraId="181A4BBA" w14:textId="77777777" w:rsidTr="00AA14F1">
        <w:tc>
          <w:tcPr>
            <w:tcW w:w="993" w:type="dxa"/>
            <w:tcBorders>
              <w:top w:val="single" w:sz="4" w:space="0" w:color="365F91"/>
              <w:bottom w:val="single" w:sz="4" w:space="0" w:color="365F91"/>
            </w:tcBorders>
          </w:tcPr>
          <w:p w14:paraId="11A580C9" w14:textId="77777777" w:rsidR="00005A00" w:rsidRPr="00256982" w:rsidRDefault="00005A00" w:rsidP="00AA14F1">
            <w:pPr>
              <w:pStyle w:val="TableTextBold"/>
              <w:spacing w:before="50" w:after="50"/>
              <w:rPr>
                <w:noProof w:val="0"/>
              </w:rPr>
            </w:pPr>
            <w:r w:rsidRPr="00256982">
              <w:rPr>
                <w:noProof w:val="0"/>
              </w:rPr>
              <w:t>2008</w:t>
            </w:r>
          </w:p>
        </w:tc>
        <w:tc>
          <w:tcPr>
            <w:tcW w:w="1942" w:type="dxa"/>
            <w:tcBorders>
              <w:top w:val="single" w:sz="4" w:space="0" w:color="365F91"/>
              <w:bottom w:val="single" w:sz="4" w:space="0" w:color="365F91"/>
            </w:tcBorders>
            <w:shd w:val="clear" w:color="auto" w:fill="auto"/>
          </w:tcPr>
          <w:p w14:paraId="154A5605" w14:textId="77777777" w:rsidR="00005A00" w:rsidRPr="00256982" w:rsidRDefault="00005A00" w:rsidP="00AA14F1">
            <w:pPr>
              <w:pStyle w:val="TableText"/>
              <w:spacing w:before="50" w:after="50"/>
              <w:jc w:val="center"/>
              <w:rPr>
                <w:highlight w:val="yellow"/>
              </w:rPr>
            </w:pPr>
            <w:r w:rsidRPr="00256982">
              <w:t>2,097.4</w:t>
            </w:r>
          </w:p>
        </w:tc>
        <w:tc>
          <w:tcPr>
            <w:tcW w:w="2168" w:type="dxa"/>
            <w:tcBorders>
              <w:top w:val="single" w:sz="4" w:space="0" w:color="365F91"/>
              <w:bottom w:val="single" w:sz="4" w:space="0" w:color="365F91"/>
            </w:tcBorders>
            <w:shd w:val="clear" w:color="auto" w:fill="auto"/>
          </w:tcPr>
          <w:p w14:paraId="5FD2BDBB" w14:textId="77777777" w:rsidR="00005A00" w:rsidRPr="00256982" w:rsidRDefault="00005A00" w:rsidP="00AA14F1">
            <w:pPr>
              <w:pStyle w:val="TableText"/>
              <w:spacing w:before="50" w:after="50"/>
              <w:jc w:val="center"/>
              <w:rPr>
                <w:highlight w:val="yellow"/>
              </w:rPr>
            </w:pPr>
            <w:r w:rsidRPr="00256982">
              <w:t xml:space="preserve"> 736.2 </w:t>
            </w:r>
          </w:p>
        </w:tc>
        <w:tc>
          <w:tcPr>
            <w:tcW w:w="1843" w:type="dxa"/>
            <w:tcBorders>
              <w:top w:val="single" w:sz="4" w:space="0" w:color="365F91"/>
              <w:bottom w:val="single" w:sz="4" w:space="0" w:color="365F91"/>
            </w:tcBorders>
            <w:shd w:val="clear" w:color="auto" w:fill="auto"/>
          </w:tcPr>
          <w:p w14:paraId="32C58673" w14:textId="77777777" w:rsidR="00005A00" w:rsidRPr="00256982" w:rsidRDefault="00005A00" w:rsidP="00AA14F1">
            <w:pPr>
              <w:pStyle w:val="TableText"/>
              <w:spacing w:before="50" w:after="50"/>
              <w:jc w:val="center"/>
              <w:rPr>
                <w:highlight w:val="yellow"/>
              </w:rPr>
            </w:pPr>
            <w:r w:rsidRPr="00256982">
              <w:t>9.9</w:t>
            </w:r>
          </w:p>
        </w:tc>
        <w:tc>
          <w:tcPr>
            <w:tcW w:w="1559" w:type="dxa"/>
            <w:tcBorders>
              <w:top w:val="single" w:sz="4" w:space="0" w:color="365F91"/>
              <w:bottom w:val="single" w:sz="4" w:space="0" w:color="365F91"/>
            </w:tcBorders>
            <w:shd w:val="clear" w:color="auto" w:fill="auto"/>
          </w:tcPr>
          <w:p w14:paraId="5EC3C99C" w14:textId="77777777" w:rsidR="00005A00" w:rsidRPr="00256982" w:rsidRDefault="00005A00" w:rsidP="00AA14F1">
            <w:pPr>
              <w:pStyle w:val="TableText"/>
              <w:spacing w:before="50" w:after="50"/>
              <w:jc w:val="center"/>
              <w:rPr>
                <w:highlight w:val="yellow"/>
              </w:rPr>
            </w:pPr>
            <w:r w:rsidRPr="00256982">
              <w:t xml:space="preserve"> 2,843.5 </w:t>
            </w:r>
          </w:p>
        </w:tc>
      </w:tr>
      <w:tr w:rsidR="00005A00" w:rsidRPr="00256982" w14:paraId="1B430538" w14:textId="77777777" w:rsidTr="00AA14F1">
        <w:tc>
          <w:tcPr>
            <w:tcW w:w="993" w:type="dxa"/>
            <w:tcBorders>
              <w:top w:val="single" w:sz="4" w:space="0" w:color="365F91"/>
              <w:bottom w:val="single" w:sz="4" w:space="0" w:color="365F91"/>
            </w:tcBorders>
          </w:tcPr>
          <w:p w14:paraId="43D7E12F" w14:textId="77777777" w:rsidR="00005A00" w:rsidRPr="00256982" w:rsidRDefault="00005A00" w:rsidP="00AA14F1">
            <w:pPr>
              <w:pStyle w:val="TableTextBold"/>
              <w:spacing w:before="50" w:after="50"/>
              <w:rPr>
                <w:noProof w:val="0"/>
              </w:rPr>
            </w:pPr>
            <w:r w:rsidRPr="00256982">
              <w:rPr>
                <w:noProof w:val="0"/>
              </w:rPr>
              <w:t>2009</w:t>
            </w:r>
          </w:p>
        </w:tc>
        <w:tc>
          <w:tcPr>
            <w:tcW w:w="1942" w:type="dxa"/>
            <w:tcBorders>
              <w:top w:val="single" w:sz="4" w:space="0" w:color="365F91"/>
              <w:bottom w:val="single" w:sz="4" w:space="0" w:color="365F91"/>
            </w:tcBorders>
            <w:shd w:val="clear" w:color="auto" w:fill="auto"/>
          </w:tcPr>
          <w:p w14:paraId="4BE68DE8" w14:textId="77777777" w:rsidR="00005A00" w:rsidRPr="00256982" w:rsidRDefault="00005A00" w:rsidP="00AA14F1">
            <w:pPr>
              <w:pStyle w:val="TableText"/>
              <w:spacing w:before="50" w:after="50"/>
              <w:jc w:val="center"/>
              <w:rPr>
                <w:highlight w:val="yellow"/>
              </w:rPr>
            </w:pPr>
            <w:r w:rsidRPr="00256982">
              <w:t>2,051.7</w:t>
            </w:r>
          </w:p>
        </w:tc>
        <w:tc>
          <w:tcPr>
            <w:tcW w:w="2168" w:type="dxa"/>
            <w:tcBorders>
              <w:top w:val="single" w:sz="4" w:space="0" w:color="365F91"/>
              <w:bottom w:val="single" w:sz="4" w:space="0" w:color="365F91"/>
            </w:tcBorders>
            <w:shd w:val="clear" w:color="auto" w:fill="auto"/>
          </w:tcPr>
          <w:p w14:paraId="66DEE235" w14:textId="77777777" w:rsidR="00005A00" w:rsidRPr="00256982" w:rsidRDefault="00005A00" w:rsidP="00AA14F1">
            <w:pPr>
              <w:pStyle w:val="TableText"/>
              <w:spacing w:before="50" w:after="50"/>
              <w:jc w:val="center"/>
              <w:rPr>
                <w:highlight w:val="yellow"/>
              </w:rPr>
            </w:pPr>
            <w:r w:rsidRPr="00256982">
              <w:t xml:space="preserve"> 631.4 </w:t>
            </w:r>
          </w:p>
        </w:tc>
        <w:tc>
          <w:tcPr>
            <w:tcW w:w="1843" w:type="dxa"/>
            <w:tcBorders>
              <w:top w:val="single" w:sz="4" w:space="0" w:color="365F91"/>
              <w:bottom w:val="single" w:sz="4" w:space="0" w:color="365F91"/>
            </w:tcBorders>
            <w:shd w:val="clear" w:color="auto" w:fill="auto"/>
          </w:tcPr>
          <w:p w14:paraId="0F98FECC" w14:textId="77777777" w:rsidR="00005A00" w:rsidRPr="00256982" w:rsidRDefault="00005A00" w:rsidP="00AA14F1">
            <w:pPr>
              <w:pStyle w:val="TableText"/>
              <w:spacing w:before="50" w:after="50"/>
              <w:jc w:val="center"/>
              <w:rPr>
                <w:highlight w:val="yellow"/>
              </w:rPr>
            </w:pPr>
            <w:r w:rsidRPr="00256982">
              <w:t>4.2</w:t>
            </w:r>
          </w:p>
        </w:tc>
        <w:tc>
          <w:tcPr>
            <w:tcW w:w="1559" w:type="dxa"/>
            <w:tcBorders>
              <w:top w:val="single" w:sz="4" w:space="0" w:color="365F91"/>
              <w:bottom w:val="single" w:sz="4" w:space="0" w:color="365F91"/>
            </w:tcBorders>
            <w:shd w:val="clear" w:color="auto" w:fill="auto"/>
          </w:tcPr>
          <w:p w14:paraId="7B738F07" w14:textId="77777777" w:rsidR="00005A00" w:rsidRPr="00256982" w:rsidRDefault="00005A00" w:rsidP="00AA14F1">
            <w:pPr>
              <w:pStyle w:val="TableText"/>
              <w:spacing w:before="50" w:after="50"/>
              <w:jc w:val="center"/>
              <w:rPr>
                <w:highlight w:val="yellow"/>
              </w:rPr>
            </w:pPr>
            <w:r w:rsidRPr="00256982">
              <w:t xml:space="preserve"> 2,687.3 </w:t>
            </w:r>
          </w:p>
        </w:tc>
      </w:tr>
      <w:tr w:rsidR="00005A00" w:rsidRPr="00256982" w14:paraId="76E79DA7" w14:textId="77777777" w:rsidTr="00AA14F1">
        <w:tc>
          <w:tcPr>
            <w:tcW w:w="993" w:type="dxa"/>
            <w:tcBorders>
              <w:top w:val="single" w:sz="4" w:space="0" w:color="365F91"/>
              <w:bottom w:val="single" w:sz="4" w:space="0" w:color="365F91"/>
            </w:tcBorders>
          </w:tcPr>
          <w:p w14:paraId="752BEA9D" w14:textId="77777777" w:rsidR="00005A00" w:rsidRPr="00256982" w:rsidRDefault="00005A00" w:rsidP="00AA14F1">
            <w:pPr>
              <w:pStyle w:val="TableTextBold"/>
              <w:spacing w:before="50" w:after="50"/>
              <w:rPr>
                <w:noProof w:val="0"/>
              </w:rPr>
            </w:pPr>
            <w:r w:rsidRPr="00256982">
              <w:rPr>
                <w:noProof w:val="0"/>
              </w:rPr>
              <w:t>2010</w:t>
            </w:r>
          </w:p>
        </w:tc>
        <w:tc>
          <w:tcPr>
            <w:tcW w:w="1942" w:type="dxa"/>
            <w:tcBorders>
              <w:top w:val="single" w:sz="4" w:space="0" w:color="365F91"/>
              <w:bottom w:val="single" w:sz="4" w:space="0" w:color="365F91"/>
            </w:tcBorders>
            <w:shd w:val="clear" w:color="auto" w:fill="auto"/>
          </w:tcPr>
          <w:p w14:paraId="30D48EDC" w14:textId="77777777" w:rsidR="00005A00" w:rsidRPr="00256982" w:rsidRDefault="00005A00" w:rsidP="00AA14F1">
            <w:pPr>
              <w:pStyle w:val="TableText"/>
              <w:spacing w:before="50" w:after="50"/>
              <w:jc w:val="center"/>
              <w:rPr>
                <w:highlight w:val="yellow"/>
              </w:rPr>
            </w:pPr>
            <w:r w:rsidRPr="00256982">
              <w:t>2,227.2</w:t>
            </w:r>
          </w:p>
        </w:tc>
        <w:tc>
          <w:tcPr>
            <w:tcW w:w="2168" w:type="dxa"/>
            <w:tcBorders>
              <w:top w:val="single" w:sz="4" w:space="0" w:color="365F91"/>
              <w:bottom w:val="single" w:sz="4" w:space="0" w:color="365F91"/>
            </w:tcBorders>
            <w:shd w:val="clear" w:color="auto" w:fill="auto"/>
          </w:tcPr>
          <w:p w14:paraId="65795148" w14:textId="77777777" w:rsidR="00005A00" w:rsidRPr="00256982" w:rsidRDefault="00005A00" w:rsidP="00AA14F1">
            <w:pPr>
              <w:pStyle w:val="TableText"/>
              <w:spacing w:before="50" w:after="50"/>
              <w:jc w:val="center"/>
              <w:rPr>
                <w:highlight w:val="yellow"/>
              </w:rPr>
            </w:pPr>
            <w:r w:rsidRPr="00256982">
              <w:t xml:space="preserve"> 284.2 </w:t>
            </w:r>
          </w:p>
        </w:tc>
        <w:tc>
          <w:tcPr>
            <w:tcW w:w="1843" w:type="dxa"/>
            <w:tcBorders>
              <w:top w:val="single" w:sz="4" w:space="0" w:color="365F91"/>
              <w:bottom w:val="single" w:sz="4" w:space="0" w:color="365F91"/>
            </w:tcBorders>
            <w:shd w:val="clear" w:color="auto" w:fill="auto"/>
          </w:tcPr>
          <w:p w14:paraId="7A301C4E" w14:textId="77777777" w:rsidR="00005A00" w:rsidRPr="00256982" w:rsidRDefault="00005A00" w:rsidP="00AA14F1">
            <w:pPr>
              <w:pStyle w:val="TableText"/>
              <w:spacing w:before="50" w:after="50"/>
              <w:jc w:val="center"/>
              <w:rPr>
                <w:highlight w:val="yellow"/>
              </w:rPr>
            </w:pPr>
            <w:r w:rsidRPr="00256982">
              <w:t>NO</w:t>
            </w:r>
          </w:p>
        </w:tc>
        <w:tc>
          <w:tcPr>
            <w:tcW w:w="1559" w:type="dxa"/>
            <w:tcBorders>
              <w:top w:val="single" w:sz="4" w:space="0" w:color="365F91"/>
              <w:bottom w:val="single" w:sz="4" w:space="0" w:color="365F91"/>
            </w:tcBorders>
            <w:shd w:val="clear" w:color="auto" w:fill="auto"/>
          </w:tcPr>
          <w:p w14:paraId="22BAE4C8" w14:textId="77777777" w:rsidR="00005A00" w:rsidRPr="00256982" w:rsidRDefault="00005A00" w:rsidP="00AA14F1">
            <w:pPr>
              <w:pStyle w:val="TableText"/>
              <w:spacing w:before="50" w:after="50"/>
              <w:jc w:val="center"/>
              <w:rPr>
                <w:highlight w:val="yellow"/>
              </w:rPr>
            </w:pPr>
            <w:r w:rsidRPr="00256982">
              <w:t xml:space="preserve"> 2,511.3 </w:t>
            </w:r>
          </w:p>
        </w:tc>
      </w:tr>
      <w:tr w:rsidR="00005A00" w:rsidRPr="00256982" w14:paraId="7823E86B" w14:textId="77777777" w:rsidTr="00AA14F1">
        <w:tc>
          <w:tcPr>
            <w:tcW w:w="993" w:type="dxa"/>
            <w:tcBorders>
              <w:top w:val="single" w:sz="4" w:space="0" w:color="365F91"/>
              <w:bottom w:val="single" w:sz="4" w:space="0" w:color="365F91"/>
            </w:tcBorders>
          </w:tcPr>
          <w:p w14:paraId="2E97F712" w14:textId="77777777" w:rsidR="00005A00" w:rsidRPr="00256982" w:rsidRDefault="00005A00" w:rsidP="00AA14F1">
            <w:pPr>
              <w:pStyle w:val="TableTextBold"/>
              <w:spacing w:before="50" w:after="50"/>
              <w:rPr>
                <w:noProof w:val="0"/>
              </w:rPr>
            </w:pPr>
            <w:r w:rsidRPr="00256982">
              <w:rPr>
                <w:noProof w:val="0"/>
              </w:rPr>
              <w:t>2011</w:t>
            </w:r>
          </w:p>
        </w:tc>
        <w:tc>
          <w:tcPr>
            <w:tcW w:w="1942" w:type="dxa"/>
            <w:tcBorders>
              <w:top w:val="single" w:sz="4" w:space="0" w:color="365F91"/>
              <w:bottom w:val="single" w:sz="4" w:space="0" w:color="365F91"/>
            </w:tcBorders>
            <w:shd w:val="clear" w:color="auto" w:fill="auto"/>
          </w:tcPr>
          <w:p w14:paraId="16EE3A7E" w14:textId="77777777" w:rsidR="00005A00" w:rsidRPr="00256982" w:rsidRDefault="00005A00" w:rsidP="00AA14F1">
            <w:pPr>
              <w:pStyle w:val="TableText"/>
              <w:spacing w:before="50" w:after="50"/>
              <w:jc w:val="center"/>
              <w:rPr>
                <w:highlight w:val="yellow"/>
              </w:rPr>
            </w:pPr>
            <w:r w:rsidRPr="00256982">
              <w:t>2,189.4</w:t>
            </w:r>
          </w:p>
        </w:tc>
        <w:tc>
          <w:tcPr>
            <w:tcW w:w="2168" w:type="dxa"/>
            <w:tcBorders>
              <w:top w:val="single" w:sz="4" w:space="0" w:color="365F91"/>
              <w:bottom w:val="single" w:sz="4" w:space="0" w:color="365F91"/>
            </w:tcBorders>
            <w:shd w:val="clear" w:color="auto" w:fill="auto"/>
          </w:tcPr>
          <w:p w14:paraId="4C46BC27" w14:textId="77777777" w:rsidR="00005A00" w:rsidRPr="00256982" w:rsidRDefault="00005A00" w:rsidP="00AA14F1">
            <w:pPr>
              <w:pStyle w:val="TableText"/>
              <w:spacing w:before="50" w:after="50"/>
              <w:jc w:val="center"/>
              <w:rPr>
                <w:highlight w:val="yellow"/>
              </w:rPr>
            </w:pPr>
            <w:r w:rsidRPr="00256982">
              <w:t xml:space="preserve"> 272.1 </w:t>
            </w:r>
          </w:p>
        </w:tc>
        <w:tc>
          <w:tcPr>
            <w:tcW w:w="1843" w:type="dxa"/>
            <w:tcBorders>
              <w:top w:val="single" w:sz="4" w:space="0" w:color="365F91"/>
              <w:bottom w:val="single" w:sz="4" w:space="0" w:color="365F91"/>
            </w:tcBorders>
            <w:shd w:val="clear" w:color="auto" w:fill="auto"/>
          </w:tcPr>
          <w:p w14:paraId="50AD0FD7" w14:textId="77777777" w:rsidR="00005A00" w:rsidRPr="00256982" w:rsidRDefault="00005A00" w:rsidP="00AA14F1">
            <w:pPr>
              <w:pStyle w:val="TableText"/>
              <w:spacing w:before="50" w:after="50"/>
              <w:jc w:val="center"/>
              <w:rPr>
                <w:highlight w:val="yellow"/>
              </w:rPr>
            </w:pPr>
            <w:r w:rsidRPr="00256982">
              <w:t>NO</w:t>
            </w:r>
          </w:p>
        </w:tc>
        <w:tc>
          <w:tcPr>
            <w:tcW w:w="1559" w:type="dxa"/>
            <w:tcBorders>
              <w:top w:val="single" w:sz="4" w:space="0" w:color="365F91"/>
              <w:bottom w:val="single" w:sz="4" w:space="0" w:color="365F91"/>
            </w:tcBorders>
            <w:shd w:val="clear" w:color="auto" w:fill="auto"/>
          </w:tcPr>
          <w:p w14:paraId="1A45859F" w14:textId="77777777" w:rsidR="00005A00" w:rsidRPr="00256982" w:rsidRDefault="00005A00" w:rsidP="00AA14F1">
            <w:pPr>
              <w:pStyle w:val="TableText"/>
              <w:spacing w:before="50" w:after="50"/>
              <w:jc w:val="center"/>
              <w:rPr>
                <w:highlight w:val="yellow"/>
              </w:rPr>
            </w:pPr>
            <w:r w:rsidRPr="00256982">
              <w:t xml:space="preserve"> 2,461.5 </w:t>
            </w:r>
          </w:p>
        </w:tc>
      </w:tr>
      <w:tr w:rsidR="00005A00" w:rsidRPr="00256982" w14:paraId="6179864D" w14:textId="77777777" w:rsidTr="00AA14F1">
        <w:tc>
          <w:tcPr>
            <w:tcW w:w="993" w:type="dxa"/>
            <w:tcBorders>
              <w:top w:val="single" w:sz="4" w:space="0" w:color="365F91"/>
              <w:bottom w:val="single" w:sz="4" w:space="0" w:color="365F91"/>
            </w:tcBorders>
          </w:tcPr>
          <w:p w14:paraId="149851E7" w14:textId="77777777" w:rsidR="00005A00" w:rsidRPr="00256982" w:rsidRDefault="00005A00" w:rsidP="00AA14F1">
            <w:pPr>
              <w:pStyle w:val="TableTextBold"/>
              <w:spacing w:before="50" w:after="50"/>
              <w:rPr>
                <w:noProof w:val="0"/>
              </w:rPr>
            </w:pPr>
            <w:r w:rsidRPr="00256982">
              <w:rPr>
                <w:noProof w:val="0"/>
              </w:rPr>
              <w:t>2012</w:t>
            </w:r>
          </w:p>
        </w:tc>
        <w:tc>
          <w:tcPr>
            <w:tcW w:w="1942" w:type="dxa"/>
            <w:tcBorders>
              <w:top w:val="single" w:sz="4" w:space="0" w:color="365F91"/>
              <w:bottom w:val="single" w:sz="4" w:space="0" w:color="365F91"/>
            </w:tcBorders>
            <w:shd w:val="clear" w:color="auto" w:fill="auto"/>
          </w:tcPr>
          <w:p w14:paraId="328AB64D" w14:textId="77777777" w:rsidR="00005A00" w:rsidRPr="00256982" w:rsidRDefault="00005A00" w:rsidP="00AA14F1">
            <w:pPr>
              <w:pStyle w:val="TableText"/>
              <w:spacing w:before="50" w:after="50"/>
              <w:jc w:val="center"/>
              <w:rPr>
                <w:highlight w:val="yellow"/>
              </w:rPr>
            </w:pPr>
            <w:r w:rsidRPr="00256982">
              <w:t>2,239.8</w:t>
            </w:r>
          </w:p>
        </w:tc>
        <w:tc>
          <w:tcPr>
            <w:tcW w:w="2168" w:type="dxa"/>
            <w:tcBorders>
              <w:top w:val="single" w:sz="4" w:space="0" w:color="365F91"/>
              <w:bottom w:val="single" w:sz="4" w:space="0" w:color="365F91"/>
            </w:tcBorders>
            <w:shd w:val="clear" w:color="auto" w:fill="auto"/>
          </w:tcPr>
          <w:p w14:paraId="0E808855" w14:textId="77777777" w:rsidR="00005A00" w:rsidRPr="00256982" w:rsidRDefault="00005A00" w:rsidP="00AA14F1">
            <w:pPr>
              <w:pStyle w:val="TableText"/>
              <w:spacing w:before="50" w:after="50"/>
              <w:jc w:val="center"/>
              <w:rPr>
                <w:highlight w:val="yellow"/>
              </w:rPr>
            </w:pPr>
            <w:r w:rsidRPr="00256982">
              <w:t xml:space="preserve"> 270.8 </w:t>
            </w:r>
          </w:p>
        </w:tc>
        <w:tc>
          <w:tcPr>
            <w:tcW w:w="1843" w:type="dxa"/>
            <w:tcBorders>
              <w:top w:val="single" w:sz="4" w:space="0" w:color="365F91"/>
              <w:bottom w:val="single" w:sz="4" w:space="0" w:color="365F91"/>
            </w:tcBorders>
            <w:shd w:val="clear" w:color="auto" w:fill="auto"/>
          </w:tcPr>
          <w:p w14:paraId="73FAEEFB" w14:textId="77777777" w:rsidR="00005A00" w:rsidRPr="00256982" w:rsidRDefault="00005A00" w:rsidP="00AA14F1">
            <w:pPr>
              <w:pStyle w:val="TableText"/>
              <w:spacing w:before="50" w:after="50"/>
              <w:jc w:val="center"/>
              <w:rPr>
                <w:highlight w:val="yellow"/>
              </w:rPr>
            </w:pPr>
            <w:r w:rsidRPr="00256982">
              <w:t>NO</w:t>
            </w:r>
          </w:p>
        </w:tc>
        <w:tc>
          <w:tcPr>
            <w:tcW w:w="1559" w:type="dxa"/>
            <w:tcBorders>
              <w:top w:val="single" w:sz="4" w:space="0" w:color="365F91"/>
              <w:bottom w:val="single" w:sz="4" w:space="0" w:color="365F91"/>
            </w:tcBorders>
            <w:shd w:val="clear" w:color="auto" w:fill="auto"/>
          </w:tcPr>
          <w:p w14:paraId="7CAF05AC" w14:textId="77777777" w:rsidR="00005A00" w:rsidRPr="00256982" w:rsidRDefault="00005A00" w:rsidP="00AA14F1">
            <w:pPr>
              <w:pStyle w:val="TableText"/>
              <w:spacing w:before="50" w:after="50"/>
              <w:jc w:val="center"/>
              <w:rPr>
                <w:highlight w:val="yellow"/>
              </w:rPr>
            </w:pPr>
            <w:r w:rsidRPr="00256982">
              <w:t xml:space="preserve"> 2,510.7 </w:t>
            </w:r>
          </w:p>
        </w:tc>
      </w:tr>
      <w:tr w:rsidR="00005A00" w:rsidRPr="00256982" w14:paraId="47F9F795" w14:textId="77777777" w:rsidTr="00AA14F1">
        <w:tc>
          <w:tcPr>
            <w:tcW w:w="993" w:type="dxa"/>
            <w:tcBorders>
              <w:top w:val="single" w:sz="4" w:space="0" w:color="365F91"/>
              <w:bottom w:val="single" w:sz="4" w:space="0" w:color="365F91"/>
            </w:tcBorders>
          </w:tcPr>
          <w:p w14:paraId="0E222AB1" w14:textId="77777777" w:rsidR="00005A00" w:rsidRPr="00256982" w:rsidRDefault="00005A00" w:rsidP="00AA14F1">
            <w:pPr>
              <w:pStyle w:val="TableTextBold"/>
              <w:spacing w:before="50" w:after="50"/>
              <w:rPr>
                <w:noProof w:val="0"/>
              </w:rPr>
            </w:pPr>
            <w:r w:rsidRPr="00256982">
              <w:rPr>
                <w:noProof w:val="0"/>
              </w:rPr>
              <w:t>2013</w:t>
            </w:r>
          </w:p>
        </w:tc>
        <w:tc>
          <w:tcPr>
            <w:tcW w:w="1942" w:type="dxa"/>
            <w:tcBorders>
              <w:top w:val="single" w:sz="4" w:space="0" w:color="365F91"/>
              <w:bottom w:val="single" w:sz="4" w:space="0" w:color="365F91"/>
            </w:tcBorders>
            <w:shd w:val="clear" w:color="auto" w:fill="auto"/>
          </w:tcPr>
          <w:p w14:paraId="4FCC7F4C" w14:textId="77777777" w:rsidR="00005A00" w:rsidRPr="00256982" w:rsidRDefault="00005A00" w:rsidP="00AA14F1">
            <w:pPr>
              <w:pStyle w:val="TableText"/>
              <w:spacing w:before="50" w:after="50"/>
              <w:jc w:val="center"/>
              <w:rPr>
                <w:highlight w:val="yellow"/>
              </w:rPr>
            </w:pPr>
            <w:r w:rsidRPr="00256982">
              <w:t>2,425.6</w:t>
            </w:r>
          </w:p>
        </w:tc>
        <w:tc>
          <w:tcPr>
            <w:tcW w:w="2168" w:type="dxa"/>
            <w:tcBorders>
              <w:top w:val="single" w:sz="4" w:space="0" w:color="365F91"/>
              <w:bottom w:val="single" w:sz="4" w:space="0" w:color="365F91"/>
            </w:tcBorders>
            <w:shd w:val="clear" w:color="auto" w:fill="auto"/>
          </w:tcPr>
          <w:p w14:paraId="733C6CE2" w14:textId="77777777" w:rsidR="00005A00" w:rsidRPr="00256982" w:rsidRDefault="00005A00" w:rsidP="00AA14F1">
            <w:pPr>
              <w:pStyle w:val="TableText"/>
              <w:spacing w:before="50" w:after="50"/>
              <w:jc w:val="center"/>
              <w:rPr>
                <w:highlight w:val="yellow"/>
              </w:rPr>
            </w:pPr>
            <w:r w:rsidRPr="00256982">
              <w:t xml:space="preserve"> 258.8 </w:t>
            </w:r>
          </w:p>
        </w:tc>
        <w:tc>
          <w:tcPr>
            <w:tcW w:w="1843" w:type="dxa"/>
            <w:tcBorders>
              <w:top w:val="single" w:sz="4" w:space="0" w:color="365F91"/>
              <w:bottom w:val="single" w:sz="4" w:space="0" w:color="365F91"/>
            </w:tcBorders>
            <w:shd w:val="clear" w:color="auto" w:fill="auto"/>
          </w:tcPr>
          <w:p w14:paraId="702A17FA" w14:textId="77777777" w:rsidR="00005A00" w:rsidRPr="00256982" w:rsidRDefault="00005A00" w:rsidP="00AA14F1">
            <w:pPr>
              <w:pStyle w:val="TableText"/>
              <w:spacing w:before="50" w:after="50"/>
              <w:jc w:val="center"/>
              <w:rPr>
                <w:highlight w:val="yellow"/>
              </w:rPr>
            </w:pPr>
            <w:r w:rsidRPr="00256982">
              <w:t>NO</w:t>
            </w:r>
          </w:p>
        </w:tc>
        <w:tc>
          <w:tcPr>
            <w:tcW w:w="1559" w:type="dxa"/>
            <w:tcBorders>
              <w:top w:val="single" w:sz="4" w:space="0" w:color="365F91"/>
              <w:bottom w:val="single" w:sz="4" w:space="0" w:color="365F91"/>
            </w:tcBorders>
            <w:shd w:val="clear" w:color="auto" w:fill="auto"/>
          </w:tcPr>
          <w:p w14:paraId="19E6D805" w14:textId="77777777" w:rsidR="00005A00" w:rsidRPr="00256982" w:rsidRDefault="00005A00" w:rsidP="00AA14F1">
            <w:pPr>
              <w:pStyle w:val="TableText"/>
              <w:spacing w:before="50" w:after="50"/>
              <w:jc w:val="center"/>
              <w:rPr>
                <w:highlight w:val="yellow"/>
              </w:rPr>
            </w:pPr>
            <w:r w:rsidRPr="00256982">
              <w:t xml:space="preserve"> 2,684.4 </w:t>
            </w:r>
          </w:p>
        </w:tc>
      </w:tr>
      <w:tr w:rsidR="00005A00" w:rsidRPr="00256982" w14:paraId="1DAA0BE7" w14:textId="77777777" w:rsidTr="00AA14F1">
        <w:tc>
          <w:tcPr>
            <w:tcW w:w="993" w:type="dxa"/>
            <w:tcBorders>
              <w:top w:val="single" w:sz="4" w:space="0" w:color="365F91"/>
              <w:bottom w:val="single" w:sz="4" w:space="0" w:color="365F91"/>
            </w:tcBorders>
          </w:tcPr>
          <w:p w14:paraId="5B9BD8B5" w14:textId="77777777" w:rsidR="00005A00" w:rsidRPr="00256982" w:rsidRDefault="00005A00" w:rsidP="00AA14F1">
            <w:pPr>
              <w:pStyle w:val="TableTextBold"/>
              <w:spacing w:before="50" w:after="50"/>
              <w:rPr>
                <w:noProof w:val="0"/>
              </w:rPr>
            </w:pPr>
            <w:r w:rsidRPr="00256982">
              <w:rPr>
                <w:noProof w:val="0"/>
              </w:rPr>
              <w:t>2014</w:t>
            </w:r>
          </w:p>
        </w:tc>
        <w:tc>
          <w:tcPr>
            <w:tcW w:w="1942" w:type="dxa"/>
            <w:tcBorders>
              <w:top w:val="single" w:sz="4" w:space="0" w:color="365F91"/>
              <w:bottom w:val="single" w:sz="4" w:space="0" w:color="365F91"/>
            </w:tcBorders>
            <w:shd w:val="clear" w:color="auto" w:fill="auto"/>
          </w:tcPr>
          <w:p w14:paraId="04D57FD5" w14:textId="77777777" w:rsidR="00005A00" w:rsidRPr="00256982" w:rsidRDefault="00005A00" w:rsidP="00AA14F1">
            <w:pPr>
              <w:pStyle w:val="TableText"/>
              <w:spacing w:before="50" w:after="50"/>
              <w:jc w:val="center"/>
              <w:rPr>
                <w:highlight w:val="yellow"/>
              </w:rPr>
            </w:pPr>
            <w:r w:rsidRPr="00256982">
              <w:t>2,677.4</w:t>
            </w:r>
          </w:p>
        </w:tc>
        <w:tc>
          <w:tcPr>
            <w:tcW w:w="2168" w:type="dxa"/>
            <w:tcBorders>
              <w:top w:val="single" w:sz="4" w:space="0" w:color="365F91"/>
              <w:bottom w:val="single" w:sz="4" w:space="0" w:color="365F91"/>
            </w:tcBorders>
            <w:shd w:val="clear" w:color="auto" w:fill="auto"/>
          </w:tcPr>
          <w:p w14:paraId="0D95CD52" w14:textId="77777777" w:rsidR="00005A00" w:rsidRPr="00256982" w:rsidRDefault="00005A00" w:rsidP="00AA14F1">
            <w:pPr>
              <w:pStyle w:val="TableText"/>
              <w:spacing w:before="50" w:after="50"/>
              <w:jc w:val="center"/>
              <w:rPr>
                <w:highlight w:val="yellow"/>
              </w:rPr>
            </w:pPr>
            <w:r w:rsidRPr="00256982">
              <w:t xml:space="preserve"> 253.8 </w:t>
            </w:r>
          </w:p>
        </w:tc>
        <w:tc>
          <w:tcPr>
            <w:tcW w:w="1843" w:type="dxa"/>
            <w:tcBorders>
              <w:top w:val="single" w:sz="4" w:space="0" w:color="365F91"/>
              <w:bottom w:val="single" w:sz="4" w:space="0" w:color="365F91"/>
            </w:tcBorders>
            <w:shd w:val="clear" w:color="auto" w:fill="auto"/>
          </w:tcPr>
          <w:p w14:paraId="46F28C72" w14:textId="77777777" w:rsidR="00005A00" w:rsidRPr="00256982" w:rsidRDefault="00005A00" w:rsidP="00AA14F1">
            <w:pPr>
              <w:pStyle w:val="TableText"/>
              <w:spacing w:before="50" w:after="50"/>
              <w:jc w:val="center"/>
              <w:rPr>
                <w:highlight w:val="yellow"/>
              </w:rPr>
            </w:pPr>
            <w:r w:rsidRPr="00256982">
              <w:t>NO</w:t>
            </w:r>
          </w:p>
        </w:tc>
        <w:tc>
          <w:tcPr>
            <w:tcW w:w="1559" w:type="dxa"/>
            <w:tcBorders>
              <w:top w:val="single" w:sz="4" w:space="0" w:color="365F91"/>
              <w:bottom w:val="single" w:sz="4" w:space="0" w:color="365F91"/>
            </w:tcBorders>
            <w:shd w:val="clear" w:color="auto" w:fill="auto"/>
          </w:tcPr>
          <w:p w14:paraId="6202BA18" w14:textId="77777777" w:rsidR="00005A00" w:rsidRPr="00256982" w:rsidRDefault="00005A00" w:rsidP="00AA14F1">
            <w:pPr>
              <w:pStyle w:val="TableText"/>
              <w:spacing w:before="50" w:after="50"/>
              <w:jc w:val="center"/>
              <w:rPr>
                <w:highlight w:val="yellow"/>
              </w:rPr>
            </w:pPr>
            <w:r w:rsidRPr="00256982">
              <w:t xml:space="preserve"> 2,931.2 </w:t>
            </w:r>
          </w:p>
        </w:tc>
      </w:tr>
      <w:tr w:rsidR="00005A00" w:rsidRPr="00256982" w14:paraId="25611938" w14:textId="77777777" w:rsidTr="00AA14F1">
        <w:tc>
          <w:tcPr>
            <w:tcW w:w="993" w:type="dxa"/>
            <w:tcBorders>
              <w:top w:val="single" w:sz="4" w:space="0" w:color="365F91"/>
              <w:bottom w:val="single" w:sz="4" w:space="0" w:color="365F91"/>
            </w:tcBorders>
          </w:tcPr>
          <w:p w14:paraId="1F9766F3" w14:textId="77777777" w:rsidR="00005A00" w:rsidRPr="00256982" w:rsidRDefault="00005A00" w:rsidP="00AA14F1">
            <w:pPr>
              <w:pStyle w:val="TableTextBold"/>
              <w:spacing w:before="50" w:after="50"/>
              <w:rPr>
                <w:noProof w:val="0"/>
              </w:rPr>
            </w:pPr>
            <w:r w:rsidRPr="00256982">
              <w:rPr>
                <w:noProof w:val="0"/>
              </w:rPr>
              <w:t>2015</w:t>
            </w:r>
          </w:p>
        </w:tc>
        <w:tc>
          <w:tcPr>
            <w:tcW w:w="1942" w:type="dxa"/>
            <w:tcBorders>
              <w:top w:val="single" w:sz="4" w:space="0" w:color="365F91"/>
              <w:bottom w:val="single" w:sz="4" w:space="0" w:color="365F91"/>
            </w:tcBorders>
            <w:shd w:val="clear" w:color="auto" w:fill="auto"/>
          </w:tcPr>
          <w:p w14:paraId="0E553D71" w14:textId="77777777" w:rsidR="00005A00" w:rsidRPr="00256982" w:rsidRDefault="00005A00" w:rsidP="00AA14F1">
            <w:pPr>
              <w:pStyle w:val="TableText"/>
              <w:spacing w:before="50" w:after="50"/>
              <w:jc w:val="center"/>
              <w:rPr>
                <w:highlight w:val="yellow"/>
              </w:rPr>
            </w:pPr>
            <w:r w:rsidRPr="00256982">
              <w:t>2,942.2</w:t>
            </w:r>
          </w:p>
        </w:tc>
        <w:tc>
          <w:tcPr>
            <w:tcW w:w="2168" w:type="dxa"/>
            <w:tcBorders>
              <w:top w:val="single" w:sz="4" w:space="0" w:color="365F91"/>
              <w:bottom w:val="single" w:sz="4" w:space="0" w:color="365F91"/>
            </w:tcBorders>
            <w:shd w:val="clear" w:color="auto" w:fill="auto"/>
          </w:tcPr>
          <w:p w14:paraId="7722BE43" w14:textId="77777777" w:rsidR="00005A00" w:rsidRPr="00256982" w:rsidRDefault="00005A00" w:rsidP="00AA14F1">
            <w:pPr>
              <w:pStyle w:val="TableText"/>
              <w:spacing w:before="50" w:after="50"/>
              <w:jc w:val="center"/>
              <w:rPr>
                <w:highlight w:val="yellow"/>
              </w:rPr>
            </w:pPr>
            <w:r w:rsidRPr="00256982">
              <w:t xml:space="preserve"> 266.2 </w:t>
            </w:r>
          </w:p>
        </w:tc>
        <w:tc>
          <w:tcPr>
            <w:tcW w:w="1843" w:type="dxa"/>
            <w:tcBorders>
              <w:top w:val="single" w:sz="4" w:space="0" w:color="365F91"/>
              <w:bottom w:val="single" w:sz="4" w:space="0" w:color="365F91"/>
            </w:tcBorders>
            <w:shd w:val="clear" w:color="auto" w:fill="auto"/>
          </w:tcPr>
          <w:p w14:paraId="0AEA029C" w14:textId="77777777" w:rsidR="00005A00" w:rsidRPr="00256982" w:rsidRDefault="00005A00" w:rsidP="00AA14F1">
            <w:pPr>
              <w:pStyle w:val="TableText"/>
              <w:spacing w:before="50" w:after="50"/>
              <w:jc w:val="center"/>
              <w:rPr>
                <w:highlight w:val="yellow"/>
              </w:rPr>
            </w:pPr>
            <w:r w:rsidRPr="00256982">
              <w:t>NO</w:t>
            </w:r>
          </w:p>
        </w:tc>
        <w:tc>
          <w:tcPr>
            <w:tcW w:w="1559" w:type="dxa"/>
            <w:tcBorders>
              <w:top w:val="single" w:sz="4" w:space="0" w:color="365F91"/>
              <w:bottom w:val="single" w:sz="4" w:space="0" w:color="365F91"/>
            </w:tcBorders>
            <w:shd w:val="clear" w:color="auto" w:fill="auto"/>
          </w:tcPr>
          <w:p w14:paraId="4E72CE4C" w14:textId="77777777" w:rsidR="00005A00" w:rsidRPr="00256982" w:rsidRDefault="00005A00" w:rsidP="00AA14F1">
            <w:pPr>
              <w:pStyle w:val="TableText"/>
              <w:spacing w:before="50" w:after="50"/>
              <w:jc w:val="center"/>
              <w:rPr>
                <w:highlight w:val="yellow"/>
              </w:rPr>
            </w:pPr>
            <w:r w:rsidRPr="00256982">
              <w:t xml:space="preserve"> 3,208.4 </w:t>
            </w:r>
          </w:p>
        </w:tc>
      </w:tr>
      <w:tr w:rsidR="00005A00" w:rsidRPr="00256982" w14:paraId="76182A5E" w14:textId="77777777" w:rsidTr="00AA14F1">
        <w:tc>
          <w:tcPr>
            <w:tcW w:w="993" w:type="dxa"/>
            <w:tcBorders>
              <w:top w:val="single" w:sz="4" w:space="0" w:color="365F91"/>
              <w:bottom w:val="single" w:sz="4" w:space="0" w:color="365F91"/>
            </w:tcBorders>
          </w:tcPr>
          <w:p w14:paraId="19114A7E" w14:textId="77777777" w:rsidR="00005A00" w:rsidRPr="00256982" w:rsidRDefault="00005A00" w:rsidP="00AA14F1">
            <w:pPr>
              <w:pStyle w:val="TableTextBold"/>
              <w:spacing w:before="50" w:after="50"/>
              <w:rPr>
                <w:noProof w:val="0"/>
              </w:rPr>
            </w:pPr>
            <w:r w:rsidRPr="00256982">
              <w:rPr>
                <w:noProof w:val="0"/>
              </w:rPr>
              <w:t>2016</w:t>
            </w:r>
          </w:p>
        </w:tc>
        <w:tc>
          <w:tcPr>
            <w:tcW w:w="1942" w:type="dxa"/>
            <w:tcBorders>
              <w:top w:val="single" w:sz="4" w:space="0" w:color="365F91"/>
              <w:bottom w:val="single" w:sz="4" w:space="0" w:color="365F91"/>
            </w:tcBorders>
            <w:shd w:val="clear" w:color="auto" w:fill="auto"/>
          </w:tcPr>
          <w:p w14:paraId="476392BF" w14:textId="77777777" w:rsidR="00005A00" w:rsidRPr="00256982" w:rsidRDefault="00005A00" w:rsidP="00AA14F1">
            <w:pPr>
              <w:pStyle w:val="TableText"/>
              <w:spacing w:before="50" w:after="50"/>
              <w:jc w:val="center"/>
              <w:rPr>
                <w:highlight w:val="yellow"/>
              </w:rPr>
            </w:pPr>
            <w:r w:rsidRPr="00256982">
              <w:t>3,139.6</w:t>
            </w:r>
          </w:p>
        </w:tc>
        <w:tc>
          <w:tcPr>
            <w:tcW w:w="2168" w:type="dxa"/>
            <w:tcBorders>
              <w:top w:val="single" w:sz="4" w:space="0" w:color="365F91"/>
              <w:bottom w:val="single" w:sz="4" w:space="0" w:color="365F91"/>
            </w:tcBorders>
            <w:shd w:val="clear" w:color="auto" w:fill="auto"/>
          </w:tcPr>
          <w:p w14:paraId="52019475" w14:textId="77777777" w:rsidR="00005A00" w:rsidRPr="00256982" w:rsidRDefault="00005A00" w:rsidP="00AA14F1">
            <w:pPr>
              <w:pStyle w:val="TableText"/>
              <w:spacing w:before="50" w:after="50"/>
              <w:jc w:val="center"/>
              <w:rPr>
                <w:highlight w:val="yellow"/>
              </w:rPr>
            </w:pPr>
            <w:r w:rsidRPr="00256982">
              <w:t xml:space="preserve"> 266.2 </w:t>
            </w:r>
          </w:p>
        </w:tc>
        <w:tc>
          <w:tcPr>
            <w:tcW w:w="1843" w:type="dxa"/>
            <w:tcBorders>
              <w:top w:val="single" w:sz="4" w:space="0" w:color="365F91"/>
              <w:bottom w:val="single" w:sz="4" w:space="0" w:color="365F91"/>
            </w:tcBorders>
            <w:shd w:val="clear" w:color="auto" w:fill="auto"/>
          </w:tcPr>
          <w:p w14:paraId="21A93C00" w14:textId="77777777" w:rsidR="00005A00" w:rsidRPr="00256982" w:rsidRDefault="00005A00" w:rsidP="00AA14F1">
            <w:pPr>
              <w:pStyle w:val="TableText"/>
              <w:spacing w:before="50" w:after="50"/>
              <w:jc w:val="center"/>
              <w:rPr>
                <w:highlight w:val="yellow"/>
              </w:rPr>
            </w:pPr>
            <w:r w:rsidRPr="00256982">
              <w:t>NO</w:t>
            </w:r>
          </w:p>
        </w:tc>
        <w:tc>
          <w:tcPr>
            <w:tcW w:w="1559" w:type="dxa"/>
            <w:tcBorders>
              <w:top w:val="single" w:sz="4" w:space="0" w:color="365F91"/>
              <w:bottom w:val="single" w:sz="4" w:space="0" w:color="365F91"/>
            </w:tcBorders>
            <w:shd w:val="clear" w:color="auto" w:fill="auto"/>
          </w:tcPr>
          <w:p w14:paraId="746F8A43" w14:textId="77777777" w:rsidR="00005A00" w:rsidRPr="00256982" w:rsidRDefault="00005A00" w:rsidP="00AA14F1">
            <w:pPr>
              <w:pStyle w:val="TableText"/>
              <w:spacing w:before="50" w:after="50"/>
              <w:jc w:val="center"/>
              <w:rPr>
                <w:highlight w:val="yellow"/>
              </w:rPr>
            </w:pPr>
            <w:r w:rsidRPr="00256982">
              <w:t xml:space="preserve"> 3,405.8 </w:t>
            </w:r>
          </w:p>
        </w:tc>
      </w:tr>
      <w:tr w:rsidR="00005A00" w:rsidRPr="00256982" w14:paraId="66AAEA85" w14:textId="77777777" w:rsidTr="00AA14F1">
        <w:tc>
          <w:tcPr>
            <w:tcW w:w="993" w:type="dxa"/>
            <w:tcBorders>
              <w:top w:val="single" w:sz="4" w:space="0" w:color="365F91"/>
              <w:bottom w:val="single" w:sz="4" w:space="0" w:color="365F91"/>
            </w:tcBorders>
          </w:tcPr>
          <w:p w14:paraId="181E4612" w14:textId="77777777" w:rsidR="00005A00" w:rsidRPr="00256982" w:rsidRDefault="00005A00" w:rsidP="00AA14F1">
            <w:pPr>
              <w:pStyle w:val="TableTextBold"/>
              <w:spacing w:before="50" w:after="50"/>
              <w:rPr>
                <w:noProof w:val="0"/>
              </w:rPr>
            </w:pPr>
            <w:r w:rsidRPr="00256982">
              <w:rPr>
                <w:noProof w:val="0"/>
              </w:rPr>
              <w:t>2017</w:t>
            </w:r>
          </w:p>
        </w:tc>
        <w:tc>
          <w:tcPr>
            <w:tcW w:w="1942" w:type="dxa"/>
            <w:tcBorders>
              <w:top w:val="single" w:sz="4" w:space="0" w:color="365F91"/>
              <w:bottom w:val="single" w:sz="4" w:space="0" w:color="365F91"/>
            </w:tcBorders>
            <w:shd w:val="clear" w:color="auto" w:fill="auto"/>
          </w:tcPr>
          <w:p w14:paraId="5C72E5FF" w14:textId="77777777" w:rsidR="00005A00" w:rsidRPr="00256982" w:rsidRDefault="00005A00" w:rsidP="00AA14F1">
            <w:pPr>
              <w:pStyle w:val="TableText"/>
              <w:spacing w:before="50" w:after="50"/>
              <w:jc w:val="center"/>
            </w:pPr>
            <w:r w:rsidRPr="00256982">
              <w:t>3,259.8</w:t>
            </w:r>
          </w:p>
        </w:tc>
        <w:tc>
          <w:tcPr>
            <w:tcW w:w="2168" w:type="dxa"/>
            <w:tcBorders>
              <w:top w:val="single" w:sz="4" w:space="0" w:color="365F91"/>
              <w:bottom w:val="single" w:sz="4" w:space="0" w:color="365F91"/>
            </w:tcBorders>
            <w:shd w:val="clear" w:color="auto" w:fill="auto"/>
          </w:tcPr>
          <w:p w14:paraId="3EEE5016" w14:textId="77777777" w:rsidR="00005A00" w:rsidRPr="00256982" w:rsidRDefault="00005A00" w:rsidP="00AA14F1">
            <w:pPr>
              <w:pStyle w:val="TableText"/>
              <w:spacing w:before="50" w:after="50"/>
              <w:jc w:val="center"/>
            </w:pPr>
            <w:r w:rsidRPr="00256982">
              <w:t xml:space="preserve"> 234.9 </w:t>
            </w:r>
          </w:p>
        </w:tc>
        <w:tc>
          <w:tcPr>
            <w:tcW w:w="1843" w:type="dxa"/>
            <w:tcBorders>
              <w:top w:val="single" w:sz="4" w:space="0" w:color="365F91"/>
              <w:bottom w:val="single" w:sz="4" w:space="0" w:color="365F91"/>
            </w:tcBorders>
            <w:shd w:val="clear" w:color="auto" w:fill="auto"/>
          </w:tcPr>
          <w:p w14:paraId="57833DC6" w14:textId="77777777" w:rsidR="00005A00" w:rsidRPr="00256982" w:rsidRDefault="00005A00" w:rsidP="00AA14F1">
            <w:pPr>
              <w:pStyle w:val="TableText"/>
              <w:spacing w:before="50" w:after="50"/>
              <w:jc w:val="center"/>
            </w:pPr>
            <w:r w:rsidRPr="00256982">
              <w:t>NO</w:t>
            </w:r>
          </w:p>
        </w:tc>
        <w:tc>
          <w:tcPr>
            <w:tcW w:w="1559" w:type="dxa"/>
            <w:tcBorders>
              <w:top w:val="single" w:sz="4" w:space="0" w:color="365F91"/>
              <w:bottom w:val="single" w:sz="4" w:space="0" w:color="365F91"/>
            </w:tcBorders>
            <w:shd w:val="clear" w:color="auto" w:fill="auto"/>
          </w:tcPr>
          <w:p w14:paraId="60E5B057" w14:textId="77777777" w:rsidR="00005A00" w:rsidRPr="00256982" w:rsidRDefault="00005A00" w:rsidP="00AA14F1">
            <w:pPr>
              <w:pStyle w:val="TableText"/>
              <w:spacing w:before="50" w:after="50"/>
              <w:jc w:val="center"/>
            </w:pPr>
            <w:r w:rsidRPr="00256982">
              <w:t xml:space="preserve"> 3,494.7 </w:t>
            </w:r>
          </w:p>
        </w:tc>
      </w:tr>
    </w:tbl>
    <w:p w14:paraId="45F3E641" w14:textId="77777777" w:rsidR="00005A00" w:rsidRPr="00256982" w:rsidRDefault="00005A00" w:rsidP="00005A00">
      <w:pPr>
        <w:pStyle w:val="Noteundertable"/>
      </w:pPr>
      <w:r w:rsidRPr="00256982">
        <w:rPr>
          <w:b/>
        </w:rPr>
        <w:t>Note:</w:t>
      </w:r>
      <w:r w:rsidRPr="00256982">
        <w:t xml:space="preserve"> </w:t>
      </w:r>
      <w:r w:rsidRPr="00256982">
        <w:tab/>
        <w:t>Sludge is not included. LFG = landfill gas, NO = not occurring. Columns may not total due to rounding.</w:t>
      </w:r>
    </w:p>
    <w:p w14:paraId="38D521B5" w14:textId="77777777" w:rsidR="00005A00" w:rsidRPr="00256982" w:rsidRDefault="00005A00" w:rsidP="00005A00">
      <w:pPr>
        <w:pStyle w:val="Heading5"/>
      </w:pPr>
      <w:r w:rsidRPr="00256982">
        <w:t>Non-municipal landfills and farm fills (5.A.2)</w:t>
      </w:r>
    </w:p>
    <w:p w14:paraId="637AEB47" w14:textId="77777777" w:rsidR="00005A00" w:rsidRPr="00256982" w:rsidRDefault="00005A00" w:rsidP="00005A00">
      <w:pPr>
        <w:pStyle w:val="BodyText"/>
      </w:pPr>
      <w:r w:rsidRPr="00256982">
        <w:t>Non-municipal landfills are significant landfill sites that do not accept household waste. These include cleanfills (sites disposing of largely inert waste), industrial fills and sites that dispose of construction and demolition waste. The available information on historical and current disposal rates to non-municipal landfills is derived from direct contact with landfill operators and from regional councils, which regulate these activities under the Resource Management Act 1991. There are substantial gaps, which were filled by correlating waste quantities with regional GDP (Tonkin and Taylor Ltd, unpublished(b)). Waste quantities are determined for each region and then combined to provide a national total (Tonkin and Taylor Ltd, unpublished (b)).</w:t>
      </w:r>
    </w:p>
    <w:p w14:paraId="7DA0EA6A" w14:textId="77777777" w:rsidR="00005A00" w:rsidRPr="00256982" w:rsidRDefault="00005A00" w:rsidP="00005A00">
      <w:pPr>
        <w:pStyle w:val="BodyText"/>
      </w:pPr>
      <w:r w:rsidRPr="00256982">
        <w:t xml:space="preserve">Farm fills are used to dispose of various types of farming waste, such as scrap metal, timber used for fencing, plastic wraps and ties, batteries and demolition waste. Farmers also use them to dispose of organic and general household waste. </w:t>
      </w:r>
    </w:p>
    <w:p w14:paraId="214DECBB" w14:textId="77777777" w:rsidR="00005A00" w:rsidRPr="00256982" w:rsidRDefault="00005A00" w:rsidP="00005A00">
      <w:pPr>
        <w:pStyle w:val="BodyText"/>
        <w:rPr>
          <w:spacing w:val="-2"/>
        </w:rPr>
      </w:pPr>
      <w:r w:rsidRPr="00256982">
        <w:rPr>
          <w:spacing w:val="-2"/>
        </w:rPr>
        <w:t xml:space="preserve">The information used to estimate activity data and emissions from farm fills has come from surveys carried out in the Canterbury region in 2012 and 2013, and the Waikato and Bay of Plenty regions in 2014 (GHD, 2013, 2014; Tonkin and Taylor Ltd, unpublished(b)). The results from these surveys are extrapolated to the rest of the country based on the number of farms in each region for each year. Farming practices regarding farm fill sites are similar around the country, so the extrapolation is unlikely to introduce a systematic bias. However, the sample size is small in relation to the number of farms in New Zealand. </w:t>
      </w:r>
    </w:p>
    <w:p w14:paraId="457F7E1A" w14:textId="77777777" w:rsidR="00005A00" w:rsidRPr="00256982" w:rsidRDefault="00005A00" w:rsidP="00005A00">
      <w:pPr>
        <w:pStyle w:val="BodyText"/>
      </w:pPr>
      <w:r w:rsidRPr="00256982">
        <w:t>Waste quantities were averaged for the farm types surveyed: dairy, livestock, arable, viticulture and other horticulture. These survey results have been applied regionally and then combined to provide a national total, with adjustments to account for the differences in the prevalence of these five farm types across all regions (Tonkin and Taylor Ltd, unpublished (b)).</w:t>
      </w:r>
    </w:p>
    <w:p w14:paraId="47157FD1" w14:textId="77777777" w:rsidR="00005A00" w:rsidRPr="00256982" w:rsidRDefault="00005A00" w:rsidP="00005A00">
      <w:pPr>
        <w:pStyle w:val="BodyText"/>
      </w:pPr>
      <w:r w:rsidRPr="00256982">
        <w:t xml:space="preserve">Table 7.2.3 </w:t>
      </w:r>
      <w:r w:rsidRPr="00256982">
        <w:rPr>
          <w:spacing w:val="-2"/>
        </w:rPr>
        <w:t>shows waste placement for farm fills and non-municipal landfills from the beginning of the model in 1950 to 2017.</w:t>
      </w:r>
    </w:p>
    <w:p w14:paraId="1ED53CA2" w14:textId="77777777" w:rsidR="00005A00" w:rsidRPr="00256982" w:rsidRDefault="00005A00" w:rsidP="00005A00">
      <w:pPr>
        <w:pStyle w:val="Table"/>
      </w:pPr>
      <w:bookmarkStart w:id="2299" w:name="_Toc508019324"/>
      <w:bookmarkStart w:id="2300" w:name="_Toc511116822"/>
      <w:bookmarkStart w:id="2301" w:name="_Toc5269563"/>
      <w:r w:rsidRPr="00256982">
        <w:lastRenderedPageBreak/>
        <w:t xml:space="preserve">Table 7.2.3 </w:t>
      </w:r>
      <w:r w:rsidRPr="00256982">
        <w:tab/>
        <w:t>Solid waste deposited to unmanaged landfills from 1950 to 201</w:t>
      </w:r>
      <w:bookmarkEnd w:id="2299"/>
      <w:bookmarkEnd w:id="2300"/>
      <w:r w:rsidRPr="00256982">
        <w:t>7</w:t>
      </w:r>
      <w:bookmarkEnd w:id="2301"/>
    </w:p>
    <w:tbl>
      <w:tblPr>
        <w:tblW w:w="8505" w:type="dxa"/>
        <w:tblInd w:w="108" w:type="dxa"/>
        <w:tblLook w:val="04A0" w:firstRow="1" w:lastRow="0" w:firstColumn="1" w:lastColumn="0" w:noHBand="0" w:noVBand="1"/>
      </w:tblPr>
      <w:tblGrid>
        <w:gridCol w:w="1078"/>
        <w:gridCol w:w="2475"/>
        <w:gridCol w:w="2475"/>
        <w:gridCol w:w="2477"/>
      </w:tblGrid>
      <w:tr w:rsidR="00005A00" w:rsidRPr="00256982" w14:paraId="5980FAFD" w14:textId="77777777" w:rsidTr="00AA14F1">
        <w:trPr>
          <w:tblHeader/>
        </w:trPr>
        <w:tc>
          <w:tcPr>
            <w:tcW w:w="1078" w:type="dxa"/>
            <w:tcBorders>
              <w:top w:val="single" w:sz="4" w:space="0" w:color="365F91"/>
              <w:bottom w:val="single" w:sz="4" w:space="0" w:color="365F91"/>
            </w:tcBorders>
            <w:shd w:val="clear" w:color="auto" w:fill="365F91"/>
            <w:vAlign w:val="bottom"/>
          </w:tcPr>
          <w:p w14:paraId="7583E62B" w14:textId="77777777" w:rsidR="00005A00" w:rsidRPr="00256982" w:rsidRDefault="00005A00" w:rsidP="00AA14F1">
            <w:pPr>
              <w:pStyle w:val="TableTextBold"/>
              <w:spacing w:before="50" w:after="50"/>
              <w:rPr>
                <w:noProof w:val="0"/>
                <w:color w:val="FFFFFF"/>
              </w:rPr>
            </w:pPr>
            <w:r w:rsidRPr="00256982">
              <w:rPr>
                <w:noProof w:val="0"/>
                <w:color w:val="FFFFFF"/>
              </w:rPr>
              <w:t>Year</w:t>
            </w:r>
          </w:p>
        </w:tc>
        <w:tc>
          <w:tcPr>
            <w:tcW w:w="2475" w:type="dxa"/>
            <w:tcBorders>
              <w:top w:val="single" w:sz="4" w:space="0" w:color="365F91"/>
              <w:bottom w:val="single" w:sz="4" w:space="0" w:color="365F91"/>
            </w:tcBorders>
            <w:shd w:val="clear" w:color="auto" w:fill="365F91"/>
            <w:vAlign w:val="bottom"/>
          </w:tcPr>
          <w:p w14:paraId="6021FF39" w14:textId="77777777" w:rsidR="00005A00" w:rsidRPr="00256982" w:rsidRDefault="00005A00" w:rsidP="00AA14F1">
            <w:pPr>
              <w:pStyle w:val="TableTextBold"/>
              <w:keepNext/>
              <w:spacing w:before="50" w:after="50"/>
              <w:jc w:val="center"/>
              <w:rPr>
                <w:noProof w:val="0"/>
                <w:color w:val="FFFFFF"/>
              </w:rPr>
            </w:pPr>
            <w:r w:rsidRPr="00256982">
              <w:rPr>
                <w:noProof w:val="0"/>
                <w:color w:val="FFFFFF"/>
              </w:rPr>
              <w:t>Farm fills (kt)</w:t>
            </w:r>
          </w:p>
        </w:tc>
        <w:tc>
          <w:tcPr>
            <w:tcW w:w="2475" w:type="dxa"/>
            <w:tcBorders>
              <w:top w:val="single" w:sz="4" w:space="0" w:color="365F91"/>
              <w:bottom w:val="single" w:sz="4" w:space="0" w:color="365F91"/>
            </w:tcBorders>
            <w:shd w:val="clear" w:color="auto" w:fill="365F91"/>
            <w:vAlign w:val="bottom"/>
          </w:tcPr>
          <w:p w14:paraId="13491470" w14:textId="77777777" w:rsidR="00005A00" w:rsidRPr="00256982" w:rsidRDefault="00005A00" w:rsidP="00AA14F1">
            <w:pPr>
              <w:pStyle w:val="TableTextBold"/>
              <w:keepNext/>
              <w:spacing w:before="50" w:after="50"/>
              <w:jc w:val="center"/>
              <w:rPr>
                <w:noProof w:val="0"/>
                <w:color w:val="FFFFFF"/>
              </w:rPr>
            </w:pPr>
            <w:r w:rsidRPr="00256982">
              <w:rPr>
                <w:noProof w:val="0"/>
                <w:color w:val="FFFFFF"/>
              </w:rPr>
              <w:t>Non-municipal landfills (kt)</w:t>
            </w:r>
          </w:p>
        </w:tc>
        <w:tc>
          <w:tcPr>
            <w:tcW w:w="2477" w:type="dxa"/>
            <w:tcBorders>
              <w:top w:val="single" w:sz="4" w:space="0" w:color="365F91"/>
              <w:bottom w:val="single" w:sz="4" w:space="0" w:color="365F91"/>
            </w:tcBorders>
            <w:shd w:val="clear" w:color="auto" w:fill="365F91"/>
            <w:vAlign w:val="bottom"/>
          </w:tcPr>
          <w:p w14:paraId="75A1C149" w14:textId="77777777" w:rsidR="00005A00" w:rsidRPr="00256982" w:rsidRDefault="00005A00" w:rsidP="00AA14F1">
            <w:pPr>
              <w:pStyle w:val="TableTextBold"/>
              <w:keepNext/>
              <w:spacing w:before="50" w:after="50"/>
              <w:jc w:val="center"/>
              <w:rPr>
                <w:noProof w:val="0"/>
                <w:color w:val="FFFFFF"/>
              </w:rPr>
            </w:pPr>
            <w:r w:rsidRPr="00256982">
              <w:rPr>
                <w:noProof w:val="0"/>
                <w:color w:val="FFFFFF"/>
              </w:rPr>
              <w:t>Total waste disposed (kt)</w:t>
            </w:r>
          </w:p>
        </w:tc>
      </w:tr>
      <w:tr w:rsidR="00005A00" w:rsidRPr="00256982" w14:paraId="1F6B0609" w14:textId="77777777" w:rsidTr="00AA14F1">
        <w:tc>
          <w:tcPr>
            <w:tcW w:w="1078" w:type="dxa"/>
            <w:tcBorders>
              <w:top w:val="single" w:sz="4" w:space="0" w:color="365F91"/>
              <w:bottom w:val="single" w:sz="4" w:space="0" w:color="365F91"/>
            </w:tcBorders>
          </w:tcPr>
          <w:p w14:paraId="4429A449" w14:textId="77777777" w:rsidR="00005A00" w:rsidRPr="00256982" w:rsidRDefault="00005A00" w:rsidP="00AA14F1">
            <w:pPr>
              <w:pStyle w:val="TableTextBold"/>
              <w:spacing w:before="50" w:after="50"/>
              <w:rPr>
                <w:noProof w:val="0"/>
              </w:rPr>
            </w:pPr>
            <w:r w:rsidRPr="00256982">
              <w:rPr>
                <w:noProof w:val="0"/>
              </w:rPr>
              <w:t>1950</w:t>
            </w:r>
          </w:p>
        </w:tc>
        <w:tc>
          <w:tcPr>
            <w:tcW w:w="2475" w:type="dxa"/>
            <w:tcBorders>
              <w:top w:val="single" w:sz="4" w:space="0" w:color="365F91"/>
              <w:bottom w:val="single" w:sz="4" w:space="0" w:color="365F91"/>
            </w:tcBorders>
            <w:shd w:val="clear" w:color="auto" w:fill="auto"/>
          </w:tcPr>
          <w:p w14:paraId="0C905F56" w14:textId="77777777" w:rsidR="00005A00" w:rsidRPr="00256982" w:rsidRDefault="00005A00" w:rsidP="00AA14F1">
            <w:pPr>
              <w:pStyle w:val="TableText"/>
              <w:keepNext/>
              <w:spacing w:before="50" w:after="50"/>
              <w:jc w:val="center"/>
            </w:pPr>
            <w:r w:rsidRPr="00256982">
              <w:t xml:space="preserve"> 1,660.2 </w:t>
            </w:r>
          </w:p>
        </w:tc>
        <w:tc>
          <w:tcPr>
            <w:tcW w:w="2475" w:type="dxa"/>
            <w:tcBorders>
              <w:top w:val="single" w:sz="4" w:space="0" w:color="365F91"/>
              <w:bottom w:val="single" w:sz="4" w:space="0" w:color="365F91"/>
            </w:tcBorders>
            <w:shd w:val="clear" w:color="auto" w:fill="auto"/>
          </w:tcPr>
          <w:p w14:paraId="19A61F6A" w14:textId="77777777" w:rsidR="00005A00" w:rsidRPr="00256982" w:rsidRDefault="00005A00" w:rsidP="00AA14F1">
            <w:pPr>
              <w:pStyle w:val="TableText"/>
              <w:keepNext/>
              <w:spacing w:before="50" w:after="50"/>
              <w:jc w:val="center"/>
            </w:pPr>
            <w:r w:rsidRPr="00256982">
              <w:t xml:space="preserve"> 771.5 </w:t>
            </w:r>
          </w:p>
        </w:tc>
        <w:tc>
          <w:tcPr>
            <w:tcW w:w="2477" w:type="dxa"/>
            <w:tcBorders>
              <w:top w:val="single" w:sz="4" w:space="0" w:color="365F91"/>
              <w:bottom w:val="single" w:sz="4" w:space="0" w:color="365F91"/>
            </w:tcBorders>
            <w:shd w:val="clear" w:color="auto" w:fill="auto"/>
          </w:tcPr>
          <w:p w14:paraId="150FEFB1" w14:textId="77777777" w:rsidR="00005A00" w:rsidRPr="00256982" w:rsidRDefault="00005A00" w:rsidP="00AA14F1">
            <w:pPr>
              <w:pStyle w:val="TableText"/>
              <w:keepNext/>
              <w:spacing w:before="50" w:after="50"/>
              <w:jc w:val="center"/>
            </w:pPr>
            <w:r w:rsidRPr="00256982">
              <w:t xml:space="preserve"> 2,431.7 </w:t>
            </w:r>
          </w:p>
        </w:tc>
      </w:tr>
      <w:tr w:rsidR="00005A00" w:rsidRPr="00256982" w14:paraId="532767A8" w14:textId="77777777" w:rsidTr="00AA14F1">
        <w:tc>
          <w:tcPr>
            <w:tcW w:w="1078" w:type="dxa"/>
            <w:tcBorders>
              <w:top w:val="single" w:sz="4" w:space="0" w:color="365F91"/>
              <w:bottom w:val="single" w:sz="4" w:space="0" w:color="365F91"/>
            </w:tcBorders>
          </w:tcPr>
          <w:p w14:paraId="67D34B9A" w14:textId="77777777" w:rsidR="00005A00" w:rsidRPr="00256982" w:rsidRDefault="00005A00" w:rsidP="00AA14F1">
            <w:pPr>
              <w:pStyle w:val="TableTextBold"/>
              <w:spacing w:before="50" w:after="50"/>
              <w:rPr>
                <w:noProof w:val="0"/>
              </w:rPr>
            </w:pPr>
            <w:r w:rsidRPr="00256982">
              <w:rPr>
                <w:noProof w:val="0"/>
              </w:rPr>
              <w:t>1951</w:t>
            </w:r>
          </w:p>
        </w:tc>
        <w:tc>
          <w:tcPr>
            <w:tcW w:w="2475" w:type="dxa"/>
            <w:tcBorders>
              <w:top w:val="single" w:sz="4" w:space="0" w:color="365F91"/>
              <w:bottom w:val="single" w:sz="4" w:space="0" w:color="365F91"/>
            </w:tcBorders>
            <w:shd w:val="clear" w:color="auto" w:fill="auto"/>
          </w:tcPr>
          <w:p w14:paraId="300845F6" w14:textId="77777777" w:rsidR="00005A00" w:rsidRPr="00256982" w:rsidRDefault="00005A00" w:rsidP="00AA14F1">
            <w:pPr>
              <w:pStyle w:val="TableText"/>
              <w:keepNext/>
              <w:spacing w:before="50" w:after="50"/>
              <w:jc w:val="center"/>
            </w:pPr>
            <w:r w:rsidRPr="00256982">
              <w:t xml:space="preserve"> 1,659.1 </w:t>
            </w:r>
          </w:p>
        </w:tc>
        <w:tc>
          <w:tcPr>
            <w:tcW w:w="2475" w:type="dxa"/>
            <w:tcBorders>
              <w:top w:val="single" w:sz="4" w:space="0" w:color="365F91"/>
              <w:bottom w:val="single" w:sz="4" w:space="0" w:color="365F91"/>
            </w:tcBorders>
            <w:shd w:val="clear" w:color="auto" w:fill="auto"/>
          </w:tcPr>
          <w:p w14:paraId="4870C13D" w14:textId="77777777" w:rsidR="00005A00" w:rsidRPr="00256982" w:rsidRDefault="00005A00" w:rsidP="00AA14F1">
            <w:pPr>
              <w:pStyle w:val="TableText"/>
              <w:keepNext/>
              <w:spacing w:before="50" w:after="50"/>
              <w:jc w:val="center"/>
            </w:pPr>
            <w:r w:rsidRPr="00256982">
              <w:t xml:space="preserve"> 799.8 </w:t>
            </w:r>
          </w:p>
        </w:tc>
        <w:tc>
          <w:tcPr>
            <w:tcW w:w="2477" w:type="dxa"/>
            <w:tcBorders>
              <w:top w:val="single" w:sz="4" w:space="0" w:color="365F91"/>
              <w:bottom w:val="single" w:sz="4" w:space="0" w:color="365F91"/>
            </w:tcBorders>
            <w:shd w:val="clear" w:color="auto" w:fill="auto"/>
          </w:tcPr>
          <w:p w14:paraId="28B216F4" w14:textId="77777777" w:rsidR="00005A00" w:rsidRPr="00256982" w:rsidRDefault="00005A00" w:rsidP="00AA14F1">
            <w:pPr>
              <w:pStyle w:val="TableText"/>
              <w:keepNext/>
              <w:spacing w:before="50" w:after="50"/>
              <w:jc w:val="center"/>
            </w:pPr>
            <w:r w:rsidRPr="00256982">
              <w:t xml:space="preserve"> 2,458.9 </w:t>
            </w:r>
          </w:p>
        </w:tc>
      </w:tr>
      <w:tr w:rsidR="00005A00" w:rsidRPr="00256982" w14:paraId="6BC722E7" w14:textId="77777777" w:rsidTr="00AA14F1">
        <w:tc>
          <w:tcPr>
            <w:tcW w:w="1078" w:type="dxa"/>
            <w:tcBorders>
              <w:top w:val="single" w:sz="4" w:space="0" w:color="365F91"/>
              <w:bottom w:val="single" w:sz="4" w:space="0" w:color="365F91"/>
            </w:tcBorders>
          </w:tcPr>
          <w:p w14:paraId="29C069C8" w14:textId="77777777" w:rsidR="00005A00" w:rsidRPr="00256982" w:rsidRDefault="00005A00" w:rsidP="00AA14F1">
            <w:pPr>
              <w:pStyle w:val="TableTextBold"/>
              <w:spacing w:before="50" w:after="50"/>
              <w:rPr>
                <w:noProof w:val="0"/>
              </w:rPr>
            </w:pPr>
            <w:r w:rsidRPr="00256982">
              <w:rPr>
                <w:noProof w:val="0"/>
              </w:rPr>
              <w:t>1952</w:t>
            </w:r>
          </w:p>
        </w:tc>
        <w:tc>
          <w:tcPr>
            <w:tcW w:w="2475" w:type="dxa"/>
            <w:tcBorders>
              <w:top w:val="single" w:sz="4" w:space="0" w:color="365F91"/>
              <w:bottom w:val="single" w:sz="4" w:space="0" w:color="365F91"/>
            </w:tcBorders>
            <w:shd w:val="clear" w:color="auto" w:fill="auto"/>
          </w:tcPr>
          <w:p w14:paraId="55A6D7A6" w14:textId="77777777" w:rsidR="00005A00" w:rsidRPr="00256982" w:rsidRDefault="00005A00" w:rsidP="00AA14F1">
            <w:pPr>
              <w:pStyle w:val="TableText"/>
              <w:keepNext/>
              <w:spacing w:before="50" w:after="50"/>
              <w:jc w:val="center"/>
            </w:pPr>
            <w:r w:rsidRPr="00256982">
              <w:t xml:space="preserve"> 1,660.2 </w:t>
            </w:r>
          </w:p>
        </w:tc>
        <w:tc>
          <w:tcPr>
            <w:tcW w:w="2475" w:type="dxa"/>
            <w:tcBorders>
              <w:top w:val="single" w:sz="4" w:space="0" w:color="365F91"/>
              <w:bottom w:val="single" w:sz="4" w:space="0" w:color="365F91"/>
            </w:tcBorders>
            <w:shd w:val="clear" w:color="auto" w:fill="auto"/>
          </w:tcPr>
          <w:p w14:paraId="7CABEBC5" w14:textId="77777777" w:rsidR="00005A00" w:rsidRPr="00256982" w:rsidRDefault="00005A00" w:rsidP="00AA14F1">
            <w:pPr>
              <w:pStyle w:val="TableText"/>
              <w:keepNext/>
              <w:spacing w:before="50" w:after="50"/>
              <w:jc w:val="center"/>
            </w:pPr>
            <w:r w:rsidRPr="00256982">
              <w:t xml:space="preserve"> 829.1 </w:t>
            </w:r>
          </w:p>
        </w:tc>
        <w:tc>
          <w:tcPr>
            <w:tcW w:w="2477" w:type="dxa"/>
            <w:tcBorders>
              <w:top w:val="single" w:sz="4" w:space="0" w:color="365F91"/>
              <w:bottom w:val="single" w:sz="4" w:space="0" w:color="365F91"/>
            </w:tcBorders>
            <w:shd w:val="clear" w:color="auto" w:fill="auto"/>
          </w:tcPr>
          <w:p w14:paraId="6A80D70E" w14:textId="77777777" w:rsidR="00005A00" w:rsidRPr="00256982" w:rsidRDefault="00005A00" w:rsidP="00AA14F1">
            <w:pPr>
              <w:pStyle w:val="TableText"/>
              <w:keepNext/>
              <w:spacing w:before="50" w:after="50"/>
              <w:jc w:val="center"/>
            </w:pPr>
            <w:r w:rsidRPr="00256982">
              <w:t xml:space="preserve"> 2,489.3 </w:t>
            </w:r>
          </w:p>
        </w:tc>
      </w:tr>
      <w:tr w:rsidR="00005A00" w:rsidRPr="00256982" w14:paraId="2D65B3A0" w14:textId="77777777" w:rsidTr="00AA14F1">
        <w:tc>
          <w:tcPr>
            <w:tcW w:w="1078" w:type="dxa"/>
            <w:tcBorders>
              <w:top w:val="single" w:sz="4" w:space="0" w:color="365F91"/>
              <w:bottom w:val="single" w:sz="4" w:space="0" w:color="365F91"/>
            </w:tcBorders>
          </w:tcPr>
          <w:p w14:paraId="5192EA8F" w14:textId="77777777" w:rsidR="00005A00" w:rsidRPr="00256982" w:rsidRDefault="00005A00" w:rsidP="00AA14F1">
            <w:pPr>
              <w:pStyle w:val="TableTextBold"/>
              <w:spacing w:before="50" w:after="50"/>
              <w:rPr>
                <w:noProof w:val="0"/>
              </w:rPr>
            </w:pPr>
            <w:r w:rsidRPr="00256982">
              <w:rPr>
                <w:noProof w:val="0"/>
              </w:rPr>
              <w:t>1953</w:t>
            </w:r>
          </w:p>
        </w:tc>
        <w:tc>
          <w:tcPr>
            <w:tcW w:w="2475" w:type="dxa"/>
            <w:tcBorders>
              <w:top w:val="single" w:sz="4" w:space="0" w:color="365F91"/>
              <w:bottom w:val="single" w:sz="4" w:space="0" w:color="365F91"/>
            </w:tcBorders>
            <w:shd w:val="clear" w:color="auto" w:fill="auto"/>
          </w:tcPr>
          <w:p w14:paraId="0C3D467F" w14:textId="77777777" w:rsidR="00005A00" w:rsidRPr="00256982" w:rsidRDefault="00005A00" w:rsidP="00AA14F1">
            <w:pPr>
              <w:pStyle w:val="TableText"/>
              <w:keepNext/>
              <w:spacing w:before="50" w:after="50"/>
              <w:jc w:val="center"/>
            </w:pPr>
            <w:r w:rsidRPr="00256982">
              <w:t xml:space="preserve"> 1,664.6 </w:t>
            </w:r>
          </w:p>
        </w:tc>
        <w:tc>
          <w:tcPr>
            <w:tcW w:w="2475" w:type="dxa"/>
            <w:tcBorders>
              <w:top w:val="single" w:sz="4" w:space="0" w:color="365F91"/>
              <w:bottom w:val="single" w:sz="4" w:space="0" w:color="365F91"/>
            </w:tcBorders>
            <w:shd w:val="clear" w:color="auto" w:fill="auto"/>
          </w:tcPr>
          <w:p w14:paraId="25C621BF" w14:textId="77777777" w:rsidR="00005A00" w:rsidRPr="00256982" w:rsidRDefault="00005A00" w:rsidP="00AA14F1">
            <w:pPr>
              <w:pStyle w:val="TableText"/>
              <w:keepNext/>
              <w:spacing w:before="50" w:after="50"/>
              <w:jc w:val="center"/>
            </w:pPr>
            <w:r w:rsidRPr="00256982">
              <w:t xml:space="preserve"> 859.5 </w:t>
            </w:r>
          </w:p>
        </w:tc>
        <w:tc>
          <w:tcPr>
            <w:tcW w:w="2477" w:type="dxa"/>
            <w:tcBorders>
              <w:top w:val="single" w:sz="4" w:space="0" w:color="365F91"/>
              <w:bottom w:val="single" w:sz="4" w:space="0" w:color="365F91"/>
            </w:tcBorders>
            <w:shd w:val="clear" w:color="auto" w:fill="auto"/>
          </w:tcPr>
          <w:p w14:paraId="3D096B49" w14:textId="77777777" w:rsidR="00005A00" w:rsidRPr="00256982" w:rsidRDefault="00005A00" w:rsidP="00AA14F1">
            <w:pPr>
              <w:pStyle w:val="TableText"/>
              <w:keepNext/>
              <w:spacing w:before="50" w:after="50"/>
              <w:jc w:val="center"/>
            </w:pPr>
            <w:r w:rsidRPr="00256982">
              <w:t xml:space="preserve"> 2,524.2 </w:t>
            </w:r>
          </w:p>
        </w:tc>
      </w:tr>
      <w:tr w:rsidR="00005A00" w:rsidRPr="00256982" w14:paraId="441B1D5C" w14:textId="77777777" w:rsidTr="00AA14F1">
        <w:tc>
          <w:tcPr>
            <w:tcW w:w="1078" w:type="dxa"/>
            <w:tcBorders>
              <w:top w:val="single" w:sz="4" w:space="0" w:color="365F91"/>
              <w:bottom w:val="single" w:sz="4" w:space="0" w:color="365F91"/>
            </w:tcBorders>
          </w:tcPr>
          <w:p w14:paraId="31A8CE61" w14:textId="77777777" w:rsidR="00005A00" w:rsidRPr="00256982" w:rsidRDefault="00005A00" w:rsidP="00AA14F1">
            <w:pPr>
              <w:pStyle w:val="TableTextBold"/>
              <w:spacing w:before="50" w:after="50"/>
              <w:rPr>
                <w:noProof w:val="0"/>
              </w:rPr>
            </w:pPr>
            <w:r w:rsidRPr="00256982">
              <w:rPr>
                <w:noProof w:val="0"/>
              </w:rPr>
              <w:t>1954</w:t>
            </w:r>
          </w:p>
        </w:tc>
        <w:tc>
          <w:tcPr>
            <w:tcW w:w="2475" w:type="dxa"/>
            <w:tcBorders>
              <w:top w:val="single" w:sz="4" w:space="0" w:color="365F91"/>
              <w:bottom w:val="single" w:sz="4" w:space="0" w:color="365F91"/>
            </w:tcBorders>
            <w:shd w:val="clear" w:color="auto" w:fill="auto"/>
          </w:tcPr>
          <w:p w14:paraId="34021D21" w14:textId="77777777" w:rsidR="00005A00" w:rsidRPr="00256982" w:rsidRDefault="00005A00" w:rsidP="00AA14F1">
            <w:pPr>
              <w:pStyle w:val="TableText"/>
              <w:keepNext/>
              <w:spacing w:before="50" w:after="50"/>
              <w:jc w:val="center"/>
            </w:pPr>
            <w:r w:rsidRPr="00256982">
              <w:t xml:space="preserve"> 1,686.1 </w:t>
            </w:r>
          </w:p>
        </w:tc>
        <w:tc>
          <w:tcPr>
            <w:tcW w:w="2475" w:type="dxa"/>
            <w:tcBorders>
              <w:top w:val="single" w:sz="4" w:space="0" w:color="365F91"/>
              <w:bottom w:val="single" w:sz="4" w:space="0" w:color="365F91"/>
            </w:tcBorders>
            <w:shd w:val="clear" w:color="auto" w:fill="auto"/>
          </w:tcPr>
          <w:p w14:paraId="5024562D" w14:textId="77777777" w:rsidR="00005A00" w:rsidRPr="00256982" w:rsidRDefault="00005A00" w:rsidP="00AA14F1">
            <w:pPr>
              <w:pStyle w:val="TableText"/>
              <w:keepNext/>
              <w:spacing w:before="50" w:after="50"/>
              <w:jc w:val="center"/>
            </w:pPr>
            <w:r w:rsidRPr="00256982">
              <w:t xml:space="preserve"> 891.0 </w:t>
            </w:r>
          </w:p>
        </w:tc>
        <w:tc>
          <w:tcPr>
            <w:tcW w:w="2477" w:type="dxa"/>
            <w:tcBorders>
              <w:top w:val="single" w:sz="4" w:space="0" w:color="365F91"/>
              <w:bottom w:val="single" w:sz="4" w:space="0" w:color="365F91"/>
            </w:tcBorders>
            <w:shd w:val="clear" w:color="auto" w:fill="auto"/>
          </w:tcPr>
          <w:p w14:paraId="1D0AD85D" w14:textId="77777777" w:rsidR="00005A00" w:rsidRPr="00256982" w:rsidRDefault="00005A00" w:rsidP="00AA14F1">
            <w:pPr>
              <w:pStyle w:val="TableText"/>
              <w:keepNext/>
              <w:spacing w:before="50" w:after="50"/>
              <w:jc w:val="center"/>
            </w:pPr>
            <w:r w:rsidRPr="00256982">
              <w:t xml:space="preserve"> 2,577.1 </w:t>
            </w:r>
          </w:p>
        </w:tc>
      </w:tr>
      <w:tr w:rsidR="00005A00" w:rsidRPr="00256982" w14:paraId="4832B76A" w14:textId="77777777" w:rsidTr="00AA14F1">
        <w:tc>
          <w:tcPr>
            <w:tcW w:w="1078" w:type="dxa"/>
            <w:tcBorders>
              <w:top w:val="single" w:sz="4" w:space="0" w:color="365F91"/>
              <w:bottom w:val="single" w:sz="4" w:space="0" w:color="365F91"/>
            </w:tcBorders>
          </w:tcPr>
          <w:p w14:paraId="5F422764" w14:textId="77777777" w:rsidR="00005A00" w:rsidRPr="00256982" w:rsidRDefault="00005A00" w:rsidP="00AA14F1">
            <w:pPr>
              <w:pStyle w:val="TableTextBold"/>
              <w:spacing w:before="50" w:after="50"/>
              <w:rPr>
                <w:noProof w:val="0"/>
              </w:rPr>
            </w:pPr>
            <w:r w:rsidRPr="00256982">
              <w:rPr>
                <w:noProof w:val="0"/>
              </w:rPr>
              <w:t>1955</w:t>
            </w:r>
          </w:p>
        </w:tc>
        <w:tc>
          <w:tcPr>
            <w:tcW w:w="2475" w:type="dxa"/>
            <w:tcBorders>
              <w:top w:val="single" w:sz="4" w:space="0" w:color="365F91"/>
              <w:bottom w:val="single" w:sz="4" w:space="0" w:color="365F91"/>
            </w:tcBorders>
            <w:shd w:val="clear" w:color="auto" w:fill="auto"/>
          </w:tcPr>
          <w:p w14:paraId="07EE006C" w14:textId="77777777" w:rsidR="00005A00" w:rsidRPr="00256982" w:rsidRDefault="00005A00" w:rsidP="00AA14F1">
            <w:pPr>
              <w:pStyle w:val="TableText"/>
              <w:keepNext/>
              <w:spacing w:before="50" w:after="50"/>
              <w:jc w:val="center"/>
            </w:pPr>
            <w:r w:rsidRPr="00256982">
              <w:t xml:space="preserve"> 1,698.9 </w:t>
            </w:r>
          </w:p>
        </w:tc>
        <w:tc>
          <w:tcPr>
            <w:tcW w:w="2475" w:type="dxa"/>
            <w:tcBorders>
              <w:top w:val="single" w:sz="4" w:space="0" w:color="365F91"/>
              <w:bottom w:val="single" w:sz="4" w:space="0" w:color="365F91"/>
            </w:tcBorders>
            <w:shd w:val="clear" w:color="auto" w:fill="auto"/>
          </w:tcPr>
          <w:p w14:paraId="5092E196" w14:textId="77777777" w:rsidR="00005A00" w:rsidRPr="00256982" w:rsidRDefault="00005A00" w:rsidP="00AA14F1">
            <w:pPr>
              <w:pStyle w:val="TableText"/>
              <w:keepNext/>
              <w:spacing w:before="50" w:after="50"/>
              <w:jc w:val="center"/>
            </w:pPr>
            <w:r w:rsidRPr="00256982">
              <w:t xml:space="preserve"> 923.7 </w:t>
            </w:r>
          </w:p>
        </w:tc>
        <w:tc>
          <w:tcPr>
            <w:tcW w:w="2477" w:type="dxa"/>
            <w:tcBorders>
              <w:top w:val="single" w:sz="4" w:space="0" w:color="365F91"/>
              <w:bottom w:val="single" w:sz="4" w:space="0" w:color="365F91"/>
            </w:tcBorders>
            <w:shd w:val="clear" w:color="auto" w:fill="auto"/>
          </w:tcPr>
          <w:p w14:paraId="2DE513BB" w14:textId="77777777" w:rsidR="00005A00" w:rsidRPr="00256982" w:rsidRDefault="00005A00" w:rsidP="00AA14F1">
            <w:pPr>
              <w:pStyle w:val="TableText"/>
              <w:keepNext/>
              <w:spacing w:before="50" w:after="50"/>
              <w:jc w:val="center"/>
            </w:pPr>
            <w:r w:rsidRPr="00256982">
              <w:t xml:space="preserve"> 2,622.6 </w:t>
            </w:r>
          </w:p>
        </w:tc>
      </w:tr>
      <w:tr w:rsidR="00005A00" w:rsidRPr="00256982" w14:paraId="6507CE7D" w14:textId="77777777" w:rsidTr="00AA14F1">
        <w:tc>
          <w:tcPr>
            <w:tcW w:w="1078" w:type="dxa"/>
            <w:tcBorders>
              <w:top w:val="single" w:sz="4" w:space="0" w:color="365F91"/>
              <w:bottom w:val="single" w:sz="4" w:space="0" w:color="365F91"/>
            </w:tcBorders>
          </w:tcPr>
          <w:p w14:paraId="5CB3261D" w14:textId="77777777" w:rsidR="00005A00" w:rsidRPr="00256982" w:rsidRDefault="00005A00" w:rsidP="00AA14F1">
            <w:pPr>
              <w:pStyle w:val="TableTextBold"/>
              <w:spacing w:before="50" w:after="50"/>
              <w:rPr>
                <w:noProof w:val="0"/>
              </w:rPr>
            </w:pPr>
            <w:r w:rsidRPr="00256982">
              <w:rPr>
                <w:noProof w:val="0"/>
              </w:rPr>
              <w:t>1956</w:t>
            </w:r>
          </w:p>
        </w:tc>
        <w:tc>
          <w:tcPr>
            <w:tcW w:w="2475" w:type="dxa"/>
            <w:tcBorders>
              <w:top w:val="single" w:sz="4" w:space="0" w:color="365F91"/>
              <w:bottom w:val="single" w:sz="4" w:space="0" w:color="365F91"/>
            </w:tcBorders>
            <w:shd w:val="clear" w:color="auto" w:fill="auto"/>
          </w:tcPr>
          <w:p w14:paraId="5FCA00BF" w14:textId="77777777" w:rsidR="00005A00" w:rsidRPr="00256982" w:rsidRDefault="00005A00" w:rsidP="00AA14F1">
            <w:pPr>
              <w:pStyle w:val="TableText"/>
              <w:keepNext/>
              <w:spacing w:before="50" w:after="50"/>
              <w:jc w:val="center"/>
            </w:pPr>
            <w:r w:rsidRPr="00256982">
              <w:t xml:space="preserve"> 1,557.5 </w:t>
            </w:r>
          </w:p>
        </w:tc>
        <w:tc>
          <w:tcPr>
            <w:tcW w:w="2475" w:type="dxa"/>
            <w:tcBorders>
              <w:top w:val="single" w:sz="4" w:space="0" w:color="365F91"/>
              <w:bottom w:val="single" w:sz="4" w:space="0" w:color="365F91"/>
            </w:tcBorders>
            <w:shd w:val="clear" w:color="auto" w:fill="auto"/>
          </w:tcPr>
          <w:p w14:paraId="638B93E6" w14:textId="77777777" w:rsidR="00005A00" w:rsidRPr="00256982" w:rsidRDefault="00005A00" w:rsidP="00AA14F1">
            <w:pPr>
              <w:pStyle w:val="TableText"/>
              <w:keepNext/>
              <w:spacing w:before="50" w:after="50"/>
              <w:jc w:val="center"/>
            </w:pPr>
            <w:r w:rsidRPr="00256982">
              <w:t xml:space="preserve"> 957.5 </w:t>
            </w:r>
          </w:p>
        </w:tc>
        <w:tc>
          <w:tcPr>
            <w:tcW w:w="2477" w:type="dxa"/>
            <w:tcBorders>
              <w:top w:val="single" w:sz="4" w:space="0" w:color="365F91"/>
              <w:bottom w:val="single" w:sz="4" w:space="0" w:color="365F91"/>
            </w:tcBorders>
            <w:shd w:val="clear" w:color="auto" w:fill="auto"/>
          </w:tcPr>
          <w:p w14:paraId="7CB5C9B3" w14:textId="77777777" w:rsidR="00005A00" w:rsidRPr="00256982" w:rsidRDefault="00005A00" w:rsidP="00AA14F1">
            <w:pPr>
              <w:pStyle w:val="TableText"/>
              <w:keepNext/>
              <w:spacing w:before="50" w:after="50"/>
              <w:jc w:val="center"/>
            </w:pPr>
            <w:r w:rsidRPr="00256982">
              <w:t xml:space="preserve"> 2,515.0 </w:t>
            </w:r>
          </w:p>
        </w:tc>
      </w:tr>
      <w:tr w:rsidR="00005A00" w:rsidRPr="00256982" w14:paraId="5E3A3507" w14:textId="77777777" w:rsidTr="00AA14F1">
        <w:tc>
          <w:tcPr>
            <w:tcW w:w="1078" w:type="dxa"/>
            <w:tcBorders>
              <w:top w:val="single" w:sz="4" w:space="0" w:color="365F91"/>
              <w:bottom w:val="single" w:sz="4" w:space="0" w:color="365F91"/>
            </w:tcBorders>
          </w:tcPr>
          <w:p w14:paraId="778971FD" w14:textId="77777777" w:rsidR="00005A00" w:rsidRPr="00256982" w:rsidRDefault="00005A00" w:rsidP="00AA14F1">
            <w:pPr>
              <w:pStyle w:val="TableTextBold"/>
              <w:spacing w:before="50" w:after="50"/>
              <w:rPr>
                <w:noProof w:val="0"/>
              </w:rPr>
            </w:pPr>
            <w:r w:rsidRPr="00256982">
              <w:rPr>
                <w:noProof w:val="0"/>
              </w:rPr>
              <w:t>1957</w:t>
            </w:r>
          </w:p>
        </w:tc>
        <w:tc>
          <w:tcPr>
            <w:tcW w:w="2475" w:type="dxa"/>
            <w:tcBorders>
              <w:top w:val="single" w:sz="4" w:space="0" w:color="365F91"/>
              <w:bottom w:val="single" w:sz="4" w:space="0" w:color="365F91"/>
            </w:tcBorders>
            <w:shd w:val="clear" w:color="auto" w:fill="auto"/>
          </w:tcPr>
          <w:p w14:paraId="6EE6FC48" w14:textId="77777777" w:rsidR="00005A00" w:rsidRPr="00256982" w:rsidRDefault="00005A00" w:rsidP="00AA14F1">
            <w:pPr>
              <w:pStyle w:val="TableText"/>
              <w:keepNext/>
              <w:spacing w:before="50" w:after="50"/>
              <w:jc w:val="center"/>
            </w:pPr>
            <w:r w:rsidRPr="00256982">
              <w:t xml:space="preserve"> 1,555.7 </w:t>
            </w:r>
          </w:p>
        </w:tc>
        <w:tc>
          <w:tcPr>
            <w:tcW w:w="2475" w:type="dxa"/>
            <w:tcBorders>
              <w:top w:val="single" w:sz="4" w:space="0" w:color="365F91"/>
              <w:bottom w:val="single" w:sz="4" w:space="0" w:color="365F91"/>
            </w:tcBorders>
            <w:shd w:val="clear" w:color="auto" w:fill="auto"/>
          </w:tcPr>
          <w:p w14:paraId="2E693C49" w14:textId="77777777" w:rsidR="00005A00" w:rsidRPr="00256982" w:rsidRDefault="00005A00" w:rsidP="00AA14F1">
            <w:pPr>
              <w:pStyle w:val="TableText"/>
              <w:keepNext/>
              <w:spacing w:before="50" w:after="50"/>
              <w:jc w:val="center"/>
            </w:pPr>
            <w:r w:rsidRPr="00256982">
              <w:t xml:space="preserve"> 992.5 </w:t>
            </w:r>
          </w:p>
        </w:tc>
        <w:tc>
          <w:tcPr>
            <w:tcW w:w="2477" w:type="dxa"/>
            <w:tcBorders>
              <w:top w:val="single" w:sz="4" w:space="0" w:color="365F91"/>
              <w:bottom w:val="single" w:sz="4" w:space="0" w:color="365F91"/>
            </w:tcBorders>
            <w:shd w:val="clear" w:color="auto" w:fill="auto"/>
          </w:tcPr>
          <w:p w14:paraId="163A862D" w14:textId="77777777" w:rsidR="00005A00" w:rsidRPr="00256982" w:rsidRDefault="00005A00" w:rsidP="00AA14F1">
            <w:pPr>
              <w:pStyle w:val="TableText"/>
              <w:keepNext/>
              <w:spacing w:before="50" w:after="50"/>
              <w:jc w:val="center"/>
            </w:pPr>
            <w:r w:rsidRPr="00256982">
              <w:t xml:space="preserve"> 2,548.2 </w:t>
            </w:r>
          </w:p>
        </w:tc>
      </w:tr>
      <w:tr w:rsidR="00005A00" w:rsidRPr="00256982" w14:paraId="06006442" w14:textId="77777777" w:rsidTr="00AA14F1">
        <w:tc>
          <w:tcPr>
            <w:tcW w:w="1078" w:type="dxa"/>
            <w:tcBorders>
              <w:top w:val="single" w:sz="4" w:space="0" w:color="365F91"/>
              <w:bottom w:val="single" w:sz="4" w:space="0" w:color="365F91"/>
            </w:tcBorders>
          </w:tcPr>
          <w:p w14:paraId="7A112EB9" w14:textId="77777777" w:rsidR="00005A00" w:rsidRPr="00256982" w:rsidRDefault="00005A00" w:rsidP="00AA14F1">
            <w:pPr>
              <w:pStyle w:val="TableTextBold"/>
              <w:spacing w:before="50" w:after="50"/>
              <w:rPr>
                <w:noProof w:val="0"/>
              </w:rPr>
            </w:pPr>
            <w:r w:rsidRPr="00256982">
              <w:rPr>
                <w:noProof w:val="0"/>
              </w:rPr>
              <w:t>1958</w:t>
            </w:r>
          </w:p>
        </w:tc>
        <w:tc>
          <w:tcPr>
            <w:tcW w:w="2475" w:type="dxa"/>
            <w:tcBorders>
              <w:top w:val="single" w:sz="4" w:space="0" w:color="365F91"/>
              <w:bottom w:val="single" w:sz="4" w:space="0" w:color="365F91"/>
            </w:tcBorders>
            <w:shd w:val="clear" w:color="auto" w:fill="auto"/>
          </w:tcPr>
          <w:p w14:paraId="003A5F9B" w14:textId="77777777" w:rsidR="00005A00" w:rsidRPr="00256982" w:rsidRDefault="00005A00" w:rsidP="00AA14F1">
            <w:pPr>
              <w:pStyle w:val="TableText"/>
              <w:keepNext/>
              <w:spacing w:before="50" w:after="50"/>
              <w:jc w:val="center"/>
            </w:pPr>
            <w:r w:rsidRPr="00256982">
              <w:t xml:space="preserve"> 1,526.6 </w:t>
            </w:r>
          </w:p>
        </w:tc>
        <w:tc>
          <w:tcPr>
            <w:tcW w:w="2475" w:type="dxa"/>
            <w:tcBorders>
              <w:top w:val="single" w:sz="4" w:space="0" w:color="365F91"/>
              <w:bottom w:val="single" w:sz="4" w:space="0" w:color="365F91"/>
            </w:tcBorders>
            <w:shd w:val="clear" w:color="auto" w:fill="auto"/>
          </w:tcPr>
          <w:p w14:paraId="5A725C1A" w14:textId="77777777" w:rsidR="00005A00" w:rsidRPr="00256982" w:rsidRDefault="00005A00" w:rsidP="00AA14F1">
            <w:pPr>
              <w:pStyle w:val="TableText"/>
              <w:keepNext/>
              <w:spacing w:before="50" w:after="50"/>
              <w:jc w:val="center"/>
            </w:pPr>
            <w:r w:rsidRPr="00256982">
              <w:t xml:space="preserve"> 1,028.8 </w:t>
            </w:r>
          </w:p>
        </w:tc>
        <w:tc>
          <w:tcPr>
            <w:tcW w:w="2477" w:type="dxa"/>
            <w:tcBorders>
              <w:top w:val="single" w:sz="4" w:space="0" w:color="365F91"/>
              <w:bottom w:val="single" w:sz="4" w:space="0" w:color="365F91"/>
            </w:tcBorders>
            <w:shd w:val="clear" w:color="auto" w:fill="auto"/>
          </w:tcPr>
          <w:p w14:paraId="70444462" w14:textId="77777777" w:rsidR="00005A00" w:rsidRPr="00256982" w:rsidRDefault="00005A00" w:rsidP="00AA14F1">
            <w:pPr>
              <w:pStyle w:val="TableText"/>
              <w:keepNext/>
              <w:spacing w:before="50" w:after="50"/>
              <w:jc w:val="center"/>
            </w:pPr>
            <w:r w:rsidRPr="00256982">
              <w:t xml:space="preserve"> 2,555.5 </w:t>
            </w:r>
          </w:p>
        </w:tc>
      </w:tr>
      <w:tr w:rsidR="00005A00" w:rsidRPr="00256982" w14:paraId="120E0B87" w14:textId="77777777" w:rsidTr="00AA14F1">
        <w:tc>
          <w:tcPr>
            <w:tcW w:w="1078" w:type="dxa"/>
            <w:tcBorders>
              <w:top w:val="single" w:sz="4" w:space="0" w:color="365F91"/>
              <w:bottom w:val="single" w:sz="4" w:space="0" w:color="365F91"/>
            </w:tcBorders>
          </w:tcPr>
          <w:p w14:paraId="5812E6CE" w14:textId="77777777" w:rsidR="00005A00" w:rsidRPr="00256982" w:rsidRDefault="00005A00" w:rsidP="00AA14F1">
            <w:pPr>
              <w:pStyle w:val="TableTextBold"/>
              <w:spacing w:before="50" w:after="50"/>
              <w:rPr>
                <w:noProof w:val="0"/>
              </w:rPr>
            </w:pPr>
            <w:r w:rsidRPr="00256982">
              <w:rPr>
                <w:noProof w:val="0"/>
              </w:rPr>
              <w:t>1959</w:t>
            </w:r>
          </w:p>
        </w:tc>
        <w:tc>
          <w:tcPr>
            <w:tcW w:w="2475" w:type="dxa"/>
            <w:tcBorders>
              <w:top w:val="single" w:sz="4" w:space="0" w:color="365F91"/>
              <w:bottom w:val="single" w:sz="4" w:space="0" w:color="365F91"/>
            </w:tcBorders>
            <w:shd w:val="clear" w:color="auto" w:fill="auto"/>
          </w:tcPr>
          <w:p w14:paraId="682D5AD4" w14:textId="77777777" w:rsidR="00005A00" w:rsidRPr="00256982" w:rsidRDefault="00005A00" w:rsidP="00AA14F1">
            <w:pPr>
              <w:pStyle w:val="TableText"/>
              <w:keepNext/>
              <w:spacing w:before="50" w:after="50"/>
              <w:jc w:val="center"/>
            </w:pPr>
            <w:r w:rsidRPr="00256982">
              <w:t xml:space="preserve"> 1,532.6 </w:t>
            </w:r>
          </w:p>
        </w:tc>
        <w:tc>
          <w:tcPr>
            <w:tcW w:w="2475" w:type="dxa"/>
            <w:tcBorders>
              <w:top w:val="single" w:sz="4" w:space="0" w:color="365F91"/>
              <w:bottom w:val="single" w:sz="4" w:space="0" w:color="365F91"/>
            </w:tcBorders>
            <w:shd w:val="clear" w:color="auto" w:fill="auto"/>
          </w:tcPr>
          <w:p w14:paraId="2F0269BB" w14:textId="77777777" w:rsidR="00005A00" w:rsidRPr="00256982" w:rsidRDefault="00005A00" w:rsidP="00AA14F1">
            <w:pPr>
              <w:pStyle w:val="TableText"/>
              <w:keepNext/>
              <w:spacing w:before="50" w:after="50"/>
              <w:jc w:val="center"/>
            </w:pPr>
            <w:r w:rsidRPr="00256982">
              <w:t xml:space="preserve"> 1,066.4 </w:t>
            </w:r>
          </w:p>
        </w:tc>
        <w:tc>
          <w:tcPr>
            <w:tcW w:w="2477" w:type="dxa"/>
            <w:tcBorders>
              <w:top w:val="single" w:sz="4" w:space="0" w:color="365F91"/>
              <w:bottom w:val="single" w:sz="4" w:space="0" w:color="365F91"/>
            </w:tcBorders>
            <w:shd w:val="clear" w:color="auto" w:fill="auto"/>
          </w:tcPr>
          <w:p w14:paraId="0A9F084C" w14:textId="77777777" w:rsidR="00005A00" w:rsidRPr="00256982" w:rsidRDefault="00005A00" w:rsidP="00AA14F1">
            <w:pPr>
              <w:pStyle w:val="TableText"/>
              <w:keepNext/>
              <w:spacing w:before="50" w:after="50"/>
              <w:jc w:val="center"/>
            </w:pPr>
            <w:r w:rsidRPr="00256982">
              <w:t xml:space="preserve"> 2,599.0 </w:t>
            </w:r>
          </w:p>
        </w:tc>
      </w:tr>
      <w:tr w:rsidR="00005A00" w:rsidRPr="00256982" w14:paraId="44E8A6D7" w14:textId="77777777" w:rsidTr="00AA14F1">
        <w:tc>
          <w:tcPr>
            <w:tcW w:w="1078" w:type="dxa"/>
            <w:tcBorders>
              <w:top w:val="single" w:sz="4" w:space="0" w:color="365F91"/>
              <w:bottom w:val="single" w:sz="4" w:space="0" w:color="365F91"/>
            </w:tcBorders>
          </w:tcPr>
          <w:p w14:paraId="3FDCEB32" w14:textId="77777777" w:rsidR="00005A00" w:rsidRPr="00256982" w:rsidRDefault="00005A00" w:rsidP="00AA14F1">
            <w:pPr>
              <w:pStyle w:val="TableTextBold"/>
              <w:spacing w:before="50" w:after="50"/>
              <w:rPr>
                <w:noProof w:val="0"/>
              </w:rPr>
            </w:pPr>
            <w:r w:rsidRPr="00256982">
              <w:rPr>
                <w:noProof w:val="0"/>
              </w:rPr>
              <w:t>1960</w:t>
            </w:r>
          </w:p>
        </w:tc>
        <w:tc>
          <w:tcPr>
            <w:tcW w:w="2475" w:type="dxa"/>
            <w:tcBorders>
              <w:top w:val="single" w:sz="4" w:space="0" w:color="365F91"/>
              <w:bottom w:val="single" w:sz="4" w:space="0" w:color="365F91"/>
            </w:tcBorders>
            <w:shd w:val="clear" w:color="auto" w:fill="auto"/>
          </w:tcPr>
          <w:p w14:paraId="1937BD00" w14:textId="77777777" w:rsidR="00005A00" w:rsidRPr="00256982" w:rsidRDefault="00005A00" w:rsidP="00AA14F1">
            <w:pPr>
              <w:pStyle w:val="TableText"/>
              <w:keepNext/>
              <w:spacing w:before="50" w:after="50"/>
              <w:jc w:val="center"/>
            </w:pPr>
            <w:r w:rsidRPr="00256982">
              <w:t xml:space="preserve"> 1,414.5 </w:t>
            </w:r>
          </w:p>
        </w:tc>
        <w:tc>
          <w:tcPr>
            <w:tcW w:w="2475" w:type="dxa"/>
            <w:tcBorders>
              <w:top w:val="single" w:sz="4" w:space="0" w:color="365F91"/>
              <w:bottom w:val="single" w:sz="4" w:space="0" w:color="365F91"/>
            </w:tcBorders>
            <w:shd w:val="clear" w:color="auto" w:fill="auto"/>
          </w:tcPr>
          <w:p w14:paraId="0A5A68B1" w14:textId="77777777" w:rsidR="00005A00" w:rsidRPr="00256982" w:rsidRDefault="00005A00" w:rsidP="00AA14F1">
            <w:pPr>
              <w:pStyle w:val="TableText"/>
              <w:keepNext/>
              <w:spacing w:before="50" w:after="50"/>
              <w:jc w:val="center"/>
            </w:pPr>
            <w:r w:rsidRPr="00256982">
              <w:t xml:space="preserve"> 1,105.4 </w:t>
            </w:r>
          </w:p>
        </w:tc>
        <w:tc>
          <w:tcPr>
            <w:tcW w:w="2477" w:type="dxa"/>
            <w:tcBorders>
              <w:top w:val="single" w:sz="4" w:space="0" w:color="365F91"/>
              <w:bottom w:val="single" w:sz="4" w:space="0" w:color="365F91"/>
            </w:tcBorders>
            <w:shd w:val="clear" w:color="auto" w:fill="auto"/>
          </w:tcPr>
          <w:p w14:paraId="496F10E9" w14:textId="77777777" w:rsidR="00005A00" w:rsidRPr="00256982" w:rsidRDefault="00005A00" w:rsidP="00AA14F1">
            <w:pPr>
              <w:pStyle w:val="TableText"/>
              <w:keepNext/>
              <w:spacing w:before="50" w:after="50"/>
              <w:jc w:val="center"/>
            </w:pPr>
            <w:r w:rsidRPr="00256982">
              <w:t xml:space="preserve"> 2,519.9 </w:t>
            </w:r>
          </w:p>
        </w:tc>
      </w:tr>
      <w:tr w:rsidR="00005A00" w:rsidRPr="00256982" w14:paraId="27DE83E2" w14:textId="77777777" w:rsidTr="00AA14F1">
        <w:tc>
          <w:tcPr>
            <w:tcW w:w="1078" w:type="dxa"/>
            <w:tcBorders>
              <w:top w:val="single" w:sz="4" w:space="0" w:color="365F91"/>
              <w:bottom w:val="single" w:sz="4" w:space="0" w:color="365F91"/>
            </w:tcBorders>
          </w:tcPr>
          <w:p w14:paraId="2C556B09" w14:textId="77777777" w:rsidR="00005A00" w:rsidRPr="00256982" w:rsidRDefault="00005A00" w:rsidP="00AA14F1">
            <w:pPr>
              <w:pStyle w:val="TableTextBold"/>
              <w:spacing w:before="50" w:after="50"/>
              <w:rPr>
                <w:noProof w:val="0"/>
              </w:rPr>
            </w:pPr>
            <w:r w:rsidRPr="00256982">
              <w:rPr>
                <w:noProof w:val="0"/>
              </w:rPr>
              <w:t>1961</w:t>
            </w:r>
          </w:p>
        </w:tc>
        <w:tc>
          <w:tcPr>
            <w:tcW w:w="2475" w:type="dxa"/>
            <w:tcBorders>
              <w:top w:val="single" w:sz="4" w:space="0" w:color="365F91"/>
              <w:bottom w:val="single" w:sz="4" w:space="0" w:color="365F91"/>
            </w:tcBorders>
            <w:shd w:val="clear" w:color="auto" w:fill="auto"/>
          </w:tcPr>
          <w:p w14:paraId="63F80572" w14:textId="77777777" w:rsidR="00005A00" w:rsidRPr="00256982" w:rsidRDefault="00005A00" w:rsidP="00AA14F1">
            <w:pPr>
              <w:pStyle w:val="TableText"/>
              <w:keepNext/>
              <w:spacing w:before="50" w:after="50"/>
              <w:jc w:val="center"/>
            </w:pPr>
            <w:r w:rsidRPr="00256982">
              <w:t xml:space="preserve"> 1,345.4 </w:t>
            </w:r>
          </w:p>
        </w:tc>
        <w:tc>
          <w:tcPr>
            <w:tcW w:w="2475" w:type="dxa"/>
            <w:tcBorders>
              <w:top w:val="single" w:sz="4" w:space="0" w:color="365F91"/>
              <w:bottom w:val="single" w:sz="4" w:space="0" w:color="365F91"/>
            </w:tcBorders>
            <w:shd w:val="clear" w:color="auto" w:fill="auto"/>
          </w:tcPr>
          <w:p w14:paraId="3CF5C3B3" w14:textId="77777777" w:rsidR="00005A00" w:rsidRPr="00256982" w:rsidRDefault="00005A00" w:rsidP="00AA14F1">
            <w:pPr>
              <w:pStyle w:val="TableText"/>
              <w:keepNext/>
              <w:spacing w:before="50" w:after="50"/>
              <w:jc w:val="center"/>
            </w:pPr>
            <w:r w:rsidRPr="00256982">
              <w:t xml:space="preserve"> 1,145.7 </w:t>
            </w:r>
          </w:p>
        </w:tc>
        <w:tc>
          <w:tcPr>
            <w:tcW w:w="2477" w:type="dxa"/>
            <w:tcBorders>
              <w:top w:val="single" w:sz="4" w:space="0" w:color="365F91"/>
              <w:bottom w:val="single" w:sz="4" w:space="0" w:color="365F91"/>
            </w:tcBorders>
            <w:shd w:val="clear" w:color="auto" w:fill="auto"/>
          </w:tcPr>
          <w:p w14:paraId="3B618956" w14:textId="77777777" w:rsidR="00005A00" w:rsidRPr="00256982" w:rsidRDefault="00005A00" w:rsidP="00AA14F1">
            <w:pPr>
              <w:pStyle w:val="TableText"/>
              <w:keepNext/>
              <w:spacing w:before="50" w:after="50"/>
              <w:jc w:val="center"/>
            </w:pPr>
            <w:r w:rsidRPr="00256982">
              <w:t xml:space="preserve"> 2,491.1 </w:t>
            </w:r>
          </w:p>
        </w:tc>
      </w:tr>
      <w:tr w:rsidR="00005A00" w:rsidRPr="00256982" w14:paraId="36BE1447" w14:textId="77777777" w:rsidTr="00AA14F1">
        <w:tc>
          <w:tcPr>
            <w:tcW w:w="1078" w:type="dxa"/>
            <w:tcBorders>
              <w:top w:val="single" w:sz="4" w:space="0" w:color="365F91"/>
              <w:bottom w:val="single" w:sz="4" w:space="0" w:color="365F91"/>
            </w:tcBorders>
          </w:tcPr>
          <w:p w14:paraId="1E762E33" w14:textId="77777777" w:rsidR="00005A00" w:rsidRPr="00256982" w:rsidRDefault="00005A00" w:rsidP="00AA14F1">
            <w:pPr>
              <w:pStyle w:val="TableTextBold"/>
              <w:spacing w:before="50" w:after="50"/>
              <w:rPr>
                <w:noProof w:val="0"/>
              </w:rPr>
            </w:pPr>
            <w:r w:rsidRPr="00256982">
              <w:rPr>
                <w:noProof w:val="0"/>
              </w:rPr>
              <w:t>1962</w:t>
            </w:r>
          </w:p>
        </w:tc>
        <w:tc>
          <w:tcPr>
            <w:tcW w:w="2475" w:type="dxa"/>
            <w:tcBorders>
              <w:top w:val="single" w:sz="4" w:space="0" w:color="365F91"/>
              <w:bottom w:val="single" w:sz="4" w:space="0" w:color="365F91"/>
            </w:tcBorders>
            <w:shd w:val="clear" w:color="auto" w:fill="auto"/>
          </w:tcPr>
          <w:p w14:paraId="36D71DBD" w14:textId="77777777" w:rsidR="00005A00" w:rsidRPr="00256982" w:rsidRDefault="00005A00" w:rsidP="00AA14F1">
            <w:pPr>
              <w:pStyle w:val="TableText"/>
              <w:keepNext/>
              <w:spacing w:before="50" w:after="50"/>
              <w:jc w:val="center"/>
            </w:pPr>
            <w:r w:rsidRPr="00256982">
              <w:t xml:space="preserve"> 1,337.8 </w:t>
            </w:r>
          </w:p>
        </w:tc>
        <w:tc>
          <w:tcPr>
            <w:tcW w:w="2475" w:type="dxa"/>
            <w:tcBorders>
              <w:top w:val="single" w:sz="4" w:space="0" w:color="365F91"/>
              <w:bottom w:val="single" w:sz="4" w:space="0" w:color="365F91"/>
            </w:tcBorders>
            <w:shd w:val="clear" w:color="auto" w:fill="auto"/>
          </w:tcPr>
          <w:p w14:paraId="759CB2E0" w14:textId="77777777" w:rsidR="00005A00" w:rsidRPr="00256982" w:rsidRDefault="00005A00" w:rsidP="00AA14F1">
            <w:pPr>
              <w:pStyle w:val="TableText"/>
              <w:keepNext/>
              <w:spacing w:before="50" w:after="50"/>
              <w:jc w:val="center"/>
            </w:pPr>
            <w:r w:rsidRPr="00256982">
              <w:t xml:space="preserve"> 1,187.5 </w:t>
            </w:r>
          </w:p>
        </w:tc>
        <w:tc>
          <w:tcPr>
            <w:tcW w:w="2477" w:type="dxa"/>
            <w:tcBorders>
              <w:top w:val="single" w:sz="4" w:space="0" w:color="365F91"/>
              <w:bottom w:val="single" w:sz="4" w:space="0" w:color="365F91"/>
            </w:tcBorders>
            <w:shd w:val="clear" w:color="auto" w:fill="auto"/>
          </w:tcPr>
          <w:p w14:paraId="178725B3" w14:textId="77777777" w:rsidR="00005A00" w:rsidRPr="00256982" w:rsidRDefault="00005A00" w:rsidP="00AA14F1">
            <w:pPr>
              <w:pStyle w:val="TableText"/>
              <w:keepNext/>
              <w:spacing w:before="50" w:after="50"/>
              <w:jc w:val="center"/>
            </w:pPr>
            <w:r w:rsidRPr="00256982">
              <w:t xml:space="preserve"> 2,525.3 </w:t>
            </w:r>
          </w:p>
        </w:tc>
      </w:tr>
      <w:tr w:rsidR="00005A00" w:rsidRPr="00256982" w14:paraId="210F2F82" w14:textId="77777777" w:rsidTr="00AA14F1">
        <w:tc>
          <w:tcPr>
            <w:tcW w:w="1078" w:type="dxa"/>
            <w:tcBorders>
              <w:top w:val="single" w:sz="4" w:space="0" w:color="365F91"/>
              <w:bottom w:val="single" w:sz="4" w:space="0" w:color="365F91"/>
            </w:tcBorders>
          </w:tcPr>
          <w:p w14:paraId="351CAFE0" w14:textId="77777777" w:rsidR="00005A00" w:rsidRPr="00256982" w:rsidRDefault="00005A00" w:rsidP="00AA14F1">
            <w:pPr>
              <w:pStyle w:val="TableTextBold"/>
              <w:spacing w:before="50" w:after="50"/>
              <w:rPr>
                <w:noProof w:val="0"/>
              </w:rPr>
            </w:pPr>
            <w:r w:rsidRPr="00256982">
              <w:rPr>
                <w:noProof w:val="0"/>
              </w:rPr>
              <w:t>1963</w:t>
            </w:r>
          </w:p>
        </w:tc>
        <w:tc>
          <w:tcPr>
            <w:tcW w:w="2475" w:type="dxa"/>
            <w:tcBorders>
              <w:top w:val="single" w:sz="4" w:space="0" w:color="365F91"/>
              <w:bottom w:val="single" w:sz="4" w:space="0" w:color="365F91"/>
            </w:tcBorders>
            <w:shd w:val="clear" w:color="auto" w:fill="auto"/>
          </w:tcPr>
          <w:p w14:paraId="2893F42D" w14:textId="77777777" w:rsidR="00005A00" w:rsidRPr="00256982" w:rsidRDefault="00005A00" w:rsidP="00AA14F1">
            <w:pPr>
              <w:pStyle w:val="TableText"/>
              <w:keepNext/>
              <w:spacing w:before="50" w:after="50"/>
              <w:jc w:val="center"/>
            </w:pPr>
            <w:r w:rsidRPr="00256982">
              <w:t xml:space="preserve"> 1,329.3 </w:t>
            </w:r>
          </w:p>
        </w:tc>
        <w:tc>
          <w:tcPr>
            <w:tcW w:w="2475" w:type="dxa"/>
            <w:tcBorders>
              <w:top w:val="single" w:sz="4" w:space="0" w:color="365F91"/>
              <w:bottom w:val="single" w:sz="4" w:space="0" w:color="365F91"/>
            </w:tcBorders>
            <w:shd w:val="clear" w:color="auto" w:fill="auto"/>
          </w:tcPr>
          <w:p w14:paraId="4F0B26FB" w14:textId="77777777" w:rsidR="00005A00" w:rsidRPr="00256982" w:rsidRDefault="00005A00" w:rsidP="00AA14F1">
            <w:pPr>
              <w:pStyle w:val="TableText"/>
              <w:keepNext/>
              <w:spacing w:before="50" w:after="50"/>
              <w:jc w:val="center"/>
            </w:pPr>
            <w:r w:rsidRPr="00256982">
              <w:t xml:space="preserve"> 1,230.8 </w:t>
            </w:r>
          </w:p>
        </w:tc>
        <w:tc>
          <w:tcPr>
            <w:tcW w:w="2477" w:type="dxa"/>
            <w:tcBorders>
              <w:top w:val="single" w:sz="4" w:space="0" w:color="365F91"/>
              <w:bottom w:val="single" w:sz="4" w:space="0" w:color="365F91"/>
            </w:tcBorders>
            <w:shd w:val="clear" w:color="auto" w:fill="auto"/>
          </w:tcPr>
          <w:p w14:paraId="79E353B5" w14:textId="77777777" w:rsidR="00005A00" w:rsidRPr="00256982" w:rsidRDefault="00005A00" w:rsidP="00AA14F1">
            <w:pPr>
              <w:pStyle w:val="TableText"/>
              <w:keepNext/>
              <w:spacing w:before="50" w:after="50"/>
              <w:jc w:val="center"/>
            </w:pPr>
            <w:r w:rsidRPr="00256982">
              <w:t xml:space="preserve"> 2,560.1 </w:t>
            </w:r>
          </w:p>
        </w:tc>
      </w:tr>
      <w:tr w:rsidR="00005A00" w:rsidRPr="00256982" w14:paraId="285F52B7" w14:textId="77777777" w:rsidTr="00AA14F1">
        <w:tc>
          <w:tcPr>
            <w:tcW w:w="1078" w:type="dxa"/>
            <w:tcBorders>
              <w:top w:val="single" w:sz="4" w:space="0" w:color="365F91"/>
              <w:bottom w:val="single" w:sz="4" w:space="0" w:color="365F91"/>
            </w:tcBorders>
          </w:tcPr>
          <w:p w14:paraId="5E9E3F4E" w14:textId="77777777" w:rsidR="00005A00" w:rsidRPr="00256982" w:rsidRDefault="00005A00" w:rsidP="00AA14F1">
            <w:pPr>
              <w:pStyle w:val="TableTextBold"/>
              <w:spacing w:before="50" w:after="50"/>
              <w:rPr>
                <w:noProof w:val="0"/>
              </w:rPr>
            </w:pPr>
            <w:r w:rsidRPr="00256982">
              <w:rPr>
                <w:noProof w:val="0"/>
              </w:rPr>
              <w:t>1964</w:t>
            </w:r>
          </w:p>
        </w:tc>
        <w:tc>
          <w:tcPr>
            <w:tcW w:w="2475" w:type="dxa"/>
            <w:tcBorders>
              <w:top w:val="single" w:sz="4" w:space="0" w:color="365F91"/>
              <w:bottom w:val="single" w:sz="4" w:space="0" w:color="365F91"/>
            </w:tcBorders>
            <w:shd w:val="clear" w:color="auto" w:fill="auto"/>
          </w:tcPr>
          <w:p w14:paraId="77EF6C33" w14:textId="77777777" w:rsidR="00005A00" w:rsidRPr="00256982" w:rsidRDefault="00005A00" w:rsidP="00AA14F1">
            <w:pPr>
              <w:pStyle w:val="TableText"/>
              <w:keepNext/>
              <w:spacing w:before="50" w:after="50"/>
              <w:jc w:val="center"/>
            </w:pPr>
            <w:r w:rsidRPr="00256982">
              <w:t xml:space="preserve"> 1,318.3 </w:t>
            </w:r>
          </w:p>
        </w:tc>
        <w:tc>
          <w:tcPr>
            <w:tcW w:w="2475" w:type="dxa"/>
            <w:tcBorders>
              <w:top w:val="single" w:sz="4" w:space="0" w:color="365F91"/>
              <w:bottom w:val="single" w:sz="4" w:space="0" w:color="365F91"/>
            </w:tcBorders>
            <w:shd w:val="clear" w:color="auto" w:fill="auto"/>
          </w:tcPr>
          <w:p w14:paraId="3716CAB4" w14:textId="77777777" w:rsidR="00005A00" w:rsidRPr="00256982" w:rsidRDefault="00005A00" w:rsidP="00AA14F1">
            <w:pPr>
              <w:pStyle w:val="TableText"/>
              <w:keepNext/>
              <w:spacing w:before="50" w:after="50"/>
              <w:jc w:val="center"/>
            </w:pPr>
            <w:r w:rsidRPr="00256982">
              <w:t xml:space="preserve"> 1,275.7 </w:t>
            </w:r>
          </w:p>
        </w:tc>
        <w:tc>
          <w:tcPr>
            <w:tcW w:w="2477" w:type="dxa"/>
            <w:tcBorders>
              <w:top w:val="single" w:sz="4" w:space="0" w:color="365F91"/>
              <w:bottom w:val="single" w:sz="4" w:space="0" w:color="365F91"/>
            </w:tcBorders>
            <w:shd w:val="clear" w:color="auto" w:fill="auto"/>
          </w:tcPr>
          <w:p w14:paraId="006B1DB5" w14:textId="77777777" w:rsidR="00005A00" w:rsidRPr="00256982" w:rsidRDefault="00005A00" w:rsidP="00AA14F1">
            <w:pPr>
              <w:pStyle w:val="TableText"/>
              <w:keepNext/>
              <w:spacing w:before="50" w:after="50"/>
              <w:jc w:val="center"/>
            </w:pPr>
            <w:r w:rsidRPr="00256982">
              <w:t xml:space="preserve"> 2,594.0 </w:t>
            </w:r>
          </w:p>
        </w:tc>
      </w:tr>
      <w:tr w:rsidR="00005A00" w:rsidRPr="00256982" w14:paraId="7723C693" w14:textId="77777777" w:rsidTr="00AA14F1">
        <w:tc>
          <w:tcPr>
            <w:tcW w:w="1078" w:type="dxa"/>
            <w:tcBorders>
              <w:top w:val="single" w:sz="4" w:space="0" w:color="365F91"/>
              <w:bottom w:val="single" w:sz="4" w:space="0" w:color="365F91"/>
            </w:tcBorders>
          </w:tcPr>
          <w:p w14:paraId="6BF50587" w14:textId="77777777" w:rsidR="00005A00" w:rsidRPr="00256982" w:rsidRDefault="00005A00" w:rsidP="00AA14F1">
            <w:pPr>
              <w:pStyle w:val="TableTextBold"/>
              <w:spacing w:before="50" w:after="50"/>
              <w:rPr>
                <w:noProof w:val="0"/>
              </w:rPr>
            </w:pPr>
            <w:r w:rsidRPr="00256982">
              <w:rPr>
                <w:noProof w:val="0"/>
              </w:rPr>
              <w:t>1965</w:t>
            </w:r>
          </w:p>
        </w:tc>
        <w:tc>
          <w:tcPr>
            <w:tcW w:w="2475" w:type="dxa"/>
            <w:tcBorders>
              <w:top w:val="single" w:sz="4" w:space="0" w:color="365F91"/>
              <w:bottom w:val="single" w:sz="4" w:space="0" w:color="365F91"/>
            </w:tcBorders>
            <w:shd w:val="clear" w:color="auto" w:fill="auto"/>
          </w:tcPr>
          <w:p w14:paraId="31E20996" w14:textId="77777777" w:rsidR="00005A00" w:rsidRPr="00256982" w:rsidRDefault="00005A00" w:rsidP="00AA14F1">
            <w:pPr>
              <w:pStyle w:val="TableText"/>
              <w:keepNext/>
              <w:spacing w:before="50" w:after="50"/>
              <w:jc w:val="center"/>
            </w:pPr>
            <w:r w:rsidRPr="00256982">
              <w:t xml:space="preserve"> 1,295.8 </w:t>
            </w:r>
          </w:p>
        </w:tc>
        <w:tc>
          <w:tcPr>
            <w:tcW w:w="2475" w:type="dxa"/>
            <w:tcBorders>
              <w:top w:val="single" w:sz="4" w:space="0" w:color="365F91"/>
              <w:bottom w:val="single" w:sz="4" w:space="0" w:color="365F91"/>
            </w:tcBorders>
            <w:shd w:val="clear" w:color="auto" w:fill="auto"/>
          </w:tcPr>
          <w:p w14:paraId="47969330" w14:textId="77777777" w:rsidR="00005A00" w:rsidRPr="00256982" w:rsidRDefault="00005A00" w:rsidP="00AA14F1">
            <w:pPr>
              <w:pStyle w:val="TableText"/>
              <w:keepNext/>
              <w:spacing w:before="50" w:after="50"/>
              <w:jc w:val="center"/>
            </w:pPr>
            <w:r w:rsidRPr="00256982">
              <w:t xml:space="preserve"> 1,322.2 </w:t>
            </w:r>
          </w:p>
        </w:tc>
        <w:tc>
          <w:tcPr>
            <w:tcW w:w="2477" w:type="dxa"/>
            <w:tcBorders>
              <w:top w:val="single" w:sz="4" w:space="0" w:color="365F91"/>
              <w:bottom w:val="single" w:sz="4" w:space="0" w:color="365F91"/>
            </w:tcBorders>
            <w:shd w:val="clear" w:color="auto" w:fill="auto"/>
          </w:tcPr>
          <w:p w14:paraId="76996E27" w14:textId="77777777" w:rsidR="00005A00" w:rsidRPr="00256982" w:rsidRDefault="00005A00" w:rsidP="00AA14F1">
            <w:pPr>
              <w:pStyle w:val="TableText"/>
              <w:keepNext/>
              <w:spacing w:before="50" w:after="50"/>
              <w:jc w:val="center"/>
            </w:pPr>
            <w:r w:rsidRPr="00256982">
              <w:t xml:space="preserve"> 2,618.0 </w:t>
            </w:r>
          </w:p>
        </w:tc>
      </w:tr>
      <w:tr w:rsidR="00005A00" w:rsidRPr="00256982" w14:paraId="7903C041" w14:textId="77777777" w:rsidTr="00AA14F1">
        <w:tc>
          <w:tcPr>
            <w:tcW w:w="1078" w:type="dxa"/>
            <w:tcBorders>
              <w:top w:val="single" w:sz="4" w:space="0" w:color="365F91"/>
              <w:bottom w:val="single" w:sz="4" w:space="0" w:color="365F91"/>
            </w:tcBorders>
          </w:tcPr>
          <w:p w14:paraId="3285F1B6" w14:textId="77777777" w:rsidR="00005A00" w:rsidRPr="00256982" w:rsidRDefault="00005A00" w:rsidP="00AA14F1">
            <w:pPr>
              <w:pStyle w:val="TableTextBold"/>
              <w:spacing w:before="50" w:after="50"/>
              <w:rPr>
                <w:noProof w:val="0"/>
              </w:rPr>
            </w:pPr>
            <w:r w:rsidRPr="00256982">
              <w:rPr>
                <w:noProof w:val="0"/>
              </w:rPr>
              <w:t>1966</w:t>
            </w:r>
          </w:p>
        </w:tc>
        <w:tc>
          <w:tcPr>
            <w:tcW w:w="2475" w:type="dxa"/>
            <w:tcBorders>
              <w:top w:val="single" w:sz="4" w:space="0" w:color="365F91"/>
              <w:bottom w:val="single" w:sz="4" w:space="0" w:color="365F91"/>
            </w:tcBorders>
            <w:shd w:val="clear" w:color="auto" w:fill="auto"/>
          </w:tcPr>
          <w:p w14:paraId="579693C7" w14:textId="77777777" w:rsidR="00005A00" w:rsidRPr="00256982" w:rsidRDefault="00005A00" w:rsidP="00AA14F1">
            <w:pPr>
              <w:pStyle w:val="TableText"/>
              <w:keepNext/>
              <w:spacing w:before="50" w:after="50"/>
              <w:jc w:val="center"/>
            </w:pPr>
            <w:r w:rsidRPr="00256982">
              <w:t xml:space="preserve"> 1,285.2 </w:t>
            </w:r>
          </w:p>
        </w:tc>
        <w:tc>
          <w:tcPr>
            <w:tcW w:w="2475" w:type="dxa"/>
            <w:tcBorders>
              <w:top w:val="single" w:sz="4" w:space="0" w:color="365F91"/>
              <w:bottom w:val="single" w:sz="4" w:space="0" w:color="365F91"/>
            </w:tcBorders>
            <w:shd w:val="clear" w:color="auto" w:fill="auto"/>
          </w:tcPr>
          <w:p w14:paraId="46B03021" w14:textId="77777777" w:rsidR="00005A00" w:rsidRPr="00256982" w:rsidRDefault="00005A00" w:rsidP="00AA14F1">
            <w:pPr>
              <w:pStyle w:val="TableText"/>
              <w:keepNext/>
              <w:spacing w:before="50" w:after="50"/>
              <w:jc w:val="center"/>
            </w:pPr>
            <w:r w:rsidRPr="00256982">
              <w:t xml:space="preserve"> 1,370.3 </w:t>
            </w:r>
          </w:p>
        </w:tc>
        <w:tc>
          <w:tcPr>
            <w:tcW w:w="2477" w:type="dxa"/>
            <w:tcBorders>
              <w:top w:val="single" w:sz="4" w:space="0" w:color="365F91"/>
              <w:bottom w:val="single" w:sz="4" w:space="0" w:color="365F91"/>
            </w:tcBorders>
            <w:shd w:val="clear" w:color="auto" w:fill="auto"/>
          </w:tcPr>
          <w:p w14:paraId="70333EF9" w14:textId="77777777" w:rsidR="00005A00" w:rsidRPr="00256982" w:rsidRDefault="00005A00" w:rsidP="00AA14F1">
            <w:pPr>
              <w:pStyle w:val="TableText"/>
              <w:keepNext/>
              <w:spacing w:before="50" w:after="50"/>
              <w:jc w:val="center"/>
            </w:pPr>
            <w:r w:rsidRPr="00256982">
              <w:t xml:space="preserve"> 2,655.6 </w:t>
            </w:r>
          </w:p>
        </w:tc>
      </w:tr>
      <w:tr w:rsidR="00005A00" w:rsidRPr="00256982" w14:paraId="7B47F6A3" w14:textId="77777777" w:rsidTr="00AA14F1">
        <w:tc>
          <w:tcPr>
            <w:tcW w:w="1078" w:type="dxa"/>
            <w:tcBorders>
              <w:top w:val="single" w:sz="4" w:space="0" w:color="365F91"/>
              <w:bottom w:val="single" w:sz="4" w:space="0" w:color="365F91"/>
            </w:tcBorders>
          </w:tcPr>
          <w:p w14:paraId="1FF369BD" w14:textId="77777777" w:rsidR="00005A00" w:rsidRPr="00256982" w:rsidRDefault="00005A00" w:rsidP="00AA14F1">
            <w:pPr>
              <w:pStyle w:val="TableTextBold"/>
              <w:spacing w:before="50" w:after="50"/>
              <w:rPr>
                <w:noProof w:val="0"/>
              </w:rPr>
            </w:pPr>
            <w:r w:rsidRPr="00256982">
              <w:rPr>
                <w:noProof w:val="0"/>
              </w:rPr>
              <w:t>1967</w:t>
            </w:r>
          </w:p>
        </w:tc>
        <w:tc>
          <w:tcPr>
            <w:tcW w:w="2475" w:type="dxa"/>
            <w:tcBorders>
              <w:top w:val="single" w:sz="4" w:space="0" w:color="365F91"/>
              <w:bottom w:val="single" w:sz="4" w:space="0" w:color="365F91"/>
            </w:tcBorders>
            <w:shd w:val="clear" w:color="auto" w:fill="auto"/>
          </w:tcPr>
          <w:p w14:paraId="582C2F55" w14:textId="77777777" w:rsidR="00005A00" w:rsidRPr="00256982" w:rsidRDefault="00005A00" w:rsidP="00AA14F1">
            <w:pPr>
              <w:pStyle w:val="TableText"/>
              <w:keepNext/>
              <w:spacing w:before="50" w:after="50"/>
              <w:jc w:val="center"/>
            </w:pPr>
            <w:r w:rsidRPr="00256982">
              <w:t xml:space="preserve"> 1,253.7 </w:t>
            </w:r>
          </w:p>
        </w:tc>
        <w:tc>
          <w:tcPr>
            <w:tcW w:w="2475" w:type="dxa"/>
            <w:tcBorders>
              <w:top w:val="single" w:sz="4" w:space="0" w:color="365F91"/>
              <w:bottom w:val="single" w:sz="4" w:space="0" w:color="365F91"/>
            </w:tcBorders>
            <w:shd w:val="clear" w:color="auto" w:fill="auto"/>
          </w:tcPr>
          <w:p w14:paraId="3220A825" w14:textId="77777777" w:rsidR="00005A00" w:rsidRPr="00256982" w:rsidRDefault="00005A00" w:rsidP="00AA14F1">
            <w:pPr>
              <w:pStyle w:val="TableText"/>
              <w:keepNext/>
              <w:spacing w:before="50" w:after="50"/>
              <w:jc w:val="center"/>
            </w:pPr>
            <w:r w:rsidRPr="00256982">
              <w:t xml:space="preserve"> 1,420.2 </w:t>
            </w:r>
          </w:p>
        </w:tc>
        <w:tc>
          <w:tcPr>
            <w:tcW w:w="2477" w:type="dxa"/>
            <w:tcBorders>
              <w:top w:val="single" w:sz="4" w:space="0" w:color="365F91"/>
              <w:bottom w:val="single" w:sz="4" w:space="0" w:color="365F91"/>
            </w:tcBorders>
            <w:shd w:val="clear" w:color="auto" w:fill="auto"/>
          </w:tcPr>
          <w:p w14:paraId="29DF6C3C" w14:textId="77777777" w:rsidR="00005A00" w:rsidRPr="00256982" w:rsidRDefault="00005A00" w:rsidP="00AA14F1">
            <w:pPr>
              <w:pStyle w:val="TableText"/>
              <w:keepNext/>
              <w:spacing w:before="50" w:after="50"/>
              <w:jc w:val="center"/>
            </w:pPr>
            <w:r w:rsidRPr="00256982">
              <w:t xml:space="preserve"> 2,673.9 </w:t>
            </w:r>
          </w:p>
        </w:tc>
      </w:tr>
      <w:tr w:rsidR="00005A00" w:rsidRPr="00256982" w14:paraId="3A06C20F" w14:textId="77777777" w:rsidTr="00AA14F1">
        <w:tc>
          <w:tcPr>
            <w:tcW w:w="1078" w:type="dxa"/>
            <w:tcBorders>
              <w:top w:val="single" w:sz="4" w:space="0" w:color="365F91"/>
              <w:bottom w:val="single" w:sz="4" w:space="0" w:color="365F91"/>
            </w:tcBorders>
          </w:tcPr>
          <w:p w14:paraId="12CDB7F0" w14:textId="77777777" w:rsidR="00005A00" w:rsidRPr="00256982" w:rsidRDefault="00005A00" w:rsidP="00AA14F1">
            <w:pPr>
              <w:pStyle w:val="TableTextBold"/>
              <w:spacing w:before="50" w:after="50"/>
              <w:rPr>
                <w:noProof w:val="0"/>
              </w:rPr>
            </w:pPr>
            <w:r w:rsidRPr="00256982">
              <w:rPr>
                <w:noProof w:val="0"/>
              </w:rPr>
              <w:t>1968</w:t>
            </w:r>
          </w:p>
        </w:tc>
        <w:tc>
          <w:tcPr>
            <w:tcW w:w="2475" w:type="dxa"/>
            <w:tcBorders>
              <w:top w:val="single" w:sz="4" w:space="0" w:color="365F91"/>
              <w:bottom w:val="single" w:sz="4" w:space="0" w:color="365F91"/>
            </w:tcBorders>
            <w:shd w:val="clear" w:color="auto" w:fill="auto"/>
          </w:tcPr>
          <w:p w14:paraId="79163B3D" w14:textId="77777777" w:rsidR="00005A00" w:rsidRPr="00256982" w:rsidRDefault="00005A00" w:rsidP="00AA14F1">
            <w:pPr>
              <w:pStyle w:val="TableText"/>
              <w:keepNext/>
              <w:spacing w:before="50" w:after="50"/>
              <w:jc w:val="center"/>
            </w:pPr>
            <w:r w:rsidRPr="00256982">
              <w:t xml:space="preserve"> 1,229.5 </w:t>
            </w:r>
          </w:p>
        </w:tc>
        <w:tc>
          <w:tcPr>
            <w:tcW w:w="2475" w:type="dxa"/>
            <w:tcBorders>
              <w:top w:val="single" w:sz="4" w:space="0" w:color="365F91"/>
              <w:bottom w:val="single" w:sz="4" w:space="0" w:color="365F91"/>
            </w:tcBorders>
            <w:shd w:val="clear" w:color="auto" w:fill="auto"/>
          </w:tcPr>
          <w:p w14:paraId="64EB972F" w14:textId="77777777" w:rsidR="00005A00" w:rsidRPr="00256982" w:rsidRDefault="00005A00" w:rsidP="00AA14F1">
            <w:pPr>
              <w:pStyle w:val="TableText"/>
              <w:keepNext/>
              <w:spacing w:before="50" w:after="50"/>
              <w:jc w:val="center"/>
            </w:pPr>
            <w:r w:rsidRPr="00256982">
              <w:t xml:space="preserve"> 1,471.9 </w:t>
            </w:r>
          </w:p>
        </w:tc>
        <w:tc>
          <w:tcPr>
            <w:tcW w:w="2477" w:type="dxa"/>
            <w:tcBorders>
              <w:top w:val="single" w:sz="4" w:space="0" w:color="365F91"/>
              <w:bottom w:val="single" w:sz="4" w:space="0" w:color="365F91"/>
            </w:tcBorders>
            <w:shd w:val="clear" w:color="auto" w:fill="auto"/>
          </w:tcPr>
          <w:p w14:paraId="3D13C203" w14:textId="77777777" w:rsidR="00005A00" w:rsidRPr="00256982" w:rsidRDefault="00005A00" w:rsidP="00AA14F1">
            <w:pPr>
              <w:pStyle w:val="TableText"/>
              <w:keepNext/>
              <w:spacing w:before="50" w:after="50"/>
              <w:jc w:val="center"/>
            </w:pPr>
            <w:r w:rsidRPr="00256982">
              <w:t xml:space="preserve"> 2,701.4 </w:t>
            </w:r>
          </w:p>
        </w:tc>
      </w:tr>
      <w:tr w:rsidR="00005A00" w:rsidRPr="00256982" w14:paraId="5188CA4B" w14:textId="77777777" w:rsidTr="00AA14F1">
        <w:tc>
          <w:tcPr>
            <w:tcW w:w="1078" w:type="dxa"/>
            <w:tcBorders>
              <w:top w:val="single" w:sz="4" w:space="0" w:color="365F91"/>
              <w:bottom w:val="single" w:sz="4" w:space="0" w:color="365F91"/>
            </w:tcBorders>
          </w:tcPr>
          <w:p w14:paraId="304F928A" w14:textId="77777777" w:rsidR="00005A00" w:rsidRPr="00256982" w:rsidRDefault="00005A00" w:rsidP="00AA14F1">
            <w:pPr>
              <w:pStyle w:val="TableTextBold"/>
              <w:spacing w:before="50" w:after="50"/>
              <w:rPr>
                <w:noProof w:val="0"/>
              </w:rPr>
            </w:pPr>
            <w:r w:rsidRPr="00256982">
              <w:rPr>
                <w:noProof w:val="0"/>
              </w:rPr>
              <w:t>1969</w:t>
            </w:r>
          </w:p>
        </w:tc>
        <w:tc>
          <w:tcPr>
            <w:tcW w:w="2475" w:type="dxa"/>
            <w:tcBorders>
              <w:top w:val="single" w:sz="4" w:space="0" w:color="365F91"/>
              <w:bottom w:val="single" w:sz="4" w:space="0" w:color="365F91"/>
            </w:tcBorders>
            <w:shd w:val="clear" w:color="auto" w:fill="auto"/>
          </w:tcPr>
          <w:p w14:paraId="77B590D8" w14:textId="77777777" w:rsidR="00005A00" w:rsidRPr="00256982" w:rsidRDefault="00005A00" w:rsidP="00AA14F1">
            <w:pPr>
              <w:pStyle w:val="TableText"/>
              <w:keepNext/>
              <w:spacing w:before="50" w:after="50"/>
              <w:jc w:val="center"/>
            </w:pPr>
            <w:r w:rsidRPr="00256982">
              <w:t xml:space="preserve"> 1,220.6 </w:t>
            </w:r>
          </w:p>
        </w:tc>
        <w:tc>
          <w:tcPr>
            <w:tcW w:w="2475" w:type="dxa"/>
            <w:tcBorders>
              <w:top w:val="single" w:sz="4" w:space="0" w:color="365F91"/>
              <w:bottom w:val="single" w:sz="4" w:space="0" w:color="365F91"/>
            </w:tcBorders>
            <w:shd w:val="clear" w:color="auto" w:fill="auto"/>
          </w:tcPr>
          <w:p w14:paraId="0B82B113" w14:textId="77777777" w:rsidR="00005A00" w:rsidRPr="00256982" w:rsidRDefault="00005A00" w:rsidP="00AA14F1">
            <w:pPr>
              <w:pStyle w:val="TableText"/>
              <w:keepNext/>
              <w:spacing w:before="50" w:after="50"/>
              <w:jc w:val="center"/>
            </w:pPr>
            <w:r w:rsidRPr="00256982">
              <w:t xml:space="preserve"> 1,525.4 </w:t>
            </w:r>
          </w:p>
        </w:tc>
        <w:tc>
          <w:tcPr>
            <w:tcW w:w="2477" w:type="dxa"/>
            <w:tcBorders>
              <w:top w:val="single" w:sz="4" w:space="0" w:color="365F91"/>
              <w:bottom w:val="single" w:sz="4" w:space="0" w:color="365F91"/>
            </w:tcBorders>
            <w:shd w:val="clear" w:color="auto" w:fill="auto"/>
          </w:tcPr>
          <w:p w14:paraId="2FCFCA18" w14:textId="77777777" w:rsidR="00005A00" w:rsidRPr="00256982" w:rsidRDefault="00005A00" w:rsidP="00AA14F1">
            <w:pPr>
              <w:pStyle w:val="TableText"/>
              <w:keepNext/>
              <w:spacing w:before="50" w:after="50"/>
              <w:jc w:val="center"/>
            </w:pPr>
            <w:r w:rsidRPr="00256982">
              <w:t xml:space="preserve"> 2,746.0 </w:t>
            </w:r>
          </w:p>
        </w:tc>
      </w:tr>
      <w:tr w:rsidR="00005A00" w:rsidRPr="00256982" w14:paraId="5E99F35B" w14:textId="77777777" w:rsidTr="00AA14F1">
        <w:tc>
          <w:tcPr>
            <w:tcW w:w="1078" w:type="dxa"/>
            <w:tcBorders>
              <w:top w:val="single" w:sz="4" w:space="0" w:color="365F91"/>
              <w:bottom w:val="single" w:sz="4" w:space="0" w:color="365F91"/>
            </w:tcBorders>
          </w:tcPr>
          <w:p w14:paraId="07C57558" w14:textId="77777777" w:rsidR="00005A00" w:rsidRPr="00256982" w:rsidRDefault="00005A00" w:rsidP="00AA14F1">
            <w:pPr>
              <w:pStyle w:val="TableTextBold"/>
              <w:spacing w:before="50" w:after="50"/>
              <w:rPr>
                <w:noProof w:val="0"/>
              </w:rPr>
            </w:pPr>
            <w:r w:rsidRPr="00256982">
              <w:rPr>
                <w:noProof w:val="0"/>
              </w:rPr>
              <w:t>1970</w:t>
            </w:r>
          </w:p>
        </w:tc>
        <w:tc>
          <w:tcPr>
            <w:tcW w:w="2475" w:type="dxa"/>
            <w:tcBorders>
              <w:top w:val="single" w:sz="4" w:space="0" w:color="365F91"/>
              <w:bottom w:val="single" w:sz="4" w:space="0" w:color="365F91"/>
            </w:tcBorders>
            <w:shd w:val="clear" w:color="auto" w:fill="auto"/>
          </w:tcPr>
          <w:p w14:paraId="3D335921" w14:textId="77777777" w:rsidR="00005A00" w:rsidRPr="00256982" w:rsidRDefault="00005A00" w:rsidP="00AA14F1">
            <w:pPr>
              <w:pStyle w:val="TableText"/>
              <w:keepNext/>
              <w:spacing w:before="50" w:after="50"/>
              <w:jc w:val="center"/>
            </w:pPr>
            <w:r w:rsidRPr="00256982">
              <w:t xml:space="preserve"> 1,201.3 </w:t>
            </w:r>
          </w:p>
        </w:tc>
        <w:tc>
          <w:tcPr>
            <w:tcW w:w="2475" w:type="dxa"/>
            <w:tcBorders>
              <w:top w:val="single" w:sz="4" w:space="0" w:color="365F91"/>
              <w:bottom w:val="single" w:sz="4" w:space="0" w:color="365F91"/>
            </w:tcBorders>
            <w:shd w:val="clear" w:color="auto" w:fill="auto"/>
          </w:tcPr>
          <w:p w14:paraId="75EF2E9C" w14:textId="77777777" w:rsidR="00005A00" w:rsidRPr="00256982" w:rsidRDefault="00005A00" w:rsidP="00AA14F1">
            <w:pPr>
              <w:pStyle w:val="TableText"/>
              <w:keepNext/>
              <w:spacing w:before="50" w:after="50"/>
              <w:jc w:val="center"/>
            </w:pPr>
            <w:r w:rsidRPr="00256982">
              <w:t xml:space="preserve"> 1,580.8 </w:t>
            </w:r>
          </w:p>
        </w:tc>
        <w:tc>
          <w:tcPr>
            <w:tcW w:w="2477" w:type="dxa"/>
            <w:tcBorders>
              <w:top w:val="single" w:sz="4" w:space="0" w:color="365F91"/>
              <w:bottom w:val="single" w:sz="4" w:space="0" w:color="365F91"/>
            </w:tcBorders>
            <w:shd w:val="clear" w:color="auto" w:fill="auto"/>
          </w:tcPr>
          <w:p w14:paraId="73DC1EE4" w14:textId="77777777" w:rsidR="00005A00" w:rsidRPr="00256982" w:rsidRDefault="00005A00" w:rsidP="00AA14F1">
            <w:pPr>
              <w:pStyle w:val="TableText"/>
              <w:keepNext/>
              <w:spacing w:before="50" w:after="50"/>
              <w:jc w:val="center"/>
            </w:pPr>
            <w:r w:rsidRPr="00256982">
              <w:t xml:space="preserve"> 2,782.1 </w:t>
            </w:r>
          </w:p>
        </w:tc>
      </w:tr>
      <w:tr w:rsidR="00005A00" w:rsidRPr="00256982" w14:paraId="3A60F1D4" w14:textId="77777777" w:rsidTr="00AA14F1">
        <w:tc>
          <w:tcPr>
            <w:tcW w:w="1078" w:type="dxa"/>
            <w:tcBorders>
              <w:top w:val="single" w:sz="4" w:space="0" w:color="365F91"/>
              <w:bottom w:val="single" w:sz="4" w:space="0" w:color="365F91"/>
            </w:tcBorders>
          </w:tcPr>
          <w:p w14:paraId="5319E4DD" w14:textId="77777777" w:rsidR="00005A00" w:rsidRPr="00256982" w:rsidRDefault="00005A00" w:rsidP="00AA14F1">
            <w:pPr>
              <w:pStyle w:val="TableTextBold"/>
              <w:spacing w:before="50" w:after="50"/>
              <w:rPr>
                <w:noProof w:val="0"/>
              </w:rPr>
            </w:pPr>
            <w:r w:rsidRPr="00256982">
              <w:rPr>
                <w:noProof w:val="0"/>
              </w:rPr>
              <w:t>1971</w:t>
            </w:r>
          </w:p>
        </w:tc>
        <w:tc>
          <w:tcPr>
            <w:tcW w:w="2475" w:type="dxa"/>
            <w:tcBorders>
              <w:top w:val="single" w:sz="4" w:space="0" w:color="365F91"/>
              <w:bottom w:val="single" w:sz="4" w:space="0" w:color="365F91"/>
            </w:tcBorders>
            <w:shd w:val="clear" w:color="auto" w:fill="auto"/>
          </w:tcPr>
          <w:p w14:paraId="236DE753" w14:textId="77777777" w:rsidR="00005A00" w:rsidRPr="00256982" w:rsidRDefault="00005A00" w:rsidP="00AA14F1">
            <w:pPr>
              <w:pStyle w:val="TableText"/>
              <w:keepNext/>
              <w:spacing w:before="50" w:after="50"/>
              <w:jc w:val="center"/>
            </w:pPr>
            <w:r w:rsidRPr="00256982">
              <w:t xml:space="preserve"> 1,193.0 </w:t>
            </w:r>
          </w:p>
        </w:tc>
        <w:tc>
          <w:tcPr>
            <w:tcW w:w="2475" w:type="dxa"/>
            <w:tcBorders>
              <w:top w:val="single" w:sz="4" w:space="0" w:color="365F91"/>
              <w:bottom w:val="single" w:sz="4" w:space="0" w:color="365F91"/>
            </w:tcBorders>
            <w:shd w:val="clear" w:color="auto" w:fill="auto"/>
          </w:tcPr>
          <w:p w14:paraId="4A502A5A" w14:textId="77777777" w:rsidR="00005A00" w:rsidRPr="00256982" w:rsidRDefault="00005A00" w:rsidP="00AA14F1">
            <w:pPr>
              <w:pStyle w:val="TableText"/>
              <w:keepNext/>
              <w:spacing w:before="50" w:after="50"/>
              <w:jc w:val="center"/>
            </w:pPr>
            <w:r w:rsidRPr="00256982">
              <w:t xml:space="preserve"> 1,638.2 </w:t>
            </w:r>
          </w:p>
        </w:tc>
        <w:tc>
          <w:tcPr>
            <w:tcW w:w="2477" w:type="dxa"/>
            <w:tcBorders>
              <w:top w:val="single" w:sz="4" w:space="0" w:color="365F91"/>
              <w:bottom w:val="single" w:sz="4" w:space="0" w:color="365F91"/>
            </w:tcBorders>
            <w:shd w:val="clear" w:color="auto" w:fill="auto"/>
          </w:tcPr>
          <w:p w14:paraId="00759850" w14:textId="77777777" w:rsidR="00005A00" w:rsidRPr="00256982" w:rsidRDefault="00005A00" w:rsidP="00AA14F1">
            <w:pPr>
              <w:pStyle w:val="TableText"/>
              <w:keepNext/>
              <w:spacing w:before="50" w:after="50"/>
              <w:jc w:val="center"/>
            </w:pPr>
            <w:r w:rsidRPr="00256982">
              <w:t xml:space="preserve"> 2,831.3 </w:t>
            </w:r>
          </w:p>
        </w:tc>
      </w:tr>
      <w:tr w:rsidR="00005A00" w:rsidRPr="00256982" w14:paraId="35C8EC2F" w14:textId="77777777" w:rsidTr="00AA14F1">
        <w:tc>
          <w:tcPr>
            <w:tcW w:w="1078" w:type="dxa"/>
            <w:tcBorders>
              <w:top w:val="single" w:sz="4" w:space="0" w:color="365F91"/>
              <w:bottom w:val="single" w:sz="4" w:space="0" w:color="365F91"/>
            </w:tcBorders>
          </w:tcPr>
          <w:p w14:paraId="342A37C5" w14:textId="77777777" w:rsidR="00005A00" w:rsidRPr="00256982" w:rsidRDefault="00005A00" w:rsidP="00AA14F1">
            <w:pPr>
              <w:pStyle w:val="TableTextBold"/>
              <w:spacing w:before="50" w:after="50"/>
              <w:rPr>
                <w:noProof w:val="0"/>
              </w:rPr>
            </w:pPr>
            <w:r w:rsidRPr="00256982">
              <w:rPr>
                <w:noProof w:val="0"/>
              </w:rPr>
              <w:t>1972</w:t>
            </w:r>
          </w:p>
        </w:tc>
        <w:tc>
          <w:tcPr>
            <w:tcW w:w="2475" w:type="dxa"/>
            <w:tcBorders>
              <w:top w:val="single" w:sz="4" w:space="0" w:color="365F91"/>
              <w:bottom w:val="single" w:sz="4" w:space="0" w:color="365F91"/>
            </w:tcBorders>
            <w:shd w:val="clear" w:color="auto" w:fill="auto"/>
          </w:tcPr>
          <w:p w14:paraId="52AA5921" w14:textId="77777777" w:rsidR="00005A00" w:rsidRPr="00256982" w:rsidRDefault="00005A00" w:rsidP="00AA14F1">
            <w:pPr>
              <w:pStyle w:val="TableText"/>
              <w:keepNext/>
              <w:spacing w:before="50" w:after="50"/>
              <w:jc w:val="center"/>
            </w:pPr>
            <w:r w:rsidRPr="00256982">
              <w:t xml:space="preserve"> 1,154.5 </w:t>
            </w:r>
          </w:p>
        </w:tc>
        <w:tc>
          <w:tcPr>
            <w:tcW w:w="2475" w:type="dxa"/>
            <w:tcBorders>
              <w:top w:val="single" w:sz="4" w:space="0" w:color="365F91"/>
              <w:bottom w:val="single" w:sz="4" w:space="0" w:color="365F91"/>
            </w:tcBorders>
            <w:shd w:val="clear" w:color="auto" w:fill="auto"/>
          </w:tcPr>
          <w:p w14:paraId="6C2A3BA6" w14:textId="77777777" w:rsidR="00005A00" w:rsidRPr="00256982" w:rsidRDefault="00005A00" w:rsidP="00AA14F1">
            <w:pPr>
              <w:pStyle w:val="TableText"/>
              <w:keepNext/>
              <w:spacing w:before="50" w:after="50"/>
              <w:jc w:val="center"/>
            </w:pPr>
            <w:r w:rsidRPr="00256982">
              <w:t xml:space="preserve"> 1,697.7 </w:t>
            </w:r>
          </w:p>
        </w:tc>
        <w:tc>
          <w:tcPr>
            <w:tcW w:w="2477" w:type="dxa"/>
            <w:tcBorders>
              <w:top w:val="single" w:sz="4" w:space="0" w:color="365F91"/>
              <w:bottom w:val="single" w:sz="4" w:space="0" w:color="365F91"/>
            </w:tcBorders>
            <w:shd w:val="clear" w:color="auto" w:fill="auto"/>
          </w:tcPr>
          <w:p w14:paraId="2B3F4864" w14:textId="77777777" w:rsidR="00005A00" w:rsidRPr="00256982" w:rsidRDefault="00005A00" w:rsidP="00AA14F1">
            <w:pPr>
              <w:pStyle w:val="TableText"/>
              <w:keepNext/>
              <w:spacing w:before="50" w:after="50"/>
              <w:jc w:val="center"/>
            </w:pPr>
            <w:r w:rsidRPr="00256982">
              <w:t xml:space="preserve"> 2,852.3 </w:t>
            </w:r>
          </w:p>
        </w:tc>
      </w:tr>
      <w:tr w:rsidR="00005A00" w:rsidRPr="00256982" w14:paraId="7DB88728" w14:textId="77777777" w:rsidTr="00AA14F1">
        <w:tc>
          <w:tcPr>
            <w:tcW w:w="1078" w:type="dxa"/>
            <w:tcBorders>
              <w:top w:val="single" w:sz="4" w:space="0" w:color="365F91"/>
              <w:bottom w:val="single" w:sz="4" w:space="0" w:color="365F91"/>
            </w:tcBorders>
          </w:tcPr>
          <w:p w14:paraId="7819A854" w14:textId="77777777" w:rsidR="00005A00" w:rsidRPr="00256982" w:rsidRDefault="00005A00" w:rsidP="00AA14F1">
            <w:pPr>
              <w:pStyle w:val="TableTextBold"/>
              <w:spacing w:before="50" w:after="50"/>
              <w:rPr>
                <w:noProof w:val="0"/>
              </w:rPr>
            </w:pPr>
            <w:r w:rsidRPr="00256982">
              <w:rPr>
                <w:noProof w:val="0"/>
              </w:rPr>
              <w:t>1973</w:t>
            </w:r>
          </w:p>
        </w:tc>
        <w:tc>
          <w:tcPr>
            <w:tcW w:w="2475" w:type="dxa"/>
            <w:tcBorders>
              <w:top w:val="single" w:sz="4" w:space="0" w:color="365F91"/>
              <w:bottom w:val="single" w:sz="4" w:space="0" w:color="365F91"/>
            </w:tcBorders>
            <w:shd w:val="clear" w:color="auto" w:fill="auto"/>
          </w:tcPr>
          <w:p w14:paraId="0B5B95E1" w14:textId="77777777" w:rsidR="00005A00" w:rsidRPr="00256982" w:rsidRDefault="00005A00" w:rsidP="00AA14F1">
            <w:pPr>
              <w:pStyle w:val="TableText"/>
              <w:keepNext/>
              <w:spacing w:before="50" w:after="50"/>
              <w:jc w:val="center"/>
            </w:pPr>
            <w:r w:rsidRPr="00256982">
              <w:t xml:space="preserve"> 1,162.0 </w:t>
            </w:r>
          </w:p>
        </w:tc>
        <w:tc>
          <w:tcPr>
            <w:tcW w:w="2475" w:type="dxa"/>
            <w:tcBorders>
              <w:top w:val="single" w:sz="4" w:space="0" w:color="365F91"/>
              <w:bottom w:val="single" w:sz="4" w:space="0" w:color="365F91"/>
            </w:tcBorders>
            <w:shd w:val="clear" w:color="auto" w:fill="auto"/>
          </w:tcPr>
          <w:p w14:paraId="539199DA" w14:textId="77777777" w:rsidR="00005A00" w:rsidRPr="00256982" w:rsidRDefault="00005A00" w:rsidP="00AA14F1">
            <w:pPr>
              <w:pStyle w:val="TableText"/>
              <w:keepNext/>
              <w:spacing w:before="50" w:after="50"/>
              <w:jc w:val="center"/>
            </w:pPr>
            <w:r w:rsidRPr="00256982">
              <w:t xml:space="preserve"> 1,759.3 </w:t>
            </w:r>
          </w:p>
        </w:tc>
        <w:tc>
          <w:tcPr>
            <w:tcW w:w="2477" w:type="dxa"/>
            <w:tcBorders>
              <w:top w:val="single" w:sz="4" w:space="0" w:color="365F91"/>
              <w:bottom w:val="single" w:sz="4" w:space="0" w:color="365F91"/>
            </w:tcBorders>
            <w:shd w:val="clear" w:color="auto" w:fill="auto"/>
          </w:tcPr>
          <w:p w14:paraId="13C8141E" w14:textId="77777777" w:rsidR="00005A00" w:rsidRPr="00256982" w:rsidRDefault="00005A00" w:rsidP="00AA14F1">
            <w:pPr>
              <w:pStyle w:val="TableText"/>
              <w:keepNext/>
              <w:spacing w:before="50" w:after="50"/>
              <w:jc w:val="center"/>
            </w:pPr>
            <w:r w:rsidRPr="00256982">
              <w:t xml:space="preserve"> 2,921.3 </w:t>
            </w:r>
          </w:p>
        </w:tc>
      </w:tr>
      <w:tr w:rsidR="00005A00" w:rsidRPr="00256982" w14:paraId="6D633753" w14:textId="77777777" w:rsidTr="00AA14F1">
        <w:tc>
          <w:tcPr>
            <w:tcW w:w="1078" w:type="dxa"/>
            <w:tcBorders>
              <w:top w:val="single" w:sz="4" w:space="0" w:color="365F91"/>
              <w:bottom w:val="single" w:sz="4" w:space="0" w:color="365F91"/>
            </w:tcBorders>
          </w:tcPr>
          <w:p w14:paraId="2B25F594" w14:textId="77777777" w:rsidR="00005A00" w:rsidRPr="00256982" w:rsidRDefault="00005A00" w:rsidP="00AA14F1">
            <w:pPr>
              <w:pStyle w:val="TableTextBold"/>
              <w:spacing w:before="50" w:after="50"/>
              <w:rPr>
                <w:noProof w:val="0"/>
              </w:rPr>
            </w:pPr>
            <w:r w:rsidRPr="00256982">
              <w:rPr>
                <w:noProof w:val="0"/>
              </w:rPr>
              <w:t>1974</w:t>
            </w:r>
          </w:p>
        </w:tc>
        <w:tc>
          <w:tcPr>
            <w:tcW w:w="2475" w:type="dxa"/>
            <w:tcBorders>
              <w:top w:val="single" w:sz="4" w:space="0" w:color="365F91"/>
              <w:bottom w:val="single" w:sz="4" w:space="0" w:color="365F91"/>
            </w:tcBorders>
            <w:shd w:val="clear" w:color="auto" w:fill="auto"/>
          </w:tcPr>
          <w:p w14:paraId="6A4B05E8" w14:textId="77777777" w:rsidR="00005A00" w:rsidRPr="00256982" w:rsidRDefault="00005A00" w:rsidP="00AA14F1">
            <w:pPr>
              <w:pStyle w:val="TableText"/>
              <w:keepNext/>
              <w:spacing w:before="50" w:after="50"/>
              <w:jc w:val="center"/>
            </w:pPr>
            <w:r w:rsidRPr="00256982">
              <w:t xml:space="preserve"> 1,166.8 </w:t>
            </w:r>
          </w:p>
        </w:tc>
        <w:tc>
          <w:tcPr>
            <w:tcW w:w="2475" w:type="dxa"/>
            <w:tcBorders>
              <w:top w:val="single" w:sz="4" w:space="0" w:color="365F91"/>
              <w:bottom w:val="single" w:sz="4" w:space="0" w:color="365F91"/>
            </w:tcBorders>
            <w:shd w:val="clear" w:color="auto" w:fill="auto"/>
          </w:tcPr>
          <w:p w14:paraId="5B2E78A3" w14:textId="77777777" w:rsidR="00005A00" w:rsidRPr="00256982" w:rsidRDefault="00005A00" w:rsidP="00AA14F1">
            <w:pPr>
              <w:pStyle w:val="TableText"/>
              <w:keepNext/>
              <w:spacing w:before="50" w:after="50"/>
              <w:jc w:val="center"/>
            </w:pPr>
            <w:r w:rsidRPr="00256982">
              <w:t xml:space="preserve"> 1,823.1 </w:t>
            </w:r>
          </w:p>
        </w:tc>
        <w:tc>
          <w:tcPr>
            <w:tcW w:w="2477" w:type="dxa"/>
            <w:tcBorders>
              <w:top w:val="single" w:sz="4" w:space="0" w:color="365F91"/>
              <w:bottom w:val="single" w:sz="4" w:space="0" w:color="365F91"/>
            </w:tcBorders>
            <w:shd w:val="clear" w:color="auto" w:fill="auto"/>
          </w:tcPr>
          <w:p w14:paraId="20D6D983" w14:textId="77777777" w:rsidR="00005A00" w:rsidRPr="00256982" w:rsidRDefault="00005A00" w:rsidP="00AA14F1">
            <w:pPr>
              <w:pStyle w:val="TableText"/>
              <w:keepNext/>
              <w:spacing w:before="50" w:after="50"/>
              <w:jc w:val="center"/>
            </w:pPr>
            <w:r w:rsidRPr="00256982">
              <w:t xml:space="preserve"> 2,989.9 </w:t>
            </w:r>
          </w:p>
        </w:tc>
      </w:tr>
      <w:tr w:rsidR="00005A00" w:rsidRPr="00256982" w14:paraId="6F9CF562" w14:textId="77777777" w:rsidTr="00AA14F1">
        <w:tc>
          <w:tcPr>
            <w:tcW w:w="1078" w:type="dxa"/>
            <w:tcBorders>
              <w:top w:val="single" w:sz="4" w:space="0" w:color="365F91"/>
              <w:bottom w:val="single" w:sz="4" w:space="0" w:color="365F91"/>
            </w:tcBorders>
          </w:tcPr>
          <w:p w14:paraId="124E68F6" w14:textId="77777777" w:rsidR="00005A00" w:rsidRPr="00256982" w:rsidRDefault="00005A00" w:rsidP="00AA14F1">
            <w:pPr>
              <w:pStyle w:val="TableTextBold"/>
              <w:spacing w:before="50" w:after="50"/>
              <w:rPr>
                <w:noProof w:val="0"/>
              </w:rPr>
            </w:pPr>
            <w:r w:rsidRPr="00256982">
              <w:rPr>
                <w:noProof w:val="0"/>
              </w:rPr>
              <w:t>1975</w:t>
            </w:r>
          </w:p>
        </w:tc>
        <w:tc>
          <w:tcPr>
            <w:tcW w:w="2475" w:type="dxa"/>
            <w:tcBorders>
              <w:top w:val="single" w:sz="4" w:space="0" w:color="365F91"/>
              <w:bottom w:val="single" w:sz="4" w:space="0" w:color="365F91"/>
            </w:tcBorders>
            <w:shd w:val="clear" w:color="auto" w:fill="auto"/>
          </w:tcPr>
          <w:p w14:paraId="651D57F1" w14:textId="77777777" w:rsidR="00005A00" w:rsidRPr="00256982" w:rsidRDefault="00005A00" w:rsidP="00AA14F1">
            <w:pPr>
              <w:pStyle w:val="TableText"/>
              <w:keepNext/>
              <w:spacing w:before="50" w:after="50"/>
              <w:jc w:val="center"/>
            </w:pPr>
            <w:r w:rsidRPr="00256982">
              <w:t xml:space="preserve"> 1,233.1 </w:t>
            </w:r>
          </w:p>
        </w:tc>
        <w:tc>
          <w:tcPr>
            <w:tcW w:w="2475" w:type="dxa"/>
            <w:tcBorders>
              <w:top w:val="single" w:sz="4" w:space="0" w:color="365F91"/>
              <w:bottom w:val="single" w:sz="4" w:space="0" w:color="365F91"/>
            </w:tcBorders>
            <w:shd w:val="clear" w:color="auto" w:fill="auto"/>
          </w:tcPr>
          <w:p w14:paraId="31C3A9B2" w14:textId="77777777" w:rsidR="00005A00" w:rsidRPr="00256982" w:rsidRDefault="00005A00" w:rsidP="00AA14F1">
            <w:pPr>
              <w:pStyle w:val="TableText"/>
              <w:keepNext/>
              <w:spacing w:before="50" w:after="50"/>
              <w:jc w:val="center"/>
            </w:pPr>
            <w:r w:rsidRPr="00256982">
              <w:t xml:space="preserve"> 1,889.2 </w:t>
            </w:r>
          </w:p>
        </w:tc>
        <w:tc>
          <w:tcPr>
            <w:tcW w:w="2477" w:type="dxa"/>
            <w:tcBorders>
              <w:top w:val="single" w:sz="4" w:space="0" w:color="365F91"/>
              <w:bottom w:val="single" w:sz="4" w:space="0" w:color="365F91"/>
            </w:tcBorders>
            <w:shd w:val="clear" w:color="auto" w:fill="auto"/>
          </w:tcPr>
          <w:p w14:paraId="3A51CFC8" w14:textId="77777777" w:rsidR="00005A00" w:rsidRPr="00256982" w:rsidRDefault="00005A00" w:rsidP="00AA14F1">
            <w:pPr>
              <w:pStyle w:val="TableText"/>
              <w:keepNext/>
              <w:spacing w:before="50" w:after="50"/>
              <w:jc w:val="center"/>
            </w:pPr>
            <w:r w:rsidRPr="00256982">
              <w:t xml:space="preserve"> 3,122.3 </w:t>
            </w:r>
          </w:p>
        </w:tc>
      </w:tr>
      <w:tr w:rsidR="00005A00" w:rsidRPr="00256982" w14:paraId="20C5D8CA" w14:textId="77777777" w:rsidTr="00AA14F1">
        <w:tc>
          <w:tcPr>
            <w:tcW w:w="1078" w:type="dxa"/>
            <w:tcBorders>
              <w:top w:val="single" w:sz="4" w:space="0" w:color="365F91"/>
              <w:bottom w:val="single" w:sz="4" w:space="0" w:color="365F91"/>
            </w:tcBorders>
          </w:tcPr>
          <w:p w14:paraId="737EA69C" w14:textId="77777777" w:rsidR="00005A00" w:rsidRPr="00256982" w:rsidRDefault="00005A00" w:rsidP="00AA14F1">
            <w:pPr>
              <w:pStyle w:val="TableTextBold"/>
              <w:spacing w:before="50" w:after="50"/>
              <w:rPr>
                <w:noProof w:val="0"/>
              </w:rPr>
            </w:pPr>
            <w:r w:rsidRPr="00256982">
              <w:rPr>
                <w:noProof w:val="0"/>
              </w:rPr>
              <w:t>1976</w:t>
            </w:r>
          </w:p>
        </w:tc>
        <w:tc>
          <w:tcPr>
            <w:tcW w:w="2475" w:type="dxa"/>
            <w:tcBorders>
              <w:top w:val="single" w:sz="4" w:space="0" w:color="365F91"/>
              <w:bottom w:val="single" w:sz="4" w:space="0" w:color="365F91"/>
            </w:tcBorders>
            <w:shd w:val="clear" w:color="auto" w:fill="auto"/>
          </w:tcPr>
          <w:p w14:paraId="5CCAB22B" w14:textId="77777777" w:rsidR="00005A00" w:rsidRPr="00256982" w:rsidRDefault="00005A00" w:rsidP="00AA14F1">
            <w:pPr>
              <w:pStyle w:val="TableText"/>
              <w:keepNext/>
              <w:spacing w:before="50" w:after="50"/>
              <w:jc w:val="center"/>
            </w:pPr>
            <w:r w:rsidRPr="00256982">
              <w:t xml:space="preserve"> 1,246.2 </w:t>
            </w:r>
          </w:p>
        </w:tc>
        <w:tc>
          <w:tcPr>
            <w:tcW w:w="2475" w:type="dxa"/>
            <w:tcBorders>
              <w:top w:val="single" w:sz="4" w:space="0" w:color="365F91"/>
              <w:bottom w:val="single" w:sz="4" w:space="0" w:color="365F91"/>
            </w:tcBorders>
            <w:shd w:val="clear" w:color="auto" w:fill="auto"/>
          </w:tcPr>
          <w:p w14:paraId="6722136E" w14:textId="77777777" w:rsidR="00005A00" w:rsidRPr="00256982" w:rsidRDefault="00005A00" w:rsidP="00AA14F1">
            <w:pPr>
              <w:pStyle w:val="TableText"/>
              <w:keepNext/>
              <w:spacing w:before="50" w:after="50"/>
              <w:jc w:val="center"/>
            </w:pPr>
            <w:r w:rsidRPr="00256982">
              <w:t xml:space="preserve"> 1,957.6 </w:t>
            </w:r>
          </w:p>
        </w:tc>
        <w:tc>
          <w:tcPr>
            <w:tcW w:w="2477" w:type="dxa"/>
            <w:tcBorders>
              <w:top w:val="single" w:sz="4" w:space="0" w:color="365F91"/>
              <w:bottom w:val="single" w:sz="4" w:space="0" w:color="365F91"/>
            </w:tcBorders>
            <w:shd w:val="clear" w:color="auto" w:fill="auto"/>
          </w:tcPr>
          <w:p w14:paraId="21504DD0" w14:textId="77777777" w:rsidR="00005A00" w:rsidRPr="00256982" w:rsidRDefault="00005A00" w:rsidP="00AA14F1">
            <w:pPr>
              <w:pStyle w:val="TableText"/>
              <w:keepNext/>
              <w:spacing w:before="50" w:after="50"/>
              <w:jc w:val="center"/>
            </w:pPr>
            <w:r w:rsidRPr="00256982">
              <w:t xml:space="preserve"> 3,203.9 </w:t>
            </w:r>
          </w:p>
        </w:tc>
      </w:tr>
      <w:tr w:rsidR="00005A00" w:rsidRPr="00256982" w14:paraId="33F6EB54" w14:textId="77777777" w:rsidTr="00AA14F1">
        <w:tc>
          <w:tcPr>
            <w:tcW w:w="1078" w:type="dxa"/>
            <w:tcBorders>
              <w:top w:val="single" w:sz="4" w:space="0" w:color="365F91"/>
              <w:bottom w:val="single" w:sz="4" w:space="0" w:color="365F91"/>
            </w:tcBorders>
          </w:tcPr>
          <w:p w14:paraId="611A8802" w14:textId="77777777" w:rsidR="00005A00" w:rsidRPr="00256982" w:rsidRDefault="00005A00" w:rsidP="00AA14F1">
            <w:pPr>
              <w:pStyle w:val="TableTextBold"/>
              <w:spacing w:before="50" w:after="50"/>
              <w:rPr>
                <w:noProof w:val="0"/>
              </w:rPr>
            </w:pPr>
            <w:r w:rsidRPr="00256982">
              <w:rPr>
                <w:noProof w:val="0"/>
              </w:rPr>
              <w:t>1977</w:t>
            </w:r>
          </w:p>
        </w:tc>
        <w:tc>
          <w:tcPr>
            <w:tcW w:w="2475" w:type="dxa"/>
            <w:tcBorders>
              <w:top w:val="single" w:sz="4" w:space="0" w:color="365F91"/>
              <w:bottom w:val="single" w:sz="4" w:space="0" w:color="365F91"/>
            </w:tcBorders>
            <w:shd w:val="clear" w:color="auto" w:fill="auto"/>
          </w:tcPr>
          <w:p w14:paraId="51E0B1A2" w14:textId="77777777" w:rsidR="00005A00" w:rsidRPr="00256982" w:rsidRDefault="00005A00" w:rsidP="00AA14F1">
            <w:pPr>
              <w:pStyle w:val="TableText"/>
              <w:keepNext/>
              <w:spacing w:before="50" w:after="50"/>
              <w:jc w:val="center"/>
            </w:pPr>
            <w:r w:rsidRPr="00256982">
              <w:t xml:space="preserve"> 1,260.9 </w:t>
            </w:r>
          </w:p>
        </w:tc>
        <w:tc>
          <w:tcPr>
            <w:tcW w:w="2475" w:type="dxa"/>
            <w:tcBorders>
              <w:top w:val="single" w:sz="4" w:space="0" w:color="365F91"/>
              <w:bottom w:val="single" w:sz="4" w:space="0" w:color="365F91"/>
            </w:tcBorders>
            <w:shd w:val="clear" w:color="auto" w:fill="auto"/>
          </w:tcPr>
          <w:p w14:paraId="340B65D3" w14:textId="77777777" w:rsidR="00005A00" w:rsidRPr="00256982" w:rsidRDefault="00005A00" w:rsidP="00AA14F1">
            <w:pPr>
              <w:pStyle w:val="TableText"/>
              <w:keepNext/>
              <w:spacing w:before="50" w:after="50"/>
              <w:jc w:val="center"/>
            </w:pPr>
            <w:r w:rsidRPr="00256982">
              <w:t xml:space="preserve"> 2,028.5 </w:t>
            </w:r>
          </w:p>
        </w:tc>
        <w:tc>
          <w:tcPr>
            <w:tcW w:w="2477" w:type="dxa"/>
            <w:tcBorders>
              <w:top w:val="single" w:sz="4" w:space="0" w:color="365F91"/>
              <w:bottom w:val="single" w:sz="4" w:space="0" w:color="365F91"/>
            </w:tcBorders>
            <w:shd w:val="clear" w:color="auto" w:fill="auto"/>
          </w:tcPr>
          <w:p w14:paraId="344E1E8E" w14:textId="77777777" w:rsidR="00005A00" w:rsidRPr="00256982" w:rsidRDefault="00005A00" w:rsidP="00AA14F1">
            <w:pPr>
              <w:pStyle w:val="TableText"/>
              <w:keepNext/>
              <w:spacing w:before="50" w:after="50"/>
              <w:jc w:val="center"/>
            </w:pPr>
            <w:r w:rsidRPr="00256982">
              <w:t xml:space="preserve"> 3,289.4 </w:t>
            </w:r>
          </w:p>
        </w:tc>
      </w:tr>
      <w:tr w:rsidR="00005A00" w:rsidRPr="00256982" w14:paraId="0DCBDF01" w14:textId="77777777" w:rsidTr="00AA14F1">
        <w:tc>
          <w:tcPr>
            <w:tcW w:w="1078" w:type="dxa"/>
            <w:tcBorders>
              <w:top w:val="single" w:sz="4" w:space="0" w:color="365F91"/>
              <w:bottom w:val="single" w:sz="4" w:space="0" w:color="365F91"/>
            </w:tcBorders>
          </w:tcPr>
          <w:p w14:paraId="22AEC2C5" w14:textId="77777777" w:rsidR="00005A00" w:rsidRPr="00256982" w:rsidRDefault="00005A00" w:rsidP="00AA14F1">
            <w:pPr>
              <w:pStyle w:val="TableTextBold"/>
              <w:spacing w:before="50" w:after="50"/>
              <w:rPr>
                <w:noProof w:val="0"/>
              </w:rPr>
            </w:pPr>
            <w:r w:rsidRPr="00256982">
              <w:rPr>
                <w:noProof w:val="0"/>
              </w:rPr>
              <w:t>1978</w:t>
            </w:r>
          </w:p>
        </w:tc>
        <w:tc>
          <w:tcPr>
            <w:tcW w:w="2475" w:type="dxa"/>
            <w:tcBorders>
              <w:top w:val="single" w:sz="4" w:space="0" w:color="365F91"/>
              <w:bottom w:val="single" w:sz="4" w:space="0" w:color="365F91"/>
            </w:tcBorders>
            <w:shd w:val="clear" w:color="auto" w:fill="auto"/>
          </w:tcPr>
          <w:p w14:paraId="2572BD76" w14:textId="77777777" w:rsidR="00005A00" w:rsidRPr="00256982" w:rsidRDefault="00005A00" w:rsidP="00AA14F1">
            <w:pPr>
              <w:pStyle w:val="TableText"/>
              <w:keepNext/>
              <w:spacing w:before="50" w:after="50"/>
              <w:jc w:val="center"/>
            </w:pPr>
            <w:r w:rsidRPr="00256982">
              <w:t xml:space="preserve"> 1,276.1 </w:t>
            </w:r>
          </w:p>
        </w:tc>
        <w:tc>
          <w:tcPr>
            <w:tcW w:w="2475" w:type="dxa"/>
            <w:tcBorders>
              <w:top w:val="single" w:sz="4" w:space="0" w:color="365F91"/>
              <w:bottom w:val="single" w:sz="4" w:space="0" w:color="365F91"/>
            </w:tcBorders>
            <w:shd w:val="clear" w:color="auto" w:fill="auto"/>
          </w:tcPr>
          <w:p w14:paraId="3DDB0CB1" w14:textId="77777777" w:rsidR="00005A00" w:rsidRPr="00256982" w:rsidRDefault="00005A00" w:rsidP="00AA14F1">
            <w:pPr>
              <w:pStyle w:val="TableText"/>
              <w:keepNext/>
              <w:spacing w:before="50" w:after="50"/>
              <w:jc w:val="center"/>
            </w:pPr>
            <w:r w:rsidRPr="00256982">
              <w:t xml:space="preserve"> 2,101.9 </w:t>
            </w:r>
          </w:p>
        </w:tc>
        <w:tc>
          <w:tcPr>
            <w:tcW w:w="2477" w:type="dxa"/>
            <w:tcBorders>
              <w:top w:val="single" w:sz="4" w:space="0" w:color="365F91"/>
              <w:bottom w:val="single" w:sz="4" w:space="0" w:color="365F91"/>
            </w:tcBorders>
            <w:shd w:val="clear" w:color="auto" w:fill="auto"/>
          </w:tcPr>
          <w:p w14:paraId="1782BE51" w14:textId="77777777" w:rsidR="00005A00" w:rsidRPr="00256982" w:rsidRDefault="00005A00" w:rsidP="00AA14F1">
            <w:pPr>
              <w:pStyle w:val="TableText"/>
              <w:keepNext/>
              <w:spacing w:before="50" w:after="50"/>
              <w:jc w:val="center"/>
            </w:pPr>
            <w:r w:rsidRPr="00256982">
              <w:t xml:space="preserve"> 3,378.1 </w:t>
            </w:r>
          </w:p>
        </w:tc>
      </w:tr>
      <w:tr w:rsidR="00005A00" w:rsidRPr="00256982" w14:paraId="10826C3E" w14:textId="77777777" w:rsidTr="00AA14F1">
        <w:tc>
          <w:tcPr>
            <w:tcW w:w="1078" w:type="dxa"/>
            <w:tcBorders>
              <w:top w:val="single" w:sz="4" w:space="0" w:color="365F91"/>
              <w:bottom w:val="single" w:sz="4" w:space="0" w:color="365F91"/>
            </w:tcBorders>
          </w:tcPr>
          <w:p w14:paraId="6136D7F8" w14:textId="77777777" w:rsidR="00005A00" w:rsidRPr="00256982" w:rsidRDefault="00005A00" w:rsidP="00AA14F1">
            <w:pPr>
              <w:pStyle w:val="TableTextBold"/>
              <w:spacing w:before="50" w:after="50"/>
              <w:rPr>
                <w:noProof w:val="0"/>
              </w:rPr>
            </w:pPr>
            <w:r w:rsidRPr="00256982">
              <w:rPr>
                <w:noProof w:val="0"/>
              </w:rPr>
              <w:t>1979</w:t>
            </w:r>
          </w:p>
        </w:tc>
        <w:tc>
          <w:tcPr>
            <w:tcW w:w="2475" w:type="dxa"/>
            <w:tcBorders>
              <w:top w:val="single" w:sz="4" w:space="0" w:color="365F91"/>
              <w:bottom w:val="single" w:sz="4" w:space="0" w:color="365F91"/>
            </w:tcBorders>
            <w:shd w:val="clear" w:color="auto" w:fill="auto"/>
          </w:tcPr>
          <w:p w14:paraId="10081E30" w14:textId="77777777" w:rsidR="00005A00" w:rsidRPr="00256982" w:rsidRDefault="00005A00" w:rsidP="00AA14F1">
            <w:pPr>
              <w:pStyle w:val="TableText"/>
              <w:keepNext/>
              <w:spacing w:before="50" w:after="50"/>
              <w:jc w:val="center"/>
            </w:pPr>
            <w:r w:rsidRPr="00256982">
              <w:t xml:space="preserve"> 1,295.5 </w:t>
            </w:r>
          </w:p>
        </w:tc>
        <w:tc>
          <w:tcPr>
            <w:tcW w:w="2475" w:type="dxa"/>
            <w:tcBorders>
              <w:top w:val="single" w:sz="4" w:space="0" w:color="365F91"/>
              <w:bottom w:val="single" w:sz="4" w:space="0" w:color="365F91"/>
            </w:tcBorders>
            <w:shd w:val="clear" w:color="auto" w:fill="auto"/>
          </w:tcPr>
          <w:p w14:paraId="227AC9CB" w14:textId="77777777" w:rsidR="00005A00" w:rsidRPr="00256982" w:rsidRDefault="00005A00" w:rsidP="00AA14F1">
            <w:pPr>
              <w:pStyle w:val="TableText"/>
              <w:keepNext/>
              <w:spacing w:before="50" w:after="50"/>
              <w:jc w:val="center"/>
            </w:pPr>
            <w:r w:rsidRPr="00256982">
              <w:t xml:space="preserve"> 2,108.6 </w:t>
            </w:r>
          </w:p>
        </w:tc>
        <w:tc>
          <w:tcPr>
            <w:tcW w:w="2477" w:type="dxa"/>
            <w:tcBorders>
              <w:top w:val="single" w:sz="4" w:space="0" w:color="365F91"/>
              <w:bottom w:val="single" w:sz="4" w:space="0" w:color="365F91"/>
            </w:tcBorders>
            <w:shd w:val="clear" w:color="auto" w:fill="auto"/>
          </w:tcPr>
          <w:p w14:paraId="5B9C269E" w14:textId="77777777" w:rsidR="00005A00" w:rsidRPr="00256982" w:rsidRDefault="00005A00" w:rsidP="00AA14F1">
            <w:pPr>
              <w:pStyle w:val="TableText"/>
              <w:keepNext/>
              <w:spacing w:before="50" w:after="50"/>
              <w:jc w:val="center"/>
            </w:pPr>
            <w:r w:rsidRPr="00256982">
              <w:t xml:space="preserve"> 3,404.1 </w:t>
            </w:r>
          </w:p>
        </w:tc>
      </w:tr>
      <w:tr w:rsidR="00005A00" w:rsidRPr="00256982" w14:paraId="1BB5E6C2" w14:textId="77777777" w:rsidTr="00AA14F1">
        <w:tc>
          <w:tcPr>
            <w:tcW w:w="1078" w:type="dxa"/>
            <w:tcBorders>
              <w:top w:val="single" w:sz="4" w:space="0" w:color="365F91"/>
              <w:bottom w:val="single" w:sz="4" w:space="0" w:color="365F91"/>
            </w:tcBorders>
          </w:tcPr>
          <w:p w14:paraId="767F4F20" w14:textId="77777777" w:rsidR="00005A00" w:rsidRPr="00256982" w:rsidRDefault="00005A00" w:rsidP="00AA14F1">
            <w:pPr>
              <w:pStyle w:val="TableTextBold"/>
              <w:spacing w:before="50" w:after="50"/>
              <w:rPr>
                <w:noProof w:val="0"/>
              </w:rPr>
            </w:pPr>
            <w:r w:rsidRPr="00256982">
              <w:rPr>
                <w:noProof w:val="0"/>
              </w:rPr>
              <w:t>1980</w:t>
            </w:r>
          </w:p>
        </w:tc>
        <w:tc>
          <w:tcPr>
            <w:tcW w:w="2475" w:type="dxa"/>
            <w:tcBorders>
              <w:top w:val="single" w:sz="4" w:space="0" w:color="365F91"/>
              <w:bottom w:val="single" w:sz="4" w:space="0" w:color="365F91"/>
            </w:tcBorders>
            <w:shd w:val="clear" w:color="auto" w:fill="auto"/>
          </w:tcPr>
          <w:p w14:paraId="0D0B7F35" w14:textId="77777777" w:rsidR="00005A00" w:rsidRPr="00256982" w:rsidRDefault="00005A00" w:rsidP="00AA14F1">
            <w:pPr>
              <w:pStyle w:val="TableText"/>
              <w:keepNext/>
              <w:spacing w:before="50" w:after="50"/>
              <w:jc w:val="center"/>
            </w:pPr>
            <w:r w:rsidRPr="00256982">
              <w:t xml:space="preserve"> 1,314.8 </w:t>
            </w:r>
          </w:p>
        </w:tc>
        <w:tc>
          <w:tcPr>
            <w:tcW w:w="2475" w:type="dxa"/>
            <w:tcBorders>
              <w:top w:val="single" w:sz="4" w:space="0" w:color="365F91"/>
              <w:bottom w:val="single" w:sz="4" w:space="0" w:color="365F91"/>
            </w:tcBorders>
            <w:shd w:val="clear" w:color="auto" w:fill="auto"/>
          </w:tcPr>
          <w:p w14:paraId="0D1BBC0B" w14:textId="77777777" w:rsidR="00005A00" w:rsidRPr="00256982" w:rsidRDefault="00005A00" w:rsidP="00AA14F1">
            <w:pPr>
              <w:pStyle w:val="TableText"/>
              <w:keepNext/>
              <w:spacing w:before="50" w:after="50"/>
              <w:jc w:val="center"/>
            </w:pPr>
            <w:r w:rsidRPr="00256982">
              <w:t xml:space="preserve"> 2,154.9 </w:t>
            </w:r>
          </w:p>
        </w:tc>
        <w:tc>
          <w:tcPr>
            <w:tcW w:w="2477" w:type="dxa"/>
            <w:tcBorders>
              <w:top w:val="single" w:sz="4" w:space="0" w:color="365F91"/>
              <w:bottom w:val="single" w:sz="4" w:space="0" w:color="365F91"/>
            </w:tcBorders>
            <w:shd w:val="clear" w:color="auto" w:fill="auto"/>
          </w:tcPr>
          <w:p w14:paraId="7C09B6C7" w14:textId="77777777" w:rsidR="00005A00" w:rsidRPr="00256982" w:rsidRDefault="00005A00" w:rsidP="00AA14F1">
            <w:pPr>
              <w:pStyle w:val="TableText"/>
              <w:keepNext/>
              <w:spacing w:before="50" w:after="50"/>
              <w:jc w:val="center"/>
            </w:pPr>
            <w:r w:rsidRPr="00256982">
              <w:t xml:space="preserve"> 3,469.7 </w:t>
            </w:r>
          </w:p>
        </w:tc>
      </w:tr>
      <w:tr w:rsidR="00005A00" w:rsidRPr="00256982" w14:paraId="196DBC43" w14:textId="77777777" w:rsidTr="00AA14F1">
        <w:tc>
          <w:tcPr>
            <w:tcW w:w="1078" w:type="dxa"/>
            <w:tcBorders>
              <w:top w:val="single" w:sz="4" w:space="0" w:color="365F91"/>
              <w:bottom w:val="single" w:sz="4" w:space="0" w:color="365F91"/>
            </w:tcBorders>
          </w:tcPr>
          <w:p w14:paraId="2C625AB3" w14:textId="77777777" w:rsidR="00005A00" w:rsidRPr="00256982" w:rsidRDefault="00005A00" w:rsidP="00AA14F1">
            <w:pPr>
              <w:pStyle w:val="TableTextBold"/>
              <w:spacing w:before="50" w:after="50"/>
              <w:rPr>
                <w:noProof w:val="0"/>
              </w:rPr>
            </w:pPr>
            <w:r w:rsidRPr="00256982">
              <w:rPr>
                <w:noProof w:val="0"/>
              </w:rPr>
              <w:t>1981</w:t>
            </w:r>
          </w:p>
        </w:tc>
        <w:tc>
          <w:tcPr>
            <w:tcW w:w="2475" w:type="dxa"/>
            <w:tcBorders>
              <w:top w:val="single" w:sz="4" w:space="0" w:color="365F91"/>
              <w:bottom w:val="single" w:sz="4" w:space="0" w:color="365F91"/>
            </w:tcBorders>
            <w:shd w:val="clear" w:color="auto" w:fill="auto"/>
          </w:tcPr>
          <w:p w14:paraId="543E3DAC" w14:textId="77777777" w:rsidR="00005A00" w:rsidRPr="00256982" w:rsidRDefault="00005A00" w:rsidP="00AA14F1">
            <w:pPr>
              <w:pStyle w:val="TableText"/>
              <w:keepNext/>
              <w:spacing w:before="50" w:after="50"/>
              <w:jc w:val="center"/>
            </w:pPr>
            <w:r w:rsidRPr="00256982">
              <w:t xml:space="preserve"> 1,333.4 </w:t>
            </w:r>
          </w:p>
        </w:tc>
        <w:tc>
          <w:tcPr>
            <w:tcW w:w="2475" w:type="dxa"/>
            <w:tcBorders>
              <w:top w:val="single" w:sz="4" w:space="0" w:color="365F91"/>
              <w:bottom w:val="single" w:sz="4" w:space="0" w:color="365F91"/>
            </w:tcBorders>
            <w:shd w:val="clear" w:color="auto" w:fill="auto"/>
          </w:tcPr>
          <w:p w14:paraId="72D0D59C" w14:textId="77777777" w:rsidR="00005A00" w:rsidRPr="00256982" w:rsidRDefault="00005A00" w:rsidP="00AA14F1">
            <w:pPr>
              <w:pStyle w:val="TableText"/>
              <w:keepNext/>
              <w:spacing w:before="50" w:after="50"/>
              <w:jc w:val="center"/>
            </w:pPr>
            <w:r w:rsidRPr="00256982">
              <w:t xml:space="preserve"> 2,182.5 </w:t>
            </w:r>
          </w:p>
        </w:tc>
        <w:tc>
          <w:tcPr>
            <w:tcW w:w="2477" w:type="dxa"/>
            <w:tcBorders>
              <w:top w:val="single" w:sz="4" w:space="0" w:color="365F91"/>
              <w:bottom w:val="single" w:sz="4" w:space="0" w:color="365F91"/>
            </w:tcBorders>
            <w:shd w:val="clear" w:color="auto" w:fill="auto"/>
          </w:tcPr>
          <w:p w14:paraId="509FB19D" w14:textId="77777777" w:rsidR="00005A00" w:rsidRPr="00256982" w:rsidRDefault="00005A00" w:rsidP="00AA14F1">
            <w:pPr>
              <w:pStyle w:val="TableText"/>
              <w:keepNext/>
              <w:spacing w:before="50" w:after="50"/>
              <w:jc w:val="center"/>
            </w:pPr>
            <w:r w:rsidRPr="00256982">
              <w:t xml:space="preserve"> 3,515.9 </w:t>
            </w:r>
          </w:p>
        </w:tc>
      </w:tr>
      <w:tr w:rsidR="00005A00" w:rsidRPr="00256982" w14:paraId="4E889B6A" w14:textId="77777777" w:rsidTr="00AA14F1">
        <w:tc>
          <w:tcPr>
            <w:tcW w:w="1078" w:type="dxa"/>
            <w:tcBorders>
              <w:top w:val="single" w:sz="4" w:space="0" w:color="365F91"/>
              <w:bottom w:val="single" w:sz="4" w:space="0" w:color="365F91"/>
            </w:tcBorders>
          </w:tcPr>
          <w:p w14:paraId="21DC2338" w14:textId="77777777" w:rsidR="00005A00" w:rsidRPr="00256982" w:rsidRDefault="00005A00" w:rsidP="00AA14F1">
            <w:pPr>
              <w:pStyle w:val="TableTextBold"/>
              <w:spacing w:before="50" w:after="50"/>
              <w:rPr>
                <w:noProof w:val="0"/>
              </w:rPr>
            </w:pPr>
            <w:r w:rsidRPr="00256982">
              <w:rPr>
                <w:noProof w:val="0"/>
              </w:rPr>
              <w:t>1982</w:t>
            </w:r>
          </w:p>
        </w:tc>
        <w:tc>
          <w:tcPr>
            <w:tcW w:w="2475" w:type="dxa"/>
            <w:tcBorders>
              <w:top w:val="single" w:sz="4" w:space="0" w:color="365F91"/>
              <w:bottom w:val="single" w:sz="4" w:space="0" w:color="365F91"/>
            </w:tcBorders>
            <w:shd w:val="clear" w:color="auto" w:fill="auto"/>
          </w:tcPr>
          <w:p w14:paraId="153FDCC2" w14:textId="77777777" w:rsidR="00005A00" w:rsidRPr="00256982" w:rsidRDefault="00005A00" w:rsidP="00AA14F1">
            <w:pPr>
              <w:pStyle w:val="TableText"/>
              <w:keepNext/>
              <w:spacing w:before="50" w:after="50"/>
              <w:jc w:val="center"/>
            </w:pPr>
            <w:r w:rsidRPr="00256982">
              <w:t xml:space="preserve"> 1,359.3 </w:t>
            </w:r>
          </w:p>
        </w:tc>
        <w:tc>
          <w:tcPr>
            <w:tcW w:w="2475" w:type="dxa"/>
            <w:tcBorders>
              <w:top w:val="single" w:sz="4" w:space="0" w:color="365F91"/>
              <w:bottom w:val="single" w:sz="4" w:space="0" w:color="365F91"/>
            </w:tcBorders>
            <w:shd w:val="clear" w:color="auto" w:fill="auto"/>
          </w:tcPr>
          <w:p w14:paraId="4E04C7E8" w14:textId="77777777" w:rsidR="00005A00" w:rsidRPr="00256982" w:rsidRDefault="00005A00" w:rsidP="00AA14F1">
            <w:pPr>
              <w:pStyle w:val="TableText"/>
              <w:keepNext/>
              <w:spacing w:before="50" w:after="50"/>
              <w:jc w:val="center"/>
            </w:pPr>
            <w:r w:rsidRPr="00256982">
              <w:t xml:space="preserve"> 2,284.1 </w:t>
            </w:r>
          </w:p>
        </w:tc>
        <w:tc>
          <w:tcPr>
            <w:tcW w:w="2477" w:type="dxa"/>
            <w:tcBorders>
              <w:top w:val="single" w:sz="4" w:space="0" w:color="365F91"/>
              <w:bottom w:val="single" w:sz="4" w:space="0" w:color="365F91"/>
            </w:tcBorders>
            <w:shd w:val="clear" w:color="auto" w:fill="auto"/>
          </w:tcPr>
          <w:p w14:paraId="2875E96C" w14:textId="77777777" w:rsidR="00005A00" w:rsidRPr="00256982" w:rsidRDefault="00005A00" w:rsidP="00AA14F1">
            <w:pPr>
              <w:pStyle w:val="TableText"/>
              <w:keepNext/>
              <w:spacing w:before="50" w:after="50"/>
              <w:jc w:val="center"/>
            </w:pPr>
            <w:r w:rsidRPr="00256982">
              <w:t xml:space="preserve"> 3,643.4 </w:t>
            </w:r>
          </w:p>
        </w:tc>
      </w:tr>
      <w:tr w:rsidR="00005A00" w:rsidRPr="00256982" w14:paraId="2A2DFCE4" w14:textId="77777777" w:rsidTr="00AA14F1">
        <w:tc>
          <w:tcPr>
            <w:tcW w:w="1078" w:type="dxa"/>
            <w:tcBorders>
              <w:top w:val="single" w:sz="4" w:space="0" w:color="365F91"/>
              <w:bottom w:val="single" w:sz="4" w:space="0" w:color="365F91"/>
            </w:tcBorders>
          </w:tcPr>
          <w:p w14:paraId="69BF20C6" w14:textId="77777777" w:rsidR="00005A00" w:rsidRPr="00256982" w:rsidRDefault="00005A00" w:rsidP="00AA14F1">
            <w:pPr>
              <w:pStyle w:val="TableTextBold"/>
              <w:spacing w:before="50" w:after="50"/>
              <w:rPr>
                <w:noProof w:val="0"/>
              </w:rPr>
            </w:pPr>
            <w:r w:rsidRPr="00256982">
              <w:rPr>
                <w:noProof w:val="0"/>
              </w:rPr>
              <w:t>1983</w:t>
            </w:r>
          </w:p>
        </w:tc>
        <w:tc>
          <w:tcPr>
            <w:tcW w:w="2475" w:type="dxa"/>
            <w:tcBorders>
              <w:top w:val="single" w:sz="4" w:space="0" w:color="365F91"/>
              <w:bottom w:val="single" w:sz="4" w:space="0" w:color="365F91"/>
            </w:tcBorders>
            <w:shd w:val="clear" w:color="auto" w:fill="auto"/>
          </w:tcPr>
          <w:p w14:paraId="64594204" w14:textId="77777777" w:rsidR="00005A00" w:rsidRPr="00256982" w:rsidRDefault="00005A00" w:rsidP="00AA14F1">
            <w:pPr>
              <w:pStyle w:val="TableText"/>
              <w:keepNext/>
              <w:spacing w:before="50" w:after="50"/>
              <w:jc w:val="center"/>
            </w:pPr>
            <w:r w:rsidRPr="00256982">
              <w:t xml:space="preserve"> 1,392.8 </w:t>
            </w:r>
          </w:p>
        </w:tc>
        <w:tc>
          <w:tcPr>
            <w:tcW w:w="2475" w:type="dxa"/>
            <w:tcBorders>
              <w:top w:val="single" w:sz="4" w:space="0" w:color="365F91"/>
              <w:bottom w:val="single" w:sz="4" w:space="0" w:color="365F91"/>
            </w:tcBorders>
            <w:shd w:val="clear" w:color="auto" w:fill="auto"/>
          </w:tcPr>
          <w:p w14:paraId="4F46777B" w14:textId="77777777" w:rsidR="00005A00" w:rsidRPr="00256982" w:rsidRDefault="00005A00" w:rsidP="00AA14F1">
            <w:pPr>
              <w:pStyle w:val="TableText"/>
              <w:keepNext/>
              <w:spacing w:before="50" w:after="50"/>
              <w:jc w:val="center"/>
            </w:pPr>
            <w:r w:rsidRPr="00256982">
              <w:t xml:space="preserve"> 2,305.4 </w:t>
            </w:r>
          </w:p>
        </w:tc>
        <w:tc>
          <w:tcPr>
            <w:tcW w:w="2477" w:type="dxa"/>
            <w:tcBorders>
              <w:top w:val="single" w:sz="4" w:space="0" w:color="365F91"/>
              <w:bottom w:val="single" w:sz="4" w:space="0" w:color="365F91"/>
            </w:tcBorders>
            <w:shd w:val="clear" w:color="auto" w:fill="auto"/>
          </w:tcPr>
          <w:p w14:paraId="5D629654" w14:textId="77777777" w:rsidR="00005A00" w:rsidRPr="00256982" w:rsidRDefault="00005A00" w:rsidP="00AA14F1">
            <w:pPr>
              <w:pStyle w:val="TableText"/>
              <w:keepNext/>
              <w:spacing w:before="50" w:after="50"/>
              <w:jc w:val="center"/>
            </w:pPr>
            <w:r w:rsidRPr="00256982">
              <w:t xml:space="preserve"> 3,698.2 </w:t>
            </w:r>
          </w:p>
        </w:tc>
      </w:tr>
      <w:tr w:rsidR="00005A00" w:rsidRPr="00256982" w14:paraId="1F45271A" w14:textId="77777777" w:rsidTr="00AA14F1">
        <w:tc>
          <w:tcPr>
            <w:tcW w:w="1078" w:type="dxa"/>
            <w:tcBorders>
              <w:top w:val="single" w:sz="4" w:space="0" w:color="365F91"/>
              <w:bottom w:val="single" w:sz="4" w:space="0" w:color="365F91"/>
            </w:tcBorders>
          </w:tcPr>
          <w:p w14:paraId="414B91A4" w14:textId="77777777" w:rsidR="00005A00" w:rsidRPr="00256982" w:rsidRDefault="00005A00" w:rsidP="00AA14F1">
            <w:pPr>
              <w:pStyle w:val="TableTextBold"/>
              <w:spacing w:before="50" w:after="50"/>
              <w:rPr>
                <w:noProof w:val="0"/>
              </w:rPr>
            </w:pPr>
            <w:r w:rsidRPr="00256982">
              <w:rPr>
                <w:noProof w:val="0"/>
              </w:rPr>
              <w:t>1984</w:t>
            </w:r>
          </w:p>
        </w:tc>
        <w:tc>
          <w:tcPr>
            <w:tcW w:w="2475" w:type="dxa"/>
            <w:tcBorders>
              <w:top w:val="single" w:sz="4" w:space="0" w:color="365F91"/>
              <w:bottom w:val="single" w:sz="4" w:space="0" w:color="365F91"/>
            </w:tcBorders>
            <w:shd w:val="clear" w:color="auto" w:fill="auto"/>
          </w:tcPr>
          <w:p w14:paraId="0B1F201E" w14:textId="77777777" w:rsidR="00005A00" w:rsidRPr="00256982" w:rsidRDefault="00005A00" w:rsidP="00AA14F1">
            <w:pPr>
              <w:pStyle w:val="TableText"/>
              <w:keepNext/>
              <w:spacing w:before="50" w:after="50"/>
              <w:jc w:val="center"/>
            </w:pPr>
            <w:r w:rsidRPr="00256982">
              <w:t xml:space="preserve"> 1,409.1 </w:t>
            </w:r>
          </w:p>
        </w:tc>
        <w:tc>
          <w:tcPr>
            <w:tcW w:w="2475" w:type="dxa"/>
            <w:tcBorders>
              <w:top w:val="single" w:sz="4" w:space="0" w:color="365F91"/>
              <w:bottom w:val="single" w:sz="4" w:space="0" w:color="365F91"/>
            </w:tcBorders>
            <w:shd w:val="clear" w:color="auto" w:fill="auto"/>
          </w:tcPr>
          <w:p w14:paraId="441FC2B7" w14:textId="77777777" w:rsidR="00005A00" w:rsidRPr="00256982" w:rsidRDefault="00005A00" w:rsidP="00AA14F1">
            <w:pPr>
              <w:pStyle w:val="TableText"/>
              <w:keepNext/>
              <w:spacing w:before="50" w:after="50"/>
              <w:jc w:val="center"/>
            </w:pPr>
            <w:r w:rsidRPr="00256982">
              <w:t xml:space="preserve"> 2,385.9 </w:t>
            </w:r>
          </w:p>
        </w:tc>
        <w:tc>
          <w:tcPr>
            <w:tcW w:w="2477" w:type="dxa"/>
            <w:tcBorders>
              <w:top w:val="single" w:sz="4" w:space="0" w:color="365F91"/>
              <w:bottom w:val="single" w:sz="4" w:space="0" w:color="365F91"/>
            </w:tcBorders>
            <w:shd w:val="clear" w:color="auto" w:fill="auto"/>
          </w:tcPr>
          <w:p w14:paraId="117DB994" w14:textId="77777777" w:rsidR="00005A00" w:rsidRPr="00256982" w:rsidRDefault="00005A00" w:rsidP="00AA14F1">
            <w:pPr>
              <w:pStyle w:val="TableText"/>
              <w:keepNext/>
              <w:spacing w:before="50" w:after="50"/>
              <w:jc w:val="center"/>
            </w:pPr>
            <w:r w:rsidRPr="00256982">
              <w:t xml:space="preserve"> 3,795.0 </w:t>
            </w:r>
          </w:p>
        </w:tc>
      </w:tr>
      <w:tr w:rsidR="00005A00" w:rsidRPr="00256982" w14:paraId="0AABE25B" w14:textId="77777777" w:rsidTr="00AA14F1">
        <w:tc>
          <w:tcPr>
            <w:tcW w:w="1078" w:type="dxa"/>
            <w:tcBorders>
              <w:top w:val="single" w:sz="4" w:space="0" w:color="365F91"/>
              <w:bottom w:val="single" w:sz="4" w:space="0" w:color="365F91"/>
            </w:tcBorders>
          </w:tcPr>
          <w:p w14:paraId="3AF9DD19" w14:textId="77777777" w:rsidR="00005A00" w:rsidRPr="00256982" w:rsidRDefault="00005A00" w:rsidP="00AA14F1">
            <w:pPr>
              <w:pStyle w:val="TableTextBold"/>
              <w:spacing w:before="50" w:after="50"/>
              <w:rPr>
                <w:noProof w:val="0"/>
              </w:rPr>
            </w:pPr>
            <w:r w:rsidRPr="00256982">
              <w:rPr>
                <w:noProof w:val="0"/>
              </w:rPr>
              <w:t>1985</w:t>
            </w:r>
          </w:p>
        </w:tc>
        <w:tc>
          <w:tcPr>
            <w:tcW w:w="2475" w:type="dxa"/>
            <w:tcBorders>
              <w:top w:val="single" w:sz="4" w:space="0" w:color="365F91"/>
              <w:bottom w:val="single" w:sz="4" w:space="0" w:color="365F91"/>
            </w:tcBorders>
            <w:shd w:val="clear" w:color="auto" w:fill="auto"/>
          </w:tcPr>
          <w:p w14:paraId="1EA3DAF5" w14:textId="77777777" w:rsidR="00005A00" w:rsidRPr="00256982" w:rsidRDefault="00005A00" w:rsidP="00AA14F1">
            <w:pPr>
              <w:pStyle w:val="TableText"/>
              <w:keepNext/>
              <w:spacing w:before="50" w:after="50"/>
              <w:jc w:val="center"/>
            </w:pPr>
            <w:r w:rsidRPr="00256982">
              <w:t xml:space="preserve"> 1,449.1 </w:t>
            </w:r>
          </w:p>
        </w:tc>
        <w:tc>
          <w:tcPr>
            <w:tcW w:w="2475" w:type="dxa"/>
            <w:tcBorders>
              <w:top w:val="single" w:sz="4" w:space="0" w:color="365F91"/>
              <w:bottom w:val="single" w:sz="4" w:space="0" w:color="365F91"/>
            </w:tcBorders>
            <w:shd w:val="clear" w:color="auto" w:fill="auto"/>
          </w:tcPr>
          <w:p w14:paraId="0F139870" w14:textId="77777777" w:rsidR="00005A00" w:rsidRPr="00256982" w:rsidRDefault="00005A00" w:rsidP="00AA14F1">
            <w:pPr>
              <w:pStyle w:val="TableText"/>
              <w:keepNext/>
              <w:spacing w:before="50" w:after="50"/>
              <w:jc w:val="center"/>
            </w:pPr>
            <w:r w:rsidRPr="00256982">
              <w:t xml:space="preserve"> 2,500.2 </w:t>
            </w:r>
          </w:p>
        </w:tc>
        <w:tc>
          <w:tcPr>
            <w:tcW w:w="2477" w:type="dxa"/>
            <w:tcBorders>
              <w:top w:val="single" w:sz="4" w:space="0" w:color="365F91"/>
              <w:bottom w:val="single" w:sz="4" w:space="0" w:color="365F91"/>
            </w:tcBorders>
            <w:shd w:val="clear" w:color="auto" w:fill="auto"/>
          </w:tcPr>
          <w:p w14:paraId="7DCBB356" w14:textId="77777777" w:rsidR="00005A00" w:rsidRPr="00256982" w:rsidRDefault="00005A00" w:rsidP="00AA14F1">
            <w:pPr>
              <w:pStyle w:val="TableText"/>
              <w:keepNext/>
              <w:spacing w:before="50" w:after="50"/>
              <w:jc w:val="center"/>
            </w:pPr>
            <w:r w:rsidRPr="00256982">
              <w:t xml:space="preserve"> 3,949.3 </w:t>
            </w:r>
          </w:p>
        </w:tc>
      </w:tr>
      <w:tr w:rsidR="00005A00" w:rsidRPr="00256982" w14:paraId="223529F3" w14:textId="77777777" w:rsidTr="00AA14F1">
        <w:tc>
          <w:tcPr>
            <w:tcW w:w="1078" w:type="dxa"/>
            <w:tcBorders>
              <w:top w:val="single" w:sz="4" w:space="0" w:color="365F91"/>
              <w:bottom w:val="single" w:sz="4" w:space="0" w:color="365F91"/>
            </w:tcBorders>
          </w:tcPr>
          <w:p w14:paraId="7F177720" w14:textId="77777777" w:rsidR="00005A00" w:rsidRPr="00256982" w:rsidRDefault="00005A00" w:rsidP="00AA14F1">
            <w:pPr>
              <w:pStyle w:val="TableTextBold"/>
              <w:spacing w:before="50" w:after="50"/>
              <w:rPr>
                <w:noProof w:val="0"/>
              </w:rPr>
            </w:pPr>
            <w:r w:rsidRPr="00256982">
              <w:rPr>
                <w:noProof w:val="0"/>
              </w:rPr>
              <w:t>1986</w:t>
            </w:r>
          </w:p>
        </w:tc>
        <w:tc>
          <w:tcPr>
            <w:tcW w:w="2475" w:type="dxa"/>
            <w:tcBorders>
              <w:top w:val="single" w:sz="4" w:space="0" w:color="365F91"/>
              <w:bottom w:val="single" w:sz="4" w:space="0" w:color="365F91"/>
            </w:tcBorders>
            <w:shd w:val="clear" w:color="auto" w:fill="auto"/>
          </w:tcPr>
          <w:p w14:paraId="4241FE10" w14:textId="77777777" w:rsidR="00005A00" w:rsidRPr="00256982" w:rsidRDefault="00005A00" w:rsidP="00AA14F1">
            <w:pPr>
              <w:pStyle w:val="TableText"/>
              <w:keepNext/>
              <w:spacing w:before="50" w:after="50"/>
              <w:jc w:val="center"/>
            </w:pPr>
            <w:r w:rsidRPr="00256982">
              <w:t xml:space="preserve"> 1,467.8 </w:t>
            </w:r>
          </w:p>
        </w:tc>
        <w:tc>
          <w:tcPr>
            <w:tcW w:w="2475" w:type="dxa"/>
            <w:tcBorders>
              <w:top w:val="single" w:sz="4" w:space="0" w:color="365F91"/>
              <w:bottom w:val="single" w:sz="4" w:space="0" w:color="365F91"/>
            </w:tcBorders>
            <w:shd w:val="clear" w:color="auto" w:fill="auto"/>
          </w:tcPr>
          <w:p w14:paraId="78BC73F7" w14:textId="77777777" w:rsidR="00005A00" w:rsidRPr="00256982" w:rsidRDefault="00005A00" w:rsidP="00AA14F1">
            <w:pPr>
              <w:pStyle w:val="TableText"/>
              <w:keepNext/>
              <w:spacing w:before="50" w:after="50"/>
              <w:jc w:val="center"/>
            </w:pPr>
            <w:r w:rsidRPr="00256982">
              <w:t xml:space="preserve"> 2,540.6 </w:t>
            </w:r>
          </w:p>
        </w:tc>
        <w:tc>
          <w:tcPr>
            <w:tcW w:w="2477" w:type="dxa"/>
            <w:tcBorders>
              <w:top w:val="single" w:sz="4" w:space="0" w:color="365F91"/>
              <w:bottom w:val="single" w:sz="4" w:space="0" w:color="365F91"/>
            </w:tcBorders>
            <w:shd w:val="clear" w:color="auto" w:fill="auto"/>
          </w:tcPr>
          <w:p w14:paraId="70B9C7DC" w14:textId="77777777" w:rsidR="00005A00" w:rsidRPr="00256982" w:rsidRDefault="00005A00" w:rsidP="00AA14F1">
            <w:pPr>
              <w:pStyle w:val="TableText"/>
              <w:keepNext/>
              <w:spacing w:before="50" w:after="50"/>
              <w:jc w:val="center"/>
            </w:pPr>
            <w:r w:rsidRPr="00256982">
              <w:t xml:space="preserve"> 4,008.4 </w:t>
            </w:r>
          </w:p>
        </w:tc>
      </w:tr>
      <w:tr w:rsidR="00005A00" w:rsidRPr="00256982" w14:paraId="42AF5416" w14:textId="77777777" w:rsidTr="00AA14F1">
        <w:tc>
          <w:tcPr>
            <w:tcW w:w="1078" w:type="dxa"/>
            <w:tcBorders>
              <w:top w:val="single" w:sz="4" w:space="0" w:color="365F91"/>
              <w:bottom w:val="single" w:sz="4" w:space="0" w:color="365F91"/>
            </w:tcBorders>
          </w:tcPr>
          <w:p w14:paraId="6C971FD3" w14:textId="77777777" w:rsidR="00005A00" w:rsidRPr="00256982" w:rsidRDefault="00005A00" w:rsidP="00AA14F1">
            <w:pPr>
              <w:pStyle w:val="TableTextBold"/>
              <w:spacing w:before="50" w:after="50"/>
              <w:rPr>
                <w:noProof w:val="0"/>
              </w:rPr>
            </w:pPr>
            <w:r w:rsidRPr="00256982">
              <w:rPr>
                <w:noProof w:val="0"/>
              </w:rPr>
              <w:t>1987</w:t>
            </w:r>
          </w:p>
        </w:tc>
        <w:tc>
          <w:tcPr>
            <w:tcW w:w="2475" w:type="dxa"/>
            <w:tcBorders>
              <w:top w:val="single" w:sz="4" w:space="0" w:color="365F91"/>
              <w:bottom w:val="single" w:sz="4" w:space="0" w:color="365F91"/>
            </w:tcBorders>
            <w:shd w:val="clear" w:color="auto" w:fill="auto"/>
          </w:tcPr>
          <w:p w14:paraId="7CACC59A" w14:textId="77777777" w:rsidR="00005A00" w:rsidRPr="00256982" w:rsidRDefault="00005A00" w:rsidP="00AA14F1">
            <w:pPr>
              <w:pStyle w:val="TableText"/>
              <w:keepNext/>
              <w:spacing w:before="50" w:after="50"/>
              <w:jc w:val="center"/>
            </w:pPr>
            <w:r w:rsidRPr="00256982">
              <w:t xml:space="preserve"> 1,485.7 </w:t>
            </w:r>
          </w:p>
        </w:tc>
        <w:tc>
          <w:tcPr>
            <w:tcW w:w="2475" w:type="dxa"/>
            <w:tcBorders>
              <w:top w:val="single" w:sz="4" w:space="0" w:color="365F91"/>
              <w:bottom w:val="single" w:sz="4" w:space="0" w:color="365F91"/>
            </w:tcBorders>
            <w:shd w:val="clear" w:color="auto" w:fill="auto"/>
          </w:tcPr>
          <w:p w14:paraId="0B25B124" w14:textId="77777777" w:rsidR="00005A00" w:rsidRPr="00256982" w:rsidRDefault="00005A00" w:rsidP="00AA14F1">
            <w:pPr>
              <w:pStyle w:val="TableText"/>
              <w:keepNext/>
              <w:spacing w:before="50" w:after="50"/>
              <w:jc w:val="center"/>
            </w:pPr>
            <w:r w:rsidRPr="00256982">
              <w:t xml:space="preserve"> 2,609.3 </w:t>
            </w:r>
          </w:p>
        </w:tc>
        <w:tc>
          <w:tcPr>
            <w:tcW w:w="2477" w:type="dxa"/>
            <w:tcBorders>
              <w:top w:val="single" w:sz="4" w:space="0" w:color="365F91"/>
              <w:bottom w:val="single" w:sz="4" w:space="0" w:color="365F91"/>
            </w:tcBorders>
            <w:shd w:val="clear" w:color="auto" w:fill="auto"/>
          </w:tcPr>
          <w:p w14:paraId="40095FDC" w14:textId="77777777" w:rsidR="00005A00" w:rsidRPr="00256982" w:rsidRDefault="00005A00" w:rsidP="00AA14F1">
            <w:pPr>
              <w:pStyle w:val="TableText"/>
              <w:keepNext/>
              <w:spacing w:before="50" w:after="50"/>
              <w:jc w:val="center"/>
            </w:pPr>
            <w:r w:rsidRPr="00256982">
              <w:t xml:space="preserve"> 4,095.0 </w:t>
            </w:r>
          </w:p>
        </w:tc>
      </w:tr>
      <w:tr w:rsidR="00005A00" w:rsidRPr="00256982" w14:paraId="6FDE475F" w14:textId="77777777" w:rsidTr="00AA14F1">
        <w:tc>
          <w:tcPr>
            <w:tcW w:w="1078" w:type="dxa"/>
            <w:tcBorders>
              <w:top w:val="single" w:sz="4" w:space="0" w:color="365F91"/>
              <w:bottom w:val="single" w:sz="4" w:space="0" w:color="365F91"/>
            </w:tcBorders>
          </w:tcPr>
          <w:p w14:paraId="5B39AFAD" w14:textId="77777777" w:rsidR="00005A00" w:rsidRPr="00256982" w:rsidRDefault="00005A00" w:rsidP="00AA14F1">
            <w:pPr>
              <w:pStyle w:val="TableTextBold"/>
              <w:spacing w:before="50" w:after="50"/>
              <w:rPr>
                <w:noProof w:val="0"/>
              </w:rPr>
            </w:pPr>
            <w:r w:rsidRPr="00256982">
              <w:rPr>
                <w:noProof w:val="0"/>
              </w:rPr>
              <w:t>1988</w:t>
            </w:r>
          </w:p>
        </w:tc>
        <w:tc>
          <w:tcPr>
            <w:tcW w:w="2475" w:type="dxa"/>
            <w:tcBorders>
              <w:top w:val="single" w:sz="4" w:space="0" w:color="365F91"/>
              <w:bottom w:val="single" w:sz="4" w:space="0" w:color="365F91"/>
            </w:tcBorders>
            <w:shd w:val="clear" w:color="auto" w:fill="auto"/>
          </w:tcPr>
          <w:p w14:paraId="4F1557F6" w14:textId="77777777" w:rsidR="00005A00" w:rsidRPr="00256982" w:rsidRDefault="00005A00" w:rsidP="00AA14F1">
            <w:pPr>
              <w:pStyle w:val="TableText"/>
              <w:keepNext/>
              <w:spacing w:before="50" w:after="50"/>
              <w:jc w:val="center"/>
            </w:pPr>
            <w:r w:rsidRPr="00256982">
              <w:t xml:space="preserve"> 1,509.0 </w:t>
            </w:r>
          </w:p>
        </w:tc>
        <w:tc>
          <w:tcPr>
            <w:tcW w:w="2475" w:type="dxa"/>
            <w:tcBorders>
              <w:top w:val="single" w:sz="4" w:space="0" w:color="365F91"/>
              <w:bottom w:val="single" w:sz="4" w:space="0" w:color="365F91"/>
            </w:tcBorders>
            <w:shd w:val="clear" w:color="auto" w:fill="auto"/>
          </w:tcPr>
          <w:p w14:paraId="00DC6997" w14:textId="77777777" w:rsidR="00005A00" w:rsidRPr="00256982" w:rsidRDefault="00005A00" w:rsidP="00AA14F1">
            <w:pPr>
              <w:pStyle w:val="TableText"/>
              <w:keepNext/>
              <w:spacing w:before="50" w:after="50"/>
              <w:jc w:val="center"/>
            </w:pPr>
            <w:r w:rsidRPr="00256982">
              <w:t xml:space="preserve"> 2,633.9 </w:t>
            </w:r>
          </w:p>
        </w:tc>
        <w:tc>
          <w:tcPr>
            <w:tcW w:w="2477" w:type="dxa"/>
            <w:tcBorders>
              <w:top w:val="single" w:sz="4" w:space="0" w:color="365F91"/>
              <w:bottom w:val="single" w:sz="4" w:space="0" w:color="365F91"/>
            </w:tcBorders>
            <w:shd w:val="clear" w:color="auto" w:fill="auto"/>
          </w:tcPr>
          <w:p w14:paraId="22CB6494" w14:textId="77777777" w:rsidR="00005A00" w:rsidRPr="00256982" w:rsidRDefault="00005A00" w:rsidP="00AA14F1">
            <w:pPr>
              <w:pStyle w:val="TableText"/>
              <w:keepNext/>
              <w:spacing w:before="50" w:after="50"/>
              <w:jc w:val="center"/>
            </w:pPr>
            <w:r w:rsidRPr="00256982">
              <w:t xml:space="preserve"> 4,142.9 </w:t>
            </w:r>
          </w:p>
        </w:tc>
      </w:tr>
      <w:tr w:rsidR="00005A00" w:rsidRPr="00256982" w14:paraId="37135201" w14:textId="77777777" w:rsidTr="00AA14F1">
        <w:tc>
          <w:tcPr>
            <w:tcW w:w="1078" w:type="dxa"/>
            <w:tcBorders>
              <w:top w:val="single" w:sz="4" w:space="0" w:color="365F91"/>
              <w:bottom w:val="single" w:sz="4" w:space="0" w:color="365F91"/>
            </w:tcBorders>
          </w:tcPr>
          <w:p w14:paraId="3D650967" w14:textId="77777777" w:rsidR="00005A00" w:rsidRPr="00256982" w:rsidRDefault="00005A00" w:rsidP="00AA14F1">
            <w:pPr>
              <w:pStyle w:val="TableTextBold"/>
              <w:spacing w:before="50" w:after="50"/>
              <w:rPr>
                <w:noProof w:val="0"/>
              </w:rPr>
            </w:pPr>
            <w:r w:rsidRPr="00256982">
              <w:rPr>
                <w:noProof w:val="0"/>
              </w:rPr>
              <w:t>1989</w:t>
            </w:r>
          </w:p>
        </w:tc>
        <w:tc>
          <w:tcPr>
            <w:tcW w:w="2475" w:type="dxa"/>
            <w:tcBorders>
              <w:top w:val="single" w:sz="4" w:space="0" w:color="365F91"/>
              <w:bottom w:val="single" w:sz="4" w:space="0" w:color="365F91"/>
            </w:tcBorders>
            <w:shd w:val="clear" w:color="auto" w:fill="auto"/>
          </w:tcPr>
          <w:p w14:paraId="68267647" w14:textId="77777777" w:rsidR="00005A00" w:rsidRPr="00256982" w:rsidRDefault="00005A00" w:rsidP="00AA14F1">
            <w:pPr>
              <w:pStyle w:val="TableText"/>
              <w:keepNext/>
              <w:spacing w:before="50" w:after="50"/>
              <w:jc w:val="center"/>
            </w:pPr>
            <w:r w:rsidRPr="00256982">
              <w:t xml:space="preserve"> 1,520.4 </w:t>
            </w:r>
          </w:p>
        </w:tc>
        <w:tc>
          <w:tcPr>
            <w:tcW w:w="2475" w:type="dxa"/>
            <w:tcBorders>
              <w:top w:val="single" w:sz="4" w:space="0" w:color="365F91"/>
              <w:bottom w:val="single" w:sz="4" w:space="0" w:color="365F91"/>
            </w:tcBorders>
            <w:shd w:val="clear" w:color="auto" w:fill="auto"/>
          </w:tcPr>
          <w:p w14:paraId="26947509" w14:textId="77777777" w:rsidR="00005A00" w:rsidRPr="00256982" w:rsidRDefault="00005A00" w:rsidP="00AA14F1">
            <w:pPr>
              <w:pStyle w:val="TableText"/>
              <w:keepNext/>
              <w:spacing w:before="50" w:after="50"/>
              <w:jc w:val="center"/>
            </w:pPr>
            <w:r w:rsidRPr="00256982">
              <w:t xml:space="preserve"> 2,624.4 </w:t>
            </w:r>
          </w:p>
        </w:tc>
        <w:tc>
          <w:tcPr>
            <w:tcW w:w="2477" w:type="dxa"/>
            <w:tcBorders>
              <w:top w:val="single" w:sz="4" w:space="0" w:color="365F91"/>
              <w:bottom w:val="single" w:sz="4" w:space="0" w:color="365F91"/>
            </w:tcBorders>
            <w:shd w:val="clear" w:color="auto" w:fill="auto"/>
          </w:tcPr>
          <w:p w14:paraId="285A9BAF" w14:textId="77777777" w:rsidR="00005A00" w:rsidRPr="00256982" w:rsidRDefault="00005A00" w:rsidP="00AA14F1">
            <w:pPr>
              <w:pStyle w:val="TableText"/>
              <w:keepNext/>
              <w:spacing w:before="50" w:after="50"/>
              <w:jc w:val="center"/>
            </w:pPr>
            <w:r w:rsidRPr="00256982">
              <w:t xml:space="preserve"> 4,144.8 </w:t>
            </w:r>
          </w:p>
        </w:tc>
      </w:tr>
      <w:tr w:rsidR="00005A00" w:rsidRPr="00256982" w14:paraId="51B18068" w14:textId="77777777" w:rsidTr="00AA14F1">
        <w:tc>
          <w:tcPr>
            <w:tcW w:w="1078" w:type="dxa"/>
            <w:tcBorders>
              <w:top w:val="single" w:sz="4" w:space="0" w:color="365F91"/>
              <w:bottom w:val="single" w:sz="4" w:space="0" w:color="365F91"/>
            </w:tcBorders>
          </w:tcPr>
          <w:p w14:paraId="7B3DCA80" w14:textId="77777777" w:rsidR="00005A00" w:rsidRPr="00256982" w:rsidRDefault="00005A00" w:rsidP="00AA14F1">
            <w:pPr>
              <w:pStyle w:val="TableTextBold"/>
              <w:spacing w:before="50" w:after="50"/>
              <w:rPr>
                <w:noProof w:val="0"/>
              </w:rPr>
            </w:pPr>
            <w:r w:rsidRPr="00256982">
              <w:rPr>
                <w:noProof w:val="0"/>
              </w:rPr>
              <w:t>1990</w:t>
            </w:r>
          </w:p>
        </w:tc>
        <w:tc>
          <w:tcPr>
            <w:tcW w:w="2475" w:type="dxa"/>
            <w:tcBorders>
              <w:top w:val="single" w:sz="4" w:space="0" w:color="365F91"/>
              <w:bottom w:val="single" w:sz="4" w:space="0" w:color="365F91"/>
            </w:tcBorders>
            <w:shd w:val="clear" w:color="auto" w:fill="auto"/>
          </w:tcPr>
          <w:p w14:paraId="0C8E7E0C" w14:textId="77777777" w:rsidR="00005A00" w:rsidRPr="00256982" w:rsidRDefault="00005A00" w:rsidP="00AA14F1">
            <w:pPr>
              <w:pStyle w:val="TableText"/>
              <w:keepNext/>
              <w:spacing w:before="50" w:after="50"/>
              <w:jc w:val="center"/>
              <w:rPr>
                <w:rFonts w:cs="Arial"/>
                <w:szCs w:val="16"/>
                <w:highlight w:val="yellow"/>
              </w:rPr>
            </w:pPr>
            <w:r w:rsidRPr="00256982">
              <w:t xml:space="preserve"> 1,502.1 </w:t>
            </w:r>
          </w:p>
        </w:tc>
        <w:tc>
          <w:tcPr>
            <w:tcW w:w="2475" w:type="dxa"/>
            <w:tcBorders>
              <w:top w:val="single" w:sz="4" w:space="0" w:color="365F91"/>
              <w:bottom w:val="single" w:sz="4" w:space="0" w:color="365F91"/>
            </w:tcBorders>
            <w:shd w:val="clear" w:color="auto" w:fill="auto"/>
          </w:tcPr>
          <w:p w14:paraId="51865B6A" w14:textId="77777777" w:rsidR="00005A00" w:rsidRPr="00256982" w:rsidRDefault="00005A00" w:rsidP="00AA14F1">
            <w:pPr>
              <w:pStyle w:val="TableText"/>
              <w:keepNext/>
              <w:spacing w:before="50" w:after="50"/>
              <w:jc w:val="center"/>
              <w:rPr>
                <w:rFonts w:cs="Arial"/>
                <w:szCs w:val="16"/>
                <w:highlight w:val="yellow"/>
              </w:rPr>
            </w:pPr>
            <w:r w:rsidRPr="00256982">
              <w:t xml:space="preserve"> 2,628.4 </w:t>
            </w:r>
          </w:p>
        </w:tc>
        <w:tc>
          <w:tcPr>
            <w:tcW w:w="2477" w:type="dxa"/>
            <w:tcBorders>
              <w:top w:val="single" w:sz="4" w:space="0" w:color="365F91"/>
              <w:bottom w:val="single" w:sz="4" w:space="0" w:color="365F91"/>
            </w:tcBorders>
            <w:shd w:val="clear" w:color="auto" w:fill="auto"/>
          </w:tcPr>
          <w:p w14:paraId="2A6DCF2B" w14:textId="77777777" w:rsidR="00005A00" w:rsidRPr="00256982" w:rsidRDefault="00005A00" w:rsidP="00AA14F1">
            <w:pPr>
              <w:pStyle w:val="TableText"/>
              <w:keepNext/>
              <w:spacing w:before="50" w:after="50"/>
              <w:jc w:val="center"/>
              <w:rPr>
                <w:rFonts w:cs="Arial"/>
                <w:szCs w:val="16"/>
                <w:highlight w:val="yellow"/>
              </w:rPr>
            </w:pPr>
            <w:r w:rsidRPr="00256982">
              <w:t xml:space="preserve"> 4,130.6 </w:t>
            </w:r>
          </w:p>
        </w:tc>
      </w:tr>
      <w:tr w:rsidR="00005A00" w:rsidRPr="00256982" w14:paraId="1C237BD1" w14:textId="77777777" w:rsidTr="00AA14F1">
        <w:tc>
          <w:tcPr>
            <w:tcW w:w="1078" w:type="dxa"/>
            <w:tcBorders>
              <w:top w:val="single" w:sz="4" w:space="0" w:color="365F91"/>
              <w:bottom w:val="single" w:sz="4" w:space="0" w:color="365F91"/>
            </w:tcBorders>
          </w:tcPr>
          <w:p w14:paraId="2198032E" w14:textId="77777777" w:rsidR="00005A00" w:rsidRPr="00256982" w:rsidRDefault="00005A00" w:rsidP="00AA14F1">
            <w:pPr>
              <w:pStyle w:val="TableTextBold"/>
              <w:spacing w:before="50" w:after="50"/>
              <w:rPr>
                <w:noProof w:val="0"/>
              </w:rPr>
            </w:pPr>
            <w:r w:rsidRPr="00256982">
              <w:rPr>
                <w:noProof w:val="0"/>
              </w:rPr>
              <w:t>1991</w:t>
            </w:r>
          </w:p>
        </w:tc>
        <w:tc>
          <w:tcPr>
            <w:tcW w:w="2475" w:type="dxa"/>
            <w:tcBorders>
              <w:top w:val="single" w:sz="4" w:space="0" w:color="365F91"/>
              <w:bottom w:val="single" w:sz="4" w:space="0" w:color="365F91"/>
            </w:tcBorders>
            <w:shd w:val="clear" w:color="auto" w:fill="auto"/>
          </w:tcPr>
          <w:p w14:paraId="5FBEB6AE" w14:textId="77777777" w:rsidR="00005A00" w:rsidRPr="00256982" w:rsidRDefault="00005A00" w:rsidP="00AA14F1">
            <w:pPr>
              <w:pStyle w:val="TableText"/>
              <w:spacing w:before="50" w:after="50"/>
              <w:jc w:val="center"/>
              <w:rPr>
                <w:rFonts w:cs="Arial"/>
                <w:szCs w:val="16"/>
                <w:highlight w:val="yellow"/>
              </w:rPr>
            </w:pPr>
            <w:r w:rsidRPr="00256982">
              <w:t xml:space="preserve"> 1,491.4 </w:t>
            </w:r>
          </w:p>
        </w:tc>
        <w:tc>
          <w:tcPr>
            <w:tcW w:w="2475" w:type="dxa"/>
            <w:tcBorders>
              <w:top w:val="single" w:sz="4" w:space="0" w:color="365F91"/>
              <w:bottom w:val="single" w:sz="4" w:space="0" w:color="365F91"/>
            </w:tcBorders>
            <w:shd w:val="clear" w:color="auto" w:fill="auto"/>
          </w:tcPr>
          <w:p w14:paraId="3273092E" w14:textId="77777777" w:rsidR="00005A00" w:rsidRPr="00256982" w:rsidRDefault="00005A00" w:rsidP="00AA14F1">
            <w:pPr>
              <w:pStyle w:val="TableText"/>
              <w:spacing w:before="50" w:after="50"/>
              <w:jc w:val="center"/>
              <w:rPr>
                <w:rFonts w:cs="Arial"/>
                <w:szCs w:val="16"/>
                <w:highlight w:val="yellow"/>
              </w:rPr>
            </w:pPr>
            <w:r w:rsidRPr="00256982">
              <w:t xml:space="preserve"> 2,632.4 </w:t>
            </w:r>
          </w:p>
        </w:tc>
        <w:tc>
          <w:tcPr>
            <w:tcW w:w="2477" w:type="dxa"/>
            <w:tcBorders>
              <w:top w:val="single" w:sz="4" w:space="0" w:color="365F91"/>
              <w:bottom w:val="single" w:sz="4" w:space="0" w:color="365F91"/>
            </w:tcBorders>
            <w:shd w:val="clear" w:color="auto" w:fill="auto"/>
          </w:tcPr>
          <w:p w14:paraId="0233E6A2" w14:textId="77777777" w:rsidR="00005A00" w:rsidRPr="00256982" w:rsidRDefault="00005A00" w:rsidP="00AA14F1">
            <w:pPr>
              <w:pStyle w:val="TableText"/>
              <w:spacing w:before="50" w:after="50"/>
              <w:jc w:val="center"/>
              <w:rPr>
                <w:rFonts w:cs="Arial"/>
                <w:szCs w:val="16"/>
                <w:highlight w:val="yellow"/>
              </w:rPr>
            </w:pPr>
            <w:r w:rsidRPr="00256982">
              <w:t xml:space="preserve"> 4,123.8 </w:t>
            </w:r>
          </w:p>
        </w:tc>
      </w:tr>
      <w:tr w:rsidR="00005A00" w:rsidRPr="00256982" w14:paraId="394563A5" w14:textId="77777777" w:rsidTr="00AA14F1">
        <w:tc>
          <w:tcPr>
            <w:tcW w:w="1078" w:type="dxa"/>
            <w:tcBorders>
              <w:top w:val="single" w:sz="4" w:space="0" w:color="365F91"/>
              <w:bottom w:val="single" w:sz="4" w:space="0" w:color="365F91"/>
            </w:tcBorders>
          </w:tcPr>
          <w:p w14:paraId="1851C5CA" w14:textId="77777777" w:rsidR="00005A00" w:rsidRPr="00256982" w:rsidRDefault="00005A00" w:rsidP="00AA14F1">
            <w:pPr>
              <w:pStyle w:val="TableTextBold"/>
              <w:spacing w:before="50" w:after="50"/>
              <w:rPr>
                <w:noProof w:val="0"/>
              </w:rPr>
            </w:pPr>
            <w:r w:rsidRPr="00256982">
              <w:rPr>
                <w:noProof w:val="0"/>
              </w:rPr>
              <w:t>1992</w:t>
            </w:r>
          </w:p>
        </w:tc>
        <w:tc>
          <w:tcPr>
            <w:tcW w:w="2475" w:type="dxa"/>
            <w:tcBorders>
              <w:top w:val="single" w:sz="4" w:space="0" w:color="365F91"/>
              <w:bottom w:val="single" w:sz="4" w:space="0" w:color="365F91"/>
            </w:tcBorders>
            <w:shd w:val="clear" w:color="auto" w:fill="auto"/>
          </w:tcPr>
          <w:p w14:paraId="141D9E18" w14:textId="77777777" w:rsidR="00005A00" w:rsidRPr="00256982" w:rsidRDefault="00005A00" w:rsidP="00AA14F1">
            <w:pPr>
              <w:pStyle w:val="TableText"/>
              <w:spacing w:before="50" w:after="50"/>
              <w:jc w:val="center"/>
              <w:rPr>
                <w:rFonts w:cs="Arial"/>
                <w:szCs w:val="16"/>
                <w:highlight w:val="yellow"/>
              </w:rPr>
            </w:pPr>
            <w:r w:rsidRPr="00256982">
              <w:t xml:space="preserve"> 1,474.3 </w:t>
            </w:r>
          </w:p>
        </w:tc>
        <w:tc>
          <w:tcPr>
            <w:tcW w:w="2475" w:type="dxa"/>
            <w:tcBorders>
              <w:top w:val="single" w:sz="4" w:space="0" w:color="365F91"/>
              <w:bottom w:val="single" w:sz="4" w:space="0" w:color="365F91"/>
            </w:tcBorders>
            <w:shd w:val="clear" w:color="auto" w:fill="auto"/>
          </w:tcPr>
          <w:p w14:paraId="4F46ABAD" w14:textId="77777777" w:rsidR="00005A00" w:rsidRPr="00256982" w:rsidRDefault="00005A00" w:rsidP="00AA14F1">
            <w:pPr>
              <w:pStyle w:val="TableText"/>
              <w:spacing w:before="50" w:after="50"/>
              <w:jc w:val="center"/>
              <w:rPr>
                <w:rFonts w:cs="Arial"/>
                <w:szCs w:val="16"/>
                <w:highlight w:val="yellow"/>
              </w:rPr>
            </w:pPr>
            <w:r w:rsidRPr="00256982">
              <w:t xml:space="preserve"> 2,603.7 </w:t>
            </w:r>
          </w:p>
        </w:tc>
        <w:tc>
          <w:tcPr>
            <w:tcW w:w="2477" w:type="dxa"/>
            <w:tcBorders>
              <w:top w:val="single" w:sz="4" w:space="0" w:color="365F91"/>
              <w:bottom w:val="single" w:sz="4" w:space="0" w:color="365F91"/>
            </w:tcBorders>
            <w:shd w:val="clear" w:color="auto" w:fill="auto"/>
          </w:tcPr>
          <w:p w14:paraId="6534E516" w14:textId="77777777" w:rsidR="00005A00" w:rsidRPr="00256982" w:rsidRDefault="00005A00" w:rsidP="00AA14F1">
            <w:pPr>
              <w:pStyle w:val="TableText"/>
              <w:spacing w:before="50" w:after="50"/>
              <w:jc w:val="center"/>
              <w:rPr>
                <w:rFonts w:cs="Arial"/>
                <w:szCs w:val="16"/>
                <w:highlight w:val="yellow"/>
              </w:rPr>
            </w:pPr>
            <w:r w:rsidRPr="00256982">
              <w:t xml:space="preserve"> 4,078.1 </w:t>
            </w:r>
          </w:p>
        </w:tc>
      </w:tr>
      <w:tr w:rsidR="00005A00" w:rsidRPr="00256982" w14:paraId="44667533" w14:textId="77777777" w:rsidTr="00AA14F1">
        <w:tc>
          <w:tcPr>
            <w:tcW w:w="1078" w:type="dxa"/>
            <w:tcBorders>
              <w:top w:val="single" w:sz="4" w:space="0" w:color="365F91"/>
              <w:bottom w:val="single" w:sz="4" w:space="0" w:color="365F91"/>
            </w:tcBorders>
          </w:tcPr>
          <w:p w14:paraId="360C84F0" w14:textId="77777777" w:rsidR="00005A00" w:rsidRPr="00256982" w:rsidRDefault="00005A00" w:rsidP="00AA14F1">
            <w:pPr>
              <w:pStyle w:val="TableTextBold"/>
              <w:spacing w:before="50" w:after="50"/>
              <w:rPr>
                <w:noProof w:val="0"/>
              </w:rPr>
            </w:pPr>
            <w:r w:rsidRPr="00256982">
              <w:rPr>
                <w:noProof w:val="0"/>
              </w:rPr>
              <w:t>1993</w:t>
            </w:r>
          </w:p>
        </w:tc>
        <w:tc>
          <w:tcPr>
            <w:tcW w:w="2475" w:type="dxa"/>
            <w:tcBorders>
              <w:top w:val="single" w:sz="4" w:space="0" w:color="365F91"/>
              <w:bottom w:val="single" w:sz="4" w:space="0" w:color="365F91"/>
            </w:tcBorders>
            <w:shd w:val="clear" w:color="auto" w:fill="auto"/>
          </w:tcPr>
          <w:p w14:paraId="1954B66B" w14:textId="77777777" w:rsidR="00005A00" w:rsidRPr="00256982" w:rsidRDefault="00005A00" w:rsidP="00AA14F1">
            <w:pPr>
              <w:pStyle w:val="TableText"/>
              <w:spacing w:before="50" w:after="50"/>
              <w:jc w:val="center"/>
              <w:rPr>
                <w:highlight w:val="yellow"/>
              </w:rPr>
            </w:pPr>
            <w:r w:rsidRPr="00256982">
              <w:t xml:space="preserve"> 1,504.6 </w:t>
            </w:r>
          </w:p>
        </w:tc>
        <w:tc>
          <w:tcPr>
            <w:tcW w:w="2475" w:type="dxa"/>
            <w:tcBorders>
              <w:top w:val="single" w:sz="4" w:space="0" w:color="365F91"/>
              <w:bottom w:val="single" w:sz="4" w:space="0" w:color="365F91"/>
            </w:tcBorders>
            <w:shd w:val="clear" w:color="auto" w:fill="auto"/>
          </w:tcPr>
          <w:p w14:paraId="61E6E86E" w14:textId="77777777" w:rsidR="00005A00" w:rsidRPr="00256982" w:rsidRDefault="00005A00" w:rsidP="00AA14F1">
            <w:pPr>
              <w:pStyle w:val="TableText"/>
              <w:spacing w:before="50" w:after="50"/>
              <w:jc w:val="center"/>
              <w:rPr>
                <w:highlight w:val="yellow"/>
              </w:rPr>
            </w:pPr>
            <w:r w:rsidRPr="00256982">
              <w:t xml:space="preserve"> 2,632.6 </w:t>
            </w:r>
          </w:p>
        </w:tc>
        <w:tc>
          <w:tcPr>
            <w:tcW w:w="2477" w:type="dxa"/>
            <w:tcBorders>
              <w:top w:val="single" w:sz="4" w:space="0" w:color="365F91"/>
              <w:bottom w:val="single" w:sz="4" w:space="0" w:color="365F91"/>
            </w:tcBorders>
            <w:shd w:val="clear" w:color="auto" w:fill="auto"/>
          </w:tcPr>
          <w:p w14:paraId="726FC1B0" w14:textId="77777777" w:rsidR="00005A00" w:rsidRPr="00256982" w:rsidRDefault="00005A00" w:rsidP="00AA14F1">
            <w:pPr>
              <w:pStyle w:val="TableText"/>
              <w:spacing w:before="50" w:after="50"/>
              <w:jc w:val="center"/>
              <w:rPr>
                <w:highlight w:val="yellow"/>
              </w:rPr>
            </w:pPr>
            <w:r w:rsidRPr="00256982">
              <w:t xml:space="preserve"> 4,137.2 </w:t>
            </w:r>
          </w:p>
        </w:tc>
      </w:tr>
      <w:tr w:rsidR="00005A00" w:rsidRPr="00256982" w14:paraId="32E5629F" w14:textId="77777777" w:rsidTr="00AA14F1">
        <w:tc>
          <w:tcPr>
            <w:tcW w:w="1078" w:type="dxa"/>
            <w:tcBorders>
              <w:top w:val="single" w:sz="4" w:space="0" w:color="365F91"/>
              <w:bottom w:val="single" w:sz="4" w:space="0" w:color="365F91"/>
            </w:tcBorders>
          </w:tcPr>
          <w:p w14:paraId="29AAED89" w14:textId="77777777" w:rsidR="00005A00" w:rsidRPr="00256982" w:rsidRDefault="00005A00" w:rsidP="00AA14F1">
            <w:pPr>
              <w:pStyle w:val="TableTextBold"/>
              <w:spacing w:before="50" w:after="50"/>
              <w:rPr>
                <w:noProof w:val="0"/>
              </w:rPr>
            </w:pPr>
            <w:r w:rsidRPr="00256982">
              <w:rPr>
                <w:noProof w:val="0"/>
              </w:rPr>
              <w:t>1994</w:t>
            </w:r>
          </w:p>
        </w:tc>
        <w:tc>
          <w:tcPr>
            <w:tcW w:w="2475" w:type="dxa"/>
            <w:tcBorders>
              <w:top w:val="single" w:sz="4" w:space="0" w:color="365F91"/>
              <w:bottom w:val="single" w:sz="4" w:space="0" w:color="365F91"/>
            </w:tcBorders>
            <w:shd w:val="clear" w:color="auto" w:fill="auto"/>
          </w:tcPr>
          <w:p w14:paraId="1D67699A" w14:textId="77777777" w:rsidR="00005A00" w:rsidRPr="00256982" w:rsidRDefault="00005A00" w:rsidP="00AA14F1">
            <w:pPr>
              <w:pStyle w:val="TableText"/>
              <w:spacing w:before="50" w:after="50"/>
              <w:jc w:val="center"/>
              <w:rPr>
                <w:highlight w:val="yellow"/>
              </w:rPr>
            </w:pPr>
            <w:r w:rsidRPr="00256982">
              <w:t xml:space="preserve"> 1,284.9 </w:t>
            </w:r>
          </w:p>
        </w:tc>
        <w:tc>
          <w:tcPr>
            <w:tcW w:w="2475" w:type="dxa"/>
            <w:tcBorders>
              <w:top w:val="single" w:sz="4" w:space="0" w:color="365F91"/>
              <w:bottom w:val="single" w:sz="4" w:space="0" w:color="365F91"/>
            </w:tcBorders>
            <w:shd w:val="clear" w:color="auto" w:fill="auto"/>
          </w:tcPr>
          <w:p w14:paraId="234B01B4" w14:textId="77777777" w:rsidR="00005A00" w:rsidRPr="00256982" w:rsidRDefault="00005A00" w:rsidP="00AA14F1">
            <w:pPr>
              <w:pStyle w:val="TableText"/>
              <w:spacing w:before="50" w:after="50"/>
              <w:jc w:val="center"/>
              <w:rPr>
                <w:highlight w:val="yellow"/>
              </w:rPr>
            </w:pPr>
            <w:r w:rsidRPr="00256982">
              <w:t xml:space="preserve"> 2,801.0 </w:t>
            </w:r>
          </w:p>
        </w:tc>
        <w:tc>
          <w:tcPr>
            <w:tcW w:w="2477" w:type="dxa"/>
            <w:tcBorders>
              <w:top w:val="single" w:sz="4" w:space="0" w:color="365F91"/>
              <w:bottom w:val="single" w:sz="4" w:space="0" w:color="365F91"/>
            </w:tcBorders>
            <w:shd w:val="clear" w:color="auto" w:fill="auto"/>
          </w:tcPr>
          <w:p w14:paraId="0F8D182E" w14:textId="77777777" w:rsidR="00005A00" w:rsidRPr="00256982" w:rsidRDefault="00005A00" w:rsidP="00AA14F1">
            <w:pPr>
              <w:pStyle w:val="TableText"/>
              <w:spacing w:before="50" w:after="50"/>
              <w:jc w:val="center"/>
              <w:rPr>
                <w:highlight w:val="yellow"/>
              </w:rPr>
            </w:pPr>
            <w:r w:rsidRPr="00256982">
              <w:t xml:space="preserve"> 4,085.9 </w:t>
            </w:r>
          </w:p>
        </w:tc>
      </w:tr>
      <w:tr w:rsidR="00005A00" w:rsidRPr="00256982" w14:paraId="256EBC81" w14:textId="77777777" w:rsidTr="00AA14F1">
        <w:tc>
          <w:tcPr>
            <w:tcW w:w="1078" w:type="dxa"/>
            <w:tcBorders>
              <w:top w:val="single" w:sz="4" w:space="0" w:color="365F91"/>
              <w:bottom w:val="single" w:sz="4" w:space="0" w:color="365F91"/>
            </w:tcBorders>
          </w:tcPr>
          <w:p w14:paraId="2505334C" w14:textId="77777777" w:rsidR="00005A00" w:rsidRPr="00256982" w:rsidRDefault="00005A00" w:rsidP="00AA14F1">
            <w:pPr>
              <w:pStyle w:val="TableTextBold"/>
              <w:spacing w:before="50" w:after="50"/>
              <w:rPr>
                <w:noProof w:val="0"/>
              </w:rPr>
            </w:pPr>
            <w:r w:rsidRPr="00256982">
              <w:rPr>
                <w:noProof w:val="0"/>
              </w:rPr>
              <w:lastRenderedPageBreak/>
              <w:t>1995</w:t>
            </w:r>
          </w:p>
        </w:tc>
        <w:tc>
          <w:tcPr>
            <w:tcW w:w="2475" w:type="dxa"/>
            <w:tcBorders>
              <w:top w:val="single" w:sz="4" w:space="0" w:color="365F91"/>
              <w:bottom w:val="single" w:sz="4" w:space="0" w:color="365F91"/>
            </w:tcBorders>
            <w:shd w:val="clear" w:color="auto" w:fill="auto"/>
          </w:tcPr>
          <w:p w14:paraId="538DB3AA" w14:textId="77777777" w:rsidR="00005A00" w:rsidRPr="00256982" w:rsidRDefault="00005A00" w:rsidP="00AA14F1">
            <w:pPr>
              <w:pStyle w:val="TableText"/>
              <w:spacing w:before="50" w:after="50"/>
              <w:jc w:val="center"/>
              <w:rPr>
                <w:highlight w:val="yellow"/>
              </w:rPr>
            </w:pPr>
            <w:r w:rsidRPr="00256982">
              <w:t xml:space="preserve"> 1,272.4 </w:t>
            </w:r>
          </w:p>
        </w:tc>
        <w:tc>
          <w:tcPr>
            <w:tcW w:w="2475" w:type="dxa"/>
            <w:tcBorders>
              <w:top w:val="single" w:sz="4" w:space="0" w:color="365F91"/>
              <w:bottom w:val="single" w:sz="4" w:space="0" w:color="365F91"/>
            </w:tcBorders>
            <w:shd w:val="clear" w:color="auto" w:fill="auto"/>
          </w:tcPr>
          <w:p w14:paraId="7E325E6A" w14:textId="77777777" w:rsidR="00005A00" w:rsidRPr="00256982" w:rsidRDefault="00005A00" w:rsidP="00AA14F1">
            <w:pPr>
              <w:pStyle w:val="TableText"/>
              <w:spacing w:before="50" w:after="50"/>
              <w:jc w:val="center"/>
              <w:rPr>
                <w:highlight w:val="yellow"/>
              </w:rPr>
            </w:pPr>
            <w:r w:rsidRPr="00256982">
              <w:t xml:space="preserve"> 2,944.8 </w:t>
            </w:r>
          </w:p>
        </w:tc>
        <w:tc>
          <w:tcPr>
            <w:tcW w:w="2477" w:type="dxa"/>
            <w:tcBorders>
              <w:top w:val="single" w:sz="4" w:space="0" w:color="365F91"/>
              <w:bottom w:val="single" w:sz="4" w:space="0" w:color="365F91"/>
            </w:tcBorders>
            <w:shd w:val="clear" w:color="auto" w:fill="auto"/>
          </w:tcPr>
          <w:p w14:paraId="6D5D0AA8" w14:textId="77777777" w:rsidR="00005A00" w:rsidRPr="00256982" w:rsidRDefault="00005A00" w:rsidP="00AA14F1">
            <w:pPr>
              <w:pStyle w:val="TableText"/>
              <w:spacing w:before="50" w:after="50"/>
              <w:jc w:val="center"/>
              <w:rPr>
                <w:highlight w:val="yellow"/>
              </w:rPr>
            </w:pPr>
            <w:r w:rsidRPr="00256982">
              <w:t xml:space="preserve"> 4,217.2 </w:t>
            </w:r>
          </w:p>
        </w:tc>
      </w:tr>
      <w:tr w:rsidR="00005A00" w:rsidRPr="00256982" w14:paraId="4EAD6076" w14:textId="77777777" w:rsidTr="00AA14F1">
        <w:tc>
          <w:tcPr>
            <w:tcW w:w="1078" w:type="dxa"/>
            <w:tcBorders>
              <w:top w:val="single" w:sz="4" w:space="0" w:color="365F91"/>
              <w:bottom w:val="single" w:sz="4" w:space="0" w:color="365F91"/>
            </w:tcBorders>
          </w:tcPr>
          <w:p w14:paraId="244262E1" w14:textId="77777777" w:rsidR="00005A00" w:rsidRPr="00256982" w:rsidRDefault="00005A00" w:rsidP="00AA14F1">
            <w:pPr>
              <w:pStyle w:val="TableTextBold"/>
              <w:spacing w:before="50" w:after="50"/>
              <w:rPr>
                <w:noProof w:val="0"/>
              </w:rPr>
            </w:pPr>
            <w:r w:rsidRPr="00256982">
              <w:rPr>
                <w:noProof w:val="0"/>
              </w:rPr>
              <w:t>1996</w:t>
            </w:r>
          </w:p>
        </w:tc>
        <w:tc>
          <w:tcPr>
            <w:tcW w:w="2475" w:type="dxa"/>
            <w:tcBorders>
              <w:top w:val="single" w:sz="4" w:space="0" w:color="365F91"/>
              <w:bottom w:val="single" w:sz="4" w:space="0" w:color="365F91"/>
            </w:tcBorders>
            <w:shd w:val="clear" w:color="auto" w:fill="auto"/>
          </w:tcPr>
          <w:p w14:paraId="21D80631" w14:textId="77777777" w:rsidR="00005A00" w:rsidRPr="00256982" w:rsidRDefault="00005A00" w:rsidP="00AA14F1">
            <w:pPr>
              <w:pStyle w:val="TableText"/>
              <w:spacing w:before="50" w:after="50"/>
              <w:jc w:val="center"/>
              <w:rPr>
                <w:highlight w:val="yellow"/>
              </w:rPr>
            </w:pPr>
            <w:r w:rsidRPr="00256982">
              <w:t xml:space="preserve"> 1,222.3 </w:t>
            </w:r>
          </w:p>
        </w:tc>
        <w:tc>
          <w:tcPr>
            <w:tcW w:w="2475" w:type="dxa"/>
            <w:tcBorders>
              <w:top w:val="single" w:sz="4" w:space="0" w:color="365F91"/>
              <w:bottom w:val="single" w:sz="4" w:space="0" w:color="365F91"/>
            </w:tcBorders>
            <w:shd w:val="clear" w:color="auto" w:fill="auto"/>
          </w:tcPr>
          <w:p w14:paraId="77723EF8" w14:textId="77777777" w:rsidR="00005A00" w:rsidRPr="00256982" w:rsidRDefault="00005A00" w:rsidP="00AA14F1">
            <w:pPr>
              <w:pStyle w:val="TableText"/>
              <w:spacing w:before="50" w:after="50"/>
              <w:jc w:val="center"/>
              <w:rPr>
                <w:highlight w:val="yellow"/>
              </w:rPr>
            </w:pPr>
            <w:r w:rsidRPr="00256982">
              <w:t xml:space="preserve"> 3,084.3 </w:t>
            </w:r>
          </w:p>
        </w:tc>
        <w:tc>
          <w:tcPr>
            <w:tcW w:w="2477" w:type="dxa"/>
            <w:tcBorders>
              <w:top w:val="single" w:sz="4" w:space="0" w:color="365F91"/>
              <w:bottom w:val="single" w:sz="4" w:space="0" w:color="365F91"/>
            </w:tcBorders>
            <w:shd w:val="clear" w:color="auto" w:fill="auto"/>
          </w:tcPr>
          <w:p w14:paraId="74E6A0A2" w14:textId="77777777" w:rsidR="00005A00" w:rsidRPr="00256982" w:rsidRDefault="00005A00" w:rsidP="00AA14F1">
            <w:pPr>
              <w:pStyle w:val="TableText"/>
              <w:spacing w:before="50" w:after="50"/>
              <w:jc w:val="center"/>
              <w:rPr>
                <w:highlight w:val="yellow"/>
              </w:rPr>
            </w:pPr>
            <w:r w:rsidRPr="00256982">
              <w:t xml:space="preserve"> 4,306.5 </w:t>
            </w:r>
          </w:p>
        </w:tc>
      </w:tr>
      <w:tr w:rsidR="00005A00" w:rsidRPr="00256982" w14:paraId="251D505A" w14:textId="77777777" w:rsidTr="00AA14F1">
        <w:tc>
          <w:tcPr>
            <w:tcW w:w="1078" w:type="dxa"/>
            <w:tcBorders>
              <w:top w:val="single" w:sz="4" w:space="0" w:color="365F91"/>
              <w:bottom w:val="single" w:sz="4" w:space="0" w:color="365F91"/>
            </w:tcBorders>
          </w:tcPr>
          <w:p w14:paraId="6C5A6136" w14:textId="77777777" w:rsidR="00005A00" w:rsidRPr="00256982" w:rsidRDefault="00005A00" w:rsidP="00AA14F1">
            <w:pPr>
              <w:pStyle w:val="TableTextBold"/>
              <w:spacing w:before="50" w:after="50"/>
              <w:rPr>
                <w:noProof w:val="0"/>
              </w:rPr>
            </w:pPr>
            <w:r w:rsidRPr="00256982">
              <w:rPr>
                <w:noProof w:val="0"/>
              </w:rPr>
              <w:t>1997</w:t>
            </w:r>
          </w:p>
        </w:tc>
        <w:tc>
          <w:tcPr>
            <w:tcW w:w="2475" w:type="dxa"/>
            <w:tcBorders>
              <w:top w:val="single" w:sz="4" w:space="0" w:color="365F91"/>
              <w:bottom w:val="single" w:sz="4" w:space="0" w:color="365F91"/>
            </w:tcBorders>
            <w:shd w:val="clear" w:color="auto" w:fill="auto"/>
          </w:tcPr>
          <w:p w14:paraId="6250465B" w14:textId="77777777" w:rsidR="00005A00" w:rsidRPr="00256982" w:rsidRDefault="00005A00" w:rsidP="00AA14F1">
            <w:pPr>
              <w:pStyle w:val="TableText"/>
              <w:spacing w:before="50" w:after="50"/>
              <w:jc w:val="center"/>
              <w:rPr>
                <w:highlight w:val="yellow"/>
              </w:rPr>
            </w:pPr>
            <w:r w:rsidRPr="00256982">
              <w:t xml:space="preserve"> 1,313.6 </w:t>
            </w:r>
          </w:p>
        </w:tc>
        <w:tc>
          <w:tcPr>
            <w:tcW w:w="2475" w:type="dxa"/>
            <w:tcBorders>
              <w:top w:val="single" w:sz="4" w:space="0" w:color="365F91"/>
              <w:bottom w:val="single" w:sz="4" w:space="0" w:color="365F91"/>
            </w:tcBorders>
            <w:shd w:val="clear" w:color="auto" w:fill="auto"/>
          </w:tcPr>
          <w:p w14:paraId="3CA80712" w14:textId="77777777" w:rsidR="00005A00" w:rsidRPr="00256982" w:rsidRDefault="00005A00" w:rsidP="00AA14F1">
            <w:pPr>
              <w:pStyle w:val="TableText"/>
              <w:spacing w:before="50" w:after="50"/>
              <w:jc w:val="center"/>
              <w:rPr>
                <w:highlight w:val="yellow"/>
              </w:rPr>
            </w:pPr>
            <w:r w:rsidRPr="00256982">
              <w:t xml:space="preserve"> 3,196.1 </w:t>
            </w:r>
          </w:p>
        </w:tc>
        <w:tc>
          <w:tcPr>
            <w:tcW w:w="2477" w:type="dxa"/>
            <w:tcBorders>
              <w:top w:val="single" w:sz="4" w:space="0" w:color="365F91"/>
              <w:bottom w:val="single" w:sz="4" w:space="0" w:color="365F91"/>
            </w:tcBorders>
            <w:shd w:val="clear" w:color="auto" w:fill="auto"/>
          </w:tcPr>
          <w:p w14:paraId="15241A9A" w14:textId="77777777" w:rsidR="00005A00" w:rsidRPr="00256982" w:rsidRDefault="00005A00" w:rsidP="00AA14F1">
            <w:pPr>
              <w:pStyle w:val="TableText"/>
              <w:spacing w:before="50" w:after="50"/>
              <w:jc w:val="center"/>
              <w:rPr>
                <w:highlight w:val="yellow"/>
              </w:rPr>
            </w:pPr>
            <w:r w:rsidRPr="00256982">
              <w:t xml:space="preserve"> 4,509.6 </w:t>
            </w:r>
          </w:p>
        </w:tc>
      </w:tr>
      <w:tr w:rsidR="00005A00" w:rsidRPr="00256982" w14:paraId="1B7FD141" w14:textId="77777777" w:rsidTr="00AA14F1">
        <w:tc>
          <w:tcPr>
            <w:tcW w:w="1078" w:type="dxa"/>
            <w:tcBorders>
              <w:top w:val="single" w:sz="4" w:space="0" w:color="365F91"/>
              <w:bottom w:val="single" w:sz="4" w:space="0" w:color="365F91"/>
            </w:tcBorders>
          </w:tcPr>
          <w:p w14:paraId="70A04E54" w14:textId="77777777" w:rsidR="00005A00" w:rsidRPr="00256982" w:rsidRDefault="00005A00" w:rsidP="00AA14F1">
            <w:pPr>
              <w:pStyle w:val="TableTextBold"/>
              <w:spacing w:before="50" w:after="50"/>
              <w:rPr>
                <w:noProof w:val="0"/>
              </w:rPr>
            </w:pPr>
            <w:r w:rsidRPr="00256982">
              <w:rPr>
                <w:noProof w:val="0"/>
              </w:rPr>
              <w:t>1998</w:t>
            </w:r>
          </w:p>
        </w:tc>
        <w:tc>
          <w:tcPr>
            <w:tcW w:w="2475" w:type="dxa"/>
            <w:tcBorders>
              <w:top w:val="single" w:sz="4" w:space="0" w:color="365F91"/>
              <w:bottom w:val="single" w:sz="4" w:space="0" w:color="365F91"/>
            </w:tcBorders>
            <w:shd w:val="clear" w:color="auto" w:fill="auto"/>
          </w:tcPr>
          <w:p w14:paraId="50E9F137" w14:textId="77777777" w:rsidR="00005A00" w:rsidRPr="00256982" w:rsidRDefault="00005A00" w:rsidP="00AA14F1">
            <w:pPr>
              <w:pStyle w:val="TableText"/>
              <w:spacing w:before="50" w:after="50"/>
              <w:jc w:val="center"/>
              <w:rPr>
                <w:highlight w:val="yellow"/>
              </w:rPr>
            </w:pPr>
            <w:r w:rsidRPr="00256982">
              <w:t xml:space="preserve"> 1,404.8 </w:t>
            </w:r>
          </w:p>
        </w:tc>
        <w:tc>
          <w:tcPr>
            <w:tcW w:w="2475" w:type="dxa"/>
            <w:tcBorders>
              <w:top w:val="single" w:sz="4" w:space="0" w:color="365F91"/>
              <w:bottom w:val="single" w:sz="4" w:space="0" w:color="365F91"/>
            </w:tcBorders>
            <w:shd w:val="clear" w:color="auto" w:fill="auto"/>
          </w:tcPr>
          <w:p w14:paraId="39D798D5" w14:textId="77777777" w:rsidR="00005A00" w:rsidRPr="00256982" w:rsidRDefault="00005A00" w:rsidP="00AA14F1">
            <w:pPr>
              <w:pStyle w:val="TableText"/>
              <w:spacing w:before="50" w:after="50"/>
              <w:jc w:val="center"/>
              <w:rPr>
                <w:highlight w:val="yellow"/>
              </w:rPr>
            </w:pPr>
            <w:r w:rsidRPr="00256982">
              <w:t xml:space="preserve"> 3,260.9 </w:t>
            </w:r>
          </w:p>
        </w:tc>
        <w:tc>
          <w:tcPr>
            <w:tcW w:w="2477" w:type="dxa"/>
            <w:tcBorders>
              <w:top w:val="single" w:sz="4" w:space="0" w:color="365F91"/>
              <w:bottom w:val="single" w:sz="4" w:space="0" w:color="365F91"/>
            </w:tcBorders>
            <w:shd w:val="clear" w:color="auto" w:fill="auto"/>
          </w:tcPr>
          <w:p w14:paraId="1F0EF2A8" w14:textId="77777777" w:rsidR="00005A00" w:rsidRPr="00256982" w:rsidRDefault="00005A00" w:rsidP="00AA14F1">
            <w:pPr>
              <w:pStyle w:val="TableText"/>
              <w:spacing w:before="50" w:after="50"/>
              <w:jc w:val="center"/>
              <w:rPr>
                <w:highlight w:val="yellow"/>
              </w:rPr>
            </w:pPr>
            <w:r w:rsidRPr="00256982">
              <w:t xml:space="preserve"> 4,665.8 </w:t>
            </w:r>
          </w:p>
        </w:tc>
      </w:tr>
      <w:tr w:rsidR="00005A00" w:rsidRPr="00256982" w14:paraId="45B16CF0" w14:textId="77777777" w:rsidTr="00AA14F1">
        <w:tc>
          <w:tcPr>
            <w:tcW w:w="1078" w:type="dxa"/>
            <w:tcBorders>
              <w:top w:val="single" w:sz="4" w:space="0" w:color="365F91"/>
              <w:bottom w:val="single" w:sz="4" w:space="0" w:color="365F91"/>
            </w:tcBorders>
          </w:tcPr>
          <w:p w14:paraId="118B6343" w14:textId="77777777" w:rsidR="00005A00" w:rsidRPr="00256982" w:rsidRDefault="00005A00" w:rsidP="00AA14F1">
            <w:pPr>
              <w:pStyle w:val="TableTextBold"/>
              <w:spacing w:before="50" w:after="50"/>
              <w:rPr>
                <w:noProof w:val="0"/>
              </w:rPr>
            </w:pPr>
            <w:r w:rsidRPr="00256982">
              <w:rPr>
                <w:noProof w:val="0"/>
              </w:rPr>
              <w:t>1999</w:t>
            </w:r>
          </w:p>
        </w:tc>
        <w:tc>
          <w:tcPr>
            <w:tcW w:w="2475" w:type="dxa"/>
            <w:tcBorders>
              <w:top w:val="single" w:sz="4" w:space="0" w:color="365F91"/>
              <w:bottom w:val="single" w:sz="4" w:space="0" w:color="365F91"/>
            </w:tcBorders>
            <w:shd w:val="clear" w:color="auto" w:fill="auto"/>
          </w:tcPr>
          <w:p w14:paraId="2B6BC11B" w14:textId="77777777" w:rsidR="00005A00" w:rsidRPr="00256982" w:rsidRDefault="00005A00" w:rsidP="00AA14F1">
            <w:pPr>
              <w:pStyle w:val="TableText"/>
              <w:spacing w:before="50" w:after="50"/>
              <w:jc w:val="center"/>
              <w:rPr>
                <w:highlight w:val="yellow"/>
              </w:rPr>
            </w:pPr>
            <w:r w:rsidRPr="00256982">
              <w:t xml:space="preserve"> 1,496.1 </w:t>
            </w:r>
          </w:p>
        </w:tc>
        <w:tc>
          <w:tcPr>
            <w:tcW w:w="2475" w:type="dxa"/>
            <w:tcBorders>
              <w:top w:val="single" w:sz="4" w:space="0" w:color="365F91"/>
              <w:bottom w:val="single" w:sz="4" w:space="0" w:color="365F91"/>
            </w:tcBorders>
            <w:shd w:val="clear" w:color="auto" w:fill="auto"/>
          </w:tcPr>
          <w:p w14:paraId="5FDBF263" w14:textId="77777777" w:rsidR="00005A00" w:rsidRPr="00256982" w:rsidRDefault="00005A00" w:rsidP="00AA14F1">
            <w:pPr>
              <w:pStyle w:val="TableText"/>
              <w:spacing w:before="50" w:after="50"/>
              <w:jc w:val="center"/>
              <w:rPr>
                <w:highlight w:val="yellow"/>
              </w:rPr>
            </w:pPr>
            <w:r w:rsidRPr="00256982">
              <w:t xml:space="preserve"> 3,287.5 </w:t>
            </w:r>
          </w:p>
        </w:tc>
        <w:tc>
          <w:tcPr>
            <w:tcW w:w="2477" w:type="dxa"/>
            <w:tcBorders>
              <w:top w:val="single" w:sz="4" w:space="0" w:color="365F91"/>
              <w:bottom w:val="single" w:sz="4" w:space="0" w:color="365F91"/>
            </w:tcBorders>
            <w:shd w:val="clear" w:color="auto" w:fill="auto"/>
          </w:tcPr>
          <w:p w14:paraId="13EEA80B" w14:textId="77777777" w:rsidR="00005A00" w:rsidRPr="00256982" w:rsidRDefault="00005A00" w:rsidP="00AA14F1">
            <w:pPr>
              <w:pStyle w:val="TableText"/>
              <w:spacing w:before="50" w:after="50"/>
              <w:jc w:val="center"/>
              <w:rPr>
                <w:highlight w:val="yellow"/>
              </w:rPr>
            </w:pPr>
            <w:r w:rsidRPr="00256982">
              <w:t xml:space="preserve"> 4,783.6 </w:t>
            </w:r>
          </w:p>
        </w:tc>
      </w:tr>
      <w:tr w:rsidR="00005A00" w:rsidRPr="00256982" w14:paraId="6484162C" w14:textId="77777777" w:rsidTr="00AA14F1">
        <w:tc>
          <w:tcPr>
            <w:tcW w:w="1078" w:type="dxa"/>
            <w:tcBorders>
              <w:top w:val="single" w:sz="4" w:space="0" w:color="365F91"/>
              <w:bottom w:val="single" w:sz="4" w:space="0" w:color="365F91"/>
            </w:tcBorders>
          </w:tcPr>
          <w:p w14:paraId="42ACFCD8" w14:textId="77777777" w:rsidR="00005A00" w:rsidRPr="00256982" w:rsidRDefault="00005A00" w:rsidP="00AA14F1">
            <w:pPr>
              <w:pStyle w:val="TableTextBold"/>
              <w:spacing w:before="50" w:after="50"/>
              <w:rPr>
                <w:noProof w:val="0"/>
              </w:rPr>
            </w:pPr>
            <w:r w:rsidRPr="00256982">
              <w:rPr>
                <w:noProof w:val="0"/>
              </w:rPr>
              <w:t>2000</w:t>
            </w:r>
          </w:p>
        </w:tc>
        <w:tc>
          <w:tcPr>
            <w:tcW w:w="2475" w:type="dxa"/>
            <w:tcBorders>
              <w:top w:val="single" w:sz="4" w:space="0" w:color="365F91"/>
              <w:bottom w:val="single" w:sz="4" w:space="0" w:color="365F91"/>
            </w:tcBorders>
            <w:shd w:val="clear" w:color="auto" w:fill="auto"/>
          </w:tcPr>
          <w:p w14:paraId="016CB327" w14:textId="77777777" w:rsidR="00005A00" w:rsidRPr="00256982" w:rsidRDefault="00005A00" w:rsidP="00AA14F1">
            <w:pPr>
              <w:pStyle w:val="TableText"/>
              <w:spacing w:before="50" w:after="50"/>
              <w:jc w:val="center"/>
              <w:rPr>
                <w:highlight w:val="yellow"/>
              </w:rPr>
            </w:pPr>
            <w:r w:rsidRPr="00256982">
              <w:t xml:space="preserve"> 1,430.6 </w:t>
            </w:r>
          </w:p>
        </w:tc>
        <w:tc>
          <w:tcPr>
            <w:tcW w:w="2475" w:type="dxa"/>
            <w:tcBorders>
              <w:top w:val="single" w:sz="4" w:space="0" w:color="365F91"/>
              <w:bottom w:val="single" w:sz="4" w:space="0" w:color="365F91"/>
            </w:tcBorders>
            <w:shd w:val="clear" w:color="auto" w:fill="auto"/>
          </w:tcPr>
          <w:p w14:paraId="422199FD" w14:textId="77777777" w:rsidR="00005A00" w:rsidRPr="00256982" w:rsidRDefault="00005A00" w:rsidP="00AA14F1">
            <w:pPr>
              <w:pStyle w:val="TableText"/>
              <w:spacing w:before="50" w:after="50"/>
              <w:jc w:val="center"/>
              <w:rPr>
                <w:highlight w:val="yellow"/>
              </w:rPr>
            </w:pPr>
            <w:r w:rsidRPr="00256982">
              <w:t xml:space="preserve"> 3,466.9 </w:t>
            </w:r>
          </w:p>
        </w:tc>
        <w:tc>
          <w:tcPr>
            <w:tcW w:w="2477" w:type="dxa"/>
            <w:tcBorders>
              <w:top w:val="single" w:sz="4" w:space="0" w:color="365F91"/>
              <w:bottom w:val="single" w:sz="4" w:space="0" w:color="365F91"/>
            </w:tcBorders>
            <w:shd w:val="clear" w:color="auto" w:fill="auto"/>
          </w:tcPr>
          <w:p w14:paraId="1E1D48F1" w14:textId="77777777" w:rsidR="00005A00" w:rsidRPr="00256982" w:rsidRDefault="00005A00" w:rsidP="00AA14F1">
            <w:pPr>
              <w:pStyle w:val="TableText"/>
              <w:spacing w:before="50" w:after="50"/>
              <w:jc w:val="center"/>
              <w:rPr>
                <w:highlight w:val="yellow"/>
              </w:rPr>
            </w:pPr>
            <w:r w:rsidRPr="00256982">
              <w:t xml:space="preserve"> 4,897.5 </w:t>
            </w:r>
          </w:p>
        </w:tc>
      </w:tr>
      <w:tr w:rsidR="00005A00" w:rsidRPr="00256982" w14:paraId="63904F17" w14:textId="77777777" w:rsidTr="00AA14F1">
        <w:tc>
          <w:tcPr>
            <w:tcW w:w="1078" w:type="dxa"/>
            <w:tcBorders>
              <w:top w:val="single" w:sz="4" w:space="0" w:color="365F91"/>
              <w:bottom w:val="single" w:sz="4" w:space="0" w:color="365F91"/>
            </w:tcBorders>
          </w:tcPr>
          <w:p w14:paraId="3A5380E8" w14:textId="77777777" w:rsidR="00005A00" w:rsidRPr="00256982" w:rsidRDefault="00005A00" w:rsidP="00AA14F1">
            <w:pPr>
              <w:pStyle w:val="TableTextBold"/>
              <w:spacing w:before="50" w:after="50"/>
              <w:rPr>
                <w:noProof w:val="0"/>
              </w:rPr>
            </w:pPr>
            <w:r w:rsidRPr="00256982">
              <w:rPr>
                <w:noProof w:val="0"/>
              </w:rPr>
              <w:t>2001</w:t>
            </w:r>
          </w:p>
        </w:tc>
        <w:tc>
          <w:tcPr>
            <w:tcW w:w="2475" w:type="dxa"/>
            <w:tcBorders>
              <w:top w:val="single" w:sz="4" w:space="0" w:color="365F91"/>
              <w:bottom w:val="single" w:sz="4" w:space="0" w:color="365F91"/>
            </w:tcBorders>
            <w:shd w:val="clear" w:color="auto" w:fill="auto"/>
          </w:tcPr>
          <w:p w14:paraId="308525D7" w14:textId="77777777" w:rsidR="00005A00" w:rsidRPr="00256982" w:rsidRDefault="00005A00" w:rsidP="00AA14F1">
            <w:pPr>
              <w:pStyle w:val="TableText"/>
              <w:spacing w:before="50" w:after="50"/>
              <w:jc w:val="center"/>
              <w:rPr>
                <w:highlight w:val="yellow"/>
              </w:rPr>
            </w:pPr>
            <w:r w:rsidRPr="00256982">
              <w:t xml:space="preserve"> 1,365.0 </w:t>
            </w:r>
          </w:p>
        </w:tc>
        <w:tc>
          <w:tcPr>
            <w:tcW w:w="2475" w:type="dxa"/>
            <w:tcBorders>
              <w:top w:val="single" w:sz="4" w:space="0" w:color="365F91"/>
              <w:bottom w:val="single" w:sz="4" w:space="0" w:color="365F91"/>
            </w:tcBorders>
            <w:shd w:val="clear" w:color="auto" w:fill="auto"/>
          </w:tcPr>
          <w:p w14:paraId="7F096F9C" w14:textId="77777777" w:rsidR="00005A00" w:rsidRPr="00256982" w:rsidRDefault="00005A00" w:rsidP="00AA14F1">
            <w:pPr>
              <w:pStyle w:val="TableText"/>
              <w:spacing w:before="50" w:after="50"/>
              <w:jc w:val="center"/>
              <w:rPr>
                <w:highlight w:val="yellow"/>
              </w:rPr>
            </w:pPr>
            <w:r w:rsidRPr="00256982">
              <w:t xml:space="preserve"> 3,567.5 </w:t>
            </w:r>
          </w:p>
        </w:tc>
        <w:tc>
          <w:tcPr>
            <w:tcW w:w="2477" w:type="dxa"/>
            <w:tcBorders>
              <w:top w:val="single" w:sz="4" w:space="0" w:color="365F91"/>
              <w:bottom w:val="single" w:sz="4" w:space="0" w:color="365F91"/>
            </w:tcBorders>
            <w:shd w:val="clear" w:color="auto" w:fill="auto"/>
          </w:tcPr>
          <w:p w14:paraId="280BB0F4" w14:textId="77777777" w:rsidR="00005A00" w:rsidRPr="00256982" w:rsidRDefault="00005A00" w:rsidP="00AA14F1">
            <w:pPr>
              <w:pStyle w:val="TableText"/>
              <w:spacing w:before="50" w:after="50"/>
              <w:jc w:val="center"/>
              <w:rPr>
                <w:highlight w:val="yellow"/>
              </w:rPr>
            </w:pPr>
            <w:r w:rsidRPr="00256982">
              <w:t xml:space="preserve"> 4,932.5 </w:t>
            </w:r>
          </w:p>
        </w:tc>
      </w:tr>
      <w:tr w:rsidR="00005A00" w:rsidRPr="00256982" w14:paraId="4A54532C" w14:textId="77777777" w:rsidTr="00AA14F1">
        <w:tc>
          <w:tcPr>
            <w:tcW w:w="1078" w:type="dxa"/>
            <w:tcBorders>
              <w:top w:val="single" w:sz="4" w:space="0" w:color="365F91"/>
              <w:bottom w:val="single" w:sz="4" w:space="0" w:color="365F91"/>
            </w:tcBorders>
          </w:tcPr>
          <w:p w14:paraId="32370604" w14:textId="77777777" w:rsidR="00005A00" w:rsidRPr="00256982" w:rsidRDefault="00005A00" w:rsidP="00AA14F1">
            <w:pPr>
              <w:pStyle w:val="TableTextBold"/>
              <w:spacing w:before="50" w:after="50"/>
              <w:rPr>
                <w:noProof w:val="0"/>
              </w:rPr>
            </w:pPr>
            <w:r w:rsidRPr="00256982">
              <w:rPr>
                <w:noProof w:val="0"/>
              </w:rPr>
              <w:t>2002</w:t>
            </w:r>
          </w:p>
        </w:tc>
        <w:tc>
          <w:tcPr>
            <w:tcW w:w="2475" w:type="dxa"/>
            <w:tcBorders>
              <w:top w:val="single" w:sz="4" w:space="0" w:color="365F91"/>
              <w:bottom w:val="single" w:sz="4" w:space="0" w:color="365F91"/>
            </w:tcBorders>
            <w:shd w:val="clear" w:color="auto" w:fill="auto"/>
          </w:tcPr>
          <w:p w14:paraId="03EE8712" w14:textId="77777777" w:rsidR="00005A00" w:rsidRPr="00256982" w:rsidRDefault="00005A00" w:rsidP="00AA14F1">
            <w:pPr>
              <w:pStyle w:val="TableText"/>
              <w:spacing w:before="50" w:after="50"/>
              <w:jc w:val="center"/>
              <w:rPr>
                <w:highlight w:val="yellow"/>
              </w:rPr>
            </w:pPr>
            <w:r w:rsidRPr="00256982">
              <w:t xml:space="preserve"> 1,299.4 </w:t>
            </w:r>
          </w:p>
        </w:tc>
        <w:tc>
          <w:tcPr>
            <w:tcW w:w="2475" w:type="dxa"/>
            <w:tcBorders>
              <w:top w:val="single" w:sz="4" w:space="0" w:color="365F91"/>
              <w:bottom w:val="single" w:sz="4" w:space="0" w:color="365F91"/>
            </w:tcBorders>
            <w:shd w:val="clear" w:color="auto" w:fill="auto"/>
          </w:tcPr>
          <w:p w14:paraId="70C0792E" w14:textId="77777777" w:rsidR="00005A00" w:rsidRPr="00256982" w:rsidRDefault="00005A00" w:rsidP="00AA14F1">
            <w:pPr>
              <w:pStyle w:val="TableText"/>
              <w:spacing w:before="50" w:after="50"/>
              <w:jc w:val="center"/>
              <w:rPr>
                <w:highlight w:val="yellow"/>
              </w:rPr>
            </w:pPr>
            <w:r w:rsidRPr="00256982">
              <w:t xml:space="preserve"> 3,690.7 </w:t>
            </w:r>
          </w:p>
        </w:tc>
        <w:tc>
          <w:tcPr>
            <w:tcW w:w="2477" w:type="dxa"/>
            <w:tcBorders>
              <w:top w:val="single" w:sz="4" w:space="0" w:color="365F91"/>
              <w:bottom w:val="single" w:sz="4" w:space="0" w:color="365F91"/>
            </w:tcBorders>
            <w:shd w:val="clear" w:color="auto" w:fill="auto"/>
          </w:tcPr>
          <w:p w14:paraId="22F5CA08" w14:textId="77777777" w:rsidR="00005A00" w:rsidRPr="00256982" w:rsidRDefault="00005A00" w:rsidP="00AA14F1">
            <w:pPr>
              <w:pStyle w:val="TableText"/>
              <w:spacing w:before="50" w:after="50"/>
              <w:jc w:val="center"/>
              <w:rPr>
                <w:highlight w:val="yellow"/>
              </w:rPr>
            </w:pPr>
            <w:r w:rsidRPr="00256982">
              <w:t xml:space="preserve"> 4,990.1 </w:t>
            </w:r>
          </w:p>
        </w:tc>
      </w:tr>
      <w:tr w:rsidR="00005A00" w:rsidRPr="00256982" w14:paraId="60AC9242" w14:textId="77777777" w:rsidTr="00AA14F1">
        <w:tc>
          <w:tcPr>
            <w:tcW w:w="1078" w:type="dxa"/>
            <w:tcBorders>
              <w:top w:val="single" w:sz="4" w:space="0" w:color="365F91"/>
              <w:bottom w:val="single" w:sz="4" w:space="0" w:color="365F91"/>
            </w:tcBorders>
          </w:tcPr>
          <w:p w14:paraId="200796A7" w14:textId="77777777" w:rsidR="00005A00" w:rsidRPr="00256982" w:rsidRDefault="00005A00" w:rsidP="00AA14F1">
            <w:pPr>
              <w:pStyle w:val="TableTextBold"/>
              <w:spacing w:before="50" w:after="50"/>
              <w:rPr>
                <w:noProof w:val="0"/>
              </w:rPr>
            </w:pPr>
            <w:r w:rsidRPr="00256982">
              <w:rPr>
                <w:noProof w:val="0"/>
              </w:rPr>
              <w:t>2003</w:t>
            </w:r>
          </w:p>
        </w:tc>
        <w:tc>
          <w:tcPr>
            <w:tcW w:w="2475" w:type="dxa"/>
            <w:tcBorders>
              <w:top w:val="single" w:sz="4" w:space="0" w:color="365F91"/>
              <w:bottom w:val="single" w:sz="4" w:space="0" w:color="365F91"/>
            </w:tcBorders>
            <w:shd w:val="clear" w:color="auto" w:fill="auto"/>
          </w:tcPr>
          <w:p w14:paraId="5E2B4C13" w14:textId="77777777" w:rsidR="00005A00" w:rsidRPr="00256982" w:rsidRDefault="00005A00" w:rsidP="00AA14F1">
            <w:pPr>
              <w:pStyle w:val="TableText"/>
              <w:spacing w:before="50" w:after="50"/>
              <w:jc w:val="center"/>
              <w:rPr>
                <w:highlight w:val="yellow"/>
              </w:rPr>
            </w:pPr>
            <w:r w:rsidRPr="00256982">
              <w:t xml:space="preserve"> 1,220.7 </w:t>
            </w:r>
          </w:p>
        </w:tc>
        <w:tc>
          <w:tcPr>
            <w:tcW w:w="2475" w:type="dxa"/>
            <w:tcBorders>
              <w:top w:val="single" w:sz="4" w:space="0" w:color="365F91"/>
              <w:bottom w:val="single" w:sz="4" w:space="0" w:color="365F91"/>
            </w:tcBorders>
            <w:shd w:val="clear" w:color="auto" w:fill="auto"/>
          </w:tcPr>
          <w:p w14:paraId="3E1252B7" w14:textId="77777777" w:rsidR="00005A00" w:rsidRPr="00256982" w:rsidRDefault="00005A00" w:rsidP="00AA14F1">
            <w:pPr>
              <w:pStyle w:val="TableText"/>
              <w:spacing w:before="50" w:after="50"/>
              <w:jc w:val="center"/>
              <w:rPr>
                <w:highlight w:val="yellow"/>
              </w:rPr>
            </w:pPr>
            <w:r w:rsidRPr="00256982">
              <w:t xml:space="preserve"> 3,862.8 </w:t>
            </w:r>
          </w:p>
        </w:tc>
        <w:tc>
          <w:tcPr>
            <w:tcW w:w="2477" w:type="dxa"/>
            <w:tcBorders>
              <w:top w:val="single" w:sz="4" w:space="0" w:color="365F91"/>
              <w:bottom w:val="single" w:sz="4" w:space="0" w:color="365F91"/>
            </w:tcBorders>
            <w:shd w:val="clear" w:color="auto" w:fill="auto"/>
          </w:tcPr>
          <w:p w14:paraId="5FFBF9D7" w14:textId="77777777" w:rsidR="00005A00" w:rsidRPr="00256982" w:rsidRDefault="00005A00" w:rsidP="00AA14F1">
            <w:pPr>
              <w:pStyle w:val="TableText"/>
              <w:spacing w:before="50" w:after="50"/>
              <w:jc w:val="center"/>
              <w:rPr>
                <w:highlight w:val="yellow"/>
              </w:rPr>
            </w:pPr>
            <w:r w:rsidRPr="00256982">
              <w:t xml:space="preserve"> 5,083.5 </w:t>
            </w:r>
          </w:p>
        </w:tc>
      </w:tr>
      <w:tr w:rsidR="00005A00" w:rsidRPr="00256982" w14:paraId="6EFC11EA" w14:textId="77777777" w:rsidTr="00AA14F1">
        <w:tc>
          <w:tcPr>
            <w:tcW w:w="1078" w:type="dxa"/>
            <w:tcBorders>
              <w:top w:val="single" w:sz="4" w:space="0" w:color="365F91"/>
              <w:bottom w:val="single" w:sz="4" w:space="0" w:color="365F91"/>
            </w:tcBorders>
          </w:tcPr>
          <w:p w14:paraId="5773D00E" w14:textId="77777777" w:rsidR="00005A00" w:rsidRPr="00256982" w:rsidRDefault="00005A00" w:rsidP="00AA14F1">
            <w:pPr>
              <w:pStyle w:val="TableTextBold"/>
              <w:spacing w:before="50" w:after="50"/>
              <w:rPr>
                <w:noProof w:val="0"/>
              </w:rPr>
            </w:pPr>
            <w:r w:rsidRPr="00256982">
              <w:rPr>
                <w:noProof w:val="0"/>
              </w:rPr>
              <w:t>2004</w:t>
            </w:r>
          </w:p>
        </w:tc>
        <w:tc>
          <w:tcPr>
            <w:tcW w:w="2475" w:type="dxa"/>
            <w:tcBorders>
              <w:top w:val="single" w:sz="4" w:space="0" w:color="365F91"/>
              <w:bottom w:val="single" w:sz="4" w:space="0" w:color="365F91"/>
            </w:tcBorders>
            <w:shd w:val="clear" w:color="auto" w:fill="auto"/>
          </w:tcPr>
          <w:p w14:paraId="1101A060" w14:textId="77777777" w:rsidR="00005A00" w:rsidRPr="00256982" w:rsidRDefault="00005A00" w:rsidP="00AA14F1">
            <w:pPr>
              <w:pStyle w:val="TableText"/>
              <w:spacing w:before="50" w:after="50"/>
              <w:jc w:val="center"/>
              <w:rPr>
                <w:highlight w:val="yellow"/>
              </w:rPr>
            </w:pPr>
            <w:r w:rsidRPr="00256982">
              <w:t xml:space="preserve"> 1,229.9 </w:t>
            </w:r>
          </w:p>
        </w:tc>
        <w:tc>
          <w:tcPr>
            <w:tcW w:w="2475" w:type="dxa"/>
            <w:tcBorders>
              <w:top w:val="single" w:sz="4" w:space="0" w:color="365F91"/>
              <w:bottom w:val="single" w:sz="4" w:space="0" w:color="365F91"/>
            </w:tcBorders>
            <w:shd w:val="clear" w:color="auto" w:fill="auto"/>
          </w:tcPr>
          <w:p w14:paraId="06723CF3" w14:textId="77777777" w:rsidR="00005A00" w:rsidRPr="00256982" w:rsidRDefault="00005A00" w:rsidP="00AA14F1">
            <w:pPr>
              <w:pStyle w:val="TableText"/>
              <w:spacing w:before="50" w:after="50"/>
              <w:jc w:val="center"/>
              <w:rPr>
                <w:highlight w:val="yellow"/>
              </w:rPr>
            </w:pPr>
            <w:r w:rsidRPr="00256982">
              <w:t xml:space="preserve"> 4,038.4 </w:t>
            </w:r>
          </w:p>
        </w:tc>
        <w:tc>
          <w:tcPr>
            <w:tcW w:w="2477" w:type="dxa"/>
            <w:tcBorders>
              <w:top w:val="single" w:sz="4" w:space="0" w:color="365F91"/>
              <w:bottom w:val="single" w:sz="4" w:space="0" w:color="365F91"/>
            </w:tcBorders>
            <w:shd w:val="clear" w:color="auto" w:fill="auto"/>
          </w:tcPr>
          <w:p w14:paraId="6798E0FC" w14:textId="77777777" w:rsidR="00005A00" w:rsidRPr="00256982" w:rsidRDefault="00005A00" w:rsidP="00AA14F1">
            <w:pPr>
              <w:pStyle w:val="TableText"/>
              <w:spacing w:before="50" w:after="50"/>
              <w:jc w:val="center"/>
              <w:rPr>
                <w:highlight w:val="yellow"/>
              </w:rPr>
            </w:pPr>
            <w:r w:rsidRPr="00256982">
              <w:t xml:space="preserve"> 5,268.3 </w:t>
            </w:r>
          </w:p>
        </w:tc>
      </w:tr>
      <w:tr w:rsidR="00005A00" w:rsidRPr="00256982" w14:paraId="0477DA07" w14:textId="77777777" w:rsidTr="00AA14F1">
        <w:tc>
          <w:tcPr>
            <w:tcW w:w="1078" w:type="dxa"/>
            <w:tcBorders>
              <w:top w:val="single" w:sz="4" w:space="0" w:color="365F91"/>
              <w:bottom w:val="single" w:sz="4" w:space="0" w:color="365F91"/>
            </w:tcBorders>
          </w:tcPr>
          <w:p w14:paraId="57482D33" w14:textId="77777777" w:rsidR="00005A00" w:rsidRPr="00256982" w:rsidRDefault="00005A00" w:rsidP="00AA14F1">
            <w:pPr>
              <w:pStyle w:val="TableTextBold"/>
              <w:spacing w:before="50" w:after="50"/>
              <w:rPr>
                <w:noProof w:val="0"/>
              </w:rPr>
            </w:pPr>
            <w:r w:rsidRPr="00256982">
              <w:rPr>
                <w:noProof w:val="0"/>
              </w:rPr>
              <w:t>2005</w:t>
            </w:r>
          </w:p>
        </w:tc>
        <w:tc>
          <w:tcPr>
            <w:tcW w:w="2475" w:type="dxa"/>
            <w:tcBorders>
              <w:top w:val="single" w:sz="4" w:space="0" w:color="365F91"/>
              <w:bottom w:val="single" w:sz="4" w:space="0" w:color="365F91"/>
            </w:tcBorders>
            <w:shd w:val="clear" w:color="auto" w:fill="auto"/>
          </w:tcPr>
          <w:p w14:paraId="06FAECA6" w14:textId="77777777" w:rsidR="00005A00" w:rsidRPr="00256982" w:rsidRDefault="00005A00" w:rsidP="00AA14F1">
            <w:pPr>
              <w:pStyle w:val="TableText"/>
              <w:spacing w:before="50" w:after="50"/>
              <w:jc w:val="center"/>
              <w:rPr>
                <w:highlight w:val="yellow"/>
              </w:rPr>
            </w:pPr>
            <w:r w:rsidRPr="00256982">
              <w:t xml:space="preserve"> 1,191.6 </w:t>
            </w:r>
          </w:p>
        </w:tc>
        <w:tc>
          <w:tcPr>
            <w:tcW w:w="2475" w:type="dxa"/>
            <w:tcBorders>
              <w:top w:val="single" w:sz="4" w:space="0" w:color="365F91"/>
              <w:bottom w:val="single" w:sz="4" w:space="0" w:color="365F91"/>
            </w:tcBorders>
            <w:shd w:val="clear" w:color="auto" w:fill="auto"/>
          </w:tcPr>
          <w:p w14:paraId="63555E17" w14:textId="77777777" w:rsidR="00005A00" w:rsidRPr="00256982" w:rsidRDefault="00005A00" w:rsidP="00AA14F1">
            <w:pPr>
              <w:pStyle w:val="TableText"/>
              <w:spacing w:before="50" w:after="50"/>
              <w:jc w:val="center"/>
              <w:rPr>
                <w:highlight w:val="yellow"/>
              </w:rPr>
            </w:pPr>
            <w:r w:rsidRPr="00256982">
              <w:t xml:space="preserve"> 4,197.6 </w:t>
            </w:r>
          </w:p>
        </w:tc>
        <w:tc>
          <w:tcPr>
            <w:tcW w:w="2477" w:type="dxa"/>
            <w:tcBorders>
              <w:top w:val="single" w:sz="4" w:space="0" w:color="365F91"/>
              <w:bottom w:val="single" w:sz="4" w:space="0" w:color="365F91"/>
            </w:tcBorders>
            <w:shd w:val="clear" w:color="auto" w:fill="auto"/>
          </w:tcPr>
          <w:p w14:paraId="5D0784A0" w14:textId="77777777" w:rsidR="00005A00" w:rsidRPr="00256982" w:rsidRDefault="00005A00" w:rsidP="00AA14F1">
            <w:pPr>
              <w:pStyle w:val="TableText"/>
              <w:spacing w:before="50" w:after="50"/>
              <w:jc w:val="center"/>
              <w:rPr>
                <w:highlight w:val="yellow"/>
              </w:rPr>
            </w:pPr>
            <w:r w:rsidRPr="00256982">
              <w:t xml:space="preserve"> 5,389.2 </w:t>
            </w:r>
          </w:p>
        </w:tc>
      </w:tr>
      <w:tr w:rsidR="00005A00" w:rsidRPr="00256982" w14:paraId="40407520" w14:textId="77777777" w:rsidTr="00AA14F1">
        <w:tc>
          <w:tcPr>
            <w:tcW w:w="1078" w:type="dxa"/>
            <w:tcBorders>
              <w:top w:val="single" w:sz="4" w:space="0" w:color="365F91"/>
              <w:bottom w:val="single" w:sz="4" w:space="0" w:color="365F91"/>
            </w:tcBorders>
          </w:tcPr>
          <w:p w14:paraId="04F3E13D" w14:textId="77777777" w:rsidR="00005A00" w:rsidRPr="00256982" w:rsidRDefault="00005A00" w:rsidP="00AA14F1">
            <w:pPr>
              <w:pStyle w:val="TableTextBold"/>
              <w:spacing w:before="50" w:after="50"/>
              <w:rPr>
                <w:noProof w:val="0"/>
              </w:rPr>
            </w:pPr>
            <w:r w:rsidRPr="00256982">
              <w:rPr>
                <w:noProof w:val="0"/>
              </w:rPr>
              <w:t>2006</w:t>
            </w:r>
          </w:p>
        </w:tc>
        <w:tc>
          <w:tcPr>
            <w:tcW w:w="2475" w:type="dxa"/>
            <w:tcBorders>
              <w:top w:val="single" w:sz="4" w:space="0" w:color="365F91"/>
              <w:bottom w:val="single" w:sz="4" w:space="0" w:color="365F91"/>
            </w:tcBorders>
            <w:shd w:val="clear" w:color="auto" w:fill="auto"/>
          </w:tcPr>
          <w:p w14:paraId="1B149876" w14:textId="77777777" w:rsidR="00005A00" w:rsidRPr="00256982" w:rsidRDefault="00005A00" w:rsidP="00AA14F1">
            <w:pPr>
              <w:pStyle w:val="TableText"/>
              <w:spacing w:before="50" w:after="50"/>
              <w:jc w:val="center"/>
              <w:rPr>
                <w:highlight w:val="yellow"/>
              </w:rPr>
            </w:pPr>
            <w:r w:rsidRPr="00256982">
              <w:t xml:space="preserve"> 1,194.6 </w:t>
            </w:r>
          </w:p>
        </w:tc>
        <w:tc>
          <w:tcPr>
            <w:tcW w:w="2475" w:type="dxa"/>
            <w:tcBorders>
              <w:top w:val="single" w:sz="4" w:space="0" w:color="365F91"/>
              <w:bottom w:val="single" w:sz="4" w:space="0" w:color="365F91"/>
            </w:tcBorders>
            <w:shd w:val="clear" w:color="auto" w:fill="auto"/>
          </w:tcPr>
          <w:p w14:paraId="00299C4C" w14:textId="77777777" w:rsidR="00005A00" w:rsidRPr="00256982" w:rsidRDefault="00005A00" w:rsidP="00AA14F1">
            <w:pPr>
              <w:pStyle w:val="TableText"/>
              <w:spacing w:before="50" w:after="50"/>
              <w:jc w:val="center"/>
              <w:rPr>
                <w:highlight w:val="yellow"/>
              </w:rPr>
            </w:pPr>
            <w:r w:rsidRPr="00256982">
              <w:t xml:space="preserve"> 4,336.1 </w:t>
            </w:r>
          </w:p>
        </w:tc>
        <w:tc>
          <w:tcPr>
            <w:tcW w:w="2477" w:type="dxa"/>
            <w:tcBorders>
              <w:top w:val="single" w:sz="4" w:space="0" w:color="365F91"/>
              <w:bottom w:val="single" w:sz="4" w:space="0" w:color="365F91"/>
            </w:tcBorders>
            <w:shd w:val="clear" w:color="auto" w:fill="auto"/>
          </w:tcPr>
          <w:p w14:paraId="575DB047" w14:textId="77777777" w:rsidR="00005A00" w:rsidRPr="00256982" w:rsidRDefault="00005A00" w:rsidP="00AA14F1">
            <w:pPr>
              <w:pStyle w:val="TableText"/>
              <w:spacing w:before="50" w:after="50"/>
              <w:jc w:val="center"/>
              <w:rPr>
                <w:highlight w:val="yellow"/>
              </w:rPr>
            </w:pPr>
            <w:r w:rsidRPr="00256982">
              <w:t xml:space="preserve"> 5,530.7 </w:t>
            </w:r>
          </w:p>
        </w:tc>
      </w:tr>
      <w:tr w:rsidR="00005A00" w:rsidRPr="00256982" w14:paraId="1034157A" w14:textId="77777777" w:rsidTr="00AA14F1">
        <w:tc>
          <w:tcPr>
            <w:tcW w:w="1078" w:type="dxa"/>
            <w:tcBorders>
              <w:top w:val="single" w:sz="4" w:space="0" w:color="365F91"/>
              <w:bottom w:val="single" w:sz="4" w:space="0" w:color="365F91"/>
            </w:tcBorders>
          </w:tcPr>
          <w:p w14:paraId="03DA32FB" w14:textId="77777777" w:rsidR="00005A00" w:rsidRPr="00256982" w:rsidRDefault="00005A00" w:rsidP="00AA14F1">
            <w:pPr>
              <w:pStyle w:val="TableTextBold"/>
              <w:spacing w:before="50" w:after="50"/>
              <w:rPr>
                <w:noProof w:val="0"/>
              </w:rPr>
            </w:pPr>
            <w:r w:rsidRPr="00256982">
              <w:rPr>
                <w:noProof w:val="0"/>
              </w:rPr>
              <w:t>2007</w:t>
            </w:r>
          </w:p>
        </w:tc>
        <w:tc>
          <w:tcPr>
            <w:tcW w:w="2475" w:type="dxa"/>
            <w:tcBorders>
              <w:top w:val="single" w:sz="4" w:space="0" w:color="365F91"/>
              <w:bottom w:val="single" w:sz="4" w:space="0" w:color="365F91"/>
            </w:tcBorders>
            <w:shd w:val="clear" w:color="auto" w:fill="auto"/>
          </w:tcPr>
          <w:p w14:paraId="64E27F4E" w14:textId="77777777" w:rsidR="00005A00" w:rsidRPr="00256982" w:rsidRDefault="00005A00" w:rsidP="00AA14F1">
            <w:pPr>
              <w:pStyle w:val="TableText"/>
              <w:spacing w:before="50" w:after="50"/>
              <w:jc w:val="center"/>
              <w:rPr>
                <w:highlight w:val="yellow"/>
              </w:rPr>
            </w:pPr>
            <w:r w:rsidRPr="00256982">
              <w:t xml:space="preserve"> 1,172.2 </w:t>
            </w:r>
          </w:p>
        </w:tc>
        <w:tc>
          <w:tcPr>
            <w:tcW w:w="2475" w:type="dxa"/>
            <w:tcBorders>
              <w:top w:val="single" w:sz="4" w:space="0" w:color="365F91"/>
              <w:bottom w:val="single" w:sz="4" w:space="0" w:color="365F91"/>
            </w:tcBorders>
            <w:shd w:val="clear" w:color="auto" w:fill="auto"/>
          </w:tcPr>
          <w:p w14:paraId="603AAF0C" w14:textId="77777777" w:rsidR="00005A00" w:rsidRPr="00256982" w:rsidRDefault="00005A00" w:rsidP="00AA14F1">
            <w:pPr>
              <w:pStyle w:val="TableText"/>
              <w:spacing w:before="50" w:after="50"/>
              <w:jc w:val="center"/>
              <w:rPr>
                <w:highlight w:val="yellow"/>
              </w:rPr>
            </w:pPr>
            <w:r w:rsidRPr="00256982">
              <w:t xml:space="preserve"> 4,454.2 </w:t>
            </w:r>
          </w:p>
        </w:tc>
        <w:tc>
          <w:tcPr>
            <w:tcW w:w="2477" w:type="dxa"/>
            <w:tcBorders>
              <w:top w:val="single" w:sz="4" w:space="0" w:color="365F91"/>
              <w:bottom w:val="single" w:sz="4" w:space="0" w:color="365F91"/>
            </w:tcBorders>
            <w:shd w:val="clear" w:color="auto" w:fill="auto"/>
          </w:tcPr>
          <w:p w14:paraId="465A45C9" w14:textId="77777777" w:rsidR="00005A00" w:rsidRPr="00256982" w:rsidRDefault="00005A00" w:rsidP="00AA14F1">
            <w:pPr>
              <w:pStyle w:val="TableText"/>
              <w:spacing w:before="50" w:after="50"/>
              <w:jc w:val="center"/>
              <w:rPr>
                <w:highlight w:val="yellow"/>
              </w:rPr>
            </w:pPr>
            <w:r w:rsidRPr="00256982">
              <w:t xml:space="preserve"> 5,626.4 </w:t>
            </w:r>
          </w:p>
        </w:tc>
      </w:tr>
      <w:tr w:rsidR="00005A00" w:rsidRPr="00256982" w14:paraId="7A39282C" w14:textId="77777777" w:rsidTr="00AA14F1">
        <w:tc>
          <w:tcPr>
            <w:tcW w:w="1078" w:type="dxa"/>
            <w:tcBorders>
              <w:top w:val="single" w:sz="4" w:space="0" w:color="365F91"/>
              <w:bottom w:val="single" w:sz="4" w:space="0" w:color="365F91"/>
            </w:tcBorders>
          </w:tcPr>
          <w:p w14:paraId="39289A8D" w14:textId="77777777" w:rsidR="00005A00" w:rsidRPr="00256982" w:rsidRDefault="00005A00" w:rsidP="00AA14F1">
            <w:pPr>
              <w:pStyle w:val="TableTextBold"/>
              <w:spacing w:before="50" w:after="50"/>
              <w:rPr>
                <w:noProof w:val="0"/>
              </w:rPr>
            </w:pPr>
            <w:r w:rsidRPr="00256982">
              <w:rPr>
                <w:noProof w:val="0"/>
              </w:rPr>
              <w:t>2008</w:t>
            </w:r>
          </w:p>
        </w:tc>
        <w:tc>
          <w:tcPr>
            <w:tcW w:w="2475" w:type="dxa"/>
            <w:tcBorders>
              <w:top w:val="single" w:sz="4" w:space="0" w:color="365F91"/>
              <w:bottom w:val="single" w:sz="4" w:space="0" w:color="365F91"/>
            </w:tcBorders>
            <w:shd w:val="clear" w:color="auto" w:fill="auto"/>
          </w:tcPr>
          <w:p w14:paraId="65BDD3A9" w14:textId="77777777" w:rsidR="00005A00" w:rsidRPr="00256982" w:rsidRDefault="00005A00" w:rsidP="00AA14F1">
            <w:pPr>
              <w:pStyle w:val="TableText"/>
              <w:spacing w:before="50" w:after="50"/>
              <w:jc w:val="center"/>
              <w:rPr>
                <w:highlight w:val="yellow"/>
              </w:rPr>
            </w:pPr>
            <w:r w:rsidRPr="00256982">
              <w:t xml:space="preserve"> 1,120.9 </w:t>
            </w:r>
          </w:p>
        </w:tc>
        <w:tc>
          <w:tcPr>
            <w:tcW w:w="2475" w:type="dxa"/>
            <w:tcBorders>
              <w:top w:val="single" w:sz="4" w:space="0" w:color="365F91"/>
              <w:bottom w:val="single" w:sz="4" w:space="0" w:color="365F91"/>
            </w:tcBorders>
            <w:shd w:val="clear" w:color="auto" w:fill="auto"/>
          </w:tcPr>
          <w:p w14:paraId="3E6DDC54" w14:textId="77777777" w:rsidR="00005A00" w:rsidRPr="00256982" w:rsidRDefault="00005A00" w:rsidP="00AA14F1">
            <w:pPr>
              <w:pStyle w:val="TableText"/>
              <w:spacing w:before="50" w:after="50"/>
              <w:jc w:val="center"/>
              <w:rPr>
                <w:highlight w:val="yellow"/>
              </w:rPr>
            </w:pPr>
            <w:r w:rsidRPr="00256982">
              <w:t xml:space="preserve"> 4,588.9 </w:t>
            </w:r>
          </w:p>
        </w:tc>
        <w:tc>
          <w:tcPr>
            <w:tcW w:w="2477" w:type="dxa"/>
            <w:tcBorders>
              <w:top w:val="single" w:sz="4" w:space="0" w:color="365F91"/>
              <w:bottom w:val="single" w:sz="4" w:space="0" w:color="365F91"/>
            </w:tcBorders>
            <w:shd w:val="clear" w:color="auto" w:fill="auto"/>
          </w:tcPr>
          <w:p w14:paraId="17AA4581" w14:textId="77777777" w:rsidR="00005A00" w:rsidRPr="00256982" w:rsidRDefault="00005A00" w:rsidP="00AA14F1">
            <w:pPr>
              <w:pStyle w:val="TableText"/>
              <w:spacing w:before="50" w:after="50"/>
              <w:jc w:val="center"/>
              <w:rPr>
                <w:highlight w:val="yellow"/>
              </w:rPr>
            </w:pPr>
            <w:r w:rsidRPr="00256982">
              <w:t xml:space="preserve"> 5,709.8 </w:t>
            </w:r>
          </w:p>
        </w:tc>
      </w:tr>
      <w:tr w:rsidR="00005A00" w:rsidRPr="00256982" w14:paraId="305477EA" w14:textId="77777777" w:rsidTr="00AA14F1">
        <w:tc>
          <w:tcPr>
            <w:tcW w:w="1078" w:type="dxa"/>
            <w:tcBorders>
              <w:top w:val="single" w:sz="4" w:space="0" w:color="365F91"/>
              <w:bottom w:val="single" w:sz="4" w:space="0" w:color="365F91"/>
            </w:tcBorders>
          </w:tcPr>
          <w:p w14:paraId="7DC716AB" w14:textId="77777777" w:rsidR="00005A00" w:rsidRPr="00256982" w:rsidRDefault="00005A00" w:rsidP="00AA14F1">
            <w:pPr>
              <w:pStyle w:val="TableTextBold"/>
              <w:spacing w:before="50" w:after="50"/>
              <w:rPr>
                <w:noProof w:val="0"/>
              </w:rPr>
            </w:pPr>
            <w:r w:rsidRPr="00256982">
              <w:rPr>
                <w:noProof w:val="0"/>
              </w:rPr>
              <w:t>2009</w:t>
            </w:r>
          </w:p>
        </w:tc>
        <w:tc>
          <w:tcPr>
            <w:tcW w:w="2475" w:type="dxa"/>
            <w:tcBorders>
              <w:top w:val="single" w:sz="4" w:space="0" w:color="365F91"/>
              <w:bottom w:val="single" w:sz="4" w:space="0" w:color="365F91"/>
            </w:tcBorders>
            <w:shd w:val="clear" w:color="auto" w:fill="auto"/>
          </w:tcPr>
          <w:p w14:paraId="59BD9388" w14:textId="77777777" w:rsidR="00005A00" w:rsidRPr="00256982" w:rsidRDefault="00005A00" w:rsidP="00AA14F1">
            <w:pPr>
              <w:pStyle w:val="TableText"/>
              <w:spacing w:before="50" w:after="50"/>
              <w:jc w:val="center"/>
              <w:rPr>
                <w:highlight w:val="yellow"/>
              </w:rPr>
            </w:pPr>
            <w:r w:rsidRPr="00256982">
              <w:t xml:space="preserve"> 1,097.7 </w:t>
            </w:r>
          </w:p>
        </w:tc>
        <w:tc>
          <w:tcPr>
            <w:tcW w:w="2475" w:type="dxa"/>
            <w:tcBorders>
              <w:top w:val="single" w:sz="4" w:space="0" w:color="365F91"/>
              <w:bottom w:val="single" w:sz="4" w:space="0" w:color="365F91"/>
            </w:tcBorders>
            <w:shd w:val="clear" w:color="auto" w:fill="auto"/>
          </w:tcPr>
          <w:p w14:paraId="58D1BA85" w14:textId="77777777" w:rsidR="00005A00" w:rsidRPr="00256982" w:rsidRDefault="00005A00" w:rsidP="00AA14F1">
            <w:pPr>
              <w:pStyle w:val="TableText"/>
              <w:spacing w:before="50" w:after="50"/>
              <w:jc w:val="center"/>
              <w:rPr>
                <w:highlight w:val="yellow"/>
              </w:rPr>
            </w:pPr>
            <w:r w:rsidRPr="00256982">
              <w:t xml:space="preserve"> 4,542.6 </w:t>
            </w:r>
          </w:p>
        </w:tc>
        <w:tc>
          <w:tcPr>
            <w:tcW w:w="2477" w:type="dxa"/>
            <w:tcBorders>
              <w:top w:val="single" w:sz="4" w:space="0" w:color="365F91"/>
              <w:bottom w:val="single" w:sz="4" w:space="0" w:color="365F91"/>
            </w:tcBorders>
            <w:shd w:val="clear" w:color="auto" w:fill="auto"/>
          </w:tcPr>
          <w:p w14:paraId="00ED72A9" w14:textId="77777777" w:rsidR="00005A00" w:rsidRPr="00256982" w:rsidRDefault="00005A00" w:rsidP="00AA14F1">
            <w:pPr>
              <w:pStyle w:val="TableText"/>
              <w:spacing w:before="50" w:after="50"/>
              <w:jc w:val="center"/>
              <w:rPr>
                <w:highlight w:val="yellow"/>
              </w:rPr>
            </w:pPr>
            <w:r w:rsidRPr="00256982">
              <w:t xml:space="preserve"> 5,640.4 </w:t>
            </w:r>
          </w:p>
        </w:tc>
      </w:tr>
      <w:tr w:rsidR="00005A00" w:rsidRPr="00256982" w14:paraId="44CCDFE5" w14:textId="77777777" w:rsidTr="00AA14F1">
        <w:tc>
          <w:tcPr>
            <w:tcW w:w="1078" w:type="dxa"/>
            <w:tcBorders>
              <w:top w:val="single" w:sz="4" w:space="0" w:color="365F91"/>
              <w:bottom w:val="single" w:sz="4" w:space="0" w:color="365F91"/>
            </w:tcBorders>
          </w:tcPr>
          <w:p w14:paraId="33892087" w14:textId="77777777" w:rsidR="00005A00" w:rsidRPr="00256982" w:rsidRDefault="00005A00" w:rsidP="00AA14F1">
            <w:pPr>
              <w:pStyle w:val="TableTextBold"/>
              <w:spacing w:before="50" w:after="50"/>
              <w:rPr>
                <w:noProof w:val="0"/>
              </w:rPr>
            </w:pPr>
            <w:r w:rsidRPr="00256982">
              <w:rPr>
                <w:noProof w:val="0"/>
              </w:rPr>
              <w:t>2010</w:t>
            </w:r>
          </w:p>
        </w:tc>
        <w:tc>
          <w:tcPr>
            <w:tcW w:w="2475" w:type="dxa"/>
            <w:tcBorders>
              <w:top w:val="single" w:sz="4" w:space="0" w:color="365F91"/>
              <w:bottom w:val="single" w:sz="4" w:space="0" w:color="365F91"/>
            </w:tcBorders>
            <w:shd w:val="clear" w:color="auto" w:fill="auto"/>
          </w:tcPr>
          <w:p w14:paraId="2EB1BC30" w14:textId="77777777" w:rsidR="00005A00" w:rsidRPr="00256982" w:rsidRDefault="00005A00" w:rsidP="00AA14F1">
            <w:pPr>
              <w:pStyle w:val="TableText"/>
              <w:spacing w:before="50" w:after="50"/>
              <w:jc w:val="center"/>
              <w:rPr>
                <w:highlight w:val="yellow"/>
              </w:rPr>
            </w:pPr>
            <w:r w:rsidRPr="00256982">
              <w:t xml:space="preserve"> 1,108.2 </w:t>
            </w:r>
          </w:p>
        </w:tc>
        <w:tc>
          <w:tcPr>
            <w:tcW w:w="2475" w:type="dxa"/>
            <w:tcBorders>
              <w:top w:val="single" w:sz="4" w:space="0" w:color="365F91"/>
              <w:bottom w:val="single" w:sz="4" w:space="0" w:color="365F91"/>
            </w:tcBorders>
            <w:shd w:val="clear" w:color="auto" w:fill="auto"/>
          </w:tcPr>
          <w:p w14:paraId="738D5729" w14:textId="77777777" w:rsidR="00005A00" w:rsidRPr="00256982" w:rsidRDefault="00005A00" w:rsidP="00AA14F1">
            <w:pPr>
              <w:pStyle w:val="TableText"/>
              <w:spacing w:before="50" w:after="50"/>
              <w:jc w:val="center"/>
              <w:rPr>
                <w:highlight w:val="yellow"/>
              </w:rPr>
            </w:pPr>
            <w:r w:rsidRPr="00256982">
              <w:t xml:space="preserve"> 4,529.8 </w:t>
            </w:r>
          </w:p>
        </w:tc>
        <w:tc>
          <w:tcPr>
            <w:tcW w:w="2477" w:type="dxa"/>
            <w:tcBorders>
              <w:top w:val="single" w:sz="4" w:space="0" w:color="365F91"/>
              <w:bottom w:val="single" w:sz="4" w:space="0" w:color="365F91"/>
            </w:tcBorders>
            <w:shd w:val="clear" w:color="auto" w:fill="auto"/>
          </w:tcPr>
          <w:p w14:paraId="1055C0A9" w14:textId="77777777" w:rsidR="00005A00" w:rsidRPr="00256982" w:rsidRDefault="00005A00" w:rsidP="00AA14F1">
            <w:pPr>
              <w:pStyle w:val="TableText"/>
              <w:spacing w:before="50" w:after="50"/>
              <w:jc w:val="center"/>
              <w:rPr>
                <w:highlight w:val="yellow"/>
              </w:rPr>
            </w:pPr>
            <w:r w:rsidRPr="00256982">
              <w:t xml:space="preserve"> 5,638.0 </w:t>
            </w:r>
          </w:p>
        </w:tc>
      </w:tr>
      <w:tr w:rsidR="00005A00" w:rsidRPr="00256982" w14:paraId="346B9881" w14:textId="77777777" w:rsidTr="00AA14F1">
        <w:tc>
          <w:tcPr>
            <w:tcW w:w="1078" w:type="dxa"/>
            <w:tcBorders>
              <w:top w:val="single" w:sz="4" w:space="0" w:color="365F91"/>
              <w:bottom w:val="single" w:sz="4" w:space="0" w:color="365F91"/>
            </w:tcBorders>
          </w:tcPr>
          <w:p w14:paraId="02B63F7E" w14:textId="77777777" w:rsidR="00005A00" w:rsidRPr="00256982" w:rsidRDefault="00005A00" w:rsidP="00AA14F1">
            <w:pPr>
              <w:pStyle w:val="TableTextBold"/>
              <w:spacing w:before="50" w:after="50"/>
              <w:rPr>
                <w:noProof w:val="0"/>
              </w:rPr>
            </w:pPr>
            <w:r w:rsidRPr="00256982">
              <w:rPr>
                <w:noProof w:val="0"/>
              </w:rPr>
              <w:t>2011</w:t>
            </w:r>
          </w:p>
        </w:tc>
        <w:tc>
          <w:tcPr>
            <w:tcW w:w="2475" w:type="dxa"/>
            <w:tcBorders>
              <w:top w:val="single" w:sz="4" w:space="0" w:color="365F91"/>
              <w:bottom w:val="single" w:sz="4" w:space="0" w:color="365F91"/>
            </w:tcBorders>
            <w:shd w:val="clear" w:color="auto" w:fill="auto"/>
          </w:tcPr>
          <w:p w14:paraId="24AE7C72" w14:textId="77777777" w:rsidR="00005A00" w:rsidRPr="00256982" w:rsidRDefault="00005A00" w:rsidP="00AA14F1">
            <w:pPr>
              <w:pStyle w:val="TableText"/>
              <w:spacing w:before="50" w:after="50"/>
              <w:jc w:val="center"/>
              <w:rPr>
                <w:highlight w:val="yellow"/>
              </w:rPr>
            </w:pPr>
            <w:r w:rsidRPr="00256982">
              <w:t xml:space="preserve"> 1,073.5 </w:t>
            </w:r>
          </w:p>
        </w:tc>
        <w:tc>
          <w:tcPr>
            <w:tcW w:w="2475" w:type="dxa"/>
            <w:tcBorders>
              <w:top w:val="single" w:sz="4" w:space="0" w:color="365F91"/>
              <w:bottom w:val="single" w:sz="4" w:space="0" w:color="365F91"/>
            </w:tcBorders>
            <w:shd w:val="clear" w:color="auto" w:fill="auto"/>
          </w:tcPr>
          <w:p w14:paraId="54E8F9AE" w14:textId="77777777" w:rsidR="00005A00" w:rsidRPr="00256982" w:rsidRDefault="00005A00" w:rsidP="00AA14F1">
            <w:pPr>
              <w:pStyle w:val="TableText"/>
              <w:spacing w:before="50" w:after="50"/>
              <w:jc w:val="center"/>
              <w:rPr>
                <w:highlight w:val="yellow"/>
              </w:rPr>
            </w:pPr>
            <w:r w:rsidRPr="00256982">
              <w:t xml:space="preserve"> 4,600.2 </w:t>
            </w:r>
          </w:p>
        </w:tc>
        <w:tc>
          <w:tcPr>
            <w:tcW w:w="2477" w:type="dxa"/>
            <w:tcBorders>
              <w:top w:val="single" w:sz="4" w:space="0" w:color="365F91"/>
              <w:bottom w:val="single" w:sz="4" w:space="0" w:color="365F91"/>
            </w:tcBorders>
            <w:shd w:val="clear" w:color="auto" w:fill="auto"/>
          </w:tcPr>
          <w:p w14:paraId="08BF7802" w14:textId="77777777" w:rsidR="00005A00" w:rsidRPr="00256982" w:rsidRDefault="00005A00" w:rsidP="00AA14F1">
            <w:pPr>
              <w:pStyle w:val="TableText"/>
              <w:spacing w:before="50" w:after="50"/>
              <w:jc w:val="center"/>
              <w:rPr>
                <w:highlight w:val="yellow"/>
              </w:rPr>
            </w:pPr>
            <w:r w:rsidRPr="00256982">
              <w:t xml:space="preserve"> 5,673.7 </w:t>
            </w:r>
          </w:p>
        </w:tc>
      </w:tr>
      <w:tr w:rsidR="00005A00" w:rsidRPr="00256982" w14:paraId="31AF18C6" w14:textId="77777777" w:rsidTr="00AA14F1">
        <w:tc>
          <w:tcPr>
            <w:tcW w:w="1078" w:type="dxa"/>
            <w:tcBorders>
              <w:top w:val="single" w:sz="4" w:space="0" w:color="365F91"/>
              <w:bottom w:val="single" w:sz="4" w:space="0" w:color="365F91"/>
            </w:tcBorders>
          </w:tcPr>
          <w:p w14:paraId="1EC6540C" w14:textId="77777777" w:rsidR="00005A00" w:rsidRPr="00256982" w:rsidRDefault="00005A00" w:rsidP="00AA14F1">
            <w:pPr>
              <w:pStyle w:val="TableTextBold"/>
              <w:spacing w:before="50" w:after="50"/>
              <w:rPr>
                <w:noProof w:val="0"/>
              </w:rPr>
            </w:pPr>
            <w:r w:rsidRPr="00256982">
              <w:rPr>
                <w:noProof w:val="0"/>
              </w:rPr>
              <w:t>2012</w:t>
            </w:r>
          </w:p>
        </w:tc>
        <w:tc>
          <w:tcPr>
            <w:tcW w:w="2475" w:type="dxa"/>
            <w:tcBorders>
              <w:top w:val="single" w:sz="4" w:space="0" w:color="365F91"/>
              <w:bottom w:val="single" w:sz="4" w:space="0" w:color="365F91"/>
            </w:tcBorders>
            <w:shd w:val="clear" w:color="auto" w:fill="auto"/>
          </w:tcPr>
          <w:p w14:paraId="39931944" w14:textId="77777777" w:rsidR="00005A00" w:rsidRPr="00256982" w:rsidRDefault="00005A00" w:rsidP="00AA14F1">
            <w:pPr>
              <w:pStyle w:val="TableText"/>
              <w:spacing w:before="50" w:after="50"/>
              <w:jc w:val="center"/>
              <w:rPr>
                <w:highlight w:val="yellow"/>
              </w:rPr>
            </w:pPr>
            <w:r w:rsidRPr="00256982">
              <w:t xml:space="preserve"> 1,076.2 </w:t>
            </w:r>
          </w:p>
        </w:tc>
        <w:tc>
          <w:tcPr>
            <w:tcW w:w="2475" w:type="dxa"/>
            <w:tcBorders>
              <w:top w:val="single" w:sz="4" w:space="0" w:color="365F91"/>
              <w:bottom w:val="single" w:sz="4" w:space="0" w:color="365F91"/>
            </w:tcBorders>
            <w:shd w:val="clear" w:color="auto" w:fill="auto"/>
          </w:tcPr>
          <w:p w14:paraId="5B3D156D" w14:textId="77777777" w:rsidR="00005A00" w:rsidRPr="00256982" w:rsidRDefault="00005A00" w:rsidP="00AA14F1">
            <w:pPr>
              <w:pStyle w:val="TableText"/>
              <w:spacing w:before="50" w:after="50"/>
              <w:jc w:val="center"/>
              <w:rPr>
                <w:highlight w:val="yellow"/>
              </w:rPr>
            </w:pPr>
            <w:r w:rsidRPr="00256982">
              <w:t xml:space="preserve"> 4,708.1 </w:t>
            </w:r>
          </w:p>
        </w:tc>
        <w:tc>
          <w:tcPr>
            <w:tcW w:w="2477" w:type="dxa"/>
            <w:tcBorders>
              <w:top w:val="single" w:sz="4" w:space="0" w:color="365F91"/>
              <w:bottom w:val="single" w:sz="4" w:space="0" w:color="365F91"/>
            </w:tcBorders>
            <w:shd w:val="clear" w:color="auto" w:fill="auto"/>
          </w:tcPr>
          <w:p w14:paraId="516BDAA0" w14:textId="77777777" w:rsidR="00005A00" w:rsidRPr="00256982" w:rsidRDefault="00005A00" w:rsidP="00AA14F1">
            <w:pPr>
              <w:pStyle w:val="TableText"/>
              <w:spacing w:before="50" w:after="50"/>
              <w:jc w:val="center"/>
              <w:rPr>
                <w:highlight w:val="yellow"/>
              </w:rPr>
            </w:pPr>
            <w:r w:rsidRPr="00256982">
              <w:t xml:space="preserve"> 5,784.2 </w:t>
            </w:r>
          </w:p>
        </w:tc>
      </w:tr>
      <w:tr w:rsidR="00005A00" w:rsidRPr="00256982" w14:paraId="25EE5810" w14:textId="77777777" w:rsidTr="00AA14F1">
        <w:tc>
          <w:tcPr>
            <w:tcW w:w="1078" w:type="dxa"/>
            <w:tcBorders>
              <w:top w:val="single" w:sz="4" w:space="0" w:color="365F91"/>
              <w:bottom w:val="single" w:sz="4" w:space="0" w:color="365F91"/>
            </w:tcBorders>
          </w:tcPr>
          <w:p w14:paraId="255625F2" w14:textId="77777777" w:rsidR="00005A00" w:rsidRPr="00256982" w:rsidRDefault="00005A00" w:rsidP="00AA14F1">
            <w:pPr>
              <w:pStyle w:val="TableTextBold"/>
              <w:spacing w:before="50" w:after="50"/>
              <w:rPr>
                <w:noProof w:val="0"/>
              </w:rPr>
            </w:pPr>
            <w:r w:rsidRPr="00256982">
              <w:rPr>
                <w:noProof w:val="0"/>
              </w:rPr>
              <w:t>2013</w:t>
            </w:r>
          </w:p>
        </w:tc>
        <w:tc>
          <w:tcPr>
            <w:tcW w:w="2475" w:type="dxa"/>
            <w:tcBorders>
              <w:top w:val="single" w:sz="4" w:space="0" w:color="365F91"/>
              <w:bottom w:val="single" w:sz="4" w:space="0" w:color="365F91"/>
            </w:tcBorders>
            <w:shd w:val="clear" w:color="auto" w:fill="auto"/>
          </w:tcPr>
          <w:p w14:paraId="74FA695C" w14:textId="77777777" w:rsidR="00005A00" w:rsidRPr="00256982" w:rsidRDefault="00005A00" w:rsidP="00AA14F1">
            <w:pPr>
              <w:pStyle w:val="TableText"/>
              <w:spacing w:before="50" w:after="50"/>
              <w:jc w:val="center"/>
              <w:rPr>
                <w:highlight w:val="yellow"/>
              </w:rPr>
            </w:pPr>
            <w:r w:rsidRPr="00256982">
              <w:t xml:space="preserve"> 1,048.8 </w:t>
            </w:r>
          </w:p>
        </w:tc>
        <w:tc>
          <w:tcPr>
            <w:tcW w:w="2475" w:type="dxa"/>
            <w:tcBorders>
              <w:top w:val="single" w:sz="4" w:space="0" w:color="365F91"/>
              <w:bottom w:val="single" w:sz="4" w:space="0" w:color="365F91"/>
            </w:tcBorders>
            <w:shd w:val="clear" w:color="auto" w:fill="auto"/>
          </w:tcPr>
          <w:p w14:paraId="45A8F452" w14:textId="77777777" w:rsidR="00005A00" w:rsidRPr="00256982" w:rsidRDefault="00005A00" w:rsidP="00AA14F1">
            <w:pPr>
              <w:pStyle w:val="TableText"/>
              <w:spacing w:before="50" w:after="50"/>
              <w:jc w:val="center"/>
              <w:rPr>
                <w:highlight w:val="yellow"/>
              </w:rPr>
            </w:pPr>
            <w:r w:rsidRPr="00256982">
              <w:t xml:space="preserve"> 4,813.9 </w:t>
            </w:r>
          </w:p>
        </w:tc>
        <w:tc>
          <w:tcPr>
            <w:tcW w:w="2477" w:type="dxa"/>
            <w:tcBorders>
              <w:top w:val="single" w:sz="4" w:space="0" w:color="365F91"/>
              <w:bottom w:val="single" w:sz="4" w:space="0" w:color="365F91"/>
            </w:tcBorders>
            <w:shd w:val="clear" w:color="auto" w:fill="auto"/>
          </w:tcPr>
          <w:p w14:paraId="7DB1B80A" w14:textId="77777777" w:rsidR="00005A00" w:rsidRPr="00256982" w:rsidRDefault="00005A00" w:rsidP="00AA14F1">
            <w:pPr>
              <w:pStyle w:val="TableText"/>
              <w:spacing w:before="50" w:after="50"/>
              <w:jc w:val="center"/>
              <w:rPr>
                <w:highlight w:val="yellow"/>
              </w:rPr>
            </w:pPr>
            <w:r w:rsidRPr="00256982">
              <w:t xml:space="preserve"> 5,862.7 </w:t>
            </w:r>
          </w:p>
        </w:tc>
      </w:tr>
      <w:tr w:rsidR="00005A00" w:rsidRPr="00256982" w14:paraId="736CE594" w14:textId="77777777" w:rsidTr="00AA14F1">
        <w:tc>
          <w:tcPr>
            <w:tcW w:w="1078" w:type="dxa"/>
            <w:tcBorders>
              <w:top w:val="single" w:sz="4" w:space="0" w:color="365F91"/>
              <w:bottom w:val="single" w:sz="4" w:space="0" w:color="365F91"/>
            </w:tcBorders>
          </w:tcPr>
          <w:p w14:paraId="43B51E2D" w14:textId="77777777" w:rsidR="00005A00" w:rsidRPr="00256982" w:rsidRDefault="00005A00" w:rsidP="00AA14F1">
            <w:pPr>
              <w:pStyle w:val="TableTextBold"/>
              <w:spacing w:before="50" w:after="50"/>
              <w:rPr>
                <w:noProof w:val="0"/>
              </w:rPr>
            </w:pPr>
            <w:r w:rsidRPr="00256982">
              <w:rPr>
                <w:noProof w:val="0"/>
              </w:rPr>
              <w:t>2014</w:t>
            </w:r>
          </w:p>
        </w:tc>
        <w:tc>
          <w:tcPr>
            <w:tcW w:w="2475" w:type="dxa"/>
            <w:tcBorders>
              <w:top w:val="single" w:sz="4" w:space="0" w:color="365F91"/>
              <w:bottom w:val="single" w:sz="4" w:space="0" w:color="365F91"/>
            </w:tcBorders>
            <w:shd w:val="clear" w:color="auto" w:fill="auto"/>
          </w:tcPr>
          <w:p w14:paraId="16537F50" w14:textId="77777777" w:rsidR="00005A00" w:rsidRPr="00256982" w:rsidRDefault="00005A00" w:rsidP="00AA14F1">
            <w:pPr>
              <w:pStyle w:val="TableText"/>
              <w:spacing w:before="50" w:after="50"/>
              <w:jc w:val="center"/>
              <w:rPr>
                <w:highlight w:val="yellow"/>
              </w:rPr>
            </w:pPr>
            <w:r w:rsidRPr="00256982">
              <w:t xml:space="preserve"> 1,049.5 </w:t>
            </w:r>
          </w:p>
        </w:tc>
        <w:tc>
          <w:tcPr>
            <w:tcW w:w="2475" w:type="dxa"/>
            <w:tcBorders>
              <w:top w:val="single" w:sz="4" w:space="0" w:color="365F91"/>
              <w:bottom w:val="single" w:sz="4" w:space="0" w:color="365F91"/>
            </w:tcBorders>
            <w:shd w:val="clear" w:color="auto" w:fill="auto"/>
          </w:tcPr>
          <w:p w14:paraId="1C47E72C" w14:textId="77777777" w:rsidR="00005A00" w:rsidRPr="00256982" w:rsidRDefault="00005A00" w:rsidP="00AA14F1">
            <w:pPr>
              <w:pStyle w:val="TableText"/>
              <w:spacing w:before="50" w:after="50"/>
              <w:jc w:val="center"/>
              <w:rPr>
                <w:highlight w:val="yellow"/>
              </w:rPr>
            </w:pPr>
            <w:r w:rsidRPr="00256982">
              <w:t xml:space="preserve"> 4,937.8 </w:t>
            </w:r>
          </w:p>
        </w:tc>
        <w:tc>
          <w:tcPr>
            <w:tcW w:w="2477" w:type="dxa"/>
            <w:tcBorders>
              <w:top w:val="single" w:sz="4" w:space="0" w:color="365F91"/>
              <w:bottom w:val="single" w:sz="4" w:space="0" w:color="365F91"/>
            </w:tcBorders>
            <w:shd w:val="clear" w:color="auto" w:fill="auto"/>
          </w:tcPr>
          <w:p w14:paraId="0D7C44ED" w14:textId="77777777" w:rsidR="00005A00" w:rsidRPr="00256982" w:rsidRDefault="00005A00" w:rsidP="00AA14F1">
            <w:pPr>
              <w:pStyle w:val="TableText"/>
              <w:spacing w:before="50" w:after="50"/>
              <w:jc w:val="center"/>
              <w:rPr>
                <w:highlight w:val="yellow"/>
              </w:rPr>
            </w:pPr>
            <w:r w:rsidRPr="00256982">
              <w:t xml:space="preserve"> 5,987.3 </w:t>
            </w:r>
          </w:p>
        </w:tc>
      </w:tr>
      <w:tr w:rsidR="00005A00" w:rsidRPr="00256982" w14:paraId="0DBFB7FD" w14:textId="77777777" w:rsidTr="00AA14F1">
        <w:tc>
          <w:tcPr>
            <w:tcW w:w="1078" w:type="dxa"/>
            <w:tcBorders>
              <w:top w:val="single" w:sz="4" w:space="0" w:color="365F91"/>
              <w:bottom w:val="single" w:sz="4" w:space="0" w:color="365F91"/>
            </w:tcBorders>
          </w:tcPr>
          <w:p w14:paraId="33B0426C" w14:textId="77777777" w:rsidR="00005A00" w:rsidRPr="00256982" w:rsidRDefault="00005A00" w:rsidP="00AA14F1">
            <w:pPr>
              <w:pStyle w:val="TableTextBold"/>
              <w:spacing w:before="50" w:after="50"/>
              <w:rPr>
                <w:noProof w:val="0"/>
              </w:rPr>
            </w:pPr>
            <w:r w:rsidRPr="00256982">
              <w:rPr>
                <w:noProof w:val="0"/>
              </w:rPr>
              <w:t>2015</w:t>
            </w:r>
          </w:p>
        </w:tc>
        <w:tc>
          <w:tcPr>
            <w:tcW w:w="2475" w:type="dxa"/>
            <w:tcBorders>
              <w:top w:val="single" w:sz="4" w:space="0" w:color="365F91"/>
              <w:bottom w:val="single" w:sz="4" w:space="0" w:color="365F91"/>
            </w:tcBorders>
            <w:shd w:val="clear" w:color="auto" w:fill="auto"/>
          </w:tcPr>
          <w:p w14:paraId="0BF0F331" w14:textId="77777777" w:rsidR="00005A00" w:rsidRPr="00256982" w:rsidRDefault="00005A00" w:rsidP="00AA14F1">
            <w:pPr>
              <w:pStyle w:val="TableText"/>
              <w:spacing w:before="50" w:after="50"/>
              <w:jc w:val="center"/>
              <w:rPr>
                <w:highlight w:val="yellow"/>
              </w:rPr>
            </w:pPr>
            <w:r w:rsidRPr="00256982">
              <w:t xml:space="preserve"> 1,022.2 </w:t>
            </w:r>
          </w:p>
        </w:tc>
        <w:tc>
          <w:tcPr>
            <w:tcW w:w="2475" w:type="dxa"/>
            <w:tcBorders>
              <w:top w:val="single" w:sz="4" w:space="0" w:color="365F91"/>
              <w:bottom w:val="single" w:sz="4" w:space="0" w:color="365F91"/>
            </w:tcBorders>
            <w:shd w:val="clear" w:color="auto" w:fill="auto"/>
          </w:tcPr>
          <w:p w14:paraId="35AE5CFE" w14:textId="77777777" w:rsidR="00005A00" w:rsidRPr="00256982" w:rsidRDefault="00005A00" w:rsidP="00AA14F1">
            <w:pPr>
              <w:pStyle w:val="TableText"/>
              <w:spacing w:before="50" w:after="50"/>
              <w:jc w:val="center"/>
              <w:rPr>
                <w:highlight w:val="yellow"/>
              </w:rPr>
            </w:pPr>
            <w:r w:rsidRPr="00256982">
              <w:t xml:space="preserve"> 5,120.1 </w:t>
            </w:r>
          </w:p>
        </w:tc>
        <w:tc>
          <w:tcPr>
            <w:tcW w:w="2477" w:type="dxa"/>
            <w:tcBorders>
              <w:top w:val="single" w:sz="4" w:space="0" w:color="365F91"/>
              <w:bottom w:val="single" w:sz="4" w:space="0" w:color="365F91"/>
            </w:tcBorders>
            <w:shd w:val="clear" w:color="auto" w:fill="auto"/>
          </w:tcPr>
          <w:p w14:paraId="7D324CF8" w14:textId="77777777" w:rsidR="00005A00" w:rsidRPr="00256982" w:rsidRDefault="00005A00" w:rsidP="00AA14F1">
            <w:pPr>
              <w:pStyle w:val="TableText"/>
              <w:spacing w:before="50" w:after="50"/>
              <w:jc w:val="center"/>
              <w:rPr>
                <w:highlight w:val="yellow"/>
              </w:rPr>
            </w:pPr>
            <w:r w:rsidRPr="00256982">
              <w:t xml:space="preserve"> 6,142.3 </w:t>
            </w:r>
          </w:p>
        </w:tc>
      </w:tr>
      <w:tr w:rsidR="00005A00" w:rsidRPr="00256982" w14:paraId="7CE26E3B" w14:textId="77777777" w:rsidTr="00AA14F1">
        <w:tc>
          <w:tcPr>
            <w:tcW w:w="1078" w:type="dxa"/>
            <w:tcBorders>
              <w:top w:val="single" w:sz="4" w:space="0" w:color="365F91"/>
              <w:bottom w:val="single" w:sz="4" w:space="0" w:color="365F91"/>
            </w:tcBorders>
          </w:tcPr>
          <w:p w14:paraId="0F021BFC" w14:textId="77777777" w:rsidR="00005A00" w:rsidRPr="00256982" w:rsidRDefault="00005A00" w:rsidP="00AA14F1">
            <w:pPr>
              <w:pStyle w:val="TableTextBold"/>
              <w:spacing w:before="50" w:after="50"/>
              <w:rPr>
                <w:noProof w:val="0"/>
              </w:rPr>
            </w:pPr>
            <w:r w:rsidRPr="00256982">
              <w:rPr>
                <w:noProof w:val="0"/>
              </w:rPr>
              <w:t>2016</w:t>
            </w:r>
          </w:p>
        </w:tc>
        <w:tc>
          <w:tcPr>
            <w:tcW w:w="2475" w:type="dxa"/>
            <w:tcBorders>
              <w:top w:val="single" w:sz="4" w:space="0" w:color="365F91"/>
              <w:bottom w:val="single" w:sz="4" w:space="0" w:color="365F91"/>
            </w:tcBorders>
            <w:shd w:val="clear" w:color="auto" w:fill="auto"/>
          </w:tcPr>
          <w:p w14:paraId="5EF8596D" w14:textId="77777777" w:rsidR="00005A00" w:rsidRPr="00256982" w:rsidRDefault="00005A00" w:rsidP="00AA14F1">
            <w:pPr>
              <w:pStyle w:val="TableText"/>
              <w:spacing w:before="50" w:after="50"/>
              <w:jc w:val="center"/>
              <w:rPr>
                <w:highlight w:val="yellow"/>
              </w:rPr>
            </w:pPr>
            <w:r w:rsidRPr="00256982">
              <w:t xml:space="preserve"> 1,026.8 </w:t>
            </w:r>
          </w:p>
        </w:tc>
        <w:tc>
          <w:tcPr>
            <w:tcW w:w="2475" w:type="dxa"/>
            <w:tcBorders>
              <w:top w:val="single" w:sz="4" w:space="0" w:color="365F91"/>
              <w:bottom w:val="single" w:sz="4" w:space="0" w:color="365F91"/>
            </w:tcBorders>
            <w:shd w:val="clear" w:color="auto" w:fill="auto"/>
          </w:tcPr>
          <w:p w14:paraId="788BA45A" w14:textId="77777777" w:rsidR="00005A00" w:rsidRPr="00256982" w:rsidRDefault="00005A00" w:rsidP="00AA14F1">
            <w:pPr>
              <w:pStyle w:val="TableText"/>
              <w:spacing w:before="50" w:after="50"/>
              <w:jc w:val="center"/>
              <w:rPr>
                <w:highlight w:val="yellow"/>
              </w:rPr>
            </w:pPr>
            <w:r w:rsidRPr="00256982">
              <w:t xml:space="preserve"> 5,305.9 </w:t>
            </w:r>
          </w:p>
        </w:tc>
        <w:tc>
          <w:tcPr>
            <w:tcW w:w="2477" w:type="dxa"/>
            <w:tcBorders>
              <w:top w:val="single" w:sz="4" w:space="0" w:color="365F91"/>
              <w:bottom w:val="single" w:sz="4" w:space="0" w:color="365F91"/>
            </w:tcBorders>
            <w:shd w:val="clear" w:color="auto" w:fill="auto"/>
          </w:tcPr>
          <w:p w14:paraId="202D1745" w14:textId="77777777" w:rsidR="00005A00" w:rsidRPr="00256982" w:rsidRDefault="00005A00" w:rsidP="00AA14F1">
            <w:pPr>
              <w:pStyle w:val="TableText"/>
              <w:spacing w:before="50" w:after="50"/>
              <w:jc w:val="center"/>
              <w:rPr>
                <w:highlight w:val="yellow"/>
              </w:rPr>
            </w:pPr>
            <w:r w:rsidRPr="00256982">
              <w:t xml:space="preserve"> 6,332.7 </w:t>
            </w:r>
          </w:p>
        </w:tc>
      </w:tr>
      <w:tr w:rsidR="00005A00" w:rsidRPr="00256982" w14:paraId="61F4BBFB" w14:textId="77777777" w:rsidTr="00AA14F1">
        <w:tc>
          <w:tcPr>
            <w:tcW w:w="1078" w:type="dxa"/>
            <w:tcBorders>
              <w:top w:val="single" w:sz="4" w:space="0" w:color="365F91"/>
              <w:bottom w:val="single" w:sz="4" w:space="0" w:color="365F91"/>
            </w:tcBorders>
          </w:tcPr>
          <w:p w14:paraId="15ABC82B" w14:textId="77777777" w:rsidR="00005A00" w:rsidRPr="00256982" w:rsidRDefault="00005A00" w:rsidP="00AA14F1">
            <w:pPr>
              <w:pStyle w:val="TableTextBold"/>
              <w:spacing w:before="50" w:after="50"/>
              <w:rPr>
                <w:noProof w:val="0"/>
              </w:rPr>
            </w:pPr>
            <w:r w:rsidRPr="00256982">
              <w:rPr>
                <w:noProof w:val="0"/>
              </w:rPr>
              <w:t>2017</w:t>
            </w:r>
          </w:p>
        </w:tc>
        <w:tc>
          <w:tcPr>
            <w:tcW w:w="2475" w:type="dxa"/>
            <w:tcBorders>
              <w:top w:val="single" w:sz="4" w:space="0" w:color="365F91"/>
              <w:bottom w:val="single" w:sz="4" w:space="0" w:color="365F91"/>
            </w:tcBorders>
            <w:shd w:val="clear" w:color="auto" w:fill="auto"/>
          </w:tcPr>
          <w:p w14:paraId="7A2AE179" w14:textId="77777777" w:rsidR="00005A00" w:rsidRPr="00256982" w:rsidRDefault="00005A00" w:rsidP="00AA14F1">
            <w:pPr>
              <w:pStyle w:val="TableText"/>
              <w:spacing w:before="50" w:after="50"/>
              <w:jc w:val="center"/>
            </w:pPr>
            <w:r w:rsidRPr="00256982">
              <w:t xml:space="preserve"> 969.5 </w:t>
            </w:r>
          </w:p>
        </w:tc>
        <w:tc>
          <w:tcPr>
            <w:tcW w:w="2475" w:type="dxa"/>
            <w:tcBorders>
              <w:top w:val="single" w:sz="4" w:space="0" w:color="365F91"/>
              <w:bottom w:val="single" w:sz="4" w:space="0" w:color="365F91"/>
            </w:tcBorders>
            <w:shd w:val="clear" w:color="auto" w:fill="auto"/>
          </w:tcPr>
          <w:p w14:paraId="5A18E693" w14:textId="77777777" w:rsidR="00005A00" w:rsidRPr="00256982" w:rsidRDefault="00005A00" w:rsidP="00AA14F1">
            <w:pPr>
              <w:pStyle w:val="TableText"/>
              <w:spacing w:before="50" w:after="50"/>
              <w:jc w:val="center"/>
            </w:pPr>
            <w:r w:rsidRPr="00256982">
              <w:t xml:space="preserve"> 5,503.6 </w:t>
            </w:r>
          </w:p>
        </w:tc>
        <w:tc>
          <w:tcPr>
            <w:tcW w:w="2477" w:type="dxa"/>
            <w:tcBorders>
              <w:top w:val="single" w:sz="4" w:space="0" w:color="365F91"/>
              <w:bottom w:val="single" w:sz="4" w:space="0" w:color="365F91"/>
            </w:tcBorders>
            <w:shd w:val="clear" w:color="auto" w:fill="auto"/>
          </w:tcPr>
          <w:p w14:paraId="08528CEB" w14:textId="77777777" w:rsidR="00005A00" w:rsidRPr="00256982" w:rsidRDefault="00005A00" w:rsidP="00AA14F1">
            <w:pPr>
              <w:pStyle w:val="TableText"/>
              <w:spacing w:before="50" w:after="50"/>
              <w:jc w:val="center"/>
            </w:pPr>
            <w:r w:rsidRPr="00256982">
              <w:t xml:space="preserve"> 6,473.1 </w:t>
            </w:r>
          </w:p>
        </w:tc>
      </w:tr>
    </w:tbl>
    <w:p w14:paraId="04DC7743" w14:textId="77777777" w:rsidR="00005A00" w:rsidRPr="00256982" w:rsidRDefault="00005A00" w:rsidP="00005A00">
      <w:pPr>
        <w:pStyle w:val="Noteundertable"/>
      </w:pPr>
      <w:r w:rsidRPr="00256982">
        <w:rPr>
          <w:b/>
        </w:rPr>
        <w:t>Note:</w:t>
      </w:r>
      <w:r w:rsidRPr="00256982">
        <w:t xml:space="preserve"> </w:t>
      </w:r>
      <w:r w:rsidRPr="00256982">
        <w:tab/>
        <w:t>Columns may not total due to rounding.</w:t>
      </w:r>
    </w:p>
    <w:p w14:paraId="18D7E81C" w14:textId="77777777" w:rsidR="00005A00" w:rsidRPr="00256982" w:rsidRDefault="00005A00" w:rsidP="00005A00">
      <w:pPr>
        <w:pStyle w:val="Heading4"/>
      </w:pPr>
      <w:r w:rsidRPr="00256982">
        <w:t>Choice of methods</w:t>
      </w:r>
    </w:p>
    <w:p w14:paraId="2DF03870" w14:textId="77777777" w:rsidR="00005A00" w:rsidRPr="00256982" w:rsidRDefault="00005A00" w:rsidP="00005A00">
      <w:pPr>
        <w:pStyle w:val="BodyText"/>
      </w:pPr>
      <w:r w:rsidRPr="00256982">
        <w:t>Estimations of CH</w:t>
      </w:r>
      <w:r w:rsidRPr="00256982">
        <w:rPr>
          <w:vertAlign w:val="subscript"/>
        </w:rPr>
        <w:t>4</w:t>
      </w:r>
      <w:r w:rsidRPr="00256982">
        <w:t xml:space="preserve"> emissions from solid waste disposal to land were calculated by using the First Order Decay (FOD) model. This is the Tier 2 method from the 2006 IPCC Guidelines (IPCC, 2006a).</w:t>
      </w:r>
    </w:p>
    <w:p w14:paraId="73B1F85A" w14:textId="77777777" w:rsidR="00005A00" w:rsidRPr="00256982" w:rsidRDefault="00005A00" w:rsidP="00005A00">
      <w:pPr>
        <w:pStyle w:val="Heading5"/>
      </w:pPr>
      <w:r w:rsidRPr="00256982">
        <w:t>Municipal landfills (5.A.1.a)</w:t>
      </w:r>
    </w:p>
    <w:p w14:paraId="0D918278" w14:textId="77777777" w:rsidR="00005A00" w:rsidRPr="00256982" w:rsidRDefault="00005A00" w:rsidP="00005A00">
      <w:pPr>
        <w:pStyle w:val="BodyText"/>
      </w:pPr>
      <w:r w:rsidRPr="00256982">
        <w:t>Different approaches are used to model sites with and without LFG recovery respectively, due to the different sizes of the landfills and the available data.</w:t>
      </w:r>
    </w:p>
    <w:p w14:paraId="2246ED1E" w14:textId="77777777" w:rsidR="00005A00" w:rsidRPr="00256982" w:rsidRDefault="00005A00" w:rsidP="00005A00">
      <w:pPr>
        <w:pStyle w:val="BodyText"/>
      </w:pPr>
      <w:r w:rsidRPr="00256982">
        <w:t>For each of the 25 landfill sites with LFG recovery, the FOD model (IPCC, 2006a) has been applied to develop estimates of CH</w:t>
      </w:r>
      <w:r w:rsidRPr="00256982">
        <w:rPr>
          <w:vertAlign w:val="subscript"/>
        </w:rPr>
        <w:t>4</w:t>
      </w:r>
      <w:r w:rsidRPr="00256982">
        <w:t xml:space="preserve"> emissions, with site-specific data on waste placement, k</w:t>
      </w:r>
      <w:r w:rsidRPr="00256982">
        <w:noBreakHyphen/>
        <w:t>value and other parameters applied where available, and uses a single-phase approach based on bulk waste. These sites that are still operational account for approximately 90 per cent of waste disposed to municipal landfills as per table 7.2.2.</w:t>
      </w:r>
    </w:p>
    <w:p w14:paraId="1603623B" w14:textId="77777777" w:rsidR="00005A00" w:rsidRPr="00256982" w:rsidRDefault="00005A00" w:rsidP="00005A00">
      <w:pPr>
        <w:pStyle w:val="BodyText"/>
      </w:pPr>
      <w:r w:rsidRPr="00256982">
        <w:t>Municipal waste outside of these 25 sites is disposed to smaller landfills that have never had gas recovery. In 1990, there were more than 300 of these sites and in 2017 approximately 19 were still in operation. This number includes very small sites serving small and remote communities. The FOD model has also been applied to estimate the total CH</w:t>
      </w:r>
      <w:r w:rsidRPr="00256982">
        <w:rPr>
          <w:vertAlign w:val="subscript"/>
        </w:rPr>
        <w:t>4</w:t>
      </w:r>
      <w:r w:rsidRPr="00256982">
        <w:t xml:space="preserve"> emissions from these landfills, using a multi-phase approach for the waste types described in table 7.2.4, as well as sludge.</w:t>
      </w:r>
    </w:p>
    <w:p w14:paraId="1ADC2C1B" w14:textId="77777777" w:rsidR="00005A00" w:rsidRPr="00256982" w:rsidRDefault="00005A00" w:rsidP="00005A00">
      <w:pPr>
        <w:pStyle w:val="Heading5"/>
      </w:pPr>
      <w:r w:rsidRPr="00256982">
        <w:lastRenderedPageBreak/>
        <w:t>Non-municipal landfills and farm fills (5.A.2)</w:t>
      </w:r>
    </w:p>
    <w:p w14:paraId="0B94C3E8" w14:textId="77777777" w:rsidR="00005A00" w:rsidRPr="00256982" w:rsidRDefault="00005A00" w:rsidP="00005A00">
      <w:pPr>
        <w:pStyle w:val="BodyText"/>
        <w:rPr>
          <w:spacing w:val="-2"/>
        </w:rPr>
      </w:pPr>
      <w:r w:rsidRPr="00256982">
        <w:rPr>
          <w:spacing w:val="-2"/>
        </w:rPr>
        <w:t>Non-municipal landfills include privately owned industrial landfills and a large number of landfill sites (clean fills and construction and demolition fills) that are consented for largely inert waste and accept a maximum of 5 per cent municipal waste. Limited information is available on these sites and their management practices, with a lack of historical information in particular. The FOD model has been applied to estimate total CH</w:t>
      </w:r>
      <w:r w:rsidRPr="00256982">
        <w:rPr>
          <w:spacing w:val="-2"/>
          <w:vertAlign w:val="subscript"/>
        </w:rPr>
        <w:t>4</w:t>
      </w:r>
      <w:r w:rsidRPr="00256982">
        <w:rPr>
          <w:spacing w:val="-2"/>
        </w:rPr>
        <w:t xml:space="preserve"> emissions from non-municipal landfills.</w:t>
      </w:r>
    </w:p>
    <w:p w14:paraId="652C4251" w14:textId="77777777" w:rsidR="00005A00" w:rsidRPr="00256982" w:rsidRDefault="00005A00" w:rsidP="00005A00">
      <w:pPr>
        <w:pStyle w:val="BodyText"/>
      </w:pPr>
      <w:r w:rsidRPr="00256982">
        <w:t>For farm fills, the FOD model has been applied to estimate total CH</w:t>
      </w:r>
      <w:r w:rsidRPr="00256982">
        <w:rPr>
          <w:vertAlign w:val="subscript"/>
        </w:rPr>
        <w:t>4</w:t>
      </w:r>
      <w:r w:rsidRPr="00256982">
        <w:t xml:space="preserve"> emissions. Farm waste comprises a mix of household and other wastes. Survey data on waste composition are used to determine weighted average values for degradable organic carbon (DOC) content of waste from dairy farms, livestock farms, arable and viticulture farms (GHD, 2013, 2014). Survey data on waste composition from viticulture and arable farms are used to determine a weighted average DOC value for other remaining horticultural farms.</w:t>
      </w:r>
    </w:p>
    <w:p w14:paraId="6DF90F9D" w14:textId="77777777" w:rsidR="00005A00" w:rsidRPr="00256982" w:rsidRDefault="00005A00" w:rsidP="00005A00">
      <w:pPr>
        <w:pStyle w:val="Heading4"/>
      </w:pPr>
      <w:r w:rsidRPr="00256982">
        <w:t>Choice of emission factors and parameters</w:t>
      </w:r>
    </w:p>
    <w:p w14:paraId="06D8F359" w14:textId="77777777" w:rsidR="00005A00" w:rsidRPr="00256982" w:rsidRDefault="00005A00" w:rsidP="00005A00">
      <w:pPr>
        <w:pStyle w:val="Heading5"/>
        <w:spacing w:before="160"/>
      </w:pPr>
      <w:r w:rsidRPr="00256982">
        <w:t>Municipal landfills (5.A.1.a)</w:t>
      </w:r>
    </w:p>
    <w:p w14:paraId="4BFC53CE" w14:textId="77777777" w:rsidR="00005A00" w:rsidRPr="00256982" w:rsidRDefault="00005A00" w:rsidP="00005A00">
      <w:pPr>
        <w:pStyle w:val="Heading6"/>
        <w:spacing w:before="160"/>
      </w:pPr>
      <w:r w:rsidRPr="00256982">
        <w:t>Waste composition</w:t>
      </w:r>
    </w:p>
    <w:p w14:paraId="2A27E1B3" w14:textId="77777777" w:rsidR="00005A00" w:rsidRPr="00256982" w:rsidRDefault="00005A00" w:rsidP="00005A00">
      <w:pPr>
        <w:pStyle w:val="BodyText"/>
      </w:pPr>
      <w:r w:rsidRPr="00256982">
        <w:t>Many municipal landfills in New Zealand accept locally produced industrial waste as well as municipal waste. New Zealand has insufficient data to determine how much of the waste disposed to municipal landfills comes from industrial sources. Where surveys of composition data have occurred at sites that take industrial waste, this is included as part of the overall composition estimates.</w:t>
      </w:r>
    </w:p>
    <w:p w14:paraId="570A5E07" w14:textId="77777777" w:rsidR="00005A00" w:rsidRPr="00256982" w:rsidRDefault="00005A00" w:rsidP="00005A00">
      <w:pPr>
        <w:pStyle w:val="BodyText"/>
      </w:pPr>
      <w:r w:rsidRPr="00256982">
        <w:t xml:space="preserve">Waste composition has been estimated from national surveys carried out in 1995 and 2004 (Ministry for the Environment, 1997; Waste Not Consulting, unpublished(a)). In addition, estimates have been made for 2008 and 2012 based on individual landfill surveys (Waste Not Consulting, unpublished(b)). The waste surveys have been based on the </w:t>
      </w:r>
      <w:r w:rsidRPr="00256982">
        <w:rPr>
          <w:i/>
        </w:rPr>
        <w:t>Solid Waste Analysis Protocol</w:t>
      </w:r>
      <w:r w:rsidRPr="00256982">
        <w:t xml:space="preserve"> (Ministry for the Environment, 2002b) to ensure a consistent methodology for sampling and analysis.</w:t>
      </w:r>
    </w:p>
    <w:p w14:paraId="43C60FC1" w14:textId="77777777" w:rsidR="00005A00" w:rsidRPr="00256982" w:rsidRDefault="00005A00" w:rsidP="00005A00">
      <w:pPr>
        <w:pStyle w:val="BodyText"/>
      </w:pPr>
      <w:r w:rsidRPr="00256982">
        <w:t>No usable waste composition data are available for the period before 1995. For the years 1950 to 1994, data from the 1995 survey have been used, with an adjustment to account for the fact that disposable nappies came into use in the 1960s (Eunomia Research and Consulting and Waste Not Consulting, unpublished). Linear interpolation was used for years between the survey years, and the years since 2012 are assumed to be the same as 2012. This will be revised when more survey data are collected in the future.</w:t>
      </w:r>
    </w:p>
    <w:p w14:paraId="20573775" w14:textId="77777777" w:rsidR="00005A00" w:rsidRPr="00256982" w:rsidRDefault="00005A00" w:rsidP="00005A00">
      <w:pPr>
        <w:pStyle w:val="BodyText"/>
      </w:pPr>
      <w:r w:rsidRPr="00256982">
        <w:t>Table 7.2.4 shows the resulting estimated composition data from 1950 to 2017. These have been used for the waste disposed to all municipal landfills.</w:t>
      </w:r>
    </w:p>
    <w:p w14:paraId="4CF73CE6" w14:textId="18B8B943" w:rsidR="00005A00" w:rsidRPr="00256982" w:rsidRDefault="00005A00" w:rsidP="00005A00">
      <w:pPr>
        <w:pStyle w:val="Table"/>
      </w:pPr>
      <w:bookmarkStart w:id="2302" w:name="_Toc444001618"/>
      <w:bookmarkStart w:id="2303" w:name="_Toc451176170"/>
      <w:bookmarkStart w:id="2304" w:name="_Toc481751600"/>
      <w:bookmarkStart w:id="2305" w:name="_Toc508019325"/>
      <w:bookmarkStart w:id="2306" w:name="_Toc511116823"/>
      <w:bookmarkStart w:id="2307" w:name="_Toc5269564"/>
      <w:r w:rsidRPr="00256982">
        <w:t xml:space="preserve">Table 7.2.4 </w:t>
      </w:r>
      <w:r w:rsidRPr="00256982">
        <w:tab/>
        <w:t>Estimated composition of waste to municipal landfills</w:t>
      </w:r>
      <w:bookmarkEnd w:id="2302"/>
      <w:bookmarkEnd w:id="2303"/>
      <w:bookmarkEnd w:id="2304"/>
      <w:r w:rsidRPr="00256982">
        <w:t xml:space="preserve"> from 1950</w:t>
      </w:r>
      <w:r w:rsidR="00897010" w:rsidRPr="00256982">
        <w:t> </w:t>
      </w:r>
      <w:r w:rsidRPr="00256982">
        <w:t>to</w:t>
      </w:r>
      <w:r w:rsidR="00897010" w:rsidRPr="00256982">
        <w:t> </w:t>
      </w:r>
      <w:r w:rsidRPr="00256982">
        <w:t>2017</w:t>
      </w:r>
      <w:bookmarkEnd w:id="2305"/>
      <w:bookmarkEnd w:id="2306"/>
      <w:bookmarkEnd w:id="2307"/>
    </w:p>
    <w:tbl>
      <w:tblPr>
        <w:tblW w:w="8505" w:type="dxa"/>
        <w:tblInd w:w="108" w:type="dxa"/>
        <w:tblLook w:val="04A0" w:firstRow="1" w:lastRow="0" w:firstColumn="1" w:lastColumn="0" w:noHBand="0" w:noVBand="1"/>
      </w:tblPr>
      <w:tblGrid>
        <w:gridCol w:w="1079"/>
        <w:gridCol w:w="764"/>
        <w:gridCol w:w="910"/>
        <w:gridCol w:w="847"/>
        <w:gridCol w:w="792"/>
        <w:gridCol w:w="896"/>
        <w:gridCol w:w="983"/>
        <w:gridCol w:w="796"/>
        <w:gridCol w:w="1438"/>
      </w:tblGrid>
      <w:tr w:rsidR="00005A00" w:rsidRPr="00256982" w14:paraId="42199059" w14:textId="77777777" w:rsidTr="00AA14F1">
        <w:trPr>
          <w:tblHeader/>
        </w:trPr>
        <w:tc>
          <w:tcPr>
            <w:tcW w:w="1006" w:type="dxa"/>
            <w:tcBorders>
              <w:top w:val="single" w:sz="4" w:space="0" w:color="365F91"/>
              <w:bottom w:val="single" w:sz="4" w:space="0" w:color="365F91"/>
            </w:tcBorders>
            <w:shd w:val="clear" w:color="auto" w:fill="365F91"/>
            <w:vAlign w:val="bottom"/>
          </w:tcPr>
          <w:p w14:paraId="43E822A4" w14:textId="77777777" w:rsidR="00005A00" w:rsidRPr="00256982" w:rsidRDefault="00005A00" w:rsidP="00AA14F1">
            <w:pPr>
              <w:pStyle w:val="TableTextBold"/>
              <w:spacing w:before="50" w:after="50"/>
              <w:rPr>
                <w:noProof w:val="0"/>
                <w:color w:val="FFFFFF"/>
              </w:rPr>
            </w:pPr>
            <w:r w:rsidRPr="00256982">
              <w:rPr>
                <w:noProof w:val="0"/>
                <w:color w:val="FFFFFF"/>
              </w:rPr>
              <w:t>Year</w:t>
            </w:r>
          </w:p>
        </w:tc>
        <w:tc>
          <w:tcPr>
            <w:tcW w:w="713" w:type="dxa"/>
            <w:tcBorders>
              <w:top w:val="single" w:sz="4" w:space="0" w:color="365F91"/>
              <w:bottom w:val="single" w:sz="4" w:space="0" w:color="365F91"/>
            </w:tcBorders>
            <w:shd w:val="clear" w:color="auto" w:fill="365F91"/>
            <w:vAlign w:val="bottom"/>
          </w:tcPr>
          <w:p w14:paraId="3B85B450" w14:textId="77777777" w:rsidR="00005A00" w:rsidRPr="00256982" w:rsidRDefault="00005A00" w:rsidP="00AA14F1">
            <w:pPr>
              <w:pStyle w:val="TableTextBold"/>
              <w:spacing w:before="50" w:after="50"/>
              <w:jc w:val="center"/>
              <w:rPr>
                <w:noProof w:val="0"/>
                <w:color w:val="FFFFFF"/>
              </w:rPr>
            </w:pPr>
            <w:r w:rsidRPr="00256982">
              <w:rPr>
                <w:noProof w:val="0"/>
                <w:color w:val="FFFFFF"/>
              </w:rPr>
              <w:t>Food</w:t>
            </w:r>
            <w:r w:rsidRPr="00256982">
              <w:rPr>
                <w:noProof w:val="0"/>
                <w:color w:val="FFFFFF"/>
              </w:rPr>
              <w:br/>
              <w:t>(%)</w:t>
            </w:r>
          </w:p>
        </w:tc>
        <w:tc>
          <w:tcPr>
            <w:tcW w:w="849" w:type="dxa"/>
            <w:tcBorders>
              <w:top w:val="single" w:sz="4" w:space="0" w:color="365F91"/>
              <w:bottom w:val="single" w:sz="4" w:space="0" w:color="365F91"/>
            </w:tcBorders>
            <w:shd w:val="clear" w:color="auto" w:fill="365F91"/>
            <w:vAlign w:val="bottom"/>
          </w:tcPr>
          <w:p w14:paraId="13632686" w14:textId="77777777" w:rsidR="00005A00" w:rsidRPr="00256982" w:rsidRDefault="00005A00" w:rsidP="00AA14F1">
            <w:pPr>
              <w:pStyle w:val="TableTextBold"/>
              <w:spacing w:before="50" w:after="50"/>
              <w:jc w:val="center"/>
              <w:rPr>
                <w:noProof w:val="0"/>
                <w:color w:val="FFFFFF"/>
              </w:rPr>
            </w:pPr>
            <w:r w:rsidRPr="00256982">
              <w:rPr>
                <w:noProof w:val="0"/>
                <w:color w:val="FFFFFF"/>
              </w:rPr>
              <w:t>Garden</w:t>
            </w:r>
            <w:r w:rsidRPr="00256982">
              <w:rPr>
                <w:noProof w:val="0"/>
                <w:color w:val="FFFFFF"/>
              </w:rPr>
              <w:br/>
              <w:t>(%)</w:t>
            </w:r>
          </w:p>
        </w:tc>
        <w:tc>
          <w:tcPr>
            <w:tcW w:w="790" w:type="dxa"/>
            <w:tcBorders>
              <w:top w:val="single" w:sz="4" w:space="0" w:color="365F91"/>
              <w:bottom w:val="single" w:sz="4" w:space="0" w:color="365F91"/>
            </w:tcBorders>
            <w:shd w:val="clear" w:color="auto" w:fill="365F91"/>
            <w:vAlign w:val="bottom"/>
          </w:tcPr>
          <w:p w14:paraId="5DC9A4C4" w14:textId="77777777" w:rsidR="00005A00" w:rsidRPr="00256982" w:rsidRDefault="00005A00" w:rsidP="00AA14F1">
            <w:pPr>
              <w:pStyle w:val="TableTextBold"/>
              <w:spacing w:before="50" w:after="50"/>
              <w:jc w:val="center"/>
              <w:rPr>
                <w:noProof w:val="0"/>
                <w:color w:val="FFFFFF"/>
              </w:rPr>
            </w:pPr>
            <w:r w:rsidRPr="00256982">
              <w:rPr>
                <w:noProof w:val="0"/>
                <w:color w:val="FFFFFF"/>
              </w:rPr>
              <w:t>Paper (%)</w:t>
            </w:r>
          </w:p>
        </w:tc>
        <w:tc>
          <w:tcPr>
            <w:tcW w:w="739" w:type="dxa"/>
            <w:tcBorders>
              <w:top w:val="single" w:sz="4" w:space="0" w:color="365F91"/>
              <w:bottom w:val="single" w:sz="4" w:space="0" w:color="365F91"/>
            </w:tcBorders>
            <w:shd w:val="clear" w:color="auto" w:fill="365F91"/>
            <w:vAlign w:val="bottom"/>
          </w:tcPr>
          <w:p w14:paraId="1BC2D4FD" w14:textId="77777777" w:rsidR="00005A00" w:rsidRPr="00256982" w:rsidRDefault="00005A00" w:rsidP="00AA14F1">
            <w:pPr>
              <w:pStyle w:val="TableTextBold"/>
              <w:spacing w:before="50" w:after="50"/>
              <w:jc w:val="center"/>
              <w:rPr>
                <w:noProof w:val="0"/>
                <w:color w:val="FFFFFF"/>
              </w:rPr>
            </w:pPr>
            <w:r w:rsidRPr="00256982">
              <w:rPr>
                <w:noProof w:val="0"/>
                <w:color w:val="FFFFFF"/>
              </w:rPr>
              <w:t>Wood (%)</w:t>
            </w:r>
          </w:p>
        </w:tc>
        <w:tc>
          <w:tcPr>
            <w:tcW w:w="836" w:type="dxa"/>
            <w:tcBorders>
              <w:top w:val="single" w:sz="4" w:space="0" w:color="365F91"/>
              <w:bottom w:val="single" w:sz="4" w:space="0" w:color="365F91"/>
            </w:tcBorders>
            <w:shd w:val="clear" w:color="auto" w:fill="365F91"/>
            <w:vAlign w:val="bottom"/>
          </w:tcPr>
          <w:p w14:paraId="1C71A2F6" w14:textId="77777777" w:rsidR="00005A00" w:rsidRPr="00256982" w:rsidRDefault="00005A00" w:rsidP="00AA14F1">
            <w:pPr>
              <w:pStyle w:val="TableTextBold"/>
              <w:spacing w:before="50" w:after="50"/>
              <w:jc w:val="center"/>
              <w:rPr>
                <w:noProof w:val="0"/>
                <w:color w:val="FFFFFF"/>
              </w:rPr>
            </w:pPr>
            <w:r w:rsidRPr="00256982">
              <w:rPr>
                <w:noProof w:val="0"/>
                <w:color w:val="FFFFFF"/>
              </w:rPr>
              <w:t>Textile (%)</w:t>
            </w:r>
          </w:p>
        </w:tc>
        <w:tc>
          <w:tcPr>
            <w:tcW w:w="917" w:type="dxa"/>
            <w:tcBorders>
              <w:top w:val="single" w:sz="4" w:space="0" w:color="365F91"/>
              <w:bottom w:val="single" w:sz="4" w:space="0" w:color="365F91"/>
            </w:tcBorders>
            <w:shd w:val="clear" w:color="auto" w:fill="365F91"/>
            <w:vAlign w:val="bottom"/>
          </w:tcPr>
          <w:p w14:paraId="4E8581EC" w14:textId="77777777" w:rsidR="00005A00" w:rsidRPr="00256982" w:rsidRDefault="00005A00" w:rsidP="00AA14F1">
            <w:pPr>
              <w:pStyle w:val="TableTextBold"/>
              <w:spacing w:before="50" w:after="50"/>
              <w:jc w:val="center"/>
              <w:rPr>
                <w:noProof w:val="0"/>
                <w:color w:val="FFFFFF"/>
              </w:rPr>
            </w:pPr>
            <w:r w:rsidRPr="00256982">
              <w:rPr>
                <w:noProof w:val="0"/>
                <w:color w:val="FFFFFF"/>
              </w:rPr>
              <w:t>Nappies (%)</w:t>
            </w:r>
          </w:p>
        </w:tc>
        <w:tc>
          <w:tcPr>
            <w:tcW w:w="742" w:type="dxa"/>
            <w:tcBorders>
              <w:top w:val="single" w:sz="4" w:space="0" w:color="365F91"/>
              <w:bottom w:val="single" w:sz="4" w:space="0" w:color="365F91"/>
            </w:tcBorders>
            <w:shd w:val="clear" w:color="auto" w:fill="365F91"/>
            <w:vAlign w:val="bottom"/>
          </w:tcPr>
          <w:p w14:paraId="72D60A4E" w14:textId="77777777" w:rsidR="00005A00" w:rsidRPr="00256982" w:rsidRDefault="00005A00" w:rsidP="00AA14F1">
            <w:pPr>
              <w:pStyle w:val="TableTextBold"/>
              <w:spacing w:before="50" w:after="50"/>
              <w:jc w:val="center"/>
              <w:rPr>
                <w:noProof w:val="0"/>
                <w:color w:val="FFFFFF"/>
              </w:rPr>
            </w:pPr>
            <w:r w:rsidRPr="00256982">
              <w:rPr>
                <w:noProof w:val="0"/>
                <w:color w:val="FFFFFF"/>
              </w:rPr>
              <w:t>Inert (%)</w:t>
            </w:r>
          </w:p>
        </w:tc>
        <w:tc>
          <w:tcPr>
            <w:tcW w:w="1341" w:type="dxa"/>
            <w:tcBorders>
              <w:top w:val="single" w:sz="4" w:space="0" w:color="365F91"/>
              <w:bottom w:val="single" w:sz="4" w:space="0" w:color="365F91"/>
            </w:tcBorders>
            <w:shd w:val="clear" w:color="auto" w:fill="365F91"/>
            <w:vAlign w:val="bottom"/>
          </w:tcPr>
          <w:p w14:paraId="18564ECB" w14:textId="77777777" w:rsidR="00005A00" w:rsidRPr="00256982" w:rsidRDefault="00005A00" w:rsidP="00AA14F1">
            <w:pPr>
              <w:pStyle w:val="TableTextBold"/>
              <w:spacing w:before="50" w:after="50"/>
              <w:rPr>
                <w:noProof w:val="0"/>
                <w:color w:val="FFFFFF"/>
              </w:rPr>
            </w:pPr>
            <w:r w:rsidRPr="00256982">
              <w:rPr>
                <w:noProof w:val="0"/>
                <w:color w:val="FFFFFF"/>
              </w:rPr>
              <w:t>Notes</w:t>
            </w:r>
          </w:p>
        </w:tc>
      </w:tr>
      <w:tr w:rsidR="00005A00" w:rsidRPr="00256982" w14:paraId="33395916" w14:textId="77777777" w:rsidTr="00AA14F1">
        <w:tc>
          <w:tcPr>
            <w:tcW w:w="1006" w:type="dxa"/>
            <w:tcBorders>
              <w:top w:val="single" w:sz="4" w:space="0" w:color="365F91"/>
              <w:bottom w:val="single" w:sz="4" w:space="0" w:color="365F91"/>
            </w:tcBorders>
          </w:tcPr>
          <w:p w14:paraId="69C36E90" w14:textId="77777777" w:rsidR="00005A00" w:rsidRPr="00256982" w:rsidRDefault="00005A00" w:rsidP="00AA14F1">
            <w:pPr>
              <w:pStyle w:val="TableTextBold"/>
              <w:spacing w:before="50" w:after="50"/>
              <w:rPr>
                <w:noProof w:val="0"/>
              </w:rPr>
            </w:pPr>
            <w:r w:rsidRPr="00256982">
              <w:rPr>
                <w:noProof w:val="0"/>
              </w:rPr>
              <w:t>1950–60</w:t>
            </w:r>
          </w:p>
        </w:tc>
        <w:tc>
          <w:tcPr>
            <w:tcW w:w="713" w:type="dxa"/>
            <w:tcBorders>
              <w:top w:val="single" w:sz="4" w:space="0" w:color="365F91"/>
              <w:bottom w:val="single" w:sz="4" w:space="0" w:color="365F91"/>
            </w:tcBorders>
            <w:shd w:val="clear" w:color="auto" w:fill="auto"/>
          </w:tcPr>
          <w:p w14:paraId="0975680D" w14:textId="77777777" w:rsidR="00005A00" w:rsidRPr="00256982" w:rsidRDefault="00005A00" w:rsidP="00AA14F1">
            <w:pPr>
              <w:pStyle w:val="TableText"/>
              <w:spacing w:before="50" w:after="50"/>
              <w:jc w:val="center"/>
            </w:pPr>
            <w:r w:rsidRPr="00256982">
              <w:t>17</w:t>
            </w:r>
          </w:p>
        </w:tc>
        <w:tc>
          <w:tcPr>
            <w:tcW w:w="849" w:type="dxa"/>
            <w:tcBorders>
              <w:top w:val="single" w:sz="4" w:space="0" w:color="365F91"/>
              <w:bottom w:val="single" w:sz="4" w:space="0" w:color="365F91"/>
            </w:tcBorders>
            <w:shd w:val="clear" w:color="auto" w:fill="auto"/>
          </w:tcPr>
          <w:p w14:paraId="7825771D" w14:textId="77777777" w:rsidR="00005A00" w:rsidRPr="00256982" w:rsidRDefault="00005A00" w:rsidP="00AA14F1">
            <w:pPr>
              <w:pStyle w:val="TableText"/>
              <w:spacing w:before="50" w:after="50"/>
              <w:jc w:val="center"/>
              <w:rPr>
                <w:rFonts w:cs="Arial"/>
                <w:szCs w:val="16"/>
              </w:rPr>
            </w:pPr>
            <w:r w:rsidRPr="00256982">
              <w:rPr>
                <w:rFonts w:cs="Arial"/>
                <w:szCs w:val="16"/>
              </w:rPr>
              <w:t>11</w:t>
            </w:r>
          </w:p>
        </w:tc>
        <w:tc>
          <w:tcPr>
            <w:tcW w:w="790" w:type="dxa"/>
            <w:tcBorders>
              <w:top w:val="single" w:sz="4" w:space="0" w:color="365F91"/>
              <w:bottom w:val="single" w:sz="4" w:space="0" w:color="365F91"/>
            </w:tcBorders>
            <w:shd w:val="clear" w:color="auto" w:fill="auto"/>
          </w:tcPr>
          <w:p w14:paraId="50577CCF" w14:textId="77777777" w:rsidR="00005A00" w:rsidRPr="00256982" w:rsidRDefault="00005A00" w:rsidP="00AA14F1">
            <w:pPr>
              <w:pStyle w:val="TableText"/>
              <w:spacing w:before="50" w:after="50"/>
              <w:jc w:val="center"/>
              <w:rPr>
                <w:rFonts w:cs="Arial"/>
                <w:szCs w:val="16"/>
              </w:rPr>
            </w:pPr>
            <w:r w:rsidRPr="00256982">
              <w:rPr>
                <w:rFonts w:cs="Arial"/>
                <w:szCs w:val="16"/>
              </w:rPr>
              <w:t>16</w:t>
            </w:r>
          </w:p>
        </w:tc>
        <w:tc>
          <w:tcPr>
            <w:tcW w:w="739" w:type="dxa"/>
            <w:tcBorders>
              <w:top w:val="single" w:sz="4" w:space="0" w:color="365F91"/>
              <w:bottom w:val="single" w:sz="4" w:space="0" w:color="365F91"/>
            </w:tcBorders>
            <w:shd w:val="clear" w:color="auto" w:fill="auto"/>
          </w:tcPr>
          <w:p w14:paraId="475BF2FB" w14:textId="77777777" w:rsidR="00005A00" w:rsidRPr="00256982" w:rsidRDefault="00005A00" w:rsidP="00AA14F1">
            <w:pPr>
              <w:pStyle w:val="TableText"/>
              <w:spacing w:before="50" w:after="50"/>
              <w:jc w:val="center"/>
              <w:rPr>
                <w:rFonts w:cs="Arial"/>
                <w:szCs w:val="16"/>
              </w:rPr>
            </w:pPr>
            <w:r w:rsidRPr="00256982">
              <w:rPr>
                <w:rFonts w:cs="Arial"/>
                <w:szCs w:val="16"/>
              </w:rPr>
              <w:t>7</w:t>
            </w:r>
          </w:p>
        </w:tc>
        <w:tc>
          <w:tcPr>
            <w:tcW w:w="836" w:type="dxa"/>
            <w:tcBorders>
              <w:top w:val="single" w:sz="4" w:space="0" w:color="365F91"/>
              <w:bottom w:val="single" w:sz="4" w:space="0" w:color="365F91"/>
            </w:tcBorders>
            <w:shd w:val="clear" w:color="auto" w:fill="auto"/>
          </w:tcPr>
          <w:p w14:paraId="2D856299" w14:textId="77777777" w:rsidR="00005A00" w:rsidRPr="00256982" w:rsidRDefault="00005A00" w:rsidP="00AA14F1">
            <w:pPr>
              <w:pStyle w:val="TableText"/>
              <w:spacing w:before="50" w:after="50"/>
              <w:jc w:val="center"/>
              <w:rPr>
                <w:rFonts w:cs="Arial"/>
                <w:szCs w:val="16"/>
              </w:rPr>
            </w:pPr>
            <w:r w:rsidRPr="00256982">
              <w:rPr>
                <w:rFonts w:cs="Arial"/>
                <w:szCs w:val="16"/>
              </w:rPr>
              <w:t>1</w:t>
            </w:r>
          </w:p>
        </w:tc>
        <w:tc>
          <w:tcPr>
            <w:tcW w:w="917" w:type="dxa"/>
            <w:tcBorders>
              <w:top w:val="single" w:sz="4" w:space="0" w:color="365F91"/>
              <w:bottom w:val="single" w:sz="4" w:space="0" w:color="365F91"/>
            </w:tcBorders>
            <w:shd w:val="clear" w:color="auto" w:fill="auto"/>
          </w:tcPr>
          <w:p w14:paraId="71245222" w14:textId="77777777" w:rsidR="00005A00" w:rsidRPr="00256982" w:rsidRDefault="00005A00" w:rsidP="00AA14F1">
            <w:pPr>
              <w:pStyle w:val="TableText"/>
              <w:spacing w:before="50" w:after="50"/>
              <w:jc w:val="center"/>
              <w:rPr>
                <w:rFonts w:cs="Arial"/>
                <w:szCs w:val="16"/>
              </w:rPr>
            </w:pPr>
            <w:r w:rsidRPr="00256982">
              <w:rPr>
                <w:rFonts w:cs="Arial"/>
                <w:szCs w:val="16"/>
              </w:rPr>
              <w:t>0</w:t>
            </w:r>
          </w:p>
        </w:tc>
        <w:tc>
          <w:tcPr>
            <w:tcW w:w="742" w:type="dxa"/>
            <w:tcBorders>
              <w:top w:val="single" w:sz="4" w:space="0" w:color="365F91"/>
              <w:bottom w:val="single" w:sz="4" w:space="0" w:color="365F91"/>
            </w:tcBorders>
            <w:shd w:val="clear" w:color="auto" w:fill="auto"/>
          </w:tcPr>
          <w:p w14:paraId="196FD84B" w14:textId="77777777" w:rsidR="00005A00" w:rsidRPr="00256982" w:rsidRDefault="00005A00" w:rsidP="00AA14F1">
            <w:pPr>
              <w:pStyle w:val="TableText"/>
              <w:spacing w:before="50" w:after="50"/>
              <w:jc w:val="center"/>
              <w:rPr>
                <w:rFonts w:cs="Arial"/>
                <w:szCs w:val="16"/>
              </w:rPr>
            </w:pPr>
            <w:r w:rsidRPr="00256982">
              <w:rPr>
                <w:rFonts w:cs="Arial"/>
                <w:szCs w:val="16"/>
              </w:rPr>
              <w:t>48</w:t>
            </w:r>
          </w:p>
        </w:tc>
        <w:tc>
          <w:tcPr>
            <w:tcW w:w="1341" w:type="dxa"/>
            <w:tcBorders>
              <w:top w:val="single" w:sz="4" w:space="0" w:color="365F91"/>
              <w:bottom w:val="single" w:sz="4" w:space="0" w:color="365F91"/>
            </w:tcBorders>
          </w:tcPr>
          <w:p w14:paraId="72C9651F" w14:textId="77777777" w:rsidR="00005A00" w:rsidRPr="00256982" w:rsidRDefault="00005A00" w:rsidP="00AA14F1">
            <w:pPr>
              <w:pStyle w:val="TableText"/>
              <w:spacing w:before="50" w:after="50"/>
              <w:rPr>
                <w:rFonts w:cs="Arial"/>
                <w:szCs w:val="16"/>
              </w:rPr>
            </w:pPr>
            <w:r w:rsidRPr="00256982">
              <w:rPr>
                <w:rFonts w:cs="Arial"/>
                <w:szCs w:val="16"/>
              </w:rPr>
              <w:t>No nappies</w:t>
            </w:r>
          </w:p>
        </w:tc>
      </w:tr>
      <w:tr w:rsidR="00005A00" w:rsidRPr="00256982" w14:paraId="579F7ACF" w14:textId="77777777" w:rsidTr="00AA14F1">
        <w:tc>
          <w:tcPr>
            <w:tcW w:w="1006" w:type="dxa"/>
            <w:tcBorders>
              <w:top w:val="single" w:sz="4" w:space="0" w:color="365F91"/>
              <w:bottom w:val="single" w:sz="4" w:space="0" w:color="365F91"/>
            </w:tcBorders>
          </w:tcPr>
          <w:p w14:paraId="3A1B8087" w14:textId="77777777" w:rsidR="00005A00" w:rsidRPr="00256982" w:rsidRDefault="00005A00" w:rsidP="00AA14F1">
            <w:pPr>
              <w:pStyle w:val="TableTextBold"/>
              <w:spacing w:before="50" w:after="50"/>
              <w:rPr>
                <w:noProof w:val="0"/>
              </w:rPr>
            </w:pPr>
            <w:r w:rsidRPr="00256982">
              <w:rPr>
                <w:noProof w:val="0"/>
              </w:rPr>
              <w:t>1961–69</w:t>
            </w:r>
          </w:p>
        </w:tc>
        <w:tc>
          <w:tcPr>
            <w:tcW w:w="713" w:type="dxa"/>
            <w:tcBorders>
              <w:top w:val="single" w:sz="4" w:space="0" w:color="365F91"/>
              <w:bottom w:val="single" w:sz="4" w:space="0" w:color="365F91"/>
            </w:tcBorders>
            <w:shd w:val="clear" w:color="auto" w:fill="auto"/>
          </w:tcPr>
          <w:p w14:paraId="4C1E8539" w14:textId="77777777" w:rsidR="00005A00" w:rsidRPr="00256982" w:rsidRDefault="00005A00" w:rsidP="00AA14F1">
            <w:pPr>
              <w:pStyle w:val="TableText"/>
              <w:spacing w:before="50" w:after="50"/>
              <w:jc w:val="center"/>
            </w:pPr>
            <w:r w:rsidRPr="00256982">
              <w:t>17</w:t>
            </w:r>
          </w:p>
        </w:tc>
        <w:tc>
          <w:tcPr>
            <w:tcW w:w="849" w:type="dxa"/>
            <w:tcBorders>
              <w:top w:val="single" w:sz="4" w:space="0" w:color="365F91"/>
              <w:bottom w:val="single" w:sz="4" w:space="0" w:color="365F91"/>
            </w:tcBorders>
            <w:shd w:val="clear" w:color="auto" w:fill="auto"/>
          </w:tcPr>
          <w:p w14:paraId="49E9AECD" w14:textId="77777777" w:rsidR="00005A00" w:rsidRPr="00256982" w:rsidRDefault="00005A00" w:rsidP="00AA14F1">
            <w:pPr>
              <w:pStyle w:val="TableText"/>
              <w:spacing w:before="50" w:after="50"/>
              <w:jc w:val="center"/>
              <w:rPr>
                <w:rFonts w:cs="Arial"/>
                <w:szCs w:val="16"/>
              </w:rPr>
            </w:pPr>
            <w:r w:rsidRPr="00256982">
              <w:rPr>
                <w:rFonts w:cs="Arial"/>
                <w:szCs w:val="16"/>
              </w:rPr>
              <w:t>11</w:t>
            </w:r>
          </w:p>
        </w:tc>
        <w:tc>
          <w:tcPr>
            <w:tcW w:w="790" w:type="dxa"/>
            <w:tcBorders>
              <w:top w:val="single" w:sz="4" w:space="0" w:color="365F91"/>
              <w:bottom w:val="single" w:sz="4" w:space="0" w:color="365F91"/>
            </w:tcBorders>
            <w:shd w:val="clear" w:color="auto" w:fill="auto"/>
          </w:tcPr>
          <w:p w14:paraId="24E3D92C" w14:textId="77777777" w:rsidR="00005A00" w:rsidRPr="00256982" w:rsidRDefault="00005A00" w:rsidP="00AA14F1">
            <w:pPr>
              <w:pStyle w:val="TableText"/>
              <w:spacing w:before="50" w:after="50"/>
              <w:jc w:val="center"/>
              <w:rPr>
                <w:rFonts w:cs="Arial"/>
                <w:szCs w:val="16"/>
              </w:rPr>
            </w:pPr>
            <w:r w:rsidRPr="00256982">
              <w:rPr>
                <w:rFonts w:cs="Arial"/>
                <w:szCs w:val="16"/>
              </w:rPr>
              <w:t>16</w:t>
            </w:r>
          </w:p>
        </w:tc>
        <w:tc>
          <w:tcPr>
            <w:tcW w:w="739" w:type="dxa"/>
            <w:tcBorders>
              <w:top w:val="single" w:sz="4" w:space="0" w:color="365F91"/>
              <w:bottom w:val="single" w:sz="4" w:space="0" w:color="365F91"/>
            </w:tcBorders>
            <w:shd w:val="clear" w:color="auto" w:fill="auto"/>
          </w:tcPr>
          <w:p w14:paraId="540F39A3" w14:textId="77777777" w:rsidR="00005A00" w:rsidRPr="00256982" w:rsidRDefault="00005A00" w:rsidP="00AA14F1">
            <w:pPr>
              <w:pStyle w:val="TableText"/>
              <w:spacing w:before="50" w:after="50"/>
              <w:jc w:val="center"/>
              <w:rPr>
                <w:rFonts w:cs="Arial"/>
                <w:szCs w:val="16"/>
              </w:rPr>
            </w:pPr>
            <w:r w:rsidRPr="00256982">
              <w:rPr>
                <w:rFonts w:cs="Arial"/>
                <w:szCs w:val="16"/>
              </w:rPr>
              <w:t>7</w:t>
            </w:r>
          </w:p>
        </w:tc>
        <w:tc>
          <w:tcPr>
            <w:tcW w:w="836" w:type="dxa"/>
            <w:tcBorders>
              <w:top w:val="single" w:sz="4" w:space="0" w:color="365F91"/>
              <w:bottom w:val="single" w:sz="4" w:space="0" w:color="365F91"/>
            </w:tcBorders>
            <w:shd w:val="clear" w:color="auto" w:fill="auto"/>
          </w:tcPr>
          <w:p w14:paraId="6722F515" w14:textId="77777777" w:rsidR="00005A00" w:rsidRPr="00256982" w:rsidRDefault="00005A00" w:rsidP="00AA14F1">
            <w:pPr>
              <w:pStyle w:val="TableText"/>
              <w:spacing w:before="50" w:after="50"/>
              <w:jc w:val="center"/>
              <w:rPr>
                <w:rFonts w:cs="Arial"/>
                <w:szCs w:val="16"/>
              </w:rPr>
            </w:pPr>
            <w:r w:rsidRPr="00256982">
              <w:rPr>
                <w:rFonts w:cs="Arial"/>
                <w:szCs w:val="16"/>
              </w:rPr>
              <w:t>1</w:t>
            </w:r>
          </w:p>
        </w:tc>
        <w:tc>
          <w:tcPr>
            <w:tcW w:w="917" w:type="dxa"/>
            <w:tcBorders>
              <w:top w:val="single" w:sz="4" w:space="0" w:color="365F91"/>
              <w:bottom w:val="single" w:sz="4" w:space="0" w:color="365F91"/>
            </w:tcBorders>
            <w:shd w:val="clear" w:color="auto" w:fill="auto"/>
          </w:tcPr>
          <w:p w14:paraId="432122C9" w14:textId="77777777" w:rsidR="00005A00" w:rsidRPr="00256982" w:rsidRDefault="00005A00" w:rsidP="00AA14F1">
            <w:pPr>
              <w:pStyle w:val="TableText"/>
              <w:spacing w:before="50" w:after="50"/>
              <w:jc w:val="center"/>
              <w:rPr>
                <w:rFonts w:cs="Arial"/>
                <w:szCs w:val="16"/>
              </w:rPr>
            </w:pPr>
            <w:r w:rsidRPr="00256982">
              <w:rPr>
                <w:rFonts w:cs="Arial"/>
                <w:szCs w:val="16"/>
              </w:rPr>
              <w:t>1</w:t>
            </w:r>
          </w:p>
        </w:tc>
        <w:tc>
          <w:tcPr>
            <w:tcW w:w="742" w:type="dxa"/>
            <w:tcBorders>
              <w:top w:val="single" w:sz="4" w:space="0" w:color="365F91"/>
              <w:bottom w:val="single" w:sz="4" w:space="0" w:color="365F91"/>
            </w:tcBorders>
            <w:shd w:val="clear" w:color="auto" w:fill="auto"/>
          </w:tcPr>
          <w:p w14:paraId="69405208" w14:textId="77777777" w:rsidR="00005A00" w:rsidRPr="00256982" w:rsidRDefault="00005A00" w:rsidP="00AA14F1">
            <w:pPr>
              <w:pStyle w:val="TableText"/>
              <w:spacing w:before="50" w:after="50"/>
              <w:jc w:val="center"/>
              <w:rPr>
                <w:rFonts w:cs="Arial"/>
                <w:szCs w:val="16"/>
              </w:rPr>
            </w:pPr>
            <w:r w:rsidRPr="00256982">
              <w:rPr>
                <w:rFonts w:cs="Arial"/>
                <w:szCs w:val="16"/>
              </w:rPr>
              <w:t>47</w:t>
            </w:r>
          </w:p>
        </w:tc>
        <w:tc>
          <w:tcPr>
            <w:tcW w:w="1341" w:type="dxa"/>
            <w:tcBorders>
              <w:top w:val="single" w:sz="4" w:space="0" w:color="365F91"/>
              <w:bottom w:val="single" w:sz="4" w:space="0" w:color="365F91"/>
            </w:tcBorders>
          </w:tcPr>
          <w:p w14:paraId="6397F504" w14:textId="77777777" w:rsidR="00005A00" w:rsidRPr="00256982" w:rsidRDefault="00005A00" w:rsidP="00AA14F1">
            <w:pPr>
              <w:pStyle w:val="TableText"/>
              <w:spacing w:before="50" w:after="50"/>
              <w:rPr>
                <w:rFonts w:cs="Arial"/>
                <w:szCs w:val="16"/>
              </w:rPr>
            </w:pPr>
            <w:r w:rsidRPr="00256982">
              <w:rPr>
                <w:rFonts w:cs="Arial"/>
                <w:szCs w:val="16"/>
              </w:rPr>
              <w:t>Interpolation</w:t>
            </w:r>
          </w:p>
        </w:tc>
      </w:tr>
      <w:tr w:rsidR="00005A00" w:rsidRPr="00256982" w14:paraId="24686E22" w14:textId="77777777" w:rsidTr="00AA14F1">
        <w:tc>
          <w:tcPr>
            <w:tcW w:w="1006" w:type="dxa"/>
            <w:tcBorders>
              <w:top w:val="single" w:sz="4" w:space="0" w:color="365F91"/>
              <w:bottom w:val="single" w:sz="4" w:space="0" w:color="365F91"/>
            </w:tcBorders>
          </w:tcPr>
          <w:p w14:paraId="1C3747AB" w14:textId="77777777" w:rsidR="00005A00" w:rsidRPr="00256982" w:rsidRDefault="00005A00" w:rsidP="00AA14F1">
            <w:pPr>
              <w:pStyle w:val="TableTextBold"/>
              <w:spacing w:before="50" w:after="50"/>
              <w:rPr>
                <w:noProof w:val="0"/>
              </w:rPr>
            </w:pPr>
            <w:r w:rsidRPr="00256982">
              <w:rPr>
                <w:noProof w:val="0"/>
              </w:rPr>
              <w:t>1970–79</w:t>
            </w:r>
          </w:p>
        </w:tc>
        <w:tc>
          <w:tcPr>
            <w:tcW w:w="713" w:type="dxa"/>
            <w:tcBorders>
              <w:top w:val="single" w:sz="4" w:space="0" w:color="365F91"/>
              <w:bottom w:val="single" w:sz="4" w:space="0" w:color="365F91"/>
            </w:tcBorders>
            <w:shd w:val="clear" w:color="auto" w:fill="auto"/>
          </w:tcPr>
          <w:p w14:paraId="0FC53740" w14:textId="77777777" w:rsidR="00005A00" w:rsidRPr="00256982" w:rsidRDefault="00005A00" w:rsidP="00AA14F1">
            <w:pPr>
              <w:pStyle w:val="TableText"/>
              <w:spacing w:before="50" w:after="50"/>
              <w:jc w:val="center"/>
            </w:pPr>
            <w:r w:rsidRPr="00256982">
              <w:t>17</w:t>
            </w:r>
          </w:p>
        </w:tc>
        <w:tc>
          <w:tcPr>
            <w:tcW w:w="849" w:type="dxa"/>
            <w:tcBorders>
              <w:top w:val="single" w:sz="4" w:space="0" w:color="365F91"/>
              <w:bottom w:val="single" w:sz="4" w:space="0" w:color="365F91"/>
            </w:tcBorders>
            <w:shd w:val="clear" w:color="auto" w:fill="auto"/>
          </w:tcPr>
          <w:p w14:paraId="1BE55AB5" w14:textId="77777777" w:rsidR="00005A00" w:rsidRPr="00256982" w:rsidRDefault="00005A00" w:rsidP="00AA14F1">
            <w:pPr>
              <w:pStyle w:val="TableText"/>
              <w:spacing w:before="50" w:after="50"/>
              <w:jc w:val="center"/>
              <w:rPr>
                <w:rFonts w:cs="Arial"/>
                <w:szCs w:val="16"/>
              </w:rPr>
            </w:pPr>
            <w:r w:rsidRPr="00256982">
              <w:rPr>
                <w:rFonts w:cs="Arial"/>
                <w:szCs w:val="16"/>
              </w:rPr>
              <w:t>11</w:t>
            </w:r>
          </w:p>
        </w:tc>
        <w:tc>
          <w:tcPr>
            <w:tcW w:w="790" w:type="dxa"/>
            <w:tcBorders>
              <w:top w:val="single" w:sz="4" w:space="0" w:color="365F91"/>
              <w:bottom w:val="single" w:sz="4" w:space="0" w:color="365F91"/>
            </w:tcBorders>
            <w:shd w:val="clear" w:color="auto" w:fill="auto"/>
          </w:tcPr>
          <w:p w14:paraId="48D59E08" w14:textId="77777777" w:rsidR="00005A00" w:rsidRPr="00256982" w:rsidRDefault="00005A00" w:rsidP="00AA14F1">
            <w:pPr>
              <w:pStyle w:val="TableText"/>
              <w:spacing w:before="50" w:after="50"/>
              <w:jc w:val="center"/>
              <w:rPr>
                <w:rFonts w:cs="Arial"/>
                <w:szCs w:val="16"/>
              </w:rPr>
            </w:pPr>
            <w:r w:rsidRPr="00256982">
              <w:rPr>
                <w:rFonts w:cs="Arial"/>
                <w:szCs w:val="16"/>
              </w:rPr>
              <w:t>16</w:t>
            </w:r>
          </w:p>
        </w:tc>
        <w:tc>
          <w:tcPr>
            <w:tcW w:w="739" w:type="dxa"/>
            <w:tcBorders>
              <w:top w:val="single" w:sz="4" w:space="0" w:color="365F91"/>
              <w:bottom w:val="single" w:sz="4" w:space="0" w:color="365F91"/>
            </w:tcBorders>
            <w:shd w:val="clear" w:color="auto" w:fill="auto"/>
          </w:tcPr>
          <w:p w14:paraId="461C6F4C" w14:textId="77777777" w:rsidR="00005A00" w:rsidRPr="00256982" w:rsidRDefault="00005A00" w:rsidP="00AA14F1">
            <w:pPr>
              <w:pStyle w:val="TableText"/>
              <w:spacing w:before="50" w:after="50"/>
              <w:jc w:val="center"/>
              <w:rPr>
                <w:rFonts w:cs="Arial"/>
                <w:szCs w:val="16"/>
              </w:rPr>
            </w:pPr>
            <w:r w:rsidRPr="00256982">
              <w:rPr>
                <w:rFonts w:cs="Arial"/>
                <w:szCs w:val="16"/>
              </w:rPr>
              <w:t>7</w:t>
            </w:r>
          </w:p>
        </w:tc>
        <w:tc>
          <w:tcPr>
            <w:tcW w:w="836" w:type="dxa"/>
            <w:tcBorders>
              <w:top w:val="single" w:sz="4" w:space="0" w:color="365F91"/>
              <w:bottom w:val="single" w:sz="4" w:space="0" w:color="365F91"/>
            </w:tcBorders>
            <w:shd w:val="clear" w:color="auto" w:fill="auto"/>
          </w:tcPr>
          <w:p w14:paraId="4BE6A102" w14:textId="77777777" w:rsidR="00005A00" w:rsidRPr="00256982" w:rsidRDefault="00005A00" w:rsidP="00AA14F1">
            <w:pPr>
              <w:pStyle w:val="TableText"/>
              <w:spacing w:before="50" w:after="50"/>
              <w:jc w:val="center"/>
              <w:rPr>
                <w:rFonts w:cs="Arial"/>
                <w:szCs w:val="16"/>
              </w:rPr>
            </w:pPr>
            <w:r w:rsidRPr="00256982">
              <w:rPr>
                <w:rFonts w:cs="Arial"/>
                <w:szCs w:val="16"/>
              </w:rPr>
              <w:t>1</w:t>
            </w:r>
          </w:p>
        </w:tc>
        <w:tc>
          <w:tcPr>
            <w:tcW w:w="917" w:type="dxa"/>
            <w:tcBorders>
              <w:top w:val="single" w:sz="4" w:space="0" w:color="365F91"/>
              <w:bottom w:val="single" w:sz="4" w:space="0" w:color="365F91"/>
            </w:tcBorders>
            <w:shd w:val="clear" w:color="auto" w:fill="auto"/>
          </w:tcPr>
          <w:p w14:paraId="69BBA0DE" w14:textId="77777777" w:rsidR="00005A00" w:rsidRPr="00256982" w:rsidRDefault="00005A00" w:rsidP="00AA14F1">
            <w:pPr>
              <w:pStyle w:val="TableText"/>
              <w:spacing w:before="50" w:after="50"/>
              <w:jc w:val="center"/>
              <w:rPr>
                <w:rFonts w:cs="Arial"/>
                <w:szCs w:val="16"/>
              </w:rPr>
            </w:pPr>
            <w:r w:rsidRPr="00256982">
              <w:rPr>
                <w:rFonts w:cs="Arial"/>
                <w:szCs w:val="16"/>
              </w:rPr>
              <w:t>2</w:t>
            </w:r>
          </w:p>
        </w:tc>
        <w:tc>
          <w:tcPr>
            <w:tcW w:w="742" w:type="dxa"/>
            <w:tcBorders>
              <w:top w:val="single" w:sz="4" w:space="0" w:color="365F91"/>
              <w:bottom w:val="single" w:sz="4" w:space="0" w:color="365F91"/>
            </w:tcBorders>
            <w:shd w:val="clear" w:color="auto" w:fill="auto"/>
          </w:tcPr>
          <w:p w14:paraId="5E174800" w14:textId="77777777" w:rsidR="00005A00" w:rsidRPr="00256982" w:rsidRDefault="00005A00" w:rsidP="00AA14F1">
            <w:pPr>
              <w:pStyle w:val="TableText"/>
              <w:spacing w:before="50" w:after="50"/>
              <w:jc w:val="center"/>
              <w:rPr>
                <w:rFonts w:cs="Arial"/>
                <w:szCs w:val="16"/>
              </w:rPr>
            </w:pPr>
            <w:r w:rsidRPr="00256982">
              <w:rPr>
                <w:rFonts w:cs="Arial"/>
                <w:szCs w:val="16"/>
              </w:rPr>
              <w:t>46</w:t>
            </w:r>
          </w:p>
        </w:tc>
        <w:tc>
          <w:tcPr>
            <w:tcW w:w="1341" w:type="dxa"/>
            <w:tcBorders>
              <w:top w:val="single" w:sz="4" w:space="0" w:color="365F91"/>
              <w:bottom w:val="single" w:sz="4" w:space="0" w:color="365F91"/>
            </w:tcBorders>
          </w:tcPr>
          <w:p w14:paraId="3E3222A8" w14:textId="77777777" w:rsidR="00005A00" w:rsidRPr="00256982" w:rsidRDefault="00005A00" w:rsidP="00AA14F1">
            <w:pPr>
              <w:pStyle w:val="TableText"/>
              <w:spacing w:before="50" w:after="50"/>
              <w:rPr>
                <w:rFonts w:cs="Arial"/>
                <w:szCs w:val="16"/>
              </w:rPr>
            </w:pPr>
            <w:r w:rsidRPr="00256982">
              <w:t>Interpolation</w:t>
            </w:r>
          </w:p>
        </w:tc>
      </w:tr>
      <w:tr w:rsidR="00005A00" w:rsidRPr="00256982" w14:paraId="674F3D76" w14:textId="77777777" w:rsidTr="00AA14F1">
        <w:tc>
          <w:tcPr>
            <w:tcW w:w="1006" w:type="dxa"/>
            <w:tcBorders>
              <w:top w:val="single" w:sz="4" w:space="0" w:color="365F91"/>
              <w:bottom w:val="single" w:sz="4" w:space="0" w:color="365F91"/>
            </w:tcBorders>
          </w:tcPr>
          <w:p w14:paraId="5555E5CB" w14:textId="77777777" w:rsidR="00005A00" w:rsidRPr="00256982" w:rsidRDefault="00005A00" w:rsidP="00AA14F1">
            <w:pPr>
              <w:pStyle w:val="TableTextBold"/>
              <w:spacing w:before="50" w:after="50"/>
              <w:rPr>
                <w:noProof w:val="0"/>
              </w:rPr>
            </w:pPr>
            <w:r w:rsidRPr="00256982">
              <w:rPr>
                <w:noProof w:val="0"/>
              </w:rPr>
              <w:t>1980–94</w:t>
            </w:r>
          </w:p>
        </w:tc>
        <w:tc>
          <w:tcPr>
            <w:tcW w:w="713" w:type="dxa"/>
            <w:tcBorders>
              <w:top w:val="single" w:sz="4" w:space="0" w:color="365F91"/>
              <w:bottom w:val="single" w:sz="4" w:space="0" w:color="365F91"/>
            </w:tcBorders>
            <w:shd w:val="clear" w:color="auto" w:fill="auto"/>
          </w:tcPr>
          <w:p w14:paraId="5B5D759C" w14:textId="77777777" w:rsidR="00005A00" w:rsidRPr="00256982" w:rsidRDefault="00005A00" w:rsidP="00AA14F1">
            <w:pPr>
              <w:pStyle w:val="TableText"/>
              <w:spacing w:before="50" w:after="50"/>
              <w:jc w:val="center"/>
            </w:pPr>
            <w:r w:rsidRPr="00256982">
              <w:t>17</w:t>
            </w:r>
          </w:p>
        </w:tc>
        <w:tc>
          <w:tcPr>
            <w:tcW w:w="849" w:type="dxa"/>
            <w:tcBorders>
              <w:top w:val="single" w:sz="4" w:space="0" w:color="365F91"/>
              <w:bottom w:val="single" w:sz="4" w:space="0" w:color="365F91"/>
            </w:tcBorders>
            <w:shd w:val="clear" w:color="auto" w:fill="auto"/>
          </w:tcPr>
          <w:p w14:paraId="2B75CBD9" w14:textId="77777777" w:rsidR="00005A00" w:rsidRPr="00256982" w:rsidRDefault="00005A00" w:rsidP="00AA14F1">
            <w:pPr>
              <w:pStyle w:val="TableText"/>
              <w:spacing w:before="50" w:after="50"/>
              <w:jc w:val="center"/>
            </w:pPr>
            <w:r w:rsidRPr="00256982">
              <w:t>11</w:t>
            </w:r>
          </w:p>
        </w:tc>
        <w:tc>
          <w:tcPr>
            <w:tcW w:w="790" w:type="dxa"/>
            <w:tcBorders>
              <w:top w:val="single" w:sz="4" w:space="0" w:color="365F91"/>
              <w:bottom w:val="single" w:sz="4" w:space="0" w:color="365F91"/>
            </w:tcBorders>
            <w:shd w:val="clear" w:color="auto" w:fill="auto"/>
          </w:tcPr>
          <w:p w14:paraId="611A0611" w14:textId="77777777" w:rsidR="00005A00" w:rsidRPr="00256982" w:rsidRDefault="00005A00" w:rsidP="00AA14F1">
            <w:pPr>
              <w:pStyle w:val="TableText"/>
              <w:spacing w:before="50" w:after="50"/>
              <w:jc w:val="center"/>
            </w:pPr>
            <w:r w:rsidRPr="00256982">
              <w:t>16</w:t>
            </w:r>
          </w:p>
        </w:tc>
        <w:tc>
          <w:tcPr>
            <w:tcW w:w="739" w:type="dxa"/>
            <w:tcBorders>
              <w:top w:val="single" w:sz="4" w:space="0" w:color="365F91"/>
              <w:bottom w:val="single" w:sz="4" w:space="0" w:color="365F91"/>
            </w:tcBorders>
            <w:shd w:val="clear" w:color="auto" w:fill="auto"/>
          </w:tcPr>
          <w:p w14:paraId="3E67A9E5" w14:textId="77777777" w:rsidR="00005A00" w:rsidRPr="00256982" w:rsidRDefault="00005A00" w:rsidP="00AA14F1">
            <w:pPr>
              <w:pStyle w:val="TableText"/>
              <w:spacing w:before="50" w:after="50"/>
              <w:jc w:val="center"/>
            </w:pPr>
            <w:r w:rsidRPr="00256982">
              <w:t>7</w:t>
            </w:r>
          </w:p>
        </w:tc>
        <w:tc>
          <w:tcPr>
            <w:tcW w:w="836" w:type="dxa"/>
            <w:tcBorders>
              <w:top w:val="single" w:sz="4" w:space="0" w:color="365F91"/>
              <w:bottom w:val="single" w:sz="4" w:space="0" w:color="365F91"/>
            </w:tcBorders>
            <w:shd w:val="clear" w:color="auto" w:fill="auto"/>
          </w:tcPr>
          <w:p w14:paraId="29ED895D" w14:textId="77777777" w:rsidR="00005A00" w:rsidRPr="00256982" w:rsidRDefault="00005A00" w:rsidP="00AA14F1">
            <w:pPr>
              <w:pStyle w:val="TableText"/>
              <w:spacing w:before="50" w:after="50"/>
              <w:jc w:val="center"/>
            </w:pPr>
            <w:r w:rsidRPr="00256982">
              <w:t>1</w:t>
            </w:r>
          </w:p>
        </w:tc>
        <w:tc>
          <w:tcPr>
            <w:tcW w:w="917" w:type="dxa"/>
            <w:tcBorders>
              <w:top w:val="single" w:sz="4" w:space="0" w:color="365F91"/>
              <w:bottom w:val="single" w:sz="4" w:space="0" w:color="365F91"/>
            </w:tcBorders>
            <w:shd w:val="clear" w:color="auto" w:fill="auto"/>
          </w:tcPr>
          <w:p w14:paraId="18BB8017" w14:textId="77777777" w:rsidR="00005A00" w:rsidRPr="00256982" w:rsidRDefault="00005A00" w:rsidP="00AA14F1">
            <w:pPr>
              <w:pStyle w:val="TableText"/>
              <w:spacing w:before="50" w:after="50"/>
              <w:jc w:val="center"/>
            </w:pPr>
            <w:r w:rsidRPr="00256982">
              <w:t>3</w:t>
            </w:r>
          </w:p>
        </w:tc>
        <w:tc>
          <w:tcPr>
            <w:tcW w:w="742" w:type="dxa"/>
            <w:tcBorders>
              <w:top w:val="single" w:sz="4" w:space="0" w:color="365F91"/>
              <w:bottom w:val="single" w:sz="4" w:space="0" w:color="365F91"/>
            </w:tcBorders>
            <w:shd w:val="clear" w:color="auto" w:fill="auto"/>
          </w:tcPr>
          <w:p w14:paraId="6C2DBAE2" w14:textId="77777777" w:rsidR="00005A00" w:rsidRPr="00256982" w:rsidRDefault="00005A00" w:rsidP="00AA14F1">
            <w:pPr>
              <w:pStyle w:val="TableText"/>
              <w:spacing w:before="50" w:after="50"/>
              <w:jc w:val="center"/>
            </w:pPr>
            <w:r w:rsidRPr="00256982">
              <w:t>45</w:t>
            </w:r>
          </w:p>
        </w:tc>
        <w:tc>
          <w:tcPr>
            <w:tcW w:w="1341" w:type="dxa"/>
            <w:tcBorders>
              <w:top w:val="single" w:sz="4" w:space="0" w:color="365F91"/>
              <w:bottom w:val="single" w:sz="4" w:space="0" w:color="365F91"/>
            </w:tcBorders>
          </w:tcPr>
          <w:p w14:paraId="316769B6" w14:textId="77777777" w:rsidR="00005A00" w:rsidRPr="00256982" w:rsidRDefault="00005A00" w:rsidP="00AA14F1">
            <w:pPr>
              <w:pStyle w:val="TableText"/>
              <w:spacing w:before="50" w:after="50"/>
            </w:pPr>
            <w:r w:rsidRPr="00256982">
              <w:t>As for 1995</w:t>
            </w:r>
          </w:p>
        </w:tc>
      </w:tr>
      <w:tr w:rsidR="00005A00" w:rsidRPr="00256982" w14:paraId="3F045DB6" w14:textId="77777777" w:rsidTr="00AA14F1">
        <w:tc>
          <w:tcPr>
            <w:tcW w:w="1006" w:type="dxa"/>
            <w:tcBorders>
              <w:top w:val="single" w:sz="4" w:space="0" w:color="365F91"/>
              <w:bottom w:val="single" w:sz="4" w:space="0" w:color="365F91"/>
            </w:tcBorders>
          </w:tcPr>
          <w:p w14:paraId="65F5C99B" w14:textId="77777777" w:rsidR="00005A00" w:rsidRPr="00256982" w:rsidRDefault="00005A00" w:rsidP="00AA14F1">
            <w:pPr>
              <w:pStyle w:val="TableTextBold"/>
              <w:spacing w:before="50" w:after="50"/>
              <w:rPr>
                <w:noProof w:val="0"/>
              </w:rPr>
            </w:pPr>
            <w:r w:rsidRPr="00256982">
              <w:rPr>
                <w:noProof w:val="0"/>
              </w:rPr>
              <w:t>1995</w:t>
            </w:r>
          </w:p>
        </w:tc>
        <w:tc>
          <w:tcPr>
            <w:tcW w:w="713" w:type="dxa"/>
            <w:tcBorders>
              <w:top w:val="single" w:sz="4" w:space="0" w:color="365F91"/>
              <w:bottom w:val="single" w:sz="4" w:space="0" w:color="365F91"/>
            </w:tcBorders>
            <w:shd w:val="clear" w:color="auto" w:fill="auto"/>
          </w:tcPr>
          <w:p w14:paraId="2144352C" w14:textId="77777777" w:rsidR="00005A00" w:rsidRPr="00256982" w:rsidRDefault="00005A00" w:rsidP="00AA14F1">
            <w:pPr>
              <w:pStyle w:val="TableText"/>
              <w:spacing w:before="50" w:after="50"/>
              <w:jc w:val="center"/>
            </w:pPr>
            <w:r w:rsidRPr="00256982">
              <w:t>17</w:t>
            </w:r>
          </w:p>
        </w:tc>
        <w:tc>
          <w:tcPr>
            <w:tcW w:w="849" w:type="dxa"/>
            <w:tcBorders>
              <w:top w:val="single" w:sz="4" w:space="0" w:color="365F91"/>
              <w:bottom w:val="single" w:sz="4" w:space="0" w:color="365F91"/>
            </w:tcBorders>
            <w:shd w:val="clear" w:color="auto" w:fill="auto"/>
          </w:tcPr>
          <w:p w14:paraId="50B8A81C" w14:textId="77777777" w:rsidR="00005A00" w:rsidRPr="00256982" w:rsidRDefault="00005A00" w:rsidP="00AA14F1">
            <w:pPr>
              <w:pStyle w:val="TableText"/>
              <w:spacing w:before="50" w:after="50"/>
              <w:jc w:val="center"/>
            </w:pPr>
            <w:r w:rsidRPr="00256982">
              <w:t>11</w:t>
            </w:r>
          </w:p>
        </w:tc>
        <w:tc>
          <w:tcPr>
            <w:tcW w:w="790" w:type="dxa"/>
            <w:tcBorders>
              <w:top w:val="single" w:sz="4" w:space="0" w:color="365F91"/>
              <w:bottom w:val="single" w:sz="4" w:space="0" w:color="365F91"/>
            </w:tcBorders>
            <w:shd w:val="clear" w:color="auto" w:fill="auto"/>
          </w:tcPr>
          <w:p w14:paraId="57160CD1" w14:textId="77777777" w:rsidR="00005A00" w:rsidRPr="00256982" w:rsidRDefault="00005A00" w:rsidP="00AA14F1">
            <w:pPr>
              <w:pStyle w:val="TableText"/>
              <w:spacing w:before="50" w:after="50"/>
              <w:jc w:val="center"/>
            </w:pPr>
            <w:r w:rsidRPr="00256982">
              <w:t>16</w:t>
            </w:r>
          </w:p>
        </w:tc>
        <w:tc>
          <w:tcPr>
            <w:tcW w:w="739" w:type="dxa"/>
            <w:tcBorders>
              <w:top w:val="single" w:sz="4" w:space="0" w:color="365F91"/>
              <w:bottom w:val="single" w:sz="4" w:space="0" w:color="365F91"/>
            </w:tcBorders>
            <w:shd w:val="clear" w:color="auto" w:fill="auto"/>
          </w:tcPr>
          <w:p w14:paraId="03F6952E" w14:textId="77777777" w:rsidR="00005A00" w:rsidRPr="00256982" w:rsidRDefault="00005A00" w:rsidP="00AA14F1">
            <w:pPr>
              <w:pStyle w:val="TableText"/>
              <w:spacing w:before="50" w:after="50"/>
              <w:jc w:val="center"/>
            </w:pPr>
            <w:r w:rsidRPr="00256982">
              <w:t>7</w:t>
            </w:r>
          </w:p>
        </w:tc>
        <w:tc>
          <w:tcPr>
            <w:tcW w:w="836" w:type="dxa"/>
            <w:tcBorders>
              <w:top w:val="single" w:sz="4" w:space="0" w:color="365F91"/>
              <w:bottom w:val="single" w:sz="4" w:space="0" w:color="365F91"/>
            </w:tcBorders>
            <w:shd w:val="clear" w:color="auto" w:fill="auto"/>
          </w:tcPr>
          <w:p w14:paraId="25C5C4BA" w14:textId="77777777" w:rsidR="00005A00" w:rsidRPr="00256982" w:rsidRDefault="00005A00" w:rsidP="00AA14F1">
            <w:pPr>
              <w:pStyle w:val="TableText"/>
              <w:spacing w:before="50" w:after="50"/>
              <w:jc w:val="center"/>
            </w:pPr>
            <w:r w:rsidRPr="00256982">
              <w:t>1</w:t>
            </w:r>
          </w:p>
        </w:tc>
        <w:tc>
          <w:tcPr>
            <w:tcW w:w="917" w:type="dxa"/>
            <w:tcBorders>
              <w:top w:val="single" w:sz="4" w:space="0" w:color="365F91"/>
              <w:bottom w:val="single" w:sz="4" w:space="0" w:color="365F91"/>
            </w:tcBorders>
            <w:shd w:val="clear" w:color="auto" w:fill="auto"/>
          </w:tcPr>
          <w:p w14:paraId="2F18E432" w14:textId="77777777" w:rsidR="00005A00" w:rsidRPr="00256982" w:rsidRDefault="00005A00" w:rsidP="00AA14F1">
            <w:pPr>
              <w:pStyle w:val="TableText"/>
              <w:spacing w:before="50" w:after="50"/>
              <w:jc w:val="center"/>
            </w:pPr>
            <w:r w:rsidRPr="00256982">
              <w:t>3</w:t>
            </w:r>
          </w:p>
        </w:tc>
        <w:tc>
          <w:tcPr>
            <w:tcW w:w="742" w:type="dxa"/>
            <w:tcBorders>
              <w:top w:val="single" w:sz="4" w:space="0" w:color="365F91"/>
              <w:bottom w:val="single" w:sz="4" w:space="0" w:color="365F91"/>
            </w:tcBorders>
            <w:shd w:val="clear" w:color="auto" w:fill="auto"/>
          </w:tcPr>
          <w:p w14:paraId="68F716B9" w14:textId="77777777" w:rsidR="00005A00" w:rsidRPr="00256982" w:rsidRDefault="00005A00" w:rsidP="00AA14F1">
            <w:pPr>
              <w:pStyle w:val="TableText"/>
              <w:spacing w:before="50" w:after="50"/>
              <w:jc w:val="center"/>
            </w:pPr>
            <w:r w:rsidRPr="00256982">
              <w:t>45</w:t>
            </w:r>
          </w:p>
        </w:tc>
        <w:tc>
          <w:tcPr>
            <w:tcW w:w="1341" w:type="dxa"/>
            <w:tcBorders>
              <w:top w:val="single" w:sz="4" w:space="0" w:color="365F91"/>
              <w:bottom w:val="single" w:sz="4" w:space="0" w:color="365F91"/>
            </w:tcBorders>
          </w:tcPr>
          <w:p w14:paraId="6A2F98C3" w14:textId="77777777" w:rsidR="00005A00" w:rsidRPr="00256982" w:rsidRDefault="00005A00" w:rsidP="00AA14F1">
            <w:pPr>
              <w:pStyle w:val="TableText"/>
              <w:spacing w:before="50" w:after="50"/>
            </w:pPr>
            <w:r w:rsidRPr="00256982">
              <w:t>National survey</w:t>
            </w:r>
          </w:p>
        </w:tc>
      </w:tr>
      <w:tr w:rsidR="00005A00" w:rsidRPr="00256982" w14:paraId="392DA20B" w14:textId="77777777" w:rsidTr="00AA14F1">
        <w:tc>
          <w:tcPr>
            <w:tcW w:w="1006" w:type="dxa"/>
            <w:tcBorders>
              <w:top w:val="single" w:sz="4" w:space="0" w:color="365F91"/>
              <w:bottom w:val="single" w:sz="4" w:space="0" w:color="365F91"/>
            </w:tcBorders>
          </w:tcPr>
          <w:p w14:paraId="258BE609" w14:textId="77777777" w:rsidR="00005A00" w:rsidRPr="00256982" w:rsidRDefault="00005A00" w:rsidP="00AA14F1">
            <w:pPr>
              <w:pStyle w:val="TableTextBold"/>
              <w:spacing w:before="50" w:after="50"/>
              <w:rPr>
                <w:noProof w:val="0"/>
              </w:rPr>
            </w:pPr>
            <w:r w:rsidRPr="00256982">
              <w:rPr>
                <w:noProof w:val="0"/>
              </w:rPr>
              <w:t>1996</w:t>
            </w:r>
          </w:p>
        </w:tc>
        <w:tc>
          <w:tcPr>
            <w:tcW w:w="713" w:type="dxa"/>
            <w:tcBorders>
              <w:top w:val="single" w:sz="4" w:space="0" w:color="365F91"/>
              <w:bottom w:val="single" w:sz="4" w:space="0" w:color="365F91"/>
            </w:tcBorders>
            <w:shd w:val="clear" w:color="auto" w:fill="auto"/>
          </w:tcPr>
          <w:p w14:paraId="0304B5B9" w14:textId="77777777" w:rsidR="00005A00" w:rsidRPr="00256982" w:rsidRDefault="00005A00" w:rsidP="00AA14F1">
            <w:pPr>
              <w:pStyle w:val="TableText"/>
              <w:spacing w:before="50" w:after="50"/>
              <w:jc w:val="center"/>
            </w:pPr>
            <w:r w:rsidRPr="00256982">
              <w:t>17</w:t>
            </w:r>
          </w:p>
        </w:tc>
        <w:tc>
          <w:tcPr>
            <w:tcW w:w="849" w:type="dxa"/>
            <w:tcBorders>
              <w:top w:val="single" w:sz="4" w:space="0" w:color="365F91"/>
              <w:bottom w:val="single" w:sz="4" w:space="0" w:color="365F91"/>
            </w:tcBorders>
            <w:shd w:val="clear" w:color="auto" w:fill="auto"/>
          </w:tcPr>
          <w:p w14:paraId="66BC3480" w14:textId="77777777" w:rsidR="00005A00" w:rsidRPr="00256982" w:rsidRDefault="00005A00" w:rsidP="00AA14F1">
            <w:pPr>
              <w:pStyle w:val="TableText"/>
              <w:spacing w:before="50" w:after="50"/>
              <w:jc w:val="center"/>
            </w:pPr>
            <w:r w:rsidRPr="00256982">
              <w:t>11</w:t>
            </w:r>
          </w:p>
        </w:tc>
        <w:tc>
          <w:tcPr>
            <w:tcW w:w="790" w:type="dxa"/>
            <w:tcBorders>
              <w:top w:val="single" w:sz="4" w:space="0" w:color="365F91"/>
              <w:bottom w:val="single" w:sz="4" w:space="0" w:color="365F91"/>
            </w:tcBorders>
            <w:shd w:val="clear" w:color="auto" w:fill="auto"/>
          </w:tcPr>
          <w:p w14:paraId="5D36F87A" w14:textId="77777777" w:rsidR="00005A00" w:rsidRPr="00256982" w:rsidRDefault="00005A00" w:rsidP="00AA14F1">
            <w:pPr>
              <w:pStyle w:val="TableText"/>
              <w:spacing w:before="50" w:after="50"/>
              <w:jc w:val="center"/>
            </w:pPr>
            <w:r w:rsidRPr="00256982">
              <w:t>16</w:t>
            </w:r>
          </w:p>
        </w:tc>
        <w:tc>
          <w:tcPr>
            <w:tcW w:w="739" w:type="dxa"/>
            <w:tcBorders>
              <w:top w:val="single" w:sz="4" w:space="0" w:color="365F91"/>
              <w:bottom w:val="single" w:sz="4" w:space="0" w:color="365F91"/>
            </w:tcBorders>
            <w:shd w:val="clear" w:color="auto" w:fill="auto"/>
          </w:tcPr>
          <w:p w14:paraId="20E75955" w14:textId="77777777" w:rsidR="00005A00" w:rsidRPr="00256982" w:rsidRDefault="00005A00" w:rsidP="00AA14F1">
            <w:pPr>
              <w:pStyle w:val="TableText"/>
              <w:spacing w:before="50" w:after="50"/>
              <w:jc w:val="center"/>
            </w:pPr>
            <w:r w:rsidRPr="00256982">
              <w:t>8</w:t>
            </w:r>
          </w:p>
        </w:tc>
        <w:tc>
          <w:tcPr>
            <w:tcW w:w="836" w:type="dxa"/>
            <w:tcBorders>
              <w:top w:val="single" w:sz="4" w:space="0" w:color="365F91"/>
              <w:bottom w:val="single" w:sz="4" w:space="0" w:color="365F91"/>
            </w:tcBorders>
            <w:shd w:val="clear" w:color="auto" w:fill="auto"/>
          </w:tcPr>
          <w:p w14:paraId="665AD2C4" w14:textId="77777777" w:rsidR="00005A00" w:rsidRPr="00256982" w:rsidRDefault="00005A00" w:rsidP="00AA14F1">
            <w:pPr>
              <w:pStyle w:val="TableText"/>
              <w:spacing w:before="50" w:after="50"/>
              <w:jc w:val="center"/>
            </w:pPr>
            <w:r w:rsidRPr="00256982">
              <w:t>1</w:t>
            </w:r>
          </w:p>
        </w:tc>
        <w:tc>
          <w:tcPr>
            <w:tcW w:w="917" w:type="dxa"/>
            <w:tcBorders>
              <w:top w:val="single" w:sz="4" w:space="0" w:color="365F91"/>
              <w:bottom w:val="single" w:sz="4" w:space="0" w:color="365F91"/>
            </w:tcBorders>
            <w:shd w:val="clear" w:color="auto" w:fill="auto"/>
          </w:tcPr>
          <w:p w14:paraId="45548E95" w14:textId="77777777" w:rsidR="00005A00" w:rsidRPr="00256982" w:rsidRDefault="00005A00" w:rsidP="00AA14F1">
            <w:pPr>
              <w:pStyle w:val="TableText"/>
              <w:spacing w:before="50" w:after="50"/>
              <w:jc w:val="center"/>
            </w:pPr>
            <w:r w:rsidRPr="00256982">
              <w:t>3</w:t>
            </w:r>
          </w:p>
        </w:tc>
        <w:tc>
          <w:tcPr>
            <w:tcW w:w="742" w:type="dxa"/>
            <w:tcBorders>
              <w:top w:val="single" w:sz="4" w:space="0" w:color="365F91"/>
              <w:bottom w:val="single" w:sz="4" w:space="0" w:color="365F91"/>
            </w:tcBorders>
            <w:shd w:val="clear" w:color="auto" w:fill="auto"/>
          </w:tcPr>
          <w:p w14:paraId="57EEBAC0" w14:textId="77777777" w:rsidR="00005A00" w:rsidRPr="00256982" w:rsidRDefault="00005A00" w:rsidP="00AA14F1">
            <w:pPr>
              <w:pStyle w:val="TableText"/>
              <w:spacing w:before="50" w:after="50"/>
              <w:jc w:val="center"/>
            </w:pPr>
            <w:r w:rsidRPr="00256982">
              <w:t>45</w:t>
            </w:r>
          </w:p>
        </w:tc>
        <w:tc>
          <w:tcPr>
            <w:tcW w:w="1341" w:type="dxa"/>
            <w:tcBorders>
              <w:top w:val="single" w:sz="4" w:space="0" w:color="365F91"/>
              <w:bottom w:val="single" w:sz="4" w:space="0" w:color="365F91"/>
            </w:tcBorders>
          </w:tcPr>
          <w:p w14:paraId="7C7F42AB" w14:textId="77777777" w:rsidR="00005A00" w:rsidRPr="00256982" w:rsidRDefault="00005A00" w:rsidP="00AA14F1">
            <w:pPr>
              <w:pStyle w:val="TableText"/>
              <w:spacing w:before="50" w:after="50"/>
            </w:pPr>
            <w:r w:rsidRPr="00256982">
              <w:t>Interpolation</w:t>
            </w:r>
          </w:p>
        </w:tc>
      </w:tr>
      <w:tr w:rsidR="00005A00" w:rsidRPr="00256982" w14:paraId="241568F2" w14:textId="77777777" w:rsidTr="00AA14F1">
        <w:tc>
          <w:tcPr>
            <w:tcW w:w="1006" w:type="dxa"/>
            <w:tcBorders>
              <w:top w:val="single" w:sz="4" w:space="0" w:color="365F91"/>
              <w:bottom w:val="single" w:sz="4" w:space="0" w:color="365F91"/>
            </w:tcBorders>
          </w:tcPr>
          <w:p w14:paraId="26AE46A8" w14:textId="77777777" w:rsidR="00005A00" w:rsidRPr="00256982" w:rsidRDefault="00005A00" w:rsidP="00AA14F1">
            <w:pPr>
              <w:pStyle w:val="TableTextBold"/>
              <w:spacing w:before="50" w:after="50"/>
              <w:rPr>
                <w:noProof w:val="0"/>
              </w:rPr>
            </w:pPr>
            <w:r w:rsidRPr="00256982">
              <w:rPr>
                <w:noProof w:val="0"/>
              </w:rPr>
              <w:t>1997</w:t>
            </w:r>
          </w:p>
        </w:tc>
        <w:tc>
          <w:tcPr>
            <w:tcW w:w="713" w:type="dxa"/>
            <w:tcBorders>
              <w:top w:val="single" w:sz="4" w:space="0" w:color="365F91"/>
              <w:bottom w:val="single" w:sz="4" w:space="0" w:color="365F91"/>
            </w:tcBorders>
            <w:shd w:val="clear" w:color="auto" w:fill="auto"/>
          </w:tcPr>
          <w:p w14:paraId="06D95986" w14:textId="77777777" w:rsidR="00005A00" w:rsidRPr="00256982" w:rsidRDefault="00005A00" w:rsidP="00AA14F1">
            <w:pPr>
              <w:pStyle w:val="TableText"/>
              <w:spacing w:before="50" w:after="50"/>
              <w:jc w:val="center"/>
            </w:pPr>
            <w:r w:rsidRPr="00256982">
              <w:t>17</w:t>
            </w:r>
          </w:p>
        </w:tc>
        <w:tc>
          <w:tcPr>
            <w:tcW w:w="849" w:type="dxa"/>
            <w:tcBorders>
              <w:top w:val="single" w:sz="4" w:space="0" w:color="365F91"/>
              <w:bottom w:val="single" w:sz="4" w:space="0" w:color="365F91"/>
            </w:tcBorders>
            <w:shd w:val="clear" w:color="auto" w:fill="auto"/>
          </w:tcPr>
          <w:p w14:paraId="5B4C2FE3" w14:textId="77777777" w:rsidR="00005A00" w:rsidRPr="00256982" w:rsidRDefault="00005A00" w:rsidP="00AA14F1">
            <w:pPr>
              <w:pStyle w:val="TableText"/>
              <w:spacing w:before="50" w:after="50"/>
              <w:jc w:val="center"/>
            </w:pPr>
            <w:r w:rsidRPr="00256982">
              <w:t>11</w:t>
            </w:r>
          </w:p>
        </w:tc>
        <w:tc>
          <w:tcPr>
            <w:tcW w:w="790" w:type="dxa"/>
            <w:tcBorders>
              <w:top w:val="single" w:sz="4" w:space="0" w:color="365F91"/>
              <w:bottom w:val="single" w:sz="4" w:space="0" w:color="365F91"/>
            </w:tcBorders>
            <w:shd w:val="clear" w:color="auto" w:fill="auto"/>
          </w:tcPr>
          <w:p w14:paraId="14D5F8E0" w14:textId="77777777" w:rsidR="00005A00" w:rsidRPr="00256982" w:rsidRDefault="00005A00" w:rsidP="00AA14F1">
            <w:pPr>
              <w:pStyle w:val="TableText"/>
              <w:spacing w:before="50" w:after="50"/>
              <w:jc w:val="center"/>
            </w:pPr>
            <w:r w:rsidRPr="00256982">
              <w:t>16</w:t>
            </w:r>
          </w:p>
        </w:tc>
        <w:tc>
          <w:tcPr>
            <w:tcW w:w="739" w:type="dxa"/>
            <w:tcBorders>
              <w:top w:val="single" w:sz="4" w:space="0" w:color="365F91"/>
              <w:bottom w:val="single" w:sz="4" w:space="0" w:color="365F91"/>
            </w:tcBorders>
            <w:shd w:val="clear" w:color="auto" w:fill="auto"/>
          </w:tcPr>
          <w:p w14:paraId="6FB961F1" w14:textId="77777777" w:rsidR="00005A00" w:rsidRPr="00256982" w:rsidRDefault="00005A00" w:rsidP="00AA14F1">
            <w:pPr>
              <w:pStyle w:val="TableText"/>
              <w:spacing w:before="50" w:after="50"/>
              <w:jc w:val="center"/>
            </w:pPr>
            <w:r w:rsidRPr="00256982">
              <w:t>9</w:t>
            </w:r>
          </w:p>
        </w:tc>
        <w:tc>
          <w:tcPr>
            <w:tcW w:w="836" w:type="dxa"/>
            <w:tcBorders>
              <w:top w:val="single" w:sz="4" w:space="0" w:color="365F91"/>
              <w:bottom w:val="single" w:sz="4" w:space="0" w:color="365F91"/>
            </w:tcBorders>
            <w:shd w:val="clear" w:color="auto" w:fill="auto"/>
          </w:tcPr>
          <w:p w14:paraId="35EF6013" w14:textId="77777777" w:rsidR="00005A00" w:rsidRPr="00256982" w:rsidRDefault="00005A00" w:rsidP="00AA14F1">
            <w:pPr>
              <w:pStyle w:val="TableText"/>
              <w:spacing w:before="50" w:after="50"/>
              <w:jc w:val="center"/>
            </w:pPr>
            <w:r w:rsidRPr="00256982">
              <w:t>1</w:t>
            </w:r>
          </w:p>
        </w:tc>
        <w:tc>
          <w:tcPr>
            <w:tcW w:w="917" w:type="dxa"/>
            <w:tcBorders>
              <w:top w:val="single" w:sz="4" w:space="0" w:color="365F91"/>
              <w:bottom w:val="single" w:sz="4" w:space="0" w:color="365F91"/>
            </w:tcBorders>
            <w:shd w:val="clear" w:color="auto" w:fill="auto"/>
          </w:tcPr>
          <w:p w14:paraId="3B4586C1" w14:textId="77777777" w:rsidR="00005A00" w:rsidRPr="00256982" w:rsidRDefault="00005A00" w:rsidP="00AA14F1">
            <w:pPr>
              <w:pStyle w:val="TableText"/>
              <w:spacing w:before="50" w:after="50"/>
              <w:jc w:val="center"/>
            </w:pPr>
            <w:r w:rsidRPr="00256982">
              <w:t>3</w:t>
            </w:r>
          </w:p>
        </w:tc>
        <w:tc>
          <w:tcPr>
            <w:tcW w:w="742" w:type="dxa"/>
            <w:tcBorders>
              <w:top w:val="single" w:sz="4" w:space="0" w:color="365F91"/>
              <w:bottom w:val="single" w:sz="4" w:space="0" w:color="365F91"/>
            </w:tcBorders>
            <w:shd w:val="clear" w:color="auto" w:fill="auto"/>
          </w:tcPr>
          <w:p w14:paraId="754F6962" w14:textId="77777777" w:rsidR="00005A00" w:rsidRPr="00256982" w:rsidRDefault="00005A00" w:rsidP="00AA14F1">
            <w:pPr>
              <w:pStyle w:val="TableText"/>
              <w:spacing w:before="50" w:after="50"/>
              <w:jc w:val="center"/>
            </w:pPr>
            <w:r w:rsidRPr="00256982">
              <w:t>44</w:t>
            </w:r>
          </w:p>
        </w:tc>
        <w:tc>
          <w:tcPr>
            <w:tcW w:w="1341" w:type="dxa"/>
            <w:tcBorders>
              <w:top w:val="single" w:sz="4" w:space="0" w:color="365F91"/>
              <w:bottom w:val="single" w:sz="4" w:space="0" w:color="365F91"/>
            </w:tcBorders>
          </w:tcPr>
          <w:p w14:paraId="028ADB8D" w14:textId="77777777" w:rsidR="00005A00" w:rsidRPr="00256982" w:rsidRDefault="00005A00" w:rsidP="00AA14F1">
            <w:pPr>
              <w:pStyle w:val="TableText"/>
              <w:spacing w:before="50" w:after="50"/>
            </w:pPr>
            <w:r w:rsidRPr="00256982">
              <w:t>Interpolation</w:t>
            </w:r>
          </w:p>
        </w:tc>
      </w:tr>
      <w:tr w:rsidR="00005A00" w:rsidRPr="00256982" w14:paraId="0C2712FB" w14:textId="77777777" w:rsidTr="00AA14F1">
        <w:tc>
          <w:tcPr>
            <w:tcW w:w="1006" w:type="dxa"/>
            <w:tcBorders>
              <w:top w:val="single" w:sz="4" w:space="0" w:color="365F91"/>
              <w:bottom w:val="single" w:sz="4" w:space="0" w:color="365F91"/>
            </w:tcBorders>
          </w:tcPr>
          <w:p w14:paraId="6467D2A6" w14:textId="77777777" w:rsidR="00005A00" w:rsidRPr="00256982" w:rsidRDefault="00005A00" w:rsidP="00AA14F1">
            <w:pPr>
              <w:pStyle w:val="TableTextBold"/>
              <w:spacing w:before="50" w:after="50"/>
              <w:rPr>
                <w:noProof w:val="0"/>
              </w:rPr>
            </w:pPr>
            <w:r w:rsidRPr="00256982">
              <w:rPr>
                <w:noProof w:val="0"/>
              </w:rPr>
              <w:t>1998</w:t>
            </w:r>
          </w:p>
        </w:tc>
        <w:tc>
          <w:tcPr>
            <w:tcW w:w="713" w:type="dxa"/>
            <w:tcBorders>
              <w:top w:val="single" w:sz="4" w:space="0" w:color="365F91"/>
              <w:bottom w:val="single" w:sz="4" w:space="0" w:color="365F91"/>
            </w:tcBorders>
            <w:shd w:val="clear" w:color="auto" w:fill="auto"/>
          </w:tcPr>
          <w:p w14:paraId="7E0906C3" w14:textId="77777777" w:rsidR="00005A00" w:rsidRPr="00256982" w:rsidRDefault="00005A00" w:rsidP="00AA14F1">
            <w:pPr>
              <w:pStyle w:val="TableText"/>
              <w:spacing w:before="50" w:after="50"/>
              <w:jc w:val="center"/>
            </w:pPr>
            <w:r w:rsidRPr="00256982">
              <w:t>16</w:t>
            </w:r>
          </w:p>
        </w:tc>
        <w:tc>
          <w:tcPr>
            <w:tcW w:w="849" w:type="dxa"/>
            <w:tcBorders>
              <w:top w:val="single" w:sz="4" w:space="0" w:color="365F91"/>
              <w:bottom w:val="single" w:sz="4" w:space="0" w:color="365F91"/>
            </w:tcBorders>
            <w:shd w:val="clear" w:color="auto" w:fill="auto"/>
          </w:tcPr>
          <w:p w14:paraId="3B556C96" w14:textId="77777777" w:rsidR="00005A00" w:rsidRPr="00256982" w:rsidRDefault="00005A00" w:rsidP="00AA14F1">
            <w:pPr>
              <w:pStyle w:val="TableText"/>
              <w:spacing w:before="50" w:after="50"/>
              <w:jc w:val="center"/>
            </w:pPr>
            <w:r w:rsidRPr="00256982">
              <w:t>10</w:t>
            </w:r>
          </w:p>
        </w:tc>
        <w:tc>
          <w:tcPr>
            <w:tcW w:w="790" w:type="dxa"/>
            <w:tcBorders>
              <w:top w:val="single" w:sz="4" w:space="0" w:color="365F91"/>
              <w:bottom w:val="single" w:sz="4" w:space="0" w:color="365F91"/>
            </w:tcBorders>
            <w:shd w:val="clear" w:color="auto" w:fill="auto"/>
          </w:tcPr>
          <w:p w14:paraId="5733992C" w14:textId="77777777" w:rsidR="00005A00" w:rsidRPr="00256982" w:rsidRDefault="00005A00" w:rsidP="00AA14F1">
            <w:pPr>
              <w:pStyle w:val="TableText"/>
              <w:spacing w:before="50" w:after="50"/>
              <w:jc w:val="center"/>
            </w:pPr>
            <w:r w:rsidRPr="00256982">
              <w:t>16</w:t>
            </w:r>
          </w:p>
        </w:tc>
        <w:tc>
          <w:tcPr>
            <w:tcW w:w="739" w:type="dxa"/>
            <w:tcBorders>
              <w:top w:val="single" w:sz="4" w:space="0" w:color="365F91"/>
              <w:bottom w:val="single" w:sz="4" w:space="0" w:color="365F91"/>
            </w:tcBorders>
            <w:shd w:val="clear" w:color="auto" w:fill="auto"/>
          </w:tcPr>
          <w:p w14:paraId="71880F4A" w14:textId="77777777" w:rsidR="00005A00" w:rsidRPr="00256982" w:rsidRDefault="00005A00" w:rsidP="00AA14F1">
            <w:pPr>
              <w:pStyle w:val="TableText"/>
              <w:spacing w:before="50" w:after="50"/>
              <w:jc w:val="center"/>
            </w:pPr>
            <w:r w:rsidRPr="00256982">
              <w:t>9</w:t>
            </w:r>
          </w:p>
        </w:tc>
        <w:tc>
          <w:tcPr>
            <w:tcW w:w="836" w:type="dxa"/>
            <w:tcBorders>
              <w:top w:val="single" w:sz="4" w:space="0" w:color="365F91"/>
              <w:bottom w:val="single" w:sz="4" w:space="0" w:color="365F91"/>
            </w:tcBorders>
            <w:shd w:val="clear" w:color="auto" w:fill="auto"/>
          </w:tcPr>
          <w:p w14:paraId="0BBF6FB7" w14:textId="77777777" w:rsidR="00005A00" w:rsidRPr="00256982" w:rsidRDefault="00005A00" w:rsidP="00AA14F1">
            <w:pPr>
              <w:pStyle w:val="TableText"/>
              <w:spacing w:before="50" w:after="50"/>
              <w:jc w:val="center"/>
            </w:pPr>
            <w:r w:rsidRPr="00256982">
              <w:t>2</w:t>
            </w:r>
          </w:p>
        </w:tc>
        <w:tc>
          <w:tcPr>
            <w:tcW w:w="917" w:type="dxa"/>
            <w:tcBorders>
              <w:top w:val="single" w:sz="4" w:space="0" w:color="365F91"/>
              <w:bottom w:val="single" w:sz="4" w:space="0" w:color="365F91"/>
            </w:tcBorders>
            <w:shd w:val="clear" w:color="auto" w:fill="auto"/>
          </w:tcPr>
          <w:p w14:paraId="4A2D6D43" w14:textId="77777777" w:rsidR="00005A00" w:rsidRPr="00256982" w:rsidRDefault="00005A00" w:rsidP="00AA14F1">
            <w:pPr>
              <w:pStyle w:val="TableText"/>
              <w:spacing w:before="50" w:after="50"/>
              <w:jc w:val="center"/>
            </w:pPr>
            <w:r w:rsidRPr="00256982">
              <w:t>3</w:t>
            </w:r>
          </w:p>
        </w:tc>
        <w:tc>
          <w:tcPr>
            <w:tcW w:w="742" w:type="dxa"/>
            <w:tcBorders>
              <w:top w:val="single" w:sz="4" w:space="0" w:color="365F91"/>
              <w:bottom w:val="single" w:sz="4" w:space="0" w:color="365F91"/>
            </w:tcBorders>
            <w:shd w:val="clear" w:color="auto" w:fill="auto"/>
          </w:tcPr>
          <w:p w14:paraId="4BC57C81" w14:textId="77777777" w:rsidR="00005A00" w:rsidRPr="00256982" w:rsidRDefault="00005A00" w:rsidP="00AA14F1">
            <w:pPr>
              <w:pStyle w:val="TableText"/>
              <w:spacing w:before="50" w:after="50"/>
              <w:jc w:val="center"/>
            </w:pPr>
            <w:r w:rsidRPr="00256982">
              <w:t>44</w:t>
            </w:r>
          </w:p>
        </w:tc>
        <w:tc>
          <w:tcPr>
            <w:tcW w:w="1341" w:type="dxa"/>
            <w:tcBorders>
              <w:top w:val="single" w:sz="4" w:space="0" w:color="365F91"/>
              <w:bottom w:val="single" w:sz="4" w:space="0" w:color="365F91"/>
            </w:tcBorders>
          </w:tcPr>
          <w:p w14:paraId="7246408B" w14:textId="77777777" w:rsidR="00005A00" w:rsidRPr="00256982" w:rsidRDefault="00005A00" w:rsidP="00AA14F1">
            <w:pPr>
              <w:pStyle w:val="TableText"/>
              <w:spacing w:before="50" w:after="50"/>
            </w:pPr>
            <w:r w:rsidRPr="00256982">
              <w:t>Interpolation</w:t>
            </w:r>
          </w:p>
        </w:tc>
      </w:tr>
      <w:tr w:rsidR="00005A00" w:rsidRPr="00256982" w14:paraId="19421C02" w14:textId="77777777" w:rsidTr="00AA14F1">
        <w:tc>
          <w:tcPr>
            <w:tcW w:w="1006" w:type="dxa"/>
            <w:tcBorders>
              <w:top w:val="single" w:sz="4" w:space="0" w:color="365F91"/>
              <w:bottom w:val="single" w:sz="4" w:space="0" w:color="365F91"/>
            </w:tcBorders>
          </w:tcPr>
          <w:p w14:paraId="520FCBAC" w14:textId="77777777" w:rsidR="00005A00" w:rsidRPr="00256982" w:rsidRDefault="00005A00" w:rsidP="00AA14F1">
            <w:pPr>
              <w:pStyle w:val="TableTextBold"/>
              <w:spacing w:before="50" w:after="50"/>
              <w:rPr>
                <w:noProof w:val="0"/>
              </w:rPr>
            </w:pPr>
            <w:r w:rsidRPr="00256982">
              <w:rPr>
                <w:noProof w:val="0"/>
              </w:rPr>
              <w:lastRenderedPageBreak/>
              <w:t>1999</w:t>
            </w:r>
          </w:p>
        </w:tc>
        <w:tc>
          <w:tcPr>
            <w:tcW w:w="713" w:type="dxa"/>
            <w:tcBorders>
              <w:top w:val="single" w:sz="4" w:space="0" w:color="365F91"/>
              <w:bottom w:val="single" w:sz="4" w:space="0" w:color="365F91"/>
            </w:tcBorders>
            <w:shd w:val="clear" w:color="auto" w:fill="auto"/>
          </w:tcPr>
          <w:p w14:paraId="430570EF" w14:textId="77777777" w:rsidR="00005A00" w:rsidRPr="00256982" w:rsidRDefault="00005A00" w:rsidP="00AA14F1">
            <w:pPr>
              <w:pStyle w:val="TableText"/>
              <w:spacing w:before="50" w:after="50"/>
              <w:jc w:val="center"/>
            </w:pPr>
            <w:r w:rsidRPr="00256982">
              <w:t>16</w:t>
            </w:r>
          </w:p>
        </w:tc>
        <w:tc>
          <w:tcPr>
            <w:tcW w:w="849" w:type="dxa"/>
            <w:tcBorders>
              <w:top w:val="single" w:sz="4" w:space="0" w:color="365F91"/>
              <w:bottom w:val="single" w:sz="4" w:space="0" w:color="365F91"/>
            </w:tcBorders>
            <w:shd w:val="clear" w:color="auto" w:fill="auto"/>
          </w:tcPr>
          <w:p w14:paraId="42CA466F" w14:textId="77777777" w:rsidR="00005A00" w:rsidRPr="00256982" w:rsidRDefault="00005A00" w:rsidP="00AA14F1">
            <w:pPr>
              <w:pStyle w:val="TableText"/>
              <w:spacing w:before="50" w:after="50"/>
              <w:jc w:val="center"/>
            </w:pPr>
            <w:r w:rsidRPr="00256982">
              <w:t>10</w:t>
            </w:r>
          </w:p>
        </w:tc>
        <w:tc>
          <w:tcPr>
            <w:tcW w:w="790" w:type="dxa"/>
            <w:tcBorders>
              <w:top w:val="single" w:sz="4" w:space="0" w:color="365F91"/>
              <w:bottom w:val="single" w:sz="4" w:space="0" w:color="365F91"/>
            </w:tcBorders>
            <w:shd w:val="clear" w:color="auto" w:fill="auto"/>
          </w:tcPr>
          <w:p w14:paraId="64FCE059" w14:textId="77777777" w:rsidR="00005A00" w:rsidRPr="00256982" w:rsidRDefault="00005A00" w:rsidP="00AA14F1">
            <w:pPr>
              <w:pStyle w:val="TableText"/>
              <w:spacing w:before="50" w:after="50"/>
              <w:jc w:val="center"/>
            </w:pPr>
            <w:r w:rsidRPr="00256982">
              <w:t>16</w:t>
            </w:r>
          </w:p>
        </w:tc>
        <w:tc>
          <w:tcPr>
            <w:tcW w:w="739" w:type="dxa"/>
            <w:tcBorders>
              <w:top w:val="single" w:sz="4" w:space="0" w:color="365F91"/>
              <w:bottom w:val="single" w:sz="4" w:space="0" w:color="365F91"/>
            </w:tcBorders>
            <w:shd w:val="clear" w:color="auto" w:fill="auto"/>
          </w:tcPr>
          <w:p w14:paraId="54378FDF" w14:textId="77777777" w:rsidR="00005A00" w:rsidRPr="00256982" w:rsidRDefault="00005A00" w:rsidP="00AA14F1">
            <w:pPr>
              <w:pStyle w:val="TableText"/>
              <w:spacing w:before="50" w:after="50"/>
              <w:jc w:val="center"/>
            </w:pPr>
            <w:r w:rsidRPr="00256982">
              <w:t>10</w:t>
            </w:r>
          </w:p>
        </w:tc>
        <w:tc>
          <w:tcPr>
            <w:tcW w:w="836" w:type="dxa"/>
            <w:tcBorders>
              <w:top w:val="single" w:sz="4" w:space="0" w:color="365F91"/>
              <w:bottom w:val="single" w:sz="4" w:space="0" w:color="365F91"/>
            </w:tcBorders>
            <w:shd w:val="clear" w:color="auto" w:fill="auto"/>
          </w:tcPr>
          <w:p w14:paraId="72973A2C" w14:textId="77777777" w:rsidR="00005A00" w:rsidRPr="00256982" w:rsidRDefault="00005A00" w:rsidP="00AA14F1">
            <w:pPr>
              <w:pStyle w:val="TableText"/>
              <w:spacing w:before="50" w:after="50"/>
              <w:jc w:val="center"/>
            </w:pPr>
            <w:r w:rsidRPr="00256982">
              <w:t>2</w:t>
            </w:r>
          </w:p>
        </w:tc>
        <w:tc>
          <w:tcPr>
            <w:tcW w:w="917" w:type="dxa"/>
            <w:tcBorders>
              <w:top w:val="single" w:sz="4" w:space="0" w:color="365F91"/>
              <w:bottom w:val="single" w:sz="4" w:space="0" w:color="365F91"/>
            </w:tcBorders>
            <w:shd w:val="clear" w:color="auto" w:fill="auto"/>
          </w:tcPr>
          <w:p w14:paraId="2E9F93DC" w14:textId="77777777" w:rsidR="00005A00" w:rsidRPr="00256982" w:rsidRDefault="00005A00" w:rsidP="00AA14F1">
            <w:pPr>
              <w:pStyle w:val="TableText"/>
              <w:spacing w:before="50" w:after="50"/>
              <w:jc w:val="center"/>
            </w:pPr>
            <w:r w:rsidRPr="00256982">
              <w:t>3</w:t>
            </w:r>
          </w:p>
        </w:tc>
        <w:tc>
          <w:tcPr>
            <w:tcW w:w="742" w:type="dxa"/>
            <w:tcBorders>
              <w:top w:val="single" w:sz="4" w:space="0" w:color="365F91"/>
              <w:bottom w:val="single" w:sz="4" w:space="0" w:color="365F91"/>
            </w:tcBorders>
            <w:shd w:val="clear" w:color="auto" w:fill="auto"/>
          </w:tcPr>
          <w:p w14:paraId="3AF82BB9" w14:textId="77777777" w:rsidR="00005A00" w:rsidRPr="00256982" w:rsidRDefault="00005A00" w:rsidP="00AA14F1">
            <w:pPr>
              <w:pStyle w:val="TableText"/>
              <w:spacing w:before="50" w:after="50"/>
              <w:jc w:val="center"/>
            </w:pPr>
            <w:r w:rsidRPr="00256982">
              <w:t>43</w:t>
            </w:r>
          </w:p>
        </w:tc>
        <w:tc>
          <w:tcPr>
            <w:tcW w:w="1341" w:type="dxa"/>
            <w:tcBorders>
              <w:top w:val="single" w:sz="4" w:space="0" w:color="365F91"/>
              <w:bottom w:val="single" w:sz="4" w:space="0" w:color="365F91"/>
            </w:tcBorders>
          </w:tcPr>
          <w:p w14:paraId="5DB23903" w14:textId="77777777" w:rsidR="00005A00" w:rsidRPr="00256982" w:rsidRDefault="00005A00" w:rsidP="00AA14F1">
            <w:pPr>
              <w:pStyle w:val="TableText"/>
              <w:spacing w:before="50" w:after="50"/>
            </w:pPr>
            <w:r w:rsidRPr="00256982">
              <w:t>Interpolation</w:t>
            </w:r>
          </w:p>
        </w:tc>
      </w:tr>
      <w:tr w:rsidR="00005A00" w:rsidRPr="00256982" w14:paraId="71A7FD97" w14:textId="77777777" w:rsidTr="00AA14F1">
        <w:tc>
          <w:tcPr>
            <w:tcW w:w="1006" w:type="dxa"/>
            <w:tcBorders>
              <w:top w:val="single" w:sz="4" w:space="0" w:color="365F91"/>
              <w:bottom w:val="single" w:sz="4" w:space="0" w:color="365F91"/>
            </w:tcBorders>
          </w:tcPr>
          <w:p w14:paraId="18392C21" w14:textId="77777777" w:rsidR="00005A00" w:rsidRPr="00256982" w:rsidRDefault="00005A00" w:rsidP="00AA14F1">
            <w:pPr>
              <w:pStyle w:val="TableTextBold"/>
              <w:spacing w:before="50" w:after="50"/>
              <w:rPr>
                <w:noProof w:val="0"/>
              </w:rPr>
            </w:pPr>
            <w:r w:rsidRPr="00256982">
              <w:rPr>
                <w:noProof w:val="0"/>
              </w:rPr>
              <w:t>2000</w:t>
            </w:r>
          </w:p>
        </w:tc>
        <w:tc>
          <w:tcPr>
            <w:tcW w:w="713" w:type="dxa"/>
            <w:tcBorders>
              <w:top w:val="single" w:sz="4" w:space="0" w:color="365F91"/>
              <w:bottom w:val="single" w:sz="4" w:space="0" w:color="365F91"/>
            </w:tcBorders>
            <w:shd w:val="clear" w:color="auto" w:fill="auto"/>
          </w:tcPr>
          <w:p w14:paraId="645EB8B1" w14:textId="77777777" w:rsidR="00005A00" w:rsidRPr="00256982" w:rsidRDefault="00005A00" w:rsidP="00AA14F1">
            <w:pPr>
              <w:pStyle w:val="TableText"/>
              <w:spacing w:before="50" w:after="50"/>
              <w:jc w:val="center"/>
            </w:pPr>
            <w:r w:rsidRPr="00256982">
              <w:t>16</w:t>
            </w:r>
          </w:p>
        </w:tc>
        <w:tc>
          <w:tcPr>
            <w:tcW w:w="849" w:type="dxa"/>
            <w:tcBorders>
              <w:top w:val="single" w:sz="4" w:space="0" w:color="365F91"/>
              <w:bottom w:val="single" w:sz="4" w:space="0" w:color="365F91"/>
            </w:tcBorders>
            <w:shd w:val="clear" w:color="auto" w:fill="auto"/>
          </w:tcPr>
          <w:p w14:paraId="20E03BD0" w14:textId="77777777" w:rsidR="00005A00" w:rsidRPr="00256982" w:rsidRDefault="00005A00" w:rsidP="00AA14F1">
            <w:pPr>
              <w:pStyle w:val="TableText"/>
              <w:spacing w:before="50" w:after="50"/>
              <w:jc w:val="center"/>
            </w:pPr>
            <w:r w:rsidRPr="00256982">
              <w:t>10</w:t>
            </w:r>
          </w:p>
        </w:tc>
        <w:tc>
          <w:tcPr>
            <w:tcW w:w="790" w:type="dxa"/>
            <w:tcBorders>
              <w:top w:val="single" w:sz="4" w:space="0" w:color="365F91"/>
              <w:bottom w:val="single" w:sz="4" w:space="0" w:color="365F91"/>
            </w:tcBorders>
            <w:shd w:val="clear" w:color="auto" w:fill="auto"/>
          </w:tcPr>
          <w:p w14:paraId="55636869" w14:textId="77777777" w:rsidR="00005A00" w:rsidRPr="00256982" w:rsidRDefault="00005A00" w:rsidP="00AA14F1">
            <w:pPr>
              <w:pStyle w:val="TableText"/>
              <w:spacing w:before="50" w:after="50"/>
              <w:jc w:val="center"/>
            </w:pPr>
            <w:r w:rsidRPr="00256982">
              <w:t>16</w:t>
            </w:r>
          </w:p>
        </w:tc>
        <w:tc>
          <w:tcPr>
            <w:tcW w:w="739" w:type="dxa"/>
            <w:tcBorders>
              <w:top w:val="single" w:sz="4" w:space="0" w:color="365F91"/>
              <w:bottom w:val="single" w:sz="4" w:space="0" w:color="365F91"/>
            </w:tcBorders>
            <w:shd w:val="clear" w:color="auto" w:fill="auto"/>
          </w:tcPr>
          <w:p w14:paraId="61A979C8" w14:textId="77777777" w:rsidR="00005A00" w:rsidRPr="00256982" w:rsidRDefault="00005A00" w:rsidP="00AA14F1">
            <w:pPr>
              <w:pStyle w:val="TableText"/>
              <w:spacing w:before="50" w:after="50"/>
              <w:jc w:val="center"/>
            </w:pPr>
            <w:r w:rsidRPr="00256982">
              <w:t>11</w:t>
            </w:r>
          </w:p>
        </w:tc>
        <w:tc>
          <w:tcPr>
            <w:tcW w:w="836" w:type="dxa"/>
            <w:tcBorders>
              <w:top w:val="single" w:sz="4" w:space="0" w:color="365F91"/>
              <w:bottom w:val="single" w:sz="4" w:space="0" w:color="365F91"/>
            </w:tcBorders>
            <w:shd w:val="clear" w:color="auto" w:fill="auto"/>
          </w:tcPr>
          <w:p w14:paraId="3DB1CE3D" w14:textId="77777777" w:rsidR="00005A00" w:rsidRPr="00256982" w:rsidRDefault="00005A00" w:rsidP="00AA14F1">
            <w:pPr>
              <w:pStyle w:val="TableText"/>
              <w:spacing w:before="50" w:after="50"/>
              <w:jc w:val="center"/>
            </w:pPr>
            <w:r w:rsidRPr="00256982">
              <w:t>2</w:t>
            </w:r>
          </w:p>
        </w:tc>
        <w:tc>
          <w:tcPr>
            <w:tcW w:w="917" w:type="dxa"/>
            <w:tcBorders>
              <w:top w:val="single" w:sz="4" w:space="0" w:color="365F91"/>
              <w:bottom w:val="single" w:sz="4" w:space="0" w:color="365F91"/>
            </w:tcBorders>
            <w:shd w:val="clear" w:color="auto" w:fill="auto"/>
          </w:tcPr>
          <w:p w14:paraId="6941D92B" w14:textId="77777777" w:rsidR="00005A00" w:rsidRPr="00256982" w:rsidRDefault="00005A00" w:rsidP="00AA14F1">
            <w:pPr>
              <w:pStyle w:val="TableText"/>
              <w:spacing w:before="50" w:after="50"/>
              <w:jc w:val="center"/>
            </w:pPr>
            <w:r w:rsidRPr="00256982">
              <w:t>3</w:t>
            </w:r>
          </w:p>
        </w:tc>
        <w:tc>
          <w:tcPr>
            <w:tcW w:w="742" w:type="dxa"/>
            <w:tcBorders>
              <w:top w:val="single" w:sz="4" w:space="0" w:color="365F91"/>
              <w:bottom w:val="single" w:sz="4" w:space="0" w:color="365F91"/>
            </w:tcBorders>
            <w:shd w:val="clear" w:color="auto" w:fill="auto"/>
          </w:tcPr>
          <w:p w14:paraId="1E352CC0" w14:textId="77777777" w:rsidR="00005A00" w:rsidRPr="00256982" w:rsidRDefault="00005A00" w:rsidP="00AA14F1">
            <w:pPr>
              <w:pStyle w:val="TableText"/>
              <w:spacing w:before="50" w:after="50"/>
              <w:jc w:val="center"/>
            </w:pPr>
            <w:r w:rsidRPr="00256982">
              <w:t>43</w:t>
            </w:r>
          </w:p>
        </w:tc>
        <w:tc>
          <w:tcPr>
            <w:tcW w:w="1341" w:type="dxa"/>
            <w:tcBorders>
              <w:top w:val="single" w:sz="4" w:space="0" w:color="365F91"/>
              <w:bottom w:val="single" w:sz="4" w:space="0" w:color="365F91"/>
            </w:tcBorders>
          </w:tcPr>
          <w:p w14:paraId="79028B54" w14:textId="77777777" w:rsidR="00005A00" w:rsidRPr="00256982" w:rsidRDefault="00005A00" w:rsidP="00AA14F1">
            <w:pPr>
              <w:pStyle w:val="TableText"/>
              <w:spacing w:before="50" w:after="50"/>
            </w:pPr>
            <w:r w:rsidRPr="00256982">
              <w:t>Interpolation</w:t>
            </w:r>
          </w:p>
        </w:tc>
      </w:tr>
      <w:tr w:rsidR="00005A00" w:rsidRPr="00256982" w14:paraId="72A2988A" w14:textId="77777777" w:rsidTr="00AA14F1">
        <w:tc>
          <w:tcPr>
            <w:tcW w:w="1006" w:type="dxa"/>
            <w:tcBorders>
              <w:top w:val="single" w:sz="4" w:space="0" w:color="365F91"/>
              <w:bottom w:val="single" w:sz="4" w:space="0" w:color="365F91"/>
            </w:tcBorders>
          </w:tcPr>
          <w:p w14:paraId="54B86F3C" w14:textId="77777777" w:rsidR="00005A00" w:rsidRPr="00256982" w:rsidRDefault="00005A00" w:rsidP="00AA14F1">
            <w:pPr>
              <w:pStyle w:val="TableTextBold"/>
              <w:spacing w:before="50" w:after="50"/>
              <w:rPr>
                <w:noProof w:val="0"/>
              </w:rPr>
            </w:pPr>
            <w:r w:rsidRPr="00256982">
              <w:rPr>
                <w:noProof w:val="0"/>
              </w:rPr>
              <w:t>2001</w:t>
            </w:r>
          </w:p>
        </w:tc>
        <w:tc>
          <w:tcPr>
            <w:tcW w:w="713" w:type="dxa"/>
            <w:tcBorders>
              <w:top w:val="single" w:sz="4" w:space="0" w:color="365F91"/>
              <w:bottom w:val="single" w:sz="4" w:space="0" w:color="365F91"/>
            </w:tcBorders>
            <w:shd w:val="clear" w:color="auto" w:fill="auto"/>
          </w:tcPr>
          <w:p w14:paraId="4290217F" w14:textId="77777777" w:rsidR="00005A00" w:rsidRPr="00256982" w:rsidRDefault="00005A00" w:rsidP="00AA14F1">
            <w:pPr>
              <w:pStyle w:val="TableText"/>
              <w:spacing w:before="50" w:after="50"/>
              <w:jc w:val="center"/>
            </w:pPr>
            <w:r w:rsidRPr="00256982">
              <w:t>15</w:t>
            </w:r>
          </w:p>
        </w:tc>
        <w:tc>
          <w:tcPr>
            <w:tcW w:w="849" w:type="dxa"/>
            <w:tcBorders>
              <w:top w:val="single" w:sz="4" w:space="0" w:color="365F91"/>
              <w:bottom w:val="single" w:sz="4" w:space="0" w:color="365F91"/>
            </w:tcBorders>
            <w:shd w:val="clear" w:color="auto" w:fill="auto"/>
          </w:tcPr>
          <w:p w14:paraId="2E61D0AA" w14:textId="77777777" w:rsidR="00005A00" w:rsidRPr="00256982" w:rsidRDefault="00005A00" w:rsidP="00AA14F1">
            <w:pPr>
              <w:pStyle w:val="TableText"/>
              <w:spacing w:before="50" w:after="50"/>
              <w:jc w:val="center"/>
            </w:pPr>
            <w:r w:rsidRPr="00256982">
              <w:t>10</w:t>
            </w:r>
          </w:p>
        </w:tc>
        <w:tc>
          <w:tcPr>
            <w:tcW w:w="790" w:type="dxa"/>
            <w:tcBorders>
              <w:top w:val="single" w:sz="4" w:space="0" w:color="365F91"/>
              <w:bottom w:val="single" w:sz="4" w:space="0" w:color="365F91"/>
            </w:tcBorders>
            <w:shd w:val="clear" w:color="auto" w:fill="auto"/>
          </w:tcPr>
          <w:p w14:paraId="798EE731" w14:textId="77777777" w:rsidR="00005A00" w:rsidRPr="00256982" w:rsidRDefault="00005A00" w:rsidP="00AA14F1">
            <w:pPr>
              <w:pStyle w:val="TableText"/>
              <w:spacing w:before="50" w:after="50"/>
              <w:jc w:val="center"/>
            </w:pPr>
            <w:r w:rsidRPr="00256982">
              <w:t>15</w:t>
            </w:r>
          </w:p>
        </w:tc>
        <w:tc>
          <w:tcPr>
            <w:tcW w:w="739" w:type="dxa"/>
            <w:tcBorders>
              <w:top w:val="single" w:sz="4" w:space="0" w:color="365F91"/>
              <w:bottom w:val="single" w:sz="4" w:space="0" w:color="365F91"/>
            </w:tcBorders>
            <w:shd w:val="clear" w:color="auto" w:fill="auto"/>
          </w:tcPr>
          <w:p w14:paraId="7A48300B" w14:textId="77777777" w:rsidR="00005A00" w:rsidRPr="00256982" w:rsidRDefault="00005A00" w:rsidP="00AA14F1">
            <w:pPr>
              <w:pStyle w:val="TableText"/>
              <w:spacing w:before="50" w:after="50"/>
              <w:jc w:val="center"/>
            </w:pPr>
            <w:r w:rsidRPr="00256982">
              <w:t>12</w:t>
            </w:r>
          </w:p>
        </w:tc>
        <w:tc>
          <w:tcPr>
            <w:tcW w:w="836" w:type="dxa"/>
            <w:tcBorders>
              <w:top w:val="single" w:sz="4" w:space="0" w:color="365F91"/>
              <w:bottom w:val="single" w:sz="4" w:space="0" w:color="365F91"/>
            </w:tcBorders>
            <w:shd w:val="clear" w:color="auto" w:fill="auto"/>
          </w:tcPr>
          <w:p w14:paraId="3E680FE8" w14:textId="77777777" w:rsidR="00005A00" w:rsidRPr="00256982" w:rsidRDefault="00005A00" w:rsidP="00AA14F1">
            <w:pPr>
              <w:pStyle w:val="TableText"/>
              <w:spacing w:before="50" w:after="50"/>
              <w:jc w:val="center"/>
            </w:pPr>
            <w:r w:rsidRPr="00256982">
              <w:t>3</w:t>
            </w:r>
          </w:p>
        </w:tc>
        <w:tc>
          <w:tcPr>
            <w:tcW w:w="917" w:type="dxa"/>
            <w:tcBorders>
              <w:top w:val="single" w:sz="4" w:space="0" w:color="365F91"/>
              <w:bottom w:val="single" w:sz="4" w:space="0" w:color="365F91"/>
            </w:tcBorders>
            <w:shd w:val="clear" w:color="auto" w:fill="auto"/>
          </w:tcPr>
          <w:p w14:paraId="3936FF23" w14:textId="77777777" w:rsidR="00005A00" w:rsidRPr="00256982" w:rsidRDefault="00005A00" w:rsidP="00AA14F1">
            <w:pPr>
              <w:pStyle w:val="TableText"/>
              <w:spacing w:before="50" w:after="50"/>
              <w:jc w:val="center"/>
            </w:pPr>
            <w:r w:rsidRPr="00256982">
              <w:t>3</w:t>
            </w:r>
          </w:p>
        </w:tc>
        <w:tc>
          <w:tcPr>
            <w:tcW w:w="742" w:type="dxa"/>
            <w:tcBorders>
              <w:top w:val="single" w:sz="4" w:space="0" w:color="365F91"/>
              <w:bottom w:val="single" w:sz="4" w:space="0" w:color="365F91"/>
            </w:tcBorders>
            <w:shd w:val="clear" w:color="auto" w:fill="auto"/>
          </w:tcPr>
          <w:p w14:paraId="0DE6C2FA" w14:textId="77777777" w:rsidR="00005A00" w:rsidRPr="00256982" w:rsidRDefault="00005A00" w:rsidP="00AA14F1">
            <w:pPr>
              <w:pStyle w:val="TableText"/>
              <w:spacing w:before="50" w:after="50"/>
              <w:jc w:val="center"/>
            </w:pPr>
            <w:r w:rsidRPr="00256982">
              <w:t>43</w:t>
            </w:r>
          </w:p>
        </w:tc>
        <w:tc>
          <w:tcPr>
            <w:tcW w:w="1341" w:type="dxa"/>
            <w:tcBorders>
              <w:top w:val="single" w:sz="4" w:space="0" w:color="365F91"/>
              <w:bottom w:val="single" w:sz="4" w:space="0" w:color="365F91"/>
            </w:tcBorders>
          </w:tcPr>
          <w:p w14:paraId="68D29B74" w14:textId="77777777" w:rsidR="00005A00" w:rsidRPr="00256982" w:rsidRDefault="00005A00" w:rsidP="00AA14F1">
            <w:pPr>
              <w:pStyle w:val="TableText"/>
              <w:spacing w:before="50" w:after="50"/>
            </w:pPr>
            <w:r w:rsidRPr="00256982">
              <w:t>Interpolation</w:t>
            </w:r>
          </w:p>
        </w:tc>
      </w:tr>
      <w:tr w:rsidR="00005A00" w:rsidRPr="00256982" w14:paraId="6CF04090" w14:textId="77777777" w:rsidTr="00AA14F1">
        <w:tc>
          <w:tcPr>
            <w:tcW w:w="1006" w:type="dxa"/>
            <w:tcBorders>
              <w:top w:val="single" w:sz="4" w:space="0" w:color="365F91"/>
              <w:bottom w:val="single" w:sz="4" w:space="0" w:color="365F91"/>
            </w:tcBorders>
          </w:tcPr>
          <w:p w14:paraId="62C2D972" w14:textId="77777777" w:rsidR="00005A00" w:rsidRPr="00256982" w:rsidRDefault="00005A00" w:rsidP="00AA14F1">
            <w:pPr>
              <w:pStyle w:val="TableTextBold"/>
              <w:spacing w:before="50" w:after="50"/>
              <w:rPr>
                <w:noProof w:val="0"/>
              </w:rPr>
            </w:pPr>
            <w:r w:rsidRPr="00256982">
              <w:rPr>
                <w:noProof w:val="0"/>
              </w:rPr>
              <w:t>2002</w:t>
            </w:r>
          </w:p>
        </w:tc>
        <w:tc>
          <w:tcPr>
            <w:tcW w:w="713" w:type="dxa"/>
            <w:tcBorders>
              <w:top w:val="single" w:sz="4" w:space="0" w:color="365F91"/>
              <w:bottom w:val="single" w:sz="4" w:space="0" w:color="365F91"/>
            </w:tcBorders>
            <w:shd w:val="clear" w:color="auto" w:fill="auto"/>
          </w:tcPr>
          <w:p w14:paraId="681CD93B" w14:textId="77777777" w:rsidR="00005A00" w:rsidRPr="00256982" w:rsidRDefault="00005A00" w:rsidP="00AA14F1">
            <w:pPr>
              <w:pStyle w:val="TableText"/>
              <w:spacing w:before="50" w:after="50"/>
              <w:jc w:val="center"/>
            </w:pPr>
            <w:r w:rsidRPr="00256982">
              <w:t>15</w:t>
            </w:r>
          </w:p>
        </w:tc>
        <w:tc>
          <w:tcPr>
            <w:tcW w:w="849" w:type="dxa"/>
            <w:tcBorders>
              <w:top w:val="single" w:sz="4" w:space="0" w:color="365F91"/>
              <w:bottom w:val="single" w:sz="4" w:space="0" w:color="365F91"/>
            </w:tcBorders>
            <w:shd w:val="clear" w:color="auto" w:fill="auto"/>
          </w:tcPr>
          <w:p w14:paraId="35C69F13" w14:textId="77777777" w:rsidR="00005A00" w:rsidRPr="00256982" w:rsidRDefault="00005A00" w:rsidP="00AA14F1">
            <w:pPr>
              <w:pStyle w:val="TableText"/>
              <w:spacing w:before="50" w:after="50"/>
              <w:jc w:val="center"/>
              <w:rPr>
                <w:rFonts w:cs="Arial"/>
                <w:szCs w:val="16"/>
              </w:rPr>
            </w:pPr>
            <w:r w:rsidRPr="00256982">
              <w:rPr>
                <w:rFonts w:cs="Arial"/>
                <w:szCs w:val="16"/>
              </w:rPr>
              <w:t>10</w:t>
            </w:r>
          </w:p>
        </w:tc>
        <w:tc>
          <w:tcPr>
            <w:tcW w:w="790" w:type="dxa"/>
            <w:tcBorders>
              <w:top w:val="single" w:sz="4" w:space="0" w:color="365F91"/>
              <w:bottom w:val="single" w:sz="4" w:space="0" w:color="365F91"/>
            </w:tcBorders>
            <w:shd w:val="clear" w:color="auto" w:fill="auto"/>
          </w:tcPr>
          <w:p w14:paraId="1FD1724C" w14:textId="77777777" w:rsidR="00005A00" w:rsidRPr="00256982" w:rsidRDefault="00005A00" w:rsidP="00AA14F1">
            <w:pPr>
              <w:pStyle w:val="TableText"/>
              <w:spacing w:before="50" w:after="50"/>
              <w:jc w:val="center"/>
              <w:rPr>
                <w:rFonts w:cs="Arial"/>
                <w:szCs w:val="16"/>
              </w:rPr>
            </w:pPr>
            <w:r w:rsidRPr="00256982">
              <w:rPr>
                <w:rFonts w:cs="Arial"/>
                <w:szCs w:val="16"/>
              </w:rPr>
              <w:t>15</w:t>
            </w:r>
          </w:p>
        </w:tc>
        <w:tc>
          <w:tcPr>
            <w:tcW w:w="739" w:type="dxa"/>
            <w:tcBorders>
              <w:top w:val="single" w:sz="4" w:space="0" w:color="365F91"/>
              <w:bottom w:val="single" w:sz="4" w:space="0" w:color="365F91"/>
            </w:tcBorders>
            <w:shd w:val="clear" w:color="auto" w:fill="auto"/>
          </w:tcPr>
          <w:p w14:paraId="411A91A5" w14:textId="77777777" w:rsidR="00005A00" w:rsidRPr="00256982" w:rsidRDefault="00005A00" w:rsidP="00AA14F1">
            <w:pPr>
              <w:pStyle w:val="TableText"/>
              <w:spacing w:before="50" w:after="50"/>
              <w:jc w:val="center"/>
              <w:rPr>
                <w:rFonts w:cs="Arial"/>
                <w:szCs w:val="16"/>
              </w:rPr>
            </w:pPr>
            <w:r w:rsidRPr="00256982">
              <w:rPr>
                <w:rFonts w:cs="Arial"/>
                <w:szCs w:val="16"/>
              </w:rPr>
              <w:t>12</w:t>
            </w:r>
          </w:p>
        </w:tc>
        <w:tc>
          <w:tcPr>
            <w:tcW w:w="836" w:type="dxa"/>
            <w:tcBorders>
              <w:top w:val="single" w:sz="4" w:space="0" w:color="365F91"/>
              <w:bottom w:val="single" w:sz="4" w:space="0" w:color="365F91"/>
            </w:tcBorders>
            <w:shd w:val="clear" w:color="auto" w:fill="auto"/>
          </w:tcPr>
          <w:p w14:paraId="33523E16" w14:textId="77777777" w:rsidR="00005A00" w:rsidRPr="00256982" w:rsidRDefault="00005A00" w:rsidP="00AA14F1">
            <w:pPr>
              <w:pStyle w:val="TableText"/>
              <w:spacing w:before="50" w:after="50"/>
              <w:jc w:val="center"/>
              <w:rPr>
                <w:rFonts w:cs="Arial"/>
                <w:szCs w:val="16"/>
              </w:rPr>
            </w:pPr>
            <w:r w:rsidRPr="00256982">
              <w:rPr>
                <w:rFonts w:cs="Arial"/>
                <w:szCs w:val="16"/>
              </w:rPr>
              <w:t>3</w:t>
            </w:r>
          </w:p>
        </w:tc>
        <w:tc>
          <w:tcPr>
            <w:tcW w:w="917" w:type="dxa"/>
            <w:tcBorders>
              <w:top w:val="single" w:sz="4" w:space="0" w:color="365F91"/>
              <w:bottom w:val="single" w:sz="4" w:space="0" w:color="365F91"/>
            </w:tcBorders>
            <w:shd w:val="clear" w:color="auto" w:fill="auto"/>
          </w:tcPr>
          <w:p w14:paraId="75248EFB" w14:textId="77777777" w:rsidR="00005A00" w:rsidRPr="00256982" w:rsidRDefault="00005A00" w:rsidP="00AA14F1">
            <w:pPr>
              <w:pStyle w:val="TableText"/>
              <w:spacing w:before="50" w:after="50"/>
              <w:jc w:val="center"/>
              <w:rPr>
                <w:rFonts w:cs="Arial"/>
                <w:szCs w:val="16"/>
              </w:rPr>
            </w:pPr>
            <w:r w:rsidRPr="00256982">
              <w:rPr>
                <w:rFonts w:cs="Arial"/>
                <w:szCs w:val="16"/>
              </w:rPr>
              <w:t>3</w:t>
            </w:r>
          </w:p>
        </w:tc>
        <w:tc>
          <w:tcPr>
            <w:tcW w:w="742" w:type="dxa"/>
            <w:tcBorders>
              <w:top w:val="single" w:sz="4" w:space="0" w:color="365F91"/>
              <w:bottom w:val="single" w:sz="4" w:space="0" w:color="365F91"/>
            </w:tcBorders>
            <w:shd w:val="clear" w:color="auto" w:fill="auto"/>
          </w:tcPr>
          <w:p w14:paraId="168E2DD8" w14:textId="77777777" w:rsidR="00005A00" w:rsidRPr="00256982" w:rsidRDefault="00005A00" w:rsidP="00AA14F1">
            <w:pPr>
              <w:pStyle w:val="TableText"/>
              <w:spacing w:before="50" w:after="50"/>
              <w:jc w:val="center"/>
              <w:rPr>
                <w:rFonts w:cs="Arial"/>
                <w:szCs w:val="16"/>
              </w:rPr>
            </w:pPr>
            <w:r w:rsidRPr="00256982">
              <w:rPr>
                <w:rFonts w:cs="Arial"/>
                <w:szCs w:val="16"/>
              </w:rPr>
              <w:t>42</w:t>
            </w:r>
          </w:p>
        </w:tc>
        <w:tc>
          <w:tcPr>
            <w:tcW w:w="1341" w:type="dxa"/>
            <w:tcBorders>
              <w:top w:val="single" w:sz="4" w:space="0" w:color="365F91"/>
              <w:bottom w:val="single" w:sz="4" w:space="0" w:color="365F91"/>
            </w:tcBorders>
          </w:tcPr>
          <w:p w14:paraId="67817848" w14:textId="77777777" w:rsidR="00005A00" w:rsidRPr="00256982" w:rsidRDefault="00005A00" w:rsidP="00AA14F1">
            <w:pPr>
              <w:pStyle w:val="TableText"/>
              <w:spacing w:before="50" w:after="50"/>
              <w:rPr>
                <w:rFonts w:cs="Arial"/>
                <w:szCs w:val="16"/>
              </w:rPr>
            </w:pPr>
            <w:r w:rsidRPr="00256982">
              <w:t>Interpolation</w:t>
            </w:r>
          </w:p>
        </w:tc>
      </w:tr>
      <w:tr w:rsidR="00005A00" w:rsidRPr="00256982" w14:paraId="6F721E8A" w14:textId="77777777" w:rsidTr="00AA14F1">
        <w:tc>
          <w:tcPr>
            <w:tcW w:w="1006" w:type="dxa"/>
            <w:tcBorders>
              <w:top w:val="single" w:sz="4" w:space="0" w:color="365F91"/>
              <w:bottom w:val="single" w:sz="4" w:space="0" w:color="365F91"/>
            </w:tcBorders>
          </w:tcPr>
          <w:p w14:paraId="57E9CF6B" w14:textId="77777777" w:rsidR="00005A00" w:rsidRPr="00256982" w:rsidRDefault="00005A00" w:rsidP="00AA14F1">
            <w:pPr>
              <w:pStyle w:val="TableTextBold"/>
              <w:spacing w:before="50" w:after="50"/>
              <w:rPr>
                <w:noProof w:val="0"/>
              </w:rPr>
            </w:pPr>
            <w:r w:rsidRPr="00256982">
              <w:rPr>
                <w:noProof w:val="0"/>
              </w:rPr>
              <w:t>2003</w:t>
            </w:r>
          </w:p>
        </w:tc>
        <w:tc>
          <w:tcPr>
            <w:tcW w:w="713" w:type="dxa"/>
            <w:tcBorders>
              <w:top w:val="single" w:sz="4" w:space="0" w:color="365F91"/>
              <w:bottom w:val="single" w:sz="4" w:space="0" w:color="365F91"/>
            </w:tcBorders>
            <w:shd w:val="clear" w:color="auto" w:fill="auto"/>
          </w:tcPr>
          <w:p w14:paraId="3FC7267F" w14:textId="77777777" w:rsidR="00005A00" w:rsidRPr="00256982" w:rsidRDefault="00005A00" w:rsidP="00AA14F1">
            <w:pPr>
              <w:pStyle w:val="TableText"/>
              <w:spacing w:before="50" w:after="50"/>
              <w:jc w:val="center"/>
            </w:pPr>
            <w:r w:rsidRPr="00256982">
              <w:t>15</w:t>
            </w:r>
          </w:p>
        </w:tc>
        <w:tc>
          <w:tcPr>
            <w:tcW w:w="849" w:type="dxa"/>
            <w:tcBorders>
              <w:top w:val="single" w:sz="4" w:space="0" w:color="365F91"/>
              <w:bottom w:val="single" w:sz="4" w:space="0" w:color="365F91"/>
            </w:tcBorders>
            <w:shd w:val="clear" w:color="auto" w:fill="auto"/>
          </w:tcPr>
          <w:p w14:paraId="561C9BD2" w14:textId="77777777" w:rsidR="00005A00" w:rsidRPr="00256982" w:rsidRDefault="00005A00" w:rsidP="00AA14F1">
            <w:pPr>
              <w:pStyle w:val="TableText"/>
              <w:spacing w:before="50" w:after="50"/>
              <w:jc w:val="center"/>
              <w:rPr>
                <w:rFonts w:cs="Arial"/>
                <w:szCs w:val="16"/>
              </w:rPr>
            </w:pPr>
            <w:r w:rsidRPr="00256982">
              <w:rPr>
                <w:rFonts w:cs="Arial"/>
                <w:szCs w:val="16"/>
              </w:rPr>
              <w:t>9</w:t>
            </w:r>
          </w:p>
        </w:tc>
        <w:tc>
          <w:tcPr>
            <w:tcW w:w="790" w:type="dxa"/>
            <w:tcBorders>
              <w:top w:val="single" w:sz="4" w:space="0" w:color="365F91"/>
              <w:bottom w:val="single" w:sz="4" w:space="0" w:color="365F91"/>
            </w:tcBorders>
            <w:shd w:val="clear" w:color="auto" w:fill="auto"/>
          </w:tcPr>
          <w:p w14:paraId="22929E48" w14:textId="77777777" w:rsidR="00005A00" w:rsidRPr="00256982" w:rsidRDefault="00005A00" w:rsidP="00AA14F1">
            <w:pPr>
              <w:pStyle w:val="TableText"/>
              <w:spacing w:before="50" w:after="50"/>
              <w:jc w:val="center"/>
              <w:rPr>
                <w:rFonts w:cs="Arial"/>
                <w:szCs w:val="16"/>
              </w:rPr>
            </w:pPr>
            <w:r w:rsidRPr="00256982">
              <w:rPr>
                <w:rFonts w:cs="Arial"/>
                <w:szCs w:val="16"/>
              </w:rPr>
              <w:t>15</w:t>
            </w:r>
          </w:p>
        </w:tc>
        <w:tc>
          <w:tcPr>
            <w:tcW w:w="739" w:type="dxa"/>
            <w:tcBorders>
              <w:top w:val="single" w:sz="4" w:space="0" w:color="365F91"/>
              <w:bottom w:val="single" w:sz="4" w:space="0" w:color="365F91"/>
            </w:tcBorders>
            <w:shd w:val="clear" w:color="auto" w:fill="auto"/>
          </w:tcPr>
          <w:p w14:paraId="6DCF0592" w14:textId="77777777" w:rsidR="00005A00" w:rsidRPr="00256982" w:rsidRDefault="00005A00" w:rsidP="00AA14F1">
            <w:pPr>
              <w:pStyle w:val="TableText"/>
              <w:spacing w:before="50" w:after="50"/>
              <w:jc w:val="center"/>
              <w:rPr>
                <w:rFonts w:cs="Arial"/>
                <w:szCs w:val="16"/>
              </w:rPr>
            </w:pPr>
            <w:r w:rsidRPr="00256982">
              <w:rPr>
                <w:rFonts w:cs="Arial"/>
                <w:szCs w:val="16"/>
              </w:rPr>
              <w:t>13</w:t>
            </w:r>
          </w:p>
        </w:tc>
        <w:tc>
          <w:tcPr>
            <w:tcW w:w="836" w:type="dxa"/>
            <w:tcBorders>
              <w:top w:val="single" w:sz="4" w:space="0" w:color="365F91"/>
              <w:bottom w:val="single" w:sz="4" w:space="0" w:color="365F91"/>
            </w:tcBorders>
            <w:shd w:val="clear" w:color="auto" w:fill="auto"/>
          </w:tcPr>
          <w:p w14:paraId="3A15B4F1" w14:textId="77777777" w:rsidR="00005A00" w:rsidRPr="00256982" w:rsidRDefault="00005A00" w:rsidP="00AA14F1">
            <w:pPr>
              <w:pStyle w:val="TableText"/>
              <w:spacing w:before="50" w:after="50"/>
              <w:jc w:val="center"/>
              <w:rPr>
                <w:rFonts w:cs="Arial"/>
                <w:szCs w:val="16"/>
              </w:rPr>
            </w:pPr>
            <w:r w:rsidRPr="00256982">
              <w:rPr>
                <w:rFonts w:cs="Arial"/>
                <w:szCs w:val="16"/>
              </w:rPr>
              <w:t>4</w:t>
            </w:r>
          </w:p>
        </w:tc>
        <w:tc>
          <w:tcPr>
            <w:tcW w:w="917" w:type="dxa"/>
            <w:tcBorders>
              <w:top w:val="single" w:sz="4" w:space="0" w:color="365F91"/>
              <w:bottom w:val="single" w:sz="4" w:space="0" w:color="365F91"/>
            </w:tcBorders>
            <w:shd w:val="clear" w:color="auto" w:fill="auto"/>
          </w:tcPr>
          <w:p w14:paraId="6DCB419D" w14:textId="77777777" w:rsidR="00005A00" w:rsidRPr="00256982" w:rsidRDefault="00005A00" w:rsidP="00AA14F1">
            <w:pPr>
              <w:pStyle w:val="TableText"/>
              <w:spacing w:before="50" w:after="50"/>
              <w:jc w:val="center"/>
              <w:rPr>
                <w:rFonts w:cs="Arial"/>
                <w:szCs w:val="16"/>
              </w:rPr>
            </w:pPr>
            <w:r w:rsidRPr="00256982">
              <w:rPr>
                <w:rFonts w:cs="Arial"/>
                <w:szCs w:val="16"/>
              </w:rPr>
              <w:t>3</w:t>
            </w:r>
          </w:p>
        </w:tc>
        <w:tc>
          <w:tcPr>
            <w:tcW w:w="742" w:type="dxa"/>
            <w:tcBorders>
              <w:top w:val="single" w:sz="4" w:space="0" w:color="365F91"/>
              <w:bottom w:val="single" w:sz="4" w:space="0" w:color="365F91"/>
            </w:tcBorders>
            <w:shd w:val="clear" w:color="auto" w:fill="auto"/>
          </w:tcPr>
          <w:p w14:paraId="29A1097D" w14:textId="77777777" w:rsidR="00005A00" w:rsidRPr="00256982" w:rsidRDefault="00005A00" w:rsidP="00AA14F1">
            <w:pPr>
              <w:pStyle w:val="TableText"/>
              <w:spacing w:before="50" w:after="50"/>
              <w:jc w:val="center"/>
              <w:rPr>
                <w:rFonts w:cs="Arial"/>
                <w:szCs w:val="16"/>
              </w:rPr>
            </w:pPr>
            <w:r w:rsidRPr="00256982">
              <w:rPr>
                <w:rFonts w:cs="Arial"/>
                <w:szCs w:val="16"/>
              </w:rPr>
              <w:t>42</w:t>
            </w:r>
          </w:p>
        </w:tc>
        <w:tc>
          <w:tcPr>
            <w:tcW w:w="1341" w:type="dxa"/>
            <w:tcBorders>
              <w:top w:val="single" w:sz="4" w:space="0" w:color="365F91"/>
              <w:bottom w:val="single" w:sz="4" w:space="0" w:color="365F91"/>
            </w:tcBorders>
          </w:tcPr>
          <w:p w14:paraId="21F5D827" w14:textId="77777777" w:rsidR="00005A00" w:rsidRPr="00256982" w:rsidRDefault="00005A00" w:rsidP="00AA14F1">
            <w:pPr>
              <w:pStyle w:val="TableText"/>
              <w:spacing w:before="50" w:after="50"/>
              <w:rPr>
                <w:rFonts w:cs="Arial"/>
                <w:szCs w:val="16"/>
              </w:rPr>
            </w:pPr>
            <w:r w:rsidRPr="00256982">
              <w:t>Interpolation</w:t>
            </w:r>
          </w:p>
        </w:tc>
      </w:tr>
      <w:tr w:rsidR="00005A00" w:rsidRPr="00256982" w14:paraId="493A39CA" w14:textId="77777777" w:rsidTr="00AA14F1">
        <w:tc>
          <w:tcPr>
            <w:tcW w:w="1006" w:type="dxa"/>
            <w:tcBorders>
              <w:top w:val="single" w:sz="4" w:space="0" w:color="365F91"/>
              <w:bottom w:val="single" w:sz="4" w:space="0" w:color="365F91"/>
            </w:tcBorders>
          </w:tcPr>
          <w:p w14:paraId="080A9430" w14:textId="77777777" w:rsidR="00005A00" w:rsidRPr="00256982" w:rsidRDefault="00005A00" w:rsidP="00AA14F1">
            <w:pPr>
              <w:pStyle w:val="TableTextBold"/>
              <w:spacing w:before="50" w:after="50"/>
              <w:rPr>
                <w:noProof w:val="0"/>
              </w:rPr>
            </w:pPr>
            <w:r w:rsidRPr="00256982">
              <w:rPr>
                <w:noProof w:val="0"/>
              </w:rPr>
              <w:t>2004</w:t>
            </w:r>
          </w:p>
        </w:tc>
        <w:tc>
          <w:tcPr>
            <w:tcW w:w="713" w:type="dxa"/>
            <w:tcBorders>
              <w:top w:val="single" w:sz="4" w:space="0" w:color="365F91"/>
              <w:bottom w:val="single" w:sz="4" w:space="0" w:color="365F91"/>
            </w:tcBorders>
            <w:shd w:val="clear" w:color="auto" w:fill="auto"/>
          </w:tcPr>
          <w:p w14:paraId="18E3B940" w14:textId="77777777" w:rsidR="00005A00" w:rsidRPr="00256982" w:rsidRDefault="00005A00" w:rsidP="00AA14F1">
            <w:pPr>
              <w:pStyle w:val="TableText"/>
              <w:spacing w:before="50" w:after="50"/>
              <w:jc w:val="center"/>
            </w:pPr>
            <w:r w:rsidRPr="00256982">
              <w:t>14</w:t>
            </w:r>
          </w:p>
        </w:tc>
        <w:tc>
          <w:tcPr>
            <w:tcW w:w="849" w:type="dxa"/>
            <w:tcBorders>
              <w:top w:val="single" w:sz="4" w:space="0" w:color="365F91"/>
              <w:bottom w:val="single" w:sz="4" w:space="0" w:color="365F91"/>
            </w:tcBorders>
            <w:shd w:val="clear" w:color="auto" w:fill="auto"/>
          </w:tcPr>
          <w:p w14:paraId="73468E7C" w14:textId="77777777" w:rsidR="00005A00" w:rsidRPr="00256982" w:rsidRDefault="00005A00" w:rsidP="00AA14F1">
            <w:pPr>
              <w:pStyle w:val="TableText"/>
              <w:spacing w:before="50" w:after="50"/>
              <w:jc w:val="center"/>
              <w:rPr>
                <w:rFonts w:cs="Arial"/>
                <w:szCs w:val="16"/>
              </w:rPr>
            </w:pPr>
            <w:r w:rsidRPr="00256982">
              <w:rPr>
                <w:rFonts w:cs="Arial"/>
                <w:szCs w:val="16"/>
              </w:rPr>
              <w:t>9</w:t>
            </w:r>
          </w:p>
        </w:tc>
        <w:tc>
          <w:tcPr>
            <w:tcW w:w="790" w:type="dxa"/>
            <w:tcBorders>
              <w:top w:val="single" w:sz="4" w:space="0" w:color="365F91"/>
              <w:bottom w:val="single" w:sz="4" w:space="0" w:color="365F91"/>
            </w:tcBorders>
            <w:shd w:val="clear" w:color="auto" w:fill="auto"/>
          </w:tcPr>
          <w:p w14:paraId="74D51AC3" w14:textId="77777777" w:rsidR="00005A00" w:rsidRPr="00256982" w:rsidRDefault="00005A00" w:rsidP="00AA14F1">
            <w:pPr>
              <w:pStyle w:val="TableText"/>
              <w:spacing w:before="50" w:after="50"/>
              <w:jc w:val="center"/>
              <w:rPr>
                <w:rFonts w:cs="Arial"/>
                <w:szCs w:val="16"/>
              </w:rPr>
            </w:pPr>
            <w:r w:rsidRPr="00256982">
              <w:rPr>
                <w:rFonts w:cs="Arial"/>
                <w:szCs w:val="16"/>
              </w:rPr>
              <w:t>15</w:t>
            </w:r>
          </w:p>
        </w:tc>
        <w:tc>
          <w:tcPr>
            <w:tcW w:w="739" w:type="dxa"/>
            <w:tcBorders>
              <w:top w:val="single" w:sz="4" w:space="0" w:color="365F91"/>
              <w:bottom w:val="single" w:sz="4" w:space="0" w:color="365F91"/>
            </w:tcBorders>
            <w:shd w:val="clear" w:color="auto" w:fill="auto"/>
          </w:tcPr>
          <w:p w14:paraId="2E70A473" w14:textId="77777777" w:rsidR="00005A00" w:rsidRPr="00256982" w:rsidRDefault="00005A00" w:rsidP="00AA14F1">
            <w:pPr>
              <w:pStyle w:val="TableText"/>
              <w:spacing w:before="50" w:after="50"/>
              <w:jc w:val="center"/>
              <w:rPr>
                <w:rFonts w:cs="Arial"/>
                <w:szCs w:val="16"/>
              </w:rPr>
            </w:pPr>
            <w:r w:rsidRPr="00256982">
              <w:rPr>
                <w:rFonts w:cs="Arial"/>
                <w:szCs w:val="16"/>
              </w:rPr>
              <w:t>14</w:t>
            </w:r>
          </w:p>
        </w:tc>
        <w:tc>
          <w:tcPr>
            <w:tcW w:w="836" w:type="dxa"/>
            <w:tcBorders>
              <w:top w:val="single" w:sz="4" w:space="0" w:color="365F91"/>
              <w:bottom w:val="single" w:sz="4" w:space="0" w:color="365F91"/>
            </w:tcBorders>
            <w:shd w:val="clear" w:color="auto" w:fill="auto"/>
          </w:tcPr>
          <w:p w14:paraId="3261A220" w14:textId="77777777" w:rsidR="00005A00" w:rsidRPr="00256982" w:rsidRDefault="00005A00" w:rsidP="00AA14F1">
            <w:pPr>
              <w:pStyle w:val="TableText"/>
              <w:spacing w:before="50" w:after="50"/>
              <w:jc w:val="center"/>
              <w:rPr>
                <w:rFonts w:cs="Arial"/>
                <w:szCs w:val="16"/>
              </w:rPr>
            </w:pPr>
            <w:r w:rsidRPr="00256982">
              <w:rPr>
                <w:rFonts w:cs="Arial"/>
                <w:szCs w:val="16"/>
              </w:rPr>
              <w:t>4</w:t>
            </w:r>
          </w:p>
        </w:tc>
        <w:tc>
          <w:tcPr>
            <w:tcW w:w="917" w:type="dxa"/>
            <w:tcBorders>
              <w:top w:val="single" w:sz="4" w:space="0" w:color="365F91"/>
              <w:bottom w:val="single" w:sz="4" w:space="0" w:color="365F91"/>
            </w:tcBorders>
            <w:shd w:val="clear" w:color="auto" w:fill="auto"/>
          </w:tcPr>
          <w:p w14:paraId="66957100" w14:textId="77777777" w:rsidR="00005A00" w:rsidRPr="00256982" w:rsidRDefault="00005A00" w:rsidP="00AA14F1">
            <w:pPr>
              <w:pStyle w:val="TableText"/>
              <w:spacing w:before="50" w:after="50"/>
              <w:jc w:val="center"/>
              <w:rPr>
                <w:rFonts w:cs="Arial"/>
                <w:szCs w:val="16"/>
              </w:rPr>
            </w:pPr>
            <w:r w:rsidRPr="00256982">
              <w:rPr>
                <w:rFonts w:cs="Arial"/>
                <w:szCs w:val="16"/>
              </w:rPr>
              <w:t>3</w:t>
            </w:r>
          </w:p>
        </w:tc>
        <w:tc>
          <w:tcPr>
            <w:tcW w:w="742" w:type="dxa"/>
            <w:tcBorders>
              <w:top w:val="single" w:sz="4" w:space="0" w:color="365F91"/>
              <w:bottom w:val="single" w:sz="4" w:space="0" w:color="365F91"/>
            </w:tcBorders>
            <w:shd w:val="clear" w:color="auto" w:fill="auto"/>
          </w:tcPr>
          <w:p w14:paraId="0E1D02DE" w14:textId="77777777" w:rsidR="00005A00" w:rsidRPr="00256982" w:rsidRDefault="00005A00" w:rsidP="00AA14F1">
            <w:pPr>
              <w:pStyle w:val="TableText"/>
              <w:spacing w:before="50" w:after="50"/>
              <w:jc w:val="center"/>
              <w:rPr>
                <w:rFonts w:cs="Arial"/>
                <w:szCs w:val="16"/>
              </w:rPr>
            </w:pPr>
            <w:r w:rsidRPr="00256982">
              <w:rPr>
                <w:rFonts w:cs="Arial"/>
                <w:szCs w:val="16"/>
              </w:rPr>
              <w:t>41</w:t>
            </w:r>
          </w:p>
        </w:tc>
        <w:tc>
          <w:tcPr>
            <w:tcW w:w="1341" w:type="dxa"/>
            <w:tcBorders>
              <w:top w:val="single" w:sz="4" w:space="0" w:color="365F91"/>
              <w:bottom w:val="single" w:sz="4" w:space="0" w:color="365F91"/>
            </w:tcBorders>
          </w:tcPr>
          <w:p w14:paraId="0A03A76A" w14:textId="77777777" w:rsidR="00005A00" w:rsidRPr="00256982" w:rsidRDefault="00005A00" w:rsidP="00AA14F1">
            <w:pPr>
              <w:pStyle w:val="TableText"/>
              <w:spacing w:before="50" w:after="50"/>
              <w:rPr>
                <w:rFonts w:cs="Arial"/>
                <w:szCs w:val="16"/>
              </w:rPr>
            </w:pPr>
            <w:r w:rsidRPr="00256982">
              <w:rPr>
                <w:rFonts w:cs="Arial"/>
                <w:szCs w:val="16"/>
              </w:rPr>
              <w:t>National survey</w:t>
            </w:r>
          </w:p>
        </w:tc>
      </w:tr>
      <w:tr w:rsidR="00005A00" w:rsidRPr="00256982" w14:paraId="3AE215CF" w14:textId="77777777" w:rsidTr="00AA14F1">
        <w:tc>
          <w:tcPr>
            <w:tcW w:w="1006" w:type="dxa"/>
            <w:tcBorders>
              <w:top w:val="single" w:sz="4" w:space="0" w:color="365F91"/>
              <w:bottom w:val="single" w:sz="4" w:space="0" w:color="365F91"/>
            </w:tcBorders>
          </w:tcPr>
          <w:p w14:paraId="59C7E1A2" w14:textId="77777777" w:rsidR="00005A00" w:rsidRPr="00256982" w:rsidRDefault="00005A00" w:rsidP="00AA14F1">
            <w:pPr>
              <w:pStyle w:val="TableTextBold"/>
              <w:spacing w:before="50" w:after="50"/>
              <w:rPr>
                <w:noProof w:val="0"/>
              </w:rPr>
            </w:pPr>
            <w:r w:rsidRPr="00256982">
              <w:rPr>
                <w:noProof w:val="0"/>
              </w:rPr>
              <w:t>2005</w:t>
            </w:r>
          </w:p>
        </w:tc>
        <w:tc>
          <w:tcPr>
            <w:tcW w:w="713" w:type="dxa"/>
            <w:tcBorders>
              <w:top w:val="single" w:sz="4" w:space="0" w:color="365F91"/>
              <w:bottom w:val="single" w:sz="4" w:space="0" w:color="365F91"/>
            </w:tcBorders>
            <w:shd w:val="clear" w:color="auto" w:fill="auto"/>
          </w:tcPr>
          <w:p w14:paraId="6427E93A" w14:textId="77777777" w:rsidR="00005A00" w:rsidRPr="00256982" w:rsidRDefault="00005A00" w:rsidP="00AA14F1">
            <w:pPr>
              <w:pStyle w:val="TableText"/>
              <w:spacing w:before="50" w:after="50"/>
              <w:jc w:val="center"/>
            </w:pPr>
            <w:r w:rsidRPr="00256982">
              <w:t>15</w:t>
            </w:r>
          </w:p>
        </w:tc>
        <w:tc>
          <w:tcPr>
            <w:tcW w:w="849" w:type="dxa"/>
            <w:tcBorders>
              <w:top w:val="single" w:sz="4" w:space="0" w:color="365F91"/>
              <w:bottom w:val="single" w:sz="4" w:space="0" w:color="365F91"/>
            </w:tcBorders>
            <w:shd w:val="clear" w:color="auto" w:fill="auto"/>
          </w:tcPr>
          <w:p w14:paraId="6A2B4D0E" w14:textId="77777777" w:rsidR="00005A00" w:rsidRPr="00256982" w:rsidRDefault="00005A00" w:rsidP="00AA14F1">
            <w:pPr>
              <w:pStyle w:val="TableText"/>
              <w:spacing w:before="50" w:after="50"/>
              <w:jc w:val="center"/>
              <w:rPr>
                <w:rFonts w:cs="Arial"/>
                <w:szCs w:val="16"/>
              </w:rPr>
            </w:pPr>
            <w:r w:rsidRPr="00256982">
              <w:rPr>
                <w:rFonts w:cs="Arial"/>
                <w:szCs w:val="16"/>
              </w:rPr>
              <w:t>9</w:t>
            </w:r>
          </w:p>
        </w:tc>
        <w:tc>
          <w:tcPr>
            <w:tcW w:w="790" w:type="dxa"/>
            <w:tcBorders>
              <w:top w:val="single" w:sz="4" w:space="0" w:color="365F91"/>
              <w:bottom w:val="single" w:sz="4" w:space="0" w:color="365F91"/>
            </w:tcBorders>
            <w:shd w:val="clear" w:color="auto" w:fill="auto"/>
          </w:tcPr>
          <w:p w14:paraId="1A37FD03" w14:textId="77777777" w:rsidR="00005A00" w:rsidRPr="00256982" w:rsidRDefault="00005A00" w:rsidP="00AA14F1">
            <w:pPr>
              <w:pStyle w:val="TableText"/>
              <w:spacing w:before="50" w:after="50"/>
              <w:jc w:val="center"/>
              <w:rPr>
                <w:rFonts w:cs="Arial"/>
                <w:szCs w:val="16"/>
              </w:rPr>
            </w:pPr>
            <w:r w:rsidRPr="00256982">
              <w:rPr>
                <w:rFonts w:cs="Arial"/>
                <w:szCs w:val="16"/>
              </w:rPr>
              <w:t>13</w:t>
            </w:r>
          </w:p>
        </w:tc>
        <w:tc>
          <w:tcPr>
            <w:tcW w:w="739" w:type="dxa"/>
            <w:tcBorders>
              <w:top w:val="single" w:sz="4" w:space="0" w:color="365F91"/>
              <w:bottom w:val="single" w:sz="4" w:space="0" w:color="365F91"/>
            </w:tcBorders>
            <w:shd w:val="clear" w:color="auto" w:fill="auto"/>
          </w:tcPr>
          <w:p w14:paraId="70F21748" w14:textId="77777777" w:rsidR="00005A00" w:rsidRPr="00256982" w:rsidRDefault="00005A00" w:rsidP="00AA14F1">
            <w:pPr>
              <w:pStyle w:val="TableText"/>
              <w:spacing w:before="50" w:after="50"/>
              <w:jc w:val="center"/>
              <w:rPr>
                <w:rFonts w:cs="Arial"/>
                <w:szCs w:val="16"/>
              </w:rPr>
            </w:pPr>
            <w:r w:rsidRPr="00256982">
              <w:rPr>
                <w:rFonts w:cs="Arial"/>
                <w:szCs w:val="16"/>
              </w:rPr>
              <w:t>13</w:t>
            </w:r>
          </w:p>
        </w:tc>
        <w:tc>
          <w:tcPr>
            <w:tcW w:w="836" w:type="dxa"/>
            <w:tcBorders>
              <w:top w:val="single" w:sz="4" w:space="0" w:color="365F91"/>
              <w:bottom w:val="single" w:sz="4" w:space="0" w:color="365F91"/>
            </w:tcBorders>
            <w:shd w:val="clear" w:color="auto" w:fill="auto"/>
          </w:tcPr>
          <w:p w14:paraId="12741208" w14:textId="77777777" w:rsidR="00005A00" w:rsidRPr="00256982" w:rsidRDefault="00005A00" w:rsidP="00AA14F1">
            <w:pPr>
              <w:pStyle w:val="TableText"/>
              <w:spacing w:before="50" w:after="50"/>
              <w:jc w:val="center"/>
              <w:rPr>
                <w:rFonts w:cs="Arial"/>
                <w:szCs w:val="16"/>
              </w:rPr>
            </w:pPr>
            <w:r w:rsidRPr="00256982">
              <w:rPr>
                <w:rFonts w:cs="Arial"/>
                <w:szCs w:val="16"/>
              </w:rPr>
              <w:t>4</w:t>
            </w:r>
          </w:p>
        </w:tc>
        <w:tc>
          <w:tcPr>
            <w:tcW w:w="917" w:type="dxa"/>
            <w:tcBorders>
              <w:top w:val="single" w:sz="4" w:space="0" w:color="365F91"/>
              <w:bottom w:val="single" w:sz="4" w:space="0" w:color="365F91"/>
            </w:tcBorders>
            <w:shd w:val="clear" w:color="auto" w:fill="auto"/>
          </w:tcPr>
          <w:p w14:paraId="09E46D8A" w14:textId="77777777" w:rsidR="00005A00" w:rsidRPr="00256982" w:rsidRDefault="00005A00" w:rsidP="00AA14F1">
            <w:pPr>
              <w:pStyle w:val="TableText"/>
              <w:spacing w:before="50" w:after="50"/>
              <w:jc w:val="center"/>
              <w:rPr>
                <w:rFonts w:cs="Arial"/>
                <w:szCs w:val="16"/>
              </w:rPr>
            </w:pPr>
            <w:r w:rsidRPr="00256982">
              <w:rPr>
                <w:rFonts w:cs="Arial"/>
                <w:szCs w:val="16"/>
              </w:rPr>
              <w:t>3</w:t>
            </w:r>
          </w:p>
        </w:tc>
        <w:tc>
          <w:tcPr>
            <w:tcW w:w="742" w:type="dxa"/>
            <w:tcBorders>
              <w:top w:val="single" w:sz="4" w:space="0" w:color="365F91"/>
              <w:bottom w:val="single" w:sz="4" w:space="0" w:color="365F91"/>
            </w:tcBorders>
            <w:shd w:val="clear" w:color="auto" w:fill="auto"/>
          </w:tcPr>
          <w:p w14:paraId="1B4AF631" w14:textId="77777777" w:rsidR="00005A00" w:rsidRPr="00256982" w:rsidRDefault="00005A00" w:rsidP="00AA14F1">
            <w:pPr>
              <w:pStyle w:val="TableText"/>
              <w:spacing w:before="50" w:after="50"/>
              <w:jc w:val="center"/>
              <w:rPr>
                <w:rFonts w:cs="Arial"/>
                <w:szCs w:val="16"/>
              </w:rPr>
            </w:pPr>
            <w:r w:rsidRPr="00256982">
              <w:rPr>
                <w:rFonts w:cs="Arial"/>
                <w:szCs w:val="16"/>
              </w:rPr>
              <w:t>42</w:t>
            </w:r>
          </w:p>
        </w:tc>
        <w:tc>
          <w:tcPr>
            <w:tcW w:w="1341" w:type="dxa"/>
            <w:tcBorders>
              <w:top w:val="single" w:sz="4" w:space="0" w:color="365F91"/>
              <w:bottom w:val="single" w:sz="4" w:space="0" w:color="365F91"/>
            </w:tcBorders>
          </w:tcPr>
          <w:p w14:paraId="25D36BFA" w14:textId="77777777" w:rsidR="00005A00" w:rsidRPr="00256982" w:rsidRDefault="00005A00" w:rsidP="00AA14F1">
            <w:pPr>
              <w:pStyle w:val="TableText"/>
              <w:spacing w:before="50" w:after="50"/>
              <w:rPr>
                <w:rFonts w:cs="Arial"/>
                <w:szCs w:val="16"/>
              </w:rPr>
            </w:pPr>
            <w:r w:rsidRPr="00256982">
              <w:t>Interpolation</w:t>
            </w:r>
          </w:p>
        </w:tc>
      </w:tr>
      <w:tr w:rsidR="00005A00" w:rsidRPr="00256982" w14:paraId="0E97D4DA" w14:textId="77777777" w:rsidTr="00AA14F1">
        <w:tc>
          <w:tcPr>
            <w:tcW w:w="1006" w:type="dxa"/>
            <w:tcBorders>
              <w:top w:val="single" w:sz="4" w:space="0" w:color="365F91"/>
              <w:bottom w:val="single" w:sz="4" w:space="0" w:color="365F91"/>
            </w:tcBorders>
          </w:tcPr>
          <w:p w14:paraId="0E6B84B0" w14:textId="77777777" w:rsidR="00005A00" w:rsidRPr="00256982" w:rsidRDefault="00005A00" w:rsidP="00AA14F1">
            <w:pPr>
              <w:pStyle w:val="TableTextBold"/>
              <w:spacing w:before="50" w:after="50"/>
              <w:rPr>
                <w:noProof w:val="0"/>
              </w:rPr>
            </w:pPr>
            <w:r w:rsidRPr="00256982">
              <w:rPr>
                <w:noProof w:val="0"/>
              </w:rPr>
              <w:t>2006</w:t>
            </w:r>
          </w:p>
        </w:tc>
        <w:tc>
          <w:tcPr>
            <w:tcW w:w="713" w:type="dxa"/>
            <w:tcBorders>
              <w:top w:val="single" w:sz="4" w:space="0" w:color="365F91"/>
              <w:bottom w:val="single" w:sz="4" w:space="0" w:color="365F91"/>
            </w:tcBorders>
            <w:shd w:val="clear" w:color="auto" w:fill="auto"/>
          </w:tcPr>
          <w:p w14:paraId="4DCE0949" w14:textId="77777777" w:rsidR="00005A00" w:rsidRPr="00256982" w:rsidRDefault="00005A00" w:rsidP="00AA14F1">
            <w:pPr>
              <w:pStyle w:val="TableText"/>
              <w:spacing w:before="50" w:after="50"/>
              <w:jc w:val="center"/>
            </w:pPr>
            <w:r w:rsidRPr="00256982">
              <w:t>16</w:t>
            </w:r>
          </w:p>
        </w:tc>
        <w:tc>
          <w:tcPr>
            <w:tcW w:w="849" w:type="dxa"/>
            <w:tcBorders>
              <w:top w:val="single" w:sz="4" w:space="0" w:color="365F91"/>
              <w:bottom w:val="single" w:sz="4" w:space="0" w:color="365F91"/>
            </w:tcBorders>
            <w:shd w:val="clear" w:color="auto" w:fill="auto"/>
          </w:tcPr>
          <w:p w14:paraId="74471BF2" w14:textId="77777777" w:rsidR="00005A00" w:rsidRPr="00256982" w:rsidRDefault="00005A00" w:rsidP="00AA14F1">
            <w:pPr>
              <w:pStyle w:val="TableText"/>
              <w:spacing w:before="50" w:after="50"/>
              <w:jc w:val="center"/>
              <w:rPr>
                <w:rFonts w:cs="Arial"/>
                <w:szCs w:val="16"/>
              </w:rPr>
            </w:pPr>
            <w:r w:rsidRPr="00256982">
              <w:rPr>
                <w:rFonts w:cs="Arial"/>
                <w:szCs w:val="16"/>
              </w:rPr>
              <w:t>9</w:t>
            </w:r>
          </w:p>
        </w:tc>
        <w:tc>
          <w:tcPr>
            <w:tcW w:w="790" w:type="dxa"/>
            <w:tcBorders>
              <w:top w:val="single" w:sz="4" w:space="0" w:color="365F91"/>
              <w:bottom w:val="single" w:sz="4" w:space="0" w:color="365F91"/>
            </w:tcBorders>
            <w:shd w:val="clear" w:color="auto" w:fill="auto"/>
          </w:tcPr>
          <w:p w14:paraId="6707F85D" w14:textId="77777777" w:rsidR="00005A00" w:rsidRPr="00256982" w:rsidRDefault="00005A00" w:rsidP="00AA14F1">
            <w:pPr>
              <w:pStyle w:val="TableText"/>
              <w:spacing w:before="50" w:after="50"/>
              <w:jc w:val="center"/>
              <w:rPr>
                <w:rFonts w:cs="Arial"/>
                <w:szCs w:val="16"/>
              </w:rPr>
            </w:pPr>
            <w:r w:rsidRPr="00256982">
              <w:rPr>
                <w:rFonts w:cs="Arial"/>
                <w:szCs w:val="16"/>
              </w:rPr>
              <w:t>12</w:t>
            </w:r>
          </w:p>
        </w:tc>
        <w:tc>
          <w:tcPr>
            <w:tcW w:w="739" w:type="dxa"/>
            <w:tcBorders>
              <w:top w:val="single" w:sz="4" w:space="0" w:color="365F91"/>
              <w:bottom w:val="single" w:sz="4" w:space="0" w:color="365F91"/>
            </w:tcBorders>
            <w:shd w:val="clear" w:color="auto" w:fill="auto"/>
          </w:tcPr>
          <w:p w14:paraId="37D005E4" w14:textId="77777777" w:rsidR="00005A00" w:rsidRPr="00256982" w:rsidRDefault="00005A00" w:rsidP="00AA14F1">
            <w:pPr>
              <w:pStyle w:val="TableText"/>
              <w:spacing w:before="50" w:after="50"/>
              <w:jc w:val="center"/>
              <w:rPr>
                <w:rFonts w:cs="Arial"/>
                <w:szCs w:val="16"/>
              </w:rPr>
            </w:pPr>
            <w:r w:rsidRPr="00256982">
              <w:rPr>
                <w:rFonts w:cs="Arial"/>
                <w:szCs w:val="16"/>
              </w:rPr>
              <w:t>13</w:t>
            </w:r>
          </w:p>
        </w:tc>
        <w:tc>
          <w:tcPr>
            <w:tcW w:w="836" w:type="dxa"/>
            <w:tcBorders>
              <w:top w:val="single" w:sz="4" w:space="0" w:color="365F91"/>
              <w:bottom w:val="single" w:sz="4" w:space="0" w:color="365F91"/>
            </w:tcBorders>
            <w:shd w:val="clear" w:color="auto" w:fill="auto"/>
          </w:tcPr>
          <w:p w14:paraId="427ECA34" w14:textId="77777777" w:rsidR="00005A00" w:rsidRPr="00256982" w:rsidRDefault="00005A00" w:rsidP="00AA14F1">
            <w:pPr>
              <w:pStyle w:val="TableText"/>
              <w:spacing w:before="50" w:after="50"/>
              <w:jc w:val="center"/>
              <w:rPr>
                <w:rFonts w:cs="Arial"/>
                <w:szCs w:val="16"/>
              </w:rPr>
            </w:pPr>
            <w:r w:rsidRPr="00256982">
              <w:rPr>
                <w:rFonts w:cs="Arial"/>
                <w:szCs w:val="16"/>
              </w:rPr>
              <w:t>4</w:t>
            </w:r>
          </w:p>
        </w:tc>
        <w:tc>
          <w:tcPr>
            <w:tcW w:w="917" w:type="dxa"/>
            <w:tcBorders>
              <w:top w:val="single" w:sz="4" w:space="0" w:color="365F91"/>
              <w:bottom w:val="single" w:sz="4" w:space="0" w:color="365F91"/>
            </w:tcBorders>
            <w:shd w:val="clear" w:color="auto" w:fill="auto"/>
          </w:tcPr>
          <w:p w14:paraId="15200695" w14:textId="77777777" w:rsidR="00005A00" w:rsidRPr="00256982" w:rsidRDefault="00005A00" w:rsidP="00AA14F1">
            <w:pPr>
              <w:pStyle w:val="TableText"/>
              <w:spacing w:before="50" w:after="50"/>
              <w:jc w:val="center"/>
              <w:rPr>
                <w:rFonts w:cs="Arial"/>
                <w:szCs w:val="16"/>
              </w:rPr>
            </w:pPr>
            <w:r w:rsidRPr="00256982">
              <w:rPr>
                <w:rFonts w:cs="Arial"/>
                <w:szCs w:val="16"/>
              </w:rPr>
              <w:t>3</w:t>
            </w:r>
          </w:p>
        </w:tc>
        <w:tc>
          <w:tcPr>
            <w:tcW w:w="742" w:type="dxa"/>
            <w:tcBorders>
              <w:top w:val="single" w:sz="4" w:space="0" w:color="365F91"/>
              <w:bottom w:val="single" w:sz="4" w:space="0" w:color="365F91"/>
            </w:tcBorders>
            <w:shd w:val="clear" w:color="auto" w:fill="auto"/>
          </w:tcPr>
          <w:p w14:paraId="08A945DE" w14:textId="77777777" w:rsidR="00005A00" w:rsidRPr="00256982" w:rsidRDefault="00005A00" w:rsidP="00AA14F1">
            <w:pPr>
              <w:pStyle w:val="TableText"/>
              <w:spacing w:before="50" w:after="50"/>
              <w:jc w:val="center"/>
              <w:rPr>
                <w:rFonts w:cs="Arial"/>
                <w:szCs w:val="16"/>
              </w:rPr>
            </w:pPr>
            <w:r w:rsidRPr="00256982">
              <w:rPr>
                <w:rFonts w:cs="Arial"/>
                <w:szCs w:val="16"/>
              </w:rPr>
              <w:t>43</w:t>
            </w:r>
          </w:p>
        </w:tc>
        <w:tc>
          <w:tcPr>
            <w:tcW w:w="1341" w:type="dxa"/>
            <w:tcBorders>
              <w:top w:val="single" w:sz="4" w:space="0" w:color="365F91"/>
              <w:bottom w:val="single" w:sz="4" w:space="0" w:color="365F91"/>
            </w:tcBorders>
          </w:tcPr>
          <w:p w14:paraId="60EA10EA" w14:textId="77777777" w:rsidR="00005A00" w:rsidRPr="00256982" w:rsidRDefault="00005A00" w:rsidP="00AA14F1">
            <w:pPr>
              <w:pStyle w:val="TableText"/>
              <w:spacing w:before="50" w:after="50"/>
              <w:rPr>
                <w:rFonts w:cs="Arial"/>
                <w:szCs w:val="16"/>
              </w:rPr>
            </w:pPr>
            <w:r w:rsidRPr="00256982">
              <w:t>Interpolation</w:t>
            </w:r>
          </w:p>
        </w:tc>
      </w:tr>
      <w:tr w:rsidR="00005A00" w:rsidRPr="00256982" w14:paraId="0CC14E21" w14:textId="77777777" w:rsidTr="00AA14F1">
        <w:tc>
          <w:tcPr>
            <w:tcW w:w="1006" w:type="dxa"/>
            <w:tcBorders>
              <w:top w:val="single" w:sz="4" w:space="0" w:color="365F91"/>
              <w:bottom w:val="single" w:sz="4" w:space="0" w:color="365F91"/>
            </w:tcBorders>
          </w:tcPr>
          <w:p w14:paraId="71CD5BA0" w14:textId="77777777" w:rsidR="00005A00" w:rsidRPr="00256982" w:rsidRDefault="00005A00" w:rsidP="00AA14F1">
            <w:pPr>
              <w:pStyle w:val="TableTextBold"/>
              <w:spacing w:before="50" w:after="50"/>
              <w:rPr>
                <w:noProof w:val="0"/>
              </w:rPr>
            </w:pPr>
            <w:r w:rsidRPr="00256982">
              <w:rPr>
                <w:noProof w:val="0"/>
              </w:rPr>
              <w:t>2007</w:t>
            </w:r>
          </w:p>
        </w:tc>
        <w:tc>
          <w:tcPr>
            <w:tcW w:w="713" w:type="dxa"/>
            <w:tcBorders>
              <w:top w:val="single" w:sz="4" w:space="0" w:color="365F91"/>
              <w:bottom w:val="single" w:sz="4" w:space="0" w:color="365F91"/>
            </w:tcBorders>
            <w:shd w:val="clear" w:color="auto" w:fill="auto"/>
          </w:tcPr>
          <w:p w14:paraId="6E40FE4F" w14:textId="77777777" w:rsidR="00005A00" w:rsidRPr="00256982" w:rsidRDefault="00005A00" w:rsidP="00AA14F1">
            <w:pPr>
              <w:pStyle w:val="TableText"/>
              <w:spacing w:before="50" w:after="50"/>
              <w:jc w:val="center"/>
            </w:pPr>
            <w:r w:rsidRPr="00256982">
              <w:t>16</w:t>
            </w:r>
          </w:p>
        </w:tc>
        <w:tc>
          <w:tcPr>
            <w:tcW w:w="849" w:type="dxa"/>
            <w:tcBorders>
              <w:top w:val="single" w:sz="4" w:space="0" w:color="365F91"/>
              <w:bottom w:val="single" w:sz="4" w:space="0" w:color="365F91"/>
            </w:tcBorders>
            <w:shd w:val="clear" w:color="auto" w:fill="auto"/>
          </w:tcPr>
          <w:p w14:paraId="4E692033" w14:textId="77777777" w:rsidR="00005A00" w:rsidRPr="00256982" w:rsidRDefault="00005A00" w:rsidP="00AA14F1">
            <w:pPr>
              <w:pStyle w:val="TableText"/>
              <w:spacing w:before="50" w:after="50"/>
              <w:jc w:val="center"/>
              <w:rPr>
                <w:rFonts w:cs="Arial"/>
                <w:szCs w:val="16"/>
              </w:rPr>
            </w:pPr>
            <w:r w:rsidRPr="00256982">
              <w:rPr>
                <w:rFonts w:cs="Arial"/>
                <w:szCs w:val="16"/>
              </w:rPr>
              <w:t>9</w:t>
            </w:r>
          </w:p>
        </w:tc>
        <w:tc>
          <w:tcPr>
            <w:tcW w:w="790" w:type="dxa"/>
            <w:tcBorders>
              <w:top w:val="single" w:sz="4" w:space="0" w:color="365F91"/>
              <w:bottom w:val="single" w:sz="4" w:space="0" w:color="365F91"/>
            </w:tcBorders>
            <w:shd w:val="clear" w:color="auto" w:fill="auto"/>
          </w:tcPr>
          <w:p w14:paraId="320515FA" w14:textId="77777777" w:rsidR="00005A00" w:rsidRPr="00256982" w:rsidRDefault="00005A00" w:rsidP="00AA14F1">
            <w:pPr>
              <w:pStyle w:val="TableText"/>
              <w:spacing w:before="50" w:after="50"/>
              <w:jc w:val="center"/>
              <w:rPr>
                <w:rFonts w:cs="Arial"/>
                <w:szCs w:val="16"/>
              </w:rPr>
            </w:pPr>
            <w:r w:rsidRPr="00256982">
              <w:rPr>
                <w:rFonts w:cs="Arial"/>
                <w:szCs w:val="16"/>
              </w:rPr>
              <w:t>10</w:t>
            </w:r>
          </w:p>
        </w:tc>
        <w:tc>
          <w:tcPr>
            <w:tcW w:w="739" w:type="dxa"/>
            <w:tcBorders>
              <w:top w:val="single" w:sz="4" w:space="0" w:color="365F91"/>
              <w:bottom w:val="single" w:sz="4" w:space="0" w:color="365F91"/>
            </w:tcBorders>
            <w:shd w:val="clear" w:color="auto" w:fill="auto"/>
          </w:tcPr>
          <w:p w14:paraId="0828DC4F" w14:textId="77777777" w:rsidR="00005A00" w:rsidRPr="00256982" w:rsidRDefault="00005A00" w:rsidP="00AA14F1">
            <w:pPr>
              <w:pStyle w:val="TableText"/>
              <w:spacing w:before="50" w:after="50"/>
              <w:jc w:val="center"/>
              <w:rPr>
                <w:rFonts w:cs="Arial"/>
                <w:szCs w:val="16"/>
              </w:rPr>
            </w:pPr>
            <w:r w:rsidRPr="00256982">
              <w:rPr>
                <w:rFonts w:cs="Arial"/>
                <w:szCs w:val="16"/>
              </w:rPr>
              <w:t>12</w:t>
            </w:r>
          </w:p>
        </w:tc>
        <w:tc>
          <w:tcPr>
            <w:tcW w:w="836" w:type="dxa"/>
            <w:tcBorders>
              <w:top w:val="single" w:sz="4" w:space="0" w:color="365F91"/>
              <w:bottom w:val="single" w:sz="4" w:space="0" w:color="365F91"/>
            </w:tcBorders>
            <w:shd w:val="clear" w:color="auto" w:fill="auto"/>
          </w:tcPr>
          <w:p w14:paraId="229876ED" w14:textId="77777777" w:rsidR="00005A00" w:rsidRPr="00256982" w:rsidRDefault="00005A00" w:rsidP="00AA14F1">
            <w:pPr>
              <w:pStyle w:val="TableText"/>
              <w:spacing w:before="50" w:after="50"/>
              <w:jc w:val="center"/>
              <w:rPr>
                <w:rFonts w:cs="Arial"/>
                <w:szCs w:val="16"/>
              </w:rPr>
            </w:pPr>
            <w:r w:rsidRPr="00256982">
              <w:rPr>
                <w:rFonts w:cs="Arial"/>
                <w:szCs w:val="16"/>
              </w:rPr>
              <w:t>4</w:t>
            </w:r>
          </w:p>
        </w:tc>
        <w:tc>
          <w:tcPr>
            <w:tcW w:w="917" w:type="dxa"/>
            <w:tcBorders>
              <w:top w:val="single" w:sz="4" w:space="0" w:color="365F91"/>
              <w:bottom w:val="single" w:sz="4" w:space="0" w:color="365F91"/>
            </w:tcBorders>
            <w:shd w:val="clear" w:color="auto" w:fill="auto"/>
          </w:tcPr>
          <w:p w14:paraId="4E172CBA" w14:textId="77777777" w:rsidR="00005A00" w:rsidRPr="00256982" w:rsidRDefault="00005A00" w:rsidP="00AA14F1">
            <w:pPr>
              <w:pStyle w:val="TableText"/>
              <w:spacing w:before="50" w:after="50"/>
              <w:jc w:val="center"/>
              <w:rPr>
                <w:rFonts w:cs="Arial"/>
                <w:szCs w:val="16"/>
              </w:rPr>
            </w:pPr>
            <w:r w:rsidRPr="00256982">
              <w:rPr>
                <w:rFonts w:cs="Arial"/>
                <w:szCs w:val="16"/>
              </w:rPr>
              <w:t>3</w:t>
            </w:r>
          </w:p>
        </w:tc>
        <w:tc>
          <w:tcPr>
            <w:tcW w:w="742" w:type="dxa"/>
            <w:tcBorders>
              <w:top w:val="single" w:sz="4" w:space="0" w:color="365F91"/>
              <w:bottom w:val="single" w:sz="4" w:space="0" w:color="365F91"/>
            </w:tcBorders>
            <w:shd w:val="clear" w:color="auto" w:fill="auto"/>
          </w:tcPr>
          <w:p w14:paraId="6A1BB21C" w14:textId="77777777" w:rsidR="00005A00" w:rsidRPr="00256982" w:rsidRDefault="00005A00" w:rsidP="00AA14F1">
            <w:pPr>
              <w:pStyle w:val="TableText"/>
              <w:spacing w:before="50" w:after="50"/>
              <w:jc w:val="center"/>
              <w:rPr>
                <w:rFonts w:cs="Arial"/>
                <w:szCs w:val="16"/>
              </w:rPr>
            </w:pPr>
            <w:r w:rsidRPr="00256982">
              <w:rPr>
                <w:rFonts w:cs="Arial"/>
                <w:szCs w:val="16"/>
              </w:rPr>
              <w:t>44</w:t>
            </w:r>
          </w:p>
        </w:tc>
        <w:tc>
          <w:tcPr>
            <w:tcW w:w="1341" w:type="dxa"/>
            <w:tcBorders>
              <w:top w:val="single" w:sz="4" w:space="0" w:color="365F91"/>
              <w:bottom w:val="single" w:sz="4" w:space="0" w:color="365F91"/>
            </w:tcBorders>
          </w:tcPr>
          <w:p w14:paraId="438CD482" w14:textId="77777777" w:rsidR="00005A00" w:rsidRPr="00256982" w:rsidRDefault="00005A00" w:rsidP="00AA14F1">
            <w:pPr>
              <w:pStyle w:val="TableText"/>
              <w:spacing w:before="50" w:after="50"/>
              <w:rPr>
                <w:rFonts w:cs="Arial"/>
                <w:szCs w:val="16"/>
              </w:rPr>
            </w:pPr>
            <w:r w:rsidRPr="00256982">
              <w:t>Interpolation</w:t>
            </w:r>
          </w:p>
        </w:tc>
      </w:tr>
      <w:tr w:rsidR="00005A00" w:rsidRPr="00256982" w14:paraId="5BD5E2E5" w14:textId="77777777" w:rsidTr="00AA14F1">
        <w:tc>
          <w:tcPr>
            <w:tcW w:w="1006" w:type="dxa"/>
            <w:tcBorders>
              <w:top w:val="single" w:sz="4" w:space="0" w:color="365F91"/>
              <w:bottom w:val="single" w:sz="4" w:space="0" w:color="365F91"/>
            </w:tcBorders>
          </w:tcPr>
          <w:p w14:paraId="6EDF05BA" w14:textId="77777777" w:rsidR="00005A00" w:rsidRPr="00256982" w:rsidRDefault="00005A00" w:rsidP="00AA14F1">
            <w:pPr>
              <w:pStyle w:val="TableTextBold"/>
              <w:spacing w:before="50" w:after="50"/>
              <w:rPr>
                <w:noProof w:val="0"/>
              </w:rPr>
            </w:pPr>
            <w:r w:rsidRPr="00256982">
              <w:rPr>
                <w:noProof w:val="0"/>
              </w:rPr>
              <w:t>2008</w:t>
            </w:r>
          </w:p>
        </w:tc>
        <w:tc>
          <w:tcPr>
            <w:tcW w:w="713" w:type="dxa"/>
            <w:tcBorders>
              <w:top w:val="single" w:sz="4" w:space="0" w:color="365F91"/>
              <w:bottom w:val="single" w:sz="4" w:space="0" w:color="365F91"/>
            </w:tcBorders>
            <w:shd w:val="clear" w:color="auto" w:fill="auto"/>
          </w:tcPr>
          <w:p w14:paraId="7CEBA42E" w14:textId="77777777" w:rsidR="00005A00" w:rsidRPr="00256982" w:rsidRDefault="00005A00" w:rsidP="00AA14F1">
            <w:pPr>
              <w:pStyle w:val="TableText"/>
              <w:spacing w:before="50" w:after="50"/>
              <w:jc w:val="center"/>
            </w:pPr>
            <w:r w:rsidRPr="00256982">
              <w:t>17</w:t>
            </w:r>
          </w:p>
        </w:tc>
        <w:tc>
          <w:tcPr>
            <w:tcW w:w="849" w:type="dxa"/>
            <w:tcBorders>
              <w:top w:val="single" w:sz="4" w:space="0" w:color="365F91"/>
              <w:bottom w:val="single" w:sz="4" w:space="0" w:color="365F91"/>
            </w:tcBorders>
            <w:shd w:val="clear" w:color="auto" w:fill="auto"/>
          </w:tcPr>
          <w:p w14:paraId="77068366" w14:textId="77777777" w:rsidR="00005A00" w:rsidRPr="00256982" w:rsidRDefault="00005A00" w:rsidP="00AA14F1">
            <w:pPr>
              <w:pStyle w:val="TableText"/>
              <w:spacing w:before="50" w:after="50"/>
              <w:jc w:val="center"/>
              <w:rPr>
                <w:rFonts w:cs="Arial"/>
                <w:szCs w:val="16"/>
              </w:rPr>
            </w:pPr>
            <w:r w:rsidRPr="00256982">
              <w:rPr>
                <w:rFonts w:cs="Arial"/>
                <w:szCs w:val="16"/>
              </w:rPr>
              <w:t>9</w:t>
            </w:r>
          </w:p>
        </w:tc>
        <w:tc>
          <w:tcPr>
            <w:tcW w:w="790" w:type="dxa"/>
            <w:tcBorders>
              <w:top w:val="single" w:sz="4" w:space="0" w:color="365F91"/>
              <w:bottom w:val="single" w:sz="4" w:space="0" w:color="365F91"/>
            </w:tcBorders>
            <w:shd w:val="clear" w:color="auto" w:fill="auto"/>
          </w:tcPr>
          <w:p w14:paraId="4FEBE8A6" w14:textId="77777777" w:rsidR="00005A00" w:rsidRPr="00256982" w:rsidRDefault="00005A00" w:rsidP="00AA14F1">
            <w:pPr>
              <w:pStyle w:val="TableText"/>
              <w:spacing w:before="50" w:after="50"/>
              <w:jc w:val="center"/>
              <w:rPr>
                <w:rFonts w:cs="Arial"/>
                <w:szCs w:val="16"/>
              </w:rPr>
            </w:pPr>
            <w:r w:rsidRPr="00256982">
              <w:rPr>
                <w:rFonts w:cs="Arial"/>
                <w:szCs w:val="16"/>
              </w:rPr>
              <w:t>9</w:t>
            </w:r>
          </w:p>
        </w:tc>
        <w:tc>
          <w:tcPr>
            <w:tcW w:w="739" w:type="dxa"/>
            <w:tcBorders>
              <w:top w:val="single" w:sz="4" w:space="0" w:color="365F91"/>
              <w:bottom w:val="single" w:sz="4" w:space="0" w:color="365F91"/>
            </w:tcBorders>
            <w:shd w:val="clear" w:color="auto" w:fill="auto"/>
          </w:tcPr>
          <w:p w14:paraId="2849073E" w14:textId="77777777" w:rsidR="00005A00" w:rsidRPr="00256982" w:rsidRDefault="00005A00" w:rsidP="00AA14F1">
            <w:pPr>
              <w:pStyle w:val="TableText"/>
              <w:spacing w:before="50" w:after="50"/>
              <w:jc w:val="center"/>
              <w:rPr>
                <w:rFonts w:cs="Arial"/>
                <w:szCs w:val="16"/>
              </w:rPr>
            </w:pPr>
            <w:r w:rsidRPr="00256982">
              <w:rPr>
                <w:rFonts w:cs="Arial"/>
                <w:szCs w:val="16"/>
              </w:rPr>
              <w:t>12</w:t>
            </w:r>
          </w:p>
        </w:tc>
        <w:tc>
          <w:tcPr>
            <w:tcW w:w="836" w:type="dxa"/>
            <w:tcBorders>
              <w:top w:val="single" w:sz="4" w:space="0" w:color="365F91"/>
              <w:bottom w:val="single" w:sz="4" w:space="0" w:color="365F91"/>
            </w:tcBorders>
            <w:shd w:val="clear" w:color="auto" w:fill="auto"/>
          </w:tcPr>
          <w:p w14:paraId="14A78E52" w14:textId="77777777" w:rsidR="00005A00" w:rsidRPr="00256982" w:rsidRDefault="00005A00" w:rsidP="00AA14F1">
            <w:pPr>
              <w:pStyle w:val="TableText"/>
              <w:spacing w:before="50" w:after="50"/>
              <w:jc w:val="center"/>
              <w:rPr>
                <w:rFonts w:cs="Arial"/>
                <w:szCs w:val="16"/>
              </w:rPr>
            </w:pPr>
            <w:r w:rsidRPr="00256982">
              <w:rPr>
                <w:rFonts w:cs="Arial"/>
                <w:szCs w:val="16"/>
              </w:rPr>
              <w:t>4</w:t>
            </w:r>
          </w:p>
        </w:tc>
        <w:tc>
          <w:tcPr>
            <w:tcW w:w="917" w:type="dxa"/>
            <w:tcBorders>
              <w:top w:val="single" w:sz="4" w:space="0" w:color="365F91"/>
              <w:bottom w:val="single" w:sz="4" w:space="0" w:color="365F91"/>
            </w:tcBorders>
            <w:shd w:val="clear" w:color="auto" w:fill="auto"/>
          </w:tcPr>
          <w:p w14:paraId="7B0BAD7D" w14:textId="77777777" w:rsidR="00005A00" w:rsidRPr="00256982" w:rsidRDefault="00005A00" w:rsidP="00AA14F1">
            <w:pPr>
              <w:pStyle w:val="TableText"/>
              <w:spacing w:before="50" w:after="50"/>
              <w:jc w:val="center"/>
              <w:rPr>
                <w:rFonts w:cs="Arial"/>
                <w:szCs w:val="16"/>
              </w:rPr>
            </w:pPr>
            <w:r w:rsidRPr="00256982">
              <w:rPr>
                <w:rFonts w:cs="Arial"/>
                <w:szCs w:val="16"/>
              </w:rPr>
              <w:t>3</w:t>
            </w:r>
          </w:p>
        </w:tc>
        <w:tc>
          <w:tcPr>
            <w:tcW w:w="742" w:type="dxa"/>
            <w:tcBorders>
              <w:top w:val="single" w:sz="4" w:space="0" w:color="365F91"/>
              <w:bottom w:val="single" w:sz="4" w:space="0" w:color="365F91"/>
            </w:tcBorders>
            <w:shd w:val="clear" w:color="auto" w:fill="auto"/>
          </w:tcPr>
          <w:p w14:paraId="0A0B7C1D" w14:textId="77777777" w:rsidR="00005A00" w:rsidRPr="00256982" w:rsidRDefault="00005A00" w:rsidP="00AA14F1">
            <w:pPr>
              <w:pStyle w:val="TableText"/>
              <w:spacing w:before="50" w:after="50"/>
              <w:jc w:val="center"/>
              <w:rPr>
                <w:rFonts w:cs="Arial"/>
                <w:szCs w:val="16"/>
              </w:rPr>
            </w:pPr>
            <w:r w:rsidRPr="00256982">
              <w:rPr>
                <w:rFonts w:cs="Arial"/>
                <w:szCs w:val="16"/>
              </w:rPr>
              <w:t>45</w:t>
            </w:r>
          </w:p>
        </w:tc>
        <w:tc>
          <w:tcPr>
            <w:tcW w:w="1341" w:type="dxa"/>
            <w:tcBorders>
              <w:top w:val="single" w:sz="4" w:space="0" w:color="365F91"/>
              <w:bottom w:val="single" w:sz="4" w:space="0" w:color="365F91"/>
            </w:tcBorders>
          </w:tcPr>
          <w:p w14:paraId="75A526FE" w14:textId="77777777" w:rsidR="00005A00" w:rsidRPr="00256982" w:rsidRDefault="00005A00" w:rsidP="00AA14F1">
            <w:pPr>
              <w:pStyle w:val="TableText"/>
              <w:spacing w:before="50" w:after="50"/>
              <w:rPr>
                <w:rFonts w:cs="Arial"/>
                <w:szCs w:val="16"/>
              </w:rPr>
            </w:pPr>
            <w:r w:rsidRPr="00256982">
              <w:rPr>
                <w:rFonts w:cs="Arial"/>
                <w:szCs w:val="16"/>
              </w:rPr>
              <w:t>Survey</w:t>
            </w:r>
          </w:p>
        </w:tc>
      </w:tr>
      <w:tr w:rsidR="00005A00" w:rsidRPr="00256982" w14:paraId="28867544" w14:textId="77777777" w:rsidTr="00AA14F1">
        <w:tc>
          <w:tcPr>
            <w:tcW w:w="1006" w:type="dxa"/>
            <w:tcBorders>
              <w:top w:val="single" w:sz="4" w:space="0" w:color="365F91"/>
              <w:bottom w:val="single" w:sz="4" w:space="0" w:color="365F91"/>
            </w:tcBorders>
          </w:tcPr>
          <w:p w14:paraId="376E5883" w14:textId="77777777" w:rsidR="00005A00" w:rsidRPr="00256982" w:rsidRDefault="00005A00" w:rsidP="00AA14F1">
            <w:pPr>
              <w:pStyle w:val="TableTextBold"/>
              <w:spacing w:before="50" w:after="50"/>
              <w:rPr>
                <w:noProof w:val="0"/>
              </w:rPr>
            </w:pPr>
            <w:r w:rsidRPr="00256982">
              <w:rPr>
                <w:noProof w:val="0"/>
              </w:rPr>
              <w:t>2009</w:t>
            </w:r>
          </w:p>
        </w:tc>
        <w:tc>
          <w:tcPr>
            <w:tcW w:w="713" w:type="dxa"/>
            <w:tcBorders>
              <w:top w:val="single" w:sz="4" w:space="0" w:color="365F91"/>
              <w:bottom w:val="single" w:sz="4" w:space="0" w:color="365F91"/>
            </w:tcBorders>
            <w:shd w:val="clear" w:color="auto" w:fill="auto"/>
          </w:tcPr>
          <w:p w14:paraId="1F4673F5" w14:textId="77777777" w:rsidR="00005A00" w:rsidRPr="00256982" w:rsidRDefault="00005A00" w:rsidP="00AA14F1">
            <w:pPr>
              <w:pStyle w:val="TableText"/>
              <w:spacing w:before="50" w:after="50"/>
              <w:jc w:val="center"/>
            </w:pPr>
            <w:r w:rsidRPr="00256982">
              <w:t>17</w:t>
            </w:r>
          </w:p>
        </w:tc>
        <w:tc>
          <w:tcPr>
            <w:tcW w:w="849" w:type="dxa"/>
            <w:tcBorders>
              <w:top w:val="single" w:sz="4" w:space="0" w:color="365F91"/>
              <w:bottom w:val="single" w:sz="4" w:space="0" w:color="365F91"/>
            </w:tcBorders>
            <w:shd w:val="clear" w:color="auto" w:fill="auto"/>
          </w:tcPr>
          <w:p w14:paraId="6CDB33BA" w14:textId="77777777" w:rsidR="00005A00" w:rsidRPr="00256982" w:rsidRDefault="00005A00" w:rsidP="00AA14F1">
            <w:pPr>
              <w:pStyle w:val="TableText"/>
              <w:spacing w:before="50" w:after="50"/>
              <w:jc w:val="center"/>
              <w:rPr>
                <w:rFonts w:cs="Arial"/>
                <w:szCs w:val="16"/>
              </w:rPr>
            </w:pPr>
            <w:r w:rsidRPr="00256982">
              <w:rPr>
                <w:rFonts w:cs="Arial"/>
                <w:szCs w:val="16"/>
              </w:rPr>
              <w:t>9</w:t>
            </w:r>
          </w:p>
        </w:tc>
        <w:tc>
          <w:tcPr>
            <w:tcW w:w="790" w:type="dxa"/>
            <w:tcBorders>
              <w:top w:val="single" w:sz="4" w:space="0" w:color="365F91"/>
              <w:bottom w:val="single" w:sz="4" w:space="0" w:color="365F91"/>
            </w:tcBorders>
            <w:shd w:val="clear" w:color="auto" w:fill="auto"/>
          </w:tcPr>
          <w:p w14:paraId="305C497A" w14:textId="77777777" w:rsidR="00005A00" w:rsidRPr="00256982" w:rsidRDefault="00005A00" w:rsidP="00AA14F1">
            <w:pPr>
              <w:pStyle w:val="TableText"/>
              <w:spacing w:before="50" w:after="50"/>
              <w:jc w:val="center"/>
              <w:rPr>
                <w:rFonts w:cs="Arial"/>
                <w:szCs w:val="16"/>
              </w:rPr>
            </w:pPr>
            <w:r w:rsidRPr="00256982">
              <w:rPr>
                <w:rFonts w:cs="Arial"/>
                <w:szCs w:val="16"/>
              </w:rPr>
              <w:t>9</w:t>
            </w:r>
          </w:p>
        </w:tc>
        <w:tc>
          <w:tcPr>
            <w:tcW w:w="739" w:type="dxa"/>
            <w:tcBorders>
              <w:top w:val="single" w:sz="4" w:space="0" w:color="365F91"/>
              <w:bottom w:val="single" w:sz="4" w:space="0" w:color="365F91"/>
            </w:tcBorders>
            <w:shd w:val="clear" w:color="auto" w:fill="auto"/>
          </w:tcPr>
          <w:p w14:paraId="5F7B9E2B" w14:textId="77777777" w:rsidR="00005A00" w:rsidRPr="00256982" w:rsidRDefault="00005A00" w:rsidP="00AA14F1">
            <w:pPr>
              <w:pStyle w:val="TableText"/>
              <w:spacing w:before="50" w:after="50"/>
              <w:jc w:val="center"/>
              <w:rPr>
                <w:rFonts w:cs="Arial"/>
                <w:szCs w:val="16"/>
              </w:rPr>
            </w:pPr>
            <w:r w:rsidRPr="00256982">
              <w:rPr>
                <w:rFonts w:cs="Arial"/>
                <w:szCs w:val="16"/>
              </w:rPr>
              <w:t>12</w:t>
            </w:r>
          </w:p>
        </w:tc>
        <w:tc>
          <w:tcPr>
            <w:tcW w:w="836" w:type="dxa"/>
            <w:tcBorders>
              <w:top w:val="single" w:sz="4" w:space="0" w:color="365F91"/>
              <w:bottom w:val="single" w:sz="4" w:space="0" w:color="365F91"/>
            </w:tcBorders>
            <w:shd w:val="clear" w:color="auto" w:fill="auto"/>
          </w:tcPr>
          <w:p w14:paraId="246FB116" w14:textId="77777777" w:rsidR="00005A00" w:rsidRPr="00256982" w:rsidRDefault="00005A00" w:rsidP="00AA14F1">
            <w:pPr>
              <w:pStyle w:val="TableText"/>
              <w:spacing w:before="50" w:after="50"/>
              <w:jc w:val="center"/>
              <w:rPr>
                <w:rFonts w:cs="Arial"/>
                <w:szCs w:val="16"/>
              </w:rPr>
            </w:pPr>
            <w:r w:rsidRPr="00256982">
              <w:rPr>
                <w:rFonts w:cs="Arial"/>
                <w:szCs w:val="16"/>
              </w:rPr>
              <w:t>4</w:t>
            </w:r>
          </w:p>
        </w:tc>
        <w:tc>
          <w:tcPr>
            <w:tcW w:w="917" w:type="dxa"/>
            <w:tcBorders>
              <w:top w:val="single" w:sz="4" w:space="0" w:color="365F91"/>
              <w:bottom w:val="single" w:sz="4" w:space="0" w:color="365F91"/>
            </w:tcBorders>
            <w:shd w:val="clear" w:color="auto" w:fill="auto"/>
          </w:tcPr>
          <w:p w14:paraId="6BE96E2F" w14:textId="77777777" w:rsidR="00005A00" w:rsidRPr="00256982" w:rsidRDefault="00005A00" w:rsidP="00AA14F1">
            <w:pPr>
              <w:pStyle w:val="TableText"/>
              <w:spacing w:before="50" w:after="50"/>
              <w:jc w:val="center"/>
              <w:rPr>
                <w:rFonts w:cs="Arial"/>
                <w:szCs w:val="16"/>
              </w:rPr>
            </w:pPr>
            <w:r w:rsidRPr="00256982">
              <w:rPr>
                <w:rFonts w:cs="Arial"/>
                <w:szCs w:val="16"/>
              </w:rPr>
              <w:t>3</w:t>
            </w:r>
          </w:p>
        </w:tc>
        <w:tc>
          <w:tcPr>
            <w:tcW w:w="742" w:type="dxa"/>
            <w:tcBorders>
              <w:top w:val="single" w:sz="4" w:space="0" w:color="365F91"/>
              <w:bottom w:val="single" w:sz="4" w:space="0" w:color="365F91"/>
            </w:tcBorders>
            <w:shd w:val="clear" w:color="auto" w:fill="auto"/>
          </w:tcPr>
          <w:p w14:paraId="7534EF11" w14:textId="77777777" w:rsidR="00005A00" w:rsidRPr="00256982" w:rsidRDefault="00005A00" w:rsidP="00AA14F1">
            <w:pPr>
              <w:pStyle w:val="TableText"/>
              <w:spacing w:before="50" w:after="50"/>
              <w:jc w:val="center"/>
              <w:rPr>
                <w:rFonts w:cs="Arial"/>
                <w:szCs w:val="16"/>
              </w:rPr>
            </w:pPr>
            <w:r w:rsidRPr="00256982">
              <w:rPr>
                <w:rFonts w:cs="Arial"/>
                <w:szCs w:val="16"/>
              </w:rPr>
              <w:t>45</w:t>
            </w:r>
          </w:p>
        </w:tc>
        <w:tc>
          <w:tcPr>
            <w:tcW w:w="1341" w:type="dxa"/>
            <w:tcBorders>
              <w:top w:val="single" w:sz="4" w:space="0" w:color="365F91"/>
              <w:bottom w:val="single" w:sz="4" w:space="0" w:color="365F91"/>
            </w:tcBorders>
          </w:tcPr>
          <w:p w14:paraId="0AC451E5" w14:textId="77777777" w:rsidR="00005A00" w:rsidRPr="00256982" w:rsidRDefault="00005A00" w:rsidP="00AA14F1">
            <w:pPr>
              <w:pStyle w:val="TableText"/>
              <w:spacing w:before="50" w:after="50"/>
              <w:rPr>
                <w:rFonts w:cs="Arial"/>
                <w:szCs w:val="16"/>
              </w:rPr>
            </w:pPr>
            <w:r w:rsidRPr="00256982">
              <w:t>Interpolation</w:t>
            </w:r>
          </w:p>
        </w:tc>
      </w:tr>
      <w:tr w:rsidR="00005A00" w:rsidRPr="00256982" w14:paraId="763C2E2C" w14:textId="77777777" w:rsidTr="00AA14F1">
        <w:tc>
          <w:tcPr>
            <w:tcW w:w="1006" w:type="dxa"/>
            <w:tcBorders>
              <w:top w:val="single" w:sz="4" w:space="0" w:color="365F91"/>
              <w:bottom w:val="single" w:sz="4" w:space="0" w:color="365F91"/>
            </w:tcBorders>
          </w:tcPr>
          <w:p w14:paraId="494D7896" w14:textId="77777777" w:rsidR="00005A00" w:rsidRPr="00256982" w:rsidRDefault="00005A00" w:rsidP="00AA14F1">
            <w:pPr>
              <w:pStyle w:val="TableTextBold"/>
              <w:spacing w:before="50" w:after="50"/>
              <w:rPr>
                <w:noProof w:val="0"/>
              </w:rPr>
            </w:pPr>
            <w:r w:rsidRPr="00256982">
              <w:rPr>
                <w:noProof w:val="0"/>
              </w:rPr>
              <w:t>2010</w:t>
            </w:r>
          </w:p>
        </w:tc>
        <w:tc>
          <w:tcPr>
            <w:tcW w:w="713" w:type="dxa"/>
            <w:tcBorders>
              <w:top w:val="single" w:sz="4" w:space="0" w:color="365F91"/>
              <w:bottom w:val="single" w:sz="4" w:space="0" w:color="365F91"/>
            </w:tcBorders>
            <w:shd w:val="clear" w:color="auto" w:fill="auto"/>
          </w:tcPr>
          <w:p w14:paraId="3C17E5E3" w14:textId="77777777" w:rsidR="00005A00" w:rsidRPr="00256982" w:rsidRDefault="00005A00" w:rsidP="00AA14F1">
            <w:pPr>
              <w:pStyle w:val="TableText"/>
              <w:spacing w:before="50" w:after="50"/>
              <w:jc w:val="center"/>
            </w:pPr>
            <w:r w:rsidRPr="00256982">
              <w:t>17</w:t>
            </w:r>
          </w:p>
        </w:tc>
        <w:tc>
          <w:tcPr>
            <w:tcW w:w="849" w:type="dxa"/>
            <w:tcBorders>
              <w:top w:val="single" w:sz="4" w:space="0" w:color="365F91"/>
              <w:bottom w:val="single" w:sz="4" w:space="0" w:color="365F91"/>
            </w:tcBorders>
            <w:shd w:val="clear" w:color="auto" w:fill="auto"/>
          </w:tcPr>
          <w:p w14:paraId="7BDB15AB" w14:textId="77777777" w:rsidR="00005A00" w:rsidRPr="00256982" w:rsidRDefault="00005A00" w:rsidP="00AA14F1">
            <w:pPr>
              <w:pStyle w:val="TableText"/>
              <w:spacing w:before="50" w:after="50"/>
              <w:jc w:val="center"/>
              <w:rPr>
                <w:rFonts w:cs="Arial"/>
                <w:szCs w:val="16"/>
              </w:rPr>
            </w:pPr>
            <w:r w:rsidRPr="00256982">
              <w:rPr>
                <w:rFonts w:cs="Arial"/>
                <w:szCs w:val="16"/>
              </w:rPr>
              <w:t>9</w:t>
            </w:r>
          </w:p>
        </w:tc>
        <w:tc>
          <w:tcPr>
            <w:tcW w:w="790" w:type="dxa"/>
            <w:tcBorders>
              <w:top w:val="single" w:sz="4" w:space="0" w:color="365F91"/>
              <w:bottom w:val="single" w:sz="4" w:space="0" w:color="365F91"/>
            </w:tcBorders>
            <w:shd w:val="clear" w:color="auto" w:fill="auto"/>
          </w:tcPr>
          <w:p w14:paraId="1EDB4A04" w14:textId="77777777" w:rsidR="00005A00" w:rsidRPr="00256982" w:rsidRDefault="00005A00" w:rsidP="00AA14F1">
            <w:pPr>
              <w:pStyle w:val="TableText"/>
              <w:spacing w:before="50" w:after="50"/>
              <w:jc w:val="center"/>
              <w:rPr>
                <w:rFonts w:cs="Arial"/>
                <w:szCs w:val="16"/>
              </w:rPr>
            </w:pPr>
            <w:r w:rsidRPr="00256982">
              <w:rPr>
                <w:rFonts w:cs="Arial"/>
                <w:szCs w:val="16"/>
              </w:rPr>
              <w:t>10</w:t>
            </w:r>
          </w:p>
        </w:tc>
        <w:tc>
          <w:tcPr>
            <w:tcW w:w="739" w:type="dxa"/>
            <w:tcBorders>
              <w:top w:val="single" w:sz="4" w:space="0" w:color="365F91"/>
              <w:bottom w:val="single" w:sz="4" w:space="0" w:color="365F91"/>
            </w:tcBorders>
            <w:shd w:val="clear" w:color="auto" w:fill="auto"/>
          </w:tcPr>
          <w:p w14:paraId="5DB34FE5" w14:textId="77777777" w:rsidR="00005A00" w:rsidRPr="00256982" w:rsidRDefault="00005A00" w:rsidP="00AA14F1">
            <w:pPr>
              <w:pStyle w:val="TableText"/>
              <w:spacing w:before="50" w:after="50"/>
              <w:jc w:val="center"/>
              <w:rPr>
                <w:rFonts w:cs="Arial"/>
                <w:szCs w:val="16"/>
              </w:rPr>
            </w:pPr>
            <w:r w:rsidRPr="00256982">
              <w:rPr>
                <w:rFonts w:cs="Arial"/>
                <w:szCs w:val="16"/>
              </w:rPr>
              <w:t>12</w:t>
            </w:r>
          </w:p>
        </w:tc>
        <w:tc>
          <w:tcPr>
            <w:tcW w:w="836" w:type="dxa"/>
            <w:tcBorders>
              <w:top w:val="single" w:sz="4" w:space="0" w:color="365F91"/>
              <w:bottom w:val="single" w:sz="4" w:space="0" w:color="365F91"/>
            </w:tcBorders>
            <w:shd w:val="clear" w:color="auto" w:fill="auto"/>
          </w:tcPr>
          <w:p w14:paraId="430CF93B" w14:textId="77777777" w:rsidR="00005A00" w:rsidRPr="00256982" w:rsidRDefault="00005A00" w:rsidP="00AA14F1">
            <w:pPr>
              <w:pStyle w:val="TableText"/>
              <w:spacing w:before="50" w:after="50"/>
              <w:jc w:val="center"/>
              <w:rPr>
                <w:rFonts w:cs="Arial"/>
                <w:szCs w:val="16"/>
              </w:rPr>
            </w:pPr>
            <w:r w:rsidRPr="00256982">
              <w:rPr>
                <w:rFonts w:cs="Arial"/>
                <w:szCs w:val="16"/>
              </w:rPr>
              <w:t>5</w:t>
            </w:r>
          </w:p>
        </w:tc>
        <w:tc>
          <w:tcPr>
            <w:tcW w:w="917" w:type="dxa"/>
            <w:tcBorders>
              <w:top w:val="single" w:sz="4" w:space="0" w:color="365F91"/>
              <w:bottom w:val="single" w:sz="4" w:space="0" w:color="365F91"/>
            </w:tcBorders>
            <w:shd w:val="clear" w:color="auto" w:fill="auto"/>
          </w:tcPr>
          <w:p w14:paraId="63C21BA2" w14:textId="77777777" w:rsidR="00005A00" w:rsidRPr="00256982" w:rsidRDefault="00005A00" w:rsidP="00AA14F1">
            <w:pPr>
              <w:pStyle w:val="TableText"/>
              <w:spacing w:before="50" w:after="50"/>
              <w:jc w:val="center"/>
              <w:rPr>
                <w:rFonts w:cs="Arial"/>
                <w:szCs w:val="16"/>
              </w:rPr>
            </w:pPr>
            <w:r w:rsidRPr="00256982">
              <w:rPr>
                <w:rFonts w:cs="Arial"/>
                <w:szCs w:val="16"/>
              </w:rPr>
              <w:t>3</w:t>
            </w:r>
          </w:p>
        </w:tc>
        <w:tc>
          <w:tcPr>
            <w:tcW w:w="742" w:type="dxa"/>
            <w:tcBorders>
              <w:top w:val="single" w:sz="4" w:space="0" w:color="365F91"/>
              <w:bottom w:val="single" w:sz="4" w:space="0" w:color="365F91"/>
            </w:tcBorders>
            <w:shd w:val="clear" w:color="auto" w:fill="auto"/>
          </w:tcPr>
          <w:p w14:paraId="28AAEF78" w14:textId="77777777" w:rsidR="00005A00" w:rsidRPr="00256982" w:rsidRDefault="00005A00" w:rsidP="00AA14F1">
            <w:pPr>
              <w:pStyle w:val="TableText"/>
              <w:spacing w:before="50" w:after="50"/>
              <w:jc w:val="center"/>
              <w:rPr>
                <w:rFonts w:cs="Arial"/>
                <w:szCs w:val="16"/>
              </w:rPr>
            </w:pPr>
            <w:r w:rsidRPr="00256982">
              <w:rPr>
                <w:rFonts w:cs="Arial"/>
                <w:szCs w:val="16"/>
              </w:rPr>
              <w:t>44</w:t>
            </w:r>
          </w:p>
        </w:tc>
        <w:tc>
          <w:tcPr>
            <w:tcW w:w="1341" w:type="dxa"/>
            <w:tcBorders>
              <w:top w:val="single" w:sz="4" w:space="0" w:color="365F91"/>
              <w:bottom w:val="single" w:sz="4" w:space="0" w:color="365F91"/>
            </w:tcBorders>
          </w:tcPr>
          <w:p w14:paraId="40B18B5C" w14:textId="77777777" w:rsidR="00005A00" w:rsidRPr="00256982" w:rsidRDefault="00005A00" w:rsidP="00AA14F1">
            <w:pPr>
              <w:pStyle w:val="TableText"/>
              <w:spacing w:before="50" w:after="50"/>
              <w:rPr>
                <w:rFonts w:cs="Arial"/>
                <w:szCs w:val="16"/>
              </w:rPr>
            </w:pPr>
            <w:r w:rsidRPr="00256982">
              <w:t>Interpolation</w:t>
            </w:r>
          </w:p>
        </w:tc>
      </w:tr>
      <w:tr w:rsidR="00005A00" w:rsidRPr="00256982" w14:paraId="64008C2B" w14:textId="77777777" w:rsidTr="00AA14F1">
        <w:tc>
          <w:tcPr>
            <w:tcW w:w="1006" w:type="dxa"/>
            <w:tcBorders>
              <w:top w:val="single" w:sz="4" w:space="0" w:color="365F91"/>
              <w:bottom w:val="single" w:sz="4" w:space="0" w:color="365F91"/>
            </w:tcBorders>
          </w:tcPr>
          <w:p w14:paraId="7DC44172" w14:textId="77777777" w:rsidR="00005A00" w:rsidRPr="00256982" w:rsidRDefault="00005A00" w:rsidP="00AA14F1">
            <w:pPr>
              <w:pStyle w:val="TableTextBold"/>
              <w:spacing w:before="50" w:after="50"/>
              <w:rPr>
                <w:noProof w:val="0"/>
              </w:rPr>
            </w:pPr>
            <w:r w:rsidRPr="00256982">
              <w:rPr>
                <w:noProof w:val="0"/>
              </w:rPr>
              <w:t>2011</w:t>
            </w:r>
          </w:p>
        </w:tc>
        <w:tc>
          <w:tcPr>
            <w:tcW w:w="713" w:type="dxa"/>
            <w:tcBorders>
              <w:top w:val="single" w:sz="4" w:space="0" w:color="365F91"/>
              <w:bottom w:val="single" w:sz="4" w:space="0" w:color="365F91"/>
            </w:tcBorders>
            <w:shd w:val="clear" w:color="auto" w:fill="auto"/>
          </w:tcPr>
          <w:p w14:paraId="6D0FAF2B" w14:textId="77777777" w:rsidR="00005A00" w:rsidRPr="00256982" w:rsidRDefault="00005A00" w:rsidP="00AA14F1">
            <w:pPr>
              <w:pStyle w:val="TableText"/>
              <w:spacing w:before="50" w:after="50"/>
              <w:jc w:val="center"/>
            </w:pPr>
            <w:r w:rsidRPr="00256982">
              <w:t>17</w:t>
            </w:r>
          </w:p>
        </w:tc>
        <w:tc>
          <w:tcPr>
            <w:tcW w:w="849" w:type="dxa"/>
            <w:tcBorders>
              <w:top w:val="single" w:sz="4" w:space="0" w:color="365F91"/>
              <w:bottom w:val="single" w:sz="4" w:space="0" w:color="365F91"/>
            </w:tcBorders>
            <w:shd w:val="clear" w:color="auto" w:fill="auto"/>
          </w:tcPr>
          <w:p w14:paraId="0DBFEF19" w14:textId="77777777" w:rsidR="00005A00" w:rsidRPr="00256982" w:rsidRDefault="00005A00" w:rsidP="00AA14F1">
            <w:pPr>
              <w:pStyle w:val="TableText"/>
              <w:spacing w:before="50" w:after="50"/>
              <w:jc w:val="center"/>
              <w:rPr>
                <w:rFonts w:cs="Arial"/>
                <w:szCs w:val="16"/>
              </w:rPr>
            </w:pPr>
            <w:r w:rsidRPr="00256982">
              <w:rPr>
                <w:rFonts w:cs="Arial"/>
                <w:szCs w:val="16"/>
              </w:rPr>
              <w:t>9</w:t>
            </w:r>
          </w:p>
        </w:tc>
        <w:tc>
          <w:tcPr>
            <w:tcW w:w="790" w:type="dxa"/>
            <w:tcBorders>
              <w:top w:val="single" w:sz="4" w:space="0" w:color="365F91"/>
              <w:bottom w:val="single" w:sz="4" w:space="0" w:color="365F91"/>
            </w:tcBorders>
            <w:shd w:val="clear" w:color="auto" w:fill="auto"/>
          </w:tcPr>
          <w:p w14:paraId="174449E8" w14:textId="77777777" w:rsidR="00005A00" w:rsidRPr="00256982" w:rsidRDefault="00005A00" w:rsidP="00AA14F1">
            <w:pPr>
              <w:pStyle w:val="TableText"/>
              <w:spacing w:before="50" w:after="50"/>
              <w:jc w:val="center"/>
              <w:rPr>
                <w:rFonts w:cs="Arial"/>
                <w:szCs w:val="16"/>
              </w:rPr>
            </w:pPr>
            <w:r w:rsidRPr="00256982">
              <w:rPr>
                <w:rFonts w:cs="Arial"/>
                <w:szCs w:val="16"/>
              </w:rPr>
              <w:t>10</w:t>
            </w:r>
          </w:p>
        </w:tc>
        <w:tc>
          <w:tcPr>
            <w:tcW w:w="739" w:type="dxa"/>
            <w:tcBorders>
              <w:top w:val="single" w:sz="4" w:space="0" w:color="365F91"/>
              <w:bottom w:val="single" w:sz="4" w:space="0" w:color="365F91"/>
            </w:tcBorders>
            <w:shd w:val="clear" w:color="auto" w:fill="auto"/>
          </w:tcPr>
          <w:p w14:paraId="31D4091F" w14:textId="77777777" w:rsidR="00005A00" w:rsidRPr="00256982" w:rsidRDefault="00005A00" w:rsidP="00AA14F1">
            <w:pPr>
              <w:pStyle w:val="TableText"/>
              <w:spacing w:before="50" w:after="50"/>
              <w:jc w:val="center"/>
              <w:rPr>
                <w:rFonts w:cs="Arial"/>
                <w:szCs w:val="16"/>
              </w:rPr>
            </w:pPr>
            <w:r w:rsidRPr="00256982">
              <w:rPr>
                <w:rFonts w:cs="Arial"/>
                <w:szCs w:val="16"/>
              </w:rPr>
              <w:t>12</w:t>
            </w:r>
          </w:p>
        </w:tc>
        <w:tc>
          <w:tcPr>
            <w:tcW w:w="836" w:type="dxa"/>
            <w:tcBorders>
              <w:top w:val="single" w:sz="4" w:space="0" w:color="365F91"/>
              <w:bottom w:val="single" w:sz="4" w:space="0" w:color="365F91"/>
            </w:tcBorders>
            <w:shd w:val="clear" w:color="auto" w:fill="auto"/>
          </w:tcPr>
          <w:p w14:paraId="2E6EBAD0" w14:textId="77777777" w:rsidR="00005A00" w:rsidRPr="00256982" w:rsidRDefault="00005A00" w:rsidP="00AA14F1">
            <w:pPr>
              <w:pStyle w:val="TableText"/>
              <w:spacing w:before="50" w:after="50"/>
              <w:jc w:val="center"/>
              <w:rPr>
                <w:rFonts w:cs="Arial"/>
                <w:szCs w:val="16"/>
              </w:rPr>
            </w:pPr>
            <w:r w:rsidRPr="00256982">
              <w:rPr>
                <w:rFonts w:cs="Arial"/>
                <w:szCs w:val="16"/>
              </w:rPr>
              <w:t>5</w:t>
            </w:r>
          </w:p>
        </w:tc>
        <w:tc>
          <w:tcPr>
            <w:tcW w:w="917" w:type="dxa"/>
            <w:tcBorders>
              <w:top w:val="single" w:sz="4" w:space="0" w:color="365F91"/>
              <w:bottom w:val="single" w:sz="4" w:space="0" w:color="365F91"/>
            </w:tcBorders>
            <w:shd w:val="clear" w:color="auto" w:fill="auto"/>
          </w:tcPr>
          <w:p w14:paraId="69017B27" w14:textId="77777777" w:rsidR="00005A00" w:rsidRPr="00256982" w:rsidRDefault="00005A00" w:rsidP="00AA14F1">
            <w:pPr>
              <w:pStyle w:val="TableText"/>
              <w:spacing w:before="50" w:after="50"/>
              <w:jc w:val="center"/>
              <w:rPr>
                <w:rFonts w:cs="Arial"/>
                <w:szCs w:val="16"/>
              </w:rPr>
            </w:pPr>
            <w:r w:rsidRPr="00256982">
              <w:rPr>
                <w:rFonts w:cs="Arial"/>
                <w:szCs w:val="16"/>
              </w:rPr>
              <w:t>3</w:t>
            </w:r>
          </w:p>
        </w:tc>
        <w:tc>
          <w:tcPr>
            <w:tcW w:w="742" w:type="dxa"/>
            <w:tcBorders>
              <w:top w:val="single" w:sz="4" w:space="0" w:color="365F91"/>
              <w:bottom w:val="single" w:sz="4" w:space="0" w:color="365F91"/>
            </w:tcBorders>
            <w:shd w:val="clear" w:color="auto" w:fill="auto"/>
          </w:tcPr>
          <w:p w14:paraId="78DE6CD8" w14:textId="77777777" w:rsidR="00005A00" w:rsidRPr="00256982" w:rsidRDefault="00005A00" w:rsidP="00AA14F1">
            <w:pPr>
              <w:pStyle w:val="TableText"/>
              <w:spacing w:before="50" w:after="50"/>
              <w:jc w:val="center"/>
              <w:rPr>
                <w:rFonts w:cs="Arial"/>
                <w:szCs w:val="16"/>
              </w:rPr>
            </w:pPr>
            <w:r w:rsidRPr="00256982">
              <w:rPr>
                <w:rFonts w:cs="Arial"/>
                <w:szCs w:val="16"/>
              </w:rPr>
              <w:t>44</w:t>
            </w:r>
          </w:p>
        </w:tc>
        <w:tc>
          <w:tcPr>
            <w:tcW w:w="1341" w:type="dxa"/>
            <w:tcBorders>
              <w:top w:val="single" w:sz="4" w:space="0" w:color="365F91"/>
              <w:bottom w:val="single" w:sz="4" w:space="0" w:color="365F91"/>
            </w:tcBorders>
          </w:tcPr>
          <w:p w14:paraId="080286F8" w14:textId="77777777" w:rsidR="00005A00" w:rsidRPr="00256982" w:rsidRDefault="00005A00" w:rsidP="00AA14F1">
            <w:pPr>
              <w:pStyle w:val="TableText"/>
              <w:spacing w:before="50" w:after="50"/>
              <w:rPr>
                <w:rFonts w:cs="Arial"/>
                <w:szCs w:val="16"/>
              </w:rPr>
            </w:pPr>
            <w:r w:rsidRPr="00256982">
              <w:t>Interpolation</w:t>
            </w:r>
          </w:p>
        </w:tc>
      </w:tr>
      <w:tr w:rsidR="00005A00" w:rsidRPr="00256982" w14:paraId="5BA2E7C4" w14:textId="77777777" w:rsidTr="00AA14F1">
        <w:tc>
          <w:tcPr>
            <w:tcW w:w="1006" w:type="dxa"/>
            <w:tcBorders>
              <w:top w:val="single" w:sz="4" w:space="0" w:color="365F91"/>
              <w:bottom w:val="single" w:sz="4" w:space="0" w:color="365F91"/>
            </w:tcBorders>
          </w:tcPr>
          <w:p w14:paraId="040E30AE" w14:textId="77777777" w:rsidR="00005A00" w:rsidRPr="00256982" w:rsidRDefault="00005A00" w:rsidP="00AA14F1">
            <w:pPr>
              <w:pStyle w:val="TableTextBold"/>
              <w:spacing w:before="50" w:after="50"/>
              <w:rPr>
                <w:noProof w:val="0"/>
              </w:rPr>
            </w:pPr>
            <w:r w:rsidRPr="00256982">
              <w:rPr>
                <w:noProof w:val="0"/>
              </w:rPr>
              <w:t>2012</w:t>
            </w:r>
          </w:p>
        </w:tc>
        <w:tc>
          <w:tcPr>
            <w:tcW w:w="713" w:type="dxa"/>
            <w:tcBorders>
              <w:top w:val="single" w:sz="4" w:space="0" w:color="365F91"/>
              <w:bottom w:val="single" w:sz="4" w:space="0" w:color="365F91"/>
            </w:tcBorders>
            <w:shd w:val="clear" w:color="auto" w:fill="auto"/>
          </w:tcPr>
          <w:p w14:paraId="2F6E3BA2" w14:textId="77777777" w:rsidR="00005A00" w:rsidRPr="00256982" w:rsidRDefault="00005A00" w:rsidP="00AA14F1">
            <w:pPr>
              <w:pStyle w:val="TableText"/>
              <w:spacing w:before="50" w:after="50"/>
              <w:jc w:val="center"/>
            </w:pPr>
            <w:r w:rsidRPr="00256982">
              <w:t>17</w:t>
            </w:r>
          </w:p>
        </w:tc>
        <w:tc>
          <w:tcPr>
            <w:tcW w:w="849" w:type="dxa"/>
            <w:tcBorders>
              <w:top w:val="single" w:sz="4" w:space="0" w:color="365F91"/>
              <w:bottom w:val="single" w:sz="4" w:space="0" w:color="365F91"/>
            </w:tcBorders>
            <w:shd w:val="clear" w:color="auto" w:fill="auto"/>
          </w:tcPr>
          <w:p w14:paraId="32F28713" w14:textId="77777777" w:rsidR="00005A00" w:rsidRPr="00256982" w:rsidRDefault="00005A00" w:rsidP="00AA14F1">
            <w:pPr>
              <w:pStyle w:val="TableText"/>
              <w:spacing w:before="50" w:after="50"/>
              <w:jc w:val="center"/>
              <w:rPr>
                <w:rFonts w:cs="Arial"/>
                <w:szCs w:val="16"/>
              </w:rPr>
            </w:pPr>
            <w:r w:rsidRPr="00256982">
              <w:rPr>
                <w:rFonts w:cs="Arial"/>
                <w:szCs w:val="16"/>
              </w:rPr>
              <w:t>8</w:t>
            </w:r>
          </w:p>
        </w:tc>
        <w:tc>
          <w:tcPr>
            <w:tcW w:w="790" w:type="dxa"/>
            <w:tcBorders>
              <w:top w:val="single" w:sz="4" w:space="0" w:color="365F91"/>
              <w:bottom w:val="single" w:sz="4" w:space="0" w:color="365F91"/>
            </w:tcBorders>
            <w:shd w:val="clear" w:color="auto" w:fill="auto"/>
          </w:tcPr>
          <w:p w14:paraId="1D34B9D9" w14:textId="77777777" w:rsidR="00005A00" w:rsidRPr="00256982" w:rsidRDefault="00005A00" w:rsidP="00AA14F1">
            <w:pPr>
              <w:pStyle w:val="TableText"/>
              <w:spacing w:before="50" w:after="50"/>
              <w:jc w:val="center"/>
              <w:rPr>
                <w:rFonts w:cs="Arial"/>
                <w:szCs w:val="16"/>
              </w:rPr>
            </w:pPr>
            <w:r w:rsidRPr="00256982">
              <w:rPr>
                <w:rFonts w:cs="Arial"/>
                <w:szCs w:val="16"/>
              </w:rPr>
              <w:t>11</w:t>
            </w:r>
          </w:p>
        </w:tc>
        <w:tc>
          <w:tcPr>
            <w:tcW w:w="739" w:type="dxa"/>
            <w:tcBorders>
              <w:top w:val="single" w:sz="4" w:space="0" w:color="365F91"/>
              <w:bottom w:val="single" w:sz="4" w:space="0" w:color="365F91"/>
            </w:tcBorders>
            <w:shd w:val="clear" w:color="auto" w:fill="auto"/>
          </w:tcPr>
          <w:p w14:paraId="0ACA7A6C" w14:textId="77777777" w:rsidR="00005A00" w:rsidRPr="00256982" w:rsidRDefault="00005A00" w:rsidP="00AA14F1">
            <w:pPr>
              <w:pStyle w:val="TableText"/>
              <w:spacing w:before="50" w:after="50"/>
              <w:jc w:val="center"/>
              <w:rPr>
                <w:rFonts w:cs="Arial"/>
                <w:szCs w:val="16"/>
              </w:rPr>
            </w:pPr>
            <w:r w:rsidRPr="00256982">
              <w:rPr>
                <w:rFonts w:cs="Arial"/>
                <w:szCs w:val="16"/>
              </w:rPr>
              <w:t>12</w:t>
            </w:r>
          </w:p>
        </w:tc>
        <w:tc>
          <w:tcPr>
            <w:tcW w:w="836" w:type="dxa"/>
            <w:tcBorders>
              <w:top w:val="single" w:sz="4" w:space="0" w:color="365F91"/>
              <w:bottom w:val="single" w:sz="4" w:space="0" w:color="365F91"/>
            </w:tcBorders>
            <w:shd w:val="clear" w:color="auto" w:fill="auto"/>
          </w:tcPr>
          <w:p w14:paraId="14C74ABE" w14:textId="77777777" w:rsidR="00005A00" w:rsidRPr="00256982" w:rsidRDefault="00005A00" w:rsidP="00AA14F1">
            <w:pPr>
              <w:pStyle w:val="TableText"/>
              <w:spacing w:before="50" w:after="50"/>
              <w:jc w:val="center"/>
              <w:rPr>
                <w:rFonts w:cs="Arial"/>
                <w:szCs w:val="16"/>
              </w:rPr>
            </w:pPr>
            <w:r w:rsidRPr="00256982">
              <w:rPr>
                <w:rFonts w:cs="Arial"/>
                <w:szCs w:val="16"/>
              </w:rPr>
              <w:t>6</w:t>
            </w:r>
          </w:p>
        </w:tc>
        <w:tc>
          <w:tcPr>
            <w:tcW w:w="917" w:type="dxa"/>
            <w:tcBorders>
              <w:top w:val="single" w:sz="4" w:space="0" w:color="365F91"/>
              <w:bottom w:val="single" w:sz="4" w:space="0" w:color="365F91"/>
            </w:tcBorders>
            <w:shd w:val="clear" w:color="auto" w:fill="auto"/>
          </w:tcPr>
          <w:p w14:paraId="3C8B15C5" w14:textId="77777777" w:rsidR="00005A00" w:rsidRPr="00256982" w:rsidRDefault="00005A00" w:rsidP="00AA14F1">
            <w:pPr>
              <w:pStyle w:val="TableText"/>
              <w:spacing w:before="50" w:after="50"/>
              <w:jc w:val="center"/>
              <w:rPr>
                <w:rFonts w:cs="Arial"/>
                <w:szCs w:val="16"/>
              </w:rPr>
            </w:pPr>
            <w:r w:rsidRPr="00256982">
              <w:rPr>
                <w:rFonts w:cs="Arial"/>
                <w:szCs w:val="16"/>
              </w:rPr>
              <w:t>3</w:t>
            </w:r>
          </w:p>
        </w:tc>
        <w:tc>
          <w:tcPr>
            <w:tcW w:w="742" w:type="dxa"/>
            <w:tcBorders>
              <w:top w:val="single" w:sz="4" w:space="0" w:color="365F91"/>
              <w:bottom w:val="single" w:sz="4" w:space="0" w:color="365F91"/>
            </w:tcBorders>
            <w:shd w:val="clear" w:color="auto" w:fill="auto"/>
          </w:tcPr>
          <w:p w14:paraId="3ECEE9A1" w14:textId="77777777" w:rsidR="00005A00" w:rsidRPr="00256982" w:rsidRDefault="00005A00" w:rsidP="00AA14F1">
            <w:pPr>
              <w:pStyle w:val="TableText"/>
              <w:spacing w:before="50" w:after="50"/>
              <w:jc w:val="center"/>
              <w:rPr>
                <w:rFonts w:cs="Arial"/>
                <w:szCs w:val="16"/>
              </w:rPr>
            </w:pPr>
            <w:r w:rsidRPr="00256982">
              <w:rPr>
                <w:rFonts w:cs="Arial"/>
                <w:szCs w:val="16"/>
              </w:rPr>
              <w:t>44</w:t>
            </w:r>
          </w:p>
        </w:tc>
        <w:tc>
          <w:tcPr>
            <w:tcW w:w="1341" w:type="dxa"/>
            <w:tcBorders>
              <w:top w:val="single" w:sz="4" w:space="0" w:color="365F91"/>
              <w:bottom w:val="single" w:sz="4" w:space="0" w:color="365F91"/>
            </w:tcBorders>
          </w:tcPr>
          <w:p w14:paraId="22E58EC5" w14:textId="77777777" w:rsidR="00005A00" w:rsidRPr="00256982" w:rsidRDefault="00005A00" w:rsidP="00AA14F1">
            <w:pPr>
              <w:pStyle w:val="TableText"/>
              <w:spacing w:before="50" w:after="50"/>
              <w:rPr>
                <w:rFonts w:cs="Arial"/>
                <w:szCs w:val="16"/>
              </w:rPr>
            </w:pPr>
            <w:r w:rsidRPr="00256982">
              <w:rPr>
                <w:rFonts w:cs="Arial"/>
                <w:szCs w:val="16"/>
              </w:rPr>
              <w:t>Survey</w:t>
            </w:r>
          </w:p>
        </w:tc>
      </w:tr>
      <w:tr w:rsidR="00005A00" w:rsidRPr="00256982" w14:paraId="50AA6360" w14:textId="77777777" w:rsidTr="00AA14F1">
        <w:tc>
          <w:tcPr>
            <w:tcW w:w="1006" w:type="dxa"/>
            <w:tcBorders>
              <w:top w:val="single" w:sz="4" w:space="0" w:color="365F91"/>
              <w:bottom w:val="single" w:sz="4" w:space="0" w:color="365F91"/>
            </w:tcBorders>
          </w:tcPr>
          <w:p w14:paraId="13A23FFE" w14:textId="77777777" w:rsidR="00005A00" w:rsidRPr="00256982" w:rsidRDefault="00005A00" w:rsidP="00AA14F1">
            <w:pPr>
              <w:pStyle w:val="TableTextBold"/>
              <w:spacing w:before="50" w:after="50"/>
              <w:rPr>
                <w:noProof w:val="0"/>
              </w:rPr>
            </w:pPr>
            <w:r w:rsidRPr="00256982">
              <w:rPr>
                <w:noProof w:val="0"/>
              </w:rPr>
              <w:t>2013–17</w:t>
            </w:r>
          </w:p>
        </w:tc>
        <w:tc>
          <w:tcPr>
            <w:tcW w:w="713" w:type="dxa"/>
            <w:tcBorders>
              <w:top w:val="single" w:sz="4" w:space="0" w:color="365F91"/>
              <w:bottom w:val="single" w:sz="4" w:space="0" w:color="365F91"/>
            </w:tcBorders>
            <w:shd w:val="clear" w:color="auto" w:fill="auto"/>
          </w:tcPr>
          <w:p w14:paraId="527DBB6E" w14:textId="77777777" w:rsidR="00005A00" w:rsidRPr="00256982" w:rsidRDefault="00005A00" w:rsidP="00AA14F1">
            <w:pPr>
              <w:pStyle w:val="TableText"/>
              <w:spacing w:before="50" w:after="50"/>
              <w:jc w:val="center"/>
            </w:pPr>
            <w:r w:rsidRPr="00256982">
              <w:t>17</w:t>
            </w:r>
          </w:p>
        </w:tc>
        <w:tc>
          <w:tcPr>
            <w:tcW w:w="849" w:type="dxa"/>
            <w:tcBorders>
              <w:top w:val="single" w:sz="4" w:space="0" w:color="365F91"/>
              <w:bottom w:val="single" w:sz="4" w:space="0" w:color="365F91"/>
            </w:tcBorders>
            <w:shd w:val="clear" w:color="auto" w:fill="auto"/>
          </w:tcPr>
          <w:p w14:paraId="3C8C41BA" w14:textId="77777777" w:rsidR="00005A00" w:rsidRPr="00256982" w:rsidRDefault="00005A00" w:rsidP="00AA14F1">
            <w:pPr>
              <w:pStyle w:val="TableText"/>
              <w:spacing w:before="50" w:after="50"/>
              <w:jc w:val="center"/>
              <w:rPr>
                <w:rFonts w:cs="Arial"/>
                <w:szCs w:val="16"/>
              </w:rPr>
            </w:pPr>
            <w:r w:rsidRPr="00256982">
              <w:rPr>
                <w:rFonts w:cs="Arial"/>
                <w:szCs w:val="16"/>
              </w:rPr>
              <w:t>8</w:t>
            </w:r>
          </w:p>
        </w:tc>
        <w:tc>
          <w:tcPr>
            <w:tcW w:w="790" w:type="dxa"/>
            <w:tcBorders>
              <w:top w:val="single" w:sz="4" w:space="0" w:color="365F91"/>
              <w:bottom w:val="single" w:sz="4" w:space="0" w:color="365F91"/>
            </w:tcBorders>
            <w:shd w:val="clear" w:color="auto" w:fill="auto"/>
          </w:tcPr>
          <w:p w14:paraId="6BC26372" w14:textId="77777777" w:rsidR="00005A00" w:rsidRPr="00256982" w:rsidRDefault="00005A00" w:rsidP="00AA14F1">
            <w:pPr>
              <w:pStyle w:val="TableText"/>
              <w:spacing w:before="50" w:after="50"/>
              <w:jc w:val="center"/>
              <w:rPr>
                <w:rFonts w:cs="Arial"/>
                <w:szCs w:val="16"/>
              </w:rPr>
            </w:pPr>
            <w:r w:rsidRPr="00256982">
              <w:rPr>
                <w:rFonts w:cs="Arial"/>
                <w:szCs w:val="16"/>
              </w:rPr>
              <w:t>11</w:t>
            </w:r>
          </w:p>
        </w:tc>
        <w:tc>
          <w:tcPr>
            <w:tcW w:w="739" w:type="dxa"/>
            <w:tcBorders>
              <w:top w:val="single" w:sz="4" w:space="0" w:color="365F91"/>
              <w:bottom w:val="single" w:sz="4" w:space="0" w:color="365F91"/>
            </w:tcBorders>
            <w:shd w:val="clear" w:color="auto" w:fill="auto"/>
          </w:tcPr>
          <w:p w14:paraId="1B6DF551" w14:textId="77777777" w:rsidR="00005A00" w:rsidRPr="00256982" w:rsidRDefault="00005A00" w:rsidP="00AA14F1">
            <w:pPr>
              <w:pStyle w:val="TableText"/>
              <w:spacing w:before="50" w:after="50"/>
              <w:jc w:val="center"/>
              <w:rPr>
                <w:rFonts w:cs="Arial"/>
                <w:szCs w:val="16"/>
              </w:rPr>
            </w:pPr>
            <w:r w:rsidRPr="00256982">
              <w:rPr>
                <w:rFonts w:cs="Arial"/>
                <w:szCs w:val="16"/>
              </w:rPr>
              <w:t>12</w:t>
            </w:r>
          </w:p>
        </w:tc>
        <w:tc>
          <w:tcPr>
            <w:tcW w:w="836" w:type="dxa"/>
            <w:tcBorders>
              <w:top w:val="single" w:sz="4" w:space="0" w:color="365F91"/>
              <w:bottom w:val="single" w:sz="4" w:space="0" w:color="365F91"/>
            </w:tcBorders>
            <w:shd w:val="clear" w:color="auto" w:fill="auto"/>
          </w:tcPr>
          <w:p w14:paraId="6468E34A" w14:textId="77777777" w:rsidR="00005A00" w:rsidRPr="00256982" w:rsidRDefault="00005A00" w:rsidP="00AA14F1">
            <w:pPr>
              <w:pStyle w:val="TableText"/>
              <w:spacing w:before="50" w:after="50"/>
              <w:jc w:val="center"/>
              <w:rPr>
                <w:rFonts w:cs="Arial"/>
                <w:szCs w:val="16"/>
              </w:rPr>
            </w:pPr>
            <w:r w:rsidRPr="00256982">
              <w:rPr>
                <w:rFonts w:cs="Arial"/>
                <w:szCs w:val="16"/>
              </w:rPr>
              <w:t>6</w:t>
            </w:r>
          </w:p>
        </w:tc>
        <w:tc>
          <w:tcPr>
            <w:tcW w:w="917" w:type="dxa"/>
            <w:tcBorders>
              <w:top w:val="single" w:sz="4" w:space="0" w:color="365F91"/>
              <w:bottom w:val="single" w:sz="4" w:space="0" w:color="365F91"/>
            </w:tcBorders>
            <w:shd w:val="clear" w:color="auto" w:fill="auto"/>
          </w:tcPr>
          <w:p w14:paraId="26E476EF" w14:textId="77777777" w:rsidR="00005A00" w:rsidRPr="00256982" w:rsidRDefault="00005A00" w:rsidP="00AA14F1">
            <w:pPr>
              <w:pStyle w:val="TableText"/>
              <w:spacing w:before="50" w:after="50"/>
              <w:jc w:val="center"/>
              <w:rPr>
                <w:rFonts w:cs="Arial"/>
                <w:szCs w:val="16"/>
              </w:rPr>
            </w:pPr>
            <w:r w:rsidRPr="00256982">
              <w:rPr>
                <w:rFonts w:cs="Arial"/>
                <w:szCs w:val="16"/>
              </w:rPr>
              <w:t>3</w:t>
            </w:r>
          </w:p>
        </w:tc>
        <w:tc>
          <w:tcPr>
            <w:tcW w:w="742" w:type="dxa"/>
            <w:tcBorders>
              <w:top w:val="single" w:sz="4" w:space="0" w:color="365F91"/>
              <w:bottom w:val="single" w:sz="4" w:space="0" w:color="365F91"/>
            </w:tcBorders>
            <w:shd w:val="clear" w:color="auto" w:fill="auto"/>
          </w:tcPr>
          <w:p w14:paraId="25B37BA1" w14:textId="77777777" w:rsidR="00005A00" w:rsidRPr="00256982" w:rsidRDefault="00005A00" w:rsidP="00AA14F1">
            <w:pPr>
              <w:pStyle w:val="TableText"/>
              <w:spacing w:before="50" w:after="50"/>
              <w:jc w:val="center"/>
              <w:rPr>
                <w:rFonts w:cs="Arial"/>
                <w:szCs w:val="16"/>
              </w:rPr>
            </w:pPr>
            <w:r w:rsidRPr="00256982">
              <w:rPr>
                <w:rFonts w:cs="Arial"/>
                <w:szCs w:val="16"/>
              </w:rPr>
              <w:t>44</w:t>
            </w:r>
          </w:p>
        </w:tc>
        <w:tc>
          <w:tcPr>
            <w:tcW w:w="1341" w:type="dxa"/>
            <w:tcBorders>
              <w:top w:val="single" w:sz="4" w:space="0" w:color="365F91"/>
              <w:bottom w:val="single" w:sz="4" w:space="0" w:color="365F91"/>
            </w:tcBorders>
          </w:tcPr>
          <w:p w14:paraId="719A89EE" w14:textId="77777777" w:rsidR="00005A00" w:rsidRPr="00256982" w:rsidRDefault="00005A00" w:rsidP="00AA14F1">
            <w:pPr>
              <w:pStyle w:val="TableText"/>
              <w:spacing w:before="50" w:after="50"/>
              <w:rPr>
                <w:rFonts w:cs="Arial"/>
                <w:szCs w:val="16"/>
              </w:rPr>
            </w:pPr>
            <w:r w:rsidRPr="00256982">
              <w:rPr>
                <w:rFonts w:cs="Arial"/>
                <w:szCs w:val="16"/>
              </w:rPr>
              <w:t>Assumed same as 2012</w:t>
            </w:r>
          </w:p>
        </w:tc>
      </w:tr>
    </w:tbl>
    <w:p w14:paraId="33B333B7" w14:textId="77777777" w:rsidR="00005A00" w:rsidRPr="00256982" w:rsidRDefault="00005A00" w:rsidP="00005A00">
      <w:pPr>
        <w:pStyle w:val="BodyText"/>
        <w:spacing w:before="240"/>
        <w:rPr>
          <w:spacing w:val="-2"/>
        </w:rPr>
      </w:pPr>
      <w:r w:rsidRPr="00256982">
        <w:rPr>
          <w:spacing w:val="-2"/>
        </w:rPr>
        <w:t>The resulting estimates of DOC content in the waste, with the IPCC default DOC fraction for each component, track these changes in composition. The overall average DOC fraction (including individual sites with different composition) has changed through the time series, increasing from 0.145 in the 1950s to peak at 0.175 in 2004, and then back down to 0.156 in 2012.</w:t>
      </w:r>
    </w:p>
    <w:p w14:paraId="7CD3C526" w14:textId="77777777" w:rsidR="00005A00" w:rsidRPr="00256982" w:rsidRDefault="00005A00" w:rsidP="00005A00">
      <w:pPr>
        <w:pStyle w:val="Heading6"/>
      </w:pPr>
      <w:r w:rsidRPr="00256982">
        <w:t>Methane correction factor and oxidation factor</w:t>
      </w:r>
    </w:p>
    <w:p w14:paraId="633F428E" w14:textId="77777777" w:rsidR="00005A00" w:rsidRPr="00256982" w:rsidRDefault="00005A00" w:rsidP="00005A00">
      <w:pPr>
        <w:pStyle w:val="BodyText"/>
      </w:pPr>
      <w:r w:rsidRPr="00256982">
        <w:t>The CH</w:t>
      </w:r>
      <w:r w:rsidRPr="00256982">
        <w:rPr>
          <w:vertAlign w:val="subscript"/>
        </w:rPr>
        <w:t>4</w:t>
      </w:r>
      <w:r w:rsidRPr="00256982">
        <w:t xml:space="preserve"> correction factor used is 1.0 for all managed landfill sites, both landfills with LFG recovery and those without. An oxidation factor of 10 per cent is used for waste disposed to these sites.</w:t>
      </w:r>
    </w:p>
    <w:p w14:paraId="0CE93641" w14:textId="77777777" w:rsidR="00005A00" w:rsidRPr="00256982" w:rsidRDefault="00005A00" w:rsidP="00005A00">
      <w:pPr>
        <w:pStyle w:val="BodyText"/>
      </w:pPr>
      <w:r w:rsidRPr="00256982">
        <w:t>For all sites other than managed landfills, there was an unknown mix of shallow and deep disposal areas. A survey carried out in 1971 revealed that larger sites in operation were assessed at that time to be roughly half deep (more than 5 metres) and half shallow. The use of cover material was variable. Therefore, for uncategorised sites, a CH</w:t>
      </w:r>
      <w:r w:rsidRPr="00256982">
        <w:rPr>
          <w:vertAlign w:val="subscript"/>
        </w:rPr>
        <w:t>4</w:t>
      </w:r>
      <w:r w:rsidRPr="00256982">
        <w:t xml:space="preserve"> correction factor of 0.6 and an oxidation factor of zero have been used.</w:t>
      </w:r>
    </w:p>
    <w:p w14:paraId="69D307F8" w14:textId="77777777" w:rsidR="00005A00" w:rsidRPr="00256982" w:rsidRDefault="00005A00" w:rsidP="00005A00">
      <w:pPr>
        <w:pStyle w:val="Heading6"/>
      </w:pPr>
      <w:r w:rsidRPr="00256982">
        <w:t>Methane generation rates</w:t>
      </w:r>
    </w:p>
    <w:p w14:paraId="5FE5A350" w14:textId="77777777" w:rsidR="00005A00" w:rsidRPr="00256982" w:rsidRDefault="00005A00" w:rsidP="00005A00">
      <w:pPr>
        <w:pStyle w:val="BodyText"/>
      </w:pPr>
      <w:r w:rsidRPr="00256982">
        <w:t>For the landfills with LFG recovery, k-values for waste were estimated based on those used for municipal solid waste in the United States inventory as at 2007, which were considered more appropriate than IPCC defaults because the waste composition is more closely comparable with that of the United States. Figure 7.2.1 shows the similarity in composition of municipal solid waste to landfills between the United States and New Zealand (United States Environmental Protection Agency, 2014).</w:t>
      </w:r>
    </w:p>
    <w:p w14:paraId="07B71553" w14:textId="77777777" w:rsidR="00005A00" w:rsidRPr="00256982" w:rsidRDefault="00005A00" w:rsidP="00005A00">
      <w:pPr>
        <w:pStyle w:val="Figure"/>
        <w:spacing w:after="0"/>
      </w:pPr>
      <w:bookmarkStart w:id="2308" w:name="_Toc511116990"/>
      <w:bookmarkStart w:id="2309" w:name="_Toc5269719"/>
      <w:r w:rsidRPr="00256982">
        <w:lastRenderedPageBreak/>
        <w:t>Figure 7.2.1</w:t>
      </w:r>
      <w:r w:rsidRPr="00256982">
        <w:tab/>
        <w:t>The composition of municipal solid waste landfilled in New Zealand and the</w:t>
      </w:r>
      <w:r w:rsidRPr="00256982">
        <w:br/>
        <w:t>United States</w:t>
      </w:r>
      <w:bookmarkEnd w:id="2308"/>
      <w:bookmarkEnd w:id="2309"/>
    </w:p>
    <w:p w14:paraId="15B9BBCA" w14:textId="77777777" w:rsidR="00005A00" w:rsidRPr="00256982" w:rsidRDefault="00590491" w:rsidP="00005A00">
      <w:pPr>
        <w:pStyle w:val="BodyText"/>
        <w:spacing w:before="0" w:after="0"/>
      </w:pPr>
      <w:r>
        <w:rPr>
          <w:lang w:eastAsia="en-NZ"/>
        </w:rPr>
        <w:pict w14:anchorId="07A49B9A">
          <v:shape id="_x0000_i1152" type="#_x0000_t75" style="width:395.25pt;height:3in;visibility:visible" o:gfxdata="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">
            <v:imagedata r:id="rId224" o:title="" croptop="3089f" cropbottom="1645f"/>
            <o:lock v:ext="edit" aspectratio="f"/>
          </v:shape>
        </w:pict>
      </w:r>
    </w:p>
    <w:p w14:paraId="1165F56C" w14:textId="77777777" w:rsidR="00005A00" w:rsidRPr="00256982" w:rsidRDefault="00005A00" w:rsidP="00005A00">
      <w:pPr>
        <w:pStyle w:val="Noteundertable"/>
      </w:pPr>
      <w:r w:rsidRPr="00256982">
        <w:rPr>
          <w:b/>
        </w:rPr>
        <w:t>Note:</w:t>
      </w:r>
      <w:r w:rsidRPr="00256982">
        <w:t xml:space="preserve"> </w:t>
      </w:r>
      <w:r w:rsidRPr="00256982">
        <w:tab/>
        <w:t>Nappies were not specified for the US survey, so for New Zealand, nappies (3.0 per cent) have been included with textiles (5.6 per cent) because they use the same DOC value.</w:t>
      </w:r>
    </w:p>
    <w:p w14:paraId="0F84FD30" w14:textId="77777777" w:rsidR="00005A00" w:rsidRPr="00256982" w:rsidRDefault="00005A00" w:rsidP="00005A00">
      <w:pPr>
        <w:pStyle w:val="BodyText"/>
      </w:pPr>
      <w:r w:rsidRPr="00256982">
        <w:t>In addition, the k-values for some managed landfills with LFG recovery were increased by 5 per cent to 25 per cent to account for the conditions of sites that do not collect leachate, sites that recirculate leachate and sites that were assessed to be using poor-quality capping materials or practices (SKM, unpublished(b)). The k-values for managed landfills with LFG recovery are shown in table 7.2.5, along with data on the proportion of placement managed by each group of landfills with common k-values.</w:t>
      </w:r>
    </w:p>
    <w:p w14:paraId="7BF1E2D1" w14:textId="77777777" w:rsidR="00005A00" w:rsidRPr="00256982" w:rsidRDefault="00005A00" w:rsidP="00005A00">
      <w:pPr>
        <w:pStyle w:val="Table"/>
      </w:pPr>
      <w:bookmarkStart w:id="2310" w:name="_Toc444001620"/>
      <w:bookmarkStart w:id="2311" w:name="_Toc451176172"/>
      <w:bookmarkStart w:id="2312" w:name="_Toc481751602"/>
      <w:bookmarkStart w:id="2313" w:name="_Toc508019326"/>
      <w:bookmarkStart w:id="2314" w:name="_Toc511116824"/>
      <w:bookmarkStart w:id="2315" w:name="_Toc5269565"/>
      <w:r w:rsidRPr="00256982">
        <w:t>Table 7.2.5</w:t>
      </w:r>
      <w:r w:rsidRPr="00256982">
        <w:tab/>
        <w:t>Methane generation rates used for landfills with landfill gas recovery</w:t>
      </w:r>
      <w:bookmarkEnd w:id="2310"/>
      <w:bookmarkEnd w:id="2311"/>
      <w:bookmarkEnd w:id="2312"/>
      <w:r w:rsidRPr="00256982">
        <w:t>, 1990 and 201</w:t>
      </w:r>
      <w:bookmarkEnd w:id="2313"/>
      <w:bookmarkEnd w:id="2314"/>
      <w:r w:rsidRPr="00256982">
        <w:t>7</w:t>
      </w:r>
      <w:bookmarkEnd w:id="2315"/>
    </w:p>
    <w:tbl>
      <w:tblPr>
        <w:tblW w:w="8505" w:type="dxa"/>
        <w:tblInd w:w="108" w:type="dxa"/>
        <w:tblBorders>
          <w:top w:val="single" w:sz="4" w:space="0" w:color="365F91"/>
          <w:bottom w:val="single" w:sz="4" w:space="0" w:color="365F91"/>
          <w:insideH w:val="single" w:sz="4" w:space="0" w:color="365F91"/>
        </w:tblBorders>
        <w:tblLayout w:type="fixed"/>
        <w:tblLook w:val="04A0" w:firstRow="1" w:lastRow="0" w:firstColumn="1" w:lastColumn="0" w:noHBand="0" w:noVBand="1"/>
      </w:tblPr>
      <w:tblGrid>
        <w:gridCol w:w="914"/>
        <w:gridCol w:w="1354"/>
        <w:gridCol w:w="4253"/>
        <w:gridCol w:w="992"/>
        <w:gridCol w:w="992"/>
      </w:tblGrid>
      <w:tr w:rsidR="00005A00" w:rsidRPr="00256982" w14:paraId="793AA9CF" w14:textId="77777777" w:rsidTr="00AA14F1">
        <w:tc>
          <w:tcPr>
            <w:tcW w:w="914" w:type="dxa"/>
            <w:vMerge w:val="restart"/>
            <w:shd w:val="clear" w:color="auto" w:fill="365F91"/>
            <w:vAlign w:val="bottom"/>
          </w:tcPr>
          <w:p w14:paraId="0997579A" w14:textId="77777777" w:rsidR="00005A00" w:rsidRPr="00256982" w:rsidRDefault="00005A00" w:rsidP="00AA14F1">
            <w:pPr>
              <w:pStyle w:val="TableTextBold"/>
              <w:spacing w:before="40" w:after="40"/>
              <w:rPr>
                <w:noProof w:val="0"/>
                <w:color w:val="FFFFFF"/>
              </w:rPr>
            </w:pPr>
            <w:r w:rsidRPr="00256982">
              <w:rPr>
                <w:noProof w:val="0"/>
                <w:color w:val="FFFFFF"/>
              </w:rPr>
              <w:t>k-value</w:t>
            </w:r>
          </w:p>
        </w:tc>
        <w:tc>
          <w:tcPr>
            <w:tcW w:w="1354" w:type="dxa"/>
            <w:vMerge w:val="restart"/>
            <w:shd w:val="clear" w:color="auto" w:fill="365F91"/>
            <w:vAlign w:val="bottom"/>
          </w:tcPr>
          <w:p w14:paraId="0E08632C" w14:textId="77777777" w:rsidR="00005A00" w:rsidRPr="00256982" w:rsidRDefault="00005A00" w:rsidP="00AA14F1">
            <w:pPr>
              <w:pStyle w:val="TableTextBold"/>
              <w:spacing w:before="40" w:after="40"/>
              <w:jc w:val="center"/>
              <w:rPr>
                <w:noProof w:val="0"/>
                <w:color w:val="FFFFFF"/>
              </w:rPr>
            </w:pPr>
            <w:r w:rsidRPr="00256982">
              <w:rPr>
                <w:noProof w:val="0"/>
                <w:color w:val="FFFFFF"/>
              </w:rPr>
              <w:t>Number of sites applying this k-value</w:t>
            </w:r>
          </w:p>
        </w:tc>
        <w:tc>
          <w:tcPr>
            <w:tcW w:w="4253" w:type="dxa"/>
            <w:vMerge w:val="restart"/>
            <w:shd w:val="clear" w:color="auto" w:fill="365F91"/>
            <w:vAlign w:val="bottom"/>
          </w:tcPr>
          <w:p w14:paraId="72D1599C" w14:textId="77777777" w:rsidR="00005A00" w:rsidRPr="00256982" w:rsidRDefault="00005A00" w:rsidP="00AA14F1">
            <w:pPr>
              <w:pStyle w:val="TableTextBold"/>
              <w:spacing w:before="40" w:after="40"/>
              <w:rPr>
                <w:noProof w:val="0"/>
                <w:color w:val="FFFFFF"/>
              </w:rPr>
            </w:pPr>
            <w:r w:rsidRPr="00256982">
              <w:rPr>
                <w:noProof w:val="0"/>
                <w:color w:val="FFFFFF"/>
              </w:rPr>
              <w:t>Comment</w:t>
            </w:r>
          </w:p>
        </w:tc>
        <w:tc>
          <w:tcPr>
            <w:tcW w:w="1984" w:type="dxa"/>
            <w:gridSpan w:val="2"/>
            <w:shd w:val="clear" w:color="auto" w:fill="365F91"/>
            <w:vAlign w:val="bottom"/>
          </w:tcPr>
          <w:p w14:paraId="6467B293" w14:textId="77777777" w:rsidR="00005A00" w:rsidRPr="00256982" w:rsidRDefault="00005A00" w:rsidP="00AA14F1">
            <w:pPr>
              <w:pStyle w:val="TableTextBold"/>
              <w:spacing w:before="40" w:after="40"/>
              <w:jc w:val="center"/>
              <w:rPr>
                <w:noProof w:val="0"/>
                <w:color w:val="FFFFFF"/>
              </w:rPr>
            </w:pPr>
            <w:r w:rsidRPr="00256982">
              <w:rPr>
                <w:noProof w:val="0"/>
                <w:color w:val="FFFFFF"/>
              </w:rPr>
              <w:t>Percentage of waste disposed to site group</w:t>
            </w:r>
          </w:p>
        </w:tc>
      </w:tr>
      <w:tr w:rsidR="00005A00" w:rsidRPr="00256982" w14:paraId="0936EF0F" w14:textId="77777777" w:rsidTr="00AA14F1">
        <w:tc>
          <w:tcPr>
            <w:tcW w:w="914" w:type="dxa"/>
            <w:vMerge/>
            <w:shd w:val="clear" w:color="auto" w:fill="365F91"/>
            <w:vAlign w:val="bottom"/>
          </w:tcPr>
          <w:p w14:paraId="5A91666E" w14:textId="77777777" w:rsidR="00005A00" w:rsidRPr="00256982" w:rsidRDefault="00005A00" w:rsidP="00AA14F1">
            <w:pPr>
              <w:pStyle w:val="TableTextBold"/>
              <w:spacing w:before="40" w:after="40"/>
              <w:rPr>
                <w:noProof w:val="0"/>
                <w:color w:val="FFFFFF"/>
              </w:rPr>
            </w:pPr>
          </w:p>
        </w:tc>
        <w:tc>
          <w:tcPr>
            <w:tcW w:w="1354" w:type="dxa"/>
            <w:vMerge/>
            <w:shd w:val="clear" w:color="auto" w:fill="365F91"/>
            <w:vAlign w:val="bottom"/>
          </w:tcPr>
          <w:p w14:paraId="17136A19" w14:textId="77777777" w:rsidR="00005A00" w:rsidRPr="00256982" w:rsidRDefault="00005A00" w:rsidP="00AA14F1">
            <w:pPr>
              <w:pStyle w:val="TableTextBold"/>
              <w:spacing w:before="40" w:after="40"/>
              <w:rPr>
                <w:noProof w:val="0"/>
                <w:color w:val="FFFFFF"/>
              </w:rPr>
            </w:pPr>
          </w:p>
        </w:tc>
        <w:tc>
          <w:tcPr>
            <w:tcW w:w="4253" w:type="dxa"/>
            <w:vMerge/>
            <w:shd w:val="clear" w:color="auto" w:fill="365F91"/>
            <w:vAlign w:val="bottom"/>
          </w:tcPr>
          <w:p w14:paraId="5ED9F648" w14:textId="77777777" w:rsidR="00005A00" w:rsidRPr="00256982" w:rsidRDefault="00005A00" w:rsidP="00AA14F1">
            <w:pPr>
              <w:pStyle w:val="TableTextBold"/>
              <w:spacing w:before="40" w:after="40"/>
              <w:rPr>
                <w:noProof w:val="0"/>
                <w:color w:val="FFFFFF"/>
              </w:rPr>
            </w:pPr>
          </w:p>
        </w:tc>
        <w:tc>
          <w:tcPr>
            <w:tcW w:w="992" w:type="dxa"/>
            <w:shd w:val="clear" w:color="auto" w:fill="365F91"/>
            <w:vAlign w:val="bottom"/>
          </w:tcPr>
          <w:p w14:paraId="6ACA00A5" w14:textId="77777777" w:rsidR="00005A00" w:rsidRPr="00256982" w:rsidRDefault="00005A00" w:rsidP="00AA14F1">
            <w:pPr>
              <w:pStyle w:val="TableTextBold"/>
              <w:spacing w:before="0" w:after="40"/>
              <w:jc w:val="center"/>
              <w:rPr>
                <w:noProof w:val="0"/>
                <w:color w:val="FFFFFF"/>
              </w:rPr>
            </w:pPr>
            <w:r w:rsidRPr="00256982">
              <w:rPr>
                <w:noProof w:val="0"/>
                <w:color w:val="FFFFFF"/>
              </w:rPr>
              <w:t>1990</w:t>
            </w:r>
          </w:p>
        </w:tc>
        <w:tc>
          <w:tcPr>
            <w:tcW w:w="992" w:type="dxa"/>
            <w:shd w:val="clear" w:color="auto" w:fill="365F91"/>
            <w:vAlign w:val="bottom"/>
          </w:tcPr>
          <w:p w14:paraId="6287A7A2" w14:textId="77777777" w:rsidR="00005A00" w:rsidRPr="00256982" w:rsidRDefault="00005A00" w:rsidP="00AA14F1">
            <w:pPr>
              <w:pStyle w:val="TableTextBold"/>
              <w:spacing w:before="0" w:after="40"/>
              <w:jc w:val="center"/>
              <w:rPr>
                <w:noProof w:val="0"/>
                <w:color w:val="FFFFFF"/>
              </w:rPr>
            </w:pPr>
            <w:r w:rsidRPr="00256982">
              <w:rPr>
                <w:noProof w:val="0"/>
                <w:color w:val="FFFFFF"/>
              </w:rPr>
              <w:t>2017</w:t>
            </w:r>
          </w:p>
        </w:tc>
      </w:tr>
      <w:tr w:rsidR="00005A00" w:rsidRPr="00256982" w14:paraId="64E4056F" w14:textId="77777777" w:rsidTr="00AA14F1">
        <w:tc>
          <w:tcPr>
            <w:tcW w:w="914" w:type="dxa"/>
          </w:tcPr>
          <w:p w14:paraId="1B7DD9EF" w14:textId="77777777" w:rsidR="00005A00" w:rsidRPr="00256982" w:rsidRDefault="00005A00" w:rsidP="00AA14F1">
            <w:pPr>
              <w:pStyle w:val="TableText"/>
              <w:spacing w:before="40" w:after="40"/>
            </w:pPr>
            <w:r w:rsidRPr="00256982">
              <w:t>0.038</w:t>
            </w:r>
          </w:p>
        </w:tc>
        <w:tc>
          <w:tcPr>
            <w:tcW w:w="1354" w:type="dxa"/>
          </w:tcPr>
          <w:p w14:paraId="461E643D" w14:textId="77777777" w:rsidR="00005A00" w:rsidRPr="00256982" w:rsidRDefault="00005A00" w:rsidP="00AA14F1">
            <w:pPr>
              <w:pStyle w:val="TableText"/>
              <w:spacing w:before="40" w:after="40"/>
              <w:jc w:val="center"/>
            </w:pPr>
            <w:r w:rsidRPr="00256982">
              <w:t>8</w:t>
            </w:r>
          </w:p>
        </w:tc>
        <w:tc>
          <w:tcPr>
            <w:tcW w:w="4253" w:type="dxa"/>
          </w:tcPr>
          <w:p w14:paraId="16F85DC4" w14:textId="77777777" w:rsidR="00005A00" w:rsidRPr="00256982" w:rsidRDefault="00005A00" w:rsidP="00AA14F1">
            <w:pPr>
              <w:pStyle w:val="TableText"/>
              <w:spacing w:before="40" w:after="40"/>
            </w:pPr>
            <w:r w:rsidRPr="00256982">
              <w:t>US default for sites with 500–1,000mm of annual rainfall</w:t>
            </w:r>
          </w:p>
        </w:tc>
        <w:tc>
          <w:tcPr>
            <w:tcW w:w="992" w:type="dxa"/>
          </w:tcPr>
          <w:p w14:paraId="5131E75E" w14:textId="77777777" w:rsidR="00005A00" w:rsidRPr="00256982" w:rsidRDefault="00005A00" w:rsidP="00AA14F1">
            <w:pPr>
              <w:pStyle w:val="TableText"/>
              <w:spacing w:before="40" w:after="40"/>
              <w:jc w:val="center"/>
              <w:rPr>
                <w:highlight w:val="yellow"/>
              </w:rPr>
            </w:pPr>
            <w:r w:rsidRPr="00256982">
              <w:t>30.5</w:t>
            </w:r>
          </w:p>
        </w:tc>
        <w:tc>
          <w:tcPr>
            <w:tcW w:w="992" w:type="dxa"/>
          </w:tcPr>
          <w:p w14:paraId="0285DFB6" w14:textId="77777777" w:rsidR="00005A00" w:rsidRPr="00256982" w:rsidRDefault="00005A00" w:rsidP="00AA14F1">
            <w:pPr>
              <w:pStyle w:val="TableText"/>
              <w:spacing w:before="40" w:after="40"/>
              <w:jc w:val="center"/>
              <w:rPr>
                <w:highlight w:val="yellow"/>
              </w:rPr>
            </w:pPr>
            <w:r w:rsidRPr="00256982">
              <w:t>21.7</w:t>
            </w:r>
          </w:p>
        </w:tc>
      </w:tr>
      <w:tr w:rsidR="00005A00" w:rsidRPr="00256982" w14:paraId="4CBD0B99" w14:textId="77777777" w:rsidTr="00AA14F1">
        <w:tc>
          <w:tcPr>
            <w:tcW w:w="914" w:type="dxa"/>
          </w:tcPr>
          <w:p w14:paraId="1AB155A3" w14:textId="77777777" w:rsidR="00005A00" w:rsidRPr="00256982" w:rsidRDefault="00005A00" w:rsidP="00AA14F1">
            <w:pPr>
              <w:pStyle w:val="TableText"/>
              <w:spacing w:before="40" w:after="40"/>
            </w:pPr>
            <w:r w:rsidRPr="00256982">
              <w:t>0.0418</w:t>
            </w:r>
          </w:p>
        </w:tc>
        <w:tc>
          <w:tcPr>
            <w:tcW w:w="1354" w:type="dxa"/>
          </w:tcPr>
          <w:p w14:paraId="202EFE52" w14:textId="77777777" w:rsidR="00005A00" w:rsidRPr="00256982" w:rsidRDefault="00005A00" w:rsidP="00AA14F1">
            <w:pPr>
              <w:pStyle w:val="TableText"/>
              <w:spacing w:before="40" w:after="40"/>
              <w:jc w:val="center"/>
            </w:pPr>
            <w:r w:rsidRPr="00256982">
              <w:t>1</w:t>
            </w:r>
          </w:p>
        </w:tc>
        <w:tc>
          <w:tcPr>
            <w:tcW w:w="4253" w:type="dxa"/>
          </w:tcPr>
          <w:p w14:paraId="45DF5ACB" w14:textId="77777777" w:rsidR="00005A00" w:rsidRPr="00256982" w:rsidRDefault="00005A00" w:rsidP="00AA14F1">
            <w:pPr>
              <w:pStyle w:val="TableText"/>
              <w:spacing w:before="40" w:after="40"/>
            </w:pPr>
            <w:r w:rsidRPr="00256982">
              <w:t>k-value modified for site-specific conditions</w:t>
            </w:r>
          </w:p>
        </w:tc>
        <w:tc>
          <w:tcPr>
            <w:tcW w:w="992" w:type="dxa"/>
          </w:tcPr>
          <w:p w14:paraId="24AAF0C5" w14:textId="77777777" w:rsidR="00005A00" w:rsidRPr="00256982" w:rsidRDefault="00005A00" w:rsidP="00AA14F1">
            <w:pPr>
              <w:pStyle w:val="TableText"/>
              <w:spacing w:before="40" w:after="40"/>
              <w:jc w:val="center"/>
              <w:rPr>
                <w:highlight w:val="yellow"/>
              </w:rPr>
            </w:pPr>
            <w:r w:rsidRPr="00256982">
              <w:t>–</w:t>
            </w:r>
          </w:p>
        </w:tc>
        <w:tc>
          <w:tcPr>
            <w:tcW w:w="992" w:type="dxa"/>
          </w:tcPr>
          <w:p w14:paraId="4CE372EF" w14:textId="77777777" w:rsidR="00005A00" w:rsidRPr="00256982" w:rsidRDefault="00005A00" w:rsidP="00AA14F1">
            <w:pPr>
              <w:pStyle w:val="TableText"/>
              <w:spacing w:before="40" w:after="40"/>
              <w:jc w:val="center"/>
              <w:rPr>
                <w:highlight w:val="yellow"/>
              </w:rPr>
            </w:pPr>
            <w:r w:rsidRPr="00256982">
              <w:t>0.8</w:t>
            </w:r>
          </w:p>
        </w:tc>
      </w:tr>
      <w:tr w:rsidR="00005A00" w:rsidRPr="00256982" w14:paraId="529D19E6" w14:textId="77777777" w:rsidTr="00AA14F1">
        <w:tc>
          <w:tcPr>
            <w:tcW w:w="914" w:type="dxa"/>
          </w:tcPr>
          <w:p w14:paraId="0B72BF15" w14:textId="77777777" w:rsidR="00005A00" w:rsidRPr="00256982" w:rsidRDefault="00005A00" w:rsidP="00AA14F1">
            <w:pPr>
              <w:pStyle w:val="TableText"/>
              <w:spacing w:before="40" w:after="40"/>
            </w:pPr>
            <w:r w:rsidRPr="00256982">
              <w:t>0.0475</w:t>
            </w:r>
          </w:p>
        </w:tc>
        <w:tc>
          <w:tcPr>
            <w:tcW w:w="1354" w:type="dxa"/>
          </w:tcPr>
          <w:p w14:paraId="4C193B94" w14:textId="77777777" w:rsidR="00005A00" w:rsidRPr="00256982" w:rsidRDefault="00005A00" w:rsidP="00AA14F1">
            <w:pPr>
              <w:pStyle w:val="TableText"/>
              <w:spacing w:before="40" w:after="40"/>
              <w:jc w:val="center"/>
            </w:pPr>
            <w:r w:rsidRPr="00256982">
              <w:t>1</w:t>
            </w:r>
          </w:p>
        </w:tc>
        <w:tc>
          <w:tcPr>
            <w:tcW w:w="4253" w:type="dxa"/>
          </w:tcPr>
          <w:p w14:paraId="7F0F8A62" w14:textId="77777777" w:rsidR="00005A00" w:rsidRPr="00256982" w:rsidRDefault="00005A00" w:rsidP="00AA14F1">
            <w:pPr>
              <w:pStyle w:val="TableText"/>
              <w:spacing w:before="40" w:after="40"/>
            </w:pPr>
            <w:r w:rsidRPr="00256982">
              <w:t>k-value modified for site-specific conditions</w:t>
            </w:r>
          </w:p>
        </w:tc>
        <w:tc>
          <w:tcPr>
            <w:tcW w:w="992" w:type="dxa"/>
          </w:tcPr>
          <w:p w14:paraId="123CC7D7" w14:textId="77777777" w:rsidR="00005A00" w:rsidRPr="00256982" w:rsidRDefault="00005A00" w:rsidP="00AA14F1">
            <w:pPr>
              <w:pStyle w:val="TableText"/>
              <w:spacing w:before="40" w:after="40"/>
              <w:jc w:val="center"/>
              <w:rPr>
                <w:highlight w:val="yellow"/>
              </w:rPr>
            </w:pPr>
            <w:r w:rsidRPr="00256982">
              <w:t>6.3</w:t>
            </w:r>
          </w:p>
        </w:tc>
        <w:tc>
          <w:tcPr>
            <w:tcW w:w="992" w:type="dxa"/>
          </w:tcPr>
          <w:p w14:paraId="40CB4EDC" w14:textId="77777777" w:rsidR="00005A00" w:rsidRPr="00256982" w:rsidRDefault="00005A00" w:rsidP="00AA14F1">
            <w:pPr>
              <w:pStyle w:val="TableText"/>
              <w:spacing w:before="40" w:after="40"/>
              <w:jc w:val="center"/>
              <w:rPr>
                <w:highlight w:val="yellow"/>
              </w:rPr>
            </w:pPr>
            <w:r w:rsidRPr="00256982">
              <w:t>2.6</w:t>
            </w:r>
          </w:p>
        </w:tc>
      </w:tr>
      <w:tr w:rsidR="00005A00" w:rsidRPr="00256982" w14:paraId="0B3CF604" w14:textId="77777777" w:rsidTr="00AA14F1">
        <w:tc>
          <w:tcPr>
            <w:tcW w:w="914" w:type="dxa"/>
          </w:tcPr>
          <w:p w14:paraId="6FF76D6F" w14:textId="77777777" w:rsidR="00005A00" w:rsidRPr="00256982" w:rsidRDefault="00005A00" w:rsidP="00AA14F1">
            <w:pPr>
              <w:pStyle w:val="TableText"/>
              <w:spacing w:before="40" w:after="40"/>
            </w:pPr>
            <w:r w:rsidRPr="00256982">
              <w:t>0.057</w:t>
            </w:r>
          </w:p>
        </w:tc>
        <w:tc>
          <w:tcPr>
            <w:tcW w:w="1354" w:type="dxa"/>
          </w:tcPr>
          <w:p w14:paraId="022E3636" w14:textId="77777777" w:rsidR="00005A00" w:rsidRPr="00256982" w:rsidRDefault="00005A00" w:rsidP="00AA14F1">
            <w:pPr>
              <w:pStyle w:val="TableText"/>
              <w:spacing w:before="40" w:after="40"/>
              <w:jc w:val="center"/>
            </w:pPr>
            <w:r w:rsidRPr="00256982">
              <w:t>12</w:t>
            </w:r>
          </w:p>
        </w:tc>
        <w:tc>
          <w:tcPr>
            <w:tcW w:w="4253" w:type="dxa"/>
          </w:tcPr>
          <w:p w14:paraId="41E264E6" w14:textId="77777777" w:rsidR="00005A00" w:rsidRPr="00256982" w:rsidRDefault="00005A00" w:rsidP="00AA14F1">
            <w:pPr>
              <w:pStyle w:val="TableText"/>
              <w:spacing w:before="40" w:after="40"/>
            </w:pPr>
            <w:r w:rsidRPr="00256982">
              <w:t>US default for sites with more than 1,000mm of annual rainfall</w:t>
            </w:r>
          </w:p>
        </w:tc>
        <w:tc>
          <w:tcPr>
            <w:tcW w:w="992" w:type="dxa"/>
          </w:tcPr>
          <w:p w14:paraId="254596A3" w14:textId="77777777" w:rsidR="00005A00" w:rsidRPr="00256982" w:rsidRDefault="00005A00" w:rsidP="00AA14F1">
            <w:pPr>
              <w:pStyle w:val="TableText"/>
              <w:spacing w:before="40" w:after="40"/>
              <w:jc w:val="center"/>
              <w:rPr>
                <w:highlight w:val="yellow"/>
              </w:rPr>
            </w:pPr>
            <w:r w:rsidRPr="00256982">
              <w:t>57.1</w:t>
            </w:r>
          </w:p>
        </w:tc>
        <w:tc>
          <w:tcPr>
            <w:tcW w:w="992" w:type="dxa"/>
          </w:tcPr>
          <w:p w14:paraId="79B0B5D7" w14:textId="77777777" w:rsidR="00005A00" w:rsidRPr="00256982" w:rsidRDefault="00005A00" w:rsidP="00AA14F1">
            <w:pPr>
              <w:pStyle w:val="TableText"/>
              <w:spacing w:before="40" w:after="40"/>
              <w:jc w:val="center"/>
              <w:rPr>
                <w:highlight w:val="yellow"/>
              </w:rPr>
            </w:pPr>
            <w:r w:rsidRPr="00256982">
              <w:t>47.2</w:t>
            </w:r>
          </w:p>
        </w:tc>
      </w:tr>
      <w:tr w:rsidR="00005A00" w:rsidRPr="00256982" w14:paraId="6A37CD25" w14:textId="77777777" w:rsidTr="00AA14F1">
        <w:tc>
          <w:tcPr>
            <w:tcW w:w="914" w:type="dxa"/>
          </w:tcPr>
          <w:p w14:paraId="3CB6A323" w14:textId="77777777" w:rsidR="00005A00" w:rsidRPr="00256982" w:rsidRDefault="00005A00" w:rsidP="00AA14F1">
            <w:pPr>
              <w:pStyle w:val="TableText"/>
              <w:spacing w:before="40" w:after="40"/>
            </w:pPr>
            <w:r w:rsidRPr="00256982">
              <w:t>0.05985</w:t>
            </w:r>
          </w:p>
        </w:tc>
        <w:tc>
          <w:tcPr>
            <w:tcW w:w="1354" w:type="dxa"/>
          </w:tcPr>
          <w:p w14:paraId="459D4B95" w14:textId="77777777" w:rsidR="00005A00" w:rsidRPr="00256982" w:rsidRDefault="00005A00" w:rsidP="00AA14F1">
            <w:pPr>
              <w:pStyle w:val="TableText"/>
              <w:spacing w:before="40" w:after="40"/>
              <w:jc w:val="center"/>
            </w:pPr>
            <w:r w:rsidRPr="00256982">
              <w:t>2</w:t>
            </w:r>
          </w:p>
        </w:tc>
        <w:tc>
          <w:tcPr>
            <w:tcW w:w="4253" w:type="dxa"/>
          </w:tcPr>
          <w:p w14:paraId="3E69731D" w14:textId="77777777" w:rsidR="00005A00" w:rsidRPr="00256982" w:rsidRDefault="00005A00" w:rsidP="00AA14F1">
            <w:pPr>
              <w:pStyle w:val="TableText"/>
              <w:spacing w:before="40" w:after="40"/>
            </w:pPr>
            <w:r w:rsidRPr="00256982">
              <w:t>k-value modified for site-specific conditions</w:t>
            </w:r>
          </w:p>
        </w:tc>
        <w:tc>
          <w:tcPr>
            <w:tcW w:w="992" w:type="dxa"/>
          </w:tcPr>
          <w:p w14:paraId="6E71ED29" w14:textId="77777777" w:rsidR="00005A00" w:rsidRPr="00256982" w:rsidRDefault="00005A00" w:rsidP="00AA14F1">
            <w:pPr>
              <w:pStyle w:val="TableText"/>
              <w:spacing w:before="40" w:after="40"/>
              <w:jc w:val="center"/>
              <w:rPr>
                <w:highlight w:val="yellow"/>
              </w:rPr>
            </w:pPr>
            <w:r w:rsidRPr="00256982">
              <w:t>6.2</w:t>
            </w:r>
          </w:p>
        </w:tc>
        <w:tc>
          <w:tcPr>
            <w:tcW w:w="992" w:type="dxa"/>
          </w:tcPr>
          <w:p w14:paraId="23A41EA1" w14:textId="77777777" w:rsidR="00005A00" w:rsidRPr="00256982" w:rsidRDefault="00005A00" w:rsidP="00AA14F1">
            <w:pPr>
              <w:pStyle w:val="TableText"/>
              <w:spacing w:before="40" w:after="40"/>
              <w:jc w:val="center"/>
              <w:rPr>
                <w:highlight w:val="yellow"/>
              </w:rPr>
            </w:pPr>
            <w:r w:rsidRPr="00256982">
              <w:t>26.1</w:t>
            </w:r>
          </w:p>
        </w:tc>
      </w:tr>
      <w:tr w:rsidR="00005A00" w:rsidRPr="00256982" w14:paraId="5BBC591C" w14:textId="77777777" w:rsidTr="00AA14F1">
        <w:tc>
          <w:tcPr>
            <w:tcW w:w="914" w:type="dxa"/>
          </w:tcPr>
          <w:p w14:paraId="79C5E94B" w14:textId="77777777" w:rsidR="00005A00" w:rsidRPr="00256982" w:rsidRDefault="00005A00" w:rsidP="00AA14F1">
            <w:pPr>
              <w:pStyle w:val="TableText"/>
              <w:spacing w:before="40" w:after="40"/>
            </w:pPr>
            <w:r w:rsidRPr="00256982">
              <w:t>0.0627</w:t>
            </w:r>
          </w:p>
        </w:tc>
        <w:tc>
          <w:tcPr>
            <w:tcW w:w="1354" w:type="dxa"/>
          </w:tcPr>
          <w:p w14:paraId="3893CED1" w14:textId="77777777" w:rsidR="00005A00" w:rsidRPr="00256982" w:rsidRDefault="00005A00" w:rsidP="00AA14F1">
            <w:pPr>
              <w:pStyle w:val="TableText"/>
              <w:spacing w:before="40" w:after="40"/>
              <w:jc w:val="center"/>
            </w:pPr>
            <w:r w:rsidRPr="00256982">
              <w:t>1</w:t>
            </w:r>
          </w:p>
        </w:tc>
        <w:tc>
          <w:tcPr>
            <w:tcW w:w="4253" w:type="dxa"/>
          </w:tcPr>
          <w:p w14:paraId="19720969" w14:textId="77777777" w:rsidR="00005A00" w:rsidRPr="00256982" w:rsidRDefault="00005A00" w:rsidP="00AA14F1">
            <w:pPr>
              <w:pStyle w:val="TableText"/>
              <w:spacing w:before="40" w:after="40"/>
            </w:pPr>
            <w:r w:rsidRPr="00256982">
              <w:t>k-value modified for site-specific conditions</w:t>
            </w:r>
          </w:p>
        </w:tc>
        <w:tc>
          <w:tcPr>
            <w:tcW w:w="992" w:type="dxa"/>
          </w:tcPr>
          <w:p w14:paraId="46DFC0AF" w14:textId="77777777" w:rsidR="00005A00" w:rsidRPr="00256982" w:rsidRDefault="00005A00" w:rsidP="00AA14F1">
            <w:pPr>
              <w:pStyle w:val="TableText"/>
              <w:spacing w:before="40" w:after="40"/>
              <w:jc w:val="center"/>
            </w:pPr>
            <w:r w:rsidRPr="00256982">
              <w:t>–</w:t>
            </w:r>
          </w:p>
        </w:tc>
        <w:tc>
          <w:tcPr>
            <w:tcW w:w="992" w:type="dxa"/>
          </w:tcPr>
          <w:p w14:paraId="10EFD49E" w14:textId="77777777" w:rsidR="00005A00" w:rsidRPr="00256982" w:rsidRDefault="00005A00" w:rsidP="00AA14F1">
            <w:pPr>
              <w:pStyle w:val="TableText"/>
              <w:spacing w:before="40" w:after="40"/>
              <w:jc w:val="center"/>
              <w:rPr>
                <w:highlight w:val="yellow"/>
              </w:rPr>
            </w:pPr>
            <w:r w:rsidRPr="00256982">
              <w:t>1.6</w:t>
            </w:r>
          </w:p>
        </w:tc>
      </w:tr>
    </w:tbl>
    <w:p w14:paraId="63B36B59" w14:textId="77777777" w:rsidR="00005A00" w:rsidRPr="00256982" w:rsidRDefault="00005A00" w:rsidP="00005A00">
      <w:pPr>
        <w:pStyle w:val="BodyText"/>
        <w:spacing w:before="240"/>
      </w:pPr>
      <w:r w:rsidRPr="00256982">
        <w:t>For sites without LFG recovery, the IPCC default k-values for a wet temperate climate have been used on a waste composition basis. The wet temperate climate is the best overall match for New Zealand’s climate because site-specific data are not known for those sites.</w:t>
      </w:r>
    </w:p>
    <w:p w14:paraId="752A2FE9" w14:textId="77777777" w:rsidR="00005A00" w:rsidRPr="00256982" w:rsidRDefault="00005A00" w:rsidP="00005A00">
      <w:pPr>
        <w:pStyle w:val="Heading6"/>
      </w:pPr>
      <w:r w:rsidRPr="00256982">
        <w:t>Gas recovery</w:t>
      </w:r>
    </w:p>
    <w:p w14:paraId="6E7D0423" w14:textId="6AAB8DE9" w:rsidR="00005A00" w:rsidRPr="00256982" w:rsidRDefault="00005A00" w:rsidP="00005A00">
      <w:pPr>
        <w:pStyle w:val="BodyText"/>
      </w:pPr>
      <w:r w:rsidRPr="00256982">
        <w:t>For each of the landfill sites that have gas recovery, the recovery rate was determined based on the data that are available. Recovery rates for some years since 2014 and for some landfill sites can be determined using data from the NZ ETS and have been applied where available. The LFG data itself is not available from the NZ ETS, instead a unique emissions factor (UEF) is published for certain landfills each year. A UEF is based on piped LFG data, which is compared against generated emissions to determine the recovery rate. This data is verified by a third party as part of a landfill operator’s application for a UEF.</w:t>
      </w:r>
    </w:p>
    <w:p w14:paraId="4D14B4B7" w14:textId="2490B49C" w:rsidR="00005A00" w:rsidRPr="00256982" w:rsidRDefault="00005A00" w:rsidP="00005A00">
      <w:pPr>
        <w:pStyle w:val="BodyText"/>
        <w:rPr>
          <w:spacing w:val="-2"/>
        </w:rPr>
      </w:pPr>
      <w:r w:rsidRPr="00256982">
        <w:rPr>
          <w:spacing w:val="-2"/>
        </w:rPr>
        <w:lastRenderedPageBreak/>
        <w:t>The generated emissions are modelled for each UEF using a</w:t>
      </w:r>
      <w:r w:rsidR="00DF0BB6" w:rsidRPr="00256982">
        <w:rPr>
          <w:spacing w:val="-2"/>
        </w:rPr>
        <w:t>n</w:t>
      </w:r>
      <w:r w:rsidRPr="00256982">
        <w:rPr>
          <w:spacing w:val="-2"/>
        </w:rPr>
        <w:t xml:space="preserve"> FOD approach similar to the inventory. The main difference between the inventory and the ETS is that generated emissions in the NZ ETS are modelled using a per-waste-type, multi-phase decay model with default k</w:t>
      </w:r>
      <w:r w:rsidR="00E357B6" w:rsidRPr="00256982">
        <w:rPr>
          <w:spacing w:val="-2"/>
        </w:rPr>
        <w:noBreakHyphen/>
      </w:r>
      <w:r w:rsidRPr="00256982">
        <w:rPr>
          <w:spacing w:val="-2"/>
        </w:rPr>
        <w:t>values. This is compared to the inventory</w:t>
      </w:r>
      <w:r w:rsidR="00E357B6" w:rsidRPr="00256982">
        <w:rPr>
          <w:spacing w:val="-2"/>
        </w:rPr>
        <w:t>,</w:t>
      </w:r>
      <w:r w:rsidRPr="00256982">
        <w:rPr>
          <w:spacing w:val="-2"/>
        </w:rPr>
        <w:t xml:space="preserve"> which uses a single-phase bulk waste model with non-default k-values as per table 7.2.5. The NZ ETS also includes 5 per cent sludge in the composition for these sites whereas the inventory accounts for sludge in sites without LFG collection. Furthermore, it is assumed that the historical placement amounts used in calculating the UEF are the same as that used in the inventory. This is reasonable because landfill operators contributed to the historical data that </w:t>
      </w:r>
      <w:r w:rsidR="00E357B6" w:rsidRPr="00256982">
        <w:rPr>
          <w:spacing w:val="-2"/>
        </w:rPr>
        <w:t>are</w:t>
      </w:r>
      <w:r w:rsidRPr="00256982">
        <w:rPr>
          <w:spacing w:val="-2"/>
        </w:rPr>
        <w:t xml:space="preserve"> also used in the inventory. While the generated emissions data in the NZ ETS is confidential, the overall difference to modelled emissions is understood to be small such that the recovery rates from the NZ ETS are also applicable to the inventory. </w:t>
      </w:r>
    </w:p>
    <w:p w14:paraId="2E65B004" w14:textId="77777777" w:rsidR="00005A00" w:rsidRPr="00256982" w:rsidRDefault="00005A00" w:rsidP="00005A00">
      <w:pPr>
        <w:pStyle w:val="BodyText"/>
      </w:pPr>
      <w:r w:rsidRPr="00256982">
        <w:t>When the UEF is published in the form of a single-phase bulk waste approach, the LFG recovery rate is able to be calculated from the UEF by the equation:</w:t>
      </w:r>
    </w:p>
    <w:p w14:paraId="0E1E53A3" w14:textId="77777777" w:rsidR="00005A00" w:rsidRPr="00256982" w:rsidRDefault="00590491" w:rsidP="00E357B6">
      <w:pPr>
        <w:spacing w:after="60"/>
        <w:jc w:val="center"/>
      </w:pPr>
      <w:r>
        <w:pict w14:anchorId="50F222C9">
          <v:shape id="_x0000_i1153" type="#_x0000_t75" style="width:157.5pt;height:21.75pt" equationxml="&lt;?xml version=&quot;1.0&quot; encoding=&quot;UTF-8&quot; standalone=&quot;yes&quot;?&gt;&#10;&lt;?mso-application progid=&quot;Word.Document&quot;?&gt;&#10;&lt;w:wordDocument xmlns:aml=&quot;http://schemas.microsoft.com/aml/2001/core&quot; xmlns:wpc=&quot;http://schemas.microsoft.com/office/word/2010/wordprocessingCanvas&quot; xmlns:cx=&quot;http://schemas.microsoft.com/office/drawing/2014/chartex&quot; xmlns:cx1=&quot;http://schemas.microsoft.com/office/drawing/2015/9/8/chartex&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docPr&gt;&lt;w:view w:val=&quot;print&quot;/&gt;&lt;w:zoom w:percent=&quot;100&quot;/&gt;&lt;w:doNotEmbedSystemFonts/&gt;&lt;w:activeWritingStyle w:lang=&quot;EN-NZ&quot; w:vendorID=&quot;64&quot; w:dllVersion=&quot;131078&quot; w:nlCheck=&quot;on&quot; w:optionSet=&quot;1&quot;/&gt;&lt;w:activeWritingStyle w:lang=&quot;EN-GB&quot; w:vendorID=&quot;64&quot; w:dllVersion=&quot;131078&quot; w:nlCheck=&quot;on&quot; w:optionSet=&quot;1&quot;/&gt;&lt;w:stylePaneFormatFilter w:val=&quot;1808&quot;/&gt;&lt;w:defaultTabStop w:val=&quot;397&quot;/&gt;&lt;w:evenAndOddHeaders/&gt;&lt;w:drawingGridHorizontalSpacing w:val=&quot;187&quot;/&gt;&lt;w:displayVerticalDrawingGridEvery w:val=&quot;2&quot;/&gt;&lt;w:characterSpacingControl w:val=&quot;DontCompress&quot;/&gt;&lt;w:optimizeForBrowser/&gt;&lt;w:relyOnVML/&gt;&lt;w:allowPNG/&gt;&lt;w:validateAgainstSchema/&gt;&lt;w:saveInvalidXML w:val=&quot;off&quot;/&gt;&lt;w:ignoreMixedContent w:val=&quot;off&quot;/&gt;&lt;w:alwaysShowPlaceholderText w:val=&quot;off&quot;/&gt;&lt;w:compat&gt;&lt;w:suppressBottomSpacing/&gt;&lt;w:suppressTopSpacing/&gt;&lt;w:suppressSpBfAfterPgBrk/&gt;&lt;w:doNotUseHTMLParagraphAutoSpacing/&gt;&lt;w:breakWrappedTables/&gt;&lt;w:snapToGridInCell/&gt;&lt;w:wrapTextWithPunct/&gt;&lt;w:useAsianBreakRules/&gt;&lt;w:useWord2002TableStyleRules/&gt;&lt;/w:compat&gt;&lt;wsp:rsids&gt;&lt;wsp:rsidRoot wsp:val=&quot;000A4993&quot;/&gt;&lt;wsp:rsid wsp:val=&quot;00001716&quot;/&gt;&lt;wsp:rsid wsp:val=&quot;00005BB6&quot;/&gt;&lt;wsp:rsid wsp:val=&quot;0000602E&quot;/&gt;&lt;wsp:rsid wsp:val=&quot;00007ABB&quot;/&gt;&lt;wsp:rsid wsp:val=&quot;00007B65&quot;/&gt;&lt;wsp:rsid wsp:val=&quot;0001433B&quot;/&gt;&lt;wsp:rsid wsp:val=&quot;00021ACF&quot;/&gt;&lt;wsp:rsid wsp:val=&quot;00022F48&quot;/&gt;&lt;wsp:rsid wsp:val=&quot;000253AD&quot;/&gt;&lt;wsp:rsid wsp:val=&quot;00027E55&quot;/&gt;&lt;wsp:rsid wsp:val=&quot;000318E3&quot;/&gt;&lt;wsp:rsid wsp:val=&quot;00032A28&quot;/&gt;&lt;wsp:rsid wsp:val=&quot;00033B90&quot;/&gt;&lt;wsp:rsid wsp:val=&quot;00035185&quot;/&gt;&lt;wsp:rsid wsp:val=&quot;00036719&quot;/&gt;&lt;wsp:rsid wsp:val=&quot;00040669&quot;/&gt;&lt;wsp:rsid wsp:val=&quot;000413B0&quot;/&gt;&lt;wsp:rsid wsp:val=&quot;0004149A&quot;/&gt;&lt;wsp:rsid wsp:val=&quot;000440E1&quot;/&gt;&lt;wsp:rsid wsp:val=&quot;00045F4B&quot;/&gt;&lt;wsp:rsid wsp:val=&quot;00046CC7&quot;/&gt;&lt;wsp:rsid wsp:val=&quot;00050008&quot;/&gt;&lt;wsp:rsid wsp:val=&quot;00050F9B&quot;/&gt;&lt;wsp:rsid wsp:val=&quot;0005239F&quot;/&gt;&lt;wsp:rsid wsp:val=&quot;00052FC0&quot;/&gt;&lt;wsp:rsid wsp:val=&quot;00053AC7&quot;/&gt;&lt;wsp:rsid wsp:val=&quot;0005512B&quot;/&gt;&lt;wsp:rsid wsp:val=&quot;000563EF&quot;/&gt;&lt;wsp:rsid wsp:val=&quot;00057741&quot;/&gt;&lt;wsp:rsid wsp:val=&quot;0006057E&quot;/&gt;&lt;wsp:rsid wsp:val=&quot;00060A5A&quot;/&gt;&lt;wsp:rsid wsp:val=&quot;00063451&quot;/&gt;&lt;wsp:rsid wsp:val=&quot;000644ED&quot;/&gt;&lt;wsp:rsid wsp:val=&quot;00066BC8&quot;/&gt;&lt;wsp:rsid wsp:val=&quot;000704E6&quot;/&gt;&lt;wsp:rsid wsp:val=&quot;000715CA&quot;/&gt;&lt;wsp:rsid wsp:val=&quot;00071839&quot;/&gt;&lt;wsp:rsid wsp:val=&quot;00075CD8&quot;/&gt;&lt;wsp:rsid wsp:val=&quot;0007731F&quot;/&gt;&lt;wsp:rsid wsp:val=&quot;00080418&quot;/&gt;&lt;wsp:rsid wsp:val=&quot;00080E01&quot;/&gt;&lt;wsp:rsid wsp:val=&quot;00083A65&quot;/&gt;&lt;wsp:rsid wsp:val=&quot;0008411E&quot;/&gt;&lt;wsp:rsid wsp:val=&quot;00084B89&quot;/&gt;&lt;wsp:rsid wsp:val=&quot;00086E97&quot;/&gt;&lt;wsp:rsid wsp:val=&quot;000951DA&quot;/&gt;&lt;wsp:rsid wsp:val=&quot;000970B6&quot;/&gt;&lt;wsp:rsid wsp:val=&quot;000A1303&quot;/&gt;&lt;wsp:rsid wsp:val=&quot;000A4993&quot;/&gt;&lt;wsp:rsid wsp:val=&quot;000A79BA&quot;/&gt;&lt;wsp:rsid wsp:val=&quot;000B7D2E&quot;/&gt;&lt;wsp:rsid wsp:val=&quot;000C04DE&quot;/&gt;&lt;wsp:rsid wsp:val=&quot;000C076F&quot;/&gt;&lt;wsp:rsid wsp:val=&quot;000C20A6&quot;/&gt;&lt;wsp:rsid wsp:val=&quot;000C49CF&quot;/&gt;&lt;wsp:rsid wsp:val=&quot;000C4CD0&quot;/&gt;&lt;wsp:rsid wsp:val=&quot;000D0D4C&quot;/&gt;&lt;wsp:rsid wsp:val=&quot;000D326B&quot;/&gt;&lt;wsp:rsid wsp:val=&quot;000D7DC8&quot;/&gt;&lt;wsp:rsid wsp:val=&quot;000E0581&quot;/&gt;&lt;wsp:rsid wsp:val=&quot;000E2C16&quot;/&gt;&lt;wsp:rsid wsp:val=&quot;000E31C1&quot;/&gt;&lt;wsp:rsid wsp:val=&quot;000E375A&quot;/&gt;&lt;wsp:rsid wsp:val=&quot;000E6196&quot;/&gt;&lt;wsp:rsid wsp:val=&quot;000E6D64&quot;/&gt;&lt;wsp:rsid wsp:val=&quot;000E7EBE&quot;/&gt;&lt;wsp:rsid wsp:val=&quot;000F22B6&quot;/&gt;&lt;wsp:rsid wsp:val=&quot;000F2F1C&quot;/&gt;&lt;wsp:rsid wsp:val=&quot;000F4DEF&quot;/&gt;&lt;wsp:rsid wsp:val=&quot;000F7E20&quot;/&gt;&lt;wsp:rsid wsp:val=&quot;001044BF&quot;/&gt;&lt;wsp:rsid wsp:val=&quot;00106B51&quot;/&gt;&lt;wsp:rsid wsp:val=&quot;001112E5&quot;/&gt;&lt;wsp:rsid wsp:val=&quot;0011130C&quot;/&gt;&lt;wsp:rsid wsp:val=&quot;001119D3&quot;/&gt;&lt;wsp:rsid wsp:val=&quot;00111C93&quot;/&gt;&lt;wsp:rsid wsp:val=&quot;0011600A&quot;/&gt;&lt;wsp:rsid wsp:val=&quot;00116E1B&quot;/&gt;&lt;wsp:rsid wsp:val=&quot;001178DD&quot;/&gt;&lt;wsp:rsid wsp:val=&quot;001221C3&quot;/&gt;&lt;wsp:rsid wsp:val=&quot;00122D3D&quot;/&gt;&lt;wsp:rsid wsp:val=&quot;001234CE&quot;/&gt;&lt;wsp:rsid wsp:val=&quot;00127506&quot;/&gt;&lt;wsp:rsid wsp:val=&quot;00131D65&quot;/&gt;&lt;wsp:rsid wsp:val=&quot;001324CE&quot;/&gt;&lt;wsp:rsid wsp:val=&quot;00132698&quot;/&gt;&lt;wsp:rsid wsp:val=&quot;00132932&quot;/&gt;&lt;wsp:rsid wsp:val=&quot;00133DDE&quot;/&gt;&lt;wsp:rsid wsp:val=&quot;00133E74&quot;/&gt;&lt;wsp:rsid wsp:val=&quot;00140977&quot;/&gt;&lt;wsp:rsid wsp:val=&quot;001444EF&quot;/&gt;&lt;wsp:rsid wsp:val=&quot;001469B6&quot;/&gt;&lt;wsp:rsid wsp:val=&quot;0014787C&quot;/&gt;&lt;wsp:rsid wsp:val=&quot;00153F5A&quot;/&gt;&lt;wsp:rsid wsp:val=&quot;0016076A&quot;/&gt;&lt;wsp:rsid wsp:val=&quot;00160BE7&quot;/&gt;&lt;wsp:rsid wsp:val=&quot;00163BEC&quot;/&gt;&lt;wsp:rsid wsp:val=&quot;0016587E&quot;/&gt;&lt;wsp:rsid wsp:val=&quot;00166FD3&quot;/&gt;&lt;wsp:rsid wsp:val=&quot;00167F55&quot;/&gt;&lt;wsp:rsid wsp:val=&quot;00174AD9&quot;/&gt;&lt;wsp:rsid wsp:val=&quot;00177915&quot;/&gt;&lt;wsp:rsid wsp:val=&quot;001970E1&quot;/&gt;&lt;wsp:rsid wsp:val=&quot;00197BE0&quot;/&gt;&lt;wsp:rsid wsp:val=&quot;00197E8E&quot;/&gt;&lt;wsp:rsid wsp:val=&quot;001A108F&quot;/&gt;&lt;wsp:rsid wsp:val=&quot;001A1997&quot;/&gt;&lt;wsp:rsid wsp:val=&quot;001A43CE&quot;/&gt;&lt;wsp:rsid wsp:val=&quot;001B017D&quot;/&gt;&lt;wsp:rsid wsp:val=&quot;001B4083&quot;/&gt;&lt;wsp:rsid wsp:val=&quot;001B564F&quot;/&gt;&lt;wsp:rsid wsp:val=&quot;001B59C0&quot;/&gt;&lt;wsp:rsid wsp:val=&quot;001B6FD2&quot;/&gt;&lt;wsp:rsid wsp:val=&quot;001D3452&quot;/&gt;&lt;wsp:rsid wsp:val=&quot;001D4529&quot;/&gt;&lt;wsp:rsid wsp:val=&quot;001D6CC3&quot;/&gt;&lt;wsp:rsid wsp:val=&quot;001D7BC5&quot;/&gt;&lt;wsp:rsid wsp:val=&quot;001F1704&quot;/&gt;&lt;wsp:rsid wsp:val=&quot;001F2AFA&quot;/&gt;&lt;wsp:rsid wsp:val=&quot;001F6B7E&quot;/&gt;&lt;wsp:rsid wsp:val=&quot;001F6C61&quot;/&gt;&lt;wsp:rsid wsp:val=&quot;0020149B&quot;/&gt;&lt;wsp:rsid wsp:val=&quot;00203279&quot;/&gt;&lt;wsp:rsid wsp:val=&quot;00203350&quot;/&gt;&lt;wsp:rsid wsp:val=&quot;00206475&quot;/&gt;&lt;wsp:rsid wsp:val=&quot;00207ABF&quot;/&gt;&lt;wsp:rsid wsp:val=&quot;00210A63&quot;/&gt;&lt;wsp:rsid wsp:val=&quot;002130B4&quot;/&gt;&lt;wsp:rsid wsp:val=&quot;00223CCC&quot;/&gt;&lt;wsp:rsid wsp:val=&quot;00227FB1&quot;/&gt;&lt;wsp:rsid wsp:val=&quot;0023348F&quot;/&gt;&lt;wsp:rsid wsp:val=&quot;00240B42&quot;/&gt;&lt;wsp:rsid wsp:val=&quot;00240E0E&quot;/&gt;&lt;wsp:rsid wsp:val=&quot;002461E6&quot;/&gt;&lt;wsp:rsid wsp:val=&quot;00251D13&quot;/&gt;&lt;wsp:rsid wsp:val=&quot;00253FD5&quot;/&gt;&lt;wsp:rsid wsp:val=&quot;00260B48&quot;/&gt;&lt;wsp:rsid wsp:val=&quot;00267CBE&quot;/&gt;&lt;wsp:rsid wsp:val=&quot;00271429&quot;/&gt;&lt;wsp:rsid wsp:val=&quot;00272D32&quot;/&gt;&lt;wsp:rsid wsp:val=&quot;00281299&quot;/&gt;&lt;wsp:rsid wsp:val=&quot;002829F7&quot;/&gt;&lt;wsp:rsid wsp:val=&quot;00282BC8&quot;/&gt;&lt;wsp:rsid wsp:val=&quot;0028581A&quot;/&gt;&lt;wsp:rsid wsp:val=&quot;002868D3&quot;/&gt;&lt;wsp:rsid wsp:val=&quot;00291650&quot;/&gt;&lt;wsp:rsid wsp:val=&quot;00292CDD&quot;/&gt;&lt;wsp:rsid wsp:val=&quot;00294F2D&quot;/&gt;&lt;wsp:rsid wsp:val=&quot;00295B2A&quot;/&gt;&lt;wsp:rsid wsp:val=&quot;00296072&quot;/&gt;&lt;wsp:rsid wsp:val=&quot;002A1361&quot;/&gt;&lt;wsp:rsid wsp:val=&quot;002A2022&quot;/&gt;&lt;wsp:rsid wsp:val=&quot;002A49D7&quot;/&gt;&lt;wsp:rsid wsp:val=&quot;002A7374&quot;/&gt;&lt;wsp:rsid wsp:val=&quot;002B0C89&quot;/&gt;&lt;wsp:rsid wsp:val=&quot;002B12CA&quot;/&gt;&lt;wsp:rsid wsp:val=&quot;002B1C5A&quot;/&gt;&lt;wsp:rsid wsp:val=&quot;002B3284&quot;/&gt;&lt;wsp:rsid wsp:val=&quot;002B4CCE&quot;/&gt;&lt;wsp:rsid wsp:val=&quot;002B5693&quot;/&gt;&lt;wsp:rsid wsp:val=&quot;002B66AB&quot;/&gt;&lt;wsp:rsid wsp:val=&quot;002B687D&quot;/&gt;&lt;wsp:rsid wsp:val=&quot;002C3DE9&quot;/&gt;&lt;wsp:rsid wsp:val=&quot;002C4DFE&quot;/&gt;&lt;wsp:rsid wsp:val=&quot;002C51B8&quot;/&gt;&lt;wsp:rsid wsp:val=&quot;002C6A38&quot;/&gt;&lt;wsp:rsid wsp:val=&quot;002D60DB&quot;/&gt;&lt;wsp:rsid wsp:val=&quot;002D6A54&quot;/&gt;&lt;wsp:rsid wsp:val=&quot;002E0ADD&quot;/&gt;&lt;wsp:rsid wsp:val=&quot;002E2E0B&quot;/&gt;&lt;wsp:rsid wsp:val=&quot;002E5A25&quot;/&gt;&lt;wsp:rsid wsp:val=&quot;002E71DD&quot;/&gt;&lt;wsp:rsid wsp:val=&quot;002F134A&quot;/&gt;&lt;wsp:rsid wsp:val=&quot;002F161F&quot;/&gt;&lt;wsp:rsid wsp:val=&quot;002F3D3E&quot;/&gt;&lt;wsp:rsid wsp:val=&quot;002F5AEB&quot;/&gt;&lt;wsp:rsid wsp:val=&quot;00300AC5&quot;/&gt;&lt;wsp:rsid wsp:val=&quot;00302D84&quot;/&gt;&lt;wsp:rsid wsp:val=&quot;003069A9&quot;/&gt;&lt;wsp:rsid wsp:val=&quot;00313445&quot;/&gt;&lt;wsp:rsid wsp:val=&quot;00313D1A&quot;/&gt;&lt;wsp:rsid wsp:val=&quot;00313FFF&quot;/&gt;&lt;wsp:rsid wsp:val=&quot;00315760&quot;/&gt;&lt;wsp:rsid wsp:val=&quot;0031579D&quot;/&gt;&lt;wsp:rsid wsp:val=&quot;003174BF&quot;/&gt;&lt;wsp:rsid wsp:val=&quot;003200AC&quot;/&gt;&lt;wsp:rsid wsp:val=&quot;00321F27&quot;/&gt;&lt;wsp:rsid wsp:val=&quot;003254AF&quot;/&gt;&lt;wsp:rsid wsp:val=&quot;00331563&quot;/&gt;&lt;wsp:rsid wsp:val=&quot;00331960&quot;/&gt;&lt;wsp:rsid wsp:val=&quot;00332F25&quot;/&gt;&lt;wsp:rsid wsp:val=&quot;00335D3A&quot;/&gt;&lt;wsp:rsid wsp:val=&quot;00341A68&quot;/&gt;&lt;wsp:rsid wsp:val=&quot;003443DA&quot;/&gt;&lt;wsp:rsid wsp:val=&quot;003465DB&quot;/&gt;&lt;wsp:rsid wsp:val=&quot;0034766B&quot;/&gt;&lt;wsp:rsid wsp:val=&quot;00347C24&quot;/&gt;&lt;wsp:rsid wsp:val=&quot;00357D0F&quot;/&gt;&lt;wsp:rsid wsp:val=&quot;00363351&quot;/&gt;&lt;wsp:rsid wsp:val=&quot;00363762&quot;/&gt;&lt;wsp:rsid wsp:val=&quot;00366356&quot;/&gt;&lt;wsp:rsid wsp:val=&quot;00367601&quot;/&gt;&lt;wsp:rsid wsp:val=&quot;00367658&quot;/&gt;&lt;wsp:rsid wsp:val=&quot;00367E33&quot;/&gt;&lt;wsp:rsid wsp:val=&quot;0037043D&quot;/&gt;&lt;wsp:rsid wsp:val=&quot;003714FE&quot;/&gt;&lt;wsp:rsid wsp:val=&quot;0037590E&quot;/&gt;&lt;wsp:rsid wsp:val=&quot;00376043&quot;/&gt;&lt;wsp:rsid wsp:val=&quot;00377186&quot;/&gt;&lt;wsp:rsid wsp:val=&quot;003771B7&quot;/&gt;&lt;wsp:rsid wsp:val=&quot;0037760F&quot;/&gt;&lt;wsp:rsid wsp:val=&quot;0037762E&quot;/&gt;&lt;wsp:rsid wsp:val=&quot;0038099B&quot;/&gt;&lt;wsp:rsid wsp:val=&quot;00383207&quot;/&gt;&lt;wsp:rsid wsp:val=&quot;00383877&quot;/&gt;&lt;wsp:rsid wsp:val=&quot;00384A4E&quot;/&gt;&lt;wsp:rsid wsp:val=&quot;0039036B&quot;/&gt;&lt;wsp:rsid wsp:val=&quot;00394909&quot;/&gt;&lt;wsp:rsid wsp:val=&quot;00394ACC&quot;/&gt;&lt;wsp:rsid wsp:val=&quot;003972EF&quot;/&gt;&lt;wsp:rsid wsp:val=&quot;00397D2B&quot;/&gt;&lt;wsp:rsid wsp:val=&quot;003A472E&quot;/&gt;&lt;wsp:rsid wsp:val=&quot;003A5006&quot;/&gt;&lt;wsp:rsid wsp:val=&quot;003A770B&quot;/&gt;&lt;wsp:rsid wsp:val=&quot;003B4B21&quot;/&gt;&lt;wsp:rsid wsp:val=&quot;003B5C46&quot;/&gt;&lt;wsp:rsid wsp:val=&quot;003B7FFA&quot;/&gt;&lt;wsp:rsid wsp:val=&quot;003C2615&quot;/&gt;&lt;wsp:rsid wsp:val=&quot;003C3999&quot;/&gt;&lt;wsp:rsid wsp:val=&quot;003C7A1C&quot;/&gt;&lt;wsp:rsid wsp:val=&quot;003D0318&quot;/&gt;&lt;wsp:rsid wsp:val=&quot;003D4B45&quot;/&gt;&lt;wsp:rsid wsp:val=&quot;003D51AF&quot;/&gt;&lt;wsp:rsid wsp:val=&quot;003D5417&quot;/&gt;&lt;wsp:rsid wsp:val=&quot;003D75EC&quot;/&gt;&lt;wsp:rsid wsp:val=&quot;003E041D&quot;/&gt;&lt;wsp:rsid wsp:val=&quot;003E41B7&quot;/&gt;&lt;wsp:rsid wsp:val=&quot;003E56B9&quot;/&gt;&lt;wsp:rsid wsp:val=&quot;003E5AAB&quot;/&gt;&lt;wsp:rsid wsp:val=&quot;003E6A30&quot;/&gt;&lt;wsp:rsid wsp:val=&quot;003F314A&quot;/&gt;&lt;wsp:rsid wsp:val=&quot;003F32C8&quot;/&gt;&lt;wsp:rsid wsp:val=&quot;003F5194&quot;/&gt;&lt;wsp:rsid wsp:val=&quot;00400F92&quot;/&gt;&lt;wsp:rsid wsp:val=&quot;00402B27&quot;/&gt;&lt;wsp:rsid wsp:val=&quot;00412AA3&quot;/&gt;&lt;wsp:rsid wsp:val=&quot;00413232&quot;/&gt;&lt;wsp:rsid wsp:val=&quot;004145AA&quot;/&gt;&lt;wsp:rsid wsp:val=&quot;00417D5C&quot;/&gt;&lt;wsp:rsid wsp:val=&quot;00422794&quot;/&gt;&lt;wsp:rsid wsp:val=&quot;00423A9D&quot;/&gt;&lt;wsp:rsid wsp:val=&quot;0042424B&quot;/&gt;&lt;wsp:rsid wsp:val=&quot;00424911&quot;/&gt;&lt;wsp:rsid wsp:val=&quot;00426EED&quot;/&gt;&lt;wsp:rsid wsp:val=&quot;00427789&quot;/&gt;&lt;wsp:rsid wsp:val=&quot;00430D5D&quot;/&gt;&lt;wsp:rsid wsp:val=&quot;00446558&quot;/&gt;&lt;wsp:rsid wsp:val=&quot;00455A00&quot;/&gt;&lt;wsp:rsid wsp:val=&quot;0045652C&quot;/&gt;&lt;wsp:rsid wsp:val=&quot;00456B64&quot;/&gt;&lt;wsp:rsid wsp:val=&quot;0045724E&quot;/&gt;&lt;wsp:rsid wsp:val=&quot;004601FD&quot;/&gt;&lt;wsp:rsid wsp:val=&quot;00462497&quot;/&gt;&lt;wsp:rsid wsp:val=&quot;00462816&quot;/&gt;&lt;wsp:rsid wsp:val=&quot;00464D2E&quot;/&gt;&lt;wsp:rsid wsp:val=&quot;004655F1&quot;/&gt;&lt;wsp:rsid wsp:val=&quot;00470D75&quot;/&gt;&lt;wsp:rsid wsp:val=&quot;00471505&quot;/&gt;&lt;wsp:rsid wsp:val=&quot;004732ED&quot;/&gt;&lt;wsp:rsid wsp:val=&quot;004805A3&quot;/&gt;&lt;wsp:rsid wsp:val=&quot;00482116&quot;/&gt;&lt;wsp:rsid wsp:val=&quot;00482A62&quot;/&gt;&lt;wsp:rsid wsp:val=&quot;004841B3&quot;/&gt;&lt;wsp:rsid wsp:val=&quot;00486C65&quot;/&gt;&lt;wsp:rsid wsp:val=&quot;00486D78&quot;/&gt;&lt;wsp:rsid wsp:val=&quot;00490EB0&quot;/&gt;&lt;wsp:rsid wsp:val=&quot;00492B58&quot;/&gt;&lt;wsp:rsid wsp:val=&quot;00496EDD&quot;/&gt;&lt;wsp:rsid wsp:val=&quot;00497452&quot;/&gt;&lt;wsp:rsid wsp:val=&quot;004A1A14&quot;/&gt;&lt;wsp:rsid wsp:val=&quot;004A3B41&quot;/&gt;&lt;wsp:rsid wsp:val=&quot;004A4134&quot;/&gt;&lt;wsp:rsid wsp:val=&quot;004A46F6&quot;/&gt;&lt;wsp:rsid wsp:val=&quot;004A610C&quot;/&gt;&lt;wsp:rsid wsp:val=&quot;004A618E&quot;/&gt;&lt;wsp:rsid wsp:val=&quot;004B0193&quot;/&gt;&lt;wsp:rsid wsp:val=&quot;004B04BD&quot;/&gt;&lt;wsp:rsid wsp:val=&quot;004B2593&quot;/&gt;&lt;wsp:rsid wsp:val=&quot;004B36D8&quot;/&gt;&lt;wsp:rsid wsp:val=&quot;004B497F&quot;/&gt;&lt;wsp:rsid wsp:val=&quot;004B4F59&quot;/&gt;&lt;wsp:rsid wsp:val=&quot;004B598B&quot;/&gt;&lt;wsp:rsid wsp:val=&quot;004B7AB8&quot;/&gt;&lt;wsp:rsid wsp:val=&quot;004C64F3&quot;/&gt;&lt;wsp:rsid wsp:val=&quot;004D1389&quot;/&gt;&lt;wsp:rsid wsp:val=&quot;004D4C86&quot;/&gt;&lt;wsp:rsid wsp:val=&quot;004D7331&quot;/&gt;&lt;wsp:rsid wsp:val=&quot;004E1EF1&quot;/&gt;&lt;wsp:rsid wsp:val=&quot;004E4B2C&quot;/&gt;&lt;wsp:rsid wsp:val=&quot;004E599A&quot;/&gt;&lt;wsp:rsid wsp:val=&quot;004E70E6&quot;/&gt;&lt;wsp:rsid wsp:val=&quot;004F1572&quot;/&gt;&lt;wsp:rsid wsp:val=&quot;004F60F6&quot;/&gt;&lt;wsp:rsid wsp:val=&quot;004F6A79&quot;/&gt;&lt;wsp:rsid wsp:val=&quot;00501171&quot;/&gt;&lt;wsp:rsid wsp:val=&quot;00501698&quot;/&gt;&lt;wsp:rsid wsp:val=&quot;00501912&quot;/&gt;&lt;wsp:rsid wsp:val=&quot;00501B1F&quot;/&gt;&lt;wsp:rsid wsp:val=&quot;00502959&quot;/&gt;&lt;wsp:rsid wsp:val=&quot;00503710&quot;/&gt;&lt;wsp:rsid wsp:val=&quot;0050480C&quot;/&gt;&lt;wsp:rsid wsp:val=&quot;005072FB&quot;/&gt;&lt;wsp:rsid wsp:val=&quot;00510060&quot;/&gt;&lt;wsp:rsid wsp:val=&quot;00511241&quot;/&gt;&lt;wsp:rsid wsp:val=&quot;00511895&quot;/&gt;&lt;wsp:rsid wsp:val=&quot;00511D18&quot;/&gt;&lt;wsp:rsid wsp:val=&quot;005173F2&quot;/&gt;&lt;wsp:rsid wsp:val=&quot;005215C2&quot;/&gt;&lt;wsp:rsid wsp:val=&quot;00524BBC&quot;/&gt;&lt;wsp:rsid wsp:val=&quot;00524EE3&quot;/&gt;&lt;wsp:rsid wsp:val=&quot;00526270&quot;/&gt;&lt;wsp:rsid wsp:val=&quot;005268CA&quot;/&gt;&lt;wsp:rsid wsp:val=&quot;00532E2A&quot;/&gt;&lt;wsp:rsid wsp:val=&quot;00534210&quot;/&gt;&lt;wsp:rsid wsp:val=&quot;00534D84&quot;/&gt;&lt;wsp:rsid wsp:val=&quot;0054388F&quot;/&gt;&lt;wsp:rsid wsp:val=&quot;00546A6A&quot;/&gt;&lt;wsp:rsid wsp:val=&quot;005512C5&quot;/&gt;&lt;wsp:rsid wsp:val=&quot;00551AB7&quot;/&gt;&lt;wsp:rsid wsp:val=&quot;005572F1&quot;/&gt;&lt;wsp:rsid wsp:val=&quot;00561790&quot;/&gt;&lt;wsp:rsid wsp:val=&quot;005630B0&quot;/&gt;&lt;wsp:rsid wsp:val=&quot;005640AE&quot;/&gt;&lt;wsp:rsid wsp:val=&quot;005660CD&quot;/&gt;&lt;wsp:rsid wsp:val=&quot;005720F2&quot;/&gt;&lt;wsp:rsid wsp:val=&quot;00574968&quot;/&gt;&lt;wsp:rsid wsp:val=&quot;00574F37&quot;/&gt;&lt;wsp:rsid wsp:val=&quot;00575222&quot;/&gt;&lt;wsp:rsid wsp:val=&quot;00575FD8&quot;/&gt;&lt;wsp:rsid wsp:val=&quot;00577493&quot;/&gt;&lt;wsp:rsid wsp:val=&quot;00581028&quot;/&gt;&lt;wsp:rsid wsp:val=&quot;00584786&quot;/&gt;&lt;wsp:rsid wsp:val=&quot;00584B94&quot;/&gt;&lt;wsp:rsid wsp:val=&quot;0058721D&quot;/&gt;&lt;wsp:rsid wsp:val=&quot;00596603&quot;/&gt;&lt;wsp:rsid wsp:val=&quot;005A50E4&quot;/&gt;&lt;wsp:rsid wsp:val=&quot;005A7C25&quot;/&gt;&lt;wsp:rsid wsp:val=&quot;005B3603&quot;/&gt;&lt;wsp:rsid wsp:val=&quot;005B47FF&quot;/&gt;&lt;wsp:rsid wsp:val=&quot;005B76A4&quot;/&gt;&lt;wsp:rsid wsp:val=&quot;005C3384&quot;/&gt;&lt;wsp:rsid wsp:val=&quot;005C416E&quot;/&gt;&lt;wsp:rsid wsp:val=&quot;005C624D&quot;/&gt;&lt;wsp:rsid wsp:val=&quot;005C6446&quot;/&gt;&lt;wsp:rsid wsp:val=&quot;005C6F03&quot;/&gt;&lt;wsp:rsid wsp:val=&quot;005D1C3A&quot;/&gt;&lt;wsp:rsid wsp:val=&quot;005D2BDC&quot;/&gt;&lt;wsp:rsid wsp:val=&quot;005D5080&quot;/&gt;&lt;wsp:rsid wsp:val=&quot;005D736A&quot;/&gt;&lt;wsp:rsid wsp:val=&quot;005E3DE5&quot;/&gt;&lt;wsp:rsid wsp:val=&quot;005E43DD&quot;/&gt;&lt;wsp:rsid wsp:val=&quot;005E7824&quot;/&gt;&lt;wsp:rsid wsp:val=&quot;005E7855&quot;/&gt;&lt;wsp:rsid wsp:val=&quot;005F19AE&quot;/&gt;&lt;wsp:rsid wsp:val=&quot;005F205D&quot;/&gt;&lt;wsp:rsid wsp:val=&quot;005F4E8B&quot;/&gt;&lt;wsp:rsid wsp:val=&quot;005F67E2&quot;/&gt;&lt;wsp:rsid wsp:val=&quot;005F7F0C&quot;/&gt;&lt;wsp:rsid wsp:val=&quot;00600179&quot;/&gt;&lt;wsp:rsid wsp:val=&quot;0060169E&quot;/&gt;&lt;wsp:rsid wsp:val=&quot;00603FC0&quot;/&gt;&lt;wsp:rsid wsp:val=&quot;006040BB&quot;/&gt;&lt;wsp:rsid wsp:val=&quot;006062D0&quot;/&gt;&lt;wsp:rsid wsp:val=&quot;00607743&quot;/&gt;&lt;wsp:rsid wsp:val=&quot;00620CF0&quot;/&gt;&lt;wsp:rsid wsp:val=&quot;00623246&quot;/&gt;&lt;wsp:rsid wsp:val=&quot;0063224E&quot;/&gt;&lt;wsp:rsid wsp:val=&quot;00636BF0&quot;/&gt;&lt;wsp:rsid wsp:val=&quot;00644A15&quot;/&gt;&lt;wsp:rsid wsp:val=&quot;00646B6D&quot;/&gt;&lt;wsp:rsid wsp:val=&quot;00653826&quot;/&gt;&lt;wsp:rsid wsp:val=&quot;00655908&quot;/&gt;&lt;wsp:rsid wsp:val=&quot;00660E8C&quot;/&gt;&lt;wsp:rsid wsp:val=&quot;00662B78&quot;/&gt;&lt;wsp:rsid wsp:val=&quot;006654F8&quot;/&gt;&lt;wsp:rsid wsp:val=&quot;00665768&quot;/&gt;&lt;wsp:rsid wsp:val=&quot;00667291&quot;/&gt;&lt;wsp:rsid wsp:val=&quot;006679C2&quot;/&gt;&lt;wsp:rsid wsp:val=&quot;006712F8&quot;/&gt;&lt;wsp:rsid wsp:val=&quot;006725CC&quot;/&gt;&lt;wsp:rsid wsp:val=&quot;00675BD6&quot;/&gt;&lt;wsp:rsid wsp:val=&quot;00680646&quot;/&gt;&lt;wsp:rsid wsp:val=&quot;0068299D&quot;/&gt;&lt;wsp:rsid wsp:val=&quot;0068395B&quot;/&gt;&lt;wsp:rsid wsp:val=&quot;00684494&quot;/&gt;&lt;wsp:rsid wsp:val=&quot;00686249&quot;/&gt;&lt;wsp:rsid wsp:val=&quot;00686260&quot;/&gt;&lt;wsp:rsid wsp:val=&quot;00687504&quot;/&gt;&lt;wsp:rsid wsp:val=&quot;006A171F&quot;/&gt;&lt;wsp:rsid wsp:val=&quot;006A4E5F&quot;/&gt;&lt;wsp:rsid wsp:val=&quot;006B0C68&quot;/&gt;&lt;wsp:rsid wsp:val=&quot;006C30AA&quot;/&gt;&lt;wsp:rsid wsp:val=&quot;006C4F45&quot;/&gt;&lt;wsp:rsid wsp:val=&quot;006C6142&quot;/&gt;&lt;wsp:rsid wsp:val=&quot;006C7644&quot;/&gt;&lt;wsp:rsid wsp:val=&quot;006D0BD8&quot;/&gt;&lt;wsp:rsid wsp:val=&quot;006D113A&quot;/&gt;&lt;wsp:rsid wsp:val=&quot;006D23F4&quot;/&gt;&lt;wsp:rsid wsp:val=&quot;006D4600&quot;/&gt;&lt;wsp:rsid wsp:val=&quot;006D6C4C&quot;/&gt;&lt;wsp:rsid wsp:val=&quot;006E09DC&quot;/&gt;&lt;wsp:rsid wsp:val=&quot;006E0A2C&quot;/&gt;&lt;wsp:rsid wsp:val=&quot;006E1420&quot;/&gt;&lt;wsp:rsid wsp:val=&quot;006E1AAA&quot;/&gt;&lt;wsp:rsid wsp:val=&quot;006E1F68&quot;/&gt;&lt;wsp:rsid wsp:val=&quot;006E202B&quot;/&gt;&lt;wsp:rsid wsp:val=&quot;006E48E8&quot;/&gt;&lt;wsp:rsid wsp:val=&quot;006E57B5&quot;/&gt;&lt;wsp:rsid wsp:val=&quot;006E6F62&quot;/&gt;&lt;wsp:rsid wsp:val=&quot;006F2796&quot;/&gt;&lt;wsp:rsid wsp:val=&quot;006F338C&quot;/&gt;&lt;wsp:rsid wsp:val=&quot;006F47B2&quot;/&gt;&lt;wsp:rsid wsp:val=&quot;00702FA0&quot;/&gt;&lt;wsp:rsid wsp:val=&quot;007041B0&quot;/&gt;&lt;wsp:rsid wsp:val=&quot;00707D3F&quot;/&gt;&lt;wsp:rsid wsp:val=&quot;007118A6&quot;/&gt;&lt;wsp:rsid wsp:val=&quot;00713306&quot;/&gt;&lt;wsp:rsid wsp:val=&quot;00716AEA&quot;/&gt;&lt;wsp:rsid wsp:val=&quot;00717B4A&quot;/&gt;&lt;wsp:rsid wsp:val=&quot;00720328&quot;/&gt;&lt;wsp:rsid wsp:val=&quot;00720DEB&quot;/&gt;&lt;wsp:rsid wsp:val=&quot;00724218&quot;/&gt;&lt;wsp:rsid wsp:val=&quot;00727178&quot;/&gt;&lt;wsp:rsid wsp:val=&quot;007272B0&quot;/&gt;&lt;wsp:rsid wsp:val=&quot;00737C98&quot;/&gt;&lt;wsp:rsid wsp:val=&quot;00737E65&quot;/&gt;&lt;wsp:rsid wsp:val=&quot;0074030A&quot;/&gt;&lt;wsp:rsid wsp:val=&quot;0074541C&quot;/&gt;&lt;wsp:rsid wsp:val=&quot;00750748&quot;/&gt;&lt;wsp:rsid wsp:val=&quot;00750C39&quot;/&gt;&lt;wsp:rsid wsp:val=&quot;0075151B&quot;/&gt;&lt;wsp:rsid wsp:val=&quot;0075408A&quot;/&gt;&lt;wsp:rsid wsp:val=&quot;00754DC1&quot;/&gt;&lt;wsp:rsid wsp:val=&quot;00756CD0&quot;/&gt;&lt;wsp:rsid wsp:val=&quot;00762043&quot;/&gt;&lt;wsp:rsid wsp:val=&quot;0076234C&quot;/&gt;&lt;wsp:rsid wsp:val=&quot;007633C2&quot;/&gt;&lt;wsp:rsid wsp:val=&quot;00765A47&quot;/&gt;&lt;wsp:rsid wsp:val=&quot;00766845&quot;/&gt;&lt;wsp:rsid wsp:val=&quot;00770E82&quot;/&gt;&lt;wsp:rsid wsp:val=&quot;007721F8&quot;/&gt;&lt;wsp:rsid wsp:val=&quot;00772E94&quot;/&gt;&lt;wsp:rsid wsp:val=&quot;00773D15&quot;/&gt;&lt;wsp:rsid wsp:val=&quot;00774037&quot;/&gt;&lt;wsp:rsid wsp:val=&quot;007745B5&quot;/&gt;&lt;wsp:rsid wsp:val=&quot;00780511&quot;/&gt;&lt;wsp:rsid wsp:val=&quot;00785F85&quot;/&gt;&lt;wsp:rsid wsp:val=&quot;00787667&quot;/&gt;&lt;wsp:rsid wsp:val=&quot;00791D29&quot;/&gt;&lt;wsp:rsid wsp:val=&quot;00797276&quot;/&gt;&lt;wsp:rsid wsp:val=&quot;007A0888&quot;/&gt;&lt;wsp:rsid wsp:val=&quot;007A09D6&quot;/&gt;&lt;wsp:rsid wsp:val=&quot;007A2737&quot;/&gt;&lt;wsp:rsid wsp:val=&quot;007A2B7D&quot;/&gt;&lt;wsp:rsid wsp:val=&quot;007A5B83&quot;/&gt;&lt;wsp:rsid wsp:val=&quot;007B028B&quot;/&gt;&lt;wsp:rsid wsp:val=&quot;007B1197&quot;/&gt;&lt;wsp:rsid wsp:val=&quot;007B1D71&quot;/&gt;&lt;wsp:rsid wsp:val=&quot;007C00D0&quot;/&gt;&lt;wsp:rsid wsp:val=&quot;007C2186&quot;/&gt;&lt;wsp:rsid wsp:val=&quot;007C387D&quot;/&gt;&lt;wsp:rsid wsp:val=&quot;007C59CD&quot;/&gt;&lt;wsp:rsid wsp:val=&quot;007C5C02&quot;/&gt;&lt;wsp:rsid wsp:val=&quot;007D52DA&quot;/&gt;&lt;wsp:rsid wsp:val=&quot;007E36E9&quot;/&gt;&lt;wsp:rsid wsp:val=&quot;007F157D&quot;/&gt;&lt;wsp:rsid wsp:val=&quot;007F2233&quot;/&gt;&lt;wsp:rsid wsp:val=&quot;0080083C&quot;/&gt;&lt;wsp:rsid wsp:val=&quot;00802FCF&quot;/&gt;&lt;wsp:rsid wsp:val=&quot;0080694B&quot;/&gt;&lt;wsp:rsid wsp:val=&quot;0081779C&quot;/&gt;&lt;wsp:rsid wsp:val=&quot;00817CAF&quot;/&gt;&lt;wsp:rsid wsp:val=&quot;008209DE&quot;/&gt;&lt;wsp:rsid wsp:val=&quot;00823891&quot;/&gt;&lt;wsp:rsid wsp:val=&quot;00827CAE&quot;/&gt;&lt;wsp:rsid wsp:val=&quot;008311A3&quot;/&gt;&lt;wsp:rsid wsp:val=&quot;00831D0D&quot;/&gt;&lt;wsp:rsid wsp:val=&quot;0083235F&quot;/&gt;&lt;wsp:rsid wsp:val=&quot;00832DEE&quot;/&gt;&lt;wsp:rsid wsp:val=&quot;00834F5A&quot;/&gt;&lt;wsp:rsid wsp:val=&quot;0083719A&quot;/&gt;&lt;wsp:rsid wsp:val=&quot;00842144&quot;/&gt;&lt;wsp:rsid wsp:val=&quot;008444D6&quot;/&gt;&lt;wsp:rsid wsp:val=&quot;00844CB1&quot;/&gt;&lt;wsp:rsid wsp:val=&quot;008457AB&quot;/&gt;&lt;wsp:rsid wsp:val=&quot;0084600C&quot;/&gt;&lt;wsp:rsid wsp:val=&quot;008517C4&quot;/&gt;&lt;wsp:rsid wsp:val=&quot;00855A8A&quot;/&gt;&lt;wsp:rsid wsp:val=&quot;00860123&quot;/&gt;&lt;wsp:rsid wsp:val=&quot;00861223&quot;/&gt;&lt;wsp:rsid wsp:val=&quot;00865872&quot;/&gt;&lt;wsp:rsid wsp:val=&quot;008677A6&quot;/&gt;&lt;wsp:rsid wsp:val=&quot;00872234&quot;/&gt;&lt;wsp:rsid wsp:val=&quot;0088295C&quot;/&gt;&lt;wsp:rsid wsp:val=&quot;00882C9B&quot;/&gt;&lt;wsp:rsid wsp:val=&quot;0089113F&quot;/&gt;&lt;wsp:rsid wsp:val=&quot;00893A96&quot;/&gt;&lt;wsp:rsid wsp:val=&quot;00894559&quot;/&gt;&lt;wsp:rsid wsp:val=&quot;0089464D&quot;/&gt;&lt;wsp:rsid wsp:val=&quot;008957B1&quot;/&gt;&lt;wsp:rsid wsp:val=&quot;008979AA&quot;/&gt;&lt;wsp:rsid wsp:val=&quot;008A2EC5&quot;/&gt;&lt;wsp:rsid wsp:val=&quot;008A4EC6&quot;/&gt;&lt;wsp:rsid wsp:val=&quot;008A664B&quot;/&gt;&lt;wsp:rsid wsp:val=&quot;008B21BA&quot;/&gt;&lt;wsp:rsid wsp:val=&quot;008B40F5&quot;/&gt;&lt;wsp:rsid wsp:val=&quot;008B5DD6&quot;/&gt;&lt;wsp:rsid wsp:val=&quot;008B6701&quot;/&gt;&lt;wsp:rsid wsp:val=&quot;008B77F5&quot;/&gt;&lt;wsp:rsid wsp:val=&quot;008C0279&quot;/&gt;&lt;wsp:rsid wsp:val=&quot;008C5C06&quot;/&gt;&lt;wsp:rsid wsp:val=&quot;008C7F68&quot;/&gt;&lt;wsp:rsid wsp:val=&quot;008D0C8C&quot;/&gt;&lt;wsp:rsid wsp:val=&quot;008D2032&quot;/&gt;&lt;wsp:rsid wsp:val=&quot;008D382A&quot;/&gt;&lt;wsp:rsid wsp:val=&quot;008D4F63&quot;/&gt;&lt;wsp:rsid wsp:val=&quot;008E0391&quot;/&gt;&lt;wsp:rsid wsp:val=&quot;008E0EE9&quot;/&gt;&lt;wsp:rsid wsp:val=&quot;008E114F&quot;/&gt;&lt;wsp:rsid wsp:val=&quot;008E380C&quot;/&gt;&lt;wsp:rsid wsp:val=&quot;008E3EB0&quot;/&gt;&lt;wsp:rsid wsp:val=&quot;008F25D2&quot;/&gt;&lt;wsp:rsid wsp:val=&quot;008F50EC&quot;/&gt;&lt;wsp:rsid wsp:val=&quot;009058C9&quot;/&gt;&lt;wsp:rsid wsp:val=&quot;00907033&quot;/&gt;&lt;wsp:rsid wsp:val=&quot;00907CB2&quot;/&gt;&lt;wsp:rsid wsp:val=&quot;0091268F&quot;/&gt;&lt;wsp:rsid wsp:val=&quot;00914CC6&quot;/&gt;&lt;wsp:rsid wsp:val=&quot;00915F52&quot;/&gt;&lt;wsp:rsid wsp:val=&quot;009165EB&quot;/&gt;&lt;wsp:rsid wsp:val=&quot;00917953&quot;/&gt;&lt;wsp:rsid wsp:val=&quot;0092026A&quot;/&gt;&lt;wsp:rsid wsp:val=&quot;00925105&quot;/&gt;&lt;wsp:rsid wsp:val=&quot;009253B3&quot;/&gt;&lt;wsp:rsid wsp:val=&quot;00926929&quot;/&gt;&lt;wsp:rsid wsp:val=&quot;009269D6&quot;/&gt;&lt;wsp:rsid wsp:val=&quot;0092751F&quot;/&gt;&lt;wsp:rsid wsp:val=&quot;00927698&quot;/&gt;&lt;wsp:rsid wsp:val=&quot;00927994&quot;/&gt;&lt;wsp:rsid wsp:val=&quot;00931F00&quot;/&gt;&lt;wsp:rsid wsp:val=&quot;00932067&quot;/&gt;&lt;wsp:rsid wsp:val=&quot;009321DD&quot;/&gt;&lt;wsp:rsid wsp:val=&quot;0093594A&quot;/&gt;&lt;wsp:rsid wsp:val=&quot;00940989&quot;/&gt;&lt;wsp:rsid wsp:val=&quot;009412D1&quot;/&gt;&lt;wsp:rsid wsp:val=&quot;00941747&quot;/&gt;&lt;wsp:rsid wsp:val=&quot;00942D43&quot;/&gt;&lt;wsp:rsid wsp:val=&quot;00950F6E&quot;/&gt;&lt;wsp:rsid wsp:val=&quot;00954359&quot;/&gt;&lt;wsp:rsid wsp:val=&quot;00955D73&quot;/&gt;&lt;wsp:rsid wsp:val=&quot;00957EFB&quot;/&gt;&lt;wsp:rsid wsp:val=&quot;009624CE&quot;/&gt;&lt;wsp:rsid wsp:val=&quot;009625A7&quot;/&gt;&lt;wsp:rsid wsp:val=&quot;0096512C&quot;/&gt;&lt;wsp:rsid wsp:val=&quot;0096540A&quot;/&gt;&lt;wsp:rsid wsp:val=&quot;00967360&quot;/&gt;&lt;wsp:rsid wsp:val=&quot;009748BA&quot;/&gt;&lt;wsp:rsid wsp:val=&quot;009751B6&quot;/&gt;&lt;wsp:rsid wsp:val=&quot;00975233&quot;/&gt;&lt;wsp:rsid wsp:val=&quot;00980269&quot;/&gt;&lt;wsp:rsid wsp:val=&quot;00993BF5&quot;/&gt;&lt;wsp:rsid wsp:val=&quot;009976EC&quot;/&gt;&lt;wsp:rsid wsp:val=&quot;009A4DB8&quot;/&gt;&lt;wsp:rsid wsp:val=&quot;009B06B9&quot;/&gt;&lt;wsp:rsid wsp:val=&quot;009B4CD2&quot;/&gt;&lt;wsp:rsid wsp:val=&quot;009B6C6F&quot;/&gt;&lt;wsp:rsid wsp:val=&quot;009B7743&quot;/&gt;&lt;wsp:rsid wsp:val=&quot;009C224F&quot;/&gt;&lt;wsp:rsid wsp:val=&quot;009C2BBD&quot;/&gt;&lt;wsp:rsid wsp:val=&quot;009C5D2A&quot;/&gt;&lt;wsp:rsid wsp:val=&quot;009C7D78&quot;/&gt;&lt;wsp:rsid wsp:val=&quot;009D333E&quot;/&gt;&lt;wsp:rsid wsp:val=&quot;009D4DE3&quot;/&gt;&lt;wsp:rsid wsp:val=&quot;009D50AA&quot;/&gt;&lt;wsp:rsid wsp:val=&quot;009E1DC8&quot;/&gt;&lt;wsp:rsid wsp:val=&quot;009E1EF9&quot;/&gt;&lt;wsp:rsid wsp:val=&quot;009F7093&quot;/&gt;&lt;wsp:rsid wsp:val=&quot;009F74F1&quot;/&gt;&lt;wsp:rsid wsp:val=&quot;00A10BA1&quot;/&gt;&lt;wsp:rsid wsp:val=&quot;00A15433&quot;/&gt;&lt;wsp:rsid wsp:val=&quot;00A22BE0&quot;/&gt;&lt;wsp:rsid wsp:val=&quot;00A236D1&quot;/&gt;&lt;wsp:rsid wsp:val=&quot;00A23B6A&quot;/&gt;&lt;wsp:rsid wsp:val=&quot;00A2697E&quot;/&gt;&lt;wsp:rsid wsp:val=&quot;00A26B5F&quot;/&gt;&lt;wsp:rsid wsp:val=&quot;00A31F98&quot;/&gt;&lt;wsp:rsid wsp:val=&quot;00A32DA4&quot;/&gt;&lt;wsp:rsid wsp:val=&quot;00A331E7&quot;/&gt;&lt;wsp:rsid wsp:val=&quot;00A3326B&quot;/&gt;&lt;wsp:rsid wsp:val=&quot;00A41050&quot;/&gt;&lt;wsp:rsid wsp:val=&quot;00A41A45&quot;/&gt;&lt;wsp:rsid wsp:val=&quot;00A41C3C&quot;/&gt;&lt;wsp:rsid wsp:val=&quot;00A46807&quot;/&gt;&lt;wsp:rsid wsp:val=&quot;00A478A5&quot;/&gt;&lt;wsp:rsid wsp:val=&quot;00A53609&quot;/&gt;&lt;wsp:rsid wsp:val=&quot;00A603BF&quot;/&gt;&lt;wsp:rsid wsp:val=&quot;00A61888&quot;/&gt;&lt;wsp:rsid wsp:val=&quot;00A624C6&quot;/&gt;&lt;wsp:rsid wsp:val=&quot;00A64AEC&quot;/&gt;&lt;wsp:rsid wsp:val=&quot;00A64CE2&quot;/&gt;&lt;wsp:rsid wsp:val=&quot;00A66622&quot;/&gt;&lt;wsp:rsid wsp:val=&quot;00A66D84&quot;/&gt;&lt;wsp:rsid wsp:val=&quot;00A7004E&quot;/&gt;&lt;wsp:rsid wsp:val=&quot;00A706BE&quot;/&gt;&lt;wsp:rsid wsp:val=&quot;00A71B38&quot;/&gt;&lt;wsp:rsid wsp:val=&quot;00A77C99&quot;/&gt;&lt;wsp:rsid wsp:val=&quot;00A82628&quot;/&gt;&lt;wsp:rsid wsp:val=&quot;00A94C42&quot;/&gt;&lt;wsp:rsid wsp:val=&quot;00A953F6&quot;/&gt;&lt;wsp:rsid wsp:val=&quot;00A958FC&quot;/&gt;&lt;wsp:rsid wsp:val=&quot;00A972DD&quot;/&gt;&lt;wsp:rsid wsp:val=&quot;00AA1BBC&quot;/&gt;&lt;wsp:rsid wsp:val=&quot;00AA670D&quot;/&gt;&lt;wsp:rsid wsp:val=&quot;00AB2710&quot;/&gt;&lt;wsp:rsid wsp:val=&quot;00AC2D2B&quot;/&gt;&lt;wsp:rsid wsp:val=&quot;00AC4A96&quot;/&gt;&lt;wsp:rsid wsp:val=&quot;00AD0322&quot;/&gt;&lt;wsp:rsid wsp:val=&quot;00AD1047&quot;/&gt;&lt;wsp:rsid wsp:val=&quot;00AD184B&quot;/&gt;&lt;wsp:rsid wsp:val=&quot;00AD4179&quot;/&gt;&lt;wsp:rsid wsp:val=&quot;00AE0FA0&quot;/&gt;&lt;wsp:rsid wsp:val=&quot;00AE6CD0&quot;/&gt;&lt;wsp:rsid wsp:val=&quot;00AE766D&quot;/&gt;&lt;wsp:rsid wsp:val=&quot;00AF4EC3&quot;/&gt;&lt;wsp:rsid wsp:val=&quot;00AF4FCC&quot;/&gt;&lt;wsp:rsid wsp:val=&quot;00B00A5D&quot;/&gt;&lt;wsp:rsid wsp:val=&quot;00B04B3D&quot;/&gt;&lt;wsp:rsid wsp:val=&quot;00B0566D&quot;/&gt;&lt;wsp:rsid wsp:val=&quot;00B11024&quot;/&gt;&lt;wsp:rsid wsp:val=&quot;00B15354&quot;/&gt;&lt;wsp:rsid wsp:val=&quot;00B22C41&quot;/&gt;&lt;wsp:rsid wsp:val=&quot;00B22F58&quot;/&gt;&lt;wsp:rsid wsp:val=&quot;00B24CA7&quot;/&gt;&lt;wsp:rsid wsp:val=&quot;00B30482&quot;/&gt;&lt;wsp:rsid wsp:val=&quot;00B31DC3&quot;/&gt;&lt;wsp:rsid wsp:val=&quot;00B35BD9&quot;/&gt;&lt;wsp:rsid wsp:val=&quot;00B35EFD&quot;/&gt;&lt;wsp:rsid wsp:val=&quot;00B3648B&quot;/&gt;&lt;wsp:rsid wsp:val=&quot;00B369B8&quot;/&gt;&lt;wsp:rsid wsp:val=&quot;00B37B08&quot;/&gt;&lt;wsp:rsid wsp:val=&quot;00B37DE8&quot;/&gt;&lt;wsp:rsid wsp:val=&quot;00B41919&quot;/&gt;&lt;wsp:rsid wsp:val=&quot;00B44BA5&quot;/&gt;&lt;wsp:rsid wsp:val=&quot;00B5354E&quot;/&gt;&lt;wsp:rsid wsp:val=&quot;00B623F9&quot;/&gt;&lt;wsp:rsid wsp:val=&quot;00B625DC&quot;/&gt;&lt;wsp:rsid wsp:val=&quot;00B65146&quot;/&gt;&lt;wsp:rsid wsp:val=&quot;00B76074&quot;/&gt;&lt;wsp:rsid wsp:val=&quot;00B818DC&quot;/&gt;&lt;wsp:rsid wsp:val=&quot;00B84CF5&quot;/&gt;&lt;wsp:rsid wsp:val=&quot;00B90454&quot;/&gt;&lt;wsp:rsid wsp:val=&quot;00B94F5B&quot;/&gt;&lt;wsp:rsid wsp:val=&quot;00BA5F7E&quot;/&gt;&lt;wsp:rsid wsp:val=&quot;00BB2472&quot;/&gt;&lt;wsp:rsid wsp:val=&quot;00BB2C38&quot;/&gt;&lt;wsp:rsid wsp:val=&quot;00BB5339&quot;/&gt;&lt;wsp:rsid wsp:val=&quot;00BC1B8D&quot;/&gt;&lt;wsp:rsid wsp:val=&quot;00BC3604&quot;/&gt;&lt;wsp:rsid wsp:val=&quot;00BC3988&quot;/&gt;&lt;wsp:rsid wsp:val=&quot;00BC3AE0&quot;/&gt;&lt;wsp:rsid wsp:val=&quot;00BC7E76&quot;/&gt;&lt;wsp:rsid wsp:val=&quot;00BD1548&quot;/&gt;&lt;wsp:rsid wsp:val=&quot;00BD1586&quot;/&gt;&lt;wsp:rsid wsp:val=&quot;00BD4AE2&quot;/&gt;&lt;wsp:rsid wsp:val=&quot;00BD64F7&quot;/&gt;&lt;wsp:rsid wsp:val=&quot;00BE6A20&quot;/&gt;&lt;wsp:rsid wsp:val=&quot;00BE6DB7&quot;/&gt;&lt;wsp:rsid wsp:val=&quot;00BF0F53&quot;/&gt;&lt;wsp:rsid wsp:val=&quot;00BF12F6&quot;/&gt;&lt;wsp:rsid wsp:val=&quot;00BF6835&quot;/&gt;&lt;wsp:rsid wsp:val=&quot;00BF6F7D&quot;/&gt;&lt;wsp:rsid wsp:val=&quot;00C00765&quot;/&gt;&lt;wsp:rsid wsp:val=&quot;00C05F09&quot;/&gt;&lt;wsp:rsid wsp:val=&quot;00C10464&quot;/&gt;&lt;wsp:rsid wsp:val=&quot;00C1142F&quot;/&gt;&lt;wsp:rsid wsp:val=&quot;00C119C2&quot;/&gt;&lt;wsp:rsid wsp:val=&quot;00C12F1D&quot;/&gt;&lt;wsp:rsid wsp:val=&quot;00C14253&quot;/&gt;&lt;wsp:rsid wsp:val=&quot;00C14450&quot;/&gt;&lt;wsp:rsid wsp:val=&quot;00C15A9E&quot;/&gt;&lt;wsp:rsid wsp:val=&quot;00C15C0D&quot;/&gt;&lt;wsp:rsid wsp:val=&quot;00C17B61&quot;/&gt;&lt;wsp:rsid wsp:val=&quot;00C20807&quot;/&gt;&lt;wsp:rsid wsp:val=&quot;00C21B54&quot;/&gt;&lt;wsp:rsid wsp:val=&quot;00C24F0F&quot;/&gt;&lt;wsp:rsid wsp:val=&quot;00C30360&quot;/&gt;&lt;wsp:rsid wsp:val=&quot;00C3056D&quot;/&gt;&lt;wsp:rsid wsp:val=&quot;00C32AA7&quot;/&gt;&lt;wsp:rsid wsp:val=&quot;00C3307F&quot;/&gt;&lt;wsp:rsid wsp:val=&quot;00C330BE&quot;/&gt;&lt;wsp:rsid wsp:val=&quot;00C370D2&quot;/&gt;&lt;wsp:rsid wsp:val=&quot;00C37183&quot;/&gt;&lt;wsp:rsid wsp:val=&quot;00C37745&quot;/&gt;&lt;wsp:rsid wsp:val=&quot;00C40967&quot;/&gt;&lt;wsp:rsid wsp:val=&quot;00C41845&quot;/&gt;&lt;wsp:rsid wsp:val=&quot;00C42142&quot;/&gt;&lt;wsp:rsid wsp:val=&quot;00C438AF&quot;/&gt;&lt;wsp:rsid wsp:val=&quot;00C50757&quot;/&gt;&lt;wsp:rsid wsp:val=&quot;00C50A82&quot;/&gt;&lt;wsp:rsid wsp:val=&quot;00C53DEA&quot;/&gt;&lt;wsp:rsid wsp:val=&quot;00C57F24&quot;/&gt;&lt;wsp:rsid wsp:val=&quot;00C600E2&quot;/&gt;&lt;wsp:rsid wsp:val=&quot;00C63D43&quot;/&gt;&lt;wsp:rsid wsp:val=&quot;00C6494D&quot;/&gt;&lt;wsp:rsid wsp:val=&quot;00C73944&quot;/&gt;&lt;wsp:rsid wsp:val=&quot;00C74134&quot;/&gt;&lt;wsp:rsid wsp:val=&quot;00C75711&quot;/&gt;&lt;wsp:rsid wsp:val=&quot;00C823B1&quot;/&gt;&lt;wsp:rsid wsp:val=&quot;00C8307A&quot;/&gt;&lt;wsp:rsid wsp:val=&quot;00C84955&quot;/&gt;&lt;wsp:rsid wsp:val=&quot;00C86205&quot;/&gt;&lt;wsp:rsid wsp:val=&quot;00C86345&quot;/&gt;&lt;wsp:rsid wsp:val=&quot;00C9075B&quot;/&gt;&lt;wsp:rsid wsp:val=&quot;00C93E9A&quot;/&gt;&lt;wsp:rsid wsp:val=&quot;00C94075&quot;/&gt;&lt;wsp:rsid wsp:val=&quot;00C9515E&quot;/&gt;&lt;wsp:rsid wsp:val=&quot;00CA271E&quot;/&gt;&lt;wsp:rsid wsp:val=&quot;00CA408C&quot;/&gt;&lt;wsp:rsid wsp:val=&quot;00CB0D02&quot;/&gt;&lt;wsp:rsid wsp:val=&quot;00CB1488&quot;/&gt;&lt;wsp:rsid wsp:val=&quot;00CB5B36&quot;/&gt;&lt;wsp:rsid wsp:val=&quot;00CB7141&quot;/&gt;&lt;wsp:rsid wsp:val=&quot;00CB7414&quot;/&gt;&lt;wsp:rsid wsp:val=&quot;00CC2EF5&quot;/&gt;&lt;wsp:rsid wsp:val=&quot;00CC3A95&quot;/&gt;&lt;wsp:rsid wsp:val=&quot;00CC5114&quot;/&gt;&lt;wsp:rsid wsp:val=&quot;00CD0C7E&quot;/&gt;&lt;wsp:rsid wsp:val=&quot;00CD1265&quot;/&gt;&lt;wsp:rsid wsp:val=&quot;00CD3503&quot;/&gt;&lt;wsp:rsid wsp:val=&quot;00CD6861&quot;/&gt;&lt;wsp:rsid wsp:val=&quot;00CE06AF&quot;/&gt;&lt;wsp:rsid wsp:val=&quot;00CE128E&quot;/&gt;&lt;wsp:rsid wsp:val=&quot;00CE444B&quot;/&gt;&lt;wsp:rsid wsp:val=&quot;00CE7A34&quot;/&gt;&lt;wsp:rsid wsp:val=&quot;00CF3380&quot;/&gt;&lt;wsp:rsid wsp:val=&quot;00CF4E71&quot;/&gt;&lt;wsp:rsid wsp:val=&quot;00D007D6&quot;/&gt;&lt;wsp:rsid wsp:val=&quot;00D01CFE&quot;/&gt;&lt;wsp:rsid wsp:val=&quot;00D04936&quot;/&gt;&lt;wsp:rsid wsp:val=&quot;00D05FA7&quot;/&gt;&lt;wsp:rsid wsp:val=&quot;00D07C4B&quot;/&gt;&lt;wsp:rsid wsp:val=&quot;00D102CD&quot;/&gt;&lt;wsp:rsid wsp:val=&quot;00D11FE2&quot;/&gt;&lt;wsp:rsid wsp:val=&quot;00D127D2&quot;/&gt;&lt;wsp:rsid wsp:val=&quot;00D154D9&quot;/&gt;&lt;wsp:rsid wsp:val=&quot;00D16967&quot;/&gt;&lt;wsp:rsid wsp:val=&quot;00D17910&quot;/&gt;&lt;wsp:rsid wsp:val=&quot;00D225D8&quot;/&gt;&lt;wsp:rsid wsp:val=&quot;00D306A1&quot;/&gt;&lt;wsp:rsid wsp:val=&quot;00D33A2E&quot;/&gt;&lt;wsp:rsid wsp:val=&quot;00D372AE&quot;/&gt;&lt;wsp:rsid wsp:val=&quot;00D376A9&quot;/&gt;&lt;wsp:rsid wsp:val=&quot;00D4120C&quot;/&gt;&lt;wsp:rsid wsp:val=&quot;00D455A1&quot;/&gt;&lt;wsp:rsid wsp:val=&quot;00D47152&quot;/&gt;&lt;wsp:rsid wsp:val=&quot;00D511A1&quot;/&gt;&lt;wsp:rsid wsp:val=&quot;00D52CD0&quot;/&gt;&lt;wsp:rsid wsp:val=&quot;00D55236&quot;/&gt;&lt;wsp:rsid wsp:val=&quot;00D65D22&quot;/&gt;&lt;wsp:rsid wsp:val=&quot;00D67D78&quot;/&gt;&lt;wsp:rsid wsp:val=&quot;00D748FB&quot;/&gt;&lt;wsp:rsid wsp:val=&quot;00D74A2E&quot;/&gt;&lt;wsp:rsid wsp:val=&quot;00D7524F&quot;/&gt;&lt;wsp:rsid wsp:val=&quot;00D75AD7&quot;/&gt;&lt;wsp:rsid wsp:val=&quot;00D75E1A&quot;/&gt;&lt;wsp:rsid wsp:val=&quot;00D76128&quot;/&gt;&lt;wsp:rsid wsp:val=&quot;00D76DA9&quot;/&gt;&lt;wsp:rsid wsp:val=&quot;00D80623&quot;/&gt;&lt;wsp:rsid wsp:val=&quot;00D81088&quot;/&gt;&lt;wsp:rsid wsp:val=&quot;00D81AEA&quot;/&gt;&lt;wsp:rsid wsp:val=&quot;00D832AD&quot;/&gt;&lt;wsp:rsid wsp:val=&quot;00D860F9&quot;/&gt;&lt;wsp:rsid wsp:val=&quot;00D872BF&quot;/&gt;&lt;wsp:rsid wsp:val=&quot;00D87F03&quot;/&gt;&lt;wsp:rsid wsp:val=&quot;00D9440D&quot;/&gt;&lt;wsp:rsid wsp:val=&quot;00D9493E&quot;/&gt;&lt;wsp:rsid wsp:val=&quot;00D96F26&quot;/&gt;&lt;wsp:rsid wsp:val=&quot;00DA6448&quot;/&gt;&lt;wsp:rsid wsp:val=&quot;00DA6A28&quot;/&gt;&lt;wsp:rsid wsp:val=&quot;00DB1FD2&quot;/&gt;&lt;wsp:rsid wsp:val=&quot;00DB7810&quot;/&gt;&lt;wsp:rsid wsp:val=&quot;00DC09EC&quot;/&gt;&lt;wsp:rsid wsp:val=&quot;00DC1F51&quot;/&gt;&lt;wsp:rsid wsp:val=&quot;00DC223C&quot;/&gt;&lt;wsp:rsid wsp:val=&quot;00DC2F33&quot;/&gt;&lt;wsp:rsid wsp:val=&quot;00DC5CD9&quot;/&gt;&lt;wsp:rsid wsp:val=&quot;00DD31D3&quot;/&gt;&lt;wsp:rsid wsp:val=&quot;00DD6481&quot;/&gt;&lt;wsp:rsid wsp:val=&quot;00DD653F&quot;/&gt;&lt;wsp:rsid wsp:val=&quot;00DE01F6&quot;/&gt;&lt;wsp:rsid wsp:val=&quot;00DE034D&quot;/&gt;&lt;wsp:rsid wsp:val=&quot;00DE195E&quot;/&gt;&lt;wsp:rsid wsp:val=&quot;00DE1F09&quot;/&gt;&lt;wsp:rsid wsp:val=&quot;00DE2040&quot;/&gt;&lt;wsp:rsid wsp:val=&quot;00DE2998&quot;/&gt;&lt;wsp:rsid wsp:val=&quot;00DE2E87&quot;/&gt;&lt;wsp:rsid wsp:val=&quot;00DE3FED&quot;/&gt;&lt;wsp:rsid wsp:val=&quot;00DE4223&quot;/&gt;&lt;wsp:rsid wsp:val=&quot;00DE6B60&quot;/&gt;&lt;wsp:rsid wsp:val=&quot;00DF01C0&quot;/&gt;&lt;wsp:rsid wsp:val=&quot;00DF661D&quot;/&gt;&lt;wsp:rsid wsp:val=&quot;00DF6B64&quot;/&gt;&lt;wsp:rsid wsp:val=&quot;00DF7263&quot;/&gt;&lt;wsp:rsid wsp:val=&quot;00E06C6B&quot;/&gt;&lt;wsp:rsid wsp:val=&quot;00E06D10&quot;/&gt;&lt;wsp:rsid wsp:val=&quot;00E10414&quot;/&gt;&lt;wsp:rsid wsp:val=&quot;00E107EA&quot;/&gt;&lt;wsp:rsid wsp:val=&quot;00E12040&quot;/&gt;&lt;wsp:rsid wsp:val=&quot;00E131AA&quot;/&gt;&lt;wsp:rsid wsp:val=&quot;00E20458&quot;/&gt;&lt;wsp:rsid wsp:val=&quot;00E219B9&quot;/&gt;&lt;wsp:rsid wsp:val=&quot;00E22A80&quot;/&gt;&lt;wsp:rsid wsp:val=&quot;00E23F42&quot;/&gt;&lt;wsp:rsid wsp:val=&quot;00E24D0A&quot;/&gt;&lt;wsp:rsid wsp:val=&quot;00E24D5D&quot;/&gt;&lt;wsp:rsid wsp:val=&quot;00E27E51&quot;/&gt;&lt;wsp:rsid wsp:val=&quot;00E32F6D&quot;/&gt;&lt;wsp:rsid wsp:val=&quot;00E33D37&quot;/&gt;&lt;wsp:rsid wsp:val=&quot;00E3468B&quot;/&gt;&lt;wsp:rsid wsp:val=&quot;00E37096&quot;/&gt;&lt;wsp:rsid wsp:val=&quot;00E40B33&quot;/&gt;&lt;wsp:rsid wsp:val=&quot;00E433FA&quot;/&gt;&lt;wsp:rsid wsp:val=&quot;00E44C44&quot;/&gt;&lt;wsp:rsid wsp:val=&quot;00E46215&quot;/&gt;&lt;wsp:rsid wsp:val=&quot;00E52151&quot;/&gt;&lt;wsp:rsid wsp:val=&quot;00E5452B&quot;/&gt;&lt;wsp:rsid wsp:val=&quot;00E55B60&quot;/&gt;&lt;wsp:rsid wsp:val=&quot;00E56487&quot;/&gt;&lt;wsp:rsid wsp:val=&quot;00E605C5&quot;/&gt;&lt;wsp:rsid wsp:val=&quot;00E645F5&quot;/&gt;&lt;wsp:rsid wsp:val=&quot;00E66B24&quot;/&gt;&lt;wsp:rsid wsp:val=&quot;00E71182&quot;/&gt;&lt;wsp:rsid wsp:val=&quot;00E72D0A&quot;/&gt;&lt;wsp:rsid wsp:val=&quot;00E75B55&quot;/&gt;&lt;wsp:rsid wsp:val=&quot;00E80037&quot;/&gt;&lt;wsp:rsid wsp:val=&quot;00E802F4&quot;/&gt;&lt;wsp:rsid wsp:val=&quot;00E82DB3&quot;/&gt;&lt;wsp:rsid wsp:val=&quot;00E8462F&quot;/&gt;&lt;wsp:rsid wsp:val=&quot;00E846C6&quot;/&gt;&lt;wsp:rsid wsp:val=&quot;00E846E5&quot;/&gt;&lt;wsp:rsid wsp:val=&quot;00E853F3&quot;/&gt;&lt;wsp:rsid wsp:val=&quot;00E857C2&quot;/&gt;&lt;wsp:rsid wsp:val=&quot;00E8645B&quot;/&gt;&lt;wsp:rsid wsp:val=&quot;00E91BEC&quot;/&gt;&lt;wsp:rsid wsp:val=&quot;00EA0BCD&quot;/&gt;&lt;wsp:rsid wsp:val=&quot;00EA3CE4&quot;/&gt;&lt;wsp:rsid wsp:val=&quot;00EA3F26&quot;/&gt;&lt;wsp:rsid wsp:val=&quot;00EA639C&quot;/&gt;&lt;wsp:rsid wsp:val=&quot;00EA66E6&quot;/&gt;&lt;wsp:rsid wsp:val=&quot;00EA77F9&quot;/&gt;&lt;wsp:rsid wsp:val=&quot;00EB2FEC&quot;/&gt;&lt;wsp:rsid wsp:val=&quot;00EC030A&quot;/&gt;&lt;wsp:rsid wsp:val=&quot;00EC1262&quot;/&gt;&lt;wsp:rsid wsp:val=&quot;00EC2491&quot;/&gt;&lt;wsp:rsid wsp:val=&quot;00ED0C86&quot;/&gt;&lt;wsp:rsid wsp:val=&quot;00ED2C42&quot;/&gt;&lt;wsp:rsid wsp:val=&quot;00ED3792&quot;/&gt;&lt;wsp:rsid wsp:val=&quot;00EE09C1&quot;/&gt;&lt;wsp:rsid wsp:val=&quot;00EE2D29&quot;/&gt;&lt;wsp:rsid wsp:val=&quot;00EE411A&quot;/&gt;&lt;wsp:rsid wsp:val=&quot;00EE4317&quot;/&gt;&lt;wsp:rsid wsp:val=&quot;00EE4819&quot;/&gt;&lt;wsp:rsid wsp:val=&quot;00EE509B&quot;/&gt;&lt;wsp:rsid wsp:val=&quot;00EE58C2&quot;/&gt;&lt;wsp:rsid wsp:val=&quot;00EE5BCF&quot;/&gt;&lt;wsp:rsid wsp:val=&quot;00EE7404&quot;/&gt;&lt;wsp:rsid wsp:val=&quot;00EF1A0B&quot;/&gt;&lt;wsp:rsid wsp:val=&quot;00EF2452&quot;/&gt;&lt;wsp:rsid wsp:val=&quot;00EF3B2B&quot;/&gt;&lt;wsp:rsid wsp:val=&quot;00EF60D2&quot;/&gt;&lt;wsp:rsid wsp:val=&quot;00EF6C72&quot;/&gt;&lt;wsp:rsid wsp:val=&quot;00F00EE9&quot;/&gt;&lt;wsp:rsid wsp:val=&quot;00F01A83&quot;/&gt;&lt;wsp:rsid wsp:val=&quot;00F01A95&quot;/&gt;&lt;wsp:rsid wsp:val=&quot;00F06B0A&quot;/&gt;&lt;wsp:rsid wsp:val=&quot;00F120AB&quot;/&gt;&lt;wsp:rsid wsp:val=&quot;00F144BD&quot;/&gt;&lt;wsp:rsid wsp:val=&quot;00F147FA&quot;/&gt;&lt;wsp:rsid wsp:val=&quot;00F14808&quot;/&gt;&lt;wsp:rsid wsp:val=&quot;00F246CE&quot;/&gt;&lt;wsp:rsid wsp:val=&quot;00F266DF&quot;/&gt;&lt;wsp:rsid wsp:val=&quot;00F31BBC&quot;/&gt;&lt;wsp:rsid wsp:val=&quot;00F3238B&quot;/&gt;&lt;wsp:rsid wsp:val=&quot;00F333E6&quot;/&gt;&lt;wsp:rsid wsp:val=&quot;00F338F6&quot;/&gt;&lt;wsp:rsid wsp:val=&quot;00F341FC&quot;/&gt;&lt;wsp:rsid wsp:val=&quot;00F379DD&quot;/&gt;&lt;wsp:rsid wsp:val=&quot;00F42A93&quot;/&gt;&lt;wsp:rsid wsp:val=&quot;00F4410C&quot;/&gt;&lt;wsp:rsid wsp:val=&quot;00F4483E&quot;/&gt;&lt;wsp:rsid wsp:val=&quot;00F456D0&quot;/&gt;&lt;wsp:rsid wsp:val=&quot;00F47244&quot;/&gt;&lt;wsp:rsid wsp:val=&quot;00F53118&quot;/&gt;&lt;wsp:rsid wsp:val=&quot;00F54218&quot;/&gt;&lt;wsp:rsid wsp:val=&quot;00F72BCF&quot;/&gt;&lt;wsp:rsid wsp:val=&quot;00F767C0&quot;/&gt;&lt;wsp:rsid wsp:val=&quot;00F80D64&quot;/&gt;&lt;wsp:rsid wsp:val=&quot;00F84024&quot;/&gt;&lt;wsp:rsid wsp:val=&quot;00F867DD&quot;/&gt;&lt;wsp:rsid wsp:val=&quot;00F940C2&quot;/&gt;&lt;wsp:rsid wsp:val=&quot;00F94B90&quot;/&gt;&lt;wsp:rsid wsp:val=&quot;00F94C11&quot;/&gt;&lt;wsp:rsid wsp:val=&quot;00F96AB5&quot;/&gt;&lt;wsp:rsid wsp:val=&quot;00FA3199&quot;/&gt;&lt;wsp:rsid wsp:val=&quot;00FA5F45&quot;/&gt;&lt;wsp:rsid wsp:val=&quot;00FA617F&quot;/&gt;&lt;wsp:rsid wsp:val=&quot;00FA7522&quot;/&gt;&lt;wsp:rsid wsp:val=&quot;00FB1B0A&quot;/&gt;&lt;wsp:rsid wsp:val=&quot;00FB3463&quot;/&gt;&lt;wsp:rsid wsp:val=&quot;00FB5CA2&quot;/&gt;&lt;wsp:rsid wsp:val=&quot;00FB7C95&quot;/&gt;&lt;wsp:rsid wsp:val=&quot;00FC1B40&quot;/&gt;&lt;wsp:rsid wsp:val=&quot;00FC2920&quot;/&gt;&lt;wsp:rsid wsp:val=&quot;00FC2C59&quot;/&gt;&lt;wsp:rsid wsp:val=&quot;00FD178C&quot;/&gt;&lt;wsp:rsid wsp:val=&quot;00FD2EB4&quot;/&gt;&lt;wsp:rsid wsp:val=&quot;00FD3B7E&quot;/&gt;&lt;wsp:rsid wsp:val=&quot;00FD6066&quot;/&gt;&lt;wsp:rsid wsp:val=&quot;00FD7E7B&quot;/&gt;&lt;wsp:rsid wsp:val=&quot;00FE0B81&quot;/&gt;&lt;wsp:rsid wsp:val=&quot;00FE1E05&quot;/&gt;&lt;wsp:rsid wsp:val=&quot;00FE6B44&quot;/&gt;&lt;wsp:rsid wsp:val=&quot;00FF1B1D&quot;/&gt;&lt;wsp:rsid wsp:val=&quot;00FF5B35&quot;/&gt;&lt;/wsp:rsids&gt;&lt;/w:docPr&gt;&lt;w:body&gt;&lt;wx:sect&gt;&lt;w:p wsp:rsidR=&quot;00000000&quot; wsp:rsidRPr=&quot;003771B7&quot; wsp:rsidRDefault=&quot;003771B7&quot; wsp:rsidP=&quot;003771B7&quot;&gt;&lt;m:oMathPara&gt;&lt;m:oMath&gt;&lt;m:r&gt;&lt;w:rPr&gt;&lt;w:rFonts w:ascii=&quot;Cambria Math&quot; w:h-ansi=&quot;Cambria Math&quot;/&gt;&lt;wx:font wx:val=&quot;Cambria Math&quot;/&gt;&lt;w:i/&gt;&lt;/w:rPr&gt;&lt;m:t&gt;Recovery rate (%)=100-&lt;/m:t&gt;&lt;/m:r&gt;&lt;m:f&gt;&lt;m:fPr&gt;&lt;m:ctrlPr&gt;&lt;w:rPr&gt;&lt;w:rFonts w:ascii=&quot;Cambria Math&quot; w:h-ansi=&quot;Cambria Math&quot;/&gt;&lt;wx:font wx:val=&quot;Cambria Math&quot;/&gt;&lt;w:i/&gt;&lt;/w:rPr&gt;&lt;/m:ctrlPr&gt;&lt;/m:fPr&gt;&lt;m:num&gt;&lt;m:r&gt;&lt;w:rPr&gt;&lt;w:rFonts w:ascii=&quot;Cambria Math&quot; w:h-ansi=&quot;Cambria Math&quot;/&gt;&lt;wx:font wx:val=&quot;Cambria Math&quot;/&gt;&lt;w:i/&gt;&lt;/w:rPr&gt;&lt;m:t&gt;UEF&lt;/m:t&gt;&lt;/m:r&gt;&lt;/m:num&gt;&lt;m:den&gt;&lt;m:r&gt;&lt;w:rPr&gt;&lt;w:rFonts w:ascii=&quot;Cambria Math&quot; w:h-ansi=&quot;Cambria Math&quot;/&gt;&lt;wx:font wx:val=&quot;Cambria Math&quot;/&gt;&lt;w:i/&gt;&lt;/w:rPr&gt;&lt;m:t&gt;1.19&lt;/m:t&gt;&lt;/m:r&gt;&lt;/m:den&gt;&lt;/m:f&gt;&lt;/m:oMath&gt;&lt;/m:oMathPara&gt;&lt;/w:p&gt;&lt;w:sectPr wsp:rsidR=&quot;00000000&quot; wsp:rsidRPr=&quot;003771B7&quot;&gt;&lt;w:pgSz w:w=&quot;12240&quot; w:h=&quot;15840&quot;/&gt;&lt;w:pgMar w:top=&quot;1440&quot; w:right=&quot;1440&quot; w:bottom=&quot;1440&quot; w:left=&quot;1440&quot; w:header=&quot;720&quot; w:footer=&quot;720&quot; w:gutter=&quot;0&quot;/&gt;&lt;w:cols w:space=&quot;720&quot;/&gt;&lt;/w:sectPr&gt;&lt;/wx:sect&gt;&lt;/w:body&gt;&lt;/w:wordDocument&gt;">
            <v:imagedata r:id="rId225" o:title="" chromakey="white"/>
          </v:shape>
        </w:pict>
      </w:r>
    </w:p>
    <w:p w14:paraId="3C7B40F3" w14:textId="1F95C881" w:rsidR="00005A00" w:rsidRPr="00256982" w:rsidRDefault="00005A00" w:rsidP="00005A00">
      <w:pPr>
        <w:pStyle w:val="BodyText"/>
        <w:rPr>
          <w:spacing w:val="-2"/>
        </w:rPr>
      </w:pPr>
      <w:r w:rsidRPr="00256982">
        <w:rPr>
          <w:spacing w:val="-2"/>
        </w:rPr>
        <w:t xml:space="preserve">Where the UEF is the unique emission factor under the NZ ETS, and 1.19 is the default bulk waste emission factor without LFG recovery under the ETS. The UEF data is published each year for landfill sites that have been successful in calculating and applying for the UEF (New Zealand Gazette, 2014, 2015, 2016, 2017). The maximum recovery rate allowed under the </w:t>
      </w:r>
      <w:r w:rsidR="003934D4" w:rsidRPr="00256982">
        <w:rPr>
          <w:spacing w:val="-2"/>
        </w:rPr>
        <w:t xml:space="preserve">NZ </w:t>
      </w:r>
      <w:r w:rsidRPr="00256982">
        <w:rPr>
          <w:spacing w:val="-2"/>
        </w:rPr>
        <w:t>ETS is 90</w:t>
      </w:r>
      <w:r w:rsidR="003934D4" w:rsidRPr="00256982">
        <w:rPr>
          <w:spacing w:val="-2"/>
        </w:rPr>
        <w:t> </w:t>
      </w:r>
      <w:r w:rsidRPr="00256982">
        <w:rPr>
          <w:spacing w:val="-2"/>
        </w:rPr>
        <w:t>per cent, and this is consistent with the maximum recovery rates determined by other methods.</w:t>
      </w:r>
    </w:p>
    <w:p w14:paraId="5F776E9C" w14:textId="77777777" w:rsidR="00005A00" w:rsidRPr="00256982" w:rsidRDefault="00005A00" w:rsidP="00005A00">
      <w:pPr>
        <w:pStyle w:val="BodyText"/>
      </w:pPr>
      <w:r w:rsidRPr="00256982">
        <w:t>For all other years and/or sites without a UEF, recovery rates are estimated based on the local conditions at that site, taking into consideration the landfill capping type and quality, landfill lining, well placement, active or passive gas control in use and whether wells were original or retrofitted (SKM, unpublished(b)). In some cases, gas-flow data or other evidence of gas flow, such as energy generation data, were collected in the research done in 2009 and have been used to estimate recovery rates, in addition to the local conditions at the site (SKM, unpublished(b)).</w:t>
      </w:r>
    </w:p>
    <w:p w14:paraId="03DB49B1" w14:textId="77777777" w:rsidR="00005A00" w:rsidRPr="00256982" w:rsidRDefault="00005A00" w:rsidP="00005A00">
      <w:pPr>
        <w:pStyle w:val="BodyText"/>
      </w:pPr>
      <w:r w:rsidRPr="00256982">
        <w:t>Table 7.2.6 shows the different methods of determining recovery rates and the total amounts of CH</w:t>
      </w:r>
      <w:r w:rsidRPr="00256982">
        <w:rPr>
          <w:vertAlign w:val="subscript"/>
        </w:rPr>
        <w:t>4</w:t>
      </w:r>
      <w:r w:rsidRPr="00256982">
        <w:t xml:space="preserve"> recovered. The majority of the CH</w:t>
      </w:r>
      <w:r w:rsidRPr="00256982">
        <w:rPr>
          <w:vertAlign w:val="subscript"/>
        </w:rPr>
        <w:t>4</w:t>
      </w:r>
      <w:r w:rsidRPr="00256982">
        <w:t xml:space="preserve"> recovered is validated by the NZ ETS data, and there is overall good consistency in recovery rates whether or not gas flow data or NZ ETS data are available. Therefore, while the data on recovery rates are limited, available evidence indicates these are accurate and emissions are not over estimated or underestimated.</w:t>
      </w:r>
    </w:p>
    <w:p w14:paraId="0EA6B7D0" w14:textId="77777777" w:rsidR="00005A00" w:rsidRPr="00256982" w:rsidRDefault="00005A00" w:rsidP="00005A00">
      <w:pPr>
        <w:pStyle w:val="Table"/>
      </w:pPr>
      <w:bookmarkStart w:id="2316" w:name="_Toc508019327"/>
      <w:bookmarkStart w:id="2317" w:name="_Toc511116825"/>
      <w:bookmarkStart w:id="2318" w:name="_Toc5269566"/>
      <w:r w:rsidRPr="00256982">
        <w:t>Table 7.2.6</w:t>
      </w:r>
      <w:r w:rsidRPr="00256982">
        <w:tab/>
        <w:t>Methane recovery rates and amounts for landfill sites with landfill gas recovery 201</w:t>
      </w:r>
      <w:bookmarkEnd w:id="2316"/>
      <w:bookmarkEnd w:id="2317"/>
      <w:r w:rsidRPr="00256982">
        <w:t>7</w:t>
      </w:r>
      <w:bookmarkEnd w:id="2318"/>
    </w:p>
    <w:tbl>
      <w:tblPr>
        <w:tblW w:w="8562" w:type="dxa"/>
        <w:tblInd w:w="108" w:type="dxa"/>
        <w:tblLook w:val="04A0" w:firstRow="1" w:lastRow="0" w:firstColumn="1" w:lastColumn="0" w:noHBand="0" w:noVBand="1"/>
      </w:tblPr>
      <w:tblGrid>
        <w:gridCol w:w="1284"/>
        <w:gridCol w:w="1977"/>
        <w:gridCol w:w="992"/>
        <w:gridCol w:w="1417"/>
        <w:gridCol w:w="1424"/>
        <w:gridCol w:w="755"/>
        <w:gridCol w:w="713"/>
      </w:tblGrid>
      <w:tr w:rsidR="00005A00" w:rsidRPr="00256982" w14:paraId="0FF68B51" w14:textId="77777777" w:rsidTr="00BE2243">
        <w:trPr>
          <w:trHeight w:val="399"/>
        </w:trPr>
        <w:tc>
          <w:tcPr>
            <w:tcW w:w="1284" w:type="dxa"/>
            <w:vMerge w:val="restart"/>
            <w:tcBorders>
              <w:top w:val="single" w:sz="4" w:space="0" w:color="365F91"/>
            </w:tcBorders>
            <w:shd w:val="clear" w:color="auto" w:fill="365F91"/>
            <w:vAlign w:val="bottom"/>
          </w:tcPr>
          <w:p w14:paraId="2CE655FE" w14:textId="77777777" w:rsidR="00005A00" w:rsidRPr="00256982" w:rsidRDefault="00005A00" w:rsidP="00AA14F1">
            <w:pPr>
              <w:pStyle w:val="TableTextBold"/>
              <w:spacing w:before="50" w:after="50"/>
              <w:rPr>
                <w:noProof w:val="0"/>
                <w:color w:val="FFFFFF"/>
              </w:rPr>
            </w:pPr>
            <w:r w:rsidRPr="00256982">
              <w:rPr>
                <w:noProof w:val="0"/>
                <w:color w:val="FFFFFF"/>
              </w:rPr>
              <w:t>Recovery rate for 2017 from the NZ ETS</w:t>
            </w:r>
          </w:p>
        </w:tc>
        <w:tc>
          <w:tcPr>
            <w:tcW w:w="1977" w:type="dxa"/>
            <w:vMerge w:val="restart"/>
            <w:tcBorders>
              <w:top w:val="single" w:sz="4" w:space="0" w:color="365F91"/>
            </w:tcBorders>
            <w:shd w:val="clear" w:color="auto" w:fill="365F91"/>
            <w:vAlign w:val="bottom"/>
          </w:tcPr>
          <w:p w14:paraId="1B7DCA4A" w14:textId="77777777" w:rsidR="00005A00" w:rsidRPr="00256982" w:rsidRDefault="00005A00" w:rsidP="00AA14F1">
            <w:pPr>
              <w:pStyle w:val="TableTextBold"/>
              <w:spacing w:before="50" w:after="50"/>
              <w:rPr>
                <w:noProof w:val="0"/>
                <w:color w:val="FFFFFF"/>
              </w:rPr>
            </w:pPr>
            <w:r w:rsidRPr="00256982">
              <w:rPr>
                <w:noProof w:val="0"/>
                <w:color w:val="FFFFFF"/>
              </w:rPr>
              <w:t>Method for determining recovery rate for years without NZ ETS data</w:t>
            </w:r>
          </w:p>
        </w:tc>
        <w:tc>
          <w:tcPr>
            <w:tcW w:w="992" w:type="dxa"/>
            <w:vMerge w:val="restart"/>
            <w:tcBorders>
              <w:top w:val="single" w:sz="4" w:space="0" w:color="365F91"/>
            </w:tcBorders>
            <w:shd w:val="clear" w:color="auto" w:fill="365F91"/>
            <w:vAlign w:val="bottom"/>
          </w:tcPr>
          <w:p w14:paraId="43C64AA1" w14:textId="77777777" w:rsidR="00005A00" w:rsidRPr="00256982" w:rsidRDefault="00005A00" w:rsidP="00AA14F1">
            <w:pPr>
              <w:pStyle w:val="TableTextBold"/>
              <w:spacing w:before="50" w:after="50"/>
              <w:jc w:val="center"/>
              <w:rPr>
                <w:noProof w:val="0"/>
                <w:color w:val="FFFFFF"/>
              </w:rPr>
            </w:pPr>
            <w:r w:rsidRPr="00256982">
              <w:rPr>
                <w:noProof w:val="0"/>
                <w:color w:val="FFFFFF"/>
              </w:rPr>
              <w:t>Number of sites</w:t>
            </w:r>
          </w:p>
        </w:tc>
        <w:tc>
          <w:tcPr>
            <w:tcW w:w="1417" w:type="dxa"/>
            <w:vMerge w:val="restart"/>
            <w:tcBorders>
              <w:top w:val="single" w:sz="4" w:space="0" w:color="365F91"/>
            </w:tcBorders>
            <w:shd w:val="clear" w:color="auto" w:fill="365F91"/>
            <w:vAlign w:val="bottom"/>
          </w:tcPr>
          <w:p w14:paraId="2929E2D9" w14:textId="77777777" w:rsidR="00005A00" w:rsidRPr="00256982" w:rsidRDefault="00005A00" w:rsidP="00AA14F1">
            <w:pPr>
              <w:pStyle w:val="TableTextBold"/>
              <w:spacing w:before="50" w:after="50"/>
              <w:jc w:val="center"/>
              <w:rPr>
                <w:noProof w:val="0"/>
                <w:color w:val="FFFFFF"/>
              </w:rPr>
            </w:pPr>
            <w:r w:rsidRPr="00256982">
              <w:rPr>
                <w:noProof w:val="0"/>
                <w:color w:val="FFFFFF"/>
              </w:rPr>
              <w:t>Recovery rate applied for 2017 (%)</w:t>
            </w:r>
          </w:p>
        </w:tc>
        <w:tc>
          <w:tcPr>
            <w:tcW w:w="2892" w:type="dxa"/>
            <w:gridSpan w:val="3"/>
            <w:tcBorders>
              <w:top w:val="single" w:sz="4" w:space="0" w:color="365F91"/>
              <w:bottom w:val="nil"/>
            </w:tcBorders>
            <w:shd w:val="clear" w:color="auto" w:fill="365F91"/>
            <w:vAlign w:val="bottom"/>
          </w:tcPr>
          <w:p w14:paraId="46F068F0" w14:textId="77777777" w:rsidR="00005A00" w:rsidRPr="00256982" w:rsidRDefault="00005A00" w:rsidP="00AA14F1">
            <w:pPr>
              <w:pStyle w:val="TableTextBold"/>
              <w:spacing w:before="50" w:after="50"/>
              <w:jc w:val="center"/>
              <w:rPr>
                <w:noProof w:val="0"/>
                <w:color w:val="FFFFFF"/>
              </w:rPr>
            </w:pPr>
            <w:r w:rsidRPr="00256982">
              <w:rPr>
                <w:noProof w:val="0"/>
                <w:color w:val="FFFFFF"/>
              </w:rPr>
              <w:t>Methane recovered in 2017 (kt CH</w:t>
            </w:r>
            <w:r w:rsidRPr="00256982">
              <w:rPr>
                <w:noProof w:val="0"/>
                <w:color w:val="FFFFFF"/>
                <w:vertAlign w:val="subscript"/>
              </w:rPr>
              <w:t>4</w:t>
            </w:r>
            <w:r w:rsidRPr="00256982">
              <w:rPr>
                <w:noProof w:val="0"/>
                <w:color w:val="FFFFFF"/>
              </w:rPr>
              <w:t>)</w:t>
            </w:r>
          </w:p>
        </w:tc>
      </w:tr>
      <w:tr w:rsidR="00005A00" w:rsidRPr="00256982" w14:paraId="122D9591" w14:textId="77777777" w:rsidTr="00BE2243">
        <w:trPr>
          <w:trHeight w:val="275"/>
        </w:trPr>
        <w:tc>
          <w:tcPr>
            <w:tcW w:w="1284" w:type="dxa"/>
            <w:vMerge/>
            <w:tcBorders>
              <w:bottom w:val="single" w:sz="4" w:space="0" w:color="365F91"/>
            </w:tcBorders>
            <w:shd w:val="clear" w:color="auto" w:fill="365F91"/>
          </w:tcPr>
          <w:p w14:paraId="004B6AE3" w14:textId="77777777" w:rsidR="00005A00" w:rsidRPr="00256982" w:rsidRDefault="00005A00" w:rsidP="00AA14F1">
            <w:pPr>
              <w:pStyle w:val="TableTextBold"/>
              <w:spacing w:before="50" w:after="50"/>
              <w:rPr>
                <w:noProof w:val="0"/>
                <w:color w:val="FFFFFF"/>
              </w:rPr>
            </w:pPr>
          </w:p>
        </w:tc>
        <w:tc>
          <w:tcPr>
            <w:tcW w:w="1977" w:type="dxa"/>
            <w:vMerge/>
            <w:tcBorders>
              <w:bottom w:val="single" w:sz="4" w:space="0" w:color="365F91"/>
            </w:tcBorders>
            <w:shd w:val="clear" w:color="auto" w:fill="365F91"/>
            <w:vAlign w:val="bottom"/>
          </w:tcPr>
          <w:p w14:paraId="68502C60" w14:textId="77777777" w:rsidR="00005A00" w:rsidRPr="00256982" w:rsidRDefault="00005A00" w:rsidP="00AA14F1">
            <w:pPr>
              <w:pStyle w:val="TableTextBold"/>
              <w:spacing w:before="50" w:after="50"/>
              <w:rPr>
                <w:noProof w:val="0"/>
                <w:color w:val="FFFFFF"/>
              </w:rPr>
            </w:pPr>
          </w:p>
        </w:tc>
        <w:tc>
          <w:tcPr>
            <w:tcW w:w="992" w:type="dxa"/>
            <w:vMerge/>
            <w:tcBorders>
              <w:bottom w:val="single" w:sz="4" w:space="0" w:color="365F91"/>
            </w:tcBorders>
            <w:shd w:val="clear" w:color="auto" w:fill="365F91"/>
            <w:vAlign w:val="bottom"/>
          </w:tcPr>
          <w:p w14:paraId="66C35BA1" w14:textId="77777777" w:rsidR="00005A00" w:rsidRPr="00256982" w:rsidRDefault="00005A00" w:rsidP="00AA14F1">
            <w:pPr>
              <w:pStyle w:val="TableTextBold"/>
              <w:spacing w:before="50" w:after="50"/>
              <w:rPr>
                <w:noProof w:val="0"/>
                <w:color w:val="FFFFFF"/>
              </w:rPr>
            </w:pPr>
          </w:p>
        </w:tc>
        <w:tc>
          <w:tcPr>
            <w:tcW w:w="1417" w:type="dxa"/>
            <w:vMerge/>
            <w:tcBorders>
              <w:bottom w:val="single" w:sz="4" w:space="0" w:color="365F91"/>
            </w:tcBorders>
            <w:shd w:val="clear" w:color="auto" w:fill="365F91"/>
            <w:vAlign w:val="bottom"/>
          </w:tcPr>
          <w:p w14:paraId="6F9F2845" w14:textId="77777777" w:rsidR="00005A00" w:rsidRPr="00256982" w:rsidRDefault="00005A00" w:rsidP="00AA14F1">
            <w:pPr>
              <w:pStyle w:val="TableTextBold"/>
              <w:spacing w:before="50" w:after="50"/>
              <w:rPr>
                <w:noProof w:val="0"/>
                <w:color w:val="FFFFFF"/>
              </w:rPr>
            </w:pPr>
          </w:p>
        </w:tc>
        <w:tc>
          <w:tcPr>
            <w:tcW w:w="1424" w:type="dxa"/>
            <w:tcBorders>
              <w:top w:val="nil"/>
              <w:bottom w:val="single" w:sz="4" w:space="0" w:color="365F91"/>
            </w:tcBorders>
            <w:shd w:val="clear" w:color="auto" w:fill="365F91"/>
            <w:vAlign w:val="bottom"/>
          </w:tcPr>
          <w:p w14:paraId="47D8D7C7" w14:textId="77777777" w:rsidR="00005A00" w:rsidRPr="00256982" w:rsidRDefault="00005A00" w:rsidP="00AA14F1">
            <w:pPr>
              <w:pStyle w:val="TableTextBold"/>
              <w:spacing w:before="50" w:after="50"/>
              <w:jc w:val="center"/>
              <w:rPr>
                <w:noProof w:val="0"/>
                <w:color w:val="FFFFFF"/>
              </w:rPr>
            </w:pPr>
            <w:r w:rsidRPr="00256982">
              <w:rPr>
                <w:noProof w:val="0"/>
                <w:color w:val="FFFFFF"/>
              </w:rPr>
              <w:t>Energy generation</w:t>
            </w:r>
          </w:p>
        </w:tc>
        <w:tc>
          <w:tcPr>
            <w:tcW w:w="755" w:type="dxa"/>
            <w:tcBorders>
              <w:top w:val="nil"/>
              <w:bottom w:val="single" w:sz="4" w:space="0" w:color="365F91"/>
            </w:tcBorders>
            <w:shd w:val="clear" w:color="auto" w:fill="365F91"/>
            <w:vAlign w:val="bottom"/>
          </w:tcPr>
          <w:p w14:paraId="64DAB8BE" w14:textId="77777777" w:rsidR="00005A00" w:rsidRPr="00256982" w:rsidRDefault="00005A00" w:rsidP="00AA14F1">
            <w:pPr>
              <w:pStyle w:val="TableTextBold"/>
              <w:spacing w:before="50" w:after="50"/>
              <w:jc w:val="center"/>
              <w:rPr>
                <w:noProof w:val="0"/>
                <w:color w:val="FFFFFF"/>
              </w:rPr>
            </w:pPr>
            <w:r w:rsidRPr="00256982">
              <w:rPr>
                <w:noProof w:val="0"/>
                <w:color w:val="FFFFFF"/>
              </w:rPr>
              <w:t>Flaring</w:t>
            </w:r>
          </w:p>
        </w:tc>
        <w:tc>
          <w:tcPr>
            <w:tcW w:w="713" w:type="dxa"/>
            <w:tcBorders>
              <w:top w:val="nil"/>
              <w:bottom w:val="single" w:sz="4" w:space="0" w:color="365F91"/>
            </w:tcBorders>
            <w:shd w:val="clear" w:color="auto" w:fill="365F91"/>
            <w:vAlign w:val="bottom"/>
          </w:tcPr>
          <w:p w14:paraId="35EE4DDB" w14:textId="77777777" w:rsidR="00005A00" w:rsidRPr="00256982" w:rsidRDefault="00005A00" w:rsidP="00AA14F1">
            <w:pPr>
              <w:pStyle w:val="TableTextBold"/>
              <w:spacing w:before="50" w:after="50"/>
              <w:jc w:val="center"/>
              <w:rPr>
                <w:noProof w:val="0"/>
                <w:color w:val="FFFFFF"/>
              </w:rPr>
            </w:pPr>
            <w:r w:rsidRPr="00256982">
              <w:rPr>
                <w:noProof w:val="0"/>
                <w:color w:val="FFFFFF"/>
              </w:rPr>
              <w:t>Total</w:t>
            </w:r>
          </w:p>
        </w:tc>
      </w:tr>
      <w:tr w:rsidR="00005A00" w:rsidRPr="00256982" w14:paraId="5177BF82" w14:textId="77777777" w:rsidTr="00BE2243">
        <w:tc>
          <w:tcPr>
            <w:tcW w:w="1284" w:type="dxa"/>
            <w:vMerge w:val="restart"/>
            <w:tcBorders>
              <w:top w:val="single" w:sz="4" w:space="0" w:color="365F91"/>
            </w:tcBorders>
            <w:vAlign w:val="center"/>
          </w:tcPr>
          <w:p w14:paraId="79CF8854" w14:textId="77777777" w:rsidR="00005A00" w:rsidRPr="00256982" w:rsidRDefault="00005A00" w:rsidP="00AA14F1">
            <w:pPr>
              <w:pStyle w:val="TableText"/>
              <w:spacing w:before="50" w:after="50"/>
              <w:jc w:val="center"/>
            </w:pPr>
            <w:r w:rsidRPr="00256982">
              <w:t>Yes</w:t>
            </w:r>
          </w:p>
        </w:tc>
        <w:tc>
          <w:tcPr>
            <w:tcW w:w="1977" w:type="dxa"/>
            <w:tcBorders>
              <w:top w:val="single" w:sz="4" w:space="0" w:color="365F91"/>
              <w:bottom w:val="single" w:sz="4" w:space="0" w:color="365F91"/>
            </w:tcBorders>
          </w:tcPr>
          <w:p w14:paraId="29AE089C" w14:textId="77777777" w:rsidR="00005A00" w:rsidRPr="00256982" w:rsidRDefault="00005A00" w:rsidP="00AA14F1">
            <w:pPr>
              <w:pStyle w:val="TableText"/>
              <w:spacing w:before="50" w:after="50"/>
            </w:pPr>
            <w:r w:rsidRPr="00256982">
              <w:t>Direct evidence of gas-flow rate in 2009</w:t>
            </w:r>
          </w:p>
        </w:tc>
        <w:tc>
          <w:tcPr>
            <w:tcW w:w="992" w:type="dxa"/>
            <w:tcBorders>
              <w:top w:val="single" w:sz="4" w:space="0" w:color="365F91"/>
              <w:bottom w:val="single" w:sz="4" w:space="0" w:color="365F91"/>
            </w:tcBorders>
          </w:tcPr>
          <w:p w14:paraId="148D1986" w14:textId="77777777" w:rsidR="00005A00" w:rsidRPr="00256982" w:rsidRDefault="00005A00" w:rsidP="00AA14F1">
            <w:pPr>
              <w:pStyle w:val="TableText"/>
              <w:spacing w:before="50" w:after="50"/>
              <w:jc w:val="center"/>
            </w:pPr>
            <w:r w:rsidRPr="00256982">
              <w:t>2</w:t>
            </w:r>
          </w:p>
        </w:tc>
        <w:tc>
          <w:tcPr>
            <w:tcW w:w="1417" w:type="dxa"/>
            <w:tcBorders>
              <w:top w:val="single" w:sz="4" w:space="0" w:color="365F91"/>
              <w:bottom w:val="single" w:sz="4" w:space="0" w:color="365F91"/>
            </w:tcBorders>
          </w:tcPr>
          <w:p w14:paraId="0418DCC9" w14:textId="77777777" w:rsidR="00005A00" w:rsidRPr="00256982" w:rsidRDefault="00005A00" w:rsidP="00AA14F1">
            <w:pPr>
              <w:pStyle w:val="TableText"/>
              <w:spacing w:before="50" w:after="50"/>
              <w:jc w:val="center"/>
              <w:rPr>
                <w:rFonts w:cs="Arial"/>
                <w:szCs w:val="16"/>
              </w:rPr>
            </w:pPr>
            <w:r w:rsidRPr="00256982">
              <w:t>90</w:t>
            </w:r>
          </w:p>
        </w:tc>
        <w:tc>
          <w:tcPr>
            <w:tcW w:w="1424" w:type="dxa"/>
            <w:tcBorders>
              <w:top w:val="single" w:sz="4" w:space="0" w:color="365F91"/>
              <w:bottom w:val="single" w:sz="4" w:space="0" w:color="365F91"/>
            </w:tcBorders>
          </w:tcPr>
          <w:p w14:paraId="48DAB9D9" w14:textId="77777777" w:rsidR="00005A00" w:rsidRPr="00256982" w:rsidRDefault="00005A00" w:rsidP="00AA14F1">
            <w:pPr>
              <w:pStyle w:val="TableText"/>
              <w:spacing w:before="50" w:after="50"/>
              <w:jc w:val="center"/>
              <w:rPr>
                <w:rFonts w:cs="Arial"/>
                <w:szCs w:val="16"/>
                <w:highlight w:val="yellow"/>
              </w:rPr>
            </w:pPr>
            <w:r w:rsidRPr="00256982">
              <w:t>22.5</w:t>
            </w:r>
          </w:p>
        </w:tc>
        <w:tc>
          <w:tcPr>
            <w:tcW w:w="755" w:type="dxa"/>
            <w:tcBorders>
              <w:top w:val="single" w:sz="4" w:space="0" w:color="365F91"/>
              <w:bottom w:val="single" w:sz="4" w:space="0" w:color="365F91"/>
            </w:tcBorders>
          </w:tcPr>
          <w:p w14:paraId="0A18A7D5" w14:textId="77777777" w:rsidR="00005A00" w:rsidRPr="00256982" w:rsidRDefault="00005A00" w:rsidP="00AA14F1">
            <w:pPr>
              <w:pStyle w:val="TableText"/>
              <w:spacing w:before="50" w:after="50"/>
              <w:jc w:val="center"/>
              <w:rPr>
                <w:rFonts w:cs="Arial"/>
                <w:szCs w:val="16"/>
                <w:highlight w:val="yellow"/>
              </w:rPr>
            </w:pPr>
            <w:r w:rsidRPr="00256982">
              <w:t>–</w:t>
            </w:r>
          </w:p>
        </w:tc>
        <w:tc>
          <w:tcPr>
            <w:tcW w:w="713" w:type="dxa"/>
            <w:tcBorders>
              <w:top w:val="single" w:sz="4" w:space="0" w:color="365F91"/>
              <w:bottom w:val="single" w:sz="4" w:space="0" w:color="365F91"/>
            </w:tcBorders>
          </w:tcPr>
          <w:p w14:paraId="6EEB3C5D" w14:textId="77777777" w:rsidR="00005A00" w:rsidRPr="00256982" w:rsidRDefault="00005A00" w:rsidP="00AA14F1">
            <w:pPr>
              <w:pStyle w:val="TableText"/>
              <w:spacing w:before="50" w:after="50"/>
              <w:jc w:val="center"/>
              <w:rPr>
                <w:rFonts w:cs="Arial"/>
                <w:szCs w:val="16"/>
                <w:highlight w:val="yellow"/>
              </w:rPr>
            </w:pPr>
            <w:r w:rsidRPr="00256982">
              <w:t>22.5</w:t>
            </w:r>
          </w:p>
        </w:tc>
      </w:tr>
      <w:tr w:rsidR="00005A00" w:rsidRPr="00256982" w14:paraId="4EE486B2" w14:textId="77777777" w:rsidTr="00BE2243">
        <w:tc>
          <w:tcPr>
            <w:tcW w:w="1284" w:type="dxa"/>
            <w:vMerge/>
            <w:tcBorders>
              <w:bottom w:val="single" w:sz="4" w:space="0" w:color="365F91"/>
            </w:tcBorders>
          </w:tcPr>
          <w:p w14:paraId="79FAC4A6" w14:textId="77777777" w:rsidR="00005A00" w:rsidRPr="00256982" w:rsidRDefault="00005A00" w:rsidP="00AA14F1">
            <w:pPr>
              <w:pStyle w:val="TableText"/>
              <w:spacing w:before="50" w:after="50"/>
              <w:jc w:val="center"/>
            </w:pPr>
          </w:p>
        </w:tc>
        <w:tc>
          <w:tcPr>
            <w:tcW w:w="1977" w:type="dxa"/>
            <w:tcBorders>
              <w:top w:val="single" w:sz="4" w:space="0" w:color="365F91"/>
              <w:bottom w:val="single" w:sz="4" w:space="0" w:color="365F91"/>
            </w:tcBorders>
          </w:tcPr>
          <w:p w14:paraId="2457201F" w14:textId="77777777" w:rsidR="00005A00" w:rsidRPr="00256982" w:rsidRDefault="00005A00" w:rsidP="00AA14F1">
            <w:pPr>
              <w:pStyle w:val="TableText"/>
              <w:spacing w:before="50" w:after="50"/>
            </w:pPr>
            <w:r w:rsidRPr="00256982">
              <w:t>Indirect methods based on site conditions</w:t>
            </w:r>
          </w:p>
        </w:tc>
        <w:tc>
          <w:tcPr>
            <w:tcW w:w="992" w:type="dxa"/>
            <w:tcBorders>
              <w:top w:val="single" w:sz="4" w:space="0" w:color="365F91"/>
              <w:bottom w:val="single" w:sz="4" w:space="0" w:color="365F91"/>
            </w:tcBorders>
          </w:tcPr>
          <w:p w14:paraId="3D781D01" w14:textId="77777777" w:rsidR="00005A00" w:rsidRPr="00256982" w:rsidRDefault="00005A00" w:rsidP="00AA14F1">
            <w:pPr>
              <w:pStyle w:val="TableText"/>
              <w:spacing w:before="50" w:after="50"/>
              <w:jc w:val="center"/>
            </w:pPr>
            <w:r w:rsidRPr="00256982">
              <w:t>9</w:t>
            </w:r>
          </w:p>
        </w:tc>
        <w:tc>
          <w:tcPr>
            <w:tcW w:w="1417" w:type="dxa"/>
            <w:tcBorders>
              <w:top w:val="single" w:sz="4" w:space="0" w:color="365F91"/>
              <w:bottom w:val="single" w:sz="4" w:space="0" w:color="365F91"/>
            </w:tcBorders>
          </w:tcPr>
          <w:p w14:paraId="43FD7DBD" w14:textId="77777777" w:rsidR="00005A00" w:rsidRPr="00256982" w:rsidRDefault="00005A00" w:rsidP="00AA14F1">
            <w:pPr>
              <w:pStyle w:val="TableText"/>
              <w:spacing w:before="50" w:after="50"/>
              <w:jc w:val="center"/>
            </w:pPr>
            <w:r w:rsidRPr="00256982">
              <w:t>34–90</w:t>
            </w:r>
          </w:p>
        </w:tc>
        <w:tc>
          <w:tcPr>
            <w:tcW w:w="1424" w:type="dxa"/>
            <w:tcBorders>
              <w:top w:val="single" w:sz="4" w:space="0" w:color="365F91"/>
              <w:bottom w:val="single" w:sz="4" w:space="0" w:color="365F91"/>
            </w:tcBorders>
          </w:tcPr>
          <w:p w14:paraId="6ECD9559" w14:textId="77777777" w:rsidR="00005A00" w:rsidRPr="00256982" w:rsidRDefault="00005A00" w:rsidP="00AA14F1">
            <w:pPr>
              <w:pStyle w:val="TableText"/>
              <w:spacing w:before="50" w:after="50"/>
              <w:jc w:val="center"/>
            </w:pPr>
            <w:r w:rsidRPr="00256982">
              <w:t>23.2</w:t>
            </w:r>
          </w:p>
        </w:tc>
        <w:tc>
          <w:tcPr>
            <w:tcW w:w="755" w:type="dxa"/>
            <w:tcBorders>
              <w:top w:val="single" w:sz="4" w:space="0" w:color="365F91"/>
              <w:bottom w:val="single" w:sz="4" w:space="0" w:color="365F91"/>
            </w:tcBorders>
          </w:tcPr>
          <w:p w14:paraId="5FE7616E" w14:textId="77777777" w:rsidR="00005A00" w:rsidRPr="00256982" w:rsidRDefault="00005A00" w:rsidP="00AA14F1">
            <w:pPr>
              <w:pStyle w:val="TableText"/>
              <w:spacing w:before="50" w:after="50"/>
              <w:jc w:val="center"/>
            </w:pPr>
            <w:r w:rsidRPr="00256982">
              <w:t>4.2</w:t>
            </w:r>
          </w:p>
        </w:tc>
        <w:tc>
          <w:tcPr>
            <w:tcW w:w="713" w:type="dxa"/>
            <w:tcBorders>
              <w:top w:val="single" w:sz="4" w:space="0" w:color="365F91"/>
              <w:bottom w:val="single" w:sz="4" w:space="0" w:color="365F91"/>
            </w:tcBorders>
          </w:tcPr>
          <w:p w14:paraId="4A919A98" w14:textId="77777777" w:rsidR="00005A00" w:rsidRPr="00256982" w:rsidRDefault="00005A00" w:rsidP="00AA14F1">
            <w:pPr>
              <w:pStyle w:val="TableText"/>
              <w:spacing w:before="50" w:after="50"/>
              <w:jc w:val="center"/>
            </w:pPr>
            <w:r w:rsidRPr="00256982">
              <w:t>27.4</w:t>
            </w:r>
          </w:p>
        </w:tc>
      </w:tr>
      <w:tr w:rsidR="00005A00" w:rsidRPr="00256982" w14:paraId="2BD7A396" w14:textId="77777777" w:rsidTr="00BE2243">
        <w:tc>
          <w:tcPr>
            <w:tcW w:w="1284" w:type="dxa"/>
            <w:vMerge w:val="restart"/>
            <w:tcBorders>
              <w:top w:val="single" w:sz="4" w:space="0" w:color="365F91"/>
            </w:tcBorders>
            <w:vAlign w:val="center"/>
          </w:tcPr>
          <w:p w14:paraId="30102D76" w14:textId="77777777" w:rsidR="00005A00" w:rsidRPr="00256982" w:rsidRDefault="00005A00" w:rsidP="00AA14F1">
            <w:pPr>
              <w:pStyle w:val="TableText"/>
              <w:spacing w:before="50" w:after="50"/>
              <w:jc w:val="center"/>
            </w:pPr>
            <w:r w:rsidRPr="00256982">
              <w:t>No</w:t>
            </w:r>
          </w:p>
        </w:tc>
        <w:tc>
          <w:tcPr>
            <w:tcW w:w="1977" w:type="dxa"/>
            <w:tcBorders>
              <w:top w:val="single" w:sz="4" w:space="0" w:color="365F91"/>
              <w:bottom w:val="single" w:sz="4" w:space="0" w:color="365F91"/>
            </w:tcBorders>
          </w:tcPr>
          <w:p w14:paraId="77ACD6B0" w14:textId="77777777" w:rsidR="00005A00" w:rsidRPr="00256982" w:rsidRDefault="00005A00" w:rsidP="00AA14F1">
            <w:pPr>
              <w:pStyle w:val="TableText"/>
              <w:spacing w:before="50" w:after="50"/>
            </w:pPr>
            <w:r w:rsidRPr="00256982">
              <w:t>Direct evidence of gas-flow rate in 2009</w:t>
            </w:r>
          </w:p>
        </w:tc>
        <w:tc>
          <w:tcPr>
            <w:tcW w:w="992" w:type="dxa"/>
            <w:tcBorders>
              <w:top w:val="single" w:sz="4" w:space="0" w:color="365F91"/>
              <w:bottom w:val="single" w:sz="4" w:space="0" w:color="365F91"/>
            </w:tcBorders>
          </w:tcPr>
          <w:p w14:paraId="3CB52170" w14:textId="77777777" w:rsidR="00005A00" w:rsidRPr="00256982" w:rsidRDefault="00005A00" w:rsidP="00AA14F1">
            <w:pPr>
              <w:pStyle w:val="TableText"/>
              <w:spacing w:before="50" w:after="50"/>
              <w:jc w:val="center"/>
            </w:pPr>
            <w:r w:rsidRPr="00256982">
              <w:t>2</w:t>
            </w:r>
          </w:p>
        </w:tc>
        <w:tc>
          <w:tcPr>
            <w:tcW w:w="1417" w:type="dxa"/>
            <w:tcBorders>
              <w:top w:val="single" w:sz="4" w:space="0" w:color="365F91"/>
              <w:bottom w:val="single" w:sz="4" w:space="0" w:color="365F91"/>
            </w:tcBorders>
          </w:tcPr>
          <w:p w14:paraId="0BD09723" w14:textId="77777777" w:rsidR="00005A00" w:rsidRPr="00256982" w:rsidRDefault="00005A00" w:rsidP="00AA14F1">
            <w:pPr>
              <w:pStyle w:val="TableText"/>
              <w:spacing w:before="50" w:after="50"/>
              <w:jc w:val="center"/>
            </w:pPr>
            <w:r w:rsidRPr="00256982">
              <w:t>37–42</w:t>
            </w:r>
          </w:p>
        </w:tc>
        <w:tc>
          <w:tcPr>
            <w:tcW w:w="1424" w:type="dxa"/>
            <w:tcBorders>
              <w:top w:val="single" w:sz="4" w:space="0" w:color="365F91"/>
              <w:bottom w:val="single" w:sz="4" w:space="0" w:color="365F91"/>
            </w:tcBorders>
          </w:tcPr>
          <w:p w14:paraId="5C42DE33" w14:textId="77777777" w:rsidR="00005A00" w:rsidRPr="00256982" w:rsidRDefault="00005A00" w:rsidP="00AA14F1">
            <w:pPr>
              <w:pStyle w:val="TableText"/>
              <w:spacing w:before="50" w:after="50"/>
              <w:jc w:val="center"/>
            </w:pPr>
            <w:r w:rsidRPr="00256982">
              <w:t>1.6</w:t>
            </w:r>
          </w:p>
        </w:tc>
        <w:tc>
          <w:tcPr>
            <w:tcW w:w="755" w:type="dxa"/>
            <w:tcBorders>
              <w:top w:val="single" w:sz="4" w:space="0" w:color="365F91"/>
              <w:bottom w:val="single" w:sz="4" w:space="0" w:color="365F91"/>
            </w:tcBorders>
          </w:tcPr>
          <w:p w14:paraId="0C53251E" w14:textId="77777777" w:rsidR="00005A00" w:rsidRPr="00256982" w:rsidRDefault="00005A00" w:rsidP="00AA14F1">
            <w:pPr>
              <w:pStyle w:val="TableText"/>
              <w:spacing w:before="50" w:after="50"/>
              <w:jc w:val="center"/>
            </w:pPr>
            <w:r w:rsidRPr="00256982">
              <w:t>1.4</w:t>
            </w:r>
          </w:p>
        </w:tc>
        <w:tc>
          <w:tcPr>
            <w:tcW w:w="713" w:type="dxa"/>
            <w:tcBorders>
              <w:top w:val="single" w:sz="4" w:space="0" w:color="365F91"/>
              <w:bottom w:val="single" w:sz="4" w:space="0" w:color="365F91"/>
            </w:tcBorders>
          </w:tcPr>
          <w:p w14:paraId="6CC3BA86" w14:textId="77777777" w:rsidR="00005A00" w:rsidRPr="00256982" w:rsidRDefault="00005A00" w:rsidP="00AA14F1">
            <w:pPr>
              <w:pStyle w:val="TableText"/>
              <w:spacing w:before="50" w:after="50"/>
              <w:jc w:val="center"/>
            </w:pPr>
            <w:r w:rsidRPr="00256982">
              <w:t>3.0</w:t>
            </w:r>
          </w:p>
        </w:tc>
      </w:tr>
      <w:tr w:rsidR="00005A00" w:rsidRPr="00256982" w14:paraId="79C46DBE" w14:textId="77777777" w:rsidTr="00BE2243">
        <w:tc>
          <w:tcPr>
            <w:tcW w:w="1284" w:type="dxa"/>
            <w:vMerge/>
          </w:tcPr>
          <w:p w14:paraId="0AAB838B" w14:textId="77777777" w:rsidR="00005A00" w:rsidRPr="00256982" w:rsidRDefault="00005A00" w:rsidP="00AA14F1">
            <w:pPr>
              <w:pStyle w:val="TableText"/>
              <w:spacing w:before="50" w:after="50"/>
              <w:jc w:val="center"/>
            </w:pPr>
          </w:p>
        </w:tc>
        <w:tc>
          <w:tcPr>
            <w:tcW w:w="1977" w:type="dxa"/>
            <w:tcBorders>
              <w:top w:val="single" w:sz="4" w:space="0" w:color="365F91"/>
              <w:bottom w:val="single" w:sz="4" w:space="0" w:color="365F91"/>
            </w:tcBorders>
          </w:tcPr>
          <w:p w14:paraId="70E21AFF" w14:textId="77777777" w:rsidR="00005A00" w:rsidRPr="00256982" w:rsidRDefault="00005A00" w:rsidP="00AA14F1">
            <w:pPr>
              <w:pStyle w:val="TableText"/>
              <w:spacing w:before="50" w:after="50"/>
            </w:pPr>
            <w:r w:rsidRPr="00256982">
              <w:t>Evidence of energy generation in 2009</w:t>
            </w:r>
          </w:p>
        </w:tc>
        <w:tc>
          <w:tcPr>
            <w:tcW w:w="992" w:type="dxa"/>
            <w:tcBorders>
              <w:top w:val="single" w:sz="4" w:space="0" w:color="365F91"/>
              <w:bottom w:val="single" w:sz="4" w:space="0" w:color="365F91"/>
            </w:tcBorders>
          </w:tcPr>
          <w:p w14:paraId="2D32AEFC" w14:textId="77777777" w:rsidR="00005A00" w:rsidRPr="00256982" w:rsidRDefault="00005A00" w:rsidP="00AA14F1">
            <w:pPr>
              <w:pStyle w:val="TableText"/>
              <w:spacing w:before="50" w:after="50"/>
              <w:jc w:val="center"/>
            </w:pPr>
            <w:r w:rsidRPr="00256982">
              <w:t>1</w:t>
            </w:r>
          </w:p>
        </w:tc>
        <w:tc>
          <w:tcPr>
            <w:tcW w:w="1417" w:type="dxa"/>
            <w:tcBorders>
              <w:top w:val="single" w:sz="4" w:space="0" w:color="365F91"/>
              <w:bottom w:val="single" w:sz="4" w:space="0" w:color="365F91"/>
            </w:tcBorders>
          </w:tcPr>
          <w:p w14:paraId="0C6FC740" w14:textId="77777777" w:rsidR="00005A00" w:rsidRPr="00256982" w:rsidRDefault="00005A00" w:rsidP="00AA14F1">
            <w:pPr>
              <w:pStyle w:val="TableText"/>
              <w:spacing w:before="50" w:after="50"/>
              <w:jc w:val="center"/>
            </w:pPr>
            <w:r w:rsidRPr="00256982">
              <w:t>47</w:t>
            </w:r>
          </w:p>
        </w:tc>
        <w:tc>
          <w:tcPr>
            <w:tcW w:w="1424" w:type="dxa"/>
            <w:tcBorders>
              <w:top w:val="single" w:sz="4" w:space="0" w:color="365F91"/>
              <w:bottom w:val="single" w:sz="4" w:space="0" w:color="365F91"/>
            </w:tcBorders>
          </w:tcPr>
          <w:p w14:paraId="373BA397" w14:textId="77777777" w:rsidR="00005A00" w:rsidRPr="00256982" w:rsidRDefault="00005A00" w:rsidP="00AA14F1">
            <w:pPr>
              <w:pStyle w:val="TableText"/>
              <w:spacing w:before="50" w:after="50"/>
              <w:jc w:val="center"/>
              <w:rPr>
                <w:rFonts w:cs="Arial"/>
                <w:szCs w:val="16"/>
                <w:highlight w:val="yellow"/>
              </w:rPr>
            </w:pPr>
            <w:r w:rsidRPr="00256982">
              <w:t>1.0</w:t>
            </w:r>
          </w:p>
        </w:tc>
        <w:tc>
          <w:tcPr>
            <w:tcW w:w="755" w:type="dxa"/>
            <w:tcBorders>
              <w:top w:val="single" w:sz="4" w:space="0" w:color="365F91"/>
              <w:bottom w:val="single" w:sz="4" w:space="0" w:color="365F91"/>
            </w:tcBorders>
          </w:tcPr>
          <w:p w14:paraId="05FF9A52" w14:textId="77777777" w:rsidR="00005A00" w:rsidRPr="00256982" w:rsidRDefault="00005A00" w:rsidP="00AA14F1">
            <w:pPr>
              <w:pStyle w:val="TableText"/>
              <w:spacing w:before="50" w:after="50"/>
              <w:jc w:val="center"/>
              <w:rPr>
                <w:rFonts w:cs="Arial"/>
                <w:szCs w:val="16"/>
                <w:highlight w:val="yellow"/>
              </w:rPr>
            </w:pPr>
            <w:r w:rsidRPr="00256982">
              <w:t>–</w:t>
            </w:r>
          </w:p>
        </w:tc>
        <w:tc>
          <w:tcPr>
            <w:tcW w:w="713" w:type="dxa"/>
            <w:tcBorders>
              <w:top w:val="single" w:sz="4" w:space="0" w:color="365F91"/>
              <w:bottom w:val="single" w:sz="4" w:space="0" w:color="365F91"/>
            </w:tcBorders>
          </w:tcPr>
          <w:p w14:paraId="39CFF3B0" w14:textId="77777777" w:rsidR="00005A00" w:rsidRPr="00256982" w:rsidRDefault="00005A00" w:rsidP="00AA14F1">
            <w:pPr>
              <w:pStyle w:val="TableText"/>
              <w:spacing w:before="50" w:after="50"/>
              <w:jc w:val="center"/>
              <w:rPr>
                <w:rFonts w:cs="Arial"/>
                <w:szCs w:val="16"/>
                <w:highlight w:val="yellow"/>
              </w:rPr>
            </w:pPr>
            <w:r w:rsidRPr="00256982">
              <w:t>1.0</w:t>
            </w:r>
          </w:p>
        </w:tc>
      </w:tr>
      <w:tr w:rsidR="00005A00" w:rsidRPr="00256982" w14:paraId="50498C3D" w14:textId="77777777" w:rsidTr="00BE2243">
        <w:tc>
          <w:tcPr>
            <w:tcW w:w="1284" w:type="dxa"/>
            <w:vMerge/>
            <w:tcBorders>
              <w:bottom w:val="single" w:sz="4" w:space="0" w:color="365F91"/>
            </w:tcBorders>
          </w:tcPr>
          <w:p w14:paraId="7FB304CF" w14:textId="77777777" w:rsidR="00005A00" w:rsidRPr="00256982" w:rsidRDefault="00005A00" w:rsidP="00AA14F1">
            <w:pPr>
              <w:pStyle w:val="TableText"/>
              <w:spacing w:before="50" w:after="50"/>
              <w:jc w:val="center"/>
            </w:pPr>
          </w:p>
        </w:tc>
        <w:tc>
          <w:tcPr>
            <w:tcW w:w="1977" w:type="dxa"/>
            <w:tcBorders>
              <w:top w:val="single" w:sz="4" w:space="0" w:color="365F91"/>
              <w:bottom w:val="single" w:sz="4" w:space="0" w:color="365F91"/>
            </w:tcBorders>
          </w:tcPr>
          <w:p w14:paraId="11CC83E5" w14:textId="77777777" w:rsidR="00005A00" w:rsidRPr="00256982" w:rsidRDefault="00005A00" w:rsidP="00AA14F1">
            <w:pPr>
              <w:pStyle w:val="TableText"/>
              <w:spacing w:before="50" w:after="50"/>
            </w:pPr>
            <w:r w:rsidRPr="00256982">
              <w:t>Indirect methods based on site conditions</w:t>
            </w:r>
          </w:p>
        </w:tc>
        <w:tc>
          <w:tcPr>
            <w:tcW w:w="992" w:type="dxa"/>
            <w:tcBorders>
              <w:top w:val="single" w:sz="4" w:space="0" w:color="365F91"/>
              <w:bottom w:val="single" w:sz="4" w:space="0" w:color="365F91"/>
            </w:tcBorders>
          </w:tcPr>
          <w:p w14:paraId="6DECA40E" w14:textId="77777777" w:rsidR="00005A00" w:rsidRPr="00256982" w:rsidRDefault="00005A00" w:rsidP="00AA14F1">
            <w:pPr>
              <w:pStyle w:val="TableText"/>
              <w:spacing w:before="50" w:after="50"/>
              <w:jc w:val="center"/>
            </w:pPr>
            <w:r w:rsidRPr="00256982">
              <w:t>11</w:t>
            </w:r>
          </w:p>
        </w:tc>
        <w:tc>
          <w:tcPr>
            <w:tcW w:w="1417" w:type="dxa"/>
            <w:tcBorders>
              <w:top w:val="single" w:sz="4" w:space="0" w:color="365F91"/>
              <w:bottom w:val="single" w:sz="4" w:space="0" w:color="365F91"/>
            </w:tcBorders>
          </w:tcPr>
          <w:p w14:paraId="2A5EB24F" w14:textId="77777777" w:rsidR="00005A00" w:rsidRPr="00256982" w:rsidRDefault="00005A00" w:rsidP="00AA14F1">
            <w:pPr>
              <w:pStyle w:val="TableText"/>
              <w:spacing w:before="50" w:after="50"/>
              <w:jc w:val="center"/>
            </w:pPr>
            <w:r w:rsidRPr="00256982">
              <w:t>25–90</w:t>
            </w:r>
          </w:p>
        </w:tc>
        <w:tc>
          <w:tcPr>
            <w:tcW w:w="1424" w:type="dxa"/>
            <w:tcBorders>
              <w:top w:val="single" w:sz="4" w:space="0" w:color="365F91"/>
              <w:bottom w:val="single" w:sz="4" w:space="0" w:color="365F91"/>
            </w:tcBorders>
          </w:tcPr>
          <w:p w14:paraId="0DEB590B" w14:textId="77777777" w:rsidR="00005A00" w:rsidRPr="00256982" w:rsidRDefault="00005A00" w:rsidP="00AA14F1">
            <w:pPr>
              <w:pStyle w:val="TableText"/>
              <w:spacing w:before="50" w:after="50"/>
              <w:jc w:val="center"/>
              <w:rPr>
                <w:rFonts w:cs="Arial"/>
                <w:szCs w:val="16"/>
                <w:highlight w:val="yellow"/>
              </w:rPr>
            </w:pPr>
            <w:r w:rsidRPr="00256982">
              <w:t>29.7</w:t>
            </w:r>
          </w:p>
        </w:tc>
        <w:tc>
          <w:tcPr>
            <w:tcW w:w="755" w:type="dxa"/>
            <w:tcBorders>
              <w:top w:val="single" w:sz="4" w:space="0" w:color="365F91"/>
              <w:bottom w:val="single" w:sz="4" w:space="0" w:color="365F91"/>
            </w:tcBorders>
          </w:tcPr>
          <w:p w14:paraId="18C3B465" w14:textId="77777777" w:rsidR="00005A00" w:rsidRPr="00256982" w:rsidRDefault="00005A00" w:rsidP="00AA14F1">
            <w:pPr>
              <w:pStyle w:val="TableText"/>
              <w:spacing w:before="50" w:after="50"/>
              <w:jc w:val="center"/>
              <w:rPr>
                <w:rFonts w:cs="Arial"/>
                <w:szCs w:val="16"/>
                <w:highlight w:val="yellow"/>
              </w:rPr>
            </w:pPr>
            <w:r w:rsidRPr="00256982">
              <w:t>6.8</w:t>
            </w:r>
          </w:p>
        </w:tc>
        <w:tc>
          <w:tcPr>
            <w:tcW w:w="713" w:type="dxa"/>
            <w:tcBorders>
              <w:top w:val="single" w:sz="4" w:space="0" w:color="365F91"/>
              <w:bottom w:val="single" w:sz="4" w:space="0" w:color="365F91"/>
            </w:tcBorders>
          </w:tcPr>
          <w:p w14:paraId="26EC3F6A" w14:textId="77777777" w:rsidR="00005A00" w:rsidRPr="00256982" w:rsidRDefault="00005A00" w:rsidP="00AA14F1">
            <w:pPr>
              <w:pStyle w:val="TableText"/>
              <w:spacing w:before="50" w:after="50"/>
              <w:jc w:val="center"/>
              <w:rPr>
                <w:rFonts w:cs="Arial"/>
                <w:szCs w:val="16"/>
                <w:highlight w:val="yellow"/>
              </w:rPr>
            </w:pPr>
            <w:r w:rsidRPr="00256982">
              <w:t>37.4</w:t>
            </w:r>
          </w:p>
        </w:tc>
      </w:tr>
      <w:tr w:rsidR="00005A00" w:rsidRPr="00256982" w14:paraId="67B75B33" w14:textId="77777777" w:rsidTr="00BE2243">
        <w:tc>
          <w:tcPr>
            <w:tcW w:w="1284" w:type="dxa"/>
            <w:tcBorders>
              <w:top w:val="single" w:sz="4" w:space="0" w:color="365F91"/>
              <w:bottom w:val="single" w:sz="4" w:space="0" w:color="365F91"/>
            </w:tcBorders>
          </w:tcPr>
          <w:p w14:paraId="3095EBFC" w14:textId="77777777" w:rsidR="00005A00" w:rsidRPr="00256982" w:rsidRDefault="00005A00" w:rsidP="00AA14F1">
            <w:pPr>
              <w:pStyle w:val="TableText"/>
              <w:spacing w:before="50" w:after="50"/>
              <w:jc w:val="center"/>
              <w:rPr>
                <w:b/>
              </w:rPr>
            </w:pPr>
            <w:r w:rsidRPr="00256982">
              <w:rPr>
                <w:b/>
              </w:rPr>
              <w:t>Total</w:t>
            </w:r>
          </w:p>
        </w:tc>
        <w:tc>
          <w:tcPr>
            <w:tcW w:w="1977" w:type="dxa"/>
            <w:tcBorders>
              <w:top w:val="single" w:sz="4" w:space="0" w:color="365F91"/>
              <w:bottom w:val="single" w:sz="4" w:space="0" w:color="365F91"/>
            </w:tcBorders>
          </w:tcPr>
          <w:p w14:paraId="028AE4A3" w14:textId="77777777" w:rsidR="00005A00" w:rsidRPr="00256982" w:rsidRDefault="00005A00" w:rsidP="00AA14F1">
            <w:pPr>
              <w:pStyle w:val="TableText"/>
              <w:spacing w:before="50" w:after="50"/>
              <w:jc w:val="center"/>
              <w:rPr>
                <w:b/>
              </w:rPr>
            </w:pPr>
          </w:p>
        </w:tc>
        <w:tc>
          <w:tcPr>
            <w:tcW w:w="992" w:type="dxa"/>
            <w:tcBorders>
              <w:top w:val="single" w:sz="4" w:space="0" w:color="365F91"/>
              <w:bottom w:val="single" w:sz="4" w:space="0" w:color="365F91"/>
            </w:tcBorders>
          </w:tcPr>
          <w:p w14:paraId="2571FCA3" w14:textId="77777777" w:rsidR="00005A00" w:rsidRPr="00256982" w:rsidRDefault="00005A00" w:rsidP="00AA14F1">
            <w:pPr>
              <w:pStyle w:val="TableText"/>
              <w:spacing w:before="50" w:after="50"/>
              <w:jc w:val="center"/>
              <w:rPr>
                <w:b/>
                <w:highlight w:val="yellow"/>
              </w:rPr>
            </w:pPr>
            <w:r w:rsidRPr="00256982">
              <w:rPr>
                <w:b/>
              </w:rPr>
              <w:t>25</w:t>
            </w:r>
          </w:p>
        </w:tc>
        <w:tc>
          <w:tcPr>
            <w:tcW w:w="1417" w:type="dxa"/>
            <w:tcBorders>
              <w:top w:val="single" w:sz="4" w:space="0" w:color="365F91"/>
              <w:bottom w:val="single" w:sz="4" w:space="0" w:color="365F91"/>
            </w:tcBorders>
          </w:tcPr>
          <w:p w14:paraId="20F5AE45" w14:textId="77777777" w:rsidR="00005A00" w:rsidRPr="00256982" w:rsidRDefault="00005A00" w:rsidP="00AA14F1">
            <w:pPr>
              <w:pStyle w:val="TableText"/>
              <w:spacing w:before="50" w:after="50"/>
              <w:jc w:val="center"/>
              <w:rPr>
                <w:b/>
              </w:rPr>
            </w:pPr>
            <w:r w:rsidRPr="00256982">
              <w:rPr>
                <w:b/>
              </w:rPr>
              <w:t>N/A</w:t>
            </w:r>
          </w:p>
        </w:tc>
        <w:tc>
          <w:tcPr>
            <w:tcW w:w="1424" w:type="dxa"/>
            <w:tcBorders>
              <w:top w:val="single" w:sz="4" w:space="0" w:color="365F91"/>
              <w:bottom w:val="single" w:sz="4" w:space="0" w:color="365F91"/>
            </w:tcBorders>
          </w:tcPr>
          <w:p w14:paraId="0C2B4843" w14:textId="77777777" w:rsidR="00005A00" w:rsidRPr="00256982" w:rsidRDefault="00005A00" w:rsidP="00AA14F1">
            <w:pPr>
              <w:pStyle w:val="TableText"/>
              <w:spacing w:before="50" w:after="50"/>
              <w:jc w:val="center"/>
              <w:rPr>
                <w:rFonts w:cs="Arial"/>
                <w:b/>
                <w:szCs w:val="16"/>
                <w:highlight w:val="yellow"/>
              </w:rPr>
            </w:pPr>
            <w:r w:rsidRPr="00256982">
              <w:t>54.9</w:t>
            </w:r>
          </w:p>
        </w:tc>
        <w:tc>
          <w:tcPr>
            <w:tcW w:w="755" w:type="dxa"/>
            <w:tcBorders>
              <w:top w:val="single" w:sz="4" w:space="0" w:color="365F91"/>
              <w:bottom w:val="single" w:sz="4" w:space="0" w:color="365F91"/>
            </w:tcBorders>
          </w:tcPr>
          <w:p w14:paraId="737FF8D8" w14:textId="77777777" w:rsidR="00005A00" w:rsidRPr="00256982" w:rsidRDefault="00005A00" w:rsidP="00AA14F1">
            <w:pPr>
              <w:pStyle w:val="TableText"/>
              <w:spacing w:before="50" w:after="50"/>
              <w:jc w:val="center"/>
              <w:rPr>
                <w:rFonts w:cs="Arial"/>
                <w:b/>
                <w:szCs w:val="16"/>
                <w:highlight w:val="yellow"/>
              </w:rPr>
            </w:pPr>
            <w:r w:rsidRPr="00256982">
              <w:t>8.2</w:t>
            </w:r>
          </w:p>
        </w:tc>
        <w:tc>
          <w:tcPr>
            <w:tcW w:w="713" w:type="dxa"/>
            <w:tcBorders>
              <w:top w:val="single" w:sz="4" w:space="0" w:color="365F91"/>
              <w:bottom w:val="single" w:sz="4" w:space="0" w:color="365F91"/>
            </w:tcBorders>
          </w:tcPr>
          <w:p w14:paraId="0F7A73C1" w14:textId="77777777" w:rsidR="00005A00" w:rsidRPr="00256982" w:rsidRDefault="00005A00" w:rsidP="00AA14F1">
            <w:pPr>
              <w:pStyle w:val="TableText"/>
              <w:spacing w:before="50" w:after="50"/>
              <w:jc w:val="center"/>
              <w:rPr>
                <w:rFonts w:cs="Arial"/>
                <w:b/>
                <w:szCs w:val="16"/>
                <w:highlight w:val="yellow"/>
              </w:rPr>
            </w:pPr>
            <w:r w:rsidRPr="00256982">
              <w:t>63.9</w:t>
            </w:r>
          </w:p>
        </w:tc>
      </w:tr>
    </w:tbl>
    <w:p w14:paraId="00329430" w14:textId="77777777" w:rsidR="00005A00" w:rsidRPr="00256982" w:rsidRDefault="00005A00" w:rsidP="00005A00">
      <w:pPr>
        <w:pStyle w:val="Noteundertable"/>
      </w:pPr>
      <w:r w:rsidRPr="00256982">
        <w:rPr>
          <w:b/>
        </w:rPr>
        <w:t>Note:</w:t>
      </w:r>
      <w:r w:rsidRPr="00256982">
        <w:t xml:space="preserve"> </w:t>
      </w:r>
      <w:r w:rsidRPr="00256982">
        <w:tab/>
        <w:t>N/A = not applicable; NZ ETS = New Zealand Emissions Trading Scheme.</w:t>
      </w:r>
    </w:p>
    <w:p w14:paraId="2F6BB50E" w14:textId="77777777" w:rsidR="00005A00" w:rsidRPr="00256982" w:rsidRDefault="00005A00" w:rsidP="00005A00">
      <w:pPr>
        <w:pStyle w:val="BodyText"/>
        <w:spacing w:before="240"/>
      </w:pPr>
      <w:r w:rsidRPr="00256982">
        <w:lastRenderedPageBreak/>
        <w:t>For the sites and years that NZ ETS data are available, the UEF, which is based on gas collection data, determines the amount of CH</w:t>
      </w:r>
      <w:r w:rsidRPr="00256982">
        <w:rPr>
          <w:vertAlign w:val="subscript"/>
        </w:rPr>
        <w:t>4</w:t>
      </w:r>
      <w:r w:rsidRPr="00256982">
        <w:t xml:space="preserve"> recovered. When NZ ETS data are not available, the amount of CH</w:t>
      </w:r>
      <w:r w:rsidRPr="00256982">
        <w:rPr>
          <w:vertAlign w:val="subscript"/>
        </w:rPr>
        <w:t xml:space="preserve">4 </w:t>
      </w:r>
      <w:r w:rsidRPr="00256982">
        <w:t>recovered is based on the assumptions used to model recovery rates, where only some historical gas-flow data are available from the research conducted on the recovery rates in 2009 (SKM, unpublished(b)).</w:t>
      </w:r>
    </w:p>
    <w:p w14:paraId="520D95BB" w14:textId="77777777" w:rsidR="00005A00" w:rsidRPr="00256982" w:rsidRDefault="00005A00" w:rsidP="00005A00">
      <w:pPr>
        <w:pStyle w:val="BodyText"/>
      </w:pPr>
      <w:r w:rsidRPr="00256982">
        <w:t>Based on reviews of previous submissions, New Zealand was recommended to use a recovery rate of 20 per cent. The 2006 IPCC Guidelines state that, when CH</w:t>
      </w:r>
      <w:r w:rsidRPr="00256982">
        <w:rPr>
          <w:vertAlign w:val="subscript"/>
        </w:rPr>
        <w:t>4</w:t>
      </w:r>
      <w:r w:rsidRPr="00256982">
        <w:t xml:space="preserve"> recovery is estimated on the basis of the number of solid waste disposal sites with LFG recovery, a default estimate of recovery would be 20 per cent (IPCC, 2006a). However, it is known that the collection efficiency varies greatly, depending on the technology used. New Zealand has detailed information about its landfill sites, as well as evidence of actual recovery rates from historical metered data and from the NZ ETS. This provides assurance that the site-specific recovery rates used are appropriate. If New Zealand were to use the suggested recovery rate of 20 per cent it would have the effect of substantially underestimating CH</w:t>
      </w:r>
      <w:r w:rsidRPr="00256982">
        <w:rPr>
          <w:vertAlign w:val="subscript"/>
        </w:rPr>
        <w:t>4</w:t>
      </w:r>
      <w:r w:rsidRPr="00256982">
        <w:t xml:space="preserve"> recovery and therefore overestimating emissions for landfills with LFG recovery. Figure 7.2.2 demonstrates the effect on emissions from landfills with LFG recovery for the entire time series when the default recovery rate of 20 per cent is used.</w:t>
      </w:r>
    </w:p>
    <w:p w14:paraId="6E35FF46" w14:textId="77777777" w:rsidR="00005A00" w:rsidRPr="00256982" w:rsidRDefault="00005A00" w:rsidP="00005A00">
      <w:pPr>
        <w:pStyle w:val="BodyText"/>
      </w:pPr>
      <w:r w:rsidRPr="00256982">
        <w:t>Recovery rates vary across the time series because the LFG recovery technology has been progressively installed and upgraded. In the emissions estimates, the CH</w:t>
      </w:r>
      <w:r w:rsidRPr="00256982">
        <w:rPr>
          <w:vertAlign w:val="subscript"/>
        </w:rPr>
        <w:t>4</w:t>
      </w:r>
      <w:r w:rsidRPr="00256982">
        <w:t xml:space="preserve"> recovery rate is specified for each site by year based on either NZ ETS data, older gas-flow data or site-specific factors described above, taking into account when CH</w:t>
      </w:r>
      <w:r w:rsidRPr="00256982">
        <w:rPr>
          <w:vertAlign w:val="subscript"/>
        </w:rPr>
        <w:t>4</w:t>
      </w:r>
      <w:r w:rsidRPr="00256982">
        <w:t xml:space="preserve"> recovery began for each site. One site ceased CH</w:t>
      </w:r>
      <w:r w:rsidRPr="00256982">
        <w:rPr>
          <w:vertAlign w:val="subscript"/>
        </w:rPr>
        <w:t>4</w:t>
      </w:r>
      <w:r w:rsidRPr="00256982">
        <w:t xml:space="preserve"> recovery in 2006, and this is also taken into account. In 2017, recovery efficiencies varied from 25 per cent to 90 per cent over the landfills with recovery technology, excluding the site that no longer recovers CH</w:t>
      </w:r>
      <w:r w:rsidRPr="00256982">
        <w:rPr>
          <w:vertAlign w:val="subscript"/>
        </w:rPr>
        <w:t>4</w:t>
      </w:r>
      <w:r w:rsidRPr="00256982">
        <w:t>.</w:t>
      </w:r>
    </w:p>
    <w:p w14:paraId="288F0031" w14:textId="1646AF56" w:rsidR="00005A00" w:rsidRPr="00256982" w:rsidRDefault="00005A00" w:rsidP="00005A00">
      <w:pPr>
        <w:pStyle w:val="BodyText"/>
      </w:pPr>
      <w:r w:rsidRPr="00256982">
        <w:t>When the varying amounts of CH</w:t>
      </w:r>
      <w:r w:rsidRPr="00256982">
        <w:rPr>
          <w:vertAlign w:val="subscript"/>
        </w:rPr>
        <w:t xml:space="preserve">4 </w:t>
      </w:r>
      <w:r w:rsidRPr="00256982">
        <w:t>generated at each site are taken into account, the total recovery rate for all 25 landfills can be determined. In 2017, 68 per cent of the CH</w:t>
      </w:r>
      <w:r w:rsidRPr="00256982">
        <w:rPr>
          <w:vertAlign w:val="subscript"/>
        </w:rPr>
        <w:t xml:space="preserve">4 </w:t>
      </w:r>
      <w:r w:rsidRPr="00256982">
        <w:t>generated was recovered. Even as waste placement volumes have increased across the time series, overall emissions from landfills with LFG recovery have generally declined since 2002. This is due to LFG recovery technology being progressively deployed across landfills, which has increased the amount of CH</w:t>
      </w:r>
      <w:r w:rsidRPr="00256982">
        <w:rPr>
          <w:vertAlign w:val="subscript"/>
        </w:rPr>
        <w:t>4</w:t>
      </w:r>
      <w:r w:rsidRPr="00256982">
        <w:t xml:space="preserve"> being recovered faster than the increase in generated CH</w:t>
      </w:r>
      <w:r w:rsidRPr="00256982">
        <w:rPr>
          <w:vertAlign w:val="subscript"/>
        </w:rPr>
        <w:t>4</w:t>
      </w:r>
      <w:r w:rsidRPr="00256982">
        <w:t>. Figure 7.2.2 shows how emissions have changed over the time series, as well as the emissions from landfills with LFG calculated when applying the IPCC default recovery rate of 20 per cent. The absolute amount of emissions and the trend of the emissions are significantly different when applying the default recovery rate and do not reflect the improvements to landfill management in New</w:t>
      </w:r>
      <w:r w:rsidR="003934D4" w:rsidRPr="00256982">
        <w:t> </w:t>
      </w:r>
      <w:r w:rsidRPr="00256982">
        <w:t>Zealand over the past 25 years.</w:t>
      </w:r>
    </w:p>
    <w:p w14:paraId="110710AD" w14:textId="77777777" w:rsidR="00005A00" w:rsidRPr="00256982" w:rsidRDefault="00005A00" w:rsidP="00005A00">
      <w:pPr>
        <w:pStyle w:val="Figure"/>
      </w:pPr>
      <w:bookmarkStart w:id="2319" w:name="_Toc511116992"/>
      <w:bookmarkStart w:id="2320" w:name="_Toc5269720"/>
      <w:r w:rsidRPr="00256982">
        <w:lastRenderedPageBreak/>
        <w:t>Figure 7.2.2</w:t>
      </w:r>
      <w:r w:rsidRPr="00256982">
        <w:tab/>
        <w:t>Effect on emissions from landfills with landfill gas (LFG) recovery</w:t>
      </w:r>
      <w:r w:rsidRPr="00256982">
        <w:br/>
        <w:t>when using default methane recovery rate from 1990 to 201</w:t>
      </w:r>
      <w:bookmarkEnd w:id="2319"/>
      <w:r w:rsidRPr="00256982">
        <w:t>7</w:t>
      </w:r>
      <w:bookmarkEnd w:id="2320"/>
    </w:p>
    <w:p w14:paraId="57176B27" w14:textId="41239D44" w:rsidR="00005A00" w:rsidRPr="00256982" w:rsidRDefault="00590491" w:rsidP="00005A00">
      <w:r>
        <w:rPr>
          <w:lang w:eastAsia="en-NZ"/>
        </w:rPr>
        <w:pict w14:anchorId="742D4991">
          <v:shape id="_x0000_i1154" type="#_x0000_t75" style="width:421.5pt;height:270.75pt;visibility:visible" o:gfxdata="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">
            <v:imagedata r:id="rId226" o:title="" croptop="951f" cropbottom="1279f" cropright="-33f"/>
            <o:lock v:ext="edit" aspectratio="f"/>
          </v:shape>
        </w:pict>
      </w:r>
    </w:p>
    <w:p w14:paraId="38769AC0" w14:textId="77777777" w:rsidR="00005A00" w:rsidRPr="00256982" w:rsidRDefault="00005A00" w:rsidP="00005A00">
      <w:pPr>
        <w:pStyle w:val="Heading6"/>
      </w:pPr>
      <w:r w:rsidRPr="00256982">
        <w:t>Summary of parameters used</w:t>
      </w:r>
    </w:p>
    <w:p w14:paraId="391B7A96" w14:textId="77777777" w:rsidR="00005A00" w:rsidRPr="00256982" w:rsidRDefault="00005A00" w:rsidP="00005A00">
      <w:pPr>
        <w:pStyle w:val="BodyText"/>
      </w:pPr>
      <w:r w:rsidRPr="00256982">
        <w:t>Table 7.2.7 gives a summary of the parameter values that have been applied for estimating CH</w:t>
      </w:r>
      <w:r w:rsidRPr="00256982">
        <w:rPr>
          <w:vertAlign w:val="subscript"/>
        </w:rPr>
        <w:t>4</w:t>
      </w:r>
      <w:r w:rsidRPr="00256982">
        <w:t xml:space="preserve"> emissions for solid waste disposed to municipal landfills. </w:t>
      </w:r>
    </w:p>
    <w:p w14:paraId="6E3AA73A" w14:textId="77777777" w:rsidR="00005A00" w:rsidRPr="00256982" w:rsidRDefault="00005A00" w:rsidP="00005A00">
      <w:pPr>
        <w:pStyle w:val="Table"/>
      </w:pPr>
      <w:bookmarkStart w:id="2321" w:name="_Toc444001621"/>
      <w:bookmarkStart w:id="2322" w:name="_Toc451176173"/>
      <w:bookmarkStart w:id="2323" w:name="_Toc481751603"/>
      <w:bookmarkStart w:id="2324" w:name="_Toc508019328"/>
      <w:bookmarkStart w:id="2325" w:name="_Toc511116826"/>
      <w:bookmarkStart w:id="2326" w:name="_Toc5269567"/>
      <w:r w:rsidRPr="00256982">
        <w:t xml:space="preserve">Table 7.2.7 </w:t>
      </w:r>
      <w:r w:rsidRPr="00256982">
        <w:tab/>
        <w:t>Summary of parameters for municipal landfills</w:t>
      </w:r>
      <w:bookmarkEnd w:id="2321"/>
      <w:bookmarkEnd w:id="2322"/>
      <w:bookmarkEnd w:id="2323"/>
      <w:bookmarkEnd w:id="2324"/>
      <w:bookmarkEnd w:id="2325"/>
      <w:bookmarkEnd w:id="2326"/>
    </w:p>
    <w:tbl>
      <w:tblPr>
        <w:tblW w:w="8505" w:type="dxa"/>
        <w:tblInd w:w="108" w:type="dxa"/>
        <w:tblLook w:val="04A0" w:firstRow="1" w:lastRow="0" w:firstColumn="1" w:lastColumn="0" w:noHBand="0" w:noVBand="1"/>
      </w:tblPr>
      <w:tblGrid>
        <w:gridCol w:w="2835"/>
        <w:gridCol w:w="1276"/>
        <w:gridCol w:w="1418"/>
        <w:gridCol w:w="2976"/>
      </w:tblGrid>
      <w:tr w:rsidR="00005A00" w:rsidRPr="00256982" w14:paraId="09F820FC" w14:textId="77777777" w:rsidTr="00AA14F1">
        <w:trPr>
          <w:tblHeader/>
        </w:trPr>
        <w:tc>
          <w:tcPr>
            <w:tcW w:w="2835" w:type="dxa"/>
            <w:tcBorders>
              <w:top w:val="single" w:sz="4" w:space="0" w:color="365F91"/>
              <w:bottom w:val="single" w:sz="4" w:space="0" w:color="365F91"/>
            </w:tcBorders>
            <w:shd w:val="clear" w:color="auto" w:fill="365F91"/>
          </w:tcPr>
          <w:p w14:paraId="5B2E5AFF" w14:textId="77777777" w:rsidR="00005A00" w:rsidRPr="00256982" w:rsidRDefault="00005A00" w:rsidP="003934D4">
            <w:pPr>
              <w:pStyle w:val="TableTextBold"/>
              <w:keepNext/>
              <w:rPr>
                <w:noProof w:val="0"/>
                <w:color w:val="FFFFFF"/>
              </w:rPr>
            </w:pPr>
            <w:r w:rsidRPr="00256982">
              <w:rPr>
                <w:noProof w:val="0"/>
                <w:color w:val="FFFFFF"/>
              </w:rPr>
              <w:t xml:space="preserve">Parameter </w:t>
            </w:r>
          </w:p>
        </w:tc>
        <w:tc>
          <w:tcPr>
            <w:tcW w:w="1276" w:type="dxa"/>
            <w:tcBorders>
              <w:top w:val="single" w:sz="4" w:space="0" w:color="365F91"/>
              <w:bottom w:val="single" w:sz="4" w:space="0" w:color="365F91"/>
            </w:tcBorders>
            <w:shd w:val="clear" w:color="auto" w:fill="365F91"/>
          </w:tcPr>
          <w:p w14:paraId="1C65DD74" w14:textId="77777777" w:rsidR="00005A00" w:rsidRPr="00256982" w:rsidRDefault="00005A00" w:rsidP="003934D4">
            <w:pPr>
              <w:pStyle w:val="TableTextBold"/>
              <w:keepNext/>
              <w:rPr>
                <w:noProof w:val="0"/>
                <w:color w:val="FFFFFF"/>
              </w:rPr>
            </w:pPr>
            <w:r w:rsidRPr="00256982">
              <w:rPr>
                <w:noProof w:val="0"/>
                <w:color w:val="FFFFFF"/>
              </w:rPr>
              <w:t xml:space="preserve">Values </w:t>
            </w:r>
          </w:p>
        </w:tc>
        <w:tc>
          <w:tcPr>
            <w:tcW w:w="1418" w:type="dxa"/>
            <w:tcBorders>
              <w:top w:val="single" w:sz="4" w:space="0" w:color="365F91"/>
              <w:bottom w:val="single" w:sz="4" w:space="0" w:color="365F91"/>
            </w:tcBorders>
            <w:shd w:val="clear" w:color="auto" w:fill="365F91"/>
          </w:tcPr>
          <w:p w14:paraId="0AED6570" w14:textId="77777777" w:rsidR="00005A00" w:rsidRPr="00256982" w:rsidRDefault="00005A00" w:rsidP="003934D4">
            <w:pPr>
              <w:pStyle w:val="TableTextBold"/>
              <w:keepNext/>
              <w:rPr>
                <w:noProof w:val="0"/>
                <w:color w:val="FFFFFF"/>
              </w:rPr>
            </w:pPr>
            <w:r w:rsidRPr="00256982">
              <w:rPr>
                <w:noProof w:val="0"/>
                <w:color w:val="FFFFFF"/>
              </w:rPr>
              <w:t>Source</w:t>
            </w:r>
          </w:p>
        </w:tc>
        <w:tc>
          <w:tcPr>
            <w:tcW w:w="2976" w:type="dxa"/>
            <w:tcBorders>
              <w:top w:val="single" w:sz="4" w:space="0" w:color="365F91"/>
              <w:bottom w:val="single" w:sz="4" w:space="0" w:color="365F91"/>
            </w:tcBorders>
            <w:shd w:val="clear" w:color="auto" w:fill="365F91"/>
          </w:tcPr>
          <w:p w14:paraId="5059394D" w14:textId="77777777" w:rsidR="00005A00" w:rsidRPr="00256982" w:rsidRDefault="00005A00" w:rsidP="003934D4">
            <w:pPr>
              <w:pStyle w:val="TableTextBold"/>
              <w:keepNext/>
              <w:rPr>
                <w:noProof w:val="0"/>
                <w:color w:val="FFFFFF"/>
              </w:rPr>
            </w:pPr>
            <w:r w:rsidRPr="00256982">
              <w:rPr>
                <w:noProof w:val="0"/>
                <w:color w:val="FFFFFF"/>
              </w:rPr>
              <w:t>Reference</w:t>
            </w:r>
          </w:p>
        </w:tc>
      </w:tr>
      <w:tr w:rsidR="00005A00" w:rsidRPr="00256982" w14:paraId="5B1CAE44" w14:textId="77777777" w:rsidTr="00AA14F1">
        <w:tc>
          <w:tcPr>
            <w:tcW w:w="8505" w:type="dxa"/>
            <w:gridSpan w:val="4"/>
            <w:tcBorders>
              <w:top w:val="single" w:sz="4" w:space="0" w:color="365F91"/>
              <w:bottom w:val="single" w:sz="4" w:space="0" w:color="365F91"/>
            </w:tcBorders>
          </w:tcPr>
          <w:p w14:paraId="0F160724" w14:textId="77777777" w:rsidR="00005A00" w:rsidRPr="00256982" w:rsidRDefault="00005A00" w:rsidP="003934D4">
            <w:pPr>
              <w:pStyle w:val="TableTextBold"/>
              <w:keepNext/>
              <w:rPr>
                <w:noProof w:val="0"/>
              </w:rPr>
            </w:pPr>
            <w:r w:rsidRPr="00256982">
              <w:rPr>
                <w:noProof w:val="0"/>
              </w:rPr>
              <w:t>Managed landfills with CH</w:t>
            </w:r>
            <w:r w:rsidRPr="00256982">
              <w:rPr>
                <w:noProof w:val="0"/>
                <w:vertAlign w:val="subscript"/>
              </w:rPr>
              <w:t>4</w:t>
            </w:r>
            <w:r w:rsidRPr="00256982">
              <w:rPr>
                <w:noProof w:val="0"/>
              </w:rPr>
              <w:t xml:space="preserve"> recovery</w:t>
            </w:r>
          </w:p>
        </w:tc>
      </w:tr>
      <w:tr w:rsidR="00005A00" w:rsidRPr="00256982" w14:paraId="689F0716" w14:textId="77777777" w:rsidTr="00AA14F1">
        <w:tc>
          <w:tcPr>
            <w:tcW w:w="2835" w:type="dxa"/>
            <w:tcBorders>
              <w:top w:val="single" w:sz="4" w:space="0" w:color="365F91"/>
              <w:bottom w:val="single" w:sz="4" w:space="0" w:color="365F91"/>
            </w:tcBorders>
          </w:tcPr>
          <w:p w14:paraId="76565DC3" w14:textId="77777777" w:rsidR="00005A00" w:rsidRPr="00256982" w:rsidRDefault="00005A00" w:rsidP="003934D4">
            <w:pPr>
              <w:pStyle w:val="TableText"/>
              <w:keepNext/>
            </w:pPr>
            <w:r w:rsidRPr="00256982">
              <w:t>k-value (bulk phase, by site)</w:t>
            </w:r>
          </w:p>
        </w:tc>
        <w:tc>
          <w:tcPr>
            <w:tcW w:w="1276" w:type="dxa"/>
            <w:tcBorders>
              <w:top w:val="single" w:sz="4" w:space="0" w:color="365F91"/>
              <w:bottom w:val="single" w:sz="4" w:space="0" w:color="365F91"/>
            </w:tcBorders>
          </w:tcPr>
          <w:p w14:paraId="6A57F3BB" w14:textId="77777777" w:rsidR="00005A00" w:rsidRPr="00256982" w:rsidRDefault="00005A00" w:rsidP="003934D4">
            <w:pPr>
              <w:pStyle w:val="TableText"/>
              <w:keepNext/>
            </w:pPr>
            <w:r w:rsidRPr="00256982">
              <w:t>0.038–0.0627</w:t>
            </w:r>
          </w:p>
        </w:tc>
        <w:tc>
          <w:tcPr>
            <w:tcW w:w="1418" w:type="dxa"/>
            <w:tcBorders>
              <w:top w:val="single" w:sz="4" w:space="0" w:color="365F91"/>
              <w:bottom w:val="single" w:sz="4" w:space="0" w:color="365F91"/>
            </w:tcBorders>
          </w:tcPr>
          <w:p w14:paraId="4B2E2A5E" w14:textId="77777777" w:rsidR="00005A00" w:rsidRPr="00256982" w:rsidRDefault="00005A00" w:rsidP="003934D4">
            <w:pPr>
              <w:pStyle w:val="TableText"/>
              <w:keepNext/>
              <w:rPr>
                <w:rFonts w:cs="Arial"/>
                <w:szCs w:val="16"/>
              </w:rPr>
            </w:pPr>
            <w:r w:rsidRPr="00256982">
              <w:rPr>
                <w:rFonts w:cs="Arial"/>
                <w:szCs w:val="16"/>
              </w:rPr>
              <w:t>Country specific</w:t>
            </w:r>
          </w:p>
        </w:tc>
        <w:tc>
          <w:tcPr>
            <w:tcW w:w="2976" w:type="dxa"/>
            <w:tcBorders>
              <w:top w:val="single" w:sz="4" w:space="0" w:color="365F91"/>
              <w:bottom w:val="single" w:sz="4" w:space="0" w:color="365F91"/>
            </w:tcBorders>
          </w:tcPr>
          <w:p w14:paraId="451C4565" w14:textId="77777777" w:rsidR="00005A00" w:rsidRPr="00256982" w:rsidRDefault="00005A00" w:rsidP="003934D4">
            <w:pPr>
              <w:pStyle w:val="TableText"/>
              <w:keepNext/>
              <w:rPr>
                <w:rFonts w:cs="Arial"/>
                <w:szCs w:val="16"/>
              </w:rPr>
            </w:pPr>
            <w:r w:rsidRPr="00256982">
              <w:rPr>
                <w:rFonts w:cs="Arial"/>
                <w:szCs w:val="16"/>
              </w:rPr>
              <w:t>SKM (unpublished(b))</w:t>
            </w:r>
          </w:p>
        </w:tc>
      </w:tr>
      <w:tr w:rsidR="00005A00" w:rsidRPr="00256982" w14:paraId="6EA0E1F4" w14:textId="77777777" w:rsidTr="00AA14F1">
        <w:tc>
          <w:tcPr>
            <w:tcW w:w="2835" w:type="dxa"/>
            <w:tcBorders>
              <w:top w:val="single" w:sz="4" w:space="0" w:color="365F91"/>
              <w:bottom w:val="single" w:sz="4" w:space="0" w:color="365F91"/>
            </w:tcBorders>
          </w:tcPr>
          <w:p w14:paraId="37DFB733" w14:textId="77777777" w:rsidR="00005A00" w:rsidRPr="00256982" w:rsidRDefault="00005A00" w:rsidP="003934D4">
            <w:pPr>
              <w:pStyle w:val="TableText"/>
            </w:pPr>
            <w:r w:rsidRPr="00256982">
              <w:t>Methane correction factor</w:t>
            </w:r>
          </w:p>
        </w:tc>
        <w:tc>
          <w:tcPr>
            <w:tcW w:w="1276" w:type="dxa"/>
            <w:tcBorders>
              <w:top w:val="single" w:sz="4" w:space="0" w:color="365F91"/>
              <w:bottom w:val="single" w:sz="4" w:space="0" w:color="365F91"/>
            </w:tcBorders>
          </w:tcPr>
          <w:p w14:paraId="1C84020F" w14:textId="77777777" w:rsidR="00005A00" w:rsidRPr="00256982" w:rsidRDefault="00005A00" w:rsidP="003934D4">
            <w:pPr>
              <w:pStyle w:val="TableText"/>
            </w:pPr>
            <w:r w:rsidRPr="00256982">
              <w:t>1.0</w:t>
            </w:r>
          </w:p>
        </w:tc>
        <w:tc>
          <w:tcPr>
            <w:tcW w:w="1418" w:type="dxa"/>
            <w:tcBorders>
              <w:top w:val="single" w:sz="4" w:space="0" w:color="365F91"/>
              <w:bottom w:val="single" w:sz="4" w:space="0" w:color="365F91"/>
            </w:tcBorders>
          </w:tcPr>
          <w:p w14:paraId="0F4FCDD2" w14:textId="77777777" w:rsidR="00005A00" w:rsidRPr="00256982" w:rsidRDefault="00005A00" w:rsidP="003934D4">
            <w:pPr>
              <w:pStyle w:val="TableText"/>
              <w:rPr>
                <w:rFonts w:cs="Arial"/>
                <w:szCs w:val="16"/>
              </w:rPr>
            </w:pPr>
            <w:r w:rsidRPr="00256982">
              <w:rPr>
                <w:rFonts w:cs="Arial"/>
                <w:szCs w:val="16"/>
              </w:rPr>
              <w:t>IPCC default</w:t>
            </w:r>
          </w:p>
        </w:tc>
        <w:tc>
          <w:tcPr>
            <w:tcW w:w="2976" w:type="dxa"/>
            <w:tcBorders>
              <w:top w:val="single" w:sz="4" w:space="0" w:color="365F91"/>
              <w:bottom w:val="single" w:sz="4" w:space="0" w:color="365F91"/>
            </w:tcBorders>
          </w:tcPr>
          <w:p w14:paraId="0397B900" w14:textId="77777777" w:rsidR="00005A00" w:rsidRPr="00256982" w:rsidRDefault="00005A00" w:rsidP="003934D4">
            <w:pPr>
              <w:pStyle w:val="TableText"/>
              <w:rPr>
                <w:rFonts w:cs="Arial"/>
                <w:szCs w:val="16"/>
              </w:rPr>
            </w:pPr>
            <w:r w:rsidRPr="00256982">
              <w:rPr>
                <w:rFonts w:cs="Arial"/>
                <w:szCs w:val="16"/>
              </w:rPr>
              <w:t>IPCC (2006a)</w:t>
            </w:r>
          </w:p>
        </w:tc>
      </w:tr>
      <w:tr w:rsidR="00005A00" w:rsidRPr="00256982" w14:paraId="5884594B" w14:textId="77777777" w:rsidTr="00AA14F1">
        <w:tc>
          <w:tcPr>
            <w:tcW w:w="2835" w:type="dxa"/>
            <w:tcBorders>
              <w:top w:val="single" w:sz="4" w:space="0" w:color="365F91"/>
              <w:bottom w:val="single" w:sz="4" w:space="0" w:color="365F91"/>
            </w:tcBorders>
          </w:tcPr>
          <w:p w14:paraId="2D094D3F" w14:textId="77777777" w:rsidR="00005A00" w:rsidRPr="00256982" w:rsidRDefault="00005A00" w:rsidP="003934D4">
            <w:pPr>
              <w:pStyle w:val="TableText"/>
            </w:pPr>
            <w:r w:rsidRPr="00256982">
              <w:t>Oxidation factor</w:t>
            </w:r>
          </w:p>
        </w:tc>
        <w:tc>
          <w:tcPr>
            <w:tcW w:w="1276" w:type="dxa"/>
            <w:tcBorders>
              <w:top w:val="single" w:sz="4" w:space="0" w:color="365F91"/>
              <w:bottom w:val="single" w:sz="4" w:space="0" w:color="365F91"/>
            </w:tcBorders>
          </w:tcPr>
          <w:p w14:paraId="58E52A40" w14:textId="77777777" w:rsidR="00005A00" w:rsidRPr="00256982" w:rsidRDefault="00005A00" w:rsidP="003934D4">
            <w:pPr>
              <w:pStyle w:val="TableText"/>
            </w:pPr>
            <w:r w:rsidRPr="00256982">
              <w:t>10%</w:t>
            </w:r>
          </w:p>
        </w:tc>
        <w:tc>
          <w:tcPr>
            <w:tcW w:w="1418" w:type="dxa"/>
            <w:tcBorders>
              <w:top w:val="single" w:sz="4" w:space="0" w:color="365F91"/>
              <w:bottom w:val="single" w:sz="4" w:space="0" w:color="365F91"/>
            </w:tcBorders>
          </w:tcPr>
          <w:p w14:paraId="6A92B436" w14:textId="77777777" w:rsidR="00005A00" w:rsidRPr="00256982" w:rsidRDefault="00005A00" w:rsidP="003934D4">
            <w:pPr>
              <w:pStyle w:val="TableText"/>
              <w:rPr>
                <w:rFonts w:cs="Arial"/>
                <w:szCs w:val="16"/>
              </w:rPr>
            </w:pPr>
            <w:r w:rsidRPr="00256982">
              <w:rPr>
                <w:rFonts w:cs="Arial"/>
                <w:szCs w:val="16"/>
              </w:rPr>
              <w:t>IPCC default</w:t>
            </w:r>
          </w:p>
        </w:tc>
        <w:tc>
          <w:tcPr>
            <w:tcW w:w="2976" w:type="dxa"/>
            <w:tcBorders>
              <w:top w:val="single" w:sz="4" w:space="0" w:color="365F91"/>
              <w:bottom w:val="single" w:sz="4" w:space="0" w:color="365F91"/>
            </w:tcBorders>
          </w:tcPr>
          <w:p w14:paraId="19186917" w14:textId="77777777" w:rsidR="00005A00" w:rsidRPr="00256982" w:rsidRDefault="00005A00" w:rsidP="003934D4">
            <w:pPr>
              <w:pStyle w:val="TableText"/>
              <w:rPr>
                <w:rFonts w:cs="Arial"/>
                <w:szCs w:val="16"/>
              </w:rPr>
            </w:pPr>
            <w:r w:rsidRPr="00256982">
              <w:rPr>
                <w:rFonts w:cs="Arial"/>
                <w:szCs w:val="16"/>
              </w:rPr>
              <w:t>IPCC (2006a)</w:t>
            </w:r>
          </w:p>
        </w:tc>
      </w:tr>
      <w:tr w:rsidR="00005A00" w:rsidRPr="00256982" w14:paraId="7DA81923" w14:textId="77777777" w:rsidTr="00AA14F1">
        <w:tc>
          <w:tcPr>
            <w:tcW w:w="2835" w:type="dxa"/>
            <w:tcBorders>
              <w:top w:val="single" w:sz="4" w:space="0" w:color="365F91"/>
              <w:bottom w:val="single" w:sz="4" w:space="0" w:color="365F91"/>
            </w:tcBorders>
          </w:tcPr>
          <w:p w14:paraId="68626617" w14:textId="77777777" w:rsidR="00005A00" w:rsidRPr="00256982" w:rsidRDefault="00005A00" w:rsidP="003934D4">
            <w:pPr>
              <w:pStyle w:val="TableText"/>
            </w:pPr>
            <w:r w:rsidRPr="00256982">
              <w:t>Recovery efficiency</w:t>
            </w:r>
          </w:p>
        </w:tc>
        <w:tc>
          <w:tcPr>
            <w:tcW w:w="1276" w:type="dxa"/>
            <w:tcBorders>
              <w:top w:val="single" w:sz="4" w:space="0" w:color="365F91"/>
              <w:bottom w:val="single" w:sz="4" w:space="0" w:color="365F91"/>
            </w:tcBorders>
          </w:tcPr>
          <w:p w14:paraId="21F36403" w14:textId="77777777" w:rsidR="00005A00" w:rsidRPr="00256982" w:rsidRDefault="00005A00" w:rsidP="003934D4">
            <w:pPr>
              <w:pStyle w:val="TableText"/>
            </w:pPr>
            <w:r w:rsidRPr="00256982">
              <w:t>25–90%</w:t>
            </w:r>
          </w:p>
        </w:tc>
        <w:tc>
          <w:tcPr>
            <w:tcW w:w="1418" w:type="dxa"/>
            <w:tcBorders>
              <w:top w:val="single" w:sz="4" w:space="0" w:color="365F91"/>
              <w:bottom w:val="single" w:sz="4" w:space="0" w:color="365F91"/>
            </w:tcBorders>
          </w:tcPr>
          <w:p w14:paraId="115090E6" w14:textId="77777777" w:rsidR="00005A00" w:rsidRPr="00256982" w:rsidRDefault="00005A00" w:rsidP="003934D4">
            <w:pPr>
              <w:pStyle w:val="TableText"/>
              <w:rPr>
                <w:rFonts w:cs="Arial"/>
                <w:szCs w:val="16"/>
              </w:rPr>
            </w:pPr>
            <w:r w:rsidRPr="00256982">
              <w:rPr>
                <w:rFonts w:cs="Arial"/>
                <w:szCs w:val="16"/>
              </w:rPr>
              <w:t>Site specific</w:t>
            </w:r>
          </w:p>
        </w:tc>
        <w:tc>
          <w:tcPr>
            <w:tcW w:w="2976" w:type="dxa"/>
            <w:tcBorders>
              <w:top w:val="single" w:sz="4" w:space="0" w:color="365F91"/>
              <w:bottom w:val="single" w:sz="4" w:space="0" w:color="365F91"/>
            </w:tcBorders>
          </w:tcPr>
          <w:p w14:paraId="5AD377CF" w14:textId="77777777" w:rsidR="00005A00" w:rsidRPr="00256982" w:rsidRDefault="00005A00" w:rsidP="003934D4">
            <w:pPr>
              <w:pStyle w:val="TableText"/>
              <w:rPr>
                <w:rFonts w:cs="Arial"/>
                <w:szCs w:val="16"/>
              </w:rPr>
            </w:pPr>
            <w:r w:rsidRPr="00256982">
              <w:rPr>
                <w:rFonts w:cs="Arial"/>
                <w:szCs w:val="16"/>
              </w:rPr>
              <w:t>SKM (unpublished(b)), New Zealand Gazette, 2014, 2015, 2016, 2017</w:t>
            </w:r>
          </w:p>
        </w:tc>
      </w:tr>
      <w:tr w:rsidR="00005A00" w:rsidRPr="00256982" w14:paraId="03B4E5CB" w14:textId="77777777" w:rsidTr="00AA14F1">
        <w:tc>
          <w:tcPr>
            <w:tcW w:w="2835" w:type="dxa"/>
            <w:tcBorders>
              <w:top w:val="single" w:sz="4" w:space="0" w:color="365F91"/>
              <w:bottom w:val="single" w:sz="4" w:space="0" w:color="365F91"/>
            </w:tcBorders>
          </w:tcPr>
          <w:p w14:paraId="34D944DC" w14:textId="77777777" w:rsidR="00005A00" w:rsidRPr="00256982" w:rsidRDefault="00005A00" w:rsidP="003934D4">
            <w:pPr>
              <w:pStyle w:val="TableText"/>
            </w:pPr>
            <w:r w:rsidRPr="00256982">
              <w:t>Degradable organic carbon (DOC) (kt C/kt waste) (bulk DOC)</w:t>
            </w:r>
          </w:p>
        </w:tc>
        <w:tc>
          <w:tcPr>
            <w:tcW w:w="1276" w:type="dxa"/>
            <w:tcBorders>
              <w:top w:val="single" w:sz="4" w:space="0" w:color="365F91"/>
              <w:bottom w:val="single" w:sz="4" w:space="0" w:color="365F91"/>
            </w:tcBorders>
          </w:tcPr>
          <w:p w14:paraId="0E336A31" w14:textId="77777777" w:rsidR="00005A00" w:rsidRPr="00256982" w:rsidRDefault="00005A00" w:rsidP="003934D4">
            <w:pPr>
              <w:pStyle w:val="TableText"/>
            </w:pPr>
            <w:r w:rsidRPr="00256982">
              <w:t>0.145–0.175</w:t>
            </w:r>
          </w:p>
        </w:tc>
        <w:tc>
          <w:tcPr>
            <w:tcW w:w="1418" w:type="dxa"/>
            <w:tcBorders>
              <w:top w:val="single" w:sz="4" w:space="0" w:color="365F91"/>
              <w:bottom w:val="single" w:sz="4" w:space="0" w:color="365F91"/>
            </w:tcBorders>
          </w:tcPr>
          <w:p w14:paraId="657D8B1A" w14:textId="77777777" w:rsidR="00005A00" w:rsidRPr="00256982" w:rsidRDefault="00005A00" w:rsidP="003934D4">
            <w:pPr>
              <w:pStyle w:val="TableText"/>
              <w:rPr>
                <w:rFonts w:cs="Arial"/>
                <w:szCs w:val="16"/>
              </w:rPr>
            </w:pPr>
            <w:r w:rsidRPr="00256982">
              <w:t>Country specific</w:t>
            </w:r>
          </w:p>
        </w:tc>
        <w:tc>
          <w:tcPr>
            <w:tcW w:w="2976" w:type="dxa"/>
            <w:tcBorders>
              <w:top w:val="single" w:sz="4" w:space="0" w:color="365F91"/>
              <w:bottom w:val="single" w:sz="4" w:space="0" w:color="365F91"/>
            </w:tcBorders>
          </w:tcPr>
          <w:p w14:paraId="1C4E5238" w14:textId="77777777" w:rsidR="00005A00" w:rsidRPr="00256982" w:rsidRDefault="00005A00" w:rsidP="003934D4">
            <w:pPr>
              <w:pStyle w:val="TableText"/>
              <w:rPr>
                <w:rFonts w:cs="Arial"/>
                <w:szCs w:val="16"/>
              </w:rPr>
            </w:pPr>
            <w:r w:rsidRPr="00256982">
              <w:t>Waste Not Consulting (unpublished(b)); Eunomia Research and Consulting and Waste Not Consulting (unpublished)</w:t>
            </w:r>
          </w:p>
        </w:tc>
      </w:tr>
      <w:tr w:rsidR="00005A00" w:rsidRPr="00256982" w14:paraId="33D3D0F6" w14:textId="77777777" w:rsidTr="00AA14F1">
        <w:tc>
          <w:tcPr>
            <w:tcW w:w="8505" w:type="dxa"/>
            <w:gridSpan w:val="4"/>
            <w:tcBorders>
              <w:top w:val="single" w:sz="4" w:space="0" w:color="365F91"/>
              <w:bottom w:val="single" w:sz="4" w:space="0" w:color="365F91"/>
            </w:tcBorders>
          </w:tcPr>
          <w:p w14:paraId="4DE0601B" w14:textId="77777777" w:rsidR="00005A00" w:rsidRPr="00256982" w:rsidRDefault="00005A00" w:rsidP="003934D4">
            <w:pPr>
              <w:pStyle w:val="TableText"/>
              <w:rPr>
                <w:b/>
              </w:rPr>
            </w:pPr>
            <w:r w:rsidRPr="00256982">
              <w:rPr>
                <w:b/>
              </w:rPr>
              <w:t>Managed landfills without CH</w:t>
            </w:r>
            <w:r w:rsidRPr="00256982">
              <w:rPr>
                <w:b/>
                <w:vertAlign w:val="subscript"/>
              </w:rPr>
              <w:t>4</w:t>
            </w:r>
            <w:r w:rsidRPr="00256982">
              <w:rPr>
                <w:b/>
              </w:rPr>
              <w:t xml:space="preserve"> recovery</w:t>
            </w:r>
          </w:p>
        </w:tc>
      </w:tr>
      <w:tr w:rsidR="00005A00" w:rsidRPr="00256982" w14:paraId="0EB54EB6" w14:textId="77777777" w:rsidTr="00AA14F1">
        <w:tc>
          <w:tcPr>
            <w:tcW w:w="2835" w:type="dxa"/>
            <w:tcBorders>
              <w:top w:val="single" w:sz="4" w:space="0" w:color="365F91"/>
              <w:bottom w:val="single" w:sz="4" w:space="0" w:color="365F91"/>
            </w:tcBorders>
          </w:tcPr>
          <w:p w14:paraId="60044F72" w14:textId="77777777" w:rsidR="00005A00" w:rsidRPr="00256982" w:rsidRDefault="00005A00" w:rsidP="003934D4">
            <w:pPr>
              <w:pStyle w:val="TableText"/>
            </w:pPr>
            <w:r w:rsidRPr="00256982">
              <w:t>k-value (multi-phase by waste type)</w:t>
            </w:r>
          </w:p>
        </w:tc>
        <w:tc>
          <w:tcPr>
            <w:tcW w:w="1276" w:type="dxa"/>
            <w:tcBorders>
              <w:top w:val="single" w:sz="4" w:space="0" w:color="365F91"/>
              <w:bottom w:val="single" w:sz="4" w:space="0" w:color="365F91"/>
            </w:tcBorders>
          </w:tcPr>
          <w:p w14:paraId="2068BFB4" w14:textId="77777777" w:rsidR="00005A00" w:rsidRPr="00256982" w:rsidRDefault="00005A00" w:rsidP="003934D4">
            <w:pPr>
              <w:pStyle w:val="TableText"/>
            </w:pPr>
            <w:r w:rsidRPr="00256982">
              <w:t>0.030–0.185</w:t>
            </w:r>
          </w:p>
        </w:tc>
        <w:tc>
          <w:tcPr>
            <w:tcW w:w="1418" w:type="dxa"/>
            <w:tcBorders>
              <w:top w:val="single" w:sz="4" w:space="0" w:color="365F91"/>
              <w:bottom w:val="single" w:sz="4" w:space="0" w:color="365F91"/>
            </w:tcBorders>
          </w:tcPr>
          <w:p w14:paraId="6D8F1675" w14:textId="77777777" w:rsidR="00005A00" w:rsidRPr="00256982" w:rsidRDefault="00005A00" w:rsidP="003934D4">
            <w:pPr>
              <w:pStyle w:val="TableText"/>
            </w:pPr>
            <w:r w:rsidRPr="00256982">
              <w:t>IPCC default</w:t>
            </w:r>
          </w:p>
        </w:tc>
        <w:tc>
          <w:tcPr>
            <w:tcW w:w="2976" w:type="dxa"/>
            <w:tcBorders>
              <w:top w:val="single" w:sz="4" w:space="0" w:color="365F91"/>
              <w:bottom w:val="single" w:sz="4" w:space="0" w:color="365F91"/>
            </w:tcBorders>
          </w:tcPr>
          <w:p w14:paraId="255D7DF1" w14:textId="77777777" w:rsidR="00005A00" w:rsidRPr="00256982" w:rsidRDefault="00005A00" w:rsidP="003934D4">
            <w:pPr>
              <w:pStyle w:val="TableText"/>
            </w:pPr>
            <w:r w:rsidRPr="00256982">
              <w:rPr>
                <w:rFonts w:cs="Arial"/>
              </w:rPr>
              <w:t>IPCC (2006a)</w:t>
            </w:r>
          </w:p>
        </w:tc>
      </w:tr>
      <w:tr w:rsidR="00005A00" w:rsidRPr="00256982" w14:paraId="57C20160" w14:textId="77777777" w:rsidTr="00AA14F1">
        <w:tc>
          <w:tcPr>
            <w:tcW w:w="2835" w:type="dxa"/>
            <w:tcBorders>
              <w:top w:val="single" w:sz="4" w:space="0" w:color="365F91"/>
              <w:bottom w:val="single" w:sz="4" w:space="0" w:color="365F91"/>
            </w:tcBorders>
          </w:tcPr>
          <w:p w14:paraId="5C994C85" w14:textId="77777777" w:rsidR="00005A00" w:rsidRPr="00256982" w:rsidRDefault="00005A00" w:rsidP="003934D4">
            <w:pPr>
              <w:pStyle w:val="TableText"/>
            </w:pPr>
            <w:r w:rsidRPr="00256982">
              <w:t>Methane correction factor</w:t>
            </w:r>
          </w:p>
        </w:tc>
        <w:tc>
          <w:tcPr>
            <w:tcW w:w="1276" w:type="dxa"/>
            <w:tcBorders>
              <w:top w:val="single" w:sz="4" w:space="0" w:color="365F91"/>
              <w:bottom w:val="single" w:sz="4" w:space="0" w:color="365F91"/>
            </w:tcBorders>
          </w:tcPr>
          <w:p w14:paraId="00197132" w14:textId="77777777" w:rsidR="00005A00" w:rsidRPr="00256982" w:rsidRDefault="00005A00" w:rsidP="003934D4">
            <w:pPr>
              <w:pStyle w:val="TableText"/>
            </w:pPr>
            <w:r w:rsidRPr="00256982">
              <w:t>1.0</w:t>
            </w:r>
          </w:p>
        </w:tc>
        <w:tc>
          <w:tcPr>
            <w:tcW w:w="1418" w:type="dxa"/>
            <w:tcBorders>
              <w:top w:val="single" w:sz="4" w:space="0" w:color="365F91"/>
              <w:bottom w:val="single" w:sz="4" w:space="0" w:color="365F91"/>
            </w:tcBorders>
          </w:tcPr>
          <w:p w14:paraId="6B184DB3" w14:textId="77777777" w:rsidR="00005A00" w:rsidRPr="00256982" w:rsidRDefault="00005A00" w:rsidP="003934D4">
            <w:pPr>
              <w:pStyle w:val="TableText"/>
              <w:rPr>
                <w:rFonts w:cs="Arial"/>
                <w:szCs w:val="16"/>
              </w:rPr>
            </w:pPr>
            <w:r w:rsidRPr="00256982">
              <w:rPr>
                <w:rFonts w:cs="Arial"/>
                <w:szCs w:val="16"/>
              </w:rPr>
              <w:t>IPCC default</w:t>
            </w:r>
          </w:p>
        </w:tc>
        <w:tc>
          <w:tcPr>
            <w:tcW w:w="2976" w:type="dxa"/>
            <w:tcBorders>
              <w:top w:val="single" w:sz="4" w:space="0" w:color="365F91"/>
              <w:bottom w:val="single" w:sz="4" w:space="0" w:color="365F91"/>
            </w:tcBorders>
          </w:tcPr>
          <w:p w14:paraId="1E69B142" w14:textId="77777777" w:rsidR="00005A00" w:rsidRPr="00256982" w:rsidRDefault="00005A00" w:rsidP="003934D4">
            <w:pPr>
              <w:pStyle w:val="TableText"/>
              <w:rPr>
                <w:rFonts w:cs="Arial"/>
                <w:szCs w:val="16"/>
              </w:rPr>
            </w:pPr>
            <w:r w:rsidRPr="00256982">
              <w:rPr>
                <w:rFonts w:cs="Arial"/>
                <w:szCs w:val="16"/>
              </w:rPr>
              <w:t>IPCC (2006a)</w:t>
            </w:r>
          </w:p>
        </w:tc>
      </w:tr>
      <w:tr w:rsidR="00005A00" w:rsidRPr="00256982" w14:paraId="64AA8648" w14:textId="77777777" w:rsidTr="00AA14F1">
        <w:tc>
          <w:tcPr>
            <w:tcW w:w="2835" w:type="dxa"/>
            <w:tcBorders>
              <w:top w:val="single" w:sz="4" w:space="0" w:color="365F91"/>
              <w:bottom w:val="single" w:sz="4" w:space="0" w:color="365F91"/>
            </w:tcBorders>
          </w:tcPr>
          <w:p w14:paraId="48BB95E4" w14:textId="77777777" w:rsidR="00005A00" w:rsidRPr="00256982" w:rsidRDefault="00005A00" w:rsidP="003934D4">
            <w:pPr>
              <w:pStyle w:val="TableText"/>
            </w:pPr>
            <w:r w:rsidRPr="00256982">
              <w:t>Oxidation factor</w:t>
            </w:r>
          </w:p>
        </w:tc>
        <w:tc>
          <w:tcPr>
            <w:tcW w:w="1276" w:type="dxa"/>
            <w:tcBorders>
              <w:top w:val="single" w:sz="4" w:space="0" w:color="365F91"/>
              <w:bottom w:val="single" w:sz="4" w:space="0" w:color="365F91"/>
            </w:tcBorders>
          </w:tcPr>
          <w:p w14:paraId="5F7239BF" w14:textId="77777777" w:rsidR="00005A00" w:rsidRPr="00256982" w:rsidRDefault="00005A00" w:rsidP="003934D4">
            <w:pPr>
              <w:pStyle w:val="TableText"/>
            </w:pPr>
            <w:r w:rsidRPr="00256982">
              <w:t>10%</w:t>
            </w:r>
          </w:p>
        </w:tc>
        <w:tc>
          <w:tcPr>
            <w:tcW w:w="1418" w:type="dxa"/>
            <w:tcBorders>
              <w:top w:val="single" w:sz="4" w:space="0" w:color="365F91"/>
              <w:bottom w:val="single" w:sz="4" w:space="0" w:color="365F91"/>
            </w:tcBorders>
          </w:tcPr>
          <w:p w14:paraId="3C1E4022" w14:textId="77777777" w:rsidR="00005A00" w:rsidRPr="00256982" w:rsidRDefault="00005A00" w:rsidP="003934D4">
            <w:pPr>
              <w:pStyle w:val="TableText"/>
            </w:pPr>
            <w:r w:rsidRPr="00256982">
              <w:t>IPCC default</w:t>
            </w:r>
          </w:p>
        </w:tc>
        <w:tc>
          <w:tcPr>
            <w:tcW w:w="2976" w:type="dxa"/>
            <w:tcBorders>
              <w:top w:val="single" w:sz="4" w:space="0" w:color="365F91"/>
              <w:bottom w:val="single" w:sz="4" w:space="0" w:color="365F91"/>
            </w:tcBorders>
          </w:tcPr>
          <w:p w14:paraId="6F8F39D5" w14:textId="77777777" w:rsidR="00005A00" w:rsidRPr="00256982" w:rsidRDefault="00005A00" w:rsidP="003934D4">
            <w:pPr>
              <w:pStyle w:val="TableText"/>
            </w:pPr>
            <w:r w:rsidRPr="00256982">
              <w:rPr>
                <w:rFonts w:cs="Arial"/>
              </w:rPr>
              <w:t>IPCC (2006a)</w:t>
            </w:r>
          </w:p>
        </w:tc>
      </w:tr>
      <w:tr w:rsidR="00005A00" w:rsidRPr="00256982" w14:paraId="6FDD22B7" w14:textId="77777777" w:rsidTr="00AA14F1">
        <w:tc>
          <w:tcPr>
            <w:tcW w:w="2835" w:type="dxa"/>
            <w:tcBorders>
              <w:top w:val="single" w:sz="4" w:space="0" w:color="365F91"/>
              <w:bottom w:val="single" w:sz="4" w:space="0" w:color="365F91"/>
            </w:tcBorders>
          </w:tcPr>
          <w:p w14:paraId="7CEE5331" w14:textId="77777777" w:rsidR="00005A00" w:rsidRPr="00256982" w:rsidRDefault="00005A00" w:rsidP="003934D4">
            <w:pPr>
              <w:pStyle w:val="TableText"/>
            </w:pPr>
            <w:r w:rsidRPr="00256982">
              <w:t>DOC (kt C/kt waste) (by waste type)</w:t>
            </w:r>
          </w:p>
        </w:tc>
        <w:tc>
          <w:tcPr>
            <w:tcW w:w="1276" w:type="dxa"/>
            <w:tcBorders>
              <w:top w:val="single" w:sz="4" w:space="0" w:color="365F91"/>
              <w:bottom w:val="single" w:sz="4" w:space="0" w:color="365F91"/>
            </w:tcBorders>
          </w:tcPr>
          <w:p w14:paraId="5DFA733D" w14:textId="77777777" w:rsidR="00005A00" w:rsidRPr="00256982" w:rsidRDefault="00005A00" w:rsidP="003934D4">
            <w:pPr>
              <w:pStyle w:val="TableText"/>
            </w:pPr>
            <w:r w:rsidRPr="00256982">
              <w:t>0.15–0.43</w:t>
            </w:r>
          </w:p>
        </w:tc>
        <w:tc>
          <w:tcPr>
            <w:tcW w:w="1418" w:type="dxa"/>
            <w:tcBorders>
              <w:top w:val="single" w:sz="4" w:space="0" w:color="365F91"/>
              <w:bottom w:val="single" w:sz="4" w:space="0" w:color="365F91"/>
            </w:tcBorders>
          </w:tcPr>
          <w:p w14:paraId="6C23CF7D" w14:textId="77777777" w:rsidR="00005A00" w:rsidRPr="00256982" w:rsidRDefault="00005A00" w:rsidP="003934D4">
            <w:pPr>
              <w:pStyle w:val="TableText"/>
            </w:pPr>
            <w:r w:rsidRPr="00256982">
              <w:t>IPCC default</w:t>
            </w:r>
          </w:p>
        </w:tc>
        <w:tc>
          <w:tcPr>
            <w:tcW w:w="2976" w:type="dxa"/>
            <w:tcBorders>
              <w:top w:val="single" w:sz="4" w:space="0" w:color="365F91"/>
              <w:bottom w:val="single" w:sz="4" w:space="0" w:color="365F91"/>
            </w:tcBorders>
          </w:tcPr>
          <w:p w14:paraId="34DBD091" w14:textId="77777777" w:rsidR="00005A00" w:rsidRPr="00256982" w:rsidRDefault="00005A00" w:rsidP="003934D4">
            <w:pPr>
              <w:pStyle w:val="TableText"/>
              <w:rPr>
                <w:rFonts w:cs="Arial"/>
              </w:rPr>
            </w:pPr>
            <w:r w:rsidRPr="00256982">
              <w:rPr>
                <w:rFonts w:cs="Arial"/>
              </w:rPr>
              <w:t>IPCC (2006a)</w:t>
            </w:r>
          </w:p>
        </w:tc>
      </w:tr>
      <w:tr w:rsidR="00005A00" w:rsidRPr="00256982" w14:paraId="6A4DBF49" w14:textId="77777777" w:rsidTr="00AA14F1">
        <w:tc>
          <w:tcPr>
            <w:tcW w:w="8505" w:type="dxa"/>
            <w:gridSpan w:val="4"/>
            <w:tcBorders>
              <w:top w:val="single" w:sz="4" w:space="0" w:color="365F91"/>
              <w:bottom w:val="single" w:sz="4" w:space="0" w:color="365F91"/>
            </w:tcBorders>
          </w:tcPr>
          <w:p w14:paraId="1189B0BB" w14:textId="77777777" w:rsidR="00005A00" w:rsidRPr="00256982" w:rsidRDefault="00005A00" w:rsidP="003934D4">
            <w:pPr>
              <w:pStyle w:val="TableTextBold"/>
              <w:rPr>
                <w:noProof w:val="0"/>
              </w:rPr>
            </w:pPr>
            <w:r w:rsidRPr="00256982">
              <w:rPr>
                <w:noProof w:val="0"/>
              </w:rPr>
              <w:t>Uncategorised landfills</w:t>
            </w:r>
          </w:p>
        </w:tc>
      </w:tr>
      <w:tr w:rsidR="00005A00" w:rsidRPr="00256982" w14:paraId="32AD37E5" w14:textId="77777777" w:rsidTr="00AA14F1">
        <w:tc>
          <w:tcPr>
            <w:tcW w:w="2835" w:type="dxa"/>
            <w:tcBorders>
              <w:top w:val="single" w:sz="4" w:space="0" w:color="365F91"/>
              <w:bottom w:val="single" w:sz="4" w:space="0" w:color="365F91"/>
            </w:tcBorders>
          </w:tcPr>
          <w:p w14:paraId="43B04D0E" w14:textId="77777777" w:rsidR="00005A00" w:rsidRPr="00256982" w:rsidRDefault="00005A00" w:rsidP="003934D4">
            <w:pPr>
              <w:pStyle w:val="TableText"/>
            </w:pPr>
            <w:r w:rsidRPr="00256982">
              <w:t>k-value (multi-phase by waste type)</w:t>
            </w:r>
          </w:p>
        </w:tc>
        <w:tc>
          <w:tcPr>
            <w:tcW w:w="1276" w:type="dxa"/>
            <w:tcBorders>
              <w:top w:val="single" w:sz="4" w:space="0" w:color="365F91"/>
              <w:bottom w:val="single" w:sz="4" w:space="0" w:color="365F91"/>
            </w:tcBorders>
          </w:tcPr>
          <w:p w14:paraId="5D88DD63" w14:textId="77777777" w:rsidR="00005A00" w:rsidRPr="00256982" w:rsidRDefault="00005A00" w:rsidP="003934D4">
            <w:pPr>
              <w:pStyle w:val="TableText"/>
            </w:pPr>
            <w:r w:rsidRPr="00256982">
              <w:t>0.030–0.185</w:t>
            </w:r>
          </w:p>
        </w:tc>
        <w:tc>
          <w:tcPr>
            <w:tcW w:w="1418" w:type="dxa"/>
            <w:tcBorders>
              <w:top w:val="single" w:sz="4" w:space="0" w:color="365F91"/>
              <w:bottom w:val="single" w:sz="4" w:space="0" w:color="365F91"/>
            </w:tcBorders>
          </w:tcPr>
          <w:p w14:paraId="66A20DDB" w14:textId="77777777" w:rsidR="00005A00" w:rsidRPr="00256982" w:rsidRDefault="00005A00" w:rsidP="003934D4">
            <w:pPr>
              <w:pStyle w:val="TableText"/>
            </w:pPr>
            <w:r w:rsidRPr="00256982">
              <w:t>IPCC default</w:t>
            </w:r>
          </w:p>
        </w:tc>
        <w:tc>
          <w:tcPr>
            <w:tcW w:w="2976" w:type="dxa"/>
            <w:tcBorders>
              <w:top w:val="single" w:sz="4" w:space="0" w:color="365F91"/>
              <w:bottom w:val="single" w:sz="4" w:space="0" w:color="365F91"/>
            </w:tcBorders>
          </w:tcPr>
          <w:p w14:paraId="71FA842A" w14:textId="77777777" w:rsidR="00005A00" w:rsidRPr="00256982" w:rsidRDefault="00005A00" w:rsidP="003934D4">
            <w:pPr>
              <w:pStyle w:val="TableText"/>
            </w:pPr>
            <w:r w:rsidRPr="00256982">
              <w:rPr>
                <w:rFonts w:cs="Arial"/>
                <w:szCs w:val="16"/>
              </w:rPr>
              <w:t>IPCC (2006a)</w:t>
            </w:r>
          </w:p>
        </w:tc>
      </w:tr>
      <w:tr w:rsidR="00005A00" w:rsidRPr="00256982" w14:paraId="1777A670" w14:textId="77777777" w:rsidTr="00AA14F1">
        <w:tc>
          <w:tcPr>
            <w:tcW w:w="2835" w:type="dxa"/>
            <w:tcBorders>
              <w:top w:val="single" w:sz="4" w:space="0" w:color="365F91"/>
              <w:bottom w:val="single" w:sz="4" w:space="0" w:color="365F91"/>
            </w:tcBorders>
          </w:tcPr>
          <w:p w14:paraId="3A4610C0" w14:textId="77777777" w:rsidR="00005A00" w:rsidRPr="00256982" w:rsidRDefault="00005A00" w:rsidP="003934D4">
            <w:pPr>
              <w:pStyle w:val="TableText"/>
            </w:pPr>
            <w:r w:rsidRPr="00256982">
              <w:t>Methane correction factor</w:t>
            </w:r>
          </w:p>
        </w:tc>
        <w:tc>
          <w:tcPr>
            <w:tcW w:w="1276" w:type="dxa"/>
            <w:tcBorders>
              <w:top w:val="single" w:sz="4" w:space="0" w:color="365F91"/>
              <w:bottom w:val="single" w:sz="4" w:space="0" w:color="365F91"/>
            </w:tcBorders>
          </w:tcPr>
          <w:p w14:paraId="2CFD774F" w14:textId="77777777" w:rsidR="00005A00" w:rsidRPr="00256982" w:rsidRDefault="00005A00" w:rsidP="003934D4">
            <w:pPr>
              <w:pStyle w:val="TableText"/>
            </w:pPr>
            <w:r w:rsidRPr="00256982">
              <w:t>0.6</w:t>
            </w:r>
          </w:p>
        </w:tc>
        <w:tc>
          <w:tcPr>
            <w:tcW w:w="1418" w:type="dxa"/>
            <w:tcBorders>
              <w:top w:val="single" w:sz="4" w:space="0" w:color="365F91"/>
              <w:bottom w:val="single" w:sz="4" w:space="0" w:color="365F91"/>
            </w:tcBorders>
          </w:tcPr>
          <w:p w14:paraId="12D6D836" w14:textId="77777777" w:rsidR="00005A00" w:rsidRPr="00256982" w:rsidRDefault="00005A00" w:rsidP="003934D4">
            <w:pPr>
              <w:pStyle w:val="TableText"/>
            </w:pPr>
            <w:r w:rsidRPr="00256982">
              <w:t>IPCC default</w:t>
            </w:r>
          </w:p>
        </w:tc>
        <w:tc>
          <w:tcPr>
            <w:tcW w:w="2976" w:type="dxa"/>
            <w:tcBorders>
              <w:top w:val="single" w:sz="4" w:space="0" w:color="365F91"/>
              <w:bottom w:val="single" w:sz="4" w:space="0" w:color="365F91"/>
            </w:tcBorders>
          </w:tcPr>
          <w:p w14:paraId="5731402B" w14:textId="77777777" w:rsidR="00005A00" w:rsidRPr="00256982" w:rsidRDefault="00005A00" w:rsidP="003934D4">
            <w:pPr>
              <w:pStyle w:val="TableText"/>
            </w:pPr>
            <w:r w:rsidRPr="00256982">
              <w:rPr>
                <w:rFonts w:cs="Arial"/>
                <w:szCs w:val="16"/>
              </w:rPr>
              <w:t>IPCC (2006a)</w:t>
            </w:r>
          </w:p>
        </w:tc>
      </w:tr>
      <w:tr w:rsidR="00005A00" w:rsidRPr="00256982" w14:paraId="7174CF90" w14:textId="77777777" w:rsidTr="00AA14F1">
        <w:tc>
          <w:tcPr>
            <w:tcW w:w="2835" w:type="dxa"/>
            <w:tcBorders>
              <w:top w:val="single" w:sz="4" w:space="0" w:color="365F91"/>
              <w:bottom w:val="single" w:sz="4" w:space="0" w:color="365F91"/>
            </w:tcBorders>
          </w:tcPr>
          <w:p w14:paraId="6438D0FB" w14:textId="77777777" w:rsidR="00005A00" w:rsidRPr="00256982" w:rsidRDefault="00005A00" w:rsidP="003934D4">
            <w:pPr>
              <w:pStyle w:val="TableText"/>
            </w:pPr>
            <w:r w:rsidRPr="00256982">
              <w:t>Oxidation factor</w:t>
            </w:r>
          </w:p>
        </w:tc>
        <w:tc>
          <w:tcPr>
            <w:tcW w:w="1276" w:type="dxa"/>
            <w:tcBorders>
              <w:top w:val="single" w:sz="4" w:space="0" w:color="365F91"/>
              <w:bottom w:val="single" w:sz="4" w:space="0" w:color="365F91"/>
            </w:tcBorders>
          </w:tcPr>
          <w:p w14:paraId="72B61329" w14:textId="77777777" w:rsidR="00005A00" w:rsidRPr="00256982" w:rsidRDefault="00005A00" w:rsidP="003934D4">
            <w:pPr>
              <w:pStyle w:val="TableText"/>
            </w:pPr>
            <w:r w:rsidRPr="00256982">
              <w:t>0</w:t>
            </w:r>
          </w:p>
        </w:tc>
        <w:tc>
          <w:tcPr>
            <w:tcW w:w="1418" w:type="dxa"/>
            <w:tcBorders>
              <w:top w:val="single" w:sz="4" w:space="0" w:color="365F91"/>
              <w:bottom w:val="single" w:sz="4" w:space="0" w:color="365F91"/>
            </w:tcBorders>
          </w:tcPr>
          <w:p w14:paraId="4E09EDE6" w14:textId="77777777" w:rsidR="00005A00" w:rsidRPr="00256982" w:rsidRDefault="00005A00" w:rsidP="003934D4">
            <w:pPr>
              <w:pStyle w:val="TableText"/>
            </w:pPr>
            <w:r w:rsidRPr="00256982">
              <w:t>IPCC default</w:t>
            </w:r>
          </w:p>
        </w:tc>
        <w:tc>
          <w:tcPr>
            <w:tcW w:w="2976" w:type="dxa"/>
            <w:tcBorders>
              <w:top w:val="single" w:sz="4" w:space="0" w:color="365F91"/>
              <w:bottom w:val="single" w:sz="4" w:space="0" w:color="365F91"/>
            </w:tcBorders>
          </w:tcPr>
          <w:p w14:paraId="6DF880DF" w14:textId="77777777" w:rsidR="00005A00" w:rsidRPr="00256982" w:rsidRDefault="00005A00" w:rsidP="003934D4">
            <w:pPr>
              <w:pStyle w:val="TableText"/>
            </w:pPr>
            <w:r w:rsidRPr="00256982">
              <w:rPr>
                <w:rFonts w:cs="Arial"/>
                <w:szCs w:val="16"/>
              </w:rPr>
              <w:t>IPCC (2006a)</w:t>
            </w:r>
          </w:p>
        </w:tc>
      </w:tr>
      <w:tr w:rsidR="00005A00" w:rsidRPr="00256982" w14:paraId="4EDFA976" w14:textId="77777777" w:rsidTr="00AA14F1">
        <w:tc>
          <w:tcPr>
            <w:tcW w:w="2835" w:type="dxa"/>
            <w:tcBorders>
              <w:top w:val="single" w:sz="4" w:space="0" w:color="365F91"/>
              <w:bottom w:val="single" w:sz="4" w:space="0" w:color="365F91"/>
            </w:tcBorders>
          </w:tcPr>
          <w:p w14:paraId="294BBE86" w14:textId="77777777" w:rsidR="00005A00" w:rsidRPr="00256982" w:rsidRDefault="00005A00" w:rsidP="003934D4">
            <w:pPr>
              <w:pStyle w:val="TableText"/>
            </w:pPr>
            <w:r w:rsidRPr="00256982">
              <w:t>DOC (kt C/kt waste) (by waste type)</w:t>
            </w:r>
          </w:p>
        </w:tc>
        <w:tc>
          <w:tcPr>
            <w:tcW w:w="1276" w:type="dxa"/>
            <w:tcBorders>
              <w:top w:val="single" w:sz="4" w:space="0" w:color="365F91"/>
              <w:bottom w:val="single" w:sz="4" w:space="0" w:color="365F91"/>
            </w:tcBorders>
          </w:tcPr>
          <w:p w14:paraId="59D8F438" w14:textId="77777777" w:rsidR="00005A00" w:rsidRPr="00256982" w:rsidRDefault="00005A00" w:rsidP="003934D4">
            <w:pPr>
              <w:pStyle w:val="TableText"/>
            </w:pPr>
            <w:r w:rsidRPr="00256982">
              <w:t>0.15–0.43</w:t>
            </w:r>
          </w:p>
        </w:tc>
        <w:tc>
          <w:tcPr>
            <w:tcW w:w="1418" w:type="dxa"/>
            <w:tcBorders>
              <w:top w:val="single" w:sz="4" w:space="0" w:color="365F91"/>
              <w:bottom w:val="single" w:sz="4" w:space="0" w:color="365F91"/>
            </w:tcBorders>
          </w:tcPr>
          <w:p w14:paraId="731DE481" w14:textId="77777777" w:rsidR="00005A00" w:rsidRPr="00256982" w:rsidRDefault="00005A00" w:rsidP="003934D4">
            <w:pPr>
              <w:pStyle w:val="TableText"/>
            </w:pPr>
            <w:r w:rsidRPr="00256982">
              <w:t>IPCC default</w:t>
            </w:r>
          </w:p>
        </w:tc>
        <w:tc>
          <w:tcPr>
            <w:tcW w:w="2976" w:type="dxa"/>
            <w:tcBorders>
              <w:top w:val="single" w:sz="4" w:space="0" w:color="365F91"/>
              <w:bottom w:val="single" w:sz="4" w:space="0" w:color="365F91"/>
            </w:tcBorders>
          </w:tcPr>
          <w:p w14:paraId="5CD412BC" w14:textId="77777777" w:rsidR="00005A00" w:rsidRPr="00256982" w:rsidRDefault="00005A00" w:rsidP="003934D4">
            <w:pPr>
              <w:pStyle w:val="TableText"/>
              <w:rPr>
                <w:rFonts w:cs="Arial"/>
                <w:szCs w:val="16"/>
              </w:rPr>
            </w:pPr>
            <w:r w:rsidRPr="00256982">
              <w:rPr>
                <w:rFonts w:cs="Arial"/>
              </w:rPr>
              <w:t>IPCC (2006a)</w:t>
            </w:r>
          </w:p>
        </w:tc>
      </w:tr>
      <w:tr w:rsidR="00005A00" w:rsidRPr="00256982" w14:paraId="22DB5E67" w14:textId="77777777" w:rsidTr="00AA14F1">
        <w:tc>
          <w:tcPr>
            <w:tcW w:w="8505" w:type="dxa"/>
            <w:gridSpan w:val="4"/>
            <w:tcBorders>
              <w:top w:val="single" w:sz="4" w:space="0" w:color="365F91"/>
              <w:bottom w:val="single" w:sz="4" w:space="0" w:color="365F91"/>
            </w:tcBorders>
          </w:tcPr>
          <w:p w14:paraId="7574F4AC" w14:textId="77777777" w:rsidR="00005A00" w:rsidRPr="00256982" w:rsidRDefault="00005A00" w:rsidP="003934D4">
            <w:pPr>
              <w:pStyle w:val="TableTextBold"/>
              <w:keepNext/>
              <w:rPr>
                <w:noProof w:val="0"/>
              </w:rPr>
            </w:pPr>
            <w:r w:rsidRPr="00256982">
              <w:rPr>
                <w:noProof w:val="0"/>
              </w:rPr>
              <w:lastRenderedPageBreak/>
              <w:t>All landfill sites</w:t>
            </w:r>
          </w:p>
        </w:tc>
      </w:tr>
      <w:tr w:rsidR="00005A00" w:rsidRPr="00256982" w14:paraId="1D94F4A8" w14:textId="77777777" w:rsidTr="00AA14F1">
        <w:tc>
          <w:tcPr>
            <w:tcW w:w="2835" w:type="dxa"/>
            <w:tcBorders>
              <w:top w:val="single" w:sz="4" w:space="0" w:color="365F91"/>
              <w:bottom w:val="single" w:sz="4" w:space="0" w:color="365F91"/>
            </w:tcBorders>
          </w:tcPr>
          <w:p w14:paraId="54C148E5" w14:textId="77777777" w:rsidR="00005A00" w:rsidRPr="00256982" w:rsidRDefault="00005A00" w:rsidP="003934D4">
            <w:pPr>
              <w:pStyle w:val="TableText"/>
              <w:keepNext/>
            </w:pPr>
            <w:r w:rsidRPr="00256982">
              <w:t>Starting year</w:t>
            </w:r>
          </w:p>
        </w:tc>
        <w:tc>
          <w:tcPr>
            <w:tcW w:w="1276" w:type="dxa"/>
            <w:tcBorders>
              <w:top w:val="single" w:sz="4" w:space="0" w:color="365F91"/>
              <w:bottom w:val="single" w:sz="4" w:space="0" w:color="365F91"/>
            </w:tcBorders>
          </w:tcPr>
          <w:p w14:paraId="16164ADE" w14:textId="77777777" w:rsidR="00005A00" w:rsidRPr="00256982" w:rsidRDefault="00005A00" w:rsidP="003934D4">
            <w:pPr>
              <w:pStyle w:val="TableText"/>
              <w:keepNext/>
            </w:pPr>
            <w:r w:rsidRPr="00256982">
              <w:t>1950</w:t>
            </w:r>
          </w:p>
        </w:tc>
        <w:tc>
          <w:tcPr>
            <w:tcW w:w="1418" w:type="dxa"/>
            <w:tcBorders>
              <w:top w:val="single" w:sz="4" w:space="0" w:color="365F91"/>
              <w:bottom w:val="single" w:sz="4" w:space="0" w:color="365F91"/>
            </w:tcBorders>
          </w:tcPr>
          <w:p w14:paraId="7042D9AC" w14:textId="77777777" w:rsidR="00005A00" w:rsidRPr="00256982" w:rsidRDefault="00005A00" w:rsidP="003934D4">
            <w:pPr>
              <w:pStyle w:val="TableText"/>
              <w:keepNext/>
            </w:pPr>
            <w:r w:rsidRPr="00256982">
              <w:t>IPCC default</w:t>
            </w:r>
          </w:p>
        </w:tc>
        <w:tc>
          <w:tcPr>
            <w:tcW w:w="2976" w:type="dxa"/>
            <w:tcBorders>
              <w:top w:val="single" w:sz="4" w:space="0" w:color="365F91"/>
              <w:bottom w:val="single" w:sz="4" w:space="0" w:color="365F91"/>
            </w:tcBorders>
          </w:tcPr>
          <w:p w14:paraId="4FA59012" w14:textId="77777777" w:rsidR="00005A00" w:rsidRPr="00256982" w:rsidRDefault="00005A00" w:rsidP="003934D4">
            <w:pPr>
              <w:pStyle w:val="TableText"/>
              <w:keepNext/>
            </w:pPr>
            <w:r w:rsidRPr="00256982">
              <w:rPr>
                <w:rFonts w:cs="Arial"/>
                <w:szCs w:val="16"/>
              </w:rPr>
              <w:t>IPCC (2006a)</w:t>
            </w:r>
          </w:p>
        </w:tc>
      </w:tr>
      <w:tr w:rsidR="00005A00" w:rsidRPr="00256982" w14:paraId="0CA44E63" w14:textId="77777777" w:rsidTr="00AA14F1">
        <w:tc>
          <w:tcPr>
            <w:tcW w:w="2835" w:type="dxa"/>
            <w:tcBorders>
              <w:top w:val="single" w:sz="4" w:space="0" w:color="365F91"/>
              <w:bottom w:val="single" w:sz="4" w:space="0" w:color="365F91"/>
            </w:tcBorders>
          </w:tcPr>
          <w:p w14:paraId="767A9D01" w14:textId="77777777" w:rsidR="00005A00" w:rsidRPr="00256982" w:rsidRDefault="00005A00" w:rsidP="003934D4">
            <w:pPr>
              <w:pStyle w:val="TableText"/>
            </w:pPr>
            <w:r w:rsidRPr="00256982">
              <w:t>Delay time</w:t>
            </w:r>
          </w:p>
        </w:tc>
        <w:tc>
          <w:tcPr>
            <w:tcW w:w="1276" w:type="dxa"/>
            <w:tcBorders>
              <w:top w:val="single" w:sz="4" w:space="0" w:color="365F91"/>
              <w:bottom w:val="single" w:sz="4" w:space="0" w:color="365F91"/>
            </w:tcBorders>
          </w:tcPr>
          <w:p w14:paraId="58E6369C" w14:textId="77777777" w:rsidR="00005A00" w:rsidRPr="00256982" w:rsidRDefault="00005A00" w:rsidP="003934D4">
            <w:pPr>
              <w:pStyle w:val="TableText"/>
            </w:pPr>
            <w:r w:rsidRPr="00256982">
              <w:t>6 months</w:t>
            </w:r>
          </w:p>
        </w:tc>
        <w:tc>
          <w:tcPr>
            <w:tcW w:w="1418" w:type="dxa"/>
            <w:tcBorders>
              <w:top w:val="single" w:sz="4" w:space="0" w:color="365F91"/>
              <w:bottom w:val="single" w:sz="4" w:space="0" w:color="365F91"/>
            </w:tcBorders>
          </w:tcPr>
          <w:p w14:paraId="12C9D345" w14:textId="77777777" w:rsidR="00005A00" w:rsidRPr="00256982" w:rsidRDefault="00005A00" w:rsidP="003934D4">
            <w:pPr>
              <w:pStyle w:val="TableText"/>
            </w:pPr>
            <w:r w:rsidRPr="00256982">
              <w:t>IPCC default</w:t>
            </w:r>
          </w:p>
        </w:tc>
        <w:tc>
          <w:tcPr>
            <w:tcW w:w="2976" w:type="dxa"/>
            <w:tcBorders>
              <w:top w:val="single" w:sz="4" w:space="0" w:color="365F91"/>
              <w:bottom w:val="single" w:sz="4" w:space="0" w:color="365F91"/>
            </w:tcBorders>
          </w:tcPr>
          <w:p w14:paraId="63BAB450" w14:textId="77777777" w:rsidR="00005A00" w:rsidRPr="00256982" w:rsidRDefault="00005A00" w:rsidP="003934D4">
            <w:pPr>
              <w:pStyle w:val="TableText"/>
            </w:pPr>
            <w:r w:rsidRPr="00256982">
              <w:rPr>
                <w:rFonts w:cs="Arial"/>
                <w:szCs w:val="16"/>
              </w:rPr>
              <w:t>IPCC (2006a)</w:t>
            </w:r>
          </w:p>
        </w:tc>
      </w:tr>
      <w:tr w:rsidR="00005A00" w:rsidRPr="00256982" w14:paraId="64861488" w14:textId="77777777" w:rsidTr="00AA14F1">
        <w:tc>
          <w:tcPr>
            <w:tcW w:w="2835" w:type="dxa"/>
            <w:tcBorders>
              <w:top w:val="single" w:sz="4" w:space="0" w:color="365F91"/>
              <w:bottom w:val="single" w:sz="4" w:space="0" w:color="365F91"/>
            </w:tcBorders>
          </w:tcPr>
          <w:p w14:paraId="165FDFF8" w14:textId="77777777" w:rsidR="00005A00" w:rsidRPr="00256982" w:rsidRDefault="00005A00" w:rsidP="003934D4">
            <w:pPr>
              <w:pStyle w:val="TableText"/>
            </w:pPr>
            <w:r w:rsidRPr="00256982">
              <w:t>Fraction of degradable organic carbon (DOCf) that decomposes</w:t>
            </w:r>
          </w:p>
        </w:tc>
        <w:tc>
          <w:tcPr>
            <w:tcW w:w="1276" w:type="dxa"/>
            <w:tcBorders>
              <w:top w:val="single" w:sz="4" w:space="0" w:color="365F91"/>
              <w:bottom w:val="single" w:sz="4" w:space="0" w:color="365F91"/>
            </w:tcBorders>
          </w:tcPr>
          <w:p w14:paraId="771FE2D0" w14:textId="77777777" w:rsidR="00005A00" w:rsidRPr="00256982" w:rsidRDefault="00005A00" w:rsidP="003934D4">
            <w:pPr>
              <w:pStyle w:val="TableText"/>
            </w:pPr>
            <w:r w:rsidRPr="00256982">
              <w:t>0.5</w:t>
            </w:r>
          </w:p>
        </w:tc>
        <w:tc>
          <w:tcPr>
            <w:tcW w:w="1418" w:type="dxa"/>
            <w:tcBorders>
              <w:top w:val="single" w:sz="4" w:space="0" w:color="365F91"/>
              <w:bottom w:val="single" w:sz="4" w:space="0" w:color="365F91"/>
            </w:tcBorders>
          </w:tcPr>
          <w:p w14:paraId="1D4D4ED5" w14:textId="77777777" w:rsidR="00005A00" w:rsidRPr="00256982" w:rsidRDefault="00005A00" w:rsidP="003934D4">
            <w:pPr>
              <w:pStyle w:val="TableText"/>
            </w:pPr>
            <w:r w:rsidRPr="00256982">
              <w:t>IPCC default</w:t>
            </w:r>
          </w:p>
        </w:tc>
        <w:tc>
          <w:tcPr>
            <w:tcW w:w="2976" w:type="dxa"/>
            <w:tcBorders>
              <w:top w:val="single" w:sz="4" w:space="0" w:color="365F91"/>
              <w:bottom w:val="single" w:sz="4" w:space="0" w:color="365F91"/>
            </w:tcBorders>
          </w:tcPr>
          <w:p w14:paraId="39D6123A" w14:textId="77777777" w:rsidR="00005A00" w:rsidRPr="00256982" w:rsidRDefault="00005A00" w:rsidP="003934D4">
            <w:pPr>
              <w:pStyle w:val="TableText"/>
            </w:pPr>
            <w:r w:rsidRPr="00256982">
              <w:rPr>
                <w:rFonts w:cs="Arial"/>
                <w:szCs w:val="16"/>
              </w:rPr>
              <w:t>IPCC (2006a)</w:t>
            </w:r>
          </w:p>
        </w:tc>
      </w:tr>
      <w:tr w:rsidR="00005A00" w:rsidRPr="00256982" w14:paraId="5A371E2E" w14:textId="77777777" w:rsidTr="00AA14F1">
        <w:tc>
          <w:tcPr>
            <w:tcW w:w="2835" w:type="dxa"/>
            <w:tcBorders>
              <w:top w:val="single" w:sz="4" w:space="0" w:color="365F91"/>
              <w:bottom w:val="single" w:sz="4" w:space="0" w:color="365F91"/>
            </w:tcBorders>
          </w:tcPr>
          <w:p w14:paraId="06CEA0F8" w14:textId="77777777" w:rsidR="00005A00" w:rsidRPr="00256982" w:rsidRDefault="00005A00" w:rsidP="003934D4">
            <w:pPr>
              <w:pStyle w:val="TableText"/>
            </w:pPr>
            <w:r w:rsidRPr="00256982">
              <w:t>Fraction of</w:t>
            </w:r>
            <w:r w:rsidRPr="00256982">
              <w:rPr>
                <w:vertAlign w:val="subscript"/>
              </w:rPr>
              <w:t xml:space="preserve"> </w:t>
            </w:r>
            <w:r w:rsidRPr="00256982">
              <w:t>CH</w:t>
            </w:r>
            <w:r w:rsidRPr="00256982">
              <w:rPr>
                <w:vertAlign w:val="subscript"/>
              </w:rPr>
              <w:t>4</w:t>
            </w:r>
            <w:r w:rsidRPr="00256982">
              <w:t xml:space="preserve"> in gas</w:t>
            </w:r>
          </w:p>
        </w:tc>
        <w:tc>
          <w:tcPr>
            <w:tcW w:w="1276" w:type="dxa"/>
            <w:tcBorders>
              <w:top w:val="single" w:sz="4" w:space="0" w:color="365F91"/>
              <w:bottom w:val="single" w:sz="4" w:space="0" w:color="365F91"/>
            </w:tcBorders>
          </w:tcPr>
          <w:p w14:paraId="4001EB5D" w14:textId="77777777" w:rsidR="00005A00" w:rsidRPr="00256982" w:rsidRDefault="00005A00" w:rsidP="003934D4">
            <w:pPr>
              <w:pStyle w:val="TableText"/>
            </w:pPr>
            <w:r w:rsidRPr="00256982">
              <w:t>0.5</w:t>
            </w:r>
          </w:p>
        </w:tc>
        <w:tc>
          <w:tcPr>
            <w:tcW w:w="1418" w:type="dxa"/>
            <w:tcBorders>
              <w:top w:val="single" w:sz="4" w:space="0" w:color="365F91"/>
              <w:bottom w:val="single" w:sz="4" w:space="0" w:color="365F91"/>
            </w:tcBorders>
          </w:tcPr>
          <w:p w14:paraId="24AF1B24" w14:textId="77777777" w:rsidR="00005A00" w:rsidRPr="00256982" w:rsidRDefault="00005A00" w:rsidP="003934D4">
            <w:pPr>
              <w:pStyle w:val="TableText"/>
            </w:pPr>
            <w:r w:rsidRPr="00256982">
              <w:t>IPCC default</w:t>
            </w:r>
          </w:p>
        </w:tc>
        <w:tc>
          <w:tcPr>
            <w:tcW w:w="2976" w:type="dxa"/>
            <w:tcBorders>
              <w:top w:val="single" w:sz="4" w:space="0" w:color="365F91"/>
              <w:bottom w:val="single" w:sz="4" w:space="0" w:color="365F91"/>
            </w:tcBorders>
          </w:tcPr>
          <w:p w14:paraId="6CB0EB13" w14:textId="77777777" w:rsidR="00005A00" w:rsidRPr="00256982" w:rsidRDefault="00005A00" w:rsidP="003934D4">
            <w:pPr>
              <w:pStyle w:val="TableText"/>
              <w:rPr>
                <w:rFonts w:cs="Arial"/>
                <w:szCs w:val="16"/>
              </w:rPr>
            </w:pPr>
            <w:r w:rsidRPr="00256982">
              <w:rPr>
                <w:rFonts w:cs="Arial"/>
                <w:szCs w:val="16"/>
              </w:rPr>
              <w:t>IPCC (2006a)</w:t>
            </w:r>
          </w:p>
        </w:tc>
      </w:tr>
    </w:tbl>
    <w:p w14:paraId="0F8DA24E" w14:textId="77777777" w:rsidR="00005A00" w:rsidRPr="00256982" w:rsidRDefault="00005A00" w:rsidP="00005A00">
      <w:pPr>
        <w:pStyle w:val="Heading5"/>
        <w:spacing w:before="400"/>
      </w:pPr>
      <w:r w:rsidRPr="00256982">
        <w:t>Non-municipal landfills and farm fills (5.A.2)</w:t>
      </w:r>
    </w:p>
    <w:p w14:paraId="47984AC6" w14:textId="77777777" w:rsidR="00005A00" w:rsidRPr="00256982" w:rsidRDefault="00005A00" w:rsidP="00005A00">
      <w:pPr>
        <w:pStyle w:val="Heading6"/>
        <w:spacing w:before="160"/>
      </w:pPr>
      <w:r w:rsidRPr="00256982">
        <w:t>Waste composition</w:t>
      </w:r>
    </w:p>
    <w:p w14:paraId="38796FDD" w14:textId="77777777" w:rsidR="00005A00" w:rsidRPr="00256982" w:rsidRDefault="00005A00" w:rsidP="00005A00">
      <w:pPr>
        <w:pStyle w:val="BodyText"/>
      </w:pPr>
      <w:r w:rsidRPr="00256982">
        <w:t>The main waste types disposed to non-municipal landfills are described in survey data as cleanfill, construction and demolition waste, green waste and wood. These were mapped to the IPCC waste types (IPCC, 2006a) and the IPCC default DOC values were applied. Most sites provided data on which types of waste are accepted, but only a few could quantify the amounts. To fill this data gap, an assumption is made that the quantities of each waste type produced in each region could be determined from the general proportion of waste types reported for each region (Tonkin and Taylor Ltd, unpublished(b)). Updated site data on waste composition from non-municipal landfills have been included from the 2016 year (MWH, 2017).</w:t>
      </w:r>
    </w:p>
    <w:p w14:paraId="25C53446" w14:textId="77777777" w:rsidR="00005A00" w:rsidRPr="00256982" w:rsidRDefault="00005A00" w:rsidP="00005A00">
      <w:pPr>
        <w:pStyle w:val="Heading6"/>
      </w:pPr>
      <w:r w:rsidRPr="00256982">
        <w:t>Other parameters</w:t>
      </w:r>
    </w:p>
    <w:p w14:paraId="197323BE" w14:textId="77777777" w:rsidR="00005A00" w:rsidRPr="00256982" w:rsidRDefault="00005A00" w:rsidP="00005A00">
      <w:pPr>
        <w:pStyle w:val="BodyText"/>
      </w:pPr>
      <w:r w:rsidRPr="00256982">
        <w:t>The majority of non-municipal landfills and farm fills are shallow, with less than 5 metres depth of waste. These are estimated to account for 90 per cent of the waste disposed with a CH</w:t>
      </w:r>
      <w:r w:rsidRPr="00256982">
        <w:rPr>
          <w:vertAlign w:val="subscript"/>
        </w:rPr>
        <w:t>4</w:t>
      </w:r>
      <w:r w:rsidRPr="00256982">
        <w:t xml:space="preserve"> correction factor value of 0.4. The other 10 per cent (approximately) goes to fills that are assumed to be: </w:t>
      </w:r>
    </w:p>
    <w:p w14:paraId="712F0058" w14:textId="77777777" w:rsidR="00005A00" w:rsidRPr="00256982" w:rsidRDefault="00005A00" w:rsidP="00005A00">
      <w:pPr>
        <w:pStyle w:val="Bullet"/>
        <w:numPr>
          <w:ilvl w:val="0"/>
          <w:numId w:val="8"/>
        </w:numPr>
      </w:pPr>
      <w:r w:rsidRPr="00256982">
        <w:t>for non-municipal landfills, an unknown mix that would have an average CH</w:t>
      </w:r>
      <w:r w:rsidRPr="00256982">
        <w:rPr>
          <w:vertAlign w:val="subscript"/>
        </w:rPr>
        <w:t>4</w:t>
      </w:r>
      <w:r w:rsidRPr="00256982">
        <w:t xml:space="preserve"> correction factor value of 0.6; this gives an overall average for these sites of 0.42 </w:t>
      </w:r>
    </w:p>
    <w:p w14:paraId="332D2562" w14:textId="77777777" w:rsidR="00005A00" w:rsidRPr="00256982" w:rsidRDefault="00005A00" w:rsidP="00005A00">
      <w:pPr>
        <w:pStyle w:val="Bullet"/>
        <w:numPr>
          <w:ilvl w:val="0"/>
          <w:numId w:val="8"/>
        </w:numPr>
      </w:pPr>
      <w:r w:rsidRPr="00256982">
        <w:t>for farm fills, deeper pits with an average depth greater than 5 metres, so the CH</w:t>
      </w:r>
      <w:r w:rsidRPr="00256982">
        <w:rPr>
          <w:vertAlign w:val="subscript"/>
        </w:rPr>
        <w:t>4</w:t>
      </w:r>
      <w:r w:rsidRPr="00256982">
        <w:t xml:space="preserve"> correction factor value is 0.8 and the average for all farm fills is 0.44.</w:t>
      </w:r>
    </w:p>
    <w:p w14:paraId="65FFEC5A" w14:textId="77777777" w:rsidR="00005A00" w:rsidRPr="00256982" w:rsidRDefault="00005A00" w:rsidP="00005A00">
      <w:pPr>
        <w:pStyle w:val="BodyText"/>
      </w:pPr>
      <w:r w:rsidRPr="00256982">
        <w:t xml:space="preserve">Default k-values for a wet temperate climate are used. No oxidation is assumed to occur in the cover for these unmanaged sites. </w:t>
      </w:r>
    </w:p>
    <w:p w14:paraId="261B2B0A" w14:textId="77777777" w:rsidR="00005A00" w:rsidRPr="00256982" w:rsidRDefault="00005A00" w:rsidP="00005A00">
      <w:pPr>
        <w:pStyle w:val="Heading6"/>
      </w:pPr>
      <w:r w:rsidRPr="00256982">
        <w:t>Summary of parameters used</w:t>
      </w:r>
    </w:p>
    <w:p w14:paraId="7B4ED926" w14:textId="77777777" w:rsidR="00005A00" w:rsidRPr="00256982" w:rsidRDefault="00005A00" w:rsidP="00005A00">
      <w:pPr>
        <w:pStyle w:val="BodyText"/>
      </w:pPr>
      <w:r w:rsidRPr="00256982">
        <w:t>Table 7.2.8 gives a summary of the parameter values that have been applied for estimating CH</w:t>
      </w:r>
      <w:r w:rsidRPr="00256982">
        <w:rPr>
          <w:vertAlign w:val="subscript"/>
        </w:rPr>
        <w:t>4</w:t>
      </w:r>
      <w:r w:rsidRPr="00256982">
        <w:t xml:space="preserve"> emissions for solid waste disposed to non-municipal landfills and farm fills. </w:t>
      </w:r>
    </w:p>
    <w:p w14:paraId="1AED81B1" w14:textId="77777777" w:rsidR="00005A00" w:rsidRPr="00256982" w:rsidRDefault="00005A00" w:rsidP="00005A00">
      <w:pPr>
        <w:pStyle w:val="Table"/>
      </w:pPr>
      <w:bookmarkStart w:id="2327" w:name="_Toc444001622"/>
      <w:bookmarkStart w:id="2328" w:name="_Toc451176174"/>
      <w:bookmarkStart w:id="2329" w:name="_Toc481751604"/>
      <w:bookmarkStart w:id="2330" w:name="_Toc508019329"/>
      <w:bookmarkStart w:id="2331" w:name="_Toc511116827"/>
      <w:bookmarkStart w:id="2332" w:name="_Toc5269568"/>
      <w:r w:rsidRPr="00256982">
        <w:t xml:space="preserve">Table 7.2.8 </w:t>
      </w:r>
      <w:r w:rsidRPr="00256982">
        <w:tab/>
        <w:t>Summary of parameters for non-municipal landfills and farm fills</w:t>
      </w:r>
      <w:bookmarkEnd w:id="2327"/>
      <w:bookmarkEnd w:id="2328"/>
      <w:bookmarkEnd w:id="2329"/>
      <w:bookmarkEnd w:id="2330"/>
      <w:bookmarkEnd w:id="2331"/>
      <w:bookmarkEnd w:id="2332"/>
    </w:p>
    <w:tbl>
      <w:tblPr>
        <w:tblW w:w="8505" w:type="dxa"/>
        <w:tblInd w:w="108" w:type="dxa"/>
        <w:tblLook w:val="04A0" w:firstRow="1" w:lastRow="0" w:firstColumn="1" w:lastColumn="0" w:noHBand="0" w:noVBand="1"/>
      </w:tblPr>
      <w:tblGrid>
        <w:gridCol w:w="2694"/>
        <w:gridCol w:w="1134"/>
        <w:gridCol w:w="1417"/>
        <w:gridCol w:w="3260"/>
      </w:tblGrid>
      <w:tr w:rsidR="00005A00" w:rsidRPr="00256982" w14:paraId="6B66DB7F" w14:textId="77777777" w:rsidTr="005816E9">
        <w:trPr>
          <w:tblHeader/>
        </w:trPr>
        <w:tc>
          <w:tcPr>
            <w:tcW w:w="2694" w:type="dxa"/>
            <w:tcBorders>
              <w:top w:val="single" w:sz="4" w:space="0" w:color="365F91"/>
              <w:bottom w:val="single" w:sz="4" w:space="0" w:color="365F91"/>
            </w:tcBorders>
            <w:shd w:val="clear" w:color="auto" w:fill="365F91"/>
          </w:tcPr>
          <w:p w14:paraId="24951295" w14:textId="77777777" w:rsidR="00005A00" w:rsidRPr="00256982" w:rsidRDefault="00005A00" w:rsidP="00AA14F1">
            <w:pPr>
              <w:pStyle w:val="TableTextBold"/>
              <w:spacing w:before="50" w:after="50"/>
              <w:rPr>
                <w:noProof w:val="0"/>
                <w:color w:val="FFFFFF"/>
              </w:rPr>
            </w:pPr>
            <w:r w:rsidRPr="00256982">
              <w:rPr>
                <w:noProof w:val="0"/>
                <w:color w:val="FFFFFF"/>
              </w:rPr>
              <w:t xml:space="preserve">Parameter </w:t>
            </w:r>
          </w:p>
        </w:tc>
        <w:tc>
          <w:tcPr>
            <w:tcW w:w="1134" w:type="dxa"/>
            <w:tcBorders>
              <w:top w:val="single" w:sz="4" w:space="0" w:color="365F91"/>
              <w:bottom w:val="single" w:sz="4" w:space="0" w:color="365F91"/>
            </w:tcBorders>
            <w:shd w:val="clear" w:color="auto" w:fill="365F91"/>
          </w:tcPr>
          <w:p w14:paraId="05F6A936" w14:textId="77777777" w:rsidR="00005A00" w:rsidRPr="00256982" w:rsidRDefault="00005A00" w:rsidP="00AA14F1">
            <w:pPr>
              <w:pStyle w:val="TableTextBold"/>
              <w:spacing w:before="50" w:after="50"/>
              <w:rPr>
                <w:noProof w:val="0"/>
                <w:color w:val="FFFFFF"/>
              </w:rPr>
            </w:pPr>
            <w:r w:rsidRPr="00256982">
              <w:rPr>
                <w:noProof w:val="0"/>
                <w:color w:val="FFFFFF"/>
              </w:rPr>
              <w:t xml:space="preserve">Values </w:t>
            </w:r>
          </w:p>
        </w:tc>
        <w:tc>
          <w:tcPr>
            <w:tcW w:w="1417" w:type="dxa"/>
            <w:tcBorders>
              <w:top w:val="single" w:sz="4" w:space="0" w:color="365F91"/>
              <w:bottom w:val="single" w:sz="4" w:space="0" w:color="365F91"/>
            </w:tcBorders>
            <w:shd w:val="clear" w:color="auto" w:fill="365F91"/>
          </w:tcPr>
          <w:p w14:paraId="62C6303E" w14:textId="77777777" w:rsidR="00005A00" w:rsidRPr="00256982" w:rsidRDefault="00005A00" w:rsidP="00AA14F1">
            <w:pPr>
              <w:pStyle w:val="TableTextBold"/>
              <w:spacing w:before="50" w:after="50"/>
              <w:rPr>
                <w:noProof w:val="0"/>
                <w:color w:val="FFFFFF"/>
              </w:rPr>
            </w:pPr>
            <w:r w:rsidRPr="00256982">
              <w:rPr>
                <w:noProof w:val="0"/>
                <w:color w:val="FFFFFF"/>
              </w:rPr>
              <w:t>Source</w:t>
            </w:r>
          </w:p>
        </w:tc>
        <w:tc>
          <w:tcPr>
            <w:tcW w:w="3260" w:type="dxa"/>
            <w:tcBorders>
              <w:top w:val="single" w:sz="4" w:space="0" w:color="365F91"/>
              <w:bottom w:val="single" w:sz="4" w:space="0" w:color="365F91"/>
            </w:tcBorders>
            <w:shd w:val="clear" w:color="auto" w:fill="365F91"/>
          </w:tcPr>
          <w:p w14:paraId="68359A21" w14:textId="77777777" w:rsidR="00005A00" w:rsidRPr="00256982" w:rsidRDefault="00005A00" w:rsidP="00AA14F1">
            <w:pPr>
              <w:pStyle w:val="TableTextBold"/>
              <w:spacing w:before="50" w:after="50"/>
              <w:rPr>
                <w:noProof w:val="0"/>
                <w:color w:val="FFFFFF"/>
              </w:rPr>
            </w:pPr>
            <w:r w:rsidRPr="00256982">
              <w:rPr>
                <w:noProof w:val="0"/>
                <w:color w:val="FFFFFF"/>
              </w:rPr>
              <w:t>Reference</w:t>
            </w:r>
          </w:p>
        </w:tc>
      </w:tr>
      <w:tr w:rsidR="00005A00" w:rsidRPr="00256982" w14:paraId="5DBCE92E" w14:textId="77777777" w:rsidTr="00AA14F1">
        <w:tc>
          <w:tcPr>
            <w:tcW w:w="8505" w:type="dxa"/>
            <w:gridSpan w:val="4"/>
            <w:tcBorders>
              <w:top w:val="single" w:sz="4" w:space="0" w:color="365F91"/>
              <w:bottom w:val="single" w:sz="4" w:space="0" w:color="365F91"/>
            </w:tcBorders>
          </w:tcPr>
          <w:p w14:paraId="63FF8C79" w14:textId="77777777" w:rsidR="00005A00" w:rsidRPr="00256982" w:rsidRDefault="00005A00" w:rsidP="00AA14F1">
            <w:pPr>
              <w:pStyle w:val="TableTextBold"/>
              <w:spacing w:before="50" w:after="50"/>
              <w:rPr>
                <w:noProof w:val="0"/>
              </w:rPr>
            </w:pPr>
            <w:r w:rsidRPr="00256982">
              <w:rPr>
                <w:noProof w:val="0"/>
              </w:rPr>
              <w:t>Non-municipal landfills</w:t>
            </w:r>
          </w:p>
        </w:tc>
      </w:tr>
      <w:tr w:rsidR="00005A00" w:rsidRPr="00256982" w14:paraId="68FE2F28" w14:textId="77777777" w:rsidTr="00AA14F1">
        <w:tc>
          <w:tcPr>
            <w:tcW w:w="2694" w:type="dxa"/>
            <w:tcBorders>
              <w:top w:val="single" w:sz="4" w:space="0" w:color="365F91"/>
              <w:bottom w:val="single" w:sz="4" w:space="0" w:color="365F91"/>
            </w:tcBorders>
          </w:tcPr>
          <w:p w14:paraId="334A60C7" w14:textId="77777777" w:rsidR="00005A00" w:rsidRPr="00256982" w:rsidRDefault="00005A00" w:rsidP="00AA14F1">
            <w:pPr>
              <w:pStyle w:val="TableText"/>
              <w:spacing w:before="50" w:after="50"/>
            </w:pPr>
            <w:r w:rsidRPr="00256982">
              <w:t>k-value</w:t>
            </w:r>
          </w:p>
        </w:tc>
        <w:tc>
          <w:tcPr>
            <w:tcW w:w="1134" w:type="dxa"/>
            <w:tcBorders>
              <w:top w:val="single" w:sz="4" w:space="0" w:color="365F91"/>
              <w:bottom w:val="single" w:sz="4" w:space="0" w:color="365F91"/>
            </w:tcBorders>
          </w:tcPr>
          <w:p w14:paraId="476F8EAE" w14:textId="77777777" w:rsidR="00005A00" w:rsidRPr="00256982" w:rsidRDefault="00005A00" w:rsidP="00AA14F1">
            <w:pPr>
              <w:pStyle w:val="TableText"/>
              <w:spacing w:before="50" w:after="50"/>
            </w:pPr>
            <w:r w:rsidRPr="00256982">
              <w:t>0.030–0.185</w:t>
            </w:r>
          </w:p>
        </w:tc>
        <w:tc>
          <w:tcPr>
            <w:tcW w:w="1417" w:type="dxa"/>
            <w:tcBorders>
              <w:top w:val="single" w:sz="4" w:space="0" w:color="365F91"/>
              <w:bottom w:val="single" w:sz="4" w:space="0" w:color="365F91"/>
            </w:tcBorders>
          </w:tcPr>
          <w:p w14:paraId="1DC181A1" w14:textId="77777777" w:rsidR="00005A00" w:rsidRPr="00256982" w:rsidRDefault="00005A00" w:rsidP="00AA14F1">
            <w:pPr>
              <w:pStyle w:val="TableText"/>
              <w:spacing w:before="50" w:after="50"/>
              <w:rPr>
                <w:rFonts w:cs="Arial"/>
                <w:szCs w:val="16"/>
              </w:rPr>
            </w:pPr>
            <w:r w:rsidRPr="00256982">
              <w:rPr>
                <w:rFonts w:cs="Arial"/>
                <w:szCs w:val="16"/>
              </w:rPr>
              <w:t xml:space="preserve">IPCC default </w:t>
            </w:r>
          </w:p>
        </w:tc>
        <w:tc>
          <w:tcPr>
            <w:tcW w:w="3260" w:type="dxa"/>
            <w:tcBorders>
              <w:top w:val="single" w:sz="4" w:space="0" w:color="365F91"/>
              <w:bottom w:val="single" w:sz="4" w:space="0" w:color="365F91"/>
            </w:tcBorders>
          </w:tcPr>
          <w:p w14:paraId="2396BDDB" w14:textId="77777777" w:rsidR="00005A00" w:rsidRPr="00256982" w:rsidRDefault="00005A00" w:rsidP="00AA14F1">
            <w:pPr>
              <w:pStyle w:val="TableText"/>
              <w:spacing w:before="50" w:after="50"/>
              <w:rPr>
                <w:rFonts w:cs="Arial"/>
                <w:szCs w:val="16"/>
              </w:rPr>
            </w:pPr>
            <w:r w:rsidRPr="00256982">
              <w:rPr>
                <w:rFonts w:cs="Arial"/>
                <w:szCs w:val="16"/>
              </w:rPr>
              <w:t>IPCC (2006a)</w:t>
            </w:r>
          </w:p>
        </w:tc>
      </w:tr>
      <w:tr w:rsidR="00005A00" w:rsidRPr="00256982" w14:paraId="0B971AF0" w14:textId="77777777" w:rsidTr="00AA14F1">
        <w:tc>
          <w:tcPr>
            <w:tcW w:w="2694" w:type="dxa"/>
            <w:tcBorders>
              <w:top w:val="single" w:sz="4" w:space="0" w:color="365F91"/>
              <w:bottom w:val="single" w:sz="4" w:space="0" w:color="365F91"/>
            </w:tcBorders>
          </w:tcPr>
          <w:p w14:paraId="7A63FF00" w14:textId="77777777" w:rsidR="00005A00" w:rsidRPr="00256982" w:rsidRDefault="00005A00" w:rsidP="00AA14F1">
            <w:pPr>
              <w:pStyle w:val="TableText"/>
              <w:spacing w:before="50" w:after="50"/>
            </w:pPr>
            <w:r w:rsidRPr="00256982">
              <w:t>Methane correction factor</w:t>
            </w:r>
          </w:p>
        </w:tc>
        <w:tc>
          <w:tcPr>
            <w:tcW w:w="1134" w:type="dxa"/>
            <w:tcBorders>
              <w:top w:val="single" w:sz="4" w:space="0" w:color="365F91"/>
              <w:bottom w:val="single" w:sz="4" w:space="0" w:color="365F91"/>
            </w:tcBorders>
          </w:tcPr>
          <w:p w14:paraId="693A8B4C" w14:textId="77777777" w:rsidR="00005A00" w:rsidRPr="00256982" w:rsidRDefault="00005A00" w:rsidP="00AA14F1">
            <w:pPr>
              <w:pStyle w:val="TableText"/>
              <w:spacing w:before="50" w:after="50"/>
            </w:pPr>
            <w:r w:rsidRPr="00256982">
              <w:t>0.42</w:t>
            </w:r>
          </w:p>
        </w:tc>
        <w:tc>
          <w:tcPr>
            <w:tcW w:w="1417" w:type="dxa"/>
            <w:tcBorders>
              <w:top w:val="single" w:sz="4" w:space="0" w:color="365F91"/>
              <w:bottom w:val="single" w:sz="4" w:space="0" w:color="365F91"/>
            </w:tcBorders>
          </w:tcPr>
          <w:p w14:paraId="05FEDCD2" w14:textId="77777777" w:rsidR="00005A00" w:rsidRPr="00256982" w:rsidRDefault="00005A00" w:rsidP="00AA14F1">
            <w:pPr>
              <w:pStyle w:val="TableText"/>
              <w:spacing w:before="50" w:after="50"/>
              <w:rPr>
                <w:rFonts w:cs="Arial"/>
                <w:szCs w:val="16"/>
              </w:rPr>
            </w:pPr>
            <w:r w:rsidRPr="00256982">
              <w:rPr>
                <w:rFonts w:cs="Arial"/>
                <w:szCs w:val="16"/>
              </w:rPr>
              <w:t>Country specific</w:t>
            </w:r>
          </w:p>
        </w:tc>
        <w:tc>
          <w:tcPr>
            <w:tcW w:w="3260" w:type="dxa"/>
            <w:tcBorders>
              <w:top w:val="single" w:sz="4" w:space="0" w:color="365F91"/>
              <w:bottom w:val="single" w:sz="4" w:space="0" w:color="365F91"/>
            </w:tcBorders>
          </w:tcPr>
          <w:p w14:paraId="1D6A2195" w14:textId="77777777" w:rsidR="00005A00" w:rsidRPr="00256982" w:rsidRDefault="00005A00" w:rsidP="00AA14F1">
            <w:pPr>
              <w:pStyle w:val="TableText"/>
              <w:spacing w:before="50" w:after="50"/>
              <w:rPr>
                <w:rFonts w:cs="Arial"/>
                <w:szCs w:val="16"/>
              </w:rPr>
            </w:pPr>
            <w:r w:rsidRPr="00256982">
              <w:rPr>
                <w:rFonts w:cs="Arial"/>
                <w:szCs w:val="16"/>
              </w:rPr>
              <w:t>Tonkin and Taylor Ltd (unpublished(b))</w:t>
            </w:r>
          </w:p>
        </w:tc>
      </w:tr>
      <w:tr w:rsidR="00005A00" w:rsidRPr="00256982" w14:paraId="42F0EEB2" w14:textId="77777777" w:rsidTr="00AA14F1">
        <w:tc>
          <w:tcPr>
            <w:tcW w:w="2694" w:type="dxa"/>
            <w:tcBorders>
              <w:top w:val="single" w:sz="4" w:space="0" w:color="365F91"/>
              <w:bottom w:val="single" w:sz="4" w:space="0" w:color="365F91"/>
            </w:tcBorders>
          </w:tcPr>
          <w:p w14:paraId="3EF11971" w14:textId="77777777" w:rsidR="00005A00" w:rsidRPr="00256982" w:rsidRDefault="00005A00" w:rsidP="00AA14F1">
            <w:pPr>
              <w:pStyle w:val="TableText"/>
              <w:spacing w:before="50" w:after="50"/>
            </w:pPr>
            <w:r w:rsidRPr="00256982">
              <w:t>Degradable organic carbon (DOC) (kt C/kt waste)</w:t>
            </w:r>
          </w:p>
        </w:tc>
        <w:tc>
          <w:tcPr>
            <w:tcW w:w="1134" w:type="dxa"/>
            <w:tcBorders>
              <w:top w:val="single" w:sz="4" w:space="0" w:color="365F91"/>
              <w:bottom w:val="single" w:sz="4" w:space="0" w:color="365F91"/>
            </w:tcBorders>
          </w:tcPr>
          <w:p w14:paraId="4269DCFE" w14:textId="77777777" w:rsidR="00005A00" w:rsidRPr="00256982" w:rsidRDefault="00005A00" w:rsidP="00AA14F1">
            <w:pPr>
              <w:pStyle w:val="TableText"/>
              <w:spacing w:before="50" w:after="50"/>
            </w:pPr>
            <w:r w:rsidRPr="00256982">
              <w:t>0.040–0.43</w:t>
            </w:r>
          </w:p>
        </w:tc>
        <w:tc>
          <w:tcPr>
            <w:tcW w:w="1417" w:type="dxa"/>
            <w:tcBorders>
              <w:top w:val="single" w:sz="4" w:space="0" w:color="365F91"/>
              <w:bottom w:val="single" w:sz="4" w:space="0" w:color="365F91"/>
            </w:tcBorders>
          </w:tcPr>
          <w:p w14:paraId="724FC70D" w14:textId="77777777" w:rsidR="00005A00" w:rsidRPr="00256982" w:rsidRDefault="00005A00" w:rsidP="00AA14F1">
            <w:pPr>
              <w:pStyle w:val="TableText"/>
              <w:spacing w:before="50" w:after="50"/>
              <w:rPr>
                <w:rFonts w:cs="Arial"/>
                <w:szCs w:val="16"/>
              </w:rPr>
            </w:pPr>
            <w:r w:rsidRPr="00256982">
              <w:t>Country specific</w:t>
            </w:r>
          </w:p>
        </w:tc>
        <w:tc>
          <w:tcPr>
            <w:tcW w:w="3260" w:type="dxa"/>
            <w:tcBorders>
              <w:top w:val="single" w:sz="4" w:space="0" w:color="365F91"/>
              <w:bottom w:val="single" w:sz="4" w:space="0" w:color="365F91"/>
            </w:tcBorders>
          </w:tcPr>
          <w:p w14:paraId="79942233" w14:textId="77777777" w:rsidR="00005A00" w:rsidRPr="00256982" w:rsidRDefault="00005A00" w:rsidP="00AA14F1">
            <w:pPr>
              <w:pStyle w:val="TableText"/>
              <w:spacing w:before="50" w:after="50"/>
              <w:rPr>
                <w:rFonts w:cs="Arial"/>
                <w:szCs w:val="16"/>
              </w:rPr>
            </w:pPr>
            <w:r w:rsidRPr="00256982">
              <w:t>Waste Not Consulting (unpublished(b))</w:t>
            </w:r>
          </w:p>
        </w:tc>
      </w:tr>
      <w:tr w:rsidR="00005A00" w:rsidRPr="00256982" w14:paraId="56C7F7F7" w14:textId="77777777" w:rsidTr="00AA14F1">
        <w:tc>
          <w:tcPr>
            <w:tcW w:w="8505" w:type="dxa"/>
            <w:gridSpan w:val="4"/>
            <w:tcBorders>
              <w:top w:val="single" w:sz="4" w:space="0" w:color="365F91"/>
              <w:bottom w:val="single" w:sz="4" w:space="0" w:color="365F91"/>
            </w:tcBorders>
          </w:tcPr>
          <w:p w14:paraId="3001F95B" w14:textId="77777777" w:rsidR="00005A00" w:rsidRPr="00256982" w:rsidRDefault="00005A00" w:rsidP="00AA14F1">
            <w:pPr>
              <w:pStyle w:val="TableTextBold"/>
              <w:spacing w:before="50" w:after="50"/>
              <w:rPr>
                <w:noProof w:val="0"/>
              </w:rPr>
            </w:pPr>
            <w:r w:rsidRPr="00256982">
              <w:rPr>
                <w:noProof w:val="0"/>
              </w:rPr>
              <w:t>Farm fills</w:t>
            </w:r>
          </w:p>
        </w:tc>
      </w:tr>
      <w:tr w:rsidR="00005A00" w:rsidRPr="00256982" w14:paraId="42CDDA4D" w14:textId="77777777" w:rsidTr="00AA14F1">
        <w:tc>
          <w:tcPr>
            <w:tcW w:w="2694" w:type="dxa"/>
            <w:tcBorders>
              <w:top w:val="single" w:sz="4" w:space="0" w:color="365F91"/>
              <w:bottom w:val="single" w:sz="4" w:space="0" w:color="365F91"/>
            </w:tcBorders>
          </w:tcPr>
          <w:p w14:paraId="5080ABC0" w14:textId="77777777" w:rsidR="00005A00" w:rsidRPr="00256982" w:rsidRDefault="00005A00" w:rsidP="00AA14F1">
            <w:pPr>
              <w:pStyle w:val="TableText"/>
              <w:spacing w:before="50" w:after="50"/>
            </w:pPr>
            <w:r w:rsidRPr="00256982">
              <w:t>k-value</w:t>
            </w:r>
          </w:p>
        </w:tc>
        <w:tc>
          <w:tcPr>
            <w:tcW w:w="1134" w:type="dxa"/>
            <w:tcBorders>
              <w:top w:val="single" w:sz="4" w:space="0" w:color="365F91"/>
              <w:bottom w:val="single" w:sz="4" w:space="0" w:color="365F91"/>
            </w:tcBorders>
          </w:tcPr>
          <w:p w14:paraId="7349C99A" w14:textId="77777777" w:rsidR="00005A00" w:rsidRPr="00256982" w:rsidRDefault="00005A00" w:rsidP="00AA14F1">
            <w:pPr>
              <w:pStyle w:val="TableText"/>
              <w:spacing w:before="50" w:after="50"/>
            </w:pPr>
            <w:r w:rsidRPr="00256982">
              <w:t>0.09</w:t>
            </w:r>
          </w:p>
        </w:tc>
        <w:tc>
          <w:tcPr>
            <w:tcW w:w="1417" w:type="dxa"/>
            <w:tcBorders>
              <w:top w:val="single" w:sz="4" w:space="0" w:color="365F91"/>
              <w:bottom w:val="single" w:sz="4" w:space="0" w:color="365F91"/>
            </w:tcBorders>
          </w:tcPr>
          <w:p w14:paraId="70C80584" w14:textId="77777777" w:rsidR="00005A00" w:rsidRPr="00256982" w:rsidRDefault="00005A00" w:rsidP="00AA14F1">
            <w:pPr>
              <w:pStyle w:val="TableText"/>
              <w:spacing w:before="50" w:after="50"/>
            </w:pPr>
            <w:r w:rsidRPr="00256982">
              <w:t>IPCC default</w:t>
            </w:r>
          </w:p>
        </w:tc>
        <w:tc>
          <w:tcPr>
            <w:tcW w:w="3260" w:type="dxa"/>
            <w:tcBorders>
              <w:top w:val="single" w:sz="4" w:space="0" w:color="365F91"/>
              <w:bottom w:val="single" w:sz="4" w:space="0" w:color="365F91"/>
            </w:tcBorders>
          </w:tcPr>
          <w:p w14:paraId="44887A6F" w14:textId="77777777" w:rsidR="00005A00" w:rsidRPr="00256982" w:rsidRDefault="00005A00" w:rsidP="00AA14F1">
            <w:pPr>
              <w:pStyle w:val="TableText"/>
              <w:spacing w:before="50" w:after="50"/>
            </w:pPr>
            <w:r w:rsidRPr="00256982">
              <w:rPr>
                <w:rFonts w:cs="Arial"/>
                <w:szCs w:val="16"/>
              </w:rPr>
              <w:t>IPCC (2006a)</w:t>
            </w:r>
          </w:p>
        </w:tc>
      </w:tr>
      <w:tr w:rsidR="00005A00" w:rsidRPr="00256982" w14:paraId="62D36A9F" w14:textId="77777777" w:rsidTr="00AA14F1">
        <w:tc>
          <w:tcPr>
            <w:tcW w:w="2694" w:type="dxa"/>
            <w:tcBorders>
              <w:top w:val="single" w:sz="4" w:space="0" w:color="365F91"/>
              <w:bottom w:val="single" w:sz="4" w:space="0" w:color="365F91"/>
            </w:tcBorders>
          </w:tcPr>
          <w:p w14:paraId="6E3C9DFA" w14:textId="77777777" w:rsidR="00005A00" w:rsidRPr="00256982" w:rsidRDefault="00005A00" w:rsidP="00AA14F1">
            <w:pPr>
              <w:pStyle w:val="TableText"/>
              <w:spacing w:before="50" w:after="50"/>
            </w:pPr>
            <w:r w:rsidRPr="00256982">
              <w:t>Methane correction factor</w:t>
            </w:r>
          </w:p>
        </w:tc>
        <w:tc>
          <w:tcPr>
            <w:tcW w:w="1134" w:type="dxa"/>
            <w:tcBorders>
              <w:top w:val="single" w:sz="4" w:space="0" w:color="365F91"/>
              <w:bottom w:val="single" w:sz="4" w:space="0" w:color="365F91"/>
            </w:tcBorders>
          </w:tcPr>
          <w:p w14:paraId="26857024" w14:textId="77777777" w:rsidR="00005A00" w:rsidRPr="00256982" w:rsidRDefault="00005A00" w:rsidP="00AA14F1">
            <w:pPr>
              <w:pStyle w:val="TableText"/>
              <w:spacing w:before="50" w:after="50"/>
            </w:pPr>
            <w:r w:rsidRPr="00256982">
              <w:t>0.44</w:t>
            </w:r>
          </w:p>
        </w:tc>
        <w:tc>
          <w:tcPr>
            <w:tcW w:w="1417" w:type="dxa"/>
            <w:tcBorders>
              <w:top w:val="single" w:sz="4" w:space="0" w:color="365F91"/>
              <w:bottom w:val="single" w:sz="4" w:space="0" w:color="365F91"/>
            </w:tcBorders>
          </w:tcPr>
          <w:p w14:paraId="682BD357" w14:textId="77777777" w:rsidR="00005A00" w:rsidRPr="00256982" w:rsidRDefault="00005A00" w:rsidP="00AA14F1">
            <w:pPr>
              <w:pStyle w:val="TableText"/>
              <w:spacing w:before="50" w:after="50"/>
            </w:pPr>
            <w:r w:rsidRPr="00256982">
              <w:t>Country specific</w:t>
            </w:r>
          </w:p>
        </w:tc>
        <w:tc>
          <w:tcPr>
            <w:tcW w:w="3260" w:type="dxa"/>
            <w:tcBorders>
              <w:top w:val="single" w:sz="4" w:space="0" w:color="365F91"/>
              <w:bottom w:val="single" w:sz="4" w:space="0" w:color="365F91"/>
            </w:tcBorders>
          </w:tcPr>
          <w:p w14:paraId="7457AEA2" w14:textId="77777777" w:rsidR="00005A00" w:rsidRPr="00256982" w:rsidRDefault="00005A00" w:rsidP="00AA14F1">
            <w:pPr>
              <w:pStyle w:val="TableText"/>
              <w:spacing w:before="50" w:after="50"/>
            </w:pPr>
            <w:r w:rsidRPr="00256982">
              <w:rPr>
                <w:rFonts w:cs="Arial"/>
                <w:szCs w:val="16"/>
              </w:rPr>
              <w:t>Tonkin and Taylor Ltd (unpublished(b))</w:t>
            </w:r>
          </w:p>
        </w:tc>
      </w:tr>
      <w:tr w:rsidR="00005A00" w:rsidRPr="00256982" w14:paraId="2CDD8F80" w14:textId="77777777" w:rsidTr="00AA14F1">
        <w:tc>
          <w:tcPr>
            <w:tcW w:w="2694" w:type="dxa"/>
            <w:tcBorders>
              <w:top w:val="single" w:sz="4" w:space="0" w:color="365F91"/>
              <w:bottom w:val="single" w:sz="4" w:space="0" w:color="365F91"/>
            </w:tcBorders>
          </w:tcPr>
          <w:p w14:paraId="63AE33A5" w14:textId="77777777" w:rsidR="00005A00" w:rsidRPr="00256982" w:rsidRDefault="00005A00" w:rsidP="00AA14F1">
            <w:pPr>
              <w:pStyle w:val="TableText"/>
              <w:spacing w:before="50" w:after="50"/>
            </w:pPr>
            <w:r w:rsidRPr="00256982">
              <w:t>DOC (kt C/kt waste)</w:t>
            </w:r>
          </w:p>
        </w:tc>
        <w:tc>
          <w:tcPr>
            <w:tcW w:w="1134" w:type="dxa"/>
            <w:tcBorders>
              <w:top w:val="single" w:sz="4" w:space="0" w:color="365F91"/>
              <w:bottom w:val="single" w:sz="4" w:space="0" w:color="365F91"/>
            </w:tcBorders>
          </w:tcPr>
          <w:p w14:paraId="2D0031A3" w14:textId="77777777" w:rsidR="00005A00" w:rsidRPr="00256982" w:rsidRDefault="00005A00" w:rsidP="00AA14F1">
            <w:pPr>
              <w:pStyle w:val="TableText"/>
              <w:spacing w:before="50" w:after="50"/>
            </w:pPr>
            <w:r w:rsidRPr="00256982">
              <w:t>0.184-0.331</w:t>
            </w:r>
          </w:p>
        </w:tc>
        <w:tc>
          <w:tcPr>
            <w:tcW w:w="1417" w:type="dxa"/>
            <w:tcBorders>
              <w:top w:val="single" w:sz="4" w:space="0" w:color="365F91"/>
              <w:bottom w:val="single" w:sz="4" w:space="0" w:color="365F91"/>
            </w:tcBorders>
          </w:tcPr>
          <w:p w14:paraId="7B7CF4E1" w14:textId="77777777" w:rsidR="00005A00" w:rsidRPr="00256982" w:rsidRDefault="00005A00" w:rsidP="00AA14F1">
            <w:pPr>
              <w:pStyle w:val="TableText"/>
              <w:spacing w:before="50" w:after="50"/>
            </w:pPr>
            <w:r w:rsidRPr="00256982">
              <w:t>Country specific</w:t>
            </w:r>
          </w:p>
        </w:tc>
        <w:tc>
          <w:tcPr>
            <w:tcW w:w="3260" w:type="dxa"/>
            <w:tcBorders>
              <w:top w:val="single" w:sz="4" w:space="0" w:color="365F91"/>
              <w:bottom w:val="single" w:sz="4" w:space="0" w:color="365F91"/>
            </w:tcBorders>
          </w:tcPr>
          <w:p w14:paraId="03CB6490" w14:textId="77777777" w:rsidR="00005A00" w:rsidRPr="00256982" w:rsidRDefault="00005A00" w:rsidP="00AA14F1">
            <w:pPr>
              <w:pStyle w:val="TableText"/>
              <w:spacing w:before="50" w:after="50"/>
              <w:rPr>
                <w:rFonts w:cs="Arial"/>
                <w:szCs w:val="16"/>
              </w:rPr>
            </w:pPr>
            <w:r w:rsidRPr="00256982">
              <w:rPr>
                <w:rFonts w:cs="Arial"/>
                <w:szCs w:val="16"/>
              </w:rPr>
              <w:t>GHD (2013, 2014)</w:t>
            </w:r>
          </w:p>
        </w:tc>
      </w:tr>
      <w:tr w:rsidR="00005A00" w:rsidRPr="00256982" w14:paraId="34722A68" w14:textId="77777777" w:rsidTr="00AA14F1">
        <w:tc>
          <w:tcPr>
            <w:tcW w:w="8505" w:type="dxa"/>
            <w:gridSpan w:val="4"/>
            <w:tcBorders>
              <w:top w:val="single" w:sz="4" w:space="0" w:color="365F91"/>
              <w:bottom w:val="single" w:sz="4" w:space="0" w:color="365F91"/>
            </w:tcBorders>
          </w:tcPr>
          <w:p w14:paraId="4AD6FB44" w14:textId="77777777" w:rsidR="00005A00" w:rsidRPr="00256982" w:rsidRDefault="00005A00" w:rsidP="003934D4">
            <w:pPr>
              <w:pStyle w:val="TableTextBold"/>
              <w:keepNext/>
              <w:spacing w:before="50" w:after="50"/>
              <w:rPr>
                <w:noProof w:val="0"/>
              </w:rPr>
            </w:pPr>
            <w:r w:rsidRPr="00256982">
              <w:rPr>
                <w:noProof w:val="0"/>
              </w:rPr>
              <w:lastRenderedPageBreak/>
              <w:t>All sites</w:t>
            </w:r>
          </w:p>
        </w:tc>
      </w:tr>
      <w:tr w:rsidR="00005A00" w:rsidRPr="00256982" w14:paraId="142C4368" w14:textId="77777777" w:rsidTr="00AA14F1">
        <w:tc>
          <w:tcPr>
            <w:tcW w:w="2694" w:type="dxa"/>
            <w:tcBorders>
              <w:top w:val="single" w:sz="4" w:space="0" w:color="365F91"/>
              <w:bottom w:val="single" w:sz="4" w:space="0" w:color="365F91"/>
            </w:tcBorders>
          </w:tcPr>
          <w:p w14:paraId="1AD1B54B" w14:textId="77777777" w:rsidR="00005A00" w:rsidRPr="00256982" w:rsidRDefault="00005A00" w:rsidP="00AA14F1">
            <w:pPr>
              <w:pStyle w:val="TableText"/>
              <w:spacing w:before="50" w:after="50"/>
            </w:pPr>
            <w:r w:rsidRPr="00256982">
              <w:t>Oxidation factor</w:t>
            </w:r>
          </w:p>
        </w:tc>
        <w:tc>
          <w:tcPr>
            <w:tcW w:w="1134" w:type="dxa"/>
            <w:tcBorders>
              <w:top w:val="single" w:sz="4" w:space="0" w:color="365F91"/>
              <w:bottom w:val="single" w:sz="4" w:space="0" w:color="365F91"/>
            </w:tcBorders>
          </w:tcPr>
          <w:p w14:paraId="7A24CC18" w14:textId="77777777" w:rsidR="00005A00" w:rsidRPr="00256982" w:rsidRDefault="00005A00" w:rsidP="00AA14F1">
            <w:pPr>
              <w:pStyle w:val="TableText"/>
              <w:spacing w:before="50" w:after="50"/>
            </w:pPr>
            <w:r w:rsidRPr="00256982">
              <w:t>0</w:t>
            </w:r>
          </w:p>
        </w:tc>
        <w:tc>
          <w:tcPr>
            <w:tcW w:w="1417" w:type="dxa"/>
            <w:tcBorders>
              <w:top w:val="single" w:sz="4" w:space="0" w:color="365F91"/>
              <w:bottom w:val="single" w:sz="4" w:space="0" w:color="365F91"/>
            </w:tcBorders>
          </w:tcPr>
          <w:p w14:paraId="70B6AA5B" w14:textId="77777777" w:rsidR="00005A00" w:rsidRPr="00256982" w:rsidRDefault="00005A00" w:rsidP="00AA14F1">
            <w:pPr>
              <w:pStyle w:val="TableText"/>
              <w:spacing w:before="50" w:after="50"/>
            </w:pPr>
            <w:r w:rsidRPr="00256982">
              <w:t>IPCC default</w:t>
            </w:r>
          </w:p>
        </w:tc>
        <w:tc>
          <w:tcPr>
            <w:tcW w:w="3260" w:type="dxa"/>
            <w:tcBorders>
              <w:top w:val="single" w:sz="4" w:space="0" w:color="365F91"/>
              <w:bottom w:val="single" w:sz="4" w:space="0" w:color="365F91"/>
            </w:tcBorders>
          </w:tcPr>
          <w:p w14:paraId="2AB245CB" w14:textId="77777777" w:rsidR="00005A00" w:rsidRPr="00256982" w:rsidRDefault="00005A00" w:rsidP="00AA14F1">
            <w:pPr>
              <w:pStyle w:val="TableText"/>
              <w:spacing w:before="50" w:after="50"/>
              <w:rPr>
                <w:rFonts w:cs="Arial"/>
                <w:szCs w:val="16"/>
              </w:rPr>
            </w:pPr>
            <w:r w:rsidRPr="00256982">
              <w:rPr>
                <w:rFonts w:cs="Arial"/>
                <w:szCs w:val="16"/>
              </w:rPr>
              <w:t>IPCC (2006a)</w:t>
            </w:r>
          </w:p>
        </w:tc>
      </w:tr>
      <w:tr w:rsidR="00005A00" w:rsidRPr="00256982" w14:paraId="25689A16" w14:textId="77777777" w:rsidTr="00AA14F1">
        <w:tc>
          <w:tcPr>
            <w:tcW w:w="2694" w:type="dxa"/>
            <w:tcBorders>
              <w:top w:val="single" w:sz="4" w:space="0" w:color="365F91"/>
              <w:bottom w:val="single" w:sz="4" w:space="0" w:color="365F91"/>
            </w:tcBorders>
          </w:tcPr>
          <w:p w14:paraId="0122AB47" w14:textId="77777777" w:rsidR="00005A00" w:rsidRPr="00256982" w:rsidRDefault="00005A00" w:rsidP="00AA14F1">
            <w:pPr>
              <w:pStyle w:val="TableText"/>
              <w:spacing w:before="50" w:after="50"/>
            </w:pPr>
            <w:r w:rsidRPr="00256982">
              <w:t>Starting year</w:t>
            </w:r>
          </w:p>
        </w:tc>
        <w:tc>
          <w:tcPr>
            <w:tcW w:w="1134" w:type="dxa"/>
            <w:tcBorders>
              <w:top w:val="single" w:sz="4" w:space="0" w:color="365F91"/>
              <w:bottom w:val="single" w:sz="4" w:space="0" w:color="365F91"/>
            </w:tcBorders>
          </w:tcPr>
          <w:p w14:paraId="2A1162A4" w14:textId="77777777" w:rsidR="00005A00" w:rsidRPr="00256982" w:rsidRDefault="00005A00" w:rsidP="00AA14F1">
            <w:pPr>
              <w:pStyle w:val="TableText"/>
              <w:spacing w:before="50" w:after="50"/>
            </w:pPr>
            <w:r w:rsidRPr="00256982">
              <w:t>1950</w:t>
            </w:r>
          </w:p>
        </w:tc>
        <w:tc>
          <w:tcPr>
            <w:tcW w:w="1417" w:type="dxa"/>
            <w:tcBorders>
              <w:top w:val="single" w:sz="4" w:space="0" w:color="365F91"/>
              <w:bottom w:val="single" w:sz="4" w:space="0" w:color="365F91"/>
            </w:tcBorders>
          </w:tcPr>
          <w:p w14:paraId="7801E89F" w14:textId="77777777" w:rsidR="00005A00" w:rsidRPr="00256982" w:rsidRDefault="00005A00" w:rsidP="00AA14F1">
            <w:pPr>
              <w:pStyle w:val="TableText"/>
              <w:spacing w:before="50" w:after="50"/>
            </w:pPr>
            <w:r w:rsidRPr="00256982">
              <w:t>IPCC default</w:t>
            </w:r>
          </w:p>
        </w:tc>
        <w:tc>
          <w:tcPr>
            <w:tcW w:w="3260" w:type="dxa"/>
            <w:tcBorders>
              <w:top w:val="single" w:sz="4" w:space="0" w:color="365F91"/>
              <w:bottom w:val="single" w:sz="4" w:space="0" w:color="365F91"/>
            </w:tcBorders>
          </w:tcPr>
          <w:p w14:paraId="7C460632" w14:textId="77777777" w:rsidR="00005A00" w:rsidRPr="00256982" w:rsidRDefault="00005A00" w:rsidP="00AA14F1">
            <w:pPr>
              <w:pStyle w:val="TableText"/>
              <w:spacing w:before="50" w:after="50"/>
            </w:pPr>
            <w:r w:rsidRPr="00256982">
              <w:rPr>
                <w:rFonts w:cs="Arial"/>
                <w:szCs w:val="16"/>
              </w:rPr>
              <w:t>IPCC (2006a)</w:t>
            </w:r>
          </w:p>
        </w:tc>
      </w:tr>
      <w:tr w:rsidR="00005A00" w:rsidRPr="00256982" w14:paraId="68E5A239" w14:textId="77777777" w:rsidTr="00AA14F1">
        <w:tc>
          <w:tcPr>
            <w:tcW w:w="2694" w:type="dxa"/>
            <w:tcBorders>
              <w:top w:val="single" w:sz="4" w:space="0" w:color="365F91"/>
              <w:bottom w:val="single" w:sz="4" w:space="0" w:color="365F91"/>
            </w:tcBorders>
          </w:tcPr>
          <w:p w14:paraId="38EC0374" w14:textId="77777777" w:rsidR="00005A00" w:rsidRPr="00256982" w:rsidRDefault="00005A00" w:rsidP="00AA14F1">
            <w:pPr>
              <w:pStyle w:val="TableText"/>
              <w:spacing w:before="50" w:after="50"/>
            </w:pPr>
            <w:r w:rsidRPr="00256982">
              <w:t>Delay time</w:t>
            </w:r>
          </w:p>
        </w:tc>
        <w:tc>
          <w:tcPr>
            <w:tcW w:w="1134" w:type="dxa"/>
            <w:tcBorders>
              <w:top w:val="single" w:sz="4" w:space="0" w:color="365F91"/>
              <w:bottom w:val="single" w:sz="4" w:space="0" w:color="365F91"/>
            </w:tcBorders>
          </w:tcPr>
          <w:p w14:paraId="514D3B3A" w14:textId="77777777" w:rsidR="00005A00" w:rsidRPr="00256982" w:rsidRDefault="00005A00" w:rsidP="00AA14F1">
            <w:pPr>
              <w:pStyle w:val="TableText"/>
              <w:spacing w:before="50" w:after="50"/>
            </w:pPr>
            <w:r w:rsidRPr="00256982">
              <w:t>6 months</w:t>
            </w:r>
          </w:p>
        </w:tc>
        <w:tc>
          <w:tcPr>
            <w:tcW w:w="1417" w:type="dxa"/>
            <w:tcBorders>
              <w:top w:val="single" w:sz="4" w:space="0" w:color="365F91"/>
              <w:bottom w:val="single" w:sz="4" w:space="0" w:color="365F91"/>
            </w:tcBorders>
          </w:tcPr>
          <w:p w14:paraId="1AE601DB" w14:textId="77777777" w:rsidR="00005A00" w:rsidRPr="00256982" w:rsidRDefault="00005A00" w:rsidP="00AA14F1">
            <w:pPr>
              <w:pStyle w:val="TableText"/>
              <w:spacing w:before="50" w:after="50"/>
            </w:pPr>
            <w:r w:rsidRPr="00256982">
              <w:t>IPCC default</w:t>
            </w:r>
          </w:p>
        </w:tc>
        <w:tc>
          <w:tcPr>
            <w:tcW w:w="3260" w:type="dxa"/>
            <w:tcBorders>
              <w:top w:val="single" w:sz="4" w:space="0" w:color="365F91"/>
              <w:bottom w:val="single" w:sz="4" w:space="0" w:color="365F91"/>
            </w:tcBorders>
          </w:tcPr>
          <w:p w14:paraId="04E1E39D" w14:textId="77777777" w:rsidR="00005A00" w:rsidRPr="00256982" w:rsidRDefault="00005A00" w:rsidP="00AA14F1">
            <w:pPr>
              <w:pStyle w:val="TableText"/>
              <w:spacing w:before="50" w:after="50"/>
            </w:pPr>
            <w:r w:rsidRPr="00256982">
              <w:rPr>
                <w:rFonts w:cs="Arial"/>
                <w:szCs w:val="16"/>
              </w:rPr>
              <w:t>IPCC (2006a)</w:t>
            </w:r>
          </w:p>
        </w:tc>
      </w:tr>
      <w:tr w:rsidR="00005A00" w:rsidRPr="00256982" w14:paraId="60EA2E5E" w14:textId="77777777" w:rsidTr="00AA14F1">
        <w:tc>
          <w:tcPr>
            <w:tcW w:w="2694" w:type="dxa"/>
            <w:tcBorders>
              <w:top w:val="single" w:sz="4" w:space="0" w:color="365F91"/>
              <w:bottom w:val="single" w:sz="4" w:space="0" w:color="365F91"/>
            </w:tcBorders>
          </w:tcPr>
          <w:p w14:paraId="4C8D5AA5" w14:textId="77777777" w:rsidR="00005A00" w:rsidRPr="00256982" w:rsidRDefault="00005A00" w:rsidP="00AA14F1">
            <w:pPr>
              <w:pStyle w:val="TableText"/>
              <w:spacing w:before="50" w:after="50"/>
            </w:pPr>
            <w:r w:rsidRPr="00256982">
              <w:t>Fraction of DOC that decomposes</w:t>
            </w:r>
          </w:p>
        </w:tc>
        <w:tc>
          <w:tcPr>
            <w:tcW w:w="1134" w:type="dxa"/>
            <w:tcBorders>
              <w:top w:val="single" w:sz="4" w:space="0" w:color="365F91"/>
              <w:bottom w:val="single" w:sz="4" w:space="0" w:color="365F91"/>
            </w:tcBorders>
          </w:tcPr>
          <w:p w14:paraId="65DB4208" w14:textId="77777777" w:rsidR="00005A00" w:rsidRPr="00256982" w:rsidRDefault="00005A00" w:rsidP="00AA14F1">
            <w:pPr>
              <w:pStyle w:val="TableText"/>
              <w:spacing w:before="50" w:after="50"/>
            </w:pPr>
            <w:r w:rsidRPr="00256982">
              <w:t>0.5</w:t>
            </w:r>
          </w:p>
        </w:tc>
        <w:tc>
          <w:tcPr>
            <w:tcW w:w="1417" w:type="dxa"/>
            <w:tcBorders>
              <w:top w:val="single" w:sz="4" w:space="0" w:color="365F91"/>
              <w:bottom w:val="single" w:sz="4" w:space="0" w:color="365F91"/>
            </w:tcBorders>
          </w:tcPr>
          <w:p w14:paraId="278121CC" w14:textId="77777777" w:rsidR="00005A00" w:rsidRPr="00256982" w:rsidRDefault="00005A00" w:rsidP="00AA14F1">
            <w:pPr>
              <w:pStyle w:val="TableText"/>
              <w:spacing w:before="50" w:after="50"/>
            </w:pPr>
            <w:r w:rsidRPr="00256982">
              <w:t>IPCC default</w:t>
            </w:r>
          </w:p>
        </w:tc>
        <w:tc>
          <w:tcPr>
            <w:tcW w:w="3260" w:type="dxa"/>
            <w:tcBorders>
              <w:top w:val="single" w:sz="4" w:space="0" w:color="365F91"/>
              <w:bottom w:val="single" w:sz="4" w:space="0" w:color="365F91"/>
            </w:tcBorders>
          </w:tcPr>
          <w:p w14:paraId="1FFA5060" w14:textId="77777777" w:rsidR="00005A00" w:rsidRPr="00256982" w:rsidRDefault="00005A00" w:rsidP="00AA14F1">
            <w:pPr>
              <w:pStyle w:val="TableText"/>
              <w:spacing w:before="50" w:after="50"/>
            </w:pPr>
            <w:r w:rsidRPr="00256982">
              <w:rPr>
                <w:rFonts w:cs="Arial"/>
                <w:szCs w:val="16"/>
              </w:rPr>
              <w:t>IPCC (2006a)</w:t>
            </w:r>
          </w:p>
        </w:tc>
      </w:tr>
      <w:tr w:rsidR="00005A00" w:rsidRPr="00256982" w14:paraId="38358551" w14:textId="77777777" w:rsidTr="00AA14F1">
        <w:tc>
          <w:tcPr>
            <w:tcW w:w="2694" w:type="dxa"/>
            <w:tcBorders>
              <w:top w:val="single" w:sz="4" w:space="0" w:color="365F91"/>
              <w:bottom w:val="single" w:sz="4" w:space="0" w:color="365F91"/>
            </w:tcBorders>
          </w:tcPr>
          <w:p w14:paraId="1301AE88" w14:textId="77777777" w:rsidR="00005A00" w:rsidRPr="00256982" w:rsidRDefault="00005A00" w:rsidP="00AA14F1">
            <w:pPr>
              <w:pStyle w:val="TableText"/>
              <w:spacing w:before="50" w:after="50"/>
            </w:pPr>
            <w:r w:rsidRPr="00256982">
              <w:t>Fraction of CH</w:t>
            </w:r>
            <w:r w:rsidRPr="00256982">
              <w:rPr>
                <w:vertAlign w:val="subscript"/>
              </w:rPr>
              <w:t>4</w:t>
            </w:r>
            <w:r w:rsidRPr="00256982">
              <w:t xml:space="preserve"> in gas</w:t>
            </w:r>
          </w:p>
        </w:tc>
        <w:tc>
          <w:tcPr>
            <w:tcW w:w="1134" w:type="dxa"/>
            <w:tcBorders>
              <w:top w:val="single" w:sz="4" w:space="0" w:color="365F91"/>
              <w:bottom w:val="single" w:sz="4" w:space="0" w:color="365F91"/>
            </w:tcBorders>
          </w:tcPr>
          <w:p w14:paraId="42915DD7" w14:textId="77777777" w:rsidR="00005A00" w:rsidRPr="00256982" w:rsidRDefault="00005A00" w:rsidP="00AA14F1">
            <w:pPr>
              <w:pStyle w:val="TableText"/>
              <w:spacing w:before="50" w:after="50"/>
            </w:pPr>
            <w:r w:rsidRPr="00256982">
              <w:t>0.5</w:t>
            </w:r>
          </w:p>
        </w:tc>
        <w:tc>
          <w:tcPr>
            <w:tcW w:w="1417" w:type="dxa"/>
            <w:tcBorders>
              <w:top w:val="single" w:sz="4" w:space="0" w:color="365F91"/>
              <w:bottom w:val="single" w:sz="4" w:space="0" w:color="365F91"/>
            </w:tcBorders>
          </w:tcPr>
          <w:p w14:paraId="5DC9D10D" w14:textId="77777777" w:rsidR="00005A00" w:rsidRPr="00256982" w:rsidRDefault="00005A00" w:rsidP="00AA14F1">
            <w:pPr>
              <w:pStyle w:val="TableText"/>
              <w:spacing w:before="50" w:after="50"/>
            </w:pPr>
            <w:r w:rsidRPr="00256982">
              <w:t>IPCC default</w:t>
            </w:r>
          </w:p>
        </w:tc>
        <w:tc>
          <w:tcPr>
            <w:tcW w:w="3260" w:type="dxa"/>
            <w:tcBorders>
              <w:top w:val="single" w:sz="4" w:space="0" w:color="365F91"/>
              <w:bottom w:val="single" w:sz="4" w:space="0" w:color="365F91"/>
            </w:tcBorders>
          </w:tcPr>
          <w:p w14:paraId="2265D8A9" w14:textId="77777777" w:rsidR="00005A00" w:rsidRPr="00256982" w:rsidRDefault="00005A00" w:rsidP="00AA14F1">
            <w:pPr>
              <w:pStyle w:val="TableText"/>
              <w:spacing w:before="50" w:after="50"/>
              <w:rPr>
                <w:rFonts w:cs="Arial"/>
                <w:szCs w:val="16"/>
              </w:rPr>
            </w:pPr>
            <w:r w:rsidRPr="00256982">
              <w:rPr>
                <w:rFonts w:cs="Arial"/>
                <w:szCs w:val="16"/>
              </w:rPr>
              <w:t>IPCC (2006a)</w:t>
            </w:r>
          </w:p>
        </w:tc>
      </w:tr>
    </w:tbl>
    <w:p w14:paraId="7848378F" w14:textId="77777777" w:rsidR="00005A00" w:rsidRPr="00256982" w:rsidRDefault="00005A00" w:rsidP="00005A00">
      <w:pPr>
        <w:pStyle w:val="Heading3"/>
        <w:spacing w:before="480"/>
      </w:pPr>
      <w:r w:rsidRPr="00256982">
        <w:t>7.2.3</w:t>
      </w:r>
      <w:r w:rsidRPr="00256982">
        <w:tab/>
        <w:t>Uncertainties and time-series consistency</w:t>
      </w:r>
    </w:p>
    <w:p w14:paraId="05885F91" w14:textId="77777777" w:rsidR="00005A00" w:rsidRPr="00256982" w:rsidRDefault="00005A00" w:rsidP="00005A00">
      <w:pPr>
        <w:pStyle w:val="Heading4"/>
      </w:pPr>
      <w:r w:rsidRPr="00256982">
        <w:t>Uncertainties</w:t>
      </w:r>
    </w:p>
    <w:p w14:paraId="5BC6DF78" w14:textId="77777777" w:rsidR="00005A00" w:rsidRPr="00256982" w:rsidRDefault="00005A00" w:rsidP="00005A00">
      <w:pPr>
        <w:pStyle w:val="BodyText"/>
      </w:pPr>
      <w:r w:rsidRPr="00256982">
        <w:t xml:space="preserve">For emission factors and activity data used for most of </w:t>
      </w:r>
      <w:r w:rsidRPr="00256982">
        <w:rPr>
          <w:i/>
        </w:rPr>
        <w:t>solid waste disposal</w:t>
      </w:r>
      <w:r w:rsidRPr="00256982">
        <w:t xml:space="preserve">, the uncertainty estimate is ±40 per cent (table 7.2.9). This is consistent with the estimates provided in the IPCC Guidelines (IPCC, 2006a). </w:t>
      </w:r>
    </w:p>
    <w:p w14:paraId="7777D55C" w14:textId="77777777" w:rsidR="00005A00" w:rsidRPr="00256982" w:rsidRDefault="00005A00" w:rsidP="00005A00">
      <w:pPr>
        <w:pStyle w:val="BodyText"/>
      </w:pPr>
      <w:r w:rsidRPr="00256982">
        <w:t>For managed municipal landfills, the emission factor uncertainty is set at this level because, while better-quality parameters are used in this category, some but not all of the estimates for CH</w:t>
      </w:r>
      <w:r w:rsidRPr="00256982">
        <w:rPr>
          <w:vertAlign w:val="subscript"/>
        </w:rPr>
        <w:t>4</w:t>
      </w:r>
      <w:r w:rsidRPr="00256982">
        <w:t xml:space="preserve"> recovery are based on metered gas-flow data.</w:t>
      </w:r>
    </w:p>
    <w:p w14:paraId="4B41114C" w14:textId="77777777" w:rsidR="00005A00" w:rsidRPr="00256982" w:rsidRDefault="00005A00" w:rsidP="00005A00">
      <w:pPr>
        <w:pStyle w:val="BodyText"/>
      </w:pPr>
      <w:r w:rsidRPr="00256982">
        <w:t>For non-municipal landfills and farm fills, the uncertainty in activity data is estimated to be ±140 per cent. Historical information on the amount of waste placed in these sites is very limited, given the nature of the management of such fills.</w:t>
      </w:r>
    </w:p>
    <w:p w14:paraId="1A417996" w14:textId="77777777" w:rsidR="00005A00" w:rsidRPr="00256982" w:rsidRDefault="00005A00" w:rsidP="00005A00">
      <w:pPr>
        <w:pStyle w:val="BodyText"/>
      </w:pPr>
      <w:r w:rsidRPr="00256982">
        <w:t>The overall uncertainty in activity data for solid waste disposal is calculated using approach 1 for adding uncertainties together. The overall uncertainty in emission factor is set as the same as the uncertainty for the underlying categories because they are consistent.</w:t>
      </w:r>
    </w:p>
    <w:p w14:paraId="5CE23553" w14:textId="77777777" w:rsidR="00005A00" w:rsidRPr="00256982" w:rsidRDefault="00005A00" w:rsidP="00005A00">
      <w:pPr>
        <w:pStyle w:val="Table"/>
      </w:pPr>
      <w:bookmarkStart w:id="2333" w:name="_Toc444001623"/>
      <w:bookmarkStart w:id="2334" w:name="_Toc451176175"/>
      <w:bookmarkStart w:id="2335" w:name="_Toc481751605"/>
      <w:bookmarkStart w:id="2336" w:name="_Toc508019330"/>
      <w:bookmarkStart w:id="2337" w:name="_Toc511116828"/>
      <w:bookmarkStart w:id="2338" w:name="_Toc5269569"/>
      <w:r w:rsidRPr="00256982">
        <w:t>Table 7.2.9</w:t>
      </w:r>
      <w:r w:rsidRPr="00256982">
        <w:tab/>
        <w:t>Uncertainty in emissions from Solid waste disposal</w:t>
      </w:r>
      <w:bookmarkEnd w:id="2333"/>
      <w:bookmarkEnd w:id="2334"/>
      <w:bookmarkEnd w:id="2335"/>
      <w:bookmarkEnd w:id="2336"/>
      <w:bookmarkEnd w:id="2337"/>
      <w:bookmarkEnd w:id="2338"/>
    </w:p>
    <w:tbl>
      <w:tblPr>
        <w:tblW w:w="8505" w:type="dxa"/>
        <w:tblInd w:w="108" w:type="dxa"/>
        <w:tblBorders>
          <w:top w:val="single" w:sz="6" w:space="0" w:color="365F91"/>
          <w:bottom w:val="single" w:sz="6" w:space="0" w:color="365F91"/>
          <w:insideH w:val="single" w:sz="6" w:space="0" w:color="365F91"/>
        </w:tblBorders>
        <w:tblLook w:val="04A0" w:firstRow="1" w:lastRow="0" w:firstColumn="1" w:lastColumn="0" w:noHBand="0" w:noVBand="1"/>
      </w:tblPr>
      <w:tblGrid>
        <w:gridCol w:w="2835"/>
        <w:gridCol w:w="2694"/>
        <w:gridCol w:w="2976"/>
      </w:tblGrid>
      <w:tr w:rsidR="00005A00" w:rsidRPr="00256982" w14:paraId="63F8804F" w14:textId="77777777" w:rsidTr="00AA14F1">
        <w:tc>
          <w:tcPr>
            <w:tcW w:w="2835" w:type="dxa"/>
            <w:tcBorders>
              <w:top w:val="single" w:sz="4" w:space="0" w:color="365F91"/>
              <w:left w:val="nil"/>
              <w:bottom w:val="single" w:sz="4" w:space="0" w:color="365F91"/>
              <w:right w:val="nil"/>
            </w:tcBorders>
            <w:shd w:val="clear" w:color="000000" w:fill="365F91"/>
            <w:vAlign w:val="bottom"/>
          </w:tcPr>
          <w:p w14:paraId="6D249614" w14:textId="77777777" w:rsidR="00005A00" w:rsidRPr="00256982" w:rsidRDefault="00005A00" w:rsidP="00AA14F1">
            <w:pPr>
              <w:pStyle w:val="TableTextBold"/>
              <w:spacing w:before="50" w:after="50"/>
              <w:rPr>
                <w:noProof w:val="0"/>
                <w:color w:val="FFFFFF"/>
              </w:rPr>
            </w:pPr>
            <w:r w:rsidRPr="00256982">
              <w:rPr>
                <w:noProof w:val="0"/>
                <w:color w:val="FFFFFF"/>
              </w:rPr>
              <w:t>Emissions category</w:t>
            </w:r>
          </w:p>
        </w:tc>
        <w:tc>
          <w:tcPr>
            <w:tcW w:w="2694" w:type="dxa"/>
            <w:tcBorders>
              <w:top w:val="single" w:sz="4" w:space="0" w:color="365F91"/>
              <w:left w:val="nil"/>
              <w:bottom w:val="single" w:sz="4" w:space="0" w:color="365F91"/>
              <w:right w:val="nil"/>
            </w:tcBorders>
            <w:shd w:val="clear" w:color="000000" w:fill="365F91"/>
            <w:vAlign w:val="bottom"/>
          </w:tcPr>
          <w:p w14:paraId="2F9E70CE" w14:textId="77777777" w:rsidR="00005A00" w:rsidRPr="00256982" w:rsidRDefault="00005A00" w:rsidP="00AA14F1">
            <w:pPr>
              <w:pStyle w:val="TableTextBold"/>
              <w:spacing w:before="50" w:after="50"/>
              <w:jc w:val="center"/>
              <w:rPr>
                <w:noProof w:val="0"/>
                <w:color w:val="FFFFFF"/>
              </w:rPr>
            </w:pPr>
            <w:r w:rsidRPr="00256982">
              <w:rPr>
                <w:noProof w:val="0"/>
                <w:color w:val="FFFFFF"/>
              </w:rPr>
              <w:t>Uncertainty in activity data (%)</w:t>
            </w:r>
          </w:p>
        </w:tc>
        <w:tc>
          <w:tcPr>
            <w:tcW w:w="2976" w:type="dxa"/>
            <w:tcBorders>
              <w:top w:val="single" w:sz="4" w:space="0" w:color="365F91"/>
              <w:left w:val="nil"/>
              <w:bottom w:val="single" w:sz="4" w:space="0" w:color="365F91"/>
              <w:right w:val="nil"/>
            </w:tcBorders>
            <w:shd w:val="clear" w:color="000000" w:fill="365F91"/>
            <w:vAlign w:val="bottom"/>
          </w:tcPr>
          <w:p w14:paraId="6C5A6C45" w14:textId="77777777" w:rsidR="00005A00" w:rsidRPr="00256982" w:rsidRDefault="00005A00" w:rsidP="00AA14F1">
            <w:pPr>
              <w:pStyle w:val="TableTextBold"/>
              <w:spacing w:before="50" w:after="50"/>
              <w:jc w:val="center"/>
              <w:rPr>
                <w:noProof w:val="0"/>
                <w:color w:val="FFFFFF"/>
              </w:rPr>
            </w:pPr>
            <w:r w:rsidRPr="00256982">
              <w:rPr>
                <w:noProof w:val="0"/>
                <w:color w:val="FFFFFF"/>
              </w:rPr>
              <w:t>Uncertainty in emission factors (%)</w:t>
            </w:r>
          </w:p>
        </w:tc>
      </w:tr>
      <w:tr w:rsidR="00005A00" w:rsidRPr="00256982" w14:paraId="3E491514" w14:textId="77777777" w:rsidTr="00AA14F1">
        <w:trPr>
          <w:trHeight w:val="127"/>
        </w:trPr>
        <w:tc>
          <w:tcPr>
            <w:tcW w:w="2835" w:type="dxa"/>
            <w:tcBorders>
              <w:top w:val="single" w:sz="4" w:space="0" w:color="365F91"/>
            </w:tcBorders>
            <w:shd w:val="clear" w:color="auto" w:fill="FFFFFF"/>
          </w:tcPr>
          <w:p w14:paraId="4F5F509B" w14:textId="77777777" w:rsidR="00005A00" w:rsidRPr="00256982" w:rsidRDefault="00005A00" w:rsidP="00AA14F1">
            <w:pPr>
              <w:pStyle w:val="TableText"/>
              <w:spacing w:before="50" w:after="50"/>
              <w:rPr>
                <w:rFonts w:cs="Arial"/>
                <w:bCs/>
              </w:rPr>
            </w:pPr>
            <w:r w:rsidRPr="00256982">
              <w:rPr>
                <w:rFonts w:cs="Arial"/>
                <w:bCs/>
              </w:rPr>
              <w:t>Managed landfills</w:t>
            </w:r>
          </w:p>
        </w:tc>
        <w:tc>
          <w:tcPr>
            <w:tcW w:w="2694" w:type="dxa"/>
            <w:tcBorders>
              <w:top w:val="single" w:sz="4" w:space="0" w:color="365F91"/>
            </w:tcBorders>
            <w:shd w:val="clear" w:color="auto" w:fill="FFFFFF"/>
          </w:tcPr>
          <w:p w14:paraId="16A43875" w14:textId="77777777" w:rsidR="00005A00" w:rsidRPr="00256982" w:rsidRDefault="00005A00" w:rsidP="00AA14F1">
            <w:pPr>
              <w:pStyle w:val="TableText"/>
              <w:spacing w:before="50" w:after="50"/>
              <w:jc w:val="center"/>
            </w:pPr>
            <w:r w:rsidRPr="00256982">
              <w:t>±40</w:t>
            </w:r>
          </w:p>
        </w:tc>
        <w:tc>
          <w:tcPr>
            <w:tcW w:w="2976" w:type="dxa"/>
            <w:tcBorders>
              <w:top w:val="single" w:sz="4" w:space="0" w:color="365F91"/>
            </w:tcBorders>
            <w:shd w:val="clear" w:color="auto" w:fill="FFFFFF"/>
          </w:tcPr>
          <w:p w14:paraId="3516946E" w14:textId="77777777" w:rsidR="00005A00" w:rsidRPr="00256982" w:rsidRDefault="00005A00" w:rsidP="00AA14F1">
            <w:pPr>
              <w:pStyle w:val="TableText"/>
              <w:spacing w:before="50" w:after="50"/>
              <w:jc w:val="center"/>
            </w:pPr>
            <w:r w:rsidRPr="00256982">
              <w:t>±40</w:t>
            </w:r>
          </w:p>
        </w:tc>
      </w:tr>
      <w:tr w:rsidR="00005A00" w:rsidRPr="00256982" w14:paraId="19EED9D1" w14:textId="77777777" w:rsidTr="00AA14F1">
        <w:tc>
          <w:tcPr>
            <w:tcW w:w="2835" w:type="dxa"/>
            <w:shd w:val="clear" w:color="auto" w:fill="FFFFFF"/>
          </w:tcPr>
          <w:p w14:paraId="14BA874C" w14:textId="77777777" w:rsidR="00005A00" w:rsidRPr="00256982" w:rsidRDefault="00005A00" w:rsidP="00AA14F1">
            <w:pPr>
              <w:pStyle w:val="TableText"/>
              <w:spacing w:before="50" w:after="50"/>
              <w:rPr>
                <w:rFonts w:cs="Arial"/>
                <w:bCs/>
              </w:rPr>
            </w:pPr>
            <w:r w:rsidRPr="00256982">
              <w:rPr>
                <w:rFonts w:cs="Arial"/>
                <w:bCs/>
              </w:rPr>
              <w:t>Unmanaged landfills</w:t>
            </w:r>
          </w:p>
        </w:tc>
        <w:tc>
          <w:tcPr>
            <w:tcW w:w="2694" w:type="dxa"/>
            <w:shd w:val="clear" w:color="auto" w:fill="FFFFFF"/>
          </w:tcPr>
          <w:p w14:paraId="52E518B8" w14:textId="77777777" w:rsidR="00005A00" w:rsidRPr="00256982" w:rsidRDefault="00005A00" w:rsidP="00AA14F1">
            <w:pPr>
              <w:pStyle w:val="TableText"/>
              <w:spacing w:before="50" w:after="50"/>
              <w:jc w:val="center"/>
            </w:pPr>
            <w:r w:rsidRPr="00256982">
              <w:t>±140</w:t>
            </w:r>
          </w:p>
        </w:tc>
        <w:tc>
          <w:tcPr>
            <w:tcW w:w="2976" w:type="dxa"/>
            <w:shd w:val="clear" w:color="auto" w:fill="FFFFFF"/>
          </w:tcPr>
          <w:p w14:paraId="39F227D5" w14:textId="77777777" w:rsidR="00005A00" w:rsidRPr="00256982" w:rsidRDefault="00005A00" w:rsidP="00AA14F1">
            <w:pPr>
              <w:pStyle w:val="TableText"/>
              <w:spacing w:before="50" w:after="50"/>
              <w:jc w:val="center"/>
            </w:pPr>
            <w:r w:rsidRPr="00256982">
              <w:t>±40</w:t>
            </w:r>
          </w:p>
        </w:tc>
      </w:tr>
      <w:tr w:rsidR="00005A00" w:rsidRPr="00256982" w14:paraId="143728D5" w14:textId="77777777" w:rsidTr="00AA14F1">
        <w:tc>
          <w:tcPr>
            <w:tcW w:w="2835" w:type="dxa"/>
            <w:shd w:val="clear" w:color="auto" w:fill="FFFFFF"/>
          </w:tcPr>
          <w:p w14:paraId="7B26ECAE" w14:textId="77777777" w:rsidR="00005A00" w:rsidRPr="00256982" w:rsidRDefault="00005A00" w:rsidP="00AA14F1">
            <w:pPr>
              <w:pStyle w:val="TableText"/>
              <w:spacing w:before="50" w:after="50"/>
              <w:rPr>
                <w:rFonts w:cs="Arial"/>
                <w:bCs/>
              </w:rPr>
            </w:pPr>
            <w:r w:rsidRPr="00256982">
              <w:rPr>
                <w:rFonts w:cs="Arial"/>
                <w:bCs/>
              </w:rPr>
              <w:t>Uncategorised landfills</w:t>
            </w:r>
          </w:p>
        </w:tc>
        <w:tc>
          <w:tcPr>
            <w:tcW w:w="2694" w:type="dxa"/>
            <w:shd w:val="clear" w:color="auto" w:fill="FFFFFF"/>
          </w:tcPr>
          <w:p w14:paraId="1F52D389" w14:textId="77777777" w:rsidR="00005A00" w:rsidRPr="00256982" w:rsidRDefault="00005A00" w:rsidP="00AA14F1">
            <w:pPr>
              <w:pStyle w:val="TableText"/>
              <w:spacing w:before="50" w:after="50"/>
              <w:jc w:val="center"/>
            </w:pPr>
            <w:r w:rsidRPr="00256982">
              <w:t>±40</w:t>
            </w:r>
          </w:p>
        </w:tc>
        <w:tc>
          <w:tcPr>
            <w:tcW w:w="2976" w:type="dxa"/>
            <w:shd w:val="clear" w:color="auto" w:fill="FFFFFF"/>
          </w:tcPr>
          <w:p w14:paraId="478A0037" w14:textId="77777777" w:rsidR="00005A00" w:rsidRPr="00256982" w:rsidRDefault="00005A00" w:rsidP="00AA14F1">
            <w:pPr>
              <w:pStyle w:val="TableText"/>
              <w:spacing w:before="50" w:after="50"/>
              <w:jc w:val="center"/>
            </w:pPr>
            <w:r w:rsidRPr="00256982">
              <w:t>±40</w:t>
            </w:r>
          </w:p>
        </w:tc>
      </w:tr>
      <w:tr w:rsidR="00005A00" w:rsidRPr="00256982" w14:paraId="3FC337E8" w14:textId="77777777" w:rsidTr="00AA14F1">
        <w:tc>
          <w:tcPr>
            <w:tcW w:w="2835" w:type="dxa"/>
            <w:shd w:val="clear" w:color="auto" w:fill="FFFFFF"/>
          </w:tcPr>
          <w:p w14:paraId="2326279B" w14:textId="77777777" w:rsidR="00005A00" w:rsidRPr="00256982" w:rsidRDefault="00005A00" w:rsidP="00AA14F1">
            <w:pPr>
              <w:pStyle w:val="TableText"/>
              <w:spacing w:before="50" w:after="50"/>
              <w:rPr>
                <w:rFonts w:cs="Arial"/>
                <w:bCs/>
              </w:rPr>
            </w:pPr>
            <w:r w:rsidRPr="00256982">
              <w:rPr>
                <w:rFonts w:cs="Arial"/>
                <w:bCs/>
              </w:rPr>
              <w:t>Overall uncertainty in CH</w:t>
            </w:r>
            <w:r w:rsidRPr="00256982">
              <w:rPr>
                <w:rFonts w:cs="Arial"/>
                <w:bCs/>
                <w:vertAlign w:val="subscript"/>
              </w:rPr>
              <w:t>4</w:t>
            </w:r>
            <w:r w:rsidRPr="00256982">
              <w:rPr>
                <w:rFonts w:cs="Arial"/>
                <w:bCs/>
              </w:rPr>
              <w:t xml:space="preserve"> emissions</w:t>
            </w:r>
          </w:p>
        </w:tc>
        <w:tc>
          <w:tcPr>
            <w:tcW w:w="2694" w:type="dxa"/>
            <w:shd w:val="clear" w:color="auto" w:fill="FFFFFF"/>
          </w:tcPr>
          <w:p w14:paraId="09CA2FF1" w14:textId="77777777" w:rsidR="00005A00" w:rsidRPr="00256982" w:rsidRDefault="00005A00" w:rsidP="00AA14F1">
            <w:pPr>
              <w:pStyle w:val="TableText"/>
              <w:spacing w:before="50" w:after="50"/>
              <w:jc w:val="center"/>
            </w:pPr>
            <w:r w:rsidRPr="00256982">
              <w:t>±92</w:t>
            </w:r>
          </w:p>
        </w:tc>
        <w:tc>
          <w:tcPr>
            <w:tcW w:w="2976" w:type="dxa"/>
            <w:shd w:val="clear" w:color="auto" w:fill="FFFFFF"/>
          </w:tcPr>
          <w:p w14:paraId="2C9DE0BB" w14:textId="77777777" w:rsidR="00005A00" w:rsidRPr="00256982" w:rsidRDefault="00005A00" w:rsidP="00AA14F1">
            <w:pPr>
              <w:pStyle w:val="TableText"/>
              <w:spacing w:before="50" w:after="50"/>
              <w:jc w:val="center"/>
            </w:pPr>
            <w:r w:rsidRPr="00256982">
              <w:t>±40</w:t>
            </w:r>
          </w:p>
        </w:tc>
      </w:tr>
    </w:tbl>
    <w:p w14:paraId="3F448E2E" w14:textId="77777777" w:rsidR="00005A00" w:rsidRPr="00256982" w:rsidRDefault="00005A00" w:rsidP="00005A00">
      <w:pPr>
        <w:pStyle w:val="Heading4"/>
        <w:spacing w:before="360"/>
      </w:pPr>
      <w:r w:rsidRPr="00256982">
        <w:t>Time-series consistency</w:t>
      </w:r>
    </w:p>
    <w:p w14:paraId="440F5ED1" w14:textId="77777777" w:rsidR="00005A00" w:rsidRPr="00256982" w:rsidRDefault="00005A00" w:rsidP="00005A00">
      <w:pPr>
        <w:pStyle w:val="BodyText"/>
        <w:rPr>
          <w:spacing w:val="-2"/>
        </w:rPr>
      </w:pPr>
      <w:r w:rsidRPr="00256982">
        <w:rPr>
          <w:spacing w:val="-2"/>
        </w:rPr>
        <w:t xml:space="preserve">As a result of substantial changes in waste disposal practices over time (including closure of the majority of landfill sites that were operating in 1990), the move to waste levy and NZ ETS reporting and ongoing improvement in the quality and completeness of activity data for </w:t>
      </w:r>
      <w:r w:rsidRPr="00256982">
        <w:rPr>
          <w:i/>
          <w:spacing w:val="-2"/>
        </w:rPr>
        <w:t>Solid waste disposal</w:t>
      </w:r>
      <w:r w:rsidRPr="00256982">
        <w:rPr>
          <w:spacing w:val="-2"/>
        </w:rPr>
        <w:t xml:space="preserve">, the basis for calculating emissions has changed significantly. However, these changes have had little effect on the apparent consistency of data or the implied emission factors, because they have occurred gradually and they affect </w:t>
      </w:r>
      <w:r w:rsidRPr="00256982">
        <w:rPr>
          <w:rFonts w:cs="Arial"/>
          <w:bCs/>
          <w:spacing w:val="-2"/>
        </w:rPr>
        <w:t>CH</w:t>
      </w:r>
      <w:r w:rsidRPr="00256982">
        <w:rPr>
          <w:rFonts w:cs="Arial"/>
          <w:bCs/>
          <w:spacing w:val="-2"/>
          <w:vertAlign w:val="subscript"/>
        </w:rPr>
        <w:t>4</w:t>
      </w:r>
      <w:r w:rsidRPr="00256982">
        <w:rPr>
          <w:spacing w:val="-2"/>
        </w:rPr>
        <w:t xml:space="preserve"> emissions over a long period.</w:t>
      </w:r>
    </w:p>
    <w:p w14:paraId="1CB5452E" w14:textId="77777777" w:rsidR="00005A00" w:rsidRPr="00256982" w:rsidRDefault="00005A00" w:rsidP="00005A00">
      <w:pPr>
        <w:pStyle w:val="Heading3"/>
        <w:spacing w:before="280"/>
      </w:pPr>
      <w:r w:rsidRPr="00256982">
        <w:t>7.2.4</w:t>
      </w:r>
      <w:r w:rsidRPr="00256982">
        <w:tab/>
        <w:t>Source-specific QA/QC verification</w:t>
      </w:r>
    </w:p>
    <w:p w14:paraId="712BB399" w14:textId="77777777" w:rsidR="00005A00" w:rsidRPr="00256982" w:rsidRDefault="00005A00" w:rsidP="00005A00">
      <w:pPr>
        <w:pStyle w:val="BodyText"/>
      </w:pPr>
      <w:r w:rsidRPr="00256982">
        <w:rPr>
          <w:i/>
        </w:rPr>
        <w:t>Solid waste disposal</w:t>
      </w:r>
      <w:r w:rsidRPr="00256982">
        <w:t xml:space="preserve"> is a key category. In the preparation of this submission, the data for this category underwent Tier 1 quality checks.</w:t>
      </w:r>
    </w:p>
    <w:p w14:paraId="3495F622" w14:textId="77777777" w:rsidR="00005A00" w:rsidRPr="00256982" w:rsidRDefault="00005A00" w:rsidP="00005A00">
      <w:pPr>
        <w:pStyle w:val="Heading3"/>
      </w:pPr>
      <w:r w:rsidRPr="00256982">
        <w:lastRenderedPageBreak/>
        <w:t>7.2.5</w:t>
      </w:r>
      <w:r w:rsidRPr="00256982">
        <w:tab/>
        <w:t>Source-specific recalculations</w:t>
      </w:r>
    </w:p>
    <w:p w14:paraId="7810526F" w14:textId="77777777" w:rsidR="00005A00" w:rsidRPr="00256982" w:rsidRDefault="00005A00" w:rsidP="00005A00">
      <w:pPr>
        <w:pStyle w:val="BodyText"/>
        <w:spacing w:after="100"/>
      </w:pPr>
      <w:r w:rsidRPr="00256982">
        <w:t xml:space="preserve">Several corrections and improvements have been made within the </w:t>
      </w:r>
      <w:r w:rsidRPr="00256982">
        <w:rPr>
          <w:i/>
        </w:rPr>
        <w:t xml:space="preserve">Solid waste disposal </w:t>
      </w:r>
      <w:r w:rsidRPr="00256982">
        <w:t>category, leading to recalculations of estimates for the full time series in the 2019 submission. Overall, recalculations and improvements have resulted in an increase to emissions in 1990 of 200.5 kt CO</w:t>
      </w:r>
      <w:r w:rsidRPr="00256982">
        <w:rPr>
          <w:vertAlign w:val="subscript"/>
        </w:rPr>
        <w:t>2</w:t>
      </w:r>
      <w:r w:rsidRPr="00256982">
        <w:t>-e and an increase of 285.1 kt CO</w:t>
      </w:r>
      <w:r w:rsidRPr="00256982">
        <w:rPr>
          <w:vertAlign w:val="subscript"/>
        </w:rPr>
        <w:t>2</w:t>
      </w:r>
      <w:r w:rsidRPr="00256982">
        <w:t>-e in 2016.</w:t>
      </w:r>
    </w:p>
    <w:p w14:paraId="25377598" w14:textId="77777777" w:rsidR="00005A00" w:rsidRPr="00256982" w:rsidRDefault="00005A00" w:rsidP="00005A00">
      <w:pPr>
        <w:pStyle w:val="BodyText"/>
        <w:spacing w:after="100"/>
      </w:pPr>
      <w:r w:rsidRPr="00256982">
        <w:t>The largest change is a correction made to the calculation of emissions from managed landfills without LFG recovery. Previous submissions applied the incorrect DOC to activity data from 1975 onwards. The correction to the DOC has increased emissions from this source across the entire time series, with the greatest increase in 2006, at 457.3 kt CO</w:t>
      </w:r>
      <w:r w:rsidRPr="00256982">
        <w:rPr>
          <w:vertAlign w:val="subscript"/>
        </w:rPr>
        <w:t>2</w:t>
      </w:r>
      <w:r w:rsidRPr="00256982">
        <w:t>-e (up to 64.3 per cent).</w:t>
      </w:r>
    </w:p>
    <w:p w14:paraId="5BA71911" w14:textId="77777777" w:rsidR="00005A00" w:rsidRPr="00256982" w:rsidRDefault="00005A00" w:rsidP="00005A00">
      <w:pPr>
        <w:pStyle w:val="BodyText"/>
        <w:spacing w:after="100"/>
      </w:pPr>
      <w:r w:rsidRPr="00256982">
        <w:t>The next largest change is a complete recalculation of emissions from uncategorised landfills (5.A.3) for transparency of methodology and consistency of activity data with 5.A.1, which has reduced emissions by 41.8 kt CO</w:t>
      </w:r>
      <w:r w:rsidRPr="00256982">
        <w:rPr>
          <w:vertAlign w:val="subscript"/>
        </w:rPr>
        <w:t>2</w:t>
      </w:r>
      <w:r w:rsidRPr="00256982">
        <w:t>-e (10.2 per cent) in 1990 and reduced by 10.2 kt CO</w:t>
      </w:r>
      <w:r w:rsidRPr="00256982">
        <w:rPr>
          <w:vertAlign w:val="subscript"/>
        </w:rPr>
        <w:t>2</w:t>
      </w:r>
      <w:r w:rsidRPr="00256982">
        <w:t>-e (24.1 per cent) in 2016.</w:t>
      </w:r>
    </w:p>
    <w:p w14:paraId="34797AA4" w14:textId="77777777" w:rsidR="00005A00" w:rsidRPr="00256982" w:rsidRDefault="00005A00" w:rsidP="00005A00">
      <w:pPr>
        <w:pStyle w:val="BodyText"/>
        <w:spacing w:after="100"/>
      </w:pPr>
      <w:r w:rsidRPr="00256982">
        <w:t>Further smaller changes made for the 2019 submission are:</w:t>
      </w:r>
    </w:p>
    <w:p w14:paraId="3362BAC6" w14:textId="77777777" w:rsidR="00005A00" w:rsidRPr="00256982" w:rsidRDefault="00005A00" w:rsidP="00005A00">
      <w:pPr>
        <w:pStyle w:val="Bullet"/>
        <w:numPr>
          <w:ilvl w:val="0"/>
          <w:numId w:val="8"/>
        </w:numPr>
      </w:pPr>
      <w:r w:rsidRPr="00256982">
        <w:t>an improvement in CH</w:t>
      </w:r>
      <w:r w:rsidRPr="00256982">
        <w:rPr>
          <w:vertAlign w:val="subscript"/>
        </w:rPr>
        <w:t>4</w:t>
      </w:r>
      <w:r w:rsidRPr="00256982">
        <w:t xml:space="preserve"> recovery rate data for managed landfills with LFG recovery (within 5.A.1) by using data from the NZ ETS for 2014–17</w:t>
      </w:r>
    </w:p>
    <w:p w14:paraId="6DA4058F" w14:textId="77777777" w:rsidR="00005A00" w:rsidRPr="00256982" w:rsidRDefault="00005A00" w:rsidP="00005A00">
      <w:pPr>
        <w:pStyle w:val="Bullet"/>
        <w:numPr>
          <w:ilvl w:val="0"/>
          <w:numId w:val="8"/>
        </w:numPr>
      </w:pPr>
      <w:r w:rsidRPr="00256982">
        <w:t>revising placement data for 2010–17 for managed landfills (5.A.1) and uncategorised landfills (5.A.3) using the latest activity data from the waste levy</w:t>
      </w:r>
    </w:p>
    <w:p w14:paraId="487631AA" w14:textId="77777777" w:rsidR="00005A00" w:rsidRPr="00256982" w:rsidRDefault="00005A00" w:rsidP="00005A00">
      <w:pPr>
        <w:pStyle w:val="Bullet"/>
        <w:numPr>
          <w:ilvl w:val="0"/>
          <w:numId w:val="8"/>
        </w:numPr>
      </w:pPr>
      <w:r w:rsidRPr="00256982">
        <w:t xml:space="preserve">the inclusion of the 2017 agricultural census for average farm distributions for each region for emissions from the </w:t>
      </w:r>
      <w:r w:rsidRPr="00256982">
        <w:rPr>
          <w:i/>
        </w:rPr>
        <w:t>Unmanaged waste disposal sites</w:t>
      </w:r>
      <w:r w:rsidRPr="00256982">
        <w:t xml:space="preserve"> category (5.A.2), which results in recalculating the entire time series.</w:t>
      </w:r>
    </w:p>
    <w:p w14:paraId="795C2431" w14:textId="77777777" w:rsidR="00005A00" w:rsidRPr="00256982" w:rsidRDefault="00005A00" w:rsidP="00005A00">
      <w:pPr>
        <w:pStyle w:val="Bullet"/>
        <w:numPr>
          <w:ilvl w:val="0"/>
          <w:numId w:val="0"/>
        </w:numPr>
      </w:pPr>
      <w:r w:rsidRPr="00256982">
        <w:t>Recalculations are described in greater detail in chapter 10 of this submission.</w:t>
      </w:r>
    </w:p>
    <w:p w14:paraId="5EE5590B" w14:textId="77777777" w:rsidR="00005A00" w:rsidRPr="00256982" w:rsidRDefault="00005A00" w:rsidP="00005A00">
      <w:pPr>
        <w:pStyle w:val="Heading3"/>
      </w:pPr>
      <w:r w:rsidRPr="00256982">
        <w:t>7.2.6</w:t>
      </w:r>
      <w:r w:rsidRPr="00256982">
        <w:tab/>
        <w:t>Source-specific planned improvements</w:t>
      </w:r>
    </w:p>
    <w:p w14:paraId="1F95F4E8" w14:textId="77777777" w:rsidR="00005A00" w:rsidRPr="00256982" w:rsidRDefault="00005A00" w:rsidP="00005A00">
      <w:pPr>
        <w:pStyle w:val="BodyText"/>
      </w:pPr>
      <w:r w:rsidRPr="00256982">
        <w:t xml:space="preserve">Several areas in the </w:t>
      </w:r>
      <w:r w:rsidRPr="00256982">
        <w:rPr>
          <w:i/>
        </w:rPr>
        <w:t>Solid waste disposal</w:t>
      </w:r>
      <w:r w:rsidRPr="00256982">
        <w:t xml:space="preserve"> category are being considered for improvements, depending on the availability of budget and resourcing.</w:t>
      </w:r>
    </w:p>
    <w:p w14:paraId="56E13010" w14:textId="77777777" w:rsidR="00005A00" w:rsidRPr="00256982" w:rsidRDefault="00005A00" w:rsidP="00005A00">
      <w:pPr>
        <w:pStyle w:val="BodyText"/>
        <w:rPr>
          <w:i/>
        </w:rPr>
      </w:pPr>
      <w:r w:rsidRPr="00256982">
        <w:t xml:space="preserve">New Zealand is planning to review data and methods for the </w:t>
      </w:r>
      <w:r w:rsidRPr="00256982">
        <w:rPr>
          <w:i/>
        </w:rPr>
        <w:t>Managed solid waste disposal sites</w:t>
      </w:r>
      <w:r w:rsidRPr="00256982">
        <w:t xml:space="preserve"> category in 2019. This review aims to address some of the issues for this category, including CH</w:t>
      </w:r>
      <w:r w:rsidRPr="00256982">
        <w:rPr>
          <w:vertAlign w:val="subscript"/>
        </w:rPr>
        <w:t>4</w:t>
      </w:r>
      <w:r w:rsidRPr="00256982">
        <w:t xml:space="preserve"> recovery rates and k-values. The review efforts will focus on areas that have the most potential for improvement.</w:t>
      </w:r>
    </w:p>
    <w:p w14:paraId="17FDB01B" w14:textId="77777777" w:rsidR="00005A00" w:rsidRPr="00256982" w:rsidRDefault="00005A00" w:rsidP="00005A00">
      <w:pPr>
        <w:pStyle w:val="BodyText"/>
      </w:pPr>
      <w:r w:rsidRPr="00256982">
        <w:t>Regional councils in Canterbury, Waikato and other regions are likely to continue to carry out surveys and other research on farm waste disposal over time. As and when better activity data become available, they will be used to improve the estimates of waste disposal on farms, which is the largest source of emissions in the Waste sector.</w:t>
      </w:r>
    </w:p>
    <w:p w14:paraId="7A59AA90" w14:textId="77777777" w:rsidR="00005A00" w:rsidRPr="00256982" w:rsidRDefault="00005A00" w:rsidP="00005A00">
      <w:pPr>
        <w:pStyle w:val="BodyText"/>
        <w:rPr>
          <w:spacing w:val="-2"/>
        </w:rPr>
      </w:pPr>
      <w:r w:rsidRPr="00256982">
        <w:t>Emissions of car</w:t>
      </w:r>
      <w:r w:rsidRPr="00256982">
        <w:rPr>
          <w:spacing w:val="-2"/>
        </w:rPr>
        <w:t>bon monoxide, oxides of nitrogen and non-methane volatile organic compounds for landfills have not been estimated for this submission. These emissions are considered likely to be immaterial, but the inventory agency will consider estimating them for future submissions.</w:t>
      </w:r>
    </w:p>
    <w:p w14:paraId="5CF13D56" w14:textId="77777777" w:rsidR="00005A00" w:rsidRPr="00256982" w:rsidRDefault="00005A00" w:rsidP="00005A00">
      <w:pPr>
        <w:pStyle w:val="Heading2"/>
        <w:spacing w:before="280"/>
      </w:pPr>
      <w:bookmarkStart w:id="2339" w:name="_Toc448321549"/>
      <w:bookmarkStart w:id="2340" w:name="_Toc481751411"/>
      <w:bookmarkStart w:id="2341" w:name="_Toc511116626"/>
      <w:bookmarkStart w:id="2342" w:name="_Toc5269388"/>
      <w:r w:rsidRPr="00256982">
        <w:t>7.3</w:t>
      </w:r>
      <w:r w:rsidRPr="00256982">
        <w:tab/>
        <w:t>Biological treatment of solid waste (5.B)</w:t>
      </w:r>
      <w:bookmarkEnd w:id="2339"/>
      <w:bookmarkEnd w:id="2340"/>
      <w:bookmarkEnd w:id="2341"/>
      <w:bookmarkEnd w:id="2342"/>
    </w:p>
    <w:p w14:paraId="2DCB0328" w14:textId="77777777" w:rsidR="00005A00" w:rsidRPr="00256982" w:rsidRDefault="00005A00" w:rsidP="00005A00">
      <w:pPr>
        <w:pStyle w:val="Heading3"/>
        <w:spacing w:before="240"/>
      </w:pPr>
      <w:r w:rsidRPr="00256982">
        <w:t xml:space="preserve">7.3.1 </w:t>
      </w:r>
      <w:r w:rsidRPr="00256982">
        <w:tab/>
        <w:t>Description</w:t>
      </w:r>
    </w:p>
    <w:p w14:paraId="6044D31F" w14:textId="77777777" w:rsidR="00005A00" w:rsidRPr="00256982" w:rsidRDefault="00005A00" w:rsidP="00005A00">
      <w:pPr>
        <w:pStyle w:val="BodyText"/>
        <w:rPr>
          <w:lang w:eastAsia="en-NZ"/>
        </w:rPr>
      </w:pPr>
      <w:r w:rsidRPr="00256982">
        <w:rPr>
          <w:lang w:eastAsia="en-NZ"/>
        </w:rPr>
        <w:t xml:space="preserve">New Zealand has seen an increase in the use of commercial-scale composting of solid waste in recent years, in addition to ongoing household-scale composting of solid waste. Emissions from </w:t>
      </w:r>
      <w:r w:rsidRPr="00256982">
        <w:rPr>
          <w:lang w:eastAsia="en-NZ"/>
        </w:rPr>
        <w:lastRenderedPageBreak/>
        <w:t>composting are reported for the first time in the 2019 submission in 5.B.1. No other biological treatment of solid waste occurs in New Zealand.</w:t>
      </w:r>
    </w:p>
    <w:p w14:paraId="4B6431F0" w14:textId="62C71C18" w:rsidR="00005A00" w:rsidRPr="00256982" w:rsidRDefault="00005A00" w:rsidP="00005A00">
      <w:pPr>
        <w:pStyle w:val="BodyText"/>
      </w:pPr>
      <w:r w:rsidRPr="00256982">
        <w:t xml:space="preserve">In 2017, </w:t>
      </w:r>
      <w:r w:rsidRPr="00256982">
        <w:rPr>
          <w:i/>
        </w:rPr>
        <w:t>Biological treatment of solid waste</w:t>
      </w:r>
      <w:r w:rsidRPr="00256982">
        <w:t xml:space="preserve"> accounted for 30.0 kt CO</w:t>
      </w:r>
      <w:r w:rsidRPr="00256982">
        <w:rPr>
          <w:vertAlign w:val="subscript"/>
        </w:rPr>
        <w:t>2</w:t>
      </w:r>
      <w:r w:rsidRPr="00256982">
        <w:t>-e (0.7 per cent) of Waste sector emissions. This was an increase of 25.3 kt CO</w:t>
      </w:r>
      <w:r w:rsidRPr="00256982">
        <w:rPr>
          <w:vertAlign w:val="subscript"/>
        </w:rPr>
        <w:t>2</w:t>
      </w:r>
      <w:r w:rsidRPr="00256982">
        <w:t>-e (538.2 per cent) above the 1990 level of 4.7 kt CO</w:t>
      </w:r>
      <w:r w:rsidRPr="00256982">
        <w:rPr>
          <w:vertAlign w:val="subscript"/>
        </w:rPr>
        <w:t>2</w:t>
      </w:r>
      <w:r w:rsidRPr="00256982">
        <w:t>-e, and an increase of 3.7 kt CO</w:t>
      </w:r>
      <w:r w:rsidRPr="00256982">
        <w:rPr>
          <w:vertAlign w:val="subscript"/>
        </w:rPr>
        <w:t>2</w:t>
      </w:r>
      <w:r w:rsidRPr="00256982">
        <w:t>-e (14.0 per cent) from 2016.</w:t>
      </w:r>
    </w:p>
    <w:p w14:paraId="5DDCB0AF" w14:textId="77777777" w:rsidR="00005A00" w:rsidRPr="00256982" w:rsidRDefault="00005A00" w:rsidP="00225354">
      <w:pPr>
        <w:pStyle w:val="Heading3"/>
        <w:spacing w:before="280"/>
      </w:pPr>
      <w:r w:rsidRPr="00256982">
        <w:t>7.3.2</w:t>
      </w:r>
      <w:r w:rsidRPr="00256982">
        <w:tab/>
        <w:t>Methodological issues</w:t>
      </w:r>
    </w:p>
    <w:p w14:paraId="76730402" w14:textId="77777777" w:rsidR="00005A00" w:rsidRPr="00256982" w:rsidRDefault="00005A00" w:rsidP="00005A00">
      <w:pPr>
        <w:pStyle w:val="Heading4"/>
      </w:pPr>
      <w:r w:rsidRPr="00256982">
        <w:t>Choice of activity data</w:t>
      </w:r>
    </w:p>
    <w:p w14:paraId="356DCA25" w14:textId="77777777" w:rsidR="00005A00" w:rsidRPr="00256982" w:rsidRDefault="00005A00" w:rsidP="00005A00">
      <w:pPr>
        <w:pStyle w:val="BodyText"/>
        <w:rPr>
          <w:rFonts w:eastAsia="+mn-ea"/>
        </w:rPr>
      </w:pPr>
      <w:r w:rsidRPr="00256982">
        <w:rPr>
          <w:rFonts w:eastAsia="+mn-ea"/>
        </w:rPr>
        <w:t xml:space="preserve">Activity data has been estimated based on expert judgement, in part using evidence of large-scale commercial composting operating around New Zealand. Between 1990 and 2009, before large scale commercial composting, it is estimated that an equivalent of 1 per cent of total municipal solid waste was composted </w:t>
      </w:r>
      <w:r w:rsidRPr="00256982">
        <w:rPr>
          <w:lang w:eastAsia="en-NZ"/>
        </w:rPr>
        <w:t>(refer to the total solid waste reported in table 7.2.2).</w:t>
      </w:r>
      <w:r w:rsidRPr="00256982">
        <w:rPr>
          <w:rFonts w:eastAsia="+mn-ea"/>
        </w:rPr>
        <w:t xml:space="preserve"> Between 2009 and 2017, this fraction increased by 0.5 percentage points per year, with an equivalent of 5 per cent being composted in 2017. This reflects the increase in commercial scale composting estimated since 2010. Activity data for composting can be derived from table 7.2.2 using this description.</w:t>
      </w:r>
    </w:p>
    <w:p w14:paraId="4FF0CC60" w14:textId="77777777" w:rsidR="00005A00" w:rsidRPr="00256982" w:rsidRDefault="00005A00" w:rsidP="00005A00">
      <w:pPr>
        <w:pStyle w:val="BodyText"/>
        <w:rPr>
          <w:rFonts w:eastAsia="+mn-ea"/>
        </w:rPr>
      </w:pPr>
      <w:r w:rsidRPr="00256982">
        <w:rPr>
          <w:rFonts w:eastAsia="+mn-ea"/>
        </w:rPr>
        <w:t>It is assumed that the increase in composted waste over time has not affected the composition of landfill waste since 2012, as per table 7.2.4, where the composition of waste sent to landfill is assumed to be constant from 2012 in the absence of more recent data. Because most composted waste is likely to be diverted from managed landfills where it would otherwise be disposed of, it is possible that landfill emissions could be lower than reported. This reduction in landfill emissions would be driven by changes to the average composition of waste disposed to managed landfills. The risk of double-counting is small because food waste has a similar DOC to the overall DOC, which means reducing the food waste proportion has a minimal effect on the overall DOC. Furthermore, the composition of waste disposed at managed landfills will be updated over time as more recent data on the composition of landfill waste become available.</w:t>
      </w:r>
    </w:p>
    <w:p w14:paraId="63DD5E08" w14:textId="77777777" w:rsidR="00005A00" w:rsidRPr="00256982" w:rsidRDefault="00005A00" w:rsidP="00005A00">
      <w:pPr>
        <w:pStyle w:val="Heading4"/>
      </w:pPr>
      <w:r w:rsidRPr="00256982">
        <w:t>Choice of methods</w:t>
      </w:r>
    </w:p>
    <w:p w14:paraId="3E6D4CF8" w14:textId="77777777" w:rsidR="00005A00" w:rsidRPr="00256982" w:rsidRDefault="00005A00" w:rsidP="00005A00">
      <w:pPr>
        <w:pStyle w:val="BodyText"/>
      </w:pPr>
      <w:r w:rsidRPr="00256982">
        <w:t>Estimates of direct emissions from the composting of solid waste are made using the default Tier 1 methodology (IPCC, 2006a).</w:t>
      </w:r>
    </w:p>
    <w:p w14:paraId="022EADCC" w14:textId="77777777" w:rsidR="00005A00" w:rsidRPr="00256982" w:rsidRDefault="00005A00" w:rsidP="00005A00">
      <w:pPr>
        <w:pStyle w:val="Heading4"/>
      </w:pPr>
      <w:r w:rsidRPr="00256982">
        <w:t>Choice of emission factors</w:t>
      </w:r>
    </w:p>
    <w:p w14:paraId="53CE2D92" w14:textId="77777777" w:rsidR="00005A00" w:rsidRPr="00256982" w:rsidRDefault="00005A00" w:rsidP="00005A00">
      <w:pPr>
        <w:pStyle w:val="BodyText"/>
      </w:pPr>
      <w:r w:rsidRPr="00256982">
        <w:t>IPCC default parameters are used, as detailed in table 7.3.1.</w:t>
      </w:r>
    </w:p>
    <w:p w14:paraId="27B7184E" w14:textId="77777777" w:rsidR="00005A00" w:rsidRPr="00256982" w:rsidRDefault="00005A00" w:rsidP="00005A00">
      <w:pPr>
        <w:pStyle w:val="Table"/>
      </w:pPr>
      <w:bookmarkStart w:id="2343" w:name="_Toc5269570"/>
      <w:r w:rsidRPr="00256982">
        <w:t xml:space="preserve">Table 7.3.1 </w:t>
      </w:r>
      <w:r w:rsidRPr="00256982">
        <w:tab/>
        <w:t>Emission factors applied to estimate emissions from composting</w:t>
      </w:r>
      <w:bookmarkEnd w:id="2343"/>
    </w:p>
    <w:tbl>
      <w:tblPr>
        <w:tblW w:w="8613" w:type="dxa"/>
        <w:tblInd w:w="108" w:type="dxa"/>
        <w:tblLook w:val="04A0" w:firstRow="1" w:lastRow="0" w:firstColumn="1" w:lastColumn="0" w:noHBand="0" w:noVBand="1"/>
      </w:tblPr>
      <w:tblGrid>
        <w:gridCol w:w="3501"/>
        <w:gridCol w:w="2625"/>
        <w:gridCol w:w="2487"/>
      </w:tblGrid>
      <w:tr w:rsidR="00005A00" w:rsidRPr="00256982" w14:paraId="3600E169" w14:textId="77777777" w:rsidTr="00AA14F1">
        <w:tc>
          <w:tcPr>
            <w:tcW w:w="3501" w:type="dxa"/>
            <w:tcBorders>
              <w:top w:val="single" w:sz="4" w:space="0" w:color="365F91"/>
              <w:bottom w:val="single" w:sz="4" w:space="0" w:color="365F91"/>
            </w:tcBorders>
            <w:shd w:val="clear" w:color="auto" w:fill="365F91"/>
          </w:tcPr>
          <w:p w14:paraId="362C1FC9" w14:textId="77777777" w:rsidR="00005A00" w:rsidRPr="00256982" w:rsidRDefault="00005A00" w:rsidP="00AA14F1">
            <w:pPr>
              <w:pStyle w:val="TableTextBold"/>
              <w:spacing w:before="50" w:after="50"/>
              <w:rPr>
                <w:noProof w:val="0"/>
                <w:color w:val="FFFFFF"/>
              </w:rPr>
            </w:pPr>
            <w:r w:rsidRPr="00256982">
              <w:rPr>
                <w:noProof w:val="0"/>
                <w:color w:val="FFFFFF"/>
              </w:rPr>
              <w:t>Emission factor for composting</w:t>
            </w:r>
          </w:p>
        </w:tc>
        <w:tc>
          <w:tcPr>
            <w:tcW w:w="2625" w:type="dxa"/>
            <w:tcBorders>
              <w:top w:val="single" w:sz="4" w:space="0" w:color="365F91"/>
              <w:bottom w:val="single" w:sz="4" w:space="0" w:color="365F91"/>
            </w:tcBorders>
            <w:shd w:val="clear" w:color="auto" w:fill="365F91"/>
          </w:tcPr>
          <w:p w14:paraId="55CC2561" w14:textId="77777777" w:rsidR="00005A00" w:rsidRPr="00256982" w:rsidRDefault="00005A00" w:rsidP="00AA14F1">
            <w:pPr>
              <w:pStyle w:val="TableTextBold"/>
              <w:spacing w:before="50" w:after="50"/>
              <w:rPr>
                <w:noProof w:val="0"/>
                <w:color w:val="FFFFFF"/>
              </w:rPr>
            </w:pPr>
            <w:r w:rsidRPr="00256982">
              <w:rPr>
                <w:noProof w:val="0"/>
                <w:color w:val="FFFFFF"/>
              </w:rPr>
              <w:t>Emission factor (g/kg)</w:t>
            </w:r>
          </w:p>
        </w:tc>
        <w:tc>
          <w:tcPr>
            <w:tcW w:w="2487" w:type="dxa"/>
            <w:tcBorders>
              <w:top w:val="single" w:sz="4" w:space="0" w:color="365F91"/>
              <w:bottom w:val="single" w:sz="4" w:space="0" w:color="365F91"/>
            </w:tcBorders>
            <w:shd w:val="clear" w:color="auto" w:fill="365F91"/>
          </w:tcPr>
          <w:p w14:paraId="13C2DF65" w14:textId="77777777" w:rsidR="00005A00" w:rsidRPr="00256982" w:rsidRDefault="00005A00" w:rsidP="00AA14F1">
            <w:pPr>
              <w:pStyle w:val="TableTextBold"/>
              <w:spacing w:before="50" w:after="50"/>
              <w:rPr>
                <w:noProof w:val="0"/>
                <w:color w:val="FFFFFF"/>
              </w:rPr>
            </w:pPr>
            <w:r w:rsidRPr="00256982">
              <w:rPr>
                <w:noProof w:val="0"/>
                <w:color w:val="FFFFFF"/>
              </w:rPr>
              <w:t>Source</w:t>
            </w:r>
          </w:p>
        </w:tc>
      </w:tr>
      <w:tr w:rsidR="00005A00" w:rsidRPr="00256982" w14:paraId="2A627265" w14:textId="77777777" w:rsidTr="00AA14F1">
        <w:tc>
          <w:tcPr>
            <w:tcW w:w="3501" w:type="dxa"/>
            <w:tcBorders>
              <w:top w:val="single" w:sz="4" w:space="0" w:color="365F91"/>
              <w:bottom w:val="single" w:sz="4" w:space="0" w:color="365F91"/>
            </w:tcBorders>
          </w:tcPr>
          <w:p w14:paraId="5AD44A11" w14:textId="77777777" w:rsidR="00005A00" w:rsidRPr="00256982" w:rsidRDefault="00005A00" w:rsidP="00AA14F1">
            <w:pPr>
              <w:pStyle w:val="TableText"/>
              <w:spacing w:before="50" w:after="50"/>
            </w:pPr>
            <w:r w:rsidRPr="00256982">
              <w:t>Methane</w:t>
            </w:r>
          </w:p>
        </w:tc>
        <w:tc>
          <w:tcPr>
            <w:tcW w:w="2625" w:type="dxa"/>
            <w:tcBorders>
              <w:top w:val="single" w:sz="4" w:space="0" w:color="365F91"/>
              <w:bottom w:val="single" w:sz="4" w:space="0" w:color="365F91"/>
            </w:tcBorders>
          </w:tcPr>
          <w:p w14:paraId="1D2A4E9C" w14:textId="77777777" w:rsidR="00005A00" w:rsidRPr="00256982" w:rsidRDefault="00005A00" w:rsidP="00AA14F1">
            <w:pPr>
              <w:pStyle w:val="TableText"/>
              <w:spacing w:before="50" w:after="50"/>
              <w:ind w:right="373"/>
              <w:jc w:val="center"/>
              <w:rPr>
                <w:rFonts w:cs="Arial"/>
                <w:szCs w:val="16"/>
              </w:rPr>
            </w:pPr>
            <w:r w:rsidRPr="00256982">
              <w:t>4</w:t>
            </w:r>
          </w:p>
        </w:tc>
        <w:tc>
          <w:tcPr>
            <w:tcW w:w="2487" w:type="dxa"/>
            <w:tcBorders>
              <w:top w:val="single" w:sz="4" w:space="0" w:color="365F91"/>
              <w:bottom w:val="single" w:sz="4" w:space="0" w:color="365F91"/>
            </w:tcBorders>
          </w:tcPr>
          <w:p w14:paraId="7B1687BE" w14:textId="77777777" w:rsidR="00005A00" w:rsidRPr="00256982" w:rsidRDefault="00005A00" w:rsidP="00AA14F1">
            <w:pPr>
              <w:pStyle w:val="TableText"/>
              <w:spacing w:before="50" w:after="50"/>
              <w:ind w:right="373"/>
              <w:rPr>
                <w:rFonts w:cs="Arial"/>
                <w:szCs w:val="16"/>
              </w:rPr>
            </w:pPr>
            <w:r w:rsidRPr="00256982">
              <w:rPr>
                <w:rFonts w:cs="Arial"/>
                <w:szCs w:val="16"/>
              </w:rPr>
              <w:t>IPCC (2006a)</w:t>
            </w:r>
          </w:p>
        </w:tc>
      </w:tr>
      <w:tr w:rsidR="00005A00" w:rsidRPr="00256982" w14:paraId="4BF9AE6E" w14:textId="77777777" w:rsidTr="00AA14F1">
        <w:tc>
          <w:tcPr>
            <w:tcW w:w="3501" w:type="dxa"/>
            <w:tcBorders>
              <w:top w:val="single" w:sz="4" w:space="0" w:color="365F91"/>
              <w:bottom w:val="single" w:sz="4" w:space="0" w:color="365F91"/>
            </w:tcBorders>
          </w:tcPr>
          <w:p w14:paraId="1DCB5599" w14:textId="77777777" w:rsidR="00005A00" w:rsidRPr="00256982" w:rsidRDefault="00005A00" w:rsidP="00AA14F1">
            <w:pPr>
              <w:pStyle w:val="TableText"/>
              <w:spacing w:before="50" w:after="50"/>
            </w:pPr>
            <w:r w:rsidRPr="00256982">
              <w:t>Nitrous oxide</w:t>
            </w:r>
          </w:p>
        </w:tc>
        <w:tc>
          <w:tcPr>
            <w:tcW w:w="2625" w:type="dxa"/>
            <w:tcBorders>
              <w:top w:val="single" w:sz="4" w:space="0" w:color="365F91"/>
              <w:bottom w:val="single" w:sz="4" w:space="0" w:color="365F91"/>
            </w:tcBorders>
          </w:tcPr>
          <w:p w14:paraId="1C9F9E4F" w14:textId="77777777" w:rsidR="00005A00" w:rsidRPr="00256982" w:rsidRDefault="00005A00" w:rsidP="00AA14F1">
            <w:pPr>
              <w:pStyle w:val="TableText"/>
              <w:spacing w:before="50" w:after="50"/>
              <w:ind w:right="373"/>
              <w:jc w:val="center"/>
              <w:rPr>
                <w:rFonts w:cs="Arial"/>
                <w:szCs w:val="16"/>
              </w:rPr>
            </w:pPr>
            <w:r w:rsidRPr="00256982">
              <w:t>0.24</w:t>
            </w:r>
          </w:p>
        </w:tc>
        <w:tc>
          <w:tcPr>
            <w:tcW w:w="2487" w:type="dxa"/>
            <w:tcBorders>
              <w:top w:val="single" w:sz="4" w:space="0" w:color="365F91"/>
              <w:bottom w:val="single" w:sz="4" w:space="0" w:color="365F91"/>
            </w:tcBorders>
          </w:tcPr>
          <w:p w14:paraId="3288FA5E" w14:textId="77777777" w:rsidR="00005A00" w:rsidRPr="00256982" w:rsidRDefault="00005A00" w:rsidP="00AA14F1">
            <w:pPr>
              <w:pStyle w:val="TableText"/>
              <w:spacing w:before="50" w:after="50"/>
              <w:ind w:right="373"/>
              <w:rPr>
                <w:rFonts w:cs="Arial"/>
                <w:szCs w:val="16"/>
              </w:rPr>
            </w:pPr>
            <w:r w:rsidRPr="00256982">
              <w:rPr>
                <w:rFonts w:cs="Arial"/>
                <w:szCs w:val="16"/>
              </w:rPr>
              <w:t>IPCC (2006a)</w:t>
            </w:r>
          </w:p>
        </w:tc>
      </w:tr>
    </w:tbl>
    <w:p w14:paraId="44A59A56" w14:textId="77777777" w:rsidR="00005A00" w:rsidRPr="00256982" w:rsidRDefault="00005A00" w:rsidP="006F55B5">
      <w:pPr>
        <w:pStyle w:val="BodyText"/>
        <w:spacing w:before="240"/>
        <w:rPr>
          <w:lang w:eastAsia="en-NZ"/>
        </w:rPr>
      </w:pPr>
      <w:r w:rsidRPr="00256982">
        <w:rPr>
          <w:lang w:eastAsia="en-NZ"/>
        </w:rPr>
        <w:t>The emission factors are sourced from table 4.1 of volume 5, chapter 4 of the IPCC guidelines (2006a).</w:t>
      </w:r>
    </w:p>
    <w:p w14:paraId="201EB00F" w14:textId="77777777" w:rsidR="00005A00" w:rsidRPr="00256982" w:rsidRDefault="00005A00" w:rsidP="00005A00">
      <w:pPr>
        <w:pStyle w:val="Heading3"/>
        <w:spacing w:before="280"/>
      </w:pPr>
      <w:bookmarkStart w:id="2344" w:name="_Toc448321550"/>
      <w:bookmarkStart w:id="2345" w:name="_Toc481751412"/>
      <w:bookmarkStart w:id="2346" w:name="_Toc511116627"/>
      <w:r w:rsidRPr="00256982">
        <w:lastRenderedPageBreak/>
        <w:t>7.3.3</w:t>
      </w:r>
      <w:r w:rsidRPr="00256982">
        <w:tab/>
        <w:t>Uncertainties and time-series consistency</w:t>
      </w:r>
    </w:p>
    <w:p w14:paraId="5454E89E" w14:textId="77777777" w:rsidR="00005A00" w:rsidRPr="00256982" w:rsidRDefault="00005A00" w:rsidP="00005A00">
      <w:pPr>
        <w:pStyle w:val="Heading4"/>
        <w:spacing w:before="160"/>
      </w:pPr>
      <w:r w:rsidRPr="00256982">
        <w:t>Uncertainties</w:t>
      </w:r>
    </w:p>
    <w:p w14:paraId="586CE5F1" w14:textId="77777777" w:rsidR="00005A00" w:rsidRPr="00256982" w:rsidRDefault="00005A00" w:rsidP="00005A00">
      <w:pPr>
        <w:pStyle w:val="BodyText"/>
      </w:pPr>
      <w:r w:rsidRPr="00256982">
        <w:t>As per the IPCC recommendation for uncertainties relating to activity data (IPCC, 2006a), when data quality is poor it can vary by more than a factor of two, or ±&gt;100 per cent. In this case, ±100 per cent is applied because, while data quality is poor, there are some data available.</w:t>
      </w:r>
    </w:p>
    <w:p w14:paraId="64BE21A5" w14:textId="77777777" w:rsidR="00005A00" w:rsidRPr="00256982" w:rsidRDefault="00005A00" w:rsidP="00005A00">
      <w:pPr>
        <w:pStyle w:val="BodyText"/>
        <w:rPr>
          <w:lang w:eastAsia="en-NZ"/>
        </w:rPr>
      </w:pPr>
      <w:r w:rsidRPr="00256982">
        <w:rPr>
          <w:lang w:eastAsia="en-NZ"/>
        </w:rPr>
        <w:t>Uncertainties in emission factors are based on the range of the emission factors relative to the default (IPCC, 2006a), and the uncertainty for the default CH</w:t>
      </w:r>
      <w:r w:rsidRPr="00256982">
        <w:rPr>
          <w:vertAlign w:val="subscript"/>
          <w:lang w:eastAsia="en-NZ"/>
        </w:rPr>
        <w:t>4</w:t>
      </w:r>
      <w:r w:rsidRPr="00256982">
        <w:rPr>
          <w:lang w:eastAsia="en-NZ"/>
        </w:rPr>
        <w:t xml:space="preserve"> emission factor is about ±100 per cent. The range for the N</w:t>
      </w:r>
      <w:r w:rsidRPr="00256982">
        <w:rPr>
          <w:vertAlign w:val="subscript"/>
          <w:lang w:eastAsia="en-NZ"/>
        </w:rPr>
        <w:t>2</w:t>
      </w:r>
      <w:r w:rsidRPr="00256982">
        <w:rPr>
          <w:lang w:eastAsia="en-NZ"/>
        </w:rPr>
        <w:t>O emission factor is +150 per cent and –75 per cent, so the uncertainty is given as ±150 per cent.</w:t>
      </w:r>
    </w:p>
    <w:p w14:paraId="6D1DA1A3" w14:textId="77777777" w:rsidR="00005A00" w:rsidRPr="00256982" w:rsidRDefault="00005A00" w:rsidP="00005A00">
      <w:pPr>
        <w:pStyle w:val="BodyText"/>
        <w:rPr>
          <w:lang w:eastAsia="en-NZ"/>
        </w:rPr>
      </w:pPr>
      <w:r w:rsidRPr="00256982">
        <w:rPr>
          <w:lang w:eastAsia="en-NZ"/>
        </w:rPr>
        <w:t>Table 7.3.2 presents uncertainties for composting.</w:t>
      </w:r>
    </w:p>
    <w:p w14:paraId="24CEDD3B" w14:textId="77777777" w:rsidR="00005A00" w:rsidRPr="00256982" w:rsidRDefault="00005A00" w:rsidP="00005A00">
      <w:pPr>
        <w:pStyle w:val="Table"/>
      </w:pPr>
      <w:bookmarkStart w:id="2347" w:name="_Toc5269571"/>
      <w:r w:rsidRPr="00256982">
        <w:t>Table 7.3.2</w:t>
      </w:r>
      <w:r w:rsidRPr="00256982">
        <w:tab/>
        <w:t>Uncertainty in emissions from compost</w:t>
      </w:r>
      <w:bookmarkEnd w:id="2347"/>
    </w:p>
    <w:tbl>
      <w:tblPr>
        <w:tblW w:w="8505" w:type="dxa"/>
        <w:tblInd w:w="108" w:type="dxa"/>
        <w:tblBorders>
          <w:top w:val="single" w:sz="6" w:space="0" w:color="365F91"/>
          <w:bottom w:val="single" w:sz="6" w:space="0" w:color="365F91"/>
          <w:insideH w:val="single" w:sz="6" w:space="0" w:color="365F91"/>
        </w:tblBorders>
        <w:tblLook w:val="04A0" w:firstRow="1" w:lastRow="0" w:firstColumn="1" w:lastColumn="0" w:noHBand="0" w:noVBand="1"/>
      </w:tblPr>
      <w:tblGrid>
        <w:gridCol w:w="2620"/>
        <w:gridCol w:w="2787"/>
        <w:gridCol w:w="3098"/>
      </w:tblGrid>
      <w:tr w:rsidR="00005A00" w:rsidRPr="00256982" w14:paraId="6D2AFC4F" w14:textId="77777777" w:rsidTr="00AA14F1">
        <w:tc>
          <w:tcPr>
            <w:tcW w:w="2620" w:type="dxa"/>
            <w:tcBorders>
              <w:top w:val="single" w:sz="4" w:space="0" w:color="365F91"/>
              <w:left w:val="nil"/>
              <w:bottom w:val="single" w:sz="4" w:space="0" w:color="365F91"/>
              <w:right w:val="nil"/>
            </w:tcBorders>
            <w:shd w:val="clear" w:color="000000" w:fill="365F91"/>
          </w:tcPr>
          <w:p w14:paraId="2F09F361" w14:textId="77777777" w:rsidR="00005A00" w:rsidRPr="00256982" w:rsidRDefault="00005A00" w:rsidP="00AA14F1">
            <w:pPr>
              <w:pStyle w:val="TableTextBold"/>
              <w:keepNext/>
              <w:spacing w:before="50" w:after="50"/>
              <w:rPr>
                <w:noProof w:val="0"/>
                <w:color w:val="FFFFFF"/>
              </w:rPr>
            </w:pPr>
            <w:r w:rsidRPr="00256982">
              <w:rPr>
                <w:noProof w:val="0"/>
                <w:color w:val="FFFFFF"/>
              </w:rPr>
              <w:t>Emissions category</w:t>
            </w:r>
          </w:p>
        </w:tc>
        <w:tc>
          <w:tcPr>
            <w:tcW w:w="2787" w:type="dxa"/>
            <w:tcBorders>
              <w:top w:val="single" w:sz="4" w:space="0" w:color="365F91"/>
              <w:left w:val="nil"/>
              <w:bottom w:val="single" w:sz="4" w:space="0" w:color="365F91"/>
              <w:right w:val="nil"/>
            </w:tcBorders>
            <w:shd w:val="clear" w:color="000000" w:fill="365F91"/>
          </w:tcPr>
          <w:p w14:paraId="2BCAAD00" w14:textId="77777777" w:rsidR="00005A00" w:rsidRPr="00256982" w:rsidRDefault="00005A00" w:rsidP="00AA14F1">
            <w:pPr>
              <w:pStyle w:val="TableTextBold"/>
              <w:keepNext/>
              <w:spacing w:before="50" w:after="50"/>
              <w:rPr>
                <w:noProof w:val="0"/>
                <w:color w:val="FFFFFF"/>
              </w:rPr>
            </w:pPr>
            <w:r w:rsidRPr="00256982">
              <w:rPr>
                <w:noProof w:val="0"/>
                <w:color w:val="FFFFFF"/>
              </w:rPr>
              <w:t>Uncertainty in activity data (%)</w:t>
            </w:r>
          </w:p>
        </w:tc>
        <w:tc>
          <w:tcPr>
            <w:tcW w:w="3098" w:type="dxa"/>
            <w:tcBorders>
              <w:top w:val="single" w:sz="4" w:space="0" w:color="365F91"/>
              <w:left w:val="nil"/>
              <w:bottom w:val="single" w:sz="4" w:space="0" w:color="365F91"/>
              <w:right w:val="nil"/>
            </w:tcBorders>
            <w:shd w:val="clear" w:color="000000" w:fill="365F91"/>
          </w:tcPr>
          <w:p w14:paraId="195BADE5" w14:textId="77777777" w:rsidR="00005A00" w:rsidRPr="00256982" w:rsidRDefault="00005A00" w:rsidP="00AA14F1">
            <w:pPr>
              <w:pStyle w:val="TableTextBold"/>
              <w:keepNext/>
              <w:spacing w:before="50" w:after="50"/>
              <w:rPr>
                <w:noProof w:val="0"/>
                <w:color w:val="FFFFFF"/>
              </w:rPr>
            </w:pPr>
            <w:r w:rsidRPr="00256982">
              <w:rPr>
                <w:noProof w:val="0"/>
                <w:color w:val="FFFFFF"/>
              </w:rPr>
              <w:t>Uncertainty in emission factors (%)</w:t>
            </w:r>
          </w:p>
        </w:tc>
      </w:tr>
      <w:tr w:rsidR="00005A00" w:rsidRPr="00256982" w14:paraId="17A1941E" w14:textId="77777777" w:rsidTr="00AA14F1">
        <w:trPr>
          <w:trHeight w:val="127"/>
        </w:trPr>
        <w:tc>
          <w:tcPr>
            <w:tcW w:w="2620" w:type="dxa"/>
            <w:tcBorders>
              <w:top w:val="single" w:sz="4" w:space="0" w:color="365F91"/>
              <w:bottom w:val="single" w:sz="4" w:space="0" w:color="365F91"/>
            </w:tcBorders>
            <w:shd w:val="clear" w:color="auto" w:fill="FFFFFF"/>
          </w:tcPr>
          <w:p w14:paraId="251E65E7" w14:textId="77777777" w:rsidR="00005A00" w:rsidRPr="00256982" w:rsidRDefault="00005A00" w:rsidP="00AA14F1">
            <w:pPr>
              <w:pStyle w:val="TableText"/>
              <w:spacing w:before="50" w:after="50"/>
              <w:rPr>
                <w:rFonts w:cs="Arial"/>
                <w:bCs/>
              </w:rPr>
            </w:pPr>
            <w:r w:rsidRPr="00256982">
              <w:rPr>
                <w:rFonts w:cs="Arial"/>
                <w:bCs/>
              </w:rPr>
              <w:t>Compost (CH</w:t>
            </w:r>
            <w:r w:rsidRPr="00256982">
              <w:rPr>
                <w:rFonts w:cs="Arial"/>
                <w:bCs/>
                <w:vertAlign w:val="subscript"/>
              </w:rPr>
              <w:t>4</w:t>
            </w:r>
            <w:r w:rsidRPr="00256982">
              <w:rPr>
                <w:rFonts w:cs="Arial"/>
                <w:bCs/>
              </w:rPr>
              <w:t>)</w:t>
            </w:r>
          </w:p>
        </w:tc>
        <w:tc>
          <w:tcPr>
            <w:tcW w:w="2787" w:type="dxa"/>
            <w:tcBorders>
              <w:top w:val="single" w:sz="4" w:space="0" w:color="365F91"/>
              <w:bottom w:val="single" w:sz="4" w:space="0" w:color="365F91"/>
            </w:tcBorders>
            <w:shd w:val="clear" w:color="auto" w:fill="FFFFFF"/>
          </w:tcPr>
          <w:p w14:paraId="1A38047F" w14:textId="77777777" w:rsidR="00005A00" w:rsidRPr="00256982" w:rsidRDefault="00005A00" w:rsidP="00AA14F1">
            <w:pPr>
              <w:pStyle w:val="TableText"/>
              <w:spacing w:before="50" w:after="50"/>
              <w:ind w:right="827"/>
              <w:jc w:val="right"/>
              <w:rPr>
                <w:rFonts w:cs="Arial"/>
              </w:rPr>
            </w:pPr>
            <w:r w:rsidRPr="00256982">
              <w:rPr>
                <w:rFonts w:cs="Arial"/>
              </w:rPr>
              <w:t>±100</w:t>
            </w:r>
          </w:p>
        </w:tc>
        <w:tc>
          <w:tcPr>
            <w:tcW w:w="3098" w:type="dxa"/>
            <w:tcBorders>
              <w:top w:val="single" w:sz="4" w:space="0" w:color="365F91"/>
              <w:bottom w:val="single" w:sz="4" w:space="0" w:color="365F91"/>
            </w:tcBorders>
            <w:shd w:val="clear" w:color="auto" w:fill="FFFFFF"/>
          </w:tcPr>
          <w:p w14:paraId="72112ABD" w14:textId="77777777" w:rsidR="00005A00" w:rsidRPr="00256982" w:rsidRDefault="00005A00" w:rsidP="00AA14F1">
            <w:pPr>
              <w:pStyle w:val="TableText"/>
              <w:spacing w:before="50" w:after="50"/>
              <w:ind w:right="827"/>
              <w:jc w:val="right"/>
              <w:rPr>
                <w:rFonts w:cs="Arial"/>
              </w:rPr>
            </w:pPr>
            <w:r w:rsidRPr="00256982">
              <w:rPr>
                <w:rFonts w:cs="Arial"/>
              </w:rPr>
              <w:t>±100</w:t>
            </w:r>
          </w:p>
        </w:tc>
      </w:tr>
      <w:tr w:rsidR="00005A00" w:rsidRPr="00256982" w14:paraId="7147A8A2" w14:textId="77777777" w:rsidTr="00AA14F1">
        <w:trPr>
          <w:trHeight w:val="127"/>
        </w:trPr>
        <w:tc>
          <w:tcPr>
            <w:tcW w:w="2620" w:type="dxa"/>
            <w:tcBorders>
              <w:top w:val="single" w:sz="4" w:space="0" w:color="365F91"/>
            </w:tcBorders>
            <w:shd w:val="clear" w:color="auto" w:fill="FFFFFF"/>
          </w:tcPr>
          <w:p w14:paraId="2CBBF554" w14:textId="77777777" w:rsidR="00005A00" w:rsidRPr="00256982" w:rsidRDefault="00005A00" w:rsidP="00AA14F1">
            <w:pPr>
              <w:pStyle w:val="TableText"/>
              <w:spacing w:before="50" w:after="50"/>
              <w:rPr>
                <w:rFonts w:cs="Arial"/>
                <w:bCs/>
              </w:rPr>
            </w:pPr>
            <w:r w:rsidRPr="00256982">
              <w:rPr>
                <w:rFonts w:cs="Arial"/>
                <w:bCs/>
              </w:rPr>
              <w:t>Compost (N</w:t>
            </w:r>
            <w:r w:rsidRPr="00256982">
              <w:rPr>
                <w:rFonts w:cs="Arial"/>
                <w:bCs/>
                <w:vertAlign w:val="subscript"/>
              </w:rPr>
              <w:t>2</w:t>
            </w:r>
            <w:r w:rsidRPr="00256982">
              <w:rPr>
                <w:rFonts w:cs="Arial"/>
                <w:bCs/>
              </w:rPr>
              <w:t>O)</w:t>
            </w:r>
          </w:p>
        </w:tc>
        <w:tc>
          <w:tcPr>
            <w:tcW w:w="2787" w:type="dxa"/>
            <w:tcBorders>
              <w:top w:val="single" w:sz="4" w:space="0" w:color="365F91"/>
            </w:tcBorders>
            <w:shd w:val="clear" w:color="auto" w:fill="FFFFFF"/>
          </w:tcPr>
          <w:p w14:paraId="41BF545C" w14:textId="77777777" w:rsidR="00005A00" w:rsidRPr="00256982" w:rsidRDefault="00005A00" w:rsidP="00AA14F1">
            <w:pPr>
              <w:pStyle w:val="TableText"/>
              <w:spacing w:before="50" w:after="50"/>
              <w:ind w:right="827"/>
              <w:jc w:val="right"/>
              <w:rPr>
                <w:rFonts w:cs="Arial"/>
              </w:rPr>
            </w:pPr>
            <w:r w:rsidRPr="00256982">
              <w:rPr>
                <w:rFonts w:cs="Arial"/>
              </w:rPr>
              <w:t>±100</w:t>
            </w:r>
          </w:p>
        </w:tc>
        <w:tc>
          <w:tcPr>
            <w:tcW w:w="3098" w:type="dxa"/>
            <w:tcBorders>
              <w:top w:val="single" w:sz="4" w:space="0" w:color="365F91"/>
            </w:tcBorders>
            <w:shd w:val="clear" w:color="auto" w:fill="FFFFFF"/>
          </w:tcPr>
          <w:p w14:paraId="641413C7" w14:textId="77777777" w:rsidR="00005A00" w:rsidRPr="00256982" w:rsidRDefault="00005A00" w:rsidP="00AA14F1">
            <w:pPr>
              <w:pStyle w:val="TableText"/>
              <w:spacing w:before="50" w:after="50"/>
              <w:ind w:right="827"/>
              <w:jc w:val="right"/>
              <w:rPr>
                <w:rFonts w:cs="Arial"/>
              </w:rPr>
            </w:pPr>
            <w:r w:rsidRPr="00256982">
              <w:rPr>
                <w:rFonts w:cs="Arial"/>
              </w:rPr>
              <w:t>±150</w:t>
            </w:r>
          </w:p>
        </w:tc>
      </w:tr>
    </w:tbl>
    <w:p w14:paraId="651D4BE8" w14:textId="77777777" w:rsidR="00005A00" w:rsidRPr="00256982" w:rsidRDefault="00005A00" w:rsidP="00005A00">
      <w:pPr>
        <w:pStyle w:val="Heading4"/>
        <w:spacing w:before="360"/>
      </w:pPr>
      <w:r w:rsidRPr="00256982">
        <w:t>Time-series consistency</w:t>
      </w:r>
    </w:p>
    <w:p w14:paraId="2FF5E344" w14:textId="1D9DE033" w:rsidR="00005A00" w:rsidRPr="00256982" w:rsidRDefault="00005A00" w:rsidP="00005A00">
      <w:pPr>
        <w:pStyle w:val="BodyText"/>
      </w:pPr>
      <w:r w:rsidRPr="00256982">
        <w:t>Time-series consistency is ensured by the use of consistent models and parameters across the</w:t>
      </w:r>
      <w:r w:rsidR="00225354" w:rsidRPr="00256982">
        <w:t> </w:t>
      </w:r>
      <w:r w:rsidRPr="00256982">
        <w:t>period.</w:t>
      </w:r>
    </w:p>
    <w:p w14:paraId="071C7555" w14:textId="77777777" w:rsidR="00005A00" w:rsidRPr="00256982" w:rsidRDefault="00005A00" w:rsidP="00005A00">
      <w:pPr>
        <w:pStyle w:val="Heading3"/>
      </w:pPr>
      <w:r w:rsidRPr="00256982">
        <w:t xml:space="preserve">7.3.4 </w:t>
      </w:r>
      <w:r w:rsidRPr="00256982">
        <w:tab/>
        <w:t>Source-specific QA/QC and verification</w:t>
      </w:r>
    </w:p>
    <w:p w14:paraId="69CDF83F" w14:textId="77777777" w:rsidR="00005A00" w:rsidRPr="00256982" w:rsidRDefault="00005A00" w:rsidP="00005A00">
      <w:pPr>
        <w:pStyle w:val="BodyText"/>
        <w:rPr>
          <w:spacing w:val="-2"/>
          <w:lang w:eastAsia="en-NZ"/>
        </w:rPr>
      </w:pPr>
      <w:r w:rsidRPr="00256982">
        <w:rPr>
          <w:spacing w:val="-2"/>
          <w:lang w:eastAsia="en-NZ"/>
        </w:rPr>
        <w:t xml:space="preserve">These emissions are very small, and basic </w:t>
      </w:r>
      <w:r w:rsidRPr="00256982">
        <w:t>quality-assurance and quality-control</w:t>
      </w:r>
      <w:r w:rsidRPr="00256982">
        <w:rPr>
          <w:spacing w:val="-2"/>
          <w:lang w:eastAsia="en-NZ"/>
        </w:rPr>
        <w:t xml:space="preserve"> checks are carried out where possible. Detailed </w:t>
      </w:r>
      <w:r w:rsidRPr="00256982">
        <w:t>quality-assurance and quality-control</w:t>
      </w:r>
      <w:r w:rsidRPr="00256982">
        <w:rPr>
          <w:spacing w:val="-2"/>
          <w:lang w:eastAsia="en-NZ"/>
        </w:rPr>
        <w:t xml:space="preserve"> efforts for the Waste sector focus on the disposal to land and wastewater categories. </w:t>
      </w:r>
    </w:p>
    <w:p w14:paraId="1DB975D6" w14:textId="77777777" w:rsidR="00005A00" w:rsidRPr="00256982" w:rsidRDefault="00005A00" w:rsidP="00005A00">
      <w:pPr>
        <w:pStyle w:val="Heading3"/>
        <w:spacing w:before="280"/>
      </w:pPr>
      <w:r w:rsidRPr="00256982">
        <w:t xml:space="preserve">7.3.5 </w:t>
      </w:r>
      <w:r w:rsidRPr="00256982">
        <w:tab/>
        <w:t>Source-specific recalculations</w:t>
      </w:r>
    </w:p>
    <w:p w14:paraId="6EEA4A43" w14:textId="77777777" w:rsidR="00005A00" w:rsidRPr="00256982" w:rsidRDefault="00005A00" w:rsidP="00005A00">
      <w:pPr>
        <w:pStyle w:val="BodyText"/>
      </w:pPr>
      <w:r w:rsidRPr="00256982">
        <w:t>The 2019 submission is the first to report emissions from composting.</w:t>
      </w:r>
    </w:p>
    <w:p w14:paraId="2D2FDD09" w14:textId="77777777" w:rsidR="00005A00" w:rsidRPr="00256982" w:rsidRDefault="00005A00" w:rsidP="00005A00">
      <w:pPr>
        <w:pStyle w:val="Heading3"/>
        <w:spacing w:before="280"/>
      </w:pPr>
      <w:r w:rsidRPr="00256982">
        <w:t xml:space="preserve">7.3.6 </w:t>
      </w:r>
      <w:r w:rsidRPr="00256982">
        <w:tab/>
        <w:t>Source-specific planned improvements</w:t>
      </w:r>
    </w:p>
    <w:p w14:paraId="203F5CF1" w14:textId="77777777" w:rsidR="00005A00" w:rsidRPr="00256982" w:rsidRDefault="00005A00" w:rsidP="00005A00">
      <w:pPr>
        <w:pStyle w:val="BodyText"/>
      </w:pPr>
      <w:r w:rsidRPr="00256982">
        <w:t>No specific improvements are planned for this category. Over time, better activity data will be applied to the inventory if and when they become available.</w:t>
      </w:r>
    </w:p>
    <w:p w14:paraId="39DD45A5" w14:textId="77777777" w:rsidR="00005A00" w:rsidRPr="00256982" w:rsidRDefault="00005A00" w:rsidP="00005A00">
      <w:pPr>
        <w:pStyle w:val="Heading2"/>
      </w:pPr>
      <w:bookmarkStart w:id="2348" w:name="_Toc5269389"/>
      <w:r w:rsidRPr="00256982">
        <w:t>7.4</w:t>
      </w:r>
      <w:r w:rsidRPr="00256982">
        <w:tab/>
        <w:t>Incineration and open burning of waste (5.C)</w:t>
      </w:r>
      <w:bookmarkEnd w:id="2344"/>
      <w:bookmarkEnd w:id="2345"/>
      <w:bookmarkEnd w:id="2346"/>
      <w:bookmarkEnd w:id="2348"/>
    </w:p>
    <w:p w14:paraId="78C59857" w14:textId="77777777" w:rsidR="00005A00" w:rsidRPr="00256982" w:rsidRDefault="00005A00" w:rsidP="00005A00">
      <w:pPr>
        <w:pStyle w:val="Heading3"/>
        <w:spacing w:before="240"/>
      </w:pPr>
      <w:r w:rsidRPr="00256982">
        <w:t xml:space="preserve">7.4.1 </w:t>
      </w:r>
      <w:r w:rsidRPr="00256982">
        <w:tab/>
        <w:t>Description</w:t>
      </w:r>
    </w:p>
    <w:p w14:paraId="4F7233CC" w14:textId="77777777" w:rsidR="00005A00" w:rsidRPr="00256982" w:rsidRDefault="00005A00" w:rsidP="00005A00">
      <w:pPr>
        <w:pStyle w:val="BodyText"/>
      </w:pPr>
      <w:r w:rsidRPr="00256982">
        <w:t>There is no incineration of municipal waste in New Zealand, for energy production or otherwise. Incineration is used on a small scale for disposal of medical, quarantine and hazardous wastes and sewage sludge. The practice of incinerating clinical wastes has declined through the time series, due to more stringent environmental regulation and the use of alternative technologies such as sterilisation.</w:t>
      </w:r>
    </w:p>
    <w:p w14:paraId="6B39EC0D" w14:textId="77777777" w:rsidR="00005A00" w:rsidRPr="00256982" w:rsidRDefault="00005A00" w:rsidP="00005A00">
      <w:pPr>
        <w:pStyle w:val="BodyText"/>
        <w:rPr>
          <w:spacing w:val="-2"/>
        </w:rPr>
      </w:pPr>
      <w:r w:rsidRPr="00256982">
        <w:rPr>
          <w:spacing w:val="-2"/>
        </w:rPr>
        <w:t>Waste incineration is regulated under the Resource Management Act 1991. In addition, in 2004, a national environmental standard was introduced, which required consents for all existing low-temperature incinerators, such as those historically used in schools and sometimes in hospitals.</w:t>
      </w:r>
    </w:p>
    <w:p w14:paraId="2821B1D9" w14:textId="77777777" w:rsidR="00005A00" w:rsidRPr="00256982" w:rsidRDefault="00005A00" w:rsidP="00005A00">
      <w:pPr>
        <w:pStyle w:val="BodyText"/>
      </w:pPr>
      <w:r w:rsidRPr="00256982">
        <w:lastRenderedPageBreak/>
        <w:t xml:space="preserve">There is no open burning of waste at municipal or non-municipal landfill facilities in New Zealand. Some farms practice open burning of small volumes of rural waste (Tonkin and Taylor Ltd, unpublished(b)) and, while limited information is available on the extent of the practice, emissions from open burning are reported for the first time in the 2019 submission. The majority of farm waste is buried in farm fills rather than burned, and the emissions from farm fills are reported in </w:t>
      </w:r>
      <w:r w:rsidRPr="00256982">
        <w:rPr>
          <w:i/>
        </w:rPr>
        <w:t>Solid waste disposal</w:t>
      </w:r>
      <w:r w:rsidRPr="00256982">
        <w:t xml:space="preserve"> (CRF 5.A).</w:t>
      </w:r>
    </w:p>
    <w:p w14:paraId="2FB0A6E1" w14:textId="77777777" w:rsidR="00005A00" w:rsidRPr="00256982" w:rsidRDefault="00005A00" w:rsidP="00005A00">
      <w:pPr>
        <w:pStyle w:val="BodyText"/>
      </w:pPr>
      <w:r w:rsidRPr="00256982">
        <w:t xml:space="preserve">Waste oil is used in the cement industry for firing a cement kiln. All emissions from this source are reported in the Energy sector. </w:t>
      </w:r>
    </w:p>
    <w:p w14:paraId="26FEBF6F" w14:textId="77777777" w:rsidR="00005A00" w:rsidRPr="00256982" w:rsidRDefault="00005A00" w:rsidP="00005A00">
      <w:pPr>
        <w:pStyle w:val="BodyText"/>
      </w:pPr>
      <w:r w:rsidRPr="00256982">
        <w:t xml:space="preserve">In 2017, </w:t>
      </w:r>
      <w:r w:rsidRPr="00256982">
        <w:rPr>
          <w:i/>
        </w:rPr>
        <w:t>Incineration and open burning of waste</w:t>
      </w:r>
      <w:r w:rsidRPr="00256982">
        <w:t xml:space="preserve"> accounted for 8.8 kt CO</w:t>
      </w:r>
      <w:r w:rsidRPr="00256982">
        <w:rPr>
          <w:vertAlign w:val="subscript"/>
        </w:rPr>
        <w:t>2</w:t>
      </w:r>
      <w:r w:rsidRPr="00256982">
        <w:t>-e (0.2 per cent) of Waste sector emissions (table 7.4.1). This was a decrease of 15.8 kt CO</w:t>
      </w:r>
      <w:r w:rsidRPr="00256982">
        <w:rPr>
          <w:vertAlign w:val="subscript"/>
        </w:rPr>
        <w:t>2</w:t>
      </w:r>
      <w:r w:rsidRPr="00256982">
        <w:t>-e below the 1990 level of 24.6 kt CO</w:t>
      </w:r>
      <w:r w:rsidRPr="00256982">
        <w:rPr>
          <w:vertAlign w:val="subscript"/>
        </w:rPr>
        <w:t>2</w:t>
      </w:r>
      <w:r w:rsidRPr="00256982">
        <w:t>-e, and a decrease of 0.4 kt CO</w:t>
      </w:r>
      <w:r w:rsidRPr="00256982">
        <w:rPr>
          <w:sz w:val="20"/>
          <w:vertAlign w:val="subscript"/>
        </w:rPr>
        <w:t>2</w:t>
      </w:r>
      <w:r w:rsidRPr="00256982">
        <w:t>-e (4.1 per cent) from 2016.</w:t>
      </w:r>
    </w:p>
    <w:p w14:paraId="1602D9EC" w14:textId="77777777" w:rsidR="00005A00" w:rsidRPr="00256982" w:rsidRDefault="00005A00" w:rsidP="00005A00">
      <w:pPr>
        <w:pStyle w:val="Table"/>
      </w:pPr>
      <w:bookmarkStart w:id="2349" w:name="_Toc5269572"/>
      <w:r w:rsidRPr="00256982">
        <w:t xml:space="preserve">Table 7.4.1 </w:t>
      </w:r>
      <w:r w:rsidRPr="00256982">
        <w:tab/>
        <w:t>Emissions from Incineration and open burning of waste (5.C)</w:t>
      </w:r>
      <w:bookmarkEnd w:id="2349"/>
    </w:p>
    <w:tbl>
      <w:tblPr>
        <w:tblW w:w="8562" w:type="dxa"/>
        <w:tblInd w:w="108" w:type="dxa"/>
        <w:tblLayout w:type="fixed"/>
        <w:tblLook w:val="04A0" w:firstRow="1" w:lastRow="0" w:firstColumn="1" w:lastColumn="0" w:noHBand="0" w:noVBand="1"/>
      </w:tblPr>
      <w:tblGrid>
        <w:gridCol w:w="3391"/>
        <w:gridCol w:w="1072"/>
        <w:gridCol w:w="1248"/>
        <w:gridCol w:w="1426"/>
        <w:gridCol w:w="1425"/>
      </w:tblGrid>
      <w:tr w:rsidR="00225354" w:rsidRPr="00256982" w14:paraId="667D1B70" w14:textId="77777777" w:rsidTr="00225354">
        <w:tc>
          <w:tcPr>
            <w:tcW w:w="1980" w:type="pct"/>
            <w:tcBorders>
              <w:top w:val="single" w:sz="4" w:space="0" w:color="365F91"/>
              <w:bottom w:val="single" w:sz="4" w:space="0" w:color="365F91"/>
            </w:tcBorders>
            <w:shd w:val="clear" w:color="auto" w:fill="365F91"/>
            <w:vAlign w:val="bottom"/>
          </w:tcPr>
          <w:p w14:paraId="066EE8FC" w14:textId="77777777" w:rsidR="00005A00" w:rsidRPr="00256982" w:rsidRDefault="00005A00" w:rsidP="00225354">
            <w:pPr>
              <w:pStyle w:val="TableTextbold0"/>
              <w:rPr>
                <w:color w:val="FFFFFF"/>
              </w:rPr>
            </w:pPr>
          </w:p>
        </w:tc>
        <w:tc>
          <w:tcPr>
            <w:tcW w:w="1355" w:type="pct"/>
            <w:gridSpan w:val="2"/>
            <w:tcBorders>
              <w:top w:val="single" w:sz="4" w:space="0" w:color="365F91"/>
              <w:bottom w:val="single" w:sz="4" w:space="0" w:color="365F91"/>
            </w:tcBorders>
            <w:shd w:val="clear" w:color="auto" w:fill="365F91"/>
            <w:vAlign w:val="bottom"/>
          </w:tcPr>
          <w:p w14:paraId="67ECD280" w14:textId="77777777" w:rsidR="00005A00" w:rsidRPr="00256982" w:rsidRDefault="00005A00" w:rsidP="00AA14F1">
            <w:pPr>
              <w:pStyle w:val="TableTextBold"/>
              <w:jc w:val="center"/>
              <w:rPr>
                <w:noProof w:val="0"/>
                <w:color w:val="FFFFFF"/>
              </w:rPr>
            </w:pPr>
            <w:r w:rsidRPr="00256982">
              <w:rPr>
                <w:noProof w:val="0"/>
                <w:color w:val="FFFFFF"/>
              </w:rPr>
              <w:t xml:space="preserve">Emissions </w:t>
            </w:r>
            <w:r w:rsidRPr="00256982">
              <w:rPr>
                <w:noProof w:val="0"/>
                <w:color w:val="FFFFFF"/>
              </w:rPr>
              <w:br/>
              <w:t>(kt CO</w:t>
            </w:r>
            <w:r w:rsidRPr="00256982">
              <w:rPr>
                <w:noProof w:val="0"/>
                <w:color w:val="FFFFFF"/>
                <w:vertAlign w:val="subscript"/>
              </w:rPr>
              <w:t>2</w:t>
            </w:r>
            <w:r w:rsidRPr="00256982">
              <w:rPr>
                <w:noProof w:val="0"/>
                <w:color w:val="FFFFFF"/>
              </w:rPr>
              <w:t>-e)</w:t>
            </w:r>
          </w:p>
        </w:tc>
        <w:tc>
          <w:tcPr>
            <w:tcW w:w="833" w:type="pct"/>
            <w:tcBorders>
              <w:top w:val="single" w:sz="4" w:space="0" w:color="365F91"/>
              <w:bottom w:val="single" w:sz="4" w:space="0" w:color="365F91"/>
            </w:tcBorders>
            <w:shd w:val="clear" w:color="auto" w:fill="365F91"/>
            <w:vAlign w:val="bottom"/>
          </w:tcPr>
          <w:p w14:paraId="0354793B" w14:textId="77777777" w:rsidR="00005A00" w:rsidRPr="00256982" w:rsidRDefault="00005A00" w:rsidP="00AA14F1">
            <w:pPr>
              <w:pStyle w:val="TableTextBold"/>
              <w:jc w:val="center"/>
              <w:rPr>
                <w:noProof w:val="0"/>
                <w:color w:val="FFFFFF"/>
              </w:rPr>
            </w:pPr>
            <w:r w:rsidRPr="00256982">
              <w:rPr>
                <w:noProof w:val="0"/>
                <w:color w:val="FFFFFF"/>
              </w:rPr>
              <w:t>Difference (kt CO</w:t>
            </w:r>
            <w:r w:rsidRPr="00256982">
              <w:rPr>
                <w:noProof w:val="0"/>
                <w:color w:val="FFFFFF"/>
                <w:vertAlign w:val="subscript"/>
              </w:rPr>
              <w:t>2</w:t>
            </w:r>
            <w:r w:rsidRPr="00256982">
              <w:rPr>
                <w:noProof w:val="0"/>
                <w:color w:val="FFFFFF"/>
              </w:rPr>
              <w:t>-e)</w:t>
            </w:r>
          </w:p>
        </w:tc>
        <w:tc>
          <w:tcPr>
            <w:tcW w:w="833" w:type="pct"/>
            <w:tcBorders>
              <w:top w:val="single" w:sz="4" w:space="0" w:color="365F91"/>
              <w:bottom w:val="single" w:sz="4" w:space="0" w:color="365F91"/>
            </w:tcBorders>
            <w:shd w:val="clear" w:color="auto" w:fill="365F91"/>
            <w:vAlign w:val="bottom"/>
          </w:tcPr>
          <w:p w14:paraId="5ABB8228" w14:textId="77777777" w:rsidR="00005A00" w:rsidRPr="00256982" w:rsidRDefault="00005A00" w:rsidP="00AA14F1">
            <w:pPr>
              <w:pStyle w:val="TableTextBold"/>
              <w:rPr>
                <w:noProof w:val="0"/>
                <w:color w:val="FFFFFF"/>
              </w:rPr>
            </w:pPr>
            <w:r w:rsidRPr="00256982">
              <w:rPr>
                <w:noProof w:val="0"/>
                <w:color w:val="FFFFFF"/>
              </w:rPr>
              <w:t>Change (%)</w:t>
            </w:r>
          </w:p>
        </w:tc>
      </w:tr>
      <w:tr w:rsidR="00005A00" w:rsidRPr="00256982" w14:paraId="0BC5F25D" w14:textId="77777777" w:rsidTr="00225354">
        <w:tc>
          <w:tcPr>
            <w:tcW w:w="1980" w:type="pct"/>
            <w:tcBorders>
              <w:top w:val="single" w:sz="4" w:space="0" w:color="365F91"/>
              <w:bottom w:val="single" w:sz="4" w:space="0" w:color="365F91"/>
            </w:tcBorders>
            <w:shd w:val="clear" w:color="auto" w:fill="FFFFFF"/>
          </w:tcPr>
          <w:p w14:paraId="68927F89" w14:textId="77777777" w:rsidR="00005A00" w:rsidRPr="00256982" w:rsidRDefault="00005A00" w:rsidP="00AA14F1">
            <w:pPr>
              <w:pStyle w:val="Tableboldblue"/>
            </w:pPr>
            <w:r w:rsidRPr="00256982">
              <w:t>Source category</w:t>
            </w:r>
          </w:p>
        </w:tc>
        <w:tc>
          <w:tcPr>
            <w:tcW w:w="626" w:type="pct"/>
            <w:tcBorders>
              <w:top w:val="single" w:sz="4" w:space="0" w:color="365F91"/>
              <w:bottom w:val="single" w:sz="4" w:space="0" w:color="365F91"/>
            </w:tcBorders>
            <w:shd w:val="clear" w:color="auto" w:fill="FFFFFF"/>
            <w:vAlign w:val="bottom"/>
          </w:tcPr>
          <w:p w14:paraId="5733A188" w14:textId="77777777" w:rsidR="00005A00" w:rsidRPr="00256982" w:rsidRDefault="00005A00" w:rsidP="00AA14F1">
            <w:pPr>
              <w:pStyle w:val="Tableboldblue"/>
              <w:jc w:val="center"/>
            </w:pPr>
            <w:r w:rsidRPr="00256982">
              <w:t>1990</w:t>
            </w:r>
          </w:p>
        </w:tc>
        <w:tc>
          <w:tcPr>
            <w:tcW w:w="729" w:type="pct"/>
            <w:tcBorders>
              <w:top w:val="single" w:sz="4" w:space="0" w:color="365F91"/>
              <w:bottom w:val="single" w:sz="4" w:space="0" w:color="365F91"/>
            </w:tcBorders>
            <w:shd w:val="clear" w:color="auto" w:fill="FFFFFF"/>
            <w:vAlign w:val="bottom"/>
          </w:tcPr>
          <w:p w14:paraId="72C8B46C" w14:textId="77777777" w:rsidR="00005A00" w:rsidRPr="00256982" w:rsidRDefault="00005A00" w:rsidP="00AA14F1">
            <w:pPr>
              <w:pStyle w:val="Tableboldblue"/>
              <w:jc w:val="center"/>
            </w:pPr>
            <w:r w:rsidRPr="00256982">
              <w:t>2017</w:t>
            </w:r>
          </w:p>
        </w:tc>
        <w:tc>
          <w:tcPr>
            <w:tcW w:w="833" w:type="pct"/>
            <w:tcBorders>
              <w:top w:val="single" w:sz="4" w:space="0" w:color="365F91"/>
              <w:bottom w:val="single" w:sz="4" w:space="0" w:color="365F91"/>
            </w:tcBorders>
            <w:shd w:val="clear" w:color="auto" w:fill="FFFFFF"/>
            <w:vAlign w:val="bottom"/>
          </w:tcPr>
          <w:p w14:paraId="18BE8128" w14:textId="77777777" w:rsidR="00005A00" w:rsidRPr="00256982" w:rsidRDefault="00005A00" w:rsidP="00AA14F1">
            <w:pPr>
              <w:pStyle w:val="Tableboldblue"/>
              <w:jc w:val="center"/>
            </w:pPr>
            <w:r w:rsidRPr="00256982">
              <w:t>1990–2017</w:t>
            </w:r>
          </w:p>
        </w:tc>
        <w:tc>
          <w:tcPr>
            <w:tcW w:w="833" w:type="pct"/>
            <w:tcBorders>
              <w:top w:val="single" w:sz="4" w:space="0" w:color="365F91"/>
              <w:bottom w:val="single" w:sz="4" w:space="0" w:color="365F91"/>
            </w:tcBorders>
            <w:shd w:val="clear" w:color="auto" w:fill="FFFFFF"/>
            <w:vAlign w:val="bottom"/>
          </w:tcPr>
          <w:p w14:paraId="5F6DA0FD" w14:textId="77777777" w:rsidR="00005A00" w:rsidRPr="00256982" w:rsidRDefault="00005A00" w:rsidP="00AA14F1">
            <w:pPr>
              <w:pStyle w:val="Tableboldblue"/>
              <w:jc w:val="center"/>
            </w:pPr>
            <w:r w:rsidRPr="00256982">
              <w:t>1990–2017</w:t>
            </w:r>
          </w:p>
        </w:tc>
      </w:tr>
      <w:tr w:rsidR="00005A00" w:rsidRPr="00256982" w14:paraId="2EC0A41E" w14:textId="77777777" w:rsidTr="00225354">
        <w:tc>
          <w:tcPr>
            <w:tcW w:w="1980" w:type="pct"/>
            <w:tcBorders>
              <w:top w:val="single" w:sz="4" w:space="0" w:color="365F91"/>
              <w:bottom w:val="single" w:sz="4" w:space="0" w:color="365F91"/>
            </w:tcBorders>
          </w:tcPr>
          <w:p w14:paraId="43EF9534" w14:textId="77777777" w:rsidR="00005A00" w:rsidRPr="00256982" w:rsidRDefault="00005A00" w:rsidP="00AA14F1">
            <w:pPr>
              <w:pStyle w:val="TableText"/>
            </w:pPr>
            <w:r w:rsidRPr="00256982">
              <w:t>Incineration (5.C.1)</w:t>
            </w:r>
          </w:p>
        </w:tc>
        <w:tc>
          <w:tcPr>
            <w:tcW w:w="626" w:type="pct"/>
            <w:tcBorders>
              <w:top w:val="single" w:sz="4" w:space="0" w:color="365F91"/>
              <w:bottom w:val="single" w:sz="4" w:space="0" w:color="365F91"/>
            </w:tcBorders>
          </w:tcPr>
          <w:p w14:paraId="593BC74D" w14:textId="77777777" w:rsidR="00005A00" w:rsidRPr="00256982" w:rsidRDefault="00005A00" w:rsidP="00407A99">
            <w:pPr>
              <w:pStyle w:val="TableText"/>
              <w:tabs>
                <w:tab w:val="decimal" w:pos="329"/>
              </w:tabs>
              <w:jc w:val="center"/>
              <w:rPr>
                <w:rFonts w:cs="Arial"/>
              </w:rPr>
            </w:pPr>
            <w:r w:rsidRPr="00256982">
              <w:rPr>
                <w:rFonts w:cs="Arial"/>
              </w:rPr>
              <w:t>14.8</w:t>
            </w:r>
          </w:p>
        </w:tc>
        <w:tc>
          <w:tcPr>
            <w:tcW w:w="729" w:type="pct"/>
            <w:tcBorders>
              <w:top w:val="single" w:sz="4" w:space="0" w:color="365F91"/>
              <w:bottom w:val="single" w:sz="4" w:space="0" w:color="365F91"/>
            </w:tcBorders>
          </w:tcPr>
          <w:p w14:paraId="6559C5E3" w14:textId="77777777" w:rsidR="00005A00" w:rsidRPr="00256982" w:rsidRDefault="00005A00" w:rsidP="00407A99">
            <w:pPr>
              <w:pStyle w:val="TableText"/>
              <w:tabs>
                <w:tab w:val="decimal" w:pos="249"/>
              </w:tabs>
              <w:jc w:val="center"/>
            </w:pPr>
            <w:r w:rsidRPr="00256982">
              <w:t>2.4</w:t>
            </w:r>
          </w:p>
        </w:tc>
        <w:tc>
          <w:tcPr>
            <w:tcW w:w="833" w:type="pct"/>
            <w:tcBorders>
              <w:top w:val="single" w:sz="4" w:space="0" w:color="365F91"/>
              <w:bottom w:val="single" w:sz="4" w:space="0" w:color="365F91"/>
            </w:tcBorders>
          </w:tcPr>
          <w:p w14:paraId="40098B67" w14:textId="77777777" w:rsidR="00005A00" w:rsidRPr="00256982" w:rsidRDefault="00005A00" w:rsidP="00407A99">
            <w:pPr>
              <w:pStyle w:val="TableText"/>
              <w:tabs>
                <w:tab w:val="decimal" w:pos="249"/>
                <w:tab w:val="decimal" w:pos="598"/>
              </w:tabs>
              <w:jc w:val="center"/>
            </w:pPr>
            <w:r w:rsidRPr="00256982">
              <w:t>–12.3</w:t>
            </w:r>
          </w:p>
        </w:tc>
        <w:tc>
          <w:tcPr>
            <w:tcW w:w="833" w:type="pct"/>
            <w:tcBorders>
              <w:top w:val="single" w:sz="4" w:space="0" w:color="365F91"/>
              <w:bottom w:val="single" w:sz="4" w:space="0" w:color="365F91"/>
            </w:tcBorders>
          </w:tcPr>
          <w:p w14:paraId="4935C483" w14:textId="77777777" w:rsidR="00005A00" w:rsidRPr="00256982" w:rsidRDefault="00005A00" w:rsidP="00407A99">
            <w:pPr>
              <w:pStyle w:val="TableText"/>
              <w:tabs>
                <w:tab w:val="decimal" w:pos="249"/>
                <w:tab w:val="decimal" w:pos="598"/>
              </w:tabs>
              <w:jc w:val="center"/>
            </w:pPr>
            <w:r w:rsidRPr="00256982">
              <w:t>–83.5</w:t>
            </w:r>
          </w:p>
        </w:tc>
      </w:tr>
      <w:tr w:rsidR="00005A00" w:rsidRPr="00256982" w14:paraId="7E1632A9" w14:textId="77777777" w:rsidTr="00225354">
        <w:tc>
          <w:tcPr>
            <w:tcW w:w="1980" w:type="pct"/>
            <w:tcBorders>
              <w:top w:val="single" w:sz="4" w:space="0" w:color="365F91"/>
              <w:bottom w:val="single" w:sz="4" w:space="0" w:color="365F91"/>
            </w:tcBorders>
          </w:tcPr>
          <w:p w14:paraId="2F64D42A" w14:textId="77777777" w:rsidR="00005A00" w:rsidRPr="00256982" w:rsidRDefault="00005A00" w:rsidP="00AA14F1">
            <w:pPr>
              <w:pStyle w:val="TableText"/>
            </w:pPr>
            <w:r w:rsidRPr="00256982">
              <w:t>Open burning (5.C.2)</w:t>
            </w:r>
          </w:p>
        </w:tc>
        <w:tc>
          <w:tcPr>
            <w:tcW w:w="626" w:type="pct"/>
            <w:tcBorders>
              <w:top w:val="single" w:sz="4" w:space="0" w:color="365F91"/>
              <w:bottom w:val="single" w:sz="4" w:space="0" w:color="365F91"/>
            </w:tcBorders>
          </w:tcPr>
          <w:p w14:paraId="4A2C0AC0" w14:textId="77777777" w:rsidR="00005A00" w:rsidRPr="00256982" w:rsidRDefault="00005A00" w:rsidP="00407A99">
            <w:pPr>
              <w:pStyle w:val="TableText"/>
              <w:tabs>
                <w:tab w:val="decimal" w:pos="329"/>
              </w:tabs>
              <w:jc w:val="center"/>
            </w:pPr>
            <w:r w:rsidRPr="00256982">
              <w:t>9.9</w:t>
            </w:r>
          </w:p>
        </w:tc>
        <w:tc>
          <w:tcPr>
            <w:tcW w:w="729" w:type="pct"/>
            <w:tcBorders>
              <w:top w:val="single" w:sz="4" w:space="0" w:color="365F91"/>
              <w:bottom w:val="single" w:sz="4" w:space="0" w:color="365F91"/>
            </w:tcBorders>
          </w:tcPr>
          <w:p w14:paraId="16A54A22" w14:textId="77777777" w:rsidR="00005A00" w:rsidRPr="00256982" w:rsidRDefault="00005A00" w:rsidP="00407A99">
            <w:pPr>
              <w:pStyle w:val="TableText"/>
              <w:tabs>
                <w:tab w:val="decimal" w:pos="249"/>
              </w:tabs>
              <w:jc w:val="center"/>
            </w:pPr>
            <w:r w:rsidRPr="00256982">
              <w:t>6.4</w:t>
            </w:r>
          </w:p>
        </w:tc>
        <w:tc>
          <w:tcPr>
            <w:tcW w:w="833" w:type="pct"/>
            <w:tcBorders>
              <w:top w:val="single" w:sz="4" w:space="0" w:color="365F91"/>
              <w:bottom w:val="single" w:sz="4" w:space="0" w:color="365F91"/>
            </w:tcBorders>
          </w:tcPr>
          <w:p w14:paraId="5E19C0C8" w14:textId="77777777" w:rsidR="00005A00" w:rsidRPr="00256982" w:rsidRDefault="00005A00" w:rsidP="00407A99">
            <w:pPr>
              <w:pStyle w:val="TableText"/>
              <w:tabs>
                <w:tab w:val="decimal" w:pos="249"/>
                <w:tab w:val="decimal" w:pos="598"/>
              </w:tabs>
              <w:jc w:val="center"/>
            </w:pPr>
            <w:r w:rsidRPr="00256982">
              <w:t>–3.5</w:t>
            </w:r>
          </w:p>
        </w:tc>
        <w:tc>
          <w:tcPr>
            <w:tcW w:w="833" w:type="pct"/>
            <w:tcBorders>
              <w:top w:val="single" w:sz="4" w:space="0" w:color="365F91"/>
              <w:bottom w:val="single" w:sz="4" w:space="0" w:color="365F91"/>
            </w:tcBorders>
          </w:tcPr>
          <w:p w14:paraId="1D05AEF8" w14:textId="77777777" w:rsidR="00005A00" w:rsidRPr="00256982" w:rsidRDefault="00005A00" w:rsidP="00407A99">
            <w:pPr>
              <w:pStyle w:val="TableText"/>
              <w:tabs>
                <w:tab w:val="decimal" w:pos="249"/>
                <w:tab w:val="decimal" w:pos="598"/>
              </w:tabs>
              <w:jc w:val="center"/>
            </w:pPr>
            <w:r w:rsidRPr="00256982">
              <w:t>–35.5</w:t>
            </w:r>
          </w:p>
        </w:tc>
      </w:tr>
      <w:tr w:rsidR="00005A00" w:rsidRPr="00256982" w14:paraId="7BFFE8F8" w14:textId="77777777" w:rsidTr="00225354">
        <w:tc>
          <w:tcPr>
            <w:tcW w:w="1980" w:type="pct"/>
            <w:tcBorders>
              <w:top w:val="single" w:sz="4" w:space="0" w:color="365F91"/>
              <w:bottom w:val="single" w:sz="4" w:space="0" w:color="365F91"/>
            </w:tcBorders>
            <w:shd w:val="clear" w:color="auto" w:fill="FFFFFF"/>
          </w:tcPr>
          <w:p w14:paraId="34A2840B" w14:textId="77777777" w:rsidR="00005A00" w:rsidRPr="00256982" w:rsidRDefault="00005A00" w:rsidP="00AA14F1">
            <w:pPr>
              <w:pStyle w:val="Tableboldblue"/>
            </w:pPr>
            <w:r w:rsidRPr="00256982">
              <w:t>Total (5.C)</w:t>
            </w:r>
          </w:p>
        </w:tc>
        <w:tc>
          <w:tcPr>
            <w:tcW w:w="626" w:type="pct"/>
            <w:tcBorders>
              <w:top w:val="single" w:sz="4" w:space="0" w:color="365F91"/>
              <w:bottom w:val="single" w:sz="4" w:space="0" w:color="365F91"/>
            </w:tcBorders>
            <w:shd w:val="clear" w:color="auto" w:fill="FFFFFF"/>
          </w:tcPr>
          <w:p w14:paraId="59B05D35" w14:textId="77777777" w:rsidR="00005A00" w:rsidRPr="00256982" w:rsidRDefault="00005A00" w:rsidP="00407A99">
            <w:pPr>
              <w:pStyle w:val="Tableboldblue"/>
              <w:tabs>
                <w:tab w:val="decimal" w:pos="329"/>
              </w:tabs>
              <w:jc w:val="center"/>
            </w:pPr>
            <w:r w:rsidRPr="00256982">
              <w:t>24.6</w:t>
            </w:r>
          </w:p>
        </w:tc>
        <w:tc>
          <w:tcPr>
            <w:tcW w:w="729" w:type="pct"/>
            <w:tcBorders>
              <w:top w:val="single" w:sz="4" w:space="0" w:color="365F91"/>
              <w:bottom w:val="single" w:sz="4" w:space="0" w:color="365F91"/>
            </w:tcBorders>
            <w:shd w:val="clear" w:color="auto" w:fill="FFFFFF"/>
          </w:tcPr>
          <w:p w14:paraId="5DF49178" w14:textId="77777777" w:rsidR="00005A00" w:rsidRPr="00256982" w:rsidRDefault="00005A00" w:rsidP="00407A99">
            <w:pPr>
              <w:pStyle w:val="Tableboldblue"/>
              <w:tabs>
                <w:tab w:val="decimal" w:pos="249"/>
              </w:tabs>
              <w:jc w:val="center"/>
            </w:pPr>
            <w:r w:rsidRPr="00256982">
              <w:t>8.8</w:t>
            </w:r>
          </w:p>
        </w:tc>
        <w:tc>
          <w:tcPr>
            <w:tcW w:w="833" w:type="pct"/>
            <w:tcBorders>
              <w:top w:val="single" w:sz="4" w:space="0" w:color="365F91"/>
              <w:bottom w:val="single" w:sz="4" w:space="0" w:color="365F91"/>
            </w:tcBorders>
            <w:shd w:val="clear" w:color="auto" w:fill="FFFFFF"/>
          </w:tcPr>
          <w:p w14:paraId="0A7D92EC" w14:textId="77777777" w:rsidR="00005A00" w:rsidRPr="00256982" w:rsidRDefault="00005A00" w:rsidP="00407A99">
            <w:pPr>
              <w:pStyle w:val="Tableboldblue"/>
              <w:tabs>
                <w:tab w:val="decimal" w:pos="249"/>
              </w:tabs>
              <w:jc w:val="center"/>
            </w:pPr>
            <w:r w:rsidRPr="00256982">
              <w:t>–15.8</w:t>
            </w:r>
          </w:p>
        </w:tc>
        <w:tc>
          <w:tcPr>
            <w:tcW w:w="833" w:type="pct"/>
            <w:tcBorders>
              <w:top w:val="single" w:sz="4" w:space="0" w:color="365F91"/>
              <w:bottom w:val="single" w:sz="4" w:space="0" w:color="365F91"/>
            </w:tcBorders>
            <w:shd w:val="clear" w:color="auto" w:fill="FFFFFF"/>
          </w:tcPr>
          <w:p w14:paraId="0E7A118C" w14:textId="77777777" w:rsidR="00005A00" w:rsidRPr="00256982" w:rsidRDefault="00005A00" w:rsidP="00407A99">
            <w:pPr>
              <w:pStyle w:val="Tableboldblue"/>
              <w:tabs>
                <w:tab w:val="decimal" w:pos="249"/>
              </w:tabs>
              <w:jc w:val="center"/>
            </w:pPr>
            <w:r w:rsidRPr="00256982">
              <w:t>–64.3</w:t>
            </w:r>
          </w:p>
        </w:tc>
      </w:tr>
    </w:tbl>
    <w:p w14:paraId="23996C61" w14:textId="77777777" w:rsidR="00005A00" w:rsidRPr="00256982" w:rsidRDefault="00005A00" w:rsidP="00005A00">
      <w:pPr>
        <w:pStyle w:val="Noteundertable"/>
      </w:pPr>
      <w:r w:rsidRPr="00256982">
        <w:rPr>
          <w:b/>
        </w:rPr>
        <w:t>Note:</w:t>
      </w:r>
      <w:r w:rsidRPr="00256982">
        <w:tab/>
        <w:t>Percentages presented are calculated from unrounded values.</w:t>
      </w:r>
    </w:p>
    <w:p w14:paraId="4FDF897F" w14:textId="77777777" w:rsidR="00005A00" w:rsidRPr="00256982" w:rsidRDefault="00005A00" w:rsidP="00005A00">
      <w:pPr>
        <w:pStyle w:val="Heading3"/>
      </w:pPr>
      <w:r w:rsidRPr="00256982">
        <w:t>7.4.2</w:t>
      </w:r>
      <w:r w:rsidRPr="00256982">
        <w:tab/>
        <w:t>Methodological issues</w:t>
      </w:r>
    </w:p>
    <w:p w14:paraId="4DAAB92F" w14:textId="77777777" w:rsidR="00005A00" w:rsidRPr="00256982" w:rsidRDefault="00005A00" w:rsidP="00005A00">
      <w:pPr>
        <w:pStyle w:val="Heading4"/>
      </w:pPr>
      <w:r w:rsidRPr="00256982">
        <w:t>Choice of activity data</w:t>
      </w:r>
    </w:p>
    <w:p w14:paraId="298F1711" w14:textId="77777777" w:rsidR="00005A00" w:rsidRPr="00256982" w:rsidRDefault="00005A00" w:rsidP="00005A00">
      <w:pPr>
        <w:pStyle w:val="Heading5"/>
      </w:pPr>
      <w:r w:rsidRPr="00256982">
        <w:t>Incineration (5.C.1)</w:t>
      </w:r>
    </w:p>
    <w:p w14:paraId="7174BC97" w14:textId="77777777" w:rsidR="00005A00" w:rsidRPr="00256982" w:rsidRDefault="00005A00" w:rsidP="00005A00">
      <w:pPr>
        <w:pStyle w:val="BodyText"/>
        <w:rPr>
          <w:rFonts w:eastAsia="+mn-ea"/>
        </w:rPr>
      </w:pPr>
      <w:r w:rsidRPr="00256982">
        <w:rPr>
          <w:rFonts w:eastAsia="+mn-ea"/>
        </w:rPr>
        <w:t>Limited information was available from individual site operators on the amount of waste burned between 1990 and 2007. For most sites, these activity data needed to be inferred because the only evidence available was the capacity of equipment and the amounts allowed by consent conditions. For the years after 2007, it has generally been assumed that facilities are continuing in operation at the same rates, in the absence of better information.</w:t>
      </w:r>
    </w:p>
    <w:p w14:paraId="2673EFC2" w14:textId="77777777" w:rsidR="00005A00" w:rsidRPr="00256982" w:rsidRDefault="00005A00" w:rsidP="00005A00">
      <w:pPr>
        <w:pStyle w:val="BodyText"/>
        <w:rPr>
          <w:rFonts w:eastAsia="+mn-ea"/>
        </w:rPr>
      </w:pPr>
      <w:r w:rsidRPr="00256982">
        <w:rPr>
          <w:rFonts w:eastAsia="+mn-ea"/>
        </w:rPr>
        <w:t>Table 7.4.2 presents activity data for incineration.</w:t>
      </w:r>
    </w:p>
    <w:p w14:paraId="48C1A58A" w14:textId="77777777" w:rsidR="00005A00" w:rsidRPr="00256982" w:rsidRDefault="00005A00" w:rsidP="00005A00">
      <w:pPr>
        <w:pStyle w:val="Table"/>
      </w:pPr>
      <w:bookmarkStart w:id="2350" w:name="_Toc5269573"/>
      <w:r w:rsidRPr="00256982">
        <w:t xml:space="preserve">Table 7.4.2 </w:t>
      </w:r>
      <w:r w:rsidRPr="00256982">
        <w:tab/>
        <w:t>Amounts of waste incinerated 1990 to 2017</w:t>
      </w:r>
      <w:bookmarkEnd w:id="2350"/>
    </w:p>
    <w:tbl>
      <w:tblPr>
        <w:tblW w:w="8505" w:type="dxa"/>
        <w:tblInd w:w="108" w:type="dxa"/>
        <w:tblLook w:val="04A0" w:firstRow="1" w:lastRow="0" w:firstColumn="1" w:lastColumn="0" w:noHBand="0" w:noVBand="1"/>
      </w:tblPr>
      <w:tblGrid>
        <w:gridCol w:w="1079"/>
        <w:gridCol w:w="1857"/>
        <w:gridCol w:w="1856"/>
        <w:gridCol w:w="1856"/>
        <w:gridCol w:w="1857"/>
      </w:tblGrid>
      <w:tr w:rsidR="00005A00" w:rsidRPr="00256982" w14:paraId="3F635206" w14:textId="77777777" w:rsidTr="00AA14F1">
        <w:trPr>
          <w:tblHeader/>
        </w:trPr>
        <w:tc>
          <w:tcPr>
            <w:tcW w:w="1079" w:type="dxa"/>
            <w:tcBorders>
              <w:top w:val="single" w:sz="4" w:space="0" w:color="365F91"/>
              <w:bottom w:val="single" w:sz="4" w:space="0" w:color="365F91"/>
            </w:tcBorders>
            <w:shd w:val="clear" w:color="auto" w:fill="365F91"/>
            <w:vAlign w:val="bottom"/>
          </w:tcPr>
          <w:p w14:paraId="47F88496" w14:textId="77777777" w:rsidR="00005A00" w:rsidRPr="00256982" w:rsidRDefault="00005A00" w:rsidP="00AA14F1">
            <w:pPr>
              <w:pStyle w:val="TableTextBold"/>
              <w:spacing w:before="40" w:after="40"/>
              <w:rPr>
                <w:noProof w:val="0"/>
                <w:color w:val="FFFFFF"/>
              </w:rPr>
            </w:pPr>
            <w:r w:rsidRPr="00256982">
              <w:rPr>
                <w:noProof w:val="0"/>
                <w:color w:val="FFFFFF"/>
              </w:rPr>
              <w:t>Year</w:t>
            </w:r>
          </w:p>
        </w:tc>
        <w:tc>
          <w:tcPr>
            <w:tcW w:w="1857" w:type="dxa"/>
            <w:tcBorders>
              <w:top w:val="single" w:sz="4" w:space="0" w:color="365F91"/>
              <w:bottom w:val="single" w:sz="4" w:space="0" w:color="365F91"/>
            </w:tcBorders>
            <w:shd w:val="clear" w:color="auto" w:fill="365F91"/>
            <w:vAlign w:val="bottom"/>
          </w:tcPr>
          <w:p w14:paraId="24034616" w14:textId="77777777" w:rsidR="00005A00" w:rsidRPr="00256982" w:rsidRDefault="00005A00" w:rsidP="00AA14F1">
            <w:pPr>
              <w:pStyle w:val="TableTextBold"/>
              <w:spacing w:before="40" w:after="40"/>
              <w:jc w:val="center"/>
              <w:rPr>
                <w:noProof w:val="0"/>
                <w:color w:val="FFFFFF"/>
              </w:rPr>
            </w:pPr>
            <w:r w:rsidRPr="00256982">
              <w:rPr>
                <w:noProof w:val="0"/>
                <w:color w:val="FFFFFF"/>
              </w:rPr>
              <w:t>Clinical wastes (kt)</w:t>
            </w:r>
          </w:p>
        </w:tc>
        <w:tc>
          <w:tcPr>
            <w:tcW w:w="1856" w:type="dxa"/>
            <w:tcBorders>
              <w:top w:val="single" w:sz="4" w:space="0" w:color="365F91"/>
              <w:bottom w:val="single" w:sz="4" w:space="0" w:color="365F91"/>
            </w:tcBorders>
            <w:shd w:val="clear" w:color="auto" w:fill="365F91"/>
            <w:vAlign w:val="bottom"/>
          </w:tcPr>
          <w:p w14:paraId="2CA47A6F" w14:textId="77777777" w:rsidR="00005A00" w:rsidRPr="00256982" w:rsidRDefault="00005A00" w:rsidP="00AA14F1">
            <w:pPr>
              <w:pStyle w:val="TableTextBold"/>
              <w:spacing w:before="40" w:after="40"/>
              <w:jc w:val="center"/>
              <w:rPr>
                <w:noProof w:val="0"/>
                <w:color w:val="FFFFFF"/>
              </w:rPr>
            </w:pPr>
            <w:r w:rsidRPr="00256982">
              <w:rPr>
                <w:noProof w:val="0"/>
                <w:color w:val="FFFFFF"/>
              </w:rPr>
              <w:t>Hazardous wastes (kt)</w:t>
            </w:r>
          </w:p>
        </w:tc>
        <w:tc>
          <w:tcPr>
            <w:tcW w:w="1856" w:type="dxa"/>
            <w:tcBorders>
              <w:top w:val="single" w:sz="4" w:space="0" w:color="365F91"/>
              <w:bottom w:val="single" w:sz="4" w:space="0" w:color="365F91"/>
            </w:tcBorders>
            <w:shd w:val="clear" w:color="auto" w:fill="365F91"/>
            <w:vAlign w:val="bottom"/>
          </w:tcPr>
          <w:p w14:paraId="3CF9AFE5" w14:textId="77777777" w:rsidR="00005A00" w:rsidRPr="00256982" w:rsidRDefault="00005A00" w:rsidP="00AA14F1">
            <w:pPr>
              <w:pStyle w:val="TableTextBold"/>
              <w:spacing w:before="40" w:after="40"/>
              <w:jc w:val="center"/>
              <w:rPr>
                <w:noProof w:val="0"/>
                <w:color w:val="FFFFFF"/>
              </w:rPr>
            </w:pPr>
            <w:r w:rsidRPr="00256982">
              <w:rPr>
                <w:noProof w:val="0"/>
                <w:color w:val="FFFFFF"/>
              </w:rPr>
              <w:t>Sewage sludge (kt)</w:t>
            </w:r>
          </w:p>
        </w:tc>
        <w:tc>
          <w:tcPr>
            <w:tcW w:w="1857" w:type="dxa"/>
            <w:tcBorders>
              <w:top w:val="single" w:sz="4" w:space="0" w:color="365F91"/>
              <w:bottom w:val="single" w:sz="4" w:space="0" w:color="365F91"/>
            </w:tcBorders>
            <w:shd w:val="clear" w:color="auto" w:fill="365F91"/>
            <w:vAlign w:val="bottom"/>
          </w:tcPr>
          <w:p w14:paraId="51DDA72D" w14:textId="77777777" w:rsidR="00005A00" w:rsidRPr="00256982" w:rsidRDefault="00005A00" w:rsidP="00AA14F1">
            <w:pPr>
              <w:pStyle w:val="TableTextBold"/>
              <w:spacing w:before="40" w:after="40"/>
              <w:jc w:val="center"/>
              <w:rPr>
                <w:noProof w:val="0"/>
                <w:color w:val="FFFFFF"/>
              </w:rPr>
            </w:pPr>
            <w:r w:rsidRPr="00256982">
              <w:rPr>
                <w:noProof w:val="0"/>
                <w:color w:val="FFFFFF"/>
              </w:rPr>
              <w:t>Total waste incinerated (kt)</w:t>
            </w:r>
          </w:p>
        </w:tc>
      </w:tr>
      <w:tr w:rsidR="00005A00" w:rsidRPr="00256982" w14:paraId="5D183684" w14:textId="77777777" w:rsidTr="00AA14F1">
        <w:tc>
          <w:tcPr>
            <w:tcW w:w="1079" w:type="dxa"/>
            <w:tcBorders>
              <w:top w:val="single" w:sz="4" w:space="0" w:color="365F91"/>
              <w:bottom w:val="single" w:sz="4" w:space="0" w:color="365F91"/>
            </w:tcBorders>
          </w:tcPr>
          <w:p w14:paraId="604E8080" w14:textId="77777777" w:rsidR="00005A00" w:rsidRPr="00256982" w:rsidRDefault="00005A00" w:rsidP="00AA14F1">
            <w:pPr>
              <w:pStyle w:val="TableTextBold"/>
              <w:spacing w:before="40" w:after="40"/>
              <w:rPr>
                <w:noProof w:val="0"/>
              </w:rPr>
            </w:pPr>
            <w:r w:rsidRPr="00256982">
              <w:rPr>
                <w:noProof w:val="0"/>
              </w:rPr>
              <w:t>1990</w:t>
            </w:r>
          </w:p>
        </w:tc>
        <w:tc>
          <w:tcPr>
            <w:tcW w:w="1857" w:type="dxa"/>
            <w:tcBorders>
              <w:top w:val="single" w:sz="4" w:space="0" w:color="365F91"/>
              <w:bottom w:val="single" w:sz="4" w:space="0" w:color="365F91"/>
            </w:tcBorders>
            <w:shd w:val="clear" w:color="auto" w:fill="auto"/>
          </w:tcPr>
          <w:p w14:paraId="3EA4A3EA" w14:textId="77777777" w:rsidR="00005A00" w:rsidRPr="00256982" w:rsidRDefault="00005A00" w:rsidP="00AA14F1">
            <w:pPr>
              <w:pStyle w:val="TableText"/>
              <w:spacing w:before="40" w:after="40"/>
              <w:jc w:val="center"/>
              <w:rPr>
                <w:rFonts w:cs="Arial"/>
                <w:szCs w:val="16"/>
                <w:highlight w:val="yellow"/>
              </w:rPr>
            </w:pPr>
            <w:r w:rsidRPr="00256982">
              <w:t>21.5</w:t>
            </w:r>
          </w:p>
        </w:tc>
        <w:tc>
          <w:tcPr>
            <w:tcW w:w="1856" w:type="dxa"/>
            <w:tcBorders>
              <w:top w:val="single" w:sz="4" w:space="0" w:color="365F91"/>
              <w:bottom w:val="single" w:sz="4" w:space="0" w:color="365F91"/>
            </w:tcBorders>
          </w:tcPr>
          <w:p w14:paraId="4D3113AF" w14:textId="77777777" w:rsidR="00005A00" w:rsidRPr="00256982" w:rsidRDefault="00005A00" w:rsidP="00AA14F1">
            <w:pPr>
              <w:pStyle w:val="TableText"/>
              <w:spacing w:before="40" w:after="40"/>
              <w:jc w:val="center"/>
              <w:rPr>
                <w:rFonts w:cs="Arial"/>
                <w:szCs w:val="16"/>
                <w:highlight w:val="yellow"/>
              </w:rPr>
            </w:pPr>
            <w:r w:rsidRPr="00256982">
              <w:t>0.3</w:t>
            </w:r>
          </w:p>
        </w:tc>
        <w:tc>
          <w:tcPr>
            <w:tcW w:w="1856" w:type="dxa"/>
            <w:tcBorders>
              <w:top w:val="single" w:sz="4" w:space="0" w:color="365F91"/>
              <w:bottom w:val="single" w:sz="4" w:space="0" w:color="365F91"/>
            </w:tcBorders>
            <w:shd w:val="clear" w:color="auto" w:fill="auto"/>
          </w:tcPr>
          <w:p w14:paraId="6ECD0BF2" w14:textId="77777777" w:rsidR="00005A00" w:rsidRPr="00256982" w:rsidRDefault="00005A00" w:rsidP="00AA14F1">
            <w:pPr>
              <w:pStyle w:val="TableText"/>
              <w:spacing w:before="40" w:after="40"/>
              <w:jc w:val="center"/>
              <w:rPr>
                <w:rFonts w:cs="Arial"/>
                <w:szCs w:val="16"/>
                <w:highlight w:val="yellow"/>
              </w:rPr>
            </w:pPr>
            <w:r w:rsidRPr="00256982">
              <w:t>4.4</w:t>
            </w:r>
          </w:p>
        </w:tc>
        <w:tc>
          <w:tcPr>
            <w:tcW w:w="1857" w:type="dxa"/>
            <w:tcBorders>
              <w:top w:val="single" w:sz="4" w:space="0" w:color="365F91"/>
              <w:bottom w:val="single" w:sz="4" w:space="0" w:color="365F91"/>
            </w:tcBorders>
            <w:shd w:val="clear" w:color="auto" w:fill="auto"/>
          </w:tcPr>
          <w:p w14:paraId="4B5027EB" w14:textId="77777777" w:rsidR="00005A00" w:rsidRPr="00256982" w:rsidRDefault="00005A00" w:rsidP="00AA14F1">
            <w:pPr>
              <w:pStyle w:val="TableText"/>
              <w:spacing w:before="40" w:after="40"/>
              <w:jc w:val="center"/>
              <w:rPr>
                <w:rFonts w:cs="Arial"/>
                <w:szCs w:val="16"/>
                <w:highlight w:val="yellow"/>
              </w:rPr>
            </w:pPr>
            <w:r w:rsidRPr="00256982">
              <w:t>26.2</w:t>
            </w:r>
          </w:p>
        </w:tc>
      </w:tr>
      <w:tr w:rsidR="00005A00" w:rsidRPr="00256982" w14:paraId="3A01BDC8" w14:textId="77777777" w:rsidTr="00AA14F1">
        <w:tc>
          <w:tcPr>
            <w:tcW w:w="1079" w:type="dxa"/>
            <w:tcBorders>
              <w:top w:val="single" w:sz="4" w:space="0" w:color="365F91"/>
              <w:bottom w:val="single" w:sz="4" w:space="0" w:color="365F91"/>
            </w:tcBorders>
          </w:tcPr>
          <w:p w14:paraId="04F03F1F" w14:textId="77777777" w:rsidR="00005A00" w:rsidRPr="00256982" w:rsidRDefault="00005A00" w:rsidP="00AA14F1">
            <w:pPr>
              <w:pStyle w:val="TableTextBold"/>
              <w:spacing w:before="40" w:after="40"/>
              <w:rPr>
                <w:noProof w:val="0"/>
              </w:rPr>
            </w:pPr>
            <w:r w:rsidRPr="00256982">
              <w:rPr>
                <w:noProof w:val="0"/>
              </w:rPr>
              <w:t>1991</w:t>
            </w:r>
          </w:p>
        </w:tc>
        <w:tc>
          <w:tcPr>
            <w:tcW w:w="1857" w:type="dxa"/>
            <w:tcBorders>
              <w:top w:val="single" w:sz="4" w:space="0" w:color="365F91"/>
              <w:bottom w:val="single" w:sz="4" w:space="0" w:color="365F91"/>
            </w:tcBorders>
            <w:shd w:val="clear" w:color="auto" w:fill="auto"/>
          </w:tcPr>
          <w:p w14:paraId="0FB24196" w14:textId="77777777" w:rsidR="00005A00" w:rsidRPr="00256982" w:rsidRDefault="00005A00" w:rsidP="00AA14F1">
            <w:pPr>
              <w:pStyle w:val="TableText"/>
              <w:spacing w:before="40" w:after="40"/>
              <w:jc w:val="center"/>
              <w:rPr>
                <w:rFonts w:cs="Arial"/>
                <w:szCs w:val="16"/>
                <w:highlight w:val="yellow"/>
              </w:rPr>
            </w:pPr>
            <w:r w:rsidRPr="00256982">
              <w:t>21.5</w:t>
            </w:r>
          </w:p>
        </w:tc>
        <w:tc>
          <w:tcPr>
            <w:tcW w:w="1856" w:type="dxa"/>
            <w:tcBorders>
              <w:top w:val="single" w:sz="4" w:space="0" w:color="365F91"/>
              <w:bottom w:val="single" w:sz="4" w:space="0" w:color="365F91"/>
            </w:tcBorders>
          </w:tcPr>
          <w:p w14:paraId="448AC93F" w14:textId="77777777" w:rsidR="00005A00" w:rsidRPr="00256982" w:rsidRDefault="00005A00" w:rsidP="00AA14F1">
            <w:pPr>
              <w:pStyle w:val="TableText"/>
              <w:spacing w:before="40" w:after="40"/>
              <w:jc w:val="center"/>
              <w:rPr>
                <w:rFonts w:cs="Arial"/>
                <w:szCs w:val="16"/>
                <w:highlight w:val="yellow"/>
              </w:rPr>
            </w:pPr>
            <w:r w:rsidRPr="00256982">
              <w:t>0.3</w:t>
            </w:r>
          </w:p>
        </w:tc>
        <w:tc>
          <w:tcPr>
            <w:tcW w:w="1856" w:type="dxa"/>
            <w:tcBorders>
              <w:top w:val="single" w:sz="4" w:space="0" w:color="365F91"/>
              <w:bottom w:val="single" w:sz="4" w:space="0" w:color="365F91"/>
            </w:tcBorders>
            <w:shd w:val="clear" w:color="auto" w:fill="auto"/>
          </w:tcPr>
          <w:p w14:paraId="1B5740BE" w14:textId="77777777" w:rsidR="00005A00" w:rsidRPr="00256982" w:rsidRDefault="00005A00" w:rsidP="00AA14F1">
            <w:pPr>
              <w:pStyle w:val="TableText"/>
              <w:spacing w:before="40" w:after="40"/>
              <w:jc w:val="center"/>
              <w:rPr>
                <w:rFonts w:cs="Arial"/>
                <w:szCs w:val="16"/>
                <w:highlight w:val="yellow"/>
              </w:rPr>
            </w:pPr>
            <w:r w:rsidRPr="00256982">
              <w:t>4.4</w:t>
            </w:r>
          </w:p>
        </w:tc>
        <w:tc>
          <w:tcPr>
            <w:tcW w:w="1857" w:type="dxa"/>
            <w:tcBorders>
              <w:top w:val="single" w:sz="4" w:space="0" w:color="365F91"/>
              <w:bottom w:val="single" w:sz="4" w:space="0" w:color="365F91"/>
            </w:tcBorders>
            <w:shd w:val="clear" w:color="auto" w:fill="auto"/>
          </w:tcPr>
          <w:p w14:paraId="7D5B7E1B" w14:textId="77777777" w:rsidR="00005A00" w:rsidRPr="00256982" w:rsidRDefault="00005A00" w:rsidP="00AA14F1">
            <w:pPr>
              <w:pStyle w:val="TableText"/>
              <w:spacing w:before="40" w:after="40"/>
              <w:jc w:val="center"/>
              <w:rPr>
                <w:rFonts w:cs="Arial"/>
                <w:szCs w:val="16"/>
                <w:highlight w:val="yellow"/>
              </w:rPr>
            </w:pPr>
            <w:r w:rsidRPr="00256982">
              <w:t>26.2</w:t>
            </w:r>
          </w:p>
        </w:tc>
      </w:tr>
      <w:tr w:rsidR="00005A00" w:rsidRPr="00256982" w14:paraId="48B593BE" w14:textId="77777777" w:rsidTr="00AA14F1">
        <w:tc>
          <w:tcPr>
            <w:tcW w:w="1079" w:type="dxa"/>
            <w:tcBorders>
              <w:top w:val="single" w:sz="4" w:space="0" w:color="365F91"/>
              <w:bottom w:val="single" w:sz="4" w:space="0" w:color="365F91"/>
            </w:tcBorders>
          </w:tcPr>
          <w:p w14:paraId="6FDA71C1" w14:textId="77777777" w:rsidR="00005A00" w:rsidRPr="00256982" w:rsidRDefault="00005A00" w:rsidP="00AA14F1">
            <w:pPr>
              <w:pStyle w:val="TableTextBold"/>
              <w:spacing w:before="40" w:after="40"/>
              <w:rPr>
                <w:noProof w:val="0"/>
              </w:rPr>
            </w:pPr>
            <w:r w:rsidRPr="00256982">
              <w:rPr>
                <w:noProof w:val="0"/>
              </w:rPr>
              <w:t>1992</w:t>
            </w:r>
          </w:p>
        </w:tc>
        <w:tc>
          <w:tcPr>
            <w:tcW w:w="1857" w:type="dxa"/>
            <w:tcBorders>
              <w:top w:val="single" w:sz="4" w:space="0" w:color="365F91"/>
              <w:bottom w:val="single" w:sz="4" w:space="0" w:color="365F91"/>
            </w:tcBorders>
            <w:shd w:val="clear" w:color="auto" w:fill="auto"/>
          </w:tcPr>
          <w:p w14:paraId="2A4AD99F" w14:textId="77777777" w:rsidR="00005A00" w:rsidRPr="00256982" w:rsidRDefault="00005A00" w:rsidP="00AA14F1">
            <w:pPr>
              <w:pStyle w:val="TableText"/>
              <w:spacing w:before="40" w:after="40"/>
              <w:jc w:val="center"/>
              <w:rPr>
                <w:rFonts w:cs="Arial"/>
                <w:szCs w:val="16"/>
                <w:highlight w:val="yellow"/>
              </w:rPr>
            </w:pPr>
            <w:r w:rsidRPr="00256982">
              <w:t>21.5</w:t>
            </w:r>
          </w:p>
        </w:tc>
        <w:tc>
          <w:tcPr>
            <w:tcW w:w="1856" w:type="dxa"/>
            <w:tcBorders>
              <w:top w:val="single" w:sz="4" w:space="0" w:color="365F91"/>
              <w:bottom w:val="single" w:sz="4" w:space="0" w:color="365F91"/>
            </w:tcBorders>
          </w:tcPr>
          <w:p w14:paraId="148B80CE" w14:textId="77777777" w:rsidR="00005A00" w:rsidRPr="00256982" w:rsidRDefault="00005A00" w:rsidP="00AA14F1">
            <w:pPr>
              <w:pStyle w:val="TableText"/>
              <w:spacing w:before="40" w:after="40"/>
              <w:jc w:val="center"/>
              <w:rPr>
                <w:rFonts w:cs="Arial"/>
                <w:szCs w:val="16"/>
                <w:highlight w:val="yellow"/>
              </w:rPr>
            </w:pPr>
            <w:r w:rsidRPr="00256982">
              <w:t>0.3</w:t>
            </w:r>
          </w:p>
        </w:tc>
        <w:tc>
          <w:tcPr>
            <w:tcW w:w="1856" w:type="dxa"/>
            <w:tcBorders>
              <w:top w:val="single" w:sz="4" w:space="0" w:color="365F91"/>
              <w:bottom w:val="single" w:sz="4" w:space="0" w:color="365F91"/>
            </w:tcBorders>
            <w:shd w:val="clear" w:color="auto" w:fill="auto"/>
          </w:tcPr>
          <w:p w14:paraId="46D922B9" w14:textId="77777777" w:rsidR="00005A00" w:rsidRPr="00256982" w:rsidRDefault="00005A00" w:rsidP="00AA14F1">
            <w:pPr>
              <w:pStyle w:val="TableText"/>
              <w:spacing w:before="40" w:after="40"/>
              <w:jc w:val="center"/>
              <w:rPr>
                <w:rFonts w:cs="Arial"/>
                <w:szCs w:val="16"/>
                <w:highlight w:val="yellow"/>
              </w:rPr>
            </w:pPr>
            <w:r w:rsidRPr="00256982">
              <w:t>4.4</w:t>
            </w:r>
          </w:p>
        </w:tc>
        <w:tc>
          <w:tcPr>
            <w:tcW w:w="1857" w:type="dxa"/>
            <w:tcBorders>
              <w:top w:val="single" w:sz="4" w:space="0" w:color="365F91"/>
              <w:bottom w:val="single" w:sz="4" w:space="0" w:color="365F91"/>
            </w:tcBorders>
            <w:shd w:val="clear" w:color="auto" w:fill="auto"/>
          </w:tcPr>
          <w:p w14:paraId="1315DC6A" w14:textId="77777777" w:rsidR="00005A00" w:rsidRPr="00256982" w:rsidRDefault="00005A00" w:rsidP="00AA14F1">
            <w:pPr>
              <w:pStyle w:val="TableText"/>
              <w:spacing w:before="40" w:after="40"/>
              <w:jc w:val="center"/>
              <w:rPr>
                <w:rFonts w:cs="Arial"/>
                <w:szCs w:val="16"/>
                <w:highlight w:val="yellow"/>
              </w:rPr>
            </w:pPr>
            <w:r w:rsidRPr="00256982">
              <w:t>26.2</w:t>
            </w:r>
          </w:p>
        </w:tc>
      </w:tr>
      <w:tr w:rsidR="00005A00" w:rsidRPr="00256982" w14:paraId="7E2A68C1" w14:textId="77777777" w:rsidTr="00AA14F1">
        <w:tc>
          <w:tcPr>
            <w:tcW w:w="1079" w:type="dxa"/>
            <w:tcBorders>
              <w:top w:val="single" w:sz="4" w:space="0" w:color="365F91"/>
              <w:bottom w:val="single" w:sz="4" w:space="0" w:color="365F91"/>
            </w:tcBorders>
          </w:tcPr>
          <w:p w14:paraId="78F1B391" w14:textId="77777777" w:rsidR="00005A00" w:rsidRPr="00256982" w:rsidRDefault="00005A00" w:rsidP="00AA14F1">
            <w:pPr>
              <w:pStyle w:val="TableTextBold"/>
              <w:spacing w:before="40" w:after="40"/>
              <w:rPr>
                <w:noProof w:val="0"/>
              </w:rPr>
            </w:pPr>
            <w:r w:rsidRPr="00256982">
              <w:rPr>
                <w:noProof w:val="0"/>
              </w:rPr>
              <w:t>1993</w:t>
            </w:r>
          </w:p>
        </w:tc>
        <w:tc>
          <w:tcPr>
            <w:tcW w:w="1857" w:type="dxa"/>
            <w:tcBorders>
              <w:top w:val="single" w:sz="4" w:space="0" w:color="365F91"/>
              <w:bottom w:val="single" w:sz="4" w:space="0" w:color="365F91"/>
            </w:tcBorders>
            <w:shd w:val="clear" w:color="auto" w:fill="auto"/>
          </w:tcPr>
          <w:p w14:paraId="6B82AFD1" w14:textId="77777777" w:rsidR="00005A00" w:rsidRPr="00256982" w:rsidRDefault="00005A00" w:rsidP="00AA14F1">
            <w:pPr>
              <w:pStyle w:val="TableText"/>
              <w:spacing w:before="40" w:after="40"/>
              <w:jc w:val="center"/>
              <w:rPr>
                <w:highlight w:val="yellow"/>
              </w:rPr>
            </w:pPr>
            <w:r w:rsidRPr="00256982">
              <w:t>21.3</w:t>
            </w:r>
          </w:p>
        </w:tc>
        <w:tc>
          <w:tcPr>
            <w:tcW w:w="1856" w:type="dxa"/>
            <w:tcBorders>
              <w:top w:val="single" w:sz="4" w:space="0" w:color="365F91"/>
              <w:bottom w:val="single" w:sz="4" w:space="0" w:color="365F91"/>
            </w:tcBorders>
          </w:tcPr>
          <w:p w14:paraId="0F9FE5BB" w14:textId="77777777" w:rsidR="00005A00" w:rsidRPr="00256982" w:rsidRDefault="00005A00" w:rsidP="00AA14F1">
            <w:pPr>
              <w:pStyle w:val="TableText"/>
              <w:spacing w:before="40" w:after="40"/>
              <w:jc w:val="center"/>
              <w:rPr>
                <w:highlight w:val="yellow"/>
              </w:rPr>
            </w:pPr>
            <w:r w:rsidRPr="00256982">
              <w:t>0.3</w:t>
            </w:r>
          </w:p>
        </w:tc>
        <w:tc>
          <w:tcPr>
            <w:tcW w:w="1856" w:type="dxa"/>
            <w:tcBorders>
              <w:top w:val="single" w:sz="4" w:space="0" w:color="365F91"/>
              <w:bottom w:val="single" w:sz="4" w:space="0" w:color="365F91"/>
            </w:tcBorders>
            <w:shd w:val="clear" w:color="auto" w:fill="auto"/>
          </w:tcPr>
          <w:p w14:paraId="043CF3B4" w14:textId="77777777" w:rsidR="00005A00" w:rsidRPr="00256982" w:rsidRDefault="00005A00" w:rsidP="00AA14F1">
            <w:pPr>
              <w:pStyle w:val="TableText"/>
              <w:spacing w:before="40" w:after="40"/>
              <w:jc w:val="center"/>
              <w:rPr>
                <w:highlight w:val="yellow"/>
              </w:rPr>
            </w:pPr>
            <w:r w:rsidRPr="00256982">
              <w:t>4.4</w:t>
            </w:r>
          </w:p>
        </w:tc>
        <w:tc>
          <w:tcPr>
            <w:tcW w:w="1857" w:type="dxa"/>
            <w:tcBorders>
              <w:top w:val="single" w:sz="4" w:space="0" w:color="365F91"/>
              <w:bottom w:val="single" w:sz="4" w:space="0" w:color="365F91"/>
            </w:tcBorders>
            <w:shd w:val="clear" w:color="auto" w:fill="auto"/>
          </w:tcPr>
          <w:p w14:paraId="315DFFC8" w14:textId="77777777" w:rsidR="00005A00" w:rsidRPr="00256982" w:rsidRDefault="00005A00" w:rsidP="00AA14F1">
            <w:pPr>
              <w:pStyle w:val="TableText"/>
              <w:spacing w:before="40" w:after="40"/>
              <w:jc w:val="center"/>
              <w:rPr>
                <w:highlight w:val="yellow"/>
              </w:rPr>
            </w:pPr>
            <w:r w:rsidRPr="00256982">
              <w:t>26.0</w:t>
            </w:r>
          </w:p>
        </w:tc>
      </w:tr>
      <w:tr w:rsidR="00005A00" w:rsidRPr="00256982" w14:paraId="00A31765" w14:textId="77777777" w:rsidTr="00AA14F1">
        <w:tc>
          <w:tcPr>
            <w:tcW w:w="1079" w:type="dxa"/>
            <w:tcBorders>
              <w:top w:val="single" w:sz="4" w:space="0" w:color="365F91"/>
              <w:bottom w:val="single" w:sz="4" w:space="0" w:color="365F91"/>
            </w:tcBorders>
          </w:tcPr>
          <w:p w14:paraId="3C01B0CB" w14:textId="77777777" w:rsidR="00005A00" w:rsidRPr="00256982" w:rsidRDefault="00005A00" w:rsidP="00AA14F1">
            <w:pPr>
              <w:pStyle w:val="TableTextBold"/>
              <w:spacing w:before="40" w:after="40"/>
              <w:rPr>
                <w:noProof w:val="0"/>
              </w:rPr>
            </w:pPr>
            <w:r w:rsidRPr="00256982">
              <w:rPr>
                <w:noProof w:val="0"/>
              </w:rPr>
              <w:t>1994</w:t>
            </w:r>
          </w:p>
        </w:tc>
        <w:tc>
          <w:tcPr>
            <w:tcW w:w="1857" w:type="dxa"/>
            <w:tcBorders>
              <w:top w:val="single" w:sz="4" w:space="0" w:color="365F91"/>
              <w:bottom w:val="single" w:sz="4" w:space="0" w:color="365F91"/>
            </w:tcBorders>
            <w:shd w:val="clear" w:color="auto" w:fill="auto"/>
          </w:tcPr>
          <w:p w14:paraId="27E83F2D" w14:textId="77777777" w:rsidR="00005A00" w:rsidRPr="00256982" w:rsidRDefault="00005A00" w:rsidP="00AA14F1">
            <w:pPr>
              <w:pStyle w:val="TableText"/>
              <w:spacing w:before="40" w:after="40"/>
              <w:jc w:val="center"/>
              <w:rPr>
                <w:highlight w:val="yellow"/>
              </w:rPr>
            </w:pPr>
            <w:r w:rsidRPr="00256982">
              <w:t>21.3</w:t>
            </w:r>
          </w:p>
        </w:tc>
        <w:tc>
          <w:tcPr>
            <w:tcW w:w="1856" w:type="dxa"/>
            <w:tcBorders>
              <w:top w:val="single" w:sz="4" w:space="0" w:color="365F91"/>
              <w:bottom w:val="single" w:sz="4" w:space="0" w:color="365F91"/>
            </w:tcBorders>
          </w:tcPr>
          <w:p w14:paraId="13CC7C9D" w14:textId="77777777" w:rsidR="00005A00" w:rsidRPr="00256982" w:rsidRDefault="00005A00" w:rsidP="00AA14F1">
            <w:pPr>
              <w:pStyle w:val="TableText"/>
              <w:spacing w:before="40" w:after="40"/>
              <w:jc w:val="center"/>
              <w:rPr>
                <w:highlight w:val="yellow"/>
              </w:rPr>
            </w:pPr>
            <w:r w:rsidRPr="00256982">
              <w:t>0.3</w:t>
            </w:r>
          </w:p>
        </w:tc>
        <w:tc>
          <w:tcPr>
            <w:tcW w:w="1856" w:type="dxa"/>
            <w:tcBorders>
              <w:top w:val="single" w:sz="4" w:space="0" w:color="365F91"/>
              <w:bottom w:val="single" w:sz="4" w:space="0" w:color="365F91"/>
            </w:tcBorders>
            <w:shd w:val="clear" w:color="auto" w:fill="auto"/>
          </w:tcPr>
          <w:p w14:paraId="26D54FA7" w14:textId="77777777" w:rsidR="00005A00" w:rsidRPr="00256982" w:rsidRDefault="00005A00" w:rsidP="00AA14F1">
            <w:pPr>
              <w:pStyle w:val="TableText"/>
              <w:spacing w:before="40" w:after="40"/>
              <w:jc w:val="center"/>
              <w:rPr>
                <w:highlight w:val="yellow"/>
              </w:rPr>
            </w:pPr>
            <w:r w:rsidRPr="00256982">
              <w:t>4.4</w:t>
            </w:r>
          </w:p>
        </w:tc>
        <w:tc>
          <w:tcPr>
            <w:tcW w:w="1857" w:type="dxa"/>
            <w:tcBorders>
              <w:top w:val="single" w:sz="4" w:space="0" w:color="365F91"/>
              <w:bottom w:val="single" w:sz="4" w:space="0" w:color="365F91"/>
            </w:tcBorders>
            <w:shd w:val="clear" w:color="auto" w:fill="auto"/>
          </w:tcPr>
          <w:p w14:paraId="605D917B" w14:textId="77777777" w:rsidR="00005A00" w:rsidRPr="00256982" w:rsidRDefault="00005A00" w:rsidP="00AA14F1">
            <w:pPr>
              <w:pStyle w:val="TableText"/>
              <w:spacing w:before="40" w:after="40"/>
              <w:jc w:val="center"/>
              <w:rPr>
                <w:highlight w:val="yellow"/>
              </w:rPr>
            </w:pPr>
            <w:r w:rsidRPr="00256982">
              <w:t>26.0</w:t>
            </w:r>
          </w:p>
        </w:tc>
      </w:tr>
      <w:tr w:rsidR="00005A00" w:rsidRPr="00256982" w14:paraId="04BD3F50" w14:textId="77777777" w:rsidTr="00AA14F1">
        <w:tc>
          <w:tcPr>
            <w:tcW w:w="1079" w:type="dxa"/>
            <w:tcBorders>
              <w:top w:val="single" w:sz="4" w:space="0" w:color="365F91"/>
              <w:bottom w:val="single" w:sz="4" w:space="0" w:color="365F91"/>
            </w:tcBorders>
          </w:tcPr>
          <w:p w14:paraId="0BC52CE6" w14:textId="77777777" w:rsidR="00005A00" w:rsidRPr="00256982" w:rsidRDefault="00005A00" w:rsidP="00AA14F1">
            <w:pPr>
              <w:pStyle w:val="TableTextBold"/>
              <w:spacing w:before="40" w:after="40"/>
              <w:rPr>
                <w:noProof w:val="0"/>
              </w:rPr>
            </w:pPr>
            <w:r w:rsidRPr="00256982">
              <w:rPr>
                <w:noProof w:val="0"/>
              </w:rPr>
              <w:t>1995</w:t>
            </w:r>
          </w:p>
        </w:tc>
        <w:tc>
          <w:tcPr>
            <w:tcW w:w="1857" w:type="dxa"/>
            <w:tcBorders>
              <w:top w:val="single" w:sz="4" w:space="0" w:color="365F91"/>
              <w:bottom w:val="single" w:sz="4" w:space="0" w:color="365F91"/>
            </w:tcBorders>
            <w:shd w:val="clear" w:color="auto" w:fill="auto"/>
          </w:tcPr>
          <w:p w14:paraId="265837AB" w14:textId="77777777" w:rsidR="00005A00" w:rsidRPr="00256982" w:rsidRDefault="00005A00" w:rsidP="00AA14F1">
            <w:pPr>
              <w:pStyle w:val="TableText"/>
              <w:spacing w:before="40" w:after="40"/>
              <w:jc w:val="center"/>
              <w:rPr>
                <w:highlight w:val="yellow"/>
              </w:rPr>
            </w:pPr>
            <w:r w:rsidRPr="00256982">
              <w:t>21.0</w:t>
            </w:r>
          </w:p>
        </w:tc>
        <w:tc>
          <w:tcPr>
            <w:tcW w:w="1856" w:type="dxa"/>
            <w:tcBorders>
              <w:top w:val="single" w:sz="4" w:space="0" w:color="365F91"/>
              <w:bottom w:val="single" w:sz="4" w:space="0" w:color="365F91"/>
            </w:tcBorders>
          </w:tcPr>
          <w:p w14:paraId="215C5E5F" w14:textId="77777777" w:rsidR="00005A00" w:rsidRPr="00256982" w:rsidRDefault="00005A00" w:rsidP="00AA14F1">
            <w:pPr>
              <w:pStyle w:val="TableText"/>
              <w:spacing w:before="40" w:after="40"/>
              <w:jc w:val="center"/>
              <w:rPr>
                <w:highlight w:val="yellow"/>
              </w:rPr>
            </w:pPr>
            <w:r w:rsidRPr="00256982">
              <w:t>0.3</w:t>
            </w:r>
          </w:p>
        </w:tc>
        <w:tc>
          <w:tcPr>
            <w:tcW w:w="1856" w:type="dxa"/>
            <w:tcBorders>
              <w:top w:val="single" w:sz="4" w:space="0" w:color="365F91"/>
              <w:bottom w:val="single" w:sz="4" w:space="0" w:color="365F91"/>
            </w:tcBorders>
            <w:shd w:val="clear" w:color="auto" w:fill="auto"/>
          </w:tcPr>
          <w:p w14:paraId="6F9D2A07" w14:textId="77777777" w:rsidR="00005A00" w:rsidRPr="00256982" w:rsidRDefault="00005A00" w:rsidP="00AA14F1">
            <w:pPr>
              <w:pStyle w:val="TableText"/>
              <w:spacing w:before="40" w:after="40"/>
              <w:jc w:val="center"/>
              <w:rPr>
                <w:highlight w:val="yellow"/>
              </w:rPr>
            </w:pPr>
            <w:r w:rsidRPr="00256982">
              <w:t>4.4</w:t>
            </w:r>
          </w:p>
        </w:tc>
        <w:tc>
          <w:tcPr>
            <w:tcW w:w="1857" w:type="dxa"/>
            <w:tcBorders>
              <w:top w:val="single" w:sz="4" w:space="0" w:color="365F91"/>
              <w:bottom w:val="single" w:sz="4" w:space="0" w:color="365F91"/>
            </w:tcBorders>
            <w:shd w:val="clear" w:color="auto" w:fill="auto"/>
          </w:tcPr>
          <w:p w14:paraId="7B6249FC" w14:textId="77777777" w:rsidR="00005A00" w:rsidRPr="00256982" w:rsidRDefault="00005A00" w:rsidP="00AA14F1">
            <w:pPr>
              <w:pStyle w:val="TableText"/>
              <w:spacing w:before="40" w:after="40"/>
              <w:jc w:val="center"/>
              <w:rPr>
                <w:highlight w:val="yellow"/>
              </w:rPr>
            </w:pPr>
            <w:r w:rsidRPr="00256982">
              <w:t>25.7</w:t>
            </w:r>
          </w:p>
        </w:tc>
      </w:tr>
      <w:tr w:rsidR="00005A00" w:rsidRPr="00256982" w14:paraId="6D5AD270" w14:textId="77777777" w:rsidTr="00AA14F1">
        <w:tc>
          <w:tcPr>
            <w:tcW w:w="1079" w:type="dxa"/>
            <w:tcBorders>
              <w:top w:val="single" w:sz="4" w:space="0" w:color="365F91"/>
              <w:bottom w:val="single" w:sz="4" w:space="0" w:color="365F91"/>
            </w:tcBorders>
          </w:tcPr>
          <w:p w14:paraId="6B328FCA" w14:textId="77777777" w:rsidR="00005A00" w:rsidRPr="00256982" w:rsidRDefault="00005A00" w:rsidP="00AA14F1">
            <w:pPr>
              <w:pStyle w:val="TableTextBold"/>
              <w:spacing w:before="40" w:after="40"/>
              <w:rPr>
                <w:noProof w:val="0"/>
              </w:rPr>
            </w:pPr>
            <w:r w:rsidRPr="00256982">
              <w:rPr>
                <w:noProof w:val="0"/>
              </w:rPr>
              <w:t>1996</w:t>
            </w:r>
          </w:p>
        </w:tc>
        <w:tc>
          <w:tcPr>
            <w:tcW w:w="1857" w:type="dxa"/>
            <w:tcBorders>
              <w:top w:val="single" w:sz="4" w:space="0" w:color="365F91"/>
              <w:bottom w:val="single" w:sz="4" w:space="0" w:color="365F91"/>
            </w:tcBorders>
            <w:shd w:val="clear" w:color="auto" w:fill="auto"/>
          </w:tcPr>
          <w:p w14:paraId="0DC32D46" w14:textId="77777777" w:rsidR="00005A00" w:rsidRPr="00256982" w:rsidRDefault="00005A00" w:rsidP="00AA14F1">
            <w:pPr>
              <w:pStyle w:val="TableText"/>
              <w:spacing w:before="40" w:after="40"/>
              <w:jc w:val="center"/>
              <w:rPr>
                <w:highlight w:val="yellow"/>
              </w:rPr>
            </w:pPr>
            <w:r w:rsidRPr="00256982">
              <w:t>20.3</w:t>
            </w:r>
          </w:p>
        </w:tc>
        <w:tc>
          <w:tcPr>
            <w:tcW w:w="1856" w:type="dxa"/>
            <w:tcBorders>
              <w:top w:val="single" w:sz="4" w:space="0" w:color="365F91"/>
              <w:bottom w:val="single" w:sz="4" w:space="0" w:color="365F91"/>
            </w:tcBorders>
          </w:tcPr>
          <w:p w14:paraId="13AC97B2" w14:textId="77777777" w:rsidR="00005A00" w:rsidRPr="00256982" w:rsidRDefault="00005A00" w:rsidP="00AA14F1">
            <w:pPr>
              <w:pStyle w:val="TableText"/>
              <w:spacing w:before="40" w:after="40"/>
              <w:jc w:val="center"/>
              <w:rPr>
                <w:highlight w:val="yellow"/>
              </w:rPr>
            </w:pPr>
            <w:r w:rsidRPr="00256982">
              <w:t>0.3</w:t>
            </w:r>
          </w:p>
        </w:tc>
        <w:tc>
          <w:tcPr>
            <w:tcW w:w="1856" w:type="dxa"/>
            <w:tcBorders>
              <w:top w:val="single" w:sz="4" w:space="0" w:color="365F91"/>
              <w:bottom w:val="single" w:sz="4" w:space="0" w:color="365F91"/>
            </w:tcBorders>
            <w:shd w:val="clear" w:color="auto" w:fill="auto"/>
          </w:tcPr>
          <w:p w14:paraId="5F444328" w14:textId="77777777" w:rsidR="00005A00" w:rsidRPr="00256982" w:rsidRDefault="00005A00" w:rsidP="00AA14F1">
            <w:pPr>
              <w:pStyle w:val="TableText"/>
              <w:spacing w:before="40" w:after="40"/>
              <w:jc w:val="center"/>
              <w:rPr>
                <w:highlight w:val="yellow"/>
              </w:rPr>
            </w:pPr>
            <w:r w:rsidRPr="00256982">
              <w:t>4.4</w:t>
            </w:r>
          </w:p>
        </w:tc>
        <w:tc>
          <w:tcPr>
            <w:tcW w:w="1857" w:type="dxa"/>
            <w:tcBorders>
              <w:top w:val="single" w:sz="4" w:space="0" w:color="365F91"/>
              <w:bottom w:val="single" w:sz="4" w:space="0" w:color="365F91"/>
            </w:tcBorders>
            <w:shd w:val="clear" w:color="auto" w:fill="auto"/>
          </w:tcPr>
          <w:p w14:paraId="58D137E9" w14:textId="77777777" w:rsidR="00005A00" w:rsidRPr="00256982" w:rsidRDefault="00005A00" w:rsidP="00AA14F1">
            <w:pPr>
              <w:pStyle w:val="TableText"/>
              <w:spacing w:before="40" w:after="40"/>
              <w:jc w:val="center"/>
              <w:rPr>
                <w:highlight w:val="yellow"/>
              </w:rPr>
            </w:pPr>
            <w:r w:rsidRPr="00256982">
              <w:t>25.0</w:t>
            </w:r>
          </w:p>
        </w:tc>
      </w:tr>
      <w:tr w:rsidR="00005A00" w:rsidRPr="00256982" w14:paraId="67600D95" w14:textId="77777777" w:rsidTr="00AA14F1">
        <w:tc>
          <w:tcPr>
            <w:tcW w:w="1079" w:type="dxa"/>
            <w:tcBorders>
              <w:top w:val="single" w:sz="4" w:space="0" w:color="365F91"/>
              <w:bottom w:val="single" w:sz="4" w:space="0" w:color="365F91"/>
            </w:tcBorders>
          </w:tcPr>
          <w:p w14:paraId="50480900" w14:textId="77777777" w:rsidR="00005A00" w:rsidRPr="00256982" w:rsidRDefault="00005A00" w:rsidP="00AA14F1">
            <w:pPr>
              <w:pStyle w:val="TableTextBold"/>
              <w:spacing w:before="40" w:after="40"/>
              <w:rPr>
                <w:noProof w:val="0"/>
              </w:rPr>
            </w:pPr>
            <w:r w:rsidRPr="00256982">
              <w:rPr>
                <w:noProof w:val="0"/>
              </w:rPr>
              <w:t>1997</w:t>
            </w:r>
          </w:p>
        </w:tc>
        <w:tc>
          <w:tcPr>
            <w:tcW w:w="1857" w:type="dxa"/>
            <w:tcBorders>
              <w:top w:val="single" w:sz="4" w:space="0" w:color="365F91"/>
              <w:bottom w:val="single" w:sz="4" w:space="0" w:color="365F91"/>
            </w:tcBorders>
            <w:shd w:val="clear" w:color="auto" w:fill="auto"/>
          </w:tcPr>
          <w:p w14:paraId="768E17A5" w14:textId="77777777" w:rsidR="00005A00" w:rsidRPr="00256982" w:rsidRDefault="00005A00" w:rsidP="00AA14F1">
            <w:pPr>
              <w:pStyle w:val="TableText"/>
              <w:spacing w:before="40" w:after="40"/>
              <w:jc w:val="center"/>
              <w:rPr>
                <w:highlight w:val="yellow"/>
              </w:rPr>
            </w:pPr>
            <w:r w:rsidRPr="00256982">
              <w:t>20.3</w:t>
            </w:r>
          </w:p>
        </w:tc>
        <w:tc>
          <w:tcPr>
            <w:tcW w:w="1856" w:type="dxa"/>
            <w:tcBorders>
              <w:top w:val="single" w:sz="4" w:space="0" w:color="365F91"/>
              <w:bottom w:val="single" w:sz="4" w:space="0" w:color="365F91"/>
            </w:tcBorders>
          </w:tcPr>
          <w:p w14:paraId="442DFC31" w14:textId="77777777" w:rsidR="00005A00" w:rsidRPr="00256982" w:rsidRDefault="00005A00" w:rsidP="00AA14F1">
            <w:pPr>
              <w:pStyle w:val="TableText"/>
              <w:spacing w:before="40" w:after="40"/>
              <w:jc w:val="center"/>
              <w:rPr>
                <w:highlight w:val="yellow"/>
              </w:rPr>
            </w:pPr>
            <w:r w:rsidRPr="00256982">
              <w:t>0.3</w:t>
            </w:r>
          </w:p>
        </w:tc>
        <w:tc>
          <w:tcPr>
            <w:tcW w:w="1856" w:type="dxa"/>
            <w:tcBorders>
              <w:top w:val="single" w:sz="4" w:space="0" w:color="365F91"/>
              <w:bottom w:val="single" w:sz="4" w:space="0" w:color="365F91"/>
            </w:tcBorders>
            <w:shd w:val="clear" w:color="auto" w:fill="auto"/>
          </w:tcPr>
          <w:p w14:paraId="3330C954" w14:textId="77777777" w:rsidR="00005A00" w:rsidRPr="00256982" w:rsidRDefault="00005A00" w:rsidP="00AA14F1">
            <w:pPr>
              <w:pStyle w:val="TableText"/>
              <w:spacing w:before="40" w:after="40"/>
              <w:jc w:val="center"/>
              <w:rPr>
                <w:highlight w:val="yellow"/>
              </w:rPr>
            </w:pPr>
            <w:r w:rsidRPr="00256982">
              <w:t>4.4</w:t>
            </w:r>
          </w:p>
        </w:tc>
        <w:tc>
          <w:tcPr>
            <w:tcW w:w="1857" w:type="dxa"/>
            <w:tcBorders>
              <w:top w:val="single" w:sz="4" w:space="0" w:color="365F91"/>
              <w:bottom w:val="single" w:sz="4" w:space="0" w:color="365F91"/>
            </w:tcBorders>
            <w:shd w:val="clear" w:color="auto" w:fill="auto"/>
          </w:tcPr>
          <w:p w14:paraId="71A87A13" w14:textId="77777777" w:rsidR="00005A00" w:rsidRPr="00256982" w:rsidRDefault="00005A00" w:rsidP="00AA14F1">
            <w:pPr>
              <w:pStyle w:val="TableText"/>
              <w:spacing w:before="40" w:after="40"/>
              <w:jc w:val="center"/>
              <w:rPr>
                <w:highlight w:val="yellow"/>
              </w:rPr>
            </w:pPr>
            <w:r w:rsidRPr="00256982">
              <w:t>25.0</w:t>
            </w:r>
          </w:p>
        </w:tc>
      </w:tr>
      <w:tr w:rsidR="00005A00" w:rsidRPr="00256982" w14:paraId="19011DFA" w14:textId="77777777" w:rsidTr="00AA14F1">
        <w:tc>
          <w:tcPr>
            <w:tcW w:w="1079" w:type="dxa"/>
            <w:tcBorders>
              <w:top w:val="single" w:sz="4" w:space="0" w:color="365F91"/>
              <w:bottom w:val="single" w:sz="4" w:space="0" w:color="365F91"/>
            </w:tcBorders>
          </w:tcPr>
          <w:p w14:paraId="6AF5EF82" w14:textId="77777777" w:rsidR="00005A00" w:rsidRPr="00256982" w:rsidRDefault="00005A00" w:rsidP="00AA14F1">
            <w:pPr>
              <w:pStyle w:val="TableTextBold"/>
              <w:spacing w:before="40" w:after="40"/>
              <w:rPr>
                <w:noProof w:val="0"/>
              </w:rPr>
            </w:pPr>
            <w:r w:rsidRPr="00256982">
              <w:rPr>
                <w:noProof w:val="0"/>
              </w:rPr>
              <w:t>1998</w:t>
            </w:r>
          </w:p>
        </w:tc>
        <w:tc>
          <w:tcPr>
            <w:tcW w:w="1857" w:type="dxa"/>
            <w:tcBorders>
              <w:top w:val="single" w:sz="4" w:space="0" w:color="365F91"/>
              <w:bottom w:val="single" w:sz="4" w:space="0" w:color="365F91"/>
            </w:tcBorders>
            <w:shd w:val="clear" w:color="auto" w:fill="auto"/>
          </w:tcPr>
          <w:p w14:paraId="77F23B05" w14:textId="77777777" w:rsidR="00005A00" w:rsidRPr="00256982" w:rsidRDefault="00005A00" w:rsidP="00AA14F1">
            <w:pPr>
              <w:pStyle w:val="TableText"/>
              <w:spacing w:before="40" w:after="40"/>
              <w:jc w:val="center"/>
              <w:rPr>
                <w:highlight w:val="yellow"/>
              </w:rPr>
            </w:pPr>
            <w:r w:rsidRPr="00256982">
              <w:t>20.0</w:t>
            </w:r>
          </w:p>
        </w:tc>
        <w:tc>
          <w:tcPr>
            <w:tcW w:w="1856" w:type="dxa"/>
            <w:tcBorders>
              <w:top w:val="single" w:sz="4" w:space="0" w:color="365F91"/>
              <w:bottom w:val="single" w:sz="4" w:space="0" w:color="365F91"/>
            </w:tcBorders>
          </w:tcPr>
          <w:p w14:paraId="22CF2521" w14:textId="77777777" w:rsidR="00005A00" w:rsidRPr="00256982" w:rsidRDefault="00005A00" w:rsidP="00AA14F1">
            <w:pPr>
              <w:pStyle w:val="TableText"/>
              <w:spacing w:before="40" w:after="40"/>
              <w:jc w:val="center"/>
              <w:rPr>
                <w:highlight w:val="yellow"/>
              </w:rPr>
            </w:pPr>
            <w:r w:rsidRPr="00256982">
              <w:t>0.3</w:t>
            </w:r>
          </w:p>
        </w:tc>
        <w:tc>
          <w:tcPr>
            <w:tcW w:w="1856" w:type="dxa"/>
            <w:tcBorders>
              <w:top w:val="single" w:sz="4" w:space="0" w:color="365F91"/>
              <w:bottom w:val="single" w:sz="4" w:space="0" w:color="365F91"/>
            </w:tcBorders>
            <w:shd w:val="clear" w:color="auto" w:fill="auto"/>
          </w:tcPr>
          <w:p w14:paraId="7FD035A1" w14:textId="77777777" w:rsidR="00005A00" w:rsidRPr="00256982" w:rsidRDefault="00005A00" w:rsidP="00AA14F1">
            <w:pPr>
              <w:pStyle w:val="TableText"/>
              <w:spacing w:before="40" w:after="40"/>
              <w:jc w:val="center"/>
              <w:rPr>
                <w:highlight w:val="yellow"/>
              </w:rPr>
            </w:pPr>
            <w:r w:rsidRPr="00256982">
              <w:t>4.4</w:t>
            </w:r>
          </w:p>
        </w:tc>
        <w:tc>
          <w:tcPr>
            <w:tcW w:w="1857" w:type="dxa"/>
            <w:tcBorders>
              <w:top w:val="single" w:sz="4" w:space="0" w:color="365F91"/>
              <w:bottom w:val="single" w:sz="4" w:space="0" w:color="365F91"/>
            </w:tcBorders>
            <w:shd w:val="clear" w:color="auto" w:fill="auto"/>
          </w:tcPr>
          <w:p w14:paraId="71A66F1A" w14:textId="77777777" w:rsidR="00005A00" w:rsidRPr="00256982" w:rsidRDefault="00005A00" w:rsidP="00AA14F1">
            <w:pPr>
              <w:pStyle w:val="TableText"/>
              <w:spacing w:before="40" w:after="40"/>
              <w:jc w:val="center"/>
              <w:rPr>
                <w:highlight w:val="yellow"/>
              </w:rPr>
            </w:pPr>
            <w:r w:rsidRPr="00256982">
              <w:t>24.7</w:t>
            </w:r>
          </w:p>
        </w:tc>
      </w:tr>
      <w:tr w:rsidR="00005A00" w:rsidRPr="00256982" w14:paraId="70C17C60" w14:textId="77777777" w:rsidTr="00AA14F1">
        <w:tc>
          <w:tcPr>
            <w:tcW w:w="1079" w:type="dxa"/>
            <w:tcBorders>
              <w:top w:val="single" w:sz="4" w:space="0" w:color="365F91"/>
              <w:bottom w:val="single" w:sz="4" w:space="0" w:color="365F91"/>
            </w:tcBorders>
          </w:tcPr>
          <w:p w14:paraId="5AE7B817" w14:textId="77777777" w:rsidR="00005A00" w:rsidRPr="00256982" w:rsidRDefault="00005A00" w:rsidP="00AA14F1">
            <w:pPr>
              <w:pStyle w:val="TableTextBold"/>
              <w:spacing w:before="40" w:after="40"/>
              <w:rPr>
                <w:noProof w:val="0"/>
              </w:rPr>
            </w:pPr>
            <w:r w:rsidRPr="00256982">
              <w:rPr>
                <w:noProof w:val="0"/>
              </w:rPr>
              <w:t>1999</w:t>
            </w:r>
          </w:p>
        </w:tc>
        <w:tc>
          <w:tcPr>
            <w:tcW w:w="1857" w:type="dxa"/>
            <w:tcBorders>
              <w:top w:val="single" w:sz="4" w:space="0" w:color="365F91"/>
              <w:bottom w:val="single" w:sz="4" w:space="0" w:color="365F91"/>
            </w:tcBorders>
            <w:shd w:val="clear" w:color="auto" w:fill="auto"/>
          </w:tcPr>
          <w:p w14:paraId="068E3402" w14:textId="77777777" w:rsidR="00005A00" w:rsidRPr="00256982" w:rsidRDefault="00005A00" w:rsidP="00AA14F1">
            <w:pPr>
              <w:pStyle w:val="TableText"/>
              <w:spacing w:before="40" w:after="40"/>
              <w:jc w:val="center"/>
              <w:rPr>
                <w:highlight w:val="yellow"/>
              </w:rPr>
            </w:pPr>
            <w:r w:rsidRPr="00256982">
              <w:t>18.9</w:t>
            </w:r>
          </w:p>
        </w:tc>
        <w:tc>
          <w:tcPr>
            <w:tcW w:w="1856" w:type="dxa"/>
            <w:tcBorders>
              <w:top w:val="single" w:sz="4" w:space="0" w:color="365F91"/>
              <w:bottom w:val="single" w:sz="4" w:space="0" w:color="365F91"/>
            </w:tcBorders>
          </w:tcPr>
          <w:p w14:paraId="186DE88D" w14:textId="77777777" w:rsidR="00005A00" w:rsidRPr="00256982" w:rsidRDefault="00005A00" w:rsidP="00AA14F1">
            <w:pPr>
              <w:pStyle w:val="TableText"/>
              <w:spacing w:before="40" w:after="40"/>
              <w:jc w:val="center"/>
              <w:rPr>
                <w:highlight w:val="yellow"/>
              </w:rPr>
            </w:pPr>
            <w:r w:rsidRPr="00256982">
              <w:t>0.3</w:t>
            </w:r>
          </w:p>
        </w:tc>
        <w:tc>
          <w:tcPr>
            <w:tcW w:w="1856" w:type="dxa"/>
            <w:tcBorders>
              <w:top w:val="single" w:sz="4" w:space="0" w:color="365F91"/>
              <w:bottom w:val="single" w:sz="4" w:space="0" w:color="365F91"/>
            </w:tcBorders>
            <w:shd w:val="clear" w:color="auto" w:fill="auto"/>
          </w:tcPr>
          <w:p w14:paraId="4B7F2910" w14:textId="77777777" w:rsidR="00005A00" w:rsidRPr="00256982" w:rsidRDefault="00005A00" w:rsidP="00AA14F1">
            <w:pPr>
              <w:pStyle w:val="TableText"/>
              <w:spacing w:before="40" w:after="40"/>
              <w:jc w:val="center"/>
              <w:rPr>
                <w:highlight w:val="yellow"/>
              </w:rPr>
            </w:pPr>
            <w:r w:rsidRPr="00256982">
              <w:t>4.4</w:t>
            </w:r>
          </w:p>
        </w:tc>
        <w:tc>
          <w:tcPr>
            <w:tcW w:w="1857" w:type="dxa"/>
            <w:tcBorders>
              <w:top w:val="single" w:sz="4" w:space="0" w:color="365F91"/>
              <w:bottom w:val="single" w:sz="4" w:space="0" w:color="365F91"/>
            </w:tcBorders>
            <w:shd w:val="clear" w:color="auto" w:fill="auto"/>
          </w:tcPr>
          <w:p w14:paraId="68571B5C" w14:textId="77777777" w:rsidR="00005A00" w:rsidRPr="00256982" w:rsidRDefault="00005A00" w:rsidP="00AA14F1">
            <w:pPr>
              <w:pStyle w:val="TableText"/>
              <w:spacing w:before="40" w:after="40"/>
              <w:jc w:val="center"/>
              <w:rPr>
                <w:highlight w:val="yellow"/>
              </w:rPr>
            </w:pPr>
            <w:r w:rsidRPr="00256982">
              <w:t>23.6</w:t>
            </w:r>
          </w:p>
        </w:tc>
      </w:tr>
      <w:tr w:rsidR="00005A00" w:rsidRPr="00256982" w14:paraId="0AEECD03" w14:textId="77777777" w:rsidTr="00AA14F1">
        <w:tc>
          <w:tcPr>
            <w:tcW w:w="1079" w:type="dxa"/>
            <w:tcBorders>
              <w:top w:val="single" w:sz="4" w:space="0" w:color="365F91"/>
              <w:bottom w:val="single" w:sz="4" w:space="0" w:color="365F91"/>
            </w:tcBorders>
          </w:tcPr>
          <w:p w14:paraId="49CD548D" w14:textId="77777777" w:rsidR="00005A00" w:rsidRPr="00256982" w:rsidRDefault="00005A00" w:rsidP="00AA14F1">
            <w:pPr>
              <w:pStyle w:val="TableTextBold"/>
              <w:spacing w:before="40" w:after="40"/>
              <w:rPr>
                <w:noProof w:val="0"/>
              </w:rPr>
            </w:pPr>
            <w:r w:rsidRPr="00256982">
              <w:rPr>
                <w:noProof w:val="0"/>
              </w:rPr>
              <w:t>2000</w:t>
            </w:r>
          </w:p>
        </w:tc>
        <w:tc>
          <w:tcPr>
            <w:tcW w:w="1857" w:type="dxa"/>
            <w:tcBorders>
              <w:top w:val="single" w:sz="4" w:space="0" w:color="365F91"/>
              <w:bottom w:val="single" w:sz="4" w:space="0" w:color="365F91"/>
            </w:tcBorders>
            <w:shd w:val="clear" w:color="auto" w:fill="auto"/>
          </w:tcPr>
          <w:p w14:paraId="653191CB" w14:textId="77777777" w:rsidR="00005A00" w:rsidRPr="00256982" w:rsidRDefault="00005A00" w:rsidP="00AA14F1">
            <w:pPr>
              <w:pStyle w:val="TableText"/>
              <w:spacing w:before="40" w:after="40"/>
              <w:jc w:val="center"/>
              <w:rPr>
                <w:highlight w:val="yellow"/>
              </w:rPr>
            </w:pPr>
            <w:r w:rsidRPr="00256982">
              <w:t>17.8</w:t>
            </w:r>
          </w:p>
        </w:tc>
        <w:tc>
          <w:tcPr>
            <w:tcW w:w="1856" w:type="dxa"/>
            <w:tcBorders>
              <w:top w:val="single" w:sz="4" w:space="0" w:color="365F91"/>
              <w:bottom w:val="single" w:sz="4" w:space="0" w:color="365F91"/>
            </w:tcBorders>
          </w:tcPr>
          <w:p w14:paraId="39B2FA27" w14:textId="77777777" w:rsidR="00005A00" w:rsidRPr="00256982" w:rsidRDefault="00005A00" w:rsidP="00AA14F1">
            <w:pPr>
              <w:pStyle w:val="TableText"/>
              <w:spacing w:before="40" w:after="40"/>
              <w:jc w:val="center"/>
              <w:rPr>
                <w:highlight w:val="yellow"/>
              </w:rPr>
            </w:pPr>
            <w:r w:rsidRPr="00256982">
              <w:t>0.3</w:t>
            </w:r>
          </w:p>
        </w:tc>
        <w:tc>
          <w:tcPr>
            <w:tcW w:w="1856" w:type="dxa"/>
            <w:tcBorders>
              <w:top w:val="single" w:sz="4" w:space="0" w:color="365F91"/>
              <w:bottom w:val="single" w:sz="4" w:space="0" w:color="365F91"/>
            </w:tcBorders>
            <w:shd w:val="clear" w:color="auto" w:fill="auto"/>
          </w:tcPr>
          <w:p w14:paraId="2233891B" w14:textId="77777777" w:rsidR="00005A00" w:rsidRPr="00256982" w:rsidRDefault="00005A00" w:rsidP="00AA14F1">
            <w:pPr>
              <w:pStyle w:val="TableText"/>
              <w:spacing w:before="40" w:after="40"/>
              <w:jc w:val="center"/>
              <w:rPr>
                <w:highlight w:val="yellow"/>
              </w:rPr>
            </w:pPr>
            <w:r w:rsidRPr="00256982">
              <w:t>4.4</w:t>
            </w:r>
          </w:p>
        </w:tc>
        <w:tc>
          <w:tcPr>
            <w:tcW w:w="1857" w:type="dxa"/>
            <w:tcBorders>
              <w:top w:val="single" w:sz="4" w:space="0" w:color="365F91"/>
              <w:bottom w:val="single" w:sz="4" w:space="0" w:color="365F91"/>
            </w:tcBorders>
            <w:shd w:val="clear" w:color="auto" w:fill="auto"/>
          </w:tcPr>
          <w:p w14:paraId="2E1F899B" w14:textId="77777777" w:rsidR="00005A00" w:rsidRPr="00256982" w:rsidRDefault="00005A00" w:rsidP="00AA14F1">
            <w:pPr>
              <w:pStyle w:val="TableText"/>
              <w:spacing w:before="40" w:after="40"/>
              <w:jc w:val="center"/>
              <w:rPr>
                <w:highlight w:val="yellow"/>
              </w:rPr>
            </w:pPr>
            <w:r w:rsidRPr="00256982">
              <w:t>22.4</w:t>
            </w:r>
          </w:p>
        </w:tc>
      </w:tr>
      <w:tr w:rsidR="00005A00" w:rsidRPr="00256982" w14:paraId="033183F0" w14:textId="77777777" w:rsidTr="00AA14F1">
        <w:tc>
          <w:tcPr>
            <w:tcW w:w="1079" w:type="dxa"/>
            <w:tcBorders>
              <w:top w:val="single" w:sz="4" w:space="0" w:color="365F91"/>
              <w:bottom w:val="single" w:sz="4" w:space="0" w:color="365F91"/>
            </w:tcBorders>
          </w:tcPr>
          <w:p w14:paraId="063BAD6E" w14:textId="77777777" w:rsidR="00005A00" w:rsidRPr="00256982" w:rsidRDefault="00005A00" w:rsidP="00AA14F1">
            <w:pPr>
              <w:pStyle w:val="TableTextBold"/>
              <w:spacing w:before="40" w:after="40"/>
              <w:rPr>
                <w:noProof w:val="0"/>
              </w:rPr>
            </w:pPr>
            <w:r w:rsidRPr="00256982">
              <w:rPr>
                <w:noProof w:val="0"/>
              </w:rPr>
              <w:t>2001</w:t>
            </w:r>
          </w:p>
        </w:tc>
        <w:tc>
          <w:tcPr>
            <w:tcW w:w="1857" w:type="dxa"/>
            <w:tcBorders>
              <w:top w:val="single" w:sz="4" w:space="0" w:color="365F91"/>
              <w:bottom w:val="single" w:sz="4" w:space="0" w:color="365F91"/>
            </w:tcBorders>
            <w:shd w:val="clear" w:color="auto" w:fill="auto"/>
          </w:tcPr>
          <w:p w14:paraId="3A79176C" w14:textId="77777777" w:rsidR="00005A00" w:rsidRPr="00256982" w:rsidRDefault="00005A00" w:rsidP="00AA14F1">
            <w:pPr>
              <w:pStyle w:val="TableText"/>
              <w:spacing w:before="40" w:after="40"/>
              <w:jc w:val="center"/>
              <w:rPr>
                <w:highlight w:val="yellow"/>
              </w:rPr>
            </w:pPr>
            <w:r w:rsidRPr="00256982">
              <w:t>9.3</w:t>
            </w:r>
          </w:p>
        </w:tc>
        <w:tc>
          <w:tcPr>
            <w:tcW w:w="1856" w:type="dxa"/>
            <w:tcBorders>
              <w:top w:val="single" w:sz="4" w:space="0" w:color="365F91"/>
              <w:bottom w:val="single" w:sz="4" w:space="0" w:color="365F91"/>
            </w:tcBorders>
          </w:tcPr>
          <w:p w14:paraId="5284687E" w14:textId="77777777" w:rsidR="00005A00" w:rsidRPr="00256982" w:rsidRDefault="00005A00" w:rsidP="00AA14F1">
            <w:pPr>
              <w:pStyle w:val="TableText"/>
              <w:spacing w:before="40" w:after="40"/>
              <w:jc w:val="center"/>
              <w:rPr>
                <w:highlight w:val="yellow"/>
              </w:rPr>
            </w:pPr>
            <w:r w:rsidRPr="00256982">
              <w:t>0.3</w:t>
            </w:r>
          </w:p>
        </w:tc>
        <w:tc>
          <w:tcPr>
            <w:tcW w:w="1856" w:type="dxa"/>
            <w:tcBorders>
              <w:top w:val="single" w:sz="4" w:space="0" w:color="365F91"/>
              <w:bottom w:val="single" w:sz="4" w:space="0" w:color="365F91"/>
            </w:tcBorders>
            <w:shd w:val="clear" w:color="auto" w:fill="auto"/>
          </w:tcPr>
          <w:p w14:paraId="3CA996F2" w14:textId="77777777" w:rsidR="00005A00" w:rsidRPr="00256982" w:rsidRDefault="00005A00" w:rsidP="00AA14F1">
            <w:pPr>
              <w:pStyle w:val="TableText"/>
              <w:spacing w:before="40" w:after="40"/>
              <w:jc w:val="center"/>
              <w:rPr>
                <w:highlight w:val="yellow"/>
              </w:rPr>
            </w:pPr>
            <w:r w:rsidRPr="00256982">
              <w:t>4.4</w:t>
            </w:r>
          </w:p>
        </w:tc>
        <w:tc>
          <w:tcPr>
            <w:tcW w:w="1857" w:type="dxa"/>
            <w:tcBorders>
              <w:top w:val="single" w:sz="4" w:space="0" w:color="365F91"/>
              <w:bottom w:val="single" w:sz="4" w:space="0" w:color="365F91"/>
            </w:tcBorders>
            <w:shd w:val="clear" w:color="auto" w:fill="auto"/>
          </w:tcPr>
          <w:p w14:paraId="51108E57" w14:textId="77777777" w:rsidR="00005A00" w:rsidRPr="00256982" w:rsidRDefault="00005A00" w:rsidP="00AA14F1">
            <w:pPr>
              <w:pStyle w:val="TableText"/>
              <w:spacing w:before="40" w:after="40"/>
              <w:jc w:val="center"/>
              <w:rPr>
                <w:highlight w:val="yellow"/>
              </w:rPr>
            </w:pPr>
            <w:r w:rsidRPr="00256982">
              <w:t>13.9</w:t>
            </w:r>
          </w:p>
        </w:tc>
      </w:tr>
      <w:tr w:rsidR="00005A00" w:rsidRPr="00256982" w14:paraId="65DE408C" w14:textId="77777777" w:rsidTr="00AA14F1">
        <w:tc>
          <w:tcPr>
            <w:tcW w:w="1079" w:type="dxa"/>
            <w:tcBorders>
              <w:top w:val="single" w:sz="4" w:space="0" w:color="365F91"/>
              <w:bottom w:val="single" w:sz="4" w:space="0" w:color="365F91"/>
            </w:tcBorders>
          </w:tcPr>
          <w:p w14:paraId="1D9F49FC" w14:textId="77777777" w:rsidR="00005A00" w:rsidRPr="00256982" w:rsidRDefault="00005A00" w:rsidP="00AA14F1">
            <w:pPr>
              <w:pStyle w:val="TableTextBold"/>
              <w:spacing w:before="40" w:after="40"/>
              <w:rPr>
                <w:noProof w:val="0"/>
              </w:rPr>
            </w:pPr>
            <w:r w:rsidRPr="00256982">
              <w:rPr>
                <w:noProof w:val="0"/>
              </w:rPr>
              <w:lastRenderedPageBreak/>
              <w:t>2002</w:t>
            </w:r>
          </w:p>
        </w:tc>
        <w:tc>
          <w:tcPr>
            <w:tcW w:w="1857" w:type="dxa"/>
            <w:tcBorders>
              <w:top w:val="single" w:sz="4" w:space="0" w:color="365F91"/>
              <w:bottom w:val="single" w:sz="4" w:space="0" w:color="365F91"/>
            </w:tcBorders>
            <w:shd w:val="clear" w:color="auto" w:fill="auto"/>
          </w:tcPr>
          <w:p w14:paraId="02E5FA15" w14:textId="77777777" w:rsidR="00005A00" w:rsidRPr="00256982" w:rsidRDefault="00005A00" w:rsidP="00AA14F1">
            <w:pPr>
              <w:pStyle w:val="TableText"/>
              <w:spacing w:before="40" w:after="40"/>
              <w:jc w:val="center"/>
              <w:rPr>
                <w:highlight w:val="yellow"/>
              </w:rPr>
            </w:pPr>
            <w:r w:rsidRPr="00256982">
              <w:t>8.2</w:t>
            </w:r>
          </w:p>
        </w:tc>
        <w:tc>
          <w:tcPr>
            <w:tcW w:w="1856" w:type="dxa"/>
            <w:tcBorders>
              <w:top w:val="single" w:sz="4" w:space="0" w:color="365F91"/>
              <w:bottom w:val="single" w:sz="4" w:space="0" w:color="365F91"/>
            </w:tcBorders>
          </w:tcPr>
          <w:p w14:paraId="4BB79E37" w14:textId="77777777" w:rsidR="00005A00" w:rsidRPr="00256982" w:rsidRDefault="00005A00" w:rsidP="00AA14F1">
            <w:pPr>
              <w:pStyle w:val="TableText"/>
              <w:spacing w:before="40" w:after="40"/>
              <w:jc w:val="center"/>
              <w:rPr>
                <w:highlight w:val="yellow"/>
              </w:rPr>
            </w:pPr>
            <w:r w:rsidRPr="00256982">
              <w:t>0.3</w:t>
            </w:r>
          </w:p>
        </w:tc>
        <w:tc>
          <w:tcPr>
            <w:tcW w:w="1856" w:type="dxa"/>
            <w:tcBorders>
              <w:top w:val="single" w:sz="4" w:space="0" w:color="365F91"/>
              <w:bottom w:val="single" w:sz="4" w:space="0" w:color="365F91"/>
            </w:tcBorders>
            <w:shd w:val="clear" w:color="auto" w:fill="auto"/>
          </w:tcPr>
          <w:p w14:paraId="5E3D92BA" w14:textId="77777777" w:rsidR="00005A00" w:rsidRPr="00256982" w:rsidRDefault="00005A00" w:rsidP="00AA14F1">
            <w:pPr>
              <w:pStyle w:val="TableText"/>
              <w:spacing w:before="40" w:after="40"/>
              <w:jc w:val="center"/>
              <w:rPr>
                <w:highlight w:val="yellow"/>
              </w:rPr>
            </w:pPr>
            <w:r w:rsidRPr="00256982">
              <w:t>4.4</w:t>
            </w:r>
          </w:p>
        </w:tc>
        <w:tc>
          <w:tcPr>
            <w:tcW w:w="1857" w:type="dxa"/>
            <w:tcBorders>
              <w:top w:val="single" w:sz="4" w:space="0" w:color="365F91"/>
              <w:bottom w:val="single" w:sz="4" w:space="0" w:color="365F91"/>
            </w:tcBorders>
            <w:shd w:val="clear" w:color="auto" w:fill="auto"/>
          </w:tcPr>
          <w:p w14:paraId="7B32C5E1" w14:textId="77777777" w:rsidR="00005A00" w:rsidRPr="00256982" w:rsidRDefault="00005A00" w:rsidP="00AA14F1">
            <w:pPr>
              <w:pStyle w:val="TableText"/>
              <w:spacing w:before="40" w:after="40"/>
              <w:jc w:val="center"/>
              <w:rPr>
                <w:highlight w:val="yellow"/>
              </w:rPr>
            </w:pPr>
            <w:r w:rsidRPr="00256982">
              <w:t>12.9</w:t>
            </w:r>
          </w:p>
        </w:tc>
      </w:tr>
      <w:tr w:rsidR="00005A00" w:rsidRPr="00256982" w14:paraId="1A532964" w14:textId="77777777" w:rsidTr="00AA14F1">
        <w:tc>
          <w:tcPr>
            <w:tcW w:w="1079" w:type="dxa"/>
            <w:tcBorders>
              <w:top w:val="single" w:sz="4" w:space="0" w:color="365F91"/>
              <w:bottom w:val="single" w:sz="4" w:space="0" w:color="365F91"/>
            </w:tcBorders>
          </w:tcPr>
          <w:p w14:paraId="1A5F25C9" w14:textId="77777777" w:rsidR="00005A00" w:rsidRPr="00256982" w:rsidRDefault="00005A00" w:rsidP="00AA14F1">
            <w:pPr>
              <w:pStyle w:val="TableTextBold"/>
              <w:spacing w:before="40" w:after="40"/>
              <w:rPr>
                <w:noProof w:val="0"/>
              </w:rPr>
            </w:pPr>
            <w:r w:rsidRPr="00256982">
              <w:rPr>
                <w:noProof w:val="0"/>
              </w:rPr>
              <w:t>2003</w:t>
            </w:r>
          </w:p>
        </w:tc>
        <w:tc>
          <w:tcPr>
            <w:tcW w:w="1857" w:type="dxa"/>
            <w:tcBorders>
              <w:top w:val="single" w:sz="4" w:space="0" w:color="365F91"/>
              <w:bottom w:val="single" w:sz="4" w:space="0" w:color="365F91"/>
            </w:tcBorders>
            <w:shd w:val="clear" w:color="auto" w:fill="auto"/>
          </w:tcPr>
          <w:p w14:paraId="4F394B36" w14:textId="77777777" w:rsidR="00005A00" w:rsidRPr="00256982" w:rsidRDefault="00005A00" w:rsidP="00AA14F1">
            <w:pPr>
              <w:pStyle w:val="TableText"/>
              <w:spacing w:before="40" w:after="40"/>
              <w:jc w:val="center"/>
              <w:rPr>
                <w:highlight w:val="yellow"/>
              </w:rPr>
            </w:pPr>
            <w:r w:rsidRPr="00256982">
              <w:t>7.3</w:t>
            </w:r>
          </w:p>
        </w:tc>
        <w:tc>
          <w:tcPr>
            <w:tcW w:w="1856" w:type="dxa"/>
            <w:tcBorders>
              <w:top w:val="single" w:sz="4" w:space="0" w:color="365F91"/>
              <w:bottom w:val="single" w:sz="4" w:space="0" w:color="365F91"/>
            </w:tcBorders>
          </w:tcPr>
          <w:p w14:paraId="6407437C" w14:textId="77777777" w:rsidR="00005A00" w:rsidRPr="00256982" w:rsidRDefault="00005A00" w:rsidP="00AA14F1">
            <w:pPr>
              <w:pStyle w:val="TableText"/>
              <w:spacing w:before="40" w:after="40"/>
              <w:jc w:val="center"/>
              <w:rPr>
                <w:highlight w:val="yellow"/>
              </w:rPr>
            </w:pPr>
            <w:r w:rsidRPr="00256982">
              <w:t>0.3</w:t>
            </w:r>
          </w:p>
        </w:tc>
        <w:tc>
          <w:tcPr>
            <w:tcW w:w="1856" w:type="dxa"/>
            <w:tcBorders>
              <w:top w:val="single" w:sz="4" w:space="0" w:color="365F91"/>
              <w:bottom w:val="single" w:sz="4" w:space="0" w:color="365F91"/>
            </w:tcBorders>
            <w:shd w:val="clear" w:color="auto" w:fill="auto"/>
          </w:tcPr>
          <w:p w14:paraId="05B4E955" w14:textId="77777777" w:rsidR="00005A00" w:rsidRPr="00256982" w:rsidRDefault="00005A00" w:rsidP="00AA14F1">
            <w:pPr>
              <w:pStyle w:val="TableText"/>
              <w:spacing w:before="40" w:after="40"/>
              <w:jc w:val="center"/>
              <w:rPr>
                <w:highlight w:val="yellow"/>
              </w:rPr>
            </w:pPr>
            <w:r w:rsidRPr="00256982">
              <w:t>4.4</w:t>
            </w:r>
          </w:p>
        </w:tc>
        <w:tc>
          <w:tcPr>
            <w:tcW w:w="1857" w:type="dxa"/>
            <w:tcBorders>
              <w:top w:val="single" w:sz="4" w:space="0" w:color="365F91"/>
              <w:bottom w:val="single" w:sz="4" w:space="0" w:color="365F91"/>
            </w:tcBorders>
            <w:shd w:val="clear" w:color="auto" w:fill="auto"/>
          </w:tcPr>
          <w:p w14:paraId="086809F8" w14:textId="77777777" w:rsidR="00005A00" w:rsidRPr="00256982" w:rsidRDefault="00005A00" w:rsidP="00AA14F1">
            <w:pPr>
              <w:pStyle w:val="TableText"/>
              <w:spacing w:before="40" w:after="40"/>
              <w:jc w:val="center"/>
              <w:rPr>
                <w:highlight w:val="yellow"/>
              </w:rPr>
            </w:pPr>
            <w:r w:rsidRPr="00256982">
              <w:t>12.0</w:t>
            </w:r>
          </w:p>
        </w:tc>
      </w:tr>
      <w:tr w:rsidR="00005A00" w:rsidRPr="00256982" w14:paraId="5842568F" w14:textId="77777777" w:rsidTr="00AA14F1">
        <w:tc>
          <w:tcPr>
            <w:tcW w:w="1079" w:type="dxa"/>
            <w:tcBorders>
              <w:top w:val="single" w:sz="4" w:space="0" w:color="365F91"/>
              <w:bottom w:val="single" w:sz="4" w:space="0" w:color="365F91"/>
            </w:tcBorders>
          </w:tcPr>
          <w:p w14:paraId="0367A0F2" w14:textId="77777777" w:rsidR="00005A00" w:rsidRPr="00256982" w:rsidRDefault="00005A00" w:rsidP="00AA14F1">
            <w:pPr>
              <w:pStyle w:val="TableTextBold"/>
              <w:spacing w:before="40" w:after="40"/>
              <w:rPr>
                <w:noProof w:val="0"/>
              </w:rPr>
            </w:pPr>
            <w:r w:rsidRPr="00256982">
              <w:rPr>
                <w:noProof w:val="0"/>
              </w:rPr>
              <w:t>2004</w:t>
            </w:r>
          </w:p>
        </w:tc>
        <w:tc>
          <w:tcPr>
            <w:tcW w:w="1857" w:type="dxa"/>
            <w:tcBorders>
              <w:top w:val="single" w:sz="4" w:space="0" w:color="365F91"/>
              <w:bottom w:val="single" w:sz="4" w:space="0" w:color="365F91"/>
            </w:tcBorders>
            <w:shd w:val="clear" w:color="auto" w:fill="auto"/>
          </w:tcPr>
          <w:p w14:paraId="39961F8F" w14:textId="77777777" w:rsidR="00005A00" w:rsidRPr="00256982" w:rsidRDefault="00005A00" w:rsidP="00AA14F1">
            <w:pPr>
              <w:pStyle w:val="TableText"/>
              <w:spacing w:before="40" w:after="40"/>
              <w:jc w:val="center"/>
              <w:rPr>
                <w:highlight w:val="yellow"/>
              </w:rPr>
            </w:pPr>
            <w:r w:rsidRPr="00256982">
              <w:t>7.2</w:t>
            </w:r>
          </w:p>
        </w:tc>
        <w:tc>
          <w:tcPr>
            <w:tcW w:w="1856" w:type="dxa"/>
            <w:tcBorders>
              <w:top w:val="single" w:sz="4" w:space="0" w:color="365F91"/>
              <w:bottom w:val="single" w:sz="4" w:space="0" w:color="365F91"/>
            </w:tcBorders>
          </w:tcPr>
          <w:p w14:paraId="4F457AE7" w14:textId="77777777" w:rsidR="00005A00" w:rsidRPr="00256982" w:rsidRDefault="00005A00" w:rsidP="00AA14F1">
            <w:pPr>
              <w:pStyle w:val="TableText"/>
              <w:spacing w:before="40" w:after="40"/>
              <w:jc w:val="center"/>
              <w:rPr>
                <w:highlight w:val="yellow"/>
              </w:rPr>
            </w:pPr>
            <w:r w:rsidRPr="00256982">
              <w:t>0.3</w:t>
            </w:r>
          </w:p>
        </w:tc>
        <w:tc>
          <w:tcPr>
            <w:tcW w:w="1856" w:type="dxa"/>
            <w:tcBorders>
              <w:top w:val="single" w:sz="4" w:space="0" w:color="365F91"/>
              <w:bottom w:val="single" w:sz="4" w:space="0" w:color="365F91"/>
            </w:tcBorders>
            <w:shd w:val="clear" w:color="auto" w:fill="auto"/>
          </w:tcPr>
          <w:p w14:paraId="3788D479" w14:textId="77777777" w:rsidR="00005A00" w:rsidRPr="00256982" w:rsidRDefault="00005A00" w:rsidP="00AA14F1">
            <w:pPr>
              <w:pStyle w:val="TableText"/>
              <w:spacing w:before="40" w:after="40"/>
              <w:jc w:val="center"/>
              <w:rPr>
                <w:highlight w:val="yellow"/>
              </w:rPr>
            </w:pPr>
            <w:r w:rsidRPr="00256982">
              <w:t>4.4</w:t>
            </w:r>
          </w:p>
        </w:tc>
        <w:tc>
          <w:tcPr>
            <w:tcW w:w="1857" w:type="dxa"/>
            <w:tcBorders>
              <w:top w:val="single" w:sz="4" w:space="0" w:color="365F91"/>
              <w:bottom w:val="single" w:sz="4" w:space="0" w:color="365F91"/>
            </w:tcBorders>
            <w:shd w:val="clear" w:color="auto" w:fill="auto"/>
          </w:tcPr>
          <w:p w14:paraId="174BF6A8" w14:textId="77777777" w:rsidR="00005A00" w:rsidRPr="00256982" w:rsidRDefault="00005A00" w:rsidP="00AA14F1">
            <w:pPr>
              <w:pStyle w:val="TableText"/>
              <w:spacing w:before="40" w:after="40"/>
              <w:jc w:val="center"/>
              <w:rPr>
                <w:highlight w:val="yellow"/>
              </w:rPr>
            </w:pPr>
            <w:r w:rsidRPr="00256982">
              <w:t>11.9</w:t>
            </w:r>
          </w:p>
        </w:tc>
      </w:tr>
      <w:tr w:rsidR="00005A00" w:rsidRPr="00256982" w14:paraId="71EA1E69" w14:textId="77777777" w:rsidTr="00AA14F1">
        <w:tc>
          <w:tcPr>
            <w:tcW w:w="1079" w:type="dxa"/>
            <w:tcBorders>
              <w:top w:val="single" w:sz="4" w:space="0" w:color="365F91"/>
              <w:bottom w:val="single" w:sz="4" w:space="0" w:color="365F91"/>
            </w:tcBorders>
          </w:tcPr>
          <w:p w14:paraId="03FF8964" w14:textId="77777777" w:rsidR="00005A00" w:rsidRPr="00256982" w:rsidRDefault="00005A00" w:rsidP="00AA14F1">
            <w:pPr>
              <w:pStyle w:val="TableTextBold"/>
              <w:spacing w:before="40" w:after="40"/>
              <w:rPr>
                <w:noProof w:val="0"/>
              </w:rPr>
            </w:pPr>
            <w:r w:rsidRPr="00256982">
              <w:rPr>
                <w:noProof w:val="0"/>
              </w:rPr>
              <w:t>2005</w:t>
            </w:r>
          </w:p>
        </w:tc>
        <w:tc>
          <w:tcPr>
            <w:tcW w:w="1857" w:type="dxa"/>
            <w:tcBorders>
              <w:top w:val="single" w:sz="4" w:space="0" w:color="365F91"/>
              <w:bottom w:val="single" w:sz="4" w:space="0" w:color="365F91"/>
            </w:tcBorders>
            <w:shd w:val="clear" w:color="auto" w:fill="auto"/>
          </w:tcPr>
          <w:p w14:paraId="7D4661D8" w14:textId="77777777" w:rsidR="00005A00" w:rsidRPr="00256982" w:rsidRDefault="00005A00" w:rsidP="00AA14F1">
            <w:pPr>
              <w:pStyle w:val="TableText"/>
              <w:spacing w:before="40" w:after="40"/>
              <w:jc w:val="center"/>
              <w:rPr>
                <w:highlight w:val="yellow"/>
              </w:rPr>
            </w:pPr>
            <w:r w:rsidRPr="00256982">
              <w:t>5.3</w:t>
            </w:r>
          </w:p>
        </w:tc>
        <w:tc>
          <w:tcPr>
            <w:tcW w:w="1856" w:type="dxa"/>
            <w:tcBorders>
              <w:top w:val="single" w:sz="4" w:space="0" w:color="365F91"/>
              <w:bottom w:val="single" w:sz="4" w:space="0" w:color="365F91"/>
            </w:tcBorders>
          </w:tcPr>
          <w:p w14:paraId="1024953B" w14:textId="77777777" w:rsidR="00005A00" w:rsidRPr="00256982" w:rsidRDefault="00005A00" w:rsidP="00AA14F1">
            <w:pPr>
              <w:pStyle w:val="TableText"/>
              <w:spacing w:before="40" w:after="40"/>
              <w:jc w:val="center"/>
              <w:rPr>
                <w:highlight w:val="yellow"/>
              </w:rPr>
            </w:pPr>
            <w:r w:rsidRPr="00256982">
              <w:t>0.3</w:t>
            </w:r>
          </w:p>
        </w:tc>
        <w:tc>
          <w:tcPr>
            <w:tcW w:w="1856" w:type="dxa"/>
            <w:tcBorders>
              <w:top w:val="single" w:sz="4" w:space="0" w:color="365F91"/>
              <w:bottom w:val="single" w:sz="4" w:space="0" w:color="365F91"/>
            </w:tcBorders>
            <w:shd w:val="clear" w:color="auto" w:fill="auto"/>
          </w:tcPr>
          <w:p w14:paraId="667DB25A" w14:textId="77777777" w:rsidR="00005A00" w:rsidRPr="00256982" w:rsidRDefault="00005A00" w:rsidP="00AA14F1">
            <w:pPr>
              <w:pStyle w:val="TableText"/>
              <w:spacing w:before="40" w:after="40"/>
              <w:jc w:val="center"/>
              <w:rPr>
                <w:highlight w:val="yellow"/>
              </w:rPr>
            </w:pPr>
            <w:r w:rsidRPr="00256982">
              <w:t>4.4</w:t>
            </w:r>
          </w:p>
        </w:tc>
        <w:tc>
          <w:tcPr>
            <w:tcW w:w="1857" w:type="dxa"/>
            <w:tcBorders>
              <w:top w:val="single" w:sz="4" w:space="0" w:color="365F91"/>
              <w:bottom w:val="single" w:sz="4" w:space="0" w:color="365F91"/>
            </w:tcBorders>
            <w:shd w:val="clear" w:color="auto" w:fill="auto"/>
          </w:tcPr>
          <w:p w14:paraId="7F301031" w14:textId="77777777" w:rsidR="00005A00" w:rsidRPr="00256982" w:rsidRDefault="00005A00" w:rsidP="00AA14F1">
            <w:pPr>
              <w:pStyle w:val="TableText"/>
              <w:spacing w:before="40" w:after="40"/>
              <w:jc w:val="center"/>
              <w:rPr>
                <w:highlight w:val="yellow"/>
              </w:rPr>
            </w:pPr>
            <w:r w:rsidRPr="00256982">
              <w:t>10.0</w:t>
            </w:r>
          </w:p>
        </w:tc>
      </w:tr>
      <w:tr w:rsidR="00005A00" w:rsidRPr="00256982" w14:paraId="655DC6D9" w14:textId="77777777" w:rsidTr="00AA14F1">
        <w:tc>
          <w:tcPr>
            <w:tcW w:w="1079" w:type="dxa"/>
            <w:tcBorders>
              <w:top w:val="single" w:sz="4" w:space="0" w:color="365F91"/>
              <w:bottom w:val="single" w:sz="4" w:space="0" w:color="365F91"/>
            </w:tcBorders>
          </w:tcPr>
          <w:p w14:paraId="3D9D90AA" w14:textId="77777777" w:rsidR="00005A00" w:rsidRPr="00256982" w:rsidRDefault="00005A00" w:rsidP="00AA14F1">
            <w:pPr>
              <w:pStyle w:val="TableTextBold"/>
              <w:spacing w:before="40" w:after="40"/>
              <w:rPr>
                <w:noProof w:val="0"/>
              </w:rPr>
            </w:pPr>
            <w:r w:rsidRPr="00256982">
              <w:rPr>
                <w:noProof w:val="0"/>
              </w:rPr>
              <w:t>2006</w:t>
            </w:r>
          </w:p>
        </w:tc>
        <w:tc>
          <w:tcPr>
            <w:tcW w:w="1857" w:type="dxa"/>
            <w:tcBorders>
              <w:top w:val="single" w:sz="4" w:space="0" w:color="365F91"/>
              <w:bottom w:val="single" w:sz="4" w:space="0" w:color="365F91"/>
            </w:tcBorders>
            <w:shd w:val="clear" w:color="auto" w:fill="auto"/>
          </w:tcPr>
          <w:p w14:paraId="60C3A099" w14:textId="77777777" w:rsidR="00005A00" w:rsidRPr="00256982" w:rsidRDefault="00005A00" w:rsidP="00AA14F1">
            <w:pPr>
              <w:pStyle w:val="TableText"/>
              <w:spacing w:before="40" w:after="40"/>
              <w:jc w:val="center"/>
              <w:rPr>
                <w:highlight w:val="yellow"/>
              </w:rPr>
            </w:pPr>
            <w:r w:rsidRPr="00256982">
              <w:t>3.2</w:t>
            </w:r>
          </w:p>
        </w:tc>
        <w:tc>
          <w:tcPr>
            <w:tcW w:w="1856" w:type="dxa"/>
            <w:tcBorders>
              <w:top w:val="single" w:sz="4" w:space="0" w:color="365F91"/>
              <w:bottom w:val="single" w:sz="4" w:space="0" w:color="365F91"/>
            </w:tcBorders>
          </w:tcPr>
          <w:p w14:paraId="4BF4FB6D" w14:textId="77777777" w:rsidR="00005A00" w:rsidRPr="00256982" w:rsidRDefault="00005A00" w:rsidP="00AA14F1">
            <w:pPr>
              <w:pStyle w:val="TableText"/>
              <w:spacing w:before="40" w:after="40"/>
              <w:jc w:val="center"/>
              <w:rPr>
                <w:highlight w:val="yellow"/>
              </w:rPr>
            </w:pPr>
            <w:r w:rsidRPr="00256982">
              <w:t>0.3</w:t>
            </w:r>
          </w:p>
        </w:tc>
        <w:tc>
          <w:tcPr>
            <w:tcW w:w="1856" w:type="dxa"/>
            <w:tcBorders>
              <w:top w:val="single" w:sz="4" w:space="0" w:color="365F91"/>
              <w:bottom w:val="single" w:sz="4" w:space="0" w:color="365F91"/>
            </w:tcBorders>
            <w:shd w:val="clear" w:color="auto" w:fill="auto"/>
          </w:tcPr>
          <w:p w14:paraId="105E6961" w14:textId="77777777" w:rsidR="00005A00" w:rsidRPr="00256982" w:rsidRDefault="00005A00" w:rsidP="00AA14F1">
            <w:pPr>
              <w:pStyle w:val="TableText"/>
              <w:spacing w:before="40" w:after="40"/>
              <w:jc w:val="center"/>
              <w:rPr>
                <w:highlight w:val="yellow"/>
              </w:rPr>
            </w:pPr>
            <w:r w:rsidRPr="00256982">
              <w:t>4.4</w:t>
            </w:r>
          </w:p>
        </w:tc>
        <w:tc>
          <w:tcPr>
            <w:tcW w:w="1857" w:type="dxa"/>
            <w:tcBorders>
              <w:top w:val="single" w:sz="4" w:space="0" w:color="365F91"/>
              <w:bottom w:val="single" w:sz="4" w:space="0" w:color="365F91"/>
            </w:tcBorders>
            <w:shd w:val="clear" w:color="auto" w:fill="auto"/>
          </w:tcPr>
          <w:p w14:paraId="10FD6D7B" w14:textId="77777777" w:rsidR="00005A00" w:rsidRPr="00256982" w:rsidRDefault="00005A00" w:rsidP="00AA14F1">
            <w:pPr>
              <w:pStyle w:val="TableText"/>
              <w:spacing w:before="40" w:after="40"/>
              <w:jc w:val="center"/>
              <w:rPr>
                <w:highlight w:val="yellow"/>
              </w:rPr>
            </w:pPr>
            <w:r w:rsidRPr="00256982">
              <w:t>7.9</w:t>
            </w:r>
          </w:p>
        </w:tc>
      </w:tr>
      <w:tr w:rsidR="00005A00" w:rsidRPr="00256982" w14:paraId="22FDB77F" w14:textId="77777777" w:rsidTr="00AA14F1">
        <w:tc>
          <w:tcPr>
            <w:tcW w:w="1079" w:type="dxa"/>
            <w:tcBorders>
              <w:top w:val="single" w:sz="4" w:space="0" w:color="365F91"/>
              <w:bottom w:val="single" w:sz="4" w:space="0" w:color="365F91"/>
            </w:tcBorders>
          </w:tcPr>
          <w:p w14:paraId="59A25164" w14:textId="77777777" w:rsidR="00005A00" w:rsidRPr="00256982" w:rsidRDefault="00005A00" w:rsidP="00AA14F1">
            <w:pPr>
              <w:pStyle w:val="TableTextBold"/>
              <w:spacing w:before="40" w:after="40"/>
              <w:rPr>
                <w:noProof w:val="0"/>
              </w:rPr>
            </w:pPr>
            <w:r w:rsidRPr="00256982">
              <w:rPr>
                <w:noProof w:val="0"/>
              </w:rPr>
              <w:t>2007</w:t>
            </w:r>
          </w:p>
        </w:tc>
        <w:tc>
          <w:tcPr>
            <w:tcW w:w="1857" w:type="dxa"/>
            <w:tcBorders>
              <w:top w:val="single" w:sz="4" w:space="0" w:color="365F91"/>
              <w:bottom w:val="single" w:sz="4" w:space="0" w:color="365F91"/>
            </w:tcBorders>
            <w:shd w:val="clear" w:color="auto" w:fill="auto"/>
          </w:tcPr>
          <w:p w14:paraId="43194C02" w14:textId="77777777" w:rsidR="00005A00" w:rsidRPr="00256982" w:rsidRDefault="00005A00" w:rsidP="00AA14F1">
            <w:pPr>
              <w:pStyle w:val="TableText"/>
              <w:spacing w:before="40" w:after="40"/>
              <w:jc w:val="center"/>
              <w:rPr>
                <w:highlight w:val="yellow"/>
              </w:rPr>
            </w:pPr>
            <w:r w:rsidRPr="00256982">
              <w:t>0.6</w:t>
            </w:r>
          </w:p>
        </w:tc>
        <w:tc>
          <w:tcPr>
            <w:tcW w:w="1856" w:type="dxa"/>
            <w:tcBorders>
              <w:top w:val="single" w:sz="4" w:space="0" w:color="365F91"/>
              <w:bottom w:val="single" w:sz="4" w:space="0" w:color="365F91"/>
            </w:tcBorders>
          </w:tcPr>
          <w:p w14:paraId="3C85CB08" w14:textId="77777777" w:rsidR="00005A00" w:rsidRPr="00256982" w:rsidRDefault="00005A00" w:rsidP="00AA14F1">
            <w:pPr>
              <w:pStyle w:val="TableText"/>
              <w:spacing w:before="40" w:after="40"/>
              <w:jc w:val="center"/>
              <w:rPr>
                <w:highlight w:val="yellow"/>
              </w:rPr>
            </w:pPr>
            <w:r w:rsidRPr="00256982">
              <w:t>0.3</w:t>
            </w:r>
          </w:p>
        </w:tc>
        <w:tc>
          <w:tcPr>
            <w:tcW w:w="1856" w:type="dxa"/>
            <w:tcBorders>
              <w:top w:val="single" w:sz="4" w:space="0" w:color="365F91"/>
              <w:bottom w:val="single" w:sz="4" w:space="0" w:color="365F91"/>
            </w:tcBorders>
            <w:shd w:val="clear" w:color="auto" w:fill="auto"/>
          </w:tcPr>
          <w:p w14:paraId="73CAD7BB" w14:textId="77777777" w:rsidR="00005A00" w:rsidRPr="00256982" w:rsidRDefault="00005A00" w:rsidP="00AA14F1">
            <w:pPr>
              <w:pStyle w:val="TableText"/>
              <w:spacing w:before="40" w:after="40"/>
              <w:jc w:val="center"/>
              <w:rPr>
                <w:highlight w:val="yellow"/>
              </w:rPr>
            </w:pPr>
            <w:r w:rsidRPr="00256982">
              <w:t>4.4</w:t>
            </w:r>
          </w:p>
        </w:tc>
        <w:tc>
          <w:tcPr>
            <w:tcW w:w="1857" w:type="dxa"/>
            <w:tcBorders>
              <w:top w:val="single" w:sz="4" w:space="0" w:color="365F91"/>
              <w:bottom w:val="single" w:sz="4" w:space="0" w:color="365F91"/>
            </w:tcBorders>
            <w:shd w:val="clear" w:color="auto" w:fill="auto"/>
          </w:tcPr>
          <w:p w14:paraId="47C31B5E" w14:textId="77777777" w:rsidR="00005A00" w:rsidRPr="00256982" w:rsidRDefault="00005A00" w:rsidP="00AA14F1">
            <w:pPr>
              <w:pStyle w:val="TableText"/>
              <w:spacing w:before="40" w:after="40"/>
              <w:jc w:val="center"/>
              <w:rPr>
                <w:highlight w:val="yellow"/>
              </w:rPr>
            </w:pPr>
            <w:r w:rsidRPr="00256982">
              <w:t>5.3</w:t>
            </w:r>
          </w:p>
        </w:tc>
      </w:tr>
      <w:tr w:rsidR="00005A00" w:rsidRPr="00256982" w14:paraId="08224BED" w14:textId="77777777" w:rsidTr="00AA14F1">
        <w:tc>
          <w:tcPr>
            <w:tcW w:w="1079" w:type="dxa"/>
            <w:tcBorders>
              <w:top w:val="single" w:sz="4" w:space="0" w:color="365F91"/>
              <w:bottom w:val="single" w:sz="4" w:space="0" w:color="365F91"/>
            </w:tcBorders>
          </w:tcPr>
          <w:p w14:paraId="7A754E83" w14:textId="77777777" w:rsidR="00005A00" w:rsidRPr="00256982" w:rsidRDefault="00005A00" w:rsidP="00AA14F1">
            <w:pPr>
              <w:pStyle w:val="TableTextBold"/>
              <w:spacing w:before="40" w:after="40"/>
              <w:rPr>
                <w:noProof w:val="0"/>
              </w:rPr>
            </w:pPr>
            <w:r w:rsidRPr="00256982">
              <w:rPr>
                <w:noProof w:val="0"/>
              </w:rPr>
              <w:t>2008</w:t>
            </w:r>
          </w:p>
        </w:tc>
        <w:tc>
          <w:tcPr>
            <w:tcW w:w="1857" w:type="dxa"/>
            <w:tcBorders>
              <w:top w:val="single" w:sz="4" w:space="0" w:color="365F91"/>
              <w:bottom w:val="single" w:sz="4" w:space="0" w:color="365F91"/>
            </w:tcBorders>
            <w:shd w:val="clear" w:color="auto" w:fill="auto"/>
          </w:tcPr>
          <w:p w14:paraId="0151ED75" w14:textId="77777777" w:rsidR="00005A00" w:rsidRPr="00256982" w:rsidRDefault="00005A00" w:rsidP="00AA14F1">
            <w:pPr>
              <w:pStyle w:val="TableText"/>
              <w:spacing w:before="40" w:after="40"/>
              <w:jc w:val="center"/>
              <w:rPr>
                <w:highlight w:val="yellow"/>
              </w:rPr>
            </w:pPr>
            <w:r w:rsidRPr="00256982">
              <w:t>0.6</w:t>
            </w:r>
          </w:p>
        </w:tc>
        <w:tc>
          <w:tcPr>
            <w:tcW w:w="1856" w:type="dxa"/>
            <w:tcBorders>
              <w:top w:val="single" w:sz="4" w:space="0" w:color="365F91"/>
              <w:bottom w:val="single" w:sz="4" w:space="0" w:color="365F91"/>
            </w:tcBorders>
          </w:tcPr>
          <w:p w14:paraId="3F0F4A57" w14:textId="77777777" w:rsidR="00005A00" w:rsidRPr="00256982" w:rsidRDefault="00005A00" w:rsidP="00AA14F1">
            <w:pPr>
              <w:pStyle w:val="TableText"/>
              <w:spacing w:before="40" w:after="40"/>
              <w:jc w:val="center"/>
              <w:rPr>
                <w:highlight w:val="yellow"/>
              </w:rPr>
            </w:pPr>
            <w:r w:rsidRPr="00256982">
              <w:t>0.3</w:t>
            </w:r>
          </w:p>
        </w:tc>
        <w:tc>
          <w:tcPr>
            <w:tcW w:w="1856" w:type="dxa"/>
            <w:tcBorders>
              <w:top w:val="single" w:sz="4" w:space="0" w:color="365F91"/>
              <w:bottom w:val="single" w:sz="4" w:space="0" w:color="365F91"/>
            </w:tcBorders>
            <w:shd w:val="clear" w:color="auto" w:fill="auto"/>
          </w:tcPr>
          <w:p w14:paraId="48A3C538" w14:textId="77777777" w:rsidR="00005A00" w:rsidRPr="00256982" w:rsidRDefault="00005A00" w:rsidP="00AA14F1">
            <w:pPr>
              <w:pStyle w:val="TableText"/>
              <w:spacing w:before="40" w:after="40"/>
              <w:jc w:val="center"/>
              <w:rPr>
                <w:highlight w:val="yellow"/>
              </w:rPr>
            </w:pPr>
            <w:r w:rsidRPr="00256982">
              <w:t>4.5</w:t>
            </w:r>
          </w:p>
        </w:tc>
        <w:tc>
          <w:tcPr>
            <w:tcW w:w="1857" w:type="dxa"/>
            <w:tcBorders>
              <w:top w:val="single" w:sz="4" w:space="0" w:color="365F91"/>
              <w:bottom w:val="single" w:sz="4" w:space="0" w:color="365F91"/>
            </w:tcBorders>
            <w:shd w:val="clear" w:color="auto" w:fill="auto"/>
          </w:tcPr>
          <w:p w14:paraId="4DD1E3F0" w14:textId="77777777" w:rsidR="00005A00" w:rsidRPr="00256982" w:rsidRDefault="00005A00" w:rsidP="00AA14F1">
            <w:pPr>
              <w:pStyle w:val="TableText"/>
              <w:spacing w:before="40" w:after="40"/>
              <w:jc w:val="center"/>
              <w:rPr>
                <w:highlight w:val="yellow"/>
              </w:rPr>
            </w:pPr>
            <w:r w:rsidRPr="00256982">
              <w:t>5.4</w:t>
            </w:r>
          </w:p>
        </w:tc>
      </w:tr>
      <w:tr w:rsidR="00005A00" w:rsidRPr="00256982" w14:paraId="518BC8F6" w14:textId="77777777" w:rsidTr="00AA14F1">
        <w:tc>
          <w:tcPr>
            <w:tcW w:w="1079" w:type="dxa"/>
            <w:tcBorders>
              <w:top w:val="single" w:sz="4" w:space="0" w:color="365F91"/>
              <w:bottom w:val="single" w:sz="4" w:space="0" w:color="365F91"/>
            </w:tcBorders>
          </w:tcPr>
          <w:p w14:paraId="26C77F7E" w14:textId="77777777" w:rsidR="00005A00" w:rsidRPr="00256982" w:rsidRDefault="00005A00" w:rsidP="00AA14F1">
            <w:pPr>
              <w:pStyle w:val="TableTextBold"/>
              <w:spacing w:before="40" w:after="40"/>
              <w:rPr>
                <w:noProof w:val="0"/>
              </w:rPr>
            </w:pPr>
            <w:r w:rsidRPr="00256982">
              <w:rPr>
                <w:noProof w:val="0"/>
              </w:rPr>
              <w:t>2009</w:t>
            </w:r>
          </w:p>
        </w:tc>
        <w:tc>
          <w:tcPr>
            <w:tcW w:w="1857" w:type="dxa"/>
            <w:tcBorders>
              <w:top w:val="single" w:sz="4" w:space="0" w:color="365F91"/>
              <w:bottom w:val="single" w:sz="4" w:space="0" w:color="365F91"/>
            </w:tcBorders>
            <w:shd w:val="clear" w:color="auto" w:fill="auto"/>
          </w:tcPr>
          <w:p w14:paraId="4E72C7AF" w14:textId="77777777" w:rsidR="00005A00" w:rsidRPr="00256982" w:rsidRDefault="00005A00" w:rsidP="00AA14F1">
            <w:pPr>
              <w:pStyle w:val="TableText"/>
              <w:spacing w:before="40" w:after="40"/>
              <w:jc w:val="center"/>
              <w:rPr>
                <w:highlight w:val="yellow"/>
              </w:rPr>
            </w:pPr>
            <w:r w:rsidRPr="00256982">
              <w:t>0.6</w:t>
            </w:r>
          </w:p>
        </w:tc>
        <w:tc>
          <w:tcPr>
            <w:tcW w:w="1856" w:type="dxa"/>
            <w:tcBorders>
              <w:top w:val="single" w:sz="4" w:space="0" w:color="365F91"/>
              <w:bottom w:val="single" w:sz="4" w:space="0" w:color="365F91"/>
            </w:tcBorders>
          </w:tcPr>
          <w:p w14:paraId="24636648" w14:textId="77777777" w:rsidR="00005A00" w:rsidRPr="00256982" w:rsidRDefault="00005A00" w:rsidP="00AA14F1">
            <w:pPr>
              <w:pStyle w:val="TableText"/>
              <w:spacing w:before="40" w:after="40"/>
              <w:jc w:val="center"/>
              <w:rPr>
                <w:highlight w:val="yellow"/>
              </w:rPr>
            </w:pPr>
            <w:r w:rsidRPr="00256982">
              <w:t>0.3</w:t>
            </w:r>
          </w:p>
        </w:tc>
        <w:tc>
          <w:tcPr>
            <w:tcW w:w="1856" w:type="dxa"/>
            <w:tcBorders>
              <w:top w:val="single" w:sz="4" w:space="0" w:color="365F91"/>
              <w:bottom w:val="single" w:sz="4" w:space="0" w:color="365F91"/>
            </w:tcBorders>
            <w:shd w:val="clear" w:color="auto" w:fill="auto"/>
          </w:tcPr>
          <w:p w14:paraId="1457AC9A" w14:textId="77777777" w:rsidR="00005A00" w:rsidRPr="00256982" w:rsidRDefault="00005A00" w:rsidP="00AA14F1">
            <w:pPr>
              <w:pStyle w:val="TableText"/>
              <w:spacing w:before="40" w:after="40"/>
              <w:jc w:val="center"/>
              <w:rPr>
                <w:highlight w:val="yellow"/>
              </w:rPr>
            </w:pPr>
            <w:r w:rsidRPr="00256982">
              <w:t>4.5</w:t>
            </w:r>
          </w:p>
        </w:tc>
        <w:tc>
          <w:tcPr>
            <w:tcW w:w="1857" w:type="dxa"/>
            <w:tcBorders>
              <w:top w:val="single" w:sz="4" w:space="0" w:color="365F91"/>
              <w:bottom w:val="single" w:sz="4" w:space="0" w:color="365F91"/>
            </w:tcBorders>
            <w:shd w:val="clear" w:color="auto" w:fill="auto"/>
          </w:tcPr>
          <w:p w14:paraId="02855EA0" w14:textId="77777777" w:rsidR="00005A00" w:rsidRPr="00256982" w:rsidRDefault="00005A00" w:rsidP="00AA14F1">
            <w:pPr>
              <w:pStyle w:val="TableText"/>
              <w:spacing w:before="40" w:after="40"/>
              <w:jc w:val="center"/>
              <w:rPr>
                <w:highlight w:val="yellow"/>
              </w:rPr>
            </w:pPr>
            <w:r w:rsidRPr="00256982">
              <w:t>5.4</w:t>
            </w:r>
          </w:p>
        </w:tc>
      </w:tr>
      <w:tr w:rsidR="00005A00" w:rsidRPr="00256982" w14:paraId="1967E2C8" w14:textId="77777777" w:rsidTr="00AA14F1">
        <w:tc>
          <w:tcPr>
            <w:tcW w:w="1079" w:type="dxa"/>
            <w:tcBorders>
              <w:top w:val="single" w:sz="4" w:space="0" w:color="365F91"/>
              <w:bottom w:val="single" w:sz="4" w:space="0" w:color="365F91"/>
            </w:tcBorders>
          </w:tcPr>
          <w:p w14:paraId="7AA95EFB" w14:textId="77777777" w:rsidR="00005A00" w:rsidRPr="00256982" w:rsidRDefault="00005A00" w:rsidP="00AA14F1">
            <w:pPr>
              <w:pStyle w:val="TableTextBold"/>
              <w:spacing w:before="40" w:after="40"/>
              <w:rPr>
                <w:noProof w:val="0"/>
              </w:rPr>
            </w:pPr>
            <w:r w:rsidRPr="00256982">
              <w:rPr>
                <w:noProof w:val="0"/>
              </w:rPr>
              <w:t>2010</w:t>
            </w:r>
          </w:p>
        </w:tc>
        <w:tc>
          <w:tcPr>
            <w:tcW w:w="1857" w:type="dxa"/>
            <w:tcBorders>
              <w:top w:val="single" w:sz="4" w:space="0" w:color="365F91"/>
              <w:bottom w:val="single" w:sz="4" w:space="0" w:color="365F91"/>
            </w:tcBorders>
            <w:shd w:val="clear" w:color="auto" w:fill="auto"/>
          </w:tcPr>
          <w:p w14:paraId="4EADBD51" w14:textId="77777777" w:rsidR="00005A00" w:rsidRPr="00256982" w:rsidRDefault="00005A00" w:rsidP="00AA14F1">
            <w:pPr>
              <w:pStyle w:val="TableText"/>
              <w:spacing w:before="40" w:after="40"/>
              <w:jc w:val="center"/>
              <w:rPr>
                <w:highlight w:val="yellow"/>
              </w:rPr>
            </w:pPr>
            <w:r w:rsidRPr="00256982">
              <w:t>0.6</w:t>
            </w:r>
          </w:p>
        </w:tc>
        <w:tc>
          <w:tcPr>
            <w:tcW w:w="1856" w:type="dxa"/>
            <w:tcBorders>
              <w:top w:val="single" w:sz="4" w:space="0" w:color="365F91"/>
              <w:bottom w:val="single" w:sz="4" w:space="0" w:color="365F91"/>
            </w:tcBorders>
          </w:tcPr>
          <w:p w14:paraId="7A44A942" w14:textId="77777777" w:rsidR="00005A00" w:rsidRPr="00256982" w:rsidRDefault="00005A00" w:rsidP="00AA14F1">
            <w:pPr>
              <w:pStyle w:val="TableText"/>
              <w:spacing w:before="40" w:after="40"/>
              <w:jc w:val="center"/>
              <w:rPr>
                <w:highlight w:val="yellow"/>
              </w:rPr>
            </w:pPr>
            <w:r w:rsidRPr="00256982">
              <w:t>0.3</w:t>
            </w:r>
          </w:p>
        </w:tc>
        <w:tc>
          <w:tcPr>
            <w:tcW w:w="1856" w:type="dxa"/>
            <w:tcBorders>
              <w:top w:val="single" w:sz="4" w:space="0" w:color="365F91"/>
              <w:bottom w:val="single" w:sz="4" w:space="0" w:color="365F91"/>
            </w:tcBorders>
            <w:shd w:val="clear" w:color="auto" w:fill="auto"/>
          </w:tcPr>
          <w:p w14:paraId="371E4B34" w14:textId="77777777" w:rsidR="00005A00" w:rsidRPr="00256982" w:rsidRDefault="00005A00" w:rsidP="00AA14F1">
            <w:pPr>
              <w:pStyle w:val="TableText"/>
              <w:spacing w:before="40" w:after="40"/>
              <w:jc w:val="center"/>
              <w:rPr>
                <w:highlight w:val="yellow"/>
              </w:rPr>
            </w:pPr>
            <w:r w:rsidRPr="00256982">
              <w:t>4.5</w:t>
            </w:r>
          </w:p>
        </w:tc>
        <w:tc>
          <w:tcPr>
            <w:tcW w:w="1857" w:type="dxa"/>
            <w:tcBorders>
              <w:top w:val="single" w:sz="4" w:space="0" w:color="365F91"/>
              <w:bottom w:val="single" w:sz="4" w:space="0" w:color="365F91"/>
            </w:tcBorders>
            <w:shd w:val="clear" w:color="auto" w:fill="auto"/>
          </w:tcPr>
          <w:p w14:paraId="2037D80B" w14:textId="77777777" w:rsidR="00005A00" w:rsidRPr="00256982" w:rsidRDefault="00005A00" w:rsidP="00AA14F1">
            <w:pPr>
              <w:pStyle w:val="TableText"/>
              <w:spacing w:before="40" w:after="40"/>
              <w:jc w:val="center"/>
              <w:rPr>
                <w:highlight w:val="yellow"/>
              </w:rPr>
            </w:pPr>
            <w:r w:rsidRPr="00256982">
              <w:t>5.4</w:t>
            </w:r>
          </w:p>
        </w:tc>
      </w:tr>
      <w:tr w:rsidR="00005A00" w:rsidRPr="00256982" w14:paraId="50BF30BE" w14:textId="77777777" w:rsidTr="00AA14F1">
        <w:tc>
          <w:tcPr>
            <w:tcW w:w="1079" w:type="dxa"/>
            <w:tcBorders>
              <w:top w:val="single" w:sz="4" w:space="0" w:color="365F91"/>
              <w:bottom w:val="single" w:sz="4" w:space="0" w:color="365F91"/>
            </w:tcBorders>
          </w:tcPr>
          <w:p w14:paraId="4173E2C1" w14:textId="77777777" w:rsidR="00005A00" w:rsidRPr="00256982" w:rsidRDefault="00005A00" w:rsidP="00AA14F1">
            <w:pPr>
              <w:pStyle w:val="TableTextBold"/>
              <w:spacing w:before="40" w:after="40"/>
              <w:rPr>
                <w:noProof w:val="0"/>
              </w:rPr>
            </w:pPr>
            <w:r w:rsidRPr="00256982">
              <w:rPr>
                <w:noProof w:val="0"/>
              </w:rPr>
              <w:t>2011</w:t>
            </w:r>
          </w:p>
        </w:tc>
        <w:tc>
          <w:tcPr>
            <w:tcW w:w="1857" w:type="dxa"/>
            <w:tcBorders>
              <w:top w:val="single" w:sz="4" w:space="0" w:color="365F91"/>
              <w:bottom w:val="single" w:sz="4" w:space="0" w:color="365F91"/>
            </w:tcBorders>
            <w:shd w:val="clear" w:color="auto" w:fill="auto"/>
          </w:tcPr>
          <w:p w14:paraId="15CEE6A0" w14:textId="77777777" w:rsidR="00005A00" w:rsidRPr="00256982" w:rsidRDefault="00005A00" w:rsidP="00AA14F1">
            <w:pPr>
              <w:pStyle w:val="TableText"/>
              <w:spacing w:before="40" w:after="40"/>
              <w:jc w:val="center"/>
              <w:rPr>
                <w:highlight w:val="yellow"/>
              </w:rPr>
            </w:pPr>
            <w:r w:rsidRPr="00256982">
              <w:t>0.6</w:t>
            </w:r>
          </w:p>
        </w:tc>
        <w:tc>
          <w:tcPr>
            <w:tcW w:w="1856" w:type="dxa"/>
            <w:tcBorders>
              <w:top w:val="single" w:sz="4" w:space="0" w:color="365F91"/>
              <w:bottom w:val="single" w:sz="4" w:space="0" w:color="365F91"/>
            </w:tcBorders>
          </w:tcPr>
          <w:p w14:paraId="3D7239CE" w14:textId="77777777" w:rsidR="00005A00" w:rsidRPr="00256982" w:rsidRDefault="00005A00" w:rsidP="00AA14F1">
            <w:pPr>
              <w:pStyle w:val="TableText"/>
              <w:spacing w:before="40" w:after="40"/>
              <w:jc w:val="center"/>
              <w:rPr>
                <w:highlight w:val="yellow"/>
              </w:rPr>
            </w:pPr>
            <w:r w:rsidRPr="00256982">
              <w:t>0.3</w:t>
            </w:r>
          </w:p>
        </w:tc>
        <w:tc>
          <w:tcPr>
            <w:tcW w:w="1856" w:type="dxa"/>
            <w:tcBorders>
              <w:top w:val="single" w:sz="4" w:space="0" w:color="365F91"/>
              <w:bottom w:val="single" w:sz="4" w:space="0" w:color="365F91"/>
            </w:tcBorders>
            <w:shd w:val="clear" w:color="auto" w:fill="auto"/>
          </w:tcPr>
          <w:p w14:paraId="622057B8" w14:textId="77777777" w:rsidR="00005A00" w:rsidRPr="00256982" w:rsidRDefault="00005A00" w:rsidP="00AA14F1">
            <w:pPr>
              <w:pStyle w:val="TableText"/>
              <w:spacing w:before="40" w:after="40"/>
              <w:jc w:val="center"/>
              <w:rPr>
                <w:highlight w:val="yellow"/>
              </w:rPr>
            </w:pPr>
            <w:r w:rsidRPr="00256982">
              <w:t>4.5</w:t>
            </w:r>
          </w:p>
        </w:tc>
        <w:tc>
          <w:tcPr>
            <w:tcW w:w="1857" w:type="dxa"/>
            <w:tcBorders>
              <w:top w:val="single" w:sz="4" w:space="0" w:color="365F91"/>
              <w:bottom w:val="single" w:sz="4" w:space="0" w:color="365F91"/>
            </w:tcBorders>
            <w:shd w:val="clear" w:color="auto" w:fill="auto"/>
          </w:tcPr>
          <w:p w14:paraId="0DD21D6A" w14:textId="77777777" w:rsidR="00005A00" w:rsidRPr="00256982" w:rsidRDefault="00005A00" w:rsidP="00AA14F1">
            <w:pPr>
              <w:pStyle w:val="TableText"/>
              <w:spacing w:before="40" w:after="40"/>
              <w:jc w:val="center"/>
              <w:rPr>
                <w:highlight w:val="yellow"/>
              </w:rPr>
            </w:pPr>
            <w:r w:rsidRPr="00256982">
              <w:t>5.4</w:t>
            </w:r>
          </w:p>
        </w:tc>
      </w:tr>
      <w:tr w:rsidR="00005A00" w:rsidRPr="00256982" w14:paraId="21121D5B" w14:textId="77777777" w:rsidTr="00AA14F1">
        <w:tc>
          <w:tcPr>
            <w:tcW w:w="1079" w:type="dxa"/>
            <w:tcBorders>
              <w:top w:val="single" w:sz="4" w:space="0" w:color="365F91"/>
              <w:bottom w:val="single" w:sz="4" w:space="0" w:color="365F91"/>
            </w:tcBorders>
          </w:tcPr>
          <w:p w14:paraId="51BDBC91" w14:textId="77777777" w:rsidR="00005A00" w:rsidRPr="00256982" w:rsidRDefault="00005A00" w:rsidP="00AA14F1">
            <w:pPr>
              <w:pStyle w:val="TableTextBold"/>
              <w:spacing w:before="40" w:after="40"/>
              <w:rPr>
                <w:noProof w:val="0"/>
              </w:rPr>
            </w:pPr>
            <w:r w:rsidRPr="00256982">
              <w:rPr>
                <w:noProof w:val="0"/>
              </w:rPr>
              <w:t>2012</w:t>
            </w:r>
          </w:p>
        </w:tc>
        <w:tc>
          <w:tcPr>
            <w:tcW w:w="1857" w:type="dxa"/>
            <w:tcBorders>
              <w:top w:val="single" w:sz="4" w:space="0" w:color="365F91"/>
              <w:bottom w:val="single" w:sz="4" w:space="0" w:color="365F91"/>
            </w:tcBorders>
            <w:shd w:val="clear" w:color="auto" w:fill="auto"/>
          </w:tcPr>
          <w:p w14:paraId="76F7F4D1" w14:textId="77777777" w:rsidR="00005A00" w:rsidRPr="00256982" w:rsidRDefault="00005A00" w:rsidP="00AA14F1">
            <w:pPr>
              <w:pStyle w:val="TableText"/>
              <w:spacing w:before="40" w:after="40"/>
              <w:jc w:val="center"/>
              <w:rPr>
                <w:highlight w:val="yellow"/>
              </w:rPr>
            </w:pPr>
            <w:r w:rsidRPr="00256982">
              <w:t>0.6</w:t>
            </w:r>
          </w:p>
        </w:tc>
        <w:tc>
          <w:tcPr>
            <w:tcW w:w="1856" w:type="dxa"/>
            <w:tcBorders>
              <w:top w:val="single" w:sz="4" w:space="0" w:color="365F91"/>
              <w:bottom w:val="single" w:sz="4" w:space="0" w:color="365F91"/>
            </w:tcBorders>
          </w:tcPr>
          <w:p w14:paraId="2177F694" w14:textId="77777777" w:rsidR="00005A00" w:rsidRPr="00256982" w:rsidRDefault="00005A00" w:rsidP="00AA14F1">
            <w:pPr>
              <w:pStyle w:val="TableText"/>
              <w:spacing w:before="40" w:after="40"/>
              <w:jc w:val="center"/>
              <w:rPr>
                <w:highlight w:val="yellow"/>
              </w:rPr>
            </w:pPr>
            <w:r w:rsidRPr="00256982">
              <w:t>0.3</w:t>
            </w:r>
          </w:p>
        </w:tc>
        <w:tc>
          <w:tcPr>
            <w:tcW w:w="1856" w:type="dxa"/>
            <w:tcBorders>
              <w:top w:val="single" w:sz="4" w:space="0" w:color="365F91"/>
              <w:bottom w:val="single" w:sz="4" w:space="0" w:color="365F91"/>
            </w:tcBorders>
            <w:shd w:val="clear" w:color="auto" w:fill="auto"/>
          </w:tcPr>
          <w:p w14:paraId="123B60F6" w14:textId="77777777" w:rsidR="00005A00" w:rsidRPr="00256982" w:rsidRDefault="00005A00" w:rsidP="00AA14F1">
            <w:pPr>
              <w:pStyle w:val="TableText"/>
              <w:spacing w:before="40" w:after="40"/>
              <w:jc w:val="center"/>
              <w:rPr>
                <w:highlight w:val="yellow"/>
              </w:rPr>
            </w:pPr>
            <w:r w:rsidRPr="00256982">
              <w:t>4.5</w:t>
            </w:r>
          </w:p>
        </w:tc>
        <w:tc>
          <w:tcPr>
            <w:tcW w:w="1857" w:type="dxa"/>
            <w:tcBorders>
              <w:top w:val="single" w:sz="4" w:space="0" w:color="365F91"/>
              <w:bottom w:val="single" w:sz="4" w:space="0" w:color="365F91"/>
            </w:tcBorders>
            <w:shd w:val="clear" w:color="auto" w:fill="auto"/>
          </w:tcPr>
          <w:p w14:paraId="0B038501" w14:textId="77777777" w:rsidR="00005A00" w:rsidRPr="00256982" w:rsidRDefault="00005A00" w:rsidP="00AA14F1">
            <w:pPr>
              <w:pStyle w:val="TableText"/>
              <w:spacing w:before="40" w:after="40"/>
              <w:jc w:val="center"/>
              <w:rPr>
                <w:highlight w:val="yellow"/>
              </w:rPr>
            </w:pPr>
            <w:r w:rsidRPr="00256982">
              <w:t>5.4</w:t>
            </w:r>
          </w:p>
        </w:tc>
      </w:tr>
      <w:tr w:rsidR="00005A00" w:rsidRPr="00256982" w14:paraId="3483CB71" w14:textId="77777777" w:rsidTr="00AA14F1">
        <w:tc>
          <w:tcPr>
            <w:tcW w:w="1079" w:type="dxa"/>
            <w:tcBorders>
              <w:top w:val="single" w:sz="4" w:space="0" w:color="365F91"/>
              <w:bottom w:val="single" w:sz="4" w:space="0" w:color="365F91"/>
            </w:tcBorders>
          </w:tcPr>
          <w:p w14:paraId="4EFCE30E" w14:textId="77777777" w:rsidR="00005A00" w:rsidRPr="00256982" w:rsidRDefault="00005A00" w:rsidP="00AA14F1">
            <w:pPr>
              <w:pStyle w:val="TableTextBold"/>
              <w:spacing w:before="40" w:after="40"/>
              <w:rPr>
                <w:noProof w:val="0"/>
              </w:rPr>
            </w:pPr>
            <w:r w:rsidRPr="00256982">
              <w:rPr>
                <w:noProof w:val="0"/>
              </w:rPr>
              <w:t>2013</w:t>
            </w:r>
          </w:p>
        </w:tc>
        <w:tc>
          <w:tcPr>
            <w:tcW w:w="1857" w:type="dxa"/>
            <w:tcBorders>
              <w:top w:val="single" w:sz="4" w:space="0" w:color="365F91"/>
              <w:bottom w:val="single" w:sz="4" w:space="0" w:color="365F91"/>
            </w:tcBorders>
            <w:shd w:val="clear" w:color="auto" w:fill="auto"/>
          </w:tcPr>
          <w:p w14:paraId="569F765D" w14:textId="77777777" w:rsidR="00005A00" w:rsidRPr="00256982" w:rsidRDefault="00005A00" w:rsidP="00AA14F1">
            <w:pPr>
              <w:pStyle w:val="TableText"/>
              <w:spacing w:before="40" w:after="40"/>
              <w:jc w:val="center"/>
              <w:rPr>
                <w:highlight w:val="yellow"/>
              </w:rPr>
            </w:pPr>
            <w:r w:rsidRPr="00256982">
              <w:t>0.6</w:t>
            </w:r>
          </w:p>
        </w:tc>
        <w:tc>
          <w:tcPr>
            <w:tcW w:w="1856" w:type="dxa"/>
            <w:tcBorders>
              <w:top w:val="single" w:sz="4" w:space="0" w:color="365F91"/>
              <w:bottom w:val="single" w:sz="4" w:space="0" w:color="365F91"/>
            </w:tcBorders>
          </w:tcPr>
          <w:p w14:paraId="3E8CA54D" w14:textId="77777777" w:rsidR="00005A00" w:rsidRPr="00256982" w:rsidRDefault="00005A00" w:rsidP="00AA14F1">
            <w:pPr>
              <w:pStyle w:val="TableText"/>
              <w:spacing w:before="40" w:after="40"/>
              <w:jc w:val="center"/>
              <w:rPr>
                <w:highlight w:val="yellow"/>
              </w:rPr>
            </w:pPr>
            <w:r w:rsidRPr="00256982">
              <w:t>0.3</w:t>
            </w:r>
          </w:p>
        </w:tc>
        <w:tc>
          <w:tcPr>
            <w:tcW w:w="1856" w:type="dxa"/>
            <w:tcBorders>
              <w:top w:val="single" w:sz="4" w:space="0" w:color="365F91"/>
              <w:bottom w:val="single" w:sz="4" w:space="0" w:color="365F91"/>
            </w:tcBorders>
            <w:shd w:val="clear" w:color="auto" w:fill="auto"/>
          </w:tcPr>
          <w:p w14:paraId="34AE5ACF" w14:textId="77777777" w:rsidR="00005A00" w:rsidRPr="00256982" w:rsidRDefault="00005A00" w:rsidP="00AA14F1">
            <w:pPr>
              <w:pStyle w:val="TableText"/>
              <w:spacing w:before="40" w:after="40"/>
              <w:jc w:val="center"/>
              <w:rPr>
                <w:highlight w:val="yellow"/>
              </w:rPr>
            </w:pPr>
            <w:r w:rsidRPr="00256982">
              <w:t>4.5</w:t>
            </w:r>
          </w:p>
        </w:tc>
        <w:tc>
          <w:tcPr>
            <w:tcW w:w="1857" w:type="dxa"/>
            <w:tcBorders>
              <w:top w:val="single" w:sz="4" w:space="0" w:color="365F91"/>
              <w:bottom w:val="single" w:sz="4" w:space="0" w:color="365F91"/>
            </w:tcBorders>
            <w:shd w:val="clear" w:color="auto" w:fill="auto"/>
          </w:tcPr>
          <w:p w14:paraId="1FDE76E4" w14:textId="77777777" w:rsidR="00005A00" w:rsidRPr="00256982" w:rsidRDefault="00005A00" w:rsidP="00AA14F1">
            <w:pPr>
              <w:pStyle w:val="TableText"/>
              <w:spacing w:before="40" w:after="40"/>
              <w:jc w:val="center"/>
              <w:rPr>
                <w:highlight w:val="yellow"/>
              </w:rPr>
            </w:pPr>
            <w:r w:rsidRPr="00256982">
              <w:t>5.4</w:t>
            </w:r>
          </w:p>
        </w:tc>
      </w:tr>
      <w:tr w:rsidR="00005A00" w:rsidRPr="00256982" w14:paraId="70956B0F" w14:textId="77777777" w:rsidTr="00AA14F1">
        <w:tc>
          <w:tcPr>
            <w:tcW w:w="1079" w:type="dxa"/>
            <w:tcBorders>
              <w:top w:val="single" w:sz="4" w:space="0" w:color="365F91"/>
              <w:bottom w:val="single" w:sz="4" w:space="0" w:color="365F91"/>
            </w:tcBorders>
          </w:tcPr>
          <w:p w14:paraId="3F2073E2" w14:textId="77777777" w:rsidR="00005A00" w:rsidRPr="00256982" w:rsidRDefault="00005A00" w:rsidP="00AA14F1">
            <w:pPr>
              <w:pStyle w:val="TableTextBold"/>
              <w:spacing w:before="40" w:after="40"/>
              <w:rPr>
                <w:noProof w:val="0"/>
              </w:rPr>
            </w:pPr>
            <w:r w:rsidRPr="00256982">
              <w:rPr>
                <w:noProof w:val="0"/>
              </w:rPr>
              <w:t>2014</w:t>
            </w:r>
          </w:p>
        </w:tc>
        <w:tc>
          <w:tcPr>
            <w:tcW w:w="1857" w:type="dxa"/>
            <w:tcBorders>
              <w:top w:val="single" w:sz="4" w:space="0" w:color="365F91"/>
              <w:bottom w:val="single" w:sz="4" w:space="0" w:color="365F91"/>
            </w:tcBorders>
            <w:shd w:val="clear" w:color="auto" w:fill="auto"/>
          </w:tcPr>
          <w:p w14:paraId="5B0A8A07" w14:textId="77777777" w:rsidR="00005A00" w:rsidRPr="00256982" w:rsidRDefault="00005A00" w:rsidP="00AA14F1">
            <w:pPr>
              <w:pStyle w:val="TableText"/>
              <w:spacing w:before="40" w:after="40"/>
              <w:jc w:val="center"/>
              <w:rPr>
                <w:highlight w:val="yellow"/>
              </w:rPr>
            </w:pPr>
            <w:r w:rsidRPr="00256982">
              <w:t>0.6</w:t>
            </w:r>
          </w:p>
        </w:tc>
        <w:tc>
          <w:tcPr>
            <w:tcW w:w="1856" w:type="dxa"/>
            <w:tcBorders>
              <w:top w:val="single" w:sz="4" w:space="0" w:color="365F91"/>
              <w:bottom w:val="single" w:sz="4" w:space="0" w:color="365F91"/>
            </w:tcBorders>
          </w:tcPr>
          <w:p w14:paraId="3E5E2215" w14:textId="77777777" w:rsidR="00005A00" w:rsidRPr="00256982" w:rsidRDefault="00005A00" w:rsidP="00AA14F1">
            <w:pPr>
              <w:pStyle w:val="TableText"/>
              <w:spacing w:before="40" w:after="40"/>
              <w:jc w:val="center"/>
              <w:rPr>
                <w:highlight w:val="yellow"/>
              </w:rPr>
            </w:pPr>
            <w:r w:rsidRPr="00256982">
              <w:t>0.3</w:t>
            </w:r>
          </w:p>
        </w:tc>
        <w:tc>
          <w:tcPr>
            <w:tcW w:w="1856" w:type="dxa"/>
            <w:tcBorders>
              <w:top w:val="single" w:sz="4" w:space="0" w:color="365F91"/>
              <w:bottom w:val="single" w:sz="4" w:space="0" w:color="365F91"/>
            </w:tcBorders>
            <w:shd w:val="clear" w:color="auto" w:fill="auto"/>
          </w:tcPr>
          <w:p w14:paraId="3C4E5CEA" w14:textId="77777777" w:rsidR="00005A00" w:rsidRPr="00256982" w:rsidRDefault="00005A00" w:rsidP="00AA14F1">
            <w:pPr>
              <w:pStyle w:val="TableText"/>
              <w:spacing w:before="40" w:after="40"/>
              <w:jc w:val="center"/>
              <w:rPr>
                <w:highlight w:val="yellow"/>
              </w:rPr>
            </w:pPr>
            <w:r w:rsidRPr="00256982">
              <w:t>4.5</w:t>
            </w:r>
          </w:p>
        </w:tc>
        <w:tc>
          <w:tcPr>
            <w:tcW w:w="1857" w:type="dxa"/>
            <w:tcBorders>
              <w:top w:val="single" w:sz="4" w:space="0" w:color="365F91"/>
              <w:bottom w:val="single" w:sz="4" w:space="0" w:color="365F91"/>
            </w:tcBorders>
            <w:shd w:val="clear" w:color="auto" w:fill="auto"/>
          </w:tcPr>
          <w:p w14:paraId="254F5C52" w14:textId="77777777" w:rsidR="00005A00" w:rsidRPr="00256982" w:rsidRDefault="00005A00" w:rsidP="00AA14F1">
            <w:pPr>
              <w:pStyle w:val="TableText"/>
              <w:spacing w:before="40" w:after="40"/>
              <w:jc w:val="center"/>
              <w:rPr>
                <w:highlight w:val="yellow"/>
              </w:rPr>
            </w:pPr>
            <w:r w:rsidRPr="00256982">
              <w:t>5.4</w:t>
            </w:r>
          </w:p>
        </w:tc>
      </w:tr>
      <w:tr w:rsidR="00005A00" w:rsidRPr="00256982" w14:paraId="07794256" w14:textId="77777777" w:rsidTr="00AA14F1">
        <w:tc>
          <w:tcPr>
            <w:tcW w:w="1079" w:type="dxa"/>
            <w:tcBorders>
              <w:top w:val="single" w:sz="4" w:space="0" w:color="365F91"/>
              <w:bottom w:val="single" w:sz="4" w:space="0" w:color="365F91"/>
            </w:tcBorders>
          </w:tcPr>
          <w:p w14:paraId="2F392446" w14:textId="77777777" w:rsidR="00005A00" w:rsidRPr="00256982" w:rsidRDefault="00005A00" w:rsidP="00AA14F1">
            <w:pPr>
              <w:pStyle w:val="TableTextBold"/>
              <w:spacing w:before="40" w:after="40"/>
              <w:rPr>
                <w:noProof w:val="0"/>
              </w:rPr>
            </w:pPr>
            <w:r w:rsidRPr="00256982">
              <w:rPr>
                <w:noProof w:val="0"/>
              </w:rPr>
              <w:t>2015</w:t>
            </w:r>
          </w:p>
        </w:tc>
        <w:tc>
          <w:tcPr>
            <w:tcW w:w="1857" w:type="dxa"/>
            <w:tcBorders>
              <w:top w:val="single" w:sz="4" w:space="0" w:color="365F91"/>
              <w:bottom w:val="single" w:sz="4" w:space="0" w:color="365F91"/>
            </w:tcBorders>
            <w:shd w:val="clear" w:color="auto" w:fill="auto"/>
          </w:tcPr>
          <w:p w14:paraId="3E3154CA" w14:textId="77777777" w:rsidR="00005A00" w:rsidRPr="00256982" w:rsidRDefault="00005A00" w:rsidP="00AA14F1">
            <w:pPr>
              <w:pStyle w:val="TableText"/>
              <w:spacing w:before="40" w:after="40"/>
              <w:jc w:val="center"/>
              <w:rPr>
                <w:highlight w:val="yellow"/>
              </w:rPr>
            </w:pPr>
            <w:r w:rsidRPr="00256982">
              <w:t>0.6</w:t>
            </w:r>
          </w:p>
        </w:tc>
        <w:tc>
          <w:tcPr>
            <w:tcW w:w="1856" w:type="dxa"/>
            <w:tcBorders>
              <w:top w:val="single" w:sz="4" w:space="0" w:color="365F91"/>
              <w:bottom w:val="single" w:sz="4" w:space="0" w:color="365F91"/>
            </w:tcBorders>
          </w:tcPr>
          <w:p w14:paraId="058EAE8A" w14:textId="77777777" w:rsidR="00005A00" w:rsidRPr="00256982" w:rsidRDefault="00005A00" w:rsidP="00AA14F1">
            <w:pPr>
              <w:pStyle w:val="TableText"/>
              <w:spacing w:before="40" w:after="40"/>
              <w:jc w:val="center"/>
              <w:rPr>
                <w:highlight w:val="yellow"/>
              </w:rPr>
            </w:pPr>
            <w:r w:rsidRPr="00256982">
              <w:t>0.3</w:t>
            </w:r>
          </w:p>
        </w:tc>
        <w:tc>
          <w:tcPr>
            <w:tcW w:w="1856" w:type="dxa"/>
            <w:tcBorders>
              <w:top w:val="single" w:sz="4" w:space="0" w:color="365F91"/>
              <w:bottom w:val="single" w:sz="4" w:space="0" w:color="365F91"/>
            </w:tcBorders>
            <w:shd w:val="clear" w:color="auto" w:fill="auto"/>
          </w:tcPr>
          <w:p w14:paraId="4DCA9FDA" w14:textId="77777777" w:rsidR="00005A00" w:rsidRPr="00256982" w:rsidRDefault="00005A00" w:rsidP="00AA14F1">
            <w:pPr>
              <w:pStyle w:val="TableText"/>
              <w:spacing w:before="40" w:after="40"/>
              <w:jc w:val="center"/>
              <w:rPr>
                <w:highlight w:val="yellow"/>
              </w:rPr>
            </w:pPr>
            <w:r w:rsidRPr="00256982">
              <w:t>4.5</w:t>
            </w:r>
          </w:p>
        </w:tc>
        <w:tc>
          <w:tcPr>
            <w:tcW w:w="1857" w:type="dxa"/>
            <w:tcBorders>
              <w:top w:val="single" w:sz="4" w:space="0" w:color="365F91"/>
              <w:bottom w:val="single" w:sz="4" w:space="0" w:color="365F91"/>
            </w:tcBorders>
            <w:shd w:val="clear" w:color="auto" w:fill="auto"/>
          </w:tcPr>
          <w:p w14:paraId="71633F1D" w14:textId="77777777" w:rsidR="00005A00" w:rsidRPr="00256982" w:rsidRDefault="00005A00" w:rsidP="00AA14F1">
            <w:pPr>
              <w:pStyle w:val="TableText"/>
              <w:spacing w:before="40" w:after="40"/>
              <w:jc w:val="center"/>
              <w:rPr>
                <w:highlight w:val="yellow"/>
              </w:rPr>
            </w:pPr>
            <w:r w:rsidRPr="00256982">
              <w:t>5.4</w:t>
            </w:r>
          </w:p>
        </w:tc>
      </w:tr>
      <w:tr w:rsidR="00005A00" w:rsidRPr="00256982" w14:paraId="23ECBE34" w14:textId="77777777" w:rsidTr="00AA14F1">
        <w:tc>
          <w:tcPr>
            <w:tcW w:w="1079" w:type="dxa"/>
            <w:tcBorders>
              <w:top w:val="single" w:sz="4" w:space="0" w:color="365F91"/>
              <w:bottom w:val="single" w:sz="4" w:space="0" w:color="365F91"/>
            </w:tcBorders>
          </w:tcPr>
          <w:p w14:paraId="51F28807" w14:textId="77777777" w:rsidR="00005A00" w:rsidRPr="00256982" w:rsidRDefault="00005A00" w:rsidP="00AA14F1">
            <w:pPr>
              <w:pStyle w:val="TableTextBold"/>
              <w:spacing w:before="40" w:after="40"/>
              <w:rPr>
                <w:noProof w:val="0"/>
              </w:rPr>
            </w:pPr>
            <w:r w:rsidRPr="00256982">
              <w:rPr>
                <w:noProof w:val="0"/>
              </w:rPr>
              <w:t>2016</w:t>
            </w:r>
          </w:p>
        </w:tc>
        <w:tc>
          <w:tcPr>
            <w:tcW w:w="1857" w:type="dxa"/>
            <w:tcBorders>
              <w:top w:val="single" w:sz="4" w:space="0" w:color="365F91"/>
              <w:bottom w:val="single" w:sz="4" w:space="0" w:color="365F91"/>
            </w:tcBorders>
            <w:shd w:val="clear" w:color="auto" w:fill="auto"/>
          </w:tcPr>
          <w:p w14:paraId="60594384" w14:textId="77777777" w:rsidR="00005A00" w:rsidRPr="00256982" w:rsidRDefault="00005A00" w:rsidP="00AA14F1">
            <w:pPr>
              <w:pStyle w:val="TableText"/>
              <w:spacing w:before="40" w:after="40"/>
              <w:jc w:val="center"/>
              <w:rPr>
                <w:highlight w:val="yellow"/>
              </w:rPr>
            </w:pPr>
            <w:r w:rsidRPr="00256982">
              <w:t>0.6</w:t>
            </w:r>
          </w:p>
        </w:tc>
        <w:tc>
          <w:tcPr>
            <w:tcW w:w="1856" w:type="dxa"/>
            <w:tcBorders>
              <w:top w:val="single" w:sz="4" w:space="0" w:color="365F91"/>
              <w:bottom w:val="single" w:sz="4" w:space="0" w:color="365F91"/>
            </w:tcBorders>
          </w:tcPr>
          <w:p w14:paraId="5B800A06" w14:textId="77777777" w:rsidR="00005A00" w:rsidRPr="00256982" w:rsidRDefault="00005A00" w:rsidP="00AA14F1">
            <w:pPr>
              <w:pStyle w:val="TableText"/>
              <w:spacing w:before="40" w:after="40"/>
              <w:jc w:val="center"/>
              <w:rPr>
                <w:highlight w:val="yellow"/>
              </w:rPr>
            </w:pPr>
            <w:r w:rsidRPr="00256982">
              <w:t>0.3</w:t>
            </w:r>
          </w:p>
        </w:tc>
        <w:tc>
          <w:tcPr>
            <w:tcW w:w="1856" w:type="dxa"/>
            <w:tcBorders>
              <w:top w:val="single" w:sz="4" w:space="0" w:color="365F91"/>
              <w:bottom w:val="single" w:sz="4" w:space="0" w:color="365F91"/>
            </w:tcBorders>
            <w:shd w:val="clear" w:color="auto" w:fill="auto"/>
          </w:tcPr>
          <w:p w14:paraId="5A0D77AC" w14:textId="77777777" w:rsidR="00005A00" w:rsidRPr="00256982" w:rsidRDefault="00005A00" w:rsidP="00AA14F1">
            <w:pPr>
              <w:pStyle w:val="TableText"/>
              <w:spacing w:before="40" w:after="40"/>
              <w:jc w:val="center"/>
              <w:rPr>
                <w:highlight w:val="yellow"/>
              </w:rPr>
            </w:pPr>
            <w:r w:rsidRPr="00256982">
              <w:t>4.5</w:t>
            </w:r>
          </w:p>
        </w:tc>
        <w:tc>
          <w:tcPr>
            <w:tcW w:w="1857" w:type="dxa"/>
            <w:tcBorders>
              <w:top w:val="single" w:sz="4" w:space="0" w:color="365F91"/>
              <w:bottom w:val="single" w:sz="4" w:space="0" w:color="365F91"/>
            </w:tcBorders>
            <w:shd w:val="clear" w:color="auto" w:fill="auto"/>
          </w:tcPr>
          <w:p w14:paraId="51B4E61D" w14:textId="77777777" w:rsidR="00005A00" w:rsidRPr="00256982" w:rsidRDefault="00005A00" w:rsidP="00AA14F1">
            <w:pPr>
              <w:pStyle w:val="TableText"/>
              <w:spacing w:before="40" w:after="40"/>
              <w:jc w:val="center"/>
              <w:rPr>
                <w:highlight w:val="yellow"/>
              </w:rPr>
            </w:pPr>
            <w:r w:rsidRPr="00256982">
              <w:t>5.4</w:t>
            </w:r>
          </w:p>
        </w:tc>
      </w:tr>
      <w:tr w:rsidR="00005A00" w:rsidRPr="00256982" w14:paraId="0AC60D25" w14:textId="77777777" w:rsidTr="00AA14F1">
        <w:tc>
          <w:tcPr>
            <w:tcW w:w="1079" w:type="dxa"/>
            <w:tcBorders>
              <w:top w:val="single" w:sz="4" w:space="0" w:color="365F91"/>
              <w:bottom w:val="single" w:sz="4" w:space="0" w:color="365F91"/>
            </w:tcBorders>
          </w:tcPr>
          <w:p w14:paraId="4C49984C" w14:textId="77777777" w:rsidR="00005A00" w:rsidRPr="00256982" w:rsidRDefault="00005A00" w:rsidP="00AA14F1">
            <w:pPr>
              <w:pStyle w:val="TableTextBold"/>
              <w:spacing w:before="40" w:after="40"/>
              <w:rPr>
                <w:noProof w:val="0"/>
              </w:rPr>
            </w:pPr>
            <w:r w:rsidRPr="00256982">
              <w:rPr>
                <w:noProof w:val="0"/>
              </w:rPr>
              <w:t>2017</w:t>
            </w:r>
          </w:p>
        </w:tc>
        <w:tc>
          <w:tcPr>
            <w:tcW w:w="1857" w:type="dxa"/>
            <w:tcBorders>
              <w:top w:val="single" w:sz="4" w:space="0" w:color="365F91"/>
              <w:bottom w:val="single" w:sz="4" w:space="0" w:color="365F91"/>
            </w:tcBorders>
            <w:shd w:val="clear" w:color="auto" w:fill="auto"/>
          </w:tcPr>
          <w:p w14:paraId="3E64796C" w14:textId="77777777" w:rsidR="00005A00" w:rsidRPr="00256982" w:rsidRDefault="00005A00" w:rsidP="00AA14F1">
            <w:pPr>
              <w:pStyle w:val="TableText"/>
              <w:spacing w:before="40" w:after="40"/>
              <w:jc w:val="center"/>
            </w:pPr>
            <w:r w:rsidRPr="00256982">
              <w:t>0.6</w:t>
            </w:r>
          </w:p>
        </w:tc>
        <w:tc>
          <w:tcPr>
            <w:tcW w:w="1856" w:type="dxa"/>
            <w:tcBorders>
              <w:top w:val="single" w:sz="4" w:space="0" w:color="365F91"/>
              <w:bottom w:val="single" w:sz="4" w:space="0" w:color="365F91"/>
            </w:tcBorders>
          </w:tcPr>
          <w:p w14:paraId="2F92E799" w14:textId="77777777" w:rsidR="00005A00" w:rsidRPr="00256982" w:rsidRDefault="00005A00" w:rsidP="00AA14F1">
            <w:pPr>
              <w:pStyle w:val="TableText"/>
              <w:spacing w:before="40" w:after="40"/>
              <w:jc w:val="center"/>
            </w:pPr>
            <w:r w:rsidRPr="00256982">
              <w:t>0.3</w:t>
            </w:r>
          </w:p>
        </w:tc>
        <w:tc>
          <w:tcPr>
            <w:tcW w:w="1856" w:type="dxa"/>
            <w:tcBorders>
              <w:top w:val="single" w:sz="4" w:space="0" w:color="365F91"/>
              <w:bottom w:val="single" w:sz="4" w:space="0" w:color="365F91"/>
            </w:tcBorders>
            <w:shd w:val="clear" w:color="auto" w:fill="auto"/>
          </w:tcPr>
          <w:p w14:paraId="31CB9760" w14:textId="77777777" w:rsidR="00005A00" w:rsidRPr="00256982" w:rsidRDefault="00005A00" w:rsidP="00AA14F1">
            <w:pPr>
              <w:pStyle w:val="TableText"/>
              <w:spacing w:before="40" w:after="40"/>
              <w:jc w:val="center"/>
            </w:pPr>
            <w:r w:rsidRPr="00256982">
              <w:t>4.5</w:t>
            </w:r>
          </w:p>
        </w:tc>
        <w:tc>
          <w:tcPr>
            <w:tcW w:w="1857" w:type="dxa"/>
            <w:tcBorders>
              <w:top w:val="single" w:sz="4" w:space="0" w:color="365F91"/>
              <w:bottom w:val="single" w:sz="4" w:space="0" w:color="365F91"/>
            </w:tcBorders>
            <w:shd w:val="clear" w:color="auto" w:fill="auto"/>
          </w:tcPr>
          <w:p w14:paraId="6A7AF997" w14:textId="77777777" w:rsidR="00005A00" w:rsidRPr="00256982" w:rsidRDefault="00005A00" w:rsidP="00AA14F1">
            <w:pPr>
              <w:pStyle w:val="TableText"/>
              <w:spacing w:before="40" w:after="40"/>
              <w:jc w:val="center"/>
            </w:pPr>
            <w:r w:rsidRPr="00256982">
              <w:t>5.4</w:t>
            </w:r>
          </w:p>
        </w:tc>
      </w:tr>
    </w:tbl>
    <w:p w14:paraId="6AF2FE82" w14:textId="77777777" w:rsidR="00005A00" w:rsidRPr="00256982" w:rsidRDefault="00005A00" w:rsidP="00005A00">
      <w:pPr>
        <w:pStyle w:val="Noteundertable"/>
      </w:pPr>
      <w:r w:rsidRPr="00256982">
        <w:rPr>
          <w:b/>
        </w:rPr>
        <w:t>Note:</w:t>
      </w:r>
      <w:r w:rsidRPr="00256982">
        <w:t xml:space="preserve"> </w:t>
      </w:r>
      <w:r w:rsidRPr="00256982">
        <w:tab/>
        <w:t>Columns may not total due to rounding.</w:t>
      </w:r>
    </w:p>
    <w:p w14:paraId="071AB8AB" w14:textId="77777777" w:rsidR="00005A00" w:rsidRPr="00256982" w:rsidRDefault="00005A00" w:rsidP="00005A00">
      <w:pPr>
        <w:pStyle w:val="Heading5"/>
      </w:pPr>
      <w:r w:rsidRPr="00256982">
        <w:t>Open burning (5.C.2)</w:t>
      </w:r>
    </w:p>
    <w:p w14:paraId="272B19EA" w14:textId="77777777" w:rsidR="00005A00" w:rsidRPr="00256982" w:rsidRDefault="00005A00" w:rsidP="00005A00">
      <w:pPr>
        <w:pStyle w:val="BodyText"/>
        <w:rPr>
          <w:spacing w:val="-2"/>
        </w:rPr>
      </w:pPr>
      <w:r w:rsidRPr="00256982">
        <w:rPr>
          <w:rFonts w:eastAsia="+mn-ea"/>
        </w:rPr>
        <w:t xml:space="preserve">There is little information available on the quantities of farm wastes burned. </w:t>
      </w:r>
      <w:r w:rsidRPr="00256982">
        <w:rPr>
          <w:spacing w:val="-2"/>
        </w:rPr>
        <w:t xml:space="preserve">Tonkin and Taylor Ltd (unpublished(b)) reported that 92 per cent of rural waste is either buried, bulk stored or burned, most of which is buried. The other 8 per cent is disposed of in other ways. It has been assumed that the amount burned is equivalent to 2 per cent (wet weight) of the volume of waste that is buried in farm fills (waste disposed in farm fills is reported in table 7.2.3). </w:t>
      </w:r>
      <w:r w:rsidRPr="00256982">
        <w:rPr>
          <w:rFonts w:eastAsia="+mn-ea"/>
        </w:rPr>
        <w:t>Activity data for open burning can be derived from table 7.2.3 using this description.</w:t>
      </w:r>
    </w:p>
    <w:p w14:paraId="3B8DFCC6" w14:textId="77777777" w:rsidR="00005A00" w:rsidRPr="00256982" w:rsidRDefault="00005A00" w:rsidP="00005A00">
      <w:pPr>
        <w:pStyle w:val="Heading4"/>
      </w:pPr>
      <w:r w:rsidRPr="00256982">
        <w:t>Choice of methods</w:t>
      </w:r>
    </w:p>
    <w:p w14:paraId="51271ECE" w14:textId="77777777" w:rsidR="00005A00" w:rsidRPr="00256982" w:rsidRDefault="00005A00" w:rsidP="00005A00">
      <w:pPr>
        <w:pStyle w:val="Heading5"/>
      </w:pPr>
      <w:r w:rsidRPr="00256982">
        <w:t>Incineration (5.C.1)</w:t>
      </w:r>
    </w:p>
    <w:p w14:paraId="64D5ADBC" w14:textId="77777777" w:rsidR="00005A00" w:rsidRPr="00256982" w:rsidRDefault="00005A00" w:rsidP="00005A00">
      <w:pPr>
        <w:pStyle w:val="BodyText"/>
      </w:pPr>
      <w:r w:rsidRPr="00256982">
        <w:t>Estimates of direct emissions from the incineration of waste are made using the default Tier 1 methodology (IPCC, 2006a). The data used were collected and collated in 2007, and the sources used included information previously collected for purposes of air quality regulation and consent data from regional councils and site operators (SKM, unpublished(a)).</w:t>
      </w:r>
    </w:p>
    <w:p w14:paraId="7476EA86" w14:textId="77777777" w:rsidR="00005A00" w:rsidRPr="00256982" w:rsidRDefault="00005A00" w:rsidP="00005A00">
      <w:pPr>
        <w:pStyle w:val="Heading5"/>
      </w:pPr>
      <w:r w:rsidRPr="00256982">
        <w:t>Open burning (5.C.2)</w:t>
      </w:r>
    </w:p>
    <w:p w14:paraId="110FFFBB" w14:textId="77777777" w:rsidR="00005A00" w:rsidRPr="00256982" w:rsidRDefault="00005A00" w:rsidP="00005A00">
      <w:pPr>
        <w:pStyle w:val="BodyText"/>
      </w:pPr>
      <w:r w:rsidRPr="00256982">
        <w:t>Estimates of direct emissions from the open burning of rural waste are made using the default Tier 1 methodology (IPCC, 2006a). Farm waste comprises a mix of household and other wastes, which have a composition and diversity similar to general municipal solid waste (Tonkin and Taylor Ltd, unpublished(b)). Therefore emissions from CH</w:t>
      </w:r>
      <w:r w:rsidRPr="00256982">
        <w:rPr>
          <w:vertAlign w:val="subscript"/>
        </w:rPr>
        <w:t>4</w:t>
      </w:r>
      <w:r w:rsidRPr="00256982">
        <w:t xml:space="preserve"> and N</w:t>
      </w:r>
      <w:r w:rsidRPr="00256982">
        <w:rPr>
          <w:vertAlign w:val="subscript"/>
        </w:rPr>
        <w:t>2</w:t>
      </w:r>
      <w:r w:rsidRPr="00256982">
        <w:t xml:space="preserve">O were estimated using default emission factors for bulk municipal solid waste. </w:t>
      </w:r>
    </w:p>
    <w:p w14:paraId="2DD275E3" w14:textId="77777777" w:rsidR="00005A00" w:rsidRPr="00256982" w:rsidRDefault="00005A00" w:rsidP="00005A00">
      <w:pPr>
        <w:pStyle w:val="BodyText"/>
      </w:pPr>
      <w:r w:rsidRPr="00256982">
        <w:t>Emissions of CO</w:t>
      </w:r>
      <w:r w:rsidRPr="00256982">
        <w:rPr>
          <w:vertAlign w:val="subscript"/>
        </w:rPr>
        <w:t>2</w:t>
      </w:r>
      <w:r w:rsidRPr="00256982">
        <w:t xml:space="preserve"> were calculated using an equivalent composition to New Zealand municipal solid waste (as reported in table 7.2.4), and assumed an even distribution between materials that are inert from a landfill perspective across rubber and leather, plastics, metal, glass and other inert waste types. Table 7.4.3 shows the parameters that determine dry matter content, total carbon content and fossil carbon content as weighted averages. </w:t>
      </w:r>
    </w:p>
    <w:p w14:paraId="7E014DD8" w14:textId="77777777" w:rsidR="00005A00" w:rsidRPr="00256982" w:rsidRDefault="00005A00" w:rsidP="00005A00">
      <w:pPr>
        <w:pStyle w:val="Table"/>
      </w:pPr>
      <w:bookmarkStart w:id="2351" w:name="_Toc5269574"/>
      <w:r w:rsidRPr="00256982">
        <w:lastRenderedPageBreak/>
        <w:t>Table 7.4.3</w:t>
      </w:r>
      <w:r w:rsidRPr="00256982">
        <w:tab/>
        <w:t>Values applied to estimate carbon dioxide emissions from open burning of rural waste</w:t>
      </w:r>
      <w:bookmarkEnd w:id="2351"/>
    </w:p>
    <w:tbl>
      <w:tblPr>
        <w:tblW w:w="8562" w:type="dxa"/>
        <w:tblInd w:w="108" w:type="dxa"/>
        <w:tblLook w:val="04A0" w:firstRow="1" w:lastRow="0" w:firstColumn="1" w:lastColumn="0" w:noHBand="0" w:noVBand="1"/>
      </w:tblPr>
      <w:tblGrid>
        <w:gridCol w:w="1997"/>
        <w:gridCol w:w="1555"/>
        <w:gridCol w:w="1549"/>
        <w:gridCol w:w="1409"/>
        <w:gridCol w:w="2052"/>
      </w:tblGrid>
      <w:tr w:rsidR="00005A00" w:rsidRPr="00256982" w14:paraId="43A8AA3E" w14:textId="77777777" w:rsidTr="00CF5C04">
        <w:trPr>
          <w:tblHeader/>
        </w:trPr>
        <w:tc>
          <w:tcPr>
            <w:tcW w:w="2009" w:type="dxa"/>
            <w:tcBorders>
              <w:top w:val="single" w:sz="4" w:space="0" w:color="365F91"/>
              <w:bottom w:val="single" w:sz="4" w:space="0" w:color="365F91"/>
            </w:tcBorders>
            <w:shd w:val="clear" w:color="auto" w:fill="365F91"/>
            <w:vAlign w:val="bottom"/>
          </w:tcPr>
          <w:p w14:paraId="13144325" w14:textId="77777777" w:rsidR="00005A00" w:rsidRPr="00256982" w:rsidRDefault="00005A00" w:rsidP="00CF5C04">
            <w:pPr>
              <w:pStyle w:val="TableTextBold"/>
              <w:spacing w:before="50" w:after="50"/>
              <w:rPr>
                <w:noProof w:val="0"/>
                <w:color w:val="FFFFFF"/>
              </w:rPr>
            </w:pPr>
            <w:r w:rsidRPr="00256982">
              <w:rPr>
                <w:noProof w:val="0"/>
                <w:color w:val="FFFFFF"/>
              </w:rPr>
              <w:t xml:space="preserve">Waste type </w:t>
            </w:r>
          </w:p>
        </w:tc>
        <w:tc>
          <w:tcPr>
            <w:tcW w:w="1560" w:type="dxa"/>
            <w:tcBorders>
              <w:top w:val="single" w:sz="4" w:space="0" w:color="365F91"/>
              <w:bottom w:val="single" w:sz="4" w:space="0" w:color="365F91"/>
            </w:tcBorders>
            <w:shd w:val="clear" w:color="auto" w:fill="365F91"/>
            <w:vAlign w:val="bottom"/>
          </w:tcPr>
          <w:p w14:paraId="0B6096AC" w14:textId="77777777" w:rsidR="00005A00" w:rsidRPr="00256982" w:rsidRDefault="00005A00" w:rsidP="00CF5C04">
            <w:pPr>
              <w:pStyle w:val="TableTextBold"/>
              <w:spacing w:before="50" w:after="50"/>
              <w:rPr>
                <w:noProof w:val="0"/>
                <w:color w:val="FFFFFF"/>
              </w:rPr>
            </w:pPr>
            <w:r w:rsidRPr="00256982">
              <w:rPr>
                <w:noProof w:val="0"/>
                <w:color w:val="FFFFFF"/>
              </w:rPr>
              <w:t>Composition (%)</w:t>
            </w:r>
          </w:p>
        </w:tc>
        <w:tc>
          <w:tcPr>
            <w:tcW w:w="1559" w:type="dxa"/>
            <w:tcBorders>
              <w:top w:val="single" w:sz="4" w:space="0" w:color="365F91"/>
              <w:bottom w:val="single" w:sz="4" w:space="0" w:color="365F91"/>
            </w:tcBorders>
            <w:shd w:val="clear" w:color="auto" w:fill="365F91"/>
            <w:vAlign w:val="bottom"/>
          </w:tcPr>
          <w:p w14:paraId="1380E8C1" w14:textId="77777777" w:rsidR="00005A00" w:rsidRPr="00256982" w:rsidRDefault="00005A00" w:rsidP="00CF5C04">
            <w:pPr>
              <w:pStyle w:val="TableTextBold"/>
              <w:spacing w:before="50" w:after="50"/>
              <w:rPr>
                <w:noProof w:val="0"/>
                <w:color w:val="FFFFFF"/>
              </w:rPr>
            </w:pPr>
            <w:r w:rsidRPr="00256982">
              <w:rPr>
                <w:noProof w:val="0"/>
                <w:color w:val="FFFFFF"/>
              </w:rPr>
              <w:t>Dry matter content (%)</w:t>
            </w:r>
          </w:p>
        </w:tc>
        <w:tc>
          <w:tcPr>
            <w:tcW w:w="1417" w:type="dxa"/>
            <w:tcBorders>
              <w:top w:val="single" w:sz="4" w:space="0" w:color="365F91"/>
              <w:bottom w:val="single" w:sz="4" w:space="0" w:color="365F91"/>
            </w:tcBorders>
            <w:shd w:val="clear" w:color="auto" w:fill="365F91"/>
            <w:vAlign w:val="bottom"/>
          </w:tcPr>
          <w:p w14:paraId="536DE44B" w14:textId="77777777" w:rsidR="00005A00" w:rsidRPr="00256982" w:rsidRDefault="00005A00" w:rsidP="00CF5C04">
            <w:pPr>
              <w:pStyle w:val="TableTextBold"/>
              <w:spacing w:before="50" w:after="50"/>
              <w:jc w:val="right"/>
              <w:rPr>
                <w:noProof w:val="0"/>
                <w:color w:val="FFFFFF"/>
              </w:rPr>
            </w:pPr>
            <w:r w:rsidRPr="00256982">
              <w:rPr>
                <w:noProof w:val="0"/>
                <w:color w:val="FFFFFF"/>
              </w:rPr>
              <w:t>Total carbon content (%)</w:t>
            </w:r>
          </w:p>
        </w:tc>
        <w:tc>
          <w:tcPr>
            <w:tcW w:w="2068" w:type="dxa"/>
            <w:tcBorders>
              <w:top w:val="single" w:sz="4" w:space="0" w:color="365F91"/>
              <w:bottom w:val="single" w:sz="4" w:space="0" w:color="365F91"/>
            </w:tcBorders>
            <w:shd w:val="clear" w:color="auto" w:fill="365F91"/>
            <w:vAlign w:val="bottom"/>
          </w:tcPr>
          <w:p w14:paraId="39DBE338" w14:textId="77777777" w:rsidR="00005A00" w:rsidRPr="00256982" w:rsidRDefault="00005A00" w:rsidP="00CF5C04">
            <w:pPr>
              <w:pStyle w:val="TableTextBold"/>
              <w:spacing w:before="50" w:after="50"/>
              <w:jc w:val="right"/>
              <w:rPr>
                <w:noProof w:val="0"/>
                <w:color w:val="FFFFFF"/>
              </w:rPr>
            </w:pPr>
            <w:r w:rsidRPr="00256982">
              <w:rPr>
                <w:noProof w:val="0"/>
                <w:color w:val="FFFFFF"/>
              </w:rPr>
              <w:t>Fossil carbon content of total carbon (%)</w:t>
            </w:r>
          </w:p>
        </w:tc>
      </w:tr>
      <w:tr w:rsidR="00005A00" w:rsidRPr="00256982" w14:paraId="3E185349" w14:textId="77777777" w:rsidTr="00CF5C04">
        <w:tc>
          <w:tcPr>
            <w:tcW w:w="2009" w:type="dxa"/>
            <w:tcBorders>
              <w:top w:val="single" w:sz="4" w:space="0" w:color="365F91"/>
              <w:bottom w:val="single" w:sz="4" w:space="0" w:color="365F91"/>
            </w:tcBorders>
          </w:tcPr>
          <w:p w14:paraId="3897F0A1" w14:textId="77777777" w:rsidR="00005A00" w:rsidRPr="00256982" w:rsidRDefault="00005A00" w:rsidP="00CF5C04">
            <w:pPr>
              <w:pStyle w:val="TableText"/>
              <w:spacing w:after="50"/>
            </w:pPr>
            <w:r w:rsidRPr="00256982">
              <w:t>Paper/card</w:t>
            </w:r>
          </w:p>
        </w:tc>
        <w:tc>
          <w:tcPr>
            <w:tcW w:w="1560" w:type="dxa"/>
            <w:tcBorders>
              <w:top w:val="single" w:sz="4" w:space="0" w:color="365F91"/>
              <w:bottom w:val="single" w:sz="4" w:space="0" w:color="365F91"/>
            </w:tcBorders>
          </w:tcPr>
          <w:p w14:paraId="37F71DBD" w14:textId="77777777" w:rsidR="00005A00" w:rsidRPr="00256982" w:rsidRDefault="00005A00" w:rsidP="00CF5C04">
            <w:pPr>
              <w:pStyle w:val="TableText"/>
              <w:spacing w:after="50"/>
              <w:jc w:val="right"/>
            </w:pPr>
            <w:r w:rsidRPr="00256982">
              <w:t>10.7</w:t>
            </w:r>
          </w:p>
        </w:tc>
        <w:tc>
          <w:tcPr>
            <w:tcW w:w="1559" w:type="dxa"/>
            <w:tcBorders>
              <w:top w:val="single" w:sz="4" w:space="0" w:color="365F91"/>
              <w:bottom w:val="single" w:sz="4" w:space="0" w:color="365F91"/>
            </w:tcBorders>
          </w:tcPr>
          <w:p w14:paraId="1E3CBFEB" w14:textId="77777777" w:rsidR="00005A00" w:rsidRPr="00256982" w:rsidRDefault="00005A00" w:rsidP="00CF5C04">
            <w:pPr>
              <w:pStyle w:val="TableText"/>
              <w:spacing w:after="50"/>
              <w:jc w:val="right"/>
              <w:rPr>
                <w:rFonts w:cs="Arial"/>
                <w:szCs w:val="16"/>
              </w:rPr>
            </w:pPr>
            <w:r w:rsidRPr="00256982">
              <w:t>90</w:t>
            </w:r>
          </w:p>
        </w:tc>
        <w:tc>
          <w:tcPr>
            <w:tcW w:w="1417" w:type="dxa"/>
            <w:tcBorders>
              <w:top w:val="single" w:sz="4" w:space="0" w:color="365F91"/>
              <w:bottom w:val="single" w:sz="4" w:space="0" w:color="365F91"/>
            </w:tcBorders>
          </w:tcPr>
          <w:p w14:paraId="1B9B4F33" w14:textId="77777777" w:rsidR="00005A00" w:rsidRPr="00256982" w:rsidRDefault="00005A00" w:rsidP="00CF5C04">
            <w:pPr>
              <w:pStyle w:val="TableText"/>
              <w:spacing w:after="50"/>
              <w:jc w:val="right"/>
              <w:rPr>
                <w:rFonts w:cs="Arial"/>
                <w:szCs w:val="16"/>
              </w:rPr>
            </w:pPr>
            <w:r w:rsidRPr="00256982">
              <w:t>43</w:t>
            </w:r>
          </w:p>
        </w:tc>
        <w:tc>
          <w:tcPr>
            <w:tcW w:w="2068" w:type="dxa"/>
            <w:tcBorders>
              <w:top w:val="single" w:sz="4" w:space="0" w:color="365F91"/>
              <w:bottom w:val="single" w:sz="4" w:space="0" w:color="365F91"/>
            </w:tcBorders>
          </w:tcPr>
          <w:p w14:paraId="303A0D2D" w14:textId="77777777" w:rsidR="00005A00" w:rsidRPr="00256982" w:rsidRDefault="00005A00" w:rsidP="00CF5C04">
            <w:pPr>
              <w:pStyle w:val="TableText"/>
              <w:spacing w:after="50"/>
              <w:jc w:val="right"/>
              <w:rPr>
                <w:rFonts w:cs="Arial"/>
                <w:szCs w:val="16"/>
              </w:rPr>
            </w:pPr>
            <w:r w:rsidRPr="00256982">
              <w:t>1</w:t>
            </w:r>
          </w:p>
        </w:tc>
      </w:tr>
      <w:tr w:rsidR="00005A00" w:rsidRPr="00256982" w14:paraId="625EFA42" w14:textId="77777777" w:rsidTr="00CF5C04">
        <w:tc>
          <w:tcPr>
            <w:tcW w:w="2009" w:type="dxa"/>
            <w:tcBorders>
              <w:top w:val="single" w:sz="4" w:space="0" w:color="365F91"/>
              <w:bottom w:val="single" w:sz="4" w:space="0" w:color="365F91"/>
            </w:tcBorders>
          </w:tcPr>
          <w:p w14:paraId="463FEC7D" w14:textId="77777777" w:rsidR="00005A00" w:rsidRPr="00256982" w:rsidRDefault="00005A00" w:rsidP="00CF5C04">
            <w:pPr>
              <w:pStyle w:val="TableText"/>
              <w:spacing w:after="50"/>
            </w:pPr>
            <w:r w:rsidRPr="00256982">
              <w:t>Textiles</w:t>
            </w:r>
          </w:p>
        </w:tc>
        <w:tc>
          <w:tcPr>
            <w:tcW w:w="1560" w:type="dxa"/>
            <w:tcBorders>
              <w:top w:val="single" w:sz="4" w:space="0" w:color="365F91"/>
              <w:bottom w:val="single" w:sz="4" w:space="0" w:color="365F91"/>
            </w:tcBorders>
          </w:tcPr>
          <w:p w14:paraId="1D605081" w14:textId="77777777" w:rsidR="00005A00" w:rsidRPr="00256982" w:rsidRDefault="00005A00" w:rsidP="00CF5C04">
            <w:pPr>
              <w:pStyle w:val="TableText"/>
              <w:spacing w:after="50"/>
              <w:jc w:val="right"/>
            </w:pPr>
            <w:r w:rsidRPr="00256982">
              <w:t>5.6</w:t>
            </w:r>
          </w:p>
        </w:tc>
        <w:tc>
          <w:tcPr>
            <w:tcW w:w="1559" w:type="dxa"/>
            <w:tcBorders>
              <w:top w:val="single" w:sz="4" w:space="0" w:color="365F91"/>
              <w:bottom w:val="single" w:sz="4" w:space="0" w:color="365F91"/>
            </w:tcBorders>
          </w:tcPr>
          <w:p w14:paraId="12FD1738" w14:textId="77777777" w:rsidR="00005A00" w:rsidRPr="00256982" w:rsidRDefault="00005A00" w:rsidP="00CF5C04">
            <w:pPr>
              <w:pStyle w:val="TableText"/>
              <w:spacing w:after="50"/>
              <w:jc w:val="right"/>
              <w:rPr>
                <w:rFonts w:cs="Arial"/>
                <w:szCs w:val="16"/>
              </w:rPr>
            </w:pPr>
            <w:r w:rsidRPr="00256982">
              <w:t>80</w:t>
            </w:r>
          </w:p>
        </w:tc>
        <w:tc>
          <w:tcPr>
            <w:tcW w:w="1417" w:type="dxa"/>
            <w:tcBorders>
              <w:top w:val="single" w:sz="4" w:space="0" w:color="365F91"/>
              <w:bottom w:val="single" w:sz="4" w:space="0" w:color="365F91"/>
            </w:tcBorders>
          </w:tcPr>
          <w:p w14:paraId="12707538" w14:textId="77777777" w:rsidR="00005A00" w:rsidRPr="00256982" w:rsidRDefault="00005A00" w:rsidP="00CF5C04">
            <w:pPr>
              <w:pStyle w:val="TableText"/>
              <w:spacing w:after="50"/>
              <w:jc w:val="right"/>
              <w:rPr>
                <w:rFonts w:cs="Arial"/>
                <w:szCs w:val="16"/>
              </w:rPr>
            </w:pPr>
            <w:r w:rsidRPr="00256982">
              <w:t>50</w:t>
            </w:r>
          </w:p>
        </w:tc>
        <w:tc>
          <w:tcPr>
            <w:tcW w:w="2068" w:type="dxa"/>
            <w:tcBorders>
              <w:top w:val="single" w:sz="4" w:space="0" w:color="365F91"/>
              <w:bottom w:val="single" w:sz="4" w:space="0" w:color="365F91"/>
            </w:tcBorders>
          </w:tcPr>
          <w:p w14:paraId="7F4DAFD2" w14:textId="77777777" w:rsidR="00005A00" w:rsidRPr="00256982" w:rsidRDefault="00005A00" w:rsidP="00CF5C04">
            <w:pPr>
              <w:pStyle w:val="TableText"/>
              <w:spacing w:after="50"/>
              <w:jc w:val="right"/>
              <w:rPr>
                <w:rFonts w:cs="Arial"/>
                <w:szCs w:val="16"/>
              </w:rPr>
            </w:pPr>
            <w:r w:rsidRPr="00256982">
              <w:t>20</w:t>
            </w:r>
          </w:p>
        </w:tc>
      </w:tr>
      <w:tr w:rsidR="00005A00" w:rsidRPr="00256982" w14:paraId="14A926EF" w14:textId="77777777" w:rsidTr="00CF5C04">
        <w:tc>
          <w:tcPr>
            <w:tcW w:w="2009" w:type="dxa"/>
            <w:tcBorders>
              <w:top w:val="single" w:sz="4" w:space="0" w:color="365F91"/>
              <w:bottom w:val="single" w:sz="4" w:space="0" w:color="365F91"/>
            </w:tcBorders>
          </w:tcPr>
          <w:p w14:paraId="70B39043" w14:textId="77777777" w:rsidR="00005A00" w:rsidRPr="00256982" w:rsidRDefault="00005A00" w:rsidP="00CF5C04">
            <w:pPr>
              <w:pStyle w:val="TableText"/>
              <w:spacing w:after="50"/>
            </w:pPr>
            <w:r w:rsidRPr="00256982">
              <w:t>Food waste</w:t>
            </w:r>
          </w:p>
        </w:tc>
        <w:tc>
          <w:tcPr>
            <w:tcW w:w="1560" w:type="dxa"/>
            <w:tcBorders>
              <w:top w:val="single" w:sz="4" w:space="0" w:color="365F91"/>
              <w:bottom w:val="single" w:sz="4" w:space="0" w:color="365F91"/>
            </w:tcBorders>
          </w:tcPr>
          <w:p w14:paraId="33B255D3" w14:textId="77777777" w:rsidR="00005A00" w:rsidRPr="00256982" w:rsidRDefault="00005A00" w:rsidP="00CF5C04">
            <w:pPr>
              <w:pStyle w:val="TableText"/>
              <w:spacing w:after="50"/>
              <w:jc w:val="right"/>
            </w:pPr>
            <w:r w:rsidRPr="00256982">
              <w:t>16.8</w:t>
            </w:r>
          </w:p>
        </w:tc>
        <w:tc>
          <w:tcPr>
            <w:tcW w:w="1559" w:type="dxa"/>
            <w:tcBorders>
              <w:top w:val="single" w:sz="4" w:space="0" w:color="365F91"/>
              <w:bottom w:val="single" w:sz="4" w:space="0" w:color="365F91"/>
            </w:tcBorders>
          </w:tcPr>
          <w:p w14:paraId="5B934050" w14:textId="77777777" w:rsidR="00005A00" w:rsidRPr="00256982" w:rsidRDefault="00005A00" w:rsidP="00CF5C04">
            <w:pPr>
              <w:pStyle w:val="TableText"/>
              <w:spacing w:after="50"/>
              <w:jc w:val="right"/>
              <w:rPr>
                <w:rFonts w:cs="Arial"/>
                <w:szCs w:val="16"/>
              </w:rPr>
            </w:pPr>
            <w:r w:rsidRPr="00256982">
              <w:t>40</w:t>
            </w:r>
          </w:p>
        </w:tc>
        <w:tc>
          <w:tcPr>
            <w:tcW w:w="1417" w:type="dxa"/>
            <w:tcBorders>
              <w:top w:val="single" w:sz="4" w:space="0" w:color="365F91"/>
              <w:bottom w:val="single" w:sz="4" w:space="0" w:color="365F91"/>
            </w:tcBorders>
          </w:tcPr>
          <w:p w14:paraId="3B1733E6" w14:textId="77777777" w:rsidR="00005A00" w:rsidRPr="00256982" w:rsidRDefault="00005A00" w:rsidP="00CF5C04">
            <w:pPr>
              <w:pStyle w:val="TableText"/>
              <w:spacing w:after="50"/>
              <w:jc w:val="right"/>
              <w:rPr>
                <w:rFonts w:cs="Arial"/>
                <w:szCs w:val="16"/>
              </w:rPr>
            </w:pPr>
            <w:r w:rsidRPr="00256982">
              <w:t>38</w:t>
            </w:r>
          </w:p>
        </w:tc>
        <w:tc>
          <w:tcPr>
            <w:tcW w:w="2068" w:type="dxa"/>
            <w:tcBorders>
              <w:top w:val="single" w:sz="4" w:space="0" w:color="365F91"/>
              <w:bottom w:val="single" w:sz="4" w:space="0" w:color="365F91"/>
            </w:tcBorders>
          </w:tcPr>
          <w:p w14:paraId="042EDB8B" w14:textId="77777777" w:rsidR="00005A00" w:rsidRPr="00256982" w:rsidRDefault="00005A00" w:rsidP="00CF5C04">
            <w:pPr>
              <w:pStyle w:val="TableText"/>
              <w:spacing w:after="50"/>
              <w:jc w:val="right"/>
              <w:rPr>
                <w:rFonts w:cs="Arial"/>
                <w:szCs w:val="16"/>
              </w:rPr>
            </w:pPr>
            <w:r w:rsidRPr="00256982">
              <w:t>0</w:t>
            </w:r>
          </w:p>
        </w:tc>
      </w:tr>
      <w:tr w:rsidR="00005A00" w:rsidRPr="00256982" w14:paraId="56A17776" w14:textId="77777777" w:rsidTr="00CF5C04">
        <w:tc>
          <w:tcPr>
            <w:tcW w:w="2009" w:type="dxa"/>
            <w:tcBorders>
              <w:top w:val="single" w:sz="4" w:space="0" w:color="365F91"/>
              <w:bottom w:val="single" w:sz="4" w:space="0" w:color="365F91"/>
            </w:tcBorders>
          </w:tcPr>
          <w:p w14:paraId="38476495" w14:textId="77777777" w:rsidR="00005A00" w:rsidRPr="00256982" w:rsidRDefault="00005A00" w:rsidP="00CF5C04">
            <w:pPr>
              <w:pStyle w:val="TableText"/>
              <w:spacing w:after="50"/>
              <w:rPr>
                <w:rFonts w:cs="Arial"/>
                <w:szCs w:val="16"/>
              </w:rPr>
            </w:pPr>
            <w:r w:rsidRPr="00256982">
              <w:t>Wood</w:t>
            </w:r>
          </w:p>
        </w:tc>
        <w:tc>
          <w:tcPr>
            <w:tcW w:w="1560" w:type="dxa"/>
            <w:tcBorders>
              <w:top w:val="single" w:sz="4" w:space="0" w:color="365F91"/>
              <w:bottom w:val="single" w:sz="4" w:space="0" w:color="365F91"/>
            </w:tcBorders>
          </w:tcPr>
          <w:p w14:paraId="25EA8617" w14:textId="77777777" w:rsidR="00005A00" w:rsidRPr="00256982" w:rsidRDefault="00005A00" w:rsidP="00CF5C04">
            <w:pPr>
              <w:pStyle w:val="TableText"/>
              <w:spacing w:after="50"/>
              <w:jc w:val="right"/>
            </w:pPr>
            <w:r w:rsidRPr="00256982">
              <w:t>11.9</w:t>
            </w:r>
          </w:p>
        </w:tc>
        <w:tc>
          <w:tcPr>
            <w:tcW w:w="1559" w:type="dxa"/>
            <w:tcBorders>
              <w:top w:val="single" w:sz="4" w:space="0" w:color="365F91"/>
              <w:bottom w:val="single" w:sz="4" w:space="0" w:color="365F91"/>
            </w:tcBorders>
          </w:tcPr>
          <w:p w14:paraId="3126F1A7" w14:textId="77777777" w:rsidR="00005A00" w:rsidRPr="00256982" w:rsidRDefault="00005A00" w:rsidP="00CF5C04">
            <w:pPr>
              <w:pStyle w:val="TableText"/>
              <w:spacing w:after="50"/>
              <w:jc w:val="right"/>
              <w:rPr>
                <w:rFonts w:cs="Arial"/>
                <w:szCs w:val="16"/>
              </w:rPr>
            </w:pPr>
            <w:r w:rsidRPr="00256982">
              <w:t>85</w:t>
            </w:r>
          </w:p>
        </w:tc>
        <w:tc>
          <w:tcPr>
            <w:tcW w:w="1417" w:type="dxa"/>
            <w:tcBorders>
              <w:top w:val="single" w:sz="4" w:space="0" w:color="365F91"/>
              <w:bottom w:val="single" w:sz="4" w:space="0" w:color="365F91"/>
            </w:tcBorders>
          </w:tcPr>
          <w:p w14:paraId="3E117094" w14:textId="77777777" w:rsidR="00005A00" w:rsidRPr="00256982" w:rsidRDefault="00005A00" w:rsidP="00CF5C04">
            <w:pPr>
              <w:pStyle w:val="TableText"/>
              <w:spacing w:after="50"/>
              <w:jc w:val="right"/>
              <w:rPr>
                <w:rFonts w:cs="Arial"/>
                <w:szCs w:val="16"/>
              </w:rPr>
            </w:pPr>
            <w:r w:rsidRPr="00256982">
              <w:t>50</w:t>
            </w:r>
          </w:p>
        </w:tc>
        <w:tc>
          <w:tcPr>
            <w:tcW w:w="2068" w:type="dxa"/>
            <w:tcBorders>
              <w:top w:val="single" w:sz="4" w:space="0" w:color="365F91"/>
              <w:bottom w:val="single" w:sz="4" w:space="0" w:color="365F91"/>
            </w:tcBorders>
          </w:tcPr>
          <w:p w14:paraId="3E18C099" w14:textId="77777777" w:rsidR="00005A00" w:rsidRPr="00256982" w:rsidRDefault="00005A00" w:rsidP="00CF5C04">
            <w:pPr>
              <w:pStyle w:val="TableText"/>
              <w:spacing w:after="50"/>
              <w:jc w:val="right"/>
              <w:rPr>
                <w:rFonts w:cs="Arial"/>
                <w:szCs w:val="16"/>
              </w:rPr>
            </w:pPr>
            <w:r w:rsidRPr="00256982">
              <w:t>0</w:t>
            </w:r>
          </w:p>
        </w:tc>
      </w:tr>
      <w:tr w:rsidR="00005A00" w:rsidRPr="00256982" w14:paraId="64325D0A" w14:textId="77777777" w:rsidTr="00CF5C04">
        <w:tc>
          <w:tcPr>
            <w:tcW w:w="2009" w:type="dxa"/>
            <w:tcBorders>
              <w:top w:val="single" w:sz="4" w:space="0" w:color="365F91"/>
              <w:bottom w:val="single" w:sz="4" w:space="0" w:color="365F91"/>
            </w:tcBorders>
          </w:tcPr>
          <w:p w14:paraId="0B70C775" w14:textId="77777777" w:rsidR="00005A00" w:rsidRPr="00256982" w:rsidRDefault="00005A00" w:rsidP="00CF5C04">
            <w:pPr>
              <w:pStyle w:val="TableText"/>
              <w:spacing w:after="50"/>
            </w:pPr>
            <w:r w:rsidRPr="00256982">
              <w:t>Garden and park waste</w:t>
            </w:r>
          </w:p>
        </w:tc>
        <w:tc>
          <w:tcPr>
            <w:tcW w:w="1560" w:type="dxa"/>
            <w:tcBorders>
              <w:top w:val="single" w:sz="4" w:space="0" w:color="365F91"/>
              <w:bottom w:val="single" w:sz="4" w:space="0" w:color="365F91"/>
            </w:tcBorders>
          </w:tcPr>
          <w:p w14:paraId="00A081F7" w14:textId="77777777" w:rsidR="00005A00" w:rsidRPr="00256982" w:rsidRDefault="00005A00" w:rsidP="00CF5C04">
            <w:pPr>
              <w:pStyle w:val="TableText"/>
              <w:spacing w:after="50"/>
              <w:jc w:val="right"/>
            </w:pPr>
            <w:r w:rsidRPr="00256982">
              <w:t>8.3</w:t>
            </w:r>
          </w:p>
        </w:tc>
        <w:tc>
          <w:tcPr>
            <w:tcW w:w="1559" w:type="dxa"/>
            <w:tcBorders>
              <w:top w:val="single" w:sz="4" w:space="0" w:color="365F91"/>
              <w:bottom w:val="single" w:sz="4" w:space="0" w:color="365F91"/>
            </w:tcBorders>
          </w:tcPr>
          <w:p w14:paraId="28A68586" w14:textId="77777777" w:rsidR="00005A00" w:rsidRPr="00256982" w:rsidRDefault="00005A00" w:rsidP="00CF5C04">
            <w:pPr>
              <w:pStyle w:val="TableText"/>
              <w:spacing w:after="50"/>
              <w:jc w:val="right"/>
            </w:pPr>
            <w:r w:rsidRPr="00256982">
              <w:t>40</w:t>
            </w:r>
          </w:p>
        </w:tc>
        <w:tc>
          <w:tcPr>
            <w:tcW w:w="1417" w:type="dxa"/>
            <w:tcBorders>
              <w:top w:val="single" w:sz="4" w:space="0" w:color="365F91"/>
              <w:bottom w:val="single" w:sz="4" w:space="0" w:color="365F91"/>
            </w:tcBorders>
          </w:tcPr>
          <w:p w14:paraId="175D2047" w14:textId="77777777" w:rsidR="00005A00" w:rsidRPr="00256982" w:rsidRDefault="00005A00" w:rsidP="00CF5C04">
            <w:pPr>
              <w:pStyle w:val="TableText"/>
              <w:spacing w:after="50"/>
              <w:jc w:val="right"/>
            </w:pPr>
            <w:r w:rsidRPr="00256982">
              <w:t>49</w:t>
            </w:r>
          </w:p>
        </w:tc>
        <w:tc>
          <w:tcPr>
            <w:tcW w:w="2068" w:type="dxa"/>
            <w:tcBorders>
              <w:top w:val="single" w:sz="4" w:space="0" w:color="365F91"/>
              <w:bottom w:val="single" w:sz="4" w:space="0" w:color="365F91"/>
            </w:tcBorders>
          </w:tcPr>
          <w:p w14:paraId="6AAC046B" w14:textId="77777777" w:rsidR="00005A00" w:rsidRPr="00256982" w:rsidRDefault="00005A00" w:rsidP="00CF5C04">
            <w:pPr>
              <w:pStyle w:val="TableText"/>
              <w:spacing w:after="50"/>
              <w:jc w:val="right"/>
            </w:pPr>
            <w:r w:rsidRPr="00256982">
              <w:t>0</w:t>
            </w:r>
          </w:p>
        </w:tc>
      </w:tr>
      <w:tr w:rsidR="00005A00" w:rsidRPr="00256982" w14:paraId="6F31FBD1" w14:textId="77777777" w:rsidTr="00CF5C04">
        <w:tc>
          <w:tcPr>
            <w:tcW w:w="2009" w:type="dxa"/>
            <w:tcBorders>
              <w:top w:val="single" w:sz="4" w:space="0" w:color="365F91"/>
              <w:bottom w:val="single" w:sz="4" w:space="0" w:color="365F91"/>
            </w:tcBorders>
          </w:tcPr>
          <w:p w14:paraId="7B283AD2" w14:textId="77777777" w:rsidR="00005A00" w:rsidRPr="00256982" w:rsidRDefault="00005A00" w:rsidP="00CF5C04">
            <w:pPr>
              <w:pStyle w:val="TableText"/>
              <w:spacing w:after="50"/>
            </w:pPr>
            <w:r w:rsidRPr="00256982">
              <w:t>Nappies</w:t>
            </w:r>
          </w:p>
        </w:tc>
        <w:tc>
          <w:tcPr>
            <w:tcW w:w="1560" w:type="dxa"/>
            <w:tcBorders>
              <w:top w:val="single" w:sz="4" w:space="0" w:color="365F91"/>
              <w:bottom w:val="single" w:sz="4" w:space="0" w:color="365F91"/>
            </w:tcBorders>
          </w:tcPr>
          <w:p w14:paraId="51658399" w14:textId="77777777" w:rsidR="00005A00" w:rsidRPr="00256982" w:rsidRDefault="00005A00" w:rsidP="00CF5C04">
            <w:pPr>
              <w:pStyle w:val="TableText"/>
              <w:spacing w:after="50"/>
              <w:jc w:val="right"/>
            </w:pPr>
            <w:r w:rsidRPr="00256982">
              <w:t>3.0</w:t>
            </w:r>
          </w:p>
        </w:tc>
        <w:tc>
          <w:tcPr>
            <w:tcW w:w="1559" w:type="dxa"/>
            <w:tcBorders>
              <w:top w:val="single" w:sz="4" w:space="0" w:color="365F91"/>
              <w:bottom w:val="single" w:sz="4" w:space="0" w:color="365F91"/>
            </w:tcBorders>
          </w:tcPr>
          <w:p w14:paraId="3E76616B" w14:textId="77777777" w:rsidR="00005A00" w:rsidRPr="00256982" w:rsidRDefault="00005A00" w:rsidP="00CF5C04">
            <w:pPr>
              <w:pStyle w:val="TableText"/>
              <w:spacing w:after="50"/>
              <w:jc w:val="right"/>
            </w:pPr>
            <w:r w:rsidRPr="00256982">
              <w:t>40</w:t>
            </w:r>
          </w:p>
        </w:tc>
        <w:tc>
          <w:tcPr>
            <w:tcW w:w="1417" w:type="dxa"/>
            <w:tcBorders>
              <w:top w:val="single" w:sz="4" w:space="0" w:color="365F91"/>
              <w:bottom w:val="single" w:sz="4" w:space="0" w:color="365F91"/>
            </w:tcBorders>
          </w:tcPr>
          <w:p w14:paraId="5E8421BB" w14:textId="77777777" w:rsidR="00005A00" w:rsidRPr="00256982" w:rsidRDefault="00005A00" w:rsidP="00CF5C04">
            <w:pPr>
              <w:pStyle w:val="TableText"/>
              <w:spacing w:after="50"/>
              <w:jc w:val="right"/>
            </w:pPr>
            <w:r w:rsidRPr="00256982">
              <w:t>70</w:t>
            </w:r>
          </w:p>
        </w:tc>
        <w:tc>
          <w:tcPr>
            <w:tcW w:w="2068" w:type="dxa"/>
            <w:tcBorders>
              <w:top w:val="single" w:sz="4" w:space="0" w:color="365F91"/>
              <w:bottom w:val="single" w:sz="4" w:space="0" w:color="365F91"/>
            </w:tcBorders>
          </w:tcPr>
          <w:p w14:paraId="0E0EF74D" w14:textId="77777777" w:rsidR="00005A00" w:rsidRPr="00256982" w:rsidRDefault="00005A00" w:rsidP="00CF5C04">
            <w:pPr>
              <w:pStyle w:val="TableText"/>
              <w:spacing w:after="50"/>
              <w:jc w:val="right"/>
            </w:pPr>
            <w:r w:rsidRPr="00256982">
              <w:t>10</w:t>
            </w:r>
          </w:p>
        </w:tc>
      </w:tr>
      <w:tr w:rsidR="00005A00" w:rsidRPr="00256982" w14:paraId="05E3AA01" w14:textId="77777777" w:rsidTr="00CF5C04">
        <w:tc>
          <w:tcPr>
            <w:tcW w:w="2009" w:type="dxa"/>
            <w:tcBorders>
              <w:top w:val="single" w:sz="4" w:space="0" w:color="365F91"/>
              <w:bottom w:val="single" w:sz="4" w:space="0" w:color="365F91"/>
            </w:tcBorders>
          </w:tcPr>
          <w:p w14:paraId="6B967FA1" w14:textId="77777777" w:rsidR="00005A00" w:rsidRPr="00256982" w:rsidRDefault="00005A00" w:rsidP="00CF5C04">
            <w:pPr>
              <w:pStyle w:val="TableText"/>
              <w:spacing w:after="50"/>
            </w:pPr>
            <w:r w:rsidRPr="00256982">
              <w:t>Rubber and leather</w:t>
            </w:r>
          </w:p>
        </w:tc>
        <w:tc>
          <w:tcPr>
            <w:tcW w:w="1560" w:type="dxa"/>
            <w:tcBorders>
              <w:top w:val="single" w:sz="4" w:space="0" w:color="365F91"/>
              <w:bottom w:val="single" w:sz="4" w:space="0" w:color="365F91"/>
            </w:tcBorders>
          </w:tcPr>
          <w:p w14:paraId="07AB2353" w14:textId="77777777" w:rsidR="00005A00" w:rsidRPr="00256982" w:rsidRDefault="00005A00" w:rsidP="00CF5C04">
            <w:pPr>
              <w:pStyle w:val="TableText"/>
              <w:spacing w:after="50"/>
              <w:jc w:val="right"/>
            </w:pPr>
            <w:r w:rsidRPr="00256982">
              <w:t>8.8</w:t>
            </w:r>
          </w:p>
        </w:tc>
        <w:tc>
          <w:tcPr>
            <w:tcW w:w="1559" w:type="dxa"/>
            <w:tcBorders>
              <w:top w:val="single" w:sz="4" w:space="0" w:color="365F91"/>
              <w:bottom w:val="single" w:sz="4" w:space="0" w:color="365F91"/>
            </w:tcBorders>
          </w:tcPr>
          <w:p w14:paraId="4B76E6EA" w14:textId="77777777" w:rsidR="00005A00" w:rsidRPr="00256982" w:rsidRDefault="00005A00" w:rsidP="00CF5C04">
            <w:pPr>
              <w:pStyle w:val="TableText"/>
              <w:spacing w:after="50"/>
              <w:jc w:val="right"/>
            </w:pPr>
            <w:r w:rsidRPr="00256982">
              <w:t>84</w:t>
            </w:r>
          </w:p>
        </w:tc>
        <w:tc>
          <w:tcPr>
            <w:tcW w:w="1417" w:type="dxa"/>
            <w:tcBorders>
              <w:top w:val="single" w:sz="4" w:space="0" w:color="365F91"/>
              <w:bottom w:val="single" w:sz="4" w:space="0" w:color="365F91"/>
            </w:tcBorders>
          </w:tcPr>
          <w:p w14:paraId="2B858EF4" w14:textId="77777777" w:rsidR="00005A00" w:rsidRPr="00256982" w:rsidRDefault="00005A00" w:rsidP="00CF5C04">
            <w:pPr>
              <w:pStyle w:val="TableText"/>
              <w:spacing w:after="50"/>
              <w:jc w:val="right"/>
            </w:pPr>
            <w:r w:rsidRPr="00256982">
              <w:t>67</w:t>
            </w:r>
          </w:p>
        </w:tc>
        <w:tc>
          <w:tcPr>
            <w:tcW w:w="2068" w:type="dxa"/>
            <w:tcBorders>
              <w:top w:val="single" w:sz="4" w:space="0" w:color="365F91"/>
              <w:bottom w:val="single" w:sz="4" w:space="0" w:color="365F91"/>
            </w:tcBorders>
          </w:tcPr>
          <w:p w14:paraId="3DC9E85A" w14:textId="77777777" w:rsidR="00005A00" w:rsidRPr="00256982" w:rsidRDefault="00005A00" w:rsidP="00CF5C04">
            <w:pPr>
              <w:pStyle w:val="TableText"/>
              <w:spacing w:after="50"/>
              <w:jc w:val="right"/>
            </w:pPr>
            <w:r w:rsidRPr="00256982">
              <w:t>20</w:t>
            </w:r>
          </w:p>
        </w:tc>
      </w:tr>
      <w:tr w:rsidR="00005A00" w:rsidRPr="00256982" w14:paraId="4870AB42" w14:textId="77777777" w:rsidTr="00CF5C04">
        <w:tc>
          <w:tcPr>
            <w:tcW w:w="2009" w:type="dxa"/>
            <w:tcBorders>
              <w:top w:val="single" w:sz="4" w:space="0" w:color="365F91"/>
              <w:bottom w:val="single" w:sz="4" w:space="0" w:color="365F91"/>
            </w:tcBorders>
          </w:tcPr>
          <w:p w14:paraId="09FD8BA8" w14:textId="77777777" w:rsidR="00005A00" w:rsidRPr="00256982" w:rsidRDefault="00005A00" w:rsidP="00CF5C04">
            <w:pPr>
              <w:pStyle w:val="TableText"/>
              <w:spacing w:after="50"/>
            </w:pPr>
            <w:r w:rsidRPr="00256982">
              <w:t>Plastics</w:t>
            </w:r>
          </w:p>
        </w:tc>
        <w:tc>
          <w:tcPr>
            <w:tcW w:w="1560" w:type="dxa"/>
            <w:tcBorders>
              <w:top w:val="single" w:sz="4" w:space="0" w:color="365F91"/>
              <w:bottom w:val="single" w:sz="4" w:space="0" w:color="365F91"/>
            </w:tcBorders>
          </w:tcPr>
          <w:p w14:paraId="5EE374B6" w14:textId="77777777" w:rsidR="00005A00" w:rsidRPr="00256982" w:rsidRDefault="00005A00" w:rsidP="00CF5C04">
            <w:pPr>
              <w:pStyle w:val="TableText"/>
              <w:spacing w:after="50"/>
              <w:jc w:val="right"/>
            </w:pPr>
            <w:r w:rsidRPr="00256982">
              <w:t>8.8</w:t>
            </w:r>
          </w:p>
        </w:tc>
        <w:tc>
          <w:tcPr>
            <w:tcW w:w="1559" w:type="dxa"/>
            <w:tcBorders>
              <w:top w:val="single" w:sz="4" w:space="0" w:color="365F91"/>
              <w:bottom w:val="single" w:sz="4" w:space="0" w:color="365F91"/>
            </w:tcBorders>
          </w:tcPr>
          <w:p w14:paraId="57014B4C" w14:textId="77777777" w:rsidR="00005A00" w:rsidRPr="00256982" w:rsidRDefault="00005A00" w:rsidP="00CF5C04">
            <w:pPr>
              <w:pStyle w:val="TableText"/>
              <w:spacing w:after="50"/>
              <w:jc w:val="right"/>
            </w:pPr>
            <w:r w:rsidRPr="00256982">
              <w:t>100</w:t>
            </w:r>
          </w:p>
        </w:tc>
        <w:tc>
          <w:tcPr>
            <w:tcW w:w="1417" w:type="dxa"/>
            <w:tcBorders>
              <w:top w:val="single" w:sz="4" w:space="0" w:color="365F91"/>
              <w:bottom w:val="single" w:sz="4" w:space="0" w:color="365F91"/>
            </w:tcBorders>
          </w:tcPr>
          <w:p w14:paraId="67B29300" w14:textId="77777777" w:rsidR="00005A00" w:rsidRPr="00256982" w:rsidRDefault="00005A00" w:rsidP="00CF5C04">
            <w:pPr>
              <w:pStyle w:val="TableText"/>
              <w:spacing w:after="50"/>
              <w:jc w:val="right"/>
            </w:pPr>
            <w:r w:rsidRPr="00256982">
              <w:t>75</w:t>
            </w:r>
          </w:p>
        </w:tc>
        <w:tc>
          <w:tcPr>
            <w:tcW w:w="2068" w:type="dxa"/>
            <w:tcBorders>
              <w:top w:val="single" w:sz="4" w:space="0" w:color="365F91"/>
              <w:bottom w:val="single" w:sz="4" w:space="0" w:color="365F91"/>
            </w:tcBorders>
          </w:tcPr>
          <w:p w14:paraId="48BE5286" w14:textId="77777777" w:rsidR="00005A00" w:rsidRPr="00256982" w:rsidRDefault="00005A00" w:rsidP="00CF5C04">
            <w:pPr>
              <w:pStyle w:val="TableText"/>
              <w:spacing w:after="50"/>
              <w:jc w:val="right"/>
            </w:pPr>
            <w:r w:rsidRPr="00256982">
              <w:t>100</w:t>
            </w:r>
          </w:p>
        </w:tc>
      </w:tr>
      <w:tr w:rsidR="00005A00" w:rsidRPr="00256982" w14:paraId="02C7ABCA" w14:textId="77777777" w:rsidTr="00CF5C04">
        <w:tc>
          <w:tcPr>
            <w:tcW w:w="2009" w:type="dxa"/>
            <w:tcBorders>
              <w:top w:val="single" w:sz="4" w:space="0" w:color="365F91"/>
              <w:bottom w:val="single" w:sz="4" w:space="0" w:color="365F91"/>
            </w:tcBorders>
          </w:tcPr>
          <w:p w14:paraId="2566CEE2" w14:textId="77777777" w:rsidR="00005A00" w:rsidRPr="00256982" w:rsidRDefault="00005A00" w:rsidP="00CF5C04">
            <w:pPr>
              <w:pStyle w:val="TableText"/>
              <w:spacing w:after="50"/>
            </w:pPr>
            <w:r w:rsidRPr="00256982">
              <w:t>Metal</w:t>
            </w:r>
          </w:p>
        </w:tc>
        <w:tc>
          <w:tcPr>
            <w:tcW w:w="1560" w:type="dxa"/>
            <w:tcBorders>
              <w:top w:val="single" w:sz="4" w:space="0" w:color="365F91"/>
              <w:bottom w:val="single" w:sz="4" w:space="0" w:color="365F91"/>
            </w:tcBorders>
          </w:tcPr>
          <w:p w14:paraId="741B67A6" w14:textId="77777777" w:rsidR="00005A00" w:rsidRPr="00256982" w:rsidRDefault="00005A00" w:rsidP="00CF5C04">
            <w:pPr>
              <w:pStyle w:val="TableText"/>
              <w:spacing w:after="50"/>
              <w:jc w:val="right"/>
            </w:pPr>
            <w:r w:rsidRPr="00256982">
              <w:t>8.8</w:t>
            </w:r>
          </w:p>
        </w:tc>
        <w:tc>
          <w:tcPr>
            <w:tcW w:w="1559" w:type="dxa"/>
            <w:tcBorders>
              <w:top w:val="single" w:sz="4" w:space="0" w:color="365F91"/>
              <w:bottom w:val="single" w:sz="4" w:space="0" w:color="365F91"/>
            </w:tcBorders>
          </w:tcPr>
          <w:p w14:paraId="5A644A4F" w14:textId="77777777" w:rsidR="00005A00" w:rsidRPr="00256982" w:rsidRDefault="00005A00" w:rsidP="00CF5C04">
            <w:pPr>
              <w:pStyle w:val="TableText"/>
              <w:spacing w:after="50"/>
              <w:jc w:val="right"/>
            </w:pPr>
            <w:r w:rsidRPr="00256982">
              <w:t>100</w:t>
            </w:r>
          </w:p>
        </w:tc>
        <w:tc>
          <w:tcPr>
            <w:tcW w:w="1417" w:type="dxa"/>
            <w:tcBorders>
              <w:top w:val="single" w:sz="4" w:space="0" w:color="365F91"/>
              <w:bottom w:val="single" w:sz="4" w:space="0" w:color="365F91"/>
            </w:tcBorders>
          </w:tcPr>
          <w:p w14:paraId="54838E0B" w14:textId="77777777" w:rsidR="00005A00" w:rsidRPr="00256982" w:rsidRDefault="00005A00" w:rsidP="00CF5C04">
            <w:pPr>
              <w:pStyle w:val="TableText"/>
              <w:spacing w:after="50"/>
              <w:jc w:val="right"/>
            </w:pPr>
            <w:r w:rsidRPr="00256982">
              <w:t>–</w:t>
            </w:r>
          </w:p>
        </w:tc>
        <w:tc>
          <w:tcPr>
            <w:tcW w:w="2068" w:type="dxa"/>
            <w:tcBorders>
              <w:top w:val="single" w:sz="4" w:space="0" w:color="365F91"/>
              <w:bottom w:val="single" w:sz="4" w:space="0" w:color="365F91"/>
            </w:tcBorders>
          </w:tcPr>
          <w:p w14:paraId="55ED1190" w14:textId="77777777" w:rsidR="00005A00" w:rsidRPr="00256982" w:rsidRDefault="00005A00" w:rsidP="00CF5C04">
            <w:pPr>
              <w:pStyle w:val="TableText"/>
              <w:spacing w:after="50"/>
              <w:jc w:val="right"/>
            </w:pPr>
            <w:r w:rsidRPr="00256982">
              <w:t>–</w:t>
            </w:r>
          </w:p>
        </w:tc>
      </w:tr>
      <w:tr w:rsidR="00005A00" w:rsidRPr="00256982" w14:paraId="7F26AF97" w14:textId="77777777" w:rsidTr="00CF5C04">
        <w:tc>
          <w:tcPr>
            <w:tcW w:w="2009" w:type="dxa"/>
            <w:tcBorders>
              <w:top w:val="single" w:sz="4" w:space="0" w:color="365F91"/>
              <w:bottom w:val="single" w:sz="4" w:space="0" w:color="365F91"/>
            </w:tcBorders>
          </w:tcPr>
          <w:p w14:paraId="41161C21" w14:textId="77777777" w:rsidR="00005A00" w:rsidRPr="00256982" w:rsidRDefault="00005A00" w:rsidP="00CF5C04">
            <w:pPr>
              <w:pStyle w:val="TableText"/>
              <w:spacing w:after="50"/>
            </w:pPr>
            <w:r w:rsidRPr="00256982">
              <w:t>Glass</w:t>
            </w:r>
          </w:p>
        </w:tc>
        <w:tc>
          <w:tcPr>
            <w:tcW w:w="1560" w:type="dxa"/>
            <w:tcBorders>
              <w:top w:val="single" w:sz="4" w:space="0" w:color="365F91"/>
              <w:bottom w:val="single" w:sz="4" w:space="0" w:color="365F91"/>
            </w:tcBorders>
          </w:tcPr>
          <w:p w14:paraId="0841FD3A" w14:textId="77777777" w:rsidR="00005A00" w:rsidRPr="00256982" w:rsidRDefault="00005A00" w:rsidP="00CF5C04">
            <w:pPr>
              <w:pStyle w:val="TableText"/>
              <w:spacing w:after="50"/>
              <w:jc w:val="right"/>
            </w:pPr>
            <w:r w:rsidRPr="00256982">
              <w:t>8.8</w:t>
            </w:r>
          </w:p>
        </w:tc>
        <w:tc>
          <w:tcPr>
            <w:tcW w:w="1559" w:type="dxa"/>
            <w:tcBorders>
              <w:top w:val="single" w:sz="4" w:space="0" w:color="365F91"/>
              <w:bottom w:val="single" w:sz="4" w:space="0" w:color="365F91"/>
            </w:tcBorders>
          </w:tcPr>
          <w:p w14:paraId="669C5F61" w14:textId="77777777" w:rsidR="00005A00" w:rsidRPr="00256982" w:rsidRDefault="00005A00" w:rsidP="00CF5C04">
            <w:pPr>
              <w:pStyle w:val="TableText"/>
              <w:spacing w:after="50"/>
              <w:jc w:val="right"/>
            </w:pPr>
            <w:r w:rsidRPr="00256982">
              <w:t>100</w:t>
            </w:r>
          </w:p>
        </w:tc>
        <w:tc>
          <w:tcPr>
            <w:tcW w:w="1417" w:type="dxa"/>
            <w:tcBorders>
              <w:top w:val="single" w:sz="4" w:space="0" w:color="365F91"/>
              <w:bottom w:val="single" w:sz="4" w:space="0" w:color="365F91"/>
            </w:tcBorders>
          </w:tcPr>
          <w:p w14:paraId="1803E6C1" w14:textId="77777777" w:rsidR="00005A00" w:rsidRPr="00256982" w:rsidRDefault="00005A00" w:rsidP="00CF5C04">
            <w:pPr>
              <w:pStyle w:val="TableText"/>
              <w:spacing w:after="50"/>
              <w:jc w:val="right"/>
            </w:pPr>
            <w:r w:rsidRPr="00256982">
              <w:t>–</w:t>
            </w:r>
          </w:p>
        </w:tc>
        <w:tc>
          <w:tcPr>
            <w:tcW w:w="2068" w:type="dxa"/>
            <w:tcBorders>
              <w:top w:val="single" w:sz="4" w:space="0" w:color="365F91"/>
              <w:bottom w:val="single" w:sz="4" w:space="0" w:color="365F91"/>
            </w:tcBorders>
          </w:tcPr>
          <w:p w14:paraId="68B83DC5" w14:textId="77777777" w:rsidR="00005A00" w:rsidRPr="00256982" w:rsidRDefault="00005A00" w:rsidP="00CF5C04">
            <w:pPr>
              <w:pStyle w:val="TableText"/>
              <w:spacing w:after="50"/>
              <w:jc w:val="right"/>
            </w:pPr>
            <w:r w:rsidRPr="00256982">
              <w:t>–</w:t>
            </w:r>
          </w:p>
        </w:tc>
      </w:tr>
      <w:tr w:rsidR="00005A00" w:rsidRPr="00256982" w14:paraId="1D7B226D" w14:textId="77777777" w:rsidTr="00CF5C04">
        <w:tc>
          <w:tcPr>
            <w:tcW w:w="2009" w:type="dxa"/>
            <w:tcBorders>
              <w:top w:val="single" w:sz="4" w:space="0" w:color="365F91"/>
              <w:bottom w:val="single" w:sz="4" w:space="0" w:color="365F91"/>
            </w:tcBorders>
          </w:tcPr>
          <w:p w14:paraId="0A2B2BD2" w14:textId="77777777" w:rsidR="00005A00" w:rsidRPr="00256982" w:rsidRDefault="00005A00" w:rsidP="00CF5C04">
            <w:pPr>
              <w:pStyle w:val="TableText"/>
              <w:spacing w:after="50"/>
            </w:pPr>
            <w:r w:rsidRPr="00256982">
              <w:t>Other, inert</w:t>
            </w:r>
          </w:p>
        </w:tc>
        <w:tc>
          <w:tcPr>
            <w:tcW w:w="1560" w:type="dxa"/>
            <w:tcBorders>
              <w:top w:val="single" w:sz="4" w:space="0" w:color="365F91"/>
              <w:bottom w:val="single" w:sz="4" w:space="0" w:color="365F91"/>
            </w:tcBorders>
          </w:tcPr>
          <w:p w14:paraId="353CC36C" w14:textId="77777777" w:rsidR="00005A00" w:rsidRPr="00256982" w:rsidRDefault="00005A00" w:rsidP="00CF5C04">
            <w:pPr>
              <w:pStyle w:val="TableText"/>
              <w:spacing w:after="50"/>
              <w:jc w:val="right"/>
            </w:pPr>
            <w:r w:rsidRPr="00256982">
              <w:t>8.8</w:t>
            </w:r>
          </w:p>
        </w:tc>
        <w:tc>
          <w:tcPr>
            <w:tcW w:w="1559" w:type="dxa"/>
            <w:tcBorders>
              <w:top w:val="single" w:sz="4" w:space="0" w:color="365F91"/>
              <w:bottom w:val="single" w:sz="4" w:space="0" w:color="365F91"/>
            </w:tcBorders>
          </w:tcPr>
          <w:p w14:paraId="7721DF8C" w14:textId="77777777" w:rsidR="00005A00" w:rsidRPr="00256982" w:rsidRDefault="00005A00" w:rsidP="00CF5C04">
            <w:pPr>
              <w:pStyle w:val="TableText"/>
              <w:spacing w:after="50"/>
              <w:jc w:val="right"/>
            </w:pPr>
            <w:r w:rsidRPr="00256982">
              <w:t>90</w:t>
            </w:r>
          </w:p>
        </w:tc>
        <w:tc>
          <w:tcPr>
            <w:tcW w:w="1417" w:type="dxa"/>
            <w:tcBorders>
              <w:top w:val="single" w:sz="4" w:space="0" w:color="365F91"/>
              <w:bottom w:val="single" w:sz="4" w:space="0" w:color="365F91"/>
            </w:tcBorders>
          </w:tcPr>
          <w:p w14:paraId="6989EB7A" w14:textId="77777777" w:rsidR="00005A00" w:rsidRPr="00256982" w:rsidRDefault="00005A00" w:rsidP="00CF5C04">
            <w:pPr>
              <w:pStyle w:val="TableText"/>
              <w:spacing w:after="50"/>
              <w:jc w:val="right"/>
            </w:pPr>
            <w:r w:rsidRPr="00256982">
              <w:t>3</w:t>
            </w:r>
          </w:p>
        </w:tc>
        <w:tc>
          <w:tcPr>
            <w:tcW w:w="2068" w:type="dxa"/>
            <w:tcBorders>
              <w:top w:val="single" w:sz="4" w:space="0" w:color="365F91"/>
              <w:bottom w:val="single" w:sz="4" w:space="0" w:color="365F91"/>
            </w:tcBorders>
          </w:tcPr>
          <w:p w14:paraId="6B1B9DA1" w14:textId="77777777" w:rsidR="00005A00" w:rsidRPr="00256982" w:rsidRDefault="00005A00" w:rsidP="00CF5C04">
            <w:pPr>
              <w:pStyle w:val="TableText"/>
              <w:spacing w:after="50"/>
              <w:jc w:val="right"/>
            </w:pPr>
            <w:r w:rsidRPr="00256982">
              <w:t>100</w:t>
            </w:r>
          </w:p>
        </w:tc>
      </w:tr>
      <w:tr w:rsidR="00005A00" w:rsidRPr="00256982" w14:paraId="419EA15D" w14:textId="77777777" w:rsidTr="00CF5C04">
        <w:tc>
          <w:tcPr>
            <w:tcW w:w="2009" w:type="dxa"/>
            <w:tcBorders>
              <w:top w:val="single" w:sz="4" w:space="0" w:color="365F91"/>
              <w:bottom w:val="single" w:sz="4" w:space="0" w:color="365F91"/>
            </w:tcBorders>
          </w:tcPr>
          <w:p w14:paraId="17E469AB" w14:textId="77777777" w:rsidR="00005A00" w:rsidRPr="00256982" w:rsidRDefault="00005A00" w:rsidP="00CF5C04">
            <w:pPr>
              <w:pStyle w:val="TableText"/>
              <w:spacing w:before="50" w:after="50"/>
              <w:rPr>
                <w:b/>
              </w:rPr>
            </w:pPr>
            <w:r w:rsidRPr="00256982">
              <w:rPr>
                <w:b/>
              </w:rPr>
              <w:t>Weighted average</w:t>
            </w:r>
          </w:p>
        </w:tc>
        <w:tc>
          <w:tcPr>
            <w:tcW w:w="1560" w:type="dxa"/>
            <w:tcBorders>
              <w:top w:val="single" w:sz="4" w:space="0" w:color="365F91"/>
              <w:bottom w:val="single" w:sz="4" w:space="0" w:color="365F91"/>
            </w:tcBorders>
          </w:tcPr>
          <w:p w14:paraId="30B69632" w14:textId="77777777" w:rsidR="00005A00" w:rsidRPr="00256982" w:rsidRDefault="00005A00" w:rsidP="00CF5C04">
            <w:pPr>
              <w:pStyle w:val="TableText"/>
              <w:spacing w:after="50"/>
              <w:jc w:val="right"/>
              <w:rPr>
                <w:b/>
              </w:rPr>
            </w:pPr>
            <w:r w:rsidRPr="00256982">
              <w:rPr>
                <w:b/>
              </w:rPr>
              <w:t>–</w:t>
            </w:r>
          </w:p>
        </w:tc>
        <w:tc>
          <w:tcPr>
            <w:tcW w:w="1559" w:type="dxa"/>
            <w:tcBorders>
              <w:top w:val="single" w:sz="4" w:space="0" w:color="365F91"/>
              <w:bottom w:val="single" w:sz="4" w:space="0" w:color="365F91"/>
            </w:tcBorders>
          </w:tcPr>
          <w:p w14:paraId="67ACC42B" w14:textId="77777777" w:rsidR="00005A00" w:rsidRPr="00256982" w:rsidRDefault="00005A00" w:rsidP="00CF5C04">
            <w:pPr>
              <w:pStyle w:val="TableText"/>
              <w:spacing w:after="50"/>
              <w:jc w:val="right"/>
              <w:rPr>
                <w:b/>
              </w:rPr>
            </w:pPr>
            <w:r w:rsidRPr="00256982">
              <w:rPr>
                <w:b/>
              </w:rPr>
              <w:t>76.9</w:t>
            </w:r>
          </w:p>
        </w:tc>
        <w:tc>
          <w:tcPr>
            <w:tcW w:w="1417" w:type="dxa"/>
            <w:tcBorders>
              <w:top w:val="single" w:sz="4" w:space="0" w:color="365F91"/>
              <w:bottom w:val="single" w:sz="4" w:space="0" w:color="365F91"/>
            </w:tcBorders>
          </w:tcPr>
          <w:p w14:paraId="69EE94D0" w14:textId="77777777" w:rsidR="00005A00" w:rsidRPr="00256982" w:rsidRDefault="00005A00" w:rsidP="00CF5C04">
            <w:pPr>
              <w:pStyle w:val="TableText"/>
              <w:spacing w:after="50"/>
              <w:jc w:val="right"/>
              <w:rPr>
                <w:b/>
              </w:rPr>
            </w:pPr>
            <w:r w:rsidRPr="00256982">
              <w:rPr>
                <w:b/>
              </w:rPr>
              <w:t>38.6</w:t>
            </w:r>
          </w:p>
        </w:tc>
        <w:tc>
          <w:tcPr>
            <w:tcW w:w="2068" w:type="dxa"/>
            <w:tcBorders>
              <w:top w:val="single" w:sz="4" w:space="0" w:color="365F91"/>
              <w:bottom w:val="single" w:sz="4" w:space="0" w:color="365F91"/>
            </w:tcBorders>
          </w:tcPr>
          <w:p w14:paraId="00CFDEAF" w14:textId="77777777" w:rsidR="00005A00" w:rsidRPr="00256982" w:rsidRDefault="00005A00" w:rsidP="00CF5C04">
            <w:pPr>
              <w:pStyle w:val="TableText"/>
              <w:spacing w:after="50"/>
              <w:jc w:val="right"/>
              <w:rPr>
                <w:b/>
              </w:rPr>
            </w:pPr>
            <w:r w:rsidRPr="00256982">
              <w:rPr>
                <w:b/>
              </w:rPr>
              <w:t>20.8</w:t>
            </w:r>
          </w:p>
        </w:tc>
      </w:tr>
    </w:tbl>
    <w:p w14:paraId="7DA132B1" w14:textId="77777777" w:rsidR="00005A00" w:rsidRPr="00256982" w:rsidRDefault="00005A00" w:rsidP="00005A00">
      <w:pPr>
        <w:pStyle w:val="Source"/>
        <w:spacing w:after="120"/>
      </w:pPr>
      <w:r w:rsidRPr="00256982">
        <w:rPr>
          <w:b/>
        </w:rPr>
        <w:t>Source:</w:t>
      </w:r>
      <w:r w:rsidRPr="00256982">
        <w:t xml:space="preserve"> Dry matter content, total carbon content and fossil carbon content values are from table 2.4 (IPCC, 2006a).</w:t>
      </w:r>
    </w:p>
    <w:p w14:paraId="2C22A7AA" w14:textId="77777777" w:rsidR="00005A00" w:rsidRPr="00256982" w:rsidRDefault="00005A00" w:rsidP="00005A00">
      <w:pPr>
        <w:pStyle w:val="Heading4"/>
      </w:pPr>
      <w:r w:rsidRPr="00256982">
        <w:t>Choice of emission factors</w:t>
      </w:r>
    </w:p>
    <w:p w14:paraId="4886E5DF" w14:textId="77777777" w:rsidR="00005A00" w:rsidRPr="00256982" w:rsidRDefault="00005A00" w:rsidP="00005A00">
      <w:pPr>
        <w:pStyle w:val="Heading5"/>
      </w:pPr>
      <w:r w:rsidRPr="00256982">
        <w:t>Incineration (5.C.1)</w:t>
      </w:r>
    </w:p>
    <w:p w14:paraId="7A2D6FEE" w14:textId="77777777" w:rsidR="00005A00" w:rsidRPr="00256982" w:rsidRDefault="00005A00" w:rsidP="00005A00">
      <w:pPr>
        <w:pStyle w:val="BodyText"/>
      </w:pPr>
      <w:r w:rsidRPr="00256982">
        <w:t xml:space="preserve">The parameters used to calculate emissions from incineration are detailed in table 7.4.4. </w:t>
      </w:r>
    </w:p>
    <w:p w14:paraId="3C2BE816" w14:textId="77777777" w:rsidR="00005A00" w:rsidRPr="00256982" w:rsidRDefault="00005A00" w:rsidP="00005A00">
      <w:pPr>
        <w:pStyle w:val="Table"/>
      </w:pPr>
      <w:bookmarkStart w:id="2352" w:name="_Toc444001624"/>
      <w:bookmarkStart w:id="2353" w:name="_Toc451176176"/>
      <w:bookmarkStart w:id="2354" w:name="_Toc481751606"/>
      <w:bookmarkStart w:id="2355" w:name="_Toc508019331"/>
      <w:bookmarkStart w:id="2356" w:name="_Toc511116829"/>
      <w:bookmarkStart w:id="2357" w:name="_Toc5269575"/>
      <w:r w:rsidRPr="00256982">
        <w:t>Table 7.4.4</w:t>
      </w:r>
      <w:r w:rsidRPr="00256982">
        <w:tab/>
        <w:t>Parameter values applied to estimate emissions from incineration</w:t>
      </w:r>
      <w:bookmarkEnd w:id="2352"/>
      <w:bookmarkEnd w:id="2353"/>
      <w:bookmarkEnd w:id="2354"/>
      <w:bookmarkEnd w:id="2355"/>
      <w:bookmarkEnd w:id="2356"/>
      <w:bookmarkEnd w:id="2357"/>
    </w:p>
    <w:tbl>
      <w:tblPr>
        <w:tblW w:w="8562" w:type="dxa"/>
        <w:tblInd w:w="108" w:type="dxa"/>
        <w:tblLook w:val="04A0" w:firstRow="1" w:lastRow="0" w:firstColumn="1" w:lastColumn="0" w:noHBand="0" w:noVBand="1"/>
      </w:tblPr>
      <w:tblGrid>
        <w:gridCol w:w="2435"/>
        <w:gridCol w:w="1559"/>
        <w:gridCol w:w="1586"/>
        <w:gridCol w:w="1391"/>
        <w:gridCol w:w="1591"/>
      </w:tblGrid>
      <w:tr w:rsidR="00005A00" w:rsidRPr="00256982" w14:paraId="6331A4C0" w14:textId="77777777" w:rsidTr="00714948">
        <w:tc>
          <w:tcPr>
            <w:tcW w:w="2435" w:type="dxa"/>
            <w:tcBorders>
              <w:top w:val="single" w:sz="4" w:space="0" w:color="365F91"/>
              <w:bottom w:val="single" w:sz="4" w:space="0" w:color="365F91"/>
            </w:tcBorders>
            <w:shd w:val="clear" w:color="auto" w:fill="365F91"/>
          </w:tcPr>
          <w:p w14:paraId="7B7359BF" w14:textId="77777777" w:rsidR="00005A00" w:rsidRPr="00256982" w:rsidRDefault="00005A00" w:rsidP="00AA14F1">
            <w:pPr>
              <w:pStyle w:val="TableTextBold"/>
              <w:spacing w:before="50" w:after="50"/>
              <w:rPr>
                <w:noProof w:val="0"/>
                <w:color w:val="FFFFFF"/>
              </w:rPr>
            </w:pPr>
            <w:r w:rsidRPr="00256982">
              <w:rPr>
                <w:noProof w:val="0"/>
                <w:color w:val="FFFFFF"/>
              </w:rPr>
              <w:t xml:space="preserve">Parameter </w:t>
            </w:r>
          </w:p>
        </w:tc>
        <w:tc>
          <w:tcPr>
            <w:tcW w:w="1559" w:type="dxa"/>
            <w:tcBorders>
              <w:top w:val="single" w:sz="4" w:space="0" w:color="365F91"/>
              <w:bottom w:val="single" w:sz="4" w:space="0" w:color="365F91"/>
            </w:tcBorders>
            <w:shd w:val="clear" w:color="auto" w:fill="365F91"/>
          </w:tcPr>
          <w:p w14:paraId="1346F8B7" w14:textId="77777777" w:rsidR="00005A00" w:rsidRPr="00256982" w:rsidRDefault="00005A00" w:rsidP="00AA14F1">
            <w:pPr>
              <w:pStyle w:val="TableTextBold"/>
              <w:spacing w:before="50" w:after="50"/>
              <w:rPr>
                <w:noProof w:val="0"/>
                <w:color w:val="FFFFFF"/>
              </w:rPr>
            </w:pPr>
            <w:r w:rsidRPr="00256982">
              <w:rPr>
                <w:noProof w:val="0"/>
                <w:color w:val="FFFFFF"/>
              </w:rPr>
              <w:t>Hazardous waste</w:t>
            </w:r>
          </w:p>
        </w:tc>
        <w:tc>
          <w:tcPr>
            <w:tcW w:w="1586" w:type="dxa"/>
            <w:tcBorders>
              <w:top w:val="single" w:sz="4" w:space="0" w:color="365F91"/>
              <w:bottom w:val="single" w:sz="4" w:space="0" w:color="365F91"/>
            </w:tcBorders>
            <w:shd w:val="clear" w:color="auto" w:fill="365F91"/>
          </w:tcPr>
          <w:p w14:paraId="24C02F91" w14:textId="77777777" w:rsidR="00005A00" w:rsidRPr="00256982" w:rsidRDefault="00005A00" w:rsidP="00AA14F1">
            <w:pPr>
              <w:pStyle w:val="TableTextBold"/>
              <w:spacing w:before="50" w:after="50"/>
              <w:rPr>
                <w:noProof w:val="0"/>
                <w:color w:val="FFFFFF"/>
              </w:rPr>
            </w:pPr>
            <w:r w:rsidRPr="00256982">
              <w:rPr>
                <w:noProof w:val="0"/>
                <w:color w:val="FFFFFF"/>
              </w:rPr>
              <w:t>Clinical waste</w:t>
            </w:r>
          </w:p>
        </w:tc>
        <w:tc>
          <w:tcPr>
            <w:tcW w:w="1391" w:type="dxa"/>
            <w:tcBorders>
              <w:top w:val="single" w:sz="4" w:space="0" w:color="365F91"/>
              <w:bottom w:val="single" w:sz="4" w:space="0" w:color="365F91"/>
            </w:tcBorders>
            <w:shd w:val="clear" w:color="auto" w:fill="365F91"/>
          </w:tcPr>
          <w:p w14:paraId="7BED9228" w14:textId="77777777" w:rsidR="00005A00" w:rsidRPr="00256982" w:rsidRDefault="00005A00" w:rsidP="00AA14F1">
            <w:pPr>
              <w:pStyle w:val="TableTextBold"/>
              <w:spacing w:before="50" w:after="50"/>
              <w:rPr>
                <w:noProof w:val="0"/>
                <w:color w:val="FFFFFF"/>
              </w:rPr>
            </w:pPr>
            <w:r w:rsidRPr="00256982">
              <w:rPr>
                <w:noProof w:val="0"/>
                <w:color w:val="FFFFFF"/>
              </w:rPr>
              <w:t>Sewage sludge</w:t>
            </w:r>
          </w:p>
        </w:tc>
        <w:tc>
          <w:tcPr>
            <w:tcW w:w="1591" w:type="dxa"/>
            <w:tcBorders>
              <w:top w:val="single" w:sz="4" w:space="0" w:color="365F91"/>
              <w:bottom w:val="single" w:sz="4" w:space="0" w:color="365F91"/>
            </w:tcBorders>
            <w:shd w:val="clear" w:color="auto" w:fill="365F91"/>
          </w:tcPr>
          <w:p w14:paraId="640D097B" w14:textId="77777777" w:rsidR="00005A00" w:rsidRPr="00256982" w:rsidRDefault="00005A00" w:rsidP="00AA14F1">
            <w:pPr>
              <w:pStyle w:val="TableTextBold"/>
              <w:spacing w:before="50" w:after="50"/>
              <w:rPr>
                <w:noProof w:val="0"/>
                <w:color w:val="FFFFFF"/>
              </w:rPr>
            </w:pPr>
            <w:r w:rsidRPr="00256982">
              <w:rPr>
                <w:noProof w:val="0"/>
                <w:color w:val="FFFFFF"/>
              </w:rPr>
              <w:t>Source</w:t>
            </w:r>
          </w:p>
        </w:tc>
      </w:tr>
      <w:tr w:rsidR="00005A00" w:rsidRPr="00256982" w14:paraId="6869916A" w14:textId="77777777" w:rsidTr="00714948">
        <w:tc>
          <w:tcPr>
            <w:tcW w:w="2435" w:type="dxa"/>
            <w:tcBorders>
              <w:top w:val="single" w:sz="4" w:space="0" w:color="365F91"/>
              <w:bottom w:val="single" w:sz="4" w:space="0" w:color="365F91"/>
            </w:tcBorders>
          </w:tcPr>
          <w:p w14:paraId="028A3744" w14:textId="77777777" w:rsidR="00005A00" w:rsidRPr="00256982" w:rsidRDefault="00005A00" w:rsidP="00AA14F1">
            <w:pPr>
              <w:pStyle w:val="TableText"/>
              <w:spacing w:before="50" w:after="50"/>
            </w:pPr>
            <w:r w:rsidRPr="00256982">
              <w:t>Dry-matter content in waste (%)</w:t>
            </w:r>
          </w:p>
        </w:tc>
        <w:tc>
          <w:tcPr>
            <w:tcW w:w="1559" w:type="dxa"/>
            <w:tcBorders>
              <w:top w:val="single" w:sz="4" w:space="0" w:color="365F91"/>
              <w:bottom w:val="single" w:sz="4" w:space="0" w:color="365F91"/>
            </w:tcBorders>
          </w:tcPr>
          <w:p w14:paraId="0B76D332" w14:textId="77777777" w:rsidR="00005A00" w:rsidRPr="00256982" w:rsidRDefault="00005A00" w:rsidP="00AA14F1">
            <w:pPr>
              <w:pStyle w:val="TableText"/>
              <w:spacing w:after="0"/>
            </w:pPr>
            <w:r w:rsidRPr="00256982">
              <w:t>50</w:t>
            </w:r>
          </w:p>
          <w:p w14:paraId="6890CE13" w14:textId="77777777" w:rsidR="00005A00" w:rsidRPr="00256982" w:rsidRDefault="00005A00" w:rsidP="00E43A59">
            <w:pPr>
              <w:pStyle w:val="TableText"/>
            </w:pPr>
            <w:r w:rsidRPr="00256982">
              <w:t>(table 2.6)</w:t>
            </w:r>
          </w:p>
        </w:tc>
        <w:tc>
          <w:tcPr>
            <w:tcW w:w="1586" w:type="dxa"/>
            <w:tcBorders>
              <w:top w:val="single" w:sz="4" w:space="0" w:color="365F91"/>
              <w:bottom w:val="single" w:sz="4" w:space="0" w:color="365F91"/>
            </w:tcBorders>
          </w:tcPr>
          <w:p w14:paraId="163EA67B" w14:textId="77777777" w:rsidR="00005A00" w:rsidRPr="00256982" w:rsidRDefault="00005A00" w:rsidP="00AA14F1">
            <w:pPr>
              <w:pStyle w:val="TableText"/>
              <w:spacing w:after="0"/>
            </w:pPr>
            <w:r w:rsidRPr="00256982">
              <w:t xml:space="preserve">65 </w:t>
            </w:r>
          </w:p>
          <w:p w14:paraId="7C858356" w14:textId="77777777" w:rsidR="00005A00" w:rsidRPr="00256982" w:rsidRDefault="00005A00" w:rsidP="00E43A59">
            <w:pPr>
              <w:pStyle w:val="TableText"/>
            </w:pPr>
            <w:r w:rsidRPr="00256982">
              <w:t>(table 2.6)</w:t>
            </w:r>
          </w:p>
        </w:tc>
        <w:tc>
          <w:tcPr>
            <w:tcW w:w="1391" w:type="dxa"/>
            <w:tcBorders>
              <w:top w:val="single" w:sz="4" w:space="0" w:color="365F91"/>
              <w:bottom w:val="single" w:sz="4" w:space="0" w:color="365F91"/>
            </w:tcBorders>
          </w:tcPr>
          <w:p w14:paraId="290C8576" w14:textId="77777777" w:rsidR="00005A00" w:rsidRPr="00256982" w:rsidRDefault="00005A00" w:rsidP="00AA14F1">
            <w:pPr>
              <w:pStyle w:val="TableText"/>
              <w:spacing w:after="0"/>
            </w:pPr>
            <w:r w:rsidRPr="00256982">
              <w:t>10</w:t>
            </w:r>
          </w:p>
          <w:p w14:paraId="6068C639" w14:textId="77777777" w:rsidR="00005A00" w:rsidRPr="00256982" w:rsidRDefault="00005A00" w:rsidP="00E43A59">
            <w:pPr>
              <w:pStyle w:val="TableText"/>
            </w:pPr>
            <w:r w:rsidRPr="00256982">
              <w:t>(section 2.3.2)</w:t>
            </w:r>
          </w:p>
        </w:tc>
        <w:tc>
          <w:tcPr>
            <w:tcW w:w="1591" w:type="dxa"/>
            <w:tcBorders>
              <w:top w:val="single" w:sz="4" w:space="0" w:color="365F91"/>
              <w:bottom w:val="single" w:sz="4" w:space="0" w:color="365F91"/>
            </w:tcBorders>
            <w:shd w:val="clear" w:color="auto" w:fill="auto"/>
          </w:tcPr>
          <w:p w14:paraId="2E89680D" w14:textId="77777777" w:rsidR="00005A00" w:rsidRPr="00256982" w:rsidRDefault="00005A00" w:rsidP="00E43A59">
            <w:pPr>
              <w:pStyle w:val="TableText"/>
            </w:pPr>
            <w:r w:rsidRPr="00256982">
              <w:t>IPCC (2006a)</w:t>
            </w:r>
          </w:p>
        </w:tc>
      </w:tr>
      <w:tr w:rsidR="00005A00" w:rsidRPr="00256982" w14:paraId="5601D305" w14:textId="77777777" w:rsidTr="00714948">
        <w:tc>
          <w:tcPr>
            <w:tcW w:w="2435" w:type="dxa"/>
            <w:tcBorders>
              <w:top w:val="single" w:sz="4" w:space="0" w:color="365F91"/>
              <w:bottom w:val="single" w:sz="4" w:space="0" w:color="365F91"/>
            </w:tcBorders>
          </w:tcPr>
          <w:p w14:paraId="34FC6F6B" w14:textId="77777777" w:rsidR="00005A00" w:rsidRPr="00256982" w:rsidRDefault="00005A00" w:rsidP="00AA14F1">
            <w:pPr>
              <w:pStyle w:val="TableText"/>
              <w:spacing w:before="50" w:after="50"/>
            </w:pPr>
            <w:r w:rsidRPr="00256982">
              <w:t>Fraction of carbon</w:t>
            </w:r>
          </w:p>
        </w:tc>
        <w:tc>
          <w:tcPr>
            <w:tcW w:w="1559" w:type="dxa"/>
            <w:tcBorders>
              <w:top w:val="single" w:sz="4" w:space="0" w:color="365F91"/>
              <w:bottom w:val="single" w:sz="4" w:space="0" w:color="365F91"/>
            </w:tcBorders>
          </w:tcPr>
          <w:p w14:paraId="534B2287" w14:textId="77777777" w:rsidR="00005A00" w:rsidRPr="00256982" w:rsidRDefault="00005A00" w:rsidP="00AA14F1">
            <w:pPr>
              <w:pStyle w:val="TableText"/>
              <w:spacing w:after="0"/>
            </w:pPr>
            <w:r w:rsidRPr="00256982">
              <w:t>0.275 (wet)</w:t>
            </w:r>
          </w:p>
          <w:p w14:paraId="047879E7" w14:textId="77777777" w:rsidR="00005A00" w:rsidRPr="00256982" w:rsidRDefault="00005A00" w:rsidP="00E43A59">
            <w:pPr>
              <w:pStyle w:val="TableText"/>
              <w:rPr>
                <w:highlight w:val="yellow"/>
              </w:rPr>
            </w:pPr>
            <w:r w:rsidRPr="00256982">
              <w:t>(table 2.6)</w:t>
            </w:r>
          </w:p>
        </w:tc>
        <w:tc>
          <w:tcPr>
            <w:tcW w:w="1586" w:type="dxa"/>
            <w:tcBorders>
              <w:top w:val="single" w:sz="4" w:space="0" w:color="365F91"/>
              <w:bottom w:val="single" w:sz="4" w:space="0" w:color="365F91"/>
            </w:tcBorders>
          </w:tcPr>
          <w:p w14:paraId="1CE932C4" w14:textId="77777777" w:rsidR="00005A00" w:rsidRPr="00256982" w:rsidRDefault="00005A00" w:rsidP="00AA14F1">
            <w:pPr>
              <w:pStyle w:val="TableText"/>
              <w:spacing w:after="0"/>
            </w:pPr>
            <w:r w:rsidRPr="00256982">
              <w:t>0.6 (dry)</w:t>
            </w:r>
          </w:p>
          <w:p w14:paraId="394D443F" w14:textId="77777777" w:rsidR="00005A00" w:rsidRPr="00256982" w:rsidRDefault="00005A00" w:rsidP="00E43A59">
            <w:pPr>
              <w:pStyle w:val="TableText"/>
            </w:pPr>
            <w:r w:rsidRPr="00256982">
              <w:t>(table 5.2)</w:t>
            </w:r>
          </w:p>
        </w:tc>
        <w:tc>
          <w:tcPr>
            <w:tcW w:w="1391" w:type="dxa"/>
            <w:tcBorders>
              <w:top w:val="single" w:sz="4" w:space="0" w:color="365F91"/>
              <w:bottom w:val="single" w:sz="4" w:space="0" w:color="365F91"/>
            </w:tcBorders>
          </w:tcPr>
          <w:p w14:paraId="644003D2" w14:textId="77777777" w:rsidR="00005A00" w:rsidRPr="00256982" w:rsidRDefault="00005A00" w:rsidP="00AA14F1">
            <w:pPr>
              <w:pStyle w:val="TableText"/>
              <w:spacing w:after="0"/>
            </w:pPr>
            <w:r w:rsidRPr="00256982">
              <w:t>0.45 (dry)</w:t>
            </w:r>
          </w:p>
          <w:p w14:paraId="06DF6E74" w14:textId="77777777" w:rsidR="00005A00" w:rsidRPr="00256982" w:rsidRDefault="00005A00" w:rsidP="00E43A59">
            <w:pPr>
              <w:pStyle w:val="TableText"/>
            </w:pPr>
            <w:r w:rsidRPr="00256982">
              <w:t>(table 5.2)</w:t>
            </w:r>
          </w:p>
        </w:tc>
        <w:tc>
          <w:tcPr>
            <w:tcW w:w="1591" w:type="dxa"/>
            <w:tcBorders>
              <w:top w:val="single" w:sz="4" w:space="0" w:color="365F91"/>
              <w:bottom w:val="single" w:sz="4" w:space="0" w:color="365F91"/>
            </w:tcBorders>
            <w:shd w:val="clear" w:color="auto" w:fill="auto"/>
          </w:tcPr>
          <w:p w14:paraId="449CFF7A" w14:textId="77777777" w:rsidR="00005A00" w:rsidRPr="00256982" w:rsidRDefault="00005A00" w:rsidP="00E43A59">
            <w:pPr>
              <w:pStyle w:val="TableText"/>
            </w:pPr>
            <w:r w:rsidRPr="00256982">
              <w:t>IPCC (2006a)</w:t>
            </w:r>
          </w:p>
        </w:tc>
      </w:tr>
      <w:tr w:rsidR="00005A00" w:rsidRPr="00256982" w14:paraId="1C65B5A6" w14:textId="77777777" w:rsidTr="00714948">
        <w:tc>
          <w:tcPr>
            <w:tcW w:w="2435" w:type="dxa"/>
            <w:tcBorders>
              <w:top w:val="single" w:sz="4" w:space="0" w:color="365F91"/>
              <w:bottom w:val="single" w:sz="4" w:space="0" w:color="365F91"/>
            </w:tcBorders>
          </w:tcPr>
          <w:p w14:paraId="1F094FA5" w14:textId="77777777" w:rsidR="00005A00" w:rsidRPr="00256982" w:rsidRDefault="00005A00" w:rsidP="00AA14F1">
            <w:pPr>
              <w:pStyle w:val="TableText"/>
              <w:spacing w:before="50" w:after="50"/>
            </w:pPr>
            <w:r w:rsidRPr="00256982">
              <w:t>Fraction of fossil carbon in total carbon</w:t>
            </w:r>
          </w:p>
        </w:tc>
        <w:tc>
          <w:tcPr>
            <w:tcW w:w="1559" w:type="dxa"/>
            <w:tcBorders>
              <w:top w:val="single" w:sz="4" w:space="0" w:color="365F91"/>
              <w:bottom w:val="single" w:sz="4" w:space="0" w:color="365F91"/>
            </w:tcBorders>
          </w:tcPr>
          <w:p w14:paraId="434124D7" w14:textId="77777777" w:rsidR="00005A00" w:rsidRPr="00256982" w:rsidRDefault="00005A00" w:rsidP="00AA14F1">
            <w:pPr>
              <w:pStyle w:val="TableText"/>
              <w:spacing w:after="0"/>
            </w:pPr>
            <w:r w:rsidRPr="00256982">
              <w:t>1</w:t>
            </w:r>
          </w:p>
          <w:p w14:paraId="352F12EA" w14:textId="77777777" w:rsidR="00005A00" w:rsidRPr="00256982" w:rsidRDefault="00005A00" w:rsidP="00E43A59">
            <w:pPr>
              <w:pStyle w:val="TableText"/>
            </w:pPr>
            <w:r w:rsidRPr="00256982">
              <w:t>(table 2.6)</w:t>
            </w:r>
          </w:p>
        </w:tc>
        <w:tc>
          <w:tcPr>
            <w:tcW w:w="1586" w:type="dxa"/>
            <w:tcBorders>
              <w:top w:val="single" w:sz="4" w:space="0" w:color="365F91"/>
              <w:bottom w:val="single" w:sz="4" w:space="0" w:color="365F91"/>
            </w:tcBorders>
          </w:tcPr>
          <w:p w14:paraId="69F5676F" w14:textId="77777777" w:rsidR="00005A00" w:rsidRPr="00256982" w:rsidRDefault="00005A00" w:rsidP="00AA14F1">
            <w:pPr>
              <w:pStyle w:val="TableText"/>
              <w:spacing w:after="0"/>
            </w:pPr>
            <w:r w:rsidRPr="00256982">
              <w:t xml:space="preserve">0.4 </w:t>
            </w:r>
          </w:p>
          <w:p w14:paraId="068DF1A8" w14:textId="77777777" w:rsidR="00005A00" w:rsidRPr="00256982" w:rsidRDefault="00005A00" w:rsidP="00E43A59">
            <w:pPr>
              <w:pStyle w:val="TableText"/>
            </w:pPr>
            <w:r w:rsidRPr="00256982">
              <w:t>(table 5.2)</w:t>
            </w:r>
          </w:p>
        </w:tc>
        <w:tc>
          <w:tcPr>
            <w:tcW w:w="1391" w:type="dxa"/>
            <w:tcBorders>
              <w:top w:val="single" w:sz="4" w:space="0" w:color="365F91"/>
              <w:bottom w:val="single" w:sz="4" w:space="0" w:color="365F91"/>
            </w:tcBorders>
          </w:tcPr>
          <w:p w14:paraId="0E7C75D4" w14:textId="77777777" w:rsidR="00005A00" w:rsidRPr="00256982" w:rsidRDefault="00005A00" w:rsidP="00AA14F1">
            <w:pPr>
              <w:pStyle w:val="TableText"/>
              <w:spacing w:after="0"/>
            </w:pPr>
            <w:r w:rsidRPr="00256982">
              <w:t>0.0</w:t>
            </w:r>
          </w:p>
          <w:p w14:paraId="57C0F78B" w14:textId="77777777" w:rsidR="00005A00" w:rsidRPr="00256982" w:rsidRDefault="00005A00" w:rsidP="00E43A59">
            <w:pPr>
              <w:pStyle w:val="TableText"/>
            </w:pPr>
            <w:r w:rsidRPr="00256982">
              <w:t>(table 5.2)</w:t>
            </w:r>
          </w:p>
        </w:tc>
        <w:tc>
          <w:tcPr>
            <w:tcW w:w="1591" w:type="dxa"/>
            <w:tcBorders>
              <w:top w:val="single" w:sz="4" w:space="0" w:color="365F91"/>
              <w:bottom w:val="single" w:sz="4" w:space="0" w:color="365F91"/>
            </w:tcBorders>
            <w:shd w:val="clear" w:color="auto" w:fill="auto"/>
          </w:tcPr>
          <w:p w14:paraId="20E56BCF" w14:textId="77777777" w:rsidR="00005A00" w:rsidRPr="00256982" w:rsidRDefault="00005A00" w:rsidP="00E43A59">
            <w:pPr>
              <w:pStyle w:val="TableText"/>
            </w:pPr>
            <w:r w:rsidRPr="00256982">
              <w:t>IPCC (2006a)</w:t>
            </w:r>
          </w:p>
        </w:tc>
      </w:tr>
      <w:tr w:rsidR="00005A00" w:rsidRPr="00256982" w14:paraId="7648A5EC" w14:textId="77777777" w:rsidTr="00714948">
        <w:tc>
          <w:tcPr>
            <w:tcW w:w="2435" w:type="dxa"/>
            <w:tcBorders>
              <w:top w:val="single" w:sz="4" w:space="0" w:color="365F91"/>
              <w:bottom w:val="single" w:sz="4" w:space="0" w:color="365F91"/>
            </w:tcBorders>
          </w:tcPr>
          <w:p w14:paraId="04F665CB" w14:textId="77777777" w:rsidR="00005A00" w:rsidRPr="00256982" w:rsidRDefault="00005A00" w:rsidP="00AA14F1">
            <w:pPr>
              <w:pStyle w:val="TableText"/>
              <w:spacing w:before="50" w:after="50"/>
              <w:rPr>
                <w:rFonts w:cs="Arial"/>
                <w:szCs w:val="16"/>
              </w:rPr>
            </w:pPr>
            <w:r w:rsidRPr="00256982">
              <w:rPr>
                <w:rFonts w:cs="Arial"/>
                <w:szCs w:val="16"/>
              </w:rPr>
              <w:t>Oxidation factor</w:t>
            </w:r>
          </w:p>
        </w:tc>
        <w:tc>
          <w:tcPr>
            <w:tcW w:w="1559" w:type="dxa"/>
            <w:tcBorders>
              <w:top w:val="single" w:sz="4" w:space="0" w:color="365F91"/>
              <w:bottom w:val="single" w:sz="4" w:space="0" w:color="365F91"/>
            </w:tcBorders>
          </w:tcPr>
          <w:p w14:paraId="7BABD0F8" w14:textId="77777777" w:rsidR="00005A00" w:rsidRPr="00256982" w:rsidRDefault="00005A00" w:rsidP="00E43A59">
            <w:pPr>
              <w:pStyle w:val="TableText"/>
            </w:pPr>
            <w:r w:rsidRPr="00256982">
              <w:t>1.0</w:t>
            </w:r>
          </w:p>
        </w:tc>
        <w:tc>
          <w:tcPr>
            <w:tcW w:w="1586" w:type="dxa"/>
            <w:tcBorders>
              <w:top w:val="single" w:sz="4" w:space="0" w:color="365F91"/>
              <w:bottom w:val="single" w:sz="4" w:space="0" w:color="365F91"/>
            </w:tcBorders>
          </w:tcPr>
          <w:p w14:paraId="097CAB17" w14:textId="77777777" w:rsidR="00005A00" w:rsidRPr="00256982" w:rsidRDefault="00005A00" w:rsidP="00E43A59">
            <w:pPr>
              <w:pStyle w:val="TableText"/>
            </w:pPr>
            <w:r w:rsidRPr="00256982">
              <w:t>1.0</w:t>
            </w:r>
          </w:p>
        </w:tc>
        <w:tc>
          <w:tcPr>
            <w:tcW w:w="1391" w:type="dxa"/>
            <w:tcBorders>
              <w:top w:val="single" w:sz="4" w:space="0" w:color="365F91"/>
              <w:bottom w:val="single" w:sz="4" w:space="0" w:color="365F91"/>
            </w:tcBorders>
          </w:tcPr>
          <w:p w14:paraId="0EBC418A" w14:textId="77777777" w:rsidR="00005A00" w:rsidRPr="00256982" w:rsidRDefault="00005A00" w:rsidP="00E43A59">
            <w:pPr>
              <w:pStyle w:val="TableText"/>
            </w:pPr>
            <w:r w:rsidRPr="00256982">
              <w:t>1.0</w:t>
            </w:r>
          </w:p>
        </w:tc>
        <w:tc>
          <w:tcPr>
            <w:tcW w:w="1591" w:type="dxa"/>
            <w:tcBorders>
              <w:top w:val="single" w:sz="4" w:space="0" w:color="365F91"/>
              <w:bottom w:val="single" w:sz="4" w:space="0" w:color="365F91"/>
            </w:tcBorders>
            <w:shd w:val="clear" w:color="auto" w:fill="auto"/>
          </w:tcPr>
          <w:p w14:paraId="672AF6BD" w14:textId="77777777" w:rsidR="00005A00" w:rsidRPr="00256982" w:rsidRDefault="00005A00" w:rsidP="00E43A59">
            <w:pPr>
              <w:pStyle w:val="TableText"/>
            </w:pPr>
            <w:r w:rsidRPr="00256982">
              <w:t>IPCC (2006a), table 5.2</w:t>
            </w:r>
          </w:p>
        </w:tc>
      </w:tr>
      <w:tr w:rsidR="00005A00" w:rsidRPr="00256982" w14:paraId="159B4748" w14:textId="77777777" w:rsidTr="00714948">
        <w:tc>
          <w:tcPr>
            <w:tcW w:w="2435" w:type="dxa"/>
            <w:tcBorders>
              <w:top w:val="single" w:sz="4" w:space="0" w:color="365F91"/>
              <w:bottom w:val="single" w:sz="4" w:space="0" w:color="365F91"/>
            </w:tcBorders>
          </w:tcPr>
          <w:p w14:paraId="5C1232D6" w14:textId="77777777" w:rsidR="00005A00" w:rsidRPr="00256982" w:rsidRDefault="00005A00" w:rsidP="00AA14F1">
            <w:pPr>
              <w:pStyle w:val="TableText"/>
              <w:spacing w:before="50" w:after="50"/>
              <w:rPr>
                <w:rFonts w:cs="Arial"/>
                <w:szCs w:val="16"/>
              </w:rPr>
            </w:pPr>
            <w:r w:rsidRPr="00256982">
              <w:rPr>
                <w:rFonts w:cs="Arial"/>
                <w:szCs w:val="16"/>
              </w:rPr>
              <w:t>Molar ratio to convert from carbon to carbon dioxide</w:t>
            </w:r>
          </w:p>
        </w:tc>
        <w:tc>
          <w:tcPr>
            <w:tcW w:w="1559" w:type="dxa"/>
            <w:tcBorders>
              <w:top w:val="single" w:sz="4" w:space="0" w:color="365F91"/>
              <w:bottom w:val="single" w:sz="4" w:space="0" w:color="365F91"/>
            </w:tcBorders>
          </w:tcPr>
          <w:p w14:paraId="41352F5B" w14:textId="77777777" w:rsidR="00005A00" w:rsidRPr="00256982" w:rsidRDefault="00005A00" w:rsidP="00E43A59">
            <w:pPr>
              <w:pStyle w:val="TableText"/>
            </w:pPr>
            <w:r w:rsidRPr="00256982">
              <w:t>44/12</w:t>
            </w:r>
          </w:p>
        </w:tc>
        <w:tc>
          <w:tcPr>
            <w:tcW w:w="1586" w:type="dxa"/>
            <w:tcBorders>
              <w:top w:val="single" w:sz="4" w:space="0" w:color="365F91"/>
              <w:bottom w:val="single" w:sz="4" w:space="0" w:color="365F91"/>
            </w:tcBorders>
          </w:tcPr>
          <w:p w14:paraId="30669A50" w14:textId="77777777" w:rsidR="00005A00" w:rsidRPr="00256982" w:rsidRDefault="00005A00" w:rsidP="00E43A59">
            <w:pPr>
              <w:pStyle w:val="TableText"/>
            </w:pPr>
            <w:r w:rsidRPr="00256982">
              <w:t>44/12</w:t>
            </w:r>
          </w:p>
        </w:tc>
        <w:tc>
          <w:tcPr>
            <w:tcW w:w="1391" w:type="dxa"/>
            <w:tcBorders>
              <w:top w:val="single" w:sz="4" w:space="0" w:color="365F91"/>
              <w:bottom w:val="single" w:sz="4" w:space="0" w:color="365F91"/>
            </w:tcBorders>
          </w:tcPr>
          <w:p w14:paraId="6B3ACA3F" w14:textId="77777777" w:rsidR="00005A00" w:rsidRPr="00256982" w:rsidRDefault="00005A00" w:rsidP="00E43A59">
            <w:pPr>
              <w:pStyle w:val="TableText"/>
            </w:pPr>
            <w:r w:rsidRPr="00256982">
              <w:t>44/12</w:t>
            </w:r>
          </w:p>
        </w:tc>
        <w:tc>
          <w:tcPr>
            <w:tcW w:w="1591" w:type="dxa"/>
            <w:tcBorders>
              <w:top w:val="single" w:sz="4" w:space="0" w:color="365F91"/>
              <w:bottom w:val="single" w:sz="4" w:space="0" w:color="365F91"/>
            </w:tcBorders>
            <w:shd w:val="clear" w:color="auto" w:fill="auto"/>
          </w:tcPr>
          <w:p w14:paraId="496DD543" w14:textId="77777777" w:rsidR="00005A00" w:rsidRPr="00256982" w:rsidRDefault="00005A00" w:rsidP="00E43A59">
            <w:pPr>
              <w:pStyle w:val="TableText"/>
            </w:pPr>
          </w:p>
        </w:tc>
      </w:tr>
      <w:tr w:rsidR="00005A00" w:rsidRPr="00256982" w14:paraId="1B2333FD" w14:textId="77777777" w:rsidTr="00714948">
        <w:tc>
          <w:tcPr>
            <w:tcW w:w="2435" w:type="dxa"/>
            <w:tcBorders>
              <w:top w:val="single" w:sz="4" w:space="0" w:color="365F91"/>
              <w:bottom w:val="single" w:sz="4" w:space="0" w:color="365F91"/>
            </w:tcBorders>
          </w:tcPr>
          <w:p w14:paraId="010A43C4" w14:textId="77777777" w:rsidR="00005A00" w:rsidRPr="00256982" w:rsidRDefault="00005A00" w:rsidP="00AA14F1">
            <w:pPr>
              <w:pStyle w:val="TableText"/>
              <w:spacing w:before="50" w:after="50"/>
            </w:pPr>
            <w:r w:rsidRPr="00256982">
              <w:t>Overall carbon dioxide emission factor (kg/kt)</w:t>
            </w:r>
          </w:p>
        </w:tc>
        <w:tc>
          <w:tcPr>
            <w:tcW w:w="1559" w:type="dxa"/>
            <w:tcBorders>
              <w:top w:val="single" w:sz="4" w:space="0" w:color="365F91"/>
              <w:bottom w:val="single" w:sz="4" w:space="0" w:color="365F91"/>
            </w:tcBorders>
          </w:tcPr>
          <w:p w14:paraId="01D668EF" w14:textId="77777777" w:rsidR="00005A00" w:rsidRPr="00256982" w:rsidRDefault="00005A00" w:rsidP="00E43A59">
            <w:pPr>
              <w:pStyle w:val="TableText"/>
            </w:pPr>
            <w:r w:rsidRPr="00256982">
              <w:t>0.504</w:t>
            </w:r>
          </w:p>
        </w:tc>
        <w:tc>
          <w:tcPr>
            <w:tcW w:w="1586" w:type="dxa"/>
            <w:tcBorders>
              <w:top w:val="single" w:sz="4" w:space="0" w:color="365F91"/>
              <w:bottom w:val="single" w:sz="4" w:space="0" w:color="365F91"/>
            </w:tcBorders>
          </w:tcPr>
          <w:p w14:paraId="19844B2E" w14:textId="77777777" w:rsidR="00005A00" w:rsidRPr="00256982" w:rsidRDefault="00005A00" w:rsidP="00E43A59">
            <w:pPr>
              <w:pStyle w:val="TableText"/>
            </w:pPr>
            <w:r w:rsidRPr="00256982">
              <w:t>0.572</w:t>
            </w:r>
          </w:p>
        </w:tc>
        <w:tc>
          <w:tcPr>
            <w:tcW w:w="1391" w:type="dxa"/>
            <w:tcBorders>
              <w:top w:val="single" w:sz="4" w:space="0" w:color="365F91"/>
              <w:bottom w:val="single" w:sz="4" w:space="0" w:color="365F91"/>
            </w:tcBorders>
          </w:tcPr>
          <w:p w14:paraId="0344E516" w14:textId="77777777" w:rsidR="00005A00" w:rsidRPr="00256982" w:rsidRDefault="00005A00" w:rsidP="00E43A59">
            <w:pPr>
              <w:pStyle w:val="TableText"/>
            </w:pPr>
            <w:r w:rsidRPr="00256982">
              <w:t>0.165</w:t>
            </w:r>
          </w:p>
        </w:tc>
        <w:tc>
          <w:tcPr>
            <w:tcW w:w="1591" w:type="dxa"/>
            <w:tcBorders>
              <w:top w:val="single" w:sz="4" w:space="0" w:color="365F91"/>
              <w:bottom w:val="single" w:sz="4" w:space="0" w:color="365F91"/>
            </w:tcBorders>
            <w:shd w:val="clear" w:color="auto" w:fill="auto"/>
          </w:tcPr>
          <w:p w14:paraId="05153F1F" w14:textId="77777777" w:rsidR="00005A00" w:rsidRPr="00256982" w:rsidRDefault="00005A00" w:rsidP="00E43A59">
            <w:pPr>
              <w:pStyle w:val="TableText"/>
            </w:pPr>
          </w:p>
        </w:tc>
      </w:tr>
      <w:tr w:rsidR="00005A00" w:rsidRPr="00256982" w14:paraId="71799D21" w14:textId="77777777" w:rsidTr="00714948">
        <w:tc>
          <w:tcPr>
            <w:tcW w:w="2435" w:type="dxa"/>
            <w:tcBorders>
              <w:top w:val="single" w:sz="4" w:space="0" w:color="365F91"/>
              <w:bottom w:val="single" w:sz="4" w:space="0" w:color="365F91"/>
            </w:tcBorders>
          </w:tcPr>
          <w:p w14:paraId="308E27B6" w14:textId="77777777" w:rsidR="00005A00" w:rsidRPr="00256982" w:rsidRDefault="00005A00" w:rsidP="00AA14F1">
            <w:pPr>
              <w:pStyle w:val="TableText"/>
              <w:spacing w:before="50" w:after="50"/>
              <w:rPr>
                <w:rFonts w:cs="Arial"/>
                <w:szCs w:val="16"/>
              </w:rPr>
            </w:pPr>
            <w:r w:rsidRPr="00256982">
              <w:t>Methane emission factor (kg/kt) as directly referenced</w:t>
            </w:r>
          </w:p>
        </w:tc>
        <w:tc>
          <w:tcPr>
            <w:tcW w:w="1559" w:type="dxa"/>
            <w:tcBorders>
              <w:top w:val="single" w:sz="4" w:space="0" w:color="365F91"/>
              <w:bottom w:val="single" w:sz="4" w:space="0" w:color="365F91"/>
            </w:tcBorders>
          </w:tcPr>
          <w:p w14:paraId="589649E8" w14:textId="77777777" w:rsidR="00005A00" w:rsidRPr="00256982" w:rsidRDefault="00005A00" w:rsidP="00E43A59">
            <w:pPr>
              <w:pStyle w:val="TableText"/>
            </w:pPr>
            <w:r w:rsidRPr="00256982">
              <w:t>N/A</w:t>
            </w:r>
          </w:p>
        </w:tc>
        <w:tc>
          <w:tcPr>
            <w:tcW w:w="1586" w:type="dxa"/>
            <w:tcBorders>
              <w:top w:val="single" w:sz="4" w:space="0" w:color="365F91"/>
              <w:bottom w:val="single" w:sz="4" w:space="0" w:color="365F91"/>
            </w:tcBorders>
          </w:tcPr>
          <w:p w14:paraId="189E2C7D" w14:textId="77777777" w:rsidR="00005A00" w:rsidRPr="00256982" w:rsidRDefault="00005A00" w:rsidP="00E43A59">
            <w:pPr>
              <w:pStyle w:val="TableText"/>
            </w:pPr>
            <w:r w:rsidRPr="00256982">
              <w:t>N/A</w:t>
            </w:r>
          </w:p>
        </w:tc>
        <w:tc>
          <w:tcPr>
            <w:tcW w:w="1391" w:type="dxa"/>
            <w:tcBorders>
              <w:top w:val="single" w:sz="4" w:space="0" w:color="365F91"/>
              <w:bottom w:val="single" w:sz="4" w:space="0" w:color="365F91"/>
            </w:tcBorders>
          </w:tcPr>
          <w:p w14:paraId="071D7DC6" w14:textId="77777777" w:rsidR="00005A00" w:rsidRPr="00256982" w:rsidRDefault="00005A00" w:rsidP="00AA14F1">
            <w:pPr>
              <w:pStyle w:val="TableText"/>
              <w:spacing w:after="0"/>
            </w:pPr>
            <w:r w:rsidRPr="00256982">
              <w:t>9.7</w:t>
            </w:r>
          </w:p>
          <w:p w14:paraId="116EB78D" w14:textId="77777777" w:rsidR="00005A00" w:rsidRPr="00256982" w:rsidRDefault="00005A00" w:rsidP="00E43A59">
            <w:pPr>
              <w:pStyle w:val="TableText"/>
            </w:pPr>
            <w:r w:rsidRPr="00256982">
              <w:t>(section 5.4.2)</w:t>
            </w:r>
          </w:p>
        </w:tc>
        <w:tc>
          <w:tcPr>
            <w:tcW w:w="1591" w:type="dxa"/>
            <w:tcBorders>
              <w:top w:val="single" w:sz="4" w:space="0" w:color="365F91"/>
              <w:bottom w:val="single" w:sz="4" w:space="0" w:color="365F91"/>
            </w:tcBorders>
            <w:shd w:val="clear" w:color="auto" w:fill="auto"/>
          </w:tcPr>
          <w:p w14:paraId="5F844C8D" w14:textId="77777777" w:rsidR="00005A00" w:rsidRPr="00256982" w:rsidRDefault="00005A00" w:rsidP="00E43A59">
            <w:pPr>
              <w:pStyle w:val="TableText"/>
            </w:pPr>
            <w:r w:rsidRPr="00256982">
              <w:t>IPCC (2006a)</w:t>
            </w:r>
          </w:p>
        </w:tc>
      </w:tr>
      <w:tr w:rsidR="00005A00" w:rsidRPr="00256982" w14:paraId="0801BB45" w14:textId="77777777" w:rsidTr="00714948">
        <w:tc>
          <w:tcPr>
            <w:tcW w:w="2435" w:type="dxa"/>
            <w:tcBorders>
              <w:top w:val="single" w:sz="4" w:space="0" w:color="365F91"/>
              <w:bottom w:val="single" w:sz="4" w:space="0" w:color="365F91"/>
            </w:tcBorders>
          </w:tcPr>
          <w:p w14:paraId="618DE802" w14:textId="77777777" w:rsidR="00005A00" w:rsidRPr="00256982" w:rsidRDefault="00005A00" w:rsidP="00AA14F1">
            <w:pPr>
              <w:pStyle w:val="TableText"/>
              <w:spacing w:before="50" w:after="50"/>
            </w:pPr>
            <w:r w:rsidRPr="00256982">
              <w:t>Methane energy factor (kg gas/TJ)</w:t>
            </w:r>
          </w:p>
        </w:tc>
        <w:tc>
          <w:tcPr>
            <w:tcW w:w="1559" w:type="dxa"/>
            <w:tcBorders>
              <w:top w:val="single" w:sz="4" w:space="0" w:color="365F91"/>
              <w:bottom w:val="single" w:sz="4" w:space="0" w:color="365F91"/>
            </w:tcBorders>
          </w:tcPr>
          <w:p w14:paraId="1C0A79A8" w14:textId="77777777" w:rsidR="00005A00" w:rsidRPr="00256982" w:rsidRDefault="00005A00" w:rsidP="00AA14F1">
            <w:pPr>
              <w:pStyle w:val="TableText"/>
              <w:spacing w:after="0"/>
            </w:pPr>
            <w:r w:rsidRPr="00256982">
              <w:t>30</w:t>
            </w:r>
          </w:p>
          <w:p w14:paraId="58E9EF35" w14:textId="77777777" w:rsidR="00005A00" w:rsidRPr="00256982" w:rsidRDefault="00005A00" w:rsidP="00E43A59">
            <w:pPr>
              <w:pStyle w:val="TableText"/>
            </w:pPr>
            <w:r w:rsidRPr="00256982">
              <w:t>(table 2.3, Industrial wastes)</w:t>
            </w:r>
          </w:p>
        </w:tc>
        <w:tc>
          <w:tcPr>
            <w:tcW w:w="1586" w:type="dxa"/>
            <w:tcBorders>
              <w:top w:val="single" w:sz="4" w:space="0" w:color="365F91"/>
              <w:bottom w:val="single" w:sz="4" w:space="0" w:color="365F91"/>
            </w:tcBorders>
          </w:tcPr>
          <w:p w14:paraId="218AA18B" w14:textId="77777777" w:rsidR="00005A00" w:rsidRPr="00256982" w:rsidRDefault="00005A00" w:rsidP="00AA14F1">
            <w:pPr>
              <w:pStyle w:val="TableText"/>
              <w:spacing w:after="0"/>
            </w:pPr>
            <w:r w:rsidRPr="00256982">
              <w:t>300</w:t>
            </w:r>
          </w:p>
          <w:p w14:paraId="5E640A71" w14:textId="734FFC1E" w:rsidR="00005A00" w:rsidRPr="00256982" w:rsidRDefault="00005A00" w:rsidP="00CF5C04">
            <w:pPr>
              <w:pStyle w:val="TableText"/>
            </w:pPr>
            <w:r w:rsidRPr="00256982">
              <w:t>(table 2.4, Municipal/Industrial wastes)</w:t>
            </w:r>
          </w:p>
        </w:tc>
        <w:tc>
          <w:tcPr>
            <w:tcW w:w="1391" w:type="dxa"/>
            <w:tcBorders>
              <w:top w:val="single" w:sz="4" w:space="0" w:color="365F91"/>
              <w:bottom w:val="single" w:sz="4" w:space="0" w:color="365F91"/>
            </w:tcBorders>
          </w:tcPr>
          <w:p w14:paraId="3EF16CB0" w14:textId="77777777" w:rsidR="00005A00" w:rsidRPr="00256982" w:rsidRDefault="00005A00" w:rsidP="00E43A59">
            <w:pPr>
              <w:pStyle w:val="TableText"/>
            </w:pPr>
            <w:r w:rsidRPr="00256982">
              <w:t>N/A</w:t>
            </w:r>
          </w:p>
        </w:tc>
        <w:tc>
          <w:tcPr>
            <w:tcW w:w="1591" w:type="dxa"/>
            <w:tcBorders>
              <w:top w:val="single" w:sz="4" w:space="0" w:color="365F91"/>
              <w:bottom w:val="single" w:sz="4" w:space="0" w:color="365F91"/>
            </w:tcBorders>
            <w:shd w:val="clear" w:color="auto" w:fill="auto"/>
          </w:tcPr>
          <w:p w14:paraId="4EE37B65" w14:textId="77777777" w:rsidR="00005A00" w:rsidRPr="00256982" w:rsidRDefault="00005A00" w:rsidP="00E43A59">
            <w:pPr>
              <w:pStyle w:val="TableText"/>
            </w:pPr>
            <w:r w:rsidRPr="00256982">
              <w:t>IPCC (2006b)</w:t>
            </w:r>
          </w:p>
        </w:tc>
      </w:tr>
      <w:tr w:rsidR="00005A00" w:rsidRPr="00256982" w14:paraId="2095BCBF" w14:textId="77777777" w:rsidTr="00714948">
        <w:tc>
          <w:tcPr>
            <w:tcW w:w="2435" w:type="dxa"/>
            <w:tcBorders>
              <w:top w:val="single" w:sz="4" w:space="0" w:color="365F91"/>
              <w:bottom w:val="single" w:sz="4" w:space="0" w:color="365F91"/>
            </w:tcBorders>
          </w:tcPr>
          <w:p w14:paraId="4579F6EB" w14:textId="77777777" w:rsidR="00005A00" w:rsidRPr="00256982" w:rsidRDefault="00005A00" w:rsidP="00AA14F1">
            <w:pPr>
              <w:pStyle w:val="TableText"/>
              <w:spacing w:before="50" w:after="50"/>
            </w:pPr>
            <w:r w:rsidRPr="00256982">
              <w:t>Methane (MJ/kg waste)</w:t>
            </w:r>
          </w:p>
        </w:tc>
        <w:tc>
          <w:tcPr>
            <w:tcW w:w="1559" w:type="dxa"/>
            <w:tcBorders>
              <w:top w:val="single" w:sz="4" w:space="0" w:color="365F91"/>
              <w:bottom w:val="single" w:sz="4" w:space="0" w:color="365F91"/>
            </w:tcBorders>
          </w:tcPr>
          <w:p w14:paraId="73027FB1" w14:textId="77777777" w:rsidR="00005A00" w:rsidRPr="00256982" w:rsidRDefault="00005A00" w:rsidP="00E43A59">
            <w:pPr>
              <w:pStyle w:val="TableText"/>
            </w:pPr>
            <w:r w:rsidRPr="00256982">
              <w:t>12.8</w:t>
            </w:r>
          </w:p>
        </w:tc>
        <w:tc>
          <w:tcPr>
            <w:tcW w:w="1586" w:type="dxa"/>
            <w:tcBorders>
              <w:top w:val="single" w:sz="4" w:space="0" w:color="365F91"/>
              <w:bottom w:val="single" w:sz="4" w:space="0" w:color="365F91"/>
            </w:tcBorders>
          </w:tcPr>
          <w:p w14:paraId="41E99FD6" w14:textId="77777777" w:rsidR="00005A00" w:rsidRPr="00256982" w:rsidRDefault="00005A00" w:rsidP="00E43A59">
            <w:pPr>
              <w:pStyle w:val="TableText"/>
            </w:pPr>
            <w:r w:rsidRPr="00256982">
              <w:t>16.8</w:t>
            </w:r>
          </w:p>
        </w:tc>
        <w:tc>
          <w:tcPr>
            <w:tcW w:w="1391" w:type="dxa"/>
            <w:tcBorders>
              <w:top w:val="single" w:sz="4" w:space="0" w:color="365F91"/>
              <w:bottom w:val="single" w:sz="4" w:space="0" w:color="365F91"/>
            </w:tcBorders>
          </w:tcPr>
          <w:p w14:paraId="3AA5BC5E" w14:textId="77777777" w:rsidR="00005A00" w:rsidRPr="00256982" w:rsidRDefault="00005A00" w:rsidP="00E43A59">
            <w:pPr>
              <w:pStyle w:val="TableText"/>
            </w:pPr>
            <w:r w:rsidRPr="00256982">
              <w:t>N/A</w:t>
            </w:r>
          </w:p>
        </w:tc>
        <w:tc>
          <w:tcPr>
            <w:tcW w:w="1591" w:type="dxa"/>
            <w:tcBorders>
              <w:top w:val="single" w:sz="4" w:space="0" w:color="365F91"/>
              <w:bottom w:val="single" w:sz="4" w:space="0" w:color="365F91"/>
            </w:tcBorders>
            <w:shd w:val="clear" w:color="auto" w:fill="auto"/>
          </w:tcPr>
          <w:p w14:paraId="03384402" w14:textId="77777777" w:rsidR="00005A00" w:rsidRPr="00256982" w:rsidRDefault="00005A00" w:rsidP="00E43A59">
            <w:pPr>
              <w:pStyle w:val="TableText"/>
            </w:pPr>
            <w:r w:rsidRPr="00256982">
              <w:t>New Zealand Ministry of Commerce (1993)</w:t>
            </w:r>
          </w:p>
        </w:tc>
      </w:tr>
      <w:tr w:rsidR="00005A00" w:rsidRPr="00256982" w14:paraId="4DFFB937" w14:textId="77777777" w:rsidTr="00714948">
        <w:tc>
          <w:tcPr>
            <w:tcW w:w="2435" w:type="dxa"/>
            <w:tcBorders>
              <w:top w:val="single" w:sz="4" w:space="0" w:color="365F91"/>
              <w:bottom w:val="single" w:sz="4" w:space="0" w:color="365F91"/>
            </w:tcBorders>
          </w:tcPr>
          <w:p w14:paraId="2B76B1D3" w14:textId="77777777" w:rsidR="00005A00" w:rsidRPr="00256982" w:rsidRDefault="00005A00" w:rsidP="00AA14F1">
            <w:pPr>
              <w:pStyle w:val="TableText"/>
              <w:spacing w:before="50" w:after="50"/>
            </w:pPr>
            <w:r w:rsidRPr="00256982">
              <w:t>Methane emission factor (kg/kt) calculated as a quotient of the above parameters</w:t>
            </w:r>
          </w:p>
        </w:tc>
        <w:tc>
          <w:tcPr>
            <w:tcW w:w="1559" w:type="dxa"/>
            <w:tcBorders>
              <w:top w:val="single" w:sz="4" w:space="0" w:color="365F91"/>
              <w:bottom w:val="single" w:sz="4" w:space="0" w:color="365F91"/>
            </w:tcBorders>
          </w:tcPr>
          <w:p w14:paraId="0390AC3F" w14:textId="77777777" w:rsidR="00005A00" w:rsidRPr="00256982" w:rsidRDefault="00005A00" w:rsidP="00E43A59">
            <w:pPr>
              <w:pStyle w:val="TableText"/>
            </w:pPr>
            <w:r w:rsidRPr="00256982">
              <w:t>2.34</w:t>
            </w:r>
          </w:p>
        </w:tc>
        <w:tc>
          <w:tcPr>
            <w:tcW w:w="1586" w:type="dxa"/>
            <w:tcBorders>
              <w:top w:val="single" w:sz="4" w:space="0" w:color="365F91"/>
              <w:bottom w:val="single" w:sz="4" w:space="0" w:color="365F91"/>
            </w:tcBorders>
          </w:tcPr>
          <w:p w14:paraId="602C9007" w14:textId="77777777" w:rsidR="00005A00" w:rsidRPr="00256982" w:rsidRDefault="00005A00" w:rsidP="00E43A59">
            <w:pPr>
              <w:pStyle w:val="TableText"/>
            </w:pPr>
            <w:r w:rsidRPr="00256982">
              <w:t>17.86</w:t>
            </w:r>
          </w:p>
        </w:tc>
        <w:tc>
          <w:tcPr>
            <w:tcW w:w="1391" w:type="dxa"/>
            <w:tcBorders>
              <w:top w:val="single" w:sz="4" w:space="0" w:color="365F91"/>
              <w:bottom w:val="single" w:sz="4" w:space="0" w:color="365F91"/>
            </w:tcBorders>
          </w:tcPr>
          <w:p w14:paraId="289E3DA7" w14:textId="77777777" w:rsidR="00005A00" w:rsidRPr="00256982" w:rsidRDefault="00005A00" w:rsidP="00E43A59">
            <w:pPr>
              <w:pStyle w:val="TableText"/>
            </w:pPr>
            <w:r w:rsidRPr="00256982">
              <w:t>N/A</w:t>
            </w:r>
          </w:p>
        </w:tc>
        <w:tc>
          <w:tcPr>
            <w:tcW w:w="1591" w:type="dxa"/>
            <w:tcBorders>
              <w:top w:val="single" w:sz="4" w:space="0" w:color="365F91"/>
              <w:bottom w:val="single" w:sz="4" w:space="0" w:color="365F91"/>
            </w:tcBorders>
            <w:shd w:val="clear" w:color="auto" w:fill="auto"/>
          </w:tcPr>
          <w:p w14:paraId="59AFF2BA" w14:textId="77777777" w:rsidR="00005A00" w:rsidRPr="00256982" w:rsidRDefault="00005A00" w:rsidP="00E43A59">
            <w:pPr>
              <w:pStyle w:val="TableText"/>
            </w:pPr>
          </w:p>
        </w:tc>
      </w:tr>
      <w:tr w:rsidR="00005A00" w:rsidRPr="00256982" w14:paraId="78B87A2F" w14:textId="77777777" w:rsidTr="00714948">
        <w:tc>
          <w:tcPr>
            <w:tcW w:w="2435" w:type="dxa"/>
            <w:tcBorders>
              <w:top w:val="single" w:sz="4" w:space="0" w:color="365F91"/>
              <w:bottom w:val="single" w:sz="4" w:space="0" w:color="365F91"/>
            </w:tcBorders>
          </w:tcPr>
          <w:p w14:paraId="66713F2E" w14:textId="77777777" w:rsidR="00005A00" w:rsidRPr="00256982" w:rsidRDefault="00005A00" w:rsidP="00AA14F1">
            <w:pPr>
              <w:pStyle w:val="TableText"/>
              <w:spacing w:before="50" w:after="50"/>
            </w:pPr>
            <w:r w:rsidRPr="00256982">
              <w:t>Nitrous oxide emission factor (kg/kt)</w:t>
            </w:r>
          </w:p>
        </w:tc>
        <w:tc>
          <w:tcPr>
            <w:tcW w:w="1559" w:type="dxa"/>
            <w:tcBorders>
              <w:top w:val="single" w:sz="4" w:space="0" w:color="365F91"/>
              <w:bottom w:val="single" w:sz="4" w:space="0" w:color="365F91"/>
            </w:tcBorders>
          </w:tcPr>
          <w:p w14:paraId="2191BD80" w14:textId="77777777" w:rsidR="00005A00" w:rsidRPr="00256982" w:rsidRDefault="00005A00" w:rsidP="00E43A59">
            <w:pPr>
              <w:pStyle w:val="TableText"/>
            </w:pPr>
            <w:r w:rsidRPr="00256982">
              <w:t>100</w:t>
            </w:r>
          </w:p>
        </w:tc>
        <w:tc>
          <w:tcPr>
            <w:tcW w:w="1586" w:type="dxa"/>
            <w:tcBorders>
              <w:top w:val="single" w:sz="4" w:space="0" w:color="365F91"/>
              <w:bottom w:val="single" w:sz="4" w:space="0" w:color="365F91"/>
            </w:tcBorders>
          </w:tcPr>
          <w:p w14:paraId="6F1F9FA7" w14:textId="77777777" w:rsidR="00005A00" w:rsidRPr="00256982" w:rsidRDefault="00005A00" w:rsidP="00E43A59">
            <w:pPr>
              <w:pStyle w:val="TableText"/>
            </w:pPr>
            <w:r w:rsidRPr="00256982">
              <w:t>60</w:t>
            </w:r>
          </w:p>
        </w:tc>
        <w:tc>
          <w:tcPr>
            <w:tcW w:w="1391" w:type="dxa"/>
            <w:tcBorders>
              <w:top w:val="single" w:sz="4" w:space="0" w:color="365F91"/>
              <w:bottom w:val="single" w:sz="4" w:space="0" w:color="365F91"/>
            </w:tcBorders>
          </w:tcPr>
          <w:p w14:paraId="2B3CC6CD" w14:textId="77777777" w:rsidR="00005A00" w:rsidRPr="00256982" w:rsidRDefault="00005A00" w:rsidP="00E43A59">
            <w:pPr>
              <w:pStyle w:val="TableText"/>
            </w:pPr>
            <w:r w:rsidRPr="00256982">
              <w:t>900</w:t>
            </w:r>
          </w:p>
        </w:tc>
        <w:tc>
          <w:tcPr>
            <w:tcW w:w="1591" w:type="dxa"/>
            <w:tcBorders>
              <w:top w:val="single" w:sz="4" w:space="0" w:color="365F91"/>
              <w:bottom w:val="single" w:sz="4" w:space="0" w:color="365F91"/>
            </w:tcBorders>
            <w:shd w:val="clear" w:color="auto" w:fill="auto"/>
          </w:tcPr>
          <w:p w14:paraId="55A36723" w14:textId="77777777" w:rsidR="00005A00" w:rsidRPr="00256982" w:rsidRDefault="00005A00" w:rsidP="00E43A59">
            <w:pPr>
              <w:pStyle w:val="TableText"/>
            </w:pPr>
            <w:r w:rsidRPr="00256982">
              <w:t>IPCC (2006b), table 5.6</w:t>
            </w:r>
          </w:p>
        </w:tc>
      </w:tr>
    </w:tbl>
    <w:p w14:paraId="5834606C" w14:textId="77777777" w:rsidR="00005A00" w:rsidRPr="00256982" w:rsidRDefault="00005A00" w:rsidP="00AA14F1">
      <w:pPr>
        <w:pStyle w:val="Noteundertable"/>
      </w:pPr>
      <w:r w:rsidRPr="00256982">
        <w:rPr>
          <w:b/>
        </w:rPr>
        <w:t>Note:</w:t>
      </w:r>
      <w:r w:rsidRPr="00256982">
        <w:t xml:space="preserve"> N/A = Not applicable.</w:t>
      </w:r>
    </w:p>
    <w:p w14:paraId="6C63F91B" w14:textId="77777777" w:rsidR="00005A00" w:rsidRPr="00256982" w:rsidRDefault="00005A00" w:rsidP="00A34680">
      <w:pPr>
        <w:pStyle w:val="BodyText"/>
        <w:spacing w:after="100"/>
      </w:pPr>
      <w:r w:rsidRPr="00256982">
        <w:lastRenderedPageBreak/>
        <w:t xml:space="preserve">These parameters are as given in the IPCC Guidelines (IPCC, 2006a, 2006b), noting that: </w:t>
      </w:r>
    </w:p>
    <w:p w14:paraId="525873E6" w14:textId="10200AD7" w:rsidR="00005A00" w:rsidRPr="00256982" w:rsidRDefault="00005A00" w:rsidP="00A34680">
      <w:pPr>
        <w:pStyle w:val="Bullet"/>
        <w:numPr>
          <w:ilvl w:val="0"/>
          <w:numId w:val="8"/>
        </w:numPr>
        <w:spacing w:after="100"/>
      </w:pPr>
      <w:r w:rsidRPr="00256982">
        <w:t>some parameters have been chosen as being the closest available to the specific type of</w:t>
      </w:r>
      <w:r w:rsidR="00A34680" w:rsidRPr="00256982">
        <w:t> </w:t>
      </w:r>
      <w:r w:rsidRPr="00256982">
        <w:t>waste</w:t>
      </w:r>
    </w:p>
    <w:p w14:paraId="26631865" w14:textId="77777777" w:rsidR="00005A00" w:rsidRPr="00256982" w:rsidRDefault="00005A00" w:rsidP="00A34680">
      <w:pPr>
        <w:pStyle w:val="Bullet"/>
        <w:numPr>
          <w:ilvl w:val="0"/>
          <w:numId w:val="8"/>
        </w:numPr>
        <w:spacing w:after="100"/>
      </w:pPr>
      <w:r w:rsidRPr="00256982">
        <w:t>where a range is given, the mid-point is used</w:t>
      </w:r>
    </w:p>
    <w:p w14:paraId="42ABAC5D" w14:textId="77777777" w:rsidR="00005A00" w:rsidRPr="00256982" w:rsidRDefault="00005A00" w:rsidP="00005A00">
      <w:pPr>
        <w:pStyle w:val="Bullet"/>
        <w:numPr>
          <w:ilvl w:val="0"/>
          <w:numId w:val="8"/>
        </w:numPr>
      </w:pPr>
      <w:r w:rsidRPr="00256982">
        <w:t>CH</w:t>
      </w:r>
      <w:r w:rsidRPr="00256982">
        <w:rPr>
          <w:vertAlign w:val="subscript"/>
        </w:rPr>
        <w:t>4</w:t>
      </w:r>
      <w:r w:rsidRPr="00256982">
        <w:t xml:space="preserve"> emission factors for hazardous and clinical waste (IPCC, 2006b) have been converted from a terajoule (TJ) basis to a kt basis using factors from the </w:t>
      </w:r>
      <w:r w:rsidRPr="00256982">
        <w:rPr>
          <w:i/>
        </w:rPr>
        <w:t>New Zealand Energy Information Handbook</w:t>
      </w:r>
      <w:r w:rsidRPr="00256982">
        <w:t xml:space="preserve"> (</w:t>
      </w:r>
      <w:r w:rsidRPr="00256982">
        <w:rPr>
          <w:rFonts w:cs="Arial"/>
          <w:szCs w:val="16"/>
        </w:rPr>
        <w:t>New Zealand Ministry of Commerce,</w:t>
      </w:r>
      <w:r w:rsidRPr="00256982">
        <w:t xml:space="preserve"> 1993), which only had gross calorific values.</w:t>
      </w:r>
    </w:p>
    <w:p w14:paraId="4F00452D" w14:textId="77777777" w:rsidR="00005A00" w:rsidRPr="00256982" w:rsidRDefault="00005A00" w:rsidP="00005A00">
      <w:pPr>
        <w:pStyle w:val="BodyText"/>
      </w:pPr>
      <w:r w:rsidRPr="00256982">
        <w:t>Quarantine waste is a significant proportion of the material incinerated in New Zealand. There is no IPCC default category that specifies quarantine waste. The composition is closest to clinical waste, so the emission factors for clinical waste have been used.</w:t>
      </w:r>
    </w:p>
    <w:p w14:paraId="586A9D92" w14:textId="77777777" w:rsidR="00005A00" w:rsidRPr="00256982" w:rsidRDefault="00005A00" w:rsidP="00005A00">
      <w:pPr>
        <w:pStyle w:val="Heading5"/>
      </w:pPr>
      <w:r w:rsidRPr="00256982">
        <w:t>Open burning (5.C.2)</w:t>
      </w:r>
    </w:p>
    <w:p w14:paraId="0D2BDC29" w14:textId="77777777" w:rsidR="00005A00" w:rsidRPr="00256982" w:rsidRDefault="00005A00" w:rsidP="00005A00">
      <w:pPr>
        <w:pStyle w:val="BodyText"/>
      </w:pPr>
      <w:r w:rsidRPr="00256982">
        <w:t>Parameters are used as detailed in table 7.4.5.</w:t>
      </w:r>
    </w:p>
    <w:p w14:paraId="66A9B682" w14:textId="77777777" w:rsidR="00005A00" w:rsidRPr="00256982" w:rsidRDefault="00005A00" w:rsidP="00005A00">
      <w:pPr>
        <w:pStyle w:val="Table"/>
      </w:pPr>
      <w:bookmarkStart w:id="2358" w:name="_Toc5269576"/>
      <w:r w:rsidRPr="00256982">
        <w:t>Table 7.4.5</w:t>
      </w:r>
      <w:r w:rsidRPr="00256982">
        <w:tab/>
        <w:t>Parameters used to estimate emissions from open burning</w:t>
      </w:r>
      <w:bookmarkEnd w:id="2358"/>
    </w:p>
    <w:tbl>
      <w:tblPr>
        <w:tblW w:w="8505" w:type="dxa"/>
        <w:tblInd w:w="108" w:type="dxa"/>
        <w:tblBorders>
          <w:top w:val="single" w:sz="6" w:space="0" w:color="365F91"/>
          <w:bottom w:val="single" w:sz="6" w:space="0" w:color="365F91"/>
          <w:insideH w:val="single" w:sz="6" w:space="0" w:color="365F91"/>
        </w:tblBorders>
        <w:tblLook w:val="04A0" w:firstRow="1" w:lastRow="0" w:firstColumn="1" w:lastColumn="0" w:noHBand="0" w:noVBand="1"/>
      </w:tblPr>
      <w:tblGrid>
        <w:gridCol w:w="4253"/>
        <w:gridCol w:w="1984"/>
        <w:gridCol w:w="2268"/>
      </w:tblGrid>
      <w:tr w:rsidR="00005A00" w:rsidRPr="00256982" w14:paraId="18143612" w14:textId="77777777" w:rsidTr="00A34680">
        <w:tc>
          <w:tcPr>
            <w:tcW w:w="4253" w:type="dxa"/>
            <w:tcBorders>
              <w:top w:val="single" w:sz="4" w:space="0" w:color="365F91"/>
              <w:left w:val="nil"/>
              <w:bottom w:val="single" w:sz="4" w:space="0" w:color="365F91"/>
              <w:right w:val="nil"/>
            </w:tcBorders>
            <w:shd w:val="clear" w:color="000000" w:fill="365F91"/>
          </w:tcPr>
          <w:p w14:paraId="17CB7A1D" w14:textId="77777777" w:rsidR="00005A00" w:rsidRPr="00256982" w:rsidRDefault="00005A00" w:rsidP="00AA14F1">
            <w:pPr>
              <w:pStyle w:val="TableTextBold"/>
              <w:keepNext/>
              <w:spacing w:before="50" w:after="50"/>
              <w:rPr>
                <w:noProof w:val="0"/>
                <w:color w:val="FFFFFF"/>
              </w:rPr>
            </w:pPr>
            <w:r w:rsidRPr="00256982">
              <w:rPr>
                <w:noProof w:val="0"/>
                <w:color w:val="FFFFFF"/>
              </w:rPr>
              <w:t>Parameter</w:t>
            </w:r>
          </w:p>
        </w:tc>
        <w:tc>
          <w:tcPr>
            <w:tcW w:w="1984" w:type="dxa"/>
            <w:tcBorders>
              <w:top w:val="single" w:sz="4" w:space="0" w:color="365F91"/>
              <w:left w:val="nil"/>
              <w:bottom w:val="single" w:sz="4" w:space="0" w:color="365F91"/>
              <w:right w:val="nil"/>
            </w:tcBorders>
            <w:shd w:val="clear" w:color="000000" w:fill="365F91"/>
          </w:tcPr>
          <w:p w14:paraId="741858B0" w14:textId="77777777" w:rsidR="00005A00" w:rsidRPr="00256982" w:rsidRDefault="00005A00" w:rsidP="00A34680">
            <w:pPr>
              <w:pStyle w:val="TableTextBold"/>
              <w:keepNext/>
              <w:spacing w:before="50" w:after="50"/>
              <w:jc w:val="center"/>
              <w:rPr>
                <w:noProof w:val="0"/>
                <w:color w:val="FFFFFF"/>
              </w:rPr>
            </w:pPr>
            <w:r w:rsidRPr="00256982">
              <w:rPr>
                <w:noProof w:val="0"/>
                <w:color w:val="FFFFFF"/>
              </w:rPr>
              <w:t>Value</w:t>
            </w:r>
          </w:p>
        </w:tc>
        <w:tc>
          <w:tcPr>
            <w:tcW w:w="2268" w:type="dxa"/>
            <w:tcBorders>
              <w:top w:val="single" w:sz="4" w:space="0" w:color="365F91"/>
              <w:left w:val="nil"/>
              <w:bottom w:val="single" w:sz="4" w:space="0" w:color="365F91"/>
              <w:right w:val="nil"/>
            </w:tcBorders>
            <w:shd w:val="clear" w:color="000000" w:fill="365F91"/>
          </w:tcPr>
          <w:p w14:paraId="650F53F1" w14:textId="77777777" w:rsidR="00005A00" w:rsidRPr="00256982" w:rsidRDefault="00005A00" w:rsidP="00AA14F1">
            <w:pPr>
              <w:pStyle w:val="TableTextBold"/>
              <w:keepNext/>
              <w:spacing w:before="50" w:after="50"/>
              <w:rPr>
                <w:noProof w:val="0"/>
                <w:color w:val="FFFFFF"/>
              </w:rPr>
            </w:pPr>
            <w:r w:rsidRPr="00256982">
              <w:rPr>
                <w:noProof w:val="0"/>
                <w:color w:val="FFFFFF"/>
              </w:rPr>
              <w:t>Source</w:t>
            </w:r>
          </w:p>
        </w:tc>
      </w:tr>
      <w:tr w:rsidR="00005A00" w:rsidRPr="00256982" w14:paraId="6E0532F0" w14:textId="77777777" w:rsidTr="00A34680">
        <w:trPr>
          <w:trHeight w:val="127"/>
        </w:trPr>
        <w:tc>
          <w:tcPr>
            <w:tcW w:w="4253" w:type="dxa"/>
            <w:tcBorders>
              <w:top w:val="single" w:sz="4" w:space="0" w:color="365F91"/>
              <w:bottom w:val="single" w:sz="4" w:space="0" w:color="365F91"/>
            </w:tcBorders>
            <w:shd w:val="clear" w:color="auto" w:fill="FFFFFF"/>
          </w:tcPr>
          <w:p w14:paraId="5A6B0B22" w14:textId="77777777" w:rsidR="00005A00" w:rsidRPr="00256982" w:rsidRDefault="00005A00" w:rsidP="00AA14F1">
            <w:pPr>
              <w:pStyle w:val="TableText"/>
              <w:spacing w:before="50" w:after="50"/>
              <w:rPr>
                <w:rFonts w:cs="Arial"/>
                <w:b/>
                <w:bCs/>
              </w:rPr>
            </w:pPr>
            <w:r w:rsidRPr="00256982">
              <w:rPr>
                <w:rFonts w:cs="Arial"/>
                <w:b/>
                <w:bCs/>
              </w:rPr>
              <w:t>Carbon dioxide</w:t>
            </w:r>
          </w:p>
        </w:tc>
        <w:tc>
          <w:tcPr>
            <w:tcW w:w="1984" w:type="dxa"/>
            <w:tcBorders>
              <w:top w:val="single" w:sz="4" w:space="0" w:color="365F91"/>
              <w:bottom w:val="single" w:sz="4" w:space="0" w:color="365F91"/>
            </w:tcBorders>
            <w:shd w:val="clear" w:color="auto" w:fill="FFFFFF"/>
          </w:tcPr>
          <w:p w14:paraId="5796F2D7" w14:textId="77777777" w:rsidR="00005A00" w:rsidRPr="00256982" w:rsidRDefault="00005A00" w:rsidP="00AA14F1">
            <w:pPr>
              <w:pStyle w:val="TableText"/>
              <w:spacing w:before="50" w:after="50"/>
              <w:ind w:right="827"/>
              <w:jc w:val="right"/>
              <w:rPr>
                <w:rFonts w:cs="Arial"/>
              </w:rPr>
            </w:pPr>
          </w:p>
        </w:tc>
        <w:tc>
          <w:tcPr>
            <w:tcW w:w="2268" w:type="dxa"/>
            <w:tcBorders>
              <w:top w:val="single" w:sz="4" w:space="0" w:color="365F91"/>
              <w:bottom w:val="single" w:sz="4" w:space="0" w:color="365F91"/>
            </w:tcBorders>
            <w:shd w:val="clear" w:color="auto" w:fill="FFFFFF"/>
          </w:tcPr>
          <w:p w14:paraId="54EEF3A0" w14:textId="77777777" w:rsidR="00005A00" w:rsidRPr="00256982" w:rsidRDefault="00005A00" w:rsidP="00A34680">
            <w:pPr>
              <w:pStyle w:val="TableText"/>
              <w:spacing w:before="50" w:after="50"/>
              <w:jc w:val="right"/>
              <w:rPr>
                <w:rFonts w:cs="Arial"/>
              </w:rPr>
            </w:pPr>
          </w:p>
        </w:tc>
      </w:tr>
      <w:tr w:rsidR="00005A00" w:rsidRPr="00256982" w14:paraId="2852BD36" w14:textId="77777777" w:rsidTr="00A34680">
        <w:trPr>
          <w:trHeight w:val="127"/>
        </w:trPr>
        <w:tc>
          <w:tcPr>
            <w:tcW w:w="4253" w:type="dxa"/>
            <w:tcBorders>
              <w:top w:val="single" w:sz="4" w:space="0" w:color="365F91"/>
              <w:bottom w:val="single" w:sz="4" w:space="0" w:color="365F91"/>
            </w:tcBorders>
            <w:shd w:val="clear" w:color="auto" w:fill="FFFFFF"/>
          </w:tcPr>
          <w:p w14:paraId="58801E04" w14:textId="286C8B41" w:rsidR="00005A00" w:rsidRPr="00256982" w:rsidRDefault="00005A00" w:rsidP="005503CE">
            <w:pPr>
              <w:pStyle w:val="TableText"/>
              <w:spacing w:before="50" w:after="50"/>
              <w:ind w:left="227"/>
              <w:rPr>
                <w:rFonts w:cs="Arial"/>
                <w:bCs/>
              </w:rPr>
            </w:pPr>
            <w:r w:rsidRPr="00256982">
              <w:rPr>
                <w:rFonts w:cs="Arial"/>
                <w:bCs/>
              </w:rPr>
              <w:t>Dry matter content (%)</w:t>
            </w:r>
          </w:p>
        </w:tc>
        <w:tc>
          <w:tcPr>
            <w:tcW w:w="1984" w:type="dxa"/>
            <w:tcBorders>
              <w:top w:val="single" w:sz="4" w:space="0" w:color="365F91"/>
              <w:bottom w:val="single" w:sz="4" w:space="0" w:color="365F91"/>
            </w:tcBorders>
            <w:shd w:val="clear" w:color="auto" w:fill="FFFFFF"/>
          </w:tcPr>
          <w:p w14:paraId="460C70F8" w14:textId="77777777" w:rsidR="00005A00" w:rsidRPr="00256982" w:rsidRDefault="00005A00" w:rsidP="00AA14F1">
            <w:pPr>
              <w:pStyle w:val="TableText"/>
              <w:spacing w:before="50" w:after="50"/>
              <w:ind w:right="827"/>
              <w:jc w:val="right"/>
              <w:rPr>
                <w:rFonts w:cs="Arial"/>
              </w:rPr>
            </w:pPr>
            <w:r w:rsidRPr="00256982">
              <w:rPr>
                <w:rFonts w:cs="Arial"/>
              </w:rPr>
              <w:t>76.9</w:t>
            </w:r>
          </w:p>
        </w:tc>
        <w:tc>
          <w:tcPr>
            <w:tcW w:w="2268" w:type="dxa"/>
            <w:tcBorders>
              <w:top w:val="single" w:sz="4" w:space="0" w:color="365F91"/>
              <w:bottom w:val="single" w:sz="4" w:space="0" w:color="365F91"/>
            </w:tcBorders>
            <w:shd w:val="clear" w:color="auto" w:fill="FFFFFF"/>
          </w:tcPr>
          <w:p w14:paraId="6656BB0D" w14:textId="77777777" w:rsidR="00005A00" w:rsidRPr="00256982" w:rsidRDefault="00005A00" w:rsidP="00A34680">
            <w:pPr>
              <w:pStyle w:val="TableText"/>
              <w:spacing w:before="50" w:after="50"/>
              <w:rPr>
                <w:rFonts w:cs="Arial"/>
              </w:rPr>
            </w:pPr>
            <w:r w:rsidRPr="00256982">
              <w:rPr>
                <w:rFonts w:cs="Arial"/>
              </w:rPr>
              <w:t>Calculated (see table 7.4.3)</w:t>
            </w:r>
          </w:p>
        </w:tc>
      </w:tr>
      <w:tr w:rsidR="00005A00" w:rsidRPr="00256982" w14:paraId="2128E161" w14:textId="77777777" w:rsidTr="00A34680">
        <w:trPr>
          <w:trHeight w:val="127"/>
        </w:trPr>
        <w:tc>
          <w:tcPr>
            <w:tcW w:w="4253" w:type="dxa"/>
            <w:tcBorders>
              <w:top w:val="single" w:sz="4" w:space="0" w:color="365F91"/>
              <w:bottom w:val="single" w:sz="4" w:space="0" w:color="365F91"/>
            </w:tcBorders>
            <w:shd w:val="clear" w:color="auto" w:fill="FFFFFF"/>
          </w:tcPr>
          <w:p w14:paraId="09319225" w14:textId="672707D7" w:rsidR="00005A00" w:rsidRPr="00256982" w:rsidRDefault="00005A00" w:rsidP="005503CE">
            <w:pPr>
              <w:pStyle w:val="TableText"/>
              <w:spacing w:before="50" w:after="50"/>
              <w:ind w:left="227"/>
              <w:rPr>
                <w:rFonts w:cs="Arial"/>
                <w:bCs/>
              </w:rPr>
            </w:pPr>
            <w:r w:rsidRPr="00256982">
              <w:rPr>
                <w:rFonts w:cs="Arial"/>
                <w:bCs/>
              </w:rPr>
              <w:t>Total carbon content (%)</w:t>
            </w:r>
          </w:p>
        </w:tc>
        <w:tc>
          <w:tcPr>
            <w:tcW w:w="1984" w:type="dxa"/>
            <w:tcBorders>
              <w:top w:val="single" w:sz="4" w:space="0" w:color="365F91"/>
              <w:bottom w:val="single" w:sz="4" w:space="0" w:color="365F91"/>
            </w:tcBorders>
            <w:shd w:val="clear" w:color="auto" w:fill="FFFFFF"/>
          </w:tcPr>
          <w:p w14:paraId="4DC03A88" w14:textId="77777777" w:rsidR="00005A00" w:rsidRPr="00256982" w:rsidRDefault="00005A00" w:rsidP="00AA14F1">
            <w:pPr>
              <w:pStyle w:val="TableText"/>
              <w:spacing w:before="50" w:after="50"/>
              <w:ind w:right="827"/>
              <w:jc w:val="right"/>
              <w:rPr>
                <w:rFonts w:cs="Arial"/>
              </w:rPr>
            </w:pPr>
            <w:r w:rsidRPr="00256982">
              <w:rPr>
                <w:rFonts w:cs="Arial"/>
              </w:rPr>
              <w:t>38.6</w:t>
            </w:r>
          </w:p>
        </w:tc>
        <w:tc>
          <w:tcPr>
            <w:tcW w:w="2268" w:type="dxa"/>
            <w:tcBorders>
              <w:top w:val="single" w:sz="4" w:space="0" w:color="365F91"/>
              <w:bottom w:val="single" w:sz="4" w:space="0" w:color="365F91"/>
            </w:tcBorders>
            <w:shd w:val="clear" w:color="auto" w:fill="FFFFFF"/>
          </w:tcPr>
          <w:p w14:paraId="629249DF" w14:textId="77777777" w:rsidR="00005A00" w:rsidRPr="00256982" w:rsidRDefault="00005A00" w:rsidP="00A34680">
            <w:pPr>
              <w:pStyle w:val="TableText"/>
              <w:spacing w:before="50" w:after="50"/>
              <w:rPr>
                <w:rFonts w:cs="Arial"/>
              </w:rPr>
            </w:pPr>
            <w:r w:rsidRPr="00256982">
              <w:rPr>
                <w:rFonts w:cs="Arial"/>
              </w:rPr>
              <w:t>Calculated (see table 7.4.3)</w:t>
            </w:r>
          </w:p>
        </w:tc>
      </w:tr>
      <w:tr w:rsidR="00005A00" w:rsidRPr="00256982" w14:paraId="555FF98A" w14:textId="77777777" w:rsidTr="00A34680">
        <w:trPr>
          <w:trHeight w:val="127"/>
        </w:trPr>
        <w:tc>
          <w:tcPr>
            <w:tcW w:w="4253" w:type="dxa"/>
            <w:tcBorders>
              <w:top w:val="single" w:sz="4" w:space="0" w:color="365F91"/>
              <w:bottom w:val="single" w:sz="4" w:space="0" w:color="365F91"/>
            </w:tcBorders>
            <w:shd w:val="clear" w:color="auto" w:fill="FFFFFF"/>
          </w:tcPr>
          <w:p w14:paraId="385B1942" w14:textId="5F64AB08" w:rsidR="00005A00" w:rsidRPr="00256982" w:rsidRDefault="00005A00" w:rsidP="005503CE">
            <w:pPr>
              <w:pStyle w:val="TableText"/>
              <w:spacing w:before="50" w:after="50"/>
              <w:ind w:left="227"/>
              <w:rPr>
                <w:rFonts w:cs="Arial"/>
                <w:bCs/>
              </w:rPr>
            </w:pPr>
            <w:r w:rsidRPr="00256982">
              <w:rPr>
                <w:rFonts w:cs="Arial"/>
                <w:bCs/>
              </w:rPr>
              <w:t>Fossil carbon content (%)</w:t>
            </w:r>
          </w:p>
        </w:tc>
        <w:tc>
          <w:tcPr>
            <w:tcW w:w="1984" w:type="dxa"/>
            <w:tcBorders>
              <w:top w:val="single" w:sz="4" w:space="0" w:color="365F91"/>
              <w:bottom w:val="single" w:sz="4" w:space="0" w:color="365F91"/>
            </w:tcBorders>
            <w:shd w:val="clear" w:color="auto" w:fill="FFFFFF"/>
          </w:tcPr>
          <w:p w14:paraId="19E4DCB5" w14:textId="77777777" w:rsidR="00005A00" w:rsidRPr="00256982" w:rsidRDefault="00005A00" w:rsidP="00AA14F1">
            <w:pPr>
              <w:pStyle w:val="TableText"/>
              <w:spacing w:before="50" w:after="50"/>
              <w:ind w:right="827"/>
              <w:jc w:val="right"/>
              <w:rPr>
                <w:rFonts w:cs="Arial"/>
              </w:rPr>
            </w:pPr>
            <w:r w:rsidRPr="00256982">
              <w:rPr>
                <w:rFonts w:cs="Arial"/>
              </w:rPr>
              <w:t>20.8</w:t>
            </w:r>
          </w:p>
        </w:tc>
        <w:tc>
          <w:tcPr>
            <w:tcW w:w="2268" w:type="dxa"/>
            <w:tcBorders>
              <w:top w:val="single" w:sz="4" w:space="0" w:color="365F91"/>
              <w:bottom w:val="single" w:sz="4" w:space="0" w:color="365F91"/>
            </w:tcBorders>
            <w:shd w:val="clear" w:color="auto" w:fill="FFFFFF"/>
          </w:tcPr>
          <w:p w14:paraId="7BF3DC86" w14:textId="77777777" w:rsidR="00005A00" w:rsidRPr="00256982" w:rsidRDefault="00005A00" w:rsidP="00A34680">
            <w:pPr>
              <w:pStyle w:val="TableText"/>
              <w:spacing w:before="50" w:after="50"/>
              <w:rPr>
                <w:rFonts w:cs="Arial"/>
              </w:rPr>
            </w:pPr>
            <w:r w:rsidRPr="00256982">
              <w:rPr>
                <w:rFonts w:cs="Arial"/>
              </w:rPr>
              <w:t>Calculated (see table 7.4.3)</w:t>
            </w:r>
          </w:p>
        </w:tc>
      </w:tr>
      <w:tr w:rsidR="00005A00" w:rsidRPr="00256982" w14:paraId="2B09D340" w14:textId="77777777" w:rsidTr="00A34680">
        <w:trPr>
          <w:trHeight w:val="127"/>
        </w:trPr>
        <w:tc>
          <w:tcPr>
            <w:tcW w:w="4253" w:type="dxa"/>
            <w:tcBorders>
              <w:top w:val="single" w:sz="4" w:space="0" w:color="365F91"/>
              <w:bottom w:val="single" w:sz="4" w:space="0" w:color="365F91"/>
            </w:tcBorders>
            <w:shd w:val="clear" w:color="auto" w:fill="FFFFFF"/>
          </w:tcPr>
          <w:p w14:paraId="5DF4FC85" w14:textId="34022946" w:rsidR="00005A00" w:rsidRPr="00256982" w:rsidRDefault="00005A00" w:rsidP="005503CE">
            <w:pPr>
              <w:pStyle w:val="TableText"/>
              <w:spacing w:before="50" w:after="50"/>
              <w:ind w:left="227"/>
              <w:rPr>
                <w:rFonts w:cs="Arial"/>
                <w:bCs/>
              </w:rPr>
            </w:pPr>
            <w:r w:rsidRPr="00256982">
              <w:rPr>
                <w:rFonts w:cs="Arial"/>
                <w:bCs/>
              </w:rPr>
              <w:t>Oxidation factor (%)</w:t>
            </w:r>
          </w:p>
        </w:tc>
        <w:tc>
          <w:tcPr>
            <w:tcW w:w="1984" w:type="dxa"/>
            <w:tcBorders>
              <w:top w:val="single" w:sz="4" w:space="0" w:color="365F91"/>
              <w:bottom w:val="single" w:sz="4" w:space="0" w:color="365F91"/>
            </w:tcBorders>
            <w:shd w:val="clear" w:color="auto" w:fill="FFFFFF"/>
          </w:tcPr>
          <w:p w14:paraId="1A886EE8" w14:textId="77777777" w:rsidR="00005A00" w:rsidRPr="00256982" w:rsidRDefault="00005A00" w:rsidP="00AA14F1">
            <w:pPr>
              <w:pStyle w:val="TableText"/>
              <w:spacing w:before="50" w:after="50"/>
              <w:ind w:right="827"/>
              <w:jc w:val="right"/>
              <w:rPr>
                <w:rFonts w:cs="Arial"/>
              </w:rPr>
            </w:pPr>
            <w:r w:rsidRPr="00256982">
              <w:rPr>
                <w:rFonts w:cs="Arial"/>
              </w:rPr>
              <w:t>58</w:t>
            </w:r>
          </w:p>
        </w:tc>
        <w:tc>
          <w:tcPr>
            <w:tcW w:w="2268" w:type="dxa"/>
            <w:tcBorders>
              <w:top w:val="single" w:sz="4" w:space="0" w:color="365F91"/>
              <w:bottom w:val="single" w:sz="4" w:space="0" w:color="365F91"/>
            </w:tcBorders>
            <w:shd w:val="clear" w:color="auto" w:fill="FFFFFF"/>
          </w:tcPr>
          <w:p w14:paraId="7F138608" w14:textId="77777777" w:rsidR="00005A00" w:rsidRPr="00256982" w:rsidRDefault="00005A00" w:rsidP="00A34680">
            <w:pPr>
              <w:pStyle w:val="TableText"/>
              <w:spacing w:before="50" w:after="50"/>
              <w:rPr>
                <w:rFonts w:cs="Arial"/>
              </w:rPr>
            </w:pPr>
            <w:r w:rsidRPr="00256982">
              <w:rPr>
                <w:rFonts w:cs="Arial"/>
              </w:rPr>
              <w:t>IPCC default</w:t>
            </w:r>
          </w:p>
        </w:tc>
      </w:tr>
      <w:tr w:rsidR="00005A00" w:rsidRPr="00256982" w14:paraId="4AD457B3" w14:textId="77777777" w:rsidTr="00A34680">
        <w:trPr>
          <w:trHeight w:val="127"/>
        </w:trPr>
        <w:tc>
          <w:tcPr>
            <w:tcW w:w="4253" w:type="dxa"/>
            <w:tcBorders>
              <w:top w:val="single" w:sz="4" w:space="0" w:color="365F91"/>
              <w:bottom w:val="single" w:sz="4" w:space="0" w:color="365F91"/>
            </w:tcBorders>
            <w:shd w:val="clear" w:color="auto" w:fill="FFFFFF"/>
          </w:tcPr>
          <w:p w14:paraId="32F9F8EC" w14:textId="51F63453" w:rsidR="00005A00" w:rsidRPr="00256982" w:rsidRDefault="00005A00" w:rsidP="005503CE">
            <w:pPr>
              <w:pStyle w:val="TableText"/>
              <w:spacing w:before="50" w:after="50"/>
              <w:ind w:left="227"/>
              <w:rPr>
                <w:rFonts w:cs="Arial"/>
                <w:bCs/>
              </w:rPr>
            </w:pPr>
            <w:r w:rsidRPr="00256982">
              <w:rPr>
                <w:rFonts w:cs="Arial"/>
                <w:bCs/>
              </w:rPr>
              <w:t>Conversion factor</w:t>
            </w:r>
          </w:p>
        </w:tc>
        <w:tc>
          <w:tcPr>
            <w:tcW w:w="1984" w:type="dxa"/>
            <w:tcBorders>
              <w:top w:val="single" w:sz="4" w:space="0" w:color="365F91"/>
              <w:bottom w:val="single" w:sz="4" w:space="0" w:color="365F91"/>
            </w:tcBorders>
            <w:shd w:val="clear" w:color="auto" w:fill="FFFFFF"/>
          </w:tcPr>
          <w:p w14:paraId="3ACF31D4" w14:textId="77777777" w:rsidR="00005A00" w:rsidRPr="00256982" w:rsidRDefault="00005A00" w:rsidP="00AA14F1">
            <w:pPr>
              <w:pStyle w:val="TableText"/>
              <w:spacing w:before="50" w:after="50"/>
              <w:ind w:right="827"/>
              <w:jc w:val="right"/>
              <w:rPr>
                <w:rFonts w:cs="Arial"/>
              </w:rPr>
            </w:pPr>
            <w:r w:rsidRPr="00256982">
              <w:rPr>
                <w:rFonts w:cs="Arial"/>
              </w:rPr>
              <w:t>44/12</w:t>
            </w:r>
          </w:p>
        </w:tc>
        <w:tc>
          <w:tcPr>
            <w:tcW w:w="2268" w:type="dxa"/>
            <w:tcBorders>
              <w:top w:val="single" w:sz="4" w:space="0" w:color="365F91"/>
              <w:bottom w:val="single" w:sz="4" w:space="0" w:color="365F91"/>
            </w:tcBorders>
            <w:shd w:val="clear" w:color="auto" w:fill="FFFFFF"/>
          </w:tcPr>
          <w:p w14:paraId="39B75F6B" w14:textId="77777777" w:rsidR="00005A00" w:rsidRPr="00256982" w:rsidRDefault="00005A00" w:rsidP="00A34680">
            <w:pPr>
              <w:pStyle w:val="TableText"/>
              <w:spacing w:before="50" w:after="50"/>
              <w:rPr>
                <w:rFonts w:cs="Arial"/>
              </w:rPr>
            </w:pPr>
          </w:p>
        </w:tc>
      </w:tr>
      <w:tr w:rsidR="00005A00" w:rsidRPr="00256982" w14:paraId="76EA4047" w14:textId="77777777" w:rsidTr="00A34680">
        <w:trPr>
          <w:trHeight w:val="127"/>
        </w:trPr>
        <w:tc>
          <w:tcPr>
            <w:tcW w:w="4253" w:type="dxa"/>
            <w:tcBorders>
              <w:top w:val="single" w:sz="4" w:space="0" w:color="365F91"/>
              <w:bottom w:val="single" w:sz="4" w:space="0" w:color="365F91"/>
            </w:tcBorders>
            <w:shd w:val="clear" w:color="auto" w:fill="FFFFFF"/>
          </w:tcPr>
          <w:p w14:paraId="4F3540F9" w14:textId="77777777" w:rsidR="00005A00" w:rsidRPr="00256982" w:rsidRDefault="00005A00" w:rsidP="00AA14F1">
            <w:pPr>
              <w:pStyle w:val="TableText"/>
              <w:spacing w:before="50" w:after="50"/>
              <w:rPr>
                <w:rFonts w:cs="Arial"/>
                <w:bCs/>
              </w:rPr>
            </w:pPr>
            <w:r w:rsidRPr="00256982">
              <w:rPr>
                <w:rFonts w:cs="Arial"/>
                <w:bCs/>
              </w:rPr>
              <w:t>Methane emission factor (</w:t>
            </w:r>
            <w:r w:rsidRPr="00256982">
              <w:rPr>
                <w:rFonts w:cs="Arial"/>
              </w:rPr>
              <w:t>kg/kt wet waste)</w:t>
            </w:r>
          </w:p>
        </w:tc>
        <w:tc>
          <w:tcPr>
            <w:tcW w:w="1984" w:type="dxa"/>
            <w:tcBorders>
              <w:top w:val="single" w:sz="4" w:space="0" w:color="365F91"/>
              <w:bottom w:val="single" w:sz="4" w:space="0" w:color="365F91"/>
            </w:tcBorders>
            <w:shd w:val="clear" w:color="auto" w:fill="FFFFFF"/>
          </w:tcPr>
          <w:p w14:paraId="490A6D38" w14:textId="77777777" w:rsidR="00005A00" w:rsidRPr="00256982" w:rsidRDefault="00005A00" w:rsidP="00AA14F1">
            <w:pPr>
              <w:pStyle w:val="TableText"/>
              <w:spacing w:before="50" w:after="50"/>
              <w:ind w:right="827"/>
              <w:jc w:val="right"/>
              <w:rPr>
                <w:rFonts w:cs="Arial"/>
              </w:rPr>
            </w:pPr>
            <w:r w:rsidRPr="00256982">
              <w:rPr>
                <w:rFonts w:cs="Arial"/>
              </w:rPr>
              <w:t xml:space="preserve">6,500 </w:t>
            </w:r>
          </w:p>
        </w:tc>
        <w:tc>
          <w:tcPr>
            <w:tcW w:w="2268" w:type="dxa"/>
            <w:tcBorders>
              <w:top w:val="single" w:sz="4" w:space="0" w:color="365F91"/>
              <w:bottom w:val="single" w:sz="4" w:space="0" w:color="365F91"/>
            </w:tcBorders>
            <w:shd w:val="clear" w:color="auto" w:fill="FFFFFF"/>
          </w:tcPr>
          <w:p w14:paraId="300CD23D" w14:textId="77777777" w:rsidR="00005A00" w:rsidRPr="00256982" w:rsidRDefault="00005A00" w:rsidP="00A34680">
            <w:pPr>
              <w:pStyle w:val="TableText"/>
              <w:spacing w:before="50" w:after="50"/>
              <w:rPr>
                <w:rFonts w:cs="Arial"/>
              </w:rPr>
            </w:pPr>
            <w:r w:rsidRPr="00256982">
              <w:rPr>
                <w:rFonts w:cs="Arial"/>
              </w:rPr>
              <w:t>IPCC default</w:t>
            </w:r>
          </w:p>
        </w:tc>
      </w:tr>
      <w:tr w:rsidR="00005A00" w:rsidRPr="00256982" w14:paraId="3C20D995" w14:textId="77777777" w:rsidTr="00A34680">
        <w:trPr>
          <w:trHeight w:val="127"/>
        </w:trPr>
        <w:tc>
          <w:tcPr>
            <w:tcW w:w="4253" w:type="dxa"/>
            <w:tcBorders>
              <w:top w:val="single" w:sz="4" w:space="0" w:color="365F91"/>
            </w:tcBorders>
            <w:shd w:val="clear" w:color="auto" w:fill="FFFFFF"/>
          </w:tcPr>
          <w:p w14:paraId="13B0E6FF" w14:textId="77777777" w:rsidR="00005A00" w:rsidRPr="00256982" w:rsidRDefault="00005A00" w:rsidP="00AA14F1">
            <w:pPr>
              <w:pStyle w:val="TableText"/>
              <w:spacing w:before="50" w:after="50"/>
              <w:rPr>
                <w:rFonts w:cs="Arial"/>
                <w:bCs/>
              </w:rPr>
            </w:pPr>
            <w:r w:rsidRPr="00256982">
              <w:rPr>
                <w:rFonts w:cs="Arial"/>
                <w:bCs/>
              </w:rPr>
              <w:t>Nitrous oxide emission factor (</w:t>
            </w:r>
            <w:r w:rsidRPr="00256982">
              <w:rPr>
                <w:rFonts w:cs="Arial"/>
              </w:rPr>
              <w:t>kg/kt dry waste)</w:t>
            </w:r>
          </w:p>
        </w:tc>
        <w:tc>
          <w:tcPr>
            <w:tcW w:w="1984" w:type="dxa"/>
            <w:tcBorders>
              <w:top w:val="single" w:sz="4" w:space="0" w:color="365F91"/>
            </w:tcBorders>
            <w:shd w:val="clear" w:color="auto" w:fill="FFFFFF"/>
          </w:tcPr>
          <w:p w14:paraId="049A7A37" w14:textId="77777777" w:rsidR="00005A00" w:rsidRPr="00256982" w:rsidRDefault="00005A00" w:rsidP="00AA14F1">
            <w:pPr>
              <w:pStyle w:val="TableText"/>
              <w:spacing w:before="50" w:after="50"/>
              <w:ind w:right="827"/>
              <w:jc w:val="right"/>
              <w:rPr>
                <w:rFonts w:cs="Arial"/>
              </w:rPr>
            </w:pPr>
            <w:r w:rsidRPr="00256982">
              <w:rPr>
                <w:rFonts w:cs="Arial"/>
              </w:rPr>
              <w:t>150</w:t>
            </w:r>
          </w:p>
        </w:tc>
        <w:tc>
          <w:tcPr>
            <w:tcW w:w="2268" w:type="dxa"/>
            <w:tcBorders>
              <w:top w:val="single" w:sz="4" w:space="0" w:color="365F91"/>
            </w:tcBorders>
            <w:shd w:val="clear" w:color="auto" w:fill="FFFFFF"/>
          </w:tcPr>
          <w:p w14:paraId="354F3E96" w14:textId="77777777" w:rsidR="00005A00" w:rsidRPr="00256982" w:rsidRDefault="00005A00" w:rsidP="00A34680">
            <w:pPr>
              <w:pStyle w:val="TableText"/>
              <w:spacing w:before="50" w:after="50"/>
              <w:rPr>
                <w:rFonts w:cs="Arial"/>
              </w:rPr>
            </w:pPr>
            <w:r w:rsidRPr="00256982">
              <w:rPr>
                <w:rFonts w:cs="Arial"/>
              </w:rPr>
              <w:t>IPCC default</w:t>
            </w:r>
          </w:p>
        </w:tc>
      </w:tr>
    </w:tbl>
    <w:p w14:paraId="0C7B97B5" w14:textId="0124F8CB" w:rsidR="00005A00" w:rsidRPr="00256982" w:rsidRDefault="00005A00" w:rsidP="005503CE">
      <w:pPr>
        <w:pStyle w:val="BodyText"/>
        <w:spacing w:before="240"/>
      </w:pPr>
      <w:r w:rsidRPr="00256982">
        <w:t>To calculate N</w:t>
      </w:r>
      <w:r w:rsidRPr="00256982">
        <w:rPr>
          <w:vertAlign w:val="subscript"/>
        </w:rPr>
        <w:t>2</w:t>
      </w:r>
      <w:r w:rsidRPr="00256982">
        <w:t>O emissions, the activity data is converted using the weighted average dry</w:t>
      </w:r>
      <w:r w:rsidR="005503CE" w:rsidRPr="00256982">
        <w:t> </w:t>
      </w:r>
      <w:r w:rsidRPr="00256982">
        <w:t>matter content in table 7.4.3 because the default emission factor is presented in terms of dry</w:t>
      </w:r>
      <w:r w:rsidR="005503CE" w:rsidRPr="00256982">
        <w:t> </w:t>
      </w:r>
      <w:r w:rsidRPr="00256982">
        <w:t>waste.</w:t>
      </w:r>
    </w:p>
    <w:p w14:paraId="7C77C53B" w14:textId="77777777" w:rsidR="00005A00" w:rsidRPr="00256982" w:rsidRDefault="00005A00" w:rsidP="00005A00">
      <w:pPr>
        <w:pStyle w:val="Heading3"/>
        <w:spacing w:before="280"/>
      </w:pPr>
      <w:r w:rsidRPr="00256982">
        <w:t>7.4.3</w:t>
      </w:r>
      <w:r w:rsidRPr="00256982">
        <w:tab/>
        <w:t>Uncertainties and time-series consistency</w:t>
      </w:r>
    </w:p>
    <w:p w14:paraId="19D65768" w14:textId="77777777" w:rsidR="00005A00" w:rsidRPr="00256982" w:rsidRDefault="00005A00" w:rsidP="00005A00">
      <w:pPr>
        <w:pStyle w:val="Heading4"/>
        <w:spacing w:before="160"/>
      </w:pPr>
      <w:r w:rsidRPr="00256982">
        <w:t>Uncertainties</w:t>
      </w:r>
    </w:p>
    <w:p w14:paraId="4EE3E4B5" w14:textId="77777777" w:rsidR="00005A00" w:rsidRPr="00256982" w:rsidRDefault="00005A00" w:rsidP="00005A00">
      <w:pPr>
        <w:pStyle w:val="BodyText"/>
      </w:pPr>
      <w:r w:rsidRPr="00256982">
        <w:t xml:space="preserve">As per the IPCC recommendation for uncertainties relating to activity data (IPCC, 2006a), estimated uncertainty for the amount of wet waste incinerated ranges from ±10 per cent to ±50 per cent, and uncertainty of ±50 per cent is applied (table 7.4.6). </w:t>
      </w:r>
    </w:p>
    <w:p w14:paraId="17C9C8E0" w14:textId="77777777" w:rsidR="00005A00" w:rsidRPr="00256982" w:rsidRDefault="00005A00" w:rsidP="00005A00">
      <w:pPr>
        <w:pStyle w:val="BodyText"/>
        <w:rPr>
          <w:lang w:eastAsia="en-NZ"/>
        </w:rPr>
      </w:pPr>
      <w:r w:rsidRPr="00256982">
        <w:rPr>
          <w:lang w:eastAsia="en-NZ"/>
        </w:rPr>
        <w:t>The data collected for the composition of waste are not detailed. Therefore, as per the recommendation for uncertainties relating to emission factors (IPCC, 2006a), the estimated uncertainty for default CO</w:t>
      </w:r>
      <w:r w:rsidRPr="00256982">
        <w:rPr>
          <w:vertAlign w:val="subscript"/>
          <w:lang w:eastAsia="en-NZ"/>
        </w:rPr>
        <w:t>2</w:t>
      </w:r>
      <w:r w:rsidRPr="00256982">
        <w:rPr>
          <w:lang w:eastAsia="en-NZ"/>
        </w:rPr>
        <w:t xml:space="preserve"> factors is ±40 per cent. Default factors used in the calculation of </w:t>
      </w:r>
      <w:r w:rsidRPr="00256982">
        <w:t>CH</w:t>
      </w:r>
      <w:r w:rsidRPr="00256982">
        <w:rPr>
          <w:vertAlign w:val="subscript"/>
        </w:rPr>
        <w:t>4</w:t>
      </w:r>
      <w:r w:rsidRPr="00256982">
        <w:rPr>
          <w:lang w:eastAsia="en-NZ"/>
        </w:rPr>
        <w:t xml:space="preserve"> and N</w:t>
      </w:r>
      <w:r w:rsidRPr="00256982">
        <w:rPr>
          <w:vertAlign w:val="subscript"/>
          <w:lang w:eastAsia="en-NZ"/>
        </w:rPr>
        <w:t>2</w:t>
      </w:r>
      <w:r w:rsidRPr="00256982">
        <w:rPr>
          <w:lang w:eastAsia="en-NZ"/>
        </w:rPr>
        <w:t xml:space="preserve">O emissions have a much higher uncertainty (IPCC, 2006a); hence, the estimated uncertainty for default </w:t>
      </w:r>
      <w:r w:rsidRPr="00256982">
        <w:t>CH</w:t>
      </w:r>
      <w:r w:rsidRPr="00256982">
        <w:rPr>
          <w:vertAlign w:val="subscript"/>
        </w:rPr>
        <w:t>4</w:t>
      </w:r>
      <w:r w:rsidRPr="00256982">
        <w:rPr>
          <w:lang w:eastAsia="en-NZ"/>
        </w:rPr>
        <w:t xml:space="preserve"> and N</w:t>
      </w:r>
      <w:r w:rsidRPr="00256982">
        <w:rPr>
          <w:vertAlign w:val="subscript"/>
          <w:lang w:eastAsia="en-NZ"/>
        </w:rPr>
        <w:t>2</w:t>
      </w:r>
      <w:r w:rsidRPr="00256982">
        <w:rPr>
          <w:lang w:eastAsia="en-NZ"/>
        </w:rPr>
        <w:t>O factors is ±100 per cent.</w:t>
      </w:r>
    </w:p>
    <w:p w14:paraId="332BFA0A" w14:textId="77777777" w:rsidR="00005A00" w:rsidRPr="00256982" w:rsidRDefault="00005A00" w:rsidP="00005A00">
      <w:pPr>
        <w:pStyle w:val="Table"/>
      </w:pPr>
      <w:bookmarkStart w:id="2359" w:name="_Toc444001625"/>
      <w:bookmarkStart w:id="2360" w:name="_Toc451176177"/>
      <w:bookmarkStart w:id="2361" w:name="_Toc481751607"/>
      <w:bookmarkStart w:id="2362" w:name="_Toc508019332"/>
      <w:bookmarkStart w:id="2363" w:name="_Toc511116830"/>
      <w:bookmarkStart w:id="2364" w:name="_Toc5269577"/>
      <w:bookmarkStart w:id="2365" w:name="_Toc321398849"/>
      <w:r w:rsidRPr="00256982">
        <w:t>Table 7.4.6</w:t>
      </w:r>
      <w:r w:rsidRPr="00256982">
        <w:tab/>
        <w:t>Uncertainty in emissions from incineration</w:t>
      </w:r>
      <w:bookmarkEnd w:id="2359"/>
      <w:bookmarkEnd w:id="2360"/>
      <w:bookmarkEnd w:id="2361"/>
      <w:bookmarkEnd w:id="2362"/>
      <w:bookmarkEnd w:id="2363"/>
      <w:r w:rsidRPr="00256982">
        <w:t xml:space="preserve"> and open burning</w:t>
      </w:r>
      <w:bookmarkEnd w:id="2364"/>
    </w:p>
    <w:tbl>
      <w:tblPr>
        <w:tblW w:w="8505" w:type="dxa"/>
        <w:tblInd w:w="108" w:type="dxa"/>
        <w:tblBorders>
          <w:top w:val="single" w:sz="6" w:space="0" w:color="365F91"/>
          <w:bottom w:val="single" w:sz="6" w:space="0" w:color="365F91"/>
          <w:insideH w:val="single" w:sz="6" w:space="0" w:color="365F91"/>
        </w:tblBorders>
        <w:tblLook w:val="04A0" w:firstRow="1" w:lastRow="0" w:firstColumn="1" w:lastColumn="0" w:noHBand="0" w:noVBand="1"/>
      </w:tblPr>
      <w:tblGrid>
        <w:gridCol w:w="2620"/>
        <w:gridCol w:w="2787"/>
        <w:gridCol w:w="3098"/>
      </w:tblGrid>
      <w:tr w:rsidR="00005A00" w:rsidRPr="00256982" w14:paraId="1A50739F" w14:textId="77777777" w:rsidTr="00AA14F1">
        <w:tc>
          <w:tcPr>
            <w:tcW w:w="2620" w:type="dxa"/>
            <w:tcBorders>
              <w:top w:val="single" w:sz="4" w:space="0" w:color="365F91"/>
              <w:left w:val="nil"/>
              <w:bottom w:val="single" w:sz="4" w:space="0" w:color="365F91"/>
              <w:right w:val="nil"/>
            </w:tcBorders>
            <w:shd w:val="clear" w:color="000000" w:fill="365F91"/>
          </w:tcPr>
          <w:p w14:paraId="3924221B" w14:textId="77777777" w:rsidR="00005A00" w:rsidRPr="00256982" w:rsidRDefault="00005A00" w:rsidP="00AA14F1">
            <w:pPr>
              <w:pStyle w:val="TableTextBold"/>
              <w:keepNext/>
              <w:spacing w:before="50" w:after="50"/>
              <w:rPr>
                <w:noProof w:val="0"/>
                <w:color w:val="FFFFFF"/>
              </w:rPr>
            </w:pPr>
            <w:r w:rsidRPr="00256982">
              <w:rPr>
                <w:noProof w:val="0"/>
                <w:color w:val="FFFFFF"/>
              </w:rPr>
              <w:t>Emissions category</w:t>
            </w:r>
          </w:p>
        </w:tc>
        <w:tc>
          <w:tcPr>
            <w:tcW w:w="2787" w:type="dxa"/>
            <w:tcBorders>
              <w:top w:val="single" w:sz="4" w:space="0" w:color="365F91"/>
              <w:left w:val="nil"/>
              <w:bottom w:val="single" w:sz="4" w:space="0" w:color="365F91"/>
              <w:right w:val="nil"/>
            </w:tcBorders>
            <w:shd w:val="clear" w:color="000000" w:fill="365F91"/>
          </w:tcPr>
          <w:p w14:paraId="3A3D42CC" w14:textId="77777777" w:rsidR="00005A00" w:rsidRPr="00256982" w:rsidRDefault="00005A00" w:rsidP="00AA14F1">
            <w:pPr>
              <w:pStyle w:val="TableTextBold"/>
              <w:keepNext/>
              <w:spacing w:before="50" w:after="50"/>
              <w:rPr>
                <w:noProof w:val="0"/>
                <w:color w:val="FFFFFF"/>
              </w:rPr>
            </w:pPr>
            <w:r w:rsidRPr="00256982">
              <w:rPr>
                <w:noProof w:val="0"/>
                <w:color w:val="FFFFFF"/>
              </w:rPr>
              <w:t>Uncertainty in activity data (%)</w:t>
            </w:r>
          </w:p>
        </w:tc>
        <w:tc>
          <w:tcPr>
            <w:tcW w:w="3098" w:type="dxa"/>
            <w:tcBorders>
              <w:top w:val="single" w:sz="4" w:space="0" w:color="365F91"/>
              <w:left w:val="nil"/>
              <w:bottom w:val="single" w:sz="4" w:space="0" w:color="365F91"/>
              <w:right w:val="nil"/>
            </w:tcBorders>
            <w:shd w:val="clear" w:color="000000" w:fill="365F91"/>
          </w:tcPr>
          <w:p w14:paraId="5B384F8B" w14:textId="77777777" w:rsidR="00005A00" w:rsidRPr="00256982" w:rsidRDefault="00005A00" w:rsidP="00AA14F1">
            <w:pPr>
              <w:pStyle w:val="TableTextBold"/>
              <w:keepNext/>
              <w:spacing w:before="50" w:after="50"/>
              <w:rPr>
                <w:noProof w:val="0"/>
                <w:color w:val="FFFFFF"/>
              </w:rPr>
            </w:pPr>
            <w:r w:rsidRPr="00256982">
              <w:rPr>
                <w:noProof w:val="0"/>
                <w:color w:val="FFFFFF"/>
              </w:rPr>
              <w:t>Uncertainty in emission factors (%)</w:t>
            </w:r>
          </w:p>
        </w:tc>
      </w:tr>
      <w:tr w:rsidR="00005A00" w:rsidRPr="00256982" w14:paraId="2A2AA5F2" w14:textId="77777777" w:rsidTr="00AA14F1">
        <w:trPr>
          <w:trHeight w:val="127"/>
        </w:trPr>
        <w:tc>
          <w:tcPr>
            <w:tcW w:w="2620" w:type="dxa"/>
            <w:tcBorders>
              <w:top w:val="single" w:sz="4" w:space="0" w:color="365F91"/>
              <w:bottom w:val="single" w:sz="4" w:space="0" w:color="365F91"/>
            </w:tcBorders>
            <w:shd w:val="clear" w:color="auto" w:fill="FFFFFF"/>
          </w:tcPr>
          <w:p w14:paraId="1B70525C" w14:textId="77777777" w:rsidR="00005A00" w:rsidRPr="00256982" w:rsidRDefault="00005A00" w:rsidP="00AA14F1">
            <w:pPr>
              <w:pStyle w:val="TableText"/>
              <w:spacing w:before="50" w:after="50"/>
              <w:rPr>
                <w:rFonts w:cs="Arial"/>
                <w:bCs/>
              </w:rPr>
            </w:pPr>
            <w:r w:rsidRPr="00256982">
              <w:rPr>
                <w:rFonts w:cs="Arial"/>
                <w:bCs/>
              </w:rPr>
              <w:t>Waste incineration (CO</w:t>
            </w:r>
            <w:r w:rsidRPr="00256982">
              <w:rPr>
                <w:rFonts w:cs="Arial"/>
                <w:bCs/>
                <w:vertAlign w:val="subscript"/>
              </w:rPr>
              <w:t>2</w:t>
            </w:r>
            <w:r w:rsidRPr="00256982">
              <w:rPr>
                <w:rFonts w:cs="Arial"/>
                <w:bCs/>
              </w:rPr>
              <w:t>)</w:t>
            </w:r>
          </w:p>
        </w:tc>
        <w:tc>
          <w:tcPr>
            <w:tcW w:w="2787" w:type="dxa"/>
            <w:tcBorders>
              <w:top w:val="single" w:sz="4" w:space="0" w:color="365F91"/>
              <w:bottom w:val="single" w:sz="4" w:space="0" w:color="365F91"/>
            </w:tcBorders>
            <w:shd w:val="clear" w:color="auto" w:fill="FFFFFF"/>
          </w:tcPr>
          <w:p w14:paraId="3F1464B8" w14:textId="77777777" w:rsidR="00005A00" w:rsidRPr="00256982" w:rsidRDefault="00005A00" w:rsidP="00A34680">
            <w:pPr>
              <w:pStyle w:val="TableText"/>
              <w:spacing w:before="50" w:after="50"/>
              <w:ind w:right="827"/>
              <w:rPr>
                <w:rFonts w:cs="Arial"/>
              </w:rPr>
            </w:pPr>
            <w:r w:rsidRPr="00256982">
              <w:rPr>
                <w:rFonts w:cs="Arial"/>
              </w:rPr>
              <w:t>±50</w:t>
            </w:r>
          </w:p>
        </w:tc>
        <w:tc>
          <w:tcPr>
            <w:tcW w:w="3098" w:type="dxa"/>
            <w:tcBorders>
              <w:top w:val="single" w:sz="4" w:space="0" w:color="365F91"/>
              <w:bottom w:val="single" w:sz="4" w:space="0" w:color="365F91"/>
            </w:tcBorders>
            <w:shd w:val="clear" w:color="auto" w:fill="FFFFFF"/>
          </w:tcPr>
          <w:p w14:paraId="0C68C3C2" w14:textId="77777777" w:rsidR="00005A00" w:rsidRPr="00256982" w:rsidRDefault="00005A00" w:rsidP="00A34680">
            <w:pPr>
              <w:pStyle w:val="TableText"/>
              <w:spacing w:before="50" w:after="50"/>
              <w:ind w:right="827"/>
              <w:rPr>
                <w:rFonts w:cs="Arial"/>
              </w:rPr>
            </w:pPr>
            <w:r w:rsidRPr="00256982">
              <w:rPr>
                <w:rFonts w:cs="Arial"/>
              </w:rPr>
              <w:t>±40</w:t>
            </w:r>
          </w:p>
        </w:tc>
      </w:tr>
      <w:tr w:rsidR="00005A00" w:rsidRPr="00256982" w14:paraId="4629922E" w14:textId="77777777" w:rsidTr="00AA14F1">
        <w:trPr>
          <w:trHeight w:val="127"/>
        </w:trPr>
        <w:tc>
          <w:tcPr>
            <w:tcW w:w="2620" w:type="dxa"/>
            <w:tcBorders>
              <w:top w:val="single" w:sz="4" w:space="0" w:color="365F91"/>
              <w:bottom w:val="single" w:sz="4" w:space="0" w:color="365F91"/>
            </w:tcBorders>
            <w:shd w:val="clear" w:color="auto" w:fill="FFFFFF"/>
          </w:tcPr>
          <w:p w14:paraId="412CFECB" w14:textId="77777777" w:rsidR="00005A00" w:rsidRPr="00256982" w:rsidRDefault="00005A00" w:rsidP="00AA14F1">
            <w:pPr>
              <w:pStyle w:val="TableText"/>
              <w:spacing w:before="50" w:after="50"/>
              <w:rPr>
                <w:rFonts w:cs="Arial"/>
                <w:bCs/>
              </w:rPr>
            </w:pPr>
            <w:r w:rsidRPr="00256982">
              <w:rPr>
                <w:rFonts w:cs="Arial"/>
                <w:bCs/>
              </w:rPr>
              <w:t>Waste incineration (CH</w:t>
            </w:r>
            <w:r w:rsidRPr="00256982">
              <w:rPr>
                <w:rFonts w:cs="Arial"/>
                <w:bCs/>
                <w:vertAlign w:val="subscript"/>
              </w:rPr>
              <w:t>4</w:t>
            </w:r>
            <w:r w:rsidRPr="00256982">
              <w:rPr>
                <w:rFonts w:cs="Arial"/>
                <w:bCs/>
              </w:rPr>
              <w:t>)</w:t>
            </w:r>
          </w:p>
        </w:tc>
        <w:tc>
          <w:tcPr>
            <w:tcW w:w="2787" w:type="dxa"/>
            <w:tcBorders>
              <w:top w:val="single" w:sz="4" w:space="0" w:color="365F91"/>
              <w:bottom w:val="single" w:sz="4" w:space="0" w:color="365F91"/>
            </w:tcBorders>
            <w:shd w:val="clear" w:color="auto" w:fill="FFFFFF"/>
          </w:tcPr>
          <w:p w14:paraId="76378F54" w14:textId="77777777" w:rsidR="00005A00" w:rsidRPr="00256982" w:rsidRDefault="00005A00" w:rsidP="00A34680">
            <w:pPr>
              <w:pStyle w:val="TableText"/>
              <w:spacing w:before="50" w:after="50"/>
              <w:ind w:right="827"/>
              <w:rPr>
                <w:rFonts w:cs="Arial"/>
              </w:rPr>
            </w:pPr>
            <w:r w:rsidRPr="00256982">
              <w:rPr>
                <w:rFonts w:cs="Arial"/>
              </w:rPr>
              <w:t>±50</w:t>
            </w:r>
          </w:p>
        </w:tc>
        <w:tc>
          <w:tcPr>
            <w:tcW w:w="3098" w:type="dxa"/>
            <w:tcBorders>
              <w:top w:val="single" w:sz="4" w:space="0" w:color="365F91"/>
              <w:bottom w:val="single" w:sz="4" w:space="0" w:color="365F91"/>
            </w:tcBorders>
            <w:shd w:val="clear" w:color="auto" w:fill="FFFFFF"/>
          </w:tcPr>
          <w:p w14:paraId="4C8284B3" w14:textId="77777777" w:rsidR="00005A00" w:rsidRPr="00256982" w:rsidRDefault="00005A00" w:rsidP="00A34680">
            <w:pPr>
              <w:pStyle w:val="TableText"/>
              <w:spacing w:before="50" w:after="50"/>
              <w:ind w:right="827"/>
              <w:rPr>
                <w:rFonts w:cs="Arial"/>
              </w:rPr>
            </w:pPr>
            <w:r w:rsidRPr="00256982">
              <w:rPr>
                <w:rFonts w:cs="Arial"/>
              </w:rPr>
              <w:t>±100</w:t>
            </w:r>
          </w:p>
        </w:tc>
      </w:tr>
      <w:tr w:rsidR="00005A00" w:rsidRPr="00256982" w14:paraId="6FA5119D" w14:textId="77777777" w:rsidTr="00AA14F1">
        <w:trPr>
          <w:trHeight w:val="127"/>
        </w:trPr>
        <w:tc>
          <w:tcPr>
            <w:tcW w:w="2620" w:type="dxa"/>
            <w:tcBorders>
              <w:top w:val="single" w:sz="4" w:space="0" w:color="365F91"/>
            </w:tcBorders>
            <w:shd w:val="clear" w:color="auto" w:fill="FFFFFF"/>
          </w:tcPr>
          <w:p w14:paraId="43D9CFAB" w14:textId="77777777" w:rsidR="00005A00" w:rsidRPr="00256982" w:rsidRDefault="00005A00" w:rsidP="00AA14F1">
            <w:pPr>
              <w:pStyle w:val="TableText"/>
              <w:spacing w:before="50" w:after="50"/>
              <w:rPr>
                <w:rFonts w:cs="Arial"/>
                <w:bCs/>
              </w:rPr>
            </w:pPr>
            <w:r w:rsidRPr="00256982">
              <w:rPr>
                <w:rFonts w:cs="Arial"/>
                <w:bCs/>
              </w:rPr>
              <w:t>Waste incineration (N</w:t>
            </w:r>
            <w:r w:rsidRPr="00256982">
              <w:rPr>
                <w:rFonts w:cs="Arial"/>
                <w:bCs/>
                <w:vertAlign w:val="subscript"/>
              </w:rPr>
              <w:t>2</w:t>
            </w:r>
            <w:r w:rsidRPr="00256982">
              <w:rPr>
                <w:rFonts w:cs="Arial"/>
                <w:bCs/>
              </w:rPr>
              <w:t>O)</w:t>
            </w:r>
          </w:p>
        </w:tc>
        <w:tc>
          <w:tcPr>
            <w:tcW w:w="2787" w:type="dxa"/>
            <w:tcBorders>
              <w:top w:val="single" w:sz="4" w:space="0" w:color="365F91"/>
            </w:tcBorders>
            <w:shd w:val="clear" w:color="auto" w:fill="FFFFFF"/>
          </w:tcPr>
          <w:p w14:paraId="1600AE9D" w14:textId="77777777" w:rsidR="00005A00" w:rsidRPr="00256982" w:rsidRDefault="00005A00" w:rsidP="00A34680">
            <w:pPr>
              <w:pStyle w:val="TableText"/>
              <w:spacing w:before="50" w:after="50"/>
              <w:ind w:right="827"/>
              <w:rPr>
                <w:rFonts w:cs="Arial"/>
              </w:rPr>
            </w:pPr>
            <w:r w:rsidRPr="00256982">
              <w:rPr>
                <w:rFonts w:cs="Arial"/>
              </w:rPr>
              <w:t>±50</w:t>
            </w:r>
          </w:p>
        </w:tc>
        <w:tc>
          <w:tcPr>
            <w:tcW w:w="3098" w:type="dxa"/>
            <w:tcBorders>
              <w:top w:val="single" w:sz="4" w:space="0" w:color="365F91"/>
            </w:tcBorders>
            <w:shd w:val="clear" w:color="auto" w:fill="FFFFFF"/>
          </w:tcPr>
          <w:p w14:paraId="33376832" w14:textId="77777777" w:rsidR="00005A00" w:rsidRPr="00256982" w:rsidRDefault="00005A00" w:rsidP="00A34680">
            <w:pPr>
              <w:pStyle w:val="TableText"/>
              <w:spacing w:before="50" w:after="50"/>
              <w:ind w:right="827"/>
              <w:rPr>
                <w:rFonts w:cs="Arial"/>
              </w:rPr>
            </w:pPr>
            <w:r w:rsidRPr="00256982">
              <w:rPr>
                <w:rFonts w:cs="Arial"/>
              </w:rPr>
              <w:t>±100</w:t>
            </w:r>
          </w:p>
        </w:tc>
      </w:tr>
    </w:tbl>
    <w:p w14:paraId="2AA1B0DE" w14:textId="77777777" w:rsidR="00005A00" w:rsidRPr="00256982" w:rsidRDefault="00005A00" w:rsidP="00005A00">
      <w:pPr>
        <w:pStyle w:val="Heading4"/>
        <w:spacing w:before="360"/>
      </w:pPr>
      <w:r w:rsidRPr="00256982">
        <w:t>Time-series consistency</w:t>
      </w:r>
    </w:p>
    <w:p w14:paraId="180AFFCE" w14:textId="77777777" w:rsidR="00005A00" w:rsidRPr="00256982" w:rsidRDefault="00005A00" w:rsidP="00005A00">
      <w:pPr>
        <w:pStyle w:val="BodyText"/>
      </w:pPr>
      <w:r w:rsidRPr="00256982">
        <w:t>Time-series consistency is ensured by the use of consistent models and parameters across the period. Where changes to methodologies or emission factors have occurred, a full time-series recalculation is conducted.</w:t>
      </w:r>
    </w:p>
    <w:p w14:paraId="79043C6D" w14:textId="77777777" w:rsidR="00005A00" w:rsidRPr="00256982" w:rsidRDefault="00005A00" w:rsidP="00005A00">
      <w:pPr>
        <w:pStyle w:val="Heading3"/>
      </w:pPr>
      <w:r w:rsidRPr="00256982">
        <w:t xml:space="preserve">7.4.4 </w:t>
      </w:r>
      <w:r w:rsidRPr="00256982">
        <w:tab/>
        <w:t>Source-specific QA/QC and verification</w:t>
      </w:r>
    </w:p>
    <w:p w14:paraId="328F2373" w14:textId="77777777" w:rsidR="00005A00" w:rsidRPr="00256982" w:rsidRDefault="00005A00" w:rsidP="00005A00">
      <w:pPr>
        <w:pStyle w:val="BodyText"/>
        <w:rPr>
          <w:spacing w:val="-2"/>
          <w:lang w:eastAsia="en-NZ"/>
        </w:rPr>
      </w:pPr>
      <w:r w:rsidRPr="00256982">
        <w:rPr>
          <w:spacing w:val="-2"/>
          <w:lang w:eastAsia="en-NZ"/>
        </w:rPr>
        <w:t xml:space="preserve">These emissions are small, and basic </w:t>
      </w:r>
      <w:r w:rsidRPr="00256982">
        <w:t>quality-assurance and quality-control</w:t>
      </w:r>
      <w:r w:rsidRPr="00256982">
        <w:rPr>
          <w:spacing w:val="-2"/>
          <w:lang w:eastAsia="en-NZ"/>
        </w:rPr>
        <w:t xml:space="preserve"> checks are carried out where possible. Detailed </w:t>
      </w:r>
      <w:r w:rsidRPr="00256982">
        <w:t>quality-assurance and quality-control</w:t>
      </w:r>
      <w:r w:rsidRPr="00256982" w:rsidDel="00B16692">
        <w:rPr>
          <w:spacing w:val="-2"/>
          <w:lang w:eastAsia="en-NZ"/>
        </w:rPr>
        <w:t xml:space="preserve"> </w:t>
      </w:r>
      <w:r w:rsidRPr="00256982">
        <w:rPr>
          <w:spacing w:val="-2"/>
          <w:lang w:eastAsia="en-NZ"/>
        </w:rPr>
        <w:t xml:space="preserve">efforts for the Waste sector focus on the disposal to land and wastewater categories. </w:t>
      </w:r>
    </w:p>
    <w:p w14:paraId="384FC460" w14:textId="77777777" w:rsidR="00005A00" w:rsidRPr="00256982" w:rsidRDefault="00005A00" w:rsidP="00005A00">
      <w:pPr>
        <w:pStyle w:val="Heading3"/>
        <w:spacing w:before="280"/>
      </w:pPr>
      <w:r w:rsidRPr="00256982">
        <w:t xml:space="preserve">7.4.5 </w:t>
      </w:r>
      <w:r w:rsidRPr="00256982">
        <w:tab/>
        <w:t>Source-specific recalculations</w:t>
      </w:r>
    </w:p>
    <w:p w14:paraId="672D694B" w14:textId="77777777" w:rsidR="00005A00" w:rsidRPr="00256982" w:rsidRDefault="00005A00" w:rsidP="00005A00">
      <w:pPr>
        <w:pStyle w:val="BodyText"/>
      </w:pPr>
      <w:r w:rsidRPr="00256982">
        <w:t>No recalculations have been made for incineration (5.C.1). Open burning is reported for the first time in the 2019 submission.</w:t>
      </w:r>
    </w:p>
    <w:p w14:paraId="542D5AF4" w14:textId="77777777" w:rsidR="00005A00" w:rsidRPr="00256982" w:rsidRDefault="00005A00" w:rsidP="00005A00">
      <w:pPr>
        <w:pStyle w:val="Heading3"/>
        <w:spacing w:before="280"/>
      </w:pPr>
      <w:r w:rsidRPr="00256982">
        <w:t xml:space="preserve">7.4.6 </w:t>
      </w:r>
      <w:r w:rsidRPr="00256982">
        <w:tab/>
        <w:t>Source-specific planned improvements</w:t>
      </w:r>
    </w:p>
    <w:p w14:paraId="6B073461" w14:textId="77777777" w:rsidR="00005A00" w:rsidRPr="00256982" w:rsidRDefault="00005A00" w:rsidP="00005A00">
      <w:pPr>
        <w:pStyle w:val="BodyText"/>
      </w:pPr>
      <w:r w:rsidRPr="00256982">
        <w:t>No specific improvements are planned for this category. Over time, surveys by local authorities on disposal of waste in the farm sector may provide a better understanding of open burning in the farm sector.</w:t>
      </w:r>
    </w:p>
    <w:p w14:paraId="0E71631B" w14:textId="77777777" w:rsidR="00005A00" w:rsidRPr="00256982" w:rsidRDefault="00005A00" w:rsidP="00005A00">
      <w:pPr>
        <w:pStyle w:val="Heading2"/>
        <w:rPr>
          <w:lang w:eastAsia="en-NZ"/>
        </w:rPr>
      </w:pPr>
      <w:bookmarkStart w:id="2366" w:name="_Toc448321551"/>
      <w:bookmarkStart w:id="2367" w:name="_Toc481751413"/>
      <w:bookmarkStart w:id="2368" w:name="_Toc511116628"/>
      <w:bookmarkStart w:id="2369" w:name="_Toc5269390"/>
      <w:r w:rsidRPr="00256982">
        <w:rPr>
          <w:lang w:eastAsia="en-NZ"/>
        </w:rPr>
        <w:t xml:space="preserve">7.5 </w:t>
      </w:r>
      <w:r w:rsidRPr="00256982">
        <w:rPr>
          <w:lang w:eastAsia="en-NZ"/>
        </w:rPr>
        <w:tab/>
        <w:t>Wastewater treatment and discharge (5.D)</w:t>
      </w:r>
      <w:bookmarkEnd w:id="2365"/>
      <w:bookmarkEnd w:id="2366"/>
      <w:bookmarkEnd w:id="2367"/>
      <w:bookmarkEnd w:id="2368"/>
      <w:bookmarkEnd w:id="2369"/>
    </w:p>
    <w:p w14:paraId="2EF3ABA5" w14:textId="77777777" w:rsidR="00005A00" w:rsidRPr="00256982" w:rsidRDefault="00005A00" w:rsidP="00005A00">
      <w:pPr>
        <w:pStyle w:val="Heading3"/>
        <w:spacing w:before="240"/>
      </w:pPr>
      <w:r w:rsidRPr="00256982">
        <w:t>7.5.1</w:t>
      </w:r>
      <w:r w:rsidRPr="00256982">
        <w:tab/>
        <w:t>Description</w:t>
      </w:r>
    </w:p>
    <w:p w14:paraId="550CB28E" w14:textId="77777777" w:rsidR="00005A00" w:rsidRPr="00256982" w:rsidRDefault="00005A00" w:rsidP="00005A00">
      <w:pPr>
        <w:pStyle w:val="BodyText"/>
      </w:pPr>
      <w:r w:rsidRPr="00256982">
        <w:t xml:space="preserve">In 2017, </w:t>
      </w:r>
      <w:r w:rsidRPr="00256982">
        <w:rPr>
          <w:i/>
        </w:rPr>
        <w:t>Wastewater treatment and discharge</w:t>
      </w:r>
      <w:r w:rsidRPr="00256982">
        <w:t xml:space="preserve"> contributed 361.5 kt CO</w:t>
      </w:r>
      <w:r w:rsidRPr="00256982">
        <w:rPr>
          <w:vertAlign w:val="subscript"/>
        </w:rPr>
        <w:t>2</w:t>
      </w:r>
      <w:r w:rsidRPr="00256982">
        <w:t>-e (8.8 per cent) of emissions from the Waste sector. This was an increase of 60.3 kt CO</w:t>
      </w:r>
      <w:r w:rsidRPr="00256982">
        <w:rPr>
          <w:vertAlign w:val="subscript"/>
        </w:rPr>
        <w:t>2</w:t>
      </w:r>
      <w:r w:rsidRPr="00256982">
        <w:t>-e (20.0 per cent) from the 1990 level of 301.2 kt CO</w:t>
      </w:r>
      <w:r w:rsidRPr="00256982">
        <w:rPr>
          <w:vertAlign w:val="subscript"/>
        </w:rPr>
        <w:t>2</w:t>
      </w:r>
      <w:r w:rsidRPr="00256982">
        <w:t>-e and is due to increases in the volume of industrial and domestic wastewater handled over this period.</w:t>
      </w:r>
    </w:p>
    <w:p w14:paraId="632AD4B7" w14:textId="77777777" w:rsidR="00005A00" w:rsidRPr="00256982" w:rsidRDefault="00005A00" w:rsidP="00005A00">
      <w:pPr>
        <w:pStyle w:val="BodyText"/>
      </w:pPr>
      <w:r w:rsidRPr="00256982">
        <w:t xml:space="preserve">Small amounts of industrial wastewater are applied as organic amendments to agricultural soils, as well as an extremely small amount of sewage sludge (van der Weerden et al., 2014). Any emissions from this practice are likely to be insignificant (see chapter 5, section </w:t>
      </w:r>
      <w:r w:rsidRPr="00781D3B">
        <w:t>5.5.2</w:t>
      </w:r>
      <w:r w:rsidRPr="00256982">
        <w:t>). Table 7.5.1 presents emissions from wastewater treatment and discharge.</w:t>
      </w:r>
    </w:p>
    <w:p w14:paraId="7D2F563B" w14:textId="77777777" w:rsidR="00005A00" w:rsidRPr="00256982" w:rsidRDefault="00005A00" w:rsidP="00005A00">
      <w:pPr>
        <w:pStyle w:val="BodyText"/>
        <w:rPr>
          <w:spacing w:val="-2"/>
        </w:rPr>
      </w:pPr>
      <w:r w:rsidRPr="00256982">
        <w:rPr>
          <w:spacing w:val="-2"/>
        </w:rPr>
        <w:t xml:space="preserve">Sludge amounts are reported as IE (included elsewhere) for domestic and industrial wastewater because most of the sludge is sent to landfills, and activity data and emissions from its disposal are reported in the </w:t>
      </w:r>
      <w:r w:rsidRPr="00256982">
        <w:rPr>
          <w:i/>
          <w:spacing w:val="-2"/>
        </w:rPr>
        <w:t>Solid waste</w:t>
      </w:r>
      <w:r w:rsidRPr="00256982">
        <w:rPr>
          <w:spacing w:val="-2"/>
        </w:rPr>
        <w:t xml:space="preserve"> </w:t>
      </w:r>
      <w:r w:rsidRPr="00256982">
        <w:rPr>
          <w:i/>
          <w:spacing w:val="-2"/>
        </w:rPr>
        <w:t>disposal</w:t>
      </w:r>
      <w:r w:rsidRPr="00256982">
        <w:rPr>
          <w:spacing w:val="-2"/>
        </w:rPr>
        <w:t xml:space="preserve"> source category (Tonkin and Taylor Ltd, unpublished(a)).</w:t>
      </w:r>
    </w:p>
    <w:p w14:paraId="1C0C08E7" w14:textId="77777777" w:rsidR="00005A00" w:rsidRPr="00256982" w:rsidRDefault="00005A00" w:rsidP="00005A00">
      <w:pPr>
        <w:pStyle w:val="Table"/>
      </w:pPr>
      <w:bookmarkStart w:id="2370" w:name="_Toc5269578"/>
      <w:r w:rsidRPr="00256982">
        <w:t xml:space="preserve">Table 7.5.1 </w:t>
      </w:r>
      <w:r w:rsidRPr="00256982">
        <w:tab/>
        <w:t>Emissions from Wastewater treatment and discharge (5.D)</w:t>
      </w:r>
      <w:bookmarkEnd w:id="2370"/>
    </w:p>
    <w:tbl>
      <w:tblPr>
        <w:tblW w:w="8562" w:type="dxa"/>
        <w:tblInd w:w="108" w:type="dxa"/>
        <w:tblLayout w:type="fixed"/>
        <w:tblLook w:val="04A0" w:firstRow="1" w:lastRow="0" w:firstColumn="1" w:lastColumn="0" w:noHBand="0" w:noVBand="1"/>
      </w:tblPr>
      <w:tblGrid>
        <w:gridCol w:w="2647"/>
        <w:gridCol w:w="1245"/>
        <w:gridCol w:w="1211"/>
        <w:gridCol w:w="1904"/>
        <w:gridCol w:w="1555"/>
      </w:tblGrid>
      <w:tr w:rsidR="00005A00" w:rsidRPr="00256982" w14:paraId="3EF21A2E" w14:textId="77777777" w:rsidTr="005503CE">
        <w:tc>
          <w:tcPr>
            <w:tcW w:w="1546" w:type="pct"/>
            <w:tcBorders>
              <w:top w:val="single" w:sz="4" w:space="0" w:color="365F91"/>
              <w:bottom w:val="single" w:sz="4" w:space="0" w:color="365F91"/>
            </w:tcBorders>
            <w:shd w:val="clear" w:color="auto" w:fill="365F91"/>
            <w:vAlign w:val="bottom"/>
          </w:tcPr>
          <w:p w14:paraId="14BE35F3" w14:textId="77777777" w:rsidR="00005A00" w:rsidRPr="00256982" w:rsidRDefault="00005A00" w:rsidP="005503CE">
            <w:pPr>
              <w:pStyle w:val="TableTextbold0"/>
              <w:rPr>
                <w:color w:val="FFFFFF"/>
              </w:rPr>
            </w:pPr>
          </w:p>
        </w:tc>
        <w:tc>
          <w:tcPr>
            <w:tcW w:w="1434" w:type="pct"/>
            <w:gridSpan w:val="2"/>
            <w:tcBorders>
              <w:top w:val="single" w:sz="4" w:space="0" w:color="365F91"/>
              <w:bottom w:val="single" w:sz="4" w:space="0" w:color="365F91"/>
            </w:tcBorders>
            <w:shd w:val="clear" w:color="auto" w:fill="365F91"/>
            <w:vAlign w:val="bottom"/>
          </w:tcPr>
          <w:p w14:paraId="60286F50" w14:textId="77777777" w:rsidR="00005A00" w:rsidRPr="00256982" w:rsidRDefault="00005A00" w:rsidP="00AA14F1">
            <w:pPr>
              <w:pStyle w:val="TableTextBold"/>
              <w:jc w:val="center"/>
              <w:rPr>
                <w:noProof w:val="0"/>
                <w:color w:val="FFFFFF"/>
              </w:rPr>
            </w:pPr>
            <w:r w:rsidRPr="00256982">
              <w:rPr>
                <w:noProof w:val="0"/>
                <w:color w:val="FFFFFF"/>
              </w:rPr>
              <w:t xml:space="preserve">Emissions </w:t>
            </w:r>
            <w:r w:rsidRPr="00256982">
              <w:rPr>
                <w:noProof w:val="0"/>
                <w:color w:val="FFFFFF"/>
              </w:rPr>
              <w:br/>
              <w:t>(kt CO</w:t>
            </w:r>
            <w:r w:rsidRPr="00256982">
              <w:rPr>
                <w:noProof w:val="0"/>
                <w:color w:val="FFFFFF"/>
                <w:vertAlign w:val="subscript"/>
              </w:rPr>
              <w:t>2</w:t>
            </w:r>
            <w:r w:rsidRPr="00256982">
              <w:rPr>
                <w:noProof w:val="0"/>
                <w:color w:val="FFFFFF"/>
              </w:rPr>
              <w:t>-e)</w:t>
            </w:r>
          </w:p>
        </w:tc>
        <w:tc>
          <w:tcPr>
            <w:tcW w:w="1112" w:type="pct"/>
            <w:tcBorders>
              <w:top w:val="single" w:sz="4" w:space="0" w:color="365F91"/>
              <w:bottom w:val="single" w:sz="4" w:space="0" w:color="365F91"/>
            </w:tcBorders>
            <w:shd w:val="clear" w:color="auto" w:fill="365F91"/>
            <w:vAlign w:val="bottom"/>
          </w:tcPr>
          <w:p w14:paraId="0A432735" w14:textId="77777777" w:rsidR="00005A00" w:rsidRPr="00256982" w:rsidRDefault="00005A00" w:rsidP="00AA14F1">
            <w:pPr>
              <w:pStyle w:val="TableTextBold"/>
              <w:jc w:val="right"/>
              <w:rPr>
                <w:noProof w:val="0"/>
                <w:color w:val="FFFFFF"/>
              </w:rPr>
            </w:pPr>
            <w:r w:rsidRPr="00256982">
              <w:rPr>
                <w:noProof w:val="0"/>
                <w:color w:val="FFFFFF"/>
              </w:rPr>
              <w:t>Difference (kt CO</w:t>
            </w:r>
            <w:r w:rsidRPr="00256982">
              <w:rPr>
                <w:noProof w:val="0"/>
                <w:color w:val="FFFFFF"/>
                <w:vertAlign w:val="subscript"/>
              </w:rPr>
              <w:t>2</w:t>
            </w:r>
            <w:r w:rsidRPr="00256982">
              <w:rPr>
                <w:noProof w:val="0"/>
                <w:color w:val="FFFFFF"/>
              </w:rPr>
              <w:t>-e)</w:t>
            </w:r>
          </w:p>
        </w:tc>
        <w:tc>
          <w:tcPr>
            <w:tcW w:w="908" w:type="pct"/>
            <w:tcBorders>
              <w:top w:val="single" w:sz="4" w:space="0" w:color="365F91"/>
              <w:bottom w:val="single" w:sz="4" w:space="0" w:color="365F91"/>
            </w:tcBorders>
            <w:shd w:val="clear" w:color="auto" w:fill="365F91"/>
            <w:vAlign w:val="bottom"/>
          </w:tcPr>
          <w:p w14:paraId="4D43D93F" w14:textId="77777777" w:rsidR="00005A00" w:rsidRPr="00256982" w:rsidRDefault="00005A00" w:rsidP="00AA14F1">
            <w:pPr>
              <w:pStyle w:val="TableTextBold"/>
              <w:jc w:val="right"/>
              <w:rPr>
                <w:noProof w:val="0"/>
                <w:color w:val="FFFFFF"/>
              </w:rPr>
            </w:pPr>
            <w:r w:rsidRPr="00256982">
              <w:rPr>
                <w:noProof w:val="0"/>
                <w:color w:val="FFFFFF"/>
              </w:rPr>
              <w:t>Change (%)</w:t>
            </w:r>
          </w:p>
        </w:tc>
      </w:tr>
      <w:tr w:rsidR="00005A00" w:rsidRPr="00256982" w14:paraId="076E89C4" w14:textId="77777777" w:rsidTr="005503CE">
        <w:tc>
          <w:tcPr>
            <w:tcW w:w="1546" w:type="pct"/>
            <w:tcBorders>
              <w:top w:val="single" w:sz="4" w:space="0" w:color="365F91"/>
              <w:bottom w:val="single" w:sz="4" w:space="0" w:color="365F91"/>
            </w:tcBorders>
            <w:shd w:val="clear" w:color="auto" w:fill="FFFFFF"/>
          </w:tcPr>
          <w:p w14:paraId="68E33DCF" w14:textId="77777777" w:rsidR="00005A00" w:rsidRPr="00256982" w:rsidRDefault="00005A00" w:rsidP="00AA14F1">
            <w:pPr>
              <w:pStyle w:val="Tableboldblue"/>
            </w:pPr>
            <w:r w:rsidRPr="00256982">
              <w:t>Source category</w:t>
            </w:r>
          </w:p>
        </w:tc>
        <w:tc>
          <w:tcPr>
            <w:tcW w:w="727" w:type="pct"/>
            <w:tcBorders>
              <w:top w:val="single" w:sz="4" w:space="0" w:color="365F91"/>
              <w:bottom w:val="single" w:sz="4" w:space="0" w:color="365F91"/>
            </w:tcBorders>
            <w:shd w:val="clear" w:color="auto" w:fill="FFFFFF"/>
            <w:vAlign w:val="bottom"/>
          </w:tcPr>
          <w:p w14:paraId="70C72C00" w14:textId="77777777" w:rsidR="00005A00" w:rsidRPr="00256982" w:rsidRDefault="00005A00" w:rsidP="00AA14F1">
            <w:pPr>
              <w:pStyle w:val="Tableboldblue"/>
              <w:jc w:val="right"/>
            </w:pPr>
            <w:r w:rsidRPr="00256982">
              <w:t>1990</w:t>
            </w:r>
          </w:p>
        </w:tc>
        <w:tc>
          <w:tcPr>
            <w:tcW w:w="707" w:type="pct"/>
            <w:tcBorders>
              <w:top w:val="single" w:sz="4" w:space="0" w:color="365F91"/>
              <w:bottom w:val="single" w:sz="4" w:space="0" w:color="365F91"/>
            </w:tcBorders>
            <w:shd w:val="clear" w:color="auto" w:fill="FFFFFF"/>
            <w:vAlign w:val="bottom"/>
          </w:tcPr>
          <w:p w14:paraId="23EFFB3B" w14:textId="77777777" w:rsidR="00005A00" w:rsidRPr="00256982" w:rsidRDefault="00005A00" w:rsidP="00AA14F1">
            <w:pPr>
              <w:pStyle w:val="Tableboldblue"/>
              <w:jc w:val="right"/>
            </w:pPr>
            <w:r w:rsidRPr="00256982">
              <w:t>2017</w:t>
            </w:r>
          </w:p>
        </w:tc>
        <w:tc>
          <w:tcPr>
            <w:tcW w:w="1112" w:type="pct"/>
            <w:tcBorders>
              <w:top w:val="single" w:sz="4" w:space="0" w:color="365F91"/>
              <w:bottom w:val="single" w:sz="4" w:space="0" w:color="365F91"/>
            </w:tcBorders>
            <w:shd w:val="clear" w:color="auto" w:fill="FFFFFF"/>
            <w:vAlign w:val="bottom"/>
          </w:tcPr>
          <w:p w14:paraId="4885CA65" w14:textId="77777777" w:rsidR="00005A00" w:rsidRPr="00256982" w:rsidRDefault="00005A00" w:rsidP="00AA14F1">
            <w:pPr>
              <w:pStyle w:val="Tableboldblue"/>
              <w:jc w:val="right"/>
            </w:pPr>
            <w:r w:rsidRPr="00256982">
              <w:t>1990–2017</w:t>
            </w:r>
          </w:p>
        </w:tc>
        <w:tc>
          <w:tcPr>
            <w:tcW w:w="908" w:type="pct"/>
            <w:tcBorders>
              <w:top w:val="single" w:sz="4" w:space="0" w:color="365F91"/>
              <w:bottom w:val="single" w:sz="4" w:space="0" w:color="365F91"/>
            </w:tcBorders>
            <w:shd w:val="clear" w:color="auto" w:fill="FFFFFF"/>
            <w:vAlign w:val="bottom"/>
          </w:tcPr>
          <w:p w14:paraId="4FB254DD" w14:textId="77777777" w:rsidR="00005A00" w:rsidRPr="00256982" w:rsidRDefault="00005A00" w:rsidP="00AA14F1">
            <w:pPr>
              <w:pStyle w:val="Tableboldblue"/>
              <w:jc w:val="right"/>
            </w:pPr>
            <w:r w:rsidRPr="00256982">
              <w:t>1990–2017</w:t>
            </w:r>
          </w:p>
        </w:tc>
      </w:tr>
      <w:tr w:rsidR="00005A00" w:rsidRPr="00256982" w14:paraId="27DAA36E" w14:textId="77777777" w:rsidTr="005503CE">
        <w:tc>
          <w:tcPr>
            <w:tcW w:w="1546" w:type="pct"/>
            <w:tcBorders>
              <w:top w:val="single" w:sz="4" w:space="0" w:color="365F91"/>
              <w:bottom w:val="single" w:sz="4" w:space="0" w:color="365F91"/>
            </w:tcBorders>
          </w:tcPr>
          <w:p w14:paraId="36A7D1C3" w14:textId="77777777" w:rsidR="00005A00" w:rsidRPr="00256982" w:rsidRDefault="00005A00" w:rsidP="00AA14F1">
            <w:pPr>
              <w:pStyle w:val="TableText"/>
            </w:pPr>
            <w:r w:rsidRPr="00256982">
              <w:t>Domestic wastewater (5.D.1)</w:t>
            </w:r>
          </w:p>
        </w:tc>
        <w:tc>
          <w:tcPr>
            <w:tcW w:w="727" w:type="pct"/>
            <w:tcBorders>
              <w:top w:val="single" w:sz="4" w:space="0" w:color="365F91"/>
              <w:bottom w:val="single" w:sz="4" w:space="0" w:color="365F91"/>
            </w:tcBorders>
          </w:tcPr>
          <w:p w14:paraId="5F26EA19" w14:textId="77777777" w:rsidR="00005A00" w:rsidRPr="00256982" w:rsidRDefault="00005A00" w:rsidP="00AA14F1">
            <w:pPr>
              <w:pStyle w:val="TableText"/>
              <w:tabs>
                <w:tab w:val="decimal" w:pos="598"/>
              </w:tabs>
              <w:jc w:val="right"/>
              <w:rPr>
                <w:rFonts w:cs="Arial"/>
              </w:rPr>
            </w:pPr>
            <w:r w:rsidRPr="00256982">
              <w:rPr>
                <w:rFonts w:cs="Arial"/>
              </w:rPr>
              <w:t>209.1</w:t>
            </w:r>
          </w:p>
        </w:tc>
        <w:tc>
          <w:tcPr>
            <w:tcW w:w="707" w:type="pct"/>
            <w:tcBorders>
              <w:top w:val="single" w:sz="4" w:space="0" w:color="365F91"/>
              <w:bottom w:val="single" w:sz="4" w:space="0" w:color="365F91"/>
            </w:tcBorders>
          </w:tcPr>
          <w:p w14:paraId="72EFAD20" w14:textId="77777777" w:rsidR="00005A00" w:rsidRPr="00256982" w:rsidRDefault="00005A00" w:rsidP="00AA14F1">
            <w:pPr>
              <w:pStyle w:val="TableText"/>
              <w:tabs>
                <w:tab w:val="decimal" w:pos="598"/>
              </w:tabs>
              <w:jc w:val="right"/>
            </w:pPr>
            <w:r w:rsidRPr="00256982">
              <w:t>257.5</w:t>
            </w:r>
          </w:p>
        </w:tc>
        <w:tc>
          <w:tcPr>
            <w:tcW w:w="1112" w:type="pct"/>
            <w:tcBorders>
              <w:top w:val="single" w:sz="4" w:space="0" w:color="365F91"/>
              <w:bottom w:val="single" w:sz="4" w:space="0" w:color="365F91"/>
            </w:tcBorders>
          </w:tcPr>
          <w:p w14:paraId="6FD1A1FA" w14:textId="77777777" w:rsidR="00005A00" w:rsidRPr="00256982" w:rsidRDefault="00005A00" w:rsidP="00AA14F1">
            <w:pPr>
              <w:pStyle w:val="TableText"/>
              <w:tabs>
                <w:tab w:val="decimal" w:pos="598"/>
              </w:tabs>
              <w:jc w:val="right"/>
            </w:pPr>
            <w:r w:rsidRPr="00256982">
              <w:t>48.3</w:t>
            </w:r>
          </w:p>
        </w:tc>
        <w:tc>
          <w:tcPr>
            <w:tcW w:w="908" w:type="pct"/>
            <w:tcBorders>
              <w:top w:val="single" w:sz="4" w:space="0" w:color="365F91"/>
              <w:bottom w:val="single" w:sz="4" w:space="0" w:color="365F91"/>
            </w:tcBorders>
          </w:tcPr>
          <w:p w14:paraId="583FEFAD" w14:textId="77777777" w:rsidR="00005A00" w:rsidRPr="00256982" w:rsidRDefault="00005A00" w:rsidP="00AA14F1">
            <w:pPr>
              <w:pStyle w:val="TableText"/>
              <w:tabs>
                <w:tab w:val="decimal" w:pos="598"/>
              </w:tabs>
              <w:jc w:val="right"/>
            </w:pPr>
            <w:r w:rsidRPr="00256982">
              <w:t>23.1</w:t>
            </w:r>
          </w:p>
        </w:tc>
      </w:tr>
      <w:tr w:rsidR="00005A00" w:rsidRPr="00256982" w14:paraId="46077E62" w14:textId="77777777" w:rsidTr="005503CE">
        <w:tc>
          <w:tcPr>
            <w:tcW w:w="1546" w:type="pct"/>
            <w:tcBorders>
              <w:top w:val="single" w:sz="4" w:space="0" w:color="365F91"/>
              <w:bottom w:val="single" w:sz="4" w:space="0" w:color="365F91"/>
            </w:tcBorders>
          </w:tcPr>
          <w:p w14:paraId="09BC75CD" w14:textId="77777777" w:rsidR="00005A00" w:rsidRPr="00256982" w:rsidRDefault="00005A00" w:rsidP="00AA14F1">
            <w:pPr>
              <w:pStyle w:val="TableText"/>
            </w:pPr>
            <w:r w:rsidRPr="00256982">
              <w:t>Industrial wastewater (5.D.2)</w:t>
            </w:r>
          </w:p>
        </w:tc>
        <w:tc>
          <w:tcPr>
            <w:tcW w:w="727" w:type="pct"/>
            <w:tcBorders>
              <w:top w:val="single" w:sz="4" w:space="0" w:color="365F91"/>
              <w:bottom w:val="single" w:sz="4" w:space="0" w:color="365F91"/>
            </w:tcBorders>
          </w:tcPr>
          <w:p w14:paraId="1DFFEDDA" w14:textId="77777777" w:rsidR="00005A00" w:rsidRPr="00256982" w:rsidRDefault="00005A00" w:rsidP="00AA14F1">
            <w:pPr>
              <w:pStyle w:val="TableText"/>
              <w:tabs>
                <w:tab w:val="decimal" w:pos="598"/>
              </w:tabs>
              <w:jc w:val="right"/>
            </w:pPr>
            <w:r w:rsidRPr="00256982">
              <w:t>92.1</w:t>
            </w:r>
          </w:p>
        </w:tc>
        <w:tc>
          <w:tcPr>
            <w:tcW w:w="707" w:type="pct"/>
            <w:tcBorders>
              <w:top w:val="single" w:sz="4" w:space="0" w:color="365F91"/>
              <w:bottom w:val="single" w:sz="4" w:space="0" w:color="365F91"/>
            </w:tcBorders>
          </w:tcPr>
          <w:p w14:paraId="7E547665" w14:textId="77777777" w:rsidR="00005A00" w:rsidRPr="00256982" w:rsidRDefault="00005A00" w:rsidP="00AA14F1">
            <w:pPr>
              <w:pStyle w:val="TableText"/>
              <w:tabs>
                <w:tab w:val="decimal" w:pos="598"/>
              </w:tabs>
              <w:jc w:val="right"/>
            </w:pPr>
            <w:r w:rsidRPr="00256982">
              <w:t>104.1</w:t>
            </w:r>
          </w:p>
        </w:tc>
        <w:tc>
          <w:tcPr>
            <w:tcW w:w="1112" w:type="pct"/>
            <w:tcBorders>
              <w:top w:val="single" w:sz="4" w:space="0" w:color="365F91"/>
              <w:bottom w:val="single" w:sz="4" w:space="0" w:color="365F91"/>
            </w:tcBorders>
          </w:tcPr>
          <w:p w14:paraId="094EF55C" w14:textId="77777777" w:rsidR="00005A00" w:rsidRPr="00256982" w:rsidRDefault="00005A00" w:rsidP="00AA14F1">
            <w:pPr>
              <w:pStyle w:val="TableText"/>
              <w:tabs>
                <w:tab w:val="decimal" w:pos="598"/>
              </w:tabs>
              <w:jc w:val="right"/>
            </w:pPr>
            <w:r w:rsidRPr="00256982">
              <w:t>12.0</w:t>
            </w:r>
          </w:p>
        </w:tc>
        <w:tc>
          <w:tcPr>
            <w:tcW w:w="908" w:type="pct"/>
            <w:tcBorders>
              <w:top w:val="single" w:sz="4" w:space="0" w:color="365F91"/>
              <w:bottom w:val="single" w:sz="4" w:space="0" w:color="365F91"/>
            </w:tcBorders>
          </w:tcPr>
          <w:p w14:paraId="352776DB" w14:textId="77777777" w:rsidR="00005A00" w:rsidRPr="00256982" w:rsidRDefault="00005A00" w:rsidP="00AA14F1">
            <w:pPr>
              <w:pStyle w:val="TableText"/>
              <w:tabs>
                <w:tab w:val="decimal" w:pos="598"/>
              </w:tabs>
              <w:jc w:val="right"/>
            </w:pPr>
            <w:r w:rsidRPr="00256982">
              <w:t>13.0</w:t>
            </w:r>
          </w:p>
        </w:tc>
      </w:tr>
      <w:tr w:rsidR="00005A00" w:rsidRPr="00256982" w14:paraId="1F45FC94" w14:textId="77777777" w:rsidTr="005503CE">
        <w:tc>
          <w:tcPr>
            <w:tcW w:w="1546" w:type="pct"/>
            <w:tcBorders>
              <w:top w:val="single" w:sz="4" w:space="0" w:color="365F91"/>
              <w:bottom w:val="single" w:sz="4" w:space="0" w:color="365F91"/>
            </w:tcBorders>
            <w:shd w:val="clear" w:color="auto" w:fill="FFFFFF"/>
          </w:tcPr>
          <w:p w14:paraId="288852BD" w14:textId="77777777" w:rsidR="00005A00" w:rsidRPr="00256982" w:rsidRDefault="00005A00" w:rsidP="00AA14F1">
            <w:pPr>
              <w:pStyle w:val="Tableboldblue"/>
            </w:pPr>
            <w:r w:rsidRPr="00256982">
              <w:t>Total (5.D)</w:t>
            </w:r>
          </w:p>
        </w:tc>
        <w:tc>
          <w:tcPr>
            <w:tcW w:w="727" w:type="pct"/>
            <w:tcBorders>
              <w:top w:val="single" w:sz="4" w:space="0" w:color="365F91"/>
              <w:bottom w:val="single" w:sz="4" w:space="0" w:color="365F91"/>
            </w:tcBorders>
            <w:shd w:val="clear" w:color="auto" w:fill="FFFFFF"/>
          </w:tcPr>
          <w:p w14:paraId="10DAEE09" w14:textId="77777777" w:rsidR="00005A00" w:rsidRPr="00256982" w:rsidRDefault="00005A00" w:rsidP="00AA14F1">
            <w:pPr>
              <w:pStyle w:val="Tableboldblue"/>
              <w:jc w:val="right"/>
            </w:pPr>
            <w:r w:rsidRPr="00256982">
              <w:t>301.2</w:t>
            </w:r>
          </w:p>
        </w:tc>
        <w:tc>
          <w:tcPr>
            <w:tcW w:w="707" w:type="pct"/>
            <w:tcBorders>
              <w:top w:val="single" w:sz="4" w:space="0" w:color="365F91"/>
              <w:bottom w:val="single" w:sz="4" w:space="0" w:color="365F91"/>
            </w:tcBorders>
            <w:shd w:val="clear" w:color="auto" w:fill="FFFFFF"/>
          </w:tcPr>
          <w:p w14:paraId="39EA8CC9" w14:textId="77777777" w:rsidR="00005A00" w:rsidRPr="00256982" w:rsidRDefault="00005A00" w:rsidP="00AA14F1">
            <w:pPr>
              <w:pStyle w:val="Tableboldblue"/>
              <w:jc w:val="right"/>
            </w:pPr>
            <w:r w:rsidRPr="00256982">
              <w:t>361.5</w:t>
            </w:r>
          </w:p>
        </w:tc>
        <w:tc>
          <w:tcPr>
            <w:tcW w:w="1112" w:type="pct"/>
            <w:tcBorders>
              <w:top w:val="single" w:sz="4" w:space="0" w:color="365F91"/>
              <w:bottom w:val="single" w:sz="4" w:space="0" w:color="365F91"/>
            </w:tcBorders>
            <w:shd w:val="clear" w:color="auto" w:fill="FFFFFF"/>
          </w:tcPr>
          <w:p w14:paraId="7627D9BA" w14:textId="77777777" w:rsidR="00005A00" w:rsidRPr="00256982" w:rsidRDefault="00005A00" w:rsidP="00AA14F1">
            <w:pPr>
              <w:pStyle w:val="Tableboldblue"/>
              <w:jc w:val="right"/>
            </w:pPr>
            <w:r w:rsidRPr="00256982">
              <w:t>60.3</w:t>
            </w:r>
          </w:p>
        </w:tc>
        <w:tc>
          <w:tcPr>
            <w:tcW w:w="908" w:type="pct"/>
            <w:tcBorders>
              <w:top w:val="single" w:sz="4" w:space="0" w:color="365F91"/>
              <w:bottom w:val="single" w:sz="4" w:space="0" w:color="365F91"/>
            </w:tcBorders>
            <w:shd w:val="clear" w:color="auto" w:fill="FFFFFF"/>
          </w:tcPr>
          <w:p w14:paraId="71D8A52F" w14:textId="77777777" w:rsidR="00005A00" w:rsidRPr="00256982" w:rsidRDefault="00005A00" w:rsidP="00AA14F1">
            <w:pPr>
              <w:pStyle w:val="Tableboldblue"/>
              <w:jc w:val="right"/>
            </w:pPr>
            <w:r w:rsidRPr="00256982">
              <w:t>20.0</w:t>
            </w:r>
          </w:p>
        </w:tc>
      </w:tr>
    </w:tbl>
    <w:p w14:paraId="5AF78105" w14:textId="77777777" w:rsidR="00005A00" w:rsidRPr="00256982" w:rsidRDefault="00005A00" w:rsidP="00005A00">
      <w:pPr>
        <w:pStyle w:val="Noteundertable"/>
      </w:pPr>
      <w:r w:rsidRPr="00256982">
        <w:rPr>
          <w:b/>
        </w:rPr>
        <w:t>Note:</w:t>
      </w:r>
      <w:r w:rsidRPr="00256982">
        <w:tab/>
        <w:t>Percentages presented are calculated from unrounded values.</w:t>
      </w:r>
    </w:p>
    <w:p w14:paraId="641D930D" w14:textId="77777777" w:rsidR="00005A00" w:rsidRPr="00256982" w:rsidRDefault="00005A00" w:rsidP="00005A00">
      <w:pPr>
        <w:pStyle w:val="BodyText"/>
      </w:pPr>
      <w:r w:rsidRPr="00256982">
        <w:t xml:space="preserve">Methane emissions from the </w:t>
      </w:r>
      <w:r w:rsidRPr="00256982">
        <w:rPr>
          <w:i/>
        </w:rPr>
        <w:t>Wastewater treatment and discharge</w:t>
      </w:r>
      <w:r w:rsidRPr="00256982">
        <w:t xml:space="preserve"> source category were identified as a key category in the 2017 level assessment.</w:t>
      </w:r>
    </w:p>
    <w:p w14:paraId="5D9F4BB0" w14:textId="77777777" w:rsidR="00005A00" w:rsidRPr="00256982" w:rsidRDefault="00005A00" w:rsidP="00005A00">
      <w:pPr>
        <w:pStyle w:val="Heading4"/>
      </w:pPr>
      <w:r w:rsidRPr="00256982">
        <w:t>Domestic wastewater (5.D.1)</w:t>
      </w:r>
    </w:p>
    <w:p w14:paraId="43278357" w14:textId="77777777" w:rsidR="00005A00" w:rsidRPr="00256982" w:rsidRDefault="00005A00" w:rsidP="00005A00">
      <w:pPr>
        <w:pStyle w:val="BodyText"/>
      </w:pPr>
      <w:r w:rsidRPr="00256982">
        <w:t>Wastewater from almost every town in New Zealand with a population over 1,000 is collected and treated in community wastewater treatment plants. There are approximately 317 municipal wastewater treatment plants in New Zealand and around a further 50 government or privately owned treatment plants serving populations of more than 100 people (SCS Wetherill Environmental, unpublished).</w:t>
      </w:r>
    </w:p>
    <w:p w14:paraId="5DE689BA" w14:textId="77777777" w:rsidR="00005A00" w:rsidRPr="00256982" w:rsidRDefault="00005A00" w:rsidP="00005A00">
      <w:pPr>
        <w:pStyle w:val="BodyText"/>
      </w:pPr>
      <w:r w:rsidRPr="00256982">
        <w:t>Although most of the wastewater treatment processes are aerobic, a significant number of wastewater treatment plants use partially anaerobic processes, such as oxidation ponds or septic tanks. Small communities and individual rural dwellings are served mainly by simple septic tanks. While the part of the population using septic tanks is small, compared with the national population, this treatment type produces the most CH</w:t>
      </w:r>
      <w:r w:rsidRPr="00256982">
        <w:rPr>
          <w:vertAlign w:val="subscript"/>
        </w:rPr>
        <w:t>4</w:t>
      </w:r>
      <w:r w:rsidRPr="00256982">
        <w:t xml:space="preserve"> emissions from domestic wastewater, because emissions from other treatment types are small or the CH</w:t>
      </w:r>
      <w:r w:rsidRPr="00256982">
        <w:rPr>
          <w:vertAlign w:val="subscript"/>
        </w:rPr>
        <w:t xml:space="preserve">4 </w:t>
      </w:r>
      <w:r w:rsidRPr="00256982">
        <w:t>is destroyed.</w:t>
      </w:r>
    </w:p>
    <w:p w14:paraId="703E9EB3" w14:textId="77777777" w:rsidR="00005A00" w:rsidRPr="00256982" w:rsidRDefault="00005A00" w:rsidP="00005A00">
      <w:pPr>
        <w:pStyle w:val="Heading4"/>
      </w:pPr>
      <w:r w:rsidRPr="00256982">
        <w:t>Industrial wastewater (5.D.2)</w:t>
      </w:r>
    </w:p>
    <w:p w14:paraId="2D5B3C14" w14:textId="77777777" w:rsidR="00005A00" w:rsidRPr="00256982" w:rsidRDefault="00005A00" w:rsidP="00005A00">
      <w:pPr>
        <w:pStyle w:val="BodyText"/>
        <w:widowControl w:val="0"/>
        <w:spacing w:after="100"/>
        <w:rPr>
          <w:rFonts w:eastAsia="+mn-ea"/>
        </w:rPr>
      </w:pPr>
      <w:r w:rsidRPr="00256982">
        <w:rPr>
          <w:rFonts w:eastAsia="+mn-ea"/>
        </w:rPr>
        <w:t>The major sources of industrial wastewater in New Zealand are the meat and the pulp and paper industries. Most of the industrial wastewater treatment is aerobic, and most of the CH</w:t>
      </w:r>
      <w:r w:rsidRPr="00256982">
        <w:rPr>
          <w:rFonts w:eastAsia="+mn-ea"/>
          <w:vertAlign w:val="subscript"/>
        </w:rPr>
        <w:t>4</w:t>
      </w:r>
      <w:r w:rsidRPr="00256982">
        <w:rPr>
          <w:rFonts w:eastAsia="+mn-ea"/>
        </w:rPr>
        <w:t xml:space="preserve"> generated from anaerobic treatment is flared.</w:t>
      </w:r>
    </w:p>
    <w:p w14:paraId="201C9945" w14:textId="77777777" w:rsidR="00005A00" w:rsidRPr="00256982" w:rsidRDefault="00005A00" w:rsidP="00005A00">
      <w:pPr>
        <w:pStyle w:val="BodyText"/>
        <w:spacing w:after="100"/>
        <w:rPr>
          <w:rFonts w:eastAsia="+mn-ea"/>
        </w:rPr>
      </w:pPr>
      <w:r w:rsidRPr="00256982">
        <w:rPr>
          <w:rFonts w:eastAsia="+mn-ea"/>
        </w:rPr>
        <w:t>In June 2015, the methodologies and input data used to calculate the industrial wastewater emissions were reviewed, to capture any changes in industry activity and ensure current best practice and knowledge were reflected (Cardno, unpublished). This is discussed further under section 7.5.2.</w:t>
      </w:r>
    </w:p>
    <w:p w14:paraId="0430A2EB" w14:textId="77777777" w:rsidR="00005A00" w:rsidRPr="00256982" w:rsidRDefault="00005A00" w:rsidP="00005A00">
      <w:pPr>
        <w:pStyle w:val="Heading3"/>
      </w:pPr>
      <w:r w:rsidRPr="00256982">
        <w:t xml:space="preserve">7.5.2 </w:t>
      </w:r>
      <w:r w:rsidRPr="00256982">
        <w:tab/>
        <w:t>Methodological issues</w:t>
      </w:r>
    </w:p>
    <w:p w14:paraId="58E6C359" w14:textId="77777777" w:rsidR="00005A00" w:rsidRPr="00256982" w:rsidRDefault="00005A00" w:rsidP="00005A00">
      <w:pPr>
        <w:pStyle w:val="Heading4"/>
      </w:pPr>
      <w:r w:rsidRPr="00256982">
        <w:t>Choice of activity data</w:t>
      </w:r>
    </w:p>
    <w:p w14:paraId="27E10D18" w14:textId="77777777" w:rsidR="00005A00" w:rsidRPr="00256982" w:rsidRDefault="00005A00" w:rsidP="00005A00">
      <w:pPr>
        <w:pStyle w:val="Heading5"/>
      </w:pPr>
      <w:r w:rsidRPr="00256982">
        <w:t>Domestic wastewater (5.D.1)</w:t>
      </w:r>
    </w:p>
    <w:p w14:paraId="7FC00A70" w14:textId="77777777" w:rsidR="00005A00" w:rsidRPr="00256982" w:rsidRDefault="00005A00" w:rsidP="00005A00">
      <w:pPr>
        <w:pStyle w:val="BodyText"/>
        <w:spacing w:after="100"/>
      </w:pPr>
      <w:r w:rsidRPr="00256982">
        <w:t xml:space="preserve">Estimates for </w:t>
      </w:r>
      <w:r w:rsidRPr="00256982">
        <w:rPr>
          <w:rFonts w:eastAsia="+mn-ea"/>
        </w:rPr>
        <w:t>CH</w:t>
      </w:r>
      <w:r w:rsidRPr="00256982">
        <w:rPr>
          <w:rFonts w:eastAsia="+mn-ea"/>
          <w:vertAlign w:val="subscript"/>
        </w:rPr>
        <w:t>4</w:t>
      </w:r>
      <w:r w:rsidRPr="00256982">
        <w:t xml:space="preserve"> emissions are derived from combining the population connected to each treatment plant in New Zealand with the treatment methods for each plant (Beca Infrastructure Ltd, unpublished).</w:t>
      </w:r>
    </w:p>
    <w:p w14:paraId="055D57C9" w14:textId="77777777" w:rsidR="00005A00" w:rsidRPr="00256982" w:rsidRDefault="00005A00" w:rsidP="00005A00">
      <w:pPr>
        <w:pStyle w:val="BodyText"/>
        <w:spacing w:after="100"/>
      </w:pPr>
      <w:r w:rsidRPr="00256982">
        <w:t xml:space="preserve">The population using each municipal treatment plant and an estimation of the population using septic tanks were determined (Beca Infrastructure Ltd, unpublished; SCS Wetherill Environmental, unpublished). Wastewater treatment data is calculated for 1997, 2001, 2006, and every year from 2013 onwards. The population treated by each plant is updated based on the population growth rate of the district in which the plant is located. This information is obtained from Statistics New Zealand. For intermediate years, data is interpolated. Years before 1997 are driven by national population using the </w:t>
      </w:r>
      <w:r w:rsidRPr="00256982">
        <w:rPr>
          <w:rFonts w:eastAsia="+mn-ea"/>
        </w:rPr>
        <w:t>CH</w:t>
      </w:r>
      <w:r w:rsidRPr="00256982">
        <w:rPr>
          <w:rFonts w:eastAsia="+mn-ea"/>
          <w:vertAlign w:val="subscript"/>
        </w:rPr>
        <w:t>4</w:t>
      </w:r>
      <w:r w:rsidRPr="00256982">
        <w:t xml:space="preserve"> correction factor from 1997.</w:t>
      </w:r>
    </w:p>
    <w:p w14:paraId="68FD7F7A" w14:textId="77777777" w:rsidR="00005A00" w:rsidRPr="00256982" w:rsidRDefault="00005A00" w:rsidP="00005A00">
      <w:pPr>
        <w:pStyle w:val="BodyText"/>
        <w:spacing w:after="100"/>
      </w:pPr>
      <w:r w:rsidRPr="00256982">
        <w:t>In 2017, the total population connected to treatment plants was estimated to be 3.8 million. The connected population excludes people connected to rural septic tanks, estimated at 471,000 people in 2017, and approximately 52,000 people using other aerobic plants. A remaining population of 485,000 people is not accounted for, which is a result of incomplete data on the wastewater treatment plants in New Zealand and the populations connected to each of these plants being estimated. To account for domestic wastewater emissions from the unaccounted for population, CH</w:t>
      </w:r>
      <w:r w:rsidRPr="00256982">
        <w:rPr>
          <w:vertAlign w:val="subscript"/>
        </w:rPr>
        <w:t xml:space="preserve">4 </w:t>
      </w:r>
      <w:r w:rsidRPr="00256982">
        <w:t xml:space="preserve">emissions for the </w:t>
      </w:r>
      <w:r w:rsidRPr="00256982">
        <w:rPr>
          <w:i/>
        </w:rPr>
        <w:t>Domestic wastewater</w:t>
      </w:r>
      <w:r w:rsidRPr="00256982">
        <w:t xml:space="preserve"> source category have been increased by a fraction determined by the missing population as a proportion of the population for which emissions are known. An assumption is made to apply the average wastewater treatment method for this otherwise unaccounted for population.</w:t>
      </w:r>
    </w:p>
    <w:p w14:paraId="601053C5" w14:textId="77777777" w:rsidR="00005A00" w:rsidRPr="00256982" w:rsidRDefault="00005A00" w:rsidP="00005A00">
      <w:pPr>
        <w:pStyle w:val="BodyText"/>
        <w:spacing w:after="100"/>
      </w:pPr>
      <w:r w:rsidRPr="00256982">
        <w:t>Indirect N</w:t>
      </w:r>
      <w:r w:rsidRPr="00256982">
        <w:rPr>
          <w:vertAlign w:val="subscript"/>
        </w:rPr>
        <w:t>2</w:t>
      </w:r>
      <w:r w:rsidRPr="00256982">
        <w:t>O emissions from the disposal of treated domestic wastewater are estimated using per capita protein consumption and national population estimates, less the population using septic tanks because there is no liquid effluent from septic tanks. Activity data for domestic wastewater are reported in table 7.5.2. Also included in table 7.5.2 is an aggregate CH</w:t>
      </w:r>
      <w:r w:rsidRPr="00256982">
        <w:rPr>
          <w:vertAlign w:val="subscript"/>
        </w:rPr>
        <w:t xml:space="preserve">4 </w:t>
      </w:r>
      <w:r w:rsidRPr="00256982">
        <w:t>correction factor that is determined by the sum of the CH</w:t>
      </w:r>
      <w:r w:rsidRPr="00256982">
        <w:rPr>
          <w:vertAlign w:val="subscript"/>
        </w:rPr>
        <w:t>4</w:t>
      </w:r>
      <w:r w:rsidRPr="00256982">
        <w:t xml:space="preserve"> correction factor for various treatment types, weighted by the population served by each type.</w:t>
      </w:r>
    </w:p>
    <w:p w14:paraId="6D6A8E58" w14:textId="77777777" w:rsidR="00005A00" w:rsidRPr="00256982" w:rsidRDefault="00005A00" w:rsidP="00005A00">
      <w:pPr>
        <w:pStyle w:val="Table"/>
      </w:pPr>
      <w:bookmarkStart w:id="2371" w:name="_Toc508019333"/>
      <w:bookmarkStart w:id="2372" w:name="_Toc511116831"/>
      <w:bookmarkStart w:id="2373" w:name="_Toc5269579"/>
      <w:r w:rsidRPr="00256982">
        <w:t xml:space="preserve">Table 7.5.2 </w:t>
      </w:r>
      <w:r w:rsidRPr="00256982">
        <w:tab/>
        <w:t>Activity data and key factors for domestic wastewater from 1990 to 201</w:t>
      </w:r>
      <w:bookmarkEnd w:id="2371"/>
      <w:bookmarkEnd w:id="2372"/>
      <w:r w:rsidRPr="00256982">
        <w:t>7</w:t>
      </w:r>
      <w:bookmarkEnd w:id="2373"/>
    </w:p>
    <w:tbl>
      <w:tblPr>
        <w:tblW w:w="8505" w:type="dxa"/>
        <w:tblInd w:w="108" w:type="dxa"/>
        <w:tblLook w:val="04A0" w:firstRow="1" w:lastRow="0" w:firstColumn="1" w:lastColumn="0" w:noHBand="0" w:noVBand="1"/>
      </w:tblPr>
      <w:tblGrid>
        <w:gridCol w:w="709"/>
        <w:gridCol w:w="1843"/>
        <w:gridCol w:w="3082"/>
        <w:gridCol w:w="2871"/>
      </w:tblGrid>
      <w:tr w:rsidR="00005A00" w:rsidRPr="00256982" w14:paraId="20B6775F" w14:textId="77777777" w:rsidTr="00AA14F1">
        <w:trPr>
          <w:tblHeader/>
        </w:trPr>
        <w:tc>
          <w:tcPr>
            <w:tcW w:w="709" w:type="dxa"/>
            <w:tcBorders>
              <w:top w:val="single" w:sz="4" w:space="0" w:color="365F91"/>
              <w:bottom w:val="single" w:sz="4" w:space="0" w:color="365F91"/>
            </w:tcBorders>
            <w:shd w:val="clear" w:color="auto" w:fill="365F91"/>
            <w:vAlign w:val="bottom"/>
          </w:tcPr>
          <w:p w14:paraId="2BE3C7BF" w14:textId="77777777" w:rsidR="00005A00" w:rsidRPr="00256982" w:rsidRDefault="00005A00" w:rsidP="00AA14F1">
            <w:pPr>
              <w:pStyle w:val="TableTextBold"/>
              <w:spacing w:before="40" w:after="40"/>
              <w:rPr>
                <w:noProof w:val="0"/>
                <w:color w:val="FFFFFF"/>
              </w:rPr>
            </w:pPr>
            <w:r w:rsidRPr="00256982">
              <w:rPr>
                <w:noProof w:val="0"/>
                <w:color w:val="FFFFFF"/>
              </w:rPr>
              <w:t>Year</w:t>
            </w:r>
          </w:p>
        </w:tc>
        <w:tc>
          <w:tcPr>
            <w:tcW w:w="1843" w:type="dxa"/>
            <w:tcBorders>
              <w:top w:val="single" w:sz="4" w:space="0" w:color="365F91"/>
              <w:bottom w:val="single" w:sz="4" w:space="0" w:color="365F91"/>
            </w:tcBorders>
            <w:shd w:val="clear" w:color="auto" w:fill="365F91"/>
            <w:vAlign w:val="bottom"/>
          </w:tcPr>
          <w:p w14:paraId="5C72B4F0" w14:textId="77777777" w:rsidR="00005A00" w:rsidRPr="00256982" w:rsidRDefault="00005A00" w:rsidP="00AA14F1">
            <w:pPr>
              <w:pStyle w:val="TableTextBold"/>
              <w:spacing w:before="40" w:after="40"/>
              <w:rPr>
                <w:noProof w:val="0"/>
                <w:color w:val="FFFFFF"/>
              </w:rPr>
            </w:pPr>
            <w:r w:rsidRPr="00256982">
              <w:rPr>
                <w:noProof w:val="0"/>
                <w:color w:val="FFFFFF"/>
              </w:rPr>
              <w:t>National population</w:t>
            </w:r>
          </w:p>
        </w:tc>
        <w:tc>
          <w:tcPr>
            <w:tcW w:w="3082" w:type="dxa"/>
            <w:tcBorders>
              <w:top w:val="single" w:sz="4" w:space="0" w:color="365F91"/>
              <w:bottom w:val="single" w:sz="4" w:space="0" w:color="365F91"/>
            </w:tcBorders>
            <w:shd w:val="clear" w:color="auto" w:fill="365F91"/>
            <w:vAlign w:val="bottom"/>
          </w:tcPr>
          <w:p w14:paraId="37945120" w14:textId="77777777" w:rsidR="00005A00" w:rsidRPr="00256982" w:rsidRDefault="00005A00" w:rsidP="00AA14F1">
            <w:pPr>
              <w:pStyle w:val="TableTextBold"/>
              <w:spacing w:before="40" w:after="40"/>
              <w:rPr>
                <w:noProof w:val="0"/>
                <w:color w:val="FFFFFF"/>
              </w:rPr>
            </w:pPr>
            <w:r w:rsidRPr="00256982">
              <w:rPr>
                <w:noProof w:val="0"/>
                <w:color w:val="FFFFFF"/>
              </w:rPr>
              <w:t>Aggregate methane correction factor</w:t>
            </w:r>
          </w:p>
        </w:tc>
        <w:tc>
          <w:tcPr>
            <w:tcW w:w="2871" w:type="dxa"/>
            <w:tcBorders>
              <w:top w:val="single" w:sz="4" w:space="0" w:color="365F91"/>
              <w:bottom w:val="single" w:sz="4" w:space="0" w:color="365F91"/>
            </w:tcBorders>
            <w:shd w:val="clear" w:color="auto" w:fill="365F91"/>
            <w:vAlign w:val="bottom"/>
          </w:tcPr>
          <w:p w14:paraId="4FF90EB8" w14:textId="77777777" w:rsidR="00005A00" w:rsidRPr="00256982" w:rsidRDefault="00005A00" w:rsidP="00AA14F1">
            <w:pPr>
              <w:pStyle w:val="TableTextBold"/>
              <w:spacing w:before="40" w:after="40"/>
              <w:jc w:val="center"/>
              <w:rPr>
                <w:noProof w:val="0"/>
                <w:color w:val="FFFFFF"/>
              </w:rPr>
            </w:pPr>
            <w:r w:rsidRPr="00256982">
              <w:rPr>
                <w:noProof w:val="0"/>
                <w:color w:val="FFFFFF"/>
              </w:rPr>
              <w:t xml:space="preserve">Domestic wastewater </w:t>
            </w:r>
            <w:r w:rsidRPr="00256982">
              <w:rPr>
                <w:noProof w:val="0"/>
                <w:color w:val="FFFFFF"/>
              </w:rPr>
              <w:br/>
              <w:t>total organic product (kt)</w:t>
            </w:r>
          </w:p>
        </w:tc>
      </w:tr>
      <w:tr w:rsidR="00005A00" w:rsidRPr="00256982" w14:paraId="3BEBFE25" w14:textId="77777777" w:rsidTr="00AA14F1">
        <w:tc>
          <w:tcPr>
            <w:tcW w:w="709" w:type="dxa"/>
            <w:tcBorders>
              <w:top w:val="single" w:sz="4" w:space="0" w:color="365F91"/>
              <w:bottom w:val="single" w:sz="4" w:space="0" w:color="365F91"/>
            </w:tcBorders>
          </w:tcPr>
          <w:p w14:paraId="130E38C7" w14:textId="77777777" w:rsidR="00005A00" w:rsidRPr="00256982" w:rsidRDefault="00005A00" w:rsidP="00AA14F1">
            <w:pPr>
              <w:pStyle w:val="TableTextBold"/>
              <w:spacing w:before="40" w:after="40"/>
              <w:rPr>
                <w:noProof w:val="0"/>
              </w:rPr>
            </w:pPr>
            <w:r w:rsidRPr="00256982">
              <w:rPr>
                <w:noProof w:val="0"/>
              </w:rPr>
              <w:t>1990</w:t>
            </w:r>
          </w:p>
        </w:tc>
        <w:tc>
          <w:tcPr>
            <w:tcW w:w="1843" w:type="dxa"/>
            <w:tcBorders>
              <w:top w:val="single" w:sz="4" w:space="0" w:color="365F91"/>
              <w:bottom w:val="single" w:sz="4" w:space="0" w:color="365F91"/>
            </w:tcBorders>
            <w:shd w:val="clear" w:color="auto" w:fill="auto"/>
          </w:tcPr>
          <w:p w14:paraId="23A4E5CA" w14:textId="77777777" w:rsidR="00005A00" w:rsidRPr="00256982" w:rsidRDefault="00005A00" w:rsidP="00AA14F1">
            <w:pPr>
              <w:pStyle w:val="TableText"/>
              <w:spacing w:before="40" w:after="40"/>
              <w:jc w:val="center"/>
              <w:rPr>
                <w:rFonts w:cs="Arial"/>
                <w:szCs w:val="16"/>
                <w:highlight w:val="yellow"/>
              </w:rPr>
            </w:pPr>
            <w:r w:rsidRPr="00256982">
              <w:t xml:space="preserve"> 3,410,400 </w:t>
            </w:r>
          </w:p>
        </w:tc>
        <w:tc>
          <w:tcPr>
            <w:tcW w:w="3082" w:type="dxa"/>
            <w:tcBorders>
              <w:top w:val="single" w:sz="4" w:space="0" w:color="365F91"/>
              <w:bottom w:val="single" w:sz="4" w:space="0" w:color="365F91"/>
            </w:tcBorders>
          </w:tcPr>
          <w:p w14:paraId="08103267" w14:textId="77777777" w:rsidR="00005A00" w:rsidRPr="00256982" w:rsidRDefault="00005A00" w:rsidP="00AA14F1">
            <w:pPr>
              <w:pStyle w:val="TableText"/>
              <w:spacing w:before="40" w:after="40"/>
              <w:jc w:val="center"/>
              <w:rPr>
                <w:rFonts w:cs="Arial"/>
                <w:szCs w:val="16"/>
                <w:highlight w:val="yellow"/>
              </w:rPr>
            </w:pPr>
            <w:r w:rsidRPr="00256982">
              <w:rPr>
                <w:rFonts w:cs="Arial"/>
                <w:szCs w:val="16"/>
              </w:rPr>
              <w:t>Same as 1997</w:t>
            </w:r>
          </w:p>
        </w:tc>
        <w:tc>
          <w:tcPr>
            <w:tcW w:w="2871" w:type="dxa"/>
            <w:tcBorders>
              <w:top w:val="single" w:sz="4" w:space="0" w:color="365F91"/>
              <w:bottom w:val="single" w:sz="4" w:space="0" w:color="365F91"/>
            </w:tcBorders>
            <w:shd w:val="clear" w:color="auto" w:fill="auto"/>
          </w:tcPr>
          <w:p w14:paraId="706A5FD9" w14:textId="77777777" w:rsidR="00005A00" w:rsidRPr="00256982" w:rsidRDefault="00005A00" w:rsidP="00AA14F1">
            <w:pPr>
              <w:pStyle w:val="TableText"/>
              <w:spacing w:before="40" w:after="40"/>
              <w:jc w:val="center"/>
              <w:rPr>
                <w:rFonts w:cs="Arial"/>
                <w:szCs w:val="16"/>
                <w:highlight w:val="yellow"/>
              </w:rPr>
            </w:pPr>
            <w:r w:rsidRPr="00256982">
              <w:t>133.9</w:t>
            </w:r>
          </w:p>
        </w:tc>
      </w:tr>
      <w:tr w:rsidR="00005A00" w:rsidRPr="00256982" w14:paraId="1DCD38EE" w14:textId="77777777" w:rsidTr="00AA14F1">
        <w:tc>
          <w:tcPr>
            <w:tcW w:w="709" w:type="dxa"/>
            <w:tcBorders>
              <w:top w:val="single" w:sz="4" w:space="0" w:color="365F91"/>
              <w:bottom w:val="single" w:sz="4" w:space="0" w:color="365F91"/>
            </w:tcBorders>
          </w:tcPr>
          <w:p w14:paraId="6781A416" w14:textId="77777777" w:rsidR="00005A00" w:rsidRPr="00256982" w:rsidRDefault="00005A00" w:rsidP="00AA14F1">
            <w:pPr>
              <w:pStyle w:val="TableTextBold"/>
              <w:spacing w:before="40" w:after="40"/>
              <w:rPr>
                <w:noProof w:val="0"/>
              </w:rPr>
            </w:pPr>
            <w:r w:rsidRPr="00256982">
              <w:rPr>
                <w:noProof w:val="0"/>
              </w:rPr>
              <w:t>1991</w:t>
            </w:r>
          </w:p>
        </w:tc>
        <w:tc>
          <w:tcPr>
            <w:tcW w:w="1843" w:type="dxa"/>
            <w:tcBorders>
              <w:top w:val="single" w:sz="4" w:space="0" w:color="365F91"/>
              <w:bottom w:val="single" w:sz="4" w:space="0" w:color="365F91"/>
            </w:tcBorders>
            <w:shd w:val="clear" w:color="auto" w:fill="auto"/>
          </w:tcPr>
          <w:p w14:paraId="7380C73E" w14:textId="77777777" w:rsidR="00005A00" w:rsidRPr="00256982" w:rsidRDefault="00005A00" w:rsidP="00AA14F1">
            <w:pPr>
              <w:pStyle w:val="TableText"/>
              <w:spacing w:before="40" w:after="40"/>
              <w:jc w:val="center"/>
              <w:rPr>
                <w:rFonts w:cs="Arial"/>
                <w:szCs w:val="16"/>
                <w:highlight w:val="yellow"/>
              </w:rPr>
            </w:pPr>
            <w:r w:rsidRPr="00256982">
              <w:t xml:space="preserve"> 3,516,000 </w:t>
            </w:r>
          </w:p>
        </w:tc>
        <w:tc>
          <w:tcPr>
            <w:tcW w:w="3082" w:type="dxa"/>
            <w:tcBorders>
              <w:top w:val="single" w:sz="4" w:space="0" w:color="365F91"/>
              <w:bottom w:val="single" w:sz="4" w:space="0" w:color="365F91"/>
            </w:tcBorders>
          </w:tcPr>
          <w:p w14:paraId="2E687AE7" w14:textId="77777777" w:rsidR="00005A00" w:rsidRPr="00256982" w:rsidRDefault="00005A00" w:rsidP="00AA14F1">
            <w:pPr>
              <w:pStyle w:val="TableText"/>
              <w:spacing w:before="40" w:after="40"/>
              <w:jc w:val="center"/>
              <w:rPr>
                <w:rFonts w:cs="Arial"/>
                <w:szCs w:val="16"/>
                <w:highlight w:val="yellow"/>
              </w:rPr>
            </w:pPr>
            <w:r w:rsidRPr="00256982">
              <w:rPr>
                <w:rFonts w:cs="Arial"/>
                <w:szCs w:val="16"/>
              </w:rPr>
              <w:t>Same as 1997</w:t>
            </w:r>
          </w:p>
        </w:tc>
        <w:tc>
          <w:tcPr>
            <w:tcW w:w="2871" w:type="dxa"/>
            <w:tcBorders>
              <w:top w:val="single" w:sz="4" w:space="0" w:color="365F91"/>
              <w:bottom w:val="single" w:sz="4" w:space="0" w:color="365F91"/>
            </w:tcBorders>
            <w:shd w:val="clear" w:color="auto" w:fill="auto"/>
          </w:tcPr>
          <w:p w14:paraId="793FC09D" w14:textId="77777777" w:rsidR="00005A00" w:rsidRPr="00256982" w:rsidRDefault="00005A00" w:rsidP="00AA14F1">
            <w:pPr>
              <w:pStyle w:val="TableText"/>
              <w:spacing w:before="40" w:after="40"/>
              <w:jc w:val="center"/>
              <w:rPr>
                <w:rFonts w:cs="Arial"/>
                <w:szCs w:val="16"/>
                <w:highlight w:val="yellow"/>
              </w:rPr>
            </w:pPr>
            <w:r w:rsidRPr="00256982">
              <w:t>138.6</w:t>
            </w:r>
          </w:p>
        </w:tc>
      </w:tr>
      <w:tr w:rsidR="00005A00" w:rsidRPr="00256982" w14:paraId="18E1C95A" w14:textId="77777777" w:rsidTr="00AA14F1">
        <w:tc>
          <w:tcPr>
            <w:tcW w:w="709" w:type="dxa"/>
            <w:tcBorders>
              <w:top w:val="single" w:sz="4" w:space="0" w:color="365F91"/>
              <w:bottom w:val="single" w:sz="4" w:space="0" w:color="365F91"/>
            </w:tcBorders>
          </w:tcPr>
          <w:p w14:paraId="650DB988" w14:textId="77777777" w:rsidR="00005A00" w:rsidRPr="00256982" w:rsidRDefault="00005A00" w:rsidP="00AA14F1">
            <w:pPr>
              <w:pStyle w:val="TableTextBold"/>
              <w:spacing w:before="40" w:after="40"/>
              <w:rPr>
                <w:noProof w:val="0"/>
              </w:rPr>
            </w:pPr>
            <w:r w:rsidRPr="00256982">
              <w:rPr>
                <w:noProof w:val="0"/>
              </w:rPr>
              <w:t>1992</w:t>
            </w:r>
          </w:p>
        </w:tc>
        <w:tc>
          <w:tcPr>
            <w:tcW w:w="1843" w:type="dxa"/>
            <w:tcBorders>
              <w:top w:val="single" w:sz="4" w:space="0" w:color="365F91"/>
              <w:bottom w:val="single" w:sz="4" w:space="0" w:color="365F91"/>
            </w:tcBorders>
            <w:shd w:val="clear" w:color="auto" w:fill="auto"/>
          </w:tcPr>
          <w:p w14:paraId="5A9383A7" w14:textId="77777777" w:rsidR="00005A00" w:rsidRPr="00256982" w:rsidRDefault="00005A00" w:rsidP="00AA14F1">
            <w:pPr>
              <w:pStyle w:val="TableText"/>
              <w:spacing w:before="40" w:after="40"/>
              <w:jc w:val="center"/>
              <w:rPr>
                <w:rFonts w:cs="Arial"/>
                <w:szCs w:val="16"/>
                <w:highlight w:val="yellow"/>
              </w:rPr>
            </w:pPr>
            <w:r w:rsidRPr="00256982">
              <w:t xml:space="preserve"> 3,552,200 </w:t>
            </w:r>
          </w:p>
        </w:tc>
        <w:tc>
          <w:tcPr>
            <w:tcW w:w="3082" w:type="dxa"/>
            <w:tcBorders>
              <w:top w:val="single" w:sz="4" w:space="0" w:color="365F91"/>
              <w:bottom w:val="single" w:sz="4" w:space="0" w:color="365F91"/>
            </w:tcBorders>
          </w:tcPr>
          <w:p w14:paraId="682E7110" w14:textId="77777777" w:rsidR="00005A00" w:rsidRPr="00256982" w:rsidRDefault="00005A00" w:rsidP="00AA14F1">
            <w:pPr>
              <w:pStyle w:val="TableText"/>
              <w:spacing w:before="40" w:after="40"/>
              <w:jc w:val="center"/>
              <w:rPr>
                <w:rFonts w:cs="Arial"/>
                <w:szCs w:val="16"/>
                <w:highlight w:val="yellow"/>
              </w:rPr>
            </w:pPr>
            <w:r w:rsidRPr="00256982">
              <w:rPr>
                <w:rFonts w:cs="Arial"/>
                <w:szCs w:val="16"/>
              </w:rPr>
              <w:t>Same as 1997</w:t>
            </w:r>
          </w:p>
        </w:tc>
        <w:tc>
          <w:tcPr>
            <w:tcW w:w="2871" w:type="dxa"/>
            <w:tcBorders>
              <w:top w:val="single" w:sz="4" w:space="0" w:color="365F91"/>
              <w:bottom w:val="single" w:sz="4" w:space="0" w:color="365F91"/>
            </w:tcBorders>
            <w:shd w:val="clear" w:color="auto" w:fill="auto"/>
          </w:tcPr>
          <w:p w14:paraId="58B45305" w14:textId="77777777" w:rsidR="00005A00" w:rsidRPr="00256982" w:rsidRDefault="00005A00" w:rsidP="00AA14F1">
            <w:pPr>
              <w:pStyle w:val="TableText"/>
              <w:spacing w:before="40" w:after="40"/>
              <w:jc w:val="center"/>
              <w:rPr>
                <w:rFonts w:cs="Arial"/>
                <w:szCs w:val="16"/>
                <w:highlight w:val="yellow"/>
              </w:rPr>
            </w:pPr>
            <w:r w:rsidRPr="00256982">
              <w:t>140.5</w:t>
            </w:r>
          </w:p>
        </w:tc>
      </w:tr>
      <w:tr w:rsidR="00005A00" w:rsidRPr="00256982" w14:paraId="185D01B0" w14:textId="77777777" w:rsidTr="00AA14F1">
        <w:tc>
          <w:tcPr>
            <w:tcW w:w="709" w:type="dxa"/>
            <w:tcBorders>
              <w:top w:val="single" w:sz="4" w:space="0" w:color="365F91"/>
              <w:bottom w:val="single" w:sz="4" w:space="0" w:color="365F91"/>
            </w:tcBorders>
          </w:tcPr>
          <w:p w14:paraId="28F62FB4" w14:textId="77777777" w:rsidR="00005A00" w:rsidRPr="00256982" w:rsidRDefault="00005A00" w:rsidP="00AA14F1">
            <w:pPr>
              <w:pStyle w:val="TableTextBold"/>
              <w:spacing w:before="40" w:after="40"/>
              <w:rPr>
                <w:noProof w:val="0"/>
              </w:rPr>
            </w:pPr>
            <w:r w:rsidRPr="00256982">
              <w:rPr>
                <w:noProof w:val="0"/>
              </w:rPr>
              <w:t>1993</w:t>
            </w:r>
          </w:p>
        </w:tc>
        <w:tc>
          <w:tcPr>
            <w:tcW w:w="1843" w:type="dxa"/>
            <w:tcBorders>
              <w:top w:val="single" w:sz="4" w:space="0" w:color="365F91"/>
              <w:bottom w:val="single" w:sz="4" w:space="0" w:color="365F91"/>
            </w:tcBorders>
            <w:shd w:val="clear" w:color="auto" w:fill="auto"/>
          </w:tcPr>
          <w:p w14:paraId="0790D41A" w14:textId="77777777" w:rsidR="00005A00" w:rsidRPr="00256982" w:rsidRDefault="00005A00" w:rsidP="00AA14F1">
            <w:pPr>
              <w:pStyle w:val="TableText"/>
              <w:spacing w:before="40" w:after="40"/>
              <w:jc w:val="center"/>
              <w:rPr>
                <w:highlight w:val="yellow"/>
              </w:rPr>
            </w:pPr>
            <w:r w:rsidRPr="00256982">
              <w:t xml:space="preserve"> 3,597,800 </w:t>
            </w:r>
          </w:p>
        </w:tc>
        <w:tc>
          <w:tcPr>
            <w:tcW w:w="3082" w:type="dxa"/>
            <w:tcBorders>
              <w:top w:val="single" w:sz="4" w:space="0" w:color="365F91"/>
              <w:bottom w:val="single" w:sz="4" w:space="0" w:color="365F91"/>
            </w:tcBorders>
          </w:tcPr>
          <w:p w14:paraId="5A259667" w14:textId="77777777" w:rsidR="00005A00" w:rsidRPr="00256982" w:rsidRDefault="00005A00" w:rsidP="00AA14F1">
            <w:pPr>
              <w:pStyle w:val="TableText"/>
              <w:spacing w:before="40" w:after="40"/>
              <w:jc w:val="center"/>
              <w:rPr>
                <w:highlight w:val="yellow"/>
              </w:rPr>
            </w:pPr>
            <w:r w:rsidRPr="00256982">
              <w:rPr>
                <w:rFonts w:cs="Arial"/>
                <w:szCs w:val="16"/>
              </w:rPr>
              <w:t>Same as 1997</w:t>
            </w:r>
          </w:p>
        </w:tc>
        <w:tc>
          <w:tcPr>
            <w:tcW w:w="2871" w:type="dxa"/>
            <w:tcBorders>
              <w:top w:val="single" w:sz="4" w:space="0" w:color="365F91"/>
              <w:bottom w:val="single" w:sz="4" w:space="0" w:color="365F91"/>
            </w:tcBorders>
            <w:shd w:val="clear" w:color="auto" w:fill="auto"/>
          </w:tcPr>
          <w:p w14:paraId="6F07C6A8" w14:textId="77777777" w:rsidR="00005A00" w:rsidRPr="00256982" w:rsidRDefault="00005A00" w:rsidP="00AA14F1">
            <w:pPr>
              <w:pStyle w:val="TableText"/>
              <w:spacing w:before="40" w:after="40"/>
              <w:jc w:val="center"/>
              <w:rPr>
                <w:highlight w:val="yellow"/>
              </w:rPr>
            </w:pPr>
            <w:r w:rsidRPr="00256982">
              <w:t>142.9</w:t>
            </w:r>
          </w:p>
        </w:tc>
      </w:tr>
      <w:tr w:rsidR="00005A00" w:rsidRPr="00256982" w14:paraId="2760CB32" w14:textId="77777777" w:rsidTr="00AA14F1">
        <w:tc>
          <w:tcPr>
            <w:tcW w:w="709" w:type="dxa"/>
            <w:tcBorders>
              <w:top w:val="single" w:sz="4" w:space="0" w:color="365F91"/>
              <w:bottom w:val="single" w:sz="4" w:space="0" w:color="365F91"/>
            </w:tcBorders>
          </w:tcPr>
          <w:p w14:paraId="43166AB8" w14:textId="77777777" w:rsidR="00005A00" w:rsidRPr="00256982" w:rsidRDefault="00005A00" w:rsidP="00AA14F1">
            <w:pPr>
              <w:pStyle w:val="TableTextBold"/>
              <w:spacing w:before="40" w:after="40"/>
              <w:rPr>
                <w:noProof w:val="0"/>
              </w:rPr>
            </w:pPr>
            <w:r w:rsidRPr="00256982">
              <w:rPr>
                <w:noProof w:val="0"/>
              </w:rPr>
              <w:t>1994</w:t>
            </w:r>
          </w:p>
        </w:tc>
        <w:tc>
          <w:tcPr>
            <w:tcW w:w="1843" w:type="dxa"/>
            <w:tcBorders>
              <w:top w:val="single" w:sz="4" w:space="0" w:color="365F91"/>
              <w:bottom w:val="single" w:sz="4" w:space="0" w:color="365F91"/>
            </w:tcBorders>
            <w:shd w:val="clear" w:color="auto" w:fill="auto"/>
          </w:tcPr>
          <w:p w14:paraId="4E08EE02" w14:textId="77777777" w:rsidR="00005A00" w:rsidRPr="00256982" w:rsidRDefault="00005A00" w:rsidP="00AA14F1">
            <w:pPr>
              <w:pStyle w:val="TableText"/>
              <w:spacing w:before="40" w:after="40"/>
              <w:jc w:val="center"/>
              <w:rPr>
                <w:highlight w:val="yellow"/>
              </w:rPr>
            </w:pPr>
            <w:r w:rsidRPr="00256982">
              <w:t xml:space="preserve"> 3,648,300 </w:t>
            </w:r>
          </w:p>
        </w:tc>
        <w:tc>
          <w:tcPr>
            <w:tcW w:w="3082" w:type="dxa"/>
            <w:tcBorders>
              <w:top w:val="single" w:sz="4" w:space="0" w:color="365F91"/>
              <w:bottom w:val="single" w:sz="4" w:space="0" w:color="365F91"/>
            </w:tcBorders>
          </w:tcPr>
          <w:p w14:paraId="479FA269" w14:textId="77777777" w:rsidR="00005A00" w:rsidRPr="00256982" w:rsidRDefault="00005A00" w:rsidP="00AA14F1">
            <w:pPr>
              <w:pStyle w:val="TableText"/>
              <w:spacing w:before="40" w:after="40"/>
              <w:jc w:val="center"/>
              <w:rPr>
                <w:highlight w:val="yellow"/>
              </w:rPr>
            </w:pPr>
            <w:r w:rsidRPr="00256982">
              <w:rPr>
                <w:rFonts w:cs="Arial"/>
                <w:szCs w:val="16"/>
              </w:rPr>
              <w:t>Same as 1997</w:t>
            </w:r>
          </w:p>
        </w:tc>
        <w:tc>
          <w:tcPr>
            <w:tcW w:w="2871" w:type="dxa"/>
            <w:tcBorders>
              <w:top w:val="single" w:sz="4" w:space="0" w:color="365F91"/>
              <w:bottom w:val="single" w:sz="4" w:space="0" w:color="365F91"/>
            </w:tcBorders>
            <w:shd w:val="clear" w:color="auto" w:fill="auto"/>
          </w:tcPr>
          <w:p w14:paraId="52266E42" w14:textId="77777777" w:rsidR="00005A00" w:rsidRPr="00256982" w:rsidRDefault="00005A00" w:rsidP="00AA14F1">
            <w:pPr>
              <w:pStyle w:val="TableText"/>
              <w:spacing w:before="40" w:after="40"/>
              <w:jc w:val="center"/>
              <w:rPr>
                <w:highlight w:val="yellow"/>
              </w:rPr>
            </w:pPr>
            <w:r w:rsidRPr="00256982">
              <w:t>145.5</w:t>
            </w:r>
          </w:p>
        </w:tc>
      </w:tr>
      <w:tr w:rsidR="00005A00" w:rsidRPr="00256982" w14:paraId="5B9F744D" w14:textId="77777777" w:rsidTr="00AA14F1">
        <w:tc>
          <w:tcPr>
            <w:tcW w:w="709" w:type="dxa"/>
            <w:tcBorders>
              <w:top w:val="single" w:sz="4" w:space="0" w:color="365F91"/>
              <w:bottom w:val="single" w:sz="4" w:space="0" w:color="365F91"/>
            </w:tcBorders>
          </w:tcPr>
          <w:p w14:paraId="4760023F" w14:textId="77777777" w:rsidR="00005A00" w:rsidRPr="00256982" w:rsidRDefault="00005A00" w:rsidP="00AA14F1">
            <w:pPr>
              <w:pStyle w:val="TableTextBold"/>
              <w:spacing w:before="40" w:after="40"/>
              <w:rPr>
                <w:noProof w:val="0"/>
              </w:rPr>
            </w:pPr>
            <w:r w:rsidRPr="00256982">
              <w:rPr>
                <w:noProof w:val="0"/>
              </w:rPr>
              <w:t>1995</w:t>
            </w:r>
          </w:p>
        </w:tc>
        <w:tc>
          <w:tcPr>
            <w:tcW w:w="1843" w:type="dxa"/>
            <w:tcBorders>
              <w:top w:val="single" w:sz="4" w:space="0" w:color="365F91"/>
              <w:bottom w:val="single" w:sz="4" w:space="0" w:color="365F91"/>
            </w:tcBorders>
            <w:shd w:val="clear" w:color="auto" w:fill="auto"/>
          </w:tcPr>
          <w:p w14:paraId="494316DC" w14:textId="77777777" w:rsidR="00005A00" w:rsidRPr="00256982" w:rsidRDefault="00005A00" w:rsidP="00AA14F1">
            <w:pPr>
              <w:pStyle w:val="TableText"/>
              <w:spacing w:before="40" w:after="40"/>
              <w:jc w:val="center"/>
              <w:rPr>
                <w:highlight w:val="yellow"/>
              </w:rPr>
            </w:pPr>
            <w:r w:rsidRPr="00256982">
              <w:t xml:space="preserve"> 3,706,700 </w:t>
            </w:r>
          </w:p>
        </w:tc>
        <w:tc>
          <w:tcPr>
            <w:tcW w:w="3082" w:type="dxa"/>
            <w:tcBorders>
              <w:top w:val="single" w:sz="4" w:space="0" w:color="365F91"/>
              <w:bottom w:val="single" w:sz="4" w:space="0" w:color="365F91"/>
            </w:tcBorders>
          </w:tcPr>
          <w:p w14:paraId="2DD0C5F2" w14:textId="77777777" w:rsidR="00005A00" w:rsidRPr="00256982" w:rsidRDefault="00005A00" w:rsidP="00AA14F1">
            <w:pPr>
              <w:pStyle w:val="TableText"/>
              <w:spacing w:before="40" w:after="40"/>
              <w:jc w:val="center"/>
              <w:rPr>
                <w:highlight w:val="yellow"/>
              </w:rPr>
            </w:pPr>
            <w:r w:rsidRPr="00256982">
              <w:rPr>
                <w:rFonts w:cs="Arial"/>
                <w:szCs w:val="16"/>
              </w:rPr>
              <w:t>Same as 1997</w:t>
            </w:r>
          </w:p>
        </w:tc>
        <w:tc>
          <w:tcPr>
            <w:tcW w:w="2871" w:type="dxa"/>
            <w:tcBorders>
              <w:top w:val="single" w:sz="4" w:space="0" w:color="365F91"/>
              <w:bottom w:val="single" w:sz="4" w:space="0" w:color="365F91"/>
            </w:tcBorders>
            <w:shd w:val="clear" w:color="auto" w:fill="auto"/>
          </w:tcPr>
          <w:p w14:paraId="3D46AE74" w14:textId="77777777" w:rsidR="00005A00" w:rsidRPr="00256982" w:rsidRDefault="00005A00" w:rsidP="00AA14F1">
            <w:pPr>
              <w:pStyle w:val="TableText"/>
              <w:spacing w:before="40" w:after="40"/>
              <w:jc w:val="center"/>
              <w:rPr>
                <w:highlight w:val="yellow"/>
              </w:rPr>
            </w:pPr>
            <w:r w:rsidRPr="00256982">
              <w:t>148.3</w:t>
            </w:r>
          </w:p>
        </w:tc>
      </w:tr>
      <w:tr w:rsidR="00005A00" w:rsidRPr="00256982" w14:paraId="3FA8E87A" w14:textId="77777777" w:rsidTr="00AA14F1">
        <w:tc>
          <w:tcPr>
            <w:tcW w:w="709" w:type="dxa"/>
            <w:tcBorders>
              <w:top w:val="single" w:sz="4" w:space="0" w:color="365F91"/>
              <w:bottom w:val="single" w:sz="4" w:space="0" w:color="365F91"/>
            </w:tcBorders>
          </w:tcPr>
          <w:p w14:paraId="0F3D97DA" w14:textId="77777777" w:rsidR="00005A00" w:rsidRPr="00256982" w:rsidRDefault="00005A00" w:rsidP="00AA14F1">
            <w:pPr>
              <w:pStyle w:val="TableTextBold"/>
              <w:spacing w:before="40" w:after="40"/>
              <w:rPr>
                <w:noProof w:val="0"/>
              </w:rPr>
            </w:pPr>
            <w:r w:rsidRPr="00256982">
              <w:rPr>
                <w:noProof w:val="0"/>
              </w:rPr>
              <w:t>1996</w:t>
            </w:r>
          </w:p>
        </w:tc>
        <w:tc>
          <w:tcPr>
            <w:tcW w:w="1843" w:type="dxa"/>
            <w:tcBorders>
              <w:top w:val="single" w:sz="4" w:space="0" w:color="365F91"/>
              <w:bottom w:val="single" w:sz="4" w:space="0" w:color="365F91"/>
            </w:tcBorders>
            <w:shd w:val="clear" w:color="auto" w:fill="auto"/>
          </w:tcPr>
          <w:p w14:paraId="48F72C8F" w14:textId="77777777" w:rsidR="00005A00" w:rsidRPr="00256982" w:rsidRDefault="00005A00" w:rsidP="00AA14F1">
            <w:pPr>
              <w:pStyle w:val="TableText"/>
              <w:spacing w:before="40" w:after="40"/>
              <w:jc w:val="center"/>
              <w:rPr>
                <w:highlight w:val="yellow"/>
              </w:rPr>
            </w:pPr>
            <w:r w:rsidRPr="00256982">
              <w:t xml:space="preserve"> 3,762,300 </w:t>
            </w:r>
          </w:p>
        </w:tc>
        <w:tc>
          <w:tcPr>
            <w:tcW w:w="3082" w:type="dxa"/>
            <w:tcBorders>
              <w:top w:val="single" w:sz="4" w:space="0" w:color="365F91"/>
              <w:bottom w:val="single" w:sz="4" w:space="0" w:color="365F91"/>
            </w:tcBorders>
          </w:tcPr>
          <w:p w14:paraId="4D7543CA" w14:textId="77777777" w:rsidR="00005A00" w:rsidRPr="00256982" w:rsidRDefault="00005A00" w:rsidP="00AA14F1">
            <w:pPr>
              <w:pStyle w:val="TableText"/>
              <w:spacing w:before="40" w:after="40"/>
              <w:jc w:val="center"/>
              <w:rPr>
                <w:highlight w:val="yellow"/>
              </w:rPr>
            </w:pPr>
            <w:r w:rsidRPr="00256982">
              <w:rPr>
                <w:rFonts w:cs="Arial"/>
                <w:szCs w:val="16"/>
              </w:rPr>
              <w:t>Same as 1997</w:t>
            </w:r>
          </w:p>
        </w:tc>
        <w:tc>
          <w:tcPr>
            <w:tcW w:w="2871" w:type="dxa"/>
            <w:tcBorders>
              <w:top w:val="single" w:sz="4" w:space="0" w:color="365F91"/>
              <w:bottom w:val="single" w:sz="4" w:space="0" w:color="365F91"/>
            </w:tcBorders>
            <w:shd w:val="clear" w:color="auto" w:fill="auto"/>
          </w:tcPr>
          <w:p w14:paraId="26B66E0E" w14:textId="77777777" w:rsidR="00005A00" w:rsidRPr="00256982" w:rsidRDefault="00005A00" w:rsidP="00AA14F1">
            <w:pPr>
              <w:pStyle w:val="TableText"/>
              <w:spacing w:before="40" w:after="40"/>
              <w:jc w:val="center"/>
              <w:rPr>
                <w:highlight w:val="yellow"/>
              </w:rPr>
            </w:pPr>
            <w:r w:rsidRPr="00256982">
              <w:t>151.1</w:t>
            </w:r>
          </w:p>
        </w:tc>
      </w:tr>
      <w:tr w:rsidR="00005A00" w:rsidRPr="00256982" w14:paraId="237A12FA" w14:textId="77777777" w:rsidTr="00AA14F1">
        <w:tc>
          <w:tcPr>
            <w:tcW w:w="709" w:type="dxa"/>
            <w:tcBorders>
              <w:top w:val="single" w:sz="4" w:space="0" w:color="365F91"/>
              <w:bottom w:val="single" w:sz="4" w:space="0" w:color="365F91"/>
            </w:tcBorders>
          </w:tcPr>
          <w:p w14:paraId="4DEB5E8C" w14:textId="77777777" w:rsidR="00005A00" w:rsidRPr="00256982" w:rsidRDefault="00005A00" w:rsidP="00AA14F1">
            <w:pPr>
              <w:pStyle w:val="TableTextBold"/>
              <w:spacing w:before="40" w:after="40"/>
              <w:rPr>
                <w:noProof w:val="0"/>
              </w:rPr>
            </w:pPr>
            <w:r w:rsidRPr="00256982">
              <w:rPr>
                <w:noProof w:val="0"/>
              </w:rPr>
              <w:t>1997</w:t>
            </w:r>
          </w:p>
        </w:tc>
        <w:tc>
          <w:tcPr>
            <w:tcW w:w="1843" w:type="dxa"/>
            <w:tcBorders>
              <w:top w:val="single" w:sz="4" w:space="0" w:color="365F91"/>
              <w:bottom w:val="single" w:sz="4" w:space="0" w:color="365F91"/>
            </w:tcBorders>
            <w:shd w:val="clear" w:color="auto" w:fill="auto"/>
          </w:tcPr>
          <w:p w14:paraId="5996EC9C" w14:textId="77777777" w:rsidR="00005A00" w:rsidRPr="00256982" w:rsidRDefault="00005A00" w:rsidP="00AA14F1">
            <w:pPr>
              <w:pStyle w:val="TableText"/>
              <w:spacing w:before="40" w:after="40"/>
              <w:jc w:val="center"/>
              <w:rPr>
                <w:highlight w:val="yellow"/>
              </w:rPr>
            </w:pPr>
            <w:r w:rsidRPr="00256982">
              <w:t xml:space="preserve"> 3,802,700 </w:t>
            </w:r>
          </w:p>
        </w:tc>
        <w:tc>
          <w:tcPr>
            <w:tcW w:w="3082" w:type="dxa"/>
            <w:tcBorders>
              <w:top w:val="single" w:sz="4" w:space="0" w:color="365F91"/>
              <w:bottom w:val="single" w:sz="4" w:space="0" w:color="365F91"/>
            </w:tcBorders>
          </w:tcPr>
          <w:p w14:paraId="0E000F04" w14:textId="77777777" w:rsidR="00005A00" w:rsidRPr="00256982" w:rsidRDefault="00005A00" w:rsidP="00AA14F1">
            <w:pPr>
              <w:pStyle w:val="TableText"/>
              <w:spacing w:before="40" w:after="40"/>
              <w:jc w:val="center"/>
              <w:rPr>
                <w:highlight w:val="yellow"/>
              </w:rPr>
            </w:pPr>
            <w:r w:rsidRPr="00256982">
              <w:t>0.043</w:t>
            </w:r>
          </w:p>
        </w:tc>
        <w:tc>
          <w:tcPr>
            <w:tcW w:w="2871" w:type="dxa"/>
            <w:tcBorders>
              <w:top w:val="single" w:sz="4" w:space="0" w:color="365F91"/>
              <w:bottom w:val="single" w:sz="4" w:space="0" w:color="365F91"/>
            </w:tcBorders>
            <w:shd w:val="clear" w:color="auto" w:fill="auto"/>
          </w:tcPr>
          <w:p w14:paraId="334CC6F9" w14:textId="77777777" w:rsidR="00005A00" w:rsidRPr="00256982" w:rsidRDefault="00005A00" w:rsidP="00AA14F1">
            <w:pPr>
              <w:pStyle w:val="TableText"/>
              <w:spacing w:before="40" w:after="40"/>
              <w:jc w:val="center"/>
              <w:rPr>
                <w:highlight w:val="yellow"/>
              </w:rPr>
            </w:pPr>
            <w:r w:rsidRPr="00256982">
              <w:t>153.2</w:t>
            </w:r>
          </w:p>
        </w:tc>
      </w:tr>
      <w:tr w:rsidR="00005A00" w:rsidRPr="00256982" w14:paraId="1A87B502" w14:textId="77777777" w:rsidTr="00AA14F1">
        <w:tc>
          <w:tcPr>
            <w:tcW w:w="709" w:type="dxa"/>
            <w:tcBorders>
              <w:top w:val="single" w:sz="4" w:space="0" w:color="365F91"/>
              <w:bottom w:val="single" w:sz="4" w:space="0" w:color="365F91"/>
            </w:tcBorders>
          </w:tcPr>
          <w:p w14:paraId="1D36D677" w14:textId="77777777" w:rsidR="00005A00" w:rsidRPr="00256982" w:rsidRDefault="00005A00" w:rsidP="00AA14F1">
            <w:pPr>
              <w:pStyle w:val="TableTextBold"/>
              <w:spacing w:before="40" w:after="40"/>
              <w:rPr>
                <w:noProof w:val="0"/>
              </w:rPr>
            </w:pPr>
            <w:r w:rsidRPr="00256982">
              <w:rPr>
                <w:noProof w:val="0"/>
              </w:rPr>
              <w:t>1998</w:t>
            </w:r>
          </w:p>
        </w:tc>
        <w:tc>
          <w:tcPr>
            <w:tcW w:w="1843" w:type="dxa"/>
            <w:tcBorders>
              <w:top w:val="single" w:sz="4" w:space="0" w:color="365F91"/>
              <w:bottom w:val="single" w:sz="4" w:space="0" w:color="365F91"/>
            </w:tcBorders>
            <w:shd w:val="clear" w:color="auto" w:fill="auto"/>
          </w:tcPr>
          <w:p w14:paraId="5BCE5E4F" w14:textId="77777777" w:rsidR="00005A00" w:rsidRPr="00256982" w:rsidRDefault="00005A00" w:rsidP="00AA14F1">
            <w:pPr>
              <w:pStyle w:val="TableText"/>
              <w:spacing w:before="40" w:after="40"/>
              <w:jc w:val="center"/>
              <w:rPr>
                <w:highlight w:val="yellow"/>
              </w:rPr>
            </w:pPr>
            <w:r w:rsidRPr="00256982">
              <w:t xml:space="preserve"> 3,829,200 </w:t>
            </w:r>
          </w:p>
        </w:tc>
        <w:tc>
          <w:tcPr>
            <w:tcW w:w="3082" w:type="dxa"/>
            <w:tcBorders>
              <w:top w:val="single" w:sz="4" w:space="0" w:color="365F91"/>
              <w:bottom w:val="single" w:sz="4" w:space="0" w:color="365F91"/>
            </w:tcBorders>
          </w:tcPr>
          <w:p w14:paraId="1704D6B1" w14:textId="77777777" w:rsidR="00005A00" w:rsidRPr="00256982" w:rsidRDefault="00005A00" w:rsidP="00AA14F1">
            <w:pPr>
              <w:pStyle w:val="TableText"/>
              <w:spacing w:before="40" w:after="40"/>
              <w:jc w:val="center"/>
              <w:rPr>
                <w:highlight w:val="yellow"/>
              </w:rPr>
            </w:pPr>
            <w:r w:rsidRPr="00256982">
              <w:t>Interpolated</w:t>
            </w:r>
          </w:p>
        </w:tc>
        <w:tc>
          <w:tcPr>
            <w:tcW w:w="2871" w:type="dxa"/>
            <w:tcBorders>
              <w:top w:val="single" w:sz="4" w:space="0" w:color="365F91"/>
              <w:bottom w:val="single" w:sz="4" w:space="0" w:color="365F91"/>
            </w:tcBorders>
            <w:shd w:val="clear" w:color="auto" w:fill="auto"/>
          </w:tcPr>
          <w:p w14:paraId="2FACFD8C" w14:textId="77777777" w:rsidR="00005A00" w:rsidRPr="00256982" w:rsidRDefault="00005A00" w:rsidP="00AA14F1">
            <w:pPr>
              <w:pStyle w:val="TableText"/>
              <w:spacing w:before="40" w:after="40"/>
              <w:jc w:val="center"/>
              <w:rPr>
                <w:highlight w:val="yellow"/>
              </w:rPr>
            </w:pPr>
            <w:r w:rsidRPr="00256982">
              <w:t>152.5</w:t>
            </w:r>
          </w:p>
        </w:tc>
      </w:tr>
      <w:tr w:rsidR="00005A00" w:rsidRPr="00256982" w14:paraId="30A9B693" w14:textId="77777777" w:rsidTr="00AA14F1">
        <w:tc>
          <w:tcPr>
            <w:tcW w:w="709" w:type="dxa"/>
            <w:tcBorders>
              <w:top w:val="single" w:sz="4" w:space="0" w:color="365F91"/>
              <w:bottom w:val="single" w:sz="4" w:space="0" w:color="365F91"/>
            </w:tcBorders>
          </w:tcPr>
          <w:p w14:paraId="6337DCB3" w14:textId="77777777" w:rsidR="00005A00" w:rsidRPr="00256982" w:rsidRDefault="00005A00" w:rsidP="00AA14F1">
            <w:pPr>
              <w:pStyle w:val="TableTextBold"/>
              <w:spacing w:before="40" w:after="40"/>
              <w:rPr>
                <w:noProof w:val="0"/>
              </w:rPr>
            </w:pPr>
            <w:r w:rsidRPr="00256982">
              <w:rPr>
                <w:noProof w:val="0"/>
              </w:rPr>
              <w:t>1999</w:t>
            </w:r>
          </w:p>
        </w:tc>
        <w:tc>
          <w:tcPr>
            <w:tcW w:w="1843" w:type="dxa"/>
            <w:tcBorders>
              <w:top w:val="single" w:sz="4" w:space="0" w:color="365F91"/>
              <w:bottom w:val="single" w:sz="4" w:space="0" w:color="365F91"/>
            </w:tcBorders>
            <w:shd w:val="clear" w:color="auto" w:fill="auto"/>
          </w:tcPr>
          <w:p w14:paraId="711AAA19" w14:textId="77777777" w:rsidR="00005A00" w:rsidRPr="00256982" w:rsidRDefault="00005A00" w:rsidP="00AA14F1">
            <w:pPr>
              <w:pStyle w:val="TableText"/>
              <w:spacing w:before="40" w:after="40"/>
              <w:jc w:val="center"/>
              <w:rPr>
                <w:highlight w:val="yellow"/>
              </w:rPr>
            </w:pPr>
            <w:r w:rsidRPr="00256982">
              <w:t xml:space="preserve"> 3,851,100 </w:t>
            </w:r>
          </w:p>
        </w:tc>
        <w:tc>
          <w:tcPr>
            <w:tcW w:w="3082" w:type="dxa"/>
            <w:tcBorders>
              <w:top w:val="single" w:sz="4" w:space="0" w:color="365F91"/>
              <w:bottom w:val="single" w:sz="4" w:space="0" w:color="365F91"/>
            </w:tcBorders>
          </w:tcPr>
          <w:p w14:paraId="26FC7094" w14:textId="77777777" w:rsidR="00005A00" w:rsidRPr="00256982" w:rsidRDefault="00005A00" w:rsidP="00AA14F1">
            <w:pPr>
              <w:pStyle w:val="TableText"/>
              <w:spacing w:before="40" w:after="40"/>
              <w:jc w:val="center"/>
              <w:rPr>
                <w:highlight w:val="yellow"/>
              </w:rPr>
            </w:pPr>
            <w:r w:rsidRPr="00256982">
              <w:t>Interpolated</w:t>
            </w:r>
          </w:p>
        </w:tc>
        <w:tc>
          <w:tcPr>
            <w:tcW w:w="2871" w:type="dxa"/>
            <w:tcBorders>
              <w:top w:val="single" w:sz="4" w:space="0" w:color="365F91"/>
              <w:bottom w:val="single" w:sz="4" w:space="0" w:color="365F91"/>
            </w:tcBorders>
            <w:shd w:val="clear" w:color="auto" w:fill="auto"/>
          </w:tcPr>
          <w:p w14:paraId="3D779C08" w14:textId="77777777" w:rsidR="00005A00" w:rsidRPr="00256982" w:rsidRDefault="00005A00" w:rsidP="00AA14F1">
            <w:pPr>
              <w:pStyle w:val="TableText"/>
              <w:spacing w:before="40" w:after="40"/>
              <w:jc w:val="center"/>
              <w:rPr>
                <w:highlight w:val="yellow"/>
              </w:rPr>
            </w:pPr>
            <w:r w:rsidRPr="00256982">
              <w:t>151.7</w:t>
            </w:r>
          </w:p>
        </w:tc>
      </w:tr>
      <w:tr w:rsidR="00005A00" w:rsidRPr="00256982" w14:paraId="6B678D69" w14:textId="77777777" w:rsidTr="00AA14F1">
        <w:tc>
          <w:tcPr>
            <w:tcW w:w="709" w:type="dxa"/>
            <w:tcBorders>
              <w:top w:val="single" w:sz="4" w:space="0" w:color="365F91"/>
              <w:bottom w:val="single" w:sz="4" w:space="0" w:color="365F91"/>
            </w:tcBorders>
          </w:tcPr>
          <w:p w14:paraId="79CDECCE" w14:textId="77777777" w:rsidR="00005A00" w:rsidRPr="00256982" w:rsidRDefault="00005A00" w:rsidP="00AA14F1">
            <w:pPr>
              <w:pStyle w:val="TableTextBold"/>
              <w:spacing w:before="40" w:after="40"/>
              <w:rPr>
                <w:noProof w:val="0"/>
              </w:rPr>
            </w:pPr>
            <w:r w:rsidRPr="00256982">
              <w:rPr>
                <w:noProof w:val="0"/>
              </w:rPr>
              <w:t>2000</w:t>
            </w:r>
          </w:p>
        </w:tc>
        <w:tc>
          <w:tcPr>
            <w:tcW w:w="1843" w:type="dxa"/>
            <w:tcBorders>
              <w:top w:val="single" w:sz="4" w:space="0" w:color="365F91"/>
              <w:bottom w:val="single" w:sz="4" w:space="0" w:color="365F91"/>
            </w:tcBorders>
            <w:shd w:val="clear" w:color="auto" w:fill="auto"/>
          </w:tcPr>
          <w:p w14:paraId="6C029F02" w14:textId="77777777" w:rsidR="00005A00" w:rsidRPr="00256982" w:rsidRDefault="00005A00" w:rsidP="00AA14F1">
            <w:pPr>
              <w:pStyle w:val="TableText"/>
              <w:spacing w:before="40" w:after="40"/>
              <w:jc w:val="center"/>
              <w:rPr>
                <w:highlight w:val="yellow"/>
              </w:rPr>
            </w:pPr>
            <w:r w:rsidRPr="00256982">
              <w:t xml:space="preserve"> 3,873,100 </w:t>
            </w:r>
          </w:p>
        </w:tc>
        <w:tc>
          <w:tcPr>
            <w:tcW w:w="3082" w:type="dxa"/>
            <w:tcBorders>
              <w:top w:val="single" w:sz="4" w:space="0" w:color="365F91"/>
              <w:bottom w:val="single" w:sz="4" w:space="0" w:color="365F91"/>
            </w:tcBorders>
          </w:tcPr>
          <w:p w14:paraId="3B9AF973" w14:textId="77777777" w:rsidR="00005A00" w:rsidRPr="00256982" w:rsidRDefault="00005A00" w:rsidP="00AA14F1">
            <w:pPr>
              <w:pStyle w:val="TableText"/>
              <w:spacing w:before="40" w:after="40"/>
              <w:jc w:val="center"/>
              <w:rPr>
                <w:highlight w:val="yellow"/>
              </w:rPr>
            </w:pPr>
            <w:r w:rsidRPr="00256982">
              <w:t>Interpolated</w:t>
            </w:r>
          </w:p>
        </w:tc>
        <w:tc>
          <w:tcPr>
            <w:tcW w:w="2871" w:type="dxa"/>
            <w:tcBorders>
              <w:top w:val="single" w:sz="4" w:space="0" w:color="365F91"/>
              <w:bottom w:val="single" w:sz="4" w:space="0" w:color="365F91"/>
            </w:tcBorders>
            <w:shd w:val="clear" w:color="auto" w:fill="auto"/>
          </w:tcPr>
          <w:p w14:paraId="43609601" w14:textId="77777777" w:rsidR="00005A00" w:rsidRPr="00256982" w:rsidRDefault="00005A00" w:rsidP="00AA14F1">
            <w:pPr>
              <w:pStyle w:val="TableText"/>
              <w:spacing w:before="40" w:after="40"/>
              <w:jc w:val="center"/>
              <w:rPr>
                <w:highlight w:val="yellow"/>
              </w:rPr>
            </w:pPr>
            <w:r w:rsidRPr="00256982">
              <w:t>151.0</w:t>
            </w:r>
          </w:p>
        </w:tc>
      </w:tr>
      <w:tr w:rsidR="00005A00" w:rsidRPr="00256982" w14:paraId="22DBC340" w14:textId="77777777" w:rsidTr="00AA14F1">
        <w:tc>
          <w:tcPr>
            <w:tcW w:w="709" w:type="dxa"/>
            <w:tcBorders>
              <w:top w:val="single" w:sz="4" w:space="0" w:color="365F91"/>
              <w:bottom w:val="single" w:sz="4" w:space="0" w:color="365F91"/>
            </w:tcBorders>
          </w:tcPr>
          <w:p w14:paraId="7EA8E84E" w14:textId="77777777" w:rsidR="00005A00" w:rsidRPr="00256982" w:rsidRDefault="00005A00" w:rsidP="00AA14F1">
            <w:pPr>
              <w:pStyle w:val="TableTextBold"/>
              <w:spacing w:before="40" w:after="40"/>
              <w:rPr>
                <w:noProof w:val="0"/>
              </w:rPr>
            </w:pPr>
            <w:r w:rsidRPr="00256982">
              <w:rPr>
                <w:noProof w:val="0"/>
              </w:rPr>
              <w:t>2001</w:t>
            </w:r>
          </w:p>
        </w:tc>
        <w:tc>
          <w:tcPr>
            <w:tcW w:w="1843" w:type="dxa"/>
            <w:tcBorders>
              <w:top w:val="single" w:sz="4" w:space="0" w:color="365F91"/>
              <w:bottom w:val="single" w:sz="4" w:space="0" w:color="365F91"/>
            </w:tcBorders>
            <w:shd w:val="clear" w:color="auto" w:fill="auto"/>
          </w:tcPr>
          <w:p w14:paraId="30E4FF95" w14:textId="77777777" w:rsidR="00005A00" w:rsidRPr="00256982" w:rsidRDefault="00005A00" w:rsidP="00AA14F1">
            <w:pPr>
              <w:pStyle w:val="TableText"/>
              <w:spacing w:before="40" w:after="40"/>
              <w:jc w:val="center"/>
              <w:rPr>
                <w:highlight w:val="yellow"/>
              </w:rPr>
            </w:pPr>
            <w:r w:rsidRPr="00256982">
              <w:t xml:space="preserve"> 3,916,200 </w:t>
            </w:r>
          </w:p>
        </w:tc>
        <w:tc>
          <w:tcPr>
            <w:tcW w:w="3082" w:type="dxa"/>
            <w:tcBorders>
              <w:top w:val="single" w:sz="4" w:space="0" w:color="365F91"/>
              <w:bottom w:val="single" w:sz="4" w:space="0" w:color="365F91"/>
            </w:tcBorders>
          </w:tcPr>
          <w:p w14:paraId="5C2DCBB9" w14:textId="77777777" w:rsidR="00005A00" w:rsidRPr="00256982" w:rsidRDefault="00005A00" w:rsidP="00AA14F1">
            <w:pPr>
              <w:pStyle w:val="TableText"/>
              <w:spacing w:before="40" w:after="40"/>
              <w:jc w:val="center"/>
              <w:rPr>
                <w:highlight w:val="yellow"/>
              </w:rPr>
            </w:pPr>
            <w:r w:rsidRPr="00256982">
              <w:t>0.038</w:t>
            </w:r>
          </w:p>
        </w:tc>
        <w:tc>
          <w:tcPr>
            <w:tcW w:w="2871" w:type="dxa"/>
            <w:tcBorders>
              <w:top w:val="single" w:sz="4" w:space="0" w:color="365F91"/>
              <w:bottom w:val="single" w:sz="4" w:space="0" w:color="365F91"/>
            </w:tcBorders>
            <w:shd w:val="clear" w:color="auto" w:fill="auto"/>
          </w:tcPr>
          <w:p w14:paraId="63ED54D1" w14:textId="77777777" w:rsidR="00005A00" w:rsidRPr="00256982" w:rsidRDefault="00005A00" w:rsidP="00AA14F1">
            <w:pPr>
              <w:pStyle w:val="TableText"/>
              <w:spacing w:before="40" w:after="40"/>
              <w:jc w:val="center"/>
              <w:rPr>
                <w:highlight w:val="yellow"/>
              </w:rPr>
            </w:pPr>
            <w:r w:rsidRPr="00256982">
              <w:t>150.2</w:t>
            </w:r>
          </w:p>
        </w:tc>
      </w:tr>
      <w:tr w:rsidR="00005A00" w:rsidRPr="00256982" w14:paraId="3AE59122" w14:textId="77777777" w:rsidTr="00AA14F1">
        <w:tc>
          <w:tcPr>
            <w:tcW w:w="709" w:type="dxa"/>
            <w:tcBorders>
              <w:top w:val="single" w:sz="4" w:space="0" w:color="365F91"/>
              <w:bottom w:val="single" w:sz="4" w:space="0" w:color="365F91"/>
            </w:tcBorders>
          </w:tcPr>
          <w:p w14:paraId="63DE2240" w14:textId="77777777" w:rsidR="00005A00" w:rsidRPr="00256982" w:rsidRDefault="00005A00" w:rsidP="00AA14F1">
            <w:pPr>
              <w:pStyle w:val="TableTextBold"/>
              <w:spacing w:before="40" w:after="40"/>
              <w:rPr>
                <w:noProof w:val="0"/>
              </w:rPr>
            </w:pPr>
            <w:r w:rsidRPr="00256982">
              <w:rPr>
                <w:noProof w:val="0"/>
              </w:rPr>
              <w:t>2002</w:t>
            </w:r>
          </w:p>
        </w:tc>
        <w:tc>
          <w:tcPr>
            <w:tcW w:w="1843" w:type="dxa"/>
            <w:tcBorders>
              <w:top w:val="single" w:sz="4" w:space="0" w:color="365F91"/>
              <w:bottom w:val="single" w:sz="4" w:space="0" w:color="365F91"/>
            </w:tcBorders>
            <w:shd w:val="clear" w:color="auto" w:fill="auto"/>
          </w:tcPr>
          <w:p w14:paraId="5BD4CD56" w14:textId="77777777" w:rsidR="00005A00" w:rsidRPr="00256982" w:rsidRDefault="00005A00" w:rsidP="00AA14F1">
            <w:pPr>
              <w:pStyle w:val="TableText"/>
              <w:spacing w:before="40" w:after="40"/>
              <w:jc w:val="center"/>
              <w:rPr>
                <w:highlight w:val="yellow"/>
              </w:rPr>
            </w:pPr>
            <w:r w:rsidRPr="00256982">
              <w:t xml:space="preserve"> 3,989,500 </w:t>
            </w:r>
          </w:p>
        </w:tc>
        <w:tc>
          <w:tcPr>
            <w:tcW w:w="3082" w:type="dxa"/>
            <w:tcBorders>
              <w:top w:val="single" w:sz="4" w:space="0" w:color="365F91"/>
              <w:bottom w:val="single" w:sz="4" w:space="0" w:color="365F91"/>
            </w:tcBorders>
          </w:tcPr>
          <w:p w14:paraId="0DD63F27" w14:textId="77777777" w:rsidR="00005A00" w:rsidRPr="00256982" w:rsidRDefault="00005A00" w:rsidP="00AA14F1">
            <w:pPr>
              <w:pStyle w:val="TableText"/>
              <w:spacing w:before="40" w:after="40"/>
              <w:jc w:val="center"/>
              <w:rPr>
                <w:highlight w:val="yellow"/>
              </w:rPr>
            </w:pPr>
            <w:r w:rsidRPr="00256982">
              <w:t>Interpolated</w:t>
            </w:r>
          </w:p>
        </w:tc>
        <w:tc>
          <w:tcPr>
            <w:tcW w:w="2871" w:type="dxa"/>
            <w:tcBorders>
              <w:top w:val="single" w:sz="4" w:space="0" w:color="365F91"/>
              <w:bottom w:val="single" w:sz="4" w:space="0" w:color="365F91"/>
            </w:tcBorders>
            <w:shd w:val="clear" w:color="auto" w:fill="auto"/>
          </w:tcPr>
          <w:p w14:paraId="6F4165A6" w14:textId="77777777" w:rsidR="00005A00" w:rsidRPr="00256982" w:rsidRDefault="00005A00" w:rsidP="00AA14F1">
            <w:pPr>
              <w:pStyle w:val="TableText"/>
              <w:spacing w:before="40" w:after="40"/>
              <w:jc w:val="center"/>
              <w:rPr>
                <w:highlight w:val="yellow"/>
              </w:rPr>
            </w:pPr>
            <w:r w:rsidRPr="00256982">
              <w:t>153.6</w:t>
            </w:r>
          </w:p>
        </w:tc>
      </w:tr>
      <w:tr w:rsidR="00005A00" w:rsidRPr="00256982" w14:paraId="065D9992" w14:textId="77777777" w:rsidTr="00AA14F1">
        <w:tc>
          <w:tcPr>
            <w:tcW w:w="709" w:type="dxa"/>
            <w:tcBorders>
              <w:top w:val="single" w:sz="4" w:space="0" w:color="365F91"/>
              <w:bottom w:val="single" w:sz="4" w:space="0" w:color="365F91"/>
            </w:tcBorders>
          </w:tcPr>
          <w:p w14:paraId="13FD9AB3" w14:textId="77777777" w:rsidR="00005A00" w:rsidRPr="00256982" w:rsidRDefault="00005A00" w:rsidP="00AA14F1">
            <w:pPr>
              <w:pStyle w:val="TableTextBold"/>
              <w:spacing w:before="40" w:after="40"/>
              <w:rPr>
                <w:noProof w:val="0"/>
              </w:rPr>
            </w:pPr>
            <w:r w:rsidRPr="00256982">
              <w:rPr>
                <w:noProof w:val="0"/>
              </w:rPr>
              <w:t>2003</w:t>
            </w:r>
          </w:p>
        </w:tc>
        <w:tc>
          <w:tcPr>
            <w:tcW w:w="1843" w:type="dxa"/>
            <w:tcBorders>
              <w:top w:val="single" w:sz="4" w:space="0" w:color="365F91"/>
              <w:bottom w:val="single" w:sz="4" w:space="0" w:color="365F91"/>
            </w:tcBorders>
            <w:shd w:val="clear" w:color="auto" w:fill="auto"/>
          </w:tcPr>
          <w:p w14:paraId="0324743C" w14:textId="77777777" w:rsidR="00005A00" w:rsidRPr="00256982" w:rsidRDefault="00005A00" w:rsidP="00AA14F1">
            <w:pPr>
              <w:pStyle w:val="TableText"/>
              <w:spacing w:before="40" w:after="40"/>
              <w:jc w:val="center"/>
              <w:rPr>
                <w:highlight w:val="yellow"/>
              </w:rPr>
            </w:pPr>
            <w:r w:rsidRPr="00256982">
              <w:t xml:space="preserve"> 4,061,600 </w:t>
            </w:r>
          </w:p>
        </w:tc>
        <w:tc>
          <w:tcPr>
            <w:tcW w:w="3082" w:type="dxa"/>
            <w:tcBorders>
              <w:top w:val="single" w:sz="4" w:space="0" w:color="365F91"/>
              <w:bottom w:val="single" w:sz="4" w:space="0" w:color="365F91"/>
            </w:tcBorders>
          </w:tcPr>
          <w:p w14:paraId="288BE5E9" w14:textId="77777777" w:rsidR="00005A00" w:rsidRPr="00256982" w:rsidRDefault="00005A00" w:rsidP="00AA14F1">
            <w:pPr>
              <w:pStyle w:val="TableText"/>
              <w:spacing w:before="40" w:after="40"/>
              <w:jc w:val="center"/>
              <w:rPr>
                <w:highlight w:val="yellow"/>
              </w:rPr>
            </w:pPr>
            <w:r w:rsidRPr="00256982">
              <w:t>Interpolated</w:t>
            </w:r>
          </w:p>
        </w:tc>
        <w:tc>
          <w:tcPr>
            <w:tcW w:w="2871" w:type="dxa"/>
            <w:tcBorders>
              <w:top w:val="single" w:sz="4" w:space="0" w:color="365F91"/>
              <w:bottom w:val="single" w:sz="4" w:space="0" w:color="365F91"/>
            </w:tcBorders>
            <w:shd w:val="clear" w:color="auto" w:fill="auto"/>
          </w:tcPr>
          <w:p w14:paraId="19FFD365" w14:textId="77777777" w:rsidR="00005A00" w:rsidRPr="00256982" w:rsidRDefault="00005A00" w:rsidP="00AA14F1">
            <w:pPr>
              <w:pStyle w:val="TableText"/>
              <w:spacing w:before="40" w:after="40"/>
              <w:jc w:val="center"/>
              <w:rPr>
                <w:highlight w:val="yellow"/>
              </w:rPr>
            </w:pPr>
            <w:r w:rsidRPr="00256982">
              <w:t>157.1</w:t>
            </w:r>
          </w:p>
        </w:tc>
      </w:tr>
      <w:tr w:rsidR="00005A00" w:rsidRPr="00256982" w14:paraId="1773775B" w14:textId="77777777" w:rsidTr="00AA14F1">
        <w:tc>
          <w:tcPr>
            <w:tcW w:w="709" w:type="dxa"/>
            <w:tcBorders>
              <w:top w:val="single" w:sz="4" w:space="0" w:color="365F91"/>
              <w:bottom w:val="single" w:sz="4" w:space="0" w:color="365F91"/>
            </w:tcBorders>
          </w:tcPr>
          <w:p w14:paraId="4FD91B47" w14:textId="77777777" w:rsidR="00005A00" w:rsidRPr="00256982" w:rsidRDefault="00005A00" w:rsidP="00AA14F1">
            <w:pPr>
              <w:pStyle w:val="TableTextBold"/>
              <w:spacing w:before="40" w:after="40"/>
              <w:rPr>
                <w:noProof w:val="0"/>
              </w:rPr>
            </w:pPr>
            <w:r w:rsidRPr="00256982">
              <w:rPr>
                <w:noProof w:val="0"/>
              </w:rPr>
              <w:t>2004</w:t>
            </w:r>
          </w:p>
        </w:tc>
        <w:tc>
          <w:tcPr>
            <w:tcW w:w="1843" w:type="dxa"/>
            <w:tcBorders>
              <w:top w:val="single" w:sz="4" w:space="0" w:color="365F91"/>
              <w:bottom w:val="single" w:sz="4" w:space="0" w:color="365F91"/>
            </w:tcBorders>
            <w:shd w:val="clear" w:color="auto" w:fill="auto"/>
          </w:tcPr>
          <w:p w14:paraId="56F85732" w14:textId="77777777" w:rsidR="00005A00" w:rsidRPr="00256982" w:rsidRDefault="00005A00" w:rsidP="00AA14F1">
            <w:pPr>
              <w:pStyle w:val="TableText"/>
              <w:spacing w:before="40" w:after="40"/>
              <w:jc w:val="center"/>
              <w:rPr>
                <w:highlight w:val="yellow"/>
              </w:rPr>
            </w:pPr>
            <w:r w:rsidRPr="00256982">
              <w:t xml:space="preserve"> 4,114,300 </w:t>
            </w:r>
          </w:p>
        </w:tc>
        <w:tc>
          <w:tcPr>
            <w:tcW w:w="3082" w:type="dxa"/>
            <w:tcBorders>
              <w:top w:val="single" w:sz="4" w:space="0" w:color="365F91"/>
              <w:bottom w:val="single" w:sz="4" w:space="0" w:color="365F91"/>
            </w:tcBorders>
          </w:tcPr>
          <w:p w14:paraId="1036024B" w14:textId="77777777" w:rsidR="00005A00" w:rsidRPr="00256982" w:rsidRDefault="00005A00" w:rsidP="00AA14F1">
            <w:pPr>
              <w:pStyle w:val="TableText"/>
              <w:spacing w:before="40" w:after="40"/>
              <w:jc w:val="center"/>
              <w:rPr>
                <w:highlight w:val="yellow"/>
              </w:rPr>
            </w:pPr>
            <w:r w:rsidRPr="00256982">
              <w:t>Interpolated</w:t>
            </w:r>
          </w:p>
        </w:tc>
        <w:tc>
          <w:tcPr>
            <w:tcW w:w="2871" w:type="dxa"/>
            <w:tcBorders>
              <w:top w:val="single" w:sz="4" w:space="0" w:color="365F91"/>
              <w:bottom w:val="single" w:sz="4" w:space="0" w:color="365F91"/>
            </w:tcBorders>
            <w:shd w:val="clear" w:color="auto" w:fill="auto"/>
          </w:tcPr>
          <w:p w14:paraId="0302A4A8" w14:textId="77777777" w:rsidR="00005A00" w:rsidRPr="00256982" w:rsidRDefault="00005A00" w:rsidP="00AA14F1">
            <w:pPr>
              <w:pStyle w:val="TableText"/>
              <w:spacing w:before="40" w:after="40"/>
              <w:jc w:val="center"/>
              <w:rPr>
                <w:highlight w:val="yellow"/>
              </w:rPr>
            </w:pPr>
            <w:r w:rsidRPr="00256982">
              <w:t>160.7</w:t>
            </w:r>
          </w:p>
        </w:tc>
      </w:tr>
      <w:tr w:rsidR="00005A00" w:rsidRPr="00256982" w14:paraId="42DC660D" w14:textId="77777777" w:rsidTr="00AA14F1">
        <w:tc>
          <w:tcPr>
            <w:tcW w:w="709" w:type="dxa"/>
            <w:tcBorders>
              <w:top w:val="single" w:sz="4" w:space="0" w:color="365F91"/>
              <w:bottom w:val="single" w:sz="4" w:space="0" w:color="365F91"/>
            </w:tcBorders>
          </w:tcPr>
          <w:p w14:paraId="43B6ABFD" w14:textId="77777777" w:rsidR="00005A00" w:rsidRPr="00256982" w:rsidRDefault="00005A00" w:rsidP="00AA14F1">
            <w:pPr>
              <w:pStyle w:val="TableTextBold"/>
              <w:spacing w:before="40" w:after="40"/>
              <w:rPr>
                <w:noProof w:val="0"/>
              </w:rPr>
            </w:pPr>
            <w:r w:rsidRPr="00256982">
              <w:rPr>
                <w:noProof w:val="0"/>
              </w:rPr>
              <w:t>2005</w:t>
            </w:r>
          </w:p>
        </w:tc>
        <w:tc>
          <w:tcPr>
            <w:tcW w:w="1843" w:type="dxa"/>
            <w:tcBorders>
              <w:top w:val="single" w:sz="4" w:space="0" w:color="365F91"/>
              <w:bottom w:val="single" w:sz="4" w:space="0" w:color="365F91"/>
            </w:tcBorders>
            <w:shd w:val="clear" w:color="auto" w:fill="auto"/>
          </w:tcPr>
          <w:p w14:paraId="51F0CFCB" w14:textId="77777777" w:rsidR="00005A00" w:rsidRPr="00256982" w:rsidRDefault="00005A00" w:rsidP="00AA14F1">
            <w:pPr>
              <w:pStyle w:val="TableText"/>
              <w:spacing w:before="40" w:after="40"/>
              <w:jc w:val="center"/>
              <w:rPr>
                <w:highlight w:val="yellow"/>
              </w:rPr>
            </w:pPr>
            <w:r w:rsidRPr="00256982">
              <w:t xml:space="preserve"> 4,161,000 </w:t>
            </w:r>
          </w:p>
        </w:tc>
        <w:tc>
          <w:tcPr>
            <w:tcW w:w="3082" w:type="dxa"/>
            <w:tcBorders>
              <w:top w:val="single" w:sz="4" w:space="0" w:color="365F91"/>
              <w:bottom w:val="single" w:sz="4" w:space="0" w:color="365F91"/>
            </w:tcBorders>
          </w:tcPr>
          <w:p w14:paraId="1E607225" w14:textId="77777777" w:rsidR="00005A00" w:rsidRPr="00256982" w:rsidRDefault="00005A00" w:rsidP="00AA14F1">
            <w:pPr>
              <w:pStyle w:val="TableText"/>
              <w:spacing w:before="40" w:after="40"/>
              <w:jc w:val="center"/>
              <w:rPr>
                <w:highlight w:val="yellow"/>
              </w:rPr>
            </w:pPr>
            <w:r w:rsidRPr="00256982">
              <w:t>Interpolated</w:t>
            </w:r>
          </w:p>
        </w:tc>
        <w:tc>
          <w:tcPr>
            <w:tcW w:w="2871" w:type="dxa"/>
            <w:tcBorders>
              <w:top w:val="single" w:sz="4" w:space="0" w:color="365F91"/>
              <w:bottom w:val="single" w:sz="4" w:space="0" w:color="365F91"/>
            </w:tcBorders>
            <w:shd w:val="clear" w:color="auto" w:fill="auto"/>
          </w:tcPr>
          <w:p w14:paraId="7507AF48" w14:textId="77777777" w:rsidR="00005A00" w:rsidRPr="00256982" w:rsidRDefault="00005A00" w:rsidP="00AA14F1">
            <w:pPr>
              <w:pStyle w:val="TableText"/>
              <w:spacing w:before="40" w:after="40"/>
              <w:jc w:val="center"/>
              <w:rPr>
                <w:highlight w:val="yellow"/>
              </w:rPr>
            </w:pPr>
            <w:r w:rsidRPr="00256982">
              <w:t>164.3</w:t>
            </w:r>
          </w:p>
        </w:tc>
      </w:tr>
      <w:tr w:rsidR="00005A00" w:rsidRPr="00256982" w14:paraId="3D6FFBA4" w14:textId="77777777" w:rsidTr="00AA14F1">
        <w:tc>
          <w:tcPr>
            <w:tcW w:w="709" w:type="dxa"/>
            <w:tcBorders>
              <w:top w:val="single" w:sz="4" w:space="0" w:color="365F91"/>
              <w:bottom w:val="single" w:sz="4" w:space="0" w:color="365F91"/>
            </w:tcBorders>
          </w:tcPr>
          <w:p w14:paraId="1C43D52B" w14:textId="77777777" w:rsidR="00005A00" w:rsidRPr="00256982" w:rsidRDefault="00005A00" w:rsidP="00AA14F1">
            <w:pPr>
              <w:pStyle w:val="TableTextBold"/>
              <w:spacing w:before="40" w:after="40"/>
              <w:rPr>
                <w:noProof w:val="0"/>
              </w:rPr>
            </w:pPr>
            <w:r w:rsidRPr="00256982">
              <w:rPr>
                <w:noProof w:val="0"/>
              </w:rPr>
              <w:t>2006</w:t>
            </w:r>
          </w:p>
        </w:tc>
        <w:tc>
          <w:tcPr>
            <w:tcW w:w="1843" w:type="dxa"/>
            <w:tcBorders>
              <w:top w:val="single" w:sz="4" w:space="0" w:color="365F91"/>
              <w:bottom w:val="single" w:sz="4" w:space="0" w:color="365F91"/>
            </w:tcBorders>
            <w:shd w:val="clear" w:color="auto" w:fill="auto"/>
          </w:tcPr>
          <w:p w14:paraId="7155A14B" w14:textId="77777777" w:rsidR="00005A00" w:rsidRPr="00256982" w:rsidRDefault="00005A00" w:rsidP="00AA14F1">
            <w:pPr>
              <w:pStyle w:val="TableText"/>
              <w:spacing w:before="40" w:after="40"/>
              <w:jc w:val="center"/>
              <w:rPr>
                <w:highlight w:val="yellow"/>
              </w:rPr>
            </w:pPr>
            <w:r w:rsidRPr="00256982">
              <w:t xml:space="preserve"> 4,209,100 </w:t>
            </w:r>
          </w:p>
        </w:tc>
        <w:tc>
          <w:tcPr>
            <w:tcW w:w="3082" w:type="dxa"/>
            <w:tcBorders>
              <w:top w:val="single" w:sz="4" w:space="0" w:color="365F91"/>
              <w:bottom w:val="single" w:sz="4" w:space="0" w:color="365F91"/>
            </w:tcBorders>
          </w:tcPr>
          <w:p w14:paraId="7D19AFCE" w14:textId="77777777" w:rsidR="00005A00" w:rsidRPr="00256982" w:rsidRDefault="00005A00" w:rsidP="00AA14F1">
            <w:pPr>
              <w:pStyle w:val="TableText"/>
              <w:spacing w:before="40" w:after="40"/>
              <w:jc w:val="center"/>
              <w:rPr>
                <w:highlight w:val="yellow"/>
              </w:rPr>
            </w:pPr>
            <w:r w:rsidRPr="00256982">
              <w:t>0.032</w:t>
            </w:r>
          </w:p>
        </w:tc>
        <w:tc>
          <w:tcPr>
            <w:tcW w:w="2871" w:type="dxa"/>
            <w:tcBorders>
              <w:top w:val="single" w:sz="4" w:space="0" w:color="365F91"/>
              <w:bottom w:val="single" w:sz="4" w:space="0" w:color="365F91"/>
            </w:tcBorders>
            <w:shd w:val="clear" w:color="auto" w:fill="auto"/>
          </w:tcPr>
          <w:p w14:paraId="5D7A71E3" w14:textId="77777777" w:rsidR="00005A00" w:rsidRPr="00256982" w:rsidRDefault="00005A00" w:rsidP="00AA14F1">
            <w:pPr>
              <w:pStyle w:val="TableText"/>
              <w:spacing w:before="40" w:after="40"/>
              <w:jc w:val="center"/>
              <w:rPr>
                <w:highlight w:val="yellow"/>
              </w:rPr>
            </w:pPr>
            <w:r w:rsidRPr="00256982">
              <w:t>168.0</w:t>
            </w:r>
          </w:p>
        </w:tc>
      </w:tr>
      <w:tr w:rsidR="00005A00" w:rsidRPr="00256982" w14:paraId="52DF0DD2" w14:textId="77777777" w:rsidTr="00AA14F1">
        <w:tc>
          <w:tcPr>
            <w:tcW w:w="709" w:type="dxa"/>
            <w:tcBorders>
              <w:top w:val="single" w:sz="4" w:space="0" w:color="365F91"/>
              <w:bottom w:val="single" w:sz="4" w:space="0" w:color="365F91"/>
            </w:tcBorders>
          </w:tcPr>
          <w:p w14:paraId="0C1584D1" w14:textId="77777777" w:rsidR="00005A00" w:rsidRPr="00256982" w:rsidRDefault="00005A00" w:rsidP="00AA14F1">
            <w:pPr>
              <w:pStyle w:val="TableTextBold"/>
              <w:spacing w:before="40" w:after="40"/>
              <w:rPr>
                <w:noProof w:val="0"/>
              </w:rPr>
            </w:pPr>
            <w:r w:rsidRPr="00256982">
              <w:rPr>
                <w:noProof w:val="0"/>
              </w:rPr>
              <w:t>2007</w:t>
            </w:r>
          </w:p>
        </w:tc>
        <w:tc>
          <w:tcPr>
            <w:tcW w:w="1843" w:type="dxa"/>
            <w:tcBorders>
              <w:top w:val="single" w:sz="4" w:space="0" w:color="365F91"/>
              <w:bottom w:val="single" w:sz="4" w:space="0" w:color="365F91"/>
            </w:tcBorders>
            <w:shd w:val="clear" w:color="auto" w:fill="auto"/>
          </w:tcPr>
          <w:p w14:paraId="30950F48" w14:textId="77777777" w:rsidR="00005A00" w:rsidRPr="00256982" w:rsidRDefault="00005A00" w:rsidP="00AA14F1">
            <w:pPr>
              <w:pStyle w:val="TableText"/>
              <w:spacing w:before="40" w:after="40"/>
              <w:jc w:val="center"/>
              <w:rPr>
                <w:highlight w:val="yellow"/>
              </w:rPr>
            </w:pPr>
            <w:r w:rsidRPr="00256982">
              <w:t xml:space="preserve"> 4,245,700 </w:t>
            </w:r>
          </w:p>
        </w:tc>
        <w:tc>
          <w:tcPr>
            <w:tcW w:w="3082" w:type="dxa"/>
            <w:tcBorders>
              <w:top w:val="single" w:sz="4" w:space="0" w:color="365F91"/>
              <w:bottom w:val="single" w:sz="4" w:space="0" w:color="365F91"/>
            </w:tcBorders>
          </w:tcPr>
          <w:p w14:paraId="61781053" w14:textId="77777777" w:rsidR="00005A00" w:rsidRPr="00256982" w:rsidRDefault="00005A00" w:rsidP="00AA14F1">
            <w:pPr>
              <w:pStyle w:val="TableText"/>
              <w:spacing w:before="40" w:after="40"/>
              <w:jc w:val="center"/>
              <w:rPr>
                <w:highlight w:val="yellow"/>
              </w:rPr>
            </w:pPr>
            <w:r w:rsidRPr="00256982">
              <w:t>Interpolated</w:t>
            </w:r>
          </w:p>
        </w:tc>
        <w:tc>
          <w:tcPr>
            <w:tcW w:w="2871" w:type="dxa"/>
            <w:tcBorders>
              <w:top w:val="single" w:sz="4" w:space="0" w:color="365F91"/>
              <w:bottom w:val="single" w:sz="4" w:space="0" w:color="365F91"/>
            </w:tcBorders>
            <w:shd w:val="clear" w:color="auto" w:fill="auto"/>
          </w:tcPr>
          <w:p w14:paraId="561731D1" w14:textId="77777777" w:rsidR="00005A00" w:rsidRPr="00256982" w:rsidRDefault="00005A00" w:rsidP="00AA14F1">
            <w:pPr>
              <w:pStyle w:val="TableText"/>
              <w:spacing w:before="40" w:after="40"/>
              <w:jc w:val="center"/>
              <w:rPr>
                <w:highlight w:val="yellow"/>
              </w:rPr>
            </w:pPr>
            <w:r w:rsidRPr="00256982">
              <w:t>169.9</w:t>
            </w:r>
          </w:p>
        </w:tc>
      </w:tr>
      <w:tr w:rsidR="00005A00" w:rsidRPr="00256982" w14:paraId="25F2831D" w14:textId="77777777" w:rsidTr="00AA14F1">
        <w:tc>
          <w:tcPr>
            <w:tcW w:w="709" w:type="dxa"/>
            <w:tcBorders>
              <w:top w:val="single" w:sz="4" w:space="0" w:color="365F91"/>
              <w:bottom w:val="single" w:sz="4" w:space="0" w:color="365F91"/>
            </w:tcBorders>
          </w:tcPr>
          <w:p w14:paraId="52220489" w14:textId="77777777" w:rsidR="00005A00" w:rsidRPr="00256982" w:rsidRDefault="00005A00" w:rsidP="00AA14F1">
            <w:pPr>
              <w:pStyle w:val="TableTextBold"/>
              <w:spacing w:before="40" w:after="40"/>
              <w:rPr>
                <w:noProof w:val="0"/>
              </w:rPr>
            </w:pPr>
            <w:r w:rsidRPr="00256982">
              <w:rPr>
                <w:noProof w:val="0"/>
              </w:rPr>
              <w:t>2008</w:t>
            </w:r>
          </w:p>
        </w:tc>
        <w:tc>
          <w:tcPr>
            <w:tcW w:w="1843" w:type="dxa"/>
            <w:tcBorders>
              <w:top w:val="single" w:sz="4" w:space="0" w:color="365F91"/>
              <w:bottom w:val="single" w:sz="4" w:space="0" w:color="365F91"/>
            </w:tcBorders>
            <w:shd w:val="clear" w:color="auto" w:fill="auto"/>
          </w:tcPr>
          <w:p w14:paraId="7E14CE0A" w14:textId="77777777" w:rsidR="00005A00" w:rsidRPr="00256982" w:rsidRDefault="00005A00" w:rsidP="00AA14F1">
            <w:pPr>
              <w:pStyle w:val="TableText"/>
              <w:spacing w:before="40" w:after="40"/>
              <w:jc w:val="center"/>
              <w:rPr>
                <w:highlight w:val="yellow"/>
              </w:rPr>
            </w:pPr>
            <w:r w:rsidRPr="00256982">
              <w:t xml:space="preserve"> 4,280,300 </w:t>
            </w:r>
          </w:p>
        </w:tc>
        <w:tc>
          <w:tcPr>
            <w:tcW w:w="3082" w:type="dxa"/>
            <w:tcBorders>
              <w:top w:val="single" w:sz="4" w:space="0" w:color="365F91"/>
              <w:bottom w:val="single" w:sz="4" w:space="0" w:color="365F91"/>
            </w:tcBorders>
          </w:tcPr>
          <w:p w14:paraId="7F314067" w14:textId="77777777" w:rsidR="00005A00" w:rsidRPr="00256982" w:rsidRDefault="00005A00" w:rsidP="00AA14F1">
            <w:pPr>
              <w:pStyle w:val="TableText"/>
              <w:spacing w:before="40" w:after="40"/>
              <w:jc w:val="center"/>
              <w:rPr>
                <w:highlight w:val="yellow"/>
              </w:rPr>
            </w:pPr>
            <w:r w:rsidRPr="00256982">
              <w:t>Interpolated</w:t>
            </w:r>
          </w:p>
        </w:tc>
        <w:tc>
          <w:tcPr>
            <w:tcW w:w="2871" w:type="dxa"/>
            <w:tcBorders>
              <w:top w:val="single" w:sz="4" w:space="0" w:color="365F91"/>
              <w:bottom w:val="single" w:sz="4" w:space="0" w:color="365F91"/>
            </w:tcBorders>
            <w:shd w:val="clear" w:color="auto" w:fill="auto"/>
          </w:tcPr>
          <w:p w14:paraId="1F80A97A" w14:textId="77777777" w:rsidR="00005A00" w:rsidRPr="00256982" w:rsidRDefault="00005A00" w:rsidP="00AA14F1">
            <w:pPr>
              <w:pStyle w:val="TableText"/>
              <w:spacing w:before="40" w:after="40"/>
              <w:jc w:val="center"/>
              <w:rPr>
                <w:highlight w:val="yellow"/>
              </w:rPr>
            </w:pPr>
            <w:r w:rsidRPr="00256982">
              <w:t>171.9</w:t>
            </w:r>
          </w:p>
        </w:tc>
      </w:tr>
      <w:tr w:rsidR="00005A00" w:rsidRPr="00256982" w14:paraId="1B711504" w14:textId="77777777" w:rsidTr="00AA14F1">
        <w:tc>
          <w:tcPr>
            <w:tcW w:w="709" w:type="dxa"/>
            <w:tcBorders>
              <w:top w:val="single" w:sz="4" w:space="0" w:color="365F91"/>
              <w:bottom w:val="single" w:sz="4" w:space="0" w:color="365F91"/>
            </w:tcBorders>
          </w:tcPr>
          <w:p w14:paraId="639CC88C" w14:textId="77777777" w:rsidR="00005A00" w:rsidRPr="00256982" w:rsidRDefault="00005A00" w:rsidP="00AA14F1">
            <w:pPr>
              <w:pStyle w:val="TableTextBold"/>
              <w:spacing w:before="40" w:after="40"/>
              <w:rPr>
                <w:noProof w:val="0"/>
              </w:rPr>
            </w:pPr>
            <w:r w:rsidRPr="00256982">
              <w:rPr>
                <w:noProof w:val="0"/>
              </w:rPr>
              <w:t>2009</w:t>
            </w:r>
          </w:p>
        </w:tc>
        <w:tc>
          <w:tcPr>
            <w:tcW w:w="1843" w:type="dxa"/>
            <w:tcBorders>
              <w:top w:val="single" w:sz="4" w:space="0" w:color="365F91"/>
              <w:bottom w:val="single" w:sz="4" w:space="0" w:color="365F91"/>
            </w:tcBorders>
            <w:shd w:val="clear" w:color="auto" w:fill="auto"/>
          </w:tcPr>
          <w:p w14:paraId="10C69AF9" w14:textId="77777777" w:rsidR="00005A00" w:rsidRPr="00256982" w:rsidRDefault="00005A00" w:rsidP="00AA14F1">
            <w:pPr>
              <w:pStyle w:val="TableText"/>
              <w:spacing w:before="40" w:after="40"/>
              <w:jc w:val="center"/>
              <w:rPr>
                <w:highlight w:val="yellow"/>
              </w:rPr>
            </w:pPr>
            <w:r w:rsidRPr="00256982">
              <w:t xml:space="preserve"> 4,332,100 </w:t>
            </w:r>
          </w:p>
        </w:tc>
        <w:tc>
          <w:tcPr>
            <w:tcW w:w="3082" w:type="dxa"/>
            <w:tcBorders>
              <w:top w:val="single" w:sz="4" w:space="0" w:color="365F91"/>
              <w:bottom w:val="single" w:sz="4" w:space="0" w:color="365F91"/>
            </w:tcBorders>
          </w:tcPr>
          <w:p w14:paraId="2E33FC74" w14:textId="77777777" w:rsidR="00005A00" w:rsidRPr="00256982" w:rsidRDefault="00005A00" w:rsidP="00AA14F1">
            <w:pPr>
              <w:pStyle w:val="TableText"/>
              <w:spacing w:before="40" w:after="40"/>
              <w:jc w:val="center"/>
              <w:rPr>
                <w:highlight w:val="yellow"/>
              </w:rPr>
            </w:pPr>
            <w:r w:rsidRPr="00256982">
              <w:t>Interpolated</w:t>
            </w:r>
          </w:p>
        </w:tc>
        <w:tc>
          <w:tcPr>
            <w:tcW w:w="2871" w:type="dxa"/>
            <w:tcBorders>
              <w:top w:val="single" w:sz="4" w:space="0" w:color="365F91"/>
              <w:bottom w:val="single" w:sz="4" w:space="0" w:color="365F91"/>
            </w:tcBorders>
            <w:shd w:val="clear" w:color="auto" w:fill="auto"/>
          </w:tcPr>
          <w:p w14:paraId="1B68B83F" w14:textId="77777777" w:rsidR="00005A00" w:rsidRPr="00256982" w:rsidRDefault="00005A00" w:rsidP="00AA14F1">
            <w:pPr>
              <w:pStyle w:val="TableText"/>
              <w:spacing w:before="40" w:after="40"/>
              <w:jc w:val="center"/>
              <w:rPr>
                <w:highlight w:val="yellow"/>
              </w:rPr>
            </w:pPr>
            <w:r w:rsidRPr="00256982">
              <w:t>173.8</w:t>
            </w:r>
          </w:p>
        </w:tc>
      </w:tr>
      <w:tr w:rsidR="00005A00" w:rsidRPr="00256982" w14:paraId="6DEBDF52" w14:textId="77777777" w:rsidTr="00AA14F1">
        <w:tc>
          <w:tcPr>
            <w:tcW w:w="709" w:type="dxa"/>
            <w:tcBorders>
              <w:top w:val="single" w:sz="4" w:space="0" w:color="365F91"/>
              <w:bottom w:val="single" w:sz="4" w:space="0" w:color="365F91"/>
            </w:tcBorders>
          </w:tcPr>
          <w:p w14:paraId="5C4002E8" w14:textId="77777777" w:rsidR="00005A00" w:rsidRPr="00256982" w:rsidRDefault="00005A00" w:rsidP="00AA14F1">
            <w:pPr>
              <w:pStyle w:val="TableTextBold"/>
              <w:spacing w:before="40" w:after="40"/>
              <w:rPr>
                <w:noProof w:val="0"/>
              </w:rPr>
            </w:pPr>
            <w:r w:rsidRPr="00256982">
              <w:rPr>
                <w:noProof w:val="0"/>
              </w:rPr>
              <w:t>2010</w:t>
            </w:r>
          </w:p>
        </w:tc>
        <w:tc>
          <w:tcPr>
            <w:tcW w:w="1843" w:type="dxa"/>
            <w:tcBorders>
              <w:top w:val="single" w:sz="4" w:space="0" w:color="365F91"/>
              <w:bottom w:val="single" w:sz="4" w:space="0" w:color="365F91"/>
            </w:tcBorders>
            <w:shd w:val="clear" w:color="auto" w:fill="auto"/>
          </w:tcPr>
          <w:p w14:paraId="1EBC70ED" w14:textId="77777777" w:rsidR="00005A00" w:rsidRPr="00256982" w:rsidRDefault="00005A00" w:rsidP="00AA14F1">
            <w:pPr>
              <w:pStyle w:val="TableText"/>
              <w:spacing w:before="40" w:after="40"/>
              <w:jc w:val="center"/>
              <w:rPr>
                <w:highlight w:val="yellow"/>
              </w:rPr>
            </w:pPr>
            <w:r w:rsidRPr="00256982">
              <w:t xml:space="preserve"> 4,373,900 </w:t>
            </w:r>
          </w:p>
        </w:tc>
        <w:tc>
          <w:tcPr>
            <w:tcW w:w="3082" w:type="dxa"/>
            <w:tcBorders>
              <w:top w:val="single" w:sz="4" w:space="0" w:color="365F91"/>
              <w:bottom w:val="single" w:sz="4" w:space="0" w:color="365F91"/>
            </w:tcBorders>
          </w:tcPr>
          <w:p w14:paraId="3E44E421" w14:textId="77777777" w:rsidR="00005A00" w:rsidRPr="00256982" w:rsidRDefault="00005A00" w:rsidP="00AA14F1">
            <w:pPr>
              <w:pStyle w:val="TableText"/>
              <w:spacing w:before="40" w:after="40"/>
              <w:jc w:val="center"/>
              <w:rPr>
                <w:highlight w:val="yellow"/>
              </w:rPr>
            </w:pPr>
            <w:r w:rsidRPr="00256982">
              <w:t>Interpolated</w:t>
            </w:r>
          </w:p>
        </w:tc>
        <w:tc>
          <w:tcPr>
            <w:tcW w:w="2871" w:type="dxa"/>
            <w:tcBorders>
              <w:top w:val="single" w:sz="4" w:space="0" w:color="365F91"/>
              <w:bottom w:val="single" w:sz="4" w:space="0" w:color="365F91"/>
            </w:tcBorders>
            <w:shd w:val="clear" w:color="auto" w:fill="auto"/>
          </w:tcPr>
          <w:p w14:paraId="73F08A05" w14:textId="77777777" w:rsidR="00005A00" w:rsidRPr="00256982" w:rsidRDefault="00005A00" w:rsidP="00AA14F1">
            <w:pPr>
              <w:pStyle w:val="TableText"/>
              <w:spacing w:before="40" w:after="40"/>
              <w:jc w:val="center"/>
              <w:rPr>
                <w:highlight w:val="yellow"/>
              </w:rPr>
            </w:pPr>
            <w:r w:rsidRPr="00256982">
              <w:t>175.8</w:t>
            </w:r>
          </w:p>
        </w:tc>
      </w:tr>
      <w:tr w:rsidR="00005A00" w:rsidRPr="00256982" w14:paraId="1AA9B594" w14:textId="77777777" w:rsidTr="00AA14F1">
        <w:tc>
          <w:tcPr>
            <w:tcW w:w="709" w:type="dxa"/>
            <w:tcBorders>
              <w:top w:val="single" w:sz="4" w:space="0" w:color="365F91"/>
              <w:bottom w:val="single" w:sz="4" w:space="0" w:color="365F91"/>
            </w:tcBorders>
          </w:tcPr>
          <w:p w14:paraId="0CE33039" w14:textId="77777777" w:rsidR="00005A00" w:rsidRPr="00256982" w:rsidRDefault="00005A00" w:rsidP="00AA14F1">
            <w:pPr>
              <w:pStyle w:val="TableTextBold"/>
              <w:spacing w:before="40" w:after="40"/>
              <w:rPr>
                <w:noProof w:val="0"/>
              </w:rPr>
            </w:pPr>
            <w:r w:rsidRPr="00256982">
              <w:rPr>
                <w:noProof w:val="0"/>
              </w:rPr>
              <w:t>2011</w:t>
            </w:r>
          </w:p>
        </w:tc>
        <w:tc>
          <w:tcPr>
            <w:tcW w:w="1843" w:type="dxa"/>
            <w:tcBorders>
              <w:top w:val="single" w:sz="4" w:space="0" w:color="365F91"/>
              <w:bottom w:val="single" w:sz="4" w:space="0" w:color="365F91"/>
            </w:tcBorders>
            <w:shd w:val="clear" w:color="auto" w:fill="auto"/>
          </w:tcPr>
          <w:p w14:paraId="02BDAFAF" w14:textId="77777777" w:rsidR="00005A00" w:rsidRPr="00256982" w:rsidRDefault="00005A00" w:rsidP="00AA14F1">
            <w:pPr>
              <w:pStyle w:val="TableText"/>
              <w:spacing w:before="40" w:after="40"/>
              <w:jc w:val="center"/>
              <w:rPr>
                <w:highlight w:val="yellow"/>
              </w:rPr>
            </w:pPr>
            <w:r w:rsidRPr="00256982">
              <w:t xml:space="preserve"> 4,399,400 </w:t>
            </w:r>
          </w:p>
        </w:tc>
        <w:tc>
          <w:tcPr>
            <w:tcW w:w="3082" w:type="dxa"/>
            <w:tcBorders>
              <w:top w:val="single" w:sz="4" w:space="0" w:color="365F91"/>
              <w:bottom w:val="single" w:sz="4" w:space="0" w:color="365F91"/>
            </w:tcBorders>
          </w:tcPr>
          <w:p w14:paraId="42099029" w14:textId="77777777" w:rsidR="00005A00" w:rsidRPr="00256982" w:rsidRDefault="00005A00" w:rsidP="00AA14F1">
            <w:pPr>
              <w:pStyle w:val="TableText"/>
              <w:spacing w:before="40" w:after="40"/>
              <w:jc w:val="center"/>
              <w:rPr>
                <w:highlight w:val="yellow"/>
              </w:rPr>
            </w:pPr>
            <w:r w:rsidRPr="00256982">
              <w:t>Interpolated</w:t>
            </w:r>
          </w:p>
        </w:tc>
        <w:tc>
          <w:tcPr>
            <w:tcW w:w="2871" w:type="dxa"/>
            <w:tcBorders>
              <w:top w:val="single" w:sz="4" w:space="0" w:color="365F91"/>
              <w:bottom w:val="single" w:sz="4" w:space="0" w:color="365F91"/>
            </w:tcBorders>
            <w:shd w:val="clear" w:color="auto" w:fill="auto"/>
          </w:tcPr>
          <w:p w14:paraId="03EC4899" w14:textId="77777777" w:rsidR="00005A00" w:rsidRPr="00256982" w:rsidRDefault="00005A00" w:rsidP="00AA14F1">
            <w:pPr>
              <w:pStyle w:val="TableText"/>
              <w:spacing w:before="40" w:after="40"/>
              <w:jc w:val="center"/>
              <w:rPr>
                <w:highlight w:val="yellow"/>
              </w:rPr>
            </w:pPr>
            <w:r w:rsidRPr="00256982">
              <w:t>177.8</w:t>
            </w:r>
          </w:p>
        </w:tc>
      </w:tr>
      <w:tr w:rsidR="00005A00" w:rsidRPr="00256982" w14:paraId="19D171FB" w14:textId="77777777" w:rsidTr="00AA14F1">
        <w:tc>
          <w:tcPr>
            <w:tcW w:w="709" w:type="dxa"/>
            <w:tcBorders>
              <w:top w:val="single" w:sz="4" w:space="0" w:color="365F91"/>
              <w:bottom w:val="single" w:sz="4" w:space="0" w:color="365F91"/>
            </w:tcBorders>
          </w:tcPr>
          <w:p w14:paraId="7BA7B7BE" w14:textId="77777777" w:rsidR="00005A00" w:rsidRPr="00256982" w:rsidRDefault="00005A00" w:rsidP="00AA14F1">
            <w:pPr>
              <w:pStyle w:val="TableTextBold"/>
              <w:spacing w:before="40" w:after="40"/>
              <w:rPr>
                <w:noProof w:val="0"/>
              </w:rPr>
            </w:pPr>
            <w:r w:rsidRPr="00256982">
              <w:rPr>
                <w:noProof w:val="0"/>
              </w:rPr>
              <w:t>2012</w:t>
            </w:r>
          </w:p>
        </w:tc>
        <w:tc>
          <w:tcPr>
            <w:tcW w:w="1843" w:type="dxa"/>
            <w:tcBorders>
              <w:top w:val="single" w:sz="4" w:space="0" w:color="365F91"/>
              <w:bottom w:val="single" w:sz="4" w:space="0" w:color="365F91"/>
            </w:tcBorders>
            <w:shd w:val="clear" w:color="auto" w:fill="auto"/>
          </w:tcPr>
          <w:p w14:paraId="6C40F114" w14:textId="77777777" w:rsidR="00005A00" w:rsidRPr="00256982" w:rsidRDefault="00005A00" w:rsidP="00AA14F1">
            <w:pPr>
              <w:pStyle w:val="TableText"/>
              <w:spacing w:before="40" w:after="40"/>
              <w:jc w:val="center"/>
              <w:rPr>
                <w:highlight w:val="yellow"/>
              </w:rPr>
            </w:pPr>
            <w:r w:rsidRPr="00256982">
              <w:t xml:space="preserve"> 4,425,900 </w:t>
            </w:r>
          </w:p>
        </w:tc>
        <w:tc>
          <w:tcPr>
            <w:tcW w:w="3082" w:type="dxa"/>
            <w:tcBorders>
              <w:top w:val="single" w:sz="4" w:space="0" w:color="365F91"/>
              <w:bottom w:val="single" w:sz="4" w:space="0" w:color="365F91"/>
            </w:tcBorders>
          </w:tcPr>
          <w:p w14:paraId="126D6C40" w14:textId="77777777" w:rsidR="00005A00" w:rsidRPr="00256982" w:rsidRDefault="00005A00" w:rsidP="00AA14F1">
            <w:pPr>
              <w:pStyle w:val="TableText"/>
              <w:spacing w:before="40" w:after="40"/>
              <w:jc w:val="center"/>
              <w:rPr>
                <w:highlight w:val="yellow"/>
              </w:rPr>
            </w:pPr>
            <w:r w:rsidRPr="00256982">
              <w:t>Interpolated</w:t>
            </w:r>
          </w:p>
        </w:tc>
        <w:tc>
          <w:tcPr>
            <w:tcW w:w="2871" w:type="dxa"/>
            <w:tcBorders>
              <w:top w:val="single" w:sz="4" w:space="0" w:color="365F91"/>
              <w:bottom w:val="single" w:sz="4" w:space="0" w:color="365F91"/>
            </w:tcBorders>
            <w:shd w:val="clear" w:color="auto" w:fill="auto"/>
          </w:tcPr>
          <w:p w14:paraId="0ADEA0F4" w14:textId="77777777" w:rsidR="00005A00" w:rsidRPr="00256982" w:rsidRDefault="00005A00" w:rsidP="00AA14F1">
            <w:pPr>
              <w:pStyle w:val="TableText"/>
              <w:spacing w:before="40" w:after="40"/>
              <w:jc w:val="center"/>
              <w:rPr>
                <w:highlight w:val="yellow"/>
              </w:rPr>
            </w:pPr>
            <w:r w:rsidRPr="00256982">
              <w:t>179.9</w:t>
            </w:r>
          </w:p>
        </w:tc>
      </w:tr>
      <w:tr w:rsidR="00005A00" w:rsidRPr="00256982" w14:paraId="06060679" w14:textId="77777777" w:rsidTr="00AA14F1">
        <w:tc>
          <w:tcPr>
            <w:tcW w:w="709" w:type="dxa"/>
            <w:tcBorders>
              <w:top w:val="single" w:sz="4" w:space="0" w:color="365F91"/>
              <w:bottom w:val="single" w:sz="4" w:space="0" w:color="365F91"/>
            </w:tcBorders>
          </w:tcPr>
          <w:p w14:paraId="130E6CA6" w14:textId="77777777" w:rsidR="00005A00" w:rsidRPr="00256982" w:rsidRDefault="00005A00" w:rsidP="00AA14F1">
            <w:pPr>
              <w:pStyle w:val="TableTextBold"/>
              <w:spacing w:before="40" w:after="40"/>
              <w:rPr>
                <w:noProof w:val="0"/>
              </w:rPr>
            </w:pPr>
            <w:r w:rsidRPr="00256982">
              <w:rPr>
                <w:noProof w:val="0"/>
              </w:rPr>
              <w:t>2013</w:t>
            </w:r>
          </w:p>
        </w:tc>
        <w:tc>
          <w:tcPr>
            <w:tcW w:w="1843" w:type="dxa"/>
            <w:tcBorders>
              <w:top w:val="single" w:sz="4" w:space="0" w:color="365F91"/>
              <w:bottom w:val="single" w:sz="4" w:space="0" w:color="365F91"/>
            </w:tcBorders>
            <w:shd w:val="clear" w:color="auto" w:fill="auto"/>
          </w:tcPr>
          <w:p w14:paraId="2B6AD434" w14:textId="77777777" w:rsidR="00005A00" w:rsidRPr="00256982" w:rsidRDefault="00005A00" w:rsidP="00AA14F1">
            <w:pPr>
              <w:pStyle w:val="TableText"/>
              <w:spacing w:before="40" w:after="40"/>
              <w:jc w:val="center"/>
              <w:rPr>
                <w:highlight w:val="yellow"/>
              </w:rPr>
            </w:pPr>
            <w:r w:rsidRPr="00256982">
              <w:t xml:space="preserve"> 4,475,800 </w:t>
            </w:r>
          </w:p>
        </w:tc>
        <w:tc>
          <w:tcPr>
            <w:tcW w:w="3082" w:type="dxa"/>
            <w:tcBorders>
              <w:top w:val="single" w:sz="4" w:space="0" w:color="365F91"/>
              <w:bottom w:val="single" w:sz="4" w:space="0" w:color="365F91"/>
            </w:tcBorders>
          </w:tcPr>
          <w:p w14:paraId="3C5B95B3" w14:textId="77777777" w:rsidR="00005A00" w:rsidRPr="00256982" w:rsidRDefault="00005A00" w:rsidP="00AA14F1">
            <w:pPr>
              <w:pStyle w:val="TableText"/>
              <w:spacing w:before="40" w:after="40"/>
              <w:jc w:val="center"/>
              <w:rPr>
                <w:highlight w:val="yellow"/>
              </w:rPr>
            </w:pPr>
            <w:r w:rsidRPr="00256982">
              <w:t>0.032</w:t>
            </w:r>
          </w:p>
        </w:tc>
        <w:tc>
          <w:tcPr>
            <w:tcW w:w="2871" w:type="dxa"/>
            <w:tcBorders>
              <w:top w:val="single" w:sz="4" w:space="0" w:color="365F91"/>
              <w:bottom w:val="single" w:sz="4" w:space="0" w:color="365F91"/>
            </w:tcBorders>
            <w:shd w:val="clear" w:color="auto" w:fill="auto"/>
          </w:tcPr>
          <w:p w14:paraId="208AC075" w14:textId="77777777" w:rsidR="00005A00" w:rsidRPr="00256982" w:rsidRDefault="00005A00" w:rsidP="00AA14F1">
            <w:pPr>
              <w:pStyle w:val="TableText"/>
              <w:spacing w:before="40" w:after="40"/>
              <w:jc w:val="center"/>
              <w:rPr>
                <w:highlight w:val="yellow"/>
              </w:rPr>
            </w:pPr>
            <w:r w:rsidRPr="00256982">
              <w:t>181.7</w:t>
            </w:r>
          </w:p>
        </w:tc>
      </w:tr>
      <w:tr w:rsidR="00005A00" w:rsidRPr="00256982" w14:paraId="6D792746" w14:textId="77777777" w:rsidTr="00AA14F1">
        <w:tc>
          <w:tcPr>
            <w:tcW w:w="709" w:type="dxa"/>
            <w:tcBorders>
              <w:top w:val="single" w:sz="4" w:space="0" w:color="365F91"/>
              <w:bottom w:val="single" w:sz="4" w:space="0" w:color="365F91"/>
            </w:tcBorders>
          </w:tcPr>
          <w:p w14:paraId="30330BC0" w14:textId="77777777" w:rsidR="00005A00" w:rsidRPr="00256982" w:rsidRDefault="00005A00" w:rsidP="00AA14F1">
            <w:pPr>
              <w:pStyle w:val="TableTextBold"/>
              <w:spacing w:before="40" w:after="40"/>
              <w:rPr>
                <w:noProof w:val="0"/>
              </w:rPr>
            </w:pPr>
            <w:r w:rsidRPr="00256982">
              <w:rPr>
                <w:noProof w:val="0"/>
              </w:rPr>
              <w:t>2014</w:t>
            </w:r>
          </w:p>
        </w:tc>
        <w:tc>
          <w:tcPr>
            <w:tcW w:w="1843" w:type="dxa"/>
            <w:tcBorders>
              <w:top w:val="single" w:sz="4" w:space="0" w:color="365F91"/>
              <w:bottom w:val="single" w:sz="4" w:space="0" w:color="365F91"/>
            </w:tcBorders>
            <w:shd w:val="clear" w:color="auto" w:fill="auto"/>
          </w:tcPr>
          <w:p w14:paraId="31569CA4" w14:textId="77777777" w:rsidR="00005A00" w:rsidRPr="00256982" w:rsidRDefault="00005A00" w:rsidP="00AA14F1">
            <w:pPr>
              <w:pStyle w:val="TableText"/>
              <w:spacing w:before="40" w:after="40"/>
              <w:jc w:val="center"/>
              <w:rPr>
                <w:highlight w:val="yellow"/>
              </w:rPr>
            </w:pPr>
            <w:r w:rsidRPr="00256982">
              <w:t xml:space="preserve"> 4,554,600 </w:t>
            </w:r>
          </w:p>
        </w:tc>
        <w:tc>
          <w:tcPr>
            <w:tcW w:w="3082" w:type="dxa"/>
            <w:tcBorders>
              <w:top w:val="single" w:sz="4" w:space="0" w:color="365F91"/>
              <w:bottom w:val="single" w:sz="4" w:space="0" w:color="365F91"/>
            </w:tcBorders>
          </w:tcPr>
          <w:p w14:paraId="62C41BE3" w14:textId="77777777" w:rsidR="00005A00" w:rsidRPr="00256982" w:rsidRDefault="00005A00" w:rsidP="00AA14F1">
            <w:pPr>
              <w:pStyle w:val="TableText"/>
              <w:spacing w:before="40" w:after="40"/>
              <w:jc w:val="center"/>
              <w:rPr>
                <w:highlight w:val="yellow"/>
              </w:rPr>
            </w:pPr>
            <w:r w:rsidRPr="00256982">
              <w:t>0.032</w:t>
            </w:r>
          </w:p>
        </w:tc>
        <w:tc>
          <w:tcPr>
            <w:tcW w:w="2871" w:type="dxa"/>
            <w:tcBorders>
              <w:top w:val="single" w:sz="4" w:space="0" w:color="365F91"/>
              <w:bottom w:val="single" w:sz="4" w:space="0" w:color="365F91"/>
            </w:tcBorders>
            <w:shd w:val="clear" w:color="auto" w:fill="auto"/>
          </w:tcPr>
          <w:p w14:paraId="186ECB47" w14:textId="77777777" w:rsidR="00005A00" w:rsidRPr="00256982" w:rsidRDefault="00005A00" w:rsidP="00AA14F1">
            <w:pPr>
              <w:pStyle w:val="TableText"/>
              <w:spacing w:before="40" w:after="40"/>
              <w:jc w:val="center"/>
              <w:rPr>
                <w:highlight w:val="yellow"/>
              </w:rPr>
            </w:pPr>
            <w:r w:rsidRPr="00256982">
              <w:t>184.6</w:t>
            </w:r>
          </w:p>
        </w:tc>
      </w:tr>
      <w:tr w:rsidR="00005A00" w:rsidRPr="00256982" w14:paraId="00AFE2DA" w14:textId="77777777" w:rsidTr="00AA14F1">
        <w:tc>
          <w:tcPr>
            <w:tcW w:w="709" w:type="dxa"/>
            <w:tcBorders>
              <w:top w:val="single" w:sz="4" w:space="0" w:color="365F91"/>
              <w:bottom w:val="single" w:sz="4" w:space="0" w:color="365F91"/>
            </w:tcBorders>
          </w:tcPr>
          <w:p w14:paraId="5BE4A961" w14:textId="77777777" w:rsidR="00005A00" w:rsidRPr="00256982" w:rsidRDefault="00005A00" w:rsidP="00AA14F1">
            <w:pPr>
              <w:pStyle w:val="TableTextBold"/>
              <w:spacing w:before="40" w:after="40"/>
              <w:rPr>
                <w:noProof w:val="0"/>
              </w:rPr>
            </w:pPr>
            <w:r w:rsidRPr="00256982">
              <w:rPr>
                <w:noProof w:val="0"/>
              </w:rPr>
              <w:t>2015</w:t>
            </w:r>
          </w:p>
        </w:tc>
        <w:tc>
          <w:tcPr>
            <w:tcW w:w="1843" w:type="dxa"/>
            <w:tcBorders>
              <w:top w:val="single" w:sz="4" w:space="0" w:color="365F91"/>
              <w:bottom w:val="single" w:sz="4" w:space="0" w:color="365F91"/>
            </w:tcBorders>
            <w:shd w:val="clear" w:color="auto" w:fill="auto"/>
          </w:tcPr>
          <w:p w14:paraId="6E42DF4D" w14:textId="77777777" w:rsidR="00005A00" w:rsidRPr="00256982" w:rsidRDefault="00005A00" w:rsidP="00AA14F1">
            <w:pPr>
              <w:pStyle w:val="TableText"/>
              <w:spacing w:before="40" w:after="40"/>
              <w:jc w:val="center"/>
              <w:rPr>
                <w:highlight w:val="yellow"/>
              </w:rPr>
            </w:pPr>
            <w:r w:rsidRPr="00256982">
              <w:t xml:space="preserve"> 4,647,300 </w:t>
            </w:r>
          </w:p>
        </w:tc>
        <w:tc>
          <w:tcPr>
            <w:tcW w:w="3082" w:type="dxa"/>
            <w:tcBorders>
              <w:top w:val="single" w:sz="4" w:space="0" w:color="365F91"/>
              <w:bottom w:val="single" w:sz="4" w:space="0" w:color="365F91"/>
            </w:tcBorders>
          </w:tcPr>
          <w:p w14:paraId="167D90D9" w14:textId="77777777" w:rsidR="00005A00" w:rsidRPr="00256982" w:rsidRDefault="00005A00" w:rsidP="00AA14F1">
            <w:pPr>
              <w:pStyle w:val="TableText"/>
              <w:spacing w:before="40" w:after="40"/>
              <w:jc w:val="center"/>
              <w:rPr>
                <w:highlight w:val="yellow"/>
              </w:rPr>
            </w:pPr>
            <w:r w:rsidRPr="00256982">
              <w:t>0.032</w:t>
            </w:r>
          </w:p>
        </w:tc>
        <w:tc>
          <w:tcPr>
            <w:tcW w:w="2871" w:type="dxa"/>
            <w:tcBorders>
              <w:top w:val="single" w:sz="4" w:space="0" w:color="365F91"/>
              <w:bottom w:val="single" w:sz="4" w:space="0" w:color="365F91"/>
            </w:tcBorders>
            <w:shd w:val="clear" w:color="auto" w:fill="auto"/>
          </w:tcPr>
          <w:p w14:paraId="6A2AA2AE" w14:textId="77777777" w:rsidR="00005A00" w:rsidRPr="00256982" w:rsidRDefault="00005A00" w:rsidP="00AA14F1">
            <w:pPr>
              <w:pStyle w:val="TableText"/>
              <w:spacing w:before="40" w:after="40"/>
              <w:jc w:val="center"/>
              <w:rPr>
                <w:highlight w:val="yellow"/>
              </w:rPr>
            </w:pPr>
            <w:r w:rsidRPr="00256982">
              <w:t>188.0</w:t>
            </w:r>
          </w:p>
        </w:tc>
      </w:tr>
      <w:tr w:rsidR="00005A00" w:rsidRPr="00256982" w14:paraId="70A9717D" w14:textId="77777777" w:rsidTr="00AA14F1">
        <w:tc>
          <w:tcPr>
            <w:tcW w:w="709" w:type="dxa"/>
            <w:tcBorders>
              <w:top w:val="single" w:sz="4" w:space="0" w:color="365F91"/>
              <w:bottom w:val="single" w:sz="4" w:space="0" w:color="365F91"/>
            </w:tcBorders>
          </w:tcPr>
          <w:p w14:paraId="769E7F69" w14:textId="77777777" w:rsidR="00005A00" w:rsidRPr="00256982" w:rsidRDefault="00005A00" w:rsidP="00AA14F1">
            <w:pPr>
              <w:pStyle w:val="TableTextBold"/>
              <w:spacing w:before="40" w:after="40"/>
              <w:rPr>
                <w:noProof w:val="0"/>
              </w:rPr>
            </w:pPr>
            <w:r w:rsidRPr="00256982">
              <w:rPr>
                <w:noProof w:val="0"/>
              </w:rPr>
              <w:t>2016</w:t>
            </w:r>
          </w:p>
        </w:tc>
        <w:tc>
          <w:tcPr>
            <w:tcW w:w="1843" w:type="dxa"/>
            <w:tcBorders>
              <w:top w:val="single" w:sz="4" w:space="0" w:color="365F91"/>
              <w:bottom w:val="single" w:sz="4" w:space="0" w:color="365F91"/>
            </w:tcBorders>
            <w:shd w:val="clear" w:color="auto" w:fill="auto"/>
          </w:tcPr>
          <w:p w14:paraId="398AE485" w14:textId="77777777" w:rsidR="00005A00" w:rsidRPr="00256982" w:rsidRDefault="00005A00" w:rsidP="00AA14F1">
            <w:pPr>
              <w:pStyle w:val="TableText"/>
              <w:spacing w:before="40" w:after="40"/>
              <w:jc w:val="center"/>
              <w:rPr>
                <w:highlight w:val="yellow"/>
              </w:rPr>
            </w:pPr>
            <w:r w:rsidRPr="00256982">
              <w:t xml:space="preserve"> 4,747,200 </w:t>
            </w:r>
          </w:p>
        </w:tc>
        <w:tc>
          <w:tcPr>
            <w:tcW w:w="3082" w:type="dxa"/>
            <w:tcBorders>
              <w:top w:val="single" w:sz="4" w:space="0" w:color="365F91"/>
              <w:bottom w:val="single" w:sz="4" w:space="0" w:color="365F91"/>
            </w:tcBorders>
          </w:tcPr>
          <w:p w14:paraId="206D8D9F" w14:textId="77777777" w:rsidR="00005A00" w:rsidRPr="00256982" w:rsidRDefault="00005A00" w:rsidP="00AA14F1">
            <w:pPr>
              <w:pStyle w:val="TableText"/>
              <w:spacing w:before="40" w:after="40"/>
              <w:jc w:val="center"/>
              <w:rPr>
                <w:highlight w:val="yellow"/>
              </w:rPr>
            </w:pPr>
            <w:r w:rsidRPr="00256982">
              <w:t>0.032</w:t>
            </w:r>
          </w:p>
        </w:tc>
        <w:tc>
          <w:tcPr>
            <w:tcW w:w="2871" w:type="dxa"/>
            <w:tcBorders>
              <w:top w:val="single" w:sz="4" w:space="0" w:color="365F91"/>
              <w:bottom w:val="single" w:sz="4" w:space="0" w:color="365F91"/>
            </w:tcBorders>
            <w:shd w:val="clear" w:color="auto" w:fill="auto"/>
          </w:tcPr>
          <w:p w14:paraId="25DED54B" w14:textId="77777777" w:rsidR="00005A00" w:rsidRPr="00256982" w:rsidRDefault="00005A00" w:rsidP="00AA14F1">
            <w:pPr>
              <w:pStyle w:val="TableText"/>
              <w:spacing w:before="40" w:after="40"/>
              <w:jc w:val="center"/>
              <w:rPr>
                <w:highlight w:val="yellow"/>
              </w:rPr>
            </w:pPr>
            <w:r w:rsidRPr="00256982">
              <w:t>191.7</w:t>
            </w:r>
          </w:p>
        </w:tc>
      </w:tr>
      <w:tr w:rsidR="00005A00" w:rsidRPr="00256982" w14:paraId="76D5EA02" w14:textId="77777777" w:rsidTr="00AA14F1">
        <w:tc>
          <w:tcPr>
            <w:tcW w:w="709" w:type="dxa"/>
            <w:tcBorders>
              <w:top w:val="single" w:sz="4" w:space="0" w:color="365F91"/>
              <w:bottom w:val="single" w:sz="4" w:space="0" w:color="365F91"/>
            </w:tcBorders>
          </w:tcPr>
          <w:p w14:paraId="2F73C10C" w14:textId="77777777" w:rsidR="00005A00" w:rsidRPr="00256982" w:rsidRDefault="00005A00" w:rsidP="00AA14F1">
            <w:pPr>
              <w:pStyle w:val="TableTextBold"/>
              <w:spacing w:before="40" w:after="40"/>
              <w:rPr>
                <w:noProof w:val="0"/>
              </w:rPr>
            </w:pPr>
            <w:r w:rsidRPr="00256982">
              <w:rPr>
                <w:noProof w:val="0"/>
              </w:rPr>
              <w:t>2017</w:t>
            </w:r>
          </w:p>
        </w:tc>
        <w:tc>
          <w:tcPr>
            <w:tcW w:w="1843" w:type="dxa"/>
            <w:tcBorders>
              <w:top w:val="single" w:sz="4" w:space="0" w:color="365F91"/>
              <w:bottom w:val="single" w:sz="4" w:space="0" w:color="365F91"/>
            </w:tcBorders>
            <w:shd w:val="clear" w:color="auto" w:fill="auto"/>
          </w:tcPr>
          <w:p w14:paraId="06C1ADEC" w14:textId="77777777" w:rsidR="00005A00" w:rsidRPr="00256982" w:rsidRDefault="00005A00" w:rsidP="00AA14F1">
            <w:pPr>
              <w:pStyle w:val="TableText"/>
              <w:spacing w:before="40" w:after="40"/>
              <w:jc w:val="center"/>
            </w:pPr>
            <w:r w:rsidRPr="00256982">
              <w:t xml:space="preserve"> 4,844,400 </w:t>
            </w:r>
          </w:p>
        </w:tc>
        <w:tc>
          <w:tcPr>
            <w:tcW w:w="3082" w:type="dxa"/>
            <w:tcBorders>
              <w:top w:val="single" w:sz="4" w:space="0" w:color="365F91"/>
              <w:bottom w:val="single" w:sz="4" w:space="0" w:color="365F91"/>
            </w:tcBorders>
          </w:tcPr>
          <w:p w14:paraId="4F39F1ED" w14:textId="77777777" w:rsidR="00005A00" w:rsidRPr="00256982" w:rsidRDefault="00005A00" w:rsidP="00AA14F1">
            <w:pPr>
              <w:pStyle w:val="TableText"/>
              <w:spacing w:before="40" w:after="40"/>
              <w:jc w:val="center"/>
            </w:pPr>
            <w:r w:rsidRPr="00256982">
              <w:t>0.032</w:t>
            </w:r>
          </w:p>
        </w:tc>
        <w:tc>
          <w:tcPr>
            <w:tcW w:w="2871" w:type="dxa"/>
            <w:tcBorders>
              <w:top w:val="single" w:sz="4" w:space="0" w:color="365F91"/>
              <w:bottom w:val="single" w:sz="4" w:space="0" w:color="365F91"/>
            </w:tcBorders>
            <w:shd w:val="clear" w:color="auto" w:fill="auto"/>
          </w:tcPr>
          <w:p w14:paraId="7D02FDF7" w14:textId="77777777" w:rsidR="00005A00" w:rsidRPr="00256982" w:rsidRDefault="00005A00" w:rsidP="00AA14F1">
            <w:pPr>
              <w:pStyle w:val="TableText"/>
              <w:spacing w:before="40" w:after="40"/>
              <w:jc w:val="center"/>
            </w:pPr>
            <w:r w:rsidRPr="00256982">
              <w:t>195.2</w:t>
            </w:r>
          </w:p>
        </w:tc>
      </w:tr>
    </w:tbl>
    <w:p w14:paraId="077F438B" w14:textId="77777777" w:rsidR="00005A00" w:rsidRPr="00256982" w:rsidRDefault="00005A00" w:rsidP="00005A00">
      <w:pPr>
        <w:pStyle w:val="Heading5"/>
        <w:spacing w:before="440"/>
      </w:pPr>
      <w:r w:rsidRPr="00256982">
        <w:t>Industrial wastewater (5.D.2)</w:t>
      </w:r>
    </w:p>
    <w:p w14:paraId="384EE5DE" w14:textId="77777777" w:rsidR="00005A00" w:rsidRPr="00256982" w:rsidRDefault="00005A00" w:rsidP="00005A00">
      <w:pPr>
        <w:pStyle w:val="BodyText"/>
      </w:pPr>
      <w:r w:rsidRPr="00256982">
        <w:t>The following industries are identified as having organic-rich wastewaters that are treated anaerobically (in order of significance): meat processing, pulp and paper, and other industries described below. Table 7.5.3 reports the activity data for the amount of total organic product in wastewater (TOW) across the main industries.</w:t>
      </w:r>
    </w:p>
    <w:p w14:paraId="45D53C3B" w14:textId="77777777" w:rsidR="00005A00" w:rsidRPr="00256982" w:rsidRDefault="00005A00" w:rsidP="00005A00">
      <w:pPr>
        <w:pStyle w:val="Table"/>
      </w:pPr>
      <w:bookmarkStart w:id="2374" w:name="_Toc508019334"/>
      <w:bookmarkStart w:id="2375" w:name="_Toc511116832"/>
      <w:bookmarkStart w:id="2376" w:name="_Toc5269580"/>
      <w:r w:rsidRPr="00256982">
        <w:t xml:space="preserve">Table 7.5.3 </w:t>
      </w:r>
      <w:r w:rsidRPr="00256982">
        <w:tab/>
        <w:t>Total organic product producing methane from industrial wastewater 1990 to 201</w:t>
      </w:r>
      <w:bookmarkEnd w:id="2374"/>
      <w:bookmarkEnd w:id="2375"/>
      <w:r w:rsidRPr="00256982">
        <w:t>7</w:t>
      </w:r>
      <w:bookmarkEnd w:id="2376"/>
    </w:p>
    <w:tbl>
      <w:tblPr>
        <w:tblW w:w="8505" w:type="dxa"/>
        <w:tblInd w:w="108" w:type="dxa"/>
        <w:tblLook w:val="04A0" w:firstRow="1" w:lastRow="0" w:firstColumn="1" w:lastColumn="0" w:noHBand="0" w:noVBand="1"/>
      </w:tblPr>
      <w:tblGrid>
        <w:gridCol w:w="1079"/>
        <w:gridCol w:w="1857"/>
        <w:gridCol w:w="1856"/>
        <w:gridCol w:w="1856"/>
        <w:gridCol w:w="1857"/>
      </w:tblGrid>
      <w:tr w:rsidR="00005A00" w:rsidRPr="00256982" w14:paraId="265973C2" w14:textId="77777777" w:rsidTr="00AA14F1">
        <w:trPr>
          <w:tblHeader/>
        </w:trPr>
        <w:tc>
          <w:tcPr>
            <w:tcW w:w="1079" w:type="dxa"/>
            <w:tcBorders>
              <w:top w:val="single" w:sz="4" w:space="0" w:color="365F91"/>
              <w:bottom w:val="single" w:sz="4" w:space="0" w:color="365F91"/>
            </w:tcBorders>
            <w:shd w:val="clear" w:color="auto" w:fill="365F91"/>
            <w:vAlign w:val="bottom"/>
          </w:tcPr>
          <w:p w14:paraId="20748152" w14:textId="77777777" w:rsidR="00005A00" w:rsidRPr="00256982" w:rsidRDefault="00005A00" w:rsidP="00AA14F1">
            <w:pPr>
              <w:pStyle w:val="TableTextBold"/>
              <w:spacing w:before="40" w:after="40"/>
              <w:rPr>
                <w:noProof w:val="0"/>
                <w:color w:val="FFFFFF"/>
              </w:rPr>
            </w:pPr>
            <w:r w:rsidRPr="00256982">
              <w:rPr>
                <w:noProof w:val="0"/>
                <w:color w:val="FFFFFF"/>
              </w:rPr>
              <w:t>Year</w:t>
            </w:r>
          </w:p>
        </w:tc>
        <w:tc>
          <w:tcPr>
            <w:tcW w:w="1857" w:type="dxa"/>
            <w:tcBorders>
              <w:top w:val="single" w:sz="4" w:space="0" w:color="365F91"/>
              <w:bottom w:val="single" w:sz="4" w:space="0" w:color="365F91"/>
            </w:tcBorders>
            <w:shd w:val="clear" w:color="auto" w:fill="365F91"/>
            <w:vAlign w:val="bottom"/>
          </w:tcPr>
          <w:p w14:paraId="3091F11F" w14:textId="77777777" w:rsidR="00005A00" w:rsidRPr="00256982" w:rsidRDefault="00005A00" w:rsidP="00AA14F1">
            <w:pPr>
              <w:pStyle w:val="TableTextBold"/>
              <w:spacing w:before="40" w:after="40"/>
              <w:jc w:val="center"/>
              <w:rPr>
                <w:noProof w:val="0"/>
                <w:color w:val="FFFFFF"/>
              </w:rPr>
            </w:pPr>
            <w:r w:rsidRPr="00256982">
              <w:rPr>
                <w:noProof w:val="0"/>
                <w:color w:val="FFFFFF"/>
              </w:rPr>
              <w:t xml:space="preserve">Meat industries </w:t>
            </w:r>
            <w:r w:rsidRPr="00256982">
              <w:rPr>
                <w:noProof w:val="0"/>
                <w:color w:val="FFFFFF"/>
              </w:rPr>
              <w:br/>
              <w:t>TOW (kt)</w:t>
            </w:r>
          </w:p>
        </w:tc>
        <w:tc>
          <w:tcPr>
            <w:tcW w:w="1856" w:type="dxa"/>
            <w:tcBorders>
              <w:top w:val="single" w:sz="4" w:space="0" w:color="365F91"/>
              <w:bottom w:val="single" w:sz="4" w:space="0" w:color="365F91"/>
            </w:tcBorders>
            <w:shd w:val="clear" w:color="auto" w:fill="365F91"/>
            <w:vAlign w:val="bottom"/>
          </w:tcPr>
          <w:p w14:paraId="69DBECEE" w14:textId="77777777" w:rsidR="00005A00" w:rsidRPr="00256982" w:rsidRDefault="00005A00" w:rsidP="00AA14F1">
            <w:pPr>
              <w:pStyle w:val="TableTextBold"/>
              <w:spacing w:before="40" w:after="40"/>
              <w:jc w:val="center"/>
              <w:rPr>
                <w:noProof w:val="0"/>
                <w:color w:val="FFFFFF"/>
              </w:rPr>
            </w:pPr>
            <w:r w:rsidRPr="00256982">
              <w:rPr>
                <w:noProof w:val="0"/>
                <w:color w:val="FFFFFF"/>
              </w:rPr>
              <w:t>Pulp and paper industry TOW (kt)</w:t>
            </w:r>
          </w:p>
        </w:tc>
        <w:tc>
          <w:tcPr>
            <w:tcW w:w="1856" w:type="dxa"/>
            <w:tcBorders>
              <w:top w:val="single" w:sz="4" w:space="0" w:color="365F91"/>
              <w:bottom w:val="single" w:sz="4" w:space="0" w:color="365F91"/>
            </w:tcBorders>
            <w:shd w:val="clear" w:color="auto" w:fill="365F91"/>
            <w:vAlign w:val="bottom"/>
          </w:tcPr>
          <w:p w14:paraId="351D48EB" w14:textId="77777777" w:rsidR="00005A00" w:rsidRPr="00256982" w:rsidRDefault="00005A00" w:rsidP="00AA14F1">
            <w:pPr>
              <w:pStyle w:val="TableTextBold"/>
              <w:spacing w:before="40" w:after="40"/>
              <w:jc w:val="center"/>
              <w:rPr>
                <w:noProof w:val="0"/>
                <w:color w:val="FFFFFF"/>
              </w:rPr>
            </w:pPr>
            <w:r w:rsidRPr="00256982">
              <w:rPr>
                <w:noProof w:val="0"/>
                <w:color w:val="FFFFFF"/>
              </w:rPr>
              <w:t>All other industries TOW (kt)</w:t>
            </w:r>
          </w:p>
        </w:tc>
        <w:tc>
          <w:tcPr>
            <w:tcW w:w="1857" w:type="dxa"/>
            <w:tcBorders>
              <w:top w:val="single" w:sz="4" w:space="0" w:color="365F91"/>
              <w:bottom w:val="single" w:sz="4" w:space="0" w:color="365F91"/>
            </w:tcBorders>
            <w:shd w:val="clear" w:color="auto" w:fill="365F91"/>
            <w:vAlign w:val="bottom"/>
          </w:tcPr>
          <w:p w14:paraId="3F832CC6" w14:textId="77777777" w:rsidR="00005A00" w:rsidRPr="00256982" w:rsidRDefault="00005A00" w:rsidP="00AA14F1">
            <w:pPr>
              <w:pStyle w:val="TableTextBold"/>
              <w:spacing w:before="40" w:after="40"/>
              <w:jc w:val="center"/>
              <w:rPr>
                <w:noProof w:val="0"/>
                <w:color w:val="FFFFFF"/>
              </w:rPr>
            </w:pPr>
            <w:r w:rsidRPr="00256982">
              <w:rPr>
                <w:noProof w:val="0"/>
                <w:color w:val="FFFFFF"/>
              </w:rPr>
              <w:t xml:space="preserve">Total industrial </w:t>
            </w:r>
            <w:r w:rsidRPr="00256982">
              <w:rPr>
                <w:noProof w:val="0"/>
                <w:color w:val="FFFFFF"/>
              </w:rPr>
              <w:br/>
              <w:t>TOW (kt)</w:t>
            </w:r>
          </w:p>
        </w:tc>
      </w:tr>
      <w:tr w:rsidR="00005A00" w:rsidRPr="00256982" w14:paraId="2331679A" w14:textId="77777777" w:rsidTr="00AA14F1">
        <w:tc>
          <w:tcPr>
            <w:tcW w:w="1079" w:type="dxa"/>
            <w:tcBorders>
              <w:top w:val="single" w:sz="4" w:space="0" w:color="365F91"/>
              <w:bottom w:val="single" w:sz="4" w:space="0" w:color="365F91"/>
            </w:tcBorders>
          </w:tcPr>
          <w:p w14:paraId="50BAAC6C" w14:textId="77777777" w:rsidR="00005A00" w:rsidRPr="00256982" w:rsidRDefault="00005A00" w:rsidP="00AA14F1">
            <w:pPr>
              <w:pStyle w:val="TableTextBold"/>
              <w:spacing w:before="40" w:after="40"/>
              <w:rPr>
                <w:noProof w:val="0"/>
              </w:rPr>
            </w:pPr>
            <w:r w:rsidRPr="00256982">
              <w:rPr>
                <w:noProof w:val="0"/>
              </w:rPr>
              <w:t>1990</w:t>
            </w:r>
          </w:p>
        </w:tc>
        <w:tc>
          <w:tcPr>
            <w:tcW w:w="1857" w:type="dxa"/>
            <w:tcBorders>
              <w:top w:val="single" w:sz="4" w:space="0" w:color="365F91"/>
              <w:bottom w:val="single" w:sz="4" w:space="0" w:color="365F91"/>
            </w:tcBorders>
            <w:shd w:val="clear" w:color="auto" w:fill="auto"/>
          </w:tcPr>
          <w:p w14:paraId="247587FF" w14:textId="77777777" w:rsidR="00005A00" w:rsidRPr="00256982" w:rsidRDefault="00005A00" w:rsidP="00AA14F1">
            <w:pPr>
              <w:pStyle w:val="TableText"/>
              <w:spacing w:before="40" w:after="40"/>
              <w:jc w:val="center"/>
              <w:rPr>
                <w:rFonts w:cs="Arial"/>
                <w:szCs w:val="16"/>
                <w:highlight w:val="yellow"/>
              </w:rPr>
            </w:pPr>
            <w:r w:rsidRPr="00256982">
              <w:t>55.6</w:t>
            </w:r>
          </w:p>
        </w:tc>
        <w:tc>
          <w:tcPr>
            <w:tcW w:w="1856" w:type="dxa"/>
            <w:tcBorders>
              <w:top w:val="single" w:sz="4" w:space="0" w:color="365F91"/>
              <w:bottom w:val="single" w:sz="4" w:space="0" w:color="365F91"/>
            </w:tcBorders>
          </w:tcPr>
          <w:p w14:paraId="4BEF1688" w14:textId="77777777" w:rsidR="00005A00" w:rsidRPr="00256982" w:rsidRDefault="00005A00" w:rsidP="00AA14F1">
            <w:pPr>
              <w:pStyle w:val="TableText"/>
              <w:spacing w:before="40" w:after="40"/>
              <w:jc w:val="center"/>
              <w:rPr>
                <w:rFonts w:cs="Arial"/>
                <w:szCs w:val="16"/>
                <w:highlight w:val="yellow"/>
              </w:rPr>
            </w:pPr>
            <w:r w:rsidRPr="00256982">
              <w:t>71.7</w:t>
            </w:r>
          </w:p>
        </w:tc>
        <w:tc>
          <w:tcPr>
            <w:tcW w:w="1856" w:type="dxa"/>
            <w:tcBorders>
              <w:top w:val="single" w:sz="4" w:space="0" w:color="365F91"/>
              <w:bottom w:val="single" w:sz="4" w:space="0" w:color="365F91"/>
            </w:tcBorders>
            <w:shd w:val="clear" w:color="auto" w:fill="auto"/>
          </w:tcPr>
          <w:p w14:paraId="2E403187" w14:textId="77777777" w:rsidR="00005A00" w:rsidRPr="00256982" w:rsidRDefault="00005A00" w:rsidP="00AA14F1">
            <w:pPr>
              <w:pStyle w:val="TableText"/>
              <w:spacing w:before="40" w:after="40"/>
              <w:jc w:val="center"/>
              <w:rPr>
                <w:rFonts w:cs="Arial"/>
                <w:szCs w:val="16"/>
                <w:highlight w:val="yellow"/>
              </w:rPr>
            </w:pPr>
            <w:r w:rsidRPr="00256982">
              <w:t>21.2</w:t>
            </w:r>
          </w:p>
        </w:tc>
        <w:tc>
          <w:tcPr>
            <w:tcW w:w="1857" w:type="dxa"/>
            <w:tcBorders>
              <w:top w:val="single" w:sz="4" w:space="0" w:color="365F91"/>
              <w:bottom w:val="single" w:sz="4" w:space="0" w:color="365F91"/>
            </w:tcBorders>
            <w:shd w:val="clear" w:color="auto" w:fill="auto"/>
          </w:tcPr>
          <w:p w14:paraId="6FB8E4E0" w14:textId="77777777" w:rsidR="00005A00" w:rsidRPr="00256982" w:rsidRDefault="00005A00" w:rsidP="00AA14F1">
            <w:pPr>
              <w:pStyle w:val="TableText"/>
              <w:spacing w:before="40" w:after="40"/>
              <w:jc w:val="center"/>
              <w:rPr>
                <w:rFonts w:cs="Arial"/>
                <w:szCs w:val="16"/>
                <w:highlight w:val="yellow"/>
              </w:rPr>
            </w:pPr>
            <w:r w:rsidRPr="00256982">
              <w:t>148.5</w:t>
            </w:r>
          </w:p>
        </w:tc>
      </w:tr>
      <w:tr w:rsidR="00005A00" w:rsidRPr="00256982" w14:paraId="000EFDB0" w14:textId="77777777" w:rsidTr="00AA14F1">
        <w:tc>
          <w:tcPr>
            <w:tcW w:w="1079" w:type="dxa"/>
            <w:tcBorders>
              <w:top w:val="single" w:sz="4" w:space="0" w:color="365F91"/>
              <w:bottom w:val="single" w:sz="4" w:space="0" w:color="365F91"/>
            </w:tcBorders>
          </w:tcPr>
          <w:p w14:paraId="39604D19" w14:textId="77777777" w:rsidR="00005A00" w:rsidRPr="00256982" w:rsidRDefault="00005A00" w:rsidP="00AA14F1">
            <w:pPr>
              <w:pStyle w:val="TableTextBold"/>
              <w:spacing w:before="40" w:after="40"/>
              <w:rPr>
                <w:noProof w:val="0"/>
              </w:rPr>
            </w:pPr>
            <w:r w:rsidRPr="00256982">
              <w:rPr>
                <w:noProof w:val="0"/>
              </w:rPr>
              <w:t>1991</w:t>
            </w:r>
          </w:p>
        </w:tc>
        <w:tc>
          <w:tcPr>
            <w:tcW w:w="1857" w:type="dxa"/>
            <w:tcBorders>
              <w:top w:val="single" w:sz="4" w:space="0" w:color="365F91"/>
              <w:bottom w:val="single" w:sz="4" w:space="0" w:color="365F91"/>
            </w:tcBorders>
            <w:shd w:val="clear" w:color="auto" w:fill="auto"/>
          </w:tcPr>
          <w:p w14:paraId="3E7A7CDE" w14:textId="77777777" w:rsidR="00005A00" w:rsidRPr="00256982" w:rsidRDefault="00005A00" w:rsidP="00AA14F1">
            <w:pPr>
              <w:pStyle w:val="TableText"/>
              <w:spacing w:before="40" w:after="40"/>
              <w:jc w:val="center"/>
              <w:rPr>
                <w:rFonts w:cs="Arial"/>
                <w:szCs w:val="16"/>
                <w:highlight w:val="yellow"/>
              </w:rPr>
            </w:pPr>
            <w:r w:rsidRPr="00256982">
              <w:t>59.2</w:t>
            </w:r>
          </w:p>
        </w:tc>
        <w:tc>
          <w:tcPr>
            <w:tcW w:w="1856" w:type="dxa"/>
            <w:tcBorders>
              <w:top w:val="single" w:sz="4" w:space="0" w:color="365F91"/>
              <w:bottom w:val="single" w:sz="4" w:space="0" w:color="365F91"/>
            </w:tcBorders>
          </w:tcPr>
          <w:p w14:paraId="7C1520BE" w14:textId="77777777" w:rsidR="00005A00" w:rsidRPr="00256982" w:rsidRDefault="00005A00" w:rsidP="00AA14F1">
            <w:pPr>
              <w:pStyle w:val="TableText"/>
              <w:spacing w:before="40" w:after="40"/>
              <w:jc w:val="center"/>
              <w:rPr>
                <w:rFonts w:cs="Arial"/>
                <w:szCs w:val="16"/>
                <w:highlight w:val="yellow"/>
              </w:rPr>
            </w:pPr>
            <w:r w:rsidRPr="00256982">
              <w:t>78.2</w:t>
            </w:r>
          </w:p>
        </w:tc>
        <w:tc>
          <w:tcPr>
            <w:tcW w:w="1856" w:type="dxa"/>
            <w:tcBorders>
              <w:top w:val="single" w:sz="4" w:space="0" w:color="365F91"/>
              <w:bottom w:val="single" w:sz="4" w:space="0" w:color="365F91"/>
            </w:tcBorders>
            <w:shd w:val="clear" w:color="auto" w:fill="auto"/>
          </w:tcPr>
          <w:p w14:paraId="51961FE5" w14:textId="77777777" w:rsidR="00005A00" w:rsidRPr="00256982" w:rsidRDefault="00005A00" w:rsidP="00AA14F1">
            <w:pPr>
              <w:pStyle w:val="TableText"/>
              <w:spacing w:before="40" w:after="40"/>
              <w:jc w:val="center"/>
              <w:rPr>
                <w:rFonts w:cs="Arial"/>
                <w:szCs w:val="16"/>
                <w:highlight w:val="yellow"/>
              </w:rPr>
            </w:pPr>
            <w:r w:rsidRPr="00256982">
              <w:t>19.6</w:t>
            </w:r>
          </w:p>
        </w:tc>
        <w:tc>
          <w:tcPr>
            <w:tcW w:w="1857" w:type="dxa"/>
            <w:tcBorders>
              <w:top w:val="single" w:sz="4" w:space="0" w:color="365F91"/>
              <w:bottom w:val="single" w:sz="4" w:space="0" w:color="365F91"/>
            </w:tcBorders>
            <w:shd w:val="clear" w:color="auto" w:fill="auto"/>
          </w:tcPr>
          <w:p w14:paraId="07526C3C" w14:textId="77777777" w:rsidR="00005A00" w:rsidRPr="00256982" w:rsidRDefault="00005A00" w:rsidP="00AA14F1">
            <w:pPr>
              <w:pStyle w:val="TableText"/>
              <w:spacing w:before="40" w:after="40"/>
              <w:jc w:val="center"/>
              <w:rPr>
                <w:rFonts w:cs="Arial"/>
                <w:szCs w:val="16"/>
                <w:highlight w:val="yellow"/>
              </w:rPr>
            </w:pPr>
            <w:r w:rsidRPr="00256982">
              <w:t>157.0</w:t>
            </w:r>
          </w:p>
        </w:tc>
      </w:tr>
      <w:tr w:rsidR="00005A00" w:rsidRPr="00256982" w14:paraId="7E707ACF" w14:textId="77777777" w:rsidTr="00AA14F1">
        <w:tc>
          <w:tcPr>
            <w:tcW w:w="1079" w:type="dxa"/>
            <w:tcBorders>
              <w:top w:val="single" w:sz="4" w:space="0" w:color="365F91"/>
              <w:bottom w:val="single" w:sz="4" w:space="0" w:color="365F91"/>
            </w:tcBorders>
          </w:tcPr>
          <w:p w14:paraId="5A26EBC7" w14:textId="77777777" w:rsidR="00005A00" w:rsidRPr="00256982" w:rsidRDefault="00005A00" w:rsidP="00AA14F1">
            <w:pPr>
              <w:pStyle w:val="TableTextBold"/>
              <w:spacing w:before="40" w:after="40"/>
              <w:rPr>
                <w:noProof w:val="0"/>
              </w:rPr>
            </w:pPr>
            <w:r w:rsidRPr="00256982">
              <w:rPr>
                <w:noProof w:val="0"/>
              </w:rPr>
              <w:t>1992</w:t>
            </w:r>
          </w:p>
        </w:tc>
        <w:tc>
          <w:tcPr>
            <w:tcW w:w="1857" w:type="dxa"/>
            <w:tcBorders>
              <w:top w:val="single" w:sz="4" w:space="0" w:color="365F91"/>
              <w:bottom w:val="single" w:sz="4" w:space="0" w:color="365F91"/>
            </w:tcBorders>
            <w:shd w:val="clear" w:color="auto" w:fill="auto"/>
          </w:tcPr>
          <w:p w14:paraId="22301CE5" w14:textId="77777777" w:rsidR="00005A00" w:rsidRPr="00256982" w:rsidRDefault="00005A00" w:rsidP="00AA14F1">
            <w:pPr>
              <w:pStyle w:val="TableText"/>
              <w:spacing w:before="40" w:after="40"/>
              <w:jc w:val="center"/>
              <w:rPr>
                <w:rFonts w:cs="Arial"/>
                <w:szCs w:val="16"/>
                <w:highlight w:val="yellow"/>
              </w:rPr>
            </w:pPr>
            <w:r w:rsidRPr="00256982">
              <w:t>64.1</w:t>
            </w:r>
          </w:p>
        </w:tc>
        <w:tc>
          <w:tcPr>
            <w:tcW w:w="1856" w:type="dxa"/>
            <w:tcBorders>
              <w:top w:val="single" w:sz="4" w:space="0" w:color="365F91"/>
              <w:bottom w:val="single" w:sz="4" w:space="0" w:color="365F91"/>
            </w:tcBorders>
          </w:tcPr>
          <w:p w14:paraId="2AD13803" w14:textId="77777777" w:rsidR="00005A00" w:rsidRPr="00256982" w:rsidRDefault="00005A00" w:rsidP="00AA14F1">
            <w:pPr>
              <w:pStyle w:val="TableText"/>
              <w:spacing w:before="40" w:after="40"/>
              <w:jc w:val="center"/>
              <w:rPr>
                <w:rFonts w:cs="Arial"/>
                <w:szCs w:val="16"/>
                <w:highlight w:val="yellow"/>
              </w:rPr>
            </w:pPr>
            <w:r w:rsidRPr="00256982">
              <w:t>76.4</w:t>
            </w:r>
          </w:p>
        </w:tc>
        <w:tc>
          <w:tcPr>
            <w:tcW w:w="1856" w:type="dxa"/>
            <w:tcBorders>
              <w:top w:val="single" w:sz="4" w:space="0" w:color="365F91"/>
              <w:bottom w:val="single" w:sz="4" w:space="0" w:color="365F91"/>
            </w:tcBorders>
            <w:shd w:val="clear" w:color="auto" w:fill="auto"/>
          </w:tcPr>
          <w:p w14:paraId="375E951F" w14:textId="77777777" w:rsidR="00005A00" w:rsidRPr="00256982" w:rsidRDefault="00005A00" w:rsidP="00AA14F1">
            <w:pPr>
              <w:pStyle w:val="TableText"/>
              <w:spacing w:before="40" w:after="40"/>
              <w:jc w:val="center"/>
              <w:rPr>
                <w:rFonts w:cs="Arial"/>
                <w:szCs w:val="16"/>
                <w:highlight w:val="yellow"/>
              </w:rPr>
            </w:pPr>
            <w:r w:rsidRPr="00256982">
              <w:t>18.0</w:t>
            </w:r>
          </w:p>
        </w:tc>
        <w:tc>
          <w:tcPr>
            <w:tcW w:w="1857" w:type="dxa"/>
            <w:tcBorders>
              <w:top w:val="single" w:sz="4" w:space="0" w:color="365F91"/>
              <w:bottom w:val="single" w:sz="4" w:space="0" w:color="365F91"/>
            </w:tcBorders>
            <w:shd w:val="clear" w:color="auto" w:fill="auto"/>
          </w:tcPr>
          <w:p w14:paraId="428B8B6C" w14:textId="77777777" w:rsidR="00005A00" w:rsidRPr="00256982" w:rsidRDefault="00005A00" w:rsidP="00AA14F1">
            <w:pPr>
              <w:pStyle w:val="TableText"/>
              <w:spacing w:before="40" w:after="40"/>
              <w:jc w:val="center"/>
              <w:rPr>
                <w:rFonts w:cs="Arial"/>
                <w:szCs w:val="16"/>
                <w:highlight w:val="yellow"/>
              </w:rPr>
            </w:pPr>
            <w:r w:rsidRPr="00256982">
              <w:t>158.6</w:t>
            </w:r>
          </w:p>
        </w:tc>
      </w:tr>
      <w:tr w:rsidR="00005A00" w:rsidRPr="00256982" w14:paraId="36899E01" w14:textId="77777777" w:rsidTr="00AA14F1">
        <w:tc>
          <w:tcPr>
            <w:tcW w:w="1079" w:type="dxa"/>
            <w:tcBorders>
              <w:top w:val="single" w:sz="4" w:space="0" w:color="365F91"/>
              <w:bottom w:val="single" w:sz="4" w:space="0" w:color="365F91"/>
            </w:tcBorders>
          </w:tcPr>
          <w:p w14:paraId="3C244977" w14:textId="77777777" w:rsidR="00005A00" w:rsidRPr="00256982" w:rsidRDefault="00005A00" w:rsidP="00AA14F1">
            <w:pPr>
              <w:pStyle w:val="TableTextBold"/>
              <w:spacing w:before="40" w:after="40"/>
              <w:rPr>
                <w:noProof w:val="0"/>
              </w:rPr>
            </w:pPr>
            <w:r w:rsidRPr="00256982">
              <w:rPr>
                <w:noProof w:val="0"/>
              </w:rPr>
              <w:t>1993</w:t>
            </w:r>
          </w:p>
        </w:tc>
        <w:tc>
          <w:tcPr>
            <w:tcW w:w="1857" w:type="dxa"/>
            <w:tcBorders>
              <w:top w:val="single" w:sz="4" w:space="0" w:color="365F91"/>
              <w:bottom w:val="single" w:sz="4" w:space="0" w:color="365F91"/>
            </w:tcBorders>
            <w:shd w:val="clear" w:color="auto" w:fill="auto"/>
          </w:tcPr>
          <w:p w14:paraId="57233438" w14:textId="77777777" w:rsidR="00005A00" w:rsidRPr="00256982" w:rsidRDefault="00005A00" w:rsidP="00AA14F1">
            <w:pPr>
              <w:pStyle w:val="TableText"/>
              <w:spacing w:before="40" w:after="40"/>
              <w:jc w:val="center"/>
              <w:rPr>
                <w:highlight w:val="yellow"/>
              </w:rPr>
            </w:pPr>
            <w:r w:rsidRPr="00256982">
              <w:t>59.3</w:t>
            </w:r>
          </w:p>
        </w:tc>
        <w:tc>
          <w:tcPr>
            <w:tcW w:w="1856" w:type="dxa"/>
            <w:tcBorders>
              <w:top w:val="single" w:sz="4" w:space="0" w:color="365F91"/>
              <w:bottom w:val="single" w:sz="4" w:space="0" w:color="365F91"/>
            </w:tcBorders>
          </w:tcPr>
          <w:p w14:paraId="7C9727F3" w14:textId="77777777" w:rsidR="00005A00" w:rsidRPr="00256982" w:rsidRDefault="00005A00" w:rsidP="00AA14F1">
            <w:pPr>
              <w:pStyle w:val="TableText"/>
              <w:spacing w:before="40" w:after="40"/>
              <w:jc w:val="center"/>
              <w:rPr>
                <w:highlight w:val="yellow"/>
              </w:rPr>
            </w:pPr>
            <w:r w:rsidRPr="00256982">
              <w:t>73.0</w:t>
            </w:r>
          </w:p>
        </w:tc>
        <w:tc>
          <w:tcPr>
            <w:tcW w:w="1856" w:type="dxa"/>
            <w:tcBorders>
              <w:top w:val="single" w:sz="4" w:space="0" w:color="365F91"/>
              <w:bottom w:val="single" w:sz="4" w:space="0" w:color="365F91"/>
            </w:tcBorders>
            <w:shd w:val="clear" w:color="auto" w:fill="auto"/>
          </w:tcPr>
          <w:p w14:paraId="4DE48CCA" w14:textId="77777777" w:rsidR="00005A00" w:rsidRPr="00256982" w:rsidRDefault="00005A00" w:rsidP="00AA14F1">
            <w:pPr>
              <w:pStyle w:val="TableText"/>
              <w:spacing w:before="40" w:after="40"/>
              <w:jc w:val="center"/>
              <w:rPr>
                <w:highlight w:val="yellow"/>
              </w:rPr>
            </w:pPr>
            <w:r w:rsidRPr="00256982">
              <w:t>16.4</w:t>
            </w:r>
          </w:p>
        </w:tc>
        <w:tc>
          <w:tcPr>
            <w:tcW w:w="1857" w:type="dxa"/>
            <w:tcBorders>
              <w:top w:val="single" w:sz="4" w:space="0" w:color="365F91"/>
              <w:bottom w:val="single" w:sz="4" w:space="0" w:color="365F91"/>
            </w:tcBorders>
            <w:shd w:val="clear" w:color="auto" w:fill="auto"/>
          </w:tcPr>
          <w:p w14:paraId="53F9F06E" w14:textId="77777777" w:rsidR="00005A00" w:rsidRPr="00256982" w:rsidRDefault="00005A00" w:rsidP="00AA14F1">
            <w:pPr>
              <w:pStyle w:val="TableText"/>
              <w:spacing w:before="40" w:after="40"/>
              <w:jc w:val="center"/>
              <w:rPr>
                <w:highlight w:val="yellow"/>
              </w:rPr>
            </w:pPr>
            <w:r w:rsidRPr="00256982">
              <w:t>148.6</w:t>
            </w:r>
          </w:p>
        </w:tc>
      </w:tr>
      <w:tr w:rsidR="00005A00" w:rsidRPr="00256982" w14:paraId="66A71B27" w14:textId="77777777" w:rsidTr="00AA14F1">
        <w:tc>
          <w:tcPr>
            <w:tcW w:w="1079" w:type="dxa"/>
            <w:tcBorders>
              <w:top w:val="single" w:sz="4" w:space="0" w:color="365F91"/>
              <w:bottom w:val="single" w:sz="4" w:space="0" w:color="365F91"/>
            </w:tcBorders>
          </w:tcPr>
          <w:p w14:paraId="587F515F" w14:textId="77777777" w:rsidR="00005A00" w:rsidRPr="00256982" w:rsidRDefault="00005A00" w:rsidP="00AA14F1">
            <w:pPr>
              <w:pStyle w:val="TableTextBold"/>
              <w:spacing w:before="40" w:after="40"/>
              <w:rPr>
                <w:noProof w:val="0"/>
              </w:rPr>
            </w:pPr>
            <w:r w:rsidRPr="00256982">
              <w:rPr>
                <w:noProof w:val="0"/>
              </w:rPr>
              <w:t>1994</w:t>
            </w:r>
          </w:p>
        </w:tc>
        <w:tc>
          <w:tcPr>
            <w:tcW w:w="1857" w:type="dxa"/>
            <w:tcBorders>
              <w:top w:val="single" w:sz="4" w:space="0" w:color="365F91"/>
              <w:bottom w:val="single" w:sz="4" w:space="0" w:color="365F91"/>
            </w:tcBorders>
            <w:shd w:val="clear" w:color="auto" w:fill="auto"/>
          </w:tcPr>
          <w:p w14:paraId="27618E84" w14:textId="77777777" w:rsidR="00005A00" w:rsidRPr="00256982" w:rsidRDefault="00005A00" w:rsidP="00AA14F1">
            <w:pPr>
              <w:pStyle w:val="TableText"/>
              <w:spacing w:before="40" w:after="40"/>
              <w:jc w:val="center"/>
              <w:rPr>
                <w:highlight w:val="yellow"/>
              </w:rPr>
            </w:pPr>
            <w:r w:rsidRPr="00256982">
              <w:t>62.1</w:t>
            </w:r>
          </w:p>
        </w:tc>
        <w:tc>
          <w:tcPr>
            <w:tcW w:w="1856" w:type="dxa"/>
            <w:tcBorders>
              <w:top w:val="single" w:sz="4" w:space="0" w:color="365F91"/>
              <w:bottom w:val="single" w:sz="4" w:space="0" w:color="365F91"/>
            </w:tcBorders>
          </w:tcPr>
          <w:p w14:paraId="64A53218" w14:textId="77777777" w:rsidR="00005A00" w:rsidRPr="00256982" w:rsidRDefault="00005A00" w:rsidP="00AA14F1">
            <w:pPr>
              <w:pStyle w:val="TableText"/>
              <w:spacing w:before="40" w:after="40"/>
              <w:jc w:val="center"/>
              <w:rPr>
                <w:highlight w:val="yellow"/>
              </w:rPr>
            </w:pPr>
            <w:r w:rsidRPr="00256982">
              <w:t>79.4</w:t>
            </w:r>
          </w:p>
        </w:tc>
        <w:tc>
          <w:tcPr>
            <w:tcW w:w="1856" w:type="dxa"/>
            <w:tcBorders>
              <w:top w:val="single" w:sz="4" w:space="0" w:color="365F91"/>
              <w:bottom w:val="single" w:sz="4" w:space="0" w:color="365F91"/>
            </w:tcBorders>
            <w:shd w:val="clear" w:color="auto" w:fill="auto"/>
          </w:tcPr>
          <w:p w14:paraId="307FC23F" w14:textId="77777777" w:rsidR="00005A00" w:rsidRPr="00256982" w:rsidRDefault="00005A00" w:rsidP="00AA14F1">
            <w:pPr>
              <w:pStyle w:val="TableText"/>
              <w:spacing w:before="40" w:after="40"/>
              <w:jc w:val="center"/>
              <w:rPr>
                <w:highlight w:val="yellow"/>
              </w:rPr>
            </w:pPr>
            <w:r w:rsidRPr="00256982">
              <w:t>15.0</w:t>
            </w:r>
          </w:p>
        </w:tc>
        <w:tc>
          <w:tcPr>
            <w:tcW w:w="1857" w:type="dxa"/>
            <w:tcBorders>
              <w:top w:val="single" w:sz="4" w:space="0" w:color="365F91"/>
              <w:bottom w:val="single" w:sz="4" w:space="0" w:color="365F91"/>
            </w:tcBorders>
            <w:shd w:val="clear" w:color="auto" w:fill="auto"/>
          </w:tcPr>
          <w:p w14:paraId="304BCA92" w14:textId="77777777" w:rsidR="00005A00" w:rsidRPr="00256982" w:rsidRDefault="00005A00" w:rsidP="00AA14F1">
            <w:pPr>
              <w:pStyle w:val="TableText"/>
              <w:spacing w:before="40" w:after="40"/>
              <w:jc w:val="center"/>
              <w:rPr>
                <w:highlight w:val="yellow"/>
              </w:rPr>
            </w:pPr>
            <w:r w:rsidRPr="00256982">
              <w:t>156.6</w:t>
            </w:r>
          </w:p>
        </w:tc>
      </w:tr>
      <w:tr w:rsidR="00005A00" w:rsidRPr="00256982" w14:paraId="37A366AB" w14:textId="77777777" w:rsidTr="00AA14F1">
        <w:tc>
          <w:tcPr>
            <w:tcW w:w="1079" w:type="dxa"/>
            <w:tcBorders>
              <w:top w:val="single" w:sz="4" w:space="0" w:color="365F91"/>
              <w:bottom w:val="single" w:sz="4" w:space="0" w:color="365F91"/>
            </w:tcBorders>
          </w:tcPr>
          <w:p w14:paraId="33C99863" w14:textId="77777777" w:rsidR="00005A00" w:rsidRPr="00256982" w:rsidRDefault="00005A00" w:rsidP="00AA14F1">
            <w:pPr>
              <w:pStyle w:val="TableTextBold"/>
              <w:spacing w:before="40" w:after="40"/>
              <w:rPr>
                <w:noProof w:val="0"/>
              </w:rPr>
            </w:pPr>
            <w:r w:rsidRPr="00256982">
              <w:rPr>
                <w:noProof w:val="0"/>
              </w:rPr>
              <w:t>1995</w:t>
            </w:r>
          </w:p>
        </w:tc>
        <w:tc>
          <w:tcPr>
            <w:tcW w:w="1857" w:type="dxa"/>
            <w:tcBorders>
              <w:top w:val="single" w:sz="4" w:space="0" w:color="365F91"/>
              <w:bottom w:val="single" w:sz="4" w:space="0" w:color="365F91"/>
            </w:tcBorders>
            <w:shd w:val="clear" w:color="auto" w:fill="auto"/>
          </w:tcPr>
          <w:p w14:paraId="57E7D30C" w14:textId="77777777" w:rsidR="00005A00" w:rsidRPr="00256982" w:rsidRDefault="00005A00" w:rsidP="00AA14F1">
            <w:pPr>
              <w:pStyle w:val="TableText"/>
              <w:spacing w:before="40" w:after="40"/>
              <w:jc w:val="center"/>
              <w:rPr>
                <w:highlight w:val="yellow"/>
              </w:rPr>
            </w:pPr>
            <w:r w:rsidRPr="00256982">
              <w:t>64.5</w:t>
            </w:r>
          </w:p>
        </w:tc>
        <w:tc>
          <w:tcPr>
            <w:tcW w:w="1856" w:type="dxa"/>
            <w:tcBorders>
              <w:top w:val="single" w:sz="4" w:space="0" w:color="365F91"/>
              <w:bottom w:val="single" w:sz="4" w:space="0" w:color="365F91"/>
            </w:tcBorders>
          </w:tcPr>
          <w:p w14:paraId="73985F54" w14:textId="77777777" w:rsidR="00005A00" w:rsidRPr="00256982" w:rsidRDefault="00005A00" w:rsidP="00AA14F1">
            <w:pPr>
              <w:pStyle w:val="TableText"/>
              <w:spacing w:before="40" w:after="40"/>
              <w:jc w:val="center"/>
              <w:rPr>
                <w:highlight w:val="yellow"/>
              </w:rPr>
            </w:pPr>
            <w:r w:rsidRPr="00256982">
              <w:t>80.5</w:t>
            </w:r>
          </w:p>
        </w:tc>
        <w:tc>
          <w:tcPr>
            <w:tcW w:w="1856" w:type="dxa"/>
            <w:tcBorders>
              <w:top w:val="single" w:sz="4" w:space="0" w:color="365F91"/>
              <w:bottom w:val="single" w:sz="4" w:space="0" w:color="365F91"/>
            </w:tcBorders>
            <w:shd w:val="clear" w:color="auto" w:fill="auto"/>
          </w:tcPr>
          <w:p w14:paraId="378E0FE7" w14:textId="77777777" w:rsidR="00005A00" w:rsidRPr="00256982" w:rsidRDefault="00005A00" w:rsidP="00AA14F1">
            <w:pPr>
              <w:pStyle w:val="TableText"/>
              <w:spacing w:before="40" w:after="40"/>
              <w:jc w:val="center"/>
              <w:rPr>
                <w:highlight w:val="yellow"/>
              </w:rPr>
            </w:pPr>
            <w:r w:rsidRPr="00256982">
              <w:t>13.8</w:t>
            </w:r>
          </w:p>
        </w:tc>
        <w:tc>
          <w:tcPr>
            <w:tcW w:w="1857" w:type="dxa"/>
            <w:tcBorders>
              <w:top w:val="single" w:sz="4" w:space="0" w:color="365F91"/>
              <w:bottom w:val="single" w:sz="4" w:space="0" w:color="365F91"/>
            </w:tcBorders>
            <w:shd w:val="clear" w:color="auto" w:fill="auto"/>
          </w:tcPr>
          <w:p w14:paraId="6004EA75" w14:textId="77777777" w:rsidR="00005A00" w:rsidRPr="00256982" w:rsidRDefault="00005A00" w:rsidP="00AA14F1">
            <w:pPr>
              <w:pStyle w:val="TableText"/>
              <w:spacing w:before="40" w:after="40"/>
              <w:jc w:val="center"/>
              <w:rPr>
                <w:highlight w:val="yellow"/>
              </w:rPr>
            </w:pPr>
            <w:r w:rsidRPr="00256982">
              <w:t>158.8</w:t>
            </w:r>
          </w:p>
        </w:tc>
      </w:tr>
      <w:tr w:rsidR="00005A00" w:rsidRPr="00256982" w14:paraId="058A99A2" w14:textId="77777777" w:rsidTr="00AA14F1">
        <w:tc>
          <w:tcPr>
            <w:tcW w:w="1079" w:type="dxa"/>
            <w:tcBorders>
              <w:top w:val="single" w:sz="4" w:space="0" w:color="365F91"/>
              <w:bottom w:val="single" w:sz="4" w:space="0" w:color="365F91"/>
            </w:tcBorders>
          </w:tcPr>
          <w:p w14:paraId="12A671A2" w14:textId="77777777" w:rsidR="00005A00" w:rsidRPr="00256982" w:rsidRDefault="00005A00" w:rsidP="00AA14F1">
            <w:pPr>
              <w:pStyle w:val="TableTextBold"/>
              <w:spacing w:before="40" w:after="40"/>
              <w:rPr>
                <w:noProof w:val="0"/>
              </w:rPr>
            </w:pPr>
            <w:r w:rsidRPr="00256982">
              <w:rPr>
                <w:noProof w:val="0"/>
              </w:rPr>
              <w:t>1996</w:t>
            </w:r>
          </w:p>
        </w:tc>
        <w:tc>
          <w:tcPr>
            <w:tcW w:w="1857" w:type="dxa"/>
            <w:tcBorders>
              <w:top w:val="single" w:sz="4" w:space="0" w:color="365F91"/>
              <w:bottom w:val="single" w:sz="4" w:space="0" w:color="365F91"/>
            </w:tcBorders>
            <w:shd w:val="clear" w:color="auto" w:fill="auto"/>
          </w:tcPr>
          <w:p w14:paraId="16622095" w14:textId="77777777" w:rsidR="00005A00" w:rsidRPr="00256982" w:rsidRDefault="00005A00" w:rsidP="00AA14F1">
            <w:pPr>
              <w:pStyle w:val="TableText"/>
              <w:spacing w:before="40" w:after="40"/>
              <w:jc w:val="center"/>
              <w:rPr>
                <w:highlight w:val="yellow"/>
              </w:rPr>
            </w:pPr>
            <w:r w:rsidRPr="00256982">
              <w:t>65.7</w:t>
            </w:r>
          </w:p>
        </w:tc>
        <w:tc>
          <w:tcPr>
            <w:tcW w:w="1856" w:type="dxa"/>
            <w:tcBorders>
              <w:top w:val="single" w:sz="4" w:space="0" w:color="365F91"/>
              <w:bottom w:val="single" w:sz="4" w:space="0" w:color="365F91"/>
            </w:tcBorders>
          </w:tcPr>
          <w:p w14:paraId="4D88A79B" w14:textId="77777777" w:rsidR="00005A00" w:rsidRPr="00256982" w:rsidRDefault="00005A00" w:rsidP="00AA14F1">
            <w:pPr>
              <w:pStyle w:val="TableText"/>
              <w:spacing w:before="40" w:after="40"/>
              <w:jc w:val="center"/>
              <w:rPr>
                <w:highlight w:val="yellow"/>
              </w:rPr>
            </w:pPr>
            <w:r w:rsidRPr="00256982">
              <w:t>82.7</w:t>
            </w:r>
          </w:p>
        </w:tc>
        <w:tc>
          <w:tcPr>
            <w:tcW w:w="1856" w:type="dxa"/>
            <w:tcBorders>
              <w:top w:val="single" w:sz="4" w:space="0" w:color="365F91"/>
              <w:bottom w:val="single" w:sz="4" w:space="0" w:color="365F91"/>
            </w:tcBorders>
            <w:shd w:val="clear" w:color="auto" w:fill="auto"/>
          </w:tcPr>
          <w:p w14:paraId="0E92B6FC" w14:textId="77777777" w:rsidR="00005A00" w:rsidRPr="00256982" w:rsidRDefault="00005A00" w:rsidP="00AA14F1">
            <w:pPr>
              <w:pStyle w:val="TableText"/>
              <w:spacing w:before="40" w:after="40"/>
              <w:jc w:val="center"/>
              <w:rPr>
                <w:highlight w:val="yellow"/>
              </w:rPr>
            </w:pPr>
            <w:r w:rsidRPr="00256982">
              <w:t>12.4</w:t>
            </w:r>
          </w:p>
        </w:tc>
        <w:tc>
          <w:tcPr>
            <w:tcW w:w="1857" w:type="dxa"/>
            <w:tcBorders>
              <w:top w:val="single" w:sz="4" w:space="0" w:color="365F91"/>
              <w:bottom w:val="single" w:sz="4" w:space="0" w:color="365F91"/>
            </w:tcBorders>
            <w:shd w:val="clear" w:color="auto" w:fill="auto"/>
          </w:tcPr>
          <w:p w14:paraId="2D829493" w14:textId="77777777" w:rsidR="00005A00" w:rsidRPr="00256982" w:rsidRDefault="00005A00" w:rsidP="00AA14F1">
            <w:pPr>
              <w:pStyle w:val="TableText"/>
              <w:spacing w:before="40" w:after="40"/>
              <w:jc w:val="center"/>
              <w:rPr>
                <w:highlight w:val="yellow"/>
              </w:rPr>
            </w:pPr>
            <w:r w:rsidRPr="00256982">
              <w:t>160.8</w:t>
            </w:r>
          </w:p>
        </w:tc>
      </w:tr>
      <w:tr w:rsidR="00005A00" w:rsidRPr="00256982" w14:paraId="1845335D" w14:textId="77777777" w:rsidTr="00AA14F1">
        <w:tc>
          <w:tcPr>
            <w:tcW w:w="1079" w:type="dxa"/>
            <w:tcBorders>
              <w:top w:val="single" w:sz="4" w:space="0" w:color="365F91"/>
              <w:bottom w:val="single" w:sz="4" w:space="0" w:color="365F91"/>
            </w:tcBorders>
          </w:tcPr>
          <w:p w14:paraId="3134813E" w14:textId="77777777" w:rsidR="00005A00" w:rsidRPr="00256982" w:rsidRDefault="00005A00" w:rsidP="00AA14F1">
            <w:pPr>
              <w:pStyle w:val="TableTextBold"/>
              <w:spacing w:before="40" w:after="40"/>
              <w:rPr>
                <w:noProof w:val="0"/>
              </w:rPr>
            </w:pPr>
            <w:r w:rsidRPr="00256982">
              <w:rPr>
                <w:noProof w:val="0"/>
              </w:rPr>
              <w:t>1997</w:t>
            </w:r>
          </w:p>
        </w:tc>
        <w:tc>
          <w:tcPr>
            <w:tcW w:w="1857" w:type="dxa"/>
            <w:tcBorders>
              <w:top w:val="single" w:sz="4" w:space="0" w:color="365F91"/>
              <w:bottom w:val="single" w:sz="4" w:space="0" w:color="365F91"/>
            </w:tcBorders>
            <w:shd w:val="clear" w:color="auto" w:fill="auto"/>
          </w:tcPr>
          <w:p w14:paraId="464EF380" w14:textId="77777777" w:rsidR="00005A00" w:rsidRPr="00256982" w:rsidRDefault="00005A00" w:rsidP="00AA14F1">
            <w:pPr>
              <w:pStyle w:val="TableText"/>
              <w:spacing w:before="40" w:after="40"/>
              <w:jc w:val="center"/>
              <w:rPr>
                <w:highlight w:val="yellow"/>
              </w:rPr>
            </w:pPr>
            <w:r w:rsidRPr="00256982">
              <w:t>66.6</w:t>
            </w:r>
          </w:p>
        </w:tc>
        <w:tc>
          <w:tcPr>
            <w:tcW w:w="1856" w:type="dxa"/>
            <w:tcBorders>
              <w:top w:val="single" w:sz="4" w:space="0" w:color="365F91"/>
              <w:bottom w:val="single" w:sz="4" w:space="0" w:color="365F91"/>
            </w:tcBorders>
          </w:tcPr>
          <w:p w14:paraId="5DE05661" w14:textId="77777777" w:rsidR="00005A00" w:rsidRPr="00256982" w:rsidRDefault="00005A00" w:rsidP="00AA14F1">
            <w:pPr>
              <w:pStyle w:val="TableText"/>
              <w:spacing w:before="40" w:after="40"/>
              <w:jc w:val="center"/>
              <w:rPr>
                <w:highlight w:val="yellow"/>
              </w:rPr>
            </w:pPr>
            <w:r w:rsidRPr="00256982">
              <w:t>81.2</w:t>
            </w:r>
          </w:p>
        </w:tc>
        <w:tc>
          <w:tcPr>
            <w:tcW w:w="1856" w:type="dxa"/>
            <w:tcBorders>
              <w:top w:val="single" w:sz="4" w:space="0" w:color="365F91"/>
              <w:bottom w:val="single" w:sz="4" w:space="0" w:color="365F91"/>
            </w:tcBorders>
            <w:shd w:val="clear" w:color="auto" w:fill="auto"/>
          </w:tcPr>
          <w:p w14:paraId="025EC220" w14:textId="77777777" w:rsidR="00005A00" w:rsidRPr="00256982" w:rsidRDefault="00005A00" w:rsidP="00AA14F1">
            <w:pPr>
              <w:pStyle w:val="TableText"/>
              <w:spacing w:before="40" w:after="40"/>
              <w:jc w:val="center"/>
              <w:rPr>
                <w:highlight w:val="yellow"/>
              </w:rPr>
            </w:pPr>
            <w:r w:rsidRPr="00256982">
              <w:t>10.7</w:t>
            </w:r>
          </w:p>
        </w:tc>
        <w:tc>
          <w:tcPr>
            <w:tcW w:w="1857" w:type="dxa"/>
            <w:tcBorders>
              <w:top w:val="single" w:sz="4" w:space="0" w:color="365F91"/>
              <w:bottom w:val="single" w:sz="4" w:space="0" w:color="365F91"/>
            </w:tcBorders>
            <w:shd w:val="clear" w:color="auto" w:fill="auto"/>
          </w:tcPr>
          <w:p w14:paraId="0849F4E9" w14:textId="77777777" w:rsidR="00005A00" w:rsidRPr="00256982" w:rsidRDefault="00005A00" w:rsidP="00AA14F1">
            <w:pPr>
              <w:pStyle w:val="TableText"/>
              <w:spacing w:before="40" w:after="40"/>
              <w:jc w:val="center"/>
              <w:rPr>
                <w:highlight w:val="yellow"/>
              </w:rPr>
            </w:pPr>
            <w:r w:rsidRPr="00256982">
              <w:t>158.5</w:t>
            </w:r>
          </w:p>
        </w:tc>
      </w:tr>
      <w:tr w:rsidR="00005A00" w:rsidRPr="00256982" w14:paraId="31DC5DAE" w14:textId="77777777" w:rsidTr="00AA14F1">
        <w:tc>
          <w:tcPr>
            <w:tcW w:w="1079" w:type="dxa"/>
            <w:tcBorders>
              <w:top w:val="single" w:sz="4" w:space="0" w:color="365F91"/>
              <w:bottom w:val="single" w:sz="4" w:space="0" w:color="365F91"/>
            </w:tcBorders>
          </w:tcPr>
          <w:p w14:paraId="31D04168" w14:textId="77777777" w:rsidR="00005A00" w:rsidRPr="00256982" w:rsidRDefault="00005A00" w:rsidP="00AA14F1">
            <w:pPr>
              <w:pStyle w:val="TableTextBold"/>
              <w:spacing w:before="40" w:after="40"/>
              <w:rPr>
                <w:noProof w:val="0"/>
              </w:rPr>
            </w:pPr>
            <w:r w:rsidRPr="00256982">
              <w:rPr>
                <w:noProof w:val="0"/>
              </w:rPr>
              <w:t>1998</w:t>
            </w:r>
          </w:p>
        </w:tc>
        <w:tc>
          <w:tcPr>
            <w:tcW w:w="1857" w:type="dxa"/>
            <w:tcBorders>
              <w:top w:val="single" w:sz="4" w:space="0" w:color="365F91"/>
              <w:bottom w:val="single" w:sz="4" w:space="0" w:color="365F91"/>
            </w:tcBorders>
            <w:shd w:val="clear" w:color="auto" w:fill="auto"/>
          </w:tcPr>
          <w:p w14:paraId="1D69FA14" w14:textId="77777777" w:rsidR="00005A00" w:rsidRPr="00256982" w:rsidRDefault="00005A00" w:rsidP="00AA14F1">
            <w:pPr>
              <w:pStyle w:val="TableText"/>
              <w:spacing w:before="40" w:after="40"/>
              <w:jc w:val="center"/>
              <w:rPr>
                <w:highlight w:val="yellow"/>
              </w:rPr>
            </w:pPr>
            <w:r w:rsidRPr="00256982">
              <w:t>68.7</w:t>
            </w:r>
          </w:p>
        </w:tc>
        <w:tc>
          <w:tcPr>
            <w:tcW w:w="1856" w:type="dxa"/>
            <w:tcBorders>
              <w:top w:val="single" w:sz="4" w:space="0" w:color="365F91"/>
              <w:bottom w:val="single" w:sz="4" w:space="0" w:color="365F91"/>
            </w:tcBorders>
          </w:tcPr>
          <w:p w14:paraId="05AB9172" w14:textId="77777777" w:rsidR="00005A00" w:rsidRPr="00256982" w:rsidRDefault="00005A00" w:rsidP="00AA14F1">
            <w:pPr>
              <w:pStyle w:val="TableText"/>
              <w:spacing w:before="40" w:after="40"/>
              <w:jc w:val="center"/>
              <w:rPr>
                <w:highlight w:val="yellow"/>
              </w:rPr>
            </w:pPr>
            <w:r w:rsidRPr="00256982">
              <w:t>82.5</w:t>
            </w:r>
          </w:p>
        </w:tc>
        <w:tc>
          <w:tcPr>
            <w:tcW w:w="1856" w:type="dxa"/>
            <w:tcBorders>
              <w:top w:val="single" w:sz="4" w:space="0" w:color="365F91"/>
              <w:bottom w:val="single" w:sz="4" w:space="0" w:color="365F91"/>
            </w:tcBorders>
            <w:shd w:val="clear" w:color="auto" w:fill="auto"/>
          </w:tcPr>
          <w:p w14:paraId="21F778C7" w14:textId="77777777" w:rsidR="00005A00" w:rsidRPr="00256982" w:rsidRDefault="00005A00" w:rsidP="00AA14F1">
            <w:pPr>
              <w:pStyle w:val="TableText"/>
              <w:spacing w:before="40" w:after="40"/>
              <w:jc w:val="center"/>
              <w:rPr>
                <w:highlight w:val="yellow"/>
              </w:rPr>
            </w:pPr>
            <w:r w:rsidRPr="00256982">
              <w:t>9.4</w:t>
            </w:r>
          </w:p>
        </w:tc>
        <w:tc>
          <w:tcPr>
            <w:tcW w:w="1857" w:type="dxa"/>
            <w:tcBorders>
              <w:top w:val="single" w:sz="4" w:space="0" w:color="365F91"/>
              <w:bottom w:val="single" w:sz="4" w:space="0" w:color="365F91"/>
            </w:tcBorders>
            <w:shd w:val="clear" w:color="auto" w:fill="auto"/>
          </w:tcPr>
          <w:p w14:paraId="2DE12886" w14:textId="77777777" w:rsidR="00005A00" w:rsidRPr="00256982" w:rsidRDefault="00005A00" w:rsidP="00AA14F1">
            <w:pPr>
              <w:pStyle w:val="TableText"/>
              <w:spacing w:before="40" w:after="40"/>
              <w:jc w:val="center"/>
              <w:rPr>
                <w:highlight w:val="yellow"/>
              </w:rPr>
            </w:pPr>
            <w:r w:rsidRPr="00256982">
              <w:t>160.6</w:t>
            </w:r>
          </w:p>
        </w:tc>
      </w:tr>
      <w:tr w:rsidR="00005A00" w:rsidRPr="00256982" w14:paraId="085049F9" w14:textId="77777777" w:rsidTr="00AA14F1">
        <w:tc>
          <w:tcPr>
            <w:tcW w:w="1079" w:type="dxa"/>
            <w:tcBorders>
              <w:top w:val="single" w:sz="4" w:space="0" w:color="365F91"/>
              <w:bottom w:val="single" w:sz="4" w:space="0" w:color="365F91"/>
            </w:tcBorders>
          </w:tcPr>
          <w:p w14:paraId="6E02B8DB" w14:textId="77777777" w:rsidR="00005A00" w:rsidRPr="00256982" w:rsidRDefault="00005A00" w:rsidP="00AA14F1">
            <w:pPr>
              <w:pStyle w:val="TableTextBold"/>
              <w:spacing w:before="40" w:after="40"/>
              <w:rPr>
                <w:noProof w:val="0"/>
              </w:rPr>
            </w:pPr>
            <w:r w:rsidRPr="00256982">
              <w:rPr>
                <w:noProof w:val="0"/>
              </w:rPr>
              <w:t>1999</w:t>
            </w:r>
          </w:p>
        </w:tc>
        <w:tc>
          <w:tcPr>
            <w:tcW w:w="1857" w:type="dxa"/>
            <w:tcBorders>
              <w:top w:val="single" w:sz="4" w:space="0" w:color="365F91"/>
              <w:bottom w:val="single" w:sz="4" w:space="0" w:color="365F91"/>
            </w:tcBorders>
            <w:shd w:val="clear" w:color="auto" w:fill="auto"/>
          </w:tcPr>
          <w:p w14:paraId="797AAD8B" w14:textId="77777777" w:rsidR="00005A00" w:rsidRPr="00256982" w:rsidRDefault="00005A00" w:rsidP="00AA14F1">
            <w:pPr>
              <w:pStyle w:val="TableText"/>
              <w:spacing w:before="40" w:after="40"/>
              <w:jc w:val="center"/>
              <w:rPr>
                <w:highlight w:val="yellow"/>
              </w:rPr>
            </w:pPr>
            <w:r w:rsidRPr="00256982">
              <w:t>61.4</w:t>
            </w:r>
          </w:p>
        </w:tc>
        <w:tc>
          <w:tcPr>
            <w:tcW w:w="1856" w:type="dxa"/>
            <w:tcBorders>
              <w:top w:val="single" w:sz="4" w:space="0" w:color="365F91"/>
              <w:bottom w:val="single" w:sz="4" w:space="0" w:color="365F91"/>
            </w:tcBorders>
          </w:tcPr>
          <w:p w14:paraId="72609904" w14:textId="77777777" w:rsidR="00005A00" w:rsidRPr="00256982" w:rsidRDefault="00005A00" w:rsidP="00AA14F1">
            <w:pPr>
              <w:pStyle w:val="TableText"/>
              <w:spacing w:before="40" w:after="40"/>
              <w:jc w:val="center"/>
              <w:rPr>
                <w:highlight w:val="yellow"/>
              </w:rPr>
            </w:pPr>
            <w:r w:rsidRPr="00256982">
              <w:t>79.7</w:t>
            </w:r>
          </w:p>
        </w:tc>
        <w:tc>
          <w:tcPr>
            <w:tcW w:w="1856" w:type="dxa"/>
            <w:tcBorders>
              <w:top w:val="single" w:sz="4" w:space="0" w:color="365F91"/>
              <w:bottom w:val="single" w:sz="4" w:space="0" w:color="365F91"/>
            </w:tcBorders>
            <w:shd w:val="clear" w:color="auto" w:fill="auto"/>
          </w:tcPr>
          <w:p w14:paraId="7EDB2177" w14:textId="77777777" w:rsidR="00005A00" w:rsidRPr="00256982" w:rsidRDefault="00005A00" w:rsidP="00AA14F1">
            <w:pPr>
              <w:pStyle w:val="TableText"/>
              <w:spacing w:before="40" w:after="40"/>
              <w:jc w:val="center"/>
              <w:rPr>
                <w:highlight w:val="yellow"/>
              </w:rPr>
            </w:pPr>
            <w:r w:rsidRPr="00256982">
              <w:t>8.0</w:t>
            </w:r>
          </w:p>
        </w:tc>
        <w:tc>
          <w:tcPr>
            <w:tcW w:w="1857" w:type="dxa"/>
            <w:tcBorders>
              <w:top w:val="single" w:sz="4" w:space="0" w:color="365F91"/>
              <w:bottom w:val="single" w:sz="4" w:space="0" w:color="365F91"/>
            </w:tcBorders>
            <w:shd w:val="clear" w:color="auto" w:fill="auto"/>
          </w:tcPr>
          <w:p w14:paraId="379FCB8A" w14:textId="77777777" w:rsidR="00005A00" w:rsidRPr="00256982" w:rsidRDefault="00005A00" w:rsidP="00AA14F1">
            <w:pPr>
              <w:pStyle w:val="TableText"/>
              <w:spacing w:before="40" w:after="40"/>
              <w:jc w:val="center"/>
              <w:rPr>
                <w:highlight w:val="yellow"/>
              </w:rPr>
            </w:pPr>
            <w:r w:rsidRPr="00256982">
              <w:t>149.1</w:t>
            </w:r>
          </w:p>
        </w:tc>
      </w:tr>
      <w:tr w:rsidR="00005A00" w:rsidRPr="00256982" w14:paraId="3BEF4CE4" w14:textId="77777777" w:rsidTr="00AA14F1">
        <w:tc>
          <w:tcPr>
            <w:tcW w:w="1079" w:type="dxa"/>
            <w:tcBorders>
              <w:top w:val="single" w:sz="4" w:space="0" w:color="365F91"/>
              <w:bottom w:val="single" w:sz="4" w:space="0" w:color="365F91"/>
            </w:tcBorders>
          </w:tcPr>
          <w:p w14:paraId="0B328AF6" w14:textId="77777777" w:rsidR="00005A00" w:rsidRPr="00256982" w:rsidRDefault="00005A00" w:rsidP="00AA14F1">
            <w:pPr>
              <w:pStyle w:val="TableTextBold"/>
              <w:spacing w:before="40" w:after="40"/>
              <w:rPr>
                <w:noProof w:val="0"/>
              </w:rPr>
            </w:pPr>
            <w:r w:rsidRPr="00256982">
              <w:rPr>
                <w:noProof w:val="0"/>
              </w:rPr>
              <w:t>2000</w:t>
            </w:r>
          </w:p>
        </w:tc>
        <w:tc>
          <w:tcPr>
            <w:tcW w:w="1857" w:type="dxa"/>
            <w:tcBorders>
              <w:top w:val="single" w:sz="4" w:space="0" w:color="365F91"/>
              <w:bottom w:val="single" w:sz="4" w:space="0" w:color="365F91"/>
            </w:tcBorders>
            <w:shd w:val="clear" w:color="auto" w:fill="auto"/>
          </w:tcPr>
          <w:p w14:paraId="2D09A701" w14:textId="77777777" w:rsidR="00005A00" w:rsidRPr="00256982" w:rsidRDefault="00005A00" w:rsidP="00AA14F1">
            <w:pPr>
              <w:pStyle w:val="TableText"/>
              <w:spacing w:before="40" w:after="40"/>
              <w:jc w:val="center"/>
              <w:rPr>
                <w:highlight w:val="yellow"/>
              </w:rPr>
            </w:pPr>
            <w:r w:rsidRPr="00256982">
              <w:t>65.8</w:t>
            </w:r>
          </w:p>
        </w:tc>
        <w:tc>
          <w:tcPr>
            <w:tcW w:w="1856" w:type="dxa"/>
            <w:tcBorders>
              <w:top w:val="single" w:sz="4" w:space="0" w:color="365F91"/>
              <w:bottom w:val="single" w:sz="4" w:space="0" w:color="365F91"/>
            </w:tcBorders>
          </w:tcPr>
          <w:p w14:paraId="6658AE92" w14:textId="77777777" w:rsidR="00005A00" w:rsidRPr="00256982" w:rsidRDefault="00005A00" w:rsidP="00AA14F1">
            <w:pPr>
              <w:pStyle w:val="TableText"/>
              <w:spacing w:before="40" w:after="40"/>
              <w:jc w:val="center"/>
              <w:rPr>
                <w:highlight w:val="yellow"/>
              </w:rPr>
            </w:pPr>
            <w:r w:rsidRPr="00256982">
              <w:t>84.9</w:t>
            </w:r>
          </w:p>
        </w:tc>
        <w:tc>
          <w:tcPr>
            <w:tcW w:w="1856" w:type="dxa"/>
            <w:tcBorders>
              <w:top w:val="single" w:sz="4" w:space="0" w:color="365F91"/>
              <w:bottom w:val="single" w:sz="4" w:space="0" w:color="365F91"/>
            </w:tcBorders>
            <w:shd w:val="clear" w:color="auto" w:fill="auto"/>
          </w:tcPr>
          <w:p w14:paraId="732E15BD" w14:textId="77777777" w:rsidR="00005A00" w:rsidRPr="00256982" w:rsidRDefault="00005A00" w:rsidP="00AA14F1">
            <w:pPr>
              <w:pStyle w:val="TableText"/>
              <w:spacing w:before="40" w:after="40"/>
              <w:jc w:val="center"/>
              <w:rPr>
                <w:highlight w:val="yellow"/>
              </w:rPr>
            </w:pPr>
            <w:r w:rsidRPr="00256982">
              <w:t>6.5</w:t>
            </w:r>
          </w:p>
        </w:tc>
        <w:tc>
          <w:tcPr>
            <w:tcW w:w="1857" w:type="dxa"/>
            <w:tcBorders>
              <w:top w:val="single" w:sz="4" w:space="0" w:color="365F91"/>
              <w:bottom w:val="single" w:sz="4" w:space="0" w:color="365F91"/>
            </w:tcBorders>
            <w:shd w:val="clear" w:color="auto" w:fill="auto"/>
          </w:tcPr>
          <w:p w14:paraId="4A04F9C8" w14:textId="77777777" w:rsidR="00005A00" w:rsidRPr="00256982" w:rsidRDefault="00005A00" w:rsidP="00AA14F1">
            <w:pPr>
              <w:pStyle w:val="TableText"/>
              <w:spacing w:before="40" w:after="40"/>
              <w:jc w:val="center"/>
              <w:rPr>
                <w:highlight w:val="yellow"/>
              </w:rPr>
            </w:pPr>
            <w:r w:rsidRPr="00256982">
              <w:t>157.2</w:t>
            </w:r>
          </w:p>
        </w:tc>
      </w:tr>
      <w:tr w:rsidR="00005A00" w:rsidRPr="00256982" w14:paraId="67193EC4" w14:textId="77777777" w:rsidTr="00AA14F1">
        <w:tc>
          <w:tcPr>
            <w:tcW w:w="1079" w:type="dxa"/>
            <w:tcBorders>
              <w:top w:val="single" w:sz="4" w:space="0" w:color="365F91"/>
              <w:bottom w:val="single" w:sz="4" w:space="0" w:color="365F91"/>
            </w:tcBorders>
          </w:tcPr>
          <w:p w14:paraId="66659B7F" w14:textId="77777777" w:rsidR="00005A00" w:rsidRPr="00256982" w:rsidRDefault="00005A00" w:rsidP="00AA14F1">
            <w:pPr>
              <w:pStyle w:val="TableTextBold"/>
              <w:spacing w:before="40" w:after="40"/>
              <w:rPr>
                <w:noProof w:val="0"/>
              </w:rPr>
            </w:pPr>
            <w:r w:rsidRPr="00256982">
              <w:rPr>
                <w:noProof w:val="0"/>
              </w:rPr>
              <w:t>2001</w:t>
            </w:r>
          </w:p>
        </w:tc>
        <w:tc>
          <w:tcPr>
            <w:tcW w:w="1857" w:type="dxa"/>
            <w:tcBorders>
              <w:top w:val="single" w:sz="4" w:space="0" w:color="365F91"/>
              <w:bottom w:val="single" w:sz="4" w:space="0" w:color="365F91"/>
            </w:tcBorders>
            <w:shd w:val="clear" w:color="auto" w:fill="auto"/>
          </w:tcPr>
          <w:p w14:paraId="630B3AB7" w14:textId="77777777" w:rsidR="00005A00" w:rsidRPr="00256982" w:rsidRDefault="00005A00" w:rsidP="00AA14F1">
            <w:pPr>
              <w:pStyle w:val="TableText"/>
              <w:spacing w:before="40" w:after="40"/>
              <w:jc w:val="center"/>
              <w:rPr>
                <w:highlight w:val="yellow"/>
              </w:rPr>
            </w:pPr>
            <w:r w:rsidRPr="00256982">
              <w:t>67.7</w:t>
            </w:r>
          </w:p>
        </w:tc>
        <w:tc>
          <w:tcPr>
            <w:tcW w:w="1856" w:type="dxa"/>
            <w:tcBorders>
              <w:top w:val="single" w:sz="4" w:space="0" w:color="365F91"/>
              <w:bottom w:val="single" w:sz="4" w:space="0" w:color="365F91"/>
            </w:tcBorders>
          </w:tcPr>
          <w:p w14:paraId="40D867AE" w14:textId="77777777" w:rsidR="00005A00" w:rsidRPr="00256982" w:rsidRDefault="00005A00" w:rsidP="00AA14F1">
            <w:pPr>
              <w:pStyle w:val="TableText"/>
              <w:spacing w:before="40" w:after="40"/>
              <w:jc w:val="center"/>
              <w:rPr>
                <w:highlight w:val="yellow"/>
              </w:rPr>
            </w:pPr>
            <w:r w:rsidRPr="00256982">
              <w:t>88.0</w:t>
            </w:r>
          </w:p>
        </w:tc>
        <w:tc>
          <w:tcPr>
            <w:tcW w:w="1856" w:type="dxa"/>
            <w:tcBorders>
              <w:top w:val="single" w:sz="4" w:space="0" w:color="365F91"/>
              <w:bottom w:val="single" w:sz="4" w:space="0" w:color="365F91"/>
            </w:tcBorders>
            <w:shd w:val="clear" w:color="auto" w:fill="auto"/>
          </w:tcPr>
          <w:p w14:paraId="490E58F3" w14:textId="77777777" w:rsidR="00005A00" w:rsidRPr="00256982" w:rsidRDefault="00005A00" w:rsidP="00AA14F1">
            <w:pPr>
              <w:pStyle w:val="TableText"/>
              <w:spacing w:before="40" w:after="40"/>
              <w:jc w:val="center"/>
              <w:rPr>
                <w:highlight w:val="yellow"/>
              </w:rPr>
            </w:pPr>
            <w:r w:rsidRPr="00256982">
              <w:t>4.9</w:t>
            </w:r>
          </w:p>
        </w:tc>
        <w:tc>
          <w:tcPr>
            <w:tcW w:w="1857" w:type="dxa"/>
            <w:tcBorders>
              <w:top w:val="single" w:sz="4" w:space="0" w:color="365F91"/>
              <w:bottom w:val="single" w:sz="4" w:space="0" w:color="365F91"/>
            </w:tcBorders>
            <w:shd w:val="clear" w:color="auto" w:fill="auto"/>
          </w:tcPr>
          <w:p w14:paraId="46773AD8" w14:textId="77777777" w:rsidR="00005A00" w:rsidRPr="00256982" w:rsidRDefault="00005A00" w:rsidP="00AA14F1">
            <w:pPr>
              <w:pStyle w:val="TableText"/>
              <w:spacing w:before="40" w:after="40"/>
              <w:jc w:val="center"/>
              <w:rPr>
                <w:highlight w:val="yellow"/>
              </w:rPr>
            </w:pPr>
            <w:r w:rsidRPr="00256982">
              <w:t>160.6</w:t>
            </w:r>
          </w:p>
        </w:tc>
      </w:tr>
      <w:tr w:rsidR="00005A00" w:rsidRPr="00256982" w14:paraId="4E3AE22C" w14:textId="77777777" w:rsidTr="00AA14F1">
        <w:tc>
          <w:tcPr>
            <w:tcW w:w="1079" w:type="dxa"/>
            <w:tcBorders>
              <w:top w:val="single" w:sz="4" w:space="0" w:color="365F91"/>
              <w:bottom w:val="single" w:sz="4" w:space="0" w:color="365F91"/>
            </w:tcBorders>
          </w:tcPr>
          <w:p w14:paraId="4E89DE49" w14:textId="77777777" w:rsidR="00005A00" w:rsidRPr="00256982" w:rsidRDefault="00005A00" w:rsidP="00AA14F1">
            <w:pPr>
              <w:pStyle w:val="TableTextBold"/>
              <w:spacing w:before="40" w:after="40"/>
              <w:rPr>
                <w:noProof w:val="0"/>
              </w:rPr>
            </w:pPr>
            <w:r w:rsidRPr="00256982">
              <w:rPr>
                <w:noProof w:val="0"/>
              </w:rPr>
              <w:t>2002</w:t>
            </w:r>
          </w:p>
        </w:tc>
        <w:tc>
          <w:tcPr>
            <w:tcW w:w="1857" w:type="dxa"/>
            <w:tcBorders>
              <w:top w:val="single" w:sz="4" w:space="0" w:color="365F91"/>
              <w:bottom w:val="single" w:sz="4" w:space="0" w:color="365F91"/>
            </w:tcBorders>
            <w:shd w:val="clear" w:color="auto" w:fill="auto"/>
          </w:tcPr>
          <w:p w14:paraId="1A2184BE" w14:textId="77777777" w:rsidR="00005A00" w:rsidRPr="00256982" w:rsidRDefault="00005A00" w:rsidP="00AA14F1">
            <w:pPr>
              <w:pStyle w:val="TableText"/>
              <w:spacing w:before="40" w:after="40"/>
              <w:jc w:val="center"/>
              <w:rPr>
                <w:highlight w:val="yellow"/>
              </w:rPr>
            </w:pPr>
            <w:r w:rsidRPr="00256982">
              <w:t>65.0</w:t>
            </w:r>
          </w:p>
        </w:tc>
        <w:tc>
          <w:tcPr>
            <w:tcW w:w="1856" w:type="dxa"/>
            <w:tcBorders>
              <w:top w:val="single" w:sz="4" w:space="0" w:color="365F91"/>
              <w:bottom w:val="single" w:sz="4" w:space="0" w:color="365F91"/>
            </w:tcBorders>
          </w:tcPr>
          <w:p w14:paraId="12EE27EC" w14:textId="77777777" w:rsidR="00005A00" w:rsidRPr="00256982" w:rsidRDefault="00005A00" w:rsidP="00AA14F1">
            <w:pPr>
              <w:pStyle w:val="TableText"/>
              <w:spacing w:before="40" w:after="40"/>
              <w:jc w:val="center"/>
              <w:rPr>
                <w:highlight w:val="yellow"/>
              </w:rPr>
            </w:pPr>
            <w:r w:rsidRPr="00256982">
              <w:t>85.3</w:t>
            </w:r>
          </w:p>
        </w:tc>
        <w:tc>
          <w:tcPr>
            <w:tcW w:w="1856" w:type="dxa"/>
            <w:tcBorders>
              <w:top w:val="single" w:sz="4" w:space="0" w:color="365F91"/>
              <w:bottom w:val="single" w:sz="4" w:space="0" w:color="365F91"/>
            </w:tcBorders>
            <w:shd w:val="clear" w:color="auto" w:fill="auto"/>
          </w:tcPr>
          <w:p w14:paraId="557E335E" w14:textId="77777777" w:rsidR="00005A00" w:rsidRPr="00256982" w:rsidRDefault="00005A00" w:rsidP="00AA14F1">
            <w:pPr>
              <w:pStyle w:val="TableText"/>
              <w:spacing w:before="40" w:after="40"/>
              <w:jc w:val="center"/>
              <w:rPr>
                <w:highlight w:val="yellow"/>
              </w:rPr>
            </w:pPr>
            <w:r w:rsidRPr="00256982">
              <w:t>5.5</w:t>
            </w:r>
          </w:p>
        </w:tc>
        <w:tc>
          <w:tcPr>
            <w:tcW w:w="1857" w:type="dxa"/>
            <w:tcBorders>
              <w:top w:val="single" w:sz="4" w:space="0" w:color="365F91"/>
              <w:bottom w:val="single" w:sz="4" w:space="0" w:color="365F91"/>
            </w:tcBorders>
            <w:shd w:val="clear" w:color="auto" w:fill="auto"/>
          </w:tcPr>
          <w:p w14:paraId="6585848C" w14:textId="77777777" w:rsidR="00005A00" w:rsidRPr="00256982" w:rsidRDefault="00005A00" w:rsidP="00AA14F1">
            <w:pPr>
              <w:pStyle w:val="TableText"/>
              <w:spacing w:before="40" w:after="40"/>
              <w:jc w:val="center"/>
              <w:rPr>
                <w:highlight w:val="yellow"/>
              </w:rPr>
            </w:pPr>
            <w:r w:rsidRPr="00256982">
              <w:t>155.8</w:t>
            </w:r>
          </w:p>
        </w:tc>
      </w:tr>
      <w:tr w:rsidR="00005A00" w:rsidRPr="00256982" w14:paraId="7333261C" w14:textId="77777777" w:rsidTr="00AA14F1">
        <w:tc>
          <w:tcPr>
            <w:tcW w:w="1079" w:type="dxa"/>
            <w:tcBorders>
              <w:top w:val="single" w:sz="4" w:space="0" w:color="365F91"/>
              <w:bottom w:val="single" w:sz="4" w:space="0" w:color="365F91"/>
            </w:tcBorders>
          </w:tcPr>
          <w:p w14:paraId="4403A0BA" w14:textId="77777777" w:rsidR="00005A00" w:rsidRPr="00256982" w:rsidRDefault="00005A00" w:rsidP="00AA14F1">
            <w:pPr>
              <w:pStyle w:val="TableTextBold"/>
              <w:spacing w:before="40" w:after="40"/>
              <w:rPr>
                <w:noProof w:val="0"/>
              </w:rPr>
            </w:pPr>
            <w:r w:rsidRPr="00256982">
              <w:rPr>
                <w:noProof w:val="0"/>
              </w:rPr>
              <w:t>2003</w:t>
            </w:r>
          </w:p>
        </w:tc>
        <w:tc>
          <w:tcPr>
            <w:tcW w:w="1857" w:type="dxa"/>
            <w:tcBorders>
              <w:top w:val="single" w:sz="4" w:space="0" w:color="365F91"/>
              <w:bottom w:val="single" w:sz="4" w:space="0" w:color="365F91"/>
            </w:tcBorders>
            <w:shd w:val="clear" w:color="auto" w:fill="auto"/>
          </w:tcPr>
          <w:p w14:paraId="5A39EB3E" w14:textId="77777777" w:rsidR="00005A00" w:rsidRPr="00256982" w:rsidRDefault="00005A00" w:rsidP="00AA14F1">
            <w:pPr>
              <w:pStyle w:val="TableText"/>
              <w:spacing w:before="40" w:after="40"/>
              <w:jc w:val="center"/>
              <w:rPr>
                <w:highlight w:val="yellow"/>
              </w:rPr>
            </w:pPr>
            <w:r w:rsidRPr="00256982">
              <w:t>70.1</w:t>
            </w:r>
          </w:p>
        </w:tc>
        <w:tc>
          <w:tcPr>
            <w:tcW w:w="1856" w:type="dxa"/>
            <w:tcBorders>
              <w:top w:val="single" w:sz="4" w:space="0" w:color="365F91"/>
              <w:bottom w:val="single" w:sz="4" w:space="0" w:color="365F91"/>
            </w:tcBorders>
          </w:tcPr>
          <w:p w14:paraId="7B028409" w14:textId="77777777" w:rsidR="00005A00" w:rsidRPr="00256982" w:rsidRDefault="00005A00" w:rsidP="00AA14F1">
            <w:pPr>
              <w:pStyle w:val="TableText"/>
              <w:spacing w:before="40" w:after="40"/>
              <w:jc w:val="center"/>
              <w:rPr>
                <w:highlight w:val="yellow"/>
              </w:rPr>
            </w:pPr>
            <w:r w:rsidRPr="00256982">
              <w:t>85.1</w:t>
            </w:r>
          </w:p>
        </w:tc>
        <w:tc>
          <w:tcPr>
            <w:tcW w:w="1856" w:type="dxa"/>
            <w:tcBorders>
              <w:top w:val="single" w:sz="4" w:space="0" w:color="365F91"/>
              <w:bottom w:val="single" w:sz="4" w:space="0" w:color="365F91"/>
            </w:tcBorders>
            <w:shd w:val="clear" w:color="auto" w:fill="auto"/>
          </w:tcPr>
          <w:p w14:paraId="2A90374B" w14:textId="77777777" w:rsidR="00005A00" w:rsidRPr="00256982" w:rsidRDefault="00005A00" w:rsidP="00AA14F1">
            <w:pPr>
              <w:pStyle w:val="TableText"/>
              <w:spacing w:before="40" w:after="40"/>
              <w:jc w:val="center"/>
              <w:rPr>
                <w:highlight w:val="yellow"/>
              </w:rPr>
            </w:pPr>
            <w:r w:rsidRPr="00256982">
              <w:t>5.0</w:t>
            </w:r>
          </w:p>
        </w:tc>
        <w:tc>
          <w:tcPr>
            <w:tcW w:w="1857" w:type="dxa"/>
            <w:tcBorders>
              <w:top w:val="single" w:sz="4" w:space="0" w:color="365F91"/>
              <w:bottom w:val="single" w:sz="4" w:space="0" w:color="365F91"/>
            </w:tcBorders>
            <w:shd w:val="clear" w:color="auto" w:fill="auto"/>
          </w:tcPr>
          <w:p w14:paraId="79A612FB" w14:textId="77777777" w:rsidR="00005A00" w:rsidRPr="00256982" w:rsidRDefault="00005A00" w:rsidP="00AA14F1">
            <w:pPr>
              <w:pStyle w:val="TableText"/>
              <w:spacing w:before="40" w:after="40"/>
              <w:jc w:val="center"/>
              <w:rPr>
                <w:highlight w:val="yellow"/>
              </w:rPr>
            </w:pPr>
            <w:r w:rsidRPr="00256982">
              <w:t>160.2</w:t>
            </w:r>
          </w:p>
        </w:tc>
      </w:tr>
      <w:tr w:rsidR="00005A00" w:rsidRPr="00256982" w14:paraId="414DEB78" w14:textId="77777777" w:rsidTr="00AA14F1">
        <w:tc>
          <w:tcPr>
            <w:tcW w:w="1079" w:type="dxa"/>
            <w:tcBorders>
              <w:top w:val="single" w:sz="4" w:space="0" w:color="365F91"/>
              <w:bottom w:val="single" w:sz="4" w:space="0" w:color="365F91"/>
            </w:tcBorders>
          </w:tcPr>
          <w:p w14:paraId="0C49F4FD" w14:textId="77777777" w:rsidR="00005A00" w:rsidRPr="00256982" w:rsidRDefault="00005A00" w:rsidP="00AA14F1">
            <w:pPr>
              <w:pStyle w:val="TableTextBold"/>
              <w:spacing w:before="40" w:after="40"/>
              <w:rPr>
                <w:noProof w:val="0"/>
              </w:rPr>
            </w:pPr>
            <w:r w:rsidRPr="00256982">
              <w:rPr>
                <w:noProof w:val="0"/>
              </w:rPr>
              <w:t>2004</w:t>
            </w:r>
          </w:p>
        </w:tc>
        <w:tc>
          <w:tcPr>
            <w:tcW w:w="1857" w:type="dxa"/>
            <w:tcBorders>
              <w:top w:val="single" w:sz="4" w:space="0" w:color="365F91"/>
              <w:bottom w:val="single" w:sz="4" w:space="0" w:color="365F91"/>
            </w:tcBorders>
            <w:shd w:val="clear" w:color="auto" w:fill="auto"/>
          </w:tcPr>
          <w:p w14:paraId="0C484848" w14:textId="77777777" w:rsidR="00005A00" w:rsidRPr="00256982" w:rsidRDefault="00005A00" w:rsidP="00AA14F1">
            <w:pPr>
              <w:pStyle w:val="TableText"/>
              <w:spacing w:before="40" w:after="40"/>
              <w:jc w:val="center"/>
              <w:rPr>
                <w:highlight w:val="yellow"/>
              </w:rPr>
            </w:pPr>
            <w:r w:rsidRPr="00256982">
              <w:t>73.8</w:t>
            </w:r>
          </w:p>
        </w:tc>
        <w:tc>
          <w:tcPr>
            <w:tcW w:w="1856" w:type="dxa"/>
            <w:tcBorders>
              <w:top w:val="single" w:sz="4" w:space="0" w:color="365F91"/>
              <w:bottom w:val="single" w:sz="4" w:space="0" w:color="365F91"/>
            </w:tcBorders>
          </w:tcPr>
          <w:p w14:paraId="4C09B8BD" w14:textId="77777777" w:rsidR="00005A00" w:rsidRPr="00256982" w:rsidRDefault="00005A00" w:rsidP="00AA14F1">
            <w:pPr>
              <w:pStyle w:val="TableText"/>
              <w:spacing w:before="40" w:after="40"/>
              <w:jc w:val="center"/>
              <w:rPr>
                <w:highlight w:val="yellow"/>
              </w:rPr>
            </w:pPr>
            <w:r w:rsidRPr="00256982">
              <w:t>83.1</w:t>
            </w:r>
          </w:p>
        </w:tc>
        <w:tc>
          <w:tcPr>
            <w:tcW w:w="1856" w:type="dxa"/>
            <w:tcBorders>
              <w:top w:val="single" w:sz="4" w:space="0" w:color="365F91"/>
              <w:bottom w:val="single" w:sz="4" w:space="0" w:color="365F91"/>
            </w:tcBorders>
            <w:shd w:val="clear" w:color="auto" w:fill="auto"/>
          </w:tcPr>
          <w:p w14:paraId="2C01088C" w14:textId="77777777" w:rsidR="00005A00" w:rsidRPr="00256982" w:rsidRDefault="00005A00" w:rsidP="00AA14F1">
            <w:pPr>
              <w:pStyle w:val="TableText"/>
              <w:spacing w:before="40" w:after="40"/>
              <w:jc w:val="center"/>
              <w:rPr>
                <w:highlight w:val="yellow"/>
              </w:rPr>
            </w:pPr>
            <w:r w:rsidRPr="00256982">
              <w:t>6.1</w:t>
            </w:r>
          </w:p>
        </w:tc>
        <w:tc>
          <w:tcPr>
            <w:tcW w:w="1857" w:type="dxa"/>
            <w:tcBorders>
              <w:top w:val="single" w:sz="4" w:space="0" w:color="365F91"/>
              <w:bottom w:val="single" w:sz="4" w:space="0" w:color="365F91"/>
            </w:tcBorders>
            <w:shd w:val="clear" w:color="auto" w:fill="auto"/>
          </w:tcPr>
          <w:p w14:paraId="3EB1AD30" w14:textId="77777777" w:rsidR="00005A00" w:rsidRPr="00256982" w:rsidRDefault="00005A00" w:rsidP="00AA14F1">
            <w:pPr>
              <w:pStyle w:val="TableText"/>
              <w:spacing w:before="40" w:after="40"/>
              <w:jc w:val="center"/>
              <w:rPr>
                <w:highlight w:val="yellow"/>
              </w:rPr>
            </w:pPr>
            <w:r w:rsidRPr="00256982">
              <w:t>163.1</w:t>
            </w:r>
          </w:p>
        </w:tc>
      </w:tr>
      <w:tr w:rsidR="00005A00" w:rsidRPr="00256982" w14:paraId="2A931202" w14:textId="77777777" w:rsidTr="00AA14F1">
        <w:tc>
          <w:tcPr>
            <w:tcW w:w="1079" w:type="dxa"/>
            <w:tcBorders>
              <w:top w:val="single" w:sz="4" w:space="0" w:color="365F91"/>
              <w:bottom w:val="single" w:sz="4" w:space="0" w:color="365F91"/>
            </w:tcBorders>
          </w:tcPr>
          <w:p w14:paraId="654F3D0C" w14:textId="77777777" w:rsidR="00005A00" w:rsidRPr="00256982" w:rsidRDefault="00005A00" w:rsidP="00AA14F1">
            <w:pPr>
              <w:pStyle w:val="TableTextBold"/>
              <w:spacing w:before="40" w:after="40"/>
              <w:rPr>
                <w:noProof w:val="0"/>
              </w:rPr>
            </w:pPr>
            <w:r w:rsidRPr="00256982">
              <w:rPr>
                <w:noProof w:val="0"/>
              </w:rPr>
              <w:t>2005</w:t>
            </w:r>
          </w:p>
        </w:tc>
        <w:tc>
          <w:tcPr>
            <w:tcW w:w="1857" w:type="dxa"/>
            <w:tcBorders>
              <w:top w:val="single" w:sz="4" w:space="0" w:color="365F91"/>
              <w:bottom w:val="single" w:sz="4" w:space="0" w:color="365F91"/>
            </w:tcBorders>
            <w:shd w:val="clear" w:color="auto" w:fill="auto"/>
          </w:tcPr>
          <w:p w14:paraId="2BE5E920" w14:textId="77777777" w:rsidR="00005A00" w:rsidRPr="00256982" w:rsidRDefault="00005A00" w:rsidP="00AA14F1">
            <w:pPr>
              <w:pStyle w:val="TableText"/>
              <w:spacing w:before="40" w:after="40"/>
              <w:jc w:val="center"/>
              <w:rPr>
                <w:highlight w:val="yellow"/>
              </w:rPr>
            </w:pPr>
            <w:r w:rsidRPr="00256982">
              <w:t>72.6</w:t>
            </w:r>
          </w:p>
        </w:tc>
        <w:tc>
          <w:tcPr>
            <w:tcW w:w="1856" w:type="dxa"/>
            <w:tcBorders>
              <w:top w:val="single" w:sz="4" w:space="0" w:color="365F91"/>
              <w:bottom w:val="single" w:sz="4" w:space="0" w:color="365F91"/>
            </w:tcBorders>
          </w:tcPr>
          <w:p w14:paraId="2E2D3C74" w14:textId="77777777" w:rsidR="00005A00" w:rsidRPr="00256982" w:rsidRDefault="00005A00" w:rsidP="00AA14F1">
            <w:pPr>
              <w:pStyle w:val="TableText"/>
              <w:spacing w:before="40" w:after="40"/>
              <w:jc w:val="center"/>
              <w:rPr>
                <w:highlight w:val="yellow"/>
              </w:rPr>
            </w:pPr>
            <w:r w:rsidRPr="00256982">
              <w:t>90.3</w:t>
            </w:r>
          </w:p>
        </w:tc>
        <w:tc>
          <w:tcPr>
            <w:tcW w:w="1856" w:type="dxa"/>
            <w:tcBorders>
              <w:top w:val="single" w:sz="4" w:space="0" w:color="365F91"/>
              <w:bottom w:val="single" w:sz="4" w:space="0" w:color="365F91"/>
            </w:tcBorders>
            <w:shd w:val="clear" w:color="auto" w:fill="auto"/>
          </w:tcPr>
          <w:p w14:paraId="18750117" w14:textId="77777777" w:rsidR="00005A00" w:rsidRPr="00256982" w:rsidRDefault="00005A00" w:rsidP="00AA14F1">
            <w:pPr>
              <w:pStyle w:val="TableText"/>
              <w:spacing w:before="40" w:after="40"/>
              <w:jc w:val="center"/>
              <w:rPr>
                <w:highlight w:val="yellow"/>
              </w:rPr>
            </w:pPr>
            <w:r w:rsidRPr="00256982">
              <w:t>5.9</w:t>
            </w:r>
          </w:p>
        </w:tc>
        <w:tc>
          <w:tcPr>
            <w:tcW w:w="1857" w:type="dxa"/>
            <w:tcBorders>
              <w:top w:val="single" w:sz="4" w:space="0" w:color="365F91"/>
              <w:bottom w:val="single" w:sz="4" w:space="0" w:color="365F91"/>
            </w:tcBorders>
            <w:shd w:val="clear" w:color="auto" w:fill="auto"/>
          </w:tcPr>
          <w:p w14:paraId="5BB785C1" w14:textId="77777777" w:rsidR="00005A00" w:rsidRPr="00256982" w:rsidRDefault="00005A00" w:rsidP="00AA14F1">
            <w:pPr>
              <w:pStyle w:val="TableText"/>
              <w:spacing w:before="40" w:after="40"/>
              <w:jc w:val="center"/>
              <w:rPr>
                <w:highlight w:val="yellow"/>
              </w:rPr>
            </w:pPr>
            <w:r w:rsidRPr="00256982">
              <w:t>168.8</w:t>
            </w:r>
          </w:p>
        </w:tc>
      </w:tr>
      <w:tr w:rsidR="00005A00" w:rsidRPr="00256982" w14:paraId="7840FBE0" w14:textId="77777777" w:rsidTr="00AA14F1">
        <w:tc>
          <w:tcPr>
            <w:tcW w:w="1079" w:type="dxa"/>
            <w:tcBorders>
              <w:top w:val="single" w:sz="4" w:space="0" w:color="365F91"/>
              <w:bottom w:val="single" w:sz="4" w:space="0" w:color="365F91"/>
            </w:tcBorders>
          </w:tcPr>
          <w:p w14:paraId="6726A8D9" w14:textId="77777777" w:rsidR="00005A00" w:rsidRPr="00256982" w:rsidRDefault="00005A00" w:rsidP="00AA14F1">
            <w:pPr>
              <w:pStyle w:val="TableTextBold"/>
              <w:spacing w:before="40" w:after="40"/>
              <w:rPr>
                <w:noProof w:val="0"/>
              </w:rPr>
            </w:pPr>
            <w:r w:rsidRPr="00256982">
              <w:rPr>
                <w:noProof w:val="0"/>
              </w:rPr>
              <w:t>2006</w:t>
            </w:r>
          </w:p>
        </w:tc>
        <w:tc>
          <w:tcPr>
            <w:tcW w:w="1857" w:type="dxa"/>
            <w:tcBorders>
              <w:top w:val="single" w:sz="4" w:space="0" w:color="365F91"/>
              <w:bottom w:val="single" w:sz="4" w:space="0" w:color="365F91"/>
            </w:tcBorders>
            <w:shd w:val="clear" w:color="auto" w:fill="auto"/>
          </w:tcPr>
          <w:p w14:paraId="512869AB" w14:textId="77777777" w:rsidR="00005A00" w:rsidRPr="00256982" w:rsidRDefault="00005A00" w:rsidP="00AA14F1">
            <w:pPr>
              <w:pStyle w:val="TableText"/>
              <w:spacing w:before="40" w:after="40"/>
              <w:jc w:val="center"/>
              <w:rPr>
                <w:highlight w:val="yellow"/>
              </w:rPr>
            </w:pPr>
            <w:r w:rsidRPr="00256982">
              <w:t>71.3</w:t>
            </w:r>
          </w:p>
        </w:tc>
        <w:tc>
          <w:tcPr>
            <w:tcW w:w="1856" w:type="dxa"/>
            <w:tcBorders>
              <w:top w:val="single" w:sz="4" w:space="0" w:color="365F91"/>
              <w:bottom w:val="single" w:sz="4" w:space="0" w:color="365F91"/>
            </w:tcBorders>
          </w:tcPr>
          <w:p w14:paraId="166AA0FC" w14:textId="77777777" w:rsidR="00005A00" w:rsidRPr="00256982" w:rsidRDefault="00005A00" w:rsidP="00AA14F1">
            <w:pPr>
              <w:pStyle w:val="TableText"/>
              <w:spacing w:before="40" w:after="40"/>
              <w:jc w:val="center"/>
              <w:rPr>
                <w:highlight w:val="yellow"/>
              </w:rPr>
            </w:pPr>
            <w:r w:rsidRPr="00256982">
              <w:t>90.1</w:t>
            </w:r>
          </w:p>
        </w:tc>
        <w:tc>
          <w:tcPr>
            <w:tcW w:w="1856" w:type="dxa"/>
            <w:tcBorders>
              <w:top w:val="single" w:sz="4" w:space="0" w:color="365F91"/>
              <w:bottom w:val="single" w:sz="4" w:space="0" w:color="365F91"/>
            </w:tcBorders>
            <w:shd w:val="clear" w:color="auto" w:fill="auto"/>
          </w:tcPr>
          <w:p w14:paraId="13AEB18D" w14:textId="77777777" w:rsidR="00005A00" w:rsidRPr="00256982" w:rsidRDefault="00005A00" w:rsidP="00AA14F1">
            <w:pPr>
              <w:pStyle w:val="TableText"/>
              <w:spacing w:before="40" w:after="40"/>
              <w:jc w:val="center"/>
              <w:rPr>
                <w:highlight w:val="yellow"/>
              </w:rPr>
            </w:pPr>
            <w:r w:rsidRPr="00256982">
              <w:t>6.4</w:t>
            </w:r>
          </w:p>
        </w:tc>
        <w:tc>
          <w:tcPr>
            <w:tcW w:w="1857" w:type="dxa"/>
            <w:tcBorders>
              <w:top w:val="single" w:sz="4" w:space="0" w:color="365F91"/>
              <w:bottom w:val="single" w:sz="4" w:space="0" w:color="365F91"/>
            </w:tcBorders>
            <w:shd w:val="clear" w:color="auto" w:fill="auto"/>
          </w:tcPr>
          <w:p w14:paraId="2FDE2512" w14:textId="77777777" w:rsidR="00005A00" w:rsidRPr="00256982" w:rsidRDefault="00005A00" w:rsidP="00AA14F1">
            <w:pPr>
              <w:pStyle w:val="TableText"/>
              <w:spacing w:before="40" w:after="40"/>
              <w:jc w:val="center"/>
              <w:rPr>
                <w:highlight w:val="yellow"/>
              </w:rPr>
            </w:pPr>
            <w:r w:rsidRPr="00256982">
              <w:t>167.8</w:t>
            </w:r>
          </w:p>
        </w:tc>
      </w:tr>
      <w:tr w:rsidR="00005A00" w:rsidRPr="00256982" w14:paraId="1A5E9293" w14:textId="77777777" w:rsidTr="00AA14F1">
        <w:tc>
          <w:tcPr>
            <w:tcW w:w="1079" w:type="dxa"/>
            <w:tcBorders>
              <w:top w:val="single" w:sz="4" w:space="0" w:color="365F91"/>
              <w:bottom w:val="single" w:sz="4" w:space="0" w:color="365F91"/>
            </w:tcBorders>
          </w:tcPr>
          <w:p w14:paraId="700BC67E" w14:textId="77777777" w:rsidR="00005A00" w:rsidRPr="00256982" w:rsidRDefault="00005A00" w:rsidP="00AA14F1">
            <w:pPr>
              <w:pStyle w:val="TableTextBold"/>
              <w:spacing w:before="40" w:after="40"/>
              <w:rPr>
                <w:noProof w:val="0"/>
              </w:rPr>
            </w:pPr>
            <w:r w:rsidRPr="00256982">
              <w:rPr>
                <w:noProof w:val="0"/>
              </w:rPr>
              <w:t>2007</w:t>
            </w:r>
          </w:p>
        </w:tc>
        <w:tc>
          <w:tcPr>
            <w:tcW w:w="1857" w:type="dxa"/>
            <w:tcBorders>
              <w:top w:val="single" w:sz="4" w:space="0" w:color="365F91"/>
              <w:bottom w:val="single" w:sz="4" w:space="0" w:color="365F91"/>
            </w:tcBorders>
            <w:shd w:val="clear" w:color="auto" w:fill="auto"/>
          </w:tcPr>
          <w:p w14:paraId="0ECAD560" w14:textId="77777777" w:rsidR="00005A00" w:rsidRPr="00256982" w:rsidRDefault="00005A00" w:rsidP="00AA14F1">
            <w:pPr>
              <w:pStyle w:val="TableText"/>
              <w:spacing w:before="40" w:after="40"/>
              <w:jc w:val="center"/>
              <w:rPr>
                <w:highlight w:val="yellow"/>
              </w:rPr>
            </w:pPr>
            <w:r w:rsidRPr="00256982">
              <w:t>72.5</w:t>
            </w:r>
          </w:p>
        </w:tc>
        <w:tc>
          <w:tcPr>
            <w:tcW w:w="1856" w:type="dxa"/>
            <w:tcBorders>
              <w:top w:val="single" w:sz="4" w:space="0" w:color="365F91"/>
              <w:bottom w:val="single" w:sz="4" w:space="0" w:color="365F91"/>
            </w:tcBorders>
          </w:tcPr>
          <w:p w14:paraId="16687242" w14:textId="77777777" w:rsidR="00005A00" w:rsidRPr="00256982" w:rsidRDefault="00005A00" w:rsidP="00AA14F1">
            <w:pPr>
              <w:pStyle w:val="TableText"/>
              <w:spacing w:before="40" w:after="40"/>
              <w:jc w:val="center"/>
              <w:rPr>
                <w:highlight w:val="yellow"/>
              </w:rPr>
            </w:pPr>
            <w:r w:rsidRPr="00256982">
              <w:t>86.4</w:t>
            </w:r>
          </w:p>
        </w:tc>
        <w:tc>
          <w:tcPr>
            <w:tcW w:w="1856" w:type="dxa"/>
            <w:tcBorders>
              <w:top w:val="single" w:sz="4" w:space="0" w:color="365F91"/>
              <w:bottom w:val="single" w:sz="4" w:space="0" w:color="365F91"/>
            </w:tcBorders>
            <w:shd w:val="clear" w:color="auto" w:fill="auto"/>
          </w:tcPr>
          <w:p w14:paraId="3FF41229" w14:textId="77777777" w:rsidR="00005A00" w:rsidRPr="00256982" w:rsidRDefault="00005A00" w:rsidP="00AA14F1">
            <w:pPr>
              <w:pStyle w:val="TableText"/>
              <w:spacing w:before="40" w:after="40"/>
              <w:jc w:val="center"/>
              <w:rPr>
                <w:highlight w:val="yellow"/>
              </w:rPr>
            </w:pPr>
            <w:r w:rsidRPr="00256982">
              <w:t>6.7</w:t>
            </w:r>
          </w:p>
        </w:tc>
        <w:tc>
          <w:tcPr>
            <w:tcW w:w="1857" w:type="dxa"/>
            <w:tcBorders>
              <w:top w:val="single" w:sz="4" w:space="0" w:color="365F91"/>
              <w:bottom w:val="single" w:sz="4" w:space="0" w:color="365F91"/>
            </w:tcBorders>
            <w:shd w:val="clear" w:color="auto" w:fill="auto"/>
          </w:tcPr>
          <w:p w14:paraId="116993FA" w14:textId="77777777" w:rsidR="00005A00" w:rsidRPr="00256982" w:rsidRDefault="00005A00" w:rsidP="00AA14F1">
            <w:pPr>
              <w:pStyle w:val="TableText"/>
              <w:spacing w:before="40" w:after="40"/>
              <w:jc w:val="center"/>
              <w:rPr>
                <w:highlight w:val="yellow"/>
              </w:rPr>
            </w:pPr>
            <w:r w:rsidRPr="00256982">
              <w:t>165.7</w:t>
            </w:r>
          </w:p>
        </w:tc>
      </w:tr>
      <w:tr w:rsidR="00005A00" w:rsidRPr="00256982" w14:paraId="4DF9BB4B" w14:textId="77777777" w:rsidTr="00AA14F1">
        <w:tc>
          <w:tcPr>
            <w:tcW w:w="1079" w:type="dxa"/>
            <w:tcBorders>
              <w:top w:val="single" w:sz="4" w:space="0" w:color="365F91"/>
              <w:bottom w:val="single" w:sz="4" w:space="0" w:color="365F91"/>
            </w:tcBorders>
          </w:tcPr>
          <w:p w14:paraId="3929C015" w14:textId="77777777" w:rsidR="00005A00" w:rsidRPr="00256982" w:rsidRDefault="00005A00" w:rsidP="00AA14F1">
            <w:pPr>
              <w:pStyle w:val="TableTextBold"/>
              <w:spacing w:before="40" w:after="40"/>
              <w:rPr>
                <w:noProof w:val="0"/>
              </w:rPr>
            </w:pPr>
            <w:r w:rsidRPr="00256982">
              <w:rPr>
                <w:noProof w:val="0"/>
              </w:rPr>
              <w:t>2008</w:t>
            </w:r>
          </w:p>
        </w:tc>
        <w:tc>
          <w:tcPr>
            <w:tcW w:w="1857" w:type="dxa"/>
            <w:tcBorders>
              <w:top w:val="single" w:sz="4" w:space="0" w:color="365F91"/>
              <w:bottom w:val="single" w:sz="4" w:space="0" w:color="365F91"/>
            </w:tcBorders>
            <w:shd w:val="clear" w:color="auto" w:fill="auto"/>
          </w:tcPr>
          <w:p w14:paraId="11BAC5B1" w14:textId="77777777" w:rsidR="00005A00" w:rsidRPr="00256982" w:rsidRDefault="00005A00" w:rsidP="00AA14F1">
            <w:pPr>
              <w:pStyle w:val="TableText"/>
              <w:spacing w:before="40" w:after="40"/>
              <w:jc w:val="center"/>
              <w:rPr>
                <w:highlight w:val="yellow"/>
              </w:rPr>
            </w:pPr>
            <w:r w:rsidRPr="00256982">
              <w:t>72.8</w:t>
            </w:r>
          </w:p>
        </w:tc>
        <w:tc>
          <w:tcPr>
            <w:tcW w:w="1856" w:type="dxa"/>
            <w:tcBorders>
              <w:top w:val="single" w:sz="4" w:space="0" w:color="365F91"/>
              <w:bottom w:val="single" w:sz="4" w:space="0" w:color="365F91"/>
            </w:tcBorders>
          </w:tcPr>
          <w:p w14:paraId="453EC588" w14:textId="77777777" w:rsidR="00005A00" w:rsidRPr="00256982" w:rsidRDefault="00005A00" w:rsidP="00AA14F1">
            <w:pPr>
              <w:pStyle w:val="TableText"/>
              <w:spacing w:before="40" w:after="40"/>
              <w:jc w:val="center"/>
              <w:rPr>
                <w:highlight w:val="yellow"/>
              </w:rPr>
            </w:pPr>
            <w:r w:rsidRPr="00256982">
              <w:t>87.0</w:t>
            </w:r>
          </w:p>
        </w:tc>
        <w:tc>
          <w:tcPr>
            <w:tcW w:w="1856" w:type="dxa"/>
            <w:tcBorders>
              <w:top w:val="single" w:sz="4" w:space="0" w:color="365F91"/>
              <w:bottom w:val="single" w:sz="4" w:space="0" w:color="365F91"/>
            </w:tcBorders>
            <w:shd w:val="clear" w:color="auto" w:fill="auto"/>
          </w:tcPr>
          <w:p w14:paraId="142CCF05" w14:textId="77777777" w:rsidR="00005A00" w:rsidRPr="00256982" w:rsidRDefault="00005A00" w:rsidP="00AA14F1">
            <w:pPr>
              <w:pStyle w:val="TableText"/>
              <w:spacing w:before="40" w:after="40"/>
              <w:jc w:val="center"/>
              <w:rPr>
                <w:highlight w:val="yellow"/>
              </w:rPr>
            </w:pPr>
            <w:r w:rsidRPr="00256982">
              <w:t>7.7</w:t>
            </w:r>
          </w:p>
        </w:tc>
        <w:tc>
          <w:tcPr>
            <w:tcW w:w="1857" w:type="dxa"/>
            <w:tcBorders>
              <w:top w:val="single" w:sz="4" w:space="0" w:color="365F91"/>
              <w:bottom w:val="single" w:sz="4" w:space="0" w:color="365F91"/>
            </w:tcBorders>
            <w:shd w:val="clear" w:color="auto" w:fill="auto"/>
          </w:tcPr>
          <w:p w14:paraId="160EB9C7" w14:textId="77777777" w:rsidR="00005A00" w:rsidRPr="00256982" w:rsidRDefault="00005A00" w:rsidP="00AA14F1">
            <w:pPr>
              <w:pStyle w:val="TableText"/>
              <w:spacing w:before="40" w:after="40"/>
              <w:jc w:val="center"/>
              <w:rPr>
                <w:highlight w:val="yellow"/>
              </w:rPr>
            </w:pPr>
            <w:r w:rsidRPr="00256982">
              <w:t>167.5</w:t>
            </w:r>
          </w:p>
        </w:tc>
      </w:tr>
      <w:tr w:rsidR="00005A00" w:rsidRPr="00256982" w14:paraId="3217A4D9" w14:textId="77777777" w:rsidTr="00AA14F1">
        <w:tc>
          <w:tcPr>
            <w:tcW w:w="1079" w:type="dxa"/>
            <w:tcBorders>
              <w:top w:val="single" w:sz="4" w:space="0" w:color="365F91"/>
              <w:bottom w:val="single" w:sz="4" w:space="0" w:color="365F91"/>
            </w:tcBorders>
          </w:tcPr>
          <w:p w14:paraId="00930856" w14:textId="77777777" w:rsidR="00005A00" w:rsidRPr="00256982" w:rsidRDefault="00005A00" w:rsidP="00AA14F1">
            <w:pPr>
              <w:pStyle w:val="TableTextBold"/>
              <w:spacing w:before="40" w:after="40"/>
              <w:rPr>
                <w:noProof w:val="0"/>
              </w:rPr>
            </w:pPr>
            <w:r w:rsidRPr="00256982">
              <w:rPr>
                <w:noProof w:val="0"/>
              </w:rPr>
              <w:t>2009</w:t>
            </w:r>
          </w:p>
        </w:tc>
        <w:tc>
          <w:tcPr>
            <w:tcW w:w="1857" w:type="dxa"/>
            <w:tcBorders>
              <w:top w:val="single" w:sz="4" w:space="0" w:color="365F91"/>
              <w:bottom w:val="single" w:sz="4" w:space="0" w:color="365F91"/>
            </w:tcBorders>
            <w:shd w:val="clear" w:color="auto" w:fill="auto"/>
          </w:tcPr>
          <w:p w14:paraId="23B387C9" w14:textId="77777777" w:rsidR="00005A00" w:rsidRPr="00256982" w:rsidRDefault="00005A00" w:rsidP="00AA14F1">
            <w:pPr>
              <w:pStyle w:val="TableText"/>
              <w:spacing w:before="40" w:after="40"/>
              <w:jc w:val="center"/>
              <w:rPr>
                <w:highlight w:val="yellow"/>
              </w:rPr>
            </w:pPr>
            <w:r w:rsidRPr="00256982">
              <w:t>68.3</w:t>
            </w:r>
          </w:p>
        </w:tc>
        <w:tc>
          <w:tcPr>
            <w:tcW w:w="1856" w:type="dxa"/>
            <w:tcBorders>
              <w:top w:val="single" w:sz="4" w:space="0" w:color="365F91"/>
              <w:bottom w:val="single" w:sz="4" w:space="0" w:color="365F91"/>
            </w:tcBorders>
          </w:tcPr>
          <w:p w14:paraId="396CFADE" w14:textId="77777777" w:rsidR="00005A00" w:rsidRPr="00256982" w:rsidRDefault="00005A00" w:rsidP="00AA14F1">
            <w:pPr>
              <w:pStyle w:val="TableText"/>
              <w:spacing w:before="40" w:after="40"/>
              <w:jc w:val="center"/>
              <w:rPr>
                <w:highlight w:val="yellow"/>
              </w:rPr>
            </w:pPr>
            <w:r w:rsidRPr="00256982">
              <w:t>85.7</w:t>
            </w:r>
          </w:p>
        </w:tc>
        <w:tc>
          <w:tcPr>
            <w:tcW w:w="1856" w:type="dxa"/>
            <w:tcBorders>
              <w:top w:val="single" w:sz="4" w:space="0" w:color="365F91"/>
              <w:bottom w:val="single" w:sz="4" w:space="0" w:color="365F91"/>
            </w:tcBorders>
            <w:shd w:val="clear" w:color="auto" w:fill="auto"/>
          </w:tcPr>
          <w:p w14:paraId="24E0FB9E" w14:textId="77777777" w:rsidR="00005A00" w:rsidRPr="00256982" w:rsidRDefault="00005A00" w:rsidP="00AA14F1">
            <w:pPr>
              <w:pStyle w:val="TableText"/>
              <w:spacing w:before="40" w:after="40"/>
              <w:jc w:val="center"/>
              <w:rPr>
                <w:highlight w:val="yellow"/>
              </w:rPr>
            </w:pPr>
            <w:r w:rsidRPr="00256982">
              <w:t>7.7</w:t>
            </w:r>
          </w:p>
        </w:tc>
        <w:tc>
          <w:tcPr>
            <w:tcW w:w="1857" w:type="dxa"/>
            <w:tcBorders>
              <w:top w:val="single" w:sz="4" w:space="0" w:color="365F91"/>
              <w:bottom w:val="single" w:sz="4" w:space="0" w:color="365F91"/>
            </w:tcBorders>
            <w:shd w:val="clear" w:color="auto" w:fill="auto"/>
          </w:tcPr>
          <w:p w14:paraId="662199D6" w14:textId="77777777" w:rsidR="00005A00" w:rsidRPr="00256982" w:rsidRDefault="00005A00" w:rsidP="00AA14F1">
            <w:pPr>
              <w:pStyle w:val="TableText"/>
              <w:spacing w:before="40" w:after="40"/>
              <w:jc w:val="center"/>
              <w:rPr>
                <w:highlight w:val="yellow"/>
              </w:rPr>
            </w:pPr>
            <w:r w:rsidRPr="00256982">
              <w:t>161.7</w:t>
            </w:r>
          </w:p>
        </w:tc>
      </w:tr>
      <w:tr w:rsidR="00005A00" w:rsidRPr="00256982" w14:paraId="653BF18D" w14:textId="77777777" w:rsidTr="00AA14F1">
        <w:tc>
          <w:tcPr>
            <w:tcW w:w="1079" w:type="dxa"/>
            <w:tcBorders>
              <w:top w:val="single" w:sz="4" w:space="0" w:color="365F91"/>
              <w:bottom w:val="single" w:sz="4" w:space="0" w:color="365F91"/>
            </w:tcBorders>
          </w:tcPr>
          <w:p w14:paraId="501BE735" w14:textId="77777777" w:rsidR="00005A00" w:rsidRPr="00256982" w:rsidRDefault="00005A00" w:rsidP="00AA14F1">
            <w:pPr>
              <w:pStyle w:val="TableTextBold"/>
              <w:spacing w:before="40" w:after="40"/>
              <w:rPr>
                <w:noProof w:val="0"/>
              </w:rPr>
            </w:pPr>
            <w:r w:rsidRPr="00256982">
              <w:rPr>
                <w:noProof w:val="0"/>
              </w:rPr>
              <w:t>2010</w:t>
            </w:r>
          </w:p>
        </w:tc>
        <w:tc>
          <w:tcPr>
            <w:tcW w:w="1857" w:type="dxa"/>
            <w:tcBorders>
              <w:top w:val="single" w:sz="4" w:space="0" w:color="365F91"/>
              <w:bottom w:val="single" w:sz="4" w:space="0" w:color="365F91"/>
            </w:tcBorders>
            <w:shd w:val="clear" w:color="auto" w:fill="auto"/>
          </w:tcPr>
          <w:p w14:paraId="5981B5F1" w14:textId="77777777" w:rsidR="00005A00" w:rsidRPr="00256982" w:rsidRDefault="00005A00" w:rsidP="00AA14F1">
            <w:pPr>
              <w:pStyle w:val="TableText"/>
              <w:spacing w:before="40" w:after="40"/>
              <w:jc w:val="center"/>
              <w:rPr>
                <w:highlight w:val="yellow"/>
              </w:rPr>
            </w:pPr>
            <w:r w:rsidRPr="00256982">
              <w:t>66.6</w:t>
            </w:r>
          </w:p>
        </w:tc>
        <w:tc>
          <w:tcPr>
            <w:tcW w:w="1856" w:type="dxa"/>
            <w:tcBorders>
              <w:top w:val="single" w:sz="4" w:space="0" w:color="365F91"/>
              <w:bottom w:val="single" w:sz="4" w:space="0" w:color="365F91"/>
            </w:tcBorders>
          </w:tcPr>
          <w:p w14:paraId="602DC8A6" w14:textId="77777777" w:rsidR="00005A00" w:rsidRPr="00256982" w:rsidRDefault="00005A00" w:rsidP="00AA14F1">
            <w:pPr>
              <w:pStyle w:val="TableText"/>
              <w:spacing w:before="40" w:after="40"/>
              <w:jc w:val="center"/>
              <w:rPr>
                <w:highlight w:val="yellow"/>
              </w:rPr>
            </w:pPr>
            <w:r w:rsidRPr="00256982">
              <w:t>87.6</w:t>
            </w:r>
          </w:p>
        </w:tc>
        <w:tc>
          <w:tcPr>
            <w:tcW w:w="1856" w:type="dxa"/>
            <w:tcBorders>
              <w:top w:val="single" w:sz="4" w:space="0" w:color="365F91"/>
              <w:bottom w:val="single" w:sz="4" w:space="0" w:color="365F91"/>
            </w:tcBorders>
            <w:shd w:val="clear" w:color="auto" w:fill="auto"/>
          </w:tcPr>
          <w:p w14:paraId="577769EF" w14:textId="77777777" w:rsidR="00005A00" w:rsidRPr="00256982" w:rsidRDefault="00005A00" w:rsidP="00AA14F1">
            <w:pPr>
              <w:pStyle w:val="TableText"/>
              <w:spacing w:before="40" w:after="40"/>
              <w:jc w:val="center"/>
              <w:rPr>
                <w:highlight w:val="yellow"/>
              </w:rPr>
            </w:pPr>
            <w:r w:rsidRPr="00256982">
              <w:t>7.5</w:t>
            </w:r>
          </w:p>
        </w:tc>
        <w:tc>
          <w:tcPr>
            <w:tcW w:w="1857" w:type="dxa"/>
            <w:tcBorders>
              <w:top w:val="single" w:sz="4" w:space="0" w:color="365F91"/>
              <w:bottom w:val="single" w:sz="4" w:space="0" w:color="365F91"/>
            </w:tcBorders>
            <w:shd w:val="clear" w:color="auto" w:fill="auto"/>
          </w:tcPr>
          <w:p w14:paraId="1B27E9AA" w14:textId="77777777" w:rsidR="00005A00" w:rsidRPr="00256982" w:rsidRDefault="00005A00" w:rsidP="00AA14F1">
            <w:pPr>
              <w:pStyle w:val="TableText"/>
              <w:spacing w:before="40" w:after="40"/>
              <w:jc w:val="center"/>
              <w:rPr>
                <w:highlight w:val="yellow"/>
              </w:rPr>
            </w:pPr>
            <w:r w:rsidRPr="00256982">
              <w:t>161.8</w:t>
            </w:r>
          </w:p>
        </w:tc>
      </w:tr>
      <w:tr w:rsidR="00005A00" w:rsidRPr="00256982" w14:paraId="2A8910AB" w14:textId="77777777" w:rsidTr="00AA14F1">
        <w:tc>
          <w:tcPr>
            <w:tcW w:w="1079" w:type="dxa"/>
            <w:tcBorders>
              <w:top w:val="single" w:sz="4" w:space="0" w:color="365F91"/>
              <w:bottom w:val="single" w:sz="4" w:space="0" w:color="365F91"/>
            </w:tcBorders>
          </w:tcPr>
          <w:p w14:paraId="47AEA369" w14:textId="77777777" w:rsidR="00005A00" w:rsidRPr="00256982" w:rsidRDefault="00005A00" w:rsidP="00AA14F1">
            <w:pPr>
              <w:pStyle w:val="TableTextBold"/>
              <w:spacing w:before="40" w:after="40"/>
              <w:rPr>
                <w:noProof w:val="0"/>
              </w:rPr>
            </w:pPr>
            <w:r w:rsidRPr="00256982">
              <w:rPr>
                <w:noProof w:val="0"/>
              </w:rPr>
              <w:t>2011</w:t>
            </w:r>
          </w:p>
        </w:tc>
        <w:tc>
          <w:tcPr>
            <w:tcW w:w="1857" w:type="dxa"/>
            <w:tcBorders>
              <w:top w:val="single" w:sz="4" w:space="0" w:color="365F91"/>
              <w:bottom w:val="single" w:sz="4" w:space="0" w:color="365F91"/>
            </w:tcBorders>
            <w:shd w:val="clear" w:color="auto" w:fill="auto"/>
          </w:tcPr>
          <w:p w14:paraId="11BFD049" w14:textId="77777777" w:rsidR="00005A00" w:rsidRPr="00256982" w:rsidRDefault="00005A00" w:rsidP="00AA14F1">
            <w:pPr>
              <w:pStyle w:val="TableText"/>
              <w:spacing w:before="40" w:after="40"/>
              <w:jc w:val="center"/>
              <w:rPr>
                <w:highlight w:val="yellow"/>
              </w:rPr>
            </w:pPr>
            <w:r w:rsidRPr="00256982">
              <w:t>65.6</w:t>
            </w:r>
          </w:p>
        </w:tc>
        <w:tc>
          <w:tcPr>
            <w:tcW w:w="1856" w:type="dxa"/>
            <w:tcBorders>
              <w:top w:val="single" w:sz="4" w:space="0" w:color="365F91"/>
              <w:bottom w:val="single" w:sz="4" w:space="0" w:color="365F91"/>
            </w:tcBorders>
          </w:tcPr>
          <w:p w14:paraId="06A62B88" w14:textId="77777777" w:rsidR="00005A00" w:rsidRPr="00256982" w:rsidRDefault="00005A00" w:rsidP="00AA14F1">
            <w:pPr>
              <w:pStyle w:val="TableText"/>
              <w:spacing w:before="40" w:after="40"/>
              <w:jc w:val="center"/>
              <w:rPr>
                <w:highlight w:val="yellow"/>
              </w:rPr>
            </w:pPr>
            <w:r w:rsidRPr="00256982">
              <w:t>90.7</w:t>
            </w:r>
          </w:p>
        </w:tc>
        <w:tc>
          <w:tcPr>
            <w:tcW w:w="1856" w:type="dxa"/>
            <w:tcBorders>
              <w:top w:val="single" w:sz="4" w:space="0" w:color="365F91"/>
              <w:bottom w:val="single" w:sz="4" w:space="0" w:color="365F91"/>
            </w:tcBorders>
            <w:shd w:val="clear" w:color="auto" w:fill="auto"/>
          </w:tcPr>
          <w:p w14:paraId="2FE0BDEC" w14:textId="77777777" w:rsidR="00005A00" w:rsidRPr="00256982" w:rsidRDefault="00005A00" w:rsidP="00AA14F1">
            <w:pPr>
              <w:pStyle w:val="TableText"/>
              <w:spacing w:before="40" w:after="40"/>
              <w:jc w:val="center"/>
              <w:rPr>
                <w:highlight w:val="yellow"/>
              </w:rPr>
            </w:pPr>
            <w:r w:rsidRPr="00256982">
              <w:t>4.1</w:t>
            </w:r>
          </w:p>
        </w:tc>
        <w:tc>
          <w:tcPr>
            <w:tcW w:w="1857" w:type="dxa"/>
            <w:tcBorders>
              <w:top w:val="single" w:sz="4" w:space="0" w:color="365F91"/>
              <w:bottom w:val="single" w:sz="4" w:space="0" w:color="365F91"/>
            </w:tcBorders>
            <w:shd w:val="clear" w:color="auto" w:fill="auto"/>
          </w:tcPr>
          <w:p w14:paraId="5BE2E571" w14:textId="77777777" w:rsidR="00005A00" w:rsidRPr="00256982" w:rsidRDefault="00005A00" w:rsidP="00AA14F1">
            <w:pPr>
              <w:pStyle w:val="TableText"/>
              <w:spacing w:before="40" w:after="40"/>
              <w:jc w:val="center"/>
              <w:rPr>
                <w:highlight w:val="yellow"/>
              </w:rPr>
            </w:pPr>
            <w:r w:rsidRPr="00256982">
              <w:t>160.4</w:t>
            </w:r>
          </w:p>
        </w:tc>
      </w:tr>
      <w:tr w:rsidR="00005A00" w:rsidRPr="00256982" w14:paraId="4A54DE77" w14:textId="77777777" w:rsidTr="00AA14F1">
        <w:tc>
          <w:tcPr>
            <w:tcW w:w="1079" w:type="dxa"/>
            <w:tcBorders>
              <w:top w:val="single" w:sz="4" w:space="0" w:color="365F91"/>
              <w:bottom w:val="single" w:sz="4" w:space="0" w:color="365F91"/>
            </w:tcBorders>
          </w:tcPr>
          <w:p w14:paraId="67514A2F" w14:textId="77777777" w:rsidR="00005A00" w:rsidRPr="00256982" w:rsidRDefault="00005A00" w:rsidP="00AA14F1">
            <w:pPr>
              <w:pStyle w:val="TableTextBold"/>
              <w:spacing w:before="40" w:after="40"/>
              <w:rPr>
                <w:noProof w:val="0"/>
              </w:rPr>
            </w:pPr>
            <w:r w:rsidRPr="00256982">
              <w:rPr>
                <w:noProof w:val="0"/>
              </w:rPr>
              <w:t>2012</w:t>
            </w:r>
          </w:p>
        </w:tc>
        <w:tc>
          <w:tcPr>
            <w:tcW w:w="1857" w:type="dxa"/>
            <w:tcBorders>
              <w:top w:val="single" w:sz="4" w:space="0" w:color="365F91"/>
              <w:bottom w:val="single" w:sz="4" w:space="0" w:color="365F91"/>
            </w:tcBorders>
            <w:shd w:val="clear" w:color="auto" w:fill="auto"/>
          </w:tcPr>
          <w:p w14:paraId="3497D3A7" w14:textId="77777777" w:rsidR="00005A00" w:rsidRPr="00256982" w:rsidRDefault="00005A00" w:rsidP="00AA14F1">
            <w:pPr>
              <w:pStyle w:val="TableText"/>
              <w:spacing w:before="40" w:after="40"/>
              <w:jc w:val="center"/>
              <w:rPr>
                <w:highlight w:val="yellow"/>
              </w:rPr>
            </w:pPr>
            <w:r w:rsidRPr="00256982">
              <w:t>65.7</w:t>
            </w:r>
          </w:p>
        </w:tc>
        <w:tc>
          <w:tcPr>
            <w:tcW w:w="1856" w:type="dxa"/>
            <w:tcBorders>
              <w:top w:val="single" w:sz="4" w:space="0" w:color="365F91"/>
              <w:bottom w:val="single" w:sz="4" w:space="0" w:color="365F91"/>
            </w:tcBorders>
          </w:tcPr>
          <w:p w14:paraId="3F9F7AB2" w14:textId="77777777" w:rsidR="00005A00" w:rsidRPr="00256982" w:rsidRDefault="00005A00" w:rsidP="00AA14F1">
            <w:pPr>
              <w:pStyle w:val="TableText"/>
              <w:spacing w:before="40" w:after="40"/>
              <w:jc w:val="center"/>
              <w:rPr>
                <w:highlight w:val="yellow"/>
              </w:rPr>
            </w:pPr>
            <w:r w:rsidRPr="00256982">
              <w:t>86.9</w:t>
            </w:r>
          </w:p>
        </w:tc>
        <w:tc>
          <w:tcPr>
            <w:tcW w:w="1856" w:type="dxa"/>
            <w:tcBorders>
              <w:top w:val="single" w:sz="4" w:space="0" w:color="365F91"/>
              <w:bottom w:val="single" w:sz="4" w:space="0" w:color="365F91"/>
            </w:tcBorders>
            <w:shd w:val="clear" w:color="auto" w:fill="auto"/>
          </w:tcPr>
          <w:p w14:paraId="6432CE03" w14:textId="77777777" w:rsidR="00005A00" w:rsidRPr="00256982" w:rsidRDefault="00005A00" w:rsidP="00AA14F1">
            <w:pPr>
              <w:pStyle w:val="TableText"/>
              <w:spacing w:before="40" w:after="40"/>
              <w:jc w:val="center"/>
              <w:rPr>
                <w:highlight w:val="yellow"/>
              </w:rPr>
            </w:pPr>
            <w:r w:rsidRPr="00256982">
              <w:t>3.3</w:t>
            </w:r>
          </w:p>
        </w:tc>
        <w:tc>
          <w:tcPr>
            <w:tcW w:w="1857" w:type="dxa"/>
            <w:tcBorders>
              <w:top w:val="single" w:sz="4" w:space="0" w:color="365F91"/>
              <w:bottom w:val="single" w:sz="4" w:space="0" w:color="365F91"/>
            </w:tcBorders>
            <w:shd w:val="clear" w:color="auto" w:fill="auto"/>
          </w:tcPr>
          <w:p w14:paraId="0C1630A5" w14:textId="77777777" w:rsidR="00005A00" w:rsidRPr="00256982" w:rsidRDefault="00005A00" w:rsidP="00AA14F1">
            <w:pPr>
              <w:pStyle w:val="TableText"/>
              <w:spacing w:before="40" w:after="40"/>
              <w:jc w:val="center"/>
              <w:rPr>
                <w:highlight w:val="yellow"/>
              </w:rPr>
            </w:pPr>
            <w:r w:rsidRPr="00256982">
              <w:t>155.9</w:t>
            </w:r>
          </w:p>
        </w:tc>
      </w:tr>
      <w:tr w:rsidR="00005A00" w:rsidRPr="00256982" w14:paraId="69BD19DB" w14:textId="77777777" w:rsidTr="00AA14F1">
        <w:tc>
          <w:tcPr>
            <w:tcW w:w="1079" w:type="dxa"/>
            <w:tcBorders>
              <w:top w:val="single" w:sz="4" w:space="0" w:color="365F91"/>
              <w:bottom w:val="single" w:sz="4" w:space="0" w:color="365F91"/>
            </w:tcBorders>
          </w:tcPr>
          <w:p w14:paraId="34E761BC" w14:textId="77777777" w:rsidR="00005A00" w:rsidRPr="00256982" w:rsidRDefault="00005A00" w:rsidP="00AA14F1">
            <w:pPr>
              <w:pStyle w:val="TableTextBold"/>
              <w:spacing w:before="40" w:after="40"/>
              <w:rPr>
                <w:noProof w:val="0"/>
              </w:rPr>
            </w:pPr>
            <w:r w:rsidRPr="00256982">
              <w:rPr>
                <w:noProof w:val="0"/>
              </w:rPr>
              <w:t>2013</w:t>
            </w:r>
          </w:p>
        </w:tc>
        <w:tc>
          <w:tcPr>
            <w:tcW w:w="1857" w:type="dxa"/>
            <w:tcBorders>
              <w:top w:val="single" w:sz="4" w:space="0" w:color="365F91"/>
              <w:bottom w:val="single" w:sz="4" w:space="0" w:color="365F91"/>
            </w:tcBorders>
            <w:shd w:val="clear" w:color="auto" w:fill="auto"/>
          </w:tcPr>
          <w:p w14:paraId="2B9D2F5B" w14:textId="77777777" w:rsidR="00005A00" w:rsidRPr="00256982" w:rsidRDefault="00005A00" w:rsidP="00AA14F1">
            <w:pPr>
              <w:pStyle w:val="TableText"/>
              <w:spacing w:before="40" w:after="40"/>
              <w:jc w:val="center"/>
              <w:rPr>
                <w:highlight w:val="yellow"/>
              </w:rPr>
            </w:pPr>
            <w:r w:rsidRPr="00256982">
              <w:t>67.9</w:t>
            </w:r>
          </w:p>
        </w:tc>
        <w:tc>
          <w:tcPr>
            <w:tcW w:w="1856" w:type="dxa"/>
            <w:tcBorders>
              <w:top w:val="single" w:sz="4" w:space="0" w:color="365F91"/>
              <w:bottom w:val="single" w:sz="4" w:space="0" w:color="365F91"/>
            </w:tcBorders>
          </w:tcPr>
          <w:p w14:paraId="482E8987" w14:textId="77777777" w:rsidR="00005A00" w:rsidRPr="00256982" w:rsidRDefault="00005A00" w:rsidP="00AA14F1">
            <w:pPr>
              <w:pStyle w:val="TableText"/>
              <w:spacing w:before="40" w:after="40"/>
              <w:jc w:val="center"/>
              <w:rPr>
                <w:highlight w:val="yellow"/>
              </w:rPr>
            </w:pPr>
            <w:r w:rsidRPr="00256982">
              <w:t>83.5</w:t>
            </w:r>
          </w:p>
        </w:tc>
        <w:tc>
          <w:tcPr>
            <w:tcW w:w="1856" w:type="dxa"/>
            <w:tcBorders>
              <w:top w:val="single" w:sz="4" w:space="0" w:color="365F91"/>
              <w:bottom w:val="single" w:sz="4" w:space="0" w:color="365F91"/>
            </w:tcBorders>
            <w:shd w:val="clear" w:color="auto" w:fill="auto"/>
          </w:tcPr>
          <w:p w14:paraId="3C5EE738" w14:textId="77777777" w:rsidR="00005A00" w:rsidRPr="00256982" w:rsidRDefault="00005A00" w:rsidP="00AA14F1">
            <w:pPr>
              <w:pStyle w:val="TableText"/>
              <w:spacing w:before="40" w:after="40"/>
              <w:jc w:val="center"/>
              <w:rPr>
                <w:highlight w:val="yellow"/>
              </w:rPr>
            </w:pPr>
            <w:r w:rsidRPr="00256982">
              <w:t>4.3</w:t>
            </w:r>
          </w:p>
        </w:tc>
        <w:tc>
          <w:tcPr>
            <w:tcW w:w="1857" w:type="dxa"/>
            <w:tcBorders>
              <w:top w:val="single" w:sz="4" w:space="0" w:color="365F91"/>
              <w:bottom w:val="single" w:sz="4" w:space="0" w:color="365F91"/>
            </w:tcBorders>
            <w:shd w:val="clear" w:color="auto" w:fill="auto"/>
          </w:tcPr>
          <w:p w14:paraId="1FD92DC1" w14:textId="77777777" w:rsidR="00005A00" w:rsidRPr="00256982" w:rsidRDefault="00005A00" w:rsidP="00AA14F1">
            <w:pPr>
              <w:pStyle w:val="TableText"/>
              <w:spacing w:before="40" w:after="40"/>
              <w:jc w:val="center"/>
              <w:rPr>
                <w:highlight w:val="yellow"/>
              </w:rPr>
            </w:pPr>
            <w:r w:rsidRPr="00256982">
              <w:t>155.7</w:t>
            </w:r>
          </w:p>
        </w:tc>
      </w:tr>
      <w:tr w:rsidR="00005A00" w:rsidRPr="00256982" w14:paraId="7BB24392" w14:textId="77777777" w:rsidTr="00AA14F1">
        <w:tc>
          <w:tcPr>
            <w:tcW w:w="1079" w:type="dxa"/>
            <w:tcBorders>
              <w:top w:val="single" w:sz="4" w:space="0" w:color="365F91"/>
              <w:bottom w:val="single" w:sz="4" w:space="0" w:color="365F91"/>
            </w:tcBorders>
          </w:tcPr>
          <w:p w14:paraId="1695D11C" w14:textId="77777777" w:rsidR="00005A00" w:rsidRPr="00256982" w:rsidRDefault="00005A00" w:rsidP="00AA14F1">
            <w:pPr>
              <w:pStyle w:val="TableTextBold"/>
              <w:spacing w:before="40" w:after="40"/>
              <w:rPr>
                <w:noProof w:val="0"/>
              </w:rPr>
            </w:pPr>
            <w:r w:rsidRPr="00256982">
              <w:rPr>
                <w:noProof w:val="0"/>
              </w:rPr>
              <w:t>2014</w:t>
            </w:r>
          </w:p>
        </w:tc>
        <w:tc>
          <w:tcPr>
            <w:tcW w:w="1857" w:type="dxa"/>
            <w:tcBorders>
              <w:top w:val="single" w:sz="4" w:space="0" w:color="365F91"/>
              <w:bottom w:val="single" w:sz="4" w:space="0" w:color="365F91"/>
            </w:tcBorders>
            <w:shd w:val="clear" w:color="auto" w:fill="auto"/>
          </w:tcPr>
          <w:p w14:paraId="0C83DDE4" w14:textId="77777777" w:rsidR="00005A00" w:rsidRPr="00256982" w:rsidRDefault="00005A00" w:rsidP="00AA14F1">
            <w:pPr>
              <w:pStyle w:val="TableText"/>
              <w:spacing w:before="40" w:after="40"/>
              <w:jc w:val="center"/>
              <w:rPr>
                <w:highlight w:val="yellow"/>
              </w:rPr>
            </w:pPr>
            <w:r w:rsidRPr="00256982">
              <w:t>68.7</w:t>
            </w:r>
          </w:p>
        </w:tc>
        <w:tc>
          <w:tcPr>
            <w:tcW w:w="1856" w:type="dxa"/>
            <w:tcBorders>
              <w:top w:val="single" w:sz="4" w:space="0" w:color="365F91"/>
              <w:bottom w:val="single" w:sz="4" w:space="0" w:color="365F91"/>
            </w:tcBorders>
          </w:tcPr>
          <w:p w14:paraId="39E42894" w14:textId="77777777" w:rsidR="00005A00" w:rsidRPr="00256982" w:rsidRDefault="00005A00" w:rsidP="00AA14F1">
            <w:pPr>
              <w:pStyle w:val="TableText"/>
              <w:spacing w:before="40" w:after="40"/>
              <w:jc w:val="center"/>
              <w:rPr>
                <w:highlight w:val="yellow"/>
              </w:rPr>
            </w:pPr>
            <w:r w:rsidRPr="00256982">
              <w:t>79.2</w:t>
            </w:r>
          </w:p>
        </w:tc>
        <w:tc>
          <w:tcPr>
            <w:tcW w:w="1856" w:type="dxa"/>
            <w:tcBorders>
              <w:top w:val="single" w:sz="4" w:space="0" w:color="365F91"/>
              <w:bottom w:val="single" w:sz="4" w:space="0" w:color="365F91"/>
            </w:tcBorders>
            <w:shd w:val="clear" w:color="auto" w:fill="auto"/>
          </w:tcPr>
          <w:p w14:paraId="00F58AD0" w14:textId="77777777" w:rsidR="00005A00" w:rsidRPr="00256982" w:rsidRDefault="00005A00" w:rsidP="00AA14F1">
            <w:pPr>
              <w:pStyle w:val="TableText"/>
              <w:spacing w:before="40" w:after="40"/>
              <w:jc w:val="center"/>
              <w:rPr>
                <w:highlight w:val="yellow"/>
              </w:rPr>
            </w:pPr>
            <w:r w:rsidRPr="00256982">
              <w:t>5.5</w:t>
            </w:r>
          </w:p>
        </w:tc>
        <w:tc>
          <w:tcPr>
            <w:tcW w:w="1857" w:type="dxa"/>
            <w:tcBorders>
              <w:top w:val="single" w:sz="4" w:space="0" w:color="365F91"/>
              <w:bottom w:val="single" w:sz="4" w:space="0" w:color="365F91"/>
            </w:tcBorders>
            <w:shd w:val="clear" w:color="auto" w:fill="auto"/>
          </w:tcPr>
          <w:p w14:paraId="66DB0741" w14:textId="77777777" w:rsidR="00005A00" w:rsidRPr="00256982" w:rsidRDefault="00005A00" w:rsidP="00AA14F1">
            <w:pPr>
              <w:pStyle w:val="TableText"/>
              <w:spacing w:before="40" w:after="40"/>
              <w:jc w:val="center"/>
              <w:rPr>
                <w:highlight w:val="yellow"/>
              </w:rPr>
            </w:pPr>
            <w:r w:rsidRPr="00256982">
              <w:t>153.5</w:t>
            </w:r>
          </w:p>
        </w:tc>
      </w:tr>
      <w:tr w:rsidR="00005A00" w:rsidRPr="00256982" w14:paraId="0822872C" w14:textId="77777777" w:rsidTr="00AA14F1">
        <w:tc>
          <w:tcPr>
            <w:tcW w:w="1079" w:type="dxa"/>
            <w:tcBorders>
              <w:top w:val="single" w:sz="4" w:space="0" w:color="365F91"/>
              <w:bottom w:val="single" w:sz="4" w:space="0" w:color="365F91"/>
            </w:tcBorders>
          </w:tcPr>
          <w:p w14:paraId="00D7201E" w14:textId="77777777" w:rsidR="00005A00" w:rsidRPr="00256982" w:rsidRDefault="00005A00" w:rsidP="00AA14F1">
            <w:pPr>
              <w:pStyle w:val="TableTextBold"/>
              <w:spacing w:before="40" w:after="40"/>
              <w:rPr>
                <w:noProof w:val="0"/>
              </w:rPr>
            </w:pPr>
            <w:r w:rsidRPr="00256982">
              <w:rPr>
                <w:noProof w:val="0"/>
              </w:rPr>
              <w:t>2015</w:t>
            </w:r>
          </w:p>
        </w:tc>
        <w:tc>
          <w:tcPr>
            <w:tcW w:w="1857" w:type="dxa"/>
            <w:tcBorders>
              <w:top w:val="single" w:sz="4" w:space="0" w:color="365F91"/>
              <w:bottom w:val="single" w:sz="4" w:space="0" w:color="365F91"/>
            </w:tcBorders>
            <w:shd w:val="clear" w:color="auto" w:fill="auto"/>
          </w:tcPr>
          <w:p w14:paraId="57F7DDE9" w14:textId="77777777" w:rsidR="00005A00" w:rsidRPr="00256982" w:rsidRDefault="00005A00" w:rsidP="00AA14F1">
            <w:pPr>
              <w:pStyle w:val="TableText"/>
              <w:spacing w:before="40" w:after="40"/>
              <w:jc w:val="center"/>
              <w:rPr>
                <w:highlight w:val="yellow"/>
              </w:rPr>
            </w:pPr>
            <w:r w:rsidRPr="00256982">
              <w:t>71.7</w:t>
            </w:r>
          </w:p>
        </w:tc>
        <w:tc>
          <w:tcPr>
            <w:tcW w:w="1856" w:type="dxa"/>
            <w:tcBorders>
              <w:top w:val="single" w:sz="4" w:space="0" w:color="365F91"/>
              <w:bottom w:val="single" w:sz="4" w:space="0" w:color="365F91"/>
            </w:tcBorders>
          </w:tcPr>
          <w:p w14:paraId="5B092AA1" w14:textId="77777777" w:rsidR="00005A00" w:rsidRPr="00256982" w:rsidRDefault="00005A00" w:rsidP="00AA14F1">
            <w:pPr>
              <w:pStyle w:val="TableText"/>
              <w:spacing w:before="40" w:after="40"/>
              <w:jc w:val="center"/>
              <w:rPr>
                <w:highlight w:val="yellow"/>
              </w:rPr>
            </w:pPr>
            <w:r w:rsidRPr="00256982">
              <w:t>77.7</w:t>
            </w:r>
          </w:p>
        </w:tc>
        <w:tc>
          <w:tcPr>
            <w:tcW w:w="1856" w:type="dxa"/>
            <w:tcBorders>
              <w:top w:val="single" w:sz="4" w:space="0" w:color="365F91"/>
              <w:bottom w:val="single" w:sz="4" w:space="0" w:color="365F91"/>
            </w:tcBorders>
            <w:shd w:val="clear" w:color="auto" w:fill="auto"/>
          </w:tcPr>
          <w:p w14:paraId="09B558E1" w14:textId="77777777" w:rsidR="00005A00" w:rsidRPr="00256982" w:rsidRDefault="00005A00" w:rsidP="00AA14F1">
            <w:pPr>
              <w:pStyle w:val="TableText"/>
              <w:spacing w:before="40" w:after="40"/>
              <w:jc w:val="center"/>
              <w:rPr>
                <w:highlight w:val="yellow"/>
              </w:rPr>
            </w:pPr>
            <w:r w:rsidRPr="00256982">
              <w:t>4.0</w:t>
            </w:r>
          </w:p>
        </w:tc>
        <w:tc>
          <w:tcPr>
            <w:tcW w:w="1857" w:type="dxa"/>
            <w:tcBorders>
              <w:top w:val="single" w:sz="4" w:space="0" w:color="365F91"/>
              <w:bottom w:val="single" w:sz="4" w:space="0" w:color="365F91"/>
            </w:tcBorders>
            <w:shd w:val="clear" w:color="auto" w:fill="auto"/>
          </w:tcPr>
          <w:p w14:paraId="0D1F62EB" w14:textId="77777777" w:rsidR="00005A00" w:rsidRPr="00256982" w:rsidRDefault="00005A00" w:rsidP="00AA14F1">
            <w:pPr>
              <w:pStyle w:val="TableText"/>
              <w:spacing w:before="40" w:after="40"/>
              <w:jc w:val="center"/>
              <w:rPr>
                <w:highlight w:val="yellow"/>
              </w:rPr>
            </w:pPr>
            <w:r w:rsidRPr="00256982">
              <w:t>153.5</w:t>
            </w:r>
          </w:p>
        </w:tc>
      </w:tr>
      <w:tr w:rsidR="00005A00" w:rsidRPr="00256982" w14:paraId="5B629639" w14:textId="77777777" w:rsidTr="00AA14F1">
        <w:tc>
          <w:tcPr>
            <w:tcW w:w="1079" w:type="dxa"/>
            <w:tcBorders>
              <w:top w:val="single" w:sz="4" w:space="0" w:color="365F91"/>
              <w:bottom w:val="single" w:sz="4" w:space="0" w:color="365F91"/>
            </w:tcBorders>
          </w:tcPr>
          <w:p w14:paraId="2FA8667F" w14:textId="77777777" w:rsidR="00005A00" w:rsidRPr="00256982" w:rsidRDefault="00005A00" w:rsidP="00AA14F1">
            <w:pPr>
              <w:pStyle w:val="TableTextBold"/>
              <w:spacing w:before="40" w:after="40"/>
              <w:rPr>
                <w:noProof w:val="0"/>
              </w:rPr>
            </w:pPr>
            <w:r w:rsidRPr="00256982">
              <w:rPr>
                <w:noProof w:val="0"/>
              </w:rPr>
              <w:t>2016</w:t>
            </w:r>
          </w:p>
        </w:tc>
        <w:tc>
          <w:tcPr>
            <w:tcW w:w="1857" w:type="dxa"/>
            <w:tcBorders>
              <w:top w:val="single" w:sz="4" w:space="0" w:color="365F91"/>
              <w:bottom w:val="single" w:sz="4" w:space="0" w:color="365F91"/>
            </w:tcBorders>
            <w:shd w:val="clear" w:color="auto" w:fill="auto"/>
          </w:tcPr>
          <w:p w14:paraId="6A70E2DC" w14:textId="77777777" w:rsidR="00005A00" w:rsidRPr="00256982" w:rsidRDefault="00005A00" w:rsidP="00AA14F1">
            <w:pPr>
              <w:pStyle w:val="TableText"/>
              <w:spacing w:before="40" w:after="40"/>
              <w:jc w:val="center"/>
              <w:rPr>
                <w:highlight w:val="yellow"/>
              </w:rPr>
            </w:pPr>
            <w:r w:rsidRPr="00256982">
              <w:t>71.9</w:t>
            </w:r>
          </w:p>
        </w:tc>
        <w:tc>
          <w:tcPr>
            <w:tcW w:w="1856" w:type="dxa"/>
            <w:tcBorders>
              <w:top w:val="single" w:sz="4" w:space="0" w:color="365F91"/>
              <w:bottom w:val="single" w:sz="4" w:space="0" w:color="365F91"/>
            </w:tcBorders>
          </w:tcPr>
          <w:p w14:paraId="07BC1221" w14:textId="77777777" w:rsidR="00005A00" w:rsidRPr="00256982" w:rsidRDefault="00005A00" w:rsidP="00AA14F1">
            <w:pPr>
              <w:pStyle w:val="TableText"/>
              <w:spacing w:before="40" w:after="40"/>
              <w:jc w:val="center"/>
              <w:rPr>
                <w:highlight w:val="yellow"/>
              </w:rPr>
            </w:pPr>
            <w:r w:rsidRPr="00256982">
              <w:t>89.0</w:t>
            </w:r>
          </w:p>
        </w:tc>
        <w:tc>
          <w:tcPr>
            <w:tcW w:w="1856" w:type="dxa"/>
            <w:tcBorders>
              <w:top w:val="single" w:sz="4" w:space="0" w:color="365F91"/>
              <w:bottom w:val="single" w:sz="4" w:space="0" w:color="365F91"/>
            </w:tcBorders>
            <w:shd w:val="clear" w:color="auto" w:fill="auto"/>
          </w:tcPr>
          <w:p w14:paraId="5510274C" w14:textId="77777777" w:rsidR="00005A00" w:rsidRPr="00256982" w:rsidRDefault="00005A00" w:rsidP="00AA14F1">
            <w:pPr>
              <w:pStyle w:val="TableText"/>
              <w:spacing w:before="40" w:after="40"/>
              <w:jc w:val="center"/>
              <w:rPr>
                <w:highlight w:val="yellow"/>
              </w:rPr>
            </w:pPr>
            <w:r w:rsidRPr="00256982">
              <w:t>5.4</w:t>
            </w:r>
          </w:p>
        </w:tc>
        <w:tc>
          <w:tcPr>
            <w:tcW w:w="1857" w:type="dxa"/>
            <w:tcBorders>
              <w:top w:val="single" w:sz="4" w:space="0" w:color="365F91"/>
              <w:bottom w:val="single" w:sz="4" w:space="0" w:color="365F91"/>
            </w:tcBorders>
            <w:shd w:val="clear" w:color="auto" w:fill="auto"/>
          </w:tcPr>
          <w:p w14:paraId="67C067FF" w14:textId="77777777" w:rsidR="00005A00" w:rsidRPr="00256982" w:rsidRDefault="00005A00" w:rsidP="00AA14F1">
            <w:pPr>
              <w:pStyle w:val="TableText"/>
              <w:spacing w:before="40" w:after="40"/>
              <w:jc w:val="center"/>
              <w:rPr>
                <w:highlight w:val="yellow"/>
              </w:rPr>
            </w:pPr>
            <w:r w:rsidRPr="00256982">
              <w:t>166.3</w:t>
            </w:r>
          </w:p>
        </w:tc>
      </w:tr>
      <w:tr w:rsidR="00005A00" w:rsidRPr="00256982" w14:paraId="25AECEB5" w14:textId="77777777" w:rsidTr="00AA14F1">
        <w:tc>
          <w:tcPr>
            <w:tcW w:w="1079" w:type="dxa"/>
            <w:tcBorders>
              <w:top w:val="single" w:sz="4" w:space="0" w:color="365F91"/>
              <w:bottom w:val="single" w:sz="4" w:space="0" w:color="365F91"/>
            </w:tcBorders>
          </w:tcPr>
          <w:p w14:paraId="7029FAD2" w14:textId="77777777" w:rsidR="00005A00" w:rsidRPr="00256982" w:rsidRDefault="00005A00" w:rsidP="00AA14F1">
            <w:pPr>
              <w:pStyle w:val="TableTextBold"/>
              <w:spacing w:before="40" w:after="40"/>
              <w:rPr>
                <w:noProof w:val="0"/>
              </w:rPr>
            </w:pPr>
            <w:r w:rsidRPr="00256982">
              <w:rPr>
                <w:noProof w:val="0"/>
              </w:rPr>
              <w:t>2017</w:t>
            </w:r>
          </w:p>
        </w:tc>
        <w:tc>
          <w:tcPr>
            <w:tcW w:w="1857" w:type="dxa"/>
            <w:tcBorders>
              <w:top w:val="single" w:sz="4" w:space="0" w:color="365F91"/>
              <w:bottom w:val="single" w:sz="4" w:space="0" w:color="365F91"/>
            </w:tcBorders>
            <w:shd w:val="clear" w:color="auto" w:fill="auto"/>
          </w:tcPr>
          <w:p w14:paraId="15883CA2" w14:textId="77777777" w:rsidR="00005A00" w:rsidRPr="00256982" w:rsidRDefault="00005A00" w:rsidP="00AA14F1">
            <w:pPr>
              <w:pStyle w:val="TableText"/>
              <w:spacing w:before="40" w:after="40"/>
              <w:jc w:val="center"/>
            </w:pPr>
            <w:r w:rsidRPr="00256982">
              <w:t>72.7</w:t>
            </w:r>
          </w:p>
        </w:tc>
        <w:tc>
          <w:tcPr>
            <w:tcW w:w="1856" w:type="dxa"/>
            <w:tcBorders>
              <w:top w:val="single" w:sz="4" w:space="0" w:color="365F91"/>
              <w:bottom w:val="single" w:sz="4" w:space="0" w:color="365F91"/>
            </w:tcBorders>
          </w:tcPr>
          <w:p w14:paraId="268ACD86" w14:textId="77777777" w:rsidR="00005A00" w:rsidRPr="00256982" w:rsidRDefault="00005A00" w:rsidP="00AA14F1">
            <w:pPr>
              <w:pStyle w:val="TableText"/>
              <w:spacing w:before="40" w:after="40"/>
              <w:jc w:val="center"/>
            </w:pPr>
            <w:r w:rsidRPr="00256982">
              <w:t>85.2</w:t>
            </w:r>
          </w:p>
        </w:tc>
        <w:tc>
          <w:tcPr>
            <w:tcW w:w="1856" w:type="dxa"/>
            <w:tcBorders>
              <w:top w:val="single" w:sz="4" w:space="0" w:color="365F91"/>
              <w:bottom w:val="single" w:sz="4" w:space="0" w:color="365F91"/>
            </w:tcBorders>
            <w:shd w:val="clear" w:color="auto" w:fill="auto"/>
          </w:tcPr>
          <w:p w14:paraId="35FB49C6" w14:textId="77777777" w:rsidR="00005A00" w:rsidRPr="00256982" w:rsidRDefault="00005A00" w:rsidP="00AA14F1">
            <w:pPr>
              <w:pStyle w:val="TableText"/>
              <w:spacing w:before="40" w:after="40"/>
              <w:jc w:val="center"/>
            </w:pPr>
            <w:r w:rsidRPr="00256982">
              <w:t>4.9</w:t>
            </w:r>
          </w:p>
        </w:tc>
        <w:tc>
          <w:tcPr>
            <w:tcW w:w="1857" w:type="dxa"/>
            <w:tcBorders>
              <w:top w:val="single" w:sz="4" w:space="0" w:color="365F91"/>
              <w:bottom w:val="single" w:sz="4" w:space="0" w:color="365F91"/>
            </w:tcBorders>
            <w:shd w:val="clear" w:color="auto" w:fill="auto"/>
          </w:tcPr>
          <w:p w14:paraId="0449FE56" w14:textId="77777777" w:rsidR="00005A00" w:rsidRPr="00256982" w:rsidRDefault="00005A00" w:rsidP="00AA14F1">
            <w:pPr>
              <w:pStyle w:val="TableText"/>
              <w:spacing w:before="40" w:after="40"/>
              <w:jc w:val="center"/>
            </w:pPr>
            <w:r w:rsidRPr="00256982">
              <w:t>162.8</w:t>
            </w:r>
          </w:p>
        </w:tc>
      </w:tr>
    </w:tbl>
    <w:p w14:paraId="3E3CC8B3" w14:textId="77777777" w:rsidR="00005A00" w:rsidRPr="00256982" w:rsidRDefault="00005A00" w:rsidP="00005A00">
      <w:pPr>
        <w:pStyle w:val="Noteundertable"/>
      </w:pPr>
      <w:r w:rsidRPr="00256982">
        <w:rPr>
          <w:b/>
        </w:rPr>
        <w:t>Note:</w:t>
      </w:r>
      <w:r w:rsidRPr="00256982">
        <w:t xml:space="preserve"> </w:t>
      </w:r>
      <w:r w:rsidRPr="00256982">
        <w:tab/>
      </w:r>
      <w:r w:rsidRPr="00256982">
        <w:rPr>
          <w:lang w:eastAsia="en-NZ"/>
        </w:rPr>
        <w:t xml:space="preserve">TOW = Total organic product in wastewater. </w:t>
      </w:r>
      <w:r w:rsidRPr="00256982">
        <w:t>Columns may not total due to rounding.</w:t>
      </w:r>
    </w:p>
    <w:p w14:paraId="3CEC57CA" w14:textId="77777777" w:rsidR="00005A00" w:rsidRPr="00256982" w:rsidRDefault="00005A00" w:rsidP="00005A00">
      <w:pPr>
        <w:pStyle w:val="BodyText"/>
      </w:pPr>
      <w:r w:rsidRPr="00256982">
        <w:t>Table 7.5.4 reports the activity data for the total nitrogen in effluent from industrial wastewater.</w:t>
      </w:r>
    </w:p>
    <w:p w14:paraId="51F0B547" w14:textId="77777777" w:rsidR="00005A00" w:rsidRPr="00256982" w:rsidRDefault="00005A00" w:rsidP="00005A00">
      <w:pPr>
        <w:pStyle w:val="Table"/>
      </w:pPr>
      <w:bookmarkStart w:id="2377" w:name="_Toc5269581"/>
      <w:r w:rsidRPr="00256982">
        <w:t xml:space="preserve">Table 7.5.4 </w:t>
      </w:r>
      <w:r w:rsidRPr="00256982">
        <w:tab/>
        <w:t>Nitrogen in effluent from industrial wastewater 1990 to 2017</w:t>
      </w:r>
      <w:bookmarkEnd w:id="2377"/>
    </w:p>
    <w:tbl>
      <w:tblPr>
        <w:tblW w:w="8613" w:type="dxa"/>
        <w:tblInd w:w="108" w:type="dxa"/>
        <w:tblLook w:val="04A0" w:firstRow="1" w:lastRow="0" w:firstColumn="1" w:lastColumn="0" w:noHBand="0" w:noVBand="1"/>
      </w:tblPr>
      <w:tblGrid>
        <w:gridCol w:w="925"/>
        <w:gridCol w:w="1590"/>
        <w:gridCol w:w="1548"/>
        <w:gridCol w:w="1616"/>
        <w:gridCol w:w="1358"/>
        <w:gridCol w:w="1576"/>
      </w:tblGrid>
      <w:tr w:rsidR="00005A00" w:rsidRPr="00256982" w14:paraId="3F9C7628" w14:textId="77777777" w:rsidTr="00AA14F1">
        <w:trPr>
          <w:tblHeader/>
        </w:trPr>
        <w:tc>
          <w:tcPr>
            <w:tcW w:w="925" w:type="dxa"/>
            <w:tcBorders>
              <w:top w:val="single" w:sz="4" w:space="0" w:color="365F91"/>
              <w:bottom w:val="single" w:sz="4" w:space="0" w:color="365F91"/>
            </w:tcBorders>
            <w:shd w:val="clear" w:color="auto" w:fill="365F91"/>
            <w:vAlign w:val="bottom"/>
          </w:tcPr>
          <w:p w14:paraId="1A6736EB" w14:textId="77777777" w:rsidR="00005A00" w:rsidRPr="00256982" w:rsidRDefault="00005A00" w:rsidP="00AA14F1">
            <w:pPr>
              <w:pStyle w:val="TableTextBold"/>
              <w:spacing w:before="40" w:after="40"/>
              <w:rPr>
                <w:noProof w:val="0"/>
                <w:color w:val="FFFFFF"/>
              </w:rPr>
            </w:pPr>
            <w:r w:rsidRPr="00256982">
              <w:rPr>
                <w:noProof w:val="0"/>
                <w:color w:val="FFFFFF"/>
              </w:rPr>
              <w:t>Year</w:t>
            </w:r>
          </w:p>
        </w:tc>
        <w:tc>
          <w:tcPr>
            <w:tcW w:w="1590" w:type="dxa"/>
            <w:tcBorders>
              <w:top w:val="single" w:sz="4" w:space="0" w:color="365F91"/>
              <w:bottom w:val="single" w:sz="4" w:space="0" w:color="365F91"/>
            </w:tcBorders>
            <w:shd w:val="clear" w:color="auto" w:fill="365F91"/>
            <w:vAlign w:val="bottom"/>
          </w:tcPr>
          <w:p w14:paraId="04B28BD9" w14:textId="77777777" w:rsidR="00005A00" w:rsidRPr="00256982" w:rsidRDefault="00005A00" w:rsidP="00AA14F1">
            <w:pPr>
              <w:pStyle w:val="TableTextBold"/>
              <w:spacing w:before="40" w:after="40"/>
              <w:jc w:val="center"/>
              <w:rPr>
                <w:noProof w:val="0"/>
                <w:color w:val="FFFFFF"/>
              </w:rPr>
            </w:pPr>
            <w:r w:rsidRPr="00256982">
              <w:rPr>
                <w:noProof w:val="0"/>
                <w:color w:val="FFFFFF"/>
              </w:rPr>
              <w:t xml:space="preserve">Meat industries </w:t>
            </w:r>
            <w:r w:rsidRPr="00256982">
              <w:rPr>
                <w:noProof w:val="0"/>
                <w:color w:val="FFFFFF"/>
              </w:rPr>
              <w:br/>
              <w:t>N in effluent (kt)</w:t>
            </w:r>
          </w:p>
        </w:tc>
        <w:tc>
          <w:tcPr>
            <w:tcW w:w="1548" w:type="dxa"/>
            <w:tcBorders>
              <w:top w:val="single" w:sz="4" w:space="0" w:color="365F91"/>
              <w:bottom w:val="single" w:sz="4" w:space="0" w:color="365F91"/>
            </w:tcBorders>
            <w:shd w:val="clear" w:color="auto" w:fill="365F91"/>
            <w:vAlign w:val="bottom"/>
          </w:tcPr>
          <w:p w14:paraId="50ABB955" w14:textId="77777777" w:rsidR="00005A00" w:rsidRPr="00256982" w:rsidRDefault="00005A00" w:rsidP="00AA14F1">
            <w:pPr>
              <w:pStyle w:val="TableTextBold"/>
              <w:spacing w:before="40" w:after="40"/>
              <w:jc w:val="center"/>
              <w:rPr>
                <w:noProof w:val="0"/>
                <w:color w:val="FFFFFF"/>
              </w:rPr>
            </w:pPr>
            <w:r w:rsidRPr="00256982">
              <w:rPr>
                <w:noProof w:val="0"/>
                <w:color w:val="FFFFFF"/>
              </w:rPr>
              <w:t>Pulp and paper industry N in effluent (kt)</w:t>
            </w:r>
          </w:p>
        </w:tc>
        <w:tc>
          <w:tcPr>
            <w:tcW w:w="1616" w:type="dxa"/>
            <w:tcBorders>
              <w:top w:val="single" w:sz="4" w:space="0" w:color="365F91"/>
              <w:bottom w:val="single" w:sz="4" w:space="0" w:color="365F91"/>
            </w:tcBorders>
            <w:shd w:val="clear" w:color="auto" w:fill="365F91"/>
            <w:vAlign w:val="bottom"/>
          </w:tcPr>
          <w:p w14:paraId="66F1BFE1" w14:textId="77777777" w:rsidR="00005A00" w:rsidRPr="00256982" w:rsidRDefault="00005A00" w:rsidP="00AA14F1">
            <w:pPr>
              <w:pStyle w:val="TableTextBold"/>
              <w:spacing w:before="40" w:after="40"/>
              <w:jc w:val="center"/>
              <w:rPr>
                <w:noProof w:val="0"/>
                <w:color w:val="FFFFFF"/>
              </w:rPr>
            </w:pPr>
            <w:r w:rsidRPr="00256982">
              <w:rPr>
                <w:noProof w:val="0"/>
                <w:color w:val="FFFFFF"/>
              </w:rPr>
              <w:t>Dairy processing N in effluent (kt)</w:t>
            </w:r>
          </w:p>
        </w:tc>
        <w:tc>
          <w:tcPr>
            <w:tcW w:w="1358" w:type="dxa"/>
            <w:tcBorders>
              <w:top w:val="single" w:sz="4" w:space="0" w:color="365F91"/>
              <w:bottom w:val="single" w:sz="4" w:space="0" w:color="365F91"/>
            </w:tcBorders>
            <w:shd w:val="clear" w:color="auto" w:fill="365F91"/>
          </w:tcPr>
          <w:p w14:paraId="635AF7F2" w14:textId="77777777" w:rsidR="00005A00" w:rsidRPr="00256982" w:rsidRDefault="00005A00" w:rsidP="00AA14F1">
            <w:pPr>
              <w:pStyle w:val="TableTextBold"/>
              <w:spacing w:before="40" w:after="40"/>
              <w:jc w:val="center"/>
              <w:rPr>
                <w:noProof w:val="0"/>
                <w:color w:val="FFFFFF"/>
              </w:rPr>
            </w:pPr>
            <w:r w:rsidRPr="00256982">
              <w:rPr>
                <w:noProof w:val="0"/>
                <w:color w:val="FFFFFF"/>
              </w:rPr>
              <w:t>Leather &amp; skins N in effluent (kt)</w:t>
            </w:r>
          </w:p>
        </w:tc>
        <w:tc>
          <w:tcPr>
            <w:tcW w:w="1576" w:type="dxa"/>
            <w:tcBorders>
              <w:top w:val="single" w:sz="4" w:space="0" w:color="365F91"/>
              <w:bottom w:val="single" w:sz="4" w:space="0" w:color="365F91"/>
            </w:tcBorders>
            <w:shd w:val="clear" w:color="auto" w:fill="365F91"/>
            <w:vAlign w:val="bottom"/>
          </w:tcPr>
          <w:p w14:paraId="33E6FD9E" w14:textId="77777777" w:rsidR="00005A00" w:rsidRPr="00256982" w:rsidRDefault="00005A00" w:rsidP="00AA14F1">
            <w:pPr>
              <w:pStyle w:val="TableTextBold"/>
              <w:spacing w:before="40" w:after="40"/>
              <w:jc w:val="center"/>
              <w:rPr>
                <w:noProof w:val="0"/>
                <w:color w:val="FFFFFF"/>
              </w:rPr>
            </w:pPr>
            <w:r w:rsidRPr="00256982">
              <w:rPr>
                <w:noProof w:val="0"/>
                <w:color w:val="FFFFFF"/>
              </w:rPr>
              <w:t xml:space="preserve">Total industrial </w:t>
            </w:r>
            <w:r w:rsidRPr="00256982">
              <w:rPr>
                <w:noProof w:val="0"/>
                <w:color w:val="FFFFFF"/>
              </w:rPr>
              <w:br/>
              <w:t>N in effluent (kt)</w:t>
            </w:r>
          </w:p>
        </w:tc>
      </w:tr>
      <w:tr w:rsidR="00005A00" w:rsidRPr="00256982" w14:paraId="65BE9255" w14:textId="77777777" w:rsidTr="00AA14F1">
        <w:tc>
          <w:tcPr>
            <w:tcW w:w="925" w:type="dxa"/>
            <w:tcBorders>
              <w:top w:val="single" w:sz="4" w:space="0" w:color="365F91"/>
              <w:bottom w:val="single" w:sz="4" w:space="0" w:color="365F91"/>
            </w:tcBorders>
          </w:tcPr>
          <w:p w14:paraId="706DBB9D" w14:textId="77777777" w:rsidR="00005A00" w:rsidRPr="00256982" w:rsidRDefault="00005A00" w:rsidP="00AA14F1">
            <w:pPr>
              <w:pStyle w:val="TableTextBold"/>
              <w:spacing w:before="40" w:after="40"/>
              <w:rPr>
                <w:noProof w:val="0"/>
              </w:rPr>
            </w:pPr>
            <w:r w:rsidRPr="00256982">
              <w:rPr>
                <w:noProof w:val="0"/>
              </w:rPr>
              <w:t>1990</w:t>
            </w:r>
          </w:p>
        </w:tc>
        <w:tc>
          <w:tcPr>
            <w:tcW w:w="1590" w:type="dxa"/>
            <w:tcBorders>
              <w:top w:val="single" w:sz="4" w:space="0" w:color="365F91"/>
              <w:bottom w:val="single" w:sz="4" w:space="0" w:color="365F91"/>
            </w:tcBorders>
            <w:shd w:val="clear" w:color="auto" w:fill="auto"/>
          </w:tcPr>
          <w:p w14:paraId="3CC36322" w14:textId="77777777" w:rsidR="00005A00" w:rsidRPr="00256982" w:rsidRDefault="00005A00" w:rsidP="00AA14F1">
            <w:pPr>
              <w:pStyle w:val="TableText"/>
              <w:spacing w:before="40" w:after="40"/>
              <w:jc w:val="center"/>
              <w:rPr>
                <w:rFonts w:cs="Arial"/>
                <w:szCs w:val="16"/>
                <w:highlight w:val="yellow"/>
              </w:rPr>
            </w:pPr>
            <w:r w:rsidRPr="00256982">
              <w:t>1.37</w:t>
            </w:r>
          </w:p>
        </w:tc>
        <w:tc>
          <w:tcPr>
            <w:tcW w:w="1548" w:type="dxa"/>
            <w:tcBorders>
              <w:top w:val="single" w:sz="4" w:space="0" w:color="365F91"/>
              <w:bottom w:val="single" w:sz="4" w:space="0" w:color="365F91"/>
            </w:tcBorders>
          </w:tcPr>
          <w:p w14:paraId="2EBED4D0" w14:textId="77777777" w:rsidR="00005A00" w:rsidRPr="00256982" w:rsidRDefault="00005A00" w:rsidP="00AA14F1">
            <w:pPr>
              <w:pStyle w:val="TableText"/>
              <w:spacing w:before="40" w:after="40"/>
              <w:jc w:val="center"/>
              <w:rPr>
                <w:rFonts w:cs="Arial"/>
                <w:szCs w:val="16"/>
                <w:highlight w:val="yellow"/>
              </w:rPr>
            </w:pPr>
            <w:r w:rsidRPr="00256982">
              <w:t>0.07</w:t>
            </w:r>
          </w:p>
        </w:tc>
        <w:tc>
          <w:tcPr>
            <w:tcW w:w="1616" w:type="dxa"/>
            <w:tcBorders>
              <w:top w:val="single" w:sz="4" w:space="0" w:color="365F91"/>
              <w:bottom w:val="single" w:sz="4" w:space="0" w:color="365F91"/>
            </w:tcBorders>
            <w:shd w:val="clear" w:color="auto" w:fill="auto"/>
          </w:tcPr>
          <w:p w14:paraId="69F6F1A6" w14:textId="77777777" w:rsidR="00005A00" w:rsidRPr="00256982" w:rsidRDefault="00005A00" w:rsidP="00AA14F1">
            <w:pPr>
              <w:pStyle w:val="TableText"/>
              <w:spacing w:before="40" w:after="40"/>
              <w:jc w:val="center"/>
              <w:rPr>
                <w:rFonts w:cs="Arial"/>
                <w:szCs w:val="16"/>
                <w:highlight w:val="yellow"/>
              </w:rPr>
            </w:pPr>
            <w:r w:rsidRPr="00256982">
              <w:t>0.16</w:t>
            </w:r>
          </w:p>
        </w:tc>
        <w:tc>
          <w:tcPr>
            <w:tcW w:w="1358" w:type="dxa"/>
            <w:tcBorders>
              <w:top w:val="single" w:sz="4" w:space="0" w:color="365F91"/>
              <w:bottom w:val="single" w:sz="4" w:space="0" w:color="365F91"/>
            </w:tcBorders>
          </w:tcPr>
          <w:p w14:paraId="41A14F16" w14:textId="77777777" w:rsidR="00005A00" w:rsidRPr="00256982" w:rsidRDefault="00005A00" w:rsidP="00AA14F1">
            <w:pPr>
              <w:pStyle w:val="TableText"/>
              <w:spacing w:before="40" w:after="40"/>
              <w:jc w:val="center"/>
            </w:pPr>
            <w:r w:rsidRPr="00256982">
              <w:t>1.22</w:t>
            </w:r>
          </w:p>
        </w:tc>
        <w:tc>
          <w:tcPr>
            <w:tcW w:w="1576" w:type="dxa"/>
            <w:tcBorders>
              <w:top w:val="single" w:sz="4" w:space="0" w:color="365F91"/>
              <w:bottom w:val="single" w:sz="4" w:space="0" w:color="365F91"/>
            </w:tcBorders>
            <w:shd w:val="clear" w:color="auto" w:fill="auto"/>
          </w:tcPr>
          <w:p w14:paraId="6463DA67" w14:textId="77777777" w:rsidR="00005A00" w:rsidRPr="00256982" w:rsidRDefault="00005A00" w:rsidP="00AA14F1">
            <w:pPr>
              <w:pStyle w:val="TableText"/>
              <w:spacing w:before="40" w:after="40"/>
              <w:jc w:val="center"/>
              <w:rPr>
                <w:rFonts w:cs="Arial"/>
                <w:szCs w:val="16"/>
                <w:highlight w:val="yellow"/>
              </w:rPr>
            </w:pPr>
            <w:r w:rsidRPr="00256982">
              <w:t>2.82</w:t>
            </w:r>
          </w:p>
        </w:tc>
      </w:tr>
      <w:tr w:rsidR="00005A00" w:rsidRPr="00256982" w14:paraId="7C75B422" w14:textId="77777777" w:rsidTr="00AA14F1">
        <w:tc>
          <w:tcPr>
            <w:tcW w:w="925" w:type="dxa"/>
            <w:tcBorders>
              <w:top w:val="single" w:sz="4" w:space="0" w:color="365F91"/>
              <w:bottom w:val="single" w:sz="4" w:space="0" w:color="365F91"/>
            </w:tcBorders>
          </w:tcPr>
          <w:p w14:paraId="5B00BCD1" w14:textId="77777777" w:rsidR="00005A00" w:rsidRPr="00256982" w:rsidRDefault="00005A00" w:rsidP="00AA14F1">
            <w:pPr>
              <w:pStyle w:val="TableTextBold"/>
              <w:spacing w:before="40" w:after="40"/>
              <w:rPr>
                <w:noProof w:val="0"/>
              </w:rPr>
            </w:pPr>
            <w:r w:rsidRPr="00256982">
              <w:rPr>
                <w:noProof w:val="0"/>
              </w:rPr>
              <w:t>1991</w:t>
            </w:r>
          </w:p>
        </w:tc>
        <w:tc>
          <w:tcPr>
            <w:tcW w:w="1590" w:type="dxa"/>
            <w:tcBorders>
              <w:top w:val="single" w:sz="4" w:space="0" w:color="365F91"/>
              <w:bottom w:val="single" w:sz="4" w:space="0" w:color="365F91"/>
            </w:tcBorders>
            <w:shd w:val="clear" w:color="auto" w:fill="auto"/>
          </w:tcPr>
          <w:p w14:paraId="46587405" w14:textId="77777777" w:rsidR="00005A00" w:rsidRPr="00256982" w:rsidRDefault="00005A00" w:rsidP="00AA14F1">
            <w:pPr>
              <w:pStyle w:val="TableText"/>
              <w:spacing w:before="40" w:after="40"/>
              <w:jc w:val="center"/>
              <w:rPr>
                <w:rFonts w:cs="Arial"/>
                <w:szCs w:val="16"/>
                <w:highlight w:val="yellow"/>
              </w:rPr>
            </w:pPr>
            <w:r w:rsidRPr="00256982">
              <w:t>1.45</w:t>
            </w:r>
          </w:p>
        </w:tc>
        <w:tc>
          <w:tcPr>
            <w:tcW w:w="1548" w:type="dxa"/>
            <w:tcBorders>
              <w:top w:val="single" w:sz="4" w:space="0" w:color="365F91"/>
              <w:bottom w:val="single" w:sz="4" w:space="0" w:color="365F91"/>
            </w:tcBorders>
          </w:tcPr>
          <w:p w14:paraId="4A67B257" w14:textId="77777777" w:rsidR="00005A00" w:rsidRPr="00256982" w:rsidRDefault="00005A00" w:rsidP="00AA14F1">
            <w:pPr>
              <w:pStyle w:val="TableText"/>
              <w:spacing w:before="40" w:after="40"/>
              <w:jc w:val="center"/>
              <w:rPr>
                <w:rFonts w:cs="Arial"/>
                <w:szCs w:val="16"/>
                <w:highlight w:val="yellow"/>
              </w:rPr>
            </w:pPr>
            <w:r w:rsidRPr="00256982">
              <w:t>0.07</w:t>
            </w:r>
          </w:p>
        </w:tc>
        <w:tc>
          <w:tcPr>
            <w:tcW w:w="1616" w:type="dxa"/>
            <w:tcBorders>
              <w:top w:val="single" w:sz="4" w:space="0" w:color="365F91"/>
              <w:bottom w:val="single" w:sz="4" w:space="0" w:color="365F91"/>
            </w:tcBorders>
            <w:shd w:val="clear" w:color="auto" w:fill="auto"/>
          </w:tcPr>
          <w:p w14:paraId="07319B3C" w14:textId="77777777" w:rsidR="00005A00" w:rsidRPr="00256982" w:rsidRDefault="00005A00" w:rsidP="00AA14F1">
            <w:pPr>
              <w:pStyle w:val="TableText"/>
              <w:spacing w:before="40" w:after="40"/>
              <w:jc w:val="center"/>
              <w:rPr>
                <w:rFonts w:cs="Arial"/>
                <w:szCs w:val="16"/>
                <w:highlight w:val="yellow"/>
              </w:rPr>
            </w:pPr>
            <w:r w:rsidRPr="00256982">
              <w:t>0.17</w:t>
            </w:r>
          </w:p>
        </w:tc>
        <w:tc>
          <w:tcPr>
            <w:tcW w:w="1358" w:type="dxa"/>
            <w:tcBorders>
              <w:top w:val="single" w:sz="4" w:space="0" w:color="365F91"/>
              <w:bottom w:val="single" w:sz="4" w:space="0" w:color="365F91"/>
            </w:tcBorders>
          </w:tcPr>
          <w:p w14:paraId="151D084B" w14:textId="77777777" w:rsidR="00005A00" w:rsidRPr="00256982" w:rsidRDefault="00005A00" w:rsidP="00AA14F1">
            <w:pPr>
              <w:pStyle w:val="TableText"/>
              <w:spacing w:before="40" w:after="40"/>
              <w:jc w:val="center"/>
            </w:pPr>
            <w:r w:rsidRPr="00256982">
              <w:t>1.22</w:t>
            </w:r>
          </w:p>
        </w:tc>
        <w:tc>
          <w:tcPr>
            <w:tcW w:w="1576" w:type="dxa"/>
            <w:tcBorders>
              <w:top w:val="single" w:sz="4" w:space="0" w:color="365F91"/>
              <w:bottom w:val="single" w:sz="4" w:space="0" w:color="365F91"/>
            </w:tcBorders>
            <w:shd w:val="clear" w:color="auto" w:fill="auto"/>
          </w:tcPr>
          <w:p w14:paraId="15D3E144" w14:textId="77777777" w:rsidR="00005A00" w:rsidRPr="00256982" w:rsidRDefault="00005A00" w:rsidP="00AA14F1">
            <w:pPr>
              <w:pStyle w:val="TableText"/>
              <w:spacing w:before="40" w:after="40"/>
              <w:jc w:val="center"/>
              <w:rPr>
                <w:rFonts w:cs="Arial"/>
                <w:szCs w:val="16"/>
                <w:highlight w:val="yellow"/>
              </w:rPr>
            </w:pPr>
            <w:r w:rsidRPr="00256982">
              <w:t>2.92</w:t>
            </w:r>
          </w:p>
        </w:tc>
      </w:tr>
      <w:tr w:rsidR="00005A00" w:rsidRPr="00256982" w14:paraId="367E2A86" w14:textId="77777777" w:rsidTr="00AA14F1">
        <w:tc>
          <w:tcPr>
            <w:tcW w:w="925" w:type="dxa"/>
            <w:tcBorders>
              <w:top w:val="single" w:sz="4" w:space="0" w:color="365F91"/>
              <w:bottom w:val="single" w:sz="4" w:space="0" w:color="365F91"/>
            </w:tcBorders>
          </w:tcPr>
          <w:p w14:paraId="4A8C72AA" w14:textId="77777777" w:rsidR="00005A00" w:rsidRPr="00256982" w:rsidRDefault="00005A00" w:rsidP="00AA14F1">
            <w:pPr>
              <w:pStyle w:val="TableTextBold"/>
              <w:spacing w:before="40" w:after="40"/>
              <w:rPr>
                <w:noProof w:val="0"/>
              </w:rPr>
            </w:pPr>
            <w:r w:rsidRPr="00256982">
              <w:rPr>
                <w:noProof w:val="0"/>
              </w:rPr>
              <w:t>1992</w:t>
            </w:r>
          </w:p>
        </w:tc>
        <w:tc>
          <w:tcPr>
            <w:tcW w:w="1590" w:type="dxa"/>
            <w:tcBorders>
              <w:top w:val="single" w:sz="4" w:space="0" w:color="365F91"/>
              <w:bottom w:val="single" w:sz="4" w:space="0" w:color="365F91"/>
            </w:tcBorders>
            <w:shd w:val="clear" w:color="auto" w:fill="auto"/>
          </w:tcPr>
          <w:p w14:paraId="0917B668" w14:textId="77777777" w:rsidR="00005A00" w:rsidRPr="00256982" w:rsidRDefault="00005A00" w:rsidP="00AA14F1">
            <w:pPr>
              <w:pStyle w:val="TableText"/>
              <w:spacing w:before="40" w:after="40"/>
              <w:jc w:val="center"/>
              <w:rPr>
                <w:rFonts w:cs="Arial"/>
                <w:szCs w:val="16"/>
                <w:highlight w:val="yellow"/>
              </w:rPr>
            </w:pPr>
            <w:r w:rsidRPr="00256982">
              <w:t>1.58</w:t>
            </w:r>
          </w:p>
        </w:tc>
        <w:tc>
          <w:tcPr>
            <w:tcW w:w="1548" w:type="dxa"/>
            <w:tcBorders>
              <w:top w:val="single" w:sz="4" w:space="0" w:color="365F91"/>
              <w:bottom w:val="single" w:sz="4" w:space="0" w:color="365F91"/>
            </w:tcBorders>
          </w:tcPr>
          <w:p w14:paraId="6DBD74AB" w14:textId="77777777" w:rsidR="00005A00" w:rsidRPr="00256982" w:rsidRDefault="00005A00" w:rsidP="00AA14F1">
            <w:pPr>
              <w:pStyle w:val="TableText"/>
              <w:spacing w:before="40" w:after="40"/>
              <w:jc w:val="center"/>
              <w:rPr>
                <w:rFonts w:cs="Arial"/>
                <w:szCs w:val="16"/>
                <w:highlight w:val="yellow"/>
              </w:rPr>
            </w:pPr>
            <w:r w:rsidRPr="00256982">
              <w:t>0.08</w:t>
            </w:r>
          </w:p>
        </w:tc>
        <w:tc>
          <w:tcPr>
            <w:tcW w:w="1616" w:type="dxa"/>
            <w:tcBorders>
              <w:top w:val="single" w:sz="4" w:space="0" w:color="365F91"/>
              <w:bottom w:val="single" w:sz="4" w:space="0" w:color="365F91"/>
            </w:tcBorders>
            <w:shd w:val="clear" w:color="auto" w:fill="auto"/>
          </w:tcPr>
          <w:p w14:paraId="1831A980" w14:textId="77777777" w:rsidR="00005A00" w:rsidRPr="00256982" w:rsidRDefault="00005A00" w:rsidP="00AA14F1">
            <w:pPr>
              <w:pStyle w:val="TableText"/>
              <w:spacing w:before="40" w:after="40"/>
              <w:jc w:val="center"/>
              <w:rPr>
                <w:rFonts w:cs="Arial"/>
                <w:szCs w:val="16"/>
                <w:highlight w:val="yellow"/>
              </w:rPr>
            </w:pPr>
            <w:r w:rsidRPr="00256982">
              <w:t>0.17</w:t>
            </w:r>
          </w:p>
        </w:tc>
        <w:tc>
          <w:tcPr>
            <w:tcW w:w="1358" w:type="dxa"/>
            <w:tcBorders>
              <w:top w:val="single" w:sz="4" w:space="0" w:color="365F91"/>
              <w:bottom w:val="single" w:sz="4" w:space="0" w:color="365F91"/>
            </w:tcBorders>
          </w:tcPr>
          <w:p w14:paraId="44406433" w14:textId="77777777" w:rsidR="00005A00" w:rsidRPr="00256982" w:rsidRDefault="00005A00" w:rsidP="00AA14F1">
            <w:pPr>
              <w:pStyle w:val="TableText"/>
              <w:spacing w:before="40" w:after="40"/>
              <w:jc w:val="center"/>
            </w:pPr>
            <w:r w:rsidRPr="00256982">
              <w:t>1.22</w:t>
            </w:r>
          </w:p>
        </w:tc>
        <w:tc>
          <w:tcPr>
            <w:tcW w:w="1576" w:type="dxa"/>
            <w:tcBorders>
              <w:top w:val="single" w:sz="4" w:space="0" w:color="365F91"/>
              <w:bottom w:val="single" w:sz="4" w:space="0" w:color="365F91"/>
            </w:tcBorders>
            <w:shd w:val="clear" w:color="auto" w:fill="auto"/>
          </w:tcPr>
          <w:p w14:paraId="7550C40D" w14:textId="77777777" w:rsidR="00005A00" w:rsidRPr="00256982" w:rsidRDefault="00005A00" w:rsidP="00AA14F1">
            <w:pPr>
              <w:pStyle w:val="TableText"/>
              <w:spacing w:before="40" w:after="40"/>
              <w:jc w:val="center"/>
              <w:rPr>
                <w:rFonts w:cs="Arial"/>
                <w:szCs w:val="16"/>
                <w:highlight w:val="yellow"/>
              </w:rPr>
            </w:pPr>
            <w:r w:rsidRPr="00256982">
              <w:t>3.06</w:t>
            </w:r>
          </w:p>
        </w:tc>
      </w:tr>
      <w:tr w:rsidR="00005A00" w:rsidRPr="00256982" w14:paraId="39D1AE50" w14:textId="77777777" w:rsidTr="00AA14F1">
        <w:tc>
          <w:tcPr>
            <w:tcW w:w="925" w:type="dxa"/>
            <w:tcBorders>
              <w:top w:val="single" w:sz="4" w:space="0" w:color="365F91"/>
              <w:bottom w:val="single" w:sz="4" w:space="0" w:color="365F91"/>
            </w:tcBorders>
          </w:tcPr>
          <w:p w14:paraId="21321DA4" w14:textId="77777777" w:rsidR="00005A00" w:rsidRPr="00256982" w:rsidRDefault="00005A00" w:rsidP="00AA14F1">
            <w:pPr>
              <w:pStyle w:val="TableTextBold"/>
              <w:spacing w:before="40" w:after="40"/>
              <w:rPr>
                <w:noProof w:val="0"/>
              </w:rPr>
            </w:pPr>
            <w:r w:rsidRPr="00256982">
              <w:rPr>
                <w:noProof w:val="0"/>
              </w:rPr>
              <w:t>1993</w:t>
            </w:r>
          </w:p>
        </w:tc>
        <w:tc>
          <w:tcPr>
            <w:tcW w:w="1590" w:type="dxa"/>
            <w:tcBorders>
              <w:top w:val="single" w:sz="4" w:space="0" w:color="365F91"/>
              <w:bottom w:val="single" w:sz="4" w:space="0" w:color="365F91"/>
            </w:tcBorders>
            <w:shd w:val="clear" w:color="auto" w:fill="auto"/>
          </w:tcPr>
          <w:p w14:paraId="1AA7D095" w14:textId="77777777" w:rsidR="00005A00" w:rsidRPr="00256982" w:rsidRDefault="00005A00" w:rsidP="00AA14F1">
            <w:pPr>
              <w:pStyle w:val="TableText"/>
              <w:spacing w:before="40" w:after="40"/>
              <w:jc w:val="center"/>
              <w:rPr>
                <w:highlight w:val="yellow"/>
              </w:rPr>
            </w:pPr>
            <w:r w:rsidRPr="00256982">
              <w:t>1.44</w:t>
            </w:r>
          </w:p>
        </w:tc>
        <w:tc>
          <w:tcPr>
            <w:tcW w:w="1548" w:type="dxa"/>
            <w:tcBorders>
              <w:top w:val="single" w:sz="4" w:space="0" w:color="365F91"/>
              <w:bottom w:val="single" w:sz="4" w:space="0" w:color="365F91"/>
            </w:tcBorders>
          </w:tcPr>
          <w:p w14:paraId="32F999DB" w14:textId="77777777" w:rsidR="00005A00" w:rsidRPr="00256982" w:rsidRDefault="00005A00" w:rsidP="00AA14F1">
            <w:pPr>
              <w:pStyle w:val="TableText"/>
              <w:spacing w:before="40" w:after="40"/>
              <w:jc w:val="center"/>
              <w:rPr>
                <w:highlight w:val="yellow"/>
              </w:rPr>
            </w:pPr>
            <w:r w:rsidRPr="00256982">
              <w:t>0.09</w:t>
            </w:r>
          </w:p>
        </w:tc>
        <w:tc>
          <w:tcPr>
            <w:tcW w:w="1616" w:type="dxa"/>
            <w:tcBorders>
              <w:top w:val="single" w:sz="4" w:space="0" w:color="365F91"/>
              <w:bottom w:val="single" w:sz="4" w:space="0" w:color="365F91"/>
            </w:tcBorders>
            <w:shd w:val="clear" w:color="auto" w:fill="auto"/>
          </w:tcPr>
          <w:p w14:paraId="2C90231A" w14:textId="77777777" w:rsidR="00005A00" w:rsidRPr="00256982" w:rsidRDefault="00005A00" w:rsidP="00AA14F1">
            <w:pPr>
              <w:pStyle w:val="TableText"/>
              <w:spacing w:before="40" w:after="40"/>
              <w:jc w:val="center"/>
              <w:rPr>
                <w:highlight w:val="yellow"/>
              </w:rPr>
            </w:pPr>
            <w:r w:rsidRPr="00256982">
              <w:t>0.18</w:t>
            </w:r>
          </w:p>
        </w:tc>
        <w:tc>
          <w:tcPr>
            <w:tcW w:w="1358" w:type="dxa"/>
            <w:tcBorders>
              <w:top w:val="single" w:sz="4" w:space="0" w:color="365F91"/>
              <w:bottom w:val="single" w:sz="4" w:space="0" w:color="365F91"/>
            </w:tcBorders>
          </w:tcPr>
          <w:p w14:paraId="309F6D4B" w14:textId="77777777" w:rsidR="00005A00" w:rsidRPr="00256982" w:rsidRDefault="00005A00" w:rsidP="00AA14F1">
            <w:pPr>
              <w:pStyle w:val="TableText"/>
              <w:spacing w:before="40" w:after="40"/>
              <w:jc w:val="center"/>
            </w:pPr>
            <w:r w:rsidRPr="00256982">
              <w:t>1.22</w:t>
            </w:r>
          </w:p>
        </w:tc>
        <w:tc>
          <w:tcPr>
            <w:tcW w:w="1576" w:type="dxa"/>
            <w:tcBorders>
              <w:top w:val="single" w:sz="4" w:space="0" w:color="365F91"/>
              <w:bottom w:val="single" w:sz="4" w:space="0" w:color="365F91"/>
            </w:tcBorders>
            <w:shd w:val="clear" w:color="auto" w:fill="auto"/>
          </w:tcPr>
          <w:p w14:paraId="6F30AFB5" w14:textId="77777777" w:rsidR="00005A00" w:rsidRPr="00256982" w:rsidRDefault="00005A00" w:rsidP="00AA14F1">
            <w:pPr>
              <w:pStyle w:val="TableText"/>
              <w:spacing w:before="40" w:after="40"/>
              <w:jc w:val="center"/>
              <w:rPr>
                <w:highlight w:val="yellow"/>
              </w:rPr>
            </w:pPr>
            <w:r w:rsidRPr="00256982">
              <w:t>2.93</w:t>
            </w:r>
          </w:p>
        </w:tc>
      </w:tr>
      <w:tr w:rsidR="00005A00" w:rsidRPr="00256982" w14:paraId="5329354C" w14:textId="77777777" w:rsidTr="00AA14F1">
        <w:tc>
          <w:tcPr>
            <w:tcW w:w="925" w:type="dxa"/>
            <w:tcBorders>
              <w:top w:val="single" w:sz="4" w:space="0" w:color="365F91"/>
              <w:bottom w:val="single" w:sz="4" w:space="0" w:color="365F91"/>
            </w:tcBorders>
          </w:tcPr>
          <w:p w14:paraId="3C18FAC5" w14:textId="77777777" w:rsidR="00005A00" w:rsidRPr="00256982" w:rsidRDefault="00005A00" w:rsidP="00AA14F1">
            <w:pPr>
              <w:pStyle w:val="TableTextBold"/>
              <w:spacing w:before="40" w:after="40"/>
              <w:rPr>
                <w:noProof w:val="0"/>
              </w:rPr>
            </w:pPr>
            <w:r w:rsidRPr="00256982">
              <w:rPr>
                <w:noProof w:val="0"/>
              </w:rPr>
              <w:t>1994</w:t>
            </w:r>
          </w:p>
        </w:tc>
        <w:tc>
          <w:tcPr>
            <w:tcW w:w="1590" w:type="dxa"/>
            <w:tcBorders>
              <w:top w:val="single" w:sz="4" w:space="0" w:color="365F91"/>
              <w:bottom w:val="single" w:sz="4" w:space="0" w:color="365F91"/>
            </w:tcBorders>
            <w:shd w:val="clear" w:color="auto" w:fill="auto"/>
          </w:tcPr>
          <w:p w14:paraId="25592AE3" w14:textId="77777777" w:rsidR="00005A00" w:rsidRPr="00256982" w:rsidRDefault="00005A00" w:rsidP="00AA14F1">
            <w:pPr>
              <w:pStyle w:val="TableText"/>
              <w:spacing w:before="40" w:after="40"/>
              <w:jc w:val="center"/>
              <w:rPr>
                <w:highlight w:val="yellow"/>
              </w:rPr>
            </w:pPr>
            <w:r w:rsidRPr="00256982">
              <w:t>1.50</w:t>
            </w:r>
          </w:p>
        </w:tc>
        <w:tc>
          <w:tcPr>
            <w:tcW w:w="1548" w:type="dxa"/>
            <w:tcBorders>
              <w:top w:val="single" w:sz="4" w:space="0" w:color="365F91"/>
              <w:bottom w:val="single" w:sz="4" w:space="0" w:color="365F91"/>
            </w:tcBorders>
          </w:tcPr>
          <w:p w14:paraId="68CF1FB4" w14:textId="77777777" w:rsidR="00005A00" w:rsidRPr="00256982" w:rsidRDefault="00005A00" w:rsidP="00AA14F1">
            <w:pPr>
              <w:pStyle w:val="TableText"/>
              <w:spacing w:before="40" w:after="40"/>
              <w:jc w:val="center"/>
              <w:rPr>
                <w:highlight w:val="yellow"/>
              </w:rPr>
            </w:pPr>
            <w:r w:rsidRPr="00256982">
              <w:t>0.10</w:t>
            </w:r>
          </w:p>
        </w:tc>
        <w:tc>
          <w:tcPr>
            <w:tcW w:w="1616" w:type="dxa"/>
            <w:tcBorders>
              <w:top w:val="single" w:sz="4" w:space="0" w:color="365F91"/>
              <w:bottom w:val="single" w:sz="4" w:space="0" w:color="365F91"/>
            </w:tcBorders>
            <w:shd w:val="clear" w:color="auto" w:fill="auto"/>
          </w:tcPr>
          <w:p w14:paraId="6D00230A" w14:textId="77777777" w:rsidR="00005A00" w:rsidRPr="00256982" w:rsidRDefault="00005A00" w:rsidP="00AA14F1">
            <w:pPr>
              <w:pStyle w:val="TableText"/>
              <w:spacing w:before="40" w:after="40"/>
              <w:jc w:val="center"/>
              <w:rPr>
                <w:highlight w:val="yellow"/>
              </w:rPr>
            </w:pPr>
            <w:r w:rsidRPr="00256982">
              <w:t>0.20</w:t>
            </w:r>
          </w:p>
        </w:tc>
        <w:tc>
          <w:tcPr>
            <w:tcW w:w="1358" w:type="dxa"/>
            <w:tcBorders>
              <w:top w:val="single" w:sz="4" w:space="0" w:color="365F91"/>
              <w:bottom w:val="single" w:sz="4" w:space="0" w:color="365F91"/>
            </w:tcBorders>
          </w:tcPr>
          <w:p w14:paraId="394D30FE" w14:textId="77777777" w:rsidR="00005A00" w:rsidRPr="00256982" w:rsidRDefault="00005A00" w:rsidP="00AA14F1">
            <w:pPr>
              <w:pStyle w:val="TableText"/>
              <w:spacing w:before="40" w:after="40"/>
              <w:jc w:val="center"/>
            </w:pPr>
            <w:r w:rsidRPr="00256982">
              <w:t>1.22</w:t>
            </w:r>
          </w:p>
        </w:tc>
        <w:tc>
          <w:tcPr>
            <w:tcW w:w="1576" w:type="dxa"/>
            <w:tcBorders>
              <w:top w:val="single" w:sz="4" w:space="0" w:color="365F91"/>
              <w:bottom w:val="single" w:sz="4" w:space="0" w:color="365F91"/>
            </w:tcBorders>
            <w:shd w:val="clear" w:color="auto" w:fill="auto"/>
          </w:tcPr>
          <w:p w14:paraId="615D4B93" w14:textId="77777777" w:rsidR="00005A00" w:rsidRPr="00256982" w:rsidRDefault="00005A00" w:rsidP="00AA14F1">
            <w:pPr>
              <w:pStyle w:val="TableText"/>
              <w:spacing w:before="40" w:after="40"/>
              <w:jc w:val="center"/>
              <w:rPr>
                <w:highlight w:val="yellow"/>
              </w:rPr>
            </w:pPr>
            <w:r w:rsidRPr="00256982">
              <w:t>3.03</w:t>
            </w:r>
          </w:p>
        </w:tc>
      </w:tr>
      <w:tr w:rsidR="00005A00" w:rsidRPr="00256982" w14:paraId="5BB9729F" w14:textId="77777777" w:rsidTr="00AA14F1">
        <w:tc>
          <w:tcPr>
            <w:tcW w:w="925" w:type="dxa"/>
            <w:tcBorders>
              <w:top w:val="single" w:sz="4" w:space="0" w:color="365F91"/>
              <w:bottom w:val="single" w:sz="4" w:space="0" w:color="365F91"/>
            </w:tcBorders>
          </w:tcPr>
          <w:p w14:paraId="6EEE77DA" w14:textId="77777777" w:rsidR="00005A00" w:rsidRPr="00256982" w:rsidRDefault="00005A00" w:rsidP="00AA14F1">
            <w:pPr>
              <w:pStyle w:val="TableTextBold"/>
              <w:spacing w:before="40" w:after="40"/>
              <w:rPr>
                <w:noProof w:val="0"/>
              </w:rPr>
            </w:pPr>
            <w:r w:rsidRPr="00256982">
              <w:rPr>
                <w:noProof w:val="0"/>
              </w:rPr>
              <w:t>1995</w:t>
            </w:r>
          </w:p>
        </w:tc>
        <w:tc>
          <w:tcPr>
            <w:tcW w:w="1590" w:type="dxa"/>
            <w:tcBorders>
              <w:top w:val="single" w:sz="4" w:space="0" w:color="365F91"/>
              <w:bottom w:val="single" w:sz="4" w:space="0" w:color="365F91"/>
            </w:tcBorders>
            <w:shd w:val="clear" w:color="auto" w:fill="auto"/>
          </w:tcPr>
          <w:p w14:paraId="4D78DED4" w14:textId="77777777" w:rsidR="00005A00" w:rsidRPr="00256982" w:rsidRDefault="00005A00" w:rsidP="00AA14F1">
            <w:pPr>
              <w:pStyle w:val="TableText"/>
              <w:spacing w:before="40" w:after="40"/>
              <w:jc w:val="center"/>
              <w:rPr>
                <w:highlight w:val="yellow"/>
              </w:rPr>
            </w:pPr>
            <w:r w:rsidRPr="00256982">
              <w:t>1.56</w:t>
            </w:r>
          </w:p>
        </w:tc>
        <w:tc>
          <w:tcPr>
            <w:tcW w:w="1548" w:type="dxa"/>
            <w:tcBorders>
              <w:top w:val="single" w:sz="4" w:space="0" w:color="365F91"/>
              <w:bottom w:val="single" w:sz="4" w:space="0" w:color="365F91"/>
            </w:tcBorders>
          </w:tcPr>
          <w:p w14:paraId="310955F1" w14:textId="77777777" w:rsidR="00005A00" w:rsidRPr="00256982" w:rsidRDefault="00005A00" w:rsidP="00AA14F1">
            <w:pPr>
              <w:pStyle w:val="TableText"/>
              <w:spacing w:before="40" w:after="40"/>
              <w:jc w:val="center"/>
              <w:rPr>
                <w:highlight w:val="yellow"/>
              </w:rPr>
            </w:pPr>
            <w:r w:rsidRPr="00256982">
              <w:t>0.11</w:t>
            </w:r>
          </w:p>
        </w:tc>
        <w:tc>
          <w:tcPr>
            <w:tcW w:w="1616" w:type="dxa"/>
            <w:tcBorders>
              <w:top w:val="single" w:sz="4" w:space="0" w:color="365F91"/>
              <w:bottom w:val="single" w:sz="4" w:space="0" w:color="365F91"/>
            </w:tcBorders>
            <w:shd w:val="clear" w:color="auto" w:fill="auto"/>
          </w:tcPr>
          <w:p w14:paraId="4E32B9BE" w14:textId="77777777" w:rsidR="00005A00" w:rsidRPr="00256982" w:rsidRDefault="00005A00" w:rsidP="00AA14F1">
            <w:pPr>
              <w:pStyle w:val="TableText"/>
              <w:spacing w:before="40" w:after="40"/>
              <w:jc w:val="center"/>
              <w:rPr>
                <w:highlight w:val="yellow"/>
              </w:rPr>
            </w:pPr>
            <w:r w:rsidRPr="00256982">
              <w:t>0.20</w:t>
            </w:r>
          </w:p>
        </w:tc>
        <w:tc>
          <w:tcPr>
            <w:tcW w:w="1358" w:type="dxa"/>
            <w:tcBorders>
              <w:top w:val="single" w:sz="4" w:space="0" w:color="365F91"/>
              <w:bottom w:val="single" w:sz="4" w:space="0" w:color="365F91"/>
            </w:tcBorders>
          </w:tcPr>
          <w:p w14:paraId="0B0C9AE6" w14:textId="77777777" w:rsidR="00005A00" w:rsidRPr="00256982" w:rsidRDefault="00005A00" w:rsidP="00AA14F1">
            <w:pPr>
              <w:pStyle w:val="TableText"/>
              <w:spacing w:before="40" w:after="40"/>
              <w:jc w:val="center"/>
            </w:pPr>
            <w:r w:rsidRPr="00256982">
              <w:t>1.22</w:t>
            </w:r>
          </w:p>
        </w:tc>
        <w:tc>
          <w:tcPr>
            <w:tcW w:w="1576" w:type="dxa"/>
            <w:tcBorders>
              <w:top w:val="single" w:sz="4" w:space="0" w:color="365F91"/>
              <w:bottom w:val="single" w:sz="4" w:space="0" w:color="365F91"/>
            </w:tcBorders>
            <w:shd w:val="clear" w:color="auto" w:fill="auto"/>
          </w:tcPr>
          <w:p w14:paraId="7D9F1A1B" w14:textId="77777777" w:rsidR="00005A00" w:rsidRPr="00256982" w:rsidRDefault="00005A00" w:rsidP="00AA14F1">
            <w:pPr>
              <w:pStyle w:val="TableText"/>
              <w:spacing w:before="40" w:after="40"/>
              <w:jc w:val="center"/>
              <w:rPr>
                <w:highlight w:val="yellow"/>
              </w:rPr>
            </w:pPr>
            <w:r w:rsidRPr="00256982">
              <w:t>3.09</w:t>
            </w:r>
          </w:p>
        </w:tc>
      </w:tr>
      <w:tr w:rsidR="00005A00" w:rsidRPr="00256982" w14:paraId="1192333C" w14:textId="77777777" w:rsidTr="00AA14F1">
        <w:tc>
          <w:tcPr>
            <w:tcW w:w="925" w:type="dxa"/>
            <w:tcBorders>
              <w:top w:val="single" w:sz="4" w:space="0" w:color="365F91"/>
              <w:bottom w:val="single" w:sz="4" w:space="0" w:color="365F91"/>
            </w:tcBorders>
          </w:tcPr>
          <w:p w14:paraId="746F1E7E" w14:textId="77777777" w:rsidR="00005A00" w:rsidRPr="00256982" w:rsidRDefault="00005A00" w:rsidP="00AA14F1">
            <w:pPr>
              <w:pStyle w:val="TableTextBold"/>
              <w:spacing w:before="40" w:after="40"/>
              <w:rPr>
                <w:noProof w:val="0"/>
              </w:rPr>
            </w:pPr>
            <w:r w:rsidRPr="00256982">
              <w:rPr>
                <w:noProof w:val="0"/>
              </w:rPr>
              <w:t>1996</w:t>
            </w:r>
          </w:p>
        </w:tc>
        <w:tc>
          <w:tcPr>
            <w:tcW w:w="1590" w:type="dxa"/>
            <w:tcBorders>
              <w:top w:val="single" w:sz="4" w:space="0" w:color="365F91"/>
              <w:bottom w:val="single" w:sz="4" w:space="0" w:color="365F91"/>
            </w:tcBorders>
            <w:shd w:val="clear" w:color="auto" w:fill="auto"/>
          </w:tcPr>
          <w:p w14:paraId="65F1B4B8" w14:textId="77777777" w:rsidR="00005A00" w:rsidRPr="00256982" w:rsidRDefault="00005A00" w:rsidP="00AA14F1">
            <w:pPr>
              <w:pStyle w:val="TableText"/>
              <w:spacing w:before="40" w:after="40"/>
              <w:jc w:val="center"/>
              <w:rPr>
                <w:highlight w:val="yellow"/>
              </w:rPr>
            </w:pPr>
            <w:r w:rsidRPr="00256982">
              <w:t>1.59</w:t>
            </w:r>
          </w:p>
        </w:tc>
        <w:tc>
          <w:tcPr>
            <w:tcW w:w="1548" w:type="dxa"/>
            <w:tcBorders>
              <w:top w:val="single" w:sz="4" w:space="0" w:color="365F91"/>
              <w:bottom w:val="single" w:sz="4" w:space="0" w:color="365F91"/>
            </w:tcBorders>
          </w:tcPr>
          <w:p w14:paraId="04AED4E2" w14:textId="77777777" w:rsidR="00005A00" w:rsidRPr="00256982" w:rsidRDefault="00005A00" w:rsidP="00AA14F1">
            <w:pPr>
              <w:pStyle w:val="TableText"/>
              <w:spacing w:before="40" w:after="40"/>
              <w:jc w:val="center"/>
              <w:rPr>
                <w:highlight w:val="yellow"/>
              </w:rPr>
            </w:pPr>
            <w:r w:rsidRPr="00256982">
              <w:t>0.11</w:t>
            </w:r>
          </w:p>
        </w:tc>
        <w:tc>
          <w:tcPr>
            <w:tcW w:w="1616" w:type="dxa"/>
            <w:tcBorders>
              <w:top w:val="single" w:sz="4" w:space="0" w:color="365F91"/>
              <w:bottom w:val="single" w:sz="4" w:space="0" w:color="365F91"/>
            </w:tcBorders>
            <w:shd w:val="clear" w:color="auto" w:fill="auto"/>
          </w:tcPr>
          <w:p w14:paraId="42299401" w14:textId="77777777" w:rsidR="00005A00" w:rsidRPr="00256982" w:rsidRDefault="00005A00" w:rsidP="00AA14F1">
            <w:pPr>
              <w:pStyle w:val="TableText"/>
              <w:spacing w:before="40" w:after="40"/>
              <w:jc w:val="center"/>
              <w:rPr>
                <w:highlight w:val="yellow"/>
              </w:rPr>
            </w:pPr>
            <w:r w:rsidRPr="00256982">
              <w:t>0.22</w:t>
            </w:r>
          </w:p>
        </w:tc>
        <w:tc>
          <w:tcPr>
            <w:tcW w:w="1358" w:type="dxa"/>
            <w:tcBorders>
              <w:top w:val="single" w:sz="4" w:space="0" w:color="365F91"/>
              <w:bottom w:val="single" w:sz="4" w:space="0" w:color="365F91"/>
            </w:tcBorders>
          </w:tcPr>
          <w:p w14:paraId="501FC327" w14:textId="77777777" w:rsidR="00005A00" w:rsidRPr="00256982" w:rsidRDefault="00005A00" w:rsidP="00AA14F1">
            <w:pPr>
              <w:pStyle w:val="TableText"/>
              <w:spacing w:before="40" w:after="40"/>
              <w:jc w:val="center"/>
            </w:pPr>
            <w:r w:rsidRPr="00256982">
              <w:t>1.22</w:t>
            </w:r>
          </w:p>
        </w:tc>
        <w:tc>
          <w:tcPr>
            <w:tcW w:w="1576" w:type="dxa"/>
            <w:tcBorders>
              <w:top w:val="single" w:sz="4" w:space="0" w:color="365F91"/>
              <w:bottom w:val="single" w:sz="4" w:space="0" w:color="365F91"/>
            </w:tcBorders>
            <w:shd w:val="clear" w:color="auto" w:fill="auto"/>
          </w:tcPr>
          <w:p w14:paraId="6D8E925F" w14:textId="77777777" w:rsidR="00005A00" w:rsidRPr="00256982" w:rsidRDefault="00005A00" w:rsidP="00AA14F1">
            <w:pPr>
              <w:pStyle w:val="TableText"/>
              <w:spacing w:before="40" w:after="40"/>
              <w:jc w:val="center"/>
              <w:rPr>
                <w:highlight w:val="yellow"/>
              </w:rPr>
            </w:pPr>
            <w:r w:rsidRPr="00256982">
              <w:t>3.14</w:t>
            </w:r>
          </w:p>
        </w:tc>
      </w:tr>
      <w:tr w:rsidR="00005A00" w:rsidRPr="00256982" w14:paraId="5BB7E3C4" w14:textId="77777777" w:rsidTr="00AA14F1">
        <w:tc>
          <w:tcPr>
            <w:tcW w:w="925" w:type="dxa"/>
            <w:tcBorders>
              <w:top w:val="single" w:sz="4" w:space="0" w:color="365F91"/>
              <w:bottom w:val="single" w:sz="4" w:space="0" w:color="365F91"/>
            </w:tcBorders>
          </w:tcPr>
          <w:p w14:paraId="30C44DDA" w14:textId="77777777" w:rsidR="00005A00" w:rsidRPr="00256982" w:rsidRDefault="00005A00" w:rsidP="00AA14F1">
            <w:pPr>
              <w:pStyle w:val="TableTextBold"/>
              <w:spacing w:before="40" w:after="40"/>
              <w:rPr>
                <w:noProof w:val="0"/>
              </w:rPr>
            </w:pPr>
            <w:r w:rsidRPr="00256982">
              <w:rPr>
                <w:noProof w:val="0"/>
              </w:rPr>
              <w:t>1997</w:t>
            </w:r>
          </w:p>
        </w:tc>
        <w:tc>
          <w:tcPr>
            <w:tcW w:w="1590" w:type="dxa"/>
            <w:tcBorders>
              <w:top w:val="single" w:sz="4" w:space="0" w:color="365F91"/>
              <w:bottom w:val="single" w:sz="4" w:space="0" w:color="365F91"/>
            </w:tcBorders>
            <w:shd w:val="clear" w:color="auto" w:fill="auto"/>
          </w:tcPr>
          <w:p w14:paraId="75EB81DA" w14:textId="77777777" w:rsidR="00005A00" w:rsidRPr="00256982" w:rsidRDefault="00005A00" w:rsidP="00AA14F1">
            <w:pPr>
              <w:pStyle w:val="TableText"/>
              <w:spacing w:before="40" w:after="40"/>
              <w:jc w:val="center"/>
              <w:rPr>
                <w:highlight w:val="yellow"/>
              </w:rPr>
            </w:pPr>
            <w:r w:rsidRPr="00256982">
              <w:t>1.61</w:t>
            </w:r>
          </w:p>
        </w:tc>
        <w:tc>
          <w:tcPr>
            <w:tcW w:w="1548" w:type="dxa"/>
            <w:tcBorders>
              <w:top w:val="single" w:sz="4" w:space="0" w:color="365F91"/>
              <w:bottom w:val="single" w:sz="4" w:space="0" w:color="365F91"/>
            </w:tcBorders>
          </w:tcPr>
          <w:p w14:paraId="66E18A58" w14:textId="77777777" w:rsidR="00005A00" w:rsidRPr="00256982" w:rsidRDefault="00005A00" w:rsidP="00AA14F1">
            <w:pPr>
              <w:pStyle w:val="TableText"/>
              <w:spacing w:before="40" w:after="40"/>
              <w:jc w:val="center"/>
              <w:rPr>
                <w:highlight w:val="yellow"/>
              </w:rPr>
            </w:pPr>
            <w:r w:rsidRPr="00256982">
              <w:t>0.11</w:t>
            </w:r>
          </w:p>
        </w:tc>
        <w:tc>
          <w:tcPr>
            <w:tcW w:w="1616" w:type="dxa"/>
            <w:tcBorders>
              <w:top w:val="single" w:sz="4" w:space="0" w:color="365F91"/>
              <w:bottom w:val="single" w:sz="4" w:space="0" w:color="365F91"/>
            </w:tcBorders>
            <w:shd w:val="clear" w:color="auto" w:fill="auto"/>
          </w:tcPr>
          <w:p w14:paraId="75853F70" w14:textId="77777777" w:rsidR="00005A00" w:rsidRPr="00256982" w:rsidRDefault="00005A00" w:rsidP="00AA14F1">
            <w:pPr>
              <w:pStyle w:val="TableText"/>
              <w:spacing w:before="40" w:after="40"/>
              <w:jc w:val="center"/>
              <w:rPr>
                <w:highlight w:val="yellow"/>
              </w:rPr>
            </w:pPr>
            <w:r w:rsidRPr="00256982">
              <w:t>0.24</w:t>
            </w:r>
          </w:p>
        </w:tc>
        <w:tc>
          <w:tcPr>
            <w:tcW w:w="1358" w:type="dxa"/>
            <w:tcBorders>
              <w:top w:val="single" w:sz="4" w:space="0" w:color="365F91"/>
              <w:bottom w:val="single" w:sz="4" w:space="0" w:color="365F91"/>
            </w:tcBorders>
          </w:tcPr>
          <w:p w14:paraId="13DF93FE" w14:textId="77777777" w:rsidR="00005A00" w:rsidRPr="00256982" w:rsidRDefault="00005A00" w:rsidP="00AA14F1">
            <w:pPr>
              <w:pStyle w:val="TableText"/>
              <w:spacing w:before="40" w:after="40"/>
              <w:jc w:val="center"/>
            </w:pPr>
            <w:r w:rsidRPr="00256982">
              <w:t>1.22</w:t>
            </w:r>
          </w:p>
        </w:tc>
        <w:tc>
          <w:tcPr>
            <w:tcW w:w="1576" w:type="dxa"/>
            <w:tcBorders>
              <w:top w:val="single" w:sz="4" w:space="0" w:color="365F91"/>
              <w:bottom w:val="single" w:sz="4" w:space="0" w:color="365F91"/>
            </w:tcBorders>
            <w:shd w:val="clear" w:color="auto" w:fill="auto"/>
          </w:tcPr>
          <w:p w14:paraId="033D24C2" w14:textId="77777777" w:rsidR="00005A00" w:rsidRPr="00256982" w:rsidRDefault="00005A00" w:rsidP="00AA14F1">
            <w:pPr>
              <w:pStyle w:val="TableText"/>
              <w:spacing w:before="40" w:after="40"/>
              <w:jc w:val="center"/>
              <w:rPr>
                <w:highlight w:val="yellow"/>
              </w:rPr>
            </w:pPr>
            <w:r w:rsidRPr="00256982">
              <w:t>3.18</w:t>
            </w:r>
          </w:p>
        </w:tc>
      </w:tr>
      <w:tr w:rsidR="00005A00" w:rsidRPr="00256982" w14:paraId="65EF13A0" w14:textId="77777777" w:rsidTr="00AA14F1">
        <w:tc>
          <w:tcPr>
            <w:tcW w:w="925" w:type="dxa"/>
            <w:tcBorders>
              <w:top w:val="single" w:sz="4" w:space="0" w:color="365F91"/>
              <w:bottom w:val="single" w:sz="4" w:space="0" w:color="365F91"/>
            </w:tcBorders>
          </w:tcPr>
          <w:p w14:paraId="38A9C660" w14:textId="77777777" w:rsidR="00005A00" w:rsidRPr="00256982" w:rsidRDefault="00005A00" w:rsidP="00AA14F1">
            <w:pPr>
              <w:pStyle w:val="TableTextBold"/>
              <w:spacing w:before="40" w:after="40"/>
              <w:rPr>
                <w:noProof w:val="0"/>
              </w:rPr>
            </w:pPr>
            <w:r w:rsidRPr="00256982">
              <w:rPr>
                <w:noProof w:val="0"/>
              </w:rPr>
              <w:t>1998</w:t>
            </w:r>
          </w:p>
        </w:tc>
        <w:tc>
          <w:tcPr>
            <w:tcW w:w="1590" w:type="dxa"/>
            <w:tcBorders>
              <w:top w:val="single" w:sz="4" w:space="0" w:color="365F91"/>
              <w:bottom w:val="single" w:sz="4" w:space="0" w:color="365F91"/>
            </w:tcBorders>
            <w:shd w:val="clear" w:color="auto" w:fill="auto"/>
          </w:tcPr>
          <w:p w14:paraId="642C1821" w14:textId="77777777" w:rsidR="00005A00" w:rsidRPr="00256982" w:rsidRDefault="00005A00" w:rsidP="00AA14F1">
            <w:pPr>
              <w:pStyle w:val="TableText"/>
              <w:spacing w:before="40" w:after="40"/>
              <w:jc w:val="center"/>
              <w:rPr>
                <w:highlight w:val="yellow"/>
              </w:rPr>
            </w:pPr>
            <w:r w:rsidRPr="00256982">
              <w:t>1.65</w:t>
            </w:r>
          </w:p>
        </w:tc>
        <w:tc>
          <w:tcPr>
            <w:tcW w:w="1548" w:type="dxa"/>
            <w:tcBorders>
              <w:top w:val="single" w:sz="4" w:space="0" w:color="365F91"/>
              <w:bottom w:val="single" w:sz="4" w:space="0" w:color="365F91"/>
            </w:tcBorders>
          </w:tcPr>
          <w:p w14:paraId="0AA6A03B" w14:textId="77777777" w:rsidR="00005A00" w:rsidRPr="00256982" w:rsidRDefault="00005A00" w:rsidP="00AA14F1">
            <w:pPr>
              <w:pStyle w:val="TableText"/>
              <w:spacing w:before="40" w:after="40"/>
              <w:jc w:val="center"/>
              <w:rPr>
                <w:highlight w:val="yellow"/>
              </w:rPr>
            </w:pPr>
            <w:r w:rsidRPr="00256982">
              <w:t>0.12</w:t>
            </w:r>
          </w:p>
        </w:tc>
        <w:tc>
          <w:tcPr>
            <w:tcW w:w="1616" w:type="dxa"/>
            <w:tcBorders>
              <w:top w:val="single" w:sz="4" w:space="0" w:color="365F91"/>
              <w:bottom w:val="single" w:sz="4" w:space="0" w:color="365F91"/>
            </w:tcBorders>
            <w:shd w:val="clear" w:color="auto" w:fill="auto"/>
          </w:tcPr>
          <w:p w14:paraId="355D9CAD" w14:textId="77777777" w:rsidR="00005A00" w:rsidRPr="00256982" w:rsidRDefault="00005A00" w:rsidP="00AA14F1">
            <w:pPr>
              <w:pStyle w:val="TableText"/>
              <w:spacing w:before="40" w:after="40"/>
              <w:jc w:val="center"/>
              <w:rPr>
                <w:highlight w:val="yellow"/>
              </w:rPr>
            </w:pPr>
            <w:r w:rsidRPr="00256982">
              <w:t>0.25</w:t>
            </w:r>
          </w:p>
        </w:tc>
        <w:tc>
          <w:tcPr>
            <w:tcW w:w="1358" w:type="dxa"/>
            <w:tcBorders>
              <w:top w:val="single" w:sz="4" w:space="0" w:color="365F91"/>
              <w:bottom w:val="single" w:sz="4" w:space="0" w:color="365F91"/>
            </w:tcBorders>
          </w:tcPr>
          <w:p w14:paraId="635056E3" w14:textId="77777777" w:rsidR="00005A00" w:rsidRPr="00256982" w:rsidRDefault="00005A00" w:rsidP="00AA14F1">
            <w:pPr>
              <w:pStyle w:val="TableText"/>
              <w:spacing w:before="40" w:after="40"/>
              <w:jc w:val="center"/>
            </w:pPr>
            <w:r w:rsidRPr="00256982">
              <w:t>1.22</w:t>
            </w:r>
          </w:p>
        </w:tc>
        <w:tc>
          <w:tcPr>
            <w:tcW w:w="1576" w:type="dxa"/>
            <w:tcBorders>
              <w:top w:val="single" w:sz="4" w:space="0" w:color="365F91"/>
              <w:bottom w:val="single" w:sz="4" w:space="0" w:color="365F91"/>
            </w:tcBorders>
            <w:shd w:val="clear" w:color="auto" w:fill="auto"/>
          </w:tcPr>
          <w:p w14:paraId="1C222B97" w14:textId="77777777" w:rsidR="00005A00" w:rsidRPr="00256982" w:rsidRDefault="00005A00" w:rsidP="00AA14F1">
            <w:pPr>
              <w:pStyle w:val="TableText"/>
              <w:spacing w:before="40" w:after="40"/>
              <w:jc w:val="center"/>
              <w:rPr>
                <w:highlight w:val="yellow"/>
              </w:rPr>
            </w:pPr>
            <w:r w:rsidRPr="00256982">
              <w:t>3.24</w:t>
            </w:r>
          </w:p>
        </w:tc>
      </w:tr>
      <w:tr w:rsidR="00005A00" w:rsidRPr="00256982" w14:paraId="1A85803D" w14:textId="77777777" w:rsidTr="00AA14F1">
        <w:tc>
          <w:tcPr>
            <w:tcW w:w="925" w:type="dxa"/>
            <w:tcBorders>
              <w:top w:val="single" w:sz="4" w:space="0" w:color="365F91"/>
              <w:bottom w:val="single" w:sz="4" w:space="0" w:color="365F91"/>
            </w:tcBorders>
          </w:tcPr>
          <w:p w14:paraId="1FD0BDD0" w14:textId="77777777" w:rsidR="00005A00" w:rsidRPr="00256982" w:rsidRDefault="00005A00" w:rsidP="00AA14F1">
            <w:pPr>
              <w:pStyle w:val="TableTextBold"/>
              <w:spacing w:before="40" w:after="40"/>
              <w:rPr>
                <w:noProof w:val="0"/>
              </w:rPr>
            </w:pPr>
            <w:r w:rsidRPr="00256982">
              <w:rPr>
                <w:noProof w:val="0"/>
              </w:rPr>
              <w:t>1999</w:t>
            </w:r>
          </w:p>
        </w:tc>
        <w:tc>
          <w:tcPr>
            <w:tcW w:w="1590" w:type="dxa"/>
            <w:tcBorders>
              <w:top w:val="single" w:sz="4" w:space="0" w:color="365F91"/>
              <w:bottom w:val="single" w:sz="4" w:space="0" w:color="365F91"/>
            </w:tcBorders>
            <w:shd w:val="clear" w:color="auto" w:fill="auto"/>
          </w:tcPr>
          <w:p w14:paraId="260EA27D" w14:textId="77777777" w:rsidR="00005A00" w:rsidRPr="00256982" w:rsidRDefault="00005A00" w:rsidP="00AA14F1">
            <w:pPr>
              <w:pStyle w:val="TableText"/>
              <w:spacing w:before="40" w:after="40"/>
              <w:jc w:val="center"/>
              <w:rPr>
                <w:highlight w:val="yellow"/>
              </w:rPr>
            </w:pPr>
            <w:r w:rsidRPr="00256982">
              <w:t>1.46</w:t>
            </w:r>
          </w:p>
        </w:tc>
        <w:tc>
          <w:tcPr>
            <w:tcW w:w="1548" w:type="dxa"/>
            <w:tcBorders>
              <w:top w:val="single" w:sz="4" w:space="0" w:color="365F91"/>
              <w:bottom w:val="single" w:sz="4" w:space="0" w:color="365F91"/>
            </w:tcBorders>
          </w:tcPr>
          <w:p w14:paraId="1A7C6BA8" w14:textId="77777777" w:rsidR="00005A00" w:rsidRPr="00256982" w:rsidRDefault="00005A00" w:rsidP="00AA14F1">
            <w:pPr>
              <w:pStyle w:val="TableText"/>
              <w:spacing w:before="40" w:after="40"/>
              <w:jc w:val="center"/>
              <w:rPr>
                <w:highlight w:val="yellow"/>
              </w:rPr>
            </w:pPr>
            <w:r w:rsidRPr="00256982">
              <w:t>0.13</w:t>
            </w:r>
          </w:p>
        </w:tc>
        <w:tc>
          <w:tcPr>
            <w:tcW w:w="1616" w:type="dxa"/>
            <w:tcBorders>
              <w:top w:val="single" w:sz="4" w:space="0" w:color="365F91"/>
              <w:bottom w:val="single" w:sz="4" w:space="0" w:color="365F91"/>
            </w:tcBorders>
            <w:shd w:val="clear" w:color="auto" w:fill="auto"/>
          </w:tcPr>
          <w:p w14:paraId="323AC221" w14:textId="77777777" w:rsidR="00005A00" w:rsidRPr="00256982" w:rsidRDefault="00005A00" w:rsidP="00AA14F1">
            <w:pPr>
              <w:pStyle w:val="TableText"/>
              <w:spacing w:before="40" w:after="40"/>
              <w:jc w:val="center"/>
              <w:rPr>
                <w:highlight w:val="yellow"/>
              </w:rPr>
            </w:pPr>
            <w:r w:rsidRPr="00256982">
              <w:t>0.24</w:t>
            </w:r>
          </w:p>
        </w:tc>
        <w:tc>
          <w:tcPr>
            <w:tcW w:w="1358" w:type="dxa"/>
            <w:tcBorders>
              <w:top w:val="single" w:sz="4" w:space="0" w:color="365F91"/>
              <w:bottom w:val="single" w:sz="4" w:space="0" w:color="365F91"/>
            </w:tcBorders>
          </w:tcPr>
          <w:p w14:paraId="13364B60" w14:textId="77777777" w:rsidR="00005A00" w:rsidRPr="00256982" w:rsidRDefault="00005A00" w:rsidP="00AA14F1">
            <w:pPr>
              <w:pStyle w:val="TableText"/>
              <w:spacing w:before="40" w:after="40"/>
              <w:jc w:val="center"/>
            </w:pPr>
            <w:r w:rsidRPr="00256982">
              <w:t>1.22</w:t>
            </w:r>
          </w:p>
        </w:tc>
        <w:tc>
          <w:tcPr>
            <w:tcW w:w="1576" w:type="dxa"/>
            <w:tcBorders>
              <w:top w:val="single" w:sz="4" w:space="0" w:color="365F91"/>
              <w:bottom w:val="single" w:sz="4" w:space="0" w:color="365F91"/>
            </w:tcBorders>
            <w:shd w:val="clear" w:color="auto" w:fill="auto"/>
          </w:tcPr>
          <w:p w14:paraId="24F65E1F" w14:textId="77777777" w:rsidR="00005A00" w:rsidRPr="00256982" w:rsidRDefault="00005A00" w:rsidP="00AA14F1">
            <w:pPr>
              <w:pStyle w:val="TableText"/>
              <w:spacing w:before="40" w:after="40"/>
              <w:jc w:val="center"/>
              <w:rPr>
                <w:highlight w:val="yellow"/>
              </w:rPr>
            </w:pPr>
            <w:r w:rsidRPr="00256982">
              <w:t>3.04</w:t>
            </w:r>
          </w:p>
        </w:tc>
      </w:tr>
      <w:tr w:rsidR="00005A00" w:rsidRPr="00256982" w14:paraId="39BF281D" w14:textId="77777777" w:rsidTr="00AA14F1">
        <w:tc>
          <w:tcPr>
            <w:tcW w:w="925" w:type="dxa"/>
            <w:tcBorders>
              <w:top w:val="single" w:sz="4" w:space="0" w:color="365F91"/>
              <w:bottom w:val="single" w:sz="4" w:space="0" w:color="365F91"/>
            </w:tcBorders>
          </w:tcPr>
          <w:p w14:paraId="0E9567C0" w14:textId="77777777" w:rsidR="00005A00" w:rsidRPr="00256982" w:rsidRDefault="00005A00" w:rsidP="00AA14F1">
            <w:pPr>
              <w:pStyle w:val="TableTextBold"/>
              <w:spacing w:before="40" w:after="40"/>
              <w:rPr>
                <w:noProof w:val="0"/>
              </w:rPr>
            </w:pPr>
            <w:r w:rsidRPr="00256982">
              <w:rPr>
                <w:noProof w:val="0"/>
              </w:rPr>
              <w:t>2000</w:t>
            </w:r>
          </w:p>
        </w:tc>
        <w:tc>
          <w:tcPr>
            <w:tcW w:w="1590" w:type="dxa"/>
            <w:tcBorders>
              <w:top w:val="single" w:sz="4" w:space="0" w:color="365F91"/>
              <w:bottom w:val="single" w:sz="4" w:space="0" w:color="365F91"/>
            </w:tcBorders>
            <w:shd w:val="clear" w:color="auto" w:fill="auto"/>
          </w:tcPr>
          <w:p w14:paraId="14B9DE16" w14:textId="77777777" w:rsidR="00005A00" w:rsidRPr="00256982" w:rsidRDefault="00005A00" w:rsidP="00AA14F1">
            <w:pPr>
              <w:pStyle w:val="TableText"/>
              <w:spacing w:before="40" w:after="40"/>
              <w:jc w:val="center"/>
              <w:rPr>
                <w:highlight w:val="yellow"/>
              </w:rPr>
            </w:pPr>
            <w:r w:rsidRPr="00256982">
              <w:t>1.56</w:t>
            </w:r>
          </w:p>
        </w:tc>
        <w:tc>
          <w:tcPr>
            <w:tcW w:w="1548" w:type="dxa"/>
            <w:tcBorders>
              <w:top w:val="single" w:sz="4" w:space="0" w:color="365F91"/>
              <w:bottom w:val="single" w:sz="4" w:space="0" w:color="365F91"/>
            </w:tcBorders>
          </w:tcPr>
          <w:p w14:paraId="3989A159" w14:textId="77777777" w:rsidR="00005A00" w:rsidRPr="00256982" w:rsidRDefault="00005A00" w:rsidP="00AA14F1">
            <w:pPr>
              <w:pStyle w:val="TableText"/>
              <w:spacing w:before="40" w:after="40"/>
              <w:jc w:val="center"/>
              <w:rPr>
                <w:highlight w:val="yellow"/>
              </w:rPr>
            </w:pPr>
            <w:r w:rsidRPr="00256982">
              <w:t>0.14</w:t>
            </w:r>
          </w:p>
        </w:tc>
        <w:tc>
          <w:tcPr>
            <w:tcW w:w="1616" w:type="dxa"/>
            <w:tcBorders>
              <w:top w:val="single" w:sz="4" w:space="0" w:color="365F91"/>
              <w:bottom w:val="single" w:sz="4" w:space="0" w:color="365F91"/>
            </w:tcBorders>
            <w:shd w:val="clear" w:color="auto" w:fill="auto"/>
          </w:tcPr>
          <w:p w14:paraId="6FFFA560" w14:textId="77777777" w:rsidR="00005A00" w:rsidRPr="00256982" w:rsidRDefault="00005A00" w:rsidP="00AA14F1">
            <w:pPr>
              <w:pStyle w:val="TableText"/>
              <w:spacing w:before="40" w:after="40"/>
              <w:jc w:val="center"/>
              <w:rPr>
                <w:highlight w:val="yellow"/>
              </w:rPr>
            </w:pPr>
            <w:r w:rsidRPr="00256982">
              <w:t>0.26</w:t>
            </w:r>
          </w:p>
        </w:tc>
        <w:tc>
          <w:tcPr>
            <w:tcW w:w="1358" w:type="dxa"/>
            <w:tcBorders>
              <w:top w:val="single" w:sz="4" w:space="0" w:color="365F91"/>
              <w:bottom w:val="single" w:sz="4" w:space="0" w:color="365F91"/>
            </w:tcBorders>
          </w:tcPr>
          <w:p w14:paraId="3D78501B" w14:textId="77777777" w:rsidR="00005A00" w:rsidRPr="00256982" w:rsidRDefault="00005A00" w:rsidP="00AA14F1">
            <w:pPr>
              <w:pStyle w:val="TableText"/>
              <w:spacing w:before="40" w:after="40"/>
              <w:jc w:val="center"/>
            </w:pPr>
            <w:r w:rsidRPr="00256982">
              <w:t>1.22</w:t>
            </w:r>
          </w:p>
        </w:tc>
        <w:tc>
          <w:tcPr>
            <w:tcW w:w="1576" w:type="dxa"/>
            <w:tcBorders>
              <w:top w:val="single" w:sz="4" w:space="0" w:color="365F91"/>
              <w:bottom w:val="single" w:sz="4" w:space="0" w:color="365F91"/>
            </w:tcBorders>
            <w:shd w:val="clear" w:color="auto" w:fill="auto"/>
          </w:tcPr>
          <w:p w14:paraId="4BA5FBF1" w14:textId="77777777" w:rsidR="00005A00" w:rsidRPr="00256982" w:rsidRDefault="00005A00" w:rsidP="00AA14F1">
            <w:pPr>
              <w:pStyle w:val="TableText"/>
              <w:spacing w:before="40" w:after="40"/>
              <w:jc w:val="center"/>
              <w:rPr>
                <w:highlight w:val="yellow"/>
              </w:rPr>
            </w:pPr>
            <w:r w:rsidRPr="00256982">
              <w:t>3.18</w:t>
            </w:r>
          </w:p>
        </w:tc>
      </w:tr>
      <w:tr w:rsidR="00005A00" w:rsidRPr="00256982" w14:paraId="646C8C9F" w14:textId="77777777" w:rsidTr="00AA14F1">
        <w:tc>
          <w:tcPr>
            <w:tcW w:w="925" w:type="dxa"/>
            <w:tcBorders>
              <w:top w:val="single" w:sz="4" w:space="0" w:color="365F91"/>
              <w:bottom w:val="single" w:sz="4" w:space="0" w:color="365F91"/>
            </w:tcBorders>
          </w:tcPr>
          <w:p w14:paraId="7572B906" w14:textId="77777777" w:rsidR="00005A00" w:rsidRPr="00256982" w:rsidRDefault="00005A00" w:rsidP="00AA14F1">
            <w:pPr>
              <w:pStyle w:val="TableTextBold"/>
              <w:spacing w:before="40" w:after="40"/>
              <w:rPr>
                <w:noProof w:val="0"/>
              </w:rPr>
            </w:pPr>
            <w:r w:rsidRPr="00256982">
              <w:rPr>
                <w:noProof w:val="0"/>
              </w:rPr>
              <w:t>2001</w:t>
            </w:r>
          </w:p>
        </w:tc>
        <w:tc>
          <w:tcPr>
            <w:tcW w:w="1590" w:type="dxa"/>
            <w:tcBorders>
              <w:top w:val="single" w:sz="4" w:space="0" w:color="365F91"/>
              <w:bottom w:val="single" w:sz="4" w:space="0" w:color="365F91"/>
            </w:tcBorders>
            <w:shd w:val="clear" w:color="auto" w:fill="auto"/>
          </w:tcPr>
          <w:p w14:paraId="4D3108E0" w14:textId="77777777" w:rsidR="00005A00" w:rsidRPr="00256982" w:rsidRDefault="00005A00" w:rsidP="00AA14F1">
            <w:pPr>
              <w:pStyle w:val="TableText"/>
              <w:spacing w:before="40" w:after="40"/>
              <w:jc w:val="center"/>
              <w:rPr>
                <w:highlight w:val="yellow"/>
              </w:rPr>
            </w:pPr>
            <w:r w:rsidRPr="00256982">
              <w:t>1.60</w:t>
            </w:r>
          </w:p>
        </w:tc>
        <w:tc>
          <w:tcPr>
            <w:tcW w:w="1548" w:type="dxa"/>
            <w:tcBorders>
              <w:top w:val="single" w:sz="4" w:space="0" w:color="365F91"/>
              <w:bottom w:val="single" w:sz="4" w:space="0" w:color="365F91"/>
            </w:tcBorders>
          </w:tcPr>
          <w:p w14:paraId="6D2E5037" w14:textId="77777777" w:rsidR="00005A00" w:rsidRPr="00256982" w:rsidRDefault="00005A00" w:rsidP="00AA14F1">
            <w:pPr>
              <w:pStyle w:val="TableText"/>
              <w:spacing w:before="40" w:after="40"/>
              <w:jc w:val="center"/>
              <w:rPr>
                <w:highlight w:val="yellow"/>
              </w:rPr>
            </w:pPr>
            <w:r w:rsidRPr="00256982">
              <w:t>0.14</w:t>
            </w:r>
          </w:p>
        </w:tc>
        <w:tc>
          <w:tcPr>
            <w:tcW w:w="1616" w:type="dxa"/>
            <w:tcBorders>
              <w:top w:val="single" w:sz="4" w:space="0" w:color="365F91"/>
              <w:bottom w:val="single" w:sz="4" w:space="0" w:color="365F91"/>
            </w:tcBorders>
            <w:shd w:val="clear" w:color="auto" w:fill="auto"/>
          </w:tcPr>
          <w:p w14:paraId="24C83BD4" w14:textId="77777777" w:rsidR="00005A00" w:rsidRPr="00256982" w:rsidRDefault="00005A00" w:rsidP="00AA14F1">
            <w:pPr>
              <w:pStyle w:val="TableText"/>
              <w:spacing w:before="40" w:after="40"/>
              <w:jc w:val="center"/>
              <w:rPr>
                <w:highlight w:val="yellow"/>
              </w:rPr>
            </w:pPr>
            <w:r w:rsidRPr="00256982">
              <w:t>0.29</w:t>
            </w:r>
          </w:p>
        </w:tc>
        <w:tc>
          <w:tcPr>
            <w:tcW w:w="1358" w:type="dxa"/>
            <w:tcBorders>
              <w:top w:val="single" w:sz="4" w:space="0" w:color="365F91"/>
              <w:bottom w:val="single" w:sz="4" w:space="0" w:color="365F91"/>
            </w:tcBorders>
          </w:tcPr>
          <w:p w14:paraId="30ABF295" w14:textId="77777777" w:rsidR="00005A00" w:rsidRPr="00256982" w:rsidRDefault="00005A00" w:rsidP="00AA14F1">
            <w:pPr>
              <w:pStyle w:val="TableText"/>
              <w:spacing w:before="40" w:after="40"/>
              <w:jc w:val="center"/>
            </w:pPr>
            <w:r w:rsidRPr="00256982">
              <w:t>1.22</w:t>
            </w:r>
          </w:p>
        </w:tc>
        <w:tc>
          <w:tcPr>
            <w:tcW w:w="1576" w:type="dxa"/>
            <w:tcBorders>
              <w:top w:val="single" w:sz="4" w:space="0" w:color="365F91"/>
              <w:bottom w:val="single" w:sz="4" w:space="0" w:color="365F91"/>
            </w:tcBorders>
            <w:shd w:val="clear" w:color="auto" w:fill="auto"/>
          </w:tcPr>
          <w:p w14:paraId="4F860B4E" w14:textId="77777777" w:rsidR="00005A00" w:rsidRPr="00256982" w:rsidRDefault="00005A00" w:rsidP="00AA14F1">
            <w:pPr>
              <w:pStyle w:val="TableText"/>
              <w:spacing w:before="40" w:after="40"/>
              <w:jc w:val="center"/>
              <w:rPr>
                <w:highlight w:val="yellow"/>
              </w:rPr>
            </w:pPr>
            <w:r w:rsidRPr="00256982">
              <w:t>3.26</w:t>
            </w:r>
          </w:p>
        </w:tc>
      </w:tr>
      <w:tr w:rsidR="00005A00" w:rsidRPr="00256982" w14:paraId="5D7D638F" w14:textId="77777777" w:rsidTr="00AA14F1">
        <w:tc>
          <w:tcPr>
            <w:tcW w:w="925" w:type="dxa"/>
            <w:tcBorders>
              <w:top w:val="single" w:sz="4" w:space="0" w:color="365F91"/>
              <w:bottom w:val="single" w:sz="4" w:space="0" w:color="365F91"/>
            </w:tcBorders>
          </w:tcPr>
          <w:p w14:paraId="335B8F12" w14:textId="77777777" w:rsidR="00005A00" w:rsidRPr="00256982" w:rsidRDefault="00005A00" w:rsidP="00AA14F1">
            <w:pPr>
              <w:pStyle w:val="TableTextBold"/>
              <w:spacing w:before="40" w:after="40"/>
              <w:rPr>
                <w:noProof w:val="0"/>
              </w:rPr>
            </w:pPr>
            <w:r w:rsidRPr="00256982">
              <w:rPr>
                <w:noProof w:val="0"/>
              </w:rPr>
              <w:t>2002</w:t>
            </w:r>
          </w:p>
        </w:tc>
        <w:tc>
          <w:tcPr>
            <w:tcW w:w="1590" w:type="dxa"/>
            <w:tcBorders>
              <w:top w:val="single" w:sz="4" w:space="0" w:color="365F91"/>
              <w:bottom w:val="single" w:sz="4" w:space="0" w:color="365F91"/>
            </w:tcBorders>
            <w:shd w:val="clear" w:color="auto" w:fill="auto"/>
          </w:tcPr>
          <w:p w14:paraId="5A8C812D" w14:textId="77777777" w:rsidR="00005A00" w:rsidRPr="00256982" w:rsidRDefault="00005A00" w:rsidP="00AA14F1">
            <w:pPr>
              <w:pStyle w:val="TableText"/>
              <w:spacing w:before="40" w:after="40"/>
              <w:jc w:val="center"/>
              <w:rPr>
                <w:highlight w:val="yellow"/>
              </w:rPr>
            </w:pPr>
            <w:r w:rsidRPr="00256982">
              <w:t>1.51</w:t>
            </w:r>
          </w:p>
        </w:tc>
        <w:tc>
          <w:tcPr>
            <w:tcW w:w="1548" w:type="dxa"/>
            <w:tcBorders>
              <w:top w:val="single" w:sz="4" w:space="0" w:color="365F91"/>
              <w:bottom w:val="single" w:sz="4" w:space="0" w:color="365F91"/>
            </w:tcBorders>
          </w:tcPr>
          <w:p w14:paraId="5B447ACE" w14:textId="77777777" w:rsidR="00005A00" w:rsidRPr="00256982" w:rsidRDefault="00005A00" w:rsidP="00AA14F1">
            <w:pPr>
              <w:pStyle w:val="TableText"/>
              <w:spacing w:before="40" w:after="40"/>
              <w:jc w:val="center"/>
              <w:rPr>
                <w:highlight w:val="yellow"/>
              </w:rPr>
            </w:pPr>
            <w:r w:rsidRPr="00256982">
              <w:t>0.16</w:t>
            </w:r>
          </w:p>
        </w:tc>
        <w:tc>
          <w:tcPr>
            <w:tcW w:w="1616" w:type="dxa"/>
            <w:tcBorders>
              <w:top w:val="single" w:sz="4" w:space="0" w:color="365F91"/>
              <w:bottom w:val="single" w:sz="4" w:space="0" w:color="365F91"/>
            </w:tcBorders>
            <w:shd w:val="clear" w:color="auto" w:fill="auto"/>
          </w:tcPr>
          <w:p w14:paraId="6D281A68" w14:textId="77777777" w:rsidR="00005A00" w:rsidRPr="00256982" w:rsidRDefault="00005A00" w:rsidP="00AA14F1">
            <w:pPr>
              <w:pStyle w:val="TableText"/>
              <w:spacing w:before="40" w:after="40"/>
              <w:jc w:val="center"/>
              <w:rPr>
                <w:highlight w:val="yellow"/>
              </w:rPr>
            </w:pPr>
            <w:r w:rsidRPr="00256982">
              <w:t>0.31</w:t>
            </w:r>
          </w:p>
        </w:tc>
        <w:tc>
          <w:tcPr>
            <w:tcW w:w="1358" w:type="dxa"/>
            <w:tcBorders>
              <w:top w:val="single" w:sz="4" w:space="0" w:color="365F91"/>
              <w:bottom w:val="single" w:sz="4" w:space="0" w:color="365F91"/>
            </w:tcBorders>
          </w:tcPr>
          <w:p w14:paraId="368A055D" w14:textId="77777777" w:rsidR="00005A00" w:rsidRPr="00256982" w:rsidRDefault="00005A00" w:rsidP="00AA14F1">
            <w:pPr>
              <w:pStyle w:val="TableText"/>
              <w:spacing w:before="40" w:after="40"/>
              <w:jc w:val="center"/>
            </w:pPr>
            <w:r w:rsidRPr="00256982">
              <w:t>0.61</w:t>
            </w:r>
          </w:p>
        </w:tc>
        <w:tc>
          <w:tcPr>
            <w:tcW w:w="1576" w:type="dxa"/>
            <w:tcBorders>
              <w:top w:val="single" w:sz="4" w:space="0" w:color="365F91"/>
              <w:bottom w:val="single" w:sz="4" w:space="0" w:color="365F91"/>
            </w:tcBorders>
            <w:shd w:val="clear" w:color="auto" w:fill="auto"/>
          </w:tcPr>
          <w:p w14:paraId="67FC84BE" w14:textId="77777777" w:rsidR="00005A00" w:rsidRPr="00256982" w:rsidRDefault="00005A00" w:rsidP="00AA14F1">
            <w:pPr>
              <w:pStyle w:val="TableText"/>
              <w:spacing w:before="40" w:after="40"/>
              <w:jc w:val="center"/>
              <w:rPr>
                <w:highlight w:val="yellow"/>
              </w:rPr>
            </w:pPr>
            <w:r w:rsidRPr="00256982">
              <w:t>2.59</w:t>
            </w:r>
          </w:p>
        </w:tc>
      </w:tr>
      <w:tr w:rsidR="00005A00" w:rsidRPr="00256982" w14:paraId="4E08E616" w14:textId="77777777" w:rsidTr="00AA14F1">
        <w:tc>
          <w:tcPr>
            <w:tcW w:w="925" w:type="dxa"/>
            <w:tcBorders>
              <w:top w:val="single" w:sz="4" w:space="0" w:color="365F91"/>
              <w:bottom w:val="single" w:sz="4" w:space="0" w:color="365F91"/>
            </w:tcBorders>
          </w:tcPr>
          <w:p w14:paraId="2E614C6D" w14:textId="77777777" w:rsidR="00005A00" w:rsidRPr="00256982" w:rsidRDefault="00005A00" w:rsidP="00AA14F1">
            <w:pPr>
              <w:pStyle w:val="TableTextBold"/>
              <w:spacing w:before="40" w:after="40"/>
              <w:rPr>
                <w:noProof w:val="0"/>
              </w:rPr>
            </w:pPr>
            <w:r w:rsidRPr="00256982">
              <w:rPr>
                <w:noProof w:val="0"/>
              </w:rPr>
              <w:t>2003</w:t>
            </w:r>
          </w:p>
        </w:tc>
        <w:tc>
          <w:tcPr>
            <w:tcW w:w="1590" w:type="dxa"/>
            <w:tcBorders>
              <w:top w:val="single" w:sz="4" w:space="0" w:color="365F91"/>
              <w:bottom w:val="single" w:sz="4" w:space="0" w:color="365F91"/>
            </w:tcBorders>
            <w:shd w:val="clear" w:color="auto" w:fill="auto"/>
          </w:tcPr>
          <w:p w14:paraId="65BDC584" w14:textId="77777777" w:rsidR="00005A00" w:rsidRPr="00256982" w:rsidRDefault="00005A00" w:rsidP="00AA14F1">
            <w:pPr>
              <w:pStyle w:val="TableText"/>
              <w:spacing w:before="40" w:after="40"/>
              <w:jc w:val="center"/>
              <w:rPr>
                <w:highlight w:val="yellow"/>
              </w:rPr>
            </w:pPr>
            <w:r w:rsidRPr="00256982">
              <w:t>1.63</w:t>
            </w:r>
          </w:p>
        </w:tc>
        <w:tc>
          <w:tcPr>
            <w:tcW w:w="1548" w:type="dxa"/>
            <w:tcBorders>
              <w:top w:val="single" w:sz="4" w:space="0" w:color="365F91"/>
              <w:bottom w:val="single" w:sz="4" w:space="0" w:color="365F91"/>
            </w:tcBorders>
          </w:tcPr>
          <w:p w14:paraId="3C4F4394" w14:textId="77777777" w:rsidR="00005A00" w:rsidRPr="00256982" w:rsidRDefault="00005A00" w:rsidP="00AA14F1">
            <w:pPr>
              <w:pStyle w:val="TableText"/>
              <w:spacing w:before="40" w:after="40"/>
              <w:jc w:val="center"/>
              <w:rPr>
                <w:highlight w:val="yellow"/>
              </w:rPr>
            </w:pPr>
            <w:r w:rsidRPr="00256982">
              <w:t>0.17</w:t>
            </w:r>
          </w:p>
        </w:tc>
        <w:tc>
          <w:tcPr>
            <w:tcW w:w="1616" w:type="dxa"/>
            <w:tcBorders>
              <w:top w:val="single" w:sz="4" w:space="0" w:color="365F91"/>
              <w:bottom w:val="single" w:sz="4" w:space="0" w:color="365F91"/>
            </w:tcBorders>
            <w:shd w:val="clear" w:color="auto" w:fill="auto"/>
          </w:tcPr>
          <w:p w14:paraId="47E04A73" w14:textId="77777777" w:rsidR="00005A00" w:rsidRPr="00256982" w:rsidRDefault="00005A00" w:rsidP="00AA14F1">
            <w:pPr>
              <w:pStyle w:val="TableText"/>
              <w:spacing w:before="40" w:after="40"/>
              <w:jc w:val="center"/>
              <w:rPr>
                <w:highlight w:val="yellow"/>
              </w:rPr>
            </w:pPr>
            <w:r w:rsidRPr="00256982">
              <w:t>0.31</w:t>
            </w:r>
          </w:p>
        </w:tc>
        <w:tc>
          <w:tcPr>
            <w:tcW w:w="1358" w:type="dxa"/>
            <w:tcBorders>
              <w:top w:val="single" w:sz="4" w:space="0" w:color="365F91"/>
              <w:bottom w:val="single" w:sz="4" w:space="0" w:color="365F91"/>
            </w:tcBorders>
          </w:tcPr>
          <w:p w14:paraId="0294F4C6" w14:textId="77777777" w:rsidR="00005A00" w:rsidRPr="00256982" w:rsidRDefault="00005A00" w:rsidP="00AA14F1">
            <w:pPr>
              <w:pStyle w:val="TableText"/>
              <w:spacing w:before="40" w:after="40"/>
              <w:jc w:val="center"/>
            </w:pPr>
            <w:r w:rsidRPr="00256982">
              <w:t>0.61</w:t>
            </w:r>
          </w:p>
        </w:tc>
        <w:tc>
          <w:tcPr>
            <w:tcW w:w="1576" w:type="dxa"/>
            <w:tcBorders>
              <w:top w:val="single" w:sz="4" w:space="0" w:color="365F91"/>
              <w:bottom w:val="single" w:sz="4" w:space="0" w:color="365F91"/>
            </w:tcBorders>
            <w:shd w:val="clear" w:color="auto" w:fill="auto"/>
          </w:tcPr>
          <w:p w14:paraId="277EFEFD" w14:textId="77777777" w:rsidR="00005A00" w:rsidRPr="00256982" w:rsidRDefault="00005A00" w:rsidP="00AA14F1">
            <w:pPr>
              <w:pStyle w:val="TableText"/>
              <w:spacing w:before="40" w:after="40"/>
              <w:jc w:val="center"/>
              <w:rPr>
                <w:highlight w:val="yellow"/>
              </w:rPr>
            </w:pPr>
            <w:r w:rsidRPr="00256982">
              <w:t>2.73</w:t>
            </w:r>
          </w:p>
        </w:tc>
      </w:tr>
      <w:tr w:rsidR="00005A00" w:rsidRPr="00256982" w14:paraId="336D222E" w14:textId="77777777" w:rsidTr="00AA14F1">
        <w:tc>
          <w:tcPr>
            <w:tcW w:w="925" w:type="dxa"/>
            <w:tcBorders>
              <w:top w:val="single" w:sz="4" w:space="0" w:color="365F91"/>
              <w:bottom w:val="single" w:sz="4" w:space="0" w:color="365F91"/>
            </w:tcBorders>
          </w:tcPr>
          <w:p w14:paraId="466FB0FC" w14:textId="77777777" w:rsidR="00005A00" w:rsidRPr="00256982" w:rsidRDefault="00005A00" w:rsidP="00AA14F1">
            <w:pPr>
              <w:pStyle w:val="TableTextBold"/>
              <w:spacing w:before="40" w:after="40"/>
              <w:rPr>
                <w:noProof w:val="0"/>
              </w:rPr>
            </w:pPr>
            <w:r w:rsidRPr="00256982">
              <w:rPr>
                <w:noProof w:val="0"/>
              </w:rPr>
              <w:t>2004</w:t>
            </w:r>
          </w:p>
        </w:tc>
        <w:tc>
          <w:tcPr>
            <w:tcW w:w="1590" w:type="dxa"/>
            <w:tcBorders>
              <w:top w:val="single" w:sz="4" w:space="0" w:color="365F91"/>
              <w:bottom w:val="single" w:sz="4" w:space="0" w:color="365F91"/>
            </w:tcBorders>
            <w:shd w:val="clear" w:color="auto" w:fill="auto"/>
          </w:tcPr>
          <w:p w14:paraId="45E588F7" w14:textId="77777777" w:rsidR="00005A00" w:rsidRPr="00256982" w:rsidRDefault="00005A00" w:rsidP="00AA14F1">
            <w:pPr>
              <w:pStyle w:val="TableText"/>
              <w:spacing w:before="40" w:after="40"/>
              <w:jc w:val="center"/>
              <w:rPr>
                <w:highlight w:val="yellow"/>
              </w:rPr>
            </w:pPr>
            <w:r w:rsidRPr="00256982">
              <w:t>1.71</w:t>
            </w:r>
          </w:p>
        </w:tc>
        <w:tc>
          <w:tcPr>
            <w:tcW w:w="1548" w:type="dxa"/>
            <w:tcBorders>
              <w:top w:val="single" w:sz="4" w:space="0" w:color="365F91"/>
              <w:bottom w:val="single" w:sz="4" w:space="0" w:color="365F91"/>
            </w:tcBorders>
          </w:tcPr>
          <w:p w14:paraId="11C44845" w14:textId="77777777" w:rsidR="00005A00" w:rsidRPr="00256982" w:rsidRDefault="00005A00" w:rsidP="00AA14F1">
            <w:pPr>
              <w:pStyle w:val="TableText"/>
              <w:spacing w:before="40" w:after="40"/>
              <w:jc w:val="center"/>
              <w:rPr>
                <w:highlight w:val="yellow"/>
              </w:rPr>
            </w:pPr>
            <w:r w:rsidRPr="00256982">
              <w:t>0.19</w:t>
            </w:r>
          </w:p>
        </w:tc>
        <w:tc>
          <w:tcPr>
            <w:tcW w:w="1616" w:type="dxa"/>
            <w:tcBorders>
              <w:top w:val="single" w:sz="4" w:space="0" w:color="365F91"/>
              <w:bottom w:val="single" w:sz="4" w:space="0" w:color="365F91"/>
            </w:tcBorders>
            <w:shd w:val="clear" w:color="auto" w:fill="auto"/>
          </w:tcPr>
          <w:p w14:paraId="32153F0E" w14:textId="77777777" w:rsidR="00005A00" w:rsidRPr="00256982" w:rsidRDefault="00005A00" w:rsidP="00AA14F1">
            <w:pPr>
              <w:pStyle w:val="TableText"/>
              <w:spacing w:before="40" w:after="40"/>
              <w:jc w:val="center"/>
              <w:rPr>
                <w:highlight w:val="yellow"/>
              </w:rPr>
            </w:pPr>
            <w:r w:rsidRPr="00256982">
              <w:t>0.33</w:t>
            </w:r>
          </w:p>
        </w:tc>
        <w:tc>
          <w:tcPr>
            <w:tcW w:w="1358" w:type="dxa"/>
            <w:tcBorders>
              <w:top w:val="single" w:sz="4" w:space="0" w:color="365F91"/>
              <w:bottom w:val="single" w:sz="4" w:space="0" w:color="365F91"/>
            </w:tcBorders>
          </w:tcPr>
          <w:p w14:paraId="7420DA91" w14:textId="77777777" w:rsidR="00005A00" w:rsidRPr="00256982" w:rsidRDefault="00005A00" w:rsidP="00AA14F1">
            <w:pPr>
              <w:pStyle w:val="TableText"/>
              <w:spacing w:before="40" w:after="40"/>
              <w:jc w:val="center"/>
            </w:pPr>
            <w:r w:rsidRPr="00256982">
              <w:t>0.61</w:t>
            </w:r>
          </w:p>
        </w:tc>
        <w:tc>
          <w:tcPr>
            <w:tcW w:w="1576" w:type="dxa"/>
            <w:tcBorders>
              <w:top w:val="single" w:sz="4" w:space="0" w:color="365F91"/>
              <w:bottom w:val="single" w:sz="4" w:space="0" w:color="365F91"/>
            </w:tcBorders>
            <w:shd w:val="clear" w:color="auto" w:fill="auto"/>
          </w:tcPr>
          <w:p w14:paraId="2B6DEEC1" w14:textId="77777777" w:rsidR="00005A00" w:rsidRPr="00256982" w:rsidRDefault="00005A00" w:rsidP="00AA14F1">
            <w:pPr>
              <w:pStyle w:val="TableText"/>
              <w:spacing w:before="40" w:after="40"/>
              <w:jc w:val="center"/>
              <w:rPr>
                <w:highlight w:val="yellow"/>
              </w:rPr>
            </w:pPr>
            <w:r w:rsidRPr="00256982">
              <w:t>2.84</w:t>
            </w:r>
          </w:p>
        </w:tc>
      </w:tr>
      <w:tr w:rsidR="00005A00" w:rsidRPr="00256982" w14:paraId="7EF6EC13" w14:textId="77777777" w:rsidTr="00AA14F1">
        <w:tc>
          <w:tcPr>
            <w:tcW w:w="925" w:type="dxa"/>
            <w:tcBorders>
              <w:top w:val="single" w:sz="4" w:space="0" w:color="365F91"/>
              <w:bottom w:val="single" w:sz="4" w:space="0" w:color="365F91"/>
            </w:tcBorders>
          </w:tcPr>
          <w:p w14:paraId="7CC4FDCC" w14:textId="77777777" w:rsidR="00005A00" w:rsidRPr="00256982" w:rsidRDefault="00005A00" w:rsidP="00AA14F1">
            <w:pPr>
              <w:pStyle w:val="TableTextBold"/>
              <w:spacing w:before="40" w:after="40"/>
              <w:rPr>
                <w:noProof w:val="0"/>
              </w:rPr>
            </w:pPr>
            <w:r w:rsidRPr="00256982">
              <w:rPr>
                <w:noProof w:val="0"/>
              </w:rPr>
              <w:t>2005</w:t>
            </w:r>
          </w:p>
        </w:tc>
        <w:tc>
          <w:tcPr>
            <w:tcW w:w="1590" w:type="dxa"/>
            <w:tcBorders>
              <w:top w:val="single" w:sz="4" w:space="0" w:color="365F91"/>
              <w:bottom w:val="single" w:sz="4" w:space="0" w:color="365F91"/>
            </w:tcBorders>
            <w:shd w:val="clear" w:color="auto" w:fill="auto"/>
          </w:tcPr>
          <w:p w14:paraId="2C497911" w14:textId="77777777" w:rsidR="00005A00" w:rsidRPr="00256982" w:rsidRDefault="00005A00" w:rsidP="00AA14F1">
            <w:pPr>
              <w:pStyle w:val="TableText"/>
              <w:spacing w:before="40" w:after="40"/>
              <w:jc w:val="center"/>
              <w:rPr>
                <w:highlight w:val="yellow"/>
              </w:rPr>
            </w:pPr>
            <w:r w:rsidRPr="00256982">
              <w:t>1.67</w:t>
            </w:r>
          </w:p>
        </w:tc>
        <w:tc>
          <w:tcPr>
            <w:tcW w:w="1548" w:type="dxa"/>
            <w:tcBorders>
              <w:top w:val="single" w:sz="4" w:space="0" w:color="365F91"/>
              <w:bottom w:val="single" w:sz="4" w:space="0" w:color="365F91"/>
            </w:tcBorders>
          </w:tcPr>
          <w:p w14:paraId="19B641B1" w14:textId="77777777" w:rsidR="00005A00" w:rsidRPr="00256982" w:rsidRDefault="00005A00" w:rsidP="00AA14F1">
            <w:pPr>
              <w:pStyle w:val="TableText"/>
              <w:spacing w:before="40" w:after="40"/>
              <w:jc w:val="center"/>
              <w:rPr>
                <w:highlight w:val="yellow"/>
              </w:rPr>
            </w:pPr>
            <w:r w:rsidRPr="00256982">
              <w:t>0.20</w:t>
            </w:r>
          </w:p>
        </w:tc>
        <w:tc>
          <w:tcPr>
            <w:tcW w:w="1616" w:type="dxa"/>
            <w:tcBorders>
              <w:top w:val="single" w:sz="4" w:space="0" w:color="365F91"/>
              <w:bottom w:val="single" w:sz="4" w:space="0" w:color="365F91"/>
            </w:tcBorders>
            <w:shd w:val="clear" w:color="auto" w:fill="auto"/>
          </w:tcPr>
          <w:p w14:paraId="0002E5D7" w14:textId="77777777" w:rsidR="00005A00" w:rsidRPr="00256982" w:rsidRDefault="00005A00" w:rsidP="00AA14F1">
            <w:pPr>
              <w:pStyle w:val="TableText"/>
              <w:spacing w:before="40" w:after="40"/>
              <w:jc w:val="center"/>
              <w:rPr>
                <w:highlight w:val="yellow"/>
              </w:rPr>
            </w:pPr>
            <w:r w:rsidRPr="00256982">
              <w:t>0.32</w:t>
            </w:r>
          </w:p>
        </w:tc>
        <w:tc>
          <w:tcPr>
            <w:tcW w:w="1358" w:type="dxa"/>
            <w:tcBorders>
              <w:top w:val="single" w:sz="4" w:space="0" w:color="365F91"/>
              <w:bottom w:val="single" w:sz="4" w:space="0" w:color="365F91"/>
            </w:tcBorders>
          </w:tcPr>
          <w:p w14:paraId="0A3827F9" w14:textId="77777777" w:rsidR="00005A00" w:rsidRPr="00256982" w:rsidRDefault="00005A00" w:rsidP="00AA14F1">
            <w:pPr>
              <w:pStyle w:val="TableText"/>
              <w:spacing w:before="40" w:after="40"/>
              <w:jc w:val="center"/>
            </w:pPr>
            <w:r w:rsidRPr="00256982">
              <w:t>0.61</w:t>
            </w:r>
          </w:p>
        </w:tc>
        <w:tc>
          <w:tcPr>
            <w:tcW w:w="1576" w:type="dxa"/>
            <w:tcBorders>
              <w:top w:val="single" w:sz="4" w:space="0" w:color="365F91"/>
              <w:bottom w:val="single" w:sz="4" w:space="0" w:color="365F91"/>
            </w:tcBorders>
            <w:shd w:val="clear" w:color="auto" w:fill="auto"/>
          </w:tcPr>
          <w:p w14:paraId="27623E25" w14:textId="77777777" w:rsidR="00005A00" w:rsidRPr="00256982" w:rsidRDefault="00005A00" w:rsidP="00AA14F1">
            <w:pPr>
              <w:pStyle w:val="TableText"/>
              <w:spacing w:before="40" w:after="40"/>
              <w:jc w:val="center"/>
              <w:rPr>
                <w:highlight w:val="yellow"/>
              </w:rPr>
            </w:pPr>
            <w:r w:rsidRPr="00256982">
              <w:t>2.80</w:t>
            </w:r>
          </w:p>
        </w:tc>
      </w:tr>
      <w:tr w:rsidR="00005A00" w:rsidRPr="00256982" w14:paraId="31BD2D6A" w14:textId="77777777" w:rsidTr="00AA14F1">
        <w:tc>
          <w:tcPr>
            <w:tcW w:w="925" w:type="dxa"/>
            <w:tcBorders>
              <w:top w:val="single" w:sz="4" w:space="0" w:color="365F91"/>
              <w:bottom w:val="single" w:sz="4" w:space="0" w:color="365F91"/>
            </w:tcBorders>
          </w:tcPr>
          <w:p w14:paraId="61CB8571" w14:textId="77777777" w:rsidR="00005A00" w:rsidRPr="00256982" w:rsidRDefault="00005A00" w:rsidP="00AA14F1">
            <w:pPr>
              <w:pStyle w:val="TableTextBold"/>
              <w:spacing w:before="40" w:after="40"/>
              <w:rPr>
                <w:noProof w:val="0"/>
              </w:rPr>
            </w:pPr>
            <w:r w:rsidRPr="00256982">
              <w:rPr>
                <w:noProof w:val="0"/>
              </w:rPr>
              <w:t>2006</w:t>
            </w:r>
          </w:p>
        </w:tc>
        <w:tc>
          <w:tcPr>
            <w:tcW w:w="1590" w:type="dxa"/>
            <w:tcBorders>
              <w:top w:val="single" w:sz="4" w:space="0" w:color="365F91"/>
              <w:bottom w:val="single" w:sz="4" w:space="0" w:color="365F91"/>
            </w:tcBorders>
            <w:shd w:val="clear" w:color="auto" w:fill="auto"/>
          </w:tcPr>
          <w:p w14:paraId="57CB39A9" w14:textId="77777777" w:rsidR="00005A00" w:rsidRPr="00256982" w:rsidRDefault="00005A00" w:rsidP="00AA14F1">
            <w:pPr>
              <w:pStyle w:val="TableText"/>
              <w:spacing w:before="40" w:after="40"/>
              <w:jc w:val="center"/>
              <w:rPr>
                <w:highlight w:val="yellow"/>
              </w:rPr>
            </w:pPr>
            <w:r w:rsidRPr="00256982">
              <w:t>1.65</w:t>
            </w:r>
          </w:p>
        </w:tc>
        <w:tc>
          <w:tcPr>
            <w:tcW w:w="1548" w:type="dxa"/>
            <w:tcBorders>
              <w:top w:val="single" w:sz="4" w:space="0" w:color="365F91"/>
              <w:bottom w:val="single" w:sz="4" w:space="0" w:color="365F91"/>
            </w:tcBorders>
          </w:tcPr>
          <w:p w14:paraId="2A6FDAAB" w14:textId="77777777" w:rsidR="00005A00" w:rsidRPr="00256982" w:rsidRDefault="00005A00" w:rsidP="00AA14F1">
            <w:pPr>
              <w:pStyle w:val="TableText"/>
              <w:spacing w:before="40" w:after="40"/>
              <w:jc w:val="center"/>
              <w:rPr>
                <w:highlight w:val="yellow"/>
              </w:rPr>
            </w:pPr>
            <w:r w:rsidRPr="00256982">
              <w:t>0.18</w:t>
            </w:r>
          </w:p>
        </w:tc>
        <w:tc>
          <w:tcPr>
            <w:tcW w:w="1616" w:type="dxa"/>
            <w:tcBorders>
              <w:top w:val="single" w:sz="4" w:space="0" w:color="365F91"/>
              <w:bottom w:val="single" w:sz="4" w:space="0" w:color="365F91"/>
            </w:tcBorders>
            <w:shd w:val="clear" w:color="auto" w:fill="auto"/>
          </w:tcPr>
          <w:p w14:paraId="20249688" w14:textId="77777777" w:rsidR="00005A00" w:rsidRPr="00256982" w:rsidRDefault="00005A00" w:rsidP="00AA14F1">
            <w:pPr>
              <w:pStyle w:val="TableText"/>
              <w:spacing w:before="40" w:after="40"/>
              <w:jc w:val="center"/>
              <w:rPr>
                <w:highlight w:val="yellow"/>
              </w:rPr>
            </w:pPr>
            <w:r w:rsidRPr="00256982">
              <w:t>0.33</w:t>
            </w:r>
          </w:p>
        </w:tc>
        <w:tc>
          <w:tcPr>
            <w:tcW w:w="1358" w:type="dxa"/>
            <w:tcBorders>
              <w:top w:val="single" w:sz="4" w:space="0" w:color="365F91"/>
              <w:bottom w:val="single" w:sz="4" w:space="0" w:color="365F91"/>
            </w:tcBorders>
          </w:tcPr>
          <w:p w14:paraId="36AFB307" w14:textId="77777777" w:rsidR="00005A00" w:rsidRPr="00256982" w:rsidRDefault="00005A00" w:rsidP="00AA14F1">
            <w:pPr>
              <w:pStyle w:val="TableText"/>
              <w:spacing w:before="40" w:after="40"/>
              <w:jc w:val="center"/>
            </w:pPr>
            <w:r w:rsidRPr="00256982">
              <w:t>0.61</w:t>
            </w:r>
          </w:p>
        </w:tc>
        <w:tc>
          <w:tcPr>
            <w:tcW w:w="1576" w:type="dxa"/>
            <w:tcBorders>
              <w:top w:val="single" w:sz="4" w:space="0" w:color="365F91"/>
              <w:bottom w:val="single" w:sz="4" w:space="0" w:color="365F91"/>
            </w:tcBorders>
            <w:shd w:val="clear" w:color="auto" w:fill="auto"/>
          </w:tcPr>
          <w:p w14:paraId="0D73E24C" w14:textId="77777777" w:rsidR="00005A00" w:rsidRPr="00256982" w:rsidRDefault="00005A00" w:rsidP="00AA14F1">
            <w:pPr>
              <w:pStyle w:val="TableText"/>
              <w:spacing w:before="40" w:after="40"/>
              <w:jc w:val="center"/>
              <w:rPr>
                <w:highlight w:val="yellow"/>
              </w:rPr>
            </w:pPr>
            <w:r w:rsidRPr="00256982">
              <w:t>2.78</w:t>
            </w:r>
          </w:p>
        </w:tc>
      </w:tr>
      <w:tr w:rsidR="00005A00" w:rsidRPr="00256982" w14:paraId="30524B4E" w14:textId="77777777" w:rsidTr="00AA14F1">
        <w:tc>
          <w:tcPr>
            <w:tcW w:w="925" w:type="dxa"/>
            <w:tcBorders>
              <w:top w:val="single" w:sz="4" w:space="0" w:color="365F91"/>
              <w:bottom w:val="single" w:sz="4" w:space="0" w:color="365F91"/>
            </w:tcBorders>
          </w:tcPr>
          <w:p w14:paraId="41841100" w14:textId="77777777" w:rsidR="00005A00" w:rsidRPr="00256982" w:rsidRDefault="00005A00" w:rsidP="00AA14F1">
            <w:pPr>
              <w:pStyle w:val="TableTextBold"/>
              <w:spacing w:before="40" w:after="40"/>
              <w:rPr>
                <w:noProof w:val="0"/>
              </w:rPr>
            </w:pPr>
            <w:r w:rsidRPr="00256982">
              <w:rPr>
                <w:noProof w:val="0"/>
              </w:rPr>
              <w:t>2007</w:t>
            </w:r>
          </w:p>
        </w:tc>
        <w:tc>
          <w:tcPr>
            <w:tcW w:w="1590" w:type="dxa"/>
            <w:tcBorders>
              <w:top w:val="single" w:sz="4" w:space="0" w:color="365F91"/>
              <w:bottom w:val="single" w:sz="4" w:space="0" w:color="365F91"/>
            </w:tcBorders>
            <w:shd w:val="clear" w:color="auto" w:fill="auto"/>
          </w:tcPr>
          <w:p w14:paraId="028D1082" w14:textId="77777777" w:rsidR="00005A00" w:rsidRPr="00256982" w:rsidRDefault="00005A00" w:rsidP="00AA14F1">
            <w:pPr>
              <w:pStyle w:val="TableText"/>
              <w:spacing w:before="40" w:after="40"/>
              <w:jc w:val="center"/>
              <w:rPr>
                <w:highlight w:val="yellow"/>
              </w:rPr>
            </w:pPr>
            <w:r w:rsidRPr="00256982">
              <w:t>1.68</w:t>
            </w:r>
          </w:p>
        </w:tc>
        <w:tc>
          <w:tcPr>
            <w:tcW w:w="1548" w:type="dxa"/>
            <w:tcBorders>
              <w:top w:val="single" w:sz="4" w:space="0" w:color="365F91"/>
              <w:bottom w:val="single" w:sz="4" w:space="0" w:color="365F91"/>
            </w:tcBorders>
          </w:tcPr>
          <w:p w14:paraId="78BF0717" w14:textId="77777777" w:rsidR="00005A00" w:rsidRPr="00256982" w:rsidRDefault="00005A00" w:rsidP="00AA14F1">
            <w:pPr>
              <w:pStyle w:val="TableText"/>
              <w:spacing w:before="40" w:after="40"/>
              <w:jc w:val="center"/>
              <w:rPr>
                <w:highlight w:val="yellow"/>
              </w:rPr>
            </w:pPr>
            <w:r w:rsidRPr="00256982">
              <w:t>0.19</w:t>
            </w:r>
          </w:p>
        </w:tc>
        <w:tc>
          <w:tcPr>
            <w:tcW w:w="1616" w:type="dxa"/>
            <w:tcBorders>
              <w:top w:val="single" w:sz="4" w:space="0" w:color="365F91"/>
              <w:bottom w:val="single" w:sz="4" w:space="0" w:color="365F91"/>
            </w:tcBorders>
            <w:shd w:val="clear" w:color="auto" w:fill="auto"/>
          </w:tcPr>
          <w:p w14:paraId="53800294" w14:textId="77777777" w:rsidR="00005A00" w:rsidRPr="00256982" w:rsidRDefault="00005A00" w:rsidP="00AA14F1">
            <w:pPr>
              <w:pStyle w:val="TableText"/>
              <w:spacing w:before="40" w:after="40"/>
              <w:jc w:val="center"/>
              <w:rPr>
                <w:highlight w:val="yellow"/>
              </w:rPr>
            </w:pPr>
            <w:r w:rsidRPr="00256982">
              <w:t>0.34</w:t>
            </w:r>
          </w:p>
        </w:tc>
        <w:tc>
          <w:tcPr>
            <w:tcW w:w="1358" w:type="dxa"/>
            <w:tcBorders>
              <w:top w:val="single" w:sz="4" w:space="0" w:color="365F91"/>
              <w:bottom w:val="single" w:sz="4" w:space="0" w:color="365F91"/>
            </w:tcBorders>
          </w:tcPr>
          <w:p w14:paraId="70EFD708" w14:textId="77777777" w:rsidR="00005A00" w:rsidRPr="00256982" w:rsidRDefault="00005A00" w:rsidP="00AA14F1">
            <w:pPr>
              <w:pStyle w:val="TableText"/>
              <w:spacing w:before="40" w:after="40"/>
              <w:jc w:val="center"/>
            </w:pPr>
            <w:r w:rsidRPr="00256982">
              <w:t>0.61</w:t>
            </w:r>
          </w:p>
        </w:tc>
        <w:tc>
          <w:tcPr>
            <w:tcW w:w="1576" w:type="dxa"/>
            <w:tcBorders>
              <w:top w:val="single" w:sz="4" w:space="0" w:color="365F91"/>
              <w:bottom w:val="single" w:sz="4" w:space="0" w:color="365F91"/>
            </w:tcBorders>
            <w:shd w:val="clear" w:color="auto" w:fill="auto"/>
          </w:tcPr>
          <w:p w14:paraId="3C1943FE" w14:textId="77777777" w:rsidR="00005A00" w:rsidRPr="00256982" w:rsidRDefault="00005A00" w:rsidP="00AA14F1">
            <w:pPr>
              <w:pStyle w:val="TableText"/>
              <w:spacing w:before="40" w:after="40"/>
              <w:jc w:val="center"/>
              <w:rPr>
                <w:highlight w:val="yellow"/>
              </w:rPr>
            </w:pPr>
            <w:r w:rsidRPr="00256982">
              <w:t>2.82</w:t>
            </w:r>
          </w:p>
        </w:tc>
      </w:tr>
      <w:tr w:rsidR="00005A00" w:rsidRPr="00256982" w14:paraId="469B5554" w14:textId="77777777" w:rsidTr="00AA14F1">
        <w:tc>
          <w:tcPr>
            <w:tcW w:w="925" w:type="dxa"/>
            <w:tcBorders>
              <w:top w:val="single" w:sz="4" w:space="0" w:color="365F91"/>
              <w:bottom w:val="single" w:sz="4" w:space="0" w:color="365F91"/>
            </w:tcBorders>
          </w:tcPr>
          <w:p w14:paraId="601FB59E" w14:textId="77777777" w:rsidR="00005A00" w:rsidRPr="00256982" w:rsidRDefault="00005A00" w:rsidP="00AA14F1">
            <w:pPr>
              <w:pStyle w:val="TableTextBold"/>
              <w:spacing w:before="40" w:after="40"/>
              <w:rPr>
                <w:noProof w:val="0"/>
              </w:rPr>
            </w:pPr>
            <w:r w:rsidRPr="00256982">
              <w:rPr>
                <w:noProof w:val="0"/>
              </w:rPr>
              <w:t>2008</w:t>
            </w:r>
          </w:p>
        </w:tc>
        <w:tc>
          <w:tcPr>
            <w:tcW w:w="1590" w:type="dxa"/>
            <w:tcBorders>
              <w:top w:val="single" w:sz="4" w:space="0" w:color="365F91"/>
              <w:bottom w:val="single" w:sz="4" w:space="0" w:color="365F91"/>
            </w:tcBorders>
            <w:shd w:val="clear" w:color="auto" w:fill="auto"/>
          </w:tcPr>
          <w:p w14:paraId="3B8756C6" w14:textId="77777777" w:rsidR="00005A00" w:rsidRPr="00256982" w:rsidRDefault="00005A00" w:rsidP="00AA14F1">
            <w:pPr>
              <w:pStyle w:val="TableText"/>
              <w:spacing w:before="40" w:after="40"/>
              <w:jc w:val="center"/>
              <w:rPr>
                <w:highlight w:val="yellow"/>
              </w:rPr>
            </w:pPr>
            <w:r w:rsidRPr="00256982">
              <w:t>1.69</w:t>
            </w:r>
          </w:p>
        </w:tc>
        <w:tc>
          <w:tcPr>
            <w:tcW w:w="1548" w:type="dxa"/>
            <w:tcBorders>
              <w:top w:val="single" w:sz="4" w:space="0" w:color="365F91"/>
              <w:bottom w:val="single" w:sz="4" w:space="0" w:color="365F91"/>
            </w:tcBorders>
          </w:tcPr>
          <w:p w14:paraId="5218C4BE" w14:textId="77777777" w:rsidR="00005A00" w:rsidRPr="00256982" w:rsidRDefault="00005A00" w:rsidP="00AA14F1">
            <w:pPr>
              <w:pStyle w:val="TableText"/>
              <w:spacing w:before="40" w:after="40"/>
              <w:jc w:val="center"/>
              <w:rPr>
                <w:highlight w:val="yellow"/>
              </w:rPr>
            </w:pPr>
            <w:r w:rsidRPr="00256982">
              <w:t>0.18</w:t>
            </w:r>
          </w:p>
        </w:tc>
        <w:tc>
          <w:tcPr>
            <w:tcW w:w="1616" w:type="dxa"/>
            <w:tcBorders>
              <w:top w:val="single" w:sz="4" w:space="0" w:color="365F91"/>
              <w:bottom w:val="single" w:sz="4" w:space="0" w:color="365F91"/>
            </w:tcBorders>
            <w:shd w:val="clear" w:color="auto" w:fill="auto"/>
          </w:tcPr>
          <w:p w14:paraId="1B408C8F" w14:textId="77777777" w:rsidR="00005A00" w:rsidRPr="00256982" w:rsidRDefault="00005A00" w:rsidP="00AA14F1">
            <w:pPr>
              <w:pStyle w:val="TableText"/>
              <w:spacing w:before="40" w:after="40"/>
              <w:jc w:val="center"/>
              <w:rPr>
                <w:highlight w:val="yellow"/>
              </w:rPr>
            </w:pPr>
            <w:r w:rsidRPr="00256982">
              <w:t>0.33</w:t>
            </w:r>
          </w:p>
        </w:tc>
        <w:tc>
          <w:tcPr>
            <w:tcW w:w="1358" w:type="dxa"/>
            <w:tcBorders>
              <w:top w:val="single" w:sz="4" w:space="0" w:color="365F91"/>
              <w:bottom w:val="single" w:sz="4" w:space="0" w:color="365F91"/>
            </w:tcBorders>
          </w:tcPr>
          <w:p w14:paraId="165D1422" w14:textId="77777777" w:rsidR="00005A00" w:rsidRPr="00256982" w:rsidRDefault="00005A00" w:rsidP="00AA14F1">
            <w:pPr>
              <w:pStyle w:val="TableText"/>
              <w:spacing w:before="40" w:after="40"/>
              <w:jc w:val="center"/>
            </w:pPr>
            <w:r w:rsidRPr="00256982">
              <w:t>0.61</w:t>
            </w:r>
          </w:p>
        </w:tc>
        <w:tc>
          <w:tcPr>
            <w:tcW w:w="1576" w:type="dxa"/>
            <w:tcBorders>
              <w:top w:val="single" w:sz="4" w:space="0" w:color="365F91"/>
              <w:bottom w:val="single" w:sz="4" w:space="0" w:color="365F91"/>
            </w:tcBorders>
            <w:shd w:val="clear" w:color="auto" w:fill="auto"/>
          </w:tcPr>
          <w:p w14:paraId="0BDA0916" w14:textId="77777777" w:rsidR="00005A00" w:rsidRPr="00256982" w:rsidRDefault="00005A00" w:rsidP="00AA14F1">
            <w:pPr>
              <w:pStyle w:val="TableText"/>
              <w:spacing w:before="40" w:after="40"/>
              <w:jc w:val="center"/>
              <w:rPr>
                <w:highlight w:val="yellow"/>
              </w:rPr>
            </w:pPr>
            <w:r w:rsidRPr="00256982">
              <w:t>2.82</w:t>
            </w:r>
          </w:p>
        </w:tc>
      </w:tr>
      <w:tr w:rsidR="00005A00" w:rsidRPr="00256982" w14:paraId="7B94CEF2" w14:textId="77777777" w:rsidTr="00AA14F1">
        <w:tc>
          <w:tcPr>
            <w:tcW w:w="925" w:type="dxa"/>
            <w:tcBorders>
              <w:top w:val="single" w:sz="4" w:space="0" w:color="365F91"/>
              <w:bottom w:val="single" w:sz="4" w:space="0" w:color="365F91"/>
            </w:tcBorders>
          </w:tcPr>
          <w:p w14:paraId="5025442B" w14:textId="77777777" w:rsidR="00005A00" w:rsidRPr="00256982" w:rsidRDefault="00005A00" w:rsidP="00AA14F1">
            <w:pPr>
              <w:pStyle w:val="TableTextBold"/>
              <w:spacing w:before="40" w:after="40"/>
              <w:rPr>
                <w:noProof w:val="0"/>
              </w:rPr>
            </w:pPr>
            <w:r w:rsidRPr="00256982">
              <w:rPr>
                <w:noProof w:val="0"/>
              </w:rPr>
              <w:t>2009</w:t>
            </w:r>
          </w:p>
        </w:tc>
        <w:tc>
          <w:tcPr>
            <w:tcW w:w="1590" w:type="dxa"/>
            <w:tcBorders>
              <w:top w:val="single" w:sz="4" w:space="0" w:color="365F91"/>
              <w:bottom w:val="single" w:sz="4" w:space="0" w:color="365F91"/>
            </w:tcBorders>
            <w:shd w:val="clear" w:color="auto" w:fill="auto"/>
          </w:tcPr>
          <w:p w14:paraId="40B4F87E" w14:textId="77777777" w:rsidR="00005A00" w:rsidRPr="00256982" w:rsidRDefault="00005A00" w:rsidP="00AA14F1">
            <w:pPr>
              <w:pStyle w:val="TableText"/>
              <w:spacing w:before="40" w:after="40"/>
              <w:jc w:val="center"/>
              <w:rPr>
                <w:highlight w:val="yellow"/>
              </w:rPr>
            </w:pPr>
            <w:r w:rsidRPr="00256982">
              <w:t>1.59</w:t>
            </w:r>
          </w:p>
        </w:tc>
        <w:tc>
          <w:tcPr>
            <w:tcW w:w="1548" w:type="dxa"/>
            <w:tcBorders>
              <w:top w:val="single" w:sz="4" w:space="0" w:color="365F91"/>
              <w:bottom w:val="single" w:sz="4" w:space="0" w:color="365F91"/>
            </w:tcBorders>
          </w:tcPr>
          <w:p w14:paraId="79ADCF90" w14:textId="77777777" w:rsidR="00005A00" w:rsidRPr="00256982" w:rsidRDefault="00005A00" w:rsidP="00AA14F1">
            <w:pPr>
              <w:pStyle w:val="TableText"/>
              <w:spacing w:before="40" w:after="40"/>
              <w:jc w:val="center"/>
              <w:rPr>
                <w:highlight w:val="yellow"/>
              </w:rPr>
            </w:pPr>
            <w:r w:rsidRPr="00256982">
              <w:t>0.17</w:t>
            </w:r>
          </w:p>
        </w:tc>
        <w:tc>
          <w:tcPr>
            <w:tcW w:w="1616" w:type="dxa"/>
            <w:tcBorders>
              <w:top w:val="single" w:sz="4" w:space="0" w:color="365F91"/>
              <w:bottom w:val="single" w:sz="4" w:space="0" w:color="365F91"/>
            </w:tcBorders>
            <w:shd w:val="clear" w:color="auto" w:fill="auto"/>
          </w:tcPr>
          <w:p w14:paraId="1C00C6B1" w14:textId="77777777" w:rsidR="00005A00" w:rsidRPr="00256982" w:rsidRDefault="00005A00" w:rsidP="00AA14F1">
            <w:pPr>
              <w:pStyle w:val="TableText"/>
              <w:spacing w:before="40" w:after="40"/>
              <w:jc w:val="center"/>
              <w:rPr>
                <w:highlight w:val="yellow"/>
              </w:rPr>
            </w:pPr>
            <w:r w:rsidRPr="00256982">
              <w:t>0.36</w:t>
            </w:r>
          </w:p>
        </w:tc>
        <w:tc>
          <w:tcPr>
            <w:tcW w:w="1358" w:type="dxa"/>
            <w:tcBorders>
              <w:top w:val="single" w:sz="4" w:space="0" w:color="365F91"/>
              <w:bottom w:val="single" w:sz="4" w:space="0" w:color="365F91"/>
            </w:tcBorders>
          </w:tcPr>
          <w:p w14:paraId="64D3460C" w14:textId="77777777" w:rsidR="00005A00" w:rsidRPr="00256982" w:rsidRDefault="00005A00" w:rsidP="00AA14F1">
            <w:pPr>
              <w:pStyle w:val="TableText"/>
              <w:spacing w:before="40" w:after="40"/>
              <w:jc w:val="center"/>
            </w:pPr>
            <w:r w:rsidRPr="00256982">
              <w:t>0.61</w:t>
            </w:r>
          </w:p>
        </w:tc>
        <w:tc>
          <w:tcPr>
            <w:tcW w:w="1576" w:type="dxa"/>
            <w:tcBorders>
              <w:top w:val="single" w:sz="4" w:space="0" w:color="365F91"/>
              <w:bottom w:val="single" w:sz="4" w:space="0" w:color="365F91"/>
            </w:tcBorders>
            <w:shd w:val="clear" w:color="auto" w:fill="auto"/>
          </w:tcPr>
          <w:p w14:paraId="18331AB8" w14:textId="77777777" w:rsidR="00005A00" w:rsidRPr="00256982" w:rsidRDefault="00005A00" w:rsidP="00AA14F1">
            <w:pPr>
              <w:pStyle w:val="TableText"/>
              <w:spacing w:before="40" w:after="40"/>
              <w:jc w:val="center"/>
              <w:rPr>
                <w:highlight w:val="yellow"/>
              </w:rPr>
            </w:pPr>
            <w:r w:rsidRPr="00256982">
              <w:t>2.73</w:t>
            </w:r>
          </w:p>
        </w:tc>
      </w:tr>
      <w:tr w:rsidR="00005A00" w:rsidRPr="00256982" w14:paraId="398298FC" w14:textId="77777777" w:rsidTr="00AA14F1">
        <w:tc>
          <w:tcPr>
            <w:tcW w:w="925" w:type="dxa"/>
            <w:tcBorders>
              <w:top w:val="single" w:sz="4" w:space="0" w:color="365F91"/>
              <w:bottom w:val="single" w:sz="4" w:space="0" w:color="365F91"/>
            </w:tcBorders>
          </w:tcPr>
          <w:p w14:paraId="16D40C68" w14:textId="77777777" w:rsidR="00005A00" w:rsidRPr="00256982" w:rsidRDefault="00005A00" w:rsidP="00AA14F1">
            <w:pPr>
              <w:pStyle w:val="TableTextBold"/>
              <w:spacing w:before="40" w:after="40"/>
              <w:rPr>
                <w:noProof w:val="0"/>
              </w:rPr>
            </w:pPr>
            <w:r w:rsidRPr="00256982">
              <w:rPr>
                <w:noProof w:val="0"/>
              </w:rPr>
              <w:t>2010</w:t>
            </w:r>
          </w:p>
        </w:tc>
        <w:tc>
          <w:tcPr>
            <w:tcW w:w="1590" w:type="dxa"/>
            <w:tcBorders>
              <w:top w:val="single" w:sz="4" w:space="0" w:color="365F91"/>
              <w:bottom w:val="single" w:sz="4" w:space="0" w:color="365F91"/>
            </w:tcBorders>
            <w:shd w:val="clear" w:color="auto" w:fill="auto"/>
          </w:tcPr>
          <w:p w14:paraId="5FECBA3C" w14:textId="77777777" w:rsidR="00005A00" w:rsidRPr="00256982" w:rsidRDefault="00005A00" w:rsidP="00AA14F1">
            <w:pPr>
              <w:pStyle w:val="TableText"/>
              <w:spacing w:before="40" w:after="40"/>
              <w:jc w:val="center"/>
              <w:rPr>
                <w:highlight w:val="yellow"/>
              </w:rPr>
            </w:pPr>
            <w:r w:rsidRPr="00256982">
              <w:t>1.53</w:t>
            </w:r>
          </w:p>
        </w:tc>
        <w:tc>
          <w:tcPr>
            <w:tcW w:w="1548" w:type="dxa"/>
            <w:tcBorders>
              <w:top w:val="single" w:sz="4" w:space="0" w:color="365F91"/>
              <w:bottom w:val="single" w:sz="4" w:space="0" w:color="365F91"/>
            </w:tcBorders>
          </w:tcPr>
          <w:p w14:paraId="17B18271" w14:textId="77777777" w:rsidR="00005A00" w:rsidRPr="00256982" w:rsidRDefault="00005A00" w:rsidP="00AA14F1">
            <w:pPr>
              <w:pStyle w:val="TableText"/>
              <w:spacing w:before="40" w:after="40"/>
              <w:jc w:val="center"/>
              <w:rPr>
                <w:highlight w:val="yellow"/>
              </w:rPr>
            </w:pPr>
            <w:r w:rsidRPr="00256982">
              <w:t>0.18</w:t>
            </w:r>
          </w:p>
        </w:tc>
        <w:tc>
          <w:tcPr>
            <w:tcW w:w="1616" w:type="dxa"/>
            <w:tcBorders>
              <w:top w:val="single" w:sz="4" w:space="0" w:color="365F91"/>
              <w:bottom w:val="single" w:sz="4" w:space="0" w:color="365F91"/>
            </w:tcBorders>
            <w:shd w:val="clear" w:color="auto" w:fill="auto"/>
          </w:tcPr>
          <w:p w14:paraId="0FE5D915" w14:textId="77777777" w:rsidR="00005A00" w:rsidRPr="00256982" w:rsidRDefault="00005A00" w:rsidP="00AA14F1">
            <w:pPr>
              <w:pStyle w:val="TableText"/>
              <w:spacing w:before="40" w:after="40"/>
              <w:jc w:val="center"/>
              <w:rPr>
                <w:highlight w:val="yellow"/>
              </w:rPr>
            </w:pPr>
            <w:r w:rsidRPr="00256982">
              <w:t>0.37</w:t>
            </w:r>
          </w:p>
        </w:tc>
        <w:tc>
          <w:tcPr>
            <w:tcW w:w="1358" w:type="dxa"/>
            <w:tcBorders>
              <w:top w:val="single" w:sz="4" w:space="0" w:color="365F91"/>
              <w:bottom w:val="single" w:sz="4" w:space="0" w:color="365F91"/>
            </w:tcBorders>
          </w:tcPr>
          <w:p w14:paraId="7FC5BEA9" w14:textId="77777777" w:rsidR="00005A00" w:rsidRPr="00256982" w:rsidRDefault="00005A00" w:rsidP="00AA14F1">
            <w:pPr>
              <w:pStyle w:val="TableText"/>
              <w:spacing w:before="40" w:after="40"/>
              <w:jc w:val="center"/>
            </w:pPr>
            <w:r w:rsidRPr="00256982">
              <w:t>0.61</w:t>
            </w:r>
          </w:p>
        </w:tc>
        <w:tc>
          <w:tcPr>
            <w:tcW w:w="1576" w:type="dxa"/>
            <w:tcBorders>
              <w:top w:val="single" w:sz="4" w:space="0" w:color="365F91"/>
              <w:bottom w:val="single" w:sz="4" w:space="0" w:color="365F91"/>
            </w:tcBorders>
            <w:shd w:val="clear" w:color="auto" w:fill="auto"/>
          </w:tcPr>
          <w:p w14:paraId="603056E6" w14:textId="77777777" w:rsidR="00005A00" w:rsidRPr="00256982" w:rsidRDefault="00005A00" w:rsidP="00AA14F1">
            <w:pPr>
              <w:pStyle w:val="TableText"/>
              <w:spacing w:before="40" w:after="40"/>
              <w:jc w:val="center"/>
              <w:rPr>
                <w:highlight w:val="yellow"/>
              </w:rPr>
            </w:pPr>
            <w:r w:rsidRPr="00256982">
              <w:t>2.70</w:t>
            </w:r>
          </w:p>
        </w:tc>
      </w:tr>
      <w:tr w:rsidR="00005A00" w:rsidRPr="00256982" w14:paraId="433CA8DA" w14:textId="77777777" w:rsidTr="00AA14F1">
        <w:tc>
          <w:tcPr>
            <w:tcW w:w="925" w:type="dxa"/>
            <w:tcBorders>
              <w:top w:val="single" w:sz="4" w:space="0" w:color="365F91"/>
              <w:bottom w:val="single" w:sz="4" w:space="0" w:color="365F91"/>
            </w:tcBorders>
          </w:tcPr>
          <w:p w14:paraId="6233D6CF" w14:textId="77777777" w:rsidR="00005A00" w:rsidRPr="00256982" w:rsidRDefault="00005A00" w:rsidP="00AA14F1">
            <w:pPr>
              <w:pStyle w:val="TableTextBold"/>
              <w:spacing w:before="40" w:after="40"/>
              <w:rPr>
                <w:noProof w:val="0"/>
              </w:rPr>
            </w:pPr>
            <w:r w:rsidRPr="00256982">
              <w:rPr>
                <w:noProof w:val="0"/>
              </w:rPr>
              <w:t>2011</w:t>
            </w:r>
          </w:p>
        </w:tc>
        <w:tc>
          <w:tcPr>
            <w:tcW w:w="1590" w:type="dxa"/>
            <w:tcBorders>
              <w:top w:val="single" w:sz="4" w:space="0" w:color="365F91"/>
              <w:bottom w:val="single" w:sz="4" w:space="0" w:color="365F91"/>
            </w:tcBorders>
            <w:shd w:val="clear" w:color="auto" w:fill="auto"/>
          </w:tcPr>
          <w:p w14:paraId="79C4A62D" w14:textId="77777777" w:rsidR="00005A00" w:rsidRPr="00256982" w:rsidRDefault="00005A00" w:rsidP="00AA14F1">
            <w:pPr>
              <w:pStyle w:val="TableText"/>
              <w:spacing w:before="40" w:after="40"/>
              <w:jc w:val="center"/>
              <w:rPr>
                <w:highlight w:val="yellow"/>
              </w:rPr>
            </w:pPr>
            <w:r w:rsidRPr="00256982">
              <w:t>1.48</w:t>
            </w:r>
          </w:p>
        </w:tc>
        <w:tc>
          <w:tcPr>
            <w:tcW w:w="1548" w:type="dxa"/>
            <w:tcBorders>
              <w:top w:val="single" w:sz="4" w:space="0" w:color="365F91"/>
              <w:bottom w:val="single" w:sz="4" w:space="0" w:color="365F91"/>
            </w:tcBorders>
          </w:tcPr>
          <w:p w14:paraId="08280A88" w14:textId="77777777" w:rsidR="00005A00" w:rsidRPr="00256982" w:rsidRDefault="00005A00" w:rsidP="00AA14F1">
            <w:pPr>
              <w:pStyle w:val="TableText"/>
              <w:spacing w:before="40" w:after="40"/>
              <w:jc w:val="center"/>
              <w:rPr>
                <w:highlight w:val="yellow"/>
              </w:rPr>
            </w:pPr>
            <w:r w:rsidRPr="00256982">
              <w:t>0.20</w:t>
            </w:r>
          </w:p>
        </w:tc>
        <w:tc>
          <w:tcPr>
            <w:tcW w:w="1616" w:type="dxa"/>
            <w:tcBorders>
              <w:top w:val="single" w:sz="4" w:space="0" w:color="365F91"/>
              <w:bottom w:val="single" w:sz="4" w:space="0" w:color="365F91"/>
            </w:tcBorders>
            <w:shd w:val="clear" w:color="auto" w:fill="auto"/>
          </w:tcPr>
          <w:p w14:paraId="0328B264" w14:textId="77777777" w:rsidR="00005A00" w:rsidRPr="00256982" w:rsidRDefault="00005A00" w:rsidP="00AA14F1">
            <w:pPr>
              <w:pStyle w:val="TableText"/>
              <w:spacing w:before="40" w:after="40"/>
              <w:jc w:val="center"/>
              <w:rPr>
                <w:highlight w:val="yellow"/>
              </w:rPr>
            </w:pPr>
            <w:r w:rsidRPr="00256982">
              <w:t>0.39</w:t>
            </w:r>
          </w:p>
        </w:tc>
        <w:tc>
          <w:tcPr>
            <w:tcW w:w="1358" w:type="dxa"/>
            <w:tcBorders>
              <w:top w:val="single" w:sz="4" w:space="0" w:color="365F91"/>
              <w:bottom w:val="single" w:sz="4" w:space="0" w:color="365F91"/>
            </w:tcBorders>
          </w:tcPr>
          <w:p w14:paraId="4B505588" w14:textId="77777777" w:rsidR="00005A00" w:rsidRPr="00256982" w:rsidRDefault="00005A00" w:rsidP="00AA14F1">
            <w:pPr>
              <w:pStyle w:val="TableText"/>
              <w:spacing w:before="40" w:after="40"/>
              <w:jc w:val="center"/>
            </w:pPr>
            <w:r w:rsidRPr="00256982">
              <w:t>0.61</w:t>
            </w:r>
          </w:p>
        </w:tc>
        <w:tc>
          <w:tcPr>
            <w:tcW w:w="1576" w:type="dxa"/>
            <w:tcBorders>
              <w:top w:val="single" w:sz="4" w:space="0" w:color="365F91"/>
              <w:bottom w:val="single" w:sz="4" w:space="0" w:color="365F91"/>
            </w:tcBorders>
            <w:shd w:val="clear" w:color="auto" w:fill="auto"/>
          </w:tcPr>
          <w:p w14:paraId="63EE2CE1" w14:textId="77777777" w:rsidR="00005A00" w:rsidRPr="00256982" w:rsidRDefault="00005A00" w:rsidP="00AA14F1">
            <w:pPr>
              <w:pStyle w:val="TableText"/>
              <w:spacing w:before="40" w:after="40"/>
              <w:jc w:val="center"/>
              <w:rPr>
                <w:highlight w:val="yellow"/>
              </w:rPr>
            </w:pPr>
            <w:r w:rsidRPr="00256982">
              <w:t>2.69</w:t>
            </w:r>
          </w:p>
        </w:tc>
      </w:tr>
      <w:tr w:rsidR="00005A00" w:rsidRPr="00256982" w14:paraId="45E2568E" w14:textId="77777777" w:rsidTr="00AA14F1">
        <w:tc>
          <w:tcPr>
            <w:tcW w:w="925" w:type="dxa"/>
            <w:tcBorders>
              <w:top w:val="single" w:sz="4" w:space="0" w:color="365F91"/>
              <w:bottom w:val="single" w:sz="4" w:space="0" w:color="365F91"/>
            </w:tcBorders>
          </w:tcPr>
          <w:p w14:paraId="0926895E" w14:textId="77777777" w:rsidR="00005A00" w:rsidRPr="00256982" w:rsidRDefault="00005A00" w:rsidP="00AA14F1">
            <w:pPr>
              <w:pStyle w:val="TableTextBold"/>
              <w:spacing w:before="40" w:after="40"/>
              <w:rPr>
                <w:noProof w:val="0"/>
              </w:rPr>
            </w:pPr>
            <w:r w:rsidRPr="00256982">
              <w:rPr>
                <w:noProof w:val="0"/>
              </w:rPr>
              <w:t>2012</w:t>
            </w:r>
          </w:p>
        </w:tc>
        <w:tc>
          <w:tcPr>
            <w:tcW w:w="1590" w:type="dxa"/>
            <w:tcBorders>
              <w:top w:val="single" w:sz="4" w:space="0" w:color="365F91"/>
              <w:bottom w:val="single" w:sz="4" w:space="0" w:color="365F91"/>
            </w:tcBorders>
            <w:shd w:val="clear" w:color="auto" w:fill="auto"/>
          </w:tcPr>
          <w:p w14:paraId="26708A48" w14:textId="77777777" w:rsidR="00005A00" w:rsidRPr="00256982" w:rsidRDefault="00005A00" w:rsidP="00AA14F1">
            <w:pPr>
              <w:pStyle w:val="TableText"/>
              <w:spacing w:before="40" w:after="40"/>
              <w:jc w:val="center"/>
              <w:rPr>
                <w:highlight w:val="yellow"/>
              </w:rPr>
            </w:pPr>
            <w:r w:rsidRPr="00256982">
              <w:t>1.47</w:t>
            </w:r>
          </w:p>
        </w:tc>
        <w:tc>
          <w:tcPr>
            <w:tcW w:w="1548" w:type="dxa"/>
            <w:tcBorders>
              <w:top w:val="single" w:sz="4" w:space="0" w:color="365F91"/>
              <w:bottom w:val="single" w:sz="4" w:space="0" w:color="365F91"/>
            </w:tcBorders>
          </w:tcPr>
          <w:p w14:paraId="4675A94C" w14:textId="77777777" w:rsidR="00005A00" w:rsidRPr="00256982" w:rsidRDefault="00005A00" w:rsidP="00AA14F1">
            <w:pPr>
              <w:pStyle w:val="TableText"/>
              <w:spacing w:before="40" w:after="40"/>
              <w:jc w:val="center"/>
              <w:rPr>
                <w:highlight w:val="yellow"/>
              </w:rPr>
            </w:pPr>
            <w:r w:rsidRPr="00256982">
              <w:t>0.21</w:t>
            </w:r>
          </w:p>
        </w:tc>
        <w:tc>
          <w:tcPr>
            <w:tcW w:w="1616" w:type="dxa"/>
            <w:tcBorders>
              <w:top w:val="single" w:sz="4" w:space="0" w:color="365F91"/>
              <w:bottom w:val="single" w:sz="4" w:space="0" w:color="365F91"/>
            </w:tcBorders>
            <w:shd w:val="clear" w:color="auto" w:fill="auto"/>
          </w:tcPr>
          <w:p w14:paraId="2AECAAD8" w14:textId="77777777" w:rsidR="00005A00" w:rsidRPr="00256982" w:rsidRDefault="00005A00" w:rsidP="00AA14F1">
            <w:pPr>
              <w:pStyle w:val="TableText"/>
              <w:spacing w:before="40" w:after="40"/>
              <w:jc w:val="center"/>
              <w:rPr>
                <w:highlight w:val="yellow"/>
              </w:rPr>
            </w:pPr>
            <w:r w:rsidRPr="00256982">
              <w:t>0.43</w:t>
            </w:r>
          </w:p>
        </w:tc>
        <w:tc>
          <w:tcPr>
            <w:tcW w:w="1358" w:type="dxa"/>
            <w:tcBorders>
              <w:top w:val="single" w:sz="4" w:space="0" w:color="365F91"/>
              <w:bottom w:val="single" w:sz="4" w:space="0" w:color="365F91"/>
            </w:tcBorders>
          </w:tcPr>
          <w:p w14:paraId="5462D8F7" w14:textId="77777777" w:rsidR="00005A00" w:rsidRPr="00256982" w:rsidRDefault="00005A00" w:rsidP="00AA14F1">
            <w:pPr>
              <w:pStyle w:val="TableText"/>
              <w:spacing w:before="40" w:after="40"/>
              <w:jc w:val="center"/>
            </w:pPr>
            <w:r w:rsidRPr="00256982">
              <w:t>0.61</w:t>
            </w:r>
          </w:p>
        </w:tc>
        <w:tc>
          <w:tcPr>
            <w:tcW w:w="1576" w:type="dxa"/>
            <w:tcBorders>
              <w:top w:val="single" w:sz="4" w:space="0" w:color="365F91"/>
              <w:bottom w:val="single" w:sz="4" w:space="0" w:color="365F91"/>
            </w:tcBorders>
            <w:shd w:val="clear" w:color="auto" w:fill="auto"/>
          </w:tcPr>
          <w:p w14:paraId="6F2A53EB" w14:textId="77777777" w:rsidR="00005A00" w:rsidRPr="00256982" w:rsidRDefault="00005A00" w:rsidP="00AA14F1">
            <w:pPr>
              <w:pStyle w:val="TableText"/>
              <w:spacing w:before="40" w:after="40"/>
              <w:jc w:val="center"/>
              <w:rPr>
                <w:highlight w:val="yellow"/>
              </w:rPr>
            </w:pPr>
            <w:r w:rsidRPr="00256982">
              <w:t>2.73</w:t>
            </w:r>
          </w:p>
        </w:tc>
      </w:tr>
      <w:tr w:rsidR="00005A00" w:rsidRPr="00256982" w14:paraId="65A405B1" w14:textId="77777777" w:rsidTr="00AA14F1">
        <w:tc>
          <w:tcPr>
            <w:tcW w:w="925" w:type="dxa"/>
            <w:tcBorders>
              <w:top w:val="single" w:sz="4" w:space="0" w:color="365F91"/>
              <w:bottom w:val="single" w:sz="4" w:space="0" w:color="365F91"/>
            </w:tcBorders>
          </w:tcPr>
          <w:p w14:paraId="171F6CEA" w14:textId="77777777" w:rsidR="00005A00" w:rsidRPr="00256982" w:rsidRDefault="00005A00" w:rsidP="00AA14F1">
            <w:pPr>
              <w:pStyle w:val="TableTextBold"/>
              <w:spacing w:before="40" w:after="40"/>
              <w:rPr>
                <w:noProof w:val="0"/>
              </w:rPr>
            </w:pPr>
            <w:r w:rsidRPr="00256982">
              <w:rPr>
                <w:noProof w:val="0"/>
              </w:rPr>
              <w:t>2013</w:t>
            </w:r>
          </w:p>
        </w:tc>
        <w:tc>
          <w:tcPr>
            <w:tcW w:w="1590" w:type="dxa"/>
            <w:tcBorders>
              <w:top w:val="single" w:sz="4" w:space="0" w:color="365F91"/>
              <w:bottom w:val="single" w:sz="4" w:space="0" w:color="365F91"/>
            </w:tcBorders>
            <w:shd w:val="clear" w:color="auto" w:fill="auto"/>
          </w:tcPr>
          <w:p w14:paraId="2BA212FE" w14:textId="77777777" w:rsidR="00005A00" w:rsidRPr="00256982" w:rsidRDefault="00005A00" w:rsidP="00AA14F1">
            <w:pPr>
              <w:pStyle w:val="TableText"/>
              <w:spacing w:before="40" w:after="40"/>
              <w:jc w:val="center"/>
              <w:rPr>
                <w:highlight w:val="yellow"/>
              </w:rPr>
            </w:pPr>
            <w:r w:rsidRPr="00256982">
              <w:t>1.53</w:t>
            </w:r>
          </w:p>
        </w:tc>
        <w:tc>
          <w:tcPr>
            <w:tcW w:w="1548" w:type="dxa"/>
            <w:tcBorders>
              <w:top w:val="single" w:sz="4" w:space="0" w:color="365F91"/>
              <w:bottom w:val="single" w:sz="4" w:space="0" w:color="365F91"/>
            </w:tcBorders>
          </w:tcPr>
          <w:p w14:paraId="03BF66C7" w14:textId="77777777" w:rsidR="00005A00" w:rsidRPr="00256982" w:rsidRDefault="00005A00" w:rsidP="00AA14F1">
            <w:pPr>
              <w:pStyle w:val="TableText"/>
              <w:spacing w:before="40" w:after="40"/>
              <w:jc w:val="center"/>
              <w:rPr>
                <w:highlight w:val="yellow"/>
              </w:rPr>
            </w:pPr>
            <w:r w:rsidRPr="00256982">
              <w:t>0.22</w:t>
            </w:r>
          </w:p>
        </w:tc>
        <w:tc>
          <w:tcPr>
            <w:tcW w:w="1616" w:type="dxa"/>
            <w:tcBorders>
              <w:top w:val="single" w:sz="4" w:space="0" w:color="365F91"/>
              <w:bottom w:val="single" w:sz="4" w:space="0" w:color="365F91"/>
            </w:tcBorders>
            <w:shd w:val="clear" w:color="auto" w:fill="auto"/>
          </w:tcPr>
          <w:p w14:paraId="60D6A53A" w14:textId="77777777" w:rsidR="00005A00" w:rsidRPr="00256982" w:rsidRDefault="00005A00" w:rsidP="00AA14F1">
            <w:pPr>
              <w:pStyle w:val="TableText"/>
              <w:spacing w:before="40" w:after="40"/>
              <w:jc w:val="center"/>
              <w:rPr>
                <w:highlight w:val="yellow"/>
              </w:rPr>
            </w:pPr>
            <w:r w:rsidRPr="00256982">
              <w:t>0.42</w:t>
            </w:r>
          </w:p>
        </w:tc>
        <w:tc>
          <w:tcPr>
            <w:tcW w:w="1358" w:type="dxa"/>
            <w:tcBorders>
              <w:top w:val="single" w:sz="4" w:space="0" w:color="365F91"/>
              <w:bottom w:val="single" w:sz="4" w:space="0" w:color="365F91"/>
            </w:tcBorders>
          </w:tcPr>
          <w:p w14:paraId="258D801B" w14:textId="77777777" w:rsidR="00005A00" w:rsidRPr="00256982" w:rsidRDefault="00005A00" w:rsidP="00AA14F1">
            <w:pPr>
              <w:pStyle w:val="TableText"/>
              <w:spacing w:before="40" w:after="40"/>
              <w:jc w:val="center"/>
            </w:pPr>
            <w:r w:rsidRPr="00256982">
              <w:t>0.61</w:t>
            </w:r>
          </w:p>
        </w:tc>
        <w:tc>
          <w:tcPr>
            <w:tcW w:w="1576" w:type="dxa"/>
            <w:tcBorders>
              <w:top w:val="single" w:sz="4" w:space="0" w:color="365F91"/>
              <w:bottom w:val="single" w:sz="4" w:space="0" w:color="365F91"/>
            </w:tcBorders>
            <w:shd w:val="clear" w:color="auto" w:fill="auto"/>
          </w:tcPr>
          <w:p w14:paraId="40786413" w14:textId="77777777" w:rsidR="00005A00" w:rsidRPr="00256982" w:rsidRDefault="00005A00" w:rsidP="00AA14F1">
            <w:pPr>
              <w:pStyle w:val="TableText"/>
              <w:spacing w:before="40" w:after="40"/>
              <w:jc w:val="center"/>
              <w:rPr>
                <w:highlight w:val="yellow"/>
              </w:rPr>
            </w:pPr>
            <w:r w:rsidRPr="00256982">
              <w:t>2.78</w:t>
            </w:r>
          </w:p>
        </w:tc>
      </w:tr>
      <w:tr w:rsidR="00005A00" w:rsidRPr="00256982" w14:paraId="0736887A" w14:textId="77777777" w:rsidTr="00AA14F1">
        <w:tc>
          <w:tcPr>
            <w:tcW w:w="925" w:type="dxa"/>
            <w:tcBorders>
              <w:top w:val="single" w:sz="4" w:space="0" w:color="365F91"/>
              <w:bottom w:val="single" w:sz="4" w:space="0" w:color="365F91"/>
            </w:tcBorders>
          </w:tcPr>
          <w:p w14:paraId="607B3A81" w14:textId="77777777" w:rsidR="00005A00" w:rsidRPr="00256982" w:rsidRDefault="00005A00" w:rsidP="00AA14F1">
            <w:pPr>
              <w:pStyle w:val="TableTextBold"/>
              <w:spacing w:before="40" w:after="40"/>
              <w:rPr>
                <w:noProof w:val="0"/>
              </w:rPr>
            </w:pPr>
            <w:r w:rsidRPr="00256982">
              <w:rPr>
                <w:noProof w:val="0"/>
              </w:rPr>
              <w:t>2014</w:t>
            </w:r>
          </w:p>
        </w:tc>
        <w:tc>
          <w:tcPr>
            <w:tcW w:w="1590" w:type="dxa"/>
            <w:tcBorders>
              <w:top w:val="single" w:sz="4" w:space="0" w:color="365F91"/>
              <w:bottom w:val="single" w:sz="4" w:space="0" w:color="365F91"/>
            </w:tcBorders>
            <w:shd w:val="clear" w:color="auto" w:fill="auto"/>
          </w:tcPr>
          <w:p w14:paraId="72805395" w14:textId="77777777" w:rsidR="00005A00" w:rsidRPr="00256982" w:rsidRDefault="00005A00" w:rsidP="00AA14F1">
            <w:pPr>
              <w:pStyle w:val="TableText"/>
              <w:spacing w:before="40" w:after="40"/>
              <w:jc w:val="center"/>
              <w:rPr>
                <w:highlight w:val="yellow"/>
              </w:rPr>
            </w:pPr>
            <w:r w:rsidRPr="00256982">
              <w:t>1.54</w:t>
            </w:r>
          </w:p>
        </w:tc>
        <w:tc>
          <w:tcPr>
            <w:tcW w:w="1548" w:type="dxa"/>
            <w:tcBorders>
              <w:top w:val="single" w:sz="4" w:space="0" w:color="365F91"/>
              <w:bottom w:val="single" w:sz="4" w:space="0" w:color="365F91"/>
            </w:tcBorders>
          </w:tcPr>
          <w:p w14:paraId="40136A79" w14:textId="77777777" w:rsidR="00005A00" w:rsidRPr="00256982" w:rsidRDefault="00005A00" w:rsidP="00AA14F1">
            <w:pPr>
              <w:pStyle w:val="TableText"/>
              <w:spacing w:before="40" w:after="40"/>
              <w:jc w:val="center"/>
              <w:rPr>
                <w:highlight w:val="yellow"/>
              </w:rPr>
            </w:pPr>
            <w:r w:rsidRPr="00256982">
              <w:t>0.23</w:t>
            </w:r>
          </w:p>
        </w:tc>
        <w:tc>
          <w:tcPr>
            <w:tcW w:w="1616" w:type="dxa"/>
            <w:tcBorders>
              <w:top w:val="single" w:sz="4" w:space="0" w:color="365F91"/>
              <w:bottom w:val="single" w:sz="4" w:space="0" w:color="365F91"/>
            </w:tcBorders>
            <w:shd w:val="clear" w:color="auto" w:fill="auto"/>
          </w:tcPr>
          <w:p w14:paraId="43E87ACD" w14:textId="77777777" w:rsidR="00005A00" w:rsidRPr="00256982" w:rsidRDefault="00005A00" w:rsidP="00AA14F1">
            <w:pPr>
              <w:pStyle w:val="TableText"/>
              <w:spacing w:before="40" w:after="40"/>
              <w:jc w:val="center"/>
              <w:rPr>
                <w:highlight w:val="yellow"/>
              </w:rPr>
            </w:pPr>
            <w:r w:rsidRPr="00256982">
              <w:t>0.46</w:t>
            </w:r>
          </w:p>
        </w:tc>
        <w:tc>
          <w:tcPr>
            <w:tcW w:w="1358" w:type="dxa"/>
            <w:tcBorders>
              <w:top w:val="single" w:sz="4" w:space="0" w:color="365F91"/>
              <w:bottom w:val="single" w:sz="4" w:space="0" w:color="365F91"/>
            </w:tcBorders>
          </w:tcPr>
          <w:p w14:paraId="48BBD1F4" w14:textId="77777777" w:rsidR="00005A00" w:rsidRPr="00256982" w:rsidRDefault="00005A00" w:rsidP="00AA14F1">
            <w:pPr>
              <w:pStyle w:val="TableText"/>
              <w:spacing w:before="40" w:after="40"/>
              <w:jc w:val="center"/>
              <w:rPr>
                <w:highlight w:val="yellow"/>
              </w:rPr>
            </w:pPr>
            <w:r w:rsidRPr="00256982">
              <w:t>0.61</w:t>
            </w:r>
          </w:p>
        </w:tc>
        <w:tc>
          <w:tcPr>
            <w:tcW w:w="1576" w:type="dxa"/>
            <w:tcBorders>
              <w:top w:val="single" w:sz="4" w:space="0" w:color="365F91"/>
              <w:bottom w:val="single" w:sz="4" w:space="0" w:color="365F91"/>
            </w:tcBorders>
            <w:shd w:val="clear" w:color="auto" w:fill="auto"/>
          </w:tcPr>
          <w:p w14:paraId="6872626B" w14:textId="77777777" w:rsidR="00005A00" w:rsidRPr="00256982" w:rsidRDefault="00005A00" w:rsidP="00AA14F1">
            <w:pPr>
              <w:pStyle w:val="TableText"/>
              <w:spacing w:before="40" w:after="40"/>
              <w:jc w:val="center"/>
              <w:rPr>
                <w:highlight w:val="yellow"/>
              </w:rPr>
            </w:pPr>
            <w:r w:rsidRPr="00256982">
              <w:t>2.84</w:t>
            </w:r>
          </w:p>
        </w:tc>
      </w:tr>
      <w:tr w:rsidR="00005A00" w:rsidRPr="00256982" w14:paraId="4ECE0678" w14:textId="77777777" w:rsidTr="00AA14F1">
        <w:tc>
          <w:tcPr>
            <w:tcW w:w="925" w:type="dxa"/>
            <w:tcBorders>
              <w:top w:val="single" w:sz="4" w:space="0" w:color="365F91"/>
              <w:bottom w:val="single" w:sz="4" w:space="0" w:color="365F91"/>
            </w:tcBorders>
          </w:tcPr>
          <w:p w14:paraId="521E6F7C" w14:textId="77777777" w:rsidR="00005A00" w:rsidRPr="00256982" w:rsidRDefault="00005A00" w:rsidP="00AA14F1">
            <w:pPr>
              <w:pStyle w:val="TableTextBold"/>
              <w:spacing w:before="40" w:after="40"/>
              <w:rPr>
                <w:noProof w:val="0"/>
              </w:rPr>
            </w:pPr>
            <w:r w:rsidRPr="00256982">
              <w:rPr>
                <w:noProof w:val="0"/>
              </w:rPr>
              <w:t>2015</w:t>
            </w:r>
          </w:p>
        </w:tc>
        <w:tc>
          <w:tcPr>
            <w:tcW w:w="1590" w:type="dxa"/>
            <w:tcBorders>
              <w:top w:val="single" w:sz="4" w:space="0" w:color="365F91"/>
              <w:bottom w:val="single" w:sz="4" w:space="0" w:color="365F91"/>
            </w:tcBorders>
            <w:shd w:val="clear" w:color="auto" w:fill="auto"/>
          </w:tcPr>
          <w:p w14:paraId="74A7C69A" w14:textId="77777777" w:rsidR="00005A00" w:rsidRPr="00256982" w:rsidRDefault="00005A00" w:rsidP="00AA14F1">
            <w:pPr>
              <w:pStyle w:val="TableText"/>
              <w:spacing w:before="40" w:after="40"/>
              <w:jc w:val="center"/>
              <w:rPr>
                <w:highlight w:val="yellow"/>
              </w:rPr>
            </w:pPr>
            <w:r w:rsidRPr="00256982">
              <w:t>1.59</w:t>
            </w:r>
          </w:p>
        </w:tc>
        <w:tc>
          <w:tcPr>
            <w:tcW w:w="1548" w:type="dxa"/>
            <w:tcBorders>
              <w:top w:val="single" w:sz="4" w:space="0" w:color="365F91"/>
              <w:bottom w:val="single" w:sz="4" w:space="0" w:color="365F91"/>
            </w:tcBorders>
          </w:tcPr>
          <w:p w14:paraId="637B0AFD" w14:textId="77777777" w:rsidR="00005A00" w:rsidRPr="00256982" w:rsidRDefault="00005A00" w:rsidP="00AA14F1">
            <w:pPr>
              <w:pStyle w:val="TableText"/>
              <w:spacing w:before="40" w:after="40"/>
              <w:jc w:val="center"/>
              <w:rPr>
                <w:highlight w:val="yellow"/>
              </w:rPr>
            </w:pPr>
            <w:r w:rsidRPr="00256982">
              <w:t>0.25</w:t>
            </w:r>
          </w:p>
        </w:tc>
        <w:tc>
          <w:tcPr>
            <w:tcW w:w="1616" w:type="dxa"/>
            <w:tcBorders>
              <w:top w:val="single" w:sz="4" w:space="0" w:color="365F91"/>
              <w:bottom w:val="single" w:sz="4" w:space="0" w:color="365F91"/>
            </w:tcBorders>
            <w:shd w:val="clear" w:color="auto" w:fill="auto"/>
          </w:tcPr>
          <w:p w14:paraId="02616E4C" w14:textId="77777777" w:rsidR="00005A00" w:rsidRPr="00256982" w:rsidRDefault="00005A00" w:rsidP="00AA14F1">
            <w:pPr>
              <w:pStyle w:val="TableText"/>
              <w:spacing w:before="40" w:after="40"/>
              <w:jc w:val="center"/>
              <w:rPr>
                <w:highlight w:val="yellow"/>
              </w:rPr>
            </w:pPr>
            <w:r w:rsidRPr="00256982">
              <w:t>0.48</w:t>
            </w:r>
          </w:p>
        </w:tc>
        <w:tc>
          <w:tcPr>
            <w:tcW w:w="1358" w:type="dxa"/>
            <w:tcBorders>
              <w:top w:val="single" w:sz="4" w:space="0" w:color="365F91"/>
              <w:bottom w:val="single" w:sz="4" w:space="0" w:color="365F91"/>
            </w:tcBorders>
          </w:tcPr>
          <w:p w14:paraId="6ED0F9AD" w14:textId="77777777" w:rsidR="00005A00" w:rsidRPr="00256982" w:rsidRDefault="00005A00" w:rsidP="00AA14F1">
            <w:pPr>
              <w:pStyle w:val="TableText"/>
              <w:spacing w:before="40" w:after="40"/>
              <w:jc w:val="center"/>
              <w:rPr>
                <w:highlight w:val="yellow"/>
              </w:rPr>
            </w:pPr>
            <w:r w:rsidRPr="00256982">
              <w:t>0.61</w:t>
            </w:r>
          </w:p>
        </w:tc>
        <w:tc>
          <w:tcPr>
            <w:tcW w:w="1576" w:type="dxa"/>
            <w:tcBorders>
              <w:top w:val="single" w:sz="4" w:space="0" w:color="365F91"/>
              <w:bottom w:val="single" w:sz="4" w:space="0" w:color="365F91"/>
            </w:tcBorders>
            <w:shd w:val="clear" w:color="auto" w:fill="auto"/>
          </w:tcPr>
          <w:p w14:paraId="62075829" w14:textId="77777777" w:rsidR="00005A00" w:rsidRPr="00256982" w:rsidRDefault="00005A00" w:rsidP="00AA14F1">
            <w:pPr>
              <w:pStyle w:val="TableText"/>
              <w:spacing w:before="40" w:after="40"/>
              <w:jc w:val="center"/>
              <w:rPr>
                <w:highlight w:val="yellow"/>
              </w:rPr>
            </w:pPr>
            <w:r w:rsidRPr="00256982">
              <w:t>2.93</w:t>
            </w:r>
          </w:p>
        </w:tc>
      </w:tr>
      <w:tr w:rsidR="00005A00" w:rsidRPr="00256982" w14:paraId="736DE915" w14:textId="77777777" w:rsidTr="00AA14F1">
        <w:tc>
          <w:tcPr>
            <w:tcW w:w="925" w:type="dxa"/>
            <w:tcBorders>
              <w:top w:val="single" w:sz="4" w:space="0" w:color="365F91"/>
              <w:bottom w:val="single" w:sz="4" w:space="0" w:color="365F91"/>
            </w:tcBorders>
          </w:tcPr>
          <w:p w14:paraId="50DB00CF" w14:textId="77777777" w:rsidR="00005A00" w:rsidRPr="00256982" w:rsidRDefault="00005A00" w:rsidP="00AA14F1">
            <w:pPr>
              <w:pStyle w:val="TableTextBold"/>
              <w:spacing w:before="40" w:after="40"/>
              <w:rPr>
                <w:noProof w:val="0"/>
              </w:rPr>
            </w:pPr>
            <w:r w:rsidRPr="00256982">
              <w:rPr>
                <w:noProof w:val="0"/>
              </w:rPr>
              <w:t>2016</w:t>
            </w:r>
          </w:p>
        </w:tc>
        <w:tc>
          <w:tcPr>
            <w:tcW w:w="1590" w:type="dxa"/>
            <w:tcBorders>
              <w:top w:val="single" w:sz="4" w:space="0" w:color="365F91"/>
              <w:bottom w:val="single" w:sz="4" w:space="0" w:color="365F91"/>
            </w:tcBorders>
            <w:shd w:val="clear" w:color="auto" w:fill="auto"/>
          </w:tcPr>
          <w:p w14:paraId="7CBAEF85" w14:textId="77777777" w:rsidR="00005A00" w:rsidRPr="00256982" w:rsidRDefault="00005A00" w:rsidP="00AA14F1">
            <w:pPr>
              <w:pStyle w:val="TableText"/>
              <w:spacing w:before="40" w:after="40"/>
              <w:jc w:val="center"/>
              <w:rPr>
                <w:highlight w:val="yellow"/>
              </w:rPr>
            </w:pPr>
            <w:r w:rsidRPr="00256982">
              <w:t>1.58</w:t>
            </w:r>
          </w:p>
        </w:tc>
        <w:tc>
          <w:tcPr>
            <w:tcW w:w="1548" w:type="dxa"/>
            <w:tcBorders>
              <w:top w:val="single" w:sz="4" w:space="0" w:color="365F91"/>
              <w:bottom w:val="single" w:sz="4" w:space="0" w:color="365F91"/>
            </w:tcBorders>
          </w:tcPr>
          <w:p w14:paraId="2A83B7DB" w14:textId="77777777" w:rsidR="00005A00" w:rsidRPr="00256982" w:rsidRDefault="00005A00" w:rsidP="00AA14F1">
            <w:pPr>
              <w:pStyle w:val="TableText"/>
              <w:spacing w:before="40" w:after="40"/>
              <w:jc w:val="center"/>
              <w:rPr>
                <w:highlight w:val="yellow"/>
              </w:rPr>
            </w:pPr>
            <w:r w:rsidRPr="00256982">
              <w:t>0.27</w:t>
            </w:r>
          </w:p>
        </w:tc>
        <w:tc>
          <w:tcPr>
            <w:tcW w:w="1616" w:type="dxa"/>
            <w:tcBorders>
              <w:top w:val="single" w:sz="4" w:space="0" w:color="365F91"/>
              <w:bottom w:val="single" w:sz="4" w:space="0" w:color="365F91"/>
            </w:tcBorders>
            <w:shd w:val="clear" w:color="auto" w:fill="auto"/>
          </w:tcPr>
          <w:p w14:paraId="1A310DD3" w14:textId="77777777" w:rsidR="00005A00" w:rsidRPr="00256982" w:rsidRDefault="00005A00" w:rsidP="00AA14F1">
            <w:pPr>
              <w:pStyle w:val="TableText"/>
              <w:spacing w:before="40" w:after="40"/>
              <w:jc w:val="center"/>
              <w:rPr>
                <w:highlight w:val="yellow"/>
              </w:rPr>
            </w:pPr>
            <w:r w:rsidRPr="00256982">
              <w:t>0.47</w:t>
            </w:r>
          </w:p>
        </w:tc>
        <w:tc>
          <w:tcPr>
            <w:tcW w:w="1358" w:type="dxa"/>
            <w:tcBorders>
              <w:top w:val="single" w:sz="4" w:space="0" w:color="365F91"/>
              <w:bottom w:val="single" w:sz="4" w:space="0" w:color="365F91"/>
            </w:tcBorders>
          </w:tcPr>
          <w:p w14:paraId="66EC1325" w14:textId="77777777" w:rsidR="00005A00" w:rsidRPr="00256982" w:rsidRDefault="00005A00" w:rsidP="00AA14F1">
            <w:pPr>
              <w:pStyle w:val="TableText"/>
              <w:spacing w:before="40" w:after="40"/>
              <w:jc w:val="center"/>
              <w:rPr>
                <w:highlight w:val="yellow"/>
              </w:rPr>
            </w:pPr>
            <w:r w:rsidRPr="00256982">
              <w:t>0.61</w:t>
            </w:r>
          </w:p>
        </w:tc>
        <w:tc>
          <w:tcPr>
            <w:tcW w:w="1576" w:type="dxa"/>
            <w:tcBorders>
              <w:top w:val="single" w:sz="4" w:space="0" w:color="365F91"/>
              <w:bottom w:val="single" w:sz="4" w:space="0" w:color="365F91"/>
            </w:tcBorders>
            <w:shd w:val="clear" w:color="auto" w:fill="auto"/>
          </w:tcPr>
          <w:p w14:paraId="09A754D3" w14:textId="77777777" w:rsidR="00005A00" w:rsidRPr="00256982" w:rsidRDefault="00005A00" w:rsidP="00AA14F1">
            <w:pPr>
              <w:pStyle w:val="TableText"/>
              <w:spacing w:before="40" w:after="40"/>
              <w:jc w:val="center"/>
              <w:rPr>
                <w:highlight w:val="yellow"/>
              </w:rPr>
            </w:pPr>
            <w:r w:rsidRPr="00256982">
              <w:t>2.93</w:t>
            </w:r>
          </w:p>
        </w:tc>
      </w:tr>
      <w:tr w:rsidR="00005A00" w:rsidRPr="00256982" w14:paraId="0E0975B7" w14:textId="77777777" w:rsidTr="00AA14F1">
        <w:tc>
          <w:tcPr>
            <w:tcW w:w="925" w:type="dxa"/>
            <w:tcBorders>
              <w:top w:val="single" w:sz="4" w:space="0" w:color="365F91"/>
              <w:bottom w:val="single" w:sz="4" w:space="0" w:color="365F91"/>
            </w:tcBorders>
          </w:tcPr>
          <w:p w14:paraId="5A93C0F0" w14:textId="77777777" w:rsidR="00005A00" w:rsidRPr="00256982" w:rsidRDefault="00005A00" w:rsidP="00AA14F1">
            <w:pPr>
              <w:pStyle w:val="TableTextBold"/>
              <w:spacing w:before="40" w:after="40"/>
              <w:rPr>
                <w:noProof w:val="0"/>
              </w:rPr>
            </w:pPr>
            <w:r w:rsidRPr="00256982">
              <w:rPr>
                <w:noProof w:val="0"/>
              </w:rPr>
              <w:t>2017</w:t>
            </w:r>
          </w:p>
        </w:tc>
        <w:tc>
          <w:tcPr>
            <w:tcW w:w="1590" w:type="dxa"/>
            <w:tcBorders>
              <w:top w:val="single" w:sz="4" w:space="0" w:color="365F91"/>
              <w:bottom w:val="single" w:sz="4" w:space="0" w:color="365F91"/>
            </w:tcBorders>
            <w:shd w:val="clear" w:color="auto" w:fill="auto"/>
          </w:tcPr>
          <w:p w14:paraId="715DB032" w14:textId="77777777" w:rsidR="00005A00" w:rsidRPr="00256982" w:rsidRDefault="00005A00" w:rsidP="00AA14F1">
            <w:pPr>
              <w:pStyle w:val="TableText"/>
              <w:spacing w:before="40" w:after="40"/>
              <w:jc w:val="center"/>
            </w:pPr>
            <w:r w:rsidRPr="00256982">
              <w:t>1.58</w:t>
            </w:r>
          </w:p>
        </w:tc>
        <w:tc>
          <w:tcPr>
            <w:tcW w:w="1548" w:type="dxa"/>
            <w:tcBorders>
              <w:top w:val="single" w:sz="4" w:space="0" w:color="365F91"/>
              <w:bottom w:val="single" w:sz="4" w:space="0" w:color="365F91"/>
            </w:tcBorders>
          </w:tcPr>
          <w:p w14:paraId="323D556B" w14:textId="77777777" w:rsidR="00005A00" w:rsidRPr="00256982" w:rsidRDefault="00005A00" w:rsidP="00AA14F1">
            <w:pPr>
              <w:pStyle w:val="TableText"/>
              <w:spacing w:before="40" w:after="40"/>
              <w:jc w:val="center"/>
            </w:pPr>
            <w:r w:rsidRPr="00256982">
              <w:t>0.28</w:t>
            </w:r>
          </w:p>
        </w:tc>
        <w:tc>
          <w:tcPr>
            <w:tcW w:w="1616" w:type="dxa"/>
            <w:tcBorders>
              <w:top w:val="single" w:sz="4" w:space="0" w:color="365F91"/>
              <w:bottom w:val="single" w:sz="4" w:space="0" w:color="365F91"/>
            </w:tcBorders>
            <w:shd w:val="clear" w:color="auto" w:fill="auto"/>
          </w:tcPr>
          <w:p w14:paraId="7602A908" w14:textId="77777777" w:rsidR="00005A00" w:rsidRPr="00256982" w:rsidRDefault="00005A00" w:rsidP="00AA14F1">
            <w:pPr>
              <w:pStyle w:val="TableText"/>
              <w:spacing w:before="40" w:after="40"/>
              <w:jc w:val="center"/>
            </w:pPr>
            <w:r w:rsidRPr="00256982">
              <w:t>0.46</w:t>
            </w:r>
          </w:p>
        </w:tc>
        <w:tc>
          <w:tcPr>
            <w:tcW w:w="1358" w:type="dxa"/>
            <w:tcBorders>
              <w:top w:val="single" w:sz="4" w:space="0" w:color="365F91"/>
              <w:bottom w:val="single" w:sz="4" w:space="0" w:color="365F91"/>
            </w:tcBorders>
          </w:tcPr>
          <w:p w14:paraId="5F1B9CD4" w14:textId="77777777" w:rsidR="00005A00" w:rsidRPr="00256982" w:rsidRDefault="00005A00" w:rsidP="00AA14F1">
            <w:pPr>
              <w:pStyle w:val="TableText"/>
              <w:spacing w:before="40" w:after="40"/>
              <w:jc w:val="center"/>
              <w:rPr>
                <w:highlight w:val="yellow"/>
              </w:rPr>
            </w:pPr>
            <w:r w:rsidRPr="00256982">
              <w:t>0.61</w:t>
            </w:r>
          </w:p>
        </w:tc>
        <w:tc>
          <w:tcPr>
            <w:tcW w:w="1576" w:type="dxa"/>
            <w:tcBorders>
              <w:top w:val="single" w:sz="4" w:space="0" w:color="365F91"/>
              <w:bottom w:val="single" w:sz="4" w:space="0" w:color="365F91"/>
            </w:tcBorders>
            <w:shd w:val="clear" w:color="auto" w:fill="auto"/>
          </w:tcPr>
          <w:p w14:paraId="415C53D9" w14:textId="77777777" w:rsidR="00005A00" w:rsidRPr="00256982" w:rsidRDefault="00005A00" w:rsidP="00AA14F1">
            <w:pPr>
              <w:pStyle w:val="TableText"/>
              <w:spacing w:before="40" w:after="40"/>
              <w:jc w:val="center"/>
            </w:pPr>
            <w:r w:rsidRPr="00256982">
              <w:t>2.93</w:t>
            </w:r>
          </w:p>
        </w:tc>
      </w:tr>
    </w:tbl>
    <w:p w14:paraId="1BF5A4B5" w14:textId="77777777" w:rsidR="00005A00" w:rsidRPr="00256982" w:rsidRDefault="00005A00" w:rsidP="00005A00">
      <w:pPr>
        <w:pStyle w:val="Noteundertable"/>
      </w:pPr>
      <w:r w:rsidRPr="00256982">
        <w:rPr>
          <w:b/>
        </w:rPr>
        <w:t>Note:</w:t>
      </w:r>
      <w:r w:rsidRPr="00256982">
        <w:t xml:space="preserve"> </w:t>
      </w:r>
      <w:r w:rsidRPr="00256982">
        <w:tab/>
        <w:t>N = nitrogen. Columns may not total due to rounding.</w:t>
      </w:r>
    </w:p>
    <w:p w14:paraId="39BC6236" w14:textId="77777777" w:rsidR="00005A00" w:rsidRPr="00256982" w:rsidRDefault="00005A00" w:rsidP="00005A00">
      <w:pPr>
        <w:pStyle w:val="Heading5"/>
      </w:pPr>
      <w:r w:rsidRPr="00256982">
        <w:t>Meat industry</w:t>
      </w:r>
    </w:p>
    <w:p w14:paraId="0B107CC6" w14:textId="77777777" w:rsidR="00005A00" w:rsidRPr="00256982" w:rsidRDefault="00005A00" w:rsidP="0047276A">
      <w:pPr>
        <w:pStyle w:val="BodyText"/>
        <w:spacing w:before="100" w:after="100"/>
      </w:pPr>
      <w:r w:rsidRPr="00256982">
        <w:t>Methane emissions from the meat industry are calculated from an estimate of the wastewater output from meat processing. This estimate is based on the total production (kills) from the different producers in the meat industry and uses data as far as possible consistent with the data for kills used in the Agriculture sector.</w:t>
      </w:r>
    </w:p>
    <w:p w14:paraId="128F7287" w14:textId="77777777" w:rsidR="00005A00" w:rsidRPr="00256982" w:rsidRDefault="00005A00" w:rsidP="0047276A">
      <w:pPr>
        <w:pStyle w:val="BodyText"/>
        <w:spacing w:before="100" w:after="100"/>
      </w:pPr>
      <w:r w:rsidRPr="00256982">
        <w:t>Poultry processing is calculated separately from other meat processing because its fraction of waste treated in anaerobic ponds and the unit chemical oxygen demand (COD) load are higher than other meat processing (Cardno, unpublished).</w:t>
      </w:r>
    </w:p>
    <w:p w14:paraId="24295A2B" w14:textId="5E97E0C8" w:rsidR="00005A00" w:rsidRPr="00256982" w:rsidRDefault="00005A00" w:rsidP="0047276A">
      <w:pPr>
        <w:pStyle w:val="BodyText"/>
        <w:spacing w:before="100" w:after="100"/>
      </w:pPr>
      <w:r w:rsidRPr="00256982">
        <w:t>Rendering loads are not separated out in order to simplify the inventory calculations, because there are only a few standalone rendering plants in New Zealand and the rest are combined with</w:t>
      </w:r>
      <w:r w:rsidR="0047276A" w:rsidRPr="00256982">
        <w:t> </w:t>
      </w:r>
      <w:r w:rsidRPr="00256982">
        <w:t>meat processing plants. So the unit COD load includes rendering operations (Cardno,</w:t>
      </w:r>
      <w:r w:rsidR="0047276A" w:rsidRPr="00256982">
        <w:t> </w:t>
      </w:r>
      <w:r w:rsidRPr="00256982">
        <w:t>unpublished).</w:t>
      </w:r>
    </w:p>
    <w:p w14:paraId="6174F524" w14:textId="77777777" w:rsidR="00005A00" w:rsidRPr="00256982" w:rsidRDefault="00005A00" w:rsidP="0047276A">
      <w:pPr>
        <w:pStyle w:val="BodyText"/>
        <w:spacing w:before="100" w:after="100"/>
      </w:pPr>
      <w:r w:rsidRPr="00256982">
        <w:t>Nitrous oxide emissions from the meat industry are calculated using the same activity data as for CH</w:t>
      </w:r>
      <w:r w:rsidRPr="00256982">
        <w:rPr>
          <w:vertAlign w:val="subscript"/>
        </w:rPr>
        <w:t>4</w:t>
      </w:r>
      <w:r w:rsidRPr="00256982">
        <w:t xml:space="preserve"> emissions. </w:t>
      </w:r>
    </w:p>
    <w:p w14:paraId="5EED57E5" w14:textId="77777777" w:rsidR="00005A00" w:rsidRPr="00256982" w:rsidRDefault="00005A00" w:rsidP="00005A00">
      <w:pPr>
        <w:pStyle w:val="Heading5"/>
      </w:pPr>
      <w:r w:rsidRPr="00256982">
        <w:t>Pulp and paper industry</w:t>
      </w:r>
    </w:p>
    <w:p w14:paraId="5251C2A8" w14:textId="77777777" w:rsidR="00005A00" w:rsidRPr="00256982" w:rsidRDefault="00005A00" w:rsidP="0047276A">
      <w:pPr>
        <w:pStyle w:val="BodyText"/>
        <w:spacing w:before="100" w:after="100"/>
        <w:rPr>
          <w:lang w:eastAsia="en-NZ"/>
        </w:rPr>
      </w:pPr>
      <w:r w:rsidRPr="00256982">
        <w:rPr>
          <w:lang w:eastAsia="en-NZ"/>
        </w:rPr>
        <w:t>Estimated pulp and paper wastewater output is based on paper, paperboard and pulp production. This information is obtained from the Ministry for Primary Industries.</w:t>
      </w:r>
    </w:p>
    <w:p w14:paraId="25A59866" w14:textId="77777777" w:rsidR="00005A00" w:rsidRPr="00256982" w:rsidRDefault="00005A00" w:rsidP="00005A00">
      <w:pPr>
        <w:pStyle w:val="Heading5"/>
      </w:pPr>
      <w:r w:rsidRPr="00256982">
        <w:t>Wine industry</w:t>
      </w:r>
    </w:p>
    <w:p w14:paraId="5CD45413" w14:textId="77777777" w:rsidR="00005A00" w:rsidRPr="00256982" w:rsidRDefault="00005A00" w:rsidP="0047276A">
      <w:pPr>
        <w:pStyle w:val="BodyText"/>
        <w:spacing w:before="100" w:after="100"/>
        <w:rPr>
          <w:lang w:eastAsia="en-NZ"/>
        </w:rPr>
      </w:pPr>
      <w:r w:rsidRPr="00256982">
        <w:rPr>
          <w:lang w:eastAsia="en-NZ"/>
        </w:rPr>
        <w:t>Methane emissions from wastewater for the wine industry are based on the outputs obtained from the national organisation for New Zealand’s grape and wine sector. For the purposes of this assessment, an average industry wastewater discharge metric of 2.7 cubic metres of water per tonne of grapes processed is assumed. This value is derived from national data. It is noted that this value is significantly lower than IPCC default values (Beca Ltd, unpublished).</w:t>
      </w:r>
    </w:p>
    <w:p w14:paraId="58AA40A1" w14:textId="77777777" w:rsidR="00005A00" w:rsidRPr="00256982" w:rsidRDefault="00005A00" w:rsidP="00005A00">
      <w:pPr>
        <w:pStyle w:val="Heading5"/>
      </w:pPr>
      <w:r w:rsidRPr="00256982">
        <w:t>Wool scouring industry</w:t>
      </w:r>
    </w:p>
    <w:p w14:paraId="167E57A1" w14:textId="77777777" w:rsidR="00005A00" w:rsidRPr="00256982" w:rsidRDefault="00005A00" w:rsidP="00005A00">
      <w:pPr>
        <w:pStyle w:val="BodyText"/>
        <w:spacing w:after="100"/>
        <w:rPr>
          <w:lang w:eastAsia="en-NZ"/>
        </w:rPr>
      </w:pPr>
      <w:r w:rsidRPr="00256982">
        <w:rPr>
          <w:lang w:eastAsia="en-NZ"/>
        </w:rPr>
        <w:t>Methane emissions from wastewater for the wool scouring industry are based on the outputs obtained by SCS Wetherill Environmental (unpublished) for the years up to 2000. From 2001 to 2012, the SCS estimates have been prorated against the industry’s output data and applied to the output data for these years. After 2012, the wool scouring industry used only aerobic treatment of wastewater and, consequently, no emissions are reported for 2013 onwards (Beca Ltd, unpublished).</w:t>
      </w:r>
    </w:p>
    <w:p w14:paraId="07F467A0" w14:textId="77777777" w:rsidR="00005A00" w:rsidRPr="00256982" w:rsidRDefault="00005A00" w:rsidP="00005A00">
      <w:pPr>
        <w:pStyle w:val="Heading5"/>
      </w:pPr>
      <w:r w:rsidRPr="00256982">
        <w:t>Dairy processing industry</w:t>
      </w:r>
    </w:p>
    <w:p w14:paraId="46381814" w14:textId="77777777" w:rsidR="00005A00" w:rsidRPr="00256982" w:rsidRDefault="00005A00" w:rsidP="00E33731">
      <w:pPr>
        <w:pStyle w:val="BodyText"/>
        <w:spacing w:before="100" w:after="100"/>
      </w:pPr>
      <w:r w:rsidRPr="00256982">
        <w:t>The dairy processing industry predominantly uses aerobic treatment. There is only one factory that uses anaerobic treatment. The emissions from the wastewater treatment process are recovered and most of the captured biogas (consisting of 55 per cent CH</w:t>
      </w:r>
      <w:r w:rsidRPr="00256982">
        <w:rPr>
          <w:vertAlign w:val="subscript"/>
        </w:rPr>
        <w:t>4</w:t>
      </w:r>
      <w:r w:rsidRPr="00256982">
        <w:t>) is used in boilers. The remainder is flared. Consequently, no CH</w:t>
      </w:r>
      <w:r w:rsidRPr="00256982">
        <w:rPr>
          <w:vertAlign w:val="subscript"/>
        </w:rPr>
        <w:t>4</w:t>
      </w:r>
      <w:r w:rsidRPr="00256982">
        <w:t xml:space="preserve"> emissions are reported from this industry (Beca Infrastructure Ltd, unpublished).</w:t>
      </w:r>
    </w:p>
    <w:p w14:paraId="71007E85" w14:textId="77777777" w:rsidR="00005A00" w:rsidRPr="00256982" w:rsidRDefault="00005A00" w:rsidP="00E33731">
      <w:pPr>
        <w:pStyle w:val="BodyText"/>
        <w:spacing w:before="100" w:after="100"/>
        <w:rPr>
          <w:lang w:eastAsia="en-NZ"/>
        </w:rPr>
      </w:pPr>
      <w:r w:rsidRPr="00256982">
        <w:rPr>
          <w:lang w:eastAsia="en-NZ"/>
        </w:rPr>
        <w:t>Nitrous oxide emissions from dairy industry wastewater are included, based on the review of methods for industrial wastewater by Cardno (unpublished). Emission estimates are based on the total litres of milk processed, consistent with data reported in the Agriculture sector. The production data are then converted from litres to kilograms by multiplying by 1.031 (the weight of 1 litre of milk) for the activity data used in the emissions calculations.</w:t>
      </w:r>
    </w:p>
    <w:p w14:paraId="3B02AA8E" w14:textId="77777777" w:rsidR="00005A00" w:rsidRPr="00256982" w:rsidRDefault="00005A00" w:rsidP="00E33731">
      <w:pPr>
        <w:pStyle w:val="Heading5"/>
        <w:spacing w:before="200"/>
      </w:pPr>
      <w:r w:rsidRPr="00256982">
        <w:t>Leather and skins industry</w:t>
      </w:r>
    </w:p>
    <w:p w14:paraId="7055D556" w14:textId="77777777" w:rsidR="00005A00" w:rsidRPr="00256982" w:rsidRDefault="00005A00" w:rsidP="00005A00">
      <w:pPr>
        <w:pStyle w:val="BodyText"/>
        <w:rPr>
          <w:spacing w:val="-2"/>
          <w:lang w:eastAsia="en-NZ"/>
        </w:rPr>
      </w:pPr>
      <w:r w:rsidRPr="00256982">
        <w:rPr>
          <w:spacing w:val="-2"/>
          <w:lang w:eastAsia="en-NZ"/>
        </w:rPr>
        <w:t xml:space="preserve">Methane emissions from wastewater for the leather and skins industry, also known as tanneries and fellmongers, are based on the outputs obtained by SCS Wetherill Environmental (unpublished) for the years up to 2001. From 2002, all wastewater from the tanneries is accounted for in domestic wastewater because all tanneries now discharge to the municipal wastewater system, however, some fellmongers still use aerobic treatment (Cardno, unpublished). </w:t>
      </w:r>
    </w:p>
    <w:p w14:paraId="27E63696" w14:textId="77777777" w:rsidR="00005A00" w:rsidRPr="00256982" w:rsidRDefault="00005A00" w:rsidP="00005A00">
      <w:pPr>
        <w:pStyle w:val="BodyText"/>
        <w:rPr>
          <w:lang w:eastAsia="en-NZ"/>
        </w:rPr>
      </w:pPr>
      <w:r w:rsidRPr="00256982">
        <w:rPr>
          <w:lang w:eastAsia="en-NZ"/>
        </w:rPr>
        <w:t>Nitrous oxide emissions from wastewater for the leather and skins industry are based on the outputs obtained by SCS Wetherill Environmental (unpublished), reducing in 2002 to account for the tanneries that discharge entirely to the domestic system.</w:t>
      </w:r>
    </w:p>
    <w:p w14:paraId="45C8D329" w14:textId="77777777" w:rsidR="00005A00" w:rsidRPr="00256982" w:rsidRDefault="00005A00" w:rsidP="00005A00">
      <w:pPr>
        <w:pStyle w:val="Heading4"/>
      </w:pPr>
      <w:r w:rsidRPr="00256982">
        <w:t>Choice of methods</w:t>
      </w:r>
    </w:p>
    <w:p w14:paraId="4459AE5A" w14:textId="77777777" w:rsidR="00005A00" w:rsidRPr="00256982" w:rsidRDefault="00005A00" w:rsidP="00005A00">
      <w:pPr>
        <w:pStyle w:val="BodyText"/>
        <w:rPr>
          <w:lang w:eastAsia="en-NZ"/>
        </w:rPr>
      </w:pPr>
      <w:r w:rsidRPr="00256982">
        <w:rPr>
          <w:lang w:eastAsia="en-NZ"/>
        </w:rPr>
        <w:t>Methods used to calculate emissions from wastewater handling are summarised in table 7.5.5. For domestic wastewater, the TOW is estimated for each individual treatment plant based on the population in the district served by the plant.</w:t>
      </w:r>
    </w:p>
    <w:p w14:paraId="3F828019" w14:textId="77777777" w:rsidR="00005A00" w:rsidRPr="00256982" w:rsidRDefault="00005A00" w:rsidP="00005A00">
      <w:pPr>
        <w:pStyle w:val="Table"/>
        <w:spacing w:before="160"/>
      </w:pPr>
      <w:bookmarkStart w:id="2378" w:name="_Toc444001626"/>
      <w:bookmarkStart w:id="2379" w:name="_Toc451176178"/>
      <w:bookmarkStart w:id="2380" w:name="_Toc481751608"/>
      <w:bookmarkStart w:id="2381" w:name="_Toc508019335"/>
      <w:bookmarkStart w:id="2382" w:name="_Toc511116833"/>
      <w:bookmarkStart w:id="2383" w:name="_Toc5269582"/>
      <w:r w:rsidRPr="00256982">
        <w:t>Table 7.5.5</w:t>
      </w:r>
      <w:r w:rsidRPr="00256982">
        <w:tab/>
        <w:t>Methods used for calculating emissions from wastewater treatment</w:t>
      </w:r>
      <w:bookmarkEnd w:id="2378"/>
      <w:bookmarkEnd w:id="2379"/>
      <w:bookmarkEnd w:id="2380"/>
      <w:bookmarkEnd w:id="2381"/>
      <w:bookmarkEnd w:id="2382"/>
      <w:bookmarkEnd w:id="2383"/>
    </w:p>
    <w:tbl>
      <w:tblPr>
        <w:tblW w:w="8505" w:type="dxa"/>
        <w:tblInd w:w="108" w:type="dxa"/>
        <w:tblBorders>
          <w:top w:val="single" w:sz="6" w:space="0" w:color="365F91"/>
          <w:bottom w:val="single" w:sz="6" w:space="0" w:color="365F91"/>
          <w:insideH w:val="single" w:sz="6" w:space="0" w:color="365F91"/>
        </w:tblBorders>
        <w:tblLook w:val="04A0" w:firstRow="1" w:lastRow="0" w:firstColumn="1" w:lastColumn="0" w:noHBand="0" w:noVBand="1"/>
      </w:tblPr>
      <w:tblGrid>
        <w:gridCol w:w="2468"/>
        <w:gridCol w:w="754"/>
        <w:gridCol w:w="2589"/>
        <w:gridCol w:w="852"/>
        <w:gridCol w:w="1842"/>
      </w:tblGrid>
      <w:tr w:rsidR="00005A00" w:rsidRPr="00256982" w14:paraId="517A77FC" w14:textId="77777777" w:rsidTr="00AA14F1">
        <w:trPr>
          <w:tblHeader/>
        </w:trPr>
        <w:tc>
          <w:tcPr>
            <w:tcW w:w="2468" w:type="dxa"/>
            <w:tcBorders>
              <w:top w:val="single" w:sz="4" w:space="0" w:color="365F91"/>
              <w:left w:val="nil"/>
              <w:bottom w:val="single" w:sz="4" w:space="0" w:color="365F91"/>
              <w:right w:val="nil"/>
            </w:tcBorders>
            <w:shd w:val="clear" w:color="000000" w:fill="365F91"/>
          </w:tcPr>
          <w:p w14:paraId="0C790AEA" w14:textId="77777777" w:rsidR="00005A00" w:rsidRPr="00256982" w:rsidRDefault="00005A00" w:rsidP="00AA14F1">
            <w:pPr>
              <w:pStyle w:val="TableTextBold"/>
              <w:rPr>
                <w:noProof w:val="0"/>
                <w:color w:val="FFFFFF"/>
              </w:rPr>
            </w:pPr>
            <w:r w:rsidRPr="00256982">
              <w:rPr>
                <w:noProof w:val="0"/>
                <w:color w:val="FFFFFF"/>
              </w:rPr>
              <w:t>Emissions category</w:t>
            </w:r>
          </w:p>
        </w:tc>
        <w:tc>
          <w:tcPr>
            <w:tcW w:w="754" w:type="dxa"/>
            <w:tcBorders>
              <w:top w:val="single" w:sz="4" w:space="0" w:color="365F91"/>
              <w:left w:val="nil"/>
              <w:bottom w:val="single" w:sz="4" w:space="0" w:color="365F91"/>
              <w:right w:val="nil"/>
            </w:tcBorders>
            <w:shd w:val="clear" w:color="000000" w:fill="365F91"/>
          </w:tcPr>
          <w:p w14:paraId="1AA45F98" w14:textId="77777777" w:rsidR="00005A00" w:rsidRPr="00256982" w:rsidRDefault="00005A00" w:rsidP="00AA14F1">
            <w:pPr>
              <w:pStyle w:val="TableTextBold"/>
              <w:rPr>
                <w:noProof w:val="0"/>
                <w:color w:val="FFFFFF"/>
              </w:rPr>
            </w:pPr>
            <w:r w:rsidRPr="00256982">
              <w:rPr>
                <w:noProof w:val="0"/>
                <w:color w:val="FFFFFF"/>
              </w:rPr>
              <w:t>Gas</w:t>
            </w:r>
          </w:p>
        </w:tc>
        <w:tc>
          <w:tcPr>
            <w:tcW w:w="2589" w:type="dxa"/>
            <w:tcBorders>
              <w:top w:val="single" w:sz="4" w:space="0" w:color="365F91"/>
              <w:left w:val="nil"/>
              <w:bottom w:val="single" w:sz="4" w:space="0" w:color="365F91"/>
              <w:right w:val="nil"/>
            </w:tcBorders>
            <w:shd w:val="clear" w:color="000000" w:fill="365F91"/>
          </w:tcPr>
          <w:p w14:paraId="2EF4009E" w14:textId="77777777" w:rsidR="00005A00" w:rsidRPr="00256982" w:rsidRDefault="00005A00" w:rsidP="00AA14F1">
            <w:pPr>
              <w:pStyle w:val="TableTextBold"/>
              <w:rPr>
                <w:noProof w:val="0"/>
                <w:color w:val="FFFFFF"/>
              </w:rPr>
            </w:pPr>
            <w:r w:rsidRPr="00256982">
              <w:rPr>
                <w:noProof w:val="0"/>
                <w:color w:val="FFFFFF"/>
              </w:rPr>
              <w:t>Comment</w:t>
            </w:r>
          </w:p>
        </w:tc>
        <w:tc>
          <w:tcPr>
            <w:tcW w:w="852" w:type="dxa"/>
            <w:tcBorders>
              <w:top w:val="single" w:sz="4" w:space="0" w:color="365F91"/>
              <w:left w:val="nil"/>
              <w:bottom w:val="single" w:sz="4" w:space="0" w:color="365F91"/>
              <w:right w:val="nil"/>
            </w:tcBorders>
            <w:shd w:val="clear" w:color="000000" w:fill="365F91"/>
          </w:tcPr>
          <w:p w14:paraId="61C8824A" w14:textId="77777777" w:rsidR="00005A00" w:rsidRPr="00256982" w:rsidRDefault="00005A00" w:rsidP="00AA14F1">
            <w:pPr>
              <w:pStyle w:val="TableTextBold"/>
              <w:rPr>
                <w:noProof w:val="0"/>
                <w:color w:val="FFFFFF"/>
              </w:rPr>
            </w:pPr>
            <w:r w:rsidRPr="00256982">
              <w:rPr>
                <w:noProof w:val="0"/>
                <w:color w:val="FFFFFF"/>
              </w:rPr>
              <w:t>Method</w:t>
            </w:r>
          </w:p>
        </w:tc>
        <w:tc>
          <w:tcPr>
            <w:tcW w:w="1842" w:type="dxa"/>
            <w:tcBorders>
              <w:top w:val="single" w:sz="4" w:space="0" w:color="365F91"/>
              <w:left w:val="nil"/>
              <w:bottom w:val="single" w:sz="4" w:space="0" w:color="365F91"/>
              <w:right w:val="nil"/>
            </w:tcBorders>
            <w:shd w:val="clear" w:color="000000" w:fill="365F91"/>
          </w:tcPr>
          <w:p w14:paraId="643B495E" w14:textId="77777777" w:rsidR="00005A00" w:rsidRPr="00256982" w:rsidRDefault="00005A00" w:rsidP="00AA14F1">
            <w:pPr>
              <w:pStyle w:val="TableTextBold"/>
              <w:rPr>
                <w:noProof w:val="0"/>
                <w:color w:val="FFFFFF"/>
              </w:rPr>
            </w:pPr>
            <w:r w:rsidRPr="00256982">
              <w:rPr>
                <w:noProof w:val="0"/>
                <w:color w:val="FFFFFF"/>
              </w:rPr>
              <w:t>Source</w:t>
            </w:r>
          </w:p>
        </w:tc>
      </w:tr>
      <w:tr w:rsidR="00005A00" w:rsidRPr="00256982" w14:paraId="3E850B22" w14:textId="77777777" w:rsidTr="00AA14F1">
        <w:tc>
          <w:tcPr>
            <w:tcW w:w="2468" w:type="dxa"/>
            <w:tcBorders>
              <w:top w:val="single" w:sz="4" w:space="0" w:color="365F91"/>
            </w:tcBorders>
            <w:shd w:val="clear" w:color="auto" w:fill="FFFFFF"/>
          </w:tcPr>
          <w:p w14:paraId="6259DA68" w14:textId="77777777" w:rsidR="00005A00" w:rsidRPr="00256982" w:rsidRDefault="00005A00" w:rsidP="00E33731">
            <w:pPr>
              <w:pStyle w:val="TableText"/>
              <w:spacing w:before="40" w:after="40"/>
              <w:rPr>
                <w:rFonts w:cs="Arial"/>
                <w:bCs/>
              </w:rPr>
            </w:pPr>
            <w:r w:rsidRPr="00256982">
              <w:rPr>
                <w:rFonts w:cs="Arial"/>
                <w:bCs/>
              </w:rPr>
              <w:t>Domestic wastewater (5.D.1)</w:t>
            </w:r>
          </w:p>
        </w:tc>
        <w:tc>
          <w:tcPr>
            <w:tcW w:w="754" w:type="dxa"/>
            <w:tcBorders>
              <w:top w:val="single" w:sz="4" w:space="0" w:color="365F91"/>
            </w:tcBorders>
            <w:shd w:val="clear" w:color="auto" w:fill="FFFFFF"/>
          </w:tcPr>
          <w:p w14:paraId="2C1CBC25" w14:textId="77777777" w:rsidR="00005A00" w:rsidRPr="00256982" w:rsidRDefault="00005A00" w:rsidP="00E33731">
            <w:pPr>
              <w:pStyle w:val="TableText"/>
              <w:spacing w:before="40" w:after="40"/>
              <w:rPr>
                <w:rFonts w:cs="Arial"/>
                <w:bCs/>
              </w:rPr>
            </w:pPr>
            <w:r w:rsidRPr="00256982">
              <w:t>CH</w:t>
            </w:r>
            <w:r w:rsidRPr="00256982">
              <w:rPr>
                <w:vertAlign w:val="subscript"/>
              </w:rPr>
              <w:t>4</w:t>
            </w:r>
          </w:p>
        </w:tc>
        <w:tc>
          <w:tcPr>
            <w:tcW w:w="2589" w:type="dxa"/>
            <w:tcBorders>
              <w:top w:val="single" w:sz="4" w:space="0" w:color="365F91"/>
            </w:tcBorders>
            <w:shd w:val="clear" w:color="auto" w:fill="FFFFFF"/>
          </w:tcPr>
          <w:p w14:paraId="656AB4A6" w14:textId="77777777" w:rsidR="00005A00" w:rsidRPr="00256982" w:rsidRDefault="00005A00" w:rsidP="00E33731">
            <w:pPr>
              <w:pStyle w:val="TableText"/>
              <w:spacing w:before="40" w:after="40"/>
              <w:rPr>
                <w:rFonts w:cs="Arial"/>
                <w:bCs/>
              </w:rPr>
            </w:pPr>
          </w:p>
        </w:tc>
        <w:tc>
          <w:tcPr>
            <w:tcW w:w="852" w:type="dxa"/>
            <w:tcBorders>
              <w:top w:val="single" w:sz="4" w:space="0" w:color="365F91"/>
            </w:tcBorders>
            <w:shd w:val="clear" w:color="auto" w:fill="FFFFFF"/>
          </w:tcPr>
          <w:p w14:paraId="49A14302" w14:textId="77777777" w:rsidR="00005A00" w:rsidRPr="00256982" w:rsidRDefault="00005A00" w:rsidP="00E33731">
            <w:pPr>
              <w:pStyle w:val="TableText"/>
              <w:spacing w:before="40" w:after="40"/>
              <w:rPr>
                <w:rFonts w:cs="Arial"/>
              </w:rPr>
            </w:pPr>
            <w:r w:rsidRPr="00256982">
              <w:rPr>
                <w:rFonts w:cs="Arial"/>
              </w:rPr>
              <w:t>Tier 2</w:t>
            </w:r>
          </w:p>
        </w:tc>
        <w:tc>
          <w:tcPr>
            <w:tcW w:w="1842" w:type="dxa"/>
            <w:tcBorders>
              <w:top w:val="single" w:sz="4" w:space="0" w:color="365F91"/>
            </w:tcBorders>
            <w:shd w:val="clear" w:color="auto" w:fill="FFFFFF"/>
          </w:tcPr>
          <w:p w14:paraId="4A94837C" w14:textId="77777777" w:rsidR="00005A00" w:rsidRPr="00256982" w:rsidRDefault="00005A00" w:rsidP="00E33731">
            <w:pPr>
              <w:pStyle w:val="TableText"/>
              <w:spacing w:before="40" w:after="40"/>
              <w:rPr>
                <w:rFonts w:cs="Arial"/>
              </w:rPr>
            </w:pPr>
            <w:r w:rsidRPr="00256982">
              <w:rPr>
                <w:rFonts w:cs="Arial"/>
              </w:rPr>
              <w:t>SCS Wetherill Environmental (unpublished), Beca Infrastructure Ltd (unpublished)</w:t>
            </w:r>
          </w:p>
        </w:tc>
      </w:tr>
      <w:tr w:rsidR="00005A00" w:rsidRPr="00256982" w14:paraId="76349639" w14:textId="77777777" w:rsidTr="00AA14F1">
        <w:tc>
          <w:tcPr>
            <w:tcW w:w="2468" w:type="dxa"/>
            <w:tcBorders>
              <w:top w:val="single" w:sz="4" w:space="0" w:color="365F91"/>
            </w:tcBorders>
            <w:shd w:val="clear" w:color="auto" w:fill="FFFFFF"/>
          </w:tcPr>
          <w:p w14:paraId="1108DE16" w14:textId="77777777" w:rsidR="00005A00" w:rsidRPr="00256982" w:rsidRDefault="00005A00" w:rsidP="00E33731">
            <w:pPr>
              <w:pStyle w:val="TableText"/>
              <w:spacing w:before="40" w:after="40"/>
              <w:rPr>
                <w:rFonts w:cs="Arial"/>
                <w:bCs/>
              </w:rPr>
            </w:pPr>
            <w:r w:rsidRPr="00256982">
              <w:rPr>
                <w:rFonts w:cs="Arial"/>
                <w:bCs/>
              </w:rPr>
              <w:t>Domestic wastewater (5.D.1)</w:t>
            </w:r>
          </w:p>
        </w:tc>
        <w:tc>
          <w:tcPr>
            <w:tcW w:w="754" w:type="dxa"/>
            <w:tcBorders>
              <w:top w:val="single" w:sz="4" w:space="0" w:color="365F91"/>
            </w:tcBorders>
            <w:shd w:val="clear" w:color="auto" w:fill="FFFFFF"/>
          </w:tcPr>
          <w:p w14:paraId="1C3CB774" w14:textId="77777777" w:rsidR="00005A00" w:rsidRPr="00256982" w:rsidRDefault="00005A00" w:rsidP="00E33731">
            <w:pPr>
              <w:pStyle w:val="TableText"/>
              <w:spacing w:before="40" w:after="40"/>
              <w:rPr>
                <w:rFonts w:cs="Arial"/>
                <w:bCs/>
              </w:rPr>
            </w:pPr>
            <w:r w:rsidRPr="00256982">
              <w:t>N</w:t>
            </w:r>
            <w:r w:rsidRPr="00256982">
              <w:rPr>
                <w:vertAlign w:val="subscript"/>
              </w:rPr>
              <w:t>2</w:t>
            </w:r>
            <w:r w:rsidRPr="00256982">
              <w:t>O</w:t>
            </w:r>
          </w:p>
        </w:tc>
        <w:tc>
          <w:tcPr>
            <w:tcW w:w="2589" w:type="dxa"/>
            <w:tcBorders>
              <w:top w:val="single" w:sz="4" w:space="0" w:color="365F91"/>
            </w:tcBorders>
            <w:shd w:val="clear" w:color="auto" w:fill="FFFFFF"/>
          </w:tcPr>
          <w:p w14:paraId="60569F3A" w14:textId="77777777" w:rsidR="00005A00" w:rsidRPr="00256982" w:rsidRDefault="00005A00" w:rsidP="00E33731">
            <w:pPr>
              <w:pStyle w:val="TableText"/>
              <w:spacing w:before="40" w:after="40"/>
              <w:rPr>
                <w:rFonts w:cs="Arial"/>
                <w:bCs/>
              </w:rPr>
            </w:pPr>
            <w:r w:rsidRPr="00256982">
              <w:rPr>
                <w:rFonts w:cs="Arial"/>
                <w:bCs/>
              </w:rPr>
              <w:t>Based on average per-capita protein intake</w:t>
            </w:r>
          </w:p>
        </w:tc>
        <w:tc>
          <w:tcPr>
            <w:tcW w:w="852" w:type="dxa"/>
            <w:tcBorders>
              <w:top w:val="single" w:sz="4" w:space="0" w:color="365F91"/>
            </w:tcBorders>
            <w:shd w:val="clear" w:color="auto" w:fill="FFFFFF"/>
          </w:tcPr>
          <w:p w14:paraId="762755D9" w14:textId="77777777" w:rsidR="00005A00" w:rsidRPr="00256982" w:rsidRDefault="00005A00" w:rsidP="00E33731">
            <w:pPr>
              <w:pStyle w:val="TableText"/>
              <w:spacing w:before="40" w:after="40"/>
              <w:rPr>
                <w:rFonts w:cs="Arial"/>
              </w:rPr>
            </w:pPr>
            <w:r w:rsidRPr="00256982">
              <w:rPr>
                <w:rFonts w:cs="Arial"/>
              </w:rPr>
              <w:t>Tier 1</w:t>
            </w:r>
          </w:p>
        </w:tc>
        <w:tc>
          <w:tcPr>
            <w:tcW w:w="1842" w:type="dxa"/>
            <w:tcBorders>
              <w:top w:val="single" w:sz="4" w:space="0" w:color="365F91"/>
            </w:tcBorders>
            <w:shd w:val="clear" w:color="auto" w:fill="FFFFFF"/>
          </w:tcPr>
          <w:p w14:paraId="5E15679B" w14:textId="77777777" w:rsidR="00005A00" w:rsidRPr="00256982" w:rsidRDefault="00005A00" w:rsidP="00E33731">
            <w:pPr>
              <w:pStyle w:val="TableText"/>
              <w:spacing w:before="40" w:after="40"/>
              <w:rPr>
                <w:rFonts w:cs="Arial"/>
              </w:rPr>
            </w:pPr>
            <w:r w:rsidRPr="00256982">
              <w:rPr>
                <w:rFonts w:cs="Arial"/>
              </w:rPr>
              <w:t>IPCC (2006a)</w:t>
            </w:r>
          </w:p>
        </w:tc>
      </w:tr>
      <w:tr w:rsidR="00005A00" w:rsidRPr="00256982" w14:paraId="57393144" w14:textId="77777777" w:rsidTr="00AA14F1">
        <w:tc>
          <w:tcPr>
            <w:tcW w:w="2468" w:type="dxa"/>
            <w:tcBorders>
              <w:top w:val="single" w:sz="4" w:space="0" w:color="365F91"/>
            </w:tcBorders>
            <w:shd w:val="clear" w:color="auto" w:fill="FFFFFF"/>
          </w:tcPr>
          <w:p w14:paraId="5A73FEA5" w14:textId="77777777" w:rsidR="00005A00" w:rsidRPr="00256982" w:rsidRDefault="00005A00" w:rsidP="00E33731">
            <w:pPr>
              <w:pStyle w:val="TableText"/>
              <w:spacing w:before="40" w:after="40"/>
              <w:rPr>
                <w:rFonts w:cs="Arial"/>
                <w:bCs/>
              </w:rPr>
            </w:pPr>
            <w:r w:rsidRPr="00256982">
              <w:rPr>
                <w:rFonts w:cs="Arial"/>
                <w:bCs/>
              </w:rPr>
              <w:t>Industrial wastewater (5.D.2) – Meat industry</w:t>
            </w:r>
          </w:p>
        </w:tc>
        <w:tc>
          <w:tcPr>
            <w:tcW w:w="754" w:type="dxa"/>
            <w:tcBorders>
              <w:top w:val="single" w:sz="4" w:space="0" w:color="365F91"/>
            </w:tcBorders>
            <w:shd w:val="clear" w:color="auto" w:fill="FFFFFF"/>
          </w:tcPr>
          <w:p w14:paraId="2EFCD62F" w14:textId="77777777" w:rsidR="00005A00" w:rsidRPr="00256982" w:rsidRDefault="00005A00" w:rsidP="00E33731">
            <w:pPr>
              <w:pStyle w:val="TableText"/>
              <w:spacing w:before="40" w:after="40"/>
              <w:rPr>
                <w:rFonts w:cs="Arial"/>
                <w:bCs/>
              </w:rPr>
            </w:pPr>
            <w:r w:rsidRPr="00256982">
              <w:t>CH</w:t>
            </w:r>
            <w:r w:rsidRPr="00256982">
              <w:rPr>
                <w:vertAlign w:val="subscript"/>
              </w:rPr>
              <w:t>4</w:t>
            </w:r>
          </w:p>
        </w:tc>
        <w:tc>
          <w:tcPr>
            <w:tcW w:w="2589" w:type="dxa"/>
            <w:tcBorders>
              <w:top w:val="single" w:sz="4" w:space="0" w:color="365F91"/>
            </w:tcBorders>
            <w:shd w:val="clear" w:color="auto" w:fill="FFFFFF"/>
          </w:tcPr>
          <w:p w14:paraId="34B1A589" w14:textId="77777777" w:rsidR="00005A00" w:rsidRPr="00256982" w:rsidRDefault="00005A00" w:rsidP="00E33731">
            <w:pPr>
              <w:pStyle w:val="TableText"/>
              <w:spacing w:before="40" w:after="40"/>
              <w:rPr>
                <w:rFonts w:cs="Arial"/>
                <w:bCs/>
              </w:rPr>
            </w:pPr>
          </w:p>
        </w:tc>
        <w:tc>
          <w:tcPr>
            <w:tcW w:w="852" w:type="dxa"/>
            <w:tcBorders>
              <w:top w:val="single" w:sz="4" w:space="0" w:color="365F91"/>
            </w:tcBorders>
            <w:shd w:val="clear" w:color="auto" w:fill="FFFFFF"/>
          </w:tcPr>
          <w:p w14:paraId="1E285828" w14:textId="77777777" w:rsidR="00005A00" w:rsidRPr="00256982" w:rsidRDefault="00005A00" w:rsidP="00E33731">
            <w:pPr>
              <w:pStyle w:val="TableText"/>
              <w:spacing w:before="40" w:after="40"/>
              <w:rPr>
                <w:rFonts w:cs="Arial"/>
              </w:rPr>
            </w:pPr>
            <w:r w:rsidRPr="00256982">
              <w:rPr>
                <w:rFonts w:cs="Arial"/>
              </w:rPr>
              <w:t>Tier 1</w:t>
            </w:r>
          </w:p>
        </w:tc>
        <w:tc>
          <w:tcPr>
            <w:tcW w:w="1842" w:type="dxa"/>
            <w:tcBorders>
              <w:top w:val="single" w:sz="4" w:space="0" w:color="365F91"/>
            </w:tcBorders>
            <w:shd w:val="clear" w:color="auto" w:fill="FFFFFF"/>
          </w:tcPr>
          <w:p w14:paraId="0CCAB2C7" w14:textId="77777777" w:rsidR="00005A00" w:rsidRPr="00256982" w:rsidRDefault="00005A00" w:rsidP="00E33731">
            <w:pPr>
              <w:pStyle w:val="TableText"/>
              <w:spacing w:before="40" w:after="40"/>
              <w:rPr>
                <w:rFonts w:cs="Arial"/>
              </w:rPr>
            </w:pPr>
            <w:r w:rsidRPr="00256982">
              <w:rPr>
                <w:rFonts w:cs="Arial"/>
              </w:rPr>
              <w:t>IPCC (2006a)</w:t>
            </w:r>
          </w:p>
        </w:tc>
      </w:tr>
      <w:tr w:rsidR="00005A00" w:rsidRPr="00256982" w14:paraId="1230C593" w14:textId="77777777" w:rsidTr="00AA14F1">
        <w:tc>
          <w:tcPr>
            <w:tcW w:w="2468" w:type="dxa"/>
            <w:shd w:val="clear" w:color="auto" w:fill="FFFFFF"/>
          </w:tcPr>
          <w:p w14:paraId="4823E7A7" w14:textId="77777777" w:rsidR="00005A00" w:rsidRPr="00256982" w:rsidRDefault="00005A00" w:rsidP="00E33731">
            <w:pPr>
              <w:pStyle w:val="TableText"/>
              <w:spacing w:before="40" w:after="40"/>
              <w:rPr>
                <w:rFonts w:cs="Arial"/>
                <w:bCs/>
              </w:rPr>
            </w:pPr>
            <w:r w:rsidRPr="00256982">
              <w:rPr>
                <w:rFonts w:cs="Arial"/>
                <w:bCs/>
              </w:rPr>
              <w:t>Industrial wastewater (5.D.2) – Pulp and paper industry</w:t>
            </w:r>
          </w:p>
        </w:tc>
        <w:tc>
          <w:tcPr>
            <w:tcW w:w="754" w:type="dxa"/>
            <w:shd w:val="clear" w:color="auto" w:fill="FFFFFF"/>
          </w:tcPr>
          <w:p w14:paraId="247AC55D" w14:textId="77777777" w:rsidR="00005A00" w:rsidRPr="00256982" w:rsidRDefault="00005A00" w:rsidP="00E33731">
            <w:pPr>
              <w:pStyle w:val="TableText"/>
              <w:spacing w:before="40" w:after="40"/>
              <w:rPr>
                <w:rFonts w:cs="Arial"/>
                <w:bCs/>
              </w:rPr>
            </w:pPr>
            <w:r w:rsidRPr="00256982">
              <w:t>CH</w:t>
            </w:r>
            <w:r w:rsidRPr="00256982">
              <w:rPr>
                <w:vertAlign w:val="subscript"/>
              </w:rPr>
              <w:t>4</w:t>
            </w:r>
          </w:p>
        </w:tc>
        <w:tc>
          <w:tcPr>
            <w:tcW w:w="2589" w:type="dxa"/>
            <w:shd w:val="clear" w:color="auto" w:fill="FFFFFF"/>
          </w:tcPr>
          <w:p w14:paraId="14F25682" w14:textId="77777777" w:rsidR="00005A00" w:rsidRPr="00256982" w:rsidRDefault="00005A00" w:rsidP="00E33731">
            <w:pPr>
              <w:pStyle w:val="TableText"/>
              <w:spacing w:before="40" w:after="40"/>
              <w:rPr>
                <w:rFonts w:cs="Arial"/>
                <w:bCs/>
              </w:rPr>
            </w:pPr>
          </w:p>
        </w:tc>
        <w:tc>
          <w:tcPr>
            <w:tcW w:w="852" w:type="dxa"/>
            <w:shd w:val="clear" w:color="auto" w:fill="FFFFFF"/>
          </w:tcPr>
          <w:p w14:paraId="2FED64E9" w14:textId="77777777" w:rsidR="00005A00" w:rsidRPr="00256982" w:rsidRDefault="00005A00" w:rsidP="00E33731">
            <w:pPr>
              <w:pStyle w:val="TableText"/>
              <w:spacing w:before="40" w:after="40"/>
              <w:rPr>
                <w:rFonts w:cs="Arial"/>
              </w:rPr>
            </w:pPr>
            <w:r w:rsidRPr="00256982">
              <w:rPr>
                <w:rFonts w:cs="Arial"/>
              </w:rPr>
              <w:t>Tier 1</w:t>
            </w:r>
          </w:p>
        </w:tc>
        <w:tc>
          <w:tcPr>
            <w:tcW w:w="1842" w:type="dxa"/>
            <w:shd w:val="clear" w:color="auto" w:fill="FFFFFF"/>
          </w:tcPr>
          <w:p w14:paraId="41451483" w14:textId="77777777" w:rsidR="00005A00" w:rsidRPr="00256982" w:rsidRDefault="00005A00" w:rsidP="00E33731">
            <w:pPr>
              <w:pStyle w:val="TableText"/>
              <w:spacing w:before="40" w:after="40"/>
              <w:rPr>
                <w:rFonts w:cs="Arial"/>
              </w:rPr>
            </w:pPr>
            <w:r w:rsidRPr="00256982">
              <w:rPr>
                <w:rFonts w:cs="Arial"/>
              </w:rPr>
              <w:t>IPCC (2006a)</w:t>
            </w:r>
          </w:p>
        </w:tc>
      </w:tr>
      <w:tr w:rsidR="00005A00" w:rsidRPr="00256982" w14:paraId="1A36F6DC" w14:textId="77777777" w:rsidTr="00AA14F1">
        <w:tc>
          <w:tcPr>
            <w:tcW w:w="2468" w:type="dxa"/>
            <w:shd w:val="clear" w:color="auto" w:fill="FFFFFF"/>
          </w:tcPr>
          <w:p w14:paraId="74186606" w14:textId="77777777" w:rsidR="00005A00" w:rsidRPr="00256982" w:rsidRDefault="00005A00" w:rsidP="00E33731">
            <w:pPr>
              <w:pStyle w:val="TableText"/>
              <w:spacing w:before="40" w:after="40"/>
              <w:rPr>
                <w:rFonts w:cs="Arial"/>
                <w:bCs/>
              </w:rPr>
            </w:pPr>
            <w:r w:rsidRPr="00256982">
              <w:rPr>
                <w:rFonts w:cs="Arial"/>
                <w:bCs/>
              </w:rPr>
              <w:t>Industrial wastewater (5.D.2) – Wine industry</w:t>
            </w:r>
          </w:p>
        </w:tc>
        <w:tc>
          <w:tcPr>
            <w:tcW w:w="754" w:type="dxa"/>
            <w:shd w:val="clear" w:color="auto" w:fill="FFFFFF"/>
          </w:tcPr>
          <w:p w14:paraId="670EFB46" w14:textId="77777777" w:rsidR="00005A00" w:rsidRPr="00256982" w:rsidRDefault="00005A00" w:rsidP="00E33731">
            <w:pPr>
              <w:pStyle w:val="TableText"/>
              <w:spacing w:before="40" w:after="40"/>
              <w:rPr>
                <w:rFonts w:cs="Arial"/>
                <w:bCs/>
              </w:rPr>
            </w:pPr>
            <w:r w:rsidRPr="00256982">
              <w:t>CH</w:t>
            </w:r>
            <w:r w:rsidRPr="00256982">
              <w:rPr>
                <w:vertAlign w:val="subscript"/>
              </w:rPr>
              <w:t>4</w:t>
            </w:r>
          </w:p>
        </w:tc>
        <w:tc>
          <w:tcPr>
            <w:tcW w:w="2589" w:type="dxa"/>
            <w:shd w:val="clear" w:color="auto" w:fill="FFFFFF"/>
          </w:tcPr>
          <w:p w14:paraId="44CA9973" w14:textId="77777777" w:rsidR="00005A00" w:rsidRPr="00256982" w:rsidRDefault="00005A00" w:rsidP="00E33731">
            <w:pPr>
              <w:pStyle w:val="TableText"/>
              <w:spacing w:before="40" w:after="40"/>
              <w:rPr>
                <w:rFonts w:cs="Arial"/>
                <w:bCs/>
              </w:rPr>
            </w:pPr>
          </w:p>
        </w:tc>
        <w:tc>
          <w:tcPr>
            <w:tcW w:w="852" w:type="dxa"/>
            <w:shd w:val="clear" w:color="auto" w:fill="FFFFFF"/>
          </w:tcPr>
          <w:p w14:paraId="2B6DB5A2" w14:textId="77777777" w:rsidR="00005A00" w:rsidRPr="00256982" w:rsidRDefault="00005A00" w:rsidP="00E33731">
            <w:pPr>
              <w:pStyle w:val="TableText"/>
              <w:spacing w:before="40" w:after="40"/>
              <w:rPr>
                <w:rFonts w:cs="Arial"/>
              </w:rPr>
            </w:pPr>
            <w:r w:rsidRPr="00256982">
              <w:rPr>
                <w:rFonts w:cs="Arial"/>
              </w:rPr>
              <w:t>Tier 2</w:t>
            </w:r>
          </w:p>
        </w:tc>
        <w:tc>
          <w:tcPr>
            <w:tcW w:w="1842" w:type="dxa"/>
            <w:shd w:val="clear" w:color="auto" w:fill="FFFFFF"/>
          </w:tcPr>
          <w:p w14:paraId="2ADDCE10" w14:textId="77777777" w:rsidR="00005A00" w:rsidRPr="00256982" w:rsidRDefault="00005A00" w:rsidP="00E33731">
            <w:pPr>
              <w:pStyle w:val="TableText"/>
              <w:spacing w:before="40" w:after="40"/>
              <w:rPr>
                <w:rFonts w:cs="Arial"/>
              </w:rPr>
            </w:pPr>
            <w:r w:rsidRPr="00256982">
              <w:rPr>
                <w:rFonts w:cs="Arial"/>
              </w:rPr>
              <w:t>Beca Ltd (unpublished)</w:t>
            </w:r>
          </w:p>
        </w:tc>
      </w:tr>
      <w:tr w:rsidR="00005A00" w:rsidRPr="00256982" w14:paraId="2484BFF7" w14:textId="77777777" w:rsidTr="00AA14F1">
        <w:tc>
          <w:tcPr>
            <w:tcW w:w="2468" w:type="dxa"/>
            <w:shd w:val="clear" w:color="auto" w:fill="FFFFFF"/>
          </w:tcPr>
          <w:p w14:paraId="49A90E7E" w14:textId="77777777" w:rsidR="00005A00" w:rsidRPr="00256982" w:rsidRDefault="00005A00" w:rsidP="00E33731">
            <w:pPr>
              <w:pStyle w:val="TableText"/>
              <w:spacing w:before="40" w:after="40"/>
              <w:rPr>
                <w:rFonts w:cs="Arial"/>
                <w:bCs/>
              </w:rPr>
            </w:pPr>
            <w:r w:rsidRPr="00256982">
              <w:rPr>
                <w:rFonts w:cs="Arial"/>
                <w:bCs/>
              </w:rPr>
              <w:t>Industrial wastewater (5.D.2) – Wool scouring industry</w:t>
            </w:r>
          </w:p>
        </w:tc>
        <w:tc>
          <w:tcPr>
            <w:tcW w:w="754" w:type="dxa"/>
            <w:shd w:val="clear" w:color="auto" w:fill="FFFFFF"/>
          </w:tcPr>
          <w:p w14:paraId="759DD6EE" w14:textId="77777777" w:rsidR="00005A00" w:rsidRPr="00256982" w:rsidRDefault="00005A00" w:rsidP="00E33731">
            <w:pPr>
              <w:pStyle w:val="TableText"/>
              <w:spacing w:before="40" w:after="40"/>
              <w:rPr>
                <w:rFonts w:cs="Arial"/>
                <w:bCs/>
              </w:rPr>
            </w:pPr>
            <w:r w:rsidRPr="00256982">
              <w:t>CH</w:t>
            </w:r>
            <w:r w:rsidRPr="00256982">
              <w:rPr>
                <w:vertAlign w:val="subscript"/>
              </w:rPr>
              <w:t>4</w:t>
            </w:r>
          </w:p>
        </w:tc>
        <w:tc>
          <w:tcPr>
            <w:tcW w:w="2589" w:type="dxa"/>
            <w:shd w:val="clear" w:color="auto" w:fill="FFFFFF"/>
          </w:tcPr>
          <w:p w14:paraId="434B5C86" w14:textId="77777777" w:rsidR="00005A00" w:rsidRPr="00256982" w:rsidRDefault="00005A00" w:rsidP="00E33731">
            <w:pPr>
              <w:pStyle w:val="TableText"/>
              <w:spacing w:before="40" w:after="40"/>
              <w:rPr>
                <w:rFonts w:cs="Arial"/>
                <w:bCs/>
              </w:rPr>
            </w:pPr>
          </w:p>
        </w:tc>
        <w:tc>
          <w:tcPr>
            <w:tcW w:w="852" w:type="dxa"/>
            <w:shd w:val="clear" w:color="auto" w:fill="FFFFFF"/>
          </w:tcPr>
          <w:p w14:paraId="3D296875" w14:textId="77777777" w:rsidR="00005A00" w:rsidRPr="00256982" w:rsidRDefault="00005A00" w:rsidP="00E33731">
            <w:pPr>
              <w:pStyle w:val="TableText"/>
              <w:spacing w:before="40" w:after="40"/>
              <w:rPr>
                <w:rFonts w:cs="Arial"/>
              </w:rPr>
            </w:pPr>
            <w:r w:rsidRPr="00256982">
              <w:rPr>
                <w:rFonts w:cs="Arial"/>
              </w:rPr>
              <w:t>Tier 1</w:t>
            </w:r>
          </w:p>
        </w:tc>
        <w:tc>
          <w:tcPr>
            <w:tcW w:w="1842" w:type="dxa"/>
            <w:shd w:val="clear" w:color="auto" w:fill="FFFFFF"/>
          </w:tcPr>
          <w:p w14:paraId="789919EE" w14:textId="77777777" w:rsidR="00005A00" w:rsidRPr="00256982" w:rsidRDefault="00005A00" w:rsidP="00E33731">
            <w:pPr>
              <w:pStyle w:val="TableText"/>
              <w:spacing w:before="40" w:after="40"/>
              <w:rPr>
                <w:rFonts w:cs="Arial"/>
              </w:rPr>
            </w:pPr>
            <w:r w:rsidRPr="00256982">
              <w:rPr>
                <w:rFonts w:cs="Arial"/>
              </w:rPr>
              <w:t>IPCC (2006a)</w:t>
            </w:r>
          </w:p>
        </w:tc>
      </w:tr>
      <w:tr w:rsidR="00005A00" w:rsidRPr="00256982" w14:paraId="588F235F" w14:textId="77777777" w:rsidTr="00AA14F1">
        <w:tc>
          <w:tcPr>
            <w:tcW w:w="2468" w:type="dxa"/>
            <w:shd w:val="clear" w:color="auto" w:fill="FFFFFF"/>
          </w:tcPr>
          <w:p w14:paraId="13C52DFE" w14:textId="77777777" w:rsidR="00005A00" w:rsidRPr="00256982" w:rsidRDefault="00005A00" w:rsidP="00E33731">
            <w:pPr>
              <w:pStyle w:val="TableText"/>
              <w:spacing w:before="40" w:after="40"/>
              <w:rPr>
                <w:rFonts w:cs="Arial"/>
                <w:bCs/>
              </w:rPr>
            </w:pPr>
            <w:r w:rsidRPr="00256982">
              <w:rPr>
                <w:rFonts w:cs="Arial"/>
                <w:bCs/>
              </w:rPr>
              <w:t>Industrial wastewater (5.D.2)</w:t>
            </w:r>
          </w:p>
        </w:tc>
        <w:tc>
          <w:tcPr>
            <w:tcW w:w="754" w:type="dxa"/>
            <w:shd w:val="clear" w:color="auto" w:fill="FFFFFF"/>
          </w:tcPr>
          <w:p w14:paraId="0E8212C9" w14:textId="77777777" w:rsidR="00005A00" w:rsidRPr="00256982" w:rsidRDefault="00005A00" w:rsidP="00E33731">
            <w:pPr>
              <w:pStyle w:val="TableText"/>
              <w:spacing w:before="40" w:after="40"/>
              <w:rPr>
                <w:rFonts w:cs="Arial"/>
                <w:bCs/>
              </w:rPr>
            </w:pPr>
            <w:r w:rsidRPr="00256982">
              <w:t>N</w:t>
            </w:r>
            <w:r w:rsidRPr="00256982">
              <w:rPr>
                <w:vertAlign w:val="subscript"/>
              </w:rPr>
              <w:t>2</w:t>
            </w:r>
            <w:r w:rsidRPr="00256982">
              <w:t>O</w:t>
            </w:r>
          </w:p>
        </w:tc>
        <w:tc>
          <w:tcPr>
            <w:tcW w:w="2589" w:type="dxa"/>
            <w:shd w:val="clear" w:color="auto" w:fill="FFFFFF"/>
          </w:tcPr>
          <w:p w14:paraId="2F1774A0" w14:textId="77777777" w:rsidR="00005A00" w:rsidRPr="00256982" w:rsidRDefault="00005A00" w:rsidP="00E33731">
            <w:pPr>
              <w:pStyle w:val="TableText"/>
              <w:spacing w:before="40" w:after="40"/>
              <w:rPr>
                <w:rFonts w:cs="Arial"/>
                <w:bCs/>
              </w:rPr>
            </w:pPr>
            <w:r w:rsidRPr="00256982">
              <w:rPr>
                <w:rFonts w:cs="Arial"/>
                <w:bCs/>
              </w:rPr>
              <w:t xml:space="preserve">Based on chemical oxygen demand from </w:t>
            </w:r>
            <w:r w:rsidRPr="00256982">
              <w:t>CH</w:t>
            </w:r>
            <w:r w:rsidRPr="00256982">
              <w:rPr>
                <w:vertAlign w:val="subscript"/>
              </w:rPr>
              <w:t xml:space="preserve">4 </w:t>
            </w:r>
            <w:r w:rsidRPr="00256982">
              <w:rPr>
                <w:rFonts w:cs="Arial"/>
                <w:bCs/>
              </w:rPr>
              <w:t>emissions</w:t>
            </w:r>
          </w:p>
        </w:tc>
        <w:tc>
          <w:tcPr>
            <w:tcW w:w="852" w:type="dxa"/>
            <w:shd w:val="clear" w:color="auto" w:fill="FFFFFF"/>
          </w:tcPr>
          <w:p w14:paraId="31E1DC2B" w14:textId="77777777" w:rsidR="00005A00" w:rsidRPr="00256982" w:rsidRDefault="00005A00" w:rsidP="00E33731">
            <w:pPr>
              <w:pStyle w:val="TableText"/>
              <w:spacing w:before="40" w:after="40"/>
              <w:rPr>
                <w:rFonts w:cs="Arial"/>
              </w:rPr>
            </w:pPr>
            <w:r w:rsidRPr="00256982">
              <w:rPr>
                <w:rFonts w:cs="Arial"/>
              </w:rPr>
              <w:t>Tier 2</w:t>
            </w:r>
          </w:p>
        </w:tc>
        <w:tc>
          <w:tcPr>
            <w:tcW w:w="1842" w:type="dxa"/>
            <w:shd w:val="clear" w:color="auto" w:fill="FFFFFF"/>
          </w:tcPr>
          <w:p w14:paraId="40C82062" w14:textId="77777777" w:rsidR="00005A00" w:rsidRPr="00256982" w:rsidRDefault="00005A00" w:rsidP="00E33731">
            <w:pPr>
              <w:pStyle w:val="TableText"/>
              <w:spacing w:before="40" w:after="40"/>
              <w:rPr>
                <w:rFonts w:cs="Arial"/>
              </w:rPr>
            </w:pPr>
            <w:r w:rsidRPr="00256982">
              <w:rPr>
                <w:rFonts w:cs="Arial"/>
              </w:rPr>
              <w:t>Cardno (unpublished)</w:t>
            </w:r>
          </w:p>
        </w:tc>
      </w:tr>
    </w:tbl>
    <w:p w14:paraId="064CD034" w14:textId="77777777" w:rsidR="00005A00" w:rsidRPr="00256982" w:rsidRDefault="00005A00" w:rsidP="00E33731">
      <w:pPr>
        <w:pStyle w:val="Heading5"/>
        <w:spacing w:before="360"/>
      </w:pPr>
      <w:r w:rsidRPr="00256982">
        <w:t>Wine industry</w:t>
      </w:r>
    </w:p>
    <w:p w14:paraId="4BDC0274" w14:textId="03C58434" w:rsidR="00005A00" w:rsidRPr="00256982" w:rsidRDefault="00005A00" w:rsidP="00005A00">
      <w:pPr>
        <w:pStyle w:val="BodyText"/>
        <w:rPr>
          <w:lang w:eastAsia="en-NZ"/>
        </w:rPr>
      </w:pPr>
      <w:r w:rsidRPr="00256982">
        <w:rPr>
          <w:lang w:eastAsia="en-NZ"/>
        </w:rPr>
        <w:t>A Tier 2 approach is used to estimate emissions from the wine industry. Information on the wastewater treatment practices of the industry was obtained from a survey (Beca Ltd, unpublished). IPCC default values are used where New Zealand-specific information is not available.</w:t>
      </w:r>
    </w:p>
    <w:p w14:paraId="5256F262" w14:textId="77777777" w:rsidR="00005A00" w:rsidRPr="00256982" w:rsidRDefault="00005A00" w:rsidP="00005A00">
      <w:pPr>
        <w:pStyle w:val="Heading5"/>
        <w:rPr>
          <w:iCs w:val="0"/>
        </w:rPr>
      </w:pPr>
      <w:r w:rsidRPr="00256982">
        <w:t>Nitrous oxide emissions</w:t>
      </w:r>
    </w:p>
    <w:p w14:paraId="6C9D7610" w14:textId="77777777" w:rsidR="00005A00" w:rsidRPr="00256982" w:rsidRDefault="00005A00" w:rsidP="00005A00">
      <w:pPr>
        <w:pStyle w:val="BodyText"/>
      </w:pPr>
      <w:r w:rsidRPr="00256982">
        <w:t>Direct emissions of N</w:t>
      </w:r>
      <w:r w:rsidRPr="00256982">
        <w:rPr>
          <w:vertAlign w:val="subscript"/>
        </w:rPr>
        <w:t>2</w:t>
      </w:r>
      <w:r w:rsidRPr="00256982">
        <w:t>O from domestic wastewater plants are typically minor and only occur in advanced centralised treatment plants. Good practice guidelines (IPCC, 2006a) advise that the estimation of direct N</w:t>
      </w:r>
      <w:r w:rsidRPr="00256982">
        <w:rPr>
          <w:vertAlign w:val="subscript"/>
        </w:rPr>
        <w:t>2</w:t>
      </w:r>
      <w:r w:rsidRPr="00256982">
        <w:t>O emissions is only necessary where advanced centralised treatment plants account for a major proportion of wastewater treatment. There is one wastewater treatment plant in Auckland that serves about a million people, however, direct N</w:t>
      </w:r>
      <w:r w:rsidRPr="00256982">
        <w:rPr>
          <w:vertAlign w:val="subscript"/>
        </w:rPr>
        <w:t>2</w:t>
      </w:r>
      <w:r w:rsidRPr="00256982">
        <w:t>O emissions are not estimated because they are likely to be small.</w:t>
      </w:r>
    </w:p>
    <w:p w14:paraId="6FC72332" w14:textId="77777777" w:rsidR="00005A00" w:rsidRPr="00256982" w:rsidRDefault="00005A00" w:rsidP="00005A00">
      <w:pPr>
        <w:pStyle w:val="BodyText"/>
      </w:pPr>
      <w:r w:rsidRPr="00256982">
        <w:t>However, indirect emissions of N</w:t>
      </w:r>
      <w:r w:rsidRPr="00256982">
        <w:rPr>
          <w:vertAlign w:val="subscript"/>
        </w:rPr>
        <w:t>2</w:t>
      </w:r>
      <w:r w:rsidRPr="00256982">
        <w:t>O may occur after disposal of effluent into waterways, lakes or the ocean. New Zealand reports indirect emissions of N</w:t>
      </w:r>
      <w:r w:rsidRPr="00256982">
        <w:rPr>
          <w:vertAlign w:val="subscript"/>
        </w:rPr>
        <w:t>2</w:t>
      </w:r>
      <w:r w:rsidRPr="00256982">
        <w:t>O from domestic wastewater.</w:t>
      </w:r>
    </w:p>
    <w:p w14:paraId="459E17D8" w14:textId="77777777" w:rsidR="00005A00" w:rsidRPr="00256982" w:rsidRDefault="00005A00" w:rsidP="00005A00">
      <w:pPr>
        <w:pStyle w:val="BodyText"/>
      </w:pPr>
      <w:r w:rsidRPr="00256982">
        <w:t>The IPCC Guidelines (IPCC, 2006a) indicate that, compared with domestic wastewater, the N</w:t>
      </w:r>
      <w:r w:rsidRPr="00256982">
        <w:rPr>
          <w:vertAlign w:val="subscript"/>
        </w:rPr>
        <w:t>2</w:t>
      </w:r>
      <w:r w:rsidRPr="00256982">
        <w:t>O emissions from industrial wastewater are believed to be insignificant. However, these emissions are not insignificant in New Zealand, because the meat and dairy processing industries produce nitrogen-rich wastewaters.</w:t>
      </w:r>
    </w:p>
    <w:p w14:paraId="5D059BD9" w14:textId="77777777" w:rsidR="00005A00" w:rsidRPr="00256982" w:rsidRDefault="00005A00" w:rsidP="00005A00">
      <w:pPr>
        <w:pStyle w:val="BodyText"/>
      </w:pPr>
      <w:r w:rsidRPr="00256982">
        <w:t>The IPCC does not provide a method for calculating N</w:t>
      </w:r>
      <w:r w:rsidRPr="00256982">
        <w:rPr>
          <w:vertAlign w:val="subscript"/>
        </w:rPr>
        <w:t>2</w:t>
      </w:r>
      <w:r w:rsidRPr="00256982">
        <w:t>O emissions from industrial wastewater and, consequently, a New Zealand-derived method has been applied. The total nitrogen load is calculated by adopting the COD load as determined in calculating CH</w:t>
      </w:r>
      <w:r w:rsidRPr="00256982">
        <w:rPr>
          <w:vertAlign w:val="subscript"/>
        </w:rPr>
        <w:t>4</w:t>
      </w:r>
      <w:r w:rsidRPr="00256982">
        <w:t xml:space="preserve"> emissions from the same wastewater, and using an estimated ratio of COD to nitrogen in the wastewater for each of the different producers in the meat, dairy processing and leather and skins industries.</w:t>
      </w:r>
    </w:p>
    <w:p w14:paraId="3B38C0A1" w14:textId="77777777" w:rsidR="00005A00" w:rsidRPr="00256982" w:rsidRDefault="00005A00" w:rsidP="00005A00">
      <w:pPr>
        <w:pStyle w:val="Heading4"/>
      </w:pPr>
      <w:r w:rsidRPr="00256982">
        <w:t>Choice of emission factors</w:t>
      </w:r>
    </w:p>
    <w:p w14:paraId="0B42B071" w14:textId="77777777" w:rsidR="00005A00" w:rsidRPr="00256982" w:rsidRDefault="00005A00" w:rsidP="00005A00">
      <w:pPr>
        <w:pStyle w:val="Heading5"/>
      </w:pPr>
      <w:r w:rsidRPr="00256982">
        <w:t>Domestic wastewater (5.D.1)</w:t>
      </w:r>
    </w:p>
    <w:p w14:paraId="18778B43" w14:textId="77777777" w:rsidR="00005A00" w:rsidRPr="00256982" w:rsidRDefault="00005A00" w:rsidP="00005A00">
      <w:pPr>
        <w:pStyle w:val="Heading6"/>
        <w:rPr>
          <w:lang w:eastAsia="en-NZ"/>
        </w:rPr>
      </w:pPr>
      <w:r w:rsidRPr="00256982">
        <w:rPr>
          <w:lang w:eastAsia="en-NZ"/>
        </w:rPr>
        <w:t>Methane emissions from domestic wastewater treatment</w:t>
      </w:r>
    </w:p>
    <w:p w14:paraId="3D264343" w14:textId="77777777" w:rsidR="00005A00" w:rsidRPr="00256982" w:rsidRDefault="00005A00" w:rsidP="00005A00">
      <w:pPr>
        <w:pStyle w:val="BodyText"/>
      </w:pPr>
      <w:r w:rsidRPr="00256982">
        <w:t>Table 7.5.6 provides a summary of the parameter values applied for estimating CH</w:t>
      </w:r>
      <w:r w:rsidRPr="00256982">
        <w:rPr>
          <w:vertAlign w:val="subscript"/>
        </w:rPr>
        <w:t>4</w:t>
      </w:r>
      <w:r w:rsidRPr="00256982">
        <w:t xml:space="preserve"> emissions from domestic wastewater treatment.</w:t>
      </w:r>
    </w:p>
    <w:p w14:paraId="7FEF2479" w14:textId="77777777" w:rsidR="00005A00" w:rsidRPr="00256982" w:rsidRDefault="00005A00" w:rsidP="00005A00">
      <w:pPr>
        <w:pStyle w:val="Table"/>
      </w:pPr>
      <w:bookmarkStart w:id="2384" w:name="_Toc321399252"/>
      <w:bookmarkStart w:id="2385" w:name="_Toc444001627"/>
      <w:bookmarkStart w:id="2386" w:name="_Toc451176179"/>
      <w:bookmarkStart w:id="2387" w:name="_Toc481751609"/>
      <w:bookmarkStart w:id="2388" w:name="_Toc508019336"/>
      <w:bookmarkStart w:id="2389" w:name="_Toc511116834"/>
      <w:bookmarkStart w:id="2390" w:name="_Toc5269583"/>
      <w:r w:rsidRPr="00256982">
        <w:t>Table 7.5.6</w:t>
      </w:r>
      <w:r w:rsidRPr="00256982">
        <w:tab/>
        <w:t>Parameter values applied by New Zealand for estimating methane emissions</w:t>
      </w:r>
      <w:r w:rsidRPr="00256982">
        <w:br/>
        <w:t>for domestic wastewater treatment</w:t>
      </w:r>
      <w:bookmarkEnd w:id="2384"/>
      <w:bookmarkEnd w:id="2385"/>
      <w:bookmarkEnd w:id="2386"/>
      <w:bookmarkEnd w:id="2387"/>
      <w:bookmarkEnd w:id="2388"/>
      <w:bookmarkEnd w:id="2389"/>
      <w:bookmarkEnd w:id="2390"/>
      <w:r w:rsidRPr="00256982">
        <w:t xml:space="preserve"> </w:t>
      </w:r>
    </w:p>
    <w:tbl>
      <w:tblPr>
        <w:tblW w:w="8505" w:type="dxa"/>
        <w:tblInd w:w="108" w:type="dxa"/>
        <w:tblLook w:val="04A0" w:firstRow="1" w:lastRow="0" w:firstColumn="1" w:lastColumn="0" w:noHBand="0" w:noVBand="1"/>
      </w:tblPr>
      <w:tblGrid>
        <w:gridCol w:w="2887"/>
        <w:gridCol w:w="1518"/>
        <w:gridCol w:w="1832"/>
        <w:gridCol w:w="2268"/>
      </w:tblGrid>
      <w:tr w:rsidR="00005A00" w:rsidRPr="00256982" w14:paraId="36D865E2" w14:textId="77777777" w:rsidTr="00AA14F1">
        <w:tc>
          <w:tcPr>
            <w:tcW w:w="2887" w:type="dxa"/>
            <w:tcBorders>
              <w:top w:val="single" w:sz="4" w:space="0" w:color="5B9BD5"/>
              <w:left w:val="nil"/>
              <w:bottom w:val="single" w:sz="4" w:space="0" w:color="365F91"/>
            </w:tcBorders>
            <w:shd w:val="clear" w:color="auto" w:fill="365F91"/>
          </w:tcPr>
          <w:p w14:paraId="14572C92" w14:textId="77777777" w:rsidR="00005A00" w:rsidRPr="00256982" w:rsidRDefault="00005A00" w:rsidP="008F2C93">
            <w:pPr>
              <w:pStyle w:val="TableTextBold"/>
              <w:rPr>
                <w:noProof w:val="0"/>
                <w:color w:val="FFFFFF"/>
                <w:lang w:eastAsia="en-NZ"/>
              </w:rPr>
            </w:pPr>
            <w:r w:rsidRPr="00256982">
              <w:rPr>
                <w:noProof w:val="0"/>
                <w:color w:val="FFFFFF"/>
                <w:lang w:eastAsia="en-NZ"/>
              </w:rPr>
              <w:t>Parameter</w:t>
            </w:r>
          </w:p>
        </w:tc>
        <w:tc>
          <w:tcPr>
            <w:tcW w:w="1518" w:type="dxa"/>
            <w:tcBorders>
              <w:top w:val="single" w:sz="4" w:space="0" w:color="5B9BD5"/>
              <w:bottom w:val="single" w:sz="4" w:space="0" w:color="365F91"/>
            </w:tcBorders>
            <w:shd w:val="clear" w:color="auto" w:fill="365F91"/>
          </w:tcPr>
          <w:p w14:paraId="6F55A531" w14:textId="77777777" w:rsidR="00005A00" w:rsidRPr="00256982" w:rsidRDefault="00005A00" w:rsidP="008F2C93">
            <w:pPr>
              <w:pStyle w:val="TableTextBold"/>
              <w:rPr>
                <w:noProof w:val="0"/>
                <w:color w:val="FFFFFF"/>
                <w:lang w:eastAsia="en-NZ"/>
              </w:rPr>
            </w:pPr>
            <w:r w:rsidRPr="00256982">
              <w:rPr>
                <w:noProof w:val="0"/>
                <w:color w:val="FFFFFF"/>
                <w:lang w:eastAsia="en-NZ"/>
              </w:rPr>
              <w:t>Value</w:t>
            </w:r>
          </w:p>
        </w:tc>
        <w:tc>
          <w:tcPr>
            <w:tcW w:w="1832" w:type="dxa"/>
            <w:tcBorders>
              <w:top w:val="single" w:sz="4" w:space="0" w:color="5B9BD5"/>
              <w:bottom w:val="single" w:sz="4" w:space="0" w:color="365F91"/>
            </w:tcBorders>
            <w:shd w:val="clear" w:color="auto" w:fill="365F91"/>
          </w:tcPr>
          <w:p w14:paraId="43AF45EE" w14:textId="77777777" w:rsidR="00005A00" w:rsidRPr="00256982" w:rsidRDefault="00005A00" w:rsidP="008F2C93">
            <w:pPr>
              <w:pStyle w:val="TableTextBold"/>
              <w:rPr>
                <w:noProof w:val="0"/>
                <w:color w:val="FFFFFF"/>
                <w:lang w:eastAsia="en-NZ"/>
              </w:rPr>
            </w:pPr>
            <w:r w:rsidRPr="00256982">
              <w:rPr>
                <w:noProof w:val="0"/>
                <w:color w:val="FFFFFF"/>
                <w:lang w:eastAsia="en-NZ"/>
              </w:rPr>
              <w:t>Source</w:t>
            </w:r>
          </w:p>
        </w:tc>
        <w:tc>
          <w:tcPr>
            <w:tcW w:w="2268" w:type="dxa"/>
            <w:tcBorders>
              <w:top w:val="single" w:sz="4" w:space="0" w:color="5B9BD5"/>
              <w:bottom w:val="single" w:sz="4" w:space="0" w:color="365F91"/>
              <w:right w:val="nil"/>
            </w:tcBorders>
            <w:shd w:val="clear" w:color="auto" w:fill="365F91"/>
          </w:tcPr>
          <w:p w14:paraId="361AA27D" w14:textId="77777777" w:rsidR="00005A00" w:rsidRPr="00256982" w:rsidRDefault="00005A00" w:rsidP="008F2C93">
            <w:pPr>
              <w:pStyle w:val="TableTextBold"/>
              <w:rPr>
                <w:noProof w:val="0"/>
                <w:color w:val="FFFFFF"/>
                <w:lang w:eastAsia="en-NZ"/>
              </w:rPr>
            </w:pPr>
            <w:r w:rsidRPr="00256982">
              <w:rPr>
                <w:noProof w:val="0"/>
                <w:color w:val="FFFFFF"/>
                <w:lang w:eastAsia="en-NZ"/>
              </w:rPr>
              <w:t>Reference</w:t>
            </w:r>
          </w:p>
        </w:tc>
      </w:tr>
      <w:tr w:rsidR="00005A00" w:rsidRPr="00256982" w14:paraId="18FF47F4" w14:textId="77777777" w:rsidTr="00AA14F1">
        <w:tc>
          <w:tcPr>
            <w:tcW w:w="2887" w:type="dxa"/>
            <w:tcBorders>
              <w:top w:val="single" w:sz="4" w:space="0" w:color="365F91"/>
              <w:left w:val="nil"/>
              <w:bottom w:val="single" w:sz="4" w:space="0" w:color="365F91"/>
            </w:tcBorders>
          </w:tcPr>
          <w:p w14:paraId="26C96C17" w14:textId="77777777" w:rsidR="00005A00" w:rsidRPr="00256982" w:rsidRDefault="00005A00" w:rsidP="008F2C93">
            <w:pPr>
              <w:pStyle w:val="TableText"/>
              <w:rPr>
                <w:lang w:eastAsia="en-NZ"/>
              </w:rPr>
            </w:pPr>
            <w:r w:rsidRPr="00256982">
              <w:rPr>
                <w:lang w:eastAsia="en-NZ"/>
              </w:rPr>
              <w:t>Methane correction factors</w:t>
            </w:r>
          </w:p>
        </w:tc>
        <w:tc>
          <w:tcPr>
            <w:tcW w:w="1518" w:type="dxa"/>
            <w:tcBorders>
              <w:top w:val="single" w:sz="4" w:space="0" w:color="365F91"/>
              <w:bottom w:val="single" w:sz="4" w:space="0" w:color="365F91"/>
            </w:tcBorders>
          </w:tcPr>
          <w:p w14:paraId="184471CB" w14:textId="77777777" w:rsidR="00005A00" w:rsidRPr="00256982" w:rsidRDefault="00005A00" w:rsidP="008F2C93">
            <w:pPr>
              <w:pStyle w:val="TableText"/>
              <w:rPr>
                <w:lang w:eastAsia="en-NZ"/>
              </w:rPr>
            </w:pPr>
          </w:p>
        </w:tc>
        <w:tc>
          <w:tcPr>
            <w:tcW w:w="1832" w:type="dxa"/>
            <w:tcBorders>
              <w:top w:val="single" w:sz="4" w:space="0" w:color="365F91"/>
              <w:bottom w:val="single" w:sz="4" w:space="0" w:color="365F91"/>
            </w:tcBorders>
          </w:tcPr>
          <w:p w14:paraId="14CE3E82" w14:textId="77777777" w:rsidR="00005A00" w:rsidRPr="00256982" w:rsidRDefault="00005A00" w:rsidP="008F2C93">
            <w:pPr>
              <w:pStyle w:val="TableText"/>
              <w:rPr>
                <w:lang w:eastAsia="en-NZ"/>
              </w:rPr>
            </w:pPr>
          </w:p>
        </w:tc>
        <w:tc>
          <w:tcPr>
            <w:tcW w:w="2268" w:type="dxa"/>
            <w:tcBorders>
              <w:top w:val="single" w:sz="4" w:space="0" w:color="365F91"/>
              <w:bottom w:val="single" w:sz="4" w:space="0" w:color="365F91"/>
              <w:right w:val="nil"/>
            </w:tcBorders>
          </w:tcPr>
          <w:p w14:paraId="4740B8D3" w14:textId="77777777" w:rsidR="00005A00" w:rsidRPr="00256982" w:rsidRDefault="00005A00" w:rsidP="008F2C93">
            <w:pPr>
              <w:pStyle w:val="TableText"/>
              <w:rPr>
                <w:lang w:eastAsia="en-NZ"/>
              </w:rPr>
            </w:pPr>
          </w:p>
        </w:tc>
      </w:tr>
      <w:tr w:rsidR="00005A00" w:rsidRPr="00256982" w14:paraId="76F03651" w14:textId="77777777" w:rsidTr="00AA14F1">
        <w:tc>
          <w:tcPr>
            <w:tcW w:w="2887" w:type="dxa"/>
            <w:tcBorders>
              <w:top w:val="single" w:sz="4" w:space="0" w:color="365F91"/>
              <w:left w:val="nil"/>
              <w:bottom w:val="single" w:sz="4" w:space="0" w:color="365F91"/>
            </w:tcBorders>
          </w:tcPr>
          <w:p w14:paraId="14781231" w14:textId="77777777" w:rsidR="00005A00" w:rsidRPr="00256982" w:rsidRDefault="00005A00" w:rsidP="008F2C93">
            <w:pPr>
              <w:pStyle w:val="TableText"/>
              <w:ind w:left="142"/>
              <w:rPr>
                <w:i/>
                <w:color w:val="000000"/>
                <w:lang w:eastAsia="en-NZ"/>
              </w:rPr>
            </w:pPr>
            <w:r w:rsidRPr="00256982">
              <w:rPr>
                <w:i/>
                <w:color w:val="000000"/>
                <w:lang w:eastAsia="en-NZ"/>
              </w:rPr>
              <w:t xml:space="preserve">Handling systems </w:t>
            </w:r>
            <w:r w:rsidRPr="00256982">
              <w:rPr>
                <w:i/>
              </w:rPr>
              <w:t>methane correction factor</w:t>
            </w:r>
          </w:p>
        </w:tc>
        <w:tc>
          <w:tcPr>
            <w:tcW w:w="1518" w:type="dxa"/>
            <w:tcBorders>
              <w:top w:val="single" w:sz="4" w:space="0" w:color="365F91"/>
              <w:bottom w:val="single" w:sz="4" w:space="0" w:color="365F91"/>
            </w:tcBorders>
          </w:tcPr>
          <w:p w14:paraId="5D5E9E44" w14:textId="77777777" w:rsidR="00005A00" w:rsidRPr="00256982" w:rsidRDefault="00005A00" w:rsidP="008F2C93">
            <w:pPr>
              <w:pStyle w:val="TableText"/>
              <w:rPr>
                <w:lang w:eastAsia="en-NZ"/>
              </w:rPr>
            </w:pPr>
            <w:r w:rsidRPr="00256982">
              <w:rPr>
                <w:lang w:eastAsia="en-NZ"/>
              </w:rPr>
              <w:t>Range of 0–0.65</w:t>
            </w:r>
          </w:p>
        </w:tc>
        <w:tc>
          <w:tcPr>
            <w:tcW w:w="1832" w:type="dxa"/>
            <w:tcBorders>
              <w:top w:val="single" w:sz="4" w:space="0" w:color="365F91"/>
              <w:bottom w:val="single" w:sz="4" w:space="0" w:color="365F91"/>
            </w:tcBorders>
          </w:tcPr>
          <w:p w14:paraId="11EA86F3" w14:textId="77777777" w:rsidR="00005A00" w:rsidRPr="00256982" w:rsidRDefault="00005A00" w:rsidP="008F2C93">
            <w:pPr>
              <w:pStyle w:val="TableText"/>
              <w:rPr>
                <w:lang w:eastAsia="en-NZ"/>
              </w:rPr>
            </w:pPr>
            <w:r w:rsidRPr="00256982">
              <w:rPr>
                <w:lang w:eastAsia="en-NZ"/>
              </w:rPr>
              <w:t>New Zealand specific</w:t>
            </w:r>
          </w:p>
        </w:tc>
        <w:tc>
          <w:tcPr>
            <w:tcW w:w="2268" w:type="dxa"/>
            <w:tcBorders>
              <w:top w:val="single" w:sz="4" w:space="0" w:color="365F91"/>
              <w:bottom w:val="single" w:sz="4" w:space="0" w:color="365F91"/>
              <w:right w:val="nil"/>
            </w:tcBorders>
          </w:tcPr>
          <w:p w14:paraId="6D47CF7F" w14:textId="77777777" w:rsidR="00005A00" w:rsidRPr="00256982" w:rsidRDefault="00005A00" w:rsidP="008F2C93">
            <w:pPr>
              <w:pStyle w:val="TableText"/>
              <w:rPr>
                <w:lang w:eastAsia="en-NZ"/>
              </w:rPr>
            </w:pPr>
            <w:r w:rsidRPr="00256982">
              <w:rPr>
                <w:lang w:eastAsia="en-NZ"/>
              </w:rPr>
              <w:t>SCS Wetherill Environmental (unpublished)</w:t>
            </w:r>
          </w:p>
        </w:tc>
      </w:tr>
      <w:tr w:rsidR="00005A00" w:rsidRPr="00256982" w14:paraId="5048000F" w14:textId="77777777" w:rsidTr="00AA14F1">
        <w:tc>
          <w:tcPr>
            <w:tcW w:w="2887" w:type="dxa"/>
            <w:tcBorders>
              <w:top w:val="single" w:sz="4" w:space="0" w:color="365F91"/>
              <w:left w:val="nil"/>
              <w:bottom w:val="single" w:sz="4" w:space="0" w:color="365F91"/>
            </w:tcBorders>
          </w:tcPr>
          <w:p w14:paraId="7860B2F0" w14:textId="77777777" w:rsidR="00005A00" w:rsidRPr="00256982" w:rsidRDefault="00005A00" w:rsidP="008F2C93">
            <w:pPr>
              <w:pStyle w:val="TableText"/>
              <w:ind w:left="142"/>
              <w:rPr>
                <w:i/>
                <w:color w:val="000000"/>
                <w:lang w:eastAsia="en-NZ"/>
              </w:rPr>
            </w:pPr>
            <w:r w:rsidRPr="00256982">
              <w:rPr>
                <w:i/>
                <w:color w:val="000000"/>
                <w:lang w:eastAsia="en-NZ"/>
              </w:rPr>
              <w:t xml:space="preserve">Aggregated </w:t>
            </w:r>
            <w:r w:rsidRPr="00256982">
              <w:rPr>
                <w:i/>
              </w:rPr>
              <w:t>methane correction factor</w:t>
            </w:r>
          </w:p>
        </w:tc>
        <w:tc>
          <w:tcPr>
            <w:tcW w:w="1518" w:type="dxa"/>
            <w:tcBorders>
              <w:top w:val="single" w:sz="4" w:space="0" w:color="365F91"/>
              <w:bottom w:val="single" w:sz="4" w:space="0" w:color="365F91"/>
            </w:tcBorders>
          </w:tcPr>
          <w:p w14:paraId="30BDA896" w14:textId="77777777" w:rsidR="00005A00" w:rsidRPr="00256982" w:rsidRDefault="00005A00" w:rsidP="008F2C93">
            <w:pPr>
              <w:pStyle w:val="TableText"/>
              <w:rPr>
                <w:lang w:eastAsia="en-NZ"/>
              </w:rPr>
            </w:pPr>
            <w:r w:rsidRPr="00256982">
              <w:rPr>
                <w:lang w:eastAsia="en-NZ"/>
              </w:rPr>
              <w:t xml:space="preserve">Range of </w:t>
            </w:r>
            <w:r w:rsidRPr="00256982">
              <w:rPr>
                <w:lang w:eastAsia="en-NZ"/>
              </w:rPr>
              <w:br/>
              <w:t>0.032–0.043</w:t>
            </w:r>
          </w:p>
        </w:tc>
        <w:tc>
          <w:tcPr>
            <w:tcW w:w="1832" w:type="dxa"/>
            <w:tcBorders>
              <w:top w:val="single" w:sz="4" w:space="0" w:color="365F91"/>
              <w:bottom w:val="single" w:sz="4" w:space="0" w:color="365F91"/>
            </w:tcBorders>
          </w:tcPr>
          <w:p w14:paraId="76F93EA8" w14:textId="77777777" w:rsidR="00005A00" w:rsidRPr="00256982" w:rsidRDefault="00005A00" w:rsidP="008F2C93">
            <w:pPr>
              <w:pStyle w:val="TableText"/>
              <w:rPr>
                <w:lang w:eastAsia="en-NZ"/>
              </w:rPr>
            </w:pPr>
            <w:r w:rsidRPr="00256982">
              <w:rPr>
                <w:lang w:eastAsia="en-NZ"/>
              </w:rPr>
              <w:t>New Zealand specific</w:t>
            </w:r>
          </w:p>
        </w:tc>
        <w:tc>
          <w:tcPr>
            <w:tcW w:w="2268" w:type="dxa"/>
            <w:tcBorders>
              <w:top w:val="single" w:sz="4" w:space="0" w:color="365F91"/>
              <w:bottom w:val="single" w:sz="4" w:space="0" w:color="365F91"/>
              <w:right w:val="nil"/>
            </w:tcBorders>
          </w:tcPr>
          <w:p w14:paraId="52E5ADC3" w14:textId="77777777" w:rsidR="00005A00" w:rsidRPr="00256982" w:rsidRDefault="00005A00" w:rsidP="008F2C93">
            <w:pPr>
              <w:pStyle w:val="TableText"/>
              <w:rPr>
                <w:lang w:eastAsia="en-NZ"/>
              </w:rPr>
            </w:pPr>
            <w:r w:rsidRPr="00256982">
              <w:rPr>
                <w:lang w:eastAsia="en-NZ"/>
              </w:rPr>
              <w:t>SCS Wetherill Environmental (unpublished)</w:t>
            </w:r>
          </w:p>
        </w:tc>
      </w:tr>
      <w:tr w:rsidR="00005A00" w:rsidRPr="00256982" w14:paraId="3A366D89" w14:textId="77777777" w:rsidTr="00AA14F1">
        <w:tc>
          <w:tcPr>
            <w:tcW w:w="2887" w:type="dxa"/>
            <w:tcBorders>
              <w:top w:val="single" w:sz="4" w:space="0" w:color="365F91"/>
              <w:left w:val="nil"/>
              <w:bottom w:val="single" w:sz="4" w:space="0" w:color="365F91"/>
            </w:tcBorders>
          </w:tcPr>
          <w:p w14:paraId="753720B4" w14:textId="77777777" w:rsidR="00005A00" w:rsidRPr="00256982" w:rsidRDefault="00005A00" w:rsidP="008F2C93">
            <w:pPr>
              <w:pStyle w:val="TableText"/>
              <w:rPr>
                <w:color w:val="000000"/>
                <w:lang w:eastAsia="en-NZ"/>
              </w:rPr>
            </w:pPr>
            <w:r w:rsidRPr="00256982">
              <w:rPr>
                <w:color w:val="000000"/>
                <w:lang w:eastAsia="en-NZ"/>
              </w:rPr>
              <w:t>Biochemical oxygen demand (BOD) (kg BOD/person/year)</w:t>
            </w:r>
          </w:p>
        </w:tc>
        <w:tc>
          <w:tcPr>
            <w:tcW w:w="1518" w:type="dxa"/>
            <w:tcBorders>
              <w:top w:val="single" w:sz="4" w:space="0" w:color="365F91"/>
              <w:bottom w:val="single" w:sz="4" w:space="0" w:color="365F91"/>
            </w:tcBorders>
          </w:tcPr>
          <w:p w14:paraId="5EEE90C0" w14:textId="77777777" w:rsidR="00005A00" w:rsidRPr="00256982" w:rsidRDefault="00005A00" w:rsidP="008F2C93">
            <w:pPr>
              <w:pStyle w:val="TableText"/>
              <w:rPr>
                <w:lang w:eastAsia="en-NZ"/>
              </w:rPr>
            </w:pPr>
            <w:r w:rsidRPr="00256982">
              <w:rPr>
                <w:lang w:eastAsia="en-NZ"/>
              </w:rPr>
              <w:t>26</w:t>
            </w:r>
          </w:p>
        </w:tc>
        <w:tc>
          <w:tcPr>
            <w:tcW w:w="1832" w:type="dxa"/>
            <w:tcBorders>
              <w:top w:val="single" w:sz="4" w:space="0" w:color="365F91"/>
              <w:bottom w:val="single" w:sz="4" w:space="0" w:color="365F91"/>
            </w:tcBorders>
          </w:tcPr>
          <w:p w14:paraId="0133FD3B" w14:textId="77777777" w:rsidR="00005A00" w:rsidRPr="00256982" w:rsidRDefault="00005A00" w:rsidP="008F2C93">
            <w:pPr>
              <w:pStyle w:val="TableText"/>
              <w:rPr>
                <w:lang w:eastAsia="en-NZ"/>
              </w:rPr>
            </w:pPr>
            <w:r w:rsidRPr="00256982">
              <w:rPr>
                <w:lang w:eastAsia="en-NZ"/>
              </w:rPr>
              <w:t>New Zealand specific</w:t>
            </w:r>
          </w:p>
        </w:tc>
        <w:tc>
          <w:tcPr>
            <w:tcW w:w="2268" w:type="dxa"/>
            <w:tcBorders>
              <w:top w:val="single" w:sz="4" w:space="0" w:color="365F91"/>
              <w:bottom w:val="single" w:sz="4" w:space="0" w:color="365F91"/>
              <w:right w:val="nil"/>
            </w:tcBorders>
          </w:tcPr>
          <w:p w14:paraId="42866DFD" w14:textId="77777777" w:rsidR="00005A00" w:rsidRPr="00256982" w:rsidRDefault="00005A00" w:rsidP="008F2C93">
            <w:pPr>
              <w:pStyle w:val="TableText"/>
              <w:rPr>
                <w:lang w:eastAsia="en-NZ"/>
              </w:rPr>
            </w:pPr>
            <w:r w:rsidRPr="00256982">
              <w:rPr>
                <w:lang w:eastAsia="en-NZ"/>
              </w:rPr>
              <w:t>Beca Infrastructure Ltd (unpublished)</w:t>
            </w:r>
          </w:p>
        </w:tc>
      </w:tr>
      <w:tr w:rsidR="00005A00" w:rsidRPr="00256982" w14:paraId="47E81541" w14:textId="77777777" w:rsidTr="00AA14F1">
        <w:tc>
          <w:tcPr>
            <w:tcW w:w="2887" w:type="dxa"/>
            <w:tcBorders>
              <w:top w:val="single" w:sz="4" w:space="0" w:color="365F91"/>
              <w:left w:val="nil"/>
              <w:bottom w:val="single" w:sz="4" w:space="0" w:color="365F91"/>
            </w:tcBorders>
          </w:tcPr>
          <w:p w14:paraId="5514F1EA" w14:textId="77777777" w:rsidR="00005A00" w:rsidRPr="00256982" w:rsidRDefault="00005A00" w:rsidP="008F2C93">
            <w:pPr>
              <w:pStyle w:val="TableText"/>
              <w:rPr>
                <w:color w:val="000000"/>
                <w:lang w:eastAsia="en-NZ"/>
              </w:rPr>
            </w:pPr>
            <w:r w:rsidRPr="00256982">
              <w:rPr>
                <w:color w:val="000000"/>
                <w:lang w:eastAsia="en-NZ"/>
              </w:rPr>
              <w:t>Correction factor for BOD</w:t>
            </w:r>
          </w:p>
        </w:tc>
        <w:tc>
          <w:tcPr>
            <w:tcW w:w="1518" w:type="dxa"/>
            <w:tcBorders>
              <w:top w:val="single" w:sz="4" w:space="0" w:color="365F91"/>
              <w:bottom w:val="single" w:sz="4" w:space="0" w:color="365F91"/>
            </w:tcBorders>
          </w:tcPr>
          <w:p w14:paraId="1F919359" w14:textId="77777777" w:rsidR="00005A00" w:rsidRPr="00256982" w:rsidRDefault="00005A00" w:rsidP="008F2C93">
            <w:pPr>
              <w:pStyle w:val="TableText"/>
              <w:rPr>
                <w:lang w:eastAsia="en-NZ"/>
              </w:rPr>
            </w:pPr>
            <w:r w:rsidRPr="00256982">
              <w:rPr>
                <w:lang w:eastAsia="en-NZ"/>
              </w:rPr>
              <w:t xml:space="preserve">Range of </w:t>
            </w:r>
            <w:r w:rsidRPr="00256982">
              <w:rPr>
                <w:lang w:eastAsia="en-NZ"/>
              </w:rPr>
              <w:br/>
              <w:t>1.0–14.9</w:t>
            </w:r>
          </w:p>
        </w:tc>
        <w:tc>
          <w:tcPr>
            <w:tcW w:w="1832" w:type="dxa"/>
            <w:tcBorders>
              <w:top w:val="single" w:sz="4" w:space="0" w:color="365F91"/>
              <w:bottom w:val="single" w:sz="4" w:space="0" w:color="365F91"/>
            </w:tcBorders>
          </w:tcPr>
          <w:p w14:paraId="2ECE820B" w14:textId="77777777" w:rsidR="00005A00" w:rsidRPr="00256982" w:rsidRDefault="00005A00" w:rsidP="008F2C93">
            <w:pPr>
              <w:pStyle w:val="TableText"/>
              <w:rPr>
                <w:lang w:eastAsia="en-NZ"/>
              </w:rPr>
            </w:pPr>
            <w:r w:rsidRPr="00256982">
              <w:rPr>
                <w:lang w:eastAsia="en-NZ"/>
              </w:rPr>
              <w:t>New Zealand specific</w:t>
            </w:r>
          </w:p>
        </w:tc>
        <w:tc>
          <w:tcPr>
            <w:tcW w:w="2268" w:type="dxa"/>
            <w:tcBorders>
              <w:top w:val="single" w:sz="4" w:space="0" w:color="365F91"/>
              <w:bottom w:val="single" w:sz="4" w:space="0" w:color="365F91"/>
              <w:right w:val="nil"/>
            </w:tcBorders>
          </w:tcPr>
          <w:p w14:paraId="435FA920" w14:textId="77777777" w:rsidR="00005A00" w:rsidRPr="00256982" w:rsidRDefault="00005A00" w:rsidP="008F2C93">
            <w:pPr>
              <w:pStyle w:val="TableText"/>
              <w:rPr>
                <w:highlight w:val="yellow"/>
                <w:lang w:eastAsia="en-NZ"/>
              </w:rPr>
            </w:pPr>
            <w:r w:rsidRPr="00256982">
              <w:rPr>
                <w:lang w:eastAsia="en-NZ"/>
              </w:rPr>
              <w:t>Beca Infrastructure Ltd (unpublished)</w:t>
            </w:r>
          </w:p>
        </w:tc>
      </w:tr>
      <w:tr w:rsidR="00005A00" w:rsidRPr="00256982" w14:paraId="6444ABB3" w14:textId="77777777" w:rsidTr="00AA14F1">
        <w:tc>
          <w:tcPr>
            <w:tcW w:w="2887" w:type="dxa"/>
            <w:tcBorders>
              <w:top w:val="single" w:sz="4" w:space="0" w:color="365F91"/>
              <w:left w:val="nil"/>
              <w:bottom w:val="single" w:sz="4" w:space="0" w:color="365F91"/>
            </w:tcBorders>
          </w:tcPr>
          <w:p w14:paraId="2D843648" w14:textId="77777777" w:rsidR="00005A00" w:rsidRPr="00256982" w:rsidRDefault="00005A00" w:rsidP="008F2C93">
            <w:pPr>
              <w:pStyle w:val="TableText"/>
              <w:rPr>
                <w:color w:val="000000"/>
                <w:lang w:eastAsia="en-NZ"/>
              </w:rPr>
            </w:pPr>
            <w:r w:rsidRPr="00256982">
              <w:rPr>
                <w:color w:val="000000"/>
                <w:lang w:eastAsia="en-NZ"/>
              </w:rPr>
              <w:t>Maximum methane producing capacity (kg CH</w:t>
            </w:r>
            <w:r w:rsidRPr="00256982">
              <w:rPr>
                <w:color w:val="000000"/>
                <w:vertAlign w:val="subscript"/>
                <w:lang w:eastAsia="en-NZ"/>
              </w:rPr>
              <w:t>4</w:t>
            </w:r>
            <w:r w:rsidRPr="00256982">
              <w:rPr>
                <w:color w:val="000000"/>
                <w:lang w:eastAsia="en-NZ"/>
              </w:rPr>
              <w:t>/kg BOD)</w:t>
            </w:r>
          </w:p>
        </w:tc>
        <w:tc>
          <w:tcPr>
            <w:tcW w:w="1518" w:type="dxa"/>
            <w:tcBorders>
              <w:top w:val="single" w:sz="4" w:space="0" w:color="365F91"/>
              <w:bottom w:val="single" w:sz="4" w:space="0" w:color="365F91"/>
            </w:tcBorders>
          </w:tcPr>
          <w:p w14:paraId="44232F90" w14:textId="77777777" w:rsidR="00005A00" w:rsidRPr="00256982" w:rsidRDefault="00005A00" w:rsidP="008F2C93">
            <w:pPr>
              <w:pStyle w:val="TableText"/>
              <w:rPr>
                <w:lang w:eastAsia="en-NZ"/>
              </w:rPr>
            </w:pPr>
            <w:r w:rsidRPr="00256982">
              <w:rPr>
                <w:lang w:eastAsia="en-NZ"/>
              </w:rPr>
              <w:t>0.625</w:t>
            </w:r>
          </w:p>
        </w:tc>
        <w:tc>
          <w:tcPr>
            <w:tcW w:w="1832" w:type="dxa"/>
            <w:tcBorders>
              <w:top w:val="single" w:sz="4" w:space="0" w:color="365F91"/>
              <w:bottom w:val="single" w:sz="4" w:space="0" w:color="365F91"/>
            </w:tcBorders>
          </w:tcPr>
          <w:p w14:paraId="14E48520" w14:textId="77777777" w:rsidR="00005A00" w:rsidRPr="00256982" w:rsidRDefault="00005A00" w:rsidP="008F2C93">
            <w:pPr>
              <w:pStyle w:val="TableText"/>
              <w:rPr>
                <w:lang w:eastAsia="en-NZ"/>
              </w:rPr>
            </w:pPr>
            <w:r w:rsidRPr="00256982">
              <w:rPr>
                <w:lang w:eastAsia="en-NZ"/>
              </w:rPr>
              <w:t>New Zealand specific</w:t>
            </w:r>
          </w:p>
        </w:tc>
        <w:tc>
          <w:tcPr>
            <w:tcW w:w="2268" w:type="dxa"/>
            <w:tcBorders>
              <w:top w:val="single" w:sz="4" w:space="0" w:color="365F91"/>
              <w:bottom w:val="single" w:sz="4" w:space="0" w:color="365F91"/>
              <w:right w:val="nil"/>
            </w:tcBorders>
          </w:tcPr>
          <w:p w14:paraId="1DD3DFFD" w14:textId="77777777" w:rsidR="00005A00" w:rsidRPr="00256982" w:rsidRDefault="00005A00" w:rsidP="008F2C93">
            <w:pPr>
              <w:pStyle w:val="TableText"/>
              <w:rPr>
                <w:lang w:eastAsia="en-NZ"/>
              </w:rPr>
            </w:pPr>
            <w:r w:rsidRPr="00256982">
              <w:rPr>
                <w:lang w:eastAsia="en-NZ"/>
              </w:rPr>
              <w:t>SCS Wetherill Environmental (unpublished)</w:t>
            </w:r>
          </w:p>
        </w:tc>
      </w:tr>
    </w:tbl>
    <w:p w14:paraId="397BD41C" w14:textId="77777777" w:rsidR="00005A00" w:rsidRPr="00256982" w:rsidRDefault="00005A00" w:rsidP="00005A00">
      <w:pPr>
        <w:pStyle w:val="Heading6"/>
        <w:spacing w:before="360"/>
      </w:pPr>
      <w:r w:rsidRPr="00256982">
        <w:rPr>
          <w:lang w:eastAsia="en-NZ"/>
        </w:rPr>
        <w:t>Methane correction factors for handling systems</w:t>
      </w:r>
    </w:p>
    <w:p w14:paraId="5E850718" w14:textId="77777777" w:rsidR="00005A00" w:rsidRPr="00256982" w:rsidRDefault="00005A00" w:rsidP="00005A00">
      <w:pPr>
        <w:pStyle w:val="BodyText"/>
      </w:pPr>
      <w:r w:rsidRPr="00256982">
        <w:t xml:space="preserve">Methane correction factors for the different handling systems in New Zealand were estimated by SCS Wetherill Environmental (unpublished). These factors range from zero up to 0.65 for the different types of anaerobic treatment. The different treatment types are added together, weighted by the population for each type of treatment, to give an aggregated </w:t>
      </w:r>
      <w:r w:rsidRPr="00256982">
        <w:rPr>
          <w:color w:val="000000"/>
          <w:lang w:eastAsia="en-NZ"/>
        </w:rPr>
        <w:t>CH</w:t>
      </w:r>
      <w:r w:rsidRPr="00256982">
        <w:rPr>
          <w:color w:val="000000"/>
          <w:vertAlign w:val="subscript"/>
          <w:lang w:eastAsia="en-NZ"/>
        </w:rPr>
        <w:t>4</w:t>
      </w:r>
      <w:r w:rsidRPr="00256982">
        <w:t xml:space="preserve"> correction factor ranging between 0.032 and 0.043. Table 7.5.2 shows the aggregate </w:t>
      </w:r>
      <w:r w:rsidRPr="00256982">
        <w:rPr>
          <w:color w:val="000000"/>
          <w:lang w:eastAsia="en-NZ"/>
        </w:rPr>
        <w:t>CH</w:t>
      </w:r>
      <w:r w:rsidRPr="00256982">
        <w:rPr>
          <w:color w:val="000000"/>
          <w:vertAlign w:val="subscript"/>
          <w:lang w:eastAsia="en-NZ"/>
        </w:rPr>
        <w:t>4</w:t>
      </w:r>
      <w:r w:rsidRPr="00256982">
        <w:t xml:space="preserve"> correction factor applied across the time series.</w:t>
      </w:r>
    </w:p>
    <w:p w14:paraId="306E0427" w14:textId="77777777" w:rsidR="00005A00" w:rsidRPr="00256982" w:rsidRDefault="00005A00" w:rsidP="00005A00">
      <w:pPr>
        <w:pStyle w:val="Heading6"/>
        <w:rPr>
          <w:lang w:eastAsia="en-NZ"/>
        </w:rPr>
      </w:pPr>
      <w:r w:rsidRPr="00256982">
        <w:rPr>
          <w:lang w:eastAsia="en-NZ"/>
        </w:rPr>
        <w:t>Adjustments to biochemical oxygen demand</w:t>
      </w:r>
    </w:p>
    <w:p w14:paraId="07A21D3F" w14:textId="77777777" w:rsidR="00005A00" w:rsidRPr="00256982" w:rsidRDefault="00005A00" w:rsidP="00005A00">
      <w:pPr>
        <w:pStyle w:val="BodyText"/>
        <w:rPr>
          <w:spacing w:val="-2"/>
        </w:rPr>
      </w:pPr>
      <w:r w:rsidRPr="00256982">
        <w:rPr>
          <w:spacing w:val="-2"/>
        </w:rPr>
        <w:t xml:space="preserve">New Zealand uses a value of 26 kilograms </w:t>
      </w:r>
      <w:r w:rsidRPr="00256982">
        <w:rPr>
          <w:spacing w:val="-2"/>
          <w:lang w:eastAsia="en-NZ"/>
        </w:rPr>
        <w:t>biochemical oxygen demand</w:t>
      </w:r>
      <w:r w:rsidRPr="00256982">
        <w:rPr>
          <w:spacing w:val="-2"/>
        </w:rPr>
        <w:t xml:space="preserve"> (BOD) per person per year. This is equivalent to the IPCC high-range default value for the Oceania region of about 70 grams per person per day (IPCC, 2006a). This value has been determined as a typical value for wastewater treatment methods adopted in New Zealand (Beca Infrastructure Ltd, unpublished).</w:t>
      </w:r>
    </w:p>
    <w:p w14:paraId="71489B87" w14:textId="0D45D27A" w:rsidR="00005A00" w:rsidRPr="00256982" w:rsidRDefault="00005A00" w:rsidP="00005A00">
      <w:pPr>
        <w:pStyle w:val="BodyText"/>
      </w:pPr>
      <w:r w:rsidRPr="00256982">
        <w:t>This value has been increased by 25 per cent for most treatment plants, to allow for the additional wastewater tha</w:t>
      </w:r>
      <w:r w:rsidR="008F2C93" w:rsidRPr="00256982">
        <w:t xml:space="preserve">t they take from commercial and </w:t>
      </w:r>
      <w:r w:rsidRPr="00256982">
        <w:t>industrial activity within the</w:t>
      </w:r>
      <w:r w:rsidR="008F2C93" w:rsidRPr="00256982">
        <w:t xml:space="preserve"> </w:t>
      </w:r>
      <w:r w:rsidRPr="00256982">
        <w:t>municipal area. Ten of the treatm</w:t>
      </w:r>
      <w:r w:rsidR="008F2C93" w:rsidRPr="00256982">
        <w:t xml:space="preserve">ent plants have been identified as accepting much larger </w:t>
      </w:r>
      <w:r w:rsidRPr="00256982">
        <w:t>amounts of industrial and/or commercial wastewater. The correction factor for BOD for these plants ranges from 77 per cent to 1,390 per cent above the amount of domestic wastewater (Beca Infrastructure Ltd, unpublished). No adjustment to the BOD is made for septic tanks.</w:t>
      </w:r>
    </w:p>
    <w:p w14:paraId="0983793D" w14:textId="77777777" w:rsidR="00005A00" w:rsidRPr="00256982" w:rsidRDefault="00005A00" w:rsidP="00005A00">
      <w:pPr>
        <w:pStyle w:val="Heading6"/>
        <w:rPr>
          <w:lang w:eastAsia="en-NZ"/>
        </w:rPr>
      </w:pPr>
      <w:r w:rsidRPr="00256982">
        <w:rPr>
          <w:lang w:eastAsia="en-NZ"/>
        </w:rPr>
        <w:t>Recovery</w:t>
      </w:r>
    </w:p>
    <w:p w14:paraId="13CEE1EB" w14:textId="77777777" w:rsidR="00005A00" w:rsidRPr="00256982" w:rsidRDefault="00005A00" w:rsidP="00005A00">
      <w:pPr>
        <w:pStyle w:val="BodyText"/>
      </w:pPr>
      <w:r w:rsidRPr="00256982">
        <w:t>Methane removal via flaring or for energy production is known to occur at eight plants in New Zealand. All CH</w:t>
      </w:r>
      <w:r w:rsidRPr="00256982">
        <w:rPr>
          <w:vertAlign w:val="subscript"/>
        </w:rPr>
        <w:t>4</w:t>
      </w:r>
      <w:r w:rsidRPr="00256982">
        <w:t xml:space="preserve"> generated at these plants is flared or used for energy production and, consequently, there are no reported CH</w:t>
      </w:r>
      <w:r w:rsidRPr="00256982">
        <w:rPr>
          <w:vertAlign w:val="subscript"/>
        </w:rPr>
        <w:t>4</w:t>
      </w:r>
      <w:r w:rsidRPr="00256982">
        <w:t xml:space="preserve"> emissions for those plants (Beca Infrastructure Ltd, unpublished).</w:t>
      </w:r>
    </w:p>
    <w:p w14:paraId="02BDB62A" w14:textId="77777777" w:rsidR="00005A00" w:rsidRPr="00256982" w:rsidRDefault="00005A00" w:rsidP="00005A00">
      <w:pPr>
        <w:pStyle w:val="Heading5"/>
      </w:pPr>
      <w:r w:rsidRPr="00256982">
        <w:t xml:space="preserve">Nitrous oxide emissions from domestic wastewater </w:t>
      </w:r>
    </w:p>
    <w:p w14:paraId="430208CE" w14:textId="77777777" w:rsidR="00005A00" w:rsidRPr="00256982" w:rsidRDefault="00005A00" w:rsidP="00005A00">
      <w:pPr>
        <w:pStyle w:val="BodyText"/>
        <w:rPr>
          <w:lang w:eastAsia="en-NZ"/>
        </w:rPr>
      </w:pPr>
      <w:r w:rsidRPr="00256982">
        <w:t>Table 7.5.7 provides a summary of the parameter values applied for estimating N</w:t>
      </w:r>
      <w:r w:rsidRPr="00256982">
        <w:rPr>
          <w:vertAlign w:val="subscript"/>
        </w:rPr>
        <w:t>2</w:t>
      </w:r>
      <w:r w:rsidRPr="00256982">
        <w:t>O emissions from domestic and commercial wastewater treatment.</w:t>
      </w:r>
    </w:p>
    <w:p w14:paraId="40188C5F" w14:textId="77777777" w:rsidR="00005A00" w:rsidRPr="00256982" w:rsidRDefault="00005A00" w:rsidP="00005A00">
      <w:pPr>
        <w:pStyle w:val="Table"/>
      </w:pPr>
      <w:bookmarkStart w:id="2391" w:name="_Toc444001628"/>
      <w:bookmarkStart w:id="2392" w:name="_Toc451176180"/>
      <w:bookmarkStart w:id="2393" w:name="_Toc481751610"/>
      <w:bookmarkStart w:id="2394" w:name="_Toc508019337"/>
      <w:bookmarkStart w:id="2395" w:name="_Toc511116835"/>
      <w:bookmarkStart w:id="2396" w:name="_Toc5269584"/>
      <w:r w:rsidRPr="00256982">
        <w:t>Table 7.5.7</w:t>
      </w:r>
      <w:r w:rsidRPr="00256982">
        <w:tab/>
        <w:t>Parameter values applied by New Zealand for estimating nitrous oxide emissions</w:t>
      </w:r>
      <w:r w:rsidRPr="00256982">
        <w:br/>
        <w:t>from domestic and commercial wastewater treatment</w:t>
      </w:r>
      <w:bookmarkEnd w:id="2391"/>
      <w:bookmarkEnd w:id="2392"/>
      <w:bookmarkEnd w:id="2393"/>
      <w:bookmarkEnd w:id="2394"/>
      <w:bookmarkEnd w:id="2395"/>
      <w:bookmarkEnd w:id="2396"/>
      <w:r w:rsidRPr="00256982">
        <w:t xml:space="preserve"> </w:t>
      </w:r>
    </w:p>
    <w:tbl>
      <w:tblPr>
        <w:tblW w:w="8505" w:type="dxa"/>
        <w:tblInd w:w="108" w:type="dxa"/>
        <w:tblLook w:val="04A0" w:firstRow="1" w:lastRow="0" w:firstColumn="1" w:lastColumn="0" w:noHBand="0" w:noVBand="1"/>
      </w:tblPr>
      <w:tblGrid>
        <w:gridCol w:w="3923"/>
        <w:gridCol w:w="898"/>
        <w:gridCol w:w="1947"/>
        <w:gridCol w:w="1737"/>
      </w:tblGrid>
      <w:tr w:rsidR="00005A00" w:rsidRPr="00256982" w14:paraId="3B5F33CD" w14:textId="77777777" w:rsidTr="00AA14F1">
        <w:trPr>
          <w:tblHeader/>
        </w:trPr>
        <w:tc>
          <w:tcPr>
            <w:tcW w:w="3714" w:type="dxa"/>
            <w:tcBorders>
              <w:top w:val="single" w:sz="4" w:space="0" w:color="365F91"/>
              <w:left w:val="nil"/>
              <w:bottom w:val="single" w:sz="4" w:space="0" w:color="365F91"/>
            </w:tcBorders>
            <w:shd w:val="clear" w:color="auto" w:fill="365F91"/>
          </w:tcPr>
          <w:p w14:paraId="08CDF893" w14:textId="77777777" w:rsidR="00005A00" w:rsidRPr="00256982" w:rsidRDefault="00005A00" w:rsidP="008F2C93">
            <w:pPr>
              <w:pStyle w:val="TableTextBold"/>
              <w:rPr>
                <w:noProof w:val="0"/>
                <w:color w:val="FFFFFF"/>
                <w:lang w:eastAsia="en-NZ"/>
              </w:rPr>
            </w:pPr>
            <w:r w:rsidRPr="00256982">
              <w:rPr>
                <w:noProof w:val="0"/>
                <w:color w:val="FFFFFF"/>
                <w:lang w:eastAsia="en-NZ"/>
              </w:rPr>
              <w:t>Parameter</w:t>
            </w:r>
          </w:p>
        </w:tc>
        <w:tc>
          <w:tcPr>
            <w:tcW w:w="850" w:type="dxa"/>
            <w:tcBorders>
              <w:top w:val="single" w:sz="4" w:space="0" w:color="365F91"/>
              <w:bottom w:val="single" w:sz="4" w:space="0" w:color="365F91"/>
            </w:tcBorders>
            <w:shd w:val="clear" w:color="auto" w:fill="365F91"/>
          </w:tcPr>
          <w:p w14:paraId="60C5CDA2" w14:textId="77777777" w:rsidR="00005A00" w:rsidRPr="00256982" w:rsidRDefault="00005A00" w:rsidP="008F2C93">
            <w:pPr>
              <w:pStyle w:val="TableTextBold"/>
              <w:rPr>
                <w:noProof w:val="0"/>
                <w:color w:val="FFFFFF"/>
                <w:lang w:eastAsia="en-NZ"/>
              </w:rPr>
            </w:pPr>
            <w:r w:rsidRPr="00256982">
              <w:rPr>
                <w:noProof w:val="0"/>
                <w:color w:val="FFFFFF"/>
                <w:lang w:eastAsia="en-NZ"/>
              </w:rPr>
              <w:t>Value</w:t>
            </w:r>
          </w:p>
        </w:tc>
        <w:tc>
          <w:tcPr>
            <w:tcW w:w="1843" w:type="dxa"/>
            <w:tcBorders>
              <w:top w:val="single" w:sz="4" w:space="0" w:color="365F91"/>
              <w:bottom w:val="single" w:sz="4" w:space="0" w:color="365F91"/>
            </w:tcBorders>
            <w:shd w:val="clear" w:color="auto" w:fill="365F91"/>
          </w:tcPr>
          <w:p w14:paraId="1F6E9C77" w14:textId="77777777" w:rsidR="00005A00" w:rsidRPr="00256982" w:rsidRDefault="00005A00" w:rsidP="008F2C93">
            <w:pPr>
              <w:pStyle w:val="TableTextBold"/>
              <w:rPr>
                <w:noProof w:val="0"/>
                <w:color w:val="FFFFFF"/>
                <w:lang w:eastAsia="en-NZ"/>
              </w:rPr>
            </w:pPr>
            <w:r w:rsidRPr="00256982">
              <w:rPr>
                <w:noProof w:val="0"/>
                <w:color w:val="FFFFFF"/>
                <w:lang w:eastAsia="en-NZ"/>
              </w:rPr>
              <w:t>Source</w:t>
            </w:r>
          </w:p>
        </w:tc>
        <w:tc>
          <w:tcPr>
            <w:tcW w:w="1644" w:type="dxa"/>
            <w:tcBorders>
              <w:top w:val="single" w:sz="4" w:space="0" w:color="365F91"/>
              <w:bottom w:val="single" w:sz="4" w:space="0" w:color="365F91"/>
              <w:right w:val="nil"/>
            </w:tcBorders>
            <w:shd w:val="clear" w:color="auto" w:fill="365F91"/>
          </w:tcPr>
          <w:p w14:paraId="7175482F" w14:textId="77777777" w:rsidR="00005A00" w:rsidRPr="00256982" w:rsidRDefault="00005A00" w:rsidP="008F2C93">
            <w:pPr>
              <w:pStyle w:val="TableTextBold"/>
              <w:rPr>
                <w:noProof w:val="0"/>
                <w:color w:val="FFFFFF"/>
                <w:lang w:eastAsia="en-NZ"/>
              </w:rPr>
            </w:pPr>
            <w:r w:rsidRPr="00256982">
              <w:rPr>
                <w:noProof w:val="0"/>
                <w:color w:val="FFFFFF"/>
                <w:lang w:eastAsia="en-NZ"/>
              </w:rPr>
              <w:t>Reference</w:t>
            </w:r>
          </w:p>
        </w:tc>
      </w:tr>
      <w:tr w:rsidR="00005A00" w:rsidRPr="00256982" w14:paraId="277614D2" w14:textId="77777777" w:rsidTr="00AA14F1">
        <w:tc>
          <w:tcPr>
            <w:tcW w:w="3714" w:type="dxa"/>
            <w:tcBorders>
              <w:top w:val="single" w:sz="4" w:space="0" w:color="365F91"/>
              <w:left w:val="nil"/>
              <w:bottom w:val="single" w:sz="4" w:space="0" w:color="365F91"/>
            </w:tcBorders>
          </w:tcPr>
          <w:p w14:paraId="4E531BB5" w14:textId="77777777" w:rsidR="00005A00" w:rsidRPr="00256982" w:rsidRDefault="00005A00" w:rsidP="008F2C93">
            <w:pPr>
              <w:pStyle w:val="TableText"/>
              <w:rPr>
                <w:lang w:eastAsia="en-NZ"/>
              </w:rPr>
            </w:pPr>
            <w:r w:rsidRPr="00256982">
              <w:rPr>
                <w:lang w:eastAsia="en-NZ"/>
              </w:rPr>
              <w:t>Per capita protein consumption (kg/person/year)</w:t>
            </w:r>
          </w:p>
        </w:tc>
        <w:tc>
          <w:tcPr>
            <w:tcW w:w="850" w:type="dxa"/>
            <w:tcBorders>
              <w:top w:val="single" w:sz="4" w:space="0" w:color="365F91"/>
              <w:bottom w:val="single" w:sz="4" w:space="0" w:color="365F91"/>
            </w:tcBorders>
          </w:tcPr>
          <w:p w14:paraId="655ADF98" w14:textId="77777777" w:rsidR="00005A00" w:rsidRPr="00256982" w:rsidRDefault="00005A00" w:rsidP="008F2C93">
            <w:pPr>
              <w:pStyle w:val="TableText"/>
              <w:rPr>
                <w:lang w:eastAsia="en-NZ"/>
              </w:rPr>
            </w:pPr>
            <w:r w:rsidRPr="00256982">
              <w:rPr>
                <w:lang w:eastAsia="en-NZ"/>
              </w:rPr>
              <w:t>36.135</w:t>
            </w:r>
          </w:p>
        </w:tc>
        <w:tc>
          <w:tcPr>
            <w:tcW w:w="1843" w:type="dxa"/>
            <w:tcBorders>
              <w:top w:val="single" w:sz="4" w:space="0" w:color="365F91"/>
              <w:bottom w:val="single" w:sz="4" w:space="0" w:color="365F91"/>
            </w:tcBorders>
          </w:tcPr>
          <w:p w14:paraId="6A40B92F" w14:textId="77777777" w:rsidR="00005A00" w:rsidRPr="00256982" w:rsidRDefault="00005A00" w:rsidP="008F2C93">
            <w:pPr>
              <w:pStyle w:val="TableText"/>
              <w:rPr>
                <w:lang w:eastAsia="en-NZ"/>
              </w:rPr>
            </w:pPr>
            <w:r w:rsidRPr="00256982">
              <w:rPr>
                <w:lang w:eastAsia="en-NZ"/>
              </w:rPr>
              <w:t>New Zealand specific</w:t>
            </w:r>
          </w:p>
        </w:tc>
        <w:tc>
          <w:tcPr>
            <w:tcW w:w="1644" w:type="dxa"/>
            <w:tcBorders>
              <w:top w:val="single" w:sz="4" w:space="0" w:color="365F91"/>
              <w:bottom w:val="single" w:sz="4" w:space="0" w:color="365F91"/>
              <w:right w:val="nil"/>
            </w:tcBorders>
          </w:tcPr>
          <w:p w14:paraId="500D40A7" w14:textId="77777777" w:rsidR="00005A00" w:rsidRPr="00256982" w:rsidRDefault="00005A00" w:rsidP="008F2C93">
            <w:pPr>
              <w:pStyle w:val="TableText"/>
              <w:rPr>
                <w:lang w:eastAsia="en-NZ"/>
              </w:rPr>
            </w:pPr>
            <w:r w:rsidRPr="00256982">
              <w:rPr>
                <w:lang w:eastAsia="en-NZ"/>
              </w:rPr>
              <w:t xml:space="preserve">Beca </w:t>
            </w:r>
            <w:r w:rsidRPr="00256982">
              <w:t xml:space="preserve">Infrastructure Ltd </w:t>
            </w:r>
            <w:r w:rsidRPr="00256982">
              <w:rPr>
                <w:lang w:eastAsia="en-NZ"/>
              </w:rPr>
              <w:t>(unpublished)</w:t>
            </w:r>
          </w:p>
        </w:tc>
      </w:tr>
      <w:tr w:rsidR="00005A00" w:rsidRPr="00256982" w14:paraId="0FE929D8" w14:textId="77777777" w:rsidTr="00AA14F1">
        <w:tc>
          <w:tcPr>
            <w:tcW w:w="3714" w:type="dxa"/>
            <w:tcBorders>
              <w:top w:val="single" w:sz="4" w:space="0" w:color="365F91"/>
              <w:left w:val="nil"/>
              <w:bottom w:val="single" w:sz="4" w:space="0" w:color="365F91"/>
            </w:tcBorders>
          </w:tcPr>
          <w:p w14:paraId="78098112" w14:textId="77777777" w:rsidR="00005A00" w:rsidRPr="00256982" w:rsidRDefault="00005A00" w:rsidP="008F2C93">
            <w:pPr>
              <w:pStyle w:val="TableText"/>
              <w:rPr>
                <w:lang w:eastAsia="en-NZ"/>
              </w:rPr>
            </w:pPr>
            <w:r w:rsidRPr="00256982">
              <w:rPr>
                <w:lang w:eastAsia="en-NZ"/>
              </w:rPr>
              <w:t xml:space="preserve">Fraction of nitrogen in protein </w:t>
            </w:r>
          </w:p>
        </w:tc>
        <w:tc>
          <w:tcPr>
            <w:tcW w:w="850" w:type="dxa"/>
            <w:tcBorders>
              <w:top w:val="single" w:sz="4" w:space="0" w:color="365F91"/>
              <w:bottom w:val="single" w:sz="4" w:space="0" w:color="365F91"/>
            </w:tcBorders>
          </w:tcPr>
          <w:p w14:paraId="1FA98601" w14:textId="77777777" w:rsidR="00005A00" w:rsidRPr="00256982" w:rsidRDefault="00005A00" w:rsidP="008F2C93">
            <w:pPr>
              <w:pStyle w:val="TableText"/>
              <w:rPr>
                <w:lang w:eastAsia="en-NZ"/>
              </w:rPr>
            </w:pPr>
            <w:r w:rsidRPr="00256982">
              <w:rPr>
                <w:lang w:eastAsia="en-NZ"/>
              </w:rPr>
              <w:t>0.16</w:t>
            </w:r>
          </w:p>
        </w:tc>
        <w:tc>
          <w:tcPr>
            <w:tcW w:w="1843" w:type="dxa"/>
            <w:tcBorders>
              <w:top w:val="single" w:sz="4" w:space="0" w:color="365F91"/>
              <w:bottom w:val="single" w:sz="4" w:space="0" w:color="365F91"/>
            </w:tcBorders>
          </w:tcPr>
          <w:p w14:paraId="45868E95" w14:textId="77777777" w:rsidR="00005A00" w:rsidRPr="00256982" w:rsidRDefault="00005A00" w:rsidP="008F2C93">
            <w:pPr>
              <w:pStyle w:val="TableText"/>
              <w:rPr>
                <w:lang w:eastAsia="en-NZ"/>
              </w:rPr>
            </w:pPr>
            <w:r w:rsidRPr="00256982">
              <w:rPr>
                <w:lang w:eastAsia="en-NZ"/>
              </w:rPr>
              <w:t>IPCC default</w:t>
            </w:r>
          </w:p>
        </w:tc>
        <w:tc>
          <w:tcPr>
            <w:tcW w:w="1644" w:type="dxa"/>
            <w:tcBorders>
              <w:top w:val="single" w:sz="4" w:space="0" w:color="365F91"/>
              <w:bottom w:val="single" w:sz="4" w:space="0" w:color="365F91"/>
              <w:right w:val="nil"/>
            </w:tcBorders>
          </w:tcPr>
          <w:p w14:paraId="5618C923" w14:textId="77777777" w:rsidR="00005A00" w:rsidRPr="00256982" w:rsidRDefault="00005A00" w:rsidP="008F2C93">
            <w:pPr>
              <w:pStyle w:val="TableText"/>
              <w:rPr>
                <w:lang w:eastAsia="en-NZ"/>
              </w:rPr>
            </w:pPr>
            <w:r w:rsidRPr="00256982">
              <w:rPr>
                <w:lang w:eastAsia="en-NZ"/>
              </w:rPr>
              <w:t>IPCC (2006a)</w:t>
            </w:r>
          </w:p>
        </w:tc>
      </w:tr>
      <w:tr w:rsidR="00005A00" w:rsidRPr="00256982" w14:paraId="3E2DE003" w14:textId="77777777" w:rsidTr="00AA14F1">
        <w:tc>
          <w:tcPr>
            <w:tcW w:w="3714" w:type="dxa"/>
            <w:tcBorders>
              <w:top w:val="single" w:sz="4" w:space="0" w:color="365F91"/>
              <w:left w:val="nil"/>
              <w:bottom w:val="single" w:sz="4" w:space="0" w:color="365F91"/>
            </w:tcBorders>
          </w:tcPr>
          <w:p w14:paraId="7EF70D0B" w14:textId="77777777" w:rsidR="00005A00" w:rsidRPr="00256982" w:rsidRDefault="00005A00" w:rsidP="008F2C93">
            <w:pPr>
              <w:pStyle w:val="TableText"/>
              <w:rPr>
                <w:lang w:eastAsia="en-NZ"/>
              </w:rPr>
            </w:pPr>
            <w:r w:rsidRPr="00256982">
              <w:rPr>
                <w:lang w:eastAsia="en-NZ"/>
              </w:rPr>
              <w:t>Fraction of non-consumed protein</w:t>
            </w:r>
          </w:p>
        </w:tc>
        <w:tc>
          <w:tcPr>
            <w:tcW w:w="850" w:type="dxa"/>
            <w:tcBorders>
              <w:top w:val="single" w:sz="4" w:space="0" w:color="365F91"/>
              <w:bottom w:val="single" w:sz="4" w:space="0" w:color="365F91"/>
            </w:tcBorders>
          </w:tcPr>
          <w:p w14:paraId="66BC6D6F" w14:textId="77777777" w:rsidR="00005A00" w:rsidRPr="00256982" w:rsidRDefault="00005A00" w:rsidP="008F2C93">
            <w:pPr>
              <w:pStyle w:val="TableText"/>
              <w:rPr>
                <w:lang w:eastAsia="en-NZ"/>
              </w:rPr>
            </w:pPr>
            <w:r w:rsidRPr="00256982">
              <w:rPr>
                <w:lang w:eastAsia="en-NZ"/>
              </w:rPr>
              <w:t>1.4</w:t>
            </w:r>
          </w:p>
        </w:tc>
        <w:tc>
          <w:tcPr>
            <w:tcW w:w="1843" w:type="dxa"/>
            <w:tcBorders>
              <w:top w:val="single" w:sz="4" w:space="0" w:color="365F91"/>
              <w:bottom w:val="single" w:sz="4" w:space="0" w:color="365F91"/>
            </w:tcBorders>
          </w:tcPr>
          <w:p w14:paraId="65BF20B3" w14:textId="77777777" w:rsidR="00005A00" w:rsidRPr="00256982" w:rsidRDefault="00005A00" w:rsidP="008F2C93">
            <w:pPr>
              <w:pStyle w:val="TableText"/>
            </w:pPr>
            <w:r w:rsidRPr="00256982">
              <w:rPr>
                <w:lang w:eastAsia="en-NZ"/>
              </w:rPr>
              <w:t>IPCC default</w:t>
            </w:r>
          </w:p>
        </w:tc>
        <w:tc>
          <w:tcPr>
            <w:tcW w:w="1644" w:type="dxa"/>
            <w:tcBorders>
              <w:top w:val="single" w:sz="4" w:space="0" w:color="365F91"/>
              <w:bottom w:val="single" w:sz="4" w:space="0" w:color="365F91"/>
              <w:right w:val="nil"/>
            </w:tcBorders>
          </w:tcPr>
          <w:p w14:paraId="70566A03" w14:textId="77777777" w:rsidR="00005A00" w:rsidRPr="00256982" w:rsidRDefault="00005A00" w:rsidP="008F2C93">
            <w:pPr>
              <w:pStyle w:val="TableText"/>
            </w:pPr>
            <w:r w:rsidRPr="00256982">
              <w:rPr>
                <w:lang w:eastAsia="en-NZ"/>
              </w:rPr>
              <w:t>IPCC (2006a)</w:t>
            </w:r>
          </w:p>
        </w:tc>
      </w:tr>
      <w:tr w:rsidR="00005A00" w:rsidRPr="00256982" w14:paraId="28EB89AB" w14:textId="77777777" w:rsidTr="00AA14F1">
        <w:tc>
          <w:tcPr>
            <w:tcW w:w="3714" w:type="dxa"/>
            <w:tcBorders>
              <w:top w:val="single" w:sz="4" w:space="0" w:color="365F91"/>
              <w:left w:val="nil"/>
              <w:bottom w:val="single" w:sz="4" w:space="0" w:color="365F91"/>
            </w:tcBorders>
          </w:tcPr>
          <w:p w14:paraId="00F7B4BA" w14:textId="77777777" w:rsidR="00005A00" w:rsidRPr="00256982" w:rsidRDefault="00005A00" w:rsidP="008F2C93">
            <w:pPr>
              <w:pStyle w:val="TableText"/>
              <w:rPr>
                <w:lang w:eastAsia="en-NZ"/>
              </w:rPr>
            </w:pPr>
            <w:r w:rsidRPr="00256982">
              <w:rPr>
                <w:lang w:eastAsia="en-NZ"/>
              </w:rPr>
              <w:t>Fraction of industrial and commercial co</w:t>
            </w:r>
            <w:r w:rsidRPr="00256982">
              <w:rPr>
                <w:lang w:eastAsia="en-NZ"/>
              </w:rPr>
              <w:noBreakHyphen/>
              <w:t>discharged protein</w:t>
            </w:r>
          </w:p>
        </w:tc>
        <w:tc>
          <w:tcPr>
            <w:tcW w:w="850" w:type="dxa"/>
            <w:tcBorders>
              <w:top w:val="single" w:sz="4" w:space="0" w:color="365F91"/>
              <w:bottom w:val="single" w:sz="4" w:space="0" w:color="365F91"/>
            </w:tcBorders>
          </w:tcPr>
          <w:p w14:paraId="39DCEAAF" w14:textId="77777777" w:rsidR="00005A00" w:rsidRPr="00256982" w:rsidRDefault="00005A00" w:rsidP="008F2C93">
            <w:pPr>
              <w:pStyle w:val="TableText"/>
              <w:rPr>
                <w:lang w:eastAsia="en-NZ"/>
              </w:rPr>
            </w:pPr>
            <w:r w:rsidRPr="00256982">
              <w:rPr>
                <w:lang w:eastAsia="en-NZ"/>
              </w:rPr>
              <w:t>1.25</w:t>
            </w:r>
          </w:p>
        </w:tc>
        <w:tc>
          <w:tcPr>
            <w:tcW w:w="1843" w:type="dxa"/>
            <w:tcBorders>
              <w:top w:val="single" w:sz="4" w:space="0" w:color="365F91"/>
              <w:bottom w:val="single" w:sz="4" w:space="0" w:color="365F91"/>
            </w:tcBorders>
          </w:tcPr>
          <w:p w14:paraId="6B240E5E" w14:textId="77777777" w:rsidR="00005A00" w:rsidRPr="00256982" w:rsidRDefault="00005A00" w:rsidP="008F2C93">
            <w:pPr>
              <w:pStyle w:val="TableText"/>
            </w:pPr>
            <w:r w:rsidRPr="00256982">
              <w:rPr>
                <w:lang w:eastAsia="en-NZ"/>
              </w:rPr>
              <w:t>IPCC default</w:t>
            </w:r>
          </w:p>
        </w:tc>
        <w:tc>
          <w:tcPr>
            <w:tcW w:w="1644" w:type="dxa"/>
            <w:tcBorders>
              <w:top w:val="single" w:sz="4" w:space="0" w:color="365F91"/>
              <w:bottom w:val="single" w:sz="4" w:space="0" w:color="365F91"/>
              <w:right w:val="nil"/>
            </w:tcBorders>
          </w:tcPr>
          <w:p w14:paraId="61482CCC" w14:textId="77777777" w:rsidR="00005A00" w:rsidRPr="00256982" w:rsidRDefault="00005A00" w:rsidP="008F2C93">
            <w:pPr>
              <w:pStyle w:val="TableText"/>
            </w:pPr>
            <w:r w:rsidRPr="00256982">
              <w:rPr>
                <w:lang w:eastAsia="en-NZ"/>
              </w:rPr>
              <w:t>IPCC (2006a)</w:t>
            </w:r>
          </w:p>
        </w:tc>
      </w:tr>
      <w:tr w:rsidR="00005A00" w:rsidRPr="00256982" w14:paraId="2BD3AAC3" w14:textId="77777777" w:rsidTr="00AA14F1">
        <w:tc>
          <w:tcPr>
            <w:tcW w:w="3714" w:type="dxa"/>
            <w:tcBorders>
              <w:top w:val="single" w:sz="4" w:space="0" w:color="365F91"/>
              <w:left w:val="nil"/>
              <w:bottom w:val="single" w:sz="4" w:space="0" w:color="365F91"/>
            </w:tcBorders>
          </w:tcPr>
          <w:p w14:paraId="6F0D2CC0" w14:textId="77777777" w:rsidR="00005A00" w:rsidRPr="00256982" w:rsidRDefault="00005A00" w:rsidP="008F2C93">
            <w:pPr>
              <w:pStyle w:val="TableText"/>
              <w:rPr>
                <w:lang w:eastAsia="en-NZ"/>
              </w:rPr>
            </w:pPr>
            <w:r w:rsidRPr="00256982">
              <w:rPr>
                <w:lang w:eastAsia="en-NZ"/>
              </w:rPr>
              <w:t>Nitrogen removed with sludge (kg)</w:t>
            </w:r>
          </w:p>
        </w:tc>
        <w:tc>
          <w:tcPr>
            <w:tcW w:w="850" w:type="dxa"/>
            <w:tcBorders>
              <w:top w:val="single" w:sz="4" w:space="0" w:color="365F91"/>
              <w:bottom w:val="single" w:sz="4" w:space="0" w:color="365F91"/>
            </w:tcBorders>
          </w:tcPr>
          <w:p w14:paraId="677AB477" w14:textId="77777777" w:rsidR="00005A00" w:rsidRPr="00256982" w:rsidRDefault="00005A00" w:rsidP="008F2C93">
            <w:pPr>
              <w:pStyle w:val="TableText"/>
              <w:rPr>
                <w:lang w:eastAsia="en-NZ"/>
              </w:rPr>
            </w:pPr>
            <w:r w:rsidRPr="00256982">
              <w:rPr>
                <w:lang w:eastAsia="en-NZ"/>
              </w:rPr>
              <w:t>0</w:t>
            </w:r>
          </w:p>
        </w:tc>
        <w:tc>
          <w:tcPr>
            <w:tcW w:w="1843" w:type="dxa"/>
            <w:tcBorders>
              <w:top w:val="single" w:sz="4" w:space="0" w:color="365F91"/>
              <w:bottom w:val="single" w:sz="4" w:space="0" w:color="365F91"/>
            </w:tcBorders>
          </w:tcPr>
          <w:p w14:paraId="696A16AA" w14:textId="77777777" w:rsidR="00005A00" w:rsidRPr="00256982" w:rsidRDefault="00005A00" w:rsidP="008F2C93">
            <w:pPr>
              <w:pStyle w:val="TableText"/>
            </w:pPr>
            <w:r w:rsidRPr="00256982">
              <w:rPr>
                <w:lang w:eastAsia="en-NZ"/>
              </w:rPr>
              <w:t>IPCC default</w:t>
            </w:r>
          </w:p>
        </w:tc>
        <w:tc>
          <w:tcPr>
            <w:tcW w:w="1644" w:type="dxa"/>
            <w:tcBorders>
              <w:top w:val="single" w:sz="4" w:space="0" w:color="365F91"/>
              <w:bottom w:val="single" w:sz="4" w:space="0" w:color="365F91"/>
              <w:right w:val="nil"/>
            </w:tcBorders>
          </w:tcPr>
          <w:p w14:paraId="25F46501" w14:textId="77777777" w:rsidR="00005A00" w:rsidRPr="00256982" w:rsidRDefault="00005A00" w:rsidP="008F2C93">
            <w:pPr>
              <w:pStyle w:val="TableText"/>
            </w:pPr>
            <w:r w:rsidRPr="00256982">
              <w:rPr>
                <w:lang w:eastAsia="en-NZ"/>
              </w:rPr>
              <w:t>IPCC (2006a)</w:t>
            </w:r>
          </w:p>
        </w:tc>
      </w:tr>
      <w:tr w:rsidR="00005A00" w:rsidRPr="00256982" w14:paraId="27BD223C" w14:textId="77777777" w:rsidTr="00AA14F1">
        <w:tc>
          <w:tcPr>
            <w:tcW w:w="3714" w:type="dxa"/>
            <w:tcBorders>
              <w:top w:val="single" w:sz="4" w:space="0" w:color="365F91"/>
              <w:left w:val="nil"/>
              <w:bottom w:val="single" w:sz="4" w:space="0" w:color="365F91"/>
            </w:tcBorders>
          </w:tcPr>
          <w:p w14:paraId="724AB4AF" w14:textId="77777777" w:rsidR="00005A00" w:rsidRPr="00256982" w:rsidRDefault="00005A00" w:rsidP="008F2C93">
            <w:pPr>
              <w:pStyle w:val="TableText"/>
              <w:rPr>
                <w:lang w:eastAsia="en-NZ"/>
              </w:rPr>
            </w:pPr>
            <w:r w:rsidRPr="00256982">
              <w:rPr>
                <w:lang w:eastAsia="en-NZ"/>
              </w:rPr>
              <w:t>Emission factor</w:t>
            </w:r>
          </w:p>
        </w:tc>
        <w:tc>
          <w:tcPr>
            <w:tcW w:w="850" w:type="dxa"/>
            <w:tcBorders>
              <w:top w:val="single" w:sz="4" w:space="0" w:color="365F91"/>
              <w:bottom w:val="single" w:sz="4" w:space="0" w:color="365F91"/>
            </w:tcBorders>
          </w:tcPr>
          <w:p w14:paraId="3702801B" w14:textId="77777777" w:rsidR="00005A00" w:rsidRPr="00256982" w:rsidRDefault="00005A00" w:rsidP="008F2C93">
            <w:pPr>
              <w:pStyle w:val="TableText"/>
              <w:rPr>
                <w:lang w:eastAsia="en-NZ"/>
              </w:rPr>
            </w:pPr>
            <w:r w:rsidRPr="00256982">
              <w:rPr>
                <w:lang w:eastAsia="en-NZ"/>
              </w:rPr>
              <w:t>0.005</w:t>
            </w:r>
          </w:p>
        </w:tc>
        <w:tc>
          <w:tcPr>
            <w:tcW w:w="1843" w:type="dxa"/>
            <w:tcBorders>
              <w:top w:val="single" w:sz="4" w:space="0" w:color="365F91"/>
              <w:bottom w:val="single" w:sz="4" w:space="0" w:color="365F91"/>
            </w:tcBorders>
          </w:tcPr>
          <w:p w14:paraId="75F96040" w14:textId="77777777" w:rsidR="00005A00" w:rsidRPr="00256982" w:rsidRDefault="00005A00" w:rsidP="008F2C93">
            <w:pPr>
              <w:pStyle w:val="TableText"/>
            </w:pPr>
            <w:r w:rsidRPr="00256982">
              <w:rPr>
                <w:lang w:eastAsia="en-NZ"/>
              </w:rPr>
              <w:t>IPCC default</w:t>
            </w:r>
          </w:p>
        </w:tc>
        <w:tc>
          <w:tcPr>
            <w:tcW w:w="1644" w:type="dxa"/>
            <w:tcBorders>
              <w:top w:val="single" w:sz="4" w:space="0" w:color="365F91"/>
              <w:bottom w:val="single" w:sz="4" w:space="0" w:color="365F91"/>
              <w:right w:val="nil"/>
            </w:tcBorders>
          </w:tcPr>
          <w:p w14:paraId="7AEE6C49" w14:textId="77777777" w:rsidR="00005A00" w:rsidRPr="00256982" w:rsidRDefault="00005A00" w:rsidP="008F2C93">
            <w:pPr>
              <w:pStyle w:val="TableText"/>
            </w:pPr>
            <w:r w:rsidRPr="00256982">
              <w:rPr>
                <w:lang w:eastAsia="en-NZ"/>
              </w:rPr>
              <w:t>IPCC (2006a)</w:t>
            </w:r>
          </w:p>
        </w:tc>
      </w:tr>
      <w:tr w:rsidR="00005A00" w:rsidRPr="00256982" w14:paraId="61C878BD" w14:textId="77777777" w:rsidTr="00AA14F1">
        <w:tc>
          <w:tcPr>
            <w:tcW w:w="3714" w:type="dxa"/>
            <w:tcBorders>
              <w:top w:val="single" w:sz="4" w:space="0" w:color="365F91"/>
              <w:left w:val="nil"/>
              <w:bottom w:val="single" w:sz="4" w:space="0" w:color="365F91"/>
            </w:tcBorders>
          </w:tcPr>
          <w:p w14:paraId="1DD71910" w14:textId="77777777" w:rsidR="00005A00" w:rsidRPr="00256982" w:rsidRDefault="00005A00" w:rsidP="008F2C93">
            <w:pPr>
              <w:pStyle w:val="TableText"/>
              <w:rPr>
                <w:lang w:eastAsia="en-NZ"/>
              </w:rPr>
            </w:pPr>
            <w:r w:rsidRPr="00256982">
              <w:rPr>
                <w:lang w:eastAsia="en-NZ"/>
              </w:rPr>
              <w:t>Emissions from wastewater treatment plants</w:t>
            </w:r>
          </w:p>
        </w:tc>
        <w:tc>
          <w:tcPr>
            <w:tcW w:w="850" w:type="dxa"/>
            <w:tcBorders>
              <w:top w:val="single" w:sz="4" w:space="0" w:color="365F91"/>
              <w:bottom w:val="single" w:sz="4" w:space="0" w:color="365F91"/>
            </w:tcBorders>
          </w:tcPr>
          <w:p w14:paraId="5FE9364E" w14:textId="77777777" w:rsidR="00005A00" w:rsidRPr="00256982" w:rsidRDefault="00005A00" w:rsidP="008F2C93">
            <w:pPr>
              <w:pStyle w:val="TableText"/>
              <w:rPr>
                <w:lang w:eastAsia="en-NZ"/>
              </w:rPr>
            </w:pPr>
            <w:r w:rsidRPr="00256982">
              <w:rPr>
                <w:lang w:eastAsia="en-NZ"/>
              </w:rPr>
              <w:t>0</w:t>
            </w:r>
          </w:p>
        </w:tc>
        <w:tc>
          <w:tcPr>
            <w:tcW w:w="1843" w:type="dxa"/>
            <w:tcBorders>
              <w:top w:val="single" w:sz="4" w:space="0" w:color="365F91"/>
              <w:bottom w:val="single" w:sz="4" w:space="0" w:color="365F91"/>
            </w:tcBorders>
          </w:tcPr>
          <w:p w14:paraId="10D530B8" w14:textId="77777777" w:rsidR="00005A00" w:rsidRPr="00256982" w:rsidRDefault="00005A00" w:rsidP="008F2C93">
            <w:pPr>
              <w:pStyle w:val="TableText"/>
            </w:pPr>
            <w:r w:rsidRPr="00256982">
              <w:rPr>
                <w:lang w:eastAsia="en-NZ"/>
              </w:rPr>
              <w:t>IPCC default</w:t>
            </w:r>
          </w:p>
        </w:tc>
        <w:tc>
          <w:tcPr>
            <w:tcW w:w="1644" w:type="dxa"/>
            <w:tcBorders>
              <w:top w:val="single" w:sz="4" w:space="0" w:color="365F91"/>
              <w:bottom w:val="single" w:sz="4" w:space="0" w:color="365F91"/>
              <w:right w:val="nil"/>
            </w:tcBorders>
          </w:tcPr>
          <w:p w14:paraId="5DBAC946" w14:textId="77777777" w:rsidR="00005A00" w:rsidRPr="00256982" w:rsidRDefault="00005A00" w:rsidP="008F2C93">
            <w:pPr>
              <w:pStyle w:val="TableText"/>
            </w:pPr>
            <w:r w:rsidRPr="00256982">
              <w:rPr>
                <w:lang w:eastAsia="en-NZ"/>
              </w:rPr>
              <w:t>IPCC (2006a)</w:t>
            </w:r>
          </w:p>
        </w:tc>
      </w:tr>
    </w:tbl>
    <w:p w14:paraId="62CCE398" w14:textId="77777777" w:rsidR="00005A00" w:rsidRPr="00256982" w:rsidRDefault="00005A00" w:rsidP="00005A00">
      <w:pPr>
        <w:pStyle w:val="BodyText"/>
        <w:spacing w:before="240"/>
      </w:pPr>
      <w:r w:rsidRPr="00256982">
        <w:t>A value of 36.135 kilograms of protein per person per year is used. This figure was the maximum value reported by New Zealand to the Food and Agriculture Organization.</w:t>
      </w:r>
    </w:p>
    <w:p w14:paraId="69441E80" w14:textId="77777777" w:rsidR="00005A00" w:rsidRPr="00256982" w:rsidRDefault="00005A00" w:rsidP="00005A00">
      <w:pPr>
        <w:pStyle w:val="Heading6"/>
        <w:spacing w:before="160"/>
        <w:rPr>
          <w:lang w:eastAsia="en-NZ"/>
        </w:rPr>
      </w:pPr>
      <w:r w:rsidRPr="00256982">
        <w:rPr>
          <w:lang w:eastAsia="en-NZ"/>
        </w:rPr>
        <w:t>Recovery</w:t>
      </w:r>
    </w:p>
    <w:p w14:paraId="7552FDFF" w14:textId="77777777" w:rsidR="00005A00" w:rsidRPr="00256982" w:rsidRDefault="00005A00" w:rsidP="00005A00">
      <w:pPr>
        <w:pStyle w:val="BodyText"/>
      </w:pPr>
      <w:r w:rsidRPr="00256982">
        <w:t xml:space="preserve">There is no recovery of emissions reported for this source. </w:t>
      </w:r>
    </w:p>
    <w:p w14:paraId="0BE71640" w14:textId="77777777" w:rsidR="00005A00" w:rsidRPr="00256982" w:rsidRDefault="00005A00" w:rsidP="00005A00">
      <w:pPr>
        <w:pStyle w:val="Heading4"/>
        <w:rPr>
          <w:lang w:eastAsia="en-NZ"/>
        </w:rPr>
      </w:pPr>
      <w:r w:rsidRPr="00256982">
        <w:rPr>
          <w:lang w:eastAsia="en-NZ"/>
        </w:rPr>
        <w:t>Industrial wastewater (5.D.2)</w:t>
      </w:r>
    </w:p>
    <w:p w14:paraId="3B4D5D68" w14:textId="77777777" w:rsidR="00005A00" w:rsidRPr="00256982" w:rsidRDefault="00005A00" w:rsidP="00005A00">
      <w:pPr>
        <w:pStyle w:val="Heading5"/>
        <w:spacing w:before="160"/>
      </w:pPr>
      <w:r w:rsidRPr="00256982">
        <w:t>Methane emissions from industrial wastewater treatment – Meat industry</w:t>
      </w:r>
    </w:p>
    <w:p w14:paraId="2205358D" w14:textId="77777777" w:rsidR="00005A00" w:rsidRPr="00256982" w:rsidRDefault="00005A00" w:rsidP="00005A00">
      <w:pPr>
        <w:pStyle w:val="BodyText"/>
      </w:pPr>
      <w:r w:rsidRPr="00256982">
        <w:t>Table 7.5.8 provides a summary of the parameter values applied for estimating CH</w:t>
      </w:r>
      <w:r w:rsidRPr="00256982">
        <w:rPr>
          <w:vertAlign w:val="subscript"/>
        </w:rPr>
        <w:t>4</w:t>
      </w:r>
      <w:r w:rsidRPr="00256982">
        <w:t xml:space="preserve"> emissions from wastewater treatment by the meat industry.</w:t>
      </w:r>
    </w:p>
    <w:p w14:paraId="3CE422BD" w14:textId="77777777" w:rsidR="00005A00" w:rsidRPr="00256982" w:rsidRDefault="00005A00" w:rsidP="00005A00">
      <w:pPr>
        <w:pStyle w:val="Table"/>
      </w:pPr>
      <w:bookmarkStart w:id="2397" w:name="_Toc321399253"/>
      <w:bookmarkStart w:id="2398" w:name="_Toc444001629"/>
      <w:bookmarkStart w:id="2399" w:name="_Toc451176181"/>
      <w:bookmarkStart w:id="2400" w:name="_Toc481751611"/>
      <w:bookmarkStart w:id="2401" w:name="_Toc508019338"/>
      <w:bookmarkStart w:id="2402" w:name="_Toc511116836"/>
      <w:bookmarkStart w:id="2403" w:name="_Toc5269585"/>
      <w:r w:rsidRPr="00256982">
        <w:t>Table 7.5.8</w:t>
      </w:r>
      <w:r w:rsidRPr="00256982">
        <w:tab/>
        <w:t>Parameter values applied by New Zealand for estimating methane emissions</w:t>
      </w:r>
      <w:r w:rsidRPr="00256982">
        <w:br/>
        <w:t>from wastewater treatment by the meat industry</w:t>
      </w:r>
      <w:bookmarkEnd w:id="2397"/>
      <w:bookmarkEnd w:id="2398"/>
      <w:bookmarkEnd w:id="2399"/>
      <w:bookmarkEnd w:id="2400"/>
      <w:bookmarkEnd w:id="2401"/>
      <w:bookmarkEnd w:id="2402"/>
      <w:bookmarkEnd w:id="2403"/>
    </w:p>
    <w:tbl>
      <w:tblPr>
        <w:tblW w:w="8562" w:type="dxa"/>
        <w:tblInd w:w="108" w:type="dxa"/>
        <w:tblLook w:val="04A0" w:firstRow="1" w:lastRow="0" w:firstColumn="1" w:lastColumn="0" w:noHBand="0" w:noVBand="1"/>
      </w:tblPr>
      <w:tblGrid>
        <w:gridCol w:w="2570"/>
        <w:gridCol w:w="1426"/>
        <w:gridCol w:w="1855"/>
        <w:gridCol w:w="2711"/>
      </w:tblGrid>
      <w:tr w:rsidR="00005A00" w:rsidRPr="00256982" w14:paraId="249EF971" w14:textId="77777777" w:rsidTr="00250ABA">
        <w:tc>
          <w:tcPr>
            <w:tcW w:w="2552" w:type="dxa"/>
            <w:tcBorders>
              <w:top w:val="single" w:sz="4" w:space="0" w:color="365F91"/>
              <w:left w:val="nil"/>
              <w:bottom w:val="single" w:sz="4" w:space="0" w:color="365F91"/>
            </w:tcBorders>
            <w:shd w:val="clear" w:color="auto" w:fill="365F91"/>
          </w:tcPr>
          <w:p w14:paraId="17156F33" w14:textId="77777777" w:rsidR="00005A00" w:rsidRPr="00256982" w:rsidRDefault="00005A00" w:rsidP="00AA14F1">
            <w:pPr>
              <w:pStyle w:val="TableTextBold"/>
              <w:keepNext/>
              <w:spacing w:before="40" w:after="40"/>
              <w:rPr>
                <w:noProof w:val="0"/>
                <w:color w:val="FFFFFF"/>
                <w:lang w:eastAsia="en-NZ"/>
              </w:rPr>
            </w:pPr>
            <w:r w:rsidRPr="00256982">
              <w:rPr>
                <w:noProof w:val="0"/>
                <w:color w:val="FFFFFF"/>
                <w:lang w:eastAsia="en-NZ"/>
              </w:rPr>
              <w:t>Parameter</w:t>
            </w:r>
          </w:p>
        </w:tc>
        <w:tc>
          <w:tcPr>
            <w:tcW w:w="1417" w:type="dxa"/>
            <w:tcBorders>
              <w:top w:val="single" w:sz="4" w:space="0" w:color="365F91"/>
              <w:bottom w:val="single" w:sz="4" w:space="0" w:color="365F91"/>
            </w:tcBorders>
            <w:shd w:val="clear" w:color="auto" w:fill="365F91"/>
          </w:tcPr>
          <w:p w14:paraId="2C57B665" w14:textId="77777777" w:rsidR="00005A00" w:rsidRPr="00256982" w:rsidRDefault="00005A00" w:rsidP="00AA14F1">
            <w:pPr>
              <w:pStyle w:val="TableTextBold"/>
              <w:keepNext/>
              <w:spacing w:before="40" w:after="40"/>
              <w:rPr>
                <w:noProof w:val="0"/>
                <w:color w:val="FFFFFF"/>
                <w:lang w:eastAsia="en-NZ"/>
              </w:rPr>
            </w:pPr>
            <w:r w:rsidRPr="00256982">
              <w:rPr>
                <w:noProof w:val="0"/>
                <w:color w:val="FFFFFF"/>
                <w:lang w:eastAsia="en-NZ"/>
              </w:rPr>
              <w:t>Value</w:t>
            </w:r>
          </w:p>
        </w:tc>
        <w:tc>
          <w:tcPr>
            <w:tcW w:w="1843" w:type="dxa"/>
            <w:tcBorders>
              <w:top w:val="single" w:sz="4" w:space="0" w:color="365F91"/>
              <w:bottom w:val="single" w:sz="4" w:space="0" w:color="365F91"/>
            </w:tcBorders>
            <w:shd w:val="clear" w:color="auto" w:fill="365F91"/>
          </w:tcPr>
          <w:p w14:paraId="3BFD0361" w14:textId="77777777" w:rsidR="00005A00" w:rsidRPr="00256982" w:rsidRDefault="00005A00" w:rsidP="00AA14F1">
            <w:pPr>
              <w:pStyle w:val="TableTextBold"/>
              <w:keepNext/>
              <w:spacing w:before="40" w:after="40"/>
              <w:rPr>
                <w:noProof w:val="0"/>
                <w:color w:val="FFFFFF"/>
                <w:lang w:eastAsia="en-NZ"/>
              </w:rPr>
            </w:pPr>
            <w:r w:rsidRPr="00256982">
              <w:rPr>
                <w:noProof w:val="0"/>
                <w:color w:val="FFFFFF"/>
                <w:lang w:eastAsia="en-NZ"/>
              </w:rPr>
              <w:t>Source</w:t>
            </w:r>
          </w:p>
        </w:tc>
        <w:tc>
          <w:tcPr>
            <w:tcW w:w="2693" w:type="dxa"/>
            <w:tcBorders>
              <w:top w:val="single" w:sz="4" w:space="0" w:color="365F91"/>
              <w:bottom w:val="single" w:sz="4" w:space="0" w:color="365F91"/>
              <w:right w:val="nil"/>
            </w:tcBorders>
            <w:shd w:val="clear" w:color="auto" w:fill="365F91"/>
          </w:tcPr>
          <w:p w14:paraId="74776D09" w14:textId="77777777" w:rsidR="00005A00" w:rsidRPr="00256982" w:rsidRDefault="00005A00" w:rsidP="00AA14F1">
            <w:pPr>
              <w:pStyle w:val="TableTextBold"/>
              <w:keepNext/>
              <w:spacing w:before="40" w:after="40"/>
              <w:rPr>
                <w:noProof w:val="0"/>
                <w:color w:val="FFFFFF"/>
                <w:lang w:eastAsia="en-NZ"/>
              </w:rPr>
            </w:pPr>
            <w:r w:rsidRPr="00256982">
              <w:rPr>
                <w:noProof w:val="0"/>
                <w:color w:val="FFFFFF"/>
                <w:lang w:eastAsia="en-NZ"/>
              </w:rPr>
              <w:t>Reference</w:t>
            </w:r>
          </w:p>
        </w:tc>
      </w:tr>
      <w:tr w:rsidR="00005A00" w:rsidRPr="00256982" w14:paraId="566A11B2" w14:textId="77777777" w:rsidTr="00250ABA">
        <w:tc>
          <w:tcPr>
            <w:tcW w:w="2552" w:type="dxa"/>
            <w:tcBorders>
              <w:top w:val="single" w:sz="4" w:space="0" w:color="365F91"/>
              <w:left w:val="nil"/>
              <w:bottom w:val="single" w:sz="4" w:space="0" w:color="365F91"/>
            </w:tcBorders>
          </w:tcPr>
          <w:p w14:paraId="01D4319B" w14:textId="77777777" w:rsidR="00005A00" w:rsidRPr="00256982" w:rsidRDefault="00005A00" w:rsidP="008F2C93">
            <w:pPr>
              <w:pStyle w:val="TableText"/>
              <w:keepNext/>
              <w:rPr>
                <w:lang w:eastAsia="en-NZ"/>
              </w:rPr>
            </w:pPr>
            <w:r w:rsidRPr="00256982">
              <w:rPr>
                <w:lang w:eastAsia="en-NZ"/>
              </w:rPr>
              <w:t>Degradable organic component (kg COD/tonne of product)</w:t>
            </w:r>
          </w:p>
        </w:tc>
        <w:tc>
          <w:tcPr>
            <w:tcW w:w="1417" w:type="dxa"/>
            <w:tcBorders>
              <w:top w:val="single" w:sz="4" w:space="0" w:color="365F91"/>
              <w:bottom w:val="single" w:sz="4" w:space="0" w:color="365F91"/>
            </w:tcBorders>
          </w:tcPr>
          <w:p w14:paraId="447FBAB6" w14:textId="77777777" w:rsidR="00005A00" w:rsidRPr="00256982" w:rsidRDefault="00005A00" w:rsidP="008F2C93">
            <w:pPr>
              <w:pStyle w:val="TableText"/>
              <w:keepNext/>
              <w:rPr>
                <w:lang w:eastAsia="en-NZ"/>
              </w:rPr>
            </w:pPr>
            <w:r w:rsidRPr="00256982">
              <w:rPr>
                <w:lang w:eastAsia="en-NZ"/>
              </w:rPr>
              <w:t>50</w:t>
            </w:r>
          </w:p>
        </w:tc>
        <w:tc>
          <w:tcPr>
            <w:tcW w:w="1843" w:type="dxa"/>
            <w:tcBorders>
              <w:top w:val="single" w:sz="4" w:space="0" w:color="365F91"/>
              <w:bottom w:val="single" w:sz="4" w:space="0" w:color="365F91"/>
            </w:tcBorders>
          </w:tcPr>
          <w:p w14:paraId="732AA2D2" w14:textId="77777777" w:rsidR="00005A00" w:rsidRPr="00256982" w:rsidRDefault="00005A00" w:rsidP="008F2C93">
            <w:pPr>
              <w:pStyle w:val="TableText"/>
              <w:keepNext/>
              <w:rPr>
                <w:lang w:eastAsia="en-NZ"/>
              </w:rPr>
            </w:pPr>
            <w:r w:rsidRPr="00256982">
              <w:rPr>
                <w:lang w:eastAsia="en-NZ"/>
              </w:rPr>
              <w:t>New Zealand specific</w:t>
            </w:r>
          </w:p>
        </w:tc>
        <w:tc>
          <w:tcPr>
            <w:tcW w:w="2693" w:type="dxa"/>
            <w:tcBorders>
              <w:top w:val="single" w:sz="4" w:space="0" w:color="365F91"/>
              <w:bottom w:val="single" w:sz="4" w:space="0" w:color="365F91"/>
              <w:right w:val="nil"/>
            </w:tcBorders>
          </w:tcPr>
          <w:p w14:paraId="45B546CD" w14:textId="77777777" w:rsidR="00005A00" w:rsidRPr="00256982" w:rsidRDefault="00005A00" w:rsidP="008F2C93">
            <w:pPr>
              <w:pStyle w:val="TableText"/>
              <w:keepNext/>
              <w:rPr>
                <w:lang w:eastAsia="en-NZ"/>
              </w:rPr>
            </w:pPr>
            <w:r w:rsidRPr="00256982">
              <w:rPr>
                <w:lang w:eastAsia="en-NZ"/>
              </w:rPr>
              <w:t>SCS Wetherill Environmental (unpublished)</w:t>
            </w:r>
          </w:p>
        </w:tc>
      </w:tr>
      <w:tr w:rsidR="00005A00" w:rsidRPr="00256982" w14:paraId="58C5A15C" w14:textId="77777777" w:rsidTr="00250ABA">
        <w:tc>
          <w:tcPr>
            <w:tcW w:w="2552" w:type="dxa"/>
            <w:tcBorders>
              <w:top w:val="single" w:sz="4" w:space="0" w:color="365F91"/>
              <w:left w:val="nil"/>
              <w:bottom w:val="single" w:sz="4" w:space="0" w:color="365F91"/>
            </w:tcBorders>
          </w:tcPr>
          <w:p w14:paraId="3E35B0BB" w14:textId="77777777" w:rsidR="00005A00" w:rsidRPr="00256982" w:rsidRDefault="00005A00" w:rsidP="008F2C93">
            <w:pPr>
              <w:pStyle w:val="TableText"/>
              <w:keepNext/>
              <w:rPr>
                <w:lang w:eastAsia="en-NZ"/>
              </w:rPr>
            </w:pPr>
            <w:r w:rsidRPr="00256982">
              <w:rPr>
                <w:lang w:eastAsia="en-NZ"/>
              </w:rPr>
              <w:t>Methane correction factor</w:t>
            </w:r>
          </w:p>
        </w:tc>
        <w:tc>
          <w:tcPr>
            <w:tcW w:w="1417" w:type="dxa"/>
            <w:tcBorders>
              <w:top w:val="single" w:sz="4" w:space="0" w:color="365F91"/>
              <w:bottom w:val="single" w:sz="4" w:space="0" w:color="365F91"/>
            </w:tcBorders>
          </w:tcPr>
          <w:p w14:paraId="2CC9D252" w14:textId="77777777" w:rsidR="00005A00" w:rsidRPr="00256982" w:rsidRDefault="00005A00" w:rsidP="008F2C93">
            <w:pPr>
              <w:pStyle w:val="TableText"/>
              <w:keepNext/>
              <w:rPr>
                <w:lang w:eastAsia="en-NZ"/>
              </w:rPr>
            </w:pPr>
            <w:r w:rsidRPr="00256982">
              <w:rPr>
                <w:lang w:eastAsia="en-NZ"/>
              </w:rPr>
              <w:t>Range of 0–0.55</w:t>
            </w:r>
          </w:p>
        </w:tc>
        <w:tc>
          <w:tcPr>
            <w:tcW w:w="1843" w:type="dxa"/>
            <w:tcBorders>
              <w:top w:val="single" w:sz="4" w:space="0" w:color="365F91"/>
              <w:bottom w:val="single" w:sz="4" w:space="0" w:color="365F91"/>
            </w:tcBorders>
          </w:tcPr>
          <w:p w14:paraId="55966C34" w14:textId="77777777" w:rsidR="00005A00" w:rsidRPr="00256982" w:rsidRDefault="00005A00" w:rsidP="008F2C93">
            <w:pPr>
              <w:pStyle w:val="TableText"/>
              <w:keepNext/>
              <w:rPr>
                <w:lang w:eastAsia="en-NZ"/>
              </w:rPr>
            </w:pPr>
            <w:r w:rsidRPr="00256982">
              <w:rPr>
                <w:lang w:eastAsia="en-NZ"/>
              </w:rPr>
              <w:t>New Zealand specific</w:t>
            </w:r>
          </w:p>
        </w:tc>
        <w:tc>
          <w:tcPr>
            <w:tcW w:w="2693" w:type="dxa"/>
            <w:tcBorders>
              <w:top w:val="single" w:sz="4" w:space="0" w:color="365F91"/>
              <w:bottom w:val="single" w:sz="4" w:space="0" w:color="365F91"/>
              <w:right w:val="nil"/>
            </w:tcBorders>
          </w:tcPr>
          <w:p w14:paraId="06C1ED9F" w14:textId="77777777" w:rsidR="00005A00" w:rsidRPr="00256982" w:rsidRDefault="00005A00" w:rsidP="008F2C93">
            <w:pPr>
              <w:pStyle w:val="TableText"/>
              <w:keepNext/>
              <w:rPr>
                <w:lang w:eastAsia="en-NZ"/>
              </w:rPr>
            </w:pPr>
            <w:r w:rsidRPr="00256982">
              <w:rPr>
                <w:lang w:eastAsia="en-NZ"/>
              </w:rPr>
              <w:t>SCS Wetherill Environmental (unpublished)</w:t>
            </w:r>
          </w:p>
        </w:tc>
      </w:tr>
      <w:tr w:rsidR="00005A00" w:rsidRPr="00256982" w14:paraId="52720513" w14:textId="77777777" w:rsidTr="00250ABA">
        <w:tc>
          <w:tcPr>
            <w:tcW w:w="2552" w:type="dxa"/>
            <w:tcBorders>
              <w:top w:val="single" w:sz="4" w:space="0" w:color="365F91"/>
              <w:left w:val="nil"/>
              <w:bottom w:val="single" w:sz="4" w:space="0" w:color="365F91"/>
            </w:tcBorders>
          </w:tcPr>
          <w:p w14:paraId="30CC33E5" w14:textId="77777777" w:rsidR="00005A00" w:rsidRPr="00256982" w:rsidRDefault="00005A00" w:rsidP="008F2C93">
            <w:pPr>
              <w:pStyle w:val="TableText"/>
              <w:rPr>
                <w:lang w:eastAsia="en-NZ"/>
              </w:rPr>
            </w:pPr>
            <w:r w:rsidRPr="00256982">
              <w:rPr>
                <w:lang w:eastAsia="en-NZ"/>
              </w:rPr>
              <w:t xml:space="preserve">Maximum </w:t>
            </w:r>
            <w:r w:rsidRPr="00256982">
              <w:t>CH</w:t>
            </w:r>
            <w:r w:rsidRPr="00256982">
              <w:rPr>
                <w:vertAlign w:val="subscript"/>
              </w:rPr>
              <w:t>4</w:t>
            </w:r>
            <w:r w:rsidRPr="00256982">
              <w:rPr>
                <w:lang w:eastAsia="en-NZ"/>
              </w:rPr>
              <w:t>-producing capacity (kg CH</w:t>
            </w:r>
            <w:r w:rsidRPr="00256982">
              <w:rPr>
                <w:vertAlign w:val="subscript"/>
                <w:lang w:eastAsia="en-NZ"/>
              </w:rPr>
              <w:t>4</w:t>
            </w:r>
            <w:r w:rsidRPr="00256982">
              <w:rPr>
                <w:lang w:eastAsia="en-NZ"/>
              </w:rPr>
              <w:t>/kg COD)</w:t>
            </w:r>
          </w:p>
        </w:tc>
        <w:tc>
          <w:tcPr>
            <w:tcW w:w="1417" w:type="dxa"/>
            <w:tcBorders>
              <w:top w:val="single" w:sz="4" w:space="0" w:color="365F91"/>
              <w:bottom w:val="single" w:sz="4" w:space="0" w:color="365F91"/>
            </w:tcBorders>
          </w:tcPr>
          <w:p w14:paraId="24EF9A21" w14:textId="77777777" w:rsidR="00005A00" w:rsidRPr="00256982" w:rsidRDefault="00005A00" w:rsidP="008F2C93">
            <w:pPr>
              <w:pStyle w:val="TableText"/>
              <w:rPr>
                <w:lang w:eastAsia="en-NZ"/>
              </w:rPr>
            </w:pPr>
            <w:r w:rsidRPr="00256982">
              <w:rPr>
                <w:lang w:eastAsia="en-NZ"/>
              </w:rPr>
              <w:t>0.25</w:t>
            </w:r>
          </w:p>
        </w:tc>
        <w:tc>
          <w:tcPr>
            <w:tcW w:w="1843" w:type="dxa"/>
            <w:tcBorders>
              <w:top w:val="single" w:sz="4" w:space="0" w:color="365F91"/>
              <w:bottom w:val="single" w:sz="4" w:space="0" w:color="365F91"/>
            </w:tcBorders>
          </w:tcPr>
          <w:p w14:paraId="16F8B7D6" w14:textId="77777777" w:rsidR="00005A00" w:rsidRPr="00256982" w:rsidRDefault="00005A00" w:rsidP="008F2C93">
            <w:pPr>
              <w:pStyle w:val="TableText"/>
              <w:rPr>
                <w:highlight w:val="yellow"/>
                <w:lang w:eastAsia="en-NZ"/>
              </w:rPr>
            </w:pPr>
            <w:r w:rsidRPr="00256982">
              <w:rPr>
                <w:lang w:eastAsia="en-NZ"/>
              </w:rPr>
              <w:t>IPCC default</w:t>
            </w:r>
          </w:p>
        </w:tc>
        <w:tc>
          <w:tcPr>
            <w:tcW w:w="2693" w:type="dxa"/>
            <w:tcBorders>
              <w:top w:val="single" w:sz="4" w:space="0" w:color="365F91"/>
              <w:bottom w:val="single" w:sz="4" w:space="0" w:color="365F91"/>
              <w:right w:val="nil"/>
            </w:tcBorders>
          </w:tcPr>
          <w:p w14:paraId="5EB14A08" w14:textId="77777777" w:rsidR="00005A00" w:rsidRPr="00256982" w:rsidRDefault="00005A00" w:rsidP="008F2C93">
            <w:pPr>
              <w:pStyle w:val="TableText"/>
              <w:rPr>
                <w:highlight w:val="yellow"/>
                <w:lang w:eastAsia="en-NZ"/>
              </w:rPr>
            </w:pPr>
            <w:r w:rsidRPr="00256982">
              <w:rPr>
                <w:lang w:eastAsia="en-NZ"/>
              </w:rPr>
              <w:t xml:space="preserve">IPCC (2006) </w:t>
            </w:r>
          </w:p>
        </w:tc>
      </w:tr>
      <w:tr w:rsidR="00005A00" w:rsidRPr="00256982" w14:paraId="564C8BD6" w14:textId="77777777" w:rsidTr="00250ABA">
        <w:tc>
          <w:tcPr>
            <w:tcW w:w="2552" w:type="dxa"/>
            <w:tcBorders>
              <w:top w:val="single" w:sz="4" w:space="0" w:color="365F91"/>
              <w:left w:val="nil"/>
              <w:bottom w:val="single" w:sz="4" w:space="0" w:color="365F91"/>
            </w:tcBorders>
          </w:tcPr>
          <w:p w14:paraId="7B398084" w14:textId="77777777" w:rsidR="00005A00" w:rsidRPr="00256982" w:rsidRDefault="00005A00" w:rsidP="008F2C93">
            <w:pPr>
              <w:pStyle w:val="TableText"/>
              <w:rPr>
                <w:lang w:eastAsia="en-NZ"/>
              </w:rPr>
            </w:pPr>
            <w:r w:rsidRPr="00256982">
              <w:rPr>
                <w:lang w:eastAsia="en-NZ"/>
              </w:rPr>
              <w:t>Overall emission factor</w:t>
            </w:r>
          </w:p>
        </w:tc>
        <w:tc>
          <w:tcPr>
            <w:tcW w:w="1417" w:type="dxa"/>
            <w:tcBorders>
              <w:top w:val="single" w:sz="4" w:space="0" w:color="365F91"/>
              <w:bottom w:val="single" w:sz="4" w:space="0" w:color="365F91"/>
            </w:tcBorders>
          </w:tcPr>
          <w:p w14:paraId="68044741" w14:textId="77777777" w:rsidR="00005A00" w:rsidRPr="00256982" w:rsidRDefault="00005A00" w:rsidP="008F2C93">
            <w:pPr>
              <w:pStyle w:val="TableText"/>
              <w:rPr>
                <w:lang w:eastAsia="en-NZ"/>
              </w:rPr>
            </w:pPr>
            <w:r w:rsidRPr="00256982">
              <w:rPr>
                <w:lang w:eastAsia="en-NZ"/>
              </w:rPr>
              <w:t>0.0344</w:t>
            </w:r>
          </w:p>
        </w:tc>
        <w:tc>
          <w:tcPr>
            <w:tcW w:w="1843" w:type="dxa"/>
            <w:tcBorders>
              <w:top w:val="single" w:sz="4" w:space="0" w:color="365F91"/>
              <w:bottom w:val="single" w:sz="4" w:space="0" w:color="365F91"/>
            </w:tcBorders>
          </w:tcPr>
          <w:p w14:paraId="072E79D5" w14:textId="77777777" w:rsidR="00005A00" w:rsidRPr="00256982" w:rsidRDefault="00005A00" w:rsidP="008F2C93">
            <w:pPr>
              <w:pStyle w:val="TableText"/>
              <w:rPr>
                <w:lang w:eastAsia="en-NZ"/>
              </w:rPr>
            </w:pPr>
            <w:r w:rsidRPr="00256982">
              <w:rPr>
                <w:lang w:eastAsia="en-NZ"/>
              </w:rPr>
              <w:t>New Zealand specific</w:t>
            </w:r>
          </w:p>
        </w:tc>
        <w:tc>
          <w:tcPr>
            <w:tcW w:w="2693" w:type="dxa"/>
            <w:tcBorders>
              <w:top w:val="single" w:sz="4" w:space="0" w:color="365F91"/>
              <w:bottom w:val="single" w:sz="4" w:space="0" w:color="365F91"/>
              <w:right w:val="nil"/>
            </w:tcBorders>
          </w:tcPr>
          <w:p w14:paraId="1D04A577" w14:textId="77777777" w:rsidR="00005A00" w:rsidRPr="00256982" w:rsidRDefault="00005A00" w:rsidP="008F2C93">
            <w:pPr>
              <w:pStyle w:val="TableText"/>
              <w:rPr>
                <w:lang w:eastAsia="en-NZ"/>
              </w:rPr>
            </w:pPr>
            <w:r w:rsidRPr="00256982">
              <w:rPr>
                <w:lang w:eastAsia="en-NZ"/>
              </w:rPr>
              <w:t>Cardno (unpublished)</w:t>
            </w:r>
          </w:p>
        </w:tc>
      </w:tr>
    </w:tbl>
    <w:p w14:paraId="519D8721" w14:textId="77777777" w:rsidR="00005A00" w:rsidRPr="00256982" w:rsidRDefault="00005A00" w:rsidP="00005A00">
      <w:pPr>
        <w:pStyle w:val="Noteundertable"/>
      </w:pPr>
      <w:r w:rsidRPr="00256982">
        <w:rPr>
          <w:b/>
          <w:lang w:eastAsia="en-NZ"/>
        </w:rPr>
        <w:t>Note:</w:t>
      </w:r>
      <w:r w:rsidRPr="00256982">
        <w:rPr>
          <w:lang w:eastAsia="en-NZ"/>
        </w:rPr>
        <w:t xml:space="preserve"> </w:t>
      </w:r>
      <w:r w:rsidRPr="00256982">
        <w:rPr>
          <w:lang w:eastAsia="en-NZ"/>
        </w:rPr>
        <w:tab/>
        <w:t>COD = chemical oxygen demand.</w:t>
      </w:r>
    </w:p>
    <w:p w14:paraId="2355D688" w14:textId="77777777" w:rsidR="00005A00" w:rsidRPr="00256982" w:rsidRDefault="00005A00" w:rsidP="00E6662E">
      <w:pPr>
        <w:pStyle w:val="Heading6"/>
        <w:spacing w:before="120"/>
      </w:pPr>
      <w:r w:rsidRPr="00256982">
        <w:rPr>
          <w:lang w:eastAsia="en-NZ"/>
        </w:rPr>
        <w:t>Recovery</w:t>
      </w:r>
    </w:p>
    <w:p w14:paraId="2F13D535" w14:textId="77777777" w:rsidR="00005A00" w:rsidRPr="00256982" w:rsidRDefault="00005A00" w:rsidP="00E33731">
      <w:pPr>
        <w:pStyle w:val="BodyText"/>
        <w:spacing w:after="0"/>
        <w:rPr>
          <w:lang w:eastAsia="en-NZ"/>
        </w:rPr>
      </w:pPr>
      <w:r w:rsidRPr="00256982">
        <w:rPr>
          <w:lang w:eastAsia="en-NZ"/>
        </w:rPr>
        <w:t xml:space="preserve">There is no recovery of emissions reported for this source. </w:t>
      </w:r>
    </w:p>
    <w:p w14:paraId="26E715C4" w14:textId="77777777" w:rsidR="00005A00" w:rsidRPr="00256982" w:rsidRDefault="00005A00" w:rsidP="00005A00">
      <w:pPr>
        <w:pStyle w:val="Heading5"/>
      </w:pPr>
      <w:r w:rsidRPr="00256982">
        <w:t>Methane emissions from industrial wastewater treatment – Pulp and paper</w:t>
      </w:r>
    </w:p>
    <w:p w14:paraId="0A3ACCEF" w14:textId="77777777" w:rsidR="00005A00" w:rsidRPr="00256982" w:rsidRDefault="00005A00" w:rsidP="00005A00">
      <w:pPr>
        <w:pStyle w:val="BodyText"/>
      </w:pPr>
      <w:r w:rsidRPr="00256982">
        <w:t>Table 7.5.9 provides a summary of the parameter values applied for estimating CH</w:t>
      </w:r>
      <w:r w:rsidRPr="00256982">
        <w:rPr>
          <w:vertAlign w:val="subscript"/>
        </w:rPr>
        <w:t>4</w:t>
      </w:r>
      <w:r w:rsidRPr="00256982">
        <w:t xml:space="preserve"> emissions from wastewater treatment by the pulp and paper industry.</w:t>
      </w:r>
    </w:p>
    <w:p w14:paraId="0CD4A04E" w14:textId="77777777" w:rsidR="00005A00" w:rsidRPr="00256982" w:rsidRDefault="00005A00" w:rsidP="00005A00">
      <w:pPr>
        <w:pStyle w:val="Table"/>
      </w:pPr>
      <w:bookmarkStart w:id="2404" w:name="_Toc321399254"/>
      <w:bookmarkStart w:id="2405" w:name="_Toc444001630"/>
      <w:bookmarkStart w:id="2406" w:name="_Toc451176182"/>
      <w:bookmarkStart w:id="2407" w:name="_Toc481751612"/>
      <w:bookmarkStart w:id="2408" w:name="_Toc508019339"/>
      <w:bookmarkStart w:id="2409" w:name="_Toc511116837"/>
      <w:bookmarkStart w:id="2410" w:name="_Toc5269586"/>
      <w:r w:rsidRPr="00256982">
        <w:t>Table 7.5.9</w:t>
      </w:r>
      <w:r w:rsidRPr="00256982">
        <w:tab/>
        <w:t>Parameter values applied by New Zealand for estimating methane emissions</w:t>
      </w:r>
      <w:r w:rsidRPr="00256982">
        <w:br/>
        <w:t>for wastewater treatment by the pulp and paper industry</w:t>
      </w:r>
      <w:bookmarkEnd w:id="2404"/>
      <w:bookmarkEnd w:id="2405"/>
      <w:bookmarkEnd w:id="2406"/>
      <w:bookmarkEnd w:id="2407"/>
      <w:bookmarkEnd w:id="2408"/>
      <w:bookmarkEnd w:id="2409"/>
      <w:bookmarkEnd w:id="2410"/>
    </w:p>
    <w:tbl>
      <w:tblPr>
        <w:tblW w:w="8562" w:type="dxa"/>
        <w:tblInd w:w="108" w:type="dxa"/>
        <w:tblLook w:val="04A0" w:firstRow="1" w:lastRow="0" w:firstColumn="1" w:lastColumn="0" w:noHBand="0" w:noVBand="1"/>
      </w:tblPr>
      <w:tblGrid>
        <w:gridCol w:w="2713"/>
        <w:gridCol w:w="1426"/>
        <w:gridCol w:w="1998"/>
        <w:gridCol w:w="2425"/>
      </w:tblGrid>
      <w:tr w:rsidR="00005A00" w:rsidRPr="00256982" w14:paraId="6542E85D" w14:textId="77777777" w:rsidTr="00250ABA">
        <w:trPr>
          <w:tblHeader/>
        </w:trPr>
        <w:tc>
          <w:tcPr>
            <w:tcW w:w="2694" w:type="dxa"/>
            <w:tcBorders>
              <w:top w:val="single" w:sz="4" w:space="0" w:color="365F91"/>
              <w:left w:val="nil"/>
              <w:bottom w:val="single" w:sz="4" w:space="0" w:color="365F91"/>
            </w:tcBorders>
            <w:shd w:val="clear" w:color="auto" w:fill="365F91"/>
          </w:tcPr>
          <w:p w14:paraId="54167BA5" w14:textId="77777777" w:rsidR="00005A00" w:rsidRPr="00256982" w:rsidRDefault="00005A00" w:rsidP="008F2C93">
            <w:pPr>
              <w:pStyle w:val="TableTextBold"/>
              <w:keepNext/>
              <w:rPr>
                <w:noProof w:val="0"/>
                <w:color w:val="FFFFFF"/>
                <w:lang w:eastAsia="en-NZ"/>
              </w:rPr>
            </w:pPr>
            <w:r w:rsidRPr="00256982">
              <w:rPr>
                <w:noProof w:val="0"/>
                <w:color w:val="FFFFFF"/>
                <w:lang w:eastAsia="en-NZ"/>
              </w:rPr>
              <w:t>Parameter</w:t>
            </w:r>
          </w:p>
        </w:tc>
        <w:tc>
          <w:tcPr>
            <w:tcW w:w="1417" w:type="dxa"/>
            <w:tcBorders>
              <w:top w:val="single" w:sz="4" w:space="0" w:color="365F91"/>
              <w:bottom w:val="single" w:sz="4" w:space="0" w:color="365F91"/>
            </w:tcBorders>
            <w:shd w:val="clear" w:color="auto" w:fill="365F91"/>
          </w:tcPr>
          <w:p w14:paraId="7D924254" w14:textId="77777777" w:rsidR="00005A00" w:rsidRPr="00256982" w:rsidRDefault="00005A00" w:rsidP="008F2C93">
            <w:pPr>
              <w:pStyle w:val="TableTextBold"/>
              <w:rPr>
                <w:noProof w:val="0"/>
                <w:color w:val="FFFFFF"/>
                <w:lang w:eastAsia="en-NZ"/>
              </w:rPr>
            </w:pPr>
            <w:r w:rsidRPr="00256982">
              <w:rPr>
                <w:noProof w:val="0"/>
                <w:color w:val="FFFFFF"/>
                <w:lang w:eastAsia="en-NZ"/>
              </w:rPr>
              <w:t>Value</w:t>
            </w:r>
          </w:p>
        </w:tc>
        <w:tc>
          <w:tcPr>
            <w:tcW w:w="1985" w:type="dxa"/>
            <w:tcBorders>
              <w:top w:val="single" w:sz="4" w:space="0" w:color="365F91"/>
              <w:bottom w:val="single" w:sz="4" w:space="0" w:color="365F91"/>
            </w:tcBorders>
            <w:shd w:val="clear" w:color="auto" w:fill="365F91"/>
          </w:tcPr>
          <w:p w14:paraId="6F07851A" w14:textId="77777777" w:rsidR="00005A00" w:rsidRPr="00256982" w:rsidRDefault="00005A00" w:rsidP="008F2C93">
            <w:pPr>
              <w:pStyle w:val="TableTextBold"/>
              <w:rPr>
                <w:noProof w:val="0"/>
                <w:color w:val="FFFFFF"/>
                <w:lang w:eastAsia="en-NZ"/>
              </w:rPr>
            </w:pPr>
            <w:r w:rsidRPr="00256982">
              <w:rPr>
                <w:noProof w:val="0"/>
                <w:color w:val="FFFFFF"/>
                <w:lang w:eastAsia="en-NZ"/>
              </w:rPr>
              <w:t>Source</w:t>
            </w:r>
          </w:p>
        </w:tc>
        <w:tc>
          <w:tcPr>
            <w:tcW w:w="2409" w:type="dxa"/>
            <w:tcBorders>
              <w:top w:val="single" w:sz="4" w:space="0" w:color="365F91"/>
              <w:bottom w:val="single" w:sz="4" w:space="0" w:color="365F91"/>
              <w:right w:val="nil"/>
            </w:tcBorders>
            <w:shd w:val="clear" w:color="auto" w:fill="365F91"/>
          </w:tcPr>
          <w:p w14:paraId="0E8A2890" w14:textId="77777777" w:rsidR="00005A00" w:rsidRPr="00256982" w:rsidRDefault="00005A00" w:rsidP="008F2C93">
            <w:pPr>
              <w:pStyle w:val="TableTextBold"/>
              <w:rPr>
                <w:noProof w:val="0"/>
                <w:color w:val="FFFFFF"/>
                <w:lang w:eastAsia="en-NZ"/>
              </w:rPr>
            </w:pPr>
            <w:r w:rsidRPr="00256982">
              <w:rPr>
                <w:noProof w:val="0"/>
                <w:color w:val="FFFFFF"/>
                <w:lang w:eastAsia="en-NZ"/>
              </w:rPr>
              <w:t>Reference</w:t>
            </w:r>
          </w:p>
        </w:tc>
      </w:tr>
      <w:tr w:rsidR="00005A00" w:rsidRPr="00256982" w14:paraId="75206466" w14:textId="77777777" w:rsidTr="00250ABA">
        <w:tc>
          <w:tcPr>
            <w:tcW w:w="2694" w:type="dxa"/>
            <w:tcBorders>
              <w:top w:val="single" w:sz="4" w:space="0" w:color="365F91"/>
              <w:left w:val="nil"/>
              <w:bottom w:val="single" w:sz="4" w:space="0" w:color="365F91"/>
            </w:tcBorders>
          </w:tcPr>
          <w:p w14:paraId="52D91FA3" w14:textId="77777777" w:rsidR="00005A00" w:rsidRPr="00256982" w:rsidRDefault="00005A00" w:rsidP="008F2C93">
            <w:pPr>
              <w:pStyle w:val="TableText"/>
              <w:keepNext/>
              <w:rPr>
                <w:lang w:eastAsia="en-NZ"/>
              </w:rPr>
            </w:pPr>
            <w:r w:rsidRPr="00256982">
              <w:rPr>
                <w:lang w:eastAsia="en-NZ"/>
              </w:rPr>
              <w:t>Degradable organic component (kg COD/tonne of product)</w:t>
            </w:r>
          </w:p>
        </w:tc>
        <w:tc>
          <w:tcPr>
            <w:tcW w:w="1417" w:type="dxa"/>
            <w:tcBorders>
              <w:top w:val="single" w:sz="4" w:space="0" w:color="365F91"/>
              <w:bottom w:val="single" w:sz="4" w:space="0" w:color="365F91"/>
            </w:tcBorders>
          </w:tcPr>
          <w:p w14:paraId="6E9F809C" w14:textId="77777777" w:rsidR="00005A00" w:rsidRPr="00256982" w:rsidRDefault="00005A00" w:rsidP="008F2C93">
            <w:pPr>
              <w:pStyle w:val="TableText"/>
              <w:rPr>
                <w:lang w:eastAsia="en-NZ"/>
              </w:rPr>
            </w:pPr>
            <w:r w:rsidRPr="00256982">
              <w:rPr>
                <w:lang w:eastAsia="en-NZ"/>
              </w:rPr>
              <w:t>36</w:t>
            </w:r>
          </w:p>
        </w:tc>
        <w:tc>
          <w:tcPr>
            <w:tcW w:w="1985" w:type="dxa"/>
            <w:tcBorders>
              <w:top w:val="single" w:sz="4" w:space="0" w:color="365F91"/>
              <w:bottom w:val="single" w:sz="4" w:space="0" w:color="365F91"/>
            </w:tcBorders>
          </w:tcPr>
          <w:p w14:paraId="7815DD0D" w14:textId="77777777" w:rsidR="00005A00" w:rsidRPr="00256982" w:rsidRDefault="00005A00" w:rsidP="008F2C93">
            <w:pPr>
              <w:pStyle w:val="TableText"/>
              <w:rPr>
                <w:lang w:eastAsia="en-NZ"/>
              </w:rPr>
            </w:pPr>
            <w:r w:rsidRPr="00256982">
              <w:rPr>
                <w:lang w:eastAsia="en-NZ"/>
              </w:rPr>
              <w:t>New Zealand specific</w:t>
            </w:r>
          </w:p>
        </w:tc>
        <w:tc>
          <w:tcPr>
            <w:tcW w:w="2409" w:type="dxa"/>
            <w:tcBorders>
              <w:top w:val="single" w:sz="4" w:space="0" w:color="365F91"/>
              <w:bottom w:val="single" w:sz="4" w:space="0" w:color="365F91"/>
              <w:right w:val="nil"/>
            </w:tcBorders>
          </w:tcPr>
          <w:p w14:paraId="79CE29A4" w14:textId="77777777" w:rsidR="00005A00" w:rsidRPr="00256982" w:rsidRDefault="00005A00" w:rsidP="008F2C93">
            <w:pPr>
              <w:pStyle w:val="TableText"/>
              <w:rPr>
                <w:lang w:eastAsia="en-NZ"/>
              </w:rPr>
            </w:pPr>
            <w:r w:rsidRPr="00256982">
              <w:rPr>
                <w:lang w:eastAsia="en-NZ"/>
              </w:rPr>
              <w:t>Beca Infrastructure Ltd (unpublished)</w:t>
            </w:r>
          </w:p>
        </w:tc>
      </w:tr>
      <w:tr w:rsidR="00005A00" w:rsidRPr="00256982" w14:paraId="109B2113" w14:textId="77777777" w:rsidTr="00250ABA">
        <w:tc>
          <w:tcPr>
            <w:tcW w:w="2694" w:type="dxa"/>
            <w:tcBorders>
              <w:top w:val="single" w:sz="4" w:space="0" w:color="365F91"/>
              <w:left w:val="nil"/>
              <w:bottom w:val="single" w:sz="4" w:space="0" w:color="365F91"/>
            </w:tcBorders>
          </w:tcPr>
          <w:p w14:paraId="76B88594" w14:textId="77777777" w:rsidR="00005A00" w:rsidRPr="00256982" w:rsidRDefault="00005A00" w:rsidP="008F2C93">
            <w:pPr>
              <w:pStyle w:val="TableText"/>
              <w:keepNext/>
              <w:rPr>
                <w:lang w:eastAsia="en-NZ"/>
              </w:rPr>
            </w:pPr>
            <w:r w:rsidRPr="00256982">
              <w:rPr>
                <w:lang w:eastAsia="en-NZ"/>
              </w:rPr>
              <w:t>Methane correction factor</w:t>
            </w:r>
          </w:p>
        </w:tc>
        <w:tc>
          <w:tcPr>
            <w:tcW w:w="1417" w:type="dxa"/>
            <w:tcBorders>
              <w:top w:val="single" w:sz="4" w:space="0" w:color="365F91"/>
              <w:bottom w:val="single" w:sz="4" w:space="0" w:color="365F91"/>
            </w:tcBorders>
          </w:tcPr>
          <w:p w14:paraId="1FE96798" w14:textId="77777777" w:rsidR="00005A00" w:rsidRPr="00256982" w:rsidRDefault="00005A00" w:rsidP="008F2C93">
            <w:pPr>
              <w:pStyle w:val="TableText"/>
              <w:rPr>
                <w:lang w:eastAsia="en-NZ"/>
              </w:rPr>
            </w:pPr>
            <w:r w:rsidRPr="00256982">
              <w:rPr>
                <w:lang w:eastAsia="en-NZ"/>
              </w:rPr>
              <w:t>Range of 0–0.8</w:t>
            </w:r>
          </w:p>
        </w:tc>
        <w:tc>
          <w:tcPr>
            <w:tcW w:w="1985" w:type="dxa"/>
            <w:tcBorders>
              <w:top w:val="single" w:sz="4" w:space="0" w:color="365F91"/>
              <w:bottom w:val="single" w:sz="4" w:space="0" w:color="365F91"/>
            </w:tcBorders>
          </w:tcPr>
          <w:p w14:paraId="5837EA30" w14:textId="77777777" w:rsidR="00005A00" w:rsidRPr="00256982" w:rsidRDefault="00005A00" w:rsidP="008F2C93">
            <w:pPr>
              <w:pStyle w:val="TableText"/>
              <w:rPr>
                <w:lang w:eastAsia="en-NZ"/>
              </w:rPr>
            </w:pPr>
            <w:r w:rsidRPr="00256982">
              <w:rPr>
                <w:lang w:eastAsia="en-NZ"/>
              </w:rPr>
              <w:t>New Zealand specific</w:t>
            </w:r>
          </w:p>
        </w:tc>
        <w:tc>
          <w:tcPr>
            <w:tcW w:w="2409" w:type="dxa"/>
            <w:tcBorders>
              <w:top w:val="single" w:sz="4" w:space="0" w:color="365F91"/>
              <w:bottom w:val="single" w:sz="4" w:space="0" w:color="365F91"/>
              <w:right w:val="nil"/>
            </w:tcBorders>
          </w:tcPr>
          <w:p w14:paraId="74202793" w14:textId="77777777" w:rsidR="00005A00" w:rsidRPr="00256982" w:rsidRDefault="00005A00" w:rsidP="008F2C93">
            <w:pPr>
              <w:pStyle w:val="TableText"/>
              <w:rPr>
                <w:lang w:eastAsia="en-NZ"/>
              </w:rPr>
            </w:pPr>
            <w:r w:rsidRPr="00256982">
              <w:rPr>
                <w:lang w:eastAsia="en-NZ"/>
              </w:rPr>
              <w:t>Beca Infrastructure Ltd (unpublished)</w:t>
            </w:r>
          </w:p>
        </w:tc>
      </w:tr>
      <w:tr w:rsidR="00005A00" w:rsidRPr="00256982" w14:paraId="4FB831A2" w14:textId="77777777" w:rsidTr="00250ABA">
        <w:tc>
          <w:tcPr>
            <w:tcW w:w="2694" w:type="dxa"/>
            <w:tcBorders>
              <w:top w:val="single" w:sz="4" w:space="0" w:color="365F91"/>
              <w:left w:val="nil"/>
              <w:bottom w:val="single" w:sz="4" w:space="0" w:color="365F91"/>
            </w:tcBorders>
          </w:tcPr>
          <w:p w14:paraId="2A509452" w14:textId="77777777" w:rsidR="00005A00" w:rsidRPr="00256982" w:rsidRDefault="00005A00" w:rsidP="008F2C93">
            <w:pPr>
              <w:pStyle w:val="TableText"/>
              <w:rPr>
                <w:lang w:eastAsia="en-NZ"/>
              </w:rPr>
            </w:pPr>
            <w:r w:rsidRPr="00256982">
              <w:rPr>
                <w:lang w:eastAsia="en-NZ"/>
              </w:rPr>
              <w:t xml:space="preserve">Maximum </w:t>
            </w:r>
            <w:r w:rsidRPr="00256982">
              <w:t>CH</w:t>
            </w:r>
            <w:r w:rsidRPr="00256982">
              <w:rPr>
                <w:vertAlign w:val="subscript"/>
              </w:rPr>
              <w:t>4</w:t>
            </w:r>
            <w:r w:rsidRPr="00256982">
              <w:rPr>
                <w:lang w:eastAsia="en-NZ"/>
              </w:rPr>
              <w:t>-producing capacity (kg CH</w:t>
            </w:r>
            <w:r w:rsidRPr="00256982">
              <w:rPr>
                <w:vertAlign w:val="subscript"/>
                <w:lang w:eastAsia="en-NZ"/>
              </w:rPr>
              <w:t>4</w:t>
            </w:r>
            <w:r w:rsidRPr="00256982">
              <w:rPr>
                <w:lang w:eastAsia="en-NZ"/>
              </w:rPr>
              <w:t>/kg COD)</w:t>
            </w:r>
          </w:p>
        </w:tc>
        <w:tc>
          <w:tcPr>
            <w:tcW w:w="1417" w:type="dxa"/>
            <w:tcBorders>
              <w:top w:val="single" w:sz="4" w:space="0" w:color="365F91"/>
              <w:bottom w:val="single" w:sz="4" w:space="0" w:color="365F91"/>
            </w:tcBorders>
          </w:tcPr>
          <w:p w14:paraId="7056CD07" w14:textId="77777777" w:rsidR="00005A00" w:rsidRPr="00256982" w:rsidRDefault="00005A00" w:rsidP="008F2C93">
            <w:pPr>
              <w:pStyle w:val="TableText"/>
              <w:rPr>
                <w:lang w:eastAsia="en-NZ"/>
              </w:rPr>
            </w:pPr>
            <w:r w:rsidRPr="00256982">
              <w:rPr>
                <w:lang w:eastAsia="en-NZ"/>
              </w:rPr>
              <w:t>0.25</w:t>
            </w:r>
          </w:p>
        </w:tc>
        <w:tc>
          <w:tcPr>
            <w:tcW w:w="1985" w:type="dxa"/>
            <w:tcBorders>
              <w:top w:val="single" w:sz="4" w:space="0" w:color="365F91"/>
              <w:bottom w:val="single" w:sz="4" w:space="0" w:color="365F91"/>
            </w:tcBorders>
          </w:tcPr>
          <w:p w14:paraId="4D046B12" w14:textId="77777777" w:rsidR="00005A00" w:rsidRPr="00256982" w:rsidRDefault="00005A00" w:rsidP="008F2C93">
            <w:pPr>
              <w:pStyle w:val="TableText"/>
              <w:rPr>
                <w:lang w:eastAsia="en-NZ"/>
              </w:rPr>
            </w:pPr>
            <w:r w:rsidRPr="00256982">
              <w:rPr>
                <w:lang w:eastAsia="en-NZ"/>
              </w:rPr>
              <w:t xml:space="preserve">IPCC default </w:t>
            </w:r>
          </w:p>
        </w:tc>
        <w:tc>
          <w:tcPr>
            <w:tcW w:w="2409" w:type="dxa"/>
            <w:tcBorders>
              <w:top w:val="single" w:sz="4" w:space="0" w:color="365F91"/>
              <w:bottom w:val="single" w:sz="4" w:space="0" w:color="365F91"/>
              <w:right w:val="nil"/>
            </w:tcBorders>
          </w:tcPr>
          <w:p w14:paraId="3D8C702D" w14:textId="77777777" w:rsidR="00005A00" w:rsidRPr="00256982" w:rsidRDefault="00005A00" w:rsidP="008F2C93">
            <w:pPr>
              <w:pStyle w:val="TableText"/>
              <w:rPr>
                <w:lang w:eastAsia="en-NZ"/>
              </w:rPr>
            </w:pPr>
            <w:r w:rsidRPr="00256982">
              <w:rPr>
                <w:lang w:eastAsia="en-NZ"/>
              </w:rPr>
              <w:t>IPCC (2006a)</w:t>
            </w:r>
          </w:p>
        </w:tc>
      </w:tr>
      <w:tr w:rsidR="00005A00" w:rsidRPr="00256982" w14:paraId="205D5E9B" w14:textId="77777777" w:rsidTr="00250ABA">
        <w:tc>
          <w:tcPr>
            <w:tcW w:w="2694" w:type="dxa"/>
            <w:tcBorders>
              <w:top w:val="single" w:sz="4" w:space="0" w:color="365F91"/>
              <w:left w:val="nil"/>
              <w:bottom w:val="single" w:sz="4" w:space="0" w:color="365F91"/>
            </w:tcBorders>
          </w:tcPr>
          <w:p w14:paraId="6854F209" w14:textId="77777777" w:rsidR="00005A00" w:rsidRPr="00256982" w:rsidRDefault="00005A00" w:rsidP="008F2C93">
            <w:pPr>
              <w:pStyle w:val="TableText"/>
              <w:rPr>
                <w:lang w:eastAsia="en-NZ"/>
              </w:rPr>
            </w:pPr>
            <w:r w:rsidRPr="00256982">
              <w:rPr>
                <w:lang w:eastAsia="en-NZ"/>
              </w:rPr>
              <w:t>Overall emission factor</w:t>
            </w:r>
          </w:p>
        </w:tc>
        <w:tc>
          <w:tcPr>
            <w:tcW w:w="1417" w:type="dxa"/>
            <w:tcBorders>
              <w:top w:val="single" w:sz="4" w:space="0" w:color="365F91"/>
              <w:bottom w:val="single" w:sz="4" w:space="0" w:color="365F91"/>
            </w:tcBorders>
          </w:tcPr>
          <w:p w14:paraId="1DD62979" w14:textId="77777777" w:rsidR="00005A00" w:rsidRPr="00256982" w:rsidRDefault="00005A00" w:rsidP="008F2C93">
            <w:pPr>
              <w:pStyle w:val="TableText"/>
              <w:rPr>
                <w:lang w:eastAsia="en-NZ"/>
              </w:rPr>
            </w:pPr>
            <w:r w:rsidRPr="00256982">
              <w:rPr>
                <w:lang w:eastAsia="en-NZ"/>
              </w:rPr>
              <w:t>0.0117</w:t>
            </w:r>
          </w:p>
        </w:tc>
        <w:tc>
          <w:tcPr>
            <w:tcW w:w="1985" w:type="dxa"/>
            <w:tcBorders>
              <w:top w:val="single" w:sz="4" w:space="0" w:color="365F91"/>
              <w:bottom w:val="single" w:sz="4" w:space="0" w:color="365F91"/>
            </w:tcBorders>
          </w:tcPr>
          <w:p w14:paraId="3C01D781" w14:textId="77777777" w:rsidR="00005A00" w:rsidRPr="00256982" w:rsidRDefault="00005A00" w:rsidP="008F2C93">
            <w:pPr>
              <w:pStyle w:val="TableText"/>
              <w:rPr>
                <w:lang w:eastAsia="en-NZ"/>
              </w:rPr>
            </w:pPr>
            <w:r w:rsidRPr="00256982">
              <w:rPr>
                <w:lang w:eastAsia="en-NZ"/>
              </w:rPr>
              <w:t>New Zealand specific</w:t>
            </w:r>
          </w:p>
        </w:tc>
        <w:tc>
          <w:tcPr>
            <w:tcW w:w="2409" w:type="dxa"/>
            <w:tcBorders>
              <w:top w:val="single" w:sz="4" w:space="0" w:color="365F91"/>
              <w:bottom w:val="single" w:sz="4" w:space="0" w:color="365F91"/>
              <w:right w:val="nil"/>
            </w:tcBorders>
          </w:tcPr>
          <w:p w14:paraId="2DB553D2" w14:textId="77777777" w:rsidR="00005A00" w:rsidRPr="00256982" w:rsidRDefault="00005A00" w:rsidP="008F2C93">
            <w:pPr>
              <w:pStyle w:val="TableText"/>
              <w:rPr>
                <w:lang w:eastAsia="en-NZ"/>
              </w:rPr>
            </w:pPr>
            <w:r w:rsidRPr="00256982">
              <w:rPr>
                <w:lang w:eastAsia="en-NZ"/>
              </w:rPr>
              <w:t>Cardno (unpublished)</w:t>
            </w:r>
          </w:p>
        </w:tc>
      </w:tr>
    </w:tbl>
    <w:p w14:paraId="39032671" w14:textId="77777777" w:rsidR="00005A00" w:rsidRPr="00256982" w:rsidRDefault="00005A00" w:rsidP="00005A00">
      <w:pPr>
        <w:pStyle w:val="Noteundertable"/>
        <w:rPr>
          <w:lang w:eastAsia="en-NZ"/>
        </w:rPr>
      </w:pPr>
      <w:r w:rsidRPr="00256982">
        <w:rPr>
          <w:b/>
          <w:lang w:eastAsia="en-NZ"/>
        </w:rPr>
        <w:t>Note:</w:t>
      </w:r>
      <w:r w:rsidRPr="00256982">
        <w:rPr>
          <w:lang w:eastAsia="en-NZ"/>
        </w:rPr>
        <w:t xml:space="preserve"> </w:t>
      </w:r>
      <w:r w:rsidRPr="00256982">
        <w:rPr>
          <w:lang w:eastAsia="en-NZ"/>
        </w:rPr>
        <w:tab/>
        <w:t>COD = chemical oxygen demand.</w:t>
      </w:r>
    </w:p>
    <w:p w14:paraId="48E6977D" w14:textId="77777777" w:rsidR="00005A00" w:rsidRPr="00256982" w:rsidRDefault="00005A00" w:rsidP="00E6662E">
      <w:pPr>
        <w:pStyle w:val="Heading6"/>
        <w:spacing w:before="120"/>
      </w:pPr>
      <w:r w:rsidRPr="00256982">
        <w:rPr>
          <w:lang w:eastAsia="en-NZ"/>
        </w:rPr>
        <w:t>Recovery</w:t>
      </w:r>
    </w:p>
    <w:p w14:paraId="514E7977" w14:textId="77777777" w:rsidR="00005A00" w:rsidRPr="00256982" w:rsidRDefault="00005A00" w:rsidP="00E33731">
      <w:pPr>
        <w:pStyle w:val="BodyText"/>
        <w:spacing w:after="0"/>
        <w:rPr>
          <w:lang w:eastAsia="en-NZ"/>
        </w:rPr>
      </w:pPr>
      <w:r w:rsidRPr="00256982">
        <w:rPr>
          <w:lang w:eastAsia="en-NZ"/>
        </w:rPr>
        <w:t xml:space="preserve">There is no recovery of emissions reported for this source. </w:t>
      </w:r>
    </w:p>
    <w:p w14:paraId="4A96A904" w14:textId="77777777" w:rsidR="00005A00" w:rsidRPr="00256982" w:rsidRDefault="00005A00" w:rsidP="00005A00">
      <w:pPr>
        <w:pStyle w:val="Heading5"/>
      </w:pPr>
      <w:r w:rsidRPr="00256982">
        <w:t>Methane emissions from industrial wastewater treatment – Wine</w:t>
      </w:r>
    </w:p>
    <w:p w14:paraId="10DECFAE" w14:textId="77777777" w:rsidR="00005A00" w:rsidRPr="00256982" w:rsidRDefault="00005A00" w:rsidP="00005A00">
      <w:pPr>
        <w:pStyle w:val="BodyText"/>
      </w:pPr>
      <w:r w:rsidRPr="00256982">
        <w:t>Table 7.5.10 provides a summary of the parameter values applied for estimating CH</w:t>
      </w:r>
      <w:r w:rsidRPr="00256982">
        <w:rPr>
          <w:vertAlign w:val="subscript"/>
        </w:rPr>
        <w:t>4</w:t>
      </w:r>
      <w:r w:rsidRPr="00256982">
        <w:t xml:space="preserve"> emissions from wastewater treatment by the wine industry.</w:t>
      </w:r>
    </w:p>
    <w:p w14:paraId="4ED1F5CA" w14:textId="77777777" w:rsidR="00005A00" w:rsidRPr="00256982" w:rsidRDefault="00005A00" w:rsidP="00005A00">
      <w:pPr>
        <w:pStyle w:val="Table"/>
      </w:pPr>
      <w:bookmarkStart w:id="2411" w:name="_Toc444001631"/>
      <w:bookmarkStart w:id="2412" w:name="_Toc451176183"/>
      <w:bookmarkStart w:id="2413" w:name="_Toc481751613"/>
      <w:bookmarkStart w:id="2414" w:name="_Toc508019340"/>
      <w:bookmarkStart w:id="2415" w:name="_Toc511116838"/>
      <w:bookmarkStart w:id="2416" w:name="_Toc5269587"/>
      <w:r w:rsidRPr="00256982">
        <w:t>Table 7.5.10</w:t>
      </w:r>
      <w:r w:rsidRPr="00256982">
        <w:tab/>
        <w:t>Parameter values applied by New Zealand for estimating methane emissions</w:t>
      </w:r>
      <w:r w:rsidRPr="00256982">
        <w:br/>
        <w:t>for wastewater treatment by the wine industry</w:t>
      </w:r>
      <w:bookmarkEnd w:id="2411"/>
      <w:bookmarkEnd w:id="2412"/>
      <w:bookmarkEnd w:id="2413"/>
      <w:bookmarkEnd w:id="2414"/>
      <w:bookmarkEnd w:id="2415"/>
      <w:bookmarkEnd w:id="2416"/>
    </w:p>
    <w:tbl>
      <w:tblPr>
        <w:tblW w:w="8562" w:type="dxa"/>
        <w:tblInd w:w="108" w:type="dxa"/>
        <w:tblLook w:val="04A0" w:firstRow="1" w:lastRow="0" w:firstColumn="1" w:lastColumn="0" w:noHBand="0" w:noVBand="1"/>
      </w:tblPr>
      <w:tblGrid>
        <w:gridCol w:w="2713"/>
        <w:gridCol w:w="1426"/>
        <w:gridCol w:w="1998"/>
        <w:gridCol w:w="2425"/>
      </w:tblGrid>
      <w:tr w:rsidR="00005A00" w:rsidRPr="00256982" w14:paraId="39F7C5CF" w14:textId="77777777" w:rsidTr="00250ABA">
        <w:trPr>
          <w:tblHeader/>
        </w:trPr>
        <w:tc>
          <w:tcPr>
            <w:tcW w:w="2694" w:type="dxa"/>
            <w:tcBorders>
              <w:top w:val="single" w:sz="4" w:space="0" w:color="365F91"/>
              <w:left w:val="nil"/>
              <w:bottom w:val="single" w:sz="4" w:space="0" w:color="365F91"/>
            </w:tcBorders>
            <w:shd w:val="clear" w:color="auto" w:fill="365F91"/>
          </w:tcPr>
          <w:p w14:paraId="67CF2D55" w14:textId="77777777" w:rsidR="00005A00" w:rsidRPr="00256982" w:rsidRDefault="00005A00" w:rsidP="00AA14F1">
            <w:pPr>
              <w:pStyle w:val="TableTextBold"/>
              <w:keepNext/>
              <w:rPr>
                <w:noProof w:val="0"/>
                <w:color w:val="FFFFFF"/>
                <w:lang w:eastAsia="en-NZ"/>
              </w:rPr>
            </w:pPr>
            <w:r w:rsidRPr="00256982">
              <w:rPr>
                <w:noProof w:val="0"/>
                <w:color w:val="FFFFFF"/>
                <w:lang w:eastAsia="en-NZ"/>
              </w:rPr>
              <w:t>Parameter</w:t>
            </w:r>
          </w:p>
        </w:tc>
        <w:tc>
          <w:tcPr>
            <w:tcW w:w="1417" w:type="dxa"/>
            <w:tcBorders>
              <w:top w:val="single" w:sz="4" w:space="0" w:color="365F91"/>
              <w:bottom w:val="single" w:sz="4" w:space="0" w:color="365F91"/>
            </w:tcBorders>
            <w:shd w:val="clear" w:color="auto" w:fill="365F91"/>
          </w:tcPr>
          <w:p w14:paraId="120B05C0" w14:textId="77777777" w:rsidR="00005A00" w:rsidRPr="00256982" w:rsidRDefault="00005A00" w:rsidP="00AA14F1">
            <w:pPr>
              <w:pStyle w:val="TableTextBold"/>
              <w:keepNext/>
              <w:jc w:val="center"/>
              <w:rPr>
                <w:noProof w:val="0"/>
                <w:color w:val="FFFFFF"/>
                <w:lang w:eastAsia="en-NZ"/>
              </w:rPr>
            </w:pPr>
            <w:r w:rsidRPr="00256982">
              <w:rPr>
                <w:noProof w:val="0"/>
                <w:color w:val="FFFFFF"/>
                <w:lang w:eastAsia="en-NZ"/>
              </w:rPr>
              <w:t>Value</w:t>
            </w:r>
          </w:p>
        </w:tc>
        <w:tc>
          <w:tcPr>
            <w:tcW w:w="1985" w:type="dxa"/>
            <w:tcBorders>
              <w:top w:val="single" w:sz="4" w:space="0" w:color="365F91"/>
              <w:bottom w:val="single" w:sz="4" w:space="0" w:color="365F91"/>
            </w:tcBorders>
            <w:shd w:val="clear" w:color="auto" w:fill="365F91"/>
          </w:tcPr>
          <w:p w14:paraId="4BE8517E" w14:textId="77777777" w:rsidR="00005A00" w:rsidRPr="00256982" w:rsidRDefault="00005A00" w:rsidP="00AA14F1">
            <w:pPr>
              <w:pStyle w:val="TableTextBold"/>
              <w:keepNext/>
              <w:rPr>
                <w:noProof w:val="0"/>
                <w:color w:val="FFFFFF"/>
                <w:lang w:eastAsia="en-NZ"/>
              </w:rPr>
            </w:pPr>
            <w:r w:rsidRPr="00256982">
              <w:rPr>
                <w:noProof w:val="0"/>
                <w:color w:val="FFFFFF"/>
                <w:lang w:eastAsia="en-NZ"/>
              </w:rPr>
              <w:t>Source</w:t>
            </w:r>
          </w:p>
        </w:tc>
        <w:tc>
          <w:tcPr>
            <w:tcW w:w="2409" w:type="dxa"/>
            <w:tcBorders>
              <w:top w:val="single" w:sz="4" w:space="0" w:color="365F91"/>
              <w:bottom w:val="single" w:sz="4" w:space="0" w:color="365F91"/>
              <w:right w:val="nil"/>
            </w:tcBorders>
            <w:shd w:val="clear" w:color="auto" w:fill="365F91"/>
          </w:tcPr>
          <w:p w14:paraId="2A8B3833" w14:textId="77777777" w:rsidR="00005A00" w:rsidRPr="00256982" w:rsidRDefault="00005A00" w:rsidP="00AA14F1">
            <w:pPr>
              <w:pStyle w:val="TableTextBold"/>
              <w:keepNext/>
              <w:rPr>
                <w:noProof w:val="0"/>
                <w:color w:val="FFFFFF"/>
                <w:lang w:eastAsia="en-NZ"/>
              </w:rPr>
            </w:pPr>
            <w:r w:rsidRPr="00256982">
              <w:rPr>
                <w:noProof w:val="0"/>
                <w:color w:val="FFFFFF"/>
                <w:lang w:eastAsia="en-NZ"/>
              </w:rPr>
              <w:t>Reference</w:t>
            </w:r>
          </w:p>
        </w:tc>
      </w:tr>
      <w:tr w:rsidR="00005A00" w:rsidRPr="00256982" w14:paraId="1AD6AFB5" w14:textId="77777777" w:rsidTr="00250ABA">
        <w:tc>
          <w:tcPr>
            <w:tcW w:w="2694" w:type="dxa"/>
            <w:tcBorders>
              <w:top w:val="single" w:sz="4" w:space="0" w:color="365F91"/>
              <w:left w:val="nil"/>
              <w:bottom w:val="single" w:sz="4" w:space="0" w:color="365F91"/>
            </w:tcBorders>
          </w:tcPr>
          <w:p w14:paraId="716C6266" w14:textId="77777777" w:rsidR="00005A00" w:rsidRPr="00256982" w:rsidRDefault="00005A00" w:rsidP="00AA14F1">
            <w:pPr>
              <w:pStyle w:val="TableText"/>
              <w:keepNext/>
              <w:spacing w:before="40" w:after="40"/>
              <w:rPr>
                <w:lang w:eastAsia="en-NZ"/>
              </w:rPr>
            </w:pPr>
            <w:r w:rsidRPr="00256982">
              <w:rPr>
                <w:lang w:eastAsia="en-NZ"/>
              </w:rPr>
              <w:t>Degradable organic component (kg COD/tonne of product)</w:t>
            </w:r>
          </w:p>
        </w:tc>
        <w:tc>
          <w:tcPr>
            <w:tcW w:w="1417" w:type="dxa"/>
            <w:tcBorders>
              <w:top w:val="single" w:sz="4" w:space="0" w:color="365F91"/>
              <w:bottom w:val="single" w:sz="4" w:space="0" w:color="365F91"/>
            </w:tcBorders>
          </w:tcPr>
          <w:p w14:paraId="6607D8D7" w14:textId="77777777" w:rsidR="00005A00" w:rsidRPr="00256982" w:rsidRDefault="00005A00" w:rsidP="00AA14F1">
            <w:pPr>
              <w:pStyle w:val="TableText"/>
              <w:keepNext/>
              <w:tabs>
                <w:tab w:val="decimal" w:pos="80"/>
              </w:tabs>
              <w:spacing w:before="40" w:after="40"/>
              <w:jc w:val="center"/>
              <w:rPr>
                <w:highlight w:val="yellow"/>
                <w:lang w:eastAsia="en-NZ"/>
              </w:rPr>
            </w:pPr>
            <w:r w:rsidRPr="00256982">
              <w:rPr>
                <w:lang w:eastAsia="en-NZ"/>
              </w:rPr>
              <w:t>12.42</w:t>
            </w:r>
          </w:p>
        </w:tc>
        <w:tc>
          <w:tcPr>
            <w:tcW w:w="1985" w:type="dxa"/>
            <w:tcBorders>
              <w:top w:val="single" w:sz="4" w:space="0" w:color="365F91"/>
              <w:bottom w:val="single" w:sz="4" w:space="0" w:color="365F91"/>
            </w:tcBorders>
          </w:tcPr>
          <w:p w14:paraId="56169EA0" w14:textId="77777777" w:rsidR="00005A00" w:rsidRPr="00256982" w:rsidRDefault="00005A00" w:rsidP="00AA14F1">
            <w:pPr>
              <w:pStyle w:val="TableText"/>
              <w:keepNext/>
              <w:spacing w:before="40" w:after="40"/>
              <w:rPr>
                <w:lang w:eastAsia="en-NZ"/>
              </w:rPr>
            </w:pPr>
            <w:r w:rsidRPr="00256982">
              <w:rPr>
                <w:lang w:eastAsia="en-NZ"/>
              </w:rPr>
              <w:t>New Zealand specific</w:t>
            </w:r>
          </w:p>
        </w:tc>
        <w:tc>
          <w:tcPr>
            <w:tcW w:w="2409" w:type="dxa"/>
            <w:tcBorders>
              <w:top w:val="single" w:sz="4" w:space="0" w:color="365F91"/>
              <w:bottom w:val="single" w:sz="4" w:space="0" w:color="365F91"/>
              <w:right w:val="nil"/>
            </w:tcBorders>
          </w:tcPr>
          <w:p w14:paraId="3CD036E4" w14:textId="77777777" w:rsidR="00005A00" w:rsidRPr="00256982" w:rsidRDefault="00005A00" w:rsidP="00AA14F1">
            <w:pPr>
              <w:pStyle w:val="TableText"/>
              <w:keepNext/>
              <w:spacing w:before="40" w:after="40"/>
              <w:rPr>
                <w:lang w:eastAsia="en-NZ"/>
              </w:rPr>
            </w:pPr>
            <w:r w:rsidRPr="00256982">
              <w:rPr>
                <w:lang w:eastAsia="en-NZ"/>
              </w:rPr>
              <w:t>Beca Infrastructure Ltd (unpublished)</w:t>
            </w:r>
          </w:p>
        </w:tc>
      </w:tr>
      <w:tr w:rsidR="00005A00" w:rsidRPr="00256982" w14:paraId="06419B0A" w14:textId="77777777" w:rsidTr="00250ABA">
        <w:tc>
          <w:tcPr>
            <w:tcW w:w="2694" w:type="dxa"/>
            <w:tcBorders>
              <w:top w:val="single" w:sz="4" w:space="0" w:color="365F91"/>
              <w:left w:val="nil"/>
              <w:bottom w:val="single" w:sz="4" w:space="0" w:color="365F91"/>
            </w:tcBorders>
          </w:tcPr>
          <w:p w14:paraId="391F754A" w14:textId="77777777" w:rsidR="00005A00" w:rsidRPr="00256982" w:rsidRDefault="00005A00" w:rsidP="00AA14F1">
            <w:pPr>
              <w:pStyle w:val="TableText"/>
              <w:keepNext/>
              <w:spacing w:before="40" w:after="40"/>
              <w:rPr>
                <w:lang w:eastAsia="en-NZ"/>
              </w:rPr>
            </w:pPr>
            <w:r w:rsidRPr="00256982">
              <w:rPr>
                <w:lang w:eastAsia="en-NZ"/>
              </w:rPr>
              <w:t>Methane correction factor</w:t>
            </w:r>
          </w:p>
        </w:tc>
        <w:tc>
          <w:tcPr>
            <w:tcW w:w="1417" w:type="dxa"/>
            <w:tcBorders>
              <w:top w:val="single" w:sz="4" w:space="0" w:color="365F91"/>
              <w:bottom w:val="single" w:sz="4" w:space="0" w:color="365F91"/>
            </w:tcBorders>
          </w:tcPr>
          <w:p w14:paraId="06E37D1D" w14:textId="77777777" w:rsidR="00005A00" w:rsidRPr="00256982" w:rsidRDefault="00005A00" w:rsidP="00AA14F1">
            <w:pPr>
              <w:pStyle w:val="TableText"/>
              <w:keepNext/>
              <w:tabs>
                <w:tab w:val="decimal" w:pos="80"/>
              </w:tabs>
              <w:spacing w:before="40" w:after="40"/>
              <w:jc w:val="center"/>
              <w:rPr>
                <w:highlight w:val="yellow"/>
                <w:lang w:eastAsia="en-NZ"/>
              </w:rPr>
            </w:pPr>
            <w:r w:rsidRPr="00256982">
              <w:rPr>
                <w:lang w:eastAsia="en-NZ"/>
              </w:rPr>
              <w:t>Range of 0–0.5</w:t>
            </w:r>
          </w:p>
        </w:tc>
        <w:tc>
          <w:tcPr>
            <w:tcW w:w="1985" w:type="dxa"/>
            <w:tcBorders>
              <w:top w:val="single" w:sz="4" w:space="0" w:color="365F91"/>
              <w:bottom w:val="single" w:sz="4" w:space="0" w:color="365F91"/>
            </w:tcBorders>
          </w:tcPr>
          <w:p w14:paraId="60438438" w14:textId="77777777" w:rsidR="00005A00" w:rsidRPr="00256982" w:rsidRDefault="00005A00" w:rsidP="00AA14F1">
            <w:pPr>
              <w:pStyle w:val="TableText"/>
              <w:keepNext/>
              <w:spacing w:before="40" w:after="40"/>
              <w:rPr>
                <w:lang w:eastAsia="en-NZ"/>
              </w:rPr>
            </w:pPr>
            <w:r w:rsidRPr="00256982">
              <w:rPr>
                <w:lang w:eastAsia="en-NZ"/>
              </w:rPr>
              <w:t>New Zealand specific</w:t>
            </w:r>
          </w:p>
        </w:tc>
        <w:tc>
          <w:tcPr>
            <w:tcW w:w="2409" w:type="dxa"/>
            <w:tcBorders>
              <w:top w:val="single" w:sz="4" w:space="0" w:color="365F91"/>
              <w:bottom w:val="single" w:sz="4" w:space="0" w:color="365F91"/>
              <w:right w:val="nil"/>
            </w:tcBorders>
          </w:tcPr>
          <w:p w14:paraId="19344B83" w14:textId="77777777" w:rsidR="00005A00" w:rsidRPr="00256982" w:rsidRDefault="00005A00" w:rsidP="00AA14F1">
            <w:pPr>
              <w:pStyle w:val="TableText"/>
              <w:keepNext/>
              <w:spacing w:before="40" w:after="40"/>
              <w:rPr>
                <w:lang w:eastAsia="en-NZ"/>
              </w:rPr>
            </w:pPr>
            <w:r w:rsidRPr="00256982">
              <w:rPr>
                <w:lang w:eastAsia="en-NZ"/>
              </w:rPr>
              <w:t>Beca Infrastructure Ltd (unpublished)</w:t>
            </w:r>
          </w:p>
        </w:tc>
      </w:tr>
      <w:tr w:rsidR="00005A00" w:rsidRPr="00256982" w14:paraId="1282D30C" w14:textId="77777777" w:rsidTr="00250ABA">
        <w:tc>
          <w:tcPr>
            <w:tcW w:w="2694" w:type="dxa"/>
            <w:tcBorders>
              <w:top w:val="single" w:sz="4" w:space="0" w:color="365F91"/>
              <w:left w:val="nil"/>
              <w:bottom w:val="single" w:sz="4" w:space="0" w:color="365F91"/>
            </w:tcBorders>
          </w:tcPr>
          <w:p w14:paraId="1DE575D3" w14:textId="77777777" w:rsidR="00005A00" w:rsidRPr="00256982" w:rsidRDefault="00005A00" w:rsidP="00AA14F1">
            <w:pPr>
              <w:pStyle w:val="TableText"/>
              <w:spacing w:before="40" w:after="40"/>
              <w:rPr>
                <w:lang w:eastAsia="en-NZ"/>
              </w:rPr>
            </w:pPr>
            <w:r w:rsidRPr="00256982">
              <w:rPr>
                <w:lang w:eastAsia="en-NZ"/>
              </w:rPr>
              <w:t xml:space="preserve">Maximum </w:t>
            </w:r>
            <w:r w:rsidRPr="00256982">
              <w:t>CH</w:t>
            </w:r>
            <w:r w:rsidRPr="00256982">
              <w:rPr>
                <w:vertAlign w:val="subscript"/>
              </w:rPr>
              <w:t>4</w:t>
            </w:r>
            <w:r w:rsidRPr="00256982">
              <w:rPr>
                <w:lang w:eastAsia="en-NZ"/>
              </w:rPr>
              <w:t>-producing capacity (kg CH</w:t>
            </w:r>
            <w:r w:rsidRPr="00256982">
              <w:rPr>
                <w:vertAlign w:val="subscript"/>
                <w:lang w:eastAsia="en-NZ"/>
              </w:rPr>
              <w:t>4</w:t>
            </w:r>
            <w:r w:rsidRPr="00256982">
              <w:rPr>
                <w:lang w:eastAsia="en-NZ"/>
              </w:rPr>
              <w:t>/kg COD)</w:t>
            </w:r>
          </w:p>
        </w:tc>
        <w:tc>
          <w:tcPr>
            <w:tcW w:w="1417" w:type="dxa"/>
            <w:tcBorders>
              <w:top w:val="single" w:sz="4" w:space="0" w:color="365F91"/>
              <w:bottom w:val="single" w:sz="4" w:space="0" w:color="365F91"/>
            </w:tcBorders>
          </w:tcPr>
          <w:p w14:paraId="06E5D30F" w14:textId="77777777" w:rsidR="00005A00" w:rsidRPr="00256982" w:rsidRDefault="00005A00" w:rsidP="00AA14F1">
            <w:pPr>
              <w:pStyle w:val="TableText"/>
              <w:tabs>
                <w:tab w:val="decimal" w:pos="80"/>
              </w:tabs>
              <w:spacing w:before="40" w:after="40"/>
              <w:jc w:val="center"/>
              <w:rPr>
                <w:lang w:eastAsia="en-NZ"/>
              </w:rPr>
            </w:pPr>
            <w:r w:rsidRPr="00256982">
              <w:rPr>
                <w:lang w:eastAsia="en-NZ"/>
              </w:rPr>
              <w:t>0.25</w:t>
            </w:r>
          </w:p>
        </w:tc>
        <w:tc>
          <w:tcPr>
            <w:tcW w:w="1985" w:type="dxa"/>
            <w:tcBorders>
              <w:top w:val="single" w:sz="4" w:space="0" w:color="365F91"/>
              <w:bottom w:val="single" w:sz="4" w:space="0" w:color="365F91"/>
            </w:tcBorders>
          </w:tcPr>
          <w:p w14:paraId="39DE8ACA" w14:textId="77777777" w:rsidR="00005A00" w:rsidRPr="00256982" w:rsidRDefault="00005A00" w:rsidP="00AA14F1">
            <w:pPr>
              <w:pStyle w:val="TableText"/>
              <w:spacing w:before="40" w:after="40"/>
              <w:rPr>
                <w:lang w:eastAsia="en-NZ"/>
              </w:rPr>
            </w:pPr>
            <w:r w:rsidRPr="00256982">
              <w:rPr>
                <w:lang w:eastAsia="en-NZ"/>
              </w:rPr>
              <w:t xml:space="preserve">IPCC default </w:t>
            </w:r>
          </w:p>
        </w:tc>
        <w:tc>
          <w:tcPr>
            <w:tcW w:w="2409" w:type="dxa"/>
            <w:tcBorders>
              <w:top w:val="single" w:sz="4" w:space="0" w:color="365F91"/>
              <w:bottom w:val="single" w:sz="4" w:space="0" w:color="365F91"/>
              <w:right w:val="nil"/>
            </w:tcBorders>
          </w:tcPr>
          <w:p w14:paraId="297F44E5" w14:textId="77777777" w:rsidR="00005A00" w:rsidRPr="00256982" w:rsidRDefault="00005A00" w:rsidP="00AA14F1">
            <w:pPr>
              <w:pStyle w:val="TableText"/>
              <w:spacing w:before="40" w:after="40"/>
              <w:rPr>
                <w:lang w:eastAsia="en-NZ"/>
              </w:rPr>
            </w:pPr>
            <w:r w:rsidRPr="00256982">
              <w:rPr>
                <w:lang w:eastAsia="en-NZ"/>
              </w:rPr>
              <w:t>IPCC (2006a)</w:t>
            </w:r>
          </w:p>
        </w:tc>
      </w:tr>
      <w:tr w:rsidR="00005A00" w:rsidRPr="00256982" w14:paraId="7BD47E61" w14:textId="77777777" w:rsidTr="00250ABA">
        <w:tc>
          <w:tcPr>
            <w:tcW w:w="2694" w:type="dxa"/>
            <w:tcBorders>
              <w:top w:val="single" w:sz="4" w:space="0" w:color="365F91"/>
              <w:left w:val="nil"/>
              <w:bottom w:val="single" w:sz="4" w:space="0" w:color="365F91"/>
            </w:tcBorders>
          </w:tcPr>
          <w:p w14:paraId="3FE71C45" w14:textId="77777777" w:rsidR="00005A00" w:rsidRPr="00256982" w:rsidRDefault="00005A00" w:rsidP="00AA14F1">
            <w:pPr>
              <w:pStyle w:val="TableText"/>
              <w:spacing w:before="40" w:after="40"/>
              <w:rPr>
                <w:lang w:eastAsia="en-NZ"/>
              </w:rPr>
            </w:pPr>
            <w:r w:rsidRPr="00256982">
              <w:rPr>
                <w:lang w:eastAsia="en-NZ"/>
              </w:rPr>
              <w:t>Overall emission factor</w:t>
            </w:r>
          </w:p>
        </w:tc>
        <w:tc>
          <w:tcPr>
            <w:tcW w:w="1417" w:type="dxa"/>
            <w:tcBorders>
              <w:top w:val="single" w:sz="4" w:space="0" w:color="365F91"/>
              <w:bottom w:val="single" w:sz="4" w:space="0" w:color="365F91"/>
            </w:tcBorders>
          </w:tcPr>
          <w:p w14:paraId="203463A7" w14:textId="77777777" w:rsidR="00005A00" w:rsidRPr="00256982" w:rsidRDefault="00005A00" w:rsidP="00AA14F1">
            <w:pPr>
              <w:pStyle w:val="TableText"/>
              <w:tabs>
                <w:tab w:val="decimal" w:pos="80"/>
              </w:tabs>
              <w:spacing w:before="40" w:after="40"/>
              <w:jc w:val="center"/>
              <w:rPr>
                <w:lang w:eastAsia="en-NZ"/>
              </w:rPr>
            </w:pPr>
            <w:r w:rsidRPr="00256982">
              <w:rPr>
                <w:lang w:eastAsia="en-NZ"/>
              </w:rPr>
              <w:t>0.0167</w:t>
            </w:r>
          </w:p>
        </w:tc>
        <w:tc>
          <w:tcPr>
            <w:tcW w:w="1985" w:type="dxa"/>
            <w:tcBorders>
              <w:top w:val="single" w:sz="4" w:space="0" w:color="365F91"/>
              <w:bottom w:val="single" w:sz="4" w:space="0" w:color="365F91"/>
            </w:tcBorders>
          </w:tcPr>
          <w:p w14:paraId="14DFB651" w14:textId="77777777" w:rsidR="00005A00" w:rsidRPr="00256982" w:rsidRDefault="00005A00" w:rsidP="00AA14F1">
            <w:pPr>
              <w:pStyle w:val="TableText"/>
              <w:spacing w:before="40" w:after="40"/>
              <w:rPr>
                <w:lang w:eastAsia="en-NZ"/>
              </w:rPr>
            </w:pPr>
            <w:r w:rsidRPr="00256982">
              <w:rPr>
                <w:lang w:eastAsia="en-NZ"/>
              </w:rPr>
              <w:t>New Zealand specific</w:t>
            </w:r>
          </w:p>
        </w:tc>
        <w:tc>
          <w:tcPr>
            <w:tcW w:w="2409" w:type="dxa"/>
            <w:tcBorders>
              <w:top w:val="single" w:sz="4" w:space="0" w:color="365F91"/>
              <w:bottom w:val="single" w:sz="4" w:space="0" w:color="365F91"/>
              <w:right w:val="nil"/>
            </w:tcBorders>
          </w:tcPr>
          <w:p w14:paraId="65620130" w14:textId="77777777" w:rsidR="00005A00" w:rsidRPr="00256982" w:rsidRDefault="00005A00" w:rsidP="00AA14F1">
            <w:pPr>
              <w:pStyle w:val="TableText"/>
              <w:spacing w:before="40" w:after="40"/>
              <w:rPr>
                <w:lang w:eastAsia="en-NZ"/>
              </w:rPr>
            </w:pPr>
            <w:r w:rsidRPr="00256982">
              <w:rPr>
                <w:lang w:eastAsia="en-NZ"/>
              </w:rPr>
              <w:t>Cardno (unpublished)</w:t>
            </w:r>
          </w:p>
        </w:tc>
      </w:tr>
    </w:tbl>
    <w:p w14:paraId="22013751" w14:textId="77777777" w:rsidR="00005A00" w:rsidRPr="00256982" w:rsidRDefault="00005A00" w:rsidP="00005A00">
      <w:pPr>
        <w:pStyle w:val="Noteundertable"/>
        <w:rPr>
          <w:lang w:eastAsia="en-NZ"/>
        </w:rPr>
      </w:pPr>
      <w:r w:rsidRPr="00256982">
        <w:rPr>
          <w:b/>
          <w:lang w:eastAsia="en-NZ"/>
        </w:rPr>
        <w:t>Note:</w:t>
      </w:r>
      <w:r w:rsidRPr="00256982">
        <w:rPr>
          <w:lang w:eastAsia="en-NZ"/>
        </w:rPr>
        <w:t xml:space="preserve"> </w:t>
      </w:r>
      <w:r w:rsidRPr="00256982">
        <w:rPr>
          <w:lang w:eastAsia="en-NZ"/>
        </w:rPr>
        <w:tab/>
        <w:t>COD = chemical oxygen demand.</w:t>
      </w:r>
    </w:p>
    <w:p w14:paraId="23B3DD71" w14:textId="77777777" w:rsidR="00005A00" w:rsidRPr="00256982" w:rsidRDefault="00005A00" w:rsidP="00005A00">
      <w:pPr>
        <w:pStyle w:val="Heading6"/>
        <w:spacing w:before="120"/>
      </w:pPr>
      <w:r w:rsidRPr="00256982">
        <w:rPr>
          <w:lang w:eastAsia="en-NZ"/>
        </w:rPr>
        <w:t>Recovery</w:t>
      </w:r>
    </w:p>
    <w:p w14:paraId="464308AC" w14:textId="77777777" w:rsidR="00005A00" w:rsidRPr="00256982" w:rsidRDefault="00005A00" w:rsidP="00E6662E">
      <w:pPr>
        <w:pStyle w:val="BodyText"/>
        <w:spacing w:after="80"/>
        <w:rPr>
          <w:lang w:eastAsia="en-NZ"/>
        </w:rPr>
      </w:pPr>
      <w:r w:rsidRPr="00256982">
        <w:rPr>
          <w:lang w:eastAsia="en-NZ"/>
        </w:rPr>
        <w:t xml:space="preserve">There is no recovery of emissions reported for this source. </w:t>
      </w:r>
    </w:p>
    <w:p w14:paraId="14B09969" w14:textId="77777777" w:rsidR="00005A00" w:rsidRPr="00256982" w:rsidRDefault="00005A00" w:rsidP="00E6662E">
      <w:pPr>
        <w:pStyle w:val="Heading5"/>
        <w:spacing w:before="200"/>
      </w:pPr>
      <w:r w:rsidRPr="00256982">
        <w:t>Methane emissions from industrial wastewater treatment – Wool scouring industry</w:t>
      </w:r>
    </w:p>
    <w:p w14:paraId="55FA0C56" w14:textId="77777777" w:rsidR="00005A00" w:rsidRPr="00256982" w:rsidRDefault="00005A00" w:rsidP="00005A00">
      <w:pPr>
        <w:pStyle w:val="BodyText"/>
        <w:spacing w:after="100"/>
      </w:pPr>
      <w:r w:rsidRPr="00256982">
        <w:t>Table 7.5.11 provides a summary of the parameter values applied for estimating CH</w:t>
      </w:r>
      <w:r w:rsidRPr="00256982">
        <w:rPr>
          <w:vertAlign w:val="subscript"/>
        </w:rPr>
        <w:t>4</w:t>
      </w:r>
      <w:r w:rsidRPr="00256982">
        <w:t xml:space="preserve"> emissions from wastewater treatment by the wool scouring industry.</w:t>
      </w:r>
    </w:p>
    <w:p w14:paraId="74B82C1C" w14:textId="77777777" w:rsidR="00005A00" w:rsidRPr="00256982" w:rsidRDefault="00005A00" w:rsidP="00005A00">
      <w:pPr>
        <w:pStyle w:val="Table"/>
      </w:pPr>
      <w:bookmarkStart w:id="2417" w:name="_Toc321399255"/>
      <w:bookmarkStart w:id="2418" w:name="_Toc444001632"/>
      <w:bookmarkStart w:id="2419" w:name="_Toc451176184"/>
      <w:bookmarkStart w:id="2420" w:name="_Toc481751614"/>
      <w:bookmarkStart w:id="2421" w:name="_Toc508019341"/>
      <w:bookmarkStart w:id="2422" w:name="_Toc511116839"/>
      <w:bookmarkStart w:id="2423" w:name="_Toc5269588"/>
      <w:r w:rsidRPr="00256982">
        <w:t>Table 7.5.11</w:t>
      </w:r>
      <w:r w:rsidRPr="00256982">
        <w:tab/>
        <w:t>Parameter values applied by New Zealand for estimating methane emissions</w:t>
      </w:r>
      <w:r w:rsidRPr="00256982">
        <w:br/>
        <w:t>for wastewater treatment by the wool scouring industry</w:t>
      </w:r>
      <w:bookmarkEnd w:id="2417"/>
      <w:bookmarkEnd w:id="2418"/>
      <w:bookmarkEnd w:id="2419"/>
      <w:bookmarkEnd w:id="2420"/>
      <w:bookmarkEnd w:id="2421"/>
      <w:bookmarkEnd w:id="2422"/>
      <w:bookmarkEnd w:id="2423"/>
    </w:p>
    <w:tbl>
      <w:tblPr>
        <w:tblW w:w="8505" w:type="dxa"/>
        <w:tblInd w:w="108" w:type="dxa"/>
        <w:tblBorders>
          <w:top w:val="single" w:sz="8" w:space="0" w:color="5B9BD5"/>
          <w:bottom w:val="single" w:sz="8" w:space="0" w:color="5B9BD5"/>
          <w:insideH w:val="single" w:sz="8" w:space="0" w:color="5B9BD5"/>
        </w:tblBorders>
        <w:tblLook w:val="04A0" w:firstRow="1" w:lastRow="0" w:firstColumn="1" w:lastColumn="0" w:noHBand="0" w:noVBand="1"/>
      </w:tblPr>
      <w:tblGrid>
        <w:gridCol w:w="2694"/>
        <w:gridCol w:w="856"/>
        <w:gridCol w:w="1837"/>
        <w:gridCol w:w="3118"/>
      </w:tblGrid>
      <w:tr w:rsidR="00005A00" w:rsidRPr="00256982" w14:paraId="54F8BB6C" w14:textId="77777777" w:rsidTr="00AA14F1">
        <w:tc>
          <w:tcPr>
            <w:tcW w:w="2694" w:type="dxa"/>
            <w:tcBorders>
              <w:top w:val="single" w:sz="4" w:space="0" w:color="365F91"/>
              <w:bottom w:val="single" w:sz="4" w:space="0" w:color="365F91"/>
            </w:tcBorders>
            <w:shd w:val="clear" w:color="auto" w:fill="365F91"/>
          </w:tcPr>
          <w:p w14:paraId="58812B73" w14:textId="77777777" w:rsidR="00005A00" w:rsidRPr="00256982" w:rsidRDefault="00005A00" w:rsidP="00AA14F1">
            <w:pPr>
              <w:pStyle w:val="TableTextBold"/>
              <w:keepNext/>
              <w:rPr>
                <w:noProof w:val="0"/>
                <w:color w:val="FFFFFF"/>
                <w:lang w:eastAsia="en-NZ"/>
              </w:rPr>
            </w:pPr>
            <w:r w:rsidRPr="00256982">
              <w:rPr>
                <w:noProof w:val="0"/>
                <w:color w:val="FFFFFF"/>
                <w:lang w:eastAsia="en-NZ"/>
              </w:rPr>
              <w:t>Parameter</w:t>
            </w:r>
          </w:p>
        </w:tc>
        <w:tc>
          <w:tcPr>
            <w:tcW w:w="856" w:type="dxa"/>
            <w:tcBorders>
              <w:top w:val="single" w:sz="4" w:space="0" w:color="365F91"/>
              <w:bottom w:val="single" w:sz="4" w:space="0" w:color="365F91"/>
            </w:tcBorders>
            <w:shd w:val="clear" w:color="auto" w:fill="365F91"/>
          </w:tcPr>
          <w:p w14:paraId="6E6CCF97" w14:textId="77777777" w:rsidR="00005A00" w:rsidRPr="00256982" w:rsidRDefault="00005A00" w:rsidP="00AA14F1">
            <w:pPr>
              <w:pStyle w:val="TableTextBold"/>
              <w:keepNext/>
              <w:jc w:val="center"/>
              <w:rPr>
                <w:noProof w:val="0"/>
                <w:color w:val="FFFFFF"/>
                <w:lang w:eastAsia="en-NZ"/>
              </w:rPr>
            </w:pPr>
            <w:r w:rsidRPr="00256982">
              <w:rPr>
                <w:noProof w:val="0"/>
                <w:color w:val="FFFFFF"/>
                <w:lang w:eastAsia="en-NZ"/>
              </w:rPr>
              <w:t>Value</w:t>
            </w:r>
          </w:p>
        </w:tc>
        <w:tc>
          <w:tcPr>
            <w:tcW w:w="1837" w:type="dxa"/>
            <w:tcBorders>
              <w:top w:val="single" w:sz="4" w:space="0" w:color="365F91"/>
              <w:bottom w:val="single" w:sz="4" w:space="0" w:color="365F91"/>
            </w:tcBorders>
            <w:shd w:val="clear" w:color="auto" w:fill="365F91"/>
          </w:tcPr>
          <w:p w14:paraId="5F64B483" w14:textId="77777777" w:rsidR="00005A00" w:rsidRPr="00256982" w:rsidRDefault="00005A00" w:rsidP="00AA14F1">
            <w:pPr>
              <w:pStyle w:val="TableTextBold"/>
              <w:keepNext/>
              <w:rPr>
                <w:noProof w:val="0"/>
                <w:color w:val="FFFFFF"/>
                <w:lang w:eastAsia="en-NZ"/>
              </w:rPr>
            </w:pPr>
            <w:r w:rsidRPr="00256982">
              <w:rPr>
                <w:noProof w:val="0"/>
                <w:color w:val="FFFFFF"/>
                <w:lang w:eastAsia="en-NZ"/>
              </w:rPr>
              <w:t>Source</w:t>
            </w:r>
          </w:p>
        </w:tc>
        <w:tc>
          <w:tcPr>
            <w:tcW w:w="3118" w:type="dxa"/>
            <w:tcBorders>
              <w:top w:val="single" w:sz="4" w:space="0" w:color="365F91"/>
              <w:bottom w:val="single" w:sz="4" w:space="0" w:color="365F91"/>
            </w:tcBorders>
            <w:shd w:val="clear" w:color="auto" w:fill="365F91"/>
          </w:tcPr>
          <w:p w14:paraId="356DEBB8" w14:textId="77777777" w:rsidR="00005A00" w:rsidRPr="00256982" w:rsidRDefault="00005A00" w:rsidP="00AA14F1">
            <w:pPr>
              <w:pStyle w:val="TableTextBold"/>
              <w:keepNext/>
              <w:rPr>
                <w:noProof w:val="0"/>
                <w:color w:val="FFFFFF"/>
                <w:lang w:eastAsia="en-NZ"/>
              </w:rPr>
            </w:pPr>
            <w:r w:rsidRPr="00256982">
              <w:rPr>
                <w:noProof w:val="0"/>
                <w:color w:val="FFFFFF"/>
                <w:lang w:eastAsia="en-NZ"/>
              </w:rPr>
              <w:t>Reference</w:t>
            </w:r>
          </w:p>
        </w:tc>
      </w:tr>
      <w:tr w:rsidR="00005A00" w:rsidRPr="00256982" w14:paraId="3E885352" w14:textId="77777777" w:rsidTr="00AA14F1">
        <w:tc>
          <w:tcPr>
            <w:tcW w:w="2694" w:type="dxa"/>
            <w:tcBorders>
              <w:top w:val="single" w:sz="4" w:space="0" w:color="365F91"/>
              <w:bottom w:val="single" w:sz="4" w:space="0" w:color="365F91"/>
            </w:tcBorders>
          </w:tcPr>
          <w:p w14:paraId="653B064F" w14:textId="77777777" w:rsidR="00005A00" w:rsidRPr="00256982" w:rsidRDefault="00005A00" w:rsidP="00AA14F1">
            <w:pPr>
              <w:pStyle w:val="TableText"/>
              <w:keepNext/>
              <w:spacing w:before="40" w:after="40"/>
              <w:rPr>
                <w:lang w:eastAsia="en-NZ"/>
              </w:rPr>
            </w:pPr>
            <w:r w:rsidRPr="00256982">
              <w:rPr>
                <w:lang w:eastAsia="en-NZ"/>
              </w:rPr>
              <w:t>Degradable organic component (kg COD/tonne of product)</w:t>
            </w:r>
          </w:p>
        </w:tc>
        <w:tc>
          <w:tcPr>
            <w:tcW w:w="856" w:type="dxa"/>
            <w:tcBorders>
              <w:top w:val="single" w:sz="4" w:space="0" w:color="365F91"/>
              <w:bottom w:val="single" w:sz="4" w:space="0" w:color="365F91"/>
            </w:tcBorders>
          </w:tcPr>
          <w:p w14:paraId="246DEA01" w14:textId="77777777" w:rsidR="00005A00" w:rsidRPr="00256982" w:rsidRDefault="00005A00" w:rsidP="00AA14F1">
            <w:pPr>
              <w:pStyle w:val="TableText"/>
              <w:spacing w:before="40" w:after="40"/>
              <w:jc w:val="center"/>
              <w:rPr>
                <w:lang w:eastAsia="en-NZ"/>
              </w:rPr>
            </w:pPr>
            <w:r w:rsidRPr="00256982">
              <w:rPr>
                <w:lang w:eastAsia="en-NZ"/>
              </w:rPr>
              <w:t>22</w:t>
            </w:r>
          </w:p>
        </w:tc>
        <w:tc>
          <w:tcPr>
            <w:tcW w:w="1837" w:type="dxa"/>
            <w:tcBorders>
              <w:top w:val="single" w:sz="4" w:space="0" w:color="365F91"/>
              <w:bottom w:val="single" w:sz="4" w:space="0" w:color="365F91"/>
            </w:tcBorders>
          </w:tcPr>
          <w:p w14:paraId="27B6F205" w14:textId="77777777" w:rsidR="00005A00" w:rsidRPr="00256982" w:rsidRDefault="00005A00" w:rsidP="00AA14F1">
            <w:pPr>
              <w:pStyle w:val="TableText"/>
              <w:spacing w:before="40" w:after="40"/>
              <w:rPr>
                <w:lang w:eastAsia="en-NZ"/>
              </w:rPr>
            </w:pPr>
            <w:r w:rsidRPr="00256982">
              <w:rPr>
                <w:lang w:eastAsia="en-NZ"/>
              </w:rPr>
              <w:t>New Zealand specific</w:t>
            </w:r>
          </w:p>
        </w:tc>
        <w:tc>
          <w:tcPr>
            <w:tcW w:w="3118" w:type="dxa"/>
            <w:tcBorders>
              <w:top w:val="single" w:sz="4" w:space="0" w:color="365F91"/>
              <w:bottom w:val="single" w:sz="4" w:space="0" w:color="365F91"/>
            </w:tcBorders>
          </w:tcPr>
          <w:p w14:paraId="306F7280" w14:textId="77777777" w:rsidR="00005A00" w:rsidRPr="00256982" w:rsidRDefault="00005A00" w:rsidP="00AA14F1">
            <w:pPr>
              <w:pStyle w:val="TableText"/>
              <w:spacing w:before="40" w:after="40"/>
              <w:rPr>
                <w:lang w:eastAsia="en-NZ"/>
              </w:rPr>
            </w:pPr>
            <w:r w:rsidRPr="00256982">
              <w:rPr>
                <w:lang w:eastAsia="en-NZ"/>
              </w:rPr>
              <w:t>SCS Wetherill Environmental (unpublished)</w:t>
            </w:r>
          </w:p>
        </w:tc>
      </w:tr>
      <w:tr w:rsidR="00005A00" w:rsidRPr="00256982" w14:paraId="2E678048" w14:textId="77777777" w:rsidTr="00AA14F1">
        <w:tc>
          <w:tcPr>
            <w:tcW w:w="2694" w:type="dxa"/>
            <w:tcBorders>
              <w:top w:val="single" w:sz="4" w:space="0" w:color="365F91"/>
              <w:bottom w:val="single" w:sz="4" w:space="0" w:color="365F91"/>
            </w:tcBorders>
          </w:tcPr>
          <w:p w14:paraId="0EF13AD2" w14:textId="77777777" w:rsidR="00005A00" w:rsidRPr="00256982" w:rsidRDefault="00005A00" w:rsidP="00AA14F1">
            <w:pPr>
              <w:pStyle w:val="TableText"/>
              <w:keepNext/>
              <w:spacing w:before="40" w:after="40"/>
              <w:rPr>
                <w:lang w:eastAsia="en-NZ"/>
              </w:rPr>
            </w:pPr>
            <w:r w:rsidRPr="00256982">
              <w:rPr>
                <w:lang w:eastAsia="en-NZ"/>
              </w:rPr>
              <w:t xml:space="preserve">Methane correction factor </w:t>
            </w:r>
          </w:p>
        </w:tc>
        <w:tc>
          <w:tcPr>
            <w:tcW w:w="856" w:type="dxa"/>
            <w:tcBorders>
              <w:top w:val="single" w:sz="4" w:space="0" w:color="365F91"/>
              <w:bottom w:val="single" w:sz="4" w:space="0" w:color="365F91"/>
            </w:tcBorders>
          </w:tcPr>
          <w:p w14:paraId="576A4F72" w14:textId="77777777" w:rsidR="00005A00" w:rsidRPr="00256982" w:rsidRDefault="00005A00" w:rsidP="00AA14F1">
            <w:pPr>
              <w:pStyle w:val="TableText"/>
              <w:keepNext/>
              <w:spacing w:before="40" w:after="40"/>
              <w:jc w:val="center"/>
              <w:rPr>
                <w:lang w:eastAsia="en-NZ"/>
              </w:rPr>
            </w:pPr>
            <w:r w:rsidRPr="00256982">
              <w:rPr>
                <w:lang w:eastAsia="en-NZ"/>
              </w:rPr>
              <w:t>0.29</w:t>
            </w:r>
          </w:p>
        </w:tc>
        <w:tc>
          <w:tcPr>
            <w:tcW w:w="1837" w:type="dxa"/>
            <w:tcBorders>
              <w:top w:val="single" w:sz="4" w:space="0" w:color="365F91"/>
              <w:bottom w:val="single" w:sz="4" w:space="0" w:color="365F91"/>
            </w:tcBorders>
          </w:tcPr>
          <w:p w14:paraId="2476BB5B" w14:textId="77777777" w:rsidR="00005A00" w:rsidRPr="00256982" w:rsidRDefault="00005A00" w:rsidP="00AA14F1">
            <w:pPr>
              <w:pStyle w:val="TableText"/>
              <w:keepNext/>
              <w:spacing w:before="40" w:after="40"/>
              <w:rPr>
                <w:lang w:eastAsia="en-NZ"/>
              </w:rPr>
            </w:pPr>
            <w:r w:rsidRPr="00256982">
              <w:rPr>
                <w:lang w:eastAsia="en-NZ"/>
              </w:rPr>
              <w:t>New Zealand specific</w:t>
            </w:r>
          </w:p>
        </w:tc>
        <w:tc>
          <w:tcPr>
            <w:tcW w:w="3118" w:type="dxa"/>
            <w:tcBorders>
              <w:top w:val="single" w:sz="4" w:space="0" w:color="365F91"/>
              <w:bottom w:val="single" w:sz="4" w:space="0" w:color="365F91"/>
            </w:tcBorders>
          </w:tcPr>
          <w:p w14:paraId="79FE5DF5" w14:textId="77777777" w:rsidR="00005A00" w:rsidRPr="00256982" w:rsidRDefault="00005A00" w:rsidP="00AA14F1">
            <w:pPr>
              <w:pStyle w:val="TableText"/>
              <w:keepNext/>
              <w:spacing w:before="40" w:after="40"/>
              <w:rPr>
                <w:lang w:eastAsia="en-NZ"/>
              </w:rPr>
            </w:pPr>
            <w:r w:rsidRPr="00256982">
              <w:rPr>
                <w:lang w:eastAsia="en-NZ"/>
              </w:rPr>
              <w:t>SCS Wetherill Environmental (unpublished)</w:t>
            </w:r>
          </w:p>
        </w:tc>
      </w:tr>
      <w:tr w:rsidR="00005A00" w:rsidRPr="00256982" w14:paraId="36C0D4FA" w14:textId="77777777" w:rsidTr="00AA14F1">
        <w:tc>
          <w:tcPr>
            <w:tcW w:w="2694" w:type="dxa"/>
            <w:tcBorders>
              <w:top w:val="single" w:sz="4" w:space="0" w:color="365F91"/>
              <w:bottom w:val="single" w:sz="4" w:space="0" w:color="365F91"/>
            </w:tcBorders>
          </w:tcPr>
          <w:p w14:paraId="53B122CC" w14:textId="77777777" w:rsidR="00005A00" w:rsidRPr="00256982" w:rsidRDefault="00005A00" w:rsidP="00AA14F1">
            <w:pPr>
              <w:pStyle w:val="TableText"/>
              <w:keepNext/>
              <w:spacing w:before="40" w:after="40"/>
              <w:rPr>
                <w:lang w:eastAsia="en-NZ"/>
              </w:rPr>
            </w:pPr>
            <w:r w:rsidRPr="00256982">
              <w:rPr>
                <w:lang w:eastAsia="en-NZ"/>
              </w:rPr>
              <w:t xml:space="preserve">Maximum </w:t>
            </w:r>
            <w:r w:rsidRPr="00256982">
              <w:t>CH</w:t>
            </w:r>
            <w:r w:rsidRPr="00256982">
              <w:rPr>
                <w:vertAlign w:val="subscript"/>
              </w:rPr>
              <w:t>4</w:t>
            </w:r>
            <w:r w:rsidRPr="00256982">
              <w:rPr>
                <w:lang w:eastAsia="en-NZ"/>
              </w:rPr>
              <w:t xml:space="preserve"> producing capacity (kg CH</w:t>
            </w:r>
            <w:r w:rsidRPr="00256982">
              <w:rPr>
                <w:vertAlign w:val="subscript"/>
                <w:lang w:eastAsia="en-NZ"/>
              </w:rPr>
              <w:t>4</w:t>
            </w:r>
            <w:r w:rsidRPr="00256982">
              <w:rPr>
                <w:lang w:eastAsia="en-NZ"/>
              </w:rPr>
              <w:t>/kg COD)</w:t>
            </w:r>
          </w:p>
        </w:tc>
        <w:tc>
          <w:tcPr>
            <w:tcW w:w="856" w:type="dxa"/>
            <w:tcBorders>
              <w:top w:val="single" w:sz="4" w:space="0" w:color="365F91"/>
              <w:bottom w:val="single" w:sz="4" w:space="0" w:color="365F91"/>
            </w:tcBorders>
          </w:tcPr>
          <w:p w14:paraId="4D90C161" w14:textId="77777777" w:rsidR="00005A00" w:rsidRPr="00256982" w:rsidRDefault="00005A00" w:rsidP="00AA14F1">
            <w:pPr>
              <w:pStyle w:val="TableText"/>
              <w:spacing w:before="40" w:after="40"/>
              <w:jc w:val="center"/>
              <w:rPr>
                <w:lang w:eastAsia="en-NZ"/>
              </w:rPr>
            </w:pPr>
            <w:r w:rsidRPr="00256982">
              <w:rPr>
                <w:lang w:eastAsia="en-NZ"/>
              </w:rPr>
              <w:t>0.25</w:t>
            </w:r>
          </w:p>
        </w:tc>
        <w:tc>
          <w:tcPr>
            <w:tcW w:w="1837" w:type="dxa"/>
            <w:tcBorders>
              <w:top w:val="single" w:sz="4" w:space="0" w:color="365F91"/>
              <w:bottom w:val="single" w:sz="4" w:space="0" w:color="365F91"/>
            </w:tcBorders>
          </w:tcPr>
          <w:p w14:paraId="455774D7" w14:textId="77777777" w:rsidR="00005A00" w:rsidRPr="00256982" w:rsidRDefault="00005A00" w:rsidP="00AA14F1">
            <w:pPr>
              <w:pStyle w:val="TableText"/>
              <w:spacing w:before="40" w:after="40"/>
              <w:rPr>
                <w:lang w:eastAsia="en-NZ"/>
              </w:rPr>
            </w:pPr>
            <w:r w:rsidRPr="00256982">
              <w:rPr>
                <w:lang w:eastAsia="en-NZ"/>
              </w:rPr>
              <w:t xml:space="preserve">IPCC default </w:t>
            </w:r>
          </w:p>
        </w:tc>
        <w:tc>
          <w:tcPr>
            <w:tcW w:w="3118" w:type="dxa"/>
            <w:tcBorders>
              <w:top w:val="single" w:sz="4" w:space="0" w:color="365F91"/>
              <w:bottom w:val="single" w:sz="4" w:space="0" w:color="365F91"/>
            </w:tcBorders>
          </w:tcPr>
          <w:p w14:paraId="472A2456" w14:textId="77777777" w:rsidR="00005A00" w:rsidRPr="00256982" w:rsidRDefault="00005A00" w:rsidP="00AA14F1">
            <w:pPr>
              <w:pStyle w:val="TableText"/>
              <w:spacing w:before="40" w:after="40"/>
              <w:rPr>
                <w:lang w:eastAsia="en-NZ"/>
              </w:rPr>
            </w:pPr>
            <w:r w:rsidRPr="00256982">
              <w:rPr>
                <w:lang w:eastAsia="en-NZ"/>
              </w:rPr>
              <w:t>IPCC (2006a)</w:t>
            </w:r>
          </w:p>
        </w:tc>
      </w:tr>
      <w:tr w:rsidR="00005A00" w:rsidRPr="00256982" w14:paraId="4D748895" w14:textId="77777777" w:rsidTr="00AA14F1">
        <w:tc>
          <w:tcPr>
            <w:tcW w:w="2694" w:type="dxa"/>
            <w:tcBorders>
              <w:top w:val="single" w:sz="4" w:space="0" w:color="365F91"/>
              <w:bottom w:val="single" w:sz="4" w:space="0" w:color="365F91"/>
            </w:tcBorders>
          </w:tcPr>
          <w:p w14:paraId="1EB75D94" w14:textId="77777777" w:rsidR="00005A00" w:rsidRPr="00256982" w:rsidRDefault="00005A00" w:rsidP="00AA14F1">
            <w:pPr>
              <w:pStyle w:val="TableText"/>
              <w:keepNext/>
              <w:spacing w:before="40" w:after="40"/>
              <w:rPr>
                <w:lang w:eastAsia="en-NZ"/>
              </w:rPr>
            </w:pPr>
            <w:r w:rsidRPr="00256982">
              <w:rPr>
                <w:lang w:eastAsia="en-NZ"/>
              </w:rPr>
              <w:t>Overall emission factor</w:t>
            </w:r>
          </w:p>
        </w:tc>
        <w:tc>
          <w:tcPr>
            <w:tcW w:w="856" w:type="dxa"/>
            <w:tcBorders>
              <w:top w:val="single" w:sz="4" w:space="0" w:color="365F91"/>
              <w:bottom w:val="single" w:sz="4" w:space="0" w:color="365F91"/>
            </w:tcBorders>
          </w:tcPr>
          <w:p w14:paraId="7B8DB9AC" w14:textId="77777777" w:rsidR="00005A00" w:rsidRPr="00256982" w:rsidRDefault="00005A00" w:rsidP="00AA14F1">
            <w:pPr>
              <w:pStyle w:val="TableText"/>
              <w:spacing w:before="40" w:after="40"/>
              <w:jc w:val="center"/>
              <w:rPr>
                <w:lang w:eastAsia="en-NZ"/>
              </w:rPr>
            </w:pPr>
            <w:r w:rsidRPr="00256982">
              <w:rPr>
                <w:lang w:eastAsia="en-NZ"/>
              </w:rPr>
              <w:t>0.0065</w:t>
            </w:r>
          </w:p>
        </w:tc>
        <w:tc>
          <w:tcPr>
            <w:tcW w:w="1837" w:type="dxa"/>
            <w:tcBorders>
              <w:top w:val="single" w:sz="4" w:space="0" w:color="365F91"/>
              <w:bottom w:val="single" w:sz="4" w:space="0" w:color="365F91"/>
            </w:tcBorders>
          </w:tcPr>
          <w:p w14:paraId="0719038F" w14:textId="77777777" w:rsidR="00005A00" w:rsidRPr="00256982" w:rsidRDefault="00005A00" w:rsidP="00AA14F1">
            <w:pPr>
              <w:pStyle w:val="TableText"/>
              <w:spacing w:before="40" w:after="40"/>
              <w:rPr>
                <w:lang w:eastAsia="en-NZ"/>
              </w:rPr>
            </w:pPr>
            <w:r w:rsidRPr="00256982">
              <w:rPr>
                <w:lang w:eastAsia="en-NZ"/>
              </w:rPr>
              <w:t>New Zealand specific</w:t>
            </w:r>
          </w:p>
        </w:tc>
        <w:tc>
          <w:tcPr>
            <w:tcW w:w="3118" w:type="dxa"/>
            <w:tcBorders>
              <w:top w:val="single" w:sz="4" w:space="0" w:color="365F91"/>
              <w:bottom w:val="single" w:sz="4" w:space="0" w:color="365F91"/>
            </w:tcBorders>
          </w:tcPr>
          <w:p w14:paraId="65AA3307" w14:textId="77777777" w:rsidR="00005A00" w:rsidRPr="00256982" w:rsidRDefault="00005A00" w:rsidP="00AA14F1">
            <w:pPr>
              <w:pStyle w:val="TableText"/>
              <w:spacing w:before="40" w:after="40"/>
              <w:rPr>
                <w:lang w:eastAsia="en-NZ"/>
              </w:rPr>
            </w:pPr>
            <w:r w:rsidRPr="00256982">
              <w:rPr>
                <w:lang w:eastAsia="en-NZ"/>
              </w:rPr>
              <w:t>SCS Wetherill Environmental (unpublished)</w:t>
            </w:r>
          </w:p>
        </w:tc>
      </w:tr>
    </w:tbl>
    <w:p w14:paraId="0AA88B55" w14:textId="77777777" w:rsidR="00005A00" w:rsidRPr="00256982" w:rsidRDefault="00005A00" w:rsidP="00005A00">
      <w:pPr>
        <w:pStyle w:val="Noteundertable"/>
        <w:spacing w:after="80"/>
      </w:pPr>
      <w:r w:rsidRPr="00256982">
        <w:rPr>
          <w:b/>
          <w:lang w:eastAsia="en-NZ"/>
        </w:rPr>
        <w:t>Note:</w:t>
      </w:r>
      <w:r w:rsidRPr="00256982">
        <w:rPr>
          <w:lang w:eastAsia="en-NZ"/>
        </w:rPr>
        <w:t xml:space="preserve"> </w:t>
      </w:r>
      <w:r w:rsidRPr="00256982">
        <w:rPr>
          <w:lang w:eastAsia="en-NZ"/>
        </w:rPr>
        <w:tab/>
        <w:t>COD = chemical oxygen demand.</w:t>
      </w:r>
    </w:p>
    <w:p w14:paraId="7EF5EF20" w14:textId="77777777" w:rsidR="00005A00" w:rsidRPr="00256982" w:rsidRDefault="00005A00" w:rsidP="00E6662E">
      <w:pPr>
        <w:pStyle w:val="Heading6"/>
        <w:spacing w:before="120"/>
        <w:rPr>
          <w:lang w:eastAsia="en-NZ"/>
        </w:rPr>
      </w:pPr>
      <w:r w:rsidRPr="00256982">
        <w:rPr>
          <w:lang w:eastAsia="en-NZ"/>
        </w:rPr>
        <w:t>Recovery</w:t>
      </w:r>
    </w:p>
    <w:p w14:paraId="3BE3A81E" w14:textId="77777777" w:rsidR="00005A00" w:rsidRPr="00256982" w:rsidRDefault="00005A00" w:rsidP="00E6662E">
      <w:pPr>
        <w:pStyle w:val="BodyText"/>
        <w:spacing w:after="80"/>
        <w:rPr>
          <w:lang w:eastAsia="en-NZ"/>
        </w:rPr>
      </w:pPr>
      <w:r w:rsidRPr="00256982">
        <w:rPr>
          <w:lang w:eastAsia="en-NZ"/>
        </w:rPr>
        <w:t xml:space="preserve">There is no recovery of emissions reported for this source. </w:t>
      </w:r>
    </w:p>
    <w:p w14:paraId="27B56CBA" w14:textId="77777777" w:rsidR="00005A00" w:rsidRPr="00256982" w:rsidRDefault="00005A00" w:rsidP="00E6662E">
      <w:pPr>
        <w:pStyle w:val="Heading5"/>
        <w:spacing w:before="200"/>
      </w:pPr>
      <w:r w:rsidRPr="00256982">
        <w:t>Methane emissions from industrial wastewater treatment – Leather and skins industry</w:t>
      </w:r>
    </w:p>
    <w:p w14:paraId="7618EFA3" w14:textId="77777777" w:rsidR="00005A00" w:rsidRPr="00256982" w:rsidRDefault="00005A00" w:rsidP="00005A00">
      <w:pPr>
        <w:pStyle w:val="BodyText"/>
      </w:pPr>
      <w:r w:rsidRPr="00256982">
        <w:t>Table 7.5.12 provides a summary of the parameter values applied for estimating CH</w:t>
      </w:r>
      <w:r w:rsidRPr="00256982">
        <w:rPr>
          <w:vertAlign w:val="subscript"/>
        </w:rPr>
        <w:t>4</w:t>
      </w:r>
      <w:r w:rsidRPr="00256982">
        <w:t xml:space="preserve"> emissions from wastewater treatment by the leather and skins industry.</w:t>
      </w:r>
    </w:p>
    <w:p w14:paraId="35AE38C7" w14:textId="77777777" w:rsidR="00005A00" w:rsidRPr="00256982" w:rsidRDefault="00005A00" w:rsidP="00005A00">
      <w:pPr>
        <w:pStyle w:val="Table"/>
      </w:pPr>
      <w:bookmarkStart w:id="2424" w:name="_Toc511116840"/>
      <w:bookmarkStart w:id="2425" w:name="_Toc5269589"/>
      <w:r w:rsidRPr="00256982">
        <w:t>Table 7.5.12</w:t>
      </w:r>
      <w:r w:rsidRPr="00256982">
        <w:tab/>
        <w:t>Parameter values applied by New Zealand for estimating methane emissions</w:t>
      </w:r>
      <w:r w:rsidRPr="00256982">
        <w:br/>
        <w:t>for wastewater treatment by the leather and skins industry</w:t>
      </w:r>
      <w:bookmarkEnd w:id="2424"/>
      <w:bookmarkEnd w:id="2425"/>
    </w:p>
    <w:tbl>
      <w:tblPr>
        <w:tblW w:w="8505" w:type="dxa"/>
        <w:tblInd w:w="108" w:type="dxa"/>
        <w:tblLook w:val="04A0" w:firstRow="1" w:lastRow="0" w:firstColumn="1" w:lastColumn="0" w:noHBand="0" w:noVBand="1"/>
      </w:tblPr>
      <w:tblGrid>
        <w:gridCol w:w="2552"/>
        <w:gridCol w:w="1417"/>
        <w:gridCol w:w="1843"/>
        <w:gridCol w:w="2693"/>
      </w:tblGrid>
      <w:tr w:rsidR="00005A00" w:rsidRPr="00256982" w14:paraId="28985AFA" w14:textId="77777777" w:rsidTr="00AA14F1">
        <w:trPr>
          <w:tblHeader/>
        </w:trPr>
        <w:tc>
          <w:tcPr>
            <w:tcW w:w="2552" w:type="dxa"/>
            <w:tcBorders>
              <w:top w:val="single" w:sz="4" w:space="0" w:color="365F91"/>
              <w:left w:val="nil"/>
              <w:bottom w:val="single" w:sz="4" w:space="0" w:color="365F91"/>
            </w:tcBorders>
            <w:shd w:val="clear" w:color="auto" w:fill="365F91"/>
          </w:tcPr>
          <w:p w14:paraId="77C4E7CE" w14:textId="77777777" w:rsidR="00005A00" w:rsidRPr="00256982" w:rsidRDefault="00005A00" w:rsidP="00AA14F1">
            <w:pPr>
              <w:pStyle w:val="TableTextBold"/>
              <w:rPr>
                <w:noProof w:val="0"/>
                <w:color w:val="FFFFFF"/>
              </w:rPr>
            </w:pPr>
            <w:r w:rsidRPr="00256982">
              <w:rPr>
                <w:noProof w:val="0"/>
                <w:color w:val="FFFFFF"/>
              </w:rPr>
              <w:t>Parameter</w:t>
            </w:r>
          </w:p>
        </w:tc>
        <w:tc>
          <w:tcPr>
            <w:tcW w:w="1417" w:type="dxa"/>
            <w:tcBorders>
              <w:top w:val="single" w:sz="4" w:space="0" w:color="365F91"/>
              <w:bottom w:val="single" w:sz="4" w:space="0" w:color="365F91"/>
            </w:tcBorders>
            <w:shd w:val="clear" w:color="auto" w:fill="365F91"/>
          </w:tcPr>
          <w:p w14:paraId="57FDCEE8" w14:textId="77777777" w:rsidR="00005A00" w:rsidRPr="00256982" w:rsidRDefault="00005A00" w:rsidP="00AA14F1">
            <w:pPr>
              <w:pStyle w:val="TableTextBold"/>
              <w:rPr>
                <w:noProof w:val="0"/>
                <w:color w:val="FFFFFF"/>
              </w:rPr>
            </w:pPr>
            <w:r w:rsidRPr="00256982">
              <w:rPr>
                <w:noProof w:val="0"/>
                <w:color w:val="FFFFFF"/>
              </w:rPr>
              <w:t>Value</w:t>
            </w:r>
          </w:p>
        </w:tc>
        <w:tc>
          <w:tcPr>
            <w:tcW w:w="1843" w:type="dxa"/>
            <w:tcBorders>
              <w:top w:val="single" w:sz="4" w:space="0" w:color="365F91"/>
              <w:bottom w:val="single" w:sz="4" w:space="0" w:color="365F91"/>
            </w:tcBorders>
            <w:shd w:val="clear" w:color="auto" w:fill="365F91"/>
          </w:tcPr>
          <w:p w14:paraId="3EF78AE6" w14:textId="77777777" w:rsidR="00005A00" w:rsidRPr="00256982" w:rsidRDefault="00005A00" w:rsidP="00AA14F1">
            <w:pPr>
              <w:pStyle w:val="TableTextBold"/>
              <w:rPr>
                <w:noProof w:val="0"/>
                <w:color w:val="FFFFFF"/>
              </w:rPr>
            </w:pPr>
            <w:r w:rsidRPr="00256982">
              <w:rPr>
                <w:noProof w:val="0"/>
                <w:color w:val="FFFFFF"/>
              </w:rPr>
              <w:t>Source</w:t>
            </w:r>
          </w:p>
        </w:tc>
        <w:tc>
          <w:tcPr>
            <w:tcW w:w="2693" w:type="dxa"/>
            <w:tcBorders>
              <w:top w:val="single" w:sz="4" w:space="0" w:color="365F91"/>
              <w:bottom w:val="single" w:sz="4" w:space="0" w:color="365F91"/>
              <w:right w:val="nil"/>
            </w:tcBorders>
            <w:shd w:val="clear" w:color="auto" w:fill="365F91"/>
          </w:tcPr>
          <w:p w14:paraId="3998739F" w14:textId="77777777" w:rsidR="00005A00" w:rsidRPr="00256982" w:rsidRDefault="00005A00" w:rsidP="00AA14F1">
            <w:pPr>
              <w:pStyle w:val="TableTextBold"/>
              <w:rPr>
                <w:noProof w:val="0"/>
                <w:color w:val="FFFFFF"/>
              </w:rPr>
            </w:pPr>
            <w:r w:rsidRPr="00256982">
              <w:rPr>
                <w:noProof w:val="0"/>
                <w:color w:val="FFFFFF"/>
              </w:rPr>
              <w:t>Reference</w:t>
            </w:r>
          </w:p>
        </w:tc>
      </w:tr>
      <w:tr w:rsidR="00005A00" w:rsidRPr="00256982" w14:paraId="7878E755" w14:textId="77777777" w:rsidTr="00AA14F1">
        <w:tc>
          <w:tcPr>
            <w:tcW w:w="2552" w:type="dxa"/>
            <w:tcBorders>
              <w:top w:val="single" w:sz="4" w:space="0" w:color="365F91"/>
              <w:left w:val="nil"/>
              <w:bottom w:val="single" w:sz="4" w:space="0" w:color="365F91"/>
            </w:tcBorders>
          </w:tcPr>
          <w:p w14:paraId="77E6F5D8" w14:textId="77777777" w:rsidR="00005A00" w:rsidRPr="00256982" w:rsidRDefault="00005A00" w:rsidP="00AA14F1">
            <w:pPr>
              <w:pStyle w:val="TableText"/>
              <w:keepNext/>
              <w:spacing w:before="40" w:after="40"/>
              <w:rPr>
                <w:lang w:eastAsia="en-NZ"/>
              </w:rPr>
            </w:pPr>
            <w:r w:rsidRPr="00256982">
              <w:rPr>
                <w:lang w:eastAsia="en-NZ"/>
              </w:rPr>
              <w:t>Degradable organic component (kg COD/tonne of product)</w:t>
            </w:r>
          </w:p>
        </w:tc>
        <w:tc>
          <w:tcPr>
            <w:tcW w:w="1417" w:type="dxa"/>
            <w:tcBorders>
              <w:top w:val="single" w:sz="4" w:space="0" w:color="365F91"/>
              <w:bottom w:val="single" w:sz="4" w:space="0" w:color="365F91"/>
            </w:tcBorders>
          </w:tcPr>
          <w:p w14:paraId="7272552E" w14:textId="77777777" w:rsidR="00005A00" w:rsidRPr="00256982" w:rsidRDefault="00005A00" w:rsidP="00AA14F1">
            <w:pPr>
              <w:pStyle w:val="TableText"/>
              <w:spacing w:before="40" w:after="40"/>
              <w:rPr>
                <w:lang w:eastAsia="en-NZ"/>
              </w:rPr>
            </w:pPr>
            <w:r w:rsidRPr="00256982">
              <w:rPr>
                <w:lang w:eastAsia="en-NZ"/>
              </w:rPr>
              <w:t>180</w:t>
            </w:r>
          </w:p>
        </w:tc>
        <w:tc>
          <w:tcPr>
            <w:tcW w:w="1843" w:type="dxa"/>
            <w:tcBorders>
              <w:top w:val="single" w:sz="4" w:space="0" w:color="365F91"/>
              <w:bottom w:val="single" w:sz="4" w:space="0" w:color="365F91"/>
            </w:tcBorders>
          </w:tcPr>
          <w:p w14:paraId="273AAD57" w14:textId="77777777" w:rsidR="00005A00" w:rsidRPr="00256982" w:rsidRDefault="00005A00" w:rsidP="00AA14F1">
            <w:pPr>
              <w:pStyle w:val="TableText"/>
              <w:spacing w:before="40" w:after="40"/>
              <w:rPr>
                <w:lang w:eastAsia="en-NZ"/>
              </w:rPr>
            </w:pPr>
            <w:r w:rsidRPr="00256982">
              <w:rPr>
                <w:lang w:eastAsia="en-NZ"/>
              </w:rPr>
              <w:t>New Zealand specific</w:t>
            </w:r>
          </w:p>
        </w:tc>
        <w:tc>
          <w:tcPr>
            <w:tcW w:w="2693" w:type="dxa"/>
            <w:tcBorders>
              <w:top w:val="single" w:sz="4" w:space="0" w:color="365F91"/>
              <w:bottom w:val="single" w:sz="4" w:space="0" w:color="365F91"/>
              <w:right w:val="nil"/>
            </w:tcBorders>
          </w:tcPr>
          <w:p w14:paraId="11189E2D" w14:textId="77777777" w:rsidR="00005A00" w:rsidRPr="00256982" w:rsidRDefault="00005A00" w:rsidP="00AA14F1">
            <w:pPr>
              <w:pStyle w:val="TableText"/>
              <w:spacing w:before="40" w:after="40"/>
              <w:rPr>
                <w:highlight w:val="yellow"/>
                <w:lang w:eastAsia="en-NZ"/>
              </w:rPr>
            </w:pPr>
            <w:r w:rsidRPr="00256982">
              <w:rPr>
                <w:lang w:eastAsia="en-NZ"/>
              </w:rPr>
              <w:t>SCS Wetherill Environmental (unpublished)</w:t>
            </w:r>
          </w:p>
        </w:tc>
      </w:tr>
      <w:tr w:rsidR="00005A00" w:rsidRPr="00256982" w14:paraId="7621212D" w14:textId="77777777" w:rsidTr="00AA14F1">
        <w:tc>
          <w:tcPr>
            <w:tcW w:w="2552" w:type="dxa"/>
            <w:tcBorders>
              <w:top w:val="single" w:sz="4" w:space="0" w:color="365F91"/>
              <w:left w:val="nil"/>
              <w:bottom w:val="single" w:sz="4" w:space="0" w:color="365F91"/>
            </w:tcBorders>
          </w:tcPr>
          <w:p w14:paraId="514F908E" w14:textId="77777777" w:rsidR="00005A00" w:rsidRPr="00256982" w:rsidRDefault="00005A00" w:rsidP="00AA14F1">
            <w:pPr>
              <w:pStyle w:val="TableText"/>
              <w:keepNext/>
              <w:spacing w:before="40" w:after="40"/>
              <w:rPr>
                <w:lang w:eastAsia="en-NZ"/>
              </w:rPr>
            </w:pPr>
            <w:r w:rsidRPr="00256982">
              <w:rPr>
                <w:lang w:eastAsia="en-NZ"/>
              </w:rPr>
              <w:t>Methane correction factor</w:t>
            </w:r>
          </w:p>
        </w:tc>
        <w:tc>
          <w:tcPr>
            <w:tcW w:w="1417" w:type="dxa"/>
            <w:tcBorders>
              <w:top w:val="single" w:sz="4" w:space="0" w:color="365F91"/>
              <w:bottom w:val="single" w:sz="4" w:space="0" w:color="365F91"/>
            </w:tcBorders>
          </w:tcPr>
          <w:p w14:paraId="746967FB" w14:textId="77777777" w:rsidR="00005A00" w:rsidRPr="00256982" w:rsidRDefault="00005A00" w:rsidP="00AA14F1">
            <w:pPr>
              <w:pStyle w:val="TableText"/>
              <w:spacing w:before="40" w:after="40"/>
              <w:rPr>
                <w:lang w:eastAsia="en-NZ"/>
              </w:rPr>
            </w:pPr>
            <w:r w:rsidRPr="00256982">
              <w:rPr>
                <w:lang w:eastAsia="en-NZ"/>
              </w:rPr>
              <w:t>Range of 0–0.55</w:t>
            </w:r>
          </w:p>
        </w:tc>
        <w:tc>
          <w:tcPr>
            <w:tcW w:w="1843" w:type="dxa"/>
            <w:tcBorders>
              <w:top w:val="single" w:sz="4" w:space="0" w:color="365F91"/>
              <w:bottom w:val="single" w:sz="4" w:space="0" w:color="365F91"/>
            </w:tcBorders>
          </w:tcPr>
          <w:p w14:paraId="0AC70491" w14:textId="77777777" w:rsidR="00005A00" w:rsidRPr="00256982" w:rsidRDefault="00005A00" w:rsidP="00AA14F1">
            <w:pPr>
              <w:pStyle w:val="TableText"/>
              <w:spacing w:before="40" w:after="40"/>
              <w:rPr>
                <w:lang w:eastAsia="en-NZ"/>
              </w:rPr>
            </w:pPr>
            <w:r w:rsidRPr="00256982">
              <w:rPr>
                <w:lang w:eastAsia="en-NZ"/>
              </w:rPr>
              <w:t>New Zealand specific</w:t>
            </w:r>
          </w:p>
        </w:tc>
        <w:tc>
          <w:tcPr>
            <w:tcW w:w="2693" w:type="dxa"/>
            <w:tcBorders>
              <w:top w:val="single" w:sz="4" w:space="0" w:color="365F91"/>
              <w:bottom w:val="single" w:sz="4" w:space="0" w:color="365F91"/>
              <w:right w:val="nil"/>
            </w:tcBorders>
          </w:tcPr>
          <w:p w14:paraId="1006F63C" w14:textId="77777777" w:rsidR="00005A00" w:rsidRPr="00256982" w:rsidRDefault="00005A00" w:rsidP="00AA14F1">
            <w:pPr>
              <w:pStyle w:val="TableText"/>
              <w:spacing w:before="40" w:after="40"/>
              <w:rPr>
                <w:highlight w:val="yellow"/>
                <w:lang w:eastAsia="en-NZ"/>
              </w:rPr>
            </w:pPr>
            <w:r w:rsidRPr="00256982">
              <w:rPr>
                <w:lang w:eastAsia="en-NZ"/>
              </w:rPr>
              <w:t>SCS Wetherill Environmental (unpublished)</w:t>
            </w:r>
          </w:p>
        </w:tc>
      </w:tr>
      <w:tr w:rsidR="00005A00" w:rsidRPr="00256982" w14:paraId="31CDB18B" w14:textId="77777777" w:rsidTr="00AA14F1">
        <w:tc>
          <w:tcPr>
            <w:tcW w:w="2552" w:type="dxa"/>
            <w:tcBorders>
              <w:top w:val="single" w:sz="4" w:space="0" w:color="365F91"/>
              <w:left w:val="nil"/>
              <w:bottom w:val="single" w:sz="4" w:space="0" w:color="365F91"/>
            </w:tcBorders>
          </w:tcPr>
          <w:p w14:paraId="7002C331" w14:textId="77777777" w:rsidR="00005A00" w:rsidRPr="00256982" w:rsidRDefault="00005A00" w:rsidP="00AA14F1">
            <w:pPr>
              <w:pStyle w:val="TableText"/>
              <w:spacing w:before="40" w:after="40"/>
              <w:rPr>
                <w:lang w:eastAsia="en-NZ"/>
              </w:rPr>
            </w:pPr>
            <w:r w:rsidRPr="00256982">
              <w:rPr>
                <w:lang w:eastAsia="en-NZ"/>
              </w:rPr>
              <w:t xml:space="preserve">Maximum </w:t>
            </w:r>
            <w:r w:rsidRPr="00256982">
              <w:t>CH</w:t>
            </w:r>
            <w:r w:rsidRPr="00256982">
              <w:rPr>
                <w:vertAlign w:val="subscript"/>
              </w:rPr>
              <w:t>4</w:t>
            </w:r>
            <w:r w:rsidRPr="00256982">
              <w:rPr>
                <w:lang w:eastAsia="en-NZ"/>
              </w:rPr>
              <w:t>-producing capacity (kg CH</w:t>
            </w:r>
            <w:r w:rsidRPr="00256982">
              <w:rPr>
                <w:vertAlign w:val="subscript"/>
                <w:lang w:eastAsia="en-NZ"/>
              </w:rPr>
              <w:t>4</w:t>
            </w:r>
            <w:r w:rsidRPr="00256982">
              <w:rPr>
                <w:lang w:eastAsia="en-NZ"/>
              </w:rPr>
              <w:t>/kg COD)</w:t>
            </w:r>
          </w:p>
        </w:tc>
        <w:tc>
          <w:tcPr>
            <w:tcW w:w="1417" w:type="dxa"/>
            <w:tcBorders>
              <w:top w:val="single" w:sz="4" w:space="0" w:color="365F91"/>
              <w:bottom w:val="single" w:sz="4" w:space="0" w:color="365F91"/>
            </w:tcBorders>
          </w:tcPr>
          <w:p w14:paraId="350714C7" w14:textId="77777777" w:rsidR="00005A00" w:rsidRPr="00256982" w:rsidRDefault="00005A00" w:rsidP="00AA14F1">
            <w:pPr>
              <w:pStyle w:val="TableText"/>
              <w:spacing w:before="40" w:after="40"/>
              <w:rPr>
                <w:lang w:eastAsia="en-NZ"/>
              </w:rPr>
            </w:pPr>
            <w:r w:rsidRPr="00256982">
              <w:rPr>
                <w:lang w:eastAsia="en-NZ"/>
              </w:rPr>
              <w:t>0.25</w:t>
            </w:r>
          </w:p>
        </w:tc>
        <w:tc>
          <w:tcPr>
            <w:tcW w:w="1843" w:type="dxa"/>
            <w:tcBorders>
              <w:top w:val="single" w:sz="4" w:space="0" w:color="365F91"/>
              <w:bottom w:val="single" w:sz="4" w:space="0" w:color="365F91"/>
            </w:tcBorders>
          </w:tcPr>
          <w:p w14:paraId="6BB4F85F" w14:textId="77777777" w:rsidR="00005A00" w:rsidRPr="00256982" w:rsidRDefault="00005A00" w:rsidP="00AA14F1">
            <w:pPr>
              <w:pStyle w:val="TableText"/>
              <w:spacing w:before="40" w:after="40"/>
              <w:rPr>
                <w:lang w:eastAsia="en-NZ"/>
              </w:rPr>
            </w:pPr>
            <w:r w:rsidRPr="00256982">
              <w:rPr>
                <w:lang w:eastAsia="en-NZ"/>
              </w:rPr>
              <w:t xml:space="preserve">IPCC default </w:t>
            </w:r>
          </w:p>
        </w:tc>
        <w:tc>
          <w:tcPr>
            <w:tcW w:w="2693" w:type="dxa"/>
            <w:tcBorders>
              <w:top w:val="single" w:sz="4" w:space="0" w:color="365F91"/>
              <w:bottom w:val="single" w:sz="4" w:space="0" w:color="365F91"/>
              <w:right w:val="nil"/>
            </w:tcBorders>
          </w:tcPr>
          <w:p w14:paraId="18A94BCD" w14:textId="77777777" w:rsidR="00005A00" w:rsidRPr="00256982" w:rsidRDefault="00005A00" w:rsidP="00AA14F1">
            <w:pPr>
              <w:pStyle w:val="TableText"/>
              <w:spacing w:before="40" w:after="40"/>
              <w:rPr>
                <w:lang w:eastAsia="en-NZ"/>
              </w:rPr>
            </w:pPr>
            <w:r w:rsidRPr="00256982">
              <w:rPr>
                <w:lang w:eastAsia="en-NZ"/>
              </w:rPr>
              <w:t>IPCC (2006a)</w:t>
            </w:r>
          </w:p>
        </w:tc>
      </w:tr>
      <w:tr w:rsidR="00005A00" w:rsidRPr="00256982" w14:paraId="499EABBC" w14:textId="77777777" w:rsidTr="00AA14F1">
        <w:tc>
          <w:tcPr>
            <w:tcW w:w="2552" w:type="dxa"/>
            <w:tcBorders>
              <w:top w:val="single" w:sz="4" w:space="0" w:color="365F91"/>
              <w:left w:val="nil"/>
              <w:bottom w:val="single" w:sz="4" w:space="0" w:color="365F91"/>
            </w:tcBorders>
          </w:tcPr>
          <w:p w14:paraId="3B20F292" w14:textId="77777777" w:rsidR="00005A00" w:rsidRPr="00256982" w:rsidRDefault="00005A00" w:rsidP="00AA14F1">
            <w:pPr>
              <w:pStyle w:val="TableText"/>
              <w:spacing w:before="40" w:after="40"/>
              <w:rPr>
                <w:lang w:eastAsia="en-NZ"/>
              </w:rPr>
            </w:pPr>
            <w:r w:rsidRPr="00256982">
              <w:rPr>
                <w:lang w:eastAsia="en-NZ"/>
              </w:rPr>
              <w:t>Overall emission factor</w:t>
            </w:r>
          </w:p>
        </w:tc>
        <w:tc>
          <w:tcPr>
            <w:tcW w:w="1417" w:type="dxa"/>
            <w:tcBorders>
              <w:top w:val="single" w:sz="4" w:space="0" w:color="365F91"/>
              <w:bottom w:val="single" w:sz="4" w:space="0" w:color="365F91"/>
            </w:tcBorders>
          </w:tcPr>
          <w:p w14:paraId="7A06930B" w14:textId="77777777" w:rsidR="00005A00" w:rsidRPr="00256982" w:rsidRDefault="00005A00" w:rsidP="00AA14F1">
            <w:pPr>
              <w:pStyle w:val="TableText"/>
              <w:spacing w:before="40" w:after="40"/>
              <w:rPr>
                <w:lang w:eastAsia="en-NZ"/>
              </w:rPr>
            </w:pPr>
            <w:r w:rsidRPr="00256982">
              <w:rPr>
                <w:lang w:eastAsia="en-NZ"/>
              </w:rPr>
              <w:t>0.0124</w:t>
            </w:r>
          </w:p>
        </w:tc>
        <w:tc>
          <w:tcPr>
            <w:tcW w:w="1843" w:type="dxa"/>
            <w:tcBorders>
              <w:top w:val="single" w:sz="4" w:space="0" w:color="365F91"/>
              <w:bottom w:val="single" w:sz="4" w:space="0" w:color="365F91"/>
            </w:tcBorders>
          </w:tcPr>
          <w:p w14:paraId="6943FC30" w14:textId="77777777" w:rsidR="00005A00" w:rsidRPr="00256982" w:rsidRDefault="00005A00" w:rsidP="00AA14F1">
            <w:pPr>
              <w:pStyle w:val="TableText"/>
              <w:spacing w:before="40" w:after="40"/>
              <w:rPr>
                <w:lang w:eastAsia="en-NZ"/>
              </w:rPr>
            </w:pPr>
            <w:r w:rsidRPr="00256982">
              <w:rPr>
                <w:lang w:eastAsia="en-NZ"/>
              </w:rPr>
              <w:t>New Zealand specific</w:t>
            </w:r>
          </w:p>
        </w:tc>
        <w:tc>
          <w:tcPr>
            <w:tcW w:w="2693" w:type="dxa"/>
            <w:tcBorders>
              <w:top w:val="single" w:sz="4" w:space="0" w:color="365F91"/>
              <w:bottom w:val="single" w:sz="4" w:space="0" w:color="365F91"/>
              <w:right w:val="nil"/>
            </w:tcBorders>
          </w:tcPr>
          <w:p w14:paraId="702EAC8E" w14:textId="77777777" w:rsidR="00005A00" w:rsidRPr="00256982" w:rsidRDefault="00005A00" w:rsidP="00AA14F1">
            <w:pPr>
              <w:pStyle w:val="TableText"/>
              <w:spacing w:before="40" w:after="40"/>
              <w:rPr>
                <w:highlight w:val="yellow"/>
                <w:lang w:eastAsia="en-NZ"/>
              </w:rPr>
            </w:pPr>
            <w:r w:rsidRPr="00256982">
              <w:rPr>
                <w:lang w:eastAsia="en-NZ"/>
              </w:rPr>
              <w:t>SCS Wetherill Environmental (unpublished)</w:t>
            </w:r>
          </w:p>
        </w:tc>
      </w:tr>
    </w:tbl>
    <w:p w14:paraId="672F37B7" w14:textId="77777777" w:rsidR="00005A00" w:rsidRPr="00256982" w:rsidRDefault="00005A00" w:rsidP="00005A00">
      <w:pPr>
        <w:pStyle w:val="Noteundertable"/>
        <w:spacing w:after="80"/>
        <w:rPr>
          <w:lang w:eastAsia="en-NZ"/>
        </w:rPr>
      </w:pPr>
      <w:r w:rsidRPr="00256982">
        <w:rPr>
          <w:b/>
          <w:lang w:eastAsia="en-NZ"/>
        </w:rPr>
        <w:t>Note:</w:t>
      </w:r>
      <w:r w:rsidRPr="00256982">
        <w:rPr>
          <w:lang w:eastAsia="en-NZ"/>
        </w:rPr>
        <w:t xml:space="preserve"> </w:t>
      </w:r>
      <w:r w:rsidRPr="00256982">
        <w:rPr>
          <w:lang w:eastAsia="en-NZ"/>
        </w:rPr>
        <w:tab/>
        <w:t>COD = chemical oxygen demand.</w:t>
      </w:r>
    </w:p>
    <w:p w14:paraId="19796151" w14:textId="77777777" w:rsidR="00005A00" w:rsidRPr="00256982" w:rsidRDefault="00005A00" w:rsidP="00005A00">
      <w:pPr>
        <w:pStyle w:val="Heading6"/>
        <w:spacing w:before="120"/>
      </w:pPr>
      <w:r w:rsidRPr="00256982">
        <w:rPr>
          <w:lang w:eastAsia="en-NZ"/>
        </w:rPr>
        <w:t>Recovery</w:t>
      </w:r>
    </w:p>
    <w:p w14:paraId="6097213D" w14:textId="77777777" w:rsidR="00005A00" w:rsidRPr="00256982" w:rsidRDefault="00005A00" w:rsidP="00005A00">
      <w:pPr>
        <w:pStyle w:val="BodyText"/>
        <w:spacing w:after="0"/>
        <w:rPr>
          <w:lang w:eastAsia="en-NZ"/>
        </w:rPr>
      </w:pPr>
      <w:r w:rsidRPr="00256982">
        <w:rPr>
          <w:lang w:eastAsia="en-NZ"/>
        </w:rPr>
        <w:t xml:space="preserve">There is no recovery of emissions reported for this source. </w:t>
      </w:r>
    </w:p>
    <w:p w14:paraId="20E2FF92" w14:textId="77777777" w:rsidR="00005A00" w:rsidRPr="00256982" w:rsidRDefault="00005A00" w:rsidP="00005A00">
      <w:pPr>
        <w:pStyle w:val="Heading5"/>
      </w:pPr>
      <w:r w:rsidRPr="00256982">
        <w:t>Nitrous oxide emissions from industrial wastewater treatment – Meat industry</w:t>
      </w:r>
    </w:p>
    <w:p w14:paraId="3F7358C9" w14:textId="77777777" w:rsidR="00005A00" w:rsidRPr="00256982" w:rsidRDefault="00005A00" w:rsidP="00005A00">
      <w:pPr>
        <w:pStyle w:val="BodyText"/>
      </w:pPr>
      <w:r w:rsidRPr="00256982">
        <w:t>Table 7.5.13 provides a summary of the parameter values applied for estimating N</w:t>
      </w:r>
      <w:r w:rsidRPr="00256982">
        <w:rPr>
          <w:vertAlign w:val="subscript"/>
        </w:rPr>
        <w:t>2</w:t>
      </w:r>
      <w:r w:rsidRPr="00256982">
        <w:t>O emissions from wastewater treatment by the meat industry.</w:t>
      </w:r>
    </w:p>
    <w:p w14:paraId="4721DB34" w14:textId="77777777" w:rsidR="00005A00" w:rsidRPr="00256982" w:rsidRDefault="00005A00" w:rsidP="00005A00">
      <w:pPr>
        <w:pStyle w:val="Table"/>
      </w:pPr>
      <w:bookmarkStart w:id="2426" w:name="_Toc321399258"/>
      <w:bookmarkStart w:id="2427" w:name="_Toc444001633"/>
      <w:bookmarkStart w:id="2428" w:name="_Toc451176185"/>
      <w:bookmarkStart w:id="2429" w:name="_Toc481751615"/>
      <w:bookmarkStart w:id="2430" w:name="_Toc508019342"/>
      <w:bookmarkStart w:id="2431" w:name="_Toc511116841"/>
      <w:bookmarkStart w:id="2432" w:name="_Toc5269590"/>
      <w:r w:rsidRPr="00256982">
        <w:t>Table 7.5.13</w:t>
      </w:r>
      <w:r w:rsidRPr="00256982">
        <w:tab/>
        <w:t>Parameter values applied by New Zealand for estimating nitrous oxide emissions</w:t>
      </w:r>
      <w:r w:rsidRPr="00256982">
        <w:br/>
        <w:t>for wastewater treatment for the meat industry</w:t>
      </w:r>
      <w:bookmarkEnd w:id="2426"/>
      <w:bookmarkEnd w:id="2427"/>
      <w:bookmarkEnd w:id="2428"/>
      <w:bookmarkEnd w:id="2429"/>
      <w:bookmarkEnd w:id="2430"/>
      <w:bookmarkEnd w:id="2431"/>
      <w:bookmarkEnd w:id="2432"/>
    </w:p>
    <w:tbl>
      <w:tblPr>
        <w:tblW w:w="8505" w:type="dxa"/>
        <w:tblInd w:w="108" w:type="dxa"/>
        <w:tblBorders>
          <w:top w:val="single" w:sz="4" w:space="0" w:color="365F91"/>
          <w:bottom w:val="single" w:sz="4" w:space="0" w:color="365F91"/>
          <w:insideH w:val="single" w:sz="4" w:space="0" w:color="365F91"/>
          <w:insideV w:val="single" w:sz="4" w:space="0" w:color="365F91"/>
        </w:tblBorders>
        <w:tblLook w:val="04A0" w:firstRow="1" w:lastRow="0" w:firstColumn="1" w:lastColumn="0" w:noHBand="0" w:noVBand="1"/>
      </w:tblPr>
      <w:tblGrid>
        <w:gridCol w:w="2552"/>
        <w:gridCol w:w="1417"/>
        <w:gridCol w:w="1843"/>
        <w:gridCol w:w="2693"/>
      </w:tblGrid>
      <w:tr w:rsidR="00005A00" w:rsidRPr="00256982" w14:paraId="7ABFF8B6" w14:textId="77777777" w:rsidTr="00AA14F1">
        <w:tc>
          <w:tcPr>
            <w:tcW w:w="2552" w:type="dxa"/>
            <w:shd w:val="clear" w:color="auto" w:fill="365F91"/>
          </w:tcPr>
          <w:p w14:paraId="78E33EF7" w14:textId="77777777" w:rsidR="00005A00" w:rsidRPr="00256982" w:rsidRDefault="00005A00" w:rsidP="00AA14F1">
            <w:pPr>
              <w:pStyle w:val="TableTextBold"/>
              <w:rPr>
                <w:noProof w:val="0"/>
                <w:color w:val="FFFFFF"/>
                <w:lang w:eastAsia="en-NZ"/>
              </w:rPr>
            </w:pPr>
            <w:r w:rsidRPr="00256982">
              <w:rPr>
                <w:noProof w:val="0"/>
                <w:color w:val="FFFFFF"/>
                <w:lang w:eastAsia="en-NZ"/>
              </w:rPr>
              <w:t>Parameter</w:t>
            </w:r>
          </w:p>
        </w:tc>
        <w:tc>
          <w:tcPr>
            <w:tcW w:w="1417" w:type="dxa"/>
            <w:tcBorders>
              <w:bottom w:val="single" w:sz="4" w:space="0" w:color="365F91"/>
            </w:tcBorders>
            <w:shd w:val="clear" w:color="auto" w:fill="365F91"/>
          </w:tcPr>
          <w:p w14:paraId="40F38B35" w14:textId="77777777" w:rsidR="00005A00" w:rsidRPr="00256982" w:rsidRDefault="00005A00" w:rsidP="00AA14F1">
            <w:pPr>
              <w:pStyle w:val="TableTextBold"/>
              <w:jc w:val="center"/>
              <w:rPr>
                <w:noProof w:val="0"/>
                <w:color w:val="FFFFFF"/>
                <w:lang w:eastAsia="en-NZ"/>
              </w:rPr>
            </w:pPr>
            <w:r w:rsidRPr="00256982">
              <w:rPr>
                <w:noProof w:val="0"/>
                <w:color w:val="FFFFFF"/>
                <w:lang w:eastAsia="en-NZ"/>
              </w:rPr>
              <w:t>Value</w:t>
            </w:r>
          </w:p>
        </w:tc>
        <w:tc>
          <w:tcPr>
            <w:tcW w:w="1843" w:type="dxa"/>
            <w:tcBorders>
              <w:bottom w:val="single" w:sz="4" w:space="0" w:color="365F91"/>
            </w:tcBorders>
            <w:shd w:val="clear" w:color="auto" w:fill="365F91"/>
          </w:tcPr>
          <w:p w14:paraId="5A30454C" w14:textId="77777777" w:rsidR="00005A00" w:rsidRPr="00256982" w:rsidRDefault="00005A00" w:rsidP="00AA14F1">
            <w:pPr>
              <w:pStyle w:val="TableTextBold"/>
              <w:rPr>
                <w:noProof w:val="0"/>
                <w:color w:val="FFFFFF"/>
                <w:lang w:eastAsia="en-NZ"/>
              </w:rPr>
            </w:pPr>
            <w:r w:rsidRPr="00256982">
              <w:rPr>
                <w:noProof w:val="0"/>
                <w:color w:val="FFFFFF"/>
                <w:lang w:eastAsia="en-NZ"/>
              </w:rPr>
              <w:t>Source</w:t>
            </w:r>
          </w:p>
        </w:tc>
        <w:tc>
          <w:tcPr>
            <w:tcW w:w="2693" w:type="dxa"/>
            <w:shd w:val="clear" w:color="auto" w:fill="365F91"/>
          </w:tcPr>
          <w:p w14:paraId="08DF54AC" w14:textId="77777777" w:rsidR="00005A00" w:rsidRPr="00256982" w:rsidRDefault="00005A00" w:rsidP="00AA14F1">
            <w:pPr>
              <w:pStyle w:val="TableTextBold"/>
              <w:rPr>
                <w:noProof w:val="0"/>
                <w:color w:val="FFFFFF"/>
                <w:lang w:eastAsia="en-NZ"/>
              </w:rPr>
            </w:pPr>
            <w:r w:rsidRPr="00256982">
              <w:rPr>
                <w:noProof w:val="0"/>
                <w:color w:val="FFFFFF"/>
                <w:lang w:eastAsia="en-NZ"/>
              </w:rPr>
              <w:t>Reference</w:t>
            </w:r>
          </w:p>
        </w:tc>
      </w:tr>
      <w:tr w:rsidR="00005A00" w:rsidRPr="00256982" w14:paraId="46D86E4C" w14:textId="77777777" w:rsidTr="00AA14F1">
        <w:tc>
          <w:tcPr>
            <w:tcW w:w="2552" w:type="dxa"/>
            <w:tcBorders>
              <w:right w:val="nil"/>
            </w:tcBorders>
          </w:tcPr>
          <w:p w14:paraId="31B56118" w14:textId="77777777" w:rsidR="00005A00" w:rsidRPr="00256982" w:rsidRDefault="00005A00" w:rsidP="00AA14F1">
            <w:pPr>
              <w:pStyle w:val="TableText"/>
              <w:spacing w:before="40" w:after="40"/>
              <w:rPr>
                <w:lang w:eastAsia="en-NZ"/>
              </w:rPr>
            </w:pPr>
            <w:r w:rsidRPr="00256982">
              <w:rPr>
                <w:lang w:eastAsia="en-NZ"/>
              </w:rPr>
              <w:t>Degradable organic component (kg COD/tonne of product)</w:t>
            </w:r>
          </w:p>
        </w:tc>
        <w:tc>
          <w:tcPr>
            <w:tcW w:w="1417" w:type="dxa"/>
            <w:tcBorders>
              <w:left w:val="nil"/>
              <w:right w:val="nil"/>
            </w:tcBorders>
          </w:tcPr>
          <w:p w14:paraId="165A9CAE" w14:textId="77777777" w:rsidR="00005A00" w:rsidRPr="00256982" w:rsidRDefault="00005A00" w:rsidP="00AA14F1">
            <w:pPr>
              <w:pStyle w:val="TableText"/>
              <w:tabs>
                <w:tab w:val="decimal" w:pos="176"/>
              </w:tabs>
              <w:spacing w:before="40" w:after="40"/>
              <w:jc w:val="center"/>
              <w:rPr>
                <w:lang w:eastAsia="en-NZ"/>
              </w:rPr>
            </w:pPr>
            <w:r w:rsidRPr="00256982">
              <w:rPr>
                <w:lang w:eastAsia="en-NZ"/>
              </w:rPr>
              <w:t>50</w:t>
            </w:r>
          </w:p>
        </w:tc>
        <w:tc>
          <w:tcPr>
            <w:tcW w:w="1843" w:type="dxa"/>
            <w:tcBorders>
              <w:left w:val="nil"/>
              <w:right w:val="nil"/>
            </w:tcBorders>
          </w:tcPr>
          <w:p w14:paraId="2D397336" w14:textId="77777777" w:rsidR="00005A00" w:rsidRPr="00256982" w:rsidRDefault="00005A00" w:rsidP="00AA14F1">
            <w:pPr>
              <w:pStyle w:val="TableText"/>
              <w:spacing w:before="40" w:after="40"/>
              <w:rPr>
                <w:lang w:eastAsia="en-NZ"/>
              </w:rPr>
            </w:pPr>
            <w:r w:rsidRPr="00256982">
              <w:rPr>
                <w:lang w:eastAsia="en-NZ"/>
              </w:rPr>
              <w:t>New Zealand specific</w:t>
            </w:r>
          </w:p>
        </w:tc>
        <w:tc>
          <w:tcPr>
            <w:tcW w:w="2693" w:type="dxa"/>
            <w:tcBorders>
              <w:left w:val="nil"/>
            </w:tcBorders>
          </w:tcPr>
          <w:p w14:paraId="1005BAB5" w14:textId="77777777" w:rsidR="00005A00" w:rsidRPr="00256982" w:rsidRDefault="00005A00" w:rsidP="00AA14F1">
            <w:pPr>
              <w:pStyle w:val="TableText"/>
              <w:spacing w:before="40" w:after="40"/>
              <w:rPr>
                <w:lang w:eastAsia="en-NZ"/>
              </w:rPr>
            </w:pPr>
            <w:r w:rsidRPr="00256982">
              <w:rPr>
                <w:lang w:eastAsia="en-NZ"/>
              </w:rPr>
              <w:t>SCS Wetherill Environmental (unpublished)</w:t>
            </w:r>
          </w:p>
        </w:tc>
      </w:tr>
      <w:tr w:rsidR="00005A00" w:rsidRPr="00256982" w14:paraId="3C057416" w14:textId="77777777" w:rsidTr="00AA14F1">
        <w:tc>
          <w:tcPr>
            <w:tcW w:w="2552" w:type="dxa"/>
            <w:tcBorders>
              <w:right w:val="nil"/>
            </w:tcBorders>
          </w:tcPr>
          <w:p w14:paraId="780C2A74" w14:textId="77777777" w:rsidR="00005A00" w:rsidRPr="00256982" w:rsidRDefault="00005A00" w:rsidP="00AA14F1">
            <w:pPr>
              <w:pStyle w:val="TableText"/>
              <w:spacing w:before="40" w:after="40"/>
              <w:rPr>
                <w:lang w:eastAsia="en-NZ"/>
              </w:rPr>
            </w:pPr>
            <w:r w:rsidRPr="00256982">
              <w:rPr>
                <w:lang w:eastAsia="en-NZ"/>
              </w:rPr>
              <w:t>Ratio of total nitrogen to biodegradable COD (TN:COD</w:t>
            </w:r>
            <w:r w:rsidRPr="00256982">
              <w:rPr>
                <w:vertAlign w:val="subscript"/>
                <w:lang w:eastAsia="en-NZ"/>
              </w:rPr>
              <w:t>b</w:t>
            </w:r>
            <w:r w:rsidRPr="00256982">
              <w:rPr>
                <w:lang w:eastAsia="en-NZ"/>
              </w:rPr>
              <w:t>)</w:t>
            </w:r>
          </w:p>
        </w:tc>
        <w:tc>
          <w:tcPr>
            <w:tcW w:w="1417" w:type="dxa"/>
            <w:tcBorders>
              <w:left w:val="nil"/>
              <w:right w:val="nil"/>
            </w:tcBorders>
          </w:tcPr>
          <w:p w14:paraId="05C5A3F9" w14:textId="77777777" w:rsidR="00005A00" w:rsidRPr="00256982" w:rsidRDefault="00005A00" w:rsidP="00AA14F1">
            <w:pPr>
              <w:pStyle w:val="TableText"/>
              <w:tabs>
                <w:tab w:val="decimal" w:pos="176"/>
              </w:tabs>
              <w:spacing w:before="40" w:after="40"/>
              <w:jc w:val="center"/>
              <w:rPr>
                <w:lang w:eastAsia="en-NZ"/>
              </w:rPr>
            </w:pPr>
            <w:r w:rsidRPr="00256982">
              <w:rPr>
                <w:lang w:eastAsia="en-NZ"/>
              </w:rPr>
              <w:t>0.090</w:t>
            </w:r>
          </w:p>
        </w:tc>
        <w:tc>
          <w:tcPr>
            <w:tcW w:w="1843" w:type="dxa"/>
            <w:tcBorders>
              <w:left w:val="nil"/>
              <w:right w:val="nil"/>
            </w:tcBorders>
          </w:tcPr>
          <w:p w14:paraId="0A303671" w14:textId="77777777" w:rsidR="00005A00" w:rsidRPr="00256982" w:rsidRDefault="00005A00" w:rsidP="00AA14F1">
            <w:pPr>
              <w:pStyle w:val="TableText"/>
              <w:spacing w:before="40" w:after="40"/>
              <w:rPr>
                <w:lang w:eastAsia="en-NZ"/>
              </w:rPr>
            </w:pPr>
            <w:r w:rsidRPr="00256982">
              <w:rPr>
                <w:lang w:eastAsia="en-NZ"/>
              </w:rPr>
              <w:t>New Zealand specific</w:t>
            </w:r>
          </w:p>
        </w:tc>
        <w:tc>
          <w:tcPr>
            <w:tcW w:w="2693" w:type="dxa"/>
            <w:tcBorders>
              <w:left w:val="nil"/>
            </w:tcBorders>
          </w:tcPr>
          <w:p w14:paraId="76A53C41" w14:textId="77777777" w:rsidR="00005A00" w:rsidRPr="00256982" w:rsidRDefault="00005A00" w:rsidP="00AA14F1">
            <w:pPr>
              <w:pStyle w:val="TableText"/>
              <w:spacing w:before="40" w:after="40"/>
              <w:rPr>
                <w:lang w:eastAsia="en-NZ"/>
              </w:rPr>
            </w:pPr>
            <w:r w:rsidRPr="00256982">
              <w:rPr>
                <w:lang w:eastAsia="en-NZ"/>
              </w:rPr>
              <w:t>Cardno (unpublished)</w:t>
            </w:r>
          </w:p>
        </w:tc>
      </w:tr>
      <w:tr w:rsidR="00005A00" w:rsidRPr="00256982" w14:paraId="3F891425" w14:textId="77777777" w:rsidTr="00AA14F1">
        <w:tc>
          <w:tcPr>
            <w:tcW w:w="2552" w:type="dxa"/>
            <w:tcBorders>
              <w:right w:val="nil"/>
            </w:tcBorders>
          </w:tcPr>
          <w:p w14:paraId="38434E2E" w14:textId="77777777" w:rsidR="00005A00" w:rsidRPr="00256982" w:rsidRDefault="00005A00" w:rsidP="00AA14F1">
            <w:pPr>
              <w:pStyle w:val="TableText"/>
              <w:spacing w:before="40" w:after="40"/>
              <w:rPr>
                <w:lang w:eastAsia="en-NZ"/>
              </w:rPr>
            </w:pPr>
            <w:r w:rsidRPr="00256982">
              <w:rPr>
                <w:lang w:eastAsia="en-NZ"/>
              </w:rPr>
              <w:t>Overall emission factor</w:t>
            </w:r>
          </w:p>
        </w:tc>
        <w:tc>
          <w:tcPr>
            <w:tcW w:w="1417" w:type="dxa"/>
            <w:tcBorders>
              <w:left w:val="nil"/>
              <w:right w:val="nil"/>
            </w:tcBorders>
          </w:tcPr>
          <w:p w14:paraId="091AFA8E" w14:textId="77777777" w:rsidR="00005A00" w:rsidRPr="00256982" w:rsidRDefault="00005A00" w:rsidP="00AA14F1">
            <w:pPr>
              <w:pStyle w:val="TableText"/>
              <w:tabs>
                <w:tab w:val="decimal" w:pos="176"/>
              </w:tabs>
              <w:spacing w:before="40" w:after="40"/>
              <w:jc w:val="center"/>
              <w:rPr>
                <w:lang w:eastAsia="en-NZ"/>
              </w:rPr>
            </w:pPr>
            <w:r w:rsidRPr="00256982">
              <w:rPr>
                <w:lang w:eastAsia="en-NZ"/>
              </w:rPr>
              <w:t xml:space="preserve">Range of </w:t>
            </w:r>
            <w:r w:rsidRPr="00256982">
              <w:rPr>
                <w:lang w:eastAsia="en-NZ"/>
              </w:rPr>
              <w:br/>
              <w:t>0.0013–0.0019</w:t>
            </w:r>
          </w:p>
        </w:tc>
        <w:tc>
          <w:tcPr>
            <w:tcW w:w="1843" w:type="dxa"/>
            <w:tcBorders>
              <w:left w:val="nil"/>
              <w:right w:val="nil"/>
            </w:tcBorders>
          </w:tcPr>
          <w:p w14:paraId="6B0AC3C5" w14:textId="77777777" w:rsidR="00005A00" w:rsidRPr="00256982" w:rsidRDefault="00005A00" w:rsidP="00AA14F1">
            <w:pPr>
              <w:pStyle w:val="TableText"/>
              <w:spacing w:before="40" w:after="40"/>
              <w:rPr>
                <w:lang w:eastAsia="en-NZ"/>
              </w:rPr>
            </w:pPr>
            <w:r w:rsidRPr="00256982">
              <w:rPr>
                <w:lang w:eastAsia="en-NZ"/>
              </w:rPr>
              <w:t>New Zealand specific</w:t>
            </w:r>
          </w:p>
        </w:tc>
        <w:tc>
          <w:tcPr>
            <w:tcW w:w="2693" w:type="dxa"/>
            <w:tcBorders>
              <w:left w:val="nil"/>
            </w:tcBorders>
          </w:tcPr>
          <w:p w14:paraId="17054086" w14:textId="77777777" w:rsidR="00005A00" w:rsidRPr="00256982" w:rsidRDefault="00005A00" w:rsidP="00AA14F1">
            <w:pPr>
              <w:pStyle w:val="TableText"/>
              <w:spacing w:before="40" w:after="40"/>
              <w:rPr>
                <w:lang w:eastAsia="en-NZ"/>
              </w:rPr>
            </w:pPr>
            <w:r w:rsidRPr="00256982">
              <w:rPr>
                <w:lang w:eastAsia="en-NZ"/>
              </w:rPr>
              <w:t>Cardno (unpublished)</w:t>
            </w:r>
          </w:p>
        </w:tc>
      </w:tr>
    </w:tbl>
    <w:p w14:paraId="08D6A384" w14:textId="77777777" w:rsidR="00005A00" w:rsidRPr="00256982" w:rsidRDefault="00005A00" w:rsidP="00005A00">
      <w:pPr>
        <w:pStyle w:val="Noteundertable"/>
      </w:pPr>
      <w:r w:rsidRPr="00256982">
        <w:rPr>
          <w:b/>
          <w:lang w:eastAsia="en-NZ"/>
        </w:rPr>
        <w:t>Note:</w:t>
      </w:r>
      <w:r w:rsidRPr="00256982">
        <w:rPr>
          <w:lang w:eastAsia="en-NZ"/>
        </w:rPr>
        <w:t xml:space="preserve"> </w:t>
      </w:r>
      <w:r w:rsidRPr="00256982">
        <w:rPr>
          <w:lang w:eastAsia="en-NZ"/>
        </w:rPr>
        <w:tab/>
        <w:t>COD = chemical oxygen demand.</w:t>
      </w:r>
    </w:p>
    <w:p w14:paraId="2D4BAACA" w14:textId="77777777" w:rsidR="00005A00" w:rsidRPr="00256982" w:rsidRDefault="00005A00" w:rsidP="00005A00">
      <w:pPr>
        <w:pStyle w:val="Heading6"/>
        <w:spacing w:before="120"/>
      </w:pPr>
      <w:r w:rsidRPr="00256982">
        <w:rPr>
          <w:lang w:eastAsia="en-NZ"/>
        </w:rPr>
        <w:t>Recovery</w:t>
      </w:r>
    </w:p>
    <w:p w14:paraId="4AE3C4D3" w14:textId="77777777" w:rsidR="00005A00" w:rsidRPr="00256982" w:rsidRDefault="00005A00" w:rsidP="00005A00">
      <w:pPr>
        <w:pStyle w:val="BodyText"/>
        <w:rPr>
          <w:lang w:eastAsia="en-NZ"/>
        </w:rPr>
      </w:pPr>
      <w:r w:rsidRPr="00256982">
        <w:rPr>
          <w:lang w:eastAsia="en-NZ"/>
        </w:rPr>
        <w:t>There is no recovery of emissions reported for this source.</w:t>
      </w:r>
    </w:p>
    <w:p w14:paraId="1F02AA65" w14:textId="77777777" w:rsidR="00005A00" w:rsidRPr="00256982" w:rsidRDefault="00005A00" w:rsidP="00005A00">
      <w:pPr>
        <w:pStyle w:val="Heading5"/>
        <w:spacing w:before="200"/>
      </w:pPr>
      <w:r w:rsidRPr="00256982">
        <w:t>Nitrous oxide emissions from industrial wastewater treatment</w:t>
      </w:r>
      <w:r w:rsidRPr="00256982">
        <w:br/>
        <w:t>– Dairy processing industry</w:t>
      </w:r>
    </w:p>
    <w:p w14:paraId="444FB311" w14:textId="77777777" w:rsidR="00005A00" w:rsidRPr="00256982" w:rsidRDefault="00005A00" w:rsidP="00005A00">
      <w:pPr>
        <w:pStyle w:val="BodyText"/>
      </w:pPr>
      <w:r w:rsidRPr="00256982">
        <w:t>Table 7.5.14 provides a summary of the parameter values applied for estimating N</w:t>
      </w:r>
      <w:r w:rsidRPr="00256982">
        <w:rPr>
          <w:vertAlign w:val="subscript"/>
        </w:rPr>
        <w:t>2</w:t>
      </w:r>
      <w:r w:rsidRPr="00256982">
        <w:t>O emissions from wastewater treatment by the dairy processing industry.</w:t>
      </w:r>
    </w:p>
    <w:p w14:paraId="40956CDE" w14:textId="77777777" w:rsidR="00005A00" w:rsidRPr="00256982" w:rsidRDefault="00005A00" w:rsidP="00005A00">
      <w:pPr>
        <w:pStyle w:val="Table"/>
      </w:pPr>
      <w:bookmarkStart w:id="2433" w:name="_Toc444001634"/>
      <w:bookmarkStart w:id="2434" w:name="_Toc451176186"/>
      <w:bookmarkStart w:id="2435" w:name="_Toc481751616"/>
      <w:bookmarkStart w:id="2436" w:name="_Toc508019343"/>
      <w:bookmarkStart w:id="2437" w:name="_Toc511116842"/>
      <w:bookmarkStart w:id="2438" w:name="_Toc5269591"/>
      <w:r w:rsidRPr="00256982">
        <w:t>Table 7.5.14</w:t>
      </w:r>
      <w:r w:rsidRPr="00256982">
        <w:tab/>
        <w:t>Parameter values applied by New Zealand for estimating nitrous oxide emissions</w:t>
      </w:r>
      <w:r w:rsidRPr="00256982">
        <w:br/>
        <w:t>for wastewater treatment for the dairy processing industry</w:t>
      </w:r>
      <w:bookmarkEnd w:id="2433"/>
      <w:bookmarkEnd w:id="2434"/>
      <w:bookmarkEnd w:id="2435"/>
      <w:bookmarkEnd w:id="2436"/>
      <w:bookmarkEnd w:id="2437"/>
      <w:bookmarkEnd w:id="2438"/>
    </w:p>
    <w:tbl>
      <w:tblPr>
        <w:tblW w:w="8505" w:type="dxa"/>
        <w:tblInd w:w="108" w:type="dxa"/>
        <w:tblBorders>
          <w:top w:val="single" w:sz="4" w:space="0" w:color="365F91"/>
          <w:bottom w:val="single" w:sz="4" w:space="0" w:color="365F91"/>
          <w:insideH w:val="single" w:sz="4" w:space="0" w:color="365F91"/>
        </w:tblBorders>
        <w:tblLook w:val="04A0" w:firstRow="1" w:lastRow="0" w:firstColumn="1" w:lastColumn="0" w:noHBand="0" w:noVBand="1"/>
      </w:tblPr>
      <w:tblGrid>
        <w:gridCol w:w="3645"/>
        <w:gridCol w:w="760"/>
        <w:gridCol w:w="2127"/>
        <w:gridCol w:w="1973"/>
      </w:tblGrid>
      <w:tr w:rsidR="00005A00" w:rsidRPr="00256982" w14:paraId="6FAC4BE4" w14:textId="77777777" w:rsidTr="00AA14F1">
        <w:tc>
          <w:tcPr>
            <w:tcW w:w="3427" w:type="dxa"/>
            <w:shd w:val="clear" w:color="auto" w:fill="365F91"/>
          </w:tcPr>
          <w:p w14:paraId="3F7E4462" w14:textId="77777777" w:rsidR="00005A00" w:rsidRPr="00256982" w:rsidRDefault="00005A00" w:rsidP="00AA14F1">
            <w:pPr>
              <w:pStyle w:val="TableTextBold"/>
              <w:spacing w:before="40" w:after="40"/>
              <w:rPr>
                <w:noProof w:val="0"/>
                <w:color w:val="FFFFFF"/>
                <w:lang w:eastAsia="en-NZ"/>
              </w:rPr>
            </w:pPr>
            <w:r w:rsidRPr="00256982">
              <w:rPr>
                <w:noProof w:val="0"/>
                <w:color w:val="FFFFFF"/>
                <w:lang w:eastAsia="en-NZ"/>
              </w:rPr>
              <w:t>Parameter</w:t>
            </w:r>
          </w:p>
        </w:tc>
        <w:tc>
          <w:tcPr>
            <w:tcW w:w="714" w:type="dxa"/>
            <w:shd w:val="clear" w:color="auto" w:fill="365F91"/>
          </w:tcPr>
          <w:p w14:paraId="6A12453B" w14:textId="77777777" w:rsidR="00005A00" w:rsidRPr="00256982" w:rsidRDefault="00005A00" w:rsidP="00AA14F1">
            <w:pPr>
              <w:pStyle w:val="TableTextBold"/>
              <w:spacing w:before="40" w:after="40"/>
              <w:rPr>
                <w:noProof w:val="0"/>
                <w:color w:val="FFFFFF"/>
                <w:lang w:eastAsia="en-NZ"/>
              </w:rPr>
            </w:pPr>
            <w:r w:rsidRPr="00256982">
              <w:rPr>
                <w:noProof w:val="0"/>
                <w:color w:val="FFFFFF"/>
                <w:lang w:eastAsia="en-NZ"/>
              </w:rPr>
              <w:t>Value</w:t>
            </w:r>
          </w:p>
        </w:tc>
        <w:tc>
          <w:tcPr>
            <w:tcW w:w="1999" w:type="dxa"/>
            <w:shd w:val="clear" w:color="auto" w:fill="365F91"/>
          </w:tcPr>
          <w:p w14:paraId="59F6DC45" w14:textId="77777777" w:rsidR="00005A00" w:rsidRPr="00256982" w:rsidRDefault="00005A00" w:rsidP="00AA14F1">
            <w:pPr>
              <w:pStyle w:val="TableTextBold"/>
              <w:spacing w:before="40" w:after="40"/>
              <w:rPr>
                <w:noProof w:val="0"/>
                <w:color w:val="FFFFFF"/>
                <w:lang w:eastAsia="en-NZ"/>
              </w:rPr>
            </w:pPr>
            <w:r w:rsidRPr="00256982">
              <w:rPr>
                <w:noProof w:val="0"/>
                <w:color w:val="FFFFFF"/>
                <w:lang w:eastAsia="en-NZ"/>
              </w:rPr>
              <w:t>Source</w:t>
            </w:r>
          </w:p>
        </w:tc>
        <w:tc>
          <w:tcPr>
            <w:tcW w:w="1855" w:type="dxa"/>
            <w:shd w:val="clear" w:color="auto" w:fill="365F91"/>
          </w:tcPr>
          <w:p w14:paraId="6E6D3C39" w14:textId="77777777" w:rsidR="00005A00" w:rsidRPr="00256982" w:rsidRDefault="00005A00" w:rsidP="00AA14F1">
            <w:pPr>
              <w:pStyle w:val="TableTextBold"/>
              <w:spacing w:before="40" w:after="40"/>
              <w:rPr>
                <w:noProof w:val="0"/>
                <w:color w:val="FFFFFF"/>
                <w:lang w:eastAsia="en-NZ"/>
              </w:rPr>
            </w:pPr>
            <w:r w:rsidRPr="00256982">
              <w:rPr>
                <w:noProof w:val="0"/>
                <w:color w:val="FFFFFF"/>
                <w:lang w:eastAsia="en-NZ"/>
              </w:rPr>
              <w:t>Reference</w:t>
            </w:r>
          </w:p>
        </w:tc>
      </w:tr>
      <w:tr w:rsidR="00005A00" w:rsidRPr="00256982" w14:paraId="7BAD6BAA" w14:textId="77777777" w:rsidTr="00AA14F1">
        <w:tc>
          <w:tcPr>
            <w:tcW w:w="3427" w:type="dxa"/>
          </w:tcPr>
          <w:p w14:paraId="3FE86D54" w14:textId="77777777" w:rsidR="00005A00" w:rsidRPr="00256982" w:rsidRDefault="00005A00" w:rsidP="00AA14F1">
            <w:pPr>
              <w:pStyle w:val="TableText"/>
              <w:spacing w:before="40" w:after="40"/>
              <w:rPr>
                <w:lang w:eastAsia="en-NZ"/>
              </w:rPr>
            </w:pPr>
            <w:r w:rsidRPr="00256982">
              <w:rPr>
                <w:lang w:eastAsia="en-NZ"/>
              </w:rPr>
              <w:t>Degradable organic component (kg COD/tonne of product)</w:t>
            </w:r>
          </w:p>
        </w:tc>
        <w:tc>
          <w:tcPr>
            <w:tcW w:w="714" w:type="dxa"/>
          </w:tcPr>
          <w:p w14:paraId="52B700F6" w14:textId="77777777" w:rsidR="00005A00" w:rsidRPr="00256982" w:rsidRDefault="00005A00" w:rsidP="00AA14F1">
            <w:pPr>
              <w:pStyle w:val="TableText"/>
              <w:spacing w:before="40" w:after="40"/>
              <w:jc w:val="center"/>
              <w:rPr>
                <w:lang w:eastAsia="en-NZ"/>
              </w:rPr>
            </w:pPr>
            <w:r w:rsidRPr="00256982">
              <w:rPr>
                <w:lang w:eastAsia="en-NZ"/>
              </w:rPr>
              <w:t>2</w:t>
            </w:r>
          </w:p>
        </w:tc>
        <w:tc>
          <w:tcPr>
            <w:tcW w:w="1999" w:type="dxa"/>
          </w:tcPr>
          <w:p w14:paraId="51ACC837" w14:textId="77777777" w:rsidR="00005A00" w:rsidRPr="00256982" w:rsidRDefault="00005A00" w:rsidP="00AA14F1">
            <w:pPr>
              <w:pStyle w:val="TableText"/>
              <w:spacing w:before="40" w:after="40"/>
              <w:rPr>
                <w:lang w:eastAsia="en-NZ"/>
              </w:rPr>
            </w:pPr>
            <w:r w:rsidRPr="00256982">
              <w:rPr>
                <w:lang w:eastAsia="en-NZ"/>
              </w:rPr>
              <w:t>New Zealand specific</w:t>
            </w:r>
          </w:p>
        </w:tc>
        <w:tc>
          <w:tcPr>
            <w:tcW w:w="1855" w:type="dxa"/>
          </w:tcPr>
          <w:p w14:paraId="6C89C091" w14:textId="77777777" w:rsidR="00005A00" w:rsidRPr="00256982" w:rsidRDefault="00005A00" w:rsidP="00AA14F1">
            <w:pPr>
              <w:pStyle w:val="TableText"/>
              <w:spacing w:before="40" w:after="40"/>
              <w:rPr>
                <w:lang w:eastAsia="en-NZ"/>
              </w:rPr>
            </w:pPr>
            <w:r w:rsidRPr="00256982">
              <w:rPr>
                <w:lang w:eastAsia="en-NZ"/>
              </w:rPr>
              <w:t>Cardno (unpublished)</w:t>
            </w:r>
          </w:p>
        </w:tc>
      </w:tr>
      <w:tr w:rsidR="00005A00" w:rsidRPr="00256982" w14:paraId="03573594" w14:textId="77777777" w:rsidTr="00AA14F1">
        <w:tc>
          <w:tcPr>
            <w:tcW w:w="3427" w:type="dxa"/>
          </w:tcPr>
          <w:p w14:paraId="470855AA" w14:textId="77777777" w:rsidR="00005A00" w:rsidRPr="00256982" w:rsidRDefault="00005A00" w:rsidP="00AA14F1">
            <w:pPr>
              <w:pStyle w:val="TableText"/>
              <w:spacing w:before="40" w:after="40"/>
              <w:rPr>
                <w:lang w:eastAsia="en-NZ"/>
              </w:rPr>
            </w:pPr>
            <w:r w:rsidRPr="00256982">
              <w:rPr>
                <w:lang w:eastAsia="en-NZ"/>
              </w:rPr>
              <w:t>Ratio of total nitrogen to biodegradable COD (TN:COD</w:t>
            </w:r>
            <w:r w:rsidRPr="00256982">
              <w:rPr>
                <w:vertAlign w:val="subscript"/>
                <w:lang w:eastAsia="en-NZ"/>
              </w:rPr>
              <w:t>b</w:t>
            </w:r>
            <w:r w:rsidRPr="00256982">
              <w:rPr>
                <w:lang w:eastAsia="en-NZ"/>
              </w:rPr>
              <w:t>)</w:t>
            </w:r>
          </w:p>
        </w:tc>
        <w:tc>
          <w:tcPr>
            <w:tcW w:w="714" w:type="dxa"/>
          </w:tcPr>
          <w:p w14:paraId="25CB2CCE" w14:textId="77777777" w:rsidR="00005A00" w:rsidRPr="00256982" w:rsidRDefault="00005A00" w:rsidP="00AA14F1">
            <w:pPr>
              <w:pStyle w:val="TableText"/>
              <w:spacing w:before="40" w:after="40"/>
              <w:jc w:val="center"/>
              <w:rPr>
                <w:lang w:eastAsia="en-NZ"/>
              </w:rPr>
            </w:pPr>
            <w:r w:rsidRPr="00256982">
              <w:rPr>
                <w:lang w:eastAsia="en-NZ"/>
              </w:rPr>
              <w:t>0.044</w:t>
            </w:r>
          </w:p>
        </w:tc>
        <w:tc>
          <w:tcPr>
            <w:tcW w:w="1999" w:type="dxa"/>
          </w:tcPr>
          <w:p w14:paraId="7E82B0B3" w14:textId="77777777" w:rsidR="00005A00" w:rsidRPr="00256982" w:rsidRDefault="00005A00" w:rsidP="00AA14F1">
            <w:pPr>
              <w:pStyle w:val="TableText"/>
              <w:spacing w:before="40" w:after="40"/>
              <w:rPr>
                <w:lang w:eastAsia="en-NZ"/>
              </w:rPr>
            </w:pPr>
            <w:r w:rsidRPr="00256982">
              <w:rPr>
                <w:lang w:eastAsia="en-NZ"/>
              </w:rPr>
              <w:t>New Zealand specific</w:t>
            </w:r>
          </w:p>
        </w:tc>
        <w:tc>
          <w:tcPr>
            <w:tcW w:w="1855" w:type="dxa"/>
          </w:tcPr>
          <w:p w14:paraId="76C1C95F" w14:textId="77777777" w:rsidR="00005A00" w:rsidRPr="00256982" w:rsidRDefault="00005A00" w:rsidP="00AA14F1">
            <w:pPr>
              <w:pStyle w:val="TableText"/>
              <w:spacing w:before="40" w:after="40"/>
              <w:rPr>
                <w:lang w:eastAsia="en-NZ"/>
              </w:rPr>
            </w:pPr>
            <w:r w:rsidRPr="00256982">
              <w:rPr>
                <w:lang w:eastAsia="en-NZ"/>
              </w:rPr>
              <w:t>Cardno (unpublished)</w:t>
            </w:r>
          </w:p>
        </w:tc>
      </w:tr>
      <w:tr w:rsidR="00005A00" w:rsidRPr="00256982" w14:paraId="60B2AFF2" w14:textId="77777777" w:rsidTr="00AA14F1">
        <w:tc>
          <w:tcPr>
            <w:tcW w:w="3427" w:type="dxa"/>
          </w:tcPr>
          <w:p w14:paraId="43AF302E" w14:textId="77777777" w:rsidR="00005A00" w:rsidRPr="00256982" w:rsidRDefault="00005A00" w:rsidP="00AA14F1">
            <w:pPr>
              <w:pStyle w:val="TableText"/>
              <w:spacing w:before="40" w:after="40"/>
              <w:rPr>
                <w:lang w:eastAsia="en-NZ"/>
              </w:rPr>
            </w:pPr>
            <w:r w:rsidRPr="00256982">
              <w:rPr>
                <w:lang w:eastAsia="en-NZ"/>
              </w:rPr>
              <w:t>Overall emission factor</w:t>
            </w:r>
          </w:p>
        </w:tc>
        <w:tc>
          <w:tcPr>
            <w:tcW w:w="714" w:type="dxa"/>
          </w:tcPr>
          <w:p w14:paraId="32D81E24" w14:textId="77777777" w:rsidR="00005A00" w:rsidRPr="00256982" w:rsidRDefault="00005A00" w:rsidP="00AA14F1">
            <w:pPr>
              <w:pStyle w:val="TableText"/>
              <w:spacing w:before="40" w:after="40"/>
              <w:jc w:val="center"/>
              <w:rPr>
                <w:lang w:eastAsia="en-NZ"/>
              </w:rPr>
            </w:pPr>
            <w:r w:rsidRPr="00256982">
              <w:rPr>
                <w:lang w:eastAsia="en-NZ"/>
              </w:rPr>
              <w:t>0.0028</w:t>
            </w:r>
          </w:p>
        </w:tc>
        <w:tc>
          <w:tcPr>
            <w:tcW w:w="1999" w:type="dxa"/>
          </w:tcPr>
          <w:p w14:paraId="28092538" w14:textId="77777777" w:rsidR="00005A00" w:rsidRPr="00256982" w:rsidRDefault="00005A00" w:rsidP="00AA14F1">
            <w:pPr>
              <w:pStyle w:val="TableText"/>
              <w:spacing w:before="40" w:after="40"/>
              <w:rPr>
                <w:lang w:eastAsia="en-NZ"/>
              </w:rPr>
            </w:pPr>
            <w:r w:rsidRPr="00256982">
              <w:rPr>
                <w:lang w:eastAsia="en-NZ"/>
              </w:rPr>
              <w:t>New Zealand specific</w:t>
            </w:r>
          </w:p>
        </w:tc>
        <w:tc>
          <w:tcPr>
            <w:tcW w:w="1855" w:type="dxa"/>
          </w:tcPr>
          <w:p w14:paraId="01E59C88" w14:textId="77777777" w:rsidR="00005A00" w:rsidRPr="00256982" w:rsidRDefault="00005A00" w:rsidP="00AA14F1">
            <w:pPr>
              <w:pStyle w:val="TableText"/>
              <w:spacing w:before="40" w:after="40"/>
              <w:rPr>
                <w:lang w:eastAsia="en-NZ"/>
              </w:rPr>
            </w:pPr>
            <w:r w:rsidRPr="00256982">
              <w:rPr>
                <w:lang w:eastAsia="en-NZ"/>
              </w:rPr>
              <w:t>Cardno (unpublished)</w:t>
            </w:r>
          </w:p>
        </w:tc>
      </w:tr>
    </w:tbl>
    <w:p w14:paraId="4214CD01" w14:textId="77777777" w:rsidR="00005A00" w:rsidRPr="00256982" w:rsidRDefault="00005A00" w:rsidP="00005A00">
      <w:pPr>
        <w:pStyle w:val="Noteundertable"/>
      </w:pPr>
      <w:r w:rsidRPr="00256982">
        <w:rPr>
          <w:b/>
          <w:lang w:eastAsia="en-NZ"/>
        </w:rPr>
        <w:t>Note:</w:t>
      </w:r>
      <w:r w:rsidRPr="00256982">
        <w:rPr>
          <w:lang w:eastAsia="en-NZ"/>
        </w:rPr>
        <w:t xml:space="preserve"> </w:t>
      </w:r>
      <w:r w:rsidRPr="00256982">
        <w:rPr>
          <w:lang w:eastAsia="en-NZ"/>
        </w:rPr>
        <w:tab/>
        <w:t>COD = chemical oxygen demand.</w:t>
      </w:r>
    </w:p>
    <w:p w14:paraId="33097409" w14:textId="77777777" w:rsidR="00005A00" w:rsidRPr="00256982" w:rsidRDefault="00005A00" w:rsidP="00005A00">
      <w:pPr>
        <w:pStyle w:val="Heading6"/>
        <w:spacing w:before="120"/>
      </w:pPr>
      <w:r w:rsidRPr="00256982">
        <w:rPr>
          <w:lang w:eastAsia="en-NZ"/>
        </w:rPr>
        <w:t>Recovery</w:t>
      </w:r>
    </w:p>
    <w:p w14:paraId="0CB53A7D" w14:textId="77777777" w:rsidR="00005A00" w:rsidRPr="00256982" w:rsidRDefault="00005A00" w:rsidP="00005A00">
      <w:pPr>
        <w:pStyle w:val="BodyText"/>
        <w:spacing w:after="80"/>
        <w:rPr>
          <w:lang w:eastAsia="en-NZ"/>
        </w:rPr>
      </w:pPr>
      <w:r w:rsidRPr="00256982">
        <w:rPr>
          <w:lang w:eastAsia="en-NZ"/>
        </w:rPr>
        <w:t>There is no recovery of emissions reported for this source.</w:t>
      </w:r>
    </w:p>
    <w:p w14:paraId="1F919040" w14:textId="77777777" w:rsidR="00005A00" w:rsidRPr="00256982" w:rsidRDefault="00005A00" w:rsidP="00005A00">
      <w:pPr>
        <w:pStyle w:val="Heading5"/>
        <w:ind w:right="-113"/>
        <w:rPr>
          <w:spacing w:val="-2"/>
        </w:rPr>
      </w:pPr>
      <w:r w:rsidRPr="00256982">
        <w:rPr>
          <w:spacing w:val="-2"/>
        </w:rPr>
        <w:t>Nitrous oxide emissions from industrial wastewater treatment – Leather and skins industry</w:t>
      </w:r>
    </w:p>
    <w:p w14:paraId="2E579BA0" w14:textId="77777777" w:rsidR="00005A00" w:rsidRPr="00256982" w:rsidRDefault="00005A00" w:rsidP="00005A00">
      <w:pPr>
        <w:pStyle w:val="BodyText"/>
      </w:pPr>
      <w:r w:rsidRPr="00256982">
        <w:t>Table 7.5.15 provides a summary of the parameter values applied for estimating N</w:t>
      </w:r>
      <w:r w:rsidRPr="00256982">
        <w:rPr>
          <w:vertAlign w:val="subscript"/>
        </w:rPr>
        <w:t>2</w:t>
      </w:r>
      <w:r w:rsidRPr="00256982">
        <w:t>O emissions from wastewater treatment by the leather and skins industry.</w:t>
      </w:r>
    </w:p>
    <w:p w14:paraId="71FA21B0" w14:textId="77777777" w:rsidR="00005A00" w:rsidRPr="00256982" w:rsidRDefault="00005A00" w:rsidP="00005A00">
      <w:pPr>
        <w:pStyle w:val="Table"/>
      </w:pPr>
      <w:bookmarkStart w:id="2439" w:name="_Toc511116843"/>
      <w:bookmarkStart w:id="2440" w:name="_Toc5269592"/>
      <w:r w:rsidRPr="00256982">
        <w:t>Table 7.5.15</w:t>
      </w:r>
      <w:r w:rsidRPr="00256982">
        <w:tab/>
        <w:t>Parameter values applied by New Zealand for estimating nitrous oxide emissions</w:t>
      </w:r>
      <w:r w:rsidRPr="00256982">
        <w:br/>
        <w:t>for wastewater treatment for the meat industry</w:t>
      </w:r>
      <w:bookmarkEnd w:id="2439"/>
      <w:bookmarkEnd w:id="2440"/>
    </w:p>
    <w:tbl>
      <w:tblPr>
        <w:tblW w:w="8505" w:type="dxa"/>
        <w:tblInd w:w="108" w:type="dxa"/>
        <w:tblBorders>
          <w:top w:val="single" w:sz="4" w:space="0" w:color="365F91"/>
          <w:bottom w:val="single" w:sz="4" w:space="0" w:color="365F91"/>
          <w:insideH w:val="single" w:sz="4" w:space="0" w:color="365F91"/>
          <w:insideV w:val="single" w:sz="4" w:space="0" w:color="365F91"/>
        </w:tblBorders>
        <w:tblLook w:val="04A0" w:firstRow="1" w:lastRow="0" w:firstColumn="1" w:lastColumn="0" w:noHBand="0" w:noVBand="1"/>
      </w:tblPr>
      <w:tblGrid>
        <w:gridCol w:w="2552"/>
        <w:gridCol w:w="709"/>
        <w:gridCol w:w="1842"/>
        <w:gridCol w:w="3402"/>
      </w:tblGrid>
      <w:tr w:rsidR="00005A00" w:rsidRPr="00256982" w14:paraId="42FF9677" w14:textId="77777777" w:rsidTr="00AA14F1">
        <w:tc>
          <w:tcPr>
            <w:tcW w:w="2552" w:type="dxa"/>
            <w:shd w:val="clear" w:color="auto" w:fill="365F91"/>
          </w:tcPr>
          <w:p w14:paraId="23EB519A" w14:textId="77777777" w:rsidR="00005A00" w:rsidRPr="00256982" w:rsidRDefault="00005A00" w:rsidP="00AA14F1">
            <w:pPr>
              <w:pStyle w:val="TableTextBold"/>
              <w:rPr>
                <w:noProof w:val="0"/>
                <w:color w:val="FFFFFF"/>
                <w:lang w:eastAsia="en-NZ"/>
              </w:rPr>
            </w:pPr>
            <w:r w:rsidRPr="00256982">
              <w:rPr>
                <w:noProof w:val="0"/>
                <w:color w:val="FFFFFF"/>
                <w:lang w:eastAsia="en-NZ"/>
              </w:rPr>
              <w:t>Parameter</w:t>
            </w:r>
          </w:p>
        </w:tc>
        <w:tc>
          <w:tcPr>
            <w:tcW w:w="709" w:type="dxa"/>
            <w:tcBorders>
              <w:bottom w:val="single" w:sz="4" w:space="0" w:color="365F91"/>
            </w:tcBorders>
            <w:shd w:val="clear" w:color="auto" w:fill="365F91"/>
          </w:tcPr>
          <w:p w14:paraId="15A653BE" w14:textId="77777777" w:rsidR="00005A00" w:rsidRPr="00256982" w:rsidRDefault="00005A00" w:rsidP="00AA14F1">
            <w:pPr>
              <w:pStyle w:val="TableTextBold"/>
              <w:jc w:val="center"/>
              <w:rPr>
                <w:noProof w:val="0"/>
                <w:color w:val="FFFFFF"/>
                <w:lang w:eastAsia="en-NZ"/>
              </w:rPr>
            </w:pPr>
            <w:r w:rsidRPr="00256982">
              <w:rPr>
                <w:noProof w:val="0"/>
                <w:color w:val="FFFFFF"/>
                <w:lang w:eastAsia="en-NZ"/>
              </w:rPr>
              <w:t>Value</w:t>
            </w:r>
          </w:p>
        </w:tc>
        <w:tc>
          <w:tcPr>
            <w:tcW w:w="1842" w:type="dxa"/>
            <w:tcBorders>
              <w:bottom w:val="single" w:sz="4" w:space="0" w:color="365F91"/>
            </w:tcBorders>
            <w:shd w:val="clear" w:color="auto" w:fill="365F91"/>
          </w:tcPr>
          <w:p w14:paraId="28E76EDA" w14:textId="77777777" w:rsidR="00005A00" w:rsidRPr="00256982" w:rsidRDefault="00005A00" w:rsidP="00AA14F1">
            <w:pPr>
              <w:pStyle w:val="TableTextBold"/>
              <w:rPr>
                <w:noProof w:val="0"/>
                <w:color w:val="FFFFFF"/>
                <w:lang w:eastAsia="en-NZ"/>
              </w:rPr>
            </w:pPr>
            <w:r w:rsidRPr="00256982">
              <w:rPr>
                <w:noProof w:val="0"/>
                <w:color w:val="FFFFFF"/>
                <w:lang w:eastAsia="en-NZ"/>
              </w:rPr>
              <w:t>Source</w:t>
            </w:r>
          </w:p>
        </w:tc>
        <w:tc>
          <w:tcPr>
            <w:tcW w:w="3402" w:type="dxa"/>
            <w:shd w:val="clear" w:color="auto" w:fill="365F91"/>
          </w:tcPr>
          <w:p w14:paraId="519457F8" w14:textId="77777777" w:rsidR="00005A00" w:rsidRPr="00256982" w:rsidRDefault="00005A00" w:rsidP="00AA14F1">
            <w:pPr>
              <w:pStyle w:val="TableTextBold"/>
              <w:rPr>
                <w:noProof w:val="0"/>
                <w:color w:val="FFFFFF"/>
                <w:lang w:eastAsia="en-NZ"/>
              </w:rPr>
            </w:pPr>
            <w:r w:rsidRPr="00256982">
              <w:rPr>
                <w:noProof w:val="0"/>
                <w:color w:val="FFFFFF"/>
                <w:lang w:eastAsia="en-NZ"/>
              </w:rPr>
              <w:t>Reference</w:t>
            </w:r>
          </w:p>
        </w:tc>
      </w:tr>
      <w:tr w:rsidR="00005A00" w:rsidRPr="00256982" w14:paraId="5D0813D6" w14:textId="77777777" w:rsidTr="00AA14F1">
        <w:tc>
          <w:tcPr>
            <w:tcW w:w="2552" w:type="dxa"/>
            <w:tcBorders>
              <w:right w:val="nil"/>
            </w:tcBorders>
          </w:tcPr>
          <w:p w14:paraId="623C371C" w14:textId="77777777" w:rsidR="00005A00" w:rsidRPr="00256982" w:rsidRDefault="00005A00" w:rsidP="00AA14F1">
            <w:pPr>
              <w:pStyle w:val="TableText"/>
              <w:spacing w:before="40" w:after="40"/>
              <w:rPr>
                <w:lang w:eastAsia="en-NZ"/>
              </w:rPr>
            </w:pPr>
            <w:r w:rsidRPr="00256982">
              <w:rPr>
                <w:lang w:eastAsia="en-NZ"/>
              </w:rPr>
              <w:t>Degradable organic component (kg COD/tonne of product)</w:t>
            </w:r>
          </w:p>
        </w:tc>
        <w:tc>
          <w:tcPr>
            <w:tcW w:w="709" w:type="dxa"/>
            <w:tcBorders>
              <w:left w:val="nil"/>
              <w:right w:val="nil"/>
            </w:tcBorders>
          </w:tcPr>
          <w:p w14:paraId="3B1B0BE2" w14:textId="77777777" w:rsidR="00005A00" w:rsidRPr="00256982" w:rsidRDefault="00005A00" w:rsidP="00AA14F1">
            <w:pPr>
              <w:pStyle w:val="TableText"/>
              <w:tabs>
                <w:tab w:val="decimal" w:pos="176"/>
              </w:tabs>
              <w:spacing w:before="40" w:after="40"/>
              <w:jc w:val="center"/>
              <w:rPr>
                <w:lang w:eastAsia="en-NZ"/>
              </w:rPr>
            </w:pPr>
            <w:r w:rsidRPr="00256982">
              <w:rPr>
                <w:lang w:eastAsia="en-NZ"/>
              </w:rPr>
              <w:t>180</w:t>
            </w:r>
          </w:p>
        </w:tc>
        <w:tc>
          <w:tcPr>
            <w:tcW w:w="1842" w:type="dxa"/>
            <w:tcBorders>
              <w:left w:val="nil"/>
              <w:right w:val="nil"/>
            </w:tcBorders>
          </w:tcPr>
          <w:p w14:paraId="17A3A75C" w14:textId="77777777" w:rsidR="00005A00" w:rsidRPr="00256982" w:rsidRDefault="00005A00" w:rsidP="00AA14F1">
            <w:pPr>
              <w:pStyle w:val="TableText"/>
              <w:spacing w:before="40" w:after="40"/>
              <w:rPr>
                <w:lang w:eastAsia="en-NZ"/>
              </w:rPr>
            </w:pPr>
            <w:r w:rsidRPr="00256982">
              <w:rPr>
                <w:lang w:eastAsia="en-NZ"/>
              </w:rPr>
              <w:t>New Zealand specific</w:t>
            </w:r>
          </w:p>
        </w:tc>
        <w:tc>
          <w:tcPr>
            <w:tcW w:w="3402" w:type="dxa"/>
            <w:tcBorders>
              <w:left w:val="nil"/>
            </w:tcBorders>
          </w:tcPr>
          <w:p w14:paraId="7C58281E" w14:textId="77777777" w:rsidR="00005A00" w:rsidRPr="00256982" w:rsidRDefault="00005A00" w:rsidP="00AA14F1">
            <w:pPr>
              <w:pStyle w:val="TableText"/>
              <w:spacing w:before="40" w:after="40"/>
              <w:rPr>
                <w:lang w:eastAsia="en-NZ"/>
              </w:rPr>
            </w:pPr>
            <w:r w:rsidRPr="00256982">
              <w:rPr>
                <w:lang w:eastAsia="en-NZ"/>
              </w:rPr>
              <w:t>SCS Wetherill Environmental (unpublished)</w:t>
            </w:r>
          </w:p>
        </w:tc>
      </w:tr>
      <w:tr w:rsidR="00005A00" w:rsidRPr="00256982" w14:paraId="6B36E589" w14:textId="77777777" w:rsidTr="00AA14F1">
        <w:tc>
          <w:tcPr>
            <w:tcW w:w="2552" w:type="dxa"/>
            <w:tcBorders>
              <w:right w:val="nil"/>
            </w:tcBorders>
          </w:tcPr>
          <w:p w14:paraId="19EDEC36" w14:textId="77777777" w:rsidR="00005A00" w:rsidRPr="00256982" w:rsidRDefault="00005A00" w:rsidP="00AA14F1">
            <w:pPr>
              <w:pStyle w:val="TableText"/>
              <w:spacing w:before="40" w:after="40"/>
              <w:rPr>
                <w:lang w:eastAsia="en-NZ"/>
              </w:rPr>
            </w:pPr>
            <w:r w:rsidRPr="00256982">
              <w:rPr>
                <w:lang w:eastAsia="en-NZ"/>
              </w:rPr>
              <w:t>Ratio of total nitrogen to biodegradable COD (TN:COD</w:t>
            </w:r>
            <w:r w:rsidRPr="00256982">
              <w:rPr>
                <w:vertAlign w:val="subscript"/>
                <w:lang w:eastAsia="en-NZ"/>
              </w:rPr>
              <w:t>b</w:t>
            </w:r>
            <w:r w:rsidRPr="00256982">
              <w:rPr>
                <w:lang w:eastAsia="en-NZ"/>
              </w:rPr>
              <w:t>)</w:t>
            </w:r>
          </w:p>
        </w:tc>
        <w:tc>
          <w:tcPr>
            <w:tcW w:w="709" w:type="dxa"/>
            <w:tcBorders>
              <w:left w:val="nil"/>
              <w:right w:val="nil"/>
            </w:tcBorders>
          </w:tcPr>
          <w:p w14:paraId="578B8392" w14:textId="77777777" w:rsidR="00005A00" w:rsidRPr="00256982" w:rsidRDefault="00005A00" w:rsidP="00AA14F1">
            <w:pPr>
              <w:pStyle w:val="TableText"/>
              <w:tabs>
                <w:tab w:val="decimal" w:pos="176"/>
              </w:tabs>
              <w:spacing w:before="40" w:after="40"/>
              <w:jc w:val="center"/>
              <w:rPr>
                <w:lang w:eastAsia="en-NZ"/>
              </w:rPr>
            </w:pPr>
            <w:r w:rsidRPr="00256982">
              <w:rPr>
                <w:lang w:eastAsia="en-NZ"/>
              </w:rPr>
              <w:t>0.080</w:t>
            </w:r>
          </w:p>
        </w:tc>
        <w:tc>
          <w:tcPr>
            <w:tcW w:w="1842" w:type="dxa"/>
            <w:tcBorders>
              <w:left w:val="nil"/>
              <w:right w:val="nil"/>
            </w:tcBorders>
          </w:tcPr>
          <w:p w14:paraId="1E435B79" w14:textId="77777777" w:rsidR="00005A00" w:rsidRPr="00256982" w:rsidRDefault="00005A00" w:rsidP="00AA14F1">
            <w:pPr>
              <w:pStyle w:val="TableText"/>
              <w:spacing w:before="40" w:after="40"/>
              <w:rPr>
                <w:lang w:eastAsia="en-NZ"/>
              </w:rPr>
            </w:pPr>
            <w:r w:rsidRPr="00256982">
              <w:rPr>
                <w:lang w:eastAsia="en-NZ"/>
              </w:rPr>
              <w:t>New Zealand specific</w:t>
            </w:r>
          </w:p>
        </w:tc>
        <w:tc>
          <w:tcPr>
            <w:tcW w:w="3402" w:type="dxa"/>
            <w:tcBorders>
              <w:left w:val="nil"/>
            </w:tcBorders>
          </w:tcPr>
          <w:p w14:paraId="1918E5DC" w14:textId="77777777" w:rsidR="00005A00" w:rsidRPr="00256982" w:rsidRDefault="00005A00" w:rsidP="00AA14F1">
            <w:pPr>
              <w:pStyle w:val="TableText"/>
              <w:spacing w:before="40" w:after="40"/>
              <w:rPr>
                <w:lang w:eastAsia="en-NZ"/>
              </w:rPr>
            </w:pPr>
            <w:r w:rsidRPr="00256982">
              <w:rPr>
                <w:lang w:eastAsia="en-NZ"/>
              </w:rPr>
              <w:t>SCS Wetherill Environmental (unpublished)</w:t>
            </w:r>
          </w:p>
        </w:tc>
      </w:tr>
      <w:tr w:rsidR="00005A00" w:rsidRPr="00256982" w14:paraId="1D10D869" w14:textId="77777777" w:rsidTr="00AA14F1">
        <w:tc>
          <w:tcPr>
            <w:tcW w:w="2552" w:type="dxa"/>
            <w:tcBorders>
              <w:right w:val="nil"/>
            </w:tcBorders>
          </w:tcPr>
          <w:p w14:paraId="3410B6F3" w14:textId="77777777" w:rsidR="00005A00" w:rsidRPr="00256982" w:rsidRDefault="00005A00" w:rsidP="00AA14F1">
            <w:pPr>
              <w:pStyle w:val="TableText"/>
              <w:spacing w:before="40" w:after="40"/>
              <w:rPr>
                <w:lang w:eastAsia="en-NZ"/>
              </w:rPr>
            </w:pPr>
            <w:r w:rsidRPr="00256982">
              <w:rPr>
                <w:lang w:eastAsia="en-NZ"/>
              </w:rPr>
              <w:t>Overall emission factor</w:t>
            </w:r>
          </w:p>
        </w:tc>
        <w:tc>
          <w:tcPr>
            <w:tcW w:w="709" w:type="dxa"/>
            <w:tcBorders>
              <w:left w:val="nil"/>
              <w:right w:val="nil"/>
            </w:tcBorders>
          </w:tcPr>
          <w:p w14:paraId="00475DA0" w14:textId="77777777" w:rsidR="00005A00" w:rsidRPr="00256982" w:rsidRDefault="00005A00" w:rsidP="00AA14F1">
            <w:pPr>
              <w:pStyle w:val="TableText"/>
              <w:tabs>
                <w:tab w:val="decimal" w:pos="176"/>
              </w:tabs>
              <w:spacing w:before="40" w:after="40"/>
              <w:jc w:val="center"/>
              <w:rPr>
                <w:lang w:eastAsia="en-NZ"/>
              </w:rPr>
            </w:pPr>
            <w:r w:rsidRPr="00256982">
              <w:rPr>
                <w:lang w:eastAsia="en-NZ"/>
              </w:rPr>
              <w:t>0.02</w:t>
            </w:r>
          </w:p>
        </w:tc>
        <w:tc>
          <w:tcPr>
            <w:tcW w:w="1842" w:type="dxa"/>
            <w:tcBorders>
              <w:left w:val="nil"/>
              <w:right w:val="nil"/>
            </w:tcBorders>
          </w:tcPr>
          <w:p w14:paraId="4CDF7254" w14:textId="77777777" w:rsidR="00005A00" w:rsidRPr="00256982" w:rsidRDefault="00005A00" w:rsidP="00AA14F1">
            <w:pPr>
              <w:pStyle w:val="TableText"/>
              <w:spacing w:before="40" w:after="40"/>
              <w:rPr>
                <w:lang w:eastAsia="en-NZ"/>
              </w:rPr>
            </w:pPr>
            <w:r w:rsidRPr="00256982">
              <w:rPr>
                <w:lang w:eastAsia="en-NZ"/>
              </w:rPr>
              <w:t>New Zealand specific</w:t>
            </w:r>
          </w:p>
        </w:tc>
        <w:tc>
          <w:tcPr>
            <w:tcW w:w="3402" w:type="dxa"/>
            <w:tcBorders>
              <w:left w:val="nil"/>
            </w:tcBorders>
          </w:tcPr>
          <w:p w14:paraId="3331EAFE" w14:textId="77777777" w:rsidR="00005A00" w:rsidRPr="00256982" w:rsidRDefault="00005A00" w:rsidP="00AA14F1">
            <w:pPr>
              <w:pStyle w:val="TableText"/>
              <w:spacing w:before="40" w:after="40"/>
              <w:rPr>
                <w:lang w:eastAsia="en-NZ"/>
              </w:rPr>
            </w:pPr>
            <w:r w:rsidRPr="00256982">
              <w:rPr>
                <w:lang w:eastAsia="en-NZ"/>
              </w:rPr>
              <w:t>SCS Wetherill Environmental (unpublished)</w:t>
            </w:r>
          </w:p>
        </w:tc>
      </w:tr>
    </w:tbl>
    <w:p w14:paraId="2A4AE839" w14:textId="77777777" w:rsidR="00005A00" w:rsidRPr="00256982" w:rsidRDefault="00005A00" w:rsidP="00005A00">
      <w:pPr>
        <w:pStyle w:val="Noteundertable"/>
      </w:pPr>
      <w:r w:rsidRPr="00256982">
        <w:rPr>
          <w:b/>
          <w:lang w:eastAsia="en-NZ"/>
        </w:rPr>
        <w:t>Note:</w:t>
      </w:r>
      <w:r w:rsidRPr="00256982">
        <w:rPr>
          <w:lang w:eastAsia="en-NZ"/>
        </w:rPr>
        <w:t xml:space="preserve"> </w:t>
      </w:r>
      <w:r w:rsidRPr="00256982">
        <w:rPr>
          <w:lang w:eastAsia="en-NZ"/>
        </w:rPr>
        <w:tab/>
        <w:t>COD = chemical oxygen demand.</w:t>
      </w:r>
    </w:p>
    <w:p w14:paraId="16BB8F67" w14:textId="77777777" w:rsidR="00005A00" w:rsidRPr="00256982" w:rsidRDefault="00005A00" w:rsidP="00005A00">
      <w:pPr>
        <w:pStyle w:val="Heading6"/>
        <w:spacing w:before="120"/>
      </w:pPr>
      <w:r w:rsidRPr="00256982">
        <w:rPr>
          <w:lang w:eastAsia="en-NZ"/>
        </w:rPr>
        <w:t>Recovery</w:t>
      </w:r>
    </w:p>
    <w:p w14:paraId="34791AD7" w14:textId="77777777" w:rsidR="00005A00" w:rsidRPr="00256982" w:rsidRDefault="00005A00" w:rsidP="00005A00">
      <w:pPr>
        <w:pStyle w:val="BodyText"/>
        <w:spacing w:after="80"/>
        <w:rPr>
          <w:lang w:eastAsia="en-NZ"/>
        </w:rPr>
      </w:pPr>
      <w:r w:rsidRPr="00256982">
        <w:rPr>
          <w:lang w:eastAsia="en-NZ"/>
        </w:rPr>
        <w:t>There is no recovery of emissions reported for this source.</w:t>
      </w:r>
    </w:p>
    <w:p w14:paraId="25077B54" w14:textId="77777777" w:rsidR="00005A00" w:rsidRPr="00256982" w:rsidRDefault="00005A00" w:rsidP="00005A00">
      <w:pPr>
        <w:pStyle w:val="Heading3"/>
      </w:pPr>
      <w:r w:rsidRPr="00256982">
        <w:t xml:space="preserve">7.5.3 </w:t>
      </w:r>
      <w:r w:rsidRPr="00256982">
        <w:tab/>
        <w:t>Uncertainties and time-series consistency</w:t>
      </w:r>
    </w:p>
    <w:p w14:paraId="2B131B76" w14:textId="77777777" w:rsidR="00005A00" w:rsidRPr="00256982" w:rsidRDefault="00005A00" w:rsidP="00005A00">
      <w:pPr>
        <w:pStyle w:val="Heading4"/>
      </w:pPr>
      <w:r w:rsidRPr="00256982">
        <w:t>Uncertainties</w:t>
      </w:r>
    </w:p>
    <w:p w14:paraId="17113E75" w14:textId="77777777" w:rsidR="00005A00" w:rsidRPr="00256982" w:rsidRDefault="00005A00" w:rsidP="00005A00">
      <w:pPr>
        <w:pStyle w:val="Table"/>
        <w:spacing w:before="200"/>
      </w:pPr>
      <w:bookmarkStart w:id="2441" w:name="_Toc444001635"/>
      <w:bookmarkStart w:id="2442" w:name="_Toc451176187"/>
      <w:bookmarkStart w:id="2443" w:name="_Toc481751617"/>
      <w:bookmarkStart w:id="2444" w:name="_Toc508019344"/>
      <w:bookmarkStart w:id="2445" w:name="_Toc511116844"/>
      <w:bookmarkStart w:id="2446" w:name="_Toc5269593"/>
      <w:r w:rsidRPr="00256982">
        <w:t>Table 7.5.16</w:t>
      </w:r>
      <w:r w:rsidRPr="00256982">
        <w:tab/>
        <w:t>Uncertainty in emissions from wastewater</w:t>
      </w:r>
      <w:bookmarkEnd w:id="2441"/>
      <w:bookmarkEnd w:id="2442"/>
      <w:bookmarkEnd w:id="2443"/>
      <w:bookmarkEnd w:id="2444"/>
      <w:bookmarkEnd w:id="2445"/>
      <w:bookmarkEnd w:id="2446"/>
    </w:p>
    <w:tbl>
      <w:tblPr>
        <w:tblW w:w="8505" w:type="dxa"/>
        <w:tblInd w:w="108" w:type="dxa"/>
        <w:tblBorders>
          <w:top w:val="single" w:sz="6" w:space="0" w:color="365F91"/>
          <w:bottom w:val="single" w:sz="6" w:space="0" w:color="365F91"/>
          <w:insideH w:val="single" w:sz="6" w:space="0" w:color="365F91"/>
        </w:tblBorders>
        <w:tblLook w:val="04A0" w:firstRow="1" w:lastRow="0" w:firstColumn="1" w:lastColumn="0" w:noHBand="0" w:noVBand="1"/>
      </w:tblPr>
      <w:tblGrid>
        <w:gridCol w:w="3523"/>
        <w:gridCol w:w="2413"/>
        <w:gridCol w:w="2569"/>
      </w:tblGrid>
      <w:tr w:rsidR="00005A00" w:rsidRPr="00256982" w14:paraId="7F2B391D" w14:textId="77777777" w:rsidTr="00AA14F1">
        <w:tc>
          <w:tcPr>
            <w:tcW w:w="3312" w:type="dxa"/>
            <w:tcBorders>
              <w:top w:val="single" w:sz="4" w:space="0" w:color="365F91"/>
              <w:left w:val="nil"/>
              <w:bottom w:val="single" w:sz="4" w:space="0" w:color="365F91"/>
              <w:right w:val="nil"/>
            </w:tcBorders>
            <w:shd w:val="clear" w:color="000000" w:fill="365F91"/>
            <w:vAlign w:val="bottom"/>
          </w:tcPr>
          <w:p w14:paraId="0B95D803" w14:textId="77777777" w:rsidR="00005A00" w:rsidRPr="00256982" w:rsidRDefault="00005A00" w:rsidP="00AA14F1">
            <w:pPr>
              <w:pStyle w:val="TableTextBold"/>
              <w:keepNext/>
              <w:rPr>
                <w:noProof w:val="0"/>
                <w:color w:val="FFFFFF"/>
              </w:rPr>
            </w:pPr>
            <w:r w:rsidRPr="00256982">
              <w:rPr>
                <w:noProof w:val="0"/>
                <w:color w:val="FFFFFF"/>
              </w:rPr>
              <w:t>Emissions category</w:t>
            </w:r>
          </w:p>
        </w:tc>
        <w:tc>
          <w:tcPr>
            <w:tcW w:w="2268" w:type="dxa"/>
            <w:tcBorders>
              <w:top w:val="single" w:sz="4" w:space="0" w:color="365F91"/>
              <w:left w:val="nil"/>
              <w:bottom w:val="single" w:sz="4" w:space="0" w:color="365F91"/>
              <w:right w:val="nil"/>
            </w:tcBorders>
            <w:shd w:val="clear" w:color="000000" w:fill="365F91"/>
            <w:vAlign w:val="bottom"/>
          </w:tcPr>
          <w:p w14:paraId="0E8CA5D6" w14:textId="77777777" w:rsidR="00005A00" w:rsidRPr="00256982" w:rsidRDefault="00005A00" w:rsidP="00AA14F1">
            <w:pPr>
              <w:pStyle w:val="TableTextBold"/>
              <w:jc w:val="center"/>
              <w:rPr>
                <w:noProof w:val="0"/>
                <w:color w:val="FFFFFF"/>
              </w:rPr>
            </w:pPr>
            <w:r w:rsidRPr="00256982">
              <w:rPr>
                <w:noProof w:val="0"/>
                <w:color w:val="FFFFFF"/>
              </w:rPr>
              <w:t xml:space="preserve">Uncertainty in </w:t>
            </w:r>
            <w:r w:rsidRPr="00256982">
              <w:rPr>
                <w:noProof w:val="0"/>
                <w:color w:val="FFFFFF"/>
              </w:rPr>
              <w:br/>
              <w:t>activity data (%)</w:t>
            </w:r>
          </w:p>
        </w:tc>
        <w:tc>
          <w:tcPr>
            <w:tcW w:w="2415" w:type="dxa"/>
            <w:tcBorders>
              <w:top w:val="single" w:sz="4" w:space="0" w:color="365F91"/>
              <w:left w:val="nil"/>
              <w:bottom w:val="single" w:sz="4" w:space="0" w:color="365F91"/>
              <w:right w:val="nil"/>
            </w:tcBorders>
            <w:shd w:val="clear" w:color="000000" w:fill="365F91"/>
            <w:vAlign w:val="bottom"/>
          </w:tcPr>
          <w:p w14:paraId="44C2C5CE" w14:textId="77777777" w:rsidR="00005A00" w:rsidRPr="00256982" w:rsidRDefault="00005A00" w:rsidP="00AA14F1">
            <w:pPr>
              <w:pStyle w:val="TableTextBold"/>
              <w:jc w:val="center"/>
              <w:rPr>
                <w:noProof w:val="0"/>
              </w:rPr>
            </w:pPr>
            <w:r w:rsidRPr="00256982">
              <w:rPr>
                <w:noProof w:val="0"/>
                <w:color w:val="FFFFFF"/>
              </w:rPr>
              <w:t xml:space="preserve">Uncertainty in </w:t>
            </w:r>
            <w:r w:rsidRPr="00256982">
              <w:rPr>
                <w:noProof w:val="0"/>
                <w:color w:val="FFFFFF"/>
              </w:rPr>
              <w:br/>
              <w:t>emission factors (%)</w:t>
            </w:r>
          </w:p>
        </w:tc>
      </w:tr>
      <w:tr w:rsidR="00005A00" w:rsidRPr="00256982" w14:paraId="56DC8D47" w14:textId="77777777" w:rsidTr="00AA14F1">
        <w:trPr>
          <w:trHeight w:val="127"/>
        </w:trPr>
        <w:tc>
          <w:tcPr>
            <w:tcW w:w="3312" w:type="dxa"/>
            <w:tcBorders>
              <w:top w:val="single" w:sz="4" w:space="0" w:color="365F91"/>
            </w:tcBorders>
            <w:shd w:val="clear" w:color="auto" w:fill="FFFFFF"/>
          </w:tcPr>
          <w:p w14:paraId="383B001A" w14:textId="77777777" w:rsidR="00005A00" w:rsidRPr="00256982" w:rsidRDefault="00005A00" w:rsidP="00AA14F1">
            <w:pPr>
              <w:pStyle w:val="TableText"/>
              <w:keepNext/>
              <w:spacing w:before="40" w:after="40"/>
              <w:rPr>
                <w:rFonts w:cs="Arial"/>
                <w:bCs/>
              </w:rPr>
            </w:pPr>
            <w:r w:rsidRPr="00256982">
              <w:rPr>
                <w:rFonts w:cs="Arial"/>
                <w:bCs/>
              </w:rPr>
              <w:t>Domestic and industrial wastewater (CH</w:t>
            </w:r>
            <w:r w:rsidRPr="00256982">
              <w:rPr>
                <w:rFonts w:cs="Arial"/>
                <w:bCs/>
                <w:vertAlign w:val="subscript"/>
              </w:rPr>
              <w:t>4</w:t>
            </w:r>
            <w:r w:rsidRPr="00256982">
              <w:rPr>
                <w:rFonts w:cs="Arial"/>
                <w:bCs/>
              </w:rPr>
              <w:t>)</w:t>
            </w:r>
          </w:p>
        </w:tc>
        <w:tc>
          <w:tcPr>
            <w:tcW w:w="2268" w:type="dxa"/>
            <w:tcBorders>
              <w:top w:val="single" w:sz="4" w:space="0" w:color="365F91"/>
            </w:tcBorders>
            <w:shd w:val="clear" w:color="auto" w:fill="FFFFFF"/>
          </w:tcPr>
          <w:p w14:paraId="4A7FB4F2" w14:textId="77777777" w:rsidR="00005A00" w:rsidRPr="00256982" w:rsidRDefault="00005A00" w:rsidP="00AA14F1">
            <w:pPr>
              <w:pStyle w:val="TableText"/>
              <w:spacing w:before="40" w:after="40"/>
              <w:jc w:val="center"/>
              <w:rPr>
                <w:rFonts w:cs="Arial"/>
              </w:rPr>
            </w:pPr>
            <w:r w:rsidRPr="00256982">
              <w:rPr>
                <w:rFonts w:cs="Arial"/>
              </w:rPr>
              <w:t>±10</w:t>
            </w:r>
          </w:p>
        </w:tc>
        <w:tc>
          <w:tcPr>
            <w:tcW w:w="2415" w:type="dxa"/>
            <w:tcBorders>
              <w:top w:val="single" w:sz="4" w:space="0" w:color="365F91"/>
            </w:tcBorders>
            <w:shd w:val="clear" w:color="auto" w:fill="FFFFFF"/>
          </w:tcPr>
          <w:p w14:paraId="204D770A" w14:textId="77777777" w:rsidR="00005A00" w:rsidRPr="00256982" w:rsidRDefault="00005A00" w:rsidP="00AA14F1">
            <w:pPr>
              <w:pStyle w:val="TableText"/>
              <w:spacing w:before="40" w:after="40"/>
              <w:jc w:val="center"/>
              <w:rPr>
                <w:rFonts w:cs="Arial"/>
              </w:rPr>
            </w:pPr>
            <w:r w:rsidRPr="00256982">
              <w:rPr>
                <w:rFonts w:cs="Arial"/>
              </w:rPr>
              <w:t>±40</w:t>
            </w:r>
          </w:p>
        </w:tc>
      </w:tr>
      <w:tr w:rsidR="00005A00" w:rsidRPr="00256982" w14:paraId="7175710F" w14:textId="77777777" w:rsidTr="00AA14F1">
        <w:tc>
          <w:tcPr>
            <w:tcW w:w="3312" w:type="dxa"/>
            <w:shd w:val="clear" w:color="auto" w:fill="FFFFFF"/>
          </w:tcPr>
          <w:p w14:paraId="6624C40B" w14:textId="77777777" w:rsidR="00005A00" w:rsidRPr="00256982" w:rsidRDefault="00005A00" w:rsidP="00AA14F1">
            <w:pPr>
              <w:pStyle w:val="TableText"/>
              <w:spacing w:before="40" w:after="40"/>
              <w:rPr>
                <w:rFonts w:cs="Arial"/>
                <w:bCs/>
              </w:rPr>
            </w:pPr>
            <w:r w:rsidRPr="00256982">
              <w:rPr>
                <w:rFonts w:cs="Arial"/>
                <w:bCs/>
              </w:rPr>
              <w:t>Domestic and industrial wastewater (N</w:t>
            </w:r>
            <w:r w:rsidRPr="00256982">
              <w:rPr>
                <w:rFonts w:cs="Arial"/>
                <w:bCs/>
                <w:vertAlign w:val="subscript"/>
              </w:rPr>
              <w:t>2</w:t>
            </w:r>
            <w:r w:rsidRPr="00256982">
              <w:rPr>
                <w:rFonts w:cs="Arial"/>
                <w:bCs/>
              </w:rPr>
              <w:t>O)</w:t>
            </w:r>
          </w:p>
        </w:tc>
        <w:tc>
          <w:tcPr>
            <w:tcW w:w="2268" w:type="dxa"/>
            <w:shd w:val="clear" w:color="auto" w:fill="FFFFFF"/>
          </w:tcPr>
          <w:p w14:paraId="2B81BF60" w14:textId="77777777" w:rsidR="00005A00" w:rsidRPr="00256982" w:rsidRDefault="00005A00" w:rsidP="00AA14F1">
            <w:pPr>
              <w:pStyle w:val="TableText"/>
              <w:spacing w:before="40" w:after="40"/>
              <w:jc w:val="center"/>
              <w:rPr>
                <w:rFonts w:cs="Arial"/>
              </w:rPr>
            </w:pPr>
            <w:r w:rsidRPr="00256982">
              <w:rPr>
                <w:rFonts w:cs="Arial"/>
              </w:rPr>
              <w:t>±10</w:t>
            </w:r>
          </w:p>
        </w:tc>
        <w:tc>
          <w:tcPr>
            <w:tcW w:w="2415" w:type="dxa"/>
            <w:shd w:val="clear" w:color="auto" w:fill="FFFFFF"/>
          </w:tcPr>
          <w:p w14:paraId="2B979680" w14:textId="77777777" w:rsidR="00005A00" w:rsidRPr="00256982" w:rsidRDefault="00005A00" w:rsidP="00AA14F1">
            <w:pPr>
              <w:pStyle w:val="TableText"/>
              <w:spacing w:before="40" w:after="40"/>
              <w:jc w:val="center"/>
              <w:rPr>
                <w:rFonts w:cs="Arial"/>
              </w:rPr>
            </w:pPr>
            <w:r w:rsidRPr="00256982">
              <w:rPr>
                <w:rFonts w:cs="Arial"/>
              </w:rPr>
              <w:t>±90</w:t>
            </w:r>
          </w:p>
        </w:tc>
      </w:tr>
    </w:tbl>
    <w:p w14:paraId="417F2E02" w14:textId="77777777" w:rsidR="00005A00" w:rsidRPr="00256982" w:rsidRDefault="00005A00" w:rsidP="00005A00">
      <w:pPr>
        <w:pStyle w:val="Heading5"/>
        <w:spacing w:before="360"/>
      </w:pPr>
      <w:r w:rsidRPr="00256982">
        <w:t xml:space="preserve">Methane emissions </w:t>
      </w:r>
    </w:p>
    <w:p w14:paraId="4714C962" w14:textId="77777777" w:rsidR="00005A00" w:rsidRPr="00256982" w:rsidRDefault="00005A00" w:rsidP="00005A00">
      <w:pPr>
        <w:pStyle w:val="BodyText"/>
        <w:spacing w:after="100"/>
        <w:rPr>
          <w:lang w:eastAsia="en-NZ"/>
        </w:rPr>
      </w:pPr>
      <w:r w:rsidRPr="00256982">
        <w:rPr>
          <w:lang w:eastAsia="en-NZ"/>
        </w:rPr>
        <w:t xml:space="preserve">The parameters used to estimate </w:t>
      </w:r>
      <w:r w:rsidRPr="00256982">
        <w:t>CH</w:t>
      </w:r>
      <w:r w:rsidRPr="00256982">
        <w:rPr>
          <w:vertAlign w:val="subscript"/>
        </w:rPr>
        <w:t>4</w:t>
      </w:r>
      <w:r w:rsidRPr="00256982">
        <w:rPr>
          <w:lang w:eastAsia="en-NZ"/>
        </w:rPr>
        <w:t xml:space="preserve"> emissions from domestic and industrial wastewater (table 7.5.16) have an estimated uncertainty of ±40 per cent (SCS Wetherill Environmental, unpublished). This uncertainty stems from:</w:t>
      </w:r>
    </w:p>
    <w:p w14:paraId="037E9976" w14:textId="77777777" w:rsidR="00005A00" w:rsidRPr="00256982" w:rsidRDefault="00005A00" w:rsidP="00005A00">
      <w:pPr>
        <w:pStyle w:val="Bullet"/>
        <w:numPr>
          <w:ilvl w:val="0"/>
          <w:numId w:val="8"/>
        </w:numPr>
        <w:spacing w:after="100"/>
      </w:pPr>
      <w:r w:rsidRPr="00256982">
        <w:t xml:space="preserve">uncertainties in the factors used to calculate emissions from the different wastewater treatment processes </w:t>
      </w:r>
    </w:p>
    <w:p w14:paraId="2AD1E3B7" w14:textId="77777777" w:rsidR="00005A00" w:rsidRPr="00256982" w:rsidRDefault="00005A00" w:rsidP="00005A00">
      <w:pPr>
        <w:pStyle w:val="Bullet"/>
        <w:numPr>
          <w:ilvl w:val="0"/>
          <w:numId w:val="8"/>
        </w:numPr>
        <w:spacing w:after="100"/>
      </w:pPr>
      <w:r w:rsidRPr="00256982">
        <w:t xml:space="preserve">uncertainties in the quantities of wastewater handled by the different wastewater treatment plants </w:t>
      </w:r>
    </w:p>
    <w:p w14:paraId="51199E86" w14:textId="77777777" w:rsidR="00005A00" w:rsidRPr="00256982" w:rsidRDefault="00005A00" w:rsidP="00005A00">
      <w:pPr>
        <w:pStyle w:val="Bullet"/>
        <w:numPr>
          <w:ilvl w:val="0"/>
          <w:numId w:val="8"/>
        </w:numPr>
        <w:spacing w:after="100"/>
      </w:pPr>
      <w:r w:rsidRPr="00256982">
        <w:t xml:space="preserve">uncertainties in the accuracy and completeness of the data relating to each plant </w:t>
      </w:r>
    </w:p>
    <w:p w14:paraId="5EE3599D" w14:textId="77777777" w:rsidR="00005A00" w:rsidRPr="00256982" w:rsidRDefault="00005A00" w:rsidP="00005A00">
      <w:pPr>
        <w:pStyle w:val="Bullet"/>
        <w:numPr>
          <w:ilvl w:val="0"/>
          <w:numId w:val="8"/>
        </w:numPr>
        <w:spacing w:after="100"/>
      </w:pPr>
      <w:r w:rsidRPr="00256982">
        <w:t>uncertainties in the factors used to calculate the degradable organic content in the wastewater</w:t>
      </w:r>
    </w:p>
    <w:p w14:paraId="52F1BB31" w14:textId="77777777" w:rsidR="00005A00" w:rsidRPr="00256982" w:rsidRDefault="00005A00" w:rsidP="00005A00">
      <w:pPr>
        <w:pStyle w:val="Bullet"/>
        <w:numPr>
          <w:ilvl w:val="0"/>
          <w:numId w:val="8"/>
        </w:numPr>
      </w:pPr>
      <w:r w:rsidRPr="00256982">
        <w:t>uncertainties in the wastewater treatment methods.</w:t>
      </w:r>
    </w:p>
    <w:p w14:paraId="1EA73ADE" w14:textId="77777777" w:rsidR="00005A00" w:rsidRPr="00256982" w:rsidRDefault="00005A00" w:rsidP="00005A00">
      <w:pPr>
        <w:pStyle w:val="Heading5"/>
      </w:pPr>
      <w:r w:rsidRPr="00256982">
        <w:t xml:space="preserve">Nitrous oxide emissions </w:t>
      </w:r>
    </w:p>
    <w:p w14:paraId="108A17FD" w14:textId="77777777" w:rsidR="00005A00" w:rsidRPr="00256982" w:rsidRDefault="00005A00" w:rsidP="00005A00">
      <w:pPr>
        <w:pStyle w:val="BodyText"/>
        <w:spacing w:before="100" w:after="100"/>
        <w:rPr>
          <w:lang w:eastAsia="en-NZ"/>
        </w:rPr>
      </w:pPr>
      <w:r w:rsidRPr="00256982">
        <w:rPr>
          <w:lang w:eastAsia="en-NZ"/>
        </w:rPr>
        <w:t>Large uncertainties are associated with the IPCC default emission factors for N</w:t>
      </w:r>
      <w:r w:rsidRPr="00256982">
        <w:rPr>
          <w:vertAlign w:val="subscript"/>
          <w:lang w:eastAsia="en-NZ"/>
        </w:rPr>
        <w:t>2</w:t>
      </w:r>
      <w:r w:rsidRPr="00256982">
        <w:rPr>
          <w:lang w:eastAsia="en-NZ"/>
        </w:rPr>
        <w:t xml:space="preserve">O emissions from wastewater treatment effluent (IPCC, 2006a). The uncertainty is estimated to be ±90 per cent based on the ranges experienced in collecting and applying similar data internationally, and expert judgement on the application of this experience to New Zealand (Law et al., 2012). </w:t>
      </w:r>
    </w:p>
    <w:p w14:paraId="1CC70760" w14:textId="77777777" w:rsidR="00005A00" w:rsidRPr="00256982" w:rsidRDefault="00005A00" w:rsidP="00005A00">
      <w:pPr>
        <w:pStyle w:val="Heading4"/>
      </w:pPr>
      <w:r w:rsidRPr="00256982">
        <w:t>Time-series consistency</w:t>
      </w:r>
    </w:p>
    <w:p w14:paraId="1A72A5C6" w14:textId="77777777" w:rsidR="00005A00" w:rsidRPr="00256982" w:rsidRDefault="00005A00" w:rsidP="00005A00">
      <w:pPr>
        <w:pStyle w:val="BodyText"/>
        <w:spacing w:before="100" w:after="100"/>
        <w:rPr>
          <w:lang w:eastAsia="en-NZ"/>
        </w:rPr>
      </w:pPr>
      <w:r w:rsidRPr="00256982">
        <w:rPr>
          <w:lang w:eastAsia="en-NZ"/>
        </w:rPr>
        <w:t>Time-series consistency is ensured by the use of consistent models and parameters across the period. Where changes to methodologies or emission factors have occurred, the entire time series has been recalculated.</w:t>
      </w:r>
    </w:p>
    <w:p w14:paraId="3B4E63BD" w14:textId="77777777" w:rsidR="00005A00" w:rsidRPr="00256982" w:rsidRDefault="00005A00" w:rsidP="00005A00">
      <w:pPr>
        <w:pStyle w:val="Heading3"/>
        <w:spacing w:before="280"/>
      </w:pPr>
      <w:r w:rsidRPr="00256982">
        <w:t xml:space="preserve">7.5.4 </w:t>
      </w:r>
      <w:r w:rsidRPr="00256982">
        <w:tab/>
        <w:t>Source-specific QA/QC and verification</w:t>
      </w:r>
    </w:p>
    <w:p w14:paraId="49551616" w14:textId="77777777" w:rsidR="00005A00" w:rsidRPr="00256982" w:rsidRDefault="00005A00" w:rsidP="00005A00">
      <w:pPr>
        <w:pStyle w:val="BodyText"/>
        <w:spacing w:before="100" w:after="100"/>
        <w:rPr>
          <w:lang w:eastAsia="en-NZ"/>
        </w:rPr>
      </w:pPr>
      <w:r w:rsidRPr="00256982">
        <w:rPr>
          <w:lang w:eastAsia="en-NZ"/>
        </w:rPr>
        <w:t xml:space="preserve">In the preparation for this inventory submission, the data for the </w:t>
      </w:r>
      <w:r w:rsidRPr="00256982">
        <w:rPr>
          <w:i/>
          <w:lang w:eastAsia="en-NZ"/>
        </w:rPr>
        <w:t xml:space="preserve">Wastewater treatment and discharge </w:t>
      </w:r>
      <w:r w:rsidRPr="00256982">
        <w:rPr>
          <w:lang w:eastAsia="en-NZ"/>
        </w:rPr>
        <w:t xml:space="preserve">category underwent Tier 1 quality checks. </w:t>
      </w:r>
    </w:p>
    <w:p w14:paraId="603D2E52" w14:textId="77777777" w:rsidR="00005A00" w:rsidRPr="00256982" w:rsidRDefault="00005A00" w:rsidP="00005A00">
      <w:pPr>
        <w:pStyle w:val="Heading3"/>
        <w:spacing w:before="280"/>
      </w:pPr>
      <w:r w:rsidRPr="00256982">
        <w:t xml:space="preserve">7.5.5 </w:t>
      </w:r>
      <w:r w:rsidRPr="00256982">
        <w:tab/>
        <w:t>Source-specific recalculations</w:t>
      </w:r>
    </w:p>
    <w:p w14:paraId="2626E1F2" w14:textId="77777777" w:rsidR="00005A00" w:rsidRPr="00256982" w:rsidRDefault="00005A00" w:rsidP="00005A00">
      <w:pPr>
        <w:pStyle w:val="Heading4"/>
      </w:pPr>
      <w:r w:rsidRPr="00256982">
        <w:t xml:space="preserve">Emissions from domestic and industrial wastewater treatment </w:t>
      </w:r>
    </w:p>
    <w:p w14:paraId="3CB6D8CE" w14:textId="77777777" w:rsidR="00005A00" w:rsidRPr="00256982" w:rsidRDefault="00005A00" w:rsidP="00005A00">
      <w:pPr>
        <w:pStyle w:val="BodyText"/>
        <w:spacing w:before="100" w:after="100"/>
      </w:pPr>
      <w:r w:rsidRPr="00256982">
        <w:t>Emissions from domestic wastewater have been recalculated for the entire time series due to:</w:t>
      </w:r>
    </w:p>
    <w:p w14:paraId="4DA83326" w14:textId="77777777" w:rsidR="00005A00" w:rsidRPr="00256982" w:rsidRDefault="00005A00" w:rsidP="00005A00">
      <w:pPr>
        <w:pStyle w:val="Bullet"/>
        <w:numPr>
          <w:ilvl w:val="0"/>
          <w:numId w:val="8"/>
        </w:numPr>
      </w:pPr>
      <w:r w:rsidRPr="00256982">
        <w:t>removal of N</w:t>
      </w:r>
      <w:r w:rsidRPr="00256982">
        <w:rPr>
          <w:vertAlign w:val="subscript"/>
        </w:rPr>
        <w:t>2</w:t>
      </w:r>
      <w:r w:rsidRPr="00256982">
        <w:t>O emissions from the population using septic tanks because no effluent is being disposed to waterways. This has reduced emissions by 13.9 kt CO</w:t>
      </w:r>
      <w:r w:rsidRPr="00256982">
        <w:rPr>
          <w:vertAlign w:val="subscript"/>
        </w:rPr>
        <w:t>2</w:t>
      </w:r>
      <w:r w:rsidRPr="00256982">
        <w:t>-e (17.3 per cent) in 1990 and reduced by 12.4 kt CO</w:t>
      </w:r>
      <w:r w:rsidRPr="00256982">
        <w:rPr>
          <w:vertAlign w:val="subscript"/>
        </w:rPr>
        <w:t>2</w:t>
      </w:r>
      <w:r w:rsidRPr="00256982">
        <w:t>-e (11.0 per cent) in 2016</w:t>
      </w:r>
    </w:p>
    <w:p w14:paraId="48BF0A40" w14:textId="3AD01289" w:rsidR="00005A00" w:rsidRPr="00256982" w:rsidRDefault="00005A00" w:rsidP="00005A00">
      <w:pPr>
        <w:pStyle w:val="Bullet"/>
        <w:numPr>
          <w:ilvl w:val="0"/>
          <w:numId w:val="8"/>
        </w:numPr>
      </w:pPr>
      <w:r w:rsidRPr="00256982">
        <w:t>several changes in the CH</w:t>
      </w:r>
      <w:r w:rsidRPr="00256982">
        <w:rPr>
          <w:vertAlign w:val="subscript"/>
        </w:rPr>
        <w:t>4</w:t>
      </w:r>
      <w:r w:rsidRPr="00256982">
        <w:t xml:space="preserve"> calculations for domestic wastewater, which have reduced emissions by 21.8 kt CO2-e (13.3 per cent) in 1990 and reduced by 21.3 kt CO</w:t>
      </w:r>
      <w:r w:rsidRPr="00256982">
        <w:rPr>
          <w:vertAlign w:val="subscript"/>
        </w:rPr>
        <w:t>2</w:t>
      </w:r>
      <w:r w:rsidRPr="00256982">
        <w:t>-e (12.3 per cent) in 2016. The main change has been to correct the industrial-commercial co-discharge factor for BOD from septic tanks to 1 (instead of 1.25 used in previous submissions) because septic tanks only process residential waste. This has reduced the aggregate CH</w:t>
      </w:r>
      <w:r w:rsidRPr="00256982">
        <w:rPr>
          <w:vertAlign w:val="subscript"/>
        </w:rPr>
        <w:t>4</w:t>
      </w:r>
      <w:r w:rsidR="002847FC" w:rsidRPr="00256982">
        <w:t> </w:t>
      </w:r>
      <w:r w:rsidRPr="00256982">
        <w:t>correction factor (table 7.5.2) by between 9.1 and 18.0 per cent, compared with the 2018 submission</w:t>
      </w:r>
    </w:p>
    <w:p w14:paraId="63F92419" w14:textId="77777777" w:rsidR="00005A00" w:rsidRPr="00256982" w:rsidRDefault="00005A00" w:rsidP="00005A00">
      <w:pPr>
        <w:pStyle w:val="Bullet"/>
        <w:numPr>
          <w:ilvl w:val="0"/>
          <w:numId w:val="8"/>
        </w:numPr>
      </w:pPr>
      <w:r w:rsidRPr="00256982">
        <w:t>revision of the calculation model implementation so that all years are calculated directly from activity data rather than just the final emissions year, which has resulted in small changes in emissions across the time series.</w:t>
      </w:r>
    </w:p>
    <w:p w14:paraId="67EAADAB" w14:textId="77777777" w:rsidR="00005A00" w:rsidRPr="00256982" w:rsidRDefault="00005A00" w:rsidP="00005A00">
      <w:pPr>
        <w:pStyle w:val="BodyText"/>
        <w:spacing w:before="100" w:after="100"/>
      </w:pPr>
      <w:r w:rsidRPr="00256982">
        <w:t>Emissions from industrial wastewater have been recalculated for some industries resulting in small changes and have cumulatively reduced emissions by a maximum of 6.1 kt CO</w:t>
      </w:r>
      <w:r w:rsidRPr="00256982">
        <w:rPr>
          <w:vertAlign w:val="subscript"/>
        </w:rPr>
        <w:t>2</w:t>
      </w:r>
      <w:r w:rsidRPr="00256982">
        <w:t>-e (5.5 per cent) in 2017 due to the following:</w:t>
      </w:r>
    </w:p>
    <w:p w14:paraId="31156A1D" w14:textId="77777777" w:rsidR="00005A00" w:rsidRPr="00256982" w:rsidRDefault="00005A00" w:rsidP="00005A00">
      <w:pPr>
        <w:pStyle w:val="Bullet"/>
        <w:numPr>
          <w:ilvl w:val="0"/>
          <w:numId w:val="8"/>
        </w:numPr>
      </w:pPr>
      <w:r w:rsidRPr="00256982">
        <w:t>Nitrous oxide emissions for leather and skins now reflect that much of the industry discharges to domestic sewers (since 2002), reducing emissions by 5.7 kt CO</w:t>
      </w:r>
      <w:r w:rsidRPr="00256982">
        <w:rPr>
          <w:vertAlign w:val="subscript"/>
        </w:rPr>
        <w:t>2</w:t>
      </w:r>
      <w:r w:rsidRPr="00256982">
        <w:t>-e per year from 2002 to 2017</w:t>
      </w:r>
    </w:p>
    <w:p w14:paraId="1D94B114" w14:textId="77777777" w:rsidR="00005A00" w:rsidRPr="00256982" w:rsidRDefault="00005A00" w:rsidP="00005A00">
      <w:pPr>
        <w:pStyle w:val="Bullet"/>
        <w:numPr>
          <w:ilvl w:val="0"/>
          <w:numId w:val="8"/>
        </w:numPr>
      </w:pPr>
      <w:r w:rsidRPr="00256982">
        <w:t>The emission factor for poultry for 2014–16 was incorrectly applying the meat industry emission factor in the 2018 submission and this has been corrected, reducing emissions by 0.4 kt CO</w:t>
      </w:r>
      <w:r w:rsidRPr="00256982">
        <w:rPr>
          <w:vertAlign w:val="subscript"/>
        </w:rPr>
        <w:t>2</w:t>
      </w:r>
      <w:r w:rsidRPr="00256982">
        <w:t>-e (0.4 per cent) in 2017</w:t>
      </w:r>
    </w:p>
    <w:p w14:paraId="6C5A1E3C" w14:textId="77777777" w:rsidR="00005A00" w:rsidRPr="00256982" w:rsidRDefault="00005A00" w:rsidP="00005A00">
      <w:pPr>
        <w:pStyle w:val="Bullet"/>
        <w:numPr>
          <w:ilvl w:val="0"/>
          <w:numId w:val="8"/>
        </w:numPr>
      </w:pPr>
      <w:r w:rsidRPr="00256982">
        <w:t>Activity data for meat and poultry has been aligned between CH</w:t>
      </w:r>
      <w:r w:rsidRPr="00256982">
        <w:rPr>
          <w:vertAlign w:val="subscript"/>
        </w:rPr>
        <w:t>4</w:t>
      </w:r>
      <w:r w:rsidRPr="00256982">
        <w:t xml:space="preserve"> and N</w:t>
      </w:r>
      <w:r w:rsidRPr="00256982">
        <w:rPr>
          <w:vertAlign w:val="subscript"/>
        </w:rPr>
        <w:t>2</w:t>
      </w:r>
      <w:r w:rsidRPr="00256982">
        <w:t>O calculations where differences were found, which has a negligible impact on emissions.</w:t>
      </w:r>
    </w:p>
    <w:p w14:paraId="5846D90F" w14:textId="77777777" w:rsidR="00005A00" w:rsidRPr="00256982" w:rsidRDefault="00005A00" w:rsidP="00005A00">
      <w:pPr>
        <w:pStyle w:val="BodyText"/>
        <w:spacing w:before="100" w:after="100"/>
      </w:pPr>
      <w:r w:rsidRPr="00256982">
        <w:t>More details on recalculations are provided in chapter 10.</w:t>
      </w:r>
    </w:p>
    <w:p w14:paraId="3101F8A1" w14:textId="77777777" w:rsidR="00005A00" w:rsidRPr="00256982" w:rsidRDefault="00005A00" w:rsidP="00005A00">
      <w:pPr>
        <w:pStyle w:val="Heading3"/>
      </w:pPr>
      <w:r w:rsidRPr="00256982">
        <w:t xml:space="preserve">7.5.6 </w:t>
      </w:r>
      <w:r w:rsidRPr="00256982">
        <w:tab/>
        <w:t>Source-specific planned improvements</w:t>
      </w:r>
    </w:p>
    <w:p w14:paraId="33AC0CB5" w14:textId="77777777" w:rsidR="00005A00" w:rsidRPr="00256982" w:rsidRDefault="00005A00" w:rsidP="00005A00">
      <w:pPr>
        <w:pStyle w:val="BodyText"/>
      </w:pPr>
      <w:r w:rsidRPr="00256982">
        <w:t>No specific improvements are planned for this source category.</w:t>
      </w:r>
    </w:p>
    <w:p w14:paraId="6A705BE2" w14:textId="77777777" w:rsidR="00005A00" w:rsidRPr="00256982" w:rsidRDefault="00005A00" w:rsidP="00005A00">
      <w:pPr>
        <w:pStyle w:val="Heading2"/>
        <w:spacing w:before="0" w:after="280"/>
      </w:pPr>
      <w:r w:rsidRPr="00256982">
        <w:br w:type="page"/>
      </w:r>
      <w:bookmarkStart w:id="2447" w:name="_Toc448321552"/>
      <w:bookmarkStart w:id="2448" w:name="_Toc481751414"/>
      <w:bookmarkStart w:id="2449" w:name="_Toc511116629"/>
      <w:bookmarkStart w:id="2450" w:name="_Toc5269391"/>
      <w:r w:rsidRPr="00256982">
        <w:t>Chapter 7: References</w:t>
      </w:r>
      <w:bookmarkEnd w:id="2447"/>
      <w:bookmarkEnd w:id="2448"/>
      <w:bookmarkEnd w:id="2449"/>
      <w:bookmarkEnd w:id="2450"/>
    </w:p>
    <w:p w14:paraId="7381EF06" w14:textId="77777777" w:rsidR="00005A00" w:rsidRPr="00256982" w:rsidRDefault="00005A00" w:rsidP="00005A00">
      <w:pPr>
        <w:pStyle w:val="References"/>
      </w:pPr>
      <w:r w:rsidRPr="00256982">
        <w:t>Beca Infrastructure Ltd. Unpublished. National Greenhouse Gas Inventory from Wastewater Treatment and Discharge. Report commissioned by the Ministry for the Environment in 2007.</w:t>
      </w:r>
    </w:p>
    <w:p w14:paraId="5ABBB808" w14:textId="77777777" w:rsidR="00005A00" w:rsidRPr="00256982" w:rsidRDefault="00005A00" w:rsidP="00005A00">
      <w:pPr>
        <w:pStyle w:val="References"/>
      </w:pPr>
      <w:r w:rsidRPr="00256982">
        <w:t xml:space="preserve">Beca Ltd. Unpublished. Industrial Wastewater Greenhouse Gas (GHG) Estimates from the Pulp and Paper, Wool Scouring and Wine Industries for New Zealand’s GHG Inventory. Report commissioned by the Ministry for the Environment in 2013. </w:t>
      </w:r>
    </w:p>
    <w:p w14:paraId="6E8FF8AC" w14:textId="77777777" w:rsidR="00005A00" w:rsidRPr="00256982" w:rsidRDefault="00005A00" w:rsidP="00005A00">
      <w:pPr>
        <w:pStyle w:val="References"/>
        <w:rPr>
          <w:i/>
        </w:rPr>
      </w:pPr>
      <w:r w:rsidRPr="00256982">
        <w:t>Cardno. Unpublished. Greenhouse Gas Emissions from Industrial Wastewater Treatment. Report commissioned by the Ministry for the Environment in 2015.</w:t>
      </w:r>
    </w:p>
    <w:p w14:paraId="2443E2A9" w14:textId="77777777" w:rsidR="00005A00" w:rsidRPr="00256982" w:rsidRDefault="00005A00" w:rsidP="00005A00">
      <w:pPr>
        <w:pStyle w:val="References"/>
      </w:pPr>
      <w:r w:rsidRPr="00256982">
        <w:t>Eunomia Research and Consulting and Waste Not Consulting. Unpublished. Incorporating Waste Minimisation Act Data into New Zealand’s Greenhouse Gas Estimates. Report commissioned by the Ministry for the Environment in 2014.</w:t>
      </w:r>
    </w:p>
    <w:p w14:paraId="5B5B30C1" w14:textId="77777777" w:rsidR="00005A00" w:rsidRPr="00256982" w:rsidRDefault="00005A00" w:rsidP="00005A00">
      <w:pPr>
        <w:pStyle w:val="References"/>
      </w:pPr>
      <w:r w:rsidRPr="00256982">
        <w:t xml:space="preserve">GHD. 2013. </w:t>
      </w:r>
      <w:r w:rsidRPr="00256982">
        <w:rPr>
          <w:i/>
        </w:rPr>
        <w:t>Non-natural Rural Wastes: Site survey analysis</w:t>
      </w:r>
      <w:r w:rsidRPr="00256982">
        <w:t>.</w:t>
      </w:r>
      <w:r w:rsidRPr="00256982">
        <w:rPr>
          <w:i/>
        </w:rPr>
        <w:t xml:space="preserve"> </w:t>
      </w:r>
      <w:r w:rsidRPr="00256982">
        <w:t>GHD Ltd for the</w:t>
      </w:r>
      <w:r w:rsidRPr="00256982">
        <w:rPr>
          <w:i/>
        </w:rPr>
        <w:t xml:space="preserve"> </w:t>
      </w:r>
      <w:r w:rsidRPr="00256982">
        <w:t xml:space="preserve">Canterbury Regional Council, published as Canterbury Regional Council Report No R13/52. Available from </w:t>
      </w:r>
      <w:hyperlink r:id="rId227" w:history="1">
        <w:r w:rsidRPr="00256982">
          <w:rPr>
            <w:rStyle w:val="Hyperlink"/>
            <w:color w:val="auto"/>
          </w:rPr>
          <w:t>https://ecan.govt.nz/document/download?uri=1851763</w:t>
        </w:r>
      </w:hyperlink>
      <w:r w:rsidRPr="00256982">
        <w:t xml:space="preserve"> (accessed 9 November 2017).</w:t>
      </w:r>
    </w:p>
    <w:p w14:paraId="546A4144" w14:textId="77777777" w:rsidR="00005A00" w:rsidRPr="00256982" w:rsidRDefault="00005A00" w:rsidP="00005A00">
      <w:pPr>
        <w:pStyle w:val="References"/>
      </w:pPr>
      <w:r w:rsidRPr="00256982">
        <w:t xml:space="preserve">GHD. 2014. </w:t>
      </w:r>
      <w:r w:rsidRPr="00256982">
        <w:rPr>
          <w:i/>
        </w:rPr>
        <w:t>Rural waste surveys data analysis: Waikato and Bay of Plenty</w:t>
      </w:r>
      <w:r w:rsidRPr="00256982">
        <w:t xml:space="preserve">. GHD Ltd for the Waikato Regional Council, published as Waikato Regional Council Report No 3114554. Available from </w:t>
      </w:r>
      <w:hyperlink r:id="rId228" w:history="1">
        <w:r w:rsidRPr="00256982">
          <w:rPr>
            <w:rStyle w:val="Hyperlink"/>
            <w:color w:val="auto"/>
          </w:rPr>
          <w:t>www.waikatoregion.govt.nz/assets/PageFiles/30542/TR201455.pdf</w:t>
        </w:r>
      </w:hyperlink>
      <w:r w:rsidRPr="00256982">
        <w:t xml:space="preserve"> (accessed 9 November 2017).</w:t>
      </w:r>
    </w:p>
    <w:p w14:paraId="0B56AFCA" w14:textId="77777777" w:rsidR="00005A00" w:rsidRPr="00256982" w:rsidRDefault="00005A00" w:rsidP="00005A00">
      <w:pPr>
        <w:pStyle w:val="References"/>
        <w:rPr>
          <w:spacing w:val="-2"/>
        </w:rPr>
      </w:pPr>
      <w:r w:rsidRPr="00256982">
        <w:rPr>
          <w:spacing w:val="-2"/>
        </w:rPr>
        <w:t xml:space="preserve">IPCC. 2006a. Eggleston HS, Buendia L, Miwa K, Ngara T, Tanabe K (eds). </w:t>
      </w:r>
      <w:r w:rsidRPr="00256982">
        <w:rPr>
          <w:i/>
          <w:spacing w:val="-2"/>
        </w:rPr>
        <w:t>2006 IPCC Guidelines for National Greenhouse Gas Inventories. Volume 5. Waste</w:t>
      </w:r>
      <w:r w:rsidRPr="00256982">
        <w:rPr>
          <w:spacing w:val="-2"/>
        </w:rPr>
        <w:t xml:space="preserve">. IPCC National Greenhouse Gas Inventories Programme. Japan: Institute for Global Environmental Strategies for IPCC. </w:t>
      </w:r>
    </w:p>
    <w:p w14:paraId="17A282F2" w14:textId="77777777" w:rsidR="00005A00" w:rsidRPr="00256982" w:rsidRDefault="00005A00" w:rsidP="00005A00">
      <w:pPr>
        <w:pStyle w:val="References"/>
        <w:rPr>
          <w:spacing w:val="-2"/>
        </w:rPr>
      </w:pPr>
      <w:r w:rsidRPr="00256982">
        <w:rPr>
          <w:spacing w:val="-2"/>
        </w:rPr>
        <w:t xml:space="preserve">IPCC. 2006b. Eggleston HS, Buendia L, Miwa K, Ngara T, Tanabe K (eds). </w:t>
      </w:r>
      <w:r w:rsidRPr="00256982">
        <w:rPr>
          <w:i/>
          <w:spacing w:val="-2"/>
        </w:rPr>
        <w:t>2006 IPCC Guidelines for National Greenhouse Gas Inventories. Volume 2. Energy</w:t>
      </w:r>
      <w:r w:rsidRPr="00256982">
        <w:rPr>
          <w:spacing w:val="-2"/>
        </w:rPr>
        <w:t xml:space="preserve">. IPCC National Greenhouse Gas Inventories Programme. Japan: Institute for Global Environmental Strategies for IPCC. </w:t>
      </w:r>
    </w:p>
    <w:p w14:paraId="508637FC" w14:textId="77777777" w:rsidR="00005A00" w:rsidRPr="00256982" w:rsidRDefault="00005A00" w:rsidP="00005A00">
      <w:pPr>
        <w:pStyle w:val="References"/>
      </w:pPr>
      <w:r w:rsidRPr="00256982">
        <w:t xml:space="preserve">Law Y, Ye L, Pan Y, Yuan Z. 2012. Nitrous oxide emissions from wastewater treatment processes. </w:t>
      </w:r>
      <w:r w:rsidRPr="00256982">
        <w:rPr>
          <w:i/>
        </w:rPr>
        <w:t>Philosophical Transactions of the Royal Society ‘B’</w:t>
      </w:r>
      <w:r w:rsidRPr="00256982">
        <w:t xml:space="preserve"> 367(1593): 1265–1277. </w:t>
      </w:r>
    </w:p>
    <w:p w14:paraId="481E8F9E" w14:textId="77777777" w:rsidR="00005A00" w:rsidRPr="00256982" w:rsidRDefault="00005A00" w:rsidP="00005A00">
      <w:pPr>
        <w:pStyle w:val="References"/>
        <w:rPr>
          <w:i/>
        </w:rPr>
      </w:pPr>
      <w:r w:rsidRPr="00256982">
        <w:t xml:space="preserve">Ministry for the Environment. 1997. </w:t>
      </w:r>
      <w:r w:rsidRPr="00256982">
        <w:rPr>
          <w:i/>
        </w:rPr>
        <w:t>National Waste Data Report</w:t>
      </w:r>
      <w:r w:rsidRPr="00256982">
        <w:t>. Wellington: Ministry for the Environment.</w:t>
      </w:r>
    </w:p>
    <w:p w14:paraId="57788EC4" w14:textId="77777777" w:rsidR="00005A00" w:rsidRPr="00256982" w:rsidRDefault="00005A00" w:rsidP="00005A00">
      <w:pPr>
        <w:pStyle w:val="References"/>
        <w:rPr>
          <w:i/>
        </w:rPr>
      </w:pPr>
      <w:r w:rsidRPr="00256982">
        <w:t xml:space="preserve">Ministry for the Environment. 2002a. </w:t>
      </w:r>
      <w:r w:rsidRPr="00256982">
        <w:rPr>
          <w:i/>
        </w:rPr>
        <w:t>The New Zealand Waste Strategy</w:t>
      </w:r>
      <w:r w:rsidRPr="00256982">
        <w:t>. Wellington: Ministry for the Environment.</w:t>
      </w:r>
    </w:p>
    <w:p w14:paraId="4709E466" w14:textId="77777777" w:rsidR="00005A00" w:rsidRPr="00256982" w:rsidRDefault="00005A00" w:rsidP="00005A00">
      <w:pPr>
        <w:pStyle w:val="References"/>
        <w:rPr>
          <w:i/>
        </w:rPr>
      </w:pPr>
      <w:r w:rsidRPr="00256982">
        <w:t xml:space="preserve">Ministry for the Environment. 2002b. </w:t>
      </w:r>
      <w:r w:rsidRPr="00256982">
        <w:rPr>
          <w:i/>
        </w:rPr>
        <w:t>Solid Waste Analysis Protocol</w:t>
      </w:r>
      <w:r w:rsidRPr="00256982">
        <w:t>.</w:t>
      </w:r>
      <w:r w:rsidRPr="00256982">
        <w:rPr>
          <w:i/>
        </w:rPr>
        <w:t xml:space="preserve"> </w:t>
      </w:r>
      <w:r w:rsidRPr="00256982">
        <w:t>Wellington: Ministry for the Environment.</w:t>
      </w:r>
    </w:p>
    <w:p w14:paraId="618BE5CF" w14:textId="77777777" w:rsidR="00005A00" w:rsidRPr="00256982" w:rsidRDefault="00005A00" w:rsidP="00005A00">
      <w:pPr>
        <w:pStyle w:val="References"/>
      </w:pPr>
      <w:r w:rsidRPr="00256982">
        <w:t xml:space="preserve">Ministry for the Environment. 2010. </w:t>
      </w:r>
      <w:r w:rsidRPr="00256982">
        <w:rPr>
          <w:i/>
        </w:rPr>
        <w:t>The New Zealand Waste Strategy: Reducing Harm, Improving Efficiency</w:t>
      </w:r>
      <w:r w:rsidRPr="00256982">
        <w:t>.</w:t>
      </w:r>
      <w:r w:rsidRPr="00256982">
        <w:rPr>
          <w:i/>
        </w:rPr>
        <w:t xml:space="preserve"> </w:t>
      </w:r>
      <w:r w:rsidRPr="00256982">
        <w:t xml:space="preserve">Wellington: Ministry for the Environment. </w:t>
      </w:r>
    </w:p>
    <w:p w14:paraId="4EFC1E59" w14:textId="77777777" w:rsidR="00005A00" w:rsidRPr="00256982" w:rsidRDefault="00005A00" w:rsidP="00005A00">
      <w:pPr>
        <w:pStyle w:val="References"/>
        <w:rPr>
          <w:i/>
        </w:rPr>
      </w:pPr>
      <w:r w:rsidRPr="00256982">
        <w:t xml:space="preserve">MWH. 2017. </w:t>
      </w:r>
      <w:r w:rsidRPr="00256982">
        <w:rPr>
          <w:i/>
        </w:rPr>
        <w:t xml:space="preserve">National Waste Disposal Survey. Final Report. </w:t>
      </w:r>
      <w:r w:rsidRPr="00256982">
        <w:t>MWH for the Ministry for the Environment, published as National waste disposal survey final report 2017 No CR275. Available from www.mfe.govt.nz/sites/default/files/media/Waste/National%20Waste%20Disposal%20Survey%20Final%20Report.pdf (accessed 9 November 2017).</w:t>
      </w:r>
    </w:p>
    <w:p w14:paraId="3925289B" w14:textId="77777777" w:rsidR="00005A00" w:rsidRPr="00256982" w:rsidRDefault="00005A00" w:rsidP="00005A00">
      <w:pPr>
        <w:pStyle w:val="References"/>
        <w:rPr>
          <w:rFonts w:cs="Arial"/>
          <w:szCs w:val="16"/>
        </w:rPr>
      </w:pPr>
      <w:r w:rsidRPr="00256982">
        <w:rPr>
          <w:rFonts w:cs="Arial"/>
          <w:szCs w:val="16"/>
        </w:rPr>
        <w:t xml:space="preserve">New Zealand Ministry of Commerce. 1993. </w:t>
      </w:r>
      <w:r w:rsidRPr="00256982">
        <w:rPr>
          <w:rFonts w:cs="Arial"/>
          <w:i/>
          <w:szCs w:val="16"/>
        </w:rPr>
        <w:t>New Zealand Energy Information Handbook:</w:t>
      </w:r>
      <w:r w:rsidRPr="00256982">
        <w:rPr>
          <w:rFonts w:cs="Arial"/>
          <w:szCs w:val="16"/>
        </w:rPr>
        <w:t xml:space="preserve"> </w:t>
      </w:r>
      <w:r w:rsidRPr="00256982">
        <w:rPr>
          <w:rFonts w:cs="Arial"/>
          <w:i/>
          <w:szCs w:val="16"/>
        </w:rPr>
        <w:t>Energy Data, Conversion Factors, Definitions.</w:t>
      </w:r>
      <w:r w:rsidRPr="00256982">
        <w:rPr>
          <w:rFonts w:cs="Arial"/>
          <w:szCs w:val="16"/>
        </w:rPr>
        <w:t xml:space="preserve"> Taylor Baines and Associates.</w:t>
      </w:r>
    </w:p>
    <w:p w14:paraId="619387D7" w14:textId="77777777" w:rsidR="00005A00" w:rsidRPr="00256982" w:rsidRDefault="00005A00" w:rsidP="00005A00">
      <w:pPr>
        <w:pStyle w:val="References"/>
        <w:rPr>
          <w:rFonts w:cs="Arial"/>
          <w:szCs w:val="16"/>
        </w:rPr>
      </w:pPr>
      <w:r w:rsidRPr="00256982">
        <w:rPr>
          <w:rFonts w:cs="Arial"/>
          <w:szCs w:val="16"/>
        </w:rPr>
        <w:t xml:space="preserve">New Zealand Gazette. 2014. </w:t>
      </w:r>
      <w:r w:rsidRPr="00256982">
        <w:rPr>
          <w:rFonts w:cs="Arial"/>
          <w:i/>
          <w:szCs w:val="16"/>
        </w:rPr>
        <w:t>Notice of Approval of Unique Emissions Factors.</w:t>
      </w:r>
      <w:r w:rsidRPr="00256982">
        <w:rPr>
          <w:rFonts w:cs="Arial"/>
          <w:szCs w:val="16"/>
        </w:rPr>
        <w:t xml:space="preserve"> New Zealand Gazette Office. Retrieved from </w:t>
      </w:r>
      <w:hyperlink r:id="rId229" w:history="1">
        <w:r w:rsidRPr="00256982">
          <w:t>https://gazette.govt.nz/notice/id/2014-au3648</w:t>
        </w:r>
      </w:hyperlink>
      <w:hyperlink r:id="rId230" w:history="1"/>
      <w:r w:rsidRPr="00256982">
        <w:t xml:space="preserve"> (</w:t>
      </w:r>
      <w:r w:rsidRPr="00256982">
        <w:rPr>
          <w:rFonts w:cs="Arial"/>
          <w:szCs w:val="16"/>
        </w:rPr>
        <w:t>accessed September 2018).</w:t>
      </w:r>
    </w:p>
    <w:p w14:paraId="73CF3285" w14:textId="77777777" w:rsidR="00005A00" w:rsidRPr="00256982" w:rsidRDefault="00005A00" w:rsidP="00005A00">
      <w:pPr>
        <w:pStyle w:val="References"/>
        <w:rPr>
          <w:rFonts w:cs="Arial"/>
          <w:szCs w:val="16"/>
        </w:rPr>
      </w:pPr>
      <w:r w:rsidRPr="00256982">
        <w:rPr>
          <w:rFonts w:cs="Arial"/>
          <w:szCs w:val="16"/>
        </w:rPr>
        <w:t xml:space="preserve">New Zealand Gazette. 2015. </w:t>
      </w:r>
      <w:r w:rsidRPr="00256982">
        <w:rPr>
          <w:rFonts w:cs="Arial"/>
          <w:i/>
          <w:szCs w:val="16"/>
        </w:rPr>
        <w:t>Notice of Approval of Unique Emissions Factors.</w:t>
      </w:r>
      <w:r w:rsidRPr="00256982">
        <w:rPr>
          <w:rFonts w:cs="Arial"/>
          <w:szCs w:val="16"/>
        </w:rPr>
        <w:t xml:space="preserve"> New Zealand Gazette Office. Retrieved from </w:t>
      </w:r>
      <w:hyperlink r:id="rId231" w:history="1">
        <w:r w:rsidRPr="00256982">
          <w:t>https://gazette.govt.nz/notice/id/2015-au2831</w:t>
        </w:r>
      </w:hyperlink>
      <w:r w:rsidRPr="00256982">
        <w:t xml:space="preserve"> (a</w:t>
      </w:r>
      <w:r w:rsidRPr="00256982">
        <w:rPr>
          <w:rFonts w:cs="Arial"/>
          <w:szCs w:val="16"/>
        </w:rPr>
        <w:t>ccessed September 2018).</w:t>
      </w:r>
    </w:p>
    <w:p w14:paraId="6ED21C56" w14:textId="77777777" w:rsidR="00005A00" w:rsidRPr="00256982" w:rsidRDefault="00005A00" w:rsidP="002847FC">
      <w:pPr>
        <w:pStyle w:val="References"/>
      </w:pPr>
      <w:r w:rsidRPr="00256982">
        <w:t xml:space="preserve">New Zealand Gazette. 2016. </w:t>
      </w:r>
      <w:r w:rsidRPr="00256982">
        <w:rPr>
          <w:i/>
        </w:rPr>
        <w:t>Notice of Approval of Unique Emissions Factors.</w:t>
      </w:r>
      <w:r w:rsidRPr="00256982">
        <w:t xml:space="preserve"> New Zealand Gazette Office. Retrieved from </w:t>
      </w:r>
      <w:hyperlink r:id="rId232" w:history="1">
        <w:r w:rsidRPr="00256982">
          <w:t>https://gazette.govt.nz/notice/id/2016-au1239</w:t>
        </w:r>
      </w:hyperlink>
      <w:r w:rsidRPr="00256982">
        <w:t xml:space="preserve"> (accessed September 2018).</w:t>
      </w:r>
    </w:p>
    <w:p w14:paraId="0D96118C" w14:textId="77777777" w:rsidR="00005A00" w:rsidRPr="00256982" w:rsidRDefault="00005A00" w:rsidP="00005A00">
      <w:pPr>
        <w:pStyle w:val="References"/>
        <w:rPr>
          <w:rFonts w:cs="Arial"/>
          <w:szCs w:val="16"/>
        </w:rPr>
      </w:pPr>
      <w:r w:rsidRPr="00256982">
        <w:rPr>
          <w:rFonts w:cs="Arial"/>
          <w:szCs w:val="16"/>
        </w:rPr>
        <w:t xml:space="preserve">New Zealand Gazette. 2017. </w:t>
      </w:r>
      <w:r w:rsidRPr="00256982">
        <w:rPr>
          <w:rFonts w:cs="Arial"/>
          <w:i/>
          <w:szCs w:val="16"/>
        </w:rPr>
        <w:t>Notice of Approval of Unique Emissions Factors.</w:t>
      </w:r>
      <w:r w:rsidRPr="00256982">
        <w:rPr>
          <w:rFonts w:cs="Arial"/>
          <w:szCs w:val="16"/>
        </w:rPr>
        <w:t xml:space="preserve"> New Zealand Gazette Office. Retrieved from </w:t>
      </w:r>
      <w:hyperlink r:id="rId233" w:history="1">
        <w:r w:rsidRPr="00256982">
          <w:t>https://gazette.govt.nz/notice/id/2017-au1739</w:t>
        </w:r>
      </w:hyperlink>
      <w:r w:rsidRPr="00256982">
        <w:rPr>
          <w:rFonts w:cs="Arial"/>
          <w:szCs w:val="16"/>
        </w:rPr>
        <w:t xml:space="preserve"> (accessed September 2018).</w:t>
      </w:r>
    </w:p>
    <w:p w14:paraId="512BD68A" w14:textId="77777777" w:rsidR="00005A00" w:rsidRPr="00256982" w:rsidRDefault="00005A00" w:rsidP="00005A00">
      <w:pPr>
        <w:pStyle w:val="References"/>
      </w:pPr>
      <w:r w:rsidRPr="00256982">
        <w:t>SCS Wetherill Environmental. Unpublished. National Greenhouse Gas Inventory from the Waste Sector 1990–2020.</w:t>
      </w:r>
      <w:r w:rsidRPr="00256982">
        <w:rPr>
          <w:i/>
        </w:rPr>
        <w:t xml:space="preserve"> </w:t>
      </w:r>
      <w:r w:rsidRPr="00256982">
        <w:t>Report commissioned by the Ministry for the Environment in 2002.</w:t>
      </w:r>
    </w:p>
    <w:p w14:paraId="19D24C32" w14:textId="77777777" w:rsidR="00005A00" w:rsidRPr="00256982" w:rsidRDefault="00005A00" w:rsidP="00005A00">
      <w:pPr>
        <w:pStyle w:val="References"/>
      </w:pPr>
      <w:r w:rsidRPr="00256982">
        <w:t>SKM. Unpublished(a). Greenhouse Gases from the Waste Incineration Sector. Report commissioned by the Ministry for the Environment in 2007.</w:t>
      </w:r>
    </w:p>
    <w:p w14:paraId="33C1C865" w14:textId="77777777" w:rsidR="00005A00" w:rsidRPr="00256982" w:rsidRDefault="00005A00" w:rsidP="00005A00">
      <w:pPr>
        <w:pStyle w:val="References"/>
      </w:pPr>
      <w:r w:rsidRPr="00256982">
        <w:t>SKM. Unpublished(b). Estimates of Landfill Methane Recovered in New Zealand 1990–2012. Report commissioned by the Ministry for the Environment in 2009.</w:t>
      </w:r>
    </w:p>
    <w:p w14:paraId="2C31A74E" w14:textId="77777777" w:rsidR="00005A00" w:rsidRPr="00256982" w:rsidRDefault="00005A00" w:rsidP="00005A00">
      <w:pPr>
        <w:pStyle w:val="References"/>
      </w:pPr>
      <w:r w:rsidRPr="00256982">
        <w:t>Tonkin and Taylor Ltd. Unpublished(a). National Greenhouse Gas Emissions from Wastewater Sludge. Report commissioned by the Ministry for the Environment in 2011.</w:t>
      </w:r>
    </w:p>
    <w:p w14:paraId="07EC224C" w14:textId="77777777" w:rsidR="00005A00" w:rsidRPr="00256982" w:rsidRDefault="00005A00" w:rsidP="00005A00">
      <w:pPr>
        <w:pStyle w:val="References"/>
      </w:pPr>
      <w:r w:rsidRPr="00256982">
        <w:t>Tonkin and Taylor Ltd. Unpublished(b). GHG Estimates from Non-municipal Landfills New Zealand. Report commissioned by the Ministry for the Environment in 2014.</w:t>
      </w:r>
    </w:p>
    <w:p w14:paraId="08EC719D" w14:textId="77777777" w:rsidR="00005A00" w:rsidRPr="00256982" w:rsidRDefault="00005A00" w:rsidP="00005A00">
      <w:pPr>
        <w:pStyle w:val="References"/>
      </w:pPr>
      <w:r w:rsidRPr="00256982">
        <w:t>United States Environmental Protection Agency. Infographic about Municipal Solid Waste (MSW) in the United States in 2014. Retrieved from www.epa.gov/smm/infographic-about-municipal-solid-waste-msw-united-states-2014 (21 December 2017).</w:t>
      </w:r>
    </w:p>
    <w:p w14:paraId="71CF49C2" w14:textId="77777777" w:rsidR="00005A00" w:rsidRPr="00256982" w:rsidRDefault="00005A00" w:rsidP="00005A00">
      <w:pPr>
        <w:pStyle w:val="References"/>
      </w:pPr>
      <w:r w:rsidRPr="00256982">
        <w:t>van der Weerden A, de Klein C, Kelliher R, Rollo M. 2014.</w:t>
      </w:r>
      <w:r w:rsidRPr="00256982">
        <w:rPr>
          <w:i/>
        </w:rPr>
        <w:t xml:space="preserve"> Reporting to 2006 IPCC Guidelines for N</w:t>
      </w:r>
      <w:r w:rsidRPr="00256982">
        <w:rPr>
          <w:i/>
          <w:vertAlign w:val="subscript"/>
        </w:rPr>
        <w:t>2</w:t>
      </w:r>
      <w:r w:rsidRPr="00256982">
        <w:rPr>
          <w:i/>
        </w:rPr>
        <w:t>O Emissions from Additional Sources of Organic N: Final report</w:t>
      </w:r>
      <w:r w:rsidRPr="00256982">
        <w:t xml:space="preserve">. Wellington: Ministry for Primary Industries. </w:t>
      </w:r>
    </w:p>
    <w:p w14:paraId="384D7A62" w14:textId="77777777" w:rsidR="00005A00" w:rsidRPr="00256982" w:rsidRDefault="00005A00" w:rsidP="00005A00">
      <w:pPr>
        <w:pStyle w:val="References"/>
      </w:pPr>
      <w:r w:rsidRPr="00256982">
        <w:t>Waste Not Consulting. Unpublished(a). Waste Composition and Construction Waste Data. Report commissioned by the Ministry for the Environment in 2006.</w:t>
      </w:r>
    </w:p>
    <w:p w14:paraId="0F5CD274" w14:textId="77777777" w:rsidR="00005A00" w:rsidRPr="00256982" w:rsidRDefault="00005A00" w:rsidP="00005A00">
      <w:pPr>
        <w:pStyle w:val="References"/>
      </w:pPr>
      <w:r w:rsidRPr="00256982">
        <w:t xml:space="preserve">Waste Not Consulting. Unpublished(b). Reviewing the 2008 National Waste Composition Estimate and Producing a 2012 Estimate. Report commissioned by the Ministry for the Environment in 2013. </w:t>
      </w:r>
    </w:p>
    <w:p w14:paraId="77025F3D" w14:textId="77777777" w:rsidR="00005A00" w:rsidRPr="00256982" w:rsidRDefault="00005A00" w:rsidP="00005A00">
      <w:pPr>
        <w:pStyle w:val="References"/>
      </w:pPr>
    </w:p>
    <w:p w14:paraId="300746A7" w14:textId="0E212995" w:rsidR="009F5A6C" w:rsidRPr="00256982" w:rsidRDefault="002847FC" w:rsidP="002847FC">
      <w:pPr>
        <w:pStyle w:val="Heading1"/>
      </w:pPr>
      <w:r w:rsidRPr="00256982">
        <w:br w:type="page"/>
      </w:r>
      <w:bookmarkStart w:id="2451" w:name="_Toc5269392"/>
      <w:r w:rsidR="00FB33C6" w:rsidRPr="00256982">
        <w:t>Chapter 8: Tokelau</w:t>
      </w:r>
      <w:bookmarkEnd w:id="2451"/>
    </w:p>
    <w:p w14:paraId="3049DFFE" w14:textId="77777777" w:rsidR="00FB33C6" w:rsidRPr="00256982" w:rsidRDefault="00FB33C6" w:rsidP="00FB33C6">
      <w:pPr>
        <w:pStyle w:val="BodyText"/>
      </w:pPr>
      <w:r w:rsidRPr="00256982">
        <w:t xml:space="preserve">New Zealand ratified the </w:t>
      </w:r>
      <w:r w:rsidRPr="00256982">
        <w:rPr>
          <w:bCs/>
        </w:rPr>
        <w:t>United Nations Framework Convention on Climate Change</w:t>
      </w:r>
      <w:r w:rsidRPr="00256982">
        <w:t xml:space="preserve"> (the Convention) on 16 September 1993 and the Paris Agreement on 4 October 2016. The extension (as of 13 November 2017) of New Zealand’s ratification of the Convention and of the Paris Agreement requires New Zealand to include Tokelau in the obligatory climate change reporting managed by the Ministry for the Environment. Delivering on this obligation, </w:t>
      </w:r>
      <w:r w:rsidRPr="00256982">
        <w:rPr>
          <w:i/>
        </w:rPr>
        <w:t>inter alia</w:t>
      </w:r>
      <w:r w:rsidRPr="00256982">
        <w:t xml:space="preserve">, means that New Zealand’s national greenhouse gas (GHG) inventory shall include the GHG estimates from Tokelau. </w:t>
      </w:r>
    </w:p>
    <w:p w14:paraId="1D22D609" w14:textId="558D2F0F" w:rsidR="00FB33C6" w:rsidRPr="00256982" w:rsidRDefault="00FB33C6" w:rsidP="00FB33C6">
      <w:pPr>
        <w:pStyle w:val="BodyText"/>
      </w:pPr>
      <w:r w:rsidRPr="00256982">
        <w:t xml:space="preserve">This is the first New Zealand national inventory report </w:t>
      </w:r>
      <w:r w:rsidR="00B72D19" w:rsidRPr="00256982">
        <w:t xml:space="preserve">(NIR) </w:t>
      </w:r>
      <w:r w:rsidRPr="00256982">
        <w:t>that includes emission estimates from Tokelau. Roles and responsibilities in relation to GHG inventory reporting from Tokelau are outlined in chapter 13, which describes changes to the National system. The information on quality assurance and quality control planning for Tokelau is included in annex 6.</w:t>
      </w:r>
    </w:p>
    <w:p w14:paraId="5C79EB0A" w14:textId="77777777" w:rsidR="00FB33C6" w:rsidRPr="00256982" w:rsidRDefault="00FB33C6" w:rsidP="00FB33C6">
      <w:pPr>
        <w:pStyle w:val="BodyText"/>
      </w:pPr>
      <w:r w:rsidRPr="00256982">
        <w:t>This chapter provides an overview of Tokelau’s economy and industry. It includes information on emissions trends and methodological notes in regard to the GHG emissions from Tokelau.</w:t>
      </w:r>
    </w:p>
    <w:p w14:paraId="4C3ABB52" w14:textId="77777777" w:rsidR="00FB33C6" w:rsidRPr="00256982" w:rsidRDefault="00FB33C6" w:rsidP="00823616">
      <w:pPr>
        <w:pStyle w:val="Heading2"/>
        <w:spacing w:before="280"/>
      </w:pPr>
      <w:bookmarkStart w:id="2452" w:name="_Toc5269393"/>
      <w:r w:rsidRPr="00256982">
        <w:t xml:space="preserve">8.1 </w:t>
      </w:r>
      <w:r w:rsidRPr="00256982">
        <w:tab/>
        <w:t>Tokelau overview</w:t>
      </w:r>
      <w:bookmarkEnd w:id="2452"/>
    </w:p>
    <w:p w14:paraId="043106B8" w14:textId="77777777" w:rsidR="00FB33C6" w:rsidRPr="00256982" w:rsidRDefault="00FB33C6" w:rsidP="00823616">
      <w:pPr>
        <w:pStyle w:val="Heading3"/>
        <w:spacing w:before="160"/>
      </w:pPr>
      <w:r w:rsidRPr="00256982">
        <w:t xml:space="preserve">8.1.1 </w:t>
      </w:r>
      <w:r w:rsidRPr="00256982">
        <w:tab/>
        <w:t>Geography</w:t>
      </w:r>
    </w:p>
    <w:p w14:paraId="67DB70B9" w14:textId="77777777" w:rsidR="00FB33C6" w:rsidRPr="00256982" w:rsidRDefault="00FB33C6" w:rsidP="00FB33C6">
      <w:pPr>
        <w:pStyle w:val="BodyText"/>
      </w:pPr>
      <w:r w:rsidRPr="00256982">
        <w:t>Tokelau is a non-self-governing territory</w:t>
      </w:r>
      <w:r w:rsidRPr="00256982">
        <w:rPr>
          <w:rStyle w:val="FootnoteReference"/>
        </w:rPr>
        <w:footnoteReference w:id="60"/>
      </w:r>
      <w:r w:rsidRPr="00256982">
        <w:t xml:space="preserve"> of New Zealand. Tokelau is made up of three small coral atolls: Atafu, Fakaofo and Nukunonu. The total land area is only 12 square kilometres within an Exclusive Economic Zone (EEZ) covering 318,990 square kilometres. Atafu, the most northern atoll, has a surface area of 3.5 square kilometres; Nukunonu, the central atoll, is 4.7 square kilometres and Fakaofo, the southern atoll, is 4 square kilometres (figure 8.1.1).</w:t>
      </w:r>
    </w:p>
    <w:p w14:paraId="688045AB" w14:textId="77777777" w:rsidR="00FB33C6" w:rsidRPr="00256982" w:rsidRDefault="00FB33C6" w:rsidP="00FB33C6">
      <w:pPr>
        <w:pStyle w:val="BodyText"/>
        <w:rPr>
          <w:spacing w:val="-2"/>
        </w:rPr>
      </w:pPr>
      <w:r w:rsidRPr="00256982">
        <w:rPr>
          <w:spacing w:val="-2"/>
        </w:rPr>
        <w:t>From Atafu in the north to Fakaofo in the south, Tokelau extends for less than 200 kilometres. The atolls are approximately 3–5 metres above sea level. The maximum width of any island (motu) on the atolls’ rims is 200 metres. Tokelau is therefore particularly vulnerable to natural hazards.</w:t>
      </w:r>
    </w:p>
    <w:p w14:paraId="1BFD9082" w14:textId="77777777" w:rsidR="00FB33C6" w:rsidRPr="00256982" w:rsidRDefault="00FB33C6" w:rsidP="00FB33C6">
      <w:pPr>
        <w:pStyle w:val="Figure"/>
      </w:pPr>
      <w:bookmarkStart w:id="2453" w:name="_Toc5269721"/>
      <w:r w:rsidRPr="00256982">
        <w:t xml:space="preserve">Figure 8.1.1 </w:t>
      </w:r>
      <w:r w:rsidRPr="00256982">
        <w:tab/>
        <w:t>Map of Tokelau</w:t>
      </w:r>
      <w:bookmarkEnd w:id="2453"/>
    </w:p>
    <w:p w14:paraId="699D8777" w14:textId="67E92E91" w:rsidR="00FB33C6" w:rsidRPr="00256982" w:rsidRDefault="00590491" w:rsidP="003973F2">
      <w:pPr>
        <w:pStyle w:val="BodyText"/>
        <w:jc w:val="center"/>
        <w:rPr>
          <w:lang w:eastAsia="en-NZ"/>
        </w:rPr>
      </w:pPr>
      <w:r>
        <w:rPr>
          <w:lang w:eastAsia="en-NZ"/>
        </w:rPr>
        <w:pict w14:anchorId="035A7782">
          <v:shape id="_x0000_i1155" type="#_x0000_t75" style="width:317.25pt;height:160.5pt;visibility:visible;mso-wrap-style:square">
            <v:imagedata r:id="rId234" o:title="" croptop="28252f" cropbottom="9174f" cropleft="4582f" cropright="31244f"/>
          </v:shape>
        </w:pict>
      </w:r>
    </w:p>
    <w:p w14:paraId="5B62E1EE" w14:textId="77777777" w:rsidR="00FB33C6" w:rsidRPr="00256982" w:rsidRDefault="00FB33C6" w:rsidP="00FB33C6">
      <w:pPr>
        <w:pStyle w:val="Heading3"/>
      </w:pPr>
      <w:r w:rsidRPr="00256982">
        <w:t xml:space="preserve">8.1.2 </w:t>
      </w:r>
      <w:r w:rsidRPr="00256982">
        <w:tab/>
        <w:t>Censuses of dwellings and population</w:t>
      </w:r>
    </w:p>
    <w:p w14:paraId="7B825168" w14:textId="77777777" w:rsidR="00FB33C6" w:rsidRPr="00256982" w:rsidRDefault="00FB33C6" w:rsidP="00FB33C6">
      <w:pPr>
        <w:pStyle w:val="BodyText"/>
      </w:pPr>
      <w:r w:rsidRPr="00256982">
        <w:t xml:space="preserve">Tokelauans have New Zealand citizenship. </w:t>
      </w:r>
    </w:p>
    <w:p w14:paraId="5179FCD7" w14:textId="238005A8" w:rsidR="00FB33C6" w:rsidRPr="00256982" w:rsidRDefault="00FB33C6" w:rsidP="00FB33C6">
      <w:pPr>
        <w:pStyle w:val="BodyText"/>
        <w:rPr>
          <w:rFonts w:eastAsia="Calibri"/>
        </w:rPr>
      </w:pPr>
      <w:r w:rsidRPr="00256982">
        <w:rPr>
          <w:rFonts w:eastAsia="Calibri"/>
        </w:rPr>
        <w:t>Tokelau has carried out independent censuses of dwellings and population</w:t>
      </w:r>
      <w:r w:rsidR="00256982" w:rsidRPr="00256982">
        <w:rPr>
          <w:rFonts w:eastAsia="Calibri"/>
        </w:rPr>
        <w:t xml:space="preserve"> </w:t>
      </w:r>
      <w:r w:rsidRPr="00256982">
        <w:rPr>
          <w:rFonts w:eastAsia="Calibri"/>
        </w:rPr>
        <w:t xml:space="preserve">five yearly; detailed data are available on livestock, housing, some appliances and number of inhabitants. Only the past three censuses in Tokelau (2006, 2011 and 2016) have used a precise definition of who is a ‘de jure Tokelauan’ and the people who actually lived in Tokelau during the census years. The current estimate of the atolls’ population is approximately 1,500 people. From 1990 to 2017, the population was fluctuating but generally declined. </w:t>
      </w:r>
    </w:p>
    <w:p w14:paraId="4FE599E6" w14:textId="77777777" w:rsidR="00FB33C6" w:rsidRPr="00256982" w:rsidRDefault="00FB33C6" w:rsidP="00FB33C6">
      <w:pPr>
        <w:pStyle w:val="BodyText"/>
        <w:rPr>
          <w:rFonts w:eastAsia="Calibri"/>
        </w:rPr>
      </w:pPr>
      <w:r w:rsidRPr="00256982">
        <w:rPr>
          <w:rFonts w:eastAsia="Calibri"/>
        </w:rPr>
        <w:t xml:space="preserve">Tokelau has a subsistence economy in which sharing (inati) plays an important and significant role. The inhabitants are dependent on local natural resources, particularly fishing in the lagoon and deep sea, growing coconuts and breadfruit, and keeping domesticated pigs and chickens. </w:t>
      </w:r>
    </w:p>
    <w:p w14:paraId="364DE592" w14:textId="77777777" w:rsidR="00FB33C6" w:rsidRPr="00256982" w:rsidRDefault="00FB33C6" w:rsidP="00FB33C6">
      <w:pPr>
        <w:pStyle w:val="BodyText"/>
        <w:rPr>
          <w:rFonts w:eastAsia="Calibri"/>
        </w:rPr>
      </w:pPr>
      <w:r w:rsidRPr="00256982">
        <w:rPr>
          <w:rFonts w:eastAsia="Calibri"/>
        </w:rPr>
        <w:t>The coral atolls provide a subsistence lifestyle within a fragile environment. Tokelau imports most of its foodstuff from Samoa. The Tokelauan economy is dependent on two major financial resources: economic and administrative assistance from New Zealand and income from the EEZ returns (mostly fisheries). New Zealand provides general budget support to help the delivery of essential services, consistent with its constitutional and United Nations Charter obligations.</w:t>
      </w:r>
    </w:p>
    <w:p w14:paraId="656CE3C9" w14:textId="77777777" w:rsidR="00FB33C6" w:rsidRPr="00256982" w:rsidRDefault="00FB33C6" w:rsidP="00FB33C6">
      <w:pPr>
        <w:pStyle w:val="Heading3"/>
      </w:pPr>
      <w:r w:rsidRPr="00256982">
        <w:t xml:space="preserve">8.1.3 </w:t>
      </w:r>
      <w:r w:rsidRPr="00256982">
        <w:tab/>
        <w:t xml:space="preserve">Emissions reporting </w:t>
      </w:r>
    </w:p>
    <w:p w14:paraId="1D6B7661" w14:textId="77777777" w:rsidR="00FB33C6" w:rsidRPr="00256982" w:rsidRDefault="00FB33C6" w:rsidP="00FB33C6">
      <w:pPr>
        <w:pStyle w:val="BodyText"/>
      </w:pPr>
      <w:r w:rsidRPr="00256982">
        <w:t xml:space="preserve">Including Tokelau in New Zealand’s inventory reporting is a gradual process. This requires building the expert capacity and establishing connections with the various organisations and businesses in Tokelau that participate in data collection and processing. As the first step in this direction, the 2019 submission includes emissions from the largest Tokelau contributors, which are the Energy, Industrial Processes and Product Use (IPPU), Agriculture and Waste sectors using Tier 1 methodology with IPCC default emission factors for all reported categories (IPCC, 2006a). As the inventory reporting capacity of Tokelau grows, more detailed reporting will take place. The Land Use, Land-Use Change and Forestry (LULUCF) sector (expected to contribute a miniscule amount of emissions and removals, because there are no planted or managed forests in Tokelau) will be included in the next inventory submission. </w:t>
      </w:r>
    </w:p>
    <w:p w14:paraId="3EA93158" w14:textId="2B468F4A" w:rsidR="00FB33C6" w:rsidRPr="00256982" w:rsidRDefault="00FB33C6" w:rsidP="00FB33C6">
      <w:pPr>
        <w:pStyle w:val="BodyText"/>
      </w:pPr>
      <w:r w:rsidRPr="00256982">
        <w:t>Due to the small land size area, small population and absence of industry, Tokelau has a very low impact on the environment and emits very small amounts of GHGs. The total amount of all GHGs from all sources in Tokelau in 2017 was 2.86 kilotonnes carbon dioxide equivalent</w:t>
      </w:r>
      <w:r w:rsidRPr="00256982" w:rsidDel="000B3E2B">
        <w:t xml:space="preserve"> </w:t>
      </w:r>
      <w:r w:rsidRPr="00256982">
        <w:t>(kt</w:t>
      </w:r>
      <w:r w:rsidR="00E605B1" w:rsidRPr="00256982">
        <w:t> </w:t>
      </w:r>
      <w:r w:rsidRPr="00256982">
        <w:t>CO</w:t>
      </w:r>
      <w:r w:rsidRPr="00256982">
        <w:rPr>
          <w:vertAlign w:val="subscript"/>
        </w:rPr>
        <w:t>2</w:t>
      </w:r>
      <w:r w:rsidRPr="00256982">
        <w:t>-e), contributing approximately 0.004 per cent to New Zealand’s gross emissions, which is below the significance threshold as defined in paragraph 37(b) of the UNFCCC reporting guidelines (UNFCCC, 2014). The emission sources in Tokelau are limited to:</w:t>
      </w:r>
    </w:p>
    <w:p w14:paraId="7BD6C918" w14:textId="77777777" w:rsidR="00FB33C6" w:rsidRPr="00256982" w:rsidRDefault="00FB33C6" w:rsidP="00E605B1">
      <w:pPr>
        <w:pStyle w:val="Bullet"/>
      </w:pPr>
      <w:r w:rsidRPr="00256982">
        <w:t>carbon dioxide (CO</w:t>
      </w:r>
      <w:r w:rsidRPr="00256982">
        <w:rPr>
          <w:vertAlign w:val="subscript"/>
        </w:rPr>
        <w:t>2</w:t>
      </w:r>
      <w:r w:rsidRPr="00256982">
        <w:t>) from boat engines and some vehicles</w:t>
      </w:r>
    </w:p>
    <w:p w14:paraId="79ED8C89" w14:textId="77777777" w:rsidR="00FB33C6" w:rsidRPr="00256982" w:rsidRDefault="00FB33C6" w:rsidP="00FB33C6">
      <w:pPr>
        <w:pStyle w:val="Bullet"/>
      </w:pPr>
      <w:r w:rsidRPr="00256982">
        <w:t>CO</w:t>
      </w:r>
      <w:r w:rsidRPr="00256982">
        <w:rPr>
          <w:vertAlign w:val="subscript"/>
        </w:rPr>
        <w:t>2</w:t>
      </w:r>
      <w:r w:rsidRPr="00256982">
        <w:t xml:space="preserve"> from back-up power generators</w:t>
      </w:r>
    </w:p>
    <w:p w14:paraId="2935567D" w14:textId="77777777" w:rsidR="00FB33C6" w:rsidRPr="00256982" w:rsidRDefault="00FB33C6" w:rsidP="00FB33C6">
      <w:pPr>
        <w:pStyle w:val="Bullet"/>
      </w:pPr>
      <w:r w:rsidRPr="00256982">
        <w:t>fluorinated gases from the use of refrigerants</w:t>
      </w:r>
    </w:p>
    <w:p w14:paraId="7E43B07B" w14:textId="35A81647" w:rsidR="00FB33C6" w:rsidRPr="00256982" w:rsidRDefault="00FB33C6" w:rsidP="00FB33C6">
      <w:pPr>
        <w:pStyle w:val="Bullet"/>
      </w:pPr>
      <w:r w:rsidRPr="00256982">
        <w:t>methane (CH</w:t>
      </w:r>
      <w:r w:rsidRPr="00256982">
        <w:rPr>
          <w:vertAlign w:val="subscript"/>
        </w:rPr>
        <w:t>4</w:t>
      </w:r>
      <w:r w:rsidRPr="00256982">
        <w:t>), CO</w:t>
      </w:r>
      <w:r w:rsidRPr="00256982">
        <w:rPr>
          <w:vertAlign w:val="subscript"/>
        </w:rPr>
        <w:t>2</w:t>
      </w:r>
      <w:r w:rsidR="00256982" w:rsidRPr="00256982">
        <w:t xml:space="preserve"> </w:t>
      </w:r>
      <w:r w:rsidRPr="00256982">
        <w:t>and nitrous oxide (N</w:t>
      </w:r>
      <w:r w:rsidRPr="00256982">
        <w:rPr>
          <w:vertAlign w:val="subscript"/>
        </w:rPr>
        <w:t>2</w:t>
      </w:r>
      <w:r w:rsidRPr="00256982">
        <w:t xml:space="preserve">O) from waste </w:t>
      </w:r>
    </w:p>
    <w:p w14:paraId="05D64BEF" w14:textId="77777777" w:rsidR="00FB33C6" w:rsidRPr="00256982" w:rsidRDefault="00FB33C6" w:rsidP="00FB33C6">
      <w:pPr>
        <w:pStyle w:val="Bullet"/>
      </w:pPr>
      <w:r w:rsidRPr="00256982">
        <w:t>CH</w:t>
      </w:r>
      <w:r w:rsidRPr="00256982">
        <w:rPr>
          <w:vertAlign w:val="subscript"/>
        </w:rPr>
        <w:t>4</w:t>
      </w:r>
      <w:r w:rsidRPr="00256982">
        <w:t xml:space="preserve"> and N</w:t>
      </w:r>
      <w:r w:rsidRPr="00256982">
        <w:rPr>
          <w:vertAlign w:val="subscript"/>
        </w:rPr>
        <w:t>2</w:t>
      </w:r>
      <w:r w:rsidRPr="00256982">
        <w:t>O from livestock (pigs and poultry).</w:t>
      </w:r>
    </w:p>
    <w:p w14:paraId="092BBD02" w14:textId="77777777" w:rsidR="00FB33C6" w:rsidRPr="00256982" w:rsidRDefault="00FB33C6" w:rsidP="00FB33C6">
      <w:pPr>
        <w:pStyle w:val="Heading4"/>
      </w:pPr>
      <w:r w:rsidRPr="00256982">
        <w:t>Emissions from Tokelau in 2017</w:t>
      </w:r>
    </w:p>
    <w:p w14:paraId="6DFEBD81" w14:textId="77777777" w:rsidR="00FB33C6" w:rsidRPr="00256982" w:rsidRDefault="00FB33C6" w:rsidP="00FB33C6">
      <w:pPr>
        <w:pStyle w:val="BodyText"/>
      </w:pPr>
      <w:r w:rsidRPr="00256982">
        <w:t>Carbon dioxide dominates emissions from Tokelau, contributing 67.6 per cent (1.94 kt) of the total emissions from Tokelau. The main source of CO</w:t>
      </w:r>
      <w:r w:rsidRPr="00256982">
        <w:rPr>
          <w:vertAlign w:val="subscript"/>
        </w:rPr>
        <w:t>2</w:t>
      </w:r>
      <w:r w:rsidRPr="00256982">
        <w:t xml:space="preserve"> is emissions from the Energy sector, comprising 97.7 per cent (1.89 kt), mostly from domestic navigation; with the remaining 2.3 per cent (0.04 kt) coming from the Waste sector. </w:t>
      </w:r>
    </w:p>
    <w:p w14:paraId="60B8FE83" w14:textId="12561449" w:rsidR="00FB33C6" w:rsidRPr="00256982" w:rsidRDefault="00FB33C6" w:rsidP="00FB33C6">
      <w:pPr>
        <w:pStyle w:val="BodyText"/>
      </w:pPr>
      <w:r w:rsidRPr="00256982">
        <w:t>Methane emissions contribute 20.5 per cent (0.59 kt CO</w:t>
      </w:r>
      <w:r w:rsidRPr="00256982">
        <w:rPr>
          <w:vertAlign w:val="subscript"/>
        </w:rPr>
        <w:t>2</w:t>
      </w:r>
      <w:r w:rsidRPr="00256982">
        <w:t>-e) to the total emissions from Tokelau. A significant portion of these emissions, 98.8 per cent (0.58 kt CO</w:t>
      </w:r>
      <w:r w:rsidRPr="00256982">
        <w:rPr>
          <w:vertAlign w:val="subscript"/>
        </w:rPr>
        <w:t>2</w:t>
      </w:r>
      <w:r w:rsidRPr="00256982">
        <w:t>-e), comes from the Waste sector, largely from solid waste disposal. The Energy and Agriculture sectors in Tokelau contribute the remaining 1.2 per cent of CH</w:t>
      </w:r>
      <w:r w:rsidRPr="00256982">
        <w:rPr>
          <w:vertAlign w:val="subscript"/>
        </w:rPr>
        <w:t>4</w:t>
      </w:r>
      <w:r w:rsidRPr="00256982">
        <w:t xml:space="preserve"> emissions (0.99 per</w:t>
      </w:r>
      <w:r w:rsidR="00256982" w:rsidRPr="00256982">
        <w:t xml:space="preserve"> </w:t>
      </w:r>
      <w:r w:rsidRPr="00256982">
        <w:t xml:space="preserve">cent and 0.22 per cent respectively) that mostly come from domestic navigation and livestock (pigs and poultry). </w:t>
      </w:r>
    </w:p>
    <w:p w14:paraId="3408E326" w14:textId="1D33D7D8" w:rsidR="00FB33C6" w:rsidRPr="00256982" w:rsidRDefault="00FB33C6" w:rsidP="00FB33C6">
      <w:pPr>
        <w:pStyle w:val="BodyText"/>
      </w:pPr>
      <w:r w:rsidRPr="00256982">
        <w:t>Nitrous oxide emissions contribute 2.1 per cent (0.06 kt CO</w:t>
      </w:r>
      <w:r w:rsidRPr="00256982">
        <w:rPr>
          <w:vertAlign w:val="subscript"/>
        </w:rPr>
        <w:t>2</w:t>
      </w:r>
      <w:r w:rsidRPr="00256982">
        <w:t>-e) to the total emissions from Tokelau. The Waste sector contributes the largest amount of N</w:t>
      </w:r>
      <w:r w:rsidRPr="00256982">
        <w:rPr>
          <w:vertAlign w:val="subscript"/>
        </w:rPr>
        <w:t>2</w:t>
      </w:r>
      <w:r w:rsidRPr="00256982">
        <w:t>O, 48.2 per cent (0.03 kt CO</w:t>
      </w:r>
      <w:r w:rsidRPr="00256982">
        <w:rPr>
          <w:vertAlign w:val="subscript"/>
        </w:rPr>
        <w:t>2</w:t>
      </w:r>
      <w:r w:rsidRPr="00256982">
        <w:t>-e), from open burning and wastewater treatment and discharge. The IPPU sector contributes a further 30.0 per cent of N</w:t>
      </w:r>
      <w:r w:rsidRPr="00256982">
        <w:rPr>
          <w:vertAlign w:val="subscript"/>
        </w:rPr>
        <w:t>2</w:t>
      </w:r>
      <w:r w:rsidRPr="00256982">
        <w:t>O (0.02 kt CO</w:t>
      </w:r>
      <w:r w:rsidRPr="00256982">
        <w:rPr>
          <w:vertAlign w:val="subscript"/>
        </w:rPr>
        <w:t>2</w:t>
      </w:r>
      <w:r w:rsidRPr="00256982">
        <w:t>-e) from the use of metered dose inhalers. The Energy</w:t>
      </w:r>
      <w:r w:rsidR="00E605B1" w:rsidRPr="00256982">
        <w:t> </w:t>
      </w:r>
      <w:r w:rsidRPr="00256982">
        <w:t>sector contributes the remaining 21.8 per cent (0.01 kt CO</w:t>
      </w:r>
      <w:r w:rsidRPr="00256982">
        <w:rPr>
          <w:vertAlign w:val="subscript"/>
        </w:rPr>
        <w:t>2</w:t>
      </w:r>
      <w:r w:rsidRPr="00256982">
        <w:t>-e) that comes largely from domestic navigation.</w:t>
      </w:r>
    </w:p>
    <w:p w14:paraId="53FEF06F" w14:textId="77777777" w:rsidR="00FB33C6" w:rsidRPr="00256982" w:rsidRDefault="00FB33C6" w:rsidP="00FB33C6">
      <w:pPr>
        <w:pStyle w:val="BodyText"/>
      </w:pPr>
      <w:r w:rsidRPr="00256982">
        <w:t>Emissions of fluorinated gases from Tokelau consist of hydrofluorocarbon (HFC) emissions only, contributing 9.8 per cent (0.28 kt CO</w:t>
      </w:r>
      <w:r w:rsidRPr="00256982">
        <w:rPr>
          <w:vertAlign w:val="subscript"/>
        </w:rPr>
        <w:t>2</w:t>
      </w:r>
      <w:r w:rsidRPr="00256982">
        <w:t xml:space="preserve">-e) to the total emissions from Tokelau. These emissions are largely coming from the use of refrigerants in domestic fridges and freezers. Emissions of perfluorocarbons (PFCs), nitrogen trifluoride and sulphur hexafluoride are not occurring in Tokelau. </w:t>
      </w:r>
    </w:p>
    <w:p w14:paraId="765AC509" w14:textId="77777777" w:rsidR="00FB33C6" w:rsidRPr="00256982" w:rsidRDefault="00FB33C6" w:rsidP="00FB33C6">
      <w:pPr>
        <w:pStyle w:val="BodyText"/>
      </w:pPr>
      <w:r w:rsidRPr="00256982">
        <w:t xml:space="preserve">Figures 8.1.2 and 8.1.3 show emissions from Tokelau by gas and by sector. </w:t>
      </w:r>
    </w:p>
    <w:p w14:paraId="1345EDFF" w14:textId="77777777" w:rsidR="00FB33C6" w:rsidRPr="00256982" w:rsidRDefault="00FB33C6" w:rsidP="00FB33C6">
      <w:pPr>
        <w:pStyle w:val="Figure"/>
        <w:spacing w:after="0"/>
        <w:rPr>
          <w:lang w:eastAsia="en-NZ"/>
        </w:rPr>
      </w:pPr>
      <w:bookmarkStart w:id="2454" w:name="_Toc5269722"/>
      <w:r w:rsidRPr="00256982">
        <w:t xml:space="preserve">Figure 8.1.2 </w:t>
      </w:r>
      <w:r w:rsidRPr="00256982">
        <w:tab/>
        <w:t>Tokelau’s emissions by gas</w:t>
      </w:r>
      <w:r w:rsidRPr="00256982">
        <w:rPr>
          <w:lang w:eastAsia="en-NZ"/>
        </w:rPr>
        <w:t xml:space="preserve"> in 2017</w:t>
      </w:r>
      <w:bookmarkEnd w:id="2454"/>
    </w:p>
    <w:p w14:paraId="7CC80FB2" w14:textId="77777777" w:rsidR="00FB33C6" w:rsidRPr="00256982" w:rsidRDefault="00590491" w:rsidP="00FB33C6">
      <w:pPr>
        <w:pStyle w:val="BodyText"/>
        <w:spacing w:before="0" w:after="240"/>
        <w:rPr>
          <w:lang w:eastAsia="en-NZ"/>
        </w:rPr>
      </w:pPr>
      <w:r>
        <w:pict w14:anchorId="368EEDB2">
          <v:shape id="Straight Arrow Connector 3" o:spid="_x0000_s1133" type="#_x0000_t32" style="position:absolute;left:0;text-align:left;margin-left:363.75pt;margin-top:49.05pt;width:.5pt;height:8.5pt;flip:x y;z-index:7;visibility:visible;mso-wrap-style:square;mso-width-percent:0;mso-height-percent:0;mso-wrap-distance-left:9pt;mso-wrap-distance-top:0;mso-wrap-distance-right:9pt;mso-wrap-distance-bottom:0;mso-position-horizontal-relative:text;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" strokeweight=".5pt">
            <v:stroke endarrow="block" joinstyle="miter"/>
          </v:shape>
        </w:pict>
      </w:r>
      <w:r>
        <w:pict w14:anchorId="40A759F8">
          <v:shape id="_x0000_i1156" type="#_x0000_t75" style="width:423pt;height:99pt;mso-position-horizontal:absolute;mso-position-vertical-relative:text" wrapcoords="-41 0 -41 21446 21600 21446 21600 0 -41 0" o:allowoverlap="f">
            <v:imagedata r:id="rId235" o:title="" croptop="8752f"/>
          </v:shape>
        </w:pict>
      </w:r>
      <w:r w:rsidR="00FB33C6" w:rsidRPr="00256982">
        <w:rPr>
          <w:lang w:eastAsia="en-NZ"/>
        </w:rPr>
        <w:t xml:space="preserve"> </w:t>
      </w:r>
    </w:p>
    <w:p w14:paraId="220F2B7B" w14:textId="77777777" w:rsidR="00FB33C6" w:rsidRPr="00256982" w:rsidRDefault="00FB33C6" w:rsidP="00FB33C6">
      <w:pPr>
        <w:pStyle w:val="Figure"/>
        <w:spacing w:before="240"/>
      </w:pPr>
      <w:bookmarkStart w:id="2455" w:name="_Toc5269723"/>
      <w:r w:rsidRPr="00256982">
        <w:t xml:space="preserve">Figure 8.1.3 </w:t>
      </w:r>
      <w:r w:rsidRPr="00256982">
        <w:tab/>
        <w:t>Tokelau’s emissions by sector in 2017</w:t>
      </w:r>
      <w:bookmarkEnd w:id="2455"/>
    </w:p>
    <w:p w14:paraId="3B03E56D" w14:textId="77777777" w:rsidR="00FB33C6" w:rsidRPr="00256982" w:rsidRDefault="00590491" w:rsidP="00FB33C6">
      <w:pPr>
        <w:pStyle w:val="BodyText"/>
        <w:spacing w:before="0"/>
      </w:pPr>
      <w:r>
        <w:rPr>
          <w:lang w:eastAsia="en-NZ"/>
        </w:rPr>
        <w:pict w14:anchorId="6F334B38">
          <v:shape id="Chart 7" o:spid="_x0000_i1157" type="#_x0000_t75" style="width:417.75pt;height:77.25pt;visibility:visible" o:gfxdata="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">
            <v:imagedata r:id="rId236" o:title=""/>
            <o:lock v:ext="edit" aspectratio="f"/>
          </v:shape>
        </w:pict>
      </w:r>
    </w:p>
    <w:p w14:paraId="1F8554FA" w14:textId="77777777" w:rsidR="00FB33C6" w:rsidRPr="00256982" w:rsidRDefault="00FB33C6" w:rsidP="00FB33C6">
      <w:pPr>
        <w:pStyle w:val="Noteundertable"/>
      </w:pPr>
      <w:r w:rsidRPr="00256982">
        <w:rPr>
          <w:b/>
        </w:rPr>
        <w:t>Note:</w:t>
      </w:r>
      <w:r w:rsidRPr="00256982">
        <w:t xml:space="preserve"> </w:t>
      </w:r>
      <w:r w:rsidRPr="00256982">
        <w:tab/>
        <w:t xml:space="preserve">The Agriculture sector contributes 0.04 per cent to the total emissions from Tokelau; it is not included in the figure. </w:t>
      </w:r>
    </w:p>
    <w:p w14:paraId="5919AE25" w14:textId="77777777" w:rsidR="00FB33C6" w:rsidRPr="00256982" w:rsidRDefault="00FB33C6" w:rsidP="00FB33C6">
      <w:pPr>
        <w:pStyle w:val="Heading4"/>
      </w:pPr>
      <w:r w:rsidRPr="00256982">
        <w:t>Tokelau’s emission trends</w:t>
      </w:r>
    </w:p>
    <w:p w14:paraId="493AAB8A" w14:textId="77777777" w:rsidR="00FB33C6" w:rsidRPr="00256982" w:rsidRDefault="00FB33C6" w:rsidP="00FB33C6">
      <w:pPr>
        <w:pStyle w:val="BodyText"/>
      </w:pPr>
      <w:r w:rsidRPr="00256982">
        <w:t>In 1990, the total emissions from Tokelau were 3.64 kt CO</w:t>
      </w:r>
      <w:r w:rsidRPr="00256982">
        <w:rPr>
          <w:vertAlign w:val="subscript"/>
        </w:rPr>
        <w:t>2</w:t>
      </w:r>
      <w:r w:rsidRPr="00256982">
        <w:t>-e. Between 1990 and 2017, the total emissions decreased by 21.3 per cent (0.78 kt CO</w:t>
      </w:r>
      <w:r w:rsidRPr="00256982">
        <w:rPr>
          <w:vertAlign w:val="subscript"/>
        </w:rPr>
        <w:t>2</w:t>
      </w:r>
      <w:r w:rsidRPr="00256982">
        <w:t>-e) to 2.86 kt CO</w:t>
      </w:r>
      <w:r w:rsidRPr="00256982">
        <w:rPr>
          <w:vertAlign w:val="subscript"/>
        </w:rPr>
        <w:t>2</w:t>
      </w:r>
      <w:r w:rsidRPr="00256982">
        <w:t xml:space="preserve">-e in 2017 (table 8.1.1). From 1990 to 2017, the average annual decrease in gross emissions was </w:t>
      </w:r>
      <w:r w:rsidRPr="00256982">
        <w:rPr>
          <w:rFonts w:cs="Arial"/>
          <w:color w:val="000000"/>
          <w:szCs w:val="16"/>
        </w:rPr>
        <w:t xml:space="preserve">0.79 </w:t>
      </w:r>
      <w:r w:rsidRPr="00256982">
        <w:t xml:space="preserve">per cent. </w:t>
      </w:r>
    </w:p>
    <w:p w14:paraId="6AD3AEC3" w14:textId="77777777" w:rsidR="00FB33C6" w:rsidRPr="00256982" w:rsidRDefault="00FB33C6" w:rsidP="00FB33C6">
      <w:pPr>
        <w:pStyle w:val="Figure"/>
        <w:spacing w:after="0"/>
        <w:rPr>
          <w:rFonts w:eastAsia="Calibri"/>
        </w:rPr>
      </w:pPr>
      <w:bookmarkStart w:id="2456" w:name="_Toc5269724"/>
      <w:r w:rsidRPr="00256982">
        <w:rPr>
          <w:rFonts w:eastAsia="Calibri"/>
        </w:rPr>
        <w:t xml:space="preserve">Figure 8.1.4 </w:t>
      </w:r>
      <w:r w:rsidRPr="00256982">
        <w:rPr>
          <w:rFonts w:eastAsia="Calibri"/>
        </w:rPr>
        <w:tab/>
        <w:t>Emissions by sector for Tokelau (kt CO</w:t>
      </w:r>
      <w:r w:rsidRPr="00256982">
        <w:rPr>
          <w:rFonts w:eastAsia="Calibri"/>
          <w:vertAlign w:val="subscript"/>
        </w:rPr>
        <w:t>2</w:t>
      </w:r>
      <w:r w:rsidRPr="00256982">
        <w:rPr>
          <w:rFonts w:eastAsia="Calibri"/>
        </w:rPr>
        <w:t>-e) from 1990 to 2017</w:t>
      </w:r>
      <w:bookmarkEnd w:id="2456"/>
    </w:p>
    <w:p w14:paraId="55E462AE" w14:textId="77777777" w:rsidR="00FB33C6" w:rsidRPr="00256982" w:rsidRDefault="00590491" w:rsidP="00E605B1">
      <w:pPr>
        <w:spacing w:before="120"/>
        <w:rPr>
          <w:rFonts w:eastAsia="Calibri"/>
        </w:rPr>
      </w:pPr>
      <w:r>
        <w:rPr>
          <w:lang w:eastAsia="en-NZ"/>
        </w:rPr>
        <w:pict w14:anchorId="1DD9922A">
          <v:shape id="Chart 5" o:spid="_x0000_i1158" type="#_x0000_t75" style="width:387.75pt;height:142.5pt;visibility:visible" o:gfxdata="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">
            <v:imagedata r:id="rId237" o:title=""/>
            <o:lock v:ext="edit" aspectratio="f"/>
          </v:shape>
        </w:pict>
      </w:r>
    </w:p>
    <w:p w14:paraId="35AA8028" w14:textId="77777777" w:rsidR="00FB33C6" w:rsidRPr="00256982" w:rsidRDefault="00FB33C6" w:rsidP="00FB33C6">
      <w:pPr>
        <w:pStyle w:val="BodyText"/>
      </w:pPr>
      <w:r w:rsidRPr="00256982">
        <w:t xml:space="preserve">The emission categories that contributed the most to this change in the total emissions from Tokelau were </w:t>
      </w:r>
      <w:r w:rsidRPr="00256982">
        <w:rPr>
          <w:i/>
        </w:rPr>
        <w:t>Public electricity and heat production</w:t>
      </w:r>
      <w:r w:rsidRPr="00256982">
        <w:t xml:space="preserve"> and</w:t>
      </w:r>
      <w:r w:rsidRPr="00256982">
        <w:rPr>
          <w:i/>
        </w:rPr>
        <w:t xml:space="preserve"> Refrigeration and air conditioning</w:t>
      </w:r>
      <w:r w:rsidRPr="00256982">
        <w:t>. The main driver underpinning the change was switching to a 100 per cent solar photovoltaics energy system by the end of 2012. That resulted in a significant drop (by approximately 82 per cent) in consumption of imported petroleum products used for electricity production in Tokelau and a decrease of energy emissions from 2011. The decrease in emissions from the Energy sector was somewhat offset by a 0.28 kt CO</w:t>
      </w:r>
      <w:r w:rsidRPr="00256982">
        <w:rPr>
          <w:vertAlign w:val="subscript"/>
        </w:rPr>
        <w:t>2</w:t>
      </w:r>
      <w:r w:rsidRPr="00256982">
        <w:t>-e increase from consumption of HFCs between 1990 and 2017 as fridges and freezers became more commonly used on the atolls. Figure 1.1.4 shows emission trends by sector for Tokelau.</w:t>
      </w:r>
    </w:p>
    <w:p w14:paraId="69035B4A" w14:textId="77777777" w:rsidR="00FB33C6" w:rsidRPr="00256982" w:rsidRDefault="00FB33C6" w:rsidP="00FB33C6">
      <w:pPr>
        <w:pStyle w:val="Table"/>
      </w:pPr>
      <w:bookmarkStart w:id="2457" w:name="_Toc5269594"/>
      <w:r w:rsidRPr="00256982">
        <w:t xml:space="preserve">Table 8.1.1 </w:t>
      </w:r>
      <w:r w:rsidRPr="00256982">
        <w:tab/>
        <w:t>Total emissions from Tokelau by gas in 1990 and 2017</w:t>
      </w:r>
      <w:bookmarkEnd w:id="2457"/>
    </w:p>
    <w:tbl>
      <w:tblPr>
        <w:tblW w:w="8562" w:type="dxa"/>
        <w:tblInd w:w="108" w:type="dxa"/>
        <w:tblBorders>
          <w:bottom w:val="single" w:sz="8" w:space="0" w:color="365F91"/>
          <w:insideH w:val="single" w:sz="8" w:space="0" w:color="365F91"/>
        </w:tblBorders>
        <w:tblLook w:val="01E0" w:firstRow="1" w:lastRow="1" w:firstColumn="1" w:lastColumn="1" w:noHBand="0" w:noVBand="0"/>
      </w:tblPr>
      <w:tblGrid>
        <w:gridCol w:w="2782"/>
        <w:gridCol w:w="1464"/>
        <w:gridCol w:w="1318"/>
        <w:gridCol w:w="1610"/>
        <w:gridCol w:w="1388"/>
      </w:tblGrid>
      <w:tr w:rsidR="00FB33C6" w:rsidRPr="00256982" w14:paraId="4180BA4E" w14:textId="77777777" w:rsidTr="00E605B1">
        <w:tc>
          <w:tcPr>
            <w:tcW w:w="2764" w:type="dxa"/>
            <w:vMerge w:val="restart"/>
            <w:tcBorders>
              <w:top w:val="single" w:sz="4" w:space="0" w:color="365F91"/>
              <w:left w:val="nil"/>
              <w:bottom w:val="nil"/>
              <w:right w:val="nil"/>
              <w:tl2br w:val="nil"/>
              <w:tr2bl w:val="nil"/>
            </w:tcBorders>
            <w:shd w:val="clear" w:color="auto" w:fill="365F91"/>
            <w:vAlign w:val="bottom"/>
          </w:tcPr>
          <w:p w14:paraId="40D22124" w14:textId="77777777" w:rsidR="00FB33C6" w:rsidRPr="00256982" w:rsidRDefault="00FB33C6" w:rsidP="00823616">
            <w:pPr>
              <w:pStyle w:val="TableTextBold"/>
              <w:keepNext/>
              <w:rPr>
                <w:noProof w:val="0"/>
                <w:color w:val="FFFFFF"/>
              </w:rPr>
            </w:pPr>
            <w:r w:rsidRPr="00256982">
              <w:rPr>
                <w:noProof w:val="0"/>
                <w:color w:val="FFFFFF"/>
              </w:rPr>
              <w:t>Direct greenhouse gas emissions</w:t>
            </w:r>
          </w:p>
        </w:tc>
        <w:tc>
          <w:tcPr>
            <w:tcW w:w="2763" w:type="dxa"/>
            <w:gridSpan w:val="2"/>
            <w:tcBorders>
              <w:top w:val="single" w:sz="4" w:space="0" w:color="365F91"/>
              <w:left w:val="nil"/>
              <w:bottom w:val="nil"/>
              <w:right w:val="nil"/>
              <w:tl2br w:val="nil"/>
              <w:tr2bl w:val="nil"/>
            </w:tcBorders>
            <w:shd w:val="clear" w:color="auto" w:fill="365F91"/>
            <w:vAlign w:val="bottom"/>
          </w:tcPr>
          <w:p w14:paraId="584E3433" w14:textId="77777777" w:rsidR="00FB33C6" w:rsidRPr="00256982" w:rsidRDefault="00FB33C6" w:rsidP="00823616">
            <w:pPr>
              <w:pStyle w:val="TableTextBold"/>
              <w:keepNext/>
              <w:jc w:val="center"/>
              <w:rPr>
                <w:noProof w:val="0"/>
                <w:color w:val="FFFFFF"/>
              </w:rPr>
            </w:pPr>
            <w:r w:rsidRPr="00256982">
              <w:rPr>
                <w:noProof w:val="0"/>
                <w:color w:val="FFFFFF"/>
              </w:rPr>
              <w:t>kt CO</w:t>
            </w:r>
            <w:r w:rsidRPr="00256982">
              <w:rPr>
                <w:noProof w:val="0"/>
                <w:color w:val="FFFFFF"/>
                <w:vertAlign w:val="subscript"/>
              </w:rPr>
              <w:t>2</w:t>
            </w:r>
            <w:r w:rsidRPr="00256982">
              <w:rPr>
                <w:noProof w:val="0"/>
                <w:color w:val="FFFFFF"/>
              </w:rPr>
              <w:t>-e</w:t>
            </w:r>
          </w:p>
        </w:tc>
        <w:tc>
          <w:tcPr>
            <w:tcW w:w="1599" w:type="dxa"/>
            <w:vMerge w:val="restart"/>
            <w:tcBorders>
              <w:top w:val="single" w:sz="4" w:space="0" w:color="365F91"/>
              <w:left w:val="nil"/>
              <w:bottom w:val="nil"/>
              <w:right w:val="nil"/>
              <w:tl2br w:val="nil"/>
              <w:tr2bl w:val="nil"/>
            </w:tcBorders>
            <w:shd w:val="clear" w:color="auto" w:fill="365F91"/>
            <w:vAlign w:val="bottom"/>
          </w:tcPr>
          <w:p w14:paraId="4B35655D" w14:textId="77777777" w:rsidR="00FB33C6" w:rsidRPr="00256982" w:rsidRDefault="00FB33C6" w:rsidP="00823616">
            <w:pPr>
              <w:pStyle w:val="TableTextBold"/>
              <w:keepNext/>
              <w:ind w:left="-104"/>
              <w:jc w:val="center"/>
              <w:rPr>
                <w:noProof w:val="0"/>
                <w:color w:val="FFFFFF"/>
              </w:rPr>
            </w:pPr>
            <w:r w:rsidRPr="00256982">
              <w:rPr>
                <w:noProof w:val="0"/>
                <w:color w:val="FFFFFF"/>
              </w:rPr>
              <w:t>Change from 1990 (kt CO</w:t>
            </w:r>
            <w:r w:rsidRPr="00256982">
              <w:rPr>
                <w:noProof w:val="0"/>
                <w:color w:val="FFFFFF"/>
                <w:vertAlign w:val="subscript"/>
              </w:rPr>
              <w:t>2</w:t>
            </w:r>
            <w:r w:rsidRPr="00256982">
              <w:rPr>
                <w:noProof w:val="0"/>
                <w:color w:val="FFFFFF"/>
              </w:rPr>
              <w:t>-e)</w:t>
            </w:r>
          </w:p>
        </w:tc>
        <w:tc>
          <w:tcPr>
            <w:tcW w:w="1379" w:type="dxa"/>
            <w:vMerge w:val="restart"/>
            <w:tcBorders>
              <w:top w:val="single" w:sz="4" w:space="0" w:color="365F91"/>
              <w:left w:val="nil"/>
              <w:bottom w:val="nil"/>
              <w:right w:val="nil"/>
              <w:tl2br w:val="nil"/>
              <w:tr2bl w:val="nil"/>
            </w:tcBorders>
            <w:shd w:val="clear" w:color="auto" w:fill="365F91"/>
            <w:vAlign w:val="bottom"/>
          </w:tcPr>
          <w:p w14:paraId="5A7E7CA5" w14:textId="77777777" w:rsidR="00FB33C6" w:rsidRPr="00256982" w:rsidRDefault="00FB33C6" w:rsidP="00823616">
            <w:pPr>
              <w:pStyle w:val="TableTextBold"/>
              <w:keepNext/>
              <w:jc w:val="center"/>
              <w:rPr>
                <w:noProof w:val="0"/>
                <w:color w:val="FFFFFF"/>
              </w:rPr>
            </w:pPr>
            <w:r w:rsidRPr="00256982">
              <w:rPr>
                <w:noProof w:val="0"/>
                <w:color w:val="FFFFFF"/>
              </w:rPr>
              <w:t>Change from 1990 (%)</w:t>
            </w:r>
          </w:p>
        </w:tc>
      </w:tr>
      <w:tr w:rsidR="00FB33C6" w:rsidRPr="00256982" w14:paraId="673FD5E3" w14:textId="77777777" w:rsidTr="00E605B1">
        <w:tc>
          <w:tcPr>
            <w:tcW w:w="2764" w:type="dxa"/>
            <w:vMerge/>
            <w:tcBorders>
              <w:top w:val="nil"/>
              <w:bottom w:val="single" w:sz="4" w:space="0" w:color="365F91"/>
            </w:tcBorders>
            <w:shd w:val="clear" w:color="auto" w:fill="365F91"/>
            <w:vAlign w:val="bottom"/>
          </w:tcPr>
          <w:p w14:paraId="02781F8D" w14:textId="77777777" w:rsidR="00FB33C6" w:rsidRPr="00256982" w:rsidRDefault="00FB33C6" w:rsidP="00823616">
            <w:pPr>
              <w:keepNext/>
              <w:spacing w:before="60" w:after="60"/>
              <w:rPr>
                <w:rFonts w:ascii="Arial" w:hAnsi="Arial"/>
                <w:color w:val="FFFFFF"/>
              </w:rPr>
            </w:pPr>
          </w:p>
        </w:tc>
        <w:tc>
          <w:tcPr>
            <w:tcW w:w="1454" w:type="dxa"/>
            <w:tcBorders>
              <w:top w:val="nil"/>
              <w:bottom w:val="single" w:sz="4" w:space="0" w:color="365F91"/>
            </w:tcBorders>
            <w:shd w:val="clear" w:color="auto" w:fill="365F91"/>
            <w:vAlign w:val="bottom"/>
          </w:tcPr>
          <w:p w14:paraId="555F1633" w14:textId="77777777" w:rsidR="00FB33C6" w:rsidRPr="00256982" w:rsidRDefault="00FB33C6" w:rsidP="00823616">
            <w:pPr>
              <w:pStyle w:val="TableTextBold"/>
              <w:keepNext/>
              <w:spacing w:before="0"/>
              <w:jc w:val="center"/>
              <w:rPr>
                <w:noProof w:val="0"/>
                <w:color w:val="FFFFFF"/>
              </w:rPr>
            </w:pPr>
            <w:r w:rsidRPr="00256982">
              <w:rPr>
                <w:noProof w:val="0"/>
                <w:color w:val="FFFFFF"/>
              </w:rPr>
              <w:t>1990</w:t>
            </w:r>
          </w:p>
        </w:tc>
        <w:tc>
          <w:tcPr>
            <w:tcW w:w="1309" w:type="dxa"/>
            <w:tcBorders>
              <w:top w:val="nil"/>
              <w:bottom w:val="single" w:sz="4" w:space="0" w:color="365F91"/>
            </w:tcBorders>
            <w:shd w:val="clear" w:color="auto" w:fill="365F91"/>
            <w:vAlign w:val="bottom"/>
          </w:tcPr>
          <w:p w14:paraId="3BE3824A" w14:textId="77777777" w:rsidR="00FB33C6" w:rsidRPr="00256982" w:rsidRDefault="00FB33C6" w:rsidP="00823616">
            <w:pPr>
              <w:pStyle w:val="TableTextBold"/>
              <w:keepNext/>
              <w:spacing w:before="0"/>
              <w:jc w:val="center"/>
              <w:rPr>
                <w:noProof w:val="0"/>
                <w:color w:val="FFFFFF"/>
              </w:rPr>
            </w:pPr>
            <w:r w:rsidRPr="00256982">
              <w:rPr>
                <w:noProof w:val="0"/>
                <w:color w:val="FFFFFF"/>
              </w:rPr>
              <w:t>2017</w:t>
            </w:r>
          </w:p>
        </w:tc>
        <w:tc>
          <w:tcPr>
            <w:tcW w:w="1599" w:type="dxa"/>
            <w:vMerge/>
            <w:tcBorders>
              <w:top w:val="nil"/>
              <w:bottom w:val="single" w:sz="4" w:space="0" w:color="365F91"/>
            </w:tcBorders>
            <w:shd w:val="clear" w:color="auto" w:fill="365F91"/>
            <w:vAlign w:val="bottom"/>
          </w:tcPr>
          <w:p w14:paraId="220A209C" w14:textId="77777777" w:rsidR="00FB33C6" w:rsidRPr="00256982" w:rsidRDefault="00FB33C6" w:rsidP="00823616">
            <w:pPr>
              <w:keepNext/>
              <w:spacing w:before="60" w:after="60"/>
              <w:jc w:val="center"/>
              <w:rPr>
                <w:rFonts w:ascii="Arial" w:hAnsi="Arial"/>
                <w:b/>
                <w:color w:val="FFFFFF"/>
                <w:sz w:val="16"/>
              </w:rPr>
            </w:pPr>
          </w:p>
        </w:tc>
        <w:tc>
          <w:tcPr>
            <w:tcW w:w="1379" w:type="dxa"/>
            <w:vMerge/>
            <w:tcBorders>
              <w:top w:val="nil"/>
              <w:bottom w:val="single" w:sz="4" w:space="0" w:color="365F91"/>
            </w:tcBorders>
            <w:shd w:val="clear" w:color="auto" w:fill="365F91"/>
            <w:vAlign w:val="bottom"/>
          </w:tcPr>
          <w:p w14:paraId="7991BE56" w14:textId="77777777" w:rsidR="00FB33C6" w:rsidRPr="00256982" w:rsidRDefault="00FB33C6" w:rsidP="00823616">
            <w:pPr>
              <w:keepNext/>
              <w:spacing w:before="60" w:after="60"/>
              <w:jc w:val="center"/>
              <w:rPr>
                <w:rFonts w:ascii="Arial" w:hAnsi="Arial"/>
                <w:b/>
                <w:color w:val="FFFFFF"/>
                <w:sz w:val="16"/>
              </w:rPr>
            </w:pPr>
          </w:p>
        </w:tc>
      </w:tr>
      <w:tr w:rsidR="00FB33C6" w:rsidRPr="00256982" w14:paraId="639C11F3" w14:textId="77777777" w:rsidTr="00E605B1">
        <w:tc>
          <w:tcPr>
            <w:tcW w:w="2764" w:type="dxa"/>
            <w:tcBorders>
              <w:top w:val="single" w:sz="4" w:space="0" w:color="365F91"/>
            </w:tcBorders>
            <w:shd w:val="clear" w:color="auto" w:fill="auto"/>
          </w:tcPr>
          <w:p w14:paraId="16FD4DFE" w14:textId="77777777" w:rsidR="00FB33C6" w:rsidRPr="00256982" w:rsidRDefault="00FB33C6" w:rsidP="00823616">
            <w:pPr>
              <w:pStyle w:val="TableText"/>
              <w:keepNext/>
              <w:spacing w:before="50" w:after="50"/>
              <w:rPr>
                <w:color w:val="000000"/>
                <w:szCs w:val="22"/>
              </w:rPr>
            </w:pPr>
            <w:r w:rsidRPr="00256982">
              <w:rPr>
                <w:color w:val="000000"/>
                <w:szCs w:val="22"/>
              </w:rPr>
              <w:t>CO</w:t>
            </w:r>
            <w:r w:rsidRPr="00256982">
              <w:rPr>
                <w:color w:val="000000"/>
                <w:szCs w:val="16"/>
                <w:vertAlign w:val="subscript"/>
              </w:rPr>
              <w:t>2</w:t>
            </w:r>
            <w:r w:rsidRPr="00256982">
              <w:rPr>
                <w:color w:val="000000"/>
                <w:szCs w:val="22"/>
              </w:rPr>
              <w:t xml:space="preserve"> </w:t>
            </w:r>
          </w:p>
        </w:tc>
        <w:tc>
          <w:tcPr>
            <w:tcW w:w="1454" w:type="dxa"/>
            <w:tcBorders>
              <w:top w:val="single" w:sz="4" w:space="0" w:color="365F91"/>
            </w:tcBorders>
            <w:shd w:val="clear" w:color="auto" w:fill="auto"/>
            <w:vAlign w:val="bottom"/>
          </w:tcPr>
          <w:p w14:paraId="0EA5CBAA" w14:textId="77777777" w:rsidR="00FB33C6" w:rsidRPr="00256982" w:rsidRDefault="00FB33C6" w:rsidP="00823616">
            <w:pPr>
              <w:pStyle w:val="TableText"/>
              <w:keepNext/>
              <w:spacing w:before="50" w:after="50"/>
              <w:ind w:right="283"/>
              <w:jc w:val="right"/>
              <w:rPr>
                <w:rFonts w:cs="Arial"/>
                <w:color w:val="000000"/>
                <w:szCs w:val="16"/>
              </w:rPr>
            </w:pPr>
            <w:r w:rsidRPr="00256982">
              <w:rPr>
                <w:rFonts w:cs="Arial"/>
                <w:color w:val="000000"/>
                <w:szCs w:val="16"/>
              </w:rPr>
              <w:t>2.87</w:t>
            </w:r>
          </w:p>
        </w:tc>
        <w:tc>
          <w:tcPr>
            <w:tcW w:w="1309" w:type="dxa"/>
            <w:tcBorders>
              <w:top w:val="single" w:sz="4" w:space="0" w:color="365F91"/>
            </w:tcBorders>
            <w:shd w:val="clear" w:color="auto" w:fill="auto"/>
            <w:vAlign w:val="bottom"/>
          </w:tcPr>
          <w:p w14:paraId="0982E9B1" w14:textId="77777777" w:rsidR="00FB33C6" w:rsidRPr="00256982" w:rsidRDefault="00FB33C6" w:rsidP="00823616">
            <w:pPr>
              <w:pStyle w:val="TableText"/>
              <w:keepNext/>
              <w:spacing w:before="50" w:after="50"/>
              <w:ind w:right="283"/>
              <w:jc w:val="right"/>
              <w:rPr>
                <w:rFonts w:cs="Arial"/>
                <w:color w:val="000000"/>
                <w:szCs w:val="16"/>
              </w:rPr>
            </w:pPr>
            <w:r w:rsidRPr="00256982">
              <w:rPr>
                <w:rFonts w:cs="Arial"/>
                <w:color w:val="000000"/>
                <w:szCs w:val="16"/>
              </w:rPr>
              <w:t>1.94</w:t>
            </w:r>
          </w:p>
        </w:tc>
        <w:tc>
          <w:tcPr>
            <w:tcW w:w="1599" w:type="dxa"/>
            <w:tcBorders>
              <w:top w:val="single" w:sz="4" w:space="0" w:color="365F91"/>
            </w:tcBorders>
            <w:shd w:val="clear" w:color="auto" w:fill="auto"/>
            <w:vAlign w:val="bottom"/>
          </w:tcPr>
          <w:p w14:paraId="7E4BCFDD" w14:textId="77777777" w:rsidR="00FB33C6" w:rsidRPr="00256982" w:rsidRDefault="00FB33C6" w:rsidP="00823616">
            <w:pPr>
              <w:pStyle w:val="TableText"/>
              <w:keepNext/>
              <w:spacing w:before="50" w:after="50"/>
              <w:ind w:right="176"/>
              <w:jc w:val="right"/>
              <w:rPr>
                <w:rFonts w:cs="Arial"/>
                <w:color w:val="000000"/>
                <w:szCs w:val="16"/>
              </w:rPr>
            </w:pPr>
            <w:r w:rsidRPr="00256982">
              <w:rPr>
                <w:color w:val="000000"/>
                <w:szCs w:val="22"/>
              </w:rPr>
              <w:t>–</w:t>
            </w:r>
            <w:r w:rsidRPr="00256982">
              <w:rPr>
                <w:rFonts w:cs="Arial"/>
                <w:color w:val="000000"/>
                <w:szCs w:val="16"/>
              </w:rPr>
              <w:t>0.94</w:t>
            </w:r>
          </w:p>
        </w:tc>
        <w:tc>
          <w:tcPr>
            <w:tcW w:w="1379" w:type="dxa"/>
            <w:tcBorders>
              <w:top w:val="single" w:sz="4" w:space="0" w:color="365F91"/>
            </w:tcBorders>
            <w:shd w:val="clear" w:color="auto" w:fill="auto"/>
            <w:vAlign w:val="bottom"/>
          </w:tcPr>
          <w:p w14:paraId="3D7243B3" w14:textId="77777777" w:rsidR="00FB33C6" w:rsidRPr="00256982" w:rsidRDefault="00FB33C6" w:rsidP="00823616">
            <w:pPr>
              <w:pStyle w:val="TableText"/>
              <w:keepNext/>
              <w:tabs>
                <w:tab w:val="left" w:pos="1309"/>
              </w:tabs>
              <w:spacing w:before="50" w:after="50"/>
              <w:ind w:right="177"/>
              <w:jc w:val="right"/>
              <w:rPr>
                <w:rFonts w:cs="Arial"/>
                <w:color w:val="000000"/>
                <w:szCs w:val="16"/>
              </w:rPr>
            </w:pPr>
            <w:r w:rsidRPr="00256982">
              <w:rPr>
                <w:color w:val="000000"/>
                <w:szCs w:val="22"/>
              </w:rPr>
              <w:t>–</w:t>
            </w:r>
            <w:r w:rsidRPr="00256982">
              <w:rPr>
                <w:rFonts w:cs="Arial"/>
                <w:color w:val="000000"/>
                <w:szCs w:val="16"/>
              </w:rPr>
              <w:t>32.6</w:t>
            </w:r>
          </w:p>
        </w:tc>
      </w:tr>
      <w:tr w:rsidR="00FB33C6" w:rsidRPr="00256982" w14:paraId="6859A00E" w14:textId="77777777" w:rsidTr="00E605B1">
        <w:tc>
          <w:tcPr>
            <w:tcW w:w="2764" w:type="dxa"/>
            <w:shd w:val="clear" w:color="auto" w:fill="auto"/>
          </w:tcPr>
          <w:p w14:paraId="75699501" w14:textId="77777777" w:rsidR="00FB33C6" w:rsidRPr="00256982" w:rsidRDefault="00FB33C6" w:rsidP="00823616">
            <w:pPr>
              <w:pStyle w:val="TableText"/>
              <w:spacing w:before="50" w:after="50"/>
              <w:rPr>
                <w:color w:val="000000"/>
                <w:szCs w:val="22"/>
              </w:rPr>
            </w:pPr>
            <w:r w:rsidRPr="00256982">
              <w:rPr>
                <w:color w:val="000000"/>
                <w:szCs w:val="22"/>
              </w:rPr>
              <w:t>CH</w:t>
            </w:r>
            <w:r w:rsidRPr="00256982">
              <w:rPr>
                <w:color w:val="000000"/>
                <w:szCs w:val="22"/>
                <w:vertAlign w:val="subscript"/>
              </w:rPr>
              <w:t xml:space="preserve">4 </w:t>
            </w:r>
          </w:p>
        </w:tc>
        <w:tc>
          <w:tcPr>
            <w:tcW w:w="1454" w:type="dxa"/>
            <w:shd w:val="clear" w:color="auto" w:fill="auto"/>
            <w:vAlign w:val="bottom"/>
          </w:tcPr>
          <w:p w14:paraId="6E863F9F" w14:textId="77777777" w:rsidR="00FB33C6" w:rsidRPr="00256982" w:rsidRDefault="00FB33C6" w:rsidP="00823616">
            <w:pPr>
              <w:pStyle w:val="TableText"/>
              <w:spacing w:before="50" w:after="50"/>
              <w:ind w:right="283"/>
              <w:jc w:val="right"/>
              <w:rPr>
                <w:rFonts w:cs="Arial"/>
                <w:color w:val="000000"/>
                <w:szCs w:val="16"/>
              </w:rPr>
            </w:pPr>
            <w:r w:rsidRPr="00256982">
              <w:rPr>
                <w:rFonts w:cs="Arial"/>
                <w:color w:val="000000"/>
                <w:szCs w:val="16"/>
              </w:rPr>
              <w:t>0.67</w:t>
            </w:r>
          </w:p>
        </w:tc>
        <w:tc>
          <w:tcPr>
            <w:tcW w:w="1309" w:type="dxa"/>
            <w:shd w:val="clear" w:color="auto" w:fill="auto"/>
            <w:vAlign w:val="bottom"/>
          </w:tcPr>
          <w:p w14:paraId="2F43A522" w14:textId="77777777" w:rsidR="00FB33C6" w:rsidRPr="00256982" w:rsidRDefault="00FB33C6" w:rsidP="00823616">
            <w:pPr>
              <w:pStyle w:val="TableText"/>
              <w:spacing w:before="50" w:after="50"/>
              <w:ind w:right="283"/>
              <w:jc w:val="right"/>
              <w:rPr>
                <w:rFonts w:cs="Arial"/>
                <w:color w:val="000000"/>
                <w:szCs w:val="16"/>
              </w:rPr>
            </w:pPr>
            <w:r w:rsidRPr="00256982">
              <w:rPr>
                <w:rFonts w:cs="Arial"/>
                <w:color w:val="000000"/>
                <w:szCs w:val="16"/>
              </w:rPr>
              <w:t>0.59</w:t>
            </w:r>
          </w:p>
        </w:tc>
        <w:tc>
          <w:tcPr>
            <w:tcW w:w="1599" w:type="dxa"/>
            <w:shd w:val="clear" w:color="auto" w:fill="auto"/>
            <w:vAlign w:val="bottom"/>
          </w:tcPr>
          <w:p w14:paraId="5122D242" w14:textId="77777777" w:rsidR="00FB33C6" w:rsidRPr="00256982" w:rsidRDefault="00FB33C6" w:rsidP="00823616">
            <w:pPr>
              <w:pStyle w:val="TableText"/>
              <w:spacing w:before="50" w:after="50"/>
              <w:ind w:right="176"/>
              <w:jc w:val="right"/>
              <w:rPr>
                <w:rFonts w:cs="Arial"/>
                <w:color w:val="000000"/>
                <w:szCs w:val="16"/>
              </w:rPr>
            </w:pPr>
            <w:r w:rsidRPr="00256982">
              <w:rPr>
                <w:color w:val="000000"/>
                <w:szCs w:val="22"/>
              </w:rPr>
              <w:t>–</w:t>
            </w:r>
            <w:r w:rsidRPr="00256982">
              <w:rPr>
                <w:rFonts w:cs="Arial"/>
                <w:color w:val="000000"/>
                <w:szCs w:val="16"/>
              </w:rPr>
              <w:t>0.08</w:t>
            </w:r>
          </w:p>
        </w:tc>
        <w:tc>
          <w:tcPr>
            <w:tcW w:w="1379" w:type="dxa"/>
            <w:shd w:val="clear" w:color="auto" w:fill="auto"/>
            <w:vAlign w:val="bottom"/>
          </w:tcPr>
          <w:p w14:paraId="3FE8FDB3" w14:textId="77777777" w:rsidR="00FB33C6" w:rsidRPr="00256982" w:rsidRDefault="00FB33C6" w:rsidP="00823616">
            <w:pPr>
              <w:pStyle w:val="TableText"/>
              <w:spacing w:before="50" w:after="50"/>
              <w:ind w:right="177"/>
              <w:jc w:val="right"/>
              <w:rPr>
                <w:rFonts w:cs="Arial"/>
                <w:color w:val="000000"/>
                <w:szCs w:val="16"/>
              </w:rPr>
            </w:pPr>
            <w:r w:rsidRPr="00256982">
              <w:rPr>
                <w:color w:val="000000"/>
                <w:szCs w:val="22"/>
              </w:rPr>
              <w:t>–</w:t>
            </w:r>
            <w:r w:rsidRPr="00256982">
              <w:rPr>
                <w:rFonts w:cs="Arial"/>
                <w:color w:val="000000"/>
                <w:szCs w:val="16"/>
              </w:rPr>
              <w:t>12.5</w:t>
            </w:r>
          </w:p>
        </w:tc>
      </w:tr>
      <w:tr w:rsidR="00FB33C6" w:rsidRPr="00256982" w14:paraId="4DB31FEE" w14:textId="77777777" w:rsidTr="00E605B1">
        <w:tc>
          <w:tcPr>
            <w:tcW w:w="2764" w:type="dxa"/>
            <w:shd w:val="clear" w:color="auto" w:fill="auto"/>
          </w:tcPr>
          <w:p w14:paraId="515E25BB" w14:textId="77777777" w:rsidR="00FB33C6" w:rsidRPr="00256982" w:rsidRDefault="00FB33C6" w:rsidP="00823616">
            <w:pPr>
              <w:pStyle w:val="TableText"/>
              <w:spacing w:before="50" w:after="50"/>
              <w:rPr>
                <w:color w:val="000000"/>
                <w:szCs w:val="22"/>
              </w:rPr>
            </w:pPr>
            <w:r w:rsidRPr="00256982">
              <w:rPr>
                <w:color w:val="000000"/>
                <w:szCs w:val="22"/>
              </w:rPr>
              <w:t>N</w:t>
            </w:r>
            <w:r w:rsidRPr="00256982">
              <w:rPr>
                <w:color w:val="000000"/>
                <w:szCs w:val="16"/>
                <w:vertAlign w:val="subscript"/>
              </w:rPr>
              <w:t>2</w:t>
            </w:r>
            <w:r w:rsidRPr="00256982">
              <w:rPr>
                <w:color w:val="000000"/>
                <w:szCs w:val="22"/>
              </w:rPr>
              <w:t xml:space="preserve">O </w:t>
            </w:r>
          </w:p>
        </w:tc>
        <w:tc>
          <w:tcPr>
            <w:tcW w:w="1454" w:type="dxa"/>
            <w:shd w:val="clear" w:color="auto" w:fill="auto"/>
            <w:vAlign w:val="bottom"/>
          </w:tcPr>
          <w:p w14:paraId="23DA5F50" w14:textId="77777777" w:rsidR="00FB33C6" w:rsidRPr="00256982" w:rsidRDefault="00FB33C6" w:rsidP="00823616">
            <w:pPr>
              <w:pStyle w:val="TableText"/>
              <w:spacing w:before="50" w:after="50"/>
              <w:ind w:right="283"/>
              <w:jc w:val="right"/>
              <w:rPr>
                <w:rFonts w:cs="Arial"/>
                <w:color w:val="000000"/>
                <w:szCs w:val="16"/>
              </w:rPr>
            </w:pPr>
            <w:r w:rsidRPr="00256982">
              <w:rPr>
                <w:rFonts w:cs="Arial"/>
                <w:color w:val="000000"/>
                <w:szCs w:val="16"/>
              </w:rPr>
              <w:t>0.10</w:t>
            </w:r>
          </w:p>
        </w:tc>
        <w:tc>
          <w:tcPr>
            <w:tcW w:w="1309" w:type="dxa"/>
            <w:shd w:val="clear" w:color="auto" w:fill="auto"/>
            <w:vAlign w:val="bottom"/>
          </w:tcPr>
          <w:p w14:paraId="0B873484" w14:textId="77777777" w:rsidR="00FB33C6" w:rsidRPr="00256982" w:rsidRDefault="00FB33C6" w:rsidP="00823616">
            <w:pPr>
              <w:pStyle w:val="TableText"/>
              <w:spacing w:before="50" w:after="50"/>
              <w:ind w:right="283"/>
              <w:jc w:val="right"/>
              <w:rPr>
                <w:rFonts w:cs="Arial"/>
                <w:color w:val="000000"/>
                <w:szCs w:val="16"/>
              </w:rPr>
            </w:pPr>
            <w:r w:rsidRPr="00256982">
              <w:rPr>
                <w:rFonts w:cs="Arial"/>
                <w:color w:val="000000"/>
                <w:szCs w:val="16"/>
              </w:rPr>
              <w:t>0.06</w:t>
            </w:r>
          </w:p>
        </w:tc>
        <w:tc>
          <w:tcPr>
            <w:tcW w:w="1599" w:type="dxa"/>
            <w:shd w:val="clear" w:color="auto" w:fill="auto"/>
            <w:vAlign w:val="bottom"/>
          </w:tcPr>
          <w:p w14:paraId="5CF6651F" w14:textId="77777777" w:rsidR="00FB33C6" w:rsidRPr="00256982" w:rsidRDefault="00FB33C6" w:rsidP="00823616">
            <w:pPr>
              <w:pStyle w:val="TableText"/>
              <w:spacing w:before="50" w:after="50"/>
              <w:ind w:right="176"/>
              <w:jc w:val="right"/>
              <w:rPr>
                <w:rFonts w:cs="Arial"/>
                <w:color w:val="000000"/>
                <w:szCs w:val="16"/>
              </w:rPr>
            </w:pPr>
            <w:r w:rsidRPr="00256982">
              <w:rPr>
                <w:color w:val="000000"/>
                <w:szCs w:val="22"/>
              </w:rPr>
              <w:t>–</w:t>
            </w:r>
            <w:r w:rsidRPr="00256982">
              <w:rPr>
                <w:rFonts w:cs="Arial"/>
                <w:color w:val="000000"/>
                <w:szCs w:val="16"/>
              </w:rPr>
              <w:t>0.03</w:t>
            </w:r>
          </w:p>
        </w:tc>
        <w:tc>
          <w:tcPr>
            <w:tcW w:w="1379" w:type="dxa"/>
            <w:shd w:val="clear" w:color="auto" w:fill="auto"/>
            <w:vAlign w:val="bottom"/>
          </w:tcPr>
          <w:p w14:paraId="739246CD" w14:textId="77777777" w:rsidR="00FB33C6" w:rsidRPr="00256982" w:rsidRDefault="00FB33C6" w:rsidP="00823616">
            <w:pPr>
              <w:pStyle w:val="TableText"/>
              <w:tabs>
                <w:tab w:val="left" w:pos="1309"/>
              </w:tabs>
              <w:spacing w:before="50" w:after="50"/>
              <w:ind w:right="177"/>
              <w:jc w:val="right"/>
              <w:rPr>
                <w:rFonts w:cs="Arial"/>
                <w:color w:val="000000"/>
                <w:szCs w:val="16"/>
              </w:rPr>
            </w:pPr>
            <w:r w:rsidRPr="00256982">
              <w:rPr>
                <w:color w:val="000000"/>
                <w:szCs w:val="22"/>
              </w:rPr>
              <w:t>–</w:t>
            </w:r>
            <w:r w:rsidRPr="00256982">
              <w:rPr>
                <w:rFonts w:cs="Arial"/>
                <w:color w:val="000000"/>
                <w:szCs w:val="16"/>
              </w:rPr>
              <w:t>35.9</w:t>
            </w:r>
          </w:p>
        </w:tc>
      </w:tr>
      <w:tr w:rsidR="00FB33C6" w:rsidRPr="00256982" w14:paraId="48BA1425" w14:textId="77777777" w:rsidTr="00E605B1">
        <w:tc>
          <w:tcPr>
            <w:tcW w:w="2764" w:type="dxa"/>
            <w:shd w:val="clear" w:color="auto" w:fill="auto"/>
          </w:tcPr>
          <w:p w14:paraId="6BDCD83B" w14:textId="77777777" w:rsidR="00FB33C6" w:rsidRPr="00256982" w:rsidRDefault="00FB33C6" w:rsidP="00823616">
            <w:pPr>
              <w:pStyle w:val="TableText"/>
              <w:spacing w:before="50" w:after="50"/>
              <w:rPr>
                <w:color w:val="000000"/>
                <w:szCs w:val="22"/>
              </w:rPr>
            </w:pPr>
            <w:r w:rsidRPr="00256982">
              <w:rPr>
                <w:color w:val="000000"/>
                <w:szCs w:val="22"/>
              </w:rPr>
              <w:t>HFCs</w:t>
            </w:r>
          </w:p>
        </w:tc>
        <w:tc>
          <w:tcPr>
            <w:tcW w:w="1454" w:type="dxa"/>
            <w:shd w:val="clear" w:color="auto" w:fill="auto"/>
            <w:vAlign w:val="bottom"/>
          </w:tcPr>
          <w:p w14:paraId="1260496C" w14:textId="77777777" w:rsidR="00FB33C6" w:rsidRPr="00256982" w:rsidRDefault="00FB33C6" w:rsidP="00823616">
            <w:pPr>
              <w:pStyle w:val="TableText"/>
              <w:spacing w:before="50" w:after="50"/>
              <w:ind w:right="283"/>
              <w:jc w:val="right"/>
              <w:rPr>
                <w:rFonts w:cs="Arial"/>
                <w:color w:val="000000"/>
                <w:szCs w:val="16"/>
              </w:rPr>
            </w:pPr>
            <w:r w:rsidRPr="00256982">
              <w:rPr>
                <w:rFonts w:cs="Arial"/>
                <w:color w:val="000000"/>
                <w:szCs w:val="16"/>
              </w:rPr>
              <w:t>NO</w:t>
            </w:r>
          </w:p>
        </w:tc>
        <w:tc>
          <w:tcPr>
            <w:tcW w:w="1309" w:type="dxa"/>
            <w:shd w:val="clear" w:color="auto" w:fill="auto"/>
            <w:vAlign w:val="bottom"/>
          </w:tcPr>
          <w:p w14:paraId="12ED5CA0" w14:textId="77777777" w:rsidR="00FB33C6" w:rsidRPr="00256982" w:rsidRDefault="00FB33C6" w:rsidP="00823616">
            <w:pPr>
              <w:pStyle w:val="TableText"/>
              <w:spacing w:before="50" w:after="50"/>
              <w:ind w:right="283"/>
              <w:jc w:val="right"/>
              <w:rPr>
                <w:rFonts w:cs="Arial"/>
                <w:color w:val="000000"/>
                <w:szCs w:val="16"/>
              </w:rPr>
            </w:pPr>
            <w:r w:rsidRPr="00256982">
              <w:rPr>
                <w:rFonts w:cs="Arial"/>
                <w:color w:val="000000"/>
                <w:szCs w:val="16"/>
              </w:rPr>
              <w:t>0.28</w:t>
            </w:r>
          </w:p>
        </w:tc>
        <w:tc>
          <w:tcPr>
            <w:tcW w:w="1599" w:type="dxa"/>
            <w:shd w:val="clear" w:color="auto" w:fill="auto"/>
            <w:vAlign w:val="bottom"/>
          </w:tcPr>
          <w:p w14:paraId="370715EE" w14:textId="77777777" w:rsidR="00FB33C6" w:rsidRPr="00256982" w:rsidRDefault="00FB33C6" w:rsidP="00823616">
            <w:pPr>
              <w:pStyle w:val="TableText"/>
              <w:spacing w:before="50" w:after="50"/>
              <w:ind w:right="176"/>
              <w:jc w:val="right"/>
              <w:rPr>
                <w:rFonts w:cs="Arial"/>
                <w:color w:val="000000"/>
                <w:szCs w:val="16"/>
              </w:rPr>
            </w:pPr>
            <w:r w:rsidRPr="00256982">
              <w:rPr>
                <w:rFonts w:cs="Arial"/>
                <w:color w:val="000000"/>
                <w:szCs w:val="16"/>
              </w:rPr>
              <w:t>0.28</w:t>
            </w:r>
          </w:p>
        </w:tc>
        <w:tc>
          <w:tcPr>
            <w:tcW w:w="1379" w:type="dxa"/>
            <w:shd w:val="clear" w:color="auto" w:fill="auto"/>
            <w:vAlign w:val="center"/>
          </w:tcPr>
          <w:p w14:paraId="25E120F5" w14:textId="77777777" w:rsidR="00FB33C6" w:rsidRPr="00256982" w:rsidRDefault="00FB33C6" w:rsidP="00823616">
            <w:pPr>
              <w:pStyle w:val="TableText"/>
              <w:tabs>
                <w:tab w:val="left" w:pos="1451"/>
              </w:tabs>
              <w:spacing w:before="50" w:after="50"/>
              <w:ind w:right="177"/>
              <w:jc w:val="right"/>
              <w:rPr>
                <w:color w:val="000000"/>
                <w:szCs w:val="22"/>
              </w:rPr>
            </w:pPr>
            <w:r w:rsidRPr="00256982">
              <w:rPr>
                <w:color w:val="000000"/>
                <w:szCs w:val="22"/>
              </w:rPr>
              <w:t>NA</w:t>
            </w:r>
          </w:p>
        </w:tc>
      </w:tr>
      <w:tr w:rsidR="00FB33C6" w:rsidRPr="00256982" w14:paraId="69DDD22E" w14:textId="77777777" w:rsidTr="00E605B1">
        <w:tc>
          <w:tcPr>
            <w:tcW w:w="2764" w:type="dxa"/>
            <w:shd w:val="clear" w:color="auto" w:fill="auto"/>
          </w:tcPr>
          <w:p w14:paraId="25A3B1AD" w14:textId="77777777" w:rsidR="00FB33C6" w:rsidRPr="00256982" w:rsidRDefault="00FB33C6" w:rsidP="00823616">
            <w:pPr>
              <w:pStyle w:val="TableText"/>
              <w:spacing w:before="50" w:after="50"/>
              <w:rPr>
                <w:color w:val="000000"/>
                <w:szCs w:val="22"/>
              </w:rPr>
            </w:pPr>
            <w:r w:rsidRPr="00256982">
              <w:rPr>
                <w:color w:val="000000"/>
                <w:szCs w:val="22"/>
              </w:rPr>
              <w:t>PFCs</w:t>
            </w:r>
          </w:p>
        </w:tc>
        <w:tc>
          <w:tcPr>
            <w:tcW w:w="1454" w:type="dxa"/>
            <w:shd w:val="clear" w:color="auto" w:fill="auto"/>
            <w:vAlign w:val="bottom"/>
          </w:tcPr>
          <w:p w14:paraId="13E3F259" w14:textId="77777777" w:rsidR="00FB33C6" w:rsidRPr="00256982" w:rsidRDefault="00FB33C6" w:rsidP="00823616">
            <w:pPr>
              <w:pStyle w:val="TableText"/>
              <w:spacing w:before="50" w:after="50"/>
              <w:ind w:right="283"/>
              <w:jc w:val="right"/>
              <w:rPr>
                <w:rFonts w:cs="Arial"/>
                <w:color w:val="000000"/>
                <w:szCs w:val="16"/>
              </w:rPr>
            </w:pPr>
            <w:r w:rsidRPr="00256982">
              <w:rPr>
                <w:rFonts w:cs="Arial"/>
                <w:color w:val="000000"/>
                <w:szCs w:val="16"/>
              </w:rPr>
              <w:t>NO</w:t>
            </w:r>
          </w:p>
        </w:tc>
        <w:tc>
          <w:tcPr>
            <w:tcW w:w="1309" w:type="dxa"/>
            <w:shd w:val="clear" w:color="auto" w:fill="auto"/>
            <w:vAlign w:val="bottom"/>
          </w:tcPr>
          <w:p w14:paraId="2AD4F229" w14:textId="77777777" w:rsidR="00FB33C6" w:rsidRPr="00256982" w:rsidRDefault="00FB33C6" w:rsidP="00823616">
            <w:pPr>
              <w:pStyle w:val="TableText"/>
              <w:spacing w:before="50" w:after="50"/>
              <w:ind w:right="283"/>
              <w:jc w:val="right"/>
              <w:rPr>
                <w:rFonts w:cs="Arial"/>
                <w:color w:val="000000"/>
                <w:szCs w:val="16"/>
              </w:rPr>
            </w:pPr>
            <w:r w:rsidRPr="00256982">
              <w:rPr>
                <w:rFonts w:cs="Arial"/>
                <w:color w:val="000000"/>
                <w:szCs w:val="16"/>
              </w:rPr>
              <w:t>NO</w:t>
            </w:r>
          </w:p>
        </w:tc>
        <w:tc>
          <w:tcPr>
            <w:tcW w:w="1599" w:type="dxa"/>
            <w:shd w:val="clear" w:color="auto" w:fill="auto"/>
            <w:vAlign w:val="center"/>
          </w:tcPr>
          <w:p w14:paraId="465AE0B7" w14:textId="77777777" w:rsidR="00FB33C6" w:rsidRPr="00256982" w:rsidRDefault="00FB33C6" w:rsidP="00823616">
            <w:pPr>
              <w:pStyle w:val="TableText"/>
              <w:spacing w:before="50" w:after="50"/>
              <w:ind w:right="317"/>
              <w:jc w:val="right"/>
              <w:rPr>
                <w:color w:val="000000"/>
                <w:szCs w:val="22"/>
              </w:rPr>
            </w:pPr>
            <w:r w:rsidRPr="00256982">
              <w:rPr>
                <w:color w:val="000000"/>
                <w:szCs w:val="22"/>
              </w:rPr>
              <w:t>NA</w:t>
            </w:r>
          </w:p>
        </w:tc>
        <w:tc>
          <w:tcPr>
            <w:tcW w:w="1379" w:type="dxa"/>
            <w:shd w:val="clear" w:color="auto" w:fill="auto"/>
            <w:vAlign w:val="center"/>
          </w:tcPr>
          <w:p w14:paraId="276BB3CF" w14:textId="77777777" w:rsidR="00FB33C6" w:rsidRPr="00256982" w:rsidRDefault="00FB33C6" w:rsidP="00823616">
            <w:pPr>
              <w:pStyle w:val="TableText"/>
              <w:tabs>
                <w:tab w:val="left" w:pos="3152"/>
              </w:tabs>
              <w:spacing w:before="50" w:after="50"/>
              <w:ind w:right="177"/>
              <w:jc w:val="right"/>
              <w:rPr>
                <w:color w:val="000000"/>
                <w:szCs w:val="22"/>
              </w:rPr>
            </w:pPr>
            <w:r w:rsidRPr="00256982">
              <w:rPr>
                <w:color w:val="000000"/>
                <w:szCs w:val="22"/>
              </w:rPr>
              <w:t>NA</w:t>
            </w:r>
          </w:p>
        </w:tc>
      </w:tr>
      <w:tr w:rsidR="00FB33C6" w:rsidRPr="00256982" w14:paraId="4E67000D" w14:textId="77777777" w:rsidTr="00E605B1">
        <w:tc>
          <w:tcPr>
            <w:tcW w:w="2764" w:type="dxa"/>
            <w:shd w:val="clear" w:color="auto" w:fill="auto"/>
          </w:tcPr>
          <w:p w14:paraId="7DD52193" w14:textId="77777777" w:rsidR="00FB33C6" w:rsidRPr="00256982" w:rsidRDefault="00FB33C6" w:rsidP="00823616">
            <w:pPr>
              <w:pStyle w:val="TableText"/>
              <w:spacing w:before="50" w:after="50"/>
              <w:rPr>
                <w:color w:val="000000"/>
                <w:szCs w:val="22"/>
              </w:rPr>
            </w:pPr>
            <w:r w:rsidRPr="00256982">
              <w:rPr>
                <w:color w:val="000000"/>
                <w:szCs w:val="22"/>
              </w:rPr>
              <w:t>SF</w:t>
            </w:r>
            <w:r w:rsidRPr="00256982">
              <w:rPr>
                <w:color w:val="000000"/>
                <w:szCs w:val="16"/>
                <w:vertAlign w:val="subscript"/>
              </w:rPr>
              <w:t>6</w:t>
            </w:r>
          </w:p>
        </w:tc>
        <w:tc>
          <w:tcPr>
            <w:tcW w:w="1454" w:type="dxa"/>
            <w:shd w:val="clear" w:color="auto" w:fill="auto"/>
            <w:vAlign w:val="bottom"/>
          </w:tcPr>
          <w:p w14:paraId="7475EFB2" w14:textId="77777777" w:rsidR="00FB33C6" w:rsidRPr="00256982" w:rsidRDefault="00FB33C6" w:rsidP="00823616">
            <w:pPr>
              <w:pStyle w:val="TableText"/>
              <w:tabs>
                <w:tab w:val="left" w:pos="1313"/>
              </w:tabs>
              <w:spacing w:before="50" w:after="50"/>
              <w:ind w:right="283"/>
              <w:jc w:val="right"/>
              <w:rPr>
                <w:rFonts w:cs="Arial"/>
                <w:color w:val="000000"/>
                <w:szCs w:val="16"/>
              </w:rPr>
            </w:pPr>
            <w:r w:rsidRPr="00256982">
              <w:rPr>
                <w:rFonts w:cs="Arial"/>
                <w:color w:val="000000"/>
                <w:szCs w:val="16"/>
              </w:rPr>
              <w:t>NO</w:t>
            </w:r>
          </w:p>
        </w:tc>
        <w:tc>
          <w:tcPr>
            <w:tcW w:w="1309" w:type="dxa"/>
            <w:shd w:val="clear" w:color="auto" w:fill="auto"/>
            <w:vAlign w:val="bottom"/>
          </w:tcPr>
          <w:p w14:paraId="6B79840F" w14:textId="77777777" w:rsidR="00FB33C6" w:rsidRPr="00256982" w:rsidRDefault="00FB33C6" w:rsidP="00823616">
            <w:pPr>
              <w:pStyle w:val="TableText"/>
              <w:tabs>
                <w:tab w:val="left" w:pos="1313"/>
              </w:tabs>
              <w:spacing w:before="50" w:after="50"/>
              <w:ind w:right="283"/>
              <w:jc w:val="right"/>
              <w:rPr>
                <w:rFonts w:cs="Arial"/>
                <w:color w:val="000000"/>
                <w:szCs w:val="16"/>
              </w:rPr>
            </w:pPr>
            <w:r w:rsidRPr="00256982">
              <w:rPr>
                <w:rFonts w:cs="Arial"/>
                <w:color w:val="000000"/>
                <w:szCs w:val="16"/>
              </w:rPr>
              <w:t>NO</w:t>
            </w:r>
          </w:p>
        </w:tc>
        <w:tc>
          <w:tcPr>
            <w:tcW w:w="1599" w:type="dxa"/>
            <w:shd w:val="clear" w:color="auto" w:fill="auto"/>
            <w:vAlign w:val="center"/>
          </w:tcPr>
          <w:p w14:paraId="2FCC3227" w14:textId="77777777" w:rsidR="00FB33C6" w:rsidRPr="00256982" w:rsidRDefault="00FB33C6" w:rsidP="00823616">
            <w:pPr>
              <w:pStyle w:val="TableText"/>
              <w:tabs>
                <w:tab w:val="left" w:pos="1313"/>
              </w:tabs>
              <w:spacing w:before="50" w:after="50"/>
              <w:ind w:right="317"/>
              <w:jc w:val="right"/>
              <w:rPr>
                <w:color w:val="000000"/>
                <w:szCs w:val="22"/>
              </w:rPr>
            </w:pPr>
            <w:r w:rsidRPr="00256982">
              <w:rPr>
                <w:color w:val="000000"/>
                <w:szCs w:val="22"/>
              </w:rPr>
              <w:t>NA</w:t>
            </w:r>
          </w:p>
        </w:tc>
        <w:tc>
          <w:tcPr>
            <w:tcW w:w="1379" w:type="dxa"/>
            <w:shd w:val="clear" w:color="auto" w:fill="auto"/>
            <w:vAlign w:val="center"/>
          </w:tcPr>
          <w:p w14:paraId="47ACE200" w14:textId="77777777" w:rsidR="00FB33C6" w:rsidRPr="00256982" w:rsidRDefault="00FB33C6" w:rsidP="00823616">
            <w:pPr>
              <w:pStyle w:val="TableText"/>
              <w:tabs>
                <w:tab w:val="left" w:pos="1313"/>
                <w:tab w:val="left" w:pos="3010"/>
              </w:tabs>
              <w:spacing w:before="50" w:after="50"/>
              <w:ind w:right="177"/>
              <w:jc w:val="right"/>
              <w:rPr>
                <w:color w:val="000000"/>
                <w:szCs w:val="22"/>
              </w:rPr>
            </w:pPr>
            <w:r w:rsidRPr="00256982">
              <w:rPr>
                <w:color w:val="000000"/>
                <w:szCs w:val="22"/>
              </w:rPr>
              <w:t>NA</w:t>
            </w:r>
          </w:p>
        </w:tc>
      </w:tr>
      <w:tr w:rsidR="00FB33C6" w:rsidRPr="00256982" w14:paraId="5AEEA129" w14:textId="77777777" w:rsidTr="00E605B1">
        <w:tc>
          <w:tcPr>
            <w:tcW w:w="2764" w:type="dxa"/>
            <w:shd w:val="clear" w:color="auto" w:fill="auto"/>
          </w:tcPr>
          <w:p w14:paraId="6079DBB2" w14:textId="77777777" w:rsidR="00FB33C6" w:rsidRPr="00256982" w:rsidRDefault="00FB33C6" w:rsidP="00823616">
            <w:pPr>
              <w:pStyle w:val="TableText"/>
              <w:spacing w:before="50" w:after="50"/>
              <w:rPr>
                <w:color w:val="000000"/>
                <w:szCs w:val="22"/>
              </w:rPr>
            </w:pPr>
            <w:r w:rsidRPr="00256982">
              <w:rPr>
                <w:color w:val="000000"/>
                <w:szCs w:val="22"/>
              </w:rPr>
              <w:t>NF</w:t>
            </w:r>
            <w:r w:rsidRPr="00256982">
              <w:rPr>
                <w:color w:val="000000"/>
                <w:szCs w:val="22"/>
                <w:vertAlign w:val="subscript"/>
              </w:rPr>
              <w:t>3</w:t>
            </w:r>
          </w:p>
        </w:tc>
        <w:tc>
          <w:tcPr>
            <w:tcW w:w="1454" w:type="dxa"/>
            <w:shd w:val="clear" w:color="auto" w:fill="auto"/>
            <w:vAlign w:val="bottom"/>
          </w:tcPr>
          <w:p w14:paraId="3DEE27DC" w14:textId="77777777" w:rsidR="00FB33C6" w:rsidRPr="00256982" w:rsidRDefault="00FB33C6" w:rsidP="00823616">
            <w:pPr>
              <w:pStyle w:val="TableText"/>
              <w:tabs>
                <w:tab w:val="left" w:pos="1313"/>
              </w:tabs>
              <w:spacing w:before="50" w:after="50"/>
              <w:ind w:right="283"/>
              <w:jc w:val="right"/>
              <w:rPr>
                <w:rFonts w:cs="Arial"/>
                <w:color w:val="000000"/>
                <w:szCs w:val="16"/>
              </w:rPr>
            </w:pPr>
            <w:r w:rsidRPr="00256982">
              <w:rPr>
                <w:rFonts w:cs="Arial"/>
                <w:color w:val="000000"/>
                <w:szCs w:val="16"/>
              </w:rPr>
              <w:t>NO</w:t>
            </w:r>
          </w:p>
        </w:tc>
        <w:tc>
          <w:tcPr>
            <w:tcW w:w="1309" w:type="dxa"/>
            <w:shd w:val="clear" w:color="auto" w:fill="auto"/>
            <w:vAlign w:val="bottom"/>
          </w:tcPr>
          <w:p w14:paraId="747C07D9" w14:textId="77777777" w:rsidR="00FB33C6" w:rsidRPr="00256982" w:rsidRDefault="00FB33C6" w:rsidP="00823616">
            <w:pPr>
              <w:pStyle w:val="TableText"/>
              <w:tabs>
                <w:tab w:val="left" w:pos="1313"/>
              </w:tabs>
              <w:spacing w:before="50" w:after="50"/>
              <w:ind w:right="283"/>
              <w:jc w:val="right"/>
              <w:rPr>
                <w:rFonts w:cs="Arial"/>
                <w:color w:val="000000"/>
                <w:szCs w:val="16"/>
              </w:rPr>
            </w:pPr>
            <w:r w:rsidRPr="00256982">
              <w:rPr>
                <w:rFonts w:cs="Arial"/>
                <w:color w:val="000000"/>
                <w:szCs w:val="16"/>
              </w:rPr>
              <w:t>NO</w:t>
            </w:r>
          </w:p>
        </w:tc>
        <w:tc>
          <w:tcPr>
            <w:tcW w:w="1599" w:type="dxa"/>
            <w:shd w:val="clear" w:color="auto" w:fill="auto"/>
            <w:vAlign w:val="center"/>
          </w:tcPr>
          <w:p w14:paraId="5546035F" w14:textId="77777777" w:rsidR="00FB33C6" w:rsidRPr="00256982" w:rsidRDefault="00FB33C6" w:rsidP="00823616">
            <w:pPr>
              <w:pStyle w:val="TableText"/>
              <w:tabs>
                <w:tab w:val="left" w:pos="1313"/>
              </w:tabs>
              <w:spacing w:before="50" w:after="50"/>
              <w:ind w:right="317"/>
              <w:jc w:val="right"/>
              <w:rPr>
                <w:color w:val="000000"/>
                <w:szCs w:val="22"/>
              </w:rPr>
            </w:pPr>
            <w:r w:rsidRPr="00256982">
              <w:rPr>
                <w:color w:val="000000"/>
                <w:szCs w:val="22"/>
              </w:rPr>
              <w:t>NA</w:t>
            </w:r>
          </w:p>
        </w:tc>
        <w:tc>
          <w:tcPr>
            <w:tcW w:w="1379" w:type="dxa"/>
            <w:shd w:val="clear" w:color="auto" w:fill="auto"/>
            <w:vAlign w:val="center"/>
          </w:tcPr>
          <w:p w14:paraId="79FC30F2" w14:textId="77777777" w:rsidR="00FB33C6" w:rsidRPr="00256982" w:rsidRDefault="00FB33C6" w:rsidP="00823616">
            <w:pPr>
              <w:pStyle w:val="TableText"/>
              <w:tabs>
                <w:tab w:val="left" w:pos="1313"/>
                <w:tab w:val="left" w:pos="3010"/>
              </w:tabs>
              <w:spacing w:before="50" w:after="50"/>
              <w:ind w:right="177"/>
              <w:jc w:val="right"/>
              <w:rPr>
                <w:color w:val="000000"/>
                <w:szCs w:val="22"/>
              </w:rPr>
            </w:pPr>
            <w:r w:rsidRPr="00256982">
              <w:rPr>
                <w:color w:val="000000"/>
                <w:szCs w:val="22"/>
              </w:rPr>
              <w:t>NA</w:t>
            </w:r>
          </w:p>
        </w:tc>
      </w:tr>
      <w:tr w:rsidR="00FB33C6" w:rsidRPr="00256982" w14:paraId="56A207CD" w14:textId="77777777" w:rsidTr="00E605B1">
        <w:tc>
          <w:tcPr>
            <w:tcW w:w="2764" w:type="dxa"/>
            <w:shd w:val="clear" w:color="auto" w:fill="auto"/>
          </w:tcPr>
          <w:p w14:paraId="0FA97571" w14:textId="77777777" w:rsidR="00FB33C6" w:rsidRPr="00256982" w:rsidRDefault="00FB33C6" w:rsidP="00823616">
            <w:pPr>
              <w:pStyle w:val="Tableboldblue"/>
            </w:pPr>
            <w:r w:rsidRPr="00256982">
              <w:t>Gross, all gases</w:t>
            </w:r>
          </w:p>
        </w:tc>
        <w:tc>
          <w:tcPr>
            <w:tcW w:w="1454" w:type="dxa"/>
            <w:shd w:val="clear" w:color="auto" w:fill="auto"/>
            <w:vAlign w:val="center"/>
          </w:tcPr>
          <w:p w14:paraId="730B37D4" w14:textId="77777777" w:rsidR="00FB33C6" w:rsidRPr="00256982" w:rsidRDefault="00FB33C6" w:rsidP="00823616">
            <w:pPr>
              <w:pStyle w:val="Tableboldblue"/>
              <w:tabs>
                <w:tab w:val="left" w:pos="1313"/>
              </w:tabs>
              <w:ind w:right="283"/>
              <w:jc w:val="right"/>
            </w:pPr>
            <w:r w:rsidRPr="00256982">
              <w:t>3.64</w:t>
            </w:r>
          </w:p>
        </w:tc>
        <w:tc>
          <w:tcPr>
            <w:tcW w:w="1309" w:type="dxa"/>
            <w:shd w:val="clear" w:color="auto" w:fill="auto"/>
            <w:vAlign w:val="center"/>
          </w:tcPr>
          <w:p w14:paraId="1069C0AC" w14:textId="77777777" w:rsidR="00FB33C6" w:rsidRPr="00256982" w:rsidRDefault="00FB33C6" w:rsidP="00823616">
            <w:pPr>
              <w:pStyle w:val="Tableboldblue"/>
              <w:tabs>
                <w:tab w:val="left" w:pos="1313"/>
              </w:tabs>
              <w:ind w:right="283"/>
              <w:jc w:val="right"/>
            </w:pPr>
            <w:r w:rsidRPr="00256982">
              <w:t>2.86</w:t>
            </w:r>
          </w:p>
        </w:tc>
        <w:tc>
          <w:tcPr>
            <w:tcW w:w="1599" w:type="dxa"/>
            <w:shd w:val="clear" w:color="auto" w:fill="auto"/>
            <w:vAlign w:val="center"/>
          </w:tcPr>
          <w:p w14:paraId="44113551" w14:textId="77777777" w:rsidR="00FB33C6" w:rsidRPr="00256982" w:rsidRDefault="00FB33C6" w:rsidP="00823616">
            <w:pPr>
              <w:pStyle w:val="Tableboldblue"/>
              <w:tabs>
                <w:tab w:val="left" w:pos="1313"/>
                <w:tab w:val="left" w:pos="1720"/>
              </w:tabs>
              <w:ind w:right="283"/>
              <w:jc w:val="right"/>
            </w:pPr>
            <w:r w:rsidRPr="00256982">
              <w:t>–</w:t>
            </w:r>
            <w:r w:rsidRPr="00256982">
              <w:rPr>
                <w:rFonts w:cs="Arial"/>
                <w:szCs w:val="16"/>
              </w:rPr>
              <w:t>0.78</w:t>
            </w:r>
          </w:p>
        </w:tc>
        <w:tc>
          <w:tcPr>
            <w:tcW w:w="1379" w:type="dxa"/>
            <w:shd w:val="clear" w:color="auto" w:fill="auto"/>
            <w:vAlign w:val="center"/>
          </w:tcPr>
          <w:p w14:paraId="63372C0E" w14:textId="77777777" w:rsidR="00FB33C6" w:rsidRPr="00256982" w:rsidRDefault="00FB33C6" w:rsidP="00823616">
            <w:pPr>
              <w:pStyle w:val="Tableboldblue"/>
              <w:tabs>
                <w:tab w:val="left" w:pos="1313"/>
                <w:tab w:val="left" w:pos="1451"/>
              </w:tabs>
              <w:ind w:right="177"/>
              <w:jc w:val="right"/>
            </w:pPr>
            <w:r w:rsidRPr="00256982">
              <w:t>–</w:t>
            </w:r>
            <w:r w:rsidRPr="00256982">
              <w:rPr>
                <w:rFonts w:cs="Arial"/>
                <w:szCs w:val="16"/>
              </w:rPr>
              <w:t>21.3</w:t>
            </w:r>
          </w:p>
        </w:tc>
      </w:tr>
    </w:tbl>
    <w:p w14:paraId="211220D6" w14:textId="77777777" w:rsidR="00FB33C6" w:rsidRPr="00256982" w:rsidRDefault="00FB33C6" w:rsidP="00FB33C6">
      <w:pPr>
        <w:pStyle w:val="Noteundertable"/>
      </w:pPr>
      <w:r w:rsidRPr="00256982">
        <w:rPr>
          <w:b/>
        </w:rPr>
        <w:t xml:space="preserve">Note: </w:t>
      </w:r>
      <w:r w:rsidRPr="00256982">
        <w:rPr>
          <w:b/>
        </w:rPr>
        <w:tab/>
      </w:r>
      <w:r w:rsidRPr="00256982">
        <w:t>Gross emissions exclude net removals from the LULUCF sector. The per cent change for HFCs is not applicable (NA) because HFC production or use was not occurring (NO) in 1990. Columns may not total due to rounding. Presented percentages are calculated from unrounded values.</w:t>
      </w:r>
    </w:p>
    <w:p w14:paraId="4F8271A8" w14:textId="5683DD61" w:rsidR="00FB33C6" w:rsidRPr="00256982" w:rsidRDefault="00FB33C6" w:rsidP="00FB33C6">
      <w:pPr>
        <w:pStyle w:val="Heading4"/>
        <w:rPr>
          <w:rFonts w:ascii="Times New Roman" w:hAnsi="Times New Roman"/>
          <w:b w:val="0"/>
          <w:color w:val="auto"/>
        </w:rPr>
      </w:pPr>
      <w:r w:rsidRPr="00256982">
        <w:rPr>
          <w:rFonts w:ascii="Times New Roman" w:hAnsi="Times New Roman"/>
          <w:b w:val="0"/>
          <w:color w:val="auto"/>
        </w:rPr>
        <w:t>Emission categories from Tokelau have been included in the key category analysis</w:t>
      </w:r>
      <w:r w:rsidR="00E605B1" w:rsidRPr="00256982">
        <w:rPr>
          <w:rFonts w:ascii="Times New Roman" w:hAnsi="Times New Roman"/>
          <w:b w:val="0"/>
          <w:color w:val="auto"/>
        </w:rPr>
        <w:t>,</w:t>
      </w:r>
      <w:r w:rsidRPr="00256982">
        <w:rPr>
          <w:rFonts w:ascii="Times New Roman" w:hAnsi="Times New Roman"/>
          <w:b w:val="0"/>
          <w:color w:val="auto"/>
        </w:rPr>
        <w:t xml:space="preserve"> along with all categories reported in New Zealand’s inventory. None of emi</w:t>
      </w:r>
      <w:r w:rsidR="00E605B1" w:rsidRPr="00256982">
        <w:rPr>
          <w:rFonts w:ascii="Times New Roman" w:hAnsi="Times New Roman"/>
          <w:b w:val="0"/>
          <w:color w:val="auto"/>
        </w:rPr>
        <w:t>ssions category from Tokelau was</w:t>
      </w:r>
      <w:r w:rsidRPr="00256982">
        <w:rPr>
          <w:rFonts w:ascii="Times New Roman" w:hAnsi="Times New Roman"/>
          <w:b w:val="0"/>
          <w:color w:val="auto"/>
        </w:rPr>
        <w:t xml:space="preserve"> identified as a key either (either level or trend) in </w:t>
      </w:r>
      <w:r w:rsidR="00E605B1" w:rsidRPr="00256982">
        <w:rPr>
          <w:rFonts w:ascii="Times New Roman" w:hAnsi="Times New Roman"/>
          <w:b w:val="0"/>
          <w:color w:val="auto"/>
        </w:rPr>
        <w:t xml:space="preserve">the </w:t>
      </w:r>
      <w:r w:rsidRPr="00256982">
        <w:rPr>
          <w:rFonts w:ascii="Times New Roman" w:hAnsi="Times New Roman"/>
          <w:b w:val="0"/>
          <w:color w:val="auto"/>
        </w:rPr>
        <w:t>2019 submission.</w:t>
      </w:r>
    </w:p>
    <w:p w14:paraId="5A4F118C" w14:textId="77777777" w:rsidR="00FB33C6" w:rsidRPr="00256982" w:rsidRDefault="00FB33C6" w:rsidP="009C13DB">
      <w:pPr>
        <w:pStyle w:val="Heading4"/>
      </w:pPr>
      <w:r w:rsidRPr="00256982">
        <w:t>Methodological issues</w:t>
      </w:r>
    </w:p>
    <w:p w14:paraId="266107B2" w14:textId="77777777" w:rsidR="00FB33C6" w:rsidRPr="00256982" w:rsidRDefault="00FB33C6" w:rsidP="00FB33C6">
      <w:pPr>
        <w:pStyle w:val="Heading5"/>
      </w:pPr>
      <w:r w:rsidRPr="00256982">
        <w:t>Methods and emission factors</w:t>
      </w:r>
    </w:p>
    <w:p w14:paraId="7370F75A" w14:textId="77777777" w:rsidR="00FB33C6" w:rsidRPr="00256982" w:rsidRDefault="00FB33C6" w:rsidP="00FB33C6">
      <w:pPr>
        <w:pStyle w:val="BodyText"/>
      </w:pPr>
      <w:r w:rsidRPr="00256982">
        <w:t xml:space="preserve">Tokelau is making its first steps in GHG inventory reporting and has just started building its inventory capacity. Consequently, Tier 1 methodological approaches with default emission factors were used for estimating emissions from all Tokelau source categories. </w:t>
      </w:r>
    </w:p>
    <w:p w14:paraId="4FCE20AB" w14:textId="77777777" w:rsidR="00FB33C6" w:rsidRPr="00256982" w:rsidRDefault="00FB33C6" w:rsidP="00FB33C6">
      <w:pPr>
        <w:pStyle w:val="BodyText"/>
      </w:pPr>
      <w:r w:rsidRPr="00256982">
        <w:t xml:space="preserve">Tokelau is in a different climate zone from New Zealand and has a different lifestyle and technologies. There are also differences in the scale of operations, especially in the Agriculture sector, that do not allow applying New Zealand’s definition of a farm to Tokelau. For estimating emissions from Tokelau, wherever possible, the 2006 IPCC default emission factors for Oceania with a warm climate are used, whereas New Zealand uses default emission factors associated with a temperate climate. </w:t>
      </w:r>
    </w:p>
    <w:p w14:paraId="31C82C65" w14:textId="77777777" w:rsidR="00FB33C6" w:rsidRPr="00256982" w:rsidRDefault="00FB33C6" w:rsidP="00FB33C6">
      <w:pPr>
        <w:pStyle w:val="BodyText"/>
      </w:pPr>
      <w:r w:rsidRPr="00256982">
        <w:t>The calorific values for fuels used for Tokelau are also different from those used for New Zealand because those fuels are coming from different sources. Relevant emission factors used for estimating emissions and references to the methods are included in sections 8.2 to 8.5 dedicated to the inventory sectors reported by Tokelau.</w:t>
      </w:r>
    </w:p>
    <w:p w14:paraId="675BE439" w14:textId="77777777" w:rsidR="00FB33C6" w:rsidRPr="00256982" w:rsidRDefault="00FB33C6" w:rsidP="00FB33C6">
      <w:pPr>
        <w:pStyle w:val="Heading5"/>
      </w:pPr>
      <w:r w:rsidRPr="00256982">
        <w:t>Activity data</w:t>
      </w:r>
    </w:p>
    <w:p w14:paraId="4B4F4E20" w14:textId="77777777" w:rsidR="00FB33C6" w:rsidRPr="00256982" w:rsidRDefault="00FB33C6" w:rsidP="00FB33C6">
      <w:pPr>
        <w:pStyle w:val="BodyText"/>
      </w:pPr>
      <w:r w:rsidRPr="00256982">
        <w:t xml:space="preserve">The Tokelau National Statistics Office collects and processes activity data from Tokelau for inventory preparation. Table 8.1.2 contains the key sources of the activity data from Tokelau used in the GHG inventory. </w:t>
      </w:r>
    </w:p>
    <w:p w14:paraId="3C74FF49" w14:textId="77777777" w:rsidR="00FB33C6" w:rsidRPr="00256982" w:rsidRDefault="00FB33C6" w:rsidP="00FB33C6">
      <w:pPr>
        <w:pStyle w:val="Table"/>
      </w:pPr>
      <w:bookmarkStart w:id="2458" w:name="_Toc5269595"/>
      <w:r w:rsidRPr="00256982">
        <w:t>Table 8.1.2</w:t>
      </w:r>
      <w:r w:rsidRPr="00256982">
        <w:tab/>
        <w:t>Key sources for activity data in Tokelau</w:t>
      </w:r>
      <w:bookmarkEnd w:id="2458"/>
    </w:p>
    <w:tbl>
      <w:tblPr>
        <w:tblW w:w="8505" w:type="dxa"/>
        <w:tblInd w:w="108" w:type="dxa"/>
        <w:tblBorders>
          <w:top w:val="single" w:sz="4" w:space="0" w:color="365F91"/>
          <w:bottom w:val="single" w:sz="4" w:space="0" w:color="365F91"/>
          <w:insideH w:val="single" w:sz="4" w:space="0" w:color="365F91"/>
        </w:tblBorders>
        <w:tblLayout w:type="fixed"/>
        <w:tblCellMar>
          <w:left w:w="85" w:type="dxa"/>
          <w:right w:w="85" w:type="dxa"/>
        </w:tblCellMar>
        <w:tblLook w:val="04A0" w:firstRow="1" w:lastRow="0" w:firstColumn="1" w:lastColumn="0" w:noHBand="0" w:noVBand="1"/>
      </w:tblPr>
      <w:tblGrid>
        <w:gridCol w:w="686"/>
        <w:gridCol w:w="1418"/>
        <w:gridCol w:w="2551"/>
        <w:gridCol w:w="3850"/>
      </w:tblGrid>
      <w:tr w:rsidR="00FB33C6" w:rsidRPr="00256982" w14:paraId="4C957A67" w14:textId="77777777" w:rsidTr="00823616">
        <w:trPr>
          <w:tblHeader/>
        </w:trPr>
        <w:tc>
          <w:tcPr>
            <w:tcW w:w="686" w:type="dxa"/>
            <w:shd w:val="clear" w:color="auto" w:fill="365F91"/>
            <w:vAlign w:val="bottom"/>
          </w:tcPr>
          <w:p w14:paraId="6F726F4E" w14:textId="77777777" w:rsidR="00FB33C6" w:rsidRPr="00256982" w:rsidRDefault="00FB33C6" w:rsidP="00823616">
            <w:pPr>
              <w:pStyle w:val="TableTextBold"/>
              <w:rPr>
                <w:rFonts w:eastAsia="Calibri"/>
                <w:bCs/>
                <w:noProof w:val="0"/>
                <w:color w:val="FFFFFF"/>
                <w:szCs w:val="22"/>
              </w:rPr>
            </w:pPr>
            <w:r w:rsidRPr="00256982">
              <w:rPr>
                <w:rFonts w:eastAsia="Calibri"/>
                <w:bCs/>
                <w:noProof w:val="0"/>
                <w:color w:val="FFFFFF"/>
                <w:szCs w:val="22"/>
              </w:rPr>
              <w:t>Item</w:t>
            </w:r>
          </w:p>
        </w:tc>
        <w:tc>
          <w:tcPr>
            <w:tcW w:w="1418" w:type="dxa"/>
            <w:shd w:val="clear" w:color="auto" w:fill="365F91"/>
            <w:vAlign w:val="bottom"/>
          </w:tcPr>
          <w:p w14:paraId="1424F0BC" w14:textId="77777777" w:rsidR="00FB33C6" w:rsidRPr="00256982" w:rsidRDefault="00FB33C6" w:rsidP="00823616">
            <w:pPr>
              <w:pStyle w:val="TableTextBold"/>
              <w:rPr>
                <w:rFonts w:eastAsia="Calibri"/>
                <w:bCs/>
                <w:noProof w:val="0"/>
                <w:color w:val="FFFFFF"/>
                <w:szCs w:val="22"/>
              </w:rPr>
            </w:pPr>
            <w:r w:rsidRPr="00256982">
              <w:rPr>
                <w:rFonts w:eastAsia="Calibri"/>
                <w:bCs/>
                <w:noProof w:val="0"/>
                <w:color w:val="FFFFFF"/>
                <w:szCs w:val="22"/>
              </w:rPr>
              <w:t>Name/ abbreviation</w:t>
            </w:r>
          </w:p>
        </w:tc>
        <w:tc>
          <w:tcPr>
            <w:tcW w:w="2551" w:type="dxa"/>
            <w:shd w:val="clear" w:color="auto" w:fill="365F91"/>
            <w:vAlign w:val="bottom"/>
          </w:tcPr>
          <w:p w14:paraId="68341743" w14:textId="77777777" w:rsidR="00FB33C6" w:rsidRPr="00256982" w:rsidRDefault="00FB33C6" w:rsidP="00823616">
            <w:pPr>
              <w:pStyle w:val="TableTextBold"/>
              <w:rPr>
                <w:rFonts w:eastAsia="Calibri"/>
                <w:bCs/>
                <w:noProof w:val="0"/>
                <w:color w:val="FFFFFF"/>
                <w:szCs w:val="22"/>
              </w:rPr>
            </w:pPr>
            <w:r w:rsidRPr="00256982">
              <w:rPr>
                <w:rFonts w:eastAsia="Calibri"/>
                <w:bCs/>
                <w:noProof w:val="0"/>
                <w:color w:val="FFFFFF"/>
                <w:szCs w:val="22"/>
              </w:rPr>
              <w:t>Explanation</w:t>
            </w:r>
          </w:p>
        </w:tc>
        <w:tc>
          <w:tcPr>
            <w:tcW w:w="3850" w:type="dxa"/>
            <w:shd w:val="clear" w:color="auto" w:fill="365F91"/>
            <w:vAlign w:val="bottom"/>
          </w:tcPr>
          <w:p w14:paraId="316D63AC" w14:textId="77777777" w:rsidR="00FB33C6" w:rsidRPr="00256982" w:rsidRDefault="00FB33C6" w:rsidP="00823616">
            <w:pPr>
              <w:pStyle w:val="TableTextBold"/>
              <w:rPr>
                <w:rFonts w:eastAsia="Calibri"/>
                <w:bCs/>
                <w:noProof w:val="0"/>
                <w:color w:val="FFFFFF"/>
                <w:szCs w:val="22"/>
              </w:rPr>
            </w:pPr>
            <w:r w:rsidRPr="00256982">
              <w:rPr>
                <w:rFonts w:eastAsia="Calibri"/>
                <w:bCs/>
                <w:noProof w:val="0"/>
                <w:color w:val="FFFFFF"/>
                <w:szCs w:val="22"/>
              </w:rPr>
              <w:t>Used where</w:t>
            </w:r>
          </w:p>
        </w:tc>
      </w:tr>
      <w:tr w:rsidR="00FB33C6" w:rsidRPr="00256982" w14:paraId="5E3783BB" w14:textId="77777777" w:rsidTr="00823616">
        <w:tc>
          <w:tcPr>
            <w:tcW w:w="686" w:type="dxa"/>
            <w:shd w:val="clear" w:color="auto" w:fill="FFFFFF"/>
          </w:tcPr>
          <w:p w14:paraId="1D858EBF" w14:textId="77777777" w:rsidR="00FB33C6" w:rsidRPr="00256982" w:rsidRDefault="00FB33C6" w:rsidP="00823616">
            <w:pPr>
              <w:pStyle w:val="TableText"/>
              <w:rPr>
                <w:rFonts w:eastAsia="Calibri"/>
                <w:b/>
                <w:bCs/>
                <w:szCs w:val="22"/>
              </w:rPr>
            </w:pPr>
            <w:r w:rsidRPr="00256982">
              <w:rPr>
                <w:rFonts w:eastAsia="Calibri"/>
                <w:b/>
                <w:bCs/>
                <w:szCs w:val="22"/>
              </w:rPr>
              <w:t>1</w:t>
            </w:r>
          </w:p>
        </w:tc>
        <w:tc>
          <w:tcPr>
            <w:tcW w:w="1418" w:type="dxa"/>
            <w:shd w:val="clear" w:color="auto" w:fill="auto"/>
          </w:tcPr>
          <w:p w14:paraId="27C1FA3F" w14:textId="77777777" w:rsidR="00FB33C6" w:rsidRPr="00256982" w:rsidRDefault="00FB33C6" w:rsidP="00823616">
            <w:pPr>
              <w:pStyle w:val="TableText"/>
              <w:rPr>
                <w:rFonts w:eastAsia="Calibri"/>
                <w:szCs w:val="22"/>
              </w:rPr>
            </w:pPr>
            <w:r w:rsidRPr="00256982">
              <w:rPr>
                <w:rFonts w:eastAsia="Calibri"/>
                <w:szCs w:val="22"/>
              </w:rPr>
              <w:t>Census</w:t>
            </w:r>
          </w:p>
        </w:tc>
        <w:tc>
          <w:tcPr>
            <w:tcW w:w="2551" w:type="dxa"/>
            <w:shd w:val="clear" w:color="auto" w:fill="auto"/>
          </w:tcPr>
          <w:p w14:paraId="57AA19F4" w14:textId="77777777" w:rsidR="00FB33C6" w:rsidRPr="00256982" w:rsidRDefault="00FB33C6" w:rsidP="00823616">
            <w:pPr>
              <w:pStyle w:val="TableText"/>
              <w:spacing w:after="0"/>
              <w:rPr>
                <w:rFonts w:eastAsia="Calibri"/>
                <w:szCs w:val="22"/>
              </w:rPr>
            </w:pPr>
            <w:r w:rsidRPr="00256982">
              <w:rPr>
                <w:rFonts w:eastAsia="Calibri"/>
                <w:szCs w:val="22"/>
              </w:rPr>
              <w:t>Tokelau Census of Population and Dwellings 2006, 2011, 2016</w:t>
            </w:r>
          </w:p>
          <w:p w14:paraId="33B28207" w14:textId="77777777" w:rsidR="00FB33C6" w:rsidRPr="00256982" w:rsidRDefault="00FB33C6" w:rsidP="00823616">
            <w:pPr>
              <w:pStyle w:val="TableText"/>
              <w:rPr>
                <w:rFonts w:eastAsia="Calibri"/>
                <w:szCs w:val="22"/>
              </w:rPr>
            </w:pPr>
            <w:r w:rsidRPr="00256982">
              <w:rPr>
                <w:rFonts w:eastAsia="Calibri"/>
                <w:szCs w:val="22"/>
              </w:rPr>
              <w:t>www.tinyurl.com/TokelauCensus</w:t>
            </w:r>
          </w:p>
        </w:tc>
        <w:tc>
          <w:tcPr>
            <w:tcW w:w="3850" w:type="dxa"/>
            <w:shd w:val="clear" w:color="auto" w:fill="auto"/>
          </w:tcPr>
          <w:p w14:paraId="62331EF5" w14:textId="77777777" w:rsidR="00FB33C6" w:rsidRPr="00256982" w:rsidRDefault="00FB33C6" w:rsidP="00823616">
            <w:pPr>
              <w:pStyle w:val="TableText"/>
              <w:rPr>
                <w:rFonts w:eastAsia="Calibri"/>
                <w:szCs w:val="22"/>
              </w:rPr>
            </w:pPr>
            <w:r w:rsidRPr="00256982">
              <w:rPr>
                <w:rFonts w:eastAsia="Calibri"/>
                <w:szCs w:val="22"/>
              </w:rPr>
              <w:t>Census data; interpolations for populations of people and livestock; solid and water waste disposal (flush toilets), number of private aluminium boats/outboard motors, home appliances</w:t>
            </w:r>
          </w:p>
        </w:tc>
      </w:tr>
      <w:tr w:rsidR="00FB33C6" w:rsidRPr="00256982" w14:paraId="15808EE2" w14:textId="77777777" w:rsidTr="00823616">
        <w:tc>
          <w:tcPr>
            <w:tcW w:w="686" w:type="dxa"/>
            <w:shd w:val="clear" w:color="auto" w:fill="FFFFFF"/>
          </w:tcPr>
          <w:p w14:paraId="12C577E6" w14:textId="77777777" w:rsidR="00FB33C6" w:rsidRPr="00256982" w:rsidRDefault="00FB33C6" w:rsidP="00823616">
            <w:pPr>
              <w:pStyle w:val="TableText"/>
              <w:rPr>
                <w:rFonts w:eastAsia="Calibri"/>
                <w:b/>
                <w:bCs/>
                <w:szCs w:val="22"/>
              </w:rPr>
            </w:pPr>
            <w:r w:rsidRPr="00256982">
              <w:rPr>
                <w:rFonts w:eastAsia="Calibri"/>
                <w:b/>
                <w:bCs/>
                <w:szCs w:val="22"/>
              </w:rPr>
              <w:t>2</w:t>
            </w:r>
          </w:p>
        </w:tc>
        <w:tc>
          <w:tcPr>
            <w:tcW w:w="1418" w:type="dxa"/>
            <w:shd w:val="clear" w:color="auto" w:fill="auto"/>
          </w:tcPr>
          <w:p w14:paraId="3C9579AA" w14:textId="77777777" w:rsidR="00FB33C6" w:rsidRPr="00256982" w:rsidRDefault="00FB33C6" w:rsidP="00823616">
            <w:pPr>
              <w:pStyle w:val="TableText"/>
              <w:rPr>
                <w:rFonts w:eastAsia="Calibri"/>
                <w:szCs w:val="22"/>
              </w:rPr>
            </w:pPr>
            <w:r w:rsidRPr="00256982">
              <w:rPr>
                <w:rFonts w:eastAsia="Calibri"/>
                <w:szCs w:val="22"/>
              </w:rPr>
              <w:t>Archives NZ</w:t>
            </w:r>
          </w:p>
        </w:tc>
        <w:tc>
          <w:tcPr>
            <w:tcW w:w="2551" w:type="dxa"/>
            <w:shd w:val="clear" w:color="auto" w:fill="auto"/>
          </w:tcPr>
          <w:p w14:paraId="4D6930B2" w14:textId="77777777" w:rsidR="00FB33C6" w:rsidRPr="00256982" w:rsidRDefault="00FB33C6" w:rsidP="00823616">
            <w:pPr>
              <w:pStyle w:val="TableText"/>
              <w:rPr>
                <w:rFonts w:eastAsia="Calibri"/>
                <w:szCs w:val="22"/>
              </w:rPr>
            </w:pPr>
            <w:r w:rsidRPr="00256982">
              <w:rPr>
                <w:rFonts w:eastAsia="Calibri"/>
                <w:szCs w:val="22"/>
              </w:rPr>
              <w:t>Archives New Zealand, Wellington</w:t>
            </w:r>
          </w:p>
        </w:tc>
        <w:tc>
          <w:tcPr>
            <w:tcW w:w="3850" w:type="dxa"/>
            <w:shd w:val="clear" w:color="auto" w:fill="auto"/>
          </w:tcPr>
          <w:p w14:paraId="577DF082" w14:textId="77777777" w:rsidR="00FB33C6" w:rsidRPr="00256982" w:rsidRDefault="00FB33C6" w:rsidP="00823616">
            <w:pPr>
              <w:pStyle w:val="TableText"/>
              <w:rPr>
                <w:rFonts w:eastAsia="Calibri"/>
                <w:szCs w:val="22"/>
              </w:rPr>
            </w:pPr>
            <w:r w:rsidRPr="00256982">
              <w:rPr>
                <w:rFonts w:eastAsia="Calibri"/>
                <w:szCs w:val="22"/>
              </w:rPr>
              <w:t>Historic Census records going back to 1990, mostly at five-year intervals (TNSO collation and analysis)</w:t>
            </w:r>
          </w:p>
        </w:tc>
      </w:tr>
      <w:tr w:rsidR="00FB33C6" w:rsidRPr="00256982" w14:paraId="5AF12B23" w14:textId="77777777" w:rsidTr="00823616">
        <w:tc>
          <w:tcPr>
            <w:tcW w:w="686" w:type="dxa"/>
            <w:shd w:val="clear" w:color="auto" w:fill="FFFFFF"/>
          </w:tcPr>
          <w:p w14:paraId="7FF63DE7" w14:textId="77777777" w:rsidR="00FB33C6" w:rsidRPr="00256982" w:rsidRDefault="00FB33C6" w:rsidP="00823616">
            <w:pPr>
              <w:pStyle w:val="TableText"/>
              <w:rPr>
                <w:rFonts w:eastAsia="Calibri"/>
                <w:b/>
                <w:bCs/>
                <w:szCs w:val="22"/>
              </w:rPr>
            </w:pPr>
            <w:r w:rsidRPr="00256982">
              <w:rPr>
                <w:rFonts w:eastAsia="Calibri"/>
                <w:b/>
                <w:bCs/>
                <w:szCs w:val="22"/>
              </w:rPr>
              <w:t>3</w:t>
            </w:r>
          </w:p>
        </w:tc>
        <w:tc>
          <w:tcPr>
            <w:tcW w:w="1418" w:type="dxa"/>
            <w:shd w:val="clear" w:color="auto" w:fill="auto"/>
          </w:tcPr>
          <w:p w14:paraId="24B1C3E6" w14:textId="77777777" w:rsidR="00FB33C6" w:rsidRPr="00256982" w:rsidRDefault="00FB33C6" w:rsidP="00823616">
            <w:pPr>
              <w:pStyle w:val="TableText"/>
              <w:rPr>
                <w:rFonts w:eastAsia="Calibri"/>
                <w:szCs w:val="22"/>
              </w:rPr>
            </w:pPr>
            <w:r w:rsidRPr="00256982">
              <w:rPr>
                <w:rFonts w:eastAsia="Calibri"/>
                <w:szCs w:val="22"/>
              </w:rPr>
              <w:t>HIES</w:t>
            </w:r>
          </w:p>
        </w:tc>
        <w:tc>
          <w:tcPr>
            <w:tcW w:w="2551" w:type="dxa"/>
            <w:shd w:val="clear" w:color="auto" w:fill="auto"/>
          </w:tcPr>
          <w:p w14:paraId="52B5277E" w14:textId="77777777" w:rsidR="00FB33C6" w:rsidRPr="00256982" w:rsidRDefault="00FB33C6" w:rsidP="009C13DB">
            <w:pPr>
              <w:pStyle w:val="TableText"/>
              <w:spacing w:after="0"/>
              <w:rPr>
                <w:rFonts w:eastAsia="Calibri"/>
              </w:rPr>
            </w:pPr>
            <w:r w:rsidRPr="00256982">
              <w:rPr>
                <w:rFonts w:eastAsia="Calibri"/>
              </w:rPr>
              <w:t>Tokelau Household Income and Expenditure Survey 2015/16</w:t>
            </w:r>
          </w:p>
          <w:p w14:paraId="0AB8FDEB" w14:textId="77777777" w:rsidR="00FB33C6" w:rsidRPr="00256982" w:rsidRDefault="00FB33C6" w:rsidP="009C13DB">
            <w:pPr>
              <w:pStyle w:val="TableText"/>
              <w:rPr>
                <w:rFonts w:eastAsia="Calibri"/>
              </w:rPr>
            </w:pPr>
            <w:r w:rsidRPr="00256982">
              <w:rPr>
                <w:rFonts w:eastAsia="Calibri"/>
              </w:rPr>
              <w:t>www.tinyurl.com/TokelauHIES</w:t>
            </w:r>
          </w:p>
        </w:tc>
        <w:tc>
          <w:tcPr>
            <w:tcW w:w="3850" w:type="dxa"/>
            <w:shd w:val="clear" w:color="auto" w:fill="auto"/>
          </w:tcPr>
          <w:p w14:paraId="75F1DE7C" w14:textId="77777777" w:rsidR="00FB33C6" w:rsidRPr="00256982" w:rsidRDefault="00FB33C6" w:rsidP="00823616">
            <w:pPr>
              <w:pStyle w:val="TableText"/>
              <w:rPr>
                <w:rFonts w:eastAsia="Calibri"/>
                <w:szCs w:val="22"/>
              </w:rPr>
            </w:pPr>
            <w:r w:rsidRPr="00256982">
              <w:rPr>
                <w:rFonts w:eastAsia="Calibri"/>
                <w:szCs w:val="22"/>
              </w:rPr>
              <w:t>Population and dwellings data supplementary to Census</w:t>
            </w:r>
          </w:p>
        </w:tc>
      </w:tr>
      <w:tr w:rsidR="00FB33C6" w:rsidRPr="00256982" w14:paraId="7DF110B0" w14:textId="77777777" w:rsidTr="00823616">
        <w:tc>
          <w:tcPr>
            <w:tcW w:w="686" w:type="dxa"/>
            <w:shd w:val="clear" w:color="auto" w:fill="FFFFFF"/>
          </w:tcPr>
          <w:p w14:paraId="7110D3B9" w14:textId="77777777" w:rsidR="00FB33C6" w:rsidRPr="00256982" w:rsidRDefault="00FB33C6" w:rsidP="00823616">
            <w:pPr>
              <w:pStyle w:val="TableText"/>
              <w:rPr>
                <w:rFonts w:eastAsia="Calibri"/>
                <w:b/>
                <w:bCs/>
                <w:szCs w:val="22"/>
              </w:rPr>
            </w:pPr>
            <w:r w:rsidRPr="00256982">
              <w:rPr>
                <w:rFonts w:eastAsia="Calibri"/>
                <w:b/>
                <w:bCs/>
                <w:szCs w:val="22"/>
              </w:rPr>
              <w:t>4</w:t>
            </w:r>
          </w:p>
        </w:tc>
        <w:tc>
          <w:tcPr>
            <w:tcW w:w="1418" w:type="dxa"/>
            <w:shd w:val="clear" w:color="auto" w:fill="auto"/>
          </w:tcPr>
          <w:p w14:paraId="2D9763A2" w14:textId="77777777" w:rsidR="00FB33C6" w:rsidRPr="00256982" w:rsidRDefault="00FB33C6" w:rsidP="00823616">
            <w:pPr>
              <w:pStyle w:val="TableText"/>
              <w:rPr>
                <w:rFonts w:eastAsia="Calibri"/>
                <w:szCs w:val="22"/>
              </w:rPr>
            </w:pPr>
            <w:r w:rsidRPr="00256982">
              <w:rPr>
                <w:rFonts w:eastAsia="Calibri"/>
                <w:szCs w:val="22"/>
              </w:rPr>
              <w:t>SNZ, StatsNZ</w:t>
            </w:r>
          </w:p>
        </w:tc>
        <w:tc>
          <w:tcPr>
            <w:tcW w:w="2551" w:type="dxa"/>
            <w:shd w:val="clear" w:color="auto" w:fill="auto"/>
          </w:tcPr>
          <w:p w14:paraId="23D60868" w14:textId="77777777" w:rsidR="00FB33C6" w:rsidRPr="00256982" w:rsidRDefault="00FB33C6" w:rsidP="009C13DB">
            <w:pPr>
              <w:pStyle w:val="TableText"/>
              <w:spacing w:after="0"/>
              <w:rPr>
                <w:rFonts w:eastAsia="Calibri"/>
              </w:rPr>
            </w:pPr>
            <w:r w:rsidRPr="00256982">
              <w:rPr>
                <w:rFonts w:eastAsia="Calibri"/>
              </w:rPr>
              <w:t>Statistics New Zealand, Wellington</w:t>
            </w:r>
          </w:p>
          <w:p w14:paraId="650D4D5A" w14:textId="77777777" w:rsidR="00FB33C6" w:rsidRPr="00256982" w:rsidRDefault="00590491" w:rsidP="009C13DB">
            <w:pPr>
              <w:pStyle w:val="TableText"/>
              <w:rPr>
                <w:rFonts w:eastAsia="Calibri"/>
              </w:rPr>
            </w:pPr>
            <w:hyperlink r:id="rId238" w:history="1">
              <w:r w:rsidR="00FB33C6" w:rsidRPr="00256982">
                <w:rPr>
                  <w:rStyle w:val="Hyperlink"/>
                  <w:rFonts w:eastAsia="Calibri"/>
                  <w:color w:val="auto"/>
                </w:rPr>
                <w:t>www.stats.govt.nz</w:t>
              </w:r>
            </w:hyperlink>
          </w:p>
        </w:tc>
        <w:tc>
          <w:tcPr>
            <w:tcW w:w="3850" w:type="dxa"/>
            <w:shd w:val="clear" w:color="auto" w:fill="auto"/>
          </w:tcPr>
          <w:p w14:paraId="4A5D7227" w14:textId="77777777" w:rsidR="00FB33C6" w:rsidRPr="00256982" w:rsidRDefault="00FB33C6" w:rsidP="00823616">
            <w:pPr>
              <w:pStyle w:val="TableText"/>
              <w:rPr>
                <w:rFonts w:eastAsia="Calibri"/>
                <w:szCs w:val="22"/>
              </w:rPr>
            </w:pPr>
            <w:r w:rsidRPr="00256982">
              <w:rPr>
                <w:rFonts w:eastAsia="Calibri"/>
                <w:szCs w:val="22"/>
              </w:rPr>
              <w:t>Collection, analysis and publication of Tokelau Census data</w:t>
            </w:r>
          </w:p>
        </w:tc>
      </w:tr>
      <w:tr w:rsidR="00FB33C6" w:rsidRPr="00256982" w14:paraId="718DE47C" w14:textId="77777777" w:rsidTr="00823616">
        <w:tc>
          <w:tcPr>
            <w:tcW w:w="686" w:type="dxa"/>
            <w:shd w:val="clear" w:color="auto" w:fill="FFFFFF"/>
          </w:tcPr>
          <w:p w14:paraId="241A3DEE" w14:textId="77777777" w:rsidR="00FB33C6" w:rsidRPr="00256982" w:rsidRDefault="00FB33C6" w:rsidP="00823616">
            <w:pPr>
              <w:pStyle w:val="TableText"/>
              <w:rPr>
                <w:rFonts w:eastAsia="Calibri"/>
                <w:b/>
                <w:bCs/>
                <w:szCs w:val="22"/>
              </w:rPr>
            </w:pPr>
            <w:r w:rsidRPr="00256982">
              <w:rPr>
                <w:rFonts w:eastAsia="Calibri"/>
                <w:b/>
                <w:bCs/>
                <w:szCs w:val="22"/>
              </w:rPr>
              <w:t>5</w:t>
            </w:r>
          </w:p>
        </w:tc>
        <w:tc>
          <w:tcPr>
            <w:tcW w:w="1418" w:type="dxa"/>
            <w:shd w:val="clear" w:color="auto" w:fill="auto"/>
          </w:tcPr>
          <w:p w14:paraId="1DC68F08" w14:textId="77777777" w:rsidR="00FB33C6" w:rsidRPr="00256982" w:rsidRDefault="00FB33C6" w:rsidP="00823616">
            <w:pPr>
              <w:pStyle w:val="TableText"/>
              <w:rPr>
                <w:rFonts w:eastAsia="Calibri"/>
                <w:szCs w:val="22"/>
              </w:rPr>
            </w:pPr>
            <w:r w:rsidRPr="00256982">
              <w:rPr>
                <w:rFonts w:eastAsia="Calibri"/>
                <w:szCs w:val="22"/>
              </w:rPr>
              <w:t>TNSO</w:t>
            </w:r>
          </w:p>
        </w:tc>
        <w:tc>
          <w:tcPr>
            <w:tcW w:w="2551" w:type="dxa"/>
            <w:shd w:val="clear" w:color="auto" w:fill="auto"/>
          </w:tcPr>
          <w:p w14:paraId="6569E8E4" w14:textId="77777777" w:rsidR="00FB33C6" w:rsidRPr="00256982" w:rsidRDefault="00FB33C6" w:rsidP="009C13DB">
            <w:pPr>
              <w:pStyle w:val="TableText"/>
              <w:spacing w:after="0"/>
              <w:rPr>
                <w:rFonts w:eastAsia="Calibri"/>
              </w:rPr>
            </w:pPr>
            <w:r w:rsidRPr="00256982">
              <w:rPr>
                <w:rFonts w:eastAsia="Calibri"/>
              </w:rPr>
              <w:t>Tokelau National Statistics Office, Apia</w:t>
            </w:r>
          </w:p>
          <w:p w14:paraId="2B185B81" w14:textId="77777777" w:rsidR="00FB33C6" w:rsidRPr="00256982" w:rsidRDefault="00590491" w:rsidP="009C13DB">
            <w:pPr>
              <w:pStyle w:val="TableText"/>
              <w:rPr>
                <w:rFonts w:eastAsia="Calibri"/>
              </w:rPr>
            </w:pPr>
            <w:hyperlink r:id="rId239" w:history="1">
              <w:r w:rsidR="00FB33C6" w:rsidRPr="00256982">
                <w:rPr>
                  <w:rStyle w:val="Hyperlink"/>
                  <w:rFonts w:eastAsia="Calibri"/>
                  <w:color w:val="auto"/>
                </w:rPr>
                <w:t>www.tokelau.org.nz/Stats.html</w:t>
              </w:r>
            </w:hyperlink>
          </w:p>
        </w:tc>
        <w:tc>
          <w:tcPr>
            <w:tcW w:w="3850" w:type="dxa"/>
            <w:shd w:val="clear" w:color="auto" w:fill="auto"/>
          </w:tcPr>
          <w:p w14:paraId="607B342F" w14:textId="77777777" w:rsidR="00FB33C6" w:rsidRPr="00256982" w:rsidRDefault="00FB33C6" w:rsidP="00823616">
            <w:pPr>
              <w:pStyle w:val="TableText"/>
              <w:rPr>
                <w:rFonts w:eastAsia="Calibri"/>
                <w:szCs w:val="22"/>
              </w:rPr>
            </w:pPr>
            <w:r w:rsidRPr="00256982">
              <w:rPr>
                <w:rFonts w:eastAsia="Calibri"/>
                <w:szCs w:val="22"/>
              </w:rPr>
              <w:t xml:space="preserve">Collection, analysis and publication of Tokelau Census data </w:t>
            </w:r>
          </w:p>
        </w:tc>
      </w:tr>
      <w:tr w:rsidR="00FB33C6" w:rsidRPr="00256982" w14:paraId="1E160582" w14:textId="77777777" w:rsidTr="00823616">
        <w:tc>
          <w:tcPr>
            <w:tcW w:w="686" w:type="dxa"/>
            <w:shd w:val="clear" w:color="auto" w:fill="FFFFFF"/>
          </w:tcPr>
          <w:p w14:paraId="6B835B16" w14:textId="77777777" w:rsidR="00FB33C6" w:rsidRPr="00256982" w:rsidRDefault="00FB33C6" w:rsidP="00823616">
            <w:pPr>
              <w:pStyle w:val="TableText"/>
              <w:rPr>
                <w:rFonts w:eastAsia="Calibri"/>
                <w:b/>
                <w:bCs/>
                <w:szCs w:val="22"/>
              </w:rPr>
            </w:pPr>
            <w:r w:rsidRPr="00256982">
              <w:rPr>
                <w:rFonts w:eastAsia="Calibri"/>
                <w:b/>
                <w:bCs/>
                <w:szCs w:val="22"/>
              </w:rPr>
              <w:t>6</w:t>
            </w:r>
          </w:p>
        </w:tc>
        <w:tc>
          <w:tcPr>
            <w:tcW w:w="1418" w:type="dxa"/>
            <w:shd w:val="clear" w:color="auto" w:fill="auto"/>
          </w:tcPr>
          <w:p w14:paraId="294A4684" w14:textId="77777777" w:rsidR="00FB33C6" w:rsidRPr="00256982" w:rsidRDefault="00FB33C6" w:rsidP="00823616">
            <w:pPr>
              <w:pStyle w:val="TableText"/>
              <w:rPr>
                <w:rFonts w:eastAsia="Calibri"/>
                <w:szCs w:val="22"/>
              </w:rPr>
            </w:pPr>
            <w:r w:rsidRPr="00256982">
              <w:rPr>
                <w:rFonts w:eastAsia="Calibri"/>
                <w:szCs w:val="22"/>
              </w:rPr>
              <w:t>DoE</w:t>
            </w:r>
          </w:p>
        </w:tc>
        <w:tc>
          <w:tcPr>
            <w:tcW w:w="2551" w:type="dxa"/>
            <w:shd w:val="clear" w:color="auto" w:fill="auto"/>
          </w:tcPr>
          <w:p w14:paraId="2180029B" w14:textId="77777777" w:rsidR="00FB33C6" w:rsidRPr="00256982" w:rsidRDefault="00FB33C6" w:rsidP="009C13DB">
            <w:pPr>
              <w:pStyle w:val="TableText"/>
              <w:rPr>
                <w:rFonts w:eastAsia="Calibri"/>
              </w:rPr>
            </w:pPr>
            <w:r w:rsidRPr="00256982">
              <w:rPr>
                <w:rFonts w:eastAsia="Calibri"/>
              </w:rPr>
              <w:t>Tokelau Department of Energy</w:t>
            </w:r>
          </w:p>
        </w:tc>
        <w:tc>
          <w:tcPr>
            <w:tcW w:w="3850" w:type="dxa"/>
            <w:shd w:val="clear" w:color="auto" w:fill="auto"/>
          </w:tcPr>
          <w:p w14:paraId="46F0C72E" w14:textId="77777777" w:rsidR="00FB33C6" w:rsidRPr="00256982" w:rsidRDefault="00FB33C6" w:rsidP="00823616">
            <w:pPr>
              <w:pStyle w:val="TableText"/>
              <w:rPr>
                <w:rFonts w:eastAsia="Calibri"/>
                <w:szCs w:val="22"/>
              </w:rPr>
            </w:pPr>
            <w:r w:rsidRPr="00256982">
              <w:rPr>
                <w:rFonts w:eastAsia="Calibri"/>
                <w:szCs w:val="22"/>
              </w:rPr>
              <w:t>Estimate of diesel use for power generation, before and after installation of solar in July–September 2012 (personal communication Mr Robin Pene, DoE director)</w:t>
            </w:r>
          </w:p>
        </w:tc>
      </w:tr>
      <w:tr w:rsidR="00FB33C6" w:rsidRPr="00256982" w14:paraId="6C0A3BAA" w14:textId="77777777" w:rsidTr="00823616">
        <w:tc>
          <w:tcPr>
            <w:tcW w:w="686" w:type="dxa"/>
            <w:shd w:val="clear" w:color="auto" w:fill="FFFFFF"/>
          </w:tcPr>
          <w:p w14:paraId="4DDDFEE1" w14:textId="77777777" w:rsidR="00FB33C6" w:rsidRPr="00256982" w:rsidRDefault="00FB33C6" w:rsidP="00823616">
            <w:pPr>
              <w:pStyle w:val="TableText"/>
              <w:rPr>
                <w:rFonts w:eastAsia="Calibri"/>
                <w:b/>
                <w:bCs/>
                <w:szCs w:val="22"/>
              </w:rPr>
            </w:pPr>
            <w:r w:rsidRPr="00256982">
              <w:rPr>
                <w:rFonts w:eastAsia="Calibri"/>
                <w:b/>
                <w:bCs/>
                <w:szCs w:val="22"/>
              </w:rPr>
              <w:t>7</w:t>
            </w:r>
          </w:p>
        </w:tc>
        <w:tc>
          <w:tcPr>
            <w:tcW w:w="1418" w:type="dxa"/>
            <w:shd w:val="clear" w:color="auto" w:fill="auto"/>
          </w:tcPr>
          <w:p w14:paraId="5887CF7C" w14:textId="77777777" w:rsidR="00FB33C6" w:rsidRPr="00256982" w:rsidRDefault="00FB33C6" w:rsidP="00823616">
            <w:pPr>
              <w:pStyle w:val="TableText"/>
              <w:rPr>
                <w:rFonts w:eastAsia="Calibri"/>
                <w:szCs w:val="22"/>
              </w:rPr>
            </w:pPr>
            <w:r w:rsidRPr="00256982">
              <w:rPr>
                <w:rFonts w:eastAsia="Calibri"/>
                <w:szCs w:val="22"/>
              </w:rPr>
              <w:t>PPS</w:t>
            </w:r>
          </w:p>
        </w:tc>
        <w:tc>
          <w:tcPr>
            <w:tcW w:w="2551" w:type="dxa"/>
            <w:shd w:val="clear" w:color="auto" w:fill="auto"/>
          </w:tcPr>
          <w:p w14:paraId="6D2FA867" w14:textId="77777777" w:rsidR="00FB33C6" w:rsidRPr="00256982" w:rsidRDefault="00FB33C6" w:rsidP="00823616">
            <w:pPr>
              <w:pStyle w:val="TableText"/>
              <w:rPr>
                <w:rFonts w:eastAsia="Calibri"/>
                <w:szCs w:val="22"/>
              </w:rPr>
            </w:pPr>
            <w:r w:rsidRPr="00256982">
              <w:rPr>
                <w:rFonts w:eastAsia="Calibri"/>
                <w:szCs w:val="22"/>
              </w:rPr>
              <w:t>Petroleum Product Supplies Ltd Apia</w:t>
            </w:r>
          </w:p>
        </w:tc>
        <w:tc>
          <w:tcPr>
            <w:tcW w:w="3850" w:type="dxa"/>
            <w:shd w:val="clear" w:color="auto" w:fill="auto"/>
          </w:tcPr>
          <w:p w14:paraId="585C67E2" w14:textId="77777777" w:rsidR="00FB33C6" w:rsidRPr="00256982" w:rsidRDefault="00FB33C6" w:rsidP="00823616">
            <w:pPr>
              <w:pStyle w:val="TableText"/>
              <w:rPr>
                <w:rFonts w:eastAsia="Calibri"/>
                <w:szCs w:val="22"/>
              </w:rPr>
            </w:pPr>
            <w:r w:rsidRPr="00256982">
              <w:rPr>
                <w:rFonts w:eastAsia="Calibri"/>
                <w:szCs w:val="22"/>
              </w:rPr>
              <w:t>Fuel prices and volumes supplied for shipping and on-atoll use of diesel, petrol, kerosene and lubricant oil</w:t>
            </w:r>
          </w:p>
        </w:tc>
      </w:tr>
      <w:tr w:rsidR="00FB33C6" w:rsidRPr="00256982" w14:paraId="1907893F" w14:textId="77777777" w:rsidTr="00823616">
        <w:tc>
          <w:tcPr>
            <w:tcW w:w="686" w:type="dxa"/>
            <w:shd w:val="clear" w:color="auto" w:fill="FFFFFF"/>
          </w:tcPr>
          <w:p w14:paraId="5F9FDE8B" w14:textId="77777777" w:rsidR="00FB33C6" w:rsidRPr="00256982" w:rsidRDefault="00FB33C6" w:rsidP="00823616">
            <w:pPr>
              <w:pStyle w:val="TableText"/>
              <w:rPr>
                <w:rFonts w:eastAsia="Calibri"/>
                <w:b/>
                <w:bCs/>
                <w:szCs w:val="22"/>
              </w:rPr>
            </w:pPr>
            <w:r w:rsidRPr="00256982">
              <w:rPr>
                <w:rFonts w:eastAsia="Calibri"/>
                <w:b/>
                <w:bCs/>
                <w:szCs w:val="22"/>
              </w:rPr>
              <w:t>8</w:t>
            </w:r>
          </w:p>
        </w:tc>
        <w:tc>
          <w:tcPr>
            <w:tcW w:w="1418" w:type="dxa"/>
            <w:shd w:val="clear" w:color="auto" w:fill="auto"/>
          </w:tcPr>
          <w:p w14:paraId="13296905" w14:textId="77777777" w:rsidR="00FB33C6" w:rsidRPr="00256982" w:rsidRDefault="00FB33C6" w:rsidP="00823616">
            <w:pPr>
              <w:pStyle w:val="TableText"/>
              <w:rPr>
                <w:rFonts w:eastAsia="Calibri"/>
                <w:szCs w:val="22"/>
              </w:rPr>
            </w:pPr>
            <w:r w:rsidRPr="00256982">
              <w:rPr>
                <w:rFonts w:eastAsia="Calibri"/>
                <w:szCs w:val="22"/>
              </w:rPr>
              <w:t>DoF</w:t>
            </w:r>
          </w:p>
        </w:tc>
        <w:tc>
          <w:tcPr>
            <w:tcW w:w="2551" w:type="dxa"/>
            <w:shd w:val="clear" w:color="auto" w:fill="auto"/>
          </w:tcPr>
          <w:p w14:paraId="36AE9539" w14:textId="77777777" w:rsidR="00FB33C6" w:rsidRPr="00256982" w:rsidRDefault="00FB33C6" w:rsidP="00823616">
            <w:pPr>
              <w:pStyle w:val="TableText"/>
              <w:rPr>
                <w:rFonts w:eastAsia="Calibri"/>
                <w:szCs w:val="22"/>
              </w:rPr>
            </w:pPr>
            <w:r w:rsidRPr="00256982">
              <w:rPr>
                <w:rFonts w:eastAsia="Calibri"/>
                <w:szCs w:val="22"/>
              </w:rPr>
              <w:t>Tokelau Department of Finance</w:t>
            </w:r>
          </w:p>
        </w:tc>
        <w:tc>
          <w:tcPr>
            <w:tcW w:w="3850" w:type="dxa"/>
            <w:shd w:val="clear" w:color="auto" w:fill="auto"/>
          </w:tcPr>
          <w:p w14:paraId="629F6C38" w14:textId="77777777" w:rsidR="00FB33C6" w:rsidRPr="00256982" w:rsidRDefault="00FB33C6" w:rsidP="00823616">
            <w:pPr>
              <w:pStyle w:val="TableText"/>
              <w:rPr>
                <w:rFonts w:eastAsia="Calibri"/>
                <w:szCs w:val="22"/>
              </w:rPr>
            </w:pPr>
            <w:r w:rsidRPr="00256982">
              <w:rPr>
                <w:rFonts w:eastAsia="Calibri"/>
                <w:szCs w:val="22"/>
              </w:rPr>
              <w:t>Paid invoices and payment records to PPS, Origin, and on-atoll stores</w:t>
            </w:r>
          </w:p>
        </w:tc>
      </w:tr>
      <w:tr w:rsidR="00FB33C6" w:rsidRPr="00256982" w14:paraId="5A3F1EB6" w14:textId="77777777" w:rsidTr="00823616">
        <w:tc>
          <w:tcPr>
            <w:tcW w:w="686" w:type="dxa"/>
            <w:shd w:val="clear" w:color="auto" w:fill="FFFFFF"/>
          </w:tcPr>
          <w:p w14:paraId="5128F4C0" w14:textId="77777777" w:rsidR="00FB33C6" w:rsidRPr="00256982" w:rsidRDefault="00FB33C6" w:rsidP="00823616">
            <w:pPr>
              <w:pStyle w:val="TableText"/>
              <w:rPr>
                <w:rFonts w:eastAsia="Calibri"/>
                <w:b/>
                <w:bCs/>
                <w:szCs w:val="22"/>
              </w:rPr>
            </w:pPr>
            <w:r w:rsidRPr="00256982">
              <w:rPr>
                <w:rFonts w:eastAsia="Calibri"/>
                <w:b/>
                <w:bCs/>
                <w:szCs w:val="22"/>
              </w:rPr>
              <w:t>9</w:t>
            </w:r>
          </w:p>
        </w:tc>
        <w:tc>
          <w:tcPr>
            <w:tcW w:w="1418" w:type="dxa"/>
            <w:shd w:val="clear" w:color="auto" w:fill="auto"/>
          </w:tcPr>
          <w:p w14:paraId="2B4252CD" w14:textId="77777777" w:rsidR="00FB33C6" w:rsidRPr="00256982" w:rsidRDefault="00FB33C6" w:rsidP="00823616">
            <w:pPr>
              <w:pStyle w:val="TableText"/>
              <w:rPr>
                <w:rFonts w:eastAsia="Calibri"/>
                <w:szCs w:val="22"/>
              </w:rPr>
            </w:pPr>
            <w:r w:rsidRPr="00256982">
              <w:rPr>
                <w:rFonts w:eastAsia="Calibri"/>
                <w:szCs w:val="22"/>
              </w:rPr>
              <w:t>2018 vehicle survey</w:t>
            </w:r>
          </w:p>
        </w:tc>
        <w:tc>
          <w:tcPr>
            <w:tcW w:w="2551" w:type="dxa"/>
            <w:shd w:val="clear" w:color="auto" w:fill="auto"/>
          </w:tcPr>
          <w:p w14:paraId="2A6F4F47" w14:textId="77777777" w:rsidR="00FB33C6" w:rsidRPr="00256982" w:rsidRDefault="00FB33C6" w:rsidP="00823616">
            <w:pPr>
              <w:pStyle w:val="TableText"/>
              <w:rPr>
                <w:rFonts w:eastAsia="Calibri"/>
                <w:szCs w:val="22"/>
              </w:rPr>
            </w:pPr>
            <w:r w:rsidRPr="00256982">
              <w:rPr>
                <w:rFonts w:eastAsia="Calibri"/>
                <w:szCs w:val="22"/>
              </w:rPr>
              <w:t>Photo survey of Tokelau motorised vehicles on-atoll, August–December 2018</w:t>
            </w:r>
          </w:p>
        </w:tc>
        <w:tc>
          <w:tcPr>
            <w:tcW w:w="3850" w:type="dxa"/>
            <w:shd w:val="clear" w:color="auto" w:fill="auto"/>
          </w:tcPr>
          <w:p w14:paraId="0B41113E" w14:textId="77777777" w:rsidR="00FB33C6" w:rsidRPr="00256982" w:rsidRDefault="00FB33C6" w:rsidP="00823616">
            <w:pPr>
              <w:pStyle w:val="TableText"/>
              <w:rPr>
                <w:rFonts w:eastAsia="Calibri"/>
                <w:szCs w:val="22"/>
              </w:rPr>
            </w:pPr>
            <w:r w:rsidRPr="00256982">
              <w:rPr>
                <w:rFonts w:eastAsia="Calibri"/>
                <w:szCs w:val="22"/>
              </w:rPr>
              <w:t>Personal communication JA Jasperse (table A.7.1.1 in annex 7)</w:t>
            </w:r>
          </w:p>
        </w:tc>
      </w:tr>
      <w:tr w:rsidR="00FB33C6" w:rsidRPr="00256982" w14:paraId="25E7E75A" w14:textId="77777777" w:rsidTr="00823616">
        <w:tc>
          <w:tcPr>
            <w:tcW w:w="686" w:type="dxa"/>
            <w:shd w:val="clear" w:color="auto" w:fill="FFFFFF"/>
          </w:tcPr>
          <w:p w14:paraId="428A05E2" w14:textId="77777777" w:rsidR="00FB33C6" w:rsidRPr="00256982" w:rsidRDefault="00FB33C6" w:rsidP="00823616">
            <w:pPr>
              <w:pStyle w:val="TableText"/>
              <w:rPr>
                <w:rFonts w:eastAsia="Calibri"/>
                <w:b/>
                <w:bCs/>
                <w:szCs w:val="22"/>
              </w:rPr>
            </w:pPr>
            <w:r w:rsidRPr="00256982">
              <w:rPr>
                <w:rFonts w:eastAsia="Calibri"/>
                <w:b/>
                <w:bCs/>
                <w:szCs w:val="22"/>
              </w:rPr>
              <w:t>10</w:t>
            </w:r>
          </w:p>
        </w:tc>
        <w:tc>
          <w:tcPr>
            <w:tcW w:w="1418" w:type="dxa"/>
            <w:shd w:val="clear" w:color="auto" w:fill="auto"/>
          </w:tcPr>
          <w:p w14:paraId="441079CE" w14:textId="77777777" w:rsidR="00FB33C6" w:rsidRPr="00256982" w:rsidRDefault="00FB33C6" w:rsidP="00823616">
            <w:pPr>
              <w:pStyle w:val="TableText"/>
              <w:rPr>
                <w:rFonts w:eastAsia="Calibri"/>
                <w:szCs w:val="22"/>
              </w:rPr>
            </w:pPr>
            <w:r w:rsidRPr="00256982">
              <w:rPr>
                <w:rFonts w:eastAsia="Calibri"/>
                <w:szCs w:val="22"/>
              </w:rPr>
              <w:t>Origin</w:t>
            </w:r>
          </w:p>
        </w:tc>
        <w:tc>
          <w:tcPr>
            <w:tcW w:w="2551" w:type="dxa"/>
            <w:shd w:val="clear" w:color="auto" w:fill="auto"/>
          </w:tcPr>
          <w:p w14:paraId="471DB159" w14:textId="77777777" w:rsidR="00FB33C6" w:rsidRPr="00256982" w:rsidRDefault="00FB33C6" w:rsidP="00823616">
            <w:pPr>
              <w:pStyle w:val="TableText"/>
              <w:rPr>
                <w:rFonts w:eastAsia="Calibri"/>
                <w:szCs w:val="22"/>
              </w:rPr>
            </w:pPr>
            <w:r w:rsidRPr="00256982">
              <w:rPr>
                <w:rFonts w:eastAsia="Calibri"/>
                <w:szCs w:val="22"/>
              </w:rPr>
              <w:t>Origin Energy Samoa Ltd, Apia</w:t>
            </w:r>
          </w:p>
        </w:tc>
        <w:tc>
          <w:tcPr>
            <w:tcW w:w="3850" w:type="dxa"/>
            <w:shd w:val="clear" w:color="auto" w:fill="auto"/>
          </w:tcPr>
          <w:p w14:paraId="5929712E" w14:textId="77777777" w:rsidR="00FB33C6" w:rsidRPr="00256982" w:rsidRDefault="00FB33C6" w:rsidP="00823616">
            <w:pPr>
              <w:pStyle w:val="TableText"/>
              <w:rPr>
                <w:rFonts w:eastAsia="Calibri"/>
                <w:szCs w:val="22"/>
              </w:rPr>
            </w:pPr>
            <w:r w:rsidRPr="00256982">
              <w:rPr>
                <w:rFonts w:eastAsia="Calibri"/>
                <w:szCs w:val="22"/>
              </w:rPr>
              <w:t>Prices and volumes supplied for on-atoll use of propane for cooking</w:t>
            </w:r>
          </w:p>
        </w:tc>
      </w:tr>
      <w:tr w:rsidR="00FB33C6" w:rsidRPr="00256982" w14:paraId="4177E8D4" w14:textId="77777777" w:rsidTr="00823616">
        <w:tc>
          <w:tcPr>
            <w:tcW w:w="686" w:type="dxa"/>
            <w:shd w:val="clear" w:color="auto" w:fill="FFFFFF"/>
          </w:tcPr>
          <w:p w14:paraId="4CA321EA" w14:textId="77777777" w:rsidR="00FB33C6" w:rsidRPr="00256982" w:rsidRDefault="00FB33C6" w:rsidP="00823616">
            <w:pPr>
              <w:pStyle w:val="TableText"/>
              <w:rPr>
                <w:rFonts w:eastAsia="Calibri"/>
                <w:b/>
                <w:bCs/>
                <w:szCs w:val="22"/>
              </w:rPr>
            </w:pPr>
            <w:r w:rsidRPr="00256982">
              <w:rPr>
                <w:rFonts w:eastAsia="Calibri"/>
                <w:b/>
                <w:bCs/>
                <w:szCs w:val="22"/>
              </w:rPr>
              <w:t>11</w:t>
            </w:r>
          </w:p>
        </w:tc>
        <w:tc>
          <w:tcPr>
            <w:tcW w:w="1418" w:type="dxa"/>
            <w:shd w:val="clear" w:color="auto" w:fill="auto"/>
          </w:tcPr>
          <w:p w14:paraId="2958ED05" w14:textId="77777777" w:rsidR="00FB33C6" w:rsidRPr="00256982" w:rsidRDefault="00FB33C6" w:rsidP="00823616">
            <w:pPr>
              <w:pStyle w:val="TableText"/>
              <w:rPr>
                <w:rFonts w:eastAsia="Calibri"/>
                <w:szCs w:val="22"/>
              </w:rPr>
            </w:pPr>
            <w:r w:rsidRPr="00256982">
              <w:rPr>
                <w:rFonts w:eastAsia="Calibri"/>
                <w:szCs w:val="22"/>
              </w:rPr>
              <w:t>PCTrade-Green</w:t>
            </w:r>
          </w:p>
        </w:tc>
        <w:tc>
          <w:tcPr>
            <w:tcW w:w="2551" w:type="dxa"/>
            <w:shd w:val="clear" w:color="auto" w:fill="auto"/>
          </w:tcPr>
          <w:p w14:paraId="53899894" w14:textId="77777777" w:rsidR="00FB33C6" w:rsidRPr="00256982" w:rsidRDefault="00FB33C6" w:rsidP="00823616">
            <w:pPr>
              <w:pStyle w:val="TableText"/>
              <w:rPr>
                <w:rFonts w:eastAsia="Calibri"/>
                <w:szCs w:val="22"/>
              </w:rPr>
            </w:pPr>
            <w:r w:rsidRPr="00256982">
              <w:rPr>
                <w:rFonts w:eastAsia="Calibri"/>
                <w:szCs w:val="22"/>
              </w:rPr>
              <w:t>Excel version of PCTrade package developed by StatsNZ, Christchurch</w:t>
            </w:r>
          </w:p>
        </w:tc>
        <w:tc>
          <w:tcPr>
            <w:tcW w:w="3850" w:type="dxa"/>
            <w:shd w:val="clear" w:color="auto" w:fill="auto"/>
          </w:tcPr>
          <w:p w14:paraId="60AF55B5" w14:textId="77777777" w:rsidR="00FB33C6" w:rsidRPr="00256982" w:rsidRDefault="00FB33C6" w:rsidP="00823616">
            <w:pPr>
              <w:pStyle w:val="TableText"/>
              <w:rPr>
                <w:rFonts w:eastAsia="Calibri"/>
                <w:szCs w:val="22"/>
              </w:rPr>
            </w:pPr>
            <w:r w:rsidRPr="00256982">
              <w:rPr>
                <w:rFonts w:eastAsia="Calibri"/>
                <w:szCs w:val="22"/>
              </w:rPr>
              <w:t>Used for analysing cargo shipping manifests, providing number of return voyages Apia–Tokelau over time, imports of goods, and exports of recyclables to date (2014–18 data available)</w:t>
            </w:r>
          </w:p>
        </w:tc>
      </w:tr>
      <w:tr w:rsidR="00FB33C6" w:rsidRPr="00256982" w14:paraId="650E9C05" w14:textId="77777777" w:rsidTr="00823616">
        <w:tc>
          <w:tcPr>
            <w:tcW w:w="686" w:type="dxa"/>
            <w:shd w:val="clear" w:color="auto" w:fill="FFFFFF"/>
          </w:tcPr>
          <w:p w14:paraId="302BF252" w14:textId="77777777" w:rsidR="00FB33C6" w:rsidRPr="00256982" w:rsidRDefault="00FB33C6" w:rsidP="00823616">
            <w:pPr>
              <w:pStyle w:val="TableText"/>
              <w:rPr>
                <w:rFonts w:eastAsia="Calibri"/>
                <w:b/>
                <w:bCs/>
                <w:szCs w:val="22"/>
              </w:rPr>
            </w:pPr>
            <w:r w:rsidRPr="00256982">
              <w:rPr>
                <w:rFonts w:eastAsia="Calibri"/>
                <w:b/>
                <w:bCs/>
                <w:szCs w:val="22"/>
              </w:rPr>
              <w:t>12</w:t>
            </w:r>
          </w:p>
        </w:tc>
        <w:tc>
          <w:tcPr>
            <w:tcW w:w="1418" w:type="dxa"/>
            <w:shd w:val="clear" w:color="auto" w:fill="auto"/>
          </w:tcPr>
          <w:p w14:paraId="20FBFD72" w14:textId="77777777" w:rsidR="00FB33C6" w:rsidRPr="00256982" w:rsidRDefault="00FB33C6" w:rsidP="00823616">
            <w:pPr>
              <w:pStyle w:val="TableText"/>
              <w:rPr>
                <w:rFonts w:eastAsia="Calibri"/>
                <w:szCs w:val="22"/>
              </w:rPr>
            </w:pPr>
            <w:r w:rsidRPr="00256982">
              <w:rPr>
                <w:rFonts w:eastAsia="Calibri"/>
                <w:szCs w:val="22"/>
              </w:rPr>
              <w:t>DoH</w:t>
            </w:r>
          </w:p>
        </w:tc>
        <w:tc>
          <w:tcPr>
            <w:tcW w:w="2551" w:type="dxa"/>
            <w:shd w:val="clear" w:color="auto" w:fill="auto"/>
          </w:tcPr>
          <w:p w14:paraId="7E36C717" w14:textId="77777777" w:rsidR="00FB33C6" w:rsidRPr="00256982" w:rsidRDefault="00FB33C6" w:rsidP="00823616">
            <w:pPr>
              <w:pStyle w:val="TableText"/>
              <w:rPr>
                <w:rFonts w:eastAsia="Calibri"/>
                <w:szCs w:val="22"/>
              </w:rPr>
            </w:pPr>
            <w:r w:rsidRPr="00256982">
              <w:rPr>
                <w:rFonts w:eastAsia="Calibri"/>
                <w:szCs w:val="22"/>
              </w:rPr>
              <w:t>Tokelau Department of Health</w:t>
            </w:r>
          </w:p>
        </w:tc>
        <w:tc>
          <w:tcPr>
            <w:tcW w:w="3850" w:type="dxa"/>
            <w:shd w:val="clear" w:color="auto" w:fill="auto"/>
          </w:tcPr>
          <w:p w14:paraId="1680C4E7" w14:textId="77777777" w:rsidR="00FB33C6" w:rsidRPr="00256982" w:rsidRDefault="00FB33C6" w:rsidP="00823616">
            <w:pPr>
              <w:pStyle w:val="TableText"/>
              <w:rPr>
                <w:rFonts w:eastAsia="Calibri"/>
                <w:szCs w:val="22"/>
              </w:rPr>
            </w:pPr>
            <w:r w:rsidRPr="00256982">
              <w:rPr>
                <w:rFonts w:eastAsia="Calibri"/>
                <w:szCs w:val="22"/>
              </w:rPr>
              <w:t>Anecdotal information on inhalers, laser gas, fire extinguishers</w:t>
            </w:r>
          </w:p>
        </w:tc>
      </w:tr>
      <w:tr w:rsidR="00FB33C6" w:rsidRPr="00256982" w14:paraId="3C55D704" w14:textId="77777777" w:rsidTr="00823616">
        <w:tc>
          <w:tcPr>
            <w:tcW w:w="686" w:type="dxa"/>
            <w:shd w:val="clear" w:color="auto" w:fill="FFFFFF"/>
          </w:tcPr>
          <w:p w14:paraId="7C845E4E" w14:textId="77777777" w:rsidR="00FB33C6" w:rsidRPr="00256982" w:rsidRDefault="00FB33C6" w:rsidP="00823616">
            <w:pPr>
              <w:pStyle w:val="TableText"/>
              <w:rPr>
                <w:rFonts w:eastAsia="Calibri"/>
                <w:b/>
                <w:bCs/>
                <w:szCs w:val="22"/>
              </w:rPr>
            </w:pPr>
            <w:r w:rsidRPr="00256982">
              <w:rPr>
                <w:rFonts w:eastAsia="Calibri"/>
                <w:b/>
                <w:bCs/>
                <w:szCs w:val="22"/>
              </w:rPr>
              <w:t>13</w:t>
            </w:r>
          </w:p>
        </w:tc>
        <w:tc>
          <w:tcPr>
            <w:tcW w:w="1418" w:type="dxa"/>
            <w:shd w:val="clear" w:color="auto" w:fill="auto"/>
          </w:tcPr>
          <w:p w14:paraId="7D22C527" w14:textId="77777777" w:rsidR="00FB33C6" w:rsidRPr="00256982" w:rsidRDefault="00FB33C6" w:rsidP="00823616">
            <w:pPr>
              <w:pStyle w:val="TableText"/>
              <w:rPr>
                <w:rFonts w:eastAsia="Calibri"/>
                <w:szCs w:val="22"/>
              </w:rPr>
            </w:pPr>
            <w:r w:rsidRPr="00256982">
              <w:rPr>
                <w:rFonts w:eastAsia="Calibri"/>
                <w:szCs w:val="22"/>
              </w:rPr>
              <w:t>TSS</w:t>
            </w:r>
          </w:p>
        </w:tc>
        <w:tc>
          <w:tcPr>
            <w:tcW w:w="2551" w:type="dxa"/>
            <w:shd w:val="clear" w:color="auto" w:fill="auto"/>
          </w:tcPr>
          <w:p w14:paraId="39F25BE2" w14:textId="77777777" w:rsidR="00FB33C6" w:rsidRPr="00256982" w:rsidRDefault="00FB33C6" w:rsidP="00823616">
            <w:pPr>
              <w:pStyle w:val="TableText"/>
              <w:rPr>
                <w:rFonts w:eastAsia="Calibri"/>
                <w:szCs w:val="22"/>
              </w:rPr>
            </w:pPr>
            <w:r w:rsidRPr="00256982">
              <w:rPr>
                <w:rFonts w:eastAsia="Calibri"/>
                <w:szCs w:val="22"/>
              </w:rPr>
              <w:t>Tokelau Department of Transport and Support Services, Apia</w:t>
            </w:r>
          </w:p>
        </w:tc>
        <w:tc>
          <w:tcPr>
            <w:tcW w:w="3850" w:type="dxa"/>
            <w:shd w:val="clear" w:color="auto" w:fill="auto"/>
          </w:tcPr>
          <w:p w14:paraId="21BBCA8A" w14:textId="77777777" w:rsidR="00FB33C6" w:rsidRPr="00256982" w:rsidRDefault="00FB33C6" w:rsidP="00823616">
            <w:pPr>
              <w:pStyle w:val="TableText"/>
              <w:rPr>
                <w:rFonts w:eastAsia="Calibri"/>
                <w:szCs w:val="22"/>
              </w:rPr>
            </w:pPr>
            <w:r w:rsidRPr="00256982">
              <w:rPr>
                <w:rFonts w:eastAsia="Calibri"/>
                <w:szCs w:val="22"/>
              </w:rPr>
              <w:t>Cargo shipping manifests for analysis of imports of all goods, and export of recyclables</w:t>
            </w:r>
          </w:p>
        </w:tc>
      </w:tr>
      <w:tr w:rsidR="00FB33C6" w:rsidRPr="00256982" w14:paraId="352C4A8F" w14:textId="77777777" w:rsidTr="00823616">
        <w:tc>
          <w:tcPr>
            <w:tcW w:w="686" w:type="dxa"/>
            <w:shd w:val="clear" w:color="auto" w:fill="FFFFFF"/>
          </w:tcPr>
          <w:p w14:paraId="442687D9" w14:textId="77777777" w:rsidR="00FB33C6" w:rsidRPr="00256982" w:rsidRDefault="00FB33C6" w:rsidP="009C13DB">
            <w:pPr>
              <w:pStyle w:val="TableText"/>
              <w:keepNext/>
              <w:rPr>
                <w:rFonts w:eastAsia="Calibri"/>
                <w:b/>
                <w:bCs/>
                <w:szCs w:val="22"/>
              </w:rPr>
            </w:pPr>
            <w:r w:rsidRPr="00256982">
              <w:rPr>
                <w:rFonts w:eastAsia="Calibri"/>
                <w:b/>
                <w:bCs/>
                <w:szCs w:val="22"/>
              </w:rPr>
              <w:t>14</w:t>
            </w:r>
          </w:p>
        </w:tc>
        <w:tc>
          <w:tcPr>
            <w:tcW w:w="1418" w:type="dxa"/>
            <w:shd w:val="clear" w:color="auto" w:fill="auto"/>
          </w:tcPr>
          <w:p w14:paraId="1536700B" w14:textId="77777777" w:rsidR="00FB33C6" w:rsidRPr="00256982" w:rsidRDefault="00FB33C6" w:rsidP="009C13DB">
            <w:pPr>
              <w:pStyle w:val="TableText"/>
              <w:keepNext/>
              <w:rPr>
                <w:rFonts w:eastAsia="Calibri"/>
                <w:szCs w:val="22"/>
              </w:rPr>
            </w:pPr>
            <w:r w:rsidRPr="00256982">
              <w:rPr>
                <w:rFonts w:eastAsia="Calibri"/>
                <w:szCs w:val="22"/>
              </w:rPr>
              <w:t>2014 Imports study</w:t>
            </w:r>
          </w:p>
        </w:tc>
        <w:tc>
          <w:tcPr>
            <w:tcW w:w="2551" w:type="dxa"/>
            <w:shd w:val="clear" w:color="auto" w:fill="auto"/>
          </w:tcPr>
          <w:p w14:paraId="64751229" w14:textId="77777777" w:rsidR="00FB33C6" w:rsidRPr="00256982" w:rsidRDefault="00FB33C6" w:rsidP="009C13DB">
            <w:pPr>
              <w:pStyle w:val="TableText"/>
              <w:keepNext/>
              <w:rPr>
                <w:rFonts w:eastAsia="Calibri"/>
                <w:szCs w:val="22"/>
              </w:rPr>
            </w:pPr>
            <w:r w:rsidRPr="00256982">
              <w:rPr>
                <w:rFonts w:eastAsia="Calibri"/>
                <w:szCs w:val="22"/>
              </w:rPr>
              <w:t xml:space="preserve">Jasperse, JA. 2016. Analysis of 2014 imports into Tokelau from Samoa, Part 2: Stores’ invoices reconciled with cargo manifests, and quality of life implications. Tokelau National Statistics Office </w:t>
            </w:r>
          </w:p>
        </w:tc>
        <w:tc>
          <w:tcPr>
            <w:tcW w:w="3850" w:type="dxa"/>
            <w:shd w:val="clear" w:color="auto" w:fill="auto"/>
          </w:tcPr>
          <w:p w14:paraId="7A46A9A0" w14:textId="77777777" w:rsidR="00FB33C6" w:rsidRPr="00256982" w:rsidRDefault="00FB33C6" w:rsidP="009C13DB">
            <w:pPr>
              <w:pStyle w:val="TableText"/>
              <w:keepNext/>
              <w:spacing w:after="0"/>
              <w:rPr>
                <w:rFonts w:eastAsia="Calibri"/>
                <w:szCs w:val="22"/>
              </w:rPr>
            </w:pPr>
            <w:r w:rsidRPr="00256982">
              <w:rPr>
                <w:rFonts w:eastAsia="Calibri"/>
                <w:szCs w:val="22"/>
              </w:rPr>
              <w:t>Various Energy and Waste sector data, for example, calculation of per capita protein consumption</w:t>
            </w:r>
          </w:p>
          <w:p w14:paraId="03E64D33" w14:textId="77777777" w:rsidR="00FB33C6" w:rsidRPr="00256982" w:rsidRDefault="00590491" w:rsidP="009C13DB">
            <w:pPr>
              <w:pStyle w:val="TableText"/>
              <w:keepNext/>
              <w:rPr>
                <w:rFonts w:eastAsia="Calibri"/>
              </w:rPr>
            </w:pPr>
            <w:hyperlink r:id="rId240" w:history="1">
              <w:r w:rsidR="00FB33C6" w:rsidRPr="00256982">
                <w:rPr>
                  <w:rStyle w:val="Hyperlink"/>
                  <w:rFonts w:eastAsia="Calibri"/>
                  <w:color w:val="auto"/>
                </w:rPr>
                <w:t>www.tokelau.org.nz/Bulletin/September+2016/2014+imports+final.html</w:t>
              </w:r>
            </w:hyperlink>
          </w:p>
        </w:tc>
      </w:tr>
      <w:tr w:rsidR="00FB33C6" w:rsidRPr="00256982" w14:paraId="0E799EDF" w14:textId="77777777" w:rsidTr="00823616">
        <w:tc>
          <w:tcPr>
            <w:tcW w:w="686" w:type="dxa"/>
            <w:shd w:val="clear" w:color="auto" w:fill="FFFFFF"/>
          </w:tcPr>
          <w:p w14:paraId="7F353027" w14:textId="77777777" w:rsidR="00FB33C6" w:rsidRPr="00256982" w:rsidRDefault="00FB33C6" w:rsidP="00823616">
            <w:pPr>
              <w:pStyle w:val="TableText"/>
              <w:rPr>
                <w:rFonts w:eastAsia="Calibri"/>
                <w:b/>
                <w:bCs/>
                <w:szCs w:val="22"/>
              </w:rPr>
            </w:pPr>
            <w:r w:rsidRPr="00256982">
              <w:rPr>
                <w:rFonts w:eastAsia="Calibri"/>
                <w:b/>
                <w:bCs/>
                <w:szCs w:val="22"/>
              </w:rPr>
              <w:t>15</w:t>
            </w:r>
          </w:p>
        </w:tc>
        <w:tc>
          <w:tcPr>
            <w:tcW w:w="1418" w:type="dxa"/>
            <w:shd w:val="clear" w:color="auto" w:fill="auto"/>
          </w:tcPr>
          <w:p w14:paraId="36855110" w14:textId="77777777" w:rsidR="00FB33C6" w:rsidRPr="00256982" w:rsidRDefault="00FB33C6" w:rsidP="00823616">
            <w:pPr>
              <w:pStyle w:val="TableText"/>
              <w:rPr>
                <w:rFonts w:eastAsia="Calibri"/>
                <w:szCs w:val="22"/>
              </w:rPr>
            </w:pPr>
            <w:r w:rsidRPr="00256982">
              <w:rPr>
                <w:rFonts w:eastAsia="Calibri"/>
                <w:szCs w:val="22"/>
              </w:rPr>
              <w:t>EDNRE</w:t>
            </w:r>
          </w:p>
        </w:tc>
        <w:tc>
          <w:tcPr>
            <w:tcW w:w="2551" w:type="dxa"/>
            <w:shd w:val="clear" w:color="auto" w:fill="auto"/>
          </w:tcPr>
          <w:p w14:paraId="3383A742" w14:textId="77777777" w:rsidR="00FB33C6" w:rsidRPr="00256982" w:rsidRDefault="00FB33C6" w:rsidP="00823616">
            <w:pPr>
              <w:pStyle w:val="TableText"/>
              <w:rPr>
                <w:rFonts w:eastAsia="Calibri"/>
                <w:szCs w:val="22"/>
              </w:rPr>
            </w:pPr>
            <w:r w:rsidRPr="00256982">
              <w:rPr>
                <w:rFonts w:eastAsia="Calibri"/>
                <w:szCs w:val="22"/>
              </w:rPr>
              <w:t>Department of Economic Development, Natural Resources and Environment</w:t>
            </w:r>
          </w:p>
        </w:tc>
        <w:tc>
          <w:tcPr>
            <w:tcW w:w="3850" w:type="dxa"/>
            <w:shd w:val="clear" w:color="auto" w:fill="auto"/>
          </w:tcPr>
          <w:p w14:paraId="5CB45DA6" w14:textId="77777777" w:rsidR="00FB33C6" w:rsidRPr="00256982" w:rsidRDefault="00FB33C6" w:rsidP="00823616">
            <w:pPr>
              <w:pStyle w:val="TableText"/>
              <w:rPr>
                <w:rFonts w:eastAsia="Calibri"/>
                <w:szCs w:val="22"/>
              </w:rPr>
            </w:pPr>
            <w:r w:rsidRPr="00256982">
              <w:rPr>
                <w:rFonts w:eastAsia="Calibri"/>
                <w:szCs w:val="22"/>
              </w:rPr>
              <w:t>Anecdotal information on waste disposal and export</w:t>
            </w:r>
          </w:p>
        </w:tc>
      </w:tr>
      <w:tr w:rsidR="00FB33C6" w:rsidRPr="00256982" w14:paraId="1A62A789" w14:textId="77777777" w:rsidTr="00823616">
        <w:tc>
          <w:tcPr>
            <w:tcW w:w="686" w:type="dxa"/>
            <w:shd w:val="clear" w:color="auto" w:fill="FFFFFF"/>
          </w:tcPr>
          <w:p w14:paraId="6AD08443" w14:textId="77777777" w:rsidR="00FB33C6" w:rsidRPr="00256982" w:rsidRDefault="00FB33C6" w:rsidP="00823616">
            <w:pPr>
              <w:pStyle w:val="TableText"/>
              <w:rPr>
                <w:rFonts w:eastAsia="Calibri"/>
                <w:b/>
                <w:bCs/>
                <w:szCs w:val="22"/>
              </w:rPr>
            </w:pPr>
            <w:r w:rsidRPr="00256982">
              <w:rPr>
                <w:rFonts w:eastAsia="Calibri"/>
                <w:b/>
                <w:bCs/>
                <w:szCs w:val="22"/>
              </w:rPr>
              <w:t>16</w:t>
            </w:r>
          </w:p>
        </w:tc>
        <w:tc>
          <w:tcPr>
            <w:tcW w:w="1418" w:type="dxa"/>
            <w:shd w:val="clear" w:color="auto" w:fill="auto"/>
          </w:tcPr>
          <w:p w14:paraId="5C6EE178" w14:textId="77777777" w:rsidR="00FB33C6" w:rsidRPr="00256982" w:rsidRDefault="00FB33C6" w:rsidP="00823616">
            <w:pPr>
              <w:pStyle w:val="TableText"/>
              <w:rPr>
                <w:rFonts w:eastAsia="Calibri"/>
                <w:szCs w:val="22"/>
              </w:rPr>
            </w:pPr>
            <w:r w:rsidRPr="00256982">
              <w:rPr>
                <w:rFonts w:eastAsia="Calibri"/>
                <w:szCs w:val="22"/>
              </w:rPr>
              <w:t>PCRAFI</w:t>
            </w:r>
          </w:p>
        </w:tc>
        <w:tc>
          <w:tcPr>
            <w:tcW w:w="2551" w:type="dxa"/>
            <w:shd w:val="clear" w:color="auto" w:fill="auto"/>
          </w:tcPr>
          <w:p w14:paraId="24CC9E6C" w14:textId="77777777" w:rsidR="00FB33C6" w:rsidRPr="00256982" w:rsidRDefault="00FB33C6" w:rsidP="00823616">
            <w:pPr>
              <w:pStyle w:val="TableText"/>
              <w:rPr>
                <w:rFonts w:eastAsia="Calibri"/>
                <w:szCs w:val="22"/>
              </w:rPr>
            </w:pPr>
            <w:r w:rsidRPr="00256982">
              <w:rPr>
                <w:rFonts w:eastAsia="Calibri"/>
                <w:szCs w:val="22"/>
              </w:rPr>
              <w:t>Koroisamanunu, Iva; Joy Papao; Mereoni Ketewai; and Arieta Sokota: Mission Preliminary Report (Fieldwork undertaken from 8 August – 2 September 2013). SOPAC technical note (PR193), May 2014. Water and Sanitation Programme and Disaster Reduction Programme. Applied Geoscience and Technology Division (SOPAC), Suva, Fiji Islands</w:t>
            </w:r>
          </w:p>
        </w:tc>
        <w:tc>
          <w:tcPr>
            <w:tcW w:w="3850" w:type="dxa"/>
            <w:shd w:val="clear" w:color="auto" w:fill="auto"/>
          </w:tcPr>
          <w:p w14:paraId="58E6694D" w14:textId="77777777" w:rsidR="00FB33C6" w:rsidRPr="00256982" w:rsidRDefault="00FB33C6" w:rsidP="00823616">
            <w:pPr>
              <w:pStyle w:val="TableText"/>
              <w:rPr>
                <w:rFonts w:eastAsia="Calibri"/>
                <w:szCs w:val="22"/>
              </w:rPr>
            </w:pPr>
            <w:r w:rsidRPr="00256982">
              <w:rPr>
                <w:rFonts w:eastAsia="Calibri"/>
                <w:szCs w:val="22"/>
              </w:rPr>
              <w:t>Information on drinking water, wastewater and sanitation</w:t>
            </w:r>
          </w:p>
        </w:tc>
      </w:tr>
    </w:tbl>
    <w:p w14:paraId="55C1F036" w14:textId="77777777" w:rsidR="00FB33C6" w:rsidRPr="00256982" w:rsidRDefault="00FB33C6" w:rsidP="00FB33C6">
      <w:pPr>
        <w:pStyle w:val="Heading5"/>
        <w:spacing w:before="480"/>
      </w:pPr>
      <w:r w:rsidRPr="00256982">
        <w:t>Tokelau’s data and information in the Common Reporting Format Reporter</w:t>
      </w:r>
    </w:p>
    <w:p w14:paraId="0C291F5D" w14:textId="77777777" w:rsidR="00FB33C6" w:rsidRPr="00256982" w:rsidRDefault="00FB33C6" w:rsidP="00FB33C6">
      <w:pPr>
        <w:pStyle w:val="BodyText"/>
      </w:pPr>
      <w:r w:rsidRPr="00256982">
        <w:t xml:space="preserve">Because methodologies for estimating emissions in Tokelau and New Zealand differ, adding Tokelau and New Zealand’s activity data at a category level and estimating combined emissions within each category is currently not possible. Due to limitations of the common reporting format (CRF) software, including specific categories for Tokelau consistently across all inventory sectors was also not possible. </w:t>
      </w:r>
    </w:p>
    <w:p w14:paraId="20A4DACD" w14:textId="77777777" w:rsidR="00FB33C6" w:rsidRPr="00256982" w:rsidRDefault="00FB33C6" w:rsidP="00FB33C6">
      <w:pPr>
        <w:pStyle w:val="BodyText"/>
      </w:pPr>
      <w:r w:rsidRPr="00256982">
        <w:t xml:space="preserve">Tokelau requested New Zealand’s inventory team to maintain visibility of the data from Tokelau in the CRF, so that Tokelau officials could use them for other reporting and policy purposes. Reporting Tokelau as a different inventory sector provides this visibility. </w:t>
      </w:r>
    </w:p>
    <w:p w14:paraId="6F6A9DCC" w14:textId="77777777" w:rsidR="00FB33C6" w:rsidRPr="00256982" w:rsidRDefault="00FB33C6" w:rsidP="00FB33C6">
      <w:pPr>
        <w:pStyle w:val="BodyText"/>
      </w:pPr>
      <w:r w:rsidRPr="00256982">
        <w:t xml:space="preserve">To maintain transparency of the inventory and visibility of the GHG data from Tokelau, CRF sector 6 (Other) was used to present emissions from Tokelau by sector in the CRF. Currently, the CRF Reporter does not allow creating subcategory levels in sector 6. To avoid double counting in the CRF, the data and information are aggregated for each of the Energy, IPPU, Agriculture and Waste sectors. In addition, annex 7 includes detailed tables with time series from 1990 to 2017 for each category reported for Tokelau. For comparability reasons, these tables are in the same format as the CRF entry tables, and the table names follow the CRF naming convention for emission categories. The executive summary and chapter 2 of the NIR include comparisons between Tokelau and New Zealand’s emissions. </w:t>
      </w:r>
    </w:p>
    <w:p w14:paraId="68348535" w14:textId="77777777" w:rsidR="00FB33C6" w:rsidRPr="00256982" w:rsidRDefault="00FB33C6" w:rsidP="00FB33C6">
      <w:pPr>
        <w:pStyle w:val="Heading2"/>
      </w:pPr>
      <w:bookmarkStart w:id="2459" w:name="_Toc5269394"/>
      <w:r w:rsidRPr="00256982">
        <w:t xml:space="preserve">8.2 </w:t>
      </w:r>
      <w:r w:rsidRPr="00256982">
        <w:tab/>
        <w:t xml:space="preserve">Energy emissions from Tokelau </w:t>
      </w:r>
      <w:r w:rsidRPr="00256982">
        <w:br/>
        <w:t>(CRF 6. Tokelau_1)</w:t>
      </w:r>
      <w:bookmarkEnd w:id="2459"/>
    </w:p>
    <w:p w14:paraId="41E723E3" w14:textId="77777777" w:rsidR="00FB33C6" w:rsidRPr="00256982" w:rsidRDefault="00FB33C6" w:rsidP="00FB33C6">
      <w:pPr>
        <w:pStyle w:val="BodyText"/>
      </w:pPr>
      <w:r w:rsidRPr="00256982">
        <w:t>The total amount of all energy emissions in Tokelau in 2017 was 1.91 kt CO</w:t>
      </w:r>
      <w:r w:rsidRPr="00256982">
        <w:rPr>
          <w:vertAlign w:val="subscript"/>
        </w:rPr>
        <w:t>2</w:t>
      </w:r>
      <w:r w:rsidRPr="00256982">
        <w:t xml:space="preserve">-e. They contributed 66.7 per cent to the total emissions from Tokelau and 0.002 per cent to New Zealand’s gross emissions including Tokelau. The categories that contributed to the energy emissions were </w:t>
      </w:r>
      <w:r w:rsidRPr="00256982">
        <w:rPr>
          <w:i/>
        </w:rPr>
        <w:t>Domestic navigation</w:t>
      </w:r>
      <w:r w:rsidRPr="00256982">
        <w:t>,</w:t>
      </w:r>
      <w:r w:rsidRPr="00256982">
        <w:rPr>
          <w:i/>
        </w:rPr>
        <w:t xml:space="preserve"> Public electricity and heat production </w:t>
      </w:r>
      <w:r w:rsidRPr="00256982">
        <w:t>and</w:t>
      </w:r>
      <w:r w:rsidRPr="00256982">
        <w:rPr>
          <w:i/>
        </w:rPr>
        <w:t xml:space="preserve"> Residential</w:t>
      </w:r>
      <w:r w:rsidRPr="00256982">
        <w:t xml:space="preserve">. </w:t>
      </w:r>
    </w:p>
    <w:p w14:paraId="5B5888F0" w14:textId="77777777" w:rsidR="00FB33C6" w:rsidRPr="00256982" w:rsidRDefault="00FB33C6" w:rsidP="00FB33C6">
      <w:pPr>
        <w:pStyle w:val="BodyText"/>
      </w:pPr>
      <w:r w:rsidRPr="00256982">
        <w:t xml:space="preserve">For all energy categories, emissions were estimated using the Tier 1 methodological approach with default emission factors (2006 IPCC Guidelines). Default uncertainty values from the 2006 IPCC Guidelines were used for all estimates (IPCC, 2006a). </w:t>
      </w:r>
    </w:p>
    <w:p w14:paraId="6E8A5858" w14:textId="77777777" w:rsidR="00FB33C6" w:rsidRPr="00256982" w:rsidRDefault="00FB33C6" w:rsidP="00FB33C6">
      <w:pPr>
        <w:pStyle w:val="BodyText"/>
        <w:rPr>
          <w:lang w:eastAsia="en-GB"/>
        </w:rPr>
      </w:pPr>
      <w:r w:rsidRPr="00256982">
        <w:rPr>
          <w:lang w:eastAsia="en-GB"/>
        </w:rPr>
        <w:t xml:space="preserve">Tokelau predominately uses gas and diesel oil (for back-up generators and transport) and liquefied petroleum gas (LPG) (for cooking purposes). Solid fuels are not used in Tokelau. The emissions from liquid and gaseous fuels from Tokelau (0.006 per cent of New Zealand’s energy emissions) are included under energy industry and transport emissions. </w:t>
      </w:r>
    </w:p>
    <w:p w14:paraId="4C6C1D28" w14:textId="77777777" w:rsidR="00FB33C6" w:rsidRPr="00256982" w:rsidRDefault="00FB33C6" w:rsidP="00FB33C6">
      <w:pPr>
        <w:pStyle w:val="BodyText"/>
        <w:rPr>
          <w:lang w:eastAsia="en-GB"/>
        </w:rPr>
      </w:pPr>
      <w:r w:rsidRPr="00256982">
        <w:rPr>
          <w:lang w:eastAsia="en-GB"/>
        </w:rPr>
        <w:t>There are miniscule amounts of other fossil fuels imported by Tokelau, which are assumed to be combusted. These include gasoline, other kerosene and lubricants. Their combustion is accounted for under gas and diesel oil. There were approximately 40 drums (205-litre capacity per drum) of oil imported annually, the bulk of which was presumably mixed with petrol and used for ‘outboard’ engines and combusted, with only a few drums used to lubricate cars and other engines. Because none of those were recycled, combustion is the most likely outcome.</w:t>
      </w:r>
    </w:p>
    <w:p w14:paraId="6AA764AA" w14:textId="77777777" w:rsidR="00FB33C6" w:rsidRPr="00256982" w:rsidRDefault="00FB33C6" w:rsidP="00FB33C6">
      <w:pPr>
        <w:pStyle w:val="BodyText"/>
        <w:rPr>
          <w:lang w:eastAsia="en-GB"/>
        </w:rPr>
      </w:pPr>
      <w:r w:rsidRPr="00256982">
        <w:rPr>
          <w:lang w:eastAsia="en-GB"/>
        </w:rPr>
        <w:t>For consistency with New Zealand’s Energy sector, gross calorific values were used for Energy sector estimates from Tokelau. The relevant default IPCC emission factors were adjusted accordingly by multiplying them by 0.95 and 0.90 for liquid and gaseous fuels respectively.</w:t>
      </w:r>
    </w:p>
    <w:p w14:paraId="32CDC57F" w14:textId="77777777" w:rsidR="00FB33C6" w:rsidRPr="00256982" w:rsidRDefault="00FB33C6" w:rsidP="00FB33C6">
      <w:pPr>
        <w:pStyle w:val="Heading3"/>
      </w:pPr>
      <w:r w:rsidRPr="00256982">
        <w:t xml:space="preserve">8.2.1 </w:t>
      </w:r>
      <w:r w:rsidRPr="00256982">
        <w:tab/>
        <w:t>Reference approach</w:t>
      </w:r>
    </w:p>
    <w:p w14:paraId="1B1E56A8" w14:textId="77777777" w:rsidR="00FB33C6" w:rsidRPr="00256982" w:rsidRDefault="00FB33C6" w:rsidP="00FB33C6">
      <w:pPr>
        <w:pStyle w:val="BodyText"/>
        <w:rPr>
          <w:lang w:eastAsia="en-GB"/>
        </w:rPr>
      </w:pPr>
      <w:r w:rsidRPr="00256982">
        <w:rPr>
          <w:lang w:eastAsia="en-GB"/>
        </w:rPr>
        <w:t xml:space="preserve">The reference approach calculations were performed according to the methods described in the 2006 IPCC Guidelines (IPCC, 2006a). Gross calorific values were used for all calculations. </w:t>
      </w:r>
    </w:p>
    <w:p w14:paraId="75EF2360" w14:textId="77777777" w:rsidR="00FB33C6" w:rsidRPr="00256982" w:rsidRDefault="00FB33C6" w:rsidP="00FB33C6">
      <w:pPr>
        <w:pStyle w:val="BodyText"/>
        <w:rPr>
          <w:lang w:eastAsia="en-GB"/>
        </w:rPr>
      </w:pPr>
      <w:r w:rsidRPr="00256982">
        <w:rPr>
          <w:lang w:eastAsia="en-GB"/>
        </w:rPr>
        <w:t>In 2017, total CO</w:t>
      </w:r>
      <w:r w:rsidRPr="00256982">
        <w:rPr>
          <w:vertAlign w:val="subscript"/>
          <w:lang w:eastAsia="en-GB"/>
        </w:rPr>
        <w:t>2</w:t>
      </w:r>
      <w:r w:rsidRPr="00256982">
        <w:rPr>
          <w:lang w:eastAsia="en-GB"/>
        </w:rPr>
        <w:t xml:space="preserve"> emissions from the reference approach in Tokelau were 1.96 kt, which differs from the sectoral approach by 3.6 per cent. The variation of differences between the sectoral and reference approach across the time series was 3.6 per cent or below.</w:t>
      </w:r>
    </w:p>
    <w:p w14:paraId="722D0A7D" w14:textId="77777777" w:rsidR="00FB33C6" w:rsidRPr="00256982" w:rsidRDefault="00FB33C6" w:rsidP="00FB33C6">
      <w:pPr>
        <w:pStyle w:val="Heading3"/>
        <w:rPr>
          <w:lang w:eastAsia="en-GB"/>
        </w:rPr>
      </w:pPr>
      <w:r w:rsidRPr="00256982">
        <w:rPr>
          <w:lang w:eastAsia="en-GB"/>
        </w:rPr>
        <w:t>8.2.2</w:t>
      </w:r>
      <w:r w:rsidRPr="00256982">
        <w:rPr>
          <w:lang w:eastAsia="en-GB"/>
        </w:rPr>
        <w:tab/>
        <w:t>International bunker fuels</w:t>
      </w:r>
    </w:p>
    <w:p w14:paraId="44F85DEA" w14:textId="77777777" w:rsidR="00FB33C6" w:rsidRPr="00256982" w:rsidRDefault="00FB33C6" w:rsidP="00FB33C6">
      <w:pPr>
        <w:pStyle w:val="BodyText"/>
        <w:rPr>
          <w:lang w:eastAsia="en-GB"/>
        </w:rPr>
      </w:pPr>
      <w:r w:rsidRPr="00256982">
        <w:rPr>
          <w:lang w:eastAsia="en-GB"/>
        </w:rPr>
        <w:t>There is no fuel usage for international navigation in Tokelau, because only domestic voyages are made by Tokelau’s vessels. All international voyages use the fuel loaded in Samoa and there is no refuelling in Tokelau for the international routes.</w:t>
      </w:r>
    </w:p>
    <w:p w14:paraId="0737A145" w14:textId="77777777" w:rsidR="00FB33C6" w:rsidRPr="00256982" w:rsidRDefault="00FB33C6" w:rsidP="00FB33C6">
      <w:pPr>
        <w:pStyle w:val="BodyText"/>
        <w:rPr>
          <w:lang w:eastAsia="en-GB"/>
        </w:rPr>
      </w:pPr>
      <w:r w:rsidRPr="00256982">
        <w:rPr>
          <w:lang w:eastAsia="en-GB"/>
        </w:rPr>
        <w:t xml:space="preserve">There is no aviation transportation (domestic or international) in Tokelau. </w:t>
      </w:r>
    </w:p>
    <w:p w14:paraId="7C327D93" w14:textId="77777777" w:rsidR="00FB33C6" w:rsidRPr="00256982" w:rsidRDefault="00FB33C6" w:rsidP="00FB33C6">
      <w:pPr>
        <w:pStyle w:val="Heading3"/>
      </w:pPr>
      <w:r w:rsidRPr="00256982">
        <w:t xml:space="preserve">8.2.3 </w:t>
      </w:r>
      <w:r w:rsidRPr="00256982">
        <w:tab/>
        <w:t>Stationary combustion: Energy industries</w:t>
      </w:r>
      <w:r w:rsidRPr="00256982">
        <w:rPr>
          <w:i/>
        </w:rPr>
        <w:t xml:space="preserve"> </w:t>
      </w:r>
      <w:r w:rsidRPr="00256982">
        <w:t>in Tokelau</w:t>
      </w:r>
      <w:r w:rsidRPr="00256982">
        <w:rPr>
          <w:i/>
        </w:rPr>
        <w:t xml:space="preserve"> </w:t>
      </w:r>
    </w:p>
    <w:p w14:paraId="3808625E" w14:textId="77777777" w:rsidR="00FB33C6" w:rsidRPr="00256982" w:rsidRDefault="00FB33C6" w:rsidP="00FB33C6">
      <w:pPr>
        <w:pStyle w:val="Heading4"/>
      </w:pPr>
      <w:r w:rsidRPr="00256982">
        <w:t>Description</w:t>
      </w:r>
    </w:p>
    <w:p w14:paraId="34B294A1" w14:textId="77777777" w:rsidR="00FB33C6" w:rsidRPr="00256982" w:rsidRDefault="00FB33C6" w:rsidP="00FB33C6">
      <w:pPr>
        <w:pStyle w:val="BodyText"/>
      </w:pPr>
      <w:r w:rsidRPr="00256982">
        <w:t xml:space="preserve">The main source of emissions from this category in Tokelau includes electricity and heat production from back-up generators. Tokelau uses liquid fossil fuels for these purposes, therefore, only liquid fossil fuels are reported under the </w:t>
      </w:r>
      <w:r w:rsidRPr="00256982">
        <w:rPr>
          <w:i/>
        </w:rPr>
        <w:t>Energy industries</w:t>
      </w:r>
      <w:r w:rsidRPr="00256982">
        <w:t xml:space="preserve"> category (see table A7.1.1 in annex 7). </w:t>
      </w:r>
    </w:p>
    <w:p w14:paraId="41FCAE38" w14:textId="77777777" w:rsidR="00FB33C6" w:rsidRPr="00256982" w:rsidRDefault="00FB33C6" w:rsidP="00FB33C6">
      <w:pPr>
        <w:pStyle w:val="BodyText"/>
      </w:pPr>
      <w:r w:rsidRPr="00256982">
        <w:t xml:space="preserve">Like most small Pacific Island nations and territories, Tokelau has been heavily reliant on the importation of fossil fuels for energy generation. In 2012, the installation of about 4,000 solar panels across the three atolls was completed (figure 8.2.1). Each of the three Tokelau atolls now has a significant array of solar panels that cater for almost all local electric power requirements. </w:t>
      </w:r>
    </w:p>
    <w:p w14:paraId="15B469FF" w14:textId="77777777" w:rsidR="00FB33C6" w:rsidRPr="00256982" w:rsidRDefault="00FB33C6" w:rsidP="00FB33C6">
      <w:pPr>
        <w:pStyle w:val="Figure"/>
      </w:pPr>
      <w:bookmarkStart w:id="2460" w:name="_Toc5269725"/>
      <w:r w:rsidRPr="00256982">
        <w:t xml:space="preserve">Figure 8.2.1 </w:t>
      </w:r>
      <w:r w:rsidRPr="00256982">
        <w:tab/>
        <w:t>Cluster block diagram for Tokelau’s solar project</w:t>
      </w:r>
      <w:bookmarkEnd w:id="2460"/>
    </w:p>
    <w:p w14:paraId="45531256" w14:textId="77777777" w:rsidR="00FB33C6" w:rsidRPr="00256982" w:rsidRDefault="00590491" w:rsidP="00FB33C6">
      <w:pPr>
        <w:spacing w:after="120"/>
      </w:pPr>
      <w:r>
        <w:pict w14:anchorId="2441976A">
          <v:shape id="Picture 2" o:spid="_x0000_s1134" type="#_x0000_t75" style="position:absolute;left:0;text-align:left;margin-left:239.1pt;margin-top:145.9pt;width:159.45pt;height:98.05pt;z-index: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v:imagedata r:id="rId241" o:title="" croptop="27386f" cropbottom="8516f" cropleft="13960f" cropright="25892f"/>
          </v:shape>
        </w:pict>
      </w:r>
      <w:r w:rsidR="00FB33C6" w:rsidRPr="00256982">
        <w:t xml:space="preserve"> </w:t>
      </w:r>
      <w:r>
        <w:rPr>
          <w:lang w:eastAsia="en-NZ"/>
        </w:rPr>
        <w:pict w14:anchorId="3EC9219C">
          <v:shape id="Picture 15" o:spid="_x0000_i1159" type="#_x0000_t75" style="width:378.75pt;height:218.25pt;visibility:visible;mso-wrap-style:square">
            <v:imagedata r:id="rId242" o:title="" croptop="20820f" cropbottom="21049f" cropleft="21179f" cropright="21567f"/>
          </v:shape>
        </w:pict>
      </w:r>
    </w:p>
    <w:p w14:paraId="1EF337A6" w14:textId="77777777" w:rsidR="00FB33C6" w:rsidRPr="00256982" w:rsidRDefault="00FB33C6" w:rsidP="00FB33C6">
      <w:pPr>
        <w:pStyle w:val="BodyText"/>
      </w:pPr>
    </w:p>
    <w:p w14:paraId="73AA9CF0" w14:textId="77777777" w:rsidR="00FB33C6" w:rsidRPr="00256982" w:rsidRDefault="00FB33C6" w:rsidP="00FB33C6">
      <w:pPr>
        <w:pStyle w:val="Source"/>
      </w:pPr>
      <w:r w:rsidRPr="00256982">
        <w:t xml:space="preserve">Source: SMA. </w:t>
      </w:r>
    </w:p>
    <w:p w14:paraId="7353A7E2" w14:textId="77777777" w:rsidR="00FB33C6" w:rsidRPr="00256982" w:rsidRDefault="00FB33C6" w:rsidP="00FB33C6">
      <w:pPr>
        <w:pStyle w:val="BodyText"/>
      </w:pPr>
      <w:r w:rsidRPr="00256982">
        <w:t>By 2013, Tokelau became the world’s first 100 per cent solar-powered nation. Tokelau received significant media coverage for this.</w:t>
      </w:r>
      <w:r w:rsidRPr="00256982">
        <w:rPr>
          <w:vertAlign w:val="superscript"/>
        </w:rPr>
        <w:footnoteReference w:id="61"/>
      </w:r>
      <w:r w:rsidRPr="00256982">
        <w:t xml:space="preserve"> The change resulted in a significant drop in liquid fossil fuels consumption for electricity production in Tokelau (by approximately 82 per cent) and a decrease of the total energy emissions by 33.3 per cent between 2011 and 2013. However, some power generation using diesel remains necessary as backup and during prolonged cloudy spells.</w:t>
      </w:r>
    </w:p>
    <w:p w14:paraId="6B5C7D50" w14:textId="77777777" w:rsidR="00FB33C6" w:rsidRPr="00256982" w:rsidRDefault="00FB33C6" w:rsidP="00FB33C6">
      <w:pPr>
        <w:pStyle w:val="Heading5"/>
      </w:pPr>
      <w:r w:rsidRPr="00256982">
        <w:t>Energy emission trends</w:t>
      </w:r>
    </w:p>
    <w:p w14:paraId="56405BC6" w14:textId="77777777" w:rsidR="00FB33C6" w:rsidRPr="00256982" w:rsidRDefault="00FB33C6" w:rsidP="00FB33C6">
      <w:pPr>
        <w:pStyle w:val="BodyText"/>
        <w:rPr>
          <w:lang w:eastAsia="en-GB"/>
        </w:rPr>
      </w:pPr>
      <w:r w:rsidRPr="00256982">
        <w:rPr>
          <w:lang w:eastAsia="en-GB"/>
        </w:rPr>
        <w:t xml:space="preserve">For Tokelau, the </w:t>
      </w:r>
      <w:r w:rsidRPr="00256982">
        <w:rPr>
          <w:i/>
          <w:lang w:eastAsia="en-GB"/>
        </w:rPr>
        <w:t>Public electricity and heat production</w:t>
      </w:r>
      <w:r w:rsidRPr="00256982">
        <w:rPr>
          <w:lang w:eastAsia="en-GB"/>
        </w:rPr>
        <w:t xml:space="preserve"> category accounted for </w:t>
      </w:r>
      <w:r w:rsidRPr="00256982">
        <w:t>100 per cent</w:t>
      </w:r>
      <w:r w:rsidRPr="00256982">
        <w:rPr>
          <w:lang w:eastAsia="en-GB"/>
        </w:rPr>
        <w:t xml:space="preserve"> of the emissions from the </w:t>
      </w:r>
      <w:r w:rsidRPr="00256982">
        <w:rPr>
          <w:i/>
          <w:lang w:eastAsia="en-GB"/>
        </w:rPr>
        <w:t>Energy industries</w:t>
      </w:r>
      <w:r w:rsidRPr="00256982">
        <w:rPr>
          <w:lang w:eastAsia="en-GB"/>
        </w:rPr>
        <w:t xml:space="preserve"> category for the entire time series. In </w:t>
      </w:r>
      <w:r w:rsidRPr="00256982">
        <w:t>2017</w:t>
      </w:r>
      <w:r w:rsidRPr="00256982">
        <w:rPr>
          <w:lang w:eastAsia="en-GB"/>
        </w:rPr>
        <w:t xml:space="preserve">, emissions from the </w:t>
      </w:r>
      <w:r w:rsidRPr="00256982">
        <w:rPr>
          <w:i/>
          <w:lang w:eastAsia="en-GB"/>
        </w:rPr>
        <w:t>Energy industries</w:t>
      </w:r>
      <w:r w:rsidRPr="00256982">
        <w:rPr>
          <w:lang w:eastAsia="en-GB"/>
        </w:rPr>
        <w:t xml:space="preserve"> category totalled </w:t>
      </w:r>
      <w:r w:rsidRPr="00256982">
        <w:t xml:space="preserve">0.20 </w:t>
      </w:r>
      <w:r w:rsidRPr="00256982">
        <w:rPr>
          <w:lang w:eastAsia="en-GB"/>
        </w:rPr>
        <w:t>kt CO</w:t>
      </w:r>
      <w:r w:rsidRPr="00256982">
        <w:rPr>
          <w:vertAlign w:val="subscript"/>
          <w:lang w:eastAsia="en-GB"/>
        </w:rPr>
        <w:t>2</w:t>
      </w:r>
      <w:r w:rsidRPr="00256982">
        <w:rPr>
          <w:lang w:eastAsia="en-GB"/>
        </w:rPr>
        <w:t>-e (</w:t>
      </w:r>
      <w:r w:rsidRPr="00256982">
        <w:t>10.6 per cent</w:t>
      </w:r>
      <w:r w:rsidRPr="00256982">
        <w:rPr>
          <w:lang w:eastAsia="en-GB"/>
        </w:rPr>
        <w:t xml:space="preserve"> of all energy emissions from Tokelau). Emissions from energy industries have </w:t>
      </w:r>
      <w:r w:rsidRPr="00256982">
        <w:t xml:space="preserve">decreased by 0.95 </w:t>
      </w:r>
      <w:r w:rsidRPr="00256982">
        <w:rPr>
          <w:lang w:eastAsia="en-GB"/>
        </w:rPr>
        <w:t>kt CO</w:t>
      </w:r>
      <w:r w:rsidRPr="00256982">
        <w:rPr>
          <w:vertAlign w:val="subscript"/>
          <w:lang w:eastAsia="en-GB"/>
        </w:rPr>
        <w:t>2</w:t>
      </w:r>
      <w:r w:rsidRPr="00256982">
        <w:rPr>
          <w:lang w:eastAsia="en-GB"/>
        </w:rPr>
        <w:t xml:space="preserve">-e </w:t>
      </w:r>
      <w:r w:rsidRPr="00256982">
        <w:rPr>
          <w:lang w:eastAsia="en-GB"/>
        </w:rPr>
        <w:br/>
        <w:t>(–82.5</w:t>
      </w:r>
      <w:r w:rsidRPr="00256982">
        <w:t xml:space="preserve"> per cent</w:t>
      </w:r>
      <w:r w:rsidRPr="00256982">
        <w:rPr>
          <w:lang w:eastAsia="en-GB"/>
        </w:rPr>
        <w:t xml:space="preserve">) since the 1990 level of </w:t>
      </w:r>
      <w:r w:rsidRPr="00256982">
        <w:t xml:space="preserve">1.15 </w:t>
      </w:r>
      <w:r w:rsidRPr="00256982">
        <w:rPr>
          <w:lang w:eastAsia="en-GB"/>
        </w:rPr>
        <w:t>kt CO</w:t>
      </w:r>
      <w:r w:rsidRPr="00256982">
        <w:rPr>
          <w:vertAlign w:val="subscript"/>
          <w:lang w:eastAsia="en-GB"/>
        </w:rPr>
        <w:t>2</w:t>
      </w:r>
      <w:r w:rsidRPr="00256982">
        <w:rPr>
          <w:lang w:eastAsia="en-GB"/>
        </w:rPr>
        <w:t>-e. The decrease is due to installing the solar units in 2012 and solar energy dominating the energy production sources in Tokelau since then.</w:t>
      </w:r>
    </w:p>
    <w:p w14:paraId="7E0DA28D" w14:textId="77777777" w:rsidR="00FB33C6" w:rsidRPr="00256982" w:rsidRDefault="00FB33C6" w:rsidP="00FB33C6">
      <w:pPr>
        <w:pStyle w:val="Heading4"/>
      </w:pPr>
      <w:r w:rsidRPr="00256982">
        <w:t>Methodological issues</w:t>
      </w:r>
    </w:p>
    <w:p w14:paraId="6C220371" w14:textId="77777777" w:rsidR="00FB33C6" w:rsidRPr="00256982" w:rsidRDefault="00FB33C6" w:rsidP="00FB33C6">
      <w:pPr>
        <w:pStyle w:val="Heading5"/>
      </w:pPr>
      <w:r w:rsidRPr="00256982">
        <w:t>Activity data</w:t>
      </w:r>
    </w:p>
    <w:p w14:paraId="6FEAE894" w14:textId="77777777" w:rsidR="00FB33C6" w:rsidRPr="00256982" w:rsidRDefault="00FB33C6" w:rsidP="00FB33C6">
      <w:pPr>
        <w:pStyle w:val="BodyText"/>
        <w:rPr>
          <w:lang w:eastAsia="en-GB"/>
        </w:rPr>
      </w:pPr>
      <w:r w:rsidRPr="00256982">
        <w:rPr>
          <w:lang w:eastAsia="en-GB"/>
        </w:rPr>
        <w:t>The sources of activity data for the energy industries category are included in table 8.1.2. Key sources for the energy supply and consumption data are the Tokelau Department of Energy and Petroleum Product Supplies Ltd (Apia, Samoa). The Tokelau Department of Energy</w:t>
      </w:r>
      <w:r w:rsidRPr="00256982" w:rsidDel="003F6449">
        <w:rPr>
          <w:lang w:eastAsia="en-GB"/>
        </w:rPr>
        <w:t xml:space="preserve"> </w:t>
      </w:r>
      <w:r w:rsidRPr="00256982">
        <w:rPr>
          <w:lang w:eastAsia="en-GB"/>
        </w:rPr>
        <w:t xml:space="preserve">provided background data for estimates of diesel use for power generation before and after installation of solar panels in July–September 2012 and participated in making those estimates (item 6 in table 8.1.2). Based on Tokelau purchase information, Petroleum Product Supplies Ltd provided the data on fuel prices and volumes supplied for shipping and on-atoll use of diesel, petrol, kerosene and lubricant oil (item 7 in table 8.1.2). Only liquid fossil fuels (gas and diesel oil) are used in the </w:t>
      </w:r>
      <w:r w:rsidRPr="00256982">
        <w:rPr>
          <w:i/>
          <w:lang w:eastAsia="en-GB"/>
        </w:rPr>
        <w:t>Energy industry</w:t>
      </w:r>
      <w:r w:rsidRPr="00256982">
        <w:rPr>
          <w:lang w:eastAsia="en-GB"/>
        </w:rPr>
        <w:t xml:space="preserve"> category. Because all fossil fuels in Tokelau are imported, activity data are mostly obtained from analysis of invoices from main suppliers and shipping manifests. </w:t>
      </w:r>
    </w:p>
    <w:p w14:paraId="21E97093" w14:textId="77777777" w:rsidR="00FB33C6" w:rsidRPr="00256982" w:rsidRDefault="00FB33C6" w:rsidP="00FB33C6">
      <w:pPr>
        <w:pStyle w:val="BodyText"/>
        <w:rPr>
          <w:lang w:eastAsia="en-GB"/>
        </w:rPr>
      </w:pPr>
      <w:r w:rsidRPr="00256982">
        <w:rPr>
          <w:lang w:eastAsia="en-GB"/>
        </w:rPr>
        <w:t>In the course of the analysis of available data, big discrepancies were discovered between the shipping manifests and more reliable financial fuel data. Due to resource constraints, it was not possible to resolve the discrepancies for each year of the time series. As a result, the detailed data were not available for each year from 1990</w:t>
      </w:r>
      <w:r w:rsidRPr="00256982">
        <w:rPr>
          <w:color w:val="000000"/>
        </w:rPr>
        <w:t>–</w:t>
      </w:r>
      <w:r w:rsidRPr="00256982">
        <w:rPr>
          <w:lang w:eastAsia="en-GB"/>
        </w:rPr>
        <w:t>2017 (or data reliability was not high), so a trade-off was made between data granularity and data quality. For the first Tokelau inventory submission, only the biggest and most reliably recorded data variations are reflected in the time series. That is why for the years 1990</w:t>
      </w:r>
      <w:r w:rsidRPr="00256982">
        <w:rPr>
          <w:color w:val="000000"/>
        </w:rPr>
        <w:t>–</w:t>
      </w:r>
      <w:r w:rsidRPr="00256982">
        <w:rPr>
          <w:lang w:eastAsia="en-GB"/>
        </w:rPr>
        <w:t>2011 and 2013</w:t>
      </w:r>
      <w:r w:rsidRPr="00256982">
        <w:rPr>
          <w:color w:val="000000"/>
        </w:rPr>
        <w:t>–</w:t>
      </w:r>
      <w:r w:rsidRPr="00256982">
        <w:rPr>
          <w:lang w:eastAsia="en-GB"/>
        </w:rPr>
        <w:t>17, the activity data (and corresponding emissions) are shown as constant. However, the change for 2011</w:t>
      </w:r>
      <w:r w:rsidRPr="00256982">
        <w:rPr>
          <w:color w:val="000000"/>
        </w:rPr>
        <w:t>–</w:t>
      </w:r>
      <w:r w:rsidRPr="00256982">
        <w:rPr>
          <w:lang w:eastAsia="en-GB"/>
        </w:rPr>
        <w:t xml:space="preserve">13 due to the installation of solar units was reasonably well documented and, therefore, reflected in the time series. </w:t>
      </w:r>
    </w:p>
    <w:p w14:paraId="13908628" w14:textId="04D0E4C7" w:rsidR="00FB33C6" w:rsidRPr="00256982" w:rsidRDefault="00FB33C6" w:rsidP="00FB33C6">
      <w:pPr>
        <w:pStyle w:val="BodyText"/>
        <w:rPr>
          <w:lang w:eastAsia="en-GB"/>
        </w:rPr>
      </w:pPr>
      <w:r w:rsidRPr="00256982">
        <w:rPr>
          <w:lang w:eastAsia="en-GB"/>
        </w:rPr>
        <w:t>The diesel data for 2013</w:t>
      </w:r>
      <w:r w:rsidRPr="00256982">
        <w:rPr>
          <w:color w:val="000000"/>
        </w:rPr>
        <w:t>–</w:t>
      </w:r>
      <w:r w:rsidRPr="00256982">
        <w:rPr>
          <w:lang w:eastAsia="en-GB"/>
        </w:rPr>
        <w:t>17 were entirely based on analysis of fuel purchases during 2018, when, for the first time, Tokelau’s experts could clearly separate out the diesel used on-atoll and for shipping. However, the methodology for such analyses that was put in place for the 2019 inventory submission can be re-used in the coming years. Tokelau plans to perform more in</w:t>
      </w:r>
      <w:r w:rsidR="00172F2B" w:rsidRPr="00256982">
        <w:rPr>
          <w:lang w:eastAsia="en-GB"/>
        </w:rPr>
        <w:noBreakHyphen/>
      </w:r>
      <w:r w:rsidRPr="00256982">
        <w:rPr>
          <w:lang w:eastAsia="en-GB"/>
        </w:rPr>
        <w:t>depth analyses (as resources and growing inventory capacity allow) to clarify year-to-year variations for the earlier years in the time series for future submissions.</w:t>
      </w:r>
    </w:p>
    <w:p w14:paraId="2A775C56" w14:textId="77777777" w:rsidR="00FB33C6" w:rsidRPr="00256982" w:rsidRDefault="00FB33C6" w:rsidP="00FB33C6">
      <w:pPr>
        <w:pStyle w:val="BodyText"/>
        <w:rPr>
          <w:lang w:eastAsia="en-GB"/>
        </w:rPr>
      </w:pPr>
      <w:r w:rsidRPr="00256982">
        <w:rPr>
          <w:lang w:eastAsia="en-GB"/>
        </w:rPr>
        <w:t>Diesel is delivered on ‘dangerous goods sailings’ to Tokelau in the ships’ fuel tanks. On arrival, it is pumped into drums for shifting to shore and transported to the generator site.</w:t>
      </w:r>
    </w:p>
    <w:p w14:paraId="401E24BC" w14:textId="77777777" w:rsidR="00FB33C6" w:rsidRPr="00256982" w:rsidRDefault="00FB33C6" w:rsidP="00FB33C6">
      <w:pPr>
        <w:pStyle w:val="BodyText"/>
        <w:rPr>
          <w:lang w:eastAsia="en-GB"/>
        </w:rPr>
      </w:pPr>
      <w:r w:rsidRPr="00256982">
        <w:rPr>
          <w:lang w:eastAsia="en-GB"/>
        </w:rPr>
        <w:t>The raw data from shipping invoices and fuel financial data have been further processed to obtain activity data in energy units. The relevant calculations are included in annex 7, table A7.1.2.</w:t>
      </w:r>
    </w:p>
    <w:p w14:paraId="5F7423CD" w14:textId="77777777" w:rsidR="00FB33C6" w:rsidRPr="00256982" w:rsidRDefault="00FB33C6" w:rsidP="00FB33C6">
      <w:pPr>
        <w:pStyle w:val="Heading5"/>
      </w:pPr>
      <w:r w:rsidRPr="00256982">
        <w:t>Methods and emission factors</w:t>
      </w:r>
    </w:p>
    <w:p w14:paraId="058E51B5" w14:textId="77777777" w:rsidR="00FB33C6" w:rsidRPr="00256982" w:rsidRDefault="00FB33C6" w:rsidP="00FB33C6">
      <w:pPr>
        <w:pStyle w:val="BodyText"/>
        <w:rPr>
          <w:lang w:eastAsia="en-GB"/>
        </w:rPr>
      </w:pPr>
      <w:r w:rsidRPr="00256982">
        <w:rPr>
          <w:lang w:eastAsia="en-GB"/>
        </w:rPr>
        <w:t xml:space="preserve">A Tier 1 method was applied for estimating emissions from the </w:t>
      </w:r>
      <w:r w:rsidRPr="00256982">
        <w:rPr>
          <w:i/>
          <w:lang w:eastAsia="en-GB"/>
        </w:rPr>
        <w:t>Public electricity and heat production</w:t>
      </w:r>
      <w:r w:rsidRPr="00256982" w:rsidDel="00194BA4">
        <w:rPr>
          <w:i/>
          <w:lang w:eastAsia="en-GB"/>
        </w:rPr>
        <w:t xml:space="preserve"> </w:t>
      </w:r>
      <w:r w:rsidRPr="00256982">
        <w:rPr>
          <w:lang w:eastAsia="en-GB"/>
        </w:rPr>
        <w:t>category. The method required the data on the amount of LPG combusted in the source category and a default emissions factor from table 2.2, section 2.3.2.1, volume, 2 of the 2006 IPCC Guidelines. Default emission factors from the 2006 IPCC Guidelines were converted from net calorific values to gross calorific values using the Organisation for Economic Co-operation and Development (OECD) and International Energy Agency assumptions to make these conversions:</w:t>
      </w:r>
    </w:p>
    <w:p w14:paraId="3FE14540" w14:textId="77777777" w:rsidR="00FB33C6" w:rsidRPr="00256982" w:rsidRDefault="00FB33C6" w:rsidP="00FB33C6">
      <w:pPr>
        <w:pStyle w:val="BodyText"/>
        <w:jc w:val="center"/>
        <w:rPr>
          <w:sz w:val="20"/>
          <w:lang w:eastAsia="en-GB"/>
        </w:rPr>
      </w:pPr>
      <w:r w:rsidRPr="00256982">
        <w:rPr>
          <w:sz w:val="20"/>
          <w:lang w:eastAsia="en-GB"/>
        </w:rPr>
        <w:t>Gross Emission Factor (liquid fuels) = 0.95 x Net Emission Factor</w:t>
      </w:r>
    </w:p>
    <w:p w14:paraId="402A8071" w14:textId="77777777" w:rsidR="00FB33C6" w:rsidRPr="00256982" w:rsidRDefault="00FB33C6" w:rsidP="00FB33C6">
      <w:pPr>
        <w:pStyle w:val="BodyText"/>
        <w:rPr>
          <w:lang w:eastAsia="en-GB"/>
        </w:rPr>
      </w:pPr>
      <w:r w:rsidRPr="00256982">
        <w:rPr>
          <w:lang w:eastAsia="en-GB"/>
        </w:rPr>
        <w:t xml:space="preserve">Equations 2.1 and 2.2 from section 2.3.1.1 in the 2006 IPCC Guidelines were used for estimating emissions (IPCC, 2006a). </w:t>
      </w:r>
    </w:p>
    <w:p w14:paraId="398E40E0" w14:textId="77777777" w:rsidR="00FB33C6" w:rsidRPr="00256982" w:rsidRDefault="00FB33C6" w:rsidP="00FB33C6">
      <w:pPr>
        <w:pStyle w:val="Heading4"/>
      </w:pPr>
      <w:r w:rsidRPr="00256982">
        <w:t>Uncertainties</w:t>
      </w:r>
    </w:p>
    <w:p w14:paraId="215B9257" w14:textId="77777777" w:rsidR="00FB33C6" w:rsidRPr="00256982" w:rsidRDefault="00FB33C6" w:rsidP="00FB33C6">
      <w:pPr>
        <w:pStyle w:val="BodyText"/>
        <w:rPr>
          <w:lang w:eastAsia="en-GB"/>
        </w:rPr>
      </w:pPr>
      <w:r w:rsidRPr="00256982">
        <w:rPr>
          <w:lang w:eastAsia="en-GB"/>
        </w:rPr>
        <w:t>For this submission, it was not possible to develop Tokelau-specific uncertainty values, so, for emission factors, default uncertainty values provided in the 2006 IPCC Guidelines were used for CO</w:t>
      </w:r>
      <w:r w:rsidRPr="00256982">
        <w:rPr>
          <w:vertAlign w:val="subscript"/>
          <w:lang w:eastAsia="en-GB"/>
        </w:rPr>
        <w:t>2</w:t>
      </w:r>
      <w:r w:rsidRPr="00256982">
        <w:rPr>
          <w:lang w:eastAsia="en-GB"/>
        </w:rPr>
        <w:t xml:space="preserve"> and CH</w:t>
      </w:r>
      <w:r w:rsidRPr="00256982">
        <w:rPr>
          <w:vertAlign w:val="subscript"/>
          <w:lang w:eastAsia="en-GB"/>
        </w:rPr>
        <w:t>4</w:t>
      </w:r>
      <w:r w:rsidRPr="00256982">
        <w:rPr>
          <w:lang w:eastAsia="en-GB"/>
        </w:rPr>
        <w:t xml:space="preserve"> (for public power, co-generation and district heating) (IPCC, 2006a). Because no quantified default emissions factor is provided for N</w:t>
      </w:r>
      <w:r w:rsidRPr="00256982">
        <w:rPr>
          <w:vertAlign w:val="subscript"/>
          <w:lang w:eastAsia="en-GB"/>
        </w:rPr>
        <w:t>2</w:t>
      </w:r>
      <w:r w:rsidRPr="00256982">
        <w:rPr>
          <w:lang w:eastAsia="en-GB"/>
        </w:rPr>
        <w:t>O, New Zealand’s emission factor uncertainty across the Energy sector for N</w:t>
      </w:r>
      <w:r w:rsidRPr="00256982">
        <w:rPr>
          <w:vertAlign w:val="subscript"/>
          <w:lang w:eastAsia="en-GB"/>
        </w:rPr>
        <w:t>2</w:t>
      </w:r>
      <w:r w:rsidRPr="00256982">
        <w:rPr>
          <w:lang w:eastAsia="en-GB"/>
        </w:rPr>
        <w:t xml:space="preserve">O was used for this category. </w:t>
      </w:r>
    </w:p>
    <w:p w14:paraId="5109D996" w14:textId="77777777" w:rsidR="00FB33C6" w:rsidRPr="00256982" w:rsidRDefault="00FB33C6" w:rsidP="00FB33C6">
      <w:pPr>
        <w:pStyle w:val="BodyText"/>
        <w:rPr>
          <w:lang w:eastAsia="en-GB"/>
        </w:rPr>
      </w:pPr>
      <w:r w:rsidRPr="00256982">
        <w:rPr>
          <w:lang w:eastAsia="en-GB"/>
        </w:rPr>
        <w:t xml:space="preserve">For activity data, due to discrepancies between different data sources, an upper level of the default uncertainty range for the main activity electricity and heat production associated with data extrapolation from the 2006 IPCC Guidelines was applied (IPCC, 2006a). Table 8.2.1 shows the use of uncertainties for the </w:t>
      </w:r>
      <w:r w:rsidRPr="00256982">
        <w:rPr>
          <w:i/>
          <w:lang w:eastAsia="en-GB"/>
        </w:rPr>
        <w:t xml:space="preserve">Energy industries </w:t>
      </w:r>
      <w:r w:rsidRPr="00256982">
        <w:rPr>
          <w:lang w:eastAsia="en-GB"/>
        </w:rPr>
        <w:t>category.</w:t>
      </w:r>
    </w:p>
    <w:p w14:paraId="01ED425D" w14:textId="77777777" w:rsidR="00FB33C6" w:rsidRPr="00256982" w:rsidRDefault="00FB33C6" w:rsidP="00FB33C6">
      <w:pPr>
        <w:pStyle w:val="Table"/>
      </w:pPr>
      <w:bookmarkStart w:id="2461" w:name="_Toc5269596"/>
      <w:r w:rsidRPr="00256982">
        <w:t>Table 8.2.1</w:t>
      </w:r>
      <w:r w:rsidRPr="00256982">
        <w:tab/>
        <w:t>Uncertainties for the Energy industries category</w:t>
      </w:r>
      <w:bookmarkEnd w:id="2461"/>
    </w:p>
    <w:tbl>
      <w:tblPr>
        <w:tblW w:w="8562" w:type="dxa"/>
        <w:tblInd w:w="108" w:type="dxa"/>
        <w:tblBorders>
          <w:top w:val="single" w:sz="4" w:space="0" w:color="1F497D"/>
          <w:bottom w:val="single" w:sz="4" w:space="0" w:color="1F497D"/>
          <w:insideH w:val="single" w:sz="4" w:space="0" w:color="1F497D"/>
          <w:insideV w:val="single" w:sz="4" w:space="0" w:color="1F497D"/>
        </w:tblBorders>
        <w:tblLook w:val="0420" w:firstRow="1" w:lastRow="0" w:firstColumn="0" w:lastColumn="0" w:noHBand="0" w:noVBand="1"/>
      </w:tblPr>
      <w:tblGrid>
        <w:gridCol w:w="571"/>
        <w:gridCol w:w="1127"/>
        <w:gridCol w:w="1587"/>
        <w:gridCol w:w="1844"/>
        <w:gridCol w:w="3433"/>
      </w:tblGrid>
      <w:tr w:rsidR="00FB33C6" w:rsidRPr="00256982" w14:paraId="528D28A7" w14:textId="77777777" w:rsidTr="00172F2B">
        <w:trPr>
          <w:tblHeader/>
        </w:trPr>
        <w:tc>
          <w:tcPr>
            <w:tcW w:w="333" w:type="pct"/>
            <w:tcBorders>
              <w:right w:val="single" w:sz="4" w:space="0" w:color="365F91"/>
            </w:tcBorders>
            <w:shd w:val="clear" w:color="auto" w:fill="365F91"/>
            <w:noWrap/>
            <w:vAlign w:val="bottom"/>
            <w:hideMark/>
          </w:tcPr>
          <w:p w14:paraId="0617885C" w14:textId="77777777" w:rsidR="00FB33C6" w:rsidRPr="00256982" w:rsidRDefault="00FB33C6" w:rsidP="00172F2B">
            <w:pPr>
              <w:pStyle w:val="TableTextBold"/>
              <w:keepNext/>
              <w:rPr>
                <w:noProof w:val="0"/>
                <w:color w:val="FFFFFF"/>
              </w:rPr>
            </w:pPr>
            <w:r w:rsidRPr="00256982">
              <w:rPr>
                <w:noProof w:val="0"/>
                <w:color w:val="FFFFFF"/>
              </w:rPr>
              <w:t>Gas</w:t>
            </w:r>
          </w:p>
        </w:tc>
        <w:tc>
          <w:tcPr>
            <w:tcW w:w="658" w:type="pct"/>
            <w:tcBorders>
              <w:top w:val="single" w:sz="4" w:space="0" w:color="365F91"/>
              <w:left w:val="single" w:sz="4" w:space="0" w:color="365F91"/>
              <w:bottom w:val="single" w:sz="4" w:space="0" w:color="365F91"/>
              <w:right w:val="single" w:sz="4" w:space="0" w:color="365F91"/>
            </w:tcBorders>
            <w:shd w:val="clear" w:color="auto" w:fill="365F91"/>
            <w:noWrap/>
            <w:vAlign w:val="bottom"/>
            <w:hideMark/>
          </w:tcPr>
          <w:p w14:paraId="4FD6E918" w14:textId="77777777" w:rsidR="00FB33C6" w:rsidRPr="00256982" w:rsidRDefault="00FB33C6" w:rsidP="00172F2B">
            <w:pPr>
              <w:pStyle w:val="TableTextBold"/>
              <w:keepNext/>
              <w:rPr>
                <w:noProof w:val="0"/>
                <w:color w:val="FFFFFF"/>
              </w:rPr>
            </w:pPr>
            <w:r w:rsidRPr="00256982">
              <w:rPr>
                <w:noProof w:val="0"/>
                <w:color w:val="FFFFFF"/>
              </w:rPr>
              <w:t>Fuel type</w:t>
            </w:r>
          </w:p>
        </w:tc>
        <w:tc>
          <w:tcPr>
            <w:tcW w:w="927" w:type="pct"/>
            <w:tcBorders>
              <w:top w:val="single" w:sz="4" w:space="0" w:color="365F91"/>
              <w:left w:val="single" w:sz="4" w:space="0" w:color="365F91"/>
              <w:bottom w:val="single" w:sz="4" w:space="0" w:color="365F91"/>
              <w:right w:val="single" w:sz="4" w:space="0" w:color="365F91"/>
            </w:tcBorders>
            <w:shd w:val="clear" w:color="auto" w:fill="365F91"/>
            <w:vAlign w:val="bottom"/>
            <w:hideMark/>
          </w:tcPr>
          <w:p w14:paraId="02B92CFB" w14:textId="77777777" w:rsidR="00FB33C6" w:rsidRPr="00256982" w:rsidRDefault="00FB33C6" w:rsidP="00172F2B">
            <w:pPr>
              <w:pStyle w:val="TableTextBold"/>
              <w:keepNext/>
              <w:jc w:val="center"/>
              <w:rPr>
                <w:noProof w:val="0"/>
                <w:color w:val="FFFFFF"/>
              </w:rPr>
            </w:pPr>
            <w:r w:rsidRPr="00256982">
              <w:rPr>
                <w:noProof w:val="0"/>
                <w:color w:val="FFFFFF"/>
              </w:rPr>
              <w:t>Activity data (AD) uncertainty (%)</w:t>
            </w:r>
          </w:p>
        </w:tc>
        <w:tc>
          <w:tcPr>
            <w:tcW w:w="1077" w:type="pct"/>
            <w:tcBorders>
              <w:left w:val="single" w:sz="4" w:space="0" w:color="365F91"/>
            </w:tcBorders>
            <w:shd w:val="clear" w:color="auto" w:fill="365F91"/>
            <w:vAlign w:val="bottom"/>
            <w:hideMark/>
          </w:tcPr>
          <w:p w14:paraId="14FF59A0" w14:textId="77777777" w:rsidR="00FB33C6" w:rsidRPr="00256982" w:rsidRDefault="00FB33C6" w:rsidP="00172F2B">
            <w:pPr>
              <w:pStyle w:val="TableTextBold"/>
              <w:keepNext/>
              <w:jc w:val="center"/>
              <w:rPr>
                <w:noProof w:val="0"/>
                <w:color w:val="FFFFFF"/>
              </w:rPr>
            </w:pPr>
            <w:r w:rsidRPr="00256982">
              <w:rPr>
                <w:noProof w:val="0"/>
                <w:color w:val="FFFFFF"/>
              </w:rPr>
              <w:t>Emission factor (EF) uncertainty (%)</w:t>
            </w:r>
          </w:p>
        </w:tc>
        <w:tc>
          <w:tcPr>
            <w:tcW w:w="2005" w:type="pct"/>
            <w:tcBorders>
              <w:left w:val="single" w:sz="4" w:space="0" w:color="365F91"/>
            </w:tcBorders>
            <w:shd w:val="clear" w:color="auto" w:fill="365F91"/>
            <w:vAlign w:val="bottom"/>
          </w:tcPr>
          <w:p w14:paraId="231E0AB3" w14:textId="77777777" w:rsidR="00FB33C6" w:rsidRPr="00256982" w:rsidRDefault="00FB33C6" w:rsidP="00172F2B">
            <w:pPr>
              <w:pStyle w:val="TableTextBold"/>
              <w:keepNext/>
              <w:jc w:val="center"/>
              <w:rPr>
                <w:noProof w:val="0"/>
                <w:color w:val="FFFFFF"/>
              </w:rPr>
            </w:pPr>
            <w:r w:rsidRPr="00256982">
              <w:rPr>
                <w:noProof w:val="0"/>
                <w:color w:val="FFFFFF"/>
              </w:rPr>
              <w:t>Source</w:t>
            </w:r>
          </w:p>
        </w:tc>
      </w:tr>
      <w:tr w:rsidR="00FB33C6" w:rsidRPr="00256982" w14:paraId="353C493E" w14:textId="77777777" w:rsidTr="00172F2B">
        <w:tc>
          <w:tcPr>
            <w:tcW w:w="333" w:type="pct"/>
            <w:tcBorders>
              <w:right w:val="single" w:sz="4" w:space="0" w:color="365F91"/>
            </w:tcBorders>
            <w:shd w:val="clear" w:color="auto" w:fill="auto"/>
            <w:noWrap/>
            <w:hideMark/>
          </w:tcPr>
          <w:p w14:paraId="0C5D6E48" w14:textId="77777777" w:rsidR="00FB33C6" w:rsidRPr="00256982" w:rsidRDefault="00FB33C6" w:rsidP="00823616">
            <w:pPr>
              <w:pStyle w:val="TableText"/>
            </w:pPr>
            <w:r w:rsidRPr="00256982">
              <w:t>CO</w:t>
            </w:r>
            <w:r w:rsidRPr="00256982">
              <w:rPr>
                <w:vertAlign w:val="subscript"/>
              </w:rPr>
              <w:t>2</w:t>
            </w:r>
          </w:p>
        </w:tc>
        <w:tc>
          <w:tcPr>
            <w:tcW w:w="658" w:type="pct"/>
            <w:tcBorders>
              <w:top w:val="single" w:sz="4" w:space="0" w:color="365F91"/>
              <w:left w:val="single" w:sz="4" w:space="0" w:color="365F91"/>
              <w:bottom w:val="single" w:sz="4" w:space="0" w:color="365F91"/>
              <w:right w:val="single" w:sz="4" w:space="0" w:color="365F91"/>
            </w:tcBorders>
            <w:shd w:val="clear" w:color="auto" w:fill="auto"/>
            <w:noWrap/>
            <w:hideMark/>
          </w:tcPr>
          <w:p w14:paraId="775C6AF0" w14:textId="77777777" w:rsidR="00FB33C6" w:rsidRPr="00256982" w:rsidRDefault="00FB33C6" w:rsidP="00823616">
            <w:pPr>
              <w:pStyle w:val="TableText"/>
            </w:pPr>
            <w:r w:rsidRPr="00256982">
              <w:t>Liquid fuels</w:t>
            </w:r>
          </w:p>
        </w:tc>
        <w:tc>
          <w:tcPr>
            <w:tcW w:w="927" w:type="pct"/>
            <w:tcBorders>
              <w:top w:val="single" w:sz="4" w:space="0" w:color="365F91"/>
              <w:left w:val="single" w:sz="4" w:space="0" w:color="365F91"/>
              <w:bottom w:val="single" w:sz="4" w:space="0" w:color="365F91"/>
              <w:right w:val="single" w:sz="4" w:space="0" w:color="365F91"/>
            </w:tcBorders>
            <w:shd w:val="clear" w:color="auto" w:fill="auto"/>
            <w:noWrap/>
            <w:hideMark/>
          </w:tcPr>
          <w:p w14:paraId="2F7F6E87" w14:textId="77777777" w:rsidR="00FB33C6" w:rsidRPr="00256982" w:rsidRDefault="00FB33C6" w:rsidP="00823616">
            <w:pPr>
              <w:pStyle w:val="TableText"/>
              <w:jc w:val="center"/>
            </w:pPr>
            <w:r w:rsidRPr="00256982">
              <w:t>10</w:t>
            </w:r>
          </w:p>
        </w:tc>
        <w:tc>
          <w:tcPr>
            <w:tcW w:w="1077" w:type="pct"/>
            <w:tcBorders>
              <w:left w:val="single" w:sz="4" w:space="0" w:color="365F91"/>
            </w:tcBorders>
            <w:shd w:val="clear" w:color="auto" w:fill="auto"/>
            <w:noWrap/>
            <w:hideMark/>
          </w:tcPr>
          <w:p w14:paraId="46BFF5E7" w14:textId="77777777" w:rsidR="00FB33C6" w:rsidRPr="00256982" w:rsidRDefault="00FB33C6" w:rsidP="00823616">
            <w:pPr>
              <w:pStyle w:val="TableText"/>
              <w:jc w:val="center"/>
            </w:pPr>
            <w:r w:rsidRPr="00256982">
              <w:t>±7</w:t>
            </w:r>
          </w:p>
        </w:tc>
        <w:tc>
          <w:tcPr>
            <w:tcW w:w="2005" w:type="pct"/>
            <w:tcBorders>
              <w:left w:val="single" w:sz="4" w:space="0" w:color="365F91"/>
            </w:tcBorders>
          </w:tcPr>
          <w:p w14:paraId="4D4975FC" w14:textId="77777777" w:rsidR="00FB33C6" w:rsidRPr="00256982" w:rsidRDefault="00FB33C6" w:rsidP="00823616">
            <w:pPr>
              <w:pStyle w:val="TableText"/>
            </w:pPr>
            <w:r w:rsidRPr="00256982">
              <w:t>AD: page 2.41, IPCC, 2006a (table 2.15)</w:t>
            </w:r>
          </w:p>
          <w:p w14:paraId="164020F0" w14:textId="77777777" w:rsidR="00FB33C6" w:rsidRPr="00256982" w:rsidRDefault="00FB33C6" w:rsidP="00823616">
            <w:pPr>
              <w:pStyle w:val="TableText"/>
            </w:pPr>
            <w:r w:rsidRPr="00256982">
              <w:t xml:space="preserve">EF: page 2.38, IPCC, 2006a </w:t>
            </w:r>
          </w:p>
        </w:tc>
      </w:tr>
      <w:tr w:rsidR="00FB33C6" w:rsidRPr="00256982" w14:paraId="530F3E17" w14:textId="77777777" w:rsidTr="00172F2B">
        <w:tc>
          <w:tcPr>
            <w:tcW w:w="333" w:type="pct"/>
            <w:tcBorders>
              <w:right w:val="single" w:sz="4" w:space="0" w:color="365F91"/>
            </w:tcBorders>
            <w:shd w:val="clear" w:color="auto" w:fill="auto"/>
            <w:noWrap/>
            <w:hideMark/>
          </w:tcPr>
          <w:p w14:paraId="64D28FE3" w14:textId="77777777" w:rsidR="00FB33C6" w:rsidRPr="00256982" w:rsidRDefault="00FB33C6" w:rsidP="00823616">
            <w:pPr>
              <w:pStyle w:val="TableText"/>
            </w:pPr>
            <w:r w:rsidRPr="00256982">
              <w:t>CH</w:t>
            </w:r>
            <w:r w:rsidRPr="00256982">
              <w:rPr>
                <w:vertAlign w:val="subscript"/>
              </w:rPr>
              <w:t>4</w:t>
            </w:r>
          </w:p>
        </w:tc>
        <w:tc>
          <w:tcPr>
            <w:tcW w:w="658" w:type="pct"/>
            <w:tcBorders>
              <w:top w:val="single" w:sz="4" w:space="0" w:color="365F91"/>
              <w:left w:val="single" w:sz="4" w:space="0" w:color="365F91"/>
              <w:bottom w:val="single" w:sz="4" w:space="0" w:color="365F91"/>
              <w:right w:val="single" w:sz="4" w:space="0" w:color="365F91"/>
            </w:tcBorders>
            <w:shd w:val="clear" w:color="auto" w:fill="auto"/>
            <w:noWrap/>
            <w:hideMark/>
          </w:tcPr>
          <w:p w14:paraId="7CE6D26D" w14:textId="77777777" w:rsidR="00FB33C6" w:rsidRPr="00256982" w:rsidRDefault="00FB33C6" w:rsidP="00823616">
            <w:pPr>
              <w:pStyle w:val="TableText"/>
            </w:pPr>
            <w:r w:rsidRPr="00256982">
              <w:t>Liquid fuels</w:t>
            </w:r>
          </w:p>
        </w:tc>
        <w:tc>
          <w:tcPr>
            <w:tcW w:w="927" w:type="pct"/>
            <w:tcBorders>
              <w:top w:val="single" w:sz="4" w:space="0" w:color="365F91"/>
              <w:left w:val="single" w:sz="4" w:space="0" w:color="365F91"/>
              <w:bottom w:val="single" w:sz="4" w:space="0" w:color="365F91"/>
              <w:right w:val="single" w:sz="4" w:space="0" w:color="365F91"/>
            </w:tcBorders>
            <w:shd w:val="clear" w:color="auto" w:fill="auto"/>
            <w:noWrap/>
            <w:hideMark/>
          </w:tcPr>
          <w:p w14:paraId="3E238D11" w14:textId="77777777" w:rsidR="00FB33C6" w:rsidRPr="00256982" w:rsidRDefault="00FB33C6" w:rsidP="00823616">
            <w:pPr>
              <w:pStyle w:val="TableText"/>
              <w:jc w:val="center"/>
            </w:pPr>
            <w:r w:rsidRPr="00256982">
              <w:t>10</w:t>
            </w:r>
          </w:p>
        </w:tc>
        <w:tc>
          <w:tcPr>
            <w:tcW w:w="1077" w:type="pct"/>
            <w:tcBorders>
              <w:left w:val="single" w:sz="4" w:space="0" w:color="365F91"/>
            </w:tcBorders>
            <w:shd w:val="clear" w:color="auto" w:fill="auto"/>
            <w:noWrap/>
            <w:hideMark/>
          </w:tcPr>
          <w:p w14:paraId="74E7AD8C" w14:textId="77777777" w:rsidR="00FB33C6" w:rsidRPr="00256982" w:rsidRDefault="00FB33C6" w:rsidP="00823616">
            <w:pPr>
              <w:pStyle w:val="TableText"/>
              <w:jc w:val="center"/>
            </w:pPr>
            <w:r w:rsidRPr="00256982">
              <w:t>±50.0</w:t>
            </w:r>
          </w:p>
        </w:tc>
        <w:tc>
          <w:tcPr>
            <w:tcW w:w="2005" w:type="pct"/>
            <w:tcBorders>
              <w:left w:val="single" w:sz="4" w:space="0" w:color="365F91"/>
            </w:tcBorders>
          </w:tcPr>
          <w:p w14:paraId="76F9D508" w14:textId="77777777" w:rsidR="00FB33C6" w:rsidRPr="00256982" w:rsidRDefault="00FB33C6" w:rsidP="00823616">
            <w:pPr>
              <w:pStyle w:val="TableText"/>
            </w:pPr>
            <w:r w:rsidRPr="00256982">
              <w:t>AD: page 2.41, IPCC, 2006a (table 2.15)</w:t>
            </w:r>
          </w:p>
          <w:p w14:paraId="696E99CD" w14:textId="527D5D02" w:rsidR="00FB33C6" w:rsidRPr="00256982" w:rsidRDefault="00FB33C6" w:rsidP="00823616">
            <w:pPr>
              <w:pStyle w:val="TableText"/>
            </w:pPr>
            <w:r w:rsidRPr="00256982">
              <w:t>EF: page 2.38, IPCC, 2006a</w:t>
            </w:r>
            <w:r w:rsidR="00256982" w:rsidRPr="00256982">
              <w:t xml:space="preserve"> </w:t>
            </w:r>
            <w:r w:rsidRPr="00256982">
              <w:t>(table 2.12)</w:t>
            </w:r>
          </w:p>
        </w:tc>
      </w:tr>
      <w:tr w:rsidR="00FB33C6" w:rsidRPr="00256982" w14:paraId="71F32F55" w14:textId="77777777" w:rsidTr="00172F2B">
        <w:tc>
          <w:tcPr>
            <w:tcW w:w="333" w:type="pct"/>
            <w:tcBorders>
              <w:right w:val="single" w:sz="4" w:space="0" w:color="365F91"/>
            </w:tcBorders>
            <w:shd w:val="clear" w:color="auto" w:fill="auto"/>
            <w:noWrap/>
            <w:hideMark/>
          </w:tcPr>
          <w:p w14:paraId="0ACDD26C" w14:textId="77777777" w:rsidR="00FB33C6" w:rsidRPr="00256982" w:rsidRDefault="00FB33C6" w:rsidP="00823616">
            <w:pPr>
              <w:pStyle w:val="TableText"/>
            </w:pPr>
            <w:r w:rsidRPr="00256982">
              <w:t>N</w:t>
            </w:r>
            <w:r w:rsidRPr="00256982">
              <w:rPr>
                <w:vertAlign w:val="subscript"/>
              </w:rPr>
              <w:t>2</w:t>
            </w:r>
            <w:r w:rsidRPr="00256982">
              <w:t>O</w:t>
            </w:r>
          </w:p>
        </w:tc>
        <w:tc>
          <w:tcPr>
            <w:tcW w:w="658" w:type="pct"/>
            <w:tcBorders>
              <w:top w:val="single" w:sz="4" w:space="0" w:color="365F91"/>
              <w:left w:val="single" w:sz="4" w:space="0" w:color="365F91"/>
              <w:bottom w:val="single" w:sz="4" w:space="0" w:color="365F91"/>
              <w:right w:val="single" w:sz="4" w:space="0" w:color="365F91"/>
            </w:tcBorders>
            <w:shd w:val="clear" w:color="auto" w:fill="auto"/>
            <w:noWrap/>
            <w:hideMark/>
          </w:tcPr>
          <w:p w14:paraId="150E3973" w14:textId="77777777" w:rsidR="00FB33C6" w:rsidRPr="00256982" w:rsidRDefault="00FB33C6" w:rsidP="00823616">
            <w:pPr>
              <w:pStyle w:val="TableText"/>
            </w:pPr>
            <w:r w:rsidRPr="00256982">
              <w:t>Liquid fuels</w:t>
            </w:r>
          </w:p>
        </w:tc>
        <w:tc>
          <w:tcPr>
            <w:tcW w:w="927" w:type="pct"/>
            <w:tcBorders>
              <w:top w:val="single" w:sz="4" w:space="0" w:color="365F91"/>
              <w:left w:val="single" w:sz="4" w:space="0" w:color="365F91"/>
              <w:bottom w:val="single" w:sz="4" w:space="0" w:color="365F91"/>
              <w:right w:val="single" w:sz="4" w:space="0" w:color="365F91"/>
            </w:tcBorders>
            <w:shd w:val="clear" w:color="auto" w:fill="auto"/>
            <w:noWrap/>
            <w:hideMark/>
          </w:tcPr>
          <w:p w14:paraId="5DBEBDCD" w14:textId="77777777" w:rsidR="00FB33C6" w:rsidRPr="00256982" w:rsidRDefault="00FB33C6" w:rsidP="00823616">
            <w:pPr>
              <w:pStyle w:val="TableText"/>
              <w:jc w:val="center"/>
            </w:pPr>
            <w:r w:rsidRPr="00256982">
              <w:t>10</w:t>
            </w:r>
          </w:p>
        </w:tc>
        <w:tc>
          <w:tcPr>
            <w:tcW w:w="1077" w:type="pct"/>
            <w:tcBorders>
              <w:left w:val="single" w:sz="4" w:space="0" w:color="365F91"/>
            </w:tcBorders>
            <w:shd w:val="clear" w:color="auto" w:fill="auto"/>
            <w:noWrap/>
            <w:hideMark/>
          </w:tcPr>
          <w:p w14:paraId="7984572F" w14:textId="77777777" w:rsidR="00FB33C6" w:rsidRPr="00256982" w:rsidRDefault="00FB33C6" w:rsidP="00823616">
            <w:pPr>
              <w:pStyle w:val="TableText"/>
              <w:jc w:val="center"/>
            </w:pPr>
            <w:r w:rsidRPr="00256982">
              <w:t>±50.0</w:t>
            </w:r>
          </w:p>
        </w:tc>
        <w:tc>
          <w:tcPr>
            <w:tcW w:w="2005" w:type="pct"/>
            <w:tcBorders>
              <w:left w:val="single" w:sz="4" w:space="0" w:color="365F91"/>
            </w:tcBorders>
          </w:tcPr>
          <w:p w14:paraId="65118DA0" w14:textId="77777777" w:rsidR="00FB33C6" w:rsidRPr="00256982" w:rsidRDefault="00FB33C6" w:rsidP="00823616">
            <w:pPr>
              <w:pStyle w:val="TableText"/>
            </w:pPr>
            <w:r w:rsidRPr="00256982">
              <w:t>AD: page 2.41, IPCC, 2006a (table 2.15)</w:t>
            </w:r>
          </w:p>
          <w:p w14:paraId="6D730E29" w14:textId="77777777" w:rsidR="00FB33C6" w:rsidRPr="00256982" w:rsidRDefault="00FB33C6" w:rsidP="00823616">
            <w:pPr>
              <w:pStyle w:val="TableText"/>
            </w:pPr>
            <w:r w:rsidRPr="00256982">
              <w:t>EF: New Zealand’s value is used (table 3.3.1, chapter 3)</w:t>
            </w:r>
          </w:p>
        </w:tc>
      </w:tr>
    </w:tbl>
    <w:p w14:paraId="196BB436" w14:textId="77777777" w:rsidR="00FB33C6" w:rsidRPr="00256982" w:rsidRDefault="00FB33C6" w:rsidP="00FB33C6">
      <w:pPr>
        <w:pStyle w:val="Heading4"/>
        <w:spacing w:before="480"/>
      </w:pPr>
      <w:r w:rsidRPr="00256982">
        <w:t>Planned improvements</w:t>
      </w:r>
    </w:p>
    <w:p w14:paraId="53ED377C" w14:textId="77777777" w:rsidR="00FB33C6" w:rsidRPr="00256982" w:rsidRDefault="00FB33C6" w:rsidP="00FB33C6">
      <w:pPr>
        <w:pStyle w:val="BodyText"/>
        <w:rPr>
          <w:lang w:eastAsia="en-GB"/>
        </w:rPr>
      </w:pPr>
      <w:r w:rsidRPr="00256982">
        <w:rPr>
          <w:lang w:eastAsia="en-GB"/>
        </w:rPr>
        <w:t>For future submissions, further analysis of activity data from Tokelau for 1990</w:t>
      </w:r>
      <w:r w:rsidRPr="00256982">
        <w:rPr>
          <w:color w:val="000000"/>
        </w:rPr>
        <w:t>–</w:t>
      </w:r>
      <w:r w:rsidRPr="00256982">
        <w:rPr>
          <w:lang w:eastAsia="en-GB"/>
        </w:rPr>
        <w:t xml:space="preserve">2011 and </w:t>
      </w:r>
      <w:r w:rsidRPr="00256982">
        <w:rPr>
          <w:lang w:eastAsia="en-GB"/>
        </w:rPr>
        <w:br/>
        <w:t>2013</w:t>
      </w:r>
      <w:r w:rsidRPr="00256982">
        <w:rPr>
          <w:color w:val="000000"/>
        </w:rPr>
        <w:t>–</w:t>
      </w:r>
      <w:r w:rsidRPr="00256982">
        <w:rPr>
          <w:lang w:eastAsia="en-GB"/>
        </w:rPr>
        <w:t>17, to reflect year-to-year variations, will be considered as far as resources will allow. This may take several years because analysis of all invoices and comparisons between different data sources require significant effort and resources. The report on progress in this endeavour will be included in the next inventory submission.</w:t>
      </w:r>
    </w:p>
    <w:p w14:paraId="4E766EE8" w14:textId="77777777" w:rsidR="00FB33C6" w:rsidRPr="00256982" w:rsidRDefault="00FB33C6" w:rsidP="00FB33C6">
      <w:pPr>
        <w:pStyle w:val="Heading3"/>
      </w:pPr>
      <w:r w:rsidRPr="00256982">
        <w:t xml:space="preserve">8.2.4 </w:t>
      </w:r>
      <w:r w:rsidRPr="00256982">
        <w:tab/>
        <w:t>Stationary combustion: Energy consumption</w:t>
      </w:r>
    </w:p>
    <w:p w14:paraId="30899279" w14:textId="77777777" w:rsidR="00FB33C6" w:rsidRPr="00256982" w:rsidRDefault="00FB33C6" w:rsidP="00FB33C6">
      <w:pPr>
        <w:pStyle w:val="Heading4"/>
      </w:pPr>
      <w:r w:rsidRPr="00256982">
        <w:t>Description</w:t>
      </w:r>
    </w:p>
    <w:p w14:paraId="28C4FDC8" w14:textId="77777777" w:rsidR="00FB33C6" w:rsidRPr="00256982" w:rsidRDefault="00FB33C6" w:rsidP="00FB33C6">
      <w:pPr>
        <w:pStyle w:val="BodyText"/>
      </w:pPr>
      <w:r w:rsidRPr="00256982">
        <w:t xml:space="preserve">There is no significant industry in Tokelau. All energy is used by domestic and fishing activities and community–government activities (for example, meeting halls and offices, village freezers, building projects, stevedoring). Therefore, emissions associated with energy consumption in Tokelau (except fishing) are included in the category </w:t>
      </w:r>
      <w:r w:rsidRPr="00256982">
        <w:rPr>
          <w:i/>
        </w:rPr>
        <w:t>Other/Residential</w:t>
      </w:r>
      <w:r w:rsidRPr="00256982">
        <w:t xml:space="preserve">. The small amount of emissions associated with communal activities is not easily distinguishable from those coming from residential activities and so are therefore included under the </w:t>
      </w:r>
      <w:r w:rsidRPr="00256982">
        <w:rPr>
          <w:i/>
        </w:rPr>
        <w:t>Other/Residential</w:t>
      </w:r>
      <w:r w:rsidRPr="00256982">
        <w:t xml:space="preserve"> category. Emissions from fishing are included under </w:t>
      </w:r>
      <w:r w:rsidRPr="00256982">
        <w:rPr>
          <w:i/>
        </w:rPr>
        <w:t>Domestic navigation</w:t>
      </w:r>
      <w:r w:rsidRPr="00256982">
        <w:t xml:space="preserve">. This is because it is very difficult to distinguish fuel use for fishing from domestic navigation in Tokelau, because families use the same boats for both purposes. </w:t>
      </w:r>
    </w:p>
    <w:p w14:paraId="2848A29F" w14:textId="77777777" w:rsidR="00FB33C6" w:rsidRPr="00256982" w:rsidRDefault="00FB33C6" w:rsidP="00FB33C6">
      <w:pPr>
        <w:pStyle w:val="BodyText"/>
      </w:pPr>
      <w:r w:rsidRPr="00256982">
        <w:t>According to the 2016 Tokelau Census, every household has a fridge and a freezer, and some households now have air conditioning. Most households (over 60 per cent) also own a washing machine, a computer and a television. The United Nations Development Programme, under the Tokelau Energy Sector Support Project, has recently funded a programme of replacing old inefficient fridges and freezers with new ones. Home appliances in Tokelau mainly use the power provided by solar units except (on rare occasion) when a back-up diesel</w:t>
      </w:r>
      <w:r w:rsidRPr="00256982">
        <w:softHyphen/>
      </w:r>
      <w:r w:rsidRPr="00256982">
        <w:noBreakHyphen/>
        <w:t xml:space="preserve">powered generator is used. Emissions associated with the use of diesel-powered back-up generators are included under the </w:t>
      </w:r>
      <w:r w:rsidRPr="00256982">
        <w:rPr>
          <w:i/>
        </w:rPr>
        <w:t xml:space="preserve">Energy industries </w:t>
      </w:r>
      <w:r w:rsidRPr="00256982">
        <w:t xml:space="preserve">category. </w:t>
      </w:r>
    </w:p>
    <w:p w14:paraId="059373C0" w14:textId="77777777" w:rsidR="00FB33C6" w:rsidRPr="00256982" w:rsidRDefault="00FB33C6" w:rsidP="00FB33C6">
      <w:pPr>
        <w:pStyle w:val="BodyText"/>
      </w:pPr>
      <w:r w:rsidRPr="00256982">
        <w:t xml:space="preserve">Gas cooking using imported natural gas is the preferred method used by 72.0 per cent of households, replacing kerosene stoves. For the past decade, the use of kerosene stoves dropped from 56.6 per cent of households in 2006 to 23.6 per cent in 2016 (2016 Tokelau Census). Tokelau villagers are using LPG for cooking purposes. Associated activity data and emissions are included under </w:t>
      </w:r>
      <w:r w:rsidRPr="00256982">
        <w:rPr>
          <w:i/>
        </w:rPr>
        <w:t>Other/Residential</w:t>
      </w:r>
      <w:r w:rsidRPr="00256982">
        <w:t xml:space="preserve"> category.</w:t>
      </w:r>
    </w:p>
    <w:p w14:paraId="04CC32E4" w14:textId="77777777" w:rsidR="00FB33C6" w:rsidRPr="00256982" w:rsidRDefault="00FB33C6" w:rsidP="00FB33C6">
      <w:pPr>
        <w:pStyle w:val="BodyText"/>
      </w:pPr>
      <w:r w:rsidRPr="00256982">
        <w:t xml:space="preserve">In 2017, emissions from the </w:t>
      </w:r>
      <w:r w:rsidRPr="00256982">
        <w:rPr>
          <w:i/>
        </w:rPr>
        <w:t>Other/Residential</w:t>
      </w:r>
      <w:r w:rsidRPr="00256982">
        <w:t xml:space="preserve"> category</w:t>
      </w:r>
      <w:r w:rsidRPr="00256982">
        <w:rPr>
          <w:lang w:eastAsia="en-GB"/>
        </w:rPr>
        <w:t xml:space="preserve"> </w:t>
      </w:r>
      <w:r w:rsidRPr="00256982">
        <w:t>were 0.09 kt CO</w:t>
      </w:r>
      <w:r w:rsidRPr="00256982">
        <w:rPr>
          <w:vertAlign w:val="subscript"/>
        </w:rPr>
        <w:t>2</w:t>
      </w:r>
      <w:r w:rsidRPr="00256982">
        <w:t>-e (4.9 per cent of all energy emissions from Tokelau).</w:t>
      </w:r>
    </w:p>
    <w:p w14:paraId="28C919C4" w14:textId="77777777" w:rsidR="00FB33C6" w:rsidRPr="00256982" w:rsidRDefault="00FB33C6" w:rsidP="00FB33C6">
      <w:pPr>
        <w:pStyle w:val="Heading4"/>
      </w:pPr>
      <w:r w:rsidRPr="00256982">
        <w:t>Methodological issues</w:t>
      </w:r>
    </w:p>
    <w:p w14:paraId="45EE2BE0" w14:textId="77777777" w:rsidR="00FB33C6" w:rsidRPr="00256982" w:rsidRDefault="00FB33C6" w:rsidP="00FB33C6">
      <w:pPr>
        <w:pStyle w:val="Heading5"/>
        <w:rPr>
          <w:lang w:eastAsia="en-GB"/>
        </w:rPr>
      </w:pPr>
      <w:r w:rsidRPr="00256982">
        <w:rPr>
          <w:lang w:eastAsia="en-GB"/>
        </w:rPr>
        <w:t>Activity data</w:t>
      </w:r>
    </w:p>
    <w:p w14:paraId="5D1608A4" w14:textId="77777777" w:rsidR="00FB33C6" w:rsidRPr="00256982" w:rsidRDefault="00FB33C6" w:rsidP="00FB33C6">
      <w:pPr>
        <w:pStyle w:val="BodyText"/>
      </w:pPr>
      <w:r w:rsidRPr="00256982">
        <w:rPr>
          <w:lang w:eastAsia="en-GB"/>
        </w:rPr>
        <w:t xml:space="preserve">The sources of activity data for the </w:t>
      </w:r>
      <w:r w:rsidRPr="00256982">
        <w:rPr>
          <w:i/>
          <w:lang w:eastAsia="en-GB"/>
        </w:rPr>
        <w:t>Other/Residential</w:t>
      </w:r>
      <w:r w:rsidRPr="00256982">
        <w:rPr>
          <w:lang w:eastAsia="en-GB"/>
        </w:rPr>
        <w:t xml:space="preserve"> category are included in table 8.1.2. The key data source for the category is paid invoices from Origin Energy Samoa Ltd (Apia, Samoa) providing prices and volumes of propane supplied on-atoll for cooking. Table A7.1.1 in annex 7A shows how the volume of fuel used for the </w:t>
      </w:r>
      <w:r w:rsidRPr="00256982">
        <w:rPr>
          <w:i/>
        </w:rPr>
        <w:t>Other/Residential</w:t>
      </w:r>
      <w:r w:rsidRPr="00256982">
        <w:t xml:space="preserve"> category has been converted to the energy units.</w:t>
      </w:r>
    </w:p>
    <w:p w14:paraId="3156545F" w14:textId="77777777" w:rsidR="00FB33C6" w:rsidRPr="00256982" w:rsidRDefault="00FB33C6" w:rsidP="00FB33C6">
      <w:pPr>
        <w:pStyle w:val="Heading5"/>
        <w:rPr>
          <w:lang w:eastAsia="en-GB"/>
        </w:rPr>
      </w:pPr>
      <w:r w:rsidRPr="00256982">
        <w:rPr>
          <w:lang w:eastAsia="en-GB"/>
        </w:rPr>
        <w:t>Methods and emission factors</w:t>
      </w:r>
    </w:p>
    <w:p w14:paraId="57EF7D5A" w14:textId="77777777" w:rsidR="00FB33C6" w:rsidRPr="00256982" w:rsidRDefault="00FB33C6" w:rsidP="00FB33C6">
      <w:pPr>
        <w:pStyle w:val="BodyText"/>
        <w:rPr>
          <w:lang w:eastAsia="en-GB"/>
        </w:rPr>
      </w:pPr>
      <w:r w:rsidRPr="00256982">
        <w:rPr>
          <w:lang w:eastAsia="en-GB"/>
        </w:rPr>
        <w:t xml:space="preserve">A Tier 1 method was applied for estimating emissions from the </w:t>
      </w:r>
      <w:r w:rsidRPr="00256982">
        <w:rPr>
          <w:i/>
          <w:lang w:eastAsia="en-GB"/>
        </w:rPr>
        <w:t>Other/Residential</w:t>
      </w:r>
      <w:r w:rsidRPr="00256982">
        <w:rPr>
          <w:lang w:eastAsia="en-GB"/>
        </w:rPr>
        <w:t xml:space="preserve"> category. The method required the data on the amount of LPG combusted in the source category and a default emissions factor from table 2.2, section 2.3.2.1, volume 2 of the 2006 IPCC Guidelines. Default emission factors from the 2006 IPCC Guidelines were converted from net calorific values to gross calorific values using the OECD and International Energy Agency assumptions to make these conversions:</w:t>
      </w:r>
    </w:p>
    <w:p w14:paraId="19A8D26B" w14:textId="77777777" w:rsidR="00FB33C6" w:rsidRPr="00256982" w:rsidRDefault="00FB33C6" w:rsidP="00FB33C6">
      <w:pPr>
        <w:pStyle w:val="BodyText"/>
        <w:jc w:val="center"/>
        <w:rPr>
          <w:sz w:val="20"/>
          <w:lang w:eastAsia="en-GB"/>
        </w:rPr>
      </w:pPr>
      <w:r w:rsidRPr="00256982">
        <w:rPr>
          <w:sz w:val="20"/>
          <w:lang w:eastAsia="en-GB"/>
        </w:rPr>
        <w:t>Gross Emission Factor (gaseous fuels) = 0.90 x Net Emission Factor</w:t>
      </w:r>
    </w:p>
    <w:p w14:paraId="7C9D1BD9" w14:textId="77777777" w:rsidR="00FB33C6" w:rsidRPr="00256982" w:rsidRDefault="00FB33C6" w:rsidP="00FB33C6">
      <w:pPr>
        <w:pStyle w:val="BodyText"/>
        <w:rPr>
          <w:lang w:eastAsia="en-GB"/>
        </w:rPr>
      </w:pPr>
      <w:r w:rsidRPr="00256982">
        <w:rPr>
          <w:lang w:eastAsia="en-GB"/>
        </w:rPr>
        <w:t xml:space="preserve">Equations 2.1 and 2.2 from section 2.3.1.1 in the 2006 IPCC Guidelines were used for estimating emissions (IPCC, 2006a). </w:t>
      </w:r>
    </w:p>
    <w:p w14:paraId="324250E3" w14:textId="77777777" w:rsidR="00FB33C6" w:rsidRPr="00256982" w:rsidRDefault="00FB33C6" w:rsidP="00FB33C6">
      <w:pPr>
        <w:pStyle w:val="Heading4"/>
      </w:pPr>
      <w:r w:rsidRPr="00256982">
        <w:t>Uncertainties</w:t>
      </w:r>
    </w:p>
    <w:p w14:paraId="3525F473" w14:textId="77777777" w:rsidR="00FB33C6" w:rsidRPr="00256982" w:rsidRDefault="00FB33C6" w:rsidP="00FB33C6">
      <w:pPr>
        <w:pStyle w:val="BodyText"/>
        <w:rPr>
          <w:lang w:eastAsia="en-GB"/>
        </w:rPr>
      </w:pPr>
      <w:r w:rsidRPr="00256982">
        <w:rPr>
          <w:lang w:eastAsia="en-GB"/>
        </w:rPr>
        <w:t>For this submission, it was not possible to develop Tokelau-specific uncertainty values, so for emission factors, default uncertainty values provided in the 2006 IPCC Guidelines were used for CO</w:t>
      </w:r>
      <w:r w:rsidRPr="00256982">
        <w:rPr>
          <w:vertAlign w:val="subscript"/>
          <w:lang w:eastAsia="en-GB"/>
        </w:rPr>
        <w:t xml:space="preserve">2 </w:t>
      </w:r>
      <w:r w:rsidRPr="00256982">
        <w:rPr>
          <w:lang w:eastAsia="en-GB"/>
        </w:rPr>
        <w:t>and CH</w:t>
      </w:r>
      <w:r w:rsidRPr="00256982">
        <w:rPr>
          <w:vertAlign w:val="subscript"/>
          <w:lang w:eastAsia="en-GB"/>
        </w:rPr>
        <w:t>4</w:t>
      </w:r>
      <w:r w:rsidRPr="00256982">
        <w:rPr>
          <w:lang w:eastAsia="en-GB"/>
        </w:rPr>
        <w:t xml:space="preserve"> (for commercial, institutional and residential combustion) (IPCC, 2006a). Because no quantified default emissions factor is provided for N</w:t>
      </w:r>
      <w:r w:rsidRPr="00256982">
        <w:rPr>
          <w:vertAlign w:val="subscript"/>
          <w:lang w:eastAsia="en-GB"/>
        </w:rPr>
        <w:t>2</w:t>
      </w:r>
      <w:r w:rsidRPr="00256982">
        <w:rPr>
          <w:lang w:eastAsia="en-GB"/>
        </w:rPr>
        <w:t>O, New Zealand’s emission factor uncertainty across the Energy sector for N</w:t>
      </w:r>
      <w:r w:rsidRPr="00256982">
        <w:rPr>
          <w:vertAlign w:val="subscript"/>
          <w:lang w:eastAsia="en-GB"/>
        </w:rPr>
        <w:t>2</w:t>
      </w:r>
      <w:r w:rsidRPr="00256982">
        <w:rPr>
          <w:lang w:eastAsia="en-GB"/>
        </w:rPr>
        <w:t xml:space="preserve">O was used for this category. </w:t>
      </w:r>
    </w:p>
    <w:p w14:paraId="0C1FAD68" w14:textId="77777777" w:rsidR="00FB33C6" w:rsidRPr="00256982" w:rsidRDefault="00FB33C6" w:rsidP="00FB33C6">
      <w:pPr>
        <w:pStyle w:val="BodyText"/>
        <w:rPr>
          <w:lang w:eastAsia="en-GB"/>
        </w:rPr>
      </w:pPr>
      <w:r w:rsidRPr="00256982">
        <w:rPr>
          <w:lang w:eastAsia="en-GB"/>
        </w:rPr>
        <w:t xml:space="preserve">For activity data, a mid-range level of default uncertainty range associated with data extrapolation from the 2006 IPCC Guidelines was applied (IPCC, 2006a). Table 8.2.2 shows the use of uncertainties for the </w:t>
      </w:r>
      <w:r w:rsidRPr="00256982">
        <w:rPr>
          <w:i/>
          <w:lang w:eastAsia="en-GB"/>
        </w:rPr>
        <w:t>Other/Residential</w:t>
      </w:r>
      <w:r w:rsidRPr="00256982">
        <w:rPr>
          <w:lang w:eastAsia="en-GB"/>
        </w:rPr>
        <w:t xml:space="preserve"> category.</w:t>
      </w:r>
    </w:p>
    <w:p w14:paraId="364C2927" w14:textId="77777777" w:rsidR="00FB33C6" w:rsidRPr="00256982" w:rsidRDefault="00FB33C6" w:rsidP="00FB33C6">
      <w:pPr>
        <w:pStyle w:val="Table"/>
      </w:pPr>
      <w:bookmarkStart w:id="2462" w:name="_Toc5269597"/>
      <w:r w:rsidRPr="00256982">
        <w:t>Table 8.2.2</w:t>
      </w:r>
      <w:r w:rsidRPr="00256982">
        <w:tab/>
        <w:t>Uncertainties for the Other/Residential</w:t>
      </w:r>
      <w:r w:rsidRPr="00256982">
        <w:rPr>
          <w:i/>
        </w:rPr>
        <w:t xml:space="preserve"> </w:t>
      </w:r>
      <w:r w:rsidRPr="00256982">
        <w:t>category</w:t>
      </w:r>
      <w:bookmarkEnd w:id="2462"/>
    </w:p>
    <w:tbl>
      <w:tblPr>
        <w:tblW w:w="8505" w:type="dxa"/>
        <w:tblInd w:w="108" w:type="dxa"/>
        <w:tblBorders>
          <w:top w:val="single" w:sz="4" w:space="0" w:color="1F497D"/>
          <w:bottom w:val="single" w:sz="4" w:space="0" w:color="1F497D"/>
          <w:insideH w:val="single" w:sz="4" w:space="0" w:color="1F497D"/>
          <w:insideV w:val="single" w:sz="4" w:space="0" w:color="1F497D"/>
        </w:tblBorders>
        <w:tblLook w:val="0420" w:firstRow="1" w:lastRow="0" w:firstColumn="0" w:lastColumn="0" w:noHBand="0" w:noVBand="1"/>
      </w:tblPr>
      <w:tblGrid>
        <w:gridCol w:w="567"/>
        <w:gridCol w:w="1119"/>
        <w:gridCol w:w="1716"/>
        <w:gridCol w:w="1842"/>
        <w:gridCol w:w="3261"/>
      </w:tblGrid>
      <w:tr w:rsidR="00FB33C6" w:rsidRPr="00256982" w14:paraId="74D70EE6" w14:textId="77777777" w:rsidTr="00172F2B">
        <w:trPr>
          <w:tblHeader/>
        </w:trPr>
        <w:tc>
          <w:tcPr>
            <w:tcW w:w="333" w:type="pct"/>
            <w:tcBorders>
              <w:right w:val="single" w:sz="4" w:space="0" w:color="365F91"/>
            </w:tcBorders>
            <w:shd w:val="clear" w:color="auto" w:fill="365F91"/>
            <w:noWrap/>
            <w:vAlign w:val="bottom"/>
            <w:hideMark/>
          </w:tcPr>
          <w:p w14:paraId="22D383C1" w14:textId="77777777" w:rsidR="00FB33C6" w:rsidRPr="00256982" w:rsidRDefault="00FB33C6" w:rsidP="00823616">
            <w:pPr>
              <w:pStyle w:val="TableTextBold"/>
              <w:rPr>
                <w:noProof w:val="0"/>
                <w:color w:val="FFFFFF"/>
              </w:rPr>
            </w:pPr>
            <w:r w:rsidRPr="00256982">
              <w:rPr>
                <w:noProof w:val="0"/>
                <w:color w:val="FFFFFF"/>
              </w:rPr>
              <w:t>Gas</w:t>
            </w:r>
          </w:p>
        </w:tc>
        <w:tc>
          <w:tcPr>
            <w:tcW w:w="658" w:type="pct"/>
            <w:tcBorders>
              <w:top w:val="single" w:sz="4" w:space="0" w:color="365F91"/>
              <w:left w:val="single" w:sz="4" w:space="0" w:color="365F91"/>
              <w:bottom w:val="single" w:sz="4" w:space="0" w:color="365F91"/>
              <w:right w:val="single" w:sz="4" w:space="0" w:color="365F91"/>
            </w:tcBorders>
            <w:shd w:val="clear" w:color="auto" w:fill="365F91"/>
            <w:noWrap/>
            <w:vAlign w:val="bottom"/>
            <w:hideMark/>
          </w:tcPr>
          <w:p w14:paraId="27723AA3" w14:textId="77777777" w:rsidR="00FB33C6" w:rsidRPr="00256982" w:rsidRDefault="00FB33C6" w:rsidP="00823616">
            <w:pPr>
              <w:pStyle w:val="TableTextBold"/>
              <w:rPr>
                <w:noProof w:val="0"/>
                <w:color w:val="FFFFFF"/>
              </w:rPr>
            </w:pPr>
            <w:r w:rsidRPr="00256982">
              <w:rPr>
                <w:noProof w:val="0"/>
                <w:color w:val="FFFFFF"/>
              </w:rPr>
              <w:t>Fuel type</w:t>
            </w:r>
          </w:p>
        </w:tc>
        <w:tc>
          <w:tcPr>
            <w:tcW w:w="1009" w:type="pct"/>
            <w:tcBorders>
              <w:top w:val="single" w:sz="4" w:space="0" w:color="365F91"/>
              <w:left w:val="single" w:sz="4" w:space="0" w:color="365F91"/>
              <w:bottom w:val="single" w:sz="4" w:space="0" w:color="365F91"/>
              <w:right w:val="single" w:sz="4" w:space="0" w:color="365F91"/>
            </w:tcBorders>
            <w:shd w:val="clear" w:color="auto" w:fill="365F91"/>
            <w:vAlign w:val="bottom"/>
            <w:hideMark/>
          </w:tcPr>
          <w:p w14:paraId="6440498B" w14:textId="77777777" w:rsidR="00FB33C6" w:rsidRPr="00256982" w:rsidRDefault="00FB33C6" w:rsidP="00823616">
            <w:pPr>
              <w:pStyle w:val="TableTextBold"/>
              <w:jc w:val="center"/>
              <w:rPr>
                <w:noProof w:val="0"/>
                <w:color w:val="FFFFFF"/>
              </w:rPr>
            </w:pPr>
            <w:r w:rsidRPr="00256982">
              <w:rPr>
                <w:noProof w:val="0"/>
                <w:color w:val="FFFFFF"/>
              </w:rPr>
              <w:t>Activity data (AD) uncertainty (%)</w:t>
            </w:r>
          </w:p>
        </w:tc>
        <w:tc>
          <w:tcPr>
            <w:tcW w:w="1083" w:type="pct"/>
            <w:tcBorders>
              <w:left w:val="single" w:sz="4" w:space="0" w:color="365F91"/>
            </w:tcBorders>
            <w:shd w:val="clear" w:color="auto" w:fill="365F91"/>
            <w:vAlign w:val="bottom"/>
            <w:hideMark/>
          </w:tcPr>
          <w:p w14:paraId="11523A88" w14:textId="77777777" w:rsidR="00FB33C6" w:rsidRPr="00256982" w:rsidRDefault="00FB33C6" w:rsidP="00823616">
            <w:pPr>
              <w:pStyle w:val="TableTextBold"/>
              <w:jc w:val="center"/>
              <w:rPr>
                <w:noProof w:val="0"/>
                <w:color w:val="FFFFFF"/>
              </w:rPr>
            </w:pPr>
            <w:r w:rsidRPr="00256982">
              <w:rPr>
                <w:noProof w:val="0"/>
                <w:color w:val="FFFFFF"/>
              </w:rPr>
              <w:t>Emission factor (EF) uncertainty (%)</w:t>
            </w:r>
          </w:p>
        </w:tc>
        <w:tc>
          <w:tcPr>
            <w:tcW w:w="1917" w:type="pct"/>
            <w:tcBorders>
              <w:left w:val="single" w:sz="4" w:space="0" w:color="365F91"/>
            </w:tcBorders>
            <w:shd w:val="clear" w:color="auto" w:fill="365F91"/>
            <w:vAlign w:val="bottom"/>
          </w:tcPr>
          <w:p w14:paraId="1A9C2F80" w14:textId="77777777" w:rsidR="00FB33C6" w:rsidRPr="00256982" w:rsidRDefault="00FB33C6" w:rsidP="00823616">
            <w:pPr>
              <w:pStyle w:val="TableTextBold"/>
              <w:jc w:val="center"/>
              <w:rPr>
                <w:noProof w:val="0"/>
                <w:color w:val="FFFFFF"/>
              </w:rPr>
            </w:pPr>
            <w:r w:rsidRPr="00256982">
              <w:rPr>
                <w:noProof w:val="0"/>
                <w:color w:val="FFFFFF"/>
              </w:rPr>
              <w:t>Source</w:t>
            </w:r>
          </w:p>
        </w:tc>
      </w:tr>
      <w:tr w:rsidR="00FB33C6" w:rsidRPr="00256982" w14:paraId="494861E2" w14:textId="77777777" w:rsidTr="00172F2B">
        <w:tc>
          <w:tcPr>
            <w:tcW w:w="333" w:type="pct"/>
            <w:tcBorders>
              <w:right w:val="single" w:sz="4" w:space="0" w:color="365F91"/>
            </w:tcBorders>
            <w:shd w:val="clear" w:color="auto" w:fill="auto"/>
            <w:noWrap/>
            <w:hideMark/>
          </w:tcPr>
          <w:p w14:paraId="79637FBE" w14:textId="77777777" w:rsidR="00FB33C6" w:rsidRPr="00256982" w:rsidRDefault="00FB33C6" w:rsidP="00823616">
            <w:pPr>
              <w:pStyle w:val="TableText"/>
            </w:pPr>
            <w:r w:rsidRPr="00256982">
              <w:t>CO</w:t>
            </w:r>
            <w:r w:rsidRPr="00256982">
              <w:rPr>
                <w:vertAlign w:val="subscript"/>
              </w:rPr>
              <w:t>2</w:t>
            </w:r>
          </w:p>
        </w:tc>
        <w:tc>
          <w:tcPr>
            <w:tcW w:w="658" w:type="pct"/>
            <w:tcBorders>
              <w:top w:val="single" w:sz="4" w:space="0" w:color="365F91"/>
              <w:left w:val="single" w:sz="4" w:space="0" w:color="365F91"/>
              <w:bottom w:val="single" w:sz="4" w:space="0" w:color="365F91"/>
              <w:right w:val="single" w:sz="4" w:space="0" w:color="365F91"/>
            </w:tcBorders>
            <w:shd w:val="clear" w:color="auto" w:fill="auto"/>
            <w:noWrap/>
            <w:hideMark/>
          </w:tcPr>
          <w:p w14:paraId="79289554" w14:textId="77777777" w:rsidR="00FB33C6" w:rsidRPr="00256982" w:rsidRDefault="00FB33C6" w:rsidP="00823616">
            <w:pPr>
              <w:pStyle w:val="TableText"/>
            </w:pPr>
            <w:r w:rsidRPr="00256982">
              <w:t>Liquid fuels</w:t>
            </w:r>
          </w:p>
        </w:tc>
        <w:tc>
          <w:tcPr>
            <w:tcW w:w="1009" w:type="pct"/>
            <w:tcBorders>
              <w:top w:val="single" w:sz="4" w:space="0" w:color="365F91"/>
              <w:left w:val="single" w:sz="4" w:space="0" w:color="365F91"/>
              <w:bottom w:val="single" w:sz="4" w:space="0" w:color="365F91"/>
              <w:right w:val="single" w:sz="4" w:space="0" w:color="365F91"/>
            </w:tcBorders>
            <w:shd w:val="clear" w:color="auto" w:fill="auto"/>
            <w:noWrap/>
            <w:hideMark/>
          </w:tcPr>
          <w:p w14:paraId="24F5BAB8" w14:textId="77777777" w:rsidR="00FB33C6" w:rsidRPr="00256982" w:rsidRDefault="00FB33C6" w:rsidP="00823616">
            <w:pPr>
              <w:pStyle w:val="TableText"/>
              <w:jc w:val="center"/>
            </w:pPr>
            <w:r w:rsidRPr="00256982">
              <w:t>20</w:t>
            </w:r>
          </w:p>
        </w:tc>
        <w:tc>
          <w:tcPr>
            <w:tcW w:w="1083" w:type="pct"/>
            <w:tcBorders>
              <w:left w:val="single" w:sz="4" w:space="0" w:color="365F91"/>
            </w:tcBorders>
            <w:shd w:val="clear" w:color="auto" w:fill="auto"/>
            <w:noWrap/>
            <w:hideMark/>
          </w:tcPr>
          <w:p w14:paraId="0208DA6C" w14:textId="77777777" w:rsidR="00FB33C6" w:rsidRPr="00256982" w:rsidRDefault="00FB33C6" w:rsidP="00823616">
            <w:pPr>
              <w:pStyle w:val="TableText"/>
              <w:jc w:val="center"/>
            </w:pPr>
            <w:r w:rsidRPr="00256982">
              <w:t>±7</w:t>
            </w:r>
          </w:p>
        </w:tc>
        <w:tc>
          <w:tcPr>
            <w:tcW w:w="1917" w:type="pct"/>
            <w:tcBorders>
              <w:left w:val="single" w:sz="4" w:space="0" w:color="365F91"/>
            </w:tcBorders>
          </w:tcPr>
          <w:p w14:paraId="28B00FD7" w14:textId="77777777" w:rsidR="00FB33C6" w:rsidRPr="00256982" w:rsidRDefault="00FB33C6" w:rsidP="00823616">
            <w:pPr>
              <w:pStyle w:val="TableText"/>
            </w:pPr>
            <w:r w:rsidRPr="00256982">
              <w:t>AD: page 2.41, IPCC, 2006a (table 2.15)</w:t>
            </w:r>
          </w:p>
          <w:p w14:paraId="055C8434" w14:textId="77777777" w:rsidR="00FB33C6" w:rsidRPr="00256982" w:rsidRDefault="00FB33C6" w:rsidP="00823616">
            <w:pPr>
              <w:pStyle w:val="TableText"/>
            </w:pPr>
            <w:r w:rsidRPr="00256982">
              <w:t>EF: page 2.38, IPCC, 2006a</w:t>
            </w:r>
            <w:r w:rsidRPr="00256982" w:rsidDel="00AE346E">
              <w:t xml:space="preserve"> </w:t>
            </w:r>
          </w:p>
        </w:tc>
      </w:tr>
      <w:tr w:rsidR="00FB33C6" w:rsidRPr="00256982" w14:paraId="7A54CD66" w14:textId="77777777" w:rsidTr="00172F2B">
        <w:tc>
          <w:tcPr>
            <w:tcW w:w="333" w:type="pct"/>
            <w:tcBorders>
              <w:right w:val="single" w:sz="4" w:space="0" w:color="365F91"/>
            </w:tcBorders>
            <w:shd w:val="clear" w:color="auto" w:fill="auto"/>
            <w:noWrap/>
            <w:hideMark/>
          </w:tcPr>
          <w:p w14:paraId="78DFEE45" w14:textId="77777777" w:rsidR="00FB33C6" w:rsidRPr="00256982" w:rsidRDefault="00FB33C6" w:rsidP="00823616">
            <w:pPr>
              <w:pStyle w:val="TableText"/>
            </w:pPr>
            <w:r w:rsidRPr="00256982">
              <w:t>CH</w:t>
            </w:r>
            <w:r w:rsidRPr="00256982">
              <w:rPr>
                <w:vertAlign w:val="subscript"/>
              </w:rPr>
              <w:t>4</w:t>
            </w:r>
          </w:p>
        </w:tc>
        <w:tc>
          <w:tcPr>
            <w:tcW w:w="658" w:type="pct"/>
            <w:tcBorders>
              <w:top w:val="single" w:sz="4" w:space="0" w:color="365F91"/>
              <w:left w:val="single" w:sz="4" w:space="0" w:color="365F91"/>
              <w:bottom w:val="single" w:sz="4" w:space="0" w:color="365F91"/>
              <w:right w:val="single" w:sz="4" w:space="0" w:color="365F91"/>
            </w:tcBorders>
            <w:shd w:val="clear" w:color="auto" w:fill="auto"/>
            <w:noWrap/>
            <w:hideMark/>
          </w:tcPr>
          <w:p w14:paraId="41C4BEBC" w14:textId="77777777" w:rsidR="00FB33C6" w:rsidRPr="00256982" w:rsidRDefault="00FB33C6" w:rsidP="00823616">
            <w:pPr>
              <w:pStyle w:val="TableText"/>
            </w:pPr>
            <w:r w:rsidRPr="00256982">
              <w:t>Liquid fuels</w:t>
            </w:r>
          </w:p>
        </w:tc>
        <w:tc>
          <w:tcPr>
            <w:tcW w:w="1009" w:type="pct"/>
            <w:tcBorders>
              <w:top w:val="single" w:sz="4" w:space="0" w:color="365F91"/>
              <w:left w:val="single" w:sz="4" w:space="0" w:color="365F91"/>
              <w:bottom w:val="single" w:sz="4" w:space="0" w:color="365F91"/>
              <w:right w:val="single" w:sz="4" w:space="0" w:color="365F91"/>
            </w:tcBorders>
            <w:shd w:val="clear" w:color="auto" w:fill="auto"/>
            <w:noWrap/>
            <w:hideMark/>
          </w:tcPr>
          <w:p w14:paraId="33D5FAE7" w14:textId="77777777" w:rsidR="00FB33C6" w:rsidRPr="00256982" w:rsidRDefault="00FB33C6" w:rsidP="00823616">
            <w:pPr>
              <w:pStyle w:val="TableText"/>
              <w:jc w:val="center"/>
            </w:pPr>
            <w:r w:rsidRPr="00256982">
              <w:t>20</w:t>
            </w:r>
          </w:p>
        </w:tc>
        <w:tc>
          <w:tcPr>
            <w:tcW w:w="1083" w:type="pct"/>
            <w:tcBorders>
              <w:left w:val="single" w:sz="4" w:space="0" w:color="365F91"/>
            </w:tcBorders>
            <w:shd w:val="clear" w:color="auto" w:fill="auto"/>
            <w:noWrap/>
            <w:hideMark/>
          </w:tcPr>
          <w:p w14:paraId="33074A22" w14:textId="77777777" w:rsidR="00FB33C6" w:rsidRPr="00256982" w:rsidRDefault="00FB33C6" w:rsidP="00823616">
            <w:pPr>
              <w:pStyle w:val="TableText"/>
              <w:jc w:val="center"/>
            </w:pPr>
            <w:r w:rsidRPr="00256982">
              <w:t>±50.0</w:t>
            </w:r>
          </w:p>
        </w:tc>
        <w:tc>
          <w:tcPr>
            <w:tcW w:w="1917" w:type="pct"/>
            <w:tcBorders>
              <w:left w:val="single" w:sz="4" w:space="0" w:color="365F91"/>
            </w:tcBorders>
          </w:tcPr>
          <w:p w14:paraId="39B3C881" w14:textId="17E67C60" w:rsidR="00FB33C6" w:rsidRPr="00256982" w:rsidRDefault="00FB33C6" w:rsidP="00823616">
            <w:pPr>
              <w:pStyle w:val="TableText"/>
            </w:pPr>
            <w:r w:rsidRPr="00256982">
              <w:t>AD: page 2.41, IPCC, 2006a</w:t>
            </w:r>
            <w:r w:rsidR="00256982" w:rsidRPr="00256982">
              <w:t xml:space="preserve"> </w:t>
            </w:r>
            <w:r w:rsidRPr="00256982">
              <w:t>(table 2.15)</w:t>
            </w:r>
          </w:p>
          <w:p w14:paraId="411FC1A6" w14:textId="6DB26618" w:rsidR="00FB33C6" w:rsidRPr="00256982" w:rsidRDefault="00FB33C6" w:rsidP="00823616">
            <w:pPr>
              <w:pStyle w:val="TableText"/>
            </w:pPr>
            <w:r w:rsidRPr="00256982">
              <w:t>EF: page 2.38, IPCC, 2006a</w:t>
            </w:r>
            <w:r w:rsidR="00256982" w:rsidRPr="00256982">
              <w:t xml:space="preserve"> </w:t>
            </w:r>
            <w:r w:rsidRPr="00256982">
              <w:t>(table 2.12)</w:t>
            </w:r>
          </w:p>
        </w:tc>
      </w:tr>
      <w:tr w:rsidR="00FB33C6" w:rsidRPr="00256982" w14:paraId="72D46E6F" w14:textId="77777777" w:rsidTr="00172F2B">
        <w:tc>
          <w:tcPr>
            <w:tcW w:w="333" w:type="pct"/>
            <w:tcBorders>
              <w:right w:val="single" w:sz="4" w:space="0" w:color="365F91"/>
            </w:tcBorders>
            <w:shd w:val="clear" w:color="auto" w:fill="auto"/>
            <w:noWrap/>
            <w:hideMark/>
          </w:tcPr>
          <w:p w14:paraId="2258C8EE" w14:textId="77777777" w:rsidR="00FB33C6" w:rsidRPr="00256982" w:rsidRDefault="00FB33C6" w:rsidP="00823616">
            <w:pPr>
              <w:pStyle w:val="TableText"/>
            </w:pPr>
            <w:r w:rsidRPr="00256982">
              <w:t>N</w:t>
            </w:r>
            <w:r w:rsidRPr="00256982">
              <w:rPr>
                <w:vertAlign w:val="subscript"/>
              </w:rPr>
              <w:t>2</w:t>
            </w:r>
            <w:r w:rsidRPr="00256982">
              <w:t>O</w:t>
            </w:r>
          </w:p>
        </w:tc>
        <w:tc>
          <w:tcPr>
            <w:tcW w:w="658" w:type="pct"/>
            <w:tcBorders>
              <w:top w:val="single" w:sz="4" w:space="0" w:color="365F91"/>
              <w:left w:val="single" w:sz="4" w:space="0" w:color="365F91"/>
              <w:bottom w:val="single" w:sz="4" w:space="0" w:color="365F91"/>
              <w:right w:val="single" w:sz="4" w:space="0" w:color="365F91"/>
            </w:tcBorders>
            <w:shd w:val="clear" w:color="auto" w:fill="auto"/>
            <w:noWrap/>
            <w:hideMark/>
          </w:tcPr>
          <w:p w14:paraId="43210423" w14:textId="77777777" w:rsidR="00FB33C6" w:rsidRPr="00256982" w:rsidRDefault="00FB33C6" w:rsidP="00823616">
            <w:pPr>
              <w:pStyle w:val="TableText"/>
            </w:pPr>
            <w:r w:rsidRPr="00256982">
              <w:t>Liquid fuels</w:t>
            </w:r>
          </w:p>
        </w:tc>
        <w:tc>
          <w:tcPr>
            <w:tcW w:w="1009" w:type="pct"/>
            <w:tcBorders>
              <w:top w:val="single" w:sz="4" w:space="0" w:color="365F91"/>
              <w:left w:val="single" w:sz="4" w:space="0" w:color="365F91"/>
              <w:bottom w:val="single" w:sz="4" w:space="0" w:color="365F91"/>
              <w:right w:val="single" w:sz="4" w:space="0" w:color="365F91"/>
            </w:tcBorders>
            <w:shd w:val="clear" w:color="auto" w:fill="auto"/>
            <w:noWrap/>
            <w:hideMark/>
          </w:tcPr>
          <w:p w14:paraId="64A89CF6" w14:textId="77777777" w:rsidR="00FB33C6" w:rsidRPr="00256982" w:rsidRDefault="00FB33C6" w:rsidP="00823616">
            <w:pPr>
              <w:pStyle w:val="TableText"/>
              <w:jc w:val="center"/>
            </w:pPr>
            <w:r w:rsidRPr="00256982">
              <w:t>20</w:t>
            </w:r>
          </w:p>
        </w:tc>
        <w:tc>
          <w:tcPr>
            <w:tcW w:w="1083" w:type="pct"/>
            <w:tcBorders>
              <w:left w:val="single" w:sz="4" w:space="0" w:color="365F91"/>
            </w:tcBorders>
            <w:shd w:val="clear" w:color="auto" w:fill="auto"/>
            <w:noWrap/>
            <w:hideMark/>
          </w:tcPr>
          <w:p w14:paraId="339A78F0" w14:textId="77777777" w:rsidR="00FB33C6" w:rsidRPr="00256982" w:rsidRDefault="00FB33C6" w:rsidP="00823616">
            <w:pPr>
              <w:pStyle w:val="TableText"/>
              <w:jc w:val="center"/>
            </w:pPr>
            <w:r w:rsidRPr="00256982">
              <w:t>±50.0</w:t>
            </w:r>
          </w:p>
        </w:tc>
        <w:tc>
          <w:tcPr>
            <w:tcW w:w="1917" w:type="pct"/>
            <w:tcBorders>
              <w:left w:val="single" w:sz="4" w:space="0" w:color="365F91"/>
            </w:tcBorders>
          </w:tcPr>
          <w:p w14:paraId="481E546C" w14:textId="54674B7A" w:rsidR="00FB33C6" w:rsidRPr="00256982" w:rsidRDefault="00FB33C6" w:rsidP="00823616">
            <w:pPr>
              <w:pStyle w:val="TableText"/>
            </w:pPr>
            <w:r w:rsidRPr="00256982">
              <w:t>AD: page 2.41, IPCC, 2006a</w:t>
            </w:r>
            <w:r w:rsidR="00256982" w:rsidRPr="00256982">
              <w:t xml:space="preserve"> </w:t>
            </w:r>
            <w:r w:rsidRPr="00256982">
              <w:t>(table 2.15)</w:t>
            </w:r>
          </w:p>
          <w:p w14:paraId="4E9986C7" w14:textId="77777777" w:rsidR="00FB33C6" w:rsidRPr="00256982" w:rsidRDefault="00FB33C6" w:rsidP="00823616">
            <w:pPr>
              <w:pStyle w:val="TableText"/>
            </w:pPr>
            <w:r w:rsidRPr="00256982">
              <w:t>EF: New Zealand’s value (table 3.3.1, chapter 3)</w:t>
            </w:r>
          </w:p>
        </w:tc>
      </w:tr>
    </w:tbl>
    <w:p w14:paraId="5A9D98FA" w14:textId="77777777" w:rsidR="00FB33C6" w:rsidRPr="00256982" w:rsidRDefault="00FB33C6" w:rsidP="00FB33C6">
      <w:pPr>
        <w:pStyle w:val="Heading4"/>
        <w:spacing w:before="360"/>
      </w:pPr>
      <w:r w:rsidRPr="00256982">
        <w:t>Planned improvements</w:t>
      </w:r>
    </w:p>
    <w:p w14:paraId="6B028403" w14:textId="77777777" w:rsidR="00FB33C6" w:rsidRPr="00256982" w:rsidRDefault="00FB33C6" w:rsidP="00FB33C6">
      <w:pPr>
        <w:pStyle w:val="BodyText"/>
        <w:rPr>
          <w:lang w:eastAsia="en-GB"/>
        </w:rPr>
      </w:pPr>
      <w:r w:rsidRPr="00256982">
        <w:rPr>
          <w:lang w:eastAsia="en-GB"/>
        </w:rPr>
        <w:t>Similar to the Energy industries category, for future submissions, further analysis of activity data from Tokelau to reflect year-to-year variations will be considered as far as resources will allow. This may take several years because analysis of all invoices and comparisons between different data sources require significant effort and resources. Tokelau will report on progress in this endeavour in the next inventory submission.</w:t>
      </w:r>
    </w:p>
    <w:p w14:paraId="5A8F5515" w14:textId="77777777" w:rsidR="00FB33C6" w:rsidRPr="00256982" w:rsidRDefault="00FB33C6" w:rsidP="00FB33C6">
      <w:pPr>
        <w:pStyle w:val="Heading3"/>
      </w:pPr>
      <w:r w:rsidRPr="00256982">
        <w:t xml:space="preserve">8.2.5 </w:t>
      </w:r>
      <w:r w:rsidRPr="00256982">
        <w:tab/>
        <w:t>Mobile combustion: Transport in Tokelau</w:t>
      </w:r>
    </w:p>
    <w:p w14:paraId="47BFF958" w14:textId="77777777" w:rsidR="00FB33C6" w:rsidRPr="00256982" w:rsidRDefault="00FB33C6" w:rsidP="00B72D19">
      <w:pPr>
        <w:pStyle w:val="Heading4"/>
        <w:spacing w:before="160"/>
      </w:pPr>
      <w:r w:rsidRPr="00256982">
        <w:t>Description</w:t>
      </w:r>
    </w:p>
    <w:p w14:paraId="2ACD8255" w14:textId="77777777" w:rsidR="00FB33C6" w:rsidRPr="00256982" w:rsidRDefault="00FB33C6" w:rsidP="00B72D19">
      <w:pPr>
        <w:pStyle w:val="BodyText"/>
        <w:spacing w:before="100" w:after="100"/>
      </w:pPr>
      <w:r w:rsidRPr="00256982">
        <w:t>The only means of transport to and from Tokelau is by sea; there is no air transportation. All travel and supplies to Tokelau originate and terminate in Samoa, Tokelau’s closest neighbour. A direct trip from any of the three atolls to the nearest port, Apia, usually takes between 24 hours and 30 hours. There are no ports and terminals in Tokelau, and no offshore anchorage is available: barges that can enter the fringe reef are used for loading and offloading ships.</w:t>
      </w:r>
    </w:p>
    <w:p w14:paraId="290DB6CB" w14:textId="77777777" w:rsidR="00FB33C6" w:rsidRPr="00256982" w:rsidRDefault="00FB33C6" w:rsidP="00B72D19">
      <w:pPr>
        <w:pStyle w:val="BodyText"/>
        <w:spacing w:before="100" w:after="100"/>
      </w:pPr>
      <w:r w:rsidRPr="00256982">
        <w:t>Until recently, the main forms of transport on the atolls were trucks, pick-ups, motorbikes and a range of golf carts. Some vehicles are electric (including the Fakaofo ambulance), fuelled by solar energy. Solar-powered streetlights ensure safety on the roadways. The private importation of other vehicles has increased recently.</w:t>
      </w:r>
    </w:p>
    <w:p w14:paraId="0E2A6144" w14:textId="77777777" w:rsidR="00FB33C6" w:rsidRPr="00256982" w:rsidRDefault="00FB33C6" w:rsidP="00B72D19">
      <w:pPr>
        <w:pStyle w:val="BodyText"/>
        <w:spacing w:before="100" w:after="100"/>
      </w:pPr>
      <w:r w:rsidRPr="00256982">
        <w:t xml:space="preserve">Until recently, the number of petrol cars has been very small in Tokelau and in 2018 there were only about 40 cars and 30 motorbikes, with the entire road network being less than 10 kilometres (see the results of road vehicle photo survey in annex 7, table A7.1.2). Census 2001 and prior record only four registered cars (see the results of road vehicle photo survey in annex 7, table A7.1.2). Aluminium boats with an outboard motor are widely used by families. Emissions from fuels used for road transport are orders of magnitude lower than from boats, and it was not possible to distinguish the small amounts of fuels used by cars from the total amount used by boats and cars. That is why emissions from road transport are included under the </w:t>
      </w:r>
      <w:r w:rsidRPr="00256982">
        <w:rPr>
          <w:i/>
        </w:rPr>
        <w:t>Domestic navigation</w:t>
      </w:r>
      <w:r w:rsidRPr="00256982">
        <w:t xml:space="preserve"> category. </w:t>
      </w:r>
    </w:p>
    <w:p w14:paraId="0AE2272D" w14:textId="77777777" w:rsidR="00FB33C6" w:rsidRPr="00256982" w:rsidRDefault="00FB33C6" w:rsidP="00B72D19">
      <w:pPr>
        <w:pStyle w:val="BodyText"/>
        <w:spacing w:before="100" w:after="100"/>
      </w:pPr>
      <w:r w:rsidRPr="00256982">
        <w:t xml:space="preserve">According to its 2016 census, Tokelau has 176 aluminium boats with 160 outboard motors, which use most of the imported petrol to travel within and outside the large lagoons. Most of the diesel use is by the ferries travelling to and from Samoa. A new search and rescue vessel that will also provide general inter-atoll transport was delivered to Tokelau in 2019, and this is expected to increase the use of diesel. </w:t>
      </w:r>
    </w:p>
    <w:p w14:paraId="2105A90A" w14:textId="77777777" w:rsidR="00FB33C6" w:rsidRPr="00256982" w:rsidRDefault="00FB33C6" w:rsidP="00B72D19">
      <w:pPr>
        <w:pStyle w:val="BodyText"/>
        <w:spacing w:before="100" w:after="100"/>
      </w:pPr>
      <w:r w:rsidRPr="00256982">
        <w:t xml:space="preserve">For Tokelau, the category </w:t>
      </w:r>
      <w:r w:rsidRPr="00256982">
        <w:rPr>
          <w:i/>
        </w:rPr>
        <w:t>Domestic navigation</w:t>
      </w:r>
      <w:r w:rsidRPr="00256982">
        <w:t xml:space="preserve"> accounted for 100 per cent of the emissions from the </w:t>
      </w:r>
      <w:r w:rsidRPr="00256982">
        <w:rPr>
          <w:i/>
        </w:rPr>
        <w:t>Transport</w:t>
      </w:r>
      <w:r w:rsidRPr="00256982">
        <w:t xml:space="preserve"> category for the entire time series. In 2017, emissions from the </w:t>
      </w:r>
      <w:r w:rsidRPr="00256982">
        <w:rPr>
          <w:i/>
        </w:rPr>
        <w:t>Domestic navigation</w:t>
      </w:r>
      <w:r w:rsidRPr="00256982">
        <w:t xml:space="preserve"> category totalled 1.61 kt CO</w:t>
      </w:r>
      <w:r w:rsidRPr="00256982">
        <w:rPr>
          <w:vertAlign w:val="subscript"/>
        </w:rPr>
        <w:t>2</w:t>
      </w:r>
      <w:r w:rsidRPr="00256982">
        <w:t>-e (84.5 per cent of all energy emissions from Tokelau).</w:t>
      </w:r>
    </w:p>
    <w:p w14:paraId="7132A73E" w14:textId="77777777" w:rsidR="00FB33C6" w:rsidRPr="00256982" w:rsidRDefault="00FB33C6" w:rsidP="00FB33C6">
      <w:pPr>
        <w:pStyle w:val="Heading4"/>
      </w:pPr>
      <w:r w:rsidRPr="00256982">
        <w:t>Methodological issues</w:t>
      </w:r>
    </w:p>
    <w:p w14:paraId="3F46E1B8" w14:textId="77777777" w:rsidR="00FB33C6" w:rsidRPr="00256982" w:rsidRDefault="00FB33C6" w:rsidP="00B72D19">
      <w:pPr>
        <w:pStyle w:val="Heading5"/>
        <w:spacing w:before="160"/>
      </w:pPr>
      <w:r w:rsidRPr="00256982">
        <w:t>Activity data</w:t>
      </w:r>
    </w:p>
    <w:p w14:paraId="1D4E34C6" w14:textId="77777777" w:rsidR="00FB33C6" w:rsidRPr="00256982" w:rsidRDefault="00FB33C6" w:rsidP="00B72D19">
      <w:pPr>
        <w:pStyle w:val="BodyText"/>
        <w:spacing w:before="100" w:after="100"/>
        <w:rPr>
          <w:rFonts w:ascii="TimesNewRomanPSMT" w:hAnsi="TimesNewRomanPSMT" w:cs="TimesNewRomanPSMT"/>
          <w:spacing w:val="-2"/>
          <w:sz w:val="20"/>
        </w:rPr>
      </w:pPr>
      <w:r w:rsidRPr="00256982">
        <w:rPr>
          <w:spacing w:val="-2"/>
          <w:lang w:eastAsia="en-GB"/>
        </w:rPr>
        <w:t xml:space="preserve">The sources of activity data for the </w:t>
      </w:r>
      <w:r w:rsidRPr="00256982">
        <w:rPr>
          <w:i/>
          <w:spacing w:val="-2"/>
          <w:lang w:eastAsia="en-GB"/>
        </w:rPr>
        <w:t>Transport</w:t>
      </w:r>
      <w:r w:rsidRPr="00256982">
        <w:rPr>
          <w:spacing w:val="-2"/>
          <w:lang w:eastAsia="en-GB"/>
        </w:rPr>
        <w:t xml:space="preserve"> and </w:t>
      </w:r>
      <w:r w:rsidRPr="00256982">
        <w:rPr>
          <w:i/>
          <w:spacing w:val="-2"/>
          <w:lang w:eastAsia="en-GB"/>
        </w:rPr>
        <w:t xml:space="preserve">Domestic navigation </w:t>
      </w:r>
      <w:r w:rsidRPr="00256982">
        <w:rPr>
          <w:spacing w:val="-2"/>
          <w:lang w:eastAsia="en-GB"/>
        </w:rPr>
        <w:t xml:space="preserve">categories are included in table 8.1.2. Key sources for the energy transport data are paid invoices from Petroleum Product Supplies Ltd (Apia, Samoa) with data on fuel prices and volumes supplied for shipping and on-atoll use: diesel, petrol, kerosene and lubricant oil (item 7 in table 8.1.2); the Tokelau Department of Finance invoices and payment records to Petroleum Product Supplies Ltd, Origin and on-atoll stores; and a photo survey of Tokelau motorised vehicles on-atoll, August–December 2018 (see annex 7, table A7.1.2). Additional energy data related to cargo manifests were obtained from an </w:t>
      </w:r>
      <w:r w:rsidRPr="00256982">
        <w:rPr>
          <w:i/>
          <w:spacing w:val="-2"/>
          <w:lang w:eastAsia="en-GB"/>
        </w:rPr>
        <w:t>Analysis of 2014 Imports into Tokelau from Samoa, Part 2: Stores’ invoices reconciled with cargo manifests, and quality of life implications</w:t>
      </w:r>
      <w:r w:rsidRPr="00256982">
        <w:rPr>
          <w:spacing w:val="-2"/>
          <w:lang w:eastAsia="en-GB"/>
        </w:rPr>
        <w:t xml:space="preserve"> (Tokelau National Statistics Office, 2016). Only liquid fossil fuels (gas and diesel oil) are used for fuelling Tokelau’s transport.</w:t>
      </w:r>
    </w:p>
    <w:p w14:paraId="5C4B5D1B" w14:textId="77777777" w:rsidR="00FB33C6" w:rsidRPr="00256982" w:rsidRDefault="00FB33C6" w:rsidP="00B72D19">
      <w:pPr>
        <w:pStyle w:val="BodyText"/>
        <w:spacing w:before="100" w:after="100"/>
        <w:rPr>
          <w:lang w:eastAsia="en-GB"/>
        </w:rPr>
      </w:pPr>
      <w:r w:rsidRPr="00256982">
        <w:rPr>
          <w:lang w:eastAsia="en-GB"/>
        </w:rPr>
        <w:t xml:space="preserve">Due to large discrepancies between different sources of raw data, reliable statistics on fuel consumption across the period 1990–2017 are not available. Some sporadic data are available for individual years in 2003, 2008 and 2011, but the data from those years are not sufficient to construct a reliable time series. Thus, applying the latest statistics for activity data assembled during 2018 was the best available accurate estimate and was applied for the entire time series from 1990 to 2017. The results of raw data analysis and conversion of raw data to activity data in energy units are included in annex 7, table A7.1.1. </w:t>
      </w:r>
    </w:p>
    <w:p w14:paraId="523FB218" w14:textId="77777777" w:rsidR="00FB33C6" w:rsidRPr="00256982" w:rsidRDefault="00FB33C6" w:rsidP="00FB33C6">
      <w:pPr>
        <w:pStyle w:val="Heading5"/>
        <w:rPr>
          <w:lang w:eastAsia="en-GB"/>
        </w:rPr>
      </w:pPr>
      <w:r w:rsidRPr="00256982">
        <w:rPr>
          <w:lang w:eastAsia="en-GB"/>
        </w:rPr>
        <w:t>Methods and emission factors</w:t>
      </w:r>
    </w:p>
    <w:p w14:paraId="70A02206" w14:textId="77777777" w:rsidR="00FB33C6" w:rsidRPr="00256982" w:rsidRDefault="00FB33C6" w:rsidP="00FB33C6">
      <w:pPr>
        <w:pStyle w:val="BodyText"/>
        <w:rPr>
          <w:lang w:eastAsia="en-GB"/>
        </w:rPr>
      </w:pPr>
      <w:r w:rsidRPr="00256982">
        <w:rPr>
          <w:lang w:eastAsia="en-GB"/>
        </w:rPr>
        <w:t xml:space="preserve">A Tier 1 method was applied for estimating emissions from the </w:t>
      </w:r>
      <w:r w:rsidRPr="00256982">
        <w:rPr>
          <w:i/>
          <w:lang w:eastAsia="en-GB"/>
        </w:rPr>
        <w:t>Domestic navigation</w:t>
      </w:r>
      <w:r w:rsidRPr="00256982">
        <w:rPr>
          <w:lang w:eastAsia="en-GB"/>
        </w:rPr>
        <w:t xml:space="preserve"> category. The method required the data on the amount of fuel combusted in the source category and a default emissions factor from tables 3.5.2 (for CO</w:t>
      </w:r>
      <w:r w:rsidRPr="00256982">
        <w:rPr>
          <w:vertAlign w:val="subscript"/>
          <w:lang w:eastAsia="en-GB"/>
        </w:rPr>
        <w:t>2</w:t>
      </w:r>
      <w:r w:rsidRPr="00256982">
        <w:rPr>
          <w:lang w:eastAsia="en-GB"/>
        </w:rPr>
        <w:t>) and 3.5.3 (for non-CO</w:t>
      </w:r>
      <w:r w:rsidRPr="00256982">
        <w:rPr>
          <w:vertAlign w:val="subscript"/>
          <w:lang w:eastAsia="en-GB"/>
        </w:rPr>
        <w:t>2</w:t>
      </w:r>
      <w:r w:rsidRPr="00256982">
        <w:rPr>
          <w:lang w:eastAsia="en-GB"/>
        </w:rPr>
        <w:t xml:space="preserve"> gases), section 3.5.1.2, volume 2 of the 2006 IPCC Guidelines. Default emission factors from the 2006 IPCC Guidelines were converted from net calorific values to gross calorific values using the OECD and International Energy Agency assumptions to make these conversions:</w:t>
      </w:r>
    </w:p>
    <w:p w14:paraId="4A46422E" w14:textId="77777777" w:rsidR="00FB33C6" w:rsidRPr="00256982" w:rsidRDefault="00FB33C6" w:rsidP="00FB33C6">
      <w:pPr>
        <w:pStyle w:val="BodyText"/>
        <w:jc w:val="center"/>
        <w:rPr>
          <w:sz w:val="20"/>
          <w:lang w:eastAsia="en-GB"/>
        </w:rPr>
      </w:pPr>
      <w:r w:rsidRPr="00256982">
        <w:rPr>
          <w:sz w:val="20"/>
          <w:lang w:eastAsia="en-GB"/>
        </w:rPr>
        <w:t>Gross Emission Factor (liquid fuels) = 0.95 x Net Emission Factor</w:t>
      </w:r>
    </w:p>
    <w:p w14:paraId="0465BE40" w14:textId="77777777" w:rsidR="00FB33C6" w:rsidRPr="00256982" w:rsidRDefault="00FB33C6" w:rsidP="00FB33C6">
      <w:pPr>
        <w:pStyle w:val="BodyText"/>
        <w:rPr>
          <w:lang w:eastAsia="en-GB"/>
        </w:rPr>
      </w:pPr>
      <w:r w:rsidRPr="00256982">
        <w:rPr>
          <w:lang w:eastAsia="en-GB"/>
        </w:rPr>
        <w:t xml:space="preserve">Equation 3.5.1 in section 3.5.1.1 in the 2006 IPCC Guidelines was used for estimating emissions (IPCC, 2006a). </w:t>
      </w:r>
    </w:p>
    <w:p w14:paraId="4E404111" w14:textId="77777777" w:rsidR="00FB33C6" w:rsidRPr="00256982" w:rsidRDefault="00FB33C6" w:rsidP="00FB33C6">
      <w:pPr>
        <w:pStyle w:val="Heading4"/>
      </w:pPr>
      <w:r w:rsidRPr="00256982">
        <w:t>Uncertainties</w:t>
      </w:r>
    </w:p>
    <w:p w14:paraId="120CFC46" w14:textId="77777777" w:rsidR="00FB33C6" w:rsidRPr="00256982" w:rsidRDefault="00FB33C6" w:rsidP="00FB33C6">
      <w:pPr>
        <w:pStyle w:val="BodyText"/>
        <w:rPr>
          <w:lang w:eastAsia="en-GB"/>
        </w:rPr>
      </w:pPr>
      <w:r w:rsidRPr="00256982">
        <w:rPr>
          <w:lang w:eastAsia="en-GB"/>
        </w:rPr>
        <w:t>For this submission, it was not possible to develop Tokelau-specific uncertainty values, so for emission factors, default uncertainty provided in the 2006 IPCC Guidelines were used for CO</w:t>
      </w:r>
      <w:r w:rsidRPr="00256982">
        <w:rPr>
          <w:vertAlign w:val="subscript"/>
          <w:lang w:eastAsia="en-GB"/>
        </w:rPr>
        <w:t>2</w:t>
      </w:r>
      <w:r w:rsidRPr="00256982">
        <w:rPr>
          <w:lang w:eastAsia="en-GB"/>
        </w:rPr>
        <w:t xml:space="preserve"> (for diesel) and CH</w:t>
      </w:r>
      <w:r w:rsidRPr="00256982">
        <w:rPr>
          <w:vertAlign w:val="subscript"/>
          <w:lang w:eastAsia="en-GB"/>
        </w:rPr>
        <w:t>4</w:t>
      </w:r>
      <w:r w:rsidRPr="00256982">
        <w:rPr>
          <w:lang w:eastAsia="en-GB"/>
        </w:rPr>
        <w:t xml:space="preserve"> (upper value) (IPCC, 2006a). For N</w:t>
      </w:r>
      <w:r w:rsidRPr="00256982">
        <w:rPr>
          <w:vertAlign w:val="subscript"/>
          <w:lang w:eastAsia="en-GB"/>
        </w:rPr>
        <w:t>2</w:t>
      </w:r>
      <w:r w:rsidRPr="00256982">
        <w:rPr>
          <w:lang w:eastAsia="en-GB"/>
        </w:rPr>
        <w:t>O, New Zealand’s emissions factor uncertainty across the Energy sector for N</w:t>
      </w:r>
      <w:r w:rsidRPr="00256982">
        <w:rPr>
          <w:vertAlign w:val="subscript"/>
          <w:lang w:eastAsia="en-GB"/>
        </w:rPr>
        <w:t>2</w:t>
      </w:r>
      <w:r w:rsidRPr="00256982">
        <w:rPr>
          <w:lang w:eastAsia="en-GB"/>
        </w:rPr>
        <w:t xml:space="preserve">O was used for this category, which is within the default uncertainty range. </w:t>
      </w:r>
    </w:p>
    <w:p w14:paraId="1736CDC4" w14:textId="77777777" w:rsidR="00FB33C6" w:rsidRPr="00256982" w:rsidRDefault="00FB33C6" w:rsidP="00FB33C6">
      <w:pPr>
        <w:pStyle w:val="BodyText"/>
        <w:rPr>
          <w:lang w:eastAsia="en-GB"/>
        </w:rPr>
      </w:pPr>
      <w:r w:rsidRPr="00256982">
        <w:rPr>
          <w:lang w:eastAsia="en-GB"/>
        </w:rPr>
        <w:t xml:space="preserve">For activity data, due to discrepancies between different data sources, an upper level of default uncertainty range associated with incomplete surveys from the 2006 IPCC Guidelines was applied (IPCC, 2006a). Table 8.2.3 shows the use of uncertainties for </w:t>
      </w:r>
      <w:r w:rsidRPr="00256982">
        <w:rPr>
          <w:i/>
          <w:lang w:eastAsia="en-GB"/>
        </w:rPr>
        <w:t>Domestic navigation</w:t>
      </w:r>
      <w:r w:rsidRPr="00256982">
        <w:rPr>
          <w:lang w:eastAsia="en-GB"/>
        </w:rPr>
        <w:t xml:space="preserve"> (diesel).</w:t>
      </w:r>
    </w:p>
    <w:p w14:paraId="2C80A4DB" w14:textId="77777777" w:rsidR="00FB33C6" w:rsidRPr="00256982" w:rsidRDefault="00FB33C6" w:rsidP="00FB33C6">
      <w:pPr>
        <w:pStyle w:val="Table"/>
      </w:pPr>
      <w:bookmarkStart w:id="2463" w:name="_Toc5269598"/>
      <w:r w:rsidRPr="00256982">
        <w:t>Table 8.2.3</w:t>
      </w:r>
      <w:r w:rsidRPr="00256982">
        <w:tab/>
        <w:t>Uncertainties for the Mobile combustion category</w:t>
      </w:r>
      <w:bookmarkEnd w:id="2463"/>
    </w:p>
    <w:tbl>
      <w:tblPr>
        <w:tblW w:w="8505" w:type="dxa"/>
        <w:tblInd w:w="108" w:type="dxa"/>
        <w:tblBorders>
          <w:top w:val="single" w:sz="4" w:space="0" w:color="1F497D"/>
          <w:bottom w:val="single" w:sz="4" w:space="0" w:color="1F497D"/>
          <w:insideH w:val="single" w:sz="4" w:space="0" w:color="1F497D"/>
          <w:insideV w:val="single" w:sz="4" w:space="0" w:color="1F497D"/>
        </w:tblBorders>
        <w:tblLook w:val="0420" w:firstRow="1" w:lastRow="0" w:firstColumn="0" w:lastColumn="0" w:noHBand="0" w:noVBand="1"/>
      </w:tblPr>
      <w:tblGrid>
        <w:gridCol w:w="567"/>
        <w:gridCol w:w="1119"/>
        <w:gridCol w:w="1716"/>
        <w:gridCol w:w="1842"/>
        <w:gridCol w:w="3261"/>
      </w:tblGrid>
      <w:tr w:rsidR="00FB33C6" w:rsidRPr="00256982" w14:paraId="3A804049" w14:textId="77777777" w:rsidTr="00172F2B">
        <w:trPr>
          <w:tblHeader/>
        </w:trPr>
        <w:tc>
          <w:tcPr>
            <w:tcW w:w="333" w:type="pct"/>
            <w:tcBorders>
              <w:right w:val="single" w:sz="4" w:space="0" w:color="365F91"/>
            </w:tcBorders>
            <w:shd w:val="clear" w:color="auto" w:fill="365F91"/>
            <w:noWrap/>
            <w:vAlign w:val="bottom"/>
            <w:hideMark/>
          </w:tcPr>
          <w:p w14:paraId="5E41386E" w14:textId="77777777" w:rsidR="00FB33C6" w:rsidRPr="00256982" w:rsidRDefault="00FB33C6" w:rsidP="00823616">
            <w:pPr>
              <w:pStyle w:val="TableTextBold"/>
              <w:rPr>
                <w:noProof w:val="0"/>
                <w:color w:val="FFFFFF"/>
              </w:rPr>
            </w:pPr>
            <w:r w:rsidRPr="00256982">
              <w:rPr>
                <w:noProof w:val="0"/>
                <w:color w:val="FFFFFF"/>
              </w:rPr>
              <w:t>Gas</w:t>
            </w:r>
          </w:p>
        </w:tc>
        <w:tc>
          <w:tcPr>
            <w:tcW w:w="658" w:type="pct"/>
            <w:tcBorders>
              <w:top w:val="single" w:sz="4" w:space="0" w:color="365F91"/>
              <w:left w:val="single" w:sz="4" w:space="0" w:color="365F91"/>
              <w:bottom w:val="single" w:sz="4" w:space="0" w:color="365F91"/>
              <w:right w:val="single" w:sz="4" w:space="0" w:color="365F91"/>
            </w:tcBorders>
            <w:shd w:val="clear" w:color="auto" w:fill="365F91"/>
            <w:noWrap/>
            <w:vAlign w:val="bottom"/>
            <w:hideMark/>
          </w:tcPr>
          <w:p w14:paraId="071EA9C2" w14:textId="77777777" w:rsidR="00FB33C6" w:rsidRPr="00256982" w:rsidRDefault="00FB33C6" w:rsidP="00823616">
            <w:pPr>
              <w:pStyle w:val="TableTextBold"/>
              <w:rPr>
                <w:noProof w:val="0"/>
                <w:color w:val="FFFFFF"/>
              </w:rPr>
            </w:pPr>
            <w:r w:rsidRPr="00256982">
              <w:rPr>
                <w:noProof w:val="0"/>
                <w:color w:val="FFFFFF"/>
              </w:rPr>
              <w:t>Fuel type</w:t>
            </w:r>
          </w:p>
        </w:tc>
        <w:tc>
          <w:tcPr>
            <w:tcW w:w="1009" w:type="pct"/>
            <w:tcBorders>
              <w:top w:val="single" w:sz="4" w:space="0" w:color="365F91"/>
              <w:left w:val="single" w:sz="4" w:space="0" w:color="365F91"/>
              <w:bottom w:val="single" w:sz="4" w:space="0" w:color="365F91"/>
              <w:right w:val="single" w:sz="4" w:space="0" w:color="365F91"/>
            </w:tcBorders>
            <w:shd w:val="clear" w:color="auto" w:fill="365F91"/>
            <w:vAlign w:val="bottom"/>
            <w:hideMark/>
          </w:tcPr>
          <w:p w14:paraId="3E632A21" w14:textId="77777777" w:rsidR="00FB33C6" w:rsidRPr="00256982" w:rsidRDefault="00FB33C6" w:rsidP="00823616">
            <w:pPr>
              <w:pStyle w:val="TableTextBold"/>
              <w:jc w:val="center"/>
              <w:rPr>
                <w:noProof w:val="0"/>
                <w:color w:val="FFFFFF"/>
              </w:rPr>
            </w:pPr>
            <w:r w:rsidRPr="00256982">
              <w:rPr>
                <w:noProof w:val="0"/>
                <w:color w:val="FFFFFF"/>
              </w:rPr>
              <w:t>Activity data (AD) uncertainty (%)</w:t>
            </w:r>
          </w:p>
        </w:tc>
        <w:tc>
          <w:tcPr>
            <w:tcW w:w="1083" w:type="pct"/>
            <w:tcBorders>
              <w:left w:val="single" w:sz="4" w:space="0" w:color="365F91"/>
            </w:tcBorders>
            <w:shd w:val="clear" w:color="auto" w:fill="365F91"/>
            <w:vAlign w:val="bottom"/>
            <w:hideMark/>
          </w:tcPr>
          <w:p w14:paraId="7D5405BB" w14:textId="77777777" w:rsidR="00FB33C6" w:rsidRPr="00256982" w:rsidRDefault="00FB33C6" w:rsidP="00823616">
            <w:pPr>
              <w:pStyle w:val="TableTextBold"/>
              <w:jc w:val="center"/>
              <w:rPr>
                <w:noProof w:val="0"/>
                <w:color w:val="FFFFFF"/>
              </w:rPr>
            </w:pPr>
            <w:r w:rsidRPr="00256982">
              <w:rPr>
                <w:noProof w:val="0"/>
                <w:color w:val="FFFFFF"/>
              </w:rPr>
              <w:t>Emission factor (EF) uncertainty (%)</w:t>
            </w:r>
          </w:p>
        </w:tc>
        <w:tc>
          <w:tcPr>
            <w:tcW w:w="1917" w:type="pct"/>
            <w:tcBorders>
              <w:left w:val="single" w:sz="4" w:space="0" w:color="365F91"/>
            </w:tcBorders>
            <w:shd w:val="clear" w:color="auto" w:fill="365F91"/>
            <w:vAlign w:val="bottom"/>
          </w:tcPr>
          <w:p w14:paraId="1B6CDDA8" w14:textId="77777777" w:rsidR="00FB33C6" w:rsidRPr="00256982" w:rsidRDefault="00FB33C6" w:rsidP="00823616">
            <w:pPr>
              <w:pStyle w:val="TableTextBold"/>
              <w:jc w:val="center"/>
              <w:rPr>
                <w:noProof w:val="0"/>
                <w:color w:val="FFFFFF"/>
              </w:rPr>
            </w:pPr>
            <w:r w:rsidRPr="00256982">
              <w:rPr>
                <w:noProof w:val="0"/>
                <w:color w:val="FFFFFF"/>
              </w:rPr>
              <w:t>Source</w:t>
            </w:r>
          </w:p>
        </w:tc>
      </w:tr>
      <w:tr w:rsidR="00FB33C6" w:rsidRPr="00256982" w14:paraId="553EE50B" w14:textId="77777777" w:rsidTr="00172F2B">
        <w:tc>
          <w:tcPr>
            <w:tcW w:w="333" w:type="pct"/>
            <w:tcBorders>
              <w:right w:val="single" w:sz="4" w:space="0" w:color="365F91"/>
            </w:tcBorders>
            <w:shd w:val="clear" w:color="auto" w:fill="auto"/>
            <w:noWrap/>
            <w:hideMark/>
          </w:tcPr>
          <w:p w14:paraId="652F0A95" w14:textId="77777777" w:rsidR="00FB33C6" w:rsidRPr="00256982" w:rsidRDefault="00FB33C6" w:rsidP="00823616">
            <w:pPr>
              <w:pStyle w:val="TableText"/>
            </w:pPr>
            <w:r w:rsidRPr="00256982">
              <w:t>CO</w:t>
            </w:r>
            <w:r w:rsidRPr="00256982">
              <w:rPr>
                <w:vertAlign w:val="subscript"/>
              </w:rPr>
              <w:t>2</w:t>
            </w:r>
          </w:p>
        </w:tc>
        <w:tc>
          <w:tcPr>
            <w:tcW w:w="658" w:type="pct"/>
            <w:tcBorders>
              <w:top w:val="single" w:sz="4" w:space="0" w:color="365F91"/>
              <w:left w:val="single" w:sz="4" w:space="0" w:color="365F91"/>
              <w:bottom w:val="single" w:sz="4" w:space="0" w:color="365F91"/>
              <w:right w:val="single" w:sz="4" w:space="0" w:color="365F91"/>
            </w:tcBorders>
            <w:shd w:val="clear" w:color="auto" w:fill="auto"/>
            <w:noWrap/>
            <w:hideMark/>
          </w:tcPr>
          <w:p w14:paraId="58B5DCB4" w14:textId="77777777" w:rsidR="00FB33C6" w:rsidRPr="00256982" w:rsidRDefault="00FB33C6" w:rsidP="00823616">
            <w:pPr>
              <w:pStyle w:val="TableText"/>
            </w:pPr>
            <w:r w:rsidRPr="00256982">
              <w:t>Liquid fuels</w:t>
            </w:r>
          </w:p>
        </w:tc>
        <w:tc>
          <w:tcPr>
            <w:tcW w:w="1009" w:type="pct"/>
            <w:tcBorders>
              <w:top w:val="single" w:sz="4" w:space="0" w:color="365F91"/>
              <w:left w:val="single" w:sz="4" w:space="0" w:color="365F91"/>
              <w:bottom w:val="single" w:sz="4" w:space="0" w:color="365F91"/>
              <w:right w:val="single" w:sz="4" w:space="0" w:color="365F91"/>
            </w:tcBorders>
            <w:shd w:val="clear" w:color="auto" w:fill="auto"/>
            <w:noWrap/>
            <w:hideMark/>
          </w:tcPr>
          <w:p w14:paraId="53E0D8C8" w14:textId="77777777" w:rsidR="00FB33C6" w:rsidRPr="00256982" w:rsidRDefault="00FB33C6" w:rsidP="00823616">
            <w:pPr>
              <w:pStyle w:val="TableText"/>
              <w:jc w:val="center"/>
            </w:pPr>
            <w:r w:rsidRPr="00256982">
              <w:t>±50</w:t>
            </w:r>
          </w:p>
        </w:tc>
        <w:tc>
          <w:tcPr>
            <w:tcW w:w="1083" w:type="pct"/>
            <w:tcBorders>
              <w:left w:val="single" w:sz="4" w:space="0" w:color="365F91"/>
            </w:tcBorders>
            <w:shd w:val="clear" w:color="auto" w:fill="auto"/>
            <w:noWrap/>
            <w:hideMark/>
          </w:tcPr>
          <w:p w14:paraId="73E94001" w14:textId="77777777" w:rsidR="00FB33C6" w:rsidRPr="00256982" w:rsidRDefault="00FB33C6" w:rsidP="00823616">
            <w:pPr>
              <w:pStyle w:val="TableText"/>
              <w:jc w:val="center"/>
            </w:pPr>
            <w:r w:rsidRPr="00256982">
              <w:t>±1.5</w:t>
            </w:r>
          </w:p>
        </w:tc>
        <w:tc>
          <w:tcPr>
            <w:tcW w:w="1917" w:type="pct"/>
            <w:tcBorders>
              <w:left w:val="single" w:sz="4" w:space="0" w:color="365F91"/>
            </w:tcBorders>
          </w:tcPr>
          <w:p w14:paraId="56494DEA" w14:textId="77777777" w:rsidR="00FB33C6" w:rsidRPr="00256982" w:rsidRDefault="00FB33C6" w:rsidP="00823616">
            <w:pPr>
              <w:pStyle w:val="TableText"/>
            </w:pPr>
            <w:r w:rsidRPr="00256982">
              <w:t>Section 3.5.1.7, IPCC, 2006a</w:t>
            </w:r>
          </w:p>
        </w:tc>
      </w:tr>
      <w:tr w:rsidR="00FB33C6" w:rsidRPr="00256982" w14:paraId="15209AE9" w14:textId="77777777" w:rsidTr="00172F2B">
        <w:tc>
          <w:tcPr>
            <w:tcW w:w="333" w:type="pct"/>
            <w:tcBorders>
              <w:right w:val="single" w:sz="4" w:space="0" w:color="365F91"/>
            </w:tcBorders>
            <w:shd w:val="clear" w:color="auto" w:fill="auto"/>
            <w:noWrap/>
            <w:hideMark/>
          </w:tcPr>
          <w:p w14:paraId="68E5CB6F" w14:textId="77777777" w:rsidR="00FB33C6" w:rsidRPr="00256982" w:rsidRDefault="00FB33C6" w:rsidP="00823616">
            <w:pPr>
              <w:pStyle w:val="TableText"/>
            </w:pPr>
            <w:r w:rsidRPr="00256982">
              <w:t>CH</w:t>
            </w:r>
            <w:r w:rsidRPr="00256982">
              <w:rPr>
                <w:vertAlign w:val="subscript"/>
              </w:rPr>
              <w:t>4</w:t>
            </w:r>
          </w:p>
        </w:tc>
        <w:tc>
          <w:tcPr>
            <w:tcW w:w="658" w:type="pct"/>
            <w:tcBorders>
              <w:top w:val="single" w:sz="4" w:space="0" w:color="365F91"/>
              <w:left w:val="single" w:sz="4" w:space="0" w:color="365F91"/>
              <w:bottom w:val="single" w:sz="4" w:space="0" w:color="365F91"/>
              <w:right w:val="single" w:sz="4" w:space="0" w:color="365F91"/>
            </w:tcBorders>
            <w:shd w:val="clear" w:color="auto" w:fill="auto"/>
            <w:noWrap/>
            <w:hideMark/>
          </w:tcPr>
          <w:p w14:paraId="52BA4581" w14:textId="77777777" w:rsidR="00FB33C6" w:rsidRPr="00256982" w:rsidRDefault="00FB33C6" w:rsidP="00823616">
            <w:pPr>
              <w:pStyle w:val="TableText"/>
            </w:pPr>
            <w:r w:rsidRPr="00256982">
              <w:t>Liquid fuels</w:t>
            </w:r>
          </w:p>
        </w:tc>
        <w:tc>
          <w:tcPr>
            <w:tcW w:w="1009" w:type="pct"/>
            <w:tcBorders>
              <w:top w:val="single" w:sz="4" w:space="0" w:color="365F91"/>
              <w:left w:val="single" w:sz="4" w:space="0" w:color="365F91"/>
              <w:bottom w:val="single" w:sz="4" w:space="0" w:color="365F91"/>
              <w:right w:val="single" w:sz="4" w:space="0" w:color="365F91"/>
            </w:tcBorders>
            <w:shd w:val="clear" w:color="auto" w:fill="auto"/>
            <w:noWrap/>
            <w:hideMark/>
          </w:tcPr>
          <w:p w14:paraId="4F093A15" w14:textId="77777777" w:rsidR="00FB33C6" w:rsidRPr="00256982" w:rsidRDefault="00FB33C6" w:rsidP="00823616">
            <w:pPr>
              <w:pStyle w:val="TableText"/>
              <w:jc w:val="center"/>
            </w:pPr>
            <w:r w:rsidRPr="00256982">
              <w:t>±50</w:t>
            </w:r>
          </w:p>
        </w:tc>
        <w:tc>
          <w:tcPr>
            <w:tcW w:w="1083" w:type="pct"/>
            <w:tcBorders>
              <w:left w:val="single" w:sz="4" w:space="0" w:color="365F91"/>
            </w:tcBorders>
            <w:shd w:val="clear" w:color="auto" w:fill="auto"/>
            <w:noWrap/>
            <w:hideMark/>
          </w:tcPr>
          <w:p w14:paraId="300617C3" w14:textId="77777777" w:rsidR="00FB33C6" w:rsidRPr="00256982" w:rsidRDefault="00FB33C6" w:rsidP="00823616">
            <w:pPr>
              <w:pStyle w:val="TableText"/>
              <w:jc w:val="center"/>
            </w:pPr>
            <w:r w:rsidRPr="00256982">
              <w:t>±50.0</w:t>
            </w:r>
          </w:p>
        </w:tc>
        <w:tc>
          <w:tcPr>
            <w:tcW w:w="1917" w:type="pct"/>
            <w:tcBorders>
              <w:left w:val="single" w:sz="4" w:space="0" w:color="365F91"/>
            </w:tcBorders>
          </w:tcPr>
          <w:p w14:paraId="74CA6F66" w14:textId="77777777" w:rsidR="00FB33C6" w:rsidRPr="00256982" w:rsidRDefault="00FB33C6" w:rsidP="00823616">
            <w:pPr>
              <w:pStyle w:val="TableText"/>
            </w:pPr>
            <w:r w:rsidRPr="00256982">
              <w:t>Section 3.5.1.7, IPCC, 2006a</w:t>
            </w:r>
          </w:p>
        </w:tc>
      </w:tr>
      <w:tr w:rsidR="00FB33C6" w:rsidRPr="00256982" w14:paraId="2232AAD2" w14:textId="77777777" w:rsidTr="00172F2B">
        <w:tc>
          <w:tcPr>
            <w:tcW w:w="333" w:type="pct"/>
            <w:tcBorders>
              <w:right w:val="single" w:sz="4" w:space="0" w:color="365F91"/>
            </w:tcBorders>
            <w:shd w:val="clear" w:color="auto" w:fill="auto"/>
            <w:noWrap/>
            <w:hideMark/>
          </w:tcPr>
          <w:p w14:paraId="1EE3A40E" w14:textId="77777777" w:rsidR="00FB33C6" w:rsidRPr="00256982" w:rsidRDefault="00FB33C6" w:rsidP="00823616">
            <w:pPr>
              <w:pStyle w:val="TableText"/>
            </w:pPr>
            <w:r w:rsidRPr="00256982">
              <w:t>N</w:t>
            </w:r>
            <w:r w:rsidRPr="00256982">
              <w:rPr>
                <w:vertAlign w:val="subscript"/>
              </w:rPr>
              <w:t>2</w:t>
            </w:r>
            <w:r w:rsidRPr="00256982">
              <w:t>O</w:t>
            </w:r>
          </w:p>
        </w:tc>
        <w:tc>
          <w:tcPr>
            <w:tcW w:w="658" w:type="pct"/>
            <w:tcBorders>
              <w:top w:val="single" w:sz="4" w:space="0" w:color="365F91"/>
              <w:left w:val="single" w:sz="4" w:space="0" w:color="365F91"/>
              <w:bottom w:val="single" w:sz="4" w:space="0" w:color="365F91"/>
              <w:right w:val="single" w:sz="4" w:space="0" w:color="365F91"/>
            </w:tcBorders>
            <w:shd w:val="clear" w:color="auto" w:fill="auto"/>
            <w:noWrap/>
            <w:hideMark/>
          </w:tcPr>
          <w:p w14:paraId="1E196489" w14:textId="77777777" w:rsidR="00FB33C6" w:rsidRPr="00256982" w:rsidRDefault="00FB33C6" w:rsidP="00823616">
            <w:pPr>
              <w:pStyle w:val="TableText"/>
            </w:pPr>
            <w:r w:rsidRPr="00256982">
              <w:t>Liquid fuels</w:t>
            </w:r>
          </w:p>
        </w:tc>
        <w:tc>
          <w:tcPr>
            <w:tcW w:w="1009" w:type="pct"/>
            <w:tcBorders>
              <w:top w:val="single" w:sz="4" w:space="0" w:color="365F91"/>
              <w:left w:val="single" w:sz="4" w:space="0" w:color="365F91"/>
              <w:bottom w:val="single" w:sz="4" w:space="0" w:color="365F91"/>
              <w:right w:val="single" w:sz="4" w:space="0" w:color="365F91"/>
            </w:tcBorders>
            <w:shd w:val="clear" w:color="auto" w:fill="auto"/>
            <w:noWrap/>
            <w:hideMark/>
          </w:tcPr>
          <w:p w14:paraId="4F329F21" w14:textId="77777777" w:rsidR="00FB33C6" w:rsidRPr="00256982" w:rsidRDefault="00FB33C6" w:rsidP="00823616">
            <w:pPr>
              <w:pStyle w:val="TableText"/>
              <w:jc w:val="center"/>
            </w:pPr>
            <w:r w:rsidRPr="00256982">
              <w:t>±50</w:t>
            </w:r>
          </w:p>
        </w:tc>
        <w:tc>
          <w:tcPr>
            <w:tcW w:w="1083" w:type="pct"/>
            <w:tcBorders>
              <w:left w:val="single" w:sz="4" w:space="0" w:color="365F91"/>
            </w:tcBorders>
            <w:shd w:val="clear" w:color="auto" w:fill="auto"/>
            <w:noWrap/>
            <w:hideMark/>
          </w:tcPr>
          <w:p w14:paraId="640F9A24" w14:textId="77777777" w:rsidR="00FB33C6" w:rsidRPr="00256982" w:rsidRDefault="00FB33C6" w:rsidP="00823616">
            <w:pPr>
              <w:pStyle w:val="TableText"/>
              <w:jc w:val="center"/>
            </w:pPr>
            <w:r w:rsidRPr="00256982">
              <w:t>±50.0</w:t>
            </w:r>
          </w:p>
        </w:tc>
        <w:tc>
          <w:tcPr>
            <w:tcW w:w="1917" w:type="pct"/>
            <w:tcBorders>
              <w:left w:val="single" w:sz="4" w:space="0" w:color="365F91"/>
            </w:tcBorders>
          </w:tcPr>
          <w:p w14:paraId="45993929" w14:textId="77777777" w:rsidR="00FB33C6" w:rsidRPr="00256982" w:rsidRDefault="00FB33C6" w:rsidP="00823616">
            <w:pPr>
              <w:pStyle w:val="TableText"/>
            </w:pPr>
            <w:r w:rsidRPr="00256982">
              <w:t>New Zealand’s value is used (table 3.3.1, chapter 3), section 3.5.1.7, IPCC, 2006a</w:t>
            </w:r>
          </w:p>
        </w:tc>
      </w:tr>
    </w:tbl>
    <w:p w14:paraId="0CCFF45D" w14:textId="77777777" w:rsidR="00FB33C6" w:rsidRPr="00256982" w:rsidRDefault="00FB33C6" w:rsidP="00FB33C6">
      <w:pPr>
        <w:pStyle w:val="Heading4"/>
        <w:spacing w:before="480"/>
      </w:pPr>
      <w:r w:rsidRPr="00256982">
        <w:t>Planned improvements</w:t>
      </w:r>
    </w:p>
    <w:p w14:paraId="20DE3E7F" w14:textId="1C941FDE" w:rsidR="00FB33C6" w:rsidRPr="00256982" w:rsidRDefault="00FB33C6" w:rsidP="007B5E0B">
      <w:pPr>
        <w:pStyle w:val="BodyText"/>
        <w:rPr>
          <w:lang w:eastAsia="en-GB"/>
        </w:rPr>
      </w:pPr>
      <w:r w:rsidRPr="00256982">
        <w:rPr>
          <w:lang w:eastAsia="en-GB"/>
        </w:rPr>
        <w:t>For future submissions, further analysis of activity data for 1990–2017 to reflect year-to-year variations will be considered as far as resources allow. This may take several years because</w:t>
      </w:r>
      <w:r w:rsidR="005902DC" w:rsidRPr="00256982">
        <w:rPr>
          <w:lang w:eastAsia="en-GB"/>
        </w:rPr>
        <w:t> </w:t>
      </w:r>
      <w:r w:rsidRPr="00256982">
        <w:rPr>
          <w:lang w:eastAsia="en-GB"/>
        </w:rPr>
        <w:t>analysis of all invoices and comparisons between different data sources require significant effort and resources. The report on progress in this endeavour will be included in the next inventory submission.</w:t>
      </w:r>
    </w:p>
    <w:p w14:paraId="09105626" w14:textId="77777777" w:rsidR="00FB33C6" w:rsidRPr="00256982" w:rsidRDefault="00FB33C6" w:rsidP="00FB33C6">
      <w:pPr>
        <w:pStyle w:val="Heading2"/>
      </w:pPr>
      <w:bookmarkStart w:id="2464" w:name="_Toc5269395"/>
      <w:r w:rsidRPr="00256982">
        <w:t xml:space="preserve">8.3 </w:t>
      </w:r>
      <w:r w:rsidRPr="00256982">
        <w:tab/>
        <w:t>Emissions from Industrial Processes and Product Use in Tokelau (CRF 6. Tokelau_2)</w:t>
      </w:r>
      <w:bookmarkEnd w:id="2464"/>
    </w:p>
    <w:p w14:paraId="52C59245" w14:textId="77777777" w:rsidR="00FB33C6" w:rsidRPr="00256982" w:rsidRDefault="00FB33C6" w:rsidP="00FB33C6">
      <w:pPr>
        <w:pStyle w:val="BodyText"/>
      </w:pPr>
      <w:r w:rsidRPr="00256982">
        <w:t>There is no significant industry in Tokelau. The emissions associated with the IPPU sector are coming from the following activities:</w:t>
      </w:r>
    </w:p>
    <w:p w14:paraId="00895030" w14:textId="77777777" w:rsidR="00FB33C6" w:rsidRPr="00256982" w:rsidRDefault="00FB33C6" w:rsidP="00FB33C6">
      <w:pPr>
        <w:pStyle w:val="Bullet"/>
      </w:pPr>
      <w:r w:rsidRPr="00256982">
        <w:t>use of refrigeration and air conditioning – HFCs</w:t>
      </w:r>
    </w:p>
    <w:p w14:paraId="2ED6033A" w14:textId="77777777" w:rsidR="00FB33C6" w:rsidRPr="00256982" w:rsidRDefault="00FB33C6" w:rsidP="00FB33C6">
      <w:pPr>
        <w:pStyle w:val="Bullet"/>
      </w:pPr>
      <w:r w:rsidRPr="00256982">
        <w:t xml:space="preserve">use of metered dose inhalers – HFC-134a and HFC-227ea </w:t>
      </w:r>
    </w:p>
    <w:p w14:paraId="63468DFA" w14:textId="77777777" w:rsidR="00FB33C6" w:rsidRPr="00256982" w:rsidRDefault="00FB33C6" w:rsidP="00FB33C6">
      <w:pPr>
        <w:pStyle w:val="Bullet"/>
      </w:pPr>
      <w:r w:rsidRPr="00256982">
        <w:t>medical applications of N</w:t>
      </w:r>
      <w:r w:rsidRPr="00256982">
        <w:rPr>
          <w:vertAlign w:val="subscript"/>
        </w:rPr>
        <w:t>2</w:t>
      </w:r>
      <w:r w:rsidRPr="00256982">
        <w:t>O.</w:t>
      </w:r>
    </w:p>
    <w:p w14:paraId="24C1A738" w14:textId="77777777" w:rsidR="00FB33C6" w:rsidRPr="00256982" w:rsidRDefault="00FB33C6" w:rsidP="00FB33C6">
      <w:pPr>
        <w:pStyle w:val="BodyText"/>
      </w:pPr>
      <w:r w:rsidRPr="00256982">
        <w:t xml:space="preserve">Thus, the source categories included in this report are </w:t>
      </w:r>
      <w:r w:rsidRPr="00256982">
        <w:rPr>
          <w:i/>
        </w:rPr>
        <w:t>Refrigeration and air conditioning</w:t>
      </w:r>
      <w:r w:rsidRPr="00256982">
        <w:t xml:space="preserve"> (2.F.1), </w:t>
      </w:r>
      <w:r w:rsidRPr="00256982">
        <w:rPr>
          <w:i/>
        </w:rPr>
        <w:t>Metered dose inhalers</w:t>
      </w:r>
      <w:r w:rsidRPr="00256982">
        <w:t xml:space="preserve"> (2.F.4) and </w:t>
      </w:r>
      <w:r w:rsidRPr="00256982">
        <w:rPr>
          <w:i/>
        </w:rPr>
        <w:t xml:space="preserve">Medical applications </w:t>
      </w:r>
      <w:r w:rsidRPr="00256982">
        <w:t>(2.G.3).</w:t>
      </w:r>
    </w:p>
    <w:p w14:paraId="3438E703" w14:textId="77777777" w:rsidR="00FB33C6" w:rsidRPr="00256982" w:rsidRDefault="00FB33C6" w:rsidP="00FB33C6">
      <w:pPr>
        <w:pStyle w:val="BodyText"/>
      </w:pPr>
      <w:r w:rsidRPr="00256982">
        <w:t>The total amount of all IPPU emissions in Tokelau in 2017 was 0.3 kt CO</w:t>
      </w:r>
      <w:r w:rsidRPr="00256982">
        <w:rPr>
          <w:vertAlign w:val="subscript"/>
        </w:rPr>
        <w:t>2</w:t>
      </w:r>
      <w:r w:rsidRPr="00256982">
        <w:t xml:space="preserve">-e. They contributed 10.4 per cent to the total emissions from Tokelau and 0.0004 per cent to New Zealand’s gross emissions including Tokelau. The biggest contributor to the total IPPU HFC emissions is </w:t>
      </w:r>
      <w:r w:rsidRPr="00256982">
        <w:rPr>
          <w:i/>
        </w:rPr>
        <w:t>Stationary air conditioning</w:t>
      </w:r>
      <w:r w:rsidRPr="00256982">
        <w:t xml:space="preserve"> followed by </w:t>
      </w:r>
      <w:r w:rsidRPr="00256982">
        <w:rPr>
          <w:i/>
        </w:rPr>
        <w:t>Domestic refrigeration</w:t>
      </w:r>
      <w:r w:rsidRPr="00256982">
        <w:t xml:space="preserve">, with 69.0 per cent and 16.5 per cent of IPPU emissions from Tokelau, respectively. </w:t>
      </w:r>
    </w:p>
    <w:p w14:paraId="06032580" w14:textId="77777777" w:rsidR="00FB33C6" w:rsidRPr="00256982" w:rsidRDefault="00FB33C6" w:rsidP="00FB33C6">
      <w:pPr>
        <w:pStyle w:val="Heading3"/>
      </w:pPr>
      <w:r w:rsidRPr="00256982">
        <w:t>8.3.1</w:t>
      </w:r>
      <w:r w:rsidRPr="00256982">
        <w:tab/>
        <w:t xml:space="preserve">Emissions from Refrigeration air conditioning in Tokelau </w:t>
      </w:r>
    </w:p>
    <w:p w14:paraId="41C256F2" w14:textId="77777777" w:rsidR="00FB33C6" w:rsidRPr="00256982" w:rsidRDefault="00FB33C6" w:rsidP="00FB33C6">
      <w:pPr>
        <w:pStyle w:val="BodyText"/>
      </w:pPr>
      <w:r w:rsidRPr="00256982">
        <w:t xml:space="preserve">Due to a very small number of air-conditioned vehicles in Tokelau (see the results of the photo survey, annex 7, table A7.1.2), all emissions from this category are reported under </w:t>
      </w:r>
      <w:r w:rsidRPr="00256982">
        <w:rPr>
          <w:i/>
        </w:rPr>
        <w:t>Stationary air conditioning</w:t>
      </w:r>
      <w:r w:rsidRPr="00256982">
        <w:t xml:space="preserve"> (2.F.1.f). </w:t>
      </w:r>
    </w:p>
    <w:p w14:paraId="578E6BA3" w14:textId="77777777" w:rsidR="00FB33C6" w:rsidRPr="00256982" w:rsidRDefault="00FB33C6" w:rsidP="00FB33C6">
      <w:pPr>
        <w:pStyle w:val="BodyText"/>
      </w:pPr>
      <w:r w:rsidRPr="00256982">
        <w:t xml:space="preserve">Because most fridge and freezer appliances are installed in households, the emissions associated with refrigeration are reported under </w:t>
      </w:r>
      <w:r w:rsidRPr="00256982">
        <w:rPr>
          <w:i/>
        </w:rPr>
        <w:t>Domestic refrigeration</w:t>
      </w:r>
      <w:r w:rsidRPr="00256982">
        <w:t xml:space="preserve"> (2.F.1.b).</w:t>
      </w:r>
    </w:p>
    <w:p w14:paraId="0DC4315F" w14:textId="77777777" w:rsidR="00FB33C6" w:rsidRPr="00256982" w:rsidRDefault="00FB33C6" w:rsidP="00FB33C6">
      <w:pPr>
        <w:pStyle w:val="BodyText"/>
      </w:pPr>
      <w:r w:rsidRPr="00256982">
        <w:t xml:space="preserve">No HFCs were used for this category until 1994. </w:t>
      </w:r>
    </w:p>
    <w:p w14:paraId="3AA6C53B" w14:textId="77777777" w:rsidR="00FB33C6" w:rsidRPr="00256982" w:rsidRDefault="00FB33C6" w:rsidP="00FB33C6">
      <w:pPr>
        <w:pStyle w:val="Heading4"/>
      </w:pPr>
      <w:r w:rsidRPr="00256982">
        <w:t>Planned improvements</w:t>
      </w:r>
    </w:p>
    <w:p w14:paraId="2AE9395C" w14:textId="77777777" w:rsidR="00FB33C6" w:rsidRPr="00256982" w:rsidRDefault="00FB33C6" w:rsidP="00FB33C6">
      <w:pPr>
        <w:pStyle w:val="BodyText"/>
      </w:pPr>
      <w:r w:rsidRPr="00256982">
        <w:t xml:space="preserve">Due to resource constraints, improvements were prioritised according to the amount of emissions contributed by each sector to the total emissions from Tokelau. Because the IPPU sector contributes only a very small amount of emissions, no improvements, except ongoing data refinement as far as resources allow, are planned for the next inventory submission. </w:t>
      </w:r>
    </w:p>
    <w:p w14:paraId="504A387E" w14:textId="77777777" w:rsidR="00FB33C6" w:rsidRPr="00256982" w:rsidRDefault="00FB33C6" w:rsidP="00FB33C6">
      <w:pPr>
        <w:pStyle w:val="Heading4"/>
      </w:pPr>
      <w:r w:rsidRPr="00256982">
        <w:t>Methodological issues</w:t>
      </w:r>
    </w:p>
    <w:p w14:paraId="4A660AD8" w14:textId="77777777" w:rsidR="00FB33C6" w:rsidRPr="00256982" w:rsidRDefault="00FB33C6" w:rsidP="005902DC">
      <w:pPr>
        <w:pStyle w:val="Heading5"/>
        <w:spacing w:before="160"/>
      </w:pPr>
      <w:r w:rsidRPr="00256982">
        <w:t>Activity data</w:t>
      </w:r>
    </w:p>
    <w:p w14:paraId="47BAEED7" w14:textId="77777777" w:rsidR="00FB33C6" w:rsidRPr="00256982" w:rsidRDefault="00FB33C6" w:rsidP="00FB33C6">
      <w:pPr>
        <w:pStyle w:val="BodyText"/>
      </w:pPr>
      <w:r w:rsidRPr="00256982">
        <w:t>The data for the number of appliances are sourced from:</w:t>
      </w:r>
    </w:p>
    <w:p w14:paraId="696976EF" w14:textId="77777777" w:rsidR="00FB33C6" w:rsidRPr="00256982" w:rsidRDefault="00FB33C6" w:rsidP="00FB33C6">
      <w:pPr>
        <w:pStyle w:val="Bullet"/>
      </w:pPr>
      <w:r w:rsidRPr="00256982">
        <w:t xml:space="preserve">Tokelau Census of Population and Dwellings (2006, 2011, 2016) (item 1 in table 8.1.2) for 2006–16 data points </w:t>
      </w:r>
    </w:p>
    <w:p w14:paraId="0E049DF2" w14:textId="77777777" w:rsidR="00FB33C6" w:rsidRPr="00256982" w:rsidRDefault="00FB33C6" w:rsidP="00FB33C6">
      <w:pPr>
        <w:pStyle w:val="Bullet"/>
      </w:pPr>
      <w:r w:rsidRPr="00256982">
        <w:t xml:space="preserve">Archives New Zealand (Wellington, New Zealand) for historic Census records going back to 1950, mostly at five-year intervals </w:t>
      </w:r>
    </w:p>
    <w:p w14:paraId="622C0EB3" w14:textId="77777777" w:rsidR="00FB33C6" w:rsidRPr="00256982" w:rsidRDefault="00FB33C6" w:rsidP="00FB33C6">
      <w:pPr>
        <w:pStyle w:val="Bullet"/>
      </w:pPr>
      <w:r w:rsidRPr="00256982">
        <w:t xml:space="preserve">Tokelau Household Income and Expenditure Survey 2015/16 for population and dwellings data supplementary to the Census </w:t>
      </w:r>
    </w:p>
    <w:p w14:paraId="4F3CD54C" w14:textId="77777777" w:rsidR="00FB33C6" w:rsidRPr="00256982" w:rsidRDefault="00FB33C6" w:rsidP="00FB33C6">
      <w:pPr>
        <w:pStyle w:val="Bullet"/>
      </w:pPr>
      <w:r w:rsidRPr="00256982">
        <w:t>Tokelau Department of Health for anecdotal information on inhalers, the laser gas, and fire extinguishers</w:t>
      </w:r>
    </w:p>
    <w:p w14:paraId="6BCFB081" w14:textId="77777777" w:rsidR="00FB33C6" w:rsidRPr="00256982" w:rsidRDefault="00FB33C6" w:rsidP="00FB33C6">
      <w:pPr>
        <w:pStyle w:val="Bullet"/>
      </w:pPr>
      <w:r w:rsidRPr="00256982">
        <w:t>Tokelau Department of Transport and Support Services (Apia, Samoa) for cargo shipping manifests for analysis of imports of all goods</w:t>
      </w:r>
    </w:p>
    <w:p w14:paraId="19B33449" w14:textId="77777777" w:rsidR="00FB33C6" w:rsidRPr="00256982" w:rsidRDefault="00FB33C6" w:rsidP="00FB33C6">
      <w:pPr>
        <w:pStyle w:val="Bullet"/>
      </w:pPr>
      <w:r w:rsidRPr="00256982">
        <w:t>Statistics New Zealand (Wellington, New Zealand), which helped in the collection, analysis and publication of Tokelau Census data</w:t>
      </w:r>
    </w:p>
    <w:p w14:paraId="0AE98BE5" w14:textId="77777777" w:rsidR="00FB33C6" w:rsidRPr="00256982" w:rsidRDefault="00FB33C6" w:rsidP="00FB33C6">
      <w:pPr>
        <w:pStyle w:val="Bullet"/>
      </w:pPr>
      <w:r w:rsidRPr="00256982">
        <w:t>Tokelau National Statistics Office, which performed collection, analysis and publication of Tokelau Census data with subsequent data collation and analyses.</w:t>
      </w:r>
    </w:p>
    <w:p w14:paraId="3CA88C96" w14:textId="77777777" w:rsidR="00FB33C6" w:rsidRPr="00256982" w:rsidRDefault="00FB33C6" w:rsidP="00FB33C6">
      <w:pPr>
        <w:pStyle w:val="BodyText"/>
      </w:pPr>
      <w:r w:rsidRPr="00256982">
        <w:t xml:space="preserve">The raw data on the number of appliances used in Tokelau obtained from the Census have been further analysed and cross-referenced through other sources (for example, see those listed in table 8.1.2); the available data points between the years are interpolated using linear regression. </w:t>
      </w:r>
    </w:p>
    <w:p w14:paraId="29261968" w14:textId="77777777" w:rsidR="00FB33C6" w:rsidRPr="00256982" w:rsidRDefault="00FB33C6" w:rsidP="00FB33C6">
      <w:pPr>
        <w:pStyle w:val="BodyText"/>
      </w:pPr>
      <w:r w:rsidRPr="00256982">
        <w:t>Because the number of units is not conclusive, and earlier regression results could not be reproduced with high confidence, the upper-level uncertainty was applied to the resulting emission estimates. Figure 8.3.1 shows the combined results for refrigeration and air-conditioning appliances for Tokelau.</w:t>
      </w:r>
    </w:p>
    <w:p w14:paraId="35A96620" w14:textId="77777777" w:rsidR="00FB33C6" w:rsidRPr="00256982" w:rsidRDefault="00FB33C6" w:rsidP="00E14413">
      <w:pPr>
        <w:pStyle w:val="Figure"/>
        <w:spacing w:after="60"/>
      </w:pPr>
      <w:bookmarkStart w:id="2465" w:name="_Toc5269726"/>
      <w:r w:rsidRPr="00256982">
        <w:t xml:space="preserve">Figure 8.3.1 </w:t>
      </w:r>
      <w:r w:rsidRPr="00256982">
        <w:tab/>
        <w:t>Interpolated results for Tokelau household fridges, freezers and air conditioning units from 1994 to 2017</w:t>
      </w:r>
      <w:bookmarkEnd w:id="2465"/>
    </w:p>
    <w:p w14:paraId="3EBFAE12" w14:textId="77777777" w:rsidR="00FB33C6" w:rsidRPr="00256982" w:rsidRDefault="00590491" w:rsidP="00E14413">
      <w:pPr>
        <w:pStyle w:val="BodyText"/>
        <w:spacing w:before="0" w:after="0"/>
        <w:jc w:val="center"/>
        <w:rPr>
          <w:lang w:eastAsia="en-NZ"/>
        </w:rPr>
      </w:pPr>
      <w:r>
        <w:rPr>
          <w:lang w:eastAsia="en-NZ"/>
        </w:rPr>
        <w:pict w14:anchorId="451B3B08">
          <v:shape id="_x0000_i1160" type="#_x0000_t75" style="width:328.5pt;height:173.25pt;visibility:visible" o:gfxdata="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">
            <v:imagedata r:id="rId243" o:title=""/>
            <o:lock v:ext="edit" aspectratio="f"/>
          </v:shape>
        </w:pict>
      </w:r>
    </w:p>
    <w:p w14:paraId="5A85B736" w14:textId="77777777" w:rsidR="00FB33C6" w:rsidRPr="00256982" w:rsidRDefault="00FB33C6" w:rsidP="00FB33C6">
      <w:pPr>
        <w:pStyle w:val="Heading5"/>
      </w:pPr>
      <w:r w:rsidRPr="00256982">
        <w:t>Method and emission factors</w:t>
      </w:r>
    </w:p>
    <w:p w14:paraId="56D2882E" w14:textId="77777777" w:rsidR="00FB33C6" w:rsidRPr="00256982" w:rsidRDefault="00FB33C6" w:rsidP="00FB33C6">
      <w:pPr>
        <w:pStyle w:val="BodyText"/>
      </w:pPr>
      <w:r w:rsidRPr="00256982">
        <w:t xml:space="preserve">For both air conditioning and domestic refrigeration, the following assumptions were made: </w:t>
      </w:r>
    </w:p>
    <w:p w14:paraId="65BF2653" w14:textId="77777777" w:rsidR="00FB33C6" w:rsidRPr="00256982" w:rsidRDefault="00FB33C6" w:rsidP="00FB33C6">
      <w:pPr>
        <w:pStyle w:val="Bullet"/>
      </w:pPr>
      <w:r w:rsidRPr="00256982">
        <w:t>no chemicals are imported or exported, except as a component of each sort of equipment, emissions are assumed to be derived from current equipment only</w:t>
      </w:r>
    </w:p>
    <w:p w14:paraId="712E2148" w14:textId="77777777" w:rsidR="00FB33C6" w:rsidRPr="00256982" w:rsidRDefault="00FB33C6" w:rsidP="00FB33C6">
      <w:pPr>
        <w:pStyle w:val="Bullet"/>
        <w:rPr>
          <w:rFonts w:ascii="TimesNewRomanPSMT" w:hAnsi="TimesNewRomanPSMT" w:cs="TimesNewRomanPSMT"/>
        </w:rPr>
      </w:pPr>
      <w:r w:rsidRPr="00256982">
        <w:rPr>
          <w:rFonts w:ascii="TimesNewRomanPSMT" w:hAnsi="TimesNewRomanPSMT" w:cs="TimesNewRomanPSMT"/>
        </w:rPr>
        <w:t>HFCs and PFCs are neither produced nor exported or disposed of in Tokelau. Therefore, the net consumption is essentially equal to imports</w:t>
      </w:r>
    </w:p>
    <w:p w14:paraId="11BFACE9" w14:textId="77777777" w:rsidR="00FB33C6" w:rsidRPr="00256982" w:rsidRDefault="00FB33C6" w:rsidP="00FB33C6">
      <w:pPr>
        <w:pStyle w:val="Bullet"/>
        <w:rPr>
          <w:rFonts w:ascii="TimesNewRomanPSMT" w:hAnsi="TimesNewRomanPSMT" w:cs="TimesNewRomanPSMT"/>
        </w:rPr>
      </w:pPr>
      <w:r w:rsidRPr="00256982">
        <w:rPr>
          <w:rFonts w:ascii="TimesNewRomanPSMT" w:hAnsi="TimesNewRomanPSMT" w:cs="TimesNewRomanPSMT"/>
        </w:rPr>
        <w:t>a composite default emissions factor of 15 per cent can be used for estimating emissions for both domestic refrigeration and stationary air conditioning</w:t>
      </w:r>
    </w:p>
    <w:p w14:paraId="015933E6" w14:textId="77777777" w:rsidR="00FB33C6" w:rsidRPr="00256982" w:rsidRDefault="00FB33C6" w:rsidP="00FB33C6">
      <w:pPr>
        <w:pStyle w:val="Bullet"/>
        <w:rPr>
          <w:rFonts w:ascii="TimesNewRomanPSMT" w:hAnsi="TimesNewRomanPSMT" w:cs="TimesNewRomanPSMT"/>
        </w:rPr>
      </w:pPr>
      <w:r w:rsidRPr="00256982">
        <w:rPr>
          <w:rFonts w:ascii="TimesNewRomanPSMT" w:hAnsi="TimesNewRomanPSMT" w:cs="TimesNewRomanPSMT"/>
        </w:rPr>
        <w:t>assumed percentage of new equipment exported (0 per cent for Tokelau)</w:t>
      </w:r>
    </w:p>
    <w:p w14:paraId="5628BC72" w14:textId="77777777" w:rsidR="00FB33C6" w:rsidRPr="00256982" w:rsidRDefault="00FB33C6" w:rsidP="00FB33C6">
      <w:pPr>
        <w:pStyle w:val="Bullet"/>
        <w:rPr>
          <w:rFonts w:ascii="TimesNewRomanPSMT" w:hAnsi="TimesNewRomanPSMT" w:cs="TimesNewRomanPSMT"/>
        </w:rPr>
      </w:pPr>
      <w:r w:rsidRPr="00256982">
        <w:rPr>
          <w:rFonts w:ascii="TimesNewRomanPSMT" w:hAnsi="TimesNewRomanPSMT" w:cs="TimesNewRomanPSMT"/>
        </w:rPr>
        <w:t>assumed percentage of new equipment imported (100 per cent for Tokelau)</w:t>
      </w:r>
    </w:p>
    <w:p w14:paraId="73D23C9A" w14:textId="77777777" w:rsidR="00FB33C6" w:rsidRPr="00256982" w:rsidRDefault="00FB33C6" w:rsidP="00FB33C6">
      <w:pPr>
        <w:pStyle w:val="Bullet"/>
        <w:rPr>
          <w:rFonts w:ascii="TimesNewRomanPSMT" w:hAnsi="TimesNewRomanPSMT" w:cs="TimesNewRomanPSMT"/>
        </w:rPr>
      </w:pPr>
      <w:r w:rsidRPr="00256982">
        <w:rPr>
          <w:rFonts w:ascii="TimesNewRomanPSMT" w:hAnsi="TimesNewRomanPSMT" w:cs="TimesNewRomanPSMT"/>
        </w:rPr>
        <w:t xml:space="preserve">the HFC emissions from stationary air conditioning did not occur until 2006 </w:t>
      </w:r>
    </w:p>
    <w:p w14:paraId="636BC76B" w14:textId="77777777" w:rsidR="00FB33C6" w:rsidRPr="00256982" w:rsidRDefault="00FB33C6" w:rsidP="00FB33C6">
      <w:pPr>
        <w:pStyle w:val="Bullet"/>
        <w:rPr>
          <w:rFonts w:ascii="TimesNewRomanPSMT" w:hAnsi="TimesNewRomanPSMT" w:cs="TimesNewRomanPSMT"/>
        </w:rPr>
      </w:pPr>
      <w:r w:rsidRPr="00256982">
        <w:rPr>
          <w:rFonts w:ascii="TimesNewRomanPSMT" w:hAnsi="TimesNewRomanPSMT" w:cs="TimesNewRomanPSMT"/>
        </w:rPr>
        <w:t>the HFC emissions from domestic refrigeration did not occur until 1994 (the same as for New Zealand)</w:t>
      </w:r>
    </w:p>
    <w:p w14:paraId="38CE4E3B" w14:textId="77777777" w:rsidR="00FB33C6" w:rsidRPr="00256982" w:rsidRDefault="00FB33C6" w:rsidP="00FB33C6">
      <w:pPr>
        <w:pStyle w:val="Bullet"/>
      </w:pPr>
      <w:r w:rsidRPr="00256982">
        <w:t>the average charge for fridges and freezers has the upper limit of the mass of gas of 0.5 kilograms (from table 7.9 of the 2006 IPCC Guidelines (IPCC, 2006b))</w:t>
      </w:r>
    </w:p>
    <w:p w14:paraId="5D9BF8A9" w14:textId="77777777" w:rsidR="00FB33C6" w:rsidRPr="00256982" w:rsidRDefault="00FB33C6" w:rsidP="00FB33C6">
      <w:pPr>
        <w:pStyle w:val="Bullet"/>
      </w:pPr>
      <w:r w:rsidRPr="00256982">
        <w:t>the average charge for an air conditioning unit is 10 kilograms (default value from 2006 IPCC Guidelines (IPCC, 2006a))</w:t>
      </w:r>
    </w:p>
    <w:p w14:paraId="439F5352" w14:textId="77777777" w:rsidR="00FB33C6" w:rsidRPr="00256982" w:rsidRDefault="00FB33C6" w:rsidP="00FB33C6">
      <w:pPr>
        <w:pStyle w:val="Bullet"/>
      </w:pPr>
      <w:r w:rsidRPr="00256982">
        <w:t>for air conditioning units and fridges and freezers, Tokelau reports the same set of HFCs as New Zealand. These are HFC-32, HFC-125 and HFC-134a for air conditioning units, and HFC-134a for refrigeration.</w:t>
      </w:r>
    </w:p>
    <w:p w14:paraId="524C4828" w14:textId="77777777" w:rsidR="00FB33C6" w:rsidRPr="00256982" w:rsidRDefault="00FB33C6" w:rsidP="00FB33C6">
      <w:pPr>
        <w:pStyle w:val="BodyText"/>
      </w:pPr>
      <w:r w:rsidRPr="00256982">
        <w:t xml:space="preserve">The Tier 1a method from the 2006 IPCC Guidelines is used for estimating emissions from category 2.F.1 in Tokelau (IPCC, 2006b). In this method, activity data are represented by a net consumption value (equation 7.1 from volume 3 of the 2006 IPCC Guidelines), while the emission factor is a value that represents a weighted average of several parameters as shown in table 7.9 from volume 3 of the 2006 IPCC guidelines below (IPCC, 2006b). </w:t>
      </w:r>
    </w:p>
    <w:p w14:paraId="5378F86D" w14:textId="77777777" w:rsidR="00FB33C6" w:rsidRPr="00256982" w:rsidRDefault="00FB33C6" w:rsidP="005902DC">
      <w:pPr>
        <w:pStyle w:val="BodyText"/>
        <w:keepNext/>
      </w:pPr>
      <w:r w:rsidRPr="00256982">
        <w:t>The calculation formula for net consumption within the Tier 1a method is as follows.</w:t>
      </w:r>
    </w:p>
    <w:p w14:paraId="62DF5BE4" w14:textId="678C2AA0" w:rsidR="00FB33C6" w:rsidRPr="00256982" w:rsidRDefault="00590491" w:rsidP="00172FD1">
      <w:pPr>
        <w:pStyle w:val="BodyText"/>
        <w:spacing w:before="80"/>
        <w:jc w:val="center"/>
      </w:pPr>
      <w:r>
        <w:rPr>
          <w:lang w:eastAsia="en-NZ"/>
        </w:rPr>
        <w:pict w14:anchorId="40B4882F">
          <v:shape id="Picture 30" o:spid="_x0000_i1161" type="#_x0000_t75" style="width:312pt;height:40.5pt;visibility:visible;mso-wrap-style:square">
            <v:imagedata r:id="rId244" o:title="" cropright="684f"/>
          </v:shape>
        </w:pict>
      </w:r>
    </w:p>
    <w:p w14:paraId="2DD5220E" w14:textId="77777777" w:rsidR="00FB33C6" w:rsidRPr="00256982" w:rsidRDefault="00FB33C6" w:rsidP="00FB33C6">
      <w:pPr>
        <w:pStyle w:val="BodyText"/>
      </w:pPr>
      <w:r w:rsidRPr="00256982">
        <w:t>Net consumption values for each HFC are then used to calculate annual emissions for applications exhibiting prompt emissions as follows.</w:t>
      </w:r>
    </w:p>
    <w:p w14:paraId="64883FF6" w14:textId="0E2148D4" w:rsidR="00FB33C6" w:rsidRPr="00256982" w:rsidRDefault="00590491" w:rsidP="00172FD1">
      <w:pPr>
        <w:pStyle w:val="BodyText"/>
        <w:spacing w:before="80" w:after="80"/>
        <w:jc w:val="center"/>
        <w:rPr>
          <w:rFonts w:ascii="TimesNewRomanPSMT" w:hAnsi="TimesNewRomanPSMT" w:cs="TimesNewRomanPSMT"/>
        </w:rPr>
      </w:pPr>
      <w:r>
        <w:rPr>
          <w:lang w:eastAsia="en-NZ"/>
        </w:rPr>
        <w:pict w14:anchorId="68D94A97">
          <v:shape id="Picture 35" o:spid="_x0000_i1162" type="#_x0000_t75" style="width:336pt;height:42.75pt;visibility:visible;mso-wrap-style:square">
            <v:imagedata r:id="rId245" o:title=""/>
          </v:shape>
        </w:pict>
      </w:r>
    </w:p>
    <w:p w14:paraId="5A0AA824" w14:textId="77777777" w:rsidR="00FB33C6" w:rsidRPr="00256982" w:rsidRDefault="00FB33C6" w:rsidP="00FB33C6">
      <w:pPr>
        <w:pStyle w:val="Heading4"/>
      </w:pPr>
      <w:r w:rsidRPr="00256982">
        <w:t>Uncertainties</w:t>
      </w:r>
    </w:p>
    <w:p w14:paraId="65E15CDF" w14:textId="77777777" w:rsidR="00FB33C6" w:rsidRPr="00256982" w:rsidRDefault="00FB33C6" w:rsidP="00FB33C6">
      <w:pPr>
        <w:pStyle w:val="BodyText"/>
      </w:pPr>
      <w:r w:rsidRPr="00256982">
        <w:t>Because a composite emission factor was used for both 2.F.1.b and 2.F.1.f categories, the uncertainty level for activity data is assumed at a level of ±32 per cent. The 2006 IPCC Guidelines (IPCC, 2006b) do not provide a default value for the composite factors, so New Zealand’s value for uncertainties to describe refrigerant leakages was used for both categories.</w:t>
      </w:r>
    </w:p>
    <w:p w14:paraId="11B4B127" w14:textId="77777777" w:rsidR="00FB33C6" w:rsidRPr="00256982" w:rsidRDefault="00FB33C6" w:rsidP="00FB33C6">
      <w:pPr>
        <w:pStyle w:val="Table"/>
      </w:pPr>
      <w:bookmarkStart w:id="2466" w:name="_Toc5269599"/>
      <w:r w:rsidRPr="00256982">
        <w:t>Table 8.3.1</w:t>
      </w:r>
      <w:r w:rsidRPr="00256982">
        <w:tab/>
        <w:t>Uncertainties for Refrigeration and air conditioning category</w:t>
      </w:r>
      <w:bookmarkEnd w:id="2466"/>
    </w:p>
    <w:tbl>
      <w:tblPr>
        <w:tblW w:w="8505" w:type="dxa"/>
        <w:tblInd w:w="108" w:type="dxa"/>
        <w:tblBorders>
          <w:top w:val="single" w:sz="4" w:space="0" w:color="1F497D"/>
          <w:bottom w:val="single" w:sz="4" w:space="0" w:color="1F497D"/>
          <w:insideH w:val="single" w:sz="4" w:space="0" w:color="1F497D"/>
          <w:insideV w:val="single" w:sz="4" w:space="0" w:color="1F497D"/>
        </w:tblBorders>
        <w:tblLook w:val="0420" w:firstRow="1" w:lastRow="0" w:firstColumn="0" w:lastColumn="0" w:noHBand="0" w:noVBand="1"/>
      </w:tblPr>
      <w:tblGrid>
        <w:gridCol w:w="684"/>
        <w:gridCol w:w="1294"/>
        <w:gridCol w:w="1177"/>
        <w:gridCol w:w="1177"/>
        <w:gridCol w:w="4173"/>
      </w:tblGrid>
      <w:tr w:rsidR="00FB33C6" w:rsidRPr="00256982" w14:paraId="3BBE6E27" w14:textId="77777777" w:rsidTr="00823616">
        <w:trPr>
          <w:tblHeader/>
        </w:trPr>
        <w:tc>
          <w:tcPr>
            <w:tcW w:w="402" w:type="pct"/>
            <w:tcBorders>
              <w:right w:val="single" w:sz="4" w:space="0" w:color="365F91"/>
            </w:tcBorders>
            <w:shd w:val="clear" w:color="auto" w:fill="365F91"/>
            <w:noWrap/>
            <w:vAlign w:val="bottom"/>
            <w:hideMark/>
          </w:tcPr>
          <w:p w14:paraId="5BFCEC59" w14:textId="77777777" w:rsidR="00FB33C6" w:rsidRPr="00256982" w:rsidRDefault="00FB33C6" w:rsidP="00823616">
            <w:pPr>
              <w:pStyle w:val="TableTextBold"/>
              <w:rPr>
                <w:noProof w:val="0"/>
                <w:color w:val="FFFFFF"/>
              </w:rPr>
            </w:pPr>
            <w:r w:rsidRPr="00256982">
              <w:rPr>
                <w:noProof w:val="0"/>
                <w:color w:val="FFFFFF"/>
              </w:rPr>
              <w:t>Gas</w:t>
            </w:r>
          </w:p>
        </w:tc>
        <w:tc>
          <w:tcPr>
            <w:tcW w:w="761" w:type="pct"/>
            <w:tcBorders>
              <w:top w:val="single" w:sz="4" w:space="0" w:color="365F91"/>
              <w:left w:val="single" w:sz="4" w:space="0" w:color="365F91"/>
              <w:bottom w:val="single" w:sz="4" w:space="0" w:color="365F91"/>
              <w:right w:val="single" w:sz="4" w:space="0" w:color="365F91"/>
            </w:tcBorders>
            <w:shd w:val="clear" w:color="auto" w:fill="365F91"/>
            <w:noWrap/>
            <w:vAlign w:val="bottom"/>
            <w:hideMark/>
          </w:tcPr>
          <w:p w14:paraId="1104019B" w14:textId="77777777" w:rsidR="00FB33C6" w:rsidRPr="00256982" w:rsidRDefault="00FB33C6" w:rsidP="00823616">
            <w:pPr>
              <w:pStyle w:val="TableTextBold"/>
              <w:rPr>
                <w:noProof w:val="0"/>
                <w:color w:val="FFFFFF"/>
              </w:rPr>
            </w:pPr>
            <w:r w:rsidRPr="00256982">
              <w:rPr>
                <w:noProof w:val="0"/>
                <w:color w:val="FFFFFF"/>
              </w:rPr>
              <w:t>Subcategory</w:t>
            </w:r>
          </w:p>
        </w:tc>
        <w:tc>
          <w:tcPr>
            <w:tcW w:w="692" w:type="pct"/>
            <w:tcBorders>
              <w:top w:val="single" w:sz="4" w:space="0" w:color="365F91"/>
              <w:left w:val="single" w:sz="4" w:space="0" w:color="365F91"/>
              <w:bottom w:val="single" w:sz="4" w:space="0" w:color="365F91"/>
              <w:right w:val="single" w:sz="4" w:space="0" w:color="365F91"/>
            </w:tcBorders>
            <w:shd w:val="clear" w:color="auto" w:fill="365F91"/>
            <w:vAlign w:val="bottom"/>
            <w:hideMark/>
          </w:tcPr>
          <w:p w14:paraId="61BE40AB" w14:textId="77777777" w:rsidR="00FB33C6" w:rsidRPr="00256982" w:rsidRDefault="00FB33C6" w:rsidP="00823616">
            <w:pPr>
              <w:pStyle w:val="TableTextBold"/>
              <w:jc w:val="center"/>
              <w:rPr>
                <w:noProof w:val="0"/>
                <w:color w:val="FFFFFF"/>
              </w:rPr>
            </w:pPr>
            <w:r w:rsidRPr="00256982">
              <w:rPr>
                <w:noProof w:val="0"/>
                <w:color w:val="FFFFFF"/>
              </w:rPr>
              <w:t>Activity data uncertainty (%)</w:t>
            </w:r>
          </w:p>
        </w:tc>
        <w:tc>
          <w:tcPr>
            <w:tcW w:w="692" w:type="pct"/>
            <w:tcBorders>
              <w:left w:val="single" w:sz="4" w:space="0" w:color="365F91"/>
            </w:tcBorders>
            <w:shd w:val="clear" w:color="auto" w:fill="365F91"/>
            <w:vAlign w:val="bottom"/>
            <w:hideMark/>
          </w:tcPr>
          <w:p w14:paraId="5AC3C426" w14:textId="11F5676A" w:rsidR="00FB33C6" w:rsidRPr="00256982" w:rsidRDefault="00FB33C6" w:rsidP="00823616">
            <w:pPr>
              <w:pStyle w:val="TableTextBold"/>
              <w:jc w:val="center"/>
              <w:rPr>
                <w:noProof w:val="0"/>
                <w:color w:val="FFFFFF"/>
              </w:rPr>
            </w:pPr>
            <w:r w:rsidRPr="00256982">
              <w:rPr>
                <w:noProof w:val="0"/>
                <w:color w:val="FFFFFF"/>
              </w:rPr>
              <w:t>Emission factor</w:t>
            </w:r>
            <w:r w:rsidR="00256982" w:rsidRPr="00256982">
              <w:rPr>
                <w:noProof w:val="0"/>
                <w:color w:val="FFFFFF"/>
              </w:rPr>
              <w:t xml:space="preserve"> </w:t>
            </w:r>
            <w:r w:rsidRPr="00256982">
              <w:rPr>
                <w:noProof w:val="0"/>
                <w:color w:val="FFFFFF"/>
              </w:rPr>
              <w:t>uncertainty (%)</w:t>
            </w:r>
          </w:p>
        </w:tc>
        <w:tc>
          <w:tcPr>
            <w:tcW w:w="2454" w:type="pct"/>
            <w:tcBorders>
              <w:left w:val="single" w:sz="4" w:space="0" w:color="365F91"/>
            </w:tcBorders>
            <w:shd w:val="clear" w:color="auto" w:fill="365F91"/>
            <w:vAlign w:val="bottom"/>
          </w:tcPr>
          <w:p w14:paraId="2348D274" w14:textId="77777777" w:rsidR="00FB33C6" w:rsidRPr="00256982" w:rsidRDefault="00FB33C6" w:rsidP="00823616">
            <w:pPr>
              <w:pStyle w:val="TableTextBold"/>
              <w:jc w:val="center"/>
              <w:rPr>
                <w:noProof w:val="0"/>
                <w:color w:val="FFFFFF"/>
              </w:rPr>
            </w:pPr>
            <w:r w:rsidRPr="00256982">
              <w:rPr>
                <w:noProof w:val="0"/>
                <w:color w:val="FFFFFF"/>
              </w:rPr>
              <w:t>Source</w:t>
            </w:r>
          </w:p>
        </w:tc>
      </w:tr>
      <w:tr w:rsidR="00FB33C6" w:rsidRPr="00256982" w14:paraId="09ED3C84" w14:textId="77777777" w:rsidTr="00823616">
        <w:tc>
          <w:tcPr>
            <w:tcW w:w="402" w:type="pct"/>
            <w:tcBorders>
              <w:right w:val="single" w:sz="4" w:space="0" w:color="365F91"/>
            </w:tcBorders>
            <w:shd w:val="clear" w:color="auto" w:fill="auto"/>
            <w:noWrap/>
            <w:hideMark/>
          </w:tcPr>
          <w:p w14:paraId="1394A8FC" w14:textId="77777777" w:rsidR="00FB33C6" w:rsidRPr="00256982" w:rsidRDefault="00FB33C6" w:rsidP="00823616">
            <w:pPr>
              <w:pStyle w:val="TableText"/>
            </w:pPr>
            <w:r w:rsidRPr="00256982">
              <w:t>HFCs</w:t>
            </w:r>
          </w:p>
        </w:tc>
        <w:tc>
          <w:tcPr>
            <w:tcW w:w="761" w:type="pct"/>
            <w:tcBorders>
              <w:top w:val="single" w:sz="4" w:space="0" w:color="365F91"/>
              <w:left w:val="single" w:sz="4" w:space="0" w:color="365F91"/>
              <w:bottom w:val="single" w:sz="4" w:space="0" w:color="365F91"/>
              <w:right w:val="single" w:sz="4" w:space="0" w:color="365F91"/>
            </w:tcBorders>
            <w:shd w:val="clear" w:color="auto" w:fill="auto"/>
            <w:noWrap/>
            <w:hideMark/>
          </w:tcPr>
          <w:p w14:paraId="492384B8" w14:textId="77777777" w:rsidR="00FB33C6" w:rsidRPr="00256982" w:rsidRDefault="00FB33C6" w:rsidP="00823616">
            <w:pPr>
              <w:pStyle w:val="TableText"/>
            </w:pPr>
            <w:r w:rsidRPr="00256982">
              <w:t>2.F.1</w:t>
            </w:r>
          </w:p>
        </w:tc>
        <w:tc>
          <w:tcPr>
            <w:tcW w:w="692" w:type="pct"/>
            <w:tcBorders>
              <w:top w:val="single" w:sz="4" w:space="0" w:color="365F91"/>
              <w:left w:val="single" w:sz="4" w:space="0" w:color="365F91"/>
              <w:bottom w:val="single" w:sz="4" w:space="0" w:color="365F91"/>
              <w:right w:val="single" w:sz="4" w:space="0" w:color="365F91"/>
            </w:tcBorders>
            <w:shd w:val="clear" w:color="auto" w:fill="auto"/>
            <w:noWrap/>
            <w:hideMark/>
          </w:tcPr>
          <w:p w14:paraId="72A75105" w14:textId="77777777" w:rsidR="00FB33C6" w:rsidRPr="00256982" w:rsidRDefault="00FB33C6" w:rsidP="00823616">
            <w:pPr>
              <w:pStyle w:val="TableText"/>
            </w:pPr>
            <w:r w:rsidRPr="00256982">
              <w:t>±32</w:t>
            </w:r>
          </w:p>
        </w:tc>
        <w:tc>
          <w:tcPr>
            <w:tcW w:w="692" w:type="pct"/>
            <w:tcBorders>
              <w:left w:val="single" w:sz="4" w:space="0" w:color="365F91"/>
            </w:tcBorders>
            <w:shd w:val="clear" w:color="auto" w:fill="auto"/>
            <w:noWrap/>
            <w:hideMark/>
          </w:tcPr>
          <w:p w14:paraId="17DC2647" w14:textId="77777777" w:rsidR="00FB33C6" w:rsidRPr="00256982" w:rsidRDefault="00FB33C6" w:rsidP="00823616">
            <w:pPr>
              <w:pStyle w:val="TableText"/>
            </w:pPr>
            <w:r w:rsidRPr="00256982">
              <w:t>NA</w:t>
            </w:r>
          </w:p>
        </w:tc>
        <w:tc>
          <w:tcPr>
            <w:tcW w:w="2454" w:type="pct"/>
            <w:tcBorders>
              <w:left w:val="single" w:sz="4" w:space="0" w:color="365F91"/>
            </w:tcBorders>
          </w:tcPr>
          <w:p w14:paraId="73B53633" w14:textId="77777777" w:rsidR="00FB33C6" w:rsidRPr="00256982" w:rsidRDefault="00FB33C6" w:rsidP="00823616">
            <w:pPr>
              <w:pStyle w:val="TableText"/>
            </w:pPr>
            <w:r w:rsidRPr="00256982">
              <w:t>New Zealand’s value is used (table 4.7.3, chapter 4)</w:t>
            </w:r>
          </w:p>
        </w:tc>
      </w:tr>
    </w:tbl>
    <w:p w14:paraId="6D373C56" w14:textId="77777777" w:rsidR="00FB33C6" w:rsidRPr="00256982" w:rsidRDefault="00FB33C6" w:rsidP="00FB33C6">
      <w:pPr>
        <w:pStyle w:val="Heading3"/>
        <w:spacing w:before="480"/>
        <w:rPr>
          <w:sz w:val="16"/>
        </w:rPr>
      </w:pPr>
      <w:r w:rsidRPr="00256982">
        <w:t xml:space="preserve">8.3.2 </w:t>
      </w:r>
      <w:r w:rsidRPr="00256982">
        <w:tab/>
        <w:t>Emissions from Metered dose inhalers and Medical applications in Tokelau</w:t>
      </w:r>
    </w:p>
    <w:p w14:paraId="7B12ABC5" w14:textId="77777777" w:rsidR="00FB33C6" w:rsidRPr="00256982" w:rsidRDefault="00FB33C6" w:rsidP="00FB33C6">
      <w:pPr>
        <w:pStyle w:val="BodyText"/>
      </w:pPr>
      <w:r w:rsidRPr="00256982">
        <w:t xml:space="preserve">The </w:t>
      </w:r>
      <w:r w:rsidRPr="00256982">
        <w:rPr>
          <w:i/>
        </w:rPr>
        <w:t>Metered dose inhalers</w:t>
      </w:r>
      <w:r w:rsidRPr="00256982">
        <w:t xml:space="preserve"> (2.F.4.a) and </w:t>
      </w:r>
      <w:r w:rsidRPr="00256982">
        <w:rPr>
          <w:i/>
        </w:rPr>
        <w:t xml:space="preserve">Medical applications </w:t>
      </w:r>
      <w:r w:rsidRPr="00256982">
        <w:t>categories (2.G.3.a) contribute negligible amounts of HFC (HFC-134a and HFC-227ea) and N</w:t>
      </w:r>
      <w:r w:rsidRPr="00256982">
        <w:rPr>
          <w:vertAlign w:val="subscript"/>
        </w:rPr>
        <w:t>2</w:t>
      </w:r>
      <w:r w:rsidRPr="00256982">
        <w:t>O emissions respectively to the total emissions from the IPPU sector in Tokelau. They are reported by scaling New Zealand’s emissions from the same category by population.</w:t>
      </w:r>
    </w:p>
    <w:p w14:paraId="1654A093" w14:textId="77777777" w:rsidR="00FB33C6" w:rsidRPr="00256982" w:rsidRDefault="00FB33C6" w:rsidP="00FB33C6">
      <w:pPr>
        <w:pStyle w:val="BodyText"/>
      </w:pPr>
      <w:r w:rsidRPr="00256982">
        <w:t xml:space="preserve">In 2017, the </w:t>
      </w:r>
      <w:r w:rsidRPr="00256982">
        <w:rPr>
          <w:i/>
        </w:rPr>
        <w:t xml:space="preserve">Metered dose inhalers </w:t>
      </w:r>
      <w:r w:rsidRPr="00256982">
        <w:t xml:space="preserve">category contributes 7.8 per cent to total IPPU emissions from Tokelau, and the category </w:t>
      </w:r>
      <w:r w:rsidRPr="00256982">
        <w:rPr>
          <w:i/>
        </w:rPr>
        <w:t>Medical applications</w:t>
      </w:r>
      <w:r w:rsidRPr="00256982">
        <w:t xml:space="preserve"> contributes 6.7 per cent to the sector, which amounts to less than 0.05 kt CO</w:t>
      </w:r>
      <w:r w:rsidRPr="00256982">
        <w:rPr>
          <w:vertAlign w:val="subscript"/>
        </w:rPr>
        <w:t>2</w:t>
      </w:r>
      <w:r w:rsidRPr="00256982">
        <w:t>-e from the total of the two categories.</w:t>
      </w:r>
    </w:p>
    <w:p w14:paraId="47A0F28E" w14:textId="77777777" w:rsidR="00FB33C6" w:rsidRPr="00256982" w:rsidRDefault="00FB33C6" w:rsidP="00FB33C6">
      <w:pPr>
        <w:pStyle w:val="Heading4"/>
      </w:pPr>
      <w:r w:rsidRPr="00256982">
        <w:t>Methodological issues</w:t>
      </w:r>
    </w:p>
    <w:p w14:paraId="0486128C" w14:textId="77777777" w:rsidR="00FB33C6" w:rsidRPr="00256982" w:rsidRDefault="00FB33C6" w:rsidP="005902DC">
      <w:pPr>
        <w:pStyle w:val="Heading5"/>
        <w:spacing w:before="160"/>
      </w:pPr>
      <w:r w:rsidRPr="00256982">
        <w:t>Activity data</w:t>
      </w:r>
    </w:p>
    <w:p w14:paraId="268239FC" w14:textId="77777777" w:rsidR="00FB33C6" w:rsidRPr="00256982" w:rsidRDefault="00FB33C6" w:rsidP="00FB33C6">
      <w:pPr>
        <w:pStyle w:val="BodyText"/>
      </w:pPr>
      <w:r w:rsidRPr="00256982">
        <w:t xml:space="preserve">Only anecdotal evidence associated with the activity data for both categories is available from Tokelau’s Department of Health (see table 8.1.2). Tokelau used the population statistics for Tokelau and New Zealand to scale New Zealand’s activity data by applying Tokelau–New Zealand population ratios for the entire time series to each gas. </w:t>
      </w:r>
    </w:p>
    <w:p w14:paraId="6CF74A11" w14:textId="77777777" w:rsidR="00FB33C6" w:rsidRPr="00256982" w:rsidRDefault="00FB33C6" w:rsidP="00FB33C6">
      <w:pPr>
        <w:pStyle w:val="Heading5"/>
      </w:pPr>
      <w:r w:rsidRPr="00256982">
        <w:t>Method and emission factors</w:t>
      </w:r>
    </w:p>
    <w:p w14:paraId="65E15FFD" w14:textId="77777777" w:rsidR="00FB33C6" w:rsidRPr="00256982" w:rsidRDefault="00FB33C6" w:rsidP="00FB33C6">
      <w:pPr>
        <w:pStyle w:val="BodyText"/>
      </w:pPr>
      <w:r w:rsidRPr="00256982">
        <w:t xml:space="preserve">For both categories, effectively a Tier 1a methodology was applied because New Zealand applied this methodology for estimating emissions from 2.F.4 and Tier 1 methodology for 2.G.3 (IPCC, 2006b). In addition, population ratios from population statistics of Tokelau and New Zealand have been calculated for each year of the time series except the years when the emissions were not occurring (until 1995 for HFC-134a and 2011 for HFC-227ea). </w:t>
      </w:r>
    </w:p>
    <w:p w14:paraId="122C69D2" w14:textId="77777777" w:rsidR="00FB33C6" w:rsidRPr="00256982" w:rsidRDefault="00FB33C6" w:rsidP="00FB33C6">
      <w:pPr>
        <w:pStyle w:val="BodyText"/>
      </w:pPr>
      <w:r w:rsidRPr="00256982">
        <w:t>For 2.F.4.a, a product life factor of 100 per cent was used. For 2.G.3a, it was assumed that N</w:t>
      </w:r>
      <w:r w:rsidRPr="00256982">
        <w:rPr>
          <w:vertAlign w:val="subscript"/>
        </w:rPr>
        <w:t>2</w:t>
      </w:r>
      <w:r w:rsidRPr="00256982">
        <w:t>O is used as a propellant in pressurised and aerosol food products, none of the N</w:t>
      </w:r>
      <w:r w:rsidRPr="00256982">
        <w:rPr>
          <w:vertAlign w:val="subscript"/>
        </w:rPr>
        <w:t>2</w:t>
      </w:r>
      <w:r w:rsidRPr="00256982">
        <w:t>O is reacted during the process and all of the N</w:t>
      </w:r>
      <w:r w:rsidRPr="00256982">
        <w:rPr>
          <w:vertAlign w:val="subscript"/>
        </w:rPr>
        <w:t>2</w:t>
      </w:r>
      <w:r w:rsidRPr="00256982">
        <w:t>O is emitted to the atmosphere. Therefore, a default emission factor of 1.0 was used for this category.</w:t>
      </w:r>
    </w:p>
    <w:p w14:paraId="4CE448E6" w14:textId="77777777" w:rsidR="00FB33C6" w:rsidRPr="00256982" w:rsidRDefault="00FB33C6" w:rsidP="00FB33C6">
      <w:pPr>
        <w:pStyle w:val="Heading4"/>
      </w:pPr>
      <w:r w:rsidRPr="00256982">
        <w:t>Uncertainty</w:t>
      </w:r>
    </w:p>
    <w:p w14:paraId="6CCD6E74" w14:textId="77777777" w:rsidR="00FB33C6" w:rsidRPr="00256982" w:rsidRDefault="00FB33C6" w:rsidP="00FB33C6">
      <w:pPr>
        <w:pStyle w:val="BodyText"/>
      </w:pPr>
      <w:r w:rsidRPr="00256982">
        <w:t>For consistency of reporting, the same uncertainty values for categories 2.F.4.a and 2.G.3.a were applied for Tokelau and New Zealand (see section 4.8.1 in chapter 4 and table 8.3.2).</w:t>
      </w:r>
    </w:p>
    <w:p w14:paraId="20133C3F" w14:textId="77777777" w:rsidR="00FB33C6" w:rsidRPr="00256982" w:rsidRDefault="00FB33C6" w:rsidP="00FB33C6">
      <w:pPr>
        <w:pStyle w:val="Table"/>
      </w:pPr>
      <w:bookmarkStart w:id="2467" w:name="_Toc5269600"/>
      <w:r w:rsidRPr="00256982">
        <w:t>Table 8.3.2</w:t>
      </w:r>
      <w:r w:rsidRPr="00256982">
        <w:tab/>
        <w:t>Uncertainty in emissions from other product manufacture and use</w:t>
      </w:r>
      <w:bookmarkEnd w:id="2467"/>
    </w:p>
    <w:tbl>
      <w:tblPr>
        <w:tblW w:w="8562" w:type="dxa"/>
        <w:tblInd w:w="108" w:type="dxa"/>
        <w:tblBorders>
          <w:top w:val="single" w:sz="4" w:space="0" w:color="365F91"/>
          <w:bottom w:val="single" w:sz="4" w:space="0" w:color="365F91"/>
          <w:insideH w:val="single" w:sz="4" w:space="0" w:color="365F91"/>
        </w:tblBorders>
        <w:tblCellMar>
          <w:left w:w="0" w:type="dxa"/>
          <w:right w:w="0" w:type="dxa"/>
        </w:tblCellMar>
        <w:tblLook w:val="04A0" w:firstRow="1" w:lastRow="0" w:firstColumn="1" w:lastColumn="0" w:noHBand="0" w:noVBand="1"/>
      </w:tblPr>
      <w:tblGrid>
        <w:gridCol w:w="3242"/>
        <w:gridCol w:w="2516"/>
        <w:gridCol w:w="2804"/>
      </w:tblGrid>
      <w:tr w:rsidR="00FB33C6" w:rsidRPr="00256982" w14:paraId="5A0F5B2B" w14:textId="77777777" w:rsidTr="00172FD1">
        <w:tc>
          <w:tcPr>
            <w:tcW w:w="3028" w:type="dxa"/>
            <w:shd w:val="clear" w:color="auto" w:fill="365F91"/>
            <w:tcMar>
              <w:top w:w="0" w:type="dxa"/>
              <w:left w:w="108" w:type="dxa"/>
              <w:bottom w:w="0" w:type="dxa"/>
              <w:right w:w="108" w:type="dxa"/>
            </w:tcMar>
            <w:vAlign w:val="bottom"/>
            <w:hideMark/>
          </w:tcPr>
          <w:p w14:paraId="1CFB0A24" w14:textId="77777777" w:rsidR="00FB33C6" w:rsidRPr="00256982" w:rsidRDefault="00FB33C6" w:rsidP="00823616">
            <w:pPr>
              <w:pStyle w:val="TableTextBold"/>
              <w:keepNext/>
              <w:jc w:val="center"/>
              <w:rPr>
                <w:noProof w:val="0"/>
                <w:color w:val="FFFFFF"/>
              </w:rPr>
            </w:pPr>
            <w:r w:rsidRPr="00256982">
              <w:rPr>
                <w:noProof w:val="0"/>
                <w:color w:val="FFFFFF"/>
              </w:rPr>
              <w:t>Category</w:t>
            </w:r>
          </w:p>
        </w:tc>
        <w:tc>
          <w:tcPr>
            <w:tcW w:w="2349" w:type="dxa"/>
            <w:shd w:val="clear" w:color="auto" w:fill="365F91"/>
            <w:tcMar>
              <w:top w:w="0" w:type="dxa"/>
              <w:left w:w="108" w:type="dxa"/>
              <w:bottom w:w="0" w:type="dxa"/>
              <w:right w:w="108" w:type="dxa"/>
            </w:tcMar>
            <w:vAlign w:val="bottom"/>
            <w:hideMark/>
          </w:tcPr>
          <w:p w14:paraId="65C0C4F8" w14:textId="77777777" w:rsidR="00FB33C6" w:rsidRPr="00256982" w:rsidRDefault="00FB33C6" w:rsidP="00823616">
            <w:pPr>
              <w:pStyle w:val="TableTextBold"/>
              <w:keepNext/>
              <w:jc w:val="center"/>
              <w:rPr>
                <w:noProof w:val="0"/>
                <w:color w:val="FFFFFF"/>
              </w:rPr>
            </w:pPr>
            <w:r w:rsidRPr="00256982">
              <w:rPr>
                <w:noProof w:val="0"/>
                <w:color w:val="FFFFFF"/>
              </w:rPr>
              <w:t>Uncertainty in activity data (%)</w:t>
            </w:r>
          </w:p>
        </w:tc>
        <w:tc>
          <w:tcPr>
            <w:tcW w:w="2618" w:type="dxa"/>
            <w:shd w:val="clear" w:color="auto" w:fill="365F91"/>
            <w:tcMar>
              <w:top w:w="0" w:type="dxa"/>
              <w:left w:w="108" w:type="dxa"/>
              <w:bottom w:w="0" w:type="dxa"/>
              <w:right w:w="108" w:type="dxa"/>
            </w:tcMar>
            <w:vAlign w:val="bottom"/>
            <w:hideMark/>
          </w:tcPr>
          <w:p w14:paraId="2F513948" w14:textId="77777777" w:rsidR="00FB33C6" w:rsidRPr="00256982" w:rsidRDefault="00FB33C6" w:rsidP="00823616">
            <w:pPr>
              <w:pStyle w:val="TableTextBold"/>
              <w:keepNext/>
              <w:jc w:val="center"/>
              <w:rPr>
                <w:noProof w:val="0"/>
                <w:color w:val="FFFFFF"/>
              </w:rPr>
            </w:pPr>
            <w:r w:rsidRPr="00256982">
              <w:rPr>
                <w:noProof w:val="0"/>
                <w:color w:val="FFFFFF"/>
              </w:rPr>
              <w:t>Uncertainty in emission factors</w:t>
            </w:r>
          </w:p>
        </w:tc>
      </w:tr>
      <w:tr w:rsidR="00FB33C6" w:rsidRPr="00256982" w14:paraId="1B42F596" w14:textId="77777777" w:rsidTr="00172FD1">
        <w:tc>
          <w:tcPr>
            <w:tcW w:w="3028" w:type="dxa"/>
            <w:shd w:val="clear" w:color="auto" w:fill="FFFFFF"/>
            <w:tcMar>
              <w:top w:w="0" w:type="dxa"/>
              <w:left w:w="108" w:type="dxa"/>
              <w:bottom w:w="0" w:type="dxa"/>
              <w:right w:w="108" w:type="dxa"/>
            </w:tcMar>
            <w:hideMark/>
          </w:tcPr>
          <w:p w14:paraId="1A295C90" w14:textId="77777777" w:rsidR="00FB33C6" w:rsidRPr="00256982" w:rsidRDefault="00FB33C6" w:rsidP="00823616">
            <w:pPr>
              <w:pStyle w:val="TableText"/>
            </w:pPr>
            <w:r w:rsidRPr="00256982">
              <w:t>Medical and other product use (PFCs)</w:t>
            </w:r>
          </w:p>
        </w:tc>
        <w:tc>
          <w:tcPr>
            <w:tcW w:w="2349" w:type="dxa"/>
            <w:shd w:val="clear" w:color="auto" w:fill="FFFFFF"/>
            <w:tcMar>
              <w:top w:w="0" w:type="dxa"/>
              <w:left w:w="108" w:type="dxa"/>
              <w:bottom w:w="0" w:type="dxa"/>
              <w:right w:w="108" w:type="dxa"/>
            </w:tcMar>
            <w:hideMark/>
          </w:tcPr>
          <w:p w14:paraId="3FD0AEEB" w14:textId="77777777" w:rsidR="00FB33C6" w:rsidRPr="00256982" w:rsidRDefault="00FB33C6" w:rsidP="00823616">
            <w:pPr>
              <w:pStyle w:val="TableText"/>
            </w:pPr>
            <w:r w:rsidRPr="00256982">
              <w:t>±80</w:t>
            </w:r>
          </w:p>
        </w:tc>
        <w:tc>
          <w:tcPr>
            <w:tcW w:w="2618" w:type="dxa"/>
            <w:shd w:val="clear" w:color="auto" w:fill="FFFFFF"/>
            <w:tcMar>
              <w:top w:w="0" w:type="dxa"/>
              <w:left w:w="108" w:type="dxa"/>
              <w:bottom w:w="0" w:type="dxa"/>
              <w:right w:w="108" w:type="dxa"/>
            </w:tcMar>
            <w:hideMark/>
          </w:tcPr>
          <w:p w14:paraId="43D34676" w14:textId="77777777" w:rsidR="00FB33C6" w:rsidRPr="00256982" w:rsidRDefault="00FB33C6" w:rsidP="00823616">
            <w:pPr>
              <w:pStyle w:val="TableText"/>
            </w:pPr>
            <w:r w:rsidRPr="00256982">
              <w:t>NA</w:t>
            </w:r>
          </w:p>
        </w:tc>
      </w:tr>
      <w:tr w:rsidR="00FB33C6" w:rsidRPr="00256982" w14:paraId="0A1C2EC2" w14:textId="77777777" w:rsidTr="00172FD1">
        <w:tc>
          <w:tcPr>
            <w:tcW w:w="3028" w:type="dxa"/>
            <w:shd w:val="clear" w:color="auto" w:fill="FFFFFF"/>
            <w:tcMar>
              <w:top w:w="0" w:type="dxa"/>
              <w:left w:w="108" w:type="dxa"/>
              <w:bottom w:w="0" w:type="dxa"/>
              <w:right w:w="108" w:type="dxa"/>
            </w:tcMar>
            <w:hideMark/>
          </w:tcPr>
          <w:p w14:paraId="72D4315D" w14:textId="77777777" w:rsidR="00FB33C6" w:rsidRPr="00256982" w:rsidRDefault="00FB33C6" w:rsidP="00823616">
            <w:pPr>
              <w:pStyle w:val="TableText"/>
            </w:pPr>
            <w:r w:rsidRPr="00256982">
              <w:t>N</w:t>
            </w:r>
            <w:r w:rsidRPr="00256982">
              <w:rPr>
                <w:vertAlign w:val="subscript"/>
              </w:rPr>
              <w:t>2</w:t>
            </w:r>
            <w:r w:rsidRPr="00256982">
              <w:t>O from other product uses</w:t>
            </w:r>
          </w:p>
        </w:tc>
        <w:tc>
          <w:tcPr>
            <w:tcW w:w="2349" w:type="dxa"/>
            <w:shd w:val="clear" w:color="auto" w:fill="FFFFFF"/>
            <w:tcMar>
              <w:top w:w="0" w:type="dxa"/>
              <w:left w:w="108" w:type="dxa"/>
              <w:bottom w:w="0" w:type="dxa"/>
              <w:right w:w="108" w:type="dxa"/>
            </w:tcMar>
            <w:hideMark/>
          </w:tcPr>
          <w:p w14:paraId="5176ADA0" w14:textId="77777777" w:rsidR="00FB33C6" w:rsidRPr="00256982" w:rsidRDefault="00FB33C6" w:rsidP="00172FD1">
            <w:pPr>
              <w:pStyle w:val="TableText"/>
              <w:spacing w:after="0"/>
            </w:pPr>
            <w:r w:rsidRPr="00256982">
              <w:t>±30 (2002–12)</w:t>
            </w:r>
          </w:p>
          <w:p w14:paraId="50EFC23E" w14:textId="77777777" w:rsidR="00FB33C6" w:rsidRPr="00256982" w:rsidRDefault="00FB33C6" w:rsidP="00823616">
            <w:pPr>
              <w:pStyle w:val="TableText"/>
            </w:pPr>
            <w:r w:rsidRPr="00256982">
              <w:t>±5 (2013–17)</w:t>
            </w:r>
          </w:p>
        </w:tc>
        <w:tc>
          <w:tcPr>
            <w:tcW w:w="2618" w:type="dxa"/>
            <w:shd w:val="clear" w:color="auto" w:fill="FFFFFF"/>
            <w:tcMar>
              <w:top w:w="0" w:type="dxa"/>
              <w:left w:w="108" w:type="dxa"/>
              <w:bottom w:w="0" w:type="dxa"/>
              <w:right w:w="108" w:type="dxa"/>
            </w:tcMar>
            <w:hideMark/>
          </w:tcPr>
          <w:p w14:paraId="18FBACAD" w14:textId="77777777" w:rsidR="00FB33C6" w:rsidRPr="00256982" w:rsidRDefault="00FB33C6" w:rsidP="00823616">
            <w:pPr>
              <w:pStyle w:val="TableText"/>
            </w:pPr>
            <w:r w:rsidRPr="00256982">
              <w:t>NA</w:t>
            </w:r>
          </w:p>
        </w:tc>
      </w:tr>
    </w:tbl>
    <w:p w14:paraId="763A8E02" w14:textId="77777777" w:rsidR="00FB33C6" w:rsidRPr="00256982" w:rsidRDefault="00FB33C6" w:rsidP="00FB33C6">
      <w:pPr>
        <w:pStyle w:val="Heading2"/>
        <w:spacing w:before="480"/>
      </w:pPr>
      <w:bookmarkStart w:id="2468" w:name="_Toc5269396"/>
      <w:r w:rsidRPr="00256982">
        <w:t>8.4</w:t>
      </w:r>
      <w:r w:rsidRPr="00256982">
        <w:tab/>
        <w:t>Emissions from the Agriculture sector in Tokelau (CRF 6. Tokelau_3)</w:t>
      </w:r>
      <w:bookmarkEnd w:id="2468"/>
    </w:p>
    <w:p w14:paraId="3F66D225" w14:textId="77777777" w:rsidR="00FB33C6" w:rsidRPr="00256982" w:rsidRDefault="00FB33C6" w:rsidP="00FB33C6">
      <w:pPr>
        <w:pStyle w:val="BodyText"/>
      </w:pPr>
      <w:r w:rsidRPr="00256982">
        <w:t>Fish, not locally produced plants or animals, are the most important food source in Tokelau. The low fertility of the coral soil means few crops are supported. Food needs are not met by locally grown produce and are heavily supplemented by imports.</w:t>
      </w:r>
    </w:p>
    <w:p w14:paraId="6698B32D" w14:textId="77777777" w:rsidR="00FB33C6" w:rsidRPr="00256982" w:rsidRDefault="00FB33C6" w:rsidP="00FB33C6">
      <w:pPr>
        <w:pStyle w:val="BodyText"/>
      </w:pPr>
      <w:r w:rsidRPr="00256982">
        <w:t>Cultivated food crops are</w:t>
      </w:r>
      <w:r w:rsidRPr="00256982" w:rsidDel="00302D78">
        <w:t xml:space="preserve"> </w:t>
      </w:r>
      <w:r w:rsidRPr="00256982">
        <w:t>limited to breadfruit (</w:t>
      </w:r>
      <w:r w:rsidRPr="00256982">
        <w:rPr>
          <w:i/>
        </w:rPr>
        <w:t>Artocarpus altilis</w:t>
      </w:r>
      <w:r w:rsidRPr="00256982">
        <w:t>), giant swamp taro ‘pulaka’ (</w:t>
      </w:r>
      <w:r w:rsidRPr="00256982">
        <w:rPr>
          <w:i/>
        </w:rPr>
        <w:t>Cyrtosperma chamissonis</w:t>
      </w:r>
      <w:r w:rsidRPr="00256982">
        <w:t>), taro palagi (</w:t>
      </w:r>
      <w:r w:rsidRPr="00256982">
        <w:rPr>
          <w:i/>
        </w:rPr>
        <w:t>Xanthosoma sagittifolium</w:t>
      </w:r>
      <w:r w:rsidRPr="00256982">
        <w:t>), giant taro (</w:t>
      </w:r>
      <w:r w:rsidRPr="00256982">
        <w:rPr>
          <w:i/>
        </w:rPr>
        <w:t>Alocasia macrorrhizos</w:t>
      </w:r>
      <w:r w:rsidRPr="00256982">
        <w:t>), banana (</w:t>
      </w:r>
      <w:r w:rsidRPr="00256982">
        <w:rPr>
          <w:i/>
        </w:rPr>
        <w:t>Mus</w:t>
      </w:r>
      <w:r w:rsidRPr="00256982">
        <w:t xml:space="preserve"> sp. [2 varieties]), papaya (</w:t>
      </w:r>
      <w:r w:rsidRPr="00256982">
        <w:rPr>
          <w:i/>
        </w:rPr>
        <w:t>Carica papaya</w:t>
      </w:r>
      <w:r w:rsidRPr="00256982">
        <w:t>), pandanus ‘fala’ (</w:t>
      </w:r>
      <w:r w:rsidRPr="00256982">
        <w:rPr>
          <w:i/>
        </w:rPr>
        <w:t>Pandanus odoratissimus</w:t>
      </w:r>
      <w:r w:rsidRPr="00256982">
        <w:t>), pumpkin (</w:t>
      </w:r>
      <w:r w:rsidRPr="00256982">
        <w:rPr>
          <w:i/>
        </w:rPr>
        <w:t>Cucurbita</w:t>
      </w:r>
      <w:r w:rsidRPr="00256982">
        <w:t xml:space="preserve"> sp.) and coconut (</w:t>
      </w:r>
      <w:r w:rsidRPr="00256982">
        <w:rPr>
          <w:i/>
        </w:rPr>
        <w:t>Cocos nucifera</w:t>
      </w:r>
      <w:r w:rsidRPr="00256982">
        <w:t>).</w:t>
      </w:r>
    </w:p>
    <w:p w14:paraId="0B1EA81B" w14:textId="77777777" w:rsidR="00FB33C6" w:rsidRPr="00256982" w:rsidRDefault="00FB33C6" w:rsidP="00FB33C6">
      <w:pPr>
        <w:pStyle w:val="BodyText"/>
      </w:pPr>
      <w:r w:rsidRPr="00256982">
        <w:t>There is a small amount of subsistence agriculture in Tokelau. Coconuts are used for human and livestock consumption. Fakaofo grows small amounts of swamp taro. The villages have breadfruit trees and some banana patches; the women’s committees run community gardens and grow pandanus for traditional crafts (mats, hats, fans). A recent United Nations Development Programme-sponsored project was the establishment of keyhole gardens by Tokelau youth.</w:t>
      </w:r>
      <w:r w:rsidRPr="00256982">
        <w:rPr>
          <w:vertAlign w:val="superscript"/>
        </w:rPr>
        <w:footnoteReference w:id="62"/>
      </w:r>
      <w:r w:rsidRPr="00256982">
        <w:t xml:space="preserve"> </w:t>
      </w:r>
    </w:p>
    <w:p w14:paraId="3223D6B9" w14:textId="77777777" w:rsidR="00FB33C6" w:rsidRPr="00256982" w:rsidRDefault="00FB33C6" w:rsidP="00FB33C6">
      <w:pPr>
        <w:pStyle w:val="BodyText"/>
      </w:pPr>
      <w:r w:rsidRPr="00256982">
        <w:t>There is no industrial-scale farming in Tokelau. Tokelau atolls do not have any large agricultural and horticultural development that would fall under New Zealand’s definition of a farm. There are no cows, sheep or deer, with agricultural livestock represented by small numbers of pen-kept pigs and free</w:t>
      </w:r>
      <w:r w:rsidRPr="00256982">
        <w:noBreakHyphen/>
        <w:t>range chickens.</w:t>
      </w:r>
    </w:p>
    <w:p w14:paraId="23F1328D" w14:textId="77777777" w:rsidR="00FB33C6" w:rsidRPr="00256982" w:rsidRDefault="00FB33C6" w:rsidP="00FB33C6">
      <w:pPr>
        <w:pStyle w:val="BodyText"/>
      </w:pPr>
      <w:r w:rsidRPr="00256982">
        <w:t xml:space="preserve">There is also no pasture in Tokelau and no managed agricultural soils, therefore emissions from the </w:t>
      </w:r>
      <w:r w:rsidRPr="00256982">
        <w:rPr>
          <w:i/>
        </w:rPr>
        <w:t>Direct N</w:t>
      </w:r>
      <w:r w:rsidRPr="00256982">
        <w:rPr>
          <w:i/>
          <w:vertAlign w:val="subscript"/>
        </w:rPr>
        <w:t>2</w:t>
      </w:r>
      <w:r w:rsidRPr="00256982">
        <w:rPr>
          <w:i/>
        </w:rPr>
        <w:t>O emissions from managed soils</w:t>
      </w:r>
      <w:r w:rsidRPr="00256982">
        <w:t xml:space="preserve"> and </w:t>
      </w:r>
      <w:r w:rsidRPr="00256982">
        <w:rPr>
          <w:i/>
        </w:rPr>
        <w:t>Indirect N</w:t>
      </w:r>
      <w:r w:rsidRPr="00256982">
        <w:rPr>
          <w:i/>
          <w:vertAlign w:val="subscript"/>
        </w:rPr>
        <w:t>2</w:t>
      </w:r>
      <w:r w:rsidRPr="00256982">
        <w:rPr>
          <w:i/>
        </w:rPr>
        <w:t>O emissions from managed soils</w:t>
      </w:r>
      <w:r w:rsidRPr="00256982">
        <w:t xml:space="preserve"> categories are discounted and reported as NO (not occurring).</w:t>
      </w:r>
    </w:p>
    <w:p w14:paraId="772D1FAA" w14:textId="77777777" w:rsidR="00FB33C6" w:rsidRPr="00256982" w:rsidRDefault="00FB33C6" w:rsidP="00FB33C6">
      <w:pPr>
        <w:pStyle w:val="BodyText"/>
      </w:pPr>
      <w:r w:rsidRPr="00256982">
        <w:t>This submission includes agricultural emissions from Tokelau associated with enteric fermentation and manure management from swine and poultry.</w:t>
      </w:r>
    </w:p>
    <w:p w14:paraId="1924B1CC" w14:textId="77777777" w:rsidR="00FB33C6" w:rsidRPr="00256982" w:rsidRDefault="00FB33C6" w:rsidP="00FB33C6">
      <w:pPr>
        <w:pStyle w:val="BodyText"/>
      </w:pPr>
      <w:r w:rsidRPr="00256982">
        <w:t>Total emissions from the Agriculture sector in Tokelau are minuscule and amount to 0.001 kt CO</w:t>
      </w:r>
      <w:r w:rsidRPr="00256982">
        <w:rPr>
          <w:vertAlign w:val="subscript"/>
        </w:rPr>
        <w:t>2</w:t>
      </w:r>
      <w:r w:rsidRPr="00256982">
        <w:t xml:space="preserve">-e, which is 0.04 per cent of the total emissions from Tokelau and 0.000002 per cent of New Zealand’s gross emissions. </w:t>
      </w:r>
    </w:p>
    <w:p w14:paraId="2FC5AE76" w14:textId="77777777" w:rsidR="00FB33C6" w:rsidRPr="00256982" w:rsidRDefault="00FB33C6" w:rsidP="00FB33C6">
      <w:pPr>
        <w:pStyle w:val="Heading4"/>
      </w:pPr>
      <w:r w:rsidRPr="00256982">
        <w:rPr>
          <w:rFonts w:ascii="Arial Bold" w:hAnsi="Arial Bold"/>
        </w:rPr>
        <w:t>Planne</w:t>
      </w:r>
      <w:r w:rsidRPr="00256982">
        <w:t>d improvements</w:t>
      </w:r>
    </w:p>
    <w:p w14:paraId="4DC2A60E" w14:textId="77777777" w:rsidR="00FB33C6" w:rsidRPr="00256982" w:rsidRDefault="00FB33C6" w:rsidP="00FB33C6">
      <w:pPr>
        <w:pStyle w:val="BodyText"/>
        <w:rPr>
          <w:spacing w:val="-2"/>
        </w:rPr>
      </w:pPr>
      <w:r w:rsidRPr="00256982">
        <w:rPr>
          <w:spacing w:val="-2"/>
        </w:rPr>
        <w:t xml:space="preserve">Due to resource constraints in Tokelau, the inventory improvements were prioritised by the amount of emissions contributed by each sector to the total emissions from Tokelau. Because the Agriculture sector contributes a very small amount of emissions, no improvements, except ongoing data refinement as far as resources allow, are planned for the next inventory submission. </w:t>
      </w:r>
    </w:p>
    <w:p w14:paraId="3F6941F9" w14:textId="77777777" w:rsidR="00FB33C6" w:rsidRPr="00256982" w:rsidRDefault="00FB33C6" w:rsidP="00FB33C6">
      <w:pPr>
        <w:pStyle w:val="Heading3"/>
        <w:rPr>
          <w:sz w:val="16"/>
        </w:rPr>
      </w:pPr>
      <w:r w:rsidRPr="00256982">
        <w:t xml:space="preserve">8.4.1 </w:t>
      </w:r>
      <w:r w:rsidRPr="00256982">
        <w:tab/>
        <w:t>Emissions from Enteric fermentation in Tokelau</w:t>
      </w:r>
    </w:p>
    <w:p w14:paraId="4414D3F6" w14:textId="77777777" w:rsidR="00FB33C6" w:rsidRPr="00256982" w:rsidRDefault="00FB33C6" w:rsidP="00FB33C6">
      <w:pPr>
        <w:pStyle w:val="BodyText"/>
      </w:pPr>
      <w:r w:rsidRPr="00256982">
        <w:t>The only domestic farm animals kept are pigs (in community pens) and chickens (free range) (table 8.4.1). There is the potential of generating energy from the piggery waste and reducing the effluent pollution of the lagoon.</w:t>
      </w:r>
    </w:p>
    <w:p w14:paraId="6E144A6C" w14:textId="77777777" w:rsidR="00FB33C6" w:rsidRPr="00256982" w:rsidRDefault="00FB33C6" w:rsidP="00FB33C6">
      <w:pPr>
        <w:pStyle w:val="Table"/>
      </w:pPr>
      <w:bookmarkStart w:id="2469" w:name="_Toc5269601"/>
      <w:r w:rsidRPr="00256982">
        <w:t xml:space="preserve">Table 8.4.1 </w:t>
      </w:r>
      <w:r w:rsidRPr="00256982">
        <w:tab/>
        <w:t>Number of livestock in Tokelau (2016)</w:t>
      </w:r>
      <w:bookmarkEnd w:id="2469"/>
      <w:r w:rsidRPr="00256982">
        <w:t xml:space="preserve"> </w:t>
      </w:r>
    </w:p>
    <w:tbl>
      <w:tblPr>
        <w:tblW w:w="8505" w:type="dxa"/>
        <w:tblInd w:w="108" w:type="dxa"/>
        <w:tblLayout w:type="fixed"/>
        <w:tblLook w:val="04A0" w:firstRow="1" w:lastRow="0" w:firstColumn="1" w:lastColumn="0" w:noHBand="0" w:noVBand="1"/>
      </w:tblPr>
      <w:tblGrid>
        <w:gridCol w:w="1963"/>
        <w:gridCol w:w="2617"/>
        <w:gridCol w:w="2136"/>
        <w:gridCol w:w="1789"/>
      </w:tblGrid>
      <w:tr w:rsidR="00FB33C6" w:rsidRPr="00256982" w14:paraId="158FB92E" w14:textId="77777777" w:rsidTr="00823616">
        <w:trPr>
          <w:trHeight w:val="322"/>
        </w:trPr>
        <w:tc>
          <w:tcPr>
            <w:tcW w:w="1963" w:type="dxa"/>
            <w:tcBorders>
              <w:top w:val="single" w:sz="4" w:space="0" w:color="365F91"/>
              <w:left w:val="nil"/>
              <w:bottom w:val="single" w:sz="4" w:space="0" w:color="365F91"/>
              <w:right w:val="nil"/>
            </w:tcBorders>
            <w:shd w:val="clear" w:color="auto" w:fill="365F91"/>
            <w:hideMark/>
          </w:tcPr>
          <w:p w14:paraId="1B780B12" w14:textId="77777777" w:rsidR="00FB33C6" w:rsidRPr="00256982" w:rsidRDefault="00FB33C6" w:rsidP="00823616">
            <w:pPr>
              <w:pStyle w:val="TableTextBold"/>
              <w:jc w:val="center"/>
              <w:rPr>
                <w:noProof w:val="0"/>
                <w:color w:val="FFFFFF"/>
              </w:rPr>
            </w:pPr>
            <w:r w:rsidRPr="00256982">
              <w:rPr>
                <w:noProof w:val="0"/>
                <w:color w:val="FFFFFF"/>
              </w:rPr>
              <w:t>Atoll</w:t>
            </w:r>
          </w:p>
        </w:tc>
        <w:tc>
          <w:tcPr>
            <w:tcW w:w="2617" w:type="dxa"/>
            <w:tcBorders>
              <w:top w:val="single" w:sz="4" w:space="0" w:color="365F91"/>
              <w:left w:val="nil"/>
              <w:bottom w:val="single" w:sz="4" w:space="0" w:color="365F91"/>
              <w:right w:val="nil"/>
            </w:tcBorders>
            <w:shd w:val="clear" w:color="auto" w:fill="365F91"/>
            <w:hideMark/>
          </w:tcPr>
          <w:p w14:paraId="674D7280" w14:textId="77777777" w:rsidR="00FB33C6" w:rsidRPr="00256982" w:rsidRDefault="00FB33C6" w:rsidP="00823616">
            <w:pPr>
              <w:pStyle w:val="TableTextBold"/>
              <w:jc w:val="center"/>
              <w:rPr>
                <w:noProof w:val="0"/>
                <w:color w:val="FFFFFF"/>
              </w:rPr>
            </w:pPr>
            <w:r w:rsidRPr="00256982">
              <w:rPr>
                <w:noProof w:val="0"/>
                <w:color w:val="FFFFFF"/>
              </w:rPr>
              <w:t>Households</w:t>
            </w:r>
          </w:p>
        </w:tc>
        <w:tc>
          <w:tcPr>
            <w:tcW w:w="2136" w:type="dxa"/>
            <w:tcBorders>
              <w:top w:val="single" w:sz="4" w:space="0" w:color="365F91"/>
              <w:left w:val="nil"/>
              <w:bottom w:val="single" w:sz="4" w:space="0" w:color="365F91"/>
              <w:right w:val="nil"/>
            </w:tcBorders>
            <w:shd w:val="clear" w:color="auto" w:fill="365F91"/>
            <w:hideMark/>
          </w:tcPr>
          <w:p w14:paraId="212E84D9" w14:textId="77777777" w:rsidR="00FB33C6" w:rsidRPr="00256982" w:rsidRDefault="00FB33C6" w:rsidP="00823616">
            <w:pPr>
              <w:pStyle w:val="TableTextBold"/>
              <w:jc w:val="center"/>
              <w:rPr>
                <w:noProof w:val="0"/>
                <w:color w:val="FFFFFF"/>
              </w:rPr>
            </w:pPr>
            <w:r w:rsidRPr="00256982">
              <w:rPr>
                <w:noProof w:val="0"/>
                <w:color w:val="FFFFFF"/>
              </w:rPr>
              <w:t>Pigs</w:t>
            </w:r>
          </w:p>
        </w:tc>
        <w:tc>
          <w:tcPr>
            <w:tcW w:w="1789" w:type="dxa"/>
            <w:tcBorders>
              <w:top w:val="single" w:sz="4" w:space="0" w:color="365F91"/>
              <w:left w:val="nil"/>
              <w:bottom w:val="single" w:sz="4" w:space="0" w:color="365F91"/>
              <w:right w:val="nil"/>
            </w:tcBorders>
            <w:shd w:val="clear" w:color="auto" w:fill="365F91"/>
            <w:hideMark/>
          </w:tcPr>
          <w:p w14:paraId="10AB4556" w14:textId="77777777" w:rsidR="00FB33C6" w:rsidRPr="00256982" w:rsidRDefault="00FB33C6" w:rsidP="00823616">
            <w:pPr>
              <w:pStyle w:val="TableTextBold"/>
              <w:jc w:val="center"/>
              <w:rPr>
                <w:noProof w:val="0"/>
                <w:color w:val="FFFFFF"/>
              </w:rPr>
            </w:pPr>
            <w:r w:rsidRPr="00256982">
              <w:rPr>
                <w:noProof w:val="0"/>
                <w:color w:val="FFFFFF"/>
              </w:rPr>
              <w:t>Chickens</w:t>
            </w:r>
          </w:p>
        </w:tc>
      </w:tr>
      <w:tr w:rsidR="00FB33C6" w:rsidRPr="00256982" w14:paraId="6EAB1F6B" w14:textId="77777777" w:rsidTr="00823616">
        <w:trPr>
          <w:trHeight w:val="115"/>
        </w:trPr>
        <w:tc>
          <w:tcPr>
            <w:tcW w:w="1963" w:type="dxa"/>
            <w:tcBorders>
              <w:top w:val="single" w:sz="4" w:space="0" w:color="365F91"/>
              <w:left w:val="nil"/>
              <w:bottom w:val="nil"/>
              <w:right w:val="nil"/>
            </w:tcBorders>
            <w:shd w:val="clear" w:color="auto" w:fill="auto"/>
            <w:hideMark/>
          </w:tcPr>
          <w:p w14:paraId="45BFD162" w14:textId="77777777" w:rsidR="00FB33C6" w:rsidRPr="00256982" w:rsidRDefault="00FB33C6" w:rsidP="00823616">
            <w:pPr>
              <w:pStyle w:val="TableText"/>
              <w:rPr>
                <w:lang w:eastAsia="en-NZ"/>
              </w:rPr>
            </w:pPr>
            <w:r w:rsidRPr="00256982">
              <w:rPr>
                <w:lang w:eastAsia="en-NZ"/>
              </w:rPr>
              <w:t>Atafu</w:t>
            </w:r>
          </w:p>
        </w:tc>
        <w:tc>
          <w:tcPr>
            <w:tcW w:w="2617" w:type="dxa"/>
            <w:tcBorders>
              <w:top w:val="single" w:sz="4" w:space="0" w:color="365F91"/>
              <w:left w:val="nil"/>
              <w:bottom w:val="nil"/>
              <w:right w:val="nil"/>
            </w:tcBorders>
            <w:shd w:val="clear" w:color="auto" w:fill="auto"/>
            <w:hideMark/>
          </w:tcPr>
          <w:p w14:paraId="6AD074DD" w14:textId="77777777" w:rsidR="00FB33C6" w:rsidRPr="00256982" w:rsidRDefault="00FB33C6" w:rsidP="00823616">
            <w:pPr>
              <w:pStyle w:val="TableText"/>
              <w:jc w:val="center"/>
              <w:rPr>
                <w:lang w:eastAsia="en-NZ"/>
              </w:rPr>
            </w:pPr>
            <w:r w:rsidRPr="00256982">
              <w:rPr>
                <w:lang w:eastAsia="en-NZ"/>
              </w:rPr>
              <w:t>88</w:t>
            </w:r>
          </w:p>
        </w:tc>
        <w:tc>
          <w:tcPr>
            <w:tcW w:w="2136" w:type="dxa"/>
            <w:tcBorders>
              <w:top w:val="single" w:sz="4" w:space="0" w:color="365F91"/>
              <w:left w:val="nil"/>
              <w:bottom w:val="nil"/>
              <w:right w:val="nil"/>
            </w:tcBorders>
            <w:shd w:val="clear" w:color="auto" w:fill="auto"/>
            <w:hideMark/>
          </w:tcPr>
          <w:p w14:paraId="5A204170" w14:textId="77777777" w:rsidR="00FB33C6" w:rsidRPr="00256982" w:rsidRDefault="00FB33C6" w:rsidP="00823616">
            <w:pPr>
              <w:pStyle w:val="TableText"/>
              <w:jc w:val="center"/>
              <w:rPr>
                <w:lang w:eastAsia="en-NZ"/>
              </w:rPr>
            </w:pPr>
            <w:r w:rsidRPr="00256982">
              <w:rPr>
                <w:lang w:eastAsia="en-NZ"/>
              </w:rPr>
              <w:t>742</w:t>
            </w:r>
          </w:p>
        </w:tc>
        <w:tc>
          <w:tcPr>
            <w:tcW w:w="1789" w:type="dxa"/>
            <w:tcBorders>
              <w:top w:val="single" w:sz="4" w:space="0" w:color="365F91"/>
              <w:left w:val="nil"/>
              <w:bottom w:val="nil"/>
              <w:right w:val="nil"/>
            </w:tcBorders>
            <w:shd w:val="clear" w:color="auto" w:fill="auto"/>
            <w:hideMark/>
          </w:tcPr>
          <w:p w14:paraId="227B48F8" w14:textId="77777777" w:rsidR="00FB33C6" w:rsidRPr="00256982" w:rsidRDefault="00FB33C6" w:rsidP="00823616">
            <w:pPr>
              <w:pStyle w:val="TableText"/>
              <w:jc w:val="center"/>
              <w:rPr>
                <w:lang w:eastAsia="en-NZ"/>
              </w:rPr>
            </w:pPr>
            <w:r w:rsidRPr="00256982">
              <w:rPr>
                <w:lang w:eastAsia="en-NZ"/>
              </w:rPr>
              <w:t>270</w:t>
            </w:r>
          </w:p>
        </w:tc>
      </w:tr>
      <w:tr w:rsidR="00FB33C6" w:rsidRPr="00256982" w14:paraId="5A1FD02B" w14:textId="77777777" w:rsidTr="00823616">
        <w:trPr>
          <w:trHeight w:val="223"/>
        </w:trPr>
        <w:tc>
          <w:tcPr>
            <w:tcW w:w="1963" w:type="dxa"/>
            <w:tcBorders>
              <w:top w:val="nil"/>
              <w:left w:val="nil"/>
              <w:bottom w:val="nil"/>
              <w:right w:val="nil"/>
            </w:tcBorders>
            <w:shd w:val="clear" w:color="auto" w:fill="auto"/>
            <w:hideMark/>
          </w:tcPr>
          <w:p w14:paraId="35E13718" w14:textId="77777777" w:rsidR="00FB33C6" w:rsidRPr="00256982" w:rsidRDefault="00FB33C6" w:rsidP="00823616">
            <w:pPr>
              <w:pStyle w:val="TableText"/>
              <w:rPr>
                <w:lang w:eastAsia="en-NZ"/>
              </w:rPr>
            </w:pPr>
            <w:r w:rsidRPr="00256982">
              <w:rPr>
                <w:lang w:eastAsia="en-NZ"/>
              </w:rPr>
              <w:t>Fakaofo</w:t>
            </w:r>
          </w:p>
        </w:tc>
        <w:tc>
          <w:tcPr>
            <w:tcW w:w="2617" w:type="dxa"/>
            <w:tcBorders>
              <w:top w:val="nil"/>
              <w:left w:val="nil"/>
              <w:bottom w:val="nil"/>
              <w:right w:val="nil"/>
            </w:tcBorders>
            <w:shd w:val="clear" w:color="auto" w:fill="auto"/>
            <w:hideMark/>
          </w:tcPr>
          <w:p w14:paraId="1C0B6ADD" w14:textId="77777777" w:rsidR="00FB33C6" w:rsidRPr="00256982" w:rsidRDefault="00FB33C6" w:rsidP="00823616">
            <w:pPr>
              <w:pStyle w:val="TableText"/>
              <w:jc w:val="center"/>
              <w:rPr>
                <w:lang w:eastAsia="en-NZ"/>
              </w:rPr>
            </w:pPr>
            <w:r w:rsidRPr="00256982">
              <w:rPr>
                <w:lang w:eastAsia="en-NZ"/>
              </w:rPr>
              <w:t>85</w:t>
            </w:r>
          </w:p>
        </w:tc>
        <w:tc>
          <w:tcPr>
            <w:tcW w:w="2136" w:type="dxa"/>
            <w:tcBorders>
              <w:top w:val="nil"/>
              <w:left w:val="nil"/>
              <w:bottom w:val="nil"/>
              <w:right w:val="nil"/>
            </w:tcBorders>
            <w:shd w:val="clear" w:color="auto" w:fill="auto"/>
            <w:hideMark/>
          </w:tcPr>
          <w:p w14:paraId="7D0F5D46" w14:textId="77777777" w:rsidR="00FB33C6" w:rsidRPr="00256982" w:rsidRDefault="00FB33C6" w:rsidP="00823616">
            <w:pPr>
              <w:pStyle w:val="TableText"/>
              <w:jc w:val="center"/>
              <w:rPr>
                <w:lang w:eastAsia="en-NZ"/>
              </w:rPr>
            </w:pPr>
            <w:r w:rsidRPr="00256982">
              <w:rPr>
                <w:lang w:eastAsia="en-NZ"/>
              </w:rPr>
              <w:t>419</w:t>
            </w:r>
          </w:p>
        </w:tc>
        <w:tc>
          <w:tcPr>
            <w:tcW w:w="1789" w:type="dxa"/>
            <w:tcBorders>
              <w:top w:val="nil"/>
              <w:left w:val="nil"/>
              <w:bottom w:val="nil"/>
              <w:right w:val="nil"/>
            </w:tcBorders>
            <w:shd w:val="clear" w:color="auto" w:fill="auto"/>
            <w:hideMark/>
          </w:tcPr>
          <w:p w14:paraId="517A4116" w14:textId="77777777" w:rsidR="00FB33C6" w:rsidRPr="00256982" w:rsidRDefault="00FB33C6" w:rsidP="00823616">
            <w:pPr>
              <w:pStyle w:val="TableText"/>
              <w:jc w:val="center"/>
              <w:rPr>
                <w:lang w:eastAsia="en-NZ"/>
              </w:rPr>
            </w:pPr>
            <w:r w:rsidRPr="00256982">
              <w:rPr>
                <w:lang w:eastAsia="en-NZ"/>
              </w:rPr>
              <w:t>50</w:t>
            </w:r>
          </w:p>
        </w:tc>
      </w:tr>
      <w:tr w:rsidR="00FB33C6" w:rsidRPr="00256982" w14:paraId="78B8458A" w14:textId="77777777" w:rsidTr="00823616">
        <w:trPr>
          <w:trHeight w:val="141"/>
        </w:trPr>
        <w:tc>
          <w:tcPr>
            <w:tcW w:w="1963" w:type="dxa"/>
            <w:tcBorders>
              <w:top w:val="nil"/>
              <w:left w:val="nil"/>
              <w:bottom w:val="single" w:sz="4" w:space="0" w:color="365F91"/>
              <w:right w:val="nil"/>
            </w:tcBorders>
            <w:shd w:val="clear" w:color="auto" w:fill="auto"/>
            <w:hideMark/>
          </w:tcPr>
          <w:p w14:paraId="1181E009" w14:textId="77777777" w:rsidR="00FB33C6" w:rsidRPr="00256982" w:rsidRDefault="00FB33C6" w:rsidP="00823616">
            <w:pPr>
              <w:pStyle w:val="TableText"/>
              <w:rPr>
                <w:lang w:eastAsia="en-NZ"/>
              </w:rPr>
            </w:pPr>
            <w:r w:rsidRPr="00256982">
              <w:rPr>
                <w:lang w:eastAsia="en-NZ"/>
              </w:rPr>
              <w:t>Nukunonu</w:t>
            </w:r>
          </w:p>
        </w:tc>
        <w:tc>
          <w:tcPr>
            <w:tcW w:w="2617" w:type="dxa"/>
            <w:tcBorders>
              <w:top w:val="nil"/>
              <w:left w:val="nil"/>
              <w:bottom w:val="single" w:sz="4" w:space="0" w:color="365F91"/>
              <w:right w:val="nil"/>
            </w:tcBorders>
            <w:shd w:val="clear" w:color="auto" w:fill="auto"/>
            <w:hideMark/>
          </w:tcPr>
          <w:p w14:paraId="3E7C67A7" w14:textId="77777777" w:rsidR="00FB33C6" w:rsidRPr="00256982" w:rsidRDefault="00FB33C6" w:rsidP="00823616">
            <w:pPr>
              <w:pStyle w:val="TableText"/>
              <w:jc w:val="center"/>
              <w:rPr>
                <w:lang w:eastAsia="en-NZ"/>
              </w:rPr>
            </w:pPr>
            <w:r w:rsidRPr="00256982">
              <w:rPr>
                <w:lang w:eastAsia="en-NZ"/>
              </w:rPr>
              <w:t>83</w:t>
            </w:r>
          </w:p>
        </w:tc>
        <w:tc>
          <w:tcPr>
            <w:tcW w:w="2136" w:type="dxa"/>
            <w:tcBorders>
              <w:top w:val="nil"/>
              <w:left w:val="nil"/>
              <w:bottom w:val="single" w:sz="4" w:space="0" w:color="365F91"/>
              <w:right w:val="nil"/>
            </w:tcBorders>
            <w:shd w:val="clear" w:color="auto" w:fill="auto"/>
            <w:hideMark/>
          </w:tcPr>
          <w:p w14:paraId="45A135DA" w14:textId="77777777" w:rsidR="00FB33C6" w:rsidRPr="00256982" w:rsidRDefault="00FB33C6" w:rsidP="00823616">
            <w:pPr>
              <w:pStyle w:val="TableText"/>
              <w:jc w:val="center"/>
              <w:rPr>
                <w:lang w:eastAsia="en-NZ"/>
              </w:rPr>
            </w:pPr>
            <w:r w:rsidRPr="00256982">
              <w:rPr>
                <w:lang w:eastAsia="en-NZ"/>
              </w:rPr>
              <w:t>536</w:t>
            </w:r>
          </w:p>
        </w:tc>
        <w:tc>
          <w:tcPr>
            <w:tcW w:w="1789" w:type="dxa"/>
            <w:tcBorders>
              <w:top w:val="nil"/>
              <w:left w:val="nil"/>
              <w:bottom w:val="single" w:sz="4" w:space="0" w:color="365F91"/>
              <w:right w:val="nil"/>
            </w:tcBorders>
            <w:shd w:val="clear" w:color="auto" w:fill="auto"/>
            <w:hideMark/>
          </w:tcPr>
          <w:p w14:paraId="549BD146" w14:textId="77777777" w:rsidR="00FB33C6" w:rsidRPr="00256982" w:rsidRDefault="00FB33C6" w:rsidP="00823616">
            <w:pPr>
              <w:pStyle w:val="TableText"/>
              <w:jc w:val="center"/>
              <w:rPr>
                <w:lang w:eastAsia="en-NZ"/>
              </w:rPr>
            </w:pPr>
            <w:r w:rsidRPr="00256982">
              <w:rPr>
                <w:lang w:eastAsia="en-NZ"/>
              </w:rPr>
              <w:t>305</w:t>
            </w:r>
          </w:p>
        </w:tc>
      </w:tr>
      <w:tr w:rsidR="00FB33C6" w:rsidRPr="00256982" w14:paraId="3012967F" w14:textId="77777777" w:rsidTr="00823616">
        <w:trPr>
          <w:trHeight w:val="315"/>
        </w:trPr>
        <w:tc>
          <w:tcPr>
            <w:tcW w:w="1963" w:type="dxa"/>
            <w:tcBorders>
              <w:top w:val="single" w:sz="4" w:space="0" w:color="365F91"/>
              <w:left w:val="nil"/>
              <w:bottom w:val="single" w:sz="4" w:space="0" w:color="365F91"/>
              <w:right w:val="nil"/>
            </w:tcBorders>
            <w:shd w:val="clear" w:color="auto" w:fill="auto"/>
            <w:hideMark/>
          </w:tcPr>
          <w:p w14:paraId="5050BA8A" w14:textId="77777777" w:rsidR="00FB33C6" w:rsidRPr="00256982" w:rsidRDefault="00FB33C6" w:rsidP="00823616">
            <w:pPr>
              <w:pStyle w:val="TableText"/>
              <w:rPr>
                <w:lang w:eastAsia="en-NZ"/>
              </w:rPr>
            </w:pPr>
            <w:r w:rsidRPr="00256982">
              <w:rPr>
                <w:lang w:eastAsia="en-NZ"/>
              </w:rPr>
              <w:t>Tokelau</w:t>
            </w:r>
          </w:p>
        </w:tc>
        <w:tc>
          <w:tcPr>
            <w:tcW w:w="2617" w:type="dxa"/>
            <w:tcBorders>
              <w:top w:val="single" w:sz="4" w:space="0" w:color="365F91"/>
              <w:left w:val="nil"/>
              <w:bottom w:val="single" w:sz="4" w:space="0" w:color="365F91"/>
              <w:right w:val="nil"/>
            </w:tcBorders>
            <w:shd w:val="clear" w:color="auto" w:fill="auto"/>
            <w:hideMark/>
          </w:tcPr>
          <w:p w14:paraId="44112044" w14:textId="77777777" w:rsidR="00FB33C6" w:rsidRPr="00256982" w:rsidRDefault="00FB33C6" w:rsidP="00823616">
            <w:pPr>
              <w:pStyle w:val="TableText"/>
              <w:jc w:val="center"/>
              <w:rPr>
                <w:lang w:eastAsia="en-NZ"/>
              </w:rPr>
            </w:pPr>
            <w:r w:rsidRPr="00256982">
              <w:rPr>
                <w:lang w:eastAsia="en-NZ"/>
              </w:rPr>
              <w:t>256</w:t>
            </w:r>
          </w:p>
        </w:tc>
        <w:tc>
          <w:tcPr>
            <w:tcW w:w="2136" w:type="dxa"/>
            <w:tcBorders>
              <w:top w:val="single" w:sz="4" w:space="0" w:color="365F91"/>
              <w:left w:val="nil"/>
              <w:bottom w:val="single" w:sz="4" w:space="0" w:color="365F91"/>
              <w:right w:val="nil"/>
            </w:tcBorders>
            <w:shd w:val="clear" w:color="auto" w:fill="auto"/>
            <w:hideMark/>
          </w:tcPr>
          <w:p w14:paraId="600FAC44" w14:textId="77777777" w:rsidR="00FB33C6" w:rsidRPr="00256982" w:rsidRDefault="00FB33C6" w:rsidP="00823616">
            <w:pPr>
              <w:pStyle w:val="TableText"/>
              <w:jc w:val="center"/>
              <w:rPr>
                <w:lang w:eastAsia="en-NZ"/>
              </w:rPr>
            </w:pPr>
            <w:r w:rsidRPr="00256982">
              <w:rPr>
                <w:lang w:eastAsia="en-NZ"/>
              </w:rPr>
              <w:t>1,697</w:t>
            </w:r>
          </w:p>
        </w:tc>
        <w:tc>
          <w:tcPr>
            <w:tcW w:w="1789" w:type="dxa"/>
            <w:tcBorders>
              <w:top w:val="single" w:sz="4" w:space="0" w:color="365F91"/>
              <w:left w:val="nil"/>
              <w:bottom w:val="single" w:sz="4" w:space="0" w:color="365F91"/>
              <w:right w:val="nil"/>
            </w:tcBorders>
            <w:shd w:val="clear" w:color="auto" w:fill="auto"/>
            <w:hideMark/>
          </w:tcPr>
          <w:p w14:paraId="54508531" w14:textId="77777777" w:rsidR="00FB33C6" w:rsidRPr="00256982" w:rsidRDefault="00FB33C6" w:rsidP="00823616">
            <w:pPr>
              <w:pStyle w:val="TableText"/>
              <w:jc w:val="center"/>
              <w:rPr>
                <w:lang w:eastAsia="en-NZ"/>
              </w:rPr>
            </w:pPr>
            <w:r w:rsidRPr="00256982">
              <w:rPr>
                <w:lang w:eastAsia="en-NZ"/>
              </w:rPr>
              <w:t>625</w:t>
            </w:r>
          </w:p>
        </w:tc>
      </w:tr>
    </w:tbl>
    <w:p w14:paraId="54245CFA" w14:textId="77777777" w:rsidR="00FB33C6" w:rsidRPr="00256982" w:rsidRDefault="00FB33C6" w:rsidP="00FB33C6">
      <w:pPr>
        <w:pStyle w:val="BodyText"/>
        <w:spacing w:before="240"/>
        <w:rPr>
          <w:rFonts w:eastAsia="Calibri"/>
        </w:rPr>
      </w:pPr>
      <w:r w:rsidRPr="00256982">
        <w:rPr>
          <w:rFonts w:eastAsia="Calibri"/>
        </w:rPr>
        <w:t xml:space="preserve">Because the 2006 IPCC Guidelines do not provide a default emission factor for enteric fermentation for poultry, this category is reported as NE (not estimated) (paragraph 37(b), footnote 6 of the UNFCCC reporting guidelines) (UNFCCC, 2014). Therefore, only swine (pigs) are included under the </w:t>
      </w:r>
      <w:r w:rsidRPr="00256982">
        <w:rPr>
          <w:rFonts w:eastAsia="Calibri"/>
          <w:i/>
        </w:rPr>
        <w:t>Enteric fermentation</w:t>
      </w:r>
      <w:r w:rsidRPr="00256982">
        <w:rPr>
          <w:rFonts w:eastAsia="Calibri"/>
        </w:rPr>
        <w:t xml:space="preserve"> (3.A.3) category.</w:t>
      </w:r>
    </w:p>
    <w:p w14:paraId="120FD0AB" w14:textId="77777777" w:rsidR="00FB33C6" w:rsidRPr="00256982" w:rsidRDefault="00FB33C6" w:rsidP="00FB33C6">
      <w:pPr>
        <w:pStyle w:val="Heading4"/>
      </w:pPr>
      <w:r w:rsidRPr="00256982">
        <w:t>Methodological issues</w:t>
      </w:r>
    </w:p>
    <w:p w14:paraId="03C4EE8A" w14:textId="77777777" w:rsidR="00FB33C6" w:rsidRPr="00256982" w:rsidRDefault="00FB33C6" w:rsidP="00FB33C6">
      <w:pPr>
        <w:pStyle w:val="Heading5"/>
      </w:pPr>
      <w:r w:rsidRPr="00256982">
        <w:t>Activity data</w:t>
      </w:r>
    </w:p>
    <w:p w14:paraId="34FFE360" w14:textId="77777777" w:rsidR="00FB33C6" w:rsidRPr="00256982" w:rsidRDefault="00FB33C6" w:rsidP="00FB33C6">
      <w:pPr>
        <w:pStyle w:val="BodyText"/>
      </w:pPr>
      <w:r w:rsidRPr="00256982">
        <w:t>Animal population figures were obtained from the Tokelau Census data (see table 8.1.2). The animal population between the census years has been interpolated using linear regression to obtain the average animal population (AAP) per year.</w:t>
      </w:r>
    </w:p>
    <w:p w14:paraId="57C2990A" w14:textId="77777777" w:rsidR="00FB33C6" w:rsidRPr="00256982" w:rsidRDefault="00FB33C6" w:rsidP="00FB33C6">
      <w:pPr>
        <w:pStyle w:val="BodyText"/>
      </w:pPr>
      <w:r w:rsidRPr="00256982">
        <w:t xml:space="preserve">An average pig weight of 80 kilograms is used. </w:t>
      </w:r>
    </w:p>
    <w:p w14:paraId="5F75F331" w14:textId="77777777" w:rsidR="00FB33C6" w:rsidRPr="00256982" w:rsidRDefault="00FB33C6" w:rsidP="00FB33C6">
      <w:pPr>
        <w:pStyle w:val="Heading5"/>
      </w:pPr>
      <w:r w:rsidRPr="00256982">
        <w:t>Methods and emission factors</w:t>
      </w:r>
    </w:p>
    <w:p w14:paraId="4AFF817B" w14:textId="74B486B6" w:rsidR="00FB33C6" w:rsidRPr="00256982" w:rsidRDefault="00FB33C6" w:rsidP="00FB33C6">
      <w:pPr>
        <w:pStyle w:val="BodyText"/>
      </w:pPr>
      <w:r w:rsidRPr="00256982">
        <w:t>Tier 1 methodology with a default emission factor of 1.5 kg CH</w:t>
      </w:r>
      <w:r w:rsidRPr="00256982">
        <w:rPr>
          <w:vertAlign w:val="subscript"/>
        </w:rPr>
        <w:t>4</w:t>
      </w:r>
      <w:r w:rsidRPr="00256982">
        <w:t>/head/year from table 10.10, volume 4 of the 2006 IPCC Guidelines was used for calculating emissions from this category (IPCC, 2006c). Tokelau’s allocation by climate zone is 100 per cent to a warm climate.</w:t>
      </w:r>
    </w:p>
    <w:p w14:paraId="47172DFD" w14:textId="77777777" w:rsidR="00FB33C6" w:rsidRPr="00256982" w:rsidRDefault="00FB33C6" w:rsidP="00FB33C6">
      <w:pPr>
        <w:pStyle w:val="BodyText"/>
      </w:pPr>
      <w:r w:rsidRPr="00256982">
        <w:t>The following equation was used for calculating emissions from swine (pigs).</w:t>
      </w:r>
    </w:p>
    <w:p w14:paraId="5F4C28BC" w14:textId="77777777" w:rsidR="00FB33C6" w:rsidRPr="00256982" w:rsidRDefault="00FB33C6" w:rsidP="00FB33C6">
      <w:pPr>
        <w:pStyle w:val="BodyText"/>
        <w:jc w:val="center"/>
        <w:rPr>
          <w:sz w:val="20"/>
        </w:rPr>
      </w:pPr>
      <w:r w:rsidRPr="00256982">
        <w:rPr>
          <w:sz w:val="20"/>
        </w:rPr>
        <w:t>Emissions (kt CH</w:t>
      </w:r>
      <w:r w:rsidRPr="00256982">
        <w:rPr>
          <w:sz w:val="20"/>
          <w:vertAlign w:val="subscript"/>
        </w:rPr>
        <w:t>4</w:t>
      </w:r>
      <w:r w:rsidRPr="00256982">
        <w:rPr>
          <w:sz w:val="20"/>
        </w:rPr>
        <w:t>) = AAP (Swine)*1.5 [kg CH</w:t>
      </w:r>
      <w:r w:rsidRPr="00256982">
        <w:rPr>
          <w:sz w:val="20"/>
          <w:vertAlign w:val="subscript"/>
        </w:rPr>
        <w:t>4</w:t>
      </w:r>
      <w:r w:rsidRPr="00256982">
        <w:rPr>
          <w:sz w:val="20"/>
        </w:rPr>
        <w:t xml:space="preserve"> head</w:t>
      </w:r>
      <w:r w:rsidRPr="00256982">
        <w:rPr>
          <w:sz w:val="20"/>
          <w:vertAlign w:val="superscript"/>
        </w:rPr>
        <w:t>-1</w:t>
      </w:r>
      <w:r w:rsidRPr="00256982">
        <w:rPr>
          <w:sz w:val="20"/>
        </w:rPr>
        <w:t>year</w:t>
      </w:r>
      <w:r w:rsidRPr="00256982">
        <w:rPr>
          <w:sz w:val="20"/>
          <w:vertAlign w:val="superscript"/>
        </w:rPr>
        <w:t>-1</w:t>
      </w:r>
      <w:r w:rsidRPr="00256982">
        <w:rPr>
          <w:sz w:val="20"/>
        </w:rPr>
        <w:t>]/10</w:t>
      </w:r>
      <w:r w:rsidRPr="00256982">
        <w:rPr>
          <w:sz w:val="20"/>
          <w:vertAlign w:val="superscript"/>
        </w:rPr>
        <w:t>6</w:t>
      </w:r>
      <w:r w:rsidRPr="00256982">
        <w:rPr>
          <w:sz w:val="20"/>
        </w:rPr>
        <w:t>[kg/kt]</w:t>
      </w:r>
    </w:p>
    <w:p w14:paraId="07C3AEBC" w14:textId="77777777" w:rsidR="00FB33C6" w:rsidRPr="00256982" w:rsidRDefault="00FB33C6" w:rsidP="00FB33C6">
      <w:pPr>
        <w:pStyle w:val="Heading4"/>
      </w:pPr>
      <w:r w:rsidRPr="00256982">
        <w:t>Uncertainty</w:t>
      </w:r>
    </w:p>
    <w:p w14:paraId="79130E20" w14:textId="77777777" w:rsidR="00FB33C6" w:rsidRPr="00256982" w:rsidRDefault="00FB33C6" w:rsidP="00FB33C6">
      <w:pPr>
        <w:pStyle w:val="BodyText"/>
      </w:pPr>
      <w:r w:rsidRPr="00256982">
        <w:t xml:space="preserve">Section 10.2.3 (volume 4) of the 2006 IPCC Guidelines states that the uncertainty associated with animal populations will vary widely depending on the source, but should be known within </w:t>
      </w:r>
      <w:r w:rsidRPr="00256982">
        <w:rPr>
          <w:u w:val="single"/>
        </w:rPr>
        <w:t>+</w:t>
      </w:r>
      <w:r w:rsidRPr="00256982">
        <w:t xml:space="preserve">20 per cent (IPCC, 2006c). The default emission factor uncertainty is </w:t>
      </w:r>
      <w:r w:rsidRPr="00256982">
        <w:rPr>
          <w:u w:val="single"/>
        </w:rPr>
        <w:t>+</w:t>
      </w:r>
      <w:r w:rsidRPr="00256982">
        <w:t xml:space="preserve">30 per cent to 50 per cent (default mid-range is </w:t>
      </w:r>
      <w:r w:rsidRPr="00256982">
        <w:rPr>
          <w:u w:val="single"/>
        </w:rPr>
        <w:t>+</w:t>
      </w:r>
      <w:r w:rsidRPr="00256982">
        <w:t xml:space="preserve">40 per cent). </w:t>
      </w:r>
    </w:p>
    <w:p w14:paraId="6B11EBCA" w14:textId="77777777" w:rsidR="00FB33C6" w:rsidRPr="00256982" w:rsidRDefault="00FB33C6" w:rsidP="00FB33C6">
      <w:pPr>
        <w:pStyle w:val="BodyText"/>
      </w:pPr>
      <w:r w:rsidRPr="00256982">
        <w:t xml:space="preserve">For this category, the default uncertainty value of </w:t>
      </w:r>
      <w:r w:rsidRPr="00256982">
        <w:rPr>
          <w:u w:val="single"/>
        </w:rPr>
        <w:t>+</w:t>
      </w:r>
      <w:r w:rsidRPr="00256982">
        <w:t xml:space="preserve">20 per cent for activity data and an upper range default emission factor uncertainty of </w:t>
      </w:r>
      <w:r w:rsidRPr="00256982">
        <w:rPr>
          <w:u w:val="single"/>
        </w:rPr>
        <w:t>+</w:t>
      </w:r>
      <w:r w:rsidRPr="00256982">
        <w:t>50 per cent were used.</w:t>
      </w:r>
    </w:p>
    <w:p w14:paraId="298FA27D" w14:textId="77777777" w:rsidR="00FB33C6" w:rsidRPr="00256982" w:rsidRDefault="00FB33C6" w:rsidP="00FB33C6">
      <w:pPr>
        <w:pStyle w:val="Heading3"/>
      </w:pPr>
      <w:r w:rsidRPr="00256982">
        <w:t xml:space="preserve">8.4.2 </w:t>
      </w:r>
      <w:r w:rsidRPr="00256982">
        <w:tab/>
        <w:t>Emissions from Manure management in Tokelau</w:t>
      </w:r>
    </w:p>
    <w:p w14:paraId="065963DD" w14:textId="77777777" w:rsidR="00FB33C6" w:rsidRPr="00256982" w:rsidRDefault="00FB33C6" w:rsidP="00FB33C6">
      <w:pPr>
        <w:pStyle w:val="BodyText"/>
      </w:pPr>
      <w:r w:rsidRPr="00256982">
        <w:t xml:space="preserve">The 2006 IPCC Guidelines provide default emission factors for </w:t>
      </w:r>
      <w:r w:rsidRPr="00256982">
        <w:rPr>
          <w:i/>
        </w:rPr>
        <w:t>Manure management</w:t>
      </w:r>
      <w:r w:rsidRPr="00256982">
        <w:t xml:space="preserve"> (3.B.1) for both swine and poultry, therefore, both animal types are included in reporting from this category (IPCC, 2006c).</w:t>
      </w:r>
    </w:p>
    <w:p w14:paraId="2E58CF95" w14:textId="77777777" w:rsidR="00FB33C6" w:rsidRPr="00256982" w:rsidRDefault="00FB33C6" w:rsidP="00FB33C6">
      <w:pPr>
        <w:pStyle w:val="Heading4"/>
      </w:pPr>
      <w:r w:rsidRPr="00256982">
        <w:t>Methodological issues</w:t>
      </w:r>
    </w:p>
    <w:p w14:paraId="202046BF" w14:textId="77777777" w:rsidR="00FB33C6" w:rsidRPr="00256982" w:rsidRDefault="00FB33C6" w:rsidP="00FB33C6">
      <w:pPr>
        <w:pStyle w:val="Heading5"/>
      </w:pPr>
      <w:r w:rsidRPr="00256982">
        <w:t>Activity data</w:t>
      </w:r>
    </w:p>
    <w:p w14:paraId="1146C908" w14:textId="77777777" w:rsidR="00FB33C6" w:rsidRPr="00256982" w:rsidRDefault="00FB33C6" w:rsidP="00FB33C6">
      <w:pPr>
        <w:pStyle w:val="BodyText"/>
      </w:pPr>
      <w:r w:rsidRPr="00256982">
        <w:t xml:space="preserve">The activity data entries are exactly the same for both </w:t>
      </w:r>
      <w:r w:rsidRPr="00256982">
        <w:rPr>
          <w:i/>
        </w:rPr>
        <w:t>Enteric fermentation</w:t>
      </w:r>
      <w:r w:rsidRPr="00256982">
        <w:t xml:space="preserve"> and </w:t>
      </w:r>
      <w:r w:rsidRPr="00256982">
        <w:rPr>
          <w:i/>
        </w:rPr>
        <w:t>Manure management</w:t>
      </w:r>
      <w:r w:rsidRPr="00256982">
        <w:t xml:space="preserve"> (see section 8.4.1).</w:t>
      </w:r>
    </w:p>
    <w:p w14:paraId="639B01DC" w14:textId="77777777" w:rsidR="00FB33C6" w:rsidRPr="00256982" w:rsidRDefault="00FB33C6" w:rsidP="00FB33C6">
      <w:pPr>
        <w:pStyle w:val="BodyText"/>
      </w:pPr>
      <w:r w:rsidRPr="00256982">
        <w:t>The assumption is that all poultry is dry layers.</w:t>
      </w:r>
    </w:p>
    <w:p w14:paraId="4CA3397A" w14:textId="77777777" w:rsidR="00FB33C6" w:rsidRPr="00256982" w:rsidRDefault="00FB33C6" w:rsidP="00FB33C6">
      <w:pPr>
        <w:pStyle w:val="Heading5"/>
      </w:pPr>
      <w:r w:rsidRPr="00256982">
        <w:t>Methods and emission factors</w:t>
      </w:r>
    </w:p>
    <w:p w14:paraId="2CE0CE05" w14:textId="77777777" w:rsidR="00FB33C6" w:rsidRPr="00256982" w:rsidRDefault="00FB33C6" w:rsidP="00FB33C6">
      <w:pPr>
        <w:pStyle w:val="BodyText"/>
      </w:pPr>
      <w:r w:rsidRPr="00256982">
        <w:t xml:space="preserve">A Tier 1 methodology with default emission factors provided in table 10.15, volume 4 of the 2006 IPCC Guidelines were used for estimating emissions from the </w:t>
      </w:r>
      <w:r w:rsidRPr="00256982">
        <w:rPr>
          <w:i/>
        </w:rPr>
        <w:t>Manure management</w:t>
      </w:r>
      <w:r w:rsidRPr="00256982">
        <w:t xml:space="preserve"> category. The Tier 1 method is based on animal population data and does not require distinguishing between different manure management systems. Equation 10.22 from volume 4 of the 2006 IPCC Guidelines was applied in conjunction with the default emission factors from table 10.14, volume 4 of 2006 IPCC Guidelines for Oceania/warm climate. These are 18.5 kg CH</w:t>
      </w:r>
      <w:r w:rsidRPr="00256982">
        <w:rPr>
          <w:vertAlign w:val="subscript"/>
        </w:rPr>
        <w:t>4</w:t>
      </w:r>
      <w:r w:rsidRPr="00256982">
        <w:t>/head/year for swine and 0.03 kg CH</w:t>
      </w:r>
      <w:r w:rsidRPr="00256982">
        <w:rPr>
          <w:vertAlign w:val="subscript"/>
        </w:rPr>
        <w:t>4</w:t>
      </w:r>
      <w:r w:rsidRPr="00256982">
        <w:t>/head/year for poultry (IPCC, 2006c).</w:t>
      </w:r>
    </w:p>
    <w:p w14:paraId="474C6158" w14:textId="77777777" w:rsidR="00FB33C6" w:rsidRPr="00256982" w:rsidRDefault="00FB33C6" w:rsidP="00FB33C6">
      <w:pPr>
        <w:pStyle w:val="Heading4"/>
      </w:pPr>
      <w:r w:rsidRPr="00256982">
        <w:t>Uncertainty</w:t>
      </w:r>
    </w:p>
    <w:p w14:paraId="583F4A67" w14:textId="21C65F63" w:rsidR="00FB33C6" w:rsidRPr="00256982" w:rsidRDefault="00FB33C6" w:rsidP="00FB33C6">
      <w:pPr>
        <w:pStyle w:val="BodyText"/>
      </w:pPr>
      <w:r w:rsidRPr="00256982">
        <w:t xml:space="preserve">Default uncertainty values for activity data and emission factors were used for this category. Section 10.2.3 in volume 4 of the 2006 IPCC Guidelines states that the uncertainty associated with populations will vary widely depending on the source, but should be known within </w:t>
      </w:r>
      <w:r w:rsidRPr="00256982">
        <w:rPr>
          <w:u w:val="single"/>
          <w:vertAlign w:val="superscript"/>
        </w:rPr>
        <w:t>+</w:t>
      </w:r>
      <w:r w:rsidRPr="00256982">
        <w:t>20</w:t>
      </w:r>
      <w:r w:rsidR="007E7739" w:rsidRPr="00256982">
        <w:t> </w:t>
      </w:r>
      <w:r w:rsidRPr="00256982">
        <w:t>per</w:t>
      </w:r>
      <w:r w:rsidR="007E7739" w:rsidRPr="00256982">
        <w:t> </w:t>
      </w:r>
      <w:r w:rsidRPr="00256982">
        <w:t xml:space="preserve">cent (IPCC, 2006c). The default emissions factor uncertainty for </w:t>
      </w:r>
      <w:r w:rsidRPr="00256982">
        <w:rPr>
          <w:i/>
        </w:rPr>
        <w:t>Manure management</w:t>
      </w:r>
      <w:r w:rsidRPr="00256982">
        <w:t xml:space="preserve"> is </w:t>
      </w:r>
      <w:r w:rsidRPr="00256982">
        <w:rPr>
          <w:u w:val="single"/>
          <w:vertAlign w:val="superscript"/>
        </w:rPr>
        <w:t>+</w:t>
      </w:r>
      <w:r w:rsidRPr="00256982">
        <w:t>30</w:t>
      </w:r>
      <w:r w:rsidR="007E7739" w:rsidRPr="00256982">
        <w:t> </w:t>
      </w:r>
      <w:r w:rsidRPr="00256982">
        <w:t>per cent.</w:t>
      </w:r>
    </w:p>
    <w:p w14:paraId="0F163EAB" w14:textId="77777777" w:rsidR="00FB33C6" w:rsidRPr="00256982" w:rsidRDefault="00FB33C6" w:rsidP="00FB33C6">
      <w:pPr>
        <w:pStyle w:val="Heading2"/>
      </w:pPr>
      <w:bookmarkStart w:id="2470" w:name="_Toc5269397"/>
      <w:r w:rsidRPr="00256982">
        <w:t xml:space="preserve">8.5 </w:t>
      </w:r>
      <w:r w:rsidRPr="00256982">
        <w:tab/>
        <w:t>Emissions from the Waste sector in Tokelau (CRF 6 Tokelau_5)</w:t>
      </w:r>
      <w:bookmarkEnd w:id="2470"/>
    </w:p>
    <w:p w14:paraId="636ED327" w14:textId="77777777" w:rsidR="00FB33C6" w:rsidRPr="00256982" w:rsidRDefault="00FB33C6" w:rsidP="00FB33C6">
      <w:pPr>
        <w:pStyle w:val="BodyText"/>
      </w:pPr>
      <w:r w:rsidRPr="00256982">
        <w:t>The total amount of all Waste sector emissions in Tokelau in 2017 was 0.65 kt CO</w:t>
      </w:r>
      <w:r w:rsidRPr="00256982">
        <w:rPr>
          <w:vertAlign w:val="subscript"/>
        </w:rPr>
        <w:t>2</w:t>
      </w:r>
      <w:r w:rsidRPr="00256982">
        <w:t xml:space="preserve">-e, making the Waste sector the second biggest emitter in Tokelau. The Waste sector contributed 22.8 per cent to the total emissions from Tokelau and 0.0008 per cent to New Zealand’s gross emissions including Tokelau. The biggest contributor to the emissions from the Waste sector in Tokelau was the </w:t>
      </w:r>
      <w:r w:rsidRPr="00256982">
        <w:rPr>
          <w:i/>
        </w:rPr>
        <w:t>Solid waste disposal</w:t>
      </w:r>
      <w:r w:rsidRPr="00256982">
        <w:t xml:space="preserve"> category, followed by </w:t>
      </w:r>
      <w:r w:rsidRPr="00256982">
        <w:rPr>
          <w:i/>
        </w:rPr>
        <w:t xml:space="preserve">Wastewater treatment and discharge </w:t>
      </w:r>
      <w:r w:rsidRPr="00256982">
        <w:t>and</w:t>
      </w:r>
      <w:r w:rsidRPr="00256982">
        <w:rPr>
          <w:i/>
        </w:rPr>
        <w:t xml:space="preserve"> Incineration and Open Burning of Waste</w:t>
      </w:r>
      <w:r w:rsidRPr="00256982">
        <w:t xml:space="preserve">, which contributed 53.7 per cent, 21.7 per cent and 24.5 per cent, respectively, to the total emissions from the Waste sector in Tokelau. </w:t>
      </w:r>
    </w:p>
    <w:p w14:paraId="2DA75F61" w14:textId="77777777" w:rsidR="00FB33C6" w:rsidRPr="00256982" w:rsidRDefault="00FB33C6" w:rsidP="00FB33C6">
      <w:pPr>
        <w:pStyle w:val="BodyText"/>
      </w:pPr>
      <w:r w:rsidRPr="00256982">
        <w:t>The raw data related to the Waste sector were obtained from multiple sources (see items 1 to 5, 11 and 13 to 16 in table 8.1.2). The data were compiled, analysed and processed by the Tokelau National Statistics Office to produce activity data. The human population data are used as a driver for estimates in all of the Waste categories.</w:t>
      </w:r>
    </w:p>
    <w:p w14:paraId="0902C869" w14:textId="77777777" w:rsidR="00FB33C6" w:rsidRPr="00256982" w:rsidRDefault="00FB33C6" w:rsidP="00FB33C6">
      <w:pPr>
        <w:pStyle w:val="BodyText"/>
      </w:pPr>
      <w:r w:rsidRPr="00256982">
        <w:t xml:space="preserve">Emissions from all categories reported in the Waste sector for Tokelau were estimated using a Tier 1 methodological approach (IPCC, 2006d). </w:t>
      </w:r>
    </w:p>
    <w:p w14:paraId="4ACF1226" w14:textId="77777777" w:rsidR="00FB33C6" w:rsidRPr="00256982" w:rsidRDefault="00FB33C6" w:rsidP="00FB33C6">
      <w:pPr>
        <w:pStyle w:val="Heading4"/>
      </w:pPr>
      <w:r w:rsidRPr="00256982">
        <w:t>Planned improvements</w:t>
      </w:r>
    </w:p>
    <w:p w14:paraId="04F829E1" w14:textId="77777777" w:rsidR="00FB33C6" w:rsidRPr="00256982" w:rsidRDefault="00FB33C6" w:rsidP="00FB33C6">
      <w:pPr>
        <w:pStyle w:val="BodyText"/>
      </w:pPr>
      <w:r w:rsidRPr="00256982">
        <w:t xml:space="preserve">Improvements in the Waste sector will focus on ongoing data refinement as far as resources allow. One such refinement is to correct the original, now outdated, assumption about the ratio of septic tank–sea discharge for the </w:t>
      </w:r>
      <w:r w:rsidRPr="00256982">
        <w:rPr>
          <w:i/>
        </w:rPr>
        <w:t>Domestic wastewater</w:t>
      </w:r>
      <w:r w:rsidRPr="00256982">
        <w:t xml:space="preserve"> category. </w:t>
      </w:r>
    </w:p>
    <w:p w14:paraId="3F6B49B2" w14:textId="77777777" w:rsidR="00FB33C6" w:rsidRPr="00256982" w:rsidRDefault="00FB33C6" w:rsidP="00FB33C6">
      <w:pPr>
        <w:pStyle w:val="Heading3"/>
      </w:pPr>
      <w:r w:rsidRPr="00256982">
        <w:t xml:space="preserve">8.5.1 </w:t>
      </w:r>
      <w:r w:rsidRPr="00256982">
        <w:tab/>
        <w:t>Emissions from Solid waste disposal in Tokelau</w:t>
      </w:r>
    </w:p>
    <w:p w14:paraId="11F70AE8" w14:textId="77777777" w:rsidR="00FB33C6" w:rsidRPr="00256982" w:rsidRDefault="00FB33C6" w:rsidP="00FB33C6">
      <w:pPr>
        <w:pStyle w:val="BodyText"/>
      </w:pPr>
      <w:r w:rsidRPr="00256982">
        <w:rPr>
          <w:spacing w:val="-2"/>
        </w:rPr>
        <w:t>According to the 2016 Tokelau Census, most household rubbish is collected by village workers. Figure 8.5.1 shows Fakaofo had the highest proportion of households where all rubbish was collected (72.9 per cent). Of all private occupied dwellings, 98.8 per cent had at least some of their household rubbish collected. Most of the collected rubbish is either burned on the reef or buried in centralised areas of the islands. Exceptions are the organic waste, which is fed daily to pigs, large beer bottles that are exported for recycling to Apia (Samoa) and metal waste that is collected and sold as scrap in Apia under a memorandum of understanding with a Samoan company</w:t>
      </w:r>
      <w:r w:rsidRPr="00256982">
        <w:t>.</w:t>
      </w:r>
      <w:r w:rsidRPr="00256982">
        <w:rPr>
          <w:rStyle w:val="FootnoteReference"/>
        </w:rPr>
        <w:footnoteReference w:id="63"/>
      </w:r>
      <w:r w:rsidRPr="00256982">
        <w:t xml:space="preserve"> </w:t>
      </w:r>
    </w:p>
    <w:p w14:paraId="4D6A2692" w14:textId="77777777" w:rsidR="00FB33C6" w:rsidRPr="00256982" w:rsidRDefault="00FB33C6" w:rsidP="00FB33C6">
      <w:pPr>
        <w:pStyle w:val="Figure"/>
      </w:pPr>
      <w:bookmarkStart w:id="2471" w:name="_Toc5269727"/>
      <w:r w:rsidRPr="00256982">
        <w:t xml:space="preserve">Figure 8.5.1 </w:t>
      </w:r>
      <w:r w:rsidRPr="00256982">
        <w:tab/>
        <w:t>Household rubbish collected by village workers, by atoll (2016)</w:t>
      </w:r>
      <w:bookmarkEnd w:id="2471"/>
    </w:p>
    <w:p w14:paraId="7C568308" w14:textId="77777777" w:rsidR="00FB33C6" w:rsidRPr="00256982" w:rsidRDefault="00590491" w:rsidP="00FB33C6">
      <w:pPr>
        <w:pStyle w:val="BodyText"/>
      </w:pPr>
      <w:r>
        <w:rPr>
          <w:lang w:eastAsia="en-NZ"/>
        </w:rPr>
        <w:pict w14:anchorId="730F62B0">
          <v:shape id="Chart 4" o:spid="_x0000_i1163" type="#_x0000_t75" style="width:5in;height:166.5pt;visibility:visible" o:gfxdata="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">
            <v:imagedata r:id="rId246" o:title=""/>
            <o:lock v:ext="edit" aspectratio="f"/>
          </v:shape>
        </w:pict>
      </w:r>
    </w:p>
    <w:p w14:paraId="1DEDBB80" w14:textId="77777777" w:rsidR="00FB33C6" w:rsidRPr="00256982" w:rsidRDefault="00FB33C6" w:rsidP="00FB33C6">
      <w:pPr>
        <w:pStyle w:val="BodyText"/>
      </w:pPr>
      <w:r w:rsidRPr="00256982">
        <w:t>Where village workers do not collect household rubbish, households use alternative methods for disposal. The most common methods are burning, burial and disposing of in the garden. There are no dedicated categorised landfills in Tokelau, therefore, solid waste disposal is reported for uncategorised landfills only.</w:t>
      </w:r>
    </w:p>
    <w:p w14:paraId="443EDF10" w14:textId="77777777" w:rsidR="00FB33C6" w:rsidRPr="00256982" w:rsidRDefault="00FB33C6" w:rsidP="00FB33C6">
      <w:pPr>
        <w:pStyle w:val="BodyText"/>
      </w:pPr>
      <w:r w:rsidRPr="00256982">
        <w:t xml:space="preserve">The </w:t>
      </w:r>
      <w:r w:rsidRPr="00256982">
        <w:rPr>
          <w:i/>
        </w:rPr>
        <w:t xml:space="preserve">Solid waste disposal </w:t>
      </w:r>
      <w:r w:rsidRPr="00256982">
        <w:t>category contributes 53.8 per cent to the total Waste emissions in Tokelau, which amounts to 0.35 kt CO</w:t>
      </w:r>
      <w:r w:rsidRPr="00256982">
        <w:rPr>
          <w:vertAlign w:val="subscript"/>
        </w:rPr>
        <w:t>2</w:t>
      </w:r>
      <w:r w:rsidRPr="00256982">
        <w:t>-e.</w:t>
      </w:r>
    </w:p>
    <w:p w14:paraId="3B00402E" w14:textId="77777777" w:rsidR="00FB33C6" w:rsidRPr="00256982" w:rsidRDefault="00FB33C6" w:rsidP="00FB33C6">
      <w:pPr>
        <w:pStyle w:val="Heading4"/>
      </w:pPr>
      <w:r w:rsidRPr="00256982">
        <w:t>Methodological issues</w:t>
      </w:r>
    </w:p>
    <w:p w14:paraId="13AAF69C" w14:textId="77777777" w:rsidR="00FB33C6" w:rsidRPr="00256982" w:rsidRDefault="00FB33C6" w:rsidP="00FB33C6">
      <w:pPr>
        <w:pStyle w:val="Heading5"/>
      </w:pPr>
      <w:r w:rsidRPr="00256982">
        <w:t>Activity data</w:t>
      </w:r>
    </w:p>
    <w:p w14:paraId="20C3869B" w14:textId="77777777" w:rsidR="00FB33C6" w:rsidRPr="00256982" w:rsidRDefault="00FB33C6" w:rsidP="00FB33C6">
      <w:pPr>
        <w:pStyle w:val="Bullet"/>
        <w:spacing w:before="120"/>
      </w:pPr>
      <w:r w:rsidRPr="00256982">
        <w:t>The total amount of solid waste is based on the 2006 IPCC default 690 kg/person/year for Oceania (IPCC, 2006d). This is likely to be an overestimate, however, a country-specific value is not available.</w:t>
      </w:r>
    </w:p>
    <w:p w14:paraId="080FAA2D" w14:textId="77777777" w:rsidR="00FB33C6" w:rsidRPr="00256982" w:rsidRDefault="00FB33C6" w:rsidP="00FB33C6">
      <w:pPr>
        <w:pStyle w:val="Bullet"/>
      </w:pPr>
      <w:r w:rsidRPr="00256982">
        <w:t>Solid waste is assumed to be half buried and the other half burned. As above, this does not account for exported solid waste or organic waste fed to pigs and will be an overestimate.</w:t>
      </w:r>
    </w:p>
    <w:p w14:paraId="5C0026DC" w14:textId="77777777" w:rsidR="00FB33C6" w:rsidRPr="00256982" w:rsidRDefault="00FB33C6" w:rsidP="00FB33C6">
      <w:pPr>
        <w:pStyle w:val="Bullet"/>
      </w:pPr>
      <w:r w:rsidRPr="00256982">
        <w:t>The composition of solid waste for the landfill calculations is based on the 2006 IPCC default (67.5 per cent food, 6 per cent paper/cardboard, 2.5 per cent wood, and the remaining 24 per cent is ‘inert’) (IPCC, 2006d). This does not take into account the food waste that is fed to animals or used for composting and gardens, nor data on waste composition, such as disposable nappies, and will likely be an overestimate overall.</w:t>
      </w:r>
    </w:p>
    <w:p w14:paraId="0CDFADB3" w14:textId="77777777" w:rsidR="00FB33C6" w:rsidRPr="00256982" w:rsidRDefault="00FB33C6" w:rsidP="00FB33C6">
      <w:pPr>
        <w:pStyle w:val="Heading5"/>
      </w:pPr>
      <w:r w:rsidRPr="00256982">
        <w:t>Methods and emission factors</w:t>
      </w:r>
    </w:p>
    <w:p w14:paraId="7C177574" w14:textId="77777777" w:rsidR="00FB33C6" w:rsidRPr="00256982" w:rsidRDefault="00FB33C6" w:rsidP="00FB33C6">
      <w:pPr>
        <w:pStyle w:val="BodyText"/>
      </w:pPr>
      <w:r w:rsidRPr="00256982">
        <w:t>A Tier 1 methodology has been applied to estimate emissions from this category. The Tier 1 approach is to use all default values. It is assumed that 50 per cent of waste is buried (landfilled) and the other 50 per cent is burned. Any amounts of waste shipped offshore are additional and are not counted. Table 8.5.1 sums up the information about parameters used for calculating emissions from this category.</w:t>
      </w:r>
    </w:p>
    <w:p w14:paraId="2B01E3A5" w14:textId="77777777" w:rsidR="00FB33C6" w:rsidRPr="00256982" w:rsidRDefault="00FB33C6" w:rsidP="00FB33C6">
      <w:pPr>
        <w:pStyle w:val="Table"/>
        <w:rPr>
          <w:rFonts w:eastAsia="Calibri"/>
        </w:rPr>
      </w:pPr>
      <w:bookmarkStart w:id="2472" w:name="_Toc5269602"/>
      <w:r w:rsidRPr="00256982">
        <w:rPr>
          <w:rFonts w:eastAsia="Calibri"/>
        </w:rPr>
        <w:t>Table 8.5.1</w:t>
      </w:r>
      <w:r w:rsidRPr="00256982">
        <w:rPr>
          <w:rFonts w:eastAsia="Calibri"/>
        </w:rPr>
        <w:tab/>
        <w:t>Summary of parameters for uncategorised landfills in Tokelau</w:t>
      </w:r>
      <w:bookmarkEnd w:id="2472"/>
    </w:p>
    <w:tbl>
      <w:tblPr>
        <w:tblW w:w="8505" w:type="dxa"/>
        <w:tblInd w:w="108" w:type="dxa"/>
        <w:tblLook w:val="04A0" w:firstRow="1" w:lastRow="0" w:firstColumn="1" w:lastColumn="0" w:noHBand="0" w:noVBand="1"/>
      </w:tblPr>
      <w:tblGrid>
        <w:gridCol w:w="3222"/>
        <w:gridCol w:w="1357"/>
        <w:gridCol w:w="1507"/>
        <w:gridCol w:w="2419"/>
      </w:tblGrid>
      <w:tr w:rsidR="00FB33C6" w:rsidRPr="00256982" w14:paraId="1A8C68C5" w14:textId="77777777" w:rsidTr="00823616">
        <w:trPr>
          <w:tblHeader/>
        </w:trPr>
        <w:tc>
          <w:tcPr>
            <w:tcW w:w="3222" w:type="dxa"/>
            <w:tcBorders>
              <w:top w:val="single" w:sz="4" w:space="0" w:color="365F91"/>
              <w:bottom w:val="single" w:sz="4" w:space="0" w:color="365F91"/>
            </w:tcBorders>
            <w:shd w:val="clear" w:color="auto" w:fill="365F91"/>
          </w:tcPr>
          <w:p w14:paraId="0286F834" w14:textId="77777777" w:rsidR="00FB33C6" w:rsidRPr="00256982" w:rsidRDefault="00FB33C6" w:rsidP="00823616">
            <w:pPr>
              <w:pStyle w:val="TableTextBold"/>
              <w:rPr>
                <w:noProof w:val="0"/>
                <w:color w:val="FFFFFF"/>
              </w:rPr>
            </w:pPr>
            <w:r w:rsidRPr="00256982">
              <w:rPr>
                <w:noProof w:val="0"/>
                <w:color w:val="FFFFFF"/>
              </w:rPr>
              <w:t xml:space="preserve">Parameter </w:t>
            </w:r>
          </w:p>
        </w:tc>
        <w:tc>
          <w:tcPr>
            <w:tcW w:w="1357" w:type="dxa"/>
            <w:tcBorders>
              <w:top w:val="single" w:sz="4" w:space="0" w:color="365F91"/>
              <w:bottom w:val="single" w:sz="4" w:space="0" w:color="365F91"/>
            </w:tcBorders>
            <w:shd w:val="clear" w:color="auto" w:fill="365F91"/>
          </w:tcPr>
          <w:p w14:paraId="0EEC8C67" w14:textId="77777777" w:rsidR="00FB33C6" w:rsidRPr="00256982" w:rsidRDefault="00FB33C6" w:rsidP="00823616">
            <w:pPr>
              <w:pStyle w:val="TableTextBold"/>
              <w:rPr>
                <w:noProof w:val="0"/>
                <w:color w:val="FFFFFF"/>
              </w:rPr>
            </w:pPr>
            <w:r w:rsidRPr="00256982">
              <w:rPr>
                <w:noProof w:val="0"/>
                <w:color w:val="FFFFFF"/>
              </w:rPr>
              <w:t xml:space="preserve">Values </w:t>
            </w:r>
          </w:p>
        </w:tc>
        <w:tc>
          <w:tcPr>
            <w:tcW w:w="1507" w:type="dxa"/>
            <w:tcBorders>
              <w:top w:val="single" w:sz="4" w:space="0" w:color="365F91"/>
              <w:bottom w:val="single" w:sz="4" w:space="0" w:color="365F91"/>
            </w:tcBorders>
            <w:shd w:val="clear" w:color="auto" w:fill="365F91"/>
          </w:tcPr>
          <w:p w14:paraId="23D31706" w14:textId="77777777" w:rsidR="00FB33C6" w:rsidRPr="00256982" w:rsidRDefault="00FB33C6" w:rsidP="00823616">
            <w:pPr>
              <w:pStyle w:val="TableTextBold"/>
              <w:rPr>
                <w:noProof w:val="0"/>
                <w:color w:val="FFFFFF"/>
              </w:rPr>
            </w:pPr>
            <w:r w:rsidRPr="00256982">
              <w:rPr>
                <w:noProof w:val="0"/>
                <w:color w:val="FFFFFF"/>
              </w:rPr>
              <w:t>Source</w:t>
            </w:r>
          </w:p>
        </w:tc>
        <w:tc>
          <w:tcPr>
            <w:tcW w:w="2419" w:type="dxa"/>
            <w:tcBorders>
              <w:top w:val="single" w:sz="4" w:space="0" w:color="365F91"/>
              <w:bottom w:val="single" w:sz="4" w:space="0" w:color="365F91"/>
            </w:tcBorders>
            <w:shd w:val="clear" w:color="auto" w:fill="365F91"/>
          </w:tcPr>
          <w:p w14:paraId="74271638" w14:textId="77777777" w:rsidR="00FB33C6" w:rsidRPr="00256982" w:rsidRDefault="00FB33C6" w:rsidP="00823616">
            <w:pPr>
              <w:pStyle w:val="TableTextBold"/>
              <w:rPr>
                <w:noProof w:val="0"/>
                <w:color w:val="FFFFFF"/>
              </w:rPr>
            </w:pPr>
            <w:r w:rsidRPr="00256982">
              <w:rPr>
                <w:noProof w:val="0"/>
                <w:color w:val="FFFFFF"/>
              </w:rPr>
              <w:t>Reference</w:t>
            </w:r>
          </w:p>
        </w:tc>
      </w:tr>
      <w:tr w:rsidR="00FB33C6" w:rsidRPr="00256982" w14:paraId="17436097" w14:textId="77777777" w:rsidTr="00823616">
        <w:tc>
          <w:tcPr>
            <w:tcW w:w="3222" w:type="dxa"/>
            <w:tcBorders>
              <w:top w:val="single" w:sz="4" w:space="0" w:color="365F91"/>
              <w:bottom w:val="single" w:sz="4" w:space="0" w:color="365F91"/>
            </w:tcBorders>
          </w:tcPr>
          <w:p w14:paraId="179BFBF3" w14:textId="77777777" w:rsidR="00FB33C6" w:rsidRPr="00256982" w:rsidRDefault="00FB33C6" w:rsidP="00823616">
            <w:pPr>
              <w:pStyle w:val="TableText"/>
              <w:rPr>
                <w:rFonts w:eastAsia="Calibri"/>
              </w:rPr>
            </w:pPr>
            <w:r w:rsidRPr="00256982">
              <w:rPr>
                <w:rFonts w:eastAsia="Calibri"/>
              </w:rPr>
              <w:t>Bulk MSW DOC(kt C/kt waste)</w:t>
            </w:r>
          </w:p>
        </w:tc>
        <w:tc>
          <w:tcPr>
            <w:tcW w:w="1357" w:type="dxa"/>
            <w:tcBorders>
              <w:top w:val="single" w:sz="4" w:space="0" w:color="365F91"/>
              <w:bottom w:val="single" w:sz="4" w:space="0" w:color="365F91"/>
            </w:tcBorders>
          </w:tcPr>
          <w:p w14:paraId="561D5D76" w14:textId="77777777" w:rsidR="00FB33C6" w:rsidRPr="00256982" w:rsidRDefault="00FB33C6" w:rsidP="00823616">
            <w:pPr>
              <w:pStyle w:val="TableText"/>
              <w:rPr>
                <w:rFonts w:eastAsia="Calibri"/>
              </w:rPr>
            </w:pPr>
            <w:r w:rsidRPr="00256982">
              <w:rPr>
                <w:rFonts w:eastAsia="Calibri"/>
              </w:rPr>
              <w:t>0.14</w:t>
            </w:r>
          </w:p>
        </w:tc>
        <w:tc>
          <w:tcPr>
            <w:tcW w:w="1507" w:type="dxa"/>
            <w:tcBorders>
              <w:top w:val="single" w:sz="4" w:space="0" w:color="365F91"/>
              <w:bottom w:val="single" w:sz="4" w:space="0" w:color="365F91"/>
            </w:tcBorders>
          </w:tcPr>
          <w:p w14:paraId="3F975CF2" w14:textId="77777777" w:rsidR="00FB33C6" w:rsidRPr="00256982" w:rsidRDefault="00FB33C6" w:rsidP="00823616">
            <w:pPr>
              <w:pStyle w:val="TableText"/>
              <w:rPr>
                <w:rFonts w:eastAsia="Calibri"/>
              </w:rPr>
            </w:pPr>
            <w:r w:rsidRPr="00256982">
              <w:rPr>
                <w:rFonts w:eastAsia="Calibri"/>
              </w:rPr>
              <w:t>IPCC default</w:t>
            </w:r>
          </w:p>
        </w:tc>
        <w:tc>
          <w:tcPr>
            <w:tcW w:w="2419" w:type="dxa"/>
            <w:tcBorders>
              <w:top w:val="single" w:sz="4" w:space="0" w:color="365F91"/>
              <w:bottom w:val="single" w:sz="4" w:space="0" w:color="365F91"/>
            </w:tcBorders>
          </w:tcPr>
          <w:p w14:paraId="2CD58B07" w14:textId="77777777" w:rsidR="00FB33C6" w:rsidRPr="00256982" w:rsidRDefault="00FB33C6" w:rsidP="00823616">
            <w:pPr>
              <w:pStyle w:val="TableText"/>
              <w:rPr>
                <w:rFonts w:eastAsia="Calibri"/>
              </w:rPr>
            </w:pPr>
            <w:r w:rsidRPr="00256982">
              <w:rPr>
                <w:rFonts w:eastAsia="Calibri"/>
              </w:rPr>
              <w:t>IPCC, 2006d (worksheets for SWDS)</w:t>
            </w:r>
          </w:p>
        </w:tc>
      </w:tr>
      <w:tr w:rsidR="00FB33C6" w:rsidRPr="00256982" w14:paraId="16400EB9" w14:textId="77777777" w:rsidTr="00823616">
        <w:tc>
          <w:tcPr>
            <w:tcW w:w="3222" w:type="dxa"/>
            <w:tcBorders>
              <w:top w:val="single" w:sz="4" w:space="0" w:color="365F91"/>
              <w:bottom w:val="single" w:sz="4" w:space="0" w:color="365F91"/>
            </w:tcBorders>
          </w:tcPr>
          <w:p w14:paraId="0EDD3A8E" w14:textId="77777777" w:rsidR="00FB33C6" w:rsidRPr="00256982" w:rsidRDefault="00FB33C6" w:rsidP="00823616">
            <w:pPr>
              <w:pStyle w:val="TableText"/>
              <w:rPr>
                <w:rFonts w:eastAsia="Calibri"/>
              </w:rPr>
            </w:pPr>
            <w:r w:rsidRPr="00256982">
              <w:rPr>
                <w:rFonts w:eastAsia="Calibri"/>
              </w:rPr>
              <w:t>k-value</w:t>
            </w:r>
          </w:p>
        </w:tc>
        <w:tc>
          <w:tcPr>
            <w:tcW w:w="1357" w:type="dxa"/>
            <w:tcBorders>
              <w:top w:val="single" w:sz="4" w:space="0" w:color="365F91"/>
              <w:bottom w:val="single" w:sz="4" w:space="0" w:color="365F91"/>
            </w:tcBorders>
          </w:tcPr>
          <w:p w14:paraId="581C07D1" w14:textId="77777777" w:rsidR="00FB33C6" w:rsidRPr="00256982" w:rsidRDefault="00FB33C6" w:rsidP="00823616">
            <w:pPr>
              <w:pStyle w:val="TableText"/>
              <w:rPr>
                <w:rFonts w:eastAsia="Calibri"/>
              </w:rPr>
            </w:pPr>
            <w:r w:rsidRPr="00256982">
              <w:rPr>
                <w:rFonts w:eastAsia="Calibri"/>
              </w:rPr>
              <w:t>0.17</w:t>
            </w:r>
          </w:p>
        </w:tc>
        <w:tc>
          <w:tcPr>
            <w:tcW w:w="1507" w:type="dxa"/>
            <w:tcBorders>
              <w:top w:val="single" w:sz="4" w:space="0" w:color="365F91"/>
              <w:bottom w:val="single" w:sz="4" w:space="0" w:color="365F91"/>
            </w:tcBorders>
          </w:tcPr>
          <w:p w14:paraId="4664B989" w14:textId="77777777" w:rsidR="00FB33C6" w:rsidRPr="00256982" w:rsidRDefault="00FB33C6" w:rsidP="00823616">
            <w:pPr>
              <w:pStyle w:val="TableText"/>
              <w:rPr>
                <w:rFonts w:eastAsia="Calibri"/>
              </w:rPr>
            </w:pPr>
            <w:r w:rsidRPr="00256982">
              <w:rPr>
                <w:rFonts w:eastAsia="Calibri"/>
              </w:rPr>
              <w:t>IPCC default</w:t>
            </w:r>
          </w:p>
        </w:tc>
        <w:tc>
          <w:tcPr>
            <w:tcW w:w="2419" w:type="dxa"/>
            <w:tcBorders>
              <w:top w:val="single" w:sz="4" w:space="0" w:color="365F91"/>
              <w:bottom w:val="single" w:sz="4" w:space="0" w:color="365F91"/>
            </w:tcBorders>
          </w:tcPr>
          <w:p w14:paraId="212EAA18" w14:textId="77777777" w:rsidR="00FB33C6" w:rsidRPr="00256982" w:rsidRDefault="00FB33C6" w:rsidP="00823616">
            <w:pPr>
              <w:pStyle w:val="TableText"/>
              <w:rPr>
                <w:rFonts w:eastAsia="Calibri"/>
              </w:rPr>
            </w:pPr>
            <w:r w:rsidRPr="00256982">
              <w:rPr>
                <w:rFonts w:eastAsia="Calibri"/>
              </w:rPr>
              <w:t>Table 3.2, IPCC, 2006d</w:t>
            </w:r>
          </w:p>
        </w:tc>
      </w:tr>
      <w:tr w:rsidR="00FB33C6" w:rsidRPr="00256982" w14:paraId="53DDA5CA" w14:textId="77777777" w:rsidTr="00823616">
        <w:tc>
          <w:tcPr>
            <w:tcW w:w="3222" w:type="dxa"/>
            <w:tcBorders>
              <w:top w:val="single" w:sz="4" w:space="0" w:color="365F91"/>
              <w:bottom w:val="single" w:sz="4" w:space="0" w:color="365F91"/>
            </w:tcBorders>
          </w:tcPr>
          <w:p w14:paraId="328184EF" w14:textId="77777777" w:rsidR="00FB33C6" w:rsidRPr="00256982" w:rsidRDefault="00FB33C6" w:rsidP="00823616">
            <w:pPr>
              <w:pStyle w:val="TableText"/>
              <w:rPr>
                <w:rFonts w:eastAsia="Calibri"/>
              </w:rPr>
            </w:pPr>
            <w:r w:rsidRPr="00256982">
              <w:rPr>
                <w:rFonts w:eastAsia="Calibri"/>
              </w:rPr>
              <w:t>Methane correction factor</w:t>
            </w:r>
          </w:p>
        </w:tc>
        <w:tc>
          <w:tcPr>
            <w:tcW w:w="1357" w:type="dxa"/>
            <w:tcBorders>
              <w:top w:val="single" w:sz="4" w:space="0" w:color="365F91"/>
              <w:bottom w:val="single" w:sz="4" w:space="0" w:color="365F91"/>
            </w:tcBorders>
          </w:tcPr>
          <w:p w14:paraId="2DD5815E" w14:textId="77777777" w:rsidR="00FB33C6" w:rsidRPr="00256982" w:rsidRDefault="00FB33C6" w:rsidP="00823616">
            <w:pPr>
              <w:pStyle w:val="TableText"/>
              <w:rPr>
                <w:rFonts w:eastAsia="Calibri"/>
              </w:rPr>
            </w:pPr>
            <w:r w:rsidRPr="00256982">
              <w:rPr>
                <w:rFonts w:eastAsia="Calibri"/>
              </w:rPr>
              <w:t>0.6</w:t>
            </w:r>
          </w:p>
        </w:tc>
        <w:tc>
          <w:tcPr>
            <w:tcW w:w="1507" w:type="dxa"/>
            <w:tcBorders>
              <w:top w:val="single" w:sz="4" w:space="0" w:color="365F91"/>
              <w:bottom w:val="single" w:sz="4" w:space="0" w:color="365F91"/>
            </w:tcBorders>
          </w:tcPr>
          <w:p w14:paraId="72D0C3FE" w14:textId="77777777" w:rsidR="00FB33C6" w:rsidRPr="00256982" w:rsidRDefault="00FB33C6" w:rsidP="00823616">
            <w:pPr>
              <w:pStyle w:val="TableText"/>
              <w:rPr>
                <w:rFonts w:eastAsia="Calibri"/>
              </w:rPr>
            </w:pPr>
            <w:r w:rsidRPr="00256982">
              <w:rPr>
                <w:rFonts w:eastAsia="Calibri"/>
              </w:rPr>
              <w:t>IPCC default</w:t>
            </w:r>
          </w:p>
        </w:tc>
        <w:tc>
          <w:tcPr>
            <w:tcW w:w="2419" w:type="dxa"/>
            <w:tcBorders>
              <w:top w:val="single" w:sz="4" w:space="0" w:color="365F91"/>
              <w:bottom w:val="single" w:sz="4" w:space="0" w:color="365F91"/>
            </w:tcBorders>
          </w:tcPr>
          <w:p w14:paraId="4DFBE71A" w14:textId="77777777" w:rsidR="00FB33C6" w:rsidRPr="00256982" w:rsidRDefault="00FB33C6" w:rsidP="00823616">
            <w:pPr>
              <w:pStyle w:val="TableText"/>
              <w:rPr>
                <w:rFonts w:eastAsia="Calibri"/>
              </w:rPr>
            </w:pPr>
            <w:r w:rsidRPr="00256982">
              <w:rPr>
                <w:rFonts w:eastAsia="Calibri"/>
              </w:rPr>
              <w:t>Table 3.1, IPCC, 2006d</w:t>
            </w:r>
          </w:p>
        </w:tc>
      </w:tr>
      <w:tr w:rsidR="00FB33C6" w:rsidRPr="00256982" w14:paraId="078FD1F7" w14:textId="77777777" w:rsidTr="00823616">
        <w:tc>
          <w:tcPr>
            <w:tcW w:w="3222" w:type="dxa"/>
            <w:tcBorders>
              <w:top w:val="single" w:sz="4" w:space="0" w:color="365F91"/>
              <w:bottom w:val="single" w:sz="4" w:space="0" w:color="365F91"/>
            </w:tcBorders>
          </w:tcPr>
          <w:p w14:paraId="792E0BF3" w14:textId="77777777" w:rsidR="00FB33C6" w:rsidRPr="00256982" w:rsidRDefault="00FB33C6" w:rsidP="00823616">
            <w:pPr>
              <w:pStyle w:val="TableText"/>
              <w:rPr>
                <w:rFonts w:eastAsia="Calibri"/>
              </w:rPr>
            </w:pPr>
            <w:r w:rsidRPr="00256982">
              <w:rPr>
                <w:rFonts w:eastAsia="Calibri"/>
              </w:rPr>
              <w:t>Oxidation factor</w:t>
            </w:r>
          </w:p>
        </w:tc>
        <w:tc>
          <w:tcPr>
            <w:tcW w:w="1357" w:type="dxa"/>
            <w:tcBorders>
              <w:top w:val="single" w:sz="4" w:space="0" w:color="365F91"/>
              <w:bottom w:val="single" w:sz="4" w:space="0" w:color="365F91"/>
            </w:tcBorders>
          </w:tcPr>
          <w:p w14:paraId="768D53BF" w14:textId="77777777" w:rsidR="00FB33C6" w:rsidRPr="00256982" w:rsidRDefault="00FB33C6" w:rsidP="00823616">
            <w:pPr>
              <w:pStyle w:val="TableText"/>
              <w:rPr>
                <w:rFonts w:eastAsia="Calibri"/>
              </w:rPr>
            </w:pPr>
            <w:r w:rsidRPr="00256982">
              <w:rPr>
                <w:rFonts w:eastAsia="Calibri"/>
              </w:rPr>
              <w:t>0 per cent</w:t>
            </w:r>
          </w:p>
        </w:tc>
        <w:tc>
          <w:tcPr>
            <w:tcW w:w="1507" w:type="dxa"/>
            <w:tcBorders>
              <w:top w:val="single" w:sz="4" w:space="0" w:color="365F91"/>
              <w:bottom w:val="single" w:sz="4" w:space="0" w:color="365F91"/>
            </w:tcBorders>
          </w:tcPr>
          <w:p w14:paraId="26D2CAF0" w14:textId="77777777" w:rsidR="00FB33C6" w:rsidRPr="00256982" w:rsidRDefault="00FB33C6" w:rsidP="00823616">
            <w:pPr>
              <w:pStyle w:val="TableText"/>
              <w:rPr>
                <w:rFonts w:eastAsia="Calibri"/>
              </w:rPr>
            </w:pPr>
            <w:r w:rsidRPr="00256982">
              <w:rPr>
                <w:rFonts w:eastAsia="Calibri"/>
              </w:rPr>
              <w:t>IPCC default</w:t>
            </w:r>
          </w:p>
        </w:tc>
        <w:tc>
          <w:tcPr>
            <w:tcW w:w="2419" w:type="dxa"/>
            <w:tcBorders>
              <w:top w:val="single" w:sz="4" w:space="0" w:color="365F91"/>
              <w:bottom w:val="single" w:sz="4" w:space="0" w:color="365F91"/>
            </w:tcBorders>
          </w:tcPr>
          <w:p w14:paraId="7FC01919" w14:textId="77777777" w:rsidR="00FB33C6" w:rsidRPr="00256982" w:rsidRDefault="00FB33C6" w:rsidP="00823616">
            <w:pPr>
              <w:pStyle w:val="TableText"/>
              <w:rPr>
                <w:rFonts w:eastAsia="Calibri"/>
              </w:rPr>
            </w:pPr>
            <w:r w:rsidRPr="00256982">
              <w:rPr>
                <w:rFonts w:eastAsia="Calibri"/>
              </w:rPr>
              <w:t>Table 3.2, IPCC, 2006d</w:t>
            </w:r>
          </w:p>
        </w:tc>
      </w:tr>
      <w:tr w:rsidR="00FB33C6" w:rsidRPr="00256982" w14:paraId="0BA4FE7E" w14:textId="77777777" w:rsidTr="00823616">
        <w:tc>
          <w:tcPr>
            <w:tcW w:w="3222" w:type="dxa"/>
            <w:tcBorders>
              <w:top w:val="single" w:sz="4" w:space="0" w:color="365F91"/>
              <w:bottom w:val="single" w:sz="4" w:space="0" w:color="365F91"/>
            </w:tcBorders>
          </w:tcPr>
          <w:p w14:paraId="3376AA34" w14:textId="77777777" w:rsidR="00FB33C6" w:rsidRPr="00256982" w:rsidRDefault="00FB33C6" w:rsidP="00823616">
            <w:pPr>
              <w:pStyle w:val="TableText"/>
              <w:rPr>
                <w:rFonts w:eastAsia="Calibri"/>
              </w:rPr>
            </w:pPr>
            <w:r w:rsidRPr="00256982">
              <w:rPr>
                <w:rFonts w:eastAsia="Calibri"/>
              </w:rPr>
              <w:t>Starting year</w:t>
            </w:r>
          </w:p>
        </w:tc>
        <w:tc>
          <w:tcPr>
            <w:tcW w:w="1357" w:type="dxa"/>
            <w:tcBorders>
              <w:top w:val="single" w:sz="4" w:space="0" w:color="365F91"/>
              <w:bottom w:val="single" w:sz="4" w:space="0" w:color="365F91"/>
            </w:tcBorders>
          </w:tcPr>
          <w:p w14:paraId="6A6C4C94" w14:textId="77777777" w:rsidR="00FB33C6" w:rsidRPr="00256982" w:rsidRDefault="00FB33C6" w:rsidP="00823616">
            <w:pPr>
              <w:pStyle w:val="TableText"/>
              <w:rPr>
                <w:rFonts w:eastAsia="Calibri"/>
              </w:rPr>
            </w:pPr>
            <w:r w:rsidRPr="00256982">
              <w:rPr>
                <w:rFonts w:eastAsia="Calibri"/>
              </w:rPr>
              <w:t>1950</w:t>
            </w:r>
          </w:p>
        </w:tc>
        <w:tc>
          <w:tcPr>
            <w:tcW w:w="1507" w:type="dxa"/>
            <w:tcBorders>
              <w:top w:val="single" w:sz="4" w:space="0" w:color="365F91"/>
              <w:bottom w:val="single" w:sz="4" w:space="0" w:color="365F91"/>
            </w:tcBorders>
          </w:tcPr>
          <w:p w14:paraId="57C2B2BD" w14:textId="77777777" w:rsidR="00FB33C6" w:rsidRPr="00256982" w:rsidRDefault="00FB33C6" w:rsidP="00823616">
            <w:pPr>
              <w:pStyle w:val="TableText"/>
              <w:rPr>
                <w:rFonts w:eastAsia="Calibri"/>
              </w:rPr>
            </w:pPr>
            <w:r w:rsidRPr="00256982">
              <w:rPr>
                <w:rFonts w:eastAsia="Calibri"/>
              </w:rPr>
              <w:t>IPCC default</w:t>
            </w:r>
          </w:p>
        </w:tc>
        <w:tc>
          <w:tcPr>
            <w:tcW w:w="2419" w:type="dxa"/>
            <w:tcBorders>
              <w:top w:val="single" w:sz="4" w:space="0" w:color="365F91"/>
              <w:bottom w:val="single" w:sz="4" w:space="0" w:color="365F91"/>
            </w:tcBorders>
          </w:tcPr>
          <w:p w14:paraId="634FE8DB" w14:textId="77777777" w:rsidR="00FB33C6" w:rsidRPr="00256982" w:rsidRDefault="00FB33C6" w:rsidP="00823616">
            <w:pPr>
              <w:pStyle w:val="TableText"/>
              <w:rPr>
                <w:rFonts w:eastAsia="Calibri"/>
              </w:rPr>
            </w:pPr>
            <w:r w:rsidRPr="00256982">
              <w:rPr>
                <w:rFonts w:eastAsia="Calibri"/>
              </w:rPr>
              <w:t>Section 3.6, p 3.24, IPCC, 2006d</w:t>
            </w:r>
          </w:p>
        </w:tc>
      </w:tr>
      <w:tr w:rsidR="00FB33C6" w:rsidRPr="00256982" w14:paraId="7842E096" w14:textId="77777777" w:rsidTr="00823616">
        <w:tc>
          <w:tcPr>
            <w:tcW w:w="3222" w:type="dxa"/>
            <w:tcBorders>
              <w:top w:val="single" w:sz="4" w:space="0" w:color="365F91"/>
              <w:bottom w:val="single" w:sz="4" w:space="0" w:color="365F91"/>
            </w:tcBorders>
          </w:tcPr>
          <w:p w14:paraId="53C3CE96" w14:textId="77777777" w:rsidR="00FB33C6" w:rsidRPr="00256982" w:rsidRDefault="00FB33C6" w:rsidP="00823616">
            <w:pPr>
              <w:pStyle w:val="TableText"/>
              <w:rPr>
                <w:rFonts w:eastAsia="Calibri"/>
              </w:rPr>
            </w:pPr>
            <w:r w:rsidRPr="00256982">
              <w:rPr>
                <w:rFonts w:eastAsia="Calibri"/>
              </w:rPr>
              <w:t>Delay time</w:t>
            </w:r>
          </w:p>
        </w:tc>
        <w:tc>
          <w:tcPr>
            <w:tcW w:w="1357" w:type="dxa"/>
            <w:tcBorders>
              <w:top w:val="single" w:sz="4" w:space="0" w:color="365F91"/>
              <w:bottom w:val="single" w:sz="4" w:space="0" w:color="365F91"/>
            </w:tcBorders>
          </w:tcPr>
          <w:p w14:paraId="19D92DC8" w14:textId="77777777" w:rsidR="00FB33C6" w:rsidRPr="00256982" w:rsidRDefault="00FB33C6" w:rsidP="00823616">
            <w:pPr>
              <w:pStyle w:val="TableText"/>
              <w:rPr>
                <w:rFonts w:eastAsia="Calibri"/>
              </w:rPr>
            </w:pPr>
            <w:r w:rsidRPr="00256982">
              <w:rPr>
                <w:rFonts w:eastAsia="Calibri"/>
              </w:rPr>
              <w:t>6 months</w:t>
            </w:r>
          </w:p>
        </w:tc>
        <w:tc>
          <w:tcPr>
            <w:tcW w:w="1507" w:type="dxa"/>
            <w:tcBorders>
              <w:top w:val="single" w:sz="4" w:space="0" w:color="365F91"/>
              <w:bottom w:val="single" w:sz="4" w:space="0" w:color="365F91"/>
            </w:tcBorders>
          </w:tcPr>
          <w:p w14:paraId="3BBE0A9A" w14:textId="77777777" w:rsidR="00FB33C6" w:rsidRPr="00256982" w:rsidRDefault="00FB33C6" w:rsidP="00823616">
            <w:pPr>
              <w:pStyle w:val="TableText"/>
              <w:rPr>
                <w:rFonts w:eastAsia="Calibri"/>
              </w:rPr>
            </w:pPr>
            <w:r w:rsidRPr="00256982">
              <w:rPr>
                <w:rFonts w:eastAsia="Calibri"/>
              </w:rPr>
              <w:t>IPCC default</w:t>
            </w:r>
          </w:p>
        </w:tc>
        <w:tc>
          <w:tcPr>
            <w:tcW w:w="2419" w:type="dxa"/>
            <w:tcBorders>
              <w:top w:val="single" w:sz="4" w:space="0" w:color="365F91"/>
              <w:bottom w:val="single" w:sz="4" w:space="0" w:color="365F91"/>
            </w:tcBorders>
          </w:tcPr>
          <w:p w14:paraId="04A99196" w14:textId="77777777" w:rsidR="00FB33C6" w:rsidRPr="00256982" w:rsidRDefault="00FB33C6" w:rsidP="00823616">
            <w:pPr>
              <w:pStyle w:val="TableText"/>
              <w:rPr>
                <w:rFonts w:eastAsia="Calibri"/>
              </w:rPr>
            </w:pPr>
            <w:r w:rsidRPr="00256982">
              <w:rPr>
                <w:rFonts w:eastAsia="Calibri"/>
              </w:rPr>
              <w:t>Section 3.2.3, p 3.19, IPCC, 2006d</w:t>
            </w:r>
          </w:p>
        </w:tc>
      </w:tr>
      <w:tr w:rsidR="00FB33C6" w:rsidRPr="00256982" w14:paraId="51E0B6DC" w14:textId="77777777" w:rsidTr="00823616">
        <w:tc>
          <w:tcPr>
            <w:tcW w:w="3222" w:type="dxa"/>
            <w:tcBorders>
              <w:top w:val="single" w:sz="4" w:space="0" w:color="365F91"/>
              <w:bottom w:val="single" w:sz="4" w:space="0" w:color="365F91"/>
            </w:tcBorders>
          </w:tcPr>
          <w:p w14:paraId="38AEC411" w14:textId="77777777" w:rsidR="00FB33C6" w:rsidRPr="00256982" w:rsidRDefault="00FB33C6" w:rsidP="00823616">
            <w:pPr>
              <w:pStyle w:val="TableText"/>
              <w:rPr>
                <w:rFonts w:eastAsia="Calibri"/>
              </w:rPr>
            </w:pPr>
            <w:r w:rsidRPr="00256982">
              <w:rPr>
                <w:rFonts w:eastAsia="Calibri"/>
              </w:rPr>
              <w:t>Fraction of DOC that decomposes</w:t>
            </w:r>
          </w:p>
        </w:tc>
        <w:tc>
          <w:tcPr>
            <w:tcW w:w="1357" w:type="dxa"/>
            <w:tcBorders>
              <w:top w:val="single" w:sz="4" w:space="0" w:color="365F91"/>
              <w:bottom w:val="single" w:sz="4" w:space="0" w:color="365F91"/>
            </w:tcBorders>
          </w:tcPr>
          <w:p w14:paraId="23A49778" w14:textId="77777777" w:rsidR="00FB33C6" w:rsidRPr="00256982" w:rsidRDefault="00FB33C6" w:rsidP="00823616">
            <w:pPr>
              <w:pStyle w:val="TableText"/>
              <w:rPr>
                <w:rFonts w:eastAsia="Calibri"/>
              </w:rPr>
            </w:pPr>
            <w:r w:rsidRPr="00256982">
              <w:rPr>
                <w:rFonts w:eastAsia="Calibri"/>
              </w:rPr>
              <w:t>0.5</w:t>
            </w:r>
          </w:p>
        </w:tc>
        <w:tc>
          <w:tcPr>
            <w:tcW w:w="1507" w:type="dxa"/>
            <w:tcBorders>
              <w:top w:val="single" w:sz="4" w:space="0" w:color="365F91"/>
              <w:bottom w:val="single" w:sz="4" w:space="0" w:color="365F91"/>
            </w:tcBorders>
          </w:tcPr>
          <w:p w14:paraId="7C53A185" w14:textId="77777777" w:rsidR="00FB33C6" w:rsidRPr="00256982" w:rsidRDefault="00FB33C6" w:rsidP="00823616">
            <w:pPr>
              <w:pStyle w:val="TableText"/>
              <w:rPr>
                <w:rFonts w:eastAsia="Calibri"/>
              </w:rPr>
            </w:pPr>
            <w:r w:rsidRPr="00256982">
              <w:rPr>
                <w:rFonts w:eastAsia="Calibri"/>
              </w:rPr>
              <w:t>IPCC default</w:t>
            </w:r>
          </w:p>
        </w:tc>
        <w:tc>
          <w:tcPr>
            <w:tcW w:w="2419" w:type="dxa"/>
            <w:tcBorders>
              <w:top w:val="single" w:sz="4" w:space="0" w:color="365F91"/>
              <w:bottom w:val="single" w:sz="4" w:space="0" w:color="365F91"/>
            </w:tcBorders>
          </w:tcPr>
          <w:p w14:paraId="2F685DBC" w14:textId="77777777" w:rsidR="00FB33C6" w:rsidRPr="00256982" w:rsidRDefault="00FB33C6" w:rsidP="00823616">
            <w:pPr>
              <w:pStyle w:val="TableText"/>
              <w:rPr>
                <w:rFonts w:eastAsia="Calibri"/>
              </w:rPr>
            </w:pPr>
            <w:r w:rsidRPr="00256982">
              <w:rPr>
                <w:rFonts w:eastAsia="Calibri"/>
              </w:rPr>
              <w:t>Section 3.2.3, p 3.13, IPCC, 2006d</w:t>
            </w:r>
          </w:p>
        </w:tc>
      </w:tr>
      <w:tr w:rsidR="00FB33C6" w:rsidRPr="00256982" w14:paraId="4DF6BEB8" w14:textId="77777777" w:rsidTr="00823616">
        <w:tc>
          <w:tcPr>
            <w:tcW w:w="3222" w:type="dxa"/>
            <w:tcBorders>
              <w:top w:val="single" w:sz="4" w:space="0" w:color="365F91"/>
              <w:bottom w:val="single" w:sz="4" w:space="0" w:color="365F91"/>
            </w:tcBorders>
          </w:tcPr>
          <w:p w14:paraId="34D3ED4A" w14:textId="77777777" w:rsidR="00FB33C6" w:rsidRPr="00256982" w:rsidRDefault="00FB33C6" w:rsidP="00823616">
            <w:pPr>
              <w:pStyle w:val="TableText"/>
              <w:rPr>
                <w:rFonts w:eastAsia="Calibri"/>
              </w:rPr>
            </w:pPr>
            <w:r w:rsidRPr="00256982">
              <w:rPr>
                <w:rFonts w:eastAsia="Calibri"/>
              </w:rPr>
              <w:t>Fraction of CH</w:t>
            </w:r>
            <w:r w:rsidRPr="00256982">
              <w:rPr>
                <w:rFonts w:eastAsia="Calibri"/>
                <w:vertAlign w:val="subscript"/>
              </w:rPr>
              <w:t>4</w:t>
            </w:r>
            <w:r w:rsidRPr="00256982">
              <w:rPr>
                <w:rFonts w:eastAsia="Calibri"/>
              </w:rPr>
              <w:t xml:space="preserve"> in gas</w:t>
            </w:r>
          </w:p>
        </w:tc>
        <w:tc>
          <w:tcPr>
            <w:tcW w:w="1357" w:type="dxa"/>
            <w:tcBorders>
              <w:top w:val="single" w:sz="4" w:space="0" w:color="365F91"/>
              <w:bottom w:val="single" w:sz="4" w:space="0" w:color="365F91"/>
            </w:tcBorders>
          </w:tcPr>
          <w:p w14:paraId="414301C8" w14:textId="77777777" w:rsidR="00FB33C6" w:rsidRPr="00256982" w:rsidRDefault="00FB33C6" w:rsidP="00823616">
            <w:pPr>
              <w:pStyle w:val="TableText"/>
              <w:rPr>
                <w:rFonts w:eastAsia="Calibri"/>
              </w:rPr>
            </w:pPr>
            <w:r w:rsidRPr="00256982">
              <w:rPr>
                <w:rFonts w:eastAsia="Calibri"/>
              </w:rPr>
              <w:t>0.5</w:t>
            </w:r>
          </w:p>
        </w:tc>
        <w:tc>
          <w:tcPr>
            <w:tcW w:w="1507" w:type="dxa"/>
            <w:tcBorders>
              <w:top w:val="single" w:sz="4" w:space="0" w:color="365F91"/>
              <w:bottom w:val="single" w:sz="4" w:space="0" w:color="365F91"/>
            </w:tcBorders>
          </w:tcPr>
          <w:p w14:paraId="42A81D96" w14:textId="77777777" w:rsidR="00FB33C6" w:rsidRPr="00256982" w:rsidRDefault="00FB33C6" w:rsidP="00823616">
            <w:pPr>
              <w:pStyle w:val="TableText"/>
              <w:rPr>
                <w:rFonts w:eastAsia="Calibri"/>
              </w:rPr>
            </w:pPr>
            <w:r w:rsidRPr="00256982">
              <w:rPr>
                <w:rFonts w:eastAsia="Calibri"/>
              </w:rPr>
              <w:t>IPCC default</w:t>
            </w:r>
          </w:p>
        </w:tc>
        <w:tc>
          <w:tcPr>
            <w:tcW w:w="2419" w:type="dxa"/>
            <w:tcBorders>
              <w:top w:val="single" w:sz="4" w:space="0" w:color="365F91"/>
              <w:bottom w:val="single" w:sz="4" w:space="0" w:color="365F91"/>
            </w:tcBorders>
          </w:tcPr>
          <w:p w14:paraId="4683EBB8" w14:textId="77777777" w:rsidR="00FB33C6" w:rsidRPr="00256982" w:rsidRDefault="00FB33C6" w:rsidP="00823616">
            <w:pPr>
              <w:pStyle w:val="TableText"/>
              <w:rPr>
                <w:rFonts w:eastAsia="Calibri"/>
              </w:rPr>
            </w:pPr>
            <w:r w:rsidRPr="00256982">
              <w:rPr>
                <w:rFonts w:eastAsia="Calibri"/>
              </w:rPr>
              <w:t>Section 3.2.3, p 3.15, IPCC, 2006d</w:t>
            </w:r>
          </w:p>
        </w:tc>
      </w:tr>
      <w:tr w:rsidR="00FB33C6" w:rsidRPr="00256982" w14:paraId="3B41D334" w14:textId="77777777" w:rsidTr="00823616">
        <w:tc>
          <w:tcPr>
            <w:tcW w:w="3222" w:type="dxa"/>
            <w:tcBorders>
              <w:top w:val="single" w:sz="4" w:space="0" w:color="365F91"/>
              <w:bottom w:val="single" w:sz="4" w:space="0" w:color="365F91"/>
            </w:tcBorders>
          </w:tcPr>
          <w:p w14:paraId="0DFF809F" w14:textId="77777777" w:rsidR="00FB33C6" w:rsidRPr="00256982" w:rsidRDefault="00FB33C6" w:rsidP="00823616">
            <w:pPr>
              <w:pStyle w:val="TableText"/>
              <w:rPr>
                <w:rFonts w:eastAsia="Calibri"/>
              </w:rPr>
            </w:pPr>
            <w:r w:rsidRPr="00256982">
              <w:rPr>
                <w:rFonts w:eastAsia="Calibri"/>
              </w:rPr>
              <w:t>Amount of waste per person per year</w:t>
            </w:r>
          </w:p>
        </w:tc>
        <w:tc>
          <w:tcPr>
            <w:tcW w:w="1357" w:type="dxa"/>
            <w:tcBorders>
              <w:top w:val="single" w:sz="4" w:space="0" w:color="365F91"/>
              <w:bottom w:val="single" w:sz="4" w:space="0" w:color="365F91"/>
            </w:tcBorders>
          </w:tcPr>
          <w:p w14:paraId="1DF61D32" w14:textId="77777777" w:rsidR="00FB33C6" w:rsidRPr="00256982" w:rsidRDefault="00FB33C6" w:rsidP="00823616">
            <w:pPr>
              <w:pStyle w:val="TableText"/>
              <w:rPr>
                <w:rFonts w:eastAsia="Calibri"/>
              </w:rPr>
            </w:pPr>
            <w:r w:rsidRPr="00256982">
              <w:rPr>
                <w:rFonts w:eastAsia="Calibri"/>
              </w:rPr>
              <w:t>690 kg</w:t>
            </w:r>
          </w:p>
        </w:tc>
        <w:tc>
          <w:tcPr>
            <w:tcW w:w="1507" w:type="dxa"/>
            <w:tcBorders>
              <w:top w:val="single" w:sz="4" w:space="0" w:color="365F91"/>
              <w:bottom w:val="single" w:sz="4" w:space="0" w:color="365F91"/>
            </w:tcBorders>
          </w:tcPr>
          <w:p w14:paraId="05CABAF2" w14:textId="77777777" w:rsidR="00FB33C6" w:rsidRPr="00256982" w:rsidRDefault="00FB33C6" w:rsidP="00823616">
            <w:pPr>
              <w:pStyle w:val="TableText"/>
              <w:rPr>
                <w:rFonts w:eastAsia="Calibri"/>
              </w:rPr>
            </w:pPr>
            <w:r w:rsidRPr="00256982">
              <w:rPr>
                <w:rFonts w:eastAsia="Calibri"/>
              </w:rPr>
              <w:t>IPCC default for Oceania</w:t>
            </w:r>
          </w:p>
        </w:tc>
        <w:tc>
          <w:tcPr>
            <w:tcW w:w="2419" w:type="dxa"/>
            <w:tcBorders>
              <w:top w:val="single" w:sz="4" w:space="0" w:color="365F91"/>
              <w:bottom w:val="single" w:sz="4" w:space="0" w:color="365F91"/>
            </w:tcBorders>
          </w:tcPr>
          <w:p w14:paraId="4D7276BB" w14:textId="77777777" w:rsidR="00FB33C6" w:rsidRPr="00256982" w:rsidRDefault="00FB33C6" w:rsidP="00823616">
            <w:pPr>
              <w:pStyle w:val="TableText"/>
              <w:rPr>
                <w:rFonts w:eastAsia="Calibri"/>
              </w:rPr>
            </w:pPr>
            <w:r w:rsidRPr="00256982">
              <w:rPr>
                <w:rFonts w:eastAsia="Calibri"/>
              </w:rPr>
              <w:t xml:space="preserve">Annex 2A.1, IPCC, 2006d </w:t>
            </w:r>
          </w:p>
        </w:tc>
      </w:tr>
      <w:tr w:rsidR="00FB33C6" w:rsidRPr="00256982" w14:paraId="2568CC8E" w14:textId="77777777" w:rsidTr="00823616">
        <w:tc>
          <w:tcPr>
            <w:tcW w:w="3222" w:type="dxa"/>
            <w:tcBorders>
              <w:top w:val="single" w:sz="4" w:space="0" w:color="365F91"/>
              <w:bottom w:val="single" w:sz="4" w:space="0" w:color="365F91"/>
            </w:tcBorders>
          </w:tcPr>
          <w:p w14:paraId="6750419D" w14:textId="77777777" w:rsidR="00FB33C6" w:rsidRPr="00256982" w:rsidRDefault="00FB33C6" w:rsidP="00823616">
            <w:pPr>
              <w:pStyle w:val="TableText"/>
              <w:rPr>
                <w:rFonts w:eastAsia="Calibri"/>
              </w:rPr>
            </w:pPr>
            <w:r w:rsidRPr="00256982">
              <w:rPr>
                <w:rFonts w:eastAsia="Calibri"/>
              </w:rPr>
              <w:t>Amount of waste landfilled</w:t>
            </w:r>
          </w:p>
        </w:tc>
        <w:tc>
          <w:tcPr>
            <w:tcW w:w="1357" w:type="dxa"/>
            <w:tcBorders>
              <w:top w:val="single" w:sz="4" w:space="0" w:color="365F91"/>
              <w:bottom w:val="single" w:sz="4" w:space="0" w:color="365F91"/>
            </w:tcBorders>
          </w:tcPr>
          <w:p w14:paraId="0CF20811" w14:textId="77777777" w:rsidR="00FB33C6" w:rsidRPr="00256982" w:rsidRDefault="00FB33C6" w:rsidP="00823616">
            <w:pPr>
              <w:pStyle w:val="TableText"/>
              <w:rPr>
                <w:rFonts w:eastAsia="Calibri"/>
              </w:rPr>
            </w:pPr>
            <w:r w:rsidRPr="00256982">
              <w:rPr>
                <w:rFonts w:eastAsia="Calibri"/>
              </w:rPr>
              <w:t>50 per cent</w:t>
            </w:r>
          </w:p>
        </w:tc>
        <w:tc>
          <w:tcPr>
            <w:tcW w:w="1507" w:type="dxa"/>
            <w:tcBorders>
              <w:top w:val="single" w:sz="4" w:space="0" w:color="365F91"/>
              <w:bottom w:val="single" w:sz="4" w:space="0" w:color="365F91"/>
            </w:tcBorders>
          </w:tcPr>
          <w:p w14:paraId="3C2C3A76" w14:textId="77777777" w:rsidR="00FB33C6" w:rsidRPr="00256982" w:rsidRDefault="00FB33C6" w:rsidP="00823616">
            <w:pPr>
              <w:pStyle w:val="TableText"/>
              <w:rPr>
                <w:rFonts w:eastAsia="Calibri"/>
              </w:rPr>
            </w:pPr>
            <w:r w:rsidRPr="00256982">
              <w:rPr>
                <w:rFonts w:eastAsia="Calibri"/>
              </w:rPr>
              <w:t>Assumption</w:t>
            </w:r>
          </w:p>
        </w:tc>
        <w:tc>
          <w:tcPr>
            <w:tcW w:w="2419" w:type="dxa"/>
            <w:tcBorders>
              <w:top w:val="single" w:sz="4" w:space="0" w:color="365F91"/>
              <w:bottom w:val="single" w:sz="4" w:space="0" w:color="365F91"/>
            </w:tcBorders>
          </w:tcPr>
          <w:p w14:paraId="07CB82E2" w14:textId="77777777" w:rsidR="00FB33C6" w:rsidRPr="00256982" w:rsidRDefault="00FB33C6" w:rsidP="00823616">
            <w:pPr>
              <w:pStyle w:val="TableText"/>
              <w:rPr>
                <w:rFonts w:eastAsia="Calibri"/>
              </w:rPr>
            </w:pPr>
          </w:p>
        </w:tc>
      </w:tr>
    </w:tbl>
    <w:p w14:paraId="407C1CC2" w14:textId="5083BD62" w:rsidR="00FB33C6" w:rsidRPr="00256982" w:rsidRDefault="00FB33C6" w:rsidP="00FB33C6">
      <w:pPr>
        <w:pStyle w:val="Noteundertable"/>
      </w:pPr>
      <w:r w:rsidRPr="00256982">
        <w:rPr>
          <w:b/>
        </w:rPr>
        <w:t>Note:</w:t>
      </w:r>
      <w:r w:rsidRPr="00256982">
        <w:t xml:space="preserve"> </w:t>
      </w:r>
      <w:r w:rsidRPr="00256982">
        <w:tab/>
        <w:t xml:space="preserve">MSW = </w:t>
      </w:r>
      <w:r w:rsidR="004E629A" w:rsidRPr="00256982">
        <w:t>m</w:t>
      </w:r>
      <w:r w:rsidRPr="00256982">
        <w:t xml:space="preserve">unicipal </w:t>
      </w:r>
      <w:r w:rsidR="004E629A" w:rsidRPr="00256982">
        <w:t>w</w:t>
      </w:r>
      <w:r w:rsidRPr="00256982">
        <w:t xml:space="preserve">aste </w:t>
      </w:r>
      <w:r w:rsidR="004E629A" w:rsidRPr="00256982">
        <w:t>d</w:t>
      </w:r>
      <w:r w:rsidRPr="00256982">
        <w:t xml:space="preserve">isposal; </w:t>
      </w:r>
      <w:r w:rsidRPr="00256982">
        <w:rPr>
          <w:rFonts w:eastAsia="Calibri"/>
        </w:rPr>
        <w:t>DOC</w:t>
      </w:r>
      <w:r w:rsidRPr="00256982">
        <w:t xml:space="preserve"> = </w:t>
      </w:r>
      <w:r w:rsidR="004E629A" w:rsidRPr="00256982">
        <w:t>d</w:t>
      </w:r>
      <w:r w:rsidRPr="00256982">
        <w:t xml:space="preserve">egradable </w:t>
      </w:r>
      <w:r w:rsidR="004E629A" w:rsidRPr="00256982">
        <w:t>o</w:t>
      </w:r>
      <w:r w:rsidRPr="00256982">
        <w:t xml:space="preserve">rganic </w:t>
      </w:r>
      <w:r w:rsidR="004E629A" w:rsidRPr="00256982">
        <w:t>c</w:t>
      </w:r>
      <w:r w:rsidRPr="00256982">
        <w:t xml:space="preserve">arbon; SWDS = </w:t>
      </w:r>
      <w:r w:rsidR="004E629A" w:rsidRPr="00256982">
        <w:t>s</w:t>
      </w:r>
      <w:r w:rsidRPr="00256982">
        <w:t xml:space="preserve">olid </w:t>
      </w:r>
      <w:r w:rsidR="004E629A" w:rsidRPr="00256982">
        <w:t>w</w:t>
      </w:r>
      <w:r w:rsidRPr="00256982">
        <w:t xml:space="preserve">aste </w:t>
      </w:r>
      <w:r w:rsidR="004E629A" w:rsidRPr="00256982">
        <w:t>d</w:t>
      </w:r>
      <w:r w:rsidRPr="00256982">
        <w:t xml:space="preserve">isposable </w:t>
      </w:r>
      <w:r w:rsidR="004E629A" w:rsidRPr="00256982">
        <w:t>s</w:t>
      </w:r>
      <w:r w:rsidRPr="00256982">
        <w:t>ites.</w:t>
      </w:r>
    </w:p>
    <w:p w14:paraId="746808A7" w14:textId="77777777" w:rsidR="00FB33C6" w:rsidRPr="00256982" w:rsidRDefault="00FB33C6" w:rsidP="00FB33C6">
      <w:pPr>
        <w:pStyle w:val="Heading4"/>
        <w:spacing w:before="360"/>
      </w:pPr>
      <w:r w:rsidRPr="00256982">
        <w:t>Uncertainty</w:t>
      </w:r>
    </w:p>
    <w:p w14:paraId="5620E820" w14:textId="77777777" w:rsidR="00FB33C6" w:rsidRPr="00256982" w:rsidRDefault="00FB33C6" w:rsidP="00FB33C6">
      <w:pPr>
        <w:pStyle w:val="BodyText"/>
      </w:pPr>
      <w:r w:rsidRPr="00256982">
        <w:t>The same uncertainty data for uncategorised landfills were used for Tokelau and New Zealand (table 7.2.9, chapter 7 of the NIR; for methodological notes, refer to the uncertainties</w:t>
      </w:r>
      <w:r w:rsidRPr="00256982">
        <w:rPr>
          <w:i/>
        </w:rPr>
        <w:t xml:space="preserve"> </w:t>
      </w:r>
      <w:r w:rsidRPr="00256982">
        <w:t>for the</w:t>
      </w:r>
      <w:r w:rsidRPr="00256982">
        <w:rPr>
          <w:i/>
        </w:rPr>
        <w:t xml:space="preserve"> Solid waste</w:t>
      </w:r>
      <w:r w:rsidRPr="00256982">
        <w:t xml:space="preserve"> category, section 7.2.3, chapter 7 of the NIR and table 8.5.2). </w:t>
      </w:r>
    </w:p>
    <w:p w14:paraId="4775FE66" w14:textId="77777777" w:rsidR="00FB33C6" w:rsidRPr="00256982" w:rsidRDefault="00FB33C6" w:rsidP="00FB33C6">
      <w:pPr>
        <w:pStyle w:val="Table"/>
      </w:pPr>
      <w:bookmarkStart w:id="2473" w:name="_Toc5269603"/>
      <w:r w:rsidRPr="00256982">
        <w:t>Table 8.5.2</w:t>
      </w:r>
      <w:r w:rsidRPr="00256982">
        <w:tab/>
        <w:t>Uncertainty in emissions from the Solid waste disposal category</w:t>
      </w:r>
      <w:bookmarkEnd w:id="2473"/>
    </w:p>
    <w:tbl>
      <w:tblPr>
        <w:tblW w:w="8505" w:type="dxa"/>
        <w:tblInd w:w="108" w:type="dxa"/>
        <w:tblCellMar>
          <w:left w:w="0" w:type="dxa"/>
          <w:right w:w="0" w:type="dxa"/>
        </w:tblCellMar>
        <w:tblLook w:val="04A0" w:firstRow="1" w:lastRow="0" w:firstColumn="1" w:lastColumn="0" w:noHBand="0" w:noVBand="1"/>
      </w:tblPr>
      <w:tblGrid>
        <w:gridCol w:w="2835"/>
        <w:gridCol w:w="2694"/>
        <w:gridCol w:w="2976"/>
      </w:tblGrid>
      <w:tr w:rsidR="00FB33C6" w:rsidRPr="00256982" w14:paraId="56842F3E" w14:textId="77777777" w:rsidTr="00823616">
        <w:trPr>
          <w:tblHeader/>
        </w:trPr>
        <w:tc>
          <w:tcPr>
            <w:tcW w:w="2835" w:type="dxa"/>
            <w:tcBorders>
              <w:top w:val="single" w:sz="4" w:space="0" w:color="365F91"/>
              <w:left w:val="nil"/>
              <w:bottom w:val="single" w:sz="4" w:space="0" w:color="365F91"/>
              <w:right w:val="nil"/>
            </w:tcBorders>
            <w:shd w:val="clear" w:color="auto" w:fill="365F91"/>
            <w:tcMar>
              <w:top w:w="0" w:type="dxa"/>
              <w:left w:w="108" w:type="dxa"/>
              <w:bottom w:w="0" w:type="dxa"/>
              <w:right w:w="108" w:type="dxa"/>
            </w:tcMar>
            <w:vAlign w:val="bottom"/>
            <w:hideMark/>
          </w:tcPr>
          <w:p w14:paraId="14AD62AD" w14:textId="77777777" w:rsidR="00FB33C6" w:rsidRPr="00256982" w:rsidRDefault="00FB33C6" w:rsidP="00823616">
            <w:pPr>
              <w:pStyle w:val="TableTextBold"/>
              <w:keepNext/>
              <w:spacing w:before="50" w:after="50"/>
              <w:rPr>
                <w:noProof w:val="0"/>
                <w:color w:val="FFFFFF"/>
              </w:rPr>
            </w:pPr>
            <w:r w:rsidRPr="00256982">
              <w:rPr>
                <w:noProof w:val="0"/>
                <w:color w:val="FFFFFF"/>
              </w:rPr>
              <w:t>Emissions category</w:t>
            </w:r>
          </w:p>
        </w:tc>
        <w:tc>
          <w:tcPr>
            <w:tcW w:w="2694" w:type="dxa"/>
            <w:tcBorders>
              <w:top w:val="single" w:sz="4" w:space="0" w:color="365F91"/>
              <w:left w:val="nil"/>
              <w:bottom w:val="single" w:sz="4" w:space="0" w:color="365F91"/>
              <w:right w:val="nil"/>
            </w:tcBorders>
            <w:shd w:val="clear" w:color="auto" w:fill="365F91"/>
            <w:tcMar>
              <w:top w:w="0" w:type="dxa"/>
              <w:left w:w="108" w:type="dxa"/>
              <w:bottom w:w="0" w:type="dxa"/>
              <w:right w:w="108" w:type="dxa"/>
            </w:tcMar>
            <w:vAlign w:val="bottom"/>
            <w:hideMark/>
          </w:tcPr>
          <w:p w14:paraId="5AAF5599" w14:textId="77777777" w:rsidR="00FB33C6" w:rsidRPr="00256982" w:rsidRDefault="00FB33C6" w:rsidP="00823616">
            <w:pPr>
              <w:pStyle w:val="TableTextBold"/>
              <w:keepNext/>
              <w:spacing w:before="50" w:after="50"/>
              <w:jc w:val="center"/>
              <w:rPr>
                <w:noProof w:val="0"/>
                <w:color w:val="FFFFFF"/>
              </w:rPr>
            </w:pPr>
            <w:r w:rsidRPr="00256982">
              <w:rPr>
                <w:noProof w:val="0"/>
                <w:color w:val="FFFFFF"/>
              </w:rPr>
              <w:t>Uncertainty in activity data (%)</w:t>
            </w:r>
          </w:p>
        </w:tc>
        <w:tc>
          <w:tcPr>
            <w:tcW w:w="2976" w:type="dxa"/>
            <w:tcBorders>
              <w:top w:val="single" w:sz="4" w:space="0" w:color="365F91"/>
              <w:left w:val="nil"/>
              <w:bottom w:val="single" w:sz="4" w:space="0" w:color="365F91"/>
              <w:right w:val="nil"/>
            </w:tcBorders>
            <w:shd w:val="clear" w:color="auto" w:fill="365F91"/>
            <w:tcMar>
              <w:top w:w="0" w:type="dxa"/>
              <w:left w:w="108" w:type="dxa"/>
              <w:bottom w:w="0" w:type="dxa"/>
              <w:right w:w="108" w:type="dxa"/>
            </w:tcMar>
            <w:vAlign w:val="bottom"/>
            <w:hideMark/>
          </w:tcPr>
          <w:p w14:paraId="1373A4C1" w14:textId="77777777" w:rsidR="00FB33C6" w:rsidRPr="00256982" w:rsidRDefault="00FB33C6" w:rsidP="00823616">
            <w:pPr>
              <w:pStyle w:val="TableTextBold"/>
              <w:keepNext/>
              <w:spacing w:before="50" w:after="50"/>
              <w:jc w:val="center"/>
              <w:rPr>
                <w:noProof w:val="0"/>
                <w:color w:val="FFFFFF"/>
              </w:rPr>
            </w:pPr>
            <w:r w:rsidRPr="00256982">
              <w:rPr>
                <w:noProof w:val="0"/>
                <w:color w:val="FFFFFF"/>
              </w:rPr>
              <w:t>Uncertainty in emission factors (%)</w:t>
            </w:r>
          </w:p>
        </w:tc>
      </w:tr>
      <w:tr w:rsidR="00FB33C6" w:rsidRPr="00256982" w14:paraId="58F36292" w14:textId="77777777" w:rsidTr="00823616">
        <w:tc>
          <w:tcPr>
            <w:tcW w:w="2835" w:type="dxa"/>
            <w:tcBorders>
              <w:top w:val="single" w:sz="4" w:space="0" w:color="365F91"/>
              <w:left w:val="nil"/>
              <w:bottom w:val="single" w:sz="8" w:space="0" w:color="365F91"/>
              <w:right w:val="nil"/>
            </w:tcBorders>
            <w:shd w:val="clear" w:color="auto" w:fill="FFFFFF"/>
            <w:tcMar>
              <w:top w:w="0" w:type="dxa"/>
              <w:left w:w="108" w:type="dxa"/>
              <w:bottom w:w="0" w:type="dxa"/>
              <w:right w:w="108" w:type="dxa"/>
            </w:tcMar>
            <w:hideMark/>
          </w:tcPr>
          <w:p w14:paraId="28154108" w14:textId="77777777" w:rsidR="00FB33C6" w:rsidRPr="00256982" w:rsidRDefault="00FB33C6" w:rsidP="00823616">
            <w:pPr>
              <w:pStyle w:val="TableText"/>
              <w:spacing w:before="50" w:after="50"/>
            </w:pPr>
            <w:r w:rsidRPr="00256982">
              <w:t>Uncategorised landfills</w:t>
            </w:r>
          </w:p>
        </w:tc>
        <w:tc>
          <w:tcPr>
            <w:tcW w:w="2694" w:type="dxa"/>
            <w:tcBorders>
              <w:top w:val="single" w:sz="4" w:space="0" w:color="365F91"/>
              <w:left w:val="nil"/>
              <w:bottom w:val="single" w:sz="8" w:space="0" w:color="365F91"/>
              <w:right w:val="nil"/>
            </w:tcBorders>
            <w:shd w:val="clear" w:color="auto" w:fill="FFFFFF"/>
            <w:tcMar>
              <w:top w:w="0" w:type="dxa"/>
              <w:left w:w="108" w:type="dxa"/>
              <w:bottom w:w="0" w:type="dxa"/>
              <w:right w:w="108" w:type="dxa"/>
            </w:tcMar>
            <w:hideMark/>
          </w:tcPr>
          <w:p w14:paraId="526C8BC6" w14:textId="77777777" w:rsidR="00FB33C6" w:rsidRPr="00256982" w:rsidRDefault="00FB33C6" w:rsidP="00823616">
            <w:pPr>
              <w:pStyle w:val="TableText"/>
              <w:spacing w:before="50" w:after="50"/>
              <w:jc w:val="center"/>
            </w:pPr>
            <w:r w:rsidRPr="00256982">
              <w:t>±140</w:t>
            </w:r>
          </w:p>
        </w:tc>
        <w:tc>
          <w:tcPr>
            <w:tcW w:w="2976" w:type="dxa"/>
            <w:tcBorders>
              <w:top w:val="single" w:sz="4" w:space="0" w:color="365F91"/>
              <w:left w:val="nil"/>
              <w:bottom w:val="single" w:sz="8" w:space="0" w:color="365F91"/>
              <w:right w:val="nil"/>
            </w:tcBorders>
            <w:shd w:val="clear" w:color="auto" w:fill="FFFFFF"/>
            <w:tcMar>
              <w:top w:w="0" w:type="dxa"/>
              <w:left w:w="108" w:type="dxa"/>
              <w:bottom w:w="0" w:type="dxa"/>
              <w:right w:w="108" w:type="dxa"/>
            </w:tcMar>
            <w:hideMark/>
          </w:tcPr>
          <w:p w14:paraId="293B09CA" w14:textId="77777777" w:rsidR="00FB33C6" w:rsidRPr="00256982" w:rsidRDefault="00FB33C6" w:rsidP="00823616">
            <w:pPr>
              <w:pStyle w:val="TableText"/>
              <w:spacing w:before="50" w:after="50"/>
              <w:jc w:val="center"/>
            </w:pPr>
            <w:r w:rsidRPr="00256982">
              <w:t>±40</w:t>
            </w:r>
          </w:p>
        </w:tc>
      </w:tr>
      <w:tr w:rsidR="00FB33C6" w:rsidRPr="00256982" w14:paraId="16298E1E" w14:textId="77777777" w:rsidTr="00823616">
        <w:tc>
          <w:tcPr>
            <w:tcW w:w="2835" w:type="dxa"/>
            <w:tcBorders>
              <w:top w:val="single" w:sz="8" w:space="0" w:color="365F91"/>
              <w:left w:val="nil"/>
              <w:bottom w:val="single" w:sz="8" w:space="0" w:color="365F91"/>
              <w:right w:val="nil"/>
            </w:tcBorders>
            <w:shd w:val="clear" w:color="auto" w:fill="FFFFFF"/>
            <w:tcMar>
              <w:top w:w="0" w:type="dxa"/>
              <w:left w:w="108" w:type="dxa"/>
              <w:bottom w:w="0" w:type="dxa"/>
              <w:right w:w="108" w:type="dxa"/>
            </w:tcMar>
            <w:hideMark/>
          </w:tcPr>
          <w:p w14:paraId="0C19733A" w14:textId="77777777" w:rsidR="00FB33C6" w:rsidRPr="00256982" w:rsidRDefault="00FB33C6" w:rsidP="00823616">
            <w:pPr>
              <w:pStyle w:val="TableText"/>
              <w:spacing w:before="50" w:after="50"/>
            </w:pPr>
            <w:r w:rsidRPr="00256982">
              <w:t>Overall uncertainty in CH</w:t>
            </w:r>
            <w:r w:rsidRPr="00256982">
              <w:rPr>
                <w:vertAlign w:val="subscript"/>
              </w:rPr>
              <w:t>4</w:t>
            </w:r>
            <w:r w:rsidRPr="00256982">
              <w:t xml:space="preserve"> emissions</w:t>
            </w:r>
          </w:p>
        </w:tc>
        <w:tc>
          <w:tcPr>
            <w:tcW w:w="2694" w:type="dxa"/>
            <w:tcBorders>
              <w:top w:val="single" w:sz="8" w:space="0" w:color="365F91"/>
              <w:left w:val="nil"/>
              <w:bottom w:val="single" w:sz="8" w:space="0" w:color="365F91"/>
              <w:right w:val="nil"/>
            </w:tcBorders>
            <w:shd w:val="clear" w:color="auto" w:fill="FFFFFF"/>
            <w:tcMar>
              <w:top w:w="0" w:type="dxa"/>
              <w:left w:w="108" w:type="dxa"/>
              <w:bottom w:w="0" w:type="dxa"/>
              <w:right w:w="108" w:type="dxa"/>
            </w:tcMar>
            <w:hideMark/>
          </w:tcPr>
          <w:p w14:paraId="47663908" w14:textId="77777777" w:rsidR="00FB33C6" w:rsidRPr="00256982" w:rsidRDefault="00FB33C6" w:rsidP="00823616">
            <w:pPr>
              <w:pStyle w:val="TableText"/>
              <w:spacing w:before="50" w:after="50"/>
              <w:jc w:val="center"/>
            </w:pPr>
            <w:r w:rsidRPr="00256982">
              <w:t>±140</w:t>
            </w:r>
          </w:p>
        </w:tc>
        <w:tc>
          <w:tcPr>
            <w:tcW w:w="2976" w:type="dxa"/>
            <w:tcBorders>
              <w:top w:val="single" w:sz="8" w:space="0" w:color="365F91"/>
              <w:left w:val="nil"/>
              <w:bottom w:val="single" w:sz="8" w:space="0" w:color="365F91"/>
              <w:right w:val="nil"/>
            </w:tcBorders>
            <w:shd w:val="clear" w:color="auto" w:fill="FFFFFF"/>
            <w:tcMar>
              <w:top w:w="0" w:type="dxa"/>
              <w:left w:w="108" w:type="dxa"/>
              <w:bottom w:w="0" w:type="dxa"/>
              <w:right w:w="108" w:type="dxa"/>
            </w:tcMar>
            <w:hideMark/>
          </w:tcPr>
          <w:p w14:paraId="37A6D441" w14:textId="77777777" w:rsidR="00FB33C6" w:rsidRPr="00256982" w:rsidRDefault="00FB33C6" w:rsidP="00823616">
            <w:pPr>
              <w:pStyle w:val="TableText"/>
              <w:spacing w:before="50" w:after="50"/>
              <w:jc w:val="center"/>
            </w:pPr>
            <w:r w:rsidRPr="00256982">
              <w:t>±40</w:t>
            </w:r>
          </w:p>
        </w:tc>
      </w:tr>
    </w:tbl>
    <w:p w14:paraId="533DD9D5" w14:textId="77777777" w:rsidR="00FB33C6" w:rsidRPr="00256982" w:rsidRDefault="00FB33C6" w:rsidP="00FB33C6">
      <w:pPr>
        <w:pStyle w:val="Heading3"/>
        <w:spacing w:before="480"/>
      </w:pPr>
      <w:r w:rsidRPr="00256982">
        <w:t xml:space="preserve">8.5.2 </w:t>
      </w:r>
      <w:r w:rsidRPr="00256982">
        <w:tab/>
        <w:t>Emissions from Open burning and incineration in Tokelau</w:t>
      </w:r>
    </w:p>
    <w:p w14:paraId="06DA9E6B" w14:textId="77777777" w:rsidR="00FB33C6" w:rsidRPr="00256982" w:rsidRDefault="00FB33C6" w:rsidP="00FB33C6">
      <w:pPr>
        <w:pStyle w:val="BodyText"/>
      </w:pPr>
      <w:r w:rsidRPr="00256982">
        <w:t xml:space="preserve">Because there are no incineration facilities in Tokelau, all emissions associated with waste burning are reported under the </w:t>
      </w:r>
      <w:r w:rsidRPr="00256982">
        <w:rPr>
          <w:i/>
        </w:rPr>
        <w:t>Open burning</w:t>
      </w:r>
      <w:r w:rsidRPr="00256982">
        <w:t xml:space="preserve"> category. Carbon dioxide, CH</w:t>
      </w:r>
      <w:r w:rsidRPr="00256982">
        <w:rPr>
          <w:vertAlign w:val="subscript"/>
        </w:rPr>
        <w:t>4</w:t>
      </w:r>
      <w:r w:rsidRPr="00256982">
        <w:t xml:space="preserve"> and N</w:t>
      </w:r>
      <w:r w:rsidRPr="00256982">
        <w:rPr>
          <w:vertAlign w:val="subscript"/>
        </w:rPr>
        <w:t>2</w:t>
      </w:r>
      <w:r w:rsidRPr="00256982">
        <w:t>O are reported in this category.</w:t>
      </w:r>
    </w:p>
    <w:p w14:paraId="0BFC20C7" w14:textId="77777777" w:rsidR="00FB33C6" w:rsidRPr="00256982" w:rsidRDefault="00FB33C6" w:rsidP="00FB33C6">
      <w:pPr>
        <w:pStyle w:val="BodyText"/>
      </w:pPr>
      <w:r w:rsidRPr="00256982">
        <w:t>The composition of solid waste for CO</w:t>
      </w:r>
      <w:r w:rsidRPr="00256982">
        <w:rPr>
          <w:vertAlign w:val="subscript"/>
        </w:rPr>
        <w:t>2</w:t>
      </w:r>
      <w:r w:rsidRPr="00256982">
        <w:t xml:space="preserve"> from open burning is the same as for landfills, except that the 24 per cent ‘inert’ is considered to be ‘other inert’ for open burning purposes (and not disaggregated into glass, metal, plastic and so on). Keeping the 24 per cent in ‘other inert’ is likely to result in an overestimate.</w:t>
      </w:r>
    </w:p>
    <w:p w14:paraId="628224B8" w14:textId="77777777" w:rsidR="00FB33C6" w:rsidRPr="00256982" w:rsidRDefault="00FB33C6" w:rsidP="00FB33C6">
      <w:pPr>
        <w:pStyle w:val="BodyText"/>
      </w:pPr>
      <w:r w:rsidRPr="00256982">
        <w:t>The emission factors for open burning of solid waste for CH</w:t>
      </w:r>
      <w:r w:rsidRPr="00256982">
        <w:rPr>
          <w:vertAlign w:val="subscript"/>
        </w:rPr>
        <w:t>4</w:t>
      </w:r>
      <w:r w:rsidRPr="00256982">
        <w:t xml:space="preserve"> and N</w:t>
      </w:r>
      <w:r w:rsidRPr="00256982">
        <w:rPr>
          <w:vertAlign w:val="subscript"/>
        </w:rPr>
        <w:t>2</w:t>
      </w:r>
      <w:r w:rsidRPr="00256982">
        <w:t>O are the IPCC defaults for municipal solid waste and are based on a generic waste composition. It is not clear if this will over- or under-estimate emissions.</w:t>
      </w:r>
    </w:p>
    <w:p w14:paraId="35C78A0D" w14:textId="77777777" w:rsidR="00FB33C6" w:rsidRPr="00256982" w:rsidRDefault="00FB33C6" w:rsidP="00FB33C6">
      <w:pPr>
        <w:pStyle w:val="BodyText"/>
      </w:pPr>
      <w:r w:rsidRPr="00256982">
        <w:t xml:space="preserve">The category </w:t>
      </w:r>
      <w:r w:rsidRPr="00256982">
        <w:rPr>
          <w:i/>
        </w:rPr>
        <w:t xml:space="preserve">Open burning and incineration </w:t>
      </w:r>
      <w:r w:rsidRPr="00256982">
        <w:t>contributes 21.7 per cent to the total Waste sector emissions in Tokelau, which amounts to 0.14 kt CO</w:t>
      </w:r>
      <w:r w:rsidRPr="00256982">
        <w:rPr>
          <w:vertAlign w:val="subscript"/>
        </w:rPr>
        <w:t>2</w:t>
      </w:r>
      <w:r w:rsidRPr="00256982">
        <w:t>-e.</w:t>
      </w:r>
    </w:p>
    <w:p w14:paraId="4307DB15" w14:textId="77777777" w:rsidR="00FB33C6" w:rsidRPr="00256982" w:rsidRDefault="00FB33C6" w:rsidP="00FB33C6">
      <w:pPr>
        <w:pStyle w:val="Heading4"/>
      </w:pPr>
      <w:r w:rsidRPr="00256982">
        <w:t>Methodological issues</w:t>
      </w:r>
    </w:p>
    <w:p w14:paraId="1F6C7D9D" w14:textId="77777777" w:rsidR="00FB33C6" w:rsidRPr="00256982" w:rsidRDefault="00FB33C6" w:rsidP="00FB33C6">
      <w:pPr>
        <w:pStyle w:val="Heading5"/>
      </w:pPr>
      <w:r w:rsidRPr="00256982">
        <w:t>Activity data</w:t>
      </w:r>
    </w:p>
    <w:p w14:paraId="201BA05E" w14:textId="6B3D9191" w:rsidR="00FB33C6" w:rsidRPr="00256982" w:rsidRDefault="00FB33C6" w:rsidP="00FB33C6">
      <w:pPr>
        <w:pStyle w:val="BodyText"/>
      </w:pPr>
      <w:r w:rsidRPr="00256982">
        <w:t>The calculations are based on Tokelau’s population data and the assumption that 50 per cent of</w:t>
      </w:r>
      <w:r w:rsidR="000D350A" w:rsidRPr="00256982">
        <w:t> </w:t>
      </w:r>
      <w:r w:rsidRPr="00256982">
        <w:t>the waste is landfilled and the other 50 per cent is burned. This information is reported as ‘non-biogenic’ open burning, because only fossil carbon is reported, and the emission factors for CH</w:t>
      </w:r>
      <w:r w:rsidRPr="00256982">
        <w:rPr>
          <w:vertAlign w:val="subscript"/>
        </w:rPr>
        <w:t>4</w:t>
      </w:r>
      <w:r w:rsidRPr="00256982">
        <w:t xml:space="preserve"> and N</w:t>
      </w:r>
      <w:r w:rsidRPr="00256982">
        <w:rPr>
          <w:vertAlign w:val="subscript"/>
        </w:rPr>
        <w:t>2</w:t>
      </w:r>
      <w:r w:rsidRPr="00256982">
        <w:t xml:space="preserve">O are for municipal solid waste, which does not distinguish biogenic and non-biogenic wastes. </w:t>
      </w:r>
    </w:p>
    <w:p w14:paraId="5EE3EFB1" w14:textId="77777777" w:rsidR="00FB33C6" w:rsidRPr="00256982" w:rsidRDefault="00FB33C6" w:rsidP="00FB33C6">
      <w:pPr>
        <w:pStyle w:val="Heading5"/>
      </w:pPr>
      <w:r w:rsidRPr="00256982">
        <w:t>Methods and emission factors</w:t>
      </w:r>
    </w:p>
    <w:p w14:paraId="696F4652" w14:textId="77777777" w:rsidR="00FB33C6" w:rsidRPr="00256982" w:rsidRDefault="00FB33C6" w:rsidP="00FB33C6">
      <w:pPr>
        <w:pStyle w:val="BodyText"/>
      </w:pPr>
      <w:r w:rsidRPr="00256982">
        <w:t>A Tier 1 methodology with default 2006 IPCC parameters was used for calculating emissions from this category.</w:t>
      </w:r>
    </w:p>
    <w:p w14:paraId="6CE99CA4" w14:textId="7375E3CC" w:rsidR="00FB33C6" w:rsidRPr="00256982" w:rsidRDefault="00FB33C6" w:rsidP="00FB33C6">
      <w:pPr>
        <w:pStyle w:val="BodyText"/>
      </w:pPr>
      <w:r w:rsidRPr="00256982">
        <w:t>The emission factor for CO</w:t>
      </w:r>
      <w:r w:rsidRPr="00256982">
        <w:rPr>
          <w:vertAlign w:val="subscript"/>
        </w:rPr>
        <w:t>2</w:t>
      </w:r>
      <w:r w:rsidRPr="00256982">
        <w:t xml:space="preserve"> was the weighted average of calculated factors from table 8.5.3 and a 58 per cent oxidation factor for open burning. For other gases, the following 2006 IPCC default emission factors were used: for CH</w:t>
      </w:r>
      <w:r w:rsidRPr="00256982">
        <w:rPr>
          <w:vertAlign w:val="subscript"/>
        </w:rPr>
        <w:t>4</w:t>
      </w:r>
      <w:r w:rsidRPr="00256982">
        <w:t>, the default emission factor for municipal solid waste in section 5.4.2 (6,500 kg CH</w:t>
      </w:r>
      <w:r w:rsidRPr="00256982">
        <w:rPr>
          <w:vertAlign w:val="subscript"/>
        </w:rPr>
        <w:t>4</w:t>
      </w:r>
      <w:r w:rsidRPr="00256982">
        <w:t>/gigagrams (Gg) wet waste); for N</w:t>
      </w:r>
      <w:r w:rsidRPr="00256982">
        <w:rPr>
          <w:vertAlign w:val="subscript"/>
        </w:rPr>
        <w:t>2</w:t>
      </w:r>
      <w:r w:rsidRPr="00256982">
        <w:t>O, the default emission factor for open burning of municipal solid waste from table 5.6 (150 kg N</w:t>
      </w:r>
      <w:r w:rsidRPr="00256982">
        <w:rPr>
          <w:vertAlign w:val="subscript"/>
        </w:rPr>
        <w:t>2</w:t>
      </w:r>
      <w:r w:rsidRPr="00256982">
        <w:t>O/Gg dry waste) (IPCC, 2006d). Converted waste volume to dry weight by using dry matter conversion was calculated for CO</w:t>
      </w:r>
      <w:r w:rsidRPr="00256982">
        <w:rPr>
          <w:vertAlign w:val="subscript"/>
        </w:rPr>
        <w:t>2</w:t>
      </w:r>
      <w:r w:rsidRPr="00256982">
        <w:t xml:space="preserve"> (56.1 per cent). Table 8.5.3 shows waste type and the composition data based on default 2006 IPCC parameters used in estimating emissions from 5.C.2.</w:t>
      </w:r>
    </w:p>
    <w:p w14:paraId="592B2C26" w14:textId="77777777" w:rsidR="00FB33C6" w:rsidRPr="00256982" w:rsidRDefault="00FB33C6" w:rsidP="00FB33C6">
      <w:pPr>
        <w:pStyle w:val="Table"/>
        <w:rPr>
          <w:rFonts w:eastAsia="Calibri" w:cs="Arial"/>
          <w:szCs w:val="16"/>
        </w:rPr>
      </w:pPr>
      <w:bookmarkStart w:id="2474" w:name="_Toc5269604"/>
      <w:r w:rsidRPr="00256982">
        <w:rPr>
          <w:rFonts w:eastAsia="Calibri" w:cs="Arial"/>
          <w:szCs w:val="16"/>
        </w:rPr>
        <w:t>Table 8.5.3</w:t>
      </w:r>
      <w:r w:rsidRPr="00256982">
        <w:rPr>
          <w:rFonts w:eastAsia="Calibri" w:cs="Arial"/>
          <w:szCs w:val="16"/>
        </w:rPr>
        <w:tab/>
        <w:t>Composition data and carbon content used for estimating emissions from 5.C.2</w:t>
      </w:r>
      <w:bookmarkEnd w:id="2474"/>
    </w:p>
    <w:tbl>
      <w:tblPr>
        <w:tblW w:w="8505" w:type="dxa"/>
        <w:tblInd w:w="108" w:type="dxa"/>
        <w:tblBorders>
          <w:top w:val="single" w:sz="4" w:space="0" w:color="365F91"/>
          <w:bottom w:val="single" w:sz="4" w:space="0" w:color="365F91"/>
          <w:insideH w:val="single" w:sz="4" w:space="0" w:color="365F91"/>
          <w:insideV w:val="single" w:sz="4" w:space="0" w:color="365F91"/>
        </w:tblBorders>
        <w:tblLook w:val="04A0" w:firstRow="1" w:lastRow="0" w:firstColumn="1" w:lastColumn="0" w:noHBand="0" w:noVBand="1"/>
      </w:tblPr>
      <w:tblGrid>
        <w:gridCol w:w="1810"/>
        <w:gridCol w:w="1796"/>
        <w:gridCol w:w="1796"/>
        <w:gridCol w:w="1110"/>
        <w:gridCol w:w="1110"/>
        <w:gridCol w:w="883"/>
      </w:tblGrid>
      <w:tr w:rsidR="00FB33C6" w:rsidRPr="00256982" w14:paraId="1834E71E" w14:textId="77777777" w:rsidTr="00823616">
        <w:tc>
          <w:tcPr>
            <w:tcW w:w="1719" w:type="dxa"/>
            <w:shd w:val="clear" w:color="auto" w:fill="365F91"/>
            <w:vAlign w:val="bottom"/>
          </w:tcPr>
          <w:p w14:paraId="68498F49" w14:textId="77777777" w:rsidR="00FB33C6" w:rsidRPr="00256982" w:rsidRDefault="00FB33C6" w:rsidP="00823616">
            <w:pPr>
              <w:pStyle w:val="TableTextBold"/>
              <w:rPr>
                <w:rFonts w:eastAsia="Calibri" w:cs="Arial"/>
                <w:bCs/>
                <w:noProof w:val="0"/>
                <w:color w:val="FFFFFF"/>
                <w:szCs w:val="16"/>
              </w:rPr>
            </w:pPr>
            <w:r w:rsidRPr="00256982">
              <w:rPr>
                <w:rFonts w:eastAsia="Calibri" w:cs="Arial"/>
                <w:bCs/>
                <w:noProof w:val="0"/>
                <w:color w:val="FFFFFF"/>
                <w:szCs w:val="16"/>
              </w:rPr>
              <w:t>Waste type</w:t>
            </w:r>
          </w:p>
        </w:tc>
        <w:tc>
          <w:tcPr>
            <w:tcW w:w="1706" w:type="dxa"/>
            <w:shd w:val="clear" w:color="auto" w:fill="365F91"/>
            <w:vAlign w:val="bottom"/>
          </w:tcPr>
          <w:p w14:paraId="690AC96B" w14:textId="77777777" w:rsidR="00FB33C6" w:rsidRPr="00256982" w:rsidRDefault="00FB33C6" w:rsidP="00823616">
            <w:pPr>
              <w:pStyle w:val="TableTextBold"/>
              <w:jc w:val="center"/>
              <w:rPr>
                <w:rFonts w:eastAsia="Calibri" w:cs="Arial"/>
                <w:bCs/>
                <w:noProof w:val="0"/>
                <w:color w:val="FFFFFF"/>
                <w:szCs w:val="16"/>
              </w:rPr>
            </w:pPr>
            <w:r w:rsidRPr="00256982">
              <w:rPr>
                <w:rFonts w:eastAsia="Calibri" w:cs="Arial"/>
                <w:bCs/>
                <w:noProof w:val="0"/>
                <w:color w:val="FFFFFF"/>
                <w:szCs w:val="16"/>
              </w:rPr>
              <w:t>Landfill composition (%)</w:t>
            </w:r>
          </w:p>
        </w:tc>
        <w:tc>
          <w:tcPr>
            <w:tcW w:w="1706" w:type="dxa"/>
            <w:shd w:val="clear" w:color="auto" w:fill="365F91"/>
            <w:vAlign w:val="bottom"/>
          </w:tcPr>
          <w:p w14:paraId="5DDE0F45" w14:textId="77777777" w:rsidR="00FB33C6" w:rsidRPr="00256982" w:rsidRDefault="00FB33C6" w:rsidP="00823616">
            <w:pPr>
              <w:pStyle w:val="TableTextBold"/>
              <w:jc w:val="center"/>
              <w:rPr>
                <w:rFonts w:eastAsia="Calibri" w:cs="Arial"/>
                <w:bCs/>
                <w:noProof w:val="0"/>
                <w:color w:val="FFFFFF"/>
                <w:szCs w:val="16"/>
              </w:rPr>
            </w:pPr>
            <w:r w:rsidRPr="00256982">
              <w:rPr>
                <w:rFonts w:eastAsia="Calibri" w:cs="Arial"/>
                <w:bCs/>
                <w:noProof w:val="0"/>
                <w:color w:val="FFFFFF"/>
                <w:szCs w:val="16"/>
              </w:rPr>
              <w:t>CO</w:t>
            </w:r>
            <w:r w:rsidRPr="00256982">
              <w:rPr>
                <w:rFonts w:eastAsia="Calibri" w:cs="Arial"/>
                <w:bCs/>
                <w:noProof w:val="0"/>
                <w:color w:val="FFFFFF"/>
                <w:szCs w:val="16"/>
                <w:vertAlign w:val="subscript"/>
              </w:rPr>
              <w:t>2</w:t>
            </w:r>
            <w:r w:rsidRPr="00256982">
              <w:rPr>
                <w:rFonts w:eastAsia="Calibri" w:cs="Arial"/>
                <w:bCs/>
                <w:noProof w:val="0"/>
                <w:color w:val="FFFFFF"/>
                <w:szCs w:val="16"/>
              </w:rPr>
              <w:t xml:space="preserve"> incineration composition (%)</w:t>
            </w:r>
          </w:p>
        </w:tc>
        <w:tc>
          <w:tcPr>
            <w:tcW w:w="1055" w:type="dxa"/>
            <w:shd w:val="clear" w:color="auto" w:fill="365F91"/>
            <w:vAlign w:val="bottom"/>
          </w:tcPr>
          <w:p w14:paraId="2AFCBE82" w14:textId="77777777" w:rsidR="00FB33C6" w:rsidRPr="00256982" w:rsidRDefault="00FB33C6" w:rsidP="00823616">
            <w:pPr>
              <w:pStyle w:val="TableTextBold"/>
              <w:jc w:val="center"/>
              <w:rPr>
                <w:rFonts w:eastAsia="Calibri" w:cs="Arial"/>
                <w:bCs/>
                <w:noProof w:val="0"/>
                <w:color w:val="FFFFFF"/>
                <w:szCs w:val="16"/>
              </w:rPr>
            </w:pPr>
            <w:r w:rsidRPr="00256982">
              <w:rPr>
                <w:rFonts w:eastAsia="Calibri" w:cs="Arial"/>
                <w:bCs/>
                <w:noProof w:val="0"/>
                <w:color w:val="FFFFFF"/>
                <w:szCs w:val="16"/>
              </w:rPr>
              <w:t>Dry matter (%)</w:t>
            </w:r>
          </w:p>
        </w:tc>
        <w:tc>
          <w:tcPr>
            <w:tcW w:w="1055" w:type="dxa"/>
            <w:shd w:val="clear" w:color="auto" w:fill="365F91"/>
            <w:vAlign w:val="bottom"/>
          </w:tcPr>
          <w:p w14:paraId="3D253F0B" w14:textId="77777777" w:rsidR="00FB33C6" w:rsidRPr="00256982" w:rsidRDefault="00FB33C6" w:rsidP="00823616">
            <w:pPr>
              <w:pStyle w:val="TableTextBold"/>
              <w:jc w:val="center"/>
              <w:rPr>
                <w:rFonts w:eastAsia="Calibri" w:cs="Arial"/>
                <w:bCs/>
                <w:noProof w:val="0"/>
                <w:color w:val="FFFFFF"/>
                <w:szCs w:val="16"/>
              </w:rPr>
            </w:pPr>
            <w:r w:rsidRPr="00256982">
              <w:rPr>
                <w:rFonts w:eastAsia="Calibri" w:cs="Arial"/>
                <w:bCs/>
                <w:noProof w:val="0"/>
                <w:color w:val="FFFFFF"/>
                <w:szCs w:val="16"/>
              </w:rPr>
              <w:t>Total carbon (%)</w:t>
            </w:r>
          </w:p>
        </w:tc>
        <w:tc>
          <w:tcPr>
            <w:tcW w:w="839" w:type="dxa"/>
            <w:shd w:val="clear" w:color="auto" w:fill="365F91"/>
            <w:vAlign w:val="bottom"/>
          </w:tcPr>
          <w:p w14:paraId="58F05D37" w14:textId="77777777" w:rsidR="00FB33C6" w:rsidRPr="00256982" w:rsidRDefault="00FB33C6" w:rsidP="00823616">
            <w:pPr>
              <w:pStyle w:val="TableTextBold"/>
              <w:jc w:val="center"/>
              <w:rPr>
                <w:rFonts w:eastAsia="Calibri" w:cs="Arial"/>
                <w:bCs/>
                <w:noProof w:val="0"/>
                <w:color w:val="FFFFFF"/>
                <w:szCs w:val="16"/>
              </w:rPr>
            </w:pPr>
            <w:r w:rsidRPr="00256982">
              <w:rPr>
                <w:rFonts w:eastAsia="Calibri" w:cs="Arial"/>
                <w:bCs/>
                <w:noProof w:val="0"/>
                <w:color w:val="FFFFFF"/>
                <w:szCs w:val="16"/>
              </w:rPr>
              <w:t>Fossil carbon (%)</w:t>
            </w:r>
          </w:p>
        </w:tc>
      </w:tr>
      <w:tr w:rsidR="00FB33C6" w:rsidRPr="00256982" w14:paraId="0790A9BB" w14:textId="77777777" w:rsidTr="00823616">
        <w:tc>
          <w:tcPr>
            <w:tcW w:w="1719" w:type="dxa"/>
            <w:shd w:val="clear" w:color="auto" w:fill="FFFFFF"/>
          </w:tcPr>
          <w:p w14:paraId="40931F19" w14:textId="77777777" w:rsidR="00FB33C6" w:rsidRPr="00256982" w:rsidRDefault="00FB33C6" w:rsidP="00823616">
            <w:pPr>
              <w:pStyle w:val="TableText"/>
              <w:rPr>
                <w:rFonts w:eastAsia="Calibri"/>
                <w:bCs/>
                <w:szCs w:val="22"/>
              </w:rPr>
            </w:pPr>
            <w:r w:rsidRPr="00256982">
              <w:rPr>
                <w:rFonts w:eastAsia="Calibri"/>
                <w:bCs/>
                <w:szCs w:val="22"/>
              </w:rPr>
              <w:t>Paper/card</w:t>
            </w:r>
          </w:p>
        </w:tc>
        <w:tc>
          <w:tcPr>
            <w:tcW w:w="3412" w:type="dxa"/>
            <w:gridSpan w:val="2"/>
            <w:shd w:val="clear" w:color="auto" w:fill="auto"/>
          </w:tcPr>
          <w:p w14:paraId="671CDA92" w14:textId="77777777" w:rsidR="00FB33C6" w:rsidRPr="00256982" w:rsidRDefault="00FB33C6" w:rsidP="00823616">
            <w:pPr>
              <w:pStyle w:val="TableText"/>
              <w:jc w:val="center"/>
              <w:rPr>
                <w:rFonts w:eastAsia="Calibri"/>
                <w:szCs w:val="22"/>
              </w:rPr>
            </w:pPr>
            <w:r w:rsidRPr="00256982">
              <w:rPr>
                <w:rFonts w:eastAsia="Calibri"/>
                <w:szCs w:val="22"/>
              </w:rPr>
              <w:t>6.0</w:t>
            </w:r>
          </w:p>
        </w:tc>
        <w:tc>
          <w:tcPr>
            <w:tcW w:w="1055" w:type="dxa"/>
            <w:shd w:val="clear" w:color="auto" w:fill="auto"/>
          </w:tcPr>
          <w:p w14:paraId="58FA00BC" w14:textId="77777777" w:rsidR="00FB33C6" w:rsidRPr="00256982" w:rsidRDefault="00FB33C6" w:rsidP="00823616">
            <w:pPr>
              <w:pStyle w:val="TableText"/>
              <w:jc w:val="center"/>
              <w:rPr>
                <w:rFonts w:eastAsia="Calibri"/>
                <w:szCs w:val="22"/>
              </w:rPr>
            </w:pPr>
            <w:r w:rsidRPr="00256982">
              <w:rPr>
                <w:rFonts w:eastAsia="Calibri"/>
                <w:szCs w:val="22"/>
              </w:rPr>
              <w:t>90</w:t>
            </w:r>
          </w:p>
        </w:tc>
        <w:tc>
          <w:tcPr>
            <w:tcW w:w="1055" w:type="dxa"/>
            <w:shd w:val="clear" w:color="auto" w:fill="auto"/>
          </w:tcPr>
          <w:p w14:paraId="09FB0324" w14:textId="77777777" w:rsidR="00FB33C6" w:rsidRPr="00256982" w:rsidRDefault="00FB33C6" w:rsidP="00823616">
            <w:pPr>
              <w:pStyle w:val="TableText"/>
              <w:jc w:val="center"/>
              <w:rPr>
                <w:rFonts w:eastAsia="Calibri"/>
                <w:szCs w:val="22"/>
              </w:rPr>
            </w:pPr>
            <w:r w:rsidRPr="00256982">
              <w:rPr>
                <w:rFonts w:eastAsia="Calibri"/>
                <w:szCs w:val="22"/>
              </w:rPr>
              <w:t>43</w:t>
            </w:r>
          </w:p>
        </w:tc>
        <w:tc>
          <w:tcPr>
            <w:tcW w:w="839" w:type="dxa"/>
            <w:shd w:val="clear" w:color="auto" w:fill="auto"/>
          </w:tcPr>
          <w:p w14:paraId="7DB4438E" w14:textId="77777777" w:rsidR="00FB33C6" w:rsidRPr="00256982" w:rsidRDefault="00FB33C6" w:rsidP="00823616">
            <w:pPr>
              <w:pStyle w:val="TableText"/>
              <w:jc w:val="center"/>
              <w:rPr>
                <w:rFonts w:eastAsia="Calibri"/>
                <w:szCs w:val="22"/>
              </w:rPr>
            </w:pPr>
            <w:r w:rsidRPr="00256982">
              <w:rPr>
                <w:rFonts w:eastAsia="Calibri"/>
                <w:szCs w:val="22"/>
              </w:rPr>
              <w:t>1</w:t>
            </w:r>
          </w:p>
        </w:tc>
      </w:tr>
      <w:tr w:rsidR="00FB33C6" w:rsidRPr="00256982" w14:paraId="5B248381" w14:textId="77777777" w:rsidTr="00823616">
        <w:tc>
          <w:tcPr>
            <w:tcW w:w="1719" w:type="dxa"/>
            <w:shd w:val="clear" w:color="auto" w:fill="FFFFFF"/>
          </w:tcPr>
          <w:p w14:paraId="53CC2A3F" w14:textId="77777777" w:rsidR="00FB33C6" w:rsidRPr="00256982" w:rsidRDefault="00FB33C6" w:rsidP="00823616">
            <w:pPr>
              <w:pStyle w:val="TableText"/>
              <w:rPr>
                <w:rFonts w:eastAsia="Calibri"/>
                <w:bCs/>
                <w:szCs w:val="22"/>
              </w:rPr>
            </w:pPr>
            <w:r w:rsidRPr="00256982">
              <w:rPr>
                <w:rFonts w:eastAsia="Calibri"/>
                <w:bCs/>
                <w:szCs w:val="22"/>
              </w:rPr>
              <w:t>Textiles</w:t>
            </w:r>
          </w:p>
        </w:tc>
        <w:tc>
          <w:tcPr>
            <w:tcW w:w="3412" w:type="dxa"/>
            <w:gridSpan w:val="2"/>
            <w:shd w:val="clear" w:color="auto" w:fill="auto"/>
          </w:tcPr>
          <w:p w14:paraId="5A7D9F62" w14:textId="77777777" w:rsidR="00FB33C6" w:rsidRPr="00256982" w:rsidRDefault="00FB33C6" w:rsidP="00823616">
            <w:pPr>
              <w:pStyle w:val="TableText"/>
              <w:jc w:val="center"/>
              <w:rPr>
                <w:rFonts w:eastAsia="Calibri"/>
                <w:szCs w:val="22"/>
              </w:rPr>
            </w:pPr>
            <w:r w:rsidRPr="00256982">
              <w:rPr>
                <w:rFonts w:eastAsia="Calibri"/>
                <w:szCs w:val="22"/>
              </w:rPr>
              <w:t>0</w:t>
            </w:r>
          </w:p>
        </w:tc>
        <w:tc>
          <w:tcPr>
            <w:tcW w:w="1055" w:type="dxa"/>
            <w:shd w:val="clear" w:color="auto" w:fill="auto"/>
          </w:tcPr>
          <w:p w14:paraId="20584D0B" w14:textId="77777777" w:rsidR="00FB33C6" w:rsidRPr="00256982" w:rsidRDefault="00FB33C6" w:rsidP="00823616">
            <w:pPr>
              <w:pStyle w:val="TableText"/>
              <w:jc w:val="center"/>
              <w:rPr>
                <w:rFonts w:eastAsia="Calibri"/>
                <w:szCs w:val="22"/>
              </w:rPr>
            </w:pPr>
            <w:r w:rsidRPr="00256982">
              <w:rPr>
                <w:rFonts w:eastAsia="Calibri"/>
                <w:szCs w:val="22"/>
              </w:rPr>
              <w:t>80</w:t>
            </w:r>
          </w:p>
        </w:tc>
        <w:tc>
          <w:tcPr>
            <w:tcW w:w="1055" w:type="dxa"/>
            <w:shd w:val="clear" w:color="auto" w:fill="auto"/>
          </w:tcPr>
          <w:p w14:paraId="76905BAF" w14:textId="77777777" w:rsidR="00FB33C6" w:rsidRPr="00256982" w:rsidRDefault="00FB33C6" w:rsidP="00823616">
            <w:pPr>
              <w:pStyle w:val="TableText"/>
              <w:jc w:val="center"/>
              <w:rPr>
                <w:rFonts w:eastAsia="Calibri"/>
                <w:szCs w:val="22"/>
              </w:rPr>
            </w:pPr>
            <w:r w:rsidRPr="00256982">
              <w:rPr>
                <w:rFonts w:eastAsia="Calibri"/>
                <w:szCs w:val="22"/>
              </w:rPr>
              <w:t>50</w:t>
            </w:r>
          </w:p>
        </w:tc>
        <w:tc>
          <w:tcPr>
            <w:tcW w:w="839" w:type="dxa"/>
            <w:shd w:val="clear" w:color="auto" w:fill="auto"/>
          </w:tcPr>
          <w:p w14:paraId="1B1A4DB9" w14:textId="77777777" w:rsidR="00FB33C6" w:rsidRPr="00256982" w:rsidRDefault="00FB33C6" w:rsidP="00823616">
            <w:pPr>
              <w:pStyle w:val="TableText"/>
              <w:jc w:val="center"/>
              <w:rPr>
                <w:rFonts w:eastAsia="Calibri"/>
                <w:szCs w:val="22"/>
              </w:rPr>
            </w:pPr>
            <w:r w:rsidRPr="00256982">
              <w:rPr>
                <w:rFonts w:eastAsia="Calibri"/>
                <w:szCs w:val="22"/>
              </w:rPr>
              <w:t>20</w:t>
            </w:r>
          </w:p>
        </w:tc>
      </w:tr>
      <w:tr w:rsidR="00FB33C6" w:rsidRPr="00256982" w14:paraId="23B9B7BE" w14:textId="77777777" w:rsidTr="00823616">
        <w:tc>
          <w:tcPr>
            <w:tcW w:w="1719" w:type="dxa"/>
            <w:shd w:val="clear" w:color="auto" w:fill="FFFFFF"/>
          </w:tcPr>
          <w:p w14:paraId="22D5C8C7" w14:textId="77777777" w:rsidR="00FB33C6" w:rsidRPr="00256982" w:rsidRDefault="00FB33C6" w:rsidP="00823616">
            <w:pPr>
              <w:pStyle w:val="TableText"/>
              <w:rPr>
                <w:rFonts w:eastAsia="Calibri"/>
                <w:bCs/>
                <w:szCs w:val="22"/>
              </w:rPr>
            </w:pPr>
            <w:r w:rsidRPr="00256982">
              <w:rPr>
                <w:rFonts w:eastAsia="Calibri"/>
                <w:bCs/>
                <w:szCs w:val="22"/>
              </w:rPr>
              <w:t>Food waste</w:t>
            </w:r>
          </w:p>
        </w:tc>
        <w:tc>
          <w:tcPr>
            <w:tcW w:w="3412" w:type="dxa"/>
            <w:gridSpan w:val="2"/>
            <w:shd w:val="clear" w:color="auto" w:fill="auto"/>
          </w:tcPr>
          <w:p w14:paraId="7E8436C2" w14:textId="77777777" w:rsidR="00FB33C6" w:rsidRPr="00256982" w:rsidRDefault="00FB33C6" w:rsidP="00823616">
            <w:pPr>
              <w:pStyle w:val="TableText"/>
              <w:jc w:val="center"/>
              <w:rPr>
                <w:rFonts w:eastAsia="Calibri"/>
                <w:szCs w:val="22"/>
              </w:rPr>
            </w:pPr>
            <w:r w:rsidRPr="00256982">
              <w:rPr>
                <w:rFonts w:eastAsia="Calibri"/>
                <w:szCs w:val="22"/>
              </w:rPr>
              <w:t>67.5</w:t>
            </w:r>
          </w:p>
        </w:tc>
        <w:tc>
          <w:tcPr>
            <w:tcW w:w="1055" w:type="dxa"/>
            <w:shd w:val="clear" w:color="auto" w:fill="auto"/>
          </w:tcPr>
          <w:p w14:paraId="3135A0B8" w14:textId="77777777" w:rsidR="00FB33C6" w:rsidRPr="00256982" w:rsidRDefault="00FB33C6" w:rsidP="00823616">
            <w:pPr>
              <w:pStyle w:val="TableText"/>
              <w:jc w:val="center"/>
              <w:rPr>
                <w:rFonts w:eastAsia="Calibri"/>
                <w:szCs w:val="22"/>
              </w:rPr>
            </w:pPr>
            <w:r w:rsidRPr="00256982">
              <w:rPr>
                <w:rFonts w:eastAsia="Calibri"/>
                <w:szCs w:val="22"/>
              </w:rPr>
              <w:t>40</w:t>
            </w:r>
          </w:p>
        </w:tc>
        <w:tc>
          <w:tcPr>
            <w:tcW w:w="1055" w:type="dxa"/>
            <w:shd w:val="clear" w:color="auto" w:fill="auto"/>
          </w:tcPr>
          <w:p w14:paraId="71639094" w14:textId="77777777" w:rsidR="00FB33C6" w:rsidRPr="00256982" w:rsidRDefault="00FB33C6" w:rsidP="00823616">
            <w:pPr>
              <w:pStyle w:val="TableText"/>
              <w:jc w:val="center"/>
              <w:rPr>
                <w:rFonts w:eastAsia="Calibri"/>
                <w:szCs w:val="22"/>
              </w:rPr>
            </w:pPr>
            <w:r w:rsidRPr="00256982">
              <w:rPr>
                <w:rFonts w:eastAsia="Calibri"/>
                <w:szCs w:val="22"/>
              </w:rPr>
              <w:t>38</w:t>
            </w:r>
          </w:p>
        </w:tc>
        <w:tc>
          <w:tcPr>
            <w:tcW w:w="839" w:type="dxa"/>
            <w:shd w:val="clear" w:color="auto" w:fill="auto"/>
          </w:tcPr>
          <w:p w14:paraId="13AE6086" w14:textId="77777777" w:rsidR="00FB33C6" w:rsidRPr="00256982" w:rsidRDefault="00FB33C6" w:rsidP="00823616">
            <w:pPr>
              <w:pStyle w:val="TableText"/>
              <w:jc w:val="center"/>
              <w:rPr>
                <w:rFonts w:eastAsia="Calibri"/>
                <w:szCs w:val="22"/>
              </w:rPr>
            </w:pPr>
            <w:r w:rsidRPr="00256982">
              <w:rPr>
                <w:rFonts w:eastAsia="Calibri"/>
                <w:szCs w:val="22"/>
              </w:rPr>
              <w:t>0</w:t>
            </w:r>
          </w:p>
        </w:tc>
      </w:tr>
      <w:tr w:rsidR="00FB33C6" w:rsidRPr="00256982" w14:paraId="3F391447" w14:textId="77777777" w:rsidTr="00823616">
        <w:tc>
          <w:tcPr>
            <w:tcW w:w="1719" w:type="dxa"/>
            <w:shd w:val="clear" w:color="auto" w:fill="FFFFFF"/>
          </w:tcPr>
          <w:p w14:paraId="26CABD4E" w14:textId="77777777" w:rsidR="00FB33C6" w:rsidRPr="00256982" w:rsidRDefault="00FB33C6" w:rsidP="00823616">
            <w:pPr>
              <w:pStyle w:val="TableText"/>
              <w:rPr>
                <w:rFonts w:eastAsia="Calibri"/>
                <w:bCs/>
                <w:szCs w:val="22"/>
              </w:rPr>
            </w:pPr>
            <w:r w:rsidRPr="00256982">
              <w:rPr>
                <w:rFonts w:eastAsia="Calibri"/>
                <w:bCs/>
                <w:szCs w:val="22"/>
              </w:rPr>
              <w:t>Wood</w:t>
            </w:r>
          </w:p>
        </w:tc>
        <w:tc>
          <w:tcPr>
            <w:tcW w:w="3412" w:type="dxa"/>
            <w:gridSpan w:val="2"/>
            <w:shd w:val="clear" w:color="auto" w:fill="auto"/>
          </w:tcPr>
          <w:p w14:paraId="4ACD258A" w14:textId="77777777" w:rsidR="00FB33C6" w:rsidRPr="00256982" w:rsidRDefault="00FB33C6" w:rsidP="00823616">
            <w:pPr>
              <w:pStyle w:val="TableText"/>
              <w:jc w:val="center"/>
              <w:rPr>
                <w:rFonts w:eastAsia="Calibri"/>
                <w:szCs w:val="22"/>
              </w:rPr>
            </w:pPr>
            <w:r w:rsidRPr="00256982">
              <w:rPr>
                <w:rFonts w:eastAsia="Calibri"/>
                <w:szCs w:val="22"/>
              </w:rPr>
              <w:t>2.5</w:t>
            </w:r>
          </w:p>
        </w:tc>
        <w:tc>
          <w:tcPr>
            <w:tcW w:w="1055" w:type="dxa"/>
            <w:shd w:val="clear" w:color="auto" w:fill="auto"/>
          </w:tcPr>
          <w:p w14:paraId="3B25EE8F" w14:textId="77777777" w:rsidR="00FB33C6" w:rsidRPr="00256982" w:rsidRDefault="00FB33C6" w:rsidP="00823616">
            <w:pPr>
              <w:pStyle w:val="TableText"/>
              <w:jc w:val="center"/>
              <w:rPr>
                <w:rFonts w:eastAsia="Calibri"/>
                <w:szCs w:val="22"/>
              </w:rPr>
            </w:pPr>
            <w:r w:rsidRPr="00256982">
              <w:rPr>
                <w:rFonts w:eastAsia="Calibri"/>
                <w:szCs w:val="22"/>
              </w:rPr>
              <w:t>85</w:t>
            </w:r>
          </w:p>
        </w:tc>
        <w:tc>
          <w:tcPr>
            <w:tcW w:w="1055" w:type="dxa"/>
            <w:shd w:val="clear" w:color="auto" w:fill="auto"/>
          </w:tcPr>
          <w:p w14:paraId="393DAC1B" w14:textId="77777777" w:rsidR="00FB33C6" w:rsidRPr="00256982" w:rsidRDefault="00FB33C6" w:rsidP="00823616">
            <w:pPr>
              <w:pStyle w:val="TableText"/>
              <w:jc w:val="center"/>
              <w:rPr>
                <w:rFonts w:eastAsia="Calibri"/>
                <w:szCs w:val="22"/>
              </w:rPr>
            </w:pPr>
            <w:r w:rsidRPr="00256982">
              <w:rPr>
                <w:rFonts w:eastAsia="Calibri"/>
                <w:szCs w:val="22"/>
              </w:rPr>
              <w:t>50</w:t>
            </w:r>
          </w:p>
        </w:tc>
        <w:tc>
          <w:tcPr>
            <w:tcW w:w="839" w:type="dxa"/>
            <w:shd w:val="clear" w:color="auto" w:fill="auto"/>
          </w:tcPr>
          <w:p w14:paraId="0E005E94" w14:textId="77777777" w:rsidR="00FB33C6" w:rsidRPr="00256982" w:rsidRDefault="00FB33C6" w:rsidP="00823616">
            <w:pPr>
              <w:pStyle w:val="TableText"/>
              <w:jc w:val="center"/>
              <w:rPr>
                <w:rFonts w:eastAsia="Calibri"/>
                <w:szCs w:val="22"/>
              </w:rPr>
            </w:pPr>
            <w:r w:rsidRPr="00256982">
              <w:rPr>
                <w:rFonts w:eastAsia="Calibri"/>
                <w:szCs w:val="22"/>
              </w:rPr>
              <w:t>0</w:t>
            </w:r>
          </w:p>
        </w:tc>
      </w:tr>
      <w:tr w:rsidR="00FB33C6" w:rsidRPr="00256982" w14:paraId="0197B82E" w14:textId="77777777" w:rsidTr="00823616">
        <w:tc>
          <w:tcPr>
            <w:tcW w:w="1719" w:type="dxa"/>
            <w:shd w:val="clear" w:color="auto" w:fill="FFFFFF"/>
          </w:tcPr>
          <w:p w14:paraId="0BCBD0B2" w14:textId="77777777" w:rsidR="00FB33C6" w:rsidRPr="00256982" w:rsidRDefault="00FB33C6" w:rsidP="00823616">
            <w:pPr>
              <w:pStyle w:val="TableText"/>
              <w:rPr>
                <w:rFonts w:eastAsia="Calibri"/>
                <w:bCs/>
                <w:szCs w:val="22"/>
              </w:rPr>
            </w:pPr>
            <w:r w:rsidRPr="00256982">
              <w:rPr>
                <w:rFonts w:eastAsia="Calibri"/>
                <w:bCs/>
                <w:szCs w:val="22"/>
              </w:rPr>
              <w:t>Garden and park waste</w:t>
            </w:r>
          </w:p>
        </w:tc>
        <w:tc>
          <w:tcPr>
            <w:tcW w:w="3412" w:type="dxa"/>
            <w:gridSpan w:val="2"/>
            <w:shd w:val="clear" w:color="auto" w:fill="auto"/>
          </w:tcPr>
          <w:p w14:paraId="2511FB88" w14:textId="77777777" w:rsidR="00FB33C6" w:rsidRPr="00256982" w:rsidRDefault="00FB33C6" w:rsidP="00823616">
            <w:pPr>
              <w:pStyle w:val="TableText"/>
              <w:jc w:val="center"/>
              <w:rPr>
                <w:rFonts w:eastAsia="Calibri"/>
                <w:szCs w:val="22"/>
              </w:rPr>
            </w:pPr>
            <w:r w:rsidRPr="00256982">
              <w:rPr>
                <w:rFonts w:eastAsia="Calibri"/>
                <w:szCs w:val="22"/>
              </w:rPr>
              <w:t>0</w:t>
            </w:r>
          </w:p>
        </w:tc>
        <w:tc>
          <w:tcPr>
            <w:tcW w:w="1055" w:type="dxa"/>
            <w:shd w:val="clear" w:color="auto" w:fill="auto"/>
          </w:tcPr>
          <w:p w14:paraId="3DEB5318" w14:textId="77777777" w:rsidR="00FB33C6" w:rsidRPr="00256982" w:rsidRDefault="00FB33C6" w:rsidP="00823616">
            <w:pPr>
              <w:pStyle w:val="TableText"/>
              <w:jc w:val="center"/>
              <w:rPr>
                <w:rFonts w:eastAsia="Calibri"/>
                <w:szCs w:val="22"/>
              </w:rPr>
            </w:pPr>
            <w:r w:rsidRPr="00256982">
              <w:rPr>
                <w:rFonts w:eastAsia="Calibri"/>
                <w:szCs w:val="22"/>
              </w:rPr>
              <w:t>40</w:t>
            </w:r>
          </w:p>
        </w:tc>
        <w:tc>
          <w:tcPr>
            <w:tcW w:w="1055" w:type="dxa"/>
            <w:shd w:val="clear" w:color="auto" w:fill="auto"/>
          </w:tcPr>
          <w:p w14:paraId="07DF8C86" w14:textId="77777777" w:rsidR="00FB33C6" w:rsidRPr="00256982" w:rsidRDefault="00FB33C6" w:rsidP="00823616">
            <w:pPr>
              <w:pStyle w:val="TableText"/>
              <w:jc w:val="center"/>
              <w:rPr>
                <w:rFonts w:eastAsia="Calibri"/>
                <w:szCs w:val="22"/>
              </w:rPr>
            </w:pPr>
            <w:r w:rsidRPr="00256982">
              <w:rPr>
                <w:rFonts w:eastAsia="Calibri"/>
                <w:szCs w:val="22"/>
              </w:rPr>
              <w:t>49</w:t>
            </w:r>
          </w:p>
        </w:tc>
        <w:tc>
          <w:tcPr>
            <w:tcW w:w="839" w:type="dxa"/>
            <w:shd w:val="clear" w:color="auto" w:fill="auto"/>
          </w:tcPr>
          <w:p w14:paraId="261EAB20" w14:textId="77777777" w:rsidR="00FB33C6" w:rsidRPr="00256982" w:rsidRDefault="00FB33C6" w:rsidP="00823616">
            <w:pPr>
              <w:pStyle w:val="TableText"/>
              <w:jc w:val="center"/>
              <w:rPr>
                <w:rFonts w:eastAsia="Calibri"/>
                <w:szCs w:val="22"/>
              </w:rPr>
            </w:pPr>
            <w:r w:rsidRPr="00256982">
              <w:rPr>
                <w:rFonts w:eastAsia="Calibri"/>
                <w:szCs w:val="22"/>
              </w:rPr>
              <w:t>0</w:t>
            </w:r>
          </w:p>
        </w:tc>
      </w:tr>
      <w:tr w:rsidR="00FB33C6" w:rsidRPr="00256982" w14:paraId="32ECB0B7" w14:textId="77777777" w:rsidTr="00823616">
        <w:tc>
          <w:tcPr>
            <w:tcW w:w="1719" w:type="dxa"/>
            <w:shd w:val="clear" w:color="auto" w:fill="FFFFFF"/>
          </w:tcPr>
          <w:p w14:paraId="3481701D" w14:textId="77777777" w:rsidR="00FB33C6" w:rsidRPr="00256982" w:rsidRDefault="00FB33C6" w:rsidP="00823616">
            <w:pPr>
              <w:pStyle w:val="TableText"/>
              <w:rPr>
                <w:rFonts w:eastAsia="Calibri"/>
                <w:bCs/>
                <w:szCs w:val="22"/>
              </w:rPr>
            </w:pPr>
            <w:r w:rsidRPr="00256982">
              <w:rPr>
                <w:rFonts w:eastAsia="Calibri"/>
                <w:bCs/>
                <w:szCs w:val="22"/>
              </w:rPr>
              <w:t>Nappies</w:t>
            </w:r>
          </w:p>
        </w:tc>
        <w:tc>
          <w:tcPr>
            <w:tcW w:w="3412" w:type="dxa"/>
            <w:gridSpan w:val="2"/>
            <w:shd w:val="clear" w:color="auto" w:fill="auto"/>
          </w:tcPr>
          <w:p w14:paraId="64B6D33D" w14:textId="77777777" w:rsidR="00FB33C6" w:rsidRPr="00256982" w:rsidRDefault="00FB33C6" w:rsidP="00823616">
            <w:pPr>
              <w:pStyle w:val="TableText"/>
              <w:jc w:val="center"/>
              <w:rPr>
                <w:rFonts w:eastAsia="Calibri"/>
                <w:szCs w:val="22"/>
              </w:rPr>
            </w:pPr>
            <w:r w:rsidRPr="00256982">
              <w:rPr>
                <w:rFonts w:eastAsia="Calibri"/>
                <w:szCs w:val="22"/>
              </w:rPr>
              <w:t>0</w:t>
            </w:r>
          </w:p>
        </w:tc>
        <w:tc>
          <w:tcPr>
            <w:tcW w:w="1055" w:type="dxa"/>
            <w:shd w:val="clear" w:color="auto" w:fill="auto"/>
          </w:tcPr>
          <w:p w14:paraId="54D2B42C" w14:textId="77777777" w:rsidR="00FB33C6" w:rsidRPr="00256982" w:rsidRDefault="00FB33C6" w:rsidP="00823616">
            <w:pPr>
              <w:pStyle w:val="TableText"/>
              <w:jc w:val="center"/>
              <w:rPr>
                <w:rFonts w:eastAsia="Calibri"/>
                <w:szCs w:val="22"/>
              </w:rPr>
            </w:pPr>
            <w:r w:rsidRPr="00256982">
              <w:rPr>
                <w:rFonts w:eastAsia="Calibri"/>
                <w:szCs w:val="22"/>
              </w:rPr>
              <w:t>40</w:t>
            </w:r>
          </w:p>
        </w:tc>
        <w:tc>
          <w:tcPr>
            <w:tcW w:w="1055" w:type="dxa"/>
            <w:shd w:val="clear" w:color="auto" w:fill="auto"/>
          </w:tcPr>
          <w:p w14:paraId="3256D872" w14:textId="77777777" w:rsidR="00FB33C6" w:rsidRPr="00256982" w:rsidRDefault="00FB33C6" w:rsidP="00823616">
            <w:pPr>
              <w:pStyle w:val="TableText"/>
              <w:jc w:val="center"/>
              <w:rPr>
                <w:rFonts w:eastAsia="Calibri"/>
                <w:szCs w:val="22"/>
              </w:rPr>
            </w:pPr>
            <w:r w:rsidRPr="00256982">
              <w:rPr>
                <w:rFonts w:eastAsia="Calibri"/>
                <w:szCs w:val="22"/>
              </w:rPr>
              <w:t>70</w:t>
            </w:r>
          </w:p>
        </w:tc>
        <w:tc>
          <w:tcPr>
            <w:tcW w:w="839" w:type="dxa"/>
            <w:shd w:val="clear" w:color="auto" w:fill="auto"/>
          </w:tcPr>
          <w:p w14:paraId="48BA6CCC" w14:textId="77777777" w:rsidR="00FB33C6" w:rsidRPr="00256982" w:rsidRDefault="00FB33C6" w:rsidP="00823616">
            <w:pPr>
              <w:pStyle w:val="TableText"/>
              <w:jc w:val="center"/>
              <w:rPr>
                <w:rFonts w:eastAsia="Calibri"/>
                <w:szCs w:val="22"/>
              </w:rPr>
            </w:pPr>
            <w:r w:rsidRPr="00256982">
              <w:rPr>
                <w:rFonts w:eastAsia="Calibri"/>
                <w:szCs w:val="22"/>
              </w:rPr>
              <w:t>10</w:t>
            </w:r>
          </w:p>
        </w:tc>
      </w:tr>
      <w:tr w:rsidR="00FB33C6" w:rsidRPr="00256982" w14:paraId="1C2649F8" w14:textId="77777777" w:rsidTr="00823616">
        <w:tc>
          <w:tcPr>
            <w:tcW w:w="1719" w:type="dxa"/>
            <w:shd w:val="clear" w:color="auto" w:fill="FFFFFF"/>
          </w:tcPr>
          <w:p w14:paraId="3D4437D2" w14:textId="77777777" w:rsidR="00FB33C6" w:rsidRPr="00256982" w:rsidRDefault="00FB33C6" w:rsidP="00823616">
            <w:pPr>
              <w:pStyle w:val="TableText"/>
              <w:rPr>
                <w:rFonts w:eastAsia="Calibri"/>
                <w:bCs/>
                <w:szCs w:val="22"/>
              </w:rPr>
            </w:pPr>
            <w:r w:rsidRPr="00256982">
              <w:rPr>
                <w:rFonts w:eastAsia="Calibri"/>
                <w:bCs/>
                <w:szCs w:val="22"/>
              </w:rPr>
              <w:t>Rubber and leather</w:t>
            </w:r>
          </w:p>
        </w:tc>
        <w:tc>
          <w:tcPr>
            <w:tcW w:w="1706" w:type="dxa"/>
            <w:vMerge w:val="restart"/>
            <w:shd w:val="clear" w:color="auto" w:fill="auto"/>
            <w:vAlign w:val="center"/>
          </w:tcPr>
          <w:p w14:paraId="7D1E36DF" w14:textId="77777777" w:rsidR="00FB33C6" w:rsidRPr="00256982" w:rsidRDefault="00FB33C6" w:rsidP="00823616">
            <w:pPr>
              <w:pStyle w:val="TableText"/>
              <w:spacing w:after="0"/>
              <w:jc w:val="center"/>
              <w:rPr>
                <w:rFonts w:eastAsia="Calibri"/>
                <w:szCs w:val="22"/>
              </w:rPr>
            </w:pPr>
            <w:r w:rsidRPr="00256982">
              <w:rPr>
                <w:rFonts w:eastAsia="Calibri"/>
                <w:szCs w:val="22"/>
              </w:rPr>
              <w:t>24.0</w:t>
            </w:r>
          </w:p>
          <w:p w14:paraId="0B2C0313" w14:textId="77777777" w:rsidR="00FB33C6" w:rsidRPr="00256982" w:rsidRDefault="00FB33C6" w:rsidP="00823616">
            <w:pPr>
              <w:pStyle w:val="TableText"/>
              <w:jc w:val="center"/>
              <w:rPr>
                <w:rFonts w:eastAsia="Calibri"/>
                <w:szCs w:val="22"/>
              </w:rPr>
            </w:pPr>
            <w:r w:rsidRPr="00256982">
              <w:rPr>
                <w:rFonts w:eastAsia="Calibri"/>
                <w:szCs w:val="22"/>
              </w:rPr>
              <w:t>(‘inert’)</w:t>
            </w:r>
          </w:p>
        </w:tc>
        <w:tc>
          <w:tcPr>
            <w:tcW w:w="1706" w:type="dxa"/>
            <w:shd w:val="clear" w:color="auto" w:fill="auto"/>
          </w:tcPr>
          <w:p w14:paraId="327E9F55" w14:textId="77777777" w:rsidR="00FB33C6" w:rsidRPr="00256982" w:rsidRDefault="00FB33C6" w:rsidP="00823616">
            <w:pPr>
              <w:pStyle w:val="TableText"/>
              <w:jc w:val="center"/>
              <w:rPr>
                <w:rFonts w:eastAsia="Calibri"/>
                <w:szCs w:val="22"/>
              </w:rPr>
            </w:pPr>
            <w:r w:rsidRPr="00256982">
              <w:rPr>
                <w:rFonts w:eastAsia="Calibri"/>
                <w:szCs w:val="22"/>
              </w:rPr>
              <w:t>0</w:t>
            </w:r>
          </w:p>
        </w:tc>
        <w:tc>
          <w:tcPr>
            <w:tcW w:w="1055" w:type="dxa"/>
            <w:shd w:val="clear" w:color="auto" w:fill="auto"/>
          </w:tcPr>
          <w:p w14:paraId="3EB358E5" w14:textId="77777777" w:rsidR="00FB33C6" w:rsidRPr="00256982" w:rsidRDefault="00FB33C6" w:rsidP="00823616">
            <w:pPr>
              <w:pStyle w:val="TableText"/>
              <w:jc w:val="center"/>
              <w:rPr>
                <w:rFonts w:eastAsia="Calibri"/>
                <w:szCs w:val="22"/>
              </w:rPr>
            </w:pPr>
            <w:r w:rsidRPr="00256982">
              <w:rPr>
                <w:rFonts w:eastAsia="Calibri"/>
                <w:szCs w:val="22"/>
              </w:rPr>
              <w:t>84</w:t>
            </w:r>
          </w:p>
        </w:tc>
        <w:tc>
          <w:tcPr>
            <w:tcW w:w="1055" w:type="dxa"/>
            <w:shd w:val="clear" w:color="auto" w:fill="auto"/>
          </w:tcPr>
          <w:p w14:paraId="01661AF1" w14:textId="77777777" w:rsidR="00FB33C6" w:rsidRPr="00256982" w:rsidRDefault="00FB33C6" w:rsidP="00823616">
            <w:pPr>
              <w:pStyle w:val="TableText"/>
              <w:jc w:val="center"/>
              <w:rPr>
                <w:rFonts w:eastAsia="Calibri"/>
                <w:szCs w:val="22"/>
              </w:rPr>
            </w:pPr>
            <w:r w:rsidRPr="00256982">
              <w:rPr>
                <w:rFonts w:eastAsia="Calibri"/>
                <w:szCs w:val="22"/>
              </w:rPr>
              <w:t>67</w:t>
            </w:r>
          </w:p>
        </w:tc>
        <w:tc>
          <w:tcPr>
            <w:tcW w:w="839" w:type="dxa"/>
            <w:shd w:val="clear" w:color="auto" w:fill="auto"/>
          </w:tcPr>
          <w:p w14:paraId="4524498C" w14:textId="77777777" w:rsidR="00FB33C6" w:rsidRPr="00256982" w:rsidRDefault="00FB33C6" w:rsidP="00823616">
            <w:pPr>
              <w:pStyle w:val="TableText"/>
              <w:jc w:val="center"/>
              <w:rPr>
                <w:rFonts w:eastAsia="Calibri"/>
                <w:szCs w:val="22"/>
              </w:rPr>
            </w:pPr>
            <w:r w:rsidRPr="00256982">
              <w:rPr>
                <w:rFonts w:eastAsia="Calibri"/>
                <w:szCs w:val="22"/>
              </w:rPr>
              <w:t>20</w:t>
            </w:r>
          </w:p>
        </w:tc>
      </w:tr>
      <w:tr w:rsidR="00FB33C6" w:rsidRPr="00256982" w14:paraId="7FCEC3DE" w14:textId="77777777" w:rsidTr="00823616">
        <w:tc>
          <w:tcPr>
            <w:tcW w:w="1719" w:type="dxa"/>
            <w:shd w:val="clear" w:color="auto" w:fill="FFFFFF"/>
          </w:tcPr>
          <w:p w14:paraId="03F06053" w14:textId="77777777" w:rsidR="00FB33C6" w:rsidRPr="00256982" w:rsidRDefault="00FB33C6" w:rsidP="00823616">
            <w:pPr>
              <w:pStyle w:val="TableText"/>
              <w:rPr>
                <w:rFonts w:eastAsia="Calibri"/>
                <w:bCs/>
                <w:szCs w:val="22"/>
              </w:rPr>
            </w:pPr>
            <w:r w:rsidRPr="00256982">
              <w:rPr>
                <w:rFonts w:eastAsia="Calibri"/>
                <w:bCs/>
                <w:szCs w:val="22"/>
              </w:rPr>
              <w:t>Plastics</w:t>
            </w:r>
          </w:p>
        </w:tc>
        <w:tc>
          <w:tcPr>
            <w:tcW w:w="1706" w:type="dxa"/>
            <w:vMerge/>
            <w:shd w:val="clear" w:color="auto" w:fill="auto"/>
          </w:tcPr>
          <w:p w14:paraId="37AC1097" w14:textId="77777777" w:rsidR="00FB33C6" w:rsidRPr="00256982" w:rsidRDefault="00FB33C6" w:rsidP="00823616">
            <w:pPr>
              <w:spacing w:before="120"/>
              <w:rPr>
                <w:rFonts w:ascii="Arial" w:eastAsia="Calibri" w:hAnsi="Arial" w:cs="Arial"/>
                <w:sz w:val="16"/>
                <w:szCs w:val="16"/>
              </w:rPr>
            </w:pPr>
          </w:p>
        </w:tc>
        <w:tc>
          <w:tcPr>
            <w:tcW w:w="1706" w:type="dxa"/>
            <w:shd w:val="clear" w:color="auto" w:fill="auto"/>
          </w:tcPr>
          <w:p w14:paraId="5F0552C9" w14:textId="77777777" w:rsidR="00FB33C6" w:rsidRPr="00256982" w:rsidRDefault="00FB33C6" w:rsidP="00823616">
            <w:pPr>
              <w:pStyle w:val="TableText"/>
              <w:jc w:val="center"/>
              <w:rPr>
                <w:rFonts w:eastAsia="Calibri"/>
                <w:szCs w:val="22"/>
              </w:rPr>
            </w:pPr>
            <w:r w:rsidRPr="00256982">
              <w:rPr>
                <w:rFonts w:eastAsia="Calibri"/>
                <w:szCs w:val="22"/>
              </w:rPr>
              <w:t>0</w:t>
            </w:r>
          </w:p>
        </w:tc>
        <w:tc>
          <w:tcPr>
            <w:tcW w:w="1055" w:type="dxa"/>
            <w:shd w:val="clear" w:color="auto" w:fill="auto"/>
          </w:tcPr>
          <w:p w14:paraId="6A45D25E" w14:textId="77777777" w:rsidR="00FB33C6" w:rsidRPr="00256982" w:rsidRDefault="00FB33C6" w:rsidP="00823616">
            <w:pPr>
              <w:pStyle w:val="TableText"/>
              <w:jc w:val="center"/>
              <w:rPr>
                <w:rFonts w:eastAsia="Calibri"/>
                <w:szCs w:val="22"/>
              </w:rPr>
            </w:pPr>
            <w:r w:rsidRPr="00256982">
              <w:rPr>
                <w:rFonts w:eastAsia="Calibri"/>
                <w:szCs w:val="22"/>
              </w:rPr>
              <w:t>100</w:t>
            </w:r>
          </w:p>
        </w:tc>
        <w:tc>
          <w:tcPr>
            <w:tcW w:w="1055" w:type="dxa"/>
            <w:shd w:val="clear" w:color="auto" w:fill="auto"/>
          </w:tcPr>
          <w:p w14:paraId="13A448D4" w14:textId="77777777" w:rsidR="00FB33C6" w:rsidRPr="00256982" w:rsidRDefault="00FB33C6" w:rsidP="00823616">
            <w:pPr>
              <w:pStyle w:val="TableText"/>
              <w:jc w:val="center"/>
              <w:rPr>
                <w:rFonts w:eastAsia="Calibri"/>
                <w:szCs w:val="22"/>
              </w:rPr>
            </w:pPr>
            <w:r w:rsidRPr="00256982">
              <w:rPr>
                <w:rFonts w:eastAsia="Calibri"/>
                <w:szCs w:val="22"/>
              </w:rPr>
              <w:t>75</w:t>
            </w:r>
          </w:p>
        </w:tc>
        <w:tc>
          <w:tcPr>
            <w:tcW w:w="839" w:type="dxa"/>
            <w:shd w:val="clear" w:color="auto" w:fill="auto"/>
          </w:tcPr>
          <w:p w14:paraId="208A96FA" w14:textId="77777777" w:rsidR="00FB33C6" w:rsidRPr="00256982" w:rsidRDefault="00FB33C6" w:rsidP="00823616">
            <w:pPr>
              <w:pStyle w:val="TableText"/>
              <w:jc w:val="center"/>
              <w:rPr>
                <w:rFonts w:eastAsia="Calibri"/>
                <w:szCs w:val="22"/>
              </w:rPr>
            </w:pPr>
            <w:r w:rsidRPr="00256982">
              <w:rPr>
                <w:rFonts w:eastAsia="Calibri"/>
                <w:szCs w:val="22"/>
              </w:rPr>
              <w:t>100</w:t>
            </w:r>
          </w:p>
        </w:tc>
      </w:tr>
      <w:tr w:rsidR="00FB33C6" w:rsidRPr="00256982" w14:paraId="65288927" w14:textId="77777777" w:rsidTr="00823616">
        <w:tc>
          <w:tcPr>
            <w:tcW w:w="1719" w:type="dxa"/>
            <w:shd w:val="clear" w:color="auto" w:fill="FFFFFF"/>
          </w:tcPr>
          <w:p w14:paraId="3A3D0DB1" w14:textId="77777777" w:rsidR="00FB33C6" w:rsidRPr="00256982" w:rsidRDefault="00FB33C6" w:rsidP="00823616">
            <w:pPr>
              <w:pStyle w:val="TableText"/>
              <w:rPr>
                <w:rFonts w:eastAsia="Calibri"/>
                <w:bCs/>
                <w:szCs w:val="22"/>
              </w:rPr>
            </w:pPr>
            <w:r w:rsidRPr="00256982">
              <w:rPr>
                <w:rFonts w:eastAsia="Calibri"/>
                <w:bCs/>
                <w:szCs w:val="22"/>
              </w:rPr>
              <w:t>Metal</w:t>
            </w:r>
          </w:p>
        </w:tc>
        <w:tc>
          <w:tcPr>
            <w:tcW w:w="1706" w:type="dxa"/>
            <w:vMerge/>
            <w:shd w:val="clear" w:color="auto" w:fill="auto"/>
          </w:tcPr>
          <w:p w14:paraId="53430475" w14:textId="77777777" w:rsidR="00FB33C6" w:rsidRPr="00256982" w:rsidRDefault="00FB33C6" w:rsidP="00823616">
            <w:pPr>
              <w:spacing w:before="120"/>
              <w:rPr>
                <w:rFonts w:ascii="Arial" w:eastAsia="Calibri" w:hAnsi="Arial" w:cs="Arial"/>
                <w:sz w:val="16"/>
                <w:szCs w:val="16"/>
              </w:rPr>
            </w:pPr>
          </w:p>
        </w:tc>
        <w:tc>
          <w:tcPr>
            <w:tcW w:w="1706" w:type="dxa"/>
            <w:shd w:val="clear" w:color="auto" w:fill="auto"/>
          </w:tcPr>
          <w:p w14:paraId="4D0EEF72" w14:textId="77777777" w:rsidR="00FB33C6" w:rsidRPr="00256982" w:rsidRDefault="00FB33C6" w:rsidP="00823616">
            <w:pPr>
              <w:pStyle w:val="TableText"/>
              <w:jc w:val="center"/>
              <w:rPr>
                <w:rFonts w:eastAsia="Calibri"/>
                <w:szCs w:val="22"/>
              </w:rPr>
            </w:pPr>
            <w:r w:rsidRPr="00256982">
              <w:rPr>
                <w:rFonts w:eastAsia="Calibri"/>
                <w:szCs w:val="22"/>
              </w:rPr>
              <w:t>0</w:t>
            </w:r>
          </w:p>
        </w:tc>
        <w:tc>
          <w:tcPr>
            <w:tcW w:w="1055" w:type="dxa"/>
            <w:shd w:val="clear" w:color="auto" w:fill="auto"/>
          </w:tcPr>
          <w:p w14:paraId="5104B451" w14:textId="77777777" w:rsidR="00FB33C6" w:rsidRPr="00256982" w:rsidRDefault="00FB33C6" w:rsidP="00823616">
            <w:pPr>
              <w:pStyle w:val="TableText"/>
              <w:jc w:val="center"/>
              <w:rPr>
                <w:rFonts w:eastAsia="Calibri"/>
                <w:szCs w:val="22"/>
              </w:rPr>
            </w:pPr>
            <w:r w:rsidRPr="00256982">
              <w:rPr>
                <w:rFonts w:eastAsia="Calibri"/>
                <w:szCs w:val="22"/>
              </w:rPr>
              <w:t>100</w:t>
            </w:r>
          </w:p>
        </w:tc>
        <w:tc>
          <w:tcPr>
            <w:tcW w:w="1055" w:type="dxa"/>
            <w:shd w:val="clear" w:color="auto" w:fill="auto"/>
          </w:tcPr>
          <w:p w14:paraId="3C866157" w14:textId="77777777" w:rsidR="00FB33C6" w:rsidRPr="00256982" w:rsidRDefault="00FB33C6" w:rsidP="00823616">
            <w:pPr>
              <w:pStyle w:val="TableText"/>
              <w:jc w:val="center"/>
              <w:rPr>
                <w:rFonts w:eastAsia="Calibri"/>
                <w:szCs w:val="22"/>
              </w:rPr>
            </w:pPr>
            <w:r w:rsidRPr="00256982">
              <w:rPr>
                <w:rFonts w:eastAsia="Calibri"/>
                <w:szCs w:val="22"/>
              </w:rPr>
              <w:t>NA</w:t>
            </w:r>
          </w:p>
        </w:tc>
        <w:tc>
          <w:tcPr>
            <w:tcW w:w="839" w:type="dxa"/>
            <w:shd w:val="clear" w:color="auto" w:fill="auto"/>
          </w:tcPr>
          <w:p w14:paraId="0A511F40" w14:textId="77777777" w:rsidR="00FB33C6" w:rsidRPr="00256982" w:rsidRDefault="00FB33C6" w:rsidP="00823616">
            <w:pPr>
              <w:pStyle w:val="TableText"/>
              <w:jc w:val="center"/>
              <w:rPr>
                <w:rFonts w:eastAsia="Calibri"/>
                <w:szCs w:val="22"/>
              </w:rPr>
            </w:pPr>
            <w:r w:rsidRPr="00256982">
              <w:rPr>
                <w:rFonts w:eastAsia="Calibri"/>
                <w:szCs w:val="22"/>
              </w:rPr>
              <w:t>NA</w:t>
            </w:r>
          </w:p>
        </w:tc>
      </w:tr>
      <w:tr w:rsidR="00FB33C6" w:rsidRPr="00256982" w14:paraId="6E46DF39" w14:textId="77777777" w:rsidTr="00823616">
        <w:tc>
          <w:tcPr>
            <w:tcW w:w="1719" w:type="dxa"/>
            <w:shd w:val="clear" w:color="auto" w:fill="FFFFFF"/>
          </w:tcPr>
          <w:p w14:paraId="5F229221" w14:textId="77777777" w:rsidR="00FB33C6" w:rsidRPr="00256982" w:rsidRDefault="00FB33C6" w:rsidP="00823616">
            <w:pPr>
              <w:pStyle w:val="TableText"/>
              <w:rPr>
                <w:rFonts w:eastAsia="Calibri"/>
                <w:bCs/>
                <w:szCs w:val="22"/>
              </w:rPr>
            </w:pPr>
            <w:r w:rsidRPr="00256982">
              <w:rPr>
                <w:rFonts w:eastAsia="Calibri"/>
                <w:bCs/>
                <w:szCs w:val="22"/>
              </w:rPr>
              <w:t>Glass</w:t>
            </w:r>
          </w:p>
        </w:tc>
        <w:tc>
          <w:tcPr>
            <w:tcW w:w="1706" w:type="dxa"/>
            <w:vMerge/>
            <w:shd w:val="clear" w:color="auto" w:fill="auto"/>
          </w:tcPr>
          <w:p w14:paraId="4C4CEA95" w14:textId="77777777" w:rsidR="00FB33C6" w:rsidRPr="00256982" w:rsidRDefault="00FB33C6" w:rsidP="00823616">
            <w:pPr>
              <w:spacing w:before="120"/>
              <w:rPr>
                <w:rFonts w:ascii="Arial" w:eastAsia="Calibri" w:hAnsi="Arial" w:cs="Arial"/>
                <w:sz w:val="16"/>
                <w:szCs w:val="16"/>
              </w:rPr>
            </w:pPr>
          </w:p>
        </w:tc>
        <w:tc>
          <w:tcPr>
            <w:tcW w:w="1706" w:type="dxa"/>
            <w:shd w:val="clear" w:color="auto" w:fill="auto"/>
          </w:tcPr>
          <w:p w14:paraId="3DD033DD" w14:textId="77777777" w:rsidR="00FB33C6" w:rsidRPr="00256982" w:rsidRDefault="00FB33C6" w:rsidP="00823616">
            <w:pPr>
              <w:pStyle w:val="TableText"/>
              <w:jc w:val="center"/>
              <w:rPr>
                <w:rFonts w:eastAsia="Calibri"/>
                <w:szCs w:val="22"/>
              </w:rPr>
            </w:pPr>
            <w:r w:rsidRPr="00256982">
              <w:rPr>
                <w:rFonts w:eastAsia="Calibri"/>
                <w:szCs w:val="22"/>
              </w:rPr>
              <w:t>0</w:t>
            </w:r>
          </w:p>
        </w:tc>
        <w:tc>
          <w:tcPr>
            <w:tcW w:w="1055" w:type="dxa"/>
            <w:shd w:val="clear" w:color="auto" w:fill="auto"/>
          </w:tcPr>
          <w:p w14:paraId="7762880A" w14:textId="77777777" w:rsidR="00FB33C6" w:rsidRPr="00256982" w:rsidRDefault="00FB33C6" w:rsidP="00823616">
            <w:pPr>
              <w:pStyle w:val="TableText"/>
              <w:jc w:val="center"/>
              <w:rPr>
                <w:rFonts w:eastAsia="Calibri"/>
                <w:szCs w:val="22"/>
              </w:rPr>
            </w:pPr>
            <w:r w:rsidRPr="00256982">
              <w:rPr>
                <w:rFonts w:eastAsia="Calibri"/>
                <w:szCs w:val="22"/>
              </w:rPr>
              <w:t>100</w:t>
            </w:r>
          </w:p>
        </w:tc>
        <w:tc>
          <w:tcPr>
            <w:tcW w:w="1055" w:type="dxa"/>
            <w:shd w:val="clear" w:color="auto" w:fill="auto"/>
          </w:tcPr>
          <w:p w14:paraId="1A09D0E9" w14:textId="77777777" w:rsidR="00FB33C6" w:rsidRPr="00256982" w:rsidRDefault="00FB33C6" w:rsidP="00823616">
            <w:pPr>
              <w:pStyle w:val="TableText"/>
              <w:jc w:val="center"/>
              <w:rPr>
                <w:rFonts w:eastAsia="Calibri"/>
                <w:szCs w:val="22"/>
              </w:rPr>
            </w:pPr>
            <w:r w:rsidRPr="00256982">
              <w:rPr>
                <w:rFonts w:eastAsia="Calibri"/>
                <w:szCs w:val="22"/>
              </w:rPr>
              <w:t>NA</w:t>
            </w:r>
          </w:p>
        </w:tc>
        <w:tc>
          <w:tcPr>
            <w:tcW w:w="839" w:type="dxa"/>
            <w:shd w:val="clear" w:color="auto" w:fill="auto"/>
          </w:tcPr>
          <w:p w14:paraId="05A03611" w14:textId="77777777" w:rsidR="00FB33C6" w:rsidRPr="00256982" w:rsidRDefault="00FB33C6" w:rsidP="00823616">
            <w:pPr>
              <w:pStyle w:val="TableText"/>
              <w:jc w:val="center"/>
              <w:rPr>
                <w:rFonts w:eastAsia="Calibri"/>
                <w:szCs w:val="22"/>
              </w:rPr>
            </w:pPr>
            <w:r w:rsidRPr="00256982">
              <w:rPr>
                <w:rFonts w:eastAsia="Calibri"/>
                <w:szCs w:val="22"/>
              </w:rPr>
              <w:t>NA</w:t>
            </w:r>
          </w:p>
        </w:tc>
      </w:tr>
      <w:tr w:rsidR="00FB33C6" w:rsidRPr="00256982" w14:paraId="4DEEF7CE" w14:textId="77777777" w:rsidTr="00E14413">
        <w:tc>
          <w:tcPr>
            <w:tcW w:w="1719" w:type="dxa"/>
            <w:tcBorders>
              <w:bottom w:val="single" w:sz="4" w:space="0" w:color="365F91"/>
            </w:tcBorders>
            <w:shd w:val="clear" w:color="auto" w:fill="FFFFFF"/>
          </w:tcPr>
          <w:p w14:paraId="2FEE7EA0" w14:textId="77777777" w:rsidR="00FB33C6" w:rsidRPr="00256982" w:rsidRDefault="00FB33C6" w:rsidP="00823616">
            <w:pPr>
              <w:pStyle w:val="TableText"/>
              <w:rPr>
                <w:rFonts w:eastAsia="Calibri"/>
                <w:bCs/>
                <w:szCs w:val="22"/>
              </w:rPr>
            </w:pPr>
            <w:r w:rsidRPr="00256982">
              <w:rPr>
                <w:rFonts w:eastAsia="Calibri"/>
                <w:bCs/>
                <w:szCs w:val="22"/>
              </w:rPr>
              <w:t>Other, inert</w:t>
            </w:r>
          </w:p>
        </w:tc>
        <w:tc>
          <w:tcPr>
            <w:tcW w:w="1706" w:type="dxa"/>
            <w:vMerge/>
            <w:tcBorders>
              <w:bottom w:val="single" w:sz="4" w:space="0" w:color="365F91"/>
            </w:tcBorders>
            <w:shd w:val="clear" w:color="auto" w:fill="auto"/>
          </w:tcPr>
          <w:p w14:paraId="6B7C8FC5" w14:textId="77777777" w:rsidR="00FB33C6" w:rsidRPr="00256982" w:rsidRDefault="00FB33C6" w:rsidP="00823616">
            <w:pPr>
              <w:spacing w:before="120"/>
              <w:rPr>
                <w:rFonts w:ascii="Arial" w:eastAsia="Calibri" w:hAnsi="Arial" w:cs="Arial"/>
                <w:sz w:val="16"/>
                <w:szCs w:val="16"/>
              </w:rPr>
            </w:pPr>
          </w:p>
        </w:tc>
        <w:tc>
          <w:tcPr>
            <w:tcW w:w="1706" w:type="dxa"/>
            <w:tcBorders>
              <w:bottom w:val="single" w:sz="4" w:space="0" w:color="365F91"/>
            </w:tcBorders>
            <w:shd w:val="clear" w:color="auto" w:fill="auto"/>
          </w:tcPr>
          <w:p w14:paraId="24A47BFE" w14:textId="77777777" w:rsidR="00FB33C6" w:rsidRPr="00256982" w:rsidRDefault="00FB33C6" w:rsidP="00823616">
            <w:pPr>
              <w:pStyle w:val="TableText"/>
              <w:jc w:val="center"/>
              <w:rPr>
                <w:rFonts w:eastAsia="Calibri"/>
                <w:szCs w:val="22"/>
              </w:rPr>
            </w:pPr>
            <w:r w:rsidRPr="00256982">
              <w:rPr>
                <w:rFonts w:eastAsia="Calibri"/>
                <w:szCs w:val="22"/>
              </w:rPr>
              <w:t>24.0</w:t>
            </w:r>
          </w:p>
        </w:tc>
        <w:tc>
          <w:tcPr>
            <w:tcW w:w="1055" w:type="dxa"/>
            <w:tcBorders>
              <w:bottom w:val="single" w:sz="4" w:space="0" w:color="365F91"/>
            </w:tcBorders>
            <w:shd w:val="clear" w:color="auto" w:fill="auto"/>
          </w:tcPr>
          <w:p w14:paraId="553589D3" w14:textId="77777777" w:rsidR="00FB33C6" w:rsidRPr="00256982" w:rsidRDefault="00FB33C6" w:rsidP="00823616">
            <w:pPr>
              <w:pStyle w:val="TableText"/>
              <w:jc w:val="center"/>
              <w:rPr>
                <w:rFonts w:eastAsia="Calibri"/>
                <w:szCs w:val="22"/>
              </w:rPr>
            </w:pPr>
            <w:r w:rsidRPr="00256982">
              <w:rPr>
                <w:rFonts w:eastAsia="Calibri"/>
                <w:szCs w:val="22"/>
              </w:rPr>
              <w:t>90</w:t>
            </w:r>
          </w:p>
        </w:tc>
        <w:tc>
          <w:tcPr>
            <w:tcW w:w="1055" w:type="dxa"/>
            <w:tcBorders>
              <w:bottom w:val="single" w:sz="4" w:space="0" w:color="365F91"/>
            </w:tcBorders>
            <w:shd w:val="clear" w:color="auto" w:fill="auto"/>
          </w:tcPr>
          <w:p w14:paraId="01F55998" w14:textId="77777777" w:rsidR="00FB33C6" w:rsidRPr="00256982" w:rsidRDefault="00FB33C6" w:rsidP="00823616">
            <w:pPr>
              <w:pStyle w:val="TableText"/>
              <w:jc w:val="center"/>
              <w:rPr>
                <w:rFonts w:eastAsia="Calibri"/>
                <w:szCs w:val="22"/>
              </w:rPr>
            </w:pPr>
            <w:r w:rsidRPr="00256982">
              <w:rPr>
                <w:rFonts w:eastAsia="Calibri"/>
                <w:szCs w:val="22"/>
              </w:rPr>
              <w:t>3</w:t>
            </w:r>
          </w:p>
        </w:tc>
        <w:tc>
          <w:tcPr>
            <w:tcW w:w="839" w:type="dxa"/>
            <w:tcBorders>
              <w:bottom w:val="single" w:sz="4" w:space="0" w:color="365F91"/>
            </w:tcBorders>
            <w:shd w:val="clear" w:color="auto" w:fill="auto"/>
          </w:tcPr>
          <w:p w14:paraId="3C7ACBF3" w14:textId="77777777" w:rsidR="00FB33C6" w:rsidRPr="00256982" w:rsidRDefault="00FB33C6" w:rsidP="00823616">
            <w:pPr>
              <w:pStyle w:val="TableText"/>
              <w:jc w:val="center"/>
              <w:rPr>
                <w:rFonts w:eastAsia="Calibri"/>
                <w:szCs w:val="22"/>
              </w:rPr>
            </w:pPr>
            <w:r w:rsidRPr="00256982">
              <w:rPr>
                <w:rFonts w:eastAsia="Calibri"/>
                <w:szCs w:val="22"/>
              </w:rPr>
              <w:t>100</w:t>
            </w:r>
          </w:p>
        </w:tc>
      </w:tr>
      <w:tr w:rsidR="00FB33C6" w:rsidRPr="00256982" w14:paraId="04E0AF31" w14:textId="77777777" w:rsidTr="00E14413">
        <w:tc>
          <w:tcPr>
            <w:tcW w:w="5131" w:type="dxa"/>
            <w:gridSpan w:val="3"/>
            <w:tcBorders>
              <w:right w:val="nil"/>
            </w:tcBorders>
            <w:shd w:val="clear" w:color="auto" w:fill="EBEFF4"/>
          </w:tcPr>
          <w:p w14:paraId="63A5721A" w14:textId="77777777" w:rsidR="00FB33C6" w:rsidRPr="00256982" w:rsidRDefault="00FB33C6" w:rsidP="00823616">
            <w:pPr>
              <w:pStyle w:val="TableTextBold"/>
              <w:jc w:val="right"/>
              <w:rPr>
                <w:rFonts w:eastAsia="Calibri"/>
                <w:b w:val="0"/>
                <w:bCs/>
                <w:noProof w:val="0"/>
                <w:szCs w:val="22"/>
              </w:rPr>
            </w:pPr>
            <w:r w:rsidRPr="00256982">
              <w:rPr>
                <w:rFonts w:eastAsia="Calibri"/>
                <w:b w:val="0"/>
                <w:bCs/>
                <w:noProof w:val="0"/>
                <w:szCs w:val="22"/>
              </w:rPr>
              <w:t>Calculated weighted average</w:t>
            </w:r>
          </w:p>
        </w:tc>
        <w:tc>
          <w:tcPr>
            <w:tcW w:w="1055" w:type="dxa"/>
            <w:shd w:val="clear" w:color="auto" w:fill="EBEFF4"/>
          </w:tcPr>
          <w:p w14:paraId="5D17283C" w14:textId="77777777" w:rsidR="00FB33C6" w:rsidRPr="00256982" w:rsidRDefault="00FB33C6" w:rsidP="00823616">
            <w:pPr>
              <w:pStyle w:val="TableTextBold"/>
              <w:jc w:val="center"/>
              <w:rPr>
                <w:rFonts w:eastAsia="Calibri"/>
                <w:noProof w:val="0"/>
                <w:szCs w:val="22"/>
              </w:rPr>
            </w:pPr>
            <w:r w:rsidRPr="00256982">
              <w:rPr>
                <w:rFonts w:eastAsia="Calibri"/>
                <w:noProof w:val="0"/>
                <w:szCs w:val="22"/>
              </w:rPr>
              <w:t>56.13</w:t>
            </w:r>
          </w:p>
        </w:tc>
        <w:tc>
          <w:tcPr>
            <w:tcW w:w="1055" w:type="dxa"/>
            <w:shd w:val="clear" w:color="auto" w:fill="EBEFF4"/>
          </w:tcPr>
          <w:p w14:paraId="5C6F6900" w14:textId="77777777" w:rsidR="00FB33C6" w:rsidRPr="00256982" w:rsidRDefault="00FB33C6" w:rsidP="00823616">
            <w:pPr>
              <w:pStyle w:val="TableTextBold"/>
              <w:jc w:val="center"/>
              <w:rPr>
                <w:rFonts w:eastAsia="Calibri"/>
                <w:noProof w:val="0"/>
                <w:szCs w:val="22"/>
              </w:rPr>
            </w:pPr>
            <w:r w:rsidRPr="00256982">
              <w:rPr>
                <w:rFonts w:eastAsia="Calibri"/>
                <w:noProof w:val="0"/>
                <w:szCs w:val="22"/>
              </w:rPr>
              <w:t>30.20</w:t>
            </w:r>
          </w:p>
        </w:tc>
        <w:tc>
          <w:tcPr>
            <w:tcW w:w="839" w:type="dxa"/>
            <w:shd w:val="clear" w:color="auto" w:fill="EBEFF4"/>
          </w:tcPr>
          <w:p w14:paraId="391C11B9" w14:textId="77777777" w:rsidR="00FB33C6" w:rsidRPr="00256982" w:rsidRDefault="00FB33C6" w:rsidP="00823616">
            <w:pPr>
              <w:pStyle w:val="TableTextBold"/>
              <w:jc w:val="center"/>
              <w:rPr>
                <w:rFonts w:eastAsia="Calibri"/>
                <w:noProof w:val="0"/>
                <w:szCs w:val="22"/>
              </w:rPr>
            </w:pPr>
            <w:r w:rsidRPr="00256982">
              <w:rPr>
                <w:rFonts w:eastAsia="Calibri"/>
                <w:noProof w:val="0"/>
                <w:szCs w:val="22"/>
              </w:rPr>
              <w:t>24.06</w:t>
            </w:r>
          </w:p>
        </w:tc>
      </w:tr>
    </w:tbl>
    <w:p w14:paraId="3AAD9B21" w14:textId="77777777" w:rsidR="00FB33C6" w:rsidRPr="00256982" w:rsidRDefault="00FB33C6" w:rsidP="00FB33C6">
      <w:pPr>
        <w:pStyle w:val="BodyText"/>
        <w:spacing w:before="240"/>
      </w:pPr>
      <w:r w:rsidRPr="00256982">
        <w:t xml:space="preserve">Percentages in table 8.5.3 are defaults from table 2.3 and table 2.4 of volume 5, 2006 IPCC Guidelines (IPCC, 2006d). </w:t>
      </w:r>
    </w:p>
    <w:p w14:paraId="312520E6" w14:textId="77777777" w:rsidR="00FB33C6" w:rsidRPr="00256982" w:rsidRDefault="00FB33C6" w:rsidP="00FB33C6">
      <w:pPr>
        <w:pStyle w:val="BodyText"/>
        <w:rPr>
          <w:spacing w:val="-2"/>
        </w:rPr>
      </w:pPr>
      <w:r w:rsidRPr="00256982">
        <w:rPr>
          <w:spacing w:val="-2"/>
        </w:rPr>
        <w:t>An assumption was made that ‘inert’ waste for landfills is classified entirely as ‘other inert’ waste for incineration (the impact of this assumption is that emissions are slightly higher than distributing the 24 per cent over the various inert types due to the high fossil carbon percentage).</w:t>
      </w:r>
    </w:p>
    <w:p w14:paraId="786BDE35" w14:textId="77777777" w:rsidR="00FB33C6" w:rsidRPr="00256982" w:rsidRDefault="00FB33C6" w:rsidP="00FB33C6">
      <w:pPr>
        <w:pStyle w:val="Heading4"/>
      </w:pPr>
      <w:r w:rsidRPr="00256982">
        <w:t>Uncertainty</w:t>
      </w:r>
    </w:p>
    <w:p w14:paraId="5D38A278" w14:textId="77777777" w:rsidR="00FB33C6" w:rsidRPr="00256982" w:rsidRDefault="00FB33C6" w:rsidP="00FB33C6">
      <w:pPr>
        <w:pStyle w:val="BodyText"/>
      </w:pPr>
      <w:r w:rsidRPr="00256982">
        <w:t xml:space="preserve">The same uncertainty data for open burning of waste were used for Tokelau and New Zealand (table 7.4.6, chapter 7; for methodological notes, refer to uncertainties in emissions from incineration and open burning, section 7.4.3, chapter 7). </w:t>
      </w:r>
    </w:p>
    <w:p w14:paraId="60BDC250" w14:textId="77777777" w:rsidR="00FB33C6" w:rsidRPr="00256982" w:rsidRDefault="00FB33C6" w:rsidP="00FB33C6">
      <w:pPr>
        <w:pStyle w:val="Table"/>
      </w:pPr>
      <w:bookmarkStart w:id="2475" w:name="_Toc5269605"/>
      <w:r w:rsidRPr="00256982">
        <w:t>Table 8.5.4</w:t>
      </w:r>
      <w:r w:rsidRPr="00256982">
        <w:tab/>
        <w:t>Uncertainty in emissions from open burning for Tokelau.</w:t>
      </w:r>
      <w:bookmarkEnd w:id="2475"/>
    </w:p>
    <w:tbl>
      <w:tblPr>
        <w:tblW w:w="8505" w:type="dxa"/>
        <w:tblInd w:w="108" w:type="dxa"/>
        <w:tblBorders>
          <w:top w:val="single" w:sz="4" w:space="0" w:color="365F91"/>
          <w:bottom w:val="single" w:sz="4" w:space="0" w:color="365F91"/>
          <w:insideH w:val="single" w:sz="4" w:space="0" w:color="365F91"/>
        </w:tblBorders>
        <w:tblCellMar>
          <w:left w:w="0" w:type="dxa"/>
          <w:right w:w="0" w:type="dxa"/>
        </w:tblCellMar>
        <w:tblLook w:val="04A0" w:firstRow="1" w:lastRow="0" w:firstColumn="1" w:lastColumn="0" w:noHBand="0" w:noVBand="1"/>
      </w:tblPr>
      <w:tblGrid>
        <w:gridCol w:w="2620"/>
        <w:gridCol w:w="2787"/>
        <w:gridCol w:w="3098"/>
      </w:tblGrid>
      <w:tr w:rsidR="00FB33C6" w:rsidRPr="00256982" w14:paraId="007D1241" w14:textId="77777777" w:rsidTr="00823616">
        <w:tc>
          <w:tcPr>
            <w:tcW w:w="2620" w:type="dxa"/>
            <w:shd w:val="clear" w:color="auto" w:fill="365F91"/>
            <w:tcMar>
              <w:top w:w="0" w:type="dxa"/>
              <w:left w:w="108" w:type="dxa"/>
              <w:bottom w:w="0" w:type="dxa"/>
              <w:right w:w="108" w:type="dxa"/>
            </w:tcMar>
            <w:vAlign w:val="bottom"/>
            <w:hideMark/>
          </w:tcPr>
          <w:p w14:paraId="6AD46667" w14:textId="77777777" w:rsidR="00FB33C6" w:rsidRPr="00256982" w:rsidRDefault="00FB33C6" w:rsidP="00823616">
            <w:pPr>
              <w:pStyle w:val="TableTextBold"/>
              <w:keepNext/>
              <w:spacing w:before="50" w:after="50"/>
              <w:rPr>
                <w:noProof w:val="0"/>
                <w:color w:val="FFFFFF"/>
                <w:lang w:eastAsia="en-NZ"/>
              </w:rPr>
            </w:pPr>
            <w:r w:rsidRPr="00256982">
              <w:rPr>
                <w:noProof w:val="0"/>
                <w:color w:val="FFFFFF"/>
              </w:rPr>
              <w:t>Emissions category</w:t>
            </w:r>
          </w:p>
        </w:tc>
        <w:tc>
          <w:tcPr>
            <w:tcW w:w="2787" w:type="dxa"/>
            <w:shd w:val="clear" w:color="auto" w:fill="365F91"/>
            <w:tcMar>
              <w:top w:w="0" w:type="dxa"/>
              <w:left w:w="108" w:type="dxa"/>
              <w:bottom w:w="0" w:type="dxa"/>
              <w:right w:w="108" w:type="dxa"/>
            </w:tcMar>
            <w:vAlign w:val="bottom"/>
            <w:hideMark/>
          </w:tcPr>
          <w:p w14:paraId="71697A78" w14:textId="77777777" w:rsidR="00FB33C6" w:rsidRPr="00256982" w:rsidRDefault="00FB33C6" w:rsidP="00823616">
            <w:pPr>
              <w:pStyle w:val="TableTextBold"/>
              <w:keepNext/>
              <w:spacing w:before="50" w:after="50"/>
              <w:jc w:val="center"/>
              <w:rPr>
                <w:noProof w:val="0"/>
                <w:color w:val="FFFFFF"/>
              </w:rPr>
            </w:pPr>
            <w:r w:rsidRPr="00256982">
              <w:rPr>
                <w:noProof w:val="0"/>
                <w:color w:val="FFFFFF"/>
              </w:rPr>
              <w:t>Uncertainty in activity data (%)</w:t>
            </w:r>
          </w:p>
        </w:tc>
        <w:tc>
          <w:tcPr>
            <w:tcW w:w="3098" w:type="dxa"/>
            <w:shd w:val="clear" w:color="auto" w:fill="365F91"/>
            <w:tcMar>
              <w:top w:w="0" w:type="dxa"/>
              <w:left w:w="108" w:type="dxa"/>
              <w:bottom w:w="0" w:type="dxa"/>
              <w:right w:w="108" w:type="dxa"/>
            </w:tcMar>
            <w:vAlign w:val="bottom"/>
            <w:hideMark/>
          </w:tcPr>
          <w:p w14:paraId="768C53F0" w14:textId="77777777" w:rsidR="00FB33C6" w:rsidRPr="00256982" w:rsidRDefault="00FB33C6" w:rsidP="00823616">
            <w:pPr>
              <w:pStyle w:val="TableTextBold"/>
              <w:keepNext/>
              <w:spacing w:before="50" w:after="50"/>
              <w:jc w:val="center"/>
              <w:rPr>
                <w:noProof w:val="0"/>
                <w:color w:val="FFFFFF"/>
              </w:rPr>
            </w:pPr>
            <w:r w:rsidRPr="00256982">
              <w:rPr>
                <w:noProof w:val="0"/>
                <w:color w:val="FFFFFF"/>
              </w:rPr>
              <w:t>Uncertainty in emission factors (%)</w:t>
            </w:r>
          </w:p>
        </w:tc>
      </w:tr>
      <w:tr w:rsidR="00FB33C6" w:rsidRPr="00256982" w14:paraId="0F702CFB" w14:textId="77777777" w:rsidTr="00823616">
        <w:trPr>
          <w:trHeight w:val="127"/>
        </w:trPr>
        <w:tc>
          <w:tcPr>
            <w:tcW w:w="2620" w:type="dxa"/>
            <w:shd w:val="clear" w:color="auto" w:fill="FFFFFF"/>
            <w:tcMar>
              <w:top w:w="0" w:type="dxa"/>
              <w:left w:w="108" w:type="dxa"/>
              <w:bottom w:w="0" w:type="dxa"/>
              <w:right w:w="108" w:type="dxa"/>
            </w:tcMar>
            <w:hideMark/>
          </w:tcPr>
          <w:p w14:paraId="59320906" w14:textId="77777777" w:rsidR="00FB33C6" w:rsidRPr="00256982" w:rsidRDefault="00FB33C6" w:rsidP="00823616">
            <w:pPr>
              <w:pStyle w:val="TableText"/>
            </w:pPr>
            <w:r w:rsidRPr="00256982">
              <w:t>Waste open burning (CO</w:t>
            </w:r>
            <w:r w:rsidRPr="00256982">
              <w:rPr>
                <w:vertAlign w:val="subscript"/>
              </w:rPr>
              <w:t>2</w:t>
            </w:r>
            <w:r w:rsidRPr="00256982">
              <w:t>)</w:t>
            </w:r>
          </w:p>
        </w:tc>
        <w:tc>
          <w:tcPr>
            <w:tcW w:w="2787" w:type="dxa"/>
            <w:shd w:val="clear" w:color="auto" w:fill="FFFFFF"/>
            <w:tcMar>
              <w:top w:w="0" w:type="dxa"/>
              <w:left w:w="108" w:type="dxa"/>
              <w:bottom w:w="0" w:type="dxa"/>
              <w:right w:w="108" w:type="dxa"/>
            </w:tcMar>
            <w:hideMark/>
          </w:tcPr>
          <w:p w14:paraId="6F911AF9" w14:textId="77777777" w:rsidR="00FB33C6" w:rsidRPr="00256982" w:rsidRDefault="00FB33C6" w:rsidP="00823616">
            <w:pPr>
              <w:pStyle w:val="TableText"/>
              <w:jc w:val="center"/>
            </w:pPr>
            <w:r w:rsidRPr="00256982">
              <w:t>±140</w:t>
            </w:r>
          </w:p>
        </w:tc>
        <w:tc>
          <w:tcPr>
            <w:tcW w:w="3098" w:type="dxa"/>
            <w:shd w:val="clear" w:color="auto" w:fill="FFFFFF"/>
            <w:tcMar>
              <w:top w:w="0" w:type="dxa"/>
              <w:left w:w="108" w:type="dxa"/>
              <w:bottom w:w="0" w:type="dxa"/>
              <w:right w:w="108" w:type="dxa"/>
            </w:tcMar>
            <w:hideMark/>
          </w:tcPr>
          <w:p w14:paraId="2CC4A810" w14:textId="77777777" w:rsidR="00FB33C6" w:rsidRPr="00256982" w:rsidRDefault="00FB33C6" w:rsidP="00823616">
            <w:pPr>
              <w:pStyle w:val="TableText"/>
              <w:jc w:val="center"/>
            </w:pPr>
            <w:r w:rsidRPr="00256982">
              <w:t>±40</w:t>
            </w:r>
          </w:p>
        </w:tc>
      </w:tr>
      <w:tr w:rsidR="00FB33C6" w:rsidRPr="00256982" w14:paraId="20877FAD" w14:textId="77777777" w:rsidTr="00823616">
        <w:trPr>
          <w:trHeight w:val="127"/>
        </w:trPr>
        <w:tc>
          <w:tcPr>
            <w:tcW w:w="2620" w:type="dxa"/>
            <w:shd w:val="clear" w:color="auto" w:fill="FFFFFF"/>
            <w:tcMar>
              <w:top w:w="0" w:type="dxa"/>
              <w:left w:w="108" w:type="dxa"/>
              <w:bottom w:w="0" w:type="dxa"/>
              <w:right w:w="108" w:type="dxa"/>
            </w:tcMar>
            <w:hideMark/>
          </w:tcPr>
          <w:p w14:paraId="5D7A5161" w14:textId="77777777" w:rsidR="00FB33C6" w:rsidRPr="00256982" w:rsidRDefault="00FB33C6" w:rsidP="00823616">
            <w:pPr>
              <w:pStyle w:val="TableText"/>
            </w:pPr>
            <w:r w:rsidRPr="00256982">
              <w:t>Waste open burning (CH</w:t>
            </w:r>
            <w:r w:rsidRPr="00256982">
              <w:rPr>
                <w:vertAlign w:val="subscript"/>
              </w:rPr>
              <w:t>4</w:t>
            </w:r>
            <w:r w:rsidRPr="00256982">
              <w:t>)</w:t>
            </w:r>
          </w:p>
        </w:tc>
        <w:tc>
          <w:tcPr>
            <w:tcW w:w="2787" w:type="dxa"/>
            <w:shd w:val="clear" w:color="auto" w:fill="FFFFFF"/>
            <w:tcMar>
              <w:top w:w="0" w:type="dxa"/>
              <w:left w:w="108" w:type="dxa"/>
              <w:bottom w:w="0" w:type="dxa"/>
              <w:right w:w="108" w:type="dxa"/>
            </w:tcMar>
            <w:hideMark/>
          </w:tcPr>
          <w:p w14:paraId="3890D8EB" w14:textId="77777777" w:rsidR="00FB33C6" w:rsidRPr="00256982" w:rsidRDefault="00FB33C6" w:rsidP="00823616">
            <w:pPr>
              <w:pStyle w:val="TableText"/>
              <w:jc w:val="center"/>
            </w:pPr>
            <w:r w:rsidRPr="00256982">
              <w:t>±140</w:t>
            </w:r>
          </w:p>
        </w:tc>
        <w:tc>
          <w:tcPr>
            <w:tcW w:w="3098" w:type="dxa"/>
            <w:shd w:val="clear" w:color="auto" w:fill="FFFFFF"/>
            <w:tcMar>
              <w:top w:w="0" w:type="dxa"/>
              <w:left w:w="108" w:type="dxa"/>
              <w:bottom w:w="0" w:type="dxa"/>
              <w:right w:w="108" w:type="dxa"/>
            </w:tcMar>
            <w:hideMark/>
          </w:tcPr>
          <w:p w14:paraId="27DE91AE" w14:textId="77777777" w:rsidR="00FB33C6" w:rsidRPr="00256982" w:rsidRDefault="00FB33C6" w:rsidP="00823616">
            <w:pPr>
              <w:pStyle w:val="TableText"/>
              <w:jc w:val="center"/>
            </w:pPr>
            <w:r w:rsidRPr="00256982">
              <w:t>±100</w:t>
            </w:r>
          </w:p>
        </w:tc>
      </w:tr>
      <w:tr w:rsidR="00FB33C6" w:rsidRPr="00256982" w14:paraId="20FC2C6D" w14:textId="77777777" w:rsidTr="00823616">
        <w:trPr>
          <w:trHeight w:val="127"/>
        </w:trPr>
        <w:tc>
          <w:tcPr>
            <w:tcW w:w="2620" w:type="dxa"/>
            <w:shd w:val="clear" w:color="auto" w:fill="FFFFFF"/>
            <w:tcMar>
              <w:top w:w="0" w:type="dxa"/>
              <w:left w:w="108" w:type="dxa"/>
              <w:bottom w:w="0" w:type="dxa"/>
              <w:right w:w="108" w:type="dxa"/>
            </w:tcMar>
            <w:hideMark/>
          </w:tcPr>
          <w:p w14:paraId="0939E3EC" w14:textId="77777777" w:rsidR="00FB33C6" w:rsidRPr="00256982" w:rsidRDefault="00FB33C6" w:rsidP="00823616">
            <w:pPr>
              <w:pStyle w:val="TableText"/>
            </w:pPr>
            <w:r w:rsidRPr="00256982">
              <w:t>Waste open burning (N</w:t>
            </w:r>
            <w:r w:rsidRPr="00256982">
              <w:rPr>
                <w:vertAlign w:val="subscript"/>
              </w:rPr>
              <w:t>2</w:t>
            </w:r>
            <w:r w:rsidRPr="00256982">
              <w:t>O)</w:t>
            </w:r>
          </w:p>
        </w:tc>
        <w:tc>
          <w:tcPr>
            <w:tcW w:w="2787" w:type="dxa"/>
            <w:shd w:val="clear" w:color="auto" w:fill="FFFFFF"/>
            <w:tcMar>
              <w:top w:w="0" w:type="dxa"/>
              <w:left w:w="108" w:type="dxa"/>
              <w:bottom w:w="0" w:type="dxa"/>
              <w:right w:w="108" w:type="dxa"/>
            </w:tcMar>
            <w:hideMark/>
          </w:tcPr>
          <w:p w14:paraId="0CE98092" w14:textId="77777777" w:rsidR="00FB33C6" w:rsidRPr="00256982" w:rsidRDefault="00FB33C6" w:rsidP="00823616">
            <w:pPr>
              <w:pStyle w:val="TableText"/>
              <w:jc w:val="center"/>
            </w:pPr>
            <w:r w:rsidRPr="00256982">
              <w:t>±140</w:t>
            </w:r>
          </w:p>
        </w:tc>
        <w:tc>
          <w:tcPr>
            <w:tcW w:w="3098" w:type="dxa"/>
            <w:shd w:val="clear" w:color="auto" w:fill="FFFFFF"/>
            <w:tcMar>
              <w:top w:w="0" w:type="dxa"/>
              <w:left w:w="108" w:type="dxa"/>
              <w:bottom w:w="0" w:type="dxa"/>
              <w:right w:w="108" w:type="dxa"/>
            </w:tcMar>
            <w:hideMark/>
          </w:tcPr>
          <w:p w14:paraId="74F61E7A" w14:textId="77777777" w:rsidR="00FB33C6" w:rsidRPr="00256982" w:rsidRDefault="00FB33C6" w:rsidP="00823616">
            <w:pPr>
              <w:pStyle w:val="TableText"/>
              <w:jc w:val="center"/>
            </w:pPr>
            <w:r w:rsidRPr="00256982">
              <w:t>±100</w:t>
            </w:r>
          </w:p>
        </w:tc>
      </w:tr>
    </w:tbl>
    <w:p w14:paraId="0541200D" w14:textId="77777777" w:rsidR="00FB33C6" w:rsidRPr="00256982" w:rsidRDefault="00FB33C6" w:rsidP="00FB33C6">
      <w:pPr>
        <w:pStyle w:val="Heading3"/>
        <w:spacing w:before="480"/>
      </w:pPr>
      <w:r w:rsidRPr="00256982">
        <w:t xml:space="preserve">8.5.3 </w:t>
      </w:r>
      <w:r w:rsidRPr="00256982">
        <w:tab/>
        <w:t>Emissions from Wastewater treatment and discharge in Tokelau</w:t>
      </w:r>
    </w:p>
    <w:p w14:paraId="2E774D05" w14:textId="77777777" w:rsidR="00FB33C6" w:rsidRPr="00256982" w:rsidRDefault="00FB33C6" w:rsidP="00FB33C6">
      <w:pPr>
        <w:pStyle w:val="BodyText"/>
      </w:pPr>
      <w:r w:rsidRPr="00256982">
        <w:t xml:space="preserve">In the absence of industrial plants in Tokelau, all emissions associated with wastewater treatment and discharge are reported under the </w:t>
      </w:r>
      <w:r w:rsidRPr="00256982">
        <w:rPr>
          <w:i/>
        </w:rPr>
        <w:t>Domestic wastewater</w:t>
      </w:r>
      <w:r w:rsidRPr="00256982">
        <w:t xml:space="preserve"> category (5.D.1). The category uses the same population values as in the </w:t>
      </w:r>
      <w:r w:rsidRPr="00256982">
        <w:rPr>
          <w:i/>
        </w:rPr>
        <w:t>Solid waste disposal</w:t>
      </w:r>
      <w:r w:rsidRPr="00256982">
        <w:t xml:space="preserve"> and </w:t>
      </w:r>
      <w:r w:rsidRPr="00256982">
        <w:rPr>
          <w:i/>
        </w:rPr>
        <w:t>Open burning of Waste categories</w:t>
      </w:r>
      <w:r w:rsidRPr="00256982">
        <w:t xml:space="preserve"> (see above). </w:t>
      </w:r>
    </w:p>
    <w:p w14:paraId="31D2786F" w14:textId="77777777" w:rsidR="00FB33C6" w:rsidRPr="00256982" w:rsidRDefault="00FB33C6" w:rsidP="00FB33C6">
      <w:pPr>
        <w:pStyle w:val="BodyText"/>
      </w:pPr>
      <w:r w:rsidRPr="00256982">
        <w:t>The category includes emissions of CH</w:t>
      </w:r>
      <w:r w:rsidRPr="00256982">
        <w:rPr>
          <w:vertAlign w:val="subscript"/>
        </w:rPr>
        <w:t>4</w:t>
      </w:r>
      <w:r w:rsidRPr="00256982">
        <w:t xml:space="preserve"> and N</w:t>
      </w:r>
      <w:r w:rsidRPr="00256982">
        <w:rPr>
          <w:vertAlign w:val="subscript"/>
        </w:rPr>
        <w:t>2</w:t>
      </w:r>
      <w:r w:rsidRPr="00256982">
        <w:t>O.</w:t>
      </w:r>
    </w:p>
    <w:p w14:paraId="7262F5F7" w14:textId="77777777" w:rsidR="00FB33C6" w:rsidRPr="00256982" w:rsidRDefault="00FB33C6" w:rsidP="00FB33C6">
      <w:pPr>
        <w:pStyle w:val="BodyText"/>
      </w:pPr>
      <w:r w:rsidRPr="00256982">
        <w:t xml:space="preserve">The </w:t>
      </w:r>
      <w:r w:rsidRPr="00256982">
        <w:rPr>
          <w:i/>
        </w:rPr>
        <w:t xml:space="preserve">Domestic wastewater </w:t>
      </w:r>
      <w:r w:rsidRPr="00256982">
        <w:t>category</w:t>
      </w:r>
      <w:r w:rsidRPr="00256982">
        <w:rPr>
          <w:i/>
        </w:rPr>
        <w:t xml:space="preserve"> </w:t>
      </w:r>
      <w:r w:rsidRPr="00256982">
        <w:t>contributes 24.5 per cent to the total of Waste sector emissions from Tokelau, which amounts to 0.16 kt CO</w:t>
      </w:r>
      <w:r w:rsidRPr="00256982">
        <w:rPr>
          <w:vertAlign w:val="subscript"/>
        </w:rPr>
        <w:t>2</w:t>
      </w:r>
      <w:r w:rsidRPr="00256982">
        <w:t>-e.</w:t>
      </w:r>
    </w:p>
    <w:p w14:paraId="5982F50C" w14:textId="77777777" w:rsidR="00FB33C6" w:rsidRPr="00256982" w:rsidRDefault="00FB33C6" w:rsidP="00FB33C6">
      <w:pPr>
        <w:pStyle w:val="Heading4"/>
      </w:pPr>
      <w:r w:rsidRPr="00256982">
        <w:t>Methodological issues</w:t>
      </w:r>
    </w:p>
    <w:p w14:paraId="0FFFB1FE" w14:textId="77777777" w:rsidR="00FB33C6" w:rsidRPr="00256982" w:rsidRDefault="00FB33C6" w:rsidP="00FB33C6">
      <w:pPr>
        <w:pStyle w:val="BodyText"/>
      </w:pPr>
      <w:r w:rsidRPr="00256982">
        <w:t>A Tier 1 methodology with the 2006 IPCC default emission factors (except the protein consumption value) for all gases was applied for estimating emissions from this category.</w:t>
      </w:r>
    </w:p>
    <w:p w14:paraId="5F5C0E93" w14:textId="77777777" w:rsidR="00FB33C6" w:rsidRPr="00256982" w:rsidRDefault="00FB33C6" w:rsidP="00FB33C6">
      <w:pPr>
        <w:pStyle w:val="BodyText"/>
      </w:pPr>
      <w:r w:rsidRPr="00256982">
        <w:t>Assumptions for estimating CH</w:t>
      </w:r>
      <w:r w:rsidRPr="00256982">
        <w:rPr>
          <w:vertAlign w:val="subscript"/>
        </w:rPr>
        <w:t>4</w:t>
      </w:r>
      <w:r w:rsidRPr="00256982">
        <w:t xml:space="preserve"> emissions from wastewater:</w:t>
      </w:r>
    </w:p>
    <w:p w14:paraId="69A80B2C" w14:textId="77777777" w:rsidR="00FB33C6" w:rsidRPr="00256982" w:rsidRDefault="00FB33C6" w:rsidP="00FB33C6">
      <w:pPr>
        <w:pStyle w:val="Bullet"/>
      </w:pPr>
      <w:r w:rsidRPr="00256982">
        <w:t>60 grams biochemical oxygen demand (BOD) per person per day (as for Canada, Europe, Russia and Oceania), which calculates as 21.9 kg/person/year</w:t>
      </w:r>
    </w:p>
    <w:p w14:paraId="6EC174CB" w14:textId="77777777" w:rsidR="00FB33C6" w:rsidRPr="00256982" w:rsidRDefault="00FB33C6" w:rsidP="00FB33C6">
      <w:pPr>
        <w:pStyle w:val="Bullet"/>
      </w:pPr>
      <w:r w:rsidRPr="00256982">
        <w:t>for population, the same time series as in categories 5.A.3 and 5.C was used</w:t>
      </w:r>
    </w:p>
    <w:p w14:paraId="0EAA7979" w14:textId="77777777" w:rsidR="00FB33C6" w:rsidRPr="00256982" w:rsidRDefault="00FB33C6" w:rsidP="00FB33C6">
      <w:pPr>
        <w:pStyle w:val="Bullet"/>
      </w:pPr>
      <w:r w:rsidRPr="00256982">
        <w:t xml:space="preserve">despite having no wastewater collection system, a correction factor for industrial BOD discharged in sewers of 1.25 is used (default for collected systems) to account for any industrial and commercial activity in Tokelau, such as fishing. No other estimates of industrial wastewater are made (effectively 5.D.2 </w:t>
      </w:r>
      <w:r w:rsidRPr="00256982">
        <w:rPr>
          <w:i/>
        </w:rPr>
        <w:t>Industrial wastewater</w:t>
      </w:r>
      <w:r w:rsidRPr="00256982">
        <w:t xml:space="preserve"> is ‘IE’ (included elsewhere) and included in 5.D.1 </w:t>
      </w:r>
      <w:r w:rsidRPr="00256982">
        <w:rPr>
          <w:i/>
        </w:rPr>
        <w:t>Domestic wastewater</w:t>
      </w:r>
      <w:r w:rsidRPr="00256982">
        <w:t>)</w:t>
      </w:r>
    </w:p>
    <w:p w14:paraId="3D02D5D3" w14:textId="77777777" w:rsidR="00FB33C6" w:rsidRPr="00256982" w:rsidRDefault="00FB33C6" w:rsidP="00FB33C6">
      <w:pPr>
        <w:pStyle w:val="Bullet"/>
      </w:pPr>
      <w:r w:rsidRPr="00256982">
        <w:t xml:space="preserve">“[m]ost Tokelauans had access to a private toilet in their homes: 72.9 per cent of private occupied dwellings had an indoor flush toilet, and 21.6 per cent of dwellings had an outdoor flush toilet. Atafu had the highest proportion of dwellings with an indoor toilet (87.4 per cent), and Nukunonu had the highest proportion of households with an outdoor toilet (34.9 per cent)” (Census 2016, similar to values for 2011 and 2006). </w:t>
      </w:r>
    </w:p>
    <w:p w14:paraId="30D1C257" w14:textId="77777777" w:rsidR="00FB33C6" w:rsidRPr="00256982" w:rsidRDefault="00FB33C6" w:rsidP="00FB33C6">
      <w:pPr>
        <w:pStyle w:val="BodyText"/>
      </w:pPr>
      <w:r w:rsidRPr="00256982">
        <w:t>Table 8.5.5 sums up default parameters used for estimating CH</w:t>
      </w:r>
      <w:r w:rsidRPr="00256982">
        <w:rPr>
          <w:vertAlign w:val="subscript"/>
        </w:rPr>
        <w:t>4</w:t>
      </w:r>
      <w:r w:rsidRPr="00256982">
        <w:t xml:space="preserve"> emissions for Tokelau wastewater treatment. The default BOD correction factor for collected systems is used to account for industrial and commercial water, because there is no separate estimate.</w:t>
      </w:r>
    </w:p>
    <w:p w14:paraId="7A195067" w14:textId="77777777" w:rsidR="00FB33C6" w:rsidRPr="00256982" w:rsidRDefault="00FB33C6" w:rsidP="00FB33C6">
      <w:pPr>
        <w:pStyle w:val="Table"/>
      </w:pPr>
      <w:bookmarkStart w:id="2476" w:name="_Toc5269606"/>
      <w:r w:rsidRPr="00256982">
        <w:t>Table 8.5.5</w:t>
      </w:r>
      <w:r w:rsidRPr="00256982">
        <w:tab/>
        <w:t>Parameters for estimating methane emissions for Tokelau wastewater treatment</w:t>
      </w:r>
      <w:bookmarkEnd w:id="2476"/>
      <w:r w:rsidRPr="00256982">
        <w:t xml:space="preserve"> </w:t>
      </w:r>
    </w:p>
    <w:tbl>
      <w:tblPr>
        <w:tblW w:w="8505" w:type="dxa"/>
        <w:tblInd w:w="108" w:type="dxa"/>
        <w:tblBorders>
          <w:top w:val="single" w:sz="4" w:space="0" w:color="365F91"/>
          <w:bottom w:val="single" w:sz="4" w:space="0" w:color="365F91"/>
          <w:insideH w:val="single" w:sz="4" w:space="0" w:color="365F91"/>
          <w:insideV w:val="single" w:sz="4" w:space="0" w:color="365F91"/>
        </w:tblBorders>
        <w:tblLook w:val="04A0" w:firstRow="1" w:lastRow="0" w:firstColumn="1" w:lastColumn="0" w:noHBand="0" w:noVBand="1"/>
      </w:tblPr>
      <w:tblGrid>
        <w:gridCol w:w="3261"/>
        <w:gridCol w:w="708"/>
        <w:gridCol w:w="2024"/>
        <w:gridCol w:w="2512"/>
      </w:tblGrid>
      <w:tr w:rsidR="00FB33C6" w:rsidRPr="00256982" w14:paraId="47777590" w14:textId="77777777" w:rsidTr="005F7F15">
        <w:tc>
          <w:tcPr>
            <w:tcW w:w="3261" w:type="dxa"/>
            <w:shd w:val="clear" w:color="auto" w:fill="365F91"/>
          </w:tcPr>
          <w:p w14:paraId="382E8697" w14:textId="77777777" w:rsidR="00FB33C6" w:rsidRPr="00256982" w:rsidRDefault="00FB33C6" w:rsidP="00823616">
            <w:pPr>
              <w:pStyle w:val="TableTextBold"/>
              <w:spacing w:before="40" w:after="40"/>
              <w:rPr>
                <w:noProof w:val="0"/>
                <w:color w:val="FFFFFF"/>
                <w:lang w:eastAsia="en-NZ"/>
              </w:rPr>
            </w:pPr>
            <w:r w:rsidRPr="00256982">
              <w:rPr>
                <w:noProof w:val="0"/>
                <w:color w:val="FFFFFF"/>
                <w:lang w:eastAsia="en-NZ"/>
              </w:rPr>
              <w:t>Parameter</w:t>
            </w:r>
          </w:p>
        </w:tc>
        <w:tc>
          <w:tcPr>
            <w:tcW w:w="708" w:type="dxa"/>
            <w:shd w:val="clear" w:color="auto" w:fill="365F91"/>
          </w:tcPr>
          <w:p w14:paraId="6BEE1C67" w14:textId="77777777" w:rsidR="00FB33C6" w:rsidRPr="00256982" w:rsidRDefault="00FB33C6" w:rsidP="00823616">
            <w:pPr>
              <w:pStyle w:val="TableTextBold"/>
              <w:spacing w:before="40" w:after="40"/>
              <w:rPr>
                <w:noProof w:val="0"/>
                <w:color w:val="FFFFFF"/>
                <w:lang w:eastAsia="en-NZ"/>
              </w:rPr>
            </w:pPr>
            <w:r w:rsidRPr="00256982">
              <w:rPr>
                <w:noProof w:val="0"/>
                <w:color w:val="FFFFFF"/>
                <w:lang w:eastAsia="en-NZ"/>
              </w:rPr>
              <w:t>Value</w:t>
            </w:r>
          </w:p>
        </w:tc>
        <w:tc>
          <w:tcPr>
            <w:tcW w:w="2024" w:type="dxa"/>
            <w:shd w:val="clear" w:color="auto" w:fill="365F91"/>
          </w:tcPr>
          <w:p w14:paraId="28C49B8C" w14:textId="77777777" w:rsidR="00FB33C6" w:rsidRPr="00256982" w:rsidRDefault="00FB33C6" w:rsidP="00823616">
            <w:pPr>
              <w:pStyle w:val="TableTextBold"/>
              <w:spacing w:before="40" w:after="40"/>
              <w:rPr>
                <w:noProof w:val="0"/>
                <w:color w:val="FFFFFF"/>
                <w:lang w:eastAsia="en-NZ"/>
              </w:rPr>
            </w:pPr>
            <w:r w:rsidRPr="00256982">
              <w:rPr>
                <w:noProof w:val="0"/>
                <w:color w:val="FFFFFF"/>
                <w:lang w:eastAsia="en-NZ"/>
              </w:rPr>
              <w:t>Source</w:t>
            </w:r>
          </w:p>
        </w:tc>
        <w:tc>
          <w:tcPr>
            <w:tcW w:w="2512" w:type="dxa"/>
            <w:shd w:val="clear" w:color="auto" w:fill="365F91"/>
          </w:tcPr>
          <w:p w14:paraId="199014B7" w14:textId="77777777" w:rsidR="00FB33C6" w:rsidRPr="00256982" w:rsidRDefault="00FB33C6" w:rsidP="00823616">
            <w:pPr>
              <w:pStyle w:val="TableTextBold"/>
              <w:spacing w:before="40" w:after="40"/>
              <w:rPr>
                <w:noProof w:val="0"/>
                <w:color w:val="FFFFFF"/>
                <w:lang w:eastAsia="en-NZ"/>
              </w:rPr>
            </w:pPr>
            <w:r w:rsidRPr="00256982">
              <w:rPr>
                <w:noProof w:val="0"/>
                <w:color w:val="FFFFFF"/>
                <w:lang w:eastAsia="en-NZ"/>
              </w:rPr>
              <w:t>Reference</w:t>
            </w:r>
          </w:p>
        </w:tc>
      </w:tr>
      <w:tr w:rsidR="00FB33C6" w:rsidRPr="00256982" w14:paraId="4FB0D5D5" w14:textId="77777777" w:rsidTr="005F7F15">
        <w:tc>
          <w:tcPr>
            <w:tcW w:w="3261" w:type="dxa"/>
          </w:tcPr>
          <w:p w14:paraId="4CE60149" w14:textId="77777777" w:rsidR="00FB33C6" w:rsidRPr="00256982" w:rsidRDefault="00FB33C6" w:rsidP="00823616">
            <w:pPr>
              <w:pStyle w:val="TableText"/>
              <w:rPr>
                <w:lang w:eastAsia="en-NZ"/>
              </w:rPr>
            </w:pPr>
            <w:r w:rsidRPr="00256982">
              <w:rPr>
                <w:lang w:eastAsia="en-NZ"/>
              </w:rPr>
              <w:t>Methane correction factors</w:t>
            </w:r>
          </w:p>
        </w:tc>
        <w:tc>
          <w:tcPr>
            <w:tcW w:w="708" w:type="dxa"/>
          </w:tcPr>
          <w:p w14:paraId="2ECC1D8B" w14:textId="77777777" w:rsidR="00FB33C6" w:rsidRPr="00256982" w:rsidRDefault="00FB33C6" w:rsidP="00823616">
            <w:pPr>
              <w:pStyle w:val="TableText"/>
            </w:pPr>
          </w:p>
        </w:tc>
        <w:tc>
          <w:tcPr>
            <w:tcW w:w="2024" w:type="dxa"/>
          </w:tcPr>
          <w:p w14:paraId="67963709" w14:textId="77777777" w:rsidR="00FB33C6" w:rsidRPr="00256982" w:rsidRDefault="00FB33C6" w:rsidP="00823616">
            <w:pPr>
              <w:pStyle w:val="TableText"/>
            </w:pPr>
          </w:p>
        </w:tc>
        <w:tc>
          <w:tcPr>
            <w:tcW w:w="2512" w:type="dxa"/>
          </w:tcPr>
          <w:p w14:paraId="08CA306F" w14:textId="77777777" w:rsidR="00FB33C6" w:rsidRPr="00256982" w:rsidRDefault="00FB33C6" w:rsidP="00823616">
            <w:pPr>
              <w:pStyle w:val="TableText"/>
            </w:pPr>
          </w:p>
        </w:tc>
      </w:tr>
      <w:tr w:rsidR="00FB33C6" w:rsidRPr="00256982" w14:paraId="79178DC4" w14:textId="77777777" w:rsidTr="005F7F15">
        <w:tc>
          <w:tcPr>
            <w:tcW w:w="3261" w:type="dxa"/>
          </w:tcPr>
          <w:p w14:paraId="4E083F78" w14:textId="77777777" w:rsidR="00FB33C6" w:rsidRPr="00256982" w:rsidRDefault="00FB33C6" w:rsidP="00823616">
            <w:pPr>
              <w:pStyle w:val="TableText"/>
              <w:ind w:left="113"/>
              <w:rPr>
                <w:i/>
              </w:rPr>
            </w:pPr>
            <w:r w:rsidRPr="00256982">
              <w:rPr>
                <w:i/>
              </w:rPr>
              <w:t>Septic system</w:t>
            </w:r>
          </w:p>
        </w:tc>
        <w:tc>
          <w:tcPr>
            <w:tcW w:w="708" w:type="dxa"/>
          </w:tcPr>
          <w:p w14:paraId="2D77B86F" w14:textId="77777777" w:rsidR="00FB33C6" w:rsidRPr="00256982" w:rsidRDefault="00FB33C6" w:rsidP="00823616">
            <w:pPr>
              <w:pStyle w:val="TableText"/>
            </w:pPr>
            <w:r w:rsidRPr="00256982">
              <w:t>0.5</w:t>
            </w:r>
          </w:p>
        </w:tc>
        <w:tc>
          <w:tcPr>
            <w:tcW w:w="2024" w:type="dxa"/>
          </w:tcPr>
          <w:p w14:paraId="64EB4BFE" w14:textId="77777777" w:rsidR="00FB33C6" w:rsidRPr="00256982" w:rsidRDefault="00FB33C6" w:rsidP="00823616">
            <w:pPr>
              <w:pStyle w:val="TableText"/>
            </w:pPr>
            <w:r w:rsidRPr="00256982">
              <w:t>IPCC default</w:t>
            </w:r>
          </w:p>
        </w:tc>
        <w:tc>
          <w:tcPr>
            <w:tcW w:w="2512" w:type="dxa"/>
          </w:tcPr>
          <w:p w14:paraId="31CF4F07" w14:textId="77777777" w:rsidR="00FB33C6" w:rsidRPr="00256982" w:rsidRDefault="00FB33C6" w:rsidP="00823616">
            <w:pPr>
              <w:pStyle w:val="TableText"/>
            </w:pPr>
            <w:r w:rsidRPr="00256982">
              <w:t>Table 6.3, section 6.2.2.2, IPCC, 2006d</w:t>
            </w:r>
          </w:p>
        </w:tc>
      </w:tr>
      <w:tr w:rsidR="00FB33C6" w:rsidRPr="00256982" w14:paraId="1CDC7A2E" w14:textId="77777777" w:rsidTr="005F7F15">
        <w:tc>
          <w:tcPr>
            <w:tcW w:w="3261" w:type="dxa"/>
          </w:tcPr>
          <w:p w14:paraId="17A68A52" w14:textId="77777777" w:rsidR="00FB33C6" w:rsidRPr="00256982" w:rsidRDefault="00FB33C6" w:rsidP="00823616">
            <w:pPr>
              <w:pStyle w:val="TableText"/>
              <w:ind w:left="113"/>
              <w:rPr>
                <w:i/>
              </w:rPr>
            </w:pPr>
            <w:r w:rsidRPr="00256982">
              <w:rPr>
                <w:i/>
              </w:rPr>
              <w:t>Sea, river and lake discharge</w:t>
            </w:r>
          </w:p>
        </w:tc>
        <w:tc>
          <w:tcPr>
            <w:tcW w:w="708" w:type="dxa"/>
          </w:tcPr>
          <w:p w14:paraId="6B1537D7" w14:textId="77777777" w:rsidR="00FB33C6" w:rsidRPr="00256982" w:rsidRDefault="00FB33C6" w:rsidP="00823616">
            <w:pPr>
              <w:pStyle w:val="TableText"/>
            </w:pPr>
            <w:r w:rsidRPr="00256982">
              <w:t>0.1</w:t>
            </w:r>
          </w:p>
        </w:tc>
        <w:tc>
          <w:tcPr>
            <w:tcW w:w="2024" w:type="dxa"/>
          </w:tcPr>
          <w:p w14:paraId="280C1AF5" w14:textId="77777777" w:rsidR="00FB33C6" w:rsidRPr="00256982" w:rsidRDefault="00FB33C6" w:rsidP="00823616">
            <w:pPr>
              <w:pStyle w:val="TableText"/>
            </w:pPr>
            <w:r w:rsidRPr="00256982">
              <w:t>IPCC default</w:t>
            </w:r>
          </w:p>
        </w:tc>
        <w:tc>
          <w:tcPr>
            <w:tcW w:w="2512" w:type="dxa"/>
          </w:tcPr>
          <w:p w14:paraId="7372F98D" w14:textId="77777777" w:rsidR="00FB33C6" w:rsidRPr="00256982" w:rsidRDefault="00FB33C6" w:rsidP="00823616">
            <w:pPr>
              <w:pStyle w:val="TableText"/>
            </w:pPr>
            <w:r w:rsidRPr="00256982">
              <w:t xml:space="preserve">Table 6.3, section 6.2.2.2, IPCC, 2006d </w:t>
            </w:r>
          </w:p>
        </w:tc>
      </w:tr>
      <w:tr w:rsidR="00FB33C6" w:rsidRPr="00256982" w14:paraId="6DCA6AEC" w14:textId="77777777" w:rsidTr="005F7F15">
        <w:tc>
          <w:tcPr>
            <w:tcW w:w="3261" w:type="dxa"/>
          </w:tcPr>
          <w:p w14:paraId="5147F62D" w14:textId="77777777" w:rsidR="00FB33C6" w:rsidRPr="00256982" w:rsidRDefault="00FB33C6" w:rsidP="00823616">
            <w:pPr>
              <w:pStyle w:val="TableText"/>
              <w:ind w:left="113"/>
              <w:rPr>
                <w:i/>
              </w:rPr>
            </w:pPr>
            <w:r w:rsidRPr="00256982">
              <w:rPr>
                <w:i/>
              </w:rPr>
              <w:t>Weighted average methane correction factor</w:t>
            </w:r>
          </w:p>
        </w:tc>
        <w:tc>
          <w:tcPr>
            <w:tcW w:w="708" w:type="dxa"/>
          </w:tcPr>
          <w:p w14:paraId="50BBF06B" w14:textId="77777777" w:rsidR="00FB33C6" w:rsidRPr="00256982" w:rsidRDefault="00FB33C6" w:rsidP="00823616">
            <w:pPr>
              <w:pStyle w:val="TableText"/>
            </w:pPr>
            <w:r w:rsidRPr="00256982">
              <w:t>0.233</w:t>
            </w:r>
          </w:p>
        </w:tc>
        <w:tc>
          <w:tcPr>
            <w:tcW w:w="2024" w:type="dxa"/>
          </w:tcPr>
          <w:p w14:paraId="55030B11" w14:textId="77777777" w:rsidR="00FB33C6" w:rsidRPr="00256982" w:rsidRDefault="00FB33C6" w:rsidP="00823616">
            <w:pPr>
              <w:pStyle w:val="TableText"/>
            </w:pPr>
            <w:r w:rsidRPr="00256982">
              <w:t>Calculated</w:t>
            </w:r>
          </w:p>
        </w:tc>
        <w:tc>
          <w:tcPr>
            <w:tcW w:w="2512" w:type="dxa"/>
          </w:tcPr>
          <w:p w14:paraId="70CC6EFA" w14:textId="77777777" w:rsidR="00FB33C6" w:rsidRPr="00256982" w:rsidRDefault="00FB33C6" w:rsidP="00823616">
            <w:pPr>
              <w:pStyle w:val="TableText"/>
            </w:pPr>
          </w:p>
        </w:tc>
      </w:tr>
      <w:tr w:rsidR="00FB33C6" w:rsidRPr="00256982" w14:paraId="68A521C0" w14:textId="77777777" w:rsidTr="005F7F15">
        <w:tc>
          <w:tcPr>
            <w:tcW w:w="3261" w:type="dxa"/>
          </w:tcPr>
          <w:p w14:paraId="0974D48D" w14:textId="77777777" w:rsidR="00FB33C6" w:rsidRPr="00256982" w:rsidRDefault="00FB33C6" w:rsidP="00823616">
            <w:pPr>
              <w:pStyle w:val="TableText"/>
            </w:pPr>
            <w:r w:rsidRPr="00256982">
              <w:t>Maximum methane producing capacity (kg CH</w:t>
            </w:r>
            <w:r w:rsidRPr="00256982">
              <w:rPr>
                <w:vertAlign w:val="subscript"/>
              </w:rPr>
              <w:t>4</w:t>
            </w:r>
            <w:r w:rsidRPr="00256982">
              <w:t>/kg BOD)</w:t>
            </w:r>
          </w:p>
        </w:tc>
        <w:tc>
          <w:tcPr>
            <w:tcW w:w="708" w:type="dxa"/>
          </w:tcPr>
          <w:p w14:paraId="620ADF97" w14:textId="77777777" w:rsidR="00FB33C6" w:rsidRPr="00256982" w:rsidRDefault="00FB33C6" w:rsidP="00823616">
            <w:pPr>
              <w:pStyle w:val="TableText"/>
            </w:pPr>
            <w:r w:rsidRPr="00256982">
              <w:t>0.6</w:t>
            </w:r>
          </w:p>
        </w:tc>
        <w:tc>
          <w:tcPr>
            <w:tcW w:w="2024" w:type="dxa"/>
          </w:tcPr>
          <w:p w14:paraId="563090CD" w14:textId="77777777" w:rsidR="00FB33C6" w:rsidRPr="00256982" w:rsidRDefault="00FB33C6" w:rsidP="00823616">
            <w:pPr>
              <w:pStyle w:val="TableText"/>
            </w:pPr>
            <w:r w:rsidRPr="00256982">
              <w:t>IPCC default</w:t>
            </w:r>
          </w:p>
        </w:tc>
        <w:tc>
          <w:tcPr>
            <w:tcW w:w="2512" w:type="dxa"/>
          </w:tcPr>
          <w:p w14:paraId="202FE65C" w14:textId="77777777" w:rsidR="00FB33C6" w:rsidRPr="00256982" w:rsidRDefault="00FB33C6" w:rsidP="00823616">
            <w:pPr>
              <w:pStyle w:val="TableText"/>
            </w:pPr>
            <w:r w:rsidRPr="00256982">
              <w:t>Table 6.2, section 6.2.2.2, IPCC, 2006d</w:t>
            </w:r>
          </w:p>
        </w:tc>
      </w:tr>
      <w:tr w:rsidR="00FB33C6" w:rsidRPr="00256982" w14:paraId="0251AA67" w14:textId="77777777" w:rsidTr="005F7F15">
        <w:tc>
          <w:tcPr>
            <w:tcW w:w="3261" w:type="dxa"/>
          </w:tcPr>
          <w:p w14:paraId="220CA3C9" w14:textId="77777777" w:rsidR="00FB33C6" w:rsidRPr="00256982" w:rsidRDefault="00FB33C6" w:rsidP="00823616">
            <w:pPr>
              <w:pStyle w:val="TableText"/>
            </w:pPr>
            <w:r w:rsidRPr="00256982">
              <w:t>Biochemical oxygen demand (BOD) (kg BOD/person/year)</w:t>
            </w:r>
          </w:p>
        </w:tc>
        <w:tc>
          <w:tcPr>
            <w:tcW w:w="708" w:type="dxa"/>
          </w:tcPr>
          <w:p w14:paraId="59F4121C" w14:textId="77777777" w:rsidR="00FB33C6" w:rsidRPr="00256982" w:rsidRDefault="00FB33C6" w:rsidP="00823616">
            <w:pPr>
              <w:pStyle w:val="TableText"/>
            </w:pPr>
            <w:r w:rsidRPr="00256982">
              <w:t>21.9</w:t>
            </w:r>
          </w:p>
        </w:tc>
        <w:tc>
          <w:tcPr>
            <w:tcW w:w="2024" w:type="dxa"/>
          </w:tcPr>
          <w:p w14:paraId="0367AFF1" w14:textId="77777777" w:rsidR="00FB33C6" w:rsidRPr="00256982" w:rsidRDefault="00FB33C6" w:rsidP="00823616">
            <w:pPr>
              <w:pStyle w:val="TableText"/>
            </w:pPr>
            <w:r w:rsidRPr="00256982">
              <w:t>IPCC default for Oceania</w:t>
            </w:r>
          </w:p>
        </w:tc>
        <w:tc>
          <w:tcPr>
            <w:tcW w:w="2512" w:type="dxa"/>
          </w:tcPr>
          <w:p w14:paraId="3BD55604" w14:textId="77777777" w:rsidR="00FB33C6" w:rsidRPr="00256982" w:rsidRDefault="00FB33C6" w:rsidP="00823616">
            <w:pPr>
              <w:pStyle w:val="TableText"/>
            </w:pPr>
            <w:r w:rsidRPr="00256982">
              <w:rPr>
                <w:rFonts w:eastAsia="Calibri"/>
              </w:rPr>
              <w:t>IPCC</w:t>
            </w:r>
            <w:r w:rsidRPr="00256982">
              <w:t>, 2006d</w:t>
            </w:r>
            <w:r w:rsidRPr="00256982">
              <w:rPr>
                <w:rFonts w:eastAsia="Calibri"/>
              </w:rPr>
              <w:t xml:space="preserve"> (worksheets for SWDS)</w:t>
            </w:r>
          </w:p>
        </w:tc>
      </w:tr>
      <w:tr w:rsidR="00FB33C6" w:rsidRPr="00256982" w14:paraId="46DB1C7B" w14:textId="77777777" w:rsidTr="005F7F15">
        <w:tc>
          <w:tcPr>
            <w:tcW w:w="3261" w:type="dxa"/>
          </w:tcPr>
          <w:p w14:paraId="1202E7D2" w14:textId="77777777" w:rsidR="00FB33C6" w:rsidRPr="00256982" w:rsidRDefault="00FB33C6" w:rsidP="00823616">
            <w:pPr>
              <w:pStyle w:val="TableText"/>
            </w:pPr>
            <w:r w:rsidRPr="00256982">
              <w:t>Correction factor for BOD</w:t>
            </w:r>
          </w:p>
        </w:tc>
        <w:tc>
          <w:tcPr>
            <w:tcW w:w="708" w:type="dxa"/>
          </w:tcPr>
          <w:p w14:paraId="148411D3" w14:textId="77777777" w:rsidR="00FB33C6" w:rsidRPr="00256982" w:rsidRDefault="00FB33C6" w:rsidP="00823616">
            <w:pPr>
              <w:pStyle w:val="TableText"/>
            </w:pPr>
            <w:r w:rsidRPr="00256982">
              <w:t>1.25</w:t>
            </w:r>
          </w:p>
        </w:tc>
        <w:tc>
          <w:tcPr>
            <w:tcW w:w="2024" w:type="dxa"/>
          </w:tcPr>
          <w:p w14:paraId="29AC8E6A" w14:textId="77777777" w:rsidR="00FB33C6" w:rsidRPr="00256982" w:rsidRDefault="00FB33C6" w:rsidP="00823616">
            <w:pPr>
              <w:pStyle w:val="TableText"/>
            </w:pPr>
            <w:r w:rsidRPr="00256982">
              <w:t>IPCC default for collected systems</w:t>
            </w:r>
          </w:p>
        </w:tc>
        <w:tc>
          <w:tcPr>
            <w:tcW w:w="2512" w:type="dxa"/>
          </w:tcPr>
          <w:p w14:paraId="5BE04C47" w14:textId="77777777" w:rsidR="00FB33C6" w:rsidRPr="00256982" w:rsidRDefault="00FB33C6" w:rsidP="00823616">
            <w:pPr>
              <w:pStyle w:val="TableText"/>
            </w:pPr>
            <w:r w:rsidRPr="00256982">
              <w:t>Section 6.2.2.3, p 6.14, IPCC, 2006d</w:t>
            </w:r>
          </w:p>
        </w:tc>
      </w:tr>
    </w:tbl>
    <w:p w14:paraId="5EE0689C" w14:textId="3A83F90D" w:rsidR="00FB33C6" w:rsidRPr="00256982" w:rsidRDefault="00FB33C6" w:rsidP="00FB33C6">
      <w:pPr>
        <w:pStyle w:val="Noteundertable"/>
      </w:pPr>
      <w:r w:rsidRPr="00256982">
        <w:rPr>
          <w:b/>
        </w:rPr>
        <w:t>Note:</w:t>
      </w:r>
      <w:r w:rsidRPr="00256982">
        <w:t xml:space="preserve"> </w:t>
      </w:r>
      <w:r w:rsidRPr="00256982">
        <w:tab/>
        <w:t xml:space="preserve">SWDS = </w:t>
      </w:r>
      <w:r w:rsidR="000D350A" w:rsidRPr="00256982">
        <w:t>s</w:t>
      </w:r>
      <w:r w:rsidRPr="00256982">
        <w:t xml:space="preserve">olid </w:t>
      </w:r>
      <w:r w:rsidR="000D350A" w:rsidRPr="00256982">
        <w:t>w</w:t>
      </w:r>
      <w:r w:rsidRPr="00256982">
        <w:t xml:space="preserve">aste </w:t>
      </w:r>
      <w:r w:rsidR="000D350A" w:rsidRPr="00256982">
        <w:t>d</w:t>
      </w:r>
      <w:r w:rsidRPr="00256982">
        <w:t xml:space="preserve">isposable </w:t>
      </w:r>
      <w:r w:rsidR="000D350A" w:rsidRPr="00256982">
        <w:t>s</w:t>
      </w:r>
      <w:r w:rsidRPr="00256982">
        <w:t>ites.</w:t>
      </w:r>
    </w:p>
    <w:p w14:paraId="6219FEEA" w14:textId="77777777" w:rsidR="00FB33C6" w:rsidRPr="00256982" w:rsidRDefault="00FB33C6" w:rsidP="00FB33C6">
      <w:pPr>
        <w:pStyle w:val="Heading4"/>
        <w:spacing w:before="360"/>
      </w:pPr>
      <w:r w:rsidRPr="00256982">
        <w:t>Assumptions for estimating nitrous oxide emissions from wastewater</w:t>
      </w:r>
    </w:p>
    <w:p w14:paraId="1A553379" w14:textId="77777777" w:rsidR="00FB33C6" w:rsidRPr="00256982" w:rsidRDefault="00FB33C6" w:rsidP="00FB33C6">
      <w:pPr>
        <w:pStyle w:val="BodyText"/>
      </w:pPr>
      <w:r w:rsidRPr="00256982">
        <w:t>Table 8.5.6 shows the parameters used to calculate N</w:t>
      </w:r>
      <w:r w:rsidRPr="00256982">
        <w:rPr>
          <w:vertAlign w:val="subscript"/>
        </w:rPr>
        <w:t>2</w:t>
      </w:r>
      <w:r w:rsidRPr="00256982">
        <w:t>O emissions from wastewater. It is assumed that septic tanks do not discharge to the sea and that only two-thirds of the population each year is contributing to the nitrogen in an effluent calculation.</w:t>
      </w:r>
    </w:p>
    <w:p w14:paraId="51A461FA" w14:textId="77777777" w:rsidR="00FB33C6" w:rsidRPr="00256982" w:rsidRDefault="00FB33C6" w:rsidP="00FB33C6">
      <w:pPr>
        <w:pStyle w:val="BodyText"/>
      </w:pPr>
      <w:r w:rsidRPr="00256982">
        <w:t>Protein consumption of 32.45 kg/person/year has been calculated based on known consumption compiled by the Tokelau National Statistics Office. The fraction of industrial and commercial co-discharged protein accounts for any commercial and industrial activities because there is no separate estimate.</w:t>
      </w:r>
    </w:p>
    <w:p w14:paraId="2A4F966D" w14:textId="77777777" w:rsidR="00FB33C6" w:rsidRPr="00256982" w:rsidRDefault="00FB33C6" w:rsidP="00FB33C6">
      <w:pPr>
        <w:pStyle w:val="Table"/>
      </w:pPr>
      <w:bookmarkStart w:id="2477" w:name="_Toc5269607"/>
      <w:r w:rsidRPr="00256982">
        <w:t>Table 8.5.6</w:t>
      </w:r>
      <w:r w:rsidRPr="00256982">
        <w:tab/>
        <w:t xml:space="preserve">Parameter values applied for estimating nitrous oxide emissions for </w:t>
      </w:r>
      <w:r w:rsidRPr="00256982">
        <w:br/>
        <w:t>Tokelau wastewater treatment</w:t>
      </w:r>
      <w:bookmarkEnd w:id="2477"/>
      <w:r w:rsidRPr="00256982">
        <w:t xml:space="preserve"> </w:t>
      </w:r>
    </w:p>
    <w:tbl>
      <w:tblPr>
        <w:tblW w:w="8505" w:type="dxa"/>
        <w:tblInd w:w="108" w:type="dxa"/>
        <w:tblBorders>
          <w:top w:val="single" w:sz="4" w:space="0" w:color="365F91"/>
          <w:bottom w:val="single" w:sz="4" w:space="0" w:color="365F91"/>
          <w:insideH w:val="single" w:sz="4" w:space="0" w:color="365F91"/>
        </w:tblBorders>
        <w:tblLook w:val="04A0" w:firstRow="1" w:lastRow="0" w:firstColumn="1" w:lastColumn="0" w:noHBand="0" w:noVBand="1"/>
      </w:tblPr>
      <w:tblGrid>
        <w:gridCol w:w="3261"/>
        <w:gridCol w:w="850"/>
        <w:gridCol w:w="1843"/>
        <w:gridCol w:w="2551"/>
      </w:tblGrid>
      <w:tr w:rsidR="00FB33C6" w:rsidRPr="00256982" w14:paraId="3DA4CA84" w14:textId="77777777" w:rsidTr="005F7F15">
        <w:trPr>
          <w:tblHeader/>
        </w:trPr>
        <w:tc>
          <w:tcPr>
            <w:tcW w:w="3261" w:type="dxa"/>
            <w:shd w:val="clear" w:color="auto" w:fill="365F91"/>
          </w:tcPr>
          <w:p w14:paraId="4A4AAEEF" w14:textId="77777777" w:rsidR="00FB33C6" w:rsidRPr="00256982" w:rsidRDefault="00FB33C6" w:rsidP="00823616">
            <w:pPr>
              <w:pStyle w:val="TableTextBold"/>
              <w:rPr>
                <w:noProof w:val="0"/>
                <w:color w:val="FFFFFF"/>
                <w:lang w:eastAsia="en-NZ"/>
              </w:rPr>
            </w:pPr>
            <w:r w:rsidRPr="00256982">
              <w:rPr>
                <w:noProof w:val="0"/>
                <w:color w:val="FFFFFF"/>
                <w:lang w:eastAsia="en-NZ"/>
              </w:rPr>
              <w:t>Parameter</w:t>
            </w:r>
          </w:p>
        </w:tc>
        <w:tc>
          <w:tcPr>
            <w:tcW w:w="850" w:type="dxa"/>
            <w:shd w:val="clear" w:color="auto" w:fill="365F91"/>
          </w:tcPr>
          <w:p w14:paraId="2E25F0C6" w14:textId="77777777" w:rsidR="00FB33C6" w:rsidRPr="00256982" w:rsidRDefault="00FB33C6" w:rsidP="00823616">
            <w:pPr>
              <w:pStyle w:val="TableTextBold"/>
              <w:rPr>
                <w:noProof w:val="0"/>
                <w:color w:val="FFFFFF"/>
                <w:lang w:eastAsia="en-NZ"/>
              </w:rPr>
            </w:pPr>
            <w:r w:rsidRPr="00256982">
              <w:rPr>
                <w:noProof w:val="0"/>
                <w:color w:val="FFFFFF"/>
                <w:lang w:eastAsia="en-NZ"/>
              </w:rPr>
              <w:t>Value</w:t>
            </w:r>
          </w:p>
        </w:tc>
        <w:tc>
          <w:tcPr>
            <w:tcW w:w="1843" w:type="dxa"/>
            <w:shd w:val="clear" w:color="auto" w:fill="365F91"/>
          </w:tcPr>
          <w:p w14:paraId="0092AFA1" w14:textId="77777777" w:rsidR="00FB33C6" w:rsidRPr="00256982" w:rsidRDefault="00FB33C6" w:rsidP="00823616">
            <w:pPr>
              <w:pStyle w:val="TableTextBold"/>
              <w:rPr>
                <w:noProof w:val="0"/>
                <w:color w:val="FFFFFF"/>
                <w:lang w:eastAsia="en-NZ"/>
              </w:rPr>
            </w:pPr>
            <w:r w:rsidRPr="00256982">
              <w:rPr>
                <w:noProof w:val="0"/>
                <w:color w:val="FFFFFF"/>
                <w:lang w:eastAsia="en-NZ"/>
              </w:rPr>
              <w:t>Source</w:t>
            </w:r>
          </w:p>
        </w:tc>
        <w:tc>
          <w:tcPr>
            <w:tcW w:w="2551" w:type="dxa"/>
            <w:shd w:val="clear" w:color="auto" w:fill="365F91"/>
          </w:tcPr>
          <w:p w14:paraId="166862D9" w14:textId="77777777" w:rsidR="00FB33C6" w:rsidRPr="00256982" w:rsidRDefault="00FB33C6" w:rsidP="00823616">
            <w:pPr>
              <w:pStyle w:val="TableTextBold"/>
              <w:rPr>
                <w:noProof w:val="0"/>
                <w:color w:val="FFFFFF"/>
                <w:lang w:eastAsia="en-NZ"/>
              </w:rPr>
            </w:pPr>
            <w:r w:rsidRPr="00256982">
              <w:rPr>
                <w:noProof w:val="0"/>
                <w:color w:val="FFFFFF"/>
                <w:lang w:eastAsia="en-NZ"/>
              </w:rPr>
              <w:t>Reference</w:t>
            </w:r>
          </w:p>
        </w:tc>
      </w:tr>
      <w:tr w:rsidR="00FB33C6" w:rsidRPr="00256982" w14:paraId="485678E9" w14:textId="77777777" w:rsidTr="005F7F15">
        <w:tc>
          <w:tcPr>
            <w:tcW w:w="3261" w:type="dxa"/>
          </w:tcPr>
          <w:p w14:paraId="75FA0B52" w14:textId="77777777" w:rsidR="00FB33C6" w:rsidRPr="00256982" w:rsidRDefault="00FB33C6" w:rsidP="00823616">
            <w:pPr>
              <w:pStyle w:val="TableText"/>
              <w:rPr>
                <w:lang w:eastAsia="en-NZ"/>
              </w:rPr>
            </w:pPr>
            <w:r w:rsidRPr="00256982">
              <w:rPr>
                <w:lang w:eastAsia="en-NZ"/>
              </w:rPr>
              <w:t>Per capita protein consumption (kg/person/year)</w:t>
            </w:r>
          </w:p>
        </w:tc>
        <w:tc>
          <w:tcPr>
            <w:tcW w:w="850" w:type="dxa"/>
          </w:tcPr>
          <w:p w14:paraId="14913763" w14:textId="77777777" w:rsidR="00FB33C6" w:rsidRPr="00256982" w:rsidRDefault="00FB33C6" w:rsidP="00823616">
            <w:pPr>
              <w:pStyle w:val="TableText"/>
              <w:rPr>
                <w:lang w:eastAsia="en-NZ"/>
              </w:rPr>
            </w:pPr>
            <w:r w:rsidRPr="00256982">
              <w:rPr>
                <w:lang w:eastAsia="en-NZ"/>
              </w:rPr>
              <w:t>32.448</w:t>
            </w:r>
          </w:p>
        </w:tc>
        <w:tc>
          <w:tcPr>
            <w:tcW w:w="1843" w:type="dxa"/>
          </w:tcPr>
          <w:p w14:paraId="22068857" w14:textId="77777777" w:rsidR="00FB33C6" w:rsidRPr="00256982" w:rsidRDefault="00FB33C6" w:rsidP="00823616">
            <w:pPr>
              <w:pStyle w:val="TableText"/>
              <w:rPr>
                <w:lang w:eastAsia="en-NZ"/>
              </w:rPr>
            </w:pPr>
            <w:r w:rsidRPr="00256982">
              <w:rPr>
                <w:lang w:eastAsia="en-NZ"/>
              </w:rPr>
              <w:t>Tokelau specific</w:t>
            </w:r>
          </w:p>
        </w:tc>
        <w:tc>
          <w:tcPr>
            <w:tcW w:w="2551" w:type="dxa"/>
          </w:tcPr>
          <w:p w14:paraId="6FA92DFF" w14:textId="77777777" w:rsidR="00FB33C6" w:rsidRPr="00256982" w:rsidRDefault="00FB33C6" w:rsidP="00823616">
            <w:pPr>
              <w:pStyle w:val="TableText"/>
              <w:rPr>
                <w:lang w:eastAsia="en-NZ"/>
              </w:rPr>
            </w:pPr>
            <w:r w:rsidRPr="00256982">
              <w:rPr>
                <w:lang w:eastAsia="en-NZ"/>
              </w:rPr>
              <w:t>Developed by Tokelau’s National Statistics Office using imports data (see table 8.1.2)</w:t>
            </w:r>
          </w:p>
        </w:tc>
      </w:tr>
      <w:tr w:rsidR="00FB33C6" w:rsidRPr="00256982" w14:paraId="3EA7E132" w14:textId="77777777" w:rsidTr="005F7F15">
        <w:tc>
          <w:tcPr>
            <w:tcW w:w="3261" w:type="dxa"/>
          </w:tcPr>
          <w:p w14:paraId="3869646D" w14:textId="77777777" w:rsidR="00FB33C6" w:rsidRPr="00256982" w:rsidRDefault="00FB33C6" w:rsidP="00823616">
            <w:pPr>
              <w:pStyle w:val="TableText"/>
              <w:rPr>
                <w:lang w:eastAsia="en-NZ"/>
              </w:rPr>
            </w:pPr>
            <w:r w:rsidRPr="00256982">
              <w:rPr>
                <w:lang w:eastAsia="en-NZ"/>
              </w:rPr>
              <w:t xml:space="preserve">Fraction of nitrogen in protein </w:t>
            </w:r>
          </w:p>
        </w:tc>
        <w:tc>
          <w:tcPr>
            <w:tcW w:w="850" w:type="dxa"/>
          </w:tcPr>
          <w:p w14:paraId="3E3E8503" w14:textId="77777777" w:rsidR="00FB33C6" w:rsidRPr="00256982" w:rsidRDefault="00FB33C6" w:rsidP="00823616">
            <w:pPr>
              <w:pStyle w:val="TableText"/>
              <w:rPr>
                <w:lang w:eastAsia="en-NZ"/>
              </w:rPr>
            </w:pPr>
            <w:r w:rsidRPr="00256982">
              <w:rPr>
                <w:lang w:eastAsia="en-NZ"/>
              </w:rPr>
              <w:t>0.16</w:t>
            </w:r>
          </w:p>
        </w:tc>
        <w:tc>
          <w:tcPr>
            <w:tcW w:w="1843" w:type="dxa"/>
          </w:tcPr>
          <w:p w14:paraId="7F818EA4" w14:textId="77777777" w:rsidR="00FB33C6" w:rsidRPr="00256982" w:rsidRDefault="00FB33C6" w:rsidP="00823616">
            <w:pPr>
              <w:pStyle w:val="TableText"/>
              <w:rPr>
                <w:lang w:eastAsia="en-NZ"/>
              </w:rPr>
            </w:pPr>
            <w:r w:rsidRPr="00256982">
              <w:rPr>
                <w:lang w:eastAsia="en-NZ"/>
              </w:rPr>
              <w:t>IPCC default</w:t>
            </w:r>
          </w:p>
        </w:tc>
        <w:tc>
          <w:tcPr>
            <w:tcW w:w="2551" w:type="dxa"/>
          </w:tcPr>
          <w:p w14:paraId="284A1F84" w14:textId="77777777" w:rsidR="00FB33C6" w:rsidRPr="00256982" w:rsidRDefault="00FB33C6" w:rsidP="00823616">
            <w:pPr>
              <w:pStyle w:val="TableText"/>
              <w:rPr>
                <w:lang w:eastAsia="en-NZ"/>
              </w:rPr>
            </w:pPr>
            <w:r w:rsidRPr="00256982">
              <w:rPr>
                <w:lang w:eastAsia="en-NZ"/>
              </w:rPr>
              <w:t>Section 6.3.1.3, p 6.25, IPCC, 2006d</w:t>
            </w:r>
          </w:p>
        </w:tc>
      </w:tr>
      <w:tr w:rsidR="00FB33C6" w:rsidRPr="00256982" w14:paraId="249D4D6E" w14:textId="77777777" w:rsidTr="005F7F15">
        <w:tc>
          <w:tcPr>
            <w:tcW w:w="3261" w:type="dxa"/>
          </w:tcPr>
          <w:p w14:paraId="497717A0" w14:textId="77777777" w:rsidR="00FB33C6" w:rsidRPr="00256982" w:rsidRDefault="00FB33C6" w:rsidP="00823616">
            <w:pPr>
              <w:pStyle w:val="TableText"/>
              <w:rPr>
                <w:lang w:eastAsia="en-NZ"/>
              </w:rPr>
            </w:pPr>
            <w:r w:rsidRPr="00256982">
              <w:rPr>
                <w:lang w:eastAsia="en-NZ"/>
              </w:rPr>
              <w:t>Fraction of non-consumed protein</w:t>
            </w:r>
          </w:p>
        </w:tc>
        <w:tc>
          <w:tcPr>
            <w:tcW w:w="850" w:type="dxa"/>
          </w:tcPr>
          <w:p w14:paraId="78D23481" w14:textId="77777777" w:rsidR="00FB33C6" w:rsidRPr="00256982" w:rsidRDefault="00FB33C6" w:rsidP="00823616">
            <w:pPr>
              <w:pStyle w:val="TableText"/>
              <w:rPr>
                <w:lang w:eastAsia="en-NZ"/>
              </w:rPr>
            </w:pPr>
            <w:r w:rsidRPr="00256982">
              <w:rPr>
                <w:lang w:eastAsia="en-NZ"/>
              </w:rPr>
              <w:t>1.1</w:t>
            </w:r>
          </w:p>
        </w:tc>
        <w:tc>
          <w:tcPr>
            <w:tcW w:w="1843" w:type="dxa"/>
          </w:tcPr>
          <w:p w14:paraId="333541D5" w14:textId="77777777" w:rsidR="00FB33C6" w:rsidRPr="00256982" w:rsidRDefault="00FB33C6" w:rsidP="00823616">
            <w:pPr>
              <w:pStyle w:val="TableText"/>
            </w:pPr>
            <w:r w:rsidRPr="00256982">
              <w:rPr>
                <w:lang w:eastAsia="en-NZ"/>
              </w:rPr>
              <w:t>IPCC default for developing countries</w:t>
            </w:r>
          </w:p>
        </w:tc>
        <w:tc>
          <w:tcPr>
            <w:tcW w:w="2551" w:type="dxa"/>
          </w:tcPr>
          <w:p w14:paraId="1D2B63B8" w14:textId="77777777" w:rsidR="00FB33C6" w:rsidRPr="00256982" w:rsidRDefault="00FB33C6" w:rsidP="00823616">
            <w:pPr>
              <w:pStyle w:val="TableText"/>
            </w:pPr>
            <w:r w:rsidRPr="00256982">
              <w:rPr>
                <w:lang w:eastAsia="en-NZ"/>
              </w:rPr>
              <w:t>Table 6.11, section 6.3.3, IPCC, 2006d</w:t>
            </w:r>
          </w:p>
        </w:tc>
      </w:tr>
      <w:tr w:rsidR="00FB33C6" w:rsidRPr="00256982" w14:paraId="099422CF" w14:textId="77777777" w:rsidTr="005F7F15">
        <w:tc>
          <w:tcPr>
            <w:tcW w:w="3261" w:type="dxa"/>
          </w:tcPr>
          <w:p w14:paraId="41B048A8" w14:textId="77777777" w:rsidR="00FB33C6" w:rsidRPr="00256982" w:rsidRDefault="00FB33C6" w:rsidP="00823616">
            <w:pPr>
              <w:pStyle w:val="TableText"/>
              <w:rPr>
                <w:lang w:eastAsia="en-NZ"/>
              </w:rPr>
            </w:pPr>
            <w:r w:rsidRPr="00256982">
              <w:rPr>
                <w:lang w:eastAsia="en-NZ"/>
              </w:rPr>
              <w:t>Fraction of industrial and commercial co</w:t>
            </w:r>
            <w:r w:rsidRPr="00256982">
              <w:rPr>
                <w:lang w:eastAsia="en-NZ"/>
              </w:rPr>
              <w:noBreakHyphen/>
              <w:t>discharged protein</w:t>
            </w:r>
          </w:p>
        </w:tc>
        <w:tc>
          <w:tcPr>
            <w:tcW w:w="850" w:type="dxa"/>
          </w:tcPr>
          <w:p w14:paraId="22E02AC0" w14:textId="77777777" w:rsidR="00FB33C6" w:rsidRPr="00256982" w:rsidRDefault="00FB33C6" w:rsidP="00823616">
            <w:pPr>
              <w:pStyle w:val="TableText"/>
              <w:rPr>
                <w:lang w:eastAsia="en-NZ"/>
              </w:rPr>
            </w:pPr>
            <w:r w:rsidRPr="00256982">
              <w:rPr>
                <w:lang w:eastAsia="en-NZ"/>
              </w:rPr>
              <w:t>1.25</w:t>
            </w:r>
          </w:p>
        </w:tc>
        <w:tc>
          <w:tcPr>
            <w:tcW w:w="1843" w:type="dxa"/>
          </w:tcPr>
          <w:p w14:paraId="0CD4D9CD" w14:textId="77777777" w:rsidR="00FB33C6" w:rsidRPr="00256982" w:rsidRDefault="00FB33C6" w:rsidP="00823616">
            <w:pPr>
              <w:pStyle w:val="TableText"/>
            </w:pPr>
            <w:r w:rsidRPr="00256982">
              <w:rPr>
                <w:lang w:eastAsia="en-NZ"/>
              </w:rPr>
              <w:t>IPCC default</w:t>
            </w:r>
          </w:p>
        </w:tc>
        <w:tc>
          <w:tcPr>
            <w:tcW w:w="2551" w:type="dxa"/>
          </w:tcPr>
          <w:p w14:paraId="5CB43CFA" w14:textId="77777777" w:rsidR="00FB33C6" w:rsidRPr="00256982" w:rsidRDefault="00FB33C6" w:rsidP="00823616">
            <w:pPr>
              <w:pStyle w:val="TableText"/>
            </w:pPr>
            <w:r w:rsidRPr="00256982">
              <w:rPr>
                <w:lang w:eastAsia="en-NZ"/>
              </w:rPr>
              <w:t>Table 6.11, section 6.3.3, IPCC, 2006d</w:t>
            </w:r>
          </w:p>
        </w:tc>
      </w:tr>
      <w:tr w:rsidR="00FB33C6" w:rsidRPr="00256982" w14:paraId="152607CB" w14:textId="77777777" w:rsidTr="005F7F15">
        <w:tc>
          <w:tcPr>
            <w:tcW w:w="3261" w:type="dxa"/>
          </w:tcPr>
          <w:p w14:paraId="13080677" w14:textId="77777777" w:rsidR="00FB33C6" w:rsidRPr="00256982" w:rsidRDefault="00FB33C6" w:rsidP="00823616">
            <w:pPr>
              <w:pStyle w:val="TableText"/>
              <w:rPr>
                <w:lang w:eastAsia="en-NZ"/>
              </w:rPr>
            </w:pPr>
            <w:r w:rsidRPr="00256982">
              <w:rPr>
                <w:lang w:eastAsia="en-NZ"/>
              </w:rPr>
              <w:t>Nitrogen removed with sludge (kg)</w:t>
            </w:r>
          </w:p>
        </w:tc>
        <w:tc>
          <w:tcPr>
            <w:tcW w:w="850" w:type="dxa"/>
          </w:tcPr>
          <w:p w14:paraId="35ECBD9A" w14:textId="77777777" w:rsidR="00FB33C6" w:rsidRPr="00256982" w:rsidRDefault="00FB33C6" w:rsidP="00823616">
            <w:pPr>
              <w:pStyle w:val="TableText"/>
              <w:rPr>
                <w:lang w:eastAsia="en-NZ"/>
              </w:rPr>
            </w:pPr>
            <w:r w:rsidRPr="00256982">
              <w:rPr>
                <w:lang w:eastAsia="en-NZ"/>
              </w:rPr>
              <w:t>0</w:t>
            </w:r>
          </w:p>
        </w:tc>
        <w:tc>
          <w:tcPr>
            <w:tcW w:w="1843" w:type="dxa"/>
          </w:tcPr>
          <w:p w14:paraId="56328387" w14:textId="77777777" w:rsidR="00FB33C6" w:rsidRPr="00256982" w:rsidRDefault="00FB33C6" w:rsidP="00823616">
            <w:pPr>
              <w:pStyle w:val="TableText"/>
            </w:pPr>
            <w:r w:rsidRPr="00256982">
              <w:rPr>
                <w:lang w:eastAsia="en-NZ"/>
              </w:rPr>
              <w:t>IPCC default</w:t>
            </w:r>
          </w:p>
        </w:tc>
        <w:tc>
          <w:tcPr>
            <w:tcW w:w="2551" w:type="dxa"/>
          </w:tcPr>
          <w:p w14:paraId="6AECAFED" w14:textId="77777777" w:rsidR="00FB33C6" w:rsidRPr="00256982" w:rsidRDefault="00FB33C6" w:rsidP="00823616">
            <w:pPr>
              <w:pStyle w:val="TableText"/>
            </w:pPr>
            <w:r w:rsidRPr="00256982">
              <w:rPr>
                <w:lang w:eastAsia="en-NZ"/>
              </w:rPr>
              <w:t>Section 6.3.1.3, p 6.25, IPCC, 2006d</w:t>
            </w:r>
          </w:p>
        </w:tc>
      </w:tr>
      <w:tr w:rsidR="00FB33C6" w:rsidRPr="00256982" w14:paraId="1FEECD71" w14:textId="77777777" w:rsidTr="005F7F15">
        <w:tc>
          <w:tcPr>
            <w:tcW w:w="3261" w:type="dxa"/>
          </w:tcPr>
          <w:p w14:paraId="6F05B16A" w14:textId="77777777" w:rsidR="00FB33C6" w:rsidRPr="00256982" w:rsidRDefault="00FB33C6" w:rsidP="00823616">
            <w:pPr>
              <w:pStyle w:val="TableText"/>
              <w:rPr>
                <w:lang w:eastAsia="en-NZ"/>
              </w:rPr>
            </w:pPr>
            <w:r w:rsidRPr="00256982">
              <w:rPr>
                <w:lang w:eastAsia="en-NZ"/>
              </w:rPr>
              <w:t>Emission factor</w:t>
            </w:r>
          </w:p>
        </w:tc>
        <w:tc>
          <w:tcPr>
            <w:tcW w:w="850" w:type="dxa"/>
          </w:tcPr>
          <w:p w14:paraId="487411F7" w14:textId="77777777" w:rsidR="00FB33C6" w:rsidRPr="00256982" w:rsidRDefault="00FB33C6" w:rsidP="00823616">
            <w:pPr>
              <w:pStyle w:val="TableText"/>
              <w:rPr>
                <w:lang w:eastAsia="en-NZ"/>
              </w:rPr>
            </w:pPr>
            <w:r w:rsidRPr="00256982">
              <w:rPr>
                <w:lang w:eastAsia="en-NZ"/>
              </w:rPr>
              <w:t>0.005</w:t>
            </w:r>
          </w:p>
        </w:tc>
        <w:tc>
          <w:tcPr>
            <w:tcW w:w="1843" w:type="dxa"/>
          </w:tcPr>
          <w:p w14:paraId="27E1FE48" w14:textId="77777777" w:rsidR="00FB33C6" w:rsidRPr="00256982" w:rsidRDefault="00FB33C6" w:rsidP="00823616">
            <w:pPr>
              <w:pStyle w:val="TableText"/>
            </w:pPr>
            <w:r w:rsidRPr="00256982">
              <w:rPr>
                <w:lang w:eastAsia="en-NZ"/>
              </w:rPr>
              <w:t>IPCC default</w:t>
            </w:r>
          </w:p>
        </w:tc>
        <w:tc>
          <w:tcPr>
            <w:tcW w:w="2551" w:type="dxa"/>
          </w:tcPr>
          <w:p w14:paraId="23E4E9EC" w14:textId="77777777" w:rsidR="00FB33C6" w:rsidRPr="00256982" w:rsidRDefault="00FB33C6" w:rsidP="00823616">
            <w:pPr>
              <w:pStyle w:val="TableText"/>
            </w:pPr>
            <w:r w:rsidRPr="00256982">
              <w:rPr>
                <w:lang w:eastAsia="en-NZ"/>
              </w:rPr>
              <w:t>Table 6.11, section 6.3.3, IPCC, 2006d</w:t>
            </w:r>
          </w:p>
        </w:tc>
      </w:tr>
      <w:tr w:rsidR="00FB33C6" w:rsidRPr="00256982" w14:paraId="75B351FE" w14:textId="77777777" w:rsidTr="005F7F15">
        <w:tc>
          <w:tcPr>
            <w:tcW w:w="3261" w:type="dxa"/>
          </w:tcPr>
          <w:p w14:paraId="274C1F33" w14:textId="77777777" w:rsidR="00FB33C6" w:rsidRPr="00256982" w:rsidRDefault="00FB33C6" w:rsidP="00823616">
            <w:pPr>
              <w:pStyle w:val="TableText"/>
              <w:rPr>
                <w:lang w:eastAsia="en-NZ"/>
              </w:rPr>
            </w:pPr>
            <w:r w:rsidRPr="00256982">
              <w:rPr>
                <w:lang w:eastAsia="en-NZ"/>
              </w:rPr>
              <w:t>Emissions from wastewater treatment plants</w:t>
            </w:r>
          </w:p>
        </w:tc>
        <w:tc>
          <w:tcPr>
            <w:tcW w:w="850" w:type="dxa"/>
          </w:tcPr>
          <w:p w14:paraId="2E55B561" w14:textId="77777777" w:rsidR="00FB33C6" w:rsidRPr="00256982" w:rsidRDefault="00FB33C6" w:rsidP="00823616">
            <w:pPr>
              <w:pStyle w:val="TableText"/>
              <w:rPr>
                <w:lang w:eastAsia="en-NZ"/>
              </w:rPr>
            </w:pPr>
            <w:r w:rsidRPr="00256982">
              <w:rPr>
                <w:lang w:eastAsia="en-NZ"/>
              </w:rPr>
              <w:t>0</w:t>
            </w:r>
          </w:p>
        </w:tc>
        <w:tc>
          <w:tcPr>
            <w:tcW w:w="1843" w:type="dxa"/>
          </w:tcPr>
          <w:p w14:paraId="291C1984" w14:textId="77777777" w:rsidR="00FB33C6" w:rsidRPr="00256982" w:rsidRDefault="00FB33C6" w:rsidP="00823616">
            <w:pPr>
              <w:pStyle w:val="TableText"/>
            </w:pPr>
            <w:r w:rsidRPr="00256982">
              <w:rPr>
                <w:lang w:eastAsia="en-NZ"/>
              </w:rPr>
              <w:t>IPCC default</w:t>
            </w:r>
          </w:p>
        </w:tc>
        <w:tc>
          <w:tcPr>
            <w:tcW w:w="2551" w:type="dxa"/>
          </w:tcPr>
          <w:p w14:paraId="360B972C" w14:textId="77777777" w:rsidR="00FB33C6" w:rsidRPr="00256982" w:rsidRDefault="00FB33C6" w:rsidP="00823616">
            <w:pPr>
              <w:pStyle w:val="TableText"/>
            </w:pPr>
            <w:r w:rsidRPr="00256982">
              <w:rPr>
                <w:lang w:eastAsia="en-NZ"/>
              </w:rPr>
              <w:t>IPCC (2006d)</w:t>
            </w:r>
          </w:p>
        </w:tc>
      </w:tr>
    </w:tbl>
    <w:p w14:paraId="7B5D6366" w14:textId="77777777" w:rsidR="00FB33C6" w:rsidRPr="00256982" w:rsidRDefault="00FB33C6" w:rsidP="00FB33C6">
      <w:pPr>
        <w:pStyle w:val="Heading4"/>
        <w:spacing w:before="360"/>
      </w:pPr>
      <w:r w:rsidRPr="00256982">
        <w:t>Uncertainty</w:t>
      </w:r>
    </w:p>
    <w:p w14:paraId="48BB3013" w14:textId="77777777" w:rsidR="00FB33C6" w:rsidRPr="00256982" w:rsidRDefault="00FB33C6" w:rsidP="00FB33C6">
      <w:pPr>
        <w:pStyle w:val="BodyText"/>
      </w:pPr>
      <w:r w:rsidRPr="00256982">
        <w:t>The same uncertainty data for domestic wastewater were used for Tokelau and New Zealand (table 7.5.16, chapter 7; for methodological notes, refer to uncertainties in emissions from domestic wastewater in section 7.5.3, chapter 7). Table 8.5.7 shows uncertainties for activity data and emission factors used by Tokelau for domestic wastewater.</w:t>
      </w:r>
    </w:p>
    <w:p w14:paraId="503011A8" w14:textId="77777777" w:rsidR="00FB33C6" w:rsidRPr="00256982" w:rsidRDefault="00FB33C6" w:rsidP="00FB33C6">
      <w:pPr>
        <w:pStyle w:val="Table"/>
        <w:rPr>
          <w:rFonts w:eastAsia="Calibri"/>
        </w:rPr>
      </w:pPr>
      <w:bookmarkStart w:id="2478" w:name="_Toc5269608"/>
      <w:r w:rsidRPr="00256982">
        <w:t>Table 8.5.7</w:t>
      </w:r>
      <w:r w:rsidRPr="00256982">
        <w:tab/>
        <w:t>Uncertainty in emissions from domestic wastewater</w:t>
      </w:r>
      <w:bookmarkEnd w:id="2478"/>
    </w:p>
    <w:tbl>
      <w:tblPr>
        <w:tblW w:w="8505" w:type="dxa"/>
        <w:tblInd w:w="108" w:type="dxa"/>
        <w:tblBorders>
          <w:top w:val="single" w:sz="4" w:space="0" w:color="365F91"/>
          <w:bottom w:val="single" w:sz="4" w:space="0" w:color="365F91"/>
          <w:insideH w:val="single" w:sz="4" w:space="0" w:color="365F91"/>
          <w:insideV w:val="single" w:sz="4" w:space="0" w:color="365F91"/>
        </w:tblBorders>
        <w:tblCellMar>
          <w:left w:w="0" w:type="dxa"/>
          <w:right w:w="0" w:type="dxa"/>
        </w:tblCellMar>
        <w:tblLook w:val="04A0" w:firstRow="1" w:lastRow="0" w:firstColumn="1" w:lastColumn="0" w:noHBand="0" w:noVBand="1"/>
      </w:tblPr>
      <w:tblGrid>
        <w:gridCol w:w="3523"/>
        <w:gridCol w:w="2413"/>
        <w:gridCol w:w="2569"/>
      </w:tblGrid>
      <w:tr w:rsidR="00FB33C6" w:rsidRPr="00256982" w14:paraId="151B4DB0" w14:textId="77777777" w:rsidTr="00823616">
        <w:tc>
          <w:tcPr>
            <w:tcW w:w="3312" w:type="dxa"/>
            <w:shd w:val="clear" w:color="auto" w:fill="365F91"/>
            <w:tcMar>
              <w:top w:w="0" w:type="dxa"/>
              <w:left w:w="108" w:type="dxa"/>
              <w:bottom w:w="0" w:type="dxa"/>
              <w:right w:w="108" w:type="dxa"/>
            </w:tcMar>
            <w:vAlign w:val="bottom"/>
            <w:hideMark/>
          </w:tcPr>
          <w:p w14:paraId="5F22422E" w14:textId="77777777" w:rsidR="00FB33C6" w:rsidRPr="00256982" w:rsidRDefault="00FB33C6" w:rsidP="00823616">
            <w:pPr>
              <w:pStyle w:val="TableTextBold"/>
              <w:keepNext/>
              <w:rPr>
                <w:noProof w:val="0"/>
                <w:color w:val="FFFFFF"/>
              </w:rPr>
            </w:pPr>
            <w:r w:rsidRPr="00256982">
              <w:rPr>
                <w:noProof w:val="0"/>
                <w:color w:val="FFFFFF"/>
              </w:rPr>
              <w:t>Emissions category</w:t>
            </w:r>
          </w:p>
        </w:tc>
        <w:tc>
          <w:tcPr>
            <w:tcW w:w="2268" w:type="dxa"/>
            <w:shd w:val="clear" w:color="auto" w:fill="365F91"/>
            <w:tcMar>
              <w:top w:w="0" w:type="dxa"/>
              <w:left w:w="108" w:type="dxa"/>
              <w:bottom w:w="0" w:type="dxa"/>
              <w:right w:w="108" w:type="dxa"/>
            </w:tcMar>
            <w:vAlign w:val="bottom"/>
            <w:hideMark/>
          </w:tcPr>
          <w:p w14:paraId="4051CAFC" w14:textId="77777777" w:rsidR="00FB33C6" w:rsidRPr="00256982" w:rsidRDefault="00FB33C6" w:rsidP="00823616">
            <w:pPr>
              <w:pStyle w:val="TableTextBold"/>
              <w:jc w:val="center"/>
              <w:rPr>
                <w:noProof w:val="0"/>
                <w:color w:val="FFFFFF"/>
              </w:rPr>
            </w:pPr>
            <w:r w:rsidRPr="00256982">
              <w:rPr>
                <w:noProof w:val="0"/>
                <w:color w:val="FFFFFF"/>
              </w:rPr>
              <w:t xml:space="preserve">Uncertainty in </w:t>
            </w:r>
            <w:r w:rsidRPr="00256982">
              <w:rPr>
                <w:noProof w:val="0"/>
                <w:color w:val="FFFFFF"/>
              </w:rPr>
              <w:br/>
              <w:t>activity data (%)</w:t>
            </w:r>
          </w:p>
        </w:tc>
        <w:tc>
          <w:tcPr>
            <w:tcW w:w="2415" w:type="dxa"/>
            <w:shd w:val="clear" w:color="auto" w:fill="365F91"/>
            <w:tcMar>
              <w:top w:w="0" w:type="dxa"/>
              <w:left w:w="108" w:type="dxa"/>
              <w:bottom w:w="0" w:type="dxa"/>
              <w:right w:w="108" w:type="dxa"/>
            </w:tcMar>
            <w:vAlign w:val="bottom"/>
            <w:hideMark/>
          </w:tcPr>
          <w:p w14:paraId="1CE4EB15" w14:textId="77777777" w:rsidR="00FB33C6" w:rsidRPr="00256982" w:rsidRDefault="00FB33C6" w:rsidP="00823616">
            <w:pPr>
              <w:pStyle w:val="TableTextBold"/>
              <w:jc w:val="center"/>
              <w:rPr>
                <w:noProof w:val="0"/>
              </w:rPr>
            </w:pPr>
            <w:r w:rsidRPr="00256982">
              <w:rPr>
                <w:noProof w:val="0"/>
                <w:color w:val="FFFFFF"/>
              </w:rPr>
              <w:t xml:space="preserve">Uncertainty in </w:t>
            </w:r>
            <w:r w:rsidRPr="00256982">
              <w:rPr>
                <w:noProof w:val="0"/>
                <w:color w:val="FFFFFF"/>
              </w:rPr>
              <w:br/>
              <w:t>emission factors (%)</w:t>
            </w:r>
          </w:p>
        </w:tc>
      </w:tr>
      <w:tr w:rsidR="00FB33C6" w:rsidRPr="00256982" w14:paraId="5CF24403" w14:textId="77777777" w:rsidTr="00823616">
        <w:trPr>
          <w:trHeight w:val="127"/>
        </w:trPr>
        <w:tc>
          <w:tcPr>
            <w:tcW w:w="3312" w:type="dxa"/>
            <w:shd w:val="clear" w:color="auto" w:fill="FFFFFF"/>
            <w:tcMar>
              <w:top w:w="0" w:type="dxa"/>
              <w:left w:w="108" w:type="dxa"/>
              <w:bottom w:w="0" w:type="dxa"/>
              <w:right w:w="108" w:type="dxa"/>
            </w:tcMar>
            <w:hideMark/>
          </w:tcPr>
          <w:p w14:paraId="5380103C" w14:textId="77777777" w:rsidR="00FB33C6" w:rsidRPr="00256982" w:rsidRDefault="00FB33C6" w:rsidP="00823616">
            <w:pPr>
              <w:pStyle w:val="TableText"/>
            </w:pPr>
            <w:r w:rsidRPr="00256982">
              <w:t>Domestic and industrial wastewater (CH</w:t>
            </w:r>
            <w:r w:rsidRPr="00256982">
              <w:rPr>
                <w:vertAlign w:val="subscript"/>
              </w:rPr>
              <w:t>4</w:t>
            </w:r>
            <w:r w:rsidRPr="00256982">
              <w:t>)</w:t>
            </w:r>
          </w:p>
        </w:tc>
        <w:tc>
          <w:tcPr>
            <w:tcW w:w="2268" w:type="dxa"/>
            <w:shd w:val="clear" w:color="auto" w:fill="FFFFFF"/>
            <w:tcMar>
              <w:top w:w="0" w:type="dxa"/>
              <w:left w:w="108" w:type="dxa"/>
              <w:bottom w:w="0" w:type="dxa"/>
              <w:right w:w="108" w:type="dxa"/>
            </w:tcMar>
            <w:hideMark/>
          </w:tcPr>
          <w:p w14:paraId="72FBA995" w14:textId="77777777" w:rsidR="00FB33C6" w:rsidRPr="00256982" w:rsidRDefault="00FB33C6" w:rsidP="00823616">
            <w:pPr>
              <w:pStyle w:val="TableText"/>
              <w:jc w:val="center"/>
            </w:pPr>
            <w:r w:rsidRPr="00256982">
              <w:t>±50</w:t>
            </w:r>
          </w:p>
        </w:tc>
        <w:tc>
          <w:tcPr>
            <w:tcW w:w="2415" w:type="dxa"/>
            <w:shd w:val="clear" w:color="auto" w:fill="FFFFFF"/>
            <w:tcMar>
              <w:top w:w="0" w:type="dxa"/>
              <w:left w:w="108" w:type="dxa"/>
              <w:bottom w:w="0" w:type="dxa"/>
              <w:right w:w="108" w:type="dxa"/>
            </w:tcMar>
            <w:hideMark/>
          </w:tcPr>
          <w:p w14:paraId="3BA5A686" w14:textId="77777777" w:rsidR="00FB33C6" w:rsidRPr="00256982" w:rsidRDefault="00FB33C6" w:rsidP="00823616">
            <w:pPr>
              <w:pStyle w:val="TableText"/>
              <w:jc w:val="center"/>
            </w:pPr>
            <w:r w:rsidRPr="00256982">
              <w:t>±40</w:t>
            </w:r>
          </w:p>
        </w:tc>
      </w:tr>
      <w:tr w:rsidR="00FB33C6" w:rsidRPr="00256982" w14:paraId="5A655B2E" w14:textId="77777777" w:rsidTr="00823616">
        <w:tc>
          <w:tcPr>
            <w:tcW w:w="3312" w:type="dxa"/>
            <w:shd w:val="clear" w:color="auto" w:fill="FFFFFF"/>
            <w:tcMar>
              <w:top w:w="0" w:type="dxa"/>
              <w:left w:w="108" w:type="dxa"/>
              <w:bottom w:w="0" w:type="dxa"/>
              <w:right w:w="108" w:type="dxa"/>
            </w:tcMar>
            <w:hideMark/>
          </w:tcPr>
          <w:p w14:paraId="5527FF0E" w14:textId="77777777" w:rsidR="00FB33C6" w:rsidRPr="00256982" w:rsidRDefault="00FB33C6" w:rsidP="00823616">
            <w:pPr>
              <w:pStyle w:val="TableText"/>
            </w:pPr>
            <w:r w:rsidRPr="00256982">
              <w:t>Domestic and industrial wastewater (N</w:t>
            </w:r>
            <w:r w:rsidRPr="00256982">
              <w:rPr>
                <w:vertAlign w:val="subscript"/>
              </w:rPr>
              <w:t>2</w:t>
            </w:r>
            <w:r w:rsidRPr="00256982">
              <w:t>O)</w:t>
            </w:r>
          </w:p>
        </w:tc>
        <w:tc>
          <w:tcPr>
            <w:tcW w:w="2268" w:type="dxa"/>
            <w:shd w:val="clear" w:color="auto" w:fill="FFFFFF"/>
            <w:tcMar>
              <w:top w:w="0" w:type="dxa"/>
              <w:left w:w="108" w:type="dxa"/>
              <w:bottom w:w="0" w:type="dxa"/>
              <w:right w:w="108" w:type="dxa"/>
            </w:tcMar>
            <w:hideMark/>
          </w:tcPr>
          <w:p w14:paraId="7A709F5D" w14:textId="77777777" w:rsidR="00FB33C6" w:rsidRPr="00256982" w:rsidRDefault="00FB33C6" w:rsidP="00823616">
            <w:pPr>
              <w:pStyle w:val="TableText"/>
              <w:jc w:val="center"/>
            </w:pPr>
            <w:r w:rsidRPr="00256982">
              <w:t>±50</w:t>
            </w:r>
          </w:p>
        </w:tc>
        <w:tc>
          <w:tcPr>
            <w:tcW w:w="2415" w:type="dxa"/>
            <w:shd w:val="clear" w:color="auto" w:fill="FFFFFF"/>
            <w:tcMar>
              <w:top w:w="0" w:type="dxa"/>
              <w:left w:w="108" w:type="dxa"/>
              <w:bottom w:w="0" w:type="dxa"/>
              <w:right w:w="108" w:type="dxa"/>
            </w:tcMar>
            <w:hideMark/>
          </w:tcPr>
          <w:p w14:paraId="4D9EA679" w14:textId="77777777" w:rsidR="00FB33C6" w:rsidRPr="00256982" w:rsidRDefault="00FB33C6" w:rsidP="00823616">
            <w:pPr>
              <w:pStyle w:val="TableText"/>
              <w:jc w:val="center"/>
            </w:pPr>
            <w:r w:rsidRPr="00256982">
              <w:t>±90</w:t>
            </w:r>
          </w:p>
        </w:tc>
      </w:tr>
    </w:tbl>
    <w:p w14:paraId="7D67CAC6" w14:textId="77777777" w:rsidR="00FB33C6" w:rsidRPr="00256982" w:rsidRDefault="00FB33C6" w:rsidP="00FB33C6">
      <w:pPr>
        <w:pStyle w:val="Heading2"/>
        <w:spacing w:before="0" w:after="360"/>
      </w:pPr>
      <w:r w:rsidRPr="00256982">
        <w:br w:type="page"/>
      </w:r>
      <w:bookmarkStart w:id="2479" w:name="_Toc5269398"/>
      <w:r w:rsidRPr="00256982">
        <w:t>Chapter 8: References</w:t>
      </w:r>
      <w:bookmarkEnd w:id="2479"/>
    </w:p>
    <w:p w14:paraId="11DB10AF" w14:textId="77777777" w:rsidR="00FB33C6" w:rsidRPr="00256982" w:rsidRDefault="00FB33C6" w:rsidP="00FB33C6">
      <w:pPr>
        <w:pStyle w:val="References"/>
      </w:pPr>
      <w:r w:rsidRPr="00256982">
        <w:t xml:space="preserve">Government of Tokelau. 2017. </w:t>
      </w:r>
      <w:r w:rsidRPr="00256982">
        <w:rPr>
          <w:i/>
        </w:rPr>
        <w:t>Solid Waste Management: MOU Signed between Tokelau EDNRE and Pacific Recycle Co. Ltd</w:t>
      </w:r>
      <w:r w:rsidRPr="00256982">
        <w:t>. Retrieved</w:t>
      </w:r>
      <w:r w:rsidRPr="00256982">
        <w:rPr>
          <w:sz w:val="19"/>
          <w:szCs w:val="19"/>
        </w:rPr>
        <w:t xml:space="preserve"> f</w:t>
      </w:r>
      <w:r w:rsidRPr="00256982">
        <w:t xml:space="preserve">rom </w:t>
      </w:r>
      <w:hyperlink r:id="rId247" w:history="1">
        <w:r w:rsidRPr="00256982">
          <w:t>www.tokelau.org.nz/Bulletin/December+2017/Solid+Waste+ Management+MOU+Signed+between+Tokelau+EDNRE+and+Pacific++Recycle+Co.+Ltd.html</w:t>
        </w:r>
      </w:hyperlink>
      <w:r w:rsidRPr="00256982">
        <w:t xml:space="preserve"> (9 March 2018).</w:t>
      </w:r>
    </w:p>
    <w:p w14:paraId="1C1BBBB4" w14:textId="77777777" w:rsidR="00FB33C6" w:rsidRPr="00256982" w:rsidRDefault="00FB33C6" w:rsidP="00FB33C6">
      <w:pPr>
        <w:pStyle w:val="References"/>
      </w:pPr>
      <w:r w:rsidRPr="00256982">
        <w:t xml:space="preserve">IPCC 2006a. Eggleston HS, Buendia L, Miwa K, Ngara T, Tanabe K (eds). </w:t>
      </w:r>
      <w:r w:rsidRPr="00256982">
        <w:rPr>
          <w:i/>
          <w:iCs/>
        </w:rPr>
        <w:t>2006 IPCC Guidelines for National Greenhouse Gas Inventories. Volume 2. Energy</w:t>
      </w:r>
      <w:r w:rsidRPr="00256982">
        <w:t>. IPCC National Greenhouse Gas Inventories Programme. Japan: Institute for Global Environmental Strategies for IPCC.</w:t>
      </w:r>
    </w:p>
    <w:p w14:paraId="6EFCAFB8" w14:textId="77777777" w:rsidR="00FB33C6" w:rsidRPr="00256982" w:rsidRDefault="00FB33C6" w:rsidP="00FB33C6">
      <w:pPr>
        <w:pStyle w:val="References"/>
      </w:pPr>
      <w:r w:rsidRPr="00256982">
        <w:t xml:space="preserve">IPCC. 2006b. Eggleston HS, Buendia L, Miwa K, Ngara T, Tanabe K (eds). </w:t>
      </w:r>
      <w:r w:rsidRPr="00256982">
        <w:rPr>
          <w:i/>
        </w:rPr>
        <w:t>2006 IPCC</w:t>
      </w:r>
      <w:r w:rsidRPr="00256982">
        <w:t xml:space="preserve"> </w:t>
      </w:r>
      <w:r w:rsidRPr="00256982">
        <w:rPr>
          <w:i/>
        </w:rPr>
        <w:t>Guidelines for National Greenhouse Gas Inventories. Volume 3. Industrial Processes and Product Use</w:t>
      </w:r>
      <w:r w:rsidRPr="00256982">
        <w:t>. IPCC National Greenhouse Gas Inventories Programme. Japan: IPCC by the Institute for Global Environmental Strategies.</w:t>
      </w:r>
    </w:p>
    <w:p w14:paraId="6EEE230C" w14:textId="77777777" w:rsidR="00FB33C6" w:rsidRPr="00256982" w:rsidRDefault="00FB33C6" w:rsidP="00FB33C6">
      <w:pPr>
        <w:pStyle w:val="References"/>
      </w:pPr>
      <w:r w:rsidRPr="00256982">
        <w:t xml:space="preserve">IPCC. 2006c. Eggleston HS, Buendia L, Miwa K, Ngara T, Tanabe K (eds). </w:t>
      </w:r>
      <w:r w:rsidRPr="00256982">
        <w:rPr>
          <w:i/>
          <w:iCs/>
        </w:rPr>
        <w:t>2006 IPCC Guidelines for National Greenhouse Gas Inventories. Volume 4. Agriculture, Forestry and Other Land Use. IPCC National Greenhouse Gas Inventories Programme</w:t>
      </w:r>
      <w:r w:rsidRPr="00256982">
        <w:t>. Japan: Institute for Global Environmental Strategies for IPCC.</w:t>
      </w:r>
    </w:p>
    <w:p w14:paraId="40C37148" w14:textId="77777777" w:rsidR="00FB33C6" w:rsidRPr="00256982" w:rsidRDefault="00FB33C6" w:rsidP="00FB33C6">
      <w:pPr>
        <w:pStyle w:val="References"/>
        <w:rPr>
          <w:spacing w:val="-2"/>
        </w:rPr>
      </w:pPr>
      <w:r w:rsidRPr="00256982">
        <w:rPr>
          <w:spacing w:val="-2"/>
        </w:rPr>
        <w:t xml:space="preserve">IPCC. 2006d. Eggleston HS, Buendia L, Miwa K, Ngara T, Tanabe K (eds). </w:t>
      </w:r>
      <w:r w:rsidRPr="00256982">
        <w:rPr>
          <w:i/>
          <w:spacing w:val="-2"/>
        </w:rPr>
        <w:t>2006 IPCC Guidelines for National Greenhouse Gas Inventories. Volume 5. Waste</w:t>
      </w:r>
      <w:r w:rsidRPr="00256982">
        <w:rPr>
          <w:spacing w:val="-2"/>
        </w:rPr>
        <w:t xml:space="preserve">. IPCC National Greenhouse Gas Inventories Programme. Japan: Institute for Global Environmental Strategies for IPCC. </w:t>
      </w:r>
    </w:p>
    <w:p w14:paraId="24DD9C9E" w14:textId="77777777" w:rsidR="00FB33C6" w:rsidRPr="00256982" w:rsidRDefault="00FB33C6" w:rsidP="00FB33C6">
      <w:pPr>
        <w:pStyle w:val="References"/>
      </w:pPr>
      <w:r w:rsidRPr="00256982">
        <w:t xml:space="preserve">Pierce R, Gruber M, Atherton J, Burne A, Valu M, Whistler A. 2012. </w:t>
      </w:r>
      <w:r w:rsidRPr="00256982">
        <w:rPr>
          <w:i/>
        </w:rPr>
        <w:t>A Conservation Survey of Tokelau. Eco Oceania Pty Ltd Plan for Tokelau Administration and Critical Ecosystem Partnership Fund</w:t>
      </w:r>
      <w:r w:rsidRPr="00256982">
        <w:t xml:space="preserve">. Queensland, Australia: EOPL. Retrieved from </w:t>
      </w:r>
      <w:hyperlink r:id="rId248" w:history="1">
        <w:r w:rsidRPr="00256982">
          <w:t>www.tokelau.org.nz/site/tokelau/conservation%20 survey%20of%20tokelau.pdf</w:t>
        </w:r>
      </w:hyperlink>
      <w:r w:rsidRPr="00256982">
        <w:t xml:space="preserve"> (9 March 2018).</w:t>
      </w:r>
    </w:p>
    <w:p w14:paraId="64CE1B7C" w14:textId="77777777" w:rsidR="00FB33C6" w:rsidRPr="00256982" w:rsidRDefault="00FB33C6" w:rsidP="00FB33C6">
      <w:pPr>
        <w:pStyle w:val="References"/>
      </w:pPr>
      <w:r w:rsidRPr="00256982">
        <w:t>Tokelau National Statistics Office. 2016.</w:t>
      </w:r>
      <w:r w:rsidRPr="00256982">
        <w:rPr>
          <w:i/>
          <w:lang w:eastAsia="en-GB"/>
        </w:rPr>
        <w:t xml:space="preserve"> Analysis of 2014 imports into Tokelau from Samoa, Part 2: Stores’ invoices reconciled with cargo manifests, and quality of life implications</w:t>
      </w:r>
      <w:r w:rsidRPr="00256982">
        <w:rPr>
          <w:lang w:eastAsia="en-GB"/>
        </w:rPr>
        <w:t xml:space="preserve">. Apia, Samoa: </w:t>
      </w:r>
      <w:r w:rsidRPr="00256982">
        <w:t xml:space="preserve">Tokelau National Statistics Office. Retrieved from </w:t>
      </w:r>
      <w:hyperlink r:id="rId249" w:history="1">
        <w:r w:rsidRPr="00256982">
          <w:t>www.tokelau.org.nz/Bulletin/September+2016/2014+imports +final.html</w:t>
        </w:r>
      </w:hyperlink>
      <w:r w:rsidRPr="00256982">
        <w:t xml:space="preserve"> (28 February 2019).</w:t>
      </w:r>
    </w:p>
    <w:p w14:paraId="520145D4" w14:textId="77777777" w:rsidR="00FB33C6" w:rsidRPr="00256982" w:rsidRDefault="00FB33C6" w:rsidP="00FB33C6">
      <w:pPr>
        <w:pStyle w:val="References"/>
      </w:pPr>
      <w:r w:rsidRPr="00256982">
        <w:t>UN. 1945.</w:t>
      </w:r>
      <w:r w:rsidRPr="00256982">
        <w:rPr>
          <w:rFonts w:cs="Calibri"/>
          <w:color w:val="222222"/>
          <w:sz w:val="18"/>
          <w:szCs w:val="18"/>
          <w:shd w:val="clear" w:color="auto" w:fill="FFFFFF"/>
        </w:rPr>
        <w:t xml:space="preserve"> </w:t>
      </w:r>
      <w:r w:rsidRPr="00256982">
        <w:rPr>
          <w:bCs/>
          <w:i/>
        </w:rPr>
        <w:t xml:space="preserve">Charter of the United Nations, 1945. </w:t>
      </w:r>
      <w:r w:rsidRPr="00256982">
        <w:rPr>
          <w:bCs/>
        </w:rPr>
        <w:t xml:space="preserve">Retrieved from </w:t>
      </w:r>
      <w:hyperlink r:id="rId250" w:history="1">
        <w:r w:rsidRPr="00256982">
          <w:t>www.un.org/en/sections/un-charter/ chapter-xi</w:t>
        </w:r>
      </w:hyperlink>
      <w:r w:rsidRPr="00256982">
        <w:t xml:space="preserve"> (7 February 2019).</w:t>
      </w:r>
    </w:p>
    <w:p w14:paraId="15E0B16E" w14:textId="77777777" w:rsidR="00FB33C6" w:rsidRPr="00256982" w:rsidRDefault="00FB33C6" w:rsidP="00FB33C6">
      <w:pPr>
        <w:pStyle w:val="References"/>
      </w:pPr>
      <w:r w:rsidRPr="00256982">
        <w:t>UNFCCC. 2014</w:t>
      </w:r>
      <w:r w:rsidRPr="00256982">
        <w:rPr>
          <w:i/>
        </w:rPr>
        <w:t>. Report of the Conference of the Parties on its nineteenth session, held in Warsaw from 11 to 23 November 2013: Addendum – Part 2: Action taken by the Conference of the Parties at its nineteenth session</w:t>
      </w:r>
      <w:r w:rsidRPr="00256982">
        <w:t>. FCCC/CP/2013/10/Add.3, Decision 24/CP.19.</w:t>
      </w:r>
    </w:p>
    <w:p w14:paraId="6E3A1320" w14:textId="77777777" w:rsidR="00E30738" w:rsidRPr="00256982" w:rsidRDefault="00E30738" w:rsidP="00E30738">
      <w:pPr>
        <w:pStyle w:val="Heading1"/>
      </w:pPr>
      <w:r w:rsidRPr="00256982">
        <w:br w:type="page"/>
      </w:r>
      <w:bookmarkStart w:id="2480" w:name="_Toc5269399"/>
      <w:r w:rsidRPr="00256982">
        <w:t>Chapter 9: Indirect carbon dioxide and nitrous oxide emissions</w:t>
      </w:r>
      <w:bookmarkEnd w:id="2480"/>
      <w:r w:rsidRPr="00256982">
        <w:t xml:space="preserve"> </w:t>
      </w:r>
      <w:r w:rsidRPr="00256982">
        <w:tab/>
      </w:r>
    </w:p>
    <w:p w14:paraId="294504CF" w14:textId="4CFC0F8B" w:rsidR="00FB33C6" w:rsidRPr="00256982" w:rsidRDefault="00E30738" w:rsidP="00E30738">
      <w:pPr>
        <w:pStyle w:val="BodyText"/>
      </w:pPr>
      <w:r w:rsidRPr="00256982">
        <w:t>New Zealand elected not to report indirect carbon dioxide emissions in its 2019 Inventory submission. Indirect nitrous oxide emissions are reported in the Agriculture sector (chapter 5) and the Land Use, Land-Use Change and Forestry sector (chapter 6).</w:t>
      </w:r>
    </w:p>
    <w:p w14:paraId="2AE9FD6C" w14:textId="62535051" w:rsidR="00E30738" w:rsidRPr="00256982" w:rsidRDefault="00E30738" w:rsidP="00E30738">
      <w:pPr>
        <w:pStyle w:val="Heading1"/>
      </w:pPr>
      <w:r w:rsidRPr="00256982">
        <w:br w:type="page"/>
      </w:r>
      <w:bookmarkStart w:id="2481" w:name="_Toc5269400"/>
      <w:r w:rsidRPr="00256982">
        <w:t>Chapter 10</w:t>
      </w:r>
      <w:r w:rsidR="00A05AC8" w:rsidRPr="00256982">
        <w:t>: Recalculations and improvements</w:t>
      </w:r>
      <w:bookmarkEnd w:id="2481"/>
    </w:p>
    <w:p w14:paraId="4FA1A3BC" w14:textId="77777777" w:rsidR="00A05AC8" w:rsidRPr="00256982" w:rsidRDefault="00A05AC8" w:rsidP="00A05AC8">
      <w:pPr>
        <w:pStyle w:val="BodyText"/>
      </w:pPr>
      <w:r w:rsidRPr="00256982">
        <w:t>This chapter summarises the recalculations and improvements made to the inventory following the 2018 submission. Further details on the recalculations and improvements for each sector are provided in chapters 3 to 8 and 11.</w:t>
      </w:r>
    </w:p>
    <w:p w14:paraId="07134FB9" w14:textId="77777777" w:rsidR="00A05AC8" w:rsidRPr="00256982" w:rsidRDefault="00A05AC8" w:rsidP="00F90B5C">
      <w:pPr>
        <w:pStyle w:val="BodyText"/>
      </w:pPr>
      <w:r w:rsidRPr="00256982">
        <w:t>Recalculations of estimates reported in the previous submission of the inventory are due to improvements in:</w:t>
      </w:r>
    </w:p>
    <w:p w14:paraId="0AE61951" w14:textId="77777777" w:rsidR="00A05AC8" w:rsidRPr="00256982" w:rsidRDefault="00A05AC8" w:rsidP="00F90B5C">
      <w:pPr>
        <w:pStyle w:val="Bullet"/>
      </w:pPr>
      <w:r w:rsidRPr="00256982">
        <w:t>activity data</w:t>
      </w:r>
    </w:p>
    <w:p w14:paraId="3865F93D" w14:textId="77777777" w:rsidR="00A05AC8" w:rsidRPr="00256982" w:rsidRDefault="00A05AC8" w:rsidP="00F90B5C">
      <w:pPr>
        <w:pStyle w:val="Bullet"/>
      </w:pPr>
      <w:r w:rsidRPr="00256982">
        <w:t>parameters for estimating emissions including emission factors</w:t>
      </w:r>
    </w:p>
    <w:p w14:paraId="3B177792" w14:textId="77777777" w:rsidR="00A05AC8" w:rsidRPr="00256982" w:rsidRDefault="00A05AC8" w:rsidP="00F90B5C">
      <w:pPr>
        <w:pStyle w:val="Bullet"/>
      </w:pPr>
      <w:r w:rsidRPr="00256982">
        <w:t>methodology, including correcting errors</w:t>
      </w:r>
    </w:p>
    <w:p w14:paraId="0E52F0C9" w14:textId="77777777" w:rsidR="00A05AC8" w:rsidRPr="00256982" w:rsidRDefault="00A05AC8" w:rsidP="00F90B5C">
      <w:pPr>
        <w:pStyle w:val="Bullet"/>
      </w:pPr>
      <w:r w:rsidRPr="00256982">
        <w:t>activity data and emission factors that became available for certain sources that were previously reported as ‘NE’ (not estimated) because of insufficient data.</w:t>
      </w:r>
    </w:p>
    <w:p w14:paraId="1EEC1335" w14:textId="77777777" w:rsidR="00A05AC8" w:rsidRPr="00256982" w:rsidRDefault="00A05AC8" w:rsidP="00A05AC8">
      <w:pPr>
        <w:pStyle w:val="BodyText"/>
      </w:pPr>
      <w:r w:rsidRPr="00256982">
        <w:t xml:space="preserve">It is good practice to recalculate the whole time series from 1990 to the </w:t>
      </w:r>
      <w:r w:rsidRPr="00256982">
        <w:rPr>
          <w:spacing w:val="-2"/>
        </w:rPr>
        <w:t xml:space="preserve">latest reporting year, </w:t>
      </w:r>
      <w:r w:rsidRPr="00256982">
        <w:t>to ensure consistency across the time series. This means some estimates of emissions and/or removals reported in this submission are different from estimates reported in the previous submission. There may be exceptions to recalculating the entire time series and, where this has occurred, explanations are provided.</w:t>
      </w:r>
    </w:p>
    <w:p w14:paraId="61A996F8" w14:textId="77777777" w:rsidR="00A05AC8" w:rsidRPr="00256982" w:rsidRDefault="00A05AC8" w:rsidP="00A05AC8">
      <w:pPr>
        <w:pStyle w:val="Heading2"/>
        <w:spacing w:before="240"/>
      </w:pPr>
      <w:bookmarkStart w:id="2482" w:name="_Toc352504887"/>
      <w:bookmarkStart w:id="2483" w:name="_Toc384581682"/>
      <w:bookmarkStart w:id="2484" w:name="_Toc414531336"/>
      <w:bookmarkStart w:id="2485" w:name="_Toc448321556"/>
      <w:bookmarkStart w:id="2486" w:name="_Toc481751418"/>
      <w:bookmarkStart w:id="2487" w:name="_Toc511116633"/>
      <w:bookmarkStart w:id="2488" w:name="_Toc5269401"/>
      <w:r w:rsidRPr="00256982">
        <w:t>10.1</w:t>
      </w:r>
      <w:r w:rsidRPr="00256982">
        <w:tab/>
        <w:t>Implications and justifications</w:t>
      </w:r>
      <w:bookmarkEnd w:id="2482"/>
      <w:bookmarkEnd w:id="2483"/>
      <w:bookmarkEnd w:id="2484"/>
      <w:bookmarkEnd w:id="2485"/>
      <w:bookmarkEnd w:id="2486"/>
      <w:bookmarkEnd w:id="2487"/>
      <w:bookmarkEnd w:id="2488"/>
    </w:p>
    <w:p w14:paraId="42118335" w14:textId="77777777" w:rsidR="00A05AC8" w:rsidRPr="00256982" w:rsidRDefault="00A05AC8" w:rsidP="00A05AC8">
      <w:pPr>
        <w:pStyle w:val="BodyText"/>
        <w:rPr>
          <w:rFonts w:eastAsia="Arial"/>
          <w:highlight w:val="yellow"/>
        </w:rPr>
      </w:pPr>
      <w:r w:rsidRPr="00256982">
        <w:rPr>
          <w:rFonts w:eastAsia="Arial"/>
        </w:rPr>
        <w:t>The effect of recalculations on New Zealand’s gross emissions is shown in figure 10.1.1. There was a 0.2 per cent (146.5 kilotonnes carbon dioxide equivalent (kt CO</w:t>
      </w:r>
      <w:r w:rsidRPr="00256982">
        <w:rPr>
          <w:rFonts w:eastAsia="Arial"/>
          <w:vertAlign w:val="subscript"/>
        </w:rPr>
        <w:t>2</w:t>
      </w:r>
      <w:r w:rsidRPr="00256982">
        <w:rPr>
          <w:rFonts w:eastAsia="Arial"/>
        </w:rPr>
        <w:t>-e)) decrease in gross emissions in 1990 and a 0.5 per cent (409.2 kt CO</w:t>
      </w:r>
      <w:r w:rsidRPr="00256982">
        <w:rPr>
          <w:rFonts w:eastAsia="Arial"/>
          <w:vertAlign w:val="subscript"/>
        </w:rPr>
        <w:t>2</w:t>
      </w:r>
      <w:r w:rsidRPr="00256982">
        <w:rPr>
          <w:rFonts w:eastAsia="Arial"/>
        </w:rPr>
        <w:t>-e) increase for the 2016 year. The greatest contribution to the increase in estimates for gross emissions across the time series came from the Waste sector, due to a correction in calculations for emissions from managed landfills. A change in the Agriculture sector is the main reason that estimates have reduced in 1990 and increased in 2016, compared with the 2018 submission. This change is the result of revising the proportion of dairy excreta entering anaerobic lagoons down in 1990 and up in 2016, and this directly affects estimates of emissions.</w:t>
      </w:r>
    </w:p>
    <w:p w14:paraId="34E35D4C" w14:textId="77777777" w:rsidR="00A05AC8" w:rsidRPr="00256982" w:rsidRDefault="00A05AC8" w:rsidP="00F90B5C">
      <w:pPr>
        <w:pStyle w:val="Figure"/>
      </w:pPr>
      <w:bookmarkStart w:id="2489" w:name="_Toc447275720"/>
      <w:bookmarkStart w:id="2490" w:name="_Toc481752039"/>
      <w:bookmarkStart w:id="2491" w:name="_Toc511116993"/>
      <w:bookmarkStart w:id="2492" w:name="_Toc5269728"/>
      <w:r w:rsidRPr="00256982">
        <w:t>Figure 10.1.1</w:t>
      </w:r>
      <w:r w:rsidRPr="00256982">
        <w:tab/>
        <w:t>Effect of recalculations on New Zealand’s gross greenhouse gas emissions from 1990 to 201</w:t>
      </w:r>
      <w:bookmarkEnd w:id="2489"/>
      <w:bookmarkEnd w:id="2490"/>
      <w:bookmarkEnd w:id="2491"/>
      <w:r w:rsidRPr="00256982">
        <w:t>6</w:t>
      </w:r>
      <w:bookmarkEnd w:id="2492"/>
    </w:p>
    <w:p w14:paraId="117F0CAC" w14:textId="67ABF072" w:rsidR="00A05AC8" w:rsidRPr="00256982" w:rsidRDefault="00590491" w:rsidP="00A05AC8">
      <w:pPr>
        <w:rPr>
          <w:highlight w:val="yellow"/>
        </w:rPr>
      </w:pPr>
      <w:r>
        <w:rPr>
          <w:lang w:eastAsia="en-NZ"/>
        </w:rPr>
        <w:pict w14:anchorId="32A26859">
          <v:shape id="_x0000_i1164" type="#_x0000_t75" style="width:396.75pt;height:189.75pt;visibility:visible" o:gfxdata="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">
            <v:imagedata r:id="rId251" o:title="" croptop="2350f" cropbottom="4025f"/>
            <o:lock v:ext="edit" aspectratio="f"/>
          </v:shape>
        </w:pict>
      </w:r>
    </w:p>
    <w:p w14:paraId="5215D0B7" w14:textId="77777777" w:rsidR="00A05AC8" w:rsidRPr="00256982" w:rsidRDefault="00A05AC8" w:rsidP="00A05AC8">
      <w:pPr>
        <w:pStyle w:val="BodyText"/>
        <w:rPr>
          <w:rFonts w:eastAsia="Arial"/>
          <w:spacing w:val="2"/>
          <w:highlight w:val="yellow"/>
        </w:rPr>
      </w:pPr>
      <w:r w:rsidRPr="00256982">
        <w:rPr>
          <w:rFonts w:eastAsia="Arial"/>
        </w:rPr>
        <w:t>The effect of recalculations on net emissions, including the Land Use, Land-Use Change and Forestry (LULUCF) sector, was a decrease of 4.9 per cent (1,768.8 kt CO</w:t>
      </w:r>
      <w:r w:rsidRPr="00256982">
        <w:rPr>
          <w:rFonts w:eastAsia="Arial"/>
          <w:vertAlign w:val="subscript"/>
        </w:rPr>
        <w:t>2</w:t>
      </w:r>
      <w:r w:rsidRPr="00256982">
        <w:rPr>
          <w:rFonts w:eastAsia="Arial"/>
        </w:rPr>
        <w:t>-e) in net emissions in 1990 and a decrease of 2.9 per cent (1,648.7 kt CO</w:t>
      </w:r>
      <w:r w:rsidRPr="00256982">
        <w:rPr>
          <w:rFonts w:eastAsia="Arial"/>
          <w:vertAlign w:val="subscript"/>
        </w:rPr>
        <w:t>2</w:t>
      </w:r>
      <w:r w:rsidRPr="00256982">
        <w:rPr>
          <w:rFonts w:eastAsia="Arial"/>
        </w:rPr>
        <w:t xml:space="preserve">-e) in net emissions in 2016. This is the combined effect of a number of changes made to gross emissions </w:t>
      </w:r>
      <w:r w:rsidRPr="00256982">
        <w:t>and changes in LULUCF sector emissions due mainly to the incorporation of new activity data from the creation of a new land use map.</w:t>
      </w:r>
    </w:p>
    <w:p w14:paraId="29F4D918" w14:textId="77777777" w:rsidR="00A05AC8" w:rsidRPr="00256982" w:rsidRDefault="00A05AC8" w:rsidP="00F90B5C">
      <w:pPr>
        <w:pStyle w:val="BodyText"/>
      </w:pPr>
      <w:r w:rsidRPr="00256982">
        <w:t>The following tables show for each sector the category that had the largest recalculations across the time series. Table 10.1.1 shows the recalculations that increased emissions estimates the most for each sector.</w:t>
      </w:r>
    </w:p>
    <w:p w14:paraId="313934AD" w14:textId="77777777" w:rsidR="00A05AC8" w:rsidRPr="00256982" w:rsidRDefault="00A05AC8" w:rsidP="00A05AC8">
      <w:pPr>
        <w:pStyle w:val="Table"/>
      </w:pPr>
      <w:bookmarkStart w:id="2493" w:name="_Toc5269609"/>
      <w:r w:rsidRPr="00256982">
        <w:t xml:space="preserve">Table 10.1.1 </w:t>
      </w:r>
      <w:r w:rsidRPr="00256982">
        <w:tab/>
        <w:t>Largest recalculations in each sector that increase emissions estimates</w:t>
      </w:r>
      <w:bookmarkEnd w:id="2493"/>
    </w:p>
    <w:tbl>
      <w:tblPr>
        <w:tblW w:w="8613" w:type="dxa"/>
        <w:tblInd w:w="108" w:type="dxa"/>
        <w:tblBorders>
          <w:bottom w:val="single" w:sz="4" w:space="0" w:color="365F91"/>
          <w:insideH w:val="single" w:sz="4" w:space="0" w:color="365F91"/>
        </w:tblBorders>
        <w:tblLook w:val="04A0" w:firstRow="1" w:lastRow="0" w:firstColumn="1" w:lastColumn="0" w:noHBand="0" w:noVBand="1"/>
      </w:tblPr>
      <w:tblGrid>
        <w:gridCol w:w="1159"/>
        <w:gridCol w:w="2693"/>
        <w:gridCol w:w="2607"/>
        <w:gridCol w:w="2154"/>
      </w:tblGrid>
      <w:tr w:rsidR="00A05AC8" w:rsidRPr="00256982" w14:paraId="1BBEC5DD" w14:textId="77777777" w:rsidTr="00B7783F">
        <w:trPr>
          <w:tblHeader/>
        </w:trPr>
        <w:tc>
          <w:tcPr>
            <w:tcW w:w="1159" w:type="dxa"/>
            <w:tcBorders>
              <w:top w:val="single" w:sz="4" w:space="0" w:color="365F91"/>
            </w:tcBorders>
            <w:shd w:val="clear" w:color="auto" w:fill="365F91"/>
            <w:vAlign w:val="bottom"/>
          </w:tcPr>
          <w:p w14:paraId="7AA6AB35" w14:textId="77777777" w:rsidR="00A05AC8" w:rsidRPr="00256982" w:rsidRDefault="00A05AC8" w:rsidP="00B7783F">
            <w:pPr>
              <w:pStyle w:val="TableTextBold"/>
              <w:rPr>
                <w:noProof w:val="0"/>
                <w:color w:val="FFFFFF"/>
              </w:rPr>
            </w:pPr>
            <w:r w:rsidRPr="00256982">
              <w:rPr>
                <w:noProof w:val="0"/>
                <w:color w:val="FFFFFF"/>
              </w:rPr>
              <w:t>Sector</w:t>
            </w:r>
          </w:p>
        </w:tc>
        <w:tc>
          <w:tcPr>
            <w:tcW w:w="2693" w:type="dxa"/>
            <w:tcBorders>
              <w:top w:val="single" w:sz="4" w:space="0" w:color="365F91"/>
            </w:tcBorders>
            <w:shd w:val="clear" w:color="auto" w:fill="365F91"/>
            <w:vAlign w:val="bottom"/>
          </w:tcPr>
          <w:p w14:paraId="670312B4" w14:textId="77777777" w:rsidR="00A05AC8" w:rsidRPr="00256982" w:rsidRDefault="00A05AC8" w:rsidP="00B7783F">
            <w:pPr>
              <w:pStyle w:val="TableTextBold"/>
              <w:rPr>
                <w:noProof w:val="0"/>
                <w:color w:val="FFFFFF"/>
              </w:rPr>
            </w:pPr>
            <w:r w:rsidRPr="00256982">
              <w:rPr>
                <w:noProof w:val="0"/>
                <w:color w:val="FFFFFF"/>
              </w:rPr>
              <w:t>Category with the largest increase in estimated emissions across the entire time series</w:t>
            </w:r>
          </w:p>
        </w:tc>
        <w:tc>
          <w:tcPr>
            <w:tcW w:w="2607" w:type="dxa"/>
            <w:tcBorders>
              <w:top w:val="single" w:sz="4" w:space="0" w:color="365F91"/>
            </w:tcBorders>
            <w:shd w:val="clear" w:color="auto" w:fill="365F91"/>
          </w:tcPr>
          <w:p w14:paraId="7BF1665E" w14:textId="77777777" w:rsidR="00A05AC8" w:rsidRPr="00256982" w:rsidRDefault="00A05AC8" w:rsidP="00B7783F">
            <w:pPr>
              <w:pStyle w:val="TableTextBold"/>
              <w:rPr>
                <w:noProof w:val="0"/>
                <w:color w:val="FFFFFF"/>
              </w:rPr>
            </w:pPr>
            <w:r w:rsidRPr="00256982">
              <w:rPr>
                <w:noProof w:val="0"/>
                <w:color w:val="FFFFFF"/>
              </w:rPr>
              <w:t>Largest single increase in emissions estimates for the category (kt CO</w:t>
            </w:r>
            <w:r w:rsidRPr="00256982">
              <w:rPr>
                <w:noProof w:val="0"/>
                <w:color w:val="FFFFFF"/>
                <w:vertAlign w:val="subscript"/>
              </w:rPr>
              <w:t>2</w:t>
            </w:r>
            <w:r w:rsidRPr="00256982">
              <w:rPr>
                <w:noProof w:val="0"/>
                <w:color w:val="FFFFFF"/>
              </w:rPr>
              <w:t>-e)</w:t>
            </w:r>
          </w:p>
        </w:tc>
        <w:tc>
          <w:tcPr>
            <w:tcW w:w="2154" w:type="dxa"/>
            <w:tcBorders>
              <w:top w:val="single" w:sz="4" w:space="0" w:color="365F91"/>
            </w:tcBorders>
            <w:shd w:val="clear" w:color="auto" w:fill="365F91"/>
            <w:vAlign w:val="bottom"/>
          </w:tcPr>
          <w:p w14:paraId="76F12253" w14:textId="77777777" w:rsidR="00A05AC8" w:rsidRPr="00256982" w:rsidRDefault="00A05AC8" w:rsidP="00B7783F">
            <w:pPr>
              <w:pStyle w:val="TableTextBold"/>
              <w:rPr>
                <w:noProof w:val="0"/>
                <w:color w:val="FFFFFF"/>
              </w:rPr>
            </w:pPr>
            <w:r w:rsidRPr="00256982">
              <w:rPr>
                <w:noProof w:val="0"/>
                <w:color w:val="FFFFFF"/>
              </w:rPr>
              <w:t>Year of the largest increase in estimated emissions</w:t>
            </w:r>
          </w:p>
        </w:tc>
      </w:tr>
      <w:tr w:rsidR="00A05AC8" w:rsidRPr="00256982" w14:paraId="5ED31472" w14:textId="77777777" w:rsidTr="00B7783F">
        <w:tc>
          <w:tcPr>
            <w:tcW w:w="1159" w:type="dxa"/>
          </w:tcPr>
          <w:p w14:paraId="00B95E92" w14:textId="77777777" w:rsidR="00A05AC8" w:rsidRPr="00256982" w:rsidRDefault="00A05AC8" w:rsidP="00B7783F">
            <w:pPr>
              <w:pStyle w:val="TableText"/>
              <w:rPr>
                <w:highlight w:val="yellow"/>
              </w:rPr>
            </w:pPr>
            <w:r w:rsidRPr="00256982">
              <w:t>Energy</w:t>
            </w:r>
          </w:p>
        </w:tc>
        <w:tc>
          <w:tcPr>
            <w:tcW w:w="2693" w:type="dxa"/>
          </w:tcPr>
          <w:p w14:paraId="626DABC1" w14:textId="77777777" w:rsidR="00A05AC8" w:rsidRPr="00256982" w:rsidRDefault="00A05AC8" w:rsidP="00B7783F">
            <w:pPr>
              <w:pStyle w:val="TableText"/>
              <w:rPr>
                <w:highlight w:val="yellow"/>
              </w:rPr>
            </w:pPr>
            <w:r w:rsidRPr="00256982">
              <w:t>1.A.2.f Non-metallic minerals – solid fuels</w:t>
            </w:r>
          </w:p>
        </w:tc>
        <w:tc>
          <w:tcPr>
            <w:tcW w:w="2607" w:type="dxa"/>
          </w:tcPr>
          <w:p w14:paraId="2462E51B" w14:textId="77777777" w:rsidR="00A05AC8" w:rsidRPr="00256982" w:rsidRDefault="00A05AC8" w:rsidP="00B7783F">
            <w:pPr>
              <w:pStyle w:val="TableText"/>
              <w:jc w:val="center"/>
              <w:rPr>
                <w:highlight w:val="yellow"/>
              </w:rPr>
            </w:pPr>
            <w:r w:rsidRPr="00256982">
              <w:t>110.3</w:t>
            </w:r>
          </w:p>
        </w:tc>
        <w:tc>
          <w:tcPr>
            <w:tcW w:w="2154" w:type="dxa"/>
          </w:tcPr>
          <w:p w14:paraId="00FC0186" w14:textId="77777777" w:rsidR="00A05AC8" w:rsidRPr="00256982" w:rsidRDefault="00A05AC8" w:rsidP="00B7783F">
            <w:pPr>
              <w:pStyle w:val="TableText"/>
              <w:jc w:val="center"/>
              <w:rPr>
                <w:highlight w:val="yellow"/>
              </w:rPr>
            </w:pPr>
            <w:r w:rsidRPr="00256982">
              <w:t>2013</w:t>
            </w:r>
          </w:p>
        </w:tc>
      </w:tr>
      <w:tr w:rsidR="00A05AC8" w:rsidRPr="00256982" w14:paraId="06D661ED" w14:textId="77777777" w:rsidTr="00B7783F">
        <w:tc>
          <w:tcPr>
            <w:tcW w:w="1159" w:type="dxa"/>
          </w:tcPr>
          <w:p w14:paraId="62C43E0B" w14:textId="77777777" w:rsidR="00A05AC8" w:rsidRPr="00256982" w:rsidRDefault="00A05AC8" w:rsidP="00B7783F">
            <w:pPr>
              <w:pStyle w:val="TableText"/>
              <w:rPr>
                <w:highlight w:val="yellow"/>
              </w:rPr>
            </w:pPr>
            <w:r w:rsidRPr="00256982">
              <w:t>IPPU</w:t>
            </w:r>
          </w:p>
        </w:tc>
        <w:tc>
          <w:tcPr>
            <w:tcW w:w="2693" w:type="dxa"/>
          </w:tcPr>
          <w:p w14:paraId="1D8D0F21" w14:textId="77777777" w:rsidR="00A05AC8" w:rsidRPr="00256982" w:rsidRDefault="00A05AC8" w:rsidP="00B7783F">
            <w:pPr>
              <w:pStyle w:val="TableText"/>
            </w:pPr>
            <w:r w:rsidRPr="00256982">
              <w:t>2.F.1.c Industrial refrigeration – HFC-143a</w:t>
            </w:r>
          </w:p>
        </w:tc>
        <w:tc>
          <w:tcPr>
            <w:tcW w:w="2607" w:type="dxa"/>
          </w:tcPr>
          <w:p w14:paraId="478A2461" w14:textId="77777777" w:rsidR="00A05AC8" w:rsidRPr="00256982" w:rsidRDefault="00A05AC8" w:rsidP="00B7783F">
            <w:pPr>
              <w:pStyle w:val="TableText"/>
              <w:jc w:val="center"/>
              <w:rPr>
                <w:highlight w:val="yellow"/>
              </w:rPr>
            </w:pPr>
            <w:r w:rsidRPr="00256982">
              <w:t>111.0</w:t>
            </w:r>
          </w:p>
        </w:tc>
        <w:tc>
          <w:tcPr>
            <w:tcW w:w="2154" w:type="dxa"/>
          </w:tcPr>
          <w:p w14:paraId="19A26A58" w14:textId="77777777" w:rsidR="00A05AC8" w:rsidRPr="00256982" w:rsidRDefault="00A05AC8" w:rsidP="00B7783F">
            <w:pPr>
              <w:pStyle w:val="TableText"/>
              <w:jc w:val="center"/>
              <w:rPr>
                <w:highlight w:val="yellow"/>
              </w:rPr>
            </w:pPr>
            <w:r w:rsidRPr="00256982">
              <w:t>2016</w:t>
            </w:r>
          </w:p>
        </w:tc>
      </w:tr>
      <w:tr w:rsidR="00A05AC8" w:rsidRPr="00256982" w14:paraId="3F0D4EF1" w14:textId="77777777" w:rsidTr="00B7783F">
        <w:tc>
          <w:tcPr>
            <w:tcW w:w="1159" w:type="dxa"/>
          </w:tcPr>
          <w:p w14:paraId="69777E29" w14:textId="77777777" w:rsidR="00A05AC8" w:rsidRPr="00256982" w:rsidRDefault="00A05AC8" w:rsidP="00B7783F">
            <w:pPr>
              <w:pStyle w:val="TableText"/>
              <w:rPr>
                <w:highlight w:val="yellow"/>
              </w:rPr>
            </w:pPr>
            <w:r w:rsidRPr="00256982">
              <w:t>Agriculture</w:t>
            </w:r>
          </w:p>
        </w:tc>
        <w:tc>
          <w:tcPr>
            <w:tcW w:w="2693" w:type="dxa"/>
          </w:tcPr>
          <w:p w14:paraId="282FEC86" w14:textId="77777777" w:rsidR="00A05AC8" w:rsidRPr="00256982" w:rsidRDefault="00A05AC8" w:rsidP="00B7783F">
            <w:pPr>
              <w:pStyle w:val="TableText"/>
            </w:pPr>
            <w:r w:rsidRPr="00256982">
              <w:t>3.B.1.1 Option A – Dairy cattle</w:t>
            </w:r>
          </w:p>
        </w:tc>
        <w:tc>
          <w:tcPr>
            <w:tcW w:w="2607" w:type="dxa"/>
          </w:tcPr>
          <w:p w14:paraId="51918D4C" w14:textId="77777777" w:rsidR="00A05AC8" w:rsidRPr="00256982" w:rsidRDefault="00A05AC8" w:rsidP="00B7783F">
            <w:pPr>
              <w:pStyle w:val="TableText"/>
              <w:jc w:val="center"/>
              <w:rPr>
                <w:highlight w:val="yellow"/>
              </w:rPr>
            </w:pPr>
            <w:r w:rsidRPr="00256982">
              <w:t>331.4</w:t>
            </w:r>
          </w:p>
        </w:tc>
        <w:tc>
          <w:tcPr>
            <w:tcW w:w="2154" w:type="dxa"/>
          </w:tcPr>
          <w:p w14:paraId="57E6746D" w14:textId="77777777" w:rsidR="00A05AC8" w:rsidRPr="00256982" w:rsidRDefault="00A05AC8" w:rsidP="00B7783F">
            <w:pPr>
              <w:pStyle w:val="TableText"/>
              <w:jc w:val="center"/>
              <w:rPr>
                <w:highlight w:val="yellow"/>
              </w:rPr>
            </w:pPr>
            <w:r w:rsidRPr="00256982">
              <w:t>2014</w:t>
            </w:r>
          </w:p>
        </w:tc>
      </w:tr>
      <w:tr w:rsidR="00A05AC8" w:rsidRPr="00256982" w14:paraId="22672F33" w14:textId="77777777" w:rsidTr="00B7783F">
        <w:tc>
          <w:tcPr>
            <w:tcW w:w="1159" w:type="dxa"/>
          </w:tcPr>
          <w:p w14:paraId="7C9A491E" w14:textId="77777777" w:rsidR="00A05AC8" w:rsidRPr="00256982" w:rsidRDefault="00A05AC8" w:rsidP="00B7783F">
            <w:pPr>
              <w:pStyle w:val="TableText"/>
              <w:rPr>
                <w:highlight w:val="yellow"/>
              </w:rPr>
            </w:pPr>
            <w:r w:rsidRPr="00256982">
              <w:t>LULUCF</w:t>
            </w:r>
          </w:p>
        </w:tc>
        <w:tc>
          <w:tcPr>
            <w:tcW w:w="2693" w:type="dxa"/>
          </w:tcPr>
          <w:p w14:paraId="45F3EE5F" w14:textId="77777777" w:rsidR="00A05AC8" w:rsidRPr="00256982" w:rsidRDefault="00A05AC8" w:rsidP="00B7783F">
            <w:pPr>
              <w:pStyle w:val="TableText"/>
            </w:pPr>
            <w:r w:rsidRPr="00256982">
              <w:t>4.A.1.i Carbon stock change – Pre-1990 planted forest remaining pre-1990 planted forest</w:t>
            </w:r>
          </w:p>
        </w:tc>
        <w:tc>
          <w:tcPr>
            <w:tcW w:w="2607" w:type="dxa"/>
          </w:tcPr>
          <w:p w14:paraId="3A0C90B3" w14:textId="77777777" w:rsidR="00A05AC8" w:rsidRPr="00256982" w:rsidRDefault="00A05AC8" w:rsidP="00B7783F">
            <w:pPr>
              <w:pStyle w:val="TableText"/>
              <w:jc w:val="center"/>
              <w:rPr>
                <w:highlight w:val="yellow"/>
              </w:rPr>
            </w:pPr>
            <w:r w:rsidRPr="00256982">
              <w:t>2,955.5</w:t>
            </w:r>
          </w:p>
        </w:tc>
        <w:tc>
          <w:tcPr>
            <w:tcW w:w="2154" w:type="dxa"/>
          </w:tcPr>
          <w:p w14:paraId="0F17E2DF" w14:textId="77777777" w:rsidR="00A05AC8" w:rsidRPr="00256982" w:rsidRDefault="00A05AC8" w:rsidP="00B7783F">
            <w:pPr>
              <w:pStyle w:val="TableText"/>
              <w:jc w:val="center"/>
              <w:rPr>
                <w:highlight w:val="yellow"/>
              </w:rPr>
            </w:pPr>
            <w:r w:rsidRPr="00256982">
              <w:t>2014</w:t>
            </w:r>
          </w:p>
        </w:tc>
      </w:tr>
      <w:tr w:rsidR="00A05AC8" w:rsidRPr="00256982" w14:paraId="031B0E39" w14:textId="77777777" w:rsidTr="00B7783F">
        <w:tc>
          <w:tcPr>
            <w:tcW w:w="1159" w:type="dxa"/>
          </w:tcPr>
          <w:p w14:paraId="6B8A751E" w14:textId="77777777" w:rsidR="00A05AC8" w:rsidRPr="00256982" w:rsidRDefault="00A05AC8" w:rsidP="00B7783F">
            <w:pPr>
              <w:pStyle w:val="TableText"/>
              <w:rPr>
                <w:highlight w:val="yellow"/>
              </w:rPr>
            </w:pPr>
            <w:r w:rsidRPr="00256982">
              <w:t>Waste</w:t>
            </w:r>
          </w:p>
        </w:tc>
        <w:tc>
          <w:tcPr>
            <w:tcW w:w="2693" w:type="dxa"/>
          </w:tcPr>
          <w:p w14:paraId="39BBE594" w14:textId="77777777" w:rsidR="00A05AC8" w:rsidRPr="00256982" w:rsidRDefault="00A05AC8" w:rsidP="00B7783F">
            <w:pPr>
              <w:pStyle w:val="TableText"/>
            </w:pPr>
            <w:r w:rsidRPr="00256982">
              <w:t>5.A.1.a Managed waste disposal sites – anaerobic</w:t>
            </w:r>
          </w:p>
        </w:tc>
        <w:tc>
          <w:tcPr>
            <w:tcW w:w="2607" w:type="dxa"/>
          </w:tcPr>
          <w:p w14:paraId="786324F8" w14:textId="77777777" w:rsidR="00A05AC8" w:rsidRPr="00256982" w:rsidRDefault="00A05AC8" w:rsidP="00B7783F">
            <w:pPr>
              <w:pStyle w:val="TableText"/>
              <w:jc w:val="center"/>
              <w:rPr>
                <w:highlight w:val="yellow"/>
              </w:rPr>
            </w:pPr>
            <w:r w:rsidRPr="00256982">
              <w:t>457.3</w:t>
            </w:r>
          </w:p>
        </w:tc>
        <w:tc>
          <w:tcPr>
            <w:tcW w:w="2154" w:type="dxa"/>
          </w:tcPr>
          <w:p w14:paraId="0E8E45DE" w14:textId="77777777" w:rsidR="00A05AC8" w:rsidRPr="00256982" w:rsidRDefault="00A05AC8" w:rsidP="00B7783F">
            <w:pPr>
              <w:pStyle w:val="TableText"/>
              <w:jc w:val="center"/>
              <w:rPr>
                <w:highlight w:val="yellow"/>
              </w:rPr>
            </w:pPr>
            <w:r w:rsidRPr="00256982">
              <w:t>2006</w:t>
            </w:r>
          </w:p>
        </w:tc>
      </w:tr>
    </w:tbl>
    <w:p w14:paraId="3FFD5981" w14:textId="77777777" w:rsidR="00A05AC8" w:rsidRPr="00256982" w:rsidRDefault="00A05AC8" w:rsidP="00F90B5C">
      <w:pPr>
        <w:pStyle w:val="BodyText"/>
        <w:spacing w:before="360"/>
      </w:pPr>
      <w:r w:rsidRPr="00256982">
        <w:t>Table 10.1.2 shows the recalculations that reduced emissions estimates the most for each sector.</w:t>
      </w:r>
    </w:p>
    <w:p w14:paraId="755F7790" w14:textId="77777777" w:rsidR="00A05AC8" w:rsidRPr="00256982" w:rsidRDefault="00A05AC8" w:rsidP="00A05AC8">
      <w:pPr>
        <w:pStyle w:val="Table"/>
      </w:pPr>
      <w:bookmarkStart w:id="2494" w:name="_Toc5269610"/>
      <w:r w:rsidRPr="00256982">
        <w:t xml:space="preserve">Table 10.1.2 </w:t>
      </w:r>
      <w:r w:rsidRPr="00256982">
        <w:tab/>
        <w:t>Largest recalculations in each sector that reduce emissions estimates</w:t>
      </w:r>
      <w:bookmarkEnd w:id="2494"/>
    </w:p>
    <w:tbl>
      <w:tblPr>
        <w:tblW w:w="8613" w:type="dxa"/>
        <w:tblInd w:w="108" w:type="dxa"/>
        <w:tblBorders>
          <w:bottom w:val="single" w:sz="4" w:space="0" w:color="365F91"/>
          <w:insideH w:val="single" w:sz="4" w:space="0" w:color="365F91"/>
        </w:tblBorders>
        <w:tblLook w:val="04A0" w:firstRow="1" w:lastRow="0" w:firstColumn="1" w:lastColumn="0" w:noHBand="0" w:noVBand="1"/>
      </w:tblPr>
      <w:tblGrid>
        <w:gridCol w:w="1159"/>
        <w:gridCol w:w="2693"/>
        <w:gridCol w:w="2607"/>
        <w:gridCol w:w="2154"/>
      </w:tblGrid>
      <w:tr w:rsidR="00A05AC8" w:rsidRPr="00256982" w14:paraId="0951524A" w14:textId="77777777" w:rsidTr="003C292B">
        <w:trPr>
          <w:tblHeader/>
        </w:trPr>
        <w:tc>
          <w:tcPr>
            <w:tcW w:w="1159" w:type="dxa"/>
            <w:tcBorders>
              <w:top w:val="single" w:sz="4" w:space="0" w:color="365F91"/>
            </w:tcBorders>
            <w:shd w:val="clear" w:color="auto" w:fill="365F91"/>
            <w:vAlign w:val="bottom"/>
          </w:tcPr>
          <w:p w14:paraId="6A7ACE04" w14:textId="77777777" w:rsidR="00A05AC8" w:rsidRPr="00256982" w:rsidRDefault="00A05AC8" w:rsidP="00B7783F">
            <w:pPr>
              <w:pStyle w:val="TableTextBold"/>
              <w:rPr>
                <w:noProof w:val="0"/>
                <w:color w:val="FFFFFF"/>
              </w:rPr>
            </w:pPr>
            <w:r w:rsidRPr="00256982">
              <w:rPr>
                <w:noProof w:val="0"/>
                <w:color w:val="FFFFFF"/>
              </w:rPr>
              <w:t>Sector</w:t>
            </w:r>
          </w:p>
        </w:tc>
        <w:tc>
          <w:tcPr>
            <w:tcW w:w="2693" w:type="dxa"/>
            <w:tcBorders>
              <w:top w:val="single" w:sz="4" w:space="0" w:color="365F91"/>
            </w:tcBorders>
            <w:shd w:val="clear" w:color="auto" w:fill="365F91"/>
            <w:vAlign w:val="bottom"/>
          </w:tcPr>
          <w:p w14:paraId="043E4F4A" w14:textId="77777777" w:rsidR="00A05AC8" w:rsidRPr="00256982" w:rsidRDefault="00A05AC8" w:rsidP="00B7783F">
            <w:pPr>
              <w:pStyle w:val="TableTextBold"/>
              <w:rPr>
                <w:noProof w:val="0"/>
                <w:color w:val="FFFFFF"/>
              </w:rPr>
            </w:pPr>
            <w:r w:rsidRPr="00256982">
              <w:rPr>
                <w:noProof w:val="0"/>
                <w:color w:val="FFFFFF"/>
              </w:rPr>
              <w:t>Category with the largest reduction in estimated emissions across the entire time series</w:t>
            </w:r>
          </w:p>
        </w:tc>
        <w:tc>
          <w:tcPr>
            <w:tcW w:w="2607" w:type="dxa"/>
            <w:tcBorders>
              <w:top w:val="single" w:sz="4" w:space="0" w:color="365F91"/>
            </w:tcBorders>
            <w:shd w:val="clear" w:color="auto" w:fill="365F91"/>
            <w:vAlign w:val="bottom"/>
          </w:tcPr>
          <w:p w14:paraId="65748992" w14:textId="77777777" w:rsidR="00A05AC8" w:rsidRPr="00256982" w:rsidRDefault="00A05AC8" w:rsidP="00B7783F">
            <w:pPr>
              <w:pStyle w:val="TableTextBold"/>
              <w:rPr>
                <w:noProof w:val="0"/>
                <w:color w:val="FFFFFF"/>
              </w:rPr>
            </w:pPr>
            <w:r w:rsidRPr="00256982">
              <w:rPr>
                <w:noProof w:val="0"/>
                <w:color w:val="FFFFFF"/>
              </w:rPr>
              <w:t>Largest single reduction in emissions estimates for the category (kt CO</w:t>
            </w:r>
            <w:r w:rsidRPr="00256982">
              <w:rPr>
                <w:noProof w:val="0"/>
                <w:color w:val="FFFFFF"/>
                <w:vertAlign w:val="subscript"/>
              </w:rPr>
              <w:t>2</w:t>
            </w:r>
            <w:r w:rsidRPr="00256982">
              <w:rPr>
                <w:noProof w:val="0"/>
                <w:color w:val="FFFFFF"/>
              </w:rPr>
              <w:t>-e)</w:t>
            </w:r>
          </w:p>
        </w:tc>
        <w:tc>
          <w:tcPr>
            <w:tcW w:w="2154" w:type="dxa"/>
            <w:tcBorders>
              <w:top w:val="single" w:sz="4" w:space="0" w:color="365F91"/>
            </w:tcBorders>
            <w:shd w:val="clear" w:color="auto" w:fill="365F91"/>
            <w:vAlign w:val="bottom"/>
          </w:tcPr>
          <w:p w14:paraId="42CE8F04" w14:textId="77777777" w:rsidR="00A05AC8" w:rsidRPr="00256982" w:rsidRDefault="00A05AC8" w:rsidP="00B7783F">
            <w:pPr>
              <w:pStyle w:val="TableTextBold"/>
              <w:rPr>
                <w:noProof w:val="0"/>
                <w:color w:val="FFFFFF"/>
              </w:rPr>
            </w:pPr>
            <w:r w:rsidRPr="00256982">
              <w:rPr>
                <w:noProof w:val="0"/>
                <w:color w:val="FFFFFF"/>
              </w:rPr>
              <w:t>Year of the largest decrease in estimated emissions</w:t>
            </w:r>
          </w:p>
        </w:tc>
      </w:tr>
      <w:tr w:rsidR="00A05AC8" w:rsidRPr="00256982" w14:paraId="5428F46B" w14:textId="77777777" w:rsidTr="00B7783F">
        <w:tc>
          <w:tcPr>
            <w:tcW w:w="1159" w:type="dxa"/>
          </w:tcPr>
          <w:p w14:paraId="0FCE9F74" w14:textId="77777777" w:rsidR="00A05AC8" w:rsidRPr="00256982" w:rsidRDefault="00A05AC8" w:rsidP="00B7783F">
            <w:pPr>
              <w:pStyle w:val="TableText"/>
              <w:rPr>
                <w:highlight w:val="yellow"/>
              </w:rPr>
            </w:pPr>
            <w:r w:rsidRPr="00256982">
              <w:t>Energy</w:t>
            </w:r>
          </w:p>
        </w:tc>
        <w:tc>
          <w:tcPr>
            <w:tcW w:w="2693" w:type="dxa"/>
          </w:tcPr>
          <w:p w14:paraId="04C7CBF5" w14:textId="77777777" w:rsidR="00A05AC8" w:rsidRPr="00256982" w:rsidRDefault="00A05AC8" w:rsidP="00B7783F">
            <w:pPr>
              <w:pStyle w:val="TableText"/>
              <w:rPr>
                <w:highlight w:val="yellow"/>
              </w:rPr>
            </w:pPr>
            <w:r w:rsidRPr="00256982">
              <w:t>1.A.4.a Other Sectors – Commercial/institutional</w:t>
            </w:r>
          </w:p>
        </w:tc>
        <w:tc>
          <w:tcPr>
            <w:tcW w:w="2607" w:type="dxa"/>
          </w:tcPr>
          <w:p w14:paraId="7FE82CEC" w14:textId="77777777" w:rsidR="00A05AC8" w:rsidRPr="00256982" w:rsidRDefault="00A05AC8" w:rsidP="00B7783F">
            <w:pPr>
              <w:pStyle w:val="TableText"/>
              <w:jc w:val="center"/>
              <w:rPr>
                <w:highlight w:val="yellow"/>
              </w:rPr>
            </w:pPr>
            <w:r w:rsidRPr="00256982">
              <w:t>–135.1</w:t>
            </w:r>
          </w:p>
        </w:tc>
        <w:tc>
          <w:tcPr>
            <w:tcW w:w="2154" w:type="dxa"/>
          </w:tcPr>
          <w:p w14:paraId="09105F69" w14:textId="77777777" w:rsidR="00A05AC8" w:rsidRPr="00256982" w:rsidRDefault="00A05AC8" w:rsidP="00B7783F">
            <w:pPr>
              <w:pStyle w:val="TableText"/>
              <w:jc w:val="center"/>
              <w:rPr>
                <w:highlight w:val="yellow"/>
              </w:rPr>
            </w:pPr>
            <w:r w:rsidRPr="00256982">
              <w:t>1995</w:t>
            </w:r>
          </w:p>
        </w:tc>
      </w:tr>
      <w:tr w:rsidR="00A05AC8" w:rsidRPr="00256982" w14:paraId="6A199BF5" w14:textId="77777777" w:rsidTr="00B7783F">
        <w:tc>
          <w:tcPr>
            <w:tcW w:w="1159" w:type="dxa"/>
          </w:tcPr>
          <w:p w14:paraId="42358C54" w14:textId="77777777" w:rsidR="00A05AC8" w:rsidRPr="00256982" w:rsidRDefault="00A05AC8" w:rsidP="00B7783F">
            <w:pPr>
              <w:pStyle w:val="TableText"/>
              <w:rPr>
                <w:highlight w:val="yellow"/>
              </w:rPr>
            </w:pPr>
            <w:r w:rsidRPr="00256982">
              <w:t>IPPU</w:t>
            </w:r>
          </w:p>
        </w:tc>
        <w:tc>
          <w:tcPr>
            <w:tcW w:w="2693" w:type="dxa"/>
          </w:tcPr>
          <w:p w14:paraId="1B555C18" w14:textId="77777777" w:rsidR="00A05AC8" w:rsidRPr="00256982" w:rsidRDefault="00A05AC8" w:rsidP="00B7783F">
            <w:pPr>
              <w:pStyle w:val="TableText"/>
            </w:pPr>
            <w:r w:rsidRPr="00256982">
              <w:t>2.F.1.a Commercial refrigeration – HFC-143a</w:t>
            </w:r>
          </w:p>
        </w:tc>
        <w:tc>
          <w:tcPr>
            <w:tcW w:w="2607" w:type="dxa"/>
          </w:tcPr>
          <w:p w14:paraId="34BAB593" w14:textId="77777777" w:rsidR="00A05AC8" w:rsidRPr="00256982" w:rsidRDefault="00A05AC8" w:rsidP="00B7783F">
            <w:pPr>
              <w:pStyle w:val="TableText"/>
              <w:jc w:val="center"/>
              <w:rPr>
                <w:highlight w:val="yellow"/>
              </w:rPr>
            </w:pPr>
            <w:r w:rsidRPr="00256982">
              <w:t>–145.0</w:t>
            </w:r>
          </w:p>
        </w:tc>
        <w:tc>
          <w:tcPr>
            <w:tcW w:w="2154" w:type="dxa"/>
          </w:tcPr>
          <w:p w14:paraId="79D48C5C" w14:textId="77777777" w:rsidR="00A05AC8" w:rsidRPr="00256982" w:rsidRDefault="00A05AC8" w:rsidP="00B7783F">
            <w:pPr>
              <w:pStyle w:val="TableText"/>
              <w:jc w:val="center"/>
              <w:rPr>
                <w:highlight w:val="yellow"/>
              </w:rPr>
            </w:pPr>
            <w:r w:rsidRPr="00256982">
              <w:t>2012</w:t>
            </w:r>
          </w:p>
        </w:tc>
      </w:tr>
      <w:tr w:rsidR="00A05AC8" w:rsidRPr="00256982" w14:paraId="0DC295B9" w14:textId="77777777" w:rsidTr="00B7783F">
        <w:tc>
          <w:tcPr>
            <w:tcW w:w="1159" w:type="dxa"/>
          </w:tcPr>
          <w:p w14:paraId="7380EDA0" w14:textId="77777777" w:rsidR="00A05AC8" w:rsidRPr="00256982" w:rsidRDefault="00A05AC8" w:rsidP="00B7783F">
            <w:pPr>
              <w:pStyle w:val="TableText"/>
              <w:rPr>
                <w:highlight w:val="yellow"/>
              </w:rPr>
            </w:pPr>
            <w:r w:rsidRPr="00256982">
              <w:t>Agriculture</w:t>
            </w:r>
          </w:p>
        </w:tc>
        <w:tc>
          <w:tcPr>
            <w:tcW w:w="2693" w:type="dxa"/>
          </w:tcPr>
          <w:p w14:paraId="34291B58" w14:textId="77777777" w:rsidR="00A05AC8" w:rsidRPr="00256982" w:rsidRDefault="00A05AC8" w:rsidP="00B7783F">
            <w:pPr>
              <w:pStyle w:val="TableText"/>
            </w:pPr>
            <w:r w:rsidRPr="00256982">
              <w:t>3.A.2 Other (please specify) – Sheep</w:t>
            </w:r>
          </w:p>
        </w:tc>
        <w:tc>
          <w:tcPr>
            <w:tcW w:w="2607" w:type="dxa"/>
          </w:tcPr>
          <w:p w14:paraId="280AE180" w14:textId="77777777" w:rsidR="00A05AC8" w:rsidRPr="00256982" w:rsidRDefault="00A05AC8" w:rsidP="00B7783F">
            <w:pPr>
              <w:pStyle w:val="TableText"/>
              <w:jc w:val="center"/>
              <w:rPr>
                <w:highlight w:val="yellow"/>
              </w:rPr>
            </w:pPr>
            <w:r w:rsidRPr="00256982">
              <w:t>–459.6</w:t>
            </w:r>
          </w:p>
        </w:tc>
        <w:tc>
          <w:tcPr>
            <w:tcW w:w="2154" w:type="dxa"/>
          </w:tcPr>
          <w:p w14:paraId="4479BFDF" w14:textId="77777777" w:rsidR="00A05AC8" w:rsidRPr="00256982" w:rsidRDefault="00A05AC8" w:rsidP="00B7783F">
            <w:pPr>
              <w:pStyle w:val="TableText"/>
              <w:jc w:val="center"/>
              <w:rPr>
                <w:highlight w:val="yellow"/>
              </w:rPr>
            </w:pPr>
            <w:r w:rsidRPr="00256982">
              <w:t>1992</w:t>
            </w:r>
          </w:p>
        </w:tc>
      </w:tr>
      <w:tr w:rsidR="00A05AC8" w:rsidRPr="00256982" w14:paraId="7B9C9C5B" w14:textId="77777777" w:rsidTr="00B7783F">
        <w:tc>
          <w:tcPr>
            <w:tcW w:w="1159" w:type="dxa"/>
          </w:tcPr>
          <w:p w14:paraId="7CF68729" w14:textId="77777777" w:rsidR="00A05AC8" w:rsidRPr="00256982" w:rsidRDefault="00A05AC8" w:rsidP="00B7783F">
            <w:pPr>
              <w:pStyle w:val="TableText"/>
              <w:rPr>
                <w:highlight w:val="yellow"/>
              </w:rPr>
            </w:pPr>
            <w:r w:rsidRPr="00256982">
              <w:t>LULUCF</w:t>
            </w:r>
          </w:p>
        </w:tc>
        <w:tc>
          <w:tcPr>
            <w:tcW w:w="2693" w:type="dxa"/>
          </w:tcPr>
          <w:p w14:paraId="18AC2F80" w14:textId="77777777" w:rsidR="00A05AC8" w:rsidRPr="00256982" w:rsidRDefault="00A05AC8" w:rsidP="00B7783F">
            <w:pPr>
              <w:pStyle w:val="TableText"/>
            </w:pPr>
            <w:r w:rsidRPr="00256982">
              <w:t>4.A.2.2.i Grassland converted to forest land – Grassland with woody biomass converted to pre-1990 planted forest</w:t>
            </w:r>
          </w:p>
        </w:tc>
        <w:tc>
          <w:tcPr>
            <w:tcW w:w="2607" w:type="dxa"/>
          </w:tcPr>
          <w:p w14:paraId="20A701DE" w14:textId="77777777" w:rsidR="00A05AC8" w:rsidRPr="00256982" w:rsidRDefault="00A05AC8" w:rsidP="00B7783F">
            <w:pPr>
              <w:pStyle w:val="TableText"/>
              <w:jc w:val="center"/>
              <w:rPr>
                <w:highlight w:val="yellow"/>
              </w:rPr>
            </w:pPr>
            <w:r w:rsidRPr="00256982">
              <w:t>–4,271.0</w:t>
            </w:r>
          </w:p>
        </w:tc>
        <w:tc>
          <w:tcPr>
            <w:tcW w:w="2154" w:type="dxa"/>
          </w:tcPr>
          <w:p w14:paraId="41FF5640" w14:textId="77777777" w:rsidR="00A05AC8" w:rsidRPr="00256982" w:rsidRDefault="00A05AC8" w:rsidP="00B7783F">
            <w:pPr>
              <w:pStyle w:val="TableText"/>
              <w:jc w:val="center"/>
              <w:rPr>
                <w:highlight w:val="yellow"/>
              </w:rPr>
            </w:pPr>
            <w:r w:rsidRPr="00256982">
              <w:t>2015</w:t>
            </w:r>
          </w:p>
        </w:tc>
      </w:tr>
      <w:tr w:rsidR="00A05AC8" w:rsidRPr="00256982" w14:paraId="02C95A6F" w14:textId="77777777" w:rsidTr="00B7783F">
        <w:tc>
          <w:tcPr>
            <w:tcW w:w="1159" w:type="dxa"/>
          </w:tcPr>
          <w:p w14:paraId="4227375C" w14:textId="77777777" w:rsidR="00A05AC8" w:rsidRPr="00256982" w:rsidRDefault="00A05AC8" w:rsidP="00B7783F">
            <w:pPr>
              <w:pStyle w:val="TableText"/>
              <w:rPr>
                <w:highlight w:val="yellow"/>
              </w:rPr>
            </w:pPr>
            <w:r w:rsidRPr="00256982">
              <w:t>Waste</w:t>
            </w:r>
          </w:p>
        </w:tc>
        <w:tc>
          <w:tcPr>
            <w:tcW w:w="2693" w:type="dxa"/>
          </w:tcPr>
          <w:p w14:paraId="75839844" w14:textId="77777777" w:rsidR="00A05AC8" w:rsidRPr="00256982" w:rsidRDefault="00A05AC8" w:rsidP="00B7783F">
            <w:pPr>
              <w:pStyle w:val="TableText"/>
              <w:rPr>
                <w:b/>
              </w:rPr>
            </w:pPr>
            <w:r w:rsidRPr="00256982">
              <w:t>5.D.1 Wastewater treatment and discharge – domestic wastewater</w:t>
            </w:r>
          </w:p>
        </w:tc>
        <w:tc>
          <w:tcPr>
            <w:tcW w:w="2607" w:type="dxa"/>
          </w:tcPr>
          <w:p w14:paraId="54754C5B" w14:textId="77777777" w:rsidR="00A05AC8" w:rsidRPr="00256982" w:rsidRDefault="00A05AC8" w:rsidP="00B7783F">
            <w:pPr>
              <w:pStyle w:val="TableText"/>
              <w:jc w:val="center"/>
              <w:rPr>
                <w:highlight w:val="yellow"/>
              </w:rPr>
            </w:pPr>
            <w:r w:rsidRPr="00256982">
              <w:t>–44.9</w:t>
            </w:r>
          </w:p>
        </w:tc>
        <w:tc>
          <w:tcPr>
            <w:tcW w:w="2154" w:type="dxa"/>
          </w:tcPr>
          <w:p w14:paraId="32FF2F61" w14:textId="77777777" w:rsidR="00A05AC8" w:rsidRPr="00256982" w:rsidRDefault="00A05AC8" w:rsidP="00B7783F">
            <w:pPr>
              <w:pStyle w:val="TableText"/>
              <w:jc w:val="center"/>
              <w:rPr>
                <w:highlight w:val="yellow"/>
              </w:rPr>
            </w:pPr>
            <w:r w:rsidRPr="00256982">
              <w:t>2012</w:t>
            </w:r>
          </w:p>
        </w:tc>
      </w:tr>
    </w:tbl>
    <w:p w14:paraId="019EFEAA" w14:textId="77777777" w:rsidR="00A05AC8" w:rsidRPr="00256982" w:rsidRDefault="00A05AC8" w:rsidP="00A05AC8">
      <w:pPr>
        <w:pStyle w:val="BodyText"/>
        <w:spacing w:before="240"/>
      </w:pPr>
      <w:r w:rsidRPr="00256982">
        <w:rPr>
          <w:rFonts w:eastAsia="Arial"/>
        </w:rPr>
        <w:t>The following sections detail the effect of and reasons for recalculations for each sector and summarise the improvements that resulted in the recalculations.</w:t>
      </w:r>
    </w:p>
    <w:p w14:paraId="4B9C64ED" w14:textId="77777777" w:rsidR="00A05AC8" w:rsidRPr="00256982" w:rsidRDefault="00A05AC8" w:rsidP="00A05AC8">
      <w:pPr>
        <w:pStyle w:val="Heading3"/>
      </w:pPr>
      <w:r w:rsidRPr="00256982">
        <w:t>10.1.1</w:t>
      </w:r>
      <w:r w:rsidRPr="00256982">
        <w:tab/>
        <w:t>Energy</w:t>
      </w:r>
    </w:p>
    <w:p w14:paraId="49D8A62B" w14:textId="77777777" w:rsidR="00A05AC8" w:rsidRPr="00256982" w:rsidRDefault="00A05AC8" w:rsidP="00A05AC8">
      <w:pPr>
        <w:pStyle w:val="BodyText"/>
      </w:pPr>
      <w:bookmarkStart w:id="2495" w:name="_Toc352505169"/>
      <w:bookmarkStart w:id="2496" w:name="_Toc447275721"/>
      <w:bookmarkStart w:id="2497" w:name="_Toc481752040"/>
      <w:bookmarkStart w:id="2498" w:name="_Toc511116994"/>
      <w:r w:rsidRPr="00256982">
        <w:t>The improvements made in the Energy sector have resulted in a 0.002 per cent (0.5 kt CO</w:t>
      </w:r>
      <w:r w:rsidRPr="00256982">
        <w:rPr>
          <w:vertAlign w:val="subscript"/>
        </w:rPr>
        <w:t>2</w:t>
      </w:r>
      <w:r w:rsidRPr="00256982">
        <w:noBreakHyphen/>
        <w:t>e) increase in energy emissions in 1990 and a 0.7 per cent (204.1 kt CO</w:t>
      </w:r>
      <w:r w:rsidRPr="00256982">
        <w:rPr>
          <w:vertAlign w:val="subscript"/>
        </w:rPr>
        <w:t>2</w:t>
      </w:r>
      <w:r w:rsidRPr="00256982">
        <w:t>-e) decrease in energy emissions in 2016 (figure 10.1.2). Explanations and justifications for recalculations of New Zealand’s energy emissions estimates are summarised in table 10.1.3.</w:t>
      </w:r>
    </w:p>
    <w:p w14:paraId="176B90B2" w14:textId="77777777" w:rsidR="00A05AC8" w:rsidRPr="00256982" w:rsidRDefault="00A05AC8" w:rsidP="00A05AC8">
      <w:pPr>
        <w:pStyle w:val="Figure"/>
        <w:spacing w:after="60"/>
      </w:pPr>
      <w:bookmarkStart w:id="2499" w:name="_Toc5269729"/>
      <w:r w:rsidRPr="00256982">
        <w:t>Figure 10.1.2</w:t>
      </w:r>
      <w:r w:rsidRPr="00256982">
        <w:tab/>
        <w:t>Effect of recalculations on New Zealand’s Energy sector from 1990 to</w:t>
      </w:r>
      <w:bookmarkEnd w:id="2495"/>
      <w:r w:rsidRPr="00256982">
        <w:t> 201</w:t>
      </w:r>
      <w:bookmarkEnd w:id="2496"/>
      <w:bookmarkEnd w:id="2497"/>
      <w:bookmarkEnd w:id="2498"/>
      <w:r w:rsidRPr="00256982">
        <w:t>6</w:t>
      </w:r>
      <w:bookmarkEnd w:id="2499"/>
    </w:p>
    <w:p w14:paraId="149AC4AC" w14:textId="5FEE2B95" w:rsidR="00A05AC8" w:rsidRPr="00256982" w:rsidRDefault="00590491" w:rsidP="00A05AC8">
      <w:pPr>
        <w:spacing w:after="120"/>
      </w:pPr>
      <w:r>
        <w:rPr>
          <w:lang w:eastAsia="en-NZ"/>
        </w:rPr>
        <w:pict w14:anchorId="1B89DE8C">
          <v:shape id="_x0000_i1165" type="#_x0000_t75" style="width:396.75pt;height:189.75pt;visibility:visible" o:gfxdata="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">
            <v:imagedata r:id="rId252" o:title="" croptop="2562f" cropbottom="3614f" cropright="-9f"/>
            <o:lock v:ext="edit" aspectratio="f"/>
          </v:shape>
        </w:pict>
      </w:r>
    </w:p>
    <w:p w14:paraId="1077C351" w14:textId="77777777" w:rsidR="00A05AC8" w:rsidRPr="00256982" w:rsidRDefault="00A05AC8" w:rsidP="00A05AC8">
      <w:pPr>
        <w:pStyle w:val="Table"/>
      </w:pPr>
      <w:bookmarkStart w:id="2500" w:name="_Toc451176188"/>
      <w:bookmarkStart w:id="2501" w:name="_Toc481751618"/>
      <w:bookmarkStart w:id="2502" w:name="_Toc511116845"/>
      <w:bookmarkStart w:id="2503" w:name="_Toc5269611"/>
      <w:r w:rsidRPr="00256982">
        <w:t xml:space="preserve">Table 10.1.3 </w:t>
      </w:r>
      <w:r w:rsidRPr="00256982">
        <w:tab/>
        <w:t>Explanations and justification for recalculations in the Energy sector</w:t>
      </w:r>
      <w:bookmarkEnd w:id="2500"/>
      <w:bookmarkEnd w:id="2501"/>
      <w:bookmarkEnd w:id="2502"/>
      <w:bookmarkEnd w:id="2503"/>
      <w:r w:rsidRPr="00256982">
        <w:t xml:space="preserve"> </w:t>
      </w:r>
    </w:p>
    <w:tbl>
      <w:tblPr>
        <w:tblW w:w="8505" w:type="dxa"/>
        <w:tblInd w:w="108" w:type="dxa"/>
        <w:tblBorders>
          <w:bottom w:val="single" w:sz="4" w:space="0" w:color="365F91"/>
          <w:insideH w:val="single" w:sz="4" w:space="0" w:color="365F91"/>
        </w:tblBorders>
        <w:tblLook w:val="04A0" w:firstRow="1" w:lastRow="0" w:firstColumn="1" w:lastColumn="0" w:noHBand="0" w:noVBand="1"/>
      </w:tblPr>
      <w:tblGrid>
        <w:gridCol w:w="3544"/>
        <w:gridCol w:w="2693"/>
        <w:gridCol w:w="2268"/>
      </w:tblGrid>
      <w:tr w:rsidR="00A05AC8" w:rsidRPr="00256982" w14:paraId="63D712C5" w14:textId="77777777" w:rsidTr="00B7783F">
        <w:trPr>
          <w:tblHeader/>
        </w:trPr>
        <w:tc>
          <w:tcPr>
            <w:tcW w:w="3544" w:type="dxa"/>
            <w:tcBorders>
              <w:top w:val="single" w:sz="4" w:space="0" w:color="365F91"/>
            </w:tcBorders>
            <w:shd w:val="clear" w:color="auto" w:fill="365F91"/>
            <w:vAlign w:val="bottom"/>
          </w:tcPr>
          <w:p w14:paraId="5D8CC32E" w14:textId="77777777" w:rsidR="00A05AC8" w:rsidRPr="00256982" w:rsidRDefault="00A05AC8" w:rsidP="00B7783F">
            <w:pPr>
              <w:pStyle w:val="TableTextBold"/>
              <w:rPr>
                <w:noProof w:val="0"/>
                <w:color w:val="FFFFFF"/>
              </w:rPr>
            </w:pPr>
            <w:r w:rsidRPr="00256982">
              <w:rPr>
                <w:noProof w:val="0"/>
                <w:color w:val="FFFFFF"/>
              </w:rPr>
              <w:t>Explanation of recalculation</w:t>
            </w:r>
          </w:p>
        </w:tc>
        <w:tc>
          <w:tcPr>
            <w:tcW w:w="2693" w:type="dxa"/>
            <w:tcBorders>
              <w:top w:val="single" w:sz="4" w:space="0" w:color="365F91"/>
            </w:tcBorders>
            <w:shd w:val="clear" w:color="auto" w:fill="365F91"/>
            <w:vAlign w:val="bottom"/>
          </w:tcPr>
          <w:p w14:paraId="7C28A3DC" w14:textId="77777777" w:rsidR="00A05AC8" w:rsidRPr="00256982" w:rsidRDefault="00A05AC8" w:rsidP="00B7783F">
            <w:pPr>
              <w:pStyle w:val="TableTextBold"/>
              <w:rPr>
                <w:noProof w:val="0"/>
                <w:color w:val="FFFFFF"/>
              </w:rPr>
            </w:pPr>
            <w:r w:rsidRPr="00256982">
              <w:rPr>
                <w:noProof w:val="0"/>
                <w:color w:val="FFFFFF"/>
              </w:rPr>
              <w:t>Underpinning UNFCCC principle</w:t>
            </w:r>
          </w:p>
        </w:tc>
        <w:tc>
          <w:tcPr>
            <w:tcW w:w="2268" w:type="dxa"/>
            <w:tcBorders>
              <w:top w:val="single" w:sz="4" w:space="0" w:color="365F91"/>
            </w:tcBorders>
            <w:shd w:val="clear" w:color="auto" w:fill="365F91"/>
            <w:vAlign w:val="bottom"/>
          </w:tcPr>
          <w:p w14:paraId="3E231B32" w14:textId="77777777" w:rsidR="00A05AC8" w:rsidRPr="00256982" w:rsidRDefault="00A05AC8" w:rsidP="00B7783F">
            <w:pPr>
              <w:pStyle w:val="TableTextBold"/>
              <w:rPr>
                <w:noProof w:val="0"/>
                <w:color w:val="FFFFFF"/>
              </w:rPr>
            </w:pPr>
            <w:r w:rsidRPr="00256982">
              <w:rPr>
                <w:noProof w:val="0"/>
                <w:color w:val="FFFFFF"/>
              </w:rPr>
              <w:t>Additional justification</w:t>
            </w:r>
          </w:p>
        </w:tc>
      </w:tr>
      <w:tr w:rsidR="00A05AC8" w:rsidRPr="00256982" w14:paraId="2EA967E3" w14:textId="77777777" w:rsidTr="00B7783F">
        <w:tc>
          <w:tcPr>
            <w:tcW w:w="3544" w:type="dxa"/>
          </w:tcPr>
          <w:p w14:paraId="4CF805F4" w14:textId="77777777" w:rsidR="00A05AC8" w:rsidRPr="00256982" w:rsidRDefault="00A05AC8" w:rsidP="00B7783F">
            <w:pPr>
              <w:pStyle w:val="TableText"/>
              <w:rPr>
                <w:highlight w:val="yellow"/>
              </w:rPr>
            </w:pPr>
            <w:r w:rsidRPr="00256982">
              <w:t>Emissions from the use of biodiesel were recalculated to account for the fossil fraction.</w:t>
            </w:r>
          </w:p>
        </w:tc>
        <w:tc>
          <w:tcPr>
            <w:tcW w:w="2693" w:type="dxa"/>
          </w:tcPr>
          <w:p w14:paraId="62093B2E" w14:textId="77777777" w:rsidR="00A05AC8" w:rsidRPr="00256982" w:rsidRDefault="00A05AC8" w:rsidP="00B7783F">
            <w:pPr>
              <w:pStyle w:val="TableText"/>
              <w:rPr>
                <w:highlight w:val="yellow"/>
              </w:rPr>
            </w:pPr>
            <w:r w:rsidRPr="00256982">
              <w:t>Completeness</w:t>
            </w:r>
          </w:p>
        </w:tc>
        <w:tc>
          <w:tcPr>
            <w:tcW w:w="2268" w:type="dxa"/>
          </w:tcPr>
          <w:p w14:paraId="17302FE0" w14:textId="77777777" w:rsidR="00A05AC8" w:rsidRPr="00256982" w:rsidRDefault="00A05AC8" w:rsidP="00B7783F">
            <w:pPr>
              <w:pStyle w:val="TableText"/>
              <w:rPr>
                <w:highlight w:val="yellow"/>
              </w:rPr>
            </w:pPr>
          </w:p>
        </w:tc>
      </w:tr>
    </w:tbl>
    <w:p w14:paraId="34033C31" w14:textId="77777777" w:rsidR="00A05AC8" w:rsidRPr="00256982" w:rsidRDefault="00A05AC8" w:rsidP="00A05AC8">
      <w:pPr>
        <w:pStyle w:val="Heading3"/>
        <w:spacing w:before="480"/>
      </w:pPr>
      <w:r w:rsidRPr="00256982">
        <w:t>10.1.2</w:t>
      </w:r>
      <w:r w:rsidRPr="00256982">
        <w:tab/>
        <w:t>Industrial Processes and Product Use</w:t>
      </w:r>
    </w:p>
    <w:p w14:paraId="7B28FDA3" w14:textId="77777777" w:rsidR="00A05AC8" w:rsidRPr="00256982" w:rsidRDefault="00A05AC8" w:rsidP="00A05AC8">
      <w:pPr>
        <w:pStyle w:val="BodyText"/>
        <w:rPr>
          <w:rFonts w:eastAsia="Arial"/>
        </w:rPr>
      </w:pPr>
      <w:bookmarkStart w:id="2504" w:name="_Toc352505170"/>
      <w:bookmarkStart w:id="2505" w:name="_Toc414531638"/>
      <w:bookmarkStart w:id="2506" w:name="_Toc447275722"/>
      <w:r w:rsidRPr="00256982">
        <w:rPr>
          <w:rFonts w:eastAsia="Arial"/>
        </w:rPr>
        <w:t>Improvements and recalculations made in the</w:t>
      </w:r>
      <w:r w:rsidRPr="00256982">
        <w:t xml:space="preserve"> Industrial Processes and Product Use</w:t>
      </w:r>
      <w:r w:rsidRPr="00256982">
        <w:rPr>
          <w:rFonts w:eastAsia="Arial"/>
        </w:rPr>
        <w:t xml:space="preserve"> (IPPU) sector have resulted in a 0.15 per cent (5.2 kt CO</w:t>
      </w:r>
      <w:r w:rsidRPr="00256982">
        <w:rPr>
          <w:rFonts w:eastAsia="Arial"/>
          <w:vertAlign w:val="subscript"/>
        </w:rPr>
        <w:t>2</w:t>
      </w:r>
      <w:r w:rsidRPr="00256982">
        <w:rPr>
          <w:rFonts w:eastAsia="Arial"/>
        </w:rPr>
        <w:t>-e) decrease in emissions in 1990 and a 2.76 per cent (133.7 kt CO</w:t>
      </w:r>
      <w:r w:rsidRPr="00256982">
        <w:rPr>
          <w:rFonts w:eastAsia="Arial"/>
          <w:vertAlign w:val="subscript"/>
        </w:rPr>
        <w:t>2</w:t>
      </w:r>
      <w:r w:rsidRPr="00256982">
        <w:rPr>
          <w:rFonts w:eastAsia="Arial"/>
        </w:rPr>
        <w:t xml:space="preserve">-e) increase in emissions in 2016 (figure 10.1.3). The decrease in 1990 is due to a recalculation of emissions from the </w:t>
      </w:r>
      <w:r w:rsidRPr="00256982">
        <w:rPr>
          <w:rFonts w:eastAsia="Arial"/>
          <w:i/>
        </w:rPr>
        <w:t xml:space="preserve">Lubricant use </w:t>
      </w:r>
      <w:r w:rsidRPr="00256982">
        <w:rPr>
          <w:rFonts w:eastAsia="Arial"/>
        </w:rPr>
        <w:t xml:space="preserve">category. The increase in reported emissions for 2016 is almost entirely due to a reassessment of the amounts of refrigerant gases sold and used, including the use of previously stockpiled gas. This changed the timing of these emissions. </w:t>
      </w:r>
    </w:p>
    <w:p w14:paraId="6E974E3F" w14:textId="77777777" w:rsidR="00A05AC8" w:rsidRPr="00256982" w:rsidRDefault="00A05AC8" w:rsidP="00A05AC8">
      <w:pPr>
        <w:pStyle w:val="BodyText"/>
        <w:rPr>
          <w:rFonts w:eastAsia="Arial"/>
          <w:spacing w:val="-2"/>
        </w:rPr>
      </w:pPr>
      <w:r w:rsidRPr="00256982">
        <w:rPr>
          <w:rFonts w:eastAsia="+mn-ea"/>
          <w:spacing w:val="-2"/>
        </w:rPr>
        <w:t xml:space="preserve">Other recalculations and improvements, as detailed in </w:t>
      </w:r>
      <w:r w:rsidRPr="00256982">
        <w:rPr>
          <w:rFonts w:eastAsia="Arial"/>
          <w:spacing w:val="-2"/>
        </w:rPr>
        <w:t>table 10.1.4,</w:t>
      </w:r>
      <w:r w:rsidRPr="00256982">
        <w:rPr>
          <w:rFonts w:eastAsia="+mn-ea"/>
          <w:spacing w:val="-2"/>
        </w:rPr>
        <w:t xml:space="preserve"> have had only a minor effect</w:t>
      </w:r>
      <w:r w:rsidRPr="00256982">
        <w:rPr>
          <w:rFonts w:eastAsia="Arial"/>
          <w:spacing w:val="-2"/>
        </w:rPr>
        <w:t>.</w:t>
      </w:r>
    </w:p>
    <w:p w14:paraId="3DA1C6CA" w14:textId="77777777" w:rsidR="00A05AC8" w:rsidRPr="00256982" w:rsidRDefault="00A05AC8" w:rsidP="00A05AC8">
      <w:pPr>
        <w:pStyle w:val="Figure"/>
        <w:spacing w:after="60"/>
      </w:pPr>
      <w:bookmarkStart w:id="2507" w:name="_Toc481752041"/>
      <w:bookmarkStart w:id="2508" w:name="_Toc511116995"/>
      <w:bookmarkStart w:id="2509" w:name="_Toc5269730"/>
      <w:r w:rsidRPr="00256982">
        <w:t>Figure 10.1.3</w:t>
      </w:r>
      <w:r w:rsidRPr="00256982">
        <w:tab/>
        <w:t>Effect of recalculations on the IPPU sector from 1990 to</w:t>
      </w:r>
      <w:bookmarkEnd w:id="2504"/>
      <w:r w:rsidRPr="00256982">
        <w:t> 201</w:t>
      </w:r>
      <w:bookmarkEnd w:id="2505"/>
      <w:bookmarkEnd w:id="2506"/>
      <w:bookmarkEnd w:id="2507"/>
      <w:bookmarkEnd w:id="2508"/>
      <w:r w:rsidRPr="00256982">
        <w:t>6</w:t>
      </w:r>
      <w:bookmarkEnd w:id="2509"/>
    </w:p>
    <w:p w14:paraId="02540FA0" w14:textId="693DE304" w:rsidR="00A05AC8" w:rsidRPr="00256982" w:rsidRDefault="00590491" w:rsidP="00A05AC8">
      <w:pPr>
        <w:spacing w:after="120"/>
      </w:pPr>
      <w:r>
        <w:rPr>
          <w:lang w:eastAsia="en-NZ"/>
        </w:rPr>
        <w:pict w14:anchorId="132B6DE4">
          <v:shape id="_x0000_i1166" type="#_x0000_t75" style="width:396.75pt;height:194.25pt;visibility:visible" o:gfxdata="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">
            <v:imagedata r:id="rId253" o:title="" croptop="1917f" cropbottom="4040f" cropright="-9f"/>
            <o:lock v:ext="edit" aspectratio="f"/>
          </v:shape>
        </w:pict>
      </w:r>
    </w:p>
    <w:p w14:paraId="6DE8113D" w14:textId="77777777" w:rsidR="00A05AC8" w:rsidRPr="00256982" w:rsidRDefault="00A05AC8" w:rsidP="00A05AC8">
      <w:pPr>
        <w:pStyle w:val="Table"/>
      </w:pPr>
      <w:bookmarkStart w:id="2510" w:name="_Toc451176189"/>
      <w:bookmarkStart w:id="2511" w:name="_Toc481751619"/>
      <w:bookmarkStart w:id="2512" w:name="_Toc511116846"/>
      <w:bookmarkStart w:id="2513" w:name="_Toc5269612"/>
      <w:r w:rsidRPr="00256982">
        <w:t>Table 10.1.4</w:t>
      </w:r>
      <w:r w:rsidRPr="00256982">
        <w:tab/>
        <w:t>Explanations and justifications for recalculations in the IPPU sector</w:t>
      </w:r>
      <w:bookmarkEnd w:id="2510"/>
      <w:bookmarkEnd w:id="2511"/>
      <w:bookmarkEnd w:id="2512"/>
      <w:bookmarkEnd w:id="2513"/>
    </w:p>
    <w:tbl>
      <w:tblPr>
        <w:tblW w:w="8505" w:type="dxa"/>
        <w:tblInd w:w="108" w:type="dxa"/>
        <w:tblLayout w:type="fixed"/>
        <w:tblLook w:val="04A0" w:firstRow="1" w:lastRow="0" w:firstColumn="1" w:lastColumn="0" w:noHBand="0" w:noVBand="1"/>
      </w:tblPr>
      <w:tblGrid>
        <w:gridCol w:w="3402"/>
        <w:gridCol w:w="1701"/>
        <w:gridCol w:w="3402"/>
      </w:tblGrid>
      <w:tr w:rsidR="00A05AC8" w:rsidRPr="00256982" w14:paraId="7FDC4815" w14:textId="77777777" w:rsidTr="00B7783F">
        <w:trPr>
          <w:tblHeader/>
        </w:trPr>
        <w:tc>
          <w:tcPr>
            <w:tcW w:w="3402" w:type="dxa"/>
            <w:tcBorders>
              <w:top w:val="single" w:sz="4" w:space="0" w:color="365F91"/>
              <w:bottom w:val="single" w:sz="4" w:space="0" w:color="365F91"/>
            </w:tcBorders>
            <w:shd w:val="clear" w:color="auto" w:fill="365F91"/>
            <w:vAlign w:val="bottom"/>
          </w:tcPr>
          <w:p w14:paraId="7AEA4021" w14:textId="77777777" w:rsidR="00A05AC8" w:rsidRPr="00256982" w:rsidRDefault="00A05AC8" w:rsidP="00F90B5C">
            <w:pPr>
              <w:pStyle w:val="TableTextBold"/>
              <w:keepNext/>
              <w:rPr>
                <w:noProof w:val="0"/>
                <w:color w:val="FFFFFF"/>
              </w:rPr>
            </w:pPr>
            <w:r w:rsidRPr="00256982">
              <w:rPr>
                <w:noProof w:val="0"/>
                <w:color w:val="FFFFFF"/>
              </w:rPr>
              <w:t>Explanation of recalculation</w:t>
            </w:r>
          </w:p>
        </w:tc>
        <w:tc>
          <w:tcPr>
            <w:tcW w:w="1701" w:type="dxa"/>
            <w:tcBorders>
              <w:top w:val="single" w:sz="4" w:space="0" w:color="365F91"/>
              <w:bottom w:val="single" w:sz="4" w:space="0" w:color="365F91"/>
            </w:tcBorders>
            <w:shd w:val="clear" w:color="auto" w:fill="365F91"/>
            <w:vAlign w:val="bottom"/>
          </w:tcPr>
          <w:p w14:paraId="07AB2335" w14:textId="77777777" w:rsidR="00A05AC8" w:rsidRPr="00256982" w:rsidRDefault="00A05AC8" w:rsidP="00F90B5C">
            <w:pPr>
              <w:pStyle w:val="TableTextBold"/>
              <w:keepNext/>
              <w:rPr>
                <w:noProof w:val="0"/>
                <w:color w:val="FFFFFF"/>
              </w:rPr>
            </w:pPr>
            <w:r w:rsidRPr="00256982">
              <w:rPr>
                <w:noProof w:val="0"/>
                <w:color w:val="FFFFFF"/>
              </w:rPr>
              <w:t>Underpinning UNFCCC principle</w:t>
            </w:r>
          </w:p>
        </w:tc>
        <w:tc>
          <w:tcPr>
            <w:tcW w:w="3402" w:type="dxa"/>
            <w:tcBorders>
              <w:top w:val="single" w:sz="4" w:space="0" w:color="365F91"/>
              <w:bottom w:val="single" w:sz="4" w:space="0" w:color="365F91"/>
            </w:tcBorders>
            <w:shd w:val="clear" w:color="auto" w:fill="365F91"/>
            <w:vAlign w:val="bottom"/>
          </w:tcPr>
          <w:p w14:paraId="4B726D6A" w14:textId="77777777" w:rsidR="00A05AC8" w:rsidRPr="00256982" w:rsidRDefault="00A05AC8" w:rsidP="00F90B5C">
            <w:pPr>
              <w:pStyle w:val="TableTextBold"/>
              <w:keepNext/>
              <w:rPr>
                <w:noProof w:val="0"/>
                <w:color w:val="FFFFFF"/>
              </w:rPr>
            </w:pPr>
            <w:r w:rsidRPr="00256982">
              <w:rPr>
                <w:noProof w:val="0"/>
                <w:color w:val="FFFFFF"/>
              </w:rPr>
              <w:t>Additional justification</w:t>
            </w:r>
          </w:p>
        </w:tc>
      </w:tr>
      <w:tr w:rsidR="00A05AC8" w:rsidRPr="00256982" w14:paraId="323E4CF0" w14:textId="77777777" w:rsidTr="00B7783F">
        <w:tc>
          <w:tcPr>
            <w:tcW w:w="3402" w:type="dxa"/>
            <w:tcBorders>
              <w:top w:val="single" w:sz="4" w:space="0" w:color="365F91"/>
              <w:bottom w:val="single" w:sz="4" w:space="0" w:color="365F91"/>
            </w:tcBorders>
            <w:shd w:val="clear" w:color="auto" w:fill="auto"/>
          </w:tcPr>
          <w:p w14:paraId="40C63FE5" w14:textId="77777777" w:rsidR="00A05AC8" w:rsidRPr="00256982" w:rsidRDefault="00A05AC8" w:rsidP="00B7783F">
            <w:pPr>
              <w:pStyle w:val="TableText"/>
            </w:pPr>
            <w:r w:rsidRPr="00256982">
              <w:t xml:space="preserve">Emissions in the </w:t>
            </w:r>
            <w:r w:rsidRPr="00256982">
              <w:rPr>
                <w:i/>
              </w:rPr>
              <w:t>Refrigeration and air conditioning</w:t>
            </w:r>
            <w:r w:rsidRPr="00256982">
              <w:t xml:space="preserve"> category for the entire time series have been recalculated because of a reassessment of the impact of stockpiling by importers from time to time.</w:t>
            </w:r>
          </w:p>
        </w:tc>
        <w:tc>
          <w:tcPr>
            <w:tcW w:w="1701" w:type="dxa"/>
            <w:tcBorders>
              <w:top w:val="single" w:sz="4" w:space="0" w:color="365F91"/>
              <w:bottom w:val="single" w:sz="4" w:space="0" w:color="365F91"/>
            </w:tcBorders>
            <w:shd w:val="clear" w:color="auto" w:fill="auto"/>
          </w:tcPr>
          <w:p w14:paraId="108E0E2F" w14:textId="77777777" w:rsidR="00A05AC8" w:rsidRPr="00256982" w:rsidRDefault="00A05AC8" w:rsidP="00B7783F">
            <w:pPr>
              <w:pStyle w:val="TableText"/>
            </w:pPr>
            <w:r w:rsidRPr="00256982">
              <w:t>Accuracy</w:t>
            </w:r>
          </w:p>
        </w:tc>
        <w:tc>
          <w:tcPr>
            <w:tcW w:w="3402" w:type="dxa"/>
            <w:tcBorders>
              <w:top w:val="single" w:sz="4" w:space="0" w:color="365F91"/>
              <w:bottom w:val="single" w:sz="4" w:space="0" w:color="365F91"/>
            </w:tcBorders>
            <w:shd w:val="clear" w:color="auto" w:fill="auto"/>
          </w:tcPr>
          <w:p w14:paraId="34C2DA52" w14:textId="77777777" w:rsidR="00A05AC8" w:rsidRPr="00256982" w:rsidRDefault="00A05AC8" w:rsidP="00B7783F">
            <w:pPr>
              <w:pStyle w:val="TableText"/>
            </w:pPr>
            <w:r w:rsidRPr="00256982">
              <w:t>Stockpiling of hydrofluorocarbons (HFCs) on introduction of the New Zealand Emissions Trading Scheme and in response to price changes can create an issue for accurate allocation of emissions over time.</w:t>
            </w:r>
          </w:p>
        </w:tc>
      </w:tr>
      <w:tr w:rsidR="00A05AC8" w:rsidRPr="00256982" w14:paraId="556A6756" w14:textId="77777777" w:rsidTr="00B7783F">
        <w:tc>
          <w:tcPr>
            <w:tcW w:w="3402" w:type="dxa"/>
            <w:tcBorders>
              <w:top w:val="single" w:sz="4" w:space="0" w:color="365F91"/>
              <w:bottom w:val="single" w:sz="4" w:space="0" w:color="365F91"/>
            </w:tcBorders>
            <w:shd w:val="clear" w:color="auto" w:fill="auto"/>
          </w:tcPr>
          <w:p w14:paraId="1B1A622A" w14:textId="77777777" w:rsidR="00A05AC8" w:rsidRPr="00256982" w:rsidRDefault="00A05AC8" w:rsidP="00B7783F">
            <w:pPr>
              <w:pStyle w:val="TableText"/>
            </w:pPr>
            <w:r w:rsidRPr="00256982">
              <w:t xml:space="preserve">Emissions of HFCs from mobile air conditioning for all years have been revised down due to reassessment of replacement rates. </w:t>
            </w:r>
          </w:p>
        </w:tc>
        <w:tc>
          <w:tcPr>
            <w:tcW w:w="1701" w:type="dxa"/>
            <w:tcBorders>
              <w:top w:val="single" w:sz="4" w:space="0" w:color="365F91"/>
              <w:bottom w:val="single" w:sz="4" w:space="0" w:color="365F91"/>
            </w:tcBorders>
            <w:shd w:val="clear" w:color="auto" w:fill="auto"/>
          </w:tcPr>
          <w:p w14:paraId="5E34A9F7" w14:textId="77777777" w:rsidR="00A05AC8" w:rsidRPr="00256982" w:rsidRDefault="00A05AC8" w:rsidP="00B7783F">
            <w:pPr>
              <w:pStyle w:val="TableText"/>
            </w:pPr>
            <w:r w:rsidRPr="00256982">
              <w:t>Accuracy</w:t>
            </w:r>
          </w:p>
        </w:tc>
        <w:tc>
          <w:tcPr>
            <w:tcW w:w="3402" w:type="dxa"/>
            <w:tcBorders>
              <w:top w:val="single" w:sz="4" w:space="0" w:color="365F91"/>
              <w:bottom w:val="single" w:sz="4" w:space="0" w:color="365F91"/>
            </w:tcBorders>
            <w:shd w:val="clear" w:color="auto" w:fill="auto"/>
          </w:tcPr>
          <w:p w14:paraId="2569583A" w14:textId="77777777" w:rsidR="00A05AC8" w:rsidRPr="00256982" w:rsidRDefault="00A05AC8" w:rsidP="00B7783F">
            <w:pPr>
              <w:pStyle w:val="TableText"/>
              <w:rPr>
                <w:highlight w:val="yellow"/>
              </w:rPr>
            </w:pPr>
            <w:r w:rsidRPr="00256982">
              <w:t xml:space="preserve">Mass balance indicates that the previously assessed replacement rate of 15% was too high. </w:t>
            </w:r>
          </w:p>
        </w:tc>
      </w:tr>
      <w:tr w:rsidR="00A05AC8" w:rsidRPr="00256982" w14:paraId="59623600" w14:textId="77777777" w:rsidTr="00B7783F">
        <w:tc>
          <w:tcPr>
            <w:tcW w:w="3402" w:type="dxa"/>
            <w:tcBorders>
              <w:top w:val="single" w:sz="4" w:space="0" w:color="365F91"/>
              <w:bottom w:val="single" w:sz="4" w:space="0" w:color="365F91"/>
            </w:tcBorders>
            <w:shd w:val="clear" w:color="auto" w:fill="auto"/>
          </w:tcPr>
          <w:p w14:paraId="6E0B25E8" w14:textId="77777777" w:rsidR="00A05AC8" w:rsidRPr="00256982" w:rsidRDefault="00A05AC8" w:rsidP="00B7783F">
            <w:pPr>
              <w:pStyle w:val="TableText"/>
            </w:pPr>
            <w:r w:rsidRPr="00256982">
              <w:t>Activity data for lubricants has been revised following review of the import data revealing implausible year-to-year variance that can only be due to under-reporting.</w:t>
            </w:r>
          </w:p>
        </w:tc>
        <w:tc>
          <w:tcPr>
            <w:tcW w:w="1701" w:type="dxa"/>
            <w:tcBorders>
              <w:top w:val="single" w:sz="4" w:space="0" w:color="365F91"/>
              <w:bottom w:val="single" w:sz="4" w:space="0" w:color="365F91"/>
            </w:tcBorders>
            <w:shd w:val="clear" w:color="auto" w:fill="auto"/>
          </w:tcPr>
          <w:p w14:paraId="3CBA230D" w14:textId="77777777" w:rsidR="00A05AC8" w:rsidRPr="00256982" w:rsidRDefault="00A05AC8" w:rsidP="00B7783F">
            <w:pPr>
              <w:pStyle w:val="TableText"/>
            </w:pPr>
            <w:r w:rsidRPr="00256982">
              <w:t>Accuracy</w:t>
            </w:r>
          </w:p>
        </w:tc>
        <w:tc>
          <w:tcPr>
            <w:tcW w:w="3402" w:type="dxa"/>
            <w:tcBorders>
              <w:top w:val="single" w:sz="4" w:space="0" w:color="365F91"/>
              <w:bottom w:val="single" w:sz="4" w:space="0" w:color="365F91"/>
            </w:tcBorders>
            <w:shd w:val="clear" w:color="auto" w:fill="auto"/>
          </w:tcPr>
          <w:p w14:paraId="4BDF879B" w14:textId="77777777" w:rsidR="00A05AC8" w:rsidRPr="00256982" w:rsidRDefault="00A05AC8" w:rsidP="00B7783F">
            <w:pPr>
              <w:pStyle w:val="TableText"/>
              <w:rPr>
                <w:highlight w:val="yellow"/>
              </w:rPr>
            </w:pPr>
          </w:p>
        </w:tc>
      </w:tr>
      <w:tr w:rsidR="00A05AC8" w:rsidRPr="00256982" w14:paraId="01589E45" w14:textId="77777777" w:rsidTr="00B7783F">
        <w:tc>
          <w:tcPr>
            <w:tcW w:w="3402" w:type="dxa"/>
            <w:tcBorders>
              <w:top w:val="single" w:sz="4" w:space="0" w:color="365F91"/>
              <w:bottom w:val="single" w:sz="4" w:space="0" w:color="365F91"/>
            </w:tcBorders>
            <w:shd w:val="clear" w:color="auto" w:fill="auto"/>
          </w:tcPr>
          <w:p w14:paraId="27BE7F09" w14:textId="77777777" w:rsidR="00A05AC8" w:rsidRPr="00256982" w:rsidRDefault="00A05AC8" w:rsidP="00B7783F">
            <w:pPr>
              <w:pStyle w:val="TableText"/>
            </w:pPr>
            <w:r w:rsidRPr="00256982">
              <w:t>Emissions of sulphur hexafluoride used in electrical equipment have been recalculated slightly for 2014 to 2016 because a local network operator corrected previously reported data.</w:t>
            </w:r>
          </w:p>
        </w:tc>
        <w:tc>
          <w:tcPr>
            <w:tcW w:w="1701" w:type="dxa"/>
            <w:tcBorders>
              <w:top w:val="single" w:sz="4" w:space="0" w:color="365F91"/>
              <w:bottom w:val="single" w:sz="4" w:space="0" w:color="365F91"/>
            </w:tcBorders>
            <w:shd w:val="clear" w:color="auto" w:fill="auto"/>
          </w:tcPr>
          <w:p w14:paraId="521C385C" w14:textId="77777777" w:rsidR="00A05AC8" w:rsidRPr="00256982" w:rsidRDefault="00A05AC8" w:rsidP="00B7783F">
            <w:pPr>
              <w:pStyle w:val="TableText"/>
            </w:pPr>
            <w:r w:rsidRPr="00256982">
              <w:t>Accuracy</w:t>
            </w:r>
          </w:p>
        </w:tc>
        <w:tc>
          <w:tcPr>
            <w:tcW w:w="3402" w:type="dxa"/>
            <w:tcBorders>
              <w:top w:val="single" w:sz="4" w:space="0" w:color="365F91"/>
              <w:bottom w:val="single" w:sz="4" w:space="0" w:color="365F91"/>
            </w:tcBorders>
            <w:shd w:val="clear" w:color="auto" w:fill="auto"/>
          </w:tcPr>
          <w:p w14:paraId="1FAB1530" w14:textId="77777777" w:rsidR="00A05AC8" w:rsidRPr="00256982" w:rsidRDefault="00A05AC8" w:rsidP="00B7783F">
            <w:pPr>
              <w:pStyle w:val="TableText"/>
            </w:pPr>
            <w:r w:rsidRPr="00256982">
              <w:t xml:space="preserve">Correction of an error. </w:t>
            </w:r>
          </w:p>
        </w:tc>
      </w:tr>
      <w:tr w:rsidR="00A05AC8" w:rsidRPr="00256982" w14:paraId="65A3FFDF" w14:textId="77777777" w:rsidTr="00B7783F">
        <w:tc>
          <w:tcPr>
            <w:tcW w:w="3402" w:type="dxa"/>
            <w:tcBorders>
              <w:top w:val="single" w:sz="4" w:space="0" w:color="365F91"/>
              <w:bottom w:val="single" w:sz="4" w:space="0" w:color="365F91"/>
            </w:tcBorders>
            <w:shd w:val="clear" w:color="auto" w:fill="auto"/>
          </w:tcPr>
          <w:p w14:paraId="3FBC69A6" w14:textId="77777777" w:rsidR="00A05AC8" w:rsidRPr="00256982" w:rsidRDefault="00A05AC8" w:rsidP="00B7783F">
            <w:pPr>
              <w:pStyle w:val="TableText"/>
            </w:pPr>
            <w:r w:rsidRPr="00256982">
              <w:t xml:space="preserve">Emissions of HFCs from fire protection have been revised down slightly due to survey results indicating previously unreported exports of fire protections equipment. </w:t>
            </w:r>
          </w:p>
        </w:tc>
        <w:tc>
          <w:tcPr>
            <w:tcW w:w="1701" w:type="dxa"/>
            <w:tcBorders>
              <w:top w:val="single" w:sz="4" w:space="0" w:color="365F91"/>
              <w:bottom w:val="single" w:sz="4" w:space="0" w:color="365F91"/>
            </w:tcBorders>
            <w:shd w:val="clear" w:color="auto" w:fill="auto"/>
          </w:tcPr>
          <w:p w14:paraId="3A2DE211" w14:textId="77777777" w:rsidR="00A05AC8" w:rsidRPr="00256982" w:rsidRDefault="00A05AC8" w:rsidP="00B7783F">
            <w:pPr>
              <w:pStyle w:val="TableText"/>
            </w:pPr>
            <w:r w:rsidRPr="00256982">
              <w:t>Accuracy</w:t>
            </w:r>
          </w:p>
        </w:tc>
        <w:tc>
          <w:tcPr>
            <w:tcW w:w="3402" w:type="dxa"/>
            <w:tcBorders>
              <w:top w:val="single" w:sz="4" w:space="0" w:color="365F91"/>
              <w:bottom w:val="single" w:sz="4" w:space="0" w:color="365F91"/>
            </w:tcBorders>
            <w:shd w:val="clear" w:color="auto" w:fill="auto"/>
          </w:tcPr>
          <w:p w14:paraId="0D468689" w14:textId="77777777" w:rsidR="00A05AC8" w:rsidRPr="00256982" w:rsidRDefault="00A05AC8" w:rsidP="00B7783F">
            <w:pPr>
              <w:pStyle w:val="TableText"/>
            </w:pPr>
          </w:p>
        </w:tc>
      </w:tr>
    </w:tbl>
    <w:p w14:paraId="5F9C0080" w14:textId="77777777" w:rsidR="00A05AC8" w:rsidRPr="00256982" w:rsidRDefault="00A05AC8" w:rsidP="00A05AC8">
      <w:pPr>
        <w:pStyle w:val="Heading3"/>
        <w:spacing w:before="440"/>
      </w:pPr>
      <w:r w:rsidRPr="00256982">
        <w:t>10.1.3</w:t>
      </w:r>
      <w:r w:rsidRPr="00256982">
        <w:tab/>
        <w:t>Agriculture</w:t>
      </w:r>
    </w:p>
    <w:p w14:paraId="7ECC1D51" w14:textId="5BD2825D" w:rsidR="00A05AC8" w:rsidRPr="00256982" w:rsidRDefault="00A05AC8" w:rsidP="00A05AC8">
      <w:pPr>
        <w:pStyle w:val="BodyText"/>
      </w:pPr>
      <w:r w:rsidRPr="00256982">
        <w:t>Improvements and recalculations made to the Agriculture sector have resulted in a 0.9 per cent (324.7 kt CO</w:t>
      </w:r>
      <w:r w:rsidRPr="00256982">
        <w:rPr>
          <w:vertAlign w:val="subscript"/>
        </w:rPr>
        <w:t>2</w:t>
      </w:r>
      <w:r w:rsidRPr="00256982">
        <w:t>-e) decrease in estimated agricultural emissions in 1990 and a 0.5 per cent (198.5 kt CO</w:t>
      </w:r>
      <w:r w:rsidRPr="00256982">
        <w:rPr>
          <w:vertAlign w:val="subscript"/>
        </w:rPr>
        <w:t>2</w:t>
      </w:r>
      <w:r w:rsidRPr="00256982">
        <w:t>-e) increase in agricultural emissions in 2016, as shown in figure 10.1.4.</w:t>
      </w:r>
    </w:p>
    <w:p w14:paraId="778D9F10" w14:textId="77777777" w:rsidR="00A05AC8" w:rsidRPr="00256982" w:rsidRDefault="00A05AC8" w:rsidP="00A05AC8">
      <w:pPr>
        <w:pStyle w:val="Figure"/>
      </w:pPr>
      <w:bookmarkStart w:id="2514" w:name="_Toc414531639"/>
      <w:bookmarkStart w:id="2515" w:name="_Toc447275723"/>
      <w:bookmarkStart w:id="2516" w:name="_Toc481752042"/>
      <w:bookmarkStart w:id="2517" w:name="_Toc511116996"/>
      <w:bookmarkStart w:id="2518" w:name="_Toc5269731"/>
      <w:r w:rsidRPr="00256982">
        <w:t>Figure 10.1.4</w:t>
      </w:r>
      <w:r w:rsidRPr="00256982">
        <w:tab/>
        <w:t>Effect of recalculations on New Zealand’s Agriculture sector from 1990 to 201</w:t>
      </w:r>
      <w:bookmarkEnd w:id="2514"/>
      <w:bookmarkEnd w:id="2515"/>
      <w:bookmarkEnd w:id="2516"/>
      <w:bookmarkEnd w:id="2517"/>
      <w:r w:rsidRPr="00256982">
        <w:t>6</w:t>
      </w:r>
      <w:bookmarkEnd w:id="2518"/>
    </w:p>
    <w:p w14:paraId="0F1C25B9" w14:textId="0995A06C" w:rsidR="00A05AC8" w:rsidRPr="00256982" w:rsidRDefault="00590491" w:rsidP="00A05AC8">
      <w:r>
        <w:rPr>
          <w:lang w:eastAsia="en-NZ"/>
        </w:rPr>
        <w:pict w14:anchorId="04236CD1">
          <v:shape id="_x0000_i1167" type="#_x0000_t75" style="width:396.75pt;height:192pt;visibility:visible" o:gfxdata="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">
            <v:imagedata r:id="rId254" o:title="" croptop="1917f" cropbottom="3395f" cropright="-9f"/>
            <o:lock v:ext="edit" aspectratio="f"/>
          </v:shape>
        </w:pict>
      </w:r>
    </w:p>
    <w:p w14:paraId="45DFD5E4" w14:textId="77777777" w:rsidR="00A05AC8" w:rsidRPr="00256982" w:rsidRDefault="00A05AC8" w:rsidP="00A05AC8">
      <w:pPr>
        <w:pStyle w:val="BodyText"/>
      </w:pPr>
      <w:r w:rsidRPr="00256982">
        <w:t>Two improvements and two corrections were applied to the 2019 agriculture inventory:</w:t>
      </w:r>
    </w:p>
    <w:p w14:paraId="371D61B2" w14:textId="77777777" w:rsidR="00A05AC8" w:rsidRPr="00256982" w:rsidRDefault="00A05AC8" w:rsidP="00A05AC8">
      <w:pPr>
        <w:pStyle w:val="Bullet"/>
        <w:numPr>
          <w:ilvl w:val="0"/>
          <w:numId w:val="8"/>
        </w:numPr>
      </w:pPr>
      <w:r w:rsidRPr="00256982">
        <w:t>an improvement in the activity data used to estimate the proportion of dairy excreta entering anaerobic lagoons (see section 5.3.5 for more information)</w:t>
      </w:r>
    </w:p>
    <w:p w14:paraId="7D39C9A5" w14:textId="77777777" w:rsidR="00A05AC8" w:rsidRPr="00256982" w:rsidRDefault="00A05AC8" w:rsidP="00A05AC8">
      <w:pPr>
        <w:pStyle w:val="Bullet"/>
        <w:numPr>
          <w:ilvl w:val="0"/>
          <w:numId w:val="8"/>
        </w:numPr>
      </w:pPr>
      <w:r w:rsidRPr="00256982">
        <w:t>an improvement of the methodology and equations used to estimate the proportion of nitrogen excretion partitioned between dung and urine (see the section 5.5.5 for more information)</w:t>
      </w:r>
    </w:p>
    <w:p w14:paraId="2CF9B2EF" w14:textId="4C37FDEA" w:rsidR="00A05AC8" w:rsidRPr="00256982" w:rsidRDefault="00A05AC8" w:rsidP="00A05AC8">
      <w:pPr>
        <w:pStyle w:val="Bullet"/>
        <w:numPr>
          <w:ilvl w:val="0"/>
          <w:numId w:val="8"/>
        </w:numPr>
      </w:pPr>
      <w:r w:rsidRPr="00256982">
        <w:t>a correction to the equations used to estimate metabolisable energy requirements for dairy cattle, non-dairy cattle, sheep and deer (see below for more information)</w:t>
      </w:r>
    </w:p>
    <w:p w14:paraId="02523533" w14:textId="77777777" w:rsidR="00A05AC8" w:rsidRPr="00256982" w:rsidRDefault="00A05AC8" w:rsidP="00A05AC8">
      <w:pPr>
        <w:pStyle w:val="Bullet"/>
        <w:numPr>
          <w:ilvl w:val="0"/>
          <w:numId w:val="8"/>
        </w:numPr>
      </w:pPr>
      <w:r w:rsidRPr="00256982">
        <w:t>minor corrections to the equations that estimate monthly population changes for sheep and deer (see below for more information).</w:t>
      </w:r>
    </w:p>
    <w:p w14:paraId="26CF85C0" w14:textId="77777777" w:rsidR="00A05AC8" w:rsidRPr="00256982" w:rsidRDefault="00A05AC8" w:rsidP="00F90B5C">
      <w:pPr>
        <w:pStyle w:val="BodyText"/>
      </w:pPr>
      <w:r w:rsidRPr="00256982">
        <w:t xml:space="preserve">Emissions estimates from livestock have also been updated using the latest available activity data from the sources described in chapter 5, section 5.1.4. In some cases, provisional data entered for 2016 have been replaced with final data. </w:t>
      </w:r>
    </w:p>
    <w:p w14:paraId="024ACE47" w14:textId="77777777" w:rsidR="00A05AC8" w:rsidRPr="00256982" w:rsidRDefault="00A05AC8" w:rsidP="00F90B5C">
      <w:pPr>
        <w:pStyle w:val="Heading5"/>
      </w:pPr>
      <w:r w:rsidRPr="00256982">
        <w:t>Revised activity data on dairy effluent management</w:t>
      </w:r>
    </w:p>
    <w:p w14:paraId="0AD834C4" w14:textId="4936838A" w:rsidR="00A05AC8" w:rsidRPr="00256982" w:rsidRDefault="00A05AC8" w:rsidP="00A05AC8">
      <w:pPr>
        <w:pStyle w:val="BodyText"/>
      </w:pPr>
      <w:r w:rsidRPr="00256982">
        <w:t>In 2017, New Zealand reviewed activity data on the use of different types of dairy effluent infrastructure, updating work by Ledgard and Brier (unpublished). The new research by Rollo,</w:t>
      </w:r>
      <w:r w:rsidR="00F90B5C" w:rsidRPr="00256982">
        <w:t> </w:t>
      </w:r>
      <w:r w:rsidRPr="00256982">
        <w:t>Ledgard and Longhurst (unpublished) has resulted in updated activity data for the proportion of dairy excreta entering anaerobic lagoons and has been incorporated into the 2019 inventory submission.</w:t>
      </w:r>
    </w:p>
    <w:p w14:paraId="236CF4CF" w14:textId="77777777" w:rsidR="00A05AC8" w:rsidRPr="00256982" w:rsidRDefault="00A05AC8" w:rsidP="00A05AC8">
      <w:pPr>
        <w:pStyle w:val="BodyText"/>
      </w:pPr>
      <w:r w:rsidRPr="00256982">
        <w:t>Table 10.1.5 shows the effect of the revised activity data on total agricultural emissions. After the correction, estimated emissions from the Agriculture sector in 1990 decreased slightly by 9.8 kt CO</w:t>
      </w:r>
      <w:r w:rsidRPr="00256982">
        <w:rPr>
          <w:vertAlign w:val="subscript"/>
        </w:rPr>
        <w:t>2</w:t>
      </w:r>
      <w:r w:rsidRPr="00256982">
        <w:t>-e (0.03 per cent) while estimated emissions in 2017 increased by 285.0 kt CO</w:t>
      </w:r>
      <w:r w:rsidRPr="00256982">
        <w:rPr>
          <w:vertAlign w:val="subscript"/>
        </w:rPr>
        <w:t>2</w:t>
      </w:r>
      <w:r w:rsidRPr="00256982">
        <w:t>-e (0.7 per cent). The increase in the use of effluent infrastructures between 1990 and 2017 helps explain the difference between the 1990 change and the 2017 change.</w:t>
      </w:r>
    </w:p>
    <w:p w14:paraId="25F87D1D" w14:textId="77777777" w:rsidR="00A05AC8" w:rsidRPr="00256982" w:rsidRDefault="00A05AC8" w:rsidP="00A05AC8">
      <w:pPr>
        <w:pStyle w:val="BodyText"/>
      </w:pPr>
      <w:r w:rsidRPr="00256982">
        <w:t>More details on this revised activity data and its effect on estimated emissions are in chapter 5, section 5.3.2.</w:t>
      </w:r>
    </w:p>
    <w:p w14:paraId="48E4768C" w14:textId="67C97D46" w:rsidR="00A05AC8" w:rsidRPr="00256982" w:rsidRDefault="00A05AC8" w:rsidP="00A05AC8">
      <w:pPr>
        <w:pStyle w:val="Table"/>
      </w:pPr>
      <w:bookmarkStart w:id="2519" w:name="_Toc5269613"/>
      <w:r w:rsidRPr="00256982">
        <w:t>Table 10.1.5</w:t>
      </w:r>
      <w:r w:rsidRPr="00256982">
        <w:tab/>
        <w:t>Effect of revised dairy effluent management activity data on agricultural</w:t>
      </w:r>
      <w:r w:rsidR="00E82F9A" w:rsidRPr="00256982">
        <w:t xml:space="preserve"> </w:t>
      </w:r>
      <w:r w:rsidR="007F5915" w:rsidRPr="00256982">
        <w:br/>
      </w:r>
      <w:r w:rsidRPr="00256982">
        <w:t>emissions estimates, 1990 to 2017</w:t>
      </w:r>
      <w:bookmarkEnd w:id="2519"/>
    </w:p>
    <w:tbl>
      <w:tblPr>
        <w:tblW w:w="8562" w:type="dxa"/>
        <w:tblInd w:w="108" w:type="dxa"/>
        <w:tblBorders>
          <w:top w:val="single" w:sz="4" w:space="0" w:color="365F91"/>
          <w:bottom w:val="single" w:sz="4" w:space="0" w:color="365F91"/>
          <w:insideH w:val="single" w:sz="4" w:space="0" w:color="365F91"/>
        </w:tblBorders>
        <w:tblCellMar>
          <w:right w:w="85" w:type="dxa"/>
        </w:tblCellMar>
        <w:tblLook w:val="0000" w:firstRow="0" w:lastRow="0" w:firstColumn="0" w:lastColumn="0" w:noHBand="0" w:noVBand="0"/>
      </w:tblPr>
      <w:tblGrid>
        <w:gridCol w:w="1611"/>
        <w:gridCol w:w="2239"/>
        <w:gridCol w:w="911"/>
        <w:gridCol w:w="910"/>
        <w:gridCol w:w="1445"/>
        <w:gridCol w:w="1446"/>
      </w:tblGrid>
      <w:tr w:rsidR="00A05AC8" w:rsidRPr="00256982" w14:paraId="543AB41E" w14:textId="77777777" w:rsidTr="007F5915">
        <w:trPr>
          <w:trHeight w:val="514"/>
          <w:tblHeader/>
        </w:trPr>
        <w:tc>
          <w:tcPr>
            <w:tcW w:w="3850" w:type="dxa"/>
            <w:gridSpan w:val="2"/>
            <w:vMerge w:val="restart"/>
            <w:shd w:val="clear" w:color="auto" w:fill="365F91"/>
            <w:vAlign w:val="bottom"/>
          </w:tcPr>
          <w:p w14:paraId="7FA4B31B" w14:textId="77777777" w:rsidR="00A05AC8" w:rsidRPr="00256982" w:rsidRDefault="00A05AC8" w:rsidP="00B7783F">
            <w:pPr>
              <w:pStyle w:val="TableTextBold"/>
              <w:keepNext/>
              <w:rPr>
                <w:rFonts w:cs="Arial"/>
                <w:noProof w:val="0"/>
                <w:color w:val="FFFFFF"/>
                <w:szCs w:val="16"/>
              </w:rPr>
            </w:pPr>
          </w:p>
        </w:tc>
        <w:tc>
          <w:tcPr>
            <w:tcW w:w="1821" w:type="dxa"/>
            <w:gridSpan w:val="2"/>
            <w:shd w:val="clear" w:color="auto" w:fill="365F91"/>
            <w:vAlign w:val="bottom"/>
          </w:tcPr>
          <w:p w14:paraId="6C781E06" w14:textId="77777777" w:rsidR="00A05AC8" w:rsidRPr="00256982" w:rsidRDefault="00A05AC8" w:rsidP="00B7783F">
            <w:pPr>
              <w:pStyle w:val="TableTextBold"/>
              <w:jc w:val="center"/>
              <w:rPr>
                <w:rFonts w:cs="Arial"/>
                <w:noProof w:val="0"/>
                <w:color w:val="FFFFFF"/>
              </w:rPr>
            </w:pPr>
          </w:p>
        </w:tc>
        <w:tc>
          <w:tcPr>
            <w:tcW w:w="1445" w:type="dxa"/>
            <w:vMerge w:val="restart"/>
            <w:shd w:val="clear" w:color="auto" w:fill="365F91"/>
            <w:vAlign w:val="bottom"/>
          </w:tcPr>
          <w:p w14:paraId="5724B8E6" w14:textId="77777777" w:rsidR="00A05AC8" w:rsidRPr="00256982" w:rsidRDefault="00A05AC8" w:rsidP="00B7783F">
            <w:pPr>
              <w:pStyle w:val="TableTextBold"/>
              <w:jc w:val="center"/>
              <w:rPr>
                <w:rFonts w:cs="Arial"/>
                <w:noProof w:val="0"/>
                <w:color w:val="FFFFFF"/>
                <w:szCs w:val="16"/>
              </w:rPr>
            </w:pPr>
            <w:r w:rsidRPr="00256982">
              <w:rPr>
                <w:rFonts w:cs="Arial"/>
                <w:noProof w:val="0"/>
                <w:color w:val="FFFFFF"/>
                <w:szCs w:val="16"/>
              </w:rPr>
              <w:t>Change in emission outputs between 1990 and 2017 (kt CO</w:t>
            </w:r>
            <w:r w:rsidRPr="00256982">
              <w:rPr>
                <w:rFonts w:cs="Arial"/>
                <w:noProof w:val="0"/>
                <w:color w:val="FFFFFF"/>
                <w:szCs w:val="16"/>
                <w:vertAlign w:val="subscript"/>
              </w:rPr>
              <w:t>2</w:t>
            </w:r>
            <w:r w:rsidRPr="00256982">
              <w:rPr>
                <w:rFonts w:cs="Arial"/>
                <w:noProof w:val="0"/>
                <w:color w:val="FFFFFF"/>
                <w:szCs w:val="16"/>
              </w:rPr>
              <w:t xml:space="preserve">-e) </w:t>
            </w:r>
          </w:p>
        </w:tc>
        <w:tc>
          <w:tcPr>
            <w:tcW w:w="1446" w:type="dxa"/>
            <w:vMerge w:val="restart"/>
            <w:shd w:val="clear" w:color="auto" w:fill="365F91"/>
            <w:vAlign w:val="bottom"/>
          </w:tcPr>
          <w:p w14:paraId="36D63EF9" w14:textId="77777777" w:rsidR="00A05AC8" w:rsidRPr="00256982" w:rsidRDefault="00A05AC8" w:rsidP="00B7783F">
            <w:pPr>
              <w:pStyle w:val="TableTextBold"/>
              <w:jc w:val="center"/>
              <w:rPr>
                <w:rFonts w:cs="Arial"/>
                <w:noProof w:val="0"/>
                <w:color w:val="FFFFFF"/>
                <w:szCs w:val="16"/>
              </w:rPr>
            </w:pPr>
            <w:r w:rsidRPr="00256982">
              <w:rPr>
                <w:rFonts w:cs="Arial"/>
                <w:noProof w:val="0"/>
                <w:color w:val="FFFFFF"/>
                <w:szCs w:val="16"/>
              </w:rPr>
              <w:t>Percentage change in emission outputs between 1990 and 2017</w:t>
            </w:r>
          </w:p>
        </w:tc>
      </w:tr>
      <w:tr w:rsidR="00A05AC8" w:rsidRPr="00256982" w14:paraId="416A478C" w14:textId="77777777" w:rsidTr="007F5915">
        <w:trPr>
          <w:trHeight w:val="513"/>
          <w:tblHeader/>
        </w:trPr>
        <w:tc>
          <w:tcPr>
            <w:tcW w:w="3850" w:type="dxa"/>
            <w:gridSpan w:val="2"/>
            <w:vMerge/>
            <w:shd w:val="clear" w:color="auto" w:fill="365F91"/>
            <w:vAlign w:val="bottom"/>
          </w:tcPr>
          <w:p w14:paraId="6B1CBEAF" w14:textId="77777777" w:rsidR="00A05AC8" w:rsidRPr="00256982" w:rsidRDefault="00A05AC8" w:rsidP="00B7783F">
            <w:pPr>
              <w:pStyle w:val="TableTextBold"/>
              <w:keepNext/>
              <w:rPr>
                <w:rFonts w:cs="Arial"/>
                <w:noProof w:val="0"/>
                <w:color w:val="FFFFFF"/>
                <w:szCs w:val="16"/>
              </w:rPr>
            </w:pPr>
          </w:p>
        </w:tc>
        <w:tc>
          <w:tcPr>
            <w:tcW w:w="911" w:type="dxa"/>
            <w:shd w:val="clear" w:color="auto" w:fill="365F91"/>
            <w:vAlign w:val="bottom"/>
          </w:tcPr>
          <w:p w14:paraId="48CC2CF8" w14:textId="77777777" w:rsidR="00A05AC8" w:rsidRPr="00256982" w:rsidRDefault="00A05AC8" w:rsidP="00B7783F">
            <w:pPr>
              <w:pStyle w:val="TableTextBold"/>
              <w:keepNext/>
              <w:jc w:val="center"/>
              <w:rPr>
                <w:rFonts w:cs="Arial"/>
                <w:noProof w:val="0"/>
                <w:color w:val="FFFFFF"/>
              </w:rPr>
            </w:pPr>
            <w:r w:rsidRPr="00256982">
              <w:rPr>
                <w:rFonts w:cs="Arial"/>
                <w:noProof w:val="0"/>
                <w:color w:val="FFFFFF"/>
              </w:rPr>
              <w:t>1990</w:t>
            </w:r>
          </w:p>
        </w:tc>
        <w:tc>
          <w:tcPr>
            <w:tcW w:w="910" w:type="dxa"/>
            <w:shd w:val="clear" w:color="auto" w:fill="365F91"/>
            <w:vAlign w:val="bottom"/>
          </w:tcPr>
          <w:p w14:paraId="5BE6076D" w14:textId="77777777" w:rsidR="00A05AC8" w:rsidRPr="00256982" w:rsidRDefault="00A05AC8" w:rsidP="00B7783F">
            <w:pPr>
              <w:pStyle w:val="TableTextBold"/>
              <w:jc w:val="center"/>
              <w:rPr>
                <w:rFonts w:cs="Arial"/>
                <w:noProof w:val="0"/>
                <w:color w:val="FFFFFF"/>
              </w:rPr>
            </w:pPr>
            <w:r w:rsidRPr="00256982">
              <w:rPr>
                <w:rFonts w:cs="Arial"/>
                <w:noProof w:val="0"/>
                <w:color w:val="FFFFFF"/>
              </w:rPr>
              <w:t>2017</w:t>
            </w:r>
          </w:p>
        </w:tc>
        <w:tc>
          <w:tcPr>
            <w:tcW w:w="1445" w:type="dxa"/>
            <w:vMerge/>
            <w:shd w:val="clear" w:color="auto" w:fill="365F91"/>
            <w:vAlign w:val="bottom"/>
          </w:tcPr>
          <w:p w14:paraId="22B7B891" w14:textId="77777777" w:rsidR="00A05AC8" w:rsidRPr="00256982" w:rsidRDefault="00A05AC8" w:rsidP="00B7783F">
            <w:pPr>
              <w:pStyle w:val="TableTextBold"/>
              <w:jc w:val="center"/>
              <w:rPr>
                <w:rFonts w:cs="Arial"/>
                <w:noProof w:val="0"/>
                <w:color w:val="FFFFFF"/>
                <w:szCs w:val="16"/>
              </w:rPr>
            </w:pPr>
          </w:p>
        </w:tc>
        <w:tc>
          <w:tcPr>
            <w:tcW w:w="1446" w:type="dxa"/>
            <w:vMerge/>
            <w:shd w:val="clear" w:color="auto" w:fill="365F91"/>
            <w:vAlign w:val="bottom"/>
          </w:tcPr>
          <w:p w14:paraId="7D304F97" w14:textId="77777777" w:rsidR="00A05AC8" w:rsidRPr="00256982" w:rsidRDefault="00A05AC8" w:rsidP="00B7783F">
            <w:pPr>
              <w:pStyle w:val="TableTextBold"/>
              <w:jc w:val="center"/>
              <w:rPr>
                <w:rFonts w:cs="Arial"/>
                <w:noProof w:val="0"/>
                <w:color w:val="FFFFFF"/>
                <w:szCs w:val="16"/>
              </w:rPr>
            </w:pPr>
          </w:p>
        </w:tc>
      </w:tr>
      <w:tr w:rsidR="00A05AC8" w:rsidRPr="00256982" w14:paraId="7EE2C558" w14:textId="77777777" w:rsidTr="007F5915">
        <w:trPr>
          <w:trHeight w:val="454"/>
        </w:trPr>
        <w:tc>
          <w:tcPr>
            <w:tcW w:w="1611" w:type="dxa"/>
            <w:vMerge w:val="restart"/>
            <w:vAlign w:val="center"/>
          </w:tcPr>
          <w:p w14:paraId="25478AB8" w14:textId="77777777" w:rsidR="00A05AC8" w:rsidRPr="00256982" w:rsidRDefault="00A05AC8" w:rsidP="00B7783F">
            <w:pPr>
              <w:pStyle w:val="TableText"/>
              <w:keepNext/>
            </w:pPr>
            <w:r w:rsidRPr="00256982">
              <w:t>Total emissions from Agriculture category (kt CO</w:t>
            </w:r>
            <w:r w:rsidRPr="00256982">
              <w:rPr>
                <w:vertAlign w:val="subscript"/>
              </w:rPr>
              <w:t>2</w:t>
            </w:r>
            <w:r w:rsidRPr="00256982">
              <w:t>-e)</w:t>
            </w:r>
          </w:p>
        </w:tc>
        <w:tc>
          <w:tcPr>
            <w:tcW w:w="2239" w:type="dxa"/>
          </w:tcPr>
          <w:p w14:paraId="44A18BE9" w14:textId="77777777" w:rsidR="00A05AC8" w:rsidRPr="00256982" w:rsidRDefault="00A05AC8" w:rsidP="00B7783F">
            <w:pPr>
              <w:pStyle w:val="TableText"/>
              <w:keepNext/>
            </w:pPr>
            <w:r w:rsidRPr="00256982">
              <w:t xml:space="preserve">2019 (1990–2017) emissions estimate </w:t>
            </w:r>
            <w:r w:rsidRPr="00256982">
              <w:rPr>
                <w:i/>
              </w:rPr>
              <w:t>with previous</w:t>
            </w:r>
            <w:r w:rsidRPr="00256982">
              <w:t xml:space="preserve"> activity data </w:t>
            </w:r>
          </w:p>
        </w:tc>
        <w:tc>
          <w:tcPr>
            <w:tcW w:w="911" w:type="dxa"/>
            <w:vAlign w:val="center"/>
          </w:tcPr>
          <w:p w14:paraId="04814609" w14:textId="77777777" w:rsidR="00A05AC8" w:rsidRPr="00256982" w:rsidRDefault="00A05AC8" w:rsidP="00B7783F">
            <w:pPr>
              <w:pStyle w:val="TableText"/>
              <w:keepNext/>
              <w:jc w:val="center"/>
              <w:rPr>
                <w:rFonts w:cs="Arial"/>
              </w:rPr>
            </w:pPr>
            <w:r w:rsidRPr="00256982">
              <w:t>34,267.1</w:t>
            </w:r>
          </w:p>
        </w:tc>
        <w:tc>
          <w:tcPr>
            <w:tcW w:w="910" w:type="dxa"/>
            <w:vAlign w:val="center"/>
          </w:tcPr>
          <w:p w14:paraId="6E687952" w14:textId="77777777" w:rsidR="00A05AC8" w:rsidRPr="00256982" w:rsidRDefault="00A05AC8" w:rsidP="00B7783F">
            <w:pPr>
              <w:pStyle w:val="TableText"/>
              <w:jc w:val="center"/>
              <w:rPr>
                <w:rFonts w:cs="Arial"/>
              </w:rPr>
            </w:pPr>
            <w:r w:rsidRPr="00256982">
              <w:t>38,595.7</w:t>
            </w:r>
          </w:p>
        </w:tc>
        <w:tc>
          <w:tcPr>
            <w:tcW w:w="1445" w:type="dxa"/>
            <w:vAlign w:val="center"/>
          </w:tcPr>
          <w:p w14:paraId="39032584" w14:textId="77777777" w:rsidR="00A05AC8" w:rsidRPr="00256982" w:rsidRDefault="00A05AC8" w:rsidP="00B7783F">
            <w:pPr>
              <w:pStyle w:val="TableText"/>
              <w:jc w:val="center"/>
              <w:rPr>
                <w:rFonts w:cs="Arial"/>
              </w:rPr>
            </w:pPr>
            <w:r w:rsidRPr="00256982">
              <w:t>4,328.7</w:t>
            </w:r>
          </w:p>
        </w:tc>
        <w:tc>
          <w:tcPr>
            <w:tcW w:w="1446" w:type="dxa"/>
            <w:vAlign w:val="center"/>
          </w:tcPr>
          <w:p w14:paraId="48C313FE" w14:textId="77777777" w:rsidR="00A05AC8" w:rsidRPr="00256982" w:rsidRDefault="00A05AC8" w:rsidP="00B7783F">
            <w:pPr>
              <w:pStyle w:val="TableText"/>
              <w:jc w:val="center"/>
              <w:rPr>
                <w:rFonts w:cs="Arial"/>
              </w:rPr>
            </w:pPr>
            <w:r w:rsidRPr="00256982">
              <w:t>12.6</w:t>
            </w:r>
          </w:p>
        </w:tc>
      </w:tr>
      <w:tr w:rsidR="00A05AC8" w:rsidRPr="00256982" w14:paraId="345C7DC4" w14:textId="77777777" w:rsidTr="007F5915">
        <w:trPr>
          <w:trHeight w:val="454"/>
        </w:trPr>
        <w:tc>
          <w:tcPr>
            <w:tcW w:w="1611" w:type="dxa"/>
            <w:vMerge/>
          </w:tcPr>
          <w:p w14:paraId="5CB9CB82" w14:textId="77777777" w:rsidR="00A05AC8" w:rsidRPr="00256982" w:rsidRDefault="00A05AC8" w:rsidP="00B7783F">
            <w:pPr>
              <w:pStyle w:val="TableText"/>
              <w:keepNext/>
            </w:pPr>
          </w:p>
        </w:tc>
        <w:tc>
          <w:tcPr>
            <w:tcW w:w="2239" w:type="dxa"/>
          </w:tcPr>
          <w:p w14:paraId="5EC134E2" w14:textId="77777777" w:rsidR="00A05AC8" w:rsidRPr="00256982" w:rsidRDefault="00A05AC8" w:rsidP="00B7783F">
            <w:pPr>
              <w:pStyle w:val="TableText"/>
              <w:keepNext/>
            </w:pPr>
            <w:r w:rsidRPr="00256982">
              <w:t xml:space="preserve">2019 (1990–2017) emissions estimate </w:t>
            </w:r>
            <w:r w:rsidRPr="00256982">
              <w:rPr>
                <w:i/>
              </w:rPr>
              <w:t>with new</w:t>
            </w:r>
            <w:r w:rsidRPr="00256982">
              <w:t xml:space="preserve"> activity data</w:t>
            </w:r>
          </w:p>
        </w:tc>
        <w:tc>
          <w:tcPr>
            <w:tcW w:w="911" w:type="dxa"/>
            <w:vAlign w:val="center"/>
          </w:tcPr>
          <w:p w14:paraId="3516A934" w14:textId="77777777" w:rsidR="00A05AC8" w:rsidRPr="00256982" w:rsidRDefault="00A05AC8" w:rsidP="00B7783F">
            <w:pPr>
              <w:pStyle w:val="TableText"/>
              <w:keepNext/>
              <w:jc w:val="center"/>
              <w:rPr>
                <w:rFonts w:cs="Arial"/>
              </w:rPr>
            </w:pPr>
            <w:r w:rsidRPr="00256982">
              <w:t>34,257.2</w:t>
            </w:r>
          </w:p>
        </w:tc>
        <w:tc>
          <w:tcPr>
            <w:tcW w:w="910" w:type="dxa"/>
            <w:vAlign w:val="center"/>
          </w:tcPr>
          <w:p w14:paraId="41660755" w14:textId="77777777" w:rsidR="00A05AC8" w:rsidRPr="00256982" w:rsidRDefault="00A05AC8" w:rsidP="00B7783F">
            <w:pPr>
              <w:pStyle w:val="TableText"/>
              <w:jc w:val="center"/>
              <w:rPr>
                <w:rFonts w:cs="Arial"/>
              </w:rPr>
            </w:pPr>
            <w:r w:rsidRPr="00256982">
              <w:t>38,880.7</w:t>
            </w:r>
          </w:p>
        </w:tc>
        <w:tc>
          <w:tcPr>
            <w:tcW w:w="1445" w:type="dxa"/>
            <w:vAlign w:val="center"/>
          </w:tcPr>
          <w:p w14:paraId="023420BF" w14:textId="77777777" w:rsidR="00A05AC8" w:rsidRPr="00256982" w:rsidRDefault="00A05AC8" w:rsidP="00B7783F">
            <w:pPr>
              <w:pStyle w:val="TableText"/>
              <w:jc w:val="center"/>
              <w:rPr>
                <w:rFonts w:cs="Arial"/>
              </w:rPr>
            </w:pPr>
            <w:r w:rsidRPr="00256982">
              <w:t>4,623.5</w:t>
            </w:r>
          </w:p>
        </w:tc>
        <w:tc>
          <w:tcPr>
            <w:tcW w:w="1446" w:type="dxa"/>
            <w:vAlign w:val="center"/>
          </w:tcPr>
          <w:p w14:paraId="24D90333" w14:textId="77777777" w:rsidR="00A05AC8" w:rsidRPr="00256982" w:rsidRDefault="00A05AC8" w:rsidP="00B7783F">
            <w:pPr>
              <w:pStyle w:val="TableText"/>
              <w:jc w:val="center"/>
              <w:rPr>
                <w:rFonts w:cs="Arial"/>
              </w:rPr>
            </w:pPr>
            <w:r w:rsidRPr="00256982">
              <w:t>13.5</w:t>
            </w:r>
          </w:p>
        </w:tc>
      </w:tr>
      <w:tr w:rsidR="00A05AC8" w:rsidRPr="00256982" w14:paraId="323918C2" w14:textId="77777777" w:rsidTr="007F5915">
        <w:trPr>
          <w:trHeight w:val="454"/>
        </w:trPr>
        <w:tc>
          <w:tcPr>
            <w:tcW w:w="1611" w:type="dxa"/>
            <w:vMerge/>
          </w:tcPr>
          <w:p w14:paraId="5B51A88F" w14:textId="77777777" w:rsidR="00A05AC8" w:rsidRPr="00256982" w:rsidRDefault="00A05AC8" w:rsidP="00B7783F">
            <w:pPr>
              <w:pStyle w:val="TableText"/>
              <w:keepNext/>
            </w:pPr>
          </w:p>
        </w:tc>
        <w:tc>
          <w:tcPr>
            <w:tcW w:w="2239" w:type="dxa"/>
          </w:tcPr>
          <w:p w14:paraId="66BC666A" w14:textId="77777777" w:rsidR="00A05AC8" w:rsidRPr="00256982" w:rsidRDefault="00A05AC8" w:rsidP="00B7783F">
            <w:pPr>
              <w:pStyle w:val="TableText"/>
              <w:keepNext/>
            </w:pPr>
            <w:r w:rsidRPr="00256982">
              <w:t>Difference in emissions estimates compared with current inventory</w:t>
            </w:r>
          </w:p>
        </w:tc>
        <w:tc>
          <w:tcPr>
            <w:tcW w:w="911" w:type="dxa"/>
            <w:vAlign w:val="center"/>
          </w:tcPr>
          <w:p w14:paraId="64B1E2FF" w14:textId="77777777" w:rsidR="00A05AC8" w:rsidRPr="00256982" w:rsidRDefault="00A05AC8" w:rsidP="00B7783F">
            <w:pPr>
              <w:pStyle w:val="TableText"/>
              <w:keepNext/>
              <w:jc w:val="center"/>
              <w:rPr>
                <w:rFonts w:cs="Arial"/>
              </w:rPr>
            </w:pPr>
            <w:r w:rsidRPr="00256982">
              <w:t>–9.83</w:t>
            </w:r>
          </w:p>
        </w:tc>
        <w:tc>
          <w:tcPr>
            <w:tcW w:w="910" w:type="dxa"/>
            <w:vAlign w:val="center"/>
          </w:tcPr>
          <w:p w14:paraId="175E3F75" w14:textId="77777777" w:rsidR="00A05AC8" w:rsidRPr="00256982" w:rsidRDefault="00A05AC8" w:rsidP="00B7783F">
            <w:pPr>
              <w:pStyle w:val="TableText"/>
              <w:jc w:val="center"/>
              <w:rPr>
                <w:rFonts w:cs="Arial"/>
              </w:rPr>
            </w:pPr>
            <w:r w:rsidRPr="00256982">
              <w:t>285.0</w:t>
            </w:r>
          </w:p>
        </w:tc>
        <w:tc>
          <w:tcPr>
            <w:tcW w:w="1445" w:type="dxa"/>
            <w:vAlign w:val="center"/>
          </w:tcPr>
          <w:p w14:paraId="15B537C9" w14:textId="77777777" w:rsidR="00A05AC8" w:rsidRPr="00256982" w:rsidRDefault="00A05AC8" w:rsidP="00B7783F">
            <w:pPr>
              <w:pStyle w:val="TableText"/>
              <w:jc w:val="center"/>
              <w:rPr>
                <w:rFonts w:cs="Arial"/>
              </w:rPr>
            </w:pPr>
            <w:r w:rsidRPr="00256982">
              <w:t>294.8</w:t>
            </w:r>
          </w:p>
        </w:tc>
        <w:tc>
          <w:tcPr>
            <w:tcW w:w="1446" w:type="dxa"/>
            <w:vAlign w:val="center"/>
          </w:tcPr>
          <w:p w14:paraId="6429CA0C" w14:textId="77777777" w:rsidR="00A05AC8" w:rsidRPr="00256982" w:rsidRDefault="00A05AC8" w:rsidP="00B7783F">
            <w:pPr>
              <w:pStyle w:val="TableText"/>
              <w:jc w:val="center"/>
              <w:rPr>
                <w:rFonts w:cs="Arial"/>
              </w:rPr>
            </w:pPr>
          </w:p>
        </w:tc>
      </w:tr>
      <w:tr w:rsidR="00A05AC8" w:rsidRPr="00256982" w14:paraId="232DDE99" w14:textId="77777777" w:rsidTr="007F5915">
        <w:trPr>
          <w:trHeight w:val="454"/>
        </w:trPr>
        <w:tc>
          <w:tcPr>
            <w:tcW w:w="1611" w:type="dxa"/>
            <w:vMerge/>
          </w:tcPr>
          <w:p w14:paraId="5377A19E" w14:textId="77777777" w:rsidR="00A05AC8" w:rsidRPr="00256982" w:rsidRDefault="00A05AC8" w:rsidP="00B7783F">
            <w:pPr>
              <w:pStyle w:val="TableText"/>
              <w:keepNext/>
            </w:pPr>
          </w:p>
        </w:tc>
        <w:tc>
          <w:tcPr>
            <w:tcW w:w="2239" w:type="dxa"/>
          </w:tcPr>
          <w:p w14:paraId="2F800DC1" w14:textId="77777777" w:rsidR="00A05AC8" w:rsidRPr="00256982" w:rsidRDefault="00A05AC8" w:rsidP="00B7783F">
            <w:pPr>
              <w:pStyle w:val="TableText"/>
              <w:keepNext/>
            </w:pPr>
            <w:r w:rsidRPr="00256982">
              <w:t>Percentage difference in emissions estimates</w:t>
            </w:r>
          </w:p>
        </w:tc>
        <w:tc>
          <w:tcPr>
            <w:tcW w:w="911" w:type="dxa"/>
            <w:vAlign w:val="center"/>
          </w:tcPr>
          <w:p w14:paraId="5E9C7968" w14:textId="77777777" w:rsidR="00A05AC8" w:rsidRPr="00256982" w:rsidRDefault="00A05AC8" w:rsidP="00B7783F">
            <w:pPr>
              <w:pStyle w:val="TableText"/>
              <w:keepNext/>
              <w:jc w:val="center"/>
              <w:rPr>
                <w:rFonts w:cs="Arial"/>
              </w:rPr>
            </w:pPr>
            <w:r w:rsidRPr="00256982">
              <w:t>0.03</w:t>
            </w:r>
          </w:p>
        </w:tc>
        <w:tc>
          <w:tcPr>
            <w:tcW w:w="910" w:type="dxa"/>
            <w:vAlign w:val="center"/>
          </w:tcPr>
          <w:p w14:paraId="33EA71E2" w14:textId="77777777" w:rsidR="00A05AC8" w:rsidRPr="00256982" w:rsidRDefault="00A05AC8" w:rsidP="00B7783F">
            <w:pPr>
              <w:pStyle w:val="TableText"/>
              <w:jc w:val="center"/>
              <w:rPr>
                <w:rFonts w:cs="Arial"/>
              </w:rPr>
            </w:pPr>
            <w:r w:rsidRPr="00256982">
              <w:t>0.7</w:t>
            </w:r>
          </w:p>
        </w:tc>
        <w:tc>
          <w:tcPr>
            <w:tcW w:w="1445" w:type="dxa"/>
            <w:vAlign w:val="center"/>
          </w:tcPr>
          <w:p w14:paraId="441FC28B" w14:textId="77777777" w:rsidR="00A05AC8" w:rsidRPr="00256982" w:rsidRDefault="00A05AC8" w:rsidP="00B7783F">
            <w:pPr>
              <w:pStyle w:val="TableText"/>
              <w:jc w:val="center"/>
              <w:rPr>
                <w:rFonts w:cs="Arial"/>
              </w:rPr>
            </w:pPr>
          </w:p>
        </w:tc>
        <w:tc>
          <w:tcPr>
            <w:tcW w:w="1446" w:type="dxa"/>
            <w:vAlign w:val="center"/>
          </w:tcPr>
          <w:p w14:paraId="1177275D" w14:textId="77777777" w:rsidR="00A05AC8" w:rsidRPr="00256982" w:rsidRDefault="00A05AC8" w:rsidP="00B7783F">
            <w:pPr>
              <w:pStyle w:val="TableText"/>
              <w:jc w:val="center"/>
              <w:rPr>
                <w:rFonts w:cs="Arial"/>
              </w:rPr>
            </w:pPr>
          </w:p>
        </w:tc>
      </w:tr>
    </w:tbl>
    <w:p w14:paraId="31C155D2" w14:textId="2D9504D4" w:rsidR="00A05AC8" w:rsidRPr="00256982" w:rsidRDefault="00A05AC8" w:rsidP="00F90B5C">
      <w:pPr>
        <w:pStyle w:val="Heading5"/>
        <w:spacing w:before="360"/>
      </w:pPr>
      <w:r w:rsidRPr="00256982">
        <w:t>New methodology to estimate the proportion of nitrogen excretion partitioned</w:t>
      </w:r>
      <w:r w:rsidR="007F5915" w:rsidRPr="00256982">
        <w:t> </w:t>
      </w:r>
      <w:r w:rsidRPr="00256982">
        <w:t>between</w:t>
      </w:r>
      <w:r w:rsidR="007F5915" w:rsidRPr="00256982">
        <w:t> </w:t>
      </w:r>
      <w:r w:rsidRPr="00256982">
        <w:t>dung and urine</w:t>
      </w:r>
    </w:p>
    <w:p w14:paraId="610622A4" w14:textId="77777777" w:rsidR="00A05AC8" w:rsidRPr="00256982" w:rsidRDefault="00A05AC8" w:rsidP="00A05AC8">
      <w:pPr>
        <w:pStyle w:val="BodyText"/>
        <w:rPr>
          <w:rFonts w:cs="Arial"/>
          <w:color w:val="FFFFFF"/>
          <w:spacing w:val="-2"/>
          <w:szCs w:val="16"/>
        </w:rPr>
      </w:pPr>
      <w:r w:rsidRPr="00256982">
        <w:rPr>
          <w:spacing w:val="-2"/>
        </w:rPr>
        <w:t>This change is described in more detail in chapter 5, section 5.5.5. Table 10.1.6 shows the effect of the new nitrogen excretion partitioning equations on total agricultural emissions. After the implementation of the new methodology, estimated emissions from the Agriculture sector increased slightly by 0.2 per cent (73.6 kt CO</w:t>
      </w:r>
      <w:r w:rsidRPr="00256982">
        <w:rPr>
          <w:spacing w:val="-2"/>
          <w:vertAlign w:val="subscript"/>
        </w:rPr>
        <w:t>2</w:t>
      </w:r>
      <w:r w:rsidRPr="00256982">
        <w:rPr>
          <w:spacing w:val="-2"/>
        </w:rPr>
        <w:t>-e) in 1990 and 0.1 per cent (31.2 kt CO</w:t>
      </w:r>
      <w:r w:rsidRPr="00256982">
        <w:rPr>
          <w:spacing w:val="-2"/>
          <w:vertAlign w:val="subscript"/>
        </w:rPr>
        <w:t>2</w:t>
      </w:r>
      <w:r w:rsidRPr="00256982">
        <w:rPr>
          <w:spacing w:val="-2"/>
        </w:rPr>
        <w:t>-e) in 2017.</w:t>
      </w:r>
    </w:p>
    <w:p w14:paraId="436BE71D" w14:textId="02E260D9" w:rsidR="00A05AC8" w:rsidRPr="00256982" w:rsidRDefault="00A05AC8" w:rsidP="00A05AC8">
      <w:pPr>
        <w:pStyle w:val="Table"/>
        <w:rPr>
          <w:highlight w:val="yellow"/>
        </w:rPr>
      </w:pPr>
      <w:bookmarkStart w:id="2520" w:name="_Toc5269614"/>
      <w:r w:rsidRPr="00256982">
        <w:t>Table 10.1.6</w:t>
      </w:r>
      <w:r w:rsidRPr="00256982">
        <w:tab/>
        <w:t>Effect of new nitrogen excretion partitioning methodology on agricultural emissions</w:t>
      </w:r>
      <w:r w:rsidR="007F5915" w:rsidRPr="00256982">
        <w:t> </w:t>
      </w:r>
      <w:r w:rsidRPr="00256982">
        <w:t>estimates,</w:t>
      </w:r>
      <w:r w:rsidR="007F5915" w:rsidRPr="00256982">
        <w:t> </w:t>
      </w:r>
      <w:r w:rsidRPr="00256982">
        <w:t>1990 to 2017</w:t>
      </w:r>
      <w:bookmarkEnd w:id="2520"/>
    </w:p>
    <w:tbl>
      <w:tblPr>
        <w:tblW w:w="8562" w:type="dxa"/>
        <w:tblInd w:w="108" w:type="dxa"/>
        <w:tblBorders>
          <w:top w:val="single" w:sz="4" w:space="0" w:color="365F91"/>
          <w:bottom w:val="single" w:sz="4" w:space="0" w:color="365F91"/>
          <w:insideH w:val="single" w:sz="4" w:space="0" w:color="365F91"/>
        </w:tblBorders>
        <w:tblLayout w:type="fixed"/>
        <w:tblLook w:val="0000" w:firstRow="0" w:lastRow="0" w:firstColumn="0" w:lastColumn="0" w:noHBand="0" w:noVBand="0"/>
      </w:tblPr>
      <w:tblGrid>
        <w:gridCol w:w="1726"/>
        <w:gridCol w:w="2268"/>
        <w:gridCol w:w="850"/>
        <w:gridCol w:w="851"/>
        <w:gridCol w:w="1417"/>
        <w:gridCol w:w="1450"/>
      </w:tblGrid>
      <w:tr w:rsidR="00A05AC8" w:rsidRPr="00256982" w14:paraId="7F875CEB" w14:textId="77777777" w:rsidTr="00817364">
        <w:trPr>
          <w:trHeight w:val="432"/>
          <w:tblHeader/>
        </w:trPr>
        <w:tc>
          <w:tcPr>
            <w:tcW w:w="1726" w:type="dxa"/>
            <w:vMerge w:val="restart"/>
            <w:shd w:val="clear" w:color="auto" w:fill="365F91"/>
            <w:vAlign w:val="bottom"/>
          </w:tcPr>
          <w:p w14:paraId="1D8E0ED7" w14:textId="77777777" w:rsidR="00A05AC8" w:rsidRPr="00256982" w:rsidRDefault="00A05AC8" w:rsidP="00B7783F">
            <w:pPr>
              <w:pStyle w:val="TableTextBold"/>
              <w:keepNext/>
              <w:rPr>
                <w:rFonts w:cs="Arial"/>
                <w:noProof w:val="0"/>
                <w:color w:val="FFFFFF"/>
                <w:szCs w:val="16"/>
              </w:rPr>
            </w:pPr>
          </w:p>
        </w:tc>
        <w:tc>
          <w:tcPr>
            <w:tcW w:w="2268" w:type="dxa"/>
            <w:vMerge w:val="restart"/>
            <w:shd w:val="clear" w:color="auto" w:fill="365F91"/>
            <w:vAlign w:val="bottom"/>
          </w:tcPr>
          <w:p w14:paraId="6DDC16A2" w14:textId="77777777" w:rsidR="00A05AC8" w:rsidRPr="00256982" w:rsidRDefault="00A05AC8" w:rsidP="00B7783F">
            <w:pPr>
              <w:pStyle w:val="TableTextBold"/>
              <w:keepNext/>
              <w:rPr>
                <w:rFonts w:cs="Arial"/>
                <w:noProof w:val="0"/>
                <w:color w:val="FFFFFF"/>
                <w:szCs w:val="16"/>
              </w:rPr>
            </w:pPr>
          </w:p>
        </w:tc>
        <w:tc>
          <w:tcPr>
            <w:tcW w:w="1701" w:type="dxa"/>
            <w:gridSpan w:val="2"/>
            <w:shd w:val="clear" w:color="auto" w:fill="365F91"/>
            <w:vAlign w:val="bottom"/>
          </w:tcPr>
          <w:p w14:paraId="2F5D3E76" w14:textId="77777777" w:rsidR="00A05AC8" w:rsidRPr="00256982" w:rsidRDefault="00A05AC8" w:rsidP="00B7783F">
            <w:pPr>
              <w:pStyle w:val="TableTextBold"/>
              <w:jc w:val="center"/>
              <w:rPr>
                <w:rFonts w:cs="Arial"/>
                <w:noProof w:val="0"/>
                <w:color w:val="FFFFFF"/>
              </w:rPr>
            </w:pPr>
          </w:p>
        </w:tc>
        <w:tc>
          <w:tcPr>
            <w:tcW w:w="1417" w:type="dxa"/>
            <w:vMerge w:val="restart"/>
            <w:shd w:val="clear" w:color="auto" w:fill="365F91"/>
            <w:vAlign w:val="bottom"/>
          </w:tcPr>
          <w:p w14:paraId="27320737" w14:textId="77777777" w:rsidR="00A05AC8" w:rsidRPr="00256982" w:rsidRDefault="00A05AC8" w:rsidP="00B7783F">
            <w:pPr>
              <w:pStyle w:val="TableTextBold"/>
              <w:jc w:val="center"/>
              <w:rPr>
                <w:rFonts w:cs="Arial"/>
                <w:noProof w:val="0"/>
                <w:color w:val="FFFFFF"/>
                <w:szCs w:val="16"/>
              </w:rPr>
            </w:pPr>
            <w:r w:rsidRPr="00256982">
              <w:rPr>
                <w:rFonts w:cs="Arial"/>
                <w:noProof w:val="0"/>
                <w:color w:val="FFFFFF"/>
                <w:szCs w:val="16"/>
              </w:rPr>
              <w:t xml:space="preserve">Change in emission outputs between 1990 and 2017 </w:t>
            </w:r>
            <w:r w:rsidRPr="00256982">
              <w:rPr>
                <w:rFonts w:cs="Arial"/>
                <w:noProof w:val="0"/>
                <w:color w:val="FFFFFF"/>
                <w:szCs w:val="16"/>
              </w:rPr>
              <w:br/>
              <w:t>(kt CO</w:t>
            </w:r>
            <w:r w:rsidRPr="00256982">
              <w:rPr>
                <w:rFonts w:cs="Arial"/>
                <w:noProof w:val="0"/>
                <w:color w:val="FFFFFF"/>
                <w:szCs w:val="16"/>
                <w:vertAlign w:val="subscript"/>
              </w:rPr>
              <w:t>2</w:t>
            </w:r>
            <w:r w:rsidRPr="00256982">
              <w:rPr>
                <w:rFonts w:cs="Arial"/>
                <w:noProof w:val="0"/>
                <w:color w:val="FFFFFF"/>
                <w:szCs w:val="16"/>
              </w:rPr>
              <w:t xml:space="preserve">-e) </w:t>
            </w:r>
          </w:p>
        </w:tc>
        <w:tc>
          <w:tcPr>
            <w:tcW w:w="1450" w:type="dxa"/>
            <w:vMerge w:val="restart"/>
            <w:shd w:val="clear" w:color="auto" w:fill="365F91"/>
            <w:vAlign w:val="bottom"/>
          </w:tcPr>
          <w:p w14:paraId="454B945C" w14:textId="77777777" w:rsidR="00A05AC8" w:rsidRPr="00256982" w:rsidRDefault="00A05AC8" w:rsidP="00B7783F">
            <w:pPr>
              <w:pStyle w:val="TableTextBold"/>
              <w:jc w:val="center"/>
              <w:rPr>
                <w:rFonts w:cs="Arial"/>
                <w:noProof w:val="0"/>
                <w:color w:val="FFFFFF"/>
                <w:szCs w:val="16"/>
              </w:rPr>
            </w:pPr>
            <w:r w:rsidRPr="00256982">
              <w:rPr>
                <w:rFonts w:cs="Arial"/>
                <w:noProof w:val="0"/>
                <w:color w:val="FFFFFF"/>
                <w:szCs w:val="16"/>
              </w:rPr>
              <w:t>Percentage change in emission outputs between 1990 and 2017</w:t>
            </w:r>
          </w:p>
        </w:tc>
      </w:tr>
      <w:tr w:rsidR="00A05AC8" w:rsidRPr="00256982" w14:paraId="7EF61B83" w14:textId="77777777" w:rsidTr="00817364">
        <w:trPr>
          <w:trHeight w:val="432"/>
          <w:tblHeader/>
        </w:trPr>
        <w:tc>
          <w:tcPr>
            <w:tcW w:w="1726" w:type="dxa"/>
            <w:vMerge/>
            <w:shd w:val="clear" w:color="auto" w:fill="365F91"/>
            <w:vAlign w:val="bottom"/>
          </w:tcPr>
          <w:p w14:paraId="070498DD" w14:textId="77777777" w:rsidR="00A05AC8" w:rsidRPr="00256982" w:rsidRDefault="00A05AC8" w:rsidP="00B7783F">
            <w:pPr>
              <w:pStyle w:val="TableTextBold"/>
              <w:keepNext/>
              <w:rPr>
                <w:rFonts w:cs="Arial"/>
                <w:noProof w:val="0"/>
                <w:color w:val="FFFFFF"/>
                <w:szCs w:val="16"/>
              </w:rPr>
            </w:pPr>
          </w:p>
        </w:tc>
        <w:tc>
          <w:tcPr>
            <w:tcW w:w="2268" w:type="dxa"/>
            <w:vMerge/>
            <w:shd w:val="clear" w:color="auto" w:fill="365F91"/>
            <w:vAlign w:val="bottom"/>
          </w:tcPr>
          <w:p w14:paraId="56690291" w14:textId="77777777" w:rsidR="00A05AC8" w:rsidRPr="00256982" w:rsidRDefault="00A05AC8" w:rsidP="00B7783F">
            <w:pPr>
              <w:pStyle w:val="TableTextBold"/>
              <w:keepNext/>
              <w:rPr>
                <w:rFonts w:cs="Arial"/>
                <w:noProof w:val="0"/>
                <w:color w:val="FFFFFF"/>
                <w:szCs w:val="16"/>
              </w:rPr>
            </w:pPr>
          </w:p>
        </w:tc>
        <w:tc>
          <w:tcPr>
            <w:tcW w:w="850" w:type="dxa"/>
            <w:shd w:val="clear" w:color="auto" w:fill="365F91"/>
            <w:vAlign w:val="bottom"/>
          </w:tcPr>
          <w:p w14:paraId="15945BEE" w14:textId="77777777" w:rsidR="00A05AC8" w:rsidRPr="00256982" w:rsidRDefault="00A05AC8" w:rsidP="00B7783F">
            <w:pPr>
              <w:pStyle w:val="TableTextBold"/>
              <w:keepNext/>
              <w:jc w:val="center"/>
              <w:rPr>
                <w:rFonts w:cs="Arial"/>
                <w:noProof w:val="0"/>
                <w:color w:val="FFFFFF"/>
              </w:rPr>
            </w:pPr>
            <w:r w:rsidRPr="00256982">
              <w:rPr>
                <w:rFonts w:cs="Arial"/>
                <w:noProof w:val="0"/>
                <w:color w:val="FFFFFF"/>
              </w:rPr>
              <w:t>1990</w:t>
            </w:r>
          </w:p>
        </w:tc>
        <w:tc>
          <w:tcPr>
            <w:tcW w:w="851" w:type="dxa"/>
            <w:shd w:val="clear" w:color="auto" w:fill="365F91"/>
            <w:vAlign w:val="bottom"/>
          </w:tcPr>
          <w:p w14:paraId="77977879" w14:textId="77777777" w:rsidR="00A05AC8" w:rsidRPr="00256982" w:rsidRDefault="00A05AC8" w:rsidP="00B7783F">
            <w:pPr>
              <w:pStyle w:val="TableTextBold"/>
              <w:jc w:val="center"/>
              <w:rPr>
                <w:rFonts w:cs="Arial"/>
                <w:noProof w:val="0"/>
                <w:color w:val="FFFFFF"/>
              </w:rPr>
            </w:pPr>
            <w:r w:rsidRPr="00256982">
              <w:rPr>
                <w:rFonts w:cs="Arial"/>
                <w:noProof w:val="0"/>
                <w:color w:val="FFFFFF"/>
              </w:rPr>
              <w:t>2017</w:t>
            </w:r>
          </w:p>
        </w:tc>
        <w:tc>
          <w:tcPr>
            <w:tcW w:w="1417" w:type="dxa"/>
            <w:vMerge/>
            <w:shd w:val="clear" w:color="auto" w:fill="365F91"/>
            <w:vAlign w:val="bottom"/>
          </w:tcPr>
          <w:p w14:paraId="08F5B0F2" w14:textId="77777777" w:rsidR="00A05AC8" w:rsidRPr="00256982" w:rsidRDefault="00A05AC8" w:rsidP="00B7783F">
            <w:pPr>
              <w:pStyle w:val="TableTextBold"/>
              <w:jc w:val="center"/>
              <w:rPr>
                <w:rFonts w:cs="Arial"/>
                <w:noProof w:val="0"/>
                <w:color w:val="FFFFFF"/>
                <w:szCs w:val="16"/>
              </w:rPr>
            </w:pPr>
          </w:p>
        </w:tc>
        <w:tc>
          <w:tcPr>
            <w:tcW w:w="1450" w:type="dxa"/>
            <w:vMerge/>
            <w:shd w:val="clear" w:color="auto" w:fill="365F91"/>
            <w:vAlign w:val="bottom"/>
          </w:tcPr>
          <w:p w14:paraId="5491F879" w14:textId="77777777" w:rsidR="00A05AC8" w:rsidRPr="00256982" w:rsidRDefault="00A05AC8" w:rsidP="00B7783F">
            <w:pPr>
              <w:pStyle w:val="TableTextBold"/>
              <w:jc w:val="center"/>
              <w:rPr>
                <w:rFonts w:cs="Arial"/>
                <w:noProof w:val="0"/>
                <w:color w:val="FFFFFF"/>
                <w:szCs w:val="16"/>
              </w:rPr>
            </w:pPr>
          </w:p>
        </w:tc>
      </w:tr>
      <w:tr w:rsidR="00A05AC8" w:rsidRPr="00256982" w14:paraId="41F09721" w14:textId="77777777" w:rsidTr="00817364">
        <w:trPr>
          <w:trHeight w:val="454"/>
        </w:trPr>
        <w:tc>
          <w:tcPr>
            <w:tcW w:w="1726" w:type="dxa"/>
            <w:vMerge w:val="restart"/>
            <w:vAlign w:val="center"/>
          </w:tcPr>
          <w:p w14:paraId="428A5D76" w14:textId="613587CB" w:rsidR="00A05AC8" w:rsidRPr="00256982" w:rsidRDefault="00A05AC8" w:rsidP="004B5FFC">
            <w:pPr>
              <w:pStyle w:val="TableText"/>
              <w:spacing w:after="50"/>
            </w:pPr>
            <w:r w:rsidRPr="00256982">
              <w:t>Total emissions from Agriculture category (kt</w:t>
            </w:r>
            <w:r w:rsidR="007F5915" w:rsidRPr="00256982">
              <w:t> </w:t>
            </w:r>
            <w:r w:rsidRPr="00256982">
              <w:t>CO</w:t>
            </w:r>
            <w:r w:rsidRPr="00256982">
              <w:rPr>
                <w:vertAlign w:val="subscript"/>
              </w:rPr>
              <w:t>2</w:t>
            </w:r>
            <w:r w:rsidRPr="00256982">
              <w:t>-e)</w:t>
            </w:r>
          </w:p>
        </w:tc>
        <w:tc>
          <w:tcPr>
            <w:tcW w:w="2268" w:type="dxa"/>
          </w:tcPr>
          <w:p w14:paraId="51304EDC" w14:textId="77777777" w:rsidR="00A05AC8" w:rsidRPr="00256982" w:rsidRDefault="00A05AC8" w:rsidP="004B5FFC">
            <w:pPr>
              <w:pStyle w:val="TableText"/>
              <w:keepNext/>
              <w:spacing w:after="50"/>
            </w:pPr>
            <w:r w:rsidRPr="00256982">
              <w:t xml:space="preserve">2019 (1990–2017) emissions estimate </w:t>
            </w:r>
            <w:r w:rsidRPr="00256982">
              <w:rPr>
                <w:i/>
              </w:rPr>
              <w:t xml:space="preserve">using previous </w:t>
            </w:r>
            <w:r w:rsidRPr="00256982">
              <w:t xml:space="preserve">nitrogen excretion partitioning methodology </w:t>
            </w:r>
          </w:p>
        </w:tc>
        <w:tc>
          <w:tcPr>
            <w:tcW w:w="850" w:type="dxa"/>
            <w:vAlign w:val="center"/>
          </w:tcPr>
          <w:p w14:paraId="454E2357" w14:textId="77777777" w:rsidR="00A05AC8" w:rsidRPr="00256982" w:rsidRDefault="00A05AC8" w:rsidP="004B5FFC">
            <w:pPr>
              <w:pStyle w:val="TableText"/>
              <w:keepNext/>
              <w:spacing w:after="50"/>
              <w:jc w:val="center"/>
            </w:pPr>
            <w:r w:rsidRPr="00256982">
              <w:t>34,183.6</w:t>
            </w:r>
          </w:p>
        </w:tc>
        <w:tc>
          <w:tcPr>
            <w:tcW w:w="851" w:type="dxa"/>
            <w:vAlign w:val="center"/>
          </w:tcPr>
          <w:p w14:paraId="61AE9D24" w14:textId="77777777" w:rsidR="00A05AC8" w:rsidRPr="00256982" w:rsidRDefault="00A05AC8" w:rsidP="004B5FFC">
            <w:pPr>
              <w:pStyle w:val="TableText"/>
              <w:spacing w:after="50"/>
              <w:jc w:val="center"/>
            </w:pPr>
            <w:r w:rsidRPr="00256982">
              <w:t>38,849.5</w:t>
            </w:r>
          </w:p>
        </w:tc>
        <w:tc>
          <w:tcPr>
            <w:tcW w:w="1417" w:type="dxa"/>
            <w:vAlign w:val="center"/>
          </w:tcPr>
          <w:p w14:paraId="02CF546F" w14:textId="77777777" w:rsidR="00A05AC8" w:rsidRPr="00256982" w:rsidRDefault="00A05AC8" w:rsidP="004B5FFC">
            <w:pPr>
              <w:pStyle w:val="TableText"/>
              <w:spacing w:after="50"/>
              <w:jc w:val="center"/>
            </w:pPr>
            <w:r w:rsidRPr="00256982">
              <w:t>4,665.9</w:t>
            </w:r>
          </w:p>
        </w:tc>
        <w:tc>
          <w:tcPr>
            <w:tcW w:w="1450" w:type="dxa"/>
            <w:vAlign w:val="center"/>
          </w:tcPr>
          <w:p w14:paraId="66E6DE72" w14:textId="77777777" w:rsidR="00A05AC8" w:rsidRPr="00256982" w:rsidRDefault="00A05AC8" w:rsidP="004B5FFC">
            <w:pPr>
              <w:pStyle w:val="TableText"/>
              <w:spacing w:after="50"/>
              <w:jc w:val="center"/>
            </w:pPr>
            <w:r w:rsidRPr="00256982">
              <w:t>13.6</w:t>
            </w:r>
          </w:p>
        </w:tc>
      </w:tr>
      <w:tr w:rsidR="00A05AC8" w:rsidRPr="00256982" w14:paraId="78A5CD3B" w14:textId="77777777" w:rsidTr="00817364">
        <w:trPr>
          <w:trHeight w:val="454"/>
        </w:trPr>
        <w:tc>
          <w:tcPr>
            <w:tcW w:w="1726" w:type="dxa"/>
            <w:vMerge/>
          </w:tcPr>
          <w:p w14:paraId="45E2A40E" w14:textId="77777777" w:rsidR="00A05AC8" w:rsidRPr="00256982" w:rsidRDefault="00A05AC8" w:rsidP="004B5FFC">
            <w:pPr>
              <w:pStyle w:val="TableText"/>
              <w:keepNext/>
              <w:spacing w:after="50"/>
            </w:pPr>
          </w:p>
        </w:tc>
        <w:tc>
          <w:tcPr>
            <w:tcW w:w="2268" w:type="dxa"/>
          </w:tcPr>
          <w:p w14:paraId="22BC897A" w14:textId="77777777" w:rsidR="00A05AC8" w:rsidRPr="00256982" w:rsidRDefault="00A05AC8" w:rsidP="004B5FFC">
            <w:pPr>
              <w:pStyle w:val="TableText"/>
              <w:keepNext/>
              <w:spacing w:after="50"/>
            </w:pPr>
            <w:r w:rsidRPr="00256982">
              <w:t xml:space="preserve">2019 (1990–2017) emissions estimate </w:t>
            </w:r>
            <w:r w:rsidRPr="00256982">
              <w:rPr>
                <w:i/>
              </w:rPr>
              <w:t>using new</w:t>
            </w:r>
            <w:r w:rsidRPr="00256982">
              <w:t xml:space="preserve"> nitrogen excretion partitioning methodology</w:t>
            </w:r>
          </w:p>
        </w:tc>
        <w:tc>
          <w:tcPr>
            <w:tcW w:w="850" w:type="dxa"/>
            <w:vAlign w:val="center"/>
          </w:tcPr>
          <w:p w14:paraId="35F2BF60" w14:textId="77777777" w:rsidR="00A05AC8" w:rsidRPr="00256982" w:rsidRDefault="00A05AC8" w:rsidP="004B5FFC">
            <w:pPr>
              <w:pStyle w:val="TableText"/>
              <w:keepNext/>
              <w:spacing w:after="50"/>
              <w:jc w:val="center"/>
            </w:pPr>
            <w:r w:rsidRPr="00256982">
              <w:t>34,257.2</w:t>
            </w:r>
          </w:p>
        </w:tc>
        <w:tc>
          <w:tcPr>
            <w:tcW w:w="851" w:type="dxa"/>
            <w:vAlign w:val="center"/>
          </w:tcPr>
          <w:p w14:paraId="3CA4863D" w14:textId="77777777" w:rsidR="00A05AC8" w:rsidRPr="00256982" w:rsidRDefault="00A05AC8" w:rsidP="004B5FFC">
            <w:pPr>
              <w:pStyle w:val="TableText"/>
              <w:spacing w:after="50"/>
              <w:jc w:val="center"/>
            </w:pPr>
            <w:r w:rsidRPr="00256982">
              <w:t>38,880.7</w:t>
            </w:r>
          </w:p>
        </w:tc>
        <w:tc>
          <w:tcPr>
            <w:tcW w:w="1417" w:type="dxa"/>
            <w:vAlign w:val="center"/>
          </w:tcPr>
          <w:p w14:paraId="0EBEAD20" w14:textId="77777777" w:rsidR="00A05AC8" w:rsidRPr="00256982" w:rsidRDefault="00A05AC8" w:rsidP="004B5FFC">
            <w:pPr>
              <w:pStyle w:val="TableText"/>
              <w:spacing w:after="50"/>
              <w:jc w:val="center"/>
            </w:pPr>
            <w:r w:rsidRPr="00256982">
              <w:t>4,623.5</w:t>
            </w:r>
          </w:p>
        </w:tc>
        <w:tc>
          <w:tcPr>
            <w:tcW w:w="1450" w:type="dxa"/>
            <w:vAlign w:val="center"/>
          </w:tcPr>
          <w:p w14:paraId="44046BBB" w14:textId="77777777" w:rsidR="00A05AC8" w:rsidRPr="00256982" w:rsidRDefault="00A05AC8" w:rsidP="004B5FFC">
            <w:pPr>
              <w:pStyle w:val="TableText"/>
              <w:spacing w:after="50"/>
              <w:jc w:val="center"/>
            </w:pPr>
            <w:r w:rsidRPr="00256982">
              <w:t>13.5</w:t>
            </w:r>
          </w:p>
        </w:tc>
      </w:tr>
      <w:tr w:rsidR="00A05AC8" w:rsidRPr="00256982" w14:paraId="5D9F8EB6" w14:textId="77777777" w:rsidTr="00817364">
        <w:trPr>
          <w:trHeight w:val="454"/>
        </w:trPr>
        <w:tc>
          <w:tcPr>
            <w:tcW w:w="1726" w:type="dxa"/>
            <w:vMerge/>
          </w:tcPr>
          <w:p w14:paraId="0BBF4AA5" w14:textId="77777777" w:rsidR="00A05AC8" w:rsidRPr="00256982" w:rsidRDefault="00A05AC8" w:rsidP="004B5FFC">
            <w:pPr>
              <w:pStyle w:val="TableText"/>
              <w:keepNext/>
              <w:spacing w:after="50"/>
            </w:pPr>
          </w:p>
        </w:tc>
        <w:tc>
          <w:tcPr>
            <w:tcW w:w="2268" w:type="dxa"/>
          </w:tcPr>
          <w:p w14:paraId="449F594F" w14:textId="77777777" w:rsidR="00A05AC8" w:rsidRPr="00256982" w:rsidRDefault="00A05AC8" w:rsidP="004B5FFC">
            <w:pPr>
              <w:pStyle w:val="TableText"/>
              <w:keepNext/>
              <w:spacing w:after="50"/>
            </w:pPr>
            <w:r w:rsidRPr="00256982">
              <w:t>Difference in emissions estimates compared with current inventory</w:t>
            </w:r>
          </w:p>
        </w:tc>
        <w:tc>
          <w:tcPr>
            <w:tcW w:w="850" w:type="dxa"/>
            <w:vAlign w:val="center"/>
          </w:tcPr>
          <w:p w14:paraId="3031FC79" w14:textId="77777777" w:rsidR="00A05AC8" w:rsidRPr="00256982" w:rsidRDefault="00A05AC8" w:rsidP="004B5FFC">
            <w:pPr>
              <w:pStyle w:val="TableText"/>
              <w:keepNext/>
              <w:spacing w:after="50"/>
              <w:jc w:val="center"/>
            </w:pPr>
            <w:r w:rsidRPr="00256982">
              <w:t>73.6</w:t>
            </w:r>
          </w:p>
        </w:tc>
        <w:tc>
          <w:tcPr>
            <w:tcW w:w="851" w:type="dxa"/>
            <w:vAlign w:val="center"/>
          </w:tcPr>
          <w:p w14:paraId="08AF8075" w14:textId="77777777" w:rsidR="00A05AC8" w:rsidRPr="00256982" w:rsidRDefault="00A05AC8" w:rsidP="004B5FFC">
            <w:pPr>
              <w:pStyle w:val="TableText"/>
              <w:spacing w:after="50"/>
              <w:jc w:val="center"/>
            </w:pPr>
            <w:r w:rsidRPr="00256982">
              <w:t>31.2</w:t>
            </w:r>
          </w:p>
        </w:tc>
        <w:tc>
          <w:tcPr>
            <w:tcW w:w="1417" w:type="dxa"/>
            <w:vAlign w:val="center"/>
          </w:tcPr>
          <w:p w14:paraId="4FDFBB74" w14:textId="77777777" w:rsidR="00A05AC8" w:rsidRPr="00256982" w:rsidRDefault="00A05AC8" w:rsidP="004B5FFC">
            <w:pPr>
              <w:pStyle w:val="TableText"/>
              <w:spacing w:after="50"/>
              <w:jc w:val="center"/>
            </w:pPr>
            <w:r w:rsidRPr="00256982">
              <w:t>–42.5</w:t>
            </w:r>
          </w:p>
        </w:tc>
        <w:tc>
          <w:tcPr>
            <w:tcW w:w="1450" w:type="dxa"/>
            <w:vAlign w:val="center"/>
          </w:tcPr>
          <w:p w14:paraId="55273EC2" w14:textId="77777777" w:rsidR="00A05AC8" w:rsidRPr="00256982" w:rsidRDefault="00A05AC8" w:rsidP="004B5FFC">
            <w:pPr>
              <w:pStyle w:val="TableText"/>
              <w:spacing w:after="50"/>
              <w:jc w:val="center"/>
            </w:pPr>
          </w:p>
        </w:tc>
      </w:tr>
      <w:tr w:rsidR="00A05AC8" w:rsidRPr="00256982" w14:paraId="7E008EE7" w14:textId="77777777" w:rsidTr="00817364">
        <w:trPr>
          <w:trHeight w:val="454"/>
        </w:trPr>
        <w:tc>
          <w:tcPr>
            <w:tcW w:w="1726" w:type="dxa"/>
            <w:vMerge/>
          </w:tcPr>
          <w:p w14:paraId="4D32CE15" w14:textId="77777777" w:rsidR="00A05AC8" w:rsidRPr="00256982" w:rsidRDefault="00A05AC8" w:rsidP="004B5FFC">
            <w:pPr>
              <w:pStyle w:val="TableText"/>
              <w:keepNext/>
              <w:spacing w:after="50"/>
            </w:pPr>
          </w:p>
        </w:tc>
        <w:tc>
          <w:tcPr>
            <w:tcW w:w="2268" w:type="dxa"/>
          </w:tcPr>
          <w:p w14:paraId="3118E009" w14:textId="77777777" w:rsidR="00A05AC8" w:rsidRPr="00256982" w:rsidRDefault="00A05AC8" w:rsidP="004B5FFC">
            <w:pPr>
              <w:pStyle w:val="TableText"/>
              <w:keepNext/>
              <w:spacing w:after="50"/>
            </w:pPr>
            <w:r w:rsidRPr="00256982">
              <w:t>Percentage difference in emissions estimates</w:t>
            </w:r>
          </w:p>
        </w:tc>
        <w:tc>
          <w:tcPr>
            <w:tcW w:w="850" w:type="dxa"/>
            <w:vAlign w:val="center"/>
          </w:tcPr>
          <w:p w14:paraId="22577C08" w14:textId="77777777" w:rsidR="00A05AC8" w:rsidRPr="00256982" w:rsidRDefault="00A05AC8" w:rsidP="004B5FFC">
            <w:pPr>
              <w:pStyle w:val="TableText"/>
              <w:keepNext/>
              <w:spacing w:after="50"/>
              <w:jc w:val="center"/>
            </w:pPr>
            <w:r w:rsidRPr="00256982">
              <w:t>0.2</w:t>
            </w:r>
          </w:p>
        </w:tc>
        <w:tc>
          <w:tcPr>
            <w:tcW w:w="851" w:type="dxa"/>
            <w:vAlign w:val="center"/>
          </w:tcPr>
          <w:p w14:paraId="113E12AE" w14:textId="77777777" w:rsidR="00A05AC8" w:rsidRPr="00256982" w:rsidRDefault="00A05AC8" w:rsidP="004B5FFC">
            <w:pPr>
              <w:pStyle w:val="TableText"/>
              <w:spacing w:after="50"/>
              <w:jc w:val="center"/>
            </w:pPr>
            <w:r w:rsidRPr="00256982">
              <w:t>0.1</w:t>
            </w:r>
          </w:p>
        </w:tc>
        <w:tc>
          <w:tcPr>
            <w:tcW w:w="1417" w:type="dxa"/>
            <w:vAlign w:val="center"/>
          </w:tcPr>
          <w:p w14:paraId="155F5389" w14:textId="77777777" w:rsidR="00A05AC8" w:rsidRPr="00256982" w:rsidRDefault="00A05AC8" w:rsidP="004B5FFC">
            <w:pPr>
              <w:pStyle w:val="TableText"/>
              <w:spacing w:after="50"/>
              <w:jc w:val="center"/>
            </w:pPr>
          </w:p>
        </w:tc>
        <w:tc>
          <w:tcPr>
            <w:tcW w:w="1450" w:type="dxa"/>
            <w:vAlign w:val="center"/>
          </w:tcPr>
          <w:p w14:paraId="05147CB3" w14:textId="77777777" w:rsidR="00A05AC8" w:rsidRPr="00256982" w:rsidRDefault="00A05AC8" w:rsidP="004B5FFC">
            <w:pPr>
              <w:pStyle w:val="TableText"/>
              <w:spacing w:after="50"/>
              <w:jc w:val="center"/>
            </w:pPr>
          </w:p>
        </w:tc>
      </w:tr>
    </w:tbl>
    <w:p w14:paraId="767736BD" w14:textId="77777777" w:rsidR="00A05AC8" w:rsidRPr="00256982" w:rsidRDefault="00A05AC8" w:rsidP="00E82F9A">
      <w:pPr>
        <w:pStyle w:val="Heading5"/>
        <w:spacing w:before="360"/>
      </w:pPr>
      <w:r w:rsidRPr="00256982">
        <w:t>Correction to the metabolisable energy equation</w:t>
      </w:r>
    </w:p>
    <w:p w14:paraId="567BF68E" w14:textId="77777777" w:rsidR="00A05AC8" w:rsidRPr="00256982" w:rsidRDefault="00A05AC8" w:rsidP="00A05AC8">
      <w:pPr>
        <w:pStyle w:val="BodyText"/>
      </w:pPr>
      <w:r w:rsidRPr="00256982">
        <w:t>New Zealand uses an energy requirements model to estimate feed intake and emissions for dairy cattle, beef cattle, sheep and deer, which is described further in chapter 5, section 5.1.3. During 2018, an error was identified in the equation that estimates total metabolisable energy requirements (ME</w:t>
      </w:r>
      <w:r w:rsidRPr="00256982">
        <w:rPr>
          <w:vertAlign w:val="subscript"/>
        </w:rPr>
        <w:t>TOTAL</w:t>
      </w:r>
      <w:r w:rsidRPr="00256982">
        <w:t>). In previous inventory years, the term in the ME</w:t>
      </w:r>
      <w:r w:rsidRPr="00256982">
        <w:rPr>
          <w:vertAlign w:val="subscript"/>
        </w:rPr>
        <w:t>TOTAL</w:t>
      </w:r>
      <w:r w:rsidRPr="00256982">
        <w:t xml:space="preserve"> equation for gestation (MEc) had been included within the production term. This was identified as an error and has been corrected in the latest version of the inventory. The effect of this correction on emissions estimates is summarised in table 10.1.7. </w:t>
      </w:r>
    </w:p>
    <w:p w14:paraId="6CAE9633" w14:textId="77777777" w:rsidR="00A05AC8" w:rsidRPr="00256982" w:rsidRDefault="00A05AC8" w:rsidP="00A05AC8">
      <w:pPr>
        <w:pStyle w:val="BodyText"/>
      </w:pPr>
      <w:r w:rsidRPr="00256982">
        <w:t>After the correction, estimated emissions from the Agriculture sector decreased by 0.3 per cent (116.7 kt CO</w:t>
      </w:r>
      <w:r w:rsidRPr="00256982">
        <w:rPr>
          <w:vertAlign w:val="subscript"/>
        </w:rPr>
        <w:t>2</w:t>
      </w:r>
      <w:r w:rsidRPr="00256982">
        <w:t>-e) in 1990 and 0.3 per cent (121.6 kt CO</w:t>
      </w:r>
      <w:r w:rsidRPr="00256982">
        <w:rPr>
          <w:vertAlign w:val="subscript"/>
        </w:rPr>
        <w:t>2</w:t>
      </w:r>
      <w:r w:rsidRPr="00256982">
        <w:t xml:space="preserve">-e) in 2016 (see chapter 5, table 5.5.11). </w:t>
      </w:r>
    </w:p>
    <w:p w14:paraId="00C522F5" w14:textId="74CCC39A" w:rsidR="00A05AC8" w:rsidRPr="00256982" w:rsidRDefault="00A05AC8" w:rsidP="00A05AC8">
      <w:pPr>
        <w:pStyle w:val="Table"/>
      </w:pPr>
      <w:bookmarkStart w:id="2521" w:name="_Toc5269615"/>
      <w:r w:rsidRPr="00256982">
        <w:t>Table 10.1.7</w:t>
      </w:r>
      <w:r w:rsidRPr="00256982">
        <w:tab/>
        <w:t>Effect of corrected metabolisable energy equation on agricultural</w:t>
      </w:r>
      <w:r w:rsidR="00E82F9A" w:rsidRPr="00256982">
        <w:br/>
      </w:r>
      <w:r w:rsidRPr="00256982">
        <w:t>emissions estimates, 1990 to 2017</w:t>
      </w:r>
      <w:bookmarkEnd w:id="2521"/>
    </w:p>
    <w:tbl>
      <w:tblPr>
        <w:tblW w:w="8562" w:type="dxa"/>
        <w:tblInd w:w="108" w:type="dxa"/>
        <w:tblBorders>
          <w:top w:val="single" w:sz="4" w:space="0" w:color="365F91"/>
          <w:bottom w:val="single" w:sz="4" w:space="0" w:color="365F91"/>
          <w:insideH w:val="single" w:sz="4" w:space="0" w:color="365F91"/>
        </w:tblBorders>
        <w:tblLayout w:type="fixed"/>
        <w:tblLook w:val="0000" w:firstRow="0" w:lastRow="0" w:firstColumn="0" w:lastColumn="0" w:noHBand="0" w:noVBand="0"/>
      </w:tblPr>
      <w:tblGrid>
        <w:gridCol w:w="1843"/>
        <w:gridCol w:w="2126"/>
        <w:gridCol w:w="993"/>
        <w:gridCol w:w="850"/>
        <w:gridCol w:w="1276"/>
        <w:gridCol w:w="1474"/>
      </w:tblGrid>
      <w:tr w:rsidR="00A05AC8" w:rsidRPr="00256982" w14:paraId="22C66E04" w14:textId="77777777" w:rsidTr="00894F01">
        <w:trPr>
          <w:trHeight w:val="608"/>
          <w:tblHeader/>
        </w:trPr>
        <w:tc>
          <w:tcPr>
            <w:tcW w:w="1843" w:type="dxa"/>
            <w:shd w:val="clear" w:color="auto" w:fill="365F91"/>
            <w:vAlign w:val="bottom"/>
          </w:tcPr>
          <w:p w14:paraId="25DAD15F" w14:textId="77777777" w:rsidR="00A05AC8" w:rsidRPr="00256982" w:rsidRDefault="00A05AC8" w:rsidP="00B7783F">
            <w:pPr>
              <w:pStyle w:val="TableTextBold"/>
              <w:keepNext/>
              <w:rPr>
                <w:rFonts w:cs="Arial"/>
                <w:noProof w:val="0"/>
                <w:color w:val="FFFFFF"/>
                <w:szCs w:val="16"/>
              </w:rPr>
            </w:pPr>
          </w:p>
        </w:tc>
        <w:tc>
          <w:tcPr>
            <w:tcW w:w="2126" w:type="dxa"/>
            <w:shd w:val="clear" w:color="auto" w:fill="365F91"/>
            <w:vAlign w:val="bottom"/>
          </w:tcPr>
          <w:p w14:paraId="569EDE1D" w14:textId="77777777" w:rsidR="00A05AC8" w:rsidRPr="00256982" w:rsidRDefault="00A05AC8" w:rsidP="00B7783F">
            <w:pPr>
              <w:pStyle w:val="TableTextBold"/>
              <w:keepNext/>
              <w:rPr>
                <w:rFonts w:cs="Arial"/>
                <w:noProof w:val="0"/>
                <w:color w:val="FFFFFF"/>
                <w:szCs w:val="16"/>
              </w:rPr>
            </w:pPr>
          </w:p>
        </w:tc>
        <w:tc>
          <w:tcPr>
            <w:tcW w:w="993" w:type="dxa"/>
            <w:shd w:val="clear" w:color="auto" w:fill="365F91"/>
            <w:vAlign w:val="bottom"/>
          </w:tcPr>
          <w:p w14:paraId="27BBD125" w14:textId="77777777" w:rsidR="00A05AC8" w:rsidRPr="00256982" w:rsidRDefault="00A05AC8" w:rsidP="00B7783F">
            <w:pPr>
              <w:pStyle w:val="TableTextBold"/>
              <w:keepNext/>
              <w:jc w:val="center"/>
              <w:rPr>
                <w:rFonts w:cs="Arial"/>
                <w:noProof w:val="0"/>
                <w:color w:val="FFFFFF"/>
              </w:rPr>
            </w:pPr>
            <w:r w:rsidRPr="00256982">
              <w:rPr>
                <w:rFonts w:cs="Arial"/>
                <w:noProof w:val="0"/>
                <w:color w:val="FFFFFF"/>
              </w:rPr>
              <w:t>1990</w:t>
            </w:r>
          </w:p>
        </w:tc>
        <w:tc>
          <w:tcPr>
            <w:tcW w:w="850" w:type="dxa"/>
            <w:shd w:val="clear" w:color="auto" w:fill="365F91"/>
            <w:vAlign w:val="bottom"/>
          </w:tcPr>
          <w:p w14:paraId="6B534910" w14:textId="77777777" w:rsidR="00A05AC8" w:rsidRPr="00256982" w:rsidRDefault="00A05AC8" w:rsidP="00B7783F">
            <w:pPr>
              <w:pStyle w:val="TableTextBold"/>
              <w:jc w:val="center"/>
              <w:rPr>
                <w:rFonts w:cs="Arial"/>
                <w:noProof w:val="0"/>
                <w:color w:val="FFFFFF"/>
              </w:rPr>
            </w:pPr>
            <w:r w:rsidRPr="00256982">
              <w:rPr>
                <w:rFonts w:cs="Arial"/>
                <w:noProof w:val="0"/>
                <w:color w:val="FFFFFF"/>
              </w:rPr>
              <w:t>2017</w:t>
            </w:r>
          </w:p>
        </w:tc>
        <w:tc>
          <w:tcPr>
            <w:tcW w:w="1276" w:type="dxa"/>
            <w:shd w:val="clear" w:color="auto" w:fill="365F91"/>
            <w:vAlign w:val="bottom"/>
          </w:tcPr>
          <w:p w14:paraId="7526D5BB" w14:textId="77777777" w:rsidR="00A05AC8" w:rsidRPr="00256982" w:rsidRDefault="00A05AC8" w:rsidP="00B7783F">
            <w:pPr>
              <w:pStyle w:val="TableTextBold"/>
              <w:jc w:val="center"/>
              <w:rPr>
                <w:rFonts w:cs="Arial"/>
                <w:noProof w:val="0"/>
                <w:color w:val="FFFFFF"/>
                <w:szCs w:val="16"/>
              </w:rPr>
            </w:pPr>
            <w:r w:rsidRPr="00256982">
              <w:rPr>
                <w:rFonts w:cs="Arial"/>
                <w:noProof w:val="0"/>
                <w:color w:val="FFFFFF"/>
                <w:szCs w:val="16"/>
              </w:rPr>
              <w:t xml:space="preserve">Change in emission outputs between 1990 and 2017 </w:t>
            </w:r>
            <w:r w:rsidRPr="00256982">
              <w:rPr>
                <w:rFonts w:cs="Arial"/>
                <w:noProof w:val="0"/>
                <w:color w:val="FFFFFF"/>
                <w:szCs w:val="16"/>
              </w:rPr>
              <w:br/>
              <w:t>(kt CO</w:t>
            </w:r>
            <w:r w:rsidRPr="00256982">
              <w:rPr>
                <w:rFonts w:cs="Arial"/>
                <w:noProof w:val="0"/>
                <w:color w:val="FFFFFF"/>
                <w:szCs w:val="16"/>
                <w:vertAlign w:val="subscript"/>
              </w:rPr>
              <w:t>2</w:t>
            </w:r>
            <w:r w:rsidRPr="00256982">
              <w:rPr>
                <w:rFonts w:cs="Arial"/>
                <w:noProof w:val="0"/>
                <w:color w:val="FFFFFF"/>
                <w:szCs w:val="16"/>
              </w:rPr>
              <w:t xml:space="preserve">-e) </w:t>
            </w:r>
          </w:p>
        </w:tc>
        <w:tc>
          <w:tcPr>
            <w:tcW w:w="1474" w:type="dxa"/>
            <w:shd w:val="clear" w:color="auto" w:fill="365F91"/>
            <w:vAlign w:val="bottom"/>
          </w:tcPr>
          <w:p w14:paraId="6DE26EED" w14:textId="77777777" w:rsidR="00A05AC8" w:rsidRPr="00256982" w:rsidRDefault="00A05AC8" w:rsidP="00B7783F">
            <w:pPr>
              <w:pStyle w:val="TableTextBold"/>
              <w:jc w:val="center"/>
              <w:rPr>
                <w:rFonts w:cs="Arial"/>
                <w:noProof w:val="0"/>
                <w:color w:val="FFFFFF"/>
                <w:szCs w:val="16"/>
              </w:rPr>
            </w:pPr>
            <w:r w:rsidRPr="00256982">
              <w:rPr>
                <w:rFonts w:cs="Arial"/>
                <w:noProof w:val="0"/>
                <w:color w:val="FFFFFF"/>
                <w:szCs w:val="16"/>
              </w:rPr>
              <w:t>Percentage change in emission outputs between 1990 and 2017</w:t>
            </w:r>
          </w:p>
        </w:tc>
      </w:tr>
      <w:tr w:rsidR="00A05AC8" w:rsidRPr="00256982" w14:paraId="547FF17D" w14:textId="77777777" w:rsidTr="00894F01">
        <w:trPr>
          <w:trHeight w:val="454"/>
        </w:trPr>
        <w:tc>
          <w:tcPr>
            <w:tcW w:w="1843" w:type="dxa"/>
            <w:vMerge w:val="restart"/>
            <w:vAlign w:val="center"/>
          </w:tcPr>
          <w:p w14:paraId="317742EE" w14:textId="77777777" w:rsidR="00A05AC8" w:rsidRPr="00256982" w:rsidRDefault="00A05AC8" w:rsidP="00894F01">
            <w:pPr>
              <w:pStyle w:val="TableText"/>
              <w:spacing w:before="50"/>
            </w:pPr>
            <w:r w:rsidRPr="00256982">
              <w:t>Total emissions from Agriculture category (kt CO</w:t>
            </w:r>
            <w:r w:rsidRPr="00256982">
              <w:rPr>
                <w:vertAlign w:val="subscript"/>
              </w:rPr>
              <w:t>2</w:t>
            </w:r>
            <w:r w:rsidRPr="00256982">
              <w:t>-e)</w:t>
            </w:r>
          </w:p>
        </w:tc>
        <w:tc>
          <w:tcPr>
            <w:tcW w:w="2126" w:type="dxa"/>
          </w:tcPr>
          <w:p w14:paraId="474F7622" w14:textId="77777777" w:rsidR="00A05AC8" w:rsidRPr="00256982" w:rsidRDefault="00A05AC8" w:rsidP="00894F01">
            <w:pPr>
              <w:pStyle w:val="TableText"/>
              <w:keepNext/>
              <w:spacing w:before="50"/>
            </w:pPr>
            <w:r w:rsidRPr="00256982">
              <w:t xml:space="preserve">2019 (1990–2017) emissions estimate </w:t>
            </w:r>
            <w:r w:rsidRPr="00256982">
              <w:rPr>
                <w:i/>
              </w:rPr>
              <w:t xml:space="preserve">using incorrect </w:t>
            </w:r>
            <w:r w:rsidRPr="00256982">
              <w:t>metabolisable energy equation</w:t>
            </w:r>
          </w:p>
        </w:tc>
        <w:tc>
          <w:tcPr>
            <w:tcW w:w="993" w:type="dxa"/>
            <w:vAlign w:val="center"/>
          </w:tcPr>
          <w:p w14:paraId="4E73CFBE" w14:textId="77777777" w:rsidR="00A05AC8" w:rsidRPr="00256982" w:rsidRDefault="00A05AC8" w:rsidP="00894F01">
            <w:pPr>
              <w:pStyle w:val="TableText"/>
              <w:keepNext/>
              <w:spacing w:before="50"/>
              <w:jc w:val="center"/>
              <w:rPr>
                <w:rFonts w:cs="Arial"/>
              </w:rPr>
            </w:pPr>
            <w:r w:rsidRPr="00256982">
              <w:t>34,373.9</w:t>
            </w:r>
          </w:p>
        </w:tc>
        <w:tc>
          <w:tcPr>
            <w:tcW w:w="850" w:type="dxa"/>
            <w:vAlign w:val="center"/>
          </w:tcPr>
          <w:p w14:paraId="4BF57A40" w14:textId="77777777" w:rsidR="00A05AC8" w:rsidRPr="00256982" w:rsidRDefault="00A05AC8" w:rsidP="00894F01">
            <w:pPr>
              <w:pStyle w:val="TableText"/>
              <w:spacing w:before="50"/>
              <w:jc w:val="center"/>
              <w:rPr>
                <w:rFonts w:cs="Arial"/>
              </w:rPr>
            </w:pPr>
            <w:r w:rsidRPr="00256982">
              <w:t>39,002.3</w:t>
            </w:r>
          </w:p>
        </w:tc>
        <w:tc>
          <w:tcPr>
            <w:tcW w:w="1276" w:type="dxa"/>
            <w:vAlign w:val="center"/>
          </w:tcPr>
          <w:p w14:paraId="235FB501" w14:textId="77777777" w:rsidR="00A05AC8" w:rsidRPr="00256982" w:rsidRDefault="00A05AC8" w:rsidP="00894F01">
            <w:pPr>
              <w:pStyle w:val="TableText"/>
              <w:spacing w:before="50"/>
              <w:jc w:val="center"/>
              <w:rPr>
                <w:rFonts w:cs="Arial"/>
              </w:rPr>
            </w:pPr>
            <w:r w:rsidRPr="00256982">
              <w:t>4,628.4</w:t>
            </w:r>
          </w:p>
        </w:tc>
        <w:tc>
          <w:tcPr>
            <w:tcW w:w="1474" w:type="dxa"/>
            <w:vAlign w:val="center"/>
          </w:tcPr>
          <w:p w14:paraId="29AFB358" w14:textId="77777777" w:rsidR="00A05AC8" w:rsidRPr="00256982" w:rsidRDefault="00A05AC8" w:rsidP="00894F01">
            <w:pPr>
              <w:pStyle w:val="TableText"/>
              <w:spacing w:before="50"/>
              <w:jc w:val="center"/>
              <w:rPr>
                <w:rFonts w:cs="Arial"/>
              </w:rPr>
            </w:pPr>
            <w:r w:rsidRPr="00256982">
              <w:t>13.5</w:t>
            </w:r>
          </w:p>
        </w:tc>
      </w:tr>
      <w:tr w:rsidR="00A05AC8" w:rsidRPr="00256982" w14:paraId="4C891587" w14:textId="77777777" w:rsidTr="00894F01">
        <w:trPr>
          <w:trHeight w:val="454"/>
        </w:trPr>
        <w:tc>
          <w:tcPr>
            <w:tcW w:w="1843" w:type="dxa"/>
            <w:vMerge/>
          </w:tcPr>
          <w:p w14:paraId="4B601CEE" w14:textId="77777777" w:rsidR="00A05AC8" w:rsidRPr="00256982" w:rsidRDefault="00A05AC8" w:rsidP="00894F01">
            <w:pPr>
              <w:pStyle w:val="TableText"/>
              <w:keepNext/>
              <w:spacing w:before="50"/>
            </w:pPr>
          </w:p>
        </w:tc>
        <w:tc>
          <w:tcPr>
            <w:tcW w:w="2126" w:type="dxa"/>
          </w:tcPr>
          <w:p w14:paraId="4142AC1B" w14:textId="77777777" w:rsidR="00A05AC8" w:rsidRPr="00256982" w:rsidRDefault="00A05AC8" w:rsidP="00894F01">
            <w:pPr>
              <w:pStyle w:val="TableText"/>
              <w:keepNext/>
              <w:spacing w:before="50"/>
            </w:pPr>
            <w:r w:rsidRPr="00256982">
              <w:t xml:space="preserve">2019 (1990–2017) emissions estimate </w:t>
            </w:r>
            <w:r w:rsidRPr="00256982">
              <w:rPr>
                <w:i/>
              </w:rPr>
              <w:t>using corrected</w:t>
            </w:r>
            <w:r w:rsidRPr="00256982">
              <w:t xml:space="preserve"> metabolisable energy equation</w:t>
            </w:r>
          </w:p>
        </w:tc>
        <w:tc>
          <w:tcPr>
            <w:tcW w:w="993" w:type="dxa"/>
            <w:vAlign w:val="center"/>
          </w:tcPr>
          <w:p w14:paraId="35D152E3" w14:textId="77777777" w:rsidR="00A05AC8" w:rsidRPr="00256982" w:rsidRDefault="00A05AC8" w:rsidP="00894F01">
            <w:pPr>
              <w:pStyle w:val="TableText"/>
              <w:keepNext/>
              <w:spacing w:before="50"/>
              <w:jc w:val="center"/>
              <w:rPr>
                <w:rFonts w:cs="Arial"/>
              </w:rPr>
            </w:pPr>
            <w:r w:rsidRPr="00256982">
              <w:t>34,257.2</w:t>
            </w:r>
          </w:p>
        </w:tc>
        <w:tc>
          <w:tcPr>
            <w:tcW w:w="850" w:type="dxa"/>
            <w:vAlign w:val="center"/>
          </w:tcPr>
          <w:p w14:paraId="3A65A874" w14:textId="77777777" w:rsidR="00A05AC8" w:rsidRPr="00256982" w:rsidRDefault="00A05AC8" w:rsidP="00894F01">
            <w:pPr>
              <w:pStyle w:val="TableText"/>
              <w:spacing w:before="50"/>
              <w:jc w:val="center"/>
              <w:rPr>
                <w:rFonts w:cs="Arial"/>
              </w:rPr>
            </w:pPr>
            <w:r w:rsidRPr="00256982">
              <w:t>38,880.7</w:t>
            </w:r>
          </w:p>
        </w:tc>
        <w:tc>
          <w:tcPr>
            <w:tcW w:w="1276" w:type="dxa"/>
            <w:vAlign w:val="center"/>
          </w:tcPr>
          <w:p w14:paraId="68FC49BF" w14:textId="77777777" w:rsidR="00A05AC8" w:rsidRPr="00256982" w:rsidRDefault="00A05AC8" w:rsidP="00894F01">
            <w:pPr>
              <w:pStyle w:val="TableText"/>
              <w:spacing w:before="50"/>
              <w:jc w:val="center"/>
              <w:rPr>
                <w:rFonts w:cs="Arial"/>
              </w:rPr>
            </w:pPr>
            <w:r w:rsidRPr="00256982">
              <w:t>4,623.5</w:t>
            </w:r>
          </w:p>
        </w:tc>
        <w:tc>
          <w:tcPr>
            <w:tcW w:w="1474" w:type="dxa"/>
            <w:vAlign w:val="center"/>
          </w:tcPr>
          <w:p w14:paraId="31A61BE6" w14:textId="77777777" w:rsidR="00A05AC8" w:rsidRPr="00256982" w:rsidRDefault="00A05AC8" w:rsidP="00894F01">
            <w:pPr>
              <w:pStyle w:val="TableText"/>
              <w:spacing w:before="50"/>
              <w:jc w:val="center"/>
              <w:rPr>
                <w:rFonts w:cs="Arial"/>
              </w:rPr>
            </w:pPr>
            <w:r w:rsidRPr="00256982">
              <w:t>13.5</w:t>
            </w:r>
          </w:p>
        </w:tc>
      </w:tr>
      <w:tr w:rsidR="00A05AC8" w:rsidRPr="00256982" w14:paraId="4DCE0ED7" w14:textId="77777777" w:rsidTr="00894F01">
        <w:trPr>
          <w:trHeight w:val="454"/>
        </w:trPr>
        <w:tc>
          <w:tcPr>
            <w:tcW w:w="1843" w:type="dxa"/>
            <w:vMerge/>
          </w:tcPr>
          <w:p w14:paraId="420BC71E" w14:textId="77777777" w:rsidR="00A05AC8" w:rsidRPr="00256982" w:rsidRDefault="00A05AC8" w:rsidP="00894F01">
            <w:pPr>
              <w:pStyle w:val="TableText"/>
              <w:keepNext/>
              <w:spacing w:before="50"/>
            </w:pPr>
          </w:p>
        </w:tc>
        <w:tc>
          <w:tcPr>
            <w:tcW w:w="2126" w:type="dxa"/>
          </w:tcPr>
          <w:p w14:paraId="58E29307" w14:textId="77777777" w:rsidR="00A05AC8" w:rsidRPr="00256982" w:rsidRDefault="00A05AC8" w:rsidP="00894F01">
            <w:pPr>
              <w:pStyle w:val="TableText"/>
              <w:keepNext/>
              <w:spacing w:before="50"/>
            </w:pPr>
            <w:r w:rsidRPr="00256982">
              <w:t>Difference in emissions estimates compared with current inventory</w:t>
            </w:r>
          </w:p>
        </w:tc>
        <w:tc>
          <w:tcPr>
            <w:tcW w:w="993" w:type="dxa"/>
            <w:vAlign w:val="center"/>
          </w:tcPr>
          <w:p w14:paraId="072F582D" w14:textId="77777777" w:rsidR="00A05AC8" w:rsidRPr="00256982" w:rsidRDefault="00A05AC8" w:rsidP="00894F01">
            <w:pPr>
              <w:pStyle w:val="TableText"/>
              <w:keepNext/>
              <w:spacing w:before="50"/>
              <w:jc w:val="center"/>
              <w:rPr>
                <w:rFonts w:cs="Arial"/>
              </w:rPr>
            </w:pPr>
            <w:r w:rsidRPr="00256982">
              <w:t>–1,16.7</w:t>
            </w:r>
          </w:p>
        </w:tc>
        <w:tc>
          <w:tcPr>
            <w:tcW w:w="850" w:type="dxa"/>
            <w:vAlign w:val="center"/>
          </w:tcPr>
          <w:p w14:paraId="3E5667A7" w14:textId="77777777" w:rsidR="00A05AC8" w:rsidRPr="00256982" w:rsidRDefault="00A05AC8" w:rsidP="00894F01">
            <w:pPr>
              <w:pStyle w:val="TableText"/>
              <w:spacing w:before="50"/>
              <w:jc w:val="center"/>
              <w:rPr>
                <w:rFonts w:cs="Arial"/>
              </w:rPr>
            </w:pPr>
            <w:r w:rsidRPr="00256982">
              <w:t>–121.6</w:t>
            </w:r>
          </w:p>
        </w:tc>
        <w:tc>
          <w:tcPr>
            <w:tcW w:w="1276" w:type="dxa"/>
            <w:vAlign w:val="center"/>
          </w:tcPr>
          <w:p w14:paraId="13D33914" w14:textId="77777777" w:rsidR="00A05AC8" w:rsidRPr="00256982" w:rsidRDefault="00A05AC8" w:rsidP="00894F01">
            <w:pPr>
              <w:pStyle w:val="TableText"/>
              <w:spacing w:before="50"/>
              <w:jc w:val="center"/>
              <w:rPr>
                <w:rFonts w:cs="Arial"/>
              </w:rPr>
            </w:pPr>
            <w:r w:rsidRPr="00256982">
              <w:t>–4.9</w:t>
            </w:r>
          </w:p>
        </w:tc>
        <w:tc>
          <w:tcPr>
            <w:tcW w:w="1474" w:type="dxa"/>
            <w:vAlign w:val="center"/>
          </w:tcPr>
          <w:p w14:paraId="29416BB7" w14:textId="77777777" w:rsidR="00A05AC8" w:rsidRPr="00256982" w:rsidRDefault="00A05AC8" w:rsidP="00894F01">
            <w:pPr>
              <w:pStyle w:val="TableText"/>
              <w:spacing w:before="50"/>
              <w:jc w:val="center"/>
              <w:rPr>
                <w:rFonts w:cs="Arial"/>
              </w:rPr>
            </w:pPr>
          </w:p>
        </w:tc>
      </w:tr>
      <w:tr w:rsidR="00A05AC8" w:rsidRPr="00256982" w14:paraId="349FBD92" w14:textId="77777777" w:rsidTr="00894F01">
        <w:trPr>
          <w:trHeight w:val="454"/>
        </w:trPr>
        <w:tc>
          <w:tcPr>
            <w:tcW w:w="1843" w:type="dxa"/>
            <w:vMerge/>
          </w:tcPr>
          <w:p w14:paraId="751C3341" w14:textId="77777777" w:rsidR="00A05AC8" w:rsidRPr="00256982" w:rsidRDefault="00A05AC8" w:rsidP="00894F01">
            <w:pPr>
              <w:pStyle w:val="TableText"/>
              <w:keepNext/>
              <w:spacing w:before="50"/>
            </w:pPr>
          </w:p>
        </w:tc>
        <w:tc>
          <w:tcPr>
            <w:tcW w:w="2126" w:type="dxa"/>
          </w:tcPr>
          <w:p w14:paraId="55E74D0F" w14:textId="77777777" w:rsidR="00A05AC8" w:rsidRPr="00256982" w:rsidRDefault="00A05AC8" w:rsidP="00894F01">
            <w:pPr>
              <w:pStyle w:val="TableText"/>
              <w:keepNext/>
              <w:spacing w:before="50"/>
            </w:pPr>
            <w:r w:rsidRPr="00256982">
              <w:t>Percentage difference in emissions estimates</w:t>
            </w:r>
          </w:p>
        </w:tc>
        <w:tc>
          <w:tcPr>
            <w:tcW w:w="993" w:type="dxa"/>
            <w:vAlign w:val="center"/>
          </w:tcPr>
          <w:p w14:paraId="25840973" w14:textId="77777777" w:rsidR="00A05AC8" w:rsidRPr="00256982" w:rsidRDefault="00A05AC8" w:rsidP="00894F01">
            <w:pPr>
              <w:pStyle w:val="TableText"/>
              <w:keepNext/>
              <w:spacing w:before="50"/>
              <w:jc w:val="center"/>
              <w:rPr>
                <w:rFonts w:cs="Arial"/>
              </w:rPr>
            </w:pPr>
            <w:r w:rsidRPr="00256982">
              <w:t>–0.3</w:t>
            </w:r>
          </w:p>
        </w:tc>
        <w:tc>
          <w:tcPr>
            <w:tcW w:w="850" w:type="dxa"/>
            <w:vAlign w:val="center"/>
          </w:tcPr>
          <w:p w14:paraId="556B41D0" w14:textId="77777777" w:rsidR="00A05AC8" w:rsidRPr="00256982" w:rsidRDefault="00A05AC8" w:rsidP="00894F01">
            <w:pPr>
              <w:pStyle w:val="TableText"/>
              <w:spacing w:before="50"/>
              <w:jc w:val="center"/>
              <w:rPr>
                <w:rFonts w:cs="Arial"/>
              </w:rPr>
            </w:pPr>
            <w:r w:rsidRPr="00256982">
              <w:t>–0.3</w:t>
            </w:r>
          </w:p>
        </w:tc>
        <w:tc>
          <w:tcPr>
            <w:tcW w:w="1276" w:type="dxa"/>
            <w:vAlign w:val="center"/>
          </w:tcPr>
          <w:p w14:paraId="0EC8BBE1" w14:textId="77777777" w:rsidR="00A05AC8" w:rsidRPr="00256982" w:rsidRDefault="00A05AC8" w:rsidP="00894F01">
            <w:pPr>
              <w:pStyle w:val="TableText"/>
              <w:spacing w:before="50"/>
              <w:jc w:val="center"/>
              <w:rPr>
                <w:rFonts w:cs="Arial"/>
              </w:rPr>
            </w:pPr>
          </w:p>
        </w:tc>
        <w:tc>
          <w:tcPr>
            <w:tcW w:w="1474" w:type="dxa"/>
            <w:vAlign w:val="center"/>
          </w:tcPr>
          <w:p w14:paraId="45DC6F1E" w14:textId="77777777" w:rsidR="00A05AC8" w:rsidRPr="00256982" w:rsidRDefault="00A05AC8" w:rsidP="00894F01">
            <w:pPr>
              <w:pStyle w:val="TableText"/>
              <w:spacing w:before="50"/>
              <w:jc w:val="center"/>
              <w:rPr>
                <w:rFonts w:cs="Arial"/>
              </w:rPr>
            </w:pPr>
          </w:p>
        </w:tc>
      </w:tr>
    </w:tbl>
    <w:p w14:paraId="6F38648D" w14:textId="77777777" w:rsidR="00A05AC8" w:rsidRPr="00256982" w:rsidRDefault="00A05AC8" w:rsidP="00A05AC8">
      <w:pPr>
        <w:pStyle w:val="Heading5"/>
        <w:spacing w:before="360"/>
      </w:pPr>
      <w:r w:rsidRPr="00256982">
        <w:t>Corrections to the population models for sheep and deer</w:t>
      </w:r>
    </w:p>
    <w:p w14:paraId="61765F3F" w14:textId="77777777" w:rsidR="00A05AC8" w:rsidRPr="00256982" w:rsidRDefault="00A05AC8" w:rsidP="00E82F9A">
      <w:pPr>
        <w:pStyle w:val="BodyText"/>
      </w:pPr>
      <w:r w:rsidRPr="00256982">
        <w:t>During 2018, as part of ongoing quality assurance checks, errors were identified in some of the equations used to estimate the deer and sheep populations in different months of the year. These errors have been corrected for the 2019 (1990–2017) national inventory report. The specific animal categories corrected were:</w:t>
      </w:r>
    </w:p>
    <w:p w14:paraId="1530CEA1" w14:textId="77777777" w:rsidR="00A05AC8" w:rsidRPr="00256982" w:rsidRDefault="00A05AC8" w:rsidP="00A05AC8">
      <w:pPr>
        <w:pStyle w:val="Bullet"/>
        <w:numPr>
          <w:ilvl w:val="0"/>
          <w:numId w:val="8"/>
        </w:numPr>
      </w:pPr>
      <w:r w:rsidRPr="00256982">
        <w:t>mature breeding ewes (sheep)</w:t>
      </w:r>
    </w:p>
    <w:p w14:paraId="0C73A8B2" w14:textId="77777777" w:rsidR="00A05AC8" w:rsidRPr="00256982" w:rsidRDefault="00A05AC8" w:rsidP="00A05AC8">
      <w:pPr>
        <w:pStyle w:val="Bullet"/>
        <w:numPr>
          <w:ilvl w:val="0"/>
          <w:numId w:val="8"/>
        </w:numPr>
      </w:pPr>
      <w:r w:rsidRPr="00256982">
        <w:t>mixed age stags (deer)</w:t>
      </w:r>
    </w:p>
    <w:p w14:paraId="4C1B5C9A" w14:textId="77777777" w:rsidR="00A05AC8" w:rsidRPr="00256982" w:rsidRDefault="00A05AC8" w:rsidP="00A05AC8">
      <w:pPr>
        <w:pStyle w:val="Bullet"/>
        <w:numPr>
          <w:ilvl w:val="0"/>
          <w:numId w:val="8"/>
        </w:numPr>
      </w:pPr>
      <w:r w:rsidRPr="00256982">
        <w:t xml:space="preserve">slaughter hinds aged 0–2 (deer) </w:t>
      </w:r>
    </w:p>
    <w:p w14:paraId="50BC52AA" w14:textId="77777777" w:rsidR="00A05AC8" w:rsidRPr="00256982" w:rsidRDefault="00A05AC8" w:rsidP="00A05AC8">
      <w:pPr>
        <w:pStyle w:val="Bullet"/>
        <w:numPr>
          <w:ilvl w:val="0"/>
          <w:numId w:val="8"/>
        </w:numPr>
      </w:pPr>
      <w:r w:rsidRPr="00256982">
        <w:t>slaughter stags aged 0–3 (deer).</w:t>
      </w:r>
    </w:p>
    <w:p w14:paraId="63BC31FA" w14:textId="77777777" w:rsidR="00A05AC8" w:rsidRPr="00256982" w:rsidRDefault="00A05AC8" w:rsidP="00A05AC8">
      <w:pPr>
        <w:pStyle w:val="BodyText"/>
      </w:pPr>
      <w:r w:rsidRPr="00256982">
        <w:t xml:space="preserve">Because population estimates are used in the Tier 2 model to calculate energy requirements and intake, this correction affects </w:t>
      </w:r>
      <w:r w:rsidRPr="00256982">
        <w:rPr>
          <w:i/>
        </w:rPr>
        <w:t>Enteric fermentation</w:t>
      </w:r>
      <w:r w:rsidRPr="00256982">
        <w:t xml:space="preserve">, </w:t>
      </w:r>
      <w:r w:rsidRPr="00256982">
        <w:rPr>
          <w:i/>
        </w:rPr>
        <w:t>Manure management</w:t>
      </w:r>
      <w:r w:rsidRPr="00256982">
        <w:t xml:space="preserve"> and </w:t>
      </w:r>
      <w:r w:rsidRPr="00256982">
        <w:rPr>
          <w:i/>
        </w:rPr>
        <w:t xml:space="preserve">Agricultural soils </w:t>
      </w:r>
      <w:r w:rsidRPr="00256982">
        <w:t>emissions estimates from deer and sheep.</w:t>
      </w:r>
    </w:p>
    <w:p w14:paraId="45D62514" w14:textId="77777777" w:rsidR="00A05AC8" w:rsidRPr="00256982" w:rsidRDefault="00A05AC8" w:rsidP="00A05AC8">
      <w:pPr>
        <w:pStyle w:val="BodyText"/>
      </w:pPr>
      <w:r w:rsidRPr="00256982">
        <w:t>The effect of this correction on agricultural emissions (shown in table 10.1.8) is small. After the correction, estimated emissions from the Agriculture sector decreased by 0.2 per cent (52.8 kt CO</w:t>
      </w:r>
      <w:r w:rsidRPr="00256982">
        <w:rPr>
          <w:vertAlign w:val="subscript"/>
        </w:rPr>
        <w:t>2</w:t>
      </w:r>
      <w:r w:rsidRPr="00256982">
        <w:t>-e) in 1990 and increased by 0.6 per cent (213.5 kt CO</w:t>
      </w:r>
      <w:r w:rsidRPr="00256982">
        <w:rPr>
          <w:vertAlign w:val="subscript"/>
        </w:rPr>
        <w:t>2</w:t>
      </w:r>
      <w:r w:rsidRPr="00256982">
        <w:t>-e) in 2017.</w:t>
      </w:r>
    </w:p>
    <w:p w14:paraId="43594143" w14:textId="77777777" w:rsidR="00A05AC8" w:rsidRPr="00256982" w:rsidRDefault="00A05AC8" w:rsidP="00A05AC8">
      <w:pPr>
        <w:pStyle w:val="Table"/>
      </w:pPr>
      <w:bookmarkStart w:id="2522" w:name="_Toc5269616"/>
      <w:bookmarkStart w:id="2523" w:name="_Toc481751621"/>
      <w:bookmarkStart w:id="2524" w:name="_Toc451176190"/>
      <w:r w:rsidRPr="00256982">
        <w:t>Table 10.1.8</w:t>
      </w:r>
      <w:r w:rsidRPr="00256982">
        <w:tab/>
        <w:t>Comparison of current and previous emissions estimates before and after sheep and deer population model corrections, 1990 to 2017, for total agricultural emissions</w:t>
      </w:r>
      <w:bookmarkEnd w:id="2522"/>
    </w:p>
    <w:tbl>
      <w:tblPr>
        <w:tblW w:w="8562" w:type="dxa"/>
        <w:tblInd w:w="57" w:type="dxa"/>
        <w:tblBorders>
          <w:top w:val="single" w:sz="4" w:space="0" w:color="365F91"/>
          <w:bottom w:val="single" w:sz="4" w:space="0" w:color="365F91"/>
          <w:insideH w:val="single" w:sz="4" w:space="0" w:color="365F91"/>
        </w:tblBorders>
        <w:tblLook w:val="0000" w:firstRow="0" w:lastRow="0" w:firstColumn="0" w:lastColumn="0" w:noHBand="0" w:noVBand="0"/>
      </w:tblPr>
      <w:tblGrid>
        <w:gridCol w:w="1611"/>
        <w:gridCol w:w="2266"/>
        <w:gridCol w:w="910"/>
        <w:gridCol w:w="911"/>
        <w:gridCol w:w="1418"/>
        <w:gridCol w:w="1446"/>
      </w:tblGrid>
      <w:tr w:rsidR="00A05AC8" w:rsidRPr="00256982" w14:paraId="3567E1B2" w14:textId="77777777" w:rsidTr="00894F01">
        <w:trPr>
          <w:trHeight w:val="608"/>
          <w:tblHeader/>
        </w:trPr>
        <w:tc>
          <w:tcPr>
            <w:tcW w:w="1611" w:type="dxa"/>
            <w:shd w:val="clear" w:color="auto" w:fill="365F91"/>
            <w:vAlign w:val="bottom"/>
          </w:tcPr>
          <w:p w14:paraId="52298EBD" w14:textId="77777777" w:rsidR="00A05AC8" w:rsidRPr="00256982" w:rsidRDefault="00A05AC8" w:rsidP="00B7783F">
            <w:pPr>
              <w:pStyle w:val="TableTextBold"/>
              <w:keepNext/>
              <w:rPr>
                <w:rFonts w:cs="Arial"/>
                <w:noProof w:val="0"/>
                <w:color w:val="FFFFFF"/>
                <w:szCs w:val="16"/>
              </w:rPr>
            </w:pPr>
          </w:p>
        </w:tc>
        <w:tc>
          <w:tcPr>
            <w:tcW w:w="2266" w:type="dxa"/>
            <w:shd w:val="clear" w:color="auto" w:fill="365F91"/>
            <w:vAlign w:val="bottom"/>
          </w:tcPr>
          <w:p w14:paraId="1F55DBFA" w14:textId="77777777" w:rsidR="00A05AC8" w:rsidRPr="00256982" w:rsidRDefault="00A05AC8" w:rsidP="00B7783F">
            <w:pPr>
              <w:pStyle w:val="TableTextBold"/>
              <w:keepNext/>
              <w:rPr>
                <w:rFonts w:cs="Arial"/>
                <w:noProof w:val="0"/>
                <w:color w:val="FFFFFF"/>
                <w:szCs w:val="16"/>
              </w:rPr>
            </w:pPr>
          </w:p>
        </w:tc>
        <w:tc>
          <w:tcPr>
            <w:tcW w:w="910" w:type="dxa"/>
            <w:shd w:val="clear" w:color="auto" w:fill="365F91"/>
            <w:vAlign w:val="bottom"/>
          </w:tcPr>
          <w:p w14:paraId="3BE4CE34" w14:textId="77777777" w:rsidR="00A05AC8" w:rsidRPr="00256982" w:rsidRDefault="00A05AC8" w:rsidP="00B7783F">
            <w:pPr>
              <w:pStyle w:val="TableTextBold"/>
              <w:keepNext/>
              <w:jc w:val="center"/>
              <w:rPr>
                <w:rFonts w:cs="Arial"/>
                <w:noProof w:val="0"/>
                <w:color w:val="FFFFFF"/>
              </w:rPr>
            </w:pPr>
            <w:r w:rsidRPr="00256982">
              <w:rPr>
                <w:rFonts w:cs="Arial"/>
                <w:noProof w:val="0"/>
                <w:color w:val="FFFFFF"/>
              </w:rPr>
              <w:t>1990</w:t>
            </w:r>
          </w:p>
        </w:tc>
        <w:tc>
          <w:tcPr>
            <w:tcW w:w="911" w:type="dxa"/>
            <w:shd w:val="clear" w:color="auto" w:fill="365F91"/>
            <w:vAlign w:val="bottom"/>
          </w:tcPr>
          <w:p w14:paraId="53C76633" w14:textId="77777777" w:rsidR="00A05AC8" w:rsidRPr="00256982" w:rsidRDefault="00A05AC8" w:rsidP="00B7783F">
            <w:pPr>
              <w:pStyle w:val="TableTextBold"/>
              <w:jc w:val="center"/>
              <w:rPr>
                <w:rFonts w:cs="Arial"/>
                <w:noProof w:val="0"/>
                <w:color w:val="FFFFFF"/>
              </w:rPr>
            </w:pPr>
            <w:r w:rsidRPr="00256982">
              <w:rPr>
                <w:rFonts w:cs="Arial"/>
                <w:noProof w:val="0"/>
                <w:color w:val="FFFFFF"/>
              </w:rPr>
              <w:t>2017</w:t>
            </w:r>
          </w:p>
        </w:tc>
        <w:tc>
          <w:tcPr>
            <w:tcW w:w="1418" w:type="dxa"/>
            <w:shd w:val="clear" w:color="auto" w:fill="365F91"/>
            <w:vAlign w:val="bottom"/>
          </w:tcPr>
          <w:p w14:paraId="23A88D0B" w14:textId="77777777" w:rsidR="00A05AC8" w:rsidRPr="00256982" w:rsidRDefault="00A05AC8" w:rsidP="00B7783F">
            <w:pPr>
              <w:pStyle w:val="TableTextBold"/>
              <w:jc w:val="center"/>
              <w:rPr>
                <w:rFonts w:cs="Arial"/>
                <w:noProof w:val="0"/>
                <w:color w:val="FFFFFF"/>
                <w:szCs w:val="16"/>
              </w:rPr>
            </w:pPr>
            <w:r w:rsidRPr="00256982">
              <w:rPr>
                <w:rFonts w:cs="Arial"/>
                <w:noProof w:val="0"/>
                <w:color w:val="FFFFFF"/>
                <w:szCs w:val="16"/>
              </w:rPr>
              <w:t>Change in emission outputs between 1990 and 2016 (kt CO</w:t>
            </w:r>
            <w:r w:rsidRPr="00256982">
              <w:rPr>
                <w:rFonts w:cs="Arial"/>
                <w:noProof w:val="0"/>
                <w:color w:val="FFFFFF"/>
                <w:szCs w:val="16"/>
                <w:vertAlign w:val="subscript"/>
              </w:rPr>
              <w:t>2</w:t>
            </w:r>
            <w:r w:rsidRPr="00256982">
              <w:rPr>
                <w:rFonts w:cs="Arial"/>
                <w:noProof w:val="0"/>
                <w:color w:val="FFFFFF"/>
                <w:szCs w:val="16"/>
              </w:rPr>
              <w:t xml:space="preserve">-e) </w:t>
            </w:r>
          </w:p>
        </w:tc>
        <w:tc>
          <w:tcPr>
            <w:tcW w:w="1446" w:type="dxa"/>
            <w:shd w:val="clear" w:color="auto" w:fill="365F91"/>
            <w:vAlign w:val="bottom"/>
          </w:tcPr>
          <w:p w14:paraId="1437A2A9" w14:textId="77777777" w:rsidR="00A05AC8" w:rsidRPr="00256982" w:rsidRDefault="00A05AC8" w:rsidP="00B7783F">
            <w:pPr>
              <w:pStyle w:val="TableTextBold"/>
              <w:jc w:val="center"/>
              <w:rPr>
                <w:rFonts w:cs="Arial"/>
                <w:noProof w:val="0"/>
                <w:color w:val="FFFFFF"/>
                <w:szCs w:val="16"/>
              </w:rPr>
            </w:pPr>
            <w:r w:rsidRPr="00256982">
              <w:rPr>
                <w:rFonts w:cs="Arial"/>
                <w:noProof w:val="0"/>
                <w:color w:val="FFFFFF"/>
                <w:szCs w:val="16"/>
              </w:rPr>
              <w:t>Percentage change in emission outputs between 1990 and 2016</w:t>
            </w:r>
          </w:p>
        </w:tc>
      </w:tr>
      <w:tr w:rsidR="00A05AC8" w:rsidRPr="00256982" w14:paraId="6B38D8DA" w14:textId="77777777" w:rsidTr="00894F01">
        <w:trPr>
          <w:trHeight w:val="454"/>
        </w:trPr>
        <w:tc>
          <w:tcPr>
            <w:tcW w:w="1611" w:type="dxa"/>
            <w:vMerge w:val="restart"/>
            <w:vAlign w:val="center"/>
          </w:tcPr>
          <w:p w14:paraId="53D04BC3" w14:textId="6E78D365" w:rsidR="00A05AC8" w:rsidRPr="00256982" w:rsidRDefault="00A05AC8" w:rsidP="00894F01">
            <w:pPr>
              <w:pStyle w:val="TableText"/>
            </w:pPr>
            <w:r w:rsidRPr="00256982">
              <w:t>Total emissions from Agriculture category (kt CO</w:t>
            </w:r>
            <w:r w:rsidRPr="00256982">
              <w:rPr>
                <w:vertAlign w:val="subscript"/>
              </w:rPr>
              <w:t>2</w:t>
            </w:r>
            <w:r w:rsidRPr="00256982">
              <w:t>-e)</w:t>
            </w:r>
          </w:p>
        </w:tc>
        <w:tc>
          <w:tcPr>
            <w:tcW w:w="2266" w:type="dxa"/>
          </w:tcPr>
          <w:p w14:paraId="78F74A2F" w14:textId="77777777" w:rsidR="00A05AC8" w:rsidRPr="00256982" w:rsidRDefault="00A05AC8" w:rsidP="00B7783F">
            <w:pPr>
              <w:pStyle w:val="TableText"/>
              <w:keepNext/>
            </w:pPr>
            <w:r w:rsidRPr="00256982">
              <w:t>2019 (1990–2017) emissions estimate using incorrect population equations</w:t>
            </w:r>
          </w:p>
        </w:tc>
        <w:tc>
          <w:tcPr>
            <w:tcW w:w="910" w:type="dxa"/>
            <w:vAlign w:val="center"/>
          </w:tcPr>
          <w:p w14:paraId="41E5DED1" w14:textId="77777777" w:rsidR="00A05AC8" w:rsidRPr="00256982" w:rsidRDefault="00A05AC8" w:rsidP="00B7783F">
            <w:pPr>
              <w:pStyle w:val="TableText"/>
              <w:keepNext/>
              <w:jc w:val="center"/>
              <w:rPr>
                <w:rFonts w:cs="Arial"/>
              </w:rPr>
            </w:pPr>
            <w:r w:rsidRPr="00256982">
              <w:t>34,310.0</w:t>
            </w:r>
          </w:p>
        </w:tc>
        <w:tc>
          <w:tcPr>
            <w:tcW w:w="911" w:type="dxa"/>
            <w:vAlign w:val="center"/>
          </w:tcPr>
          <w:p w14:paraId="2AA1C794" w14:textId="77777777" w:rsidR="00A05AC8" w:rsidRPr="00256982" w:rsidRDefault="00A05AC8" w:rsidP="00B7783F">
            <w:pPr>
              <w:pStyle w:val="TableText"/>
              <w:jc w:val="center"/>
              <w:rPr>
                <w:rFonts w:cs="Arial"/>
              </w:rPr>
            </w:pPr>
            <w:r w:rsidRPr="00256982">
              <w:t>38,667.3</w:t>
            </w:r>
          </w:p>
        </w:tc>
        <w:tc>
          <w:tcPr>
            <w:tcW w:w="1418" w:type="dxa"/>
            <w:vAlign w:val="center"/>
          </w:tcPr>
          <w:p w14:paraId="1B722F77" w14:textId="77777777" w:rsidR="00A05AC8" w:rsidRPr="00256982" w:rsidRDefault="00A05AC8" w:rsidP="00B7783F">
            <w:pPr>
              <w:pStyle w:val="TableText"/>
              <w:jc w:val="center"/>
              <w:rPr>
                <w:rFonts w:cs="Arial"/>
              </w:rPr>
            </w:pPr>
            <w:r w:rsidRPr="00256982">
              <w:t>4,357.2</w:t>
            </w:r>
          </w:p>
        </w:tc>
        <w:tc>
          <w:tcPr>
            <w:tcW w:w="1446" w:type="dxa"/>
            <w:vAlign w:val="center"/>
          </w:tcPr>
          <w:p w14:paraId="0693B2A3" w14:textId="77777777" w:rsidR="00A05AC8" w:rsidRPr="00256982" w:rsidRDefault="00A05AC8" w:rsidP="00B7783F">
            <w:pPr>
              <w:pStyle w:val="TableText"/>
              <w:jc w:val="center"/>
              <w:rPr>
                <w:rFonts w:cs="Arial"/>
              </w:rPr>
            </w:pPr>
            <w:r w:rsidRPr="00256982">
              <w:t>12.7</w:t>
            </w:r>
          </w:p>
        </w:tc>
      </w:tr>
      <w:tr w:rsidR="00A05AC8" w:rsidRPr="00256982" w14:paraId="173F31AC" w14:textId="77777777" w:rsidTr="00894F01">
        <w:trPr>
          <w:trHeight w:val="454"/>
        </w:trPr>
        <w:tc>
          <w:tcPr>
            <w:tcW w:w="1611" w:type="dxa"/>
            <w:vMerge/>
          </w:tcPr>
          <w:p w14:paraId="7EE40187" w14:textId="77777777" w:rsidR="00A05AC8" w:rsidRPr="00256982" w:rsidRDefault="00A05AC8" w:rsidP="00B7783F">
            <w:pPr>
              <w:pStyle w:val="TableText"/>
              <w:keepNext/>
            </w:pPr>
          </w:p>
        </w:tc>
        <w:tc>
          <w:tcPr>
            <w:tcW w:w="2266" w:type="dxa"/>
          </w:tcPr>
          <w:p w14:paraId="0C1B8C43" w14:textId="77777777" w:rsidR="00A05AC8" w:rsidRPr="00256982" w:rsidRDefault="00A05AC8" w:rsidP="00B7783F">
            <w:pPr>
              <w:pStyle w:val="TableText"/>
              <w:keepNext/>
            </w:pPr>
            <w:r w:rsidRPr="00256982">
              <w:t>2019 (1990–2017) emissions estimate using corrected population equations</w:t>
            </w:r>
          </w:p>
        </w:tc>
        <w:tc>
          <w:tcPr>
            <w:tcW w:w="910" w:type="dxa"/>
            <w:vAlign w:val="center"/>
          </w:tcPr>
          <w:p w14:paraId="17E08F54" w14:textId="77777777" w:rsidR="00A05AC8" w:rsidRPr="00256982" w:rsidRDefault="00A05AC8" w:rsidP="00B7783F">
            <w:pPr>
              <w:pStyle w:val="TableText"/>
              <w:keepNext/>
              <w:jc w:val="center"/>
              <w:rPr>
                <w:rFonts w:cs="Arial"/>
              </w:rPr>
            </w:pPr>
            <w:r w:rsidRPr="00256982">
              <w:t>34,257.2</w:t>
            </w:r>
          </w:p>
        </w:tc>
        <w:tc>
          <w:tcPr>
            <w:tcW w:w="911" w:type="dxa"/>
            <w:vAlign w:val="center"/>
          </w:tcPr>
          <w:p w14:paraId="1CE74AB5" w14:textId="77777777" w:rsidR="00A05AC8" w:rsidRPr="00256982" w:rsidRDefault="00A05AC8" w:rsidP="00B7783F">
            <w:pPr>
              <w:pStyle w:val="TableText"/>
              <w:jc w:val="center"/>
              <w:rPr>
                <w:rFonts w:cs="Arial"/>
              </w:rPr>
            </w:pPr>
            <w:r w:rsidRPr="00256982">
              <w:t>38,880.7</w:t>
            </w:r>
          </w:p>
        </w:tc>
        <w:tc>
          <w:tcPr>
            <w:tcW w:w="1418" w:type="dxa"/>
            <w:vAlign w:val="center"/>
          </w:tcPr>
          <w:p w14:paraId="7029B647" w14:textId="77777777" w:rsidR="00A05AC8" w:rsidRPr="00256982" w:rsidRDefault="00A05AC8" w:rsidP="00B7783F">
            <w:pPr>
              <w:pStyle w:val="TableText"/>
              <w:jc w:val="center"/>
              <w:rPr>
                <w:rFonts w:cs="Arial"/>
              </w:rPr>
            </w:pPr>
            <w:r w:rsidRPr="00256982">
              <w:t>4,623.5</w:t>
            </w:r>
          </w:p>
        </w:tc>
        <w:tc>
          <w:tcPr>
            <w:tcW w:w="1446" w:type="dxa"/>
            <w:vAlign w:val="center"/>
          </w:tcPr>
          <w:p w14:paraId="0B42A84C" w14:textId="77777777" w:rsidR="00A05AC8" w:rsidRPr="00256982" w:rsidRDefault="00A05AC8" w:rsidP="00B7783F">
            <w:pPr>
              <w:pStyle w:val="TableText"/>
              <w:jc w:val="center"/>
              <w:rPr>
                <w:rFonts w:cs="Arial"/>
              </w:rPr>
            </w:pPr>
            <w:r w:rsidRPr="00256982">
              <w:t>13.5</w:t>
            </w:r>
          </w:p>
        </w:tc>
      </w:tr>
      <w:tr w:rsidR="00A05AC8" w:rsidRPr="00256982" w14:paraId="0B85E083" w14:textId="77777777" w:rsidTr="00894F01">
        <w:trPr>
          <w:trHeight w:val="454"/>
        </w:trPr>
        <w:tc>
          <w:tcPr>
            <w:tcW w:w="1611" w:type="dxa"/>
            <w:vMerge/>
          </w:tcPr>
          <w:p w14:paraId="6E614097" w14:textId="77777777" w:rsidR="00A05AC8" w:rsidRPr="00256982" w:rsidRDefault="00A05AC8" w:rsidP="00B7783F">
            <w:pPr>
              <w:pStyle w:val="TableText"/>
              <w:keepNext/>
            </w:pPr>
          </w:p>
        </w:tc>
        <w:tc>
          <w:tcPr>
            <w:tcW w:w="2266" w:type="dxa"/>
          </w:tcPr>
          <w:p w14:paraId="23F7C809" w14:textId="77777777" w:rsidR="00A05AC8" w:rsidRPr="00256982" w:rsidRDefault="00A05AC8" w:rsidP="00B7783F">
            <w:pPr>
              <w:pStyle w:val="TableText"/>
              <w:keepNext/>
            </w:pPr>
            <w:r w:rsidRPr="00256982">
              <w:t>Difference in emissions estimates compared with current inventory</w:t>
            </w:r>
          </w:p>
        </w:tc>
        <w:tc>
          <w:tcPr>
            <w:tcW w:w="910" w:type="dxa"/>
            <w:vAlign w:val="center"/>
          </w:tcPr>
          <w:p w14:paraId="73C1B963" w14:textId="77777777" w:rsidR="00A05AC8" w:rsidRPr="00256982" w:rsidRDefault="00A05AC8" w:rsidP="00B7783F">
            <w:pPr>
              <w:pStyle w:val="TableText"/>
              <w:keepNext/>
              <w:jc w:val="center"/>
              <w:rPr>
                <w:rFonts w:cs="Arial"/>
              </w:rPr>
            </w:pPr>
            <w:r w:rsidRPr="00256982">
              <w:t>–52.8</w:t>
            </w:r>
          </w:p>
        </w:tc>
        <w:tc>
          <w:tcPr>
            <w:tcW w:w="911" w:type="dxa"/>
            <w:vAlign w:val="center"/>
          </w:tcPr>
          <w:p w14:paraId="69F20D0A" w14:textId="77777777" w:rsidR="00A05AC8" w:rsidRPr="00256982" w:rsidRDefault="00A05AC8" w:rsidP="00B7783F">
            <w:pPr>
              <w:pStyle w:val="TableText"/>
              <w:jc w:val="center"/>
              <w:rPr>
                <w:rFonts w:cs="Arial"/>
              </w:rPr>
            </w:pPr>
            <w:r w:rsidRPr="00256982">
              <w:t>213.5</w:t>
            </w:r>
          </w:p>
        </w:tc>
        <w:tc>
          <w:tcPr>
            <w:tcW w:w="1418" w:type="dxa"/>
            <w:vAlign w:val="center"/>
          </w:tcPr>
          <w:p w14:paraId="05EB1F10" w14:textId="77777777" w:rsidR="00A05AC8" w:rsidRPr="00256982" w:rsidRDefault="00A05AC8" w:rsidP="00B7783F">
            <w:pPr>
              <w:pStyle w:val="TableText"/>
              <w:jc w:val="center"/>
              <w:rPr>
                <w:rFonts w:cs="Arial"/>
              </w:rPr>
            </w:pPr>
            <w:r w:rsidRPr="00256982">
              <w:t>266.3</w:t>
            </w:r>
          </w:p>
        </w:tc>
        <w:tc>
          <w:tcPr>
            <w:tcW w:w="1446" w:type="dxa"/>
            <w:vAlign w:val="center"/>
          </w:tcPr>
          <w:p w14:paraId="281367E7" w14:textId="77777777" w:rsidR="00A05AC8" w:rsidRPr="00256982" w:rsidRDefault="00A05AC8" w:rsidP="00B7783F">
            <w:pPr>
              <w:pStyle w:val="TableText"/>
              <w:jc w:val="center"/>
              <w:rPr>
                <w:rFonts w:cs="Arial"/>
              </w:rPr>
            </w:pPr>
          </w:p>
        </w:tc>
      </w:tr>
      <w:tr w:rsidR="00A05AC8" w:rsidRPr="00256982" w14:paraId="440F61A0" w14:textId="77777777" w:rsidTr="00894F01">
        <w:trPr>
          <w:trHeight w:val="454"/>
        </w:trPr>
        <w:tc>
          <w:tcPr>
            <w:tcW w:w="1611" w:type="dxa"/>
            <w:vMerge/>
          </w:tcPr>
          <w:p w14:paraId="2A02C208" w14:textId="77777777" w:rsidR="00A05AC8" w:rsidRPr="00256982" w:rsidRDefault="00A05AC8" w:rsidP="00B7783F">
            <w:pPr>
              <w:pStyle w:val="TableText"/>
              <w:keepNext/>
            </w:pPr>
          </w:p>
        </w:tc>
        <w:tc>
          <w:tcPr>
            <w:tcW w:w="2266" w:type="dxa"/>
          </w:tcPr>
          <w:p w14:paraId="46DA6879" w14:textId="77777777" w:rsidR="00A05AC8" w:rsidRPr="00256982" w:rsidRDefault="00A05AC8" w:rsidP="00B7783F">
            <w:pPr>
              <w:pStyle w:val="TableText"/>
              <w:keepNext/>
            </w:pPr>
            <w:r w:rsidRPr="00256982">
              <w:t>Percentage difference in emissions estimates</w:t>
            </w:r>
          </w:p>
        </w:tc>
        <w:tc>
          <w:tcPr>
            <w:tcW w:w="910" w:type="dxa"/>
            <w:vAlign w:val="center"/>
          </w:tcPr>
          <w:p w14:paraId="43E6D34E" w14:textId="77777777" w:rsidR="00A05AC8" w:rsidRPr="00256982" w:rsidRDefault="00A05AC8" w:rsidP="00B7783F">
            <w:pPr>
              <w:pStyle w:val="TableText"/>
              <w:keepNext/>
              <w:jc w:val="center"/>
              <w:rPr>
                <w:rFonts w:cs="Arial"/>
              </w:rPr>
            </w:pPr>
            <w:r w:rsidRPr="00256982">
              <w:t>–0.2</w:t>
            </w:r>
          </w:p>
        </w:tc>
        <w:tc>
          <w:tcPr>
            <w:tcW w:w="911" w:type="dxa"/>
            <w:vAlign w:val="center"/>
          </w:tcPr>
          <w:p w14:paraId="09454004" w14:textId="77777777" w:rsidR="00A05AC8" w:rsidRPr="00256982" w:rsidRDefault="00A05AC8" w:rsidP="00B7783F">
            <w:pPr>
              <w:pStyle w:val="TableText"/>
              <w:jc w:val="center"/>
              <w:rPr>
                <w:rFonts w:cs="Arial"/>
              </w:rPr>
            </w:pPr>
            <w:r w:rsidRPr="00256982">
              <w:t>0.6</w:t>
            </w:r>
          </w:p>
        </w:tc>
        <w:tc>
          <w:tcPr>
            <w:tcW w:w="1418" w:type="dxa"/>
            <w:vAlign w:val="center"/>
          </w:tcPr>
          <w:p w14:paraId="40B5836A" w14:textId="77777777" w:rsidR="00A05AC8" w:rsidRPr="00256982" w:rsidRDefault="00A05AC8" w:rsidP="00B7783F">
            <w:pPr>
              <w:pStyle w:val="TableText"/>
              <w:jc w:val="center"/>
              <w:rPr>
                <w:rFonts w:cs="Arial"/>
              </w:rPr>
            </w:pPr>
          </w:p>
        </w:tc>
        <w:tc>
          <w:tcPr>
            <w:tcW w:w="1446" w:type="dxa"/>
            <w:vAlign w:val="center"/>
          </w:tcPr>
          <w:p w14:paraId="0E7F488F" w14:textId="77777777" w:rsidR="00A05AC8" w:rsidRPr="00256982" w:rsidRDefault="00A05AC8" w:rsidP="00B7783F">
            <w:pPr>
              <w:pStyle w:val="TableText"/>
              <w:jc w:val="center"/>
              <w:rPr>
                <w:rFonts w:cs="Arial"/>
              </w:rPr>
            </w:pPr>
          </w:p>
        </w:tc>
      </w:tr>
    </w:tbl>
    <w:bookmarkEnd w:id="2523"/>
    <w:bookmarkEnd w:id="2524"/>
    <w:p w14:paraId="1D212280" w14:textId="77777777" w:rsidR="00A05AC8" w:rsidRPr="00256982" w:rsidRDefault="00A05AC8" w:rsidP="00894F01">
      <w:pPr>
        <w:pStyle w:val="Heading5"/>
        <w:spacing w:before="360"/>
      </w:pPr>
      <w:r w:rsidRPr="00256982">
        <w:t>Revision of agricultural statistics</w:t>
      </w:r>
    </w:p>
    <w:p w14:paraId="1B354725" w14:textId="4E89054A" w:rsidR="00A05AC8" w:rsidRPr="00256982" w:rsidRDefault="00A05AC8" w:rsidP="004B5FFC">
      <w:pPr>
        <w:pStyle w:val="BodyText"/>
        <w:spacing w:before="100"/>
      </w:pPr>
      <w:r w:rsidRPr="00256982">
        <w:t>Revision and finalisation of agricultural data from Statistics New Zealand (Stats NZ) can mean emissions estimates for the latest two years vary from the previous submission for certain source</w:t>
      </w:r>
      <w:r w:rsidR="004B5FFC" w:rsidRPr="00256982">
        <w:t> </w:t>
      </w:r>
      <w:r w:rsidRPr="00256982">
        <w:t>categories.</w:t>
      </w:r>
    </w:p>
    <w:p w14:paraId="65F70438" w14:textId="77777777" w:rsidR="00A05AC8" w:rsidRPr="00256982" w:rsidRDefault="00A05AC8" w:rsidP="004B5FFC">
      <w:pPr>
        <w:pStyle w:val="BodyText"/>
        <w:spacing w:before="100"/>
      </w:pPr>
      <w:r w:rsidRPr="00256982">
        <w:t>The calculation of emissions for the most recent year requires data from Stats NZ that is only provisional at the time the inventory is compiled. These figures can change after receiving final animal numbers and data. The final figures will be taken account of in the 2020 (1990–2018) submission.</w:t>
      </w:r>
    </w:p>
    <w:p w14:paraId="5069D7DF" w14:textId="77777777" w:rsidR="00A05AC8" w:rsidRPr="00256982" w:rsidRDefault="00A05AC8" w:rsidP="004B5FFC">
      <w:pPr>
        <w:pStyle w:val="BodyText"/>
        <w:spacing w:before="100"/>
      </w:pPr>
      <w:r w:rsidRPr="00256982">
        <w:t>In this submission, provisional 2017 data from Stats NZ were not available, therefore, the 2017 animal population numbers for major livestock categories have been estimated by the Ministry for Primary Industries. These will be updated with final figures from Stats NZ in the 2020 (1990–2018) submission.</w:t>
      </w:r>
    </w:p>
    <w:p w14:paraId="078B65B3" w14:textId="77777777" w:rsidR="00A05AC8" w:rsidRPr="00256982" w:rsidRDefault="00A05AC8" w:rsidP="00A05AC8">
      <w:pPr>
        <w:pStyle w:val="Heading3"/>
        <w:tabs>
          <w:tab w:val="left" w:pos="993"/>
        </w:tabs>
        <w:ind w:left="993" w:hanging="993"/>
      </w:pPr>
      <w:r w:rsidRPr="00256982">
        <w:t xml:space="preserve">10.1.4 </w:t>
      </w:r>
      <w:r w:rsidRPr="00256982">
        <w:tab/>
        <w:t>Land use, land-use change and forestry</w:t>
      </w:r>
    </w:p>
    <w:p w14:paraId="09C935C9" w14:textId="77777777" w:rsidR="00A05AC8" w:rsidRPr="00256982" w:rsidRDefault="00A05AC8" w:rsidP="00A05AC8">
      <w:pPr>
        <w:pStyle w:val="BodyText"/>
      </w:pPr>
      <w:bookmarkStart w:id="2525" w:name="_Toc414531641"/>
      <w:bookmarkStart w:id="2526" w:name="_Toc447275724"/>
      <w:bookmarkStart w:id="2527" w:name="_Toc481752043"/>
      <w:bookmarkStart w:id="2528" w:name="_Toc511116997"/>
      <w:r w:rsidRPr="00256982">
        <w:t xml:space="preserve">Improvements made to the LULUCF sector have resulted in a </w:t>
      </w:r>
      <w:r w:rsidRPr="00256982">
        <w:rPr>
          <w:rFonts w:cs="Arial"/>
          <w:color w:val="000000"/>
          <w:szCs w:val="16"/>
        </w:rPr>
        <w:t>5.5</w:t>
      </w:r>
      <w:r w:rsidRPr="00256982">
        <w:t xml:space="preserve"> per cent (1,622.3 kt CO</w:t>
      </w:r>
      <w:r w:rsidRPr="00256982">
        <w:rPr>
          <w:vertAlign w:val="subscript"/>
        </w:rPr>
        <w:t>2</w:t>
      </w:r>
      <w:r w:rsidRPr="00256982">
        <w:noBreakHyphen/>
        <w:t>e) increase in net LULUCF removals in 1990 and a 9.0 per cent (</w:t>
      </w:r>
      <w:r w:rsidRPr="00256982">
        <w:rPr>
          <w:rFonts w:cs="Arial"/>
          <w:color w:val="000000"/>
          <w:szCs w:val="16"/>
        </w:rPr>
        <w:t xml:space="preserve">2,057.9 </w:t>
      </w:r>
      <w:r w:rsidRPr="00256982">
        <w:t>kt CO</w:t>
      </w:r>
      <w:r w:rsidRPr="00256982">
        <w:rPr>
          <w:vertAlign w:val="subscript"/>
        </w:rPr>
        <w:t>2</w:t>
      </w:r>
      <w:r w:rsidRPr="00256982">
        <w:t>-e) increase in net LULUCF removals in 2016 (figure 10.1.5).</w:t>
      </w:r>
    </w:p>
    <w:p w14:paraId="07210483" w14:textId="77777777" w:rsidR="00A05AC8" w:rsidRPr="00256982" w:rsidRDefault="00A05AC8" w:rsidP="00A05AC8">
      <w:pPr>
        <w:pStyle w:val="Figure"/>
        <w:spacing w:after="0"/>
      </w:pPr>
      <w:bookmarkStart w:id="2529" w:name="_Toc5269732"/>
      <w:r w:rsidRPr="00256982">
        <w:t>Figure 10.1.5</w:t>
      </w:r>
      <w:r w:rsidRPr="00256982">
        <w:tab/>
        <w:t>Effect of recalculations on net emissions from New Zealand’s LULUCF sector from 1990 to 201</w:t>
      </w:r>
      <w:bookmarkEnd w:id="2525"/>
      <w:bookmarkEnd w:id="2526"/>
      <w:bookmarkEnd w:id="2527"/>
      <w:bookmarkEnd w:id="2528"/>
      <w:r w:rsidRPr="00256982">
        <w:t>6</w:t>
      </w:r>
      <w:bookmarkEnd w:id="2529"/>
    </w:p>
    <w:p w14:paraId="18B6DAAD" w14:textId="4D709E76" w:rsidR="00A05AC8" w:rsidRPr="00256982" w:rsidRDefault="00590491" w:rsidP="00A05AC8">
      <w:pPr>
        <w:rPr>
          <w:lang w:eastAsia="en-NZ"/>
        </w:rPr>
      </w:pPr>
      <w:r>
        <w:rPr>
          <w:lang w:eastAsia="en-NZ"/>
        </w:rPr>
        <w:pict w14:anchorId="5E124F1D">
          <v:shape id="_x0000_i1168" type="#_x0000_t75" style="width:417.75pt;height:219.75pt;visibility:visible" o:gfxdata="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">
            <v:imagedata r:id="rId255" o:title="" croptop="1819f" cropbottom="4870f" cropleft="1254f"/>
            <o:lock v:ext="edit" aspectratio="f"/>
          </v:shape>
        </w:pict>
      </w:r>
    </w:p>
    <w:p w14:paraId="39EFE475" w14:textId="77777777" w:rsidR="00A05AC8" w:rsidRPr="00256982" w:rsidRDefault="00A05AC8" w:rsidP="00A05AC8">
      <w:pPr>
        <w:pStyle w:val="Noteundertable"/>
      </w:pPr>
      <w:r w:rsidRPr="00256982">
        <w:rPr>
          <w:b/>
        </w:rPr>
        <w:t>Note:</w:t>
      </w:r>
      <w:r w:rsidRPr="00256982">
        <w:t xml:space="preserve"> </w:t>
      </w:r>
      <w:r w:rsidRPr="00256982">
        <w:tab/>
        <w:t xml:space="preserve">Net emissions are expressed as a negative value to help clarify that the value is a removal and not an emission. </w:t>
      </w:r>
    </w:p>
    <w:p w14:paraId="431C2C87" w14:textId="77777777" w:rsidR="00A05AC8" w:rsidRPr="00256982" w:rsidRDefault="00A05AC8" w:rsidP="00A05AC8">
      <w:pPr>
        <w:pStyle w:val="BodyText"/>
        <w:keepNext/>
      </w:pPr>
      <w:bookmarkStart w:id="2530" w:name="_Toc451176191"/>
      <w:bookmarkStart w:id="2531" w:name="_Toc481751622"/>
      <w:r w:rsidRPr="00256982">
        <w:t xml:space="preserve">Significant improvements to the 2019 inventory submission include: </w:t>
      </w:r>
    </w:p>
    <w:p w14:paraId="2AE51095" w14:textId="44DDEBF5" w:rsidR="00A05AC8" w:rsidRPr="00256982" w:rsidRDefault="00A05AC8" w:rsidP="00A05AC8">
      <w:pPr>
        <w:pStyle w:val="Bullet"/>
        <w:numPr>
          <w:ilvl w:val="0"/>
          <w:numId w:val="8"/>
        </w:numPr>
      </w:pPr>
      <w:r w:rsidRPr="00256982">
        <w:t>a new land use map for 2016 has been included, along with associated mapping improvements, which lead to a more accurate, consistent and complete activity data time</w:t>
      </w:r>
      <w:r w:rsidR="004B5FFC" w:rsidRPr="00256982">
        <w:t> </w:t>
      </w:r>
      <w:r w:rsidRPr="00256982">
        <w:t>series</w:t>
      </w:r>
    </w:p>
    <w:p w14:paraId="30BA004B" w14:textId="77777777" w:rsidR="00A05AC8" w:rsidRPr="00256982" w:rsidRDefault="00A05AC8" w:rsidP="00A05AC8">
      <w:pPr>
        <w:pStyle w:val="Bullet"/>
        <w:numPr>
          <w:ilvl w:val="0"/>
          <w:numId w:val="8"/>
        </w:numPr>
      </w:pPr>
      <w:r w:rsidRPr="00256982">
        <w:t>the post-1989 planted forest yield table has been revised for the 2019 submission. The revised yield table is based on three measurements of post-1989 planted forest permanent sample plots carried out in 2008–09 and 2011–12 and since transitioning to a continuous inventory in 2016. The analysis of the data collected has provided a plot-based estimate of carbon stock and mean carbon density within this forest type, which lead to more accurate emissions estimates</w:t>
      </w:r>
    </w:p>
    <w:p w14:paraId="6AAA00C1" w14:textId="176A4AB3" w:rsidR="00A05AC8" w:rsidRPr="00256982" w:rsidRDefault="00A05AC8" w:rsidP="00A05AC8">
      <w:pPr>
        <w:pStyle w:val="Bullet"/>
        <w:numPr>
          <w:ilvl w:val="0"/>
          <w:numId w:val="8"/>
        </w:numPr>
      </w:pPr>
      <w:r w:rsidRPr="00256982">
        <w:rPr>
          <w:rFonts w:cs="Arial"/>
          <w:szCs w:val="22"/>
        </w:rPr>
        <w:t>non-CO</w:t>
      </w:r>
      <w:r w:rsidRPr="00256982">
        <w:rPr>
          <w:rFonts w:cs="Arial"/>
          <w:b/>
          <w:szCs w:val="22"/>
          <w:vertAlign w:val="subscript"/>
        </w:rPr>
        <w:t>2</w:t>
      </w:r>
      <w:r w:rsidRPr="00256982">
        <w:rPr>
          <w:rFonts w:cs="Arial"/>
          <w:szCs w:val="22"/>
        </w:rPr>
        <w:t xml:space="preserve"> biomass burning emission factors have been updated from the </w:t>
      </w:r>
      <w:r w:rsidRPr="00256982">
        <w:t>Intergovernmental Panel on Climate Change</w:t>
      </w:r>
      <w:r w:rsidRPr="00256982">
        <w:rPr>
          <w:rFonts w:cs="Arial"/>
          <w:szCs w:val="22"/>
        </w:rPr>
        <w:t xml:space="preserve"> (IPCC) (2003) guidance to the </w:t>
      </w:r>
      <w:r w:rsidRPr="00256982">
        <w:rPr>
          <w:i/>
        </w:rPr>
        <w:t>IPCC Guidelines for National Greenhouse Gas Inventories, Volume 4,</w:t>
      </w:r>
      <w:r w:rsidRPr="00256982">
        <w:t xml:space="preserve"> </w:t>
      </w:r>
      <w:r w:rsidRPr="00256982">
        <w:rPr>
          <w:i/>
        </w:rPr>
        <w:t>Agriculture, Forestry and Other Land Use</w:t>
      </w:r>
      <w:r w:rsidRPr="00256982">
        <w:t xml:space="preserve"> (2006 IPCC Guidelines) (IPCC, 2006)</w:t>
      </w:r>
      <w:r w:rsidRPr="00256982">
        <w:rPr>
          <w:rFonts w:cs="Arial"/>
          <w:szCs w:val="22"/>
        </w:rPr>
        <w:t>, which lead to more accurate emissions estimates.</w:t>
      </w:r>
    </w:p>
    <w:p w14:paraId="16EBDF35" w14:textId="77777777" w:rsidR="00A05AC8" w:rsidRPr="00256982" w:rsidRDefault="00A05AC8" w:rsidP="00A05AC8">
      <w:pPr>
        <w:pStyle w:val="BodyText"/>
      </w:pPr>
      <w:r w:rsidRPr="00256982">
        <w:t>Further details on these changes are in chapter 6. The explanations and justifications for the major recalculations to New Zealand’s LULUCF estimates in the 2019 inventory submission are summarised in table 10.1.9.</w:t>
      </w:r>
    </w:p>
    <w:p w14:paraId="71DEA7BA" w14:textId="77777777" w:rsidR="00A05AC8" w:rsidRPr="00256982" w:rsidRDefault="00A05AC8" w:rsidP="00A05AC8">
      <w:pPr>
        <w:pStyle w:val="Table"/>
      </w:pPr>
      <w:bookmarkStart w:id="2532" w:name="_Toc511116850"/>
      <w:bookmarkStart w:id="2533" w:name="_Toc5269617"/>
      <w:r w:rsidRPr="00256982">
        <w:t>Table 10.1.9</w:t>
      </w:r>
      <w:r w:rsidRPr="00256982">
        <w:tab/>
        <w:t>Explanations and justifications for recalculations in the LULUCF sector</w:t>
      </w:r>
      <w:bookmarkEnd w:id="2530"/>
      <w:bookmarkEnd w:id="2531"/>
      <w:bookmarkEnd w:id="2532"/>
      <w:bookmarkEnd w:id="2533"/>
    </w:p>
    <w:tbl>
      <w:tblPr>
        <w:tblW w:w="8562" w:type="dxa"/>
        <w:tblInd w:w="108" w:type="dxa"/>
        <w:tblLook w:val="04A0" w:firstRow="1" w:lastRow="0" w:firstColumn="1" w:lastColumn="0" w:noHBand="0" w:noVBand="1"/>
      </w:tblPr>
      <w:tblGrid>
        <w:gridCol w:w="4139"/>
        <w:gridCol w:w="1855"/>
        <w:gridCol w:w="2568"/>
      </w:tblGrid>
      <w:tr w:rsidR="00A05AC8" w:rsidRPr="00256982" w14:paraId="66044F4C" w14:textId="77777777" w:rsidTr="004B5FFC">
        <w:trPr>
          <w:tblHeader/>
        </w:trPr>
        <w:tc>
          <w:tcPr>
            <w:tcW w:w="4111" w:type="dxa"/>
            <w:tcBorders>
              <w:top w:val="single" w:sz="4" w:space="0" w:color="365F91"/>
              <w:bottom w:val="single" w:sz="4" w:space="0" w:color="365F91"/>
            </w:tcBorders>
            <w:shd w:val="clear" w:color="auto" w:fill="365F91"/>
            <w:vAlign w:val="bottom"/>
          </w:tcPr>
          <w:p w14:paraId="05D5829C" w14:textId="77777777" w:rsidR="00A05AC8" w:rsidRPr="00256982" w:rsidRDefault="00A05AC8" w:rsidP="002115C1">
            <w:pPr>
              <w:pStyle w:val="TableTextBold"/>
              <w:keepNext/>
              <w:rPr>
                <w:noProof w:val="0"/>
                <w:color w:val="FFFFFF"/>
              </w:rPr>
            </w:pPr>
            <w:r w:rsidRPr="00256982">
              <w:rPr>
                <w:noProof w:val="0"/>
                <w:color w:val="FFFFFF"/>
              </w:rPr>
              <w:t>Explanation of recalculation</w:t>
            </w:r>
          </w:p>
        </w:tc>
        <w:tc>
          <w:tcPr>
            <w:tcW w:w="1843" w:type="dxa"/>
            <w:tcBorders>
              <w:top w:val="single" w:sz="4" w:space="0" w:color="365F91"/>
              <w:bottom w:val="single" w:sz="4" w:space="0" w:color="365F91"/>
            </w:tcBorders>
            <w:shd w:val="clear" w:color="auto" w:fill="365F91"/>
            <w:vAlign w:val="bottom"/>
          </w:tcPr>
          <w:p w14:paraId="6B004DD8" w14:textId="77777777" w:rsidR="00A05AC8" w:rsidRPr="00256982" w:rsidRDefault="00A05AC8" w:rsidP="002115C1">
            <w:pPr>
              <w:pStyle w:val="TableTextBold"/>
              <w:keepNext/>
              <w:rPr>
                <w:noProof w:val="0"/>
                <w:color w:val="FFFFFF"/>
              </w:rPr>
            </w:pPr>
            <w:r w:rsidRPr="00256982">
              <w:rPr>
                <w:noProof w:val="0"/>
                <w:color w:val="FFFFFF"/>
              </w:rPr>
              <w:t>Underpinning UNFCCC principle</w:t>
            </w:r>
          </w:p>
        </w:tc>
        <w:tc>
          <w:tcPr>
            <w:tcW w:w="2551" w:type="dxa"/>
            <w:tcBorders>
              <w:top w:val="single" w:sz="4" w:space="0" w:color="365F91"/>
              <w:bottom w:val="single" w:sz="4" w:space="0" w:color="365F91"/>
            </w:tcBorders>
            <w:shd w:val="clear" w:color="auto" w:fill="365F91"/>
            <w:vAlign w:val="bottom"/>
          </w:tcPr>
          <w:p w14:paraId="05B759FF" w14:textId="77777777" w:rsidR="00A05AC8" w:rsidRPr="00256982" w:rsidRDefault="00A05AC8" w:rsidP="002115C1">
            <w:pPr>
              <w:pStyle w:val="TableTextBold"/>
              <w:keepNext/>
              <w:rPr>
                <w:noProof w:val="0"/>
                <w:color w:val="FFFFFF"/>
              </w:rPr>
            </w:pPr>
            <w:r w:rsidRPr="00256982">
              <w:rPr>
                <w:noProof w:val="0"/>
                <w:color w:val="FFFFFF"/>
              </w:rPr>
              <w:t>Additional justification</w:t>
            </w:r>
          </w:p>
        </w:tc>
      </w:tr>
      <w:tr w:rsidR="00A05AC8" w:rsidRPr="00256982" w14:paraId="61063813" w14:textId="77777777" w:rsidTr="004B5FFC">
        <w:tc>
          <w:tcPr>
            <w:tcW w:w="4111" w:type="dxa"/>
            <w:tcBorders>
              <w:top w:val="single" w:sz="4" w:space="0" w:color="365F91"/>
              <w:bottom w:val="single" w:sz="4" w:space="0" w:color="365F91"/>
            </w:tcBorders>
          </w:tcPr>
          <w:p w14:paraId="4E62F146" w14:textId="77777777" w:rsidR="00A05AC8" w:rsidRPr="00256982" w:rsidRDefault="00A05AC8" w:rsidP="002115C1">
            <w:pPr>
              <w:pStyle w:val="TableText"/>
              <w:keepNext/>
              <w:rPr>
                <w:highlight w:val="yellow"/>
              </w:rPr>
            </w:pPr>
            <w:r w:rsidRPr="00256982">
              <w:t xml:space="preserve">The creation of a new land use map for 2016 and improvements to the 1990, 2008 and 2012 land use maps. </w:t>
            </w:r>
          </w:p>
        </w:tc>
        <w:tc>
          <w:tcPr>
            <w:tcW w:w="1843" w:type="dxa"/>
            <w:tcBorders>
              <w:top w:val="single" w:sz="4" w:space="0" w:color="365F91"/>
              <w:bottom w:val="single" w:sz="4" w:space="0" w:color="365F91"/>
            </w:tcBorders>
          </w:tcPr>
          <w:p w14:paraId="44CEDC07" w14:textId="77777777" w:rsidR="00A05AC8" w:rsidRPr="00256982" w:rsidRDefault="00A05AC8" w:rsidP="002115C1">
            <w:pPr>
              <w:pStyle w:val="TableText"/>
              <w:keepNext/>
              <w:rPr>
                <w:highlight w:val="yellow"/>
              </w:rPr>
            </w:pPr>
            <w:r w:rsidRPr="00256982">
              <w:t>Accuracy, consistency, completeness</w:t>
            </w:r>
          </w:p>
        </w:tc>
        <w:tc>
          <w:tcPr>
            <w:tcW w:w="2551" w:type="dxa"/>
            <w:tcBorders>
              <w:top w:val="single" w:sz="4" w:space="0" w:color="365F91"/>
              <w:bottom w:val="single" w:sz="4" w:space="0" w:color="365F91"/>
            </w:tcBorders>
          </w:tcPr>
          <w:p w14:paraId="4EDBCAF7" w14:textId="77777777" w:rsidR="00A05AC8" w:rsidRPr="00256982" w:rsidDel="00DF05BA" w:rsidRDefault="00A05AC8" w:rsidP="002115C1">
            <w:pPr>
              <w:pStyle w:val="TableText"/>
              <w:keepNext/>
              <w:rPr>
                <w:highlight w:val="yellow"/>
              </w:rPr>
            </w:pPr>
            <w:r w:rsidRPr="00256982">
              <w:t>Key category improvement (</w:t>
            </w:r>
            <w:r w:rsidRPr="00256982">
              <w:rPr>
                <w:i/>
              </w:rPr>
              <w:t>Forest land remaining forest land</w:t>
            </w:r>
            <w:r w:rsidRPr="00256982">
              <w:t>;</w:t>
            </w:r>
            <w:r w:rsidRPr="00256982">
              <w:rPr>
                <w:i/>
              </w:rPr>
              <w:t xml:space="preserve"> Land converted to forest land</w:t>
            </w:r>
            <w:r w:rsidRPr="00256982">
              <w:t>;</w:t>
            </w:r>
            <w:r w:rsidRPr="00256982">
              <w:rPr>
                <w:i/>
              </w:rPr>
              <w:t xml:space="preserve"> Grassland remaining grassland</w:t>
            </w:r>
            <w:r w:rsidRPr="00256982">
              <w:t>)</w:t>
            </w:r>
          </w:p>
        </w:tc>
      </w:tr>
      <w:tr w:rsidR="00A05AC8" w:rsidRPr="00256982" w14:paraId="2E6DD1FF" w14:textId="77777777" w:rsidTr="004B5FFC">
        <w:tc>
          <w:tcPr>
            <w:tcW w:w="4111" w:type="dxa"/>
            <w:tcBorders>
              <w:top w:val="single" w:sz="4" w:space="0" w:color="365F91"/>
              <w:bottom w:val="single" w:sz="4" w:space="0" w:color="365F91"/>
            </w:tcBorders>
          </w:tcPr>
          <w:p w14:paraId="46A222A5" w14:textId="77777777" w:rsidR="00A05AC8" w:rsidRPr="00256982" w:rsidDel="008840B1" w:rsidRDefault="00A05AC8" w:rsidP="00B7783F">
            <w:pPr>
              <w:pStyle w:val="TableText"/>
              <w:rPr>
                <w:highlight w:val="yellow"/>
              </w:rPr>
            </w:pPr>
            <w:r w:rsidRPr="00256982">
              <w:t xml:space="preserve">The post-1989 planted forest yield table was revised. The revised yield table is based on three measurements of post-1989 planted forest permanent sample plots carried out in 2007–08, 2011–12 and in the transition to a continuous inventory in 2016. The analysis of the data collected has provided a plot-based estimate of carbon stock and mean carbon density within this forest type. </w:t>
            </w:r>
          </w:p>
        </w:tc>
        <w:tc>
          <w:tcPr>
            <w:tcW w:w="1843" w:type="dxa"/>
            <w:tcBorders>
              <w:top w:val="single" w:sz="4" w:space="0" w:color="365F91"/>
              <w:bottom w:val="single" w:sz="4" w:space="0" w:color="365F91"/>
            </w:tcBorders>
          </w:tcPr>
          <w:p w14:paraId="5517E370" w14:textId="77777777" w:rsidR="00A05AC8" w:rsidRPr="00256982" w:rsidRDefault="00A05AC8" w:rsidP="00B7783F">
            <w:pPr>
              <w:pStyle w:val="TableText"/>
              <w:rPr>
                <w:highlight w:val="yellow"/>
              </w:rPr>
            </w:pPr>
            <w:r w:rsidRPr="00256982">
              <w:t>Accuracy</w:t>
            </w:r>
          </w:p>
        </w:tc>
        <w:tc>
          <w:tcPr>
            <w:tcW w:w="2551" w:type="dxa"/>
            <w:tcBorders>
              <w:top w:val="single" w:sz="4" w:space="0" w:color="365F91"/>
              <w:bottom w:val="single" w:sz="4" w:space="0" w:color="365F91"/>
            </w:tcBorders>
          </w:tcPr>
          <w:p w14:paraId="107D352E" w14:textId="77777777" w:rsidR="00A05AC8" w:rsidRPr="00256982" w:rsidDel="008840B1" w:rsidRDefault="00A05AC8" w:rsidP="00B7783F">
            <w:pPr>
              <w:pStyle w:val="TableText"/>
              <w:rPr>
                <w:highlight w:val="yellow"/>
              </w:rPr>
            </w:pPr>
            <w:r w:rsidRPr="00256982">
              <w:t>Key category improvement (</w:t>
            </w:r>
            <w:r w:rsidRPr="00256982">
              <w:rPr>
                <w:i/>
              </w:rPr>
              <w:t>Land converted to forest land</w:t>
            </w:r>
            <w:r w:rsidRPr="00256982">
              <w:t xml:space="preserve">; </w:t>
            </w:r>
            <w:r w:rsidRPr="00256982">
              <w:rPr>
                <w:i/>
              </w:rPr>
              <w:t>Land converted to grassland</w:t>
            </w:r>
            <w:r w:rsidRPr="00256982">
              <w:t>)</w:t>
            </w:r>
          </w:p>
        </w:tc>
      </w:tr>
      <w:tr w:rsidR="00A05AC8" w:rsidRPr="00256982" w14:paraId="7C142B75" w14:textId="77777777" w:rsidTr="004B5FFC">
        <w:tc>
          <w:tcPr>
            <w:tcW w:w="4111" w:type="dxa"/>
            <w:tcBorders>
              <w:top w:val="single" w:sz="4" w:space="0" w:color="365F91"/>
              <w:bottom w:val="single" w:sz="4" w:space="0" w:color="365F91"/>
            </w:tcBorders>
          </w:tcPr>
          <w:p w14:paraId="461DE486" w14:textId="77777777" w:rsidR="00A05AC8" w:rsidRPr="00256982" w:rsidRDefault="00A05AC8" w:rsidP="00B7783F">
            <w:pPr>
              <w:pStyle w:val="TableText"/>
            </w:pPr>
            <w:r w:rsidRPr="00256982">
              <w:t>Non-CO</w:t>
            </w:r>
            <w:r w:rsidRPr="00256982">
              <w:rPr>
                <w:vertAlign w:val="subscript"/>
              </w:rPr>
              <w:t>2</w:t>
            </w:r>
            <w:r w:rsidRPr="00256982">
              <w:t xml:space="preserve"> biomass burning emissions factors updated.</w:t>
            </w:r>
          </w:p>
        </w:tc>
        <w:tc>
          <w:tcPr>
            <w:tcW w:w="1843" w:type="dxa"/>
            <w:tcBorders>
              <w:top w:val="single" w:sz="4" w:space="0" w:color="365F91"/>
              <w:bottom w:val="single" w:sz="4" w:space="0" w:color="365F91"/>
            </w:tcBorders>
          </w:tcPr>
          <w:p w14:paraId="03D4CE10" w14:textId="77777777" w:rsidR="00A05AC8" w:rsidRPr="00256982" w:rsidRDefault="00A05AC8" w:rsidP="00B7783F">
            <w:pPr>
              <w:pStyle w:val="TableText"/>
            </w:pPr>
            <w:r w:rsidRPr="00256982">
              <w:t>Accuracy</w:t>
            </w:r>
          </w:p>
        </w:tc>
        <w:tc>
          <w:tcPr>
            <w:tcW w:w="2551" w:type="dxa"/>
            <w:tcBorders>
              <w:top w:val="single" w:sz="4" w:space="0" w:color="365F91"/>
              <w:bottom w:val="single" w:sz="4" w:space="0" w:color="365F91"/>
            </w:tcBorders>
          </w:tcPr>
          <w:p w14:paraId="15F1E613" w14:textId="77777777" w:rsidR="00A05AC8" w:rsidRPr="00256982" w:rsidRDefault="00A05AC8" w:rsidP="00B7783F">
            <w:pPr>
              <w:pStyle w:val="Default"/>
              <w:rPr>
                <w:rFonts w:ascii="Arial" w:hAnsi="Arial" w:cs="Arial"/>
                <w:i w:val="0"/>
                <w:sz w:val="16"/>
                <w:szCs w:val="16"/>
              </w:rPr>
            </w:pPr>
            <w:r w:rsidRPr="00256982">
              <w:rPr>
                <w:rFonts w:ascii="Arial" w:hAnsi="Arial" w:cs="Arial"/>
                <w:i w:val="0"/>
                <w:sz w:val="16"/>
                <w:szCs w:val="16"/>
              </w:rPr>
              <w:t xml:space="preserve">Adherence to the UNFCCC Annex I inventory reporting guidelines </w:t>
            </w:r>
          </w:p>
        </w:tc>
      </w:tr>
    </w:tbl>
    <w:p w14:paraId="2CD42F6D" w14:textId="77777777" w:rsidR="00A05AC8" w:rsidRPr="00256982" w:rsidRDefault="00A05AC8" w:rsidP="00A05AC8">
      <w:pPr>
        <w:pStyle w:val="Heading3"/>
        <w:tabs>
          <w:tab w:val="left" w:pos="993"/>
        </w:tabs>
        <w:spacing w:before="480"/>
        <w:ind w:left="993" w:hanging="993"/>
      </w:pPr>
      <w:r w:rsidRPr="00256982">
        <w:t xml:space="preserve">10.1.5 </w:t>
      </w:r>
      <w:r w:rsidRPr="00256982">
        <w:tab/>
        <w:t>Waste</w:t>
      </w:r>
    </w:p>
    <w:p w14:paraId="632C2F41" w14:textId="77777777" w:rsidR="00A05AC8" w:rsidRPr="00256982" w:rsidRDefault="00A05AC8" w:rsidP="00A05AC8">
      <w:pPr>
        <w:pStyle w:val="BodyText"/>
        <w:rPr>
          <w:rFonts w:eastAsia="Arial"/>
        </w:rPr>
      </w:pPr>
      <w:r w:rsidRPr="00256982">
        <w:rPr>
          <w:rFonts w:eastAsia="Arial"/>
        </w:rPr>
        <w:t>Improvements and recalculations made in the Waste sector have resulted in a 4.6 per cent (179.2 kt CO</w:t>
      </w:r>
      <w:r w:rsidRPr="00256982">
        <w:rPr>
          <w:rFonts w:eastAsia="Arial"/>
          <w:vertAlign w:val="subscript"/>
        </w:rPr>
        <w:t>2</w:t>
      </w:r>
      <w:r w:rsidRPr="00256982">
        <w:rPr>
          <w:rFonts w:eastAsia="Arial"/>
        </w:rPr>
        <w:t>-e) increase in emissions in 1990 and a 7.3 per cent (278.3 kt CO</w:t>
      </w:r>
      <w:r w:rsidRPr="00256982">
        <w:rPr>
          <w:rFonts w:eastAsia="Arial"/>
          <w:vertAlign w:val="subscript"/>
        </w:rPr>
        <w:t>2</w:t>
      </w:r>
      <w:r w:rsidRPr="00256982">
        <w:rPr>
          <w:rFonts w:eastAsia="Arial"/>
        </w:rPr>
        <w:t xml:space="preserve">-e) increase in emissions in 2016 (figure 10.1.6). Numerous improvements and corrections have been made to the Waste sector in the 2019 submission, including responses to findings resulting from expert review team reviews. The most significant changes are in the </w:t>
      </w:r>
      <w:r w:rsidRPr="00256982">
        <w:rPr>
          <w:rFonts w:eastAsia="Arial"/>
          <w:i/>
        </w:rPr>
        <w:t>Managed waste disposal sites</w:t>
      </w:r>
      <w:r w:rsidRPr="00256982">
        <w:rPr>
          <w:rFonts w:eastAsia="Arial"/>
        </w:rPr>
        <w:t xml:space="preserve"> source category. Together, these changes have resulted in a recalculation of most categories.</w:t>
      </w:r>
    </w:p>
    <w:p w14:paraId="311DB578" w14:textId="77777777" w:rsidR="00A05AC8" w:rsidRPr="00256982" w:rsidRDefault="00A05AC8" w:rsidP="00A05AC8">
      <w:pPr>
        <w:pStyle w:val="BodyText"/>
        <w:spacing w:after="100"/>
      </w:pPr>
      <w:r w:rsidRPr="00256982">
        <w:t>The largest change is a correction made to the calculation of emissions from managed landfills without landfill gas recovery. Previous submissions applied some the incorrect degradable organic carbon (DOC) values from 1975 onwards. The correction to the DOC has increased emissions from this source by up to 457.3 kt CO</w:t>
      </w:r>
      <w:r w:rsidRPr="00256982">
        <w:rPr>
          <w:vertAlign w:val="subscript"/>
        </w:rPr>
        <w:t>2</w:t>
      </w:r>
      <w:r w:rsidRPr="00256982">
        <w:t>-e (up to 64.3 per cent) in 2006.</w:t>
      </w:r>
    </w:p>
    <w:p w14:paraId="5BC782CD" w14:textId="77777777" w:rsidR="00A05AC8" w:rsidRPr="00256982" w:rsidRDefault="00A05AC8" w:rsidP="00A05AC8">
      <w:pPr>
        <w:pStyle w:val="BodyText"/>
      </w:pPr>
      <w:bookmarkStart w:id="2534" w:name="_Toc481752044"/>
      <w:r w:rsidRPr="00256982">
        <w:rPr>
          <w:rFonts w:eastAsia="Arial"/>
        </w:rPr>
        <w:t>A full list of recalculations is made in table 10.1.10.</w:t>
      </w:r>
    </w:p>
    <w:p w14:paraId="0FF1D3E2" w14:textId="77777777" w:rsidR="00A05AC8" w:rsidRPr="00256982" w:rsidRDefault="00A05AC8" w:rsidP="00A05AC8">
      <w:pPr>
        <w:pStyle w:val="Figure"/>
        <w:spacing w:after="60"/>
      </w:pPr>
      <w:bookmarkStart w:id="2535" w:name="_Toc511116998"/>
      <w:bookmarkStart w:id="2536" w:name="_Toc5269733"/>
      <w:r w:rsidRPr="00256982">
        <w:t>Figure 10.1.6</w:t>
      </w:r>
      <w:r w:rsidRPr="00256982">
        <w:tab/>
        <w:t>Effect of recalculations on New Zealand’s Waste sector from 1990 to 201</w:t>
      </w:r>
      <w:bookmarkEnd w:id="2534"/>
      <w:bookmarkEnd w:id="2535"/>
      <w:r w:rsidRPr="00256982">
        <w:t>6</w:t>
      </w:r>
      <w:bookmarkEnd w:id="2536"/>
    </w:p>
    <w:p w14:paraId="4B5A3DAC" w14:textId="2609823D" w:rsidR="00A05AC8" w:rsidRPr="00256982" w:rsidRDefault="00590491" w:rsidP="00A05AC8">
      <w:r>
        <w:rPr>
          <w:lang w:eastAsia="en-NZ"/>
        </w:rPr>
        <w:pict w14:anchorId="7F71E66B">
          <v:shape id="_x0000_i1169" type="#_x0000_t75" style="width:396.75pt;height:189.75pt;visibility:visible" o:gfxdata="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">
            <v:imagedata r:id="rId256" o:title="" croptop="2131f" cropbottom="4230f" cropright="-25f"/>
            <o:lock v:ext="edit" aspectratio="f"/>
          </v:shape>
        </w:pict>
      </w:r>
    </w:p>
    <w:p w14:paraId="00905DA5" w14:textId="77777777" w:rsidR="00A05AC8" w:rsidRPr="00256982" w:rsidRDefault="00A05AC8" w:rsidP="00A05AC8">
      <w:pPr>
        <w:pStyle w:val="Table"/>
      </w:pPr>
      <w:bookmarkStart w:id="2537" w:name="_Toc481751623"/>
      <w:bookmarkStart w:id="2538" w:name="_Toc511116851"/>
      <w:bookmarkStart w:id="2539" w:name="_Toc5269618"/>
      <w:r w:rsidRPr="00256982">
        <w:t>Table 10.1.10</w:t>
      </w:r>
      <w:r w:rsidRPr="00256982">
        <w:tab/>
        <w:t>Explanations and justifications for recalculations in the Waste sector</w:t>
      </w:r>
      <w:bookmarkEnd w:id="2537"/>
      <w:bookmarkEnd w:id="2538"/>
      <w:bookmarkEnd w:id="2539"/>
    </w:p>
    <w:tbl>
      <w:tblPr>
        <w:tblW w:w="8505" w:type="dxa"/>
        <w:tblInd w:w="108" w:type="dxa"/>
        <w:tblLayout w:type="fixed"/>
        <w:tblLook w:val="04A0" w:firstRow="1" w:lastRow="0" w:firstColumn="1" w:lastColumn="0" w:noHBand="0" w:noVBand="1"/>
      </w:tblPr>
      <w:tblGrid>
        <w:gridCol w:w="4253"/>
        <w:gridCol w:w="1701"/>
        <w:gridCol w:w="2551"/>
      </w:tblGrid>
      <w:tr w:rsidR="00A05AC8" w:rsidRPr="00256982" w14:paraId="5DB9A57D" w14:textId="77777777" w:rsidTr="00B7783F">
        <w:trPr>
          <w:tblHeader/>
        </w:trPr>
        <w:tc>
          <w:tcPr>
            <w:tcW w:w="4253" w:type="dxa"/>
            <w:tcBorders>
              <w:top w:val="single" w:sz="4" w:space="0" w:color="365F91"/>
              <w:bottom w:val="single" w:sz="4" w:space="0" w:color="365F91"/>
            </w:tcBorders>
            <w:shd w:val="clear" w:color="auto" w:fill="365F91"/>
            <w:vAlign w:val="bottom"/>
          </w:tcPr>
          <w:p w14:paraId="3D654448" w14:textId="77777777" w:rsidR="00A05AC8" w:rsidRPr="00256982" w:rsidRDefault="00A05AC8" w:rsidP="002115C1">
            <w:pPr>
              <w:pStyle w:val="TableTextBold"/>
              <w:keepNext/>
              <w:rPr>
                <w:noProof w:val="0"/>
                <w:color w:val="FFFFFF"/>
              </w:rPr>
            </w:pPr>
            <w:r w:rsidRPr="00256982">
              <w:rPr>
                <w:noProof w:val="0"/>
                <w:color w:val="FFFFFF"/>
              </w:rPr>
              <w:t>Explanation of recalculation</w:t>
            </w:r>
          </w:p>
        </w:tc>
        <w:tc>
          <w:tcPr>
            <w:tcW w:w="1701" w:type="dxa"/>
            <w:tcBorders>
              <w:top w:val="single" w:sz="4" w:space="0" w:color="365F91"/>
              <w:bottom w:val="single" w:sz="4" w:space="0" w:color="365F91"/>
            </w:tcBorders>
            <w:shd w:val="clear" w:color="auto" w:fill="365F91"/>
            <w:vAlign w:val="bottom"/>
          </w:tcPr>
          <w:p w14:paraId="70F9409E" w14:textId="77777777" w:rsidR="00A05AC8" w:rsidRPr="00256982" w:rsidRDefault="00A05AC8" w:rsidP="002115C1">
            <w:pPr>
              <w:pStyle w:val="TableTextBold"/>
              <w:keepNext/>
              <w:rPr>
                <w:noProof w:val="0"/>
                <w:color w:val="FFFFFF"/>
              </w:rPr>
            </w:pPr>
            <w:r w:rsidRPr="00256982">
              <w:rPr>
                <w:noProof w:val="0"/>
                <w:color w:val="FFFFFF"/>
              </w:rPr>
              <w:t>Underpinning UNFCCC principle</w:t>
            </w:r>
          </w:p>
        </w:tc>
        <w:tc>
          <w:tcPr>
            <w:tcW w:w="2551" w:type="dxa"/>
            <w:tcBorders>
              <w:top w:val="single" w:sz="4" w:space="0" w:color="365F91"/>
              <w:bottom w:val="single" w:sz="4" w:space="0" w:color="365F91"/>
            </w:tcBorders>
            <w:shd w:val="clear" w:color="auto" w:fill="365F91"/>
            <w:vAlign w:val="bottom"/>
          </w:tcPr>
          <w:p w14:paraId="2530D720" w14:textId="77777777" w:rsidR="00A05AC8" w:rsidRPr="00256982" w:rsidRDefault="00A05AC8" w:rsidP="002115C1">
            <w:pPr>
              <w:pStyle w:val="TableTextBold"/>
              <w:keepNext/>
              <w:rPr>
                <w:noProof w:val="0"/>
                <w:color w:val="FFFFFF"/>
              </w:rPr>
            </w:pPr>
            <w:r w:rsidRPr="00256982">
              <w:rPr>
                <w:noProof w:val="0"/>
                <w:color w:val="FFFFFF"/>
              </w:rPr>
              <w:t>Additional justification</w:t>
            </w:r>
          </w:p>
        </w:tc>
      </w:tr>
      <w:tr w:rsidR="00A05AC8" w:rsidRPr="00256982" w14:paraId="019B7404" w14:textId="77777777" w:rsidTr="00B7783F">
        <w:tc>
          <w:tcPr>
            <w:tcW w:w="4253" w:type="dxa"/>
            <w:tcBorders>
              <w:top w:val="single" w:sz="4" w:space="0" w:color="365F91"/>
              <w:bottom w:val="single" w:sz="4" w:space="0" w:color="365F91"/>
            </w:tcBorders>
            <w:shd w:val="clear" w:color="auto" w:fill="auto"/>
          </w:tcPr>
          <w:p w14:paraId="360E9576" w14:textId="77777777" w:rsidR="00A05AC8" w:rsidRPr="00256982" w:rsidRDefault="00A05AC8" w:rsidP="002115C1">
            <w:pPr>
              <w:pStyle w:val="TableText"/>
              <w:keepNext/>
            </w:pPr>
            <w:r w:rsidRPr="00256982">
              <w:t>A correction made to the calculation of emissions from managed landfills without landfill gas (LFG) recovery (5.A.1.a). Previous submissions applied the incorrect degradable organic carbon (DOC) values from 1975 onwards. The correction to the DOC has increased emissions from this source by up to 457.3 kt CO</w:t>
            </w:r>
            <w:r w:rsidRPr="00256982">
              <w:rPr>
                <w:vertAlign w:val="subscript"/>
              </w:rPr>
              <w:t>2</w:t>
            </w:r>
            <w:r w:rsidRPr="00256982">
              <w:t>-e (up to 64.3 per cent) in 2006.</w:t>
            </w:r>
          </w:p>
        </w:tc>
        <w:tc>
          <w:tcPr>
            <w:tcW w:w="1701" w:type="dxa"/>
            <w:tcBorders>
              <w:top w:val="single" w:sz="4" w:space="0" w:color="365F91"/>
              <w:bottom w:val="single" w:sz="4" w:space="0" w:color="365F91"/>
            </w:tcBorders>
            <w:shd w:val="clear" w:color="auto" w:fill="auto"/>
          </w:tcPr>
          <w:p w14:paraId="68889CAB" w14:textId="77777777" w:rsidR="00A05AC8" w:rsidRPr="00256982" w:rsidRDefault="00A05AC8" w:rsidP="002115C1">
            <w:pPr>
              <w:pStyle w:val="TableText"/>
              <w:keepNext/>
            </w:pPr>
            <w:r w:rsidRPr="00256982">
              <w:t>Accuracy</w:t>
            </w:r>
          </w:p>
        </w:tc>
        <w:tc>
          <w:tcPr>
            <w:tcW w:w="2551" w:type="dxa"/>
            <w:tcBorders>
              <w:top w:val="single" w:sz="4" w:space="0" w:color="365F91"/>
              <w:bottom w:val="single" w:sz="4" w:space="0" w:color="365F91"/>
            </w:tcBorders>
            <w:shd w:val="clear" w:color="auto" w:fill="auto"/>
          </w:tcPr>
          <w:p w14:paraId="5BEF2CED" w14:textId="77777777" w:rsidR="00A05AC8" w:rsidRPr="00256982" w:rsidRDefault="00A05AC8" w:rsidP="002115C1">
            <w:pPr>
              <w:pStyle w:val="TableText"/>
              <w:keepNext/>
            </w:pPr>
            <w:r w:rsidRPr="00256982">
              <w:t>Solid waste disposal is a key category</w:t>
            </w:r>
          </w:p>
        </w:tc>
      </w:tr>
      <w:tr w:rsidR="00A05AC8" w:rsidRPr="00256982" w14:paraId="2BB4DC56" w14:textId="77777777" w:rsidTr="00B7783F">
        <w:tc>
          <w:tcPr>
            <w:tcW w:w="4253" w:type="dxa"/>
            <w:tcBorders>
              <w:top w:val="single" w:sz="4" w:space="0" w:color="365F91"/>
              <w:bottom w:val="single" w:sz="4" w:space="0" w:color="365F91"/>
            </w:tcBorders>
            <w:shd w:val="clear" w:color="auto" w:fill="auto"/>
          </w:tcPr>
          <w:p w14:paraId="43BE70DB" w14:textId="77777777" w:rsidR="00A05AC8" w:rsidRPr="00256982" w:rsidRDefault="00A05AC8" w:rsidP="00B7783F">
            <w:pPr>
              <w:pStyle w:val="TableText"/>
            </w:pPr>
            <w:r w:rsidRPr="00256982">
              <w:t>A complete recalculation of emissions from uncategorised landfills (5.A.3) for transparency of methodology and consistency of activity data with 5.A.1, which has reduced emissions by 41.8 kt CO</w:t>
            </w:r>
            <w:r w:rsidRPr="00256982">
              <w:rPr>
                <w:vertAlign w:val="subscript"/>
              </w:rPr>
              <w:t>2</w:t>
            </w:r>
            <w:r w:rsidRPr="00256982">
              <w:t>-e (10.2 per cent) in 1990 and reduced emissions by 10.2 kt CO</w:t>
            </w:r>
            <w:r w:rsidRPr="00256982">
              <w:rPr>
                <w:vertAlign w:val="subscript"/>
              </w:rPr>
              <w:t>2</w:t>
            </w:r>
            <w:r w:rsidRPr="00256982">
              <w:t>-e (24.1 per cent) in 2016.</w:t>
            </w:r>
          </w:p>
        </w:tc>
        <w:tc>
          <w:tcPr>
            <w:tcW w:w="1701" w:type="dxa"/>
            <w:tcBorders>
              <w:top w:val="single" w:sz="4" w:space="0" w:color="365F91"/>
              <w:bottom w:val="single" w:sz="4" w:space="0" w:color="365F91"/>
            </w:tcBorders>
            <w:shd w:val="clear" w:color="auto" w:fill="auto"/>
          </w:tcPr>
          <w:p w14:paraId="7BFC4C43" w14:textId="77777777" w:rsidR="00A05AC8" w:rsidRPr="00256982" w:rsidRDefault="00A05AC8" w:rsidP="00B7783F">
            <w:pPr>
              <w:pStyle w:val="TableText"/>
            </w:pPr>
            <w:r w:rsidRPr="00256982">
              <w:t>Accuracy, consistency, transparency</w:t>
            </w:r>
          </w:p>
        </w:tc>
        <w:tc>
          <w:tcPr>
            <w:tcW w:w="2551" w:type="dxa"/>
            <w:tcBorders>
              <w:top w:val="single" w:sz="4" w:space="0" w:color="365F91"/>
              <w:bottom w:val="single" w:sz="4" w:space="0" w:color="365F91"/>
            </w:tcBorders>
            <w:shd w:val="clear" w:color="auto" w:fill="auto"/>
          </w:tcPr>
          <w:p w14:paraId="19068F51" w14:textId="77777777" w:rsidR="00A05AC8" w:rsidRPr="00256982" w:rsidRDefault="00A05AC8" w:rsidP="00B7783F">
            <w:pPr>
              <w:pStyle w:val="TableText"/>
            </w:pPr>
            <w:r w:rsidRPr="00256982">
              <w:t>Solid waste disposal is a key category</w:t>
            </w:r>
          </w:p>
        </w:tc>
      </w:tr>
      <w:tr w:rsidR="00A05AC8" w:rsidRPr="00256982" w14:paraId="43180A10" w14:textId="77777777" w:rsidTr="00B7783F">
        <w:tc>
          <w:tcPr>
            <w:tcW w:w="4253" w:type="dxa"/>
            <w:tcBorders>
              <w:top w:val="single" w:sz="4" w:space="0" w:color="365F91"/>
              <w:bottom w:val="single" w:sz="4" w:space="0" w:color="365F91"/>
            </w:tcBorders>
            <w:shd w:val="clear" w:color="auto" w:fill="auto"/>
          </w:tcPr>
          <w:p w14:paraId="547594C6" w14:textId="77777777" w:rsidR="00A05AC8" w:rsidRPr="00256982" w:rsidRDefault="00A05AC8" w:rsidP="00B7783F">
            <w:pPr>
              <w:pStyle w:val="TableText"/>
            </w:pPr>
            <w:r w:rsidRPr="00256982">
              <w:t>An improvement in methane (CH</w:t>
            </w:r>
            <w:r w:rsidRPr="00256982">
              <w:rPr>
                <w:vertAlign w:val="subscript"/>
              </w:rPr>
              <w:t>4</w:t>
            </w:r>
            <w:r w:rsidRPr="00256982">
              <w:t>) recovery rate data for managed landfills with LFG recovery (within 5.A.1.a) by using data from the New Zealand Emissions Trading Scheme for 2014–17.</w:t>
            </w:r>
          </w:p>
        </w:tc>
        <w:tc>
          <w:tcPr>
            <w:tcW w:w="1701" w:type="dxa"/>
            <w:tcBorders>
              <w:top w:val="single" w:sz="4" w:space="0" w:color="365F91"/>
              <w:bottom w:val="single" w:sz="4" w:space="0" w:color="365F91"/>
            </w:tcBorders>
            <w:shd w:val="clear" w:color="auto" w:fill="auto"/>
          </w:tcPr>
          <w:p w14:paraId="3DD95F59" w14:textId="77777777" w:rsidR="00A05AC8" w:rsidRPr="00256982" w:rsidRDefault="00A05AC8" w:rsidP="00B7783F">
            <w:pPr>
              <w:pStyle w:val="TableText"/>
            </w:pPr>
            <w:r w:rsidRPr="00256982">
              <w:t>Accuracy</w:t>
            </w:r>
          </w:p>
        </w:tc>
        <w:tc>
          <w:tcPr>
            <w:tcW w:w="2551" w:type="dxa"/>
            <w:tcBorders>
              <w:top w:val="single" w:sz="4" w:space="0" w:color="365F91"/>
              <w:bottom w:val="single" w:sz="4" w:space="0" w:color="365F91"/>
            </w:tcBorders>
            <w:shd w:val="clear" w:color="auto" w:fill="auto"/>
          </w:tcPr>
          <w:p w14:paraId="572BB6FE" w14:textId="77777777" w:rsidR="00A05AC8" w:rsidRPr="00256982" w:rsidRDefault="00A05AC8" w:rsidP="00B7783F">
            <w:pPr>
              <w:pStyle w:val="TableText"/>
            </w:pPr>
            <w:r w:rsidRPr="00256982">
              <w:t>Solid waste disposal is a key category; addresses expert review team (ERT) recommendation(s)</w:t>
            </w:r>
          </w:p>
        </w:tc>
      </w:tr>
      <w:tr w:rsidR="00A05AC8" w:rsidRPr="00256982" w14:paraId="08AC78F9" w14:textId="77777777" w:rsidTr="00B7783F">
        <w:tc>
          <w:tcPr>
            <w:tcW w:w="4253" w:type="dxa"/>
            <w:tcBorders>
              <w:top w:val="single" w:sz="4" w:space="0" w:color="365F91"/>
              <w:bottom w:val="single" w:sz="4" w:space="0" w:color="365F91"/>
            </w:tcBorders>
            <w:shd w:val="clear" w:color="auto" w:fill="auto"/>
          </w:tcPr>
          <w:p w14:paraId="0C46CED9" w14:textId="77777777" w:rsidR="00A05AC8" w:rsidRPr="00256982" w:rsidRDefault="00A05AC8" w:rsidP="00B7783F">
            <w:pPr>
              <w:pStyle w:val="TableText"/>
            </w:pPr>
            <w:r w:rsidRPr="00256982">
              <w:t>Revising placement data for 2010–17 for managed landfills (5.A.1.a) and uncategorised landfills (5.A.3) using the latest activity data from the waste levy.</w:t>
            </w:r>
          </w:p>
        </w:tc>
        <w:tc>
          <w:tcPr>
            <w:tcW w:w="1701" w:type="dxa"/>
            <w:tcBorders>
              <w:top w:val="single" w:sz="4" w:space="0" w:color="365F91"/>
              <w:bottom w:val="single" w:sz="4" w:space="0" w:color="365F91"/>
            </w:tcBorders>
            <w:shd w:val="clear" w:color="auto" w:fill="auto"/>
          </w:tcPr>
          <w:p w14:paraId="137A15CE" w14:textId="77777777" w:rsidR="00A05AC8" w:rsidRPr="00256982" w:rsidRDefault="00A05AC8" w:rsidP="00B7783F">
            <w:pPr>
              <w:pStyle w:val="TableText"/>
            </w:pPr>
            <w:r w:rsidRPr="00256982">
              <w:t>Accuracy</w:t>
            </w:r>
          </w:p>
        </w:tc>
        <w:tc>
          <w:tcPr>
            <w:tcW w:w="2551" w:type="dxa"/>
            <w:tcBorders>
              <w:top w:val="single" w:sz="4" w:space="0" w:color="365F91"/>
              <w:bottom w:val="single" w:sz="4" w:space="0" w:color="365F91"/>
            </w:tcBorders>
            <w:shd w:val="clear" w:color="auto" w:fill="auto"/>
          </w:tcPr>
          <w:p w14:paraId="4DA33170" w14:textId="77777777" w:rsidR="00A05AC8" w:rsidRPr="00256982" w:rsidRDefault="00A05AC8" w:rsidP="00B7783F">
            <w:pPr>
              <w:pStyle w:val="TableText"/>
            </w:pPr>
            <w:r w:rsidRPr="00256982">
              <w:t>Solid waste disposal is a key category</w:t>
            </w:r>
          </w:p>
        </w:tc>
      </w:tr>
      <w:tr w:rsidR="00A05AC8" w:rsidRPr="00256982" w14:paraId="3584AD68" w14:textId="77777777" w:rsidTr="00B7783F">
        <w:tc>
          <w:tcPr>
            <w:tcW w:w="4253" w:type="dxa"/>
            <w:tcBorders>
              <w:top w:val="single" w:sz="4" w:space="0" w:color="365F91"/>
              <w:bottom w:val="single" w:sz="4" w:space="0" w:color="365F91"/>
            </w:tcBorders>
            <w:shd w:val="clear" w:color="auto" w:fill="auto"/>
          </w:tcPr>
          <w:p w14:paraId="5BA98F6B" w14:textId="77777777" w:rsidR="00A05AC8" w:rsidRPr="00256982" w:rsidRDefault="00A05AC8" w:rsidP="00B7783F">
            <w:pPr>
              <w:pStyle w:val="TableText"/>
            </w:pPr>
            <w:r w:rsidRPr="00256982">
              <w:t xml:space="preserve">The inclusion of the 2017 Agricultural Production Census for average farm distributions for each region for emissions from the </w:t>
            </w:r>
            <w:r w:rsidRPr="00256982">
              <w:rPr>
                <w:i/>
              </w:rPr>
              <w:t>Unmanaged waste disposal sites</w:t>
            </w:r>
            <w:r w:rsidRPr="00256982">
              <w:t xml:space="preserve"> category (5.A.2), which results in recalculating the entire time series.</w:t>
            </w:r>
          </w:p>
        </w:tc>
        <w:tc>
          <w:tcPr>
            <w:tcW w:w="1701" w:type="dxa"/>
            <w:tcBorders>
              <w:top w:val="single" w:sz="4" w:space="0" w:color="365F91"/>
              <w:bottom w:val="single" w:sz="4" w:space="0" w:color="365F91"/>
            </w:tcBorders>
            <w:shd w:val="clear" w:color="auto" w:fill="auto"/>
          </w:tcPr>
          <w:p w14:paraId="12EFE719" w14:textId="77777777" w:rsidR="00A05AC8" w:rsidRPr="00256982" w:rsidRDefault="00A05AC8" w:rsidP="00B7783F">
            <w:pPr>
              <w:pStyle w:val="TableText"/>
            </w:pPr>
            <w:r w:rsidRPr="00256982">
              <w:t>Accuracy</w:t>
            </w:r>
          </w:p>
        </w:tc>
        <w:tc>
          <w:tcPr>
            <w:tcW w:w="2551" w:type="dxa"/>
            <w:tcBorders>
              <w:top w:val="single" w:sz="4" w:space="0" w:color="365F91"/>
              <w:bottom w:val="single" w:sz="4" w:space="0" w:color="365F91"/>
            </w:tcBorders>
            <w:shd w:val="clear" w:color="auto" w:fill="auto"/>
          </w:tcPr>
          <w:p w14:paraId="18815ACA" w14:textId="77777777" w:rsidR="00A05AC8" w:rsidRPr="00256982" w:rsidRDefault="00A05AC8" w:rsidP="00B7783F">
            <w:pPr>
              <w:pStyle w:val="TableText"/>
            </w:pPr>
            <w:r w:rsidRPr="00256982">
              <w:t>Solid waste disposal is a key category</w:t>
            </w:r>
          </w:p>
        </w:tc>
      </w:tr>
      <w:tr w:rsidR="00A05AC8" w:rsidRPr="00256982" w14:paraId="7D3EEADA" w14:textId="77777777" w:rsidTr="00B7783F">
        <w:tc>
          <w:tcPr>
            <w:tcW w:w="4253" w:type="dxa"/>
            <w:tcBorders>
              <w:top w:val="single" w:sz="4" w:space="0" w:color="365F91"/>
              <w:bottom w:val="single" w:sz="4" w:space="0" w:color="365F91"/>
            </w:tcBorders>
            <w:shd w:val="clear" w:color="auto" w:fill="auto"/>
          </w:tcPr>
          <w:p w14:paraId="3DFD4732" w14:textId="77777777" w:rsidR="00A05AC8" w:rsidRPr="00256982" w:rsidRDefault="00A05AC8" w:rsidP="00B7783F">
            <w:pPr>
              <w:pStyle w:val="TableText"/>
            </w:pPr>
            <w:r w:rsidRPr="00256982">
              <w:t>In domestic wastewater (5.D.1), nitrous oxide (N</w:t>
            </w:r>
            <w:r w:rsidRPr="00256982">
              <w:rPr>
                <w:vertAlign w:val="subscript"/>
              </w:rPr>
              <w:t>2</w:t>
            </w:r>
            <w:r w:rsidRPr="00256982">
              <w:t>O) emissions have been removed from the population using septic tanks due to no effluent being disposed to waterways. This has reduced emissions by 13.9 kt CO</w:t>
            </w:r>
            <w:r w:rsidRPr="00256982">
              <w:rPr>
                <w:vertAlign w:val="subscript"/>
              </w:rPr>
              <w:t>2</w:t>
            </w:r>
            <w:r w:rsidRPr="00256982">
              <w:noBreakHyphen/>
              <w:t>e (17.3 per cent) in 1990 and reduced emissions by 12.4 kt CO</w:t>
            </w:r>
            <w:r w:rsidRPr="00256982">
              <w:rPr>
                <w:vertAlign w:val="subscript"/>
              </w:rPr>
              <w:t>2</w:t>
            </w:r>
            <w:r w:rsidRPr="00256982">
              <w:t>-e (11.0 per cent) in 2016.</w:t>
            </w:r>
          </w:p>
        </w:tc>
        <w:tc>
          <w:tcPr>
            <w:tcW w:w="1701" w:type="dxa"/>
            <w:tcBorders>
              <w:top w:val="single" w:sz="4" w:space="0" w:color="365F91"/>
              <w:bottom w:val="single" w:sz="4" w:space="0" w:color="365F91"/>
            </w:tcBorders>
            <w:shd w:val="clear" w:color="auto" w:fill="auto"/>
          </w:tcPr>
          <w:p w14:paraId="38A12FE4" w14:textId="77777777" w:rsidR="00A05AC8" w:rsidRPr="00256982" w:rsidRDefault="00A05AC8" w:rsidP="00B7783F">
            <w:pPr>
              <w:pStyle w:val="TableText"/>
            </w:pPr>
            <w:r w:rsidRPr="00256982">
              <w:t>Accuracy</w:t>
            </w:r>
          </w:p>
        </w:tc>
        <w:tc>
          <w:tcPr>
            <w:tcW w:w="2551" w:type="dxa"/>
            <w:tcBorders>
              <w:top w:val="single" w:sz="4" w:space="0" w:color="365F91"/>
              <w:bottom w:val="single" w:sz="4" w:space="0" w:color="365F91"/>
            </w:tcBorders>
            <w:shd w:val="clear" w:color="auto" w:fill="auto"/>
          </w:tcPr>
          <w:p w14:paraId="1AB718CB" w14:textId="77777777" w:rsidR="00A05AC8" w:rsidRPr="00256982" w:rsidRDefault="00A05AC8" w:rsidP="00B7783F">
            <w:pPr>
              <w:pStyle w:val="TableText"/>
            </w:pPr>
            <w:r w:rsidRPr="00256982">
              <w:t>Wastewater treatment and discharge is a key category</w:t>
            </w:r>
          </w:p>
        </w:tc>
      </w:tr>
      <w:tr w:rsidR="00A05AC8" w:rsidRPr="00256982" w14:paraId="4D793DC8" w14:textId="77777777" w:rsidTr="00B7783F">
        <w:tc>
          <w:tcPr>
            <w:tcW w:w="4253" w:type="dxa"/>
            <w:tcBorders>
              <w:top w:val="single" w:sz="4" w:space="0" w:color="365F91"/>
              <w:bottom w:val="single" w:sz="4" w:space="0" w:color="365F91"/>
            </w:tcBorders>
            <w:shd w:val="clear" w:color="auto" w:fill="auto"/>
          </w:tcPr>
          <w:p w14:paraId="71C4957E" w14:textId="77777777" w:rsidR="00A05AC8" w:rsidRPr="00256982" w:rsidRDefault="00A05AC8" w:rsidP="00B7783F">
            <w:pPr>
              <w:pStyle w:val="TableText"/>
            </w:pPr>
            <w:r w:rsidRPr="00256982">
              <w:t>Several small changes in the CH</w:t>
            </w:r>
            <w:r w:rsidRPr="00256982">
              <w:rPr>
                <w:vertAlign w:val="subscript"/>
              </w:rPr>
              <w:t>4</w:t>
            </w:r>
            <w:r w:rsidRPr="00256982">
              <w:t xml:space="preserve"> calculations for domestic wastewater (5.D.1) have reduced emissions by 21.8 kt CO</w:t>
            </w:r>
            <w:r w:rsidRPr="00256982">
              <w:rPr>
                <w:vertAlign w:val="subscript"/>
              </w:rPr>
              <w:t>2</w:t>
            </w:r>
            <w:r w:rsidRPr="00256982">
              <w:t>-e (13.3 per cent) in 1990 and reduced emissions by 21.3 kt CO</w:t>
            </w:r>
            <w:r w:rsidRPr="00256982">
              <w:rPr>
                <w:vertAlign w:val="subscript"/>
              </w:rPr>
              <w:t>2</w:t>
            </w:r>
            <w:r w:rsidRPr="00256982">
              <w:t>-e (12.3 per cent) in 2016. The main change has been to correct the industrial/commercial co-discharge factor for biological oxygen demand (BOD) from septic tanks to 1 (instead of 1.25 used in previous submissions), because septic tanks only process residential waste. This has reduced the aggregate methane correction factor (table 7.5.2) by between 9.1 per cent and 18.0 per cent, compared with the 2018 submission.</w:t>
            </w:r>
          </w:p>
        </w:tc>
        <w:tc>
          <w:tcPr>
            <w:tcW w:w="1701" w:type="dxa"/>
            <w:tcBorders>
              <w:top w:val="single" w:sz="4" w:space="0" w:color="365F91"/>
              <w:bottom w:val="single" w:sz="4" w:space="0" w:color="365F91"/>
            </w:tcBorders>
            <w:shd w:val="clear" w:color="auto" w:fill="auto"/>
          </w:tcPr>
          <w:p w14:paraId="1DA7FCFC" w14:textId="77777777" w:rsidR="00A05AC8" w:rsidRPr="00256982" w:rsidRDefault="00A05AC8" w:rsidP="00B7783F">
            <w:pPr>
              <w:pStyle w:val="TableText"/>
            </w:pPr>
            <w:r w:rsidRPr="00256982">
              <w:t>Accuracy</w:t>
            </w:r>
          </w:p>
        </w:tc>
        <w:tc>
          <w:tcPr>
            <w:tcW w:w="2551" w:type="dxa"/>
            <w:tcBorders>
              <w:top w:val="single" w:sz="4" w:space="0" w:color="365F91"/>
              <w:bottom w:val="single" w:sz="4" w:space="0" w:color="365F91"/>
            </w:tcBorders>
            <w:shd w:val="clear" w:color="auto" w:fill="auto"/>
          </w:tcPr>
          <w:p w14:paraId="50A10CEA" w14:textId="77777777" w:rsidR="00A05AC8" w:rsidRPr="00256982" w:rsidRDefault="00A05AC8" w:rsidP="00B7783F">
            <w:pPr>
              <w:pStyle w:val="TableText"/>
            </w:pPr>
            <w:r w:rsidRPr="00256982">
              <w:t>Wastewater treatment and discharge is a key category; addresses ERT recommendation(s)</w:t>
            </w:r>
          </w:p>
        </w:tc>
      </w:tr>
      <w:tr w:rsidR="00A05AC8" w:rsidRPr="00256982" w14:paraId="2972A936" w14:textId="77777777" w:rsidTr="00B7783F">
        <w:tc>
          <w:tcPr>
            <w:tcW w:w="4253" w:type="dxa"/>
            <w:tcBorders>
              <w:top w:val="single" w:sz="4" w:space="0" w:color="365F91"/>
              <w:bottom w:val="single" w:sz="4" w:space="0" w:color="365F91"/>
            </w:tcBorders>
            <w:shd w:val="clear" w:color="auto" w:fill="auto"/>
          </w:tcPr>
          <w:p w14:paraId="3F43F427" w14:textId="77777777" w:rsidR="00A05AC8" w:rsidRPr="00256982" w:rsidRDefault="00A05AC8" w:rsidP="00B7783F">
            <w:pPr>
              <w:pStyle w:val="TableText"/>
            </w:pPr>
            <w:r w:rsidRPr="00256982">
              <w:t>The calculation model for domestic wastewater (5.D.1) has been revised so that all years are calculated directly from activity data rather than just the final emissions year and this has resulted in small changes in emissions across the time series.</w:t>
            </w:r>
          </w:p>
        </w:tc>
        <w:tc>
          <w:tcPr>
            <w:tcW w:w="1701" w:type="dxa"/>
            <w:tcBorders>
              <w:top w:val="single" w:sz="4" w:space="0" w:color="365F91"/>
              <w:bottom w:val="single" w:sz="4" w:space="0" w:color="365F91"/>
            </w:tcBorders>
            <w:shd w:val="clear" w:color="auto" w:fill="auto"/>
          </w:tcPr>
          <w:p w14:paraId="2CFA557C" w14:textId="77777777" w:rsidR="00A05AC8" w:rsidRPr="00256982" w:rsidRDefault="00A05AC8" w:rsidP="00B7783F">
            <w:pPr>
              <w:pStyle w:val="TableText"/>
            </w:pPr>
            <w:r w:rsidRPr="00256982">
              <w:t>Transparency, accuracy</w:t>
            </w:r>
          </w:p>
        </w:tc>
        <w:tc>
          <w:tcPr>
            <w:tcW w:w="2551" w:type="dxa"/>
            <w:tcBorders>
              <w:top w:val="single" w:sz="4" w:space="0" w:color="365F91"/>
              <w:bottom w:val="single" w:sz="4" w:space="0" w:color="365F91"/>
            </w:tcBorders>
            <w:shd w:val="clear" w:color="auto" w:fill="auto"/>
          </w:tcPr>
          <w:p w14:paraId="1AAE3D4E" w14:textId="77777777" w:rsidR="00A05AC8" w:rsidRPr="00256982" w:rsidRDefault="00A05AC8" w:rsidP="00B7783F">
            <w:pPr>
              <w:pStyle w:val="TableText"/>
            </w:pPr>
            <w:r w:rsidRPr="00256982">
              <w:t>Wastewater treatment and discharge is a key category</w:t>
            </w:r>
          </w:p>
        </w:tc>
      </w:tr>
      <w:tr w:rsidR="00A05AC8" w:rsidRPr="00256982" w14:paraId="5F9FCD5C" w14:textId="77777777" w:rsidTr="00B7783F">
        <w:tc>
          <w:tcPr>
            <w:tcW w:w="4253" w:type="dxa"/>
            <w:tcBorders>
              <w:top w:val="single" w:sz="4" w:space="0" w:color="365F91"/>
              <w:bottom w:val="single" w:sz="4" w:space="0" w:color="365F91"/>
            </w:tcBorders>
            <w:shd w:val="clear" w:color="auto" w:fill="auto"/>
          </w:tcPr>
          <w:p w14:paraId="2ED24839" w14:textId="77777777" w:rsidR="00A05AC8" w:rsidRPr="00256982" w:rsidRDefault="00A05AC8" w:rsidP="00B7783F">
            <w:pPr>
              <w:pStyle w:val="TableText"/>
            </w:pPr>
            <w:r w:rsidRPr="00256982">
              <w:t>Nitrous oxide emissions for leather and skins (5.D.2) now reflect that much of the industry discharges to domestic sewers since 2002, reducing emissions by 5.7 kt CO</w:t>
            </w:r>
            <w:r w:rsidRPr="00256982">
              <w:rPr>
                <w:vertAlign w:val="subscript"/>
              </w:rPr>
              <w:t>2</w:t>
            </w:r>
            <w:r w:rsidRPr="00256982">
              <w:t>-e per year from 2002 to 2017.</w:t>
            </w:r>
          </w:p>
        </w:tc>
        <w:tc>
          <w:tcPr>
            <w:tcW w:w="1701" w:type="dxa"/>
            <w:tcBorders>
              <w:top w:val="single" w:sz="4" w:space="0" w:color="365F91"/>
              <w:bottom w:val="single" w:sz="4" w:space="0" w:color="365F91"/>
            </w:tcBorders>
            <w:shd w:val="clear" w:color="auto" w:fill="auto"/>
          </w:tcPr>
          <w:p w14:paraId="542970BF" w14:textId="77777777" w:rsidR="00A05AC8" w:rsidRPr="00256982" w:rsidRDefault="00A05AC8" w:rsidP="00B7783F">
            <w:pPr>
              <w:pStyle w:val="TableText"/>
            </w:pPr>
            <w:r w:rsidRPr="00256982">
              <w:t>Accuracy</w:t>
            </w:r>
          </w:p>
        </w:tc>
        <w:tc>
          <w:tcPr>
            <w:tcW w:w="2551" w:type="dxa"/>
            <w:tcBorders>
              <w:top w:val="single" w:sz="4" w:space="0" w:color="365F91"/>
              <w:bottom w:val="single" w:sz="4" w:space="0" w:color="365F91"/>
            </w:tcBorders>
            <w:shd w:val="clear" w:color="auto" w:fill="auto"/>
          </w:tcPr>
          <w:p w14:paraId="54D73883" w14:textId="77777777" w:rsidR="00A05AC8" w:rsidRPr="00256982" w:rsidRDefault="00A05AC8" w:rsidP="00B7783F">
            <w:pPr>
              <w:pStyle w:val="TableText"/>
            </w:pPr>
            <w:r w:rsidRPr="00256982">
              <w:t>Wastewater treatment and discharge is a key category</w:t>
            </w:r>
          </w:p>
        </w:tc>
      </w:tr>
      <w:tr w:rsidR="00A05AC8" w:rsidRPr="00256982" w14:paraId="5BBD089D" w14:textId="77777777" w:rsidTr="00B7783F">
        <w:tc>
          <w:tcPr>
            <w:tcW w:w="4253" w:type="dxa"/>
            <w:tcBorders>
              <w:top w:val="single" w:sz="4" w:space="0" w:color="365F91"/>
              <w:bottom w:val="single" w:sz="4" w:space="0" w:color="365F91"/>
            </w:tcBorders>
            <w:shd w:val="clear" w:color="auto" w:fill="auto"/>
          </w:tcPr>
          <w:p w14:paraId="10961F1D" w14:textId="77777777" w:rsidR="00A05AC8" w:rsidRPr="00256982" w:rsidRDefault="00A05AC8" w:rsidP="00B7783F">
            <w:pPr>
              <w:pStyle w:val="TableText"/>
            </w:pPr>
            <w:r w:rsidRPr="00256982">
              <w:t>The emission factor for poultry for 2014–16 (5.D.2) was incorrectly applying the meat industry emission factor in the 2018 submission and this has been corrected, reducing emissions by 0.4 kt CO</w:t>
            </w:r>
            <w:r w:rsidRPr="00256982">
              <w:rPr>
                <w:vertAlign w:val="subscript"/>
              </w:rPr>
              <w:t>2</w:t>
            </w:r>
            <w:r w:rsidRPr="00256982">
              <w:t>-e (0.4 per cent) in 2017.</w:t>
            </w:r>
          </w:p>
        </w:tc>
        <w:tc>
          <w:tcPr>
            <w:tcW w:w="1701" w:type="dxa"/>
            <w:tcBorders>
              <w:top w:val="single" w:sz="4" w:space="0" w:color="365F91"/>
              <w:bottom w:val="single" w:sz="4" w:space="0" w:color="365F91"/>
            </w:tcBorders>
            <w:shd w:val="clear" w:color="auto" w:fill="auto"/>
          </w:tcPr>
          <w:p w14:paraId="6A344318" w14:textId="77777777" w:rsidR="00A05AC8" w:rsidRPr="00256982" w:rsidRDefault="00A05AC8" w:rsidP="00B7783F">
            <w:pPr>
              <w:pStyle w:val="TableText"/>
            </w:pPr>
            <w:r w:rsidRPr="00256982">
              <w:t>Accuracy</w:t>
            </w:r>
          </w:p>
        </w:tc>
        <w:tc>
          <w:tcPr>
            <w:tcW w:w="2551" w:type="dxa"/>
            <w:tcBorders>
              <w:top w:val="single" w:sz="4" w:space="0" w:color="365F91"/>
              <w:bottom w:val="single" w:sz="4" w:space="0" w:color="365F91"/>
            </w:tcBorders>
            <w:shd w:val="clear" w:color="auto" w:fill="auto"/>
          </w:tcPr>
          <w:p w14:paraId="71FEEC52" w14:textId="77777777" w:rsidR="00A05AC8" w:rsidRPr="00256982" w:rsidRDefault="00A05AC8" w:rsidP="00B7783F">
            <w:pPr>
              <w:pStyle w:val="TableText"/>
              <w:rPr>
                <w:i/>
              </w:rPr>
            </w:pPr>
            <w:r w:rsidRPr="00256982">
              <w:t>Wastewater treatment and discharge is a key category</w:t>
            </w:r>
          </w:p>
        </w:tc>
      </w:tr>
      <w:tr w:rsidR="00A05AC8" w:rsidRPr="00256982" w14:paraId="106B3734" w14:textId="77777777" w:rsidTr="00B7783F">
        <w:tc>
          <w:tcPr>
            <w:tcW w:w="4253" w:type="dxa"/>
            <w:tcBorders>
              <w:top w:val="single" w:sz="4" w:space="0" w:color="365F91"/>
              <w:bottom w:val="single" w:sz="4" w:space="0" w:color="365F91"/>
            </w:tcBorders>
            <w:shd w:val="clear" w:color="auto" w:fill="auto"/>
          </w:tcPr>
          <w:p w14:paraId="7E004E91" w14:textId="77777777" w:rsidR="00A05AC8" w:rsidRPr="00256982" w:rsidRDefault="00A05AC8" w:rsidP="00B7783F">
            <w:pPr>
              <w:pStyle w:val="TableText"/>
            </w:pPr>
            <w:r w:rsidRPr="00256982">
              <w:t>Activity data for meat and poultry (5.D.2) have been aligned between CH</w:t>
            </w:r>
            <w:r w:rsidRPr="00256982">
              <w:rPr>
                <w:vertAlign w:val="subscript"/>
              </w:rPr>
              <w:t>4</w:t>
            </w:r>
            <w:r w:rsidRPr="00256982">
              <w:t xml:space="preserve"> and N</w:t>
            </w:r>
            <w:r w:rsidRPr="00256982">
              <w:rPr>
                <w:vertAlign w:val="subscript"/>
              </w:rPr>
              <w:t>2</w:t>
            </w:r>
            <w:r w:rsidRPr="00256982">
              <w:t>O calculations where differences were found, which has a negligible impact on emissions.</w:t>
            </w:r>
          </w:p>
        </w:tc>
        <w:tc>
          <w:tcPr>
            <w:tcW w:w="1701" w:type="dxa"/>
            <w:tcBorders>
              <w:top w:val="single" w:sz="4" w:space="0" w:color="365F91"/>
              <w:bottom w:val="single" w:sz="4" w:space="0" w:color="365F91"/>
            </w:tcBorders>
            <w:shd w:val="clear" w:color="auto" w:fill="auto"/>
          </w:tcPr>
          <w:p w14:paraId="6CD30137" w14:textId="77777777" w:rsidR="00A05AC8" w:rsidRPr="00256982" w:rsidRDefault="00A05AC8" w:rsidP="00B7783F">
            <w:pPr>
              <w:pStyle w:val="TableText"/>
            </w:pPr>
            <w:r w:rsidRPr="00256982">
              <w:t>Accuracy</w:t>
            </w:r>
          </w:p>
        </w:tc>
        <w:tc>
          <w:tcPr>
            <w:tcW w:w="2551" w:type="dxa"/>
            <w:tcBorders>
              <w:top w:val="single" w:sz="4" w:space="0" w:color="365F91"/>
              <w:bottom w:val="single" w:sz="4" w:space="0" w:color="365F91"/>
            </w:tcBorders>
            <w:shd w:val="clear" w:color="auto" w:fill="auto"/>
          </w:tcPr>
          <w:p w14:paraId="75E29496" w14:textId="77777777" w:rsidR="00A05AC8" w:rsidRPr="00256982" w:rsidRDefault="00A05AC8" w:rsidP="00B7783F">
            <w:pPr>
              <w:pStyle w:val="TableText"/>
              <w:rPr>
                <w:i/>
              </w:rPr>
            </w:pPr>
            <w:r w:rsidRPr="00256982">
              <w:t>Wastewater treatment and discharge is a key category</w:t>
            </w:r>
          </w:p>
        </w:tc>
      </w:tr>
    </w:tbl>
    <w:p w14:paraId="7C319157" w14:textId="77777777" w:rsidR="00A05AC8" w:rsidRPr="00256982" w:rsidRDefault="00A05AC8" w:rsidP="00A05AC8">
      <w:pPr>
        <w:pStyle w:val="Heading3"/>
        <w:tabs>
          <w:tab w:val="left" w:pos="993"/>
        </w:tabs>
        <w:spacing w:before="440"/>
        <w:ind w:left="993" w:hanging="993"/>
      </w:pPr>
      <w:r w:rsidRPr="00256982">
        <w:t xml:space="preserve">10.1.6 </w:t>
      </w:r>
      <w:r w:rsidRPr="00256982">
        <w:tab/>
        <w:t>Tokelau (‘Other’ sector)</w:t>
      </w:r>
    </w:p>
    <w:p w14:paraId="14A1B370" w14:textId="1B227C82" w:rsidR="00A05AC8" w:rsidRPr="00256982" w:rsidRDefault="00A05AC8" w:rsidP="00A05AC8">
      <w:pPr>
        <w:pStyle w:val="BodyText"/>
      </w:pPr>
      <w:r w:rsidRPr="00256982">
        <w:t>Emissions from Tokelau are reported in the 2019 submission for the first time. Therefore</w:t>
      </w:r>
      <w:r w:rsidR="002115C1" w:rsidRPr="00256982">
        <w:t>,</w:t>
      </w:r>
      <w:r w:rsidRPr="00256982">
        <w:t xml:space="preserve"> there are no recalculations to estimates for Toke</w:t>
      </w:r>
      <w:r w:rsidR="00BB0A17">
        <w:t>l</w:t>
      </w:r>
      <w:r w:rsidRPr="00256982">
        <w:t>au.</w:t>
      </w:r>
    </w:p>
    <w:p w14:paraId="1A6D9AD8" w14:textId="77777777" w:rsidR="00A05AC8" w:rsidRPr="00256982" w:rsidRDefault="00A05AC8" w:rsidP="00A05AC8">
      <w:pPr>
        <w:pStyle w:val="Heading3"/>
        <w:tabs>
          <w:tab w:val="left" w:pos="993"/>
        </w:tabs>
        <w:spacing w:before="440"/>
        <w:ind w:left="993" w:hanging="993"/>
      </w:pPr>
      <w:r w:rsidRPr="00256982">
        <w:t xml:space="preserve">10.1.7 </w:t>
      </w:r>
      <w:r w:rsidRPr="00256982">
        <w:tab/>
        <w:t>Article 3.3 activities under the Kyoto Protocol</w:t>
      </w:r>
    </w:p>
    <w:p w14:paraId="79DA0B0F" w14:textId="77777777" w:rsidR="00A05AC8" w:rsidRPr="00256982" w:rsidRDefault="00A05AC8" w:rsidP="00A05AC8">
      <w:pPr>
        <w:pStyle w:val="BodyText"/>
      </w:pPr>
      <w:bookmarkStart w:id="2540" w:name="_Toc310423434"/>
      <w:bookmarkStart w:id="2541" w:name="_Toc342470806"/>
      <w:bookmarkStart w:id="2542" w:name="_Toc352505058"/>
      <w:bookmarkStart w:id="2543" w:name="_Toc391023546"/>
      <w:bookmarkStart w:id="2544" w:name="_Toc414531520"/>
      <w:bookmarkStart w:id="2545" w:name="_Toc451176193"/>
      <w:bookmarkStart w:id="2546" w:name="_Toc481751624"/>
      <w:bookmarkStart w:id="2547" w:name="_Toc384581683"/>
      <w:bookmarkStart w:id="2548" w:name="_Toc414531337"/>
      <w:bookmarkStart w:id="2549" w:name="_Toc448321557"/>
      <w:bookmarkStart w:id="2550" w:name="_Toc481751419"/>
      <w:bookmarkStart w:id="2551" w:name="_Toc511116634"/>
      <w:r w:rsidRPr="00256982">
        <w:t>New Zealand’s greenhouse gas estimates for activities under Article 3.3 and Article 3.4 of the Kyoto Protocol have been recalculated since the 2018 inventory submission (tables 10.1.11, 10.1.12 and 10.1.13). The recalculations incorporate changes to meet new IPCC guidance (IPCC, 2006, 2014) and include improved activity data and emission factors (see chapter 11 and table 10.2.1). Table 10.1.11 lists the recalculations in order of decreasing magnitude.</w:t>
      </w:r>
    </w:p>
    <w:p w14:paraId="3CE7404D" w14:textId="77777777" w:rsidR="00A05AC8" w:rsidRPr="00256982" w:rsidRDefault="00A05AC8" w:rsidP="00A05AC8">
      <w:pPr>
        <w:pStyle w:val="Table"/>
      </w:pPr>
      <w:bookmarkStart w:id="2552" w:name="_Toc511116852"/>
      <w:bookmarkStart w:id="2553" w:name="_Toc5269619"/>
      <w:r w:rsidRPr="00256982">
        <w:t>Table 10.1.11</w:t>
      </w:r>
      <w:r w:rsidRPr="00256982">
        <w:tab/>
        <w:t>Explanations and justifications for recalculations of New Zealand’s previous</w:t>
      </w:r>
      <w:r w:rsidRPr="00256982">
        <w:br/>
        <w:t>Kyoto Protocol estimates</w:t>
      </w:r>
      <w:bookmarkEnd w:id="2540"/>
      <w:bookmarkEnd w:id="2541"/>
      <w:bookmarkEnd w:id="2542"/>
      <w:bookmarkEnd w:id="2543"/>
      <w:bookmarkEnd w:id="2544"/>
      <w:bookmarkEnd w:id="2545"/>
      <w:bookmarkEnd w:id="2546"/>
      <w:bookmarkEnd w:id="2552"/>
      <w:bookmarkEnd w:id="2553"/>
    </w:p>
    <w:tbl>
      <w:tblPr>
        <w:tblW w:w="8562" w:type="dxa"/>
        <w:tblInd w:w="108" w:type="dxa"/>
        <w:tblLayout w:type="fixed"/>
        <w:tblLook w:val="04A0" w:firstRow="1" w:lastRow="0" w:firstColumn="1" w:lastColumn="0" w:noHBand="0" w:noVBand="1"/>
      </w:tblPr>
      <w:tblGrid>
        <w:gridCol w:w="4282"/>
        <w:gridCol w:w="1712"/>
        <w:gridCol w:w="2568"/>
      </w:tblGrid>
      <w:tr w:rsidR="00A05AC8" w:rsidRPr="00256982" w14:paraId="48D2785C" w14:textId="77777777" w:rsidTr="002115C1">
        <w:trPr>
          <w:tblHeader/>
        </w:trPr>
        <w:tc>
          <w:tcPr>
            <w:tcW w:w="4253" w:type="dxa"/>
            <w:tcBorders>
              <w:top w:val="single" w:sz="4" w:space="0" w:color="365F91"/>
              <w:bottom w:val="single" w:sz="4" w:space="0" w:color="365F91"/>
            </w:tcBorders>
            <w:shd w:val="clear" w:color="auto" w:fill="365F91"/>
            <w:vAlign w:val="bottom"/>
          </w:tcPr>
          <w:p w14:paraId="0E9A9B93" w14:textId="77777777" w:rsidR="00A05AC8" w:rsidRPr="00256982" w:rsidRDefault="00A05AC8" w:rsidP="00B7783F">
            <w:pPr>
              <w:pStyle w:val="TableTextBold"/>
              <w:keepNext/>
              <w:spacing w:before="40" w:after="40"/>
              <w:rPr>
                <w:noProof w:val="0"/>
                <w:color w:val="FFFFFF"/>
              </w:rPr>
            </w:pPr>
            <w:r w:rsidRPr="00256982">
              <w:rPr>
                <w:noProof w:val="0"/>
                <w:color w:val="FFFFFF"/>
              </w:rPr>
              <w:t>Explanation of recalculation</w:t>
            </w:r>
          </w:p>
        </w:tc>
        <w:tc>
          <w:tcPr>
            <w:tcW w:w="1701" w:type="dxa"/>
            <w:tcBorders>
              <w:top w:val="single" w:sz="4" w:space="0" w:color="365F91"/>
              <w:bottom w:val="single" w:sz="4" w:space="0" w:color="365F91"/>
            </w:tcBorders>
            <w:shd w:val="clear" w:color="auto" w:fill="365F91"/>
            <w:vAlign w:val="bottom"/>
          </w:tcPr>
          <w:p w14:paraId="5C4F0275" w14:textId="77777777" w:rsidR="00A05AC8" w:rsidRPr="00256982" w:rsidRDefault="00A05AC8" w:rsidP="00B7783F">
            <w:pPr>
              <w:pStyle w:val="TableTextBold"/>
              <w:keepNext/>
              <w:spacing w:before="40" w:after="40"/>
              <w:rPr>
                <w:noProof w:val="0"/>
                <w:color w:val="FFFFFF"/>
              </w:rPr>
            </w:pPr>
            <w:r w:rsidRPr="00256982">
              <w:rPr>
                <w:noProof w:val="0"/>
                <w:color w:val="FFFFFF"/>
              </w:rPr>
              <w:t>Underpinning UNFCCC principle</w:t>
            </w:r>
          </w:p>
        </w:tc>
        <w:tc>
          <w:tcPr>
            <w:tcW w:w="2551" w:type="dxa"/>
            <w:tcBorders>
              <w:top w:val="single" w:sz="4" w:space="0" w:color="365F91"/>
              <w:bottom w:val="single" w:sz="4" w:space="0" w:color="365F91"/>
            </w:tcBorders>
            <w:shd w:val="clear" w:color="auto" w:fill="365F91"/>
            <w:vAlign w:val="bottom"/>
          </w:tcPr>
          <w:p w14:paraId="5E1E3B36" w14:textId="77777777" w:rsidR="00A05AC8" w:rsidRPr="00256982" w:rsidRDefault="00A05AC8" w:rsidP="00B7783F">
            <w:pPr>
              <w:pStyle w:val="TableTextBold"/>
              <w:keepNext/>
              <w:spacing w:before="40" w:after="40"/>
              <w:rPr>
                <w:noProof w:val="0"/>
                <w:color w:val="FFFFFF"/>
              </w:rPr>
            </w:pPr>
            <w:r w:rsidRPr="00256982">
              <w:rPr>
                <w:noProof w:val="0"/>
                <w:color w:val="FFFFFF"/>
              </w:rPr>
              <w:t>Additional justification</w:t>
            </w:r>
          </w:p>
        </w:tc>
      </w:tr>
      <w:tr w:rsidR="00A05AC8" w:rsidRPr="00256982" w14:paraId="3C708001" w14:textId="77777777" w:rsidTr="002115C1">
        <w:tc>
          <w:tcPr>
            <w:tcW w:w="4253" w:type="dxa"/>
            <w:tcBorders>
              <w:top w:val="single" w:sz="4" w:space="0" w:color="365F91"/>
              <w:bottom w:val="single" w:sz="4" w:space="0" w:color="365F91"/>
            </w:tcBorders>
            <w:shd w:val="clear" w:color="auto" w:fill="auto"/>
          </w:tcPr>
          <w:p w14:paraId="4D6030EC" w14:textId="77777777" w:rsidR="00A05AC8" w:rsidRPr="00256982" w:rsidRDefault="00A05AC8" w:rsidP="00B7783F">
            <w:pPr>
              <w:pStyle w:val="TableText"/>
              <w:spacing w:before="40" w:after="40"/>
              <w:rPr>
                <w:highlight w:val="yellow"/>
              </w:rPr>
            </w:pPr>
            <w:r w:rsidRPr="00256982">
              <w:t>The creation of a new land use map for 2016 and improvements to the 1990, 2008 and 2012 land use maps.</w:t>
            </w:r>
          </w:p>
        </w:tc>
        <w:tc>
          <w:tcPr>
            <w:tcW w:w="1701" w:type="dxa"/>
            <w:tcBorders>
              <w:top w:val="single" w:sz="4" w:space="0" w:color="365F91"/>
              <w:bottom w:val="single" w:sz="4" w:space="0" w:color="365F91"/>
            </w:tcBorders>
            <w:shd w:val="clear" w:color="auto" w:fill="auto"/>
          </w:tcPr>
          <w:p w14:paraId="7E419CDB" w14:textId="77777777" w:rsidR="00A05AC8" w:rsidRPr="00256982" w:rsidRDefault="00A05AC8" w:rsidP="00B7783F">
            <w:pPr>
              <w:pStyle w:val="TableText"/>
              <w:spacing w:before="40" w:after="40"/>
              <w:rPr>
                <w:highlight w:val="yellow"/>
              </w:rPr>
            </w:pPr>
            <w:r w:rsidRPr="00256982">
              <w:t>Accuracy, consistency</w:t>
            </w:r>
          </w:p>
        </w:tc>
        <w:tc>
          <w:tcPr>
            <w:tcW w:w="2551" w:type="dxa"/>
            <w:tcBorders>
              <w:top w:val="single" w:sz="4" w:space="0" w:color="365F91"/>
              <w:bottom w:val="single" w:sz="4" w:space="0" w:color="365F91"/>
            </w:tcBorders>
            <w:shd w:val="clear" w:color="auto" w:fill="auto"/>
          </w:tcPr>
          <w:p w14:paraId="362B7692" w14:textId="77777777" w:rsidR="00A05AC8" w:rsidRPr="00256982" w:rsidRDefault="00A05AC8" w:rsidP="00B7783F">
            <w:pPr>
              <w:pStyle w:val="TableText"/>
              <w:spacing w:before="40" w:after="40"/>
              <w:rPr>
                <w:highlight w:val="yellow"/>
              </w:rPr>
            </w:pPr>
            <w:r w:rsidRPr="00256982">
              <w:t>Key category improvement (</w:t>
            </w:r>
            <w:r w:rsidRPr="00256982">
              <w:rPr>
                <w:i/>
              </w:rPr>
              <w:t>Afforestation/reforestation</w:t>
            </w:r>
            <w:r w:rsidRPr="00256982">
              <w:t>;</w:t>
            </w:r>
            <w:r w:rsidRPr="00256982">
              <w:rPr>
                <w:i/>
              </w:rPr>
              <w:t xml:space="preserve"> Deforestation</w:t>
            </w:r>
            <w:r w:rsidRPr="00256982">
              <w:t xml:space="preserve"> and </w:t>
            </w:r>
            <w:r w:rsidRPr="00256982">
              <w:rPr>
                <w:i/>
              </w:rPr>
              <w:t>Forest management</w:t>
            </w:r>
            <w:r w:rsidRPr="00256982">
              <w:t>)</w:t>
            </w:r>
          </w:p>
        </w:tc>
      </w:tr>
      <w:tr w:rsidR="00A05AC8" w:rsidRPr="00256982" w14:paraId="51CC56E2" w14:textId="77777777" w:rsidTr="002115C1">
        <w:tc>
          <w:tcPr>
            <w:tcW w:w="4253" w:type="dxa"/>
            <w:tcBorders>
              <w:top w:val="single" w:sz="4" w:space="0" w:color="365F91"/>
              <w:bottom w:val="single" w:sz="4" w:space="0" w:color="365F91"/>
            </w:tcBorders>
            <w:shd w:val="clear" w:color="auto" w:fill="auto"/>
          </w:tcPr>
          <w:p w14:paraId="42EB6C59" w14:textId="74AB7C0E" w:rsidR="00A05AC8" w:rsidRPr="00256982" w:rsidRDefault="00A05AC8" w:rsidP="002115C1">
            <w:pPr>
              <w:pStyle w:val="TableText"/>
              <w:spacing w:before="40" w:after="40"/>
              <w:rPr>
                <w:highlight w:val="yellow"/>
              </w:rPr>
            </w:pPr>
            <w:r w:rsidRPr="00256982">
              <w:t>The post-1989 planted forest yield table has been revised for the 2018 submission. The revised yield table is based on three inventories of post-1989 planted forest permanent sample plots; two complete sets, and a partial set measured in 2016. The analysis of the data collected has provided a plot-based estimate of carbon stock and mean carbon density within this forest type</w:t>
            </w:r>
            <w:r w:rsidR="002115C1" w:rsidRPr="00256982">
              <w:t>.</w:t>
            </w:r>
          </w:p>
        </w:tc>
        <w:tc>
          <w:tcPr>
            <w:tcW w:w="1701" w:type="dxa"/>
            <w:tcBorders>
              <w:top w:val="single" w:sz="4" w:space="0" w:color="365F91"/>
              <w:bottom w:val="single" w:sz="4" w:space="0" w:color="365F91"/>
            </w:tcBorders>
            <w:shd w:val="clear" w:color="auto" w:fill="auto"/>
          </w:tcPr>
          <w:p w14:paraId="5CA85ED5" w14:textId="77777777" w:rsidR="00A05AC8" w:rsidRPr="00256982" w:rsidRDefault="00A05AC8" w:rsidP="00B7783F">
            <w:pPr>
              <w:pStyle w:val="TableText"/>
              <w:spacing w:before="40" w:after="40"/>
              <w:rPr>
                <w:highlight w:val="yellow"/>
              </w:rPr>
            </w:pPr>
            <w:r w:rsidRPr="00256982">
              <w:t>Accuracy</w:t>
            </w:r>
          </w:p>
        </w:tc>
        <w:tc>
          <w:tcPr>
            <w:tcW w:w="2551" w:type="dxa"/>
            <w:tcBorders>
              <w:top w:val="single" w:sz="4" w:space="0" w:color="365F91"/>
              <w:bottom w:val="single" w:sz="4" w:space="0" w:color="365F91"/>
            </w:tcBorders>
            <w:shd w:val="clear" w:color="auto" w:fill="auto"/>
          </w:tcPr>
          <w:p w14:paraId="424AFCAD" w14:textId="77777777" w:rsidR="00A05AC8" w:rsidRPr="00256982" w:rsidRDefault="00A05AC8" w:rsidP="00B7783F">
            <w:pPr>
              <w:pStyle w:val="TableText"/>
              <w:spacing w:before="40" w:after="40"/>
              <w:rPr>
                <w:highlight w:val="yellow"/>
              </w:rPr>
            </w:pPr>
            <w:r w:rsidRPr="00256982">
              <w:t>Key category improvement (</w:t>
            </w:r>
            <w:r w:rsidRPr="00256982">
              <w:rPr>
                <w:i/>
              </w:rPr>
              <w:t>Afforestation/reforestation; Deforestation</w:t>
            </w:r>
            <w:r w:rsidRPr="00256982">
              <w:t>)</w:t>
            </w:r>
          </w:p>
        </w:tc>
      </w:tr>
      <w:tr w:rsidR="00A05AC8" w:rsidRPr="00256982" w:rsidDel="00B73903" w14:paraId="3E97BD0D" w14:textId="77777777" w:rsidTr="002115C1">
        <w:tc>
          <w:tcPr>
            <w:tcW w:w="4253" w:type="dxa"/>
            <w:tcBorders>
              <w:top w:val="single" w:sz="4" w:space="0" w:color="365F91"/>
              <w:bottom w:val="single" w:sz="4" w:space="0" w:color="365F91"/>
            </w:tcBorders>
            <w:shd w:val="clear" w:color="auto" w:fill="auto"/>
          </w:tcPr>
          <w:p w14:paraId="272DF45E" w14:textId="71C31D31" w:rsidR="00A05AC8" w:rsidRPr="00256982" w:rsidRDefault="00A05AC8" w:rsidP="00B7783F">
            <w:pPr>
              <w:pStyle w:val="TableText"/>
              <w:spacing w:before="40" w:after="40"/>
            </w:pPr>
            <w:r w:rsidRPr="00256982">
              <w:t>Non-CO</w:t>
            </w:r>
            <w:r w:rsidRPr="00256982">
              <w:rPr>
                <w:vertAlign w:val="subscript"/>
              </w:rPr>
              <w:t>2</w:t>
            </w:r>
            <w:r w:rsidRPr="00256982">
              <w:t xml:space="preserve"> biomass burning emission factors updated</w:t>
            </w:r>
            <w:r w:rsidR="002115C1" w:rsidRPr="00256982">
              <w:t>.</w:t>
            </w:r>
          </w:p>
        </w:tc>
        <w:tc>
          <w:tcPr>
            <w:tcW w:w="1701" w:type="dxa"/>
            <w:tcBorders>
              <w:top w:val="single" w:sz="4" w:space="0" w:color="365F91"/>
              <w:bottom w:val="single" w:sz="4" w:space="0" w:color="365F91"/>
            </w:tcBorders>
            <w:shd w:val="clear" w:color="auto" w:fill="auto"/>
          </w:tcPr>
          <w:p w14:paraId="290492F1" w14:textId="77777777" w:rsidR="00A05AC8" w:rsidRPr="00256982" w:rsidRDefault="00A05AC8" w:rsidP="00B7783F">
            <w:pPr>
              <w:pStyle w:val="TableText"/>
              <w:spacing w:before="40" w:after="40"/>
            </w:pPr>
            <w:r w:rsidRPr="00256982">
              <w:t>Accuracy</w:t>
            </w:r>
          </w:p>
        </w:tc>
        <w:tc>
          <w:tcPr>
            <w:tcW w:w="2551" w:type="dxa"/>
            <w:tcBorders>
              <w:top w:val="single" w:sz="4" w:space="0" w:color="365F91"/>
              <w:bottom w:val="single" w:sz="4" w:space="0" w:color="365F91"/>
            </w:tcBorders>
            <w:shd w:val="clear" w:color="auto" w:fill="auto"/>
          </w:tcPr>
          <w:p w14:paraId="2F85E465" w14:textId="77777777" w:rsidR="00A05AC8" w:rsidRPr="00256982" w:rsidRDefault="00A05AC8" w:rsidP="00B7783F">
            <w:pPr>
              <w:pStyle w:val="TableText"/>
              <w:spacing w:before="40" w:after="40"/>
            </w:pPr>
            <w:r w:rsidRPr="00256982">
              <w:t>Key category improvement (</w:t>
            </w:r>
            <w:r w:rsidRPr="00256982">
              <w:rPr>
                <w:i/>
              </w:rPr>
              <w:t>Afforestation/reforestation</w:t>
            </w:r>
            <w:r w:rsidRPr="00256982">
              <w:t xml:space="preserve">; </w:t>
            </w:r>
            <w:r w:rsidRPr="00256982">
              <w:rPr>
                <w:i/>
              </w:rPr>
              <w:t>Deforestation</w:t>
            </w:r>
            <w:r w:rsidRPr="00256982">
              <w:t xml:space="preserve"> and </w:t>
            </w:r>
            <w:r w:rsidRPr="00256982">
              <w:rPr>
                <w:i/>
              </w:rPr>
              <w:t>Forest management</w:t>
            </w:r>
            <w:r w:rsidRPr="00256982">
              <w:t>)</w:t>
            </w:r>
          </w:p>
        </w:tc>
      </w:tr>
    </w:tbl>
    <w:p w14:paraId="5E3C64B4" w14:textId="77777777" w:rsidR="00A05AC8" w:rsidRPr="00256982" w:rsidRDefault="00A05AC8" w:rsidP="00A05AC8">
      <w:pPr>
        <w:pStyle w:val="BodyText"/>
        <w:spacing w:before="240"/>
      </w:pPr>
      <w:bookmarkStart w:id="2554" w:name="_Toc310423435"/>
      <w:bookmarkStart w:id="2555" w:name="_Toc342470807"/>
      <w:bookmarkStart w:id="2556" w:name="_Toc352505059"/>
      <w:bookmarkStart w:id="2557" w:name="_Toc391023547"/>
      <w:bookmarkStart w:id="2558" w:name="_Toc414531521"/>
      <w:bookmarkStart w:id="2559" w:name="_Toc451176194"/>
      <w:bookmarkStart w:id="2560" w:name="_Toc481751625"/>
      <w:r w:rsidRPr="00256982">
        <w:t xml:space="preserve">Since its last submission, New Zealand has produced a new land use map for 2016 and revised the 1990, 2008 and 2012 land use maps. This improvement has had the greatest impact on the emissions recalculations for Kyoto Protocol activities and on </w:t>
      </w:r>
      <w:r w:rsidRPr="00256982">
        <w:rPr>
          <w:i/>
        </w:rPr>
        <w:t>Afforestation/reforestation</w:t>
      </w:r>
      <w:r w:rsidRPr="00256982">
        <w:t xml:space="preserve"> activities in particular (table 10.1.12). </w:t>
      </w:r>
    </w:p>
    <w:p w14:paraId="4DF02415" w14:textId="77777777" w:rsidR="00A05AC8" w:rsidRPr="00256982" w:rsidRDefault="00A05AC8" w:rsidP="00A05AC8">
      <w:pPr>
        <w:pStyle w:val="BodyText"/>
        <w:spacing w:before="100" w:after="100"/>
      </w:pPr>
      <w:r w:rsidRPr="00256982">
        <w:t xml:space="preserve">The post-1989 planted forest yield table has been revised for the 2019 submission. This improvement has had the second greatest impact on the emissions recalculations for Kyoto Protocol activities and on </w:t>
      </w:r>
      <w:r w:rsidRPr="00256982">
        <w:rPr>
          <w:i/>
        </w:rPr>
        <w:t>Afforestation/reforestation</w:t>
      </w:r>
      <w:r w:rsidRPr="00256982">
        <w:t xml:space="preserve"> activities in particular (table 10.1.12). </w:t>
      </w:r>
    </w:p>
    <w:p w14:paraId="10A5198A" w14:textId="77777777" w:rsidR="00A05AC8" w:rsidRPr="00256982" w:rsidRDefault="00A05AC8" w:rsidP="00A05AC8">
      <w:pPr>
        <w:pStyle w:val="BodyText"/>
        <w:spacing w:before="100" w:after="100"/>
        <w:rPr>
          <w:rFonts w:cs="Arial"/>
          <w:szCs w:val="22"/>
        </w:rPr>
      </w:pPr>
      <w:r w:rsidRPr="00256982">
        <w:rPr>
          <w:rFonts w:cs="Arial"/>
          <w:szCs w:val="22"/>
        </w:rPr>
        <w:t>Improvements in activity data (table 10.1.13) have affected emissions recalculations for all three Kyoto Protocol activities.</w:t>
      </w:r>
    </w:p>
    <w:p w14:paraId="28D189CB" w14:textId="77777777" w:rsidR="00A05AC8" w:rsidRPr="00256982" w:rsidRDefault="00A05AC8" w:rsidP="00A05AC8">
      <w:pPr>
        <w:pStyle w:val="Table"/>
        <w:spacing w:before="240"/>
      </w:pPr>
      <w:bookmarkStart w:id="2561" w:name="_Toc511116853"/>
      <w:bookmarkStart w:id="2562" w:name="_Toc5269620"/>
      <w:r w:rsidRPr="00256982">
        <w:t>Table 10.1.12</w:t>
      </w:r>
      <w:r w:rsidRPr="00256982">
        <w:tab/>
        <w:t>Impact of the recalculations of New Zealand’s net emissions under</w:t>
      </w:r>
      <w:r w:rsidRPr="00256982">
        <w:br/>
        <w:t xml:space="preserve">Article 3.3 and Article 3.4 of the Kyoto Protocol in </w:t>
      </w:r>
      <w:bookmarkEnd w:id="2554"/>
      <w:bookmarkEnd w:id="2555"/>
      <w:bookmarkEnd w:id="2556"/>
      <w:bookmarkEnd w:id="2557"/>
      <w:r w:rsidRPr="00256982">
        <w:t>201</w:t>
      </w:r>
      <w:bookmarkEnd w:id="2558"/>
      <w:bookmarkEnd w:id="2559"/>
      <w:bookmarkEnd w:id="2560"/>
      <w:bookmarkEnd w:id="2561"/>
      <w:r w:rsidRPr="00256982">
        <w:t>6</w:t>
      </w:r>
      <w:bookmarkEnd w:id="2562"/>
    </w:p>
    <w:tbl>
      <w:tblPr>
        <w:tblW w:w="8505" w:type="dxa"/>
        <w:tblInd w:w="108" w:type="dxa"/>
        <w:tblLook w:val="04A0" w:firstRow="1" w:lastRow="0" w:firstColumn="1" w:lastColumn="0" w:noHBand="0" w:noVBand="1"/>
      </w:tblPr>
      <w:tblGrid>
        <w:gridCol w:w="3424"/>
        <w:gridCol w:w="1722"/>
        <w:gridCol w:w="1621"/>
        <w:gridCol w:w="1738"/>
      </w:tblGrid>
      <w:tr w:rsidR="00A05AC8" w:rsidRPr="00256982" w14:paraId="1C664686" w14:textId="77777777" w:rsidTr="00B7783F">
        <w:tc>
          <w:tcPr>
            <w:tcW w:w="3424" w:type="dxa"/>
            <w:vMerge w:val="restart"/>
            <w:tcBorders>
              <w:top w:val="single" w:sz="4" w:space="0" w:color="365F91"/>
            </w:tcBorders>
            <w:shd w:val="clear" w:color="auto" w:fill="365F91"/>
            <w:vAlign w:val="bottom"/>
          </w:tcPr>
          <w:p w14:paraId="099FEF3D" w14:textId="77777777" w:rsidR="00A05AC8" w:rsidRPr="00256982" w:rsidRDefault="00A05AC8" w:rsidP="00B7783F">
            <w:pPr>
              <w:pStyle w:val="TableTextBold"/>
              <w:spacing w:before="40" w:after="40"/>
              <w:rPr>
                <w:noProof w:val="0"/>
                <w:color w:val="FFFFFF"/>
              </w:rPr>
            </w:pPr>
            <w:r w:rsidRPr="00256982">
              <w:rPr>
                <w:noProof w:val="0"/>
                <w:color w:val="FFFFFF"/>
              </w:rPr>
              <w:t xml:space="preserve">Activities under the Kyoto Protocol </w:t>
            </w:r>
          </w:p>
        </w:tc>
        <w:tc>
          <w:tcPr>
            <w:tcW w:w="3343" w:type="dxa"/>
            <w:gridSpan w:val="2"/>
            <w:tcBorders>
              <w:top w:val="single" w:sz="4" w:space="0" w:color="365F91"/>
            </w:tcBorders>
            <w:shd w:val="clear" w:color="auto" w:fill="365F91"/>
            <w:vAlign w:val="bottom"/>
          </w:tcPr>
          <w:p w14:paraId="57A9BD5E" w14:textId="77777777" w:rsidR="00A05AC8" w:rsidRPr="00256982" w:rsidRDefault="00A05AC8" w:rsidP="00B7783F">
            <w:pPr>
              <w:pStyle w:val="TableTextBold"/>
              <w:spacing w:before="40" w:after="40"/>
              <w:jc w:val="center"/>
              <w:rPr>
                <w:noProof w:val="0"/>
                <w:color w:val="FFFFFF"/>
              </w:rPr>
            </w:pPr>
            <w:r w:rsidRPr="00256982">
              <w:rPr>
                <w:noProof w:val="0"/>
                <w:color w:val="FFFFFF"/>
              </w:rPr>
              <w:t>2016 net emissions</w:t>
            </w:r>
            <w:r w:rsidRPr="00256982">
              <w:rPr>
                <w:noProof w:val="0"/>
                <w:color w:val="FFFFFF"/>
              </w:rPr>
              <w:br/>
              <w:t>(kt CO</w:t>
            </w:r>
            <w:r w:rsidRPr="00256982">
              <w:rPr>
                <w:noProof w:val="0"/>
                <w:color w:val="FFFFFF"/>
                <w:vertAlign w:val="subscript"/>
              </w:rPr>
              <w:t>2</w:t>
            </w:r>
            <w:r w:rsidRPr="00256982">
              <w:rPr>
                <w:noProof w:val="0"/>
                <w:color w:val="FFFFFF"/>
              </w:rPr>
              <w:t>-e)</w:t>
            </w:r>
          </w:p>
        </w:tc>
        <w:tc>
          <w:tcPr>
            <w:tcW w:w="1738" w:type="dxa"/>
            <w:vMerge w:val="restart"/>
            <w:tcBorders>
              <w:top w:val="single" w:sz="4" w:space="0" w:color="365F91"/>
            </w:tcBorders>
            <w:shd w:val="clear" w:color="auto" w:fill="365F91"/>
            <w:vAlign w:val="bottom"/>
          </w:tcPr>
          <w:p w14:paraId="25D2A08F" w14:textId="77777777" w:rsidR="00A05AC8" w:rsidRPr="00256982" w:rsidRDefault="00A05AC8" w:rsidP="00B7783F">
            <w:pPr>
              <w:pStyle w:val="TableTextBold"/>
              <w:spacing w:before="40" w:after="40"/>
              <w:jc w:val="center"/>
              <w:rPr>
                <w:noProof w:val="0"/>
                <w:color w:val="FFFFFF"/>
              </w:rPr>
            </w:pPr>
            <w:r w:rsidRPr="00256982">
              <w:rPr>
                <w:noProof w:val="0"/>
                <w:color w:val="FFFFFF"/>
              </w:rPr>
              <w:t>Change from 2018 submission (%)</w:t>
            </w:r>
          </w:p>
        </w:tc>
      </w:tr>
      <w:tr w:rsidR="00A05AC8" w:rsidRPr="00256982" w14:paraId="2052588E" w14:textId="77777777" w:rsidTr="00B7783F">
        <w:tc>
          <w:tcPr>
            <w:tcW w:w="3424" w:type="dxa"/>
            <w:vMerge/>
            <w:tcBorders>
              <w:bottom w:val="single" w:sz="4" w:space="0" w:color="365F91"/>
            </w:tcBorders>
            <w:shd w:val="clear" w:color="auto" w:fill="365F91"/>
            <w:vAlign w:val="center"/>
          </w:tcPr>
          <w:p w14:paraId="1AAC3B7A" w14:textId="77777777" w:rsidR="00A05AC8" w:rsidRPr="00256982" w:rsidRDefault="00A05AC8" w:rsidP="00B7783F">
            <w:pPr>
              <w:pStyle w:val="TableTextBold"/>
              <w:spacing w:before="40" w:after="40"/>
              <w:rPr>
                <w:noProof w:val="0"/>
                <w:color w:val="FFFFFF"/>
                <w:highlight w:val="yellow"/>
              </w:rPr>
            </w:pPr>
          </w:p>
        </w:tc>
        <w:tc>
          <w:tcPr>
            <w:tcW w:w="1722" w:type="dxa"/>
            <w:tcBorders>
              <w:bottom w:val="single" w:sz="4" w:space="0" w:color="365F91"/>
            </w:tcBorders>
            <w:shd w:val="clear" w:color="auto" w:fill="365F91"/>
            <w:vAlign w:val="center"/>
          </w:tcPr>
          <w:p w14:paraId="5C728505" w14:textId="77777777" w:rsidR="00A05AC8" w:rsidRPr="00256982" w:rsidRDefault="00A05AC8" w:rsidP="00B7783F">
            <w:pPr>
              <w:pStyle w:val="TableTextBold"/>
              <w:spacing w:before="40" w:after="40"/>
              <w:jc w:val="center"/>
              <w:rPr>
                <w:noProof w:val="0"/>
                <w:color w:val="FFFFFF"/>
              </w:rPr>
            </w:pPr>
            <w:r w:rsidRPr="00256982">
              <w:rPr>
                <w:noProof w:val="0"/>
                <w:color w:val="FFFFFF"/>
              </w:rPr>
              <w:t>2018 submission</w:t>
            </w:r>
          </w:p>
        </w:tc>
        <w:tc>
          <w:tcPr>
            <w:tcW w:w="1621" w:type="dxa"/>
            <w:tcBorders>
              <w:bottom w:val="single" w:sz="4" w:space="0" w:color="365F91"/>
            </w:tcBorders>
            <w:shd w:val="clear" w:color="auto" w:fill="365F91"/>
            <w:vAlign w:val="center"/>
          </w:tcPr>
          <w:p w14:paraId="3065F885" w14:textId="77777777" w:rsidR="00A05AC8" w:rsidRPr="00256982" w:rsidRDefault="00A05AC8" w:rsidP="00B7783F">
            <w:pPr>
              <w:pStyle w:val="TableTextBold"/>
              <w:spacing w:before="40" w:after="40"/>
              <w:jc w:val="center"/>
              <w:rPr>
                <w:noProof w:val="0"/>
                <w:color w:val="FFFFFF"/>
              </w:rPr>
            </w:pPr>
            <w:r w:rsidRPr="00256982">
              <w:rPr>
                <w:noProof w:val="0"/>
                <w:color w:val="FFFFFF"/>
              </w:rPr>
              <w:t>2019 submission</w:t>
            </w:r>
          </w:p>
        </w:tc>
        <w:tc>
          <w:tcPr>
            <w:tcW w:w="1738" w:type="dxa"/>
            <w:vMerge/>
            <w:tcBorders>
              <w:bottom w:val="single" w:sz="4" w:space="0" w:color="365F91"/>
            </w:tcBorders>
            <w:shd w:val="clear" w:color="auto" w:fill="365F91"/>
            <w:vAlign w:val="center"/>
          </w:tcPr>
          <w:p w14:paraId="52FBC8C7" w14:textId="77777777" w:rsidR="00A05AC8" w:rsidRPr="00256982" w:rsidRDefault="00A05AC8" w:rsidP="00B7783F">
            <w:pPr>
              <w:pStyle w:val="TableTextBold"/>
              <w:spacing w:before="40" w:after="40"/>
              <w:rPr>
                <w:noProof w:val="0"/>
                <w:color w:val="FFFFFF"/>
                <w:highlight w:val="yellow"/>
              </w:rPr>
            </w:pPr>
          </w:p>
        </w:tc>
      </w:tr>
      <w:tr w:rsidR="00A05AC8" w:rsidRPr="00256982" w14:paraId="400A3C1D" w14:textId="77777777" w:rsidTr="00B7783F">
        <w:tc>
          <w:tcPr>
            <w:tcW w:w="3424" w:type="dxa"/>
            <w:tcBorders>
              <w:top w:val="single" w:sz="4" w:space="0" w:color="365F91"/>
              <w:bottom w:val="single" w:sz="4" w:space="0" w:color="365F91"/>
            </w:tcBorders>
            <w:shd w:val="clear" w:color="auto" w:fill="auto"/>
          </w:tcPr>
          <w:p w14:paraId="121C0665" w14:textId="77777777" w:rsidR="00A05AC8" w:rsidRPr="00256982" w:rsidRDefault="00A05AC8" w:rsidP="002115C1">
            <w:pPr>
              <w:pStyle w:val="TableText"/>
              <w:spacing w:before="50" w:after="50"/>
              <w:rPr>
                <w:highlight w:val="yellow"/>
              </w:rPr>
            </w:pPr>
            <w:r w:rsidRPr="00256982">
              <w:t>Afforestation/reforestation</w:t>
            </w:r>
          </w:p>
        </w:tc>
        <w:tc>
          <w:tcPr>
            <w:tcW w:w="1722" w:type="dxa"/>
            <w:tcBorders>
              <w:top w:val="single" w:sz="4" w:space="0" w:color="365F91"/>
              <w:bottom w:val="single" w:sz="4" w:space="0" w:color="365F91"/>
            </w:tcBorders>
            <w:shd w:val="clear" w:color="auto" w:fill="auto"/>
          </w:tcPr>
          <w:p w14:paraId="582E1D1E" w14:textId="77777777" w:rsidR="00A05AC8" w:rsidRPr="00256982" w:rsidRDefault="00A05AC8" w:rsidP="002115C1">
            <w:pPr>
              <w:pStyle w:val="TableText"/>
              <w:tabs>
                <w:tab w:val="decimal" w:pos="689"/>
              </w:tabs>
              <w:spacing w:before="50" w:after="50"/>
              <w:jc w:val="right"/>
              <w:rPr>
                <w:highlight w:val="yellow"/>
              </w:rPr>
            </w:pPr>
            <w:r w:rsidRPr="00256982">
              <w:t>–16,897.1</w:t>
            </w:r>
          </w:p>
        </w:tc>
        <w:tc>
          <w:tcPr>
            <w:tcW w:w="1621" w:type="dxa"/>
            <w:tcBorders>
              <w:top w:val="single" w:sz="4" w:space="0" w:color="365F91"/>
              <w:bottom w:val="single" w:sz="4" w:space="0" w:color="365F91"/>
            </w:tcBorders>
            <w:shd w:val="clear" w:color="auto" w:fill="auto"/>
          </w:tcPr>
          <w:p w14:paraId="7C1FEC39" w14:textId="77777777" w:rsidR="00A05AC8" w:rsidRPr="00256982" w:rsidRDefault="00A05AC8" w:rsidP="002115C1">
            <w:pPr>
              <w:pStyle w:val="TableText"/>
              <w:tabs>
                <w:tab w:val="decimal" w:pos="689"/>
              </w:tabs>
              <w:spacing w:before="50" w:after="50"/>
              <w:jc w:val="right"/>
              <w:rPr>
                <w:highlight w:val="yellow"/>
              </w:rPr>
            </w:pPr>
            <w:r w:rsidRPr="00256982">
              <w:t xml:space="preserve">–17,810.4 </w:t>
            </w:r>
          </w:p>
        </w:tc>
        <w:tc>
          <w:tcPr>
            <w:tcW w:w="1738" w:type="dxa"/>
            <w:tcBorders>
              <w:top w:val="single" w:sz="4" w:space="0" w:color="365F91"/>
              <w:bottom w:val="single" w:sz="4" w:space="0" w:color="365F91"/>
            </w:tcBorders>
            <w:shd w:val="clear" w:color="auto" w:fill="auto"/>
          </w:tcPr>
          <w:p w14:paraId="6FB64F39" w14:textId="77777777" w:rsidR="00A05AC8" w:rsidRPr="00256982" w:rsidRDefault="00A05AC8" w:rsidP="002115C1">
            <w:pPr>
              <w:pStyle w:val="TableText"/>
              <w:tabs>
                <w:tab w:val="decimal" w:pos="689"/>
              </w:tabs>
              <w:spacing w:before="50" w:after="50"/>
              <w:jc w:val="right"/>
              <w:rPr>
                <w:highlight w:val="yellow"/>
              </w:rPr>
            </w:pPr>
            <w:r w:rsidRPr="00256982">
              <w:t>–5.4</w:t>
            </w:r>
          </w:p>
        </w:tc>
      </w:tr>
      <w:tr w:rsidR="00A05AC8" w:rsidRPr="00256982" w14:paraId="26B6F354" w14:textId="77777777" w:rsidTr="00B7783F">
        <w:tc>
          <w:tcPr>
            <w:tcW w:w="3424" w:type="dxa"/>
            <w:tcBorders>
              <w:top w:val="single" w:sz="4" w:space="0" w:color="365F91"/>
              <w:bottom w:val="single" w:sz="4" w:space="0" w:color="365F91"/>
            </w:tcBorders>
            <w:shd w:val="clear" w:color="auto" w:fill="auto"/>
          </w:tcPr>
          <w:p w14:paraId="63B0E87E" w14:textId="77777777" w:rsidR="00A05AC8" w:rsidRPr="00256982" w:rsidRDefault="00A05AC8" w:rsidP="002115C1">
            <w:pPr>
              <w:pStyle w:val="TableText"/>
              <w:spacing w:before="50" w:after="50"/>
              <w:rPr>
                <w:highlight w:val="yellow"/>
              </w:rPr>
            </w:pPr>
            <w:r w:rsidRPr="00256982">
              <w:t xml:space="preserve">Deforestation </w:t>
            </w:r>
          </w:p>
        </w:tc>
        <w:tc>
          <w:tcPr>
            <w:tcW w:w="1722" w:type="dxa"/>
            <w:tcBorders>
              <w:top w:val="single" w:sz="4" w:space="0" w:color="365F91"/>
              <w:bottom w:val="single" w:sz="4" w:space="0" w:color="365F91"/>
            </w:tcBorders>
            <w:shd w:val="clear" w:color="auto" w:fill="auto"/>
          </w:tcPr>
          <w:p w14:paraId="14D42050" w14:textId="77777777" w:rsidR="00A05AC8" w:rsidRPr="00256982" w:rsidRDefault="00A05AC8" w:rsidP="002115C1">
            <w:pPr>
              <w:pStyle w:val="TableText"/>
              <w:tabs>
                <w:tab w:val="decimal" w:pos="689"/>
              </w:tabs>
              <w:spacing w:before="50" w:after="50"/>
              <w:jc w:val="right"/>
              <w:rPr>
                <w:highlight w:val="yellow"/>
              </w:rPr>
            </w:pPr>
            <w:r w:rsidRPr="00256982">
              <w:t xml:space="preserve">2,186.2 </w:t>
            </w:r>
          </w:p>
        </w:tc>
        <w:tc>
          <w:tcPr>
            <w:tcW w:w="1621" w:type="dxa"/>
            <w:tcBorders>
              <w:top w:val="single" w:sz="4" w:space="0" w:color="365F91"/>
              <w:bottom w:val="single" w:sz="4" w:space="0" w:color="365F91"/>
            </w:tcBorders>
            <w:shd w:val="clear" w:color="auto" w:fill="auto"/>
          </w:tcPr>
          <w:p w14:paraId="28E85E2D" w14:textId="77777777" w:rsidR="00A05AC8" w:rsidRPr="00256982" w:rsidRDefault="00A05AC8" w:rsidP="002115C1">
            <w:pPr>
              <w:pStyle w:val="TableText"/>
              <w:tabs>
                <w:tab w:val="decimal" w:pos="689"/>
              </w:tabs>
              <w:spacing w:before="50" w:after="50"/>
              <w:jc w:val="right"/>
              <w:rPr>
                <w:highlight w:val="yellow"/>
              </w:rPr>
            </w:pPr>
            <w:r w:rsidRPr="00256982">
              <w:t xml:space="preserve">2,050.5 </w:t>
            </w:r>
          </w:p>
        </w:tc>
        <w:tc>
          <w:tcPr>
            <w:tcW w:w="1738" w:type="dxa"/>
            <w:tcBorders>
              <w:top w:val="single" w:sz="4" w:space="0" w:color="365F91"/>
              <w:bottom w:val="single" w:sz="4" w:space="0" w:color="365F91"/>
            </w:tcBorders>
            <w:shd w:val="clear" w:color="auto" w:fill="auto"/>
          </w:tcPr>
          <w:p w14:paraId="7571B844" w14:textId="77777777" w:rsidR="00A05AC8" w:rsidRPr="00256982" w:rsidRDefault="00A05AC8" w:rsidP="002115C1">
            <w:pPr>
              <w:pStyle w:val="TableText"/>
              <w:tabs>
                <w:tab w:val="decimal" w:pos="689"/>
              </w:tabs>
              <w:spacing w:before="50" w:after="50"/>
              <w:jc w:val="right"/>
              <w:rPr>
                <w:highlight w:val="yellow"/>
              </w:rPr>
            </w:pPr>
            <w:r w:rsidRPr="00256982">
              <w:t>6.2</w:t>
            </w:r>
          </w:p>
        </w:tc>
      </w:tr>
      <w:tr w:rsidR="00A05AC8" w:rsidRPr="00256982" w14:paraId="28A205F9" w14:textId="77777777" w:rsidTr="00B7783F">
        <w:tc>
          <w:tcPr>
            <w:tcW w:w="3424" w:type="dxa"/>
            <w:tcBorders>
              <w:top w:val="single" w:sz="4" w:space="0" w:color="365F91"/>
              <w:bottom w:val="single" w:sz="4" w:space="0" w:color="365F91"/>
            </w:tcBorders>
            <w:shd w:val="clear" w:color="auto" w:fill="auto"/>
          </w:tcPr>
          <w:p w14:paraId="53A1A346" w14:textId="77777777" w:rsidR="00A05AC8" w:rsidRPr="00256982" w:rsidRDefault="00A05AC8" w:rsidP="002115C1">
            <w:pPr>
              <w:pStyle w:val="TableText"/>
              <w:spacing w:before="50" w:after="50"/>
              <w:rPr>
                <w:highlight w:val="yellow"/>
              </w:rPr>
            </w:pPr>
            <w:r w:rsidRPr="00256982">
              <w:t>Forest management</w:t>
            </w:r>
          </w:p>
        </w:tc>
        <w:tc>
          <w:tcPr>
            <w:tcW w:w="1722" w:type="dxa"/>
            <w:tcBorders>
              <w:top w:val="single" w:sz="4" w:space="0" w:color="365F91"/>
              <w:bottom w:val="single" w:sz="4" w:space="0" w:color="365F91"/>
            </w:tcBorders>
            <w:shd w:val="clear" w:color="auto" w:fill="auto"/>
          </w:tcPr>
          <w:p w14:paraId="7B019263" w14:textId="77777777" w:rsidR="00A05AC8" w:rsidRPr="00256982" w:rsidRDefault="00A05AC8" w:rsidP="002115C1">
            <w:pPr>
              <w:pStyle w:val="TableText"/>
              <w:tabs>
                <w:tab w:val="decimal" w:pos="689"/>
              </w:tabs>
              <w:spacing w:before="50" w:after="50"/>
              <w:jc w:val="right"/>
              <w:rPr>
                <w:highlight w:val="yellow"/>
              </w:rPr>
            </w:pPr>
            <w:r w:rsidRPr="00256982">
              <w:t xml:space="preserve">–14,858.1 </w:t>
            </w:r>
          </w:p>
        </w:tc>
        <w:tc>
          <w:tcPr>
            <w:tcW w:w="1621" w:type="dxa"/>
            <w:tcBorders>
              <w:top w:val="single" w:sz="4" w:space="0" w:color="365F91"/>
              <w:bottom w:val="single" w:sz="4" w:space="0" w:color="365F91"/>
            </w:tcBorders>
            <w:shd w:val="clear" w:color="auto" w:fill="auto"/>
          </w:tcPr>
          <w:p w14:paraId="0659D7A1" w14:textId="77777777" w:rsidR="00A05AC8" w:rsidRPr="00256982" w:rsidRDefault="00A05AC8" w:rsidP="002115C1">
            <w:pPr>
              <w:pStyle w:val="TableText"/>
              <w:tabs>
                <w:tab w:val="decimal" w:pos="689"/>
              </w:tabs>
              <w:spacing w:before="50" w:after="50"/>
              <w:jc w:val="right"/>
              <w:rPr>
                <w:highlight w:val="yellow"/>
              </w:rPr>
            </w:pPr>
            <w:r w:rsidRPr="00256982">
              <w:t xml:space="preserve">–15,731.4 </w:t>
            </w:r>
          </w:p>
        </w:tc>
        <w:tc>
          <w:tcPr>
            <w:tcW w:w="1738" w:type="dxa"/>
            <w:tcBorders>
              <w:top w:val="single" w:sz="4" w:space="0" w:color="365F91"/>
              <w:bottom w:val="single" w:sz="4" w:space="0" w:color="365F91"/>
            </w:tcBorders>
            <w:shd w:val="clear" w:color="auto" w:fill="auto"/>
          </w:tcPr>
          <w:p w14:paraId="3FB1F21D" w14:textId="77777777" w:rsidR="00A05AC8" w:rsidRPr="00256982" w:rsidRDefault="00A05AC8" w:rsidP="002115C1">
            <w:pPr>
              <w:pStyle w:val="TableText"/>
              <w:tabs>
                <w:tab w:val="decimal" w:pos="689"/>
              </w:tabs>
              <w:spacing w:before="50" w:after="50"/>
              <w:jc w:val="right"/>
              <w:rPr>
                <w:highlight w:val="yellow"/>
              </w:rPr>
            </w:pPr>
            <w:r w:rsidRPr="00256982">
              <w:t>–5.9</w:t>
            </w:r>
          </w:p>
        </w:tc>
      </w:tr>
      <w:tr w:rsidR="00A05AC8" w:rsidRPr="00256982" w14:paraId="7EA368A2" w14:textId="77777777" w:rsidTr="00B7783F">
        <w:tc>
          <w:tcPr>
            <w:tcW w:w="3424" w:type="dxa"/>
            <w:tcBorders>
              <w:top w:val="single" w:sz="4" w:space="0" w:color="365F91"/>
              <w:bottom w:val="single" w:sz="4" w:space="0" w:color="365F91"/>
            </w:tcBorders>
            <w:shd w:val="clear" w:color="auto" w:fill="auto"/>
          </w:tcPr>
          <w:p w14:paraId="6ACBE737" w14:textId="77777777" w:rsidR="00A05AC8" w:rsidRPr="00256982" w:rsidRDefault="00A05AC8" w:rsidP="002115C1">
            <w:pPr>
              <w:pStyle w:val="Tableboldblue"/>
              <w:spacing w:before="50" w:after="50"/>
              <w:rPr>
                <w:highlight w:val="yellow"/>
              </w:rPr>
            </w:pPr>
            <w:r w:rsidRPr="00256982">
              <w:t>Total</w:t>
            </w:r>
          </w:p>
        </w:tc>
        <w:tc>
          <w:tcPr>
            <w:tcW w:w="1722" w:type="dxa"/>
            <w:tcBorders>
              <w:top w:val="single" w:sz="4" w:space="0" w:color="365F91"/>
              <w:bottom w:val="single" w:sz="4" w:space="0" w:color="365F91"/>
            </w:tcBorders>
            <w:shd w:val="clear" w:color="auto" w:fill="auto"/>
          </w:tcPr>
          <w:p w14:paraId="2B7206F1" w14:textId="77777777" w:rsidR="00A05AC8" w:rsidRPr="00256982" w:rsidRDefault="00A05AC8" w:rsidP="002115C1">
            <w:pPr>
              <w:pStyle w:val="Tableboldblue"/>
              <w:tabs>
                <w:tab w:val="decimal" w:pos="689"/>
              </w:tabs>
              <w:spacing w:before="50" w:after="50"/>
              <w:jc w:val="right"/>
            </w:pPr>
            <w:r w:rsidRPr="00256982">
              <w:t xml:space="preserve">–29,569.0 </w:t>
            </w:r>
          </w:p>
        </w:tc>
        <w:tc>
          <w:tcPr>
            <w:tcW w:w="1621" w:type="dxa"/>
            <w:tcBorders>
              <w:top w:val="single" w:sz="4" w:space="0" w:color="365F91"/>
              <w:bottom w:val="single" w:sz="4" w:space="0" w:color="365F91"/>
            </w:tcBorders>
            <w:shd w:val="clear" w:color="auto" w:fill="auto"/>
          </w:tcPr>
          <w:p w14:paraId="50811CFF" w14:textId="77777777" w:rsidR="00A05AC8" w:rsidRPr="00256982" w:rsidRDefault="00A05AC8" w:rsidP="002115C1">
            <w:pPr>
              <w:pStyle w:val="Tableboldblue"/>
              <w:tabs>
                <w:tab w:val="decimal" w:pos="689"/>
              </w:tabs>
              <w:spacing w:before="50" w:after="50"/>
              <w:jc w:val="right"/>
            </w:pPr>
            <w:r w:rsidRPr="00256982">
              <w:t xml:space="preserve">–31,491.3 </w:t>
            </w:r>
          </w:p>
        </w:tc>
        <w:tc>
          <w:tcPr>
            <w:tcW w:w="1738" w:type="dxa"/>
            <w:tcBorders>
              <w:top w:val="single" w:sz="4" w:space="0" w:color="365F91"/>
              <w:bottom w:val="single" w:sz="4" w:space="0" w:color="365F91"/>
            </w:tcBorders>
            <w:shd w:val="clear" w:color="auto" w:fill="auto"/>
          </w:tcPr>
          <w:p w14:paraId="04424D7D" w14:textId="77777777" w:rsidR="00A05AC8" w:rsidRPr="00256982" w:rsidRDefault="00A05AC8" w:rsidP="002115C1">
            <w:pPr>
              <w:pStyle w:val="Tableboldblue"/>
              <w:tabs>
                <w:tab w:val="decimal" w:pos="689"/>
              </w:tabs>
              <w:spacing w:before="50" w:after="50"/>
              <w:jc w:val="right"/>
              <w:rPr>
                <w:highlight w:val="yellow"/>
              </w:rPr>
            </w:pPr>
            <w:r w:rsidRPr="00256982">
              <w:t>–6.5</w:t>
            </w:r>
          </w:p>
        </w:tc>
      </w:tr>
    </w:tbl>
    <w:p w14:paraId="5DF1FFD8" w14:textId="77777777" w:rsidR="00A05AC8" w:rsidRPr="00256982" w:rsidRDefault="00A05AC8" w:rsidP="00A05AC8">
      <w:pPr>
        <w:pStyle w:val="Noteundertable"/>
      </w:pPr>
      <w:r w:rsidRPr="00256982">
        <w:rPr>
          <w:b/>
        </w:rPr>
        <w:t>Note:</w:t>
      </w:r>
      <w:r w:rsidRPr="00256982">
        <w:t xml:space="preserve"> </w:t>
      </w:r>
      <w:r w:rsidRPr="00256982">
        <w:tab/>
        <w:t>Net emissions are expressed as a negative value to help clarify that the value is a removal and not an emission. Percentages presented are calculated from unrounded values.</w:t>
      </w:r>
    </w:p>
    <w:p w14:paraId="27F0D803" w14:textId="77777777" w:rsidR="00A05AC8" w:rsidRPr="00256982" w:rsidRDefault="00A05AC8" w:rsidP="00A05AC8">
      <w:pPr>
        <w:pStyle w:val="Table"/>
      </w:pPr>
      <w:bookmarkStart w:id="2563" w:name="_Toc310423436"/>
      <w:bookmarkStart w:id="2564" w:name="_Toc342470808"/>
      <w:bookmarkStart w:id="2565" w:name="_Toc352505060"/>
      <w:bookmarkStart w:id="2566" w:name="_Toc391023548"/>
      <w:bookmarkStart w:id="2567" w:name="_Toc414531522"/>
      <w:bookmarkStart w:id="2568" w:name="_Toc451176195"/>
      <w:bookmarkStart w:id="2569" w:name="_Toc481751626"/>
      <w:bookmarkStart w:id="2570" w:name="_Toc511116854"/>
      <w:bookmarkStart w:id="2571" w:name="_Toc5269621"/>
      <w:r w:rsidRPr="00256982">
        <w:t>Table 10.1.13</w:t>
      </w:r>
      <w:r w:rsidRPr="00256982">
        <w:tab/>
        <w:t>Recalculations to New Zealand’s 2016 activity data under the Kyoto Protocol</w:t>
      </w:r>
      <w:bookmarkEnd w:id="2563"/>
      <w:bookmarkEnd w:id="2564"/>
      <w:bookmarkEnd w:id="2565"/>
      <w:bookmarkEnd w:id="2566"/>
      <w:bookmarkEnd w:id="2567"/>
      <w:bookmarkEnd w:id="2568"/>
      <w:bookmarkEnd w:id="2569"/>
      <w:bookmarkEnd w:id="2570"/>
      <w:bookmarkEnd w:id="2571"/>
    </w:p>
    <w:tbl>
      <w:tblPr>
        <w:tblW w:w="8505" w:type="dxa"/>
        <w:tblInd w:w="108" w:type="dxa"/>
        <w:tblLook w:val="04A0" w:firstRow="1" w:lastRow="0" w:firstColumn="1" w:lastColumn="0" w:noHBand="0" w:noVBand="1"/>
      </w:tblPr>
      <w:tblGrid>
        <w:gridCol w:w="3083"/>
        <w:gridCol w:w="1798"/>
        <w:gridCol w:w="1751"/>
        <w:gridCol w:w="1873"/>
      </w:tblGrid>
      <w:tr w:rsidR="00A05AC8" w:rsidRPr="00256982" w14:paraId="79EF1EF4" w14:textId="77777777" w:rsidTr="00B7783F">
        <w:tc>
          <w:tcPr>
            <w:tcW w:w="3083" w:type="dxa"/>
            <w:vMerge w:val="restart"/>
            <w:tcBorders>
              <w:top w:val="single" w:sz="4" w:space="0" w:color="365F91"/>
              <w:left w:val="nil"/>
              <w:bottom w:val="nil"/>
              <w:right w:val="nil"/>
              <w:tl2br w:val="nil"/>
              <w:tr2bl w:val="nil"/>
            </w:tcBorders>
            <w:shd w:val="clear" w:color="auto" w:fill="365F91"/>
            <w:vAlign w:val="bottom"/>
          </w:tcPr>
          <w:p w14:paraId="5D9BBD0F" w14:textId="77777777" w:rsidR="00A05AC8" w:rsidRPr="00256982" w:rsidRDefault="00A05AC8" w:rsidP="00B7783F">
            <w:pPr>
              <w:pStyle w:val="TableTextBold"/>
              <w:keepNext/>
              <w:spacing w:before="40" w:after="40"/>
              <w:rPr>
                <w:noProof w:val="0"/>
                <w:color w:val="FFFFFF"/>
              </w:rPr>
            </w:pPr>
            <w:r w:rsidRPr="00256982">
              <w:rPr>
                <w:noProof w:val="0"/>
                <w:color w:val="FFFFFF"/>
              </w:rPr>
              <w:t xml:space="preserve">Activities under the Kyoto Protocol </w:t>
            </w:r>
          </w:p>
        </w:tc>
        <w:tc>
          <w:tcPr>
            <w:tcW w:w="3549" w:type="dxa"/>
            <w:gridSpan w:val="2"/>
            <w:tcBorders>
              <w:top w:val="single" w:sz="4" w:space="0" w:color="365F91"/>
              <w:left w:val="nil"/>
              <w:bottom w:val="nil"/>
              <w:right w:val="nil"/>
              <w:tl2br w:val="nil"/>
              <w:tr2bl w:val="nil"/>
            </w:tcBorders>
            <w:shd w:val="clear" w:color="auto" w:fill="365F91"/>
            <w:vAlign w:val="bottom"/>
          </w:tcPr>
          <w:p w14:paraId="3AB0DDB6" w14:textId="77777777" w:rsidR="00A05AC8" w:rsidRPr="00256982" w:rsidRDefault="00A05AC8" w:rsidP="00B7783F">
            <w:pPr>
              <w:pStyle w:val="TableTextBold"/>
              <w:keepNext/>
              <w:spacing w:before="40" w:after="40"/>
              <w:jc w:val="center"/>
              <w:rPr>
                <w:noProof w:val="0"/>
                <w:color w:val="FFFFFF"/>
              </w:rPr>
            </w:pPr>
            <w:r w:rsidRPr="00256982">
              <w:rPr>
                <w:noProof w:val="0"/>
                <w:color w:val="FFFFFF"/>
              </w:rPr>
              <w:t>Area as at 2016 (ha)</w:t>
            </w:r>
          </w:p>
        </w:tc>
        <w:tc>
          <w:tcPr>
            <w:tcW w:w="1873" w:type="dxa"/>
            <w:vMerge w:val="restart"/>
            <w:tcBorders>
              <w:top w:val="single" w:sz="4" w:space="0" w:color="365F91"/>
              <w:left w:val="nil"/>
              <w:bottom w:val="nil"/>
              <w:right w:val="nil"/>
              <w:tl2br w:val="nil"/>
              <w:tr2bl w:val="nil"/>
            </w:tcBorders>
            <w:shd w:val="clear" w:color="auto" w:fill="365F91"/>
            <w:vAlign w:val="bottom"/>
          </w:tcPr>
          <w:p w14:paraId="2E367339" w14:textId="77777777" w:rsidR="00A05AC8" w:rsidRPr="00256982" w:rsidRDefault="00A05AC8" w:rsidP="00B7783F">
            <w:pPr>
              <w:pStyle w:val="TableTextBold"/>
              <w:keepNext/>
              <w:spacing w:before="40" w:after="40"/>
              <w:jc w:val="right"/>
              <w:rPr>
                <w:noProof w:val="0"/>
                <w:color w:val="FFFFFF"/>
              </w:rPr>
            </w:pPr>
            <w:r w:rsidRPr="00256982">
              <w:rPr>
                <w:noProof w:val="0"/>
                <w:color w:val="FFFFFF"/>
              </w:rPr>
              <w:t>Change from 2018 submission (%)</w:t>
            </w:r>
          </w:p>
        </w:tc>
      </w:tr>
      <w:tr w:rsidR="00A05AC8" w:rsidRPr="00256982" w14:paraId="0C66D934" w14:textId="77777777" w:rsidTr="00B7783F">
        <w:trPr>
          <w:trHeight w:val="54"/>
        </w:trPr>
        <w:tc>
          <w:tcPr>
            <w:tcW w:w="3083" w:type="dxa"/>
            <w:vMerge/>
            <w:tcBorders>
              <w:bottom w:val="single" w:sz="4" w:space="0" w:color="365F91"/>
            </w:tcBorders>
            <w:shd w:val="clear" w:color="auto" w:fill="365F91"/>
            <w:vAlign w:val="bottom"/>
          </w:tcPr>
          <w:p w14:paraId="65838142" w14:textId="77777777" w:rsidR="00A05AC8" w:rsidRPr="00256982" w:rsidRDefault="00A05AC8" w:rsidP="00B7783F">
            <w:pPr>
              <w:pStyle w:val="TableTextBold"/>
              <w:keepNext/>
              <w:spacing w:before="40" w:after="40"/>
              <w:rPr>
                <w:noProof w:val="0"/>
                <w:color w:val="FFFFFF"/>
              </w:rPr>
            </w:pPr>
          </w:p>
        </w:tc>
        <w:tc>
          <w:tcPr>
            <w:tcW w:w="1798" w:type="dxa"/>
            <w:tcBorders>
              <w:bottom w:val="single" w:sz="4" w:space="0" w:color="365F91"/>
            </w:tcBorders>
            <w:shd w:val="clear" w:color="auto" w:fill="365F91"/>
            <w:vAlign w:val="bottom"/>
          </w:tcPr>
          <w:p w14:paraId="01029C51" w14:textId="77777777" w:rsidR="00A05AC8" w:rsidRPr="00256982" w:rsidRDefault="00A05AC8" w:rsidP="00B7783F">
            <w:pPr>
              <w:pStyle w:val="TableTextBold"/>
              <w:keepNext/>
              <w:spacing w:before="40" w:after="40"/>
              <w:jc w:val="right"/>
              <w:rPr>
                <w:noProof w:val="0"/>
                <w:color w:val="FFFFFF"/>
              </w:rPr>
            </w:pPr>
            <w:r w:rsidRPr="00256982">
              <w:rPr>
                <w:noProof w:val="0"/>
                <w:color w:val="FFFFFF"/>
              </w:rPr>
              <w:t>2018 submission</w:t>
            </w:r>
          </w:p>
        </w:tc>
        <w:tc>
          <w:tcPr>
            <w:tcW w:w="1751" w:type="dxa"/>
            <w:tcBorders>
              <w:bottom w:val="single" w:sz="4" w:space="0" w:color="365F91"/>
            </w:tcBorders>
            <w:shd w:val="clear" w:color="auto" w:fill="365F91"/>
            <w:vAlign w:val="bottom"/>
          </w:tcPr>
          <w:p w14:paraId="5C339302" w14:textId="77777777" w:rsidR="00A05AC8" w:rsidRPr="00256982" w:rsidRDefault="00A05AC8" w:rsidP="00B7783F">
            <w:pPr>
              <w:pStyle w:val="TableTextBold"/>
              <w:keepNext/>
              <w:spacing w:before="40" w:after="40"/>
              <w:jc w:val="right"/>
              <w:rPr>
                <w:noProof w:val="0"/>
                <w:color w:val="FFFFFF"/>
              </w:rPr>
            </w:pPr>
            <w:r w:rsidRPr="00256982">
              <w:rPr>
                <w:noProof w:val="0"/>
                <w:color w:val="FFFFFF"/>
              </w:rPr>
              <w:t>2019 submission</w:t>
            </w:r>
          </w:p>
        </w:tc>
        <w:tc>
          <w:tcPr>
            <w:tcW w:w="1873" w:type="dxa"/>
            <w:vMerge/>
            <w:tcBorders>
              <w:bottom w:val="single" w:sz="4" w:space="0" w:color="365F91"/>
            </w:tcBorders>
            <w:shd w:val="clear" w:color="auto" w:fill="365F91"/>
            <w:vAlign w:val="bottom"/>
          </w:tcPr>
          <w:p w14:paraId="419BADC9" w14:textId="77777777" w:rsidR="00A05AC8" w:rsidRPr="00256982" w:rsidRDefault="00A05AC8" w:rsidP="00B7783F">
            <w:pPr>
              <w:pStyle w:val="TableTextBold"/>
              <w:keepNext/>
              <w:spacing w:before="40" w:after="40"/>
              <w:rPr>
                <w:noProof w:val="0"/>
                <w:color w:val="FFFFFF"/>
              </w:rPr>
            </w:pPr>
          </w:p>
        </w:tc>
      </w:tr>
      <w:tr w:rsidR="00A05AC8" w:rsidRPr="00256982" w14:paraId="11576A96" w14:textId="77777777" w:rsidTr="00B7783F">
        <w:tc>
          <w:tcPr>
            <w:tcW w:w="3083" w:type="dxa"/>
            <w:tcBorders>
              <w:top w:val="single" w:sz="4" w:space="0" w:color="365F91"/>
              <w:bottom w:val="single" w:sz="4" w:space="0" w:color="365F91"/>
            </w:tcBorders>
            <w:shd w:val="clear" w:color="auto" w:fill="auto"/>
          </w:tcPr>
          <w:p w14:paraId="60A769EB" w14:textId="77777777" w:rsidR="00A05AC8" w:rsidRPr="00256982" w:rsidRDefault="00A05AC8" w:rsidP="00E742A5">
            <w:pPr>
              <w:pStyle w:val="TableText"/>
              <w:keepNext/>
              <w:spacing w:before="50" w:after="50"/>
            </w:pPr>
            <w:r w:rsidRPr="00256982">
              <w:t>Afforestation/reforestation</w:t>
            </w:r>
          </w:p>
        </w:tc>
        <w:tc>
          <w:tcPr>
            <w:tcW w:w="1798" w:type="dxa"/>
            <w:tcBorders>
              <w:top w:val="single" w:sz="4" w:space="0" w:color="365F91"/>
              <w:bottom w:val="single" w:sz="4" w:space="0" w:color="365F91"/>
            </w:tcBorders>
            <w:shd w:val="clear" w:color="auto" w:fill="auto"/>
          </w:tcPr>
          <w:p w14:paraId="119747E5" w14:textId="77777777" w:rsidR="00A05AC8" w:rsidRPr="00256982" w:rsidRDefault="00A05AC8" w:rsidP="00E742A5">
            <w:pPr>
              <w:pStyle w:val="TableText"/>
              <w:keepNext/>
              <w:spacing w:before="50" w:after="50"/>
              <w:jc w:val="right"/>
            </w:pPr>
            <w:r w:rsidRPr="00256982">
              <w:t>655,323</w:t>
            </w:r>
          </w:p>
        </w:tc>
        <w:tc>
          <w:tcPr>
            <w:tcW w:w="1751" w:type="dxa"/>
            <w:tcBorders>
              <w:top w:val="single" w:sz="4" w:space="0" w:color="365F91"/>
              <w:bottom w:val="single" w:sz="4" w:space="0" w:color="365F91"/>
            </w:tcBorders>
            <w:shd w:val="clear" w:color="auto" w:fill="auto"/>
          </w:tcPr>
          <w:p w14:paraId="73ADE8C4" w14:textId="77777777" w:rsidR="00A05AC8" w:rsidRPr="00256982" w:rsidRDefault="00A05AC8" w:rsidP="00E742A5">
            <w:pPr>
              <w:pStyle w:val="TableText"/>
              <w:keepNext/>
              <w:spacing w:before="50" w:after="50"/>
              <w:jc w:val="right"/>
            </w:pPr>
            <w:r w:rsidRPr="00256982">
              <w:t>675,569</w:t>
            </w:r>
          </w:p>
        </w:tc>
        <w:tc>
          <w:tcPr>
            <w:tcW w:w="1873" w:type="dxa"/>
            <w:tcBorders>
              <w:top w:val="single" w:sz="4" w:space="0" w:color="365F91"/>
              <w:bottom w:val="single" w:sz="4" w:space="0" w:color="365F91"/>
            </w:tcBorders>
            <w:shd w:val="clear" w:color="auto" w:fill="auto"/>
          </w:tcPr>
          <w:p w14:paraId="71C79977" w14:textId="77777777" w:rsidR="00A05AC8" w:rsidRPr="00256982" w:rsidRDefault="00A05AC8" w:rsidP="00E742A5">
            <w:pPr>
              <w:pStyle w:val="TableText"/>
              <w:keepNext/>
              <w:spacing w:before="50" w:after="50"/>
              <w:jc w:val="right"/>
            </w:pPr>
            <w:r w:rsidRPr="00256982">
              <w:t>3.1</w:t>
            </w:r>
          </w:p>
        </w:tc>
      </w:tr>
      <w:tr w:rsidR="00A05AC8" w:rsidRPr="00256982" w:rsidDel="00286390" w14:paraId="3B553ED2" w14:textId="77777777" w:rsidTr="00B7783F">
        <w:tc>
          <w:tcPr>
            <w:tcW w:w="3083" w:type="dxa"/>
            <w:tcBorders>
              <w:top w:val="single" w:sz="4" w:space="0" w:color="365F91"/>
              <w:bottom w:val="single" w:sz="4" w:space="0" w:color="365F91"/>
            </w:tcBorders>
            <w:shd w:val="clear" w:color="auto" w:fill="auto"/>
          </w:tcPr>
          <w:p w14:paraId="61A0B5D0" w14:textId="77777777" w:rsidR="00A05AC8" w:rsidRPr="00256982" w:rsidDel="00286390" w:rsidRDefault="00A05AC8" w:rsidP="00E742A5">
            <w:pPr>
              <w:pStyle w:val="TableText"/>
              <w:keepNext/>
              <w:spacing w:before="50" w:after="50"/>
            </w:pPr>
            <w:r w:rsidRPr="00256982">
              <w:t>Deforestation</w:t>
            </w:r>
          </w:p>
        </w:tc>
        <w:tc>
          <w:tcPr>
            <w:tcW w:w="1798" w:type="dxa"/>
            <w:tcBorders>
              <w:top w:val="single" w:sz="4" w:space="0" w:color="365F91"/>
              <w:bottom w:val="single" w:sz="4" w:space="0" w:color="365F91"/>
            </w:tcBorders>
            <w:shd w:val="clear" w:color="auto" w:fill="auto"/>
          </w:tcPr>
          <w:p w14:paraId="6D6BC4AD" w14:textId="77777777" w:rsidR="00A05AC8" w:rsidRPr="00256982" w:rsidDel="00286390" w:rsidRDefault="00A05AC8" w:rsidP="00E742A5">
            <w:pPr>
              <w:pStyle w:val="TableText"/>
              <w:keepNext/>
              <w:spacing w:before="50" w:after="50"/>
              <w:jc w:val="right"/>
            </w:pPr>
            <w:r w:rsidRPr="00256982">
              <w:t>191,682</w:t>
            </w:r>
          </w:p>
        </w:tc>
        <w:tc>
          <w:tcPr>
            <w:tcW w:w="1751" w:type="dxa"/>
            <w:tcBorders>
              <w:top w:val="single" w:sz="4" w:space="0" w:color="365F91"/>
              <w:bottom w:val="single" w:sz="4" w:space="0" w:color="365F91"/>
            </w:tcBorders>
            <w:shd w:val="clear" w:color="auto" w:fill="auto"/>
          </w:tcPr>
          <w:p w14:paraId="5A651210" w14:textId="77777777" w:rsidR="00A05AC8" w:rsidRPr="00256982" w:rsidDel="00286390" w:rsidRDefault="00A05AC8" w:rsidP="00E742A5">
            <w:pPr>
              <w:pStyle w:val="TableText"/>
              <w:keepNext/>
              <w:spacing w:before="50" w:after="50"/>
              <w:jc w:val="right"/>
            </w:pPr>
            <w:r w:rsidRPr="00256982">
              <w:t>197,214</w:t>
            </w:r>
          </w:p>
        </w:tc>
        <w:tc>
          <w:tcPr>
            <w:tcW w:w="1873" w:type="dxa"/>
            <w:tcBorders>
              <w:top w:val="single" w:sz="4" w:space="0" w:color="365F91"/>
              <w:bottom w:val="single" w:sz="4" w:space="0" w:color="365F91"/>
            </w:tcBorders>
            <w:shd w:val="clear" w:color="auto" w:fill="auto"/>
          </w:tcPr>
          <w:p w14:paraId="7272DB55" w14:textId="77777777" w:rsidR="00A05AC8" w:rsidRPr="00256982" w:rsidDel="00286390" w:rsidRDefault="00A05AC8" w:rsidP="00E742A5">
            <w:pPr>
              <w:pStyle w:val="TableText"/>
              <w:keepNext/>
              <w:spacing w:before="50" w:after="50"/>
              <w:jc w:val="right"/>
            </w:pPr>
            <w:r w:rsidRPr="00256982">
              <w:t>2.9</w:t>
            </w:r>
          </w:p>
        </w:tc>
      </w:tr>
      <w:tr w:rsidR="00A05AC8" w:rsidRPr="00256982" w:rsidDel="00286390" w14:paraId="79063CBE" w14:textId="77777777" w:rsidTr="00B7783F">
        <w:tc>
          <w:tcPr>
            <w:tcW w:w="3083" w:type="dxa"/>
            <w:tcBorders>
              <w:top w:val="single" w:sz="4" w:space="0" w:color="365F91"/>
              <w:bottom w:val="single" w:sz="4" w:space="0" w:color="365F91"/>
            </w:tcBorders>
            <w:shd w:val="clear" w:color="auto" w:fill="auto"/>
          </w:tcPr>
          <w:p w14:paraId="5057CA57" w14:textId="77777777" w:rsidR="00A05AC8" w:rsidRPr="00256982" w:rsidDel="00286390" w:rsidRDefault="00A05AC8" w:rsidP="00E742A5">
            <w:pPr>
              <w:pStyle w:val="TableText"/>
              <w:keepNext/>
              <w:spacing w:before="50" w:after="50"/>
            </w:pPr>
            <w:r w:rsidRPr="00256982">
              <w:t>Forest management</w:t>
            </w:r>
          </w:p>
        </w:tc>
        <w:tc>
          <w:tcPr>
            <w:tcW w:w="1798" w:type="dxa"/>
            <w:tcBorders>
              <w:top w:val="single" w:sz="4" w:space="0" w:color="365F91"/>
              <w:bottom w:val="single" w:sz="4" w:space="0" w:color="365F91"/>
            </w:tcBorders>
            <w:shd w:val="clear" w:color="auto" w:fill="auto"/>
          </w:tcPr>
          <w:p w14:paraId="52FA5375" w14:textId="77777777" w:rsidR="00A05AC8" w:rsidRPr="00256982" w:rsidDel="00286390" w:rsidRDefault="00A05AC8" w:rsidP="00E742A5">
            <w:pPr>
              <w:pStyle w:val="TableText"/>
              <w:keepNext/>
              <w:spacing w:before="50" w:after="50"/>
              <w:jc w:val="right"/>
            </w:pPr>
            <w:r w:rsidRPr="00256982">
              <w:t>9,249,653</w:t>
            </w:r>
          </w:p>
        </w:tc>
        <w:tc>
          <w:tcPr>
            <w:tcW w:w="1751" w:type="dxa"/>
            <w:tcBorders>
              <w:top w:val="single" w:sz="4" w:space="0" w:color="365F91"/>
              <w:bottom w:val="single" w:sz="4" w:space="0" w:color="365F91"/>
            </w:tcBorders>
            <w:shd w:val="clear" w:color="auto" w:fill="auto"/>
          </w:tcPr>
          <w:p w14:paraId="68607FE6" w14:textId="77777777" w:rsidR="00A05AC8" w:rsidRPr="00256982" w:rsidDel="00286390" w:rsidRDefault="00A05AC8" w:rsidP="00E742A5">
            <w:pPr>
              <w:pStyle w:val="TableText"/>
              <w:keepNext/>
              <w:spacing w:before="50" w:after="50"/>
              <w:jc w:val="right"/>
            </w:pPr>
            <w:r w:rsidRPr="00256982">
              <w:t>9,246,176</w:t>
            </w:r>
          </w:p>
        </w:tc>
        <w:tc>
          <w:tcPr>
            <w:tcW w:w="1873" w:type="dxa"/>
            <w:tcBorders>
              <w:top w:val="single" w:sz="4" w:space="0" w:color="365F91"/>
              <w:bottom w:val="single" w:sz="4" w:space="0" w:color="365F91"/>
            </w:tcBorders>
            <w:shd w:val="clear" w:color="auto" w:fill="auto"/>
          </w:tcPr>
          <w:p w14:paraId="591796EF" w14:textId="2E4C573B" w:rsidR="00A05AC8" w:rsidRPr="00256982" w:rsidDel="00286390" w:rsidRDefault="00A14164" w:rsidP="00E742A5">
            <w:pPr>
              <w:pStyle w:val="TableText"/>
              <w:keepNext/>
              <w:spacing w:before="50" w:after="50"/>
              <w:jc w:val="right"/>
            </w:pPr>
            <w:r w:rsidRPr="00256982">
              <w:t>–</w:t>
            </w:r>
            <w:r w:rsidR="00A05AC8" w:rsidRPr="00256982">
              <w:t>0.0</w:t>
            </w:r>
          </w:p>
        </w:tc>
      </w:tr>
      <w:tr w:rsidR="00A05AC8" w:rsidRPr="00256982" w14:paraId="0FE91209" w14:textId="77777777" w:rsidTr="00B7783F">
        <w:tc>
          <w:tcPr>
            <w:tcW w:w="3083" w:type="dxa"/>
            <w:tcBorders>
              <w:top w:val="single" w:sz="4" w:space="0" w:color="365F91"/>
              <w:bottom w:val="single" w:sz="4" w:space="0" w:color="365F91"/>
            </w:tcBorders>
            <w:shd w:val="clear" w:color="auto" w:fill="365F91"/>
            <w:vAlign w:val="bottom"/>
          </w:tcPr>
          <w:p w14:paraId="7F5530C4" w14:textId="77777777" w:rsidR="00A05AC8" w:rsidRPr="00256982" w:rsidRDefault="00A05AC8" w:rsidP="00E742A5">
            <w:pPr>
              <w:pStyle w:val="TableTextBold"/>
              <w:keepNext/>
              <w:spacing w:before="50" w:after="50"/>
              <w:rPr>
                <w:noProof w:val="0"/>
                <w:color w:val="FFFFFF"/>
              </w:rPr>
            </w:pPr>
            <w:r w:rsidRPr="00256982">
              <w:rPr>
                <w:noProof w:val="0"/>
                <w:color w:val="FFFFFF"/>
              </w:rPr>
              <w:t>Activities occurring in 2016</w:t>
            </w:r>
          </w:p>
        </w:tc>
        <w:tc>
          <w:tcPr>
            <w:tcW w:w="3549" w:type="dxa"/>
            <w:gridSpan w:val="2"/>
            <w:tcBorders>
              <w:top w:val="single" w:sz="4" w:space="0" w:color="365F91"/>
              <w:bottom w:val="single" w:sz="4" w:space="0" w:color="365F91"/>
            </w:tcBorders>
            <w:shd w:val="clear" w:color="auto" w:fill="365F91"/>
            <w:vAlign w:val="bottom"/>
          </w:tcPr>
          <w:p w14:paraId="023CD734" w14:textId="77777777" w:rsidR="00A05AC8" w:rsidRPr="00256982" w:rsidRDefault="00A05AC8" w:rsidP="00E742A5">
            <w:pPr>
              <w:pStyle w:val="TableTextBold"/>
              <w:keepNext/>
              <w:spacing w:before="50" w:after="50"/>
              <w:jc w:val="right"/>
              <w:rPr>
                <w:noProof w:val="0"/>
                <w:color w:val="FFFFFF"/>
              </w:rPr>
            </w:pPr>
          </w:p>
        </w:tc>
        <w:tc>
          <w:tcPr>
            <w:tcW w:w="1873" w:type="dxa"/>
            <w:tcBorders>
              <w:top w:val="single" w:sz="4" w:space="0" w:color="365F91"/>
              <w:bottom w:val="single" w:sz="4" w:space="0" w:color="365F91"/>
            </w:tcBorders>
            <w:shd w:val="clear" w:color="auto" w:fill="365F91"/>
            <w:vAlign w:val="bottom"/>
          </w:tcPr>
          <w:p w14:paraId="73188D13" w14:textId="77777777" w:rsidR="00A05AC8" w:rsidRPr="00256982" w:rsidRDefault="00A05AC8" w:rsidP="00E742A5">
            <w:pPr>
              <w:pStyle w:val="TableTextBold"/>
              <w:keepNext/>
              <w:spacing w:before="50" w:after="50"/>
              <w:jc w:val="right"/>
              <w:rPr>
                <w:noProof w:val="0"/>
                <w:color w:val="FFFFFF"/>
              </w:rPr>
            </w:pPr>
          </w:p>
        </w:tc>
      </w:tr>
      <w:tr w:rsidR="00A05AC8" w:rsidRPr="00256982" w14:paraId="1BE466BF" w14:textId="77777777" w:rsidTr="00B7783F">
        <w:tc>
          <w:tcPr>
            <w:tcW w:w="3083" w:type="dxa"/>
            <w:tcBorders>
              <w:top w:val="single" w:sz="4" w:space="0" w:color="365F91"/>
              <w:bottom w:val="single" w:sz="4" w:space="0" w:color="365F91"/>
            </w:tcBorders>
            <w:shd w:val="clear" w:color="auto" w:fill="auto"/>
          </w:tcPr>
          <w:p w14:paraId="7B659EAF" w14:textId="77777777" w:rsidR="00A05AC8" w:rsidRPr="00256982" w:rsidRDefault="00A05AC8" w:rsidP="00E742A5">
            <w:pPr>
              <w:pStyle w:val="TableText"/>
              <w:spacing w:before="50" w:after="50"/>
            </w:pPr>
            <w:r w:rsidRPr="00256982">
              <w:t>New planting</w:t>
            </w:r>
          </w:p>
        </w:tc>
        <w:tc>
          <w:tcPr>
            <w:tcW w:w="1798" w:type="dxa"/>
            <w:tcBorders>
              <w:top w:val="single" w:sz="4" w:space="0" w:color="365F91"/>
              <w:bottom w:val="single" w:sz="4" w:space="0" w:color="365F91"/>
            </w:tcBorders>
            <w:shd w:val="clear" w:color="auto" w:fill="auto"/>
          </w:tcPr>
          <w:p w14:paraId="0485A15B" w14:textId="77777777" w:rsidR="00A05AC8" w:rsidRPr="00256982" w:rsidRDefault="00A05AC8" w:rsidP="00E742A5">
            <w:pPr>
              <w:pStyle w:val="TableText"/>
              <w:spacing w:before="50" w:after="50"/>
              <w:jc w:val="right"/>
            </w:pPr>
            <w:r w:rsidRPr="00256982">
              <w:t>4,302</w:t>
            </w:r>
          </w:p>
        </w:tc>
        <w:tc>
          <w:tcPr>
            <w:tcW w:w="1751" w:type="dxa"/>
            <w:tcBorders>
              <w:top w:val="single" w:sz="4" w:space="0" w:color="365F91"/>
              <w:bottom w:val="single" w:sz="4" w:space="0" w:color="365F91"/>
            </w:tcBorders>
            <w:shd w:val="clear" w:color="auto" w:fill="auto"/>
          </w:tcPr>
          <w:p w14:paraId="158BC440" w14:textId="77777777" w:rsidR="00A05AC8" w:rsidRPr="00256982" w:rsidRDefault="00A05AC8" w:rsidP="00E742A5">
            <w:pPr>
              <w:pStyle w:val="TableText"/>
              <w:spacing w:before="50" w:after="50"/>
              <w:jc w:val="right"/>
            </w:pPr>
            <w:r w:rsidRPr="00256982">
              <w:t>2,958</w:t>
            </w:r>
          </w:p>
        </w:tc>
        <w:tc>
          <w:tcPr>
            <w:tcW w:w="1873" w:type="dxa"/>
            <w:tcBorders>
              <w:top w:val="single" w:sz="4" w:space="0" w:color="365F91"/>
              <w:bottom w:val="single" w:sz="4" w:space="0" w:color="365F91"/>
            </w:tcBorders>
            <w:shd w:val="clear" w:color="auto" w:fill="auto"/>
          </w:tcPr>
          <w:p w14:paraId="2DF49AD3" w14:textId="77777777" w:rsidR="00A05AC8" w:rsidRPr="00256982" w:rsidRDefault="00A05AC8" w:rsidP="00E742A5">
            <w:pPr>
              <w:pStyle w:val="TableText"/>
              <w:spacing w:before="50" w:after="50"/>
              <w:jc w:val="right"/>
            </w:pPr>
            <w:r w:rsidRPr="00256982">
              <w:t>–31.2</w:t>
            </w:r>
          </w:p>
        </w:tc>
      </w:tr>
      <w:tr w:rsidR="00A05AC8" w:rsidRPr="00256982" w14:paraId="29B20255" w14:textId="77777777" w:rsidTr="00B7783F">
        <w:tc>
          <w:tcPr>
            <w:tcW w:w="3083" w:type="dxa"/>
            <w:tcBorders>
              <w:top w:val="single" w:sz="4" w:space="0" w:color="365F91"/>
              <w:bottom w:val="single" w:sz="4" w:space="0" w:color="365F91"/>
            </w:tcBorders>
            <w:shd w:val="clear" w:color="auto" w:fill="auto"/>
          </w:tcPr>
          <w:p w14:paraId="24467BEA" w14:textId="77777777" w:rsidR="00A05AC8" w:rsidRPr="00256982" w:rsidRDefault="00A05AC8" w:rsidP="00E742A5">
            <w:pPr>
              <w:pStyle w:val="TableText"/>
              <w:spacing w:before="50" w:after="50"/>
            </w:pPr>
            <w:r w:rsidRPr="00256982">
              <w:t>Deforestation</w:t>
            </w:r>
          </w:p>
        </w:tc>
        <w:tc>
          <w:tcPr>
            <w:tcW w:w="1798" w:type="dxa"/>
            <w:tcBorders>
              <w:top w:val="single" w:sz="4" w:space="0" w:color="365F91"/>
              <w:bottom w:val="single" w:sz="4" w:space="0" w:color="365F91"/>
            </w:tcBorders>
            <w:shd w:val="clear" w:color="auto" w:fill="auto"/>
          </w:tcPr>
          <w:p w14:paraId="3F0C8145" w14:textId="77777777" w:rsidR="00A05AC8" w:rsidRPr="00256982" w:rsidRDefault="00A05AC8" w:rsidP="00E742A5">
            <w:pPr>
              <w:pStyle w:val="TableText"/>
              <w:spacing w:before="50" w:after="50"/>
              <w:jc w:val="right"/>
            </w:pPr>
          </w:p>
        </w:tc>
        <w:tc>
          <w:tcPr>
            <w:tcW w:w="1751" w:type="dxa"/>
            <w:tcBorders>
              <w:top w:val="single" w:sz="4" w:space="0" w:color="365F91"/>
              <w:bottom w:val="single" w:sz="4" w:space="0" w:color="365F91"/>
            </w:tcBorders>
            <w:shd w:val="clear" w:color="auto" w:fill="auto"/>
          </w:tcPr>
          <w:p w14:paraId="5DC815EC" w14:textId="77777777" w:rsidR="00A05AC8" w:rsidRPr="00256982" w:rsidRDefault="00A05AC8" w:rsidP="00E742A5">
            <w:pPr>
              <w:pStyle w:val="TableText"/>
              <w:spacing w:before="50" w:after="50"/>
              <w:jc w:val="right"/>
            </w:pPr>
          </w:p>
        </w:tc>
        <w:tc>
          <w:tcPr>
            <w:tcW w:w="1873" w:type="dxa"/>
            <w:tcBorders>
              <w:top w:val="single" w:sz="4" w:space="0" w:color="365F91"/>
              <w:bottom w:val="single" w:sz="4" w:space="0" w:color="365F91"/>
            </w:tcBorders>
            <w:shd w:val="clear" w:color="auto" w:fill="auto"/>
          </w:tcPr>
          <w:p w14:paraId="5FFDE11D" w14:textId="77777777" w:rsidR="00A05AC8" w:rsidRPr="00256982" w:rsidRDefault="00A05AC8" w:rsidP="00E742A5">
            <w:pPr>
              <w:pStyle w:val="TableText"/>
              <w:spacing w:before="50" w:after="50"/>
              <w:jc w:val="right"/>
            </w:pPr>
          </w:p>
        </w:tc>
      </w:tr>
      <w:tr w:rsidR="00A05AC8" w:rsidRPr="00256982" w14:paraId="43313036" w14:textId="77777777" w:rsidTr="00B7783F">
        <w:tc>
          <w:tcPr>
            <w:tcW w:w="3083" w:type="dxa"/>
            <w:tcBorders>
              <w:top w:val="single" w:sz="4" w:space="0" w:color="365F91"/>
              <w:bottom w:val="single" w:sz="4" w:space="0" w:color="365F91"/>
            </w:tcBorders>
            <w:shd w:val="clear" w:color="auto" w:fill="auto"/>
          </w:tcPr>
          <w:p w14:paraId="2D1046D4" w14:textId="77777777" w:rsidR="00A05AC8" w:rsidRPr="00256982" w:rsidRDefault="00A05AC8" w:rsidP="00E742A5">
            <w:pPr>
              <w:pStyle w:val="TableText"/>
              <w:spacing w:before="50" w:after="50"/>
              <w:ind w:left="227"/>
            </w:pPr>
            <w:r w:rsidRPr="00256982">
              <w:t>Pre-1990 natural forest</w:t>
            </w:r>
          </w:p>
        </w:tc>
        <w:tc>
          <w:tcPr>
            <w:tcW w:w="1798" w:type="dxa"/>
            <w:tcBorders>
              <w:top w:val="single" w:sz="4" w:space="0" w:color="365F91"/>
              <w:bottom w:val="single" w:sz="4" w:space="0" w:color="365F91"/>
            </w:tcBorders>
            <w:shd w:val="clear" w:color="auto" w:fill="auto"/>
          </w:tcPr>
          <w:p w14:paraId="647A0596" w14:textId="77777777" w:rsidR="00A05AC8" w:rsidRPr="00256982" w:rsidRDefault="00A05AC8" w:rsidP="00E742A5">
            <w:pPr>
              <w:pStyle w:val="TableText"/>
              <w:spacing w:before="50" w:after="50"/>
              <w:jc w:val="right"/>
            </w:pPr>
            <w:r w:rsidRPr="00256982">
              <w:t xml:space="preserve"> 874 </w:t>
            </w:r>
          </w:p>
        </w:tc>
        <w:tc>
          <w:tcPr>
            <w:tcW w:w="1751" w:type="dxa"/>
            <w:tcBorders>
              <w:top w:val="single" w:sz="4" w:space="0" w:color="365F91"/>
              <w:bottom w:val="single" w:sz="4" w:space="0" w:color="365F91"/>
            </w:tcBorders>
            <w:shd w:val="clear" w:color="auto" w:fill="auto"/>
          </w:tcPr>
          <w:p w14:paraId="38352BC7" w14:textId="77777777" w:rsidR="00A05AC8" w:rsidRPr="00256982" w:rsidRDefault="00A05AC8" w:rsidP="00E742A5">
            <w:pPr>
              <w:pStyle w:val="TableText"/>
              <w:spacing w:before="50" w:after="50"/>
              <w:jc w:val="right"/>
            </w:pPr>
            <w:r w:rsidRPr="00256982">
              <w:t>434</w:t>
            </w:r>
          </w:p>
        </w:tc>
        <w:tc>
          <w:tcPr>
            <w:tcW w:w="1873" w:type="dxa"/>
            <w:tcBorders>
              <w:top w:val="single" w:sz="4" w:space="0" w:color="365F91"/>
              <w:bottom w:val="single" w:sz="4" w:space="0" w:color="365F91"/>
            </w:tcBorders>
            <w:shd w:val="clear" w:color="auto" w:fill="auto"/>
          </w:tcPr>
          <w:p w14:paraId="6ADD346D" w14:textId="77777777" w:rsidR="00A05AC8" w:rsidRPr="00256982" w:rsidRDefault="00A05AC8" w:rsidP="00E742A5">
            <w:pPr>
              <w:pStyle w:val="TableText"/>
              <w:spacing w:before="50" w:after="50"/>
              <w:jc w:val="right"/>
            </w:pPr>
            <w:r w:rsidRPr="00256982">
              <w:t>–50.3</w:t>
            </w:r>
          </w:p>
        </w:tc>
      </w:tr>
      <w:tr w:rsidR="00A05AC8" w:rsidRPr="00256982" w14:paraId="62394701" w14:textId="77777777" w:rsidTr="00B7783F">
        <w:tc>
          <w:tcPr>
            <w:tcW w:w="3083" w:type="dxa"/>
            <w:tcBorders>
              <w:top w:val="single" w:sz="4" w:space="0" w:color="365F91"/>
              <w:bottom w:val="single" w:sz="4" w:space="0" w:color="365F91"/>
            </w:tcBorders>
            <w:shd w:val="clear" w:color="auto" w:fill="auto"/>
          </w:tcPr>
          <w:p w14:paraId="51134FC6" w14:textId="77777777" w:rsidR="00A05AC8" w:rsidRPr="00256982" w:rsidRDefault="00A05AC8" w:rsidP="00E742A5">
            <w:pPr>
              <w:pStyle w:val="TableText"/>
              <w:spacing w:before="50" w:after="50"/>
              <w:ind w:left="227"/>
            </w:pPr>
            <w:r w:rsidRPr="00256982">
              <w:t>Pre-1990 planted forest</w:t>
            </w:r>
          </w:p>
        </w:tc>
        <w:tc>
          <w:tcPr>
            <w:tcW w:w="1798" w:type="dxa"/>
            <w:tcBorders>
              <w:top w:val="single" w:sz="4" w:space="0" w:color="365F91"/>
              <w:bottom w:val="single" w:sz="4" w:space="0" w:color="365F91"/>
            </w:tcBorders>
            <w:shd w:val="clear" w:color="auto" w:fill="auto"/>
          </w:tcPr>
          <w:p w14:paraId="6CE835B2" w14:textId="77777777" w:rsidR="00A05AC8" w:rsidRPr="00256982" w:rsidRDefault="00A05AC8" w:rsidP="00E742A5">
            <w:pPr>
              <w:pStyle w:val="TableText"/>
              <w:spacing w:before="50" w:after="50"/>
              <w:jc w:val="right"/>
            </w:pPr>
            <w:r w:rsidRPr="00256982">
              <w:t>3,524</w:t>
            </w:r>
          </w:p>
        </w:tc>
        <w:tc>
          <w:tcPr>
            <w:tcW w:w="1751" w:type="dxa"/>
            <w:tcBorders>
              <w:top w:val="single" w:sz="4" w:space="0" w:color="365F91"/>
              <w:bottom w:val="single" w:sz="4" w:space="0" w:color="365F91"/>
            </w:tcBorders>
            <w:shd w:val="clear" w:color="auto" w:fill="auto"/>
          </w:tcPr>
          <w:p w14:paraId="2360D48B" w14:textId="77777777" w:rsidR="00A05AC8" w:rsidRPr="00256982" w:rsidRDefault="00A05AC8" w:rsidP="00E742A5">
            <w:pPr>
              <w:pStyle w:val="TableText"/>
              <w:spacing w:before="50" w:after="50"/>
              <w:jc w:val="right"/>
            </w:pPr>
            <w:r w:rsidRPr="00256982">
              <w:t>3,470</w:t>
            </w:r>
          </w:p>
        </w:tc>
        <w:tc>
          <w:tcPr>
            <w:tcW w:w="1873" w:type="dxa"/>
            <w:tcBorders>
              <w:top w:val="single" w:sz="4" w:space="0" w:color="365F91"/>
              <w:bottom w:val="single" w:sz="4" w:space="0" w:color="365F91"/>
            </w:tcBorders>
            <w:shd w:val="clear" w:color="auto" w:fill="auto"/>
          </w:tcPr>
          <w:p w14:paraId="54C69B1B" w14:textId="77777777" w:rsidR="00A05AC8" w:rsidRPr="00256982" w:rsidRDefault="00A05AC8" w:rsidP="00E742A5">
            <w:pPr>
              <w:pStyle w:val="TableText"/>
              <w:spacing w:before="50" w:after="50"/>
              <w:jc w:val="right"/>
            </w:pPr>
            <w:r w:rsidRPr="00256982">
              <w:t>–1.5</w:t>
            </w:r>
          </w:p>
        </w:tc>
      </w:tr>
      <w:tr w:rsidR="00A05AC8" w:rsidRPr="00256982" w14:paraId="07ADA2C4" w14:textId="77777777" w:rsidTr="00B7783F">
        <w:tc>
          <w:tcPr>
            <w:tcW w:w="3083" w:type="dxa"/>
            <w:tcBorders>
              <w:top w:val="single" w:sz="4" w:space="0" w:color="365F91"/>
              <w:bottom w:val="single" w:sz="4" w:space="0" w:color="365F91"/>
            </w:tcBorders>
            <w:shd w:val="clear" w:color="auto" w:fill="auto"/>
          </w:tcPr>
          <w:p w14:paraId="4A65D64B" w14:textId="77777777" w:rsidR="00A05AC8" w:rsidRPr="00256982" w:rsidRDefault="00A05AC8" w:rsidP="00E742A5">
            <w:pPr>
              <w:pStyle w:val="TableText"/>
              <w:spacing w:before="50" w:after="50"/>
              <w:ind w:left="227"/>
            </w:pPr>
            <w:r w:rsidRPr="00256982">
              <w:t>Post-1989 forest</w:t>
            </w:r>
          </w:p>
        </w:tc>
        <w:tc>
          <w:tcPr>
            <w:tcW w:w="1798" w:type="dxa"/>
            <w:tcBorders>
              <w:top w:val="single" w:sz="4" w:space="0" w:color="365F91"/>
              <w:bottom w:val="single" w:sz="4" w:space="0" w:color="365F91"/>
            </w:tcBorders>
            <w:shd w:val="clear" w:color="auto" w:fill="auto"/>
          </w:tcPr>
          <w:p w14:paraId="3FDAC86C" w14:textId="77777777" w:rsidR="00A05AC8" w:rsidRPr="00256982" w:rsidRDefault="00A05AC8" w:rsidP="00E742A5">
            <w:pPr>
              <w:pStyle w:val="TableText"/>
              <w:spacing w:before="50" w:after="50"/>
              <w:jc w:val="right"/>
            </w:pPr>
            <w:r w:rsidRPr="00256982">
              <w:t>547</w:t>
            </w:r>
          </w:p>
        </w:tc>
        <w:tc>
          <w:tcPr>
            <w:tcW w:w="1751" w:type="dxa"/>
            <w:tcBorders>
              <w:top w:val="single" w:sz="4" w:space="0" w:color="365F91"/>
              <w:bottom w:val="single" w:sz="4" w:space="0" w:color="365F91"/>
            </w:tcBorders>
            <w:shd w:val="clear" w:color="auto" w:fill="auto"/>
          </w:tcPr>
          <w:p w14:paraId="4747B485" w14:textId="77777777" w:rsidR="00A05AC8" w:rsidRPr="00256982" w:rsidRDefault="00A05AC8" w:rsidP="00E742A5">
            <w:pPr>
              <w:pStyle w:val="TableText"/>
              <w:spacing w:before="50" w:after="50"/>
              <w:jc w:val="right"/>
            </w:pPr>
            <w:r w:rsidRPr="00256982">
              <w:t>1060</w:t>
            </w:r>
          </w:p>
        </w:tc>
        <w:tc>
          <w:tcPr>
            <w:tcW w:w="1873" w:type="dxa"/>
            <w:tcBorders>
              <w:top w:val="single" w:sz="4" w:space="0" w:color="365F91"/>
              <w:bottom w:val="single" w:sz="4" w:space="0" w:color="365F91"/>
            </w:tcBorders>
            <w:shd w:val="clear" w:color="auto" w:fill="auto"/>
          </w:tcPr>
          <w:p w14:paraId="24E531A1" w14:textId="77777777" w:rsidR="00A05AC8" w:rsidRPr="00256982" w:rsidRDefault="00A05AC8" w:rsidP="00E742A5">
            <w:pPr>
              <w:pStyle w:val="TableText"/>
              <w:spacing w:before="50" w:after="50"/>
              <w:jc w:val="right"/>
            </w:pPr>
            <w:r w:rsidRPr="00256982">
              <w:t>94.0</w:t>
            </w:r>
          </w:p>
        </w:tc>
      </w:tr>
    </w:tbl>
    <w:p w14:paraId="2B49F24D" w14:textId="77777777" w:rsidR="00A05AC8" w:rsidRPr="00256982" w:rsidRDefault="00A05AC8" w:rsidP="00A05AC8">
      <w:pPr>
        <w:pStyle w:val="Noteundertable"/>
      </w:pPr>
      <w:r w:rsidRPr="00256982">
        <w:rPr>
          <w:b/>
        </w:rPr>
        <w:t>Note:</w:t>
      </w:r>
      <w:r w:rsidRPr="00256982">
        <w:t xml:space="preserve"> </w:t>
      </w:r>
      <w:r w:rsidRPr="00256982">
        <w:tab/>
        <w:t>Percentages presented are calculated from unrounded values.</w:t>
      </w:r>
    </w:p>
    <w:p w14:paraId="4EE1372F" w14:textId="77777777" w:rsidR="00A05AC8" w:rsidRPr="00256982" w:rsidRDefault="00A05AC8" w:rsidP="00A05AC8">
      <w:pPr>
        <w:pStyle w:val="Heading2"/>
      </w:pPr>
      <w:bookmarkStart w:id="2572" w:name="_Toc5269402"/>
      <w:r w:rsidRPr="00256982">
        <w:t>10.2</w:t>
      </w:r>
      <w:r w:rsidRPr="00256982">
        <w:tab/>
        <w:t>Recalculations and planned improvements in response to the review process</w:t>
      </w:r>
      <w:bookmarkEnd w:id="2547"/>
      <w:bookmarkEnd w:id="2548"/>
      <w:bookmarkEnd w:id="2549"/>
      <w:bookmarkEnd w:id="2550"/>
      <w:bookmarkEnd w:id="2551"/>
      <w:bookmarkEnd w:id="2572"/>
    </w:p>
    <w:p w14:paraId="310EDD4B" w14:textId="77777777" w:rsidR="00A05AC8" w:rsidRPr="00256982" w:rsidRDefault="00A05AC8" w:rsidP="00A05AC8">
      <w:pPr>
        <w:pStyle w:val="BodyText"/>
        <w:rPr>
          <w:rFonts w:eastAsia="Arial"/>
        </w:rPr>
      </w:pPr>
      <w:bookmarkStart w:id="2573" w:name="_Toc451176196"/>
      <w:bookmarkStart w:id="2574" w:name="_Toc481751627"/>
      <w:bookmarkStart w:id="2575" w:name="_Toc511116855"/>
      <w:r w:rsidRPr="00256982">
        <w:t>New Zealand has made improvements to the inventory to take into account the findings from the reviews of previous submissions. There was no review held of New Zealand’s 2018 submission; however, the 2017 assessment review report (2017 ARR) was published in April 2018 (UNFCCC, 2018), which is responded to in this submission</w:t>
      </w:r>
      <w:r w:rsidRPr="00256982">
        <w:rPr>
          <w:rFonts w:eastAsia="Arial"/>
        </w:rPr>
        <w:t>.</w:t>
      </w:r>
    </w:p>
    <w:p w14:paraId="224C4A35" w14:textId="77777777" w:rsidR="00A05AC8" w:rsidRPr="00256982" w:rsidRDefault="00A05AC8" w:rsidP="00A05AC8">
      <w:pPr>
        <w:pStyle w:val="BodyText"/>
      </w:pPr>
      <w:r w:rsidRPr="00256982">
        <w:t>The 2017 ARR includes findings from reviews of the 2017 and earlier submissions of New Zealand’s inventory. New Zealand has endeavoured to address or resolve as many recommendations as practicable for the 2018 and 2019 submissions. Further improvements will be implemented in future submissions.</w:t>
      </w:r>
    </w:p>
    <w:p w14:paraId="63C7A36D" w14:textId="77777777" w:rsidR="00A05AC8" w:rsidRPr="00256982" w:rsidRDefault="00A05AC8" w:rsidP="00A05AC8">
      <w:pPr>
        <w:pStyle w:val="BodyText"/>
      </w:pPr>
      <w:r w:rsidRPr="00256982">
        <w:t>Table 3 and table 4 of the 2017 ARR contain existing recommendations relating to the reviews of the 2016 and earlier inventory submissions. The recommendations that are still relevant are detailed in table 10.2.1 along with New Zealand’s responses to date to those recommendations.</w:t>
      </w:r>
    </w:p>
    <w:p w14:paraId="7CD57412" w14:textId="77777777" w:rsidR="00A05AC8" w:rsidRPr="00256982" w:rsidRDefault="00A05AC8" w:rsidP="00A05AC8">
      <w:pPr>
        <w:pStyle w:val="BodyText"/>
        <w:rPr>
          <w:rFonts w:eastAsia="Arial"/>
        </w:rPr>
      </w:pPr>
      <w:r w:rsidRPr="00256982">
        <w:t>Table 5 of the 2017 ARR contains new recommendations relating to the review of the 2017 inventory submission. These recommendations, along with New Zealand’s responses to date, are detailed in table 10.2.2.</w:t>
      </w:r>
    </w:p>
    <w:p w14:paraId="23D2D0D3" w14:textId="77777777" w:rsidR="00A05AC8" w:rsidRPr="00256982" w:rsidRDefault="00A05AC8" w:rsidP="00A05AC8">
      <w:pPr>
        <w:pStyle w:val="Table"/>
      </w:pPr>
      <w:bookmarkStart w:id="2576" w:name="_Toc5269622"/>
      <w:r w:rsidRPr="00256982">
        <w:t>Table 10.2.1</w:t>
      </w:r>
      <w:r w:rsidRPr="00256982">
        <w:tab/>
        <w:t>New Zealand’s response to recommendations still relevant as reported in table 3</w:t>
      </w:r>
      <w:r w:rsidRPr="00256982">
        <w:br/>
        <w:t>and table 4 of the 2017 assessment review report for issues raised in earlier reviews</w:t>
      </w:r>
      <w:bookmarkEnd w:id="2573"/>
      <w:bookmarkEnd w:id="2574"/>
      <w:bookmarkEnd w:id="2575"/>
      <w:bookmarkEnd w:id="2576"/>
    </w:p>
    <w:tbl>
      <w:tblPr>
        <w:tblW w:w="8562" w:type="dxa"/>
        <w:tblInd w:w="108" w:type="dxa"/>
        <w:tblCellMar>
          <w:left w:w="85" w:type="dxa"/>
          <w:right w:w="85" w:type="dxa"/>
        </w:tblCellMar>
        <w:tblLook w:val="04A0" w:firstRow="1" w:lastRow="0" w:firstColumn="1" w:lastColumn="0" w:noHBand="0" w:noVBand="1"/>
      </w:tblPr>
      <w:tblGrid>
        <w:gridCol w:w="25"/>
        <w:gridCol w:w="1695"/>
        <w:gridCol w:w="990"/>
        <w:gridCol w:w="3525"/>
        <w:gridCol w:w="2327"/>
      </w:tblGrid>
      <w:tr w:rsidR="00A05AC8" w:rsidRPr="00256982" w14:paraId="38D5A54C" w14:textId="77777777" w:rsidTr="00B7783F">
        <w:trPr>
          <w:tblHeader/>
        </w:trPr>
        <w:tc>
          <w:tcPr>
            <w:tcW w:w="1720" w:type="dxa"/>
            <w:gridSpan w:val="2"/>
            <w:tcBorders>
              <w:top w:val="single" w:sz="4" w:space="0" w:color="365F91"/>
              <w:bottom w:val="single" w:sz="4" w:space="0" w:color="365F91"/>
            </w:tcBorders>
            <w:shd w:val="clear" w:color="auto" w:fill="365F91"/>
            <w:tcMar>
              <w:left w:w="57" w:type="dxa"/>
            </w:tcMar>
            <w:vAlign w:val="bottom"/>
          </w:tcPr>
          <w:p w14:paraId="69A1F2E9" w14:textId="77777777" w:rsidR="00A05AC8" w:rsidRPr="00256982" w:rsidRDefault="00A05AC8" w:rsidP="00B7783F">
            <w:pPr>
              <w:pStyle w:val="TableTextBold"/>
              <w:rPr>
                <w:noProof w:val="0"/>
                <w:color w:val="FFFFFF"/>
              </w:rPr>
            </w:pPr>
            <w:r w:rsidRPr="00256982">
              <w:rPr>
                <w:noProof w:val="0"/>
                <w:color w:val="FFFFFF"/>
              </w:rPr>
              <w:t>Sector</w:t>
            </w:r>
          </w:p>
        </w:tc>
        <w:tc>
          <w:tcPr>
            <w:tcW w:w="990" w:type="dxa"/>
            <w:tcBorders>
              <w:top w:val="single" w:sz="4" w:space="0" w:color="365F91"/>
              <w:bottom w:val="single" w:sz="4" w:space="0" w:color="365F91"/>
            </w:tcBorders>
            <w:shd w:val="clear" w:color="auto" w:fill="365F91"/>
            <w:vAlign w:val="bottom"/>
          </w:tcPr>
          <w:p w14:paraId="04F0C0B2" w14:textId="77777777" w:rsidR="00A05AC8" w:rsidRPr="00256982" w:rsidRDefault="00A05AC8" w:rsidP="00B7783F">
            <w:pPr>
              <w:pStyle w:val="TableTextBold"/>
              <w:rPr>
                <w:noProof w:val="0"/>
                <w:color w:val="FFFFFF"/>
              </w:rPr>
            </w:pPr>
            <w:r w:rsidRPr="00256982">
              <w:rPr>
                <w:noProof w:val="0"/>
                <w:color w:val="FFFFFF"/>
              </w:rPr>
              <w:t>ID number</w:t>
            </w:r>
          </w:p>
        </w:tc>
        <w:tc>
          <w:tcPr>
            <w:tcW w:w="3525" w:type="dxa"/>
            <w:tcBorders>
              <w:top w:val="single" w:sz="4" w:space="0" w:color="365F91"/>
              <w:bottom w:val="single" w:sz="4" w:space="0" w:color="365F91"/>
            </w:tcBorders>
            <w:shd w:val="clear" w:color="auto" w:fill="365F91"/>
            <w:vAlign w:val="bottom"/>
          </w:tcPr>
          <w:p w14:paraId="231D1D4B" w14:textId="77777777" w:rsidR="00A05AC8" w:rsidRPr="00256982" w:rsidRDefault="00A05AC8" w:rsidP="00B7783F">
            <w:pPr>
              <w:pStyle w:val="TableTextBold"/>
              <w:rPr>
                <w:noProof w:val="0"/>
                <w:color w:val="FFFFFF"/>
              </w:rPr>
            </w:pPr>
            <w:r w:rsidRPr="00256982">
              <w:rPr>
                <w:noProof w:val="0"/>
                <w:color w:val="FFFFFF"/>
              </w:rPr>
              <w:t xml:space="preserve">Expert review team recommendation </w:t>
            </w:r>
          </w:p>
        </w:tc>
        <w:tc>
          <w:tcPr>
            <w:tcW w:w="2327" w:type="dxa"/>
            <w:tcBorders>
              <w:top w:val="single" w:sz="4" w:space="0" w:color="365F91"/>
              <w:bottom w:val="single" w:sz="4" w:space="0" w:color="365F91"/>
            </w:tcBorders>
            <w:shd w:val="clear" w:color="auto" w:fill="365F91"/>
            <w:vAlign w:val="bottom"/>
          </w:tcPr>
          <w:p w14:paraId="2EF99BAA" w14:textId="77777777" w:rsidR="00A05AC8" w:rsidRPr="00256982" w:rsidRDefault="00A05AC8" w:rsidP="00B7783F">
            <w:pPr>
              <w:pStyle w:val="TableTextBold"/>
              <w:rPr>
                <w:noProof w:val="0"/>
                <w:color w:val="FFFFFF"/>
              </w:rPr>
            </w:pPr>
            <w:r w:rsidRPr="00256982">
              <w:rPr>
                <w:noProof w:val="0"/>
                <w:color w:val="FFFFFF"/>
              </w:rPr>
              <w:t>New Zealand response</w:t>
            </w:r>
          </w:p>
        </w:tc>
      </w:tr>
      <w:tr w:rsidR="00A05AC8" w:rsidRPr="00256982" w14:paraId="58348B0B" w14:textId="77777777" w:rsidTr="00B7783F">
        <w:tc>
          <w:tcPr>
            <w:tcW w:w="1720" w:type="dxa"/>
            <w:gridSpan w:val="2"/>
            <w:tcBorders>
              <w:top w:val="single" w:sz="4" w:space="0" w:color="365F91"/>
              <w:bottom w:val="single" w:sz="4" w:space="0" w:color="365F91"/>
            </w:tcBorders>
            <w:shd w:val="clear" w:color="auto" w:fill="auto"/>
            <w:tcMar>
              <w:left w:w="57" w:type="dxa"/>
            </w:tcMar>
          </w:tcPr>
          <w:p w14:paraId="77331498" w14:textId="77777777" w:rsidR="00A05AC8" w:rsidRPr="00256982" w:rsidRDefault="00A05AC8" w:rsidP="00E742A5">
            <w:pPr>
              <w:pStyle w:val="TableText"/>
              <w:spacing w:before="50" w:after="50"/>
              <w:rPr>
                <w:bCs/>
                <w:szCs w:val="22"/>
              </w:rPr>
            </w:pPr>
            <w:r w:rsidRPr="00256982">
              <w:rPr>
                <w:bCs/>
                <w:szCs w:val="22"/>
              </w:rPr>
              <w:t>General</w:t>
            </w:r>
          </w:p>
        </w:tc>
        <w:tc>
          <w:tcPr>
            <w:tcW w:w="990" w:type="dxa"/>
            <w:tcBorders>
              <w:top w:val="single" w:sz="4" w:space="0" w:color="365F91"/>
              <w:bottom w:val="single" w:sz="4" w:space="0" w:color="365F91"/>
            </w:tcBorders>
          </w:tcPr>
          <w:p w14:paraId="7DAA1010" w14:textId="77777777" w:rsidR="00A05AC8" w:rsidRPr="00256982" w:rsidRDefault="00A05AC8" w:rsidP="00E742A5">
            <w:pPr>
              <w:pStyle w:val="TableText"/>
              <w:spacing w:before="50" w:after="50"/>
            </w:pPr>
            <w:r w:rsidRPr="00256982">
              <w:t>G.1, 2017</w:t>
            </w:r>
          </w:p>
        </w:tc>
        <w:tc>
          <w:tcPr>
            <w:tcW w:w="3525" w:type="dxa"/>
            <w:tcBorders>
              <w:top w:val="single" w:sz="4" w:space="0" w:color="365F91"/>
              <w:bottom w:val="single" w:sz="4" w:space="0" w:color="365F91"/>
            </w:tcBorders>
            <w:shd w:val="clear" w:color="auto" w:fill="auto"/>
          </w:tcPr>
          <w:p w14:paraId="003737F8" w14:textId="77777777" w:rsidR="00A05AC8" w:rsidRPr="00256982" w:rsidRDefault="00A05AC8" w:rsidP="00E742A5">
            <w:pPr>
              <w:pStyle w:val="TableText"/>
              <w:spacing w:before="50" w:after="50"/>
            </w:pPr>
            <w:r w:rsidRPr="00256982">
              <w:t>Prioritise resources to resolve the issues related to improving the transparency of the National Inventory Report (NIR) in accordance with the detailed recommendations given under the different sectors.</w:t>
            </w:r>
            <w:r w:rsidRPr="00256982">
              <w:rPr>
                <w:i/>
              </w:rPr>
              <w:t xml:space="preserve"> </w:t>
            </w:r>
          </w:p>
        </w:tc>
        <w:tc>
          <w:tcPr>
            <w:tcW w:w="2327" w:type="dxa"/>
            <w:tcBorders>
              <w:top w:val="single" w:sz="4" w:space="0" w:color="365F91"/>
              <w:bottom w:val="single" w:sz="4" w:space="0" w:color="365F91"/>
            </w:tcBorders>
            <w:shd w:val="clear" w:color="auto" w:fill="auto"/>
          </w:tcPr>
          <w:p w14:paraId="616AC5D6" w14:textId="77777777" w:rsidR="00A05AC8" w:rsidRPr="00256982" w:rsidRDefault="00A05AC8" w:rsidP="00E742A5">
            <w:pPr>
              <w:pStyle w:val="TableText"/>
              <w:spacing w:before="50" w:after="50"/>
              <w:rPr>
                <w:b/>
                <w:bCs/>
              </w:rPr>
            </w:pPr>
            <w:r w:rsidRPr="00256982">
              <w:rPr>
                <w:b/>
                <w:bCs/>
              </w:rPr>
              <w:t>Resolved.</w:t>
            </w:r>
            <w:r w:rsidRPr="00256982">
              <w:t xml:space="preserve"> The efforts of the inventory staff have been prioritised to improve inventory transparency. This includes providing transparent explanations for the methodological issues associated with activity data, emission factors and methods. As a result of these efforts, the NIR 2019 contains a substantial amount of new information and shows improved organisation of the previously included sections. For example, the inventory also includes additional tables (e.g., table 3.2.1 in chapter 3 to show energy use and non-energy use for natural gas, table 7.2.2 in chapter 7 to provide a more transparent account on activity data for solid waste deposited to municipal and uncategorised landfills), notes on the use of the New Zealand Emissions Trading Scheme (NZ ETS) data and a note on the cement and glass production in the Industrial Processes and Product Use (IPPU) sector, as well as dedicated sections to categories 2.F and 2.G. Similar progress in overall transparency improvement has been achieved across other inventory sectors as far as resources allowed.</w:t>
            </w:r>
          </w:p>
        </w:tc>
      </w:tr>
      <w:tr w:rsidR="00A05AC8" w:rsidRPr="00256982" w14:paraId="7DFD82AA" w14:textId="77777777" w:rsidTr="00B7783F">
        <w:tc>
          <w:tcPr>
            <w:tcW w:w="1720" w:type="dxa"/>
            <w:gridSpan w:val="2"/>
            <w:tcBorders>
              <w:top w:val="single" w:sz="4" w:space="0" w:color="365F91"/>
              <w:bottom w:val="single" w:sz="4" w:space="0" w:color="365F91"/>
            </w:tcBorders>
            <w:shd w:val="clear" w:color="auto" w:fill="auto"/>
            <w:tcMar>
              <w:left w:w="57" w:type="dxa"/>
            </w:tcMar>
          </w:tcPr>
          <w:p w14:paraId="72C70739" w14:textId="77777777" w:rsidR="00A05AC8" w:rsidRPr="00256982" w:rsidRDefault="00A05AC8" w:rsidP="00E742A5">
            <w:pPr>
              <w:pStyle w:val="TableText"/>
              <w:spacing w:before="50" w:after="50"/>
            </w:pPr>
            <w:r w:rsidRPr="00256982">
              <w:t>General</w:t>
            </w:r>
          </w:p>
        </w:tc>
        <w:tc>
          <w:tcPr>
            <w:tcW w:w="990" w:type="dxa"/>
            <w:tcBorders>
              <w:top w:val="single" w:sz="4" w:space="0" w:color="365F91"/>
              <w:bottom w:val="single" w:sz="4" w:space="0" w:color="365F91"/>
            </w:tcBorders>
          </w:tcPr>
          <w:p w14:paraId="586D1AEE" w14:textId="77777777" w:rsidR="00A05AC8" w:rsidRPr="00256982" w:rsidRDefault="00A05AC8" w:rsidP="00E742A5">
            <w:pPr>
              <w:spacing w:before="50" w:after="50"/>
              <w:jc w:val="left"/>
              <w:rPr>
                <w:rFonts w:ascii="Arial" w:hAnsi="Arial"/>
                <w:bCs/>
                <w:sz w:val="16"/>
                <w:szCs w:val="22"/>
              </w:rPr>
            </w:pPr>
            <w:r w:rsidRPr="00256982">
              <w:rPr>
                <w:rFonts w:ascii="Arial" w:hAnsi="Arial"/>
                <w:bCs/>
                <w:sz w:val="16"/>
                <w:szCs w:val="22"/>
              </w:rPr>
              <w:t>G.2 2017</w:t>
            </w:r>
          </w:p>
        </w:tc>
        <w:tc>
          <w:tcPr>
            <w:tcW w:w="3525" w:type="dxa"/>
            <w:tcBorders>
              <w:top w:val="single" w:sz="4" w:space="0" w:color="365F91"/>
              <w:bottom w:val="single" w:sz="4" w:space="0" w:color="365F91"/>
            </w:tcBorders>
            <w:shd w:val="clear" w:color="auto" w:fill="auto"/>
          </w:tcPr>
          <w:p w14:paraId="6CAEF4CD" w14:textId="77777777" w:rsidR="00A05AC8" w:rsidRPr="00256982" w:rsidRDefault="00A05AC8" w:rsidP="00E742A5">
            <w:pPr>
              <w:spacing w:before="50" w:after="50"/>
              <w:jc w:val="left"/>
              <w:rPr>
                <w:rFonts w:ascii="Arial" w:hAnsi="Arial"/>
                <w:bCs/>
                <w:sz w:val="16"/>
                <w:szCs w:val="22"/>
              </w:rPr>
            </w:pPr>
            <w:r w:rsidRPr="00256982">
              <w:rPr>
                <w:rFonts w:ascii="Arial" w:hAnsi="Arial"/>
                <w:bCs/>
                <w:sz w:val="16"/>
                <w:szCs w:val="22"/>
              </w:rPr>
              <w:t>Strengthen quality assurance/ quality control procedures related to consistency checks between information reported in the common reporting format tables and the NIR, in order to avoid similar mistakes in the next submission and thus improve the transparency of its reporting.</w:t>
            </w:r>
          </w:p>
        </w:tc>
        <w:tc>
          <w:tcPr>
            <w:tcW w:w="2327" w:type="dxa"/>
            <w:tcBorders>
              <w:top w:val="single" w:sz="4" w:space="0" w:color="365F91"/>
              <w:bottom w:val="single" w:sz="4" w:space="0" w:color="365F91"/>
            </w:tcBorders>
            <w:shd w:val="clear" w:color="auto" w:fill="auto"/>
          </w:tcPr>
          <w:p w14:paraId="0EF23C3C" w14:textId="77777777" w:rsidR="00A05AC8" w:rsidRPr="00256982" w:rsidRDefault="00A05AC8" w:rsidP="00E742A5">
            <w:pPr>
              <w:pStyle w:val="TableText"/>
              <w:spacing w:before="50" w:after="50"/>
            </w:pPr>
            <w:r w:rsidRPr="00256982">
              <w:rPr>
                <w:b/>
                <w:bCs/>
              </w:rPr>
              <w:t>Resolved.</w:t>
            </w:r>
            <w:r w:rsidRPr="00256982">
              <w:t xml:space="preserve"> The QA/QC process has been significantly improved in 2018/19, which included completion of the automated QC tools applied to all inventory sectors; ensuring that QC deliverables are well understood by all sector leads and are fit for purpose; changing the inventory approval process at the sectoral level by including mandatory checks for CRF data integrity performed at the sectoral level and by the central inventory agency using custom-made QC tools prior to sectoral submissions. The checks for consistency between NIR and CRF have also been integrated in the inventory QC process.</w:t>
            </w:r>
          </w:p>
        </w:tc>
      </w:tr>
      <w:tr w:rsidR="00A05AC8" w:rsidRPr="00256982" w14:paraId="79AF94B0" w14:textId="77777777" w:rsidTr="00B7783F">
        <w:tc>
          <w:tcPr>
            <w:tcW w:w="1720" w:type="dxa"/>
            <w:gridSpan w:val="2"/>
            <w:tcBorders>
              <w:top w:val="single" w:sz="4" w:space="0" w:color="365F91"/>
              <w:bottom w:val="single" w:sz="4" w:space="0" w:color="365F91"/>
            </w:tcBorders>
            <w:shd w:val="clear" w:color="auto" w:fill="auto"/>
            <w:tcMar>
              <w:left w:w="57" w:type="dxa"/>
            </w:tcMar>
          </w:tcPr>
          <w:p w14:paraId="018AAECB" w14:textId="77777777" w:rsidR="00A05AC8" w:rsidRPr="00256982" w:rsidRDefault="00A05AC8" w:rsidP="00E742A5">
            <w:pPr>
              <w:pStyle w:val="TableText"/>
              <w:spacing w:before="50" w:after="50"/>
            </w:pPr>
            <w:r w:rsidRPr="00256982">
              <w:t>Energy – Reference approach</w:t>
            </w:r>
          </w:p>
        </w:tc>
        <w:tc>
          <w:tcPr>
            <w:tcW w:w="990" w:type="dxa"/>
            <w:tcBorders>
              <w:top w:val="single" w:sz="4" w:space="0" w:color="365F91"/>
              <w:bottom w:val="single" w:sz="4" w:space="0" w:color="365F91"/>
            </w:tcBorders>
          </w:tcPr>
          <w:p w14:paraId="40605F1D" w14:textId="77777777" w:rsidR="00A05AC8" w:rsidRPr="00256982" w:rsidRDefault="00A05AC8" w:rsidP="00E742A5">
            <w:pPr>
              <w:pStyle w:val="TableText"/>
              <w:spacing w:before="50" w:after="50"/>
            </w:pPr>
            <w:r w:rsidRPr="00256982">
              <w:t>E.1, 2017</w:t>
            </w:r>
          </w:p>
        </w:tc>
        <w:tc>
          <w:tcPr>
            <w:tcW w:w="3525" w:type="dxa"/>
            <w:tcBorders>
              <w:top w:val="single" w:sz="4" w:space="0" w:color="365F91"/>
              <w:bottom w:val="single" w:sz="4" w:space="0" w:color="365F91"/>
            </w:tcBorders>
            <w:shd w:val="clear" w:color="auto" w:fill="auto"/>
          </w:tcPr>
          <w:p w14:paraId="4C2DAC4F" w14:textId="77777777" w:rsidR="00A05AC8" w:rsidRPr="00256982" w:rsidRDefault="00A05AC8" w:rsidP="00E742A5">
            <w:pPr>
              <w:pStyle w:val="TableText"/>
              <w:spacing w:before="50" w:after="50"/>
            </w:pPr>
            <w:r w:rsidRPr="00256982">
              <w:t>Endeavour to separate naphtha and crude oil with a view to improving the transparency of the reference approach as well as the accuracy of the reporting of non-energy use of fuels and feedstocks.</w:t>
            </w:r>
          </w:p>
        </w:tc>
        <w:tc>
          <w:tcPr>
            <w:tcW w:w="2327" w:type="dxa"/>
            <w:tcBorders>
              <w:top w:val="single" w:sz="4" w:space="0" w:color="365F91"/>
              <w:bottom w:val="single" w:sz="4" w:space="0" w:color="365F91"/>
            </w:tcBorders>
            <w:shd w:val="clear" w:color="auto" w:fill="auto"/>
          </w:tcPr>
          <w:p w14:paraId="0F3830AA" w14:textId="77777777" w:rsidR="00A05AC8" w:rsidRPr="00256982" w:rsidRDefault="00A05AC8" w:rsidP="00E742A5">
            <w:pPr>
              <w:pStyle w:val="TableText"/>
              <w:spacing w:before="50" w:after="50"/>
            </w:pPr>
            <w:r w:rsidRPr="00256982">
              <w:rPr>
                <w:b/>
              </w:rPr>
              <w:t>Addressing</w:t>
            </w:r>
            <w:r w:rsidRPr="00256982">
              <w:t>. Naphtha and crude oil are combined within the current data system but will be separated within the new oil data system once it becomes fully operational. This involves migrating legacy systems from excel into R, and is expected to occur during 2019. A complicating factor is the limitation of the reported data, which includes naphtha and enhanced condensate combined as full range condensate.</w:t>
            </w:r>
          </w:p>
        </w:tc>
      </w:tr>
      <w:tr w:rsidR="00A05AC8" w:rsidRPr="00256982" w14:paraId="59A6CA37" w14:textId="77777777" w:rsidTr="00B7783F">
        <w:tc>
          <w:tcPr>
            <w:tcW w:w="1720" w:type="dxa"/>
            <w:gridSpan w:val="2"/>
            <w:tcBorders>
              <w:top w:val="single" w:sz="4" w:space="0" w:color="365F91"/>
              <w:bottom w:val="single" w:sz="4" w:space="0" w:color="365F91"/>
            </w:tcBorders>
            <w:shd w:val="clear" w:color="auto" w:fill="auto"/>
            <w:tcMar>
              <w:left w:w="57" w:type="dxa"/>
            </w:tcMar>
          </w:tcPr>
          <w:p w14:paraId="5FE82736" w14:textId="77777777" w:rsidR="00A05AC8" w:rsidRPr="00256982" w:rsidRDefault="00A05AC8" w:rsidP="00E742A5">
            <w:pPr>
              <w:pStyle w:val="TableText"/>
              <w:spacing w:before="50" w:after="50"/>
            </w:pPr>
            <w:r w:rsidRPr="00256982">
              <w:t>Energy – Stationary combustion: solid fuels – CO</w:t>
            </w:r>
            <w:r w:rsidRPr="00256982">
              <w:rPr>
                <w:vertAlign w:val="subscript"/>
              </w:rPr>
              <w:t>2</w:t>
            </w:r>
          </w:p>
        </w:tc>
        <w:tc>
          <w:tcPr>
            <w:tcW w:w="990" w:type="dxa"/>
            <w:tcBorders>
              <w:top w:val="single" w:sz="4" w:space="0" w:color="365F91"/>
              <w:bottom w:val="single" w:sz="4" w:space="0" w:color="365F91"/>
            </w:tcBorders>
          </w:tcPr>
          <w:p w14:paraId="68352572" w14:textId="77777777" w:rsidR="00A05AC8" w:rsidRPr="00256982" w:rsidRDefault="00A05AC8" w:rsidP="00E742A5">
            <w:pPr>
              <w:pStyle w:val="TableText"/>
              <w:spacing w:before="50" w:after="50"/>
            </w:pPr>
            <w:r w:rsidRPr="00256982">
              <w:t>E.8, 2017</w:t>
            </w:r>
          </w:p>
        </w:tc>
        <w:tc>
          <w:tcPr>
            <w:tcW w:w="3525" w:type="dxa"/>
            <w:tcBorders>
              <w:top w:val="single" w:sz="4" w:space="0" w:color="365F91"/>
              <w:bottom w:val="single" w:sz="4" w:space="0" w:color="365F91"/>
            </w:tcBorders>
            <w:shd w:val="clear" w:color="auto" w:fill="auto"/>
          </w:tcPr>
          <w:p w14:paraId="59EA76A8" w14:textId="77777777" w:rsidR="00A05AC8" w:rsidRPr="00256982" w:rsidRDefault="00A05AC8" w:rsidP="00E742A5">
            <w:pPr>
              <w:pStyle w:val="TableText"/>
              <w:spacing w:before="50" w:after="50"/>
            </w:pPr>
            <w:r w:rsidRPr="00256982">
              <w:t>Critically assess whether the New Zealand Emissions Trading Scheme factors reviewed in 2009 are indeed more appropriate for the estimation of emissions from solid fuels and report on this assessment.</w:t>
            </w:r>
          </w:p>
        </w:tc>
        <w:tc>
          <w:tcPr>
            <w:tcW w:w="2327" w:type="dxa"/>
            <w:tcBorders>
              <w:top w:val="single" w:sz="4" w:space="0" w:color="365F91"/>
              <w:bottom w:val="single" w:sz="4" w:space="0" w:color="365F91"/>
            </w:tcBorders>
            <w:shd w:val="clear" w:color="auto" w:fill="auto"/>
          </w:tcPr>
          <w:p w14:paraId="12D6E89F" w14:textId="77777777" w:rsidR="00A05AC8" w:rsidRPr="00256982" w:rsidRDefault="00A05AC8" w:rsidP="00E742A5">
            <w:pPr>
              <w:pStyle w:val="TableText"/>
              <w:spacing w:before="50" w:after="50"/>
              <w:rPr>
                <w:b/>
              </w:rPr>
            </w:pPr>
            <w:r w:rsidRPr="00256982">
              <w:rPr>
                <w:b/>
                <w:bCs/>
              </w:rPr>
              <w:t>Not applicable.</w:t>
            </w:r>
            <w:r w:rsidRPr="00256982">
              <w:t xml:space="preserve"> NZ ETS factors are not used for the estimation of emissions from solid fuels, and the agency responsible for estimating these emissions does not have legal access to the relevant NZ ETS returns.</w:t>
            </w:r>
          </w:p>
        </w:tc>
      </w:tr>
      <w:tr w:rsidR="00A05AC8" w:rsidRPr="00256982" w14:paraId="1F39ED88" w14:textId="77777777" w:rsidTr="00B7783F">
        <w:tc>
          <w:tcPr>
            <w:tcW w:w="1720" w:type="dxa"/>
            <w:gridSpan w:val="2"/>
            <w:tcBorders>
              <w:top w:val="single" w:sz="4" w:space="0" w:color="365F91"/>
              <w:bottom w:val="single" w:sz="4" w:space="0" w:color="365F91"/>
            </w:tcBorders>
            <w:shd w:val="clear" w:color="auto" w:fill="auto"/>
            <w:tcMar>
              <w:left w:w="57" w:type="dxa"/>
            </w:tcMar>
          </w:tcPr>
          <w:p w14:paraId="6EA8917F" w14:textId="77777777" w:rsidR="00A05AC8" w:rsidRPr="00256982" w:rsidRDefault="00A05AC8" w:rsidP="00E742A5">
            <w:pPr>
              <w:pStyle w:val="TableText"/>
              <w:keepNext/>
              <w:spacing w:before="50" w:after="50"/>
            </w:pPr>
            <w:r w:rsidRPr="00256982">
              <w:t>Energy – Reference approach – CO</w:t>
            </w:r>
            <w:r w:rsidRPr="00256982">
              <w:rPr>
                <w:vertAlign w:val="subscript"/>
              </w:rPr>
              <w:t>2</w:t>
            </w:r>
          </w:p>
        </w:tc>
        <w:tc>
          <w:tcPr>
            <w:tcW w:w="990" w:type="dxa"/>
            <w:tcBorders>
              <w:top w:val="single" w:sz="4" w:space="0" w:color="365F91"/>
              <w:bottom w:val="single" w:sz="4" w:space="0" w:color="365F91"/>
            </w:tcBorders>
          </w:tcPr>
          <w:p w14:paraId="53E29618" w14:textId="77777777" w:rsidR="00A05AC8" w:rsidRPr="00256982" w:rsidRDefault="00A05AC8" w:rsidP="00E742A5">
            <w:pPr>
              <w:pStyle w:val="TableText"/>
              <w:spacing w:before="50" w:after="50"/>
            </w:pPr>
            <w:r w:rsidRPr="00256982">
              <w:t>E.2, 2017</w:t>
            </w:r>
          </w:p>
        </w:tc>
        <w:tc>
          <w:tcPr>
            <w:tcW w:w="3525" w:type="dxa"/>
            <w:tcBorders>
              <w:top w:val="single" w:sz="4" w:space="0" w:color="365F91"/>
              <w:bottom w:val="single" w:sz="4" w:space="0" w:color="365F91"/>
            </w:tcBorders>
            <w:shd w:val="clear" w:color="auto" w:fill="auto"/>
          </w:tcPr>
          <w:p w14:paraId="36A4F25B" w14:textId="77777777" w:rsidR="00A05AC8" w:rsidRPr="00256982" w:rsidRDefault="00A05AC8" w:rsidP="00E742A5">
            <w:pPr>
              <w:pStyle w:val="TableText"/>
              <w:spacing w:before="50" w:after="50"/>
            </w:pPr>
            <w:r w:rsidRPr="00256982">
              <w:t>Report in the NIR on progress in addressing the recommendation on reporting naphtha and crude oil using aggregate values (see ID# E.1 above).</w:t>
            </w:r>
          </w:p>
        </w:tc>
        <w:tc>
          <w:tcPr>
            <w:tcW w:w="2327" w:type="dxa"/>
            <w:tcBorders>
              <w:top w:val="single" w:sz="4" w:space="0" w:color="365F91"/>
              <w:bottom w:val="single" w:sz="4" w:space="0" w:color="365F91"/>
            </w:tcBorders>
            <w:shd w:val="clear" w:color="auto" w:fill="auto"/>
          </w:tcPr>
          <w:p w14:paraId="70F26C84" w14:textId="77777777" w:rsidR="00A05AC8" w:rsidRPr="00256982" w:rsidRDefault="00A05AC8" w:rsidP="00E742A5">
            <w:pPr>
              <w:pStyle w:val="TableText"/>
              <w:spacing w:before="50" w:after="50"/>
            </w:pPr>
            <w:r w:rsidRPr="00256982">
              <w:rPr>
                <w:b/>
              </w:rPr>
              <w:t xml:space="preserve">Addressing. </w:t>
            </w:r>
            <w:r w:rsidRPr="00256982">
              <w:t>Naphtha and crude oil are combined within the current data system but will be separated within the new energy database once it becomes fully operational. See above under ID# E.1.</w:t>
            </w:r>
          </w:p>
        </w:tc>
      </w:tr>
      <w:tr w:rsidR="00A05AC8" w:rsidRPr="00256982" w14:paraId="7A4FF787" w14:textId="77777777" w:rsidTr="00B7783F">
        <w:tc>
          <w:tcPr>
            <w:tcW w:w="1720" w:type="dxa"/>
            <w:gridSpan w:val="2"/>
            <w:tcBorders>
              <w:top w:val="single" w:sz="4" w:space="0" w:color="365F91"/>
              <w:bottom w:val="single" w:sz="4" w:space="0" w:color="365F91"/>
            </w:tcBorders>
            <w:shd w:val="clear" w:color="auto" w:fill="auto"/>
            <w:tcMar>
              <w:left w:w="57" w:type="dxa"/>
            </w:tcMar>
          </w:tcPr>
          <w:p w14:paraId="0C5A2B57" w14:textId="77777777" w:rsidR="00A05AC8" w:rsidRPr="00256982" w:rsidRDefault="00A05AC8" w:rsidP="00E742A5">
            <w:pPr>
              <w:pStyle w:val="TableText"/>
              <w:keepNext/>
              <w:spacing w:before="50" w:after="50"/>
            </w:pPr>
            <w:r w:rsidRPr="00256982">
              <w:t>Energy – Reference approach – CO</w:t>
            </w:r>
            <w:r w:rsidRPr="00256982">
              <w:rPr>
                <w:vertAlign w:val="subscript"/>
              </w:rPr>
              <w:t>2</w:t>
            </w:r>
          </w:p>
        </w:tc>
        <w:tc>
          <w:tcPr>
            <w:tcW w:w="990" w:type="dxa"/>
            <w:tcBorders>
              <w:top w:val="single" w:sz="4" w:space="0" w:color="365F91"/>
              <w:bottom w:val="single" w:sz="4" w:space="0" w:color="365F91"/>
            </w:tcBorders>
          </w:tcPr>
          <w:p w14:paraId="7A3D4D2B" w14:textId="77777777" w:rsidR="00A05AC8" w:rsidRPr="00256982" w:rsidRDefault="00A05AC8" w:rsidP="00E742A5">
            <w:pPr>
              <w:pStyle w:val="TableText"/>
              <w:spacing w:before="50" w:after="50"/>
            </w:pPr>
            <w:r w:rsidRPr="00256982">
              <w:t>E.3, 2017</w:t>
            </w:r>
          </w:p>
        </w:tc>
        <w:tc>
          <w:tcPr>
            <w:tcW w:w="3525" w:type="dxa"/>
            <w:tcBorders>
              <w:top w:val="single" w:sz="4" w:space="0" w:color="365F91"/>
              <w:bottom w:val="single" w:sz="4" w:space="0" w:color="365F91"/>
            </w:tcBorders>
            <w:shd w:val="clear" w:color="auto" w:fill="auto"/>
          </w:tcPr>
          <w:p w14:paraId="1CC65D0A" w14:textId="77777777" w:rsidR="00A05AC8" w:rsidRPr="00256982" w:rsidRDefault="00A05AC8" w:rsidP="00E742A5">
            <w:pPr>
              <w:pStyle w:val="TableText"/>
              <w:spacing w:before="50" w:after="50"/>
            </w:pPr>
            <w:r w:rsidRPr="00256982">
              <w:t>Endeavour to incorporate disaggregated data for lubricants, petroleum coke and bitumen in the submission or, if this is not possible, report on progress in addressing the recommendation.</w:t>
            </w:r>
          </w:p>
        </w:tc>
        <w:tc>
          <w:tcPr>
            <w:tcW w:w="2327" w:type="dxa"/>
            <w:tcBorders>
              <w:top w:val="single" w:sz="4" w:space="0" w:color="365F91"/>
              <w:bottom w:val="single" w:sz="4" w:space="0" w:color="365F91"/>
            </w:tcBorders>
            <w:shd w:val="clear" w:color="auto" w:fill="auto"/>
          </w:tcPr>
          <w:p w14:paraId="00EC0A33" w14:textId="77777777" w:rsidR="00A05AC8" w:rsidRPr="00256982" w:rsidRDefault="00A05AC8" w:rsidP="00E742A5">
            <w:pPr>
              <w:pStyle w:val="TableText"/>
              <w:spacing w:before="50" w:after="50"/>
              <w:rPr>
                <w:b/>
              </w:rPr>
            </w:pPr>
            <w:r w:rsidRPr="00256982">
              <w:rPr>
                <w:b/>
              </w:rPr>
              <w:t xml:space="preserve">Addressing. </w:t>
            </w:r>
            <w:r w:rsidRPr="00256982">
              <w:t xml:space="preserve">These are combined within the current data system but will be separated within the new oil data system once it becomes fully operational. This involves migrating legacy systems from excel into R, and is expected to occur during 2019. </w:t>
            </w:r>
          </w:p>
        </w:tc>
      </w:tr>
      <w:tr w:rsidR="00A05AC8" w:rsidRPr="00256982" w14:paraId="2CB31373" w14:textId="77777777" w:rsidTr="00B7783F">
        <w:tc>
          <w:tcPr>
            <w:tcW w:w="1720" w:type="dxa"/>
            <w:gridSpan w:val="2"/>
            <w:tcBorders>
              <w:top w:val="single" w:sz="4" w:space="0" w:color="365F91"/>
              <w:bottom w:val="single" w:sz="4" w:space="0" w:color="365F91"/>
            </w:tcBorders>
            <w:shd w:val="clear" w:color="auto" w:fill="auto"/>
            <w:tcMar>
              <w:left w:w="57" w:type="dxa"/>
            </w:tcMar>
          </w:tcPr>
          <w:p w14:paraId="68D7EE4D" w14:textId="77777777" w:rsidR="00A05AC8" w:rsidRPr="00256982" w:rsidRDefault="00A05AC8" w:rsidP="00E742A5">
            <w:pPr>
              <w:pStyle w:val="TableText"/>
              <w:spacing w:before="50" w:after="50"/>
            </w:pPr>
            <w:r w:rsidRPr="00256982">
              <w:t>Energy – Feedstocks, reductants and other non-energy uses of fuels – CO</w:t>
            </w:r>
            <w:r w:rsidRPr="00256982">
              <w:rPr>
                <w:vertAlign w:val="subscript"/>
              </w:rPr>
              <w:t>2</w:t>
            </w:r>
          </w:p>
        </w:tc>
        <w:tc>
          <w:tcPr>
            <w:tcW w:w="990" w:type="dxa"/>
            <w:tcBorders>
              <w:top w:val="single" w:sz="4" w:space="0" w:color="365F91"/>
              <w:bottom w:val="single" w:sz="4" w:space="0" w:color="365F91"/>
            </w:tcBorders>
          </w:tcPr>
          <w:p w14:paraId="3EDDF9E2" w14:textId="77777777" w:rsidR="00A05AC8" w:rsidRPr="00256982" w:rsidRDefault="00A05AC8" w:rsidP="00E742A5">
            <w:pPr>
              <w:pStyle w:val="TableText"/>
              <w:spacing w:before="50" w:after="50"/>
            </w:pPr>
            <w:r w:rsidRPr="00256982">
              <w:t>E.4, 2017</w:t>
            </w:r>
          </w:p>
        </w:tc>
        <w:tc>
          <w:tcPr>
            <w:tcW w:w="3525" w:type="dxa"/>
            <w:tcBorders>
              <w:top w:val="single" w:sz="4" w:space="0" w:color="365F91"/>
              <w:bottom w:val="single" w:sz="4" w:space="0" w:color="365F91"/>
            </w:tcBorders>
            <w:shd w:val="clear" w:color="auto" w:fill="auto"/>
          </w:tcPr>
          <w:p w14:paraId="64C81AE2" w14:textId="77777777" w:rsidR="00A05AC8" w:rsidRPr="00256982" w:rsidRDefault="00A05AC8" w:rsidP="00E742A5">
            <w:pPr>
              <w:pStyle w:val="TableText"/>
              <w:spacing w:before="50" w:after="50"/>
            </w:pPr>
            <w:r w:rsidRPr="00256982">
              <w:t>Improve the transparency of its reporting of non-energy uses of fuels by adding a table on energy and non-energy uses of fuels for natural gas together with associated emissions and the categories where these are reported.</w:t>
            </w:r>
          </w:p>
        </w:tc>
        <w:tc>
          <w:tcPr>
            <w:tcW w:w="2327" w:type="dxa"/>
            <w:tcBorders>
              <w:top w:val="single" w:sz="4" w:space="0" w:color="365F91"/>
              <w:bottom w:val="single" w:sz="4" w:space="0" w:color="365F91"/>
            </w:tcBorders>
            <w:shd w:val="clear" w:color="auto" w:fill="auto"/>
          </w:tcPr>
          <w:p w14:paraId="6BBC2A63" w14:textId="77777777" w:rsidR="00A05AC8" w:rsidRPr="00256982" w:rsidRDefault="00A05AC8" w:rsidP="00E742A5">
            <w:pPr>
              <w:pStyle w:val="TableText"/>
              <w:spacing w:before="50" w:after="50"/>
            </w:pPr>
            <w:r w:rsidRPr="00256982">
              <w:rPr>
                <w:b/>
              </w:rPr>
              <w:t>Resolved.</w:t>
            </w:r>
            <w:r w:rsidRPr="00256982">
              <w:t xml:space="preserve"> Further explanation as well as a chart and table showing natural gas energy and non-energy use were included in the 2018 submission.</w:t>
            </w:r>
          </w:p>
        </w:tc>
      </w:tr>
      <w:tr w:rsidR="00A05AC8" w:rsidRPr="00256982" w14:paraId="2885457E" w14:textId="77777777" w:rsidTr="00B7783F">
        <w:tc>
          <w:tcPr>
            <w:tcW w:w="1720" w:type="dxa"/>
            <w:gridSpan w:val="2"/>
            <w:tcBorders>
              <w:top w:val="single" w:sz="4" w:space="0" w:color="365F91"/>
              <w:bottom w:val="single" w:sz="4" w:space="0" w:color="365F91"/>
            </w:tcBorders>
            <w:shd w:val="clear" w:color="auto" w:fill="auto"/>
            <w:tcMar>
              <w:left w:w="57" w:type="dxa"/>
            </w:tcMar>
          </w:tcPr>
          <w:p w14:paraId="6CFDE370" w14:textId="77777777" w:rsidR="00A05AC8" w:rsidRPr="00256982" w:rsidRDefault="00A05AC8" w:rsidP="00E742A5">
            <w:pPr>
              <w:pStyle w:val="TableText"/>
              <w:spacing w:before="50" w:after="50"/>
            </w:pPr>
            <w:r w:rsidRPr="00256982">
              <w:t>Energy – Feedstocks, reductants and other non-energy uses of fuels – CO</w:t>
            </w:r>
            <w:r w:rsidRPr="00256982">
              <w:rPr>
                <w:vertAlign w:val="subscript"/>
              </w:rPr>
              <w:t>2</w:t>
            </w:r>
          </w:p>
        </w:tc>
        <w:tc>
          <w:tcPr>
            <w:tcW w:w="990" w:type="dxa"/>
            <w:tcBorders>
              <w:top w:val="single" w:sz="4" w:space="0" w:color="365F91"/>
              <w:bottom w:val="single" w:sz="4" w:space="0" w:color="365F91"/>
            </w:tcBorders>
          </w:tcPr>
          <w:p w14:paraId="630B3686" w14:textId="77777777" w:rsidR="00A05AC8" w:rsidRPr="00256982" w:rsidRDefault="00A05AC8" w:rsidP="00E742A5">
            <w:pPr>
              <w:pStyle w:val="TableText"/>
              <w:spacing w:before="50" w:after="50"/>
            </w:pPr>
            <w:r w:rsidRPr="00256982">
              <w:t>E.5, 2017</w:t>
            </w:r>
          </w:p>
        </w:tc>
        <w:tc>
          <w:tcPr>
            <w:tcW w:w="3525" w:type="dxa"/>
            <w:tcBorders>
              <w:top w:val="single" w:sz="4" w:space="0" w:color="365F91"/>
              <w:bottom w:val="single" w:sz="4" w:space="0" w:color="365F91"/>
            </w:tcBorders>
            <w:shd w:val="clear" w:color="auto" w:fill="auto"/>
          </w:tcPr>
          <w:p w14:paraId="40378FD1" w14:textId="77777777" w:rsidR="00A05AC8" w:rsidRPr="00256982" w:rsidRDefault="00A05AC8" w:rsidP="00E742A5">
            <w:pPr>
              <w:pStyle w:val="TableText"/>
              <w:spacing w:before="50" w:after="50"/>
            </w:pPr>
            <w:r w:rsidRPr="00256982">
              <w:t>Review the notation keys reported for emissions from the different categories.</w:t>
            </w:r>
          </w:p>
        </w:tc>
        <w:tc>
          <w:tcPr>
            <w:tcW w:w="2327" w:type="dxa"/>
            <w:tcBorders>
              <w:top w:val="single" w:sz="4" w:space="0" w:color="365F91"/>
              <w:bottom w:val="single" w:sz="4" w:space="0" w:color="365F91"/>
            </w:tcBorders>
            <w:shd w:val="clear" w:color="auto" w:fill="auto"/>
          </w:tcPr>
          <w:p w14:paraId="2E95164D" w14:textId="77777777" w:rsidR="00A05AC8" w:rsidRPr="00256982" w:rsidRDefault="00A05AC8" w:rsidP="00E742A5">
            <w:pPr>
              <w:pStyle w:val="TableText"/>
              <w:spacing w:before="50" w:after="50"/>
            </w:pPr>
            <w:r w:rsidRPr="00256982">
              <w:rPr>
                <w:b/>
              </w:rPr>
              <w:t xml:space="preserve">Resolved. </w:t>
            </w:r>
            <w:r w:rsidRPr="00256982">
              <w:t>The notation keys have been reviewed, and we are satisfied with the status quo.</w:t>
            </w:r>
          </w:p>
        </w:tc>
      </w:tr>
      <w:tr w:rsidR="00A05AC8" w:rsidRPr="00256982" w14:paraId="390D77EF" w14:textId="77777777" w:rsidTr="00B7783F">
        <w:tc>
          <w:tcPr>
            <w:tcW w:w="1720" w:type="dxa"/>
            <w:gridSpan w:val="2"/>
            <w:tcBorders>
              <w:top w:val="single" w:sz="4" w:space="0" w:color="365F91"/>
              <w:bottom w:val="single" w:sz="4" w:space="0" w:color="365F91"/>
            </w:tcBorders>
            <w:shd w:val="clear" w:color="auto" w:fill="auto"/>
            <w:tcMar>
              <w:left w:w="57" w:type="dxa"/>
            </w:tcMar>
          </w:tcPr>
          <w:p w14:paraId="1BC7AB1F" w14:textId="77777777" w:rsidR="00A05AC8" w:rsidRPr="00256982" w:rsidRDefault="00A05AC8" w:rsidP="00E742A5">
            <w:pPr>
              <w:pStyle w:val="TableText"/>
              <w:spacing w:before="50" w:after="50"/>
            </w:pPr>
            <w:r w:rsidRPr="00256982">
              <w:t>Energy – Manufacture of solid fuels and other energy industries: solid fuels – CO</w:t>
            </w:r>
            <w:r w:rsidRPr="00256982">
              <w:rPr>
                <w:vertAlign w:val="subscript"/>
              </w:rPr>
              <w:t>2</w:t>
            </w:r>
            <w:r w:rsidRPr="00256982">
              <w:t>, CH</w:t>
            </w:r>
            <w:r w:rsidRPr="00256982">
              <w:rPr>
                <w:vertAlign w:val="subscript"/>
              </w:rPr>
              <w:t>4</w:t>
            </w:r>
            <w:r w:rsidRPr="00256982">
              <w:t xml:space="preserve"> and N</w:t>
            </w:r>
            <w:r w:rsidRPr="00256982">
              <w:rPr>
                <w:vertAlign w:val="subscript"/>
              </w:rPr>
              <w:t>2</w:t>
            </w:r>
            <w:r w:rsidRPr="00256982">
              <w:t>O</w:t>
            </w:r>
          </w:p>
        </w:tc>
        <w:tc>
          <w:tcPr>
            <w:tcW w:w="990" w:type="dxa"/>
            <w:tcBorders>
              <w:top w:val="single" w:sz="4" w:space="0" w:color="365F91"/>
              <w:bottom w:val="single" w:sz="4" w:space="0" w:color="365F91"/>
            </w:tcBorders>
          </w:tcPr>
          <w:p w14:paraId="55FC8E84" w14:textId="77777777" w:rsidR="00A05AC8" w:rsidRPr="00256982" w:rsidRDefault="00A05AC8" w:rsidP="00E742A5">
            <w:pPr>
              <w:pStyle w:val="TableText"/>
              <w:spacing w:before="50" w:after="50"/>
            </w:pPr>
            <w:r w:rsidRPr="00256982">
              <w:t>E. 7, 2017</w:t>
            </w:r>
          </w:p>
        </w:tc>
        <w:tc>
          <w:tcPr>
            <w:tcW w:w="3525" w:type="dxa"/>
            <w:tcBorders>
              <w:top w:val="single" w:sz="4" w:space="0" w:color="365F91"/>
              <w:bottom w:val="single" w:sz="4" w:space="0" w:color="365F91"/>
            </w:tcBorders>
            <w:shd w:val="clear" w:color="auto" w:fill="auto"/>
          </w:tcPr>
          <w:p w14:paraId="54F43804" w14:textId="77777777" w:rsidR="00A05AC8" w:rsidRPr="00256982" w:rsidRDefault="00A05AC8" w:rsidP="00E742A5">
            <w:pPr>
              <w:pStyle w:val="TableText"/>
              <w:spacing w:before="50" w:after="50"/>
            </w:pPr>
            <w:r w:rsidRPr="00256982">
              <w:t>Estimate and report these emissions or, if these emissions are considered insignificant by the Party, report them as “NE” (not estimated) and provide a quantitative estimate of the likely level of the emissions in accordance with paragraph 37(b) of the United Nations Framework Convention on Climate Change (UNFCCC) Annex I inventory reporting guidelines in order for the ERT to assess whether the sum of all gases and categories considered insignificant remains below 0.1 per cent of the national total GHG emissions.</w:t>
            </w:r>
          </w:p>
        </w:tc>
        <w:tc>
          <w:tcPr>
            <w:tcW w:w="2327" w:type="dxa"/>
            <w:tcBorders>
              <w:top w:val="single" w:sz="4" w:space="0" w:color="365F91"/>
              <w:bottom w:val="single" w:sz="4" w:space="0" w:color="365F91"/>
            </w:tcBorders>
            <w:shd w:val="clear" w:color="auto" w:fill="auto"/>
          </w:tcPr>
          <w:p w14:paraId="3815D808" w14:textId="4551C81B" w:rsidR="00A05AC8" w:rsidRPr="00256982" w:rsidRDefault="00A05AC8" w:rsidP="00E742A5">
            <w:pPr>
              <w:pStyle w:val="TableText"/>
              <w:spacing w:before="50" w:after="50"/>
              <w:rPr>
                <w:b/>
              </w:rPr>
            </w:pPr>
            <w:r w:rsidRPr="00256982">
              <w:rPr>
                <w:b/>
              </w:rPr>
              <w:t xml:space="preserve">Resolved. </w:t>
            </w:r>
            <w:r w:rsidRPr="00256982">
              <w:t xml:space="preserve">The NIR has been updated to clarify that this activity is ‘not </w:t>
            </w:r>
            <w:r w:rsidR="00BB0A17" w:rsidRPr="00256982">
              <w:t>occurring</w:t>
            </w:r>
            <w:r w:rsidRPr="00256982">
              <w:t>’ for the entire time series.</w:t>
            </w:r>
          </w:p>
        </w:tc>
      </w:tr>
      <w:tr w:rsidR="00A05AC8" w:rsidRPr="00256982" w14:paraId="78DF6CD3" w14:textId="77777777" w:rsidTr="00B7783F">
        <w:tc>
          <w:tcPr>
            <w:tcW w:w="1720" w:type="dxa"/>
            <w:gridSpan w:val="2"/>
            <w:tcBorders>
              <w:top w:val="single" w:sz="4" w:space="0" w:color="365F91"/>
              <w:bottom w:val="single" w:sz="4" w:space="0" w:color="365F91"/>
            </w:tcBorders>
            <w:shd w:val="clear" w:color="auto" w:fill="auto"/>
            <w:tcMar>
              <w:left w:w="57" w:type="dxa"/>
            </w:tcMar>
          </w:tcPr>
          <w:p w14:paraId="54BEDB2C" w14:textId="77777777" w:rsidR="00A05AC8" w:rsidRPr="00256982" w:rsidRDefault="00A05AC8" w:rsidP="00E742A5">
            <w:pPr>
              <w:pStyle w:val="TableText"/>
              <w:spacing w:before="50" w:after="50"/>
            </w:pPr>
            <w:r w:rsidRPr="00256982">
              <w:t>Energy – Domestic aviation: liquid fuels – CO</w:t>
            </w:r>
            <w:r w:rsidRPr="00256982">
              <w:rPr>
                <w:vertAlign w:val="subscript"/>
              </w:rPr>
              <w:t>2</w:t>
            </w:r>
          </w:p>
        </w:tc>
        <w:tc>
          <w:tcPr>
            <w:tcW w:w="990" w:type="dxa"/>
            <w:tcBorders>
              <w:top w:val="single" w:sz="4" w:space="0" w:color="365F91"/>
              <w:bottom w:val="single" w:sz="4" w:space="0" w:color="365F91"/>
            </w:tcBorders>
          </w:tcPr>
          <w:p w14:paraId="38EB0E89" w14:textId="77777777" w:rsidR="00A05AC8" w:rsidRPr="00256982" w:rsidRDefault="00A05AC8" w:rsidP="00E742A5">
            <w:pPr>
              <w:pStyle w:val="TableText"/>
              <w:spacing w:before="50" w:after="50"/>
            </w:pPr>
            <w:r w:rsidRPr="00256982">
              <w:t>E.9, 2017</w:t>
            </w:r>
          </w:p>
        </w:tc>
        <w:tc>
          <w:tcPr>
            <w:tcW w:w="3525" w:type="dxa"/>
            <w:tcBorders>
              <w:top w:val="single" w:sz="4" w:space="0" w:color="365F91"/>
              <w:bottom w:val="single" w:sz="4" w:space="0" w:color="365F91"/>
            </w:tcBorders>
            <w:shd w:val="clear" w:color="auto" w:fill="auto"/>
          </w:tcPr>
          <w:p w14:paraId="2C9978A9" w14:textId="77777777" w:rsidR="00A05AC8" w:rsidRPr="00256982" w:rsidRDefault="00A05AC8" w:rsidP="00E742A5">
            <w:pPr>
              <w:pStyle w:val="TableText"/>
              <w:spacing w:before="50" w:after="50"/>
            </w:pPr>
            <w:r w:rsidRPr="00256982">
              <w:t>Estimate CO</w:t>
            </w:r>
            <w:r w:rsidRPr="00256982">
              <w:rPr>
                <w:vertAlign w:val="subscript"/>
              </w:rPr>
              <w:t>2</w:t>
            </w:r>
            <w:r w:rsidRPr="00256982">
              <w:t xml:space="preserve"> emissions from domestic aviation using a tier 2 or 3 methodology, in accordance with the 2006 IPCC Guidelines.</w:t>
            </w:r>
          </w:p>
        </w:tc>
        <w:tc>
          <w:tcPr>
            <w:tcW w:w="2327" w:type="dxa"/>
            <w:tcBorders>
              <w:top w:val="single" w:sz="4" w:space="0" w:color="365F91"/>
              <w:bottom w:val="single" w:sz="4" w:space="0" w:color="365F91"/>
            </w:tcBorders>
            <w:shd w:val="clear" w:color="auto" w:fill="auto"/>
          </w:tcPr>
          <w:p w14:paraId="16B6AB89" w14:textId="77777777" w:rsidR="00A05AC8" w:rsidRPr="00256982" w:rsidRDefault="00A05AC8" w:rsidP="00E742A5">
            <w:pPr>
              <w:pStyle w:val="TableText"/>
              <w:spacing w:before="50" w:after="50"/>
              <w:rPr>
                <w:szCs w:val="16"/>
              </w:rPr>
            </w:pPr>
            <w:r w:rsidRPr="00256982">
              <w:rPr>
                <w:b/>
                <w:bCs/>
              </w:rPr>
              <w:t xml:space="preserve">Not valid. </w:t>
            </w:r>
            <w:r w:rsidRPr="00256982">
              <w:t>Accuracy of carbon dioxide emissions will not be improved by using a higher tier method. This recommendation is not in accordance with the 2006 IPCC Guidelines.</w:t>
            </w:r>
          </w:p>
        </w:tc>
      </w:tr>
      <w:tr w:rsidR="00A05AC8" w:rsidRPr="00256982" w14:paraId="49E43688" w14:textId="77777777" w:rsidTr="00B7783F">
        <w:tc>
          <w:tcPr>
            <w:tcW w:w="1720" w:type="dxa"/>
            <w:gridSpan w:val="2"/>
            <w:tcBorders>
              <w:top w:val="single" w:sz="4" w:space="0" w:color="365F91"/>
              <w:bottom w:val="single" w:sz="4" w:space="0" w:color="365F91"/>
            </w:tcBorders>
            <w:shd w:val="clear" w:color="auto" w:fill="auto"/>
            <w:tcMar>
              <w:left w:w="57" w:type="dxa"/>
            </w:tcMar>
          </w:tcPr>
          <w:p w14:paraId="2E5ED47D" w14:textId="77777777" w:rsidR="00A05AC8" w:rsidRPr="00256982" w:rsidRDefault="00A05AC8" w:rsidP="00E742A5">
            <w:pPr>
              <w:pStyle w:val="TableText"/>
              <w:spacing w:before="50" w:after="50"/>
            </w:pPr>
            <w:r w:rsidRPr="00256982">
              <w:t>Energy – Road transportation: liquid and gaseous fuels – CO</w:t>
            </w:r>
            <w:r w:rsidRPr="00256982">
              <w:rPr>
                <w:vertAlign w:val="subscript"/>
              </w:rPr>
              <w:t>2</w:t>
            </w:r>
          </w:p>
        </w:tc>
        <w:tc>
          <w:tcPr>
            <w:tcW w:w="990" w:type="dxa"/>
            <w:tcBorders>
              <w:top w:val="single" w:sz="4" w:space="0" w:color="365F91"/>
              <w:bottom w:val="single" w:sz="4" w:space="0" w:color="365F91"/>
            </w:tcBorders>
          </w:tcPr>
          <w:p w14:paraId="070A8060" w14:textId="77777777" w:rsidR="00A05AC8" w:rsidRPr="00256982" w:rsidRDefault="00A05AC8" w:rsidP="00E742A5">
            <w:pPr>
              <w:pStyle w:val="TableText"/>
              <w:spacing w:before="50" w:after="50"/>
            </w:pPr>
            <w:r w:rsidRPr="00256982">
              <w:t>E.10, 2017</w:t>
            </w:r>
          </w:p>
        </w:tc>
        <w:tc>
          <w:tcPr>
            <w:tcW w:w="3525" w:type="dxa"/>
            <w:tcBorders>
              <w:top w:val="single" w:sz="4" w:space="0" w:color="365F91"/>
              <w:bottom w:val="single" w:sz="4" w:space="0" w:color="365F91"/>
            </w:tcBorders>
            <w:shd w:val="clear" w:color="auto" w:fill="auto"/>
          </w:tcPr>
          <w:p w14:paraId="38EBA8DC" w14:textId="77777777" w:rsidR="00A05AC8" w:rsidRPr="00256982" w:rsidRDefault="00A05AC8" w:rsidP="00E742A5">
            <w:pPr>
              <w:pStyle w:val="TableText"/>
              <w:spacing w:before="50" w:after="50"/>
            </w:pPr>
            <w:r w:rsidRPr="00256982">
              <w:t>Continue to estimate the CO</w:t>
            </w:r>
            <w:r w:rsidRPr="00256982">
              <w:rPr>
                <w:vertAlign w:val="subscript"/>
              </w:rPr>
              <w:t>2</w:t>
            </w:r>
            <w:r w:rsidRPr="00256982">
              <w:t xml:space="preserve"> emissions based on fuel sold but report the CO</w:t>
            </w:r>
            <w:r w:rsidRPr="00256982">
              <w:rPr>
                <w:vertAlign w:val="subscript"/>
              </w:rPr>
              <w:t>2</w:t>
            </w:r>
            <w:r w:rsidRPr="00256982">
              <w:t xml:space="preserve"> emissions disaggregated by vehicle mode using the data collected for the estimation of CH</w:t>
            </w:r>
            <w:r w:rsidRPr="00256982">
              <w:rPr>
                <w:vertAlign w:val="subscript"/>
              </w:rPr>
              <w:t>4</w:t>
            </w:r>
            <w:r w:rsidRPr="00256982">
              <w:t xml:space="preserve"> and N</w:t>
            </w:r>
            <w:r w:rsidRPr="00256982">
              <w:rPr>
                <w:vertAlign w:val="subscript"/>
              </w:rPr>
              <w:t>2</w:t>
            </w:r>
            <w:r w:rsidRPr="00256982">
              <w:t>O emissions assuming that any discrepancies can be resolved between the top-down and bottom-up approaches; if this is not possible, continue to report CO</w:t>
            </w:r>
            <w:r w:rsidRPr="00256982">
              <w:rPr>
                <w:vertAlign w:val="subscript"/>
              </w:rPr>
              <w:t>2</w:t>
            </w:r>
            <w:r w:rsidRPr="00256982">
              <w:t xml:space="preserve"> emissions aggregated, but investigate and describe in the NIR the possible reasons for the discrepancy in the results of the comparison.</w:t>
            </w:r>
          </w:p>
        </w:tc>
        <w:tc>
          <w:tcPr>
            <w:tcW w:w="2327" w:type="dxa"/>
            <w:tcBorders>
              <w:top w:val="single" w:sz="4" w:space="0" w:color="365F91"/>
              <w:bottom w:val="single" w:sz="4" w:space="0" w:color="365F91"/>
            </w:tcBorders>
            <w:shd w:val="clear" w:color="auto" w:fill="auto"/>
          </w:tcPr>
          <w:p w14:paraId="43B9CC6C" w14:textId="77777777" w:rsidR="00A05AC8" w:rsidRPr="00256982" w:rsidRDefault="00A05AC8" w:rsidP="00E742A5">
            <w:pPr>
              <w:pStyle w:val="TableText"/>
              <w:spacing w:before="50" w:after="50"/>
              <w:rPr>
                <w:b/>
              </w:rPr>
            </w:pPr>
            <w:r w:rsidRPr="00256982">
              <w:rPr>
                <w:b/>
              </w:rPr>
              <w:t xml:space="preserve">Resolved. </w:t>
            </w:r>
            <w:r w:rsidRPr="00256982">
              <w:t>Data is now disaggregated where possible, or estimated based on IPCC guidelines where disaggregated data are unavailable.</w:t>
            </w:r>
          </w:p>
        </w:tc>
      </w:tr>
      <w:tr w:rsidR="00A05AC8" w:rsidRPr="00256982" w14:paraId="3BC920CC" w14:textId="77777777" w:rsidTr="00B7783F">
        <w:tc>
          <w:tcPr>
            <w:tcW w:w="1720" w:type="dxa"/>
            <w:gridSpan w:val="2"/>
            <w:tcBorders>
              <w:top w:val="single" w:sz="4" w:space="0" w:color="365F91"/>
              <w:bottom w:val="single" w:sz="4" w:space="0" w:color="365F91"/>
            </w:tcBorders>
            <w:shd w:val="clear" w:color="auto" w:fill="auto"/>
            <w:tcMar>
              <w:left w:w="57" w:type="dxa"/>
            </w:tcMar>
          </w:tcPr>
          <w:p w14:paraId="530CDD71" w14:textId="77777777" w:rsidR="00A05AC8" w:rsidRPr="00256982" w:rsidRDefault="00A05AC8" w:rsidP="00E742A5">
            <w:pPr>
              <w:pStyle w:val="TableText"/>
              <w:spacing w:before="50" w:after="50"/>
            </w:pPr>
            <w:r w:rsidRPr="00256982">
              <w:t>Energy – Coal mining and handling – CH</w:t>
            </w:r>
            <w:r w:rsidRPr="00256982">
              <w:rPr>
                <w:vertAlign w:val="subscript"/>
              </w:rPr>
              <w:t>4</w:t>
            </w:r>
          </w:p>
        </w:tc>
        <w:tc>
          <w:tcPr>
            <w:tcW w:w="990" w:type="dxa"/>
            <w:tcBorders>
              <w:top w:val="single" w:sz="4" w:space="0" w:color="365F91"/>
              <w:bottom w:val="single" w:sz="4" w:space="0" w:color="365F91"/>
            </w:tcBorders>
          </w:tcPr>
          <w:p w14:paraId="2F981051" w14:textId="77777777" w:rsidR="00A05AC8" w:rsidRPr="00256982" w:rsidRDefault="00A05AC8" w:rsidP="00E742A5">
            <w:pPr>
              <w:pStyle w:val="TableText"/>
              <w:spacing w:before="50" w:after="50"/>
            </w:pPr>
            <w:r w:rsidRPr="00256982">
              <w:t>E.14, 2017</w:t>
            </w:r>
          </w:p>
        </w:tc>
        <w:tc>
          <w:tcPr>
            <w:tcW w:w="3525" w:type="dxa"/>
            <w:tcBorders>
              <w:top w:val="single" w:sz="4" w:space="0" w:color="365F91"/>
              <w:bottom w:val="single" w:sz="4" w:space="0" w:color="365F91"/>
            </w:tcBorders>
            <w:shd w:val="clear" w:color="auto" w:fill="auto"/>
          </w:tcPr>
          <w:p w14:paraId="77B6CC36" w14:textId="77777777" w:rsidR="00A05AC8" w:rsidRPr="00256982" w:rsidRDefault="00A05AC8" w:rsidP="00E742A5">
            <w:pPr>
              <w:pStyle w:val="TableText"/>
              <w:spacing w:before="50" w:after="50"/>
            </w:pPr>
            <w:r w:rsidRPr="00256982">
              <w:t>Estimate these CH</w:t>
            </w:r>
            <w:r w:rsidRPr="00256982">
              <w:rPr>
                <w:vertAlign w:val="subscript"/>
              </w:rPr>
              <w:t>4</w:t>
            </w:r>
            <w:r w:rsidRPr="00256982">
              <w:t xml:space="preserve"> emissions or, if these emissions are considered insignificant by the Party, report them as “NE” (not estimated) and provide a quantitative estimate of the likely level of the emissions in accordance with paragraph 37(b) of the UNFCCC Annex I inventory reporting guidelines in order for the ERT to assess whether the sum of all gases and categories considered insignificant remain below 0.1 per cent of the national total GHG emissions.</w:t>
            </w:r>
          </w:p>
        </w:tc>
        <w:tc>
          <w:tcPr>
            <w:tcW w:w="2327" w:type="dxa"/>
            <w:tcBorders>
              <w:top w:val="single" w:sz="4" w:space="0" w:color="365F91"/>
              <w:bottom w:val="single" w:sz="4" w:space="0" w:color="365F91"/>
            </w:tcBorders>
            <w:shd w:val="clear" w:color="auto" w:fill="auto"/>
          </w:tcPr>
          <w:p w14:paraId="3AC53D30" w14:textId="77777777" w:rsidR="00A05AC8" w:rsidRPr="00256982" w:rsidRDefault="00A05AC8" w:rsidP="00E742A5">
            <w:pPr>
              <w:pStyle w:val="TableText"/>
              <w:spacing w:before="50" w:after="50"/>
            </w:pPr>
            <w:r w:rsidRPr="00256982">
              <w:rPr>
                <w:b/>
                <w:bCs/>
              </w:rPr>
              <w:t>Addressing.</w:t>
            </w:r>
            <w:r w:rsidRPr="00256982">
              <w:t xml:space="preserve"> An update has been provided in the NIR.</w:t>
            </w:r>
          </w:p>
        </w:tc>
      </w:tr>
      <w:tr w:rsidR="00A05AC8" w:rsidRPr="00256982" w14:paraId="006B8B11" w14:textId="77777777" w:rsidTr="00B7783F">
        <w:tc>
          <w:tcPr>
            <w:tcW w:w="1720" w:type="dxa"/>
            <w:gridSpan w:val="2"/>
            <w:tcBorders>
              <w:top w:val="single" w:sz="4" w:space="0" w:color="365F91"/>
              <w:bottom w:val="single" w:sz="4" w:space="0" w:color="365F91"/>
            </w:tcBorders>
            <w:shd w:val="clear" w:color="auto" w:fill="auto"/>
            <w:tcMar>
              <w:left w:w="57" w:type="dxa"/>
            </w:tcMar>
          </w:tcPr>
          <w:p w14:paraId="2DFBFB17" w14:textId="77777777" w:rsidR="00A05AC8" w:rsidRPr="00256982" w:rsidRDefault="00A05AC8" w:rsidP="00E742A5">
            <w:pPr>
              <w:pStyle w:val="TableText"/>
              <w:spacing w:before="50" w:after="50"/>
            </w:pPr>
            <w:r w:rsidRPr="00256982">
              <w:t>Energy – Natural gas processing – CO</w:t>
            </w:r>
            <w:r w:rsidRPr="00256982">
              <w:rPr>
                <w:vertAlign w:val="subscript"/>
              </w:rPr>
              <w:t>2</w:t>
            </w:r>
            <w:r w:rsidRPr="00256982">
              <w:t xml:space="preserve"> and CH</w:t>
            </w:r>
            <w:r w:rsidRPr="00256982">
              <w:rPr>
                <w:vertAlign w:val="subscript"/>
              </w:rPr>
              <w:t>4</w:t>
            </w:r>
          </w:p>
        </w:tc>
        <w:tc>
          <w:tcPr>
            <w:tcW w:w="990" w:type="dxa"/>
            <w:tcBorders>
              <w:top w:val="single" w:sz="4" w:space="0" w:color="365F91"/>
              <w:bottom w:val="single" w:sz="4" w:space="0" w:color="365F91"/>
            </w:tcBorders>
          </w:tcPr>
          <w:p w14:paraId="36DC780C" w14:textId="77777777" w:rsidR="00A05AC8" w:rsidRPr="00256982" w:rsidRDefault="00A05AC8" w:rsidP="00E742A5">
            <w:pPr>
              <w:pStyle w:val="TableText"/>
              <w:spacing w:before="50" w:after="50"/>
            </w:pPr>
            <w:r w:rsidRPr="00256982">
              <w:t>E.17, 2017</w:t>
            </w:r>
          </w:p>
        </w:tc>
        <w:tc>
          <w:tcPr>
            <w:tcW w:w="3525" w:type="dxa"/>
            <w:tcBorders>
              <w:top w:val="single" w:sz="4" w:space="0" w:color="365F91"/>
              <w:bottom w:val="single" w:sz="4" w:space="0" w:color="365F91"/>
            </w:tcBorders>
            <w:shd w:val="clear" w:color="auto" w:fill="auto"/>
          </w:tcPr>
          <w:p w14:paraId="42F64445" w14:textId="77777777" w:rsidR="00A05AC8" w:rsidRPr="00256982" w:rsidRDefault="00A05AC8" w:rsidP="00E742A5">
            <w:pPr>
              <w:pStyle w:val="TableText"/>
              <w:spacing w:before="50" w:after="50"/>
            </w:pPr>
            <w:r w:rsidRPr="00256982">
              <w:t>Encourages New Zealand to report fugitive (leakage) CH</w:t>
            </w:r>
            <w:r w:rsidRPr="00256982">
              <w:rPr>
                <w:vertAlign w:val="subscript"/>
              </w:rPr>
              <w:t>4</w:t>
            </w:r>
            <w:r w:rsidRPr="00256982">
              <w:t xml:space="preserve"> emissions from natural gas processing under the category natural gas processing to enhance comparability with other Parties. If this is not possible, the ERT recommends that the Party report these emissions as “IE” (included elsewhere) and clearly explain the allocation of the fugitive CH</w:t>
            </w:r>
            <w:r w:rsidRPr="00256982">
              <w:rPr>
                <w:vertAlign w:val="subscript"/>
              </w:rPr>
              <w:t>4</w:t>
            </w:r>
            <w:r w:rsidRPr="00256982">
              <w:t xml:space="preserve"> emissions of Kapuni gas treatment plant in the NIR.</w:t>
            </w:r>
          </w:p>
        </w:tc>
        <w:tc>
          <w:tcPr>
            <w:tcW w:w="2327" w:type="dxa"/>
            <w:tcBorders>
              <w:top w:val="single" w:sz="4" w:space="0" w:color="365F91"/>
              <w:bottom w:val="single" w:sz="4" w:space="0" w:color="365F91"/>
            </w:tcBorders>
            <w:shd w:val="clear" w:color="auto" w:fill="auto"/>
          </w:tcPr>
          <w:p w14:paraId="7CA5D1B8" w14:textId="77777777" w:rsidR="00A05AC8" w:rsidRPr="00256982" w:rsidRDefault="00A05AC8" w:rsidP="00E742A5">
            <w:pPr>
              <w:pStyle w:val="TableText"/>
              <w:spacing w:before="50" w:after="50"/>
            </w:pPr>
            <w:r w:rsidRPr="00256982">
              <w:rPr>
                <w:b/>
              </w:rPr>
              <w:t>Resolved.</w:t>
            </w:r>
            <w:r w:rsidRPr="00256982">
              <w:t xml:space="preserve"> The CRF tables have been revised.</w:t>
            </w:r>
          </w:p>
        </w:tc>
      </w:tr>
      <w:tr w:rsidR="00A05AC8" w:rsidRPr="00256982" w14:paraId="4F21B35F" w14:textId="77777777" w:rsidTr="00B7783F">
        <w:trPr>
          <w:gridBefore w:val="1"/>
          <w:wBefore w:w="25" w:type="dxa"/>
        </w:trPr>
        <w:tc>
          <w:tcPr>
            <w:tcW w:w="1695" w:type="dxa"/>
            <w:tcBorders>
              <w:top w:val="single" w:sz="4" w:space="0" w:color="365F91"/>
              <w:bottom w:val="single" w:sz="4" w:space="0" w:color="365F91"/>
            </w:tcBorders>
            <w:shd w:val="clear" w:color="auto" w:fill="auto"/>
            <w:tcMar>
              <w:left w:w="57" w:type="dxa"/>
            </w:tcMar>
          </w:tcPr>
          <w:p w14:paraId="38C2AB2C" w14:textId="77777777" w:rsidR="00A05AC8" w:rsidRPr="00256982" w:rsidRDefault="00A05AC8" w:rsidP="00E742A5">
            <w:pPr>
              <w:pStyle w:val="TableText"/>
              <w:spacing w:before="50" w:after="50"/>
            </w:pPr>
            <w:r w:rsidRPr="00256982">
              <w:t>Energy – 1.A.3.b Road transportation – liquid fuels – CH</w:t>
            </w:r>
            <w:r w:rsidRPr="00256982">
              <w:rPr>
                <w:vertAlign w:val="subscript"/>
              </w:rPr>
              <w:t>4</w:t>
            </w:r>
            <w:r w:rsidRPr="00256982">
              <w:t xml:space="preserve"> and N</w:t>
            </w:r>
            <w:r w:rsidRPr="00256982">
              <w:rPr>
                <w:vertAlign w:val="subscript"/>
              </w:rPr>
              <w:t>2</w:t>
            </w:r>
            <w:r w:rsidRPr="00256982">
              <w:t>O</w:t>
            </w:r>
          </w:p>
        </w:tc>
        <w:tc>
          <w:tcPr>
            <w:tcW w:w="990" w:type="dxa"/>
            <w:tcBorders>
              <w:top w:val="single" w:sz="4" w:space="0" w:color="365F91"/>
              <w:bottom w:val="single" w:sz="4" w:space="0" w:color="365F91"/>
            </w:tcBorders>
          </w:tcPr>
          <w:p w14:paraId="1F2D7FF8" w14:textId="77777777" w:rsidR="00A05AC8" w:rsidRPr="00256982" w:rsidRDefault="00A05AC8" w:rsidP="00E742A5">
            <w:pPr>
              <w:pStyle w:val="TableText"/>
              <w:spacing w:before="50" w:after="50"/>
            </w:pPr>
            <w:r w:rsidRPr="00256982">
              <w:t>E.11, 2017</w:t>
            </w:r>
          </w:p>
        </w:tc>
        <w:tc>
          <w:tcPr>
            <w:tcW w:w="3525" w:type="dxa"/>
            <w:tcBorders>
              <w:top w:val="single" w:sz="4" w:space="0" w:color="365F91"/>
              <w:bottom w:val="single" w:sz="4" w:space="0" w:color="365F91"/>
            </w:tcBorders>
            <w:shd w:val="clear" w:color="auto" w:fill="auto"/>
          </w:tcPr>
          <w:p w14:paraId="2F9308E3" w14:textId="77777777" w:rsidR="00A05AC8" w:rsidRPr="00256982" w:rsidRDefault="00A05AC8" w:rsidP="00E742A5">
            <w:pPr>
              <w:pStyle w:val="TableText"/>
              <w:spacing w:before="50" w:after="50"/>
            </w:pPr>
            <w:r w:rsidRPr="00256982">
              <w:t>Apply the procedure for validating vehicle-kilometres travelled with fuel statistics data before estimating CH</w:t>
            </w:r>
            <w:r w:rsidRPr="00256982">
              <w:rPr>
                <w:vertAlign w:val="subscript"/>
              </w:rPr>
              <w:t>4</w:t>
            </w:r>
            <w:r w:rsidRPr="00256982">
              <w:t xml:space="preserve"> and N</w:t>
            </w:r>
            <w:r w:rsidRPr="00256982">
              <w:rPr>
                <w:vertAlign w:val="subscript"/>
              </w:rPr>
              <w:t>2</w:t>
            </w:r>
            <w:r w:rsidRPr="00256982">
              <w:t>O emissions with the COPERT IV model and describe this procedure in the NIR.</w:t>
            </w:r>
          </w:p>
        </w:tc>
        <w:tc>
          <w:tcPr>
            <w:tcW w:w="2327" w:type="dxa"/>
            <w:tcBorders>
              <w:top w:val="single" w:sz="4" w:space="0" w:color="365F91"/>
              <w:bottom w:val="single" w:sz="4" w:space="0" w:color="365F91"/>
            </w:tcBorders>
            <w:shd w:val="clear" w:color="auto" w:fill="auto"/>
          </w:tcPr>
          <w:p w14:paraId="36C8C45B" w14:textId="77777777" w:rsidR="00A05AC8" w:rsidRPr="00256982" w:rsidRDefault="00A05AC8" w:rsidP="00E742A5">
            <w:pPr>
              <w:pStyle w:val="TableText"/>
              <w:spacing w:before="50" w:after="50"/>
            </w:pPr>
            <w:r w:rsidRPr="00256982">
              <w:rPr>
                <w:b/>
                <w:bCs/>
              </w:rPr>
              <w:t xml:space="preserve">Invalid. </w:t>
            </w:r>
            <w:r w:rsidRPr="00256982">
              <w:rPr>
                <w:bCs/>
              </w:rPr>
              <w:t>New Zealand does not use the COPERT IV model (or any other COPERT model).</w:t>
            </w:r>
            <w:r w:rsidRPr="00256982">
              <w:t xml:space="preserve"> </w:t>
            </w:r>
          </w:p>
        </w:tc>
      </w:tr>
      <w:tr w:rsidR="00A05AC8" w:rsidRPr="00256982" w14:paraId="54F841D9" w14:textId="77777777" w:rsidTr="00B7783F">
        <w:trPr>
          <w:gridBefore w:val="1"/>
          <w:wBefore w:w="25" w:type="dxa"/>
        </w:trPr>
        <w:tc>
          <w:tcPr>
            <w:tcW w:w="1695" w:type="dxa"/>
            <w:tcBorders>
              <w:top w:val="single" w:sz="4" w:space="0" w:color="365F91"/>
              <w:bottom w:val="single" w:sz="4" w:space="0" w:color="365F91"/>
            </w:tcBorders>
            <w:shd w:val="clear" w:color="auto" w:fill="auto"/>
            <w:tcMar>
              <w:left w:w="57" w:type="dxa"/>
            </w:tcMar>
          </w:tcPr>
          <w:p w14:paraId="5AEB14F5" w14:textId="77777777" w:rsidR="00A05AC8" w:rsidRPr="00256982" w:rsidRDefault="00A05AC8" w:rsidP="00E742A5">
            <w:pPr>
              <w:pStyle w:val="TableText"/>
              <w:spacing w:before="50" w:after="50"/>
            </w:pPr>
            <w:r w:rsidRPr="00256982">
              <w:t>Energy – 1.A.4.c Agriculture/forestry/ fishing – liquid fuels – CH</w:t>
            </w:r>
            <w:r w:rsidRPr="00256982">
              <w:rPr>
                <w:vertAlign w:val="subscript"/>
              </w:rPr>
              <w:t>4</w:t>
            </w:r>
            <w:r w:rsidRPr="00256982">
              <w:t xml:space="preserve"> and N</w:t>
            </w:r>
            <w:r w:rsidRPr="00256982">
              <w:rPr>
                <w:vertAlign w:val="subscript"/>
              </w:rPr>
              <w:t>2</w:t>
            </w:r>
            <w:r w:rsidRPr="00256982">
              <w:t>O</w:t>
            </w:r>
          </w:p>
        </w:tc>
        <w:tc>
          <w:tcPr>
            <w:tcW w:w="990" w:type="dxa"/>
            <w:tcBorders>
              <w:top w:val="single" w:sz="4" w:space="0" w:color="365F91"/>
              <w:bottom w:val="single" w:sz="4" w:space="0" w:color="365F91"/>
            </w:tcBorders>
          </w:tcPr>
          <w:p w14:paraId="078FE5DB" w14:textId="77777777" w:rsidR="00A05AC8" w:rsidRPr="00256982" w:rsidRDefault="00A05AC8" w:rsidP="00E742A5">
            <w:pPr>
              <w:pStyle w:val="TableText"/>
              <w:spacing w:before="50" w:after="50"/>
            </w:pPr>
            <w:r w:rsidRPr="00256982">
              <w:t>E.13, 2017</w:t>
            </w:r>
          </w:p>
        </w:tc>
        <w:tc>
          <w:tcPr>
            <w:tcW w:w="3525" w:type="dxa"/>
            <w:tcBorders>
              <w:top w:val="single" w:sz="4" w:space="0" w:color="365F91"/>
              <w:bottom w:val="single" w:sz="4" w:space="0" w:color="365F91"/>
            </w:tcBorders>
            <w:shd w:val="clear" w:color="auto" w:fill="auto"/>
          </w:tcPr>
          <w:p w14:paraId="3671B6C9" w14:textId="77777777" w:rsidR="00A05AC8" w:rsidRPr="00256982" w:rsidDel="00BC55D4" w:rsidRDefault="00A05AC8" w:rsidP="00E742A5">
            <w:pPr>
              <w:pStyle w:val="TableText"/>
              <w:spacing w:before="50" w:after="50"/>
            </w:pPr>
            <w:r w:rsidRPr="00256982">
              <w:t>Collect separate AD for off-road vehicles and other machinery, fishing and stationary combustion activities in this category, and that it estimate CH</w:t>
            </w:r>
            <w:r w:rsidRPr="00256982">
              <w:rPr>
                <w:vertAlign w:val="subscript"/>
              </w:rPr>
              <w:t>4</w:t>
            </w:r>
            <w:r w:rsidRPr="00256982">
              <w:t xml:space="preserve"> and N</w:t>
            </w:r>
            <w:r w:rsidRPr="00256982">
              <w:rPr>
                <w:vertAlign w:val="subscript"/>
              </w:rPr>
              <w:t>2</w:t>
            </w:r>
            <w:r w:rsidRPr="00256982">
              <w:t>O emissions by applying appropriate EFs for mobile combustion and stationary combustion.</w:t>
            </w:r>
          </w:p>
        </w:tc>
        <w:tc>
          <w:tcPr>
            <w:tcW w:w="2327" w:type="dxa"/>
            <w:tcBorders>
              <w:top w:val="single" w:sz="4" w:space="0" w:color="365F91"/>
              <w:bottom w:val="single" w:sz="4" w:space="0" w:color="365F91"/>
            </w:tcBorders>
            <w:shd w:val="clear" w:color="auto" w:fill="auto"/>
          </w:tcPr>
          <w:p w14:paraId="437E07A6" w14:textId="77777777" w:rsidR="00A05AC8" w:rsidRPr="00256982" w:rsidRDefault="00A05AC8" w:rsidP="00E742A5">
            <w:pPr>
              <w:pStyle w:val="TableText"/>
              <w:spacing w:before="50" w:after="50"/>
            </w:pPr>
            <w:r w:rsidRPr="00256982">
              <w:rPr>
                <w:b/>
                <w:bCs/>
              </w:rPr>
              <w:t>Resolved.</w:t>
            </w:r>
            <w:r w:rsidRPr="00256982">
              <w:t xml:space="preserve"> The emissions estimates have been disaggregated and reported in the CRF tables.</w:t>
            </w:r>
          </w:p>
        </w:tc>
      </w:tr>
      <w:tr w:rsidR="00A05AC8" w:rsidRPr="00256982" w14:paraId="4C8DA460" w14:textId="77777777" w:rsidTr="00B7783F">
        <w:trPr>
          <w:gridBefore w:val="1"/>
          <w:wBefore w:w="25" w:type="dxa"/>
        </w:trPr>
        <w:tc>
          <w:tcPr>
            <w:tcW w:w="1695" w:type="dxa"/>
            <w:tcBorders>
              <w:top w:val="single" w:sz="4" w:space="0" w:color="365F91"/>
              <w:bottom w:val="single" w:sz="4" w:space="0" w:color="365F91"/>
            </w:tcBorders>
            <w:shd w:val="clear" w:color="auto" w:fill="auto"/>
            <w:tcMar>
              <w:left w:w="57" w:type="dxa"/>
            </w:tcMar>
          </w:tcPr>
          <w:p w14:paraId="5302F3CE" w14:textId="77777777" w:rsidR="00A05AC8" w:rsidRPr="00256982" w:rsidRDefault="00A05AC8" w:rsidP="00E742A5">
            <w:pPr>
              <w:pStyle w:val="TableText"/>
              <w:spacing w:before="50" w:after="50"/>
            </w:pPr>
            <w:r w:rsidRPr="00256982">
              <w:t>Energy – 1.B.1.a Coal mining and handling – CH</w:t>
            </w:r>
            <w:r w:rsidRPr="00256982">
              <w:rPr>
                <w:vertAlign w:val="subscript"/>
              </w:rPr>
              <w:t>4</w:t>
            </w:r>
          </w:p>
        </w:tc>
        <w:tc>
          <w:tcPr>
            <w:tcW w:w="990" w:type="dxa"/>
            <w:tcBorders>
              <w:top w:val="single" w:sz="4" w:space="0" w:color="365F91"/>
              <w:bottom w:val="single" w:sz="4" w:space="0" w:color="365F91"/>
            </w:tcBorders>
          </w:tcPr>
          <w:p w14:paraId="334FF4BD" w14:textId="77777777" w:rsidR="00A05AC8" w:rsidRPr="00256982" w:rsidRDefault="00A05AC8" w:rsidP="00E742A5">
            <w:pPr>
              <w:pStyle w:val="TableText"/>
              <w:spacing w:before="50" w:after="50"/>
            </w:pPr>
            <w:r w:rsidRPr="00256982">
              <w:t>E.16, 2017</w:t>
            </w:r>
          </w:p>
        </w:tc>
        <w:tc>
          <w:tcPr>
            <w:tcW w:w="3525" w:type="dxa"/>
            <w:tcBorders>
              <w:top w:val="single" w:sz="4" w:space="0" w:color="365F91"/>
              <w:bottom w:val="single" w:sz="4" w:space="0" w:color="365F91"/>
            </w:tcBorders>
            <w:shd w:val="clear" w:color="auto" w:fill="auto"/>
          </w:tcPr>
          <w:p w14:paraId="1D6CB467" w14:textId="77777777" w:rsidR="00A05AC8" w:rsidRPr="00256982" w:rsidDel="00BC55D4" w:rsidRDefault="00A05AC8" w:rsidP="00E742A5">
            <w:pPr>
              <w:pStyle w:val="TableText"/>
              <w:spacing w:before="50" w:after="50"/>
            </w:pPr>
            <w:r w:rsidRPr="00256982">
              <w:t>Improve transparency by describing in the NIR its rationale for the choice of CH</w:t>
            </w:r>
            <w:r w:rsidRPr="00256982">
              <w:rPr>
                <w:vertAlign w:val="subscript"/>
              </w:rPr>
              <w:t>4</w:t>
            </w:r>
            <w:r w:rsidRPr="00256982">
              <w:t xml:space="preserve"> EFs for underground mining of bituminous and sub-bituminous coal, as well as by providing a description of the number and types of coal mines active in New Zealand.</w:t>
            </w:r>
          </w:p>
        </w:tc>
        <w:tc>
          <w:tcPr>
            <w:tcW w:w="2327" w:type="dxa"/>
            <w:tcBorders>
              <w:top w:val="single" w:sz="4" w:space="0" w:color="365F91"/>
              <w:bottom w:val="single" w:sz="4" w:space="0" w:color="365F91"/>
            </w:tcBorders>
            <w:shd w:val="clear" w:color="auto" w:fill="auto"/>
          </w:tcPr>
          <w:p w14:paraId="6E51A0AB" w14:textId="77777777" w:rsidR="00A05AC8" w:rsidRPr="00256982" w:rsidRDefault="00A05AC8" w:rsidP="00E742A5">
            <w:pPr>
              <w:pStyle w:val="TableText"/>
              <w:spacing w:before="50" w:after="50"/>
              <w:rPr>
                <w:b/>
              </w:rPr>
            </w:pPr>
            <w:r w:rsidRPr="00256982">
              <w:rPr>
                <w:b/>
              </w:rPr>
              <w:t xml:space="preserve">Resolved. </w:t>
            </w:r>
            <w:r w:rsidRPr="00256982">
              <w:t>Further explanation has been included in the 2018 submission. (Note this activity is not occurring).</w:t>
            </w:r>
          </w:p>
        </w:tc>
      </w:tr>
      <w:tr w:rsidR="00A05AC8" w:rsidRPr="00256982" w14:paraId="0E0CFC44" w14:textId="77777777" w:rsidTr="00B7783F">
        <w:trPr>
          <w:gridBefore w:val="1"/>
          <w:wBefore w:w="25" w:type="dxa"/>
        </w:trPr>
        <w:tc>
          <w:tcPr>
            <w:tcW w:w="1695" w:type="dxa"/>
            <w:tcBorders>
              <w:top w:val="single" w:sz="4" w:space="0" w:color="365F91"/>
              <w:bottom w:val="single" w:sz="4" w:space="0" w:color="365F91"/>
            </w:tcBorders>
            <w:shd w:val="clear" w:color="auto" w:fill="auto"/>
            <w:tcMar>
              <w:left w:w="57" w:type="dxa"/>
            </w:tcMar>
          </w:tcPr>
          <w:p w14:paraId="70E7D236" w14:textId="77777777" w:rsidR="00A05AC8" w:rsidRPr="00256982" w:rsidRDefault="00A05AC8" w:rsidP="00E742A5">
            <w:pPr>
              <w:pStyle w:val="TableText"/>
              <w:spacing w:before="50" w:after="50"/>
            </w:pPr>
            <w:r w:rsidRPr="00256982">
              <w:t>Energy – 1.B.2.b Natural gas – CO</w:t>
            </w:r>
            <w:r w:rsidRPr="00256982">
              <w:rPr>
                <w:vertAlign w:val="subscript"/>
              </w:rPr>
              <w:t>2</w:t>
            </w:r>
          </w:p>
        </w:tc>
        <w:tc>
          <w:tcPr>
            <w:tcW w:w="990" w:type="dxa"/>
            <w:tcBorders>
              <w:top w:val="single" w:sz="4" w:space="0" w:color="365F91"/>
              <w:bottom w:val="single" w:sz="4" w:space="0" w:color="365F91"/>
            </w:tcBorders>
          </w:tcPr>
          <w:p w14:paraId="08784B92" w14:textId="77777777" w:rsidR="00A05AC8" w:rsidRPr="00256982" w:rsidRDefault="00A05AC8" w:rsidP="00E742A5">
            <w:pPr>
              <w:pStyle w:val="TableText"/>
              <w:spacing w:before="50" w:after="50"/>
            </w:pPr>
            <w:r w:rsidRPr="00256982">
              <w:t>E.18, 2017</w:t>
            </w:r>
          </w:p>
        </w:tc>
        <w:tc>
          <w:tcPr>
            <w:tcW w:w="3525" w:type="dxa"/>
            <w:tcBorders>
              <w:top w:val="single" w:sz="4" w:space="0" w:color="365F91"/>
              <w:bottom w:val="single" w:sz="4" w:space="0" w:color="365F91"/>
            </w:tcBorders>
            <w:shd w:val="clear" w:color="auto" w:fill="auto"/>
          </w:tcPr>
          <w:p w14:paraId="09F7CD86" w14:textId="77777777" w:rsidR="00A05AC8" w:rsidRPr="00256982" w:rsidDel="00BC55D4" w:rsidRDefault="00A05AC8" w:rsidP="00E742A5">
            <w:pPr>
              <w:pStyle w:val="TableText"/>
              <w:spacing w:before="50" w:after="50"/>
            </w:pPr>
            <w:r w:rsidRPr="00256982">
              <w:t>Improve comparability by reporting CO</w:t>
            </w:r>
            <w:r w:rsidRPr="00256982">
              <w:rPr>
                <w:vertAlign w:val="subscript"/>
              </w:rPr>
              <w:t>2</w:t>
            </w:r>
            <w:r w:rsidRPr="00256982">
              <w:t xml:space="preserve"> venting from natural gas processing in category 1.B.2.c.2 (gas venting).</w:t>
            </w:r>
          </w:p>
        </w:tc>
        <w:tc>
          <w:tcPr>
            <w:tcW w:w="2327" w:type="dxa"/>
            <w:tcBorders>
              <w:top w:val="single" w:sz="4" w:space="0" w:color="365F91"/>
              <w:bottom w:val="single" w:sz="4" w:space="0" w:color="365F91"/>
            </w:tcBorders>
            <w:shd w:val="clear" w:color="auto" w:fill="auto"/>
          </w:tcPr>
          <w:p w14:paraId="02944AFA" w14:textId="77777777" w:rsidR="00A05AC8" w:rsidRPr="00256982" w:rsidRDefault="00A05AC8" w:rsidP="00E742A5">
            <w:pPr>
              <w:pStyle w:val="TableText"/>
              <w:spacing w:before="50" w:after="50"/>
              <w:rPr>
                <w:b/>
              </w:rPr>
            </w:pPr>
            <w:r w:rsidRPr="00256982">
              <w:rPr>
                <w:b/>
              </w:rPr>
              <w:t>Resolved.</w:t>
            </w:r>
            <w:r w:rsidRPr="00256982">
              <w:t xml:space="preserve"> Information has been added to the NIR.</w:t>
            </w:r>
          </w:p>
        </w:tc>
      </w:tr>
      <w:tr w:rsidR="00A05AC8" w:rsidRPr="00256982" w14:paraId="0B2B4782" w14:textId="77777777" w:rsidTr="00B7783F">
        <w:trPr>
          <w:gridBefore w:val="1"/>
          <w:wBefore w:w="25" w:type="dxa"/>
        </w:trPr>
        <w:tc>
          <w:tcPr>
            <w:tcW w:w="1695" w:type="dxa"/>
            <w:tcBorders>
              <w:top w:val="single" w:sz="4" w:space="0" w:color="365F91"/>
              <w:bottom w:val="single" w:sz="4" w:space="0" w:color="365F91"/>
            </w:tcBorders>
            <w:shd w:val="clear" w:color="auto" w:fill="auto"/>
            <w:tcMar>
              <w:left w:w="57" w:type="dxa"/>
            </w:tcMar>
          </w:tcPr>
          <w:p w14:paraId="23366CF6" w14:textId="77777777" w:rsidR="00A05AC8" w:rsidRPr="00256982" w:rsidRDefault="00A05AC8" w:rsidP="00E742A5">
            <w:pPr>
              <w:pStyle w:val="TableText"/>
              <w:spacing w:before="50" w:after="50"/>
            </w:pPr>
            <w:r w:rsidRPr="00256982">
              <w:t>Energy – 1.B.2.b Natural gas – CO</w:t>
            </w:r>
            <w:r w:rsidRPr="00256982">
              <w:rPr>
                <w:vertAlign w:val="subscript"/>
              </w:rPr>
              <w:t>2</w:t>
            </w:r>
          </w:p>
        </w:tc>
        <w:tc>
          <w:tcPr>
            <w:tcW w:w="990" w:type="dxa"/>
            <w:tcBorders>
              <w:top w:val="single" w:sz="4" w:space="0" w:color="365F91"/>
              <w:bottom w:val="single" w:sz="4" w:space="0" w:color="365F91"/>
            </w:tcBorders>
          </w:tcPr>
          <w:p w14:paraId="79FEE2F2" w14:textId="77777777" w:rsidR="00A05AC8" w:rsidRPr="00256982" w:rsidRDefault="00A05AC8" w:rsidP="00E742A5">
            <w:pPr>
              <w:pStyle w:val="TableText"/>
              <w:spacing w:before="50" w:after="50"/>
            </w:pPr>
            <w:r w:rsidRPr="00256982">
              <w:t>E.19, 2017</w:t>
            </w:r>
          </w:p>
        </w:tc>
        <w:tc>
          <w:tcPr>
            <w:tcW w:w="3525" w:type="dxa"/>
            <w:tcBorders>
              <w:top w:val="single" w:sz="4" w:space="0" w:color="365F91"/>
              <w:bottom w:val="single" w:sz="4" w:space="0" w:color="365F91"/>
            </w:tcBorders>
            <w:shd w:val="clear" w:color="auto" w:fill="auto"/>
          </w:tcPr>
          <w:p w14:paraId="425545FD" w14:textId="77777777" w:rsidR="00A05AC8" w:rsidRPr="00256982" w:rsidDel="00BC55D4" w:rsidRDefault="00A05AC8" w:rsidP="00E742A5">
            <w:pPr>
              <w:pStyle w:val="TableText"/>
              <w:spacing w:before="50" w:after="50"/>
            </w:pPr>
            <w:r w:rsidRPr="00256982">
              <w:t>The ERT, noting its recommendation in ID#E.14 in table 3 [of 2016 ARR or table 10.2.1 above], recommends that, if it chooses not to report CH</w:t>
            </w:r>
            <w:r w:rsidRPr="00256982">
              <w:rPr>
                <w:vertAlign w:val="subscript"/>
              </w:rPr>
              <w:t>4</w:t>
            </w:r>
            <w:r w:rsidRPr="00256982">
              <w:t xml:space="preserve"> emissions from the Kapuni gas treatment plant, New Zealand change the notation key used for fugitive CH</w:t>
            </w:r>
            <w:r w:rsidRPr="00256982">
              <w:rPr>
                <w:vertAlign w:val="subscript"/>
              </w:rPr>
              <w:t>4</w:t>
            </w:r>
            <w:r w:rsidRPr="00256982">
              <w:t xml:space="preserve"> emissions from natural gas processing (category 1.B.2.b.3) from “NO” to “NE” and describe these emissions in the NIR, as well as provide a justification for their insignificance in accordance with decision 24/CP.19, annex, paragraph 37(b).</w:t>
            </w:r>
          </w:p>
        </w:tc>
        <w:tc>
          <w:tcPr>
            <w:tcW w:w="2327" w:type="dxa"/>
            <w:tcBorders>
              <w:top w:val="single" w:sz="4" w:space="0" w:color="365F91"/>
              <w:bottom w:val="single" w:sz="4" w:space="0" w:color="365F91"/>
            </w:tcBorders>
            <w:shd w:val="clear" w:color="auto" w:fill="auto"/>
          </w:tcPr>
          <w:p w14:paraId="5C6AE049" w14:textId="77777777" w:rsidR="00A05AC8" w:rsidRPr="00256982" w:rsidRDefault="00A05AC8" w:rsidP="00E742A5">
            <w:pPr>
              <w:pStyle w:val="TableText"/>
              <w:spacing w:before="50" w:after="50"/>
              <w:rPr>
                <w:b/>
              </w:rPr>
            </w:pPr>
            <w:r w:rsidRPr="00256982">
              <w:rPr>
                <w:b/>
                <w:bCs/>
              </w:rPr>
              <w:t xml:space="preserve">Resolved. </w:t>
            </w:r>
            <w:r w:rsidRPr="00256982">
              <w:rPr>
                <w:bCs/>
              </w:rPr>
              <w:t>The CRF tables and the NIR have been updated.</w:t>
            </w:r>
          </w:p>
        </w:tc>
      </w:tr>
      <w:tr w:rsidR="00A05AC8" w:rsidRPr="00256982" w14:paraId="115C46A8" w14:textId="77777777" w:rsidTr="00B7783F">
        <w:trPr>
          <w:gridBefore w:val="1"/>
          <w:wBefore w:w="25" w:type="dxa"/>
        </w:trPr>
        <w:tc>
          <w:tcPr>
            <w:tcW w:w="1695" w:type="dxa"/>
            <w:tcBorders>
              <w:top w:val="single" w:sz="4" w:space="0" w:color="365F91"/>
              <w:bottom w:val="single" w:sz="4" w:space="0" w:color="365F91"/>
            </w:tcBorders>
            <w:shd w:val="clear" w:color="auto" w:fill="auto"/>
            <w:tcMar>
              <w:left w:w="57" w:type="dxa"/>
            </w:tcMar>
          </w:tcPr>
          <w:p w14:paraId="16630ACA" w14:textId="77777777" w:rsidR="00A05AC8" w:rsidRPr="00256982" w:rsidRDefault="00A05AC8" w:rsidP="00E742A5">
            <w:pPr>
              <w:pStyle w:val="TableText"/>
              <w:spacing w:before="50" w:after="50"/>
            </w:pPr>
            <w:r w:rsidRPr="00256982">
              <w:t>IPPU – General</w:t>
            </w:r>
          </w:p>
        </w:tc>
        <w:tc>
          <w:tcPr>
            <w:tcW w:w="990" w:type="dxa"/>
            <w:tcBorders>
              <w:top w:val="single" w:sz="4" w:space="0" w:color="365F91"/>
              <w:bottom w:val="single" w:sz="4" w:space="0" w:color="365F91"/>
            </w:tcBorders>
          </w:tcPr>
          <w:p w14:paraId="70A1A293" w14:textId="77777777" w:rsidR="00A05AC8" w:rsidRPr="00256982" w:rsidRDefault="00A05AC8" w:rsidP="00E742A5">
            <w:pPr>
              <w:pStyle w:val="TableText"/>
              <w:spacing w:before="50" w:after="50"/>
            </w:pPr>
            <w:r w:rsidRPr="00256982">
              <w:t>I.1, 2017</w:t>
            </w:r>
          </w:p>
        </w:tc>
        <w:tc>
          <w:tcPr>
            <w:tcW w:w="3525" w:type="dxa"/>
            <w:tcBorders>
              <w:top w:val="single" w:sz="4" w:space="0" w:color="365F91"/>
              <w:bottom w:val="single" w:sz="4" w:space="0" w:color="365F91"/>
            </w:tcBorders>
            <w:shd w:val="clear" w:color="auto" w:fill="auto"/>
          </w:tcPr>
          <w:p w14:paraId="03E6CE47" w14:textId="77777777" w:rsidR="00A05AC8" w:rsidRPr="00256982" w:rsidRDefault="00A05AC8" w:rsidP="00E742A5">
            <w:pPr>
              <w:pStyle w:val="TableText"/>
              <w:spacing w:before="50" w:after="50"/>
            </w:pPr>
            <w:r w:rsidRPr="00256982">
              <w:t>Include in the NIR detailed information and methodological descriptions on how plant-specific data are estimated.</w:t>
            </w:r>
          </w:p>
        </w:tc>
        <w:tc>
          <w:tcPr>
            <w:tcW w:w="2327" w:type="dxa"/>
            <w:tcBorders>
              <w:top w:val="single" w:sz="4" w:space="0" w:color="365F91"/>
              <w:bottom w:val="single" w:sz="4" w:space="0" w:color="365F91"/>
            </w:tcBorders>
            <w:shd w:val="clear" w:color="auto" w:fill="auto"/>
          </w:tcPr>
          <w:p w14:paraId="48842A6C" w14:textId="77777777" w:rsidR="00A05AC8" w:rsidRPr="00256982" w:rsidRDefault="00A05AC8" w:rsidP="00E742A5">
            <w:pPr>
              <w:pStyle w:val="TableText"/>
              <w:spacing w:before="50" w:after="50"/>
            </w:pPr>
            <w:r w:rsidRPr="00256982">
              <w:rPr>
                <w:b/>
              </w:rPr>
              <w:t>Resolved.</w:t>
            </w:r>
            <w:r w:rsidRPr="00256982">
              <w:t xml:space="preserve"> Plant-specific descriptions and references to NZ ETS regulations have been included in the 2018 NIR.</w:t>
            </w:r>
          </w:p>
        </w:tc>
      </w:tr>
      <w:tr w:rsidR="00A05AC8" w:rsidRPr="00256982" w14:paraId="6147FE1D" w14:textId="77777777" w:rsidTr="00B7783F">
        <w:tc>
          <w:tcPr>
            <w:tcW w:w="1720" w:type="dxa"/>
            <w:gridSpan w:val="2"/>
            <w:tcBorders>
              <w:top w:val="single" w:sz="4" w:space="0" w:color="365F91"/>
              <w:bottom w:val="single" w:sz="4" w:space="0" w:color="365F91"/>
            </w:tcBorders>
            <w:shd w:val="clear" w:color="auto" w:fill="auto"/>
            <w:tcMar>
              <w:left w:w="57" w:type="dxa"/>
            </w:tcMar>
          </w:tcPr>
          <w:p w14:paraId="1C0F5135" w14:textId="77777777" w:rsidR="00A05AC8" w:rsidRPr="00256982" w:rsidRDefault="00A05AC8" w:rsidP="00E742A5">
            <w:pPr>
              <w:pStyle w:val="TableText"/>
              <w:spacing w:before="50" w:after="50"/>
            </w:pPr>
            <w:r w:rsidRPr="00256982">
              <w:t>IPPU – General</w:t>
            </w:r>
          </w:p>
        </w:tc>
        <w:tc>
          <w:tcPr>
            <w:tcW w:w="990" w:type="dxa"/>
            <w:tcBorders>
              <w:top w:val="single" w:sz="4" w:space="0" w:color="365F91"/>
              <w:bottom w:val="single" w:sz="4" w:space="0" w:color="365F91"/>
            </w:tcBorders>
          </w:tcPr>
          <w:p w14:paraId="12AB1E3F" w14:textId="77777777" w:rsidR="00A05AC8" w:rsidRPr="00256982" w:rsidRDefault="00A05AC8" w:rsidP="00E742A5">
            <w:pPr>
              <w:pStyle w:val="TableText"/>
              <w:spacing w:before="50" w:after="50"/>
            </w:pPr>
            <w:r w:rsidRPr="00256982">
              <w:t>I.2, 2017</w:t>
            </w:r>
          </w:p>
        </w:tc>
        <w:tc>
          <w:tcPr>
            <w:tcW w:w="3525" w:type="dxa"/>
            <w:tcBorders>
              <w:top w:val="single" w:sz="4" w:space="0" w:color="365F91"/>
              <w:bottom w:val="single" w:sz="4" w:space="0" w:color="365F91"/>
            </w:tcBorders>
            <w:shd w:val="clear" w:color="auto" w:fill="auto"/>
          </w:tcPr>
          <w:p w14:paraId="49B40F02" w14:textId="77777777" w:rsidR="00A05AC8" w:rsidRPr="00256982" w:rsidRDefault="00A05AC8" w:rsidP="00E742A5">
            <w:pPr>
              <w:pStyle w:val="TableText"/>
              <w:spacing w:before="50" w:after="50"/>
            </w:pPr>
            <w:r w:rsidRPr="00256982">
              <w:t>Incorporate in the NIR the information available in the NZ ETS regulation, including regarding coverage and methodologies used for reporting, as well as the additional information not included in the NZ ETS regulation provided to the ERT during the review, for example, the frequency of measurement.</w:t>
            </w:r>
          </w:p>
        </w:tc>
        <w:tc>
          <w:tcPr>
            <w:tcW w:w="2327" w:type="dxa"/>
            <w:tcBorders>
              <w:top w:val="single" w:sz="4" w:space="0" w:color="365F91"/>
              <w:bottom w:val="single" w:sz="4" w:space="0" w:color="365F91"/>
            </w:tcBorders>
            <w:shd w:val="clear" w:color="auto" w:fill="auto"/>
          </w:tcPr>
          <w:p w14:paraId="1BB09B71" w14:textId="77777777" w:rsidR="00A05AC8" w:rsidRPr="00256982" w:rsidRDefault="00A05AC8" w:rsidP="00E742A5">
            <w:pPr>
              <w:pStyle w:val="TableText"/>
              <w:spacing w:before="50" w:after="50"/>
            </w:pPr>
            <w:r w:rsidRPr="00256982">
              <w:rPr>
                <w:b/>
              </w:rPr>
              <w:t>Resolved.</w:t>
            </w:r>
            <w:r w:rsidRPr="00256982">
              <w:t xml:space="preserve"> A description of the NZ ETS data calculation and reporting is included in the 2018 NIR along with a reference to the relevant NZ ETS regulations. </w:t>
            </w:r>
          </w:p>
        </w:tc>
      </w:tr>
      <w:tr w:rsidR="00A05AC8" w:rsidRPr="00256982" w14:paraId="36339B45" w14:textId="77777777" w:rsidTr="00B7783F">
        <w:tc>
          <w:tcPr>
            <w:tcW w:w="1720" w:type="dxa"/>
            <w:gridSpan w:val="2"/>
            <w:tcBorders>
              <w:top w:val="single" w:sz="4" w:space="0" w:color="365F91"/>
              <w:bottom w:val="single" w:sz="4" w:space="0" w:color="365F91"/>
            </w:tcBorders>
            <w:shd w:val="clear" w:color="auto" w:fill="auto"/>
            <w:tcMar>
              <w:left w:w="57" w:type="dxa"/>
            </w:tcMar>
          </w:tcPr>
          <w:p w14:paraId="21EC83FD" w14:textId="77777777" w:rsidR="00A05AC8" w:rsidRPr="00256982" w:rsidRDefault="00A05AC8" w:rsidP="00E742A5">
            <w:pPr>
              <w:pStyle w:val="TableText"/>
              <w:keepNext/>
              <w:spacing w:before="50" w:after="50"/>
            </w:pPr>
            <w:r w:rsidRPr="00256982">
              <w:t>IPPU – Cement production</w:t>
            </w:r>
          </w:p>
        </w:tc>
        <w:tc>
          <w:tcPr>
            <w:tcW w:w="990" w:type="dxa"/>
            <w:tcBorders>
              <w:top w:val="single" w:sz="4" w:space="0" w:color="365F91"/>
              <w:bottom w:val="single" w:sz="4" w:space="0" w:color="365F91"/>
            </w:tcBorders>
          </w:tcPr>
          <w:p w14:paraId="09905881" w14:textId="77777777" w:rsidR="00A05AC8" w:rsidRPr="00256982" w:rsidRDefault="00A05AC8" w:rsidP="00E742A5">
            <w:pPr>
              <w:pStyle w:val="TableText"/>
              <w:spacing w:before="50" w:after="50"/>
            </w:pPr>
            <w:r w:rsidRPr="00256982">
              <w:t>I.3, 2017</w:t>
            </w:r>
          </w:p>
        </w:tc>
        <w:tc>
          <w:tcPr>
            <w:tcW w:w="3525" w:type="dxa"/>
            <w:tcBorders>
              <w:top w:val="single" w:sz="4" w:space="0" w:color="365F91"/>
              <w:bottom w:val="single" w:sz="4" w:space="0" w:color="365F91"/>
            </w:tcBorders>
            <w:shd w:val="clear" w:color="auto" w:fill="auto"/>
          </w:tcPr>
          <w:p w14:paraId="01A00D4E" w14:textId="77777777" w:rsidR="00A05AC8" w:rsidRPr="00256982" w:rsidRDefault="00A05AC8" w:rsidP="00E742A5">
            <w:pPr>
              <w:pStyle w:val="TableText"/>
              <w:spacing w:before="50" w:after="50"/>
            </w:pPr>
            <w:r w:rsidRPr="00256982">
              <w:t>Continue with efforts to improve the transparency of the reporting regarding information on cement production by providing more detailed information in the NIR, while maintaining the confidentiality of the sensitive data.</w:t>
            </w:r>
          </w:p>
        </w:tc>
        <w:tc>
          <w:tcPr>
            <w:tcW w:w="2327" w:type="dxa"/>
            <w:tcBorders>
              <w:top w:val="single" w:sz="4" w:space="0" w:color="365F91"/>
              <w:bottom w:val="single" w:sz="4" w:space="0" w:color="365F91"/>
            </w:tcBorders>
            <w:shd w:val="clear" w:color="auto" w:fill="auto"/>
          </w:tcPr>
          <w:p w14:paraId="742B24E7" w14:textId="77777777" w:rsidR="00A05AC8" w:rsidRPr="00256982" w:rsidRDefault="00A05AC8" w:rsidP="00E742A5">
            <w:pPr>
              <w:pStyle w:val="TableText"/>
              <w:spacing w:before="50" w:after="50"/>
            </w:pPr>
            <w:r w:rsidRPr="00256982">
              <w:rPr>
                <w:b/>
              </w:rPr>
              <w:t>Addressing.</w:t>
            </w:r>
            <w:r w:rsidRPr="00256982">
              <w:t xml:space="preserve"> The activity data are confidential and will not be included in submissions but can be provided to the ERT on request. </w:t>
            </w:r>
          </w:p>
        </w:tc>
      </w:tr>
      <w:tr w:rsidR="00A05AC8" w:rsidRPr="00256982" w14:paraId="09914C00" w14:textId="77777777" w:rsidTr="00B7783F">
        <w:tc>
          <w:tcPr>
            <w:tcW w:w="1720" w:type="dxa"/>
            <w:gridSpan w:val="2"/>
            <w:tcBorders>
              <w:top w:val="single" w:sz="4" w:space="0" w:color="365F91"/>
              <w:bottom w:val="single" w:sz="4" w:space="0" w:color="365F91"/>
            </w:tcBorders>
            <w:shd w:val="clear" w:color="auto" w:fill="auto"/>
            <w:tcMar>
              <w:left w:w="57" w:type="dxa"/>
            </w:tcMar>
          </w:tcPr>
          <w:p w14:paraId="74D873EA" w14:textId="77777777" w:rsidR="00A05AC8" w:rsidRPr="00256982" w:rsidRDefault="00A05AC8" w:rsidP="00E742A5">
            <w:pPr>
              <w:pStyle w:val="TableText"/>
              <w:spacing w:before="50" w:after="50"/>
            </w:pPr>
            <w:r w:rsidRPr="00256982">
              <w:t>IPPU – Glass production – CO</w:t>
            </w:r>
            <w:r w:rsidRPr="00256982">
              <w:rPr>
                <w:vertAlign w:val="subscript"/>
              </w:rPr>
              <w:t>2</w:t>
            </w:r>
          </w:p>
        </w:tc>
        <w:tc>
          <w:tcPr>
            <w:tcW w:w="990" w:type="dxa"/>
            <w:tcBorders>
              <w:top w:val="single" w:sz="4" w:space="0" w:color="365F91"/>
              <w:bottom w:val="single" w:sz="4" w:space="0" w:color="365F91"/>
            </w:tcBorders>
          </w:tcPr>
          <w:p w14:paraId="2EE3CDA6" w14:textId="77777777" w:rsidR="00A05AC8" w:rsidRPr="00256982" w:rsidRDefault="00A05AC8" w:rsidP="00E742A5">
            <w:pPr>
              <w:pStyle w:val="TableText"/>
              <w:spacing w:before="50" w:after="50"/>
            </w:pPr>
            <w:r w:rsidRPr="00256982">
              <w:t>I.5, 2017</w:t>
            </w:r>
          </w:p>
        </w:tc>
        <w:tc>
          <w:tcPr>
            <w:tcW w:w="3525" w:type="dxa"/>
            <w:tcBorders>
              <w:top w:val="single" w:sz="4" w:space="0" w:color="365F91"/>
              <w:bottom w:val="single" w:sz="4" w:space="0" w:color="365F91"/>
            </w:tcBorders>
            <w:shd w:val="clear" w:color="auto" w:fill="auto"/>
          </w:tcPr>
          <w:p w14:paraId="745513AC" w14:textId="77777777" w:rsidR="00A05AC8" w:rsidRPr="00256982" w:rsidRDefault="00A05AC8" w:rsidP="00E742A5">
            <w:pPr>
              <w:pStyle w:val="TableText"/>
              <w:spacing w:before="50" w:after="50"/>
            </w:pPr>
            <w:r w:rsidRPr="00256982">
              <w:t>Continue with efforts to improve the transparency of the reporting regarding information on glass production by providing more detailed information in the NIR, while maintaining the confidentiality of the sensitive data.</w:t>
            </w:r>
          </w:p>
        </w:tc>
        <w:tc>
          <w:tcPr>
            <w:tcW w:w="2327" w:type="dxa"/>
            <w:tcBorders>
              <w:top w:val="single" w:sz="4" w:space="0" w:color="365F91"/>
              <w:bottom w:val="single" w:sz="4" w:space="0" w:color="365F91"/>
            </w:tcBorders>
            <w:shd w:val="clear" w:color="auto" w:fill="auto"/>
          </w:tcPr>
          <w:p w14:paraId="7EE09A6D" w14:textId="77777777" w:rsidR="00A05AC8" w:rsidRPr="00256982" w:rsidRDefault="00A05AC8" w:rsidP="00E742A5">
            <w:pPr>
              <w:pStyle w:val="TableText"/>
              <w:spacing w:before="50" w:after="50"/>
            </w:pPr>
            <w:r w:rsidRPr="00256982">
              <w:rPr>
                <w:b/>
              </w:rPr>
              <w:t xml:space="preserve">Resolved. </w:t>
            </w:r>
            <w:r w:rsidRPr="00256982">
              <w:t>The use of confidential data was transparently described in the 2017 and 2018 NIR.</w:t>
            </w:r>
          </w:p>
        </w:tc>
      </w:tr>
      <w:tr w:rsidR="00A05AC8" w:rsidRPr="00256982" w14:paraId="20EB73EC" w14:textId="77777777" w:rsidTr="00B7783F">
        <w:tc>
          <w:tcPr>
            <w:tcW w:w="1720" w:type="dxa"/>
            <w:gridSpan w:val="2"/>
            <w:tcBorders>
              <w:top w:val="single" w:sz="4" w:space="0" w:color="365F91"/>
              <w:bottom w:val="single" w:sz="4" w:space="0" w:color="365F91"/>
            </w:tcBorders>
            <w:shd w:val="clear" w:color="auto" w:fill="auto"/>
            <w:tcMar>
              <w:left w:w="57" w:type="dxa"/>
            </w:tcMar>
          </w:tcPr>
          <w:p w14:paraId="261D4DFB" w14:textId="77777777" w:rsidR="00A05AC8" w:rsidRPr="00256982" w:rsidRDefault="00A05AC8" w:rsidP="00E742A5">
            <w:pPr>
              <w:pStyle w:val="TableText"/>
              <w:keepNext/>
              <w:spacing w:before="50" w:after="50"/>
            </w:pPr>
            <w:r w:rsidRPr="00256982">
              <w:t>IPPU – 2.B.5 Carbide production – CO</w:t>
            </w:r>
            <w:r w:rsidRPr="00256982">
              <w:rPr>
                <w:vertAlign w:val="subscript"/>
              </w:rPr>
              <w:t>2</w:t>
            </w:r>
          </w:p>
        </w:tc>
        <w:tc>
          <w:tcPr>
            <w:tcW w:w="990" w:type="dxa"/>
            <w:tcBorders>
              <w:top w:val="single" w:sz="4" w:space="0" w:color="365F91"/>
              <w:bottom w:val="single" w:sz="4" w:space="0" w:color="365F91"/>
            </w:tcBorders>
          </w:tcPr>
          <w:p w14:paraId="4D454F94" w14:textId="77777777" w:rsidR="00A05AC8" w:rsidRPr="00256982" w:rsidRDefault="00A05AC8" w:rsidP="00E742A5">
            <w:pPr>
              <w:pStyle w:val="TableText"/>
              <w:spacing w:before="50" w:after="50"/>
            </w:pPr>
            <w:r w:rsidRPr="00256982">
              <w:t>I.11, 2017</w:t>
            </w:r>
          </w:p>
        </w:tc>
        <w:tc>
          <w:tcPr>
            <w:tcW w:w="3525" w:type="dxa"/>
            <w:tcBorders>
              <w:top w:val="single" w:sz="4" w:space="0" w:color="365F91"/>
              <w:bottom w:val="single" w:sz="4" w:space="0" w:color="365F91"/>
            </w:tcBorders>
            <w:shd w:val="clear" w:color="auto" w:fill="auto"/>
          </w:tcPr>
          <w:p w14:paraId="770ABFD9" w14:textId="77777777" w:rsidR="00A05AC8" w:rsidRPr="00256982" w:rsidRDefault="00A05AC8" w:rsidP="00E742A5">
            <w:pPr>
              <w:pStyle w:val="TableText"/>
              <w:spacing w:before="50" w:after="50"/>
            </w:pPr>
            <w:r w:rsidRPr="00256982">
              <w:t>Include the category carbide production in the NIR under chemical industry, including information on the methodology used, choice of EF and source of activity data for this category and review QA/QC checks related to this category.</w:t>
            </w:r>
          </w:p>
        </w:tc>
        <w:tc>
          <w:tcPr>
            <w:tcW w:w="2327" w:type="dxa"/>
            <w:tcBorders>
              <w:top w:val="single" w:sz="4" w:space="0" w:color="365F91"/>
              <w:bottom w:val="single" w:sz="4" w:space="0" w:color="365F91"/>
            </w:tcBorders>
            <w:shd w:val="clear" w:color="auto" w:fill="auto"/>
          </w:tcPr>
          <w:p w14:paraId="726ED4ED" w14:textId="77777777" w:rsidR="00A05AC8" w:rsidRPr="00256982" w:rsidRDefault="00A05AC8" w:rsidP="00E742A5">
            <w:pPr>
              <w:pStyle w:val="TableText"/>
              <w:spacing w:before="50" w:after="50"/>
            </w:pPr>
            <w:r w:rsidRPr="00256982">
              <w:rPr>
                <w:b/>
              </w:rPr>
              <w:t xml:space="preserve">Resolved. </w:t>
            </w:r>
            <w:r w:rsidRPr="00256982">
              <w:t>This information is now included in the 2018 NIR, and QA procedures are expected to identify any similar omissions in future submissions.</w:t>
            </w:r>
          </w:p>
        </w:tc>
      </w:tr>
      <w:tr w:rsidR="00A05AC8" w:rsidRPr="00256982" w14:paraId="1AD1711C" w14:textId="77777777" w:rsidTr="00B7783F">
        <w:tc>
          <w:tcPr>
            <w:tcW w:w="1720" w:type="dxa"/>
            <w:gridSpan w:val="2"/>
            <w:tcBorders>
              <w:top w:val="single" w:sz="4" w:space="0" w:color="365F91"/>
              <w:bottom w:val="single" w:sz="4" w:space="0" w:color="365F91"/>
            </w:tcBorders>
            <w:shd w:val="clear" w:color="auto" w:fill="auto"/>
            <w:tcMar>
              <w:left w:w="57" w:type="dxa"/>
            </w:tcMar>
          </w:tcPr>
          <w:p w14:paraId="03CAE6E6" w14:textId="77777777" w:rsidR="00A05AC8" w:rsidRPr="00256982" w:rsidRDefault="00A05AC8" w:rsidP="00E742A5">
            <w:pPr>
              <w:pStyle w:val="TableText"/>
              <w:spacing w:before="50" w:after="50"/>
            </w:pPr>
            <w:r w:rsidRPr="00256982">
              <w:t>IPPU – 2.D Non-energy products from fuels and solvents use – CO</w:t>
            </w:r>
            <w:r w:rsidRPr="00256982">
              <w:rPr>
                <w:vertAlign w:val="subscript"/>
              </w:rPr>
              <w:t>2</w:t>
            </w:r>
          </w:p>
        </w:tc>
        <w:tc>
          <w:tcPr>
            <w:tcW w:w="990" w:type="dxa"/>
            <w:tcBorders>
              <w:top w:val="single" w:sz="4" w:space="0" w:color="365F91"/>
              <w:bottom w:val="single" w:sz="4" w:space="0" w:color="365F91"/>
            </w:tcBorders>
          </w:tcPr>
          <w:p w14:paraId="1A08C7F2" w14:textId="77777777" w:rsidR="00A05AC8" w:rsidRPr="00256982" w:rsidRDefault="00A05AC8" w:rsidP="00E742A5">
            <w:pPr>
              <w:pStyle w:val="TableText"/>
              <w:spacing w:before="50" w:after="50"/>
            </w:pPr>
            <w:r w:rsidRPr="00256982">
              <w:t>I.15, 2017</w:t>
            </w:r>
          </w:p>
        </w:tc>
        <w:tc>
          <w:tcPr>
            <w:tcW w:w="3525" w:type="dxa"/>
            <w:tcBorders>
              <w:top w:val="single" w:sz="4" w:space="0" w:color="365F91"/>
              <w:bottom w:val="single" w:sz="4" w:space="0" w:color="365F91"/>
            </w:tcBorders>
            <w:shd w:val="clear" w:color="auto" w:fill="auto"/>
          </w:tcPr>
          <w:p w14:paraId="5DEB3FD7" w14:textId="77777777" w:rsidR="00A05AC8" w:rsidRPr="00256982" w:rsidRDefault="00A05AC8" w:rsidP="00E742A5">
            <w:pPr>
              <w:pStyle w:val="TableText"/>
              <w:spacing w:before="50" w:after="50"/>
            </w:pPr>
            <w:r w:rsidRPr="00256982">
              <w:t>Describe the activity data for paraffin wax use and lubricant use in CRF table 2(I).A-Hs2 consistently with the description in the NIR, and reassess the QA/QC checks for these sources in order to ensure consistency of the information between the NIR and CRF table 2(I).A-Hs2.</w:t>
            </w:r>
          </w:p>
        </w:tc>
        <w:tc>
          <w:tcPr>
            <w:tcW w:w="2327" w:type="dxa"/>
            <w:tcBorders>
              <w:top w:val="single" w:sz="4" w:space="0" w:color="365F91"/>
              <w:bottom w:val="single" w:sz="4" w:space="0" w:color="365F91"/>
            </w:tcBorders>
            <w:shd w:val="clear" w:color="auto" w:fill="auto"/>
          </w:tcPr>
          <w:p w14:paraId="24FD0C66" w14:textId="77777777" w:rsidR="00A05AC8" w:rsidRPr="00256982" w:rsidRDefault="00A05AC8" w:rsidP="00E742A5">
            <w:pPr>
              <w:pStyle w:val="TableText"/>
              <w:spacing w:before="50" w:after="50"/>
            </w:pPr>
            <w:r w:rsidRPr="00256982">
              <w:rPr>
                <w:b/>
              </w:rPr>
              <w:t xml:space="preserve">Resolved. </w:t>
            </w:r>
            <w:r w:rsidRPr="00256982">
              <w:t>This information is now correctly described in the CRF tables for the 2018 NIR submission.</w:t>
            </w:r>
          </w:p>
        </w:tc>
      </w:tr>
      <w:tr w:rsidR="00A05AC8" w:rsidRPr="00256982" w14:paraId="57B788CD" w14:textId="77777777" w:rsidTr="00B7783F">
        <w:trPr>
          <w:gridBefore w:val="1"/>
          <w:wBefore w:w="25" w:type="dxa"/>
        </w:trPr>
        <w:tc>
          <w:tcPr>
            <w:tcW w:w="1695" w:type="dxa"/>
            <w:tcBorders>
              <w:top w:val="single" w:sz="4" w:space="0" w:color="365F91"/>
              <w:bottom w:val="single" w:sz="4" w:space="0" w:color="365F91"/>
            </w:tcBorders>
            <w:shd w:val="clear" w:color="auto" w:fill="auto"/>
            <w:tcMar>
              <w:left w:w="57" w:type="dxa"/>
            </w:tcMar>
          </w:tcPr>
          <w:p w14:paraId="6FED00A8" w14:textId="77777777" w:rsidR="00A05AC8" w:rsidRPr="00256982" w:rsidRDefault="00A05AC8" w:rsidP="00E742A5">
            <w:pPr>
              <w:pStyle w:val="TableText"/>
              <w:spacing w:before="50" w:after="50"/>
            </w:pPr>
            <w:r w:rsidRPr="00256982">
              <w:t>IPPU – Electronics industry (2.D)</w:t>
            </w:r>
          </w:p>
          <w:p w14:paraId="723F23CA" w14:textId="77777777" w:rsidR="00A05AC8" w:rsidRPr="00256982" w:rsidRDefault="00A05AC8" w:rsidP="00E742A5">
            <w:pPr>
              <w:pStyle w:val="TableText"/>
              <w:spacing w:before="50" w:after="50"/>
            </w:pPr>
            <w:r w:rsidRPr="00256982">
              <w:t xml:space="preserve">Product uses as substitutes for ozone-depleting substances (2.F) </w:t>
            </w:r>
          </w:p>
          <w:p w14:paraId="7B4CF8D6" w14:textId="77777777" w:rsidR="00A05AC8" w:rsidRPr="00256982" w:rsidRDefault="00A05AC8" w:rsidP="00E742A5">
            <w:pPr>
              <w:pStyle w:val="TableText"/>
              <w:spacing w:before="50" w:after="50"/>
            </w:pPr>
            <w:r w:rsidRPr="00256982">
              <w:t>Other product manufacture and use (2.G) – hydrofluorocarbons (HFCs), perfluorocarbons (PFCs), sulfur hexafluoride (SF</w:t>
            </w:r>
            <w:r w:rsidRPr="00256982">
              <w:rPr>
                <w:vertAlign w:val="subscript"/>
              </w:rPr>
              <w:t>6</w:t>
            </w:r>
            <w:r w:rsidRPr="00256982">
              <w:t>) and nitrogen trifluoride (NF</w:t>
            </w:r>
            <w:r w:rsidRPr="00256982">
              <w:rPr>
                <w:vertAlign w:val="subscript"/>
              </w:rPr>
              <w:t>3</w:t>
            </w:r>
            <w:r w:rsidRPr="00256982">
              <w:t>)</w:t>
            </w:r>
          </w:p>
        </w:tc>
        <w:tc>
          <w:tcPr>
            <w:tcW w:w="990" w:type="dxa"/>
            <w:tcBorders>
              <w:top w:val="single" w:sz="4" w:space="0" w:color="365F91"/>
              <w:bottom w:val="single" w:sz="4" w:space="0" w:color="365F91"/>
            </w:tcBorders>
          </w:tcPr>
          <w:p w14:paraId="52F31EB4" w14:textId="77777777" w:rsidR="00A05AC8" w:rsidRPr="00256982" w:rsidRDefault="00A05AC8" w:rsidP="00E742A5">
            <w:pPr>
              <w:pStyle w:val="TableText"/>
              <w:spacing w:before="50" w:after="50"/>
            </w:pPr>
            <w:r w:rsidRPr="00256982">
              <w:t>I.16, 2017</w:t>
            </w:r>
          </w:p>
        </w:tc>
        <w:tc>
          <w:tcPr>
            <w:tcW w:w="3525" w:type="dxa"/>
            <w:tcBorders>
              <w:top w:val="single" w:sz="4" w:space="0" w:color="365F91"/>
              <w:bottom w:val="single" w:sz="4" w:space="0" w:color="365F91"/>
            </w:tcBorders>
            <w:shd w:val="clear" w:color="auto" w:fill="auto"/>
          </w:tcPr>
          <w:p w14:paraId="53EDCE0F" w14:textId="77777777" w:rsidR="00A05AC8" w:rsidRPr="00256982" w:rsidRDefault="00A05AC8" w:rsidP="00E742A5">
            <w:pPr>
              <w:pStyle w:val="TableText"/>
              <w:spacing w:before="50" w:after="50"/>
            </w:pPr>
            <w:r w:rsidRPr="00256982">
              <w:t xml:space="preserve">Include all the information indicated in the section ‘reporting and documentation’ of the IPCC guidelines for these categories (e.g., volume 3, chapter 7.5.4.2) for the information to be included for the category </w:t>
            </w:r>
            <w:r w:rsidRPr="00256982">
              <w:rPr>
                <w:i/>
              </w:rPr>
              <w:t>Product uses as substitutes for ozone-depleting substances</w:t>
            </w:r>
            <w:r w:rsidRPr="00256982">
              <w:t>.</w:t>
            </w:r>
          </w:p>
        </w:tc>
        <w:tc>
          <w:tcPr>
            <w:tcW w:w="2327" w:type="dxa"/>
            <w:tcBorders>
              <w:top w:val="single" w:sz="4" w:space="0" w:color="365F91"/>
              <w:bottom w:val="single" w:sz="4" w:space="0" w:color="365F91"/>
            </w:tcBorders>
            <w:shd w:val="clear" w:color="auto" w:fill="auto"/>
          </w:tcPr>
          <w:p w14:paraId="6506FA27" w14:textId="77777777" w:rsidR="00A05AC8" w:rsidRPr="00256982" w:rsidRDefault="00A05AC8" w:rsidP="00E742A5">
            <w:pPr>
              <w:pStyle w:val="TableText"/>
              <w:spacing w:before="50" w:after="50"/>
            </w:pPr>
            <w:r w:rsidRPr="00256982">
              <w:rPr>
                <w:b/>
              </w:rPr>
              <w:t>Addressing.</w:t>
            </w:r>
            <w:r w:rsidRPr="00256982">
              <w:t xml:space="preserve"> This is not relevant for 2.E (</w:t>
            </w:r>
            <w:r w:rsidRPr="00256982">
              <w:rPr>
                <w:i/>
              </w:rPr>
              <w:t>Electronics industry</w:t>
            </w:r>
            <w:r w:rsidRPr="00256982">
              <w:t xml:space="preserve">). For 2.D and 2.G, all recommended information is reported in the NIR. For 2.F, the description of these information sources in the NIR has been improved and will be further reviewed and improved for future submissions. </w:t>
            </w:r>
          </w:p>
        </w:tc>
      </w:tr>
      <w:tr w:rsidR="00A05AC8" w:rsidRPr="00256982" w14:paraId="2C1F5CDF" w14:textId="77777777" w:rsidTr="00B7783F">
        <w:trPr>
          <w:gridBefore w:val="1"/>
          <w:wBefore w:w="25" w:type="dxa"/>
        </w:trPr>
        <w:tc>
          <w:tcPr>
            <w:tcW w:w="1695" w:type="dxa"/>
            <w:tcBorders>
              <w:top w:val="single" w:sz="4" w:space="0" w:color="365F91"/>
              <w:bottom w:val="single" w:sz="4" w:space="0" w:color="365F91"/>
            </w:tcBorders>
            <w:shd w:val="clear" w:color="auto" w:fill="auto"/>
            <w:tcMar>
              <w:left w:w="57" w:type="dxa"/>
            </w:tcMar>
          </w:tcPr>
          <w:p w14:paraId="37080A1F" w14:textId="77777777" w:rsidR="00A05AC8" w:rsidRPr="00256982" w:rsidRDefault="00A05AC8" w:rsidP="00E742A5">
            <w:pPr>
              <w:pStyle w:val="TableText"/>
              <w:spacing w:before="50" w:after="50"/>
            </w:pPr>
            <w:r w:rsidRPr="00256982">
              <w:t>IPPU – 2.E Electronics industry 2.F Product uses as substitutes for ozone depleting substances 2.G Other product manufacture and use – HFCs, PFCs, SF</w:t>
            </w:r>
            <w:r w:rsidRPr="00256982">
              <w:rPr>
                <w:vertAlign w:val="subscript"/>
              </w:rPr>
              <w:t>6</w:t>
            </w:r>
            <w:r w:rsidRPr="00256982">
              <w:t xml:space="preserve"> and NF</w:t>
            </w:r>
            <w:r w:rsidRPr="00256982">
              <w:rPr>
                <w:vertAlign w:val="subscript"/>
              </w:rPr>
              <w:t>3</w:t>
            </w:r>
          </w:p>
        </w:tc>
        <w:tc>
          <w:tcPr>
            <w:tcW w:w="990" w:type="dxa"/>
            <w:tcBorders>
              <w:top w:val="single" w:sz="4" w:space="0" w:color="365F91"/>
              <w:bottom w:val="single" w:sz="4" w:space="0" w:color="365F91"/>
            </w:tcBorders>
          </w:tcPr>
          <w:p w14:paraId="4A792572" w14:textId="77777777" w:rsidR="00A05AC8" w:rsidRPr="00256982" w:rsidRDefault="00A05AC8" w:rsidP="00E742A5">
            <w:pPr>
              <w:pStyle w:val="TableText"/>
              <w:spacing w:before="50" w:after="50"/>
            </w:pPr>
            <w:r w:rsidRPr="00256982">
              <w:t>I.17, 2016</w:t>
            </w:r>
          </w:p>
        </w:tc>
        <w:tc>
          <w:tcPr>
            <w:tcW w:w="3525" w:type="dxa"/>
            <w:tcBorders>
              <w:top w:val="single" w:sz="4" w:space="0" w:color="365F91"/>
              <w:bottom w:val="single" w:sz="4" w:space="0" w:color="365F91"/>
            </w:tcBorders>
            <w:shd w:val="clear" w:color="auto" w:fill="auto"/>
          </w:tcPr>
          <w:p w14:paraId="249E6C9E" w14:textId="77777777" w:rsidR="00A05AC8" w:rsidRPr="00256982" w:rsidRDefault="00A05AC8" w:rsidP="00E742A5">
            <w:pPr>
              <w:pStyle w:val="TableText"/>
              <w:spacing w:before="50" w:after="50"/>
            </w:pPr>
            <w:r w:rsidRPr="00256982">
              <w:t>Describe in its NIR the methodology it used to derive the 2 per cent decline in refrigerant charge in vehicle air-conditioning systems, and demonstrate that this methodology is in line with the splicing techniques in the 2006 IPCC Guidelines.</w:t>
            </w:r>
          </w:p>
        </w:tc>
        <w:tc>
          <w:tcPr>
            <w:tcW w:w="2327" w:type="dxa"/>
            <w:tcBorders>
              <w:top w:val="single" w:sz="4" w:space="0" w:color="365F91"/>
              <w:bottom w:val="single" w:sz="4" w:space="0" w:color="365F91"/>
            </w:tcBorders>
            <w:shd w:val="clear" w:color="auto" w:fill="auto"/>
          </w:tcPr>
          <w:p w14:paraId="6CB9B9F2" w14:textId="77777777" w:rsidR="00A05AC8" w:rsidRPr="00256982" w:rsidRDefault="00A05AC8" w:rsidP="00E742A5">
            <w:pPr>
              <w:pStyle w:val="TableText"/>
              <w:spacing w:before="50" w:after="50"/>
            </w:pPr>
            <w:r w:rsidRPr="00256982">
              <w:rPr>
                <w:b/>
              </w:rPr>
              <w:t xml:space="preserve">Resolved. </w:t>
            </w:r>
            <w:r w:rsidRPr="00256982">
              <w:t>This description is included in the 2017 NIR.</w:t>
            </w:r>
          </w:p>
        </w:tc>
      </w:tr>
      <w:tr w:rsidR="00A05AC8" w:rsidRPr="00256982" w14:paraId="327E44CA" w14:textId="77777777" w:rsidTr="00B7783F">
        <w:trPr>
          <w:gridBefore w:val="1"/>
          <w:wBefore w:w="25" w:type="dxa"/>
        </w:trPr>
        <w:tc>
          <w:tcPr>
            <w:tcW w:w="1695" w:type="dxa"/>
            <w:tcBorders>
              <w:top w:val="single" w:sz="4" w:space="0" w:color="365F91"/>
              <w:bottom w:val="single" w:sz="4" w:space="0" w:color="365F91"/>
            </w:tcBorders>
            <w:shd w:val="clear" w:color="auto" w:fill="auto"/>
            <w:tcMar>
              <w:left w:w="57" w:type="dxa"/>
            </w:tcMar>
          </w:tcPr>
          <w:p w14:paraId="4A3A967A" w14:textId="77777777" w:rsidR="00A05AC8" w:rsidRPr="00256982" w:rsidRDefault="00A05AC8" w:rsidP="00E742A5">
            <w:pPr>
              <w:pStyle w:val="TableText"/>
              <w:spacing w:before="40" w:after="40"/>
            </w:pPr>
            <w:r w:rsidRPr="00256982">
              <w:t>IPPU – Other product manufacture and use (2.G) – SF</w:t>
            </w:r>
            <w:r w:rsidRPr="00256982">
              <w:rPr>
                <w:vertAlign w:val="subscript"/>
              </w:rPr>
              <w:t>6</w:t>
            </w:r>
          </w:p>
        </w:tc>
        <w:tc>
          <w:tcPr>
            <w:tcW w:w="990" w:type="dxa"/>
            <w:tcBorders>
              <w:top w:val="single" w:sz="4" w:space="0" w:color="365F91"/>
              <w:bottom w:val="single" w:sz="4" w:space="0" w:color="365F91"/>
            </w:tcBorders>
          </w:tcPr>
          <w:p w14:paraId="44AB9A64" w14:textId="77777777" w:rsidR="00A05AC8" w:rsidRPr="00256982" w:rsidRDefault="00A05AC8" w:rsidP="00E742A5">
            <w:pPr>
              <w:pStyle w:val="TableText"/>
              <w:spacing w:before="40" w:after="40"/>
            </w:pPr>
            <w:r w:rsidRPr="00256982">
              <w:t>I.21, 2017</w:t>
            </w:r>
          </w:p>
        </w:tc>
        <w:tc>
          <w:tcPr>
            <w:tcW w:w="3525" w:type="dxa"/>
            <w:tcBorders>
              <w:top w:val="single" w:sz="4" w:space="0" w:color="365F91"/>
              <w:bottom w:val="single" w:sz="4" w:space="0" w:color="365F91"/>
            </w:tcBorders>
            <w:shd w:val="clear" w:color="auto" w:fill="auto"/>
          </w:tcPr>
          <w:p w14:paraId="064EC087" w14:textId="77777777" w:rsidR="00A05AC8" w:rsidRPr="00256982" w:rsidRDefault="00A05AC8" w:rsidP="00E742A5">
            <w:pPr>
              <w:pStyle w:val="TableText"/>
              <w:spacing w:before="40" w:after="40"/>
            </w:pPr>
            <w:r w:rsidRPr="00256982">
              <w:t>Include in the NIR the explanations provided to the ERT during the review on the analysis of SF</w:t>
            </w:r>
            <w:r w:rsidRPr="00256982">
              <w:rPr>
                <w:vertAlign w:val="subscript"/>
              </w:rPr>
              <w:t>6</w:t>
            </w:r>
            <w:r w:rsidRPr="00256982">
              <w:t xml:space="preserve"> emissions from SF</w:t>
            </w:r>
            <w:r w:rsidRPr="00256982">
              <w:rPr>
                <w:vertAlign w:val="subscript"/>
              </w:rPr>
              <w:t>6</w:t>
            </w:r>
            <w:r w:rsidRPr="00256982">
              <w:t xml:space="preserve"> use in shoes and double-glazed windows that were provided as direct responses and through the background report.</w:t>
            </w:r>
          </w:p>
        </w:tc>
        <w:tc>
          <w:tcPr>
            <w:tcW w:w="2327" w:type="dxa"/>
            <w:tcBorders>
              <w:top w:val="single" w:sz="4" w:space="0" w:color="365F91"/>
              <w:bottom w:val="single" w:sz="4" w:space="0" w:color="365F91"/>
            </w:tcBorders>
            <w:shd w:val="clear" w:color="auto" w:fill="auto"/>
          </w:tcPr>
          <w:p w14:paraId="163CB87D" w14:textId="77777777" w:rsidR="00A05AC8" w:rsidRPr="00256982" w:rsidRDefault="00A05AC8" w:rsidP="00E742A5">
            <w:pPr>
              <w:pStyle w:val="TableText"/>
              <w:spacing w:before="40" w:after="40"/>
              <w:rPr>
                <w:b/>
              </w:rPr>
            </w:pPr>
            <w:r w:rsidRPr="00256982">
              <w:rPr>
                <w:b/>
              </w:rPr>
              <w:t xml:space="preserve">Resolved. </w:t>
            </w:r>
            <w:r w:rsidRPr="00256982">
              <w:t>This information is included.</w:t>
            </w:r>
          </w:p>
        </w:tc>
      </w:tr>
      <w:tr w:rsidR="00A05AC8" w:rsidRPr="00256982" w14:paraId="3E6CF7C7" w14:textId="77777777" w:rsidTr="00B7783F">
        <w:trPr>
          <w:gridBefore w:val="1"/>
          <w:wBefore w:w="25" w:type="dxa"/>
        </w:trPr>
        <w:tc>
          <w:tcPr>
            <w:tcW w:w="1695" w:type="dxa"/>
            <w:tcBorders>
              <w:top w:val="single" w:sz="4" w:space="0" w:color="365F91"/>
              <w:bottom w:val="single" w:sz="4" w:space="0" w:color="365F91"/>
            </w:tcBorders>
            <w:shd w:val="clear" w:color="auto" w:fill="auto"/>
            <w:tcMar>
              <w:left w:w="57" w:type="dxa"/>
            </w:tcMar>
          </w:tcPr>
          <w:p w14:paraId="3121C7C2" w14:textId="77777777" w:rsidR="00A05AC8" w:rsidRPr="00256982" w:rsidRDefault="00A05AC8" w:rsidP="00E742A5">
            <w:pPr>
              <w:pStyle w:val="TableText"/>
              <w:spacing w:before="40" w:after="40"/>
            </w:pPr>
            <w:r w:rsidRPr="00256982">
              <w:t>Agriculture – 3.B.1 Cattle – CH</w:t>
            </w:r>
            <w:r w:rsidRPr="00256982">
              <w:rPr>
                <w:vertAlign w:val="subscript"/>
              </w:rPr>
              <w:t>4</w:t>
            </w:r>
          </w:p>
        </w:tc>
        <w:tc>
          <w:tcPr>
            <w:tcW w:w="990" w:type="dxa"/>
            <w:tcBorders>
              <w:top w:val="single" w:sz="4" w:space="0" w:color="365F91"/>
              <w:bottom w:val="single" w:sz="4" w:space="0" w:color="365F91"/>
            </w:tcBorders>
          </w:tcPr>
          <w:p w14:paraId="77F9372A" w14:textId="77777777" w:rsidR="00A05AC8" w:rsidRPr="00256982" w:rsidRDefault="00A05AC8" w:rsidP="00E742A5">
            <w:pPr>
              <w:pStyle w:val="TableText"/>
              <w:spacing w:before="40" w:after="40"/>
            </w:pPr>
            <w:r w:rsidRPr="00256982">
              <w:t>A.1, 2017</w:t>
            </w:r>
          </w:p>
        </w:tc>
        <w:tc>
          <w:tcPr>
            <w:tcW w:w="3525" w:type="dxa"/>
            <w:tcBorders>
              <w:top w:val="single" w:sz="4" w:space="0" w:color="365F91"/>
              <w:bottom w:val="single" w:sz="4" w:space="0" w:color="365F91"/>
            </w:tcBorders>
            <w:shd w:val="clear" w:color="auto" w:fill="auto"/>
          </w:tcPr>
          <w:p w14:paraId="2EC6305C" w14:textId="77777777" w:rsidR="00A05AC8" w:rsidRPr="00256982" w:rsidRDefault="00A05AC8" w:rsidP="00E742A5">
            <w:pPr>
              <w:pStyle w:val="TableText"/>
              <w:spacing w:before="40" w:after="40"/>
            </w:pPr>
            <w:r w:rsidRPr="00256982">
              <w:t>Include more detailed information in the NIR on possible reasons for the significant inter-annual changes in the CH</w:t>
            </w:r>
            <w:r w:rsidRPr="00256982">
              <w:rPr>
                <w:vertAlign w:val="subscript"/>
              </w:rPr>
              <w:t>4</w:t>
            </w:r>
            <w:r w:rsidRPr="00256982">
              <w:t xml:space="preserve"> implied emission factor (e.g., the variability of typical climate events in New Zealand, the distribution of agricultural industries across New Zealand, commodity prices and improvements in breeding and genetics).</w:t>
            </w:r>
          </w:p>
        </w:tc>
        <w:tc>
          <w:tcPr>
            <w:tcW w:w="2327" w:type="dxa"/>
            <w:tcBorders>
              <w:top w:val="single" w:sz="4" w:space="0" w:color="365F91"/>
              <w:bottom w:val="single" w:sz="4" w:space="0" w:color="365F91"/>
            </w:tcBorders>
            <w:shd w:val="clear" w:color="auto" w:fill="auto"/>
          </w:tcPr>
          <w:p w14:paraId="0439F4B2" w14:textId="77777777" w:rsidR="00A05AC8" w:rsidRPr="00256982" w:rsidRDefault="00A05AC8" w:rsidP="00E742A5">
            <w:pPr>
              <w:pStyle w:val="TableText"/>
              <w:spacing w:before="40" w:after="40"/>
              <w:rPr>
                <w:b/>
              </w:rPr>
            </w:pPr>
            <w:r w:rsidRPr="00256982">
              <w:rPr>
                <w:b/>
                <w:bCs/>
              </w:rPr>
              <w:t xml:space="preserve">Addressing. </w:t>
            </w:r>
            <w:r w:rsidRPr="00256982">
              <w:t>New Zealand has provided more comprehensive information on the causes of inter-annual changes in the CH</w:t>
            </w:r>
            <w:r w:rsidRPr="00256982">
              <w:rPr>
                <w:vertAlign w:val="subscript"/>
              </w:rPr>
              <w:t>4</w:t>
            </w:r>
            <w:r w:rsidRPr="00256982">
              <w:t xml:space="preserve"> implied emission factor in the 2019 NIR.</w:t>
            </w:r>
          </w:p>
        </w:tc>
      </w:tr>
      <w:tr w:rsidR="00A05AC8" w:rsidRPr="00256982" w14:paraId="01E21AC6" w14:textId="77777777" w:rsidTr="00B7783F">
        <w:trPr>
          <w:gridBefore w:val="1"/>
          <w:wBefore w:w="25" w:type="dxa"/>
        </w:trPr>
        <w:tc>
          <w:tcPr>
            <w:tcW w:w="1695" w:type="dxa"/>
            <w:tcBorders>
              <w:top w:val="single" w:sz="4" w:space="0" w:color="365F91"/>
              <w:bottom w:val="single" w:sz="4" w:space="0" w:color="365F91"/>
            </w:tcBorders>
            <w:shd w:val="clear" w:color="auto" w:fill="auto"/>
            <w:tcMar>
              <w:left w:w="57" w:type="dxa"/>
            </w:tcMar>
          </w:tcPr>
          <w:p w14:paraId="756A6016" w14:textId="77777777" w:rsidR="00A05AC8" w:rsidRPr="00256982" w:rsidRDefault="00A05AC8" w:rsidP="00E742A5">
            <w:pPr>
              <w:pStyle w:val="TableText"/>
              <w:spacing w:before="40" w:after="40"/>
            </w:pPr>
            <w:r w:rsidRPr="00256982">
              <w:t>Agriculture – 3.D.a.1 Inorganic N fertilisers – N</w:t>
            </w:r>
            <w:r w:rsidRPr="00256982">
              <w:rPr>
                <w:vertAlign w:val="subscript"/>
              </w:rPr>
              <w:t>2</w:t>
            </w:r>
            <w:r w:rsidRPr="00256982">
              <w:t>O</w:t>
            </w:r>
          </w:p>
        </w:tc>
        <w:tc>
          <w:tcPr>
            <w:tcW w:w="990" w:type="dxa"/>
            <w:tcBorders>
              <w:top w:val="single" w:sz="4" w:space="0" w:color="365F91"/>
              <w:bottom w:val="single" w:sz="4" w:space="0" w:color="365F91"/>
            </w:tcBorders>
          </w:tcPr>
          <w:p w14:paraId="0CF5212F" w14:textId="77777777" w:rsidR="00A05AC8" w:rsidRPr="00256982" w:rsidRDefault="00A05AC8" w:rsidP="00E742A5">
            <w:pPr>
              <w:pStyle w:val="TableText"/>
              <w:spacing w:before="40" w:after="40"/>
            </w:pPr>
            <w:r w:rsidRPr="00256982">
              <w:t>A.2, 2017</w:t>
            </w:r>
          </w:p>
        </w:tc>
        <w:tc>
          <w:tcPr>
            <w:tcW w:w="3525" w:type="dxa"/>
            <w:tcBorders>
              <w:top w:val="single" w:sz="4" w:space="0" w:color="365F91"/>
              <w:bottom w:val="single" w:sz="4" w:space="0" w:color="365F91"/>
            </w:tcBorders>
            <w:shd w:val="clear" w:color="auto" w:fill="auto"/>
          </w:tcPr>
          <w:p w14:paraId="3306BED9" w14:textId="77777777" w:rsidR="00A05AC8" w:rsidRPr="00256982" w:rsidRDefault="00A05AC8" w:rsidP="00E742A5">
            <w:pPr>
              <w:pStyle w:val="TableText"/>
              <w:spacing w:before="40" w:after="40"/>
            </w:pPr>
            <w:r w:rsidRPr="00256982">
              <w:t>Correct the observed inconsistency between the NIR and CRF tables regarding N</w:t>
            </w:r>
            <w:r w:rsidRPr="00256982">
              <w:rPr>
                <w:vertAlign w:val="subscript"/>
              </w:rPr>
              <w:t>2</w:t>
            </w:r>
            <w:r w:rsidRPr="00256982">
              <w:t>O emissions from synthetic nitrogen fertiliser use, and improve the QA/QC procedures related to this category.</w:t>
            </w:r>
          </w:p>
        </w:tc>
        <w:tc>
          <w:tcPr>
            <w:tcW w:w="2327" w:type="dxa"/>
            <w:tcBorders>
              <w:top w:val="single" w:sz="4" w:space="0" w:color="365F91"/>
              <w:bottom w:val="single" w:sz="4" w:space="0" w:color="365F91"/>
            </w:tcBorders>
            <w:shd w:val="clear" w:color="auto" w:fill="auto"/>
          </w:tcPr>
          <w:p w14:paraId="24D45C35" w14:textId="77777777" w:rsidR="00A05AC8" w:rsidRPr="00256982" w:rsidRDefault="00A05AC8" w:rsidP="00E742A5">
            <w:pPr>
              <w:pStyle w:val="TableText"/>
              <w:spacing w:before="40" w:after="40"/>
              <w:rPr>
                <w:b/>
              </w:rPr>
            </w:pPr>
            <w:r w:rsidRPr="00256982">
              <w:rPr>
                <w:b/>
                <w:bCs/>
              </w:rPr>
              <w:t xml:space="preserve">Resolved. </w:t>
            </w:r>
            <w:r w:rsidRPr="00256982">
              <w:t>Updated information on synthetic nitrogen fertiliser use is provided in the 2019 NIR.</w:t>
            </w:r>
          </w:p>
        </w:tc>
      </w:tr>
      <w:tr w:rsidR="00A05AC8" w:rsidRPr="00256982" w14:paraId="1E00C806" w14:textId="77777777" w:rsidTr="00B7783F">
        <w:trPr>
          <w:gridBefore w:val="1"/>
          <w:wBefore w:w="25" w:type="dxa"/>
        </w:trPr>
        <w:tc>
          <w:tcPr>
            <w:tcW w:w="1695" w:type="dxa"/>
            <w:tcBorders>
              <w:top w:val="single" w:sz="4" w:space="0" w:color="365F91"/>
              <w:bottom w:val="single" w:sz="4" w:space="0" w:color="365F91"/>
            </w:tcBorders>
            <w:shd w:val="clear" w:color="auto" w:fill="auto"/>
            <w:tcMar>
              <w:left w:w="57" w:type="dxa"/>
            </w:tcMar>
          </w:tcPr>
          <w:p w14:paraId="5A29D646" w14:textId="77777777" w:rsidR="00A05AC8" w:rsidRPr="00256982" w:rsidRDefault="00A05AC8" w:rsidP="00E742A5">
            <w:pPr>
              <w:pStyle w:val="TableText"/>
              <w:keepNext/>
              <w:spacing w:before="40" w:after="40"/>
            </w:pPr>
            <w:r w:rsidRPr="00256982">
              <w:t>Agriculture – 3.F Field burning of agricultural residues – CH</w:t>
            </w:r>
            <w:r w:rsidRPr="00256982">
              <w:rPr>
                <w:vertAlign w:val="subscript"/>
              </w:rPr>
              <w:t>4</w:t>
            </w:r>
            <w:r w:rsidRPr="00256982">
              <w:t>, and N</w:t>
            </w:r>
            <w:r w:rsidRPr="00256982">
              <w:rPr>
                <w:vertAlign w:val="subscript"/>
              </w:rPr>
              <w:t>2</w:t>
            </w:r>
            <w:r w:rsidRPr="00256982">
              <w:t>O</w:t>
            </w:r>
          </w:p>
        </w:tc>
        <w:tc>
          <w:tcPr>
            <w:tcW w:w="990" w:type="dxa"/>
            <w:tcBorders>
              <w:top w:val="single" w:sz="4" w:space="0" w:color="365F91"/>
              <w:bottom w:val="single" w:sz="4" w:space="0" w:color="365F91"/>
            </w:tcBorders>
          </w:tcPr>
          <w:p w14:paraId="120E2C0D" w14:textId="77777777" w:rsidR="00A05AC8" w:rsidRPr="00256982" w:rsidRDefault="00A05AC8" w:rsidP="00E742A5">
            <w:pPr>
              <w:pStyle w:val="TableText"/>
              <w:spacing w:before="40" w:after="40"/>
            </w:pPr>
            <w:r w:rsidRPr="00256982">
              <w:t>A.3, 2017</w:t>
            </w:r>
          </w:p>
        </w:tc>
        <w:tc>
          <w:tcPr>
            <w:tcW w:w="3525" w:type="dxa"/>
            <w:tcBorders>
              <w:top w:val="single" w:sz="4" w:space="0" w:color="365F91"/>
              <w:bottom w:val="single" w:sz="4" w:space="0" w:color="365F91"/>
            </w:tcBorders>
            <w:shd w:val="clear" w:color="auto" w:fill="auto"/>
          </w:tcPr>
          <w:p w14:paraId="44BCB96D" w14:textId="77777777" w:rsidR="00A05AC8" w:rsidRPr="00256982" w:rsidRDefault="00A05AC8" w:rsidP="00E742A5">
            <w:pPr>
              <w:pStyle w:val="TableText"/>
              <w:spacing w:before="40" w:after="40"/>
            </w:pPr>
            <w:r w:rsidRPr="00256982">
              <w:t>Correct the inconsistencies between the NIR and CRF table 3.F relating to the field burning of agricultural residues, specifically reporting information in the NIR for the years for which greenhouse gas emissions are reported in the CRF tables, and improve the QA/QC procedures related to this category.</w:t>
            </w:r>
          </w:p>
        </w:tc>
        <w:tc>
          <w:tcPr>
            <w:tcW w:w="2327" w:type="dxa"/>
            <w:tcBorders>
              <w:top w:val="single" w:sz="4" w:space="0" w:color="365F91"/>
              <w:bottom w:val="single" w:sz="4" w:space="0" w:color="365F91"/>
            </w:tcBorders>
            <w:shd w:val="clear" w:color="auto" w:fill="auto"/>
          </w:tcPr>
          <w:p w14:paraId="1722681C" w14:textId="77777777" w:rsidR="00A05AC8" w:rsidRPr="00256982" w:rsidRDefault="00A05AC8" w:rsidP="00E742A5">
            <w:pPr>
              <w:pStyle w:val="TableText"/>
              <w:spacing w:before="40" w:after="40"/>
              <w:rPr>
                <w:b/>
              </w:rPr>
            </w:pPr>
            <w:r w:rsidRPr="00256982">
              <w:rPr>
                <w:b/>
                <w:bCs/>
              </w:rPr>
              <w:t xml:space="preserve">Resolved. </w:t>
            </w:r>
            <w:r w:rsidRPr="00256982">
              <w:t>Updated information on the burning of agricultural residues is provided in the 2019 NIR.</w:t>
            </w:r>
          </w:p>
        </w:tc>
      </w:tr>
      <w:tr w:rsidR="00A05AC8" w:rsidRPr="00256982" w14:paraId="5CF29EC0" w14:textId="77777777" w:rsidTr="00B7783F">
        <w:trPr>
          <w:gridBefore w:val="1"/>
          <w:wBefore w:w="25" w:type="dxa"/>
        </w:trPr>
        <w:tc>
          <w:tcPr>
            <w:tcW w:w="1695" w:type="dxa"/>
            <w:tcBorders>
              <w:top w:val="single" w:sz="4" w:space="0" w:color="365F91"/>
              <w:bottom w:val="single" w:sz="4" w:space="0" w:color="365F91"/>
            </w:tcBorders>
            <w:shd w:val="clear" w:color="auto" w:fill="auto"/>
            <w:tcMar>
              <w:left w:w="57" w:type="dxa"/>
            </w:tcMar>
          </w:tcPr>
          <w:p w14:paraId="1F065D75" w14:textId="77777777" w:rsidR="00A05AC8" w:rsidRPr="00256982" w:rsidRDefault="00A05AC8" w:rsidP="00E742A5">
            <w:pPr>
              <w:pStyle w:val="TableText"/>
              <w:spacing w:before="40" w:after="40"/>
            </w:pPr>
            <w:r w:rsidRPr="00256982">
              <w:t>LULUCF – General – CO</w:t>
            </w:r>
            <w:r w:rsidRPr="00256982">
              <w:rPr>
                <w:vertAlign w:val="subscript"/>
              </w:rPr>
              <w:t>2</w:t>
            </w:r>
            <w:r w:rsidRPr="00256982">
              <w:t>, CH</w:t>
            </w:r>
            <w:r w:rsidRPr="00256982">
              <w:rPr>
                <w:vertAlign w:val="subscript"/>
              </w:rPr>
              <w:t>4</w:t>
            </w:r>
            <w:r w:rsidRPr="00256982">
              <w:t xml:space="preserve"> and N</w:t>
            </w:r>
            <w:r w:rsidRPr="00256982">
              <w:rPr>
                <w:vertAlign w:val="subscript"/>
              </w:rPr>
              <w:t>2</w:t>
            </w:r>
            <w:r w:rsidRPr="00256982">
              <w:t>O</w:t>
            </w:r>
          </w:p>
        </w:tc>
        <w:tc>
          <w:tcPr>
            <w:tcW w:w="990" w:type="dxa"/>
            <w:tcBorders>
              <w:top w:val="single" w:sz="4" w:space="0" w:color="365F91"/>
              <w:bottom w:val="single" w:sz="4" w:space="0" w:color="365F91"/>
            </w:tcBorders>
          </w:tcPr>
          <w:p w14:paraId="523C0BB9" w14:textId="77777777" w:rsidR="00A05AC8" w:rsidRPr="00256982" w:rsidRDefault="00A05AC8" w:rsidP="00E742A5">
            <w:pPr>
              <w:pStyle w:val="TableText"/>
              <w:spacing w:before="40" w:after="40"/>
            </w:pPr>
            <w:r w:rsidRPr="00256982">
              <w:t>L.1, 2017</w:t>
            </w:r>
          </w:p>
        </w:tc>
        <w:tc>
          <w:tcPr>
            <w:tcW w:w="3525" w:type="dxa"/>
            <w:tcBorders>
              <w:top w:val="single" w:sz="4" w:space="0" w:color="365F91"/>
              <w:bottom w:val="single" w:sz="4" w:space="0" w:color="365F91"/>
            </w:tcBorders>
            <w:shd w:val="clear" w:color="auto" w:fill="auto"/>
          </w:tcPr>
          <w:p w14:paraId="649A9737" w14:textId="77777777" w:rsidR="00A05AC8" w:rsidRPr="00256982" w:rsidRDefault="00A05AC8" w:rsidP="00E742A5">
            <w:pPr>
              <w:pStyle w:val="TableText"/>
              <w:spacing w:before="40" w:after="40"/>
            </w:pPr>
            <w:r w:rsidRPr="00256982">
              <w:t>Review and, where necessary, update the carbon fractions of biomass using the appropriate values in the 2006 IPCC Guidelines.</w:t>
            </w:r>
          </w:p>
        </w:tc>
        <w:tc>
          <w:tcPr>
            <w:tcW w:w="2327" w:type="dxa"/>
            <w:tcBorders>
              <w:top w:val="single" w:sz="4" w:space="0" w:color="365F91"/>
              <w:bottom w:val="single" w:sz="4" w:space="0" w:color="365F91"/>
            </w:tcBorders>
            <w:shd w:val="clear" w:color="auto" w:fill="auto"/>
          </w:tcPr>
          <w:p w14:paraId="19A7FF1C" w14:textId="77777777" w:rsidR="00A05AC8" w:rsidRPr="00256982" w:rsidRDefault="00A05AC8" w:rsidP="00E742A5">
            <w:pPr>
              <w:pStyle w:val="TableText"/>
              <w:spacing w:before="40" w:after="40"/>
              <w:rPr>
                <w:b/>
              </w:rPr>
            </w:pPr>
            <w:r w:rsidRPr="00256982">
              <w:rPr>
                <w:b/>
              </w:rPr>
              <w:t>Resolved.</w:t>
            </w:r>
            <w:r w:rsidRPr="00256982">
              <w:t xml:space="preserve"> New Zealand has updated the carbon fractions where appropriate.</w:t>
            </w:r>
          </w:p>
        </w:tc>
      </w:tr>
      <w:tr w:rsidR="00A05AC8" w:rsidRPr="00256982" w14:paraId="7AE97815" w14:textId="77777777" w:rsidTr="00B7783F">
        <w:trPr>
          <w:gridBefore w:val="1"/>
          <w:wBefore w:w="25" w:type="dxa"/>
        </w:trPr>
        <w:tc>
          <w:tcPr>
            <w:tcW w:w="1695" w:type="dxa"/>
            <w:tcBorders>
              <w:top w:val="single" w:sz="4" w:space="0" w:color="365F91"/>
              <w:bottom w:val="single" w:sz="4" w:space="0" w:color="365F91"/>
            </w:tcBorders>
            <w:shd w:val="clear" w:color="auto" w:fill="auto"/>
            <w:tcMar>
              <w:left w:w="57" w:type="dxa"/>
            </w:tcMar>
          </w:tcPr>
          <w:p w14:paraId="62C113D3" w14:textId="77777777" w:rsidR="00A05AC8" w:rsidRPr="00256982" w:rsidRDefault="00A05AC8" w:rsidP="00E742A5">
            <w:pPr>
              <w:pStyle w:val="TableText"/>
              <w:spacing w:before="50" w:after="50"/>
            </w:pPr>
            <w:r w:rsidRPr="00256982">
              <w:t>Waste – General – CH</w:t>
            </w:r>
            <w:r w:rsidRPr="00256982">
              <w:rPr>
                <w:vertAlign w:val="subscript"/>
              </w:rPr>
              <w:t>4</w:t>
            </w:r>
          </w:p>
        </w:tc>
        <w:tc>
          <w:tcPr>
            <w:tcW w:w="990" w:type="dxa"/>
            <w:tcBorders>
              <w:top w:val="single" w:sz="4" w:space="0" w:color="365F91"/>
              <w:bottom w:val="single" w:sz="4" w:space="0" w:color="365F91"/>
            </w:tcBorders>
          </w:tcPr>
          <w:p w14:paraId="24226AF5" w14:textId="77777777" w:rsidR="00A05AC8" w:rsidRPr="00256982" w:rsidRDefault="00A05AC8" w:rsidP="00E742A5">
            <w:pPr>
              <w:pStyle w:val="TableText"/>
              <w:spacing w:before="50" w:after="50"/>
            </w:pPr>
            <w:r w:rsidRPr="00256982">
              <w:t>W.1, 2017</w:t>
            </w:r>
          </w:p>
        </w:tc>
        <w:tc>
          <w:tcPr>
            <w:tcW w:w="3525" w:type="dxa"/>
            <w:tcBorders>
              <w:top w:val="single" w:sz="4" w:space="0" w:color="365F91"/>
              <w:bottom w:val="single" w:sz="4" w:space="0" w:color="365F91"/>
            </w:tcBorders>
            <w:shd w:val="clear" w:color="auto" w:fill="auto"/>
          </w:tcPr>
          <w:p w14:paraId="576E02A8" w14:textId="77777777" w:rsidR="00A05AC8" w:rsidRPr="00256982" w:rsidRDefault="00A05AC8" w:rsidP="00E742A5">
            <w:pPr>
              <w:pStyle w:val="TableText"/>
              <w:spacing w:before="50" w:after="50"/>
            </w:pPr>
            <w:r w:rsidRPr="00256982">
              <w:t>Provide in the NIR tables information on activity data (full time series) at the level at which the estimates are calculated. Or, where this is not possible owing to the large amount of data or for confidentiality reasons, provide summaries of activity data at an appropriate level, to increase transparency and to allow the ERT to review the accuracy of the estimates and time series.</w:t>
            </w:r>
          </w:p>
        </w:tc>
        <w:tc>
          <w:tcPr>
            <w:tcW w:w="2327" w:type="dxa"/>
            <w:tcBorders>
              <w:top w:val="single" w:sz="4" w:space="0" w:color="365F91"/>
              <w:bottom w:val="single" w:sz="4" w:space="0" w:color="365F91"/>
            </w:tcBorders>
            <w:shd w:val="clear" w:color="auto" w:fill="auto"/>
          </w:tcPr>
          <w:p w14:paraId="3268D613" w14:textId="77777777" w:rsidR="00A05AC8" w:rsidRPr="00256982" w:rsidRDefault="00A05AC8" w:rsidP="00E742A5">
            <w:pPr>
              <w:pStyle w:val="TableText"/>
              <w:spacing w:before="50" w:after="50"/>
              <w:rPr>
                <w:b/>
              </w:rPr>
            </w:pPr>
            <w:r w:rsidRPr="00256982">
              <w:rPr>
                <w:b/>
              </w:rPr>
              <w:t xml:space="preserve">Resolved. </w:t>
            </w:r>
            <w:r w:rsidRPr="00256982">
              <w:t>Aggregate activity data for all categories are provided in the NIR for the 2019 submission.</w:t>
            </w:r>
          </w:p>
        </w:tc>
      </w:tr>
      <w:tr w:rsidR="00A05AC8" w:rsidRPr="00256982" w14:paraId="2C8E79BC" w14:textId="77777777" w:rsidTr="00B7783F">
        <w:trPr>
          <w:gridBefore w:val="1"/>
          <w:wBefore w:w="25" w:type="dxa"/>
        </w:trPr>
        <w:tc>
          <w:tcPr>
            <w:tcW w:w="1695" w:type="dxa"/>
            <w:tcBorders>
              <w:top w:val="single" w:sz="4" w:space="0" w:color="365F91"/>
              <w:bottom w:val="single" w:sz="4" w:space="0" w:color="365F91"/>
            </w:tcBorders>
            <w:shd w:val="clear" w:color="auto" w:fill="auto"/>
            <w:tcMar>
              <w:left w:w="57" w:type="dxa"/>
            </w:tcMar>
          </w:tcPr>
          <w:p w14:paraId="69B0AE05" w14:textId="77777777" w:rsidR="00A05AC8" w:rsidRPr="00256982" w:rsidRDefault="00A05AC8" w:rsidP="00E742A5">
            <w:pPr>
              <w:pStyle w:val="TableText"/>
              <w:spacing w:before="50" w:after="50"/>
            </w:pPr>
            <w:r w:rsidRPr="00256982">
              <w:t>Waste – 5. General (waste) – CH</w:t>
            </w:r>
            <w:r w:rsidRPr="00256982">
              <w:rPr>
                <w:vertAlign w:val="subscript"/>
              </w:rPr>
              <w:t>4</w:t>
            </w:r>
            <w:r w:rsidRPr="00256982">
              <w:t>, N</w:t>
            </w:r>
            <w:r w:rsidRPr="00256982">
              <w:rPr>
                <w:vertAlign w:val="subscript"/>
              </w:rPr>
              <w:t>2</w:t>
            </w:r>
            <w:r w:rsidRPr="00256982">
              <w:t>O and CO</w:t>
            </w:r>
            <w:r w:rsidRPr="00256982">
              <w:rPr>
                <w:vertAlign w:val="subscript"/>
              </w:rPr>
              <w:t>2</w:t>
            </w:r>
          </w:p>
        </w:tc>
        <w:tc>
          <w:tcPr>
            <w:tcW w:w="990" w:type="dxa"/>
            <w:tcBorders>
              <w:top w:val="single" w:sz="4" w:space="0" w:color="365F91"/>
              <w:bottom w:val="single" w:sz="4" w:space="0" w:color="365F91"/>
            </w:tcBorders>
          </w:tcPr>
          <w:p w14:paraId="3A10E157" w14:textId="77777777" w:rsidR="00A05AC8" w:rsidRPr="00256982" w:rsidRDefault="00A05AC8" w:rsidP="00E742A5">
            <w:pPr>
              <w:pStyle w:val="TableText"/>
              <w:spacing w:before="50" w:after="50"/>
            </w:pPr>
            <w:r w:rsidRPr="00256982">
              <w:t>W.2, 2017</w:t>
            </w:r>
          </w:p>
        </w:tc>
        <w:tc>
          <w:tcPr>
            <w:tcW w:w="3525" w:type="dxa"/>
            <w:tcBorders>
              <w:top w:val="single" w:sz="4" w:space="0" w:color="365F91"/>
              <w:bottom w:val="single" w:sz="4" w:space="0" w:color="365F91"/>
            </w:tcBorders>
            <w:shd w:val="clear" w:color="auto" w:fill="auto"/>
          </w:tcPr>
          <w:p w14:paraId="34A1932F" w14:textId="77777777" w:rsidR="00A05AC8" w:rsidRPr="00256982" w:rsidRDefault="00A05AC8" w:rsidP="00E742A5">
            <w:pPr>
              <w:pStyle w:val="TableText"/>
              <w:spacing w:before="50" w:after="50"/>
            </w:pPr>
            <w:r w:rsidRPr="00256982">
              <w:t>Noting the general recommendation in ID#W.1 in table 3, provide, in the NIR, tables with information on waste generation and various treatment options (with the full time series).</w:t>
            </w:r>
          </w:p>
        </w:tc>
        <w:tc>
          <w:tcPr>
            <w:tcW w:w="2327" w:type="dxa"/>
            <w:tcBorders>
              <w:top w:val="single" w:sz="4" w:space="0" w:color="365F91"/>
              <w:bottom w:val="single" w:sz="4" w:space="0" w:color="365F91"/>
            </w:tcBorders>
            <w:shd w:val="clear" w:color="auto" w:fill="auto"/>
          </w:tcPr>
          <w:p w14:paraId="35983DFA" w14:textId="77777777" w:rsidR="00A05AC8" w:rsidRPr="00256982" w:rsidRDefault="00A05AC8" w:rsidP="00E742A5">
            <w:pPr>
              <w:pStyle w:val="TableText"/>
              <w:spacing w:before="50" w:after="50"/>
              <w:rPr>
                <w:b/>
              </w:rPr>
            </w:pPr>
            <w:r w:rsidRPr="00256982">
              <w:rPr>
                <w:b/>
              </w:rPr>
              <w:t xml:space="preserve">Resolved. </w:t>
            </w:r>
            <w:r w:rsidRPr="00256982">
              <w:t>Aggregate activity data for all categories are provided in the NIR for the 2019 submission.</w:t>
            </w:r>
          </w:p>
        </w:tc>
      </w:tr>
      <w:tr w:rsidR="00A05AC8" w:rsidRPr="00256982" w14:paraId="7D6BE026" w14:textId="77777777" w:rsidTr="00B7783F">
        <w:trPr>
          <w:gridBefore w:val="1"/>
          <w:wBefore w:w="25" w:type="dxa"/>
        </w:trPr>
        <w:tc>
          <w:tcPr>
            <w:tcW w:w="1695" w:type="dxa"/>
            <w:tcBorders>
              <w:top w:val="single" w:sz="4" w:space="0" w:color="365F91"/>
              <w:bottom w:val="single" w:sz="4" w:space="0" w:color="365F91"/>
            </w:tcBorders>
            <w:shd w:val="clear" w:color="auto" w:fill="auto"/>
            <w:tcMar>
              <w:left w:w="57" w:type="dxa"/>
            </w:tcMar>
          </w:tcPr>
          <w:p w14:paraId="70E0F9EF" w14:textId="77777777" w:rsidR="00A05AC8" w:rsidRPr="00256982" w:rsidRDefault="00A05AC8" w:rsidP="00E742A5">
            <w:pPr>
              <w:pStyle w:val="TableText"/>
              <w:spacing w:before="50" w:after="50"/>
            </w:pPr>
            <w:r w:rsidRPr="00256982">
              <w:t>Waste – Solid waste disposal (5.A) – CH</w:t>
            </w:r>
            <w:r w:rsidRPr="00256982">
              <w:rPr>
                <w:vertAlign w:val="subscript"/>
              </w:rPr>
              <w:t>4</w:t>
            </w:r>
          </w:p>
        </w:tc>
        <w:tc>
          <w:tcPr>
            <w:tcW w:w="990" w:type="dxa"/>
            <w:tcBorders>
              <w:top w:val="single" w:sz="4" w:space="0" w:color="365F91"/>
              <w:bottom w:val="single" w:sz="4" w:space="0" w:color="365F91"/>
            </w:tcBorders>
          </w:tcPr>
          <w:p w14:paraId="01E14176" w14:textId="77777777" w:rsidR="00A05AC8" w:rsidRPr="00256982" w:rsidRDefault="00A05AC8" w:rsidP="00E742A5">
            <w:pPr>
              <w:pStyle w:val="TableText"/>
              <w:spacing w:before="50" w:after="50"/>
            </w:pPr>
            <w:r w:rsidRPr="00256982">
              <w:t>W.4, 2017</w:t>
            </w:r>
          </w:p>
        </w:tc>
        <w:tc>
          <w:tcPr>
            <w:tcW w:w="3525" w:type="dxa"/>
            <w:tcBorders>
              <w:top w:val="single" w:sz="4" w:space="0" w:color="365F91"/>
              <w:bottom w:val="single" w:sz="4" w:space="0" w:color="365F91"/>
            </w:tcBorders>
            <w:shd w:val="clear" w:color="auto" w:fill="auto"/>
          </w:tcPr>
          <w:p w14:paraId="3998F441" w14:textId="77777777" w:rsidR="00A05AC8" w:rsidRPr="00256982" w:rsidRDefault="00A05AC8" w:rsidP="00E742A5">
            <w:pPr>
              <w:pStyle w:val="TableText"/>
              <w:spacing w:before="50" w:after="50"/>
            </w:pPr>
            <w:r w:rsidRPr="00256982">
              <w:t>Provide a summary of activity data (amount) for the entire time series by waste type and solid waste disposal site (SWDS) type, as well as additional information on the source of the data.</w:t>
            </w:r>
          </w:p>
        </w:tc>
        <w:tc>
          <w:tcPr>
            <w:tcW w:w="2327" w:type="dxa"/>
            <w:tcBorders>
              <w:top w:val="single" w:sz="4" w:space="0" w:color="365F91"/>
              <w:bottom w:val="single" w:sz="4" w:space="0" w:color="365F91"/>
            </w:tcBorders>
            <w:shd w:val="clear" w:color="auto" w:fill="auto"/>
          </w:tcPr>
          <w:p w14:paraId="3BDF37C9" w14:textId="77777777" w:rsidR="00A05AC8" w:rsidRPr="00256982" w:rsidRDefault="00A05AC8" w:rsidP="00E742A5">
            <w:pPr>
              <w:pStyle w:val="TableText"/>
              <w:spacing w:before="50" w:after="50"/>
              <w:rPr>
                <w:b/>
              </w:rPr>
            </w:pPr>
            <w:r w:rsidRPr="00256982">
              <w:rPr>
                <w:b/>
              </w:rPr>
              <w:t xml:space="preserve">Resolved. </w:t>
            </w:r>
            <w:r w:rsidRPr="00256982">
              <w:t>Aggregate activity data for all categories is provided in the NIR for the 2019 submission.</w:t>
            </w:r>
          </w:p>
        </w:tc>
      </w:tr>
      <w:tr w:rsidR="00A05AC8" w:rsidRPr="00256982" w14:paraId="7F2D9B39" w14:textId="77777777" w:rsidTr="00B7783F">
        <w:trPr>
          <w:gridBefore w:val="1"/>
          <w:wBefore w:w="25" w:type="dxa"/>
        </w:trPr>
        <w:tc>
          <w:tcPr>
            <w:tcW w:w="1695" w:type="dxa"/>
            <w:tcBorders>
              <w:top w:val="single" w:sz="4" w:space="0" w:color="365F91"/>
              <w:bottom w:val="single" w:sz="4" w:space="0" w:color="365F91"/>
            </w:tcBorders>
            <w:shd w:val="clear" w:color="auto" w:fill="auto"/>
            <w:tcMar>
              <w:left w:w="57" w:type="dxa"/>
            </w:tcMar>
          </w:tcPr>
          <w:p w14:paraId="2E83129C" w14:textId="77777777" w:rsidR="00A05AC8" w:rsidRPr="00256982" w:rsidRDefault="00A05AC8" w:rsidP="00E742A5">
            <w:pPr>
              <w:pStyle w:val="TableText"/>
              <w:spacing w:before="50" w:after="50"/>
            </w:pPr>
            <w:r w:rsidRPr="00256982">
              <w:t>Waste – Solid waste disposal (5.A) – CH</w:t>
            </w:r>
            <w:r w:rsidRPr="00256982">
              <w:rPr>
                <w:vertAlign w:val="subscript"/>
              </w:rPr>
              <w:t>4</w:t>
            </w:r>
          </w:p>
        </w:tc>
        <w:tc>
          <w:tcPr>
            <w:tcW w:w="990" w:type="dxa"/>
            <w:tcBorders>
              <w:top w:val="single" w:sz="4" w:space="0" w:color="365F91"/>
              <w:bottom w:val="single" w:sz="4" w:space="0" w:color="365F91"/>
            </w:tcBorders>
          </w:tcPr>
          <w:p w14:paraId="756DA770" w14:textId="77777777" w:rsidR="00A05AC8" w:rsidRPr="00256982" w:rsidRDefault="00A05AC8" w:rsidP="00E742A5">
            <w:pPr>
              <w:pStyle w:val="TableText"/>
              <w:spacing w:before="50" w:after="50"/>
            </w:pPr>
            <w:r w:rsidRPr="00256982">
              <w:t>W.5, 2017</w:t>
            </w:r>
          </w:p>
        </w:tc>
        <w:tc>
          <w:tcPr>
            <w:tcW w:w="3525" w:type="dxa"/>
            <w:tcBorders>
              <w:top w:val="single" w:sz="4" w:space="0" w:color="365F91"/>
              <w:bottom w:val="single" w:sz="4" w:space="0" w:color="365F91"/>
            </w:tcBorders>
            <w:shd w:val="clear" w:color="auto" w:fill="auto"/>
          </w:tcPr>
          <w:p w14:paraId="0ABD5972" w14:textId="77777777" w:rsidR="00A05AC8" w:rsidRPr="00256982" w:rsidRDefault="00A05AC8" w:rsidP="00E742A5">
            <w:pPr>
              <w:pStyle w:val="TableText"/>
              <w:spacing w:before="50" w:after="50"/>
            </w:pPr>
            <w:r w:rsidRPr="00256982">
              <w:t>Provide substantive justification for the country-specific default values on CH</w:t>
            </w:r>
            <w:r w:rsidRPr="00256982">
              <w:rPr>
                <w:vertAlign w:val="subscript"/>
              </w:rPr>
              <w:t>4</w:t>
            </w:r>
            <w:r w:rsidRPr="00256982">
              <w:t xml:space="preserve"> recovery efficiency, including on the factors that can enhance the recovery (e.g., through measurement results or scientific literature confirming the used values) or that New Zealand revises its estimates for CH</w:t>
            </w:r>
            <w:r w:rsidRPr="00256982">
              <w:rPr>
                <w:vertAlign w:val="subscript"/>
              </w:rPr>
              <w:t>4</w:t>
            </w:r>
            <w:r w:rsidRPr="00256982">
              <w:t xml:space="preserve"> recovery at SWDSs for which metered data are not available to 20 per cent, in order to be consistent with the guidance in the 2006 IPCC Guidelines.</w:t>
            </w:r>
          </w:p>
        </w:tc>
        <w:tc>
          <w:tcPr>
            <w:tcW w:w="2327" w:type="dxa"/>
            <w:tcBorders>
              <w:top w:val="single" w:sz="4" w:space="0" w:color="365F91"/>
              <w:bottom w:val="single" w:sz="4" w:space="0" w:color="365F91"/>
            </w:tcBorders>
            <w:shd w:val="clear" w:color="auto" w:fill="auto"/>
          </w:tcPr>
          <w:p w14:paraId="1D1D114E" w14:textId="77777777" w:rsidR="00A05AC8" w:rsidRPr="00256982" w:rsidRDefault="00A05AC8" w:rsidP="00E742A5">
            <w:pPr>
              <w:pStyle w:val="TableText"/>
              <w:spacing w:before="50" w:after="50"/>
              <w:rPr>
                <w:b/>
              </w:rPr>
            </w:pPr>
            <w:r w:rsidRPr="00256982">
              <w:rPr>
                <w:b/>
              </w:rPr>
              <w:t xml:space="preserve">Resolved. </w:t>
            </w:r>
            <w:r w:rsidRPr="00256982">
              <w:t>Significant justification has been provided in the NIR since the 2018 submission, under gas recovery in chapter 7, section 7.2.2.</w:t>
            </w:r>
          </w:p>
        </w:tc>
      </w:tr>
      <w:tr w:rsidR="00A05AC8" w:rsidRPr="00256982" w14:paraId="211669C4" w14:textId="77777777" w:rsidTr="00B7783F">
        <w:trPr>
          <w:gridBefore w:val="1"/>
          <w:wBefore w:w="25" w:type="dxa"/>
        </w:trPr>
        <w:tc>
          <w:tcPr>
            <w:tcW w:w="1695" w:type="dxa"/>
            <w:tcBorders>
              <w:top w:val="single" w:sz="4" w:space="0" w:color="365F91"/>
              <w:bottom w:val="single" w:sz="4" w:space="0" w:color="365F91"/>
            </w:tcBorders>
            <w:shd w:val="clear" w:color="auto" w:fill="auto"/>
            <w:tcMar>
              <w:left w:w="57" w:type="dxa"/>
            </w:tcMar>
          </w:tcPr>
          <w:p w14:paraId="13A8DB43" w14:textId="77777777" w:rsidR="00A05AC8" w:rsidRPr="00256982" w:rsidRDefault="00A05AC8" w:rsidP="00E742A5">
            <w:pPr>
              <w:pStyle w:val="TableText"/>
              <w:spacing w:before="50" w:after="50"/>
            </w:pPr>
            <w:r w:rsidRPr="00256982">
              <w:t>Waste – Solid waste disposal (5.A) – CH</w:t>
            </w:r>
            <w:r w:rsidRPr="00256982">
              <w:rPr>
                <w:vertAlign w:val="subscript"/>
              </w:rPr>
              <w:t>4</w:t>
            </w:r>
          </w:p>
        </w:tc>
        <w:tc>
          <w:tcPr>
            <w:tcW w:w="990" w:type="dxa"/>
            <w:tcBorders>
              <w:top w:val="single" w:sz="4" w:space="0" w:color="365F91"/>
              <w:bottom w:val="single" w:sz="4" w:space="0" w:color="365F91"/>
            </w:tcBorders>
          </w:tcPr>
          <w:p w14:paraId="4FF04F10" w14:textId="77777777" w:rsidR="00A05AC8" w:rsidRPr="00256982" w:rsidRDefault="00A05AC8" w:rsidP="00E742A5">
            <w:pPr>
              <w:pStyle w:val="TableText"/>
              <w:spacing w:before="50" w:after="50"/>
            </w:pPr>
            <w:r w:rsidRPr="00256982">
              <w:t>W.6, 2017</w:t>
            </w:r>
          </w:p>
        </w:tc>
        <w:tc>
          <w:tcPr>
            <w:tcW w:w="3525" w:type="dxa"/>
            <w:tcBorders>
              <w:top w:val="single" w:sz="4" w:space="0" w:color="365F91"/>
              <w:bottom w:val="single" w:sz="4" w:space="0" w:color="365F91"/>
            </w:tcBorders>
            <w:shd w:val="clear" w:color="auto" w:fill="auto"/>
          </w:tcPr>
          <w:p w14:paraId="5115FBB8" w14:textId="77777777" w:rsidR="00A05AC8" w:rsidRPr="00256982" w:rsidRDefault="00A05AC8" w:rsidP="00E742A5">
            <w:pPr>
              <w:pStyle w:val="TableText"/>
              <w:spacing w:before="50" w:after="50"/>
            </w:pPr>
            <w:r w:rsidRPr="00256982">
              <w:t>Confirm the data used for each year, either by continuous monitoring of the CH</w:t>
            </w:r>
            <w:r w:rsidRPr="00256982">
              <w:rPr>
                <w:vertAlign w:val="subscript"/>
              </w:rPr>
              <w:t>4</w:t>
            </w:r>
            <w:r w:rsidRPr="00256982">
              <w:t xml:space="preserve"> recovered from the sites or by using drivers such as electricity production using the recovered gas, in accordance with the 2006 IPCC Guidelines.</w:t>
            </w:r>
          </w:p>
        </w:tc>
        <w:tc>
          <w:tcPr>
            <w:tcW w:w="2327" w:type="dxa"/>
            <w:tcBorders>
              <w:top w:val="single" w:sz="4" w:space="0" w:color="365F91"/>
              <w:bottom w:val="single" w:sz="4" w:space="0" w:color="365F91"/>
            </w:tcBorders>
            <w:shd w:val="clear" w:color="auto" w:fill="auto"/>
          </w:tcPr>
          <w:p w14:paraId="536692B1" w14:textId="77777777" w:rsidR="00A05AC8" w:rsidRPr="00256982" w:rsidRDefault="00A05AC8" w:rsidP="00E742A5">
            <w:pPr>
              <w:pStyle w:val="TableText"/>
              <w:spacing w:before="50" w:after="50"/>
              <w:rPr>
                <w:b/>
              </w:rPr>
            </w:pPr>
            <w:r w:rsidRPr="00256982">
              <w:rPr>
                <w:b/>
              </w:rPr>
              <w:t xml:space="preserve">Resolved. </w:t>
            </w:r>
            <w:r w:rsidRPr="00256982">
              <w:t>New Zealand has improved landfill gas collection rates by incorporating data from the NZ ETS in the NIR for the 2019 submission. There is detailed explanation of the data used under gas recovery in chapter 7, section 7.2.2.</w:t>
            </w:r>
          </w:p>
        </w:tc>
      </w:tr>
      <w:tr w:rsidR="00A05AC8" w:rsidRPr="00256982" w14:paraId="538759CD" w14:textId="77777777" w:rsidTr="00B7783F">
        <w:trPr>
          <w:gridBefore w:val="1"/>
          <w:wBefore w:w="25" w:type="dxa"/>
        </w:trPr>
        <w:tc>
          <w:tcPr>
            <w:tcW w:w="1695" w:type="dxa"/>
            <w:tcBorders>
              <w:top w:val="single" w:sz="4" w:space="0" w:color="365F91"/>
              <w:bottom w:val="single" w:sz="4" w:space="0" w:color="365F91"/>
            </w:tcBorders>
            <w:shd w:val="clear" w:color="auto" w:fill="auto"/>
            <w:tcMar>
              <w:left w:w="57" w:type="dxa"/>
            </w:tcMar>
          </w:tcPr>
          <w:p w14:paraId="73E45965" w14:textId="77777777" w:rsidR="00A05AC8" w:rsidRPr="00256982" w:rsidRDefault="00A05AC8" w:rsidP="00E742A5">
            <w:pPr>
              <w:pStyle w:val="TableText"/>
              <w:spacing w:before="50" w:after="50"/>
            </w:pPr>
            <w:r w:rsidRPr="00256982">
              <w:t>Waste – Solid waste disposal (5.A) – CH</w:t>
            </w:r>
            <w:r w:rsidRPr="00256982">
              <w:rPr>
                <w:vertAlign w:val="subscript"/>
              </w:rPr>
              <w:t>4</w:t>
            </w:r>
          </w:p>
        </w:tc>
        <w:tc>
          <w:tcPr>
            <w:tcW w:w="990" w:type="dxa"/>
            <w:tcBorders>
              <w:top w:val="single" w:sz="4" w:space="0" w:color="365F91"/>
              <w:bottom w:val="single" w:sz="4" w:space="0" w:color="365F91"/>
            </w:tcBorders>
          </w:tcPr>
          <w:p w14:paraId="1A4665B0" w14:textId="77777777" w:rsidR="00A05AC8" w:rsidRPr="00256982" w:rsidRDefault="00A05AC8" w:rsidP="00E742A5">
            <w:pPr>
              <w:pStyle w:val="TableText"/>
              <w:spacing w:before="50" w:after="50"/>
            </w:pPr>
            <w:r w:rsidRPr="00256982">
              <w:t>W.7, 2017</w:t>
            </w:r>
          </w:p>
        </w:tc>
        <w:tc>
          <w:tcPr>
            <w:tcW w:w="3525" w:type="dxa"/>
            <w:tcBorders>
              <w:top w:val="single" w:sz="4" w:space="0" w:color="365F91"/>
              <w:bottom w:val="single" w:sz="4" w:space="0" w:color="365F91"/>
            </w:tcBorders>
            <w:shd w:val="clear" w:color="auto" w:fill="auto"/>
          </w:tcPr>
          <w:p w14:paraId="19B7DD4B" w14:textId="77777777" w:rsidR="00A05AC8" w:rsidRPr="00256982" w:rsidRDefault="00A05AC8" w:rsidP="00E742A5">
            <w:pPr>
              <w:pStyle w:val="TableText"/>
              <w:spacing w:before="50" w:after="50"/>
            </w:pPr>
            <w:r w:rsidRPr="00256982">
              <w:t>Provide data on the SWDSs at which it is confirmed that CH</w:t>
            </w:r>
            <w:r w:rsidRPr="00256982">
              <w:rPr>
                <w:vertAlign w:val="subscript"/>
              </w:rPr>
              <w:t>4</w:t>
            </w:r>
            <w:r w:rsidRPr="00256982">
              <w:t xml:space="preserve"> recovery takes place and data on the amount of CH</w:t>
            </w:r>
            <w:r w:rsidRPr="00256982">
              <w:rPr>
                <w:vertAlign w:val="subscript"/>
              </w:rPr>
              <w:t>4</w:t>
            </w:r>
            <w:r w:rsidRPr="00256982">
              <w:t xml:space="preserve"> recovered for which metered data on the recovery are available in each future annual inventory submission. The ERT also recommends that the Party provides this information separately for energy recovery and flaring. The information can be provided as an aggregate value for the SWDSs in question.</w:t>
            </w:r>
          </w:p>
        </w:tc>
        <w:tc>
          <w:tcPr>
            <w:tcW w:w="2327" w:type="dxa"/>
            <w:tcBorders>
              <w:top w:val="single" w:sz="4" w:space="0" w:color="365F91"/>
              <w:bottom w:val="single" w:sz="4" w:space="0" w:color="365F91"/>
            </w:tcBorders>
            <w:shd w:val="clear" w:color="auto" w:fill="auto"/>
          </w:tcPr>
          <w:p w14:paraId="3DB13D3E" w14:textId="77777777" w:rsidR="00A05AC8" w:rsidRPr="00256982" w:rsidRDefault="00A05AC8" w:rsidP="00E742A5">
            <w:pPr>
              <w:pStyle w:val="TableText"/>
              <w:spacing w:before="50" w:after="50"/>
              <w:rPr>
                <w:b/>
              </w:rPr>
            </w:pPr>
            <w:r w:rsidRPr="00256982">
              <w:rPr>
                <w:b/>
              </w:rPr>
              <w:t xml:space="preserve">Resolved. </w:t>
            </w:r>
            <w:r w:rsidRPr="00256982">
              <w:t>Details on CH</w:t>
            </w:r>
            <w:r w:rsidRPr="00256982">
              <w:rPr>
                <w:vertAlign w:val="subscript"/>
              </w:rPr>
              <w:t>4</w:t>
            </w:r>
            <w:r w:rsidRPr="00256982">
              <w:t xml:space="preserve"> recovery are provided in the NIR since the 2018 submission, under gas recovery in chapter 7, section 7.2.2, including table 7.2.6, which reports data on CH</w:t>
            </w:r>
            <w:r w:rsidRPr="00256982">
              <w:rPr>
                <w:vertAlign w:val="subscript"/>
              </w:rPr>
              <w:t>4</w:t>
            </w:r>
            <w:r w:rsidRPr="00256982">
              <w:t xml:space="preserve"> recovery at landfills.</w:t>
            </w:r>
          </w:p>
        </w:tc>
      </w:tr>
      <w:tr w:rsidR="00A05AC8" w:rsidRPr="00256982" w14:paraId="5FAD9FD6" w14:textId="77777777" w:rsidTr="00B7783F">
        <w:trPr>
          <w:gridBefore w:val="1"/>
          <w:wBefore w:w="25" w:type="dxa"/>
        </w:trPr>
        <w:tc>
          <w:tcPr>
            <w:tcW w:w="1695" w:type="dxa"/>
            <w:tcBorders>
              <w:top w:val="single" w:sz="4" w:space="0" w:color="365F91"/>
              <w:bottom w:val="single" w:sz="4" w:space="0" w:color="365F91"/>
            </w:tcBorders>
            <w:shd w:val="clear" w:color="auto" w:fill="auto"/>
            <w:tcMar>
              <w:left w:w="57" w:type="dxa"/>
            </w:tcMar>
          </w:tcPr>
          <w:p w14:paraId="0A8CE4FE" w14:textId="77777777" w:rsidR="00A05AC8" w:rsidRPr="00256982" w:rsidRDefault="00A05AC8" w:rsidP="00E742A5">
            <w:pPr>
              <w:pStyle w:val="TableText"/>
              <w:spacing w:before="50" w:after="50"/>
            </w:pPr>
            <w:r w:rsidRPr="00256982">
              <w:t>Waste – Solid waste disposal (5.A) – CH</w:t>
            </w:r>
            <w:r w:rsidRPr="00256982">
              <w:rPr>
                <w:vertAlign w:val="subscript"/>
              </w:rPr>
              <w:t>4</w:t>
            </w:r>
          </w:p>
        </w:tc>
        <w:tc>
          <w:tcPr>
            <w:tcW w:w="990" w:type="dxa"/>
            <w:tcBorders>
              <w:top w:val="single" w:sz="4" w:space="0" w:color="365F91"/>
              <w:bottom w:val="single" w:sz="4" w:space="0" w:color="365F91"/>
            </w:tcBorders>
          </w:tcPr>
          <w:p w14:paraId="5A399DBE" w14:textId="77777777" w:rsidR="00A05AC8" w:rsidRPr="00256982" w:rsidRDefault="00A05AC8" w:rsidP="00E742A5">
            <w:pPr>
              <w:pStyle w:val="TableText"/>
              <w:spacing w:before="50" w:after="50"/>
            </w:pPr>
            <w:r w:rsidRPr="00256982">
              <w:t>W.8, 2017</w:t>
            </w:r>
          </w:p>
        </w:tc>
        <w:tc>
          <w:tcPr>
            <w:tcW w:w="3525" w:type="dxa"/>
            <w:tcBorders>
              <w:top w:val="single" w:sz="4" w:space="0" w:color="365F91"/>
              <w:bottom w:val="single" w:sz="4" w:space="0" w:color="365F91"/>
            </w:tcBorders>
            <w:shd w:val="clear" w:color="auto" w:fill="auto"/>
          </w:tcPr>
          <w:p w14:paraId="6F656813" w14:textId="77777777" w:rsidR="00A05AC8" w:rsidRPr="00256982" w:rsidRDefault="00A05AC8" w:rsidP="00E742A5">
            <w:pPr>
              <w:pStyle w:val="TableText"/>
              <w:spacing w:before="50" w:after="50"/>
            </w:pPr>
            <w:r w:rsidRPr="00256982">
              <w:t>Ensure consistency in the methodology and parameters used to estimate CH</w:t>
            </w:r>
            <w:r w:rsidRPr="00256982">
              <w:rPr>
                <w:vertAlign w:val="subscript"/>
              </w:rPr>
              <w:t>4</w:t>
            </w:r>
            <w:r w:rsidRPr="00256982">
              <w:t xml:space="preserve"> generation across SWDSs and, if the methodology and parameters are not from the 2006 IPCC Guidelines, justify the applicability of the methodology used to the national circumstances.</w:t>
            </w:r>
          </w:p>
          <w:p w14:paraId="205689E1" w14:textId="77777777" w:rsidR="00A05AC8" w:rsidRPr="00256982" w:rsidRDefault="00A05AC8" w:rsidP="00E742A5">
            <w:pPr>
              <w:pStyle w:val="TableText"/>
              <w:spacing w:before="50" w:after="50"/>
            </w:pPr>
            <w:r w:rsidRPr="00256982">
              <w:t>The ERT also recommends that New Zealand improves the description in the NIR, when SWDS-specific parameters are used in the estimation of the CH</w:t>
            </w:r>
            <w:r w:rsidRPr="00256982">
              <w:rPr>
                <w:vertAlign w:val="subscript"/>
              </w:rPr>
              <w:t>4</w:t>
            </w:r>
            <w:r w:rsidRPr="00256982">
              <w:t xml:space="preserve"> emissions from SWDSs, by clarifying the sources for the parameters and providing reasons why different parameters are used.</w:t>
            </w:r>
          </w:p>
        </w:tc>
        <w:tc>
          <w:tcPr>
            <w:tcW w:w="2327" w:type="dxa"/>
            <w:tcBorders>
              <w:top w:val="single" w:sz="4" w:space="0" w:color="365F91"/>
              <w:bottom w:val="single" w:sz="4" w:space="0" w:color="365F91"/>
            </w:tcBorders>
            <w:shd w:val="clear" w:color="auto" w:fill="auto"/>
          </w:tcPr>
          <w:p w14:paraId="32F442A6" w14:textId="77777777" w:rsidR="00A05AC8" w:rsidRPr="00256982" w:rsidRDefault="00A05AC8" w:rsidP="00E742A5">
            <w:pPr>
              <w:pStyle w:val="TableText"/>
              <w:spacing w:before="50" w:after="50"/>
              <w:rPr>
                <w:b/>
              </w:rPr>
            </w:pPr>
            <w:r w:rsidRPr="00256982">
              <w:rPr>
                <w:b/>
              </w:rPr>
              <w:t xml:space="preserve">Resolved. </w:t>
            </w:r>
            <w:r w:rsidRPr="00256982">
              <w:t>New Zealand has provided more detail on the methods applied to estimate emissions from SWDS in the NIR since the 2018 submission, under CH</w:t>
            </w:r>
            <w:r w:rsidRPr="00256982">
              <w:rPr>
                <w:vertAlign w:val="subscript"/>
              </w:rPr>
              <w:t>4</w:t>
            </w:r>
            <w:r w:rsidRPr="00256982">
              <w:t xml:space="preserve"> generation rates in section 7.2.2.</w:t>
            </w:r>
          </w:p>
        </w:tc>
      </w:tr>
      <w:tr w:rsidR="00A05AC8" w:rsidRPr="00256982" w14:paraId="335C139D" w14:textId="77777777" w:rsidTr="00B7783F">
        <w:trPr>
          <w:gridBefore w:val="1"/>
          <w:wBefore w:w="25" w:type="dxa"/>
        </w:trPr>
        <w:tc>
          <w:tcPr>
            <w:tcW w:w="1695" w:type="dxa"/>
            <w:tcBorders>
              <w:top w:val="single" w:sz="4" w:space="0" w:color="365F91"/>
              <w:bottom w:val="single" w:sz="4" w:space="0" w:color="365F91"/>
            </w:tcBorders>
            <w:shd w:val="clear" w:color="auto" w:fill="auto"/>
            <w:tcMar>
              <w:left w:w="57" w:type="dxa"/>
            </w:tcMar>
          </w:tcPr>
          <w:p w14:paraId="22D9C42A" w14:textId="77777777" w:rsidR="00A05AC8" w:rsidRPr="00256982" w:rsidRDefault="00A05AC8" w:rsidP="00E742A5">
            <w:pPr>
              <w:pStyle w:val="TableText"/>
              <w:spacing w:before="50" w:after="50"/>
            </w:pPr>
            <w:r w:rsidRPr="00256982">
              <w:t>Waste – 5.A.1 Managed waste disposal sites – CH</w:t>
            </w:r>
            <w:r w:rsidRPr="00256982">
              <w:rPr>
                <w:vertAlign w:val="subscript"/>
              </w:rPr>
              <w:t>4</w:t>
            </w:r>
          </w:p>
        </w:tc>
        <w:tc>
          <w:tcPr>
            <w:tcW w:w="990" w:type="dxa"/>
            <w:tcBorders>
              <w:top w:val="single" w:sz="4" w:space="0" w:color="365F91"/>
              <w:bottom w:val="single" w:sz="4" w:space="0" w:color="365F91"/>
            </w:tcBorders>
          </w:tcPr>
          <w:p w14:paraId="1747368F" w14:textId="77777777" w:rsidR="00A05AC8" w:rsidRPr="00256982" w:rsidRDefault="00A05AC8" w:rsidP="00E742A5">
            <w:pPr>
              <w:pStyle w:val="TableText"/>
              <w:spacing w:before="50" w:after="50"/>
            </w:pPr>
            <w:r w:rsidRPr="00256982">
              <w:t>W.9, 2017</w:t>
            </w:r>
          </w:p>
        </w:tc>
        <w:tc>
          <w:tcPr>
            <w:tcW w:w="3525" w:type="dxa"/>
            <w:tcBorders>
              <w:top w:val="single" w:sz="4" w:space="0" w:color="365F91"/>
              <w:bottom w:val="single" w:sz="4" w:space="0" w:color="365F91"/>
            </w:tcBorders>
            <w:shd w:val="clear" w:color="auto" w:fill="auto"/>
          </w:tcPr>
          <w:p w14:paraId="2204C160" w14:textId="77777777" w:rsidR="00A05AC8" w:rsidRPr="00256982" w:rsidRDefault="00A05AC8" w:rsidP="00E742A5">
            <w:pPr>
              <w:pStyle w:val="TableText"/>
              <w:spacing w:before="50" w:after="50"/>
            </w:pPr>
            <w:r w:rsidRPr="00256982">
              <w:t>Either provide a better justification for the country-specific rate constant for biodegradation in landfills for municipal solid waste, or calculate CH</w:t>
            </w:r>
            <w:r w:rsidRPr="00256982">
              <w:rPr>
                <w:vertAlign w:val="subscript"/>
              </w:rPr>
              <w:t>4</w:t>
            </w:r>
            <w:r w:rsidRPr="00256982">
              <w:t xml:space="preserve"> generation for municipal landfills with the default rate constant for biodegradation from the 2006 IPCC Guidelines.</w:t>
            </w:r>
          </w:p>
        </w:tc>
        <w:tc>
          <w:tcPr>
            <w:tcW w:w="2327" w:type="dxa"/>
            <w:tcBorders>
              <w:top w:val="single" w:sz="4" w:space="0" w:color="365F91"/>
              <w:bottom w:val="single" w:sz="4" w:space="0" w:color="365F91"/>
            </w:tcBorders>
            <w:shd w:val="clear" w:color="auto" w:fill="auto"/>
          </w:tcPr>
          <w:p w14:paraId="2B7B46E9" w14:textId="77777777" w:rsidR="00A05AC8" w:rsidRPr="00256982" w:rsidRDefault="00A05AC8" w:rsidP="00E742A5">
            <w:pPr>
              <w:pStyle w:val="TableText"/>
              <w:spacing w:before="50" w:after="50"/>
              <w:rPr>
                <w:b/>
              </w:rPr>
            </w:pPr>
            <w:r w:rsidRPr="00256982">
              <w:rPr>
                <w:b/>
              </w:rPr>
              <w:t xml:space="preserve">Resolved. </w:t>
            </w:r>
            <w:r w:rsidRPr="00256982">
              <w:t>New Zealand has provided more detail on the methods applied to estimate emissions from solid waste disposal sites since the NIR for the 2018 submission, under CH</w:t>
            </w:r>
            <w:r w:rsidRPr="00256982">
              <w:rPr>
                <w:vertAlign w:val="subscript"/>
              </w:rPr>
              <w:t>4</w:t>
            </w:r>
            <w:r w:rsidRPr="00256982">
              <w:t xml:space="preserve"> generation rates in chapter 7, section 7.2.2.</w:t>
            </w:r>
          </w:p>
        </w:tc>
      </w:tr>
      <w:tr w:rsidR="00A05AC8" w:rsidRPr="00256982" w14:paraId="54C47E3D" w14:textId="77777777" w:rsidTr="00B7783F">
        <w:trPr>
          <w:gridBefore w:val="1"/>
          <w:wBefore w:w="25" w:type="dxa"/>
        </w:trPr>
        <w:tc>
          <w:tcPr>
            <w:tcW w:w="1695" w:type="dxa"/>
            <w:tcBorders>
              <w:top w:val="single" w:sz="4" w:space="0" w:color="365F91"/>
              <w:bottom w:val="single" w:sz="4" w:space="0" w:color="365F91"/>
            </w:tcBorders>
            <w:shd w:val="clear" w:color="auto" w:fill="auto"/>
            <w:tcMar>
              <w:left w:w="57" w:type="dxa"/>
            </w:tcMar>
          </w:tcPr>
          <w:p w14:paraId="6E694600" w14:textId="77777777" w:rsidR="00A05AC8" w:rsidRPr="00256982" w:rsidRDefault="00A05AC8" w:rsidP="00E742A5">
            <w:pPr>
              <w:pStyle w:val="TableText"/>
              <w:spacing w:before="50" w:after="50"/>
            </w:pPr>
            <w:r w:rsidRPr="00256982">
              <w:t>Waste – 5.A.2 Unmanaged waste disposal sites – CH</w:t>
            </w:r>
            <w:r w:rsidRPr="00256982">
              <w:rPr>
                <w:vertAlign w:val="subscript"/>
              </w:rPr>
              <w:t>4</w:t>
            </w:r>
          </w:p>
        </w:tc>
        <w:tc>
          <w:tcPr>
            <w:tcW w:w="990" w:type="dxa"/>
            <w:tcBorders>
              <w:top w:val="single" w:sz="4" w:space="0" w:color="365F91"/>
              <w:bottom w:val="single" w:sz="4" w:space="0" w:color="365F91"/>
            </w:tcBorders>
          </w:tcPr>
          <w:p w14:paraId="57AF5147" w14:textId="77777777" w:rsidR="00A05AC8" w:rsidRPr="00256982" w:rsidRDefault="00A05AC8" w:rsidP="00E742A5">
            <w:pPr>
              <w:pStyle w:val="TableText"/>
              <w:spacing w:before="50" w:after="50"/>
            </w:pPr>
            <w:r w:rsidRPr="00256982">
              <w:t>W.10, 2017</w:t>
            </w:r>
          </w:p>
        </w:tc>
        <w:tc>
          <w:tcPr>
            <w:tcW w:w="3525" w:type="dxa"/>
            <w:tcBorders>
              <w:top w:val="single" w:sz="4" w:space="0" w:color="365F91"/>
              <w:bottom w:val="single" w:sz="4" w:space="0" w:color="365F91"/>
            </w:tcBorders>
            <w:shd w:val="clear" w:color="auto" w:fill="auto"/>
          </w:tcPr>
          <w:p w14:paraId="7BCE048E" w14:textId="77777777" w:rsidR="00A05AC8" w:rsidRPr="00256982" w:rsidRDefault="00A05AC8" w:rsidP="00E742A5">
            <w:pPr>
              <w:pStyle w:val="TableText"/>
              <w:spacing w:before="50" w:after="50"/>
            </w:pPr>
            <w:r w:rsidRPr="00256982">
              <w:t>Improve the degradable organic carbon content of farm waste based on the average waste composition of the various farm wastes determined from local studies.</w:t>
            </w:r>
          </w:p>
        </w:tc>
        <w:tc>
          <w:tcPr>
            <w:tcW w:w="2327" w:type="dxa"/>
            <w:tcBorders>
              <w:top w:val="single" w:sz="4" w:space="0" w:color="365F91"/>
              <w:bottom w:val="single" w:sz="4" w:space="0" w:color="365F91"/>
            </w:tcBorders>
            <w:shd w:val="clear" w:color="auto" w:fill="auto"/>
          </w:tcPr>
          <w:p w14:paraId="2991ADC7" w14:textId="77777777" w:rsidR="00A05AC8" w:rsidRPr="00256982" w:rsidRDefault="00A05AC8" w:rsidP="00E742A5">
            <w:pPr>
              <w:pStyle w:val="TableText"/>
              <w:spacing w:before="50" w:after="50"/>
              <w:rPr>
                <w:b/>
              </w:rPr>
            </w:pPr>
            <w:r w:rsidRPr="00256982">
              <w:rPr>
                <w:b/>
              </w:rPr>
              <w:t>Resolved.</w:t>
            </w:r>
            <w:r w:rsidRPr="00256982">
              <w:t xml:space="preserve"> New Zealand has incorporated additional survey data on farm waste since the 2018 submission and has also derived degradable organic carbon values based on the composition of waste for each specific farm type.</w:t>
            </w:r>
          </w:p>
        </w:tc>
      </w:tr>
      <w:tr w:rsidR="00A05AC8" w:rsidRPr="00256982" w14:paraId="436C2217" w14:textId="77777777" w:rsidTr="00B7783F">
        <w:trPr>
          <w:gridBefore w:val="1"/>
          <w:wBefore w:w="25" w:type="dxa"/>
        </w:trPr>
        <w:tc>
          <w:tcPr>
            <w:tcW w:w="1695" w:type="dxa"/>
            <w:tcBorders>
              <w:top w:val="single" w:sz="4" w:space="0" w:color="365F91"/>
              <w:bottom w:val="single" w:sz="4" w:space="0" w:color="365F91"/>
            </w:tcBorders>
            <w:shd w:val="clear" w:color="auto" w:fill="auto"/>
            <w:tcMar>
              <w:left w:w="57" w:type="dxa"/>
            </w:tcMar>
          </w:tcPr>
          <w:p w14:paraId="112BC6ED" w14:textId="77777777" w:rsidR="00A05AC8" w:rsidRPr="00256982" w:rsidRDefault="00A05AC8" w:rsidP="00E742A5">
            <w:pPr>
              <w:pStyle w:val="TableText"/>
              <w:spacing w:before="50" w:after="50"/>
            </w:pPr>
            <w:r w:rsidRPr="00256982">
              <w:t>Waste – 5.D.1 Domestic wastewater – CH</w:t>
            </w:r>
            <w:r w:rsidRPr="00256982">
              <w:rPr>
                <w:vertAlign w:val="subscript"/>
              </w:rPr>
              <w:t>4</w:t>
            </w:r>
          </w:p>
        </w:tc>
        <w:tc>
          <w:tcPr>
            <w:tcW w:w="990" w:type="dxa"/>
            <w:tcBorders>
              <w:top w:val="single" w:sz="4" w:space="0" w:color="365F91"/>
              <w:bottom w:val="single" w:sz="4" w:space="0" w:color="365F91"/>
            </w:tcBorders>
          </w:tcPr>
          <w:p w14:paraId="577B20A1" w14:textId="77777777" w:rsidR="00A05AC8" w:rsidRPr="00256982" w:rsidRDefault="00A05AC8" w:rsidP="00E742A5">
            <w:pPr>
              <w:pStyle w:val="TableText"/>
              <w:spacing w:before="50" w:after="50"/>
            </w:pPr>
            <w:r w:rsidRPr="00256982">
              <w:t>W.13, 2017</w:t>
            </w:r>
          </w:p>
        </w:tc>
        <w:tc>
          <w:tcPr>
            <w:tcW w:w="3525" w:type="dxa"/>
            <w:tcBorders>
              <w:top w:val="single" w:sz="4" w:space="0" w:color="365F91"/>
              <w:bottom w:val="single" w:sz="4" w:space="0" w:color="365F91"/>
            </w:tcBorders>
            <w:shd w:val="clear" w:color="auto" w:fill="auto"/>
          </w:tcPr>
          <w:p w14:paraId="299F929D" w14:textId="77777777" w:rsidR="00A05AC8" w:rsidRPr="00256982" w:rsidRDefault="00A05AC8" w:rsidP="00E742A5">
            <w:pPr>
              <w:pStyle w:val="TableText"/>
              <w:spacing w:before="50" w:after="50"/>
            </w:pPr>
            <w:r w:rsidRPr="00256982">
              <w:t>Calculate emissions from septic tanks assuming an ‘I’ of 1.</w:t>
            </w:r>
          </w:p>
        </w:tc>
        <w:tc>
          <w:tcPr>
            <w:tcW w:w="2327" w:type="dxa"/>
            <w:tcBorders>
              <w:top w:val="single" w:sz="4" w:space="0" w:color="365F91"/>
              <w:bottom w:val="single" w:sz="4" w:space="0" w:color="365F91"/>
            </w:tcBorders>
            <w:shd w:val="clear" w:color="auto" w:fill="auto"/>
          </w:tcPr>
          <w:p w14:paraId="69C84781" w14:textId="77777777" w:rsidR="00A05AC8" w:rsidRPr="00256982" w:rsidRDefault="00A05AC8" w:rsidP="00E742A5">
            <w:pPr>
              <w:pStyle w:val="TableText"/>
              <w:spacing w:before="50" w:after="50"/>
              <w:rPr>
                <w:b/>
              </w:rPr>
            </w:pPr>
            <w:r w:rsidRPr="00256982">
              <w:rPr>
                <w:b/>
              </w:rPr>
              <w:t xml:space="preserve">Resolved. </w:t>
            </w:r>
            <w:r w:rsidRPr="00256982">
              <w:t>New Zealand has revised and corrected this parameter for septic tanks in domestic wastewater calculations for the 2019 submission.</w:t>
            </w:r>
          </w:p>
        </w:tc>
      </w:tr>
      <w:tr w:rsidR="00A05AC8" w:rsidRPr="00256982" w14:paraId="6F5C0F16" w14:textId="77777777" w:rsidTr="00B7783F">
        <w:trPr>
          <w:gridBefore w:val="1"/>
          <w:wBefore w:w="25" w:type="dxa"/>
        </w:trPr>
        <w:tc>
          <w:tcPr>
            <w:tcW w:w="1695" w:type="dxa"/>
            <w:tcBorders>
              <w:top w:val="single" w:sz="4" w:space="0" w:color="365F91"/>
              <w:bottom w:val="single" w:sz="4" w:space="0" w:color="365F91"/>
            </w:tcBorders>
            <w:shd w:val="clear" w:color="auto" w:fill="auto"/>
            <w:tcMar>
              <w:left w:w="57" w:type="dxa"/>
            </w:tcMar>
          </w:tcPr>
          <w:p w14:paraId="26649A5C" w14:textId="77777777" w:rsidR="00A05AC8" w:rsidRPr="00256982" w:rsidRDefault="00A05AC8" w:rsidP="00E742A5">
            <w:pPr>
              <w:pStyle w:val="TableText"/>
              <w:spacing w:before="50" w:after="50"/>
            </w:pPr>
            <w:r w:rsidRPr="00256982">
              <w:t>KP-LULUCF – Forest management – CO</w:t>
            </w:r>
            <w:r w:rsidRPr="00256982">
              <w:rPr>
                <w:vertAlign w:val="subscript"/>
              </w:rPr>
              <w:t>2</w:t>
            </w:r>
            <w:r w:rsidRPr="00256982">
              <w:t>, CH</w:t>
            </w:r>
            <w:r w:rsidRPr="00256982">
              <w:rPr>
                <w:vertAlign w:val="subscript"/>
              </w:rPr>
              <w:t>4</w:t>
            </w:r>
            <w:r w:rsidRPr="00256982">
              <w:t xml:space="preserve"> and N</w:t>
            </w:r>
            <w:r w:rsidRPr="00256982">
              <w:rPr>
                <w:vertAlign w:val="subscript"/>
              </w:rPr>
              <w:t>2</w:t>
            </w:r>
            <w:r w:rsidRPr="00256982">
              <w:t>O</w:t>
            </w:r>
          </w:p>
        </w:tc>
        <w:tc>
          <w:tcPr>
            <w:tcW w:w="990" w:type="dxa"/>
            <w:tcBorders>
              <w:top w:val="single" w:sz="4" w:space="0" w:color="365F91"/>
              <w:bottom w:val="single" w:sz="4" w:space="0" w:color="365F91"/>
            </w:tcBorders>
          </w:tcPr>
          <w:p w14:paraId="7C827244" w14:textId="77777777" w:rsidR="00A05AC8" w:rsidRPr="00256982" w:rsidRDefault="00A05AC8" w:rsidP="00E742A5">
            <w:pPr>
              <w:pStyle w:val="TableText"/>
              <w:spacing w:before="50" w:after="50"/>
            </w:pPr>
            <w:r w:rsidRPr="00256982">
              <w:t>KL.1, 2017</w:t>
            </w:r>
          </w:p>
        </w:tc>
        <w:tc>
          <w:tcPr>
            <w:tcW w:w="3525" w:type="dxa"/>
            <w:tcBorders>
              <w:top w:val="single" w:sz="4" w:space="0" w:color="365F91"/>
              <w:bottom w:val="single" w:sz="4" w:space="0" w:color="365F91"/>
            </w:tcBorders>
            <w:shd w:val="clear" w:color="auto" w:fill="auto"/>
          </w:tcPr>
          <w:p w14:paraId="33669968" w14:textId="77777777" w:rsidR="00A05AC8" w:rsidRPr="00256982" w:rsidRDefault="00A05AC8" w:rsidP="00E742A5">
            <w:pPr>
              <w:pStyle w:val="TableText"/>
              <w:spacing w:before="50" w:after="50"/>
            </w:pPr>
            <w:r w:rsidRPr="00256982">
              <w:t>Improve the transparency of the reporting of the FMRL</w:t>
            </w:r>
            <w:r w:rsidRPr="00256982">
              <w:rPr>
                <w:i/>
                <w:vertAlign w:val="subscript"/>
              </w:rPr>
              <w:t>corr</w:t>
            </w:r>
            <w:r w:rsidRPr="00256982">
              <w:t xml:space="preserve"> by clearly separating the original forest management reference level, the various technical corrections and their totals, and the FMRL</w:t>
            </w:r>
            <w:r w:rsidRPr="00256982">
              <w:rPr>
                <w:i/>
                <w:vertAlign w:val="subscript"/>
              </w:rPr>
              <w:t>corr</w:t>
            </w:r>
            <w:r w:rsidRPr="00256982">
              <w:t>.</w:t>
            </w:r>
          </w:p>
        </w:tc>
        <w:tc>
          <w:tcPr>
            <w:tcW w:w="2327" w:type="dxa"/>
            <w:tcBorders>
              <w:top w:val="single" w:sz="4" w:space="0" w:color="365F91"/>
              <w:bottom w:val="single" w:sz="4" w:space="0" w:color="365F91"/>
            </w:tcBorders>
            <w:shd w:val="clear" w:color="auto" w:fill="auto"/>
          </w:tcPr>
          <w:p w14:paraId="02180A9E" w14:textId="77777777" w:rsidR="00A05AC8" w:rsidRPr="00256982" w:rsidRDefault="00A05AC8" w:rsidP="00E742A5">
            <w:pPr>
              <w:pStyle w:val="TableText"/>
              <w:spacing w:before="50" w:after="50"/>
              <w:rPr>
                <w:b/>
              </w:rPr>
            </w:pPr>
            <w:r w:rsidRPr="00256982">
              <w:rPr>
                <w:b/>
              </w:rPr>
              <w:t xml:space="preserve">Resolved. </w:t>
            </w:r>
            <w:r w:rsidRPr="00256982">
              <w:t>Refer to annex 5.1.</w:t>
            </w:r>
          </w:p>
        </w:tc>
      </w:tr>
      <w:tr w:rsidR="00A05AC8" w:rsidRPr="00256982" w14:paraId="698DA61E" w14:textId="77777777" w:rsidTr="00B7783F">
        <w:trPr>
          <w:gridBefore w:val="1"/>
          <w:wBefore w:w="25" w:type="dxa"/>
        </w:trPr>
        <w:tc>
          <w:tcPr>
            <w:tcW w:w="1695" w:type="dxa"/>
            <w:tcBorders>
              <w:top w:val="single" w:sz="4" w:space="0" w:color="365F91"/>
              <w:bottom w:val="single" w:sz="4" w:space="0" w:color="365F91"/>
            </w:tcBorders>
            <w:shd w:val="clear" w:color="auto" w:fill="auto"/>
            <w:tcMar>
              <w:left w:w="57" w:type="dxa"/>
            </w:tcMar>
          </w:tcPr>
          <w:p w14:paraId="39BBA7F8" w14:textId="77777777" w:rsidR="00A05AC8" w:rsidRPr="00256982" w:rsidRDefault="00A05AC8" w:rsidP="00E742A5">
            <w:pPr>
              <w:pStyle w:val="TableText"/>
              <w:spacing w:before="50" w:after="50"/>
            </w:pPr>
            <w:r w:rsidRPr="00256982">
              <w:t>KP-LULUCF – Forest management – CO</w:t>
            </w:r>
            <w:r w:rsidRPr="00256982">
              <w:rPr>
                <w:vertAlign w:val="subscript"/>
              </w:rPr>
              <w:t>2</w:t>
            </w:r>
          </w:p>
        </w:tc>
        <w:tc>
          <w:tcPr>
            <w:tcW w:w="990" w:type="dxa"/>
            <w:tcBorders>
              <w:top w:val="single" w:sz="4" w:space="0" w:color="365F91"/>
              <w:bottom w:val="single" w:sz="4" w:space="0" w:color="365F91"/>
            </w:tcBorders>
          </w:tcPr>
          <w:p w14:paraId="6F27B1ED" w14:textId="77777777" w:rsidR="00A05AC8" w:rsidRPr="00256982" w:rsidRDefault="00A05AC8" w:rsidP="00E742A5">
            <w:pPr>
              <w:pStyle w:val="TableText"/>
              <w:spacing w:before="50" w:after="50"/>
            </w:pPr>
            <w:r w:rsidRPr="00256982">
              <w:t>KL.2, 2017</w:t>
            </w:r>
          </w:p>
        </w:tc>
        <w:tc>
          <w:tcPr>
            <w:tcW w:w="3525" w:type="dxa"/>
            <w:tcBorders>
              <w:top w:val="single" w:sz="4" w:space="0" w:color="365F91"/>
              <w:bottom w:val="single" w:sz="4" w:space="0" w:color="365F91"/>
            </w:tcBorders>
            <w:shd w:val="clear" w:color="auto" w:fill="auto"/>
          </w:tcPr>
          <w:p w14:paraId="60E1D352" w14:textId="77777777" w:rsidR="00A05AC8" w:rsidRPr="00256982" w:rsidRDefault="00A05AC8" w:rsidP="00E742A5">
            <w:pPr>
              <w:pStyle w:val="TableText"/>
              <w:spacing w:before="50" w:after="50"/>
            </w:pPr>
            <w:r w:rsidRPr="00256982">
              <w:t>Report consistently across the NIR and the CRF tables by correcting the values of the “total technical corrections” in table 11.3.3 of the NIR (–17.26) and the corresponding value in annex 5.1 to the NIR and the CRF table “Accounting” (–17.25).</w:t>
            </w:r>
          </w:p>
        </w:tc>
        <w:tc>
          <w:tcPr>
            <w:tcW w:w="2327" w:type="dxa"/>
            <w:tcBorders>
              <w:top w:val="single" w:sz="4" w:space="0" w:color="365F91"/>
              <w:bottom w:val="single" w:sz="4" w:space="0" w:color="365F91"/>
            </w:tcBorders>
            <w:shd w:val="clear" w:color="auto" w:fill="auto"/>
          </w:tcPr>
          <w:p w14:paraId="5274E54D" w14:textId="77777777" w:rsidR="00A05AC8" w:rsidRPr="00256982" w:rsidRDefault="00A05AC8" w:rsidP="00E742A5">
            <w:pPr>
              <w:pStyle w:val="TableText"/>
              <w:spacing w:before="50" w:after="50"/>
              <w:rPr>
                <w:b/>
              </w:rPr>
            </w:pPr>
            <w:r w:rsidRPr="00256982">
              <w:rPr>
                <w:b/>
              </w:rPr>
              <w:t xml:space="preserve">Resolved: </w:t>
            </w:r>
            <w:r w:rsidRPr="00256982">
              <w:t>Reporting of ‘total technical corrections’ has been revised in the NIR and CRF tables of the 2018 submission.</w:t>
            </w:r>
          </w:p>
        </w:tc>
      </w:tr>
    </w:tbl>
    <w:p w14:paraId="7A2AC35B" w14:textId="77777777" w:rsidR="00A05AC8" w:rsidRPr="00256982" w:rsidRDefault="00A05AC8" w:rsidP="00A05AC8">
      <w:pPr>
        <w:rPr>
          <w:highlight w:val="yellow"/>
        </w:rPr>
      </w:pPr>
    </w:p>
    <w:p w14:paraId="559580EE" w14:textId="77777777" w:rsidR="00A05AC8" w:rsidRPr="00256982" w:rsidRDefault="00A05AC8" w:rsidP="00A05AC8">
      <w:pPr>
        <w:pStyle w:val="Table"/>
      </w:pPr>
      <w:bookmarkStart w:id="2577" w:name="_Toc451176197"/>
      <w:bookmarkStart w:id="2578" w:name="_Toc481751628"/>
      <w:bookmarkStart w:id="2579" w:name="_Toc511116856"/>
      <w:bookmarkStart w:id="2580" w:name="_Toc5269623"/>
      <w:r w:rsidRPr="00256982">
        <w:t>Table 10.2.2</w:t>
      </w:r>
      <w:r w:rsidRPr="00256982">
        <w:tab/>
        <w:t>New Zealand’s response to recommendations as reported in table 5 of the 2017</w:t>
      </w:r>
      <w:r w:rsidRPr="00256982">
        <w:br/>
        <w:t>assessment review report from the review of New Zealand’s 2017 inventory submission</w:t>
      </w:r>
      <w:bookmarkEnd w:id="2577"/>
      <w:bookmarkEnd w:id="2578"/>
      <w:bookmarkEnd w:id="2579"/>
      <w:bookmarkEnd w:id="2580"/>
    </w:p>
    <w:tbl>
      <w:tblPr>
        <w:tblW w:w="8562" w:type="dxa"/>
        <w:tblInd w:w="108" w:type="dxa"/>
        <w:tblLayout w:type="fixed"/>
        <w:tblCellMar>
          <w:left w:w="85" w:type="dxa"/>
          <w:right w:w="85" w:type="dxa"/>
        </w:tblCellMar>
        <w:tblLook w:val="04A0" w:firstRow="1" w:lastRow="0" w:firstColumn="1" w:lastColumn="0" w:noHBand="0" w:noVBand="1"/>
      </w:tblPr>
      <w:tblGrid>
        <w:gridCol w:w="1688"/>
        <w:gridCol w:w="1001"/>
        <w:gridCol w:w="3567"/>
        <w:gridCol w:w="2306"/>
      </w:tblGrid>
      <w:tr w:rsidR="00A05AC8" w:rsidRPr="00256982" w14:paraId="269E9BB5" w14:textId="77777777" w:rsidTr="00E742A5">
        <w:trPr>
          <w:tblHeader/>
        </w:trPr>
        <w:tc>
          <w:tcPr>
            <w:tcW w:w="1677" w:type="dxa"/>
            <w:tcBorders>
              <w:top w:val="single" w:sz="4" w:space="0" w:color="365F91"/>
              <w:bottom w:val="single" w:sz="4" w:space="0" w:color="365F91"/>
            </w:tcBorders>
            <w:shd w:val="clear" w:color="auto" w:fill="365F91"/>
            <w:vAlign w:val="bottom"/>
          </w:tcPr>
          <w:p w14:paraId="63800280" w14:textId="77777777" w:rsidR="00A05AC8" w:rsidRPr="00256982" w:rsidRDefault="00A05AC8" w:rsidP="00B7783F">
            <w:pPr>
              <w:pStyle w:val="TableTextBold"/>
              <w:keepNext/>
              <w:spacing w:before="40" w:after="40"/>
              <w:rPr>
                <w:noProof w:val="0"/>
                <w:color w:val="FFFFFF"/>
              </w:rPr>
            </w:pPr>
            <w:r w:rsidRPr="00256982">
              <w:rPr>
                <w:noProof w:val="0"/>
                <w:color w:val="FFFFFF"/>
              </w:rPr>
              <w:t>Sector</w:t>
            </w:r>
          </w:p>
        </w:tc>
        <w:tc>
          <w:tcPr>
            <w:tcW w:w="994" w:type="dxa"/>
            <w:tcBorders>
              <w:top w:val="single" w:sz="4" w:space="0" w:color="365F91"/>
              <w:bottom w:val="single" w:sz="4" w:space="0" w:color="365F91"/>
            </w:tcBorders>
            <w:shd w:val="clear" w:color="auto" w:fill="365F91"/>
          </w:tcPr>
          <w:p w14:paraId="40ECD2C0" w14:textId="77777777" w:rsidR="00A05AC8" w:rsidRPr="00256982" w:rsidRDefault="00A05AC8" w:rsidP="00B7783F">
            <w:pPr>
              <w:pStyle w:val="TableTextBold"/>
              <w:spacing w:before="40" w:after="40"/>
              <w:rPr>
                <w:noProof w:val="0"/>
                <w:color w:val="FFFFFF"/>
              </w:rPr>
            </w:pPr>
            <w:r w:rsidRPr="00256982">
              <w:rPr>
                <w:noProof w:val="0"/>
                <w:color w:val="FFFFFF"/>
              </w:rPr>
              <w:t>ID number</w:t>
            </w:r>
          </w:p>
        </w:tc>
        <w:tc>
          <w:tcPr>
            <w:tcW w:w="3543" w:type="dxa"/>
            <w:tcBorders>
              <w:top w:val="single" w:sz="4" w:space="0" w:color="365F91"/>
              <w:bottom w:val="single" w:sz="4" w:space="0" w:color="365F91"/>
            </w:tcBorders>
            <w:shd w:val="clear" w:color="auto" w:fill="365F91"/>
            <w:vAlign w:val="bottom"/>
          </w:tcPr>
          <w:p w14:paraId="585DD8F4" w14:textId="77777777" w:rsidR="00A05AC8" w:rsidRPr="00256982" w:rsidRDefault="00A05AC8" w:rsidP="00B7783F">
            <w:pPr>
              <w:pStyle w:val="TableTextBold"/>
              <w:spacing w:before="40" w:after="40"/>
              <w:rPr>
                <w:noProof w:val="0"/>
                <w:color w:val="FFFFFF"/>
              </w:rPr>
            </w:pPr>
            <w:r w:rsidRPr="00256982">
              <w:rPr>
                <w:noProof w:val="0"/>
                <w:color w:val="FFFFFF"/>
              </w:rPr>
              <w:t>Expert review team recommendation</w:t>
            </w:r>
          </w:p>
        </w:tc>
        <w:tc>
          <w:tcPr>
            <w:tcW w:w="2291" w:type="dxa"/>
            <w:tcBorders>
              <w:top w:val="single" w:sz="4" w:space="0" w:color="365F91"/>
              <w:bottom w:val="single" w:sz="4" w:space="0" w:color="365F91"/>
            </w:tcBorders>
            <w:shd w:val="clear" w:color="auto" w:fill="365F91"/>
            <w:vAlign w:val="bottom"/>
          </w:tcPr>
          <w:p w14:paraId="2358F43D" w14:textId="77777777" w:rsidR="00A05AC8" w:rsidRPr="00256982" w:rsidRDefault="00A05AC8" w:rsidP="00B7783F">
            <w:pPr>
              <w:pStyle w:val="TableTextBold"/>
              <w:spacing w:before="40" w:after="40"/>
              <w:rPr>
                <w:noProof w:val="0"/>
                <w:color w:val="FFFFFF"/>
              </w:rPr>
            </w:pPr>
            <w:r w:rsidRPr="00256982">
              <w:rPr>
                <w:noProof w:val="0"/>
                <w:color w:val="FFFFFF"/>
              </w:rPr>
              <w:t>New Zealand response</w:t>
            </w:r>
          </w:p>
        </w:tc>
      </w:tr>
      <w:tr w:rsidR="00A05AC8" w:rsidRPr="00256982" w14:paraId="77A1FAEF" w14:textId="77777777" w:rsidTr="00E742A5">
        <w:tc>
          <w:tcPr>
            <w:tcW w:w="1677" w:type="dxa"/>
            <w:tcBorders>
              <w:top w:val="single" w:sz="4" w:space="0" w:color="365F91"/>
              <w:bottom w:val="single" w:sz="4" w:space="0" w:color="365F91"/>
            </w:tcBorders>
            <w:shd w:val="clear" w:color="auto" w:fill="auto"/>
          </w:tcPr>
          <w:p w14:paraId="2DC83689" w14:textId="77777777" w:rsidR="00A05AC8" w:rsidRPr="00256982" w:rsidRDefault="00A05AC8" w:rsidP="00B7783F">
            <w:pPr>
              <w:pStyle w:val="TableText"/>
              <w:spacing w:before="40" w:after="40"/>
              <w:rPr>
                <w:highlight w:val="yellow"/>
              </w:rPr>
            </w:pPr>
            <w:r w:rsidRPr="00256982">
              <w:t>Energy – General</w:t>
            </w:r>
          </w:p>
        </w:tc>
        <w:tc>
          <w:tcPr>
            <w:tcW w:w="994" w:type="dxa"/>
            <w:tcBorders>
              <w:top w:val="single" w:sz="4" w:space="0" w:color="365F91"/>
              <w:bottom w:val="single" w:sz="4" w:space="0" w:color="365F91"/>
            </w:tcBorders>
          </w:tcPr>
          <w:p w14:paraId="74E1000E" w14:textId="77777777" w:rsidR="00A05AC8" w:rsidRPr="00256982" w:rsidRDefault="00A05AC8" w:rsidP="00B7783F">
            <w:pPr>
              <w:pStyle w:val="TableText"/>
              <w:spacing w:before="40" w:after="40"/>
            </w:pPr>
            <w:r w:rsidRPr="00256982">
              <w:t>E.22, 2017</w:t>
            </w:r>
          </w:p>
        </w:tc>
        <w:tc>
          <w:tcPr>
            <w:tcW w:w="3543" w:type="dxa"/>
            <w:tcBorders>
              <w:top w:val="single" w:sz="4" w:space="0" w:color="365F91"/>
              <w:bottom w:val="single" w:sz="4" w:space="0" w:color="365F91"/>
            </w:tcBorders>
            <w:shd w:val="clear" w:color="auto" w:fill="auto"/>
          </w:tcPr>
          <w:p w14:paraId="76CC1491" w14:textId="77777777" w:rsidR="00A05AC8" w:rsidRPr="00256982" w:rsidRDefault="00A05AC8" w:rsidP="00B7783F">
            <w:pPr>
              <w:pStyle w:val="TableText"/>
              <w:spacing w:before="40" w:after="40"/>
              <w:rPr>
                <w:highlight w:val="yellow"/>
              </w:rPr>
            </w:pPr>
            <w:r w:rsidRPr="00256982">
              <w:t>The ERT recommends that New Zealand correct the some inconsistencies in the 2017 annual submission</w:t>
            </w:r>
          </w:p>
        </w:tc>
        <w:tc>
          <w:tcPr>
            <w:tcW w:w="2291" w:type="dxa"/>
            <w:tcBorders>
              <w:top w:val="single" w:sz="4" w:space="0" w:color="365F91"/>
              <w:bottom w:val="single" w:sz="4" w:space="0" w:color="365F91"/>
            </w:tcBorders>
            <w:shd w:val="clear" w:color="auto" w:fill="auto"/>
          </w:tcPr>
          <w:p w14:paraId="0E3DE5B5" w14:textId="77777777" w:rsidR="00A05AC8" w:rsidRPr="00256982" w:rsidRDefault="00A05AC8" w:rsidP="00B7783F">
            <w:pPr>
              <w:pStyle w:val="TableText"/>
              <w:spacing w:before="40" w:after="40"/>
              <w:rPr>
                <w:b/>
                <w:highlight w:val="yellow"/>
              </w:rPr>
            </w:pPr>
            <w:r w:rsidRPr="00256982">
              <w:rPr>
                <w:b/>
                <w:bCs/>
              </w:rPr>
              <w:t xml:space="preserve">Resolved. </w:t>
            </w:r>
            <w:r w:rsidRPr="00256982">
              <w:t>These inconsistencies have been corrected.</w:t>
            </w:r>
          </w:p>
        </w:tc>
      </w:tr>
      <w:tr w:rsidR="00A05AC8" w:rsidRPr="00256982" w14:paraId="699F6BA1" w14:textId="77777777" w:rsidTr="00E742A5">
        <w:tc>
          <w:tcPr>
            <w:tcW w:w="1677" w:type="dxa"/>
            <w:tcBorders>
              <w:top w:val="single" w:sz="4" w:space="0" w:color="365F91"/>
              <w:bottom w:val="single" w:sz="4" w:space="0" w:color="365F91"/>
            </w:tcBorders>
            <w:shd w:val="clear" w:color="auto" w:fill="auto"/>
          </w:tcPr>
          <w:p w14:paraId="1C24AD25" w14:textId="77777777" w:rsidR="00A05AC8" w:rsidRPr="00256982" w:rsidRDefault="00A05AC8" w:rsidP="00B7783F">
            <w:pPr>
              <w:pStyle w:val="TableText"/>
              <w:spacing w:before="40" w:after="40"/>
              <w:rPr>
                <w:highlight w:val="yellow"/>
              </w:rPr>
            </w:pPr>
            <w:r w:rsidRPr="00256982">
              <w:t>Energy – Reference approach</w:t>
            </w:r>
          </w:p>
        </w:tc>
        <w:tc>
          <w:tcPr>
            <w:tcW w:w="994" w:type="dxa"/>
            <w:tcBorders>
              <w:top w:val="single" w:sz="4" w:space="0" w:color="365F91"/>
              <w:bottom w:val="single" w:sz="4" w:space="0" w:color="365F91"/>
            </w:tcBorders>
          </w:tcPr>
          <w:p w14:paraId="461323E8" w14:textId="77777777" w:rsidR="00A05AC8" w:rsidRPr="00256982" w:rsidRDefault="00A05AC8" w:rsidP="00B7783F">
            <w:pPr>
              <w:pStyle w:val="TableText"/>
              <w:spacing w:before="40" w:after="40"/>
            </w:pPr>
            <w:r w:rsidRPr="00256982">
              <w:t>E.23, 2017</w:t>
            </w:r>
          </w:p>
        </w:tc>
        <w:tc>
          <w:tcPr>
            <w:tcW w:w="3543" w:type="dxa"/>
            <w:tcBorders>
              <w:top w:val="single" w:sz="4" w:space="0" w:color="365F91"/>
              <w:bottom w:val="single" w:sz="4" w:space="0" w:color="365F91"/>
            </w:tcBorders>
            <w:shd w:val="clear" w:color="auto" w:fill="auto"/>
          </w:tcPr>
          <w:p w14:paraId="67554F59" w14:textId="77777777" w:rsidR="00A05AC8" w:rsidRPr="00256982" w:rsidRDefault="00A05AC8" w:rsidP="00B7783F">
            <w:pPr>
              <w:pStyle w:val="TableText"/>
              <w:spacing w:before="40" w:after="40"/>
              <w:rPr>
                <w:highlight w:val="yellow"/>
              </w:rPr>
            </w:pPr>
            <w:r w:rsidRPr="00256982">
              <w:t>The ERT recommends that New Zealand clarify whether AD for other oil occur in the country and, if so, report the notation key “IE” in CRF table 1.A(b); or correct the information in the documentation box by excluding the mention that emissions from other oil are grouped under bitumen, since these emissions are not occurring.</w:t>
            </w:r>
          </w:p>
        </w:tc>
        <w:tc>
          <w:tcPr>
            <w:tcW w:w="2291" w:type="dxa"/>
            <w:tcBorders>
              <w:top w:val="single" w:sz="4" w:space="0" w:color="365F91"/>
              <w:bottom w:val="single" w:sz="4" w:space="0" w:color="365F91"/>
            </w:tcBorders>
            <w:shd w:val="clear" w:color="auto" w:fill="auto"/>
          </w:tcPr>
          <w:p w14:paraId="4ED201E4" w14:textId="77777777" w:rsidR="00A05AC8" w:rsidRPr="00256982" w:rsidRDefault="00A05AC8" w:rsidP="00B7783F">
            <w:pPr>
              <w:pStyle w:val="TableText"/>
              <w:spacing w:before="40" w:after="40"/>
              <w:rPr>
                <w:b/>
                <w:highlight w:val="yellow"/>
              </w:rPr>
            </w:pPr>
            <w:r w:rsidRPr="00256982">
              <w:rPr>
                <w:b/>
                <w:bCs/>
              </w:rPr>
              <w:t xml:space="preserve">Resolved. </w:t>
            </w:r>
            <w:r w:rsidRPr="00256982">
              <w:t>The notation key ‘IE’ has been used in table 1.A(b).</w:t>
            </w:r>
          </w:p>
        </w:tc>
      </w:tr>
      <w:tr w:rsidR="00A05AC8" w:rsidRPr="00256982" w14:paraId="1C0096BE" w14:textId="77777777" w:rsidTr="00E742A5">
        <w:tc>
          <w:tcPr>
            <w:tcW w:w="1677" w:type="dxa"/>
            <w:tcBorders>
              <w:top w:val="single" w:sz="4" w:space="0" w:color="365F91"/>
              <w:bottom w:val="single" w:sz="4" w:space="0" w:color="365F91"/>
            </w:tcBorders>
            <w:shd w:val="clear" w:color="auto" w:fill="auto"/>
          </w:tcPr>
          <w:p w14:paraId="23F0FD98" w14:textId="77777777" w:rsidR="00A05AC8" w:rsidRPr="00256982" w:rsidRDefault="00A05AC8" w:rsidP="00B7783F">
            <w:pPr>
              <w:pStyle w:val="TableText"/>
              <w:spacing w:before="40" w:after="40"/>
              <w:rPr>
                <w:highlight w:val="yellow"/>
              </w:rPr>
            </w:pPr>
            <w:r w:rsidRPr="00256982">
              <w:t>Energy – Reference approach</w:t>
            </w:r>
          </w:p>
        </w:tc>
        <w:tc>
          <w:tcPr>
            <w:tcW w:w="994" w:type="dxa"/>
            <w:tcBorders>
              <w:top w:val="single" w:sz="4" w:space="0" w:color="365F91"/>
              <w:bottom w:val="single" w:sz="4" w:space="0" w:color="365F91"/>
            </w:tcBorders>
          </w:tcPr>
          <w:p w14:paraId="6F3D7E97" w14:textId="77777777" w:rsidR="00A05AC8" w:rsidRPr="00256982" w:rsidRDefault="00A05AC8" w:rsidP="00B7783F">
            <w:pPr>
              <w:pStyle w:val="TableText"/>
              <w:spacing w:before="40" w:after="40"/>
            </w:pPr>
            <w:r w:rsidRPr="00256982">
              <w:t>E.24, 2017</w:t>
            </w:r>
          </w:p>
        </w:tc>
        <w:tc>
          <w:tcPr>
            <w:tcW w:w="3543" w:type="dxa"/>
            <w:tcBorders>
              <w:top w:val="single" w:sz="4" w:space="0" w:color="365F91"/>
              <w:bottom w:val="single" w:sz="4" w:space="0" w:color="365F91"/>
            </w:tcBorders>
            <w:shd w:val="clear" w:color="auto" w:fill="auto"/>
          </w:tcPr>
          <w:p w14:paraId="252E66E9" w14:textId="77777777" w:rsidR="00A05AC8" w:rsidRPr="00256982" w:rsidRDefault="00A05AC8" w:rsidP="00B7783F">
            <w:pPr>
              <w:pStyle w:val="TableText"/>
              <w:spacing w:before="40" w:after="40"/>
              <w:rPr>
                <w:highlight w:val="yellow"/>
              </w:rPr>
            </w:pPr>
            <w:r w:rsidRPr="00256982">
              <w:t>The ERT recommends that New Zealand provide in the NIR a comparison of the allocation of fuel consumption data used in the inventory (CRF table 1.A(b)) and in the energy balance.</w:t>
            </w:r>
          </w:p>
        </w:tc>
        <w:tc>
          <w:tcPr>
            <w:tcW w:w="2291" w:type="dxa"/>
            <w:tcBorders>
              <w:top w:val="single" w:sz="4" w:space="0" w:color="365F91"/>
              <w:bottom w:val="single" w:sz="4" w:space="0" w:color="365F91"/>
            </w:tcBorders>
            <w:shd w:val="clear" w:color="auto" w:fill="auto"/>
          </w:tcPr>
          <w:p w14:paraId="002EBC75" w14:textId="77777777" w:rsidR="00A05AC8" w:rsidRPr="00256982" w:rsidRDefault="00A05AC8" w:rsidP="00B7783F">
            <w:pPr>
              <w:pStyle w:val="TableText"/>
              <w:spacing w:before="40" w:after="40"/>
              <w:rPr>
                <w:b/>
                <w:highlight w:val="yellow"/>
              </w:rPr>
            </w:pPr>
            <w:r w:rsidRPr="00256982">
              <w:rPr>
                <w:b/>
                <w:bCs/>
              </w:rPr>
              <w:t xml:space="preserve">Not resolved. </w:t>
            </w:r>
            <w:r w:rsidRPr="00256982">
              <w:t>This is a low-value proposition.</w:t>
            </w:r>
          </w:p>
        </w:tc>
      </w:tr>
      <w:tr w:rsidR="00A05AC8" w:rsidRPr="00256982" w14:paraId="0540AFC0" w14:textId="77777777" w:rsidTr="00E742A5">
        <w:tc>
          <w:tcPr>
            <w:tcW w:w="1677" w:type="dxa"/>
            <w:tcBorders>
              <w:top w:val="single" w:sz="4" w:space="0" w:color="365F91"/>
              <w:bottom w:val="single" w:sz="4" w:space="0" w:color="365F91"/>
            </w:tcBorders>
            <w:shd w:val="clear" w:color="auto" w:fill="auto"/>
          </w:tcPr>
          <w:p w14:paraId="5DA3C061" w14:textId="77777777" w:rsidR="00A05AC8" w:rsidRPr="00256982" w:rsidRDefault="00A05AC8" w:rsidP="00B7783F">
            <w:pPr>
              <w:pStyle w:val="TableText"/>
              <w:spacing w:before="40" w:after="40"/>
              <w:rPr>
                <w:highlight w:val="yellow"/>
              </w:rPr>
            </w:pPr>
            <w:r w:rsidRPr="00256982">
              <w:t>Energy – International aviation</w:t>
            </w:r>
          </w:p>
        </w:tc>
        <w:tc>
          <w:tcPr>
            <w:tcW w:w="994" w:type="dxa"/>
            <w:tcBorders>
              <w:top w:val="single" w:sz="4" w:space="0" w:color="365F91"/>
              <w:bottom w:val="single" w:sz="4" w:space="0" w:color="365F91"/>
            </w:tcBorders>
          </w:tcPr>
          <w:p w14:paraId="6E182ACB" w14:textId="77777777" w:rsidR="00A05AC8" w:rsidRPr="00256982" w:rsidRDefault="00A05AC8" w:rsidP="00B7783F">
            <w:pPr>
              <w:pStyle w:val="TableText"/>
              <w:spacing w:before="40" w:after="40"/>
            </w:pPr>
            <w:r w:rsidRPr="00256982">
              <w:t>E.25, 2017</w:t>
            </w:r>
          </w:p>
        </w:tc>
        <w:tc>
          <w:tcPr>
            <w:tcW w:w="3543" w:type="dxa"/>
            <w:tcBorders>
              <w:top w:val="single" w:sz="4" w:space="0" w:color="365F91"/>
              <w:bottom w:val="single" w:sz="4" w:space="0" w:color="365F91"/>
            </w:tcBorders>
            <w:shd w:val="clear" w:color="auto" w:fill="auto"/>
          </w:tcPr>
          <w:p w14:paraId="302E9A9E" w14:textId="77777777" w:rsidR="00A05AC8" w:rsidRPr="00256982" w:rsidRDefault="00A05AC8" w:rsidP="00B7783F">
            <w:pPr>
              <w:pStyle w:val="TableText"/>
              <w:spacing w:before="40" w:after="40"/>
              <w:rPr>
                <w:highlight w:val="yellow"/>
              </w:rPr>
            </w:pPr>
            <w:r w:rsidRPr="00256982">
              <w:t>The ERT recommends that New Zealand evaluate these differences between AD reported in CRF table 1.D and CRF table 1.A(b) for jet kerosene (international aviation bunkers) for all years and correct the identified discrepancies.</w:t>
            </w:r>
          </w:p>
        </w:tc>
        <w:tc>
          <w:tcPr>
            <w:tcW w:w="2291" w:type="dxa"/>
            <w:tcBorders>
              <w:top w:val="single" w:sz="4" w:space="0" w:color="365F91"/>
              <w:bottom w:val="single" w:sz="4" w:space="0" w:color="365F91"/>
            </w:tcBorders>
            <w:shd w:val="clear" w:color="auto" w:fill="auto"/>
          </w:tcPr>
          <w:p w14:paraId="06EE7665" w14:textId="77777777" w:rsidR="00A05AC8" w:rsidRPr="00256982" w:rsidRDefault="00A05AC8" w:rsidP="00B7783F">
            <w:pPr>
              <w:pStyle w:val="TableText"/>
              <w:spacing w:before="40" w:after="40"/>
              <w:rPr>
                <w:highlight w:val="yellow"/>
              </w:rPr>
            </w:pPr>
            <w:r w:rsidRPr="00256982">
              <w:rPr>
                <w:b/>
                <w:bCs/>
              </w:rPr>
              <w:t xml:space="preserve">Not resolved. </w:t>
            </w:r>
            <w:r w:rsidRPr="00256982">
              <w:t xml:space="preserve">These differences have been evaluated and have been found to be very small, averaging less than 0.015 per cent across the whole time series. </w:t>
            </w:r>
          </w:p>
        </w:tc>
      </w:tr>
      <w:tr w:rsidR="00A05AC8" w:rsidRPr="00256982" w14:paraId="6F3AE955" w14:textId="77777777" w:rsidTr="00E742A5">
        <w:tc>
          <w:tcPr>
            <w:tcW w:w="1677" w:type="dxa"/>
            <w:tcBorders>
              <w:top w:val="single" w:sz="4" w:space="0" w:color="365F91"/>
              <w:bottom w:val="single" w:sz="4" w:space="0" w:color="365F91"/>
            </w:tcBorders>
            <w:shd w:val="clear" w:color="auto" w:fill="auto"/>
          </w:tcPr>
          <w:p w14:paraId="1DA30EED" w14:textId="77777777" w:rsidR="00A05AC8" w:rsidRPr="00256982" w:rsidRDefault="00A05AC8" w:rsidP="00B7783F">
            <w:pPr>
              <w:pStyle w:val="TableText"/>
              <w:spacing w:before="40" w:after="40"/>
              <w:rPr>
                <w:highlight w:val="yellow"/>
              </w:rPr>
            </w:pPr>
            <w:r w:rsidRPr="00256982">
              <w:t>Energy – Coal mining and handling</w:t>
            </w:r>
          </w:p>
        </w:tc>
        <w:tc>
          <w:tcPr>
            <w:tcW w:w="994" w:type="dxa"/>
            <w:tcBorders>
              <w:top w:val="single" w:sz="4" w:space="0" w:color="365F91"/>
              <w:bottom w:val="single" w:sz="4" w:space="0" w:color="365F91"/>
            </w:tcBorders>
          </w:tcPr>
          <w:p w14:paraId="13805A17" w14:textId="77777777" w:rsidR="00A05AC8" w:rsidRPr="00256982" w:rsidRDefault="00A05AC8" w:rsidP="00B7783F">
            <w:pPr>
              <w:pStyle w:val="TableText"/>
              <w:spacing w:before="40" w:after="40"/>
            </w:pPr>
            <w:r w:rsidRPr="00256982">
              <w:t>E.26, 2017</w:t>
            </w:r>
          </w:p>
        </w:tc>
        <w:tc>
          <w:tcPr>
            <w:tcW w:w="3543" w:type="dxa"/>
            <w:tcBorders>
              <w:top w:val="single" w:sz="4" w:space="0" w:color="365F91"/>
              <w:bottom w:val="single" w:sz="4" w:space="0" w:color="365F91"/>
            </w:tcBorders>
            <w:shd w:val="clear" w:color="auto" w:fill="auto"/>
          </w:tcPr>
          <w:p w14:paraId="3E0CDC7A" w14:textId="77777777" w:rsidR="00A05AC8" w:rsidRPr="00256982" w:rsidRDefault="00A05AC8" w:rsidP="00B7783F">
            <w:pPr>
              <w:pStyle w:val="TableText"/>
              <w:spacing w:before="40" w:after="40"/>
              <w:rPr>
                <w:highlight w:val="yellow"/>
              </w:rPr>
            </w:pPr>
            <w:r w:rsidRPr="00256982">
              <w:t>The ERT recommends that New Zealand clarify in the NIR whether there are any emissions relating to CH</w:t>
            </w:r>
            <w:r w:rsidRPr="00256982">
              <w:rPr>
                <w:vertAlign w:val="subscript"/>
              </w:rPr>
              <w:t>4</w:t>
            </w:r>
            <w:r w:rsidRPr="00256982">
              <w:t xml:space="preserve"> recovery/flaring under category 1.B.1.a.i (abandoned underground mines) that are not estimated. If emissions from recovery/flaring do occur, estimate the amount of CH</w:t>
            </w:r>
            <w:r w:rsidRPr="00256982">
              <w:rPr>
                <w:vertAlign w:val="subscript"/>
              </w:rPr>
              <w:t>4</w:t>
            </w:r>
            <w:r w:rsidRPr="00256982">
              <w:t xml:space="preserve"> recovered in accordance with the 2006 IPCC Guidelines (volume 2, chapter 4.1.5.3, p.4.28). And if such emissions do not occur, change the notation key in CRF table 1.B.1 from “NE” to “NO”.</w:t>
            </w:r>
          </w:p>
        </w:tc>
        <w:tc>
          <w:tcPr>
            <w:tcW w:w="2291" w:type="dxa"/>
            <w:tcBorders>
              <w:top w:val="single" w:sz="4" w:space="0" w:color="365F91"/>
              <w:bottom w:val="single" w:sz="4" w:space="0" w:color="365F91"/>
            </w:tcBorders>
            <w:shd w:val="clear" w:color="auto" w:fill="auto"/>
          </w:tcPr>
          <w:p w14:paraId="0E731009" w14:textId="77777777" w:rsidR="00A05AC8" w:rsidRPr="00256982" w:rsidRDefault="00A05AC8" w:rsidP="00B7783F">
            <w:pPr>
              <w:pStyle w:val="TableText"/>
              <w:spacing w:before="40" w:after="40"/>
              <w:rPr>
                <w:highlight w:val="yellow"/>
              </w:rPr>
            </w:pPr>
            <w:r w:rsidRPr="00256982">
              <w:rPr>
                <w:b/>
                <w:bCs/>
              </w:rPr>
              <w:t xml:space="preserve">Not applicable. </w:t>
            </w:r>
            <w:r w:rsidRPr="00256982">
              <w:rPr>
                <w:bCs/>
              </w:rPr>
              <w:t xml:space="preserve">We reject the premise of E.26 and disagree with the last part of recommendation. Nevertheless, the NIR has been updated to clarify that recovery/flaring does not occur. </w:t>
            </w:r>
          </w:p>
        </w:tc>
      </w:tr>
      <w:tr w:rsidR="00A05AC8" w:rsidRPr="00256982" w14:paraId="2382DE43" w14:textId="77777777" w:rsidTr="00E742A5">
        <w:tc>
          <w:tcPr>
            <w:tcW w:w="1677" w:type="dxa"/>
            <w:tcBorders>
              <w:top w:val="single" w:sz="4" w:space="0" w:color="365F91"/>
              <w:bottom w:val="single" w:sz="4" w:space="0" w:color="365F91"/>
            </w:tcBorders>
            <w:shd w:val="clear" w:color="auto" w:fill="auto"/>
          </w:tcPr>
          <w:p w14:paraId="42164755" w14:textId="77777777" w:rsidR="00A05AC8" w:rsidRPr="00256982" w:rsidRDefault="00A05AC8" w:rsidP="00B7783F">
            <w:pPr>
              <w:pStyle w:val="TableText"/>
              <w:spacing w:before="40" w:after="40"/>
              <w:rPr>
                <w:highlight w:val="yellow"/>
              </w:rPr>
            </w:pPr>
            <w:r w:rsidRPr="00256982">
              <w:t>IPPU – 2.A Mineral industry – CO</w:t>
            </w:r>
            <w:r w:rsidRPr="00256982">
              <w:rPr>
                <w:vertAlign w:val="subscript"/>
              </w:rPr>
              <w:t>2</w:t>
            </w:r>
          </w:p>
        </w:tc>
        <w:tc>
          <w:tcPr>
            <w:tcW w:w="994" w:type="dxa"/>
            <w:tcBorders>
              <w:top w:val="single" w:sz="4" w:space="0" w:color="365F91"/>
              <w:bottom w:val="single" w:sz="4" w:space="0" w:color="365F91"/>
            </w:tcBorders>
          </w:tcPr>
          <w:p w14:paraId="6BBB5F9E" w14:textId="77777777" w:rsidR="00A05AC8" w:rsidRPr="00256982" w:rsidRDefault="00A05AC8" w:rsidP="00B7783F">
            <w:pPr>
              <w:pStyle w:val="TableText"/>
              <w:spacing w:before="40" w:after="40"/>
            </w:pPr>
            <w:r w:rsidRPr="00256982">
              <w:t>I.22, 2017</w:t>
            </w:r>
          </w:p>
        </w:tc>
        <w:tc>
          <w:tcPr>
            <w:tcW w:w="3543" w:type="dxa"/>
            <w:tcBorders>
              <w:top w:val="single" w:sz="4" w:space="0" w:color="365F91"/>
              <w:bottom w:val="single" w:sz="4" w:space="0" w:color="365F91"/>
            </w:tcBorders>
            <w:shd w:val="clear" w:color="auto" w:fill="auto"/>
          </w:tcPr>
          <w:p w14:paraId="0E502524" w14:textId="77777777" w:rsidR="00A05AC8" w:rsidRPr="00256982" w:rsidRDefault="00A05AC8" w:rsidP="00B7783F">
            <w:pPr>
              <w:pStyle w:val="TableText"/>
              <w:spacing w:before="40" w:after="40"/>
              <w:rPr>
                <w:highlight w:val="yellow"/>
              </w:rPr>
            </w:pPr>
            <w:r w:rsidRPr="00256982">
              <w:t>Review the calculation of the uncertainty for category 2.A and correct the values in NIR table 4.2.1 and A2.1.1, annex 2, if needed.</w:t>
            </w:r>
          </w:p>
        </w:tc>
        <w:tc>
          <w:tcPr>
            <w:tcW w:w="2291" w:type="dxa"/>
            <w:tcBorders>
              <w:top w:val="single" w:sz="4" w:space="0" w:color="365F91"/>
              <w:bottom w:val="single" w:sz="4" w:space="0" w:color="365F91"/>
            </w:tcBorders>
            <w:shd w:val="clear" w:color="auto" w:fill="auto"/>
          </w:tcPr>
          <w:p w14:paraId="33AD898E" w14:textId="77777777" w:rsidR="00A05AC8" w:rsidRPr="00256982" w:rsidRDefault="00A05AC8" w:rsidP="00B7783F">
            <w:pPr>
              <w:pStyle w:val="TableText"/>
              <w:spacing w:before="40" w:after="40"/>
              <w:rPr>
                <w:highlight w:val="yellow"/>
              </w:rPr>
            </w:pPr>
            <w:r w:rsidRPr="00256982">
              <w:rPr>
                <w:b/>
              </w:rPr>
              <w:t xml:space="preserve">Resolved. </w:t>
            </w:r>
            <w:r w:rsidRPr="00256982">
              <w:t xml:space="preserve">This has been reviewed. </w:t>
            </w:r>
          </w:p>
        </w:tc>
      </w:tr>
      <w:tr w:rsidR="00A05AC8" w:rsidRPr="00256982" w14:paraId="5651B70F" w14:textId="77777777" w:rsidTr="00E742A5">
        <w:tc>
          <w:tcPr>
            <w:tcW w:w="1677" w:type="dxa"/>
            <w:tcBorders>
              <w:top w:val="single" w:sz="4" w:space="0" w:color="365F91"/>
              <w:bottom w:val="single" w:sz="4" w:space="0" w:color="365F91"/>
            </w:tcBorders>
            <w:shd w:val="clear" w:color="auto" w:fill="auto"/>
          </w:tcPr>
          <w:p w14:paraId="6E95635D" w14:textId="77777777" w:rsidR="00A05AC8" w:rsidRPr="00256982" w:rsidRDefault="00A05AC8" w:rsidP="00B7783F">
            <w:pPr>
              <w:pStyle w:val="TableText"/>
              <w:spacing w:before="40" w:after="40"/>
              <w:rPr>
                <w:highlight w:val="yellow"/>
              </w:rPr>
            </w:pPr>
            <w:r w:rsidRPr="00256982">
              <w:t>IPPU – 2.A.2 Lime production – CO</w:t>
            </w:r>
            <w:r w:rsidRPr="00256982">
              <w:rPr>
                <w:vertAlign w:val="subscript"/>
              </w:rPr>
              <w:t>2</w:t>
            </w:r>
          </w:p>
        </w:tc>
        <w:tc>
          <w:tcPr>
            <w:tcW w:w="994" w:type="dxa"/>
            <w:tcBorders>
              <w:top w:val="single" w:sz="4" w:space="0" w:color="365F91"/>
              <w:bottom w:val="single" w:sz="4" w:space="0" w:color="365F91"/>
            </w:tcBorders>
          </w:tcPr>
          <w:p w14:paraId="7411DB5F" w14:textId="77777777" w:rsidR="00A05AC8" w:rsidRPr="00256982" w:rsidRDefault="00A05AC8" w:rsidP="00B7783F">
            <w:pPr>
              <w:pStyle w:val="TableText"/>
              <w:spacing w:before="40" w:after="40"/>
            </w:pPr>
            <w:r w:rsidRPr="00256982">
              <w:t>I.23, 2017</w:t>
            </w:r>
          </w:p>
        </w:tc>
        <w:tc>
          <w:tcPr>
            <w:tcW w:w="3543" w:type="dxa"/>
            <w:tcBorders>
              <w:top w:val="single" w:sz="4" w:space="0" w:color="365F91"/>
              <w:bottom w:val="single" w:sz="4" w:space="0" w:color="365F91"/>
            </w:tcBorders>
            <w:shd w:val="clear" w:color="auto" w:fill="auto"/>
          </w:tcPr>
          <w:p w14:paraId="6C19BDA0" w14:textId="77777777" w:rsidR="00A05AC8" w:rsidRPr="00256982" w:rsidRDefault="00A05AC8" w:rsidP="00B7783F">
            <w:pPr>
              <w:pStyle w:val="TableText"/>
              <w:spacing w:before="40" w:after="40"/>
              <w:rPr>
                <w:highlight w:val="yellow"/>
              </w:rPr>
            </w:pPr>
            <w:r w:rsidRPr="00256982">
              <w:t>Report in CRF table 2(I).A-Hs1 a consistent type of AD for lime production for all years (e.g. by converting “pure CaO” to “burnt lime” using an appropriate conversion factor) and apply the default EF from the 2006 IPCC Guidelines for 1990–2013 accordingly. In addition, the ERT recommends that the Party update the description in the NIR to correctly reflect the AD and EFs used and to clarify the assumptions and methods applied for 1990–2013 and 2014 onwards.</w:t>
            </w:r>
          </w:p>
        </w:tc>
        <w:tc>
          <w:tcPr>
            <w:tcW w:w="2291" w:type="dxa"/>
            <w:tcBorders>
              <w:top w:val="single" w:sz="4" w:space="0" w:color="365F91"/>
              <w:bottom w:val="single" w:sz="4" w:space="0" w:color="365F91"/>
            </w:tcBorders>
            <w:shd w:val="clear" w:color="auto" w:fill="auto"/>
          </w:tcPr>
          <w:p w14:paraId="328C958B" w14:textId="77777777" w:rsidR="00A05AC8" w:rsidRPr="00256982" w:rsidRDefault="00A05AC8" w:rsidP="00B7783F">
            <w:pPr>
              <w:pStyle w:val="TableText"/>
              <w:spacing w:before="40" w:after="40"/>
              <w:rPr>
                <w:highlight w:val="yellow"/>
              </w:rPr>
            </w:pPr>
            <w:r w:rsidRPr="00256982">
              <w:rPr>
                <w:b/>
              </w:rPr>
              <w:t xml:space="preserve">Resolved. </w:t>
            </w:r>
            <w:r w:rsidRPr="00256982">
              <w:t xml:space="preserve">The amounts of impure burnt lime are now used consistently for the entire time series. </w:t>
            </w:r>
          </w:p>
        </w:tc>
      </w:tr>
      <w:tr w:rsidR="00A05AC8" w:rsidRPr="00256982" w14:paraId="7C6361EF" w14:textId="77777777" w:rsidTr="00E742A5">
        <w:tc>
          <w:tcPr>
            <w:tcW w:w="1677" w:type="dxa"/>
            <w:tcBorders>
              <w:top w:val="single" w:sz="4" w:space="0" w:color="365F91"/>
              <w:bottom w:val="single" w:sz="4" w:space="0" w:color="365F91"/>
            </w:tcBorders>
            <w:shd w:val="clear" w:color="auto" w:fill="auto"/>
          </w:tcPr>
          <w:p w14:paraId="17E891D2" w14:textId="77777777" w:rsidR="00A05AC8" w:rsidRPr="00256982" w:rsidRDefault="00A05AC8" w:rsidP="00B7783F">
            <w:pPr>
              <w:pStyle w:val="TableText"/>
              <w:keepNext/>
              <w:spacing w:before="40" w:after="40"/>
              <w:rPr>
                <w:highlight w:val="yellow"/>
              </w:rPr>
            </w:pPr>
            <w:r w:rsidRPr="00256982">
              <w:t>IPPU – 2.B.1 Ammonia production – CO</w:t>
            </w:r>
            <w:r w:rsidRPr="00256982">
              <w:rPr>
                <w:vertAlign w:val="subscript"/>
              </w:rPr>
              <w:t>2</w:t>
            </w:r>
          </w:p>
        </w:tc>
        <w:tc>
          <w:tcPr>
            <w:tcW w:w="994" w:type="dxa"/>
            <w:tcBorders>
              <w:top w:val="single" w:sz="4" w:space="0" w:color="365F91"/>
              <w:bottom w:val="single" w:sz="4" w:space="0" w:color="365F91"/>
            </w:tcBorders>
          </w:tcPr>
          <w:p w14:paraId="502ED0D2" w14:textId="77777777" w:rsidR="00A05AC8" w:rsidRPr="00256982" w:rsidRDefault="00A05AC8" w:rsidP="00B7783F">
            <w:pPr>
              <w:pStyle w:val="TableText"/>
              <w:spacing w:before="40" w:after="40"/>
            </w:pPr>
            <w:r w:rsidRPr="00256982">
              <w:t>I.24, 2017</w:t>
            </w:r>
          </w:p>
        </w:tc>
        <w:tc>
          <w:tcPr>
            <w:tcW w:w="3543" w:type="dxa"/>
            <w:tcBorders>
              <w:top w:val="single" w:sz="4" w:space="0" w:color="365F91"/>
              <w:bottom w:val="single" w:sz="4" w:space="0" w:color="365F91"/>
            </w:tcBorders>
            <w:shd w:val="clear" w:color="auto" w:fill="auto"/>
          </w:tcPr>
          <w:p w14:paraId="2F0DF696" w14:textId="77777777" w:rsidR="00A05AC8" w:rsidRPr="00256982" w:rsidRDefault="00A05AC8" w:rsidP="00B7783F">
            <w:pPr>
              <w:pStyle w:val="TableText"/>
              <w:spacing w:before="40" w:after="40"/>
              <w:rPr>
                <w:highlight w:val="yellow"/>
              </w:rPr>
            </w:pPr>
            <w:r w:rsidRPr="00256982">
              <w:t>Clarify in the NIR (section 4.3.2) that urea used as fertilizer is reported under category 3.H. The ERT also recommends that New Zealand either: (a) provide an estimate for urea use in selective catalytic reduction (under category 2.D.3) in line with the 2006 IPCC Guidelines; or (b) provide a justification for its exclusion in terms of the likely level of emissions, in accordance with the requirements in paragraph 37(b) of the UNFCCC Annex I inventory reporting guidelines.</w:t>
            </w:r>
          </w:p>
        </w:tc>
        <w:tc>
          <w:tcPr>
            <w:tcW w:w="2291" w:type="dxa"/>
            <w:tcBorders>
              <w:top w:val="single" w:sz="4" w:space="0" w:color="365F91"/>
              <w:bottom w:val="single" w:sz="4" w:space="0" w:color="365F91"/>
            </w:tcBorders>
            <w:shd w:val="clear" w:color="auto" w:fill="auto"/>
          </w:tcPr>
          <w:p w14:paraId="45B99A5B" w14:textId="77777777" w:rsidR="00A05AC8" w:rsidRPr="00256982" w:rsidRDefault="00A05AC8" w:rsidP="00B7783F">
            <w:pPr>
              <w:pStyle w:val="TableText"/>
              <w:spacing w:before="40" w:after="40"/>
              <w:rPr>
                <w:b/>
                <w:highlight w:val="yellow"/>
              </w:rPr>
            </w:pPr>
            <w:r w:rsidRPr="00256982">
              <w:rPr>
                <w:b/>
              </w:rPr>
              <w:t xml:space="preserve">Resolved. </w:t>
            </w:r>
            <w:r w:rsidRPr="00256982">
              <w:t xml:space="preserve">The use of urea as a catalyst is now reported. </w:t>
            </w:r>
          </w:p>
        </w:tc>
      </w:tr>
      <w:tr w:rsidR="00A05AC8" w:rsidRPr="00256982" w14:paraId="675FA152" w14:textId="77777777" w:rsidTr="00E742A5">
        <w:tc>
          <w:tcPr>
            <w:tcW w:w="1677" w:type="dxa"/>
            <w:tcBorders>
              <w:top w:val="single" w:sz="4" w:space="0" w:color="365F91"/>
              <w:bottom w:val="single" w:sz="4" w:space="0" w:color="365F91"/>
            </w:tcBorders>
            <w:shd w:val="clear" w:color="auto" w:fill="auto"/>
          </w:tcPr>
          <w:p w14:paraId="0BB0F59A" w14:textId="77777777" w:rsidR="00A05AC8" w:rsidRPr="00256982" w:rsidRDefault="00A05AC8" w:rsidP="00B7783F">
            <w:pPr>
              <w:pStyle w:val="TableText"/>
              <w:spacing w:before="40" w:after="40"/>
              <w:rPr>
                <w:highlight w:val="yellow"/>
              </w:rPr>
            </w:pPr>
            <w:r w:rsidRPr="00256982">
              <w:t>IPPU – 2.B Chemical industry – CO</w:t>
            </w:r>
            <w:r w:rsidRPr="00256982">
              <w:rPr>
                <w:vertAlign w:val="subscript"/>
              </w:rPr>
              <w:t>2</w:t>
            </w:r>
          </w:p>
        </w:tc>
        <w:tc>
          <w:tcPr>
            <w:tcW w:w="994" w:type="dxa"/>
            <w:tcBorders>
              <w:top w:val="single" w:sz="4" w:space="0" w:color="365F91"/>
              <w:bottom w:val="single" w:sz="4" w:space="0" w:color="365F91"/>
            </w:tcBorders>
          </w:tcPr>
          <w:p w14:paraId="1ECADE74" w14:textId="77777777" w:rsidR="00A05AC8" w:rsidRPr="00256982" w:rsidRDefault="00A05AC8" w:rsidP="00B7783F">
            <w:pPr>
              <w:pStyle w:val="TableText"/>
              <w:spacing w:before="40" w:after="40"/>
            </w:pPr>
            <w:r w:rsidRPr="00256982">
              <w:t>I.25, 2017</w:t>
            </w:r>
          </w:p>
        </w:tc>
        <w:tc>
          <w:tcPr>
            <w:tcW w:w="3543" w:type="dxa"/>
            <w:tcBorders>
              <w:top w:val="single" w:sz="4" w:space="0" w:color="365F91"/>
              <w:bottom w:val="single" w:sz="4" w:space="0" w:color="365F91"/>
            </w:tcBorders>
            <w:shd w:val="clear" w:color="auto" w:fill="auto"/>
          </w:tcPr>
          <w:p w14:paraId="67C4C2E2" w14:textId="77777777" w:rsidR="00A05AC8" w:rsidRPr="00256982" w:rsidRDefault="00A05AC8" w:rsidP="00B7783F">
            <w:pPr>
              <w:pStyle w:val="TableText"/>
              <w:spacing w:before="40" w:after="40"/>
              <w:rPr>
                <w:highlight w:val="yellow"/>
              </w:rPr>
            </w:pPr>
            <w:r w:rsidRPr="00256982">
              <w:t>Review the calculation of the uncertainties for category 2.B and correct the values given in the NIR (annex 2, table A2.1.1) if necessary.</w:t>
            </w:r>
          </w:p>
        </w:tc>
        <w:tc>
          <w:tcPr>
            <w:tcW w:w="2291" w:type="dxa"/>
            <w:tcBorders>
              <w:top w:val="single" w:sz="4" w:space="0" w:color="365F91"/>
              <w:bottom w:val="single" w:sz="4" w:space="0" w:color="365F91"/>
            </w:tcBorders>
            <w:shd w:val="clear" w:color="auto" w:fill="auto"/>
          </w:tcPr>
          <w:p w14:paraId="02754188" w14:textId="77777777" w:rsidR="00A05AC8" w:rsidRPr="00256982" w:rsidRDefault="00A05AC8" w:rsidP="00B7783F">
            <w:pPr>
              <w:pStyle w:val="TableText"/>
              <w:spacing w:before="40" w:after="40"/>
              <w:rPr>
                <w:highlight w:val="yellow"/>
              </w:rPr>
            </w:pPr>
            <w:r w:rsidRPr="00256982">
              <w:rPr>
                <w:b/>
              </w:rPr>
              <w:t>Resolved.</w:t>
            </w:r>
            <w:r w:rsidRPr="00256982">
              <w:t xml:space="preserve"> This has been reviewed. </w:t>
            </w:r>
          </w:p>
        </w:tc>
      </w:tr>
      <w:tr w:rsidR="00A05AC8" w:rsidRPr="00256982" w14:paraId="156E073C" w14:textId="77777777" w:rsidTr="00E742A5">
        <w:tc>
          <w:tcPr>
            <w:tcW w:w="1677" w:type="dxa"/>
            <w:tcBorders>
              <w:top w:val="single" w:sz="4" w:space="0" w:color="365F91"/>
              <w:bottom w:val="single" w:sz="4" w:space="0" w:color="365F91"/>
            </w:tcBorders>
            <w:shd w:val="clear" w:color="auto" w:fill="auto"/>
          </w:tcPr>
          <w:p w14:paraId="5ABCB95B" w14:textId="77777777" w:rsidR="00A05AC8" w:rsidRPr="00256982" w:rsidRDefault="00A05AC8" w:rsidP="00B7783F">
            <w:pPr>
              <w:pStyle w:val="TableText"/>
              <w:spacing w:before="40" w:after="40"/>
              <w:rPr>
                <w:highlight w:val="yellow"/>
              </w:rPr>
            </w:pPr>
            <w:r w:rsidRPr="00256982">
              <w:t>IPPU – 2.C.1 Iron and steel production – CO</w:t>
            </w:r>
            <w:r w:rsidRPr="00256982">
              <w:rPr>
                <w:vertAlign w:val="subscript"/>
              </w:rPr>
              <w:t>2</w:t>
            </w:r>
          </w:p>
        </w:tc>
        <w:tc>
          <w:tcPr>
            <w:tcW w:w="994" w:type="dxa"/>
            <w:tcBorders>
              <w:top w:val="single" w:sz="4" w:space="0" w:color="365F91"/>
              <w:bottom w:val="single" w:sz="4" w:space="0" w:color="365F91"/>
            </w:tcBorders>
          </w:tcPr>
          <w:p w14:paraId="151FBE7D" w14:textId="77777777" w:rsidR="00A05AC8" w:rsidRPr="00256982" w:rsidRDefault="00A05AC8" w:rsidP="00B7783F">
            <w:pPr>
              <w:pStyle w:val="TableText"/>
              <w:spacing w:before="40" w:after="40"/>
            </w:pPr>
            <w:r w:rsidRPr="00256982">
              <w:t>I.26, 2017</w:t>
            </w:r>
          </w:p>
        </w:tc>
        <w:tc>
          <w:tcPr>
            <w:tcW w:w="3543" w:type="dxa"/>
            <w:tcBorders>
              <w:top w:val="single" w:sz="4" w:space="0" w:color="365F91"/>
              <w:bottom w:val="single" w:sz="4" w:space="0" w:color="365F91"/>
            </w:tcBorders>
            <w:shd w:val="clear" w:color="auto" w:fill="auto"/>
          </w:tcPr>
          <w:p w14:paraId="7DDB807F" w14:textId="77777777" w:rsidR="00A05AC8" w:rsidRPr="00256982" w:rsidRDefault="00A05AC8" w:rsidP="00B7783F">
            <w:pPr>
              <w:pStyle w:val="TableText"/>
              <w:spacing w:before="40" w:after="40"/>
              <w:rPr>
                <w:highlight w:val="yellow"/>
              </w:rPr>
            </w:pPr>
            <w:r w:rsidRPr="00256982">
              <w:t>Estimate CO</w:t>
            </w:r>
            <w:r w:rsidRPr="00256982">
              <w:rPr>
                <w:vertAlign w:val="subscript"/>
              </w:rPr>
              <w:t>2</w:t>
            </w:r>
            <w:r w:rsidRPr="00256982">
              <w:t xml:space="preserve"> emissions from electric steel production at the Pacific Steel plant, either by using a carbon balance or by applying an appropriate EF, and report these emissions under category 2.C.1.</w:t>
            </w:r>
          </w:p>
        </w:tc>
        <w:tc>
          <w:tcPr>
            <w:tcW w:w="2291" w:type="dxa"/>
            <w:tcBorders>
              <w:top w:val="single" w:sz="4" w:space="0" w:color="365F91"/>
              <w:bottom w:val="single" w:sz="4" w:space="0" w:color="365F91"/>
            </w:tcBorders>
            <w:shd w:val="clear" w:color="auto" w:fill="auto"/>
          </w:tcPr>
          <w:p w14:paraId="68DD8617" w14:textId="77777777" w:rsidR="00A05AC8" w:rsidRPr="00256982" w:rsidRDefault="00A05AC8" w:rsidP="00B7783F">
            <w:pPr>
              <w:pStyle w:val="TableText"/>
              <w:spacing w:before="40" w:after="40"/>
              <w:rPr>
                <w:b/>
                <w:highlight w:val="yellow"/>
              </w:rPr>
            </w:pPr>
            <w:r w:rsidRPr="00256982">
              <w:rPr>
                <w:b/>
              </w:rPr>
              <w:t xml:space="preserve">Addressing. </w:t>
            </w:r>
            <w:r w:rsidRPr="00256982">
              <w:t>Data from this</w:t>
            </w:r>
            <w:r w:rsidRPr="00256982">
              <w:rPr>
                <w:b/>
              </w:rPr>
              <w:t xml:space="preserve"> </w:t>
            </w:r>
            <w:r w:rsidRPr="00256982">
              <w:t xml:space="preserve">plant, which has closed, are unlikely to become available. </w:t>
            </w:r>
          </w:p>
        </w:tc>
      </w:tr>
      <w:tr w:rsidR="00A05AC8" w:rsidRPr="00256982" w14:paraId="6D6C86D4" w14:textId="77777777" w:rsidTr="00E742A5">
        <w:tc>
          <w:tcPr>
            <w:tcW w:w="1677" w:type="dxa"/>
            <w:tcBorders>
              <w:top w:val="single" w:sz="4" w:space="0" w:color="365F91"/>
              <w:bottom w:val="single" w:sz="4" w:space="0" w:color="365F91"/>
            </w:tcBorders>
            <w:shd w:val="clear" w:color="auto" w:fill="auto"/>
          </w:tcPr>
          <w:p w14:paraId="39184B55" w14:textId="77777777" w:rsidR="00A05AC8" w:rsidRPr="00256982" w:rsidRDefault="00A05AC8" w:rsidP="00B7783F">
            <w:pPr>
              <w:pStyle w:val="TableText"/>
              <w:spacing w:before="40" w:after="40"/>
              <w:rPr>
                <w:highlight w:val="yellow"/>
              </w:rPr>
            </w:pPr>
            <w:r w:rsidRPr="00256982">
              <w:t>IPPU – 2.B.1 Aluminium production – PFCs</w:t>
            </w:r>
          </w:p>
        </w:tc>
        <w:tc>
          <w:tcPr>
            <w:tcW w:w="994" w:type="dxa"/>
            <w:tcBorders>
              <w:top w:val="single" w:sz="4" w:space="0" w:color="365F91"/>
              <w:bottom w:val="single" w:sz="4" w:space="0" w:color="365F91"/>
            </w:tcBorders>
          </w:tcPr>
          <w:p w14:paraId="740EE11B" w14:textId="77777777" w:rsidR="00A05AC8" w:rsidRPr="00256982" w:rsidRDefault="00A05AC8" w:rsidP="00B7783F">
            <w:pPr>
              <w:pStyle w:val="TableText"/>
              <w:spacing w:before="40" w:after="40"/>
              <w:rPr>
                <w:highlight w:val="yellow"/>
              </w:rPr>
            </w:pPr>
            <w:r w:rsidRPr="00256982">
              <w:t>I.27, 2017</w:t>
            </w:r>
          </w:p>
        </w:tc>
        <w:tc>
          <w:tcPr>
            <w:tcW w:w="3543" w:type="dxa"/>
            <w:tcBorders>
              <w:top w:val="single" w:sz="4" w:space="0" w:color="365F91"/>
              <w:bottom w:val="single" w:sz="4" w:space="0" w:color="365F91"/>
            </w:tcBorders>
            <w:shd w:val="clear" w:color="auto" w:fill="auto"/>
          </w:tcPr>
          <w:p w14:paraId="79DEB1DB" w14:textId="77777777" w:rsidR="00A05AC8" w:rsidRPr="00256982" w:rsidRDefault="00A05AC8" w:rsidP="00B7783F">
            <w:pPr>
              <w:pStyle w:val="TableText"/>
              <w:spacing w:before="40" w:after="40"/>
              <w:rPr>
                <w:highlight w:val="yellow"/>
              </w:rPr>
            </w:pPr>
            <w:r w:rsidRPr="00256982">
              <w:t>Improve the description in the NIR of the reasons for the choice for using a tier 1 method for 1990 and 1991, including the information provided to the ERT during the review … which reduced the occurrence of anode effects and which explains the decrease in emissions and in the EF between the years 1990–1991 and later years.</w:t>
            </w:r>
          </w:p>
        </w:tc>
        <w:tc>
          <w:tcPr>
            <w:tcW w:w="2291" w:type="dxa"/>
            <w:tcBorders>
              <w:top w:val="single" w:sz="4" w:space="0" w:color="365F91"/>
              <w:bottom w:val="single" w:sz="4" w:space="0" w:color="365F91"/>
            </w:tcBorders>
            <w:shd w:val="clear" w:color="auto" w:fill="auto"/>
          </w:tcPr>
          <w:p w14:paraId="6F5A11DF" w14:textId="77777777" w:rsidR="00A05AC8" w:rsidRPr="00256982" w:rsidRDefault="00A05AC8" w:rsidP="00B7783F">
            <w:pPr>
              <w:pStyle w:val="TableText"/>
              <w:spacing w:before="40" w:after="40"/>
              <w:rPr>
                <w:b/>
                <w:highlight w:val="yellow"/>
              </w:rPr>
            </w:pPr>
            <w:r w:rsidRPr="00256982">
              <w:rPr>
                <w:b/>
              </w:rPr>
              <w:t>Resolved.</w:t>
            </w:r>
            <w:r w:rsidRPr="00256982">
              <w:t xml:space="preserve"> This explanation has been included in the NIR. </w:t>
            </w:r>
          </w:p>
        </w:tc>
      </w:tr>
      <w:tr w:rsidR="00A05AC8" w:rsidRPr="00256982" w14:paraId="32963318" w14:textId="77777777" w:rsidTr="00E742A5">
        <w:tc>
          <w:tcPr>
            <w:tcW w:w="1677" w:type="dxa"/>
            <w:tcBorders>
              <w:top w:val="single" w:sz="4" w:space="0" w:color="365F91"/>
              <w:bottom w:val="single" w:sz="4" w:space="0" w:color="365F91"/>
            </w:tcBorders>
            <w:shd w:val="clear" w:color="auto" w:fill="auto"/>
          </w:tcPr>
          <w:p w14:paraId="777D65BA" w14:textId="77777777" w:rsidR="00A05AC8" w:rsidRPr="00256982" w:rsidRDefault="00A05AC8" w:rsidP="00B7783F">
            <w:pPr>
              <w:pStyle w:val="TableText"/>
              <w:spacing w:before="40" w:after="40"/>
              <w:rPr>
                <w:highlight w:val="yellow"/>
              </w:rPr>
            </w:pPr>
            <w:r w:rsidRPr="00256982">
              <w:t>IPPU – 2.C.4 Magnesium production – SF</w:t>
            </w:r>
            <w:r w:rsidRPr="00256982">
              <w:rPr>
                <w:vertAlign w:val="subscript"/>
              </w:rPr>
              <w:t>6</w:t>
            </w:r>
          </w:p>
        </w:tc>
        <w:tc>
          <w:tcPr>
            <w:tcW w:w="994" w:type="dxa"/>
            <w:tcBorders>
              <w:top w:val="single" w:sz="4" w:space="0" w:color="365F91"/>
              <w:bottom w:val="single" w:sz="4" w:space="0" w:color="365F91"/>
            </w:tcBorders>
          </w:tcPr>
          <w:p w14:paraId="20B4945F" w14:textId="77777777" w:rsidR="00A05AC8" w:rsidRPr="00256982" w:rsidRDefault="00A05AC8" w:rsidP="00B7783F">
            <w:pPr>
              <w:pStyle w:val="TableText"/>
              <w:spacing w:before="40" w:after="40"/>
            </w:pPr>
            <w:r w:rsidRPr="00256982">
              <w:t>I.28, 2017</w:t>
            </w:r>
          </w:p>
        </w:tc>
        <w:tc>
          <w:tcPr>
            <w:tcW w:w="3543" w:type="dxa"/>
            <w:tcBorders>
              <w:top w:val="single" w:sz="4" w:space="0" w:color="365F91"/>
              <w:bottom w:val="single" w:sz="4" w:space="0" w:color="365F91"/>
            </w:tcBorders>
            <w:shd w:val="clear" w:color="auto" w:fill="auto"/>
          </w:tcPr>
          <w:p w14:paraId="4AACC778" w14:textId="77777777" w:rsidR="00A05AC8" w:rsidRPr="00256982" w:rsidRDefault="00A05AC8" w:rsidP="00B7783F">
            <w:pPr>
              <w:pStyle w:val="TableText"/>
              <w:spacing w:before="40" w:after="40"/>
              <w:rPr>
                <w:highlight w:val="yellow"/>
              </w:rPr>
            </w:pPr>
            <w:r w:rsidRPr="00256982">
              <w:t>Correct NIR table 4.4.2 (p.119) to reflect that AD uncertainty is 100 per cent and EF uncertainty is reported as “zero”; and state in the NIR that for SF</w:t>
            </w:r>
            <w:r w:rsidRPr="00256982">
              <w:rPr>
                <w:vertAlign w:val="subscript"/>
              </w:rPr>
              <w:t>6</w:t>
            </w:r>
            <w:r w:rsidRPr="00256982">
              <w:t xml:space="preserve"> emissions from magnesium casting, a country-specific uncertainty is used rather than the IPCC default uncertainty and explain the reason for it.</w:t>
            </w:r>
          </w:p>
        </w:tc>
        <w:tc>
          <w:tcPr>
            <w:tcW w:w="2291" w:type="dxa"/>
            <w:tcBorders>
              <w:top w:val="single" w:sz="4" w:space="0" w:color="365F91"/>
              <w:bottom w:val="single" w:sz="4" w:space="0" w:color="365F91"/>
            </w:tcBorders>
            <w:shd w:val="clear" w:color="auto" w:fill="auto"/>
          </w:tcPr>
          <w:p w14:paraId="616D20F5" w14:textId="77777777" w:rsidR="00A05AC8" w:rsidRPr="00256982" w:rsidRDefault="00A05AC8" w:rsidP="00B7783F">
            <w:pPr>
              <w:pStyle w:val="TableText"/>
              <w:spacing w:before="40" w:after="40"/>
              <w:rPr>
                <w:highlight w:val="yellow"/>
              </w:rPr>
            </w:pPr>
            <w:r w:rsidRPr="00256982">
              <w:rPr>
                <w:b/>
              </w:rPr>
              <w:t>Resolved.</w:t>
            </w:r>
            <w:r w:rsidRPr="00256982">
              <w:t xml:space="preserve"> This table has been corrected. </w:t>
            </w:r>
          </w:p>
        </w:tc>
      </w:tr>
      <w:tr w:rsidR="00A05AC8" w:rsidRPr="00256982" w14:paraId="0511A43F" w14:textId="77777777" w:rsidTr="00E742A5">
        <w:tc>
          <w:tcPr>
            <w:tcW w:w="1677" w:type="dxa"/>
            <w:tcBorders>
              <w:top w:val="single" w:sz="4" w:space="0" w:color="365F91"/>
              <w:bottom w:val="single" w:sz="4" w:space="0" w:color="365F91"/>
            </w:tcBorders>
            <w:shd w:val="clear" w:color="auto" w:fill="auto"/>
          </w:tcPr>
          <w:p w14:paraId="4732DC43" w14:textId="77777777" w:rsidR="00A05AC8" w:rsidRPr="00256982" w:rsidRDefault="00A05AC8" w:rsidP="00B7783F">
            <w:pPr>
              <w:pStyle w:val="TableText"/>
              <w:spacing w:before="40" w:after="40"/>
              <w:rPr>
                <w:highlight w:val="yellow"/>
              </w:rPr>
            </w:pPr>
            <w:r w:rsidRPr="00256982">
              <w:t>IPPU – 2.D.1 Lubricant use – CO</w:t>
            </w:r>
            <w:r w:rsidRPr="00256982">
              <w:rPr>
                <w:vertAlign w:val="subscript"/>
              </w:rPr>
              <w:t>2</w:t>
            </w:r>
          </w:p>
        </w:tc>
        <w:tc>
          <w:tcPr>
            <w:tcW w:w="994" w:type="dxa"/>
            <w:tcBorders>
              <w:top w:val="single" w:sz="4" w:space="0" w:color="365F91"/>
              <w:bottom w:val="single" w:sz="4" w:space="0" w:color="365F91"/>
            </w:tcBorders>
          </w:tcPr>
          <w:p w14:paraId="0538C731" w14:textId="77777777" w:rsidR="00A05AC8" w:rsidRPr="00256982" w:rsidRDefault="00A05AC8" w:rsidP="00B7783F">
            <w:pPr>
              <w:pStyle w:val="TableText"/>
              <w:spacing w:before="40" w:after="40"/>
            </w:pPr>
            <w:r w:rsidRPr="00256982">
              <w:t>I.29, 2017</w:t>
            </w:r>
          </w:p>
        </w:tc>
        <w:tc>
          <w:tcPr>
            <w:tcW w:w="3543" w:type="dxa"/>
            <w:tcBorders>
              <w:top w:val="single" w:sz="4" w:space="0" w:color="365F91"/>
              <w:bottom w:val="single" w:sz="4" w:space="0" w:color="365F91"/>
            </w:tcBorders>
            <w:shd w:val="clear" w:color="auto" w:fill="auto"/>
          </w:tcPr>
          <w:p w14:paraId="6E3E55E6" w14:textId="77777777" w:rsidR="00A05AC8" w:rsidRPr="00256982" w:rsidRDefault="00A05AC8" w:rsidP="00B7783F">
            <w:pPr>
              <w:pStyle w:val="TableText"/>
              <w:spacing w:before="40" w:after="40"/>
              <w:rPr>
                <w:highlight w:val="yellow"/>
              </w:rPr>
            </w:pPr>
            <w:r w:rsidRPr="00256982">
              <w:t>If an outlier is found in the estimates of lubricant use, the Party consider averaging the AD before estimating emissions, rather than averaging the emission data. The ERT also recommends that the Party revise its estimates for 2011–2014 to improve consistency of the time series and include 2015 data in the assumption to avoid significant changes in the CO</w:t>
            </w:r>
            <w:r w:rsidRPr="00256982">
              <w:rPr>
                <w:vertAlign w:val="subscript"/>
              </w:rPr>
              <w:t>2</w:t>
            </w:r>
            <w:r w:rsidRPr="00256982">
              <w:t xml:space="preserve"> IEF.</w:t>
            </w:r>
          </w:p>
        </w:tc>
        <w:tc>
          <w:tcPr>
            <w:tcW w:w="2291" w:type="dxa"/>
            <w:tcBorders>
              <w:top w:val="single" w:sz="4" w:space="0" w:color="365F91"/>
              <w:bottom w:val="single" w:sz="4" w:space="0" w:color="365F91"/>
            </w:tcBorders>
            <w:shd w:val="clear" w:color="auto" w:fill="auto"/>
          </w:tcPr>
          <w:p w14:paraId="6872541C" w14:textId="77777777" w:rsidR="00A05AC8" w:rsidRPr="00256982" w:rsidRDefault="00A05AC8" w:rsidP="00B7783F">
            <w:pPr>
              <w:pStyle w:val="TableText"/>
              <w:spacing w:before="40" w:after="40"/>
              <w:rPr>
                <w:b/>
                <w:highlight w:val="yellow"/>
              </w:rPr>
            </w:pPr>
            <w:r w:rsidRPr="00256982">
              <w:rPr>
                <w:b/>
              </w:rPr>
              <w:t>Resolved.</w:t>
            </w:r>
            <w:r w:rsidRPr="00256982">
              <w:t xml:space="preserve"> The data used have been reviewed and a different selection made for the 2019 submission, due to variance in reported import volumes. </w:t>
            </w:r>
          </w:p>
        </w:tc>
      </w:tr>
      <w:tr w:rsidR="00A05AC8" w:rsidRPr="00256982" w14:paraId="75450C98" w14:textId="77777777" w:rsidTr="00E742A5">
        <w:tc>
          <w:tcPr>
            <w:tcW w:w="1677" w:type="dxa"/>
            <w:tcBorders>
              <w:top w:val="single" w:sz="4" w:space="0" w:color="365F91"/>
              <w:bottom w:val="single" w:sz="4" w:space="0" w:color="365F91"/>
            </w:tcBorders>
            <w:shd w:val="clear" w:color="auto" w:fill="auto"/>
          </w:tcPr>
          <w:p w14:paraId="10D6B1D9" w14:textId="77777777" w:rsidR="00A05AC8" w:rsidRPr="00256982" w:rsidRDefault="00A05AC8" w:rsidP="00B7783F">
            <w:pPr>
              <w:pStyle w:val="TableText"/>
              <w:spacing w:before="40" w:after="40"/>
              <w:rPr>
                <w:highlight w:val="yellow"/>
              </w:rPr>
            </w:pPr>
            <w:r w:rsidRPr="00256982">
              <w:t>IPPU – 2.F Product uses as substitutes for ozone depleting substances – HFCs</w:t>
            </w:r>
          </w:p>
        </w:tc>
        <w:tc>
          <w:tcPr>
            <w:tcW w:w="994" w:type="dxa"/>
            <w:tcBorders>
              <w:top w:val="single" w:sz="4" w:space="0" w:color="365F91"/>
              <w:bottom w:val="single" w:sz="4" w:space="0" w:color="365F91"/>
            </w:tcBorders>
          </w:tcPr>
          <w:p w14:paraId="177184B6" w14:textId="77777777" w:rsidR="00A05AC8" w:rsidRPr="00256982" w:rsidRDefault="00A05AC8" w:rsidP="00B7783F">
            <w:pPr>
              <w:pStyle w:val="TableText"/>
              <w:spacing w:before="40" w:after="40"/>
            </w:pPr>
            <w:r w:rsidRPr="00256982">
              <w:t>I.30, 2017</w:t>
            </w:r>
          </w:p>
        </w:tc>
        <w:tc>
          <w:tcPr>
            <w:tcW w:w="3543" w:type="dxa"/>
            <w:tcBorders>
              <w:top w:val="single" w:sz="4" w:space="0" w:color="365F91"/>
              <w:bottom w:val="single" w:sz="4" w:space="0" w:color="365F91"/>
            </w:tcBorders>
            <w:shd w:val="clear" w:color="auto" w:fill="auto"/>
          </w:tcPr>
          <w:p w14:paraId="78FCFA67" w14:textId="77777777" w:rsidR="00A05AC8" w:rsidRPr="00256982" w:rsidRDefault="00A05AC8" w:rsidP="00B7783F">
            <w:pPr>
              <w:pStyle w:val="TableText"/>
              <w:spacing w:before="40" w:after="40"/>
              <w:rPr>
                <w:highlight w:val="yellow"/>
              </w:rPr>
            </w:pPr>
            <w:r w:rsidRPr="00256982">
              <w:t>Explain, in section 4.7.3 of the NIR, which approach (other than a combination of uncertainties) was used to derive the uncertainty of ±35 per cent, presented in NIR table A.2.1.1.</w:t>
            </w:r>
          </w:p>
        </w:tc>
        <w:tc>
          <w:tcPr>
            <w:tcW w:w="2291" w:type="dxa"/>
            <w:tcBorders>
              <w:top w:val="single" w:sz="4" w:space="0" w:color="365F91"/>
              <w:bottom w:val="single" w:sz="4" w:space="0" w:color="365F91"/>
            </w:tcBorders>
            <w:shd w:val="clear" w:color="auto" w:fill="auto"/>
          </w:tcPr>
          <w:p w14:paraId="1C1F3BC7" w14:textId="77777777" w:rsidR="00A05AC8" w:rsidRPr="00256982" w:rsidRDefault="00A05AC8" w:rsidP="00B7783F">
            <w:pPr>
              <w:pStyle w:val="TableText"/>
              <w:spacing w:before="40" w:after="40"/>
              <w:rPr>
                <w:b/>
                <w:highlight w:val="yellow"/>
              </w:rPr>
            </w:pPr>
            <w:r w:rsidRPr="00256982">
              <w:rPr>
                <w:b/>
              </w:rPr>
              <w:t>Resolved.</w:t>
            </w:r>
            <w:r w:rsidRPr="00256982">
              <w:t xml:space="preserve"> This explanation has been provided, and details are available to the ERT on request. </w:t>
            </w:r>
          </w:p>
        </w:tc>
      </w:tr>
      <w:tr w:rsidR="00A05AC8" w:rsidRPr="00256982" w14:paraId="5226C186" w14:textId="77777777" w:rsidTr="00E742A5">
        <w:tc>
          <w:tcPr>
            <w:tcW w:w="1677" w:type="dxa"/>
            <w:tcBorders>
              <w:top w:val="single" w:sz="4" w:space="0" w:color="365F91"/>
              <w:bottom w:val="single" w:sz="4" w:space="0" w:color="365F91"/>
            </w:tcBorders>
            <w:shd w:val="clear" w:color="auto" w:fill="auto"/>
          </w:tcPr>
          <w:p w14:paraId="7501121C" w14:textId="77777777" w:rsidR="00A05AC8" w:rsidRPr="00256982" w:rsidRDefault="00A05AC8" w:rsidP="00B7783F">
            <w:pPr>
              <w:pStyle w:val="TableText"/>
              <w:spacing w:before="40" w:after="40"/>
              <w:rPr>
                <w:highlight w:val="yellow"/>
              </w:rPr>
            </w:pPr>
            <w:r w:rsidRPr="00256982">
              <w:t>IPPU – 2.F.1 Refrigeration and air conditioning – HFCs</w:t>
            </w:r>
          </w:p>
        </w:tc>
        <w:tc>
          <w:tcPr>
            <w:tcW w:w="994" w:type="dxa"/>
            <w:tcBorders>
              <w:top w:val="single" w:sz="4" w:space="0" w:color="365F91"/>
              <w:bottom w:val="single" w:sz="4" w:space="0" w:color="365F91"/>
            </w:tcBorders>
          </w:tcPr>
          <w:p w14:paraId="4520B5C8" w14:textId="77777777" w:rsidR="00A05AC8" w:rsidRPr="00256982" w:rsidRDefault="00A05AC8" w:rsidP="00B7783F">
            <w:pPr>
              <w:pStyle w:val="TableText"/>
              <w:spacing w:before="40" w:after="40"/>
            </w:pPr>
            <w:r w:rsidRPr="00256982">
              <w:t>I.31, 2017</w:t>
            </w:r>
          </w:p>
        </w:tc>
        <w:tc>
          <w:tcPr>
            <w:tcW w:w="3543" w:type="dxa"/>
            <w:tcBorders>
              <w:top w:val="single" w:sz="4" w:space="0" w:color="365F91"/>
              <w:bottom w:val="single" w:sz="4" w:space="0" w:color="365F91"/>
            </w:tcBorders>
            <w:shd w:val="clear" w:color="auto" w:fill="auto"/>
          </w:tcPr>
          <w:p w14:paraId="12EA8C01" w14:textId="77777777" w:rsidR="00A05AC8" w:rsidRPr="00256982" w:rsidRDefault="00A05AC8" w:rsidP="00B7783F">
            <w:pPr>
              <w:pStyle w:val="TableText"/>
              <w:spacing w:before="40" w:after="40"/>
              <w:rPr>
                <w:highlight w:val="yellow"/>
              </w:rPr>
            </w:pPr>
            <w:r w:rsidRPr="00256982">
              <w:t>Review the data underlying the estimation of HFC emissions from commercial and industrial refrigeration, in particular the development of average annual stocks in recent years. The ERT also recommends that New Zealand provide, in section 4.7.2 of the NIR, a brief explanation for the exceptionally high product life factors of HFC143a and HFC-134a, respectively, in these categories.</w:t>
            </w:r>
          </w:p>
        </w:tc>
        <w:tc>
          <w:tcPr>
            <w:tcW w:w="2291" w:type="dxa"/>
            <w:tcBorders>
              <w:top w:val="single" w:sz="4" w:space="0" w:color="365F91"/>
              <w:bottom w:val="single" w:sz="4" w:space="0" w:color="365F91"/>
            </w:tcBorders>
            <w:shd w:val="clear" w:color="auto" w:fill="auto"/>
          </w:tcPr>
          <w:p w14:paraId="4B09CDBE" w14:textId="77777777" w:rsidR="00A05AC8" w:rsidRPr="00256982" w:rsidRDefault="00A05AC8" w:rsidP="00B7783F">
            <w:pPr>
              <w:pStyle w:val="TableText"/>
              <w:spacing w:before="40" w:after="40"/>
              <w:rPr>
                <w:b/>
                <w:highlight w:val="yellow"/>
              </w:rPr>
            </w:pPr>
            <w:r w:rsidRPr="00256982">
              <w:rPr>
                <w:b/>
              </w:rPr>
              <w:t>Resolved.</w:t>
            </w:r>
            <w:r w:rsidRPr="00256982">
              <w:t xml:space="preserve"> This explanation has been provided, and details are available to the ERT on request. </w:t>
            </w:r>
          </w:p>
        </w:tc>
      </w:tr>
      <w:tr w:rsidR="00A05AC8" w:rsidRPr="00256982" w14:paraId="0F18AB42" w14:textId="77777777" w:rsidTr="00E742A5">
        <w:tc>
          <w:tcPr>
            <w:tcW w:w="1677" w:type="dxa"/>
            <w:tcBorders>
              <w:top w:val="single" w:sz="4" w:space="0" w:color="365F91"/>
              <w:bottom w:val="single" w:sz="4" w:space="0" w:color="365F91"/>
            </w:tcBorders>
            <w:shd w:val="clear" w:color="auto" w:fill="auto"/>
          </w:tcPr>
          <w:p w14:paraId="33DB00CE" w14:textId="77777777" w:rsidR="00A05AC8" w:rsidRPr="00256982" w:rsidRDefault="00A05AC8" w:rsidP="00E742A5">
            <w:pPr>
              <w:pStyle w:val="TableText"/>
              <w:keepNext/>
              <w:spacing w:before="40" w:after="40"/>
              <w:rPr>
                <w:highlight w:val="yellow"/>
              </w:rPr>
            </w:pPr>
            <w:r w:rsidRPr="00256982">
              <w:t>IPPU – 2.F.1 Refrigeration and air conditioning – HFCs</w:t>
            </w:r>
          </w:p>
        </w:tc>
        <w:tc>
          <w:tcPr>
            <w:tcW w:w="994" w:type="dxa"/>
            <w:tcBorders>
              <w:top w:val="single" w:sz="4" w:space="0" w:color="365F91"/>
              <w:bottom w:val="single" w:sz="4" w:space="0" w:color="365F91"/>
            </w:tcBorders>
          </w:tcPr>
          <w:p w14:paraId="73BAB17B" w14:textId="77777777" w:rsidR="00A05AC8" w:rsidRPr="00256982" w:rsidRDefault="00A05AC8" w:rsidP="00B7783F">
            <w:pPr>
              <w:pStyle w:val="TableText"/>
              <w:spacing w:before="40" w:after="40"/>
            </w:pPr>
            <w:r w:rsidRPr="00256982">
              <w:t>I.32, 2017</w:t>
            </w:r>
          </w:p>
        </w:tc>
        <w:tc>
          <w:tcPr>
            <w:tcW w:w="3543" w:type="dxa"/>
            <w:tcBorders>
              <w:top w:val="single" w:sz="4" w:space="0" w:color="365F91"/>
              <w:bottom w:val="single" w:sz="4" w:space="0" w:color="365F91"/>
            </w:tcBorders>
            <w:shd w:val="clear" w:color="auto" w:fill="auto"/>
          </w:tcPr>
          <w:p w14:paraId="5C37A2EF" w14:textId="77777777" w:rsidR="00A05AC8" w:rsidRPr="00256982" w:rsidRDefault="00A05AC8" w:rsidP="00B7783F">
            <w:pPr>
              <w:pStyle w:val="TableText"/>
              <w:spacing w:before="40" w:after="40"/>
              <w:rPr>
                <w:highlight w:val="yellow"/>
              </w:rPr>
            </w:pPr>
            <w:r w:rsidRPr="00256982">
              <w:t>Update the average charge of HFC-134a for the years from 2010 onwards by taking into consideration the cars added to the fleet in recent years, based on data available from importers and/or from fleet statistics.</w:t>
            </w:r>
          </w:p>
        </w:tc>
        <w:tc>
          <w:tcPr>
            <w:tcW w:w="2291" w:type="dxa"/>
            <w:tcBorders>
              <w:top w:val="single" w:sz="4" w:space="0" w:color="365F91"/>
              <w:bottom w:val="single" w:sz="4" w:space="0" w:color="365F91"/>
            </w:tcBorders>
            <w:shd w:val="clear" w:color="auto" w:fill="auto"/>
          </w:tcPr>
          <w:p w14:paraId="5D72905A" w14:textId="77777777" w:rsidR="00A05AC8" w:rsidRPr="00256982" w:rsidRDefault="00A05AC8" w:rsidP="00B7783F">
            <w:pPr>
              <w:pStyle w:val="TableText"/>
              <w:spacing w:before="40" w:after="40"/>
              <w:rPr>
                <w:b/>
                <w:highlight w:val="yellow"/>
              </w:rPr>
            </w:pPr>
            <w:r w:rsidRPr="00256982">
              <w:rPr>
                <w:b/>
              </w:rPr>
              <w:t>Resolved.</w:t>
            </w:r>
            <w:r w:rsidRPr="00256982">
              <w:t xml:space="preserve"> This has been reassessed and a brief explanation provided in the NIR. </w:t>
            </w:r>
          </w:p>
        </w:tc>
      </w:tr>
      <w:tr w:rsidR="00A05AC8" w:rsidRPr="00256982" w14:paraId="3CC614D0" w14:textId="77777777" w:rsidTr="00E742A5">
        <w:tc>
          <w:tcPr>
            <w:tcW w:w="1677" w:type="dxa"/>
            <w:tcBorders>
              <w:top w:val="single" w:sz="4" w:space="0" w:color="365F91"/>
              <w:bottom w:val="single" w:sz="4" w:space="0" w:color="365F91"/>
            </w:tcBorders>
            <w:shd w:val="clear" w:color="auto" w:fill="auto"/>
          </w:tcPr>
          <w:p w14:paraId="406EBF4B" w14:textId="77777777" w:rsidR="00A05AC8" w:rsidRPr="00256982" w:rsidRDefault="00A05AC8" w:rsidP="00B7783F">
            <w:pPr>
              <w:pStyle w:val="TableText"/>
              <w:keepNext/>
              <w:spacing w:before="40" w:after="40"/>
              <w:rPr>
                <w:highlight w:val="yellow"/>
              </w:rPr>
            </w:pPr>
            <w:r w:rsidRPr="00256982">
              <w:t>Agriculture – General – CH</w:t>
            </w:r>
            <w:r w:rsidRPr="00256982">
              <w:rPr>
                <w:vertAlign w:val="subscript"/>
              </w:rPr>
              <w:t>4</w:t>
            </w:r>
          </w:p>
        </w:tc>
        <w:tc>
          <w:tcPr>
            <w:tcW w:w="994" w:type="dxa"/>
            <w:tcBorders>
              <w:top w:val="single" w:sz="4" w:space="0" w:color="365F91"/>
              <w:bottom w:val="single" w:sz="4" w:space="0" w:color="365F91"/>
            </w:tcBorders>
          </w:tcPr>
          <w:p w14:paraId="73AD828D" w14:textId="77777777" w:rsidR="00A05AC8" w:rsidRPr="00256982" w:rsidRDefault="00A05AC8" w:rsidP="00B7783F">
            <w:pPr>
              <w:pStyle w:val="TableText"/>
              <w:keepNext/>
              <w:spacing w:before="40" w:after="40"/>
            </w:pPr>
            <w:r w:rsidRPr="00256982">
              <w:t>A.4, 2017</w:t>
            </w:r>
          </w:p>
        </w:tc>
        <w:tc>
          <w:tcPr>
            <w:tcW w:w="3543" w:type="dxa"/>
            <w:tcBorders>
              <w:top w:val="single" w:sz="4" w:space="0" w:color="365F91"/>
              <w:bottom w:val="single" w:sz="4" w:space="0" w:color="365F91"/>
            </w:tcBorders>
            <w:shd w:val="clear" w:color="auto" w:fill="auto"/>
          </w:tcPr>
          <w:p w14:paraId="6276410C" w14:textId="77777777" w:rsidR="00A05AC8" w:rsidRPr="00256982" w:rsidRDefault="00A05AC8" w:rsidP="00B7783F">
            <w:pPr>
              <w:pStyle w:val="TableText"/>
              <w:keepNext/>
              <w:spacing w:before="40" w:after="40"/>
              <w:rPr>
                <w:highlight w:val="yellow"/>
              </w:rPr>
            </w:pPr>
            <w:r w:rsidRPr="00256982">
              <w:t>Provide in its NIR the list of livestock species included in the category other poultry and provide explanations regarding the methodology it uses to estimate emissions and EFs for ostriches and emus.</w:t>
            </w:r>
          </w:p>
        </w:tc>
        <w:tc>
          <w:tcPr>
            <w:tcW w:w="2291" w:type="dxa"/>
            <w:tcBorders>
              <w:top w:val="single" w:sz="4" w:space="0" w:color="365F91"/>
              <w:bottom w:val="single" w:sz="4" w:space="0" w:color="365F91"/>
            </w:tcBorders>
            <w:shd w:val="clear" w:color="auto" w:fill="auto"/>
          </w:tcPr>
          <w:p w14:paraId="6DAA63DD" w14:textId="77777777" w:rsidR="00A05AC8" w:rsidRPr="00256982" w:rsidRDefault="00A05AC8" w:rsidP="00B7783F">
            <w:pPr>
              <w:pStyle w:val="TableText"/>
              <w:keepNext/>
              <w:spacing w:before="40" w:after="40"/>
              <w:rPr>
                <w:b/>
              </w:rPr>
            </w:pPr>
            <w:r w:rsidRPr="00256982">
              <w:rPr>
                <w:b/>
                <w:bCs/>
              </w:rPr>
              <w:t xml:space="preserve">Addressing. </w:t>
            </w:r>
            <w:r w:rsidRPr="00256982">
              <w:t xml:space="preserve">Additional information on the species included in ‘other poultry’ is in the 2019 NIR. </w:t>
            </w:r>
          </w:p>
        </w:tc>
      </w:tr>
      <w:tr w:rsidR="00A05AC8" w:rsidRPr="00256982" w14:paraId="7224FA4E" w14:textId="77777777" w:rsidTr="00E742A5">
        <w:tc>
          <w:tcPr>
            <w:tcW w:w="1677" w:type="dxa"/>
            <w:tcBorders>
              <w:top w:val="single" w:sz="4" w:space="0" w:color="365F91"/>
              <w:bottom w:val="single" w:sz="4" w:space="0" w:color="365F91"/>
            </w:tcBorders>
            <w:shd w:val="clear" w:color="auto" w:fill="auto"/>
          </w:tcPr>
          <w:p w14:paraId="16194F66" w14:textId="77777777" w:rsidR="00A05AC8" w:rsidRPr="00256982" w:rsidRDefault="00A05AC8" w:rsidP="00B7783F">
            <w:pPr>
              <w:pStyle w:val="TableText"/>
              <w:spacing w:before="40" w:after="40"/>
              <w:rPr>
                <w:highlight w:val="yellow"/>
              </w:rPr>
            </w:pPr>
            <w:r w:rsidRPr="00256982">
              <w:t>Agriculture – 3.A.4 Other livestock – CH</w:t>
            </w:r>
            <w:r w:rsidRPr="00256982">
              <w:rPr>
                <w:vertAlign w:val="subscript"/>
              </w:rPr>
              <w:t>4</w:t>
            </w:r>
          </w:p>
        </w:tc>
        <w:tc>
          <w:tcPr>
            <w:tcW w:w="994" w:type="dxa"/>
            <w:tcBorders>
              <w:top w:val="single" w:sz="4" w:space="0" w:color="365F91"/>
              <w:bottom w:val="single" w:sz="4" w:space="0" w:color="365F91"/>
            </w:tcBorders>
          </w:tcPr>
          <w:p w14:paraId="6407BBBE" w14:textId="77777777" w:rsidR="00A05AC8" w:rsidRPr="00256982" w:rsidRDefault="00A05AC8" w:rsidP="00B7783F">
            <w:pPr>
              <w:pStyle w:val="TableText"/>
              <w:spacing w:before="40" w:after="40"/>
            </w:pPr>
            <w:r w:rsidRPr="00256982">
              <w:t>A.5, 2017</w:t>
            </w:r>
          </w:p>
        </w:tc>
        <w:tc>
          <w:tcPr>
            <w:tcW w:w="3543" w:type="dxa"/>
            <w:tcBorders>
              <w:top w:val="single" w:sz="4" w:space="0" w:color="365F91"/>
              <w:bottom w:val="single" w:sz="4" w:space="0" w:color="365F91"/>
            </w:tcBorders>
            <w:shd w:val="clear" w:color="auto" w:fill="auto"/>
          </w:tcPr>
          <w:p w14:paraId="17BA5100" w14:textId="77777777" w:rsidR="00A05AC8" w:rsidRPr="00256982" w:rsidRDefault="00A05AC8" w:rsidP="00B7783F">
            <w:pPr>
              <w:pStyle w:val="TableText"/>
              <w:spacing w:before="40" w:after="40"/>
              <w:rPr>
                <w:highlight w:val="yellow"/>
              </w:rPr>
            </w:pPr>
            <w:r w:rsidRPr="00256982">
              <w:t>Provide information on the breeding of rabbits and fur-bearing animals in its NIR.</w:t>
            </w:r>
          </w:p>
        </w:tc>
        <w:tc>
          <w:tcPr>
            <w:tcW w:w="2291" w:type="dxa"/>
            <w:tcBorders>
              <w:top w:val="single" w:sz="4" w:space="0" w:color="365F91"/>
              <w:bottom w:val="single" w:sz="4" w:space="0" w:color="365F91"/>
            </w:tcBorders>
            <w:shd w:val="clear" w:color="auto" w:fill="auto"/>
          </w:tcPr>
          <w:p w14:paraId="61C232D5" w14:textId="77777777" w:rsidR="00A05AC8" w:rsidRPr="00256982" w:rsidRDefault="00A05AC8" w:rsidP="00B7783F">
            <w:pPr>
              <w:pStyle w:val="TableText"/>
              <w:spacing w:before="40" w:after="40"/>
              <w:rPr>
                <w:b/>
              </w:rPr>
            </w:pPr>
            <w:r w:rsidRPr="00256982">
              <w:rPr>
                <w:b/>
                <w:bCs/>
              </w:rPr>
              <w:t xml:space="preserve">Addressing. </w:t>
            </w:r>
            <w:r w:rsidRPr="00256982">
              <w:t>New Zealand is investigating this and will provide an update in the 2020 NIR.</w:t>
            </w:r>
          </w:p>
        </w:tc>
      </w:tr>
      <w:tr w:rsidR="00A05AC8" w:rsidRPr="00256982" w14:paraId="5B01DA68" w14:textId="77777777" w:rsidTr="00E742A5">
        <w:tc>
          <w:tcPr>
            <w:tcW w:w="1677" w:type="dxa"/>
            <w:tcBorders>
              <w:top w:val="single" w:sz="4" w:space="0" w:color="365F91"/>
              <w:bottom w:val="single" w:sz="4" w:space="0" w:color="365F91"/>
            </w:tcBorders>
            <w:shd w:val="clear" w:color="auto" w:fill="auto"/>
          </w:tcPr>
          <w:p w14:paraId="0FA375E1" w14:textId="77777777" w:rsidR="00A05AC8" w:rsidRPr="00256982" w:rsidRDefault="00A05AC8" w:rsidP="00B7783F">
            <w:pPr>
              <w:pStyle w:val="TableText"/>
              <w:spacing w:before="40" w:after="40"/>
              <w:rPr>
                <w:highlight w:val="yellow"/>
              </w:rPr>
            </w:pPr>
            <w:r w:rsidRPr="00256982">
              <w:t>LULUCF – Forest land – CO</w:t>
            </w:r>
            <w:r w:rsidRPr="00256982">
              <w:rPr>
                <w:vertAlign w:val="subscript"/>
              </w:rPr>
              <w:t>2</w:t>
            </w:r>
          </w:p>
        </w:tc>
        <w:tc>
          <w:tcPr>
            <w:tcW w:w="994" w:type="dxa"/>
            <w:tcBorders>
              <w:top w:val="single" w:sz="4" w:space="0" w:color="365F91"/>
              <w:bottom w:val="single" w:sz="4" w:space="0" w:color="365F91"/>
            </w:tcBorders>
          </w:tcPr>
          <w:p w14:paraId="0CEDEFD0" w14:textId="77777777" w:rsidR="00A05AC8" w:rsidRPr="00256982" w:rsidRDefault="00A05AC8" w:rsidP="00B7783F">
            <w:pPr>
              <w:pStyle w:val="TableText"/>
              <w:spacing w:before="40" w:after="40"/>
            </w:pPr>
            <w:r w:rsidRPr="00256982">
              <w:t>L.3, 2017</w:t>
            </w:r>
          </w:p>
        </w:tc>
        <w:tc>
          <w:tcPr>
            <w:tcW w:w="3543" w:type="dxa"/>
            <w:tcBorders>
              <w:top w:val="single" w:sz="4" w:space="0" w:color="365F91"/>
              <w:bottom w:val="single" w:sz="4" w:space="0" w:color="365F91"/>
            </w:tcBorders>
            <w:shd w:val="clear" w:color="auto" w:fill="auto"/>
          </w:tcPr>
          <w:p w14:paraId="1F15C572" w14:textId="77777777" w:rsidR="00A05AC8" w:rsidRPr="00256982" w:rsidRDefault="00A05AC8" w:rsidP="00B7783F">
            <w:pPr>
              <w:pStyle w:val="TableText"/>
              <w:spacing w:before="40" w:after="40"/>
              <w:rPr>
                <w:highlight w:val="yellow"/>
              </w:rPr>
            </w:pPr>
            <w:r w:rsidRPr="00256982">
              <w:t>New Zealand re-analyse the harvesting age assumption on the average harvest age and recalculate the emissions if it cannot provide a justification that emissions are not overestimated or underestimated; and report the outcomes of this exercise in the NIR.</w:t>
            </w:r>
          </w:p>
        </w:tc>
        <w:tc>
          <w:tcPr>
            <w:tcW w:w="2291" w:type="dxa"/>
            <w:tcBorders>
              <w:top w:val="single" w:sz="4" w:space="0" w:color="365F91"/>
              <w:bottom w:val="single" w:sz="4" w:space="0" w:color="365F91"/>
            </w:tcBorders>
            <w:shd w:val="clear" w:color="auto" w:fill="auto"/>
          </w:tcPr>
          <w:p w14:paraId="214479D0" w14:textId="77777777" w:rsidR="00A05AC8" w:rsidRPr="00256982" w:rsidRDefault="00A05AC8" w:rsidP="00B7783F">
            <w:pPr>
              <w:pStyle w:val="TableText"/>
              <w:spacing w:before="40" w:after="40"/>
              <w:rPr>
                <w:b/>
                <w:highlight w:val="yellow"/>
              </w:rPr>
            </w:pPr>
            <w:r w:rsidRPr="00256982">
              <w:rPr>
                <w:rFonts w:cs="Arial"/>
                <w:b/>
                <w:szCs w:val="16"/>
              </w:rPr>
              <w:t>Addressing.</w:t>
            </w:r>
            <w:r w:rsidRPr="00256982">
              <w:rPr>
                <w:rFonts w:cs="Arial"/>
                <w:szCs w:val="16"/>
              </w:rPr>
              <w:t xml:space="preserve"> Analysis is scheduled for 2019/20.</w:t>
            </w:r>
          </w:p>
        </w:tc>
      </w:tr>
      <w:tr w:rsidR="00A05AC8" w:rsidRPr="00256982" w14:paraId="0511A518" w14:textId="77777777" w:rsidTr="00E742A5">
        <w:tc>
          <w:tcPr>
            <w:tcW w:w="1677" w:type="dxa"/>
            <w:tcBorders>
              <w:top w:val="single" w:sz="4" w:space="0" w:color="365F91"/>
              <w:bottom w:val="single" w:sz="4" w:space="0" w:color="365F91"/>
            </w:tcBorders>
            <w:shd w:val="clear" w:color="auto" w:fill="auto"/>
          </w:tcPr>
          <w:p w14:paraId="7124AA4F" w14:textId="77777777" w:rsidR="00A05AC8" w:rsidRPr="00256982" w:rsidRDefault="00A05AC8" w:rsidP="00B7783F">
            <w:pPr>
              <w:pStyle w:val="TableText"/>
              <w:spacing w:before="40" w:after="40"/>
              <w:rPr>
                <w:highlight w:val="yellow"/>
              </w:rPr>
            </w:pPr>
            <w:r w:rsidRPr="00256982">
              <w:t>LULUCF – Forest land – CO</w:t>
            </w:r>
            <w:r w:rsidRPr="00256982">
              <w:rPr>
                <w:vertAlign w:val="subscript"/>
              </w:rPr>
              <w:t>2</w:t>
            </w:r>
          </w:p>
        </w:tc>
        <w:tc>
          <w:tcPr>
            <w:tcW w:w="994" w:type="dxa"/>
            <w:tcBorders>
              <w:top w:val="single" w:sz="4" w:space="0" w:color="365F91"/>
              <w:bottom w:val="single" w:sz="4" w:space="0" w:color="365F91"/>
            </w:tcBorders>
          </w:tcPr>
          <w:p w14:paraId="26A6936F" w14:textId="77777777" w:rsidR="00A05AC8" w:rsidRPr="00256982" w:rsidRDefault="00A05AC8" w:rsidP="00B7783F">
            <w:pPr>
              <w:pStyle w:val="TableText"/>
              <w:spacing w:before="40" w:after="40"/>
            </w:pPr>
            <w:r w:rsidRPr="00256982">
              <w:t>L.4, 2017</w:t>
            </w:r>
          </w:p>
        </w:tc>
        <w:tc>
          <w:tcPr>
            <w:tcW w:w="3543" w:type="dxa"/>
            <w:tcBorders>
              <w:top w:val="single" w:sz="4" w:space="0" w:color="365F91"/>
              <w:bottom w:val="single" w:sz="4" w:space="0" w:color="365F91"/>
            </w:tcBorders>
            <w:shd w:val="clear" w:color="auto" w:fill="auto"/>
          </w:tcPr>
          <w:p w14:paraId="5F72D12E" w14:textId="77777777" w:rsidR="00A05AC8" w:rsidRPr="00256982" w:rsidRDefault="00A05AC8" w:rsidP="00B7783F">
            <w:pPr>
              <w:pStyle w:val="TableText"/>
              <w:spacing w:before="40" w:after="40"/>
              <w:rPr>
                <w:highlight w:val="yellow"/>
              </w:rPr>
            </w:pPr>
            <w:r w:rsidRPr="00256982">
              <w:t>Consider ways to reduce uncertainties in the stock change estimates when further designing the systems to estimate carbon stock change in pre-1990 natural forests.</w:t>
            </w:r>
          </w:p>
        </w:tc>
        <w:tc>
          <w:tcPr>
            <w:tcW w:w="2291" w:type="dxa"/>
            <w:tcBorders>
              <w:top w:val="single" w:sz="4" w:space="0" w:color="365F91"/>
              <w:bottom w:val="single" w:sz="4" w:space="0" w:color="365F91"/>
            </w:tcBorders>
            <w:shd w:val="clear" w:color="auto" w:fill="auto"/>
          </w:tcPr>
          <w:p w14:paraId="52CFB2F8" w14:textId="77777777" w:rsidR="00A05AC8" w:rsidRPr="00256982" w:rsidRDefault="00A05AC8" w:rsidP="00B7783F">
            <w:pPr>
              <w:pStyle w:val="TableText"/>
              <w:spacing w:before="40" w:after="40"/>
              <w:rPr>
                <w:b/>
                <w:highlight w:val="yellow"/>
              </w:rPr>
            </w:pPr>
            <w:r w:rsidRPr="00256982">
              <w:rPr>
                <w:rFonts w:cs="Arial"/>
                <w:b/>
                <w:szCs w:val="16"/>
              </w:rPr>
              <w:t>Addressing.</w:t>
            </w:r>
            <w:r w:rsidRPr="00256982">
              <w:rPr>
                <w:rFonts w:cs="Arial"/>
                <w:szCs w:val="16"/>
              </w:rPr>
              <w:t xml:space="preserve"> Reanalysis of carbon stock change in pre-1990 natural forests applying different methods is scheduled in 2019.</w:t>
            </w:r>
          </w:p>
        </w:tc>
      </w:tr>
      <w:tr w:rsidR="00A05AC8" w:rsidRPr="00256982" w14:paraId="12CA680D" w14:textId="77777777" w:rsidTr="00E742A5">
        <w:tc>
          <w:tcPr>
            <w:tcW w:w="1677" w:type="dxa"/>
            <w:tcBorders>
              <w:top w:val="single" w:sz="4" w:space="0" w:color="365F91"/>
              <w:bottom w:val="single" w:sz="4" w:space="0" w:color="365F91"/>
            </w:tcBorders>
            <w:shd w:val="clear" w:color="auto" w:fill="auto"/>
          </w:tcPr>
          <w:p w14:paraId="10F74AC2" w14:textId="77777777" w:rsidR="00A05AC8" w:rsidRPr="00256982" w:rsidRDefault="00A05AC8" w:rsidP="00B7783F">
            <w:pPr>
              <w:pStyle w:val="TableText"/>
              <w:spacing w:before="40" w:after="40"/>
              <w:rPr>
                <w:highlight w:val="yellow"/>
              </w:rPr>
            </w:pPr>
            <w:r w:rsidRPr="00256982">
              <w:t>LULUCF – Forest land remaining forest land – CO</w:t>
            </w:r>
            <w:r w:rsidRPr="00256982">
              <w:rPr>
                <w:vertAlign w:val="subscript"/>
              </w:rPr>
              <w:t>2</w:t>
            </w:r>
          </w:p>
        </w:tc>
        <w:tc>
          <w:tcPr>
            <w:tcW w:w="994" w:type="dxa"/>
            <w:tcBorders>
              <w:top w:val="single" w:sz="4" w:space="0" w:color="365F91"/>
              <w:bottom w:val="single" w:sz="4" w:space="0" w:color="365F91"/>
            </w:tcBorders>
          </w:tcPr>
          <w:p w14:paraId="79FBC16D" w14:textId="77777777" w:rsidR="00A05AC8" w:rsidRPr="00256982" w:rsidRDefault="00A05AC8" w:rsidP="00B7783F">
            <w:pPr>
              <w:pStyle w:val="TableText"/>
              <w:spacing w:before="40" w:after="40"/>
            </w:pPr>
            <w:r w:rsidRPr="00256982">
              <w:t>L.5, 2017</w:t>
            </w:r>
          </w:p>
        </w:tc>
        <w:tc>
          <w:tcPr>
            <w:tcW w:w="3543" w:type="dxa"/>
            <w:tcBorders>
              <w:top w:val="single" w:sz="4" w:space="0" w:color="365F91"/>
              <w:bottom w:val="single" w:sz="4" w:space="0" w:color="365F91"/>
            </w:tcBorders>
            <w:shd w:val="clear" w:color="auto" w:fill="auto"/>
          </w:tcPr>
          <w:p w14:paraId="4A386157" w14:textId="77777777" w:rsidR="00A05AC8" w:rsidRPr="00256982" w:rsidRDefault="00A05AC8" w:rsidP="00B7783F">
            <w:pPr>
              <w:pStyle w:val="TableText"/>
              <w:spacing w:before="40" w:after="40"/>
              <w:rPr>
                <w:highlight w:val="yellow"/>
              </w:rPr>
            </w:pPr>
            <w:r w:rsidRPr="00256982">
              <w:t>Update the below-ground biomass ratios, or, while that update is not possible, report in the NIR on the progress on the ongoing work to update the below-ground biomass ratios.</w:t>
            </w:r>
          </w:p>
        </w:tc>
        <w:tc>
          <w:tcPr>
            <w:tcW w:w="2291" w:type="dxa"/>
            <w:tcBorders>
              <w:top w:val="single" w:sz="4" w:space="0" w:color="365F91"/>
              <w:bottom w:val="single" w:sz="4" w:space="0" w:color="365F91"/>
            </w:tcBorders>
            <w:shd w:val="clear" w:color="auto" w:fill="auto"/>
          </w:tcPr>
          <w:p w14:paraId="6FFB326D" w14:textId="77777777" w:rsidR="00A05AC8" w:rsidRPr="00256982" w:rsidRDefault="00A05AC8" w:rsidP="00B7783F">
            <w:pPr>
              <w:pStyle w:val="TableText"/>
              <w:spacing w:before="40" w:after="40"/>
              <w:rPr>
                <w:b/>
                <w:highlight w:val="yellow"/>
              </w:rPr>
            </w:pPr>
            <w:r w:rsidRPr="00256982">
              <w:rPr>
                <w:rFonts w:cs="Arial"/>
                <w:b/>
                <w:szCs w:val="16"/>
              </w:rPr>
              <w:t>Addressing.</w:t>
            </w:r>
            <w:r w:rsidRPr="00256982">
              <w:rPr>
                <w:rFonts w:cs="Arial"/>
                <w:szCs w:val="16"/>
              </w:rPr>
              <w:t xml:space="preserve"> Literature review under way and to be incorporated into reanalysis of natural forest data scheduled for 2019.</w:t>
            </w:r>
          </w:p>
        </w:tc>
      </w:tr>
      <w:tr w:rsidR="00A05AC8" w:rsidRPr="00256982" w14:paraId="26327AF8" w14:textId="77777777" w:rsidTr="00E742A5">
        <w:tc>
          <w:tcPr>
            <w:tcW w:w="1677" w:type="dxa"/>
            <w:tcBorders>
              <w:top w:val="single" w:sz="4" w:space="0" w:color="365F91"/>
              <w:bottom w:val="single" w:sz="4" w:space="0" w:color="365F91"/>
            </w:tcBorders>
            <w:shd w:val="clear" w:color="auto" w:fill="auto"/>
          </w:tcPr>
          <w:p w14:paraId="7A06764A" w14:textId="77777777" w:rsidR="00A05AC8" w:rsidRPr="00256982" w:rsidRDefault="00A05AC8" w:rsidP="00B7783F">
            <w:pPr>
              <w:pStyle w:val="TableText"/>
              <w:spacing w:before="40" w:after="40"/>
              <w:rPr>
                <w:highlight w:val="yellow"/>
              </w:rPr>
            </w:pPr>
            <w:r w:rsidRPr="00256982">
              <w:t>LULUCF – Land converted to forest land – CO</w:t>
            </w:r>
            <w:r w:rsidRPr="00256982">
              <w:rPr>
                <w:vertAlign w:val="subscript"/>
              </w:rPr>
              <w:t>2</w:t>
            </w:r>
          </w:p>
        </w:tc>
        <w:tc>
          <w:tcPr>
            <w:tcW w:w="994" w:type="dxa"/>
            <w:tcBorders>
              <w:top w:val="single" w:sz="4" w:space="0" w:color="365F91"/>
              <w:bottom w:val="single" w:sz="4" w:space="0" w:color="365F91"/>
            </w:tcBorders>
          </w:tcPr>
          <w:p w14:paraId="64F4DE3B" w14:textId="77777777" w:rsidR="00A05AC8" w:rsidRPr="00256982" w:rsidRDefault="00A05AC8" w:rsidP="00B7783F">
            <w:pPr>
              <w:pStyle w:val="TableText"/>
              <w:spacing w:before="40" w:after="40"/>
            </w:pPr>
            <w:r w:rsidRPr="00256982">
              <w:t>L.6, 2017</w:t>
            </w:r>
          </w:p>
        </w:tc>
        <w:tc>
          <w:tcPr>
            <w:tcW w:w="3543" w:type="dxa"/>
            <w:tcBorders>
              <w:top w:val="single" w:sz="4" w:space="0" w:color="365F91"/>
              <w:bottom w:val="single" w:sz="4" w:space="0" w:color="365F91"/>
            </w:tcBorders>
            <w:shd w:val="clear" w:color="auto" w:fill="auto"/>
          </w:tcPr>
          <w:p w14:paraId="20FE6643" w14:textId="77777777" w:rsidR="00A05AC8" w:rsidRPr="00256982" w:rsidRDefault="00A05AC8" w:rsidP="00B7783F">
            <w:pPr>
              <w:pStyle w:val="TableText"/>
              <w:spacing w:before="40" w:after="40"/>
              <w:rPr>
                <w:highlight w:val="yellow"/>
              </w:rPr>
            </w:pPr>
            <w:r w:rsidRPr="00256982">
              <w:t>Include information on the reasons for the inter-annual changes in the net carbon stock change in dead wood per area for category 4.A.2.4 (settlements converted to forest land), in particular the inter-annual changes observed for 2011 onwards.</w:t>
            </w:r>
          </w:p>
        </w:tc>
        <w:tc>
          <w:tcPr>
            <w:tcW w:w="2291" w:type="dxa"/>
            <w:tcBorders>
              <w:top w:val="single" w:sz="4" w:space="0" w:color="365F91"/>
              <w:bottom w:val="single" w:sz="4" w:space="0" w:color="365F91"/>
            </w:tcBorders>
            <w:shd w:val="clear" w:color="auto" w:fill="auto"/>
          </w:tcPr>
          <w:p w14:paraId="5AA5D03C" w14:textId="77777777" w:rsidR="00A05AC8" w:rsidRPr="00256982" w:rsidRDefault="00A05AC8" w:rsidP="00B7783F">
            <w:pPr>
              <w:pStyle w:val="TableText"/>
              <w:spacing w:before="40" w:after="40"/>
              <w:rPr>
                <w:b/>
                <w:highlight w:val="yellow"/>
              </w:rPr>
            </w:pPr>
            <w:r w:rsidRPr="00256982">
              <w:rPr>
                <w:rFonts w:cs="Arial"/>
                <w:b/>
                <w:szCs w:val="16"/>
              </w:rPr>
              <w:t>Unresolved.</w:t>
            </w:r>
            <w:r w:rsidRPr="00256982">
              <w:rPr>
                <w:rFonts w:cs="Arial"/>
                <w:szCs w:val="16"/>
              </w:rPr>
              <w:t xml:space="preserve"> The interannual variability reported in the 2017 submission for the dead wood estimates per area for this category no longer occurs.</w:t>
            </w:r>
          </w:p>
        </w:tc>
      </w:tr>
      <w:tr w:rsidR="00A05AC8" w:rsidRPr="00256982" w14:paraId="774172A8" w14:textId="77777777" w:rsidTr="00E742A5">
        <w:tc>
          <w:tcPr>
            <w:tcW w:w="1677" w:type="dxa"/>
            <w:tcBorders>
              <w:top w:val="single" w:sz="4" w:space="0" w:color="365F91"/>
              <w:bottom w:val="single" w:sz="4" w:space="0" w:color="365F91"/>
            </w:tcBorders>
            <w:shd w:val="clear" w:color="auto" w:fill="auto"/>
          </w:tcPr>
          <w:p w14:paraId="79A44884" w14:textId="77777777" w:rsidR="00A05AC8" w:rsidRPr="00256982" w:rsidRDefault="00A05AC8" w:rsidP="00B7783F">
            <w:pPr>
              <w:pStyle w:val="TableText"/>
              <w:spacing w:before="40" w:after="40"/>
              <w:rPr>
                <w:highlight w:val="yellow"/>
              </w:rPr>
            </w:pPr>
            <w:r w:rsidRPr="00256982">
              <w:t>LULUCF – Wetlands – CO</w:t>
            </w:r>
            <w:r w:rsidRPr="00256982">
              <w:rPr>
                <w:vertAlign w:val="subscript"/>
              </w:rPr>
              <w:t>2</w:t>
            </w:r>
          </w:p>
        </w:tc>
        <w:tc>
          <w:tcPr>
            <w:tcW w:w="994" w:type="dxa"/>
            <w:tcBorders>
              <w:top w:val="single" w:sz="4" w:space="0" w:color="365F91"/>
              <w:bottom w:val="single" w:sz="4" w:space="0" w:color="365F91"/>
            </w:tcBorders>
          </w:tcPr>
          <w:p w14:paraId="2E7EFAA6" w14:textId="77777777" w:rsidR="00A05AC8" w:rsidRPr="00256982" w:rsidRDefault="00A05AC8" w:rsidP="00B7783F">
            <w:pPr>
              <w:pStyle w:val="TableText"/>
              <w:spacing w:before="40" w:after="40"/>
            </w:pPr>
            <w:r w:rsidRPr="00256982">
              <w:t>L.7, 2017</w:t>
            </w:r>
          </w:p>
        </w:tc>
        <w:tc>
          <w:tcPr>
            <w:tcW w:w="3543" w:type="dxa"/>
            <w:tcBorders>
              <w:top w:val="single" w:sz="4" w:space="0" w:color="365F91"/>
              <w:bottom w:val="single" w:sz="4" w:space="0" w:color="365F91"/>
            </w:tcBorders>
            <w:shd w:val="clear" w:color="auto" w:fill="auto"/>
          </w:tcPr>
          <w:p w14:paraId="58626E2C" w14:textId="77777777" w:rsidR="00A05AC8" w:rsidRPr="00256982" w:rsidRDefault="00A05AC8" w:rsidP="00B7783F">
            <w:pPr>
              <w:pStyle w:val="TableText"/>
              <w:spacing w:before="40" w:after="40"/>
              <w:rPr>
                <w:highlight w:val="yellow"/>
              </w:rPr>
            </w:pPr>
            <w:r w:rsidRPr="00256982">
              <w:t>Continue the ongoing work to improve its estimates for wetlands and report the emissions for categories 4.D.1.1 and 4.D.2.1.</w:t>
            </w:r>
          </w:p>
        </w:tc>
        <w:tc>
          <w:tcPr>
            <w:tcW w:w="2291" w:type="dxa"/>
            <w:tcBorders>
              <w:top w:val="single" w:sz="4" w:space="0" w:color="365F91"/>
              <w:bottom w:val="single" w:sz="4" w:space="0" w:color="365F91"/>
            </w:tcBorders>
            <w:shd w:val="clear" w:color="auto" w:fill="auto"/>
          </w:tcPr>
          <w:p w14:paraId="53296CD8" w14:textId="77777777" w:rsidR="00A05AC8" w:rsidRPr="00256982" w:rsidRDefault="00A05AC8" w:rsidP="00B7783F">
            <w:pPr>
              <w:pStyle w:val="TableText"/>
              <w:spacing w:before="40" w:after="40"/>
              <w:rPr>
                <w:b/>
                <w:highlight w:val="yellow"/>
              </w:rPr>
            </w:pPr>
            <w:r w:rsidRPr="00256982">
              <w:rPr>
                <w:b/>
              </w:rPr>
              <w:t>Resolved.</w:t>
            </w:r>
            <w:r w:rsidRPr="00256982">
              <w:t xml:space="preserve"> New Zealand is now reporting on these two categories since the 2018 submission.</w:t>
            </w:r>
          </w:p>
        </w:tc>
      </w:tr>
      <w:tr w:rsidR="00A05AC8" w:rsidRPr="00256982" w14:paraId="3A46E633" w14:textId="77777777" w:rsidTr="00E742A5">
        <w:tc>
          <w:tcPr>
            <w:tcW w:w="1677" w:type="dxa"/>
            <w:tcBorders>
              <w:top w:val="single" w:sz="4" w:space="0" w:color="365F91"/>
              <w:bottom w:val="single" w:sz="4" w:space="0" w:color="365F91"/>
            </w:tcBorders>
            <w:shd w:val="clear" w:color="auto" w:fill="auto"/>
          </w:tcPr>
          <w:p w14:paraId="24D88F38" w14:textId="77777777" w:rsidR="00A05AC8" w:rsidRPr="00256982" w:rsidRDefault="00A05AC8" w:rsidP="00B7783F">
            <w:pPr>
              <w:pStyle w:val="TableText"/>
              <w:spacing w:before="40" w:after="40"/>
              <w:rPr>
                <w:highlight w:val="yellow"/>
              </w:rPr>
            </w:pPr>
            <w:r w:rsidRPr="00256982">
              <w:t>LULUCF – Direct N</w:t>
            </w:r>
            <w:r w:rsidRPr="00256982">
              <w:rPr>
                <w:vertAlign w:val="subscript"/>
              </w:rPr>
              <w:t>2</w:t>
            </w:r>
            <w:r w:rsidRPr="00256982">
              <w:t>O emissions from N mineralization/ immobilization – N</w:t>
            </w:r>
            <w:r w:rsidRPr="00256982">
              <w:rPr>
                <w:vertAlign w:val="subscript"/>
              </w:rPr>
              <w:t>2</w:t>
            </w:r>
            <w:r w:rsidRPr="00256982">
              <w:t>O</w:t>
            </w:r>
          </w:p>
        </w:tc>
        <w:tc>
          <w:tcPr>
            <w:tcW w:w="994" w:type="dxa"/>
            <w:tcBorders>
              <w:top w:val="single" w:sz="4" w:space="0" w:color="365F91"/>
              <w:bottom w:val="single" w:sz="4" w:space="0" w:color="365F91"/>
            </w:tcBorders>
          </w:tcPr>
          <w:p w14:paraId="22FB184F" w14:textId="77777777" w:rsidR="00A05AC8" w:rsidRPr="00256982" w:rsidRDefault="00A05AC8" w:rsidP="00B7783F">
            <w:pPr>
              <w:pStyle w:val="TableText"/>
              <w:spacing w:before="40" w:after="40"/>
            </w:pPr>
            <w:r w:rsidRPr="00256982">
              <w:t>L.9, 2017</w:t>
            </w:r>
          </w:p>
        </w:tc>
        <w:tc>
          <w:tcPr>
            <w:tcW w:w="3543" w:type="dxa"/>
            <w:tcBorders>
              <w:top w:val="single" w:sz="4" w:space="0" w:color="365F91"/>
              <w:bottom w:val="single" w:sz="4" w:space="0" w:color="365F91"/>
            </w:tcBorders>
            <w:shd w:val="clear" w:color="auto" w:fill="auto"/>
          </w:tcPr>
          <w:p w14:paraId="15E054AF" w14:textId="77777777" w:rsidR="00A05AC8" w:rsidRPr="00256982" w:rsidRDefault="00A05AC8" w:rsidP="00B7783F">
            <w:pPr>
              <w:pStyle w:val="TableText"/>
              <w:spacing w:before="40" w:after="40"/>
              <w:rPr>
                <w:highlight w:val="yellow"/>
              </w:rPr>
            </w:pPr>
            <w:r w:rsidRPr="00256982">
              <w:t>The ERT recommends that New Zealand correct the C/N ratio to 15:1 in the NIR (p.300).</w:t>
            </w:r>
          </w:p>
        </w:tc>
        <w:tc>
          <w:tcPr>
            <w:tcW w:w="2291" w:type="dxa"/>
            <w:tcBorders>
              <w:top w:val="single" w:sz="4" w:space="0" w:color="365F91"/>
              <w:bottom w:val="single" w:sz="4" w:space="0" w:color="365F91"/>
            </w:tcBorders>
            <w:shd w:val="clear" w:color="auto" w:fill="auto"/>
          </w:tcPr>
          <w:p w14:paraId="5A1D8A13" w14:textId="77777777" w:rsidR="00A05AC8" w:rsidRPr="00256982" w:rsidRDefault="00A05AC8" w:rsidP="00B7783F">
            <w:pPr>
              <w:pStyle w:val="TableText"/>
              <w:spacing w:before="40" w:after="40"/>
              <w:rPr>
                <w:b/>
                <w:highlight w:val="yellow"/>
              </w:rPr>
            </w:pPr>
            <w:r w:rsidRPr="00256982">
              <w:rPr>
                <w:b/>
              </w:rPr>
              <w:t>Resolved.</w:t>
            </w:r>
            <w:r w:rsidRPr="00256982">
              <w:t xml:space="preserve"> This has been correctly reported since the 2018 submission.</w:t>
            </w:r>
          </w:p>
        </w:tc>
      </w:tr>
      <w:tr w:rsidR="00A05AC8" w:rsidRPr="00256982" w14:paraId="1161561B" w14:textId="77777777" w:rsidTr="00E742A5">
        <w:tc>
          <w:tcPr>
            <w:tcW w:w="1677" w:type="dxa"/>
            <w:tcBorders>
              <w:top w:val="single" w:sz="4" w:space="0" w:color="365F91"/>
              <w:bottom w:val="single" w:sz="4" w:space="0" w:color="365F91"/>
            </w:tcBorders>
            <w:shd w:val="clear" w:color="auto" w:fill="auto"/>
          </w:tcPr>
          <w:p w14:paraId="4CFA1090" w14:textId="77777777" w:rsidR="00A05AC8" w:rsidRPr="00256982" w:rsidRDefault="00A05AC8" w:rsidP="00B7783F">
            <w:pPr>
              <w:pStyle w:val="TableText"/>
              <w:spacing w:before="40" w:after="40"/>
              <w:rPr>
                <w:highlight w:val="yellow"/>
              </w:rPr>
            </w:pPr>
            <w:r w:rsidRPr="00256982">
              <w:t>Waste – 5.A.1.a Anaerobic– General</w:t>
            </w:r>
          </w:p>
        </w:tc>
        <w:tc>
          <w:tcPr>
            <w:tcW w:w="994" w:type="dxa"/>
            <w:tcBorders>
              <w:top w:val="single" w:sz="4" w:space="0" w:color="365F91"/>
              <w:bottom w:val="single" w:sz="4" w:space="0" w:color="365F91"/>
            </w:tcBorders>
          </w:tcPr>
          <w:p w14:paraId="305A3C94" w14:textId="77777777" w:rsidR="00A05AC8" w:rsidRPr="00256982" w:rsidRDefault="00A05AC8" w:rsidP="00B7783F">
            <w:pPr>
              <w:pStyle w:val="TableText"/>
              <w:spacing w:before="40" w:after="40"/>
            </w:pPr>
            <w:r w:rsidRPr="00256982">
              <w:t>W.14, 2017</w:t>
            </w:r>
          </w:p>
        </w:tc>
        <w:tc>
          <w:tcPr>
            <w:tcW w:w="3543" w:type="dxa"/>
            <w:tcBorders>
              <w:top w:val="single" w:sz="4" w:space="0" w:color="365F91"/>
              <w:bottom w:val="single" w:sz="4" w:space="0" w:color="365F91"/>
            </w:tcBorders>
            <w:shd w:val="clear" w:color="auto" w:fill="auto"/>
          </w:tcPr>
          <w:p w14:paraId="10D2D28F" w14:textId="77777777" w:rsidR="00A05AC8" w:rsidRPr="00256982" w:rsidRDefault="00A05AC8" w:rsidP="00B7783F">
            <w:pPr>
              <w:pStyle w:val="TableText"/>
              <w:spacing w:before="40" w:after="40"/>
              <w:rPr>
                <w:highlight w:val="yellow"/>
              </w:rPr>
            </w:pPr>
            <w:r w:rsidRPr="00256982">
              <w:t>Update the NIR and make reference to category 5.A.1.a in the subheading ‘Municipal landfills’ under NIR section 7.2.2.</w:t>
            </w:r>
          </w:p>
        </w:tc>
        <w:tc>
          <w:tcPr>
            <w:tcW w:w="2291" w:type="dxa"/>
            <w:tcBorders>
              <w:top w:val="single" w:sz="4" w:space="0" w:color="365F91"/>
              <w:bottom w:val="single" w:sz="4" w:space="0" w:color="365F91"/>
            </w:tcBorders>
            <w:shd w:val="clear" w:color="auto" w:fill="auto"/>
          </w:tcPr>
          <w:p w14:paraId="02E474CC" w14:textId="77777777" w:rsidR="00A05AC8" w:rsidRPr="00256982" w:rsidRDefault="00A05AC8" w:rsidP="00B7783F">
            <w:pPr>
              <w:pStyle w:val="TableText"/>
              <w:spacing w:before="40" w:after="40"/>
              <w:rPr>
                <w:b/>
                <w:highlight w:val="yellow"/>
              </w:rPr>
            </w:pPr>
            <w:r w:rsidRPr="00256982">
              <w:rPr>
                <w:b/>
              </w:rPr>
              <w:t xml:space="preserve">Resolved. </w:t>
            </w:r>
            <w:r w:rsidRPr="00256982">
              <w:t>The NIR was corrected for the 2018 submission.</w:t>
            </w:r>
          </w:p>
        </w:tc>
      </w:tr>
      <w:tr w:rsidR="00A05AC8" w:rsidRPr="00256982" w14:paraId="44B11773" w14:textId="77777777" w:rsidTr="00E742A5">
        <w:tc>
          <w:tcPr>
            <w:tcW w:w="1677" w:type="dxa"/>
            <w:tcBorders>
              <w:top w:val="single" w:sz="4" w:space="0" w:color="365F91"/>
              <w:bottom w:val="single" w:sz="4" w:space="0" w:color="365F91"/>
            </w:tcBorders>
            <w:shd w:val="clear" w:color="auto" w:fill="auto"/>
          </w:tcPr>
          <w:p w14:paraId="5E3112CA" w14:textId="77777777" w:rsidR="00A05AC8" w:rsidRPr="00256982" w:rsidRDefault="00A05AC8" w:rsidP="00B7783F">
            <w:pPr>
              <w:pStyle w:val="TableText"/>
              <w:keepNext/>
              <w:spacing w:before="40" w:after="40"/>
              <w:rPr>
                <w:highlight w:val="yellow"/>
              </w:rPr>
            </w:pPr>
            <w:r w:rsidRPr="00256982">
              <w:t>Waste – 5.B.1 Composting – CH</w:t>
            </w:r>
            <w:r w:rsidRPr="00256982">
              <w:rPr>
                <w:vertAlign w:val="subscript"/>
              </w:rPr>
              <w:t>4</w:t>
            </w:r>
            <w:r w:rsidRPr="00256982">
              <w:t xml:space="preserve"> and N</w:t>
            </w:r>
            <w:r w:rsidRPr="00256982">
              <w:rPr>
                <w:vertAlign w:val="subscript"/>
              </w:rPr>
              <w:t>2</w:t>
            </w:r>
            <w:r w:rsidRPr="00256982">
              <w:t>O</w:t>
            </w:r>
          </w:p>
        </w:tc>
        <w:tc>
          <w:tcPr>
            <w:tcW w:w="994" w:type="dxa"/>
            <w:tcBorders>
              <w:top w:val="single" w:sz="4" w:space="0" w:color="365F91"/>
              <w:bottom w:val="single" w:sz="4" w:space="0" w:color="365F91"/>
            </w:tcBorders>
          </w:tcPr>
          <w:p w14:paraId="1BAABD15" w14:textId="77777777" w:rsidR="00A05AC8" w:rsidRPr="00256982" w:rsidRDefault="00A05AC8" w:rsidP="00B7783F">
            <w:pPr>
              <w:pStyle w:val="TableText"/>
              <w:spacing w:before="40" w:after="40"/>
            </w:pPr>
            <w:r w:rsidRPr="00256982">
              <w:t>W.15, 2017</w:t>
            </w:r>
          </w:p>
        </w:tc>
        <w:tc>
          <w:tcPr>
            <w:tcW w:w="3543" w:type="dxa"/>
            <w:tcBorders>
              <w:top w:val="single" w:sz="4" w:space="0" w:color="365F91"/>
              <w:bottom w:val="single" w:sz="4" w:space="0" w:color="365F91"/>
            </w:tcBorders>
            <w:shd w:val="clear" w:color="auto" w:fill="auto"/>
          </w:tcPr>
          <w:p w14:paraId="00247F1D" w14:textId="77777777" w:rsidR="00A05AC8" w:rsidRPr="00256982" w:rsidRDefault="00A05AC8" w:rsidP="00B7783F">
            <w:pPr>
              <w:pStyle w:val="TableText"/>
              <w:spacing w:before="40" w:after="40"/>
            </w:pPr>
            <w:r w:rsidRPr="00256982">
              <w:t>Improve the consistency of its reporting in NIR sections 7.1.2 and 7.3, including figure 7.1.2 (p.314), to reflect that category 5.B.1 is ‘NE’ (not estimated). The ERT also recommends that the Party includes information on the exclusion of category 5.B.1 in terms of the likely level of emissions in the waste chapter (under the relevant section) and includes a cross reference to annex A6.2.1.</w:t>
            </w:r>
          </w:p>
        </w:tc>
        <w:tc>
          <w:tcPr>
            <w:tcW w:w="2291" w:type="dxa"/>
            <w:tcBorders>
              <w:top w:val="single" w:sz="4" w:space="0" w:color="365F91"/>
              <w:bottom w:val="single" w:sz="4" w:space="0" w:color="365F91"/>
            </w:tcBorders>
            <w:shd w:val="clear" w:color="auto" w:fill="auto"/>
          </w:tcPr>
          <w:p w14:paraId="132D1CA8" w14:textId="77777777" w:rsidR="00A05AC8" w:rsidRPr="00256982" w:rsidRDefault="00A05AC8" w:rsidP="00B7783F">
            <w:pPr>
              <w:pStyle w:val="TableText"/>
              <w:spacing w:before="40" w:after="40"/>
              <w:rPr>
                <w:b/>
                <w:highlight w:val="yellow"/>
              </w:rPr>
            </w:pPr>
            <w:r w:rsidRPr="00256982">
              <w:rPr>
                <w:b/>
              </w:rPr>
              <w:t xml:space="preserve">Resolved. </w:t>
            </w:r>
            <w:r w:rsidRPr="00256982">
              <w:t>The NIR was corrected for the 2018 submission. For the 2019 submission, emissions for composting are reported.</w:t>
            </w:r>
          </w:p>
        </w:tc>
      </w:tr>
      <w:tr w:rsidR="00A05AC8" w:rsidRPr="00256982" w14:paraId="1EEE8EC1" w14:textId="77777777" w:rsidTr="00E742A5">
        <w:tc>
          <w:tcPr>
            <w:tcW w:w="1677" w:type="dxa"/>
            <w:tcBorders>
              <w:top w:val="single" w:sz="4" w:space="0" w:color="365F91"/>
              <w:bottom w:val="single" w:sz="4" w:space="0" w:color="365F91"/>
            </w:tcBorders>
            <w:shd w:val="clear" w:color="auto" w:fill="auto"/>
          </w:tcPr>
          <w:p w14:paraId="58DD6462" w14:textId="77777777" w:rsidR="00A05AC8" w:rsidRPr="00256982" w:rsidRDefault="00A05AC8" w:rsidP="00B7783F">
            <w:pPr>
              <w:pStyle w:val="TableText"/>
              <w:keepNext/>
              <w:spacing w:before="40" w:after="40"/>
              <w:rPr>
                <w:highlight w:val="yellow"/>
              </w:rPr>
            </w:pPr>
            <w:r w:rsidRPr="00256982">
              <w:t>Waste – 5.B.1 Composting – CH</w:t>
            </w:r>
            <w:r w:rsidRPr="00256982">
              <w:rPr>
                <w:vertAlign w:val="subscript"/>
              </w:rPr>
              <w:t>4</w:t>
            </w:r>
            <w:r w:rsidRPr="00256982">
              <w:t xml:space="preserve"> and N</w:t>
            </w:r>
            <w:r w:rsidRPr="00256982">
              <w:rPr>
                <w:vertAlign w:val="subscript"/>
              </w:rPr>
              <w:t>2</w:t>
            </w:r>
            <w:r w:rsidRPr="00256982">
              <w:t>O</w:t>
            </w:r>
          </w:p>
        </w:tc>
        <w:tc>
          <w:tcPr>
            <w:tcW w:w="994" w:type="dxa"/>
            <w:tcBorders>
              <w:top w:val="single" w:sz="4" w:space="0" w:color="365F91"/>
              <w:bottom w:val="single" w:sz="4" w:space="0" w:color="365F91"/>
            </w:tcBorders>
          </w:tcPr>
          <w:p w14:paraId="4060EC34" w14:textId="77777777" w:rsidR="00A05AC8" w:rsidRPr="00256982" w:rsidRDefault="00A05AC8" w:rsidP="00B7783F">
            <w:pPr>
              <w:pStyle w:val="TableText"/>
              <w:spacing w:before="40" w:after="40"/>
            </w:pPr>
            <w:r w:rsidRPr="00256982">
              <w:t>W.16, 2017</w:t>
            </w:r>
          </w:p>
        </w:tc>
        <w:tc>
          <w:tcPr>
            <w:tcW w:w="3543" w:type="dxa"/>
            <w:tcBorders>
              <w:top w:val="single" w:sz="4" w:space="0" w:color="365F91"/>
              <w:bottom w:val="single" w:sz="4" w:space="0" w:color="365F91"/>
            </w:tcBorders>
            <w:shd w:val="clear" w:color="auto" w:fill="auto"/>
          </w:tcPr>
          <w:p w14:paraId="6152503E" w14:textId="77777777" w:rsidR="00A05AC8" w:rsidRPr="00256982" w:rsidRDefault="00A05AC8" w:rsidP="00B7783F">
            <w:pPr>
              <w:pStyle w:val="TableText"/>
              <w:spacing w:before="40" w:after="40"/>
              <w:rPr>
                <w:highlight w:val="yellow"/>
              </w:rPr>
            </w:pPr>
            <w:r w:rsidRPr="00256982">
              <w:t>Update its calculation provided in the NIR to justify the use of ‘NE’ (not estimated) for CH</w:t>
            </w:r>
            <w:r w:rsidRPr="00256982">
              <w:rPr>
                <w:vertAlign w:val="subscript"/>
              </w:rPr>
              <w:t>4</w:t>
            </w:r>
            <w:r w:rsidRPr="00256982">
              <w:t xml:space="preserve"> and nitrous oxide (N</w:t>
            </w:r>
            <w:r w:rsidRPr="00256982">
              <w:rPr>
                <w:vertAlign w:val="subscript"/>
              </w:rPr>
              <w:t>2</w:t>
            </w:r>
            <w:r w:rsidRPr="00256982">
              <w:t>O) emissions from category 5.B.1 (composting) in the NIR (annex A6.2.1, p.499).</w:t>
            </w:r>
          </w:p>
        </w:tc>
        <w:tc>
          <w:tcPr>
            <w:tcW w:w="2291" w:type="dxa"/>
            <w:tcBorders>
              <w:top w:val="single" w:sz="4" w:space="0" w:color="365F91"/>
              <w:bottom w:val="single" w:sz="4" w:space="0" w:color="365F91"/>
            </w:tcBorders>
            <w:shd w:val="clear" w:color="auto" w:fill="auto"/>
          </w:tcPr>
          <w:p w14:paraId="2DDD540F" w14:textId="77777777" w:rsidR="00A05AC8" w:rsidRPr="00256982" w:rsidRDefault="00A05AC8" w:rsidP="00B7783F">
            <w:pPr>
              <w:pStyle w:val="TableText"/>
              <w:spacing w:before="40" w:after="40"/>
              <w:rPr>
                <w:b/>
                <w:highlight w:val="yellow"/>
              </w:rPr>
            </w:pPr>
            <w:r w:rsidRPr="00256982">
              <w:rPr>
                <w:b/>
              </w:rPr>
              <w:t xml:space="preserve">Resolved. </w:t>
            </w:r>
            <w:r w:rsidRPr="00256982">
              <w:t>The NIR was corrected for the 2018 submission. For the 2019 submission, emissions for composting are reported.</w:t>
            </w:r>
          </w:p>
        </w:tc>
      </w:tr>
      <w:tr w:rsidR="00A05AC8" w:rsidRPr="00256982" w14:paraId="109336BE" w14:textId="77777777" w:rsidTr="00E742A5">
        <w:tc>
          <w:tcPr>
            <w:tcW w:w="1677" w:type="dxa"/>
            <w:tcBorders>
              <w:top w:val="single" w:sz="4" w:space="0" w:color="365F91"/>
              <w:bottom w:val="single" w:sz="4" w:space="0" w:color="365F91"/>
            </w:tcBorders>
            <w:shd w:val="clear" w:color="auto" w:fill="auto"/>
          </w:tcPr>
          <w:p w14:paraId="40E74AA5" w14:textId="77777777" w:rsidR="00A05AC8" w:rsidRPr="00256982" w:rsidRDefault="00A05AC8" w:rsidP="00B7783F">
            <w:pPr>
              <w:pStyle w:val="TableText"/>
              <w:spacing w:before="40" w:after="40"/>
            </w:pPr>
            <w:r w:rsidRPr="00256982">
              <w:t>Waste – 5.C.1 Waste incineration – CH</w:t>
            </w:r>
            <w:r w:rsidRPr="00256982">
              <w:rPr>
                <w:vertAlign w:val="subscript"/>
              </w:rPr>
              <w:t>4</w:t>
            </w:r>
            <w:r w:rsidRPr="00256982">
              <w:t xml:space="preserve"> and N</w:t>
            </w:r>
            <w:r w:rsidRPr="00256982">
              <w:rPr>
                <w:vertAlign w:val="subscript"/>
              </w:rPr>
              <w:t>2</w:t>
            </w:r>
            <w:r w:rsidRPr="00256982">
              <w:t>O</w:t>
            </w:r>
          </w:p>
        </w:tc>
        <w:tc>
          <w:tcPr>
            <w:tcW w:w="994" w:type="dxa"/>
            <w:tcBorders>
              <w:top w:val="single" w:sz="4" w:space="0" w:color="365F91"/>
              <w:bottom w:val="single" w:sz="4" w:space="0" w:color="365F91"/>
            </w:tcBorders>
          </w:tcPr>
          <w:p w14:paraId="04276F31" w14:textId="77777777" w:rsidR="00A05AC8" w:rsidRPr="00256982" w:rsidRDefault="00A05AC8" w:rsidP="00B7783F">
            <w:pPr>
              <w:pStyle w:val="TableText"/>
              <w:spacing w:before="40" w:after="40"/>
            </w:pPr>
            <w:r w:rsidRPr="00256982">
              <w:t>W.17, 2017</w:t>
            </w:r>
          </w:p>
        </w:tc>
        <w:tc>
          <w:tcPr>
            <w:tcW w:w="3543" w:type="dxa"/>
            <w:tcBorders>
              <w:top w:val="single" w:sz="4" w:space="0" w:color="365F91"/>
              <w:bottom w:val="single" w:sz="4" w:space="0" w:color="365F91"/>
            </w:tcBorders>
            <w:shd w:val="clear" w:color="auto" w:fill="auto"/>
          </w:tcPr>
          <w:p w14:paraId="77E156B5" w14:textId="77777777" w:rsidR="00A05AC8" w:rsidRPr="00256982" w:rsidRDefault="00A05AC8" w:rsidP="00B7783F">
            <w:pPr>
              <w:pStyle w:val="TableText"/>
              <w:spacing w:before="40" w:after="40"/>
            </w:pPr>
            <w:r w:rsidRPr="00256982">
              <w:t>Explain the assumptions and how the EFs were obtained. The ERT further recommends that the Party checks the value of the CH</w:t>
            </w:r>
            <w:r w:rsidRPr="00256982">
              <w:rPr>
                <w:vertAlign w:val="subscript"/>
              </w:rPr>
              <w:t>4</w:t>
            </w:r>
            <w:r w:rsidRPr="00256982">
              <w:t xml:space="preserve"> EF for clinical waste in NIR table 7.4.1 (1.79 kg/kt) and in the spreadsheet (17.86 kg/kt) and correct it, as appropriate.</w:t>
            </w:r>
          </w:p>
        </w:tc>
        <w:tc>
          <w:tcPr>
            <w:tcW w:w="2291" w:type="dxa"/>
            <w:tcBorders>
              <w:top w:val="single" w:sz="4" w:space="0" w:color="365F91"/>
              <w:bottom w:val="single" w:sz="4" w:space="0" w:color="365F91"/>
            </w:tcBorders>
            <w:shd w:val="clear" w:color="auto" w:fill="auto"/>
          </w:tcPr>
          <w:p w14:paraId="1AC84888" w14:textId="77777777" w:rsidR="00A05AC8" w:rsidRPr="00256982" w:rsidRDefault="00A05AC8" w:rsidP="00B7783F">
            <w:pPr>
              <w:pStyle w:val="TableText"/>
              <w:spacing w:before="40" w:after="40"/>
              <w:rPr>
                <w:b/>
                <w:highlight w:val="yellow"/>
              </w:rPr>
            </w:pPr>
            <w:r w:rsidRPr="00256982">
              <w:rPr>
                <w:b/>
              </w:rPr>
              <w:t xml:space="preserve">Resolved. </w:t>
            </w:r>
            <w:r w:rsidRPr="00256982">
              <w:t>The sources of the emission factors have been clarified in table 7.4.4 in the 2019 NIR.</w:t>
            </w:r>
          </w:p>
        </w:tc>
      </w:tr>
      <w:tr w:rsidR="00A05AC8" w:rsidRPr="00256982" w14:paraId="578245CB" w14:textId="77777777" w:rsidTr="00E742A5">
        <w:tc>
          <w:tcPr>
            <w:tcW w:w="1677" w:type="dxa"/>
            <w:tcBorders>
              <w:top w:val="single" w:sz="4" w:space="0" w:color="365F91"/>
              <w:bottom w:val="single" w:sz="4" w:space="0" w:color="365F91"/>
            </w:tcBorders>
            <w:shd w:val="clear" w:color="auto" w:fill="auto"/>
          </w:tcPr>
          <w:p w14:paraId="7AA7C660" w14:textId="77777777" w:rsidR="00A05AC8" w:rsidRPr="00256982" w:rsidRDefault="00A05AC8" w:rsidP="00B7783F">
            <w:pPr>
              <w:pStyle w:val="TableText"/>
              <w:spacing w:before="40" w:after="40"/>
            </w:pPr>
            <w:r w:rsidRPr="00256982">
              <w:t>Waste – 5.D.1 Domestic wastewater – CH</w:t>
            </w:r>
            <w:r w:rsidRPr="00256982">
              <w:rPr>
                <w:vertAlign w:val="subscript"/>
              </w:rPr>
              <w:t>4</w:t>
            </w:r>
            <w:r w:rsidRPr="00256982">
              <w:t xml:space="preserve"> and N</w:t>
            </w:r>
            <w:r w:rsidRPr="00256982">
              <w:rPr>
                <w:vertAlign w:val="subscript"/>
              </w:rPr>
              <w:t>2</w:t>
            </w:r>
            <w:r w:rsidRPr="00256982">
              <w:t>O</w:t>
            </w:r>
          </w:p>
        </w:tc>
        <w:tc>
          <w:tcPr>
            <w:tcW w:w="994" w:type="dxa"/>
            <w:tcBorders>
              <w:top w:val="single" w:sz="4" w:space="0" w:color="365F91"/>
              <w:bottom w:val="single" w:sz="4" w:space="0" w:color="365F91"/>
            </w:tcBorders>
          </w:tcPr>
          <w:p w14:paraId="1172494A" w14:textId="77777777" w:rsidR="00A05AC8" w:rsidRPr="00256982" w:rsidRDefault="00A05AC8" w:rsidP="00B7783F">
            <w:pPr>
              <w:pStyle w:val="TableText"/>
              <w:spacing w:before="40" w:after="40"/>
            </w:pPr>
            <w:r w:rsidRPr="00256982">
              <w:t>W.18, 2017</w:t>
            </w:r>
          </w:p>
        </w:tc>
        <w:tc>
          <w:tcPr>
            <w:tcW w:w="3543" w:type="dxa"/>
            <w:tcBorders>
              <w:top w:val="single" w:sz="4" w:space="0" w:color="365F91"/>
              <w:bottom w:val="single" w:sz="4" w:space="0" w:color="365F91"/>
            </w:tcBorders>
            <w:shd w:val="clear" w:color="auto" w:fill="auto"/>
          </w:tcPr>
          <w:p w14:paraId="68724B76" w14:textId="77777777" w:rsidR="00A05AC8" w:rsidRPr="00256982" w:rsidRDefault="00A05AC8" w:rsidP="00B7783F">
            <w:pPr>
              <w:pStyle w:val="TableText"/>
              <w:spacing w:before="40" w:after="40"/>
            </w:pPr>
            <w:r w:rsidRPr="00256982">
              <w:t>Apply an average population inflation factor to all known populations served by wastewater treatment plants to estimate emissions for category 5.D.1 and provide the associated justification of methods and assumptions in the NIR.</w:t>
            </w:r>
          </w:p>
        </w:tc>
        <w:tc>
          <w:tcPr>
            <w:tcW w:w="2291" w:type="dxa"/>
            <w:tcBorders>
              <w:top w:val="single" w:sz="4" w:space="0" w:color="365F91"/>
              <w:bottom w:val="single" w:sz="4" w:space="0" w:color="365F91"/>
            </w:tcBorders>
            <w:shd w:val="clear" w:color="auto" w:fill="auto"/>
          </w:tcPr>
          <w:p w14:paraId="03C5D4D3" w14:textId="77777777" w:rsidR="00A05AC8" w:rsidRPr="00256982" w:rsidRDefault="00A05AC8" w:rsidP="00B7783F">
            <w:pPr>
              <w:pStyle w:val="TableText"/>
              <w:spacing w:before="40" w:after="40"/>
              <w:rPr>
                <w:b/>
                <w:highlight w:val="yellow"/>
              </w:rPr>
            </w:pPr>
            <w:r w:rsidRPr="00256982">
              <w:rPr>
                <w:b/>
              </w:rPr>
              <w:t xml:space="preserve">Resolved. </w:t>
            </w:r>
            <w:r w:rsidRPr="00256982">
              <w:t>The full population has been accounted for since the 2018 submission and the NIR updated to explain the methods.</w:t>
            </w:r>
          </w:p>
        </w:tc>
      </w:tr>
      <w:tr w:rsidR="00A05AC8" w:rsidRPr="00256982" w14:paraId="5C9EF3F3" w14:textId="77777777" w:rsidTr="00E742A5">
        <w:tc>
          <w:tcPr>
            <w:tcW w:w="1677" w:type="dxa"/>
            <w:tcBorders>
              <w:top w:val="single" w:sz="4" w:space="0" w:color="365F91"/>
              <w:bottom w:val="single" w:sz="4" w:space="0" w:color="365F91"/>
            </w:tcBorders>
            <w:shd w:val="clear" w:color="auto" w:fill="auto"/>
          </w:tcPr>
          <w:p w14:paraId="3BBC5DDB" w14:textId="77777777" w:rsidR="00A05AC8" w:rsidRPr="00256982" w:rsidRDefault="00A05AC8" w:rsidP="00B7783F">
            <w:pPr>
              <w:pStyle w:val="TableText"/>
              <w:spacing w:before="40" w:after="40"/>
            </w:pPr>
            <w:r w:rsidRPr="00256982">
              <w:t>Waste – 5.D.1 Domestic wastewater – N</w:t>
            </w:r>
            <w:r w:rsidRPr="00256982">
              <w:rPr>
                <w:vertAlign w:val="subscript"/>
              </w:rPr>
              <w:t>2</w:t>
            </w:r>
            <w:r w:rsidRPr="00256982">
              <w:t>O</w:t>
            </w:r>
          </w:p>
        </w:tc>
        <w:tc>
          <w:tcPr>
            <w:tcW w:w="994" w:type="dxa"/>
            <w:tcBorders>
              <w:top w:val="single" w:sz="4" w:space="0" w:color="365F91"/>
              <w:bottom w:val="single" w:sz="4" w:space="0" w:color="365F91"/>
            </w:tcBorders>
          </w:tcPr>
          <w:p w14:paraId="44695D9F" w14:textId="77777777" w:rsidR="00A05AC8" w:rsidRPr="00256982" w:rsidRDefault="00A05AC8" w:rsidP="00B7783F">
            <w:pPr>
              <w:pStyle w:val="TableText"/>
              <w:spacing w:before="40" w:after="40"/>
            </w:pPr>
            <w:r w:rsidRPr="00256982">
              <w:t>W.19, 2017</w:t>
            </w:r>
          </w:p>
        </w:tc>
        <w:tc>
          <w:tcPr>
            <w:tcW w:w="3543" w:type="dxa"/>
            <w:tcBorders>
              <w:top w:val="single" w:sz="4" w:space="0" w:color="365F91"/>
              <w:bottom w:val="single" w:sz="4" w:space="0" w:color="365F91"/>
            </w:tcBorders>
            <w:shd w:val="clear" w:color="auto" w:fill="auto"/>
          </w:tcPr>
          <w:p w14:paraId="1939660B" w14:textId="77777777" w:rsidR="00A05AC8" w:rsidRPr="00256982" w:rsidRDefault="00A05AC8" w:rsidP="00B7783F">
            <w:pPr>
              <w:pStyle w:val="TableText"/>
              <w:spacing w:before="40" w:after="40"/>
            </w:pPr>
            <w:r w:rsidRPr="00256982">
              <w:t>Report a value of 1.25 for the industrial and commercial co-discharged protein parameter and 1.40 for the fraction of non-consumed protein in CRF table 5.D.</w:t>
            </w:r>
          </w:p>
        </w:tc>
        <w:tc>
          <w:tcPr>
            <w:tcW w:w="2291" w:type="dxa"/>
            <w:tcBorders>
              <w:top w:val="single" w:sz="4" w:space="0" w:color="365F91"/>
              <w:bottom w:val="single" w:sz="4" w:space="0" w:color="365F91"/>
            </w:tcBorders>
            <w:shd w:val="clear" w:color="auto" w:fill="auto"/>
          </w:tcPr>
          <w:p w14:paraId="4A0C8033" w14:textId="77777777" w:rsidR="00A05AC8" w:rsidRPr="00256982" w:rsidRDefault="00A05AC8" w:rsidP="00B7783F">
            <w:pPr>
              <w:pStyle w:val="TableText"/>
              <w:spacing w:before="40" w:after="40"/>
              <w:rPr>
                <w:b/>
                <w:highlight w:val="yellow"/>
              </w:rPr>
            </w:pPr>
            <w:r w:rsidRPr="00256982">
              <w:rPr>
                <w:b/>
              </w:rPr>
              <w:t xml:space="preserve">Resolved. </w:t>
            </w:r>
            <w:r w:rsidRPr="00256982">
              <w:t>The correct parameters were included in the CRF for the 2018 submission.</w:t>
            </w:r>
          </w:p>
        </w:tc>
      </w:tr>
      <w:tr w:rsidR="00A05AC8" w:rsidRPr="00256982" w14:paraId="51B82608" w14:textId="77777777" w:rsidTr="00E742A5">
        <w:tc>
          <w:tcPr>
            <w:tcW w:w="1677" w:type="dxa"/>
            <w:tcBorders>
              <w:top w:val="single" w:sz="4" w:space="0" w:color="365F91"/>
              <w:bottom w:val="single" w:sz="4" w:space="0" w:color="365F91"/>
            </w:tcBorders>
            <w:shd w:val="clear" w:color="auto" w:fill="auto"/>
          </w:tcPr>
          <w:p w14:paraId="59019FCC" w14:textId="77777777" w:rsidR="00A05AC8" w:rsidRPr="00256982" w:rsidRDefault="00A05AC8" w:rsidP="00B7783F">
            <w:pPr>
              <w:pStyle w:val="TableText"/>
              <w:spacing w:before="40" w:after="40"/>
            </w:pPr>
            <w:r w:rsidRPr="00256982">
              <w:t>KP-LULUCF – General – CO</w:t>
            </w:r>
            <w:r w:rsidRPr="00256982">
              <w:rPr>
                <w:vertAlign w:val="subscript"/>
              </w:rPr>
              <w:t>2</w:t>
            </w:r>
            <w:r w:rsidRPr="00256982">
              <w:t>, CH</w:t>
            </w:r>
            <w:r w:rsidRPr="00256982">
              <w:rPr>
                <w:vertAlign w:val="subscript"/>
              </w:rPr>
              <w:t>4</w:t>
            </w:r>
            <w:r w:rsidRPr="00256982">
              <w:t xml:space="preserve"> and N</w:t>
            </w:r>
            <w:r w:rsidRPr="00256982">
              <w:rPr>
                <w:vertAlign w:val="subscript"/>
              </w:rPr>
              <w:t>2</w:t>
            </w:r>
            <w:r w:rsidRPr="00256982">
              <w:t>O</w:t>
            </w:r>
          </w:p>
        </w:tc>
        <w:tc>
          <w:tcPr>
            <w:tcW w:w="994" w:type="dxa"/>
            <w:tcBorders>
              <w:top w:val="single" w:sz="4" w:space="0" w:color="365F91"/>
              <w:bottom w:val="single" w:sz="4" w:space="0" w:color="365F91"/>
            </w:tcBorders>
          </w:tcPr>
          <w:p w14:paraId="2E5C2BE1" w14:textId="77777777" w:rsidR="00A05AC8" w:rsidRPr="00256982" w:rsidRDefault="00A05AC8" w:rsidP="00B7783F">
            <w:pPr>
              <w:pStyle w:val="TableText"/>
              <w:spacing w:before="40" w:after="40"/>
            </w:pPr>
            <w:r w:rsidRPr="00256982">
              <w:t>KL.3, 2017</w:t>
            </w:r>
          </w:p>
        </w:tc>
        <w:tc>
          <w:tcPr>
            <w:tcW w:w="3543" w:type="dxa"/>
            <w:tcBorders>
              <w:top w:val="single" w:sz="4" w:space="0" w:color="365F91"/>
              <w:bottom w:val="single" w:sz="4" w:space="0" w:color="365F91"/>
            </w:tcBorders>
            <w:shd w:val="clear" w:color="auto" w:fill="auto"/>
          </w:tcPr>
          <w:p w14:paraId="210C1741" w14:textId="77777777" w:rsidR="00A05AC8" w:rsidRPr="00256982" w:rsidRDefault="00A05AC8" w:rsidP="00B7783F">
            <w:pPr>
              <w:pStyle w:val="TableText"/>
              <w:spacing w:before="40" w:after="40"/>
            </w:pPr>
            <w:r w:rsidRPr="00256982">
              <w:t>The ERT recommends that New Zealand enhance the internal coherence of the NIR and its adherence to the reporting guidelines under Article 7, paragraph 1, of the Kyoto Protocol, by including the correct approaches and methods used.</w:t>
            </w:r>
          </w:p>
        </w:tc>
        <w:tc>
          <w:tcPr>
            <w:tcW w:w="2291" w:type="dxa"/>
            <w:tcBorders>
              <w:top w:val="single" w:sz="4" w:space="0" w:color="365F91"/>
              <w:bottom w:val="single" w:sz="4" w:space="0" w:color="365F91"/>
            </w:tcBorders>
            <w:shd w:val="clear" w:color="auto" w:fill="auto"/>
          </w:tcPr>
          <w:p w14:paraId="67E4DB26" w14:textId="77777777" w:rsidR="00A05AC8" w:rsidRPr="00256982" w:rsidRDefault="00A05AC8" w:rsidP="00B7783F">
            <w:pPr>
              <w:pStyle w:val="TableText"/>
              <w:spacing w:before="40" w:after="40"/>
            </w:pPr>
            <w:r w:rsidRPr="00256982">
              <w:rPr>
                <w:b/>
              </w:rPr>
              <w:t>Resolved.</w:t>
            </w:r>
            <w:r w:rsidRPr="00256982">
              <w:t xml:space="preserve"> New Zealand has improved explanations of the approaches and methods used in section 11.2.3.</w:t>
            </w:r>
          </w:p>
        </w:tc>
      </w:tr>
      <w:tr w:rsidR="00A05AC8" w:rsidRPr="00256982" w14:paraId="2481A9C9" w14:textId="77777777" w:rsidTr="00E742A5">
        <w:tc>
          <w:tcPr>
            <w:tcW w:w="1677" w:type="dxa"/>
            <w:tcBorders>
              <w:top w:val="single" w:sz="4" w:space="0" w:color="365F91"/>
              <w:bottom w:val="single" w:sz="4" w:space="0" w:color="365F91"/>
            </w:tcBorders>
            <w:shd w:val="clear" w:color="auto" w:fill="auto"/>
          </w:tcPr>
          <w:p w14:paraId="2097E9F5" w14:textId="77777777" w:rsidR="00A05AC8" w:rsidRPr="00256982" w:rsidRDefault="00A05AC8" w:rsidP="00B7783F">
            <w:pPr>
              <w:pStyle w:val="TableText"/>
              <w:spacing w:before="40" w:after="40"/>
            </w:pPr>
            <w:r w:rsidRPr="00256982">
              <w:t>KP-LULUCF – Forest management – CO</w:t>
            </w:r>
            <w:r w:rsidRPr="00256982">
              <w:rPr>
                <w:vertAlign w:val="subscript"/>
              </w:rPr>
              <w:t>2</w:t>
            </w:r>
          </w:p>
        </w:tc>
        <w:tc>
          <w:tcPr>
            <w:tcW w:w="994" w:type="dxa"/>
            <w:tcBorders>
              <w:top w:val="single" w:sz="4" w:space="0" w:color="365F91"/>
              <w:bottom w:val="single" w:sz="4" w:space="0" w:color="365F91"/>
            </w:tcBorders>
          </w:tcPr>
          <w:p w14:paraId="7EF728CD" w14:textId="77777777" w:rsidR="00A05AC8" w:rsidRPr="00256982" w:rsidRDefault="00A05AC8" w:rsidP="00B7783F">
            <w:pPr>
              <w:pStyle w:val="TableText"/>
              <w:spacing w:before="40" w:after="40"/>
            </w:pPr>
            <w:r w:rsidRPr="00256982">
              <w:t>KL.4, 2017</w:t>
            </w:r>
          </w:p>
        </w:tc>
        <w:tc>
          <w:tcPr>
            <w:tcW w:w="3543" w:type="dxa"/>
            <w:tcBorders>
              <w:top w:val="single" w:sz="4" w:space="0" w:color="365F91"/>
              <w:bottom w:val="single" w:sz="4" w:space="0" w:color="365F91"/>
            </w:tcBorders>
            <w:shd w:val="clear" w:color="auto" w:fill="auto"/>
          </w:tcPr>
          <w:p w14:paraId="6AE547A4" w14:textId="77777777" w:rsidR="00A05AC8" w:rsidRPr="00256982" w:rsidRDefault="00A05AC8" w:rsidP="00B7783F">
            <w:pPr>
              <w:pStyle w:val="TableText"/>
              <w:spacing w:before="40" w:after="40"/>
            </w:pPr>
            <w:r w:rsidRPr="00256982">
              <w:t>Include relevant information in the NIR in support of the mandatory requirement to demonstrate that the mineral soil pool under FM activity is not a source, following the guidance in section 2.3.1 in the Kyoto Protocol Supplement.</w:t>
            </w:r>
          </w:p>
        </w:tc>
        <w:tc>
          <w:tcPr>
            <w:tcW w:w="2291" w:type="dxa"/>
            <w:tcBorders>
              <w:top w:val="single" w:sz="4" w:space="0" w:color="365F91"/>
              <w:bottom w:val="single" w:sz="4" w:space="0" w:color="365F91"/>
            </w:tcBorders>
            <w:shd w:val="clear" w:color="auto" w:fill="auto"/>
          </w:tcPr>
          <w:p w14:paraId="78FA527D" w14:textId="77777777" w:rsidR="00A05AC8" w:rsidRPr="00256982" w:rsidRDefault="00A05AC8" w:rsidP="00B7783F">
            <w:pPr>
              <w:pStyle w:val="TableText"/>
              <w:spacing w:before="40" w:after="40"/>
            </w:pPr>
            <w:r w:rsidRPr="00256982">
              <w:rPr>
                <w:b/>
              </w:rPr>
              <w:t>Resolved.</w:t>
            </w:r>
            <w:r w:rsidRPr="00256982">
              <w:t xml:space="preserve"> New Zealand has added the information requested here in section 11.3.4.</w:t>
            </w:r>
          </w:p>
          <w:p w14:paraId="363B859D" w14:textId="77777777" w:rsidR="00A05AC8" w:rsidRPr="00256982" w:rsidRDefault="00A05AC8" w:rsidP="00B7783F">
            <w:pPr>
              <w:pStyle w:val="TableText"/>
              <w:spacing w:before="40" w:after="40"/>
            </w:pPr>
          </w:p>
        </w:tc>
      </w:tr>
      <w:tr w:rsidR="00A05AC8" w:rsidRPr="00256982" w14:paraId="2329E77C" w14:textId="77777777" w:rsidTr="00E742A5">
        <w:tc>
          <w:tcPr>
            <w:tcW w:w="1677" w:type="dxa"/>
            <w:tcBorders>
              <w:top w:val="single" w:sz="4" w:space="0" w:color="365F91"/>
              <w:bottom w:val="single" w:sz="4" w:space="0" w:color="365F91"/>
            </w:tcBorders>
            <w:shd w:val="clear" w:color="auto" w:fill="auto"/>
          </w:tcPr>
          <w:p w14:paraId="1D5B3E04" w14:textId="77777777" w:rsidR="00A05AC8" w:rsidRPr="00256982" w:rsidRDefault="00A05AC8" w:rsidP="00B7783F">
            <w:pPr>
              <w:pStyle w:val="TableText"/>
              <w:spacing w:before="40" w:after="40"/>
            </w:pPr>
            <w:r w:rsidRPr="00256982">
              <w:t>KP-LULUCF – Afforestation and reforestation – CO</w:t>
            </w:r>
            <w:r w:rsidRPr="00256982">
              <w:rPr>
                <w:vertAlign w:val="subscript"/>
              </w:rPr>
              <w:t>2</w:t>
            </w:r>
          </w:p>
        </w:tc>
        <w:tc>
          <w:tcPr>
            <w:tcW w:w="994" w:type="dxa"/>
            <w:tcBorders>
              <w:top w:val="single" w:sz="4" w:space="0" w:color="365F91"/>
              <w:bottom w:val="single" w:sz="4" w:space="0" w:color="365F91"/>
            </w:tcBorders>
          </w:tcPr>
          <w:p w14:paraId="5066E98E" w14:textId="77777777" w:rsidR="00A05AC8" w:rsidRPr="00256982" w:rsidRDefault="00A05AC8" w:rsidP="00B7783F">
            <w:pPr>
              <w:pStyle w:val="TableText"/>
              <w:spacing w:before="40" w:after="40"/>
            </w:pPr>
            <w:r w:rsidRPr="00256982">
              <w:t>KL.5, 2017</w:t>
            </w:r>
          </w:p>
        </w:tc>
        <w:tc>
          <w:tcPr>
            <w:tcW w:w="3543" w:type="dxa"/>
            <w:tcBorders>
              <w:top w:val="single" w:sz="4" w:space="0" w:color="365F91"/>
              <w:bottom w:val="single" w:sz="4" w:space="0" w:color="365F91"/>
            </w:tcBorders>
            <w:shd w:val="clear" w:color="auto" w:fill="auto"/>
          </w:tcPr>
          <w:p w14:paraId="171ADF14" w14:textId="77777777" w:rsidR="00A05AC8" w:rsidRPr="00256982" w:rsidRDefault="00A05AC8" w:rsidP="00B7783F">
            <w:pPr>
              <w:pStyle w:val="TableText"/>
              <w:spacing w:before="40" w:after="40"/>
            </w:pPr>
            <w:r w:rsidRPr="00256982">
              <w:t>Include in the NIR synthesized information on the correspondence between forest land (i.e. the area of planted forest versus natural forest as presented in CRF table 4.A) and AR areas reported in CRF table 4(KP-1)A.1.</w:t>
            </w:r>
          </w:p>
        </w:tc>
        <w:tc>
          <w:tcPr>
            <w:tcW w:w="2291" w:type="dxa"/>
            <w:tcBorders>
              <w:top w:val="single" w:sz="4" w:space="0" w:color="365F91"/>
              <w:bottom w:val="single" w:sz="4" w:space="0" w:color="365F91"/>
            </w:tcBorders>
            <w:shd w:val="clear" w:color="auto" w:fill="auto"/>
          </w:tcPr>
          <w:p w14:paraId="7CECCAB8" w14:textId="77777777" w:rsidR="00A05AC8" w:rsidRPr="00256982" w:rsidRDefault="00A05AC8" w:rsidP="00B7783F">
            <w:pPr>
              <w:pStyle w:val="TableText"/>
              <w:spacing w:before="40" w:after="40"/>
            </w:pPr>
            <w:r w:rsidRPr="00256982">
              <w:rPr>
                <w:b/>
              </w:rPr>
              <w:t>Resolved.</w:t>
            </w:r>
            <w:r w:rsidRPr="00256982">
              <w:t xml:space="preserve"> New Zealand has added table 11.3.1a to section 11.3.2 providing this information.</w:t>
            </w:r>
          </w:p>
        </w:tc>
      </w:tr>
      <w:tr w:rsidR="00A05AC8" w:rsidRPr="00256982" w14:paraId="324501CA" w14:textId="77777777" w:rsidTr="00E742A5">
        <w:tc>
          <w:tcPr>
            <w:tcW w:w="1677" w:type="dxa"/>
            <w:tcBorders>
              <w:top w:val="single" w:sz="4" w:space="0" w:color="365F91"/>
              <w:bottom w:val="single" w:sz="4" w:space="0" w:color="365F91"/>
            </w:tcBorders>
            <w:shd w:val="clear" w:color="auto" w:fill="auto"/>
          </w:tcPr>
          <w:p w14:paraId="19A25697" w14:textId="77777777" w:rsidR="00A05AC8" w:rsidRPr="00256982" w:rsidRDefault="00A05AC8" w:rsidP="00B7783F">
            <w:pPr>
              <w:pStyle w:val="TableText"/>
              <w:spacing w:before="40" w:after="40"/>
            </w:pPr>
            <w:r w:rsidRPr="00256982">
              <w:t>KP-LULUCF – Afforestation and reforestation – CO</w:t>
            </w:r>
            <w:r w:rsidRPr="00256982">
              <w:rPr>
                <w:vertAlign w:val="subscript"/>
              </w:rPr>
              <w:t>2</w:t>
            </w:r>
          </w:p>
        </w:tc>
        <w:tc>
          <w:tcPr>
            <w:tcW w:w="994" w:type="dxa"/>
            <w:tcBorders>
              <w:top w:val="single" w:sz="4" w:space="0" w:color="365F91"/>
              <w:bottom w:val="single" w:sz="4" w:space="0" w:color="365F91"/>
            </w:tcBorders>
          </w:tcPr>
          <w:p w14:paraId="03E0B0D5" w14:textId="77777777" w:rsidR="00A05AC8" w:rsidRPr="00256982" w:rsidRDefault="00A05AC8" w:rsidP="00B7783F">
            <w:pPr>
              <w:pStyle w:val="TableText"/>
              <w:spacing w:before="40" w:after="40"/>
            </w:pPr>
            <w:r w:rsidRPr="00256982">
              <w:t>KL.6, 2017</w:t>
            </w:r>
          </w:p>
        </w:tc>
        <w:tc>
          <w:tcPr>
            <w:tcW w:w="3543" w:type="dxa"/>
            <w:tcBorders>
              <w:top w:val="single" w:sz="4" w:space="0" w:color="365F91"/>
              <w:bottom w:val="single" w:sz="4" w:space="0" w:color="365F91"/>
            </w:tcBorders>
            <w:shd w:val="clear" w:color="auto" w:fill="auto"/>
          </w:tcPr>
          <w:p w14:paraId="5DEC83EA" w14:textId="6D769F2E" w:rsidR="00A05AC8" w:rsidRPr="00256982" w:rsidRDefault="00A05AC8" w:rsidP="00B7783F">
            <w:pPr>
              <w:pStyle w:val="TableText"/>
              <w:spacing w:before="40" w:after="40"/>
            </w:pPr>
            <w:r w:rsidRPr="00256982">
              <w:t>Include in the NIR the information provided to the ERT during the review on how surrogate data sets on AR used for the periods 1990–2007 and 2008–2012 are applied in order to demonstrate that: (a) the AR areas meet the forest definition; (b) AR is directly human</w:t>
            </w:r>
            <w:r w:rsidR="00BB0A17">
              <w:t xml:space="preserve"> </w:t>
            </w:r>
            <w:r w:rsidRPr="00256982">
              <w:t>induced and differentiated from natural expansion and/or restocking; and (c) the geographical location of the boundaries of the areas that encompass lands subject to AR activities are identifiable.</w:t>
            </w:r>
          </w:p>
        </w:tc>
        <w:tc>
          <w:tcPr>
            <w:tcW w:w="2291" w:type="dxa"/>
            <w:tcBorders>
              <w:top w:val="single" w:sz="4" w:space="0" w:color="365F91"/>
              <w:bottom w:val="single" w:sz="4" w:space="0" w:color="365F91"/>
            </w:tcBorders>
            <w:shd w:val="clear" w:color="auto" w:fill="auto"/>
          </w:tcPr>
          <w:p w14:paraId="558D8C1C" w14:textId="77777777" w:rsidR="00A05AC8" w:rsidRPr="00256982" w:rsidRDefault="00A05AC8" w:rsidP="00B7783F">
            <w:pPr>
              <w:pStyle w:val="TableText"/>
              <w:spacing w:before="40" w:after="40"/>
            </w:pPr>
            <w:r w:rsidRPr="00256982">
              <w:rPr>
                <w:b/>
              </w:rPr>
              <w:t>Resolved.</w:t>
            </w:r>
            <w:r w:rsidRPr="00256982">
              <w:t xml:space="preserve"> New Zealand has included this information in sections 11.5.1 and 11.5.3.</w:t>
            </w:r>
          </w:p>
        </w:tc>
      </w:tr>
      <w:tr w:rsidR="00A05AC8" w:rsidRPr="00256982" w14:paraId="3FFCDBAC" w14:textId="77777777" w:rsidTr="00E742A5">
        <w:tc>
          <w:tcPr>
            <w:tcW w:w="1677" w:type="dxa"/>
            <w:tcBorders>
              <w:top w:val="single" w:sz="4" w:space="0" w:color="365F91"/>
              <w:bottom w:val="single" w:sz="4" w:space="0" w:color="365F91"/>
            </w:tcBorders>
            <w:shd w:val="clear" w:color="auto" w:fill="auto"/>
          </w:tcPr>
          <w:p w14:paraId="1C626047" w14:textId="77777777" w:rsidR="00A05AC8" w:rsidRPr="00256982" w:rsidRDefault="00A05AC8" w:rsidP="00B7783F">
            <w:pPr>
              <w:pStyle w:val="TableText"/>
              <w:spacing w:before="40" w:after="40"/>
            </w:pPr>
            <w:r w:rsidRPr="00256982">
              <w:t>KP-LULUCF – Deforestation – CO</w:t>
            </w:r>
            <w:r w:rsidRPr="00256982">
              <w:rPr>
                <w:vertAlign w:val="subscript"/>
              </w:rPr>
              <w:t>2</w:t>
            </w:r>
            <w:r w:rsidRPr="00256982">
              <w:t>, CH</w:t>
            </w:r>
            <w:r w:rsidRPr="00256982">
              <w:rPr>
                <w:vertAlign w:val="subscript"/>
              </w:rPr>
              <w:t>4</w:t>
            </w:r>
            <w:r w:rsidRPr="00256982">
              <w:t xml:space="preserve"> and N</w:t>
            </w:r>
            <w:r w:rsidRPr="00256982">
              <w:rPr>
                <w:vertAlign w:val="subscript"/>
              </w:rPr>
              <w:t>2</w:t>
            </w:r>
            <w:r w:rsidRPr="00256982">
              <w:t>O</w:t>
            </w:r>
          </w:p>
        </w:tc>
        <w:tc>
          <w:tcPr>
            <w:tcW w:w="994" w:type="dxa"/>
            <w:tcBorders>
              <w:top w:val="single" w:sz="4" w:space="0" w:color="365F91"/>
              <w:bottom w:val="single" w:sz="4" w:space="0" w:color="365F91"/>
            </w:tcBorders>
          </w:tcPr>
          <w:p w14:paraId="0514389F" w14:textId="77777777" w:rsidR="00A05AC8" w:rsidRPr="00256982" w:rsidRDefault="00A05AC8" w:rsidP="00B7783F">
            <w:pPr>
              <w:pStyle w:val="TableText"/>
              <w:spacing w:before="40" w:after="40"/>
            </w:pPr>
            <w:r w:rsidRPr="00256982">
              <w:t>KL.7, 2017</w:t>
            </w:r>
          </w:p>
        </w:tc>
        <w:tc>
          <w:tcPr>
            <w:tcW w:w="3543" w:type="dxa"/>
            <w:tcBorders>
              <w:top w:val="single" w:sz="4" w:space="0" w:color="365F91"/>
              <w:bottom w:val="single" w:sz="4" w:space="0" w:color="365F91"/>
            </w:tcBorders>
            <w:shd w:val="clear" w:color="auto" w:fill="auto"/>
          </w:tcPr>
          <w:p w14:paraId="73CCE168" w14:textId="77777777" w:rsidR="00A05AC8" w:rsidRPr="00256982" w:rsidRDefault="00A05AC8" w:rsidP="00B7783F">
            <w:pPr>
              <w:pStyle w:val="TableText"/>
              <w:spacing w:before="40" w:after="40"/>
            </w:pPr>
            <w:r w:rsidRPr="00256982">
              <w:t>Include in the NIR the additional information provided to the ERT during the review, explaining (a) how the forest definition is distinguishable from, for example, the subcategory grassland with up to 30 per cent woody biomass; and (b) the geographical location of the boundaries of the areas that encompass lands subject to deforestation activities. In addition, the ERT recommends that the Party include in the NIR the information contained in the spreadsheet provided to the ERT during the review on the split of the areas for deforestation.</w:t>
            </w:r>
          </w:p>
        </w:tc>
        <w:tc>
          <w:tcPr>
            <w:tcW w:w="2291" w:type="dxa"/>
            <w:tcBorders>
              <w:top w:val="single" w:sz="4" w:space="0" w:color="365F91"/>
              <w:bottom w:val="single" w:sz="4" w:space="0" w:color="365F91"/>
            </w:tcBorders>
            <w:shd w:val="clear" w:color="auto" w:fill="auto"/>
          </w:tcPr>
          <w:p w14:paraId="15F05516" w14:textId="77777777" w:rsidR="00A05AC8" w:rsidRPr="00256982" w:rsidRDefault="00A05AC8" w:rsidP="00B7783F">
            <w:pPr>
              <w:pStyle w:val="TableText"/>
              <w:spacing w:before="40" w:after="40"/>
            </w:pPr>
            <w:r w:rsidRPr="00256982">
              <w:rPr>
                <w:b/>
              </w:rPr>
              <w:t>Resolved.</w:t>
            </w:r>
            <w:r w:rsidRPr="00256982">
              <w:t xml:space="preserve"> New Zealand has included this information in section 11.5.3.</w:t>
            </w:r>
          </w:p>
        </w:tc>
      </w:tr>
      <w:tr w:rsidR="00A05AC8" w:rsidRPr="00256982" w14:paraId="3F4F2A29" w14:textId="77777777" w:rsidTr="00E742A5">
        <w:tc>
          <w:tcPr>
            <w:tcW w:w="1677" w:type="dxa"/>
            <w:tcBorders>
              <w:top w:val="single" w:sz="4" w:space="0" w:color="365F91"/>
              <w:bottom w:val="single" w:sz="4" w:space="0" w:color="365F91"/>
            </w:tcBorders>
            <w:shd w:val="clear" w:color="auto" w:fill="auto"/>
          </w:tcPr>
          <w:p w14:paraId="6284358A" w14:textId="77777777" w:rsidR="00A05AC8" w:rsidRPr="00256982" w:rsidRDefault="00A05AC8" w:rsidP="00B7783F">
            <w:pPr>
              <w:pStyle w:val="TableText"/>
              <w:spacing w:before="40" w:after="40"/>
            </w:pPr>
            <w:r w:rsidRPr="00256982">
              <w:t>KP-LULUCF – Forest management – CO</w:t>
            </w:r>
            <w:r w:rsidRPr="00256982">
              <w:rPr>
                <w:vertAlign w:val="subscript"/>
              </w:rPr>
              <w:t>2</w:t>
            </w:r>
          </w:p>
        </w:tc>
        <w:tc>
          <w:tcPr>
            <w:tcW w:w="994" w:type="dxa"/>
            <w:tcBorders>
              <w:top w:val="single" w:sz="4" w:space="0" w:color="365F91"/>
              <w:bottom w:val="single" w:sz="4" w:space="0" w:color="365F91"/>
            </w:tcBorders>
          </w:tcPr>
          <w:p w14:paraId="0506EA18" w14:textId="77777777" w:rsidR="00A05AC8" w:rsidRPr="00256982" w:rsidRDefault="00A05AC8" w:rsidP="00B7783F">
            <w:pPr>
              <w:pStyle w:val="TableText"/>
              <w:spacing w:before="40" w:after="40"/>
            </w:pPr>
            <w:r w:rsidRPr="00256982">
              <w:t>KL.8, 2017</w:t>
            </w:r>
          </w:p>
        </w:tc>
        <w:tc>
          <w:tcPr>
            <w:tcW w:w="3543" w:type="dxa"/>
            <w:tcBorders>
              <w:top w:val="single" w:sz="4" w:space="0" w:color="365F91"/>
              <w:bottom w:val="single" w:sz="4" w:space="0" w:color="365F91"/>
            </w:tcBorders>
            <w:shd w:val="clear" w:color="auto" w:fill="auto"/>
          </w:tcPr>
          <w:p w14:paraId="754F50F7" w14:textId="77777777" w:rsidR="00A05AC8" w:rsidRPr="00256982" w:rsidRDefault="00A05AC8" w:rsidP="00B7783F">
            <w:pPr>
              <w:pStyle w:val="TableText"/>
              <w:spacing w:before="40" w:after="40"/>
            </w:pPr>
            <w:r w:rsidRPr="00256982">
              <w:t>Include information in the NIR on which areas/categories of forest land (as in CRF table 4.A) are related to the areas of forest management in CRF table 4(KP-I)B.1.</w:t>
            </w:r>
          </w:p>
        </w:tc>
        <w:tc>
          <w:tcPr>
            <w:tcW w:w="2291" w:type="dxa"/>
            <w:tcBorders>
              <w:top w:val="single" w:sz="4" w:space="0" w:color="365F91"/>
              <w:bottom w:val="single" w:sz="4" w:space="0" w:color="365F91"/>
            </w:tcBorders>
            <w:shd w:val="clear" w:color="auto" w:fill="auto"/>
          </w:tcPr>
          <w:p w14:paraId="7EE2010C" w14:textId="77777777" w:rsidR="00A05AC8" w:rsidRPr="00256982" w:rsidRDefault="00A05AC8" w:rsidP="00B7783F">
            <w:pPr>
              <w:pStyle w:val="TableText"/>
              <w:spacing w:before="40" w:after="40"/>
            </w:pPr>
            <w:r w:rsidRPr="00256982">
              <w:rPr>
                <w:b/>
              </w:rPr>
              <w:t>Addressing.</w:t>
            </w:r>
            <w:r w:rsidRPr="00256982">
              <w:t xml:space="preserve"> New Zealand is planning to provide this information in its next annual submission.</w:t>
            </w:r>
          </w:p>
        </w:tc>
      </w:tr>
      <w:tr w:rsidR="00A05AC8" w:rsidRPr="00256982" w14:paraId="35DE1DF0" w14:textId="77777777" w:rsidTr="00E742A5">
        <w:tc>
          <w:tcPr>
            <w:tcW w:w="1677" w:type="dxa"/>
            <w:tcBorders>
              <w:top w:val="single" w:sz="4" w:space="0" w:color="365F91"/>
              <w:bottom w:val="single" w:sz="4" w:space="0" w:color="365F91"/>
            </w:tcBorders>
            <w:shd w:val="clear" w:color="auto" w:fill="auto"/>
          </w:tcPr>
          <w:p w14:paraId="5B114A06" w14:textId="77777777" w:rsidR="00A05AC8" w:rsidRPr="00256982" w:rsidRDefault="00A05AC8" w:rsidP="00B7783F">
            <w:pPr>
              <w:pStyle w:val="TableText"/>
              <w:spacing w:before="40" w:after="40"/>
            </w:pPr>
            <w:r w:rsidRPr="00256982">
              <w:t>KP-LULUCF – Forest management – CO</w:t>
            </w:r>
            <w:r w:rsidRPr="00256982">
              <w:rPr>
                <w:vertAlign w:val="subscript"/>
              </w:rPr>
              <w:t>2</w:t>
            </w:r>
          </w:p>
        </w:tc>
        <w:tc>
          <w:tcPr>
            <w:tcW w:w="994" w:type="dxa"/>
            <w:tcBorders>
              <w:top w:val="single" w:sz="4" w:space="0" w:color="365F91"/>
              <w:bottom w:val="single" w:sz="4" w:space="0" w:color="365F91"/>
            </w:tcBorders>
          </w:tcPr>
          <w:p w14:paraId="4151ADEF" w14:textId="77777777" w:rsidR="00A05AC8" w:rsidRPr="00256982" w:rsidRDefault="00A05AC8" w:rsidP="00B7783F">
            <w:pPr>
              <w:pStyle w:val="TableText"/>
              <w:spacing w:before="40" w:after="40"/>
            </w:pPr>
            <w:r w:rsidRPr="00256982">
              <w:t>KL.9, 2017</w:t>
            </w:r>
          </w:p>
        </w:tc>
        <w:tc>
          <w:tcPr>
            <w:tcW w:w="3543" w:type="dxa"/>
            <w:tcBorders>
              <w:top w:val="single" w:sz="4" w:space="0" w:color="365F91"/>
              <w:bottom w:val="single" w:sz="4" w:space="0" w:color="365F91"/>
            </w:tcBorders>
            <w:shd w:val="clear" w:color="auto" w:fill="auto"/>
          </w:tcPr>
          <w:p w14:paraId="758A76EC" w14:textId="77777777" w:rsidR="00A05AC8" w:rsidRPr="00256982" w:rsidRDefault="00A05AC8" w:rsidP="00B7783F">
            <w:pPr>
              <w:pStyle w:val="TableText"/>
              <w:spacing w:before="40" w:after="40"/>
            </w:pPr>
            <w:r w:rsidRPr="00256982">
              <w:t>Report on the area subject to the carbon equivalent forest provision and associated emissions in CRF table 4(KP-1)B.1.2, starting with the next submission, and provide additional information on the difference between the assumptions on carbon equivalent forest AD made in the original/revised FMRL submissions and the actual AD in the GHG inventory.</w:t>
            </w:r>
          </w:p>
        </w:tc>
        <w:tc>
          <w:tcPr>
            <w:tcW w:w="2291" w:type="dxa"/>
            <w:tcBorders>
              <w:top w:val="single" w:sz="4" w:space="0" w:color="365F91"/>
              <w:bottom w:val="single" w:sz="4" w:space="0" w:color="365F91"/>
            </w:tcBorders>
            <w:shd w:val="clear" w:color="auto" w:fill="auto"/>
          </w:tcPr>
          <w:p w14:paraId="5C01386A" w14:textId="77777777" w:rsidR="00A05AC8" w:rsidRPr="00256982" w:rsidRDefault="00A05AC8" w:rsidP="00B7783F">
            <w:pPr>
              <w:pStyle w:val="TableText"/>
              <w:spacing w:before="40" w:after="40"/>
            </w:pPr>
            <w:r w:rsidRPr="00256982">
              <w:rPr>
                <w:b/>
              </w:rPr>
              <w:t>Resolved.</w:t>
            </w:r>
            <w:r w:rsidRPr="00256982">
              <w:t xml:space="preserve"> New Zealand has begun reporting on carbon equivalent forests since its 2018 submission.</w:t>
            </w:r>
          </w:p>
        </w:tc>
      </w:tr>
    </w:tbl>
    <w:p w14:paraId="252F5B74" w14:textId="77777777" w:rsidR="00A05AC8" w:rsidRPr="00256982" w:rsidRDefault="00A05AC8" w:rsidP="00A05AC8">
      <w:pPr>
        <w:pStyle w:val="BodyText"/>
      </w:pPr>
      <w:bookmarkStart w:id="2581" w:name="_Toc414531338"/>
      <w:bookmarkStart w:id="2582" w:name="_Toc448321558"/>
      <w:bookmarkStart w:id="2583" w:name="_Toc481751420"/>
    </w:p>
    <w:p w14:paraId="24D42DC2" w14:textId="77777777" w:rsidR="00A05AC8" w:rsidRPr="00256982" w:rsidRDefault="00A05AC8" w:rsidP="00E742A5">
      <w:pPr>
        <w:pStyle w:val="Heading2"/>
        <w:spacing w:before="0" w:after="360"/>
        <w:ind w:left="0" w:firstLine="0"/>
      </w:pPr>
      <w:r w:rsidRPr="00256982">
        <w:br w:type="page"/>
      </w:r>
      <w:bookmarkStart w:id="2584" w:name="_Toc511116635"/>
      <w:bookmarkStart w:id="2585" w:name="_Toc5269403"/>
      <w:r w:rsidRPr="00256982">
        <w:t>Chapter 10: References</w:t>
      </w:r>
      <w:bookmarkEnd w:id="2581"/>
      <w:bookmarkEnd w:id="2582"/>
      <w:bookmarkEnd w:id="2583"/>
      <w:bookmarkEnd w:id="2584"/>
      <w:bookmarkEnd w:id="2585"/>
    </w:p>
    <w:p w14:paraId="7AEC434A" w14:textId="77777777" w:rsidR="00A05AC8" w:rsidRPr="00256982" w:rsidRDefault="00A05AC8" w:rsidP="00A05AC8">
      <w:pPr>
        <w:pStyle w:val="References"/>
      </w:pPr>
      <w:r w:rsidRPr="00256982">
        <w:t xml:space="preserve">IPCC, 2003. </w:t>
      </w:r>
      <w:r w:rsidRPr="00256982">
        <w:rPr>
          <w:i/>
          <w:iCs/>
        </w:rPr>
        <w:t>Good Practice Guidance for Land-use, Land-use Change and Forestry</w:t>
      </w:r>
      <w:r w:rsidRPr="00256982">
        <w:t>. IPCC National Greenhouse Gas Inventories Programme. Published for the IPCC by the Institute for Global Environmental Strategies, Japan.</w:t>
      </w:r>
    </w:p>
    <w:p w14:paraId="54DE6997" w14:textId="5809C871" w:rsidR="00A05AC8" w:rsidRPr="00256982" w:rsidRDefault="00A05AC8" w:rsidP="00A05AC8">
      <w:pPr>
        <w:pStyle w:val="References"/>
      </w:pPr>
      <w:r w:rsidRPr="00256982">
        <w:t xml:space="preserve">IPCC. 2006. </w:t>
      </w:r>
      <w:r w:rsidR="00D832EB" w:rsidRPr="00256982">
        <w:t xml:space="preserve">Eggleston HS, Buendia L, Miwa K, Ngara T, Tanabe K (eds). </w:t>
      </w:r>
      <w:r w:rsidRPr="00256982">
        <w:rPr>
          <w:i/>
          <w:iCs/>
        </w:rPr>
        <w:t>2006 IPCC Guidelines for National Greenhouse Gas Inventories. Volume 4. Agriculture, Forestry and Other Land Use. IPCC National Greenhouse Gas Inventories Programme</w:t>
      </w:r>
      <w:r w:rsidRPr="00256982">
        <w:t>. Japan: Institute for Global Environmental Strategies for IPCC.</w:t>
      </w:r>
    </w:p>
    <w:p w14:paraId="73859B7F" w14:textId="77777777" w:rsidR="00A05AC8" w:rsidRPr="00256982" w:rsidRDefault="00A05AC8" w:rsidP="00A05AC8">
      <w:pPr>
        <w:pStyle w:val="References"/>
      </w:pPr>
      <w:r w:rsidRPr="00256982">
        <w:t xml:space="preserve">IPCC. 2014. Hiraishi T, Krug T, Tanabe K, Srivastava N, Baasansuren J, Fukuda M, and Troxler TG (eds). </w:t>
      </w:r>
      <w:r w:rsidRPr="00256982">
        <w:rPr>
          <w:i/>
          <w:iCs/>
        </w:rPr>
        <w:t>2013 Revised Supplementary Methods and Good Practice Guidance Arising from the Kyoto Protocol</w:t>
      </w:r>
      <w:r w:rsidRPr="00256982">
        <w:t>. Geneva, Switzerland: IPCC.</w:t>
      </w:r>
    </w:p>
    <w:p w14:paraId="67AB4893" w14:textId="77777777" w:rsidR="00A05AC8" w:rsidRPr="00256982" w:rsidRDefault="00A05AC8" w:rsidP="00A05AC8">
      <w:pPr>
        <w:pStyle w:val="References"/>
      </w:pPr>
      <w:r w:rsidRPr="00256982">
        <w:t>Ledgard S, Brier G. Unpublished. Estimation of the Proportion of Animal Excreta Transferred to the Farm Dairy Effluent System. Report prepared for Ministry of Agriculture and Forestry by AgResearch in 2004.</w:t>
      </w:r>
    </w:p>
    <w:p w14:paraId="310C2FE8" w14:textId="77777777" w:rsidR="00A05AC8" w:rsidRPr="00256982" w:rsidRDefault="00A05AC8" w:rsidP="00A05AC8">
      <w:pPr>
        <w:pStyle w:val="References"/>
      </w:pPr>
      <w:r w:rsidRPr="00256982">
        <w:t>Rollo M, Ledgard S, Longhurst B. Unpublished. Final report: Trends in dairy effluent management. Report prepared for the Ministry for Primary Industries by AgResearch in 2017.</w:t>
      </w:r>
    </w:p>
    <w:p w14:paraId="3B969E77" w14:textId="77777777" w:rsidR="00A05AC8" w:rsidRPr="00256982" w:rsidRDefault="00A05AC8" w:rsidP="00A05AC8">
      <w:pPr>
        <w:spacing w:after="100"/>
      </w:pPr>
      <w:r w:rsidRPr="00256982">
        <w:rPr>
          <w:sz w:val="20"/>
        </w:rPr>
        <w:t xml:space="preserve">UNFCCC. 2018. FCCC/ARR/2017/NZL. </w:t>
      </w:r>
      <w:r w:rsidRPr="00256982">
        <w:rPr>
          <w:i/>
          <w:sz w:val="20"/>
        </w:rPr>
        <w:t xml:space="preserve">Report on the individual review of the annual submission of New Zealand submitted in 2017. </w:t>
      </w:r>
      <w:r w:rsidRPr="00256982">
        <w:rPr>
          <w:sz w:val="20"/>
        </w:rPr>
        <w:t>Centralised Review.</w:t>
      </w:r>
    </w:p>
    <w:p w14:paraId="1C4A0423" w14:textId="77777777" w:rsidR="00A05AC8" w:rsidRPr="00256982" w:rsidRDefault="00A05AC8" w:rsidP="00A05AC8">
      <w:pPr>
        <w:spacing w:after="100"/>
        <w:rPr>
          <w:sz w:val="20"/>
        </w:rPr>
      </w:pPr>
    </w:p>
    <w:p w14:paraId="5E8D8270" w14:textId="77777777" w:rsidR="00A05AC8" w:rsidRPr="00256982" w:rsidRDefault="00A05AC8" w:rsidP="00A05AC8">
      <w:pPr>
        <w:pStyle w:val="References"/>
      </w:pPr>
    </w:p>
    <w:p w14:paraId="2F2D940A" w14:textId="5B1ADAEA" w:rsidR="00E30738" w:rsidRPr="00256982" w:rsidRDefault="00E30738" w:rsidP="000E7C76">
      <w:pPr>
        <w:pStyle w:val="Heading1"/>
      </w:pPr>
      <w:r w:rsidRPr="00256982">
        <w:br w:type="page"/>
      </w:r>
      <w:bookmarkStart w:id="2586" w:name="_Toc5269404"/>
      <w:r w:rsidR="000E7C76" w:rsidRPr="00256982">
        <w:t>Chapter 11: KP-LULUCF</w:t>
      </w:r>
      <w:bookmarkEnd w:id="2586"/>
    </w:p>
    <w:p w14:paraId="5511D329" w14:textId="77777777" w:rsidR="000E7C76" w:rsidRPr="00256982" w:rsidRDefault="000E7C76" w:rsidP="001D510C">
      <w:pPr>
        <w:pStyle w:val="Heading2"/>
        <w:spacing w:before="240"/>
      </w:pPr>
      <w:bookmarkStart w:id="2587" w:name="_Toc261513277"/>
      <w:bookmarkStart w:id="2588" w:name="_Toc261513890"/>
      <w:bookmarkStart w:id="2589" w:name="_Toc280630380"/>
      <w:bookmarkStart w:id="2590" w:name="_Toc310423464"/>
      <w:bookmarkStart w:id="2591" w:name="_Toc342470732"/>
      <w:bookmarkStart w:id="2592" w:name="_Toc352504891"/>
      <w:bookmarkStart w:id="2593" w:name="_Toc377043714"/>
      <w:bookmarkStart w:id="2594" w:name="_Toc391023461"/>
      <w:bookmarkStart w:id="2595" w:name="_Toc400967252"/>
      <w:bookmarkStart w:id="2596" w:name="_Toc414531340"/>
      <w:bookmarkStart w:id="2597" w:name="_Toc456179169"/>
      <w:bookmarkStart w:id="2598" w:name="_Toc481751422"/>
      <w:bookmarkStart w:id="2599" w:name="_Toc522013961"/>
      <w:bookmarkStart w:id="2600" w:name="_Toc5269405"/>
      <w:r w:rsidRPr="00256982">
        <w:t xml:space="preserve">11.1 </w:t>
      </w:r>
      <w:r w:rsidRPr="00256982">
        <w:tab/>
        <w:t>General information</w:t>
      </w:r>
      <w:bookmarkEnd w:id="2587"/>
      <w:bookmarkEnd w:id="2588"/>
      <w:bookmarkEnd w:id="2589"/>
      <w:bookmarkEnd w:id="2590"/>
      <w:bookmarkEnd w:id="2591"/>
      <w:bookmarkEnd w:id="2592"/>
      <w:bookmarkEnd w:id="2593"/>
      <w:bookmarkEnd w:id="2594"/>
      <w:bookmarkEnd w:id="2595"/>
      <w:bookmarkEnd w:id="2596"/>
      <w:bookmarkEnd w:id="2597"/>
      <w:bookmarkEnd w:id="2598"/>
      <w:bookmarkEnd w:id="2599"/>
      <w:bookmarkEnd w:id="2600"/>
    </w:p>
    <w:p w14:paraId="27DEA031" w14:textId="77777777" w:rsidR="000E7C76" w:rsidRPr="00256982" w:rsidRDefault="000E7C76" w:rsidP="000E7C76">
      <w:pPr>
        <w:pStyle w:val="Heading4"/>
      </w:pPr>
      <w:r w:rsidRPr="00256982">
        <w:t>Emissions summary</w:t>
      </w:r>
    </w:p>
    <w:p w14:paraId="22B4388A" w14:textId="77777777" w:rsidR="000E7C76" w:rsidRPr="00256982" w:rsidRDefault="000E7C76" w:rsidP="000E7C76">
      <w:pPr>
        <w:pStyle w:val="Heading5"/>
        <w:spacing w:before="160"/>
      </w:pPr>
      <w:r w:rsidRPr="00256982">
        <w:t>2017</w:t>
      </w:r>
    </w:p>
    <w:p w14:paraId="76E9DD92" w14:textId="77777777" w:rsidR="000E7C76" w:rsidRPr="00256982" w:rsidRDefault="000E7C76" w:rsidP="006A7B24">
      <w:pPr>
        <w:pStyle w:val="BodyText"/>
      </w:pPr>
      <w:r w:rsidRPr="00256982">
        <w:t>In 2017, net emissions from land subject to Article 3.3 and Article 3.4 activities under the Kyoto Protocol were –30,506.9 kilotonnes carbon dioxide equivalent (kt CO</w:t>
      </w:r>
      <w:r w:rsidRPr="00256982">
        <w:rPr>
          <w:vertAlign w:val="subscript"/>
        </w:rPr>
        <w:t>2</w:t>
      </w:r>
      <w:r w:rsidRPr="00256982">
        <w:t>-e) (table 11.1.1). This is comparable to net emissions in the previous four years.</w:t>
      </w:r>
    </w:p>
    <w:p w14:paraId="04E62945" w14:textId="77777777" w:rsidR="000E7C76" w:rsidRPr="00256982" w:rsidRDefault="000E7C76" w:rsidP="006A7B24">
      <w:pPr>
        <w:pStyle w:val="BodyText"/>
      </w:pPr>
      <w:r w:rsidRPr="00256982">
        <w:t xml:space="preserve">In 2017, net emissions from </w:t>
      </w:r>
      <w:r w:rsidRPr="00256982">
        <w:rPr>
          <w:i/>
        </w:rPr>
        <w:t>Afforestation and reforestation</w:t>
      </w:r>
      <w:r w:rsidRPr="00256982">
        <w:t xml:space="preserve"> and </w:t>
      </w:r>
      <w:r w:rsidRPr="00256982">
        <w:rPr>
          <w:i/>
        </w:rPr>
        <w:t>Deforestation</w:t>
      </w:r>
      <w:r w:rsidRPr="00256982">
        <w:t xml:space="preserve"> activities were </w:t>
      </w:r>
      <w:r w:rsidRPr="00256982">
        <w:br/>
        <w:t>–15,953.0 kt CO</w:t>
      </w:r>
      <w:r w:rsidRPr="00256982">
        <w:rPr>
          <w:vertAlign w:val="subscript"/>
        </w:rPr>
        <w:t>2</w:t>
      </w:r>
      <w:r w:rsidRPr="00256982">
        <w:t xml:space="preserve">-e. This value is the total of all emissions and removals from activities under Article 3.3 of the Kyoto Protocol. It includes: removals from the growth of post-1989 forest and emissions from the conversion of land to post-1989 forest; emissions from harvesting of forests planted on non-forest land after 31 December 1989; emissions and removals from harvested wood products from afforestation activities; emissions from deforestation of all forest land and emissions from biomass burning and mineralisation of soil nitrogen associated with afforestation, reforestation or deforestation activities since 1990. </w:t>
      </w:r>
    </w:p>
    <w:p w14:paraId="0CCA0008" w14:textId="77777777" w:rsidR="000E7C76" w:rsidRPr="00256982" w:rsidRDefault="000E7C76" w:rsidP="006A7B24">
      <w:pPr>
        <w:pStyle w:val="BodyText"/>
      </w:pPr>
      <w:r w:rsidRPr="00256982">
        <w:t xml:space="preserve">In 2017, net emissions from </w:t>
      </w:r>
      <w:r w:rsidRPr="00256982">
        <w:rPr>
          <w:i/>
        </w:rPr>
        <w:t>Forest</w:t>
      </w:r>
      <w:r w:rsidRPr="00256982">
        <w:t xml:space="preserve"> </w:t>
      </w:r>
      <w:r w:rsidRPr="00256982">
        <w:rPr>
          <w:i/>
        </w:rPr>
        <w:t>management</w:t>
      </w:r>
      <w:r w:rsidRPr="00256982">
        <w:t xml:space="preserve"> were –14,553.9 kt CO</w:t>
      </w:r>
      <w:r w:rsidRPr="00256982">
        <w:rPr>
          <w:vertAlign w:val="subscript"/>
        </w:rPr>
        <w:t>2</w:t>
      </w:r>
      <w:r w:rsidRPr="00256982">
        <w:t>-e (table 11.1.1). This includes removals from growth of pre-1990 natural forest and pre-1990 planted forest, emissions from harvesting of these forests, emissions and removals from harvested wood products from these forests, and emissions from biomass burning.</w:t>
      </w:r>
      <w:bookmarkStart w:id="2601" w:name="_Toc280630483"/>
      <w:bookmarkStart w:id="2602" w:name="_Toc310423438"/>
      <w:bookmarkStart w:id="2603" w:name="_Toc318362731"/>
      <w:bookmarkStart w:id="2604" w:name="_Toc342470810"/>
      <w:bookmarkStart w:id="2605" w:name="_Toc352505062"/>
      <w:bookmarkStart w:id="2606" w:name="_Toc377043698"/>
      <w:bookmarkStart w:id="2607" w:name="_Toc391023550"/>
      <w:bookmarkStart w:id="2608" w:name="_Toc414531524"/>
    </w:p>
    <w:p w14:paraId="3C6FDCB7" w14:textId="77777777" w:rsidR="000E7C76" w:rsidRPr="00256982" w:rsidRDefault="000E7C76" w:rsidP="000E7C76">
      <w:pPr>
        <w:pStyle w:val="Table"/>
      </w:pPr>
      <w:bookmarkStart w:id="2609" w:name="_Toc456179103"/>
      <w:bookmarkStart w:id="2610" w:name="_Toc481751629"/>
      <w:bookmarkStart w:id="2611" w:name="_Toc522010654"/>
      <w:bookmarkStart w:id="2612" w:name="_Toc5269624"/>
      <w:r w:rsidRPr="00256982">
        <w:t>Table 11.1.1</w:t>
      </w:r>
      <w:r w:rsidRPr="00256982">
        <w:tab/>
        <w:t>New Zealand’s emissions under Article 3.3 and Article 3.4 of the Kyoto Protocol</w:t>
      </w:r>
      <w:r w:rsidRPr="00256982">
        <w:br/>
      </w:r>
      <w:bookmarkEnd w:id="2601"/>
      <w:bookmarkEnd w:id="2602"/>
      <w:bookmarkEnd w:id="2603"/>
      <w:bookmarkEnd w:id="2604"/>
      <w:bookmarkEnd w:id="2605"/>
      <w:bookmarkEnd w:id="2606"/>
      <w:bookmarkEnd w:id="2607"/>
      <w:bookmarkEnd w:id="2608"/>
      <w:bookmarkEnd w:id="2609"/>
      <w:r w:rsidRPr="00256982">
        <w:t>during the second reporting period</w:t>
      </w:r>
      <w:bookmarkEnd w:id="2610"/>
      <w:bookmarkEnd w:id="2611"/>
      <w:bookmarkEnd w:id="2612"/>
    </w:p>
    <w:tbl>
      <w:tblPr>
        <w:tblW w:w="8562" w:type="dxa"/>
        <w:tblInd w:w="90" w:type="dxa"/>
        <w:tblLook w:val="04A0" w:firstRow="1" w:lastRow="0" w:firstColumn="1" w:lastColumn="0" w:noHBand="0" w:noVBand="1"/>
      </w:tblPr>
      <w:tblGrid>
        <w:gridCol w:w="3463"/>
        <w:gridCol w:w="1020"/>
        <w:gridCol w:w="1020"/>
        <w:gridCol w:w="1020"/>
        <w:gridCol w:w="1020"/>
        <w:gridCol w:w="1019"/>
      </w:tblGrid>
      <w:tr w:rsidR="000E7C76" w:rsidRPr="00256982" w14:paraId="67502E5D" w14:textId="77777777" w:rsidTr="003C292B">
        <w:tc>
          <w:tcPr>
            <w:tcW w:w="3918" w:type="dxa"/>
            <w:tcBorders>
              <w:top w:val="single" w:sz="8" w:space="0" w:color="365F91"/>
              <w:left w:val="nil"/>
              <w:right w:val="nil"/>
            </w:tcBorders>
            <w:shd w:val="clear" w:color="000000" w:fill="365F91"/>
            <w:vAlign w:val="center"/>
            <w:hideMark/>
          </w:tcPr>
          <w:p w14:paraId="2A733FF5" w14:textId="77777777" w:rsidR="000E7C76" w:rsidRPr="00256982" w:rsidRDefault="000E7C76" w:rsidP="006A7B24">
            <w:pPr>
              <w:pStyle w:val="TableTextBold"/>
              <w:spacing w:before="50" w:after="50"/>
              <w:jc w:val="right"/>
              <w:rPr>
                <w:noProof w:val="0"/>
                <w:color w:val="FFFFFF"/>
                <w:lang w:eastAsia="en-NZ"/>
              </w:rPr>
            </w:pPr>
            <w:r w:rsidRPr="00256982">
              <w:rPr>
                <w:noProof w:val="0"/>
                <w:color w:val="FFFFFF"/>
                <w:lang w:eastAsia="en-NZ"/>
              </w:rPr>
              <w:t> </w:t>
            </w:r>
          </w:p>
        </w:tc>
        <w:tc>
          <w:tcPr>
            <w:tcW w:w="1020" w:type="dxa"/>
            <w:tcBorders>
              <w:top w:val="single" w:sz="8" w:space="0" w:color="365F91"/>
              <w:left w:val="nil"/>
              <w:right w:val="nil"/>
            </w:tcBorders>
            <w:shd w:val="clear" w:color="000000" w:fill="365F91"/>
            <w:vAlign w:val="center"/>
            <w:hideMark/>
          </w:tcPr>
          <w:p w14:paraId="22696DED" w14:textId="77777777" w:rsidR="000E7C76" w:rsidRPr="00256982" w:rsidRDefault="000E7C76" w:rsidP="006A7B24">
            <w:pPr>
              <w:pStyle w:val="TableTextBold"/>
              <w:spacing w:before="50" w:after="50"/>
              <w:jc w:val="right"/>
              <w:rPr>
                <w:noProof w:val="0"/>
                <w:color w:val="FFFFFF"/>
                <w:lang w:eastAsia="en-NZ"/>
              </w:rPr>
            </w:pPr>
            <w:r w:rsidRPr="00256982">
              <w:rPr>
                <w:noProof w:val="0"/>
                <w:color w:val="FFFFFF"/>
                <w:lang w:eastAsia="en-NZ"/>
              </w:rPr>
              <w:t>2013</w:t>
            </w:r>
          </w:p>
        </w:tc>
        <w:tc>
          <w:tcPr>
            <w:tcW w:w="1020" w:type="dxa"/>
            <w:tcBorders>
              <w:top w:val="single" w:sz="8" w:space="0" w:color="365F91"/>
              <w:left w:val="nil"/>
              <w:right w:val="nil"/>
            </w:tcBorders>
            <w:shd w:val="clear" w:color="000000" w:fill="365F91"/>
            <w:vAlign w:val="center"/>
            <w:hideMark/>
          </w:tcPr>
          <w:p w14:paraId="41AAE15C" w14:textId="77777777" w:rsidR="000E7C76" w:rsidRPr="00256982" w:rsidRDefault="000E7C76" w:rsidP="006A7B24">
            <w:pPr>
              <w:pStyle w:val="TableTextBold"/>
              <w:spacing w:before="50" w:after="50"/>
              <w:jc w:val="right"/>
              <w:rPr>
                <w:noProof w:val="0"/>
                <w:color w:val="FFFFFF"/>
                <w:lang w:eastAsia="en-NZ"/>
              </w:rPr>
            </w:pPr>
            <w:r w:rsidRPr="00256982">
              <w:rPr>
                <w:noProof w:val="0"/>
                <w:color w:val="FFFFFF"/>
                <w:lang w:eastAsia="en-NZ"/>
              </w:rPr>
              <w:t>2014</w:t>
            </w:r>
          </w:p>
        </w:tc>
        <w:tc>
          <w:tcPr>
            <w:tcW w:w="1020" w:type="dxa"/>
            <w:tcBorders>
              <w:top w:val="single" w:sz="8" w:space="0" w:color="365F91"/>
              <w:left w:val="nil"/>
              <w:right w:val="nil"/>
            </w:tcBorders>
            <w:shd w:val="clear" w:color="000000" w:fill="365F91"/>
            <w:vAlign w:val="center"/>
            <w:hideMark/>
          </w:tcPr>
          <w:p w14:paraId="53944C1B" w14:textId="77777777" w:rsidR="000E7C76" w:rsidRPr="00256982" w:rsidRDefault="000E7C76" w:rsidP="006A7B24">
            <w:pPr>
              <w:pStyle w:val="TableTextBold"/>
              <w:spacing w:before="50" w:after="50"/>
              <w:jc w:val="right"/>
              <w:rPr>
                <w:noProof w:val="0"/>
                <w:color w:val="FFFFFF"/>
                <w:lang w:eastAsia="en-NZ"/>
              </w:rPr>
            </w:pPr>
            <w:r w:rsidRPr="00256982">
              <w:rPr>
                <w:noProof w:val="0"/>
                <w:color w:val="FFFFFF"/>
                <w:lang w:eastAsia="en-NZ"/>
              </w:rPr>
              <w:t>2015</w:t>
            </w:r>
          </w:p>
        </w:tc>
        <w:tc>
          <w:tcPr>
            <w:tcW w:w="1020" w:type="dxa"/>
            <w:tcBorders>
              <w:top w:val="single" w:sz="8" w:space="0" w:color="365F91"/>
              <w:left w:val="nil"/>
              <w:right w:val="nil"/>
            </w:tcBorders>
            <w:shd w:val="clear" w:color="000000" w:fill="365F91"/>
            <w:vAlign w:val="center"/>
            <w:hideMark/>
          </w:tcPr>
          <w:p w14:paraId="7B387ECC" w14:textId="77777777" w:rsidR="000E7C76" w:rsidRPr="00256982" w:rsidRDefault="000E7C76" w:rsidP="006A7B24">
            <w:pPr>
              <w:pStyle w:val="TableTextBold"/>
              <w:spacing w:before="50" w:after="50"/>
              <w:jc w:val="right"/>
              <w:rPr>
                <w:noProof w:val="0"/>
                <w:color w:val="FFFFFF"/>
                <w:lang w:eastAsia="en-NZ"/>
              </w:rPr>
            </w:pPr>
            <w:r w:rsidRPr="00256982">
              <w:rPr>
                <w:noProof w:val="0"/>
                <w:color w:val="FFFFFF"/>
                <w:lang w:eastAsia="en-NZ"/>
              </w:rPr>
              <w:t>2016</w:t>
            </w:r>
          </w:p>
        </w:tc>
        <w:tc>
          <w:tcPr>
            <w:tcW w:w="1020" w:type="dxa"/>
            <w:tcBorders>
              <w:top w:val="single" w:sz="8" w:space="0" w:color="365F91"/>
              <w:left w:val="nil"/>
              <w:right w:val="nil"/>
            </w:tcBorders>
            <w:shd w:val="clear" w:color="000000" w:fill="365F91"/>
          </w:tcPr>
          <w:p w14:paraId="416553E4" w14:textId="77777777" w:rsidR="000E7C76" w:rsidRPr="00256982" w:rsidRDefault="000E7C76" w:rsidP="006A7B24">
            <w:pPr>
              <w:pStyle w:val="TableTextBold"/>
              <w:spacing w:before="50" w:after="50"/>
              <w:jc w:val="right"/>
              <w:rPr>
                <w:noProof w:val="0"/>
                <w:color w:val="FFFFFF"/>
                <w:lang w:eastAsia="en-NZ"/>
              </w:rPr>
            </w:pPr>
            <w:r w:rsidRPr="00256982">
              <w:rPr>
                <w:noProof w:val="0"/>
                <w:color w:val="FFFFFF"/>
                <w:lang w:eastAsia="en-NZ"/>
              </w:rPr>
              <w:t>2017</w:t>
            </w:r>
            <w:r w:rsidRPr="00256982">
              <w:rPr>
                <w:noProof w:val="0"/>
                <w:color w:val="FFFFFF"/>
                <w:vertAlign w:val="superscript"/>
                <w:lang w:eastAsia="en-NZ"/>
              </w:rPr>
              <w:t>P</w:t>
            </w:r>
          </w:p>
        </w:tc>
      </w:tr>
      <w:tr w:rsidR="000E7C76" w:rsidRPr="00256982" w14:paraId="45FB226D" w14:textId="77777777" w:rsidTr="003C292B">
        <w:tc>
          <w:tcPr>
            <w:tcW w:w="3918" w:type="dxa"/>
            <w:tcBorders>
              <w:left w:val="nil"/>
              <w:bottom w:val="single" w:sz="4" w:space="0" w:color="auto"/>
              <w:right w:val="nil"/>
            </w:tcBorders>
            <w:shd w:val="clear" w:color="auto" w:fill="auto"/>
            <w:vAlign w:val="center"/>
            <w:hideMark/>
          </w:tcPr>
          <w:p w14:paraId="0A0F8C24" w14:textId="77777777" w:rsidR="000E7C76" w:rsidRPr="00256982" w:rsidRDefault="000E7C76" w:rsidP="006A7B24">
            <w:pPr>
              <w:pStyle w:val="TableTextBold"/>
              <w:spacing w:before="50" w:after="40"/>
              <w:rPr>
                <w:noProof w:val="0"/>
                <w:lang w:eastAsia="en-NZ"/>
              </w:rPr>
            </w:pPr>
            <w:r w:rsidRPr="00256982">
              <w:rPr>
                <w:noProof w:val="0"/>
                <w:lang w:eastAsia="en-NZ"/>
              </w:rPr>
              <w:t>Afforestation and reforestation</w:t>
            </w:r>
          </w:p>
        </w:tc>
        <w:tc>
          <w:tcPr>
            <w:tcW w:w="1020" w:type="dxa"/>
            <w:tcBorders>
              <w:left w:val="nil"/>
              <w:bottom w:val="single" w:sz="4" w:space="0" w:color="auto"/>
              <w:right w:val="nil"/>
            </w:tcBorders>
            <w:shd w:val="clear" w:color="auto" w:fill="auto"/>
            <w:noWrap/>
            <w:vAlign w:val="bottom"/>
            <w:hideMark/>
          </w:tcPr>
          <w:p w14:paraId="117FF934" w14:textId="77777777" w:rsidR="000E7C76" w:rsidRPr="00256982" w:rsidRDefault="000E7C76" w:rsidP="006A7B24">
            <w:pPr>
              <w:pStyle w:val="TableTextBold"/>
              <w:spacing w:before="50" w:after="40"/>
              <w:rPr>
                <w:rFonts w:ascii="Calibri" w:hAnsi="Calibri"/>
                <w:noProof w:val="0"/>
                <w:szCs w:val="22"/>
                <w:lang w:eastAsia="en-NZ"/>
              </w:rPr>
            </w:pPr>
          </w:p>
        </w:tc>
        <w:tc>
          <w:tcPr>
            <w:tcW w:w="1020" w:type="dxa"/>
            <w:tcBorders>
              <w:left w:val="nil"/>
              <w:bottom w:val="single" w:sz="4" w:space="0" w:color="auto"/>
              <w:right w:val="nil"/>
            </w:tcBorders>
            <w:shd w:val="clear" w:color="auto" w:fill="auto"/>
            <w:noWrap/>
            <w:vAlign w:val="bottom"/>
            <w:hideMark/>
          </w:tcPr>
          <w:p w14:paraId="7587F53D" w14:textId="77777777" w:rsidR="000E7C76" w:rsidRPr="00256982" w:rsidRDefault="000E7C76" w:rsidP="006A7B24">
            <w:pPr>
              <w:pStyle w:val="TableTextBold"/>
              <w:spacing w:before="50" w:after="40"/>
              <w:rPr>
                <w:rFonts w:ascii="Calibri" w:hAnsi="Calibri"/>
                <w:noProof w:val="0"/>
                <w:szCs w:val="22"/>
                <w:lang w:eastAsia="en-NZ"/>
              </w:rPr>
            </w:pPr>
          </w:p>
        </w:tc>
        <w:tc>
          <w:tcPr>
            <w:tcW w:w="1020" w:type="dxa"/>
            <w:tcBorders>
              <w:left w:val="nil"/>
              <w:bottom w:val="single" w:sz="4" w:space="0" w:color="auto"/>
              <w:right w:val="nil"/>
            </w:tcBorders>
            <w:shd w:val="clear" w:color="auto" w:fill="auto"/>
            <w:noWrap/>
            <w:vAlign w:val="bottom"/>
            <w:hideMark/>
          </w:tcPr>
          <w:p w14:paraId="7BD80B95" w14:textId="77777777" w:rsidR="000E7C76" w:rsidRPr="00256982" w:rsidRDefault="000E7C76" w:rsidP="006A7B24">
            <w:pPr>
              <w:pStyle w:val="TableTextBold"/>
              <w:spacing w:before="50" w:after="40"/>
              <w:rPr>
                <w:rFonts w:ascii="Calibri" w:hAnsi="Calibri"/>
                <w:noProof w:val="0"/>
                <w:szCs w:val="22"/>
                <w:lang w:eastAsia="en-NZ"/>
              </w:rPr>
            </w:pPr>
          </w:p>
        </w:tc>
        <w:tc>
          <w:tcPr>
            <w:tcW w:w="1020" w:type="dxa"/>
            <w:tcBorders>
              <w:left w:val="nil"/>
              <w:bottom w:val="single" w:sz="4" w:space="0" w:color="auto"/>
              <w:right w:val="nil"/>
            </w:tcBorders>
            <w:shd w:val="clear" w:color="auto" w:fill="auto"/>
            <w:noWrap/>
            <w:vAlign w:val="bottom"/>
            <w:hideMark/>
          </w:tcPr>
          <w:p w14:paraId="2A415F06" w14:textId="77777777" w:rsidR="000E7C76" w:rsidRPr="00256982" w:rsidRDefault="000E7C76" w:rsidP="006A7B24">
            <w:pPr>
              <w:pStyle w:val="TableTextBold"/>
              <w:spacing w:before="50" w:after="40"/>
              <w:rPr>
                <w:rFonts w:ascii="Calibri" w:hAnsi="Calibri"/>
                <w:noProof w:val="0"/>
                <w:szCs w:val="22"/>
                <w:lang w:eastAsia="en-NZ"/>
              </w:rPr>
            </w:pPr>
          </w:p>
        </w:tc>
        <w:tc>
          <w:tcPr>
            <w:tcW w:w="1020" w:type="dxa"/>
            <w:tcBorders>
              <w:left w:val="nil"/>
              <w:bottom w:val="single" w:sz="4" w:space="0" w:color="auto"/>
              <w:right w:val="nil"/>
            </w:tcBorders>
          </w:tcPr>
          <w:p w14:paraId="28E72174" w14:textId="77777777" w:rsidR="000E7C76" w:rsidRPr="00256982" w:rsidRDefault="000E7C76" w:rsidP="006A7B24">
            <w:pPr>
              <w:pStyle w:val="TableTextBold"/>
              <w:spacing w:before="50" w:after="40"/>
              <w:rPr>
                <w:rFonts w:ascii="Calibri" w:hAnsi="Calibri"/>
                <w:noProof w:val="0"/>
                <w:szCs w:val="22"/>
                <w:lang w:eastAsia="en-NZ"/>
              </w:rPr>
            </w:pPr>
          </w:p>
        </w:tc>
      </w:tr>
      <w:tr w:rsidR="000E7C76" w:rsidRPr="00256982" w14:paraId="4BA3F9A6" w14:textId="77777777" w:rsidTr="006A7B24">
        <w:tc>
          <w:tcPr>
            <w:tcW w:w="3918" w:type="dxa"/>
            <w:tcBorders>
              <w:top w:val="single" w:sz="4" w:space="0" w:color="auto"/>
              <w:left w:val="nil"/>
              <w:right w:val="nil"/>
            </w:tcBorders>
            <w:shd w:val="clear" w:color="auto" w:fill="auto"/>
            <w:vAlign w:val="center"/>
            <w:hideMark/>
          </w:tcPr>
          <w:p w14:paraId="4E648DC8" w14:textId="77777777" w:rsidR="000E7C76" w:rsidRPr="00256982" w:rsidRDefault="000E7C76" w:rsidP="001D510C">
            <w:pPr>
              <w:pStyle w:val="TableText"/>
              <w:spacing w:before="50" w:after="50"/>
              <w:rPr>
                <w:lang w:eastAsia="en-NZ"/>
              </w:rPr>
            </w:pPr>
            <w:r w:rsidRPr="00256982">
              <w:rPr>
                <w:lang w:eastAsia="en-NZ"/>
              </w:rPr>
              <w:t>Net cumulative area since 1990 (ha)</w:t>
            </w:r>
          </w:p>
        </w:tc>
        <w:tc>
          <w:tcPr>
            <w:tcW w:w="1020" w:type="dxa"/>
            <w:tcBorders>
              <w:top w:val="single" w:sz="4" w:space="0" w:color="auto"/>
              <w:left w:val="nil"/>
              <w:right w:val="nil"/>
            </w:tcBorders>
            <w:shd w:val="clear" w:color="auto" w:fill="auto"/>
            <w:hideMark/>
          </w:tcPr>
          <w:p w14:paraId="02A017DD" w14:textId="77777777" w:rsidR="000E7C76" w:rsidRPr="00256982" w:rsidRDefault="000E7C76" w:rsidP="001D510C">
            <w:pPr>
              <w:pStyle w:val="TableText"/>
              <w:spacing w:before="50" w:after="50"/>
              <w:jc w:val="right"/>
              <w:rPr>
                <w:rFonts w:cs="Arial"/>
                <w:szCs w:val="16"/>
                <w:lang w:eastAsia="en-NZ"/>
              </w:rPr>
            </w:pPr>
            <w:r w:rsidRPr="00256982">
              <w:t>670,107</w:t>
            </w:r>
          </w:p>
        </w:tc>
        <w:tc>
          <w:tcPr>
            <w:tcW w:w="1020" w:type="dxa"/>
            <w:tcBorders>
              <w:top w:val="single" w:sz="4" w:space="0" w:color="auto"/>
              <w:left w:val="nil"/>
              <w:right w:val="nil"/>
            </w:tcBorders>
            <w:shd w:val="clear" w:color="auto" w:fill="auto"/>
            <w:hideMark/>
          </w:tcPr>
          <w:p w14:paraId="52C02378" w14:textId="77777777" w:rsidR="000E7C76" w:rsidRPr="00256982" w:rsidRDefault="000E7C76" w:rsidP="001D510C">
            <w:pPr>
              <w:pStyle w:val="TableText"/>
              <w:spacing w:before="50" w:after="50"/>
              <w:jc w:val="right"/>
              <w:rPr>
                <w:rFonts w:cs="Arial"/>
                <w:szCs w:val="16"/>
                <w:lang w:eastAsia="en-NZ"/>
              </w:rPr>
            </w:pPr>
            <w:r w:rsidRPr="00256982">
              <w:t>671,838</w:t>
            </w:r>
          </w:p>
        </w:tc>
        <w:tc>
          <w:tcPr>
            <w:tcW w:w="1020" w:type="dxa"/>
            <w:tcBorders>
              <w:top w:val="single" w:sz="4" w:space="0" w:color="auto"/>
              <w:left w:val="nil"/>
              <w:right w:val="nil"/>
            </w:tcBorders>
            <w:shd w:val="clear" w:color="auto" w:fill="auto"/>
            <w:hideMark/>
          </w:tcPr>
          <w:p w14:paraId="301D968D" w14:textId="77777777" w:rsidR="000E7C76" w:rsidRPr="00256982" w:rsidRDefault="000E7C76" w:rsidP="001D510C">
            <w:pPr>
              <w:pStyle w:val="TableText"/>
              <w:spacing w:before="50" w:after="50"/>
              <w:jc w:val="right"/>
              <w:rPr>
                <w:rFonts w:cs="Arial"/>
                <w:szCs w:val="16"/>
                <w:lang w:eastAsia="en-NZ"/>
              </w:rPr>
            </w:pPr>
            <w:r w:rsidRPr="00256982">
              <w:t>673,671</w:t>
            </w:r>
          </w:p>
        </w:tc>
        <w:tc>
          <w:tcPr>
            <w:tcW w:w="1020" w:type="dxa"/>
            <w:tcBorders>
              <w:top w:val="single" w:sz="4" w:space="0" w:color="auto"/>
              <w:left w:val="nil"/>
              <w:right w:val="nil"/>
            </w:tcBorders>
            <w:shd w:val="clear" w:color="auto" w:fill="auto"/>
            <w:hideMark/>
          </w:tcPr>
          <w:p w14:paraId="7A257589" w14:textId="77777777" w:rsidR="000E7C76" w:rsidRPr="00256982" w:rsidRDefault="000E7C76" w:rsidP="001D510C">
            <w:pPr>
              <w:pStyle w:val="TableText"/>
              <w:spacing w:before="50" w:after="50"/>
              <w:jc w:val="right"/>
              <w:rPr>
                <w:rFonts w:cs="Arial"/>
                <w:szCs w:val="16"/>
                <w:lang w:eastAsia="en-NZ"/>
              </w:rPr>
            </w:pPr>
            <w:r w:rsidRPr="00256982">
              <w:t>675,569</w:t>
            </w:r>
          </w:p>
        </w:tc>
        <w:tc>
          <w:tcPr>
            <w:tcW w:w="1020" w:type="dxa"/>
            <w:tcBorders>
              <w:top w:val="single" w:sz="4" w:space="0" w:color="auto"/>
              <w:left w:val="nil"/>
              <w:right w:val="nil"/>
            </w:tcBorders>
          </w:tcPr>
          <w:p w14:paraId="0A1B1291" w14:textId="77777777" w:rsidR="000E7C76" w:rsidRPr="00256982" w:rsidRDefault="000E7C76" w:rsidP="001D510C">
            <w:pPr>
              <w:pStyle w:val="TableText"/>
              <w:spacing w:before="50" w:after="50"/>
              <w:jc w:val="right"/>
              <w:rPr>
                <w:rFonts w:cs="Arial"/>
                <w:szCs w:val="16"/>
              </w:rPr>
            </w:pPr>
            <w:r w:rsidRPr="00256982">
              <w:t>680,086</w:t>
            </w:r>
          </w:p>
        </w:tc>
      </w:tr>
      <w:tr w:rsidR="000E7C76" w:rsidRPr="00256982" w14:paraId="5E51EB96" w14:textId="77777777" w:rsidTr="006A7B24">
        <w:tc>
          <w:tcPr>
            <w:tcW w:w="3918" w:type="dxa"/>
            <w:tcBorders>
              <w:left w:val="nil"/>
              <w:right w:val="nil"/>
            </w:tcBorders>
            <w:shd w:val="clear" w:color="auto" w:fill="auto"/>
            <w:vAlign w:val="center"/>
            <w:hideMark/>
          </w:tcPr>
          <w:p w14:paraId="6CAD3F40" w14:textId="77777777" w:rsidR="000E7C76" w:rsidRPr="00256982" w:rsidRDefault="000E7C76" w:rsidP="001D510C">
            <w:pPr>
              <w:pStyle w:val="TableText"/>
              <w:spacing w:before="50" w:after="50"/>
              <w:rPr>
                <w:lang w:eastAsia="en-NZ"/>
              </w:rPr>
            </w:pPr>
            <w:r w:rsidRPr="00256982">
              <w:rPr>
                <w:lang w:eastAsia="en-NZ"/>
              </w:rPr>
              <w:t>Area in calendar year (ha)</w:t>
            </w:r>
          </w:p>
        </w:tc>
        <w:tc>
          <w:tcPr>
            <w:tcW w:w="1020" w:type="dxa"/>
            <w:tcBorders>
              <w:left w:val="nil"/>
              <w:right w:val="nil"/>
            </w:tcBorders>
            <w:shd w:val="clear" w:color="auto" w:fill="auto"/>
            <w:hideMark/>
          </w:tcPr>
          <w:p w14:paraId="4D60744F" w14:textId="77777777" w:rsidR="000E7C76" w:rsidRPr="00256982" w:rsidRDefault="000E7C76" w:rsidP="001D510C">
            <w:pPr>
              <w:pStyle w:val="TableText"/>
              <w:spacing w:before="50" w:after="50"/>
              <w:jc w:val="right"/>
              <w:rPr>
                <w:rFonts w:cs="Arial"/>
                <w:szCs w:val="16"/>
                <w:lang w:eastAsia="en-NZ"/>
              </w:rPr>
            </w:pPr>
            <w:r w:rsidRPr="00256982">
              <w:t>4,078</w:t>
            </w:r>
          </w:p>
        </w:tc>
        <w:tc>
          <w:tcPr>
            <w:tcW w:w="1020" w:type="dxa"/>
            <w:tcBorders>
              <w:left w:val="nil"/>
              <w:right w:val="nil"/>
            </w:tcBorders>
            <w:shd w:val="clear" w:color="auto" w:fill="auto"/>
            <w:hideMark/>
          </w:tcPr>
          <w:p w14:paraId="085AD07F" w14:textId="77777777" w:rsidR="000E7C76" w:rsidRPr="00256982" w:rsidRDefault="000E7C76" w:rsidP="001D510C">
            <w:pPr>
              <w:pStyle w:val="TableText"/>
              <w:spacing w:before="50" w:after="50"/>
              <w:jc w:val="right"/>
              <w:rPr>
                <w:rFonts w:cs="Arial"/>
                <w:szCs w:val="16"/>
                <w:lang w:eastAsia="en-NZ"/>
              </w:rPr>
            </w:pPr>
            <w:r w:rsidRPr="00256982">
              <w:t>2,957</w:t>
            </w:r>
          </w:p>
        </w:tc>
        <w:tc>
          <w:tcPr>
            <w:tcW w:w="1020" w:type="dxa"/>
            <w:tcBorders>
              <w:left w:val="nil"/>
              <w:right w:val="nil"/>
            </w:tcBorders>
            <w:shd w:val="clear" w:color="auto" w:fill="auto"/>
            <w:hideMark/>
          </w:tcPr>
          <w:p w14:paraId="1EFD4ACA" w14:textId="77777777" w:rsidR="000E7C76" w:rsidRPr="00256982" w:rsidRDefault="000E7C76" w:rsidP="001D510C">
            <w:pPr>
              <w:pStyle w:val="TableText"/>
              <w:spacing w:before="50" w:after="50"/>
              <w:jc w:val="right"/>
              <w:rPr>
                <w:rFonts w:cs="Arial"/>
                <w:szCs w:val="16"/>
                <w:vertAlign w:val="superscript"/>
                <w:lang w:eastAsia="en-NZ"/>
              </w:rPr>
            </w:pPr>
            <w:r w:rsidRPr="00256982">
              <w:t>3,397</w:t>
            </w:r>
          </w:p>
        </w:tc>
        <w:tc>
          <w:tcPr>
            <w:tcW w:w="1020" w:type="dxa"/>
            <w:tcBorders>
              <w:left w:val="nil"/>
              <w:right w:val="nil"/>
            </w:tcBorders>
            <w:shd w:val="clear" w:color="auto" w:fill="auto"/>
            <w:hideMark/>
          </w:tcPr>
          <w:p w14:paraId="762AF920" w14:textId="77777777" w:rsidR="000E7C76" w:rsidRPr="00256982" w:rsidRDefault="000E7C76" w:rsidP="001D510C">
            <w:pPr>
              <w:pStyle w:val="TableText"/>
              <w:spacing w:before="50" w:after="50"/>
              <w:jc w:val="right"/>
              <w:rPr>
                <w:rFonts w:cs="Arial"/>
                <w:szCs w:val="16"/>
                <w:vertAlign w:val="superscript"/>
                <w:lang w:eastAsia="en-NZ"/>
              </w:rPr>
            </w:pPr>
            <w:r w:rsidRPr="00256982">
              <w:t>2,958</w:t>
            </w:r>
          </w:p>
        </w:tc>
        <w:tc>
          <w:tcPr>
            <w:tcW w:w="1020" w:type="dxa"/>
            <w:tcBorders>
              <w:left w:val="nil"/>
              <w:right w:val="nil"/>
            </w:tcBorders>
          </w:tcPr>
          <w:p w14:paraId="69A44758" w14:textId="77777777" w:rsidR="000E7C76" w:rsidRPr="00256982" w:rsidRDefault="000E7C76" w:rsidP="001D510C">
            <w:pPr>
              <w:pStyle w:val="TableText"/>
              <w:spacing w:before="50" w:after="50"/>
              <w:jc w:val="right"/>
              <w:rPr>
                <w:rFonts w:cs="Arial"/>
                <w:szCs w:val="16"/>
              </w:rPr>
            </w:pPr>
            <w:r w:rsidRPr="00256982">
              <w:t>4,979</w:t>
            </w:r>
          </w:p>
        </w:tc>
      </w:tr>
      <w:tr w:rsidR="000E7C76" w:rsidRPr="00256982" w14:paraId="086FDC17" w14:textId="77777777" w:rsidTr="006A7B24">
        <w:tc>
          <w:tcPr>
            <w:tcW w:w="3918" w:type="dxa"/>
            <w:tcBorders>
              <w:left w:val="nil"/>
              <w:bottom w:val="single" w:sz="8" w:space="0" w:color="44546A"/>
              <w:right w:val="nil"/>
            </w:tcBorders>
            <w:shd w:val="clear" w:color="auto" w:fill="auto"/>
            <w:vAlign w:val="center"/>
            <w:hideMark/>
          </w:tcPr>
          <w:p w14:paraId="07C7B38F" w14:textId="77777777" w:rsidR="000E7C76" w:rsidRPr="00256982" w:rsidRDefault="000E7C76" w:rsidP="001D510C">
            <w:pPr>
              <w:pStyle w:val="TableText"/>
              <w:spacing w:before="50" w:after="50"/>
              <w:rPr>
                <w:lang w:eastAsia="en-NZ"/>
              </w:rPr>
            </w:pPr>
            <w:r w:rsidRPr="00256982">
              <w:rPr>
                <w:lang w:eastAsia="en-NZ"/>
              </w:rPr>
              <w:t>Net emissions in calendar year (kt CO</w:t>
            </w:r>
            <w:r w:rsidRPr="00256982">
              <w:rPr>
                <w:vertAlign w:val="subscript"/>
                <w:lang w:eastAsia="en-NZ"/>
              </w:rPr>
              <w:t>2</w:t>
            </w:r>
            <w:r w:rsidRPr="00256982">
              <w:rPr>
                <w:lang w:eastAsia="en-NZ"/>
              </w:rPr>
              <w:t>-e)</w:t>
            </w:r>
          </w:p>
        </w:tc>
        <w:tc>
          <w:tcPr>
            <w:tcW w:w="1020" w:type="dxa"/>
            <w:tcBorders>
              <w:left w:val="nil"/>
              <w:bottom w:val="single" w:sz="8" w:space="0" w:color="44546A"/>
              <w:right w:val="nil"/>
            </w:tcBorders>
            <w:shd w:val="clear" w:color="auto" w:fill="auto"/>
            <w:hideMark/>
          </w:tcPr>
          <w:p w14:paraId="1340352A" w14:textId="77777777" w:rsidR="000E7C76" w:rsidRPr="00256982" w:rsidRDefault="000E7C76" w:rsidP="001D510C">
            <w:pPr>
              <w:pStyle w:val="TableText"/>
              <w:spacing w:before="50" w:after="50"/>
              <w:jc w:val="right"/>
              <w:rPr>
                <w:rFonts w:cs="Arial"/>
                <w:szCs w:val="16"/>
                <w:lang w:eastAsia="en-NZ"/>
              </w:rPr>
            </w:pPr>
            <w:r w:rsidRPr="00256982">
              <w:rPr>
                <w:rFonts w:cs="Arial"/>
                <w:szCs w:val="16"/>
              </w:rPr>
              <w:t>–</w:t>
            </w:r>
            <w:r w:rsidRPr="00256982">
              <w:t>17,405.7</w:t>
            </w:r>
          </w:p>
        </w:tc>
        <w:tc>
          <w:tcPr>
            <w:tcW w:w="1020" w:type="dxa"/>
            <w:tcBorders>
              <w:left w:val="nil"/>
              <w:bottom w:val="single" w:sz="8" w:space="0" w:color="44546A"/>
              <w:right w:val="nil"/>
            </w:tcBorders>
            <w:shd w:val="clear" w:color="auto" w:fill="auto"/>
            <w:hideMark/>
          </w:tcPr>
          <w:p w14:paraId="21445949" w14:textId="77777777" w:rsidR="000E7C76" w:rsidRPr="00256982" w:rsidRDefault="000E7C76" w:rsidP="001D510C">
            <w:pPr>
              <w:pStyle w:val="TableText"/>
              <w:spacing w:before="50" w:after="50"/>
              <w:jc w:val="right"/>
              <w:rPr>
                <w:rFonts w:cs="Arial"/>
                <w:szCs w:val="16"/>
                <w:lang w:eastAsia="en-NZ"/>
              </w:rPr>
            </w:pPr>
            <w:r w:rsidRPr="00256982">
              <w:rPr>
                <w:rFonts w:cs="Arial"/>
                <w:szCs w:val="16"/>
              </w:rPr>
              <w:t>–</w:t>
            </w:r>
            <w:r w:rsidRPr="00256982">
              <w:t>17,591.4</w:t>
            </w:r>
          </w:p>
        </w:tc>
        <w:tc>
          <w:tcPr>
            <w:tcW w:w="1020" w:type="dxa"/>
            <w:tcBorders>
              <w:left w:val="nil"/>
              <w:bottom w:val="single" w:sz="8" w:space="0" w:color="44546A"/>
              <w:right w:val="nil"/>
            </w:tcBorders>
            <w:shd w:val="clear" w:color="auto" w:fill="auto"/>
            <w:hideMark/>
          </w:tcPr>
          <w:p w14:paraId="562214DE" w14:textId="77777777" w:rsidR="000E7C76" w:rsidRPr="00256982" w:rsidRDefault="000E7C76" w:rsidP="001D510C">
            <w:pPr>
              <w:pStyle w:val="TableText"/>
              <w:spacing w:before="50" w:after="50"/>
              <w:jc w:val="right"/>
              <w:rPr>
                <w:rFonts w:cs="Arial"/>
                <w:szCs w:val="16"/>
                <w:lang w:eastAsia="en-NZ"/>
              </w:rPr>
            </w:pPr>
            <w:r w:rsidRPr="00256982">
              <w:rPr>
                <w:rFonts w:cs="Arial"/>
                <w:szCs w:val="16"/>
              </w:rPr>
              <w:t>–</w:t>
            </w:r>
            <w:r w:rsidRPr="00256982">
              <w:t>17,766.7</w:t>
            </w:r>
          </w:p>
        </w:tc>
        <w:tc>
          <w:tcPr>
            <w:tcW w:w="1020" w:type="dxa"/>
            <w:tcBorders>
              <w:left w:val="nil"/>
              <w:bottom w:val="single" w:sz="8" w:space="0" w:color="44546A"/>
              <w:right w:val="nil"/>
            </w:tcBorders>
            <w:shd w:val="clear" w:color="auto" w:fill="auto"/>
            <w:hideMark/>
          </w:tcPr>
          <w:p w14:paraId="74877032" w14:textId="77777777" w:rsidR="000E7C76" w:rsidRPr="00256982" w:rsidRDefault="000E7C76" w:rsidP="001D510C">
            <w:pPr>
              <w:pStyle w:val="TableText"/>
              <w:spacing w:before="50" w:after="50"/>
              <w:jc w:val="right"/>
              <w:rPr>
                <w:rFonts w:cs="Arial"/>
                <w:szCs w:val="16"/>
                <w:lang w:eastAsia="en-NZ"/>
              </w:rPr>
            </w:pPr>
            <w:r w:rsidRPr="00256982">
              <w:rPr>
                <w:rFonts w:cs="Arial"/>
                <w:szCs w:val="16"/>
              </w:rPr>
              <w:t>–</w:t>
            </w:r>
            <w:r w:rsidRPr="00256982">
              <w:t>17,810.4</w:t>
            </w:r>
          </w:p>
        </w:tc>
        <w:tc>
          <w:tcPr>
            <w:tcW w:w="1020" w:type="dxa"/>
            <w:tcBorders>
              <w:left w:val="nil"/>
              <w:bottom w:val="single" w:sz="8" w:space="0" w:color="44546A"/>
              <w:right w:val="nil"/>
            </w:tcBorders>
          </w:tcPr>
          <w:p w14:paraId="0AE82F6B" w14:textId="77777777" w:rsidR="000E7C76" w:rsidRPr="00256982" w:rsidRDefault="000E7C76" w:rsidP="001D510C">
            <w:pPr>
              <w:pStyle w:val="TableText"/>
              <w:spacing w:before="50" w:after="50"/>
              <w:jc w:val="right"/>
              <w:rPr>
                <w:rFonts w:cs="Arial"/>
                <w:szCs w:val="16"/>
              </w:rPr>
            </w:pPr>
            <w:r w:rsidRPr="00256982">
              <w:rPr>
                <w:rFonts w:cs="Arial"/>
                <w:szCs w:val="16"/>
              </w:rPr>
              <w:t>–</w:t>
            </w:r>
            <w:r w:rsidRPr="00256982">
              <w:t>17,610.0</w:t>
            </w:r>
          </w:p>
        </w:tc>
      </w:tr>
      <w:tr w:rsidR="000E7C76" w:rsidRPr="00256982" w14:paraId="52017BA2" w14:textId="77777777" w:rsidTr="006A7B24">
        <w:tc>
          <w:tcPr>
            <w:tcW w:w="3918" w:type="dxa"/>
            <w:tcBorders>
              <w:top w:val="nil"/>
              <w:left w:val="nil"/>
              <w:bottom w:val="single" w:sz="4" w:space="0" w:color="auto"/>
              <w:right w:val="nil"/>
            </w:tcBorders>
            <w:shd w:val="clear" w:color="auto" w:fill="auto"/>
            <w:vAlign w:val="center"/>
            <w:hideMark/>
          </w:tcPr>
          <w:p w14:paraId="465B0505" w14:textId="77777777" w:rsidR="000E7C76" w:rsidRPr="00256982" w:rsidRDefault="000E7C76" w:rsidP="001D510C">
            <w:pPr>
              <w:pStyle w:val="TableTextBold"/>
              <w:spacing w:before="50" w:after="50"/>
              <w:rPr>
                <w:noProof w:val="0"/>
                <w:lang w:eastAsia="en-NZ"/>
              </w:rPr>
            </w:pPr>
            <w:r w:rsidRPr="00256982">
              <w:rPr>
                <w:noProof w:val="0"/>
                <w:lang w:eastAsia="en-NZ"/>
              </w:rPr>
              <w:t>Deforestation</w:t>
            </w:r>
          </w:p>
        </w:tc>
        <w:tc>
          <w:tcPr>
            <w:tcW w:w="1020" w:type="dxa"/>
            <w:tcBorders>
              <w:top w:val="nil"/>
              <w:left w:val="nil"/>
              <w:bottom w:val="single" w:sz="4" w:space="0" w:color="auto"/>
              <w:right w:val="nil"/>
            </w:tcBorders>
            <w:shd w:val="clear" w:color="auto" w:fill="auto"/>
            <w:hideMark/>
          </w:tcPr>
          <w:p w14:paraId="2CDC602B" w14:textId="77777777" w:rsidR="000E7C76" w:rsidRPr="00256982" w:rsidRDefault="000E7C76" w:rsidP="001D510C">
            <w:pPr>
              <w:pStyle w:val="TableTextBold"/>
              <w:spacing w:before="50" w:after="50"/>
              <w:jc w:val="right"/>
              <w:rPr>
                <w:rFonts w:cs="Arial"/>
                <w:noProof w:val="0"/>
                <w:szCs w:val="16"/>
                <w:lang w:eastAsia="en-NZ"/>
              </w:rPr>
            </w:pPr>
          </w:p>
        </w:tc>
        <w:tc>
          <w:tcPr>
            <w:tcW w:w="1020" w:type="dxa"/>
            <w:tcBorders>
              <w:top w:val="nil"/>
              <w:left w:val="nil"/>
              <w:bottom w:val="single" w:sz="4" w:space="0" w:color="auto"/>
              <w:right w:val="nil"/>
            </w:tcBorders>
            <w:shd w:val="clear" w:color="auto" w:fill="auto"/>
            <w:hideMark/>
          </w:tcPr>
          <w:p w14:paraId="1D6212D0" w14:textId="77777777" w:rsidR="000E7C76" w:rsidRPr="00256982" w:rsidRDefault="000E7C76" w:rsidP="001D510C">
            <w:pPr>
              <w:pStyle w:val="TableTextBold"/>
              <w:spacing w:before="50" w:after="50"/>
              <w:jc w:val="right"/>
              <w:rPr>
                <w:rFonts w:cs="Arial"/>
                <w:noProof w:val="0"/>
                <w:szCs w:val="16"/>
                <w:lang w:eastAsia="en-NZ"/>
              </w:rPr>
            </w:pPr>
          </w:p>
        </w:tc>
        <w:tc>
          <w:tcPr>
            <w:tcW w:w="1020" w:type="dxa"/>
            <w:tcBorders>
              <w:top w:val="nil"/>
              <w:left w:val="nil"/>
              <w:bottom w:val="single" w:sz="4" w:space="0" w:color="auto"/>
              <w:right w:val="nil"/>
            </w:tcBorders>
            <w:shd w:val="clear" w:color="auto" w:fill="auto"/>
            <w:hideMark/>
          </w:tcPr>
          <w:p w14:paraId="56786A16" w14:textId="77777777" w:rsidR="000E7C76" w:rsidRPr="00256982" w:rsidRDefault="000E7C76" w:rsidP="001D510C">
            <w:pPr>
              <w:pStyle w:val="TableTextBold"/>
              <w:spacing w:before="50" w:after="50"/>
              <w:jc w:val="right"/>
              <w:rPr>
                <w:rFonts w:cs="Arial"/>
                <w:noProof w:val="0"/>
                <w:szCs w:val="16"/>
                <w:lang w:eastAsia="en-NZ"/>
              </w:rPr>
            </w:pPr>
          </w:p>
        </w:tc>
        <w:tc>
          <w:tcPr>
            <w:tcW w:w="1020" w:type="dxa"/>
            <w:tcBorders>
              <w:top w:val="nil"/>
              <w:left w:val="nil"/>
              <w:bottom w:val="single" w:sz="4" w:space="0" w:color="auto"/>
              <w:right w:val="nil"/>
            </w:tcBorders>
            <w:shd w:val="clear" w:color="auto" w:fill="auto"/>
            <w:hideMark/>
          </w:tcPr>
          <w:p w14:paraId="648AB47E" w14:textId="77777777" w:rsidR="000E7C76" w:rsidRPr="00256982" w:rsidRDefault="000E7C76" w:rsidP="001D510C">
            <w:pPr>
              <w:pStyle w:val="TableTextBold"/>
              <w:spacing w:before="50" w:after="50"/>
              <w:jc w:val="right"/>
              <w:rPr>
                <w:rFonts w:cs="Arial"/>
                <w:noProof w:val="0"/>
                <w:szCs w:val="16"/>
                <w:lang w:eastAsia="en-NZ"/>
              </w:rPr>
            </w:pPr>
          </w:p>
        </w:tc>
        <w:tc>
          <w:tcPr>
            <w:tcW w:w="1020" w:type="dxa"/>
            <w:tcBorders>
              <w:top w:val="nil"/>
              <w:left w:val="nil"/>
              <w:bottom w:val="single" w:sz="4" w:space="0" w:color="auto"/>
              <w:right w:val="nil"/>
            </w:tcBorders>
          </w:tcPr>
          <w:p w14:paraId="383B3232" w14:textId="77777777" w:rsidR="000E7C76" w:rsidRPr="00256982" w:rsidRDefault="000E7C76" w:rsidP="001D510C">
            <w:pPr>
              <w:pStyle w:val="TableTextBold"/>
              <w:spacing w:before="50" w:after="50"/>
              <w:jc w:val="right"/>
              <w:rPr>
                <w:rFonts w:cs="Arial"/>
                <w:noProof w:val="0"/>
                <w:szCs w:val="16"/>
              </w:rPr>
            </w:pPr>
          </w:p>
        </w:tc>
      </w:tr>
      <w:tr w:rsidR="000E7C76" w:rsidRPr="00256982" w14:paraId="4879BC06" w14:textId="77777777" w:rsidTr="006A7B24">
        <w:tc>
          <w:tcPr>
            <w:tcW w:w="3918" w:type="dxa"/>
            <w:tcBorders>
              <w:top w:val="single" w:sz="4" w:space="0" w:color="auto"/>
              <w:left w:val="nil"/>
              <w:right w:val="nil"/>
            </w:tcBorders>
            <w:shd w:val="clear" w:color="auto" w:fill="auto"/>
            <w:vAlign w:val="center"/>
            <w:hideMark/>
          </w:tcPr>
          <w:p w14:paraId="1DF0DD08" w14:textId="77777777" w:rsidR="000E7C76" w:rsidRPr="00256982" w:rsidRDefault="000E7C76" w:rsidP="001D510C">
            <w:pPr>
              <w:pStyle w:val="TableText"/>
              <w:spacing w:before="50" w:after="50"/>
              <w:rPr>
                <w:lang w:eastAsia="en-NZ"/>
              </w:rPr>
            </w:pPr>
            <w:r w:rsidRPr="00256982">
              <w:rPr>
                <w:lang w:eastAsia="en-NZ"/>
              </w:rPr>
              <w:t>Net cumulative area since 1990 (ha)</w:t>
            </w:r>
          </w:p>
        </w:tc>
        <w:tc>
          <w:tcPr>
            <w:tcW w:w="1020" w:type="dxa"/>
            <w:tcBorders>
              <w:top w:val="single" w:sz="4" w:space="0" w:color="auto"/>
              <w:left w:val="nil"/>
              <w:right w:val="nil"/>
            </w:tcBorders>
            <w:shd w:val="clear" w:color="auto" w:fill="auto"/>
            <w:hideMark/>
          </w:tcPr>
          <w:p w14:paraId="3C5C33F4" w14:textId="77777777" w:rsidR="000E7C76" w:rsidRPr="00256982" w:rsidRDefault="000E7C76" w:rsidP="001D510C">
            <w:pPr>
              <w:pStyle w:val="TableText"/>
              <w:spacing w:before="50" w:after="50"/>
              <w:jc w:val="right"/>
              <w:rPr>
                <w:rFonts w:cs="Arial"/>
                <w:szCs w:val="16"/>
                <w:lang w:eastAsia="en-NZ"/>
              </w:rPr>
            </w:pPr>
            <w:r w:rsidRPr="00256982">
              <w:t>179,699</w:t>
            </w:r>
          </w:p>
        </w:tc>
        <w:tc>
          <w:tcPr>
            <w:tcW w:w="1020" w:type="dxa"/>
            <w:tcBorders>
              <w:top w:val="single" w:sz="4" w:space="0" w:color="auto"/>
              <w:left w:val="nil"/>
              <w:right w:val="nil"/>
            </w:tcBorders>
            <w:shd w:val="clear" w:color="auto" w:fill="auto"/>
            <w:hideMark/>
          </w:tcPr>
          <w:p w14:paraId="3841EC63" w14:textId="77777777" w:rsidR="000E7C76" w:rsidRPr="00256982" w:rsidRDefault="000E7C76" w:rsidP="001D510C">
            <w:pPr>
              <w:pStyle w:val="TableText"/>
              <w:spacing w:before="50" w:after="50"/>
              <w:jc w:val="right"/>
              <w:rPr>
                <w:rFonts w:cs="Arial"/>
                <w:szCs w:val="16"/>
                <w:lang w:eastAsia="en-NZ"/>
              </w:rPr>
            </w:pPr>
            <w:r w:rsidRPr="00256982">
              <w:t>187,350</w:t>
            </w:r>
          </w:p>
        </w:tc>
        <w:tc>
          <w:tcPr>
            <w:tcW w:w="1020" w:type="dxa"/>
            <w:tcBorders>
              <w:top w:val="single" w:sz="4" w:space="0" w:color="auto"/>
              <w:left w:val="nil"/>
              <w:right w:val="nil"/>
            </w:tcBorders>
            <w:shd w:val="clear" w:color="auto" w:fill="auto"/>
            <w:hideMark/>
          </w:tcPr>
          <w:p w14:paraId="54165626" w14:textId="77777777" w:rsidR="000E7C76" w:rsidRPr="00256982" w:rsidRDefault="000E7C76" w:rsidP="001D510C">
            <w:pPr>
              <w:pStyle w:val="TableText"/>
              <w:spacing w:before="50" w:after="50"/>
              <w:jc w:val="right"/>
              <w:rPr>
                <w:rFonts w:cs="Arial"/>
                <w:szCs w:val="16"/>
                <w:lang w:eastAsia="en-NZ"/>
              </w:rPr>
            </w:pPr>
            <w:r w:rsidRPr="00256982">
              <w:t>193,591</w:t>
            </w:r>
          </w:p>
        </w:tc>
        <w:tc>
          <w:tcPr>
            <w:tcW w:w="1020" w:type="dxa"/>
            <w:tcBorders>
              <w:top w:val="single" w:sz="4" w:space="0" w:color="auto"/>
              <w:left w:val="nil"/>
              <w:right w:val="nil"/>
            </w:tcBorders>
            <w:shd w:val="clear" w:color="auto" w:fill="auto"/>
            <w:hideMark/>
          </w:tcPr>
          <w:p w14:paraId="77F3D4E1" w14:textId="77777777" w:rsidR="000E7C76" w:rsidRPr="00256982" w:rsidRDefault="000E7C76" w:rsidP="001D510C">
            <w:pPr>
              <w:pStyle w:val="TableText"/>
              <w:spacing w:before="50" w:after="50"/>
              <w:jc w:val="right"/>
              <w:rPr>
                <w:rFonts w:cs="Arial"/>
                <w:szCs w:val="16"/>
                <w:lang w:eastAsia="en-NZ"/>
              </w:rPr>
            </w:pPr>
            <w:r w:rsidRPr="00256982">
              <w:t>197,214</w:t>
            </w:r>
          </w:p>
        </w:tc>
        <w:tc>
          <w:tcPr>
            <w:tcW w:w="1020" w:type="dxa"/>
            <w:tcBorders>
              <w:top w:val="single" w:sz="4" w:space="0" w:color="auto"/>
              <w:left w:val="nil"/>
              <w:right w:val="nil"/>
            </w:tcBorders>
          </w:tcPr>
          <w:p w14:paraId="603ABD36" w14:textId="77777777" w:rsidR="000E7C76" w:rsidRPr="00256982" w:rsidRDefault="000E7C76" w:rsidP="001D510C">
            <w:pPr>
              <w:pStyle w:val="TableText"/>
              <w:spacing w:before="50" w:after="50"/>
              <w:jc w:val="right"/>
              <w:rPr>
                <w:rFonts w:cs="Arial"/>
                <w:szCs w:val="16"/>
              </w:rPr>
            </w:pPr>
            <w:r w:rsidRPr="00256982">
              <w:t>200,161</w:t>
            </w:r>
          </w:p>
        </w:tc>
      </w:tr>
      <w:tr w:rsidR="000E7C76" w:rsidRPr="00256982" w14:paraId="1A05E4C2" w14:textId="77777777" w:rsidTr="006A7B24">
        <w:tc>
          <w:tcPr>
            <w:tcW w:w="3918" w:type="dxa"/>
            <w:tcBorders>
              <w:left w:val="nil"/>
              <w:right w:val="nil"/>
            </w:tcBorders>
            <w:shd w:val="clear" w:color="auto" w:fill="auto"/>
            <w:vAlign w:val="center"/>
            <w:hideMark/>
          </w:tcPr>
          <w:p w14:paraId="012F123E" w14:textId="77777777" w:rsidR="000E7C76" w:rsidRPr="00256982" w:rsidRDefault="000E7C76" w:rsidP="001D510C">
            <w:pPr>
              <w:pStyle w:val="TableText"/>
              <w:spacing w:before="50" w:after="50"/>
              <w:rPr>
                <w:lang w:eastAsia="en-NZ"/>
              </w:rPr>
            </w:pPr>
            <w:r w:rsidRPr="00256982">
              <w:rPr>
                <w:lang w:eastAsia="en-NZ"/>
              </w:rPr>
              <w:t>Area in calendar year (ha)</w:t>
            </w:r>
          </w:p>
        </w:tc>
        <w:tc>
          <w:tcPr>
            <w:tcW w:w="1020" w:type="dxa"/>
            <w:tcBorders>
              <w:left w:val="nil"/>
              <w:right w:val="nil"/>
            </w:tcBorders>
            <w:shd w:val="clear" w:color="auto" w:fill="auto"/>
            <w:hideMark/>
          </w:tcPr>
          <w:p w14:paraId="05DB82C2" w14:textId="77777777" w:rsidR="000E7C76" w:rsidRPr="00256982" w:rsidRDefault="000E7C76" w:rsidP="001D510C">
            <w:pPr>
              <w:pStyle w:val="TableText"/>
              <w:spacing w:before="50" w:after="50"/>
              <w:jc w:val="right"/>
              <w:rPr>
                <w:rFonts w:cs="Arial"/>
                <w:szCs w:val="16"/>
                <w:lang w:eastAsia="en-NZ"/>
              </w:rPr>
            </w:pPr>
            <w:r w:rsidRPr="00256982">
              <w:t>15,160</w:t>
            </w:r>
          </w:p>
        </w:tc>
        <w:tc>
          <w:tcPr>
            <w:tcW w:w="1020" w:type="dxa"/>
            <w:tcBorders>
              <w:left w:val="nil"/>
              <w:right w:val="nil"/>
            </w:tcBorders>
            <w:shd w:val="clear" w:color="auto" w:fill="auto"/>
            <w:hideMark/>
          </w:tcPr>
          <w:p w14:paraId="513402BA" w14:textId="77777777" w:rsidR="000E7C76" w:rsidRPr="00256982" w:rsidRDefault="000E7C76" w:rsidP="001D510C">
            <w:pPr>
              <w:pStyle w:val="TableText"/>
              <w:spacing w:before="50" w:after="50"/>
              <w:jc w:val="right"/>
              <w:rPr>
                <w:rFonts w:cs="Arial"/>
                <w:szCs w:val="16"/>
                <w:lang w:eastAsia="en-NZ"/>
              </w:rPr>
            </w:pPr>
            <w:r w:rsidRPr="00256982">
              <w:t>7,651</w:t>
            </w:r>
          </w:p>
        </w:tc>
        <w:tc>
          <w:tcPr>
            <w:tcW w:w="1020" w:type="dxa"/>
            <w:tcBorders>
              <w:left w:val="nil"/>
              <w:right w:val="nil"/>
            </w:tcBorders>
            <w:shd w:val="clear" w:color="auto" w:fill="auto"/>
            <w:hideMark/>
          </w:tcPr>
          <w:p w14:paraId="53596C06" w14:textId="77777777" w:rsidR="000E7C76" w:rsidRPr="00256982" w:rsidRDefault="000E7C76" w:rsidP="001D510C">
            <w:pPr>
              <w:pStyle w:val="TableText"/>
              <w:spacing w:before="50" w:after="50"/>
              <w:jc w:val="right"/>
              <w:rPr>
                <w:rFonts w:cs="Arial"/>
                <w:szCs w:val="16"/>
                <w:vertAlign w:val="superscript"/>
                <w:lang w:eastAsia="en-NZ"/>
              </w:rPr>
            </w:pPr>
            <w:r w:rsidRPr="00256982">
              <w:t>6,241</w:t>
            </w:r>
          </w:p>
        </w:tc>
        <w:tc>
          <w:tcPr>
            <w:tcW w:w="1020" w:type="dxa"/>
            <w:tcBorders>
              <w:left w:val="nil"/>
              <w:right w:val="nil"/>
            </w:tcBorders>
            <w:shd w:val="clear" w:color="auto" w:fill="auto"/>
            <w:vAlign w:val="center"/>
            <w:hideMark/>
          </w:tcPr>
          <w:p w14:paraId="28920397" w14:textId="77777777" w:rsidR="000E7C76" w:rsidRPr="00256982" w:rsidRDefault="000E7C76" w:rsidP="001D510C">
            <w:pPr>
              <w:pStyle w:val="TableText"/>
              <w:spacing w:before="50" w:after="50"/>
              <w:jc w:val="right"/>
              <w:rPr>
                <w:rFonts w:cs="Arial"/>
                <w:szCs w:val="16"/>
                <w:lang w:eastAsia="en-NZ"/>
              </w:rPr>
            </w:pPr>
            <w:r w:rsidRPr="00256982">
              <w:rPr>
                <w:rFonts w:cs="Arial"/>
                <w:color w:val="000000"/>
                <w:szCs w:val="16"/>
              </w:rPr>
              <w:t>3,623</w:t>
            </w:r>
          </w:p>
        </w:tc>
        <w:tc>
          <w:tcPr>
            <w:tcW w:w="1020" w:type="dxa"/>
            <w:tcBorders>
              <w:left w:val="nil"/>
              <w:right w:val="nil"/>
            </w:tcBorders>
            <w:vAlign w:val="center"/>
          </w:tcPr>
          <w:p w14:paraId="04A0706E" w14:textId="77777777" w:rsidR="000E7C76" w:rsidRPr="00256982" w:rsidRDefault="000E7C76" w:rsidP="001D510C">
            <w:pPr>
              <w:pStyle w:val="TableText"/>
              <w:spacing w:before="50" w:after="50"/>
              <w:jc w:val="right"/>
              <w:rPr>
                <w:rFonts w:cs="Arial"/>
                <w:szCs w:val="16"/>
              </w:rPr>
            </w:pPr>
            <w:r w:rsidRPr="00256982">
              <w:rPr>
                <w:rFonts w:cs="Arial"/>
                <w:color w:val="000000"/>
                <w:szCs w:val="16"/>
              </w:rPr>
              <w:t>2,947</w:t>
            </w:r>
          </w:p>
        </w:tc>
      </w:tr>
      <w:tr w:rsidR="000E7C76" w:rsidRPr="00256982" w14:paraId="45B80722" w14:textId="77777777" w:rsidTr="006A7B24">
        <w:tc>
          <w:tcPr>
            <w:tcW w:w="3918" w:type="dxa"/>
            <w:tcBorders>
              <w:left w:val="nil"/>
              <w:bottom w:val="single" w:sz="8" w:space="0" w:color="44546A"/>
              <w:right w:val="nil"/>
            </w:tcBorders>
            <w:shd w:val="clear" w:color="auto" w:fill="auto"/>
            <w:vAlign w:val="center"/>
            <w:hideMark/>
          </w:tcPr>
          <w:p w14:paraId="6F25B42D" w14:textId="77777777" w:rsidR="000E7C76" w:rsidRPr="00256982" w:rsidRDefault="000E7C76" w:rsidP="001D510C">
            <w:pPr>
              <w:pStyle w:val="TableText"/>
              <w:spacing w:before="50" w:after="50"/>
              <w:rPr>
                <w:lang w:eastAsia="en-NZ"/>
              </w:rPr>
            </w:pPr>
            <w:r w:rsidRPr="00256982">
              <w:rPr>
                <w:lang w:eastAsia="en-NZ"/>
              </w:rPr>
              <w:t>Net emissions in calendar year (kt CO</w:t>
            </w:r>
            <w:r w:rsidRPr="00256982">
              <w:rPr>
                <w:vertAlign w:val="subscript"/>
                <w:lang w:eastAsia="en-NZ"/>
              </w:rPr>
              <w:t>2</w:t>
            </w:r>
            <w:r w:rsidRPr="00256982">
              <w:rPr>
                <w:lang w:eastAsia="en-NZ"/>
              </w:rPr>
              <w:t>-e)</w:t>
            </w:r>
          </w:p>
        </w:tc>
        <w:tc>
          <w:tcPr>
            <w:tcW w:w="1020" w:type="dxa"/>
            <w:tcBorders>
              <w:left w:val="nil"/>
              <w:bottom w:val="single" w:sz="8" w:space="0" w:color="44546A"/>
              <w:right w:val="nil"/>
            </w:tcBorders>
            <w:shd w:val="clear" w:color="auto" w:fill="auto"/>
            <w:hideMark/>
          </w:tcPr>
          <w:p w14:paraId="147E0A0D" w14:textId="77777777" w:rsidR="000E7C76" w:rsidRPr="00256982" w:rsidRDefault="000E7C76" w:rsidP="001D510C">
            <w:pPr>
              <w:pStyle w:val="TableText"/>
              <w:spacing w:before="50" w:after="50"/>
              <w:jc w:val="right"/>
              <w:rPr>
                <w:rFonts w:cs="Arial"/>
                <w:szCs w:val="16"/>
                <w:lang w:eastAsia="en-NZ"/>
              </w:rPr>
            </w:pPr>
            <w:r w:rsidRPr="00256982">
              <w:t>10,110.8</w:t>
            </w:r>
          </w:p>
        </w:tc>
        <w:tc>
          <w:tcPr>
            <w:tcW w:w="1020" w:type="dxa"/>
            <w:tcBorders>
              <w:left w:val="nil"/>
              <w:bottom w:val="single" w:sz="8" w:space="0" w:color="44546A"/>
              <w:right w:val="nil"/>
            </w:tcBorders>
            <w:shd w:val="clear" w:color="auto" w:fill="auto"/>
            <w:hideMark/>
          </w:tcPr>
          <w:p w14:paraId="4254572F" w14:textId="77777777" w:rsidR="000E7C76" w:rsidRPr="00256982" w:rsidRDefault="000E7C76" w:rsidP="001D510C">
            <w:pPr>
              <w:pStyle w:val="TableText"/>
              <w:spacing w:before="50" w:after="50"/>
              <w:jc w:val="right"/>
              <w:rPr>
                <w:rFonts w:cs="Arial"/>
                <w:szCs w:val="16"/>
                <w:lang w:eastAsia="en-NZ"/>
              </w:rPr>
            </w:pPr>
            <w:r w:rsidRPr="00256982">
              <w:t>5,115.8</w:t>
            </w:r>
          </w:p>
        </w:tc>
        <w:tc>
          <w:tcPr>
            <w:tcW w:w="1020" w:type="dxa"/>
            <w:tcBorders>
              <w:left w:val="nil"/>
              <w:bottom w:val="single" w:sz="8" w:space="0" w:color="44546A"/>
              <w:right w:val="nil"/>
            </w:tcBorders>
            <w:shd w:val="clear" w:color="auto" w:fill="auto"/>
            <w:hideMark/>
          </w:tcPr>
          <w:p w14:paraId="38A18456" w14:textId="77777777" w:rsidR="000E7C76" w:rsidRPr="00256982" w:rsidRDefault="000E7C76" w:rsidP="001D510C">
            <w:pPr>
              <w:pStyle w:val="TableText"/>
              <w:spacing w:before="50" w:after="50"/>
              <w:jc w:val="right"/>
              <w:rPr>
                <w:rFonts w:cs="Arial"/>
                <w:szCs w:val="16"/>
                <w:lang w:eastAsia="en-NZ"/>
              </w:rPr>
            </w:pPr>
            <w:r w:rsidRPr="00256982">
              <w:t>3,912.9</w:t>
            </w:r>
          </w:p>
        </w:tc>
        <w:tc>
          <w:tcPr>
            <w:tcW w:w="1020" w:type="dxa"/>
            <w:tcBorders>
              <w:left w:val="nil"/>
              <w:bottom w:val="single" w:sz="8" w:space="0" w:color="44546A"/>
              <w:right w:val="nil"/>
            </w:tcBorders>
            <w:shd w:val="clear" w:color="auto" w:fill="auto"/>
            <w:hideMark/>
          </w:tcPr>
          <w:p w14:paraId="275E9E0D" w14:textId="77777777" w:rsidR="000E7C76" w:rsidRPr="00256982" w:rsidRDefault="000E7C76" w:rsidP="001D510C">
            <w:pPr>
              <w:pStyle w:val="TableText"/>
              <w:spacing w:before="50" w:after="50"/>
              <w:jc w:val="right"/>
              <w:rPr>
                <w:rFonts w:cs="Arial"/>
                <w:szCs w:val="16"/>
                <w:lang w:eastAsia="en-NZ"/>
              </w:rPr>
            </w:pPr>
            <w:r w:rsidRPr="00256982">
              <w:t>2,050.5</w:t>
            </w:r>
          </w:p>
        </w:tc>
        <w:tc>
          <w:tcPr>
            <w:tcW w:w="1020" w:type="dxa"/>
            <w:tcBorders>
              <w:left w:val="nil"/>
              <w:bottom w:val="single" w:sz="8" w:space="0" w:color="44546A"/>
              <w:right w:val="nil"/>
            </w:tcBorders>
          </w:tcPr>
          <w:p w14:paraId="73E22526" w14:textId="77777777" w:rsidR="000E7C76" w:rsidRPr="00256982" w:rsidRDefault="000E7C76" w:rsidP="001D510C">
            <w:pPr>
              <w:pStyle w:val="TableText"/>
              <w:spacing w:before="50" w:after="50"/>
              <w:jc w:val="right"/>
              <w:rPr>
                <w:rFonts w:cs="Arial"/>
                <w:szCs w:val="16"/>
              </w:rPr>
            </w:pPr>
            <w:r w:rsidRPr="00256982">
              <w:t>1,657.0</w:t>
            </w:r>
          </w:p>
        </w:tc>
      </w:tr>
      <w:tr w:rsidR="000E7C76" w:rsidRPr="00256982" w14:paraId="23727389" w14:textId="77777777" w:rsidTr="006A7B24">
        <w:tc>
          <w:tcPr>
            <w:tcW w:w="3918" w:type="dxa"/>
            <w:tcBorders>
              <w:top w:val="nil"/>
              <w:left w:val="nil"/>
              <w:bottom w:val="single" w:sz="4" w:space="0" w:color="auto"/>
              <w:right w:val="nil"/>
            </w:tcBorders>
            <w:shd w:val="clear" w:color="auto" w:fill="auto"/>
            <w:vAlign w:val="center"/>
            <w:hideMark/>
          </w:tcPr>
          <w:p w14:paraId="3FF68595" w14:textId="77777777" w:rsidR="000E7C76" w:rsidRPr="00256982" w:rsidRDefault="000E7C76" w:rsidP="001D510C">
            <w:pPr>
              <w:pStyle w:val="TableTextBold"/>
              <w:spacing w:before="50" w:after="50"/>
              <w:rPr>
                <w:noProof w:val="0"/>
                <w:lang w:eastAsia="en-NZ"/>
              </w:rPr>
            </w:pPr>
            <w:r w:rsidRPr="00256982">
              <w:rPr>
                <w:noProof w:val="0"/>
                <w:lang w:eastAsia="en-NZ"/>
              </w:rPr>
              <w:t>Forest management</w:t>
            </w:r>
          </w:p>
        </w:tc>
        <w:tc>
          <w:tcPr>
            <w:tcW w:w="1020" w:type="dxa"/>
            <w:tcBorders>
              <w:top w:val="nil"/>
              <w:left w:val="nil"/>
              <w:bottom w:val="single" w:sz="4" w:space="0" w:color="auto"/>
              <w:right w:val="nil"/>
            </w:tcBorders>
            <w:shd w:val="clear" w:color="auto" w:fill="auto"/>
            <w:hideMark/>
          </w:tcPr>
          <w:p w14:paraId="6F6F83FC" w14:textId="77777777" w:rsidR="000E7C76" w:rsidRPr="00256982" w:rsidRDefault="000E7C76" w:rsidP="001D510C">
            <w:pPr>
              <w:pStyle w:val="TableTextBold"/>
              <w:spacing w:before="50" w:after="50"/>
              <w:jc w:val="right"/>
              <w:rPr>
                <w:rFonts w:cs="Arial"/>
                <w:noProof w:val="0"/>
                <w:szCs w:val="16"/>
                <w:lang w:eastAsia="en-NZ"/>
              </w:rPr>
            </w:pPr>
          </w:p>
        </w:tc>
        <w:tc>
          <w:tcPr>
            <w:tcW w:w="1020" w:type="dxa"/>
            <w:tcBorders>
              <w:top w:val="nil"/>
              <w:left w:val="nil"/>
              <w:bottom w:val="single" w:sz="4" w:space="0" w:color="auto"/>
              <w:right w:val="nil"/>
            </w:tcBorders>
            <w:shd w:val="clear" w:color="auto" w:fill="auto"/>
            <w:hideMark/>
          </w:tcPr>
          <w:p w14:paraId="2427591A" w14:textId="77777777" w:rsidR="000E7C76" w:rsidRPr="00256982" w:rsidRDefault="000E7C76" w:rsidP="001D510C">
            <w:pPr>
              <w:pStyle w:val="TableTextBold"/>
              <w:spacing w:before="50" w:after="50"/>
              <w:jc w:val="right"/>
              <w:rPr>
                <w:rFonts w:cs="Arial"/>
                <w:noProof w:val="0"/>
                <w:szCs w:val="16"/>
                <w:lang w:eastAsia="en-NZ"/>
              </w:rPr>
            </w:pPr>
          </w:p>
        </w:tc>
        <w:tc>
          <w:tcPr>
            <w:tcW w:w="1020" w:type="dxa"/>
            <w:tcBorders>
              <w:top w:val="nil"/>
              <w:left w:val="nil"/>
              <w:bottom w:val="single" w:sz="4" w:space="0" w:color="auto"/>
              <w:right w:val="nil"/>
            </w:tcBorders>
            <w:shd w:val="clear" w:color="auto" w:fill="auto"/>
            <w:hideMark/>
          </w:tcPr>
          <w:p w14:paraId="14920C58" w14:textId="77777777" w:rsidR="000E7C76" w:rsidRPr="00256982" w:rsidRDefault="000E7C76" w:rsidP="001D510C">
            <w:pPr>
              <w:pStyle w:val="TableTextBold"/>
              <w:spacing w:before="50" w:after="50"/>
              <w:jc w:val="right"/>
              <w:rPr>
                <w:rFonts w:cs="Arial"/>
                <w:noProof w:val="0"/>
                <w:szCs w:val="16"/>
                <w:lang w:eastAsia="en-NZ"/>
              </w:rPr>
            </w:pPr>
          </w:p>
        </w:tc>
        <w:tc>
          <w:tcPr>
            <w:tcW w:w="1020" w:type="dxa"/>
            <w:tcBorders>
              <w:top w:val="nil"/>
              <w:left w:val="nil"/>
              <w:bottom w:val="single" w:sz="4" w:space="0" w:color="auto"/>
              <w:right w:val="nil"/>
            </w:tcBorders>
            <w:shd w:val="clear" w:color="auto" w:fill="auto"/>
            <w:hideMark/>
          </w:tcPr>
          <w:p w14:paraId="41F053E6" w14:textId="77777777" w:rsidR="000E7C76" w:rsidRPr="00256982" w:rsidRDefault="000E7C76" w:rsidP="001D510C">
            <w:pPr>
              <w:pStyle w:val="TableTextBold"/>
              <w:spacing w:before="50" w:after="50"/>
              <w:jc w:val="right"/>
              <w:rPr>
                <w:rFonts w:cs="Arial"/>
                <w:noProof w:val="0"/>
                <w:szCs w:val="16"/>
                <w:lang w:eastAsia="en-NZ"/>
              </w:rPr>
            </w:pPr>
          </w:p>
        </w:tc>
        <w:tc>
          <w:tcPr>
            <w:tcW w:w="1020" w:type="dxa"/>
            <w:tcBorders>
              <w:top w:val="nil"/>
              <w:left w:val="nil"/>
              <w:bottom w:val="single" w:sz="4" w:space="0" w:color="auto"/>
              <w:right w:val="nil"/>
            </w:tcBorders>
          </w:tcPr>
          <w:p w14:paraId="3BCF86C8" w14:textId="77777777" w:rsidR="000E7C76" w:rsidRPr="00256982" w:rsidRDefault="000E7C76" w:rsidP="001D510C">
            <w:pPr>
              <w:pStyle w:val="TableTextBold"/>
              <w:spacing w:before="50" w:after="50"/>
              <w:jc w:val="right"/>
              <w:rPr>
                <w:rFonts w:cs="Arial"/>
                <w:noProof w:val="0"/>
                <w:szCs w:val="16"/>
              </w:rPr>
            </w:pPr>
          </w:p>
        </w:tc>
      </w:tr>
      <w:tr w:rsidR="000E7C76" w:rsidRPr="00256982" w14:paraId="74E40D20" w14:textId="77777777" w:rsidTr="006A7B24">
        <w:tc>
          <w:tcPr>
            <w:tcW w:w="3918" w:type="dxa"/>
            <w:tcBorders>
              <w:top w:val="single" w:sz="4" w:space="0" w:color="auto"/>
              <w:left w:val="nil"/>
              <w:right w:val="nil"/>
            </w:tcBorders>
            <w:shd w:val="clear" w:color="auto" w:fill="auto"/>
            <w:vAlign w:val="center"/>
            <w:hideMark/>
          </w:tcPr>
          <w:p w14:paraId="78C7102E" w14:textId="77777777" w:rsidR="000E7C76" w:rsidRPr="00256982" w:rsidRDefault="000E7C76" w:rsidP="001D510C">
            <w:pPr>
              <w:pStyle w:val="TableText"/>
              <w:spacing w:before="50" w:after="50"/>
              <w:rPr>
                <w:lang w:eastAsia="en-NZ"/>
              </w:rPr>
            </w:pPr>
            <w:r w:rsidRPr="00256982">
              <w:rPr>
                <w:lang w:eastAsia="en-NZ"/>
              </w:rPr>
              <w:t>Area included (ha)</w:t>
            </w:r>
          </w:p>
        </w:tc>
        <w:tc>
          <w:tcPr>
            <w:tcW w:w="1020" w:type="dxa"/>
            <w:tcBorders>
              <w:top w:val="single" w:sz="4" w:space="0" w:color="auto"/>
              <w:left w:val="nil"/>
              <w:right w:val="nil"/>
            </w:tcBorders>
            <w:shd w:val="clear" w:color="auto" w:fill="auto"/>
            <w:hideMark/>
          </w:tcPr>
          <w:p w14:paraId="07C4A482" w14:textId="77777777" w:rsidR="000E7C76" w:rsidRPr="00256982" w:rsidRDefault="000E7C76" w:rsidP="001D510C">
            <w:pPr>
              <w:pStyle w:val="TableText"/>
              <w:spacing w:before="50" w:after="50"/>
              <w:jc w:val="right"/>
              <w:rPr>
                <w:rFonts w:cs="Arial"/>
                <w:szCs w:val="16"/>
                <w:lang w:eastAsia="en-NZ"/>
              </w:rPr>
            </w:pPr>
            <w:r w:rsidRPr="00256982">
              <w:t>9,259,045</w:t>
            </w:r>
          </w:p>
        </w:tc>
        <w:tc>
          <w:tcPr>
            <w:tcW w:w="1020" w:type="dxa"/>
            <w:tcBorders>
              <w:top w:val="single" w:sz="4" w:space="0" w:color="auto"/>
              <w:left w:val="nil"/>
              <w:right w:val="nil"/>
            </w:tcBorders>
            <w:shd w:val="clear" w:color="auto" w:fill="auto"/>
            <w:hideMark/>
          </w:tcPr>
          <w:p w14:paraId="1DE7C301" w14:textId="77777777" w:rsidR="000E7C76" w:rsidRPr="00256982" w:rsidRDefault="000E7C76" w:rsidP="001D510C">
            <w:pPr>
              <w:pStyle w:val="TableText"/>
              <w:spacing w:before="50" w:after="50"/>
              <w:jc w:val="right"/>
              <w:rPr>
                <w:rFonts w:cs="Arial"/>
                <w:szCs w:val="16"/>
                <w:lang w:eastAsia="en-NZ"/>
              </w:rPr>
            </w:pPr>
            <w:r w:rsidRPr="00256982">
              <w:t>9,252,620</w:t>
            </w:r>
          </w:p>
        </w:tc>
        <w:tc>
          <w:tcPr>
            <w:tcW w:w="1020" w:type="dxa"/>
            <w:tcBorders>
              <w:top w:val="single" w:sz="4" w:space="0" w:color="auto"/>
              <w:left w:val="nil"/>
              <w:right w:val="nil"/>
            </w:tcBorders>
            <w:shd w:val="clear" w:color="auto" w:fill="auto"/>
            <w:hideMark/>
          </w:tcPr>
          <w:p w14:paraId="5F30C48B" w14:textId="77777777" w:rsidR="000E7C76" w:rsidRPr="00256982" w:rsidRDefault="000E7C76" w:rsidP="001D510C">
            <w:pPr>
              <w:pStyle w:val="TableText"/>
              <w:spacing w:before="50" w:after="50"/>
              <w:jc w:val="right"/>
              <w:rPr>
                <w:rFonts w:cs="Arial"/>
                <w:szCs w:val="16"/>
                <w:lang w:eastAsia="en-NZ"/>
              </w:rPr>
            </w:pPr>
            <w:r w:rsidRPr="00256982">
              <w:t>9,247,943</w:t>
            </w:r>
          </w:p>
        </w:tc>
        <w:tc>
          <w:tcPr>
            <w:tcW w:w="1020" w:type="dxa"/>
            <w:tcBorders>
              <w:top w:val="single" w:sz="4" w:space="0" w:color="auto"/>
              <w:left w:val="nil"/>
              <w:right w:val="nil"/>
            </w:tcBorders>
            <w:shd w:val="clear" w:color="auto" w:fill="auto"/>
            <w:hideMark/>
          </w:tcPr>
          <w:p w14:paraId="6CF0F7C3" w14:textId="77777777" w:rsidR="000E7C76" w:rsidRPr="00256982" w:rsidRDefault="000E7C76" w:rsidP="001D510C">
            <w:pPr>
              <w:pStyle w:val="TableText"/>
              <w:spacing w:before="50" w:after="50"/>
              <w:jc w:val="right"/>
              <w:rPr>
                <w:rFonts w:cs="Arial"/>
                <w:szCs w:val="16"/>
                <w:lang w:eastAsia="en-NZ"/>
              </w:rPr>
            </w:pPr>
            <w:r w:rsidRPr="00256982">
              <w:t>9,246,176</w:t>
            </w:r>
          </w:p>
        </w:tc>
        <w:tc>
          <w:tcPr>
            <w:tcW w:w="1020" w:type="dxa"/>
            <w:tcBorders>
              <w:top w:val="single" w:sz="4" w:space="0" w:color="auto"/>
              <w:left w:val="nil"/>
              <w:right w:val="nil"/>
            </w:tcBorders>
          </w:tcPr>
          <w:p w14:paraId="735DE9ED" w14:textId="77777777" w:rsidR="000E7C76" w:rsidRPr="00256982" w:rsidRDefault="000E7C76" w:rsidP="001D510C">
            <w:pPr>
              <w:pStyle w:val="TableText"/>
              <w:spacing w:before="50" w:after="50"/>
              <w:jc w:val="right"/>
              <w:rPr>
                <w:rFonts w:cs="Arial"/>
                <w:szCs w:val="16"/>
              </w:rPr>
            </w:pPr>
            <w:r w:rsidRPr="00256982">
              <w:t>9,245,248</w:t>
            </w:r>
          </w:p>
        </w:tc>
      </w:tr>
      <w:tr w:rsidR="000E7C76" w:rsidRPr="00256982" w14:paraId="5FFC3310" w14:textId="77777777" w:rsidTr="006A7B24">
        <w:tc>
          <w:tcPr>
            <w:tcW w:w="3918" w:type="dxa"/>
            <w:tcBorders>
              <w:left w:val="nil"/>
              <w:bottom w:val="single" w:sz="4" w:space="0" w:color="auto"/>
              <w:right w:val="nil"/>
            </w:tcBorders>
            <w:shd w:val="clear" w:color="auto" w:fill="auto"/>
            <w:vAlign w:val="center"/>
            <w:hideMark/>
          </w:tcPr>
          <w:p w14:paraId="6BD87158" w14:textId="77777777" w:rsidR="000E7C76" w:rsidRPr="00256982" w:rsidRDefault="000E7C76" w:rsidP="001D510C">
            <w:pPr>
              <w:pStyle w:val="TableText"/>
              <w:spacing w:before="50" w:after="50"/>
              <w:rPr>
                <w:lang w:eastAsia="en-NZ"/>
              </w:rPr>
            </w:pPr>
            <w:r w:rsidRPr="00256982">
              <w:rPr>
                <w:lang w:eastAsia="en-NZ"/>
              </w:rPr>
              <w:t>Net emissions in calendar year (kt CO</w:t>
            </w:r>
            <w:r w:rsidRPr="00256982">
              <w:rPr>
                <w:vertAlign w:val="subscript"/>
                <w:lang w:eastAsia="en-NZ"/>
              </w:rPr>
              <w:t>2</w:t>
            </w:r>
            <w:r w:rsidRPr="00256982">
              <w:rPr>
                <w:lang w:eastAsia="en-NZ"/>
              </w:rPr>
              <w:t>-e)</w:t>
            </w:r>
          </w:p>
        </w:tc>
        <w:tc>
          <w:tcPr>
            <w:tcW w:w="1020" w:type="dxa"/>
            <w:tcBorders>
              <w:left w:val="nil"/>
              <w:bottom w:val="single" w:sz="4" w:space="0" w:color="auto"/>
              <w:right w:val="nil"/>
            </w:tcBorders>
            <w:shd w:val="clear" w:color="auto" w:fill="auto"/>
            <w:hideMark/>
          </w:tcPr>
          <w:p w14:paraId="69812C63" w14:textId="77777777" w:rsidR="000E7C76" w:rsidRPr="00256982" w:rsidRDefault="000E7C76" w:rsidP="001D510C">
            <w:pPr>
              <w:pStyle w:val="TableText"/>
              <w:spacing w:before="50" w:after="50"/>
              <w:jc w:val="right"/>
              <w:rPr>
                <w:rFonts w:cs="Arial"/>
                <w:szCs w:val="16"/>
                <w:lang w:eastAsia="en-NZ"/>
              </w:rPr>
            </w:pPr>
            <w:r w:rsidRPr="00256982">
              <w:rPr>
                <w:rFonts w:cs="Arial"/>
                <w:szCs w:val="16"/>
              </w:rPr>
              <w:t>–</w:t>
            </w:r>
            <w:r w:rsidRPr="00256982">
              <w:t>22,258.7</w:t>
            </w:r>
          </w:p>
        </w:tc>
        <w:tc>
          <w:tcPr>
            <w:tcW w:w="1020" w:type="dxa"/>
            <w:tcBorders>
              <w:left w:val="nil"/>
              <w:bottom w:val="single" w:sz="4" w:space="0" w:color="auto"/>
              <w:right w:val="nil"/>
            </w:tcBorders>
            <w:shd w:val="clear" w:color="auto" w:fill="auto"/>
            <w:hideMark/>
          </w:tcPr>
          <w:p w14:paraId="1B90AFB4" w14:textId="77777777" w:rsidR="000E7C76" w:rsidRPr="00256982" w:rsidRDefault="000E7C76" w:rsidP="001D510C">
            <w:pPr>
              <w:pStyle w:val="TableText"/>
              <w:spacing w:before="50" w:after="50"/>
              <w:jc w:val="right"/>
              <w:rPr>
                <w:rFonts w:cs="Arial"/>
                <w:szCs w:val="16"/>
                <w:lang w:eastAsia="en-NZ"/>
              </w:rPr>
            </w:pPr>
            <w:r w:rsidRPr="00256982">
              <w:rPr>
                <w:rFonts w:cs="Arial"/>
                <w:szCs w:val="16"/>
              </w:rPr>
              <w:t>–</w:t>
            </w:r>
            <w:r w:rsidRPr="00256982">
              <w:t>20,552.2</w:t>
            </w:r>
          </w:p>
        </w:tc>
        <w:tc>
          <w:tcPr>
            <w:tcW w:w="1020" w:type="dxa"/>
            <w:tcBorders>
              <w:left w:val="nil"/>
              <w:bottom w:val="single" w:sz="4" w:space="0" w:color="auto"/>
              <w:right w:val="nil"/>
            </w:tcBorders>
            <w:shd w:val="clear" w:color="auto" w:fill="auto"/>
            <w:hideMark/>
          </w:tcPr>
          <w:p w14:paraId="18B148C9" w14:textId="77777777" w:rsidR="000E7C76" w:rsidRPr="00256982" w:rsidRDefault="000E7C76" w:rsidP="001D510C">
            <w:pPr>
              <w:pStyle w:val="TableText"/>
              <w:spacing w:before="50" w:after="50"/>
              <w:jc w:val="right"/>
              <w:rPr>
                <w:rFonts w:cs="Arial"/>
                <w:szCs w:val="16"/>
                <w:lang w:eastAsia="en-NZ"/>
              </w:rPr>
            </w:pPr>
            <w:r w:rsidRPr="00256982">
              <w:rPr>
                <w:rFonts w:cs="Arial"/>
                <w:szCs w:val="16"/>
              </w:rPr>
              <w:t>–</w:t>
            </w:r>
            <w:r w:rsidRPr="00256982">
              <w:t>18,331.9</w:t>
            </w:r>
          </w:p>
        </w:tc>
        <w:tc>
          <w:tcPr>
            <w:tcW w:w="1020" w:type="dxa"/>
            <w:tcBorders>
              <w:left w:val="nil"/>
              <w:bottom w:val="single" w:sz="4" w:space="0" w:color="auto"/>
              <w:right w:val="nil"/>
            </w:tcBorders>
            <w:shd w:val="clear" w:color="auto" w:fill="auto"/>
            <w:hideMark/>
          </w:tcPr>
          <w:p w14:paraId="644209EE" w14:textId="77777777" w:rsidR="000E7C76" w:rsidRPr="00256982" w:rsidRDefault="000E7C76" w:rsidP="001D510C">
            <w:pPr>
              <w:pStyle w:val="TableText"/>
              <w:spacing w:before="50" w:after="50"/>
              <w:jc w:val="right"/>
              <w:rPr>
                <w:rFonts w:cs="Arial"/>
                <w:szCs w:val="16"/>
                <w:lang w:eastAsia="en-NZ"/>
              </w:rPr>
            </w:pPr>
            <w:r w:rsidRPr="00256982">
              <w:rPr>
                <w:rFonts w:cs="Arial"/>
                <w:szCs w:val="16"/>
              </w:rPr>
              <w:t>–</w:t>
            </w:r>
            <w:r w:rsidRPr="00256982">
              <w:t>15,731.4</w:t>
            </w:r>
          </w:p>
        </w:tc>
        <w:tc>
          <w:tcPr>
            <w:tcW w:w="1020" w:type="dxa"/>
            <w:tcBorders>
              <w:left w:val="nil"/>
              <w:bottom w:val="single" w:sz="4" w:space="0" w:color="auto"/>
              <w:right w:val="nil"/>
            </w:tcBorders>
          </w:tcPr>
          <w:p w14:paraId="5483D12B" w14:textId="77777777" w:rsidR="000E7C76" w:rsidRPr="00256982" w:rsidRDefault="000E7C76" w:rsidP="001D510C">
            <w:pPr>
              <w:pStyle w:val="TableText"/>
              <w:spacing w:before="50" w:after="50"/>
              <w:jc w:val="right"/>
              <w:rPr>
                <w:rFonts w:cs="Arial"/>
                <w:szCs w:val="16"/>
              </w:rPr>
            </w:pPr>
            <w:r w:rsidRPr="00256982">
              <w:rPr>
                <w:rFonts w:cs="Arial"/>
                <w:szCs w:val="16"/>
              </w:rPr>
              <w:t>–</w:t>
            </w:r>
            <w:r w:rsidRPr="00256982">
              <w:t>14,553.9</w:t>
            </w:r>
          </w:p>
        </w:tc>
      </w:tr>
      <w:tr w:rsidR="000E7C76" w:rsidRPr="00256982" w14:paraId="13AA5671" w14:textId="77777777" w:rsidTr="006A7B24">
        <w:tc>
          <w:tcPr>
            <w:tcW w:w="3918" w:type="dxa"/>
            <w:tcBorders>
              <w:top w:val="single" w:sz="4" w:space="0" w:color="auto"/>
              <w:left w:val="nil"/>
              <w:bottom w:val="single" w:sz="8" w:space="0" w:color="44546A"/>
              <w:right w:val="nil"/>
            </w:tcBorders>
            <w:shd w:val="clear" w:color="auto" w:fill="auto"/>
            <w:vAlign w:val="center"/>
            <w:hideMark/>
          </w:tcPr>
          <w:p w14:paraId="693FE1D9" w14:textId="77777777" w:rsidR="000E7C76" w:rsidRPr="00256982" w:rsidRDefault="000E7C76" w:rsidP="001D510C">
            <w:pPr>
              <w:pStyle w:val="TableTextBold"/>
              <w:spacing w:before="50" w:after="50"/>
              <w:rPr>
                <w:noProof w:val="0"/>
                <w:lang w:eastAsia="en-NZ"/>
              </w:rPr>
            </w:pPr>
            <w:r w:rsidRPr="00256982">
              <w:rPr>
                <w:noProof w:val="0"/>
                <w:lang w:eastAsia="en-NZ"/>
              </w:rPr>
              <w:t>Total area included (ha)</w:t>
            </w:r>
          </w:p>
        </w:tc>
        <w:tc>
          <w:tcPr>
            <w:tcW w:w="1020" w:type="dxa"/>
            <w:tcBorders>
              <w:top w:val="single" w:sz="4" w:space="0" w:color="auto"/>
              <w:left w:val="nil"/>
              <w:bottom w:val="single" w:sz="8" w:space="0" w:color="44546A"/>
              <w:right w:val="nil"/>
            </w:tcBorders>
            <w:shd w:val="clear" w:color="auto" w:fill="auto"/>
            <w:hideMark/>
          </w:tcPr>
          <w:p w14:paraId="52C83765" w14:textId="77777777" w:rsidR="000E7C76" w:rsidRPr="00256982" w:rsidRDefault="000E7C76" w:rsidP="001D510C">
            <w:pPr>
              <w:pStyle w:val="TableTextBold"/>
              <w:spacing w:before="50" w:after="50"/>
              <w:jc w:val="right"/>
              <w:rPr>
                <w:rFonts w:cs="Arial"/>
                <w:noProof w:val="0"/>
                <w:szCs w:val="16"/>
                <w:lang w:eastAsia="en-NZ"/>
              </w:rPr>
            </w:pPr>
            <w:r w:rsidRPr="00256982">
              <w:rPr>
                <w:noProof w:val="0"/>
              </w:rPr>
              <w:t>10,108,851</w:t>
            </w:r>
          </w:p>
        </w:tc>
        <w:tc>
          <w:tcPr>
            <w:tcW w:w="1020" w:type="dxa"/>
            <w:tcBorders>
              <w:top w:val="single" w:sz="4" w:space="0" w:color="auto"/>
              <w:left w:val="nil"/>
              <w:bottom w:val="single" w:sz="8" w:space="0" w:color="44546A"/>
              <w:right w:val="nil"/>
            </w:tcBorders>
            <w:shd w:val="clear" w:color="auto" w:fill="auto"/>
            <w:hideMark/>
          </w:tcPr>
          <w:p w14:paraId="6601F74E" w14:textId="77777777" w:rsidR="000E7C76" w:rsidRPr="00256982" w:rsidRDefault="000E7C76" w:rsidP="001D510C">
            <w:pPr>
              <w:pStyle w:val="TableTextBold"/>
              <w:spacing w:before="50" w:after="50"/>
              <w:jc w:val="right"/>
              <w:rPr>
                <w:rFonts w:cs="Arial"/>
                <w:noProof w:val="0"/>
                <w:szCs w:val="16"/>
                <w:lang w:eastAsia="en-NZ"/>
              </w:rPr>
            </w:pPr>
            <w:r w:rsidRPr="00256982">
              <w:rPr>
                <w:noProof w:val="0"/>
              </w:rPr>
              <w:t>10,111,808</w:t>
            </w:r>
          </w:p>
        </w:tc>
        <w:tc>
          <w:tcPr>
            <w:tcW w:w="1020" w:type="dxa"/>
            <w:tcBorders>
              <w:top w:val="single" w:sz="4" w:space="0" w:color="auto"/>
              <w:left w:val="nil"/>
              <w:bottom w:val="single" w:sz="8" w:space="0" w:color="44546A"/>
              <w:right w:val="nil"/>
            </w:tcBorders>
            <w:shd w:val="clear" w:color="auto" w:fill="auto"/>
            <w:hideMark/>
          </w:tcPr>
          <w:p w14:paraId="74794E77" w14:textId="77777777" w:rsidR="000E7C76" w:rsidRPr="00256982" w:rsidRDefault="000E7C76" w:rsidP="001D510C">
            <w:pPr>
              <w:pStyle w:val="TableTextBold"/>
              <w:spacing w:before="50" w:after="50"/>
              <w:jc w:val="right"/>
              <w:rPr>
                <w:rFonts w:cs="Arial"/>
                <w:noProof w:val="0"/>
                <w:szCs w:val="16"/>
                <w:lang w:eastAsia="en-NZ"/>
              </w:rPr>
            </w:pPr>
            <w:r w:rsidRPr="00256982">
              <w:rPr>
                <w:noProof w:val="0"/>
              </w:rPr>
              <w:t>10,115,205</w:t>
            </w:r>
          </w:p>
        </w:tc>
        <w:tc>
          <w:tcPr>
            <w:tcW w:w="1020" w:type="dxa"/>
            <w:tcBorders>
              <w:top w:val="single" w:sz="4" w:space="0" w:color="auto"/>
              <w:left w:val="nil"/>
              <w:bottom w:val="single" w:sz="8" w:space="0" w:color="44546A"/>
              <w:right w:val="nil"/>
            </w:tcBorders>
            <w:shd w:val="clear" w:color="auto" w:fill="auto"/>
            <w:hideMark/>
          </w:tcPr>
          <w:p w14:paraId="6CC410FB" w14:textId="77777777" w:rsidR="000E7C76" w:rsidRPr="00256982" w:rsidRDefault="000E7C76" w:rsidP="001D510C">
            <w:pPr>
              <w:pStyle w:val="TableTextBold"/>
              <w:spacing w:before="50" w:after="50"/>
              <w:jc w:val="right"/>
              <w:rPr>
                <w:rFonts w:cs="Arial"/>
                <w:noProof w:val="0"/>
                <w:szCs w:val="16"/>
                <w:lang w:eastAsia="en-NZ"/>
              </w:rPr>
            </w:pPr>
            <w:r w:rsidRPr="00256982">
              <w:rPr>
                <w:noProof w:val="0"/>
              </w:rPr>
              <w:t>10,118,960</w:t>
            </w:r>
          </w:p>
        </w:tc>
        <w:tc>
          <w:tcPr>
            <w:tcW w:w="1020" w:type="dxa"/>
            <w:tcBorders>
              <w:top w:val="single" w:sz="4" w:space="0" w:color="auto"/>
              <w:left w:val="nil"/>
              <w:bottom w:val="single" w:sz="8" w:space="0" w:color="44546A"/>
              <w:right w:val="nil"/>
            </w:tcBorders>
          </w:tcPr>
          <w:p w14:paraId="38CC60CC" w14:textId="77777777" w:rsidR="000E7C76" w:rsidRPr="00256982" w:rsidRDefault="000E7C76" w:rsidP="001D510C">
            <w:pPr>
              <w:pStyle w:val="TableTextBold"/>
              <w:spacing w:before="50" w:after="50"/>
              <w:jc w:val="right"/>
              <w:rPr>
                <w:rFonts w:cs="Arial"/>
                <w:noProof w:val="0"/>
                <w:szCs w:val="16"/>
              </w:rPr>
            </w:pPr>
            <w:r w:rsidRPr="00256982">
              <w:rPr>
                <w:noProof w:val="0"/>
              </w:rPr>
              <w:t>10,125,495</w:t>
            </w:r>
          </w:p>
        </w:tc>
      </w:tr>
      <w:tr w:rsidR="000E7C76" w:rsidRPr="00256982" w14:paraId="756AF692" w14:textId="77777777" w:rsidTr="006A7B24">
        <w:tc>
          <w:tcPr>
            <w:tcW w:w="3918" w:type="dxa"/>
            <w:tcBorders>
              <w:top w:val="nil"/>
              <w:left w:val="nil"/>
              <w:bottom w:val="single" w:sz="8" w:space="0" w:color="44546A"/>
              <w:right w:val="nil"/>
            </w:tcBorders>
            <w:shd w:val="clear" w:color="auto" w:fill="auto"/>
            <w:vAlign w:val="center"/>
            <w:hideMark/>
          </w:tcPr>
          <w:p w14:paraId="08C2E8D9" w14:textId="77777777" w:rsidR="000E7C76" w:rsidRPr="00256982" w:rsidRDefault="000E7C76" w:rsidP="001D510C">
            <w:pPr>
              <w:pStyle w:val="TableTextBold"/>
              <w:spacing w:before="50" w:after="50"/>
              <w:rPr>
                <w:noProof w:val="0"/>
                <w:lang w:eastAsia="en-NZ"/>
              </w:rPr>
            </w:pPr>
            <w:r w:rsidRPr="00256982">
              <w:rPr>
                <w:noProof w:val="0"/>
                <w:lang w:eastAsia="en-NZ"/>
              </w:rPr>
              <w:t>Net emissions in calendar year (kt CO</w:t>
            </w:r>
            <w:r w:rsidRPr="00256982">
              <w:rPr>
                <w:noProof w:val="0"/>
                <w:vertAlign w:val="subscript"/>
                <w:lang w:eastAsia="en-NZ"/>
              </w:rPr>
              <w:t>2</w:t>
            </w:r>
            <w:r w:rsidRPr="00256982">
              <w:rPr>
                <w:noProof w:val="0"/>
                <w:lang w:eastAsia="en-NZ"/>
              </w:rPr>
              <w:t>-e)</w:t>
            </w:r>
          </w:p>
        </w:tc>
        <w:tc>
          <w:tcPr>
            <w:tcW w:w="1020" w:type="dxa"/>
            <w:tcBorders>
              <w:top w:val="nil"/>
              <w:left w:val="nil"/>
              <w:bottom w:val="single" w:sz="8" w:space="0" w:color="44546A"/>
              <w:right w:val="nil"/>
            </w:tcBorders>
            <w:shd w:val="clear" w:color="auto" w:fill="auto"/>
            <w:hideMark/>
          </w:tcPr>
          <w:p w14:paraId="386B7E5C" w14:textId="77777777" w:rsidR="000E7C76" w:rsidRPr="00256982" w:rsidRDefault="000E7C76" w:rsidP="001D510C">
            <w:pPr>
              <w:pStyle w:val="TableTextBold"/>
              <w:spacing w:before="50" w:after="50"/>
              <w:jc w:val="right"/>
              <w:rPr>
                <w:rFonts w:cs="Arial"/>
                <w:noProof w:val="0"/>
                <w:szCs w:val="16"/>
                <w:lang w:eastAsia="en-NZ"/>
              </w:rPr>
            </w:pPr>
            <w:r w:rsidRPr="00256982">
              <w:rPr>
                <w:rFonts w:cs="Arial"/>
                <w:noProof w:val="0"/>
                <w:szCs w:val="16"/>
              </w:rPr>
              <w:t>–</w:t>
            </w:r>
            <w:r w:rsidRPr="00256982">
              <w:rPr>
                <w:noProof w:val="0"/>
              </w:rPr>
              <w:t>29,553.5</w:t>
            </w:r>
          </w:p>
        </w:tc>
        <w:tc>
          <w:tcPr>
            <w:tcW w:w="1020" w:type="dxa"/>
            <w:tcBorders>
              <w:top w:val="nil"/>
              <w:left w:val="nil"/>
              <w:bottom w:val="single" w:sz="8" w:space="0" w:color="44546A"/>
              <w:right w:val="nil"/>
            </w:tcBorders>
            <w:shd w:val="clear" w:color="auto" w:fill="auto"/>
            <w:hideMark/>
          </w:tcPr>
          <w:p w14:paraId="0EDB6BBD" w14:textId="77777777" w:rsidR="000E7C76" w:rsidRPr="00256982" w:rsidRDefault="000E7C76" w:rsidP="001D510C">
            <w:pPr>
              <w:pStyle w:val="TableTextBold"/>
              <w:spacing w:before="50" w:after="50"/>
              <w:jc w:val="right"/>
              <w:rPr>
                <w:rFonts w:cs="Arial"/>
                <w:noProof w:val="0"/>
                <w:szCs w:val="16"/>
                <w:lang w:eastAsia="en-NZ"/>
              </w:rPr>
            </w:pPr>
            <w:r w:rsidRPr="00256982">
              <w:rPr>
                <w:rFonts w:cs="Arial"/>
                <w:noProof w:val="0"/>
                <w:szCs w:val="16"/>
              </w:rPr>
              <w:t>–</w:t>
            </w:r>
            <w:r w:rsidRPr="00256982">
              <w:rPr>
                <w:noProof w:val="0"/>
              </w:rPr>
              <w:t>33,027.8</w:t>
            </w:r>
          </w:p>
        </w:tc>
        <w:tc>
          <w:tcPr>
            <w:tcW w:w="1020" w:type="dxa"/>
            <w:tcBorders>
              <w:top w:val="nil"/>
              <w:left w:val="nil"/>
              <w:bottom w:val="single" w:sz="8" w:space="0" w:color="44546A"/>
              <w:right w:val="nil"/>
            </w:tcBorders>
            <w:shd w:val="clear" w:color="auto" w:fill="auto"/>
            <w:hideMark/>
          </w:tcPr>
          <w:p w14:paraId="12C0DCBF" w14:textId="77777777" w:rsidR="000E7C76" w:rsidRPr="00256982" w:rsidRDefault="000E7C76" w:rsidP="001D510C">
            <w:pPr>
              <w:pStyle w:val="TableTextBold"/>
              <w:spacing w:before="50" w:after="50"/>
              <w:jc w:val="right"/>
              <w:rPr>
                <w:rFonts w:cs="Arial"/>
                <w:noProof w:val="0"/>
                <w:szCs w:val="16"/>
                <w:lang w:eastAsia="en-NZ"/>
              </w:rPr>
            </w:pPr>
            <w:r w:rsidRPr="00256982">
              <w:rPr>
                <w:rFonts w:cs="Arial"/>
                <w:noProof w:val="0"/>
                <w:szCs w:val="16"/>
              </w:rPr>
              <w:t>–</w:t>
            </w:r>
            <w:r w:rsidRPr="00256982">
              <w:rPr>
                <w:noProof w:val="0"/>
              </w:rPr>
              <w:t>32,185.7</w:t>
            </w:r>
          </w:p>
        </w:tc>
        <w:tc>
          <w:tcPr>
            <w:tcW w:w="1020" w:type="dxa"/>
            <w:tcBorders>
              <w:top w:val="nil"/>
              <w:left w:val="nil"/>
              <w:bottom w:val="single" w:sz="8" w:space="0" w:color="44546A"/>
              <w:right w:val="nil"/>
            </w:tcBorders>
            <w:shd w:val="clear" w:color="auto" w:fill="auto"/>
            <w:hideMark/>
          </w:tcPr>
          <w:p w14:paraId="0BE14FE0" w14:textId="77777777" w:rsidR="000E7C76" w:rsidRPr="00256982" w:rsidRDefault="000E7C76" w:rsidP="001D510C">
            <w:pPr>
              <w:pStyle w:val="TableTextBold"/>
              <w:spacing w:before="50" w:after="50"/>
              <w:jc w:val="right"/>
              <w:rPr>
                <w:rFonts w:cs="Arial"/>
                <w:noProof w:val="0"/>
                <w:szCs w:val="16"/>
                <w:lang w:eastAsia="en-NZ"/>
              </w:rPr>
            </w:pPr>
            <w:r w:rsidRPr="00256982">
              <w:rPr>
                <w:rFonts w:cs="Arial"/>
                <w:noProof w:val="0"/>
                <w:szCs w:val="16"/>
              </w:rPr>
              <w:t>–</w:t>
            </w:r>
            <w:r w:rsidRPr="00256982">
              <w:rPr>
                <w:noProof w:val="0"/>
              </w:rPr>
              <w:t>31,491.3</w:t>
            </w:r>
          </w:p>
        </w:tc>
        <w:tc>
          <w:tcPr>
            <w:tcW w:w="1020" w:type="dxa"/>
            <w:tcBorders>
              <w:top w:val="nil"/>
              <w:left w:val="nil"/>
              <w:bottom w:val="single" w:sz="8" w:space="0" w:color="44546A"/>
              <w:right w:val="nil"/>
            </w:tcBorders>
          </w:tcPr>
          <w:p w14:paraId="5DC1F899" w14:textId="77777777" w:rsidR="000E7C76" w:rsidRPr="00256982" w:rsidRDefault="000E7C76" w:rsidP="001D510C">
            <w:pPr>
              <w:pStyle w:val="TableTextBold"/>
              <w:spacing w:before="50" w:after="50"/>
              <w:jc w:val="right"/>
              <w:rPr>
                <w:rFonts w:cs="Arial"/>
                <w:noProof w:val="0"/>
                <w:szCs w:val="16"/>
              </w:rPr>
            </w:pPr>
            <w:r w:rsidRPr="00256982">
              <w:rPr>
                <w:rFonts w:cs="Arial"/>
                <w:noProof w:val="0"/>
                <w:szCs w:val="16"/>
              </w:rPr>
              <w:t>–</w:t>
            </w:r>
            <w:r w:rsidRPr="00256982">
              <w:rPr>
                <w:noProof w:val="0"/>
              </w:rPr>
              <w:t>30,506.9</w:t>
            </w:r>
          </w:p>
        </w:tc>
      </w:tr>
      <w:tr w:rsidR="000E7C76" w:rsidRPr="00256982" w14:paraId="5AF8D169" w14:textId="77777777" w:rsidTr="006A7B24">
        <w:tc>
          <w:tcPr>
            <w:tcW w:w="3918" w:type="dxa"/>
            <w:tcBorders>
              <w:top w:val="nil"/>
              <w:left w:val="nil"/>
              <w:bottom w:val="single" w:sz="8" w:space="0" w:color="44546A"/>
              <w:right w:val="nil"/>
            </w:tcBorders>
            <w:shd w:val="clear" w:color="auto" w:fill="auto"/>
            <w:vAlign w:val="center"/>
            <w:hideMark/>
          </w:tcPr>
          <w:p w14:paraId="23823BF2" w14:textId="77777777" w:rsidR="000E7C76" w:rsidRPr="00256982" w:rsidRDefault="000E7C76" w:rsidP="001D510C">
            <w:pPr>
              <w:pStyle w:val="Tableboldblue"/>
              <w:spacing w:before="50" w:after="50"/>
              <w:rPr>
                <w:lang w:eastAsia="en-NZ"/>
              </w:rPr>
            </w:pPr>
            <w:r w:rsidRPr="00256982">
              <w:rPr>
                <w:lang w:eastAsia="en-NZ"/>
              </w:rPr>
              <w:t>Accounting quantity (kt CO</w:t>
            </w:r>
            <w:r w:rsidRPr="00256982">
              <w:rPr>
                <w:vertAlign w:val="subscript"/>
                <w:lang w:eastAsia="en-NZ"/>
              </w:rPr>
              <w:t>2</w:t>
            </w:r>
            <w:r w:rsidRPr="00256982">
              <w:rPr>
                <w:lang w:eastAsia="en-NZ"/>
              </w:rPr>
              <w:t>-e)</w:t>
            </w:r>
          </w:p>
        </w:tc>
        <w:tc>
          <w:tcPr>
            <w:tcW w:w="1020" w:type="dxa"/>
            <w:tcBorders>
              <w:top w:val="nil"/>
              <w:left w:val="nil"/>
              <w:bottom w:val="single" w:sz="8" w:space="0" w:color="44546A"/>
              <w:right w:val="nil"/>
            </w:tcBorders>
            <w:shd w:val="clear" w:color="auto" w:fill="auto"/>
            <w:hideMark/>
          </w:tcPr>
          <w:p w14:paraId="564284F6" w14:textId="77777777" w:rsidR="000E7C76" w:rsidRPr="00256982" w:rsidRDefault="000E7C76" w:rsidP="001D510C">
            <w:pPr>
              <w:pStyle w:val="Tableboldblue"/>
              <w:spacing w:before="50" w:after="50"/>
              <w:jc w:val="right"/>
              <w:rPr>
                <w:rFonts w:cs="Arial"/>
                <w:szCs w:val="16"/>
                <w:lang w:eastAsia="en-NZ"/>
              </w:rPr>
            </w:pPr>
            <w:r w:rsidRPr="00256982">
              <w:rPr>
                <w:rFonts w:cs="Arial"/>
                <w:szCs w:val="16"/>
              </w:rPr>
              <w:t>–</w:t>
            </w:r>
            <w:r w:rsidRPr="00256982">
              <w:t>7,294.8</w:t>
            </w:r>
          </w:p>
        </w:tc>
        <w:tc>
          <w:tcPr>
            <w:tcW w:w="1020" w:type="dxa"/>
            <w:tcBorders>
              <w:top w:val="nil"/>
              <w:left w:val="nil"/>
              <w:bottom w:val="single" w:sz="8" w:space="0" w:color="44546A"/>
              <w:right w:val="nil"/>
            </w:tcBorders>
            <w:shd w:val="clear" w:color="auto" w:fill="auto"/>
            <w:hideMark/>
          </w:tcPr>
          <w:p w14:paraId="50F3A73C" w14:textId="77777777" w:rsidR="000E7C76" w:rsidRPr="00256982" w:rsidRDefault="000E7C76" w:rsidP="001D510C">
            <w:pPr>
              <w:pStyle w:val="Tableboldblue"/>
              <w:spacing w:before="50" w:after="50"/>
              <w:jc w:val="right"/>
              <w:rPr>
                <w:rFonts w:cs="Arial"/>
                <w:szCs w:val="16"/>
                <w:lang w:eastAsia="en-NZ"/>
              </w:rPr>
            </w:pPr>
            <w:r w:rsidRPr="00256982">
              <w:rPr>
                <w:rFonts w:cs="Arial"/>
                <w:szCs w:val="16"/>
              </w:rPr>
              <w:t>–</w:t>
            </w:r>
            <w:r w:rsidRPr="00256982">
              <w:t>12,475.6</w:t>
            </w:r>
          </w:p>
        </w:tc>
        <w:tc>
          <w:tcPr>
            <w:tcW w:w="1020" w:type="dxa"/>
            <w:tcBorders>
              <w:top w:val="nil"/>
              <w:left w:val="nil"/>
              <w:bottom w:val="single" w:sz="8" w:space="0" w:color="44546A"/>
              <w:right w:val="nil"/>
            </w:tcBorders>
            <w:shd w:val="clear" w:color="auto" w:fill="auto"/>
            <w:hideMark/>
          </w:tcPr>
          <w:p w14:paraId="2E6388C8" w14:textId="77777777" w:rsidR="000E7C76" w:rsidRPr="00256982" w:rsidRDefault="000E7C76" w:rsidP="001D510C">
            <w:pPr>
              <w:pStyle w:val="Tableboldblue"/>
              <w:spacing w:before="50" w:after="50"/>
              <w:jc w:val="right"/>
              <w:rPr>
                <w:rFonts w:cs="Arial"/>
                <w:szCs w:val="16"/>
                <w:lang w:eastAsia="en-NZ"/>
              </w:rPr>
            </w:pPr>
            <w:r w:rsidRPr="00256982">
              <w:rPr>
                <w:rFonts w:cs="Arial"/>
                <w:szCs w:val="16"/>
              </w:rPr>
              <w:t>–</w:t>
            </w:r>
            <w:r w:rsidRPr="00256982">
              <w:t>13,853.9</w:t>
            </w:r>
          </w:p>
        </w:tc>
        <w:tc>
          <w:tcPr>
            <w:tcW w:w="1020" w:type="dxa"/>
            <w:tcBorders>
              <w:top w:val="nil"/>
              <w:left w:val="nil"/>
              <w:bottom w:val="single" w:sz="8" w:space="0" w:color="44546A"/>
              <w:right w:val="nil"/>
            </w:tcBorders>
            <w:shd w:val="clear" w:color="auto" w:fill="auto"/>
            <w:hideMark/>
          </w:tcPr>
          <w:p w14:paraId="3B832E48" w14:textId="77777777" w:rsidR="000E7C76" w:rsidRPr="00256982" w:rsidRDefault="000E7C76" w:rsidP="001D510C">
            <w:pPr>
              <w:pStyle w:val="Tableboldblue"/>
              <w:spacing w:before="50" w:after="50"/>
              <w:jc w:val="right"/>
              <w:rPr>
                <w:rFonts w:cs="Arial"/>
                <w:szCs w:val="16"/>
                <w:lang w:eastAsia="en-NZ"/>
              </w:rPr>
            </w:pPr>
            <w:r w:rsidRPr="00256982">
              <w:rPr>
                <w:rFonts w:cs="Arial"/>
                <w:szCs w:val="16"/>
              </w:rPr>
              <w:t>–</w:t>
            </w:r>
            <w:r w:rsidRPr="00256982">
              <w:t>15,759.9</w:t>
            </w:r>
          </w:p>
        </w:tc>
        <w:tc>
          <w:tcPr>
            <w:tcW w:w="1020" w:type="dxa"/>
            <w:tcBorders>
              <w:top w:val="nil"/>
              <w:left w:val="nil"/>
              <w:bottom w:val="single" w:sz="8" w:space="0" w:color="44546A"/>
              <w:right w:val="nil"/>
            </w:tcBorders>
          </w:tcPr>
          <w:p w14:paraId="329360E4" w14:textId="77777777" w:rsidR="000E7C76" w:rsidRPr="00256982" w:rsidRDefault="000E7C76" w:rsidP="001D510C">
            <w:pPr>
              <w:pStyle w:val="Tableboldblue"/>
              <w:spacing w:before="50" w:after="50"/>
              <w:jc w:val="right"/>
              <w:rPr>
                <w:rFonts w:cs="Arial"/>
                <w:szCs w:val="16"/>
              </w:rPr>
            </w:pPr>
            <w:r w:rsidRPr="00256982">
              <w:rPr>
                <w:rFonts w:cs="Arial"/>
                <w:szCs w:val="16"/>
              </w:rPr>
              <w:t>–</w:t>
            </w:r>
            <w:r w:rsidRPr="00256982">
              <w:t>15,953.0</w:t>
            </w:r>
          </w:p>
        </w:tc>
      </w:tr>
    </w:tbl>
    <w:p w14:paraId="16868708" w14:textId="68EA529D" w:rsidR="000E7C76" w:rsidRPr="00256982" w:rsidRDefault="000E7C76" w:rsidP="000E7C76">
      <w:pPr>
        <w:pStyle w:val="Noteundertable"/>
        <w:rPr>
          <w:szCs w:val="18"/>
        </w:rPr>
      </w:pPr>
      <w:r w:rsidRPr="00256982">
        <w:rPr>
          <w:b/>
          <w:szCs w:val="18"/>
        </w:rPr>
        <w:t>Note:</w:t>
      </w:r>
      <w:r w:rsidRPr="00256982">
        <w:rPr>
          <w:szCs w:val="18"/>
        </w:rPr>
        <w:t xml:space="preserve"> </w:t>
      </w:r>
      <w:r w:rsidRPr="00256982">
        <w:rPr>
          <w:szCs w:val="18"/>
        </w:rPr>
        <w:tab/>
        <w:t xml:space="preserve">Where net emissions result in removals, they are expressed as a negative value as per section 2.2.3 of the IPCC Guidelines (IPCC, 2006a). The accounting quantity excludes net emissions from forest management because these will be accounted for at the end of the commitment period against a forest management reference level and a cap will apply to limit credits; further information on these is included later in the chapter. Columns may not total due to rounding. </w:t>
      </w:r>
      <w:r w:rsidRPr="00256982">
        <w:t>ha</w:t>
      </w:r>
      <w:r w:rsidR="001D510C" w:rsidRPr="00256982">
        <w:t> </w:t>
      </w:r>
      <w:r w:rsidRPr="00256982">
        <w:t>=</w:t>
      </w:r>
      <w:r w:rsidR="001D510C" w:rsidRPr="00256982">
        <w:t> </w:t>
      </w:r>
      <w:r w:rsidRPr="00256982">
        <w:t>hectares; P = provisional figure (all figures for 2017 are provisional). Afforestation and deforestation differs from that in chapter 6 due to carbon equivalent forests being reported separately.</w:t>
      </w:r>
    </w:p>
    <w:p w14:paraId="41F7083C" w14:textId="77777777" w:rsidR="000E7C76" w:rsidRPr="00256982" w:rsidRDefault="000E7C76" w:rsidP="000E7C76">
      <w:pPr>
        <w:pStyle w:val="Heading5"/>
      </w:pPr>
      <w:r w:rsidRPr="00256982">
        <w:t>1990–2017</w:t>
      </w:r>
    </w:p>
    <w:p w14:paraId="3D03C6D4" w14:textId="097C20FF" w:rsidR="000E7C76" w:rsidRPr="00256982" w:rsidRDefault="000E7C76" w:rsidP="00C7311A">
      <w:pPr>
        <w:pStyle w:val="BodyText"/>
        <w:spacing w:after="100"/>
      </w:pPr>
      <w:r w:rsidRPr="00256982">
        <w:t xml:space="preserve">Between 1 January 1990 and 31 December 2017, 710,432 hectares of new forest (post-1989 forest) were established as a result of afforestation and reforestation activities – an average of 25,373 hectares per year. During 2017, an estimated 4,979 hectares of new forest were planted, slightly more than the area planted in 2016 (2,958 hectares) (table 11.1.1). </w:t>
      </w:r>
    </w:p>
    <w:p w14:paraId="54EF9578" w14:textId="77777777" w:rsidR="000E7C76" w:rsidRPr="00256982" w:rsidRDefault="000E7C76" w:rsidP="00C7311A">
      <w:pPr>
        <w:pStyle w:val="BodyText"/>
        <w:spacing w:after="100"/>
      </w:pPr>
      <w:r w:rsidRPr="00256982">
        <w:t xml:space="preserve">Deforestation of all subcategories of </w:t>
      </w:r>
      <w:r w:rsidRPr="00256982">
        <w:rPr>
          <w:i/>
        </w:rPr>
        <w:t>Forest land</w:t>
      </w:r>
      <w:r w:rsidRPr="00256982">
        <w:t xml:space="preserve"> (post-1989, pre-1990 planted and pre-1990 natural forest) during 2017 was estimated at </w:t>
      </w:r>
      <w:r w:rsidRPr="00256982">
        <w:rPr>
          <w:rFonts w:cs="Arial"/>
        </w:rPr>
        <w:t>2,947</w:t>
      </w:r>
      <w:r w:rsidRPr="00256982">
        <w:t xml:space="preserve"> hectares. Since 1990, the area of deforestation of all subcategories of </w:t>
      </w:r>
      <w:r w:rsidRPr="00256982">
        <w:rPr>
          <w:i/>
        </w:rPr>
        <w:t>Forest land</w:t>
      </w:r>
      <w:r w:rsidRPr="00256982">
        <w:t xml:space="preserve"> is estimated as 200,161 hectares. </w:t>
      </w:r>
    </w:p>
    <w:p w14:paraId="0646105D" w14:textId="77777777" w:rsidR="000E7C76" w:rsidRPr="00256982" w:rsidRDefault="000E7C76" w:rsidP="00C7311A">
      <w:pPr>
        <w:pStyle w:val="BodyText"/>
        <w:spacing w:after="100"/>
      </w:pPr>
      <w:r w:rsidRPr="00256982">
        <w:t xml:space="preserve">The carbon equivalent forest provision creates a misalignment for the afforestation and deforestation area reported under the Kyoto Protocol and the United Nations Framework Convention on Climate Change (UNFCCC) sections of the inventory. The carbon equivalent forest provision is not recognised under the UNFCCC and is reported as </w:t>
      </w:r>
      <w:r w:rsidRPr="00256982">
        <w:rPr>
          <w:i/>
        </w:rPr>
        <w:t>Land converted to forest land</w:t>
      </w:r>
      <w:r w:rsidRPr="00256982">
        <w:t xml:space="preserve"> (afforestation) and </w:t>
      </w:r>
      <w:r w:rsidRPr="00256982">
        <w:rPr>
          <w:i/>
        </w:rPr>
        <w:t>Forest land converted to other land uses</w:t>
      </w:r>
      <w:r w:rsidRPr="00256982">
        <w:t xml:space="preserve"> (deforestation). </w:t>
      </w:r>
    </w:p>
    <w:p w14:paraId="48EE6540" w14:textId="77777777" w:rsidR="000E7C76" w:rsidRPr="00256982" w:rsidRDefault="000E7C76" w:rsidP="00C7311A">
      <w:pPr>
        <w:pStyle w:val="BodyText"/>
        <w:spacing w:after="100"/>
      </w:pPr>
      <w:r w:rsidRPr="00256982">
        <w:t xml:space="preserve">Between 1 January 1990 and 31 December 2017, the net area under </w:t>
      </w:r>
      <w:r w:rsidRPr="00256982">
        <w:rPr>
          <w:i/>
        </w:rPr>
        <w:t>Forest management</w:t>
      </w:r>
      <w:r w:rsidRPr="00256982">
        <w:t xml:space="preserve"> decreased by 165,553 hectares, or 1.8 per cent, due to deforestation activities less the addition of 2,354 hectares due to the application of the carbon equivalent forest provision. During this time, 169,815 hectares of land transferred from Article 3.4 – </w:t>
      </w:r>
      <w:r w:rsidRPr="00256982">
        <w:rPr>
          <w:i/>
        </w:rPr>
        <w:t>Forest management</w:t>
      </w:r>
      <w:r w:rsidRPr="00256982">
        <w:t xml:space="preserve"> reporting to Article 3.3 – </w:t>
      </w:r>
      <w:r w:rsidRPr="00256982">
        <w:rPr>
          <w:i/>
        </w:rPr>
        <w:t>Deforestation</w:t>
      </w:r>
      <w:r w:rsidRPr="00256982">
        <w:t xml:space="preserve"> reporting and 2,354 hectares of non-forest land were added to Article 3.4 – </w:t>
      </w:r>
      <w:r w:rsidRPr="00256982">
        <w:rPr>
          <w:i/>
        </w:rPr>
        <w:t>Forest management</w:t>
      </w:r>
      <w:r w:rsidRPr="00256982">
        <w:t xml:space="preserve"> under the Kyoto Protocol as a result of applying the carbon equivalent forest provision (Kyoto Protocol Supplement, IPCC, 2014a, section 2.7.2). </w:t>
      </w:r>
      <w:bookmarkStart w:id="2613" w:name="_Toc280630500"/>
      <w:bookmarkStart w:id="2614" w:name="_Toc318362760"/>
    </w:p>
    <w:p w14:paraId="7CAF1B31" w14:textId="77777777" w:rsidR="000E7C76" w:rsidRPr="00256982" w:rsidRDefault="000E7C76" w:rsidP="000E7C76">
      <w:pPr>
        <w:pStyle w:val="Heading5"/>
      </w:pPr>
      <w:bookmarkStart w:id="2615" w:name="_Toc261513280"/>
      <w:bookmarkStart w:id="2616" w:name="_Toc261513893"/>
      <w:bookmarkStart w:id="2617" w:name="_Toc280630383"/>
      <w:bookmarkStart w:id="2618" w:name="_Toc377043715"/>
      <w:bookmarkEnd w:id="2613"/>
      <w:bookmarkEnd w:id="2614"/>
      <w:r w:rsidRPr="00256982">
        <w:t>New Zealand’s Article 3.3 and Article 3.4 emissions by source for the second commitment period</w:t>
      </w:r>
    </w:p>
    <w:p w14:paraId="64B329EC" w14:textId="77777777" w:rsidR="000E7C76" w:rsidRPr="00256982" w:rsidRDefault="000E7C76" w:rsidP="000E7C76">
      <w:pPr>
        <w:pStyle w:val="BodyText"/>
      </w:pPr>
      <w:r w:rsidRPr="00256982">
        <w:t xml:space="preserve">Table 11.1.2 provides a breakdown of New Zealand’s emissions under the Kyoto Protocol by greenhouse gas source category for the first five years of the second commitment period. </w:t>
      </w:r>
    </w:p>
    <w:p w14:paraId="485C3E24" w14:textId="77777777" w:rsidR="000E7C76" w:rsidRPr="00256982" w:rsidRDefault="000E7C76" w:rsidP="000E7C76">
      <w:pPr>
        <w:pStyle w:val="Table"/>
      </w:pPr>
      <w:bookmarkStart w:id="2619" w:name="_Toc456179104"/>
      <w:bookmarkStart w:id="2620" w:name="_Toc481751630"/>
      <w:bookmarkStart w:id="2621" w:name="_Toc522010655"/>
      <w:bookmarkStart w:id="2622" w:name="_Toc5269625"/>
      <w:r w:rsidRPr="00256982">
        <w:t>Table 11.1.2</w:t>
      </w:r>
      <w:r w:rsidRPr="00256982">
        <w:tab/>
        <w:t>New Zealand’s emissions for the second commitment period of the Kyoto Protocol</w:t>
      </w:r>
      <w:r w:rsidRPr="00256982">
        <w:br/>
        <w:t>by greenhouse gas source category</w:t>
      </w:r>
      <w:bookmarkEnd w:id="2619"/>
      <w:bookmarkEnd w:id="2620"/>
      <w:bookmarkEnd w:id="2621"/>
      <w:bookmarkEnd w:id="2622"/>
    </w:p>
    <w:tbl>
      <w:tblPr>
        <w:tblW w:w="8505" w:type="dxa"/>
        <w:tblInd w:w="108" w:type="dxa"/>
        <w:tblBorders>
          <w:top w:val="single" w:sz="4" w:space="0" w:color="2E74B5"/>
          <w:bottom w:val="single" w:sz="4" w:space="0" w:color="2E74B5"/>
          <w:insideH w:val="single" w:sz="4" w:space="0" w:color="2E74B5"/>
        </w:tblBorders>
        <w:tblLook w:val="04A0" w:firstRow="1" w:lastRow="0" w:firstColumn="1" w:lastColumn="0" w:noHBand="0" w:noVBand="1"/>
      </w:tblPr>
      <w:tblGrid>
        <w:gridCol w:w="3973"/>
        <w:gridCol w:w="1359"/>
        <w:gridCol w:w="1606"/>
        <w:gridCol w:w="1567"/>
      </w:tblGrid>
      <w:tr w:rsidR="000E7C76" w:rsidRPr="00256982" w14:paraId="6D01FD4F" w14:textId="77777777" w:rsidTr="000E7C76">
        <w:trPr>
          <w:tblHeader/>
        </w:trPr>
        <w:tc>
          <w:tcPr>
            <w:tcW w:w="2336" w:type="pct"/>
            <w:vMerge w:val="restart"/>
            <w:tcBorders>
              <w:top w:val="single" w:sz="4" w:space="0" w:color="365F91"/>
              <w:bottom w:val="nil"/>
            </w:tcBorders>
            <w:shd w:val="clear" w:color="auto" w:fill="365F91"/>
            <w:vAlign w:val="bottom"/>
          </w:tcPr>
          <w:p w14:paraId="15C8CB24" w14:textId="77777777" w:rsidR="000E7C76" w:rsidRPr="00256982" w:rsidRDefault="000E7C76" w:rsidP="000E7C76">
            <w:pPr>
              <w:pStyle w:val="TableTextBold"/>
              <w:rPr>
                <w:bCs/>
                <w:noProof w:val="0"/>
                <w:color w:val="FFFFFF"/>
              </w:rPr>
            </w:pPr>
            <w:r w:rsidRPr="00256982">
              <w:rPr>
                <w:bCs/>
                <w:noProof w:val="0"/>
                <w:color w:val="FFFFFF"/>
              </w:rPr>
              <w:t>Greenhouse gas source category</w:t>
            </w:r>
          </w:p>
        </w:tc>
        <w:tc>
          <w:tcPr>
            <w:tcW w:w="2664" w:type="pct"/>
            <w:gridSpan w:val="3"/>
            <w:tcBorders>
              <w:top w:val="single" w:sz="4" w:space="0" w:color="365F91"/>
              <w:bottom w:val="nil"/>
            </w:tcBorders>
            <w:shd w:val="clear" w:color="auto" w:fill="365F91"/>
            <w:vAlign w:val="bottom"/>
          </w:tcPr>
          <w:p w14:paraId="5325D24F" w14:textId="77777777" w:rsidR="000E7C76" w:rsidRPr="00256982" w:rsidRDefault="000E7C76" w:rsidP="000E7C76">
            <w:pPr>
              <w:pStyle w:val="TableTextBold"/>
              <w:spacing w:after="0"/>
              <w:jc w:val="center"/>
              <w:rPr>
                <w:bCs/>
                <w:noProof w:val="0"/>
                <w:color w:val="FFFFFF"/>
              </w:rPr>
            </w:pPr>
            <w:r w:rsidRPr="00256982">
              <w:rPr>
                <w:bCs/>
                <w:noProof w:val="0"/>
                <w:color w:val="FFFFFF"/>
              </w:rPr>
              <w:t>Net emissions for 2013–17 (kt)</w:t>
            </w:r>
          </w:p>
        </w:tc>
      </w:tr>
      <w:tr w:rsidR="000E7C76" w:rsidRPr="00256982" w14:paraId="0C3621C0" w14:textId="77777777" w:rsidTr="000E7C76">
        <w:tc>
          <w:tcPr>
            <w:tcW w:w="2336" w:type="pct"/>
            <w:vMerge/>
            <w:tcBorders>
              <w:top w:val="nil"/>
              <w:left w:val="nil"/>
              <w:bottom w:val="single" w:sz="4" w:space="0" w:color="365F91"/>
            </w:tcBorders>
            <w:shd w:val="clear" w:color="auto" w:fill="365F91"/>
            <w:vAlign w:val="bottom"/>
          </w:tcPr>
          <w:p w14:paraId="005FAD06" w14:textId="77777777" w:rsidR="000E7C76" w:rsidRPr="00256982" w:rsidRDefault="000E7C76" w:rsidP="000E7C76">
            <w:pPr>
              <w:pStyle w:val="TableTextBold"/>
              <w:rPr>
                <w:b w:val="0"/>
                <w:bCs/>
                <w:noProof w:val="0"/>
              </w:rPr>
            </w:pPr>
          </w:p>
        </w:tc>
        <w:tc>
          <w:tcPr>
            <w:tcW w:w="799" w:type="pct"/>
            <w:tcBorders>
              <w:top w:val="nil"/>
              <w:bottom w:val="single" w:sz="4" w:space="0" w:color="365F91"/>
            </w:tcBorders>
            <w:shd w:val="clear" w:color="auto" w:fill="365F91"/>
            <w:vAlign w:val="bottom"/>
          </w:tcPr>
          <w:p w14:paraId="717D7341" w14:textId="77777777" w:rsidR="000E7C76" w:rsidRPr="00256982" w:rsidRDefault="000E7C76" w:rsidP="000E7C76">
            <w:pPr>
              <w:pStyle w:val="TableTextBold"/>
              <w:jc w:val="center"/>
              <w:rPr>
                <w:noProof w:val="0"/>
                <w:color w:val="FFFFFF"/>
              </w:rPr>
            </w:pPr>
            <w:r w:rsidRPr="00256982">
              <w:rPr>
                <w:noProof w:val="0"/>
                <w:color w:val="FFFFFF"/>
              </w:rPr>
              <w:t>Source form</w:t>
            </w:r>
          </w:p>
        </w:tc>
        <w:tc>
          <w:tcPr>
            <w:tcW w:w="944" w:type="pct"/>
            <w:tcBorders>
              <w:top w:val="nil"/>
              <w:bottom w:val="single" w:sz="4" w:space="0" w:color="365F91"/>
            </w:tcBorders>
            <w:shd w:val="clear" w:color="auto" w:fill="365F91"/>
            <w:vAlign w:val="bottom"/>
          </w:tcPr>
          <w:p w14:paraId="74BB67AB" w14:textId="77777777" w:rsidR="000E7C76" w:rsidRPr="00256982" w:rsidRDefault="000E7C76" w:rsidP="000E7C76">
            <w:pPr>
              <w:pStyle w:val="TableTextBold"/>
              <w:jc w:val="center"/>
              <w:rPr>
                <w:noProof w:val="0"/>
                <w:color w:val="FFFFFF"/>
              </w:rPr>
            </w:pPr>
            <w:r w:rsidRPr="00256982">
              <w:rPr>
                <w:noProof w:val="0"/>
                <w:color w:val="FFFFFF"/>
              </w:rPr>
              <w:t>Source emission</w:t>
            </w:r>
          </w:p>
        </w:tc>
        <w:tc>
          <w:tcPr>
            <w:tcW w:w="921" w:type="pct"/>
            <w:tcBorders>
              <w:top w:val="nil"/>
              <w:bottom w:val="single" w:sz="4" w:space="0" w:color="365F91"/>
              <w:right w:val="nil"/>
            </w:tcBorders>
            <w:shd w:val="clear" w:color="auto" w:fill="365F91"/>
            <w:vAlign w:val="bottom"/>
          </w:tcPr>
          <w:p w14:paraId="5484F84A" w14:textId="77777777" w:rsidR="000E7C76" w:rsidRPr="00256982" w:rsidRDefault="000E7C76" w:rsidP="000E7C76">
            <w:pPr>
              <w:pStyle w:val="TableTextBold"/>
              <w:jc w:val="center"/>
              <w:rPr>
                <w:noProof w:val="0"/>
                <w:color w:val="FFFFFF"/>
              </w:rPr>
            </w:pPr>
            <w:r w:rsidRPr="00256982">
              <w:rPr>
                <w:noProof w:val="0"/>
                <w:color w:val="FFFFFF"/>
              </w:rPr>
              <w:t>CO</w:t>
            </w:r>
            <w:r w:rsidRPr="00256982">
              <w:rPr>
                <w:noProof w:val="0"/>
                <w:color w:val="FFFFFF"/>
                <w:vertAlign w:val="subscript"/>
              </w:rPr>
              <w:t>2</w:t>
            </w:r>
            <w:r w:rsidRPr="00256982">
              <w:rPr>
                <w:noProof w:val="0"/>
                <w:color w:val="FFFFFF"/>
              </w:rPr>
              <w:t>-equivalent</w:t>
            </w:r>
          </w:p>
        </w:tc>
      </w:tr>
      <w:tr w:rsidR="000E7C76" w:rsidRPr="00256982" w14:paraId="35F32F1A" w14:textId="77777777" w:rsidTr="000E7C76">
        <w:tc>
          <w:tcPr>
            <w:tcW w:w="2336" w:type="pct"/>
            <w:tcBorders>
              <w:top w:val="single" w:sz="4" w:space="0" w:color="365F91"/>
              <w:bottom w:val="single" w:sz="4" w:space="0" w:color="365F91"/>
            </w:tcBorders>
            <w:shd w:val="clear" w:color="auto" w:fill="auto"/>
            <w:vAlign w:val="center"/>
          </w:tcPr>
          <w:p w14:paraId="13B987B0" w14:textId="77777777" w:rsidR="000E7C76" w:rsidRPr="00256982" w:rsidRDefault="000E7C76" w:rsidP="000E7C76">
            <w:pPr>
              <w:pStyle w:val="TableText"/>
              <w:spacing w:before="50" w:after="50"/>
              <w:rPr>
                <w:bCs/>
                <w:szCs w:val="22"/>
              </w:rPr>
            </w:pPr>
            <w:r w:rsidRPr="00256982">
              <w:rPr>
                <w:bCs/>
                <w:szCs w:val="22"/>
              </w:rPr>
              <w:t>Emissions from afforestation and reforestation</w:t>
            </w:r>
          </w:p>
        </w:tc>
        <w:tc>
          <w:tcPr>
            <w:tcW w:w="799" w:type="pct"/>
            <w:tcBorders>
              <w:top w:val="single" w:sz="4" w:space="0" w:color="365F91"/>
              <w:bottom w:val="single" w:sz="4" w:space="0" w:color="365F91"/>
            </w:tcBorders>
            <w:shd w:val="clear" w:color="auto" w:fill="auto"/>
            <w:vAlign w:val="center"/>
          </w:tcPr>
          <w:p w14:paraId="4F97229C" w14:textId="77777777" w:rsidR="000E7C76" w:rsidRPr="00256982" w:rsidRDefault="000E7C76" w:rsidP="000E7C76">
            <w:pPr>
              <w:pStyle w:val="TableText"/>
              <w:spacing w:before="50" w:after="50"/>
              <w:jc w:val="center"/>
              <w:rPr>
                <w:szCs w:val="22"/>
              </w:rPr>
            </w:pPr>
            <w:r w:rsidRPr="00256982">
              <w:rPr>
                <w:szCs w:val="22"/>
              </w:rPr>
              <w:t>CO</w:t>
            </w:r>
            <w:r w:rsidRPr="00256982">
              <w:rPr>
                <w:szCs w:val="22"/>
                <w:vertAlign w:val="subscript"/>
              </w:rPr>
              <w:t>2</w:t>
            </w:r>
          </w:p>
        </w:tc>
        <w:tc>
          <w:tcPr>
            <w:tcW w:w="944" w:type="pct"/>
            <w:tcBorders>
              <w:top w:val="single" w:sz="4" w:space="0" w:color="365F91"/>
              <w:bottom w:val="single" w:sz="4" w:space="0" w:color="365F91"/>
            </w:tcBorders>
            <w:shd w:val="clear" w:color="auto" w:fill="auto"/>
            <w:vAlign w:val="center"/>
          </w:tcPr>
          <w:p w14:paraId="741792EF" w14:textId="77777777" w:rsidR="000E7C76" w:rsidRPr="00256982" w:rsidRDefault="000E7C76" w:rsidP="000E7C76">
            <w:pPr>
              <w:pStyle w:val="TableText"/>
              <w:spacing w:before="50" w:after="50"/>
              <w:jc w:val="right"/>
              <w:rPr>
                <w:szCs w:val="22"/>
              </w:rPr>
            </w:pPr>
            <w:r w:rsidRPr="00256982">
              <w:rPr>
                <w:rFonts w:cs="Arial"/>
                <w:color w:val="000000"/>
                <w:szCs w:val="16"/>
              </w:rPr>
              <w:t>–88,606.3</w:t>
            </w:r>
          </w:p>
        </w:tc>
        <w:tc>
          <w:tcPr>
            <w:tcW w:w="921" w:type="pct"/>
            <w:tcBorders>
              <w:top w:val="single" w:sz="4" w:space="0" w:color="365F91"/>
              <w:bottom w:val="single" w:sz="4" w:space="0" w:color="365F91"/>
            </w:tcBorders>
            <w:shd w:val="clear" w:color="auto" w:fill="auto"/>
            <w:vAlign w:val="center"/>
          </w:tcPr>
          <w:p w14:paraId="476CD9FA" w14:textId="77777777" w:rsidR="000E7C76" w:rsidRPr="00256982" w:rsidRDefault="000E7C76" w:rsidP="000E7C76">
            <w:pPr>
              <w:pStyle w:val="TableText"/>
              <w:spacing w:before="50" w:after="50"/>
              <w:jc w:val="right"/>
              <w:rPr>
                <w:szCs w:val="22"/>
              </w:rPr>
            </w:pPr>
            <w:r w:rsidRPr="00256982">
              <w:rPr>
                <w:rFonts w:cs="Arial"/>
                <w:color w:val="000000"/>
                <w:szCs w:val="16"/>
              </w:rPr>
              <w:t>–88,606.3</w:t>
            </w:r>
          </w:p>
        </w:tc>
      </w:tr>
      <w:tr w:rsidR="000E7C76" w:rsidRPr="00256982" w14:paraId="0350DCC1" w14:textId="77777777" w:rsidTr="000E7C76">
        <w:tc>
          <w:tcPr>
            <w:tcW w:w="2336" w:type="pct"/>
            <w:tcBorders>
              <w:top w:val="single" w:sz="4" w:space="0" w:color="365F91"/>
              <w:bottom w:val="single" w:sz="4" w:space="0" w:color="365F91"/>
            </w:tcBorders>
            <w:shd w:val="clear" w:color="auto" w:fill="auto"/>
            <w:vAlign w:val="center"/>
          </w:tcPr>
          <w:p w14:paraId="4D62C5C5" w14:textId="77777777" w:rsidR="000E7C76" w:rsidRPr="00256982" w:rsidRDefault="000E7C76" w:rsidP="000E7C76">
            <w:pPr>
              <w:pStyle w:val="TableText"/>
              <w:spacing w:before="50" w:after="50"/>
              <w:rPr>
                <w:bCs/>
                <w:szCs w:val="22"/>
              </w:rPr>
            </w:pPr>
            <w:r w:rsidRPr="00256982">
              <w:rPr>
                <w:bCs/>
                <w:szCs w:val="22"/>
              </w:rPr>
              <w:t>Emissions from deforestation</w:t>
            </w:r>
          </w:p>
        </w:tc>
        <w:tc>
          <w:tcPr>
            <w:tcW w:w="799" w:type="pct"/>
            <w:tcBorders>
              <w:top w:val="single" w:sz="4" w:space="0" w:color="365F91"/>
              <w:bottom w:val="single" w:sz="4" w:space="0" w:color="365F91"/>
            </w:tcBorders>
            <w:shd w:val="clear" w:color="auto" w:fill="auto"/>
            <w:vAlign w:val="center"/>
          </w:tcPr>
          <w:p w14:paraId="614A01C9" w14:textId="77777777" w:rsidR="000E7C76" w:rsidRPr="00256982" w:rsidRDefault="000E7C76" w:rsidP="000E7C76">
            <w:pPr>
              <w:pStyle w:val="TableText"/>
              <w:spacing w:before="50" w:after="50"/>
              <w:jc w:val="center"/>
              <w:rPr>
                <w:szCs w:val="22"/>
              </w:rPr>
            </w:pPr>
            <w:r w:rsidRPr="00256982">
              <w:rPr>
                <w:szCs w:val="22"/>
              </w:rPr>
              <w:t>CO</w:t>
            </w:r>
            <w:r w:rsidRPr="00256982">
              <w:rPr>
                <w:szCs w:val="22"/>
                <w:vertAlign w:val="subscript"/>
              </w:rPr>
              <w:t>2</w:t>
            </w:r>
          </w:p>
        </w:tc>
        <w:tc>
          <w:tcPr>
            <w:tcW w:w="944" w:type="pct"/>
            <w:tcBorders>
              <w:top w:val="single" w:sz="4" w:space="0" w:color="365F91"/>
              <w:bottom w:val="single" w:sz="4" w:space="0" w:color="365F91"/>
            </w:tcBorders>
            <w:shd w:val="clear" w:color="auto" w:fill="auto"/>
            <w:vAlign w:val="center"/>
          </w:tcPr>
          <w:p w14:paraId="6F337972" w14:textId="77777777" w:rsidR="000E7C76" w:rsidRPr="00256982" w:rsidRDefault="000E7C76" w:rsidP="000E7C76">
            <w:pPr>
              <w:pStyle w:val="TableText"/>
              <w:spacing w:before="50" w:after="50"/>
              <w:jc w:val="right"/>
              <w:rPr>
                <w:szCs w:val="22"/>
              </w:rPr>
            </w:pPr>
            <w:r w:rsidRPr="00256982">
              <w:rPr>
                <w:rFonts w:cs="Arial"/>
                <w:color w:val="000000"/>
                <w:szCs w:val="16"/>
              </w:rPr>
              <w:t>22,689.0</w:t>
            </w:r>
          </w:p>
        </w:tc>
        <w:tc>
          <w:tcPr>
            <w:tcW w:w="921" w:type="pct"/>
            <w:tcBorders>
              <w:top w:val="single" w:sz="4" w:space="0" w:color="365F91"/>
              <w:bottom w:val="single" w:sz="4" w:space="0" w:color="365F91"/>
            </w:tcBorders>
            <w:shd w:val="clear" w:color="auto" w:fill="auto"/>
            <w:vAlign w:val="center"/>
          </w:tcPr>
          <w:p w14:paraId="24C70D2A" w14:textId="77777777" w:rsidR="000E7C76" w:rsidRPr="00256982" w:rsidRDefault="000E7C76" w:rsidP="000E7C76">
            <w:pPr>
              <w:pStyle w:val="TableText"/>
              <w:spacing w:before="50" w:after="50"/>
              <w:jc w:val="right"/>
              <w:rPr>
                <w:szCs w:val="22"/>
              </w:rPr>
            </w:pPr>
            <w:r w:rsidRPr="00256982">
              <w:rPr>
                <w:rFonts w:cs="Arial"/>
                <w:color w:val="000000"/>
                <w:szCs w:val="16"/>
              </w:rPr>
              <w:t>22,689.0</w:t>
            </w:r>
          </w:p>
        </w:tc>
      </w:tr>
      <w:tr w:rsidR="000E7C76" w:rsidRPr="00256982" w14:paraId="47923644" w14:textId="77777777" w:rsidTr="000E7C76">
        <w:tc>
          <w:tcPr>
            <w:tcW w:w="2336" w:type="pct"/>
            <w:tcBorders>
              <w:top w:val="single" w:sz="4" w:space="0" w:color="365F91"/>
              <w:bottom w:val="single" w:sz="4" w:space="0" w:color="365F91"/>
            </w:tcBorders>
            <w:shd w:val="clear" w:color="auto" w:fill="auto"/>
            <w:vAlign w:val="center"/>
          </w:tcPr>
          <w:p w14:paraId="50317915" w14:textId="77777777" w:rsidR="000E7C76" w:rsidRPr="00256982" w:rsidRDefault="000E7C76" w:rsidP="000E7C76">
            <w:pPr>
              <w:pStyle w:val="TableText"/>
              <w:spacing w:before="50" w:after="50"/>
              <w:rPr>
                <w:bCs/>
                <w:szCs w:val="22"/>
              </w:rPr>
            </w:pPr>
            <w:r w:rsidRPr="00256982">
              <w:rPr>
                <w:bCs/>
                <w:szCs w:val="22"/>
              </w:rPr>
              <w:t>Emissions from forest management activities</w:t>
            </w:r>
          </w:p>
        </w:tc>
        <w:tc>
          <w:tcPr>
            <w:tcW w:w="799" w:type="pct"/>
            <w:tcBorders>
              <w:top w:val="single" w:sz="4" w:space="0" w:color="365F91"/>
              <w:bottom w:val="single" w:sz="4" w:space="0" w:color="365F91"/>
            </w:tcBorders>
            <w:shd w:val="clear" w:color="auto" w:fill="auto"/>
            <w:vAlign w:val="center"/>
          </w:tcPr>
          <w:p w14:paraId="14FEF17A" w14:textId="77777777" w:rsidR="000E7C76" w:rsidRPr="00256982" w:rsidRDefault="000E7C76" w:rsidP="000E7C76">
            <w:pPr>
              <w:pStyle w:val="TableText"/>
              <w:spacing w:before="50" w:after="50"/>
              <w:jc w:val="center"/>
              <w:rPr>
                <w:szCs w:val="22"/>
              </w:rPr>
            </w:pPr>
            <w:r w:rsidRPr="00256982">
              <w:rPr>
                <w:szCs w:val="22"/>
              </w:rPr>
              <w:t>CO</w:t>
            </w:r>
            <w:r w:rsidRPr="00256982">
              <w:rPr>
                <w:szCs w:val="22"/>
                <w:vertAlign w:val="subscript"/>
              </w:rPr>
              <w:t>2</w:t>
            </w:r>
          </w:p>
        </w:tc>
        <w:tc>
          <w:tcPr>
            <w:tcW w:w="944" w:type="pct"/>
            <w:tcBorders>
              <w:top w:val="single" w:sz="4" w:space="0" w:color="365F91"/>
              <w:bottom w:val="single" w:sz="4" w:space="0" w:color="365F91"/>
            </w:tcBorders>
            <w:shd w:val="clear" w:color="auto" w:fill="auto"/>
            <w:vAlign w:val="center"/>
          </w:tcPr>
          <w:p w14:paraId="13828D72" w14:textId="77777777" w:rsidR="000E7C76" w:rsidRPr="00256982" w:rsidRDefault="000E7C76" w:rsidP="000E7C76">
            <w:pPr>
              <w:pStyle w:val="TableText"/>
              <w:spacing w:before="50" w:after="50"/>
              <w:jc w:val="right"/>
              <w:rPr>
                <w:szCs w:val="22"/>
                <w:highlight w:val="red"/>
              </w:rPr>
            </w:pPr>
            <w:r w:rsidRPr="00256982">
              <w:rPr>
                <w:rFonts w:cs="Arial"/>
                <w:color w:val="000000"/>
                <w:szCs w:val="16"/>
              </w:rPr>
              <w:t>–91,513.9</w:t>
            </w:r>
          </w:p>
        </w:tc>
        <w:tc>
          <w:tcPr>
            <w:tcW w:w="921" w:type="pct"/>
            <w:tcBorders>
              <w:top w:val="single" w:sz="4" w:space="0" w:color="365F91"/>
              <w:bottom w:val="single" w:sz="4" w:space="0" w:color="365F91"/>
            </w:tcBorders>
            <w:shd w:val="clear" w:color="auto" w:fill="auto"/>
            <w:vAlign w:val="center"/>
          </w:tcPr>
          <w:p w14:paraId="127903C4" w14:textId="77777777" w:rsidR="000E7C76" w:rsidRPr="00256982" w:rsidRDefault="000E7C76" w:rsidP="000E7C76">
            <w:pPr>
              <w:pStyle w:val="TableText"/>
              <w:spacing w:before="50" w:after="50"/>
              <w:jc w:val="right"/>
              <w:rPr>
                <w:szCs w:val="22"/>
                <w:highlight w:val="red"/>
              </w:rPr>
            </w:pPr>
            <w:r w:rsidRPr="00256982">
              <w:rPr>
                <w:rFonts w:cs="Arial"/>
                <w:color w:val="000000"/>
                <w:szCs w:val="16"/>
              </w:rPr>
              <w:t>–91,513.9</w:t>
            </w:r>
          </w:p>
        </w:tc>
      </w:tr>
      <w:tr w:rsidR="000E7C76" w:rsidRPr="00256982" w14:paraId="7BA83B5F" w14:textId="77777777" w:rsidTr="000E7C76">
        <w:tc>
          <w:tcPr>
            <w:tcW w:w="2336" w:type="pct"/>
            <w:tcBorders>
              <w:top w:val="single" w:sz="4" w:space="0" w:color="365F91"/>
              <w:bottom w:val="single" w:sz="4" w:space="0" w:color="365F91"/>
            </w:tcBorders>
            <w:shd w:val="clear" w:color="auto" w:fill="auto"/>
          </w:tcPr>
          <w:p w14:paraId="4F38B428" w14:textId="77777777" w:rsidR="000E7C76" w:rsidRPr="00256982" w:rsidRDefault="000E7C76" w:rsidP="000E7C76">
            <w:pPr>
              <w:pStyle w:val="TableText"/>
              <w:spacing w:before="50" w:after="50"/>
              <w:rPr>
                <w:bCs/>
                <w:szCs w:val="22"/>
              </w:rPr>
            </w:pPr>
            <w:r w:rsidRPr="00256982">
              <w:rPr>
                <w:bCs/>
                <w:szCs w:val="22"/>
              </w:rPr>
              <w:t>Mineralisation of soil nitrogen associated with land-use change</w:t>
            </w:r>
          </w:p>
        </w:tc>
        <w:tc>
          <w:tcPr>
            <w:tcW w:w="799" w:type="pct"/>
            <w:tcBorders>
              <w:top w:val="single" w:sz="4" w:space="0" w:color="365F91"/>
              <w:bottom w:val="single" w:sz="4" w:space="0" w:color="365F91"/>
            </w:tcBorders>
            <w:shd w:val="clear" w:color="auto" w:fill="auto"/>
          </w:tcPr>
          <w:p w14:paraId="4D643A1F" w14:textId="77777777" w:rsidR="000E7C76" w:rsidRPr="00256982" w:rsidRDefault="000E7C76" w:rsidP="000E7C76">
            <w:pPr>
              <w:pStyle w:val="TableText"/>
              <w:spacing w:before="50" w:after="50"/>
              <w:jc w:val="center"/>
              <w:rPr>
                <w:szCs w:val="22"/>
              </w:rPr>
            </w:pPr>
            <w:r w:rsidRPr="00256982">
              <w:rPr>
                <w:szCs w:val="22"/>
              </w:rPr>
              <w:t>N</w:t>
            </w:r>
            <w:r w:rsidRPr="00256982">
              <w:rPr>
                <w:szCs w:val="22"/>
                <w:vertAlign w:val="subscript"/>
              </w:rPr>
              <w:t>2</w:t>
            </w:r>
            <w:r w:rsidRPr="00256982">
              <w:rPr>
                <w:szCs w:val="22"/>
              </w:rPr>
              <w:t>O</w:t>
            </w:r>
          </w:p>
        </w:tc>
        <w:tc>
          <w:tcPr>
            <w:tcW w:w="944" w:type="pct"/>
            <w:tcBorders>
              <w:top w:val="single" w:sz="4" w:space="0" w:color="365F91"/>
              <w:bottom w:val="single" w:sz="4" w:space="0" w:color="365F91"/>
            </w:tcBorders>
            <w:shd w:val="clear" w:color="auto" w:fill="auto"/>
            <w:vAlign w:val="center"/>
          </w:tcPr>
          <w:p w14:paraId="19169E11" w14:textId="77777777" w:rsidR="000E7C76" w:rsidRPr="00256982" w:rsidRDefault="000E7C76" w:rsidP="000E7C76">
            <w:pPr>
              <w:pStyle w:val="TableText"/>
              <w:spacing w:before="50" w:after="50"/>
              <w:jc w:val="right"/>
              <w:rPr>
                <w:szCs w:val="22"/>
              </w:rPr>
            </w:pPr>
            <w:r w:rsidRPr="00256982">
              <w:rPr>
                <w:rFonts w:cs="Arial"/>
                <w:color w:val="000000"/>
                <w:szCs w:val="16"/>
              </w:rPr>
              <w:t>1.3</w:t>
            </w:r>
          </w:p>
        </w:tc>
        <w:tc>
          <w:tcPr>
            <w:tcW w:w="921" w:type="pct"/>
            <w:tcBorders>
              <w:top w:val="single" w:sz="4" w:space="0" w:color="365F91"/>
              <w:bottom w:val="single" w:sz="4" w:space="0" w:color="365F91"/>
            </w:tcBorders>
            <w:shd w:val="clear" w:color="auto" w:fill="auto"/>
            <w:vAlign w:val="center"/>
          </w:tcPr>
          <w:p w14:paraId="13BAADBF" w14:textId="77777777" w:rsidR="000E7C76" w:rsidRPr="00256982" w:rsidRDefault="000E7C76" w:rsidP="000E7C76">
            <w:pPr>
              <w:pStyle w:val="TableText"/>
              <w:spacing w:before="50" w:after="50"/>
              <w:jc w:val="right"/>
              <w:rPr>
                <w:szCs w:val="22"/>
              </w:rPr>
            </w:pPr>
            <w:r w:rsidRPr="00256982">
              <w:rPr>
                <w:rFonts w:cs="Arial"/>
                <w:color w:val="000000"/>
                <w:szCs w:val="16"/>
              </w:rPr>
              <w:t>398.2</w:t>
            </w:r>
          </w:p>
        </w:tc>
      </w:tr>
      <w:tr w:rsidR="000E7C76" w:rsidRPr="00256982" w14:paraId="41BBB054" w14:textId="77777777" w:rsidTr="000E7C76">
        <w:tc>
          <w:tcPr>
            <w:tcW w:w="2336" w:type="pct"/>
            <w:tcBorders>
              <w:top w:val="single" w:sz="4" w:space="0" w:color="365F91"/>
              <w:bottom w:val="single" w:sz="4" w:space="0" w:color="365F91"/>
            </w:tcBorders>
            <w:shd w:val="clear" w:color="auto" w:fill="auto"/>
            <w:vAlign w:val="center"/>
          </w:tcPr>
          <w:p w14:paraId="7FFA942F" w14:textId="77777777" w:rsidR="000E7C76" w:rsidRPr="00256982" w:rsidRDefault="000E7C76" w:rsidP="000E7C76">
            <w:pPr>
              <w:pStyle w:val="TableText"/>
              <w:spacing w:before="50" w:after="50"/>
              <w:rPr>
                <w:bCs/>
                <w:szCs w:val="22"/>
              </w:rPr>
            </w:pPr>
            <w:r w:rsidRPr="00256982">
              <w:rPr>
                <w:bCs/>
                <w:szCs w:val="22"/>
              </w:rPr>
              <w:t xml:space="preserve">Biomass burning </w:t>
            </w:r>
          </w:p>
        </w:tc>
        <w:tc>
          <w:tcPr>
            <w:tcW w:w="799" w:type="pct"/>
            <w:tcBorders>
              <w:top w:val="single" w:sz="4" w:space="0" w:color="365F91"/>
              <w:bottom w:val="single" w:sz="4" w:space="0" w:color="365F91"/>
            </w:tcBorders>
            <w:shd w:val="clear" w:color="auto" w:fill="auto"/>
            <w:vAlign w:val="center"/>
          </w:tcPr>
          <w:p w14:paraId="4B13C5D6" w14:textId="77777777" w:rsidR="000E7C76" w:rsidRPr="00256982" w:rsidRDefault="000E7C76" w:rsidP="000E7C76">
            <w:pPr>
              <w:pStyle w:val="TableText"/>
              <w:spacing w:before="50" w:after="50"/>
              <w:jc w:val="center"/>
              <w:rPr>
                <w:szCs w:val="22"/>
              </w:rPr>
            </w:pPr>
            <w:r w:rsidRPr="00256982">
              <w:rPr>
                <w:szCs w:val="22"/>
              </w:rPr>
              <w:t>CH</w:t>
            </w:r>
            <w:r w:rsidRPr="00256982">
              <w:rPr>
                <w:szCs w:val="22"/>
                <w:vertAlign w:val="subscript"/>
              </w:rPr>
              <w:t>4</w:t>
            </w:r>
          </w:p>
        </w:tc>
        <w:tc>
          <w:tcPr>
            <w:tcW w:w="944" w:type="pct"/>
            <w:tcBorders>
              <w:top w:val="single" w:sz="4" w:space="0" w:color="365F91"/>
              <w:bottom w:val="single" w:sz="4" w:space="0" w:color="365F91"/>
            </w:tcBorders>
            <w:shd w:val="clear" w:color="auto" w:fill="auto"/>
            <w:vAlign w:val="center"/>
          </w:tcPr>
          <w:p w14:paraId="509978D6" w14:textId="77777777" w:rsidR="000E7C76" w:rsidRPr="00256982" w:rsidRDefault="000E7C76" w:rsidP="000E7C76">
            <w:pPr>
              <w:pStyle w:val="TableText"/>
              <w:spacing w:before="50" w:after="50"/>
              <w:jc w:val="right"/>
              <w:rPr>
                <w:szCs w:val="22"/>
              </w:rPr>
            </w:pPr>
            <w:r w:rsidRPr="00256982">
              <w:rPr>
                <w:rFonts w:cs="Arial"/>
                <w:color w:val="000000"/>
                <w:szCs w:val="16"/>
              </w:rPr>
              <w:t>7.4</w:t>
            </w:r>
          </w:p>
        </w:tc>
        <w:tc>
          <w:tcPr>
            <w:tcW w:w="921" w:type="pct"/>
            <w:tcBorders>
              <w:top w:val="single" w:sz="4" w:space="0" w:color="365F91"/>
              <w:bottom w:val="single" w:sz="4" w:space="0" w:color="365F91"/>
            </w:tcBorders>
            <w:shd w:val="clear" w:color="auto" w:fill="auto"/>
            <w:vAlign w:val="center"/>
          </w:tcPr>
          <w:p w14:paraId="2ABD7845" w14:textId="77777777" w:rsidR="000E7C76" w:rsidRPr="00256982" w:rsidRDefault="000E7C76" w:rsidP="000E7C76">
            <w:pPr>
              <w:pStyle w:val="TableText"/>
              <w:spacing w:before="50" w:after="50"/>
              <w:jc w:val="right"/>
              <w:rPr>
                <w:szCs w:val="22"/>
              </w:rPr>
            </w:pPr>
            <w:r w:rsidRPr="00256982">
              <w:rPr>
                <w:rFonts w:cs="Arial"/>
                <w:color w:val="000000"/>
                <w:szCs w:val="16"/>
              </w:rPr>
              <w:t>183.8</w:t>
            </w:r>
          </w:p>
        </w:tc>
      </w:tr>
      <w:tr w:rsidR="000E7C76" w:rsidRPr="00256982" w14:paraId="52699A79" w14:textId="77777777" w:rsidTr="000E7C76">
        <w:tc>
          <w:tcPr>
            <w:tcW w:w="2336" w:type="pct"/>
            <w:tcBorders>
              <w:top w:val="single" w:sz="4" w:space="0" w:color="365F91"/>
              <w:bottom w:val="single" w:sz="4" w:space="0" w:color="365F91"/>
            </w:tcBorders>
            <w:shd w:val="clear" w:color="auto" w:fill="auto"/>
            <w:vAlign w:val="center"/>
          </w:tcPr>
          <w:p w14:paraId="5868685F" w14:textId="77777777" w:rsidR="000E7C76" w:rsidRPr="00256982" w:rsidRDefault="000E7C76" w:rsidP="000E7C76">
            <w:pPr>
              <w:pStyle w:val="TableText"/>
              <w:spacing w:before="50" w:after="50"/>
              <w:rPr>
                <w:bCs/>
                <w:szCs w:val="22"/>
              </w:rPr>
            </w:pPr>
            <w:r w:rsidRPr="00256982">
              <w:rPr>
                <w:bCs/>
                <w:szCs w:val="22"/>
              </w:rPr>
              <w:t xml:space="preserve">Biomass burning </w:t>
            </w:r>
          </w:p>
        </w:tc>
        <w:tc>
          <w:tcPr>
            <w:tcW w:w="799" w:type="pct"/>
            <w:tcBorders>
              <w:top w:val="single" w:sz="4" w:space="0" w:color="365F91"/>
              <w:bottom w:val="single" w:sz="4" w:space="0" w:color="365F91"/>
            </w:tcBorders>
            <w:shd w:val="clear" w:color="auto" w:fill="auto"/>
            <w:vAlign w:val="center"/>
          </w:tcPr>
          <w:p w14:paraId="3878E6E5" w14:textId="77777777" w:rsidR="000E7C76" w:rsidRPr="00256982" w:rsidRDefault="000E7C76" w:rsidP="000E7C76">
            <w:pPr>
              <w:pStyle w:val="TableText"/>
              <w:spacing w:before="50" w:after="50"/>
              <w:jc w:val="center"/>
              <w:rPr>
                <w:szCs w:val="22"/>
              </w:rPr>
            </w:pPr>
            <w:r w:rsidRPr="00256982">
              <w:rPr>
                <w:szCs w:val="22"/>
              </w:rPr>
              <w:t>N</w:t>
            </w:r>
            <w:r w:rsidRPr="00256982">
              <w:rPr>
                <w:szCs w:val="22"/>
                <w:vertAlign w:val="subscript"/>
              </w:rPr>
              <w:t>2</w:t>
            </w:r>
            <w:r w:rsidRPr="00256982">
              <w:rPr>
                <w:szCs w:val="22"/>
              </w:rPr>
              <w:t>O</w:t>
            </w:r>
          </w:p>
        </w:tc>
        <w:tc>
          <w:tcPr>
            <w:tcW w:w="944" w:type="pct"/>
            <w:tcBorders>
              <w:top w:val="single" w:sz="4" w:space="0" w:color="365F91"/>
              <w:bottom w:val="single" w:sz="4" w:space="0" w:color="365F91"/>
            </w:tcBorders>
            <w:shd w:val="clear" w:color="auto" w:fill="auto"/>
            <w:vAlign w:val="center"/>
          </w:tcPr>
          <w:p w14:paraId="113EA5A1" w14:textId="77777777" w:rsidR="000E7C76" w:rsidRPr="00256982" w:rsidRDefault="000E7C76" w:rsidP="000E7C76">
            <w:pPr>
              <w:pStyle w:val="TableText"/>
              <w:spacing w:before="50" w:after="50"/>
              <w:jc w:val="right"/>
              <w:rPr>
                <w:szCs w:val="22"/>
              </w:rPr>
            </w:pPr>
            <w:r w:rsidRPr="00256982">
              <w:rPr>
                <w:rFonts w:cs="Arial"/>
                <w:color w:val="000000"/>
                <w:szCs w:val="16"/>
              </w:rPr>
              <w:t>0.28</w:t>
            </w:r>
          </w:p>
        </w:tc>
        <w:tc>
          <w:tcPr>
            <w:tcW w:w="921" w:type="pct"/>
            <w:tcBorders>
              <w:top w:val="single" w:sz="4" w:space="0" w:color="365F91"/>
              <w:bottom w:val="single" w:sz="4" w:space="0" w:color="365F91"/>
            </w:tcBorders>
            <w:shd w:val="clear" w:color="auto" w:fill="auto"/>
            <w:vAlign w:val="center"/>
          </w:tcPr>
          <w:p w14:paraId="2B64BB13" w14:textId="77777777" w:rsidR="000E7C76" w:rsidRPr="00256982" w:rsidRDefault="000E7C76" w:rsidP="000E7C76">
            <w:pPr>
              <w:pStyle w:val="TableText"/>
              <w:spacing w:before="50" w:after="50"/>
              <w:jc w:val="right"/>
              <w:rPr>
                <w:szCs w:val="22"/>
              </w:rPr>
            </w:pPr>
            <w:r w:rsidRPr="00256982">
              <w:rPr>
                <w:rFonts w:cs="Arial"/>
                <w:color w:val="000000"/>
                <w:szCs w:val="16"/>
              </w:rPr>
              <w:t>83.7</w:t>
            </w:r>
          </w:p>
        </w:tc>
      </w:tr>
      <w:tr w:rsidR="000E7C76" w:rsidRPr="00256982" w14:paraId="7A52E020" w14:textId="77777777" w:rsidTr="000E7C76">
        <w:tc>
          <w:tcPr>
            <w:tcW w:w="2336" w:type="pct"/>
            <w:tcBorders>
              <w:top w:val="single" w:sz="4" w:space="0" w:color="365F91"/>
              <w:bottom w:val="single" w:sz="4" w:space="0" w:color="365F91"/>
            </w:tcBorders>
            <w:shd w:val="clear" w:color="auto" w:fill="auto"/>
            <w:vAlign w:val="center"/>
          </w:tcPr>
          <w:p w14:paraId="3857F43E" w14:textId="77777777" w:rsidR="000E7C76" w:rsidRPr="00256982" w:rsidRDefault="000E7C76" w:rsidP="000E7C76">
            <w:pPr>
              <w:pStyle w:val="Tableboldblue"/>
              <w:spacing w:before="50" w:after="50"/>
              <w:rPr>
                <w:bCs/>
              </w:rPr>
            </w:pPr>
            <w:r w:rsidRPr="00256982">
              <w:rPr>
                <w:bCs/>
              </w:rPr>
              <w:t>Net emissions</w:t>
            </w:r>
          </w:p>
        </w:tc>
        <w:tc>
          <w:tcPr>
            <w:tcW w:w="799" w:type="pct"/>
            <w:tcBorders>
              <w:top w:val="single" w:sz="4" w:space="0" w:color="365F91"/>
              <w:bottom w:val="single" w:sz="4" w:space="0" w:color="365F91"/>
            </w:tcBorders>
            <w:shd w:val="clear" w:color="auto" w:fill="auto"/>
            <w:vAlign w:val="center"/>
          </w:tcPr>
          <w:p w14:paraId="2141B1A9" w14:textId="77777777" w:rsidR="000E7C76" w:rsidRPr="00256982" w:rsidRDefault="000E7C76" w:rsidP="000E7C76">
            <w:pPr>
              <w:pStyle w:val="Tableboldblue"/>
              <w:spacing w:before="50" w:after="50"/>
            </w:pPr>
          </w:p>
        </w:tc>
        <w:tc>
          <w:tcPr>
            <w:tcW w:w="944" w:type="pct"/>
            <w:tcBorders>
              <w:top w:val="single" w:sz="4" w:space="0" w:color="365F91"/>
              <w:bottom w:val="single" w:sz="4" w:space="0" w:color="365F91"/>
            </w:tcBorders>
            <w:shd w:val="clear" w:color="auto" w:fill="auto"/>
            <w:vAlign w:val="center"/>
          </w:tcPr>
          <w:p w14:paraId="704970A4" w14:textId="77777777" w:rsidR="000E7C76" w:rsidRPr="00256982" w:rsidRDefault="000E7C76" w:rsidP="000E7C76">
            <w:pPr>
              <w:pStyle w:val="Tableboldblue"/>
              <w:spacing w:before="50" w:after="50"/>
              <w:jc w:val="right"/>
            </w:pPr>
            <w:r w:rsidRPr="00256982">
              <w:rPr>
                <w:rFonts w:cs="Arial"/>
                <w:szCs w:val="16"/>
              </w:rPr>
              <w:t> </w:t>
            </w:r>
          </w:p>
        </w:tc>
        <w:tc>
          <w:tcPr>
            <w:tcW w:w="921" w:type="pct"/>
            <w:tcBorders>
              <w:top w:val="single" w:sz="4" w:space="0" w:color="365F91"/>
              <w:bottom w:val="single" w:sz="4" w:space="0" w:color="365F91"/>
            </w:tcBorders>
            <w:shd w:val="clear" w:color="auto" w:fill="auto"/>
            <w:vAlign w:val="center"/>
          </w:tcPr>
          <w:p w14:paraId="4C733206" w14:textId="77777777" w:rsidR="000E7C76" w:rsidRPr="00256982" w:rsidRDefault="000E7C76" w:rsidP="000E7C76">
            <w:pPr>
              <w:pStyle w:val="Tableboldblue"/>
              <w:jc w:val="right"/>
            </w:pPr>
            <w:r w:rsidRPr="00256982">
              <w:rPr>
                <w:rFonts w:cs="Arial"/>
                <w:bCs/>
                <w:szCs w:val="16"/>
              </w:rPr>
              <w:t>–156,765.3</w:t>
            </w:r>
          </w:p>
        </w:tc>
      </w:tr>
    </w:tbl>
    <w:p w14:paraId="586D248F" w14:textId="77777777" w:rsidR="000E7C76" w:rsidRPr="00256982" w:rsidRDefault="000E7C76" w:rsidP="000E7C76">
      <w:pPr>
        <w:pStyle w:val="Noteundertable"/>
      </w:pPr>
      <w:r w:rsidRPr="00256982">
        <w:rPr>
          <w:b/>
        </w:rPr>
        <w:t>Note:</w:t>
      </w:r>
      <w:r w:rsidRPr="00256982">
        <w:tab/>
        <w:t>CO</w:t>
      </w:r>
      <w:r w:rsidRPr="00256982">
        <w:rPr>
          <w:vertAlign w:val="subscript"/>
        </w:rPr>
        <w:t>2</w:t>
      </w:r>
      <w:r w:rsidRPr="00256982">
        <w:t xml:space="preserve"> = carbon dioxide; N</w:t>
      </w:r>
      <w:r w:rsidRPr="00256982">
        <w:rPr>
          <w:vertAlign w:val="subscript"/>
        </w:rPr>
        <w:t>2</w:t>
      </w:r>
      <w:r w:rsidRPr="00256982">
        <w:t>O = nitrous oxide; CH</w:t>
      </w:r>
      <w:r w:rsidRPr="00256982">
        <w:rPr>
          <w:vertAlign w:val="subscript"/>
        </w:rPr>
        <w:t>4</w:t>
      </w:r>
      <w:r w:rsidRPr="00256982">
        <w:t xml:space="preserve"> = methane. Columns may not total due to rounding.</w:t>
      </w:r>
    </w:p>
    <w:p w14:paraId="6E206261" w14:textId="77777777" w:rsidR="000E7C76" w:rsidRPr="00256982" w:rsidRDefault="000E7C76" w:rsidP="000E7C76">
      <w:pPr>
        <w:pStyle w:val="Heading5"/>
      </w:pPr>
      <w:r w:rsidRPr="00256982">
        <w:t>Key categories</w:t>
      </w:r>
    </w:p>
    <w:p w14:paraId="6B6B1AAC" w14:textId="77777777" w:rsidR="000E7C76" w:rsidRPr="00256982" w:rsidRDefault="000E7C76" w:rsidP="000E7C76">
      <w:pPr>
        <w:pStyle w:val="BodyText"/>
        <w:spacing w:before="100"/>
      </w:pPr>
      <w:r w:rsidRPr="00256982">
        <w:t xml:space="preserve">Conversion to </w:t>
      </w:r>
      <w:r w:rsidRPr="00256982">
        <w:rPr>
          <w:i/>
        </w:rPr>
        <w:t>Forest land</w:t>
      </w:r>
      <w:r w:rsidRPr="00256982">
        <w:t xml:space="preserve"> (</w:t>
      </w:r>
      <w:r w:rsidRPr="00256982">
        <w:rPr>
          <w:i/>
        </w:rPr>
        <w:t>Afforestation and reforestation</w:t>
      </w:r>
      <w:r w:rsidRPr="00256982">
        <w:t xml:space="preserve">), conversion to </w:t>
      </w:r>
      <w:r w:rsidRPr="00256982">
        <w:rPr>
          <w:i/>
        </w:rPr>
        <w:t>Grassland</w:t>
      </w:r>
      <w:r w:rsidRPr="00256982">
        <w:t xml:space="preserve"> (</w:t>
      </w:r>
      <w:r w:rsidRPr="00256982">
        <w:rPr>
          <w:i/>
        </w:rPr>
        <w:t>Deforestation</w:t>
      </w:r>
      <w:r w:rsidRPr="00256982">
        <w:t xml:space="preserve">) and </w:t>
      </w:r>
      <w:r w:rsidRPr="00256982">
        <w:rPr>
          <w:i/>
        </w:rPr>
        <w:t>Forest land remaining forest land</w:t>
      </w:r>
      <w:r w:rsidRPr="00256982">
        <w:t xml:space="preserve"> (</w:t>
      </w:r>
      <w:r w:rsidRPr="00256982">
        <w:rPr>
          <w:i/>
        </w:rPr>
        <w:t>Forest management</w:t>
      </w:r>
      <w:r w:rsidRPr="00256982">
        <w:t>) are all key categories for New Zealand (table 1.5.4, chapter 1).</w:t>
      </w:r>
    </w:p>
    <w:p w14:paraId="06EB2702" w14:textId="77777777" w:rsidR="000E7C76" w:rsidRPr="00256982" w:rsidRDefault="000E7C76" w:rsidP="000E7C76">
      <w:pPr>
        <w:pStyle w:val="Heading3"/>
        <w:spacing w:before="280"/>
      </w:pPr>
      <w:bookmarkStart w:id="2623" w:name="_Toc400967253"/>
      <w:r w:rsidRPr="00256982">
        <w:t xml:space="preserve">11.1.1 </w:t>
      </w:r>
      <w:r w:rsidRPr="00256982">
        <w:tab/>
        <w:t>Definitions of forest and any other criteria</w:t>
      </w:r>
      <w:bookmarkEnd w:id="2615"/>
      <w:bookmarkEnd w:id="2616"/>
      <w:bookmarkEnd w:id="2617"/>
      <w:bookmarkEnd w:id="2618"/>
      <w:bookmarkEnd w:id="2623"/>
    </w:p>
    <w:p w14:paraId="06442836" w14:textId="77777777" w:rsidR="000E7C76" w:rsidRPr="00256982" w:rsidRDefault="000E7C76" w:rsidP="000E7C76">
      <w:pPr>
        <w:pStyle w:val="BodyText"/>
      </w:pPr>
      <w:r w:rsidRPr="00256982">
        <w:t xml:space="preserve">New Zealand is using the same </w:t>
      </w:r>
      <w:r w:rsidRPr="00256982">
        <w:rPr>
          <w:i/>
        </w:rPr>
        <w:t>Forest land</w:t>
      </w:r>
      <w:r w:rsidRPr="00256982">
        <w:t xml:space="preserve"> definition for the period to 2020 as that used for the first commitment period and as defined in </w:t>
      </w:r>
      <w:r w:rsidRPr="00256982">
        <w:rPr>
          <w:i/>
        </w:rPr>
        <w:t xml:space="preserve">New Zealand’s Initial Report under the Kyoto Protocol </w:t>
      </w:r>
      <w:r w:rsidRPr="00256982">
        <w:t xml:space="preserve">(Ministry for the Environment, 2006). This definition is consistent with that used for the Land Use, Land-Use Change and Forestry (LULUCF) sector under the UNFCCC reporting (chapter 6). Table 11.1.3 provides the defining parameters for </w:t>
      </w:r>
      <w:r w:rsidRPr="00256982">
        <w:rPr>
          <w:i/>
        </w:rPr>
        <w:t>Forest land</w:t>
      </w:r>
      <w:r w:rsidRPr="00256982">
        <w:t>.</w:t>
      </w:r>
    </w:p>
    <w:p w14:paraId="7FC740BB" w14:textId="77777777" w:rsidR="000E7C76" w:rsidRPr="00256982" w:rsidRDefault="000E7C76" w:rsidP="000E7C76">
      <w:pPr>
        <w:pStyle w:val="Table"/>
      </w:pPr>
      <w:bookmarkStart w:id="2624" w:name="_Toc280630485"/>
      <w:bookmarkStart w:id="2625" w:name="_Toc310423442"/>
      <w:bookmarkStart w:id="2626" w:name="_Toc318362735"/>
      <w:bookmarkStart w:id="2627" w:name="_Toc342470814"/>
      <w:bookmarkStart w:id="2628" w:name="_Toc352505067"/>
      <w:bookmarkStart w:id="2629" w:name="_Toc377043703"/>
      <w:bookmarkStart w:id="2630" w:name="_Toc391023555"/>
      <w:bookmarkStart w:id="2631" w:name="_Toc414531526"/>
      <w:bookmarkStart w:id="2632" w:name="_Toc456179105"/>
      <w:bookmarkStart w:id="2633" w:name="_Toc481751631"/>
      <w:bookmarkStart w:id="2634" w:name="_Toc522010656"/>
      <w:bookmarkStart w:id="2635" w:name="_Toc5269626"/>
      <w:r w:rsidRPr="00256982">
        <w:t>Table 11.1.3</w:t>
      </w:r>
      <w:r w:rsidRPr="00256982">
        <w:tab/>
        <w:t>Parameters defining Forest land in New Zealand</w:t>
      </w:r>
      <w:bookmarkEnd w:id="2624"/>
      <w:bookmarkEnd w:id="2625"/>
      <w:bookmarkEnd w:id="2626"/>
      <w:bookmarkEnd w:id="2627"/>
      <w:bookmarkEnd w:id="2628"/>
      <w:bookmarkEnd w:id="2629"/>
      <w:bookmarkEnd w:id="2630"/>
      <w:bookmarkEnd w:id="2631"/>
      <w:bookmarkEnd w:id="2632"/>
      <w:bookmarkEnd w:id="2633"/>
      <w:bookmarkEnd w:id="2634"/>
      <w:bookmarkEnd w:id="2635"/>
    </w:p>
    <w:tbl>
      <w:tblPr>
        <w:tblW w:w="8562" w:type="dxa"/>
        <w:tblInd w:w="108" w:type="dxa"/>
        <w:tblBorders>
          <w:top w:val="single" w:sz="4" w:space="0" w:color="365F91"/>
          <w:bottom w:val="single" w:sz="4" w:space="0" w:color="365F91"/>
          <w:insideH w:val="single" w:sz="4" w:space="0" w:color="365F91"/>
        </w:tblBorders>
        <w:tblLook w:val="01E0" w:firstRow="1" w:lastRow="1" w:firstColumn="1" w:lastColumn="1" w:noHBand="0" w:noVBand="0"/>
      </w:tblPr>
      <w:tblGrid>
        <w:gridCol w:w="3082"/>
        <w:gridCol w:w="2701"/>
        <w:gridCol w:w="2779"/>
      </w:tblGrid>
      <w:tr w:rsidR="000E7C76" w:rsidRPr="00256982" w14:paraId="69D619C7" w14:textId="77777777" w:rsidTr="001D510C">
        <w:tc>
          <w:tcPr>
            <w:tcW w:w="2672" w:type="dxa"/>
            <w:shd w:val="clear" w:color="auto" w:fill="365F91"/>
            <w:vAlign w:val="center"/>
          </w:tcPr>
          <w:p w14:paraId="1A0B5114" w14:textId="77777777" w:rsidR="000E7C76" w:rsidRPr="00256982" w:rsidRDefault="000E7C76" w:rsidP="000E7C76">
            <w:pPr>
              <w:pStyle w:val="TableTextBold"/>
              <w:rPr>
                <w:noProof w:val="0"/>
                <w:color w:val="FFFFFF"/>
              </w:rPr>
            </w:pPr>
            <w:r w:rsidRPr="00256982">
              <w:rPr>
                <w:noProof w:val="0"/>
                <w:color w:val="FFFFFF"/>
              </w:rPr>
              <w:t>Forest parameter</w:t>
            </w:r>
          </w:p>
        </w:tc>
        <w:tc>
          <w:tcPr>
            <w:tcW w:w="2341" w:type="dxa"/>
            <w:shd w:val="clear" w:color="auto" w:fill="365F91"/>
            <w:vAlign w:val="center"/>
          </w:tcPr>
          <w:p w14:paraId="3F322B95" w14:textId="77777777" w:rsidR="000E7C76" w:rsidRPr="00256982" w:rsidRDefault="000E7C76" w:rsidP="000E7C76">
            <w:pPr>
              <w:pStyle w:val="TableTextBold"/>
              <w:jc w:val="center"/>
              <w:rPr>
                <w:noProof w:val="0"/>
                <w:color w:val="FFFFFF"/>
              </w:rPr>
            </w:pPr>
            <w:r w:rsidRPr="00256982">
              <w:rPr>
                <w:noProof w:val="0"/>
                <w:color w:val="FFFFFF"/>
              </w:rPr>
              <w:t>Kyoto Protocol range</w:t>
            </w:r>
          </w:p>
        </w:tc>
        <w:tc>
          <w:tcPr>
            <w:tcW w:w="2409" w:type="dxa"/>
            <w:shd w:val="clear" w:color="auto" w:fill="365F91"/>
            <w:vAlign w:val="center"/>
          </w:tcPr>
          <w:p w14:paraId="02BEB944" w14:textId="77777777" w:rsidR="000E7C76" w:rsidRPr="00256982" w:rsidRDefault="000E7C76" w:rsidP="000E7C76">
            <w:pPr>
              <w:pStyle w:val="TableTextBold"/>
              <w:jc w:val="center"/>
              <w:rPr>
                <w:noProof w:val="0"/>
                <w:color w:val="FFFFFF"/>
              </w:rPr>
            </w:pPr>
            <w:r w:rsidRPr="00256982">
              <w:rPr>
                <w:noProof w:val="0"/>
                <w:color w:val="FFFFFF"/>
              </w:rPr>
              <w:t>New Zealand selected value</w:t>
            </w:r>
          </w:p>
        </w:tc>
      </w:tr>
      <w:tr w:rsidR="000E7C76" w:rsidRPr="00256982" w14:paraId="2C7816A4" w14:textId="77777777" w:rsidTr="001D510C">
        <w:tc>
          <w:tcPr>
            <w:tcW w:w="2672" w:type="dxa"/>
            <w:shd w:val="clear" w:color="auto" w:fill="auto"/>
            <w:vAlign w:val="center"/>
          </w:tcPr>
          <w:p w14:paraId="55A7CA59" w14:textId="77777777" w:rsidR="000E7C76" w:rsidRPr="00256982" w:rsidRDefault="000E7C76" w:rsidP="000E7C76">
            <w:pPr>
              <w:pStyle w:val="TableText"/>
            </w:pPr>
            <w:r w:rsidRPr="00256982">
              <w:t>Minimum land area (ha)</w:t>
            </w:r>
          </w:p>
        </w:tc>
        <w:tc>
          <w:tcPr>
            <w:tcW w:w="2341" w:type="dxa"/>
            <w:shd w:val="clear" w:color="auto" w:fill="auto"/>
            <w:vAlign w:val="center"/>
          </w:tcPr>
          <w:p w14:paraId="210AAE1F" w14:textId="77777777" w:rsidR="000E7C76" w:rsidRPr="00256982" w:rsidRDefault="000E7C76" w:rsidP="000E7C76">
            <w:pPr>
              <w:pStyle w:val="TableText"/>
              <w:jc w:val="center"/>
              <w:rPr>
                <w:szCs w:val="22"/>
              </w:rPr>
            </w:pPr>
            <w:r w:rsidRPr="00256982">
              <w:rPr>
                <w:szCs w:val="22"/>
              </w:rPr>
              <w:t>0.05–1</w:t>
            </w:r>
          </w:p>
        </w:tc>
        <w:tc>
          <w:tcPr>
            <w:tcW w:w="2409" w:type="dxa"/>
            <w:shd w:val="clear" w:color="auto" w:fill="auto"/>
            <w:vAlign w:val="center"/>
          </w:tcPr>
          <w:p w14:paraId="31C6A36B" w14:textId="77777777" w:rsidR="000E7C76" w:rsidRPr="00256982" w:rsidRDefault="000E7C76" w:rsidP="000E7C76">
            <w:pPr>
              <w:pStyle w:val="TableText"/>
              <w:jc w:val="center"/>
              <w:rPr>
                <w:bCs/>
                <w:szCs w:val="22"/>
              </w:rPr>
            </w:pPr>
            <w:r w:rsidRPr="00256982">
              <w:rPr>
                <w:bCs/>
                <w:szCs w:val="22"/>
              </w:rPr>
              <w:t>1</w:t>
            </w:r>
          </w:p>
        </w:tc>
      </w:tr>
      <w:tr w:rsidR="000E7C76" w:rsidRPr="00256982" w14:paraId="52B7083B" w14:textId="77777777" w:rsidTr="001D510C">
        <w:tc>
          <w:tcPr>
            <w:tcW w:w="2672" w:type="dxa"/>
            <w:tcBorders>
              <w:bottom w:val="single" w:sz="4" w:space="0" w:color="365F91"/>
            </w:tcBorders>
            <w:shd w:val="clear" w:color="auto" w:fill="auto"/>
            <w:vAlign w:val="center"/>
          </w:tcPr>
          <w:p w14:paraId="16095218" w14:textId="77777777" w:rsidR="000E7C76" w:rsidRPr="00256982" w:rsidRDefault="000E7C76" w:rsidP="000E7C76">
            <w:pPr>
              <w:pStyle w:val="TableText"/>
            </w:pPr>
            <w:r w:rsidRPr="00256982">
              <w:t>Minimum crown cover (%)</w:t>
            </w:r>
          </w:p>
        </w:tc>
        <w:tc>
          <w:tcPr>
            <w:tcW w:w="2341" w:type="dxa"/>
            <w:tcBorders>
              <w:bottom w:val="single" w:sz="4" w:space="0" w:color="365F91"/>
            </w:tcBorders>
            <w:shd w:val="clear" w:color="auto" w:fill="auto"/>
            <w:vAlign w:val="center"/>
          </w:tcPr>
          <w:p w14:paraId="7E9F2540" w14:textId="77777777" w:rsidR="000E7C76" w:rsidRPr="00256982" w:rsidRDefault="000E7C76" w:rsidP="000E7C76">
            <w:pPr>
              <w:pStyle w:val="TableText"/>
              <w:jc w:val="center"/>
              <w:rPr>
                <w:szCs w:val="22"/>
              </w:rPr>
            </w:pPr>
            <w:r w:rsidRPr="00256982">
              <w:rPr>
                <w:szCs w:val="22"/>
              </w:rPr>
              <w:t>10–30</w:t>
            </w:r>
          </w:p>
        </w:tc>
        <w:tc>
          <w:tcPr>
            <w:tcW w:w="2409" w:type="dxa"/>
            <w:tcBorders>
              <w:bottom w:val="single" w:sz="4" w:space="0" w:color="365F91"/>
            </w:tcBorders>
            <w:shd w:val="clear" w:color="auto" w:fill="auto"/>
            <w:vAlign w:val="center"/>
          </w:tcPr>
          <w:p w14:paraId="3A6513D8" w14:textId="77777777" w:rsidR="000E7C76" w:rsidRPr="00256982" w:rsidRDefault="000E7C76" w:rsidP="000E7C76">
            <w:pPr>
              <w:pStyle w:val="TableText"/>
              <w:jc w:val="center"/>
              <w:rPr>
                <w:bCs/>
                <w:szCs w:val="22"/>
              </w:rPr>
            </w:pPr>
            <w:r w:rsidRPr="00256982">
              <w:rPr>
                <w:bCs/>
                <w:szCs w:val="22"/>
              </w:rPr>
              <w:t>30</w:t>
            </w:r>
          </w:p>
        </w:tc>
      </w:tr>
      <w:tr w:rsidR="000E7C76" w:rsidRPr="00256982" w14:paraId="554A898B" w14:textId="77777777" w:rsidTr="001D510C">
        <w:tc>
          <w:tcPr>
            <w:tcW w:w="2672" w:type="dxa"/>
            <w:shd w:val="clear" w:color="auto" w:fill="auto"/>
            <w:vAlign w:val="center"/>
          </w:tcPr>
          <w:p w14:paraId="52C39334" w14:textId="77777777" w:rsidR="000E7C76" w:rsidRPr="00256982" w:rsidRDefault="000E7C76" w:rsidP="000E7C76">
            <w:pPr>
              <w:pStyle w:val="TableText"/>
            </w:pPr>
            <w:r w:rsidRPr="00256982">
              <w:t>Minimum height (m)</w:t>
            </w:r>
          </w:p>
        </w:tc>
        <w:tc>
          <w:tcPr>
            <w:tcW w:w="2341" w:type="dxa"/>
            <w:shd w:val="clear" w:color="auto" w:fill="auto"/>
            <w:vAlign w:val="center"/>
          </w:tcPr>
          <w:p w14:paraId="33F30E94" w14:textId="77777777" w:rsidR="000E7C76" w:rsidRPr="00256982" w:rsidRDefault="000E7C76" w:rsidP="000E7C76">
            <w:pPr>
              <w:pStyle w:val="TableText"/>
              <w:jc w:val="center"/>
              <w:rPr>
                <w:bCs/>
                <w:szCs w:val="22"/>
              </w:rPr>
            </w:pPr>
            <w:r w:rsidRPr="00256982">
              <w:rPr>
                <w:bCs/>
                <w:szCs w:val="22"/>
              </w:rPr>
              <w:t>2–5</w:t>
            </w:r>
          </w:p>
        </w:tc>
        <w:tc>
          <w:tcPr>
            <w:tcW w:w="2409" w:type="dxa"/>
            <w:shd w:val="clear" w:color="auto" w:fill="auto"/>
            <w:vAlign w:val="center"/>
          </w:tcPr>
          <w:p w14:paraId="0E8311B2" w14:textId="77777777" w:rsidR="000E7C76" w:rsidRPr="00256982" w:rsidRDefault="000E7C76" w:rsidP="000E7C76">
            <w:pPr>
              <w:pStyle w:val="TableText"/>
              <w:jc w:val="center"/>
              <w:rPr>
                <w:bCs/>
                <w:szCs w:val="22"/>
              </w:rPr>
            </w:pPr>
            <w:r w:rsidRPr="00256982">
              <w:rPr>
                <w:bCs/>
                <w:szCs w:val="22"/>
              </w:rPr>
              <w:t>5</w:t>
            </w:r>
          </w:p>
        </w:tc>
      </w:tr>
    </w:tbl>
    <w:p w14:paraId="278B75F6" w14:textId="77777777" w:rsidR="000E7C76" w:rsidRPr="00256982" w:rsidRDefault="000E7C76" w:rsidP="000E7C76">
      <w:pPr>
        <w:pStyle w:val="Noteundertable"/>
      </w:pPr>
      <w:r w:rsidRPr="00256982">
        <w:rPr>
          <w:b/>
        </w:rPr>
        <w:t>Note:</w:t>
      </w:r>
      <w:r w:rsidRPr="00256982">
        <w:tab/>
        <w:t xml:space="preserve">The range values represent the minimum forest definition values as defined under the Kyoto Protocol, Decision 16/CMP.1 (UNFCCC, 2006). </w:t>
      </w:r>
    </w:p>
    <w:p w14:paraId="2C391764" w14:textId="77777777" w:rsidR="000E7C76" w:rsidRPr="00256982" w:rsidRDefault="000E7C76" w:rsidP="000E7C76">
      <w:pPr>
        <w:pStyle w:val="BodyText"/>
      </w:pPr>
      <w:r w:rsidRPr="00256982">
        <w:t xml:space="preserve">New Zealand also uses a minimum forest width of 30 metres, which removes linear shelterbelts from the </w:t>
      </w:r>
      <w:r w:rsidRPr="00256982">
        <w:rPr>
          <w:i/>
        </w:rPr>
        <w:t>Forest land</w:t>
      </w:r>
      <w:r w:rsidRPr="00256982">
        <w:t xml:space="preserve"> category. Linear shelterbelts can vary in width and height, because they are trimmed and topped from time to time. Further, they form part of non-forest land uses, namely </w:t>
      </w:r>
      <w:r w:rsidRPr="00256982">
        <w:rPr>
          <w:i/>
        </w:rPr>
        <w:t>Cropland</w:t>
      </w:r>
      <w:r w:rsidRPr="00256982">
        <w:t xml:space="preserve"> and </w:t>
      </w:r>
      <w:r w:rsidRPr="00256982">
        <w:rPr>
          <w:i/>
        </w:rPr>
        <w:t>Grassland</w:t>
      </w:r>
      <w:r w:rsidRPr="00256982">
        <w:t xml:space="preserve"> as shelter to crops and/or animals.</w:t>
      </w:r>
    </w:p>
    <w:p w14:paraId="25431393" w14:textId="77777777" w:rsidR="000E7C76" w:rsidRPr="00256982" w:rsidRDefault="000E7C76" w:rsidP="000E7C76">
      <w:pPr>
        <w:pStyle w:val="BodyText"/>
      </w:pPr>
      <w:r w:rsidRPr="00256982">
        <w:t xml:space="preserve">For reporting under the Kyoto Protocol, New Zealand has categorised its forests into three types: pre-1990 natural forest, pre-1990 planted forest and post-1989 forest. These subcategories are also used for inventory reporting on the LULUCF sector under the UNFCCC (see chapter 6). </w:t>
      </w:r>
    </w:p>
    <w:p w14:paraId="1952A361" w14:textId="77777777" w:rsidR="000E7C76" w:rsidRPr="00256982" w:rsidRDefault="000E7C76" w:rsidP="000E7C76">
      <w:pPr>
        <w:pStyle w:val="BodyText"/>
      </w:pPr>
      <w:r w:rsidRPr="00256982">
        <w:t xml:space="preserve">For post-1989 forest, emissions and removals from carbon losses and gains due to </w:t>
      </w:r>
      <w:r w:rsidRPr="00256982">
        <w:rPr>
          <w:i/>
        </w:rPr>
        <w:t>Afforestation and reforestation</w:t>
      </w:r>
      <w:r w:rsidRPr="00256982">
        <w:rPr>
          <w:rStyle w:val="FootnoteReference"/>
        </w:rPr>
        <w:footnoteReference w:id="64"/>
      </w:r>
      <w:r w:rsidRPr="00256982">
        <w:t xml:space="preserve"> and </w:t>
      </w:r>
      <w:r w:rsidRPr="00256982">
        <w:rPr>
          <w:i/>
        </w:rPr>
        <w:t xml:space="preserve">Deforestation </w:t>
      </w:r>
      <w:r w:rsidRPr="00256982">
        <w:t xml:space="preserve">activities are reported under Article 3.3, along with emissions from </w:t>
      </w:r>
      <w:r w:rsidRPr="00256982">
        <w:rPr>
          <w:i/>
        </w:rPr>
        <w:t>Deforestation</w:t>
      </w:r>
      <w:r w:rsidRPr="00256982">
        <w:t xml:space="preserve"> activities in pre-1990 natural and pre-1990 planted forest. For all </w:t>
      </w:r>
      <w:r w:rsidRPr="00256982">
        <w:rPr>
          <w:i/>
        </w:rPr>
        <w:t>Forest land</w:t>
      </w:r>
      <w:r w:rsidRPr="00256982">
        <w:t xml:space="preserve"> that existed on 31 December 1989, which has been categorised as either pre-1990 natural forest or pre-1990 planted forest, all emissions and removals not associated with </w:t>
      </w:r>
      <w:r w:rsidRPr="00256982">
        <w:rPr>
          <w:i/>
        </w:rPr>
        <w:t>Afforestation and reforestation</w:t>
      </w:r>
      <w:r w:rsidRPr="00256982">
        <w:t xml:space="preserve"> or </w:t>
      </w:r>
      <w:r w:rsidRPr="00256982">
        <w:rPr>
          <w:i/>
        </w:rPr>
        <w:t>Deforestation</w:t>
      </w:r>
      <w:r w:rsidRPr="00256982">
        <w:t xml:space="preserve"> activities are reported under Article 3.4 – </w:t>
      </w:r>
      <w:r w:rsidRPr="00256982">
        <w:rPr>
          <w:i/>
        </w:rPr>
        <w:t>Forest management</w:t>
      </w:r>
      <w:r w:rsidRPr="00256982">
        <w:t xml:space="preserve">. Emissions and removals from the harvest and conversion of forest plantations and establishment of new forests that satisfy the requirements of Decision 2/CMP.7, Annex para 37 (UNFCCC, 2012), are reported under Article 3.4 – </w:t>
      </w:r>
      <w:r w:rsidRPr="00256982">
        <w:rPr>
          <w:i/>
        </w:rPr>
        <w:t xml:space="preserve">Forest management </w:t>
      </w:r>
      <w:r w:rsidRPr="00256982">
        <w:t>as carbon equivalent forests.</w:t>
      </w:r>
    </w:p>
    <w:p w14:paraId="125283D4" w14:textId="77777777" w:rsidR="000E7C76" w:rsidRPr="00256982" w:rsidRDefault="000E7C76" w:rsidP="000E7C76">
      <w:pPr>
        <w:pStyle w:val="BodyText"/>
      </w:pPr>
      <w:r w:rsidRPr="00256982">
        <w:t xml:space="preserve">The definition of forest used for reporting to the Food and Agriculture Organization (FAO) is currently different from that used for reporting under the Convention and the Kyoto Protocol. For reporting to the FAO, New Zealand subdivided forests into two estates based on their biological characteristics, the management regimes applied to the forests and their respective roles and national objectives (Ministry of Agriculture and Forestry, 2002). The two estates are indigenous and planted production forest. The former estate is included within the pre-1990 natural forest as reported in this submission. The planted production forest area largely equates to the productive area in pre-1990 planted forest and post-1989 planted forest. </w:t>
      </w:r>
    </w:p>
    <w:p w14:paraId="0298095A" w14:textId="77777777" w:rsidR="000E7C76" w:rsidRPr="00256982" w:rsidRDefault="000E7C76" w:rsidP="000E7C76">
      <w:pPr>
        <w:pStyle w:val="Heading3"/>
      </w:pPr>
      <w:bookmarkStart w:id="2636" w:name="_Toc261513281"/>
      <w:bookmarkStart w:id="2637" w:name="_Toc261513894"/>
      <w:bookmarkStart w:id="2638" w:name="_Toc280630384"/>
      <w:bookmarkStart w:id="2639" w:name="_Toc377043716"/>
      <w:bookmarkStart w:id="2640" w:name="_Toc400967254"/>
      <w:r w:rsidRPr="00256982">
        <w:t>11.1.2</w:t>
      </w:r>
      <w:r w:rsidRPr="00256982">
        <w:tab/>
        <w:t>Elected activities under Article 3.4</w:t>
      </w:r>
      <w:bookmarkEnd w:id="2636"/>
      <w:bookmarkEnd w:id="2637"/>
      <w:bookmarkEnd w:id="2638"/>
      <w:bookmarkEnd w:id="2639"/>
      <w:bookmarkEnd w:id="2640"/>
    </w:p>
    <w:p w14:paraId="1DAB710D" w14:textId="77777777" w:rsidR="000E7C76" w:rsidRPr="00256982" w:rsidRDefault="000E7C76" w:rsidP="000E7C76">
      <w:pPr>
        <w:pStyle w:val="BodyText"/>
      </w:pPr>
      <w:r w:rsidRPr="00256982">
        <w:t>New Zealand has not elected to report on any of the voluntary activities under Article 3.4 of the Kyoto Protocol for the second commitment period. This is consistent with New Zealand’s reporting for the first commitment period.</w:t>
      </w:r>
    </w:p>
    <w:p w14:paraId="551CD1C5" w14:textId="77777777" w:rsidR="000E7C76" w:rsidRPr="00256982" w:rsidRDefault="000E7C76" w:rsidP="000E7C76">
      <w:pPr>
        <w:pStyle w:val="Heading3"/>
      </w:pPr>
      <w:r w:rsidRPr="00256982">
        <w:t xml:space="preserve">11.1.3 </w:t>
      </w:r>
      <w:r w:rsidRPr="00256982">
        <w:tab/>
        <w:t>Election of the Natural disturbance provision</w:t>
      </w:r>
    </w:p>
    <w:p w14:paraId="4DA85F70" w14:textId="77777777" w:rsidR="000E7C76" w:rsidRPr="00256982" w:rsidRDefault="000E7C76" w:rsidP="00C7311A">
      <w:pPr>
        <w:pStyle w:val="BodyText"/>
        <w:spacing w:before="100" w:after="100"/>
      </w:pPr>
      <w:r w:rsidRPr="00256982">
        <w:t xml:space="preserve">In the event of a significant natural disturbance, New Zealand intends to apply the provision to exclude emissions due to natural disturbances from accounting for </w:t>
      </w:r>
      <w:r w:rsidRPr="00256982">
        <w:rPr>
          <w:i/>
        </w:rPr>
        <w:t>Afforestation and reforestation</w:t>
      </w:r>
      <w:r w:rsidRPr="00256982">
        <w:t xml:space="preserve"> under Article 3.3, and </w:t>
      </w:r>
      <w:r w:rsidRPr="00256982">
        <w:rPr>
          <w:i/>
        </w:rPr>
        <w:t>Forest management</w:t>
      </w:r>
      <w:r w:rsidRPr="00256982">
        <w:t xml:space="preserve"> under Article 3.4, of the Kyoto Protocol, in accordance with Decision 2/CMP.7 (Annex, paras 33 and 34, UNFCCC, 2012). </w:t>
      </w:r>
    </w:p>
    <w:p w14:paraId="4F62229B" w14:textId="77777777" w:rsidR="000E7C76" w:rsidRPr="00256982" w:rsidRDefault="000E7C76" w:rsidP="00C7311A">
      <w:pPr>
        <w:pStyle w:val="BodyText"/>
        <w:spacing w:before="100" w:after="100"/>
      </w:pPr>
      <w:r w:rsidRPr="00256982">
        <w:t>Information on how New Zealand has calculated the background level for natural disturbance is included in annex 5.2.</w:t>
      </w:r>
    </w:p>
    <w:p w14:paraId="02D662C3" w14:textId="77777777" w:rsidR="000E7C76" w:rsidRPr="00256982" w:rsidRDefault="000E7C76" w:rsidP="000E7C76">
      <w:pPr>
        <w:pStyle w:val="Heading3"/>
      </w:pPr>
      <w:bookmarkStart w:id="2641" w:name="_Toc261513282"/>
      <w:bookmarkStart w:id="2642" w:name="_Toc261513895"/>
      <w:bookmarkStart w:id="2643" w:name="_Toc280630385"/>
      <w:bookmarkStart w:id="2644" w:name="_Toc377043717"/>
      <w:bookmarkStart w:id="2645" w:name="_Toc400967255"/>
      <w:r w:rsidRPr="00256982">
        <w:t>11.1.4</w:t>
      </w:r>
      <w:r w:rsidRPr="00256982">
        <w:tab/>
        <w:t>Implementation of Article 3.3</w:t>
      </w:r>
      <w:bookmarkEnd w:id="2641"/>
      <w:bookmarkEnd w:id="2642"/>
      <w:bookmarkEnd w:id="2643"/>
      <w:bookmarkEnd w:id="2644"/>
      <w:r w:rsidRPr="00256982">
        <w:t xml:space="preserve"> and Article 3.4</w:t>
      </w:r>
      <w:bookmarkEnd w:id="2645"/>
      <w:r w:rsidRPr="00256982">
        <w:t xml:space="preserve"> reporting</w:t>
      </w:r>
    </w:p>
    <w:p w14:paraId="75978D22" w14:textId="77777777" w:rsidR="000E7C76" w:rsidRPr="00256982" w:rsidRDefault="000E7C76" w:rsidP="00C7311A">
      <w:pPr>
        <w:pStyle w:val="BodyText"/>
        <w:spacing w:before="100" w:after="100"/>
      </w:pPr>
      <w:r w:rsidRPr="00256982">
        <w:t xml:space="preserve">New Zealand reports </w:t>
      </w:r>
      <w:r w:rsidRPr="00256982">
        <w:rPr>
          <w:i/>
        </w:rPr>
        <w:t>Afforestation and reforestation</w:t>
      </w:r>
      <w:r w:rsidRPr="00256982">
        <w:t xml:space="preserve">, </w:t>
      </w:r>
      <w:r w:rsidRPr="00256982">
        <w:rPr>
          <w:i/>
        </w:rPr>
        <w:t>Deforestation</w:t>
      </w:r>
      <w:r w:rsidRPr="00256982">
        <w:t xml:space="preserve"> and </w:t>
      </w:r>
      <w:r w:rsidRPr="00256982">
        <w:rPr>
          <w:i/>
        </w:rPr>
        <w:t>Forest management</w:t>
      </w:r>
      <w:r w:rsidRPr="00256982">
        <w:t xml:space="preserve"> under Article 3.3 and Article 3.4 respectively. In 2017, this covered 10,125,495 hectares, or 37.6 per cent, of New Zealand’s total land area.</w:t>
      </w:r>
    </w:p>
    <w:p w14:paraId="520E3755" w14:textId="77777777" w:rsidR="000E7C76" w:rsidRPr="00256982" w:rsidRDefault="000E7C76" w:rsidP="00C7311A">
      <w:pPr>
        <w:pStyle w:val="BodyText"/>
        <w:spacing w:before="100" w:after="100"/>
      </w:pPr>
      <w:r w:rsidRPr="00256982">
        <w:t xml:space="preserve">The hierarchy used by New Zealand in the reporting of these activities is as set out in section 1.2 of the Kyoto Protocol Supplement (IPCC, 2014a). This hierarchy means that once a forest area has been identified as deforested, it remains in this category. Therefore, all subsequent stock changes, emissions and removals on this land are reported under </w:t>
      </w:r>
      <w:r w:rsidRPr="00256982">
        <w:rPr>
          <w:i/>
        </w:rPr>
        <w:t>Deforestation</w:t>
      </w:r>
      <w:r w:rsidRPr="00256982">
        <w:t>.</w:t>
      </w:r>
    </w:p>
    <w:p w14:paraId="066D8A87" w14:textId="77777777" w:rsidR="000E7C76" w:rsidRPr="00256982" w:rsidRDefault="000E7C76" w:rsidP="00C7311A">
      <w:pPr>
        <w:pStyle w:val="BodyText"/>
        <w:spacing w:before="100" w:after="100"/>
      </w:pPr>
      <w:r w:rsidRPr="00256982">
        <w:t xml:space="preserve">Tracking of these deforested areas during the calculation and land use mapping processes (explained in chapter 6, section 6.2.2) ensures that land areas, once deforested, cannot be reported under </w:t>
      </w:r>
      <w:r w:rsidRPr="00256982">
        <w:rPr>
          <w:i/>
        </w:rPr>
        <w:t>Afforestation and reforestation</w:t>
      </w:r>
      <w:r w:rsidRPr="00256982">
        <w:t xml:space="preserve"> or </w:t>
      </w:r>
      <w:r w:rsidRPr="00256982">
        <w:rPr>
          <w:i/>
        </w:rPr>
        <w:t>Forest management</w:t>
      </w:r>
      <w:r w:rsidRPr="00256982">
        <w:t xml:space="preserve">, and that the emissions and removals associated with the new land use or any subsequent land uses are reported under </w:t>
      </w:r>
      <w:r w:rsidRPr="00256982">
        <w:rPr>
          <w:i/>
        </w:rPr>
        <w:t>Deforestation</w:t>
      </w:r>
      <w:r w:rsidRPr="00256982">
        <w:t>. The process for identification of deforested land is outlined in section 11.5.</w:t>
      </w:r>
    </w:p>
    <w:p w14:paraId="33681DEF" w14:textId="77777777" w:rsidR="000E7C76" w:rsidRPr="00256982" w:rsidRDefault="000E7C76" w:rsidP="00C7311A">
      <w:pPr>
        <w:pStyle w:val="BodyText"/>
        <w:spacing w:before="100" w:after="100"/>
      </w:pPr>
      <w:r w:rsidRPr="00256982">
        <w:t xml:space="preserve">Areas subject to the carbon equivalent forest provision are tracked separately and reported under </w:t>
      </w:r>
      <w:r w:rsidRPr="00256982">
        <w:rPr>
          <w:i/>
        </w:rPr>
        <w:t>Forest management</w:t>
      </w:r>
      <w:r w:rsidRPr="00256982">
        <w:t xml:space="preserve"> (refer to sections 11.2.2 and 11.3.4 for more detail). </w:t>
      </w:r>
    </w:p>
    <w:p w14:paraId="3C5118D7" w14:textId="77777777" w:rsidR="000E7C76" w:rsidRPr="00256982" w:rsidRDefault="000E7C76" w:rsidP="000E7C76">
      <w:pPr>
        <w:pStyle w:val="Heading2"/>
      </w:pPr>
      <w:bookmarkStart w:id="2646" w:name="_Toc261513283"/>
      <w:bookmarkStart w:id="2647" w:name="_Toc261513896"/>
      <w:bookmarkStart w:id="2648" w:name="_Toc280630386"/>
      <w:bookmarkStart w:id="2649" w:name="_Toc310423465"/>
      <w:bookmarkStart w:id="2650" w:name="_Toc342470733"/>
      <w:bookmarkStart w:id="2651" w:name="_Toc352504892"/>
      <w:bookmarkStart w:id="2652" w:name="_Toc377043718"/>
      <w:bookmarkStart w:id="2653" w:name="_Toc391023462"/>
      <w:bookmarkStart w:id="2654" w:name="_Toc400967256"/>
      <w:bookmarkStart w:id="2655" w:name="_Toc414531341"/>
      <w:bookmarkStart w:id="2656" w:name="_Toc456179170"/>
      <w:bookmarkStart w:id="2657" w:name="_Toc481751423"/>
      <w:bookmarkStart w:id="2658" w:name="_Toc522013962"/>
      <w:bookmarkStart w:id="2659" w:name="_Toc5269406"/>
      <w:r w:rsidRPr="00256982">
        <w:t>11.2</w:t>
      </w:r>
      <w:r w:rsidRPr="00256982">
        <w:tab/>
        <w:t>Land-related information</w:t>
      </w:r>
      <w:bookmarkEnd w:id="2646"/>
      <w:bookmarkEnd w:id="2647"/>
      <w:bookmarkEnd w:id="2648"/>
      <w:bookmarkEnd w:id="2649"/>
      <w:bookmarkEnd w:id="2650"/>
      <w:bookmarkEnd w:id="2651"/>
      <w:bookmarkEnd w:id="2652"/>
      <w:bookmarkEnd w:id="2653"/>
      <w:bookmarkEnd w:id="2654"/>
      <w:bookmarkEnd w:id="2655"/>
      <w:bookmarkEnd w:id="2656"/>
      <w:bookmarkEnd w:id="2657"/>
      <w:bookmarkEnd w:id="2658"/>
      <w:bookmarkEnd w:id="2659"/>
    </w:p>
    <w:p w14:paraId="0E32C0BB" w14:textId="77777777" w:rsidR="000E7C76" w:rsidRPr="00256982" w:rsidRDefault="000E7C76" w:rsidP="000E7C76">
      <w:pPr>
        <w:pStyle w:val="Heading3"/>
        <w:spacing w:before="240"/>
      </w:pPr>
      <w:bookmarkStart w:id="2660" w:name="_Toc261513284"/>
      <w:bookmarkStart w:id="2661" w:name="_Toc261513897"/>
      <w:bookmarkStart w:id="2662" w:name="_Toc280630387"/>
      <w:bookmarkStart w:id="2663" w:name="_Toc377043719"/>
      <w:bookmarkStart w:id="2664" w:name="_Toc400967257"/>
      <w:r w:rsidRPr="00256982">
        <w:t xml:space="preserve">11.2.1 </w:t>
      </w:r>
      <w:r w:rsidRPr="00256982">
        <w:tab/>
        <w:t>Spatial assessment unit</w:t>
      </w:r>
      <w:bookmarkEnd w:id="2660"/>
      <w:bookmarkEnd w:id="2661"/>
      <w:bookmarkEnd w:id="2662"/>
      <w:bookmarkEnd w:id="2663"/>
      <w:bookmarkEnd w:id="2664"/>
    </w:p>
    <w:p w14:paraId="4C188A7E" w14:textId="77777777" w:rsidR="000E7C76" w:rsidRPr="00256982" w:rsidRDefault="000E7C76" w:rsidP="000E7C76">
      <w:pPr>
        <w:pStyle w:val="BodyText"/>
      </w:pPr>
      <w:r w:rsidRPr="00256982">
        <w:t>New Zealand is using a minimum mapping unit of 1 hectare.</w:t>
      </w:r>
    </w:p>
    <w:p w14:paraId="6485E554" w14:textId="77777777" w:rsidR="000E7C76" w:rsidRPr="00256982" w:rsidRDefault="000E7C76" w:rsidP="000E7C76">
      <w:pPr>
        <w:pStyle w:val="Heading3"/>
        <w:spacing w:before="280"/>
      </w:pPr>
      <w:bookmarkStart w:id="2665" w:name="_Toc261513285"/>
      <w:bookmarkStart w:id="2666" w:name="_Toc261513898"/>
      <w:bookmarkStart w:id="2667" w:name="_Toc280630388"/>
      <w:bookmarkStart w:id="2668" w:name="_Toc377043720"/>
      <w:bookmarkStart w:id="2669" w:name="_Toc400967258"/>
      <w:r w:rsidRPr="00256982">
        <w:t xml:space="preserve">11.2.2 </w:t>
      </w:r>
      <w:r w:rsidRPr="00256982">
        <w:tab/>
        <w:t>Methodology for land transition matrix</w:t>
      </w:r>
      <w:bookmarkEnd w:id="2665"/>
      <w:bookmarkEnd w:id="2666"/>
      <w:bookmarkEnd w:id="2667"/>
      <w:bookmarkEnd w:id="2668"/>
      <w:bookmarkEnd w:id="2669"/>
    </w:p>
    <w:p w14:paraId="7FBBB462" w14:textId="77777777" w:rsidR="000E7C76" w:rsidRPr="00256982" w:rsidRDefault="000E7C76" w:rsidP="000E7C76">
      <w:pPr>
        <w:pStyle w:val="BodyText"/>
      </w:pPr>
      <w:r w:rsidRPr="00256982">
        <w:t>The land transition matrix is based on data derived from the following sources:</w:t>
      </w:r>
    </w:p>
    <w:p w14:paraId="5F0410E1" w14:textId="77777777" w:rsidR="000E7C76" w:rsidRPr="00256982" w:rsidRDefault="000E7C76" w:rsidP="000E7C76">
      <w:pPr>
        <w:pStyle w:val="Bullet"/>
        <w:numPr>
          <w:ilvl w:val="0"/>
          <w:numId w:val="8"/>
        </w:numPr>
      </w:pPr>
      <w:r w:rsidRPr="00256982">
        <w:t>the 1990, 2008, 2012 and 2016 land use maps</w:t>
      </w:r>
    </w:p>
    <w:p w14:paraId="3A087C8D" w14:textId="77777777" w:rsidR="000E7C76" w:rsidRPr="00256982" w:rsidRDefault="000E7C76" w:rsidP="000E7C76">
      <w:pPr>
        <w:pStyle w:val="Bullet"/>
        <w:numPr>
          <w:ilvl w:val="0"/>
          <w:numId w:val="8"/>
        </w:numPr>
      </w:pPr>
      <w:r w:rsidRPr="00256982">
        <w:t>an estimate of total afforestation for the period 2013 to 2017 from the National Exotic Forest Description (Ministry for Primary Industries, 2017)</w:t>
      </w:r>
    </w:p>
    <w:p w14:paraId="729F0DE1" w14:textId="77777777" w:rsidR="000E7C76" w:rsidRPr="00256982" w:rsidRDefault="000E7C76" w:rsidP="000E7C76">
      <w:pPr>
        <w:pStyle w:val="Bullet"/>
        <w:numPr>
          <w:ilvl w:val="0"/>
          <w:numId w:val="8"/>
        </w:numPr>
      </w:pPr>
      <w:r w:rsidRPr="00256982">
        <w:t>deforestation mapping for 2008 and 2016 (Indufor Asia Pacific, 2013; 2016; 2018)</w:t>
      </w:r>
      <w:r w:rsidRPr="00256982" w:rsidDel="00D152CF">
        <w:t xml:space="preserve"> </w:t>
      </w:r>
    </w:p>
    <w:p w14:paraId="5AE456B7" w14:textId="77777777" w:rsidR="000E7C76" w:rsidRPr="00256982" w:rsidRDefault="000E7C76" w:rsidP="000E7C76">
      <w:pPr>
        <w:pStyle w:val="Bullet"/>
        <w:numPr>
          <w:ilvl w:val="0"/>
          <w:numId w:val="8"/>
        </w:numPr>
      </w:pPr>
      <w:r w:rsidRPr="00256982">
        <w:t>estimates for 2017 deforestation based on the Deforestation Survey 2015 (Manley, 2016) and the Deforestation Intentions Survey 2017 (Manley, 2018).</w:t>
      </w:r>
    </w:p>
    <w:p w14:paraId="04DF8C91" w14:textId="77777777" w:rsidR="000E7C76" w:rsidRPr="00256982" w:rsidRDefault="000E7C76" w:rsidP="000E7C76">
      <w:pPr>
        <w:pStyle w:val="BodyText"/>
      </w:pPr>
      <w:r w:rsidRPr="00256982">
        <w:t xml:space="preserve">Due to the land use category definitions used by New Zealand, which split forests established before 1990 from those established after 1989, the land transition matrix can be derived from the sequence of land-use changes occurring through the reporting period. Using the 1990 land use map as the baseline, areas of deforestation can be tracked through time to ensure that, regardless of subsequent land-use change, the net emissions that occur on the deforested land are reported under </w:t>
      </w:r>
      <w:r w:rsidRPr="00256982">
        <w:rPr>
          <w:i/>
        </w:rPr>
        <w:t>Deforestation</w:t>
      </w:r>
      <w:r w:rsidRPr="00256982">
        <w:t xml:space="preserve">. Where a pre-1990 planted forest is harvested and converted to another land use under the carbon equivalent forest provision, the land is tracked spatially and its net emissions are reported under </w:t>
      </w:r>
      <w:r w:rsidRPr="00256982">
        <w:rPr>
          <w:i/>
        </w:rPr>
        <w:t>Forest management</w:t>
      </w:r>
      <w:r w:rsidRPr="00256982">
        <w:t xml:space="preserve">, as are the areas and net emissions due to the new forest that was established to compensate for the harvested and converted forest. </w:t>
      </w:r>
    </w:p>
    <w:p w14:paraId="0F20413D" w14:textId="77777777" w:rsidR="000E7C76" w:rsidRPr="00256982" w:rsidRDefault="000E7C76" w:rsidP="000E7C76">
      <w:pPr>
        <w:pStyle w:val="BodyText"/>
      </w:pPr>
      <w:r w:rsidRPr="00256982">
        <w:t>The relationship between mapped land-use changes and activities reported under Article 3.3 and Article 3.4 is shown in table 11.2.1.</w:t>
      </w:r>
    </w:p>
    <w:p w14:paraId="63737B3A" w14:textId="52C065B5" w:rsidR="000E7C76" w:rsidRPr="00256982" w:rsidRDefault="00590491" w:rsidP="000E7C76">
      <w:pPr>
        <w:pStyle w:val="Table"/>
      </w:pPr>
      <w:bookmarkStart w:id="2670" w:name="_Toc414531529"/>
      <w:bookmarkStart w:id="2671" w:name="_Toc456179106"/>
      <w:bookmarkStart w:id="2672" w:name="_Toc481751632"/>
      <w:bookmarkStart w:id="2673" w:name="_Toc522010657"/>
      <w:bookmarkStart w:id="2674" w:name="_Toc5269627"/>
      <w:r>
        <w:pict w14:anchorId="09AD2711">
          <v:line id="Straight Connector 37" o:spid="_x0000_s1295" style="position:absolute;left:0;text-align:left;z-index: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5pt,30pt" to="59.6pt,6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" strokecolor="window" strokeweight=".5pt">
            <v:stroke joinstyle="miter"/>
            <o:lock v:ext="edit" shapetype="f"/>
          </v:line>
        </w:pict>
      </w:r>
      <w:r w:rsidR="000E7C76" w:rsidRPr="00256982">
        <w:t>Table 11.2.1</w:t>
      </w:r>
      <w:r w:rsidR="000E7C76" w:rsidRPr="00256982">
        <w:tab/>
        <w:t>Relationship between mapped land-use changes and activities reported under</w:t>
      </w:r>
      <w:r w:rsidR="000E7C76" w:rsidRPr="00256982">
        <w:br/>
        <w:t>Article 3.3 and Article 3.4</w:t>
      </w:r>
      <w:bookmarkEnd w:id="2670"/>
      <w:bookmarkEnd w:id="2671"/>
      <w:bookmarkEnd w:id="2672"/>
      <w:bookmarkEnd w:id="2673"/>
      <w:bookmarkEnd w:id="2674"/>
    </w:p>
    <w:tbl>
      <w:tblPr>
        <w:tblW w:w="8505" w:type="dxa"/>
        <w:tblInd w:w="108" w:type="dxa"/>
        <w:tblBorders>
          <w:top w:val="single" w:sz="4" w:space="0" w:color="365F91"/>
          <w:bottom w:val="single" w:sz="4" w:space="0" w:color="365F91"/>
          <w:insideH w:val="single" w:sz="4" w:space="0" w:color="365F91"/>
        </w:tblBorders>
        <w:tblLook w:val="04A0" w:firstRow="1" w:lastRow="0" w:firstColumn="1" w:lastColumn="0" w:noHBand="0" w:noVBand="1"/>
      </w:tblPr>
      <w:tblGrid>
        <w:gridCol w:w="1206"/>
        <w:gridCol w:w="886"/>
        <w:gridCol w:w="892"/>
        <w:gridCol w:w="873"/>
        <w:gridCol w:w="953"/>
        <w:gridCol w:w="913"/>
        <w:gridCol w:w="835"/>
        <w:gridCol w:w="1077"/>
        <w:gridCol w:w="870"/>
      </w:tblGrid>
      <w:tr w:rsidR="000E7C76" w:rsidRPr="00256982" w14:paraId="31088BD5" w14:textId="77777777" w:rsidTr="000E7C76">
        <w:tc>
          <w:tcPr>
            <w:tcW w:w="1242" w:type="dxa"/>
            <w:shd w:val="clear" w:color="auto" w:fill="365F91"/>
            <w:tcMar>
              <w:left w:w="85" w:type="dxa"/>
              <w:right w:w="85" w:type="dxa"/>
            </w:tcMar>
            <w:vAlign w:val="bottom"/>
          </w:tcPr>
          <w:p w14:paraId="604B5781" w14:textId="77777777" w:rsidR="000E7C76" w:rsidRPr="00256982" w:rsidRDefault="000E7C76" w:rsidP="000E7C76">
            <w:pPr>
              <w:pStyle w:val="TableTextBold"/>
              <w:jc w:val="right"/>
              <w:rPr>
                <w:noProof w:val="0"/>
                <w:color w:val="FFFFFF"/>
              </w:rPr>
            </w:pPr>
            <w:r w:rsidRPr="00256982">
              <w:rPr>
                <w:noProof w:val="0"/>
                <w:color w:val="FFFFFF"/>
              </w:rPr>
              <w:t>Final</w:t>
            </w:r>
          </w:p>
          <w:p w14:paraId="4568DE3C" w14:textId="77777777" w:rsidR="000E7C76" w:rsidRPr="00256982" w:rsidRDefault="000E7C76" w:rsidP="000E7C76">
            <w:pPr>
              <w:pStyle w:val="TableTextBold"/>
              <w:rPr>
                <w:noProof w:val="0"/>
                <w:color w:val="FFFFFF"/>
              </w:rPr>
            </w:pPr>
            <w:r w:rsidRPr="00256982">
              <w:rPr>
                <w:noProof w:val="0"/>
                <w:color w:val="FFFFFF"/>
              </w:rPr>
              <w:t>Initial</w:t>
            </w:r>
          </w:p>
        </w:tc>
        <w:tc>
          <w:tcPr>
            <w:tcW w:w="921" w:type="dxa"/>
            <w:shd w:val="clear" w:color="auto" w:fill="365F91"/>
            <w:tcMar>
              <w:left w:w="85" w:type="dxa"/>
              <w:right w:w="85" w:type="dxa"/>
            </w:tcMar>
            <w:vAlign w:val="bottom"/>
          </w:tcPr>
          <w:p w14:paraId="63226CA0" w14:textId="77777777" w:rsidR="000E7C76" w:rsidRPr="00256982" w:rsidRDefault="000E7C76" w:rsidP="000E7C76">
            <w:pPr>
              <w:pStyle w:val="TableTextBold"/>
              <w:jc w:val="center"/>
              <w:rPr>
                <w:noProof w:val="0"/>
                <w:color w:val="FFFFFF"/>
              </w:rPr>
            </w:pPr>
            <w:r w:rsidRPr="00256982">
              <w:rPr>
                <w:noProof w:val="0"/>
                <w:color w:val="FFFFFF"/>
              </w:rPr>
              <w:t>Pre-1990 natural forest</w:t>
            </w:r>
          </w:p>
        </w:tc>
        <w:tc>
          <w:tcPr>
            <w:tcW w:w="921" w:type="dxa"/>
            <w:shd w:val="clear" w:color="auto" w:fill="365F91"/>
            <w:tcMar>
              <w:left w:w="85" w:type="dxa"/>
              <w:right w:w="85" w:type="dxa"/>
            </w:tcMar>
            <w:vAlign w:val="bottom"/>
          </w:tcPr>
          <w:p w14:paraId="3AAE253F" w14:textId="77777777" w:rsidR="000E7C76" w:rsidRPr="00256982" w:rsidRDefault="000E7C76" w:rsidP="000E7C76">
            <w:pPr>
              <w:pStyle w:val="TableTextBold"/>
              <w:jc w:val="center"/>
              <w:rPr>
                <w:noProof w:val="0"/>
                <w:color w:val="FFFFFF"/>
              </w:rPr>
            </w:pPr>
            <w:r w:rsidRPr="00256982">
              <w:rPr>
                <w:noProof w:val="0"/>
                <w:color w:val="FFFFFF"/>
              </w:rPr>
              <w:t>Pre-1990 planted forest</w:t>
            </w:r>
          </w:p>
        </w:tc>
        <w:tc>
          <w:tcPr>
            <w:tcW w:w="922" w:type="dxa"/>
            <w:shd w:val="clear" w:color="auto" w:fill="365F91"/>
            <w:tcMar>
              <w:left w:w="85" w:type="dxa"/>
              <w:right w:w="85" w:type="dxa"/>
            </w:tcMar>
            <w:vAlign w:val="bottom"/>
          </w:tcPr>
          <w:p w14:paraId="45D7A3AC" w14:textId="77777777" w:rsidR="000E7C76" w:rsidRPr="00256982" w:rsidRDefault="000E7C76" w:rsidP="000E7C76">
            <w:pPr>
              <w:pStyle w:val="TableTextBold"/>
              <w:jc w:val="center"/>
              <w:rPr>
                <w:noProof w:val="0"/>
                <w:color w:val="FFFFFF"/>
              </w:rPr>
            </w:pPr>
            <w:r w:rsidRPr="00256982">
              <w:rPr>
                <w:noProof w:val="0"/>
                <w:color w:val="FFFFFF"/>
              </w:rPr>
              <w:t>Post-1989 forest</w:t>
            </w:r>
          </w:p>
        </w:tc>
        <w:tc>
          <w:tcPr>
            <w:tcW w:w="921" w:type="dxa"/>
            <w:shd w:val="clear" w:color="auto" w:fill="365F91"/>
            <w:tcMar>
              <w:left w:w="85" w:type="dxa"/>
              <w:right w:w="85" w:type="dxa"/>
            </w:tcMar>
            <w:vAlign w:val="bottom"/>
          </w:tcPr>
          <w:p w14:paraId="7CAEE9C1" w14:textId="77777777" w:rsidR="000E7C76" w:rsidRPr="00256982" w:rsidRDefault="000E7C76" w:rsidP="000E7C76">
            <w:pPr>
              <w:pStyle w:val="TableTextBold"/>
              <w:jc w:val="center"/>
              <w:rPr>
                <w:noProof w:val="0"/>
                <w:color w:val="FFFFFF"/>
              </w:rPr>
            </w:pPr>
            <w:r w:rsidRPr="00256982">
              <w:rPr>
                <w:noProof w:val="0"/>
                <w:color w:val="FFFFFF"/>
              </w:rPr>
              <w:t>Grassland</w:t>
            </w:r>
          </w:p>
        </w:tc>
        <w:tc>
          <w:tcPr>
            <w:tcW w:w="921" w:type="dxa"/>
            <w:shd w:val="clear" w:color="auto" w:fill="365F91"/>
            <w:tcMar>
              <w:left w:w="85" w:type="dxa"/>
              <w:right w:w="85" w:type="dxa"/>
            </w:tcMar>
            <w:vAlign w:val="bottom"/>
          </w:tcPr>
          <w:p w14:paraId="5D4A7D02" w14:textId="77777777" w:rsidR="000E7C76" w:rsidRPr="00256982" w:rsidRDefault="000E7C76" w:rsidP="000E7C76">
            <w:pPr>
              <w:pStyle w:val="TableTextBold"/>
              <w:jc w:val="center"/>
              <w:rPr>
                <w:noProof w:val="0"/>
                <w:color w:val="FFFFFF"/>
              </w:rPr>
            </w:pPr>
            <w:r w:rsidRPr="00256982">
              <w:rPr>
                <w:noProof w:val="0"/>
                <w:color w:val="FFFFFF"/>
              </w:rPr>
              <w:t>Cropland</w:t>
            </w:r>
          </w:p>
        </w:tc>
        <w:tc>
          <w:tcPr>
            <w:tcW w:w="843" w:type="dxa"/>
            <w:shd w:val="clear" w:color="auto" w:fill="365F91"/>
            <w:tcMar>
              <w:left w:w="85" w:type="dxa"/>
              <w:right w:w="85" w:type="dxa"/>
            </w:tcMar>
            <w:vAlign w:val="bottom"/>
          </w:tcPr>
          <w:p w14:paraId="0DAAA526" w14:textId="77777777" w:rsidR="000E7C76" w:rsidRPr="00256982" w:rsidRDefault="000E7C76" w:rsidP="000E7C76">
            <w:pPr>
              <w:pStyle w:val="TableTextBold"/>
              <w:jc w:val="center"/>
              <w:rPr>
                <w:noProof w:val="0"/>
                <w:color w:val="FFFFFF"/>
              </w:rPr>
            </w:pPr>
            <w:r w:rsidRPr="00256982">
              <w:rPr>
                <w:noProof w:val="0"/>
                <w:color w:val="FFFFFF"/>
              </w:rPr>
              <w:t>Wetland</w:t>
            </w:r>
          </w:p>
        </w:tc>
        <w:tc>
          <w:tcPr>
            <w:tcW w:w="1000" w:type="dxa"/>
            <w:shd w:val="clear" w:color="auto" w:fill="365F91"/>
            <w:tcMar>
              <w:left w:w="85" w:type="dxa"/>
              <w:right w:w="85" w:type="dxa"/>
            </w:tcMar>
            <w:vAlign w:val="bottom"/>
          </w:tcPr>
          <w:p w14:paraId="668E5A1A" w14:textId="77777777" w:rsidR="000E7C76" w:rsidRPr="00256982" w:rsidRDefault="000E7C76" w:rsidP="000E7C76">
            <w:pPr>
              <w:pStyle w:val="TableTextBold"/>
              <w:jc w:val="center"/>
              <w:rPr>
                <w:noProof w:val="0"/>
                <w:color w:val="FFFFFF"/>
              </w:rPr>
            </w:pPr>
            <w:r w:rsidRPr="00256982">
              <w:rPr>
                <w:noProof w:val="0"/>
                <w:color w:val="FFFFFF"/>
              </w:rPr>
              <w:t>Settlements</w:t>
            </w:r>
          </w:p>
        </w:tc>
        <w:tc>
          <w:tcPr>
            <w:tcW w:w="922" w:type="dxa"/>
            <w:shd w:val="clear" w:color="auto" w:fill="365F91"/>
            <w:tcMar>
              <w:left w:w="85" w:type="dxa"/>
              <w:right w:w="85" w:type="dxa"/>
            </w:tcMar>
            <w:vAlign w:val="bottom"/>
          </w:tcPr>
          <w:p w14:paraId="7E23733B" w14:textId="77777777" w:rsidR="000E7C76" w:rsidRPr="00256982" w:rsidRDefault="000E7C76" w:rsidP="000E7C76">
            <w:pPr>
              <w:pStyle w:val="TableTextBold"/>
              <w:jc w:val="center"/>
              <w:rPr>
                <w:noProof w:val="0"/>
                <w:color w:val="FFFFFF"/>
              </w:rPr>
            </w:pPr>
            <w:r w:rsidRPr="00256982">
              <w:rPr>
                <w:noProof w:val="0"/>
                <w:color w:val="FFFFFF"/>
              </w:rPr>
              <w:t>Other land</w:t>
            </w:r>
          </w:p>
        </w:tc>
      </w:tr>
      <w:tr w:rsidR="000E7C76" w:rsidRPr="00256982" w14:paraId="6E30D026" w14:textId="77777777" w:rsidTr="000E7C76">
        <w:tc>
          <w:tcPr>
            <w:tcW w:w="1242" w:type="dxa"/>
            <w:shd w:val="clear" w:color="auto" w:fill="auto"/>
            <w:tcMar>
              <w:left w:w="85" w:type="dxa"/>
              <w:right w:w="85" w:type="dxa"/>
            </w:tcMar>
          </w:tcPr>
          <w:p w14:paraId="2FE92559" w14:textId="77777777" w:rsidR="000E7C76" w:rsidRPr="00256982" w:rsidRDefault="000E7C76" w:rsidP="000E7C76">
            <w:pPr>
              <w:pStyle w:val="TableText"/>
            </w:pPr>
            <w:r w:rsidRPr="00256982">
              <w:t>Pre-1990 natural forest</w:t>
            </w:r>
          </w:p>
        </w:tc>
        <w:tc>
          <w:tcPr>
            <w:tcW w:w="921" w:type="dxa"/>
            <w:shd w:val="clear" w:color="auto" w:fill="auto"/>
            <w:tcMar>
              <w:left w:w="85" w:type="dxa"/>
              <w:right w:w="85" w:type="dxa"/>
            </w:tcMar>
          </w:tcPr>
          <w:p w14:paraId="1E4A9F4D" w14:textId="77777777" w:rsidR="000E7C76" w:rsidRPr="00256982" w:rsidRDefault="000E7C76" w:rsidP="000E7C76">
            <w:pPr>
              <w:pStyle w:val="TableText"/>
              <w:jc w:val="center"/>
              <w:rPr>
                <w:rFonts w:cs="Arial"/>
              </w:rPr>
            </w:pPr>
            <w:r w:rsidRPr="00256982">
              <w:rPr>
                <w:rFonts w:cs="Arial"/>
              </w:rPr>
              <w:t>FM</w:t>
            </w:r>
          </w:p>
        </w:tc>
        <w:tc>
          <w:tcPr>
            <w:tcW w:w="921" w:type="dxa"/>
            <w:shd w:val="clear" w:color="auto" w:fill="auto"/>
            <w:tcMar>
              <w:left w:w="85" w:type="dxa"/>
              <w:right w:w="85" w:type="dxa"/>
            </w:tcMar>
          </w:tcPr>
          <w:p w14:paraId="2FCE09E4" w14:textId="77777777" w:rsidR="000E7C76" w:rsidRPr="00256982" w:rsidRDefault="000E7C76" w:rsidP="000E7C76">
            <w:pPr>
              <w:pStyle w:val="TableText"/>
              <w:jc w:val="center"/>
              <w:rPr>
                <w:rFonts w:cs="Arial"/>
              </w:rPr>
            </w:pPr>
            <w:r w:rsidRPr="00256982">
              <w:rPr>
                <w:rFonts w:cs="Arial"/>
              </w:rPr>
              <w:t>FM</w:t>
            </w:r>
          </w:p>
        </w:tc>
        <w:tc>
          <w:tcPr>
            <w:tcW w:w="922" w:type="dxa"/>
            <w:shd w:val="clear" w:color="auto" w:fill="auto"/>
            <w:tcMar>
              <w:left w:w="85" w:type="dxa"/>
              <w:right w:w="85" w:type="dxa"/>
            </w:tcMar>
          </w:tcPr>
          <w:p w14:paraId="0E5E3D28" w14:textId="77777777" w:rsidR="000E7C76" w:rsidRPr="00256982" w:rsidRDefault="000E7C76" w:rsidP="000E7C76">
            <w:pPr>
              <w:pStyle w:val="TableText"/>
              <w:jc w:val="center"/>
              <w:rPr>
                <w:rFonts w:cs="Arial"/>
              </w:rPr>
            </w:pPr>
            <w:r w:rsidRPr="00256982">
              <w:rPr>
                <w:rFonts w:cs="Arial"/>
              </w:rPr>
              <w:t>–</w:t>
            </w:r>
          </w:p>
        </w:tc>
        <w:tc>
          <w:tcPr>
            <w:tcW w:w="921" w:type="dxa"/>
            <w:shd w:val="clear" w:color="auto" w:fill="auto"/>
            <w:tcMar>
              <w:left w:w="85" w:type="dxa"/>
              <w:right w:w="85" w:type="dxa"/>
            </w:tcMar>
          </w:tcPr>
          <w:p w14:paraId="505CEC64" w14:textId="77777777" w:rsidR="000E7C76" w:rsidRPr="00256982" w:rsidRDefault="000E7C76" w:rsidP="000E7C76">
            <w:pPr>
              <w:pStyle w:val="TableText"/>
              <w:jc w:val="center"/>
              <w:rPr>
                <w:rFonts w:cs="Arial"/>
              </w:rPr>
            </w:pPr>
            <w:r w:rsidRPr="00256982">
              <w:rPr>
                <w:rFonts w:cs="Arial"/>
              </w:rPr>
              <w:t>D</w:t>
            </w:r>
          </w:p>
        </w:tc>
        <w:tc>
          <w:tcPr>
            <w:tcW w:w="921" w:type="dxa"/>
            <w:shd w:val="clear" w:color="auto" w:fill="auto"/>
            <w:tcMar>
              <w:left w:w="85" w:type="dxa"/>
              <w:right w:w="85" w:type="dxa"/>
            </w:tcMar>
          </w:tcPr>
          <w:p w14:paraId="17E58F66" w14:textId="77777777" w:rsidR="000E7C76" w:rsidRPr="00256982" w:rsidRDefault="000E7C76" w:rsidP="000E7C76">
            <w:pPr>
              <w:pStyle w:val="TableText"/>
              <w:jc w:val="center"/>
            </w:pPr>
            <w:r w:rsidRPr="00256982">
              <w:t>D</w:t>
            </w:r>
          </w:p>
        </w:tc>
        <w:tc>
          <w:tcPr>
            <w:tcW w:w="843" w:type="dxa"/>
            <w:shd w:val="clear" w:color="auto" w:fill="auto"/>
            <w:tcMar>
              <w:left w:w="85" w:type="dxa"/>
              <w:right w:w="85" w:type="dxa"/>
            </w:tcMar>
          </w:tcPr>
          <w:p w14:paraId="5CBAF214" w14:textId="77777777" w:rsidR="000E7C76" w:rsidRPr="00256982" w:rsidRDefault="000E7C76" w:rsidP="000E7C76">
            <w:pPr>
              <w:pStyle w:val="TableText"/>
              <w:jc w:val="center"/>
            </w:pPr>
            <w:r w:rsidRPr="00256982">
              <w:t>D</w:t>
            </w:r>
          </w:p>
        </w:tc>
        <w:tc>
          <w:tcPr>
            <w:tcW w:w="1000" w:type="dxa"/>
            <w:shd w:val="clear" w:color="auto" w:fill="auto"/>
            <w:tcMar>
              <w:left w:w="85" w:type="dxa"/>
              <w:right w:w="85" w:type="dxa"/>
            </w:tcMar>
          </w:tcPr>
          <w:p w14:paraId="0AE5C1AF" w14:textId="77777777" w:rsidR="000E7C76" w:rsidRPr="00256982" w:rsidRDefault="000E7C76" w:rsidP="000E7C76">
            <w:pPr>
              <w:pStyle w:val="TableText"/>
              <w:jc w:val="center"/>
            </w:pPr>
            <w:r w:rsidRPr="00256982">
              <w:t>D</w:t>
            </w:r>
          </w:p>
        </w:tc>
        <w:tc>
          <w:tcPr>
            <w:tcW w:w="922" w:type="dxa"/>
            <w:shd w:val="clear" w:color="auto" w:fill="auto"/>
            <w:tcMar>
              <w:left w:w="85" w:type="dxa"/>
              <w:right w:w="85" w:type="dxa"/>
            </w:tcMar>
          </w:tcPr>
          <w:p w14:paraId="2B4416F0" w14:textId="77777777" w:rsidR="000E7C76" w:rsidRPr="00256982" w:rsidRDefault="000E7C76" w:rsidP="000E7C76">
            <w:pPr>
              <w:pStyle w:val="TableText"/>
              <w:jc w:val="center"/>
            </w:pPr>
            <w:r w:rsidRPr="00256982">
              <w:t>D</w:t>
            </w:r>
          </w:p>
        </w:tc>
      </w:tr>
      <w:tr w:rsidR="000E7C76" w:rsidRPr="00256982" w14:paraId="2645B0B1" w14:textId="77777777" w:rsidTr="000E7C76">
        <w:tc>
          <w:tcPr>
            <w:tcW w:w="1242" w:type="dxa"/>
            <w:shd w:val="clear" w:color="auto" w:fill="auto"/>
            <w:tcMar>
              <w:left w:w="85" w:type="dxa"/>
              <w:right w:w="85" w:type="dxa"/>
            </w:tcMar>
          </w:tcPr>
          <w:p w14:paraId="61AE2F46" w14:textId="77777777" w:rsidR="000E7C76" w:rsidRPr="00256982" w:rsidRDefault="000E7C76" w:rsidP="000E7C76">
            <w:pPr>
              <w:pStyle w:val="TableText"/>
            </w:pPr>
            <w:r w:rsidRPr="00256982">
              <w:t>Pre-1990 planted forest</w:t>
            </w:r>
          </w:p>
        </w:tc>
        <w:tc>
          <w:tcPr>
            <w:tcW w:w="921" w:type="dxa"/>
            <w:shd w:val="clear" w:color="auto" w:fill="auto"/>
            <w:tcMar>
              <w:left w:w="85" w:type="dxa"/>
              <w:right w:w="85" w:type="dxa"/>
            </w:tcMar>
          </w:tcPr>
          <w:p w14:paraId="725878CD" w14:textId="77777777" w:rsidR="000E7C76" w:rsidRPr="00256982" w:rsidRDefault="000E7C76" w:rsidP="000E7C76">
            <w:pPr>
              <w:pStyle w:val="TableText"/>
              <w:jc w:val="center"/>
              <w:rPr>
                <w:rFonts w:cs="Arial"/>
              </w:rPr>
            </w:pPr>
            <w:r w:rsidRPr="00256982">
              <w:rPr>
                <w:rFonts w:cs="Arial"/>
              </w:rPr>
              <w:t>FM</w:t>
            </w:r>
          </w:p>
        </w:tc>
        <w:tc>
          <w:tcPr>
            <w:tcW w:w="921" w:type="dxa"/>
            <w:shd w:val="clear" w:color="auto" w:fill="auto"/>
            <w:tcMar>
              <w:left w:w="85" w:type="dxa"/>
              <w:right w:w="85" w:type="dxa"/>
            </w:tcMar>
          </w:tcPr>
          <w:p w14:paraId="471F51A6" w14:textId="77777777" w:rsidR="000E7C76" w:rsidRPr="00256982" w:rsidRDefault="000E7C76" w:rsidP="000E7C76">
            <w:pPr>
              <w:pStyle w:val="TableText"/>
              <w:jc w:val="center"/>
              <w:rPr>
                <w:rFonts w:cs="Arial"/>
              </w:rPr>
            </w:pPr>
            <w:r w:rsidRPr="00256982">
              <w:rPr>
                <w:rFonts w:cs="Arial"/>
              </w:rPr>
              <w:t>FM</w:t>
            </w:r>
          </w:p>
        </w:tc>
        <w:tc>
          <w:tcPr>
            <w:tcW w:w="922" w:type="dxa"/>
            <w:shd w:val="clear" w:color="auto" w:fill="auto"/>
            <w:tcMar>
              <w:left w:w="85" w:type="dxa"/>
              <w:right w:w="85" w:type="dxa"/>
            </w:tcMar>
          </w:tcPr>
          <w:p w14:paraId="178C2CD7" w14:textId="77777777" w:rsidR="000E7C76" w:rsidRPr="00256982" w:rsidRDefault="000E7C76" w:rsidP="000E7C76">
            <w:pPr>
              <w:pStyle w:val="TableText"/>
              <w:jc w:val="center"/>
              <w:rPr>
                <w:rFonts w:cs="Arial"/>
              </w:rPr>
            </w:pPr>
            <w:r w:rsidRPr="00256982">
              <w:rPr>
                <w:rFonts w:cs="Arial"/>
              </w:rPr>
              <w:t>–</w:t>
            </w:r>
          </w:p>
        </w:tc>
        <w:tc>
          <w:tcPr>
            <w:tcW w:w="921" w:type="dxa"/>
            <w:shd w:val="clear" w:color="auto" w:fill="auto"/>
            <w:tcMar>
              <w:left w:w="85" w:type="dxa"/>
              <w:right w:w="85" w:type="dxa"/>
            </w:tcMar>
          </w:tcPr>
          <w:p w14:paraId="77A0FE48" w14:textId="77777777" w:rsidR="000E7C76" w:rsidRPr="00256982" w:rsidRDefault="000E7C76" w:rsidP="000E7C76">
            <w:pPr>
              <w:pStyle w:val="TableText"/>
              <w:jc w:val="center"/>
              <w:rPr>
                <w:rFonts w:cs="Arial"/>
              </w:rPr>
            </w:pPr>
            <w:r w:rsidRPr="00256982">
              <w:rPr>
                <w:rFonts w:cs="Arial"/>
              </w:rPr>
              <w:t>D/FM</w:t>
            </w:r>
          </w:p>
        </w:tc>
        <w:tc>
          <w:tcPr>
            <w:tcW w:w="921" w:type="dxa"/>
            <w:shd w:val="clear" w:color="auto" w:fill="auto"/>
            <w:tcMar>
              <w:left w:w="85" w:type="dxa"/>
              <w:right w:w="85" w:type="dxa"/>
            </w:tcMar>
          </w:tcPr>
          <w:p w14:paraId="7648099D" w14:textId="77777777" w:rsidR="000E7C76" w:rsidRPr="00256982" w:rsidRDefault="000E7C76" w:rsidP="000E7C76">
            <w:pPr>
              <w:pStyle w:val="TableText"/>
              <w:jc w:val="center"/>
            </w:pPr>
            <w:r w:rsidRPr="00256982">
              <w:t>D/FM</w:t>
            </w:r>
          </w:p>
        </w:tc>
        <w:tc>
          <w:tcPr>
            <w:tcW w:w="843" w:type="dxa"/>
            <w:shd w:val="clear" w:color="auto" w:fill="auto"/>
            <w:tcMar>
              <w:left w:w="85" w:type="dxa"/>
              <w:right w:w="85" w:type="dxa"/>
            </w:tcMar>
          </w:tcPr>
          <w:p w14:paraId="44A5B6CF" w14:textId="77777777" w:rsidR="000E7C76" w:rsidRPr="00256982" w:rsidRDefault="000E7C76" w:rsidP="000E7C76">
            <w:pPr>
              <w:pStyle w:val="TableText"/>
              <w:jc w:val="center"/>
            </w:pPr>
            <w:r w:rsidRPr="00256982">
              <w:t>D/FM</w:t>
            </w:r>
          </w:p>
        </w:tc>
        <w:tc>
          <w:tcPr>
            <w:tcW w:w="1000" w:type="dxa"/>
            <w:shd w:val="clear" w:color="auto" w:fill="auto"/>
            <w:tcMar>
              <w:left w:w="85" w:type="dxa"/>
              <w:right w:w="85" w:type="dxa"/>
            </w:tcMar>
          </w:tcPr>
          <w:p w14:paraId="2462F6E5" w14:textId="77777777" w:rsidR="000E7C76" w:rsidRPr="00256982" w:rsidRDefault="000E7C76" w:rsidP="000E7C76">
            <w:pPr>
              <w:pStyle w:val="TableText"/>
              <w:jc w:val="center"/>
            </w:pPr>
            <w:r w:rsidRPr="00256982">
              <w:t>D/FM</w:t>
            </w:r>
          </w:p>
        </w:tc>
        <w:tc>
          <w:tcPr>
            <w:tcW w:w="922" w:type="dxa"/>
            <w:shd w:val="clear" w:color="auto" w:fill="auto"/>
            <w:tcMar>
              <w:left w:w="85" w:type="dxa"/>
              <w:right w:w="85" w:type="dxa"/>
            </w:tcMar>
          </w:tcPr>
          <w:p w14:paraId="03A684EA" w14:textId="77777777" w:rsidR="000E7C76" w:rsidRPr="00256982" w:rsidRDefault="000E7C76" w:rsidP="000E7C76">
            <w:pPr>
              <w:pStyle w:val="TableText"/>
              <w:jc w:val="center"/>
            </w:pPr>
            <w:r w:rsidRPr="00256982">
              <w:t>D/FM</w:t>
            </w:r>
          </w:p>
        </w:tc>
      </w:tr>
      <w:tr w:rsidR="000E7C76" w:rsidRPr="00256982" w14:paraId="0169D144" w14:textId="77777777" w:rsidTr="000E7C76">
        <w:tc>
          <w:tcPr>
            <w:tcW w:w="1242" w:type="dxa"/>
            <w:shd w:val="clear" w:color="auto" w:fill="auto"/>
            <w:tcMar>
              <w:left w:w="85" w:type="dxa"/>
              <w:right w:w="85" w:type="dxa"/>
            </w:tcMar>
          </w:tcPr>
          <w:p w14:paraId="5A984C2B" w14:textId="77777777" w:rsidR="000E7C76" w:rsidRPr="00256982" w:rsidRDefault="000E7C76" w:rsidP="000E7C76">
            <w:pPr>
              <w:pStyle w:val="TableText"/>
            </w:pPr>
            <w:r w:rsidRPr="00256982">
              <w:t>Post-1989 forest</w:t>
            </w:r>
          </w:p>
        </w:tc>
        <w:tc>
          <w:tcPr>
            <w:tcW w:w="921" w:type="dxa"/>
            <w:shd w:val="clear" w:color="auto" w:fill="auto"/>
            <w:tcMar>
              <w:left w:w="85" w:type="dxa"/>
              <w:right w:w="85" w:type="dxa"/>
            </w:tcMar>
          </w:tcPr>
          <w:p w14:paraId="1FAEED9B" w14:textId="77777777" w:rsidR="000E7C76" w:rsidRPr="00256982" w:rsidRDefault="000E7C76" w:rsidP="000E7C76">
            <w:pPr>
              <w:pStyle w:val="TableText"/>
              <w:jc w:val="center"/>
              <w:rPr>
                <w:rFonts w:cs="Arial"/>
              </w:rPr>
            </w:pPr>
            <w:r w:rsidRPr="00256982">
              <w:rPr>
                <w:rFonts w:cs="Arial"/>
              </w:rPr>
              <w:t>–</w:t>
            </w:r>
          </w:p>
        </w:tc>
        <w:tc>
          <w:tcPr>
            <w:tcW w:w="921" w:type="dxa"/>
            <w:shd w:val="clear" w:color="auto" w:fill="auto"/>
            <w:tcMar>
              <w:left w:w="85" w:type="dxa"/>
              <w:right w:w="85" w:type="dxa"/>
            </w:tcMar>
          </w:tcPr>
          <w:p w14:paraId="14DE20F0" w14:textId="77777777" w:rsidR="000E7C76" w:rsidRPr="00256982" w:rsidRDefault="000E7C76" w:rsidP="000E7C76">
            <w:pPr>
              <w:pStyle w:val="TableText"/>
              <w:jc w:val="center"/>
              <w:rPr>
                <w:rFonts w:cs="Arial"/>
              </w:rPr>
            </w:pPr>
            <w:r w:rsidRPr="00256982">
              <w:rPr>
                <w:rFonts w:cs="Arial"/>
              </w:rPr>
              <w:t>–</w:t>
            </w:r>
          </w:p>
        </w:tc>
        <w:tc>
          <w:tcPr>
            <w:tcW w:w="922" w:type="dxa"/>
            <w:shd w:val="clear" w:color="auto" w:fill="auto"/>
            <w:tcMar>
              <w:left w:w="85" w:type="dxa"/>
              <w:right w:w="85" w:type="dxa"/>
            </w:tcMar>
          </w:tcPr>
          <w:p w14:paraId="28A2518F" w14:textId="77777777" w:rsidR="000E7C76" w:rsidRPr="00256982" w:rsidRDefault="000E7C76" w:rsidP="000E7C76">
            <w:pPr>
              <w:pStyle w:val="TableText"/>
              <w:jc w:val="center"/>
              <w:rPr>
                <w:rFonts w:cs="Arial"/>
              </w:rPr>
            </w:pPr>
            <w:r w:rsidRPr="00256982">
              <w:rPr>
                <w:rFonts w:cs="Arial"/>
              </w:rPr>
              <w:t>A</w:t>
            </w:r>
          </w:p>
        </w:tc>
        <w:tc>
          <w:tcPr>
            <w:tcW w:w="921" w:type="dxa"/>
            <w:shd w:val="clear" w:color="auto" w:fill="auto"/>
            <w:tcMar>
              <w:left w:w="85" w:type="dxa"/>
              <w:right w:w="85" w:type="dxa"/>
            </w:tcMar>
          </w:tcPr>
          <w:p w14:paraId="761FA187" w14:textId="77777777" w:rsidR="000E7C76" w:rsidRPr="00256982" w:rsidRDefault="000E7C76" w:rsidP="000E7C76">
            <w:pPr>
              <w:pStyle w:val="TableText"/>
              <w:jc w:val="center"/>
              <w:rPr>
                <w:rFonts w:cs="Arial"/>
              </w:rPr>
            </w:pPr>
            <w:r w:rsidRPr="00256982">
              <w:rPr>
                <w:rFonts w:cs="Arial"/>
              </w:rPr>
              <w:t>D</w:t>
            </w:r>
          </w:p>
        </w:tc>
        <w:tc>
          <w:tcPr>
            <w:tcW w:w="921" w:type="dxa"/>
            <w:shd w:val="clear" w:color="auto" w:fill="auto"/>
            <w:tcMar>
              <w:left w:w="85" w:type="dxa"/>
              <w:right w:w="85" w:type="dxa"/>
            </w:tcMar>
          </w:tcPr>
          <w:p w14:paraId="3684BC4B" w14:textId="77777777" w:rsidR="000E7C76" w:rsidRPr="00256982" w:rsidRDefault="000E7C76" w:rsidP="000E7C76">
            <w:pPr>
              <w:pStyle w:val="TableText"/>
              <w:jc w:val="center"/>
            </w:pPr>
            <w:r w:rsidRPr="00256982">
              <w:t>D</w:t>
            </w:r>
          </w:p>
        </w:tc>
        <w:tc>
          <w:tcPr>
            <w:tcW w:w="843" w:type="dxa"/>
            <w:shd w:val="clear" w:color="auto" w:fill="auto"/>
            <w:tcMar>
              <w:left w:w="85" w:type="dxa"/>
              <w:right w:w="85" w:type="dxa"/>
            </w:tcMar>
          </w:tcPr>
          <w:p w14:paraId="1D3853A7" w14:textId="77777777" w:rsidR="000E7C76" w:rsidRPr="00256982" w:rsidRDefault="000E7C76" w:rsidP="000E7C76">
            <w:pPr>
              <w:pStyle w:val="TableText"/>
              <w:jc w:val="center"/>
            </w:pPr>
            <w:r w:rsidRPr="00256982">
              <w:t>D</w:t>
            </w:r>
          </w:p>
        </w:tc>
        <w:tc>
          <w:tcPr>
            <w:tcW w:w="1000" w:type="dxa"/>
            <w:shd w:val="clear" w:color="auto" w:fill="auto"/>
            <w:tcMar>
              <w:left w:w="85" w:type="dxa"/>
              <w:right w:w="85" w:type="dxa"/>
            </w:tcMar>
          </w:tcPr>
          <w:p w14:paraId="14EDEF4F" w14:textId="77777777" w:rsidR="000E7C76" w:rsidRPr="00256982" w:rsidRDefault="000E7C76" w:rsidP="000E7C76">
            <w:pPr>
              <w:pStyle w:val="TableText"/>
              <w:jc w:val="center"/>
            </w:pPr>
            <w:r w:rsidRPr="00256982">
              <w:t>D</w:t>
            </w:r>
          </w:p>
        </w:tc>
        <w:tc>
          <w:tcPr>
            <w:tcW w:w="922" w:type="dxa"/>
            <w:shd w:val="clear" w:color="auto" w:fill="auto"/>
            <w:tcMar>
              <w:left w:w="85" w:type="dxa"/>
              <w:right w:w="85" w:type="dxa"/>
            </w:tcMar>
          </w:tcPr>
          <w:p w14:paraId="070261AD" w14:textId="77777777" w:rsidR="000E7C76" w:rsidRPr="00256982" w:rsidRDefault="000E7C76" w:rsidP="000E7C76">
            <w:pPr>
              <w:pStyle w:val="TableText"/>
              <w:jc w:val="center"/>
            </w:pPr>
            <w:r w:rsidRPr="00256982">
              <w:t>D</w:t>
            </w:r>
          </w:p>
        </w:tc>
      </w:tr>
      <w:tr w:rsidR="000E7C76" w:rsidRPr="00256982" w14:paraId="61803A20" w14:textId="77777777" w:rsidTr="000E7C76">
        <w:tc>
          <w:tcPr>
            <w:tcW w:w="1242" w:type="dxa"/>
            <w:shd w:val="clear" w:color="auto" w:fill="auto"/>
            <w:tcMar>
              <w:left w:w="85" w:type="dxa"/>
              <w:right w:w="85" w:type="dxa"/>
            </w:tcMar>
          </w:tcPr>
          <w:p w14:paraId="538DBFA5" w14:textId="77777777" w:rsidR="000E7C76" w:rsidRPr="00256982" w:rsidRDefault="000E7C76" w:rsidP="000E7C76">
            <w:pPr>
              <w:pStyle w:val="TableText"/>
            </w:pPr>
            <w:r w:rsidRPr="00256982">
              <w:t>Grassland</w:t>
            </w:r>
          </w:p>
        </w:tc>
        <w:tc>
          <w:tcPr>
            <w:tcW w:w="921" w:type="dxa"/>
            <w:shd w:val="clear" w:color="auto" w:fill="auto"/>
            <w:tcMar>
              <w:left w:w="85" w:type="dxa"/>
              <w:right w:w="85" w:type="dxa"/>
            </w:tcMar>
          </w:tcPr>
          <w:p w14:paraId="7FFE01A5" w14:textId="77777777" w:rsidR="000E7C76" w:rsidRPr="00256982" w:rsidRDefault="000E7C76" w:rsidP="000E7C76">
            <w:pPr>
              <w:pStyle w:val="TableText"/>
              <w:jc w:val="center"/>
              <w:rPr>
                <w:rFonts w:cs="Arial"/>
              </w:rPr>
            </w:pPr>
            <w:r w:rsidRPr="00256982">
              <w:rPr>
                <w:rFonts w:cs="Arial"/>
              </w:rPr>
              <w:t>*D</w:t>
            </w:r>
          </w:p>
        </w:tc>
        <w:tc>
          <w:tcPr>
            <w:tcW w:w="921" w:type="dxa"/>
            <w:shd w:val="clear" w:color="auto" w:fill="auto"/>
            <w:tcMar>
              <w:left w:w="85" w:type="dxa"/>
              <w:right w:w="85" w:type="dxa"/>
            </w:tcMar>
          </w:tcPr>
          <w:p w14:paraId="4E92010A" w14:textId="77777777" w:rsidR="000E7C76" w:rsidRPr="00256982" w:rsidRDefault="000E7C76" w:rsidP="000E7C76">
            <w:pPr>
              <w:pStyle w:val="TableText"/>
              <w:jc w:val="center"/>
              <w:rPr>
                <w:rFonts w:cs="Arial"/>
              </w:rPr>
            </w:pPr>
            <w:r w:rsidRPr="00256982">
              <w:rPr>
                <w:rFonts w:cs="Arial"/>
              </w:rPr>
              <w:t>*D</w:t>
            </w:r>
          </w:p>
        </w:tc>
        <w:tc>
          <w:tcPr>
            <w:tcW w:w="922" w:type="dxa"/>
            <w:shd w:val="clear" w:color="auto" w:fill="auto"/>
            <w:tcMar>
              <w:left w:w="85" w:type="dxa"/>
              <w:right w:w="85" w:type="dxa"/>
            </w:tcMar>
          </w:tcPr>
          <w:p w14:paraId="523EBE43" w14:textId="77777777" w:rsidR="000E7C76" w:rsidRPr="00256982" w:rsidRDefault="000E7C76" w:rsidP="000E7C76">
            <w:pPr>
              <w:pStyle w:val="TableText"/>
              <w:jc w:val="center"/>
              <w:rPr>
                <w:rFonts w:cs="Arial"/>
              </w:rPr>
            </w:pPr>
            <w:r w:rsidRPr="00256982">
              <w:rPr>
                <w:rFonts w:cs="Arial"/>
              </w:rPr>
              <w:t>A/FM</w:t>
            </w:r>
          </w:p>
        </w:tc>
        <w:tc>
          <w:tcPr>
            <w:tcW w:w="921" w:type="dxa"/>
            <w:shd w:val="clear" w:color="auto" w:fill="auto"/>
            <w:tcMar>
              <w:left w:w="85" w:type="dxa"/>
              <w:right w:w="85" w:type="dxa"/>
            </w:tcMar>
          </w:tcPr>
          <w:p w14:paraId="4C16042E" w14:textId="77777777" w:rsidR="000E7C76" w:rsidRPr="00256982" w:rsidRDefault="000E7C76" w:rsidP="000E7C76">
            <w:pPr>
              <w:pStyle w:val="TableText"/>
              <w:jc w:val="center"/>
              <w:rPr>
                <w:rFonts w:cs="Arial"/>
              </w:rPr>
            </w:pPr>
          </w:p>
        </w:tc>
        <w:tc>
          <w:tcPr>
            <w:tcW w:w="921" w:type="dxa"/>
            <w:shd w:val="clear" w:color="auto" w:fill="auto"/>
            <w:tcMar>
              <w:left w:w="85" w:type="dxa"/>
              <w:right w:w="85" w:type="dxa"/>
            </w:tcMar>
          </w:tcPr>
          <w:p w14:paraId="03AB2B83" w14:textId="77777777" w:rsidR="000E7C76" w:rsidRPr="00256982" w:rsidRDefault="000E7C76" w:rsidP="000E7C76">
            <w:pPr>
              <w:pStyle w:val="TableText"/>
              <w:jc w:val="center"/>
            </w:pPr>
          </w:p>
        </w:tc>
        <w:tc>
          <w:tcPr>
            <w:tcW w:w="843" w:type="dxa"/>
            <w:shd w:val="clear" w:color="auto" w:fill="auto"/>
            <w:tcMar>
              <w:left w:w="85" w:type="dxa"/>
              <w:right w:w="85" w:type="dxa"/>
            </w:tcMar>
          </w:tcPr>
          <w:p w14:paraId="58B0E90D" w14:textId="77777777" w:rsidR="000E7C76" w:rsidRPr="00256982" w:rsidRDefault="000E7C76" w:rsidP="000E7C76">
            <w:pPr>
              <w:pStyle w:val="TableText"/>
              <w:jc w:val="center"/>
            </w:pPr>
          </w:p>
        </w:tc>
        <w:tc>
          <w:tcPr>
            <w:tcW w:w="1000" w:type="dxa"/>
            <w:shd w:val="clear" w:color="auto" w:fill="auto"/>
            <w:tcMar>
              <w:left w:w="85" w:type="dxa"/>
              <w:right w:w="85" w:type="dxa"/>
            </w:tcMar>
          </w:tcPr>
          <w:p w14:paraId="15E974DD" w14:textId="77777777" w:rsidR="000E7C76" w:rsidRPr="00256982" w:rsidRDefault="000E7C76" w:rsidP="000E7C76">
            <w:pPr>
              <w:pStyle w:val="TableText"/>
              <w:jc w:val="center"/>
            </w:pPr>
          </w:p>
        </w:tc>
        <w:tc>
          <w:tcPr>
            <w:tcW w:w="922" w:type="dxa"/>
            <w:shd w:val="clear" w:color="auto" w:fill="auto"/>
            <w:tcMar>
              <w:left w:w="85" w:type="dxa"/>
              <w:right w:w="85" w:type="dxa"/>
            </w:tcMar>
          </w:tcPr>
          <w:p w14:paraId="3834ED4B" w14:textId="77777777" w:rsidR="000E7C76" w:rsidRPr="00256982" w:rsidRDefault="000E7C76" w:rsidP="000E7C76">
            <w:pPr>
              <w:pStyle w:val="TableText"/>
              <w:jc w:val="center"/>
            </w:pPr>
          </w:p>
        </w:tc>
      </w:tr>
      <w:tr w:rsidR="000E7C76" w:rsidRPr="00256982" w14:paraId="5718CCE2" w14:textId="77777777" w:rsidTr="000E7C76">
        <w:tc>
          <w:tcPr>
            <w:tcW w:w="1242" w:type="dxa"/>
            <w:shd w:val="clear" w:color="auto" w:fill="auto"/>
            <w:tcMar>
              <w:left w:w="85" w:type="dxa"/>
              <w:right w:w="85" w:type="dxa"/>
            </w:tcMar>
          </w:tcPr>
          <w:p w14:paraId="0F42BC56" w14:textId="77777777" w:rsidR="000E7C76" w:rsidRPr="00256982" w:rsidRDefault="000E7C76" w:rsidP="000E7C76">
            <w:pPr>
              <w:pStyle w:val="TableText"/>
            </w:pPr>
            <w:r w:rsidRPr="00256982">
              <w:t>Cropland</w:t>
            </w:r>
          </w:p>
        </w:tc>
        <w:tc>
          <w:tcPr>
            <w:tcW w:w="921" w:type="dxa"/>
            <w:shd w:val="clear" w:color="auto" w:fill="auto"/>
            <w:tcMar>
              <w:left w:w="85" w:type="dxa"/>
              <w:right w:w="85" w:type="dxa"/>
            </w:tcMar>
          </w:tcPr>
          <w:p w14:paraId="0E3FF980" w14:textId="77777777" w:rsidR="000E7C76" w:rsidRPr="00256982" w:rsidRDefault="000E7C76" w:rsidP="000E7C76">
            <w:pPr>
              <w:pStyle w:val="TableText"/>
              <w:jc w:val="center"/>
              <w:rPr>
                <w:rFonts w:cs="Arial"/>
              </w:rPr>
            </w:pPr>
            <w:r w:rsidRPr="00256982">
              <w:rPr>
                <w:rFonts w:cs="Arial"/>
              </w:rPr>
              <w:t>*D</w:t>
            </w:r>
          </w:p>
        </w:tc>
        <w:tc>
          <w:tcPr>
            <w:tcW w:w="921" w:type="dxa"/>
            <w:shd w:val="clear" w:color="auto" w:fill="auto"/>
            <w:tcMar>
              <w:left w:w="85" w:type="dxa"/>
              <w:right w:w="85" w:type="dxa"/>
            </w:tcMar>
          </w:tcPr>
          <w:p w14:paraId="47535733" w14:textId="77777777" w:rsidR="000E7C76" w:rsidRPr="00256982" w:rsidRDefault="000E7C76" w:rsidP="000E7C76">
            <w:pPr>
              <w:pStyle w:val="TableText"/>
              <w:jc w:val="center"/>
              <w:rPr>
                <w:rFonts w:cs="Arial"/>
              </w:rPr>
            </w:pPr>
            <w:r w:rsidRPr="00256982">
              <w:rPr>
                <w:rFonts w:cs="Arial"/>
              </w:rPr>
              <w:t>*D</w:t>
            </w:r>
          </w:p>
        </w:tc>
        <w:tc>
          <w:tcPr>
            <w:tcW w:w="922" w:type="dxa"/>
            <w:shd w:val="clear" w:color="auto" w:fill="auto"/>
            <w:tcMar>
              <w:left w:w="85" w:type="dxa"/>
              <w:right w:w="85" w:type="dxa"/>
            </w:tcMar>
          </w:tcPr>
          <w:p w14:paraId="6345261A" w14:textId="77777777" w:rsidR="000E7C76" w:rsidRPr="00256982" w:rsidRDefault="000E7C76" w:rsidP="000E7C76">
            <w:pPr>
              <w:pStyle w:val="TableText"/>
              <w:jc w:val="center"/>
              <w:rPr>
                <w:rFonts w:cs="Arial"/>
              </w:rPr>
            </w:pPr>
            <w:r w:rsidRPr="00256982">
              <w:rPr>
                <w:rFonts w:cs="Arial"/>
              </w:rPr>
              <w:t>A/FM</w:t>
            </w:r>
          </w:p>
        </w:tc>
        <w:tc>
          <w:tcPr>
            <w:tcW w:w="921" w:type="dxa"/>
            <w:shd w:val="clear" w:color="auto" w:fill="auto"/>
            <w:tcMar>
              <w:left w:w="85" w:type="dxa"/>
              <w:right w:w="85" w:type="dxa"/>
            </w:tcMar>
          </w:tcPr>
          <w:p w14:paraId="6ED3A6D5" w14:textId="77777777" w:rsidR="000E7C76" w:rsidRPr="00256982" w:rsidRDefault="000E7C76" w:rsidP="000E7C76">
            <w:pPr>
              <w:pStyle w:val="TableText"/>
              <w:jc w:val="center"/>
              <w:rPr>
                <w:rFonts w:cs="Arial"/>
              </w:rPr>
            </w:pPr>
          </w:p>
        </w:tc>
        <w:tc>
          <w:tcPr>
            <w:tcW w:w="921" w:type="dxa"/>
            <w:shd w:val="clear" w:color="auto" w:fill="auto"/>
            <w:tcMar>
              <w:left w:w="85" w:type="dxa"/>
              <w:right w:w="85" w:type="dxa"/>
            </w:tcMar>
          </w:tcPr>
          <w:p w14:paraId="48B42F17" w14:textId="77777777" w:rsidR="000E7C76" w:rsidRPr="00256982" w:rsidRDefault="000E7C76" w:rsidP="000E7C76">
            <w:pPr>
              <w:pStyle w:val="TableText"/>
              <w:jc w:val="center"/>
            </w:pPr>
          </w:p>
        </w:tc>
        <w:tc>
          <w:tcPr>
            <w:tcW w:w="843" w:type="dxa"/>
            <w:shd w:val="clear" w:color="auto" w:fill="auto"/>
            <w:tcMar>
              <w:left w:w="85" w:type="dxa"/>
              <w:right w:w="85" w:type="dxa"/>
            </w:tcMar>
          </w:tcPr>
          <w:p w14:paraId="437F6CFB" w14:textId="77777777" w:rsidR="000E7C76" w:rsidRPr="00256982" w:rsidRDefault="000E7C76" w:rsidP="000E7C76">
            <w:pPr>
              <w:pStyle w:val="TableText"/>
              <w:jc w:val="center"/>
            </w:pPr>
          </w:p>
        </w:tc>
        <w:tc>
          <w:tcPr>
            <w:tcW w:w="1000" w:type="dxa"/>
            <w:shd w:val="clear" w:color="auto" w:fill="auto"/>
            <w:tcMar>
              <w:left w:w="85" w:type="dxa"/>
              <w:right w:w="85" w:type="dxa"/>
            </w:tcMar>
          </w:tcPr>
          <w:p w14:paraId="0A84BB0B" w14:textId="77777777" w:rsidR="000E7C76" w:rsidRPr="00256982" w:rsidRDefault="000E7C76" w:rsidP="000E7C76">
            <w:pPr>
              <w:pStyle w:val="TableText"/>
              <w:jc w:val="center"/>
            </w:pPr>
          </w:p>
        </w:tc>
        <w:tc>
          <w:tcPr>
            <w:tcW w:w="922" w:type="dxa"/>
            <w:shd w:val="clear" w:color="auto" w:fill="auto"/>
            <w:tcMar>
              <w:left w:w="85" w:type="dxa"/>
              <w:right w:w="85" w:type="dxa"/>
            </w:tcMar>
          </w:tcPr>
          <w:p w14:paraId="21085104" w14:textId="77777777" w:rsidR="000E7C76" w:rsidRPr="00256982" w:rsidRDefault="000E7C76" w:rsidP="000E7C76">
            <w:pPr>
              <w:pStyle w:val="TableText"/>
              <w:jc w:val="center"/>
            </w:pPr>
          </w:p>
        </w:tc>
      </w:tr>
      <w:tr w:rsidR="000E7C76" w:rsidRPr="00256982" w14:paraId="69788798" w14:textId="77777777" w:rsidTr="000E7C76">
        <w:tc>
          <w:tcPr>
            <w:tcW w:w="1242" w:type="dxa"/>
            <w:shd w:val="clear" w:color="auto" w:fill="auto"/>
            <w:tcMar>
              <w:left w:w="85" w:type="dxa"/>
              <w:right w:w="85" w:type="dxa"/>
            </w:tcMar>
          </w:tcPr>
          <w:p w14:paraId="6D78F069" w14:textId="77777777" w:rsidR="000E7C76" w:rsidRPr="00256982" w:rsidRDefault="000E7C76" w:rsidP="000E7C76">
            <w:pPr>
              <w:pStyle w:val="TableText"/>
            </w:pPr>
            <w:r w:rsidRPr="00256982">
              <w:t>Wetland</w:t>
            </w:r>
          </w:p>
        </w:tc>
        <w:tc>
          <w:tcPr>
            <w:tcW w:w="921" w:type="dxa"/>
            <w:shd w:val="clear" w:color="auto" w:fill="auto"/>
            <w:tcMar>
              <w:left w:w="85" w:type="dxa"/>
              <w:right w:w="85" w:type="dxa"/>
            </w:tcMar>
          </w:tcPr>
          <w:p w14:paraId="53ABE514" w14:textId="77777777" w:rsidR="000E7C76" w:rsidRPr="00256982" w:rsidRDefault="000E7C76" w:rsidP="000E7C76">
            <w:pPr>
              <w:pStyle w:val="TableText"/>
              <w:jc w:val="center"/>
              <w:rPr>
                <w:rFonts w:cs="Arial"/>
              </w:rPr>
            </w:pPr>
            <w:r w:rsidRPr="00256982">
              <w:rPr>
                <w:rFonts w:cs="Arial"/>
              </w:rPr>
              <w:t>*D</w:t>
            </w:r>
          </w:p>
        </w:tc>
        <w:tc>
          <w:tcPr>
            <w:tcW w:w="921" w:type="dxa"/>
            <w:shd w:val="clear" w:color="auto" w:fill="auto"/>
            <w:tcMar>
              <w:left w:w="85" w:type="dxa"/>
              <w:right w:w="85" w:type="dxa"/>
            </w:tcMar>
          </w:tcPr>
          <w:p w14:paraId="048010B4" w14:textId="77777777" w:rsidR="000E7C76" w:rsidRPr="00256982" w:rsidRDefault="000E7C76" w:rsidP="000E7C76">
            <w:pPr>
              <w:pStyle w:val="TableText"/>
              <w:jc w:val="center"/>
              <w:rPr>
                <w:rFonts w:cs="Arial"/>
              </w:rPr>
            </w:pPr>
            <w:r w:rsidRPr="00256982">
              <w:rPr>
                <w:rFonts w:cs="Arial"/>
              </w:rPr>
              <w:t>*D</w:t>
            </w:r>
          </w:p>
        </w:tc>
        <w:tc>
          <w:tcPr>
            <w:tcW w:w="922" w:type="dxa"/>
            <w:shd w:val="clear" w:color="auto" w:fill="auto"/>
            <w:tcMar>
              <w:left w:w="85" w:type="dxa"/>
              <w:right w:w="85" w:type="dxa"/>
            </w:tcMar>
          </w:tcPr>
          <w:p w14:paraId="400D741A" w14:textId="77777777" w:rsidR="000E7C76" w:rsidRPr="00256982" w:rsidRDefault="000E7C76" w:rsidP="000E7C76">
            <w:pPr>
              <w:pStyle w:val="TableText"/>
              <w:jc w:val="center"/>
              <w:rPr>
                <w:rFonts w:cs="Arial"/>
              </w:rPr>
            </w:pPr>
            <w:r w:rsidRPr="00256982">
              <w:rPr>
                <w:rFonts w:cs="Arial"/>
              </w:rPr>
              <w:t>A/FM</w:t>
            </w:r>
          </w:p>
        </w:tc>
        <w:tc>
          <w:tcPr>
            <w:tcW w:w="921" w:type="dxa"/>
            <w:shd w:val="clear" w:color="auto" w:fill="auto"/>
            <w:tcMar>
              <w:left w:w="85" w:type="dxa"/>
              <w:right w:w="85" w:type="dxa"/>
            </w:tcMar>
          </w:tcPr>
          <w:p w14:paraId="5F2BD173" w14:textId="77777777" w:rsidR="000E7C76" w:rsidRPr="00256982" w:rsidRDefault="000E7C76" w:rsidP="000E7C76">
            <w:pPr>
              <w:pStyle w:val="TableText"/>
              <w:jc w:val="center"/>
              <w:rPr>
                <w:rFonts w:cs="Arial"/>
              </w:rPr>
            </w:pPr>
          </w:p>
        </w:tc>
        <w:tc>
          <w:tcPr>
            <w:tcW w:w="921" w:type="dxa"/>
            <w:shd w:val="clear" w:color="auto" w:fill="auto"/>
            <w:tcMar>
              <w:left w:w="85" w:type="dxa"/>
              <w:right w:w="85" w:type="dxa"/>
            </w:tcMar>
          </w:tcPr>
          <w:p w14:paraId="2F0F17F9" w14:textId="77777777" w:rsidR="000E7C76" w:rsidRPr="00256982" w:rsidRDefault="000E7C76" w:rsidP="000E7C76">
            <w:pPr>
              <w:pStyle w:val="TableText"/>
              <w:jc w:val="center"/>
            </w:pPr>
          </w:p>
        </w:tc>
        <w:tc>
          <w:tcPr>
            <w:tcW w:w="843" w:type="dxa"/>
            <w:shd w:val="clear" w:color="auto" w:fill="auto"/>
            <w:tcMar>
              <w:left w:w="85" w:type="dxa"/>
              <w:right w:w="85" w:type="dxa"/>
            </w:tcMar>
          </w:tcPr>
          <w:p w14:paraId="71177436" w14:textId="77777777" w:rsidR="000E7C76" w:rsidRPr="00256982" w:rsidRDefault="000E7C76" w:rsidP="000E7C76">
            <w:pPr>
              <w:pStyle w:val="TableText"/>
              <w:jc w:val="center"/>
            </w:pPr>
          </w:p>
        </w:tc>
        <w:tc>
          <w:tcPr>
            <w:tcW w:w="1000" w:type="dxa"/>
            <w:shd w:val="clear" w:color="auto" w:fill="auto"/>
            <w:tcMar>
              <w:left w:w="85" w:type="dxa"/>
              <w:right w:w="85" w:type="dxa"/>
            </w:tcMar>
          </w:tcPr>
          <w:p w14:paraId="2BD223C5" w14:textId="77777777" w:rsidR="000E7C76" w:rsidRPr="00256982" w:rsidRDefault="000E7C76" w:rsidP="000E7C76">
            <w:pPr>
              <w:pStyle w:val="TableText"/>
              <w:jc w:val="center"/>
            </w:pPr>
          </w:p>
        </w:tc>
        <w:tc>
          <w:tcPr>
            <w:tcW w:w="922" w:type="dxa"/>
            <w:shd w:val="clear" w:color="auto" w:fill="auto"/>
            <w:tcMar>
              <w:left w:w="85" w:type="dxa"/>
              <w:right w:w="85" w:type="dxa"/>
            </w:tcMar>
          </w:tcPr>
          <w:p w14:paraId="37B302A0" w14:textId="77777777" w:rsidR="000E7C76" w:rsidRPr="00256982" w:rsidRDefault="000E7C76" w:rsidP="000E7C76">
            <w:pPr>
              <w:pStyle w:val="TableText"/>
              <w:jc w:val="center"/>
            </w:pPr>
          </w:p>
        </w:tc>
      </w:tr>
      <w:tr w:rsidR="000E7C76" w:rsidRPr="00256982" w14:paraId="6C1343FD" w14:textId="77777777" w:rsidTr="000E7C76">
        <w:tc>
          <w:tcPr>
            <w:tcW w:w="1242" w:type="dxa"/>
            <w:shd w:val="clear" w:color="auto" w:fill="auto"/>
            <w:tcMar>
              <w:left w:w="85" w:type="dxa"/>
              <w:right w:w="85" w:type="dxa"/>
            </w:tcMar>
          </w:tcPr>
          <w:p w14:paraId="4FF6B965" w14:textId="77777777" w:rsidR="000E7C76" w:rsidRPr="00256982" w:rsidRDefault="000E7C76" w:rsidP="000E7C76">
            <w:pPr>
              <w:pStyle w:val="TableText"/>
            </w:pPr>
            <w:r w:rsidRPr="00256982">
              <w:t>Settlements</w:t>
            </w:r>
          </w:p>
        </w:tc>
        <w:tc>
          <w:tcPr>
            <w:tcW w:w="921" w:type="dxa"/>
            <w:shd w:val="clear" w:color="auto" w:fill="auto"/>
            <w:tcMar>
              <w:left w:w="85" w:type="dxa"/>
              <w:right w:w="85" w:type="dxa"/>
            </w:tcMar>
          </w:tcPr>
          <w:p w14:paraId="4733361A" w14:textId="77777777" w:rsidR="000E7C76" w:rsidRPr="00256982" w:rsidRDefault="000E7C76" w:rsidP="000E7C76">
            <w:pPr>
              <w:pStyle w:val="TableText"/>
              <w:jc w:val="center"/>
              <w:rPr>
                <w:rFonts w:cs="Arial"/>
              </w:rPr>
            </w:pPr>
            <w:r w:rsidRPr="00256982">
              <w:rPr>
                <w:rFonts w:cs="Arial"/>
              </w:rPr>
              <w:t>*D</w:t>
            </w:r>
          </w:p>
        </w:tc>
        <w:tc>
          <w:tcPr>
            <w:tcW w:w="921" w:type="dxa"/>
            <w:shd w:val="clear" w:color="auto" w:fill="auto"/>
            <w:tcMar>
              <w:left w:w="85" w:type="dxa"/>
              <w:right w:w="85" w:type="dxa"/>
            </w:tcMar>
          </w:tcPr>
          <w:p w14:paraId="12AF5831" w14:textId="77777777" w:rsidR="000E7C76" w:rsidRPr="00256982" w:rsidRDefault="000E7C76" w:rsidP="000E7C76">
            <w:pPr>
              <w:pStyle w:val="TableText"/>
              <w:jc w:val="center"/>
              <w:rPr>
                <w:rFonts w:cs="Arial"/>
              </w:rPr>
            </w:pPr>
            <w:r w:rsidRPr="00256982">
              <w:rPr>
                <w:rFonts w:cs="Arial"/>
              </w:rPr>
              <w:t>*D</w:t>
            </w:r>
          </w:p>
        </w:tc>
        <w:tc>
          <w:tcPr>
            <w:tcW w:w="922" w:type="dxa"/>
            <w:shd w:val="clear" w:color="auto" w:fill="auto"/>
            <w:tcMar>
              <w:left w:w="85" w:type="dxa"/>
              <w:right w:w="85" w:type="dxa"/>
            </w:tcMar>
          </w:tcPr>
          <w:p w14:paraId="6BD713FC" w14:textId="77777777" w:rsidR="000E7C76" w:rsidRPr="00256982" w:rsidRDefault="000E7C76" w:rsidP="000E7C76">
            <w:pPr>
              <w:pStyle w:val="TableText"/>
              <w:jc w:val="center"/>
              <w:rPr>
                <w:rFonts w:cs="Arial"/>
              </w:rPr>
            </w:pPr>
            <w:r w:rsidRPr="00256982">
              <w:rPr>
                <w:rFonts w:cs="Arial"/>
              </w:rPr>
              <w:t>A/FM</w:t>
            </w:r>
          </w:p>
        </w:tc>
        <w:tc>
          <w:tcPr>
            <w:tcW w:w="921" w:type="dxa"/>
            <w:shd w:val="clear" w:color="auto" w:fill="auto"/>
            <w:tcMar>
              <w:left w:w="85" w:type="dxa"/>
              <w:right w:w="85" w:type="dxa"/>
            </w:tcMar>
          </w:tcPr>
          <w:p w14:paraId="35268FA0" w14:textId="77777777" w:rsidR="000E7C76" w:rsidRPr="00256982" w:rsidRDefault="000E7C76" w:rsidP="000E7C76">
            <w:pPr>
              <w:pStyle w:val="TableText"/>
              <w:jc w:val="center"/>
              <w:rPr>
                <w:rFonts w:cs="Arial"/>
              </w:rPr>
            </w:pPr>
          </w:p>
        </w:tc>
        <w:tc>
          <w:tcPr>
            <w:tcW w:w="921" w:type="dxa"/>
            <w:shd w:val="clear" w:color="auto" w:fill="auto"/>
            <w:tcMar>
              <w:left w:w="85" w:type="dxa"/>
              <w:right w:w="85" w:type="dxa"/>
            </w:tcMar>
          </w:tcPr>
          <w:p w14:paraId="2360C851" w14:textId="77777777" w:rsidR="000E7C76" w:rsidRPr="00256982" w:rsidRDefault="000E7C76" w:rsidP="000E7C76">
            <w:pPr>
              <w:pStyle w:val="TableText"/>
              <w:jc w:val="center"/>
            </w:pPr>
          </w:p>
        </w:tc>
        <w:tc>
          <w:tcPr>
            <w:tcW w:w="843" w:type="dxa"/>
            <w:shd w:val="clear" w:color="auto" w:fill="auto"/>
            <w:tcMar>
              <w:left w:w="85" w:type="dxa"/>
              <w:right w:w="85" w:type="dxa"/>
            </w:tcMar>
          </w:tcPr>
          <w:p w14:paraId="52F18113" w14:textId="77777777" w:rsidR="000E7C76" w:rsidRPr="00256982" w:rsidRDefault="000E7C76" w:rsidP="000E7C76">
            <w:pPr>
              <w:pStyle w:val="TableText"/>
              <w:jc w:val="center"/>
            </w:pPr>
          </w:p>
        </w:tc>
        <w:tc>
          <w:tcPr>
            <w:tcW w:w="1000" w:type="dxa"/>
            <w:shd w:val="clear" w:color="auto" w:fill="auto"/>
            <w:tcMar>
              <w:left w:w="85" w:type="dxa"/>
              <w:right w:w="85" w:type="dxa"/>
            </w:tcMar>
          </w:tcPr>
          <w:p w14:paraId="15F191D8" w14:textId="77777777" w:rsidR="000E7C76" w:rsidRPr="00256982" w:rsidRDefault="000E7C76" w:rsidP="000E7C76">
            <w:pPr>
              <w:pStyle w:val="TableText"/>
              <w:jc w:val="center"/>
            </w:pPr>
          </w:p>
        </w:tc>
        <w:tc>
          <w:tcPr>
            <w:tcW w:w="922" w:type="dxa"/>
            <w:shd w:val="clear" w:color="auto" w:fill="auto"/>
            <w:tcMar>
              <w:left w:w="85" w:type="dxa"/>
              <w:right w:w="85" w:type="dxa"/>
            </w:tcMar>
          </w:tcPr>
          <w:p w14:paraId="6F74BA12" w14:textId="77777777" w:rsidR="000E7C76" w:rsidRPr="00256982" w:rsidRDefault="000E7C76" w:rsidP="000E7C76">
            <w:pPr>
              <w:pStyle w:val="TableText"/>
              <w:jc w:val="center"/>
            </w:pPr>
          </w:p>
        </w:tc>
      </w:tr>
      <w:tr w:rsidR="000E7C76" w:rsidRPr="00256982" w14:paraId="5389DB31" w14:textId="77777777" w:rsidTr="000E7C76">
        <w:tc>
          <w:tcPr>
            <w:tcW w:w="1242" w:type="dxa"/>
            <w:shd w:val="clear" w:color="auto" w:fill="auto"/>
            <w:tcMar>
              <w:left w:w="85" w:type="dxa"/>
              <w:right w:w="85" w:type="dxa"/>
            </w:tcMar>
          </w:tcPr>
          <w:p w14:paraId="3A244010" w14:textId="77777777" w:rsidR="000E7C76" w:rsidRPr="00256982" w:rsidRDefault="000E7C76" w:rsidP="000E7C76">
            <w:pPr>
              <w:pStyle w:val="TableText"/>
            </w:pPr>
            <w:r w:rsidRPr="00256982">
              <w:t>Other land</w:t>
            </w:r>
          </w:p>
        </w:tc>
        <w:tc>
          <w:tcPr>
            <w:tcW w:w="921" w:type="dxa"/>
            <w:shd w:val="clear" w:color="auto" w:fill="auto"/>
            <w:tcMar>
              <w:left w:w="85" w:type="dxa"/>
              <w:right w:w="85" w:type="dxa"/>
            </w:tcMar>
          </w:tcPr>
          <w:p w14:paraId="1BBA8918" w14:textId="77777777" w:rsidR="000E7C76" w:rsidRPr="00256982" w:rsidRDefault="000E7C76" w:rsidP="000E7C76">
            <w:pPr>
              <w:pStyle w:val="TableText"/>
              <w:jc w:val="center"/>
            </w:pPr>
            <w:r w:rsidRPr="00256982">
              <w:t>*D</w:t>
            </w:r>
          </w:p>
        </w:tc>
        <w:tc>
          <w:tcPr>
            <w:tcW w:w="921" w:type="dxa"/>
            <w:shd w:val="clear" w:color="auto" w:fill="auto"/>
            <w:tcMar>
              <w:left w:w="85" w:type="dxa"/>
              <w:right w:w="85" w:type="dxa"/>
            </w:tcMar>
          </w:tcPr>
          <w:p w14:paraId="5E2A2B0B" w14:textId="77777777" w:rsidR="000E7C76" w:rsidRPr="00256982" w:rsidRDefault="000E7C76" w:rsidP="000E7C76">
            <w:pPr>
              <w:pStyle w:val="TableText"/>
              <w:jc w:val="center"/>
            </w:pPr>
            <w:r w:rsidRPr="00256982">
              <w:t>*D</w:t>
            </w:r>
          </w:p>
        </w:tc>
        <w:tc>
          <w:tcPr>
            <w:tcW w:w="922" w:type="dxa"/>
            <w:shd w:val="clear" w:color="auto" w:fill="auto"/>
            <w:tcMar>
              <w:left w:w="85" w:type="dxa"/>
              <w:right w:w="85" w:type="dxa"/>
            </w:tcMar>
          </w:tcPr>
          <w:p w14:paraId="12C23039" w14:textId="77777777" w:rsidR="000E7C76" w:rsidRPr="00256982" w:rsidRDefault="000E7C76" w:rsidP="000E7C76">
            <w:pPr>
              <w:pStyle w:val="TableText"/>
              <w:jc w:val="center"/>
            </w:pPr>
            <w:r w:rsidRPr="00256982">
              <w:t>A/FM</w:t>
            </w:r>
          </w:p>
        </w:tc>
        <w:tc>
          <w:tcPr>
            <w:tcW w:w="921" w:type="dxa"/>
            <w:shd w:val="clear" w:color="auto" w:fill="auto"/>
            <w:tcMar>
              <w:left w:w="85" w:type="dxa"/>
              <w:right w:w="85" w:type="dxa"/>
            </w:tcMar>
          </w:tcPr>
          <w:p w14:paraId="3EC0AB69" w14:textId="77777777" w:rsidR="000E7C76" w:rsidRPr="00256982" w:rsidRDefault="000E7C76" w:rsidP="000E7C76">
            <w:pPr>
              <w:pStyle w:val="TableText"/>
              <w:jc w:val="center"/>
            </w:pPr>
          </w:p>
        </w:tc>
        <w:tc>
          <w:tcPr>
            <w:tcW w:w="921" w:type="dxa"/>
            <w:shd w:val="clear" w:color="auto" w:fill="auto"/>
            <w:tcMar>
              <w:left w:w="85" w:type="dxa"/>
              <w:right w:w="85" w:type="dxa"/>
            </w:tcMar>
          </w:tcPr>
          <w:p w14:paraId="007CB789" w14:textId="77777777" w:rsidR="000E7C76" w:rsidRPr="00256982" w:rsidRDefault="000E7C76" w:rsidP="000E7C76">
            <w:pPr>
              <w:pStyle w:val="TableText"/>
              <w:jc w:val="center"/>
            </w:pPr>
          </w:p>
        </w:tc>
        <w:tc>
          <w:tcPr>
            <w:tcW w:w="843" w:type="dxa"/>
            <w:shd w:val="clear" w:color="auto" w:fill="auto"/>
            <w:tcMar>
              <w:left w:w="85" w:type="dxa"/>
              <w:right w:w="85" w:type="dxa"/>
            </w:tcMar>
          </w:tcPr>
          <w:p w14:paraId="4B99B4D2" w14:textId="77777777" w:rsidR="000E7C76" w:rsidRPr="00256982" w:rsidRDefault="000E7C76" w:rsidP="000E7C76">
            <w:pPr>
              <w:pStyle w:val="TableText"/>
              <w:jc w:val="center"/>
            </w:pPr>
          </w:p>
        </w:tc>
        <w:tc>
          <w:tcPr>
            <w:tcW w:w="1000" w:type="dxa"/>
            <w:shd w:val="clear" w:color="auto" w:fill="auto"/>
            <w:tcMar>
              <w:left w:w="85" w:type="dxa"/>
              <w:right w:w="85" w:type="dxa"/>
            </w:tcMar>
          </w:tcPr>
          <w:p w14:paraId="62BAC304" w14:textId="77777777" w:rsidR="000E7C76" w:rsidRPr="00256982" w:rsidRDefault="000E7C76" w:rsidP="000E7C76">
            <w:pPr>
              <w:pStyle w:val="TableText"/>
              <w:jc w:val="center"/>
            </w:pPr>
          </w:p>
        </w:tc>
        <w:tc>
          <w:tcPr>
            <w:tcW w:w="922" w:type="dxa"/>
            <w:shd w:val="clear" w:color="auto" w:fill="auto"/>
            <w:tcMar>
              <w:left w:w="85" w:type="dxa"/>
              <w:right w:w="85" w:type="dxa"/>
            </w:tcMar>
          </w:tcPr>
          <w:p w14:paraId="31D856E2" w14:textId="77777777" w:rsidR="000E7C76" w:rsidRPr="00256982" w:rsidRDefault="000E7C76" w:rsidP="000E7C76">
            <w:pPr>
              <w:pStyle w:val="TableText"/>
              <w:jc w:val="center"/>
            </w:pPr>
          </w:p>
        </w:tc>
      </w:tr>
    </w:tbl>
    <w:p w14:paraId="6AAABE64" w14:textId="77777777" w:rsidR="000E7C76" w:rsidRPr="00256982" w:rsidRDefault="000E7C76" w:rsidP="000E7C76">
      <w:pPr>
        <w:pStyle w:val="Noteundertable"/>
      </w:pPr>
      <w:r w:rsidRPr="00256982">
        <w:rPr>
          <w:b/>
        </w:rPr>
        <w:t>Note:</w:t>
      </w:r>
      <w:r w:rsidRPr="00256982">
        <w:t xml:space="preserve"> </w:t>
      </w:r>
      <w:r w:rsidRPr="00256982">
        <w:tab/>
        <w:t xml:space="preserve">A = </w:t>
      </w:r>
      <w:r w:rsidRPr="00256982">
        <w:rPr>
          <w:i/>
        </w:rPr>
        <w:t>Afforestation and reforestation</w:t>
      </w:r>
      <w:r w:rsidRPr="00256982">
        <w:t xml:space="preserve">; D = </w:t>
      </w:r>
      <w:r w:rsidRPr="00256982">
        <w:rPr>
          <w:i/>
        </w:rPr>
        <w:t>Deforestation</w:t>
      </w:r>
      <w:r w:rsidRPr="00256982">
        <w:t xml:space="preserve">; FM = </w:t>
      </w:r>
      <w:r w:rsidRPr="00256982">
        <w:rPr>
          <w:i/>
        </w:rPr>
        <w:t>Forest management</w:t>
      </w:r>
      <w:r w:rsidRPr="00256982">
        <w:t xml:space="preserve">; A/FM indicates that a forest establishment activity could be accounted for under </w:t>
      </w:r>
      <w:r w:rsidRPr="00256982">
        <w:rPr>
          <w:i/>
        </w:rPr>
        <w:t>Forest management</w:t>
      </w:r>
      <w:r w:rsidRPr="00256982">
        <w:t xml:space="preserve"> if the land is subject to the carbon equivalent forest provision; D/FM indicates that a forest harvest and conversion activity could be accounted for under </w:t>
      </w:r>
      <w:r w:rsidRPr="00256982">
        <w:rPr>
          <w:i/>
        </w:rPr>
        <w:t>Forest management</w:t>
      </w:r>
      <w:r w:rsidRPr="00256982">
        <w:t xml:space="preserve"> if the land is subject to the carbon equivalent forest provision; ‘–’ denotes land-use changes that are not possible given the land use definitions; ‘*D’ denotes land-use changes that are valid only if the land was forested at 1990, in which case the land use transition is accounted for under deforestation (e.g., pre-1990 planted forest converted to grassland since 1990 that is later converted back to pre-1990 planted forest would be reported under </w:t>
      </w:r>
      <w:r w:rsidRPr="00256982">
        <w:rPr>
          <w:i/>
        </w:rPr>
        <w:t>Deforestation</w:t>
      </w:r>
      <w:r w:rsidRPr="00256982">
        <w:t xml:space="preserve">). </w:t>
      </w:r>
    </w:p>
    <w:p w14:paraId="3356E921" w14:textId="77777777" w:rsidR="000E7C76" w:rsidRPr="00256982" w:rsidRDefault="000E7C76" w:rsidP="00C7311A">
      <w:pPr>
        <w:pStyle w:val="BodyText"/>
        <w:spacing w:after="100"/>
      </w:pPr>
      <w:r w:rsidRPr="00256982">
        <w:t>Mapping of land-use change is described in chapter 6, sections 6.2.2 and 6.2.3. Further information on the estimation of the total area of afforested and reforested land occurring between 2008 and 2017 can be found in section 6.4.1.</w:t>
      </w:r>
    </w:p>
    <w:p w14:paraId="283A78EC" w14:textId="77777777" w:rsidR="000E7C76" w:rsidRPr="00256982" w:rsidRDefault="000E7C76" w:rsidP="00C7311A">
      <w:pPr>
        <w:pStyle w:val="BodyText"/>
        <w:spacing w:after="100"/>
      </w:pPr>
      <w:r w:rsidRPr="00256982">
        <w:t>Accurate classification of pre-1990 forest is essential to correctly determine the area reported as afforested and reforested in the land transition matrix. Satellite imagery at various dates near to 1990 and mapping from the New Zealand Emissions Trading Scheme (NZ ETS) have been used to ensure that these forests are classified correctly. An illustration of this process is shown in chapter 6, figure 6.2.4.</w:t>
      </w:r>
    </w:p>
    <w:p w14:paraId="663DB8B8" w14:textId="77777777" w:rsidR="000E7C76" w:rsidRPr="00256982" w:rsidRDefault="000E7C76" w:rsidP="00C7311A">
      <w:pPr>
        <w:pStyle w:val="BodyText"/>
        <w:spacing w:after="100"/>
      </w:pPr>
      <w:r w:rsidRPr="00256982">
        <w:t xml:space="preserve">Transitions to </w:t>
      </w:r>
      <w:r w:rsidRPr="00256982">
        <w:rPr>
          <w:spacing w:val="-2"/>
        </w:rPr>
        <w:t>deforestation</w:t>
      </w:r>
      <w:r w:rsidRPr="00256982">
        <w:t xml:space="preserve"> are based on </w:t>
      </w:r>
      <w:r w:rsidRPr="00256982">
        <w:rPr>
          <w:spacing w:val="-2"/>
        </w:rPr>
        <w:t>deforestation</w:t>
      </w:r>
      <w:r w:rsidRPr="00256982">
        <w:t xml:space="preserve"> mapping, as described in chapter 6, section 6.2.2. All areas of </w:t>
      </w:r>
      <w:r w:rsidRPr="00256982">
        <w:rPr>
          <w:spacing w:val="-2"/>
        </w:rPr>
        <w:t>deforestation</w:t>
      </w:r>
      <w:r w:rsidRPr="00256982">
        <w:t xml:space="preserve"> are confirmed using aerial photography. For </w:t>
      </w:r>
      <w:r w:rsidRPr="00256982">
        <w:rPr>
          <w:spacing w:val="-2"/>
        </w:rPr>
        <w:t>deforestation</w:t>
      </w:r>
      <w:r w:rsidRPr="00256982">
        <w:t xml:space="preserve"> occurring between 2008 and 2016, annual Landsat and/or Sentinel-2 satellite imagery is used to estimate the year of the conversion.</w:t>
      </w:r>
    </w:p>
    <w:p w14:paraId="68E45384" w14:textId="77777777" w:rsidR="000E7C76" w:rsidRPr="00256982" w:rsidRDefault="000E7C76" w:rsidP="000E7C76">
      <w:pPr>
        <w:pStyle w:val="Heading3"/>
      </w:pPr>
      <w:bookmarkStart w:id="2675" w:name="_Toc261513287"/>
      <w:bookmarkStart w:id="2676" w:name="_Toc261513900"/>
      <w:bookmarkStart w:id="2677" w:name="_Toc280630390"/>
      <w:bookmarkStart w:id="2678" w:name="_Toc377043721"/>
      <w:bookmarkStart w:id="2679" w:name="_Toc400967259"/>
      <w:r w:rsidRPr="00256982">
        <w:t xml:space="preserve">11.2.3 </w:t>
      </w:r>
      <w:r w:rsidRPr="00256982">
        <w:tab/>
        <w:t>Identifying geographical locations</w:t>
      </w:r>
      <w:bookmarkEnd w:id="2675"/>
      <w:bookmarkEnd w:id="2676"/>
      <w:bookmarkEnd w:id="2677"/>
      <w:bookmarkEnd w:id="2678"/>
      <w:bookmarkEnd w:id="2679"/>
    </w:p>
    <w:p w14:paraId="1A64E5A4" w14:textId="77777777" w:rsidR="000E7C76" w:rsidRPr="00256982" w:rsidRDefault="000E7C76" w:rsidP="000E7C76">
      <w:pPr>
        <w:pStyle w:val="BodyText"/>
      </w:pPr>
      <w:r w:rsidRPr="00256982">
        <w:t xml:space="preserve">New Zealand has used Reporting Methods 1 and 2 for preparing estimates of emissions and removals for </w:t>
      </w:r>
      <w:r w:rsidRPr="00256982">
        <w:rPr>
          <w:i/>
        </w:rPr>
        <w:t>Afforestation</w:t>
      </w:r>
      <w:r w:rsidRPr="00256982">
        <w:t xml:space="preserve"> </w:t>
      </w:r>
      <w:r w:rsidRPr="00256982">
        <w:rPr>
          <w:i/>
        </w:rPr>
        <w:t>and</w:t>
      </w:r>
      <w:r w:rsidRPr="00256982">
        <w:t xml:space="preserve"> </w:t>
      </w:r>
      <w:r w:rsidRPr="00256982">
        <w:rPr>
          <w:i/>
        </w:rPr>
        <w:t>reforestation</w:t>
      </w:r>
      <w:r w:rsidRPr="00256982">
        <w:t xml:space="preserve"> and </w:t>
      </w:r>
      <w:r w:rsidRPr="00256982">
        <w:rPr>
          <w:i/>
          <w:spacing w:val="-2"/>
        </w:rPr>
        <w:t>Deforestation</w:t>
      </w:r>
      <w:r w:rsidRPr="00256982">
        <w:t xml:space="preserve">, and Approaches 2 and 3 to map land-use change. Wall-to-wall mapping is completed every four to five years, with national statistics and ancillary mapping data used in the intervening years to estimate afforested, reforested or </w:t>
      </w:r>
      <w:r w:rsidRPr="00256982">
        <w:rPr>
          <w:spacing w:val="-2"/>
        </w:rPr>
        <w:t>deforested areas</w:t>
      </w:r>
      <w:r w:rsidRPr="00256982">
        <w:t>.</w:t>
      </w:r>
    </w:p>
    <w:p w14:paraId="2BCA93A1" w14:textId="77777777" w:rsidR="000E7C76" w:rsidRPr="00256982" w:rsidRDefault="000E7C76" w:rsidP="000E7C76">
      <w:pPr>
        <w:pStyle w:val="BodyText"/>
      </w:pPr>
      <w:r w:rsidRPr="00256982">
        <w:t xml:space="preserve">Included in New Zealand’s geographical extent are the following uninhabited offshore islands: Kermadec Islands, Three Kings Islands and Subantarctic Islands (Auckland Islands, Campbell Island, Antipodes Islands, Bounty Islands and Snares Islands). These islands are protected conservation sites with a total area of 74,052 hectares. They are not subject to land-use change and are therefore reported in a steady state of land use. </w:t>
      </w:r>
    </w:p>
    <w:p w14:paraId="158E532B" w14:textId="77777777" w:rsidR="000E7C76" w:rsidRPr="00256982" w:rsidRDefault="000E7C76" w:rsidP="00C7311A">
      <w:pPr>
        <w:pStyle w:val="Heading2"/>
        <w:spacing w:before="280"/>
      </w:pPr>
      <w:bookmarkStart w:id="2680" w:name="_Toc261513288"/>
      <w:bookmarkStart w:id="2681" w:name="_Toc261513901"/>
      <w:bookmarkStart w:id="2682" w:name="_Toc280630391"/>
      <w:bookmarkStart w:id="2683" w:name="_Toc310423466"/>
      <w:bookmarkStart w:id="2684" w:name="_Toc342470734"/>
      <w:bookmarkStart w:id="2685" w:name="_Toc352504893"/>
      <w:bookmarkStart w:id="2686" w:name="_Toc377043722"/>
      <w:bookmarkStart w:id="2687" w:name="_Toc391023463"/>
      <w:bookmarkStart w:id="2688" w:name="_Toc400967260"/>
      <w:bookmarkStart w:id="2689" w:name="_Toc414531342"/>
      <w:bookmarkStart w:id="2690" w:name="_Toc456179171"/>
      <w:bookmarkStart w:id="2691" w:name="_Toc481751424"/>
      <w:bookmarkStart w:id="2692" w:name="_Toc522013963"/>
      <w:bookmarkStart w:id="2693" w:name="_Toc5269407"/>
      <w:r w:rsidRPr="00256982">
        <w:t>11.3</w:t>
      </w:r>
      <w:r w:rsidRPr="00256982">
        <w:tab/>
        <w:t>Activity-specific information</w:t>
      </w:r>
      <w:bookmarkEnd w:id="2680"/>
      <w:bookmarkEnd w:id="2681"/>
      <w:bookmarkEnd w:id="2682"/>
      <w:bookmarkEnd w:id="2683"/>
      <w:bookmarkEnd w:id="2684"/>
      <w:bookmarkEnd w:id="2685"/>
      <w:bookmarkEnd w:id="2686"/>
      <w:bookmarkEnd w:id="2687"/>
      <w:bookmarkEnd w:id="2688"/>
      <w:bookmarkEnd w:id="2689"/>
      <w:bookmarkEnd w:id="2690"/>
      <w:bookmarkEnd w:id="2691"/>
      <w:bookmarkEnd w:id="2692"/>
      <w:bookmarkEnd w:id="2693"/>
    </w:p>
    <w:p w14:paraId="10195DA2" w14:textId="77777777" w:rsidR="000E7C76" w:rsidRPr="00256982" w:rsidRDefault="000E7C76" w:rsidP="000E7C76">
      <w:pPr>
        <w:pStyle w:val="Heading3"/>
        <w:spacing w:before="240"/>
      </w:pPr>
      <w:r w:rsidRPr="00256982">
        <w:t>11.3.1</w:t>
      </w:r>
      <w:r w:rsidRPr="00256982">
        <w:tab/>
        <w:t>Estimating carbon stock change</w:t>
      </w:r>
    </w:p>
    <w:p w14:paraId="3829CE7E" w14:textId="77777777" w:rsidR="000E7C76" w:rsidRPr="00256982" w:rsidRDefault="000E7C76" w:rsidP="000E7C76">
      <w:pPr>
        <w:pStyle w:val="BodyText"/>
        <w:rPr>
          <w:spacing w:val="-2"/>
        </w:rPr>
      </w:pPr>
      <w:r w:rsidRPr="00256982">
        <w:rPr>
          <w:spacing w:val="-2"/>
        </w:rPr>
        <w:t xml:space="preserve">Emissions and removals from </w:t>
      </w:r>
      <w:r w:rsidRPr="00256982">
        <w:rPr>
          <w:i/>
          <w:spacing w:val="-2"/>
        </w:rPr>
        <w:t>Afforestation and reforestation</w:t>
      </w:r>
      <w:r w:rsidRPr="00256982">
        <w:rPr>
          <w:spacing w:val="-2"/>
        </w:rPr>
        <w:t xml:space="preserve">, </w:t>
      </w:r>
      <w:r w:rsidRPr="00256982">
        <w:rPr>
          <w:i/>
          <w:spacing w:val="-2"/>
        </w:rPr>
        <w:t>Deforestation</w:t>
      </w:r>
      <w:r w:rsidRPr="00256982">
        <w:rPr>
          <w:spacing w:val="-2"/>
        </w:rPr>
        <w:t xml:space="preserve"> and </w:t>
      </w:r>
      <w:r w:rsidRPr="00256982">
        <w:rPr>
          <w:i/>
          <w:spacing w:val="-2"/>
        </w:rPr>
        <w:t>Forest</w:t>
      </w:r>
      <w:r w:rsidRPr="00256982">
        <w:rPr>
          <w:spacing w:val="-2"/>
        </w:rPr>
        <w:t xml:space="preserve"> </w:t>
      </w:r>
      <w:r w:rsidRPr="00256982">
        <w:rPr>
          <w:i/>
          <w:spacing w:val="-2"/>
        </w:rPr>
        <w:t>management</w:t>
      </w:r>
      <w:r w:rsidRPr="00256982">
        <w:rPr>
          <w:spacing w:val="-2"/>
        </w:rPr>
        <w:t xml:space="preserve"> are determined using plot-network-based estimates for each type of forest (pre-1990 natural forest, pre-1990 planted forest and post-1989 forest). Carbon analyses are performed to estimate the carbon stored per hectare per pool and are described in chapter 6, section 6.4.2. </w:t>
      </w:r>
    </w:p>
    <w:p w14:paraId="36E38BEB" w14:textId="77777777" w:rsidR="000E7C76" w:rsidRPr="00256982" w:rsidRDefault="000E7C76" w:rsidP="00C7311A">
      <w:pPr>
        <w:pStyle w:val="Heading3"/>
        <w:spacing w:before="280"/>
      </w:pPr>
      <w:r w:rsidRPr="00256982">
        <w:t>11.3.2</w:t>
      </w:r>
      <w:r w:rsidRPr="00256982">
        <w:tab/>
        <w:t>Afforestation and reforestation (CRF 4(KP.A.1))</w:t>
      </w:r>
    </w:p>
    <w:p w14:paraId="527B8F89" w14:textId="69DA835C" w:rsidR="000E7C76" w:rsidRPr="00256982" w:rsidRDefault="000E7C76" w:rsidP="000E7C76">
      <w:pPr>
        <w:pStyle w:val="BodyText"/>
      </w:pPr>
      <w:r w:rsidRPr="00256982">
        <w:t>Between 1990 and 2017, it is estimated that 710,432 hectares of new forest (post</w:t>
      </w:r>
      <w:r w:rsidRPr="00256982">
        <w:noBreakHyphen/>
        <w:t xml:space="preserve">1989 forest) were established as a result of </w:t>
      </w:r>
      <w:r w:rsidRPr="00256982">
        <w:rPr>
          <w:i/>
        </w:rPr>
        <w:t>Afforestation and reforestation</w:t>
      </w:r>
      <w:r w:rsidRPr="00256982">
        <w:t xml:space="preserve"> activities (table </w:t>
      </w:r>
      <w:r w:rsidRPr="00256982">
        <w:rPr>
          <w:spacing w:val="-2"/>
        </w:rPr>
        <w:t>11.3.1</w:t>
      </w:r>
      <w:r w:rsidRPr="00256982">
        <w:t xml:space="preserve">). The net area of post-1989 forest (calculated from the total area of new forest planted since 31 December 1989 minus the deforestation of post-1989 forest since 1 January 1990) as at the end of 2017 was </w:t>
      </w:r>
      <w:r w:rsidRPr="00256982">
        <w:rPr>
          <w:rFonts w:cs="Arial"/>
          <w:color w:val="000000"/>
          <w:szCs w:val="16"/>
        </w:rPr>
        <w:t xml:space="preserve">680,086 </w:t>
      </w:r>
      <w:r w:rsidRPr="00256982">
        <w:t>hectares. Emissions from this land in 2017 were –17,610.0 kt CO</w:t>
      </w:r>
      <w:r w:rsidRPr="00256982">
        <w:rPr>
          <w:vertAlign w:val="subscript"/>
        </w:rPr>
        <w:t>2</w:t>
      </w:r>
      <w:r w:rsidRPr="00256982">
        <w:t>-e, compared with –17,810.4 kt CO</w:t>
      </w:r>
      <w:r w:rsidRPr="00256982">
        <w:rPr>
          <w:vertAlign w:val="subscript"/>
        </w:rPr>
        <w:t>2</w:t>
      </w:r>
      <w:r w:rsidRPr="00256982">
        <w:t xml:space="preserve">-e in 2016. Of the total area afforested or reforested between 1990 and 2017, an estimated 30,347 hectares were deforested between 1990 and 2017 (table </w:t>
      </w:r>
      <w:r w:rsidRPr="00256982">
        <w:rPr>
          <w:spacing w:val="-2"/>
        </w:rPr>
        <w:t>11.3.1</w:t>
      </w:r>
      <w:r w:rsidRPr="00256982">
        <w:t xml:space="preserve">). The emissions for this area are reported under </w:t>
      </w:r>
      <w:r w:rsidRPr="00256982">
        <w:rPr>
          <w:i/>
          <w:spacing w:val="-2"/>
        </w:rPr>
        <w:t>Deforestation</w:t>
      </w:r>
      <w:r w:rsidRPr="00256982">
        <w:t>.</w:t>
      </w:r>
    </w:p>
    <w:p w14:paraId="693E5A73" w14:textId="77777777" w:rsidR="000E7C76" w:rsidRPr="00256982" w:rsidRDefault="000E7C76" w:rsidP="000E7C76">
      <w:pPr>
        <w:pStyle w:val="BodyText"/>
        <w:rPr>
          <w:spacing w:val="-2"/>
        </w:rPr>
      </w:pPr>
      <w:r w:rsidRPr="00256982">
        <w:rPr>
          <w:spacing w:val="-2"/>
        </w:rPr>
        <w:t xml:space="preserve">The afforestation rate between 1990 and 2017 was, on average, 25,373 hectares per year. New planting rates were high from 1992 to 1998, averaging 61,877 hectares per year. This followed a change in the taxation regime, an unprecedented price spike for forest products with subsequent favourable publicity, a government focus on forestry as an instrument for regional development and the conclusion of the state forest assets sale. The removal of agricultural subsidies and the poor performance of the New Zealand and international share markets also encouraged investors to seek alternatives (Rhodes and Novis, 2002). The rate of new planting declined from 1996, reaching an estimated low of 2,957 hectares in 2014. The increase in planting between 2008 and 2012 is largely attributable to the NZ ETS (Ministry for Primary Industries, 2015d), Afforestation Grant Scheme (Ministry for Primary Industries, 2015a) and Permanent Forest Sink Initiative (Ministry for Primary Industries, 2015b), which have been introduced by the New Zealand Government to encourage new planting and regeneration of natural ecosystems. </w:t>
      </w:r>
      <w:r w:rsidRPr="00256982">
        <w:t>The afforestation rate reduced</w:t>
      </w:r>
      <w:r w:rsidRPr="00256982">
        <w:rPr>
          <w:spacing w:val="-2"/>
        </w:rPr>
        <w:t xml:space="preserve"> after 2012. This is likely due in part to a significant drop in the price of carbon in the NZ ETS. Between 2013 and 2017, the average afforestation rate was 3,348 hectares. A total of 4,979 hectares were subject to </w:t>
      </w:r>
      <w:r w:rsidRPr="00256982">
        <w:rPr>
          <w:i/>
          <w:spacing w:val="-2"/>
        </w:rPr>
        <w:t>Afforestation and reforestation</w:t>
      </w:r>
      <w:r w:rsidRPr="00256982">
        <w:rPr>
          <w:spacing w:val="-2"/>
        </w:rPr>
        <w:t xml:space="preserve"> activities in 2017. </w:t>
      </w:r>
    </w:p>
    <w:p w14:paraId="1820EC42" w14:textId="77777777" w:rsidR="000E7C76" w:rsidRPr="00256982" w:rsidRDefault="000E7C76" w:rsidP="000E7C76">
      <w:pPr>
        <w:pStyle w:val="BodyText"/>
        <w:rPr>
          <w:spacing w:val="-2"/>
        </w:rPr>
      </w:pPr>
      <w:r w:rsidRPr="00256982">
        <w:rPr>
          <w:spacing w:val="-2"/>
        </w:rPr>
        <w:t xml:space="preserve">The reduction in </w:t>
      </w:r>
      <w:r w:rsidRPr="00256982">
        <w:rPr>
          <w:i/>
          <w:spacing w:val="-2"/>
        </w:rPr>
        <w:t>Afforestation and reforestation</w:t>
      </w:r>
      <w:r w:rsidRPr="00256982">
        <w:rPr>
          <w:spacing w:val="-2"/>
        </w:rPr>
        <w:t xml:space="preserve"> activities that has occurred since the 1990s is likely caused by the relative profitability of other forms of land use, high rural land prices and a lack of confidence in the carbon market. The exclusion of international units from the NZ ETS scheme on 31 May 2015, the conclusion of the NZ ETS review and the implementation of some of its findings have contributed to higher carbon prices, and this is expected to encourage larger areas of afforestation in future.</w:t>
      </w:r>
    </w:p>
    <w:p w14:paraId="42146AD5" w14:textId="77777777" w:rsidR="000E7C76" w:rsidRPr="00256982" w:rsidRDefault="000E7C76" w:rsidP="000E7C76">
      <w:pPr>
        <w:pStyle w:val="BodyText"/>
        <w:rPr>
          <w:spacing w:val="-2"/>
        </w:rPr>
      </w:pPr>
      <w:r w:rsidRPr="00256982">
        <w:rPr>
          <w:spacing w:val="-2"/>
        </w:rPr>
        <w:t xml:space="preserve">The activity data used to estimate new planting in planted forests between 2013 and 2017 are obtained from a national survey of forest owners (Ministry for Primary Industries, 2017) and the NZ ETS scheme for areas subject to the </w:t>
      </w:r>
      <w:r w:rsidRPr="00256982">
        <w:t>carbon equivalent forest provision</w:t>
      </w:r>
      <w:r w:rsidRPr="00256982">
        <w:rPr>
          <w:spacing w:val="-2"/>
        </w:rPr>
        <w:t xml:space="preserve">. The survey respondents report areas as net stocked area. However, gross stocked area is reported in the inventory. To account for the difference between the two sources of data (mapping and survey), an unstocked area component is added to the new planting statistic between 2008 and 2016. For estimating emissions associated with new planting, the net planted forest area is modelled separately from the unstocked area component. This ensures the net new planting and NZ ETS data used in the inventory are consistent with the gross mapped forest area. </w:t>
      </w:r>
    </w:p>
    <w:p w14:paraId="24533277" w14:textId="77777777" w:rsidR="000E7C76" w:rsidRPr="00256982" w:rsidRDefault="000E7C76" w:rsidP="000E7C76">
      <w:pPr>
        <w:pStyle w:val="BodyText"/>
      </w:pPr>
      <w:r w:rsidRPr="00256982">
        <w:t>New Zealand’s post-1989 forest is described in further detail in chapter 6, section 6.4.</w:t>
      </w:r>
    </w:p>
    <w:p w14:paraId="26C3C4D7" w14:textId="77777777" w:rsidR="000E7C76" w:rsidRPr="00256982" w:rsidRDefault="000E7C76" w:rsidP="000E7C76">
      <w:pPr>
        <w:pStyle w:val="Table"/>
      </w:pPr>
      <w:bookmarkStart w:id="2694" w:name="_Toc310423440"/>
      <w:bookmarkStart w:id="2695" w:name="_Toc318362733"/>
      <w:bookmarkStart w:id="2696" w:name="_Toc342470812"/>
      <w:bookmarkStart w:id="2697" w:name="_Toc352505065"/>
      <w:bookmarkStart w:id="2698" w:name="_Toc377043701"/>
      <w:bookmarkStart w:id="2699" w:name="_Toc391023553"/>
      <w:bookmarkStart w:id="2700" w:name="_Toc414531527"/>
      <w:bookmarkStart w:id="2701" w:name="_Toc456179107"/>
      <w:bookmarkStart w:id="2702" w:name="_Toc481751633"/>
      <w:bookmarkStart w:id="2703" w:name="_Toc522010658"/>
      <w:bookmarkStart w:id="2704" w:name="_Toc5269628"/>
      <w:r w:rsidRPr="00256982">
        <w:t>Table 11.3.1</w:t>
      </w:r>
      <w:r w:rsidRPr="00256982">
        <w:tab/>
        <w:t>New Zealand’s estimated annual area under Afforestation and reforestation</w:t>
      </w:r>
      <w:r w:rsidRPr="00256982">
        <w:rPr>
          <w:vertAlign w:val="subscript"/>
        </w:rPr>
        <w:t xml:space="preserve"> </w:t>
      </w:r>
      <w:r w:rsidRPr="00256982">
        <w:t>from 1990</w:t>
      </w:r>
      <w:bookmarkEnd w:id="2694"/>
      <w:bookmarkEnd w:id="2695"/>
      <w:bookmarkEnd w:id="2696"/>
      <w:bookmarkEnd w:id="2697"/>
      <w:bookmarkEnd w:id="2698"/>
      <w:r w:rsidRPr="00256982">
        <w:t> to</w:t>
      </w:r>
      <w:bookmarkEnd w:id="2699"/>
      <w:r w:rsidRPr="00256982">
        <w:t> 201</w:t>
      </w:r>
      <w:bookmarkEnd w:id="2700"/>
      <w:bookmarkEnd w:id="2701"/>
      <w:bookmarkEnd w:id="2702"/>
      <w:bookmarkEnd w:id="2703"/>
      <w:r w:rsidRPr="00256982">
        <w:t>7</w:t>
      </w:r>
      <w:bookmarkEnd w:id="2704"/>
    </w:p>
    <w:tbl>
      <w:tblPr>
        <w:tblW w:w="8505" w:type="dxa"/>
        <w:tblInd w:w="108" w:type="dxa"/>
        <w:tblBorders>
          <w:top w:val="single" w:sz="4" w:space="0" w:color="2E74B5"/>
          <w:bottom w:val="single" w:sz="4" w:space="0" w:color="2E74B5"/>
          <w:insideH w:val="single" w:sz="4" w:space="0" w:color="2E74B5"/>
        </w:tblBorders>
        <w:tblLook w:val="04A0" w:firstRow="1" w:lastRow="0" w:firstColumn="1" w:lastColumn="0" w:noHBand="0" w:noVBand="1"/>
      </w:tblPr>
      <w:tblGrid>
        <w:gridCol w:w="873"/>
        <w:gridCol w:w="2503"/>
        <w:gridCol w:w="1479"/>
        <w:gridCol w:w="1479"/>
        <w:gridCol w:w="2171"/>
      </w:tblGrid>
      <w:tr w:rsidR="000E7C76" w:rsidRPr="00256982" w14:paraId="60EFF234" w14:textId="77777777" w:rsidTr="000E7C76">
        <w:trPr>
          <w:tblHeader/>
        </w:trPr>
        <w:tc>
          <w:tcPr>
            <w:tcW w:w="873" w:type="dxa"/>
            <w:vMerge w:val="restart"/>
            <w:tcBorders>
              <w:top w:val="single" w:sz="4" w:space="0" w:color="365F91"/>
              <w:bottom w:val="nil"/>
            </w:tcBorders>
            <w:shd w:val="clear" w:color="auto" w:fill="365F91"/>
            <w:vAlign w:val="bottom"/>
          </w:tcPr>
          <w:p w14:paraId="3F633C21" w14:textId="77777777" w:rsidR="000E7C76" w:rsidRPr="00256982" w:rsidRDefault="000E7C76" w:rsidP="000E7C76">
            <w:pPr>
              <w:pStyle w:val="TableTextBold"/>
              <w:keepNext/>
              <w:spacing w:before="50" w:after="50"/>
              <w:rPr>
                <w:noProof w:val="0"/>
                <w:color w:val="FFFFFF"/>
              </w:rPr>
            </w:pPr>
            <w:r w:rsidRPr="00256982">
              <w:rPr>
                <w:noProof w:val="0"/>
                <w:color w:val="FFFFFF"/>
              </w:rPr>
              <w:t>Year</w:t>
            </w:r>
          </w:p>
        </w:tc>
        <w:tc>
          <w:tcPr>
            <w:tcW w:w="7632" w:type="dxa"/>
            <w:gridSpan w:val="4"/>
            <w:tcBorders>
              <w:top w:val="single" w:sz="4" w:space="0" w:color="365F91"/>
              <w:bottom w:val="nil"/>
            </w:tcBorders>
            <w:shd w:val="clear" w:color="auto" w:fill="365F91"/>
            <w:vAlign w:val="center"/>
          </w:tcPr>
          <w:p w14:paraId="5D069787" w14:textId="77777777" w:rsidR="000E7C76" w:rsidRPr="00256982" w:rsidRDefault="000E7C76" w:rsidP="000E7C76">
            <w:pPr>
              <w:pStyle w:val="TableTextBold"/>
              <w:keepNext/>
              <w:spacing w:before="50" w:after="50"/>
              <w:jc w:val="center"/>
              <w:rPr>
                <w:bCs/>
                <w:noProof w:val="0"/>
                <w:color w:val="FFFFFF"/>
              </w:rPr>
            </w:pPr>
            <w:r w:rsidRPr="00256982">
              <w:rPr>
                <w:bCs/>
                <w:noProof w:val="0"/>
                <w:color w:val="FFFFFF"/>
              </w:rPr>
              <w:t>Annual area of Afforestation and reforestation (ha)</w:t>
            </w:r>
          </w:p>
        </w:tc>
      </w:tr>
      <w:tr w:rsidR="000E7C76" w:rsidRPr="00256982" w14:paraId="36165A1B" w14:textId="77777777" w:rsidTr="000E7C76">
        <w:trPr>
          <w:tblHeader/>
        </w:trPr>
        <w:tc>
          <w:tcPr>
            <w:tcW w:w="873" w:type="dxa"/>
            <w:vMerge/>
            <w:tcBorders>
              <w:top w:val="nil"/>
              <w:left w:val="nil"/>
              <w:bottom w:val="single" w:sz="4" w:space="0" w:color="2E74B5"/>
            </w:tcBorders>
            <w:shd w:val="clear" w:color="auto" w:fill="2E74B5"/>
            <w:vAlign w:val="bottom"/>
          </w:tcPr>
          <w:p w14:paraId="702B9EC3" w14:textId="77777777" w:rsidR="000E7C76" w:rsidRPr="00256982" w:rsidRDefault="000E7C76" w:rsidP="000E7C76">
            <w:pPr>
              <w:pStyle w:val="TableTextBold"/>
              <w:keepNext/>
              <w:spacing w:before="50" w:after="50"/>
              <w:rPr>
                <w:b w:val="0"/>
                <w:bCs/>
                <w:noProof w:val="0"/>
                <w:color w:val="FFFFFF"/>
              </w:rPr>
            </w:pPr>
          </w:p>
        </w:tc>
        <w:tc>
          <w:tcPr>
            <w:tcW w:w="2503" w:type="dxa"/>
            <w:tcBorders>
              <w:top w:val="nil"/>
              <w:bottom w:val="single" w:sz="4" w:space="0" w:color="365F91"/>
            </w:tcBorders>
            <w:shd w:val="clear" w:color="auto" w:fill="365F91"/>
            <w:vAlign w:val="bottom"/>
          </w:tcPr>
          <w:p w14:paraId="547691EE" w14:textId="77777777" w:rsidR="000E7C76" w:rsidRPr="00256982" w:rsidRDefault="000E7C76" w:rsidP="000E7C76">
            <w:pPr>
              <w:pStyle w:val="TableTextBold"/>
              <w:spacing w:before="50" w:after="50"/>
              <w:jc w:val="center"/>
              <w:rPr>
                <w:noProof w:val="0"/>
                <w:color w:val="FFFFFF"/>
              </w:rPr>
            </w:pPr>
            <w:r w:rsidRPr="00256982">
              <w:rPr>
                <w:noProof w:val="0"/>
                <w:color w:val="FFFFFF"/>
              </w:rPr>
              <w:t>Afforestation/reforestation</w:t>
            </w:r>
            <w:r w:rsidRPr="00256982">
              <w:rPr>
                <w:noProof w:val="0"/>
                <w:color w:val="FFFFFF"/>
                <w:vertAlign w:val="superscript"/>
              </w:rPr>
              <w:t>+</w:t>
            </w:r>
          </w:p>
        </w:tc>
        <w:tc>
          <w:tcPr>
            <w:tcW w:w="1479" w:type="dxa"/>
            <w:tcBorders>
              <w:top w:val="nil"/>
              <w:bottom w:val="single" w:sz="4" w:space="0" w:color="365F91"/>
            </w:tcBorders>
            <w:shd w:val="clear" w:color="auto" w:fill="365F91"/>
            <w:vAlign w:val="bottom"/>
          </w:tcPr>
          <w:p w14:paraId="63C9314C" w14:textId="77777777" w:rsidR="000E7C76" w:rsidRPr="00256982" w:rsidRDefault="000E7C76" w:rsidP="000E7C76">
            <w:pPr>
              <w:pStyle w:val="TableTextBold"/>
              <w:spacing w:before="50" w:after="50"/>
              <w:jc w:val="center"/>
              <w:rPr>
                <w:noProof w:val="0"/>
                <w:color w:val="FFFFFF"/>
              </w:rPr>
            </w:pPr>
            <w:r w:rsidRPr="00256982">
              <w:rPr>
                <w:noProof w:val="0"/>
                <w:color w:val="FFFFFF"/>
              </w:rPr>
              <w:t>Harvesting</w:t>
            </w:r>
          </w:p>
        </w:tc>
        <w:tc>
          <w:tcPr>
            <w:tcW w:w="1479" w:type="dxa"/>
            <w:tcBorders>
              <w:top w:val="nil"/>
              <w:bottom w:val="single" w:sz="4" w:space="0" w:color="365F91"/>
            </w:tcBorders>
            <w:shd w:val="clear" w:color="auto" w:fill="365F91"/>
            <w:vAlign w:val="bottom"/>
          </w:tcPr>
          <w:p w14:paraId="387528A5" w14:textId="77777777" w:rsidR="000E7C76" w:rsidRPr="00256982" w:rsidRDefault="000E7C76" w:rsidP="000E7C76">
            <w:pPr>
              <w:pStyle w:val="TableTextBold"/>
              <w:spacing w:before="50" w:after="50"/>
              <w:jc w:val="center"/>
              <w:rPr>
                <w:noProof w:val="0"/>
                <w:color w:val="FFFFFF"/>
              </w:rPr>
            </w:pPr>
            <w:r w:rsidRPr="00256982">
              <w:rPr>
                <w:noProof w:val="0"/>
                <w:color w:val="FFFFFF"/>
              </w:rPr>
              <w:t>Deforestation</w:t>
            </w:r>
          </w:p>
        </w:tc>
        <w:tc>
          <w:tcPr>
            <w:tcW w:w="2171" w:type="dxa"/>
            <w:tcBorders>
              <w:top w:val="nil"/>
              <w:bottom w:val="single" w:sz="4" w:space="0" w:color="365F91"/>
              <w:right w:val="nil"/>
            </w:tcBorders>
            <w:shd w:val="clear" w:color="auto" w:fill="365F91"/>
            <w:vAlign w:val="bottom"/>
          </w:tcPr>
          <w:p w14:paraId="01A51B56" w14:textId="77777777" w:rsidR="000E7C76" w:rsidRPr="00256982" w:rsidRDefault="000E7C76" w:rsidP="000E7C76">
            <w:pPr>
              <w:pStyle w:val="TableTextBold"/>
              <w:spacing w:before="50" w:after="50"/>
              <w:jc w:val="center"/>
              <w:rPr>
                <w:noProof w:val="0"/>
                <w:color w:val="FFFFFF"/>
              </w:rPr>
            </w:pPr>
            <w:r w:rsidRPr="00256982">
              <w:rPr>
                <w:noProof w:val="0"/>
                <w:color w:val="FFFFFF"/>
              </w:rPr>
              <w:t>Net cumulative area</w:t>
            </w:r>
          </w:p>
        </w:tc>
      </w:tr>
      <w:tr w:rsidR="000E7C76" w:rsidRPr="00256982" w14:paraId="0FD0D6BC" w14:textId="77777777" w:rsidTr="000E7C76">
        <w:tc>
          <w:tcPr>
            <w:tcW w:w="873" w:type="dxa"/>
            <w:tcBorders>
              <w:top w:val="single" w:sz="4" w:space="0" w:color="2E74B5"/>
            </w:tcBorders>
            <w:shd w:val="clear" w:color="auto" w:fill="auto"/>
          </w:tcPr>
          <w:p w14:paraId="128B8991" w14:textId="77777777" w:rsidR="000E7C76" w:rsidRPr="00256982" w:rsidRDefault="000E7C76" w:rsidP="000E7C76">
            <w:pPr>
              <w:pStyle w:val="TableText"/>
              <w:keepNext/>
              <w:spacing w:before="50" w:after="50"/>
            </w:pPr>
            <w:r w:rsidRPr="00256982">
              <w:t>1990</w:t>
            </w:r>
          </w:p>
        </w:tc>
        <w:tc>
          <w:tcPr>
            <w:tcW w:w="2503" w:type="dxa"/>
            <w:tcBorders>
              <w:top w:val="single" w:sz="4" w:space="0" w:color="365F91"/>
            </w:tcBorders>
            <w:shd w:val="clear" w:color="auto" w:fill="auto"/>
          </w:tcPr>
          <w:p w14:paraId="0E2930C2" w14:textId="77777777" w:rsidR="000E7C76" w:rsidRPr="00256982" w:rsidRDefault="000E7C76" w:rsidP="000E7C76">
            <w:pPr>
              <w:pStyle w:val="TableText"/>
              <w:spacing w:before="50" w:after="50"/>
              <w:ind w:right="284"/>
              <w:jc w:val="right"/>
              <w:rPr>
                <w:szCs w:val="22"/>
              </w:rPr>
            </w:pPr>
            <w:r w:rsidRPr="00256982">
              <w:t>14,740</w:t>
            </w:r>
          </w:p>
        </w:tc>
        <w:tc>
          <w:tcPr>
            <w:tcW w:w="1479" w:type="dxa"/>
            <w:tcBorders>
              <w:top w:val="single" w:sz="4" w:space="0" w:color="365F91"/>
            </w:tcBorders>
            <w:shd w:val="clear" w:color="auto" w:fill="auto"/>
          </w:tcPr>
          <w:p w14:paraId="5D4034FA" w14:textId="77777777" w:rsidR="000E7C76" w:rsidRPr="00256982" w:rsidRDefault="000E7C76" w:rsidP="000E7C76">
            <w:pPr>
              <w:pStyle w:val="TableText"/>
              <w:spacing w:before="50" w:after="50"/>
              <w:ind w:right="284"/>
              <w:jc w:val="right"/>
              <w:rPr>
                <w:szCs w:val="22"/>
              </w:rPr>
            </w:pPr>
            <w:r w:rsidRPr="00256982">
              <w:t>0</w:t>
            </w:r>
          </w:p>
        </w:tc>
        <w:tc>
          <w:tcPr>
            <w:tcW w:w="1479" w:type="dxa"/>
            <w:tcBorders>
              <w:top w:val="single" w:sz="4" w:space="0" w:color="365F91"/>
            </w:tcBorders>
            <w:shd w:val="clear" w:color="auto" w:fill="auto"/>
          </w:tcPr>
          <w:p w14:paraId="033D44FF" w14:textId="77777777" w:rsidR="000E7C76" w:rsidRPr="00256982" w:rsidRDefault="000E7C76" w:rsidP="000E7C76">
            <w:pPr>
              <w:pStyle w:val="TableText"/>
              <w:spacing w:before="50" w:after="50"/>
              <w:ind w:right="284"/>
              <w:jc w:val="right"/>
              <w:rPr>
                <w:szCs w:val="22"/>
              </w:rPr>
            </w:pPr>
            <w:r w:rsidRPr="00256982">
              <w:t>0</w:t>
            </w:r>
          </w:p>
        </w:tc>
        <w:tc>
          <w:tcPr>
            <w:tcW w:w="2171" w:type="dxa"/>
            <w:tcBorders>
              <w:top w:val="single" w:sz="4" w:space="0" w:color="365F91"/>
            </w:tcBorders>
            <w:shd w:val="clear" w:color="auto" w:fill="auto"/>
          </w:tcPr>
          <w:p w14:paraId="608CACDF" w14:textId="77777777" w:rsidR="000E7C76" w:rsidRPr="00256982" w:rsidRDefault="000E7C76" w:rsidP="000E7C76">
            <w:pPr>
              <w:pStyle w:val="TableText"/>
              <w:spacing w:before="50" w:after="50"/>
              <w:ind w:right="284"/>
              <w:jc w:val="right"/>
              <w:rPr>
                <w:szCs w:val="22"/>
              </w:rPr>
            </w:pPr>
            <w:r w:rsidRPr="00256982">
              <w:t>14,740</w:t>
            </w:r>
          </w:p>
        </w:tc>
      </w:tr>
      <w:tr w:rsidR="000E7C76" w:rsidRPr="00256982" w14:paraId="737666E9" w14:textId="77777777" w:rsidTr="000E7C76">
        <w:tc>
          <w:tcPr>
            <w:tcW w:w="873" w:type="dxa"/>
            <w:shd w:val="clear" w:color="auto" w:fill="auto"/>
          </w:tcPr>
          <w:p w14:paraId="59CAAE1B" w14:textId="77777777" w:rsidR="000E7C76" w:rsidRPr="00256982" w:rsidRDefault="000E7C76" w:rsidP="000E7C76">
            <w:pPr>
              <w:pStyle w:val="TableText"/>
              <w:keepNext/>
              <w:spacing w:before="50" w:after="50"/>
            </w:pPr>
            <w:r w:rsidRPr="00256982">
              <w:t>1991</w:t>
            </w:r>
          </w:p>
        </w:tc>
        <w:tc>
          <w:tcPr>
            <w:tcW w:w="2503" w:type="dxa"/>
            <w:shd w:val="clear" w:color="auto" w:fill="auto"/>
          </w:tcPr>
          <w:p w14:paraId="4F862A68" w14:textId="77777777" w:rsidR="000E7C76" w:rsidRPr="00256982" w:rsidRDefault="000E7C76" w:rsidP="000E7C76">
            <w:pPr>
              <w:pStyle w:val="TableText"/>
              <w:spacing w:before="50" w:after="50"/>
              <w:ind w:right="284"/>
              <w:jc w:val="right"/>
              <w:rPr>
                <w:szCs w:val="22"/>
              </w:rPr>
            </w:pPr>
            <w:r w:rsidRPr="00256982">
              <w:t>14,389</w:t>
            </w:r>
          </w:p>
        </w:tc>
        <w:tc>
          <w:tcPr>
            <w:tcW w:w="1479" w:type="dxa"/>
            <w:shd w:val="clear" w:color="auto" w:fill="auto"/>
          </w:tcPr>
          <w:p w14:paraId="6915C77F" w14:textId="77777777" w:rsidR="000E7C76" w:rsidRPr="00256982" w:rsidRDefault="000E7C76" w:rsidP="000E7C76">
            <w:pPr>
              <w:pStyle w:val="TableText"/>
              <w:spacing w:before="50" w:after="50"/>
              <w:ind w:right="284"/>
              <w:jc w:val="right"/>
              <w:rPr>
                <w:szCs w:val="22"/>
              </w:rPr>
            </w:pPr>
            <w:r w:rsidRPr="00256982">
              <w:t>0</w:t>
            </w:r>
          </w:p>
        </w:tc>
        <w:tc>
          <w:tcPr>
            <w:tcW w:w="1479" w:type="dxa"/>
            <w:shd w:val="clear" w:color="auto" w:fill="auto"/>
          </w:tcPr>
          <w:p w14:paraId="03934CAD" w14:textId="77777777" w:rsidR="000E7C76" w:rsidRPr="00256982" w:rsidRDefault="000E7C76" w:rsidP="000E7C76">
            <w:pPr>
              <w:pStyle w:val="TableText"/>
              <w:spacing w:before="50" w:after="50"/>
              <w:ind w:right="284"/>
              <w:jc w:val="right"/>
              <w:rPr>
                <w:szCs w:val="22"/>
              </w:rPr>
            </w:pPr>
            <w:r w:rsidRPr="00256982">
              <w:t>0</w:t>
            </w:r>
          </w:p>
        </w:tc>
        <w:tc>
          <w:tcPr>
            <w:tcW w:w="2171" w:type="dxa"/>
            <w:shd w:val="clear" w:color="auto" w:fill="auto"/>
          </w:tcPr>
          <w:p w14:paraId="44F12DCA" w14:textId="77777777" w:rsidR="000E7C76" w:rsidRPr="00256982" w:rsidRDefault="000E7C76" w:rsidP="000E7C76">
            <w:pPr>
              <w:pStyle w:val="TableText"/>
              <w:spacing w:before="50" w:after="50"/>
              <w:ind w:right="284"/>
              <w:jc w:val="right"/>
              <w:rPr>
                <w:szCs w:val="22"/>
              </w:rPr>
            </w:pPr>
            <w:r w:rsidRPr="00256982">
              <w:t>29,130</w:t>
            </w:r>
          </w:p>
        </w:tc>
      </w:tr>
      <w:tr w:rsidR="000E7C76" w:rsidRPr="00256982" w14:paraId="0C9A6973" w14:textId="77777777" w:rsidTr="000E7C76">
        <w:tc>
          <w:tcPr>
            <w:tcW w:w="873" w:type="dxa"/>
            <w:shd w:val="clear" w:color="auto" w:fill="auto"/>
          </w:tcPr>
          <w:p w14:paraId="2056F241" w14:textId="77777777" w:rsidR="000E7C76" w:rsidRPr="00256982" w:rsidRDefault="000E7C76" w:rsidP="000E7C76">
            <w:pPr>
              <w:pStyle w:val="TableText"/>
              <w:spacing w:before="50" w:after="50"/>
            </w:pPr>
            <w:r w:rsidRPr="00256982">
              <w:t>1992</w:t>
            </w:r>
          </w:p>
        </w:tc>
        <w:tc>
          <w:tcPr>
            <w:tcW w:w="2503" w:type="dxa"/>
            <w:shd w:val="clear" w:color="auto" w:fill="auto"/>
          </w:tcPr>
          <w:p w14:paraId="429879F6" w14:textId="77777777" w:rsidR="000E7C76" w:rsidRPr="00256982" w:rsidRDefault="000E7C76" w:rsidP="000E7C76">
            <w:pPr>
              <w:pStyle w:val="TableText"/>
              <w:spacing w:before="50" w:after="50"/>
              <w:ind w:right="284"/>
              <w:jc w:val="right"/>
              <w:rPr>
                <w:szCs w:val="22"/>
              </w:rPr>
            </w:pPr>
            <w:r w:rsidRPr="00256982">
              <w:t>45,162</w:t>
            </w:r>
          </w:p>
        </w:tc>
        <w:tc>
          <w:tcPr>
            <w:tcW w:w="1479" w:type="dxa"/>
            <w:shd w:val="clear" w:color="auto" w:fill="auto"/>
          </w:tcPr>
          <w:p w14:paraId="6E8B9DBE" w14:textId="77777777" w:rsidR="000E7C76" w:rsidRPr="00256982" w:rsidRDefault="000E7C76" w:rsidP="000E7C76">
            <w:pPr>
              <w:pStyle w:val="TableText"/>
              <w:spacing w:before="50" w:after="50"/>
              <w:ind w:right="284"/>
              <w:jc w:val="right"/>
              <w:rPr>
                <w:szCs w:val="22"/>
              </w:rPr>
            </w:pPr>
            <w:r w:rsidRPr="00256982">
              <w:t>0</w:t>
            </w:r>
          </w:p>
        </w:tc>
        <w:tc>
          <w:tcPr>
            <w:tcW w:w="1479" w:type="dxa"/>
            <w:shd w:val="clear" w:color="auto" w:fill="auto"/>
          </w:tcPr>
          <w:p w14:paraId="7D2F77E2" w14:textId="77777777" w:rsidR="000E7C76" w:rsidRPr="00256982" w:rsidRDefault="000E7C76" w:rsidP="000E7C76">
            <w:pPr>
              <w:pStyle w:val="TableText"/>
              <w:spacing w:before="50" w:after="50"/>
              <w:ind w:right="284"/>
              <w:jc w:val="right"/>
              <w:rPr>
                <w:szCs w:val="22"/>
              </w:rPr>
            </w:pPr>
            <w:r w:rsidRPr="00256982">
              <w:t>0</w:t>
            </w:r>
          </w:p>
        </w:tc>
        <w:tc>
          <w:tcPr>
            <w:tcW w:w="2171" w:type="dxa"/>
            <w:shd w:val="clear" w:color="auto" w:fill="auto"/>
          </w:tcPr>
          <w:p w14:paraId="21170EAB" w14:textId="77777777" w:rsidR="000E7C76" w:rsidRPr="00256982" w:rsidRDefault="000E7C76" w:rsidP="000E7C76">
            <w:pPr>
              <w:pStyle w:val="TableText"/>
              <w:spacing w:before="50" w:after="50"/>
              <w:ind w:right="284"/>
              <w:jc w:val="right"/>
              <w:rPr>
                <w:szCs w:val="22"/>
              </w:rPr>
            </w:pPr>
            <w:r w:rsidRPr="00256982">
              <w:t>74,292</w:t>
            </w:r>
          </w:p>
        </w:tc>
      </w:tr>
      <w:tr w:rsidR="000E7C76" w:rsidRPr="00256982" w14:paraId="2F0727E1" w14:textId="77777777" w:rsidTr="000E7C76">
        <w:tc>
          <w:tcPr>
            <w:tcW w:w="873" w:type="dxa"/>
            <w:shd w:val="clear" w:color="auto" w:fill="auto"/>
          </w:tcPr>
          <w:p w14:paraId="1ACC2484" w14:textId="77777777" w:rsidR="000E7C76" w:rsidRPr="00256982" w:rsidRDefault="000E7C76" w:rsidP="000E7C76">
            <w:pPr>
              <w:pStyle w:val="TableText"/>
              <w:spacing w:before="50" w:after="50"/>
            </w:pPr>
            <w:r w:rsidRPr="00256982">
              <w:t>1993</w:t>
            </w:r>
          </w:p>
        </w:tc>
        <w:tc>
          <w:tcPr>
            <w:tcW w:w="2503" w:type="dxa"/>
            <w:shd w:val="clear" w:color="auto" w:fill="auto"/>
          </w:tcPr>
          <w:p w14:paraId="24A19739" w14:textId="77777777" w:rsidR="000E7C76" w:rsidRPr="00256982" w:rsidRDefault="000E7C76" w:rsidP="000E7C76">
            <w:pPr>
              <w:pStyle w:val="TableText"/>
              <w:spacing w:before="50" w:after="50"/>
              <w:ind w:right="284"/>
              <w:jc w:val="right"/>
              <w:rPr>
                <w:szCs w:val="22"/>
              </w:rPr>
            </w:pPr>
            <w:r w:rsidRPr="00256982">
              <w:t>55,172</w:t>
            </w:r>
          </w:p>
        </w:tc>
        <w:tc>
          <w:tcPr>
            <w:tcW w:w="1479" w:type="dxa"/>
            <w:shd w:val="clear" w:color="auto" w:fill="auto"/>
          </w:tcPr>
          <w:p w14:paraId="6633332E" w14:textId="77777777" w:rsidR="000E7C76" w:rsidRPr="00256982" w:rsidRDefault="000E7C76" w:rsidP="000E7C76">
            <w:pPr>
              <w:pStyle w:val="TableText"/>
              <w:spacing w:before="50" w:after="50"/>
              <w:ind w:right="284"/>
              <w:jc w:val="right"/>
              <w:rPr>
                <w:szCs w:val="22"/>
              </w:rPr>
            </w:pPr>
            <w:r w:rsidRPr="00256982">
              <w:t>0</w:t>
            </w:r>
          </w:p>
        </w:tc>
        <w:tc>
          <w:tcPr>
            <w:tcW w:w="1479" w:type="dxa"/>
            <w:shd w:val="clear" w:color="auto" w:fill="auto"/>
          </w:tcPr>
          <w:p w14:paraId="553F64DE" w14:textId="77777777" w:rsidR="000E7C76" w:rsidRPr="00256982" w:rsidRDefault="000E7C76" w:rsidP="000E7C76">
            <w:pPr>
              <w:pStyle w:val="TableText"/>
              <w:spacing w:before="50" w:after="50"/>
              <w:ind w:right="284"/>
              <w:jc w:val="right"/>
              <w:rPr>
                <w:szCs w:val="22"/>
              </w:rPr>
            </w:pPr>
            <w:r w:rsidRPr="00256982">
              <w:t>0</w:t>
            </w:r>
          </w:p>
        </w:tc>
        <w:tc>
          <w:tcPr>
            <w:tcW w:w="2171" w:type="dxa"/>
            <w:shd w:val="clear" w:color="auto" w:fill="auto"/>
          </w:tcPr>
          <w:p w14:paraId="7C0D8DD5" w14:textId="77777777" w:rsidR="000E7C76" w:rsidRPr="00256982" w:rsidRDefault="000E7C76" w:rsidP="000E7C76">
            <w:pPr>
              <w:pStyle w:val="TableText"/>
              <w:spacing w:before="50" w:after="50"/>
              <w:ind w:right="284"/>
              <w:jc w:val="right"/>
              <w:rPr>
                <w:szCs w:val="22"/>
              </w:rPr>
            </w:pPr>
            <w:r w:rsidRPr="00256982">
              <w:t>129,463</w:t>
            </w:r>
          </w:p>
        </w:tc>
      </w:tr>
      <w:tr w:rsidR="000E7C76" w:rsidRPr="00256982" w14:paraId="3E9EF480" w14:textId="77777777" w:rsidTr="000E7C76">
        <w:tc>
          <w:tcPr>
            <w:tcW w:w="873" w:type="dxa"/>
            <w:shd w:val="clear" w:color="auto" w:fill="auto"/>
          </w:tcPr>
          <w:p w14:paraId="4091B430" w14:textId="77777777" w:rsidR="000E7C76" w:rsidRPr="00256982" w:rsidRDefault="000E7C76" w:rsidP="000E7C76">
            <w:pPr>
              <w:pStyle w:val="TableText"/>
              <w:spacing w:before="50" w:after="50"/>
            </w:pPr>
            <w:r w:rsidRPr="00256982">
              <w:t>1994</w:t>
            </w:r>
          </w:p>
        </w:tc>
        <w:tc>
          <w:tcPr>
            <w:tcW w:w="2503" w:type="dxa"/>
            <w:shd w:val="clear" w:color="auto" w:fill="auto"/>
          </w:tcPr>
          <w:p w14:paraId="30BA59EC" w14:textId="77777777" w:rsidR="000E7C76" w:rsidRPr="00256982" w:rsidRDefault="000E7C76" w:rsidP="000E7C76">
            <w:pPr>
              <w:pStyle w:val="TableText"/>
              <w:spacing w:before="50" w:after="50"/>
              <w:ind w:right="284"/>
              <w:jc w:val="right"/>
              <w:rPr>
                <w:szCs w:val="22"/>
              </w:rPr>
            </w:pPr>
            <w:r w:rsidRPr="00256982">
              <w:t>87,317</w:t>
            </w:r>
          </w:p>
        </w:tc>
        <w:tc>
          <w:tcPr>
            <w:tcW w:w="1479" w:type="dxa"/>
            <w:shd w:val="clear" w:color="auto" w:fill="auto"/>
          </w:tcPr>
          <w:p w14:paraId="78188D52" w14:textId="77777777" w:rsidR="000E7C76" w:rsidRPr="00256982" w:rsidRDefault="000E7C76" w:rsidP="000E7C76">
            <w:pPr>
              <w:pStyle w:val="TableText"/>
              <w:spacing w:before="50" w:after="50"/>
              <w:ind w:right="284"/>
              <w:jc w:val="right"/>
              <w:rPr>
                <w:szCs w:val="22"/>
              </w:rPr>
            </w:pPr>
            <w:r w:rsidRPr="00256982">
              <w:t>0</w:t>
            </w:r>
          </w:p>
        </w:tc>
        <w:tc>
          <w:tcPr>
            <w:tcW w:w="1479" w:type="dxa"/>
            <w:shd w:val="clear" w:color="auto" w:fill="auto"/>
          </w:tcPr>
          <w:p w14:paraId="60F273C7" w14:textId="77777777" w:rsidR="000E7C76" w:rsidRPr="00256982" w:rsidRDefault="000E7C76" w:rsidP="000E7C76">
            <w:pPr>
              <w:pStyle w:val="TableText"/>
              <w:spacing w:before="50" w:after="50"/>
              <w:ind w:right="284"/>
              <w:jc w:val="right"/>
              <w:rPr>
                <w:szCs w:val="22"/>
              </w:rPr>
            </w:pPr>
            <w:r w:rsidRPr="00256982">
              <w:t>0</w:t>
            </w:r>
          </w:p>
        </w:tc>
        <w:tc>
          <w:tcPr>
            <w:tcW w:w="2171" w:type="dxa"/>
            <w:shd w:val="clear" w:color="auto" w:fill="auto"/>
          </w:tcPr>
          <w:p w14:paraId="50509633" w14:textId="77777777" w:rsidR="000E7C76" w:rsidRPr="00256982" w:rsidRDefault="000E7C76" w:rsidP="000E7C76">
            <w:pPr>
              <w:pStyle w:val="TableText"/>
              <w:spacing w:before="50" w:after="50"/>
              <w:ind w:right="284"/>
              <w:jc w:val="right"/>
              <w:rPr>
                <w:szCs w:val="22"/>
              </w:rPr>
            </w:pPr>
            <w:r w:rsidRPr="00256982">
              <w:t>216,780</w:t>
            </w:r>
          </w:p>
        </w:tc>
      </w:tr>
      <w:tr w:rsidR="000E7C76" w:rsidRPr="00256982" w14:paraId="7FB93D34" w14:textId="77777777" w:rsidTr="000E7C76">
        <w:tc>
          <w:tcPr>
            <w:tcW w:w="873" w:type="dxa"/>
            <w:shd w:val="clear" w:color="auto" w:fill="auto"/>
          </w:tcPr>
          <w:p w14:paraId="7316A166" w14:textId="77777777" w:rsidR="000E7C76" w:rsidRPr="00256982" w:rsidRDefault="000E7C76" w:rsidP="000E7C76">
            <w:pPr>
              <w:pStyle w:val="TableText"/>
              <w:spacing w:before="50" w:after="50"/>
            </w:pPr>
            <w:r w:rsidRPr="00256982">
              <w:t>1995</w:t>
            </w:r>
          </w:p>
        </w:tc>
        <w:tc>
          <w:tcPr>
            <w:tcW w:w="2503" w:type="dxa"/>
            <w:shd w:val="clear" w:color="auto" w:fill="auto"/>
          </w:tcPr>
          <w:p w14:paraId="463AAA29" w14:textId="77777777" w:rsidR="000E7C76" w:rsidRPr="00256982" w:rsidRDefault="000E7C76" w:rsidP="000E7C76">
            <w:pPr>
              <w:pStyle w:val="TableText"/>
              <w:spacing w:before="50" w:after="50"/>
              <w:ind w:right="284"/>
              <w:jc w:val="right"/>
              <w:rPr>
                <w:szCs w:val="22"/>
              </w:rPr>
            </w:pPr>
            <w:r w:rsidRPr="00256982">
              <w:t>66,117</w:t>
            </w:r>
          </w:p>
        </w:tc>
        <w:tc>
          <w:tcPr>
            <w:tcW w:w="1479" w:type="dxa"/>
            <w:shd w:val="clear" w:color="auto" w:fill="auto"/>
          </w:tcPr>
          <w:p w14:paraId="539EB425" w14:textId="77777777" w:rsidR="000E7C76" w:rsidRPr="00256982" w:rsidRDefault="000E7C76" w:rsidP="000E7C76">
            <w:pPr>
              <w:pStyle w:val="TableText"/>
              <w:spacing w:before="50" w:after="50"/>
              <w:ind w:right="284"/>
              <w:jc w:val="right"/>
              <w:rPr>
                <w:szCs w:val="22"/>
              </w:rPr>
            </w:pPr>
            <w:r w:rsidRPr="00256982">
              <w:t>0</w:t>
            </w:r>
          </w:p>
        </w:tc>
        <w:tc>
          <w:tcPr>
            <w:tcW w:w="1479" w:type="dxa"/>
            <w:shd w:val="clear" w:color="auto" w:fill="auto"/>
          </w:tcPr>
          <w:p w14:paraId="0A71D3B3" w14:textId="77777777" w:rsidR="000E7C76" w:rsidRPr="00256982" w:rsidRDefault="000E7C76" w:rsidP="000E7C76">
            <w:pPr>
              <w:pStyle w:val="TableText"/>
              <w:spacing w:before="50" w:after="50"/>
              <w:ind w:right="284"/>
              <w:jc w:val="right"/>
              <w:rPr>
                <w:szCs w:val="22"/>
              </w:rPr>
            </w:pPr>
            <w:r w:rsidRPr="00256982">
              <w:t>0</w:t>
            </w:r>
          </w:p>
        </w:tc>
        <w:tc>
          <w:tcPr>
            <w:tcW w:w="2171" w:type="dxa"/>
            <w:shd w:val="clear" w:color="auto" w:fill="auto"/>
          </w:tcPr>
          <w:p w14:paraId="4BD32EDA" w14:textId="77777777" w:rsidR="000E7C76" w:rsidRPr="00256982" w:rsidRDefault="000E7C76" w:rsidP="000E7C76">
            <w:pPr>
              <w:pStyle w:val="TableText"/>
              <w:spacing w:before="50" w:after="50"/>
              <w:ind w:right="284"/>
              <w:jc w:val="right"/>
              <w:rPr>
                <w:szCs w:val="22"/>
              </w:rPr>
            </w:pPr>
            <w:r w:rsidRPr="00256982">
              <w:t>282,898</w:t>
            </w:r>
          </w:p>
        </w:tc>
      </w:tr>
      <w:tr w:rsidR="000E7C76" w:rsidRPr="00256982" w14:paraId="13C58600" w14:textId="77777777" w:rsidTr="000E7C76">
        <w:tc>
          <w:tcPr>
            <w:tcW w:w="873" w:type="dxa"/>
            <w:shd w:val="clear" w:color="auto" w:fill="auto"/>
          </w:tcPr>
          <w:p w14:paraId="006DF632" w14:textId="77777777" w:rsidR="000E7C76" w:rsidRPr="00256982" w:rsidRDefault="000E7C76" w:rsidP="000E7C76">
            <w:pPr>
              <w:pStyle w:val="TableText"/>
              <w:spacing w:before="50" w:after="50"/>
            </w:pPr>
            <w:r w:rsidRPr="00256982">
              <w:t>1996</w:t>
            </w:r>
          </w:p>
        </w:tc>
        <w:tc>
          <w:tcPr>
            <w:tcW w:w="2503" w:type="dxa"/>
            <w:shd w:val="clear" w:color="auto" w:fill="auto"/>
          </w:tcPr>
          <w:p w14:paraId="158A8AD9" w14:textId="77777777" w:rsidR="000E7C76" w:rsidRPr="00256982" w:rsidRDefault="000E7C76" w:rsidP="000E7C76">
            <w:pPr>
              <w:pStyle w:val="TableText"/>
              <w:spacing w:before="50" w:after="50"/>
              <w:ind w:right="284"/>
              <w:jc w:val="right"/>
              <w:rPr>
                <w:szCs w:val="22"/>
              </w:rPr>
            </w:pPr>
            <w:r w:rsidRPr="00256982">
              <w:t>74,812</w:t>
            </w:r>
          </w:p>
        </w:tc>
        <w:tc>
          <w:tcPr>
            <w:tcW w:w="1479" w:type="dxa"/>
            <w:shd w:val="clear" w:color="auto" w:fill="auto"/>
          </w:tcPr>
          <w:p w14:paraId="7EFD6086" w14:textId="77777777" w:rsidR="000E7C76" w:rsidRPr="00256982" w:rsidRDefault="000E7C76" w:rsidP="000E7C76">
            <w:pPr>
              <w:pStyle w:val="TableText"/>
              <w:spacing w:before="50" w:after="50"/>
              <w:ind w:right="284"/>
              <w:jc w:val="right"/>
              <w:rPr>
                <w:szCs w:val="22"/>
              </w:rPr>
            </w:pPr>
            <w:r w:rsidRPr="00256982">
              <w:t>0</w:t>
            </w:r>
          </w:p>
        </w:tc>
        <w:tc>
          <w:tcPr>
            <w:tcW w:w="1479" w:type="dxa"/>
            <w:shd w:val="clear" w:color="auto" w:fill="auto"/>
          </w:tcPr>
          <w:p w14:paraId="596CFB23" w14:textId="77777777" w:rsidR="000E7C76" w:rsidRPr="00256982" w:rsidRDefault="000E7C76" w:rsidP="000E7C76">
            <w:pPr>
              <w:pStyle w:val="TableText"/>
              <w:spacing w:before="50" w:after="50"/>
              <w:ind w:right="284"/>
              <w:jc w:val="right"/>
              <w:rPr>
                <w:szCs w:val="22"/>
              </w:rPr>
            </w:pPr>
            <w:r w:rsidRPr="00256982">
              <w:t>0</w:t>
            </w:r>
          </w:p>
        </w:tc>
        <w:tc>
          <w:tcPr>
            <w:tcW w:w="2171" w:type="dxa"/>
            <w:shd w:val="clear" w:color="auto" w:fill="auto"/>
          </w:tcPr>
          <w:p w14:paraId="44EB5916" w14:textId="77777777" w:rsidR="000E7C76" w:rsidRPr="00256982" w:rsidRDefault="000E7C76" w:rsidP="000E7C76">
            <w:pPr>
              <w:pStyle w:val="TableText"/>
              <w:spacing w:before="50" w:after="50"/>
              <w:ind w:right="284"/>
              <w:jc w:val="right"/>
              <w:rPr>
                <w:szCs w:val="22"/>
              </w:rPr>
            </w:pPr>
            <w:r w:rsidRPr="00256982">
              <w:t>357,710</w:t>
            </w:r>
          </w:p>
        </w:tc>
      </w:tr>
      <w:tr w:rsidR="000E7C76" w:rsidRPr="00256982" w14:paraId="3DA5EE10" w14:textId="77777777" w:rsidTr="000E7C76">
        <w:tc>
          <w:tcPr>
            <w:tcW w:w="873" w:type="dxa"/>
            <w:shd w:val="clear" w:color="auto" w:fill="auto"/>
          </w:tcPr>
          <w:p w14:paraId="1BB25BC9" w14:textId="77777777" w:rsidR="000E7C76" w:rsidRPr="00256982" w:rsidRDefault="000E7C76" w:rsidP="000E7C76">
            <w:pPr>
              <w:pStyle w:val="TableText"/>
              <w:spacing w:before="50" w:after="50"/>
            </w:pPr>
            <w:r w:rsidRPr="00256982">
              <w:t>1997</w:t>
            </w:r>
          </w:p>
        </w:tc>
        <w:tc>
          <w:tcPr>
            <w:tcW w:w="2503" w:type="dxa"/>
            <w:shd w:val="clear" w:color="auto" w:fill="auto"/>
          </w:tcPr>
          <w:p w14:paraId="2477E0D3" w14:textId="77777777" w:rsidR="000E7C76" w:rsidRPr="00256982" w:rsidRDefault="000E7C76" w:rsidP="000E7C76">
            <w:pPr>
              <w:pStyle w:val="TableText"/>
              <w:spacing w:before="50" w:after="50"/>
              <w:ind w:right="284"/>
              <w:jc w:val="right"/>
              <w:rPr>
                <w:szCs w:val="22"/>
              </w:rPr>
            </w:pPr>
            <w:r w:rsidRPr="00256982">
              <w:t>57,491</w:t>
            </w:r>
          </w:p>
        </w:tc>
        <w:tc>
          <w:tcPr>
            <w:tcW w:w="1479" w:type="dxa"/>
            <w:shd w:val="clear" w:color="auto" w:fill="auto"/>
          </w:tcPr>
          <w:p w14:paraId="25F8B7F9" w14:textId="77777777" w:rsidR="000E7C76" w:rsidRPr="00256982" w:rsidRDefault="000E7C76" w:rsidP="000E7C76">
            <w:pPr>
              <w:pStyle w:val="TableText"/>
              <w:spacing w:before="50" w:after="50"/>
              <w:ind w:right="284"/>
              <w:jc w:val="right"/>
              <w:rPr>
                <w:szCs w:val="22"/>
              </w:rPr>
            </w:pPr>
            <w:r w:rsidRPr="00256982">
              <w:t>0</w:t>
            </w:r>
          </w:p>
        </w:tc>
        <w:tc>
          <w:tcPr>
            <w:tcW w:w="1479" w:type="dxa"/>
            <w:shd w:val="clear" w:color="auto" w:fill="auto"/>
          </w:tcPr>
          <w:p w14:paraId="51B6A392" w14:textId="77777777" w:rsidR="000E7C76" w:rsidRPr="00256982" w:rsidRDefault="000E7C76" w:rsidP="000E7C76">
            <w:pPr>
              <w:pStyle w:val="TableText"/>
              <w:spacing w:before="50" w:after="50"/>
              <w:ind w:right="284"/>
              <w:jc w:val="right"/>
              <w:rPr>
                <w:szCs w:val="22"/>
              </w:rPr>
            </w:pPr>
            <w:r w:rsidRPr="00256982">
              <w:t>0</w:t>
            </w:r>
          </w:p>
        </w:tc>
        <w:tc>
          <w:tcPr>
            <w:tcW w:w="2171" w:type="dxa"/>
            <w:shd w:val="clear" w:color="auto" w:fill="auto"/>
          </w:tcPr>
          <w:p w14:paraId="66AE0941" w14:textId="77777777" w:rsidR="000E7C76" w:rsidRPr="00256982" w:rsidRDefault="000E7C76" w:rsidP="000E7C76">
            <w:pPr>
              <w:pStyle w:val="TableText"/>
              <w:spacing w:before="50" w:after="50"/>
              <w:ind w:right="284"/>
              <w:jc w:val="right"/>
              <w:rPr>
                <w:szCs w:val="22"/>
              </w:rPr>
            </w:pPr>
            <w:r w:rsidRPr="00256982">
              <w:t>415,202</w:t>
            </w:r>
          </w:p>
        </w:tc>
      </w:tr>
      <w:tr w:rsidR="000E7C76" w:rsidRPr="00256982" w14:paraId="687433F2" w14:textId="77777777" w:rsidTr="000E7C76">
        <w:tc>
          <w:tcPr>
            <w:tcW w:w="873" w:type="dxa"/>
            <w:shd w:val="clear" w:color="auto" w:fill="auto"/>
          </w:tcPr>
          <w:p w14:paraId="21AAA16C" w14:textId="77777777" w:rsidR="000E7C76" w:rsidRPr="00256982" w:rsidRDefault="000E7C76" w:rsidP="000E7C76">
            <w:pPr>
              <w:pStyle w:val="TableText"/>
              <w:spacing w:before="50" w:after="50"/>
            </w:pPr>
            <w:r w:rsidRPr="00256982">
              <w:t>1998</w:t>
            </w:r>
          </w:p>
        </w:tc>
        <w:tc>
          <w:tcPr>
            <w:tcW w:w="2503" w:type="dxa"/>
            <w:shd w:val="clear" w:color="auto" w:fill="auto"/>
          </w:tcPr>
          <w:p w14:paraId="29FF7C42" w14:textId="77777777" w:rsidR="000E7C76" w:rsidRPr="00256982" w:rsidRDefault="000E7C76" w:rsidP="000E7C76">
            <w:pPr>
              <w:pStyle w:val="TableText"/>
              <w:spacing w:before="50" w:after="50"/>
              <w:ind w:right="284"/>
              <w:jc w:val="right"/>
              <w:rPr>
                <w:szCs w:val="22"/>
              </w:rPr>
            </w:pPr>
            <w:r w:rsidRPr="00256982">
              <w:t>47,069</w:t>
            </w:r>
          </w:p>
        </w:tc>
        <w:tc>
          <w:tcPr>
            <w:tcW w:w="1479" w:type="dxa"/>
            <w:shd w:val="clear" w:color="auto" w:fill="auto"/>
          </w:tcPr>
          <w:p w14:paraId="494EC984" w14:textId="77777777" w:rsidR="000E7C76" w:rsidRPr="00256982" w:rsidRDefault="000E7C76" w:rsidP="000E7C76">
            <w:pPr>
              <w:pStyle w:val="TableText"/>
              <w:spacing w:before="50" w:after="50"/>
              <w:ind w:right="284"/>
              <w:jc w:val="right"/>
              <w:rPr>
                <w:szCs w:val="22"/>
              </w:rPr>
            </w:pPr>
            <w:r w:rsidRPr="00256982">
              <w:t>0</w:t>
            </w:r>
          </w:p>
        </w:tc>
        <w:tc>
          <w:tcPr>
            <w:tcW w:w="1479" w:type="dxa"/>
            <w:shd w:val="clear" w:color="auto" w:fill="auto"/>
          </w:tcPr>
          <w:p w14:paraId="6E95A91D" w14:textId="77777777" w:rsidR="000E7C76" w:rsidRPr="00256982" w:rsidRDefault="000E7C76" w:rsidP="000E7C76">
            <w:pPr>
              <w:pStyle w:val="TableText"/>
              <w:spacing w:before="50" w:after="50"/>
              <w:ind w:right="284"/>
              <w:jc w:val="right"/>
              <w:rPr>
                <w:szCs w:val="22"/>
              </w:rPr>
            </w:pPr>
            <w:r w:rsidRPr="00256982">
              <w:t>0</w:t>
            </w:r>
          </w:p>
        </w:tc>
        <w:tc>
          <w:tcPr>
            <w:tcW w:w="2171" w:type="dxa"/>
            <w:shd w:val="clear" w:color="auto" w:fill="auto"/>
          </w:tcPr>
          <w:p w14:paraId="7E85A768" w14:textId="77777777" w:rsidR="000E7C76" w:rsidRPr="00256982" w:rsidRDefault="000E7C76" w:rsidP="000E7C76">
            <w:pPr>
              <w:pStyle w:val="TableText"/>
              <w:spacing w:before="50" w:after="50"/>
              <w:ind w:right="284"/>
              <w:jc w:val="right"/>
              <w:rPr>
                <w:szCs w:val="22"/>
              </w:rPr>
            </w:pPr>
            <w:r w:rsidRPr="00256982">
              <w:t>462,271</w:t>
            </w:r>
          </w:p>
        </w:tc>
      </w:tr>
      <w:tr w:rsidR="000E7C76" w:rsidRPr="00256982" w14:paraId="0731C8F7" w14:textId="77777777" w:rsidTr="000E7C76">
        <w:tc>
          <w:tcPr>
            <w:tcW w:w="873" w:type="dxa"/>
            <w:shd w:val="clear" w:color="auto" w:fill="auto"/>
          </w:tcPr>
          <w:p w14:paraId="4CF9ABCC" w14:textId="77777777" w:rsidR="000E7C76" w:rsidRPr="00256982" w:rsidRDefault="000E7C76" w:rsidP="000E7C76">
            <w:pPr>
              <w:pStyle w:val="TableText"/>
              <w:spacing w:before="50" w:after="50"/>
            </w:pPr>
            <w:r w:rsidRPr="00256982">
              <w:t>1999</w:t>
            </w:r>
          </w:p>
        </w:tc>
        <w:tc>
          <w:tcPr>
            <w:tcW w:w="2503" w:type="dxa"/>
            <w:shd w:val="clear" w:color="auto" w:fill="auto"/>
          </w:tcPr>
          <w:p w14:paraId="214085A1" w14:textId="77777777" w:rsidR="000E7C76" w:rsidRPr="00256982" w:rsidRDefault="000E7C76" w:rsidP="000E7C76">
            <w:pPr>
              <w:pStyle w:val="TableText"/>
              <w:spacing w:before="50" w:after="50"/>
              <w:ind w:right="284"/>
              <w:jc w:val="right"/>
              <w:rPr>
                <w:szCs w:val="22"/>
              </w:rPr>
            </w:pPr>
            <w:r w:rsidRPr="00256982">
              <w:t>37,181</w:t>
            </w:r>
          </w:p>
        </w:tc>
        <w:tc>
          <w:tcPr>
            <w:tcW w:w="1479" w:type="dxa"/>
            <w:shd w:val="clear" w:color="auto" w:fill="auto"/>
          </w:tcPr>
          <w:p w14:paraId="43534722" w14:textId="77777777" w:rsidR="000E7C76" w:rsidRPr="00256982" w:rsidRDefault="000E7C76" w:rsidP="000E7C76">
            <w:pPr>
              <w:pStyle w:val="TableText"/>
              <w:spacing w:before="50" w:after="50"/>
              <w:ind w:right="284"/>
              <w:jc w:val="right"/>
              <w:rPr>
                <w:szCs w:val="22"/>
              </w:rPr>
            </w:pPr>
            <w:r w:rsidRPr="00256982">
              <w:t>0</w:t>
            </w:r>
          </w:p>
        </w:tc>
        <w:tc>
          <w:tcPr>
            <w:tcW w:w="1479" w:type="dxa"/>
            <w:shd w:val="clear" w:color="auto" w:fill="auto"/>
          </w:tcPr>
          <w:p w14:paraId="6CDCAE6D" w14:textId="77777777" w:rsidR="000E7C76" w:rsidRPr="00256982" w:rsidRDefault="000E7C76" w:rsidP="000E7C76">
            <w:pPr>
              <w:pStyle w:val="TableText"/>
              <w:spacing w:before="50" w:after="50"/>
              <w:ind w:right="284"/>
              <w:jc w:val="right"/>
              <w:rPr>
                <w:szCs w:val="22"/>
              </w:rPr>
            </w:pPr>
            <w:r w:rsidRPr="00256982">
              <w:t>0</w:t>
            </w:r>
          </w:p>
        </w:tc>
        <w:tc>
          <w:tcPr>
            <w:tcW w:w="2171" w:type="dxa"/>
            <w:shd w:val="clear" w:color="auto" w:fill="auto"/>
          </w:tcPr>
          <w:p w14:paraId="691C8BF3" w14:textId="77777777" w:rsidR="000E7C76" w:rsidRPr="00256982" w:rsidRDefault="000E7C76" w:rsidP="000E7C76">
            <w:pPr>
              <w:pStyle w:val="TableText"/>
              <w:spacing w:before="50" w:after="50"/>
              <w:ind w:right="284"/>
              <w:jc w:val="right"/>
              <w:rPr>
                <w:szCs w:val="22"/>
              </w:rPr>
            </w:pPr>
            <w:r w:rsidRPr="00256982">
              <w:t>499,452</w:t>
            </w:r>
          </w:p>
        </w:tc>
      </w:tr>
      <w:tr w:rsidR="000E7C76" w:rsidRPr="00256982" w14:paraId="71ACD600" w14:textId="77777777" w:rsidTr="000E7C76">
        <w:tc>
          <w:tcPr>
            <w:tcW w:w="873" w:type="dxa"/>
            <w:shd w:val="clear" w:color="auto" w:fill="auto"/>
          </w:tcPr>
          <w:p w14:paraId="1BF75D7C" w14:textId="77777777" w:rsidR="000E7C76" w:rsidRPr="00256982" w:rsidRDefault="000E7C76" w:rsidP="000E7C76">
            <w:pPr>
              <w:pStyle w:val="TableText"/>
              <w:spacing w:before="50" w:after="50"/>
            </w:pPr>
            <w:r w:rsidRPr="00256982">
              <w:t>2000</w:t>
            </w:r>
          </w:p>
        </w:tc>
        <w:tc>
          <w:tcPr>
            <w:tcW w:w="2503" w:type="dxa"/>
            <w:shd w:val="clear" w:color="auto" w:fill="auto"/>
          </w:tcPr>
          <w:p w14:paraId="7BCA28E6" w14:textId="77777777" w:rsidR="000E7C76" w:rsidRPr="00256982" w:rsidRDefault="000E7C76" w:rsidP="000E7C76">
            <w:pPr>
              <w:pStyle w:val="TableText"/>
              <w:spacing w:before="50" w:after="50"/>
              <w:ind w:right="284"/>
              <w:jc w:val="right"/>
              <w:rPr>
                <w:szCs w:val="22"/>
              </w:rPr>
            </w:pPr>
            <w:r w:rsidRPr="00256982">
              <w:t>32,188</w:t>
            </w:r>
          </w:p>
        </w:tc>
        <w:tc>
          <w:tcPr>
            <w:tcW w:w="1479" w:type="dxa"/>
            <w:shd w:val="clear" w:color="auto" w:fill="auto"/>
          </w:tcPr>
          <w:p w14:paraId="158FEB01" w14:textId="77777777" w:rsidR="000E7C76" w:rsidRPr="00256982" w:rsidRDefault="000E7C76" w:rsidP="000E7C76">
            <w:pPr>
              <w:pStyle w:val="TableText"/>
              <w:spacing w:before="50" w:after="50"/>
              <w:ind w:right="284"/>
              <w:jc w:val="right"/>
              <w:rPr>
                <w:szCs w:val="22"/>
              </w:rPr>
            </w:pPr>
            <w:r w:rsidRPr="00256982">
              <w:t>0</w:t>
            </w:r>
          </w:p>
        </w:tc>
        <w:tc>
          <w:tcPr>
            <w:tcW w:w="1479" w:type="dxa"/>
            <w:shd w:val="clear" w:color="auto" w:fill="auto"/>
          </w:tcPr>
          <w:p w14:paraId="4D374B1F" w14:textId="77777777" w:rsidR="000E7C76" w:rsidRPr="00256982" w:rsidRDefault="000E7C76" w:rsidP="000E7C76">
            <w:pPr>
              <w:pStyle w:val="TableText"/>
              <w:spacing w:before="50" w:after="50"/>
              <w:ind w:right="284"/>
              <w:jc w:val="right"/>
              <w:rPr>
                <w:szCs w:val="22"/>
              </w:rPr>
            </w:pPr>
            <w:r w:rsidRPr="00256982">
              <w:t>0</w:t>
            </w:r>
          </w:p>
        </w:tc>
        <w:tc>
          <w:tcPr>
            <w:tcW w:w="2171" w:type="dxa"/>
            <w:shd w:val="clear" w:color="auto" w:fill="auto"/>
          </w:tcPr>
          <w:p w14:paraId="5D49C238" w14:textId="77777777" w:rsidR="000E7C76" w:rsidRPr="00256982" w:rsidRDefault="000E7C76" w:rsidP="000E7C76">
            <w:pPr>
              <w:pStyle w:val="TableText"/>
              <w:spacing w:before="50" w:after="50"/>
              <w:ind w:right="284"/>
              <w:jc w:val="right"/>
              <w:rPr>
                <w:szCs w:val="22"/>
              </w:rPr>
            </w:pPr>
            <w:r w:rsidRPr="00256982">
              <w:t>531,640</w:t>
            </w:r>
          </w:p>
        </w:tc>
      </w:tr>
      <w:tr w:rsidR="000E7C76" w:rsidRPr="00256982" w14:paraId="1A04F250" w14:textId="77777777" w:rsidTr="000E7C76">
        <w:tc>
          <w:tcPr>
            <w:tcW w:w="873" w:type="dxa"/>
            <w:shd w:val="clear" w:color="auto" w:fill="auto"/>
          </w:tcPr>
          <w:p w14:paraId="0E9AC147" w14:textId="77777777" w:rsidR="000E7C76" w:rsidRPr="00256982" w:rsidRDefault="000E7C76" w:rsidP="000E7C76">
            <w:pPr>
              <w:pStyle w:val="TableText"/>
              <w:spacing w:before="50" w:after="50"/>
            </w:pPr>
            <w:r w:rsidRPr="00256982">
              <w:t>2001</w:t>
            </w:r>
          </w:p>
        </w:tc>
        <w:tc>
          <w:tcPr>
            <w:tcW w:w="2503" w:type="dxa"/>
            <w:shd w:val="clear" w:color="auto" w:fill="auto"/>
          </w:tcPr>
          <w:p w14:paraId="61F57D42" w14:textId="77777777" w:rsidR="000E7C76" w:rsidRPr="00256982" w:rsidRDefault="000E7C76" w:rsidP="000E7C76">
            <w:pPr>
              <w:pStyle w:val="TableText"/>
              <w:spacing w:before="50" w:after="50"/>
              <w:ind w:right="284"/>
              <w:jc w:val="right"/>
              <w:rPr>
                <w:szCs w:val="22"/>
              </w:rPr>
            </w:pPr>
            <w:r w:rsidRPr="00256982">
              <w:t>29,158</w:t>
            </w:r>
          </w:p>
        </w:tc>
        <w:tc>
          <w:tcPr>
            <w:tcW w:w="1479" w:type="dxa"/>
            <w:shd w:val="clear" w:color="auto" w:fill="auto"/>
          </w:tcPr>
          <w:p w14:paraId="21D33D39" w14:textId="77777777" w:rsidR="000E7C76" w:rsidRPr="00256982" w:rsidRDefault="000E7C76" w:rsidP="000E7C76">
            <w:pPr>
              <w:pStyle w:val="TableText"/>
              <w:spacing w:before="50" w:after="50"/>
              <w:ind w:right="284"/>
              <w:jc w:val="right"/>
              <w:rPr>
                <w:szCs w:val="22"/>
              </w:rPr>
            </w:pPr>
            <w:r w:rsidRPr="00256982">
              <w:t>0</w:t>
            </w:r>
          </w:p>
        </w:tc>
        <w:tc>
          <w:tcPr>
            <w:tcW w:w="1479" w:type="dxa"/>
            <w:shd w:val="clear" w:color="auto" w:fill="auto"/>
          </w:tcPr>
          <w:p w14:paraId="3FE06AEE" w14:textId="77777777" w:rsidR="000E7C76" w:rsidRPr="00256982" w:rsidRDefault="000E7C76" w:rsidP="000E7C76">
            <w:pPr>
              <w:pStyle w:val="TableText"/>
              <w:spacing w:before="50" w:after="50"/>
              <w:ind w:right="284"/>
              <w:jc w:val="right"/>
              <w:rPr>
                <w:szCs w:val="22"/>
              </w:rPr>
            </w:pPr>
            <w:r w:rsidRPr="00256982">
              <w:t>0</w:t>
            </w:r>
          </w:p>
        </w:tc>
        <w:tc>
          <w:tcPr>
            <w:tcW w:w="2171" w:type="dxa"/>
            <w:shd w:val="clear" w:color="auto" w:fill="auto"/>
          </w:tcPr>
          <w:p w14:paraId="1F730148" w14:textId="77777777" w:rsidR="000E7C76" w:rsidRPr="00256982" w:rsidRDefault="000E7C76" w:rsidP="000E7C76">
            <w:pPr>
              <w:pStyle w:val="TableText"/>
              <w:spacing w:before="50" w:after="50"/>
              <w:ind w:right="284"/>
              <w:jc w:val="right"/>
              <w:rPr>
                <w:szCs w:val="22"/>
              </w:rPr>
            </w:pPr>
            <w:r w:rsidRPr="00256982">
              <w:t>560,798</w:t>
            </w:r>
          </w:p>
        </w:tc>
      </w:tr>
      <w:tr w:rsidR="000E7C76" w:rsidRPr="00256982" w14:paraId="43B73E57" w14:textId="77777777" w:rsidTr="000E7C76">
        <w:tc>
          <w:tcPr>
            <w:tcW w:w="873" w:type="dxa"/>
            <w:shd w:val="clear" w:color="auto" w:fill="auto"/>
          </w:tcPr>
          <w:p w14:paraId="4AD0A1A8" w14:textId="77777777" w:rsidR="000E7C76" w:rsidRPr="00256982" w:rsidRDefault="000E7C76" w:rsidP="000E7C76">
            <w:pPr>
              <w:pStyle w:val="TableText"/>
              <w:spacing w:before="50" w:after="50"/>
            </w:pPr>
            <w:r w:rsidRPr="00256982">
              <w:t>2002</w:t>
            </w:r>
          </w:p>
        </w:tc>
        <w:tc>
          <w:tcPr>
            <w:tcW w:w="2503" w:type="dxa"/>
            <w:shd w:val="clear" w:color="auto" w:fill="auto"/>
          </w:tcPr>
          <w:p w14:paraId="40D68585" w14:textId="77777777" w:rsidR="000E7C76" w:rsidRPr="00256982" w:rsidRDefault="000E7C76" w:rsidP="000E7C76">
            <w:pPr>
              <w:pStyle w:val="TableText"/>
              <w:spacing w:before="50" w:after="50"/>
              <w:ind w:right="284"/>
              <w:jc w:val="right"/>
              <w:rPr>
                <w:szCs w:val="22"/>
              </w:rPr>
            </w:pPr>
            <w:r w:rsidRPr="00256982">
              <w:t>22,119</w:t>
            </w:r>
          </w:p>
        </w:tc>
        <w:tc>
          <w:tcPr>
            <w:tcW w:w="1479" w:type="dxa"/>
            <w:shd w:val="clear" w:color="auto" w:fill="auto"/>
          </w:tcPr>
          <w:p w14:paraId="00CD10D8" w14:textId="77777777" w:rsidR="000E7C76" w:rsidRPr="00256982" w:rsidRDefault="000E7C76" w:rsidP="000E7C76">
            <w:pPr>
              <w:pStyle w:val="TableText"/>
              <w:spacing w:before="50" w:after="50"/>
              <w:ind w:right="284"/>
              <w:jc w:val="right"/>
              <w:rPr>
                <w:szCs w:val="22"/>
              </w:rPr>
            </w:pPr>
            <w:r w:rsidRPr="00256982">
              <w:t>0</w:t>
            </w:r>
          </w:p>
        </w:tc>
        <w:tc>
          <w:tcPr>
            <w:tcW w:w="1479" w:type="dxa"/>
            <w:shd w:val="clear" w:color="auto" w:fill="auto"/>
          </w:tcPr>
          <w:p w14:paraId="560BD38F" w14:textId="77777777" w:rsidR="000E7C76" w:rsidRPr="00256982" w:rsidRDefault="000E7C76" w:rsidP="000E7C76">
            <w:pPr>
              <w:pStyle w:val="TableText"/>
              <w:spacing w:before="50" w:after="50"/>
              <w:ind w:right="284"/>
              <w:jc w:val="right"/>
              <w:rPr>
                <w:szCs w:val="22"/>
              </w:rPr>
            </w:pPr>
            <w:r w:rsidRPr="00256982">
              <w:t>704</w:t>
            </w:r>
          </w:p>
        </w:tc>
        <w:tc>
          <w:tcPr>
            <w:tcW w:w="2171" w:type="dxa"/>
            <w:shd w:val="clear" w:color="auto" w:fill="auto"/>
          </w:tcPr>
          <w:p w14:paraId="1EBFEB6C" w14:textId="77777777" w:rsidR="000E7C76" w:rsidRPr="00256982" w:rsidRDefault="000E7C76" w:rsidP="000E7C76">
            <w:pPr>
              <w:pStyle w:val="TableText"/>
              <w:spacing w:before="50" w:after="50"/>
              <w:ind w:right="284"/>
              <w:jc w:val="right"/>
              <w:rPr>
                <w:szCs w:val="22"/>
              </w:rPr>
            </w:pPr>
            <w:r w:rsidRPr="00256982">
              <w:t>582,213</w:t>
            </w:r>
          </w:p>
        </w:tc>
      </w:tr>
      <w:tr w:rsidR="000E7C76" w:rsidRPr="00256982" w14:paraId="254DD5D5" w14:textId="77777777" w:rsidTr="000E7C76">
        <w:tc>
          <w:tcPr>
            <w:tcW w:w="873" w:type="dxa"/>
            <w:shd w:val="clear" w:color="auto" w:fill="auto"/>
          </w:tcPr>
          <w:p w14:paraId="67DF5A9B" w14:textId="77777777" w:rsidR="000E7C76" w:rsidRPr="00256982" w:rsidRDefault="000E7C76" w:rsidP="000E7C76">
            <w:pPr>
              <w:pStyle w:val="TableText"/>
              <w:spacing w:before="50" w:after="50"/>
            </w:pPr>
            <w:r w:rsidRPr="00256982">
              <w:t>2003</w:t>
            </w:r>
          </w:p>
        </w:tc>
        <w:tc>
          <w:tcPr>
            <w:tcW w:w="2503" w:type="dxa"/>
            <w:shd w:val="clear" w:color="auto" w:fill="auto"/>
          </w:tcPr>
          <w:p w14:paraId="7EA3E5B0" w14:textId="77777777" w:rsidR="000E7C76" w:rsidRPr="00256982" w:rsidRDefault="000E7C76" w:rsidP="000E7C76">
            <w:pPr>
              <w:pStyle w:val="TableText"/>
              <w:spacing w:before="50" w:after="50"/>
              <w:ind w:right="284"/>
              <w:jc w:val="right"/>
              <w:rPr>
                <w:szCs w:val="22"/>
              </w:rPr>
            </w:pPr>
            <w:r w:rsidRPr="00256982">
              <w:t>20,842</w:t>
            </w:r>
          </w:p>
        </w:tc>
        <w:tc>
          <w:tcPr>
            <w:tcW w:w="1479" w:type="dxa"/>
            <w:shd w:val="clear" w:color="auto" w:fill="auto"/>
          </w:tcPr>
          <w:p w14:paraId="70AF9B07" w14:textId="77777777" w:rsidR="000E7C76" w:rsidRPr="00256982" w:rsidRDefault="000E7C76" w:rsidP="000E7C76">
            <w:pPr>
              <w:pStyle w:val="TableText"/>
              <w:spacing w:before="50" w:after="50"/>
              <w:ind w:right="284"/>
              <w:jc w:val="right"/>
              <w:rPr>
                <w:szCs w:val="22"/>
              </w:rPr>
            </w:pPr>
            <w:r w:rsidRPr="00256982">
              <w:t>0</w:t>
            </w:r>
          </w:p>
        </w:tc>
        <w:tc>
          <w:tcPr>
            <w:tcW w:w="1479" w:type="dxa"/>
            <w:shd w:val="clear" w:color="auto" w:fill="auto"/>
          </w:tcPr>
          <w:p w14:paraId="1BDB52C2" w14:textId="77777777" w:rsidR="000E7C76" w:rsidRPr="00256982" w:rsidRDefault="000E7C76" w:rsidP="000E7C76">
            <w:pPr>
              <w:pStyle w:val="TableText"/>
              <w:spacing w:before="50" w:after="50"/>
              <w:ind w:right="284"/>
              <w:jc w:val="right"/>
              <w:rPr>
                <w:szCs w:val="22"/>
              </w:rPr>
            </w:pPr>
            <w:r w:rsidRPr="00256982">
              <w:t>2,219</w:t>
            </w:r>
          </w:p>
        </w:tc>
        <w:tc>
          <w:tcPr>
            <w:tcW w:w="2171" w:type="dxa"/>
            <w:shd w:val="clear" w:color="auto" w:fill="auto"/>
          </w:tcPr>
          <w:p w14:paraId="48028FA7" w14:textId="77777777" w:rsidR="000E7C76" w:rsidRPr="00256982" w:rsidRDefault="000E7C76" w:rsidP="000E7C76">
            <w:pPr>
              <w:pStyle w:val="TableText"/>
              <w:spacing w:before="50" w:after="50"/>
              <w:ind w:right="284"/>
              <w:jc w:val="right"/>
              <w:rPr>
                <w:szCs w:val="22"/>
              </w:rPr>
            </w:pPr>
            <w:r w:rsidRPr="00256982">
              <w:t>600,835</w:t>
            </w:r>
          </w:p>
        </w:tc>
      </w:tr>
      <w:tr w:rsidR="000E7C76" w:rsidRPr="00256982" w14:paraId="6E5394BA" w14:textId="77777777" w:rsidTr="000E7C76">
        <w:tc>
          <w:tcPr>
            <w:tcW w:w="873" w:type="dxa"/>
            <w:shd w:val="clear" w:color="auto" w:fill="auto"/>
          </w:tcPr>
          <w:p w14:paraId="36110FE4" w14:textId="77777777" w:rsidR="000E7C76" w:rsidRPr="00256982" w:rsidRDefault="000E7C76" w:rsidP="000E7C76">
            <w:pPr>
              <w:pStyle w:val="TableText"/>
              <w:spacing w:before="50" w:after="50"/>
            </w:pPr>
            <w:r w:rsidRPr="00256982">
              <w:t>2004</w:t>
            </w:r>
          </w:p>
        </w:tc>
        <w:tc>
          <w:tcPr>
            <w:tcW w:w="2503" w:type="dxa"/>
            <w:shd w:val="clear" w:color="auto" w:fill="auto"/>
          </w:tcPr>
          <w:p w14:paraId="479B6A8E" w14:textId="77777777" w:rsidR="000E7C76" w:rsidRPr="00256982" w:rsidRDefault="000E7C76" w:rsidP="000E7C76">
            <w:pPr>
              <w:pStyle w:val="TableText"/>
              <w:spacing w:before="50" w:after="50"/>
              <w:ind w:right="284"/>
              <w:jc w:val="right"/>
              <w:rPr>
                <w:szCs w:val="22"/>
              </w:rPr>
            </w:pPr>
            <w:r w:rsidRPr="00256982">
              <w:t>13,111</w:t>
            </w:r>
          </w:p>
        </w:tc>
        <w:tc>
          <w:tcPr>
            <w:tcW w:w="1479" w:type="dxa"/>
            <w:shd w:val="clear" w:color="auto" w:fill="auto"/>
          </w:tcPr>
          <w:p w14:paraId="3053A36D" w14:textId="77777777" w:rsidR="000E7C76" w:rsidRPr="00256982" w:rsidRDefault="000E7C76" w:rsidP="000E7C76">
            <w:pPr>
              <w:pStyle w:val="TableText"/>
              <w:spacing w:before="50" w:after="50"/>
              <w:ind w:right="284"/>
              <w:jc w:val="right"/>
              <w:rPr>
                <w:szCs w:val="22"/>
              </w:rPr>
            </w:pPr>
            <w:r w:rsidRPr="00256982">
              <w:t>0</w:t>
            </w:r>
          </w:p>
        </w:tc>
        <w:tc>
          <w:tcPr>
            <w:tcW w:w="1479" w:type="dxa"/>
            <w:shd w:val="clear" w:color="auto" w:fill="auto"/>
          </w:tcPr>
          <w:p w14:paraId="13B15E46" w14:textId="77777777" w:rsidR="000E7C76" w:rsidRPr="00256982" w:rsidRDefault="000E7C76" w:rsidP="000E7C76">
            <w:pPr>
              <w:pStyle w:val="TableText"/>
              <w:spacing w:before="50" w:after="50"/>
              <w:ind w:right="284"/>
              <w:jc w:val="right"/>
              <w:rPr>
                <w:szCs w:val="22"/>
              </w:rPr>
            </w:pPr>
            <w:r w:rsidRPr="00256982">
              <w:t>2,039</w:t>
            </w:r>
          </w:p>
        </w:tc>
        <w:tc>
          <w:tcPr>
            <w:tcW w:w="2171" w:type="dxa"/>
            <w:shd w:val="clear" w:color="auto" w:fill="auto"/>
          </w:tcPr>
          <w:p w14:paraId="167A5675" w14:textId="77777777" w:rsidR="000E7C76" w:rsidRPr="00256982" w:rsidRDefault="000E7C76" w:rsidP="000E7C76">
            <w:pPr>
              <w:pStyle w:val="TableText"/>
              <w:spacing w:before="50" w:after="50"/>
              <w:ind w:right="284"/>
              <w:jc w:val="right"/>
              <w:rPr>
                <w:szCs w:val="22"/>
              </w:rPr>
            </w:pPr>
            <w:r w:rsidRPr="00256982">
              <w:t>611,907</w:t>
            </w:r>
          </w:p>
        </w:tc>
      </w:tr>
      <w:tr w:rsidR="000E7C76" w:rsidRPr="00256982" w14:paraId="530DB044" w14:textId="77777777" w:rsidTr="000E7C76">
        <w:tc>
          <w:tcPr>
            <w:tcW w:w="873" w:type="dxa"/>
            <w:shd w:val="clear" w:color="auto" w:fill="auto"/>
          </w:tcPr>
          <w:p w14:paraId="177D95B0" w14:textId="77777777" w:rsidR="000E7C76" w:rsidRPr="00256982" w:rsidRDefault="000E7C76" w:rsidP="000E7C76">
            <w:pPr>
              <w:pStyle w:val="TableText"/>
              <w:spacing w:before="50" w:after="50"/>
            </w:pPr>
            <w:r w:rsidRPr="00256982">
              <w:t>2005</w:t>
            </w:r>
          </w:p>
        </w:tc>
        <w:tc>
          <w:tcPr>
            <w:tcW w:w="2503" w:type="dxa"/>
            <w:shd w:val="clear" w:color="auto" w:fill="auto"/>
          </w:tcPr>
          <w:p w14:paraId="47E44CFD" w14:textId="77777777" w:rsidR="000E7C76" w:rsidRPr="00256982" w:rsidRDefault="000E7C76" w:rsidP="000E7C76">
            <w:pPr>
              <w:pStyle w:val="TableText"/>
              <w:spacing w:before="50" w:after="50"/>
              <w:ind w:right="284"/>
              <w:jc w:val="right"/>
              <w:rPr>
                <w:szCs w:val="22"/>
              </w:rPr>
            </w:pPr>
            <w:r w:rsidRPr="00256982">
              <w:t>9,328</w:t>
            </w:r>
          </w:p>
        </w:tc>
        <w:tc>
          <w:tcPr>
            <w:tcW w:w="1479" w:type="dxa"/>
            <w:shd w:val="clear" w:color="auto" w:fill="auto"/>
          </w:tcPr>
          <w:p w14:paraId="1C6A6DC3" w14:textId="77777777" w:rsidR="000E7C76" w:rsidRPr="00256982" w:rsidRDefault="000E7C76" w:rsidP="000E7C76">
            <w:pPr>
              <w:pStyle w:val="TableText"/>
              <w:spacing w:before="50" w:after="50"/>
              <w:ind w:right="284"/>
              <w:jc w:val="right"/>
              <w:rPr>
                <w:szCs w:val="22"/>
              </w:rPr>
            </w:pPr>
            <w:r w:rsidRPr="00256982">
              <w:t>200</w:t>
            </w:r>
          </w:p>
        </w:tc>
        <w:tc>
          <w:tcPr>
            <w:tcW w:w="1479" w:type="dxa"/>
            <w:shd w:val="clear" w:color="auto" w:fill="auto"/>
          </w:tcPr>
          <w:p w14:paraId="3A01A23D" w14:textId="77777777" w:rsidR="000E7C76" w:rsidRPr="00256982" w:rsidRDefault="000E7C76" w:rsidP="000E7C76">
            <w:pPr>
              <w:pStyle w:val="TableText"/>
              <w:spacing w:before="50" w:after="50"/>
              <w:ind w:right="284"/>
              <w:jc w:val="right"/>
              <w:rPr>
                <w:szCs w:val="22"/>
              </w:rPr>
            </w:pPr>
            <w:r w:rsidRPr="00256982">
              <w:t>2,320</w:t>
            </w:r>
          </w:p>
        </w:tc>
        <w:tc>
          <w:tcPr>
            <w:tcW w:w="2171" w:type="dxa"/>
            <w:shd w:val="clear" w:color="auto" w:fill="auto"/>
          </w:tcPr>
          <w:p w14:paraId="6BB9D42D" w14:textId="77777777" w:rsidR="000E7C76" w:rsidRPr="00256982" w:rsidRDefault="000E7C76" w:rsidP="000E7C76">
            <w:pPr>
              <w:pStyle w:val="TableText"/>
              <w:spacing w:before="50" w:after="50"/>
              <w:ind w:right="284"/>
              <w:jc w:val="right"/>
              <w:rPr>
                <w:szCs w:val="22"/>
              </w:rPr>
            </w:pPr>
            <w:r w:rsidRPr="00256982">
              <w:t>618,916</w:t>
            </w:r>
          </w:p>
        </w:tc>
      </w:tr>
      <w:tr w:rsidR="000E7C76" w:rsidRPr="00256982" w14:paraId="5FD86164" w14:textId="77777777" w:rsidTr="000E7C76">
        <w:tc>
          <w:tcPr>
            <w:tcW w:w="873" w:type="dxa"/>
            <w:shd w:val="clear" w:color="auto" w:fill="auto"/>
          </w:tcPr>
          <w:p w14:paraId="4F300C86" w14:textId="77777777" w:rsidR="000E7C76" w:rsidRPr="00256982" w:rsidRDefault="000E7C76" w:rsidP="000E7C76">
            <w:pPr>
              <w:pStyle w:val="TableText"/>
              <w:spacing w:before="50" w:after="50"/>
            </w:pPr>
            <w:r w:rsidRPr="00256982">
              <w:t>2006</w:t>
            </w:r>
          </w:p>
        </w:tc>
        <w:tc>
          <w:tcPr>
            <w:tcW w:w="2503" w:type="dxa"/>
            <w:shd w:val="clear" w:color="auto" w:fill="auto"/>
          </w:tcPr>
          <w:p w14:paraId="015D5922" w14:textId="77777777" w:rsidR="000E7C76" w:rsidRPr="00256982" w:rsidRDefault="000E7C76" w:rsidP="000E7C76">
            <w:pPr>
              <w:pStyle w:val="TableText"/>
              <w:spacing w:before="50" w:after="50"/>
              <w:ind w:right="284"/>
              <w:jc w:val="right"/>
              <w:rPr>
                <w:szCs w:val="22"/>
              </w:rPr>
            </w:pPr>
            <w:r w:rsidRPr="00256982">
              <w:t>6,377</w:t>
            </w:r>
          </w:p>
        </w:tc>
        <w:tc>
          <w:tcPr>
            <w:tcW w:w="1479" w:type="dxa"/>
            <w:shd w:val="clear" w:color="auto" w:fill="auto"/>
          </w:tcPr>
          <w:p w14:paraId="753128C4" w14:textId="77777777" w:rsidR="000E7C76" w:rsidRPr="00256982" w:rsidRDefault="000E7C76" w:rsidP="000E7C76">
            <w:pPr>
              <w:pStyle w:val="TableText"/>
              <w:spacing w:before="50" w:after="50"/>
              <w:ind w:right="284"/>
              <w:jc w:val="right"/>
              <w:rPr>
                <w:szCs w:val="22"/>
              </w:rPr>
            </w:pPr>
            <w:r w:rsidRPr="00256982">
              <w:t>600</w:t>
            </w:r>
          </w:p>
        </w:tc>
        <w:tc>
          <w:tcPr>
            <w:tcW w:w="1479" w:type="dxa"/>
            <w:shd w:val="clear" w:color="auto" w:fill="auto"/>
          </w:tcPr>
          <w:p w14:paraId="79F5E8FA" w14:textId="77777777" w:rsidR="000E7C76" w:rsidRPr="00256982" w:rsidRDefault="000E7C76" w:rsidP="000E7C76">
            <w:pPr>
              <w:pStyle w:val="TableText"/>
              <w:spacing w:before="50" w:after="50"/>
              <w:ind w:right="284"/>
              <w:jc w:val="right"/>
              <w:rPr>
                <w:szCs w:val="22"/>
              </w:rPr>
            </w:pPr>
            <w:r w:rsidRPr="00256982">
              <w:t>1,988</w:t>
            </w:r>
          </w:p>
        </w:tc>
        <w:tc>
          <w:tcPr>
            <w:tcW w:w="2171" w:type="dxa"/>
            <w:shd w:val="clear" w:color="auto" w:fill="auto"/>
          </w:tcPr>
          <w:p w14:paraId="69F7BB46" w14:textId="77777777" w:rsidR="000E7C76" w:rsidRPr="00256982" w:rsidRDefault="000E7C76" w:rsidP="000E7C76">
            <w:pPr>
              <w:pStyle w:val="TableText"/>
              <w:spacing w:before="50" w:after="50"/>
              <w:ind w:right="284"/>
              <w:jc w:val="right"/>
              <w:rPr>
                <w:szCs w:val="22"/>
              </w:rPr>
            </w:pPr>
            <w:r w:rsidRPr="00256982">
              <w:t>623,305</w:t>
            </w:r>
          </w:p>
        </w:tc>
      </w:tr>
      <w:tr w:rsidR="000E7C76" w:rsidRPr="00256982" w14:paraId="26CA608D" w14:textId="77777777" w:rsidTr="000E7C76">
        <w:tc>
          <w:tcPr>
            <w:tcW w:w="873" w:type="dxa"/>
            <w:shd w:val="clear" w:color="auto" w:fill="auto"/>
          </w:tcPr>
          <w:p w14:paraId="0B1D27ED" w14:textId="77777777" w:rsidR="000E7C76" w:rsidRPr="00256982" w:rsidRDefault="000E7C76" w:rsidP="000E7C76">
            <w:pPr>
              <w:pStyle w:val="TableText"/>
              <w:spacing w:before="50" w:after="50"/>
            </w:pPr>
            <w:r w:rsidRPr="00256982">
              <w:t>2007</w:t>
            </w:r>
          </w:p>
        </w:tc>
        <w:tc>
          <w:tcPr>
            <w:tcW w:w="2503" w:type="dxa"/>
            <w:shd w:val="clear" w:color="auto" w:fill="auto"/>
          </w:tcPr>
          <w:p w14:paraId="78916677" w14:textId="77777777" w:rsidR="000E7C76" w:rsidRPr="00256982" w:rsidRDefault="000E7C76" w:rsidP="000E7C76">
            <w:pPr>
              <w:pStyle w:val="TableText"/>
              <w:spacing w:before="50" w:after="50"/>
              <w:ind w:right="284"/>
              <w:jc w:val="right"/>
              <w:rPr>
                <w:szCs w:val="22"/>
              </w:rPr>
            </w:pPr>
            <w:r w:rsidRPr="00256982">
              <w:t>6,390</w:t>
            </w:r>
          </w:p>
        </w:tc>
        <w:tc>
          <w:tcPr>
            <w:tcW w:w="1479" w:type="dxa"/>
            <w:shd w:val="clear" w:color="auto" w:fill="auto"/>
          </w:tcPr>
          <w:p w14:paraId="7D14EC59" w14:textId="77777777" w:rsidR="000E7C76" w:rsidRPr="00256982" w:rsidRDefault="000E7C76" w:rsidP="000E7C76">
            <w:pPr>
              <w:pStyle w:val="TableText"/>
              <w:spacing w:before="50" w:after="50"/>
              <w:ind w:right="284"/>
              <w:jc w:val="right"/>
              <w:rPr>
                <w:szCs w:val="22"/>
              </w:rPr>
            </w:pPr>
            <w:r w:rsidRPr="00256982">
              <w:t>600</w:t>
            </w:r>
          </w:p>
        </w:tc>
        <w:tc>
          <w:tcPr>
            <w:tcW w:w="1479" w:type="dxa"/>
            <w:shd w:val="clear" w:color="auto" w:fill="auto"/>
          </w:tcPr>
          <w:p w14:paraId="26BBFBC2" w14:textId="77777777" w:rsidR="000E7C76" w:rsidRPr="00256982" w:rsidRDefault="000E7C76" w:rsidP="000E7C76">
            <w:pPr>
              <w:pStyle w:val="TableText"/>
              <w:spacing w:before="50" w:after="50"/>
              <w:ind w:right="284"/>
              <w:jc w:val="right"/>
              <w:rPr>
                <w:szCs w:val="22"/>
              </w:rPr>
            </w:pPr>
            <w:r w:rsidRPr="00256982">
              <w:t>4,772</w:t>
            </w:r>
          </w:p>
        </w:tc>
        <w:tc>
          <w:tcPr>
            <w:tcW w:w="2171" w:type="dxa"/>
            <w:shd w:val="clear" w:color="auto" w:fill="auto"/>
          </w:tcPr>
          <w:p w14:paraId="14B60AD6" w14:textId="77777777" w:rsidR="000E7C76" w:rsidRPr="00256982" w:rsidRDefault="000E7C76" w:rsidP="000E7C76">
            <w:pPr>
              <w:pStyle w:val="TableText"/>
              <w:spacing w:before="50" w:after="50"/>
              <w:ind w:right="284"/>
              <w:jc w:val="right"/>
              <w:rPr>
                <w:szCs w:val="22"/>
              </w:rPr>
            </w:pPr>
            <w:r w:rsidRPr="00256982">
              <w:t>624,923</w:t>
            </w:r>
          </w:p>
        </w:tc>
      </w:tr>
      <w:tr w:rsidR="000E7C76" w:rsidRPr="00256982" w14:paraId="4D9C38DC" w14:textId="77777777" w:rsidTr="000E7C76">
        <w:tc>
          <w:tcPr>
            <w:tcW w:w="873" w:type="dxa"/>
            <w:shd w:val="clear" w:color="auto" w:fill="auto"/>
          </w:tcPr>
          <w:p w14:paraId="3CE6CC87" w14:textId="77777777" w:rsidR="000E7C76" w:rsidRPr="00256982" w:rsidRDefault="000E7C76" w:rsidP="000E7C76">
            <w:pPr>
              <w:pStyle w:val="TableText"/>
              <w:spacing w:before="50" w:after="50"/>
            </w:pPr>
            <w:r w:rsidRPr="00256982">
              <w:t>2008</w:t>
            </w:r>
          </w:p>
        </w:tc>
        <w:tc>
          <w:tcPr>
            <w:tcW w:w="2503" w:type="dxa"/>
            <w:shd w:val="clear" w:color="auto" w:fill="auto"/>
          </w:tcPr>
          <w:p w14:paraId="7D411F92" w14:textId="77777777" w:rsidR="000E7C76" w:rsidRPr="00256982" w:rsidRDefault="000E7C76" w:rsidP="000E7C76">
            <w:pPr>
              <w:pStyle w:val="TableText"/>
              <w:spacing w:before="50" w:after="50"/>
              <w:ind w:right="284"/>
              <w:jc w:val="right"/>
              <w:rPr>
                <w:szCs w:val="22"/>
              </w:rPr>
            </w:pPr>
            <w:r w:rsidRPr="00256982">
              <w:t>3,958</w:t>
            </w:r>
          </w:p>
        </w:tc>
        <w:tc>
          <w:tcPr>
            <w:tcW w:w="1479" w:type="dxa"/>
            <w:shd w:val="clear" w:color="auto" w:fill="auto"/>
          </w:tcPr>
          <w:p w14:paraId="46651DA6" w14:textId="77777777" w:rsidR="000E7C76" w:rsidRPr="00256982" w:rsidRDefault="000E7C76" w:rsidP="000E7C76">
            <w:pPr>
              <w:pStyle w:val="TableText"/>
              <w:spacing w:before="50" w:after="50"/>
              <w:ind w:right="284"/>
              <w:jc w:val="right"/>
              <w:rPr>
                <w:szCs w:val="22"/>
              </w:rPr>
            </w:pPr>
            <w:r w:rsidRPr="00256982">
              <w:t>893</w:t>
            </w:r>
          </w:p>
        </w:tc>
        <w:tc>
          <w:tcPr>
            <w:tcW w:w="1479" w:type="dxa"/>
            <w:shd w:val="clear" w:color="auto" w:fill="auto"/>
          </w:tcPr>
          <w:p w14:paraId="302F3BA7" w14:textId="77777777" w:rsidR="000E7C76" w:rsidRPr="00256982" w:rsidRDefault="000E7C76" w:rsidP="000E7C76">
            <w:pPr>
              <w:pStyle w:val="TableText"/>
              <w:spacing w:before="50" w:after="50"/>
              <w:ind w:right="284"/>
              <w:jc w:val="right"/>
              <w:rPr>
                <w:szCs w:val="22"/>
              </w:rPr>
            </w:pPr>
            <w:r w:rsidRPr="00256982">
              <w:t>1,104</w:t>
            </w:r>
          </w:p>
        </w:tc>
        <w:tc>
          <w:tcPr>
            <w:tcW w:w="2171" w:type="dxa"/>
            <w:shd w:val="clear" w:color="auto" w:fill="auto"/>
          </w:tcPr>
          <w:p w14:paraId="1F10410C" w14:textId="77777777" w:rsidR="000E7C76" w:rsidRPr="00256982" w:rsidRDefault="000E7C76" w:rsidP="000E7C76">
            <w:pPr>
              <w:pStyle w:val="TableText"/>
              <w:spacing w:before="50" w:after="50"/>
              <w:ind w:right="284"/>
              <w:jc w:val="right"/>
              <w:rPr>
                <w:szCs w:val="22"/>
              </w:rPr>
            </w:pPr>
            <w:r w:rsidRPr="00256982">
              <w:t>627,777</w:t>
            </w:r>
          </w:p>
        </w:tc>
      </w:tr>
      <w:tr w:rsidR="000E7C76" w:rsidRPr="00256982" w14:paraId="6E5082DA" w14:textId="77777777" w:rsidTr="000E7C76">
        <w:tc>
          <w:tcPr>
            <w:tcW w:w="873" w:type="dxa"/>
            <w:shd w:val="clear" w:color="auto" w:fill="auto"/>
          </w:tcPr>
          <w:p w14:paraId="7D3E1F0B" w14:textId="77777777" w:rsidR="000E7C76" w:rsidRPr="00256982" w:rsidRDefault="000E7C76" w:rsidP="000E7C76">
            <w:pPr>
              <w:pStyle w:val="TableText"/>
              <w:spacing w:before="50" w:after="50"/>
            </w:pPr>
            <w:r w:rsidRPr="00256982">
              <w:t>2009</w:t>
            </w:r>
          </w:p>
        </w:tc>
        <w:tc>
          <w:tcPr>
            <w:tcW w:w="2503" w:type="dxa"/>
            <w:shd w:val="clear" w:color="auto" w:fill="auto"/>
          </w:tcPr>
          <w:p w14:paraId="5339E201" w14:textId="77777777" w:rsidR="000E7C76" w:rsidRPr="00256982" w:rsidRDefault="000E7C76" w:rsidP="000E7C76">
            <w:pPr>
              <w:pStyle w:val="TableText"/>
              <w:spacing w:before="50" w:after="50"/>
              <w:ind w:right="284"/>
              <w:jc w:val="right"/>
              <w:rPr>
                <w:szCs w:val="22"/>
              </w:rPr>
            </w:pPr>
            <w:r w:rsidRPr="00256982">
              <w:t>7,052</w:t>
            </w:r>
          </w:p>
        </w:tc>
        <w:tc>
          <w:tcPr>
            <w:tcW w:w="1479" w:type="dxa"/>
            <w:shd w:val="clear" w:color="auto" w:fill="auto"/>
          </w:tcPr>
          <w:p w14:paraId="6EA027B0" w14:textId="77777777" w:rsidR="000E7C76" w:rsidRPr="00256982" w:rsidRDefault="000E7C76" w:rsidP="000E7C76">
            <w:pPr>
              <w:pStyle w:val="TableText"/>
              <w:spacing w:before="50" w:after="50"/>
              <w:ind w:right="284"/>
              <w:jc w:val="right"/>
              <w:rPr>
                <w:szCs w:val="22"/>
              </w:rPr>
            </w:pPr>
            <w:r w:rsidRPr="00256982">
              <w:t>993</w:t>
            </w:r>
          </w:p>
        </w:tc>
        <w:tc>
          <w:tcPr>
            <w:tcW w:w="1479" w:type="dxa"/>
            <w:shd w:val="clear" w:color="auto" w:fill="auto"/>
          </w:tcPr>
          <w:p w14:paraId="111F7749" w14:textId="77777777" w:rsidR="000E7C76" w:rsidRPr="00256982" w:rsidRDefault="000E7C76" w:rsidP="000E7C76">
            <w:pPr>
              <w:pStyle w:val="TableText"/>
              <w:spacing w:before="50" w:after="50"/>
              <w:ind w:right="284"/>
              <w:jc w:val="right"/>
              <w:rPr>
                <w:szCs w:val="22"/>
              </w:rPr>
            </w:pPr>
            <w:r w:rsidRPr="00256982">
              <w:t>2,478</w:t>
            </w:r>
          </w:p>
        </w:tc>
        <w:tc>
          <w:tcPr>
            <w:tcW w:w="2171" w:type="dxa"/>
            <w:shd w:val="clear" w:color="auto" w:fill="auto"/>
          </w:tcPr>
          <w:p w14:paraId="7F2FF82B" w14:textId="77777777" w:rsidR="000E7C76" w:rsidRPr="00256982" w:rsidRDefault="000E7C76" w:rsidP="000E7C76">
            <w:pPr>
              <w:pStyle w:val="TableText"/>
              <w:spacing w:before="50" w:after="50"/>
              <w:ind w:right="284"/>
              <w:jc w:val="right"/>
              <w:rPr>
                <w:szCs w:val="22"/>
              </w:rPr>
            </w:pPr>
            <w:r w:rsidRPr="00256982">
              <w:t>632,350</w:t>
            </w:r>
          </w:p>
        </w:tc>
      </w:tr>
      <w:tr w:rsidR="000E7C76" w:rsidRPr="00256982" w14:paraId="012E7CAC" w14:textId="77777777" w:rsidTr="000E7C76">
        <w:tc>
          <w:tcPr>
            <w:tcW w:w="873" w:type="dxa"/>
            <w:shd w:val="clear" w:color="auto" w:fill="auto"/>
          </w:tcPr>
          <w:p w14:paraId="21B8E181" w14:textId="77777777" w:rsidR="000E7C76" w:rsidRPr="00256982" w:rsidRDefault="000E7C76" w:rsidP="000E7C76">
            <w:pPr>
              <w:pStyle w:val="TableText"/>
              <w:spacing w:before="50" w:after="50"/>
            </w:pPr>
            <w:r w:rsidRPr="00256982">
              <w:t>2010</w:t>
            </w:r>
          </w:p>
        </w:tc>
        <w:tc>
          <w:tcPr>
            <w:tcW w:w="2503" w:type="dxa"/>
            <w:shd w:val="clear" w:color="auto" w:fill="auto"/>
          </w:tcPr>
          <w:p w14:paraId="4CAFD287" w14:textId="77777777" w:rsidR="000E7C76" w:rsidRPr="00256982" w:rsidRDefault="000E7C76" w:rsidP="000E7C76">
            <w:pPr>
              <w:pStyle w:val="TableText"/>
              <w:spacing w:before="50" w:after="50"/>
              <w:ind w:right="284"/>
              <w:jc w:val="right"/>
              <w:rPr>
                <w:szCs w:val="22"/>
              </w:rPr>
            </w:pPr>
            <w:r w:rsidRPr="00256982">
              <w:t>9,382</w:t>
            </w:r>
          </w:p>
        </w:tc>
        <w:tc>
          <w:tcPr>
            <w:tcW w:w="1479" w:type="dxa"/>
            <w:shd w:val="clear" w:color="auto" w:fill="auto"/>
          </w:tcPr>
          <w:p w14:paraId="102C5585" w14:textId="77777777" w:rsidR="000E7C76" w:rsidRPr="00256982" w:rsidRDefault="000E7C76" w:rsidP="000E7C76">
            <w:pPr>
              <w:pStyle w:val="TableText"/>
              <w:spacing w:before="50" w:after="50"/>
              <w:ind w:right="284"/>
              <w:jc w:val="right"/>
              <w:rPr>
                <w:szCs w:val="22"/>
              </w:rPr>
            </w:pPr>
            <w:r w:rsidRPr="00256982">
              <w:t>1,502</w:t>
            </w:r>
          </w:p>
        </w:tc>
        <w:tc>
          <w:tcPr>
            <w:tcW w:w="1479" w:type="dxa"/>
            <w:shd w:val="clear" w:color="auto" w:fill="auto"/>
          </w:tcPr>
          <w:p w14:paraId="0FD985F1" w14:textId="77777777" w:rsidR="000E7C76" w:rsidRPr="00256982" w:rsidRDefault="000E7C76" w:rsidP="000E7C76">
            <w:pPr>
              <w:pStyle w:val="TableText"/>
              <w:spacing w:before="50" w:after="50"/>
              <w:ind w:right="284"/>
              <w:jc w:val="right"/>
              <w:rPr>
                <w:szCs w:val="22"/>
              </w:rPr>
            </w:pPr>
            <w:r w:rsidRPr="00256982">
              <w:t>1,724</w:t>
            </w:r>
          </w:p>
        </w:tc>
        <w:tc>
          <w:tcPr>
            <w:tcW w:w="2171" w:type="dxa"/>
            <w:shd w:val="clear" w:color="auto" w:fill="auto"/>
          </w:tcPr>
          <w:p w14:paraId="26F431FD" w14:textId="77777777" w:rsidR="000E7C76" w:rsidRPr="00256982" w:rsidRDefault="000E7C76" w:rsidP="000E7C76">
            <w:pPr>
              <w:pStyle w:val="TableText"/>
              <w:spacing w:before="50" w:after="50"/>
              <w:ind w:right="284"/>
              <w:jc w:val="right"/>
              <w:rPr>
                <w:szCs w:val="22"/>
              </w:rPr>
            </w:pPr>
            <w:r w:rsidRPr="00256982">
              <w:t>640,008</w:t>
            </w:r>
          </w:p>
        </w:tc>
      </w:tr>
      <w:tr w:rsidR="000E7C76" w:rsidRPr="00256982" w14:paraId="667CFAEB" w14:textId="77777777" w:rsidTr="000E7C76">
        <w:tc>
          <w:tcPr>
            <w:tcW w:w="873" w:type="dxa"/>
            <w:shd w:val="clear" w:color="auto" w:fill="auto"/>
          </w:tcPr>
          <w:p w14:paraId="6F718A14" w14:textId="77777777" w:rsidR="000E7C76" w:rsidRPr="00256982" w:rsidRDefault="000E7C76" w:rsidP="000E7C76">
            <w:pPr>
              <w:pStyle w:val="TableText"/>
              <w:spacing w:before="50" w:after="50"/>
            </w:pPr>
            <w:r w:rsidRPr="00256982">
              <w:t>2011</w:t>
            </w:r>
          </w:p>
        </w:tc>
        <w:tc>
          <w:tcPr>
            <w:tcW w:w="2503" w:type="dxa"/>
            <w:shd w:val="clear" w:color="auto" w:fill="auto"/>
          </w:tcPr>
          <w:p w14:paraId="71CB18ED" w14:textId="77777777" w:rsidR="000E7C76" w:rsidRPr="00256982" w:rsidRDefault="000E7C76" w:rsidP="000E7C76">
            <w:pPr>
              <w:pStyle w:val="TableText"/>
              <w:spacing w:before="50" w:after="50"/>
              <w:ind w:right="284"/>
              <w:jc w:val="right"/>
              <w:rPr>
                <w:szCs w:val="22"/>
              </w:rPr>
            </w:pPr>
            <w:r w:rsidRPr="00256982">
              <w:t>17,201</w:t>
            </w:r>
          </w:p>
        </w:tc>
        <w:tc>
          <w:tcPr>
            <w:tcW w:w="1479" w:type="dxa"/>
            <w:shd w:val="clear" w:color="auto" w:fill="auto"/>
          </w:tcPr>
          <w:p w14:paraId="178824A0" w14:textId="77777777" w:rsidR="000E7C76" w:rsidRPr="00256982" w:rsidRDefault="000E7C76" w:rsidP="000E7C76">
            <w:pPr>
              <w:pStyle w:val="TableText"/>
              <w:spacing w:before="50" w:after="50"/>
              <w:ind w:right="284"/>
              <w:jc w:val="right"/>
              <w:rPr>
                <w:szCs w:val="22"/>
              </w:rPr>
            </w:pPr>
            <w:r w:rsidRPr="00256982">
              <w:t>1,751</w:t>
            </w:r>
          </w:p>
        </w:tc>
        <w:tc>
          <w:tcPr>
            <w:tcW w:w="1479" w:type="dxa"/>
            <w:shd w:val="clear" w:color="auto" w:fill="auto"/>
          </w:tcPr>
          <w:p w14:paraId="5CF1D096" w14:textId="77777777" w:rsidR="000E7C76" w:rsidRPr="00256982" w:rsidRDefault="000E7C76" w:rsidP="000E7C76">
            <w:pPr>
              <w:pStyle w:val="TableText"/>
              <w:spacing w:before="50" w:after="50"/>
              <w:ind w:right="284"/>
              <w:jc w:val="right"/>
              <w:rPr>
                <w:szCs w:val="22"/>
              </w:rPr>
            </w:pPr>
            <w:r w:rsidRPr="00256982">
              <w:t>2,205</w:t>
            </w:r>
          </w:p>
        </w:tc>
        <w:tc>
          <w:tcPr>
            <w:tcW w:w="2171" w:type="dxa"/>
            <w:shd w:val="clear" w:color="auto" w:fill="auto"/>
          </w:tcPr>
          <w:p w14:paraId="43DBE8C1" w14:textId="77777777" w:rsidR="000E7C76" w:rsidRPr="00256982" w:rsidRDefault="000E7C76" w:rsidP="000E7C76">
            <w:pPr>
              <w:pStyle w:val="TableText"/>
              <w:spacing w:before="50" w:after="50"/>
              <w:ind w:right="284"/>
              <w:jc w:val="right"/>
              <w:rPr>
                <w:szCs w:val="22"/>
              </w:rPr>
            </w:pPr>
            <w:r w:rsidRPr="00256982">
              <w:t>655,005</w:t>
            </w:r>
          </w:p>
        </w:tc>
      </w:tr>
      <w:tr w:rsidR="000E7C76" w:rsidRPr="00256982" w14:paraId="5A8CFDD7" w14:textId="77777777" w:rsidTr="000E7C76">
        <w:tc>
          <w:tcPr>
            <w:tcW w:w="873" w:type="dxa"/>
            <w:tcBorders>
              <w:bottom w:val="single" w:sz="4" w:space="0" w:color="2E74B5"/>
            </w:tcBorders>
            <w:shd w:val="clear" w:color="auto" w:fill="auto"/>
          </w:tcPr>
          <w:p w14:paraId="63B2FC29" w14:textId="77777777" w:rsidR="000E7C76" w:rsidRPr="00256982" w:rsidRDefault="000E7C76" w:rsidP="000E7C76">
            <w:pPr>
              <w:pStyle w:val="TableText"/>
              <w:spacing w:before="50" w:after="50"/>
            </w:pPr>
            <w:r w:rsidRPr="00256982">
              <w:t>2012</w:t>
            </w:r>
          </w:p>
        </w:tc>
        <w:tc>
          <w:tcPr>
            <w:tcW w:w="2503" w:type="dxa"/>
            <w:tcBorders>
              <w:bottom w:val="single" w:sz="4" w:space="0" w:color="2E74B5"/>
            </w:tcBorders>
            <w:shd w:val="clear" w:color="auto" w:fill="auto"/>
          </w:tcPr>
          <w:p w14:paraId="64809539" w14:textId="77777777" w:rsidR="000E7C76" w:rsidRPr="00256982" w:rsidRDefault="000E7C76" w:rsidP="000E7C76">
            <w:pPr>
              <w:pStyle w:val="TableText"/>
              <w:spacing w:before="50" w:after="50"/>
              <w:ind w:right="284"/>
              <w:jc w:val="right"/>
              <w:rPr>
                <w:szCs w:val="22"/>
              </w:rPr>
            </w:pPr>
            <w:r w:rsidRPr="00256982">
              <w:t>15,506</w:t>
            </w:r>
          </w:p>
        </w:tc>
        <w:tc>
          <w:tcPr>
            <w:tcW w:w="1479" w:type="dxa"/>
            <w:tcBorders>
              <w:bottom w:val="single" w:sz="4" w:space="0" w:color="2E74B5"/>
            </w:tcBorders>
            <w:shd w:val="clear" w:color="auto" w:fill="auto"/>
          </w:tcPr>
          <w:p w14:paraId="33E98DDD" w14:textId="77777777" w:rsidR="000E7C76" w:rsidRPr="00256982" w:rsidRDefault="000E7C76" w:rsidP="000E7C76">
            <w:pPr>
              <w:pStyle w:val="TableText"/>
              <w:spacing w:before="50" w:after="50"/>
              <w:ind w:right="284"/>
              <w:jc w:val="right"/>
              <w:rPr>
                <w:szCs w:val="22"/>
              </w:rPr>
            </w:pPr>
            <w:r w:rsidRPr="00256982">
              <w:t>1,782</w:t>
            </w:r>
          </w:p>
        </w:tc>
        <w:tc>
          <w:tcPr>
            <w:tcW w:w="1479" w:type="dxa"/>
            <w:tcBorders>
              <w:bottom w:val="single" w:sz="4" w:space="0" w:color="2E74B5"/>
            </w:tcBorders>
            <w:shd w:val="clear" w:color="auto" w:fill="auto"/>
          </w:tcPr>
          <w:p w14:paraId="21F42F2E" w14:textId="77777777" w:rsidR="000E7C76" w:rsidRPr="00256982" w:rsidRDefault="000E7C76" w:rsidP="000E7C76">
            <w:pPr>
              <w:pStyle w:val="TableText"/>
              <w:spacing w:before="50" w:after="50"/>
              <w:ind w:right="284"/>
              <w:jc w:val="right"/>
              <w:rPr>
                <w:szCs w:val="22"/>
              </w:rPr>
            </w:pPr>
            <w:r w:rsidRPr="00256982">
              <w:t>1,419</w:t>
            </w:r>
          </w:p>
        </w:tc>
        <w:tc>
          <w:tcPr>
            <w:tcW w:w="2171" w:type="dxa"/>
            <w:tcBorders>
              <w:bottom w:val="single" w:sz="4" w:space="0" w:color="2E74B5"/>
            </w:tcBorders>
            <w:shd w:val="clear" w:color="auto" w:fill="auto"/>
          </w:tcPr>
          <w:p w14:paraId="2FC2ADA9" w14:textId="77777777" w:rsidR="000E7C76" w:rsidRPr="00256982" w:rsidRDefault="000E7C76" w:rsidP="000E7C76">
            <w:pPr>
              <w:pStyle w:val="TableText"/>
              <w:spacing w:before="50" w:after="50"/>
              <w:ind w:right="284"/>
              <w:jc w:val="right"/>
              <w:rPr>
                <w:szCs w:val="22"/>
              </w:rPr>
            </w:pPr>
            <w:r w:rsidRPr="00256982">
              <w:t>669,092</w:t>
            </w:r>
          </w:p>
        </w:tc>
      </w:tr>
      <w:tr w:rsidR="000E7C76" w:rsidRPr="00256982" w14:paraId="500DA302" w14:textId="77777777" w:rsidTr="000E7C76">
        <w:tc>
          <w:tcPr>
            <w:tcW w:w="873" w:type="dxa"/>
            <w:shd w:val="clear" w:color="auto" w:fill="auto"/>
          </w:tcPr>
          <w:p w14:paraId="6DF30BF3" w14:textId="77777777" w:rsidR="000E7C76" w:rsidRPr="00256982" w:rsidRDefault="000E7C76" w:rsidP="000E7C76">
            <w:pPr>
              <w:pStyle w:val="TableText"/>
              <w:spacing w:before="50" w:after="50"/>
            </w:pPr>
            <w:r w:rsidRPr="00256982">
              <w:t>2013</w:t>
            </w:r>
          </w:p>
        </w:tc>
        <w:tc>
          <w:tcPr>
            <w:tcW w:w="2503" w:type="dxa"/>
            <w:shd w:val="clear" w:color="auto" w:fill="auto"/>
          </w:tcPr>
          <w:p w14:paraId="201E6A3B" w14:textId="77777777" w:rsidR="000E7C76" w:rsidRPr="00256982" w:rsidRDefault="000E7C76" w:rsidP="000E7C76">
            <w:pPr>
              <w:pStyle w:val="TableText"/>
              <w:spacing w:before="50" w:after="50"/>
              <w:ind w:right="284"/>
              <w:jc w:val="right"/>
            </w:pPr>
            <w:r w:rsidRPr="00256982">
              <w:t>4,078</w:t>
            </w:r>
          </w:p>
        </w:tc>
        <w:tc>
          <w:tcPr>
            <w:tcW w:w="1479" w:type="dxa"/>
            <w:shd w:val="clear" w:color="auto" w:fill="auto"/>
          </w:tcPr>
          <w:p w14:paraId="49DE2423" w14:textId="77777777" w:rsidR="000E7C76" w:rsidRPr="00256982" w:rsidRDefault="000E7C76" w:rsidP="000E7C76">
            <w:pPr>
              <w:pStyle w:val="TableText"/>
              <w:spacing w:before="50" w:after="50"/>
              <w:ind w:right="284"/>
              <w:jc w:val="right"/>
            </w:pPr>
            <w:r w:rsidRPr="00256982">
              <w:t>3,488</w:t>
            </w:r>
          </w:p>
        </w:tc>
        <w:tc>
          <w:tcPr>
            <w:tcW w:w="1479" w:type="dxa"/>
            <w:shd w:val="clear" w:color="auto" w:fill="auto"/>
          </w:tcPr>
          <w:p w14:paraId="6A1D3039" w14:textId="77777777" w:rsidR="000E7C76" w:rsidRPr="00256982" w:rsidRDefault="000E7C76" w:rsidP="000E7C76">
            <w:pPr>
              <w:pStyle w:val="TableText"/>
              <w:spacing w:before="50" w:after="50"/>
              <w:ind w:right="284"/>
              <w:jc w:val="right"/>
            </w:pPr>
            <w:r w:rsidRPr="00256982">
              <w:t>3,063</w:t>
            </w:r>
          </w:p>
        </w:tc>
        <w:tc>
          <w:tcPr>
            <w:tcW w:w="2171" w:type="dxa"/>
            <w:shd w:val="clear" w:color="auto" w:fill="auto"/>
          </w:tcPr>
          <w:p w14:paraId="7CCFEEEB" w14:textId="77777777" w:rsidR="000E7C76" w:rsidRPr="00256982" w:rsidRDefault="000E7C76" w:rsidP="000E7C76">
            <w:pPr>
              <w:pStyle w:val="TableText"/>
              <w:spacing w:before="50" w:after="50"/>
              <w:ind w:right="284"/>
              <w:jc w:val="right"/>
            </w:pPr>
            <w:r w:rsidRPr="00256982">
              <w:t>670,107</w:t>
            </w:r>
          </w:p>
        </w:tc>
      </w:tr>
      <w:tr w:rsidR="000E7C76" w:rsidRPr="00256982" w14:paraId="20348587" w14:textId="77777777" w:rsidTr="000E7C76">
        <w:tc>
          <w:tcPr>
            <w:tcW w:w="873" w:type="dxa"/>
            <w:shd w:val="clear" w:color="auto" w:fill="auto"/>
          </w:tcPr>
          <w:p w14:paraId="36336476" w14:textId="77777777" w:rsidR="000E7C76" w:rsidRPr="00256982" w:rsidRDefault="000E7C76" w:rsidP="000E7C76">
            <w:pPr>
              <w:pStyle w:val="TableText"/>
              <w:spacing w:before="50" w:after="50"/>
            </w:pPr>
            <w:r w:rsidRPr="00256982">
              <w:t>2014</w:t>
            </w:r>
          </w:p>
        </w:tc>
        <w:tc>
          <w:tcPr>
            <w:tcW w:w="2503" w:type="dxa"/>
            <w:shd w:val="clear" w:color="auto" w:fill="auto"/>
          </w:tcPr>
          <w:p w14:paraId="6CA1C972" w14:textId="77777777" w:rsidR="000E7C76" w:rsidRPr="00256982" w:rsidRDefault="000E7C76" w:rsidP="000E7C76">
            <w:pPr>
              <w:pStyle w:val="TableText"/>
              <w:spacing w:before="50" w:after="50"/>
              <w:ind w:right="284"/>
              <w:jc w:val="right"/>
            </w:pPr>
            <w:r w:rsidRPr="00256982">
              <w:t>2,957</w:t>
            </w:r>
          </w:p>
        </w:tc>
        <w:tc>
          <w:tcPr>
            <w:tcW w:w="1479" w:type="dxa"/>
            <w:shd w:val="clear" w:color="auto" w:fill="auto"/>
          </w:tcPr>
          <w:p w14:paraId="15BA1EAA" w14:textId="77777777" w:rsidR="000E7C76" w:rsidRPr="00256982" w:rsidRDefault="000E7C76" w:rsidP="000E7C76">
            <w:pPr>
              <w:pStyle w:val="TableText"/>
              <w:spacing w:before="50" w:after="50"/>
              <w:ind w:right="284"/>
              <w:jc w:val="right"/>
            </w:pPr>
            <w:r w:rsidRPr="00256982">
              <w:t>4,474</w:t>
            </w:r>
          </w:p>
        </w:tc>
        <w:tc>
          <w:tcPr>
            <w:tcW w:w="1479" w:type="dxa"/>
            <w:shd w:val="clear" w:color="auto" w:fill="auto"/>
          </w:tcPr>
          <w:p w14:paraId="20372A2A" w14:textId="77777777" w:rsidR="000E7C76" w:rsidRPr="00256982" w:rsidRDefault="000E7C76" w:rsidP="000E7C76">
            <w:pPr>
              <w:pStyle w:val="TableText"/>
              <w:spacing w:before="50" w:after="50"/>
              <w:ind w:right="284"/>
              <w:jc w:val="right"/>
            </w:pPr>
            <w:r w:rsidRPr="00256982">
              <w:t>1,226</w:t>
            </w:r>
          </w:p>
        </w:tc>
        <w:tc>
          <w:tcPr>
            <w:tcW w:w="2171" w:type="dxa"/>
            <w:shd w:val="clear" w:color="auto" w:fill="auto"/>
          </w:tcPr>
          <w:p w14:paraId="7F594EE4" w14:textId="77777777" w:rsidR="000E7C76" w:rsidRPr="00256982" w:rsidRDefault="000E7C76" w:rsidP="000E7C76">
            <w:pPr>
              <w:pStyle w:val="TableText"/>
              <w:spacing w:before="50" w:after="50"/>
              <w:ind w:right="284"/>
              <w:jc w:val="right"/>
            </w:pPr>
            <w:r w:rsidRPr="00256982">
              <w:t>671,838</w:t>
            </w:r>
          </w:p>
        </w:tc>
      </w:tr>
      <w:tr w:rsidR="000E7C76" w:rsidRPr="00256982" w14:paraId="04356E35" w14:textId="77777777" w:rsidTr="000E7C76">
        <w:tc>
          <w:tcPr>
            <w:tcW w:w="873" w:type="dxa"/>
            <w:shd w:val="clear" w:color="auto" w:fill="auto"/>
          </w:tcPr>
          <w:p w14:paraId="19F359E5" w14:textId="77777777" w:rsidR="000E7C76" w:rsidRPr="00256982" w:rsidRDefault="000E7C76" w:rsidP="000E7C76">
            <w:pPr>
              <w:pStyle w:val="Tableboldblue"/>
              <w:spacing w:before="50" w:after="50"/>
              <w:rPr>
                <w:bCs/>
              </w:rPr>
            </w:pPr>
            <w:r w:rsidRPr="00256982">
              <w:rPr>
                <w:b w:val="0"/>
                <w:color w:val="auto"/>
                <w:szCs w:val="20"/>
              </w:rPr>
              <w:t>2015</w:t>
            </w:r>
            <w:r w:rsidRPr="00256982">
              <w:rPr>
                <w:vertAlign w:val="superscript"/>
              </w:rPr>
              <w:t xml:space="preserve"> </w:t>
            </w:r>
          </w:p>
        </w:tc>
        <w:tc>
          <w:tcPr>
            <w:tcW w:w="2503" w:type="dxa"/>
            <w:shd w:val="clear" w:color="auto" w:fill="auto"/>
          </w:tcPr>
          <w:p w14:paraId="27CC7578" w14:textId="77777777" w:rsidR="000E7C76" w:rsidRPr="00256982" w:rsidRDefault="000E7C76" w:rsidP="000E7C76">
            <w:pPr>
              <w:pStyle w:val="TableText"/>
              <w:spacing w:before="50" w:after="50"/>
              <w:ind w:right="284"/>
              <w:jc w:val="right"/>
            </w:pPr>
            <w:r w:rsidRPr="00256982">
              <w:t>3,397</w:t>
            </w:r>
          </w:p>
        </w:tc>
        <w:tc>
          <w:tcPr>
            <w:tcW w:w="1479" w:type="dxa"/>
            <w:shd w:val="clear" w:color="auto" w:fill="auto"/>
          </w:tcPr>
          <w:p w14:paraId="69C336D0" w14:textId="77777777" w:rsidR="000E7C76" w:rsidRPr="00256982" w:rsidRDefault="000E7C76" w:rsidP="000E7C76">
            <w:pPr>
              <w:pStyle w:val="Tableboldblue"/>
              <w:spacing w:before="50" w:after="50"/>
              <w:ind w:right="284"/>
              <w:jc w:val="right"/>
              <w:rPr>
                <w:b w:val="0"/>
                <w:color w:val="auto"/>
                <w:szCs w:val="20"/>
              </w:rPr>
            </w:pPr>
            <w:r w:rsidRPr="00256982">
              <w:rPr>
                <w:b w:val="0"/>
                <w:color w:val="auto"/>
              </w:rPr>
              <w:t>4,839</w:t>
            </w:r>
          </w:p>
        </w:tc>
        <w:tc>
          <w:tcPr>
            <w:tcW w:w="1479" w:type="dxa"/>
            <w:shd w:val="clear" w:color="auto" w:fill="auto"/>
          </w:tcPr>
          <w:p w14:paraId="011AA893" w14:textId="77777777" w:rsidR="000E7C76" w:rsidRPr="00256982" w:rsidRDefault="000E7C76" w:rsidP="000E7C76">
            <w:pPr>
              <w:pStyle w:val="Tableboldblue"/>
              <w:spacing w:before="50" w:after="50"/>
              <w:ind w:right="284"/>
              <w:jc w:val="right"/>
              <w:rPr>
                <w:b w:val="0"/>
                <w:color w:val="auto"/>
                <w:szCs w:val="20"/>
              </w:rPr>
            </w:pPr>
            <w:r w:rsidRPr="00256982">
              <w:rPr>
                <w:b w:val="0"/>
                <w:color w:val="auto"/>
              </w:rPr>
              <w:t>1,564</w:t>
            </w:r>
          </w:p>
        </w:tc>
        <w:tc>
          <w:tcPr>
            <w:tcW w:w="2171" w:type="dxa"/>
            <w:shd w:val="clear" w:color="auto" w:fill="auto"/>
          </w:tcPr>
          <w:p w14:paraId="76C1CF2A" w14:textId="77777777" w:rsidR="000E7C76" w:rsidRPr="00256982" w:rsidRDefault="000E7C76" w:rsidP="000E7C76">
            <w:pPr>
              <w:pStyle w:val="Tableboldblue"/>
              <w:spacing w:before="50" w:after="50"/>
              <w:ind w:right="284"/>
              <w:jc w:val="right"/>
              <w:rPr>
                <w:b w:val="0"/>
                <w:color w:val="auto"/>
                <w:szCs w:val="20"/>
              </w:rPr>
            </w:pPr>
            <w:r w:rsidRPr="00256982">
              <w:rPr>
                <w:b w:val="0"/>
                <w:color w:val="auto"/>
              </w:rPr>
              <w:t>673,671</w:t>
            </w:r>
          </w:p>
        </w:tc>
      </w:tr>
      <w:tr w:rsidR="000E7C76" w:rsidRPr="00256982" w14:paraId="00079FD9" w14:textId="77777777" w:rsidTr="000E7C76">
        <w:tc>
          <w:tcPr>
            <w:tcW w:w="873" w:type="dxa"/>
            <w:shd w:val="clear" w:color="auto" w:fill="auto"/>
          </w:tcPr>
          <w:p w14:paraId="10D18E25" w14:textId="6C4F2840" w:rsidR="000E7C76" w:rsidRPr="00256982" w:rsidRDefault="000E7C76" w:rsidP="00ED3628">
            <w:pPr>
              <w:pStyle w:val="Tableboldblue"/>
              <w:spacing w:before="50" w:after="50"/>
              <w:jc w:val="center"/>
              <w:rPr>
                <w:b w:val="0"/>
                <w:bCs/>
                <w:color w:val="auto"/>
              </w:rPr>
            </w:pPr>
            <w:r w:rsidRPr="00256982">
              <w:rPr>
                <w:b w:val="0"/>
                <w:bCs/>
                <w:color w:val="auto"/>
              </w:rPr>
              <w:t>2016</w:t>
            </w:r>
          </w:p>
        </w:tc>
        <w:tc>
          <w:tcPr>
            <w:tcW w:w="2503" w:type="dxa"/>
            <w:shd w:val="clear" w:color="auto" w:fill="auto"/>
          </w:tcPr>
          <w:p w14:paraId="5246DF55" w14:textId="77777777" w:rsidR="000E7C76" w:rsidRPr="00256982" w:rsidRDefault="000E7C76" w:rsidP="000E7C76">
            <w:pPr>
              <w:pStyle w:val="TableText"/>
              <w:spacing w:before="50" w:after="50"/>
              <w:ind w:right="284"/>
              <w:jc w:val="right"/>
            </w:pPr>
            <w:r w:rsidRPr="00256982">
              <w:t>2,958</w:t>
            </w:r>
          </w:p>
        </w:tc>
        <w:tc>
          <w:tcPr>
            <w:tcW w:w="1479" w:type="dxa"/>
            <w:shd w:val="clear" w:color="auto" w:fill="auto"/>
          </w:tcPr>
          <w:p w14:paraId="03F29B12" w14:textId="77777777" w:rsidR="000E7C76" w:rsidRPr="00256982" w:rsidRDefault="000E7C76" w:rsidP="000E7C76">
            <w:pPr>
              <w:pStyle w:val="TableText"/>
              <w:spacing w:before="50" w:after="50"/>
              <w:ind w:right="284"/>
              <w:jc w:val="right"/>
            </w:pPr>
            <w:r w:rsidRPr="00256982">
              <w:t>5,927</w:t>
            </w:r>
          </w:p>
        </w:tc>
        <w:tc>
          <w:tcPr>
            <w:tcW w:w="1479" w:type="dxa"/>
            <w:shd w:val="clear" w:color="auto" w:fill="auto"/>
          </w:tcPr>
          <w:p w14:paraId="0D33B731" w14:textId="77777777" w:rsidR="000E7C76" w:rsidRPr="00256982" w:rsidRDefault="000E7C76" w:rsidP="000E7C76">
            <w:pPr>
              <w:pStyle w:val="TableText"/>
              <w:spacing w:before="50" w:after="50"/>
              <w:ind w:right="284"/>
              <w:jc w:val="right"/>
            </w:pPr>
            <w:r w:rsidRPr="00256982">
              <w:t>1,060</w:t>
            </w:r>
          </w:p>
        </w:tc>
        <w:tc>
          <w:tcPr>
            <w:tcW w:w="2171" w:type="dxa"/>
            <w:shd w:val="clear" w:color="auto" w:fill="auto"/>
          </w:tcPr>
          <w:p w14:paraId="14078861" w14:textId="77777777" w:rsidR="000E7C76" w:rsidRPr="00256982" w:rsidRDefault="000E7C76" w:rsidP="000E7C76">
            <w:pPr>
              <w:pStyle w:val="TableText"/>
              <w:spacing w:before="50" w:after="50"/>
              <w:ind w:right="284"/>
              <w:jc w:val="right"/>
            </w:pPr>
            <w:r w:rsidRPr="00256982">
              <w:t>675,569</w:t>
            </w:r>
          </w:p>
        </w:tc>
      </w:tr>
      <w:tr w:rsidR="000E7C76" w:rsidRPr="00256982" w14:paraId="4FBC72DF" w14:textId="77777777" w:rsidTr="000E7C76">
        <w:tc>
          <w:tcPr>
            <w:tcW w:w="873" w:type="dxa"/>
            <w:shd w:val="clear" w:color="auto" w:fill="auto"/>
          </w:tcPr>
          <w:p w14:paraId="3F8BFA8F" w14:textId="77777777" w:rsidR="000E7C76" w:rsidRPr="00256982" w:rsidRDefault="000E7C76" w:rsidP="000E7C76">
            <w:pPr>
              <w:pStyle w:val="Tableboldblue"/>
              <w:spacing w:before="50" w:after="50"/>
              <w:rPr>
                <w:b w:val="0"/>
                <w:bCs/>
                <w:color w:val="auto"/>
              </w:rPr>
            </w:pPr>
            <w:r w:rsidRPr="00256982">
              <w:rPr>
                <w:b w:val="0"/>
                <w:bCs/>
                <w:color w:val="auto"/>
              </w:rPr>
              <w:t>2017</w:t>
            </w:r>
            <w:r w:rsidRPr="00256982">
              <w:rPr>
                <w:b w:val="0"/>
                <w:color w:val="auto"/>
                <w:vertAlign w:val="superscript"/>
              </w:rPr>
              <w:t xml:space="preserve"> P</w:t>
            </w:r>
          </w:p>
        </w:tc>
        <w:tc>
          <w:tcPr>
            <w:tcW w:w="2503" w:type="dxa"/>
            <w:shd w:val="clear" w:color="auto" w:fill="auto"/>
          </w:tcPr>
          <w:p w14:paraId="781818AA" w14:textId="77777777" w:rsidR="000E7C76" w:rsidRPr="00256982" w:rsidRDefault="000E7C76" w:rsidP="000E7C76">
            <w:pPr>
              <w:pStyle w:val="TableText"/>
              <w:spacing w:before="50" w:after="50"/>
              <w:ind w:right="284"/>
              <w:jc w:val="right"/>
            </w:pPr>
            <w:r w:rsidRPr="00256982">
              <w:t>4,979</w:t>
            </w:r>
          </w:p>
        </w:tc>
        <w:tc>
          <w:tcPr>
            <w:tcW w:w="1479" w:type="dxa"/>
            <w:shd w:val="clear" w:color="auto" w:fill="auto"/>
          </w:tcPr>
          <w:p w14:paraId="4F771BA2" w14:textId="77777777" w:rsidR="000E7C76" w:rsidRPr="00256982" w:rsidRDefault="000E7C76" w:rsidP="000E7C76">
            <w:pPr>
              <w:pStyle w:val="TableText"/>
              <w:spacing w:before="50" w:after="50"/>
              <w:ind w:right="284"/>
              <w:jc w:val="right"/>
            </w:pPr>
            <w:r w:rsidRPr="00256982">
              <w:t>6,995</w:t>
            </w:r>
          </w:p>
        </w:tc>
        <w:tc>
          <w:tcPr>
            <w:tcW w:w="1479" w:type="dxa"/>
            <w:shd w:val="clear" w:color="auto" w:fill="auto"/>
          </w:tcPr>
          <w:p w14:paraId="276BE2A8" w14:textId="77777777" w:rsidR="000E7C76" w:rsidRPr="00256982" w:rsidRDefault="000E7C76" w:rsidP="000E7C76">
            <w:pPr>
              <w:pStyle w:val="TableText"/>
              <w:spacing w:before="50" w:after="50"/>
              <w:ind w:right="284"/>
              <w:jc w:val="right"/>
            </w:pPr>
            <w:r w:rsidRPr="00256982">
              <w:t>462</w:t>
            </w:r>
          </w:p>
        </w:tc>
        <w:tc>
          <w:tcPr>
            <w:tcW w:w="2171" w:type="dxa"/>
            <w:shd w:val="clear" w:color="auto" w:fill="auto"/>
          </w:tcPr>
          <w:p w14:paraId="70E30179" w14:textId="77777777" w:rsidR="000E7C76" w:rsidRPr="00256982" w:rsidRDefault="000E7C76" w:rsidP="000E7C76">
            <w:pPr>
              <w:pStyle w:val="TableText"/>
              <w:spacing w:before="50" w:after="50"/>
              <w:ind w:right="284"/>
              <w:jc w:val="right"/>
            </w:pPr>
            <w:r w:rsidRPr="00256982">
              <w:t>680,086</w:t>
            </w:r>
          </w:p>
        </w:tc>
      </w:tr>
      <w:tr w:rsidR="000E7C76" w:rsidRPr="00256982" w14:paraId="47F4ECD3" w14:textId="77777777" w:rsidTr="000E7C76">
        <w:tc>
          <w:tcPr>
            <w:tcW w:w="873" w:type="dxa"/>
            <w:shd w:val="clear" w:color="auto" w:fill="auto"/>
          </w:tcPr>
          <w:p w14:paraId="0B8FAEDB" w14:textId="77777777" w:rsidR="000E7C76" w:rsidRPr="00256982" w:rsidRDefault="000E7C76" w:rsidP="000E7C76">
            <w:pPr>
              <w:pStyle w:val="Tableboldblue"/>
              <w:spacing w:before="50" w:after="50"/>
              <w:rPr>
                <w:bCs/>
              </w:rPr>
            </w:pPr>
            <w:r w:rsidRPr="00256982">
              <w:rPr>
                <w:bCs/>
              </w:rPr>
              <w:t>Total</w:t>
            </w:r>
          </w:p>
        </w:tc>
        <w:tc>
          <w:tcPr>
            <w:tcW w:w="2503" w:type="dxa"/>
            <w:shd w:val="clear" w:color="auto" w:fill="auto"/>
          </w:tcPr>
          <w:p w14:paraId="2233B2DF" w14:textId="77777777" w:rsidR="000E7C76" w:rsidRPr="00256982" w:rsidRDefault="000E7C76" w:rsidP="000E7C76">
            <w:pPr>
              <w:pStyle w:val="Tableboldblue"/>
              <w:spacing w:before="50" w:after="50"/>
              <w:ind w:right="284"/>
              <w:jc w:val="right"/>
            </w:pPr>
            <w:r w:rsidRPr="00256982">
              <w:t>710,432</w:t>
            </w:r>
          </w:p>
        </w:tc>
        <w:tc>
          <w:tcPr>
            <w:tcW w:w="1479" w:type="dxa"/>
            <w:shd w:val="clear" w:color="auto" w:fill="auto"/>
          </w:tcPr>
          <w:p w14:paraId="3461C80A" w14:textId="77777777" w:rsidR="000E7C76" w:rsidRPr="00256982" w:rsidRDefault="000E7C76" w:rsidP="000E7C76">
            <w:pPr>
              <w:pStyle w:val="Tableboldblue"/>
              <w:spacing w:before="50" w:after="50"/>
              <w:ind w:right="284"/>
              <w:jc w:val="right"/>
            </w:pPr>
            <w:r w:rsidRPr="00256982">
              <w:t>34,044</w:t>
            </w:r>
          </w:p>
        </w:tc>
        <w:tc>
          <w:tcPr>
            <w:tcW w:w="1479" w:type="dxa"/>
            <w:shd w:val="clear" w:color="auto" w:fill="auto"/>
          </w:tcPr>
          <w:p w14:paraId="2643F5DC" w14:textId="77777777" w:rsidR="000E7C76" w:rsidRPr="00256982" w:rsidRDefault="000E7C76" w:rsidP="000E7C76">
            <w:pPr>
              <w:pStyle w:val="Tableboldblue"/>
              <w:spacing w:before="50" w:after="50"/>
              <w:ind w:right="284"/>
              <w:jc w:val="right"/>
            </w:pPr>
            <w:r w:rsidRPr="00256982">
              <w:t>30,347</w:t>
            </w:r>
          </w:p>
        </w:tc>
        <w:tc>
          <w:tcPr>
            <w:tcW w:w="2171" w:type="dxa"/>
            <w:shd w:val="clear" w:color="auto" w:fill="auto"/>
          </w:tcPr>
          <w:p w14:paraId="183BC4AD" w14:textId="77777777" w:rsidR="000E7C76" w:rsidRPr="00256982" w:rsidRDefault="000E7C76" w:rsidP="000E7C76">
            <w:pPr>
              <w:pStyle w:val="Tableboldblue"/>
              <w:spacing w:before="50" w:after="50"/>
              <w:ind w:right="284"/>
              <w:jc w:val="right"/>
            </w:pPr>
            <w:r w:rsidRPr="00256982">
              <w:t>680,086</w:t>
            </w:r>
          </w:p>
        </w:tc>
      </w:tr>
    </w:tbl>
    <w:p w14:paraId="1A2E3B8A" w14:textId="77777777" w:rsidR="000E7C76" w:rsidRPr="00256982" w:rsidRDefault="000E7C76" w:rsidP="000E7C76">
      <w:pPr>
        <w:pStyle w:val="Noteundertable"/>
      </w:pPr>
      <w:r w:rsidRPr="00256982">
        <w:rPr>
          <w:b/>
        </w:rPr>
        <w:t>Note</w:t>
      </w:r>
      <w:r w:rsidRPr="00256982">
        <w:t xml:space="preserve">: </w:t>
      </w:r>
      <w:r w:rsidRPr="00256982">
        <w:tab/>
        <w:t>P = provisional figure;</w:t>
      </w:r>
      <w:r w:rsidRPr="00256982" w:rsidDel="0054499F">
        <w:t xml:space="preserve"> </w:t>
      </w:r>
      <w:r w:rsidRPr="00256982">
        <w:rPr>
          <w:vertAlign w:val="superscript"/>
        </w:rPr>
        <w:t>+</w:t>
      </w:r>
      <w:r w:rsidRPr="00256982">
        <w:t xml:space="preserve"> = gross area. Columns may not total due to rounding. Afforestation differs from that in chapter 6 due to carbon equivalent forests being reported separately.</w:t>
      </w:r>
    </w:p>
    <w:p w14:paraId="7AAECB49" w14:textId="77777777" w:rsidR="000E7C76" w:rsidRPr="00256982" w:rsidRDefault="000E7C76" w:rsidP="000E7C76">
      <w:pPr>
        <w:pStyle w:val="BodyText"/>
        <w:rPr>
          <w:spacing w:val="-2"/>
        </w:rPr>
      </w:pPr>
      <w:r w:rsidRPr="00256982">
        <w:rPr>
          <w:spacing w:val="-2"/>
        </w:rPr>
        <w:t xml:space="preserve">Post-1989 forests include a relatively small component of natural forest. Table 11.3.2 provides synthesised information on the correspondence between forest land categories (i.e., the area of planted forest versus natural forest as presented in common reporting format (CRF) table 4.A) and the area of </w:t>
      </w:r>
      <w:r w:rsidRPr="00256982">
        <w:rPr>
          <w:i/>
          <w:spacing w:val="-2"/>
        </w:rPr>
        <w:t>Afforestation and reforestation</w:t>
      </w:r>
      <w:r w:rsidRPr="00256982">
        <w:rPr>
          <w:spacing w:val="-2"/>
        </w:rPr>
        <w:t xml:space="preserve"> reported in CRF table 4(KP-1)A.1. This table has been added to address expert review team recommendation KL.5 (FCCC/ARR/2017/NZL).</w:t>
      </w:r>
    </w:p>
    <w:p w14:paraId="1EB9AB87" w14:textId="77777777" w:rsidR="000E7C76" w:rsidRPr="00256982" w:rsidRDefault="000E7C76" w:rsidP="000E7C76">
      <w:pPr>
        <w:pStyle w:val="Table"/>
      </w:pPr>
      <w:bookmarkStart w:id="2705" w:name="_Toc5269629"/>
      <w:r w:rsidRPr="00256982">
        <w:t>Table 11.3.2</w:t>
      </w:r>
      <w:r w:rsidRPr="00256982">
        <w:tab/>
        <w:t>New Zealand’s estimated annual area under Afforestation and reforestation</w:t>
      </w:r>
      <w:r w:rsidRPr="00256982">
        <w:rPr>
          <w:vertAlign w:val="subscript"/>
        </w:rPr>
        <w:t xml:space="preserve"> </w:t>
      </w:r>
      <w:r w:rsidRPr="00256982">
        <w:t>from 2013 to 2017</w:t>
      </w:r>
      <w:bookmarkEnd w:id="2705"/>
    </w:p>
    <w:tbl>
      <w:tblPr>
        <w:tblW w:w="8562" w:type="dxa"/>
        <w:tblInd w:w="108" w:type="dxa"/>
        <w:tblLook w:val="04A0" w:firstRow="1" w:lastRow="0" w:firstColumn="1" w:lastColumn="0" w:noHBand="0" w:noVBand="1"/>
      </w:tblPr>
      <w:tblGrid>
        <w:gridCol w:w="1261"/>
        <w:gridCol w:w="2127"/>
        <w:gridCol w:w="2127"/>
        <w:gridCol w:w="3047"/>
      </w:tblGrid>
      <w:tr w:rsidR="00ED3628" w:rsidRPr="00256982" w14:paraId="24FDD020" w14:textId="77777777" w:rsidTr="00ED3628">
        <w:tc>
          <w:tcPr>
            <w:tcW w:w="6521" w:type="dxa"/>
            <w:gridSpan w:val="4"/>
            <w:tcBorders>
              <w:top w:val="single" w:sz="8" w:space="0" w:color="365F91"/>
              <w:left w:val="nil"/>
              <w:bottom w:val="nil"/>
              <w:right w:val="nil"/>
            </w:tcBorders>
            <w:shd w:val="clear" w:color="000000" w:fill="365F91"/>
            <w:vAlign w:val="bottom"/>
            <w:hideMark/>
          </w:tcPr>
          <w:p w14:paraId="53F62532" w14:textId="77777777" w:rsidR="000E7C76" w:rsidRPr="00256982" w:rsidRDefault="000E7C76" w:rsidP="00ED3628">
            <w:pPr>
              <w:pStyle w:val="TableTextbold0"/>
              <w:jc w:val="center"/>
              <w:rPr>
                <w:color w:val="FFFFFF"/>
                <w:lang w:eastAsia="en-NZ"/>
              </w:rPr>
            </w:pPr>
            <w:r w:rsidRPr="00256982">
              <w:rPr>
                <w:color w:val="FFFFFF"/>
                <w:lang w:eastAsia="en-NZ"/>
              </w:rPr>
              <w:t>Area of Afforestation and reforestation of different forest types (hectares)</w:t>
            </w:r>
          </w:p>
        </w:tc>
      </w:tr>
      <w:tr w:rsidR="000E7C76" w:rsidRPr="00256982" w14:paraId="398C9B0B" w14:textId="77777777" w:rsidTr="00ED3628">
        <w:tc>
          <w:tcPr>
            <w:tcW w:w="960" w:type="dxa"/>
            <w:tcBorders>
              <w:top w:val="nil"/>
              <w:left w:val="nil"/>
              <w:bottom w:val="nil"/>
              <w:right w:val="nil"/>
            </w:tcBorders>
            <w:shd w:val="clear" w:color="000000" w:fill="365F91"/>
            <w:hideMark/>
          </w:tcPr>
          <w:p w14:paraId="382610C0" w14:textId="77777777" w:rsidR="000E7C76" w:rsidRPr="00256982" w:rsidRDefault="000E7C76" w:rsidP="000E7C76">
            <w:pPr>
              <w:pStyle w:val="TableTextBold"/>
              <w:keepNext/>
              <w:spacing w:before="50" w:after="50"/>
              <w:rPr>
                <w:noProof w:val="0"/>
                <w:color w:val="FFFFFF"/>
              </w:rPr>
            </w:pPr>
            <w:r w:rsidRPr="00256982">
              <w:rPr>
                <w:noProof w:val="0"/>
                <w:color w:val="FFFFFF"/>
              </w:rPr>
              <w:t>Year</w:t>
            </w:r>
          </w:p>
        </w:tc>
        <w:tc>
          <w:tcPr>
            <w:tcW w:w="1620" w:type="dxa"/>
            <w:tcBorders>
              <w:top w:val="nil"/>
              <w:left w:val="nil"/>
              <w:bottom w:val="nil"/>
              <w:right w:val="nil"/>
            </w:tcBorders>
            <w:shd w:val="clear" w:color="000000" w:fill="365F91"/>
            <w:hideMark/>
          </w:tcPr>
          <w:p w14:paraId="275D6746" w14:textId="77777777" w:rsidR="000E7C76" w:rsidRPr="00256982" w:rsidRDefault="000E7C76" w:rsidP="000E7C76">
            <w:pPr>
              <w:pStyle w:val="TableTextBold"/>
              <w:keepNext/>
              <w:spacing w:before="50" w:after="50"/>
              <w:jc w:val="right"/>
              <w:rPr>
                <w:noProof w:val="0"/>
                <w:color w:val="FFFFFF"/>
              </w:rPr>
            </w:pPr>
            <w:r w:rsidRPr="00256982">
              <w:rPr>
                <w:noProof w:val="0"/>
                <w:color w:val="FFFFFF"/>
              </w:rPr>
              <w:t>Planted</w:t>
            </w:r>
          </w:p>
        </w:tc>
        <w:tc>
          <w:tcPr>
            <w:tcW w:w="1620" w:type="dxa"/>
            <w:tcBorders>
              <w:top w:val="single" w:sz="8" w:space="0" w:color="365F91"/>
              <w:left w:val="nil"/>
              <w:bottom w:val="nil"/>
              <w:right w:val="nil"/>
            </w:tcBorders>
            <w:shd w:val="clear" w:color="000000" w:fill="365F91"/>
            <w:hideMark/>
          </w:tcPr>
          <w:p w14:paraId="454FB3E2" w14:textId="77777777" w:rsidR="000E7C76" w:rsidRPr="00256982" w:rsidRDefault="000E7C76" w:rsidP="000E7C76">
            <w:pPr>
              <w:pStyle w:val="TableTextBold"/>
              <w:keepNext/>
              <w:spacing w:before="50" w:after="50"/>
              <w:jc w:val="right"/>
              <w:rPr>
                <w:noProof w:val="0"/>
                <w:color w:val="FFFFFF"/>
              </w:rPr>
            </w:pPr>
            <w:r w:rsidRPr="00256982">
              <w:rPr>
                <w:noProof w:val="0"/>
                <w:color w:val="FFFFFF"/>
              </w:rPr>
              <w:t>Natural</w:t>
            </w:r>
          </w:p>
        </w:tc>
        <w:tc>
          <w:tcPr>
            <w:tcW w:w="2321" w:type="dxa"/>
            <w:tcBorders>
              <w:top w:val="single" w:sz="8" w:space="0" w:color="365F91"/>
              <w:left w:val="nil"/>
              <w:bottom w:val="nil"/>
              <w:right w:val="nil"/>
            </w:tcBorders>
            <w:shd w:val="clear" w:color="000000" w:fill="365F91"/>
            <w:hideMark/>
          </w:tcPr>
          <w:p w14:paraId="1DB4BB92" w14:textId="77777777" w:rsidR="000E7C76" w:rsidRPr="00256982" w:rsidRDefault="000E7C76" w:rsidP="000E7C76">
            <w:pPr>
              <w:pStyle w:val="TableTextBold"/>
              <w:keepNext/>
              <w:spacing w:before="50" w:after="50"/>
              <w:jc w:val="right"/>
              <w:rPr>
                <w:noProof w:val="0"/>
                <w:color w:val="FFFFFF"/>
              </w:rPr>
            </w:pPr>
            <w:r w:rsidRPr="00256982">
              <w:rPr>
                <w:noProof w:val="0"/>
                <w:color w:val="FFFFFF"/>
              </w:rPr>
              <w:t>Net cumulative area</w:t>
            </w:r>
          </w:p>
        </w:tc>
      </w:tr>
      <w:tr w:rsidR="000E7C76" w:rsidRPr="00256982" w14:paraId="0A2CB6D5" w14:textId="77777777" w:rsidTr="00ED3628">
        <w:tc>
          <w:tcPr>
            <w:tcW w:w="960" w:type="dxa"/>
            <w:tcBorders>
              <w:top w:val="single" w:sz="4" w:space="0" w:color="365F91"/>
              <w:left w:val="nil"/>
              <w:bottom w:val="single" w:sz="4" w:space="0" w:color="365F91"/>
              <w:right w:val="nil"/>
            </w:tcBorders>
            <w:shd w:val="clear" w:color="auto" w:fill="auto"/>
            <w:hideMark/>
          </w:tcPr>
          <w:p w14:paraId="6224C804" w14:textId="77777777" w:rsidR="000E7C76" w:rsidRPr="00256982" w:rsidRDefault="000E7C76" w:rsidP="00593853">
            <w:pPr>
              <w:pStyle w:val="TableText"/>
              <w:spacing w:before="50" w:after="50"/>
            </w:pPr>
            <w:r w:rsidRPr="00256982">
              <w:t>2013</w:t>
            </w:r>
          </w:p>
        </w:tc>
        <w:tc>
          <w:tcPr>
            <w:tcW w:w="1620" w:type="dxa"/>
            <w:tcBorders>
              <w:top w:val="single" w:sz="4" w:space="0" w:color="365F91"/>
              <w:left w:val="nil"/>
              <w:bottom w:val="single" w:sz="4" w:space="0" w:color="365F91"/>
              <w:right w:val="nil"/>
            </w:tcBorders>
            <w:shd w:val="clear" w:color="auto" w:fill="auto"/>
            <w:vAlign w:val="center"/>
            <w:hideMark/>
          </w:tcPr>
          <w:p w14:paraId="381A252F" w14:textId="77777777" w:rsidR="000E7C76" w:rsidRPr="00256982" w:rsidRDefault="000E7C76" w:rsidP="00593853">
            <w:pPr>
              <w:pStyle w:val="TableText"/>
              <w:spacing w:before="50" w:after="50"/>
              <w:jc w:val="right"/>
            </w:pPr>
            <w:r w:rsidRPr="00256982">
              <w:t>625,768</w:t>
            </w:r>
          </w:p>
        </w:tc>
        <w:tc>
          <w:tcPr>
            <w:tcW w:w="1620" w:type="dxa"/>
            <w:tcBorders>
              <w:top w:val="single" w:sz="4" w:space="0" w:color="365F91"/>
              <w:left w:val="nil"/>
              <w:bottom w:val="single" w:sz="4" w:space="0" w:color="365F91"/>
              <w:right w:val="nil"/>
            </w:tcBorders>
            <w:shd w:val="clear" w:color="auto" w:fill="auto"/>
            <w:vAlign w:val="center"/>
            <w:hideMark/>
          </w:tcPr>
          <w:p w14:paraId="5E114CD8" w14:textId="77777777" w:rsidR="000E7C76" w:rsidRPr="00256982" w:rsidRDefault="000E7C76" w:rsidP="00593853">
            <w:pPr>
              <w:pStyle w:val="TableText"/>
              <w:spacing w:before="50" w:after="50"/>
              <w:jc w:val="right"/>
            </w:pPr>
            <w:r w:rsidRPr="00256982">
              <w:t>44,339</w:t>
            </w:r>
          </w:p>
        </w:tc>
        <w:tc>
          <w:tcPr>
            <w:tcW w:w="2321" w:type="dxa"/>
            <w:tcBorders>
              <w:top w:val="single" w:sz="4" w:space="0" w:color="365F91"/>
              <w:left w:val="nil"/>
              <w:bottom w:val="single" w:sz="4" w:space="0" w:color="365F91"/>
              <w:right w:val="nil"/>
            </w:tcBorders>
            <w:shd w:val="clear" w:color="auto" w:fill="auto"/>
            <w:vAlign w:val="center"/>
            <w:hideMark/>
          </w:tcPr>
          <w:p w14:paraId="58BDF354" w14:textId="77777777" w:rsidR="000E7C76" w:rsidRPr="00256982" w:rsidRDefault="000E7C76" w:rsidP="000E7C76">
            <w:pPr>
              <w:pStyle w:val="Tableboldblue"/>
              <w:spacing w:before="50" w:after="50"/>
              <w:ind w:right="284"/>
              <w:jc w:val="right"/>
            </w:pPr>
            <w:r w:rsidRPr="00256982">
              <w:t>670,107</w:t>
            </w:r>
          </w:p>
        </w:tc>
      </w:tr>
      <w:tr w:rsidR="000E7C76" w:rsidRPr="00256982" w14:paraId="3C0387B0" w14:textId="77777777" w:rsidTr="00ED3628">
        <w:tc>
          <w:tcPr>
            <w:tcW w:w="960" w:type="dxa"/>
            <w:tcBorders>
              <w:top w:val="nil"/>
              <w:left w:val="nil"/>
              <w:bottom w:val="single" w:sz="4" w:space="0" w:color="365F91"/>
              <w:right w:val="nil"/>
            </w:tcBorders>
            <w:shd w:val="clear" w:color="auto" w:fill="auto"/>
            <w:hideMark/>
          </w:tcPr>
          <w:p w14:paraId="706ED0A2" w14:textId="77777777" w:rsidR="000E7C76" w:rsidRPr="00256982" w:rsidRDefault="000E7C76" w:rsidP="00593853">
            <w:pPr>
              <w:pStyle w:val="TableText"/>
              <w:spacing w:before="50" w:after="50"/>
            </w:pPr>
            <w:r w:rsidRPr="00256982">
              <w:t>2014</w:t>
            </w:r>
          </w:p>
        </w:tc>
        <w:tc>
          <w:tcPr>
            <w:tcW w:w="1620" w:type="dxa"/>
            <w:tcBorders>
              <w:top w:val="nil"/>
              <w:left w:val="nil"/>
              <w:bottom w:val="single" w:sz="4" w:space="0" w:color="365F91"/>
              <w:right w:val="nil"/>
            </w:tcBorders>
            <w:shd w:val="clear" w:color="auto" w:fill="auto"/>
            <w:vAlign w:val="center"/>
            <w:hideMark/>
          </w:tcPr>
          <w:p w14:paraId="6646CD16" w14:textId="77777777" w:rsidR="000E7C76" w:rsidRPr="00256982" w:rsidRDefault="000E7C76" w:rsidP="00593853">
            <w:pPr>
              <w:pStyle w:val="TableText"/>
              <w:spacing w:before="50" w:after="50"/>
              <w:jc w:val="right"/>
            </w:pPr>
            <w:r w:rsidRPr="00256982">
              <w:t>627,429</w:t>
            </w:r>
          </w:p>
        </w:tc>
        <w:tc>
          <w:tcPr>
            <w:tcW w:w="1620" w:type="dxa"/>
            <w:tcBorders>
              <w:top w:val="nil"/>
              <w:left w:val="nil"/>
              <w:bottom w:val="single" w:sz="4" w:space="0" w:color="365F91"/>
              <w:right w:val="nil"/>
            </w:tcBorders>
            <w:shd w:val="clear" w:color="auto" w:fill="auto"/>
            <w:vAlign w:val="center"/>
            <w:hideMark/>
          </w:tcPr>
          <w:p w14:paraId="4536B71C" w14:textId="77777777" w:rsidR="000E7C76" w:rsidRPr="00256982" w:rsidRDefault="000E7C76" w:rsidP="00593853">
            <w:pPr>
              <w:pStyle w:val="TableText"/>
              <w:spacing w:before="50" w:after="50"/>
              <w:jc w:val="right"/>
            </w:pPr>
            <w:r w:rsidRPr="00256982">
              <w:t>44,409</w:t>
            </w:r>
          </w:p>
        </w:tc>
        <w:tc>
          <w:tcPr>
            <w:tcW w:w="2321" w:type="dxa"/>
            <w:tcBorders>
              <w:top w:val="nil"/>
              <w:left w:val="nil"/>
              <w:bottom w:val="single" w:sz="4" w:space="0" w:color="365F91"/>
              <w:right w:val="nil"/>
            </w:tcBorders>
            <w:shd w:val="clear" w:color="auto" w:fill="auto"/>
            <w:vAlign w:val="center"/>
            <w:hideMark/>
          </w:tcPr>
          <w:p w14:paraId="5F1B7926" w14:textId="77777777" w:rsidR="000E7C76" w:rsidRPr="00256982" w:rsidRDefault="000E7C76" w:rsidP="000E7C76">
            <w:pPr>
              <w:pStyle w:val="Tableboldblue"/>
              <w:spacing w:before="50" w:after="50"/>
              <w:ind w:right="284"/>
              <w:jc w:val="right"/>
            </w:pPr>
            <w:r w:rsidRPr="00256982">
              <w:t>671,838</w:t>
            </w:r>
          </w:p>
        </w:tc>
      </w:tr>
      <w:tr w:rsidR="000E7C76" w:rsidRPr="00256982" w14:paraId="580C34DA" w14:textId="77777777" w:rsidTr="00ED3628">
        <w:tc>
          <w:tcPr>
            <w:tcW w:w="960" w:type="dxa"/>
            <w:tcBorders>
              <w:top w:val="nil"/>
              <w:left w:val="nil"/>
              <w:bottom w:val="single" w:sz="4" w:space="0" w:color="365F91"/>
              <w:right w:val="nil"/>
            </w:tcBorders>
            <w:shd w:val="clear" w:color="auto" w:fill="auto"/>
            <w:hideMark/>
          </w:tcPr>
          <w:p w14:paraId="6E793F74" w14:textId="77777777" w:rsidR="000E7C76" w:rsidRPr="00256982" w:rsidRDefault="000E7C76" w:rsidP="00593853">
            <w:pPr>
              <w:pStyle w:val="TableText"/>
              <w:spacing w:before="50" w:after="50"/>
            </w:pPr>
            <w:r w:rsidRPr="00256982">
              <w:t>2015</w:t>
            </w:r>
          </w:p>
        </w:tc>
        <w:tc>
          <w:tcPr>
            <w:tcW w:w="1620" w:type="dxa"/>
            <w:tcBorders>
              <w:top w:val="nil"/>
              <w:left w:val="nil"/>
              <w:bottom w:val="single" w:sz="4" w:space="0" w:color="365F91"/>
              <w:right w:val="nil"/>
            </w:tcBorders>
            <w:shd w:val="clear" w:color="auto" w:fill="auto"/>
            <w:vAlign w:val="center"/>
            <w:hideMark/>
          </w:tcPr>
          <w:p w14:paraId="3C844126" w14:textId="77777777" w:rsidR="000E7C76" w:rsidRPr="00256982" w:rsidRDefault="000E7C76" w:rsidP="00593853">
            <w:pPr>
              <w:pStyle w:val="TableText"/>
              <w:spacing w:before="50" w:after="50"/>
              <w:jc w:val="right"/>
            </w:pPr>
            <w:r w:rsidRPr="00256982">
              <w:t>629,214</w:t>
            </w:r>
          </w:p>
        </w:tc>
        <w:tc>
          <w:tcPr>
            <w:tcW w:w="1620" w:type="dxa"/>
            <w:tcBorders>
              <w:top w:val="nil"/>
              <w:left w:val="nil"/>
              <w:bottom w:val="single" w:sz="4" w:space="0" w:color="365F91"/>
              <w:right w:val="nil"/>
            </w:tcBorders>
            <w:shd w:val="clear" w:color="auto" w:fill="auto"/>
            <w:vAlign w:val="center"/>
            <w:hideMark/>
          </w:tcPr>
          <w:p w14:paraId="38C419F5" w14:textId="77777777" w:rsidR="000E7C76" w:rsidRPr="00256982" w:rsidRDefault="000E7C76" w:rsidP="00593853">
            <w:pPr>
              <w:pStyle w:val="TableText"/>
              <w:spacing w:before="50" w:after="50"/>
              <w:jc w:val="right"/>
            </w:pPr>
            <w:r w:rsidRPr="00256982">
              <w:t>44,457</w:t>
            </w:r>
          </w:p>
        </w:tc>
        <w:tc>
          <w:tcPr>
            <w:tcW w:w="2321" w:type="dxa"/>
            <w:tcBorders>
              <w:top w:val="nil"/>
              <w:left w:val="nil"/>
              <w:bottom w:val="single" w:sz="4" w:space="0" w:color="365F91"/>
              <w:right w:val="nil"/>
            </w:tcBorders>
            <w:shd w:val="clear" w:color="auto" w:fill="auto"/>
            <w:vAlign w:val="center"/>
            <w:hideMark/>
          </w:tcPr>
          <w:p w14:paraId="5624ACF6" w14:textId="77777777" w:rsidR="000E7C76" w:rsidRPr="00256982" w:rsidRDefault="000E7C76" w:rsidP="000E7C76">
            <w:pPr>
              <w:pStyle w:val="Tableboldblue"/>
              <w:spacing w:before="50" w:after="50"/>
              <w:ind w:right="284"/>
              <w:jc w:val="right"/>
            </w:pPr>
            <w:r w:rsidRPr="00256982">
              <w:t>673,671</w:t>
            </w:r>
          </w:p>
        </w:tc>
      </w:tr>
      <w:tr w:rsidR="000E7C76" w:rsidRPr="00256982" w14:paraId="52120903" w14:textId="77777777" w:rsidTr="00ED3628">
        <w:tc>
          <w:tcPr>
            <w:tcW w:w="960" w:type="dxa"/>
            <w:tcBorders>
              <w:top w:val="nil"/>
              <w:left w:val="nil"/>
              <w:bottom w:val="single" w:sz="4" w:space="0" w:color="365F91"/>
              <w:right w:val="nil"/>
            </w:tcBorders>
            <w:shd w:val="clear" w:color="auto" w:fill="auto"/>
            <w:hideMark/>
          </w:tcPr>
          <w:p w14:paraId="67548714" w14:textId="77777777" w:rsidR="000E7C76" w:rsidRPr="00256982" w:rsidRDefault="000E7C76" w:rsidP="00593853">
            <w:pPr>
              <w:pStyle w:val="TableText"/>
              <w:spacing w:before="50" w:after="50"/>
            </w:pPr>
            <w:r w:rsidRPr="00256982">
              <w:t>2016</w:t>
            </w:r>
          </w:p>
        </w:tc>
        <w:tc>
          <w:tcPr>
            <w:tcW w:w="1620" w:type="dxa"/>
            <w:tcBorders>
              <w:top w:val="nil"/>
              <w:left w:val="nil"/>
              <w:bottom w:val="single" w:sz="4" w:space="0" w:color="365F91"/>
              <w:right w:val="nil"/>
            </w:tcBorders>
            <w:shd w:val="clear" w:color="auto" w:fill="auto"/>
            <w:vAlign w:val="center"/>
            <w:hideMark/>
          </w:tcPr>
          <w:p w14:paraId="30CEFC15" w14:textId="77777777" w:rsidR="000E7C76" w:rsidRPr="00256982" w:rsidRDefault="000E7C76" w:rsidP="00593853">
            <w:pPr>
              <w:pStyle w:val="TableText"/>
              <w:spacing w:before="50" w:after="50"/>
              <w:jc w:val="right"/>
            </w:pPr>
            <w:r w:rsidRPr="00256982">
              <w:t>631,827</w:t>
            </w:r>
          </w:p>
        </w:tc>
        <w:tc>
          <w:tcPr>
            <w:tcW w:w="1620" w:type="dxa"/>
            <w:tcBorders>
              <w:top w:val="nil"/>
              <w:left w:val="nil"/>
              <w:bottom w:val="single" w:sz="4" w:space="0" w:color="365F91"/>
              <w:right w:val="nil"/>
            </w:tcBorders>
            <w:shd w:val="clear" w:color="auto" w:fill="auto"/>
            <w:vAlign w:val="center"/>
            <w:hideMark/>
          </w:tcPr>
          <w:p w14:paraId="0FA98819" w14:textId="77777777" w:rsidR="000E7C76" w:rsidRPr="00256982" w:rsidRDefault="000E7C76" w:rsidP="00593853">
            <w:pPr>
              <w:pStyle w:val="TableText"/>
              <w:spacing w:before="50" w:after="50"/>
              <w:jc w:val="right"/>
            </w:pPr>
            <w:r w:rsidRPr="00256982">
              <w:t>44,538</w:t>
            </w:r>
          </w:p>
        </w:tc>
        <w:tc>
          <w:tcPr>
            <w:tcW w:w="2321" w:type="dxa"/>
            <w:tcBorders>
              <w:top w:val="nil"/>
              <w:left w:val="nil"/>
              <w:bottom w:val="single" w:sz="4" w:space="0" w:color="365F91"/>
              <w:right w:val="nil"/>
            </w:tcBorders>
            <w:shd w:val="clear" w:color="auto" w:fill="auto"/>
            <w:vAlign w:val="center"/>
            <w:hideMark/>
          </w:tcPr>
          <w:p w14:paraId="75D6F215" w14:textId="77777777" w:rsidR="000E7C76" w:rsidRPr="00256982" w:rsidRDefault="000E7C76" w:rsidP="000E7C76">
            <w:pPr>
              <w:pStyle w:val="Tableboldblue"/>
              <w:spacing w:before="50" w:after="50"/>
              <w:ind w:right="284"/>
              <w:jc w:val="right"/>
            </w:pPr>
            <w:r w:rsidRPr="00256982">
              <w:t xml:space="preserve"> 676,366</w:t>
            </w:r>
          </w:p>
        </w:tc>
      </w:tr>
      <w:tr w:rsidR="000E7C76" w:rsidRPr="00256982" w14:paraId="372140B6" w14:textId="77777777" w:rsidTr="00ED3628">
        <w:tc>
          <w:tcPr>
            <w:tcW w:w="960" w:type="dxa"/>
            <w:tcBorders>
              <w:top w:val="nil"/>
              <w:left w:val="nil"/>
              <w:bottom w:val="single" w:sz="4" w:space="0" w:color="365F91"/>
              <w:right w:val="nil"/>
            </w:tcBorders>
            <w:shd w:val="clear" w:color="auto" w:fill="auto"/>
            <w:hideMark/>
          </w:tcPr>
          <w:p w14:paraId="18F09BD2" w14:textId="77777777" w:rsidR="000E7C76" w:rsidRPr="00256982" w:rsidRDefault="000E7C76" w:rsidP="00593853">
            <w:pPr>
              <w:pStyle w:val="TableText"/>
              <w:spacing w:before="50" w:after="50"/>
            </w:pPr>
            <w:r w:rsidRPr="00256982">
              <w:t>2017</w:t>
            </w:r>
          </w:p>
        </w:tc>
        <w:tc>
          <w:tcPr>
            <w:tcW w:w="1620" w:type="dxa"/>
            <w:tcBorders>
              <w:top w:val="nil"/>
              <w:left w:val="nil"/>
              <w:bottom w:val="single" w:sz="4" w:space="0" w:color="365F91"/>
              <w:right w:val="nil"/>
            </w:tcBorders>
            <w:shd w:val="clear" w:color="auto" w:fill="auto"/>
            <w:vAlign w:val="center"/>
            <w:hideMark/>
          </w:tcPr>
          <w:p w14:paraId="6196980F" w14:textId="77777777" w:rsidR="000E7C76" w:rsidRPr="00256982" w:rsidRDefault="000E7C76" w:rsidP="00593853">
            <w:pPr>
              <w:pStyle w:val="TableText"/>
              <w:spacing w:before="50" w:after="50"/>
              <w:jc w:val="right"/>
            </w:pPr>
            <w:r w:rsidRPr="00256982">
              <w:t>637,779</w:t>
            </w:r>
          </w:p>
        </w:tc>
        <w:tc>
          <w:tcPr>
            <w:tcW w:w="1620" w:type="dxa"/>
            <w:tcBorders>
              <w:top w:val="nil"/>
              <w:left w:val="nil"/>
              <w:bottom w:val="single" w:sz="4" w:space="0" w:color="365F91"/>
              <w:right w:val="nil"/>
            </w:tcBorders>
            <w:shd w:val="clear" w:color="auto" w:fill="auto"/>
            <w:vAlign w:val="center"/>
            <w:hideMark/>
          </w:tcPr>
          <w:p w14:paraId="6954704E" w14:textId="77777777" w:rsidR="000E7C76" w:rsidRPr="00256982" w:rsidRDefault="000E7C76" w:rsidP="00593853">
            <w:pPr>
              <w:pStyle w:val="TableText"/>
              <w:spacing w:before="50" w:after="50"/>
              <w:jc w:val="right"/>
            </w:pPr>
            <w:r w:rsidRPr="00256982">
              <w:t>44,660</w:t>
            </w:r>
          </w:p>
        </w:tc>
        <w:tc>
          <w:tcPr>
            <w:tcW w:w="2321" w:type="dxa"/>
            <w:tcBorders>
              <w:top w:val="nil"/>
              <w:left w:val="nil"/>
              <w:bottom w:val="single" w:sz="4" w:space="0" w:color="365F91"/>
              <w:right w:val="nil"/>
            </w:tcBorders>
            <w:shd w:val="clear" w:color="auto" w:fill="auto"/>
            <w:vAlign w:val="center"/>
            <w:hideMark/>
          </w:tcPr>
          <w:p w14:paraId="67656003" w14:textId="77777777" w:rsidR="000E7C76" w:rsidRPr="00256982" w:rsidRDefault="000E7C76" w:rsidP="000E7C76">
            <w:pPr>
              <w:pStyle w:val="Tableboldblue"/>
              <w:spacing w:before="50" w:after="50"/>
              <w:ind w:right="284"/>
              <w:jc w:val="right"/>
            </w:pPr>
            <w:r w:rsidRPr="00256982">
              <w:t>682,439</w:t>
            </w:r>
          </w:p>
        </w:tc>
      </w:tr>
    </w:tbl>
    <w:p w14:paraId="11BC55FE" w14:textId="77777777" w:rsidR="000E7C76" w:rsidRPr="00256982" w:rsidRDefault="000E7C76" w:rsidP="00593853">
      <w:pPr>
        <w:pStyle w:val="BodyText"/>
        <w:spacing w:before="240" w:after="100"/>
      </w:pPr>
      <w:r w:rsidRPr="00256982">
        <w:t xml:space="preserve">Since 1993, the New Zealand Government has introduced legislation and government initiatives to encourage forest establishment and discourage deforestation of planted forests. These measures include the: </w:t>
      </w:r>
    </w:p>
    <w:p w14:paraId="013BBCE1" w14:textId="77777777" w:rsidR="000E7C76" w:rsidRPr="00256982" w:rsidRDefault="000E7C76" w:rsidP="00593853">
      <w:pPr>
        <w:pStyle w:val="Bullet"/>
        <w:numPr>
          <w:ilvl w:val="0"/>
          <w:numId w:val="8"/>
        </w:numPr>
        <w:spacing w:after="100"/>
      </w:pPr>
      <w:r w:rsidRPr="00256982">
        <w:t>Climate Change Response Act 2002 (amended 8 December 2009)</w:t>
      </w:r>
    </w:p>
    <w:p w14:paraId="6BC9C1C7" w14:textId="77777777" w:rsidR="000E7C76" w:rsidRPr="00256982" w:rsidRDefault="000E7C76" w:rsidP="00593853">
      <w:pPr>
        <w:pStyle w:val="Bullet"/>
        <w:numPr>
          <w:ilvl w:val="0"/>
          <w:numId w:val="8"/>
        </w:numPr>
        <w:spacing w:after="100"/>
      </w:pPr>
      <w:r w:rsidRPr="00256982">
        <w:t>Erosion Control Funding Programme</w:t>
      </w:r>
      <w:r w:rsidRPr="00256982" w:rsidDel="004A3481">
        <w:t xml:space="preserve"> </w:t>
      </w:r>
      <w:r w:rsidRPr="00256982">
        <w:t>(Ministry for Primary Industries, 2014)</w:t>
      </w:r>
    </w:p>
    <w:p w14:paraId="361BD86B" w14:textId="77777777" w:rsidR="000E7C76" w:rsidRPr="00256982" w:rsidRDefault="000E7C76" w:rsidP="00593853">
      <w:pPr>
        <w:pStyle w:val="Bullet"/>
        <w:numPr>
          <w:ilvl w:val="0"/>
          <w:numId w:val="8"/>
        </w:numPr>
        <w:spacing w:after="100"/>
      </w:pPr>
      <w:r w:rsidRPr="00256982">
        <w:t>Permanent Forest Sink Initiative (Ministry for Primary Industries, 2015b)</w:t>
      </w:r>
    </w:p>
    <w:p w14:paraId="654A6041" w14:textId="77777777" w:rsidR="000E7C76" w:rsidRPr="00256982" w:rsidRDefault="000E7C76" w:rsidP="00593853">
      <w:pPr>
        <w:pStyle w:val="Bullet"/>
        <w:numPr>
          <w:ilvl w:val="0"/>
          <w:numId w:val="8"/>
        </w:numPr>
        <w:spacing w:after="100"/>
      </w:pPr>
      <w:r w:rsidRPr="00256982">
        <w:t>Hill Country Erosion Programme (Ministry for Primary Industries, 2015c)</w:t>
      </w:r>
    </w:p>
    <w:p w14:paraId="715B8037" w14:textId="77777777" w:rsidR="000E7C76" w:rsidRPr="00256982" w:rsidRDefault="000E7C76" w:rsidP="00593853">
      <w:pPr>
        <w:pStyle w:val="Bullet"/>
        <w:numPr>
          <w:ilvl w:val="0"/>
          <w:numId w:val="8"/>
        </w:numPr>
        <w:spacing w:after="100"/>
      </w:pPr>
      <w:r w:rsidRPr="00256982">
        <w:t>Afforestation Grant Scheme (Ministry for Primary Industries, 2015a)</w:t>
      </w:r>
    </w:p>
    <w:p w14:paraId="5E52BFAE" w14:textId="77777777" w:rsidR="000E7C76" w:rsidRPr="00256982" w:rsidRDefault="000E7C76" w:rsidP="000E7C76">
      <w:pPr>
        <w:pStyle w:val="Bullet"/>
        <w:numPr>
          <w:ilvl w:val="0"/>
          <w:numId w:val="8"/>
        </w:numPr>
      </w:pPr>
      <w:r w:rsidRPr="00256982">
        <w:t>One Billion Trees Fund (Te Uru Rākau, 2018).</w:t>
      </w:r>
    </w:p>
    <w:p w14:paraId="2790603C" w14:textId="77777777" w:rsidR="000E7C76" w:rsidRPr="00256982" w:rsidRDefault="000E7C76" w:rsidP="00593853">
      <w:pPr>
        <w:pStyle w:val="BodyText"/>
        <w:spacing w:after="100"/>
      </w:pPr>
      <w:r w:rsidRPr="00256982">
        <w:t xml:space="preserve">The NZ ETS was introduced under the Climate Change Response Act 2002. </w:t>
      </w:r>
      <w:r w:rsidRPr="00256982">
        <w:rPr>
          <w:i/>
        </w:rPr>
        <w:t>Forest land</w:t>
      </w:r>
      <w:r w:rsidRPr="00256982">
        <w:t xml:space="preserve"> was introduced into the scheme on 1 January 2008. Under the scheme, owners of post-1989 forest land may voluntarily participate in the NZ ETS and receive emission units (New Zealand Units (NZUs)) for any increase in carbon stocks in their forests from 1 January 2008. </w:t>
      </w:r>
    </w:p>
    <w:p w14:paraId="68C8B875" w14:textId="77777777" w:rsidR="000E7C76" w:rsidRPr="00256982" w:rsidRDefault="000E7C76" w:rsidP="00593853">
      <w:pPr>
        <w:pStyle w:val="BodyText"/>
        <w:spacing w:after="100"/>
      </w:pPr>
      <w:r w:rsidRPr="00256982">
        <w:t xml:space="preserve">The Erosion Control Funding Programme, formerly the East Coast Forestry Project, is a grant scheme that was established in 1993. Its aim is to address soil erosion on the worst eroding land in the Gisborne District through planting trees or encouraging natural reversion to native bush. Funding has been approved to 2020 (Ministry for Primary Industries, 2014). To date, 37,673 hectares of forest have been established under the scheme (Ministry for Primary Industries, pers. comm., 2018). </w:t>
      </w:r>
    </w:p>
    <w:p w14:paraId="77595876" w14:textId="77777777" w:rsidR="000E7C76" w:rsidRPr="00256982" w:rsidRDefault="000E7C76" w:rsidP="00593853">
      <w:pPr>
        <w:pStyle w:val="BodyText"/>
        <w:spacing w:after="100"/>
      </w:pPr>
      <w:r w:rsidRPr="00256982">
        <w:t>The Permanent Forest Sink Initiative enables landowners to earn carbon credits through the establishment of permanent forests on land that was not forested prior to 1990 (Ministry for Primary Industries, 2015b). As at January 2016, 15,464 hectares were registered under this scheme (Ministry for Primary Industries, pers. comm., 2017). This scheme was discontinued in 2018 and will be replaced by a permanent post-1989 forest category in the NZ ETS.</w:t>
      </w:r>
    </w:p>
    <w:p w14:paraId="39A39FA7" w14:textId="77777777" w:rsidR="000E7C76" w:rsidRPr="00256982" w:rsidRDefault="000E7C76" w:rsidP="00593853">
      <w:pPr>
        <w:pStyle w:val="BodyText"/>
        <w:spacing w:after="100"/>
        <w:rPr>
          <w:spacing w:val="-2"/>
        </w:rPr>
      </w:pPr>
      <w:r w:rsidRPr="00256982">
        <w:rPr>
          <w:spacing w:val="-2"/>
        </w:rPr>
        <w:t>The Hill Country Erosion Programme, like the Erosion Control Funding Programme, is focused on the retiring and afforestation of erosion-prone, hill-country farmland in the North Island. It underwent a review in 2011 and continues with an expanded target area throughout erosion-prone land in the North Island (Ministry for Primary Industries, 2015c).</w:t>
      </w:r>
    </w:p>
    <w:p w14:paraId="55309C03" w14:textId="77777777" w:rsidR="000E7C76" w:rsidRPr="00256982" w:rsidRDefault="000E7C76" w:rsidP="00593853">
      <w:pPr>
        <w:pStyle w:val="BodyText"/>
        <w:spacing w:after="100"/>
      </w:pPr>
      <w:r w:rsidRPr="00256982">
        <w:t>The Afforestation Grant Scheme was first established in 2008 to promote carbon sequestration and sustainable land use. The first round of the scheme established 11,533 hectares of new forest between 2008 and 2013 (Ministry for Primary Industries, pers. comm., 2018). A second afforestation grant scheme was established in 2015. This scheme was replaced by the One Billion Trees Fund in 2018.</w:t>
      </w:r>
    </w:p>
    <w:p w14:paraId="44DE10D5" w14:textId="62FC89F7" w:rsidR="000E7C76" w:rsidRPr="00256982" w:rsidRDefault="000E7C76" w:rsidP="000E7C76">
      <w:pPr>
        <w:pStyle w:val="BodyText"/>
      </w:pPr>
      <w:r w:rsidRPr="00256982">
        <w:t>The One Billion Trees Fund was established in 2018 to support individuals and groups across New Zealand to plant trees and manage land sustainably. Te Uru Rākau works in partnership with landowners and organisations to achieve the goal of planting 1 billion trees by 2028 (Te</w:t>
      </w:r>
      <w:r w:rsidR="00593853" w:rsidRPr="00256982">
        <w:t> </w:t>
      </w:r>
      <w:r w:rsidRPr="00256982">
        <w:t xml:space="preserve">Uru Rākau, 2018). </w:t>
      </w:r>
    </w:p>
    <w:p w14:paraId="16388AE1" w14:textId="77777777" w:rsidR="000E7C76" w:rsidRPr="00256982" w:rsidRDefault="000E7C76" w:rsidP="00E333BE">
      <w:pPr>
        <w:pStyle w:val="BodyText"/>
        <w:spacing w:after="100"/>
      </w:pPr>
      <w:r w:rsidRPr="00256982">
        <w:t xml:space="preserve">New Zealand reports on harvested wood products originating from </w:t>
      </w:r>
      <w:r w:rsidRPr="00256982">
        <w:rPr>
          <w:i/>
        </w:rPr>
        <w:t>Afforestation and reforestation</w:t>
      </w:r>
      <w:r w:rsidRPr="00256982">
        <w:t xml:space="preserve"> activities. This is described further in section 11.3.6.</w:t>
      </w:r>
      <w:r w:rsidRPr="00256982" w:rsidDel="004331A9">
        <w:rPr>
          <w:rStyle w:val="CommentReference"/>
        </w:rPr>
        <w:t xml:space="preserve"> </w:t>
      </w:r>
    </w:p>
    <w:p w14:paraId="1234A8DE" w14:textId="77777777" w:rsidR="000E7C76" w:rsidRPr="00256982" w:rsidRDefault="000E7C76" w:rsidP="00E333BE">
      <w:pPr>
        <w:pStyle w:val="BodyText"/>
        <w:spacing w:after="100"/>
        <w:rPr>
          <w:spacing w:val="-2"/>
        </w:rPr>
      </w:pPr>
      <w:r w:rsidRPr="00256982">
        <w:rPr>
          <w:spacing w:val="-2"/>
        </w:rPr>
        <w:t xml:space="preserve">New Zealand may choose to apply the provision for the treatment of natural disturbance emissions to its afforestation and reforestation accounting (Ministry for the Environment, 2015). The method used to set New Zealand’s natural disturbance background level is outlined in annex 5.2. </w:t>
      </w:r>
    </w:p>
    <w:p w14:paraId="093EF8EF" w14:textId="77777777" w:rsidR="000E7C76" w:rsidRPr="00256982" w:rsidRDefault="000E7C76" w:rsidP="00E333BE">
      <w:pPr>
        <w:pStyle w:val="BodyText"/>
        <w:spacing w:after="100"/>
      </w:pPr>
      <w:r w:rsidRPr="00256982">
        <w:t xml:space="preserve">While some wildfire has occurred within </w:t>
      </w:r>
      <w:r w:rsidRPr="00256982">
        <w:rPr>
          <w:i/>
        </w:rPr>
        <w:t>Afforestation and reforestation</w:t>
      </w:r>
      <w:r w:rsidRPr="00256982">
        <w:t xml:space="preserve"> activities since 2013, this was not at a high enough level for New Zealand to trigger the natural disturbance provision.</w:t>
      </w:r>
    </w:p>
    <w:p w14:paraId="4FE0A9B6" w14:textId="77777777" w:rsidR="000E7C76" w:rsidRPr="00256982" w:rsidRDefault="000E7C76" w:rsidP="000E7C76">
      <w:pPr>
        <w:pStyle w:val="Heading3"/>
      </w:pPr>
      <w:r w:rsidRPr="00256982">
        <w:t xml:space="preserve">11.3.3 </w:t>
      </w:r>
      <w:r w:rsidRPr="00256982">
        <w:tab/>
        <w:t xml:space="preserve">Deforestation (CRF 4(KP.A.2)) </w:t>
      </w:r>
    </w:p>
    <w:p w14:paraId="78DB907E" w14:textId="77777777" w:rsidR="000E7C76" w:rsidRPr="00256982" w:rsidRDefault="000E7C76" w:rsidP="000E7C76">
      <w:pPr>
        <w:pStyle w:val="BodyText"/>
      </w:pPr>
      <w:r w:rsidRPr="00256982">
        <w:t xml:space="preserve">In 2017, </w:t>
      </w:r>
      <w:r w:rsidRPr="00256982">
        <w:rPr>
          <w:i/>
        </w:rPr>
        <w:t>Deforestation</w:t>
      </w:r>
      <w:r w:rsidRPr="00256982">
        <w:t xml:space="preserve"> emissions were 1,657.0 kt CO</w:t>
      </w:r>
      <w:r w:rsidRPr="00256982">
        <w:rPr>
          <w:vertAlign w:val="subscript"/>
        </w:rPr>
        <w:t>2</w:t>
      </w:r>
      <w:r w:rsidRPr="00256982">
        <w:t>-e, compared with 2,050.5 kt CO</w:t>
      </w:r>
      <w:r w:rsidRPr="00256982">
        <w:rPr>
          <w:vertAlign w:val="subscript"/>
        </w:rPr>
        <w:t>2</w:t>
      </w:r>
      <w:r w:rsidRPr="00256982">
        <w:noBreakHyphen/>
        <w:t>e in 2016. These emissions result from the loss of carbon, which was stored in the biomass prior to deforestation, occurring in the year that deforestation occurs; soil carbon stock changes including lagged emissions from previous deforestation events; mineralisation of soil nitrogen associated with the land-use change; emissions from burning biomass on deforested land; and removals from biomass growth of the new land use, which accumulates at the rates given in chapter 6, table 6.1.5.</w:t>
      </w:r>
    </w:p>
    <w:p w14:paraId="1A4328C3" w14:textId="77777777" w:rsidR="000E7C76" w:rsidRPr="00256982" w:rsidRDefault="000E7C76" w:rsidP="000E7C76">
      <w:pPr>
        <w:pStyle w:val="BodyText"/>
      </w:pPr>
      <w:r w:rsidRPr="00256982">
        <w:t xml:space="preserve">The estimated area reported under </w:t>
      </w:r>
      <w:r w:rsidRPr="00256982">
        <w:rPr>
          <w:i/>
          <w:spacing w:val="-2"/>
        </w:rPr>
        <w:t>Deforestation</w:t>
      </w:r>
      <w:r w:rsidRPr="00256982">
        <w:t xml:space="preserve"> for 2017 was 2,947 hectares. This is 18.7 per cent lower than the 3,623 hectares reported for 2016, resulting in lower emissions reported under </w:t>
      </w:r>
      <w:r w:rsidRPr="00256982">
        <w:rPr>
          <w:i/>
          <w:spacing w:val="-2"/>
        </w:rPr>
        <w:t>Deforestation</w:t>
      </w:r>
      <w:r w:rsidRPr="00256982">
        <w:t xml:space="preserve"> in 2017.</w:t>
      </w:r>
    </w:p>
    <w:p w14:paraId="1D7F8567" w14:textId="77777777" w:rsidR="000E7C76" w:rsidRPr="00256982" w:rsidRDefault="000E7C76" w:rsidP="000E7C76">
      <w:pPr>
        <w:pStyle w:val="BodyText"/>
      </w:pPr>
      <w:r w:rsidRPr="00256982">
        <w:t xml:space="preserve">Table 11.3.3 shows the areas of </w:t>
      </w:r>
      <w:r w:rsidRPr="00256982">
        <w:rPr>
          <w:i/>
        </w:rPr>
        <w:t>Forest land</w:t>
      </w:r>
      <w:r w:rsidRPr="00256982">
        <w:t xml:space="preserve"> subject to </w:t>
      </w:r>
      <w:r w:rsidRPr="00256982">
        <w:rPr>
          <w:i/>
          <w:spacing w:val="-2"/>
        </w:rPr>
        <w:t>Deforestation</w:t>
      </w:r>
      <w:r w:rsidRPr="00256982">
        <w:t xml:space="preserve"> activities since 2008 by forest category. </w:t>
      </w:r>
    </w:p>
    <w:p w14:paraId="402D7B9D" w14:textId="77777777" w:rsidR="000E7C76" w:rsidRPr="00256982" w:rsidRDefault="000E7C76" w:rsidP="000E7C76">
      <w:pPr>
        <w:pStyle w:val="Table"/>
      </w:pPr>
      <w:bookmarkStart w:id="2706" w:name="_Toc456179108"/>
      <w:bookmarkStart w:id="2707" w:name="_Toc481751634"/>
      <w:bookmarkStart w:id="2708" w:name="_Toc522010659"/>
      <w:bookmarkStart w:id="2709" w:name="_Toc5269630"/>
      <w:r w:rsidRPr="00256982">
        <w:t>Table 11.3.3</w:t>
      </w:r>
      <w:r w:rsidRPr="00256982">
        <w:tab/>
        <w:t>Area of New Zealand subject to deforestation</w:t>
      </w:r>
      <w:bookmarkEnd w:id="2706"/>
      <w:bookmarkEnd w:id="2707"/>
      <w:bookmarkEnd w:id="2708"/>
      <w:bookmarkEnd w:id="2709"/>
    </w:p>
    <w:tbl>
      <w:tblPr>
        <w:tblW w:w="8505" w:type="dxa"/>
        <w:tblInd w:w="108" w:type="dxa"/>
        <w:tblBorders>
          <w:top w:val="single" w:sz="4" w:space="0" w:color="2E74B5"/>
          <w:bottom w:val="single" w:sz="4" w:space="0" w:color="2E74B5"/>
          <w:insideH w:val="single" w:sz="4" w:space="0" w:color="2E74B5"/>
        </w:tblBorders>
        <w:tblLook w:val="04A0" w:firstRow="1" w:lastRow="0" w:firstColumn="1" w:lastColumn="0" w:noHBand="0" w:noVBand="1"/>
      </w:tblPr>
      <w:tblGrid>
        <w:gridCol w:w="993"/>
        <w:gridCol w:w="1984"/>
        <w:gridCol w:w="2112"/>
        <w:gridCol w:w="1701"/>
        <w:gridCol w:w="1715"/>
      </w:tblGrid>
      <w:tr w:rsidR="000E7C76" w:rsidRPr="00256982" w14:paraId="60E7B6A9" w14:textId="77777777" w:rsidTr="000E7C76">
        <w:trPr>
          <w:tblHeader/>
        </w:trPr>
        <w:tc>
          <w:tcPr>
            <w:tcW w:w="993" w:type="dxa"/>
            <w:tcBorders>
              <w:top w:val="single" w:sz="4" w:space="0" w:color="365F91"/>
              <w:bottom w:val="nil"/>
            </w:tcBorders>
            <w:shd w:val="clear" w:color="auto" w:fill="365F91"/>
            <w:vAlign w:val="bottom"/>
          </w:tcPr>
          <w:p w14:paraId="2BEBFC8B" w14:textId="77777777" w:rsidR="000E7C76" w:rsidRPr="00256982" w:rsidRDefault="000E7C76" w:rsidP="00E333BE">
            <w:pPr>
              <w:pStyle w:val="TableTextBold"/>
              <w:keepNext/>
              <w:spacing w:before="50" w:after="50"/>
              <w:jc w:val="center"/>
              <w:rPr>
                <w:bCs/>
                <w:noProof w:val="0"/>
                <w:color w:val="FFFFFF"/>
              </w:rPr>
            </w:pPr>
          </w:p>
        </w:tc>
        <w:tc>
          <w:tcPr>
            <w:tcW w:w="5797" w:type="dxa"/>
            <w:gridSpan w:val="3"/>
            <w:tcBorders>
              <w:top w:val="single" w:sz="4" w:space="0" w:color="365F91"/>
              <w:bottom w:val="nil"/>
            </w:tcBorders>
            <w:shd w:val="clear" w:color="auto" w:fill="365F91"/>
            <w:vAlign w:val="bottom"/>
          </w:tcPr>
          <w:p w14:paraId="1744376A" w14:textId="77777777" w:rsidR="000E7C76" w:rsidRPr="00256982" w:rsidRDefault="000E7C76" w:rsidP="00E333BE">
            <w:pPr>
              <w:pStyle w:val="TableTextBold"/>
              <w:keepNext/>
              <w:spacing w:before="50" w:after="50"/>
              <w:jc w:val="center"/>
              <w:rPr>
                <w:bCs/>
                <w:noProof w:val="0"/>
                <w:color w:val="FFFFFF"/>
              </w:rPr>
            </w:pPr>
            <w:r w:rsidRPr="00256982">
              <w:rPr>
                <w:bCs/>
                <w:noProof w:val="0"/>
                <w:color w:val="FFFFFF"/>
              </w:rPr>
              <w:t>Annual area of deforestation (ha)</w:t>
            </w:r>
          </w:p>
        </w:tc>
        <w:tc>
          <w:tcPr>
            <w:tcW w:w="1715" w:type="dxa"/>
            <w:tcBorders>
              <w:top w:val="single" w:sz="4" w:space="0" w:color="365F91"/>
              <w:bottom w:val="nil"/>
            </w:tcBorders>
            <w:shd w:val="clear" w:color="auto" w:fill="365F91"/>
            <w:vAlign w:val="bottom"/>
          </w:tcPr>
          <w:p w14:paraId="2F0EABF6" w14:textId="77777777" w:rsidR="000E7C76" w:rsidRPr="00256982" w:rsidRDefault="000E7C76" w:rsidP="00E333BE">
            <w:pPr>
              <w:pStyle w:val="TableTextBold"/>
              <w:keepNext/>
              <w:spacing w:before="50" w:after="50"/>
              <w:jc w:val="center"/>
              <w:rPr>
                <w:bCs/>
                <w:noProof w:val="0"/>
                <w:color w:val="FFFFFF"/>
              </w:rPr>
            </w:pPr>
          </w:p>
        </w:tc>
      </w:tr>
      <w:tr w:rsidR="00E21944" w:rsidRPr="00256982" w14:paraId="1CF0C237" w14:textId="77777777" w:rsidTr="000E7C76">
        <w:trPr>
          <w:tblHeader/>
        </w:trPr>
        <w:tc>
          <w:tcPr>
            <w:tcW w:w="993" w:type="dxa"/>
            <w:tcBorders>
              <w:top w:val="nil"/>
              <w:left w:val="nil"/>
              <w:bottom w:val="single" w:sz="4" w:space="0" w:color="365F91"/>
            </w:tcBorders>
            <w:shd w:val="clear" w:color="auto" w:fill="365F91"/>
            <w:vAlign w:val="bottom"/>
          </w:tcPr>
          <w:p w14:paraId="3457575F" w14:textId="77777777" w:rsidR="000E7C76" w:rsidRPr="00256982" w:rsidRDefault="000E7C76" w:rsidP="00E333BE">
            <w:pPr>
              <w:pStyle w:val="TableTextBold"/>
              <w:keepNext/>
              <w:spacing w:before="50" w:after="50"/>
              <w:rPr>
                <w:bCs/>
                <w:noProof w:val="0"/>
                <w:color w:val="FFFFFF"/>
              </w:rPr>
            </w:pPr>
            <w:r w:rsidRPr="00256982">
              <w:rPr>
                <w:bCs/>
                <w:noProof w:val="0"/>
                <w:color w:val="FFFFFF"/>
              </w:rPr>
              <w:t>Year</w:t>
            </w:r>
          </w:p>
        </w:tc>
        <w:tc>
          <w:tcPr>
            <w:tcW w:w="1984" w:type="dxa"/>
            <w:tcBorders>
              <w:top w:val="nil"/>
              <w:bottom w:val="single" w:sz="4" w:space="0" w:color="365F91"/>
            </w:tcBorders>
            <w:shd w:val="clear" w:color="auto" w:fill="365F91"/>
            <w:vAlign w:val="bottom"/>
          </w:tcPr>
          <w:p w14:paraId="15BFB985" w14:textId="77777777" w:rsidR="000E7C76" w:rsidRPr="00256982" w:rsidRDefault="000E7C76" w:rsidP="00E333BE">
            <w:pPr>
              <w:pStyle w:val="TableTextBold"/>
              <w:spacing w:before="50" w:after="50"/>
              <w:jc w:val="center"/>
              <w:rPr>
                <w:noProof w:val="0"/>
                <w:color w:val="FFFFFF"/>
              </w:rPr>
            </w:pPr>
            <w:r w:rsidRPr="00256982">
              <w:rPr>
                <w:noProof w:val="0"/>
                <w:color w:val="FFFFFF"/>
              </w:rPr>
              <w:t>Pre-1990 natural forest</w:t>
            </w:r>
          </w:p>
        </w:tc>
        <w:tc>
          <w:tcPr>
            <w:tcW w:w="2112" w:type="dxa"/>
            <w:tcBorders>
              <w:top w:val="nil"/>
              <w:bottom w:val="single" w:sz="4" w:space="0" w:color="365F91"/>
            </w:tcBorders>
            <w:shd w:val="clear" w:color="auto" w:fill="365F91"/>
            <w:vAlign w:val="bottom"/>
          </w:tcPr>
          <w:p w14:paraId="773CED45" w14:textId="77777777" w:rsidR="000E7C76" w:rsidRPr="00256982" w:rsidRDefault="000E7C76" w:rsidP="00E333BE">
            <w:pPr>
              <w:pStyle w:val="TableTextBold"/>
              <w:spacing w:before="50" w:after="50"/>
              <w:jc w:val="center"/>
              <w:rPr>
                <w:noProof w:val="0"/>
                <w:color w:val="FFFFFF"/>
              </w:rPr>
            </w:pPr>
            <w:r w:rsidRPr="00256982">
              <w:rPr>
                <w:noProof w:val="0"/>
                <w:color w:val="FFFFFF"/>
              </w:rPr>
              <w:t>Pre-1990 planted forest</w:t>
            </w:r>
          </w:p>
        </w:tc>
        <w:tc>
          <w:tcPr>
            <w:tcW w:w="1701" w:type="dxa"/>
            <w:tcBorders>
              <w:top w:val="nil"/>
              <w:bottom w:val="single" w:sz="4" w:space="0" w:color="365F91"/>
              <w:right w:val="nil"/>
            </w:tcBorders>
            <w:shd w:val="clear" w:color="auto" w:fill="365F91"/>
            <w:vAlign w:val="bottom"/>
          </w:tcPr>
          <w:p w14:paraId="7767549E" w14:textId="77777777" w:rsidR="000E7C76" w:rsidRPr="00256982" w:rsidRDefault="000E7C76" w:rsidP="00E333BE">
            <w:pPr>
              <w:pStyle w:val="TableTextBold"/>
              <w:spacing w:before="50" w:after="50"/>
              <w:jc w:val="center"/>
              <w:rPr>
                <w:noProof w:val="0"/>
                <w:color w:val="FFFFFF"/>
              </w:rPr>
            </w:pPr>
            <w:r w:rsidRPr="00256982">
              <w:rPr>
                <w:noProof w:val="0"/>
                <w:color w:val="FFFFFF"/>
              </w:rPr>
              <w:t>Post-1989 forest</w:t>
            </w:r>
          </w:p>
        </w:tc>
        <w:tc>
          <w:tcPr>
            <w:tcW w:w="1715" w:type="dxa"/>
            <w:tcBorders>
              <w:top w:val="nil"/>
              <w:bottom w:val="single" w:sz="4" w:space="0" w:color="365F91"/>
              <w:right w:val="nil"/>
            </w:tcBorders>
            <w:shd w:val="clear" w:color="auto" w:fill="365F91"/>
            <w:vAlign w:val="bottom"/>
          </w:tcPr>
          <w:p w14:paraId="5226289C" w14:textId="77777777" w:rsidR="000E7C76" w:rsidRPr="00256982" w:rsidRDefault="000E7C76" w:rsidP="00E21944">
            <w:pPr>
              <w:pStyle w:val="TableTextBold"/>
              <w:jc w:val="right"/>
              <w:rPr>
                <w:noProof w:val="0"/>
                <w:color w:val="FFFFFF"/>
              </w:rPr>
            </w:pPr>
            <w:r w:rsidRPr="00256982">
              <w:rPr>
                <w:noProof w:val="0"/>
                <w:color w:val="FFFFFF"/>
              </w:rPr>
              <w:t>Total</w:t>
            </w:r>
          </w:p>
        </w:tc>
      </w:tr>
      <w:tr w:rsidR="000E7C76" w:rsidRPr="00256982" w14:paraId="231C766C" w14:textId="77777777" w:rsidTr="000E7C76">
        <w:tc>
          <w:tcPr>
            <w:tcW w:w="993" w:type="dxa"/>
            <w:tcBorders>
              <w:top w:val="single" w:sz="4" w:space="0" w:color="365F91"/>
              <w:bottom w:val="single" w:sz="4" w:space="0" w:color="365F91"/>
            </w:tcBorders>
            <w:shd w:val="clear" w:color="auto" w:fill="auto"/>
            <w:vAlign w:val="center"/>
          </w:tcPr>
          <w:p w14:paraId="5B576DC7" w14:textId="77777777" w:rsidR="000E7C76" w:rsidRPr="00256982" w:rsidRDefault="000E7C76" w:rsidP="00E333BE">
            <w:pPr>
              <w:pStyle w:val="TableText"/>
              <w:spacing w:before="50" w:after="50"/>
            </w:pPr>
            <w:r w:rsidRPr="00256982">
              <w:t>2008</w:t>
            </w:r>
          </w:p>
        </w:tc>
        <w:tc>
          <w:tcPr>
            <w:tcW w:w="1984" w:type="dxa"/>
            <w:tcBorders>
              <w:top w:val="single" w:sz="4" w:space="0" w:color="365F91"/>
              <w:bottom w:val="single" w:sz="4" w:space="0" w:color="365F91"/>
            </w:tcBorders>
            <w:shd w:val="clear" w:color="auto" w:fill="auto"/>
          </w:tcPr>
          <w:p w14:paraId="441B552B" w14:textId="77777777" w:rsidR="000E7C76" w:rsidRPr="00256982" w:rsidRDefault="000E7C76" w:rsidP="00E21944">
            <w:pPr>
              <w:pStyle w:val="TableText"/>
              <w:spacing w:before="50" w:after="50"/>
              <w:jc w:val="right"/>
            </w:pPr>
            <w:r w:rsidRPr="00256982">
              <w:t xml:space="preserve"> 937 </w:t>
            </w:r>
          </w:p>
        </w:tc>
        <w:tc>
          <w:tcPr>
            <w:tcW w:w="2112" w:type="dxa"/>
            <w:tcBorders>
              <w:top w:val="single" w:sz="4" w:space="0" w:color="365F91"/>
              <w:bottom w:val="single" w:sz="4" w:space="0" w:color="365F91"/>
            </w:tcBorders>
            <w:shd w:val="clear" w:color="auto" w:fill="auto"/>
          </w:tcPr>
          <w:p w14:paraId="679F1F58" w14:textId="77777777" w:rsidR="000E7C76" w:rsidRPr="00256982" w:rsidRDefault="000E7C76" w:rsidP="00E21944">
            <w:pPr>
              <w:pStyle w:val="TableText"/>
              <w:spacing w:before="50" w:after="50"/>
              <w:jc w:val="right"/>
            </w:pPr>
            <w:r w:rsidRPr="00256982">
              <w:t xml:space="preserve"> 3,913 </w:t>
            </w:r>
          </w:p>
        </w:tc>
        <w:tc>
          <w:tcPr>
            <w:tcW w:w="1701" w:type="dxa"/>
            <w:tcBorders>
              <w:top w:val="single" w:sz="4" w:space="0" w:color="365F91"/>
              <w:bottom w:val="single" w:sz="4" w:space="0" w:color="365F91"/>
            </w:tcBorders>
            <w:shd w:val="clear" w:color="auto" w:fill="auto"/>
          </w:tcPr>
          <w:p w14:paraId="5E82732B" w14:textId="77777777" w:rsidR="000E7C76" w:rsidRPr="00256982" w:rsidRDefault="000E7C76" w:rsidP="00E21944">
            <w:pPr>
              <w:pStyle w:val="TableText"/>
              <w:spacing w:before="50" w:after="50"/>
              <w:jc w:val="right"/>
            </w:pPr>
            <w:r w:rsidRPr="00256982">
              <w:t xml:space="preserve"> 1,104 </w:t>
            </w:r>
          </w:p>
        </w:tc>
        <w:tc>
          <w:tcPr>
            <w:tcW w:w="1715" w:type="dxa"/>
            <w:tcBorders>
              <w:top w:val="single" w:sz="4" w:space="0" w:color="365F91"/>
              <w:bottom w:val="single" w:sz="4" w:space="0" w:color="365F91"/>
            </w:tcBorders>
          </w:tcPr>
          <w:p w14:paraId="4D8930A8" w14:textId="77777777" w:rsidR="000E7C76" w:rsidRPr="00256982" w:rsidRDefault="000E7C76" w:rsidP="00E21944">
            <w:pPr>
              <w:pStyle w:val="TableText"/>
              <w:spacing w:before="50" w:after="50"/>
              <w:jc w:val="right"/>
            </w:pPr>
            <w:r w:rsidRPr="00256982">
              <w:t xml:space="preserve"> 5,954 </w:t>
            </w:r>
          </w:p>
        </w:tc>
      </w:tr>
      <w:tr w:rsidR="000E7C76" w:rsidRPr="00256982" w14:paraId="4D8E5318" w14:textId="77777777" w:rsidTr="000E7C76">
        <w:tc>
          <w:tcPr>
            <w:tcW w:w="993" w:type="dxa"/>
            <w:tcBorders>
              <w:top w:val="single" w:sz="4" w:space="0" w:color="365F91"/>
              <w:bottom w:val="single" w:sz="4" w:space="0" w:color="365F91"/>
            </w:tcBorders>
            <w:shd w:val="clear" w:color="auto" w:fill="auto"/>
            <w:vAlign w:val="center"/>
          </w:tcPr>
          <w:p w14:paraId="15F7DB76" w14:textId="77777777" w:rsidR="000E7C76" w:rsidRPr="00256982" w:rsidRDefault="000E7C76" w:rsidP="00E333BE">
            <w:pPr>
              <w:pStyle w:val="TableText"/>
              <w:spacing w:before="50" w:after="50"/>
            </w:pPr>
            <w:r w:rsidRPr="00256982">
              <w:t>2009</w:t>
            </w:r>
          </w:p>
        </w:tc>
        <w:tc>
          <w:tcPr>
            <w:tcW w:w="1984" w:type="dxa"/>
            <w:tcBorders>
              <w:top w:val="single" w:sz="4" w:space="0" w:color="365F91"/>
              <w:bottom w:val="single" w:sz="4" w:space="0" w:color="365F91"/>
            </w:tcBorders>
            <w:shd w:val="clear" w:color="auto" w:fill="auto"/>
          </w:tcPr>
          <w:p w14:paraId="60AB099E" w14:textId="77777777" w:rsidR="000E7C76" w:rsidRPr="00256982" w:rsidRDefault="000E7C76" w:rsidP="00E21944">
            <w:pPr>
              <w:pStyle w:val="TableText"/>
              <w:spacing w:before="50" w:after="50"/>
              <w:jc w:val="right"/>
            </w:pPr>
            <w:r w:rsidRPr="00256982">
              <w:t xml:space="preserve"> 2,585 </w:t>
            </w:r>
          </w:p>
        </w:tc>
        <w:tc>
          <w:tcPr>
            <w:tcW w:w="2112" w:type="dxa"/>
            <w:tcBorders>
              <w:top w:val="single" w:sz="4" w:space="0" w:color="365F91"/>
              <w:bottom w:val="single" w:sz="4" w:space="0" w:color="365F91"/>
            </w:tcBorders>
            <w:shd w:val="clear" w:color="auto" w:fill="auto"/>
          </w:tcPr>
          <w:p w14:paraId="1C9CE4BE" w14:textId="77777777" w:rsidR="000E7C76" w:rsidRPr="00256982" w:rsidRDefault="000E7C76" w:rsidP="00E21944">
            <w:pPr>
              <w:pStyle w:val="TableText"/>
              <w:spacing w:before="50" w:after="50"/>
              <w:jc w:val="right"/>
            </w:pPr>
            <w:r w:rsidRPr="00256982">
              <w:t xml:space="preserve"> 5,968 </w:t>
            </w:r>
          </w:p>
        </w:tc>
        <w:tc>
          <w:tcPr>
            <w:tcW w:w="1701" w:type="dxa"/>
            <w:tcBorders>
              <w:top w:val="single" w:sz="4" w:space="0" w:color="365F91"/>
              <w:bottom w:val="single" w:sz="4" w:space="0" w:color="365F91"/>
            </w:tcBorders>
            <w:shd w:val="clear" w:color="auto" w:fill="auto"/>
          </w:tcPr>
          <w:p w14:paraId="4A00078B" w14:textId="77777777" w:rsidR="000E7C76" w:rsidRPr="00256982" w:rsidRDefault="000E7C76" w:rsidP="00E21944">
            <w:pPr>
              <w:pStyle w:val="TableText"/>
              <w:spacing w:before="50" w:after="50"/>
              <w:jc w:val="right"/>
            </w:pPr>
            <w:r w:rsidRPr="00256982">
              <w:t xml:space="preserve"> 2,478 </w:t>
            </w:r>
          </w:p>
        </w:tc>
        <w:tc>
          <w:tcPr>
            <w:tcW w:w="1715" w:type="dxa"/>
            <w:tcBorders>
              <w:top w:val="single" w:sz="4" w:space="0" w:color="365F91"/>
              <w:bottom w:val="single" w:sz="4" w:space="0" w:color="365F91"/>
            </w:tcBorders>
          </w:tcPr>
          <w:p w14:paraId="7E2E3403" w14:textId="77777777" w:rsidR="000E7C76" w:rsidRPr="00256982" w:rsidRDefault="000E7C76" w:rsidP="00E21944">
            <w:pPr>
              <w:pStyle w:val="TableText"/>
              <w:spacing w:before="50" w:after="50"/>
              <w:jc w:val="right"/>
            </w:pPr>
            <w:r w:rsidRPr="00256982">
              <w:t xml:space="preserve"> 11,031 </w:t>
            </w:r>
          </w:p>
        </w:tc>
      </w:tr>
      <w:tr w:rsidR="000E7C76" w:rsidRPr="00256982" w14:paraId="5F79B8D3" w14:textId="77777777" w:rsidTr="000E7C76">
        <w:tc>
          <w:tcPr>
            <w:tcW w:w="993" w:type="dxa"/>
            <w:tcBorders>
              <w:top w:val="single" w:sz="4" w:space="0" w:color="365F91"/>
              <w:bottom w:val="single" w:sz="4" w:space="0" w:color="365F91"/>
            </w:tcBorders>
            <w:shd w:val="clear" w:color="auto" w:fill="auto"/>
            <w:vAlign w:val="center"/>
          </w:tcPr>
          <w:p w14:paraId="6816B13C" w14:textId="77777777" w:rsidR="000E7C76" w:rsidRPr="00256982" w:rsidRDefault="000E7C76" w:rsidP="00E333BE">
            <w:pPr>
              <w:pStyle w:val="TableText"/>
              <w:spacing w:before="50" w:after="50"/>
            </w:pPr>
            <w:r w:rsidRPr="00256982">
              <w:t>2010</w:t>
            </w:r>
          </w:p>
        </w:tc>
        <w:tc>
          <w:tcPr>
            <w:tcW w:w="1984" w:type="dxa"/>
            <w:tcBorders>
              <w:top w:val="single" w:sz="4" w:space="0" w:color="365F91"/>
              <w:bottom w:val="single" w:sz="4" w:space="0" w:color="365F91"/>
            </w:tcBorders>
            <w:shd w:val="clear" w:color="auto" w:fill="auto"/>
          </w:tcPr>
          <w:p w14:paraId="499A2BC1" w14:textId="77777777" w:rsidR="000E7C76" w:rsidRPr="00256982" w:rsidRDefault="000E7C76" w:rsidP="00E21944">
            <w:pPr>
              <w:pStyle w:val="TableText"/>
              <w:spacing w:before="50" w:after="50"/>
              <w:jc w:val="right"/>
            </w:pPr>
            <w:r w:rsidRPr="00256982">
              <w:t xml:space="preserve"> 1,948 </w:t>
            </w:r>
          </w:p>
        </w:tc>
        <w:tc>
          <w:tcPr>
            <w:tcW w:w="2112" w:type="dxa"/>
            <w:tcBorders>
              <w:top w:val="single" w:sz="4" w:space="0" w:color="365F91"/>
              <w:bottom w:val="single" w:sz="4" w:space="0" w:color="365F91"/>
            </w:tcBorders>
            <w:shd w:val="clear" w:color="auto" w:fill="auto"/>
          </w:tcPr>
          <w:p w14:paraId="3A8D669A" w14:textId="77777777" w:rsidR="000E7C76" w:rsidRPr="00256982" w:rsidRDefault="000E7C76" w:rsidP="00E21944">
            <w:pPr>
              <w:pStyle w:val="TableText"/>
              <w:spacing w:before="50" w:after="50"/>
              <w:jc w:val="right"/>
            </w:pPr>
            <w:r w:rsidRPr="00256982">
              <w:t xml:space="preserve"> 7,521 </w:t>
            </w:r>
          </w:p>
        </w:tc>
        <w:tc>
          <w:tcPr>
            <w:tcW w:w="1701" w:type="dxa"/>
            <w:tcBorders>
              <w:top w:val="single" w:sz="4" w:space="0" w:color="365F91"/>
              <w:bottom w:val="single" w:sz="4" w:space="0" w:color="365F91"/>
            </w:tcBorders>
            <w:shd w:val="clear" w:color="auto" w:fill="auto"/>
          </w:tcPr>
          <w:p w14:paraId="5DA5F377" w14:textId="77777777" w:rsidR="000E7C76" w:rsidRPr="00256982" w:rsidRDefault="000E7C76" w:rsidP="00E21944">
            <w:pPr>
              <w:pStyle w:val="TableText"/>
              <w:spacing w:before="50" w:after="50"/>
              <w:jc w:val="right"/>
            </w:pPr>
            <w:r w:rsidRPr="00256982">
              <w:t xml:space="preserve"> 1,724 </w:t>
            </w:r>
          </w:p>
        </w:tc>
        <w:tc>
          <w:tcPr>
            <w:tcW w:w="1715" w:type="dxa"/>
            <w:tcBorders>
              <w:top w:val="single" w:sz="4" w:space="0" w:color="365F91"/>
              <w:bottom w:val="single" w:sz="4" w:space="0" w:color="365F91"/>
            </w:tcBorders>
          </w:tcPr>
          <w:p w14:paraId="427A0E0C" w14:textId="77777777" w:rsidR="000E7C76" w:rsidRPr="00256982" w:rsidRDefault="000E7C76" w:rsidP="00E21944">
            <w:pPr>
              <w:pStyle w:val="TableText"/>
              <w:spacing w:before="50" w:after="50"/>
              <w:jc w:val="right"/>
            </w:pPr>
            <w:r w:rsidRPr="00256982">
              <w:t xml:space="preserve"> 11,193 </w:t>
            </w:r>
          </w:p>
        </w:tc>
      </w:tr>
      <w:tr w:rsidR="000E7C76" w:rsidRPr="00256982" w14:paraId="2F791247" w14:textId="77777777" w:rsidTr="000E7C76">
        <w:tc>
          <w:tcPr>
            <w:tcW w:w="993" w:type="dxa"/>
            <w:tcBorders>
              <w:top w:val="single" w:sz="4" w:space="0" w:color="365F91"/>
              <w:bottom w:val="single" w:sz="4" w:space="0" w:color="365F91"/>
            </w:tcBorders>
            <w:shd w:val="clear" w:color="auto" w:fill="auto"/>
            <w:vAlign w:val="center"/>
          </w:tcPr>
          <w:p w14:paraId="5BB46804" w14:textId="77777777" w:rsidR="000E7C76" w:rsidRPr="00256982" w:rsidRDefault="000E7C76" w:rsidP="00E333BE">
            <w:pPr>
              <w:pStyle w:val="TableText"/>
              <w:spacing w:before="50" w:after="50"/>
            </w:pPr>
            <w:r w:rsidRPr="00256982">
              <w:t>2011</w:t>
            </w:r>
          </w:p>
        </w:tc>
        <w:tc>
          <w:tcPr>
            <w:tcW w:w="1984" w:type="dxa"/>
            <w:tcBorders>
              <w:top w:val="single" w:sz="4" w:space="0" w:color="365F91"/>
              <w:bottom w:val="single" w:sz="4" w:space="0" w:color="365F91"/>
            </w:tcBorders>
            <w:shd w:val="clear" w:color="auto" w:fill="auto"/>
          </w:tcPr>
          <w:p w14:paraId="33075AD7" w14:textId="77777777" w:rsidR="000E7C76" w:rsidRPr="00256982" w:rsidRDefault="000E7C76" w:rsidP="00E21944">
            <w:pPr>
              <w:pStyle w:val="TableText"/>
              <w:spacing w:before="50" w:after="50"/>
              <w:jc w:val="right"/>
            </w:pPr>
            <w:r w:rsidRPr="00256982">
              <w:t>934</w:t>
            </w:r>
          </w:p>
        </w:tc>
        <w:tc>
          <w:tcPr>
            <w:tcW w:w="2112" w:type="dxa"/>
            <w:tcBorders>
              <w:top w:val="single" w:sz="4" w:space="0" w:color="365F91"/>
              <w:bottom w:val="single" w:sz="4" w:space="0" w:color="365F91"/>
            </w:tcBorders>
            <w:shd w:val="clear" w:color="auto" w:fill="auto"/>
          </w:tcPr>
          <w:p w14:paraId="3C34A779" w14:textId="77777777" w:rsidR="000E7C76" w:rsidRPr="00256982" w:rsidRDefault="000E7C76" w:rsidP="00E21944">
            <w:pPr>
              <w:pStyle w:val="TableText"/>
              <w:spacing w:before="50" w:after="50"/>
              <w:jc w:val="right"/>
            </w:pPr>
            <w:r w:rsidRPr="00256982">
              <w:t>5,952</w:t>
            </w:r>
          </w:p>
        </w:tc>
        <w:tc>
          <w:tcPr>
            <w:tcW w:w="1701" w:type="dxa"/>
            <w:tcBorders>
              <w:top w:val="single" w:sz="4" w:space="0" w:color="365F91"/>
              <w:bottom w:val="single" w:sz="4" w:space="0" w:color="365F91"/>
            </w:tcBorders>
            <w:shd w:val="clear" w:color="auto" w:fill="auto"/>
          </w:tcPr>
          <w:p w14:paraId="4B099DBB" w14:textId="77777777" w:rsidR="000E7C76" w:rsidRPr="00256982" w:rsidRDefault="000E7C76" w:rsidP="00E21944">
            <w:pPr>
              <w:pStyle w:val="TableText"/>
              <w:spacing w:before="50" w:after="50"/>
              <w:jc w:val="right"/>
            </w:pPr>
            <w:r w:rsidRPr="00256982">
              <w:t>2,205</w:t>
            </w:r>
          </w:p>
        </w:tc>
        <w:tc>
          <w:tcPr>
            <w:tcW w:w="1715" w:type="dxa"/>
            <w:tcBorders>
              <w:top w:val="single" w:sz="4" w:space="0" w:color="365F91"/>
              <w:bottom w:val="single" w:sz="4" w:space="0" w:color="365F91"/>
            </w:tcBorders>
          </w:tcPr>
          <w:p w14:paraId="4AF4E16E" w14:textId="77777777" w:rsidR="000E7C76" w:rsidRPr="00256982" w:rsidRDefault="000E7C76" w:rsidP="00E21944">
            <w:pPr>
              <w:pStyle w:val="TableText"/>
              <w:spacing w:before="50" w:after="50"/>
              <w:jc w:val="right"/>
            </w:pPr>
            <w:r w:rsidRPr="00256982">
              <w:t xml:space="preserve">9,090 </w:t>
            </w:r>
          </w:p>
        </w:tc>
      </w:tr>
      <w:tr w:rsidR="000E7C76" w:rsidRPr="00256982" w14:paraId="744EA57A" w14:textId="77777777" w:rsidTr="000E7C76">
        <w:tc>
          <w:tcPr>
            <w:tcW w:w="993" w:type="dxa"/>
            <w:tcBorders>
              <w:top w:val="single" w:sz="4" w:space="0" w:color="365F91"/>
              <w:bottom w:val="single" w:sz="4" w:space="0" w:color="365F91"/>
            </w:tcBorders>
            <w:shd w:val="clear" w:color="auto" w:fill="auto"/>
            <w:vAlign w:val="center"/>
          </w:tcPr>
          <w:p w14:paraId="52BEF50D" w14:textId="77777777" w:rsidR="000E7C76" w:rsidRPr="00256982" w:rsidRDefault="000E7C76" w:rsidP="00E333BE">
            <w:pPr>
              <w:pStyle w:val="TableText"/>
              <w:spacing w:before="50" w:after="50"/>
            </w:pPr>
            <w:r w:rsidRPr="00256982">
              <w:t>2012</w:t>
            </w:r>
          </w:p>
        </w:tc>
        <w:tc>
          <w:tcPr>
            <w:tcW w:w="1984" w:type="dxa"/>
            <w:tcBorders>
              <w:top w:val="single" w:sz="4" w:space="0" w:color="365F91"/>
              <w:bottom w:val="single" w:sz="4" w:space="0" w:color="365F91"/>
            </w:tcBorders>
            <w:shd w:val="clear" w:color="auto" w:fill="auto"/>
          </w:tcPr>
          <w:p w14:paraId="02CBC39A" w14:textId="77777777" w:rsidR="000E7C76" w:rsidRPr="00256982" w:rsidRDefault="000E7C76" w:rsidP="00E21944">
            <w:pPr>
              <w:pStyle w:val="TableText"/>
              <w:spacing w:before="50" w:after="50"/>
              <w:jc w:val="right"/>
            </w:pPr>
            <w:r w:rsidRPr="00256982">
              <w:t>1,142</w:t>
            </w:r>
          </w:p>
        </w:tc>
        <w:tc>
          <w:tcPr>
            <w:tcW w:w="2112" w:type="dxa"/>
            <w:tcBorders>
              <w:top w:val="single" w:sz="4" w:space="0" w:color="365F91"/>
              <w:bottom w:val="single" w:sz="4" w:space="0" w:color="365F91"/>
            </w:tcBorders>
            <w:shd w:val="clear" w:color="auto" w:fill="auto"/>
          </w:tcPr>
          <w:p w14:paraId="5E1B902F" w14:textId="77777777" w:rsidR="000E7C76" w:rsidRPr="00256982" w:rsidRDefault="000E7C76" w:rsidP="00E21944">
            <w:pPr>
              <w:pStyle w:val="TableText"/>
              <w:spacing w:before="50" w:after="50"/>
              <w:jc w:val="right"/>
            </w:pPr>
            <w:r w:rsidRPr="00256982">
              <w:t>8,174</w:t>
            </w:r>
          </w:p>
        </w:tc>
        <w:tc>
          <w:tcPr>
            <w:tcW w:w="1701" w:type="dxa"/>
            <w:tcBorders>
              <w:top w:val="single" w:sz="4" w:space="0" w:color="365F91"/>
              <w:bottom w:val="single" w:sz="4" w:space="0" w:color="365F91"/>
            </w:tcBorders>
            <w:shd w:val="clear" w:color="auto" w:fill="auto"/>
          </w:tcPr>
          <w:p w14:paraId="62773F7B" w14:textId="77777777" w:rsidR="000E7C76" w:rsidRPr="00256982" w:rsidRDefault="000E7C76" w:rsidP="00E21944">
            <w:pPr>
              <w:pStyle w:val="TableText"/>
              <w:spacing w:before="50" w:after="50"/>
              <w:jc w:val="right"/>
            </w:pPr>
            <w:r w:rsidRPr="00256982">
              <w:t>1,419</w:t>
            </w:r>
          </w:p>
        </w:tc>
        <w:tc>
          <w:tcPr>
            <w:tcW w:w="1715" w:type="dxa"/>
            <w:tcBorders>
              <w:top w:val="single" w:sz="4" w:space="0" w:color="365F91"/>
              <w:bottom w:val="single" w:sz="4" w:space="0" w:color="365F91"/>
            </w:tcBorders>
          </w:tcPr>
          <w:p w14:paraId="13CB2B73" w14:textId="77777777" w:rsidR="000E7C76" w:rsidRPr="00256982" w:rsidRDefault="000E7C76" w:rsidP="00E21944">
            <w:pPr>
              <w:pStyle w:val="TableText"/>
              <w:spacing w:before="50" w:after="50"/>
              <w:jc w:val="right"/>
            </w:pPr>
            <w:r w:rsidRPr="00256982">
              <w:t xml:space="preserve">10,735 </w:t>
            </w:r>
          </w:p>
        </w:tc>
      </w:tr>
      <w:tr w:rsidR="000E7C76" w:rsidRPr="00256982" w14:paraId="19F96C7A" w14:textId="77777777" w:rsidTr="000E7C76">
        <w:tc>
          <w:tcPr>
            <w:tcW w:w="993" w:type="dxa"/>
            <w:tcBorders>
              <w:top w:val="single" w:sz="4" w:space="0" w:color="365F91"/>
              <w:bottom w:val="single" w:sz="4" w:space="0" w:color="365F91"/>
            </w:tcBorders>
            <w:shd w:val="clear" w:color="auto" w:fill="auto"/>
            <w:vAlign w:val="center"/>
          </w:tcPr>
          <w:p w14:paraId="082F3D33" w14:textId="77777777" w:rsidR="000E7C76" w:rsidRPr="00256982" w:rsidRDefault="000E7C76" w:rsidP="00E333BE">
            <w:pPr>
              <w:pStyle w:val="TableText"/>
              <w:spacing w:before="50" w:after="50"/>
            </w:pPr>
            <w:r w:rsidRPr="00256982">
              <w:t>2013</w:t>
            </w:r>
          </w:p>
        </w:tc>
        <w:tc>
          <w:tcPr>
            <w:tcW w:w="1984" w:type="dxa"/>
            <w:tcBorders>
              <w:top w:val="single" w:sz="4" w:space="0" w:color="365F91"/>
              <w:bottom w:val="single" w:sz="4" w:space="0" w:color="365F91"/>
            </w:tcBorders>
            <w:shd w:val="clear" w:color="auto" w:fill="auto"/>
          </w:tcPr>
          <w:p w14:paraId="174B7504" w14:textId="77777777" w:rsidR="000E7C76" w:rsidRPr="00256982" w:rsidRDefault="000E7C76" w:rsidP="00E21944">
            <w:pPr>
              <w:pStyle w:val="TableText"/>
              <w:spacing w:before="50" w:after="50"/>
              <w:jc w:val="right"/>
            </w:pPr>
            <w:r w:rsidRPr="00256982">
              <w:t>1,183</w:t>
            </w:r>
          </w:p>
        </w:tc>
        <w:tc>
          <w:tcPr>
            <w:tcW w:w="2112" w:type="dxa"/>
            <w:tcBorders>
              <w:top w:val="single" w:sz="4" w:space="0" w:color="365F91"/>
              <w:bottom w:val="single" w:sz="4" w:space="0" w:color="365F91"/>
            </w:tcBorders>
            <w:shd w:val="clear" w:color="auto" w:fill="auto"/>
          </w:tcPr>
          <w:p w14:paraId="44D4E9BA" w14:textId="77777777" w:rsidR="000E7C76" w:rsidRPr="00256982" w:rsidRDefault="000E7C76" w:rsidP="00E21944">
            <w:pPr>
              <w:pStyle w:val="TableText"/>
              <w:spacing w:before="50" w:after="50"/>
              <w:jc w:val="right"/>
            </w:pPr>
            <w:r w:rsidRPr="00256982">
              <w:t>10,915</w:t>
            </w:r>
          </w:p>
        </w:tc>
        <w:tc>
          <w:tcPr>
            <w:tcW w:w="1701" w:type="dxa"/>
            <w:tcBorders>
              <w:top w:val="single" w:sz="4" w:space="0" w:color="365F91"/>
              <w:bottom w:val="single" w:sz="4" w:space="0" w:color="365F91"/>
            </w:tcBorders>
            <w:shd w:val="clear" w:color="auto" w:fill="auto"/>
          </w:tcPr>
          <w:p w14:paraId="37176527" w14:textId="77777777" w:rsidR="000E7C76" w:rsidRPr="00256982" w:rsidRDefault="000E7C76" w:rsidP="00E21944">
            <w:pPr>
              <w:pStyle w:val="TableText"/>
              <w:spacing w:before="50" w:after="50"/>
              <w:jc w:val="right"/>
            </w:pPr>
            <w:r w:rsidRPr="00256982">
              <w:t>3,063</w:t>
            </w:r>
          </w:p>
        </w:tc>
        <w:tc>
          <w:tcPr>
            <w:tcW w:w="1715" w:type="dxa"/>
            <w:tcBorders>
              <w:top w:val="single" w:sz="4" w:space="0" w:color="365F91"/>
              <w:bottom w:val="single" w:sz="4" w:space="0" w:color="365F91"/>
            </w:tcBorders>
          </w:tcPr>
          <w:p w14:paraId="1790682E" w14:textId="77777777" w:rsidR="000E7C76" w:rsidRPr="00256982" w:rsidRDefault="000E7C76" w:rsidP="00E21944">
            <w:pPr>
              <w:pStyle w:val="TableText"/>
              <w:spacing w:before="50" w:after="50"/>
              <w:jc w:val="right"/>
            </w:pPr>
            <w:r w:rsidRPr="00256982">
              <w:t xml:space="preserve">15,160 </w:t>
            </w:r>
          </w:p>
        </w:tc>
      </w:tr>
      <w:tr w:rsidR="000E7C76" w:rsidRPr="00256982" w14:paraId="658F8643" w14:textId="77777777" w:rsidTr="000E7C76">
        <w:tc>
          <w:tcPr>
            <w:tcW w:w="993" w:type="dxa"/>
            <w:tcBorders>
              <w:top w:val="single" w:sz="4" w:space="0" w:color="365F91"/>
              <w:bottom w:val="single" w:sz="4" w:space="0" w:color="365F91"/>
            </w:tcBorders>
            <w:shd w:val="clear" w:color="auto" w:fill="auto"/>
            <w:vAlign w:val="center"/>
          </w:tcPr>
          <w:p w14:paraId="10C34DE7" w14:textId="77777777" w:rsidR="000E7C76" w:rsidRPr="00256982" w:rsidRDefault="000E7C76" w:rsidP="00E333BE">
            <w:pPr>
              <w:pStyle w:val="TableText"/>
              <w:spacing w:before="50" w:after="50"/>
            </w:pPr>
            <w:r w:rsidRPr="00256982">
              <w:t>2014</w:t>
            </w:r>
          </w:p>
        </w:tc>
        <w:tc>
          <w:tcPr>
            <w:tcW w:w="1984" w:type="dxa"/>
            <w:tcBorders>
              <w:top w:val="single" w:sz="4" w:space="0" w:color="365F91"/>
              <w:bottom w:val="single" w:sz="4" w:space="0" w:color="365F91"/>
            </w:tcBorders>
            <w:shd w:val="clear" w:color="auto" w:fill="auto"/>
          </w:tcPr>
          <w:p w14:paraId="2F9058A2" w14:textId="77777777" w:rsidR="000E7C76" w:rsidRPr="00256982" w:rsidRDefault="000E7C76" w:rsidP="00E21944">
            <w:pPr>
              <w:pStyle w:val="TableText"/>
              <w:spacing w:before="50" w:after="50"/>
              <w:jc w:val="right"/>
            </w:pPr>
            <w:r w:rsidRPr="00256982">
              <w:t>412</w:t>
            </w:r>
          </w:p>
        </w:tc>
        <w:tc>
          <w:tcPr>
            <w:tcW w:w="2112" w:type="dxa"/>
            <w:tcBorders>
              <w:top w:val="single" w:sz="4" w:space="0" w:color="365F91"/>
              <w:bottom w:val="single" w:sz="4" w:space="0" w:color="365F91"/>
            </w:tcBorders>
            <w:shd w:val="clear" w:color="auto" w:fill="auto"/>
          </w:tcPr>
          <w:p w14:paraId="4FA4FDCA" w14:textId="77777777" w:rsidR="000E7C76" w:rsidRPr="00256982" w:rsidRDefault="000E7C76" w:rsidP="00E21944">
            <w:pPr>
              <w:pStyle w:val="TableText"/>
              <w:spacing w:before="50" w:after="50"/>
              <w:jc w:val="right"/>
            </w:pPr>
            <w:r w:rsidRPr="00256982">
              <w:t>6,013</w:t>
            </w:r>
          </w:p>
        </w:tc>
        <w:tc>
          <w:tcPr>
            <w:tcW w:w="1701" w:type="dxa"/>
            <w:tcBorders>
              <w:top w:val="single" w:sz="4" w:space="0" w:color="365F91"/>
              <w:bottom w:val="single" w:sz="4" w:space="0" w:color="365F91"/>
            </w:tcBorders>
            <w:shd w:val="clear" w:color="auto" w:fill="auto"/>
          </w:tcPr>
          <w:p w14:paraId="07A91E68" w14:textId="77777777" w:rsidR="000E7C76" w:rsidRPr="00256982" w:rsidRDefault="000E7C76" w:rsidP="00E21944">
            <w:pPr>
              <w:pStyle w:val="TableText"/>
              <w:spacing w:before="50" w:after="50"/>
              <w:jc w:val="right"/>
            </w:pPr>
            <w:r w:rsidRPr="00256982">
              <w:t>1,226</w:t>
            </w:r>
          </w:p>
        </w:tc>
        <w:tc>
          <w:tcPr>
            <w:tcW w:w="1715" w:type="dxa"/>
            <w:tcBorders>
              <w:top w:val="single" w:sz="4" w:space="0" w:color="365F91"/>
              <w:bottom w:val="single" w:sz="4" w:space="0" w:color="365F91"/>
            </w:tcBorders>
          </w:tcPr>
          <w:p w14:paraId="7E001E18" w14:textId="77777777" w:rsidR="000E7C76" w:rsidRPr="00256982" w:rsidRDefault="000E7C76" w:rsidP="00E21944">
            <w:pPr>
              <w:pStyle w:val="TableText"/>
              <w:spacing w:before="50" w:after="50"/>
              <w:jc w:val="right"/>
            </w:pPr>
            <w:r w:rsidRPr="00256982">
              <w:t xml:space="preserve">7,651 </w:t>
            </w:r>
          </w:p>
        </w:tc>
      </w:tr>
      <w:tr w:rsidR="000E7C76" w:rsidRPr="00256982" w14:paraId="14E9FF57" w14:textId="77777777" w:rsidTr="000E7C76">
        <w:tc>
          <w:tcPr>
            <w:tcW w:w="993" w:type="dxa"/>
            <w:tcBorders>
              <w:top w:val="single" w:sz="4" w:space="0" w:color="365F91"/>
              <w:bottom w:val="single" w:sz="4" w:space="0" w:color="365F91"/>
            </w:tcBorders>
            <w:shd w:val="clear" w:color="auto" w:fill="auto"/>
            <w:vAlign w:val="center"/>
          </w:tcPr>
          <w:p w14:paraId="4E1EA8CF" w14:textId="77777777" w:rsidR="000E7C76" w:rsidRPr="00256982" w:rsidRDefault="000E7C76" w:rsidP="00E333BE">
            <w:pPr>
              <w:pStyle w:val="TableText"/>
              <w:spacing w:before="50" w:after="50"/>
            </w:pPr>
            <w:r w:rsidRPr="00256982">
              <w:t>2015</w:t>
            </w:r>
            <w:r w:rsidRPr="00256982">
              <w:rPr>
                <w:vertAlign w:val="superscript"/>
              </w:rPr>
              <w:t xml:space="preserve"> </w:t>
            </w:r>
          </w:p>
        </w:tc>
        <w:tc>
          <w:tcPr>
            <w:tcW w:w="1984" w:type="dxa"/>
            <w:tcBorders>
              <w:top w:val="single" w:sz="4" w:space="0" w:color="365F91"/>
              <w:bottom w:val="single" w:sz="4" w:space="0" w:color="365F91"/>
            </w:tcBorders>
            <w:shd w:val="clear" w:color="auto" w:fill="auto"/>
          </w:tcPr>
          <w:p w14:paraId="093ED954" w14:textId="77777777" w:rsidR="000E7C76" w:rsidRPr="00256982" w:rsidRDefault="000E7C76" w:rsidP="00E21944">
            <w:pPr>
              <w:pStyle w:val="TableText"/>
              <w:spacing w:before="50" w:after="50"/>
              <w:jc w:val="right"/>
            </w:pPr>
            <w:r w:rsidRPr="00256982">
              <w:t>688</w:t>
            </w:r>
          </w:p>
        </w:tc>
        <w:tc>
          <w:tcPr>
            <w:tcW w:w="2112" w:type="dxa"/>
            <w:tcBorders>
              <w:top w:val="single" w:sz="4" w:space="0" w:color="365F91"/>
              <w:bottom w:val="single" w:sz="4" w:space="0" w:color="365F91"/>
            </w:tcBorders>
            <w:shd w:val="clear" w:color="auto" w:fill="auto"/>
          </w:tcPr>
          <w:p w14:paraId="4B2433F9" w14:textId="77777777" w:rsidR="000E7C76" w:rsidRPr="00256982" w:rsidRDefault="000E7C76" w:rsidP="00E21944">
            <w:pPr>
              <w:pStyle w:val="TableText"/>
              <w:spacing w:before="50" w:after="50"/>
              <w:jc w:val="right"/>
            </w:pPr>
            <w:r w:rsidRPr="00256982">
              <w:t>3,990</w:t>
            </w:r>
          </w:p>
        </w:tc>
        <w:tc>
          <w:tcPr>
            <w:tcW w:w="1701" w:type="dxa"/>
            <w:tcBorders>
              <w:top w:val="single" w:sz="4" w:space="0" w:color="365F91"/>
              <w:bottom w:val="single" w:sz="4" w:space="0" w:color="365F91"/>
            </w:tcBorders>
            <w:shd w:val="clear" w:color="auto" w:fill="auto"/>
          </w:tcPr>
          <w:p w14:paraId="46EAA3BC" w14:textId="77777777" w:rsidR="000E7C76" w:rsidRPr="00256982" w:rsidRDefault="000E7C76" w:rsidP="00E21944">
            <w:pPr>
              <w:pStyle w:val="TableText"/>
              <w:spacing w:before="50" w:after="50"/>
              <w:jc w:val="right"/>
            </w:pPr>
            <w:r w:rsidRPr="00256982">
              <w:t>1,564</w:t>
            </w:r>
          </w:p>
        </w:tc>
        <w:tc>
          <w:tcPr>
            <w:tcW w:w="1715" w:type="dxa"/>
            <w:tcBorders>
              <w:top w:val="single" w:sz="4" w:space="0" w:color="365F91"/>
              <w:bottom w:val="single" w:sz="4" w:space="0" w:color="365F91"/>
            </w:tcBorders>
          </w:tcPr>
          <w:p w14:paraId="329839B1" w14:textId="77777777" w:rsidR="000E7C76" w:rsidRPr="00256982" w:rsidRDefault="000E7C76" w:rsidP="00E21944">
            <w:pPr>
              <w:pStyle w:val="TableText"/>
              <w:spacing w:before="50" w:after="50"/>
              <w:jc w:val="right"/>
            </w:pPr>
            <w:r w:rsidRPr="00256982">
              <w:t xml:space="preserve">6,241 </w:t>
            </w:r>
          </w:p>
        </w:tc>
      </w:tr>
      <w:tr w:rsidR="000E7C76" w:rsidRPr="00256982" w14:paraId="31984C0A" w14:textId="77777777" w:rsidTr="000E7C76">
        <w:tc>
          <w:tcPr>
            <w:tcW w:w="993" w:type="dxa"/>
            <w:tcBorders>
              <w:top w:val="single" w:sz="4" w:space="0" w:color="365F91"/>
              <w:bottom w:val="single" w:sz="4" w:space="0" w:color="365F91"/>
            </w:tcBorders>
            <w:shd w:val="clear" w:color="auto" w:fill="auto"/>
            <w:vAlign w:val="center"/>
          </w:tcPr>
          <w:p w14:paraId="6FF55D62" w14:textId="77777777" w:rsidR="000E7C76" w:rsidRPr="00256982" w:rsidRDefault="000E7C76" w:rsidP="00E333BE">
            <w:pPr>
              <w:pStyle w:val="TableText"/>
              <w:spacing w:before="50" w:after="50"/>
            </w:pPr>
            <w:r w:rsidRPr="00256982">
              <w:t>2016</w:t>
            </w:r>
            <w:r w:rsidRPr="00256982">
              <w:rPr>
                <w:vertAlign w:val="superscript"/>
              </w:rPr>
              <w:t xml:space="preserve"> </w:t>
            </w:r>
          </w:p>
        </w:tc>
        <w:tc>
          <w:tcPr>
            <w:tcW w:w="1984" w:type="dxa"/>
            <w:tcBorders>
              <w:top w:val="single" w:sz="4" w:space="0" w:color="365F91"/>
              <w:bottom w:val="single" w:sz="4" w:space="0" w:color="365F91"/>
            </w:tcBorders>
            <w:shd w:val="clear" w:color="auto" w:fill="auto"/>
          </w:tcPr>
          <w:p w14:paraId="330C5BF5" w14:textId="77777777" w:rsidR="000E7C76" w:rsidRPr="00256982" w:rsidRDefault="000E7C76" w:rsidP="00E21944">
            <w:pPr>
              <w:pStyle w:val="TableText"/>
              <w:spacing w:before="50" w:after="50"/>
              <w:jc w:val="right"/>
            </w:pPr>
            <w:r w:rsidRPr="00256982">
              <w:t>434</w:t>
            </w:r>
          </w:p>
        </w:tc>
        <w:tc>
          <w:tcPr>
            <w:tcW w:w="2112" w:type="dxa"/>
            <w:tcBorders>
              <w:top w:val="single" w:sz="4" w:space="0" w:color="365F91"/>
              <w:bottom w:val="single" w:sz="4" w:space="0" w:color="365F91"/>
            </w:tcBorders>
            <w:shd w:val="clear" w:color="auto" w:fill="auto"/>
          </w:tcPr>
          <w:p w14:paraId="7C309A72" w14:textId="77777777" w:rsidR="000E7C76" w:rsidRPr="00256982" w:rsidRDefault="000E7C76" w:rsidP="00E21944">
            <w:pPr>
              <w:pStyle w:val="TableText"/>
              <w:spacing w:before="50" w:after="50"/>
              <w:jc w:val="right"/>
            </w:pPr>
            <w:r w:rsidRPr="00256982">
              <w:t>2,129</w:t>
            </w:r>
          </w:p>
        </w:tc>
        <w:tc>
          <w:tcPr>
            <w:tcW w:w="1701" w:type="dxa"/>
            <w:tcBorders>
              <w:top w:val="single" w:sz="4" w:space="0" w:color="365F91"/>
              <w:bottom w:val="single" w:sz="4" w:space="0" w:color="365F91"/>
            </w:tcBorders>
            <w:shd w:val="clear" w:color="auto" w:fill="auto"/>
          </w:tcPr>
          <w:p w14:paraId="6FA1FC73" w14:textId="77777777" w:rsidR="000E7C76" w:rsidRPr="00256982" w:rsidRDefault="000E7C76" w:rsidP="00E21944">
            <w:pPr>
              <w:pStyle w:val="TableText"/>
              <w:spacing w:before="50" w:after="50"/>
              <w:jc w:val="right"/>
            </w:pPr>
            <w:r w:rsidRPr="00256982">
              <w:t>1,060</w:t>
            </w:r>
          </w:p>
        </w:tc>
        <w:tc>
          <w:tcPr>
            <w:tcW w:w="1715" w:type="dxa"/>
            <w:tcBorders>
              <w:top w:val="single" w:sz="4" w:space="0" w:color="365F91"/>
              <w:bottom w:val="single" w:sz="4" w:space="0" w:color="365F91"/>
            </w:tcBorders>
          </w:tcPr>
          <w:p w14:paraId="345EBD7E" w14:textId="77777777" w:rsidR="000E7C76" w:rsidRPr="00256982" w:rsidRDefault="000E7C76" w:rsidP="00E21944">
            <w:pPr>
              <w:pStyle w:val="TableText"/>
              <w:spacing w:before="50" w:after="50"/>
              <w:jc w:val="right"/>
            </w:pPr>
            <w:r w:rsidRPr="00256982">
              <w:t xml:space="preserve">3,623 </w:t>
            </w:r>
          </w:p>
        </w:tc>
      </w:tr>
      <w:tr w:rsidR="000E7C76" w:rsidRPr="00256982" w14:paraId="047218CA" w14:textId="77777777" w:rsidTr="000E7C76">
        <w:tc>
          <w:tcPr>
            <w:tcW w:w="993" w:type="dxa"/>
            <w:tcBorders>
              <w:top w:val="single" w:sz="4" w:space="0" w:color="365F91"/>
              <w:bottom w:val="single" w:sz="4" w:space="0" w:color="365F91"/>
            </w:tcBorders>
            <w:shd w:val="clear" w:color="auto" w:fill="auto"/>
            <w:vAlign w:val="center"/>
          </w:tcPr>
          <w:p w14:paraId="3AA9D720" w14:textId="77777777" w:rsidR="000E7C76" w:rsidRPr="00256982" w:rsidRDefault="000E7C76" w:rsidP="00E333BE">
            <w:pPr>
              <w:pStyle w:val="TableText"/>
              <w:spacing w:before="50" w:after="50"/>
            </w:pPr>
            <w:r w:rsidRPr="00256982">
              <w:t>2017</w:t>
            </w:r>
            <w:r w:rsidRPr="00256982">
              <w:rPr>
                <w:vertAlign w:val="superscript"/>
              </w:rPr>
              <w:t xml:space="preserve"> P</w:t>
            </w:r>
          </w:p>
        </w:tc>
        <w:tc>
          <w:tcPr>
            <w:tcW w:w="1984" w:type="dxa"/>
            <w:tcBorders>
              <w:top w:val="single" w:sz="4" w:space="0" w:color="365F91"/>
              <w:bottom w:val="single" w:sz="4" w:space="0" w:color="365F91"/>
            </w:tcBorders>
            <w:shd w:val="clear" w:color="auto" w:fill="auto"/>
          </w:tcPr>
          <w:p w14:paraId="20AEC902" w14:textId="77777777" w:rsidR="000E7C76" w:rsidRPr="00256982" w:rsidRDefault="000E7C76" w:rsidP="00E21944">
            <w:pPr>
              <w:pStyle w:val="TableText"/>
              <w:spacing w:before="50" w:after="50"/>
              <w:jc w:val="right"/>
            </w:pPr>
            <w:r w:rsidRPr="00256982">
              <w:t xml:space="preserve">772 </w:t>
            </w:r>
          </w:p>
        </w:tc>
        <w:tc>
          <w:tcPr>
            <w:tcW w:w="2112" w:type="dxa"/>
            <w:tcBorders>
              <w:top w:val="single" w:sz="4" w:space="0" w:color="365F91"/>
              <w:bottom w:val="single" w:sz="4" w:space="0" w:color="365F91"/>
            </w:tcBorders>
            <w:shd w:val="clear" w:color="auto" w:fill="auto"/>
          </w:tcPr>
          <w:p w14:paraId="6C621828" w14:textId="77777777" w:rsidR="000E7C76" w:rsidRPr="00256982" w:rsidRDefault="000E7C76" w:rsidP="00E21944">
            <w:pPr>
              <w:pStyle w:val="TableText"/>
              <w:spacing w:before="50" w:after="50"/>
              <w:jc w:val="right"/>
            </w:pPr>
            <w:r w:rsidRPr="00256982">
              <w:t>1,713</w:t>
            </w:r>
          </w:p>
        </w:tc>
        <w:tc>
          <w:tcPr>
            <w:tcW w:w="1701" w:type="dxa"/>
            <w:tcBorders>
              <w:top w:val="single" w:sz="4" w:space="0" w:color="365F91"/>
              <w:bottom w:val="single" w:sz="4" w:space="0" w:color="365F91"/>
            </w:tcBorders>
            <w:shd w:val="clear" w:color="auto" w:fill="auto"/>
          </w:tcPr>
          <w:p w14:paraId="0A45ACD9" w14:textId="77777777" w:rsidR="000E7C76" w:rsidRPr="00256982" w:rsidRDefault="000E7C76" w:rsidP="00E21944">
            <w:pPr>
              <w:pStyle w:val="TableText"/>
              <w:spacing w:before="50" w:after="50"/>
              <w:jc w:val="right"/>
            </w:pPr>
            <w:r w:rsidRPr="00256982">
              <w:t>462</w:t>
            </w:r>
          </w:p>
        </w:tc>
        <w:tc>
          <w:tcPr>
            <w:tcW w:w="1715" w:type="dxa"/>
            <w:tcBorders>
              <w:top w:val="single" w:sz="4" w:space="0" w:color="365F91"/>
              <w:bottom w:val="single" w:sz="4" w:space="0" w:color="365F91"/>
            </w:tcBorders>
          </w:tcPr>
          <w:p w14:paraId="2E04AD1E" w14:textId="77777777" w:rsidR="000E7C76" w:rsidRPr="00256982" w:rsidRDefault="000E7C76" w:rsidP="00E21944">
            <w:pPr>
              <w:pStyle w:val="TableText"/>
              <w:spacing w:before="50" w:after="50"/>
              <w:jc w:val="right"/>
            </w:pPr>
            <w:r w:rsidRPr="00256982">
              <w:t>2,947</w:t>
            </w:r>
          </w:p>
        </w:tc>
      </w:tr>
    </w:tbl>
    <w:p w14:paraId="282DBC66" w14:textId="77777777" w:rsidR="000E7C76" w:rsidRPr="00256982" w:rsidRDefault="000E7C76" w:rsidP="000E7C76">
      <w:pPr>
        <w:pStyle w:val="Noteundertable"/>
      </w:pPr>
      <w:r w:rsidRPr="00256982">
        <w:rPr>
          <w:b/>
        </w:rPr>
        <w:t>Note:</w:t>
      </w:r>
      <w:r w:rsidRPr="00256982">
        <w:tab/>
        <w:t>P</w:t>
      </w:r>
      <w:r w:rsidRPr="00256982">
        <w:rPr>
          <w:vertAlign w:val="subscript"/>
        </w:rPr>
        <w:t xml:space="preserve"> </w:t>
      </w:r>
      <w:r w:rsidRPr="00256982">
        <w:t>= provisional figure. Areas as at 31 December. Deforestation differs from that in chapter 6 due to carbon equivalent forests being reported separately.</w:t>
      </w:r>
    </w:p>
    <w:p w14:paraId="7DA165AD" w14:textId="77777777" w:rsidR="000E7C76" w:rsidRPr="00256982" w:rsidRDefault="000E7C76" w:rsidP="000E7C76">
      <w:pPr>
        <w:pStyle w:val="BodyText"/>
      </w:pPr>
      <w:r w:rsidRPr="00256982">
        <w:t>Figure 11.3.1 shows the annual areas d</w:t>
      </w:r>
      <w:r w:rsidRPr="00256982">
        <w:rPr>
          <w:spacing w:val="-2"/>
        </w:rPr>
        <w:t xml:space="preserve">eforested </w:t>
      </w:r>
      <w:r w:rsidRPr="00256982">
        <w:t xml:space="preserve">since 1990, by forest category. This illustrates the increase in pre-1990 planted forest </w:t>
      </w:r>
      <w:r w:rsidRPr="00256982">
        <w:rPr>
          <w:spacing w:val="-2"/>
        </w:rPr>
        <w:t>deforestation</w:t>
      </w:r>
      <w:r w:rsidRPr="00256982">
        <w:t xml:space="preserve"> that occurred in the four years leading up to 2008.</w:t>
      </w:r>
    </w:p>
    <w:p w14:paraId="33C688C5" w14:textId="77777777" w:rsidR="000E7C76" w:rsidRPr="00256982" w:rsidRDefault="000E7C76" w:rsidP="000E7C76">
      <w:pPr>
        <w:pStyle w:val="BodyText"/>
      </w:pPr>
      <w:r w:rsidRPr="00256982">
        <w:t xml:space="preserve">While the conversion of land from one land use to another is not uncommon in New Zealand, plantation forest </w:t>
      </w:r>
      <w:r w:rsidRPr="00256982">
        <w:rPr>
          <w:spacing w:val="-2"/>
        </w:rPr>
        <w:t>deforestation</w:t>
      </w:r>
      <w:r w:rsidRPr="00256982">
        <w:t xml:space="preserve"> on the scale seen between 2004 and 2008 was a new phenomenon. Most of the area of planted forest that was deforested from the mid-2000s onwards has subsequently been converted to grassland. This conversion is due in part to the relative profitability of some forms of pastoral farming (particularly dairy farming), compared with forestry, as well as the anticipated introduction of the NZ ETS.</w:t>
      </w:r>
    </w:p>
    <w:p w14:paraId="6279CF32" w14:textId="77777777" w:rsidR="000E7C76" w:rsidRPr="00256982" w:rsidRDefault="000E7C76" w:rsidP="00E333BE">
      <w:pPr>
        <w:pStyle w:val="Figure"/>
      </w:pPr>
      <w:bookmarkStart w:id="2710" w:name="_Toc456179009"/>
      <w:bookmarkStart w:id="2711" w:name="_Toc481752045"/>
      <w:bookmarkStart w:id="2712" w:name="_Toc522010714"/>
      <w:bookmarkStart w:id="2713" w:name="_Toc5269734"/>
      <w:r w:rsidRPr="00256982">
        <w:t>Figure 11.3.1</w:t>
      </w:r>
      <w:r w:rsidRPr="00256982">
        <w:tab/>
        <w:t>New Zealand’s annual areas of deforestation from 1990 to </w:t>
      </w:r>
      <w:bookmarkEnd w:id="2710"/>
      <w:bookmarkEnd w:id="2711"/>
      <w:bookmarkEnd w:id="2712"/>
      <w:r w:rsidRPr="00256982">
        <w:t>2017</w:t>
      </w:r>
      <w:bookmarkEnd w:id="2713"/>
    </w:p>
    <w:p w14:paraId="760EA500" w14:textId="302E0AF9" w:rsidR="000E7C76" w:rsidRPr="00256982" w:rsidRDefault="00590491" w:rsidP="00E333BE">
      <w:pPr>
        <w:jc w:val="left"/>
      </w:pPr>
      <w:r>
        <w:rPr>
          <w:lang w:eastAsia="en-NZ"/>
        </w:rPr>
        <w:pict w14:anchorId="3E0EBE20">
          <v:shape id="_x0000_i1170" type="#_x0000_t75" style="width:411.75pt;height:189pt;visibility:visible" o:gfxdata="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">
            <v:imagedata r:id="rId257" o:title="" croptop="2044f" cropleft="1949f" cropright="2030f"/>
            <o:lock v:ext="edit" aspectratio="f"/>
          </v:shape>
        </w:pict>
      </w:r>
    </w:p>
    <w:p w14:paraId="2ADCEA29" w14:textId="77777777" w:rsidR="000E7C76" w:rsidRPr="00256982" w:rsidRDefault="000E7C76" w:rsidP="00FB19E2">
      <w:pPr>
        <w:pStyle w:val="BodyText"/>
        <w:spacing w:before="160" w:after="100"/>
      </w:pPr>
      <w:r w:rsidRPr="00256982">
        <w:t xml:space="preserve">There are no emissions from </w:t>
      </w:r>
      <w:r w:rsidRPr="00256982">
        <w:rPr>
          <w:spacing w:val="-2"/>
        </w:rPr>
        <w:t>deforestation</w:t>
      </w:r>
      <w:r w:rsidRPr="00256982">
        <w:t xml:space="preserve"> of pre-1990 planted forest or post-1989 forest estimated before 2000. This activity was not significant, and insufficient data exist to reliably report the small areas of </w:t>
      </w:r>
      <w:r w:rsidRPr="00256982">
        <w:rPr>
          <w:spacing w:val="-2"/>
        </w:rPr>
        <w:t>deforestation</w:t>
      </w:r>
      <w:r w:rsidRPr="00256982">
        <w:t xml:space="preserve"> that may have occurred.</w:t>
      </w:r>
    </w:p>
    <w:p w14:paraId="780FF5CA" w14:textId="77777777" w:rsidR="000E7C76" w:rsidRPr="00256982" w:rsidRDefault="000E7C76" w:rsidP="000E7C76">
      <w:pPr>
        <w:pStyle w:val="BodyText"/>
        <w:spacing w:before="100" w:after="100"/>
      </w:pPr>
      <w:r w:rsidRPr="00256982">
        <w:t xml:space="preserve">Since the introduction of the NZ ETS in 2008, owners of pre-1990 planted forest have been able to deforest a maximum of 2 hectares in any five-year period without having to surrender emission units. Above this level of </w:t>
      </w:r>
      <w:r w:rsidRPr="00256982">
        <w:rPr>
          <w:spacing w:val="-2"/>
        </w:rPr>
        <w:t>deforestation</w:t>
      </w:r>
      <w:r w:rsidRPr="00256982">
        <w:t xml:space="preserve">, they are required to surrender units equal to the reported emissions, with some exemptions for smaller forest owners and tree weeds within protected areas (Ministry for Primary Industries, 2015d). Since 2007, there has been a significant reduction in the rate of </w:t>
      </w:r>
      <w:r w:rsidRPr="00256982">
        <w:rPr>
          <w:spacing w:val="-2"/>
        </w:rPr>
        <w:t>deforestation</w:t>
      </w:r>
      <w:r w:rsidRPr="00256982">
        <w:t xml:space="preserve"> of pre-1990 planted forest. Post-1989 forest owners, who are registered in the scheme, also have legal obligations to surrender units if the carbon stocks in their registered forest area fall below a previously reported level (for example, due to deforestation, harvesting or fire). </w:t>
      </w:r>
    </w:p>
    <w:p w14:paraId="175550DA" w14:textId="77777777" w:rsidR="000E7C76" w:rsidRPr="00256982" w:rsidRDefault="000E7C76" w:rsidP="000E7C76">
      <w:pPr>
        <w:pStyle w:val="BodyText"/>
        <w:spacing w:before="100" w:after="100"/>
      </w:pPr>
      <w:r w:rsidRPr="00256982">
        <w:t xml:space="preserve">It was expected that the level of deforestation during the first Kyoto Protocol commitment period (2008–12) would be less than that seen prior to the introduction of the NZ ETS in 2008 (Manley, 2009). However, following the introduction of the NZ ETS, the carbon price went into a steady decline. The low carbon price reduced the liability on pre-1990 planted forest owners for deforestation. Consequently, more deforestation has occurred since 2008 than previously expected. Carbon prices have since increased following </w:t>
      </w:r>
      <w:r w:rsidRPr="00256982">
        <w:rPr>
          <w:spacing w:val="-2"/>
        </w:rPr>
        <w:t>the exclusion of international units from the scheme on 31 May 2015, the conclusion of the NZ ETS review and the implementation of some of its findings</w:t>
      </w:r>
      <w:r w:rsidRPr="00256982">
        <w:t xml:space="preserve">. These higher carbon prices are coincident with reduced deforestation activities and the first participants of the domestic version of the carbon equivalent forests provision, which is now available within the NZ ETS. </w:t>
      </w:r>
    </w:p>
    <w:p w14:paraId="3F0B8872" w14:textId="77777777" w:rsidR="000E7C76" w:rsidRPr="00256982" w:rsidRDefault="000E7C76" w:rsidP="000E7C76">
      <w:pPr>
        <w:pStyle w:val="BodyText"/>
        <w:spacing w:before="100" w:after="100"/>
      </w:pPr>
      <w:r w:rsidRPr="00256982">
        <w:t xml:space="preserve">The area of </w:t>
      </w:r>
      <w:r w:rsidRPr="00256982">
        <w:rPr>
          <w:spacing w:val="-2"/>
        </w:rPr>
        <w:t>deforestation</w:t>
      </w:r>
      <w:r w:rsidRPr="00256982">
        <w:t xml:space="preserve"> of pre-1990 natural forest prior to 2008 has been estimated by linear interpolation from the average land-use change mapped between 1 January 1990 and 1 January 2008. However, a number of factors suggest that the rate of pre-1990 natural forest deforestation is unlikely to have been constant over the 18-year period between 1990 and 2007, but instead mostly occurred prior to 2002. The area available for harvesting (and potentially deforestation) was higher before 1993 when amendments were made to the Forests Act 1949 that restricted natural forest harvesting. Further restrictions on the harvesting of natural forests were also introduced in 2002, resulting in the cessation of harvesting of publicly owned forests on the West Coast of New Zealand from that time on. Both of these developments are likely to have reduced pre-1990 natural forest deforestation since 2002.</w:t>
      </w:r>
    </w:p>
    <w:p w14:paraId="387E61AB" w14:textId="77777777" w:rsidR="000E7C76" w:rsidRPr="00256982" w:rsidRDefault="000E7C76" w:rsidP="000E7C76">
      <w:pPr>
        <w:pStyle w:val="BodyText"/>
      </w:pPr>
      <w:r w:rsidRPr="00256982">
        <w:t>Further detail on the methods employed for estimating deforestation</w:t>
      </w:r>
      <w:r w:rsidRPr="00256982">
        <w:rPr>
          <w:i/>
        </w:rPr>
        <w:t xml:space="preserve"> </w:t>
      </w:r>
      <w:r w:rsidRPr="00256982">
        <w:t>is provided in chapter 6, section 6.2.3.</w:t>
      </w:r>
    </w:p>
    <w:p w14:paraId="6375B84F" w14:textId="77777777" w:rsidR="000E7C76" w:rsidRPr="00256982" w:rsidRDefault="000E7C76" w:rsidP="000E7C76">
      <w:pPr>
        <w:pStyle w:val="Heading3"/>
        <w:rPr>
          <w:rFonts w:eastAsia="Calibri"/>
        </w:rPr>
      </w:pPr>
      <w:r w:rsidRPr="00256982">
        <w:rPr>
          <w:rFonts w:eastAsia="Calibri"/>
        </w:rPr>
        <w:t>11.3.4</w:t>
      </w:r>
      <w:r w:rsidRPr="00256982">
        <w:rPr>
          <w:rFonts w:eastAsia="Calibri"/>
        </w:rPr>
        <w:tab/>
        <w:t>Forest management CRF 4(KP.B.1))</w:t>
      </w:r>
    </w:p>
    <w:p w14:paraId="362C8AB6" w14:textId="77777777" w:rsidR="000E7C76" w:rsidRPr="00256982" w:rsidRDefault="000E7C76" w:rsidP="00FB19E2">
      <w:pPr>
        <w:pStyle w:val="BodyText"/>
        <w:spacing w:before="100" w:after="100"/>
      </w:pPr>
      <w:r w:rsidRPr="00256982">
        <w:t xml:space="preserve">New Zealand reports emissions and removals from </w:t>
      </w:r>
      <w:r w:rsidRPr="00256982">
        <w:rPr>
          <w:i/>
        </w:rPr>
        <w:t>Forest management</w:t>
      </w:r>
      <w:r w:rsidRPr="00256982">
        <w:t xml:space="preserve"> from 2013 onwards. New Zealand has applied the broad approach to interpreting the definition of forest management so that it includes the whole area classified as pre-1990 natural forest and pre-1990 planted forest. The area in this category excludes any area deforested since 1990, because this is reported under Article 3.3 – </w:t>
      </w:r>
      <w:r w:rsidRPr="00256982">
        <w:rPr>
          <w:i/>
        </w:rPr>
        <w:t>Deforestation</w:t>
      </w:r>
      <w:r w:rsidRPr="00256982">
        <w:t xml:space="preserve">, and includes areas to which the carbon equivalent forest provision is applied. </w:t>
      </w:r>
    </w:p>
    <w:p w14:paraId="65D2440D" w14:textId="77777777" w:rsidR="000E7C76" w:rsidRPr="00256982" w:rsidRDefault="000E7C76" w:rsidP="00FB19E2">
      <w:pPr>
        <w:pStyle w:val="BodyText"/>
        <w:spacing w:before="100" w:after="100"/>
      </w:pPr>
      <w:r w:rsidRPr="00256982">
        <w:t>In 2017, emissions on this land were –14,553.9 kt CO</w:t>
      </w:r>
      <w:r w:rsidRPr="00256982">
        <w:rPr>
          <w:vertAlign w:val="subscript"/>
        </w:rPr>
        <w:t>2</w:t>
      </w:r>
      <w:r w:rsidRPr="00256982">
        <w:t xml:space="preserve">-e. This included emissions of </w:t>
      </w:r>
      <w:r w:rsidRPr="00256982">
        <w:br/>
        <w:t>–9,751.4 kt CO</w:t>
      </w:r>
      <w:r w:rsidRPr="00256982">
        <w:rPr>
          <w:vertAlign w:val="subscript"/>
        </w:rPr>
        <w:t>2</w:t>
      </w:r>
      <w:r w:rsidRPr="00256982">
        <w:t xml:space="preserve">-e from harvested wood products originating from </w:t>
      </w:r>
      <w:r w:rsidRPr="00256982">
        <w:rPr>
          <w:i/>
        </w:rPr>
        <w:t>Forest management</w:t>
      </w:r>
      <w:r w:rsidRPr="00256982">
        <w:t xml:space="preserve">. </w:t>
      </w:r>
    </w:p>
    <w:p w14:paraId="4E89A20E" w14:textId="77777777" w:rsidR="000E7C76" w:rsidRPr="00256982" w:rsidRDefault="000E7C76" w:rsidP="00FB19E2">
      <w:pPr>
        <w:pStyle w:val="BodyText"/>
        <w:spacing w:before="100" w:after="100"/>
      </w:pPr>
      <w:r w:rsidRPr="00256982">
        <w:t xml:space="preserve">The total area remaining in </w:t>
      </w:r>
      <w:r w:rsidRPr="00256982">
        <w:rPr>
          <w:i/>
        </w:rPr>
        <w:t>Forest management</w:t>
      </w:r>
      <w:r w:rsidRPr="00256982">
        <w:t xml:space="preserve"> at the end of 2017 was 9,245,248 hectares; this is a decrease of 165,553 hectares (or 1.8 per cent) since 1990.</w:t>
      </w:r>
    </w:p>
    <w:p w14:paraId="111ACC2E" w14:textId="77777777" w:rsidR="000E7C76" w:rsidRPr="00256982" w:rsidRDefault="000E7C76" w:rsidP="00FB19E2">
      <w:pPr>
        <w:pStyle w:val="BodyText"/>
        <w:spacing w:before="100" w:after="100"/>
      </w:pPr>
      <w:r w:rsidRPr="00256982">
        <w:t xml:space="preserve">The source of the activity data and emission factors applied to </w:t>
      </w:r>
      <w:r w:rsidRPr="00256982">
        <w:rPr>
          <w:i/>
        </w:rPr>
        <w:t>Forest management</w:t>
      </w:r>
      <w:r w:rsidRPr="00256982">
        <w:t xml:space="preserve"> activities is described in more detail in chapter 6. This is because New Zealand applies the same methods to estimating emissions from </w:t>
      </w:r>
      <w:r w:rsidRPr="00256982">
        <w:rPr>
          <w:i/>
        </w:rPr>
        <w:t>Forest Management</w:t>
      </w:r>
      <w:r w:rsidRPr="00256982">
        <w:t xml:space="preserve"> activities as those applied to the equivalent land use categories of the inventory. </w:t>
      </w:r>
    </w:p>
    <w:p w14:paraId="4C17B310" w14:textId="77777777" w:rsidR="000E7C76" w:rsidRPr="00256982" w:rsidRDefault="000E7C76" w:rsidP="00FB19E2">
      <w:pPr>
        <w:pStyle w:val="BodyText"/>
        <w:spacing w:before="100" w:after="100"/>
      </w:pPr>
      <w:r w:rsidRPr="00256982">
        <w:t xml:space="preserve">Where the land reported under </w:t>
      </w:r>
      <w:r w:rsidRPr="00256982">
        <w:rPr>
          <w:i/>
        </w:rPr>
        <w:t>Forest Management</w:t>
      </w:r>
      <w:r w:rsidRPr="00256982">
        <w:t xml:space="preserve"> has remained in the same land use sub-division for more than 20 years, mineral soil carbon stocks are assumed to have reached steady state. New Zealand models the effects of land use on mineral soil carbon based on empirical measurements collected from each land-use sub-division in steady state, specifically to model land-use change and management effects. The pre-1990 forests are subdivided into natural and planted forest types, which allows the different management methods to be taken into account. Where the land reported under </w:t>
      </w:r>
      <w:r w:rsidRPr="00256982">
        <w:rPr>
          <w:i/>
        </w:rPr>
        <w:t>Forest Management</w:t>
      </w:r>
      <w:r w:rsidRPr="00256982">
        <w:t xml:space="preserve"> is no longer in its native land use, irrespective of how long it has been in the land use, where organic soil is present, the soil organic carbon pool is an ongoing source of emissions, and these are reported. More detail is provided in chapter 6, section 6.3. </w:t>
      </w:r>
      <w:r w:rsidRPr="00256982">
        <w:rPr>
          <w:spacing w:val="-2"/>
        </w:rPr>
        <w:t>This information has been added to address expert review team recommendation KL.4 (FCCC/ARR/2017/NZL).</w:t>
      </w:r>
    </w:p>
    <w:p w14:paraId="443D490D" w14:textId="77777777" w:rsidR="000E7C76" w:rsidRPr="00256982" w:rsidRDefault="000E7C76" w:rsidP="00FB19E2">
      <w:pPr>
        <w:pStyle w:val="BodyText"/>
        <w:spacing w:before="100" w:after="100"/>
      </w:pPr>
      <w:r w:rsidRPr="00256982">
        <w:t xml:space="preserve">As agreed in Decision 2/CMP.7 (UNFCCC, 2012), accounting for </w:t>
      </w:r>
      <w:r w:rsidRPr="00256982">
        <w:rPr>
          <w:i/>
        </w:rPr>
        <w:t>Forest management</w:t>
      </w:r>
      <w:r w:rsidRPr="00256982">
        <w:t xml:space="preserve"> is now mandatory and measured against the Forest Management Reference Level (FMRL) inscribed in the appendix to the annex to Decision 2/CMP.7 (UNFCCC, 2012). This means New Zealand is only required to take responsibility for emissions from land under </w:t>
      </w:r>
      <w:r w:rsidRPr="00256982">
        <w:rPr>
          <w:i/>
        </w:rPr>
        <w:t>Forest management</w:t>
      </w:r>
      <w:r w:rsidRPr="00256982">
        <w:t xml:space="preserve"> where these emissions are greater than the reference level, and can claim reductions where emissions are less than the reference level (up to a cap set at 3.5 per cent of New Zealand’s gross emissions in the base year). New Zealand’s FMRL is 11.150 megatonnes (Mt) CO</w:t>
      </w:r>
      <w:r w:rsidRPr="00256982">
        <w:rPr>
          <w:vertAlign w:val="subscript"/>
        </w:rPr>
        <w:t>2</w:t>
      </w:r>
      <w:r w:rsidRPr="00256982">
        <w:t xml:space="preserve">-e per year. It was set using a business-as-usual projection of emissions for </w:t>
      </w:r>
      <w:r w:rsidRPr="00256982">
        <w:rPr>
          <w:i/>
        </w:rPr>
        <w:t xml:space="preserve">Forest management </w:t>
      </w:r>
      <w:r w:rsidRPr="00256982">
        <w:t xml:space="preserve">over the period to 2020 and represents the estimated annual average emissions between 2013 and 2020. Technical corrections to the FMRL, as required by Decision 2/CMP.7, Annex I, para 14 (UNFCCC, 2012), were made in the 2016 submission. Details of these corrections are provided in annex 5.1. New Zealand has undertaken an additional technical correction for the 2019 submission, as discussed below. </w:t>
      </w:r>
    </w:p>
    <w:p w14:paraId="7E284233" w14:textId="77777777" w:rsidR="000E7C76" w:rsidRPr="00256982" w:rsidRDefault="000E7C76" w:rsidP="00FB19E2">
      <w:pPr>
        <w:pStyle w:val="BodyText"/>
        <w:spacing w:before="100" w:after="100"/>
        <w:rPr>
          <w:spacing w:val="-2"/>
        </w:rPr>
      </w:pPr>
      <w:r w:rsidRPr="00256982">
        <w:rPr>
          <w:spacing w:val="-2"/>
        </w:rPr>
        <w:t xml:space="preserve">The emissions for </w:t>
      </w:r>
      <w:r w:rsidRPr="00256982">
        <w:rPr>
          <w:i/>
          <w:spacing w:val="-2"/>
        </w:rPr>
        <w:t>Forest management</w:t>
      </w:r>
      <w:r w:rsidRPr="00256982">
        <w:rPr>
          <w:spacing w:val="-2"/>
        </w:rPr>
        <w:t xml:space="preserve"> from 2013–17 were lower than the </w:t>
      </w:r>
      <w:r w:rsidRPr="00256982">
        <w:rPr>
          <w:bCs/>
          <w:spacing w:val="-2"/>
        </w:rPr>
        <w:t>FMRL</w:t>
      </w:r>
      <w:r w:rsidRPr="00256982">
        <w:rPr>
          <w:bCs/>
          <w:i/>
          <w:spacing w:val="-2"/>
          <w:vertAlign w:val="subscript"/>
        </w:rPr>
        <w:t>corr</w:t>
      </w:r>
      <w:r w:rsidRPr="00256982">
        <w:rPr>
          <w:spacing w:val="-2"/>
          <w:vertAlign w:val="subscript"/>
        </w:rPr>
        <w:t xml:space="preserve"> </w:t>
      </w:r>
      <w:r w:rsidRPr="00256982">
        <w:rPr>
          <w:spacing w:val="-2"/>
        </w:rPr>
        <w:t>(technically corrected FMRL) of –9.42 Mt CO</w:t>
      </w:r>
      <w:r w:rsidRPr="00256982">
        <w:rPr>
          <w:spacing w:val="-2"/>
          <w:vertAlign w:val="subscript"/>
        </w:rPr>
        <w:t>2</w:t>
      </w:r>
      <w:r w:rsidRPr="00256982">
        <w:rPr>
          <w:spacing w:val="-2"/>
        </w:rPr>
        <w:t xml:space="preserve">-e (as New Zealand’s removals were higher). This is expected because the FMRL is the estimated annual average over the eight years from 2013 to 2020 inclusive, and over this period New Zealand expects harvesting of pre-1990 planted forest to increase, which will mean emissions from </w:t>
      </w:r>
      <w:r w:rsidRPr="00256982">
        <w:rPr>
          <w:i/>
          <w:spacing w:val="-2"/>
        </w:rPr>
        <w:t>Forest management</w:t>
      </w:r>
      <w:r w:rsidRPr="00256982">
        <w:rPr>
          <w:spacing w:val="-2"/>
        </w:rPr>
        <w:t xml:space="preserve"> will also increase. </w:t>
      </w:r>
    </w:p>
    <w:p w14:paraId="69808D7E" w14:textId="77777777" w:rsidR="000E7C76" w:rsidRPr="00256982" w:rsidRDefault="000E7C76" w:rsidP="000E7C76">
      <w:pPr>
        <w:pStyle w:val="Heading5"/>
      </w:pPr>
      <w:r w:rsidRPr="00256982">
        <w:t>Technical corrections to the Forest Management Reference Level</w:t>
      </w:r>
    </w:p>
    <w:p w14:paraId="03C11B6E" w14:textId="7167C699" w:rsidR="000E7C76" w:rsidRPr="00256982" w:rsidRDefault="000E7C76" w:rsidP="000E7C76">
      <w:pPr>
        <w:pStyle w:val="BodyText"/>
      </w:pPr>
      <w:r w:rsidRPr="00256982">
        <w:t>New Zealand’s FMRL, as inscribed in the appendix to the annex to Decision 2/CMP.7 (UNFCCC, 2012), is 11.150 Mt CO</w:t>
      </w:r>
      <w:r w:rsidRPr="00256982">
        <w:rPr>
          <w:vertAlign w:val="subscript"/>
        </w:rPr>
        <w:t>2</w:t>
      </w:r>
      <w:r w:rsidRPr="00256982">
        <w:t>-e. For the 2016 submission, New Zealand submitted a technical correction of –17.25 Mt CO</w:t>
      </w:r>
      <w:r w:rsidRPr="00256982">
        <w:rPr>
          <w:vertAlign w:val="subscript"/>
        </w:rPr>
        <w:t>2</w:t>
      </w:r>
      <w:r w:rsidRPr="00256982">
        <w:t xml:space="preserve">-e to achieve consistency with the methods used for reporting of </w:t>
      </w:r>
      <w:r w:rsidRPr="00256982">
        <w:rPr>
          <w:i/>
        </w:rPr>
        <w:t>Forest management</w:t>
      </w:r>
      <w:r w:rsidRPr="00256982">
        <w:t xml:space="preserve">, including incorporating changes to </w:t>
      </w:r>
      <w:r w:rsidRPr="00256982">
        <w:rPr>
          <w:i/>
        </w:rPr>
        <w:t>Harvested wood products</w:t>
      </w:r>
      <w:r w:rsidRPr="00256982">
        <w:t>. For this 2019 submission, New Zealand submits a new technical correction of –3.33 Mt CO</w:t>
      </w:r>
      <w:r w:rsidRPr="00256982">
        <w:rPr>
          <w:vertAlign w:val="subscript"/>
        </w:rPr>
        <w:t>2</w:t>
      </w:r>
      <w:r w:rsidRPr="00256982">
        <w:t>-e, which when added to the 2016 technical correction now equals –20.57 Mt CO</w:t>
      </w:r>
      <w:r w:rsidRPr="00256982">
        <w:rPr>
          <w:vertAlign w:val="subscript"/>
        </w:rPr>
        <w:t>2</w:t>
      </w:r>
      <w:r w:rsidRPr="00256982">
        <w:t xml:space="preserve">-e (rounded to two decimal places). </w:t>
      </w:r>
    </w:p>
    <w:p w14:paraId="2245F9B8" w14:textId="77777777" w:rsidR="000E7C76" w:rsidRPr="00256982" w:rsidRDefault="000E7C76" w:rsidP="000E7C76">
      <w:pPr>
        <w:pStyle w:val="Heading5"/>
      </w:pPr>
      <w:r w:rsidRPr="00256982">
        <w:t>Carbon equivalent forests</w:t>
      </w:r>
    </w:p>
    <w:p w14:paraId="7189C881" w14:textId="77777777" w:rsidR="000E7C76" w:rsidRPr="00256982" w:rsidRDefault="000E7C76" w:rsidP="000E7C76">
      <w:pPr>
        <w:pStyle w:val="BodyText"/>
      </w:pPr>
      <w:r w:rsidRPr="00256982">
        <w:t xml:space="preserve">The carbon equivalent forest provision allows pre-1990 planted forests that meet the conditions specified in Decision 2/CMP.7, paragraph 37 (UNFCCC, 2012), to be harvested and converted to another land use without being classified as deforested, provided a new forest that will reach carbon equivalence is established elsewhere. </w:t>
      </w:r>
    </w:p>
    <w:p w14:paraId="4DDDF3B3" w14:textId="77777777" w:rsidR="000E7C76" w:rsidRPr="00256982" w:rsidRDefault="000E7C76" w:rsidP="000E7C76">
      <w:pPr>
        <w:pStyle w:val="Table"/>
      </w:pPr>
      <w:bookmarkStart w:id="2714" w:name="_Toc522010660"/>
      <w:bookmarkStart w:id="2715" w:name="_Toc5269631"/>
      <w:r w:rsidRPr="00256982">
        <w:t>Table 11.3.4</w:t>
      </w:r>
      <w:r w:rsidRPr="00256982">
        <w:tab/>
        <w:t>Carbon equivalent forests (2013–17)</w:t>
      </w:r>
      <w:bookmarkEnd w:id="2714"/>
      <w:bookmarkEnd w:id="2715"/>
    </w:p>
    <w:tbl>
      <w:tblPr>
        <w:tblW w:w="8562" w:type="dxa"/>
        <w:tblInd w:w="108" w:type="dxa"/>
        <w:tblLook w:val="04A0" w:firstRow="1" w:lastRow="0" w:firstColumn="1" w:lastColumn="0" w:noHBand="0" w:noVBand="1"/>
      </w:tblPr>
      <w:tblGrid>
        <w:gridCol w:w="2613"/>
        <w:gridCol w:w="1189"/>
        <w:gridCol w:w="1190"/>
        <w:gridCol w:w="1190"/>
        <w:gridCol w:w="1190"/>
        <w:gridCol w:w="1190"/>
      </w:tblGrid>
      <w:tr w:rsidR="000E7C76" w:rsidRPr="00256982" w14:paraId="4F403FDF" w14:textId="77777777" w:rsidTr="003C292B">
        <w:tc>
          <w:tcPr>
            <w:tcW w:w="2241" w:type="dxa"/>
            <w:tcBorders>
              <w:top w:val="single" w:sz="8" w:space="0" w:color="365F91"/>
              <w:left w:val="nil"/>
              <w:right w:val="nil"/>
            </w:tcBorders>
            <w:shd w:val="clear" w:color="000000" w:fill="365F91"/>
            <w:vAlign w:val="center"/>
            <w:hideMark/>
          </w:tcPr>
          <w:p w14:paraId="56DAF72A" w14:textId="77777777" w:rsidR="000E7C76" w:rsidRPr="00256982" w:rsidRDefault="000E7C76" w:rsidP="00FB19E2">
            <w:pPr>
              <w:pStyle w:val="TableTextBold"/>
              <w:keepNext/>
              <w:spacing w:before="40" w:after="40"/>
              <w:rPr>
                <w:noProof w:val="0"/>
                <w:color w:val="FFFFFF"/>
                <w:lang w:eastAsia="en-NZ"/>
              </w:rPr>
            </w:pPr>
            <w:r w:rsidRPr="00256982">
              <w:rPr>
                <w:noProof w:val="0"/>
                <w:color w:val="FFFFFF"/>
                <w:lang w:eastAsia="en-NZ"/>
              </w:rPr>
              <w:t> </w:t>
            </w:r>
          </w:p>
        </w:tc>
        <w:tc>
          <w:tcPr>
            <w:tcW w:w="1020" w:type="dxa"/>
            <w:tcBorders>
              <w:top w:val="single" w:sz="8" w:space="0" w:color="365F91"/>
              <w:left w:val="nil"/>
              <w:right w:val="nil"/>
            </w:tcBorders>
            <w:shd w:val="clear" w:color="000000" w:fill="365F91"/>
            <w:vAlign w:val="center"/>
            <w:hideMark/>
          </w:tcPr>
          <w:p w14:paraId="2948D7A2" w14:textId="77777777" w:rsidR="000E7C76" w:rsidRPr="00256982" w:rsidRDefault="000E7C76" w:rsidP="00FB19E2">
            <w:pPr>
              <w:pStyle w:val="TableTextBold"/>
              <w:keepNext/>
              <w:spacing w:before="40" w:after="40"/>
              <w:jc w:val="center"/>
              <w:rPr>
                <w:noProof w:val="0"/>
                <w:color w:val="FFFFFF"/>
                <w:lang w:eastAsia="en-NZ"/>
              </w:rPr>
            </w:pPr>
            <w:r w:rsidRPr="00256982">
              <w:rPr>
                <w:noProof w:val="0"/>
                <w:color w:val="FFFFFF"/>
                <w:lang w:eastAsia="en-NZ"/>
              </w:rPr>
              <w:t>2013</w:t>
            </w:r>
          </w:p>
        </w:tc>
        <w:tc>
          <w:tcPr>
            <w:tcW w:w="1020" w:type="dxa"/>
            <w:tcBorders>
              <w:top w:val="single" w:sz="8" w:space="0" w:color="365F91"/>
              <w:left w:val="nil"/>
              <w:right w:val="nil"/>
            </w:tcBorders>
            <w:shd w:val="clear" w:color="000000" w:fill="365F91"/>
            <w:vAlign w:val="center"/>
            <w:hideMark/>
          </w:tcPr>
          <w:p w14:paraId="6A851F5E" w14:textId="77777777" w:rsidR="000E7C76" w:rsidRPr="00256982" w:rsidRDefault="000E7C76" w:rsidP="00FB19E2">
            <w:pPr>
              <w:pStyle w:val="TableTextBold"/>
              <w:keepNext/>
              <w:spacing w:before="40" w:after="40"/>
              <w:jc w:val="right"/>
              <w:rPr>
                <w:noProof w:val="0"/>
                <w:color w:val="FFFFFF"/>
                <w:lang w:eastAsia="en-NZ"/>
              </w:rPr>
            </w:pPr>
            <w:r w:rsidRPr="00256982">
              <w:rPr>
                <w:noProof w:val="0"/>
                <w:color w:val="FFFFFF"/>
                <w:lang w:eastAsia="en-NZ"/>
              </w:rPr>
              <w:t>2014</w:t>
            </w:r>
          </w:p>
        </w:tc>
        <w:tc>
          <w:tcPr>
            <w:tcW w:w="1020" w:type="dxa"/>
            <w:tcBorders>
              <w:top w:val="single" w:sz="8" w:space="0" w:color="365F91"/>
              <w:left w:val="nil"/>
              <w:right w:val="nil"/>
            </w:tcBorders>
            <w:shd w:val="clear" w:color="000000" w:fill="365F91"/>
            <w:vAlign w:val="center"/>
            <w:hideMark/>
          </w:tcPr>
          <w:p w14:paraId="101137DC" w14:textId="77777777" w:rsidR="000E7C76" w:rsidRPr="00256982" w:rsidRDefault="000E7C76" w:rsidP="00FB19E2">
            <w:pPr>
              <w:pStyle w:val="TableTextBold"/>
              <w:keepNext/>
              <w:spacing w:before="40" w:after="40"/>
              <w:jc w:val="right"/>
              <w:rPr>
                <w:noProof w:val="0"/>
                <w:color w:val="FFFFFF"/>
                <w:lang w:eastAsia="en-NZ"/>
              </w:rPr>
            </w:pPr>
            <w:r w:rsidRPr="00256982">
              <w:rPr>
                <w:noProof w:val="0"/>
                <w:color w:val="FFFFFF"/>
                <w:lang w:eastAsia="en-NZ"/>
              </w:rPr>
              <w:t>2015</w:t>
            </w:r>
          </w:p>
        </w:tc>
        <w:tc>
          <w:tcPr>
            <w:tcW w:w="1020" w:type="dxa"/>
            <w:tcBorders>
              <w:top w:val="single" w:sz="8" w:space="0" w:color="365F91"/>
              <w:left w:val="nil"/>
              <w:right w:val="nil"/>
            </w:tcBorders>
            <w:shd w:val="clear" w:color="000000" w:fill="365F91"/>
            <w:vAlign w:val="center"/>
            <w:hideMark/>
          </w:tcPr>
          <w:p w14:paraId="7F98BD2C" w14:textId="77777777" w:rsidR="000E7C76" w:rsidRPr="00256982" w:rsidRDefault="000E7C76" w:rsidP="00FB19E2">
            <w:pPr>
              <w:pStyle w:val="TableTextBold"/>
              <w:keepNext/>
              <w:spacing w:before="40" w:after="40"/>
              <w:jc w:val="right"/>
              <w:rPr>
                <w:noProof w:val="0"/>
                <w:color w:val="FFFFFF"/>
                <w:lang w:eastAsia="en-NZ"/>
              </w:rPr>
            </w:pPr>
            <w:r w:rsidRPr="00256982">
              <w:rPr>
                <w:noProof w:val="0"/>
                <w:color w:val="FFFFFF"/>
                <w:lang w:eastAsia="en-NZ"/>
              </w:rPr>
              <w:t>2016</w:t>
            </w:r>
          </w:p>
        </w:tc>
        <w:tc>
          <w:tcPr>
            <w:tcW w:w="1020" w:type="dxa"/>
            <w:tcBorders>
              <w:top w:val="single" w:sz="8" w:space="0" w:color="365F91"/>
              <w:left w:val="single" w:sz="8" w:space="0" w:color="365F91"/>
            </w:tcBorders>
            <w:shd w:val="clear" w:color="000000" w:fill="365F91"/>
          </w:tcPr>
          <w:p w14:paraId="219E416A" w14:textId="77777777" w:rsidR="000E7C76" w:rsidRPr="00256982" w:rsidRDefault="000E7C76" w:rsidP="00FB19E2">
            <w:pPr>
              <w:pStyle w:val="TableTextBold"/>
              <w:keepNext/>
              <w:spacing w:before="40" w:after="40"/>
              <w:jc w:val="right"/>
              <w:rPr>
                <w:noProof w:val="0"/>
                <w:color w:val="FFFFFF"/>
                <w:lang w:eastAsia="en-NZ"/>
              </w:rPr>
            </w:pPr>
            <w:r w:rsidRPr="00256982">
              <w:rPr>
                <w:noProof w:val="0"/>
                <w:color w:val="FFFFFF"/>
                <w:lang w:eastAsia="en-NZ"/>
              </w:rPr>
              <w:t>2017</w:t>
            </w:r>
          </w:p>
        </w:tc>
      </w:tr>
      <w:tr w:rsidR="000E7C76" w:rsidRPr="00256982" w14:paraId="378A22A8" w14:textId="77777777" w:rsidTr="003C292B">
        <w:tc>
          <w:tcPr>
            <w:tcW w:w="2241" w:type="dxa"/>
            <w:tcBorders>
              <w:left w:val="nil"/>
              <w:bottom w:val="nil"/>
              <w:right w:val="nil"/>
            </w:tcBorders>
            <w:shd w:val="clear" w:color="auto" w:fill="auto"/>
            <w:vAlign w:val="center"/>
            <w:hideMark/>
          </w:tcPr>
          <w:p w14:paraId="6EDF28F9" w14:textId="77777777" w:rsidR="000E7C76" w:rsidRPr="00256982" w:rsidRDefault="000E7C76" w:rsidP="00FB19E2">
            <w:pPr>
              <w:pStyle w:val="TableText"/>
              <w:keepNext/>
              <w:spacing w:before="40" w:after="40"/>
              <w:rPr>
                <w:lang w:eastAsia="en-NZ"/>
              </w:rPr>
            </w:pPr>
            <w:r w:rsidRPr="00256982">
              <w:rPr>
                <w:lang w:eastAsia="en-NZ"/>
              </w:rPr>
              <w:t>CEF</w:t>
            </w:r>
            <w:r w:rsidRPr="00256982">
              <w:rPr>
                <w:vertAlign w:val="subscript"/>
                <w:lang w:eastAsia="en-NZ"/>
              </w:rPr>
              <w:t>NE</w:t>
            </w:r>
            <w:r w:rsidRPr="00256982">
              <w:rPr>
                <w:lang w:eastAsia="en-NZ"/>
              </w:rPr>
              <w:t xml:space="preserve"> area (ha)</w:t>
            </w:r>
          </w:p>
        </w:tc>
        <w:tc>
          <w:tcPr>
            <w:tcW w:w="1020" w:type="dxa"/>
            <w:tcBorders>
              <w:left w:val="nil"/>
              <w:bottom w:val="nil"/>
              <w:right w:val="nil"/>
            </w:tcBorders>
            <w:shd w:val="clear" w:color="auto" w:fill="auto"/>
            <w:vAlign w:val="center"/>
            <w:hideMark/>
          </w:tcPr>
          <w:p w14:paraId="0233C5EE" w14:textId="77777777" w:rsidR="000E7C76" w:rsidRPr="00256982" w:rsidRDefault="000E7C76" w:rsidP="00FB19E2">
            <w:pPr>
              <w:pStyle w:val="TableText"/>
              <w:keepNext/>
              <w:spacing w:before="40" w:after="40"/>
              <w:jc w:val="center"/>
              <w:rPr>
                <w:lang w:eastAsia="en-NZ"/>
              </w:rPr>
            </w:pPr>
            <w:r w:rsidRPr="00256982">
              <w:rPr>
                <w:lang w:eastAsia="en-NZ"/>
              </w:rPr>
              <w:t>NIL</w:t>
            </w:r>
          </w:p>
        </w:tc>
        <w:tc>
          <w:tcPr>
            <w:tcW w:w="1020" w:type="dxa"/>
            <w:tcBorders>
              <w:left w:val="nil"/>
              <w:bottom w:val="nil"/>
              <w:right w:val="nil"/>
            </w:tcBorders>
            <w:shd w:val="clear" w:color="auto" w:fill="auto"/>
            <w:hideMark/>
          </w:tcPr>
          <w:p w14:paraId="173CFD7A" w14:textId="77777777" w:rsidR="000E7C76" w:rsidRPr="00256982" w:rsidRDefault="000E7C76" w:rsidP="00FB19E2">
            <w:pPr>
              <w:pStyle w:val="TableText"/>
              <w:keepNext/>
              <w:spacing w:before="40" w:after="40"/>
              <w:jc w:val="right"/>
              <w:rPr>
                <w:lang w:eastAsia="en-NZ"/>
              </w:rPr>
            </w:pPr>
            <w:r w:rsidRPr="00256982">
              <w:t>–</w:t>
            </w:r>
          </w:p>
        </w:tc>
        <w:tc>
          <w:tcPr>
            <w:tcW w:w="1020" w:type="dxa"/>
            <w:tcBorders>
              <w:left w:val="nil"/>
              <w:bottom w:val="nil"/>
              <w:right w:val="nil"/>
            </w:tcBorders>
            <w:shd w:val="clear" w:color="auto" w:fill="auto"/>
            <w:hideMark/>
          </w:tcPr>
          <w:p w14:paraId="19D4E5C6" w14:textId="77777777" w:rsidR="000E7C76" w:rsidRPr="00256982" w:rsidRDefault="000E7C76" w:rsidP="00FB19E2">
            <w:pPr>
              <w:pStyle w:val="TableText"/>
              <w:keepNext/>
              <w:spacing w:before="40" w:after="40"/>
              <w:jc w:val="right"/>
              <w:rPr>
                <w:lang w:eastAsia="en-NZ"/>
              </w:rPr>
            </w:pPr>
            <w:r w:rsidRPr="00256982">
              <w:t>–</w:t>
            </w:r>
          </w:p>
        </w:tc>
        <w:tc>
          <w:tcPr>
            <w:tcW w:w="1020" w:type="dxa"/>
            <w:tcBorders>
              <w:left w:val="nil"/>
              <w:bottom w:val="nil"/>
            </w:tcBorders>
            <w:shd w:val="clear" w:color="auto" w:fill="auto"/>
            <w:hideMark/>
          </w:tcPr>
          <w:p w14:paraId="177FAD1B" w14:textId="77777777" w:rsidR="000E7C76" w:rsidRPr="00256982" w:rsidRDefault="000E7C76" w:rsidP="00FB19E2">
            <w:pPr>
              <w:pStyle w:val="TableText"/>
              <w:keepNext/>
              <w:spacing w:before="40" w:after="40"/>
              <w:jc w:val="right"/>
            </w:pPr>
            <w:r w:rsidRPr="00256982">
              <w:t>796.72</w:t>
            </w:r>
          </w:p>
        </w:tc>
        <w:tc>
          <w:tcPr>
            <w:tcW w:w="1020" w:type="dxa"/>
            <w:tcBorders>
              <w:left w:val="nil"/>
              <w:bottom w:val="nil"/>
            </w:tcBorders>
          </w:tcPr>
          <w:p w14:paraId="1820A5ED" w14:textId="77777777" w:rsidR="000E7C76" w:rsidRPr="00256982" w:rsidRDefault="000E7C76" w:rsidP="00FB19E2">
            <w:pPr>
              <w:pStyle w:val="TableText"/>
              <w:keepNext/>
              <w:spacing w:before="40" w:after="40"/>
              <w:jc w:val="right"/>
            </w:pPr>
            <w:r w:rsidRPr="00256982">
              <w:t>1,556.83</w:t>
            </w:r>
          </w:p>
        </w:tc>
      </w:tr>
      <w:tr w:rsidR="000E7C76" w:rsidRPr="00256982" w14:paraId="3574818A" w14:textId="77777777" w:rsidTr="00E21944">
        <w:tc>
          <w:tcPr>
            <w:tcW w:w="2241" w:type="dxa"/>
            <w:tcBorders>
              <w:top w:val="nil"/>
              <w:left w:val="nil"/>
              <w:bottom w:val="single" w:sz="8" w:space="0" w:color="365F91"/>
              <w:right w:val="nil"/>
            </w:tcBorders>
            <w:shd w:val="clear" w:color="auto" w:fill="auto"/>
            <w:vAlign w:val="center"/>
            <w:hideMark/>
          </w:tcPr>
          <w:p w14:paraId="49604B4A" w14:textId="77777777" w:rsidR="000E7C76" w:rsidRPr="00256982" w:rsidRDefault="000E7C76" w:rsidP="00FB19E2">
            <w:pPr>
              <w:pStyle w:val="TableText"/>
              <w:keepNext/>
              <w:spacing w:before="40" w:after="40"/>
              <w:rPr>
                <w:lang w:eastAsia="en-NZ"/>
              </w:rPr>
            </w:pPr>
            <w:r w:rsidRPr="00256982">
              <w:rPr>
                <w:lang w:eastAsia="en-NZ"/>
              </w:rPr>
              <w:t>Net emissions (t CO</w:t>
            </w:r>
            <w:r w:rsidRPr="00256982">
              <w:rPr>
                <w:vertAlign w:val="subscript"/>
                <w:lang w:eastAsia="en-NZ"/>
              </w:rPr>
              <w:t>2</w:t>
            </w:r>
            <w:r w:rsidRPr="00256982">
              <w:rPr>
                <w:lang w:eastAsia="en-NZ"/>
              </w:rPr>
              <w:t>)</w:t>
            </w:r>
          </w:p>
        </w:tc>
        <w:tc>
          <w:tcPr>
            <w:tcW w:w="1020" w:type="dxa"/>
            <w:tcBorders>
              <w:top w:val="nil"/>
              <w:left w:val="nil"/>
              <w:bottom w:val="single" w:sz="8" w:space="0" w:color="365F91"/>
              <w:right w:val="nil"/>
            </w:tcBorders>
            <w:shd w:val="clear" w:color="auto" w:fill="auto"/>
            <w:vAlign w:val="center"/>
            <w:hideMark/>
          </w:tcPr>
          <w:p w14:paraId="0E3541EF" w14:textId="77777777" w:rsidR="000E7C76" w:rsidRPr="00256982" w:rsidRDefault="000E7C76" w:rsidP="00FB19E2">
            <w:pPr>
              <w:pStyle w:val="TableText"/>
              <w:keepNext/>
              <w:spacing w:before="40" w:after="40"/>
              <w:jc w:val="center"/>
              <w:rPr>
                <w:lang w:eastAsia="en-NZ"/>
              </w:rPr>
            </w:pPr>
            <w:r w:rsidRPr="00256982">
              <w:rPr>
                <w:lang w:eastAsia="en-NZ"/>
              </w:rPr>
              <w:t>NA</w:t>
            </w:r>
          </w:p>
        </w:tc>
        <w:tc>
          <w:tcPr>
            <w:tcW w:w="1020" w:type="dxa"/>
            <w:tcBorders>
              <w:top w:val="nil"/>
              <w:left w:val="nil"/>
              <w:bottom w:val="single" w:sz="8" w:space="0" w:color="365F91"/>
              <w:right w:val="nil"/>
            </w:tcBorders>
            <w:shd w:val="clear" w:color="auto" w:fill="auto"/>
            <w:hideMark/>
          </w:tcPr>
          <w:p w14:paraId="2C2F1E74" w14:textId="77777777" w:rsidR="000E7C76" w:rsidRPr="00256982" w:rsidRDefault="000E7C76" w:rsidP="00FB19E2">
            <w:pPr>
              <w:pStyle w:val="TableText"/>
              <w:keepNext/>
              <w:spacing w:before="40" w:after="40"/>
              <w:jc w:val="right"/>
              <w:rPr>
                <w:lang w:eastAsia="en-NZ"/>
              </w:rPr>
            </w:pPr>
            <w:r w:rsidRPr="00256982">
              <w:t xml:space="preserve"> –</w:t>
            </w:r>
          </w:p>
        </w:tc>
        <w:tc>
          <w:tcPr>
            <w:tcW w:w="1020" w:type="dxa"/>
            <w:tcBorders>
              <w:top w:val="nil"/>
              <w:left w:val="nil"/>
              <w:bottom w:val="single" w:sz="8" w:space="0" w:color="365F91"/>
              <w:right w:val="nil"/>
            </w:tcBorders>
            <w:shd w:val="clear" w:color="auto" w:fill="auto"/>
            <w:hideMark/>
          </w:tcPr>
          <w:p w14:paraId="26B01D90" w14:textId="77777777" w:rsidR="000E7C76" w:rsidRPr="00256982" w:rsidRDefault="000E7C76" w:rsidP="00FB19E2">
            <w:pPr>
              <w:pStyle w:val="TableText"/>
              <w:keepNext/>
              <w:spacing w:before="40" w:after="40"/>
              <w:jc w:val="right"/>
              <w:rPr>
                <w:lang w:eastAsia="en-NZ"/>
              </w:rPr>
            </w:pPr>
            <w:r w:rsidRPr="00256982">
              <w:t xml:space="preserve"> –</w:t>
            </w:r>
          </w:p>
        </w:tc>
        <w:tc>
          <w:tcPr>
            <w:tcW w:w="1020" w:type="dxa"/>
            <w:tcBorders>
              <w:top w:val="nil"/>
              <w:left w:val="nil"/>
              <w:bottom w:val="single" w:sz="8" w:space="0" w:color="365F91"/>
            </w:tcBorders>
            <w:shd w:val="clear" w:color="auto" w:fill="auto"/>
            <w:hideMark/>
          </w:tcPr>
          <w:p w14:paraId="4D6AD37C" w14:textId="77777777" w:rsidR="000E7C76" w:rsidRPr="00256982" w:rsidRDefault="000E7C76" w:rsidP="00FB19E2">
            <w:pPr>
              <w:pStyle w:val="TableText"/>
              <w:keepNext/>
              <w:spacing w:before="40" w:after="40"/>
              <w:jc w:val="right"/>
            </w:pPr>
            <w:r w:rsidRPr="00256982">
              <w:t>–1.86</w:t>
            </w:r>
          </w:p>
        </w:tc>
        <w:tc>
          <w:tcPr>
            <w:tcW w:w="1020" w:type="dxa"/>
            <w:tcBorders>
              <w:top w:val="nil"/>
              <w:left w:val="nil"/>
              <w:bottom w:val="single" w:sz="8" w:space="0" w:color="365F91"/>
            </w:tcBorders>
          </w:tcPr>
          <w:p w14:paraId="16402267" w14:textId="77777777" w:rsidR="000E7C76" w:rsidRPr="00256982" w:rsidRDefault="000E7C76" w:rsidP="00FB19E2">
            <w:pPr>
              <w:pStyle w:val="TableText"/>
              <w:keepNext/>
              <w:spacing w:before="40" w:after="40"/>
              <w:jc w:val="right"/>
            </w:pPr>
            <w:r w:rsidRPr="00256982">
              <w:t>–3.95</w:t>
            </w:r>
          </w:p>
        </w:tc>
      </w:tr>
      <w:tr w:rsidR="000E7C76" w:rsidRPr="00256982" w14:paraId="7C54F87F" w14:textId="77777777" w:rsidTr="00E21944">
        <w:tc>
          <w:tcPr>
            <w:tcW w:w="2241" w:type="dxa"/>
            <w:tcBorders>
              <w:top w:val="nil"/>
              <w:left w:val="nil"/>
              <w:bottom w:val="nil"/>
              <w:right w:val="nil"/>
            </w:tcBorders>
            <w:shd w:val="clear" w:color="auto" w:fill="auto"/>
            <w:vAlign w:val="center"/>
            <w:hideMark/>
          </w:tcPr>
          <w:p w14:paraId="519A66D8" w14:textId="77777777" w:rsidR="000E7C76" w:rsidRPr="00256982" w:rsidRDefault="000E7C76" w:rsidP="00FB19E2">
            <w:pPr>
              <w:pStyle w:val="TableText"/>
              <w:spacing w:before="40" w:after="40"/>
              <w:rPr>
                <w:lang w:eastAsia="en-NZ"/>
              </w:rPr>
            </w:pPr>
            <w:r w:rsidRPr="00256982">
              <w:rPr>
                <w:lang w:eastAsia="en-NZ"/>
              </w:rPr>
              <w:t>CEF</w:t>
            </w:r>
            <w:r w:rsidRPr="00256982">
              <w:rPr>
                <w:vertAlign w:val="subscript"/>
                <w:lang w:eastAsia="en-NZ"/>
              </w:rPr>
              <w:t xml:space="preserve">HC </w:t>
            </w:r>
            <w:r w:rsidRPr="00256982">
              <w:rPr>
                <w:lang w:eastAsia="en-NZ"/>
              </w:rPr>
              <w:t>area (ha)</w:t>
            </w:r>
          </w:p>
        </w:tc>
        <w:tc>
          <w:tcPr>
            <w:tcW w:w="1020" w:type="dxa"/>
            <w:tcBorders>
              <w:top w:val="nil"/>
              <w:left w:val="nil"/>
              <w:bottom w:val="nil"/>
              <w:right w:val="nil"/>
            </w:tcBorders>
            <w:shd w:val="clear" w:color="auto" w:fill="auto"/>
            <w:vAlign w:val="center"/>
            <w:hideMark/>
          </w:tcPr>
          <w:p w14:paraId="2B6852E6" w14:textId="77777777" w:rsidR="000E7C76" w:rsidRPr="00256982" w:rsidRDefault="000E7C76" w:rsidP="00FB19E2">
            <w:pPr>
              <w:pStyle w:val="TableText"/>
              <w:spacing w:before="40" w:after="40"/>
              <w:jc w:val="center"/>
              <w:rPr>
                <w:lang w:eastAsia="en-NZ"/>
              </w:rPr>
            </w:pPr>
            <w:r w:rsidRPr="00256982">
              <w:rPr>
                <w:lang w:eastAsia="en-NZ"/>
              </w:rPr>
              <w:t>NIL</w:t>
            </w:r>
          </w:p>
        </w:tc>
        <w:tc>
          <w:tcPr>
            <w:tcW w:w="1020" w:type="dxa"/>
            <w:tcBorders>
              <w:top w:val="nil"/>
              <w:left w:val="nil"/>
              <w:bottom w:val="nil"/>
              <w:right w:val="nil"/>
            </w:tcBorders>
            <w:shd w:val="clear" w:color="auto" w:fill="auto"/>
            <w:hideMark/>
          </w:tcPr>
          <w:p w14:paraId="5C4100A5" w14:textId="77777777" w:rsidR="000E7C76" w:rsidRPr="00256982" w:rsidRDefault="000E7C76" w:rsidP="00FB19E2">
            <w:pPr>
              <w:pStyle w:val="TableText"/>
              <w:spacing w:before="40" w:after="40"/>
              <w:jc w:val="right"/>
              <w:rPr>
                <w:lang w:eastAsia="en-NZ"/>
              </w:rPr>
            </w:pPr>
            <w:r w:rsidRPr="00256982">
              <w:t>50.12</w:t>
            </w:r>
          </w:p>
        </w:tc>
        <w:tc>
          <w:tcPr>
            <w:tcW w:w="1020" w:type="dxa"/>
            <w:tcBorders>
              <w:top w:val="nil"/>
              <w:left w:val="nil"/>
              <w:bottom w:val="nil"/>
              <w:right w:val="nil"/>
            </w:tcBorders>
            <w:shd w:val="clear" w:color="auto" w:fill="auto"/>
            <w:hideMark/>
          </w:tcPr>
          <w:p w14:paraId="44C29188" w14:textId="77777777" w:rsidR="000E7C76" w:rsidRPr="00256982" w:rsidRDefault="000E7C76" w:rsidP="00FB19E2">
            <w:pPr>
              <w:pStyle w:val="TableText"/>
              <w:spacing w:before="40" w:after="40"/>
              <w:jc w:val="right"/>
              <w:rPr>
                <w:lang w:eastAsia="en-NZ"/>
              </w:rPr>
            </w:pPr>
            <w:r w:rsidRPr="00256982">
              <w:t>393.87</w:t>
            </w:r>
          </w:p>
        </w:tc>
        <w:tc>
          <w:tcPr>
            <w:tcW w:w="1020" w:type="dxa"/>
            <w:tcBorders>
              <w:top w:val="nil"/>
              <w:left w:val="nil"/>
              <w:bottom w:val="nil"/>
            </w:tcBorders>
            <w:shd w:val="clear" w:color="auto" w:fill="auto"/>
            <w:hideMark/>
          </w:tcPr>
          <w:p w14:paraId="7755F534" w14:textId="77777777" w:rsidR="000E7C76" w:rsidRPr="00256982" w:rsidRDefault="000E7C76" w:rsidP="00FB19E2">
            <w:pPr>
              <w:pStyle w:val="TableText"/>
              <w:keepNext/>
              <w:spacing w:before="40" w:after="40"/>
              <w:jc w:val="right"/>
            </w:pPr>
            <w:r w:rsidRPr="00256982">
              <w:t>1,341.23</w:t>
            </w:r>
          </w:p>
        </w:tc>
        <w:tc>
          <w:tcPr>
            <w:tcW w:w="1020" w:type="dxa"/>
            <w:tcBorders>
              <w:top w:val="nil"/>
              <w:left w:val="nil"/>
              <w:bottom w:val="nil"/>
            </w:tcBorders>
          </w:tcPr>
          <w:p w14:paraId="37ACD430" w14:textId="77777777" w:rsidR="000E7C76" w:rsidRPr="00256982" w:rsidRDefault="000E7C76" w:rsidP="00FB19E2">
            <w:pPr>
              <w:pStyle w:val="TableText"/>
              <w:spacing w:before="40" w:after="40"/>
              <w:jc w:val="right"/>
            </w:pPr>
            <w:r w:rsidRPr="00256982">
              <w:t>1,060.45</w:t>
            </w:r>
          </w:p>
        </w:tc>
      </w:tr>
      <w:tr w:rsidR="000E7C76" w:rsidRPr="00256982" w14:paraId="3D50846C" w14:textId="77777777" w:rsidTr="00E21944">
        <w:tc>
          <w:tcPr>
            <w:tcW w:w="2241" w:type="dxa"/>
            <w:tcBorders>
              <w:top w:val="nil"/>
              <w:left w:val="nil"/>
              <w:bottom w:val="single" w:sz="8" w:space="0" w:color="365F91"/>
              <w:right w:val="nil"/>
            </w:tcBorders>
            <w:shd w:val="clear" w:color="auto" w:fill="auto"/>
            <w:vAlign w:val="center"/>
            <w:hideMark/>
          </w:tcPr>
          <w:p w14:paraId="62CE0FC7" w14:textId="77777777" w:rsidR="000E7C76" w:rsidRPr="00256982" w:rsidRDefault="000E7C76" w:rsidP="00FB19E2">
            <w:pPr>
              <w:pStyle w:val="TableText"/>
              <w:spacing w:before="40" w:after="40"/>
              <w:rPr>
                <w:lang w:eastAsia="en-NZ"/>
              </w:rPr>
            </w:pPr>
            <w:r w:rsidRPr="00256982">
              <w:rPr>
                <w:lang w:eastAsia="en-NZ"/>
              </w:rPr>
              <w:t>Net emissions (t CO</w:t>
            </w:r>
            <w:r w:rsidRPr="00256982">
              <w:rPr>
                <w:vertAlign w:val="subscript"/>
                <w:lang w:eastAsia="en-NZ"/>
              </w:rPr>
              <w:t>2</w:t>
            </w:r>
            <w:r w:rsidRPr="00256982">
              <w:rPr>
                <w:lang w:eastAsia="en-NZ"/>
              </w:rPr>
              <w:t>)</w:t>
            </w:r>
          </w:p>
        </w:tc>
        <w:tc>
          <w:tcPr>
            <w:tcW w:w="1020" w:type="dxa"/>
            <w:tcBorders>
              <w:top w:val="nil"/>
              <w:left w:val="nil"/>
              <w:bottom w:val="single" w:sz="8" w:space="0" w:color="365F91"/>
              <w:right w:val="nil"/>
            </w:tcBorders>
            <w:shd w:val="clear" w:color="auto" w:fill="auto"/>
            <w:vAlign w:val="center"/>
            <w:hideMark/>
          </w:tcPr>
          <w:p w14:paraId="16403803" w14:textId="77777777" w:rsidR="000E7C76" w:rsidRPr="00256982" w:rsidRDefault="000E7C76" w:rsidP="00FB19E2">
            <w:pPr>
              <w:pStyle w:val="TableText"/>
              <w:spacing w:before="40" w:after="40"/>
              <w:jc w:val="center"/>
              <w:rPr>
                <w:lang w:eastAsia="en-NZ"/>
              </w:rPr>
            </w:pPr>
            <w:r w:rsidRPr="00256982">
              <w:rPr>
                <w:lang w:eastAsia="en-NZ"/>
              </w:rPr>
              <w:t>NA</w:t>
            </w:r>
          </w:p>
        </w:tc>
        <w:tc>
          <w:tcPr>
            <w:tcW w:w="1020" w:type="dxa"/>
            <w:tcBorders>
              <w:top w:val="nil"/>
              <w:left w:val="nil"/>
              <w:bottom w:val="single" w:sz="8" w:space="0" w:color="365F91"/>
              <w:right w:val="nil"/>
            </w:tcBorders>
            <w:shd w:val="clear" w:color="auto" w:fill="auto"/>
            <w:hideMark/>
          </w:tcPr>
          <w:p w14:paraId="38B18217" w14:textId="77777777" w:rsidR="000E7C76" w:rsidRPr="00256982" w:rsidRDefault="000E7C76" w:rsidP="00FB19E2">
            <w:pPr>
              <w:pStyle w:val="TableText"/>
              <w:spacing w:before="40" w:after="40"/>
              <w:jc w:val="right"/>
              <w:rPr>
                <w:lang w:eastAsia="en-NZ"/>
              </w:rPr>
            </w:pPr>
            <w:r w:rsidRPr="00256982">
              <w:t>–11.71</w:t>
            </w:r>
          </w:p>
        </w:tc>
        <w:tc>
          <w:tcPr>
            <w:tcW w:w="1020" w:type="dxa"/>
            <w:tcBorders>
              <w:top w:val="nil"/>
              <w:left w:val="nil"/>
              <w:bottom w:val="single" w:sz="8" w:space="0" w:color="365F91"/>
              <w:right w:val="nil"/>
            </w:tcBorders>
            <w:shd w:val="clear" w:color="auto" w:fill="auto"/>
            <w:hideMark/>
          </w:tcPr>
          <w:p w14:paraId="0CD86C46" w14:textId="77777777" w:rsidR="000E7C76" w:rsidRPr="00256982" w:rsidRDefault="000E7C76" w:rsidP="00FB19E2">
            <w:pPr>
              <w:pStyle w:val="TableText"/>
              <w:spacing w:before="40" w:after="40"/>
              <w:jc w:val="right"/>
              <w:rPr>
                <w:lang w:eastAsia="en-NZ"/>
              </w:rPr>
            </w:pPr>
            <w:r w:rsidRPr="00256982">
              <w:t>–90.91</w:t>
            </w:r>
          </w:p>
        </w:tc>
        <w:tc>
          <w:tcPr>
            <w:tcW w:w="1020" w:type="dxa"/>
            <w:tcBorders>
              <w:top w:val="nil"/>
              <w:left w:val="nil"/>
              <w:bottom w:val="single" w:sz="8" w:space="0" w:color="365F91"/>
            </w:tcBorders>
            <w:shd w:val="clear" w:color="auto" w:fill="auto"/>
            <w:hideMark/>
          </w:tcPr>
          <w:p w14:paraId="65BE6A95" w14:textId="77777777" w:rsidR="000E7C76" w:rsidRPr="00256982" w:rsidRDefault="000E7C76" w:rsidP="00FB19E2">
            <w:pPr>
              <w:pStyle w:val="TableText"/>
              <w:keepNext/>
              <w:spacing w:before="40" w:after="40"/>
              <w:jc w:val="right"/>
            </w:pPr>
            <w:r w:rsidRPr="00256982">
              <w:t>–275.93</w:t>
            </w:r>
          </w:p>
        </w:tc>
        <w:tc>
          <w:tcPr>
            <w:tcW w:w="1020" w:type="dxa"/>
            <w:tcBorders>
              <w:top w:val="nil"/>
              <w:left w:val="nil"/>
              <w:bottom w:val="single" w:sz="8" w:space="0" w:color="365F91"/>
            </w:tcBorders>
          </w:tcPr>
          <w:p w14:paraId="550BB5F6" w14:textId="77777777" w:rsidR="000E7C76" w:rsidRPr="00256982" w:rsidRDefault="000E7C76" w:rsidP="00FB19E2">
            <w:pPr>
              <w:pStyle w:val="TableText"/>
              <w:spacing w:before="40" w:after="40"/>
              <w:jc w:val="right"/>
            </w:pPr>
            <w:r w:rsidRPr="00256982">
              <w:t>–217.45</w:t>
            </w:r>
          </w:p>
        </w:tc>
      </w:tr>
      <w:tr w:rsidR="000E7C76" w:rsidRPr="00256982" w14:paraId="191D7F39" w14:textId="77777777" w:rsidTr="00E21944">
        <w:tc>
          <w:tcPr>
            <w:tcW w:w="2241" w:type="dxa"/>
            <w:tcBorders>
              <w:top w:val="nil"/>
              <w:left w:val="nil"/>
              <w:bottom w:val="single" w:sz="8" w:space="0" w:color="365F91"/>
              <w:right w:val="nil"/>
            </w:tcBorders>
            <w:shd w:val="clear" w:color="auto" w:fill="auto"/>
            <w:vAlign w:val="center"/>
            <w:hideMark/>
          </w:tcPr>
          <w:p w14:paraId="54F4E5D8" w14:textId="77777777" w:rsidR="000E7C76" w:rsidRPr="00256982" w:rsidRDefault="000E7C76" w:rsidP="00FB19E2">
            <w:pPr>
              <w:pStyle w:val="TableText"/>
              <w:spacing w:before="40" w:after="40"/>
              <w:rPr>
                <w:b/>
                <w:bCs/>
                <w:color w:val="1F497D"/>
                <w:lang w:eastAsia="en-NZ"/>
              </w:rPr>
            </w:pPr>
            <w:r w:rsidRPr="00256982">
              <w:rPr>
                <w:b/>
                <w:bCs/>
                <w:color w:val="1F497D"/>
                <w:lang w:eastAsia="en-NZ"/>
              </w:rPr>
              <w:t>Total (kt CO</w:t>
            </w:r>
            <w:r w:rsidRPr="00256982">
              <w:rPr>
                <w:b/>
                <w:bCs/>
                <w:color w:val="1F497D"/>
                <w:vertAlign w:val="subscript"/>
                <w:lang w:eastAsia="en-NZ"/>
              </w:rPr>
              <w:t>2</w:t>
            </w:r>
            <w:r w:rsidRPr="00256982">
              <w:rPr>
                <w:b/>
                <w:bCs/>
                <w:color w:val="1F497D"/>
                <w:lang w:eastAsia="en-NZ"/>
              </w:rPr>
              <w:t>)</w:t>
            </w:r>
          </w:p>
        </w:tc>
        <w:tc>
          <w:tcPr>
            <w:tcW w:w="1020" w:type="dxa"/>
            <w:tcBorders>
              <w:top w:val="nil"/>
              <w:left w:val="nil"/>
              <w:bottom w:val="single" w:sz="8" w:space="0" w:color="365F91"/>
              <w:right w:val="nil"/>
            </w:tcBorders>
            <w:shd w:val="clear" w:color="auto" w:fill="auto"/>
            <w:vAlign w:val="center"/>
            <w:hideMark/>
          </w:tcPr>
          <w:p w14:paraId="52227BAA" w14:textId="77777777" w:rsidR="000E7C76" w:rsidRPr="00256982" w:rsidRDefault="000E7C76" w:rsidP="00FB19E2">
            <w:pPr>
              <w:pStyle w:val="TableText"/>
              <w:spacing w:before="40" w:after="40"/>
              <w:jc w:val="center"/>
              <w:rPr>
                <w:b/>
                <w:bCs/>
                <w:color w:val="1F497D"/>
                <w:lang w:eastAsia="en-NZ"/>
              </w:rPr>
            </w:pPr>
            <w:r w:rsidRPr="00256982">
              <w:rPr>
                <w:b/>
                <w:bCs/>
                <w:color w:val="1F497D"/>
                <w:lang w:eastAsia="en-NZ"/>
              </w:rPr>
              <w:t>NA</w:t>
            </w:r>
          </w:p>
        </w:tc>
        <w:tc>
          <w:tcPr>
            <w:tcW w:w="1020" w:type="dxa"/>
            <w:tcBorders>
              <w:top w:val="nil"/>
              <w:left w:val="nil"/>
              <w:bottom w:val="single" w:sz="8" w:space="0" w:color="365F91"/>
              <w:right w:val="nil"/>
            </w:tcBorders>
            <w:shd w:val="clear" w:color="auto" w:fill="auto"/>
            <w:hideMark/>
          </w:tcPr>
          <w:p w14:paraId="0FEF0DB1" w14:textId="77777777" w:rsidR="000E7C76" w:rsidRPr="00256982" w:rsidRDefault="000E7C76" w:rsidP="00FB19E2">
            <w:pPr>
              <w:pStyle w:val="TableText"/>
              <w:spacing w:before="40" w:after="40"/>
              <w:jc w:val="right"/>
              <w:rPr>
                <w:b/>
                <w:bCs/>
                <w:color w:val="1F497D"/>
                <w:lang w:eastAsia="en-NZ"/>
              </w:rPr>
            </w:pPr>
            <w:r w:rsidRPr="00256982">
              <w:rPr>
                <w:b/>
                <w:bCs/>
                <w:color w:val="1F497D"/>
                <w:lang w:eastAsia="en-NZ"/>
              </w:rPr>
              <w:t>–11.71</w:t>
            </w:r>
          </w:p>
        </w:tc>
        <w:tc>
          <w:tcPr>
            <w:tcW w:w="1020" w:type="dxa"/>
            <w:tcBorders>
              <w:top w:val="nil"/>
              <w:left w:val="nil"/>
              <w:bottom w:val="single" w:sz="8" w:space="0" w:color="365F91"/>
              <w:right w:val="nil"/>
            </w:tcBorders>
            <w:shd w:val="clear" w:color="auto" w:fill="auto"/>
            <w:hideMark/>
          </w:tcPr>
          <w:p w14:paraId="60ECE61D" w14:textId="77777777" w:rsidR="000E7C76" w:rsidRPr="00256982" w:rsidRDefault="000E7C76" w:rsidP="00FB19E2">
            <w:pPr>
              <w:pStyle w:val="TableText"/>
              <w:spacing w:before="40" w:after="40"/>
              <w:jc w:val="right"/>
              <w:rPr>
                <w:b/>
                <w:bCs/>
                <w:color w:val="1F497D"/>
                <w:lang w:eastAsia="en-NZ"/>
              </w:rPr>
            </w:pPr>
            <w:r w:rsidRPr="00256982">
              <w:rPr>
                <w:b/>
                <w:bCs/>
                <w:color w:val="1F497D"/>
                <w:lang w:eastAsia="en-NZ"/>
              </w:rPr>
              <w:t>–90.91</w:t>
            </w:r>
          </w:p>
        </w:tc>
        <w:tc>
          <w:tcPr>
            <w:tcW w:w="1020" w:type="dxa"/>
            <w:tcBorders>
              <w:top w:val="nil"/>
              <w:left w:val="nil"/>
              <w:bottom w:val="single" w:sz="8" w:space="0" w:color="365F91"/>
            </w:tcBorders>
            <w:shd w:val="clear" w:color="auto" w:fill="auto"/>
            <w:hideMark/>
          </w:tcPr>
          <w:p w14:paraId="7B44C3D1" w14:textId="77777777" w:rsidR="000E7C76" w:rsidRPr="00256982" w:rsidRDefault="000E7C76" w:rsidP="00FB19E2">
            <w:pPr>
              <w:pStyle w:val="TableText"/>
              <w:keepNext/>
              <w:spacing w:before="40" w:after="40"/>
              <w:jc w:val="right"/>
              <w:rPr>
                <w:b/>
                <w:bCs/>
                <w:color w:val="1F497D"/>
                <w:lang w:eastAsia="en-NZ"/>
              </w:rPr>
            </w:pPr>
            <w:r w:rsidRPr="00256982">
              <w:rPr>
                <w:b/>
                <w:bCs/>
                <w:color w:val="1F497D"/>
                <w:lang w:eastAsia="en-NZ"/>
              </w:rPr>
              <w:t>–277.78</w:t>
            </w:r>
          </w:p>
        </w:tc>
        <w:tc>
          <w:tcPr>
            <w:tcW w:w="1020" w:type="dxa"/>
            <w:tcBorders>
              <w:top w:val="nil"/>
              <w:left w:val="nil"/>
              <w:bottom w:val="single" w:sz="8" w:space="0" w:color="365F91"/>
            </w:tcBorders>
          </w:tcPr>
          <w:p w14:paraId="18192E9A" w14:textId="77777777" w:rsidR="000E7C76" w:rsidRPr="00256982" w:rsidRDefault="000E7C76" w:rsidP="00FB19E2">
            <w:pPr>
              <w:pStyle w:val="TableText"/>
              <w:spacing w:before="40" w:after="40"/>
              <w:jc w:val="right"/>
              <w:rPr>
                <w:b/>
                <w:bCs/>
                <w:color w:val="1F497D"/>
                <w:lang w:eastAsia="en-NZ"/>
              </w:rPr>
            </w:pPr>
            <w:r w:rsidRPr="00256982">
              <w:rPr>
                <w:b/>
                <w:bCs/>
                <w:color w:val="1F497D"/>
                <w:lang w:eastAsia="en-NZ"/>
              </w:rPr>
              <w:t>–221.40</w:t>
            </w:r>
          </w:p>
        </w:tc>
      </w:tr>
    </w:tbl>
    <w:p w14:paraId="1BA666CE" w14:textId="77777777" w:rsidR="000E7C76" w:rsidRPr="00256982" w:rsidRDefault="000E7C76" w:rsidP="000E7C76">
      <w:pPr>
        <w:pStyle w:val="Noteundertable"/>
        <w:rPr>
          <w:rFonts w:cs="Arial"/>
          <w:color w:val="000000"/>
          <w:szCs w:val="18"/>
        </w:rPr>
      </w:pPr>
      <w:r w:rsidRPr="00256982">
        <w:rPr>
          <w:b/>
        </w:rPr>
        <w:t>Note</w:t>
      </w:r>
      <w:r w:rsidRPr="00256982">
        <w:t xml:space="preserve">: </w:t>
      </w:r>
      <w:r w:rsidRPr="00256982">
        <w:tab/>
      </w:r>
      <w:r w:rsidRPr="00256982">
        <w:rPr>
          <w:rFonts w:cs="Arial"/>
          <w:color w:val="000000"/>
          <w:szCs w:val="18"/>
        </w:rPr>
        <w:t>CEF</w:t>
      </w:r>
      <w:r w:rsidRPr="00256982">
        <w:rPr>
          <w:rFonts w:cs="Arial"/>
          <w:color w:val="000000"/>
          <w:szCs w:val="18"/>
          <w:vertAlign w:val="subscript"/>
        </w:rPr>
        <w:t>HC</w:t>
      </w:r>
      <w:r w:rsidRPr="00256982">
        <w:rPr>
          <w:rFonts w:cs="Arial"/>
          <w:color w:val="000000"/>
          <w:szCs w:val="18"/>
        </w:rPr>
        <w:t xml:space="preserve"> refers to the existing forest land that is harvested and converted to non-forest land; CEF</w:t>
      </w:r>
      <w:r w:rsidRPr="00256982">
        <w:rPr>
          <w:rFonts w:cs="Arial"/>
          <w:color w:val="000000"/>
          <w:szCs w:val="18"/>
          <w:vertAlign w:val="subscript"/>
        </w:rPr>
        <w:t>NE</w:t>
      </w:r>
      <w:r w:rsidRPr="00256982">
        <w:rPr>
          <w:szCs w:val="18"/>
        </w:rPr>
        <w:t xml:space="preserve"> </w:t>
      </w:r>
      <w:r w:rsidRPr="00256982">
        <w:rPr>
          <w:rFonts w:cs="Arial"/>
          <w:color w:val="000000"/>
          <w:szCs w:val="18"/>
        </w:rPr>
        <w:t>refers to the non-forest land on which a forest is newly established. NA = not available. Columns may not total due to rounding. Disaggregated data on the application of the provision are provided in annex 5.3.</w:t>
      </w:r>
    </w:p>
    <w:p w14:paraId="59C2B00C" w14:textId="77777777" w:rsidR="000E7C76" w:rsidRPr="00256982" w:rsidRDefault="000E7C76" w:rsidP="00FB19E2">
      <w:pPr>
        <w:pStyle w:val="BodyText"/>
        <w:spacing w:after="100"/>
      </w:pPr>
      <w:r w:rsidRPr="00256982">
        <w:t xml:space="preserve">The carbon equivalent forest provision is administered domestically by the New Zealand Ministry for Primary Industries as part of the NZ ETS. The domestic carbon equivalent forest rules are broadly aligned with those in the Kyoto Protocol Supplement (IPCC, 2014a). Misalignments between the domestic and international rulesets include: </w:t>
      </w:r>
    </w:p>
    <w:p w14:paraId="1CE89394" w14:textId="77777777" w:rsidR="000E7C76" w:rsidRPr="00256982" w:rsidRDefault="000E7C76" w:rsidP="00FB19E2">
      <w:pPr>
        <w:pStyle w:val="Bullet"/>
        <w:numPr>
          <w:ilvl w:val="0"/>
          <w:numId w:val="8"/>
        </w:numPr>
        <w:spacing w:after="100"/>
      </w:pPr>
      <w:r w:rsidRPr="00256982">
        <w:t xml:space="preserve">domestically, the carbon equivalent forest can be established before the forest land is converted to another land use, and </w:t>
      </w:r>
    </w:p>
    <w:p w14:paraId="217258BA" w14:textId="77777777" w:rsidR="000E7C76" w:rsidRPr="00256982" w:rsidRDefault="000E7C76" w:rsidP="00FB19E2">
      <w:pPr>
        <w:pStyle w:val="Bullet"/>
        <w:numPr>
          <w:ilvl w:val="0"/>
          <w:numId w:val="8"/>
        </w:numPr>
        <w:spacing w:after="100"/>
      </w:pPr>
      <w:r w:rsidRPr="00256982">
        <w:t xml:space="preserve">the newly established carbon equivalent forest can be established on land that was forested on 31 December 1989. </w:t>
      </w:r>
    </w:p>
    <w:p w14:paraId="3AC2A7BF" w14:textId="77777777" w:rsidR="000E7C76" w:rsidRPr="00256982" w:rsidRDefault="000E7C76" w:rsidP="00FB19E2">
      <w:pPr>
        <w:pStyle w:val="BodyText"/>
        <w:spacing w:after="100"/>
      </w:pPr>
      <w:r w:rsidRPr="00256982">
        <w:t>Where these misalignments are detected, these activities are instead reported as separate afforestation and deforestation events.</w:t>
      </w:r>
    </w:p>
    <w:p w14:paraId="58AA0B80" w14:textId="77777777" w:rsidR="000E7C76" w:rsidRPr="00256982" w:rsidRDefault="000E7C76" w:rsidP="00FB19E2">
      <w:pPr>
        <w:pStyle w:val="BodyText"/>
        <w:spacing w:after="100"/>
      </w:pPr>
      <w:r w:rsidRPr="00256982">
        <w:t xml:space="preserve">Emissions from the conversion of forest land under the carbon equivalent forest provision are calculated as a deforestation event. In calculating these emissions, all biomass is instantly emitted at the time of conversion and soil organic carbon changes due to land-use change are accounted for. The emissions from the establishment of the new forest under the provision are calculated as an afforestation event and include biomass loss and soil organic carbon changes resulting from this land-use change. Net emissions from the activities are reported under </w:t>
      </w:r>
      <w:r w:rsidRPr="00256982">
        <w:rPr>
          <w:i/>
        </w:rPr>
        <w:t>Forest management</w:t>
      </w:r>
      <w:r w:rsidRPr="00256982">
        <w:t xml:space="preserve"> and monitored over time to ensure carbon equivalence.</w:t>
      </w:r>
    </w:p>
    <w:p w14:paraId="0E88016C" w14:textId="77777777" w:rsidR="000E7C76" w:rsidRPr="00256982" w:rsidRDefault="000E7C76" w:rsidP="00FB19E2">
      <w:pPr>
        <w:pStyle w:val="BodyText"/>
        <w:spacing w:after="100"/>
      </w:pPr>
      <w:r w:rsidRPr="00256982">
        <w:t xml:space="preserve">The carbon equivalent forest provision creates a misalignment for the afforestation and deforestation area reported under the Kyoto Protocol and the UNFCCC sections of the inventory. The carbon equivalent forest provision is not recognised under the UNFCCC and is reported as </w:t>
      </w:r>
      <w:r w:rsidRPr="00256982">
        <w:rPr>
          <w:i/>
        </w:rPr>
        <w:t>Land converted to forest land</w:t>
      </w:r>
      <w:r w:rsidRPr="00256982">
        <w:t xml:space="preserve"> (afforestation) and </w:t>
      </w:r>
      <w:r w:rsidRPr="00256982">
        <w:rPr>
          <w:i/>
        </w:rPr>
        <w:t>Forest land converted to other land uses</w:t>
      </w:r>
      <w:r w:rsidRPr="00256982">
        <w:t xml:space="preserve"> (deforestation). </w:t>
      </w:r>
    </w:p>
    <w:p w14:paraId="12AB507F" w14:textId="77777777" w:rsidR="000E7C76" w:rsidRPr="00256982" w:rsidRDefault="000E7C76" w:rsidP="000E7C76">
      <w:pPr>
        <w:pStyle w:val="Heading3"/>
        <w:spacing w:before="280"/>
      </w:pPr>
      <w:r w:rsidRPr="00256982">
        <w:t>11.3.5</w:t>
      </w:r>
      <w:r w:rsidRPr="00256982">
        <w:tab/>
        <w:t>Voluntary activities under Article 3.4</w:t>
      </w:r>
    </w:p>
    <w:p w14:paraId="513BDDD2" w14:textId="77777777" w:rsidR="000E7C76" w:rsidRPr="00256982" w:rsidRDefault="000E7C76" w:rsidP="00FB19E2">
      <w:pPr>
        <w:pStyle w:val="BodyText"/>
      </w:pPr>
      <w:r w:rsidRPr="00256982">
        <w:t>New Zealand has not elected to report on any voluntary activities under Article 3.4 of the Kyoto Protocol.</w:t>
      </w:r>
    </w:p>
    <w:p w14:paraId="00B99849" w14:textId="77777777" w:rsidR="000E7C76" w:rsidRPr="00256982" w:rsidRDefault="000E7C76" w:rsidP="000E7C76">
      <w:pPr>
        <w:pStyle w:val="Heading3"/>
        <w:spacing w:before="280"/>
      </w:pPr>
      <w:r w:rsidRPr="00256982">
        <w:t>11.3.6</w:t>
      </w:r>
      <w:r w:rsidRPr="00256982">
        <w:tab/>
        <w:t>Harvested wood products (CRF 4(KP-I)C)</w:t>
      </w:r>
    </w:p>
    <w:p w14:paraId="6B13D792" w14:textId="77777777" w:rsidR="000E7C76" w:rsidRPr="00256982" w:rsidRDefault="000E7C76" w:rsidP="00C7311A">
      <w:pPr>
        <w:pStyle w:val="BodyText"/>
        <w:spacing w:after="100"/>
        <w:rPr>
          <w:spacing w:val="-2"/>
        </w:rPr>
      </w:pPr>
      <w:r w:rsidRPr="00256982">
        <w:rPr>
          <w:spacing w:val="-2"/>
        </w:rPr>
        <w:t xml:space="preserve">The </w:t>
      </w:r>
      <w:r w:rsidRPr="00256982">
        <w:rPr>
          <w:i/>
          <w:spacing w:val="-2"/>
        </w:rPr>
        <w:t>Harvested wood products</w:t>
      </w:r>
      <w:r w:rsidRPr="00256982">
        <w:rPr>
          <w:spacing w:val="-2"/>
        </w:rPr>
        <w:t xml:space="preserve"> category comprises all wood material that leaves a harvest site and is subsequently processed. This wood constitutes a carbon reservoir (section 12.1, IPCC, 2006a). </w:t>
      </w:r>
    </w:p>
    <w:p w14:paraId="7341FEF0" w14:textId="77777777" w:rsidR="000E7C76" w:rsidRPr="00256982" w:rsidRDefault="000E7C76" w:rsidP="00C7311A">
      <w:pPr>
        <w:pStyle w:val="BodyText"/>
        <w:spacing w:after="100"/>
      </w:pPr>
      <w:r w:rsidRPr="00256982">
        <w:t xml:space="preserve">New Zealand is required to report changes in the harvested wood products pool under the Kyoto Protocol from 2013. For </w:t>
      </w:r>
      <w:r w:rsidRPr="00256982">
        <w:rPr>
          <w:i/>
        </w:rPr>
        <w:t>Afforestation and reforestation</w:t>
      </w:r>
      <w:r w:rsidRPr="00256982">
        <w:t xml:space="preserve"> and </w:t>
      </w:r>
      <w:r w:rsidRPr="00256982">
        <w:rPr>
          <w:i/>
        </w:rPr>
        <w:t>Forest management</w:t>
      </w:r>
      <w:r w:rsidRPr="00256982">
        <w:t xml:space="preserve">, estimates are derived from a modified Intergovernmental Panel on Climate Change (IPCC) Convention reporting model. The emissions from </w:t>
      </w:r>
      <w:r w:rsidRPr="00256982">
        <w:rPr>
          <w:i/>
        </w:rPr>
        <w:t>Harvested wood products</w:t>
      </w:r>
      <w:r w:rsidRPr="00256982">
        <w:t xml:space="preserve"> originating from </w:t>
      </w:r>
      <w:r w:rsidRPr="00256982">
        <w:rPr>
          <w:i/>
        </w:rPr>
        <w:t>Deforestation</w:t>
      </w:r>
      <w:r w:rsidRPr="00256982">
        <w:t xml:space="preserve"> activities are instantly oxidised. </w:t>
      </w:r>
    </w:p>
    <w:p w14:paraId="45DE2F27" w14:textId="77777777" w:rsidR="000E7C76" w:rsidRPr="00256982" w:rsidRDefault="000E7C76" w:rsidP="00C7311A">
      <w:pPr>
        <w:pStyle w:val="BodyText"/>
        <w:spacing w:after="100"/>
      </w:pPr>
      <w:r w:rsidRPr="00256982">
        <w:rPr>
          <w:i/>
        </w:rPr>
        <w:t>Harvested wood product</w:t>
      </w:r>
      <w:r w:rsidRPr="00256982">
        <w:t xml:space="preserve"> emissions for 2017 </w:t>
      </w:r>
      <w:r w:rsidRPr="00256982">
        <w:rPr>
          <w:i/>
        </w:rPr>
        <w:t>Afforestation and reforestation</w:t>
      </w:r>
      <w:r w:rsidRPr="00256982">
        <w:t xml:space="preserve"> were </w:t>
      </w:r>
      <w:r w:rsidRPr="00256982">
        <w:br/>
        <w:t>–1,416.1 kt CO</w:t>
      </w:r>
      <w:r w:rsidRPr="00256982">
        <w:rPr>
          <w:vertAlign w:val="subscript"/>
        </w:rPr>
        <w:t>2</w:t>
      </w:r>
      <w:r w:rsidRPr="00256982">
        <w:t xml:space="preserve">-e; and for </w:t>
      </w:r>
      <w:r w:rsidRPr="00256982">
        <w:rPr>
          <w:i/>
        </w:rPr>
        <w:t>Forest management</w:t>
      </w:r>
      <w:r w:rsidRPr="00256982">
        <w:t xml:space="preserve"> they were –9,751.4 kt CO</w:t>
      </w:r>
      <w:r w:rsidRPr="00256982">
        <w:rPr>
          <w:vertAlign w:val="subscript"/>
        </w:rPr>
        <w:t>2</w:t>
      </w:r>
      <w:r w:rsidRPr="00256982">
        <w:t>-e.</w:t>
      </w:r>
    </w:p>
    <w:p w14:paraId="77C3CFA5" w14:textId="77777777" w:rsidR="000E7C76" w:rsidRPr="00256982" w:rsidRDefault="000E7C76" w:rsidP="00C7311A">
      <w:pPr>
        <w:pStyle w:val="BodyText"/>
        <w:spacing w:after="100"/>
      </w:pPr>
      <w:r w:rsidRPr="00256982">
        <w:t>New Zealand has a large planted forest estate that provides most of the wood products consumed domestically. The remainder of domestic production is exported in either product or raw material form. A more detailed description of the forest estate and New Zealand wood use is provided in chapter 6, section 6.10.</w:t>
      </w:r>
    </w:p>
    <w:p w14:paraId="2E01DD09" w14:textId="77777777" w:rsidR="000E7C76" w:rsidRPr="00256982" w:rsidRDefault="000E7C76" w:rsidP="00C7311A">
      <w:pPr>
        <w:pStyle w:val="BodyText"/>
        <w:spacing w:after="100"/>
        <w:rPr>
          <w:spacing w:val="-2"/>
        </w:rPr>
      </w:pPr>
      <w:r w:rsidRPr="00256982">
        <w:rPr>
          <w:spacing w:val="-2"/>
        </w:rPr>
        <w:t xml:space="preserve">New Zealand has developed a Tier 2 method to report </w:t>
      </w:r>
      <w:r w:rsidRPr="00256982">
        <w:rPr>
          <w:i/>
          <w:spacing w:val="-2"/>
        </w:rPr>
        <w:t>Harvested wood products</w:t>
      </w:r>
      <w:r w:rsidRPr="00256982">
        <w:rPr>
          <w:spacing w:val="-2"/>
        </w:rPr>
        <w:t xml:space="preserve"> under the Kyoto Protocol. New Zealand uses the default Tier 2 methodology, as described in the IPCC guidance (IPCC, 2014a), and some country-specific activity data and parameters where available. IPCC default half-lives and some conversion factors are used. Country-specific conversion factors are used for domestically produced sawnwood and veneer sheets (see chapter 6, table 6.10.1).</w:t>
      </w:r>
    </w:p>
    <w:p w14:paraId="188971EC" w14:textId="77777777" w:rsidR="000E7C76" w:rsidRPr="00256982" w:rsidRDefault="000E7C76" w:rsidP="00C7311A">
      <w:pPr>
        <w:pStyle w:val="BodyText"/>
        <w:spacing w:after="100"/>
      </w:pPr>
      <w:r w:rsidRPr="00256982">
        <w:t xml:space="preserve">Data on the production, import and export of harvested wood products from 1990 to 2017 were sourced from the FAO Statistics database (FAOSTAT). These data are provided to the FAO by the Ministry for Primary Industries. The basic data are the same as those used for IPCC Convention reporting, except the time series begins in 1990 for </w:t>
      </w:r>
      <w:r w:rsidRPr="00256982">
        <w:rPr>
          <w:i/>
        </w:rPr>
        <w:t>Afforestation and reforestation</w:t>
      </w:r>
      <w:r w:rsidRPr="00256982">
        <w:t xml:space="preserve"> and 2013 for </w:t>
      </w:r>
      <w:r w:rsidRPr="00256982">
        <w:rPr>
          <w:i/>
        </w:rPr>
        <w:t>Forest management</w:t>
      </w:r>
      <w:r w:rsidRPr="00256982">
        <w:t xml:space="preserve">. Also, the </w:t>
      </w:r>
      <w:r w:rsidRPr="00256982">
        <w:rPr>
          <w:i/>
        </w:rPr>
        <w:t>Solid wood</w:t>
      </w:r>
      <w:r w:rsidRPr="00256982">
        <w:t xml:space="preserve"> category used for IPCC Convention reporting is disaggregated into </w:t>
      </w:r>
      <w:r w:rsidRPr="00256982">
        <w:rPr>
          <w:i/>
        </w:rPr>
        <w:t>Sawnwood</w:t>
      </w:r>
      <w:r w:rsidRPr="00256982">
        <w:t xml:space="preserve"> and </w:t>
      </w:r>
      <w:r w:rsidRPr="00256982">
        <w:rPr>
          <w:i/>
        </w:rPr>
        <w:t>Wood-based</w:t>
      </w:r>
      <w:r w:rsidRPr="00256982">
        <w:t xml:space="preserve"> </w:t>
      </w:r>
      <w:r w:rsidRPr="00256982">
        <w:rPr>
          <w:i/>
        </w:rPr>
        <w:t>panels</w:t>
      </w:r>
      <w:r w:rsidRPr="00256982">
        <w:t xml:space="preserve"> for Kyoto Protocol reporting. Errors within the data sourced from FAOSTAT were corrected and missing data were added, using data directly from the Ministry for Primary Industries.</w:t>
      </w:r>
    </w:p>
    <w:p w14:paraId="6BE4216E" w14:textId="77777777" w:rsidR="000E7C76" w:rsidRPr="00256982" w:rsidRDefault="000E7C76" w:rsidP="00C7311A">
      <w:pPr>
        <w:pStyle w:val="BodyText"/>
        <w:spacing w:after="100"/>
      </w:pPr>
      <w:r w:rsidRPr="00256982">
        <w:t xml:space="preserve">In 2017, a large proportion (around 50 per cent) of New Zealand’s harvest was exported as raw materials in the form of logs or wood chips (Ministry for Primary Industries, 2018). The FAOSTAT database provides data on the export quantity of raw materials but provides no information on the conversion of these materials to products and their expected half-lives. A project was completed in 2016 to provide information on harvested wood products from exported logs in New Zealand’s three main export markets (China, South Korea and India). The study found that most New Zealand wood is converted into construction and packaging materials. Therefore, weighted half-lives were found to be 6.6 years, 18 years and 2.5 years for China, South Korea and India respectively (Ministry for Primary Industries, 2016). The weighted half-lives for China and India are significantly lower than the IPCC default half-lives for sawnwood and panels (35 years and 25 years respectively). These findings are included in New Zealand’s </w:t>
      </w:r>
      <w:r w:rsidRPr="00256982">
        <w:rPr>
          <w:i/>
        </w:rPr>
        <w:t>Harvested wood products</w:t>
      </w:r>
      <w:r w:rsidRPr="00256982">
        <w:t xml:space="preserve"> estimates and provide an improvement on the previous assumption of instant emission for exported raw materials.</w:t>
      </w:r>
    </w:p>
    <w:p w14:paraId="29E369BB" w14:textId="77777777" w:rsidR="000E7C76" w:rsidRPr="00256982" w:rsidRDefault="000E7C76" w:rsidP="00C7311A">
      <w:pPr>
        <w:pStyle w:val="BodyText"/>
        <w:spacing w:after="100"/>
      </w:pPr>
      <w:r w:rsidRPr="00256982">
        <w:t xml:space="preserve">Emissions from the harvest of </w:t>
      </w:r>
      <w:r w:rsidRPr="00256982">
        <w:rPr>
          <w:i/>
        </w:rPr>
        <w:t>Afforestation and reforestation</w:t>
      </w:r>
      <w:r w:rsidRPr="00256982">
        <w:t xml:space="preserve"> land are reported from 1990 onwards. These lands provide a small contribution to </w:t>
      </w:r>
      <w:r w:rsidRPr="00256982">
        <w:rPr>
          <w:i/>
        </w:rPr>
        <w:t>Harvested wood products</w:t>
      </w:r>
      <w:r w:rsidRPr="00256982">
        <w:t xml:space="preserve"> because most post-1989 planted forest is yet to reach harvest age. Harvested wood products originating from these lands are estimated by prorating the proportion of </w:t>
      </w:r>
      <w:r w:rsidRPr="00256982">
        <w:rPr>
          <w:i/>
        </w:rPr>
        <w:t>Afforestation and reforestation</w:t>
      </w:r>
      <w:r w:rsidRPr="00256982">
        <w:t xml:space="preserve"> harvest emissions to total harvest emissions (excluding </w:t>
      </w:r>
      <w:r w:rsidRPr="00256982">
        <w:rPr>
          <w:i/>
          <w:spacing w:val="-2"/>
        </w:rPr>
        <w:t>Deforestation</w:t>
      </w:r>
      <w:r w:rsidRPr="00256982">
        <w:t>).</w:t>
      </w:r>
    </w:p>
    <w:p w14:paraId="145BECA6" w14:textId="77777777" w:rsidR="000E7C76" w:rsidRPr="00256982" w:rsidRDefault="000E7C76" w:rsidP="000E7C76">
      <w:pPr>
        <w:pStyle w:val="BodyText"/>
      </w:pPr>
      <w:r w:rsidRPr="00256982">
        <w:t xml:space="preserve">Emissions from the harvest occurring on </w:t>
      </w:r>
      <w:r w:rsidRPr="00256982">
        <w:rPr>
          <w:i/>
        </w:rPr>
        <w:t>Forest management</w:t>
      </w:r>
      <w:r w:rsidRPr="00256982">
        <w:t xml:space="preserve"> land, specifically pre-1990 planted forest, are estimated from 2013 onwards, and these lands currently provide around 88 per cent of New Zealand’s annual harvest in terms of their contribution to emissions. Harvested wood products originating from these lands are estimated by prorating the proportion of </w:t>
      </w:r>
      <w:r w:rsidRPr="00256982">
        <w:rPr>
          <w:i/>
        </w:rPr>
        <w:t>Forest management</w:t>
      </w:r>
      <w:r w:rsidRPr="00256982">
        <w:t xml:space="preserve"> harvest emissions to total harvest emissions (excluding </w:t>
      </w:r>
      <w:r w:rsidRPr="00256982">
        <w:rPr>
          <w:i/>
        </w:rPr>
        <w:t>Deforestation</w:t>
      </w:r>
      <w:r w:rsidRPr="00256982">
        <w:t>). Accounting of harvested wood products on these lands is against New Zealand’s projected FMRL and, therefore, emissions from harvest occurring prior to 2013 are excluded.</w:t>
      </w:r>
    </w:p>
    <w:p w14:paraId="25925B3F" w14:textId="77777777" w:rsidR="000E7C76" w:rsidRPr="00256982" w:rsidRDefault="000E7C76" w:rsidP="000E7C76">
      <w:pPr>
        <w:pStyle w:val="BodyText"/>
      </w:pPr>
      <w:r w:rsidRPr="00256982">
        <w:t xml:space="preserve">Harvested wood products originating from </w:t>
      </w:r>
      <w:r w:rsidRPr="00256982">
        <w:rPr>
          <w:i/>
          <w:spacing w:val="-2"/>
        </w:rPr>
        <w:t>Deforestation</w:t>
      </w:r>
      <w:r w:rsidRPr="00256982">
        <w:t xml:space="preserve"> are instantly emitted, as required under the Kyoto Protocol; however, the production statistics do not identify products that were derived originally from the wood that was harvested as part of the deforestation activity. The share of harvest volume originating from </w:t>
      </w:r>
      <w:r w:rsidRPr="00256982">
        <w:rPr>
          <w:i/>
          <w:spacing w:val="-2"/>
        </w:rPr>
        <w:t>Deforestation</w:t>
      </w:r>
      <w:r w:rsidRPr="00256982">
        <w:t xml:space="preserve"> is estimated by comparing emissions from </w:t>
      </w:r>
      <w:r w:rsidRPr="00256982">
        <w:rPr>
          <w:i/>
          <w:spacing w:val="-2"/>
        </w:rPr>
        <w:t>Deforestation</w:t>
      </w:r>
      <w:r w:rsidRPr="00256982">
        <w:t xml:space="preserve"> with emissions from harvesting. This provides a proportion to apply to the production statistics to separate harvested wood products originating from </w:t>
      </w:r>
      <w:r w:rsidRPr="00256982">
        <w:rPr>
          <w:i/>
          <w:spacing w:val="-2"/>
        </w:rPr>
        <w:t>Deforestation</w:t>
      </w:r>
      <w:r w:rsidRPr="00256982">
        <w:t>.</w:t>
      </w:r>
    </w:p>
    <w:p w14:paraId="7AC3498A" w14:textId="77777777" w:rsidR="000E7C76" w:rsidRPr="00256982" w:rsidRDefault="000E7C76" w:rsidP="000E7C76">
      <w:pPr>
        <w:pStyle w:val="BodyText"/>
      </w:pPr>
      <w:r w:rsidRPr="00256982">
        <w:t>Non-forest harvest is treated as an instant emission. Harvest from these lands is assumed to be used for fuel wood. Therefore, the harvested wood products contribution from non-forest lands is assumed to be zero.</w:t>
      </w:r>
    </w:p>
    <w:p w14:paraId="30E9222E" w14:textId="77777777" w:rsidR="000E7C76" w:rsidRPr="00256982" w:rsidRDefault="000E7C76" w:rsidP="000E7C76">
      <w:pPr>
        <w:pStyle w:val="Heading3"/>
      </w:pPr>
      <w:r w:rsidRPr="00256982">
        <w:t>11.3.7</w:t>
      </w:r>
      <w:r w:rsidRPr="00256982">
        <w:tab/>
        <w:t>Other greenhouse gas sources</w:t>
      </w:r>
    </w:p>
    <w:p w14:paraId="7AD0F9AD" w14:textId="77777777" w:rsidR="000E7C76" w:rsidRPr="00256982" w:rsidRDefault="000E7C76" w:rsidP="000E7C76">
      <w:pPr>
        <w:pStyle w:val="Heading4"/>
      </w:pPr>
      <w:r w:rsidRPr="00256982">
        <w:t>Direct nitrous oxide emissions from nitrogen fertilisation (CRF 4(KP-II)1)</w:t>
      </w:r>
    </w:p>
    <w:p w14:paraId="3E07602D" w14:textId="77777777" w:rsidR="000E7C76" w:rsidRPr="00256982" w:rsidRDefault="000E7C76" w:rsidP="000E7C76">
      <w:pPr>
        <w:pStyle w:val="BodyText"/>
      </w:pPr>
      <w:r w:rsidRPr="00256982">
        <w:rPr>
          <w:rStyle w:val="BodyTextChar"/>
        </w:rPr>
        <w:t>New Zealand’s activity data</w:t>
      </w:r>
      <w:r w:rsidRPr="00256982">
        <w:t xml:space="preserve"> on nitrogen fertilisation are not currently disaggregated by land use; therefore, all nitrous oxide (N</w:t>
      </w:r>
      <w:r w:rsidRPr="00256982">
        <w:rPr>
          <w:vertAlign w:val="subscript"/>
        </w:rPr>
        <w:t>2</w:t>
      </w:r>
      <w:r w:rsidRPr="00256982">
        <w:t xml:space="preserve">O) emissions from nitrogen fertilisation are reported in the Agriculture sector under the category </w:t>
      </w:r>
      <w:r w:rsidRPr="00256982">
        <w:rPr>
          <w:i/>
        </w:rPr>
        <w:t>Direct N</w:t>
      </w:r>
      <w:r w:rsidRPr="00256982">
        <w:rPr>
          <w:i/>
          <w:vertAlign w:val="subscript"/>
        </w:rPr>
        <w:t>2</w:t>
      </w:r>
      <w:r w:rsidRPr="00256982">
        <w:rPr>
          <w:i/>
        </w:rPr>
        <w:t>O emissions from managed soils</w:t>
      </w:r>
      <w:r w:rsidRPr="00256982">
        <w:t xml:space="preserve"> (CRF 3.D). The notation key IE (included elsewhere) is reported in the CRF tables for the KP-LULUCF sector (section 2.4.4.2, IPCC, 2014a).</w:t>
      </w:r>
    </w:p>
    <w:p w14:paraId="3C0181C7" w14:textId="77777777" w:rsidR="000E7C76" w:rsidRPr="00256982" w:rsidRDefault="000E7C76" w:rsidP="000E7C76">
      <w:pPr>
        <w:pStyle w:val="Heading4"/>
      </w:pPr>
      <w:r w:rsidRPr="00256982">
        <w:t>Methane and nitrous oxide emissions from drained and rewetted organic soils (CRF 4(KP-II)2)</w:t>
      </w:r>
    </w:p>
    <w:p w14:paraId="20DC8A8F" w14:textId="77777777" w:rsidR="000E7C76" w:rsidRPr="00256982" w:rsidRDefault="000E7C76" w:rsidP="000E7C76">
      <w:pPr>
        <w:pStyle w:val="BodyText"/>
      </w:pPr>
      <w:r w:rsidRPr="00256982">
        <w:t xml:space="preserve">The methodology for estimating these emissions is contained within the </w:t>
      </w:r>
      <w:r w:rsidRPr="00256982">
        <w:rPr>
          <w:i/>
        </w:rPr>
        <w:t>2013 Supplement to the 2006 IPCC Guidelines for National Greenhouse Gas Inventories: Wetlands</w:t>
      </w:r>
      <w:r w:rsidRPr="00256982">
        <w:t xml:space="preserve"> (IPCC, 2014b). This supplement was not adopted by the Conference of the Parties serving as the meeting of the Parties to the Kyoto Protocol and, as such, its use is voluntary unless a country has elected ‘</w:t>
      </w:r>
      <w:r w:rsidRPr="00256982">
        <w:rPr>
          <w:i/>
        </w:rPr>
        <w:t>Wetland drainage and rewetting</w:t>
      </w:r>
      <w:r w:rsidRPr="00256982">
        <w:t>’. Given this, New Zealand reports NE (not estimated) in the CRF table for methane and N</w:t>
      </w:r>
      <w:r w:rsidRPr="00256982">
        <w:rPr>
          <w:vertAlign w:val="subscript"/>
        </w:rPr>
        <w:t>2</w:t>
      </w:r>
      <w:r w:rsidRPr="00256982">
        <w:t>O emissions from drained and rewetted organic soils.</w:t>
      </w:r>
    </w:p>
    <w:p w14:paraId="47BC4C91" w14:textId="77777777" w:rsidR="000E7C76" w:rsidRPr="00256982" w:rsidRDefault="000E7C76" w:rsidP="000E7C76">
      <w:pPr>
        <w:pStyle w:val="Heading4"/>
      </w:pPr>
      <w:r w:rsidRPr="00256982">
        <w:t>Nitrous oxide emissions from nitrogen mineralisation and immobilisation associated with land use conversions and management in mineral soils (CRF 4(KP-II)3)</w:t>
      </w:r>
    </w:p>
    <w:p w14:paraId="1DD22E7F" w14:textId="77777777" w:rsidR="000E7C76" w:rsidRPr="00256982" w:rsidRDefault="000E7C76" w:rsidP="000E7C76">
      <w:pPr>
        <w:pStyle w:val="BodyText"/>
      </w:pPr>
      <w:r w:rsidRPr="00256982">
        <w:t xml:space="preserve">Nitrous oxide emissions, resulting from nitrogen mineralisation and immobilisation associated with land conversion, are reported for </w:t>
      </w:r>
      <w:r w:rsidRPr="00256982">
        <w:rPr>
          <w:i/>
        </w:rPr>
        <w:t>Afforestation and reforestation</w:t>
      </w:r>
      <w:r w:rsidRPr="00256982">
        <w:t xml:space="preserve">, </w:t>
      </w:r>
      <w:r w:rsidRPr="00256982">
        <w:rPr>
          <w:i/>
        </w:rPr>
        <w:t>Deforestation</w:t>
      </w:r>
      <w:r w:rsidRPr="00256982">
        <w:t xml:space="preserve"> and </w:t>
      </w:r>
      <w:r w:rsidRPr="00256982">
        <w:rPr>
          <w:i/>
        </w:rPr>
        <w:t>Forest management</w:t>
      </w:r>
      <w:r w:rsidRPr="00256982">
        <w:t>. These are calculated following the IPCC Guidelines (IPCC, 2006a). Total emissions for these three activities are 0.2 kt N</w:t>
      </w:r>
      <w:r w:rsidRPr="00256982">
        <w:rPr>
          <w:vertAlign w:val="subscript"/>
        </w:rPr>
        <w:t>2</w:t>
      </w:r>
      <w:r w:rsidRPr="00256982">
        <w:t>O.</w:t>
      </w:r>
    </w:p>
    <w:p w14:paraId="234E6D1E" w14:textId="77777777" w:rsidR="000E7C76" w:rsidRPr="00256982" w:rsidRDefault="000E7C76" w:rsidP="000E7C76">
      <w:pPr>
        <w:pStyle w:val="BodyText"/>
      </w:pPr>
      <w:r w:rsidRPr="00256982">
        <w:t xml:space="preserve">Emissions associated with </w:t>
      </w:r>
      <w:r w:rsidRPr="00256982">
        <w:rPr>
          <w:i/>
        </w:rPr>
        <w:t>Indirect N</w:t>
      </w:r>
      <w:r w:rsidRPr="00256982">
        <w:rPr>
          <w:i/>
          <w:vertAlign w:val="subscript"/>
        </w:rPr>
        <w:t>2</w:t>
      </w:r>
      <w:r w:rsidRPr="00256982">
        <w:rPr>
          <w:i/>
        </w:rPr>
        <w:t>O emissions from managed soils</w:t>
      </w:r>
      <w:r w:rsidRPr="00256982">
        <w:t xml:space="preserve"> are also reported under the Agriculture sector. New Zealand reports IE (included elsewhere) in the relevant CRF tables. </w:t>
      </w:r>
    </w:p>
    <w:p w14:paraId="12BCED78" w14:textId="77777777" w:rsidR="000E7C76" w:rsidRPr="00256982" w:rsidRDefault="000E7C76" w:rsidP="000E7C76">
      <w:pPr>
        <w:pStyle w:val="Heading4"/>
      </w:pPr>
      <w:r w:rsidRPr="00256982">
        <w:t>Biomass burning (CRF 4(KP-II)4)</w:t>
      </w:r>
    </w:p>
    <w:p w14:paraId="74EED8B3" w14:textId="77777777" w:rsidR="000E7C76" w:rsidRPr="00256982" w:rsidRDefault="000E7C76" w:rsidP="00E21944">
      <w:pPr>
        <w:pStyle w:val="Heading5"/>
        <w:spacing w:before="160"/>
      </w:pPr>
      <w:r w:rsidRPr="00256982">
        <w:t>Afforestation and reforestation</w:t>
      </w:r>
    </w:p>
    <w:p w14:paraId="09FC4F81" w14:textId="77777777" w:rsidR="000E7C76" w:rsidRPr="00256982" w:rsidRDefault="000E7C76" w:rsidP="00C7311A">
      <w:pPr>
        <w:pStyle w:val="BodyText"/>
        <w:spacing w:after="100"/>
        <w:rPr>
          <w:spacing w:val="-2"/>
        </w:rPr>
      </w:pPr>
      <w:r w:rsidRPr="00256982">
        <w:rPr>
          <w:spacing w:val="-2"/>
        </w:rPr>
        <w:t xml:space="preserve">Non-carbon dioxide emissions from wildfires in </w:t>
      </w:r>
      <w:r w:rsidRPr="00256982">
        <w:rPr>
          <w:i/>
          <w:spacing w:val="-2"/>
        </w:rPr>
        <w:t>Land converted to forest land</w:t>
      </w:r>
      <w:r w:rsidRPr="00256982">
        <w:rPr>
          <w:spacing w:val="-2"/>
        </w:rPr>
        <w:t xml:space="preserve"> are reported under </w:t>
      </w:r>
      <w:r w:rsidRPr="00256982">
        <w:rPr>
          <w:i/>
          <w:spacing w:val="-2"/>
        </w:rPr>
        <w:t>Afforestation and reforestation</w:t>
      </w:r>
      <w:r w:rsidRPr="00256982">
        <w:rPr>
          <w:spacing w:val="-2"/>
        </w:rPr>
        <w:t xml:space="preserve">. The activity data do not distinguish between </w:t>
      </w:r>
      <w:r w:rsidRPr="00256982">
        <w:rPr>
          <w:i/>
          <w:spacing w:val="-2"/>
        </w:rPr>
        <w:t>Forest land</w:t>
      </w:r>
      <w:r w:rsidRPr="00256982">
        <w:rPr>
          <w:spacing w:val="-2"/>
        </w:rPr>
        <w:t xml:space="preserve"> categories (</w:t>
      </w:r>
      <w:r w:rsidRPr="00256982">
        <w:rPr>
          <w:i/>
          <w:spacing w:val="-2"/>
        </w:rPr>
        <w:t>Afforestation and reforestation</w:t>
      </w:r>
      <w:r w:rsidRPr="00256982">
        <w:rPr>
          <w:spacing w:val="-2"/>
        </w:rPr>
        <w:t xml:space="preserve"> or </w:t>
      </w:r>
      <w:r w:rsidRPr="00256982">
        <w:rPr>
          <w:i/>
          <w:spacing w:val="-2"/>
        </w:rPr>
        <w:t>Forest management</w:t>
      </w:r>
      <w:r w:rsidRPr="00256982">
        <w:rPr>
          <w:spacing w:val="-2"/>
        </w:rPr>
        <w:t>); therefore, non-CO</w:t>
      </w:r>
      <w:r w:rsidRPr="00256982">
        <w:rPr>
          <w:spacing w:val="-2"/>
          <w:vertAlign w:val="subscript"/>
        </w:rPr>
        <w:t>2</w:t>
      </w:r>
      <w:r w:rsidRPr="00256982">
        <w:rPr>
          <w:spacing w:val="-2"/>
        </w:rPr>
        <w:t xml:space="preserve"> emissions resulting from wildfire are attributed to </w:t>
      </w:r>
      <w:r w:rsidRPr="00256982">
        <w:rPr>
          <w:i/>
          <w:spacing w:val="-2"/>
        </w:rPr>
        <w:t>Afforestation and reforestation</w:t>
      </w:r>
      <w:r w:rsidRPr="00256982">
        <w:rPr>
          <w:spacing w:val="-2"/>
        </w:rPr>
        <w:t xml:space="preserve"> by the proportion of the total planted forest area that these forests make up. An age-based carbon yield table is then used to estimate non-CO</w:t>
      </w:r>
      <w:r w:rsidRPr="00256982">
        <w:rPr>
          <w:spacing w:val="-2"/>
          <w:vertAlign w:val="subscript"/>
        </w:rPr>
        <w:t>2</w:t>
      </w:r>
      <w:r w:rsidRPr="00256982">
        <w:rPr>
          <w:spacing w:val="-2"/>
        </w:rPr>
        <w:t xml:space="preserve"> emissions for </w:t>
      </w:r>
      <w:r w:rsidRPr="00256982">
        <w:rPr>
          <w:i/>
          <w:spacing w:val="-2"/>
        </w:rPr>
        <w:t>Afforestation and reforestation</w:t>
      </w:r>
      <w:r w:rsidRPr="00256982">
        <w:rPr>
          <w:spacing w:val="-2"/>
        </w:rPr>
        <w:t xml:space="preserve"> land. This approach assumes that the carbon stock affected by wildfire is equivalent to the carbon stock at the average stand age each year throughout the time series (Wakelin, unpublished(a)). Carbon dioxide emissions resulting from wildfire events are reported as IE (included elsewhere) in the CRF tables because these are assumed to be captured in the harvest emissions of salvage logged stands.</w:t>
      </w:r>
    </w:p>
    <w:p w14:paraId="2F82C0BC" w14:textId="77777777" w:rsidR="000E7C76" w:rsidRPr="00256982" w:rsidRDefault="000E7C76" w:rsidP="00C7311A">
      <w:pPr>
        <w:pStyle w:val="BodyText"/>
        <w:spacing w:after="100"/>
      </w:pPr>
      <w:r w:rsidRPr="00256982">
        <w:t xml:space="preserve">A survey of controlled burning activities in planted forests was carried out in 2011. The survey indicated that, on average, 5 per cent of conversions to planted forest between 1990 and 2011 involved burning to clear vegetation. This area is allocated to </w:t>
      </w:r>
      <w:r w:rsidRPr="00256982">
        <w:rPr>
          <w:i/>
        </w:rPr>
        <w:t>Forest management</w:t>
      </w:r>
      <w:r w:rsidRPr="00256982">
        <w:t xml:space="preserve"> (land converted from natural forest) and </w:t>
      </w:r>
      <w:r w:rsidRPr="00256982">
        <w:rPr>
          <w:i/>
        </w:rPr>
        <w:t>Afforestation</w:t>
      </w:r>
      <w:r w:rsidRPr="00256982">
        <w:t xml:space="preserve"> (land converted from grassland with woody biomass) on a pro rata basis (Wakelin, unpublished(b)).</w:t>
      </w:r>
    </w:p>
    <w:p w14:paraId="4628C0F7" w14:textId="77777777" w:rsidR="000E7C76" w:rsidRPr="00256982" w:rsidRDefault="000E7C76" w:rsidP="00C7311A">
      <w:pPr>
        <w:pStyle w:val="BodyText"/>
        <w:spacing w:after="100"/>
      </w:pPr>
      <w:r w:rsidRPr="00256982">
        <w:t xml:space="preserve">It is understood that controlled burning of post-harvest residues prior to replanting on </w:t>
      </w:r>
      <w:r w:rsidRPr="00256982">
        <w:rPr>
          <w:i/>
        </w:rPr>
        <w:t>Afforestation</w:t>
      </w:r>
      <w:r w:rsidRPr="00256982">
        <w:t xml:space="preserve"> land does not occur due to the nature of harvest in short-rotation forest grown for pulp (where most biomass is removed from the site). However, this assumption will be revisited in a future submission as the harvest rate in these forests increases. </w:t>
      </w:r>
    </w:p>
    <w:p w14:paraId="247FA750" w14:textId="77777777" w:rsidR="000E7C76" w:rsidRPr="00256982" w:rsidRDefault="000E7C76" w:rsidP="00E21944">
      <w:pPr>
        <w:pStyle w:val="Heading5"/>
        <w:spacing w:before="200"/>
      </w:pPr>
      <w:bookmarkStart w:id="2716" w:name="_Toc261513291"/>
      <w:bookmarkStart w:id="2717" w:name="_Toc261513904"/>
      <w:bookmarkStart w:id="2718" w:name="_Toc280630394"/>
      <w:r w:rsidRPr="00256982">
        <w:t>Deforestation</w:t>
      </w:r>
    </w:p>
    <w:p w14:paraId="50426AE6" w14:textId="77777777" w:rsidR="000E7C76" w:rsidRPr="00256982" w:rsidRDefault="000E7C76" w:rsidP="000E7C76">
      <w:pPr>
        <w:pStyle w:val="BodyText"/>
        <w:spacing w:before="100" w:after="100"/>
        <w:rPr>
          <w:spacing w:val="-2"/>
        </w:rPr>
      </w:pPr>
      <w:r w:rsidRPr="00256982">
        <w:rPr>
          <w:spacing w:val="-2"/>
        </w:rPr>
        <w:t xml:space="preserve">An estimate is provided for controlled burning of post-harvest slash associated with </w:t>
      </w:r>
      <w:r w:rsidRPr="00256982">
        <w:rPr>
          <w:i/>
          <w:spacing w:val="-2"/>
        </w:rPr>
        <w:t>Deforestation</w:t>
      </w:r>
      <w:r w:rsidRPr="00256982">
        <w:rPr>
          <w:spacing w:val="-2"/>
        </w:rPr>
        <w:t xml:space="preserve">. No information is available on the extent of burning associated with </w:t>
      </w:r>
      <w:r w:rsidRPr="00256982">
        <w:rPr>
          <w:i/>
          <w:spacing w:val="-2"/>
        </w:rPr>
        <w:t>Deforestation</w:t>
      </w:r>
      <w:r w:rsidRPr="00256982">
        <w:rPr>
          <w:spacing w:val="-2"/>
        </w:rPr>
        <w:t xml:space="preserve"> in New Zealand. Therefore, it is assumed that 30 per cent of conversions involve burning. This percentage is chosen as a conservative proportion of one of the four main methods for disposing of residues in New Zealand. The other methods for residue disposal are chipping and removal, mulching into the soil and leaving to decay (Goulding, unpublished). To estimate emissions from the burning of harvest residue, the IPCC default combustion proportion for non-eucalypt temperate forest (0.62) is applied to an emission factor derived from the national plot network (table 2.6, IPCC, 2006a). The emission factor excludes the proportion of logs taken offsite (70 per cent of above-ground biomass) and is taken from the relevant yield tables at the average age of harvest in New Zealand.</w:t>
      </w:r>
    </w:p>
    <w:p w14:paraId="1F0BD44C" w14:textId="77777777" w:rsidR="000E7C76" w:rsidRPr="00256982" w:rsidRDefault="000E7C76" w:rsidP="000E7C76">
      <w:pPr>
        <w:pStyle w:val="BodyText"/>
        <w:spacing w:before="100" w:after="100"/>
      </w:pPr>
      <w:r w:rsidRPr="00256982">
        <w:t>Estimates are provided for wildfire on deforested land (</w:t>
      </w:r>
      <w:r w:rsidRPr="00256982">
        <w:rPr>
          <w:i/>
        </w:rPr>
        <w:t>Forest land converted to grassland</w:t>
      </w:r>
      <w:r w:rsidRPr="00256982">
        <w:t>) in the inventory. The activity data do not identify deforested land; therefore, non-CO</w:t>
      </w:r>
      <w:r w:rsidRPr="00256982">
        <w:rPr>
          <w:vertAlign w:val="subscript"/>
        </w:rPr>
        <w:t>2</w:t>
      </w:r>
      <w:r w:rsidRPr="00256982">
        <w:t xml:space="preserve"> emissions resulting from wildfire are attributed to deforested land by the proportion of area that deforested land makes up of the total </w:t>
      </w:r>
      <w:r w:rsidRPr="00256982">
        <w:rPr>
          <w:i/>
        </w:rPr>
        <w:t>Grassland</w:t>
      </w:r>
      <w:r w:rsidRPr="00256982">
        <w:t xml:space="preserve"> area. The methodology follows that described in chapter 6, section 6.11.5. Around 1 per cent of wildfire emissions in </w:t>
      </w:r>
      <w:r w:rsidRPr="00256982">
        <w:rPr>
          <w:i/>
        </w:rPr>
        <w:t>Grassland</w:t>
      </w:r>
      <w:r w:rsidRPr="00256982">
        <w:t xml:space="preserve"> are estimated to have occurred on deforested land between 2008 and 2017.</w:t>
      </w:r>
    </w:p>
    <w:p w14:paraId="23DC19D0" w14:textId="77777777" w:rsidR="000E7C76" w:rsidRPr="00256982" w:rsidRDefault="000E7C76" w:rsidP="00E21944">
      <w:pPr>
        <w:pStyle w:val="Heading5"/>
        <w:spacing w:before="200"/>
      </w:pPr>
      <w:r w:rsidRPr="00256982">
        <w:t>Forest management</w:t>
      </w:r>
    </w:p>
    <w:p w14:paraId="4DD70EDD" w14:textId="77777777" w:rsidR="000E7C76" w:rsidRPr="00256982" w:rsidRDefault="000E7C76" w:rsidP="000E7C76">
      <w:pPr>
        <w:pStyle w:val="BodyText"/>
      </w:pPr>
      <w:r w:rsidRPr="00256982">
        <w:t>Non-CO</w:t>
      </w:r>
      <w:r w:rsidRPr="00256982">
        <w:rPr>
          <w:vertAlign w:val="subscript"/>
        </w:rPr>
        <w:t>2</w:t>
      </w:r>
      <w:r w:rsidRPr="00256982">
        <w:t xml:space="preserve"> emissions from wildfires in pre-1990 forest land are reported under </w:t>
      </w:r>
      <w:r w:rsidRPr="00256982">
        <w:rPr>
          <w:i/>
        </w:rPr>
        <w:t>Forest management</w:t>
      </w:r>
      <w:r w:rsidRPr="00256982">
        <w:t>. A plot-network-derived biomass density is used to estimate non-CO</w:t>
      </w:r>
      <w:r w:rsidRPr="00256982">
        <w:rPr>
          <w:vertAlign w:val="subscript"/>
        </w:rPr>
        <w:t>2</w:t>
      </w:r>
      <w:r w:rsidRPr="00256982">
        <w:t xml:space="preserve"> emissions from wildfire on </w:t>
      </w:r>
      <w:r w:rsidRPr="00256982">
        <w:rPr>
          <w:i/>
        </w:rPr>
        <w:t>Forest management</w:t>
      </w:r>
      <w:r w:rsidRPr="00256982">
        <w:t xml:space="preserve"> land. Aggregated wildfire activity data are attributed to each forest management category by proportion of forest type estimated to be burned over the time series. The split attributes 87.5 per cent to planted forest and the remaining to natural forest (Wakelin, unpublished(a)). The planted forest activity data are further split into pre-1990 and post-1989 forest (see ‘Afforestation and reforestation’ above). In planted forest, it is assumed that the carbon stock affected by wildfire is equivalent to the carbon stock at the average stand age in each category (Wakelin, unpublished(a)). </w:t>
      </w:r>
    </w:p>
    <w:p w14:paraId="4E620701" w14:textId="77777777" w:rsidR="000E7C76" w:rsidRPr="00256982" w:rsidRDefault="000E7C76" w:rsidP="00C7311A">
      <w:pPr>
        <w:pStyle w:val="BodyText"/>
        <w:spacing w:after="100"/>
      </w:pPr>
      <w:r w:rsidRPr="00256982">
        <w:t>A survey of controlled burning in planted forest was carried out in 2011 (Wakelin, unpublished(b)). Estimates were provided for burning associated with the clearing of vegetation (i.e., natural forest and grassland with woody biomass) prior to the establishment of exotic planted forest (see ‘Afforestation and reforestation’ above).</w:t>
      </w:r>
    </w:p>
    <w:p w14:paraId="21B39F96" w14:textId="77777777" w:rsidR="000E7C76" w:rsidRPr="00256982" w:rsidRDefault="000E7C76" w:rsidP="00C7311A">
      <w:pPr>
        <w:pStyle w:val="BodyText"/>
        <w:spacing w:after="100"/>
      </w:pPr>
      <w:r w:rsidRPr="00256982">
        <w:t>The survey also provided data on the burning of post-harvest slash prior to restocking. This activity was found to occur mainly as a training exercise for wildfire control or for the clearing of slash heaps on skid sites. The data indicated that 0.8 per cent of restocked area was burned annually in recent years (Wakelin, unpublished(b)). This estimate was combined with two earlier estimates of controlled burning in planted forest (Forest Industry Training and Education Council, 2005; Robertson, 1998) to provide activity data throughout the time series. It is assumed that 1.6 per cent of restocked area was burned from 1990 to 1997 (Wakelin, unpublished(b)). From 1997, the area burned declines linearly to 0.8 per cent, which is used from 2005 onwards (Wakelin, unpublished(b)).</w:t>
      </w:r>
    </w:p>
    <w:p w14:paraId="02FDF864" w14:textId="77777777" w:rsidR="000E7C76" w:rsidRPr="00256982" w:rsidRDefault="000E7C76" w:rsidP="00C7311A">
      <w:pPr>
        <w:pStyle w:val="BodyText"/>
        <w:spacing w:after="100"/>
      </w:pPr>
      <w:r w:rsidRPr="00256982">
        <w:t xml:space="preserve">A more detailed description of </w:t>
      </w:r>
      <w:r w:rsidRPr="00256982">
        <w:rPr>
          <w:i/>
        </w:rPr>
        <w:t>Biomass burning</w:t>
      </w:r>
      <w:r w:rsidRPr="00256982">
        <w:t xml:space="preserve"> on </w:t>
      </w:r>
      <w:r w:rsidRPr="00256982">
        <w:rPr>
          <w:i/>
        </w:rPr>
        <w:t>Forest land</w:t>
      </w:r>
      <w:r w:rsidRPr="00256982">
        <w:t xml:space="preserve"> is provided in chapter 6, section 6.11.5. </w:t>
      </w:r>
    </w:p>
    <w:p w14:paraId="642EBEF6" w14:textId="77777777" w:rsidR="000E7C76" w:rsidRPr="00256982" w:rsidRDefault="000E7C76" w:rsidP="00C7311A">
      <w:pPr>
        <w:pStyle w:val="Heading2"/>
        <w:spacing w:before="320"/>
      </w:pPr>
      <w:bookmarkStart w:id="2719" w:name="_Toc456179172"/>
      <w:bookmarkStart w:id="2720" w:name="_Toc481751425"/>
      <w:bookmarkStart w:id="2721" w:name="_Toc522013964"/>
      <w:bookmarkStart w:id="2722" w:name="_Toc5269408"/>
      <w:bookmarkStart w:id="2723" w:name="_Toc261513293"/>
      <w:bookmarkStart w:id="2724" w:name="_Toc261513906"/>
      <w:bookmarkStart w:id="2725" w:name="_Toc280630396"/>
      <w:bookmarkEnd w:id="2716"/>
      <w:bookmarkEnd w:id="2717"/>
      <w:bookmarkEnd w:id="2718"/>
      <w:r w:rsidRPr="00256982">
        <w:t>11.4</w:t>
      </w:r>
      <w:r w:rsidRPr="00256982">
        <w:tab/>
        <w:t>Other methodological issues</w:t>
      </w:r>
      <w:bookmarkEnd w:id="2719"/>
      <w:bookmarkEnd w:id="2720"/>
      <w:bookmarkEnd w:id="2721"/>
      <w:bookmarkEnd w:id="2722"/>
    </w:p>
    <w:p w14:paraId="7060CAC5" w14:textId="77777777" w:rsidR="000E7C76" w:rsidRPr="00256982" w:rsidRDefault="000E7C76" w:rsidP="000E7C76">
      <w:pPr>
        <w:pStyle w:val="Heading3"/>
        <w:spacing w:before="240"/>
      </w:pPr>
      <w:bookmarkStart w:id="2726" w:name="_Toc261513294"/>
      <w:bookmarkStart w:id="2727" w:name="_Toc261513907"/>
      <w:bookmarkStart w:id="2728" w:name="_Toc280630397"/>
      <w:bookmarkEnd w:id="2723"/>
      <w:bookmarkEnd w:id="2724"/>
      <w:bookmarkEnd w:id="2725"/>
      <w:r w:rsidRPr="00256982">
        <w:t xml:space="preserve">11.4.1 </w:t>
      </w:r>
      <w:r w:rsidRPr="00256982">
        <w:tab/>
        <w:t>Uncertainty</w:t>
      </w:r>
      <w:bookmarkEnd w:id="2726"/>
      <w:bookmarkEnd w:id="2727"/>
      <w:bookmarkEnd w:id="2728"/>
      <w:r w:rsidRPr="00256982">
        <w:t xml:space="preserve"> and time-series consistency</w:t>
      </w:r>
    </w:p>
    <w:p w14:paraId="4C4FCB85" w14:textId="77777777" w:rsidR="000E7C76" w:rsidRPr="00256982" w:rsidRDefault="000E7C76" w:rsidP="00C7311A">
      <w:pPr>
        <w:pStyle w:val="BodyText"/>
        <w:spacing w:before="100" w:after="100"/>
      </w:pPr>
      <w:r w:rsidRPr="00256982">
        <w:t xml:space="preserve">The uncertainty in net emissions from </w:t>
      </w:r>
      <w:r w:rsidRPr="00256982">
        <w:rPr>
          <w:i/>
        </w:rPr>
        <w:t>Afforestation and reforestation</w:t>
      </w:r>
      <w:r w:rsidRPr="00256982">
        <w:t xml:space="preserve"> is ±13.6 per cent. This is based on the uncertainty in emissions from post-1989 forest and a small contribution from </w:t>
      </w:r>
      <w:r w:rsidRPr="00256982">
        <w:rPr>
          <w:i/>
        </w:rPr>
        <w:t>Harvested wood products</w:t>
      </w:r>
      <w:r w:rsidRPr="00256982">
        <w:t xml:space="preserve"> (tables 11.4.1 and 11.4.2). </w:t>
      </w:r>
    </w:p>
    <w:p w14:paraId="2C3F9325" w14:textId="77777777" w:rsidR="000E7C76" w:rsidRPr="00256982" w:rsidRDefault="000E7C76" w:rsidP="00C7311A">
      <w:pPr>
        <w:pStyle w:val="BodyText"/>
        <w:spacing w:before="100" w:after="100"/>
      </w:pPr>
      <w:r w:rsidRPr="00256982">
        <w:t xml:space="preserve">The uncertainty in emissions from </w:t>
      </w:r>
      <w:r w:rsidRPr="00256982">
        <w:rPr>
          <w:i/>
        </w:rPr>
        <w:t>Deforestation</w:t>
      </w:r>
      <w:r w:rsidRPr="00256982">
        <w:t xml:space="preserve"> is determined by the type of </w:t>
      </w:r>
      <w:r w:rsidRPr="00256982">
        <w:rPr>
          <w:i/>
        </w:rPr>
        <w:t>Forest land</w:t>
      </w:r>
      <w:r w:rsidRPr="00256982">
        <w:t xml:space="preserve"> (table 11.4.1). The combined uncertainty introduced into emissions from </w:t>
      </w:r>
      <w:r w:rsidRPr="00256982">
        <w:rPr>
          <w:i/>
        </w:rPr>
        <w:t>Deforestation</w:t>
      </w:r>
      <w:r w:rsidRPr="00256982">
        <w:t xml:space="preserve"> is ±1.4 per cent (table 11.4.2). </w:t>
      </w:r>
    </w:p>
    <w:p w14:paraId="1DFCC683" w14:textId="77777777" w:rsidR="000E7C76" w:rsidRPr="00256982" w:rsidRDefault="000E7C76" w:rsidP="00C7311A">
      <w:pPr>
        <w:pStyle w:val="BodyText"/>
        <w:spacing w:before="100" w:after="100"/>
      </w:pPr>
      <w:r w:rsidRPr="00256982">
        <w:t xml:space="preserve">The combined uncertainty in </w:t>
      </w:r>
      <w:r w:rsidRPr="00256982">
        <w:rPr>
          <w:i/>
        </w:rPr>
        <w:t>Forest management</w:t>
      </w:r>
      <w:r w:rsidRPr="00256982">
        <w:t xml:space="preserve"> is ±58.4 per cent at a 95 per cent confidence interval. This is the combined uncertainty of pre-1990 natural forest and pre-1990 planted forest and includes uncertainty associated with </w:t>
      </w:r>
      <w:r w:rsidRPr="00256982">
        <w:rPr>
          <w:i/>
        </w:rPr>
        <w:t>Harvested wood products</w:t>
      </w:r>
      <w:r w:rsidRPr="00256982">
        <w:t>.</w:t>
      </w:r>
    </w:p>
    <w:p w14:paraId="055861CA" w14:textId="77777777" w:rsidR="000E7C76" w:rsidRPr="00256982" w:rsidRDefault="000E7C76" w:rsidP="00C7311A">
      <w:pPr>
        <w:pStyle w:val="BodyText"/>
        <w:spacing w:before="100" w:after="100"/>
      </w:pPr>
      <w:r w:rsidRPr="00256982">
        <w:t xml:space="preserve">Further detail on the uncertainty in emissions for pre-1990 natural forest, pre-1990 planted forest, post-1989 forest and </w:t>
      </w:r>
      <w:r w:rsidRPr="00256982">
        <w:rPr>
          <w:i/>
        </w:rPr>
        <w:t>Harvested wood products</w:t>
      </w:r>
      <w:r w:rsidRPr="00256982">
        <w:t xml:space="preserve"> is provided in chapter 6, sections 6.1.3 and 6.4.3.</w:t>
      </w:r>
    </w:p>
    <w:p w14:paraId="2AAC3FD3" w14:textId="77777777" w:rsidR="000E7C76" w:rsidRPr="00256982" w:rsidRDefault="000E7C76" w:rsidP="000E7C76">
      <w:pPr>
        <w:pStyle w:val="Table"/>
      </w:pPr>
      <w:bookmarkStart w:id="2729" w:name="_Toc280630486"/>
      <w:bookmarkStart w:id="2730" w:name="_Toc310423446"/>
      <w:bookmarkStart w:id="2731" w:name="_Toc318362739"/>
      <w:bookmarkStart w:id="2732" w:name="_Toc342470818"/>
      <w:bookmarkStart w:id="2733" w:name="_Toc352505071"/>
      <w:bookmarkStart w:id="2734" w:name="_Toc377043707"/>
      <w:bookmarkStart w:id="2735" w:name="_Toc391023559"/>
      <w:bookmarkStart w:id="2736" w:name="_Toc414531532"/>
      <w:bookmarkStart w:id="2737" w:name="_Toc456179110"/>
      <w:bookmarkStart w:id="2738" w:name="_Toc481751635"/>
      <w:bookmarkStart w:id="2739" w:name="_Toc522010661"/>
      <w:bookmarkStart w:id="2740" w:name="_Toc5269632"/>
      <w:r w:rsidRPr="00256982">
        <w:t xml:space="preserve">Table 11.4.1 </w:t>
      </w:r>
      <w:r w:rsidRPr="00256982">
        <w:tab/>
        <w:t>Uncertainty in New Zealand’s estimates for Afforestation and reforestation,</w:t>
      </w:r>
      <w:r w:rsidRPr="00256982">
        <w:br/>
        <w:t xml:space="preserve">Deforestation and Forest management in </w:t>
      </w:r>
      <w:bookmarkEnd w:id="2729"/>
      <w:bookmarkEnd w:id="2730"/>
      <w:bookmarkEnd w:id="2731"/>
      <w:bookmarkEnd w:id="2732"/>
      <w:bookmarkEnd w:id="2733"/>
      <w:bookmarkEnd w:id="2734"/>
      <w:bookmarkEnd w:id="2735"/>
      <w:bookmarkEnd w:id="2736"/>
      <w:r w:rsidRPr="00256982">
        <w:t>2017</w:t>
      </w:r>
      <w:bookmarkEnd w:id="2737"/>
      <w:bookmarkEnd w:id="2738"/>
      <w:bookmarkEnd w:id="2739"/>
      <w:bookmarkEnd w:id="2740"/>
    </w:p>
    <w:tbl>
      <w:tblPr>
        <w:tblW w:w="8505" w:type="dxa"/>
        <w:tblInd w:w="108" w:type="dxa"/>
        <w:tblBorders>
          <w:top w:val="single" w:sz="8" w:space="0" w:color="1F497D"/>
          <w:bottom w:val="single" w:sz="8" w:space="0" w:color="1F497D"/>
          <w:insideH w:val="single" w:sz="8" w:space="0" w:color="1F497D"/>
        </w:tblBorders>
        <w:tblLook w:val="04A0" w:firstRow="1" w:lastRow="0" w:firstColumn="1" w:lastColumn="0" w:noHBand="0" w:noVBand="1"/>
      </w:tblPr>
      <w:tblGrid>
        <w:gridCol w:w="2454"/>
        <w:gridCol w:w="1232"/>
        <w:gridCol w:w="911"/>
        <w:gridCol w:w="889"/>
        <w:gridCol w:w="991"/>
        <w:gridCol w:w="1083"/>
        <w:gridCol w:w="945"/>
      </w:tblGrid>
      <w:tr w:rsidR="000E7C76" w:rsidRPr="00256982" w14:paraId="2097D3DE" w14:textId="77777777" w:rsidTr="00E21944">
        <w:trPr>
          <w:tblHeader/>
        </w:trPr>
        <w:tc>
          <w:tcPr>
            <w:tcW w:w="2454" w:type="dxa"/>
            <w:tcBorders>
              <w:top w:val="single" w:sz="4" w:space="0" w:color="365F91"/>
              <w:bottom w:val="nil"/>
            </w:tcBorders>
            <w:shd w:val="clear" w:color="auto" w:fill="365F91"/>
            <w:noWrap/>
            <w:vAlign w:val="center"/>
            <w:hideMark/>
          </w:tcPr>
          <w:p w14:paraId="2D195965" w14:textId="77777777" w:rsidR="000E7C76" w:rsidRPr="00256982" w:rsidRDefault="000E7C76" w:rsidP="000E7C76">
            <w:pPr>
              <w:pStyle w:val="TableTextBold"/>
              <w:keepNext/>
              <w:spacing w:before="50" w:after="50"/>
              <w:jc w:val="center"/>
              <w:rPr>
                <w:bCs/>
                <w:noProof w:val="0"/>
                <w:color w:val="FFFFFF"/>
              </w:rPr>
            </w:pPr>
          </w:p>
        </w:tc>
        <w:tc>
          <w:tcPr>
            <w:tcW w:w="6051" w:type="dxa"/>
            <w:gridSpan w:val="6"/>
            <w:tcBorders>
              <w:top w:val="single" w:sz="4" w:space="0" w:color="365F91"/>
              <w:bottom w:val="nil"/>
            </w:tcBorders>
            <w:shd w:val="clear" w:color="auto" w:fill="365F91"/>
            <w:noWrap/>
            <w:vAlign w:val="center"/>
            <w:hideMark/>
          </w:tcPr>
          <w:p w14:paraId="40874611" w14:textId="77777777" w:rsidR="000E7C76" w:rsidRPr="00256982" w:rsidRDefault="000E7C76" w:rsidP="000E7C76">
            <w:pPr>
              <w:pStyle w:val="TableTextBold"/>
              <w:spacing w:before="50" w:after="50"/>
              <w:jc w:val="center"/>
              <w:rPr>
                <w:bCs/>
                <w:noProof w:val="0"/>
                <w:color w:val="FFFFFF"/>
              </w:rPr>
            </w:pPr>
            <w:r w:rsidRPr="00256982">
              <w:rPr>
                <w:bCs/>
                <w:noProof w:val="0"/>
                <w:color w:val="FFFFFF"/>
              </w:rPr>
              <w:t>Uncertainty (%) at a 95% confidence interval</w:t>
            </w:r>
          </w:p>
        </w:tc>
      </w:tr>
      <w:tr w:rsidR="000E7C76" w:rsidRPr="00256982" w14:paraId="05D2F0BC" w14:textId="77777777" w:rsidTr="00E21944">
        <w:trPr>
          <w:tblHeader/>
        </w:trPr>
        <w:tc>
          <w:tcPr>
            <w:tcW w:w="2454" w:type="dxa"/>
            <w:tcBorders>
              <w:top w:val="nil"/>
              <w:left w:val="nil"/>
              <w:bottom w:val="single" w:sz="4" w:space="0" w:color="365F91"/>
            </w:tcBorders>
            <w:shd w:val="clear" w:color="auto" w:fill="365F91"/>
            <w:noWrap/>
            <w:vAlign w:val="center"/>
            <w:hideMark/>
          </w:tcPr>
          <w:p w14:paraId="7BA7AF61" w14:textId="77777777" w:rsidR="000E7C76" w:rsidRPr="00256982" w:rsidRDefault="000E7C76" w:rsidP="000E7C76">
            <w:pPr>
              <w:pStyle w:val="TableTextBold"/>
              <w:keepNext/>
              <w:spacing w:before="50" w:after="50"/>
              <w:jc w:val="center"/>
              <w:rPr>
                <w:bCs/>
                <w:noProof w:val="0"/>
                <w:color w:val="FFFFFF"/>
              </w:rPr>
            </w:pPr>
          </w:p>
        </w:tc>
        <w:tc>
          <w:tcPr>
            <w:tcW w:w="1232" w:type="dxa"/>
            <w:tcBorders>
              <w:top w:val="nil"/>
              <w:bottom w:val="single" w:sz="4" w:space="0" w:color="365F91"/>
            </w:tcBorders>
            <w:shd w:val="clear" w:color="auto" w:fill="365F91"/>
            <w:vAlign w:val="bottom"/>
            <w:hideMark/>
          </w:tcPr>
          <w:p w14:paraId="6B00243B" w14:textId="77777777" w:rsidR="000E7C76" w:rsidRPr="00256982" w:rsidRDefault="000E7C76" w:rsidP="000E7C76">
            <w:pPr>
              <w:pStyle w:val="TableTextBold"/>
              <w:spacing w:before="50" w:after="50"/>
              <w:jc w:val="center"/>
              <w:rPr>
                <w:noProof w:val="0"/>
                <w:color w:val="FFFFFF"/>
              </w:rPr>
            </w:pPr>
            <w:r w:rsidRPr="00256982">
              <w:rPr>
                <w:noProof w:val="0"/>
                <w:color w:val="FFFFFF"/>
              </w:rPr>
              <w:t>Afforestation and</w:t>
            </w:r>
            <w:r w:rsidRPr="00256982">
              <w:rPr>
                <w:noProof w:val="0"/>
                <w:color w:val="FFFFFF"/>
              </w:rPr>
              <w:br/>
              <w:t>reforestation</w:t>
            </w:r>
          </w:p>
        </w:tc>
        <w:tc>
          <w:tcPr>
            <w:tcW w:w="2791" w:type="dxa"/>
            <w:gridSpan w:val="3"/>
            <w:tcBorders>
              <w:top w:val="nil"/>
              <w:bottom w:val="single" w:sz="4" w:space="0" w:color="365F91"/>
            </w:tcBorders>
            <w:shd w:val="clear" w:color="auto" w:fill="365F91"/>
            <w:noWrap/>
            <w:vAlign w:val="bottom"/>
            <w:hideMark/>
          </w:tcPr>
          <w:p w14:paraId="7F7ADF58" w14:textId="77777777" w:rsidR="000E7C76" w:rsidRPr="00256982" w:rsidRDefault="000E7C76" w:rsidP="000E7C76">
            <w:pPr>
              <w:pStyle w:val="TableTextBold"/>
              <w:spacing w:before="50" w:after="50"/>
              <w:jc w:val="center"/>
              <w:rPr>
                <w:noProof w:val="0"/>
                <w:color w:val="FFFFFF"/>
              </w:rPr>
            </w:pPr>
            <w:r w:rsidRPr="00256982">
              <w:rPr>
                <w:noProof w:val="0"/>
                <w:color w:val="FFFFFF"/>
              </w:rPr>
              <w:t>Deforestation</w:t>
            </w:r>
          </w:p>
        </w:tc>
        <w:tc>
          <w:tcPr>
            <w:tcW w:w="2028" w:type="dxa"/>
            <w:gridSpan w:val="2"/>
            <w:tcBorders>
              <w:top w:val="nil"/>
              <w:bottom w:val="single" w:sz="4" w:space="0" w:color="365F91"/>
              <w:right w:val="nil"/>
            </w:tcBorders>
            <w:shd w:val="clear" w:color="auto" w:fill="365F91"/>
            <w:vAlign w:val="bottom"/>
          </w:tcPr>
          <w:p w14:paraId="27D7332C" w14:textId="77777777" w:rsidR="000E7C76" w:rsidRPr="00256982" w:rsidRDefault="000E7C76" w:rsidP="000E7C76">
            <w:pPr>
              <w:pStyle w:val="TableTextBold"/>
              <w:spacing w:before="50" w:after="50"/>
              <w:jc w:val="center"/>
              <w:rPr>
                <w:noProof w:val="0"/>
                <w:color w:val="FFFFFF"/>
              </w:rPr>
            </w:pPr>
            <w:r w:rsidRPr="00256982">
              <w:rPr>
                <w:noProof w:val="0"/>
                <w:color w:val="FFFFFF"/>
              </w:rPr>
              <w:t>Forest management</w:t>
            </w:r>
          </w:p>
        </w:tc>
      </w:tr>
      <w:tr w:rsidR="000E7C76" w:rsidRPr="00256982" w14:paraId="60D556F5" w14:textId="77777777" w:rsidTr="000E7C76">
        <w:tc>
          <w:tcPr>
            <w:tcW w:w="2454" w:type="dxa"/>
            <w:tcBorders>
              <w:top w:val="single" w:sz="4" w:space="0" w:color="365F91"/>
              <w:left w:val="nil"/>
              <w:bottom w:val="single" w:sz="4" w:space="0" w:color="365F91"/>
            </w:tcBorders>
            <w:shd w:val="clear" w:color="auto" w:fill="auto"/>
            <w:noWrap/>
            <w:vAlign w:val="bottom"/>
            <w:hideMark/>
          </w:tcPr>
          <w:p w14:paraId="086A164C" w14:textId="77777777" w:rsidR="000E7C76" w:rsidRPr="00256982" w:rsidRDefault="000E7C76" w:rsidP="000E7C76">
            <w:pPr>
              <w:pStyle w:val="TableText"/>
              <w:keepNext/>
              <w:spacing w:before="50" w:after="50"/>
              <w:rPr>
                <w:b/>
                <w:bCs/>
                <w:szCs w:val="22"/>
                <w:lang w:eastAsia="en-NZ"/>
              </w:rPr>
            </w:pPr>
          </w:p>
        </w:tc>
        <w:tc>
          <w:tcPr>
            <w:tcW w:w="1232" w:type="dxa"/>
            <w:tcBorders>
              <w:top w:val="single" w:sz="4" w:space="0" w:color="365F91"/>
              <w:bottom w:val="single" w:sz="4" w:space="0" w:color="365F91"/>
            </w:tcBorders>
            <w:shd w:val="clear" w:color="auto" w:fill="auto"/>
            <w:vAlign w:val="bottom"/>
            <w:hideMark/>
          </w:tcPr>
          <w:p w14:paraId="68E60559" w14:textId="77777777" w:rsidR="000E7C76" w:rsidRPr="00256982" w:rsidRDefault="000E7C76" w:rsidP="000E7C76">
            <w:pPr>
              <w:pStyle w:val="TableText"/>
              <w:spacing w:before="50" w:after="50"/>
              <w:jc w:val="center"/>
              <w:rPr>
                <w:b/>
                <w:szCs w:val="22"/>
                <w:lang w:eastAsia="en-NZ"/>
              </w:rPr>
            </w:pPr>
            <w:r w:rsidRPr="00256982">
              <w:rPr>
                <w:b/>
                <w:szCs w:val="22"/>
                <w:lang w:eastAsia="en-NZ"/>
              </w:rPr>
              <w:t>Post-1989 forest</w:t>
            </w:r>
          </w:p>
        </w:tc>
        <w:tc>
          <w:tcPr>
            <w:tcW w:w="911" w:type="dxa"/>
            <w:tcBorders>
              <w:top w:val="single" w:sz="4" w:space="0" w:color="365F91"/>
              <w:bottom w:val="single" w:sz="4" w:space="0" w:color="365F91"/>
            </w:tcBorders>
            <w:shd w:val="clear" w:color="auto" w:fill="auto"/>
            <w:noWrap/>
            <w:vAlign w:val="bottom"/>
            <w:hideMark/>
          </w:tcPr>
          <w:p w14:paraId="5B6819D2" w14:textId="77777777" w:rsidR="000E7C76" w:rsidRPr="00256982" w:rsidRDefault="000E7C76" w:rsidP="000E7C76">
            <w:pPr>
              <w:pStyle w:val="TableText"/>
              <w:spacing w:before="50" w:after="50"/>
              <w:jc w:val="center"/>
              <w:rPr>
                <w:b/>
                <w:szCs w:val="22"/>
                <w:lang w:eastAsia="en-NZ"/>
              </w:rPr>
            </w:pPr>
            <w:r w:rsidRPr="00256982">
              <w:rPr>
                <w:b/>
                <w:szCs w:val="22"/>
                <w:lang w:eastAsia="en-NZ"/>
              </w:rPr>
              <w:t>Pre-1990 natural forest</w:t>
            </w:r>
          </w:p>
        </w:tc>
        <w:tc>
          <w:tcPr>
            <w:tcW w:w="889" w:type="dxa"/>
            <w:tcBorders>
              <w:top w:val="single" w:sz="4" w:space="0" w:color="365F91"/>
              <w:bottom w:val="single" w:sz="4" w:space="0" w:color="365F91"/>
            </w:tcBorders>
            <w:shd w:val="clear" w:color="auto" w:fill="auto"/>
            <w:noWrap/>
            <w:vAlign w:val="bottom"/>
            <w:hideMark/>
          </w:tcPr>
          <w:p w14:paraId="43B37C1C" w14:textId="77777777" w:rsidR="000E7C76" w:rsidRPr="00256982" w:rsidRDefault="000E7C76" w:rsidP="000E7C76">
            <w:pPr>
              <w:pStyle w:val="TableText"/>
              <w:spacing w:before="50" w:after="50"/>
              <w:jc w:val="center"/>
              <w:rPr>
                <w:b/>
                <w:szCs w:val="22"/>
                <w:lang w:eastAsia="en-NZ"/>
              </w:rPr>
            </w:pPr>
            <w:r w:rsidRPr="00256982">
              <w:rPr>
                <w:b/>
                <w:szCs w:val="22"/>
                <w:lang w:eastAsia="en-NZ"/>
              </w:rPr>
              <w:t>Pre-1990 planted forest</w:t>
            </w:r>
          </w:p>
        </w:tc>
        <w:tc>
          <w:tcPr>
            <w:tcW w:w="991" w:type="dxa"/>
            <w:tcBorders>
              <w:top w:val="single" w:sz="4" w:space="0" w:color="365F91"/>
              <w:bottom w:val="single" w:sz="4" w:space="0" w:color="365F91"/>
            </w:tcBorders>
            <w:shd w:val="clear" w:color="auto" w:fill="auto"/>
            <w:noWrap/>
            <w:vAlign w:val="bottom"/>
            <w:hideMark/>
          </w:tcPr>
          <w:p w14:paraId="57AD0A73" w14:textId="77777777" w:rsidR="000E7C76" w:rsidRPr="00256982" w:rsidRDefault="000E7C76" w:rsidP="000E7C76">
            <w:pPr>
              <w:pStyle w:val="TableText"/>
              <w:spacing w:before="50" w:after="50"/>
              <w:jc w:val="center"/>
              <w:rPr>
                <w:b/>
                <w:szCs w:val="22"/>
                <w:lang w:eastAsia="en-NZ"/>
              </w:rPr>
            </w:pPr>
            <w:r w:rsidRPr="00256982">
              <w:rPr>
                <w:b/>
                <w:szCs w:val="22"/>
                <w:lang w:eastAsia="en-NZ"/>
              </w:rPr>
              <w:t>Post-1989 forest</w:t>
            </w:r>
          </w:p>
        </w:tc>
        <w:tc>
          <w:tcPr>
            <w:tcW w:w="1083" w:type="dxa"/>
            <w:tcBorders>
              <w:top w:val="single" w:sz="4" w:space="0" w:color="365F91"/>
              <w:bottom w:val="single" w:sz="4" w:space="0" w:color="365F91"/>
            </w:tcBorders>
            <w:shd w:val="clear" w:color="auto" w:fill="auto"/>
            <w:vAlign w:val="bottom"/>
          </w:tcPr>
          <w:p w14:paraId="2476B42C" w14:textId="77777777" w:rsidR="000E7C76" w:rsidRPr="00256982" w:rsidRDefault="000E7C76" w:rsidP="000E7C76">
            <w:pPr>
              <w:pStyle w:val="TableText"/>
              <w:spacing w:before="50" w:after="50"/>
              <w:jc w:val="center"/>
              <w:rPr>
                <w:b/>
                <w:szCs w:val="22"/>
                <w:lang w:eastAsia="en-NZ"/>
              </w:rPr>
            </w:pPr>
            <w:r w:rsidRPr="00256982">
              <w:rPr>
                <w:b/>
                <w:szCs w:val="22"/>
                <w:lang w:eastAsia="en-NZ"/>
              </w:rPr>
              <w:t>Pre-1990 natural forest</w:t>
            </w:r>
          </w:p>
        </w:tc>
        <w:tc>
          <w:tcPr>
            <w:tcW w:w="945" w:type="dxa"/>
            <w:tcBorders>
              <w:top w:val="single" w:sz="4" w:space="0" w:color="365F91"/>
              <w:bottom w:val="single" w:sz="4" w:space="0" w:color="365F91"/>
              <w:right w:val="nil"/>
            </w:tcBorders>
            <w:shd w:val="clear" w:color="auto" w:fill="auto"/>
            <w:vAlign w:val="bottom"/>
          </w:tcPr>
          <w:p w14:paraId="78EAC004" w14:textId="77777777" w:rsidR="000E7C76" w:rsidRPr="00256982" w:rsidRDefault="000E7C76" w:rsidP="000E7C76">
            <w:pPr>
              <w:pStyle w:val="TableText"/>
              <w:spacing w:before="50" w:after="50"/>
              <w:jc w:val="center"/>
              <w:rPr>
                <w:b/>
                <w:szCs w:val="22"/>
                <w:lang w:eastAsia="en-NZ"/>
              </w:rPr>
            </w:pPr>
            <w:r w:rsidRPr="00256982">
              <w:rPr>
                <w:b/>
                <w:szCs w:val="22"/>
                <w:lang w:eastAsia="en-NZ"/>
              </w:rPr>
              <w:t>Pre-1990 planted forest</w:t>
            </w:r>
          </w:p>
        </w:tc>
      </w:tr>
      <w:tr w:rsidR="000E7C76" w:rsidRPr="00256982" w14:paraId="4A11C92B" w14:textId="77777777" w:rsidTr="000E7C76">
        <w:tc>
          <w:tcPr>
            <w:tcW w:w="2454" w:type="dxa"/>
            <w:tcBorders>
              <w:top w:val="single" w:sz="4" w:space="0" w:color="365F91"/>
              <w:left w:val="nil"/>
              <w:bottom w:val="single" w:sz="4" w:space="0" w:color="365F91"/>
            </w:tcBorders>
            <w:shd w:val="clear" w:color="auto" w:fill="auto"/>
            <w:noWrap/>
            <w:hideMark/>
          </w:tcPr>
          <w:p w14:paraId="7375D86E" w14:textId="77777777" w:rsidR="000E7C76" w:rsidRPr="00256982" w:rsidRDefault="000E7C76" w:rsidP="000E7C76">
            <w:pPr>
              <w:pStyle w:val="TableTextBold"/>
              <w:keepNext/>
              <w:spacing w:before="50" w:after="50"/>
              <w:rPr>
                <w:bCs/>
                <w:noProof w:val="0"/>
                <w:lang w:eastAsia="en-NZ"/>
              </w:rPr>
            </w:pPr>
            <w:r w:rsidRPr="00256982">
              <w:rPr>
                <w:bCs/>
                <w:noProof w:val="0"/>
                <w:lang w:eastAsia="en-NZ"/>
              </w:rPr>
              <w:t>Activity data</w:t>
            </w:r>
          </w:p>
        </w:tc>
        <w:tc>
          <w:tcPr>
            <w:tcW w:w="1232" w:type="dxa"/>
            <w:tcBorders>
              <w:top w:val="single" w:sz="4" w:space="0" w:color="365F91"/>
              <w:bottom w:val="single" w:sz="4" w:space="0" w:color="365F91"/>
            </w:tcBorders>
            <w:shd w:val="clear" w:color="auto" w:fill="auto"/>
            <w:noWrap/>
            <w:hideMark/>
          </w:tcPr>
          <w:p w14:paraId="0AFCF597" w14:textId="77777777" w:rsidR="000E7C76" w:rsidRPr="00256982" w:rsidRDefault="000E7C76" w:rsidP="000E7C76">
            <w:pPr>
              <w:pStyle w:val="TableTextBold"/>
              <w:spacing w:before="50" w:after="50"/>
              <w:jc w:val="center"/>
              <w:rPr>
                <w:noProof w:val="0"/>
                <w:lang w:eastAsia="en-NZ"/>
              </w:rPr>
            </w:pPr>
          </w:p>
        </w:tc>
        <w:tc>
          <w:tcPr>
            <w:tcW w:w="911" w:type="dxa"/>
            <w:tcBorders>
              <w:top w:val="single" w:sz="4" w:space="0" w:color="365F91"/>
              <w:bottom w:val="single" w:sz="4" w:space="0" w:color="365F91"/>
            </w:tcBorders>
            <w:shd w:val="clear" w:color="auto" w:fill="auto"/>
            <w:noWrap/>
            <w:hideMark/>
          </w:tcPr>
          <w:p w14:paraId="25665EA0" w14:textId="77777777" w:rsidR="000E7C76" w:rsidRPr="00256982" w:rsidRDefault="000E7C76" w:rsidP="000E7C76">
            <w:pPr>
              <w:pStyle w:val="TableTextBold"/>
              <w:spacing w:before="50" w:after="50"/>
              <w:jc w:val="center"/>
              <w:rPr>
                <w:noProof w:val="0"/>
                <w:lang w:eastAsia="en-NZ"/>
              </w:rPr>
            </w:pPr>
          </w:p>
        </w:tc>
        <w:tc>
          <w:tcPr>
            <w:tcW w:w="889" w:type="dxa"/>
            <w:tcBorders>
              <w:top w:val="single" w:sz="4" w:space="0" w:color="365F91"/>
              <w:bottom w:val="single" w:sz="4" w:space="0" w:color="365F91"/>
            </w:tcBorders>
            <w:shd w:val="clear" w:color="auto" w:fill="auto"/>
            <w:noWrap/>
            <w:hideMark/>
          </w:tcPr>
          <w:p w14:paraId="6348DF83" w14:textId="77777777" w:rsidR="000E7C76" w:rsidRPr="00256982" w:rsidRDefault="000E7C76" w:rsidP="000E7C76">
            <w:pPr>
              <w:pStyle w:val="TableTextBold"/>
              <w:spacing w:before="50" w:after="50"/>
              <w:jc w:val="center"/>
              <w:rPr>
                <w:noProof w:val="0"/>
                <w:lang w:eastAsia="en-NZ"/>
              </w:rPr>
            </w:pPr>
          </w:p>
        </w:tc>
        <w:tc>
          <w:tcPr>
            <w:tcW w:w="991" w:type="dxa"/>
            <w:tcBorders>
              <w:top w:val="single" w:sz="4" w:space="0" w:color="365F91"/>
              <w:bottom w:val="single" w:sz="4" w:space="0" w:color="365F91"/>
            </w:tcBorders>
            <w:shd w:val="clear" w:color="auto" w:fill="auto"/>
            <w:noWrap/>
            <w:hideMark/>
          </w:tcPr>
          <w:p w14:paraId="7DB3980D" w14:textId="77777777" w:rsidR="000E7C76" w:rsidRPr="00256982" w:rsidRDefault="000E7C76" w:rsidP="000E7C76">
            <w:pPr>
              <w:pStyle w:val="TableTextBold"/>
              <w:spacing w:before="50" w:after="50"/>
              <w:jc w:val="center"/>
              <w:rPr>
                <w:noProof w:val="0"/>
                <w:lang w:eastAsia="en-NZ"/>
              </w:rPr>
            </w:pPr>
          </w:p>
        </w:tc>
        <w:tc>
          <w:tcPr>
            <w:tcW w:w="1083" w:type="dxa"/>
            <w:tcBorders>
              <w:top w:val="single" w:sz="4" w:space="0" w:color="365F91"/>
              <w:bottom w:val="single" w:sz="4" w:space="0" w:color="365F91"/>
            </w:tcBorders>
            <w:shd w:val="clear" w:color="auto" w:fill="auto"/>
          </w:tcPr>
          <w:p w14:paraId="6DDD2767" w14:textId="77777777" w:rsidR="000E7C76" w:rsidRPr="00256982" w:rsidRDefault="000E7C76" w:rsidP="000E7C76">
            <w:pPr>
              <w:pStyle w:val="TableTextBold"/>
              <w:spacing w:before="50" w:after="50"/>
              <w:jc w:val="center"/>
              <w:rPr>
                <w:noProof w:val="0"/>
                <w:lang w:eastAsia="en-NZ"/>
              </w:rPr>
            </w:pPr>
          </w:p>
        </w:tc>
        <w:tc>
          <w:tcPr>
            <w:tcW w:w="945" w:type="dxa"/>
            <w:tcBorders>
              <w:top w:val="single" w:sz="4" w:space="0" w:color="365F91"/>
              <w:bottom w:val="single" w:sz="4" w:space="0" w:color="365F91"/>
              <w:right w:val="nil"/>
            </w:tcBorders>
            <w:shd w:val="clear" w:color="auto" w:fill="auto"/>
          </w:tcPr>
          <w:p w14:paraId="583D7DD9" w14:textId="77777777" w:rsidR="000E7C76" w:rsidRPr="00256982" w:rsidRDefault="000E7C76" w:rsidP="000E7C76">
            <w:pPr>
              <w:pStyle w:val="TableTextBold"/>
              <w:spacing w:before="50" w:after="50"/>
              <w:jc w:val="center"/>
              <w:rPr>
                <w:noProof w:val="0"/>
                <w:lang w:eastAsia="en-NZ"/>
              </w:rPr>
            </w:pPr>
          </w:p>
        </w:tc>
      </w:tr>
      <w:tr w:rsidR="000E7C76" w:rsidRPr="00256982" w14:paraId="29C06B8E" w14:textId="77777777" w:rsidTr="0032102F">
        <w:tc>
          <w:tcPr>
            <w:tcW w:w="2454" w:type="dxa"/>
            <w:tcBorders>
              <w:top w:val="single" w:sz="4" w:space="0" w:color="365F91"/>
              <w:left w:val="nil"/>
              <w:bottom w:val="single" w:sz="4" w:space="0" w:color="365F91"/>
            </w:tcBorders>
            <w:shd w:val="clear" w:color="auto" w:fill="auto"/>
            <w:noWrap/>
            <w:vAlign w:val="center"/>
            <w:hideMark/>
          </w:tcPr>
          <w:p w14:paraId="275F6092" w14:textId="77777777" w:rsidR="000E7C76" w:rsidRPr="00256982" w:rsidRDefault="000E7C76" w:rsidP="000E7C76">
            <w:pPr>
              <w:pStyle w:val="TableText"/>
              <w:keepNext/>
              <w:spacing w:before="50" w:after="50"/>
              <w:ind w:left="185"/>
              <w:rPr>
                <w:bCs/>
                <w:szCs w:val="22"/>
              </w:rPr>
            </w:pPr>
            <w:r w:rsidRPr="00256982">
              <w:rPr>
                <w:bCs/>
                <w:szCs w:val="22"/>
                <w:lang w:eastAsia="en-NZ"/>
              </w:rPr>
              <w:t>Uncertainty in land area</w:t>
            </w:r>
          </w:p>
        </w:tc>
        <w:tc>
          <w:tcPr>
            <w:tcW w:w="1232" w:type="dxa"/>
            <w:tcBorders>
              <w:top w:val="single" w:sz="4" w:space="0" w:color="365F91"/>
              <w:bottom w:val="single" w:sz="4" w:space="0" w:color="365F91"/>
            </w:tcBorders>
            <w:shd w:val="clear" w:color="auto" w:fill="auto"/>
            <w:noWrap/>
            <w:vAlign w:val="center"/>
            <w:hideMark/>
          </w:tcPr>
          <w:p w14:paraId="110894BD" w14:textId="77777777" w:rsidR="000E7C76" w:rsidRPr="00256982" w:rsidRDefault="000E7C76" w:rsidP="000E7C76">
            <w:pPr>
              <w:pStyle w:val="TableText"/>
              <w:spacing w:before="50" w:after="50"/>
              <w:ind w:right="118"/>
              <w:jc w:val="right"/>
              <w:rPr>
                <w:szCs w:val="22"/>
              </w:rPr>
            </w:pPr>
            <w:r w:rsidRPr="00256982">
              <w:rPr>
                <w:szCs w:val="22"/>
              </w:rPr>
              <w:t>±8.0</w:t>
            </w:r>
          </w:p>
        </w:tc>
        <w:tc>
          <w:tcPr>
            <w:tcW w:w="911" w:type="dxa"/>
            <w:tcBorders>
              <w:top w:val="single" w:sz="4" w:space="0" w:color="365F91"/>
              <w:bottom w:val="single" w:sz="4" w:space="0" w:color="365F91"/>
            </w:tcBorders>
            <w:shd w:val="clear" w:color="auto" w:fill="auto"/>
            <w:noWrap/>
            <w:vAlign w:val="center"/>
            <w:hideMark/>
          </w:tcPr>
          <w:p w14:paraId="113EC605" w14:textId="77777777" w:rsidR="000E7C76" w:rsidRPr="00256982" w:rsidRDefault="000E7C76" w:rsidP="000E7C76">
            <w:pPr>
              <w:pStyle w:val="TableText"/>
              <w:spacing w:before="50" w:after="50"/>
              <w:ind w:right="118"/>
              <w:jc w:val="right"/>
              <w:rPr>
                <w:szCs w:val="22"/>
              </w:rPr>
            </w:pPr>
            <w:r w:rsidRPr="00256982">
              <w:rPr>
                <w:szCs w:val="22"/>
              </w:rPr>
              <w:t>±5.0</w:t>
            </w:r>
          </w:p>
        </w:tc>
        <w:tc>
          <w:tcPr>
            <w:tcW w:w="889" w:type="dxa"/>
            <w:tcBorders>
              <w:top w:val="single" w:sz="4" w:space="0" w:color="365F91"/>
              <w:bottom w:val="single" w:sz="4" w:space="0" w:color="365F91"/>
            </w:tcBorders>
            <w:shd w:val="clear" w:color="auto" w:fill="auto"/>
            <w:noWrap/>
            <w:vAlign w:val="center"/>
            <w:hideMark/>
          </w:tcPr>
          <w:p w14:paraId="303F5980" w14:textId="77777777" w:rsidR="000E7C76" w:rsidRPr="00256982" w:rsidRDefault="000E7C76" w:rsidP="000E7C76">
            <w:pPr>
              <w:pStyle w:val="TableText"/>
              <w:spacing w:before="50" w:after="50"/>
              <w:ind w:right="118"/>
              <w:jc w:val="right"/>
              <w:rPr>
                <w:szCs w:val="22"/>
              </w:rPr>
            </w:pPr>
            <w:r w:rsidRPr="00256982">
              <w:rPr>
                <w:szCs w:val="22"/>
              </w:rPr>
              <w:t>±5.0</w:t>
            </w:r>
          </w:p>
        </w:tc>
        <w:tc>
          <w:tcPr>
            <w:tcW w:w="991" w:type="dxa"/>
            <w:tcBorders>
              <w:top w:val="single" w:sz="4" w:space="0" w:color="365F91"/>
              <w:bottom w:val="single" w:sz="4" w:space="0" w:color="365F91"/>
            </w:tcBorders>
            <w:shd w:val="clear" w:color="auto" w:fill="auto"/>
            <w:noWrap/>
            <w:vAlign w:val="center"/>
            <w:hideMark/>
          </w:tcPr>
          <w:p w14:paraId="0959595F" w14:textId="77777777" w:rsidR="000E7C76" w:rsidRPr="00256982" w:rsidRDefault="000E7C76" w:rsidP="000E7C76">
            <w:pPr>
              <w:pStyle w:val="TableText"/>
              <w:spacing w:before="50" w:after="50"/>
              <w:ind w:right="118"/>
              <w:jc w:val="right"/>
              <w:rPr>
                <w:szCs w:val="22"/>
              </w:rPr>
            </w:pPr>
            <w:r w:rsidRPr="00256982">
              <w:rPr>
                <w:szCs w:val="22"/>
              </w:rPr>
              <w:t>±5.0</w:t>
            </w:r>
          </w:p>
        </w:tc>
        <w:tc>
          <w:tcPr>
            <w:tcW w:w="1083" w:type="dxa"/>
            <w:tcBorders>
              <w:top w:val="single" w:sz="4" w:space="0" w:color="365F91"/>
              <w:bottom w:val="single" w:sz="4" w:space="0" w:color="365F91"/>
            </w:tcBorders>
            <w:shd w:val="clear" w:color="auto" w:fill="auto"/>
            <w:vAlign w:val="center"/>
          </w:tcPr>
          <w:p w14:paraId="43C64B22" w14:textId="77777777" w:rsidR="000E7C76" w:rsidRPr="00256982" w:rsidRDefault="000E7C76" w:rsidP="000E7C76">
            <w:pPr>
              <w:pStyle w:val="TableText"/>
              <w:spacing w:before="50" w:after="50"/>
              <w:ind w:right="118"/>
              <w:jc w:val="right"/>
              <w:rPr>
                <w:szCs w:val="22"/>
              </w:rPr>
            </w:pPr>
            <w:r w:rsidRPr="00256982">
              <w:rPr>
                <w:szCs w:val="22"/>
              </w:rPr>
              <w:t>±5.0</w:t>
            </w:r>
          </w:p>
        </w:tc>
        <w:tc>
          <w:tcPr>
            <w:tcW w:w="945" w:type="dxa"/>
            <w:tcBorders>
              <w:top w:val="single" w:sz="4" w:space="0" w:color="365F91"/>
              <w:bottom w:val="single" w:sz="4" w:space="0" w:color="365F91"/>
              <w:right w:val="nil"/>
            </w:tcBorders>
            <w:shd w:val="clear" w:color="auto" w:fill="auto"/>
            <w:vAlign w:val="center"/>
          </w:tcPr>
          <w:p w14:paraId="293D24FB" w14:textId="77777777" w:rsidR="000E7C76" w:rsidRPr="00256982" w:rsidRDefault="000E7C76" w:rsidP="000E7C76">
            <w:pPr>
              <w:pStyle w:val="TableText"/>
              <w:spacing w:before="50" w:after="50"/>
              <w:ind w:right="118"/>
              <w:jc w:val="right"/>
              <w:rPr>
                <w:szCs w:val="22"/>
              </w:rPr>
            </w:pPr>
            <w:r w:rsidRPr="00256982">
              <w:rPr>
                <w:szCs w:val="22"/>
              </w:rPr>
              <w:t>±5.0</w:t>
            </w:r>
          </w:p>
        </w:tc>
      </w:tr>
      <w:tr w:rsidR="000E7C76" w:rsidRPr="00256982" w14:paraId="3C1C401C" w14:textId="77777777" w:rsidTr="000E7C76">
        <w:tc>
          <w:tcPr>
            <w:tcW w:w="2454" w:type="dxa"/>
            <w:tcBorders>
              <w:top w:val="single" w:sz="4" w:space="0" w:color="365F91"/>
              <w:left w:val="nil"/>
              <w:bottom w:val="single" w:sz="4" w:space="0" w:color="365F91"/>
            </w:tcBorders>
            <w:shd w:val="clear" w:color="auto" w:fill="auto"/>
            <w:noWrap/>
            <w:hideMark/>
          </w:tcPr>
          <w:p w14:paraId="55EAED2B" w14:textId="77777777" w:rsidR="000E7C76" w:rsidRPr="00256982" w:rsidRDefault="000E7C76" w:rsidP="000E7C76">
            <w:pPr>
              <w:pStyle w:val="TableTextBold"/>
              <w:spacing w:before="50" w:after="50"/>
              <w:rPr>
                <w:bCs/>
                <w:noProof w:val="0"/>
                <w:lang w:eastAsia="en-NZ"/>
              </w:rPr>
            </w:pPr>
            <w:r w:rsidRPr="00256982">
              <w:rPr>
                <w:bCs/>
                <w:noProof w:val="0"/>
                <w:lang w:eastAsia="en-NZ"/>
              </w:rPr>
              <w:t>Emission factors</w:t>
            </w:r>
          </w:p>
        </w:tc>
        <w:tc>
          <w:tcPr>
            <w:tcW w:w="1232" w:type="dxa"/>
            <w:tcBorders>
              <w:top w:val="single" w:sz="4" w:space="0" w:color="365F91"/>
              <w:bottom w:val="single" w:sz="4" w:space="0" w:color="365F91"/>
            </w:tcBorders>
            <w:shd w:val="clear" w:color="auto" w:fill="auto"/>
            <w:noWrap/>
            <w:hideMark/>
          </w:tcPr>
          <w:p w14:paraId="30996882" w14:textId="77777777" w:rsidR="000E7C76" w:rsidRPr="00256982" w:rsidRDefault="000E7C76" w:rsidP="000E7C76">
            <w:pPr>
              <w:pStyle w:val="TableTextBold"/>
              <w:spacing w:before="50" w:after="50"/>
              <w:ind w:right="118"/>
              <w:jc w:val="right"/>
              <w:rPr>
                <w:noProof w:val="0"/>
                <w:lang w:eastAsia="en-NZ"/>
              </w:rPr>
            </w:pPr>
          </w:p>
        </w:tc>
        <w:tc>
          <w:tcPr>
            <w:tcW w:w="911" w:type="dxa"/>
            <w:tcBorders>
              <w:top w:val="single" w:sz="4" w:space="0" w:color="365F91"/>
              <w:bottom w:val="single" w:sz="4" w:space="0" w:color="365F91"/>
            </w:tcBorders>
            <w:shd w:val="clear" w:color="auto" w:fill="auto"/>
            <w:noWrap/>
            <w:hideMark/>
          </w:tcPr>
          <w:p w14:paraId="084B0D8F" w14:textId="77777777" w:rsidR="000E7C76" w:rsidRPr="00256982" w:rsidRDefault="000E7C76" w:rsidP="000E7C76">
            <w:pPr>
              <w:pStyle w:val="TableTextBold"/>
              <w:spacing w:before="50" w:after="50"/>
              <w:ind w:right="118"/>
              <w:jc w:val="right"/>
              <w:rPr>
                <w:noProof w:val="0"/>
                <w:lang w:eastAsia="en-NZ"/>
              </w:rPr>
            </w:pPr>
          </w:p>
        </w:tc>
        <w:tc>
          <w:tcPr>
            <w:tcW w:w="889" w:type="dxa"/>
            <w:tcBorders>
              <w:top w:val="single" w:sz="4" w:space="0" w:color="365F91"/>
              <w:bottom w:val="single" w:sz="4" w:space="0" w:color="365F91"/>
            </w:tcBorders>
            <w:shd w:val="clear" w:color="auto" w:fill="auto"/>
            <w:noWrap/>
            <w:hideMark/>
          </w:tcPr>
          <w:p w14:paraId="4253E19E" w14:textId="77777777" w:rsidR="000E7C76" w:rsidRPr="00256982" w:rsidRDefault="000E7C76" w:rsidP="000E7C76">
            <w:pPr>
              <w:pStyle w:val="TableTextBold"/>
              <w:spacing w:before="50" w:after="50"/>
              <w:ind w:right="118"/>
              <w:jc w:val="right"/>
              <w:rPr>
                <w:noProof w:val="0"/>
                <w:lang w:eastAsia="en-NZ"/>
              </w:rPr>
            </w:pPr>
          </w:p>
        </w:tc>
        <w:tc>
          <w:tcPr>
            <w:tcW w:w="991" w:type="dxa"/>
            <w:tcBorders>
              <w:top w:val="single" w:sz="4" w:space="0" w:color="365F91"/>
              <w:bottom w:val="single" w:sz="4" w:space="0" w:color="365F91"/>
            </w:tcBorders>
            <w:shd w:val="clear" w:color="auto" w:fill="auto"/>
            <w:noWrap/>
            <w:hideMark/>
          </w:tcPr>
          <w:p w14:paraId="27034CDB" w14:textId="77777777" w:rsidR="000E7C76" w:rsidRPr="00256982" w:rsidRDefault="000E7C76" w:rsidP="000E7C76">
            <w:pPr>
              <w:pStyle w:val="TableTextBold"/>
              <w:spacing w:before="50" w:after="50"/>
              <w:ind w:right="118"/>
              <w:jc w:val="right"/>
              <w:rPr>
                <w:noProof w:val="0"/>
                <w:lang w:eastAsia="en-NZ"/>
              </w:rPr>
            </w:pPr>
          </w:p>
        </w:tc>
        <w:tc>
          <w:tcPr>
            <w:tcW w:w="1083" w:type="dxa"/>
            <w:tcBorders>
              <w:top w:val="single" w:sz="4" w:space="0" w:color="365F91"/>
              <w:bottom w:val="single" w:sz="4" w:space="0" w:color="365F91"/>
            </w:tcBorders>
            <w:shd w:val="clear" w:color="auto" w:fill="auto"/>
          </w:tcPr>
          <w:p w14:paraId="44A83AF6" w14:textId="77777777" w:rsidR="000E7C76" w:rsidRPr="00256982" w:rsidRDefault="000E7C76" w:rsidP="000E7C76">
            <w:pPr>
              <w:pStyle w:val="TableTextBold"/>
              <w:spacing w:before="50" w:after="50"/>
              <w:ind w:right="118"/>
              <w:jc w:val="right"/>
              <w:rPr>
                <w:noProof w:val="0"/>
                <w:lang w:eastAsia="en-NZ"/>
              </w:rPr>
            </w:pPr>
          </w:p>
        </w:tc>
        <w:tc>
          <w:tcPr>
            <w:tcW w:w="945" w:type="dxa"/>
            <w:tcBorders>
              <w:top w:val="single" w:sz="4" w:space="0" w:color="365F91"/>
              <w:bottom w:val="single" w:sz="4" w:space="0" w:color="365F91"/>
              <w:right w:val="nil"/>
            </w:tcBorders>
            <w:shd w:val="clear" w:color="auto" w:fill="auto"/>
          </w:tcPr>
          <w:p w14:paraId="04EABB33" w14:textId="77777777" w:rsidR="000E7C76" w:rsidRPr="00256982" w:rsidRDefault="000E7C76" w:rsidP="000E7C76">
            <w:pPr>
              <w:pStyle w:val="TableTextBold"/>
              <w:spacing w:before="50" w:after="50"/>
              <w:ind w:right="118"/>
              <w:jc w:val="right"/>
              <w:rPr>
                <w:noProof w:val="0"/>
                <w:lang w:eastAsia="en-NZ"/>
              </w:rPr>
            </w:pPr>
          </w:p>
        </w:tc>
      </w:tr>
      <w:tr w:rsidR="000E7C76" w:rsidRPr="00256982" w14:paraId="27FEFEEF" w14:textId="77777777" w:rsidTr="0032102F">
        <w:tc>
          <w:tcPr>
            <w:tcW w:w="2454" w:type="dxa"/>
            <w:tcBorders>
              <w:top w:val="single" w:sz="4" w:space="0" w:color="365F91"/>
              <w:left w:val="nil"/>
              <w:bottom w:val="single" w:sz="4" w:space="0" w:color="365F91"/>
            </w:tcBorders>
            <w:shd w:val="clear" w:color="auto" w:fill="auto"/>
            <w:noWrap/>
            <w:vAlign w:val="bottom"/>
            <w:hideMark/>
          </w:tcPr>
          <w:p w14:paraId="22D44EEF" w14:textId="77777777" w:rsidR="000E7C76" w:rsidRPr="00256982" w:rsidRDefault="000E7C76" w:rsidP="000E7C76">
            <w:pPr>
              <w:pStyle w:val="TableText"/>
              <w:spacing w:before="50" w:after="50"/>
              <w:ind w:left="185"/>
              <w:rPr>
                <w:bCs/>
                <w:szCs w:val="22"/>
                <w:lang w:eastAsia="en-NZ"/>
              </w:rPr>
            </w:pPr>
            <w:r w:rsidRPr="00256982">
              <w:rPr>
                <w:bCs/>
                <w:szCs w:val="22"/>
                <w:lang w:eastAsia="en-NZ"/>
              </w:rPr>
              <w:t>Uncertainty in biomass carbon stocks</w:t>
            </w:r>
          </w:p>
        </w:tc>
        <w:tc>
          <w:tcPr>
            <w:tcW w:w="1232" w:type="dxa"/>
            <w:tcBorders>
              <w:top w:val="single" w:sz="4" w:space="0" w:color="365F91"/>
              <w:bottom w:val="single" w:sz="4" w:space="0" w:color="365F91"/>
            </w:tcBorders>
            <w:shd w:val="clear" w:color="auto" w:fill="auto"/>
            <w:noWrap/>
            <w:vAlign w:val="bottom"/>
            <w:hideMark/>
          </w:tcPr>
          <w:p w14:paraId="45E4FBB8" w14:textId="77777777" w:rsidR="000E7C76" w:rsidRPr="00256982" w:rsidRDefault="000E7C76" w:rsidP="000E7C76">
            <w:pPr>
              <w:pStyle w:val="TableText"/>
              <w:spacing w:before="50" w:after="50"/>
              <w:ind w:right="118"/>
              <w:jc w:val="right"/>
              <w:rPr>
                <w:szCs w:val="22"/>
                <w:lang w:eastAsia="en-NZ"/>
              </w:rPr>
            </w:pPr>
            <w:r w:rsidRPr="00256982">
              <w:rPr>
                <w:szCs w:val="22"/>
                <w:lang w:eastAsia="en-NZ"/>
              </w:rPr>
              <w:t>±15.9</w:t>
            </w:r>
          </w:p>
        </w:tc>
        <w:tc>
          <w:tcPr>
            <w:tcW w:w="911" w:type="dxa"/>
            <w:tcBorders>
              <w:top w:val="single" w:sz="4" w:space="0" w:color="365F91"/>
              <w:bottom w:val="single" w:sz="4" w:space="0" w:color="365F91"/>
            </w:tcBorders>
            <w:shd w:val="clear" w:color="auto" w:fill="auto"/>
            <w:noWrap/>
            <w:vAlign w:val="bottom"/>
            <w:hideMark/>
          </w:tcPr>
          <w:p w14:paraId="7C9993F6" w14:textId="77777777" w:rsidR="000E7C76" w:rsidRPr="00256982" w:rsidRDefault="000E7C76" w:rsidP="000E7C76">
            <w:pPr>
              <w:pStyle w:val="TableText"/>
              <w:spacing w:before="50" w:after="50"/>
              <w:ind w:right="118"/>
              <w:jc w:val="right"/>
              <w:rPr>
                <w:szCs w:val="22"/>
                <w:lang w:eastAsia="en-NZ"/>
              </w:rPr>
            </w:pPr>
            <w:r w:rsidRPr="00256982">
              <w:rPr>
                <w:szCs w:val="22"/>
                <w:lang w:eastAsia="en-NZ"/>
              </w:rPr>
              <w:t>±6.7</w:t>
            </w:r>
          </w:p>
        </w:tc>
        <w:tc>
          <w:tcPr>
            <w:tcW w:w="889" w:type="dxa"/>
            <w:tcBorders>
              <w:top w:val="single" w:sz="4" w:space="0" w:color="365F91"/>
              <w:bottom w:val="single" w:sz="4" w:space="0" w:color="365F91"/>
            </w:tcBorders>
            <w:shd w:val="clear" w:color="auto" w:fill="auto"/>
            <w:noWrap/>
            <w:vAlign w:val="bottom"/>
            <w:hideMark/>
          </w:tcPr>
          <w:p w14:paraId="2ACE4791" w14:textId="77777777" w:rsidR="000E7C76" w:rsidRPr="00256982" w:rsidRDefault="000E7C76" w:rsidP="000E7C76">
            <w:pPr>
              <w:pStyle w:val="TableText"/>
              <w:spacing w:before="50" w:after="50"/>
              <w:ind w:right="118"/>
              <w:jc w:val="right"/>
              <w:rPr>
                <w:szCs w:val="22"/>
                <w:lang w:eastAsia="en-NZ"/>
              </w:rPr>
            </w:pPr>
            <w:r w:rsidRPr="00256982">
              <w:rPr>
                <w:szCs w:val="22"/>
                <w:lang w:eastAsia="en-NZ"/>
              </w:rPr>
              <w:t>±11.4</w:t>
            </w:r>
          </w:p>
        </w:tc>
        <w:tc>
          <w:tcPr>
            <w:tcW w:w="991" w:type="dxa"/>
            <w:tcBorders>
              <w:top w:val="single" w:sz="4" w:space="0" w:color="365F91"/>
              <w:bottom w:val="single" w:sz="4" w:space="0" w:color="365F91"/>
            </w:tcBorders>
            <w:shd w:val="clear" w:color="auto" w:fill="auto"/>
            <w:noWrap/>
            <w:vAlign w:val="bottom"/>
            <w:hideMark/>
          </w:tcPr>
          <w:p w14:paraId="469C619D" w14:textId="77777777" w:rsidR="000E7C76" w:rsidRPr="00256982" w:rsidRDefault="000E7C76" w:rsidP="000E7C76">
            <w:pPr>
              <w:pStyle w:val="TableText"/>
              <w:spacing w:before="50" w:after="50"/>
              <w:ind w:right="118"/>
              <w:jc w:val="right"/>
              <w:rPr>
                <w:szCs w:val="22"/>
                <w:lang w:eastAsia="en-NZ"/>
              </w:rPr>
            </w:pPr>
            <w:r w:rsidRPr="00256982">
              <w:rPr>
                <w:szCs w:val="22"/>
                <w:lang w:eastAsia="en-NZ"/>
              </w:rPr>
              <w:t>±15.9</w:t>
            </w:r>
          </w:p>
        </w:tc>
        <w:tc>
          <w:tcPr>
            <w:tcW w:w="1083" w:type="dxa"/>
            <w:tcBorders>
              <w:top w:val="single" w:sz="4" w:space="0" w:color="365F91"/>
              <w:bottom w:val="single" w:sz="4" w:space="0" w:color="365F91"/>
            </w:tcBorders>
            <w:shd w:val="clear" w:color="auto" w:fill="auto"/>
            <w:vAlign w:val="bottom"/>
          </w:tcPr>
          <w:p w14:paraId="78599900" w14:textId="77777777" w:rsidR="000E7C76" w:rsidRPr="00256982" w:rsidRDefault="000E7C76" w:rsidP="000E7C76">
            <w:pPr>
              <w:pStyle w:val="TableText"/>
              <w:spacing w:before="50" w:after="50"/>
              <w:ind w:right="118"/>
              <w:jc w:val="right"/>
              <w:rPr>
                <w:szCs w:val="22"/>
                <w:lang w:eastAsia="en-NZ"/>
              </w:rPr>
            </w:pPr>
            <w:r w:rsidRPr="00256982">
              <w:rPr>
                <w:szCs w:val="22"/>
                <w:lang w:eastAsia="en-NZ"/>
              </w:rPr>
              <w:t>±6.7</w:t>
            </w:r>
          </w:p>
        </w:tc>
        <w:tc>
          <w:tcPr>
            <w:tcW w:w="945" w:type="dxa"/>
            <w:tcBorders>
              <w:top w:val="single" w:sz="4" w:space="0" w:color="365F91"/>
              <w:bottom w:val="single" w:sz="4" w:space="0" w:color="365F91"/>
              <w:right w:val="nil"/>
            </w:tcBorders>
            <w:shd w:val="clear" w:color="auto" w:fill="auto"/>
            <w:vAlign w:val="bottom"/>
          </w:tcPr>
          <w:p w14:paraId="204F9475" w14:textId="77777777" w:rsidR="000E7C76" w:rsidRPr="00256982" w:rsidRDefault="000E7C76" w:rsidP="000E7C76">
            <w:pPr>
              <w:pStyle w:val="TableText"/>
              <w:spacing w:before="50" w:after="50"/>
              <w:ind w:right="118"/>
              <w:jc w:val="right"/>
              <w:rPr>
                <w:szCs w:val="22"/>
                <w:lang w:eastAsia="en-NZ"/>
              </w:rPr>
            </w:pPr>
            <w:r w:rsidRPr="00256982">
              <w:rPr>
                <w:szCs w:val="22"/>
                <w:lang w:eastAsia="en-NZ"/>
              </w:rPr>
              <w:t>±11.4</w:t>
            </w:r>
          </w:p>
        </w:tc>
      </w:tr>
      <w:tr w:rsidR="000E7C76" w:rsidRPr="00256982" w14:paraId="13FA3B05" w14:textId="77777777" w:rsidTr="0032102F">
        <w:tc>
          <w:tcPr>
            <w:tcW w:w="2454" w:type="dxa"/>
            <w:tcBorders>
              <w:top w:val="single" w:sz="4" w:space="0" w:color="365F91"/>
              <w:left w:val="nil"/>
              <w:bottom w:val="single" w:sz="4" w:space="0" w:color="365F91"/>
            </w:tcBorders>
            <w:shd w:val="clear" w:color="auto" w:fill="auto"/>
            <w:noWrap/>
            <w:vAlign w:val="bottom"/>
            <w:hideMark/>
          </w:tcPr>
          <w:p w14:paraId="7C86D3AA" w14:textId="77777777" w:rsidR="000E7C76" w:rsidRPr="00256982" w:rsidRDefault="000E7C76" w:rsidP="000E7C76">
            <w:pPr>
              <w:pStyle w:val="TableText"/>
              <w:spacing w:before="50" w:after="50"/>
              <w:ind w:left="185"/>
              <w:rPr>
                <w:bCs/>
                <w:szCs w:val="22"/>
                <w:lang w:eastAsia="en-NZ"/>
              </w:rPr>
            </w:pPr>
            <w:r w:rsidRPr="00256982">
              <w:rPr>
                <w:bCs/>
                <w:szCs w:val="22"/>
                <w:lang w:eastAsia="en-NZ"/>
              </w:rPr>
              <w:t>Uncertainty in soil carbon stocks</w:t>
            </w:r>
          </w:p>
        </w:tc>
        <w:tc>
          <w:tcPr>
            <w:tcW w:w="1232" w:type="dxa"/>
            <w:tcBorders>
              <w:top w:val="single" w:sz="4" w:space="0" w:color="365F91"/>
              <w:bottom w:val="single" w:sz="4" w:space="0" w:color="365F91"/>
            </w:tcBorders>
            <w:shd w:val="clear" w:color="auto" w:fill="auto"/>
            <w:noWrap/>
            <w:vAlign w:val="bottom"/>
            <w:hideMark/>
          </w:tcPr>
          <w:p w14:paraId="5B730D7A" w14:textId="77777777" w:rsidR="000E7C76" w:rsidRPr="00256982" w:rsidRDefault="000E7C76" w:rsidP="000E7C76">
            <w:pPr>
              <w:pStyle w:val="TableText"/>
              <w:spacing w:before="50" w:after="50"/>
              <w:ind w:right="118"/>
              <w:jc w:val="right"/>
              <w:rPr>
                <w:szCs w:val="22"/>
                <w:lang w:eastAsia="en-NZ"/>
              </w:rPr>
            </w:pPr>
            <w:r w:rsidRPr="00256982">
              <w:rPr>
                <w:szCs w:val="22"/>
                <w:lang w:eastAsia="en-NZ"/>
              </w:rPr>
              <w:t>±10.4</w:t>
            </w:r>
          </w:p>
        </w:tc>
        <w:tc>
          <w:tcPr>
            <w:tcW w:w="911" w:type="dxa"/>
            <w:tcBorders>
              <w:top w:val="single" w:sz="4" w:space="0" w:color="365F91"/>
              <w:bottom w:val="single" w:sz="4" w:space="0" w:color="365F91"/>
            </w:tcBorders>
            <w:shd w:val="clear" w:color="auto" w:fill="auto"/>
            <w:noWrap/>
            <w:vAlign w:val="bottom"/>
            <w:hideMark/>
          </w:tcPr>
          <w:p w14:paraId="67D8F0BD" w14:textId="77777777" w:rsidR="000E7C76" w:rsidRPr="00256982" w:rsidRDefault="000E7C76" w:rsidP="000E7C76">
            <w:pPr>
              <w:pStyle w:val="TableText"/>
              <w:spacing w:before="50" w:after="50"/>
              <w:ind w:right="118"/>
              <w:jc w:val="right"/>
              <w:rPr>
                <w:szCs w:val="22"/>
                <w:lang w:eastAsia="en-NZ"/>
              </w:rPr>
            </w:pPr>
            <w:r w:rsidRPr="00256982">
              <w:rPr>
                <w:szCs w:val="22"/>
                <w:lang w:eastAsia="en-NZ"/>
              </w:rPr>
              <w:t>±7.9</w:t>
            </w:r>
          </w:p>
        </w:tc>
        <w:tc>
          <w:tcPr>
            <w:tcW w:w="889" w:type="dxa"/>
            <w:tcBorders>
              <w:top w:val="single" w:sz="4" w:space="0" w:color="365F91"/>
              <w:bottom w:val="single" w:sz="4" w:space="0" w:color="365F91"/>
            </w:tcBorders>
            <w:shd w:val="clear" w:color="auto" w:fill="auto"/>
            <w:noWrap/>
            <w:vAlign w:val="bottom"/>
            <w:hideMark/>
          </w:tcPr>
          <w:p w14:paraId="08986053" w14:textId="77777777" w:rsidR="000E7C76" w:rsidRPr="00256982" w:rsidRDefault="000E7C76" w:rsidP="000E7C76">
            <w:pPr>
              <w:pStyle w:val="TableText"/>
              <w:spacing w:before="50" w:after="50"/>
              <w:ind w:right="118"/>
              <w:jc w:val="right"/>
              <w:rPr>
                <w:szCs w:val="22"/>
                <w:lang w:eastAsia="en-NZ"/>
              </w:rPr>
            </w:pPr>
            <w:r w:rsidRPr="00256982">
              <w:rPr>
                <w:szCs w:val="22"/>
                <w:lang w:eastAsia="en-NZ"/>
              </w:rPr>
              <w:t>±12.3</w:t>
            </w:r>
          </w:p>
        </w:tc>
        <w:tc>
          <w:tcPr>
            <w:tcW w:w="991" w:type="dxa"/>
            <w:tcBorders>
              <w:top w:val="single" w:sz="4" w:space="0" w:color="365F91"/>
              <w:bottom w:val="single" w:sz="4" w:space="0" w:color="365F91"/>
            </w:tcBorders>
            <w:shd w:val="clear" w:color="auto" w:fill="auto"/>
            <w:noWrap/>
            <w:vAlign w:val="bottom"/>
            <w:hideMark/>
          </w:tcPr>
          <w:p w14:paraId="58B40593" w14:textId="77777777" w:rsidR="000E7C76" w:rsidRPr="00256982" w:rsidRDefault="000E7C76" w:rsidP="000E7C76">
            <w:pPr>
              <w:pStyle w:val="TableText"/>
              <w:spacing w:before="50" w:after="50"/>
              <w:ind w:right="118"/>
              <w:jc w:val="right"/>
              <w:rPr>
                <w:szCs w:val="22"/>
                <w:lang w:eastAsia="en-NZ"/>
              </w:rPr>
            </w:pPr>
            <w:r w:rsidRPr="00256982">
              <w:rPr>
                <w:szCs w:val="22"/>
                <w:lang w:eastAsia="en-NZ"/>
              </w:rPr>
              <w:t>±10.4</w:t>
            </w:r>
          </w:p>
        </w:tc>
        <w:tc>
          <w:tcPr>
            <w:tcW w:w="1083" w:type="dxa"/>
            <w:tcBorders>
              <w:top w:val="single" w:sz="4" w:space="0" w:color="365F91"/>
              <w:bottom w:val="single" w:sz="4" w:space="0" w:color="365F91"/>
            </w:tcBorders>
            <w:shd w:val="clear" w:color="auto" w:fill="auto"/>
            <w:vAlign w:val="bottom"/>
          </w:tcPr>
          <w:p w14:paraId="0D46C5CD" w14:textId="77777777" w:rsidR="000E7C76" w:rsidRPr="00256982" w:rsidRDefault="000E7C76" w:rsidP="000E7C76">
            <w:pPr>
              <w:pStyle w:val="TableText"/>
              <w:spacing w:before="50" w:after="50"/>
              <w:ind w:right="118"/>
              <w:jc w:val="right"/>
              <w:rPr>
                <w:szCs w:val="22"/>
                <w:lang w:eastAsia="en-NZ"/>
              </w:rPr>
            </w:pPr>
            <w:r w:rsidRPr="00256982">
              <w:rPr>
                <w:szCs w:val="22"/>
                <w:lang w:eastAsia="en-NZ"/>
              </w:rPr>
              <w:t>±7.9</w:t>
            </w:r>
          </w:p>
        </w:tc>
        <w:tc>
          <w:tcPr>
            <w:tcW w:w="945" w:type="dxa"/>
            <w:tcBorders>
              <w:top w:val="single" w:sz="4" w:space="0" w:color="365F91"/>
              <w:bottom w:val="single" w:sz="4" w:space="0" w:color="365F91"/>
              <w:right w:val="nil"/>
            </w:tcBorders>
            <w:shd w:val="clear" w:color="auto" w:fill="auto"/>
            <w:vAlign w:val="bottom"/>
          </w:tcPr>
          <w:p w14:paraId="6F1F0470" w14:textId="77777777" w:rsidR="000E7C76" w:rsidRPr="00256982" w:rsidRDefault="000E7C76" w:rsidP="000E7C76">
            <w:pPr>
              <w:pStyle w:val="TableText"/>
              <w:spacing w:before="50" w:after="50"/>
              <w:ind w:right="118"/>
              <w:jc w:val="right"/>
              <w:rPr>
                <w:szCs w:val="22"/>
                <w:lang w:eastAsia="en-NZ"/>
              </w:rPr>
            </w:pPr>
            <w:r w:rsidRPr="00256982">
              <w:rPr>
                <w:szCs w:val="22"/>
                <w:lang w:eastAsia="en-NZ"/>
              </w:rPr>
              <w:t>±12.3</w:t>
            </w:r>
          </w:p>
        </w:tc>
      </w:tr>
      <w:tr w:rsidR="000E7C76" w:rsidRPr="00256982" w14:paraId="6D8B72C7" w14:textId="77777777" w:rsidTr="0032102F">
        <w:tc>
          <w:tcPr>
            <w:tcW w:w="2454" w:type="dxa"/>
            <w:tcBorders>
              <w:top w:val="single" w:sz="4" w:space="0" w:color="365F91"/>
              <w:left w:val="nil"/>
              <w:bottom w:val="single" w:sz="4" w:space="0" w:color="365F91"/>
            </w:tcBorders>
            <w:shd w:val="clear" w:color="auto" w:fill="auto"/>
            <w:noWrap/>
            <w:vAlign w:val="bottom"/>
          </w:tcPr>
          <w:p w14:paraId="01B6EBE3" w14:textId="77777777" w:rsidR="000E7C76" w:rsidRPr="00256982" w:rsidRDefault="000E7C76" w:rsidP="000E7C76">
            <w:pPr>
              <w:pStyle w:val="TableTextBold"/>
              <w:spacing w:before="50" w:after="50"/>
              <w:ind w:left="185"/>
              <w:rPr>
                <w:b w:val="0"/>
                <w:bCs/>
                <w:noProof w:val="0"/>
                <w:lang w:eastAsia="en-NZ"/>
              </w:rPr>
            </w:pPr>
            <w:r w:rsidRPr="00256982">
              <w:rPr>
                <w:b w:val="0"/>
                <w:bCs/>
                <w:noProof w:val="0"/>
                <w:lang w:eastAsia="en-NZ"/>
              </w:rPr>
              <w:t>Uncertainty in harvested wood products</w:t>
            </w:r>
          </w:p>
        </w:tc>
        <w:tc>
          <w:tcPr>
            <w:tcW w:w="1232" w:type="dxa"/>
            <w:tcBorders>
              <w:top w:val="single" w:sz="4" w:space="0" w:color="365F91"/>
              <w:bottom w:val="single" w:sz="4" w:space="0" w:color="365F91"/>
            </w:tcBorders>
            <w:shd w:val="clear" w:color="auto" w:fill="auto"/>
            <w:noWrap/>
            <w:vAlign w:val="bottom"/>
          </w:tcPr>
          <w:p w14:paraId="6184185D" w14:textId="77777777" w:rsidR="000E7C76" w:rsidRPr="00256982" w:rsidRDefault="000E7C76" w:rsidP="000E7C76">
            <w:pPr>
              <w:pStyle w:val="TableTextBold"/>
              <w:spacing w:before="50" w:after="50"/>
              <w:ind w:right="118"/>
              <w:jc w:val="right"/>
              <w:rPr>
                <w:b w:val="0"/>
                <w:noProof w:val="0"/>
                <w:lang w:eastAsia="en-NZ"/>
              </w:rPr>
            </w:pPr>
            <w:r w:rsidRPr="00256982">
              <w:rPr>
                <w:b w:val="0"/>
                <w:noProof w:val="0"/>
                <w:lang w:eastAsia="en-NZ"/>
              </w:rPr>
              <w:t>±51.3</w:t>
            </w:r>
          </w:p>
        </w:tc>
        <w:tc>
          <w:tcPr>
            <w:tcW w:w="911" w:type="dxa"/>
            <w:tcBorders>
              <w:top w:val="single" w:sz="4" w:space="0" w:color="365F91"/>
              <w:bottom w:val="single" w:sz="4" w:space="0" w:color="365F91"/>
            </w:tcBorders>
            <w:shd w:val="clear" w:color="auto" w:fill="auto"/>
            <w:noWrap/>
            <w:vAlign w:val="bottom"/>
          </w:tcPr>
          <w:p w14:paraId="23A78AC5" w14:textId="77777777" w:rsidR="000E7C76" w:rsidRPr="00256982" w:rsidRDefault="000E7C76" w:rsidP="000E7C76">
            <w:pPr>
              <w:pStyle w:val="TableTextBold"/>
              <w:spacing w:before="50" w:after="50"/>
              <w:ind w:right="118"/>
              <w:jc w:val="right"/>
              <w:rPr>
                <w:b w:val="0"/>
                <w:noProof w:val="0"/>
                <w:lang w:eastAsia="en-NZ"/>
              </w:rPr>
            </w:pPr>
            <w:r w:rsidRPr="00256982">
              <w:rPr>
                <w:b w:val="0"/>
                <w:noProof w:val="0"/>
                <w:lang w:eastAsia="en-NZ"/>
              </w:rPr>
              <w:t>–</w:t>
            </w:r>
          </w:p>
        </w:tc>
        <w:tc>
          <w:tcPr>
            <w:tcW w:w="889" w:type="dxa"/>
            <w:tcBorders>
              <w:top w:val="single" w:sz="4" w:space="0" w:color="365F91"/>
              <w:bottom w:val="single" w:sz="4" w:space="0" w:color="365F91"/>
            </w:tcBorders>
            <w:shd w:val="clear" w:color="auto" w:fill="auto"/>
            <w:noWrap/>
            <w:vAlign w:val="bottom"/>
          </w:tcPr>
          <w:p w14:paraId="6D837005" w14:textId="77777777" w:rsidR="000E7C76" w:rsidRPr="00256982" w:rsidRDefault="000E7C76" w:rsidP="000E7C76">
            <w:pPr>
              <w:pStyle w:val="TableTextBold"/>
              <w:spacing w:before="50" w:after="50"/>
              <w:ind w:right="118"/>
              <w:jc w:val="right"/>
              <w:rPr>
                <w:b w:val="0"/>
                <w:noProof w:val="0"/>
                <w:lang w:eastAsia="en-NZ"/>
              </w:rPr>
            </w:pPr>
            <w:r w:rsidRPr="00256982">
              <w:rPr>
                <w:b w:val="0"/>
                <w:noProof w:val="0"/>
                <w:lang w:eastAsia="en-NZ"/>
              </w:rPr>
              <w:t>–</w:t>
            </w:r>
          </w:p>
        </w:tc>
        <w:tc>
          <w:tcPr>
            <w:tcW w:w="991" w:type="dxa"/>
            <w:tcBorders>
              <w:top w:val="single" w:sz="4" w:space="0" w:color="365F91"/>
              <w:bottom w:val="single" w:sz="4" w:space="0" w:color="365F91"/>
            </w:tcBorders>
            <w:shd w:val="clear" w:color="auto" w:fill="auto"/>
            <w:noWrap/>
            <w:vAlign w:val="bottom"/>
          </w:tcPr>
          <w:p w14:paraId="666D6274" w14:textId="77777777" w:rsidR="000E7C76" w:rsidRPr="00256982" w:rsidRDefault="000E7C76" w:rsidP="000E7C76">
            <w:pPr>
              <w:pStyle w:val="TableTextBold"/>
              <w:spacing w:before="50" w:after="50"/>
              <w:ind w:right="118"/>
              <w:jc w:val="right"/>
              <w:rPr>
                <w:b w:val="0"/>
                <w:noProof w:val="0"/>
                <w:lang w:eastAsia="en-NZ"/>
              </w:rPr>
            </w:pPr>
            <w:r w:rsidRPr="00256982">
              <w:rPr>
                <w:b w:val="0"/>
                <w:noProof w:val="0"/>
                <w:lang w:eastAsia="en-NZ"/>
              </w:rPr>
              <w:t>–</w:t>
            </w:r>
          </w:p>
        </w:tc>
        <w:tc>
          <w:tcPr>
            <w:tcW w:w="1083" w:type="dxa"/>
            <w:tcBorders>
              <w:top w:val="single" w:sz="4" w:space="0" w:color="365F91"/>
              <w:bottom w:val="single" w:sz="4" w:space="0" w:color="365F91"/>
            </w:tcBorders>
            <w:shd w:val="clear" w:color="auto" w:fill="auto"/>
            <w:vAlign w:val="bottom"/>
          </w:tcPr>
          <w:p w14:paraId="0D66F90D" w14:textId="77777777" w:rsidR="000E7C76" w:rsidRPr="00256982" w:rsidRDefault="000E7C76" w:rsidP="000E7C76">
            <w:pPr>
              <w:pStyle w:val="TableTextBold"/>
              <w:spacing w:before="50" w:after="50"/>
              <w:ind w:right="118"/>
              <w:jc w:val="right"/>
              <w:rPr>
                <w:b w:val="0"/>
                <w:noProof w:val="0"/>
                <w:lang w:eastAsia="en-NZ"/>
              </w:rPr>
            </w:pPr>
            <w:r w:rsidRPr="00256982">
              <w:rPr>
                <w:b w:val="0"/>
                <w:noProof w:val="0"/>
                <w:lang w:eastAsia="en-NZ"/>
              </w:rPr>
              <w:t>–</w:t>
            </w:r>
          </w:p>
        </w:tc>
        <w:tc>
          <w:tcPr>
            <w:tcW w:w="945" w:type="dxa"/>
            <w:tcBorders>
              <w:top w:val="single" w:sz="4" w:space="0" w:color="365F91"/>
              <w:bottom w:val="single" w:sz="4" w:space="0" w:color="365F91"/>
              <w:right w:val="nil"/>
            </w:tcBorders>
            <w:shd w:val="clear" w:color="auto" w:fill="auto"/>
            <w:vAlign w:val="bottom"/>
          </w:tcPr>
          <w:p w14:paraId="426D1355" w14:textId="77777777" w:rsidR="000E7C76" w:rsidRPr="00256982" w:rsidRDefault="000E7C76" w:rsidP="000E7C76">
            <w:pPr>
              <w:pStyle w:val="TableTextBold"/>
              <w:spacing w:before="50" w:after="50"/>
              <w:ind w:right="118"/>
              <w:jc w:val="right"/>
              <w:rPr>
                <w:b w:val="0"/>
                <w:noProof w:val="0"/>
                <w:lang w:eastAsia="en-NZ"/>
              </w:rPr>
            </w:pPr>
            <w:r w:rsidRPr="00256982">
              <w:rPr>
                <w:b w:val="0"/>
                <w:noProof w:val="0"/>
                <w:lang w:eastAsia="en-NZ"/>
              </w:rPr>
              <w:t>±51.3</w:t>
            </w:r>
          </w:p>
        </w:tc>
      </w:tr>
      <w:tr w:rsidR="000E7C76" w:rsidRPr="00256982" w14:paraId="1CD506D0" w14:textId="77777777" w:rsidTr="0032102F">
        <w:tc>
          <w:tcPr>
            <w:tcW w:w="2454" w:type="dxa"/>
            <w:tcBorders>
              <w:top w:val="single" w:sz="4" w:space="0" w:color="365F91"/>
              <w:left w:val="nil"/>
              <w:bottom w:val="single" w:sz="4" w:space="0" w:color="365F91"/>
            </w:tcBorders>
            <w:shd w:val="clear" w:color="auto" w:fill="auto"/>
            <w:noWrap/>
            <w:vAlign w:val="bottom"/>
            <w:hideMark/>
          </w:tcPr>
          <w:p w14:paraId="19BF2066" w14:textId="77777777" w:rsidR="000E7C76" w:rsidRPr="00256982" w:rsidRDefault="000E7C76" w:rsidP="000E7C76">
            <w:pPr>
              <w:pStyle w:val="Tableboldblue"/>
              <w:spacing w:before="50" w:after="50"/>
              <w:rPr>
                <w:bCs/>
              </w:rPr>
            </w:pPr>
            <w:r w:rsidRPr="00256982">
              <w:rPr>
                <w:bCs/>
              </w:rPr>
              <w:t>Uncertainty introduced into emissions for Kyoto Protocol</w:t>
            </w:r>
          </w:p>
        </w:tc>
        <w:tc>
          <w:tcPr>
            <w:tcW w:w="1232" w:type="dxa"/>
            <w:tcBorders>
              <w:top w:val="single" w:sz="4" w:space="0" w:color="365F91"/>
              <w:bottom w:val="single" w:sz="4" w:space="0" w:color="365F91"/>
            </w:tcBorders>
            <w:shd w:val="clear" w:color="auto" w:fill="auto"/>
            <w:noWrap/>
            <w:vAlign w:val="bottom"/>
            <w:hideMark/>
          </w:tcPr>
          <w:p w14:paraId="544AB64E" w14:textId="77777777" w:rsidR="000E7C76" w:rsidRPr="00256982" w:rsidRDefault="000E7C76" w:rsidP="000E7C76">
            <w:pPr>
              <w:pStyle w:val="Tableboldblue"/>
              <w:spacing w:before="50" w:after="50"/>
              <w:ind w:right="118"/>
              <w:jc w:val="right"/>
            </w:pPr>
            <w:r w:rsidRPr="00256982">
              <w:t>±13.6</w:t>
            </w:r>
          </w:p>
        </w:tc>
        <w:tc>
          <w:tcPr>
            <w:tcW w:w="911" w:type="dxa"/>
            <w:tcBorders>
              <w:top w:val="single" w:sz="4" w:space="0" w:color="365F91"/>
              <w:bottom w:val="single" w:sz="4" w:space="0" w:color="365F91"/>
            </w:tcBorders>
            <w:shd w:val="clear" w:color="auto" w:fill="auto"/>
            <w:noWrap/>
            <w:vAlign w:val="bottom"/>
            <w:hideMark/>
          </w:tcPr>
          <w:p w14:paraId="5140B297" w14:textId="77777777" w:rsidR="000E7C76" w:rsidRPr="00256982" w:rsidRDefault="000E7C76" w:rsidP="000E7C76">
            <w:pPr>
              <w:pStyle w:val="Tableboldblue"/>
              <w:spacing w:before="50" w:after="50"/>
              <w:ind w:right="118"/>
              <w:jc w:val="right"/>
            </w:pPr>
            <w:r w:rsidRPr="00256982">
              <w:t>±0.2</w:t>
            </w:r>
          </w:p>
        </w:tc>
        <w:tc>
          <w:tcPr>
            <w:tcW w:w="889" w:type="dxa"/>
            <w:tcBorders>
              <w:top w:val="single" w:sz="4" w:space="0" w:color="365F91"/>
              <w:bottom w:val="single" w:sz="4" w:space="0" w:color="365F91"/>
            </w:tcBorders>
            <w:shd w:val="clear" w:color="auto" w:fill="auto"/>
            <w:noWrap/>
            <w:vAlign w:val="bottom"/>
            <w:hideMark/>
          </w:tcPr>
          <w:p w14:paraId="3A10260B" w14:textId="77777777" w:rsidR="000E7C76" w:rsidRPr="00256982" w:rsidRDefault="000E7C76" w:rsidP="000E7C76">
            <w:pPr>
              <w:pStyle w:val="Tableboldblue"/>
              <w:spacing w:before="50" w:after="50"/>
              <w:ind w:right="118"/>
              <w:jc w:val="right"/>
            </w:pPr>
            <w:r w:rsidRPr="00256982">
              <w:t>±1.2</w:t>
            </w:r>
          </w:p>
        </w:tc>
        <w:tc>
          <w:tcPr>
            <w:tcW w:w="991" w:type="dxa"/>
            <w:tcBorders>
              <w:top w:val="single" w:sz="4" w:space="0" w:color="365F91"/>
              <w:bottom w:val="single" w:sz="4" w:space="0" w:color="365F91"/>
            </w:tcBorders>
            <w:shd w:val="clear" w:color="auto" w:fill="auto"/>
            <w:noWrap/>
            <w:vAlign w:val="bottom"/>
            <w:hideMark/>
          </w:tcPr>
          <w:p w14:paraId="18905003" w14:textId="77777777" w:rsidR="000E7C76" w:rsidRPr="00256982" w:rsidRDefault="000E7C76" w:rsidP="000E7C76">
            <w:pPr>
              <w:pStyle w:val="Tableboldblue"/>
              <w:spacing w:before="50" w:after="50"/>
              <w:ind w:right="118"/>
              <w:jc w:val="right"/>
            </w:pPr>
            <w:r w:rsidRPr="00256982">
              <w:t>±0.1</w:t>
            </w:r>
          </w:p>
        </w:tc>
        <w:tc>
          <w:tcPr>
            <w:tcW w:w="1083" w:type="dxa"/>
            <w:tcBorders>
              <w:top w:val="single" w:sz="4" w:space="0" w:color="365F91"/>
              <w:bottom w:val="single" w:sz="4" w:space="0" w:color="365F91"/>
            </w:tcBorders>
            <w:shd w:val="clear" w:color="auto" w:fill="auto"/>
            <w:vAlign w:val="bottom"/>
          </w:tcPr>
          <w:p w14:paraId="735A38A9" w14:textId="77777777" w:rsidR="000E7C76" w:rsidRPr="00256982" w:rsidRDefault="000E7C76" w:rsidP="000E7C76">
            <w:pPr>
              <w:pStyle w:val="Tableboldblue"/>
              <w:spacing w:before="50" w:after="50"/>
              <w:ind w:right="118"/>
              <w:jc w:val="right"/>
            </w:pPr>
            <w:r w:rsidRPr="00256982">
              <w:t>±40.1</w:t>
            </w:r>
          </w:p>
        </w:tc>
        <w:tc>
          <w:tcPr>
            <w:tcW w:w="945" w:type="dxa"/>
            <w:tcBorders>
              <w:top w:val="single" w:sz="4" w:space="0" w:color="365F91"/>
              <w:bottom w:val="single" w:sz="4" w:space="0" w:color="365F91"/>
              <w:right w:val="nil"/>
            </w:tcBorders>
            <w:shd w:val="clear" w:color="auto" w:fill="auto"/>
            <w:vAlign w:val="bottom"/>
          </w:tcPr>
          <w:p w14:paraId="673CA6B9" w14:textId="77777777" w:rsidR="000E7C76" w:rsidRPr="00256982" w:rsidRDefault="000E7C76" w:rsidP="000E7C76">
            <w:pPr>
              <w:pStyle w:val="Tableboldblue"/>
              <w:spacing w:before="50" w:after="50"/>
              <w:ind w:right="118"/>
              <w:jc w:val="right"/>
            </w:pPr>
            <w:r w:rsidRPr="00256982">
              <w:t>±42.4</w:t>
            </w:r>
          </w:p>
        </w:tc>
      </w:tr>
    </w:tbl>
    <w:p w14:paraId="337319DA" w14:textId="77777777" w:rsidR="000E7C76" w:rsidRPr="00256982" w:rsidRDefault="000E7C76" w:rsidP="000E7C76">
      <w:pPr>
        <w:pStyle w:val="Noteundertable"/>
      </w:pPr>
      <w:r w:rsidRPr="00256982">
        <w:rPr>
          <w:b/>
        </w:rPr>
        <w:t>Note:</w:t>
      </w:r>
      <w:r w:rsidRPr="00256982">
        <w:tab/>
        <w:t>All land that has been afforested or reforested since 1 January 1990 is defined as post-1989 forest. Land deforested since 1 January 1990 may be pre-1990 natural forest, pre</w:t>
      </w:r>
      <w:r w:rsidRPr="00256982">
        <w:noBreakHyphen/>
        <w:t>1990 planted forest or post-1989 forest.</w:t>
      </w:r>
    </w:p>
    <w:p w14:paraId="61B39430" w14:textId="77777777" w:rsidR="000E7C76" w:rsidRPr="00256982" w:rsidRDefault="000E7C76" w:rsidP="000E7C76">
      <w:pPr>
        <w:pStyle w:val="BodyText"/>
      </w:pPr>
      <w:r w:rsidRPr="00256982">
        <w:t>Total uncertainty in New Zealand’s estimates of emissions for Article 3.3 and Article 3.4 of the Kyoto Protocol is ±59.9 per cent</w:t>
      </w:r>
      <w:r w:rsidRPr="00256982">
        <w:rPr>
          <w:spacing w:val="-2"/>
        </w:rPr>
        <w:t xml:space="preserve"> at a 95 per cent confidence interval</w:t>
      </w:r>
      <w:r w:rsidRPr="00256982">
        <w:t xml:space="preserve">. </w:t>
      </w:r>
    </w:p>
    <w:p w14:paraId="4148E707" w14:textId="77777777" w:rsidR="000E7C76" w:rsidRPr="00256982" w:rsidRDefault="000E7C76" w:rsidP="000E7C76">
      <w:pPr>
        <w:pStyle w:val="Table"/>
      </w:pPr>
      <w:bookmarkStart w:id="2741" w:name="_Toc318362740"/>
      <w:bookmarkStart w:id="2742" w:name="_Toc342470819"/>
      <w:bookmarkStart w:id="2743" w:name="_Toc352505072"/>
      <w:bookmarkStart w:id="2744" w:name="_Toc377043708"/>
      <w:bookmarkStart w:id="2745" w:name="_Toc391023560"/>
      <w:bookmarkStart w:id="2746" w:name="_Toc414531533"/>
      <w:bookmarkStart w:id="2747" w:name="_Toc456179111"/>
      <w:bookmarkStart w:id="2748" w:name="_Toc481751636"/>
      <w:bookmarkStart w:id="2749" w:name="_Toc522010662"/>
      <w:bookmarkStart w:id="2750" w:name="_Toc5269633"/>
      <w:r w:rsidRPr="00256982">
        <w:t xml:space="preserve">Table 11.4.2 </w:t>
      </w:r>
      <w:r w:rsidRPr="00256982">
        <w:tab/>
        <w:t>Total uncertainty in New Zealand’s estimates for Afforestation and reforestation,</w:t>
      </w:r>
      <w:r w:rsidRPr="00256982">
        <w:br/>
        <w:t xml:space="preserve">Deforestation and Forest management in </w:t>
      </w:r>
      <w:bookmarkEnd w:id="2741"/>
      <w:bookmarkEnd w:id="2742"/>
      <w:bookmarkEnd w:id="2743"/>
      <w:bookmarkEnd w:id="2744"/>
      <w:bookmarkEnd w:id="2745"/>
      <w:r w:rsidRPr="00256982">
        <w:t>2017</w:t>
      </w:r>
      <w:bookmarkEnd w:id="2746"/>
      <w:bookmarkEnd w:id="2747"/>
      <w:bookmarkEnd w:id="2748"/>
      <w:bookmarkEnd w:id="2749"/>
      <w:bookmarkEnd w:id="2750"/>
    </w:p>
    <w:tbl>
      <w:tblPr>
        <w:tblW w:w="8505" w:type="dxa"/>
        <w:tblInd w:w="108" w:type="dxa"/>
        <w:tblBorders>
          <w:top w:val="single" w:sz="8" w:space="0" w:color="1F497D"/>
          <w:bottom w:val="single" w:sz="8" w:space="0" w:color="1F497D"/>
          <w:insideH w:val="single" w:sz="8" w:space="0" w:color="1F497D"/>
        </w:tblBorders>
        <w:tblLayout w:type="fixed"/>
        <w:tblLook w:val="04A0" w:firstRow="1" w:lastRow="0" w:firstColumn="1" w:lastColumn="0" w:noHBand="0" w:noVBand="1"/>
      </w:tblPr>
      <w:tblGrid>
        <w:gridCol w:w="4685"/>
        <w:gridCol w:w="3820"/>
      </w:tblGrid>
      <w:tr w:rsidR="000E7C76" w:rsidRPr="00256982" w14:paraId="3F8D1044" w14:textId="77777777" w:rsidTr="000E7C76">
        <w:tc>
          <w:tcPr>
            <w:tcW w:w="4685" w:type="dxa"/>
            <w:tcBorders>
              <w:top w:val="single" w:sz="4" w:space="0" w:color="365F91"/>
              <w:bottom w:val="single" w:sz="4" w:space="0" w:color="365F91"/>
            </w:tcBorders>
            <w:shd w:val="clear" w:color="auto" w:fill="365F91"/>
            <w:noWrap/>
            <w:vAlign w:val="center"/>
            <w:hideMark/>
          </w:tcPr>
          <w:p w14:paraId="24D3DF78" w14:textId="77777777" w:rsidR="000E7C76" w:rsidRPr="00256982" w:rsidRDefault="000E7C76" w:rsidP="000E7C76">
            <w:pPr>
              <w:pStyle w:val="TableTextBold"/>
              <w:keepNext/>
              <w:rPr>
                <w:bCs/>
                <w:noProof w:val="0"/>
                <w:color w:val="FFFFFF"/>
                <w:lang w:eastAsia="en-NZ"/>
              </w:rPr>
            </w:pPr>
            <w:r w:rsidRPr="00256982">
              <w:rPr>
                <w:bCs/>
                <w:noProof w:val="0"/>
                <w:color w:val="FFFFFF"/>
                <w:lang w:eastAsia="en-NZ"/>
              </w:rPr>
              <w:t>Variable</w:t>
            </w:r>
          </w:p>
        </w:tc>
        <w:tc>
          <w:tcPr>
            <w:tcW w:w="3820" w:type="dxa"/>
            <w:tcBorders>
              <w:top w:val="single" w:sz="4" w:space="0" w:color="365F91"/>
              <w:bottom w:val="single" w:sz="4" w:space="0" w:color="365F91"/>
            </w:tcBorders>
            <w:shd w:val="clear" w:color="auto" w:fill="365F91"/>
            <w:noWrap/>
            <w:vAlign w:val="center"/>
            <w:hideMark/>
          </w:tcPr>
          <w:p w14:paraId="6F30D5F5" w14:textId="77777777" w:rsidR="000E7C76" w:rsidRPr="00256982" w:rsidRDefault="000E7C76" w:rsidP="000E7C76">
            <w:pPr>
              <w:pStyle w:val="TableTextBold"/>
              <w:keepNext/>
              <w:jc w:val="center"/>
              <w:rPr>
                <w:bCs/>
                <w:noProof w:val="0"/>
                <w:color w:val="FFFFFF"/>
                <w:lang w:eastAsia="en-NZ"/>
              </w:rPr>
            </w:pPr>
            <w:r w:rsidRPr="00256982">
              <w:rPr>
                <w:bCs/>
                <w:noProof w:val="0"/>
                <w:color w:val="FFFFFF"/>
                <w:lang w:eastAsia="en-NZ"/>
              </w:rPr>
              <w:t>Uncertainty (%) at a 95% confidence interval</w:t>
            </w:r>
          </w:p>
        </w:tc>
      </w:tr>
      <w:tr w:rsidR="000E7C76" w:rsidRPr="00256982" w14:paraId="4F345108" w14:textId="77777777" w:rsidTr="0032102F">
        <w:tc>
          <w:tcPr>
            <w:tcW w:w="4685" w:type="dxa"/>
            <w:tcBorders>
              <w:top w:val="single" w:sz="4" w:space="0" w:color="365F91"/>
              <w:left w:val="nil"/>
              <w:bottom w:val="single" w:sz="4" w:space="0" w:color="365F91"/>
            </w:tcBorders>
            <w:shd w:val="clear" w:color="auto" w:fill="auto"/>
            <w:noWrap/>
            <w:vAlign w:val="bottom"/>
            <w:hideMark/>
          </w:tcPr>
          <w:p w14:paraId="21B5C8B6" w14:textId="77777777" w:rsidR="000E7C76" w:rsidRPr="00256982" w:rsidRDefault="000E7C76" w:rsidP="000E7C76">
            <w:pPr>
              <w:pStyle w:val="TableText"/>
              <w:keepNext/>
            </w:pPr>
            <w:r w:rsidRPr="00256982">
              <w:t>Afforestation and reforestation uncertainty introduced into emissions for Kyoto Protocol</w:t>
            </w:r>
          </w:p>
        </w:tc>
        <w:tc>
          <w:tcPr>
            <w:tcW w:w="3820" w:type="dxa"/>
            <w:tcBorders>
              <w:top w:val="single" w:sz="4" w:space="0" w:color="365F91"/>
              <w:bottom w:val="single" w:sz="4" w:space="0" w:color="365F91"/>
              <w:right w:val="nil"/>
            </w:tcBorders>
            <w:shd w:val="clear" w:color="auto" w:fill="auto"/>
            <w:noWrap/>
            <w:vAlign w:val="bottom"/>
            <w:hideMark/>
          </w:tcPr>
          <w:p w14:paraId="55E1B6F2" w14:textId="77777777" w:rsidR="000E7C76" w:rsidRPr="00256982" w:rsidRDefault="000E7C76" w:rsidP="000E7C76">
            <w:pPr>
              <w:pStyle w:val="TableText"/>
              <w:keepNext/>
              <w:jc w:val="center"/>
            </w:pPr>
            <w:r w:rsidRPr="00256982">
              <w:t>±13.6</w:t>
            </w:r>
          </w:p>
        </w:tc>
      </w:tr>
      <w:tr w:rsidR="000E7C76" w:rsidRPr="00256982" w14:paraId="259D27F5" w14:textId="77777777" w:rsidTr="0032102F">
        <w:tc>
          <w:tcPr>
            <w:tcW w:w="4685" w:type="dxa"/>
            <w:tcBorders>
              <w:top w:val="single" w:sz="4" w:space="0" w:color="365F91"/>
              <w:left w:val="nil"/>
              <w:bottom w:val="single" w:sz="4" w:space="0" w:color="365F91"/>
            </w:tcBorders>
            <w:shd w:val="clear" w:color="auto" w:fill="auto"/>
            <w:noWrap/>
            <w:vAlign w:val="bottom"/>
            <w:hideMark/>
          </w:tcPr>
          <w:p w14:paraId="2515880F" w14:textId="77777777" w:rsidR="000E7C76" w:rsidRPr="00256982" w:rsidRDefault="000E7C76" w:rsidP="000E7C76">
            <w:pPr>
              <w:pStyle w:val="TableText"/>
              <w:keepNext/>
            </w:pPr>
            <w:r w:rsidRPr="00256982">
              <w:t>Deforestation uncertainty introduced into emissions for Kyoto Protocol</w:t>
            </w:r>
          </w:p>
        </w:tc>
        <w:tc>
          <w:tcPr>
            <w:tcW w:w="3820" w:type="dxa"/>
            <w:tcBorders>
              <w:top w:val="single" w:sz="4" w:space="0" w:color="365F91"/>
              <w:bottom w:val="single" w:sz="4" w:space="0" w:color="365F91"/>
              <w:right w:val="nil"/>
            </w:tcBorders>
            <w:shd w:val="clear" w:color="auto" w:fill="auto"/>
            <w:noWrap/>
            <w:vAlign w:val="bottom"/>
            <w:hideMark/>
          </w:tcPr>
          <w:p w14:paraId="46116D5B" w14:textId="77777777" w:rsidR="000E7C76" w:rsidRPr="00256982" w:rsidRDefault="000E7C76" w:rsidP="000E7C76">
            <w:pPr>
              <w:pStyle w:val="TableText"/>
              <w:keepNext/>
              <w:jc w:val="center"/>
            </w:pPr>
            <w:r w:rsidRPr="00256982">
              <w:t>±1.4</w:t>
            </w:r>
          </w:p>
        </w:tc>
      </w:tr>
      <w:tr w:rsidR="000E7C76" w:rsidRPr="00256982" w14:paraId="3AC3D9F6" w14:textId="77777777" w:rsidTr="0032102F">
        <w:tc>
          <w:tcPr>
            <w:tcW w:w="4685" w:type="dxa"/>
            <w:tcBorders>
              <w:top w:val="single" w:sz="4" w:space="0" w:color="365F91"/>
              <w:left w:val="nil"/>
              <w:bottom w:val="single" w:sz="4" w:space="0" w:color="365F91"/>
            </w:tcBorders>
            <w:shd w:val="clear" w:color="auto" w:fill="auto"/>
            <w:noWrap/>
            <w:vAlign w:val="bottom"/>
          </w:tcPr>
          <w:p w14:paraId="1912AB10" w14:textId="77777777" w:rsidR="000E7C76" w:rsidRPr="00256982" w:rsidRDefault="000E7C76" w:rsidP="000E7C76">
            <w:pPr>
              <w:pStyle w:val="TableText"/>
              <w:keepNext/>
            </w:pPr>
            <w:r w:rsidRPr="00256982">
              <w:t>Forest management uncertainty introduced into emissions for Kyoto Protocol</w:t>
            </w:r>
          </w:p>
        </w:tc>
        <w:tc>
          <w:tcPr>
            <w:tcW w:w="3820" w:type="dxa"/>
            <w:tcBorders>
              <w:top w:val="single" w:sz="4" w:space="0" w:color="365F91"/>
              <w:bottom w:val="single" w:sz="4" w:space="0" w:color="365F91"/>
              <w:right w:val="nil"/>
            </w:tcBorders>
            <w:shd w:val="clear" w:color="auto" w:fill="auto"/>
            <w:noWrap/>
            <w:vAlign w:val="bottom"/>
          </w:tcPr>
          <w:p w14:paraId="7C393C1B" w14:textId="77777777" w:rsidR="000E7C76" w:rsidRPr="00256982" w:rsidRDefault="000E7C76" w:rsidP="000E7C76">
            <w:pPr>
              <w:pStyle w:val="TableText"/>
              <w:keepNext/>
              <w:jc w:val="center"/>
            </w:pPr>
            <w:r w:rsidRPr="00256982">
              <w:t>±58.4</w:t>
            </w:r>
          </w:p>
        </w:tc>
      </w:tr>
      <w:tr w:rsidR="000E7C76" w:rsidRPr="00256982" w14:paraId="6F425AD2" w14:textId="77777777" w:rsidTr="0032102F">
        <w:tc>
          <w:tcPr>
            <w:tcW w:w="4685" w:type="dxa"/>
            <w:tcBorders>
              <w:top w:val="single" w:sz="4" w:space="0" w:color="365F91"/>
              <w:left w:val="nil"/>
              <w:bottom w:val="single" w:sz="4" w:space="0" w:color="365F91"/>
            </w:tcBorders>
            <w:shd w:val="clear" w:color="auto" w:fill="auto"/>
            <w:noWrap/>
            <w:vAlign w:val="center"/>
            <w:hideMark/>
          </w:tcPr>
          <w:p w14:paraId="068D797A" w14:textId="77777777" w:rsidR="000E7C76" w:rsidRPr="00256982" w:rsidRDefault="000E7C76" w:rsidP="000E7C76">
            <w:pPr>
              <w:pStyle w:val="Tableboldblue"/>
              <w:spacing w:before="50" w:after="50"/>
              <w:rPr>
                <w:bCs/>
              </w:rPr>
            </w:pPr>
            <w:r w:rsidRPr="00256982">
              <w:rPr>
                <w:bCs/>
              </w:rPr>
              <w:t>Total uncertainty for Kyoto Protocol</w:t>
            </w:r>
          </w:p>
        </w:tc>
        <w:tc>
          <w:tcPr>
            <w:tcW w:w="3820" w:type="dxa"/>
            <w:tcBorders>
              <w:top w:val="single" w:sz="4" w:space="0" w:color="365F91"/>
              <w:bottom w:val="single" w:sz="4" w:space="0" w:color="365F91"/>
              <w:right w:val="nil"/>
            </w:tcBorders>
            <w:shd w:val="clear" w:color="auto" w:fill="auto"/>
            <w:noWrap/>
            <w:vAlign w:val="center"/>
            <w:hideMark/>
          </w:tcPr>
          <w:p w14:paraId="7C79FF41" w14:textId="77777777" w:rsidR="000E7C76" w:rsidRPr="00256982" w:rsidRDefault="000E7C76" w:rsidP="000E7C76">
            <w:pPr>
              <w:pStyle w:val="Tableboldblue"/>
              <w:spacing w:before="50" w:after="50"/>
              <w:jc w:val="center"/>
            </w:pPr>
            <w:r w:rsidRPr="00256982">
              <w:t>±59.9</w:t>
            </w:r>
          </w:p>
        </w:tc>
      </w:tr>
    </w:tbl>
    <w:p w14:paraId="5FA30E04" w14:textId="77777777" w:rsidR="000E7C76" w:rsidRPr="00256982" w:rsidRDefault="000E7C76" w:rsidP="000E7C76">
      <w:pPr>
        <w:pStyle w:val="Heading3"/>
        <w:spacing w:before="440"/>
      </w:pPr>
      <w:bookmarkStart w:id="2751" w:name="_Toc261513295"/>
      <w:bookmarkStart w:id="2752" w:name="_Toc261513908"/>
      <w:bookmarkStart w:id="2753" w:name="_Toc280630398"/>
      <w:r w:rsidRPr="00256982">
        <w:t>11.4.2</w:t>
      </w:r>
      <w:r w:rsidRPr="00256982">
        <w:tab/>
      </w:r>
      <w:bookmarkEnd w:id="2751"/>
      <w:bookmarkEnd w:id="2752"/>
      <w:bookmarkEnd w:id="2753"/>
      <w:r w:rsidRPr="00256982">
        <w:t>Quality control and quality assurance</w:t>
      </w:r>
    </w:p>
    <w:p w14:paraId="0D5DA6AB" w14:textId="77777777" w:rsidR="000E7C76" w:rsidRPr="00256982" w:rsidRDefault="000E7C76" w:rsidP="000E7C76">
      <w:pPr>
        <w:pStyle w:val="BodyText"/>
      </w:pPr>
      <w:r w:rsidRPr="00256982">
        <w:t xml:space="preserve">Quality-control and quality-assurance procedures have been adopted for all data collection and data analyses, to be consistent with the </w:t>
      </w:r>
      <w:r w:rsidRPr="00256982">
        <w:rPr>
          <w:i/>
        </w:rPr>
        <w:t xml:space="preserve">IPCC General Guidance and Reporting </w:t>
      </w:r>
      <w:r w:rsidRPr="00256982">
        <w:t>(IPCC, 2006b) and New Zealand’s inventory quality-control and quality-assurance plan. Quality-control and quality-assurance plans were established for each type of data used to determine carbon stock and stock changes, as well as the areal extent and spatial location of land-use changes. All data were subject to an independent and documented quality-assurance process. Data validation rules and reports were established to ensure that all data are fit for purpose and are of consistent and known quality, and that data quality continues to be improved over time. The data used to derive the country-specific yield tables and average carbon values have also undergone quality assurance, as described in chapter 6, section 6.4.4.</w:t>
      </w:r>
    </w:p>
    <w:p w14:paraId="5CCFA139" w14:textId="77777777" w:rsidR="000E7C76" w:rsidRPr="00256982" w:rsidRDefault="000E7C76" w:rsidP="000E7C76">
      <w:pPr>
        <w:pStyle w:val="Heading3"/>
      </w:pPr>
      <w:r w:rsidRPr="00256982">
        <w:t>11.4.3</w:t>
      </w:r>
      <w:r w:rsidRPr="00256982">
        <w:tab/>
        <w:t>Recalculations</w:t>
      </w:r>
    </w:p>
    <w:p w14:paraId="2468DCE7" w14:textId="77777777" w:rsidR="000E7C76" w:rsidRPr="00256982" w:rsidRDefault="000E7C76" w:rsidP="000E7C76">
      <w:pPr>
        <w:pStyle w:val="BodyText"/>
      </w:pPr>
      <w:r w:rsidRPr="00256982">
        <w:t>New Zealand’s greenhouse gas estimates for activities under Article 3.3 of the Kyoto Protocol have been recalculated since the previous submission to incorporate improved activity data and emission factors.</w:t>
      </w:r>
    </w:p>
    <w:p w14:paraId="65EF518C" w14:textId="77777777" w:rsidR="000E7C76" w:rsidRPr="00256982" w:rsidRDefault="000E7C76" w:rsidP="000E7C76">
      <w:pPr>
        <w:pStyle w:val="Heading5"/>
      </w:pPr>
      <w:r w:rsidRPr="00256982">
        <w:t>Activity data</w:t>
      </w:r>
    </w:p>
    <w:p w14:paraId="29185A94" w14:textId="77777777" w:rsidR="000E7C76" w:rsidRPr="00256982" w:rsidRDefault="000E7C76" w:rsidP="000E7C76">
      <w:pPr>
        <w:pStyle w:val="BodyText"/>
      </w:pPr>
      <w:r w:rsidRPr="00256982">
        <w:t>Table 11.4.3 shows there has been a decrease in the estimated total area of new planting</w:t>
      </w:r>
      <w:r w:rsidRPr="00256982">
        <w:rPr>
          <w:i/>
        </w:rPr>
        <w:t xml:space="preserve"> </w:t>
      </w:r>
      <w:r w:rsidRPr="00256982">
        <w:t>for 2016, since the last submission. This is due to updated new planting data being provided by the National Exotic Forest Description survey (Ministry for Primary Industries, 2017).</w:t>
      </w:r>
    </w:p>
    <w:p w14:paraId="265796C4" w14:textId="77777777" w:rsidR="000E7C76" w:rsidRPr="00256982" w:rsidRDefault="000E7C76" w:rsidP="000E7C76">
      <w:pPr>
        <w:pStyle w:val="BodyText"/>
        <w:rPr>
          <w:spacing w:val="-2"/>
        </w:rPr>
      </w:pPr>
      <w:r w:rsidRPr="00256982">
        <w:rPr>
          <w:spacing w:val="-2"/>
        </w:rPr>
        <w:t xml:space="preserve">The total area of deforestation has increased, compared with the estimate made for the 2018 submission. This is due to the introduction of the 2016 land use map into the time series, providing actual rather than estimated areas of deforestation for 2015 and 2016, and mapping improvements made to earlier land use maps. </w:t>
      </w:r>
    </w:p>
    <w:p w14:paraId="093F9D1F" w14:textId="77777777" w:rsidR="000E7C76" w:rsidRPr="00256982" w:rsidRDefault="000E7C76" w:rsidP="000E7C76">
      <w:pPr>
        <w:pStyle w:val="BodyText"/>
        <w:rPr>
          <w:spacing w:val="-2"/>
        </w:rPr>
      </w:pPr>
      <w:r w:rsidRPr="00256982">
        <w:rPr>
          <w:spacing w:val="-2"/>
        </w:rPr>
        <w:t>The new land use map has highlighted that, while the 2016 deforestation estimates made for last year’s submission were only 3 per cent higher than the area subsequently identified as deforested, there were significant discrepancies in the type of forest deforested. Pre-1990 natural forest deforestation was overestimated by 50 per cent and post-1989 forest deforestation was underestimated by 92 per cent. In the case of the post-1989 forest estimate, this is likely due to the estimation approach not adequately reflecting the increasing proportion of post-1989 forest being deforested as some areas in this forest estate near harvest age.</w:t>
      </w:r>
    </w:p>
    <w:p w14:paraId="687B5F6A" w14:textId="77777777" w:rsidR="000E7C76" w:rsidRPr="00256982" w:rsidRDefault="000E7C76" w:rsidP="000E7C76">
      <w:pPr>
        <w:pStyle w:val="BodyText"/>
        <w:rPr>
          <w:spacing w:val="-2"/>
        </w:rPr>
      </w:pPr>
      <w:r w:rsidRPr="00256982">
        <w:rPr>
          <w:spacing w:val="-2"/>
        </w:rPr>
        <w:t>Further information on the deforestation mapping process can be found in chapter 6, section 6.2.2.</w:t>
      </w:r>
    </w:p>
    <w:p w14:paraId="60084557" w14:textId="77777777" w:rsidR="000E7C76" w:rsidRPr="00256982" w:rsidRDefault="000E7C76" w:rsidP="000E7C76">
      <w:pPr>
        <w:pStyle w:val="BodyText"/>
      </w:pPr>
      <w:r w:rsidRPr="00256982">
        <w:t xml:space="preserve">Activity data associated with the application of the carbon equivalent provision have had a minor impact on the area recalculations. </w:t>
      </w:r>
    </w:p>
    <w:p w14:paraId="385900A9" w14:textId="77777777" w:rsidR="000E7C76" w:rsidRPr="00256982" w:rsidRDefault="000E7C76" w:rsidP="000E7C76">
      <w:pPr>
        <w:pStyle w:val="Table"/>
        <w:keepLines/>
      </w:pPr>
      <w:bookmarkStart w:id="2754" w:name="_Toc414531531"/>
      <w:bookmarkStart w:id="2755" w:name="_Toc456179112"/>
      <w:bookmarkStart w:id="2756" w:name="_Toc481751637"/>
      <w:bookmarkStart w:id="2757" w:name="_Toc522010663"/>
      <w:bookmarkStart w:id="2758" w:name="_Toc5269634"/>
      <w:r w:rsidRPr="00256982">
        <w:t>Table 11.4.3</w:t>
      </w:r>
      <w:r w:rsidRPr="00256982">
        <w:tab/>
        <w:t>Recalculations of New Zealand’s 2016 activity data under Article 3.3 and</w:t>
      </w:r>
      <w:r w:rsidRPr="00256982">
        <w:br/>
        <w:t>Article 3.4 of the Kyoto Protocol</w:t>
      </w:r>
      <w:bookmarkEnd w:id="2754"/>
      <w:bookmarkEnd w:id="2755"/>
      <w:bookmarkEnd w:id="2756"/>
      <w:bookmarkEnd w:id="2757"/>
      <w:bookmarkEnd w:id="2758"/>
    </w:p>
    <w:tbl>
      <w:tblPr>
        <w:tblW w:w="8505" w:type="dxa"/>
        <w:tblInd w:w="108" w:type="dxa"/>
        <w:tblLook w:val="04A0" w:firstRow="1" w:lastRow="0" w:firstColumn="1" w:lastColumn="0" w:noHBand="0" w:noVBand="1"/>
      </w:tblPr>
      <w:tblGrid>
        <w:gridCol w:w="3400"/>
        <w:gridCol w:w="1640"/>
        <w:gridCol w:w="120"/>
        <w:gridCol w:w="1538"/>
        <w:gridCol w:w="1807"/>
      </w:tblGrid>
      <w:tr w:rsidR="000E7C76" w:rsidRPr="00256982" w14:paraId="1AF6DEEB" w14:textId="77777777" w:rsidTr="000E7C76">
        <w:tc>
          <w:tcPr>
            <w:tcW w:w="3400" w:type="dxa"/>
            <w:vMerge w:val="restart"/>
            <w:tcBorders>
              <w:top w:val="single" w:sz="4" w:space="0" w:color="365F91"/>
            </w:tcBorders>
            <w:shd w:val="clear" w:color="auto" w:fill="365F91"/>
            <w:vAlign w:val="bottom"/>
          </w:tcPr>
          <w:p w14:paraId="497B1601" w14:textId="77777777" w:rsidR="000E7C76" w:rsidRPr="00256982" w:rsidRDefault="000E7C76" w:rsidP="000E7C76">
            <w:pPr>
              <w:pStyle w:val="TableText"/>
              <w:keepNext/>
              <w:spacing w:before="50" w:after="50"/>
              <w:rPr>
                <w:b/>
                <w:bCs/>
                <w:color w:val="FFFFFF"/>
                <w:szCs w:val="22"/>
              </w:rPr>
            </w:pPr>
            <w:r w:rsidRPr="00256982">
              <w:rPr>
                <w:b/>
                <w:bCs/>
                <w:color w:val="FFFFFF"/>
                <w:szCs w:val="22"/>
              </w:rPr>
              <w:t xml:space="preserve">Activities under Article 3.3 of the </w:t>
            </w:r>
            <w:r w:rsidRPr="00256982">
              <w:rPr>
                <w:b/>
                <w:bCs/>
                <w:color w:val="FFFFFF"/>
                <w:szCs w:val="22"/>
              </w:rPr>
              <w:br/>
              <w:t xml:space="preserve">Kyoto Protocol </w:t>
            </w:r>
          </w:p>
        </w:tc>
        <w:tc>
          <w:tcPr>
            <w:tcW w:w="3298" w:type="dxa"/>
            <w:gridSpan w:val="3"/>
            <w:tcBorders>
              <w:top w:val="single" w:sz="4" w:space="0" w:color="365F91"/>
            </w:tcBorders>
            <w:shd w:val="clear" w:color="auto" w:fill="365F91"/>
            <w:vAlign w:val="bottom"/>
          </w:tcPr>
          <w:p w14:paraId="12081090" w14:textId="77777777" w:rsidR="000E7C76" w:rsidRPr="00256982" w:rsidRDefault="000E7C76" w:rsidP="000E7C76">
            <w:pPr>
              <w:pStyle w:val="TableText"/>
              <w:keepNext/>
              <w:spacing w:before="50" w:after="50"/>
              <w:jc w:val="center"/>
              <w:rPr>
                <w:b/>
                <w:bCs/>
                <w:color w:val="FFFFFF"/>
                <w:szCs w:val="22"/>
              </w:rPr>
            </w:pPr>
            <w:r w:rsidRPr="00256982">
              <w:rPr>
                <w:b/>
                <w:bCs/>
                <w:color w:val="FFFFFF"/>
                <w:szCs w:val="22"/>
              </w:rPr>
              <w:t>Area as at 2016 (ha)</w:t>
            </w:r>
          </w:p>
        </w:tc>
        <w:tc>
          <w:tcPr>
            <w:tcW w:w="1807" w:type="dxa"/>
            <w:vMerge w:val="restart"/>
            <w:tcBorders>
              <w:top w:val="single" w:sz="4" w:space="0" w:color="365F91"/>
            </w:tcBorders>
            <w:shd w:val="clear" w:color="auto" w:fill="365F91"/>
            <w:vAlign w:val="bottom"/>
          </w:tcPr>
          <w:p w14:paraId="5A7022E0" w14:textId="77777777" w:rsidR="000E7C76" w:rsidRPr="00256982" w:rsidRDefault="000E7C76" w:rsidP="000E7C76">
            <w:pPr>
              <w:pStyle w:val="TableTextBold"/>
              <w:keepNext/>
              <w:jc w:val="center"/>
              <w:rPr>
                <w:bCs/>
                <w:noProof w:val="0"/>
                <w:color w:val="FFFFFF"/>
              </w:rPr>
            </w:pPr>
            <w:r w:rsidRPr="00256982">
              <w:rPr>
                <w:bCs/>
                <w:noProof w:val="0"/>
                <w:color w:val="FFFFFF"/>
              </w:rPr>
              <w:t>Change from 2018 submission (%)</w:t>
            </w:r>
          </w:p>
        </w:tc>
      </w:tr>
      <w:tr w:rsidR="000E7C76" w:rsidRPr="00256982" w14:paraId="100A91D6" w14:textId="77777777" w:rsidTr="000E7C76">
        <w:tc>
          <w:tcPr>
            <w:tcW w:w="3400" w:type="dxa"/>
            <w:vMerge/>
            <w:tcBorders>
              <w:bottom w:val="single" w:sz="4" w:space="0" w:color="365F91"/>
            </w:tcBorders>
            <w:shd w:val="clear" w:color="auto" w:fill="365F91"/>
            <w:vAlign w:val="center"/>
          </w:tcPr>
          <w:p w14:paraId="0BD2944C" w14:textId="77777777" w:rsidR="000E7C76" w:rsidRPr="00256982" w:rsidRDefault="000E7C76" w:rsidP="000E7C76">
            <w:pPr>
              <w:pStyle w:val="Captions"/>
              <w:keepNext/>
              <w:suppressAutoHyphens w:val="0"/>
              <w:spacing w:before="50" w:after="50"/>
              <w:rPr>
                <w:rFonts w:ascii="Arial" w:hAnsi="Arial"/>
                <w:b/>
                <w:bCs/>
              </w:rPr>
            </w:pPr>
          </w:p>
        </w:tc>
        <w:tc>
          <w:tcPr>
            <w:tcW w:w="1640" w:type="dxa"/>
            <w:tcBorders>
              <w:bottom w:val="single" w:sz="4" w:space="0" w:color="365F91"/>
            </w:tcBorders>
            <w:shd w:val="clear" w:color="auto" w:fill="365F91"/>
            <w:vAlign w:val="center"/>
          </w:tcPr>
          <w:p w14:paraId="288FE08E" w14:textId="77777777" w:rsidR="000E7C76" w:rsidRPr="00256982" w:rsidRDefault="000E7C76" w:rsidP="000E7C76">
            <w:pPr>
              <w:pStyle w:val="TableTextBold"/>
              <w:keepNext/>
              <w:jc w:val="center"/>
              <w:rPr>
                <w:noProof w:val="0"/>
                <w:color w:val="FFFFFF"/>
              </w:rPr>
            </w:pPr>
            <w:r w:rsidRPr="00256982">
              <w:rPr>
                <w:noProof w:val="0"/>
                <w:color w:val="FFFFFF"/>
              </w:rPr>
              <w:t>2018 submission</w:t>
            </w:r>
          </w:p>
        </w:tc>
        <w:tc>
          <w:tcPr>
            <w:tcW w:w="1658" w:type="dxa"/>
            <w:gridSpan w:val="2"/>
            <w:tcBorders>
              <w:bottom w:val="single" w:sz="4" w:space="0" w:color="365F91"/>
            </w:tcBorders>
            <w:shd w:val="clear" w:color="auto" w:fill="365F91"/>
            <w:vAlign w:val="center"/>
          </w:tcPr>
          <w:p w14:paraId="32A68339" w14:textId="77777777" w:rsidR="000E7C76" w:rsidRPr="00256982" w:rsidRDefault="000E7C76" w:rsidP="000E7C76">
            <w:pPr>
              <w:pStyle w:val="TableTextBold"/>
              <w:keepNext/>
              <w:jc w:val="center"/>
              <w:rPr>
                <w:noProof w:val="0"/>
                <w:color w:val="FFFFFF"/>
              </w:rPr>
            </w:pPr>
            <w:r w:rsidRPr="00256982">
              <w:rPr>
                <w:noProof w:val="0"/>
                <w:color w:val="FFFFFF"/>
              </w:rPr>
              <w:t>2019 submission</w:t>
            </w:r>
          </w:p>
        </w:tc>
        <w:tc>
          <w:tcPr>
            <w:tcW w:w="1807" w:type="dxa"/>
            <w:vMerge/>
            <w:tcBorders>
              <w:bottom w:val="single" w:sz="4" w:space="0" w:color="365F91"/>
            </w:tcBorders>
            <w:shd w:val="clear" w:color="auto" w:fill="365F91"/>
            <w:vAlign w:val="center"/>
          </w:tcPr>
          <w:p w14:paraId="3905012B" w14:textId="77777777" w:rsidR="000E7C76" w:rsidRPr="00256982" w:rsidRDefault="000E7C76" w:rsidP="000E7C76">
            <w:pPr>
              <w:pStyle w:val="Captions"/>
              <w:keepNext/>
              <w:suppressAutoHyphens w:val="0"/>
              <w:spacing w:before="50" w:after="50"/>
              <w:rPr>
                <w:rFonts w:ascii="Arial" w:hAnsi="Arial"/>
              </w:rPr>
            </w:pPr>
          </w:p>
        </w:tc>
      </w:tr>
      <w:tr w:rsidR="000E7C76" w:rsidRPr="00256982" w14:paraId="1A3AE0C4" w14:textId="77777777" w:rsidTr="000E7C76">
        <w:trPr>
          <w:trHeight w:val="225"/>
        </w:trPr>
        <w:tc>
          <w:tcPr>
            <w:tcW w:w="3400" w:type="dxa"/>
            <w:tcBorders>
              <w:top w:val="single" w:sz="4" w:space="0" w:color="365F91"/>
              <w:bottom w:val="single" w:sz="4" w:space="0" w:color="365F91"/>
            </w:tcBorders>
            <w:shd w:val="clear" w:color="auto" w:fill="auto"/>
            <w:vAlign w:val="center"/>
          </w:tcPr>
          <w:p w14:paraId="00896F9A" w14:textId="77777777" w:rsidR="000E7C76" w:rsidRPr="00256982" w:rsidRDefault="000E7C76" w:rsidP="000E7C76">
            <w:pPr>
              <w:pStyle w:val="TableText"/>
              <w:keepNext/>
              <w:spacing w:before="50" w:after="50"/>
              <w:rPr>
                <w:bCs/>
                <w:szCs w:val="22"/>
              </w:rPr>
            </w:pPr>
            <w:r w:rsidRPr="00256982">
              <w:rPr>
                <w:bCs/>
                <w:szCs w:val="22"/>
              </w:rPr>
              <w:t>Afforestation and reforestation</w:t>
            </w:r>
          </w:p>
        </w:tc>
        <w:tc>
          <w:tcPr>
            <w:tcW w:w="1640" w:type="dxa"/>
            <w:tcBorders>
              <w:top w:val="single" w:sz="4" w:space="0" w:color="365F91"/>
              <w:bottom w:val="single" w:sz="4" w:space="0" w:color="365F91"/>
            </w:tcBorders>
            <w:shd w:val="clear" w:color="auto" w:fill="auto"/>
          </w:tcPr>
          <w:p w14:paraId="338B048B" w14:textId="77777777" w:rsidR="000E7C76" w:rsidRPr="00256982" w:rsidRDefault="000E7C76" w:rsidP="000E7C76">
            <w:pPr>
              <w:pStyle w:val="TableText"/>
              <w:keepNext/>
              <w:spacing w:before="50" w:after="50"/>
              <w:jc w:val="right"/>
              <w:rPr>
                <w:szCs w:val="22"/>
              </w:rPr>
            </w:pPr>
            <w:r w:rsidRPr="00256982">
              <w:t>655,323</w:t>
            </w:r>
          </w:p>
        </w:tc>
        <w:tc>
          <w:tcPr>
            <w:tcW w:w="1658" w:type="dxa"/>
            <w:gridSpan w:val="2"/>
            <w:tcBorders>
              <w:top w:val="single" w:sz="4" w:space="0" w:color="365F91"/>
              <w:bottom w:val="single" w:sz="4" w:space="0" w:color="365F91"/>
            </w:tcBorders>
            <w:shd w:val="clear" w:color="auto" w:fill="auto"/>
          </w:tcPr>
          <w:p w14:paraId="773A18AB" w14:textId="77777777" w:rsidR="000E7C76" w:rsidRPr="00256982" w:rsidRDefault="000E7C76" w:rsidP="000E7C76">
            <w:pPr>
              <w:pStyle w:val="TableText"/>
              <w:keepNext/>
              <w:spacing w:before="50" w:after="50"/>
              <w:jc w:val="right"/>
              <w:rPr>
                <w:szCs w:val="22"/>
              </w:rPr>
            </w:pPr>
            <w:r w:rsidRPr="00256982">
              <w:t>675,569</w:t>
            </w:r>
          </w:p>
        </w:tc>
        <w:tc>
          <w:tcPr>
            <w:tcW w:w="1807" w:type="dxa"/>
            <w:tcBorders>
              <w:top w:val="single" w:sz="4" w:space="0" w:color="365F91"/>
              <w:bottom w:val="single" w:sz="4" w:space="0" w:color="365F91"/>
            </w:tcBorders>
            <w:shd w:val="clear" w:color="auto" w:fill="auto"/>
          </w:tcPr>
          <w:p w14:paraId="0AD14B1A" w14:textId="77777777" w:rsidR="000E7C76" w:rsidRPr="00256982" w:rsidRDefault="000E7C76" w:rsidP="000E7C76">
            <w:pPr>
              <w:pStyle w:val="TableText"/>
              <w:keepNext/>
              <w:spacing w:before="50" w:after="50"/>
              <w:jc w:val="right"/>
              <w:rPr>
                <w:szCs w:val="22"/>
              </w:rPr>
            </w:pPr>
            <w:r w:rsidRPr="00256982">
              <w:t xml:space="preserve">3.1 </w:t>
            </w:r>
          </w:p>
        </w:tc>
      </w:tr>
      <w:tr w:rsidR="000E7C76" w:rsidRPr="00256982" w14:paraId="69F20172" w14:textId="77777777" w:rsidTr="000E7C76">
        <w:tc>
          <w:tcPr>
            <w:tcW w:w="3400" w:type="dxa"/>
            <w:tcBorders>
              <w:top w:val="single" w:sz="4" w:space="0" w:color="365F91"/>
              <w:bottom w:val="single" w:sz="4" w:space="0" w:color="365F91"/>
            </w:tcBorders>
            <w:shd w:val="clear" w:color="auto" w:fill="auto"/>
            <w:vAlign w:val="center"/>
          </w:tcPr>
          <w:p w14:paraId="5FCD7B25" w14:textId="77777777" w:rsidR="000E7C76" w:rsidRPr="00256982" w:rsidRDefault="000E7C76" w:rsidP="000E7C76">
            <w:pPr>
              <w:pStyle w:val="TableText"/>
              <w:spacing w:before="50" w:after="50"/>
              <w:rPr>
                <w:bCs/>
                <w:szCs w:val="22"/>
              </w:rPr>
            </w:pPr>
            <w:r w:rsidRPr="00256982">
              <w:rPr>
                <w:bCs/>
                <w:szCs w:val="22"/>
              </w:rPr>
              <w:t xml:space="preserve">Deforestation </w:t>
            </w:r>
          </w:p>
        </w:tc>
        <w:tc>
          <w:tcPr>
            <w:tcW w:w="1640" w:type="dxa"/>
            <w:tcBorders>
              <w:top w:val="single" w:sz="4" w:space="0" w:color="365F91"/>
              <w:bottom w:val="single" w:sz="4" w:space="0" w:color="365F91"/>
            </w:tcBorders>
            <w:shd w:val="clear" w:color="auto" w:fill="auto"/>
          </w:tcPr>
          <w:p w14:paraId="68FA2044" w14:textId="77777777" w:rsidR="000E7C76" w:rsidRPr="00256982" w:rsidRDefault="000E7C76" w:rsidP="000E7C76">
            <w:pPr>
              <w:pStyle w:val="TableText"/>
              <w:keepNext/>
              <w:keepLines/>
              <w:spacing w:before="50" w:after="50"/>
              <w:jc w:val="right"/>
              <w:rPr>
                <w:szCs w:val="22"/>
              </w:rPr>
            </w:pPr>
            <w:r w:rsidRPr="00256982">
              <w:t>191,682</w:t>
            </w:r>
          </w:p>
        </w:tc>
        <w:tc>
          <w:tcPr>
            <w:tcW w:w="1658" w:type="dxa"/>
            <w:gridSpan w:val="2"/>
            <w:tcBorders>
              <w:top w:val="single" w:sz="4" w:space="0" w:color="365F91"/>
              <w:bottom w:val="single" w:sz="4" w:space="0" w:color="365F91"/>
            </w:tcBorders>
            <w:shd w:val="clear" w:color="auto" w:fill="auto"/>
          </w:tcPr>
          <w:p w14:paraId="5EB4CB22" w14:textId="77777777" w:rsidR="000E7C76" w:rsidRPr="00256982" w:rsidRDefault="000E7C76" w:rsidP="000E7C76">
            <w:pPr>
              <w:pStyle w:val="TableText"/>
              <w:keepNext/>
              <w:keepLines/>
              <w:spacing w:before="50" w:after="50"/>
              <w:jc w:val="right"/>
              <w:rPr>
                <w:szCs w:val="22"/>
              </w:rPr>
            </w:pPr>
            <w:r w:rsidRPr="00256982">
              <w:t>197,214</w:t>
            </w:r>
          </w:p>
        </w:tc>
        <w:tc>
          <w:tcPr>
            <w:tcW w:w="1807" w:type="dxa"/>
            <w:tcBorders>
              <w:top w:val="single" w:sz="4" w:space="0" w:color="365F91"/>
              <w:bottom w:val="single" w:sz="4" w:space="0" w:color="365F91"/>
            </w:tcBorders>
            <w:shd w:val="clear" w:color="auto" w:fill="auto"/>
          </w:tcPr>
          <w:p w14:paraId="58E1CFE9" w14:textId="77777777" w:rsidR="000E7C76" w:rsidRPr="00256982" w:rsidRDefault="000E7C76" w:rsidP="000E7C76">
            <w:pPr>
              <w:pStyle w:val="TableText"/>
              <w:keepNext/>
              <w:keepLines/>
              <w:spacing w:before="50" w:after="50"/>
              <w:jc w:val="right"/>
              <w:rPr>
                <w:szCs w:val="22"/>
              </w:rPr>
            </w:pPr>
            <w:r w:rsidRPr="00256982">
              <w:t xml:space="preserve">2.9 </w:t>
            </w:r>
          </w:p>
        </w:tc>
      </w:tr>
      <w:tr w:rsidR="000E7C76" w:rsidRPr="00256982" w14:paraId="7385E55B" w14:textId="77777777" w:rsidTr="000E7C76">
        <w:tc>
          <w:tcPr>
            <w:tcW w:w="3400" w:type="dxa"/>
            <w:tcBorders>
              <w:top w:val="single" w:sz="4" w:space="0" w:color="365F91"/>
              <w:bottom w:val="single" w:sz="4" w:space="0" w:color="365F91"/>
            </w:tcBorders>
            <w:shd w:val="clear" w:color="auto" w:fill="auto"/>
            <w:vAlign w:val="center"/>
          </w:tcPr>
          <w:p w14:paraId="042E7086" w14:textId="77777777" w:rsidR="000E7C76" w:rsidRPr="00256982" w:rsidRDefault="000E7C76" w:rsidP="000E7C76">
            <w:pPr>
              <w:pStyle w:val="TableText"/>
              <w:spacing w:before="50" w:after="50"/>
              <w:rPr>
                <w:bCs/>
                <w:szCs w:val="22"/>
              </w:rPr>
            </w:pPr>
            <w:r w:rsidRPr="00256982">
              <w:rPr>
                <w:bCs/>
                <w:szCs w:val="22"/>
              </w:rPr>
              <w:t>Forest management</w:t>
            </w:r>
          </w:p>
        </w:tc>
        <w:tc>
          <w:tcPr>
            <w:tcW w:w="1640" w:type="dxa"/>
            <w:tcBorders>
              <w:top w:val="single" w:sz="4" w:space="0" w:color="365F91"/>
              <w:bottom w:val="single" w:sz="4" w:space="0" w:color="365F91"/>
            </w:tcBorders>
            <w:shd w:val="clear" w:color="auto" w:fill="auto"/>
          </w:tcPr>
          <w:p w14:paraId="049F6CB2" w14:textId="77777777" w:rsidR="000E7C76" w:rsidRPr="00256982" w:rsidRDefault="000E7C76" w:rsidP="000E7C76">
            <w:pPr>
              <w:pStyle w:val="TableText"/>
              <w:keepNext/>
              <w:keepLines/>
              <w:spacing w:before="50" w:after="50"/>
              <w:jc w:val="right"/>
              <w:rPr>
                <w:szCs w:val="22"/>
              </w:rPr>
            </w:pPr>
            <w:r w:rsidRPr="00256982">
              <w:t>9,249,653</w:t>
            </w:r>
          </w:p>
        </w:tc>
        <w:tc>
          <w:tcPr>
            <w:tcW w:w="1658" w:type="dxa"/>
            <w:gridSpan w:val="2"/>
            <w:tcBorders>
              <w:top w:val="single" w:sz="4" w:space="0" w:color="365F91"/>
              <w:bottom w:val="single" w:sz="4" w:space="0" w:color="365F91"/>
            </w:tcBorders>
            <w:shd w:val="clear" w:color="auto" w:fill="auto"/>
          </w:tcPr>
          <w:p w14:paraId="73199BFD" w14:textId="77777777" w:rsidR="000E7C76" w:rsidRPr="00256982" w:rsidRDefault="000E7C76" w:rsidP="000E7C76">
            <w:pPr>
              <w:pStyle w:val="TableText"/>
              <w:keepNext/>
              <w:keepLines/>
              <w:spacing w:before="50" w:after="50"/>
              <w:jc w:val="right"/>
              <w:rPr>
                <w:szCs w:val="22"/>
              </w:rPr>
            </w:pPr>
            <w:r w:rsidRPr="00256982">
              <w:t>9,246,176</w:t>
            </w:r>
          </w:p>
        </w:tc>
        <w:tc>
          <w:tcPr>
            <w:tcW w:w="1807" w:type="dxa"/>
            <w:tcBorders>
              <w:top w:val="single" w:sz="4" w:space="0" w:color="365F91"/>
              <w:bottom w:val="single" w:sz="4" w:space="0" w:color="365F91"/>
            </w:tcBorders>
            <w:shd w:val="clear" w:color="auto" w:fill="auto"/>
          </w:tcPr>
          <w:p w14:paraId="38822302" w14:textId="77777777" w:rsidR="000E7C76" w:rsidRPr="00256982" w:rsidRDefault="000E7C76" w:rsidP="000E7C76">
            <w:pPr>
              <w:pStyle w:val="TableText"/>
              <w:keepNext/>
              <w:keepLines/>
              <w:spacing w:before="50" w:after="50"/>
              <w:jc w:val="right"/>
              <w:rPr>
                <w:szCs w:val="22"/>
              </w:rPr>
            </w:pPr>
            <w:r w:rsidRPr="00256982">
              <w:t xml:space="preserve">–0.0 </w:t>
            </w:r>
          </w:p>
        </w:tc>
      </w:tr>
      <w:tr w:rsidR="000E7C76" w:rsidRPr="00256982" w14:paraId="6D4ABB1A" w14:textId="77777777" w:rsidTr="000E7C76">
        <w:tc>
          <w:tcPr>
            <w:tcW w:w="3400" w:type="dxa"/>
            <w:tcBorders>
              <w:top w:val="single" w:sz="4" w:space="0" w:color="365F91"/>
              <w:bottom w:val="single" w:sz="4" w:space="0" w:color="365F91"/>
            </w:tcBorders>
            <w:shd w:val="clear" w:color="auto" w:fill="365F91"/>
            <w:vAlign w:val="bottom"/>
          </w:tcPr>
          <w:p w14:paraId="72BCC7E5" w14:textId="77777777" w:rsidR="000E7C76" w:rsidRPr="00256982" w:rsidRDefault="000E7C76" w:rsidP="000E7C76">
            <w:pPr>
              <w:pStyle w:val="TableText"/>
              <w:spacing w:before="50" w:after="50"/>
              <w:rPr>
                <w:b/>
                <w:bCs/>
                <w:color w:val="FFFFFF"/>
                <w:szCs w:val="22"/>
              </w:rPr>
            </w:pPr>
            <w:r w:rsidRPr="00256982">
              <w:rPr>
                <w:b/>
                <w:bCs/>
                <w:color w:val="FFFFFF"/>
                <w:szCs w:val="22"/>
              </w:rPr>
              <w:t>Activities occurring in 2016</w:t>
            </w:r>
          </w:p>
        </w:tc>
        <w:tc>
          <w:tcPr>
            <w:tcW w:w="3298" w:type="dxa"/>
            <w:gridSpan w:val="3"/>
            <w:tcBorders>
              <w:top w:val="single" w:sz="4" w:space="0" w:color="365F91"/>
              <w:bottom w:val="single" w:sz="4" w:space="0" w:color="365F91"/>
            </w:tcBorders>
            <w:shd w:val="clear" w:color="auto" w:fill="365F91"/>
            <w:vAlign w:val="bottom"/>
          </w:tcPr>
          <w:p w14:paraId="4F4D9580" w14:textId="77777777" w:rsidR="000E7C76" w:rsidRPr="00256982" w:rsidRDefault="000E7C76" w:rsidP="000E7C76">
            <w:pPr>
              <w:pStyle w:val="TableTextBold"/>
              <w:keepNext/>
              <w:keepLines/>
              <w:jc w:val="center"/>
              <w:rPr>
                <w:noProof w:val="0"/>
                <w:color w:val="FFFFFF"/>
              </w:rPr>
            </w:pPr>
            <w:r w:rsidRPr="00256982">
              <w:rPr>
                <w:noProof w:val="0"/>
                <w:color w:val="FFFFFF"/>
              </w:rPr>
              <w:t>Area change in 2016 (ha)</w:t>
            </w:r>
          </w:p>
        </w:tc>
        <w:tc>
          <w:tcPr>
            <w:tcW w:w="1807" w:type="dxa"/>
            <w:tcBorders>
              <w:top w:val="single" w:sz="4" w:space="0" w:color="365F91"/>
              <w:bottom w:val="single" w:sz="4" w:space="0" w:color="365F91"/>
            </w:tcBorders>
            <w:shd w:val="clear" w:color="auto" w:fill="365F91"/>
            <w:vAlign w:val="bottom"/>
          </w:tcPr>
          <w:p w14:paraId="6E6D2C55" w14:textId="77777777" w:rsidR="000E7C76" w:rsidRPr="00256982" w:rsidRDefault="000E7C76" w:rsidP="000E7C76">
            <w:pPr>
              <w:pStyle w:val="TableTextBold"/>
              <w:keepNext/>
              <w:keepLines/>
              <w:jc w:val="center"/>
              <w:rPr>
                <w:noProof w:val="0"/>
                <w:color w:val="FFFFFF"/>
              </w:rPr>
            </w:pPr>
            <w:r w:rsidRPr="00256982">
              <w:rPr>
                <w:noProof w:val="0"/>
                <w:color w:val="FFFFFF"/>
              </w:rPr>
              <w:t>Change from 2018 submission (%)</w:t>
            </w:r>
          </w:p>
        </w:tc>
      </w:tr>
      <w:tr w:rsidR="000E7C76" w:rsidRPr="00256982" w14:paraId="4017869A" w14:textId="77777777" w:rsidTr="000E7C76">
        <w:tc>
          <w:tcPr>
            <w:tcW w:w="3400" w:type="dxa"/>
            <w:tcBorders>
              <w:top w:val="single" w:sz="4" w:space="0" w:color="365F91"/>
              <w:bottom w:val="single" w:sz="4" w:space="0" w:color="365F91"/>
            </w:tcBorders>
            <w:shd w:val="clear" w:color="auto" w:fill="auto"/>
            <w:vAlign w:val="center"/>
          </w:tcPr>
          <w:p w14:paraId="66F8C8F5" w14:textId="77777777" w:rsidR="000E7C76" w:rsidRPr="00256982" w:rsidRDefault="000E7C76" w:rsidP="000E7C76">
            <w:pPr>
              <w:pStyle w:val="TableText"/>
              <w:spacing w:before="50" w:after="50"/>
              <w:rPr>
                <w:bCs/>
                <w:szCs w:val="22"/>
              </w:rPr>
            </w:pPr>
            <w:r w:rsidRPr="00256982">
              <w:rPr>
                <w:bCs/>
                <w:szCs w:val="22"/>
              </w:rPr>
              <w:t>New planting</w:t>
            </w:r>
          </w:p>
        </w:tc>
        <w:tc>
          <w:tcPr>
            <w:tcW w:w="1760" w:type="dxa"/>
            <w:gridSpan w:val="2"/>
            <w:tcBorders>
              <w:top w:val="single" w:sz="4" w:space="0" w:color="365F91"/>
              <w:bottom w:val="single" w:sz="4" w:space="0" w:color="365F91"/>
            </w:tcBorders>
            <w:shd w:val="clear" w:color="auto" w:fill="auto"/>
          </w:tcPr>
          <w:p w14:paraId="71424A39" w14:textId="69710C79" w:rsidR="000E7C76" w:rsidRPr="00256982" w:rsidRDefault="00AA394E" w:rsidP="000E7C76">
            <w:pPr>
              <w:pStyle w:val="TableText"/>
              <w:keepNext/>
              <w:keepLines/>
              <w:spacing w:before="50" w:after="50"/>
              <w:jc w:val="right"/>
              <w:rPr>
                <w:szCs w:val="22"/>
              </w:rPr>
            </w:pPr>
            <w:r>
              <w:t>4,302</w:t>
            </w:r>
          </w:p>
        </w:tc>
        <w:tc>
          <w:tcPr>
            <w:tcW w:w="1538" w:type="dxa"/>
            <w:tcBorders>
              <w:top w:val="single" w:sz="4" w:space="0" w:color="365F91"/>
              <w:bottom w:val="single" w:sz="4" w:space="0" w:color="365F91"/>
            </w:tcBorders>
            <w:shd w:val="clear" w:color="auto" w:fill="auto"/>
          </w:tcPr>
          <w:p w14:paraId="17266A24" w14:textId="77777777" w:rsidR="000E7C76" w:rsidRPr="00256982" w:rsidRDefault="000E7C76" w:rsidP="000E7C76">
            <w:pPr>
              <w:pStyle w:val="TableText"/>
              <w:keepNext/>
              <w:keepLines/>
              <w:spacing w:before="50" w:after="50"/>
              <w:jc w:val="right"/>
              <w:rPr>
                <w:szCs w:val="22"/>
              </w:rPr>
            </w:pPr>
            <w:r w:rsidRPr="00256982">
              <w:t>2,958</w:t>
            </w:r>
          </w:p>
        </w:tc>
        <w:tc>
          <w:tcPr>
            <w:tcW w:w="1807" w:type="dxa"/>
            <w:tcBorders>
              <w:top w:val="single" w:sz="4" w:space="0" w:color="365F91"/>
              <w:bottom w:val="single" w:sz="4" w:space="0" w:color="365F91"/>
            </w:tcBorders>
            <w:shd w:val="clear" w:color="auto" w:fill="auto"/>
          </w:tcPr>
          <w:p w14:paraId="37C29D41" w14:textId="22872B04" w:rsidR="000E7C76" w:rsidRPr="00256982" w:rsidRDefault="000E7C76" w:rsidP="00AA394E">
            <w:pPr>
              <w:pStyle w:val="TableText"/>
              <w:keepNext/>
              <w:keepLines/>
              <w:spacing w:before="50" w:after="50"/>
              <w:jc w:val="right"/>
              <w:rPr>
                <w:szCs w:val="22"/>
              </w:rPr>
            </w:pPr>
            <w:r w:rsidRPr="00256982">
              <w:t>–</w:t>
            </w:r>
            <w:r w:rsidR="00AA394E">
              <w:t>31.2</w:t>
            </w:r>
            <w:r w:rsidRPr="00256982">
              <w:t xml:space="preserve"> </w:t>
            </w:r>
          </w:p>
        </w:tc>
      </w:tr>
      <w:tr w:rsidR="000E7C76" w:rsidRPr="00256982" w14:paraId="7E1B658A" w14:textId="77777777" w:rsidTr="000E7C76">
        <w:tc>
          <w:tcPr>
            <w:tcW w:w="3400" w:type="dxa"/>
            <w:tcBorders>
              <w:top w:val="single" w:sz="4" w:space="0" w:color="365F91"/>
            </w:tcBorders>
            <w:shd w:val="clear" w:color="auto" w:fill="auto"/>
            <w:vAlign w:val="center"/>
          </w:tcPr>
          <w:p w14:paraId="6193A06E" w14:textId="77777777" w:rsidR="000E7C76" w:rsidRPr="00256982" w:rsidRDefault="000E7C76" w:rsidP="000E7C76">
            <w:pPr>
              <w:pStyle w:val="TableText"/>
              <w:spacing w:before="50" w:after="50"/>
              <w:rPr>
                <w:bCs/>
                <w:szCs w:val="22"/>
              </w:rPr>
            </w:pPr>
            <w:r w:rsidRPr="00256982">
              <w:rPr>
                <w:bCs/>
                <w:szCs w:val="22"/>
              </w:rPr>
              <w:t>Deforestation</w:t>
            </w:r>
          </w:p>
        </w:tc>
        <w:tc>
          <w:tcPr>
            <w:tcW w:w="1760" w:type="dxa"/>
            <w:gridSpan w:val="2"/>
            <w:tcBorders>
              <w:top w:val="single" w:sz="4" w:space="0" w:color="365F91"/>
            </w:tcBorders>
            <w:shd w:val="clear" w:color="auto" w:fill="auto"/>
          </w:tcPr>
          <w:p w14:paraId="777E77AC" w14:textId="77777777" w:rsidR="000E7C76" w:rsidRPr="00256982" w:rsidRDefault="000E7C76" w:rsidP="000E7C76">
            <w:pPr>
              <w:pStyle w:val="TableText"/>
              <w:keepNext/>
              <w:keepLines/>
              <w:spacing w:before="50" w:after="50"/>
              <w:jc w:val="right"/>
              <w:rPr>
                <w:szCs w:val="22"/>
              </w:rPr>
            </w:pPr>
          </w:p>
        </w:tc>
        <w:tc>
          <w:tcPr>
            <w:tcW w:w="1538" w:type="dxa"/>
            <w:tcBorders>
              <w:top w:val="single" w:sz="4" w:space="0" w:color="365F91"/>
            </w:tcBorders>
            <w:shd w:val="clear" w:color="auto" w:fill="auto"/>
          </w:tcPr>
          <w:p w14:paraId="49C1E7E9" w14:textId="77777777" w:rsidR="000E7C76" w:rsidRPr="00256982" w:rsidRDefault="000E7C76" w:rsidP="000E7C76">
            <w:pPr>
              <w:pStyle w:val="TableText"/>
              <w:keepNext/>
              <w:keepLines/>
              <w:spacing w:before="50" w:after="50"/>
              <w:jc w:val="right"/>
              <w:rPr>
                <w:szCs w:val="22"/>
              </w:rPr>
            </w:pPr>
          </w:p>
        </w:tc>
        <w:tc>
          <w:tcPr>
            <w:tcW w:w="1807" w:type="dxa"/>
            <w:tcBorders>
              <w:top w:val="single" w:sz="4" w:space="0" w:color="365F91"/>
            </w:tcBorders>
            <w:shd w:val="clear" w:color="auto" w:fill="auto"/>
          </w:tcPr>
          <w:p w14:paraId="2EEABB2C" w14:textId="77777777" w:rsidR="000E7C76" w:rsidRPr="00256982" w:rsidRDefault="000E7C76" w:rsidP="000E7C76">
            <w:pPr>
              <w:pStyle w:val="TableText"/>
              <w:keepNext/>
              <w:keepLines/>
              <w:spacing w:before="50" w:after="50"/>
              <w:jc w:val="right"/>
              <w:rPr>
                <w:szCs w:val="22"/>
              </w:rPr>
            </w:pPr>
          </w:p>
        </w:tc>
      </w:tr>
      <w:tr w:rsidR="000E7C76" w:rsidRPr="00256982" w14:paraId="5CF6BD8B" w14:textId="77777777" w:rsidTr="000E7C76">
        <w:tc>
          <w:tcPr>
            <w:tcW w:w="3400" w:type="dxa"/>
            <w:tcBorders>
              <w:bottom w:val="single" w:sz="4" w:space="0" w:color="365F91"/>
            </w:tcBorders>
            <w:shd w:val="clear" w:color="auto" w:fill="auto"/>
            <w:vAlign w:val="center"/>
          </w:tcPr>
          <w:p w14:paraId="7C13682C" w14:textId="77777777" w:rsidR="000E7C76" w:rsidRPr="00256982" w:rsidRDefault="000E7C76" w:rsidP="000E7C76">
            <w:pPr>
              <w:pStyle w:val="TableText"/>
              <w:spacing w:before="50" w:after="50"/>
              <w:ind w:left="369"/>
              <w:rPr>
                <w:bCs/>
                <w:szCs w:val="22"/>
              </w:rPr>
            </w:pPr>
            <w:r w:rsidRPr="00256982">
              <w:rPr>
                <w:bCs/>
                <w:szCs w:val="22"/>
              </w:rPr>
              <w:t>Pre-1990 natural forest</w:t>
            </w:r>
          </w:p>
        </w:tc>
        <w:tc>
          <w:tcPr>
            <w:tcW w:w="1760" w:type="dxa"/>
            <w:gridSpan w:val="2"/>
            <w:tcBorders>
              <w:bottom w:val="single" w:sz="4" w:space="0" w:color="365F91"/>
            </w:tcBorders>
            <w:shd w:val="clear" w:color="auto" w:fill="auto"/>
          </w:tcPr>
          <w:p w14:paraId="0F9068BB" w14:textId="77777777" w:rsidR="000E7C76" w:rsidRPr="00256982" w:rsidRDefault="000E7C76" w:rsidP="000E7C76">
            <w:pPr>
              <w:pStyle w:val="TableText"/>
              <w:keepNext/>
              <w:keepLines/>
              <w:spacing w:before="50" w:after="50"/>
              <w:jc w:val="right"/>
              <w:rPr>
                <w:szCs w:val="22"/>
              </w:rPr>
            </w:pPr>
            <w:r w:rsidRPr="00256982">
              <w:t>874</w:t>
            </w:r>
          </w:p>
        </w:tc>
        <w:tc>
          <w:tcPr>
            <w:tcW w:w="1538" w:type="dxa"/>
            <w:tcBorders>
              <w:bottom w:val="single" w:sz="4" w:space="0" w:color="365F91"/>
            </w:tcBorders>
            <w:shd w:val="clear" w:color="auto" w:fill="auto"/>
          </w:tcPr>
          <w:p w14:paraId="320E9471" w14:textId="77777777" w:rsidR="000E7C76" w:rsidRPr="00256982" w:rsidRDefault="000E7C76" w:rsidP="000E7C76">
            <w:pPr>
              <w:pStyle w:val="TableText"/>
              <w:keepNext/>
              <w:keepLines/>
              <w:spacing w:before="50" w:after="50"/>
              <w:jc w:val="right"/>
              <w:rPr>
                <w:szCs w:val="22"/>
              </w:rPr>
            </w:pPr>
            <w:r w:rsidRPr="00256982">
              <w:t xml:space="preserve">434 </w:t>
            </w:r>
          </w:p>
        </w:tc>
        <w:tc>
          <w:tcPr>
            <w:tcW w:w="1807" w:type="dxa"/>
            <w:tcBorders>
              <w:bottom w:val="single" w:sz="4" w:space="0" w:color="365F91"/>
            </w:tcBorders>
            <w:shd w:val="clear" w:color="auto" w:fill="auto"/>
          </w:tcPr>
          <w:p w14:paraId="746189F7" w14:textId="77777777" w:rsidR="000E7C76" w:rsidRPr="00256982" w:rsidRDefault="000E7C76" w:rsidP="000E7C76">
            <w:pPr>
              <w:pStyle w:val="TableText"/>
              <w:keepNext/>
              <w:keepLines/>
              <w:spacing w:before="50" w:after="50"/>
              <w:jc w:val="right"/>
              <w:rPr>
                <w:szCs w:val="22"/>
              </w:rPr>
            </w:pPr>
            <w:r w:rsidRPr="00256982">
              <w:t xml:space="preserve">–50.3 </w:t>
            </w:r>
          </w:p>
        </w:tc>
      </w:tr>
      <w:tr w:rsidR="000E7C76" w:rsidRPr="00256982" w14:paraId="7677D7F7" w14:textId="77777777" w:rsidTr="000E7C76">
        <w:tc>
          <w:tcPr>
            <w:tcW w:w="3400" w:type="dxa"/>
            <w:tcBorders>
              <w:top w:val="single" w:sz="4" w:space="0" w:color="365F91"/>
              <w:bottom w:val="single" w:sz="4" w:space="0" w:color="365F91"/>
            </w:tcBorders>
            <w:shd w:val="clear" w:color="auto" w:fill="auto"/>
            <w:vAlign w:val="center"/>
          </w:tcPr>
          <w:p w14:paraId="00D25E3C" w14:textId="77777777" w:rsidR="000E7C76" w:rsidRPr="00256982" w:rsidRDefault="000E7C76" w:rsidP="000E7C76">
            <w:pPr>
              <w:pStyle w:val="TableText"/>
              <w:spacing w:before="50" w:after="50"/>
              <w:ind w:left="369"/>
              <w:rPr>
                <w:bCs/>
                <w:szCs w:val="22"/>
              </w:rPr>
            </w:pPr>
            <w:r w:rsidRPr="00256982">
              <w:rPr>
                <w:bCs/>
                <w:szCs w:val="22"/>
              </w:rPr>
              <w:t>Pre-1990 planted forest</w:t>
            </w:r>
          </w:p>
        </w:tc>
        <w:tc>
          <w:tcPr>
            <w:tcW w:w="1760" w:type="dxa"/>
            <w:gridSpan w:val="2"/>
            <w:tcBorders>
              <w:top w:val="single" w:sz="4" w:space="0" w:color="365F91"/>
              <w:bottom w:val="single" w:sz="4" w:space="0" w:color="365F91"/>
            </w:tcBorders>
            <w:shd w:val="clear" w:color="auto" w:fill="auto"/>
          </w:tcPr>
          <w:p w14:paraId="2175C405" w14:textId="77777777" w:rsidR="000E7C76" w:rsidRPr="00256982" w:rsidRDefault="000E7C76" w:rsidP="000E7C76">
            <w:pPr>
              <w:pStyle w:val="TableText"/>
              <w:keepNext/>
              <w:keepLines/>
              <w:spacing w:before="50" w:after="50"/>
              <w:jc w:val="right"/>
              <w:rPr>
                <w:szCs w:val="22"/>
              </w:rPr>
            </w:pPr>
            <w:r w:rsidRPr="00256982">
              <w:t>3,524</w:t>
            </w:r>
          </w:p>
        </w:tc>
        <w:tc>
          <w:tcPr>
            <w:tcW w:w="1538" w:type="dxa"/>
            <w:tcBorders>
              <w:top w:val="single" w:sz="4" w:space="0" w:color="365F91"/>
              <w:bottom w:val="single" w:sz="4" w:space="0" w:color="365F91"/>
            </w:tcBorders>
            <w:shd w:val="clear" w:color="auto" w:fill="auto"/>
          </w:tcPr>
          <w:p w14:paraId="3DEDAB57" w14:textId="77777777" w:rsidR="000E7C76" w:rsidRPr="00256982" w:rsidRDefault="000E7C76" w:rsidP="000E7C76">
            <w:pPr>
              <w:pStyle w:val="TableText"/>
              <w:keepNext/>
              <w:keepLines/>
              <w:spacing w:before="50" w:after="50"/>
              <w:jc w:val="right"/>
              <w:rPr>
                <w:szCs w:val="22"/>
              </w:rPr>
            </w:pPr>
            <w:r w:rsidRPr="00256982">
              <w:t xml:space="preserve">3,470 </w:t>
            </w:r>
          </w:p>
        </w:tc>
        <w:tc>
          <w:tcPr>
            <w:tcW w:w="1807" w:type="dxa"/>
            <w:tcBorders>
              <w:top w:val="single" w:sz="4" w:space="0" w:color="365F91"/>
              <w:bottom w:val="single" w:sz="4" w:space="0" w:color="365F91"/>
            </w:tcBorders>
            <w:shd w:val="clear" w:color="auto" w:fill="auto"/>
          </w:tcPr>
          <w:p w14:paraId="61D2FE6F" w14:textId="77777777" w:rsidR="000E7C76" w:rsidRPr="00256982" w:rsidRDefault="000E7C76" w:rsidP="000E7C76">
            <w:pPr>
              <w:pStyle w:val="TableText"/>
              <w:keepNext/>
              <w:keepLines/>
              <w:spacing w:before="50" w:after="50"/>
              <w:jc w:val="right"/>
              <w:rPr>
                <w:szCs w:val="22"/>
              </w:rPr>
            </w:pPr>
            <w:r w:rsidRPr="00256982">
              <w:t xml:space="preserve">–1.5 </w:t>
            </w:r>
          </w:p>
        </w:tc>
      </w:tr>
      <w:tr w:rsidR="000E7C76" w:rsidRPr="00256982" w14:paraId="5D2E55C1" w14:textId="77777777" w:rsidTr="000E7C76">
        <w:tc>
          <w:tcPr>
            <w:tcW w:w="3400" w:type="dxa"/>
            <w:tcBorders>
              <w:top w:val="single" w:sz="4" w:space="0" w:color="365F91"/>
              <w:bottom w:val="single" w:sz="4" w:space="0" w:color="365F91"/>
            </w:tcBorders>
            <w:shd w:val="clear" w:color="auto" w:fill="auto"/>
            <w:vAlign w:val="center"/>
          </w:tcPr>
          <w:p w14:paraId="6EA5114B" w14:textId="77777777" w:rsidR="000E7C76" w:rsidRPr="00256982" w:rsidRDefault="000E7C76" w:rsidP="000E7C76">
            <w:pPr>
              <w:pStyle w:val="TableText"/>
              <w:spacing w:before="50" w:after="50"/>
              <w:ind w:left="369"/>
              <w:rPr>
                <w:bCs/>
                <w:szCs w:val="22"/>
              </w:rPr>
            </w:pPr>
            <w:r w:rsidRPr="00256982">
              <w:rPr>
                <w:bCs/>
                <w:szCs w:val="22"/>
              </w:rPr>
              <w:t>Post-1989 forest</w:t>
            </w:r>
          </w:p>
        </w:tc>
        <w:tc>
          <w:tcPr>
            <w:tcW w:w="1760" w:type="dxa"/>
            <w:gridSpan w:val="2"/>
            <w:tcBorders>
              <w:top w:val="single" w:sz="4" w:space="0" w:color="365F91"/>
              <w:bottom w:val="single" w:sz="4" w:space="0" w:color="365F91"/>
            </w:tcBorders>
            <w:shd w:val="clear" w:color="auto" w:fill="auto"/>
          </w:tcPr>
          <w:p w14:paraId="4D95601C" w14:textId="77777777" w:rsidR="000E7C76" w:rsidRPr="00256982" w:rsidRDefault="000E7C76" w:rsidP="000E7C76">
            <w:pPr>
              <w:pStyle w:val="TableText"/>
              <w:keepNext/>
              <w:keepLines/>
              <w:spacing w:before="50" w:after="50"/>
              <w:jc w:val="right"/>
              <w:rPr>
                <w:szCs w:val="22"/>
              </w:rPr>
            </w:pPr>
            <w:r w:rsidRPr="00256982">
              <w:t>547</w:t>
            </w:r>
          </w:p>
        </w:tc>
        <w:tc>
          <w:tcPr>
            <w:tcW w:w="1538" w:type="dxa"/>
            <w:tcBorders>
              <w:top w:val="single" w:sz="4" w:space="0" w:color="365F91"/>
              <w:bottom w:val="single" w:sz="4" w:space="0" w:color="365F91"/>
            </w:tcBorders>
            <w:shd w:val="clear" w:color="auto" w:fill="auto"/>
          </w:tcPr>
          <w:p w14:paraId="7694E15E" w14:textId="77777777" w:rsidR="000E7C76" w:rsidRPr="00256982" w:rsidRDefault="000E7C76" w:rsidP="000E7C76">
            <w:pPr>
              <w:pStyle w:val="TableText"/>
              <w:keepNext/>
              <w:keepLines/>
              <w:spacing w:before="50" w:after="50"/>
              <w:jc w:val="right"/>
              <w:rPr>
                <w:szCs w:val="22"/>
              </w:rPr>
            </w:pPr>
            <w:r w:rsidRPr="00256982">
              <w:t xml:space="preserve">1,060 </w:t>
            </w:r>
          </w:p>
        </w:tc>
        <w:tc>
          <w:tcPr>
            <w:tcW w:w="1807" w:type="dxa"/>
            <w:tcBorders>
              <w:top w:val="single" w:sz="4" w:space="0" w:color="365F91"/>
              <w:bottom w:val="single" w:sz="4" w:space="0" w:color="365F91"/>
            </w:tcBorders>
            <w:shd w:val="clear" w:color="auto" w:fill="auto"/>
          </w:tcPr>
          <w:p w14:paraId="4896D320" w14:textId="77777777" w:rsidR="000E7C76" w:rsidRPr="00256982" w:rsidRDefault="000E7C76" w:rsidP="000E7C76">
            <w:pPr>
              <w:pStyle w:val="TableText"/>
              <w:keepNext/>
              <w:keepLines/>
              <w:spacing w:before="50" w:after="50"/>
              <w:jc w:val="right"/>
              <w:rPr>
                <w:szCs w:val="22"/>
              </w:rPr>
            </w:pPr>
            <w:r w:rsidRPr="00256982">
              <w:t xml:space="preserve">94.0 </w:t>
            </w:r>
          </w:p>
        </w:tc>
      </w:tr>
    </w:tbl>
    <w:p w14:paraId="559CB2DD" w14:textId="77777777" w:rsidR="000E7C76" w:rsidRPr="00256982" w:rsidRDefault="000E7C76" w:rsidP="000E7C76">
      <w:pPr>
        <w:pStyle w:val="Heading5"/>
        <w:spacing w:before="360"/>
      </w:pPr>
      <w:r w:rsidRPr="00256982">
        <w:t>Emission factors</w:t>
      </w:r>
    </w:p>
    <w:p w14:paraId="7786BBBF" w14:textId="77777777" w:rsidR="000E7C76" w:rsidRPr="00256982" w:rsidRDefault="000E7C76" w:rsidP="000E7C76">
      <w:pPr>
        <w:pStyle w:val="BodyText"/>
      </w:pPr>
      <w:r w:rsidRPr="00256982">
        <w:t xml:space="preserve">The post-1989 planted forest yield table has been revised for the 2019 submission. The revised yield table is based on two complete inventories of post-1989 planted forest permanent sample plots and a partial re-measure in 2016 and 2017. The analysis of the data collected has provided a plot-based estimate of carbon stock and mean carbon density within this forest type, and is further described in section 6.4.2. </w:t>
      </w:r>
    </w:p>
    <w:p w14:paraId="06DD8B12" w14:textId="77777777" w:rsidR="000E7C76" w:rsidRPr="00256982" w:rsidRDefault="000E7C76" w:rsidP="000E7C76">
      <w:pPr>
        <w:pStyle w:val="Table"/>
        <w:keepLines/>
      </w:pPr>
      <w:bookmarkStart w:id="2759" w:name="_Toc522010664"/>
      <w:bookmarkStart w:id="2760" w:name="_Toc5269635"/>
      <w:r w:rsidRPr="00256982">
        <w:t>Table 11.4.4</w:t>
      </w:r>
      <w:r w:rsidRPr="00256982">
        <w:tab/>
        <w:t>Recalculations of New Zealand’s total net emissions estimates from 2013</w:t>
      </w:r>
      <w:r w:rsidRPr="00256982">
        <w:br/>
        <w:t>under Article 3.3 and Article 3.4 of the Kyoto Protocol</w:t>
      </w:r>
      <w:bookmarkEnd w:id="2759"/>
      <w:bookmarkEnd w:id="2760"/>
    </w:p>
    <w:tbl>
      <w:tblPr>
        <w:tblW w:w="8505" w:type="dxa"/>
        <w:tblInd w:w="108" w:type="dxa"/>
        <w:tblLook w:val="04A0" w:firstRow="1" w:lastRow="0" w:firstColumn="1" w:lastColumn="0" w:noHBand="0" w:noVBand="1"/>
      </w:tblPr>
      <w:tblGrid>
        <w:gridCol w:w="2601"/>
        <w:gridCol w:w="1967"/>
        <w:gridCol w:w="1819"/>
        <w:gridCol w:w="2118"/>
      </w:tblGrid>
      <w:tr w:rsidR="000E7C76" w:rsidRPr="00256982" w14:paraId="6E72AE5F" w14:textId="77777777" w:rsidTr="000E7C76">
        <w:tc>
          <w:tcPr>
            <w:tcW w:w="2601" w:type="dxa"/>
            <w:vMerge w:val="restart"/>
            <w:tcBorders>
              <w:top w:val="single" w:sz="8" w:space="0" w:color="365F91"/>
              <w:left w:val="nil"/>
              <w:bottom w:val="nil"/>
              <w:right w:val="nil"/>
            </w:tcBorders>
            <w:shd w:val="clear" w:color="000000" w:fill="365F91"/>
            <w:vAlign w:val="bottom"/>
            <w:hideMark/>
          </w:tcPr>
          <w:p w14:paraId="7C2CEE9A" w14:textId="77777777" w:rsidR="000E7C76" w:rsidRPr="00256982" w:rsidRDefault="000E7C76" w:rsidP="000E7C76">
            <w:pPr>
              <w:pStyle w:val="TableTextBold"/>
              <w:spacing w:before="50" w:after="50"/>
              <w:jc w:val="center"/>
              <w:rPr>
                <w:noProof w:val="0"/>
                <w:color w:val="FFFFFF"/>
                <w:szCs w:val="16"/>
                <w:lang w:eastAsia="en-NZ"/>
              </w:rPr>
            </w:pPr>
            <w:r w:rsidRPr="00256982">
              <w:rPr>
                <w:noProof w:val="0"/>
                <w:color w:val="FFFFFF"/>
                <w:lang w:eastAsia="en-NZ"/>
              </w:rPr>
              <w:t>Activities</w:t>
            </w:r>
          </w:p>
        </w:tc>
        <w:tc>
          <w:tcPr>
            <w:tcW w:w="3786" w:type="dxa"/>
            <w:gridSpan w:val="2"/>
            <w:tcBorders>
              <w:top w:val="single" w:sz="8" w:space="0" w:color="365F91"/>
              <w:left w:val="nil"/>
              <w:right w:val="nil"/>
            </w:tcBorders>
            <w:shd w:val="clear" w:color="000000" w:fill="365F91"/>
            <w:vAlign w:val="bottom"/>
            <w:hideMark/>
          </w:tcPr>
          <w:p w14:paraId="62CA8B92" w14:textId="77777777" w:rsidR="000E7C76" w:rsidRPr="00256982" w:rsidRDefault="000E7C76" w:rsidP="000E7C76">
            <w:pPr>
              <w:pStyle w:val="TableTextBold"/>
              <w:spacing w:before="50" w:after="50"/>
              <w:jc w:val="center"/>
              <w:rPr>
                <w:noProof w:val="0"/>
                <w:color w:val="FFFFFF"/>
                <w:szCs w:val="16"/>
                <w:lang w:eastAsia="en-NZ"/>
              </w:rPr>
            </w:pPr>
            <w:r w:rsidRPr="00256982">
              <w:rPr>
                <w:noProof w:val="0"/>
                <w:color w:val="FFFFFF"/>
                <w:szCs w:val="16"/>
                <w:lang w:eastAsia="en-NZ"/>
              </w:rPr>
              <w:t>Total net emissions 2013–16 (Gg CO</w:t>
            </w:r>
            <w:r w:rsidRPr="00256982">
              <w:rPr>
                <w:noProof w:val="0"/>
                <w:color w:val="FFFFFF"/>
                <w:szCs w:val="16"/>
                <w:vertAlign w:val="subscript"/>
                <w:lang w:eastAsia="en-NZ"/>
              </w:rPr>
              <w:t>2</w:t>
            </w:r>
            <w:r w:rsidRPr="00256982">
              <w:rPr>
                <w:noProof w:val="0"/>
                <w:color w:val="FFFFFF"/>
                <w:szCs w:val="16"/>
                <w:lang w:eastAsia="en-NZ"/>
              </w:rPr>
              <w:t>-e)</w:t>
            </w:r>
          </w:p>
        </w:tc>
        <w:tc>
          <w:tcPr>
            <w:tcW w:w="2118" w:type="dxa"/>
            <w:vMerge w:val="restart"/>
            <w:tcBorders>
              <w:top w:val="single" w:sz="8" w:space="0" w:color="365F91"/>
              <w:left w:val="nil"/>
              <w:bottom w:val="nil"/>
              <w:right w:val="nil"/>
            </w:tcBorders>
            <w:shd w:val="clear" w:color="000000" w:fill="365F91"/>
            <w:vAlign w:val="bottom"/>
            <w:hideMark/>
          </w:tcPr>
          <w:p w14:paraId="0F59432C" w14:textId="77777777" w:rsidR="000E7C76" w:rsidRPr="00256982" w:rsidRDefault="000E7C76" w:rsidP="000E7C76">
            <w:pPr>
              <w:pStyle w:val="TableTextBold"/>
              <w:spacing w:before="50" w:after="50"/>
              <w:jc w:val="right"/>
              <w:rPr>
                <w:noProof w:val="0"/>
                <w:color w:val="FFFFFF"/>
                <w:szCs w:val="16"/>
                <w:lang w:eastAsia="en-NZ"/>
              </w:rPr>
            </w:pPr>
            <w:r w:rsidRPr="00256982">
              <w:rPr>
                <w:noProof w:val="0"/>
                <w:color w:val="FFFFFF"/>
                <w:szCs w:val="16"/>
                <w:lang w:eastAsia="en-NZ"/>
              </w:rPr>
              <w:t>Change from 2018 submission (%)</w:t>
            </w:r>
          </w:p>
        </w:tc>
      </w:tr>
      <w:tr w:rsidR="000E7C76" w:rsidRPr="00256982" w14:paraId="29CEE293" w14:textId="77777777" w:rsidTr="000E7C76">
        <w:tc>
          <w:tcPr>
            <w:tcW w:w="2601" w:type="dxa"/>
            <w:vMerge/>
            <w:tcBorders>
              <w:top w:val="single" w:sz="8" w:space="0" w:color="365F91"/>
              <w:left w:val="nil"/>
              <w:bottom w:val="nil"/>
              <w:right w:val="nil"/>
            </w:tcBorders>
            <w:vAlign w:val="bottom"/>
            <w:hideMark/>
          </w:tcPr>
          <w:p w14:paraId="409865FA" w14:textId="77777777" w:rsidR="000E7C76" w:rsidRPr="00256982" w:rsidRDefault="000E7C76" w:rsidP="000E7C76">
            <w:pPr>
              <w:pStyle w:val="TableTextBold"/>
              <w:spacing w:before="50" w:after="50"/>
              <w:jc w:val="center"/>
              <w:rPr>
                <w:noProof w:val="0"/>
                <w:color w:val="FFFFFF"/>
                <w:szCs w:val="16"/>
                <w:lang w:eastAsia="en-NZ"/>
              </w:rPr>
            </w:pPr>
          </w:p>
        </w:tc>
        <w:tc>
          <w:tcPr>
            <w:tcW w:w="1967" w:type="dxa"/>
            <w:tcBorders>
              <w:top w:val="nil"/>
              <w:left w:val="nil"/>
              <w:bottom w:val="nil"/>
              <w:right w:val="nil"/>
            </w:tcBorders>
            <w:shd w:val="clear" w:color="000000" w:fill="365F91"/>
            <w:vAlign w:val="bottom"/>
            <w:hideMark/>
          </w:tcPr>
          <w:p w14:paraId="318CFE37" w14:textId="77777777" w:rsidR="000E7C76" w:rsidRPr="00256982" w:rsidRDefault="000E7C76" w:rsidP="000E7C76">
            <w:pPr>
              <w:pStyle w:val="TableTextBold"/>
              <w:spacing w:before="50" w:after="50"/>
              <w:jc w:val="right"/>
              <w:rPr>
                <w:noProof w:val="0"/>
                <w:color w:val="FFFFFF"/>
                <w:szCs w:val="16"/>
                <w:lang w:eastAsia="en-NZ"/>
              </w:rPr>
            </w:pPr>
            <w:r w:rsidRPr="00256982">
              <w:rPr>
                <w:noProof w:val="0"/>
                <w:color w:val="FFFFFF"/>
                <w:szCs w:val="16"/>
                <w:lang w:eastAsia="en-NZ"/>
              </w:rPr>
              <w:t>2018 submission</w:t>
            </w:r>
          </w:p>
        </w:tc>
        <w:tc>
          <w:tcPr>
            <w:tcW w:w="1819" w:type="dxa"/>
            <w:tcBorders>
              <w:top w:val="nil"/>
              <w:left w:val="nil"/>
              <w:bottom w:val="nil"/>
              <w:right w:val="nil"/>
            </w:tcBorders>
            <w:shd w:val="clear" w:color="000000" w:fill="365F91"/>
            <w:vAlign w:val="bottom"/>
            <w:hideMark/>
          </w:tcPr>
          <w:p w14:paraId="09014805" w14:textId="77777777" w:rsidR="000E7C76" w:rsidRPr="00256982" w:rsidRDefault="000E7C76" w:rsidP="000E7C76">
            <w:pPr>
              <w:pStyle w:val="TableTextBold"/>
              <w:spacing w:before="50" w:after="50"/>
              <w:jc w:val="right"/>
              <w:rPr>
                <w:noProof w:val="0"/>
                <w:color w:val="FFFFFF"/>
                <w:szCs w:val="16"/>
                <w:lang w:eastAsia="en-NZ"/>
              </w:rPr>
            </w:pPr>
            <w:r w:rsidRPr="00256982">
              <w:rPr>
                <w:noProof w:val="0"/>
                <w:color w:val="FFFFFF"/>
                <w:szCs w:val="16"/>
                <w:lang w:eastAsia="en-NZ"/>
              </w:rPr>
              <w:t>2019 submission</w:t>
            </w:r>
          </w:p>
        </w:tc>
        <w:tc>
          <w:tcPr>
            <w:tcW w:w="2118" w:type="dxa"/>
            <w:vMerge/>
            <w:tcBorders>
              <w:top w:val="single" w:sz="8" w:space="0" w:color="365F91"/>
              <w:left w:val="nil"/>
              <w:bottom w:val="nil"/>
              <w:right w:val="nil"/>
            </w:tcBorders>
            <w:vAlign w:val="bottom"/>
            <w:hideMark/>
          </w:tcPr>
          <w:p w14:paraId="11349899" w14:textId="77777777" w:rsidR="000E7C76" w:rsidRPr="00256982" w:rsidRDefault="000E7C76" w:rsidP="000E7C76">
            <w:pPr>
              <w:pStyle w:val="TableTextBold"/>
              <w:spacing w:before="50" w:after="50"/>
              <w:jc w:val="right"/>
              <w:rPr>
                <w:noProof w:val="0"/>
                <w:color w:val="FFFFFF"/>
                <w:szCs w:val="16"/>
                <w:lang w:eastAsia="en-NZ"/>
              </w:rPr>
            </w:pPr>
          </w:p>
        </w:tc>
      </w:tr>
      <w:tr w:rsidR="000E7C76" w:rsidRPr="00256982" w14:paraId="3CE6E94C" w14:textId="77777777" w:rsidTr="000E7C76">
        <w:tc>
          <w:tcPr>
            <w:tcW w:w="2601" w:type="dxa"/>
            <w:tcBorders>
              <w:top w:val="nil"/>
              <w:left w:val="nil"/>
              <w:bottom w:val="nil"/>
              <w:right w:val="nil"/>
            </w:tcBorders>
            <w:shd w:val="clear" w:color="auto" w:fill="auto"/>
            <w:noWrap/>
            <w:vAlign w:val="bottom"/>
            <w:hideMark/>
          </w:tcPr>
          <w:p w14:paraId="00D6F5B3" w14:textId="77777777" w:rsidR="000E7C76" w:rsidRPr="00256982" w:rsidRDefault="000E7C76" w:rsidP="000E7C76">
            <w:pPr>
              <w:pStyle w:val="TableText"/>
              <w:spacing w:before="50" w:after="50"/>
              <w:rPr>
                <w:lang w:eastAsia="en-NZ"/>
              </w:rPr>
            </w:pPr>
            <w:r w:rsidRPr="00256982">
              <w:rPr>
                <w:lang w:eastAsia="en-NZ"/>
              </w:rPr>
              <w:t>Afforestation and reforestation</w:t>
            </w:r>
          </w:p>
        </w:tc>
        <w:tc>
          <w:tcPr>
            <w:tcW w:w="1967" w:type="dxa"/>
            <w:tcBorders>
              <w:top w:val="nil"/>
              <w:left w:val="nil"/>
              <w:bottom w:val="single" w:sz="8" w:space="0" w:color="365F91"/>
              <w:right w:val="nil"/>
            </w:tcBorders>
            <w:shd w:val="clear" w:color="auto" w:fill="auto"/>
            <w:hideMark/>
          </w:tcPr>
          <w:p w14:paraId="519C94C4" w14:textId="77777777" w:rsidR="000E7C76" w:rsidRPr="00256982" w:rsidRDefault="000E7C76" w:rsidP="000E7C76">
            <w:pPr>
              <w:pStyle w:val="TableText"/>
              <w:spacing w:before="50" w:after="50"/>
              <w:jc w:val="right"/>
              <w:rPr>
                <w:lang w:eastAsia="en-NZ"/>
              </w:rPr>
            </w:pPr>
            <w:r w:rsidRPr="00256982">
              <w:t>–68,354.1</w:t>
            </w:r>
          </w:p>
        </w:tc>
        <w:tc>
          <w:tcPr>
            <w:tcW w:w="1819" w:type="dxa"/>
            <w:tcBorders>
              <w:top w:val="nil"/>
              <w:left w:val="nil"/>
              <w:bottom w:val="single" w:sz="8" w:space="0" w:color="365F91"/>
              <w:right w:val="nil"/>
            </w:tcBorders>
            <w:shd w:val="clear" w:color="auto" w:fill="auto"/>
            <w:hideMark/>
          </w:tcPr>
          <w:p w14:paraId="7F03FAA4" w14:textId="77777777" w:rsidR="000E7C76" w:rsidRPr="00256982" w:rsidRDefault="000E7C76" w:rsidP="000E7C76">
            <w:pPr>
              <w:pStyle w:val="TableText"/>
              <w:spacing w:before="50" w:after="50"/>
              <w:jc w:val="right"/>
              <w:rPr>
                <w:lang w:eastAsia="en-NZ"/>
              </w:rPr>
            </w:pPr>
            <w:r w:rsidRPr="00256982">
              <w:t>–71,410.9</w:t>
            </w:r>
          </w:p>
        </w:tc>
        <w:tc>
          <w:tcPr>
            <w:tcW w:w="2118" w:type="dxa"/>
            <w:tcBorders>
              <w:top w:val="nil"/>
              <w:left w:val="nil"/>
              <w:bottom w:val="single" w:sz="8" w:space="0" w:color="365F91"/>
              <w:right w:val="nil"/>
            </w:tcBorders>
            <w:shd w:val="clear" w:color="auto" w:fill="auto"/>
            <w:hideMark/>
          </w:tcPr>
          <w:p w14:paraId="56B37045" w14:textId="77777777" w:rsidR="000E7C76" w:rsidRPr="00256982" w:rsidRDefault="000E7C76" w:rsidP="000E7C76">
            <w:pPr>
              <w:pStyle w:val="TableText"/>
              <w:spacing w:before="50" w:after="50"/>
              <w:jc w:val="right"/>
              <w:rPr>
                <w:lang w:eastAsia="en-NZ"/>
              </w:rPr>
            </w:pPr>
            <w:r w:rsidRPr="00256982">
              <w:t>–4.5</w:t>
            </w:r>
          </w:p>
        </w:tc>
      </w:tr>
      <w:tr w:rsidR="000E7C76" w:rsidRPr="00256982" w14:paraId="406B0D75" w14:textId="77777777" w:rsidTr="000E7C76">
        <w:tc>
          <w:tcPr>
            <w:tcW w:w="2601" w:type="dxa"/>
            <w:tcBorders>
              <w:top w:val="nil"/>
              <w:left w:val="nil"/>
              <w:bottom w:val="nil"/>
              <w:right w:val="nil"/>
            </w:tcBorders>
            <w:shd w:val="clear" w:color="auto" w:fill="auto"/>
            <w:noWrap/>
            <w:vAlign w:val="bottom"/>
            <w:hideMark/>
          </w:tcPr>
          <w:p w14:paraId="0190E779" w14:textId="77777777" w:rsidR="000E7C76" w:rsidRPr="00256982" w:rsidRDefault="000E7C76" w:rsidP="000E7C76">
            <w:pPr>
              <w:pStyle w:val="TableText"/>
              <w:spacing w:before="50" w:after="50"/>
              <w:rPr>
                <w:lang w:eastAsia="en-NZ"/>
              </w:rPr>
            </w:pPr>
            <w:r w:rsidRPr="00256982">
              <w:rPr>
                <w:lang w:eastAsia="en-NZ"/>
              </w:rPr>
              <w:t>Deforestation</w:t>
            </w:r>
          </w:p>
        </w:tc>
        <w:tc>
          <w:tcPr>
            <w:tcW w:w="1967" w:type="dxa"/>
            <w:tcBorders>
              <w:top w:val="nil"/>
              <w:left w:val="nil"/>
              <w:bottom w:val="single" w:sz="8" w:space="0" w:color="365F91"/>
              <w:right w:val="nil"/>
            </w:tcBorders>
            <w:shd w:val="clear" w:color="auto" w:fill="auto"/>
            <w:hideMark/>
          </w:tcPr>
          <w:p w14:paraId="2F0CBEC9" w14:textId="77777777" w:rsidR="000E7C76" w:rsidRPr="00256982" w:rsidRDefault="000E7C76" w:rsidP="000E7C76">
            <w:pPr>
              <w:pStyle w:val="TableText"/>
              <w:spacing w:before="50" w:after="50"/>
              <w:jc w:val="right"/>
              <w:rPr>
                <w:lang w:eastAsia="en-NZ"/>
              </w:rPr>
            </w:pPr>
            <w:r w:rsidRPr="00256982">
              <w:t>18,072.2</w:t>
            </w:r>
          </w:p>
        </w:tc>
        <w:tc>
          <w:tcPr>
            <w:tcW w:w="1819" w:type="dxa"/>
            <w:tcBorders>
              <w:top w:val="nil"/>
              <w:left w:val="nil"/>
              <w:bottom w:val="single" w:sz="8" w:space="0" w:color="365F91"/>
              <w:right w:val="nil"/>
            </w:tcBorders>
            <w:shd w:val="clear" w:color="auto" w:fill="auto"/>
            <w:hideMark/>
          </w:tcPr>
          <w:p w14:paraId="16FFF6D8" w14:textId="77777777" w:rsidR="000E7C76" w:rsidRPr="00256982" w:rsidRDefault="000E7C76" w:rsidP="000E7C76">
            <w:pPr>
              <w:pStyle w:val="TableText"/>
              <w:spacing w:before="50" w:after="50"/>
              <w:jc w:val="right"/>
              <w:rPr>
                <w:lang w:eastAsia="en-NZ"/>
              </w:rPr>
            </w:pPr>
            <w:r w:rsidRPr="00256982">
              <w:t>22,561.5</w:t>
            </w:r>
          </w:p>
        </w:tc>
        <w:tc>
          <w:tcPr>
            <w:tcW w:w="2118" w:type="dxa"/>
            <w:tcBorders>
              <w:top w:val="nil"/>
              <w:left w:val="nil"/>
              <w:bottom w:val="single" w:sz="8" w:space="0" w:color="365F91"/>
              <w:right w:val="nil"/>
            </w:tcBorders>
            <w:shd w:val="clear" w:color="auto" w:fill="auto"/>
            <w:hideMark/>
          </w:tcPr>
          <w:p w14:paraId="74AD88EE" w14:textId="77777777" w:rsidR="000E7C76" w:rsidRPr="00256982" w:rsidRDefault="000E7C76" w:rsidP="000E7C76">
            <w:pPr>
              <w:pStyle w:val="TableText"/>
              <w:spacing w:before="50" w:after="50"/>
              <w:jc w:val="right"/>
              <w:rPr>
                <w:lang w:eastAsia="en-NZ"/>
              </w:rPr>
            </w:pPr>
            <w:r w:rsidRPr="00256982">
              <w:t>–24.8</w:t>
            </w:r>
          </w:p>
        </w:tc>
      </w:tr>
      <w:tr w:rsidR="000E7C76" w:rsidRPr="00256982" w14:paraId="574A5613" w14:textId="77777777" w:rsidTr="000E7C76">
        <w:tc>
          <w:tcPr>
            <w:tcW w:w="2601" w:type="dxa"/>
            <w:tcBorders>
              <w:top w:val="nil"/>
              <w:left w:val="nil"/>
              <w:bottom w:val="single" w:sz="8" w:space="0" w:color="365F91"/>
              <w:right w:val="nil"/>
            </w:tcBorders>
            <w:shd w:val="clear" w:color="auto" w:fill="auto"/>
            <w:vAlign w:val="center"/>
            <w:hideMark/>
          </w:tcPr>
          <w:p w14:paraId="65F00E74" w14:textId="77777777" w:rsidR="000E7C76" w:rsidRPr="00256982" w:rsidRDefault="000E7C76" w:rsidP="000E7C76">
            <w:pPr>
              <w:pStyle w:val="TableText"/>
              <w:spacing w:before="50" w:after="50"/>
              <w:rPr>
                <w:lang w:eastAsia="en-NZ"/>
              </w:rPr>
            </w:pPr>
            <w:r w:rsidRPr="00256982">
              <w:rPr>
                <w:lang w:eastAsia="en-NZ"/>
              </w:rPr>
              <w:t>Forest management</w:t>
            </w:r>
          </w:p>
        </w:tc>
        <w:tc>
          <w:tcPr>
            <w:tcW w:w="1967" w:type="dxa"/>
            <w:tcBorders>
              <w:top w:val="nil"/>
              <w:left w:val="nil"/>
              <w:bottom w:val="single" w:sz="8" w:space="0" w:color="365F91"/>
              <w:right w:val="nil"/>
            </w:tcBorders>
            <w:shd w:val="clear" w:color="auto" w:fill="auto"/>
            <w:hideMark/>
          </w:tcPr>
          <w:p w14:paraId="456766E2" w14:textId="77777777" w:rsidR="000E7C76" w:rsidRPr="00256982" w:rsidRDefault="000E7C76" w:rsidP="000E7C76">
            <w:pPr>
              <w:pStyle w:val="TableText"/>
              <w:spacing w:before="50" w:after="50"/>
              <w:jc w:val="right"/>
              <w:rPr>
                <w:lang w:eastAsia="en-NZ"/>
              </w:rPr>
            </w:pPr>
            <w:r w:rsidRPr="00256982">
              <w:t>–75,260.0</w:t>
            </w:r>
          </w:p>
        </w:tc>
        <w:tc>
          <w:tcPr>
            <w:tcW w:w="1819" w:type="dxa"/>
            <w:tcBorders>
              <w:top w:val="nil"/>
              <w:left w:val="nil"/>
              <w:bottom w:val="single" w:sz="8" w:space="0" w:color="365F91"/>
              <w:right w:val="nil"/>
            </w:tcBorders>
            <w:shd w:val="clear" w:color="auto" w:fill="auto"/>
            <w:hideMark/>
          </w:tcPr>
          <w:p w14:paraId="2AE2D7C6" w14:textId="77777777" w:rsidR="000E7C76" w:rsidRPr="00256982" w:rsidRDefault="000E7C76" w:rsidP="000E7C76">
            <w:pPr>
              <w:pStyle w:val="TableText"/>
              <w:spacing w:before="50" w:after="50"/>
              <w:jc w:val="right"/>
              <w:rPr>
                <w:lang w:eastAsia="en-NZ"/>
              </w:rPr>
            </w:pPr>
            <w:r w:rsidRPr="00256982">
              <w:t>–74,948.4</w:t>
            </w:r>
          </w:p>
        </w:tc>
        <w:tc>
          <w:tcPr>
            <w:tcW w:w="2118" w:type="dxa"/>
            <w:tcBorders>
              <w:top w:val="nil"/>
              <w:left w:val="nil"/>
              <w:bottom w:val="single" w:sz="8" w:space="0" w:color="365F91"/>
              <w:right w:val="nil"/>
            </w:tcBorders>
            <w:shd w:val="clear" w:color="auto" w:fill="auto"/>
            <w:hideMark/>
          </w:tcPr>
          <w:p w14:paraId="5B7CA171" w14:textId="77777777" w:rsidR="000E7C76" w:rsidRPr="00256982" w:rsidRDefault="000E7C76" w:rsidP="000E7C76">
            <w:pPr>
              <w:pStyle w:val="TableText"/>
              <w:spacing w:before="50" w:after="50"/>
              <w:jc w:val="right"/>
              <w:rPr>
                <w:lang w:eastAsia="en-NZ"/>
              </w:rPr>
            </w:pPr>
            <w:r w:rsidRPr="00256982">
              <w:t>–0.4</w:t>
            </w:r>
          </w:p>
        </w:tc>
      </w:tr>
      <w:tr w:rsidR="000E7C76" w:rsidRPr="00256982" w14:paraId="33B28CE0" w14:textId="77777777" w:rsidTr="000E7C76">
        <w:tc>
          <w:tcPr>
            <w:tcW w:w="2601" w:type="dxa"/>
            <w:tcBorders>
              <w:top w:val="nil"/>
              <w:left w:val="nil"/>
              <w:bottom w:val="single" w:sz="8" w:space="0" w:color="365F91"/>
              <w:right w:val="nil"/>
            </w:tcBorders>
            <w:shd w:val="clear" w:color="auto" w:fill="auto"/>
            <w:vAlign w:val="center"/>
            <w:hideMark/>
          </w:tcPr>
          <w:p w14:paraId="59D4F190" w14:textId="77777777" w:rsidR="000E7C76" w:rsidRPr="00256982" w:rsidRDefault="000E7C76" w:rsidP="000E7C76">
            <w:pPr>
              <w:pStyle w:val="Tableboldblue"/>
              <w:spacing w:before="50" w:after="50"/>
              <w:rPr>
                <w:lang w:eastAsia="en-NZ"/>
              </w:rPr>
            </w:pPr>
            <w:r w:rsidRPr="00256982">
              <w:rPr>
                <w:lang w:eastAsia="en-NZ"/>
              </w:rPr>
              <w:t>Total</w:t>
            </w:r>
          </w:p>
        </w:tc>
        <w:tc>
          <w:tcPr>
            <w:tcW w:w="1967" w:type="dxa"/>
            <w:tcBorders>
              <w:top w:val="nil"/>
              <w:left w:val="nil"/>
              <w:bottom w:val="single" w:sz="8" w:space="0" w:color="365F91"/>
              <w:right w:val="nil"/>
            </w:tcBorders>
            <w:shd w:val="clear" w:color="auto" w:fill="auto"/>
            <w:hideMark/>
          </w:tcPr>
          <w:p w14:paraId="59441945" w14:textId="77777777" w:rsidR="000E7C76" w:rsidRPr="00256982" w:rsidRDefault="000E7C76" w:rsidP="000E7C76">
            <w:pPr>
              <w:pStyle w:val="Tableboldblue"/>
              <w:spacing w:before="50" w:after="50"/>
              <w:jc w:val="right"/>
              <w:rPr>
                <w:lang w:eastAsia="en-NZ"/>
              </w:rPr>
            </w:pPr>
            <w:r w:rsidRPr="00256982">
              <w:t>–125,541.9</w:t>
            </w:r>
          </w:p>
        </w:tc>
        <w:tc>
          <w:tcPr>
            <w:tcW w:w="1819" w:type="dxa"/>
            <w:tcBorders>
              <w:top w:val="nil"/>
              <w:left w:val="nil"/>
              <w:bottom w:val="single" w:sz="8" w:space="0" w:color="365F91"/>
              <w:right w:val="nil"/>
            </w:tcBorders>
            <w:shd w:val="clear" w:color="auto" w:fill="auto"/>
            <w:hideMark/>
          </w:tcPr>
          <w:p w14:paraId="248A64DA" w14:textId="77777777" w:rsidR="000E7C76" w:rsidRPr="00256982" w:rsidRDefault="000E7C76" w:rsidP="000E7C76">
            <w:pPr>
              <w:pStyle w:val="Tableboldblue"/>
              <w:spacing w:before="50" w:after="50"/>
              <w:jc w:val="right"/>
              <w:rPr>
                <w:lang w:eastAsia="en-NZ"/>
              </w:rPr>
            </w:pPr>
            <w:r w:rsidRPr="00256982">
              <w:t>–123,797.8</w:t>
            </w:r>
          </w:p>
        </w:tc>
        <w:tc>
          <w:tcPr>
            <w:tcW w:w="2118" w:type="dxa"/>
            <w:tcBorders>
              <w:top w:val="nil"/>
              <w:left w:val="nil"/>
              <w:bottom w:val="single" w:sz="8" w:space="0" w:color="365F91"/>
              <w:right w:val="nil"/>
            </w:tcBorders>
            <w:shd w:val="clear" w:color="auto" w:fill="auto"/>
            <w:hideMark/>
          </w:tcPr>
          <w:p w14:paraId="6C4BD18A" w14:textId="77777777" w:rsidR="000E7C76" w:rsidRPr="00256982" w:rsidRDefault="000E7C76" w:rsidP="000E7C76">
            <w:pPr>
              <w:pStyle w:val="Tableboldblue"/>
              <w:spacing w:before="50" w:after="50"/>
              <w:jc w:val="right"/>
              <w:rPr>
                <w:lang w:eastAsia="en-NZ"/>
              </w:rPr>
            </w:pPr>
            <w:r w:rsidRPr="00256982">
              <w:t>1.4</w:t>
            </w:r>
          </w:p>
        </w:tc>
      </w:tr>
    </w:tbl>
    <w:p w14:paraId="63D33D06" w14:textId="77777777" w:rsidR="000E7C76" w:rsidRPr="00256982" w:rsidRDefault="000E7C76" w:rsidP="000E7C76">
      <w:pPr>
        <w:pStyle w:val="Heading3"/>
        <w:spacing w:before="480"/>
      </w:pPr>
      <w:r w:rsidRPr="00256982">
        <w:t xml:space="preserve">11.4.4 </w:t>
      </w:r>
      <w:r w:rsidRPr="00256982">
        <w:tab/>
        <w:t>Planned improvements</w:t>
      </w:r>
    </w:p>
    <w:p w14:paraId="39D8EC3E" w14:textId="77777777" w:rsidR="000E7C76" w:rsidRPr="00256982" w:rsidRDefault="000E7C76" w:rsidP="000E7C76">
      <w:pPr>
        <w:pStyle w:val="BodyText"/>
      </w:pPr>
      <w:r w:rsidRPr="00256982">
        <w:t xml:space="preserve">The assumption that controlled burning of post-harvest residues on afforested or reforested land does not occur will be revisited in a future submission, due to the increasing harvest rate in these forests as they reach maturity. </w:t>
      </w:r>
    </w:p>
    <w:p w14:paraId="51EBD0ED" w14:textId="77777777" w:rsidR="000E7C76" w:rsidRPr="00256982" w:rsidRDefault="000E7C76" w:rsidP="000E7C76">
      <w:pPr>
        <w:pStyle w:val="BodyText"/>
      </w:pPr>
      <w:r w:rsidRPr="00256982">
        <w:t>The complete planted forest plot network (pre-1990 and post-1989) is currently being re</w:t>
      </w:r>
      <w:r w:rsidRPr="00256982">
        <w:noBreakHyphen/>
        <w:t>measured on a continuous basis (on a five-year cycle). These data are being incorporated into the inventory annually, as they become available.</w:t>
      </w:r>
    </w:p>
    <w:p w14:paraId="5EBAFC19" w14:textId="77777777" w:rsidR="000E7C76" w:rsidRPr="00256982" w:rsidRDefault="000E7C76" w:rsidP="000E7C76">
      <w:pPr>
        <w:pStyle w:val="BodyText"/>
      </w:pPr>
      <w:r w:rsidRPr="00256982">
        <w:t xml:space="preserve">The pre-1990 natural forest ground plot inventory is currently being re-measured on a continuous basis (on a 10-year cycle). These data will be analysed and incorporated into the inventory periodically, as they become available. </w:t>
      </w:r>
    </w:p>
    <w:p w14:paraId="4666296B" w14:textId="77777777" w:rsidR="000E7C76" w:rsidRPr="00256982" w:rsidRDefault="000E7C76" w:rsidP="000E7C76">
      <w:pPr>
        <w:pStyle w:val="Bullet"/>
        <w:numPr>
          <w:ilvl w:val="0"/>
          <w:numId w:val="0"/>
        </w:numPr>
      </w:pPr>
      <w:r w:rsidRPr="00256982">
        <w:t xml:space="preserve">The re-measurement of the post-1989 natural forest ground plot inventory is being undertaken in the 2018/19 field season. When the data are analysed, new emissions factors for this forest type will be available for inclusion in the 2021 submission. </w:t>
      </w:r>
    </w:p>
    <w:p w14:paraId="584FBBA5" w14:textId="77777777" w:rsidR="000E7C76" w:rsidRPr="00256982" w:rsidRDefault="000E7C76" w:rsidP="000E7C76">
      <w:pPr>
        <w:pStyle w:val="BodyText"/>
      </w:pPr>
      <w:r w:rsidRPr="00256982">
        <w:t xml:space="preserve">The NZ ETS provides an ongoing source of mapping information on forest extent and age along with information on deforestation activity and carbon equivalent forest activities. This will be used as part of a continuous improvement programme to update the 1990, 2008, 2012 and 2016 land use maps. </w:t>
      </w:r>
    </w:p>
    <w:p w14:paraId="05DE979D" w14:textId="77777777" w:rsidR="000E7C76" w:rsidRPr="00256982" w:rsidRDefault="000E7C76" w:rsidP="000E7C76">
      <w:pPr>
        <w:pStyle w:val="BodyText"/>
      </w:pPr>
      <w:r w:rsidRPr="00256982">
        <w:t>Other mapping improvements planned for the coming year include identification of exotic weed tree species (mainly wilding conifers) and the development of a methodology to determine the planting date for forest planted after 1990.</w:t>
      </w:r>
    </w:p>
    <w:p w14:paraId="476B2060" w14:textId="77777777" w:rsidR="000E7C76" w:rsidRPr="00256982" w:rsidRDefault="000E7C76" w:rsidP="000E7C76">
      <w:pPr>
        <w:pStyle w:val="Heading2"/>
      </w:pPr>
      <w:bookmarkStart w:id="2761" w:name="_Toc456179173"/>
      <w:bookmarkStart w:id="2762" w:name="_Toc481751426"/>
      <w:bookmarkStart w:id="2763" w:name="_Toc522013965"/>
      <w:bookmarkStart w:id="2764" w:name="_Toc5269409"/>
      <w:bookmarkStart w:id="2765" w:name="_Toc261513296"/>
      <w:bookmarkStart w:id="2766" w:name="_Toc261513909"/>
      <w:bookmarkStart w:id="2767" w:name="_Toc280630399"/>
      <w:r w:rsidRPr="00256982">
        <w:t xml:space="preserve">11.5 </w:t>
      </w:r>
      <w:r w:rsidRPr="00256982">
        <w:tab/>
        <w:t>Demonstration that activities apply</w:t>
      </w:r>
      <w:bookmarkEnd w:id="2761"/>
      <w:bookmarkEnd w:id="2762"/>
      <w:bookmarkEnd w:id="2763"/>
      <w:bookmarkEnd w:id="2764"/>
    </w:p>
    <w:p w14:paraId="73C5E182" w14:textId="77777777" w:rsidR="000E7C76" w:rsidRPr="00256982" w:rsidRDefault="000E7C76" w:rsidP="000E7C76">
      <w:pPr>
        <w:pStyle w:val="Heading3"/>
        <w:spacing w:before="160"/>
      </w:pPr>
      <w:r w:rsidRPr="00256982">
        <w:t xml:space="preserve">11.5.1 </w:t>
      </w:r>
      <w:r w:rsidRPr="00256982">
        <w:tab/>
        <w:t>Year of the onset of an activity</w:t>
      </w:r>
      <w:bookmarkEnd w:id="2765"/>
      <w:bookmarkEnd w:id="2766"/>
      <w:bookmarkEnd w:id="2767"/>
    </w:p>
    <w:p w14:paraId="096921E1" w14:textId="77777777" w:rsidR="000E7C76" w:rsidRPr="00256982" w:rsidRDefault="000E7C76" w:rsidP="000E7C76">
      <w:pPr>
        <w:pStyle w:val="BodyText"/>
        <w:spacing w:before="100" w:after="100"/>
      </w:pPr>
      <w:r w:rsidRPr="00256982">
        <w:t>Paragraph 18 of the annex to Decision 16/CMP.1 (UNFCCC, 2006) requires Parties to account for land use, land-use change and forestry emissions and removals from Article 3.3 activities beginning with the onset of the activity or the beginning of the commitment period, whichever is later. In practical terms, paragraph 18 means there is a need to differentiate activities that occurred between 1 January 1990 and 31 December 2007 from those after this period.</w:t>
      </w:r>
    </w:p>
    <w:p w14:paraId="21456CB6" w14:textId="77777777" w:rsidR="000E7C76" w:rsidRPr="00256982" w:rsidRDefault="000E7C76" w:rsidP="000E7C76">
      <w:pPr>
        <w:pStyle w:val="BodyText"/>
        <w:spacing w:before="100" w:after="100"/>
      </w:pPr>
      <w:r w:rsidRPr="00256982">
        <w:t xml:space="preserve">The </w:t>
      </w:r>
      <w:r w:rsidRPr="00256982">
        <w:rPr>
          <w:i/>
        </w:rPr>
        <w:t>Afforestation</w:t>
      </w:r>
      <w:r w:rsidRPr="00256982">
        <w:t xml:space="preserve"> occurring in each year is estimated from the National Exotic Forest Description survey, which includes information from the Afforestation Grant Scheme and the East Coast Forestry Project (Ministry for Primary Industries, 2017). This information ensures that the activity is attributed to the correct year of onset.</w:t>
      </w:r>
    </w:p>
    <w:p w14:paraId="7F684FE4" w14:textId="77777777" w:rsidR="000E7C76" w:rsidRPr="00256982" w:rsidRDefault="000E7C76" w:rsidP="000E7C76">
      <w:pPr>
        <w:pStyle w:val="BodyText"/>
        <w:spacing w:before="100" w:after="100"/>
      </w:pPr>
      <w:r w:rsidRPr="00256982">
        <w:t xml:space="preserve">The annual area of </w:t>
      </w:r>
      <w:r w:rsidRPr="00256982">
        <w:rPr>
          <w:i/>
          <w:spacing w:val="-2"/>
        </w:rPr>
        <w:t>Deforestation</w:t>
      </w:r>
      <w:r w:rsidRPr="00256982">
        <w:t xml:space="preserve"> reported from 2008 to 2016 is based on </w:t>
      </w:r>
      <w:r w:rsidRPr="00256982">
        <w:rPr>
          <w:spacing w:val="-2"/>
        </w:rPr>
        <w:t>deforestation</w:t>
      </w:r>
      <w:r w:rsidRPr="00256982">
        <w:t xml:space="preserve"> mapping completed in 2013, 2016 and 2018 and supported by earlier </w:t>
      </w:r>
      <w:r w:rsidRPr="00256982">
        <w:rPr>
          <w:spacing w:val="-2"/>
        </w:rPr>
        <w:t>deforestation</w:t>
      </w:r>
      <w:r w:rsidRPr="00256982">
        <w:t xml:space="preserve"> mapping activities. Deforestation was confirmed using oblique and vertical aerial photography, and the year of onset (destocking year) was determined using annual satellite imagery. Therefore, the year of onset of the activity was clearly defined. Because no further </w:t>
      </w:r>
      <w:r w:rsidRPr="00256982">
        <w:rPr>
          <w:spacing w:val="-2"/>
        </w:rPr>
        <w:t>deforestation</w:t>
      </w:r>
      <w:r w:rsidRPr="00256982">
        <w:t xml:space="preserve"> mapping was carried out for 2017 activity, the total deforestation area for this year has been estimated as described in chapter 6, section 6.2.3.</w:t>
      </w:r>
    </w:p>
    <w:p w14:paraId="5FCDCC7F" w14:textId="77777777" w:rsidR="000E7C76" w:rsidRPr="00256982" w:rsidRDefault="000E7C76" w:rsidP="000E7C76">
      <w:pPr>
        <w:pStyle w:val="BodyText"/>
        <w:spacing w:before="100" w:after="100"/>
        <w:rPr>
          <w:spacing w:val="-2"/>
        </w:rPr>
      </w:pPr>
      <w:r w:rsidRPr="00256982">
        <w:rPr>
          <w:spacing w:val="-2"/>
        </w:rPr>
        <w:t>It can take up to four years following the loss of forest cover to determine that replanting or revegetation has occurred. This is because sometimes the landowner does not replant trees immediately but leaves the land fallow for a period of time. The process for monitoring this unclassified deforestation is described in section 11.5.4. When deforestation is finally confirmed, the deforestation is attributed to the year when forest cover was removed, regardless of whether that forest loss occurred in a previous commitment period.</w:t>
      </w:r>
    </w:p>
    <w:p w14:paraId="752B08EA" w14:textId="77777777" w:rsidR="000E7C76" w:rsidRPr="00256982" w:rsidRDefault="000E7C76" w:rsidP="000E7C76">
      <w:pPr>
        <w:pStyle w:val="Heading3"/>
        <w:spacing w:before="240"/>
      </w:pPr>
      <w:bookmarkStart w:id="2768" w:name="_Toc261513299"/>
      <w:bookmarkStart w:id="2769" w:name="_Toc261513912"/>
      <w:bookmarkStart w:id="2770" w:name="_Toc280630402"/>
      <w:bookmarkStart w:id="2771" w:name="_Toc377043726"/>
      <w:bookmarkStart w:id="2772" w:name="_Toc400967264"/>
      <w:r w:rsidRPr="00256982">
        <w:t xml:space="preserve">11.5.2 </w:t>
      </w:r>
      <w:r w:rsidRPr="00256982">
        <w:tab/>
        <w:t>Distinction between harvesting and deforestation</w:t>
      </w:r>
      <w:bookmarkEnd w:id="2768"/>
      <w:bookmarkEnd w:id="2769"/>
      <w:bookmarkEnd w:id="2770"/>
      <w:bookmarkEnd w:id="2771"/>
      <w:bookmarkEnd w:id="2772"/>
    </w:p>
    <w:p w14:paraId="0F01DE9D" w14:textId="77777777" w:rsidR="000E7C76" w:rsidRPr="00256982" w:rsidRDefault="000E7C76" w:rsidP="000E7C76">
      <w:pPr>
        <w:pStyle w:val="BodyText"/>
        <w:spacing w:before="100" w:after="100"/>
      </w:pPr>
      <w:r w:rsidRPr="00256982">
        <w:t>Paragraph 5 of the annex to Decision 16/CMP.1 (UNFCCC, 2006) requires that countries provide information on how harvesting or forest disturbance that is followed by the re</w:t>
      </w:r>
      <w:r w:rsidRPr="00256982">
        <w:noBreakHyphen/>
        <w:t xml:space="preserve">establishment of forest is distinguished from </w:t>
      </w:r>
      <w:r w:rsidRPr="00256982">
        <w:rPr>
          <w:i/>
          <w:spacing w:val="-2"/>
        </w:rPr>
        <w:t>Deforestation</w:t>
      </w:r>
      <w:r w:rsidRPr="00256982">
        <w:t>.</w:t>
      </w:r>
    </w:p>
    <w:p w14:paraId="55C5EC33" w14:textId="77777777" w:rsidR="000E7C76" w:rsidRPr="00256982" w:rsidRDefault="000E7C76" w:rsidP="000E7C76">
      <w:pPr>
        <w:pStyle w:val="BodyText"/>
        <w:spacing w:before="100" w:after="100"/>
      </w:pPr>
      <w:r w:rsidRPr="00256982">
        <w:t xml:space="preserve">New Zealand has used the definition of </w:t>
      </w:r>
      <w:r w:rsidRPr="00256982">
        <w:rPr>
          <w:i/>
          <w:spacing w:val="-2"/>
        </w:rPr>
        <w:t>Deforestation</w:t>
      </w:r>
      <w:r w:rsidRPr="00256982">
        <w:t xml:space="preserve"> from Decision 16/CMP.1: “the direct human-induced conversion of forested land to non-forested land” (Annex A, UNFCCC, 2006). Deforestation is different from harvesting, in that harvesting is part of usual forest management practice and involves the removal of biomass from a site followed by reforestation (replanting or natural regeneration, i.e., no change in land use).</w:t>
      </w:r>
    </w:p>
    <w:p w14:paraId="25033F17" w14:textId="77777777" w:rsidR="000E7C76" w:rsidRPr="00256982" w:rsidRDefault="000E7C76" w:rsidP="000E7C76">
      <w:pPr>
        <w:pStyle w:val="BodyText"/>
        <w:spacing w:before="100" w:after="100"/>
      </w:pPr>
      <w:r w:rsidRPr="00256982">
        <w:t xml:space="preserve">In New Zealand, temporarily unstocked or cleared areas of forest (e.g., harvested areas and areas subject to disturbances) remain designated as </w:t>
      </w:r>
      <w:r w:rsidRPr="00256982">
        <w:rPr>
          <w:i/>
        </w:rPr>
        <w:t>Forest land</w:t>
      </w:r>
      <w:r w:rsidRPr="00256982">
        <w:t xml:space="preserve"> unless there is a confirmed change in land use or if, after four years, no reforestation (replanting or regeneration) has occurred. This follows the process for determining whether land is subject to direct human-induced </w:t>
      </w:r>
      <w:r w:rsidRPr="00256982">
        <w:rPr>
          <w:spacing w:val="-2"/>
        </w:rPr>
        <w:t>deforestation</w:t>
      </w:r>
      <w:r w:rsidRPr="00256982">
        <w:t xml:space="preserve"> as set out in section 2.6.2.1 of the Kyoto Protocol Supplement (IPCC, 2014a). New Zealand has defined the expected time period between the removal of tree cover and successful natural regeneration or planting as four years. In New Zealand, the tree grower and landowner are often different people. Forest land can be temporarily unstocked for a number of years while landowners decide what to do with land after harvesting. </w:t>
      </w:r>
    </w:p>
    <w:p w14:paraId="089811AD" w14:textId="77777777" w:rsidR="000E7C76" w:rsidRPr="00256982" w:rsidRDefault="000E7C76" w:rsidP="000E7C76">
      <w:pPr>
        <w:pStyle w:val="BodyText"/>
        <w:spacing w:before="100" w:after="100"/>
      </w:pPr>
      <w:r w:rsidRPr="00256982">
        <w:t>A number of activities are carried out to determine if land-use change has occurred, including the analysis of satellite imagery and aerial photography. The use of aerial photography is described in chapter 6, section 6.2.</w:t>
      </w:r>
    </w:p>
    <w:p w14:paraId="4CEAD5CA" w14:textId="77777777" w:rsidR="000E7C76" w:rsidRPr="00256982" w:rsidRDefault="000E7C76" w:rsidP="000E7C76">
      <w:pPr>
        <w:pStyle w:val="BodyText"/>
      </w:pPr>
      <w:r w:rsidRPr="00256982">
        <w:t xml:space="preserve">Evidence from the NZ ETS is also used to confirm </w:t>
      </w:r>
      <w:r w:rsidRPr="00256982">
        <w:rPr>
          <w:i/>
          <w:spacing w:val="-2"/>
        </w:rPr>
        <w:t>Deforestation</w:t>
      </w:r>
      <w:r w:rsidRPr="00256982">
        <w:t xml:space="preserve">. Under the NZ ETS, owners of pre-1990 planted forest or post-1989 forest who are participants in the scheme are required to notify the Government of any </w:t>
      </w:r>
      <w:r w:rsidRPr="00256982">
        <w:rPr>
          <w:spacing w:val="-2"/>
        </w:rPr>
        <w:t>deforestation</w:t>
      </w:r>
      <w:r w:rsidRPr="00256982">
        <w:t xml:space="preserve"> activity (Ministry for Primary Industries, 2015d). There is a data-sharing agreement that allows for the Ministry for Primary Industries, the agency that administers forestry aspects of the NZ ETS, to provide the Ministry for the Environment with regular updates of the area of confirmed </w:t>
      </w:r>
      <w:r w:rsidRPr="00256982">
        <w:rPr>
          <w:i/>
          <w:spacing w:val="-2"/>
        </w:rPr>
        <w:t>Deforestation</w:t>
      </w:r>
      <w:r w:rsidRPr="00256982">
        <w:t>.</w:t>
      </w:r>
    </w:p>
    <w:p w14:paraId="68188C35" w14:textId="77777777" w:rsidR="000E7C76" w:rsidRPr="00256982" w:rsidRDefault="000E7C76" w:rsidP="000E7C76">
      <w:pPr>
        <w:pStyle w:val="BodyText"/>
        <w:rPr>
          <w:spacing w:val="-2"/>
        </w:rPr>
      </w:pPr>
      <w:r w:rsidRPr="00256982">
        <w:rPr>
          <w:spacing w:val="-2"/>
        </w:rPr>
        <w:t xml:space="preserve">A summary of the decision-making process for determining whether </w:t>
      </w:r>
      <w:r w:rsidRPr="00256982">
        <w:rPr>
          <w:i/>
          <w:spacing w:val="-2"/>
        </w:rPr>
        <w:t>Deforestation</w:t>
      </w:r>
      <w:r w:rsidRPr="00256982">
        <w:rPr>
          <w:spacing w:val="-2"/>
        </w:rPr>
        <w:t xml:space="preserve"> has occurred, including all sources of information, is shown in figure 11.5.1. Once a land-use change is mapped and confirmed, the </w:t>
      </w:r>
      <w:r w:rsidRPr="00256982">
        <w:rPr>
          <w:i/>
          <w:spacing w:val="-2"/>
        </w:rPr>
        <w:t>Deforestation</w:t>
      </w:r>
      <w:r w:rsidRPr="00256982">
        <w:rPr>
          <w:spacing w:val="-2"/>
        </w:rPr>
        <w:t xml:space="preserve"> emissions will be reported in the year of forest clearance.</w:t>
      </w:r>
    </w:p>
    <w:p w14:paraId="10C7C7B1" w14:textId="77777777" w:rsidR="000E7C76" w:rsidRPr="00256982" w:rsidRDefault="000E7C76" w:rsidP="000E7C76">
      <w:pPr>
        <w:pStyle w:val="Figure"/>
      </w:pPr>
      <w:bookmarkStart w:id="2773" w:name="_Toc522010715"/>
      <w:bookmarkStart w:id="2774" w:name="_Toc5269735"/>
      <w:r w:rsidRPr="00256982">
        <w:t>Figure 11.5.1</w:t>
      </w:r>
      <w:r w:rsidRPr="00256982">
        <w:tab/>
        <w:t>Verification of deforestation in New Zealand</w:t>
      </w:r>
      <w:bookmarkEnd w:id="2773"/>
      <w:bookmarkEnd w:id="2774"/>
    </w:p>
    <w:p w14:paraId="5B447D22" w14:textId="5A153973" w:rsidR="000E7C76" w:rsidRPr="00256982" w:rsidRDefault="00590491" w:rsidP="000E7C76">
      <w:pPr>
        <w:pStyle w:val="BodyText"/>
        <w:spacing w:after="0"/>
      </w:pPr>
      <w:r>
        <w:pict w14:anchorId="65DC938B">
          <v:group id="Group 6" o:spid="_x0000_s1275" style="width:420.5pt;height:292.15pt;mso-position-horizontal-relative:char;mso-position-vertical-relative:line" coordorigin="2197,4715" coordsize="8796,5577">
            <o:lock v:ext="edit" aspectratio="t"/>
            <v:group id="Group 7" o:spid="_x0000_s1276" style="position:absolute;left:4739;top:6910;width:6254;height:3226" coordorigin="3862,5489" coordsize="6254,32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wDC5zcQAAADbAAAA&#10;DwAAAAAAAAAAAAAAAACqAgAAZHJzL2Rvd25yZXYueG1sUEsFBgAAAAAEAAQA+gAAAJsDAAAAAA==&#10;">
              <o:lock v:ext="edit" aspectratio="t"/>
              <v:shape id="AutoShape 8" o:spid="_x0000_s1277" type="#_x0000_t32" style="position:absolute;left:5378;top:5489;width:0;height:63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nswNsUAAADbAAAADwAAAGRycy9kb3ducmV2LnhtbESPQWvCQBSE74X+h+UVvNWNHmyNrlIK&#10;FbF4qJGgt0f2mYRm34bdVaO/3hUEj8PMfMNM551pxImcry0rGPQTEMSF1TWXCrbZz/snCB+QNTaW&#10;ScGFPMxnry9TTLU98x+dNqEUEcI+RQVVCG0qpS8qMuj7tiWO3sE6gyFKV0rt8BzhppHDJBlJgzXH&#10;hQpb+q6o+N8cjYLd7/iYX/I1rfLBeLVHZ/w1WyjVe+u+JiACdeEZfrSXWsHHCO5f4g+Qsx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4nswNsUAAADbAAAADwAAAAAAAAAA&#10;AAAAAAChAgAAZHJzL2Rvd25yZXYueG1sUEsFBgAAAAAEAAQA+QAAAJMDAAAAAA==&#10;">
                <v:stroke endarrow="block"/>
                <o:lock v:ext="edit" aspectratio="t"/>
              </v:shape>
              <v:shape id="AutoShape 9" o:spid="_x0000_s1278" type="#_x0000_t32" style="position:absolute;left:5378;top:7005;width:0;height:122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TeVrcUAAADbAAAADwAAAGRycy9kb3ducmV2LnhtbESPQWvCQBSE7wX/w/KE3uomPdQaXUUE&#10;S7H0UC1Bb4/sMwlm34bd1UR/vVsQehxm5htmtuhNIy7kfG1ZQTpKQBAXVtdcKvjdrV/eQfiArLGx&#10;TAqu5GExHzzNMNO24x+6bEMpIoR9hgqqENpMSl9UZNCPbEscvaN1BkOUrpTaYRfhppGvSfImDdYc&#10;FypsaVVRcdqejYL91+ScX/Nv2uTpZHNAZ/xt96HU87BfTkEE6sN/+NH+1ArGY/j7En+AnN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TeVrcUAAADbAAAADwAAAAAAAAAA&#10;AAAAAAChAgAAZHJzL2Rvd25yZXYueG1sUEsFBgAAAAAEAAQA+QAAAJMDAAAAAA==&#10;">
                <v:stroke endarrow="block"/>
                <o:lock v:ext="edit" aspectratio="t"/>
              </v:shape>
              <v:shapetype id="_x0000_t109" coordsize="21600,21600" o:spt="109" path="m,l,21600r21600,l21600,xe">
                <v:stroke joinstyle="miter"/>
                <v:path gradientshapeok="t" o:connecttype="rect"/>
              </v:shapetype>
              <v:shape id="AutoShape 10" o:spid="_x0000_s1279" type="#_x0000_t109" style="position:absolute;left:7641;top:8275;width:2475;height:4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3rLncIA&#10;AADbAAAADwAAAGRycy9kb3ducmV2LnhtbERPy4rCMBTdD/gP4QpuRFMfo1KNMgxUdOFiqht31+ba&#10;Fpub0sTa+fvJQpjl4bw3u85UoqXGlZYVTMYRCOLM6pJzBZdzMlqBcB5ZY2WZFPySg92297HBWNsX&#10;/1Cb+lyEEHYxKii8r2MpXVaQQTe2NXHg7rYx6ANscqkbfIVwU8lpFC2kwZJDQ4E1fReUPdKnUTBd&#10;DdM9n5LD/HbUCX5Oru1wdlRq0O++1iA8df5f/HYftIJlGBu+hB8gt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DesudwgAAANsAAAAPAAAAAAAAAAAAAAAAAJgCAABkcnMvZG93&#10;bnJldi54bWxQSwUGAAAAAAQABAD1AAAAhwMAAAAA&#10;">
                <o:lock v:ext="edit" aspectratio="t"/>
                <v:textbox>
                  <w:txbxContent>
                    <w:p w14:paraId="1D35D10C" w14:textId="77777777" w:rsidR="00D0418C" w:rsidRPr="0034487F" w:rsidRDefault="00D0418C" w:rsidP="000E7C76">
                      <w:pPr>
                        <w:spacing w:before="40" w:after="40"/>
                        <w:jc w:val="left"/>
                        <w:rPr>
                          <w:rFonts w:ascii="Arial" w:hAnsi="Arial" w:cs="Arial"/>
                          <w:sz w:val="17"/>
                          <w:szCs w:val="17"/>
                        </w:rPr>
                      </w:pPr>
                      <w:r w:rsidRPr="0034487F">
                        <w:rPr>
                          <w:rFonts w:ascii="Arial" w:hAnsi="Arial" w:cs="Arial"/>
                          <w:sz w:val="17"/>
                          <w:szCs w:val="17"/>
                        </w:rPr>
                        <w:t>Mark area as deforested</w:t>
                      </w:r>
                    </w:p>
                  </w:txbxContent>
                </v:textbox>
              </v:shape>
              <v:shape id="AutoShape 12" o:spid="_x0000_s1280" type="#_x0000_t109" style="position:absolute;left:7626;top:7337;width:2490;height:4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ZuBsUA&#10;AADbAAAADwAAAGRycy9kb3ducmV2LnhtbESPQWvCQBSE7wX/w/KEXqRutGo1ukoRUvTgwbQXb8/s&#10;Mwlm34bsGtN/7xaEHoeZ+YZZbTpTiZYaV1pWMBpGIIgzq0vOFfx8J29zEM4ja6wsk4JfcrBZ915W&#10;GGt75yO1qc9FgLCLUUHhfR1L6bKCDLqhrYmDd7GNQR9kk0vd4D3ATSXHUTSTBksOCwXWtC0ou6Y3&#10;o2A8H6RffEh2k/NeJzgdndrB+16p1373uQThqfP/4Wd7pxV8LODvS/gBcv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Nm4GxQAAANsAAAAPAAAAAAAAAAAAAAAAAJgCAABkcnMv&#10;ZG93bnJldi54bWxQSwUGAAAAAAQABAD1AAAAigMAAAAA&#10;">
                <o:lock v:ext="edit" aspectratio="t"/>
                <v:textbox>
                  <w:txbxContent>
                    <w:p w14:paraId="3262C230" w14:textId="77777777" w:rsidR="00D0418C" w:rsidRPr="0034487F" w:rsidRDefault="00D0418C" w:rsidP="000E7C76">
                      <w:pPr>
                        <w:spacing w:before="40" w:after="40"/>
                        <w:rPr>
                          <w:rFonts w:ascii="Arial" w:hAnsi="Arial" w:cs="Arial"/>
                          <w:sz w:val="17"/>
                          <w:szCs w:val="17"/>
                        </w:rPr>
                      </w:pPr>
                      <w:r w:rsidRPr="0034487F">
                        <w:rPr>
                          <w:rFonts w:ascii="Arial" w:hAnsi="Arial" w:cs="Arial"/>
                          <w:sz w:val="17"/>
                          <w:szCs w:val="17"/>
                        </w:rPr>
                        <w:t xml:space="preserve">Mark area as </w:t>
                      </w:r>
                      <w:r>
                        <w:rPr>
                          <w:rFonts w:ascii="Arial" w:hAnsi="Arial" w:cs="Arial"/>
                          <w:sz w:val="17"/>
                          <w:szCs w:val="17"/>
                        </w:rPr>
                        <w:t>harvested</w:t>
                      </w:r>
                    </w:p>
                  </w:txbxContent>
                </v:textbox>
              </v:shape>
              <v:shape id="AutoShape 13" o:spid="_x0000_s1281" type="#_x0000_t109" style="position:absolute;left:3862;top:6232;width:2985;height:6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Nm3vMMA&#10;AADbAAAADwAAAGRycy9kb3ducmV2LnhtbERPTWuDQBC9F/IflgnkEpI1aRvEZpVQMJhDDzW59DZ1&#10;pypxZ8Xdqv333UOhx8f7Pmaz6cRIg2stK9htIxDEldUt1wpu13wTg3AeWWNnmRT8kIMsXTwcMdF2&#10;4ncaS1+LEMIuQQWN930ipasaMui2ticO3JcdDPoAh1rqAacQbjq5j6KDNNhyaGiwp9eGqnv5bRTs&#10;43V55re8ePq86Byfdx/j+vGi1Go5n15AeJr9v/jPXWgFcVgfvoQfINN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Nm3vMMAAADbAAAADwAAAAAAAAAAAAAAAACYAgAAZHJzL2Rv&#10;d25yZXYueG1sUEsFBgAAAAAEAAQA9QAAAIgDAAAAAA==&#10;">
                <o:lock v:ext="edit" aspectratio="t"/>
                <v:textbox>
                  <w:txbxContent>
                    <w:p w14:paraId="201C599B" w14:textId="77777777" w:rsidR="00D0418C" w:rsidRPr="0034487F" w:rsidRDefault="00D0418C" w:rsidP="000E7C76">
                      <w:pPr>
                        <w:spacing w:before="40" w:after="40"/>
                        <w:jc w:val="center"/>
                        <w:rPr>
                          <w:rFonts w:ascii="Arial" w:hAnsi="Arial" w:cs="Arial"/>
                          <w:sz w:val="17"/>
                          <w:szCs w:val="17"/>
                        </w:rPr>
                      </w:pPr>
                      <w:r w:rsidRPr="0034487F">
                        <w:rPr>
                          <w:rFonts w:ascii="Arial" w:hAnsi="Arial" w:cs="Arial"/>
                          <w:sz w:val="17"/>
                          <w:szCs w:val="17"/>
                        </w:rPr>
                        <w:t>Can current land use be confirmed?</w:t>
                      </w:r>
                    </w:p>
                  </w:txbxContent>
                </v:textbox>
              </v:shape>
              <v:shape id="AutoShape 14" o:spid="_x0000_s1282" type="#_x0000_t109" style="position:absolute;left:5055;top:7388;width:615;height:3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XI8scQA&#10;AADbAAAADwAAAGRycy9kb3ducmV2LnhtbESPQWvCQBSE7wX/w/IEb3UTwSLRVUJRaiiUmkjPj+xr&#10;Epp9G3a3Mf77bqHQ4zAz3zC7w2R6MZLznWUF6TIBQVxb3XGj4FqdHjcgfEDW2FsmBXfycNjPHnaY&#10;aXvjC41laESEsM9QQRvCkEnp65YM+qUdiKP3aZ3BEKVrpHZ4i3DTy1WSPEmDHceFFgd6bqn+Kr+N&#10;grd1XpXr4/Ty+v5RWK76uzsVpVKL+ZRvQQSawn/4r33WCjYp/H6JP0Du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lyPLHEAAAA2wAAAA8AAAAAAAAAAAAAAAAAmAIAAGRycy9k&#10;b3ducmV2LnhtbFBLBQYAAAAABAAEAPUAAACJAwAAAAA=&#10;" stroked="f">
                <o:lock v:ext="edit" aspectratio="t"/>
                <v:textbox>
                  <w:txbxContent>
                    <w:p w14:paraId="5C75EFFA" w14:textId="77777777" w:rsidR="00D0418C" w:rsidRPr="0034487F" w:rsidRDefault="00D0418C" w:rsidP="000E7C76">
                      <w:pPr>
                        <w:rPr>
                          <w:rFonts w:ascii="Arial" w:hAnsi="Arial" w:cs="Arial"/>
                          <w:sz w:val="17"/>
                          <w:szCs w:val="17"/>
                        </w:rPr>
                      </w:pPr>
                      <w:r w:rsidRPr="0034487F">
                        <w:rPr>
                          <w:rFonts w:ascii="Arial" w:hAnsi="Arial" w:cs="Arial"/>
                          <w:sz w:val="17"/>
                          <w:szCs w:val="17"/>
                        </w:rPr>
                        <w:t>No</w:t>
                      </w:r>
                    </w:p>
                  </w:txbxContent>
                </v:textbox>
              </v:shape>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AutoShape 15" o:spid="_x0000_s1283" type="#_x0000_t34" style="position:absolute;left:6555;top:6945;width:1071;height:614;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PdNysEAAADbAAAADwAAAGRycy9kb3ducmV2LnhtbESPT4vCMBTE74LfITzBmyZ6UKlGEZdd&#10;9iT4B7w+mmdTbF5qk2r3228EweMwM79hVpvOVeJBTSg9a5iMFQji3JuSCw3n0/doASJEZIOVZ9Lw&#10;RwE2635vhZnxTz7Q4xgLkSAcMtRgY6wzKUNuyWEY+5o4eVffOIxJNoU0DT4T3FVyqtRMOiw5LVis&#10;aWcpvx1bp8G0h3yirvNwDxdl9z+mlV91q/Vw0G2XICJ18RN+t3+NhsUUXl/SD5Drf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Q903KwQAAANsAAAAPAAAAAAAAAAAAAAAA&#10;AKECAABkcnMvZG93bnJldi54bWxQSwUGAAAAAAQABAD5AAAAjwMAAAAA&#10;" adj="253">
                <v:stroke endarrow="block"/>
                <o:lock v:ext="edit" aspectratio="t"/>
              </v:shape>
              <v:shape id="AutoShape 16" o:spid="_x0000_s1284" type="#_x0000_t34" style="position:absolute;left:6555;top:7558;width:1086;height:936;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kPt8sQAAADbAAAADwAAAGRycy9kb3ducmV2LnhtbESPT2sCMRTE7wW/Q3iCl1KztSCy3ayI&#10;VBB6KP7B83Pzml26eVmTuG6/fVMQPA4z8xumWA62FT350DhW8DrNQBBXTjdsFBwPm5cFiBCRNbaO&#10;ScEvBViWo6cCc+1uvKN+H41IEA45Kqhj7HIpQ1WTxTB1HXHyvp23GJP0RmqPtwS3rZxl2VxabDgt&#10;1NjRuqbqZ3+1Cswz9Zfq7Fe8Oem4M1/n+Uf7qdRkPKzeQUQa4iN8b2+1gsUb/H9JP0CW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uQ+3yxAAAANsAAAAPAAAAAAAAAAAA&#10;AAAAAKECAABkcnMvZG93bnJldi54bWxQSwUGAAAAAAQABAD5AAAAkgMAAAAA&#10;">
                <v:stroke endarrow="block"/>
                <o:lock v:ext="edit" aspectratio="t"/>
              </v:shape>
              <v:shape id="AutoShape 17" o:spid="_x0000_s1285" type="#_x0000_t109" style="position:absolute;left:6229;top:7128;width:753;height:3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QWfKcQA&#10;AADbAAAADwAAAGRycy9kb3ducmV2LnhtbESPQWvCQBSE7wX/w/KE3urGUotE1xBEaaVQNBHPj+wz&#10;CWbfht2txn/fLRQ8DjPzDbPMBtOJKznfWlYwnSQgiCurW64VHMvtyxyED8gaO8uk4E4estXoaYmp&#10;tjc+0LUItYgQ9ikqaELoUyl91ZBBP7E9cfTO1hkMUbpaaoe3CDedfE2Sd2mw5bjQYE/rhqpL8WMU&#10;fM/ysphtho+v/WlnuezubrsrlHoeD/kCRKAhPML/7U+tYP4Gf1/iD5C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kFnynEAAAA2wAAAA8AAAAAAAAAAAAAAAAAmAIAAGRycy9k&#10;b3ducmV2LnhtbFBLBQYAAAAABAAEAPUAAACJAwAAAAA=&#10;" stroked="f">
                <o:lock v:ext="edit" aspectratio="t"/>
                <v:textbox>
                  <w:txbxContent>
                    <w:p w14:paraId="709ACD94" w14:textId="77777777" w:rsidR="00D0418C" w:rsidRPr="0034487F" w:rsidRDefault="00D0418C" w:rsidP="000E7C76">
                      <w:pPr>
                        <w:rPr>
                          <w:rFonts w:ascii="Arial" w:hAnsi="Arial" w:cs="Arial"/>
                          <w:sz w:val="17"/>
                          <w:szCs w:val="17"/>
                        </w:rPr>
                      </w:pPr>
                      <w:r w:rsidRPr="0034487F">
                        <w:rPr>
                          <w:rFonts w:ascii="Arial" w:hAnsi="Arial" w:cs="Arial"/>
                          <w:sz w:val="17"/>
                          <w:szCs w:val="17"/>
                        </w:rPr>
                        <w:t>Yes</w:t>
                      </w:r>
                    </w:p>
                  </w:txbxContent>
                </v:textbox>
              </v:shape>
            </v:group>
            <v:shape id="AutoShape 27" o:spid="_x0000_s1286" type="#_x0000_t109" style="position:absolute;left:4927;top:9747;width:2625;height:5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K4UJMUA&#10;AADbAAAADwAAAGRycy9kb3ducmV2LnhtbESPQWvCQBSE7wX/w/KEXqTZaGsJqauIkKKHHoxevD2z&#10;r0kw+zZk15j+e1coeBxm5htmsRpMI3rqXG1ZwTSKQRAXVtdcKjgesrcEhPPIGhvLpOCPHKyWo5cF&#10;ptreeE997ksRIOxSVFB536ZSuqIigy6yLXHwfm1n0AfZlVJ3eAtw08hZHH9KgzWHhQpb2lRUXPKr&#10;UTBLJvk3/2Tbj/NOZzifnvrJ+06p1/Gw/gLhafDP8H97qxUkc3h8CT9ALu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rhQkxQAAANsAAAAPAAAAAAAAAAAAAAAAAJgCAABkcnMv&#10;ZG93bnJldi54bWxQSwUGAAAAAAQABAD1AAAAigMAAAAA&#10;">
              <o:lock v:ext="edit" aspectratio="t"/>
              <v:textbox>
                <w:txbxContent>
                  <w:p w14:paraId="554C0CAF" w14:textId="77777777" w:rsidR="00D0418C" w:rsidRPr="0034487F" w:rsidRDefault="00D0418C" w:rsidP="000E7C76">
                    <w:pPr>
                      <w:spacing w:before="40" w:after="40"/>
                      <w:jc w:val="center"/>
                      <w:rPr>
                        <w:rFonts w:ascii="Arial" w:hAnsi="Arial" w:cs="Arial"/>
                        <w:sz w:val="17"/>
                        <w:szCs w:val="17"/>
                      </w:rPr>
                    </w:pPr>
                    <w:r w:rsidRPr="0034487F">
                      <w:rPr>
                        <w:rFonts w:ascii="Arial" w:hAnsi="Arial" w:cs="Arial"/>
                        <w:sz w:val="17"/>
                        <w:szCs w:val="17"/>
                      </w:rPr>
                      <w:t>Mark area as awaiting</w:t>
                    </w:r>
                  </w:p>
                </w:txbxContent>
              </v:textbox>
            </v:shape>
            <v:group id="Group 29" o:spid="_x0000_s1287" style="position:absolute;left:2197;top:4715;width:8091;height:2625" coordorigin="2197,4715" coordsize="8091,26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5ZJqcsQAAADbAAAA&#10;DwAAAAAAAAAAAAAAAACqAgAAZHJzL2Rvd25yZXYueG1sUEsFBgAAAAAEAAQA+gAAAJsDAAAAAA==&#10;">
              <o:lock v:ext="edit" aspectratio="t"/>
              <v:shape id="AutoShape 30" o:spid="_x0000_s1288" type="#_x0000_t32" style="position:absolute;left:3577;top:6305;width:15;height:31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OLlisUAAADbAAAADwAAAGRycy9kb3ducmV2LnhtbESPQWvCQBSE7wX/w/KE3urGHqpGVxHB&#10;Uiw9aErQ2yP7TILZt2F31eiv7wpCj8PMfMPMFp1pxIWcry0rGA4SEMSF1TWXCn6z9dsYhA/IGhvL&#10;pOBGHhbz3ssMU22vvKXLLpQiQtinqKAKoU2l9EVFBv3AtsTRO1pnMETpSqkdXiPcNPI9ST6kwZrj&#10;QoUtrSoqTruzUbD/npzzW/5Dm3w42RzQGX/PPpV67XfLKYhAXfgPP9tfWsF4BI8v8QfI+R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OLlisUAAADbAAAADwAAAAAAAAAA&#10;AAAAAAChAgAAZHJzL2Rvd25yZXYueG1sUEsFBgAAAAAEAAQA+QAAAJMDAAAAAA==&#10;">
                <v:stroke endarrow="block"/>
                <o:lock v:ext="edit" aspectratio="t"/>
              </v:shape>
              <v:shape id="AutoShape 31" o:spid="_x0000_s1289" type="#_x0000_t32" style="position:absolute;left:3562;top:5194;width:15;height:36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X1x+MIAAADbAAAADwAAAGRycy9kb3ducmV2LnhtbERPy2rCQBTdF/yH4QrdNRO7KJpmEkSw&#10;FEsXPgjt7pK5TYKZO2Fm1NivdxaCy8N55+VoenEm5zvLCmZJCoK4trrjRsFhv36Zg/ABWWNvmRRc&#10;yUNZTJ5yzLS98JbOu9CIGMI+QwVtCEMmpa9bMugTOxBH7s86gyFC10jt8BLDTS9f0/RNGuw4NrQ4&#10;0Kql+rg7GQU/X4tTda2+aVPNFptfdMb/7z+Uep6Oy3cQgcbwEN/dn1rBPI6NX+IPkMUN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yX1x+MIAAADbAAAADwAAAAAAAAAAAAAA&#10;AAChAgAAZHJzL2Rvd25yZXYueG1sUEsFBgAAAAAEAAQA+QAAAJADAAAAAA==&#10;">
                <v:stroke endarrow="block"/>
                <o:lock v:ext="edit" aspectratio="t"/>
              </v:shape>
              <v:shape id="AutoShape 32" o:spid="_x0000_s1290" type="#_x0000_t109" style="position:absolute;left:2212;top:5539;width:2805;height:7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eMeIcUA&#10;AADbAAAADwAAAGRycy9kb3ducmV2LnhtbESPT2vCQBTE7wW/w/IKXqRu/FdidBURUvTgwdhLb8/s&#10;MwnNvg3ZbYzfvlsQehxm5jfMetubWnTUusqygsk4AkGcW11xoeDzkr7FIJxH1lhbJgUPcrDdDF7W&#10;mGh75zN1mS9EgLBLUEHpfZNI6fKSDLqxbYiDd7OtQR9kW0jd4j3ATS2nUfQuDVYcFkpsaF9S/p39&#10;GAXTeJR98Ck9zK9HneJi8tWNZkelhq/9bgXCU+//w8/2QSuIl/D3JfwAufk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4x4hxQAAANsAAAAPAAAAAAAAAAAAAAAAAJgCAABkcnMv&#10;ZG93bnJldi54bWxQSwUGAAAAAAQABAD1AAAAigMAAAAA&#10;">
                <o:lock v:ext="edit" aspectratio="t"/>
                <v:textbox>
                  <w:txbxContent>
                    <w:p w14:paraId="59C5A3BE" w14:textId="77777777" w:rsidR="00D0418C" w:rsidRPr="0034487F" w:rsidRDefault="00D0418C" w:rsidP="000E7C76">
                      <w:pPr>
                        <w:spacing w:before="40" w:after="40"/>
                        <w:jc w:val="left"/>
                        <w:rPr>
                          <w:rFonts w:ascii="Arial" w:hAnsi="Arial" w:cs="Arial"/>
                          <w:sz w:val="17"/>
                          <w:szCs w:val="17"/>
                        </w:rPr>
                      </w:pPr>
                      <w:r w:rsidRPr="0034487F">
                        <w:rPr>
                          <w:rFonts w:ascii="Arial" w:hAnsi="Arial" w:cs="Arial"/>
                          <w:sz w:val="17"/>
                          <w:szCs w:val="17"/>
                        </w:rPr>
                        <w:t>Is the area harvested or deforested?</w:t>
                      </w:r>
                    </w:p>
                  </w:txbxContent>
                </v:textbox>
              </v:shape>
              <v:shape id="AutoShape 33" o:spid="_x0000_s1291" type="#_x0000_t109" style="position:absolute;left:2227;top:6620;width:2805;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AhYcMA&#10;AADbAAAADwAAAGRycy9kb3ducmV2LnhtbERPPW/CMBDdK/EfrEPqEoETSisImKiqlCoMDE1Zul3j&#10;I4mIz1HshvTf1wNSx6f3vc8m04mRBtdaVpAsYxDEldUt1wrOn/liA8J5ZI2dZVLwSw6yw+xhj6m2&#10;N/6gsfS1CCHsUlTQeN+nUrqqIYNuaXviwF3sYNAHONRSD3gL4aaTqzh+kQZbDg0N9vTWUHUtf4yC&#10;1SYq3/mUF+vvo87xOfkao6ejUo/z6XUHwtPk/8V3d6EVbMP68CX8AHn4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QAhYcMAAADbAAAADwAAAAAAAAAAAAAAAACYAgAAZHJzL2Rv&#10;d25yZXYueG1sUEsFBgAAAAAEAAQA9QAAAIgDAAAAAA==&#10;">
                <o:lock v:ext="edit" aspectratio="t"/>
                <v:textbox>
                  <w:txbxContent>
                    <w:p w14:paraId="2111103B" w14:textId="77777777" w:rsidR="00D0418C" w:rsidRPr="0034487F" w:rsidRDefault="00D0418C" w:rsidP="000E7C76">
                      <w:pPr>
                        <w:spacing w:before="40" w:after="40"/>
                        <w:jc w:val="left"/>
                        <w:rPr>
                          <w:rFonts w:ascii="Arial" w:hAnsi="Arial" w:cs="Arial"/>
                          <w:sz w:val="17"/>
                          <w:szCs w:val="17"/>
                        </w:rPr>
                      </w:pPr>
                      <w:r w:rsidRPr="0034487F">
                        <w:rPr>
                          <w:rFonts w:ascii="Arial" w:hAnsi="Arial" w:cs="Arial"/>
                          <w:sz w:val="17"/>
                          <w:szCs w:val="17"/>
                        </w:rPr>
                        <w:t>Look at all sources of information</w:t>
                      </w:r>
                    </w:p>
                  </w:txbxContent>
                </v:textbox>
              </v:shape>
              <v:shape id="AutoShape 34" o:spid="_x0000_s1292" type="#_x0000_t109" style="position:absolute;left:5407;top:4715;width:4881;height:21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kyE+sUA&#10;AADbAAAADwAAAGRycy9kb3ducmV2LnhtbESPQWvCQBSE74X+h+UVvIhuolY0ukoRUvTgwdSLt2f2&#10;mYRm34bsNsZ/3y0IPQ4z8w2z3vamFh21rrKsIB5HIIhzqysuFJy/0tEChPPIGmvLpOBBDrab15c1&#10;Jtre+URd5gsRIOwSVFB63yRSurwkg25sG+Lg3Wxr0AfZFlK3eA9wU8tJFM2lwYrDQokN7UrKv7Mf&#10;o2CyGGaffEz3s+tBp/geX7rh9KDU4K3/WIHw1Pv/8LO91wqWMfx9CT9Ab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TIT6xQAAANsAAAAPAAAAAAAAAAAAAAAAAJgCAABkcnMv&#10;ZG93bnJldi54bWxQSwUGAAAAAAQABAD1AAAAigMAAAAA&#10;">
                <o:lock v:ext="edit" aspectratio="t"/>
                <v:textbox>
                  <w:txbxContent>
                    <w:p w14:paraId="26778E81" w14:textId="77777777" w:rsidR="00D0418C" w:rsidRPr="0034487F" w:rsidRDefault="00D0418C" w:rsidP="000E7C76">
                      <w:pPr>
                        <w:spacing w:before="40" w:after="120"/>
                        <w:rPr>
                          <w:rFonts w:ascii="Arial" w:hAnsi="Arial" w:cs="Arial"/>
                          <w:sz w:val="17"/>
                          <w:szCs w:val="17"/>
                        </w:rPr>
                      </w:pPr>
                      <w:r w:rsidRPr="0034487F">
                        <w:rPr>
                          <w:rFonts w:ascii="Arial" w:hAnsi="Arial" w:cs="Arial"/>
                          <w:sz w:val="17"/>
                          <w:szCs w:val="17"/>
                        </w:rPr>
                        <w:t>SOURCES OF INFORMATION</w:t>
                      </w:r>
                    </w:p>
                    <w:p w14:paraId="53A2B3EB" w14:textId="77777777" w:rsidR="00D0418C" w:rsidRPr="00F07F3C" w:rsidRDefault="00D0418C" w:rsidP="000E7C76">
                      <w:pPr>
                        <w:numPr>
                          <w:ilvl w:val="0"/>
                          <w:numId w:val="39"/>
                        </w:numPr>
                        <w:spacing w:after="20" w:line="276" w:lineRule="auto"/>
                        <w:jc w:val="left"/>
                        <w:rPr>
                          <w:rFonts w:ascii="Arial" w:hAnsi="Arial" w:cs="Arial"/>
                          <w:sz w:val="17"/>
                          <w:szCs w:val="17"/>
                        </w:rPr>
                      </w:pPr>
                      <w:r w:rsidRPr="00F07F3C">
                        <w:rPr>
                          <w:rFonts w:ascii="Arial" w:hAnsi="Arial" w:cs="Arial"/>
                          <w:sz w:val="17"/>
                          <w:szCs w:val="17"/>
                        </w:rPr>
                        <w:t>Ministry for Primary Industries forestry schemes</w:t>
                      </w:r>
                    </w:p>
                    <w:p w14:paraId="23DD1C09" w14:textId="77777777" w:rsidR="00D0418C" w:rsidRPr="00F07F3C" w:rsidRDefault="00D0418C" w:rsidP="000E7C76">
                      <w:pPr>
                        <w:numPr>
                          <w:ilvl w:val="0"/>
                          <w:numId w:val="39"/>
                        </w:numPr>
                        <w:spacing w:after="20" w:line="276" w:lineRule="auto"/>
                        <w:jc w:val="left"/>
                        <w:rPr>
                          <w:rFonts w:ascii="Arial" w:hAnsi="Arial" w:cs="Arial"/>
                          <w:sz w:val="17"/>
                          <w:szCs w:val="17"/>
                        </w:rPr>
                      </w:pPr>
                      <w:r w:rsidRPr="00F07F3C">
                        <w:rPr>
                          <w:rFonts w:ascii="Arial" w:hAnsi="Arial" w:cs="Arial"/>
                          <w:sz w:val="17"/>
                          <w:szCs w:val="17"/>
                        </w:rPr>
                        <w:t>Ministry for Primary Industries compliance field teams</w:t>
                      </w:r>
                    </w:p>
                    <w:p w14:paraId="74893AB1" w14:textId="77777777" w:rsidR="00D0418C" w:rsidRPr="00F07F3C" w:rsidRDefault="00D0418C" w:rsidP="000E7C76">
                      <w:pPr>
                        <w:numPr>
                          <w:ilvl w:val="0"/>
                          <w:numId w:val="39"/>
                        </w:numPr>
                        <w:spacing w:after="20" w:line="276" w:lineRule="auto"/>
                        <w:jc w:val="left"/>
                        <w:rPr>
                          <w:rFonts w:ascii="Arial" w:hAnsi="Arial" w:cs="Arial"/>
                          <w:sz w:val="17"/>
                          <w:szCs w:val="17"/>
                        </w:rPr>
                      </w:pPr>
                      <w:r w:rsidRPr="00F07F3C">
                        <w:rPr>
                          <w:rFonts w:ascii="Arial" w:hAnsi="Arial" w:cs="Arial"/>
                          <w:sz w:val="17"/>
                          <w:szCs w:val="17"/>
                        </w:rPr>
                        <w:t>Forestry consultants</w:t>
                      </w:r>
                    </w:p>
                    <w:p w14:paraId="4F9D85B2" w14:textId="77777777" w:rsidR="00D0418C" w:rsidRPr="00F07F3C" w:rsidRDefault="00D0418C" w:rsidP="000E7C76">
                      <w:pPr>
                        <w:numPr>
                          <w:ilvl w:val="0"/>
                          <w:numId w:val="39"/>
                        </w:numPr>
                        <w:spacing w:after="40" w:line="276" w:lineRule="auto"/>
                        <w:jc w:val="left"/>
                        <w:rPr>
                          <w:rFonts w:ascii="Arial" w:hAnsi="Arial" w:cs="Arial"/>
                          <w:sz w:val="17"/>
                          <w:szCs w:val="17"/>
                        </w:rPr>
                      </w:pPr>
                      <w:r w:rsidRPr="00F07F3C">
                        <w:rPr>
                          <w:rFonts w:ascii="Arial" w:hAnsi="Arial" w:cs="Arial"/>
                          <w:sz w:val="17"/>
                          <w:szCs w:val="17"/>
                        </w:rPr>
                        <w:t>Vertical aerial photography</w:t>
                      </w:r>
                    </w:p>
                    <w:p w14:paraId="691EDEFE" w14:textId="77777777" w:rsidR="00D0418C" w:rsidRPr="00F07F3C" w:rsidRDefault="00D0418C" w:rsidP="000E7C76">
                      <w:pPr>
                        <w:numPr>
                          <w:ilvl w:val="0"/>
                          <w:numId w:val="39"/>
                        </w:numPr>
                        <w:spacing w:after="40" w:line="276" w:lineRule="auto"/>
                        <w:jc w:val="left"/>
                        <w:rPr>
                          <w:rFonts w:ascii="Arial" w:hAnsi="Arial" w:cs="Arial"/>
                          <w:sz w:val="17"/>
                          <w:szCs w:val="17"/>
                        </w:rPr>
                      </w:pPr>
                      <w:r w:rsidRPr="00F07F3C">
                        <w:rPr>
                          <w:rFonts w:ascii="Arial" w:hAnsi="Arial" w:cs="Arial"/>
                          <w:sz w:val="17"/>
                          <w:szCs w:val="17"/>
                        </w:rPr>
                        <w:t>Oblique aerial photography</w:t>
                      </w:r>
                    </w:p>
                    <w:p w14:paraId="605DB49A" w14:textId="77777777" w:rsidR="00D0418C" w:rsidRPr="00F07F3C" w:rsidRDefault="00D0418C" w:rsidP="000E7C76">
                      <w:pPr>
                        <w:numPr>
                          <w:ilvl w:val="0"/>
                          <w:numId w:val="39"/>
                        </w:numPr>
                        <w:spacing w:after="40" w:line="276" w:lineRule="auto"/>
                        <w:jc w:val="left"/>
                        <w:rPr>
                          <w:rFonts w:ascii="Arial" w:hAnsi="Arial" w:cs="Arial"/>
                          <w:sz w:val="17"/>
                          <w:szCs w:val="17"/>
                        </w:rPr>
                      </w:pPr>
                      <w:r w:rsidRPr="00F07F3C">
                        <w:rPr>
                          <w:rFonts w:ascii="Arial" w:hAnsi="Arial" w:cs="Arial"/>
                          <w:sz w:val="17"/>
                          <w:szCs w:val="17"/>
                        </w:rPr>
                        <w:t>Satellite imagery</w:t>
                      </w:r>
                    </w:p>
                  </w:txbxContent>
                </v:textbox>
              </v:shape>
              <v:shape id="AutoShape 35" o:spid="_x0000_s1293" type="#_x0000_t32" style="position:absolute;left:5017;top:6910;width:40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UzQz8UAAADbAAAADwAAAGRycy9kb3ducmV2LnhtbESPQWvCQBSE74X+h+UVvNVNPIhJXYMU&#10;WorioVpCvT2yzySYfRt2V43++q4g9DjMzDfMvBhMJ87kfGtZQTpOQBBXVrdcK/jZfbzOQPiArLGz&#10;TAqu5KFYPD/NMdf2wt903oZaRAj7HBU0IfS5lL5qyKAf2544egfrDIYoXS21w0uEm05OkmQqDbYc&#10;Fxrs6b2h6rg9GQW/6+xUXssNrco0W+3RGX/bfSo1ehmWbyACDeE//Gh/aQXZBO5f4g+Qi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UzQz8UAAADbAAAADwAAAAAAAAAA&#10;AAAAAAChAgAAZHJzL2Rvd25yZXYueG1sUEsFBgAAAAAEAAQA+QAAAJMDAAAAAA==&#10;">
                <v:stroke endarrow="block"/>
                <o:lock v:ext="edit" aspectratio="t"/>
              </v:shape>
              <v:shape id="AutoShape 36" o:spid="_x0000_s1294" type="#_x0000_t109" style="position:absolute;left:2197;top:4715;width:2805;height:4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dK/FsUA&#10;AADbAAAADwAAAGRycy9kb3ducmV2LnhtbESPQWvCQBSE74L/YXmCF6kbtS2augkipOjBQ9NeenvN&#10;PpPQ7NuQXWP6712h4HGYmW+YbTqYRvTUudqygsU8AkFcWF1zqeDrM3tag3AeWWNjmRT8kYM0GY+2&#10;GGt75Q/qc1+KAGEXo4LK+zaW0hUVGXRz2xIH72w7gz7IrpS6w2uAm0Yuo+hVGqw5LFTY0r6i4je/&#10;GAXL9Sx/51N2eP456gxfFt/9bHVUajoZdm8gPA3+Ef5vH7SCzQruX8IPkMk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90r8WxQAAANsAAAAPAAAAAAAAAAAAAAAAAJgCAABkcnMv&#10;ZG93bnJldi54bWxQSwUGAAAAAAQABAD1AAAAigMAAAAA&#10;">
                <o:lock v:ext="edit" aspectratio="t"/>
                <v:textbox>
                  <w:txbxContent>
                    <w:p w14:paraId="71468D65" w14:textId="77777777" w:rsidR="00D0418C" w:rsidRPr="0034487F" w:rsidRDefault="00D0418C" w:rsidP="000E7C76">
                      <w:pPr>
                        <w:spacing w:before="40" w:after="40"/>
                        <w:jc w:val="left"/>
                        <w:rPr>
                          <w:rFonts w:ascii="Arial" w:hAnsi="Arial" w:cs="Arial"/>
                          <w:sz w:val="17"/>
                          <w:szCs w:val="17"/>
                        </w:rPr>
                      </w:pPr>
                      <w:r w:rsidRPr="0034487F">
                        <w:rPr>
                          <w:rFonts w:ascii="Arial" w:hAnsi="Arial" w:cs="Arial"/>
                          <w:sz w:val="17"/>
                          <w:szCs w:val="17"/>
                        </w:rPr>
                        <w:t>Area mapped as destocked</w:t>
                      </w:r>
                    </w:p>
                    <w:p w14:paraId="3AAB46EA" w14:textId="77777777" w:rsidR="00D0418C" w:rsidRPr="0034487F" w:rsidRDefault="00D0418C" w:rsidP="000E7C76">
                      <w:pPr>
                        <w:spacing w:before="40" w:after="40"/>
                        <w:rPr>
                          <w:rFonts w:ascii="Arial" w:hAnsi="Arial" w:cs="Arial"/>
                          <w:sz w:val="17"/>
                          <w:szCs w:val="17"/>
                        </w:rPr>
                      </w:pPr>
                    </w:p>
                  </w:txbxContent>
                </v:textbox>
              </v:shape>
            </v:group>
            <w10:anchorlock/>
          </v:group>
        </w:pict>
      </w:r>
    </w:p>
    <w:p w14:paraId="6D816527" w14:textId="2F972160" w:rsidR="000E7C76" w:rsidRPr="00256982" w:rsidRDefault="000E7C76" w:rsidP="000E7C76">
      <w:pPr>
        <w:pStyle w:val="Heading3"/>
      </w:pPr>
      <w:bookmarkStart w:id="2775" w:name="_Toc261513300"/>
      <w:bookmarkStart w:id="2776" w:name="_Toc261513913"/>
      <w:bookmarkStart w:id="2777" w:name="_Toc280630403"/>
      <w:bookmarkStart w:id="2778" w:name="_Toc377043727"/>
      <w:bookmarkStart w:id="2779" w:name="_Toc400967265"/>
      <w:r w:rsidRPr="00256982">
        <w:t xml:space="preserve">11.5.3 </w:t>
      </w:r>
      <w:r w:rsidRPr="00256982">
        <w:tab/>
        <w:t>Distinction between afforestation and grassland with woody</w:t>
      </w:r>
      <w:r w:rsidR="008656EB" w:rsidRPr="00256982">
        <w:t> </w:t>
      </w:r>
      <w:r w:rsidRPr="00256982">
        <w:t>biomass</w:t>
      </w:r>
    </w:p>
    <w:p w14:paraId="18128746" w14:textId="6233AE1D" w:rsidR="000E7C76" w:rsidRPr="00256982" w:rsidRDefault="000E7C76" w:rsidP="000E7C76">
      <w:pPr>
        <w:pStyle w:val="BodyText"/>
      </w:pPr>
      <w:r w:rsidRPr="00256982">
        <w:t xml:space="preserve">For a shrubland area to be classed as post-1989 forest (and hence </w:t>
      </w:r>
      <w:r w:rsidRPr="00256982">
        <w:rPr>
          <w:i/>
        </w:rPr>
        <w:t>Afforestation</w:t>
      </w:r>
      <w:r w:rsidRPr="00256982">
        <w:t>), as opposed to grassland with woody biomass, it must meet a range of criteria including the forest definition criteria of having at least 30 per cent cover and being at least 1 hectare in size and 30 metres in width. It must also have the potential to reach 5 metres in height within a 30</w:t>
      </w:r>
      <w:r w:rsidR="008656EB" w:rsidRPr="00256982">
        <w:t>-</w:t>
      </w:r>
      <w:r w:rsidRPr="00256982">
        <w:t xml:space="preserve"> to 40</w:t>
      </w:r>
      <w:r w:rsidR="008656EB" w:rsidRPr="00256982">
        <w:t>-</w:t>
      </w:r>
      <w:r w:rsidRPr="00256982">
        <w:t>year timeframe under current land management.</w:t>
      </w:r>
    </w:p>
    <w:p w14:paraId="19DC56E2" w14:textId="77777777" w:rsidR="000E7C76" w:rsidRPr="00256982" w:rsidRDefault="000E7C76" w:rsidP="000E7C76">
      <w:pPr>
        <w:pStyle w:val="BodyText"/>
      </w:pPr>
      <w:r w:rsidRPr="00256982">
        <w:t>This potential to reach 5 metres is determined using a range of ancillary data including:</w:t>
      </w:r>
    </w:p>
    <w:p w14:paraId="34FDD666" w14:textId="77777777" w:rsidR="000E7C76" w:rsidRPr="00256982" w:rsidRDefault="000E7C76" w:rsidP="000E7C76">
      <w:pPr>
        <w:pStyle w:val="Bullet"/>
        <w:numPr>
          <w:ilvl w:val="0"/>
          <w:numId w:val="8"/>
        </w:numPr>
      </w:pPr>
      <w:r w:rsidRPr="00256982">
        <w:t>NZ ETS forest mapping – if an area has been accepted into the NZ ETS this is considered to be strong evidence of afforestation. The area will have been checked to verify establishment date and the potential of the area to grow to 5 metres in height</w:t>
      </w:r>
    </w:p>
    <w:p w14:paraId="0916C6AC" w14:textId="77777777" w:rsidR="000E7C76" w:rsidRPr="00256982" w:rsidRDefault="000E7C76" w:rsidP="000E7C76">
      <w:pPr>
        <w:pStyle w:val="Bullet"/>
        <w:numPr>
          <w:ilvl w:val="0"/>
          <w:numId w:val="8"/>
        </w:numPr>
      </w:pPr>
      <w:r w:rsidRPr="00256982">
        <w:t>location with respect to the treeline – shrub species located below but within 225 vertical metres of the treeline are not considered to have the potential to reach 5 metres in height within the required timeframe (Newsome et al., 2011)</w:t>
      </w:r>
    </w:p>
    <w:p w14:paraId="49D07021" w14:textId="77777777" w:rsidR="000E7C76" w:rsidRPr="00256982" w:rsidRDefault="000E7C76" w:rsidP="000E7C76">
      <w:pPr>
        <w:pStyle w:val="Bullet"/>
        <w:numPr>
          <w:ilvl w:val="0"/>
          <w:numId w:val="8"/>
        </w:numPr>
      </w:pPr>
      <w:r w:rsidRPr="00256982">
        <w:t>environmental conditions – there are a range of environmental conditions that limit growth of shrub species in New Zealand. These include, soil type, climatic conditions, geothermal activity and salt spray (Newsome et al., 2011). When a shrubland area falls within one of these zones of limitation, it is classed as grassland with woody biomass</w:t>
      </w:r>
    </w:p>
    <w:p w14:paraId="5C6A6BF1" w14:textId="7F460D29" w:rsidR="000E7C76" w:rsidRPr="00256982" w:rsidRDefault="000E7C76" w:rsidP="000E7C76">
      <w:pPr>
        <w:pStyle w:val="Bullet"/>
        <w:numPr>
          <w:ilvl w:val="0"/>
          <w:numId w:val="8"/>
        </w:numPr>
      </w:pPr>
      <w:r w:rsidRPr="00256982">
        <w:t xml:space="preserve">geographical context – shrubland areas in a grazing context are unlikely to grow to 5 metres in height unless there is evidence of stock exclusion, such as a </w:t>
      </w:r>
      <w:r w:rsidR="005A386A" w:rsidRPr="00256982">
        <w:t>fence line</w:t>
      </w:r>
      <w:r w:rsidRPr="00256982">
        <w:t xml:space="preserve"> or a change to steep terrain (gully or hill), which provides a natural barrier to stock.</w:t>
      </w:r>
    </w:p>
    <w:p w14:paraId="79BBE11A" w14:textId="77777777" w:rsidR="000E7C76" w:rsidRPr="00256982" w:rsidRDefault="000E7C76" w:rsidP="000E7C76">
      <w:pPr>
        <w:pStyle w:val="BodyText"/>
      </w:pPr>
      <w:r w:rsidRPr="00256982">
        <w:t>The decision tree relating this classification of shrubland areas is described in the grassland with woody biomass section of the Satellite Imagery Interpretation Guide for Land-Use Classes (Ministry for the Environment, 2012).</w:t>
      </w:r>
    </w:p>
    <w:p w14:paraId="37B79982" w14:textId="77777777" w:rsidR="000E7C76" w:rsidRPr="00256982" w:rsidRDefault="000E7C76" w:rsidP="000E7C76">
      <w:pPr>
        <w:pStyle w:val="Heading3"/>
      </w:pPr>
      <w:r w:rsidRPr="00256982">
        <w:t xml:space="preserve">11.5.4 </w:t>
      </w:r>
      <w:r w:rsidRPr="00256982">
        <w:tab/>
        <w:t>Unclassified deforest</w:t>
      </w:r>
      <w:bookmarkEnd w:id="2775"/>
      <w:bookmarkEnd w:id="2776"/>
      <w:bookmarkEnd w:id="2777"/>
      <w:r w:rsidRPr="00256982">
        <w:t>ation</w:t>
      </w:r>
      <w:bookmarkEnd w:id="2778"/>
      <w:bookmarkEnd w:id="2779"/>
    </w:p>
    <w:p w14:paraId="1988DBD5" w14:textId="77777777" w:rsidR="000E7C76" w:rsidRPr="00256982" w:rsidRDefault="000E7C76" w:rsidP="000E7C76">
      <w:pPr>
        <w:pStyle w:val="BodyText"/>
      </w:pPr>
      <w:r w:rsidRPr="00256982">
        <w:t>The reporting guidelines under the Convention require that countries provide information on the size and geographical location of forest areas that have lost forest cover but that are not yet classified as deforested.</w:t>
      </w:r>
    </w:p>
    <w:p w14:paraId="3266386C" w14:textId="77777777" w:rsidR="000E7C76" w:rsidRPr="00256982" w:rsidRDefault="000E7C76" w:rsidP="000E7C76">
      <w:pPr>
        <w:pStyle w:val="BodyText"/>
      </w:pPr>
      <w:r w:rsidRPr="00256982">
        <w:t xml:space="preserve">To identify these areas, destocked land is mapped into three main classes: harvested, deforested and awaiting. The awaiting areas are those where there is no clear evidence to support harvesting (replanting activity, forestry context) or </w:t>
      </w:r>
      <w:r w:rsidRPr="00256982">
        <w:rPr>
          <w:i/>
          <w:spacing w:val="-2"/>
        </w:rPr>
        <w:t>Deforestation</w:t>
      </w:r>
      <w:r w:rsidRPr="00256982">
        <w:t xml:space="preserve"> (confirmed land-use change, such as pasture establishment, fences and stock). The areas are therefore awaiting a land use determination.</w:t>
      </w:r>
    </w:p>
    <w:p w14:paraId="168F4A00" w14:textId="77777777" w:rsidR="000E7C76" w:rsidRPr="00256982" w:rsidRDefault="000E7C76" w:rsidP="000E7C76">
      <w:pPr>
        <w:pStyle w:val="BodyText"/>
        <w:spacing w:before="100" w:after="100"/>
        <w:rPr>
          <w:spacing w:val="-2"/>
        </w:rPr>
      </w:pPr>
      <w:r w:rsidRPr="00256982">
        <w:rPr>
          <w:spacing w:val="-2"/>
        </w:rPr>
        <w:t xml:space="preserve">Wall-to-wall mapping of harvested, deforested and awaiting areas was completed for 2008 to 2016. Each year, areas of awaiting land that have been destocked for more than four years are reviewed to determine whether deforestation or replanting has occurred. Where a recent imagery evidence source is available, these awaiting areas are reclassified as either harvested (where there is evidence of replanting) or deforested (where there is evidence of land-use change). </w:t>
      </w:r>
    </w:p>
    <w:p w14:paraId="12168F69" w14:textId="77777777" w:rsidR="000E7C76" w:rsidRPr="00256982" w:rsidRDefault="000E7C76" w:rsidP="000E7C76">
      <w:pPr>
        <w:pStyle w:val="BodyText"/>
        <w:spacing w:before="80" w:after="100"/>
      </w:pPr>
      <w:r w:rsidRPr="00256982">
        <w:t xml:space="preserve">Areas classed as awaiting land are still considered to be forested land until either evidence of land-use change is identified or four years have passed since destocking and the land is confirmed to be in a new land use (whichever comes first). This is consistent with section 2.6.2.1 of the Kyoto Protocol Supplement (IPCC, 2014a), which states that (p 82): </w:t>
      </w:r>
    </w:p>
    <w:p w14:paraId="06886579" w14:textId="77777777" w:rsidR="000E7C76" w:rsidRPr="00256982" w:rsidRDefault="000E7C76" w:rsidP="000E7C76">
      <w:pPr>
        <w:pStyle w:val="Quote"/>
        <w:spacing w:before="80" w:after="80"/>
      </w:pPr>
      <w:r w:rsidRPr="00256982">
        <w:t>In the absence of land-use change (such as conversion to Cropland or construction of settlements) areas without tree cover are considered “forest” provided that the time since forest cover loss is shorter than the number of years within which tree establishment is expected.</w:t>
      </w:r>
    </w:p>
    <w:p w14:paraId="39A97A85" w14:textId="77777777" w:rsidR="000E7C76" w:rsidRPr="00256982" w:rsidRDefault="000E7C76" w:rsidP="000E7C76">
      <w:pPr>
        <w:pStyle w:val="BodyText"/>
        <w:tabs>
          <w:tab w:val="left" w:pos="3544"/>
        </w:tabs>
        <w:spacing w:before="100" w:after="100"/>
      </w:pPr>
      <w:r w:rsidRPr="00256982">
        <w:t>Estimates of the total areas of awaiting land for 2014 to 2016 are shown in table 11.5.1.</w:t>
      </w:r>
    </w:p>
    <w:p w14:paraId="35CE168F" w14:textId="77777777" w:rsidR="000E7C76" w:rsidRPr="00256982" w:rsidRDefault="000E7C76" w:rsidP="000E7C76">
      <w:pPr>
        <w:pStyle w:val="Table"/>
        <w:tabs>
          <w:tab w:val="left" w:pos="3544"/>
        </w:tabs>
      </w:pPr>
      <w:bookmarkStart w:id="2780" w:name="_Toc310423447"/>
      <w:bookmarkStart w:id="2781" w:name="_Toc318362741"/>
      <w:bookmarkStart w:id="2782" w:name="_Toc342470820"/>
      <w:bookmarkStart w:id="2783" w:name="_Toc352505073"/>
      <w:bookmarkStart w:id="2784" w:name="_Toc377043709"/>
      <w:bookmarkStart w:id="2785" w:name="_Toc391023561"/>
      <w:bookmarkStart w:id="2786" w:name="_Toc414531534"/>
      <w:bookmarkStart w:id="2787" w:name="_Toc456179113"/>
      <w:bookmarkStart w:id="2788" w:name="_Toc481751638"/>
      <w:bookmarkStart w:id="2789" w:name="_Toc522010665"/>
      <w:bookmarkStart w:id="2790" w:name="_Toc5269636"/>
      <w:r w:rsidRPr="00256982">
        <w:t xml:space="preserve">Table 11.5.1 </w:t>
      </w:r>
      <w:r w:rsidRPr="00256982">
        <w:tab/>
        <w:t>Estimate of land destocked in New Zealand between 2014 and 2016 awaiting</w:t>
      </w:r>
      <w:r w:rsidRPr="00256982">
        <w:br/>
        <w:t>a land use determination</w:t>
      </w:r>
      <w:bookmarkEnd w:id="2780"/>
      <w:bookmarkEnd w:id="2781"/>
      <w:bookmarkEnd w:id="2782"/>
      <w:bookmarkEnd w:id="2783"/>
      <w:bookmarkEnd w:id="2784"/>
      <w:bookmarkEnd w:id="2785"/>
      <w:bookmarkEnd w:id="2786"/>
      <w:bookmarkEnd w:id="2787"/>
      <w:bookmarkEnd w:id="2788"/>
      <w:bookmarkEnd w:id="2789"/>
      <w:bookmarkEnd w:id="2790"/>
    </w:p>
    <w:tbl>
      <w:tblPr>
        <w:tblW w:w="8505" w:type="dxa"/>
        <w:tblInd w:w="108" w:type="dxa"/>
        <w:tblBorders>
          <w:top w:val="single" w:sz="8" w:space="0" w:color="1F497D"/>
          <w:bottom w:val="single" w:sz="8" w:space="0" w:color="1F497D"/>
          <w:insideH w:val="single" w:sz="8" w:space="0" w:color="1F497D"/>
        </w:tblBorders>
        <w:tblLayout w:type="fixed"/>
        <w:tblLook w:val="04A0" w:firstRow="1" w:lastRow="0" w:firstColumn="1" w:lastColumn="0" w:noHBand="0" w:noVBand="1"/>
      </w:tblPr>
      <w:tblGrid>
        <w:gridCol w:w="1260"/>
        <w:gridCol w:w="1960"/>
        <w:gridCol w:w="2112"/>
        <w:gridCol w:w="1810"/>
        <w:gridCol w:w="1363"/>
      </w:tblGrid>
      <w:tr w:rsidR="000E7C76" w:rsidRPr="00256982" w14:paraId="45180EBD" w14:textId="77777777" w:rsidTr="000E7C76">
        <w:tc>
          <w:tcPr>
            <w:tcW w:w="1185" w:type="dxa"/>
            <w:tcBorders>
              <w:top w:val="single" w:sz="4" w:space="0" w:color="365F91"/>
              <w:bottom w:val="single" w:sz="4" w:space="0" w:color="365F91"/>
            </w:tcBorders>
            <w:shd w:val="clear" w:color="auto" w:fill="365F91"/>
            <w:vAlign w:val="bottom"/>
          </w:tcPr>
          <w:p w14:paraId="3E444869" w14:textId="77777777" w:rsidR="000E7C76" w:rsidRPr="00256982" w:rsidRDefault="000E7C76" w:rsidP="008656EB">
            <w:pPr>
              <w:pStyle w:val="TableTextBold"/>
              <w:keepNext/>
              <w:tabs>
                <w:tab w:val="left" w:pos="3544"/>
              </w:tabs>
              <w:spacing w:before="50" w:after="50"/>
              <w:jc w:val="center"/>
              <w:rPr>
                <w:bCs/>
                <w:noProof w:val="0"/>
                <w:color w:val="FFFFFF"/>
              </w:rPr>
            </w:pPr>
            <w:r w:rsidRPr="00256982">
              <w:rPr>
                <w:bCs/>
                <w:noProof w:val="0"/>
                <w:color w:val="FFFFFF"/>
              </w:rPr>
              <w:t>Year of destocking</w:t>
            </w:r>
          </w:p>
        </w:tc>
        <w:tc>
          <w:tcPr>
            <w:tcW w:w="1843" w:type="dxa"/>
            <w:tcBorders>
              <w:top w:val="single" w:sz="4" w:space="0" w:color="365F91"/>
              <w:bottom w:val="single" w:sz="4" w:space="0" w:color="365F91"/>
            </w:tcBorders>
            <w:shd w:val="clear" w:color="auto" w:fill="365F91"/>
            <w:vAlign w:val="bottom"/>
            <w:hideMark/>
          </w:tcPr>
          <w:p w14:paraId="5C9AC387" w14:textId="77777777" w:rsidR="000E7C76" w:rsidRPr="00256982" w:rsidRDefault="000E7C76" w:rsidP="008656EB">
            <w:pPr>
              <w:pStyle w:val="TableTextBold"/>
              <w:keepNext/>
              <w:tabs>
                <w:tab w:val="left" w:pos="3544"/>
              </w:tabs>
              <w:spacing w:before="50" w:after="50"/>
              <w:jc w:val="center"/>
              <w:rPr>
                <w:bCs/>
                <w:noProof w:val="0"/>
                <w:color w:val="FFFFFF"/>
              </w:rPr>
            </w:pPr>
            <w:r w:rsidRPr="00256982">
              <w:rPr>
                <w:bCs/>
                <w:noProof w:val="0"/>
                <w:color w:val="FFFFFF"/>
              </w:rPr>
              <w:t xml:space="preserve">Pre-1990 natural forest </w:t>
            </w:r>
            <w:r w:rsidRPr="00256982">
              <w:rPr>
                <w:bCs/>
                <w:noProof w:val="0"/>
                <w:color w:val="FFFFFF"/>
              </w:rPr>
              <w:br/>
              <w:t>(ha)</w:t>
            </w:r>
          </w:p>
        </w:tc>
        <w:tc>
          <w:tcPr>
            <w:tcW w:w="1985" w:type="dxa"/>
            <w:tcBorders>
              <w:top w:val="single" w:sz="4" w:space="0" w:color="365F91"/>
              <w:bottom w:val="single" w:sz="4" w:space="0" w:color="365F91"/>
            </w:tcBorders>
            <w:shd w:val="clear" w:color="auto" w:fill="365F91"/>
            <w:vAlign w:val="bottom"/>
            <w:hideMark/>
          </w:tcPr>
          <w:p w14:paraId="384BF4A6" w14:textId="77777777" w:rsidR="000E7C76" w:rsidRPr="00256982" w:rsidRDefault="000E7C76" w:rsidP="008656EB">
            <w:pPr>
              <w:pStyle w:val="TableTextBold"/>
              <w:keepNext/>
              <w:tabs>
                <w:tab w:val="left" w:pos="3544"/>
              </w:tabs>
              <w:spacing w:before="50" w:after="50"/>
              <w:jc w:val="center"/>
              <w:rPr>
                <w:bCs/>
                <w:noProof w:val="0"/>
                <w:color w:val="FFFFFF"/>
              </w:rPr>
            </w:pPr>
            <w:r w:rsidRPr="00256982">
              <w:rPr>
                <w:bCs/>
                <w:noProof w:val="0"/>
                <w:color w:val="FFFFFF"/>
              </w:rPr>
              <w:t xml:space="preserve">Pre-1990 planted forest </w:t>
            </w:r>
            <w:r w:rsidRPr="00256982">
              <w:rPr>
                <w:bCs/>
                <w:noProof w:val="0"/>
                <w:color w:val="FFFFFF"/>
              </w:rPr>
              <w:br/>
              <w:t>(ha)</w:t>
            </w:r>
          </w:p>
        </w:tc>
        <w:tc>
          <w:tcPr>
            <w:tcW w:w="1701" w:type="dxa"/>
            <w:tcBorders>
              <w:top w:val="single" w:sz="4" w:space="0" w:color="365F91"/>
              <w:bottom w:val="single" w:sz="4" w:space="0" w:color="365F91"/>
            </w:tcBorders>
            <w:shd w:val="clear" w:color="auto" w:fill="365F91"/>
            <w:vAlign w:val="bottom"/>
          </w:tcPr>
          <w:p w14:paraId="54F55FA4" w14:textId="77777777" w:rsidR="000E7C76" w:rsidRPr="00256982" w:rsidRDefault="000E7C76" w:rsidP="008656EB">
            <w:pPr>
              <w:pStyle w:val="TableTextBold"/>
              <w:keepNext/>
              <w:tabs>
                <w:tab w:val="left" w:pos="3544"/>
              </w:tabs>
              <w:spacing w:before="50" w:after="50"/>
              <w:jc w:val="center"/>
              <w:rPr>
                <w:bCs/>
                <w:noProof w:val="0"/>
                <w:color w:val="FFFFFF"/>
              </w:rPr>
            </w:pPr>
            <w:r w:rsidRPr="00256982">
              <w:rPr>
                <w:bCs/>
                <w:noProof w:val="0"/>
                <w:color w:val="FFFFFF"/>
              </w:rPr>
              <w:t>Post-1989 forest</w:t>
            </w:r>
            <w:r w:rsidRPr="00256982">
              <w:rPr>
                <w:bCs/>
                <w:noProof w:val="0"/>
                <w:color w:val="FFFFFF"/>
              </w:rPr>
              <w:br/>
              <w:t>(ha)</w:t>
            </w:r>
          </w:p>
        </w:tc>
        <w:tc>
          <w:tcPr>
            <w:tcW w:w="1281" w:type="dxa"/>
            <w:tcBorders>
              <w:top w:val="single" w:sz="4" w:space="0" w:color="365F91"/>
              <w:bottom w:val="single" w:sz="4" w:space="0" w:color="365F91"/>
            </w:tcBorders>
            <w:shd w:val="clear" w:color="auto" w:fill="365F91"/>
            <w:vAlign w:val="bottom"/>
            <w:hideMark/>
          </w:tcPr>
          <w:p w14:paraId="64630086" w14:textId="77777777" w:rsidR="000E7C76" w:rsidRPr="00256982" w:rsidRDefault="000E7C76" w:rsidP="008656EB">
            <w:pPr>
              <w:pStyle w:val="TableTextBold"/>
              <w:keepNext/>
              <w:tabs>
                <w:tab w:val="left" w:pos="3544"/>
              </w:tabs>
              <w:spacing w:before="50" w:after="50"/>
              <w:jc w:val="center"/>
              <w:rPr>
                <w:bCs/>
                <w:noProof w:val="0"/>
                <w:color w:val="FFFFFF"/>
              </w:rPr>
            </w:pPr>
            <w:r w:rsidRPr="00256982">
              <w:rPr>
                <w:bCs/>
                <w:noProof w:val="0"/>
                <w:color w:val="FFFFFF"/>
              </w:rPr>
              <w:t>Total</w:t>
            </w:r>
            <w:r w:rsidRPr="00256982">
              <w:rPr>
                <w:bCs/>
                <w:noProof w:val="0"/>
                <w:color w:val="FFFFFF"/>
              </w:rPr>
              <w:br/>
              <w:t>(ha)</w:t>
            </w:r>
          </w:p>
        </w:tc>
      </w:tr>
      <w:tr w:rsidR="000E7C76" w:rsidRPr="00256982" w14:paraId="00E925A8" w14:textId="77777777" w:rsidTr="000E7C76">
        <w:tc>
          <w:tcPr>
            <w:tcW w:w="1185" w:type="dxa"/>
            <w:tcBorders>
              <w:top w:val="single" w:sz="4" w:space="0" w:color="365F91"/>
              <w:left w:val="nil"/>
              <w:bottom w:val="single" w:sz="4" w:space="0" w:color="365F91"/>
            </w:tcBorders>
          </w:tcPr>
          <w:p w14:paraId="46FA3E61" w14:textId="77777777" w:rsidR="000E7C76" w:rsidRPr="00256982" w:rsidRDefault="000E7C76" w:rsidP="008656EB">
            <w:pPr>
              <w:pStyle w:val="TableText"/>
              <w:keepNext/>
              <w:tabs>
                <w:tab w:val="left" w:pos="3544"/>
              </w:tabs>
              <w:spacing w:before="50" w:after="50"/>
              <w:jc w:val="center"/>
            </w:pPr>
            <w:r w:rsidRPr="00256982">
              <w:t>2014</w:t>
            </w:r>
          </w:p>
        </w:tc>
        <w:tc>
          <w:tcPr>
            <w:tcW w:w="1843" w:type="dxa"/>
            <w:tcBorders>
              <w:top w:val="single" w:sz="4" w:space="0" w:color="365F91"/>
              <w:left w:val="nil"/>
              <w:bottom w:val="single" w:sz="4" w:space="0" w:color="365F91"/>
            </w:tcBorders>
            <w:shd w:val="clear" w:color="auto" w:fill="auto"/>
            <w:noWrap/>
            <w:vAlign w:val="center"/>
            <w:hideMark/>
          </w:tcPr>
          <w:p w14:paraId="0937E14A" w14:textId="77777777" w:rsidR="000E7C76" w:rsidRPr="00256982" w:rsidRDefault="000E7C76" w:rsidP="008656EB">
            <w:pPr>
              <w:pStyle w:val="TableText"/>
              <w:keepNext/>
              <w:tabs>
                <w:tab w:val="left" w:pos="3544"/>
              </w:tabs>
              <w:spacing w:before="50" w:after="50"/>
              <w:jc w:val="center"/>
              <w:rPr>
                <w:bCs/>
                <w:szCs w:val="22"/>
                <w:lang w:eastAsia="en-NZ"/>
              </w:rPr>
            </w:pPr>
            <w:r w:rsidRPr="00256982">
              <w:t>175</w:t>
            </w:r>
          </w:p>
        </w:tc>
        <w:tc>
          <w:tcPr>
            <w:tcW w:w="1985" w:type="dxa"/>
            <w:tcBorders>
              <w:top w:val="single" w:sz="4" w:space="0" w:color="365F91"/>
              <w:bottom w:val="single" w:sz="4" w:space="0" w:color="365F91"/>
            </w:tcBorders>
            <w:shd w:val="clear" w:color="auto" w:fill="auto"/>
            <w:noWrap/>
            <w:vAlign w:val="center"/>
            <w:hideMark/>
          </w:tcPr>
          <w:p w14:paraId="3FCA8363" w14:textId="77777777" w:rsidR="000E7C76" w:rsidRPr="00256982" w:rsidRDefault="000E7C76" w:rsidP="008656EB">
            <w:pPr>
              <w:pStyle w:val="TableText"/>
              <w:keepNext/>
              <w:tabs>
                <w:tab w:val="left" w:pos="3544"/>
              </w:tabs>
              <w:spacing w:before="50" w:after="50"/>
              <w:jc w:val="center"/>
              <w:rPr>
                <w:szCs w:val="22"/>
                <w:lang w:eastAsia="en-NZ"/>
              </w:rPr>
            </w:pPr>
            <w:r w:rsidRPr="00256982">
              <w:t>7,121</w:t>
            </w:r>
          </w:p>
        </w:tc>
        <w:tc>
          <w:tcPr>
            <w:tcW w:w="1701" w:type="dxa"/>
            <w:tcBorders>
              <w:top w:val="single" w:sz="4" w:space="0" w:color="365F91"/>
              <w:bottom w:val="single" w:sz="4" w:space="0" w:color="365F91"/>
            </w:tcBorders>
            <w:shd w:val="clear" w:color="auto" w:fill="auto"/>
            <w:vAlign w:val="center"/>
          </w:tcPr>
          <w:p w14:paraId="571F4CF2" w14:textId="77777777" w:rsidR="000E7C76" w:rsidRPr="00256982" w:rsidRDefault="000E7C76" w:rsidP="008656EB">
            <w:pPr>
              <w:pStyle w:val="TableText"/>
              <w:keepNext/>
              <w:tabs>
                <w:tab w:val="left" w:pos="3544"/>
              </w:tabs>
              <w:spacing w:before="50" w:after="50"/>
              <w:jc w:val="center"/>
              <w:rPr>
                <w:szCs w:val="22"/>
                <w:lang w:eastAsia="en-NZ"/>
              </w:rPr>
            </w:pPr>
            <w:r w:rsidRPr="00256982">
              <w:t>2,458</w:t>
            </w:r>
          </w:p>
        </w:tc>
        <w:tc>
          <w:tcPr>
            <w:tcW w:w="1281" w:type="dxa"/>
            <w:tcBorders>
              <w:top w:val="single" w:sz="4" w:space="0" w:color="365F91"/>
              <w:bottom w:val="single" w:sz="4" w:space="0" w:color="365F91"/>
              <w:right w:val="nil"/>
            </w:tcBorders>
            <w:shd w:val="clear" w:color="auto" w:fill="auto"/>
            <w:noWrap/>
            <w:vAlign w:val="center"/>
            <w:hideMark/>
          </w:tcPr>
          <w:p w14:paraId="66D7D3E7" w14:textId="77777777" w:rsidR="000E7C76" w:rsidRPr="00256982" w:rsidRDefault="000E7C76" w:rsidP="008656EB">
            <w:pPr>
              <w:pStyle w:val="TableText"/>
              <w:keepNext/>
              <w:tabs>
                <w:tab w:val="left" w:pos="3544"/>
              </w:tabs>
              <w:spacing w:before="50" w:after="50"/>
              <w:jc w:val="center"/>
              <w:rPr>
                <w:szCs w:val="22"/>
                <w:lang w:eastAsia="en-NZ"/>
              </w:rPr>
            </w:pPr>
            <w:r w:rsidRPr="00256982">
              <w:t>9,754</w:t>
            </w:r>
          </w:p>
        </w:tc>
      </w:tr>
      <w:tr w:rsidR="000E7C76" w:rsidRPr="00256982" w14:paraId="3415CE90" w14:textId="77777777" w:rsidTr="000E7C76">
        <w:tc>
          <w:tcPr>
            <w:tcW w:w="1185" w:type="dxa"/>
            <w:tcBorders>
              <w:top w:val="single" w:sz="4" w:space="0" w:color="365F91"/>
              <w:left w:val="nil"/>
              <w:bottom w:val="single" w:sz="4" w:space="0" w:color="365F91"/>
            </w:tcBorders>
          </w:tcPr>
          <w:p w14:paraId="0B563E41" w14:textId="77777777" w:rsidR="000E7C76" w:rsidRPr="00256982" w:rsidRDefault="000E7C76" w:rsidP="000E7C76">
            <w:pPr>
              <w:pStyle w:val="TableText"/>
              <w:tabs>
                <w:tab w:val="left" w:pos="3544"/>
              </w:tabs>
              <w:spacing w:before="50" w:after="50"/>
              <w:jc w:val="center"/>
            </w:pPr>
            <w:r w:rsidRPr="00256982">
              <w:t>2015</w:t>
            </w:r>
          </w:p>
        </w:tc>
        <w:tc>
          <w:tcPr>
            <w:tcW w:w="1843" w:type="dxa"/>
            <w:tcBorders>
              <w:top w:val="single" w:sz="4" w:space="0" w:color="365F91"/>
              <w:left w:val="nil"/>
              <w:bottom w:val="single" w:sz="4" w:space="0" w:color="365F91"/>
            </w:tcBorders>
            <w:shd w:val="clear" w:color="auto" w:fill="auto"/>
            <w:noWrap/>
            <w:vAlign w:val="center"/>
          </w:tcPr>
          <w:p w14:paraId="069EFB24" w14:textId="77777777" w:rsidR="000E7C76" w:rsidRPr="00256982" w:rsidDel="009F7DF9" w:rsidRDefault="000E7C76" w:rsidP="000E7C76">
            <w:pPr>
              <w:pStyle w:val="TableText"/>
              <w:tabs>
                <w:tab w:val="left" w:pos="3544"/>
              </w:tabs>
              <w:spacing w:before="50" w:after="50"/>
              <w:jc w:val="center"/>
            </w:pPr>
            <w:r w:rsidRPr="00256982">
              <w:t>439</w:t>
            </w:r>
          </w:p>
        </w:tc>
        <w:tc>
          <w:tcPr>
            <w:tcW w:w="1985" w:type="dxa"/>
            <w:tcBorders>
              <w:top w:val="single" w:sz="4" w:space="0" w:color="365F91"/>
              <w:bottom w:val="single" w:sz="4" w:space="0" w:color="365F91"/>
            </w:tcBorders>
            <w:shd w:val="clear" w:color="auto" w:fill="auto"/>
            <w:noWrap/>
            <w:vAlign w:val="center"/>
          </w:tcPr>
          <w:p w14:paraId="1C15438C" w14:textId="77777777" w:rsidR="000E7C76" w:rsidRPr="00256982" w:rsidDel="009F7DF9" w:rsidRDefault="000E7C76" w:rsidP="000E7C76">
            <w:pPr>
              <w:pStyle w:val="TableText"/>
              <w:tabs>
                <w:tab w:val="left" w:pos="3544"/>
              </w:tabs>
              <w:spacing w:before="50" w:after="50"/>
              <w:jc w:val="center"/>
            </w:pPr>
            <w:r w:rsidRPr="00256982">
              <w:t>3,736</w:t>
            </w:r>
          </w:p>
        </w:tc>
        <w:tc>
          <w:tcPr>
            <w:tcW w:w="1701" w:type="dxa"/>
            <w:tcBorders>
              <w:top w:val="single" w:sz="4" w:space="0" w:color="365F91"/>
              <w:bottom w:val="single" w:sz="4" w:space="0" w:color="365F91"/>
            </w:tcBorders>
            <w:shd w:val="clear" w:color="auto" w:fill="auto"/>
            <w:vAlign w:val="center"/>
          </w:tcPr>
          <w:p w14:paraId="76CD1B2C" w14:textId="77777777" w:rsidR="000E7C76" w:rsidRPr="00256982" w:rsidDel="009F7DF9" w:rsidRDefault="000E7C76" w:rsidP="000E7C76">
            <w:pPr>
              <w:pStyle w:val="TableText"/>
              <w:tabs>
                <w:tab w:val="left" w:pos="3544"/>
              </w:tabs>
              <w:spacing w:before="50" w:after="50"/>
              <w:jc w:val="center"/>
            </w:pPr>
            <w:r w:rsidRPr="00256982">
              <w:t>1,367</w:t>
            </w:r>
          </w:p>
        </w:tc>
        <w:tc>
          <w:tcPr>
            <w:tcW w:w="1281" w:type="dxa"/>
            <w:tcBorders>
              <w:top w:val="single" w:sz="4" w:space="0" w:color="365F91"/>
              <w:bottom w:val="single" w:sz="4" w:space="0" w:color="365F91"/>
              <w:right w:val="nil"/>
            </w:tcBorders>
            <w:shd w:val="clear" w:color="auto" w:fill="auto"/>
            <w:noWrap/>
            <w:vAlign w:val="center"/>
          </w:tcPr>
          <w:p w14:paraId="35987037" w14:textId="77777777" w:rsidR="000E7C76" w:rsidRPr="00256982" w:rsidDel="009F7DF9" w:rsidRDefault="000E7C76" w:rsidP="000E7C76">
            <w:pPr>
              <w:pStyle w:val="TableText"/>
              <w:tabs>
                <w:tab w:val="left" w:pos="3544"/>
              </w:tabs>
              <w:spacing w:before="50" w:after="50"/>
              <w:jc w:val="center"/>
            </w:pPr>
            <w:r w:rsidRPr="00256982">
              <w:t>5,543</w:t>
            </w:r>
          </w:p>
        </w:tc>
      </w:tr>
      <w:tr w:rsidR="000E7C76" w:rsidRPr="00256982" w14:paraId="61B3B9A7" w14:textId="77777777" w:rsidTr="000E7C76">
        <w:tc>
          <w:tcPr>
            <w:tcW w:w="1185" w:type="dxa"/>
            <w:tcBorders>
              <w:top w:val="single" w:sz="4" w:space="0" w:color="365F91"/>
              <w:left w:val="nil"/>
              <w:bottom w:val="single" w:sz="4" w:space="0" w:color="365F91"/>
            </w:tcBorders>
          </w:tcPr>
          <w:p w14:paraId="43A24952" w14:textId="77777777" w:rsidR="000E7C76" w:rsidRPr="00256982" w:rsidRDefault="000E7C76" w:rsidP="000E7C76">
            <w:pPr>
              <w:pStyle w:val="TableText"/>
              <w:tabs>
                <w:tab w:val="left" w:pos="3544"/>
              </w:tabs>
              <w:spacing w:before="50" w:after="50"/>
              <w:jc w:val="center"/>
            </w:pPr>
            <w:r w:rsidRPr="00256982">
              <w:t>2016</w:t>
            </w:r>
          </w:p>
        </w:tc>
        <w:tc>
          <w:tcPr>
            <w:tcW w:w="1843" w:type="dxa"/>
            <w:tcBorders>
              <w:top w:val="single" w:sz="4" w:space="0" w:color="365F91"/>
              <w:left w:val="nil"/>
              <w:bottom w:val="single" w:sz="4" w:space="0" w:color="365F91"/>
            </w:tcBorders>
            <w:shd w:val="clear" w:color="auto" w:fill="auto"/>
            <w:noWrap/>
            <w:vAlign w:val="center"/>
          </w:tcPr>
          <w:p w14:paraId="43E3B4EB" w14:textId="77777777" w:rsidR="000E7C76" w:rsidRPr="00256982" w:rsidDel="009F7DF9" w:rsidRDefault="000E7C76" w:rsidP="000E7C76">
            <w:pPr>
              <w:pStyle w:val="TableText"/>
              <w:tabs>
                <w:tab w:val="left" w:pos="3544"/>
              </w:tabs>
              <w:spacing w:before="50" w:after="50"/>
              <w:jc w:val="center"/>
            </w:pPr>
            <w:r w:rsidRPr="00256982">
              <w:t>659</w:t>
            </w:r>
          </w:p>
        </w:tc>
        <w:tc>
          <w:tcPr>
            <w:tcW w:w="1985" w:type="dxa"/>
            <w:tcBorders>
              <w:top w:val="single" w:sz="4" w:space="0" w:color="365F91"/>
              <w:bottom w:val="single" w:sz="4" w:space="0" w:color="365F91"/>
            </w:tcBorders>
            <w:shd w:val="clear" w:color="auto" w:fill="auto"/>
            <w:noWrap/>
            <w:vAlign w:val="center"/>
          </w:tcPr>
          <w:p w14:paraId="11A064F4" w14:textId="77777777" w:rsidR="000E7C76" w:rsidRPr="00256982" w:rsidDel="009F7DF9" w:rsidRDefault="000E7C76" w:rsidP="000E7C76">
            <w:pPr>
              <w:pStyle w:val="TableText"/>
              <w:tabs>
                <w:tab w:val="left" w:pos="3544"/>
              </w:tabs>
              <w:spacing w:before="50" w:after="50"/>
              <w:jc w:val="center"/>
            </w:pPr>
            <w:r w:rsidRPr="00256982">
              <w:t>6,409</w:t>
            </w:r>
          </w:p>
        </w:tc>
        <w:tc>
          <w:tcPr>
            <w:tcW w:w="1701" w:type="dxa"/>
            <w:tcBorders>
              <w:top w:val="single" w:sz="4" w:space="0" w:color="365F91"/>
              <w:bottom w:val="single" w:sz="4" w:space="0" w:color="365F91"/>
            </w:tcBorders>
            <w:shd w:val="clear" w:color="auto" w:fill="auto"/>
            <w:vAlign w:val="center"/>
          </w:tcPr>
          <w:p w14:paraId="514DA65A" w14:textId="77777777" w:rsidR="000E7C76" w:rsidRPr="00256982" w:rsidDel="009F7DF9" w:rsidRDefault="000E7C76" w:rsidP="000E7C76">
            <w:pPr>
              <w:pStyle w:val="TableText"/>
              <w:tabs>
                <w:tab w:val="left" w:pos="3544"/>
              </w:tabs>
              <w:spacing w:before="50" w:after="50"/>
              <w:jc w:val="center"/>
            </w:pPr>
            <w:r w:rsidRPr="00256982">
              <w:t>3,216</w:t>
            </w:r>
          </w:p>
        </w:tc>
        <w:tc>
          <w:tcPr>
            <w:tcW w:w="1281" w:type="dxa"/>
            <w:tcBorders>
              <w:top w:val="single" w:sz="4" w:space="0" w:color="365F91"/>
              <w:bottom w:val="single" w:sz="4" w:space="0" w:color="365F91"/>
              <w:right w:val="nil"/>
            </w:tcBorders>
            <w:shd w:val="clear" w:color="auto" w:fill="auto"/>
            <w:noWrap/>
            <w:vAlign w:val="center"/>
          </w:tcPr>
          <w:p w14:paraId="2AF3B000" w14:textId="77777777" w:rsidR="000E7C76" w:rsidRPr="00256982" w:rsidDel="009F7DF9" w:rsidRDefault="000E7C76" w:rsidP="000E7C76">
            <w:pPr>
              <w:pStyle w:val="TableText"/>
              <w:tabs>
                <w:tab w:val="left" w:pos="3544"/>
              </w:tabs>
              <w:spacing w:before="50" w:after="50"/>
              <w:jc w:val="center"/>
            </w:pPr>
            <w:r w:rsidRPr="00256982">
              <w:t>10,285</w:t>
            </w:r>
          </w:p>
        </w:tc>
      </w:tr>
    </w:tbl>
    <w:p w14:paraId="46E62AB6" w14:textId="77777777" w:rsidR="000E7C76" w:rsidRPr="00256982" w:rsidRDefault="000E7C76" w:rsidP="000E7C76">
      <w:pPr>
        <w:pStyle w:val="Noteundertable"/>
      </w:pPr>
      <w:bookmarkStart w:id="2791" w:name="_Toc261513301"/>
      <w:bookmarkStart w:id="2792" w:name="_Toc261513914"/>
      <w:bookmarkStart w:id="2793" w:name="_Toc280630404"/>
      <w:bookmarkStart w:id="2794" w:name="_Toc310423468"/>
      <w:bookmarkStart w:id="2795" w:name="_Toc342470736"/>
      <w:bookmarkStart w:id="2796" w:name="_Toc352504895"/>
      <w:bookmarkStart w:id="2797" w:name="_Toc377043728"/>
      <w:bookmarkStart w:id="2798" w:name="_Toc391023465"/>
      <w:bookmarkStart w:id="2799" w:name="_Toc400967266"/>
      <w:r w:rsidRPr="00256982">
        <w:rPr>
          <w:b/>
        </w:rPr>
        <w:t>Note</w:t>
      </w:r>
      <w:r w:rsidRPr="00256982">
        <w:t>: Rows may not total due to rounding.</w:t>
      </w:r>
    </w:p>
    <w:p w14:paraId="0701694E" w14:textId="77777777" w:rsidR="000E7C76" w:rsidRPr="00256982" w:rsidRDefault="000E7C76" w:rsidP="000E7C76">
      <w:pPr>
        <w:pStyle w:val="BodyText"/>
      </w:pPr>
      <w:r w:rsidRPr="00256982">
        <w:t xml:space="preserve">No estimates of awaiting land for 2017 have been made because land use mapping has not been undertaken for this year. The </w:t>
      </w:r>
      <w:r w:rsidRPr="00256982">
        <w:rPr>
          <w:i/>
          <w:spacing w:val="-2"/>
        </w:rPr>
        <w:t>Deforestation</w:t>
      </w:r>
      <w:r w:rsidRPr="00256982">
        <w:t xml:space="preserve"> areas reported for 2017 are provisional and based on survey estimates as described in chapter 6, section 6.2.3.</w:t>
      </w:r>
    </w:p>
    <w:p w14:paraId="5C317900" w14:textId="77777777" w:rsidR="000E7C76" w:rsidRPr="00256982" w:rsidRDefault="000E7C76" w:rsidP="000E7C76">
      <w:pPr>
        <w:pStyle w:val="Heading2"/>
        <w:spacing w:before="280"/>
      </w:pPr>
      <w:bookmarkStart w:id="2800" w:name="_Toc261513302"/>
      <w:bookmarkStart w:id="2801" w:name="_Toc261513915"/>
      <w:bookmarkStart w:id="2802" w:name="_Toc280630405"/>
      <w:bookmarkStart w:id="2803" w:name="_Toc310423469"/>
      <w:bookmarkStart w:id="2804" w:name="_Toc342470737"/>
      <w:bookmarkStart w:id="2805" w:name="_Toc352504896"/>
      <w:bookmarkStart w:id="2806" w:name="_Toc377043729"/>
      <w:bookmarkStart w:id="2807" w:name="_Toc391023466"/>
      <w:bookmarkStart w:id="2808" w:name="_Toc400967269"/>
      <w:bookmarkStart w:id="2809" w:name="_Toc414531345"/>
      <w:bookmarkStart w:id="2810" w:name="_Toc456179174"/>
      <w:bookmarkStart w:id="2811" w:name="_Toc481751427"/>
      <w:bookmarkStart w:id="2812" w:name="_Toc522013966"/>
      <w:bookmarkStart w:id="2813" w:name="_Toc5269410"/>
      <w:bookmarkEnd w:id="2791"/>
      <w:bookmarkEnd w:id="2792"/>
      <w:bookmarkEnd w:id="2793"/>
      <w:bookmarkEnd w:id="2794"/>
      <w:bookmarkEnd w:id="2795"/>
      <w:bookmarkEnd w:id="2796"/>
      <w:bookmarkEnd w:id="2797"/>
      <w:bookmarkEnd w:id="2798"/>
      <w:bookmarkEnd w:id="2799"/>
      <w:r w:rsidRPr="00256982">
        <w:t>11.6</w:t>
      </w:r>
      <w:r w:rsidRPr="00256982">
        <w:tab/>
        <w:t>Other information</w:t>
      </w:r>
      <w:bookmarkEnd w:id="2800"/>
      <w:bookmarkEnd w:id="2801"/>
      <w:bookmarkEnd w:id="2802"/>
      <w:bookmarkEnd w:id="2803"/>
      <w:bookmarkEnd w:id="2804"/>
      <w:bookmarkEnd w:id="2805"/>
      <w:bookmarkEnd w:id="2806"/>
      <w:bookmarkEnd w:id="2807"/>
      <w:bookmarkEnd w:id="2808"/>
      <w:bookmarkEnd w:id="2809"/>
      <w:bookmarkEnd w:id="2810"/>
      <w:bookmarkEnd w:id="2811"/>
      <w:bookmarkEnd w:id="2812"/>
      <w:bookmarkEnd w:id="2813"/>
    </w:p>
    <w:p w14:paraId="70FBE085" w14:textId="77777777" w:rsidR="000E7C76" w:rsidRPr="00256982" w:rsidRDefault="000E7C76" w:rsidP="000E7C76">
      <w:pPr>
        <w:pStyle w:val="Heading3"/>
        <w:spacing w:before="240"/>
      </w:pPr>
      <w:bookmarkStart w:id="2814" w:name="_Toc261513303"/>
      <w:bookmarkStart w:id="2815" w:name="_Toc261513916"/>
      <w:bookmarkStart w:id="2816" w:name="_Toc280630406"/>
      <w:bookmarkStart w:id="2817" w:name="_Toc377043730"/>
      <w:bookmarkStart w:id="2818" w:name="_Toc400967270"/>
      <w:r w:rsidRPr="00256982">
        <w:t>11.6.1</w:t>
      </w:r>
      <w:r w:rsidRPr="00256982">
        <w:tab/>
        <w:t>Justification when omitting any carbon pool or greenhouse gas emissions from activities under Article 3.3 and Article 3.4</w:t>
      </w:r>
    </w:p>
    <w:p w14:paraId="09E14143" w14:textId="77777777" w:rsidR="000E7C76" w:rsidRPr="00256982" w:rsidRDefault="000E7C76" w:rsidP="000E7C76">
      <w:pPr>
        <w:pStyle w:val="BodyText"/>
        <w:spacing w:before="100" w:after="100"/>
      </w:pPr>
      <w:r w:rsidRPr="00256982">
        <w:t>New Zealand has accounted for all carbon pools for mandatory reporting activities under Article 3.3 and Article 3.4 of the Kyoto Protocol. New Zealand has not elected any of the voluntary activities under Article 3.4.</w:t>
      </w:r>
    </w:p>
    <w:p w14:paraId="21914D08" w14:textId="77777777" w:rsidR="000E7C76" w:rsidRPr="00256982" w:rsidRDefault="000E7C76" w:rsidP="000E7C76">
      <w:pPr>
        <w:pStyle w:val="BodyText"/>
        <w:spacing w:before="100" w:after="100"/>
      </w:pPr>
      <w:r w:rsidRPr="00256982">
        <w:rPr>
          <w:i/>
        </w:rPr>
        <w:t>Direct N</w:t>
      </w:r>
      <w:r w:rsidRPr="00256982">
        <w:rPr>
          <w:i/>
          <w:vertAlign w:val="subscript"/>
        </w:rPr>
        <w:t>2</w:t>
      </w:r>
      <w:r w:rsidRPr="00256982">
        <w:rPr>
          <w:i/>
        </w:rPr>
        <w:t>O emissions from nitrogen fertilisation</w:t>
      </w:r>
      <w:r w:rsidRPr="00256982">
        <w:t xml:space="preserve"> to land subject to </w:t>
      </w:r>
      <w:r w:rsidRPr="00256982">
        <w:rPr>
          <w:i/>
        </w:rPr>
        <w:t>Afforestation and reforestation</w:t>
      </w:r>
      <w:r w:rsidRPr="00256982">
        <w:t xml:space="preserve">, and </w:t>
      </w:r>
      <w:r w:rsidRPr="00256982">
        <w:rPr>
          <w:i/>
        </w:rPr>
        <w:t>Indirect N</w:t>
      </w:r>
      <w:r w:rsidRPr="00256982">
        <w:rPr>
          <w:i/>
          <w:vertAlign w:val="subscript"/>
        </w:rPr>
        <w:t>2</w:t>
      </w:r>
      <w:r w:rsidRPr="00256982">
        <w:rPr>
          <w:i/>
        </w:rPr>
        <w:t>O emissions from managed soils</w:t>
      </w:r>
      <w:r w:rsidRPr="00256982">
        <w:t xml:space="preserve"> are reported as IE (included elsewhere), because these emissions are reported in the Agriculture sector (see chapter 5).</w:t>
      </w:r>
    </w:p>
    <w:p w14:paraId="5E44ED64" w14:textId="77777777" w:rsidR="000E7C76" w:rsidRPr="00256982" w:rsidRDefault="000E7C76" w:rsidP="000E7C76">
      <w:pPr>
        <w:pStyle w:val="Heading3"/>
        <w:spacing w:before="240"/>
      </w:pPr>
      <w:bookmarkStart w:id="2819" w:name="_Toc261513292"/>
      <w:bookmarkStart w:id="2820" w:name="_Toc261513905"/>
      <w:bookmarkStart w:id="2821" w:name="_Toc280630395"/>
      <w:r w:rsidRPr="00256982">
        <w:t>11.6.2</w:t>
      </w:r>
      <w:r w:rsidRPr="00256982">
        <w:tab/>
        <w:t>Factoring out information</w:t>
      </w:r>
      <w:bookmarkEnd w:id="2819"/>
      <w:bookmarkEnd w:id="2820"/>
      <w:bookmarkEnd w:id="2821"/>
    </w:p>
    <w:p w14:paraId="15540C18" w14:textId="77777777" w:rsidR="000E7C76" w:rsidRPr="00256982" w:rsidRDefault="000E7C76" w:rsidP="000E7C76">
      <w:pPr>
        <w:pStyle w:val="BodyText"/>
        <w:spacing w:after="100"/>
      </w:pPr>
      <w:r w:rsidRPr="00256982">
        <w:t>New Zealand does not factor out from reporting either emissions or removals from:</w:t>
      </w:r>
    </w:p>
    <w:p w14:paraId="5460A45F" w14:textId="77777777" w:rsidR="000E7C76" w:rsidRPr="00256982" w:rsidRDefault="000E7C76" w:rsidP="000E7C76">
      <w:pPr>
        <w:pStyle w:val="Bullet"/>
        <w:numPr>
          <w:ilvl w:val="0"/>
          <w:numId w:val="8"/>
        </w:numPr>
        <w:spacing w:after="100"/>
      </w:pPr>
      <w:r w:rsidRPr="00256982">
        <w:t>elevated CO</w:t>
      </w:r>
      <w:r w:rsidRPr="00256982">
        <w:rPr>
          <w:vertAlign w:val="subscript"/>
        </w:rPr>
        <w:t>2</w:t>
      </w:r>
      <w:r w:rsidRPr="00256982">
        <w:t xml:space="preserve"> concentrations above pre-industrial levels</w:t>
      </w:r>
    </w:p>
    <w:p w14:paraId="1A8EBE6F" w14:textId="77777777" w:rsidR="000E7C76" w:rsidRPr="00256982" w:rsidRDefault="000E7C76" w:rsidP="000E7C76">
      <w:pPr>
        <w:pStyle w:val="Bullet"/>
        <w:numPr>
          <w:ilvl w:val="0"/>
          <w:numId w:val="8"/>
        </w:numPr>
        <w:spacing w:after="100"/>
      </w:pPr>
      <w:r w:rsidRPr="00256982">
        <w:t>indirect nitrogen deposition</w:t>
      </w:r>
    </w:p>
    <w:p w14:paraId="712C6DB5" w14:textId="77777777" w:rsidR="000E7C76" w:rsidRPr="00256982" w:rsidRDefault="000E7C76" w:rsidP="000E7C76">
      <w:pPr>
        <w:pStyle w:val="Bullet"/>
        <w:numPr>
          <w:ilvl w:val="0"/>
          <w:numId w:val="8"/>
        </w:numPr>
      </w:pPr>
      <w:r w:rsidRPr="00256982">
        <w:t>the dynamic effects of age structure resulting from activities prior to 1 January 1990. These are factored out of accounting by the FMRL.</w:t>
      </w:r>
    </w:p>
    <w:p w14:paraId="50799A3C" w14:textId="77777777" w:rsidR="000E7C76" w:rsidRPr="00256982" w:rsidRDefault="000E7C76" w:rsidP="000E7C76">
      <w:pPr>
        <w:pStyle w:val="Heading3"/>
        <w:spacing w:before="240"/>
      </w:pPr>
      <w:r w:rsidRPr="00256982">
        <w:t xml:space="preserve">11.6.3 </w:t>
      </w:r>
      <w:r w:rsidRPr="00256982">
        <w:tab/>
        <w:t xml:space="preserve">Key category analysis for Article 3.3 and Article 3.4 </w:t>
      </w:r>
      <w:bookmarkEnd w:id="2814"/>
      <w:bookmarkEnd w:id="2815"/>
      <w:bookmarkEnd w:id="2816"/>
      <w:r w:rsidRPr="00256982">
        <w:t>activities (CRF NIR-3)</w:t>
      </w:r>
      <w:bookmarkEnd w:id="2817"/>
      <w:bookmarkEnd w:id="2818"/>
    </w:p>
    <w:p w14:paraId="641ED5C6" w14:textId="77777777" w:rsidR="000E7C76" w:rsidRPr="00256982" w:rsidRDefault="000E7C76" w:rsidP="000E7C76">
      <w:pPr>
        <w:pStyle w:val="BodyText"/>
        <w:rPr>
          <w:spacing w:val="-2"/>
        </w:rPr>
      </w:pPr>
      <w:r w:rsidRPr="00256982">
        <w:rPr>
          <w:i/>
          <w:spacing w:val="-2"/>
        </w:rPr>
        <w:t xml:space="preserve">Land converted to forest land </w:t>
      </w:r>
      <w:r w:rsidRPr="00256982">
        <w:rPr>
          <w:spacing w:val="-2"/>
        </w:rPr>
        <w:t>(</w:t>
      </w:r>
      <w:r w:rsidRPr="00256982">
        <w:rPr>
          <w:i/>
          <w:spacing w:val="-2"/>
        </w:rPr>
        <w:t>Afforestation and reforestation</w:t>
      </w:r>
      <w:r w:rsidRPr="00256982">
        <w:rPr>
          <w:spacing w:val="-2"/>
        </w:rPr>
        <w:t xml:space="preserve">), </w:t>
      </w:r>
      <w:r w:rsidRPr="00256982">
        <w:rPr>
          <w:i/>
          <w:spacing w:val="-2"/>
        </w:rPr>
        <w:t>Land converted to grassland</w:t>
      </w:r>
      <w:r w:rsidRPr="00256982">
        <w:rPr>
          <w:spacing w:val="-2"/>
        </w:rPr>
        <w:t xml:space="preserve"> (</w:t>
      </w:r>
      <w:r w:rsidRPr="00256982">
        <w:rPr>
          <w:i/>
          <w:spacing w:val="-2"/>
        </w:rPr>
        <w:t>Deforestation</w:t>
      </w:r>
      <w:r w:rsidRPr="00256982">
        <w:rPr>
          <w:spacing w:val="-2"/>
        </w:rPr>
        <w:t xml:space="preserve">) and </w:t>
      </w:r>
      <w:r w:rsidRPr="00256982">
        <w:rPr>
          <w:i/>
          <w:spacing w:val="-2"/>
        </w:rPr>
        <w:t>Forest land remaining forest land</w:t>
      </w:r>
      <w:r w:rsidRPr="00256982">
        <w:rPr>
          <w:spacing w:val="-2"/>
        </w:rPr>
        <w:t xml:space="preserve"> (</w:t>
      </w:r>
      <w:r w:rsidRPr="00256982">
        <w:rPr>
          <w:i/>
          <w:spacing w:val="-2"/>
        </w:rPr>
        <w:t>Forest management</w:t>
      </w:r>
      <w:r w:rsidRPr="00256982">
        <w:rPr>
          <w:spacing w:val="-2"/>
        </w:rPr>
        <w:t>) are all key categories.</w:t>
      </w:r>
    </w:p>
    <w:p w14:paraId="0DFBEEF0" w14:textId="77777777" w:rsidR="000E7C76" w:rsidRPr="00256982" w:rsidRDefault="000E7C76" w:rsidP="000E7C76">
      <w:pPr>
        <w:pStyle w:val="Heading2"/>
        <w:keepNext w:val="0"/>
        <w:spacing w:before="240"/>
      </w:pPr>
      <w:bookmarkStart w:id="2822" w:name="_Toc261513304"/>
      <w:bookmarkStart w:id="2823" w:name="_Toc261513917"/>
      <w:bookmarkStart w:id="2824" w:name="_Toc280630407"/>
      <w:bookmarkStart w:id="2825" w:name="_Toc310423470"/>
      <w:bookmarkStart w:id="2826" w:name="_Toc342470738"/>
      <w:bookmarkStart w:id="2827" w:name="_Toc352504897"/>
      <w:bookmarkStart w:id="2828" w:name="_Toc377043731"/>
      <w:bookmarkStart w:id="2829" w:name="_Toc391023467"/>
      <w:bookmarkStart w:id="2830" w:name="_Toc400967271"/>
      <w:bookmarkStart w:id="2831" w:name="_Toc414531346"/>
      <w:bookmarkStart w:id="2832" w:name="_Toc456179175"/>
      <w:bookmarkStart w:id="2833" w:name="_Toc481751428"/>
      <w:bookmarkStart w:id="2834" w:name="_Toc522013967"/>
      <w:bookmarkStart w:id="2835" w:name="_Toc5269411"/>
      <w:r w:rsidRPr="00256982">
        <w:t>11.7</w:t>
      </w:r>
      <w:r w:rsidRPr="00256982">
        <w:tab/>
        <w:t>Information relating to Article 6</w:t>
      </w:r>
      <w:bookmarkEnd w:id="2822"/>
      <w:bookmarkEnd w:id="2823"/>
      <w:bookmarkEnd w:id="2824"/>
      <w:bookmarkEnd w:id="2825"/>
      <w:bookmarkEnd w:id="2826"/>
      <w:bookmarkEnd w:id="2827"/>
      <w:bookmarkEnd w:id="2828"/>
      <w:bookmarkEnd w:id="2829"/>
      <w:bookmarkEnd w:id="2830"/>
      <w:bookmarkEnd w:id="2831"/>
      <w:bookmarkEnd w:id="2832"/>
      <w:bookmarkEnd w:id="2833"/>
      <w:bookmarkEnd w:id="2834"/>
      <w:bookmarkEnd w:id="2835"/>
    </w:p>
    <w:p w14:paraId="150A3725" w14:textId="77777777" w:rsidR="000E7C76" w:rsidRPr="00256982" w:rsidRDefault="000E7C76" w:rsidP="000E7C76">
      <w:pPr>
        <w:pStyle w:val="BodyText"/>
      </w:pPr>
      <w:r w:rsidRPr="00256982">
        <w:t>New Zealand is not involved in any LULUCF activities under Article 6 of the Kyoto Protocol.</w:t>
      </w:r>
    </w:p>
    <w:p w14:paraId="43F244A2" w14:textId="77777777" w:rsidR="000E7C76" w:rsidRPr="00256982" w:rsidRDefault="000E7C76" w:rsidP="000E7C76">
      <w:pPr>
        <w:pStyle w:val="Heading2"/>
        <w:spacing w:before="0" w:after="360"/>
      </w:pPr>
      <w:r w:rsidRPr="00256982">
        <w:br w:type="page"/>
      </w:r>
      <w:bookmarkStart w:id="2836" w:name="_Toc342470739"/>
      <w:bookmarkStart w:id="2837" w:name="_Toc352504898"/>
      <w:bookmarkStart w:id="2838" w:name="_Toc377043732"/>
      <w:bookmarkStart w:id="2839" w:name="_Toc391023468"/>
      <w:bookmarkStart w:id="2840" w:name="_Toc400967272"/>
      <w:bookmarkStart w:id="2841" w:name="_Toc414531347"/>
      <w:bookmarkStart w:id="2842" w:name="_Toc456179176"/>
      <w:bookmarkStart w:id="2843" w:name="_Toc481751429"/>
      <w:bookmarkStart w:id="2844" w:name="_Toc522013968"/>
      <w:bookmarkStart w:id="2845" w:name="_Toc5269412"/>
      <w:r w:rsidRPr="00256982">
        <w:t>Chapter 11: References</w:t>
      </w:r>
      <w:bookmarkEnd w:id="2836"/>
      <w:bookmarkEnd w:id="2837"/>
      <w:bookmarkEnd w:id="2838"/>
      <w:bookmarkEnd w:id="2839"/>
      <w:bookmarkEnd w:id="2840"/>
      <w:bookmarkEnd w:id="2841"/>
      <w:bookmarkEnd w:id="2842"/>
      <w:bookmarkEnd w:id="2843"/>
      <w:bookmarkEnd w:id="2844"/>
      <w:bookmarkEnd w:id="2845"/>
    </w:p>
    <w:p w14:paraId="403FCB8D" w14:textId="77777777" w:rsidR="000E7C76" w:rsidRPr="00256982" w:rsidRDefault="000E7C76" w:rsidP="000E7C76">
      <w:pPr>
        <w:pStyle w:val="References"/>
      </w:pPr>
      <w:r w:rsidRPr="00256982">
        <w:t xml:space="preserve">Forest Industry Training and Education Council. 2005. </w:t>
      </w:r>
      <w:r w:rsidRPr="00256982">
        <w:rPr>
          <w:i/>
        </w:rPr>
        <w:t>Best Practice Guidelines for Land Preparation</w:t>
      </w:r>
      <w:r w:rsidRPr="00256982">
        <w:t xml:space="preserve">. Revised edn. Rotorua: Forest Industry Training and Education Council. </w:t>
      </w:r>
    </w:p>
    <w:p w14:paraId="6A70ABC0" w14:textId="77777777" w:rsidR="000E7C76" w:rsidRPr="00256982" w:rsidRDefault="000E7C76" w:rsidP="000E7C76">
      <w:pPr>
        <w:pStyle w:val="References"/>
      </w:pPr>
      <w:r w:rsidRPr="00256982">
        <w:t xml:space="preserve">Goulding CJ. Unpublished. A Review of Current Deforestation Activities, Covering Age of Trees Harvested, Methods Used, and the Amount of Material Remaining. Contract report prepared for the Ministry for the Environment by New Zealand Forest Research Institute Limited (trading as Scion). </w:t>
      </w:r>
    </w:p>
    <w:p w14:paraId="7F79C22F" w14:textId="77777777" w:rsidR="000E7C76" w:rsidRPr="00256982" w:rsidRDefault="000E7C76" w:rsidP="000E7C76">
      <w:pPr>
        <w:pStyle w:val="References"/>
      </w:pPr>
      <w:r w:rsidRPr="00256982">
        <w:t xml:space="preserve">Indufor Asia Pacific. 2013. </w:t>
      </w:r>
      <w:r w:rsidRPr="00256982">
        <w:rPr>
          <w:i/>
        </w:rPr>
        <w:t>Deforestation Mapping 2012 – Final Report</w:t>
      </w:r>
      <w:r w:rsidRPr="00256982">
        <w:t>. Prepared for the Ministry for the Environment by Indufor Asia Pacific. Wellington: Ministry for the Environment.</w:t>
      </w:r>
    </w:p>
    <w:p w14:paraId="7D1B7251" w14:textId="77777777" w:rsidR="000E7C76" w:rsidRPr="00256982" w:rsidRDefault="000E7C76" w:rsidP="000E7C76">
      <w:pPr>
        <w:pStyle w:val="References"/>
      </w:pPr>
      <w:r w:rsidRPr="00256982">
        <w:t xml:space="preserve">Indufor Asia Pacific. 2016. </w:t>
      </w:r>
      <w:r w:rsidRPr="00256982">
        <w:rPr>
          <w:i/>
        </w:rPr>
        <w:t>Deforestation Mapping 2013 &amp; 2014 – Final Report</w:t>
      </w:r>
      <w:r w:rsidRPr="00256982">
        <w:t>. Prepared for the Ministry for the Environment by Indufor Asia Pacific. Wellington: Ministry for the Environment.</w:t>
      </w:r>
    </w:p>
    <w:p w14:paraId="20FD8756" w14:textId="77777777" w:rsidR="000E7C76" w:rsidRPr="00256982" w:rsidRDefault="000E7C76" w:rsidP="000E7C76">
      <w:pPr>
        <w:pStyle w:val="References"/>
      </w:pPr>
      <w:r w:rsidRPr="00256982">
        <w:t>Indufor Asia Pacific. 2018.</w:t>
      </w:r>
      <w:r w:rsidRPr="00256982">
        <w:rPr>
          <w:i/>
        </w:rPr>
        <w:t xml:space="preserve"> Deforestation Mapping 2015 &amp; 2016 – Final Report</w:t>
      </w:r>
      <w:r w:rsidRPr="00256982">
        <w:t>. Prepared for the Ministry for the Environment by Indufor Asia Pacific. Wellington: Ministry for the Environment.</w:t>
      </w:r>
    </w:p>
    <w:p w14:paraId="393DB619" w14:textId="77777777" w:rsidR="000E7C76" w:rsidRPr="00256982" w:rsidRDefault="000E7C76" w:rsidP="000E7C76">
      <w:pPr>
        <w:pStyle w:val="References"/>
      </w:pPr>
      <w:r w:rsidRPr="00256982">
        <w:t xml:space="preserve">IPCC. 2006a. Eggleston HS, Buendia L, Miwa K, Ngara T, Tanabe K (eds). </w:t>
      </w:r>
      <w:r w:rsidRPr="00256982">
        <w:rPr>
          <w:i/>
        </w:rPr>
        <w:t>2006</w:t>
      </w:r>
      <w:r w:rsidRPr="00256982">
        <w:t xml:space="preserve"> </w:t>
      </w:r>
      <w:r w:rsidRPr="00256982">
        <w:rPr>
          <w:i/>
        </w:rPr>
        <w:t>IPCC Guidelines for National Greenhouse Gas Inventories. Volume 4. Agriculture, Forestry and Other Land Use.</w:t>
      </w:r>
      <w:r w:rsidRPr="00256982">
        <w:t xml:space="preserve"> </w:t>
      </w:r>
      <w:r w:rsidRPr="00256982">
        <w:rPr>
          <w:i/>
        </w:rPr>
        <w:t>IPCC National Greenhouse Gas Inventories Programme</w:t>
      </w:r>
      <w:r w:rsidRPr="00256982">
        <w:t>. Japan: Institute for Global Environmental Strategies for IPCC.</w:t>
      </w:r>
    </w:p>
    <w:p w14:paraId="0F7FBE58" w14:textId="77777777" w:rsidR="000E7C76" w:rsidRPr="00256982" w:rsidRDefault="000E7C76" w:rsidP="000E7C76">
      <w:pPr>
        <w:pStyle w:val="References"/>
      </w:pPr>
      <w:r w:rsidRPr="00256982">
        <w:t xml:space="preserve">IPCC. 2006b. Eggleston HS, Buendia L, Miwa K, Ngara T, Tanabe K (eds). </w:t>
      </w:r>
      <w:r w:rsidRPr="00256982">
        <w:rPr>
          <w:i/>
        </w:rPr>
        <w:t>2006 IPCC General Guidance and Reporting, Volume 1. IPCC National Greenhouse Gas Inventories Programme</w:t>
      </w:r>
      <w:r w:rsidRPr="00256982">
        <w:t xml:space="preserve">. Japan: Institute for Global Environmental Strategies for IPCC. </w:t>
      </w:r>
    </w:p>
    <w:p w14:paraId="32B5E09B" w14:textId="77777777" w:rsidR="000E7C76" w:rsidRPr="00256982" w:rsidRDefault="000E7C76" w:rsidP="000E7C76">
      <w:pPr>
        <w:pStyle w:val="References"/>
      </w:pPr>
      <w:r w:rsidRPr="00256982">
        <w:t xml:space="preserve">IPCC. 2014a. Hiraishi T, Krug T, Tanabe K, Srivastava N, Baasansuren J, Fukuda M, Troxler TG (eds). </w:t>
      </w:r>
      <w:r w:rsidRPr="00256982">
        <w:rPr>
          <w:i/>
          <w:iCs/>
        </w:rPr>
        <w:t>2013 Revised Supplementary Methods and Good Practice Guidance Arising from the Kyoto Protocol</w:t>
      </w:r>
      <w:r w:rsidRPr="00256982">
        <w:t>. Switzerland: IPCC.</w:t>
      </w:r>
    </w:p>
    <w:p w14:paraId="06765B5A" w14:textId="77777777" w:rsidR="000E7C76" w:rsidRPr="00256982" w:rsidRDefault="000E7C76" w:rsidP="000E7C76">
      <w:pPr>
        <w:pStyle w:val="References"/>
      </w:pPr>
      <w:r w:rsidRPr="00256982">
        <w:t xml:space="preserve">IPCC. 2014b. Hiraishi T, Krug T, Tanabe K, Srivastava N, Baasansuren J, Fukuda M, Troxler TG (eds). </w:t>
      </w:r>
      <w:r w:rsidRPr="00256982">
        <w:rPr>
          <w:i/>
          <w:iCs/>
        </w:rPr>
        <w:t>2013 Supplement to the 2006 IPCC Guidelines for National Greenhouse Gas Inventories: Wetlands.</w:t>
      </w:r>
      <w:r w:rsidRPr="00256982">
        <w:t xml:space="preserve"> Switzerland: IPCC.</w:t>
      </w:r>
    </w:p>
    <w:p w14:paraId="059B324A" w14:textId="77777777" w:rsidR="000E7C76" w:rsidRPr="00256982" w:rsidRDefault="000E7C76" w:rsidP="000E7C76">
      <w:pPr>
        <w:pStyle w:val="References"/>
        <w:spacing w:after="100"/>
      </w:pPr>
      <w:r w:rsidRPr="00256982">
        <w:t xml:space="preserve">Manley B. 2009. </w:t>
      </w:r>
      <w:r w:rsidRPr="00256982">
        <w:rPr>
          <w:i/>
          <w:iCs/>
        </w:rPr>
        <w:t>2008 Deforestation Intentions Survey</w:t>
      </w:r>
      <w:r w:rsidRPr="00256982">
        <w:t>. Wellington: Contract report prepared for the Ministry of Agriculture and Forestry by New Zealand School of Forestry, University of Canterbury. Wellington: Ministry of Agriculture and Forestry.</w:t>
      </w:r>
    </w:p>
    <w:p w14:paraId="2DE4E2E7" w14:textId="77777777" w:rsidR="000E7C76" w:rsidRPr="00256982" w:rsidRDefault="000E7C76" w:rsidP="000E7C76">
      <w:pPr>
        <w:pStyle w:val="References"/>
        <w:spacing w:after="100"/>
      </w:pPr>
      <w:r w:rsidRPr="00256982">
        <w:t xml:space="preserve">Manley B. 2016. </w:t>
      </w:r>
      <w:r w:rsidRPr="00256982">
        <w:rPr>
          <w:i/>
          <w:iCs/>
        </w:rPr>
        <w:t>Deforestation Survey 2015</w:t>
      </w:r>
      <w:r w:rsidRPr="00256982">
        <w:t>. Wellington: Ministry for Primary Industries.</w:t>
      </w:r>
    </w:p>
    <w:p w14:paraId="40E17D3A" w14:textId="77777777" w:rsidR="000E7C76" w:rsidRPr="00256982" w:rsidRDefault="000E7C76" w:rsidP="000E7C76">
      <w:pPr>
        <w:pStyle w:val="References"/>
      </w:pPr>
      <w:r w:rsidRPr="00256982">
        <w:t xml:space="preserve">Manley B. 2018. </w:t>
      </w:r>
      <w:r w:rsidRPr="00256982">
        <w:rPr>
          <w:i/>
        </w:rPr>
        <w:t>Deforestation Intentions Survey 2017</w:t>
      </w:r>
      <w:r w:rsidRPr="00256982">
        <w:t>. Wellington: Ministry for Primary Industries.</w:t>
      </w:r>
    </w:p>
    <w:p w14:paraId="258DF496" w14:textId="77777777" w:rsidR="000E7C76" w:rsidRPr="00256982" w:rsidRDefault="000E7C76" w:rsidP="000E7C76">
      <w:pPr>
        <w:pStyle w:val="References"/>
      </w:pPr>
      <w:r w:rsidRPr="00256982">
        <w:t xml:space="preserve">Ministry for Primary Industries. 2014. </w:t>
      </w:r>
      <w:r w:rsidRPr="00256982">
        <w:rPr>
          <w:i/>
          <w:iCs/>
        </w:rPr>
        <w:t>Erosion Control Funding Programme (East Coast) (ECFP)</w:t>
      </w:r>
      <w:r w:rsidRPr="00256982">
        <w:t xml:space="preserve">. Wellington: Ministry for Primary Industries. Retrieved from www.mpi.govt.nz/funding-and-programmes/forestry/erosion-control-funding-programme (18 January 2017). </w:t>
      </w:r>
    </w:p>
    <w:p w14:paraId="51ECE227" w14:textId="77777777" w:rsidR="000E7C76" w:rsidRPr="00256982" w:rsidRDefault="000E7C76" w:rsidP="000E7C76">
      <w:pPr>
        <w:pStyle w:val="References"/>
      </w:pPr>
      <w:r w:rsidRPr="00256982">
        <w:rPr>
          <w:spacing w:val="-2"/>
        </w:rPr>
        <w:t xml:space="preserve">Ministry for Primary Industries. 2015a. </w:t>
      </w:r>
      <w:r w:rsidRPr="00256982">
        <w:rPr>
          <w:i/>
          <w:iCs/>
          <w:spacing w:val="-2"/>
        </w:rPr>
        <w:t>Afforestation Grant Scheme</w:t>
      </w:r>
      <w:r w:rsidRPr="00256982">
        <w:rPr>
          <w:spacing w:val="-2"/>
        </w:rPr>
        <w:t>. Wellington: Ministry for Primary Industries. Retrieved from www.mpi.govt.nz/funding-and-programmes/forestry/afforestation-grant-scheme</w:t>
      </w:r>
      <w:r w:rsidRPr="00256982">
        <w:t xml:space="preserve"> (23 January 2018).</w:t>
      </w:r>
    </w:p>
    <w:p w14:paraId="07ACCCD6" w14:textId="77777777" w:rsidR="000E7C76" w:rsidRPr="00256982" w:rsidRDefault="000E7C76" w:rsidP="000E7C76">
      <w:pPr>
        <w:pStyle w:val="References"/>
      </w:pPr>
      <w:r w:rsidRPr="00256982">
        <w:t xml:space="preserve">Ministry for Primary Industries. 2015b. </w:t>
      </w:r>
      <w:r w:rsidRPr="00256982">
        <w:rPr>
          <w:i/>
          <w:iCs/>
        </w:rPr>
        <w:t>Guide to the</w:t>
      </w:r>
      <w:r w:rsidRPr="00256982">
        <w:t xml:space="preserve"> </w:t>
      </w:r>
      <w:r w:rsidRPr="00256982">
        <w:rPr>
          <w:i/>
          <w:iCs/>
        </w:rPr>
        <w:t>Permanent Forest Sink Initiative</w:t>
      </w:r>
      <w:r w:rsidRPr="00256982">
        <w:t>. Wellington: Ministry for Primary Industries. Retrieved from www.mpi.govt.nz/funding-and-programmes/forestry/ permanent-forest-sink-initiative (23 January 2018).</w:t>
      </w:r>
    </w:p>
    <w:p w14:paraId="0B3AD8FB" w14:textId="77777777" w:rsidR="000E7C76" w:rsidRPr="00256982" w:rsidRDefault="000E7C76" w:rsidP="000E7C76">
      <w:pPr>
        <w:pStyle w:val="References"/>
      </w:pPr>
      <w:r w:rsidRPr="00256982">
        <w:t xml:space="preserve">Ministry for Primary Industries. 2015c. </w:t>
      </w:r>
      <w:r w:rsidRPr="00256982">
        <w:rPr>
          <w:i/>
          <w:iCs/>
        </w:rPr>
        <w:t>Sustainable Land Management Hill Country Erosion Programme</w:t>
      </w:r>
      <w:r w:rsidRPr="00256982">
        <w:t>. Wellington: Ministry for Primary Industries. Retrieved from www.mpi.govt.nz/funding-and-programmes/ environment-and-natural-resources/hill-country-erosion-programme (23 January 2018).</w:t>
      </w:r>
    </w:p>
    <w:p w14:paraId="6BA2C13D" w14:textId="77777777" w:rsidR="000E7C76" w:rsidRPr="00256982" w:rsidRDefault="000E7C76" w:rsidP="000E7C76">
      <w:pPr>
        <w:pStyle w:val="References"/>
      </w:pPr>
      <w:r w:rsidRPr="00256982">
        <w:t>Ministry for Primary Industries. 2015d.</w:t>
      </w:r>
      <w:r w:rsidRPr="00256982">
        <w:rPr>
          <w:i/>
          <w:iCs/>
        </w:rPr>
        <w:t xml:space="preserve"> An Overview of Forestry in the Emissions Trading Scheme</w:t>
      </w:r>
      <w:r w:rsidRPr="00256982">
        <w:t>. Wellington: Ministry for Primary Industries. Retrieved from www.mpi.govt.nz/growing-and-harvesting/ forestry/forestry-in-the-emissions-trading-scheme (8 January 2018).</w:t>
      </w:r>
    </w:p>
    <w:p w14:paraId="5DDC39DE" w14:textId="77777777" w:rsidR="000E7C76" w:rsidRPr="00256982" w:rsidRDefault="000E7C76" w:rsidP="000E7C76">
      <w:pPr>
        <w:pStyle w:val="References"/>
      </w:pPr>
      <w:r w:rsidRPr="00256982">
        <w:t xml:space="preserve">Ministry for Primary Industries. 2016. </w:t>
      </w:r>
      <w:r w:rsidRPr="00256982">
        <w:rPr>
          <w:i/>
          <w:iCs/>
        </w:rPr>
        <w:t>Material flow and end-use of harvested wood products produced from New Zealand log exports</w:t>
      </w:r>
      <w:r w:rsidRPr="00256982">
        <w:t>. Wellington: Ministry for Primary Industries.</w:t>
      </w:r>
    </w:p>
    <w:p w14:paraId="64A4EB76" w14:textId="77777777" w:rsidR="000E7C76" w:rsidRPr="00256982" w:rsidRDefault="000E7C76" w:rsidP="000E7C76">
      <w:pPr>
        <w:pStyle w:val="References"/>
      </w:pPr>
      <w:r w:rsidRPr="00256982">
        <w:t xml:space="preserve">Ministry for Primary Industries. 2017. </w:t>
      </w:r>
      <w:r w:rsidRPr="00256982">
        <w:rPr>
          <w:i/>
          <w:iCs/>
        </w:rPr>
        <w:t>National Exotic Forest Description as at 1 April 2017</w:t>
      </w:r>
      <w:r w:rsidRPr="00256982">
        <w:t>. Wellington: Ministry for Primary Industries.</w:t>
      </w:r>
    </w:p>
    <w:p w14:paraId="25EA0AB3" w14:textId="77777777" w:rsidR="000E7C76" w:rsidRPr="00256982" w:rsidRDefault="000E7C76" w:rsidP="000E7C76">
      <w:pPr>
        <w:pStyle w:val="References"/>
      </w:pPr>
      <w:r w:rsidRPr="00256982">
        <w:t>Ministry for Primary Industries. 2018</w:t>
      </w:r>
      <w:r w:rsidRPr="00256982">
        <w:rPr>
          <w:i/>
        </w:rPr>
        <w:t>. Forestry Production and Trade Statistics Detail the Production, Trade, and Other Forestry Activities in New Zealand</w:t>
      </w:r>
      <w:r w:rsidRPr="00256982">
        <w:t xml:space="preserve">. Wellington: Ministry for Primary Industries. Retrieved from </w:t>
      </w:r>
      <w:hyperlink r:id="rId258" w:history="1">
        <w:r w:rsidRPr="00256982">
          <w:rPr>
            <w:rStyle w:val="Hyperlink"/>
            <w:color w:val="auto"/>
          </w:rPr>
          <w:t>https://mpi.govt.nz/news-and-resources/statistics-and-forecasting/forestry</w:t>
        </w:r>
      </w:hyperlink>
      <w:r w:rsidRPr="00256982">
        <w:t xml:space="preserve"> (25 October 2018).</w:t>
      </w:r>
    </w:p>
    <w:p w14:paraId="1EA94008" w14:textId="77777777" w:rsidR="000E7C76" w:rsidRPr="00256982" w:rsidRDefault="000E7C76" w:rsidP="000E7C76">
      <w:pPr>
        <w:pStyle w:val="References"/>
      </w:pPr>
      <w:r w:rsidRPr="00256982">
        <w:t xml:space="preserve">Ministry for the Environment. 2006. </w:t>
      </w:r>
      <w:r w:rsidRPr="00256982">
        <w:rPr>
          <w:i/>
          <w:iCs/>
        </w:rPr>
        <w:t>New Zealand’s Initial Report under the Kyoto Protocol</w:t>
      </w:r>
      <w:r w:rsidRPr="00256982">
        <w:t>. Wellington: Ministry for the Environment. Retrieved from www.mfe.govt.nz/publications/climate-change/new-zealand%E2%80%99s-initial-report-under-kyoto-protocol (23 January 2018).</w:t>
      </w:r>
    </w:p>
    <w:p w14:paraId="5E0A45ED" w14:textId="77777777" w:rsidR="000E7C76" w:rsidRPr="00256982" w:rsidRDefault="000E7C76" w:rsidP="000E7C76">
      <w:pPr>
        <w:spacing w:after="120"/>
        <w:rPr>
          <w:sz w:val="20"/>
        </w:rPr>
      </w:pPr>
      <w:r w:rsidRPr="00256982">
        <w:rPr>
          <w:sz w:val="20"/>
        </w:rPr>
        <w:t xml:space="preserve">Ministry for the Environment. 2012. </w:t>
      </w:r>
      <w:r w:rsidRPr="00256982">
        <w:rPr>
          <w:i/>
          <w:sz w:val="20"/>
        </w:rPr>
        <w:t>Land Use and Carbon Analysis System: Satellite imagery interpretation guide for land use classes</w:t>
      </w:r>
      <w:r w:rsidRPr="00256982">
        <w:rPr>
          <w:sz w:val="20"/>
        </w:rPr>
        <w:t>. 2nd edn. Wellington: Ministry for the Environment.</w:t>
      </w:r>
    </w:p>
    <w:p w14:paraId="4B2978D4" w14:textId="77777777" w:rsidR="000E7C76" w:rsidRPr="00256982" w:rsidRDefault="000E7C76" w:rsidP="000E7C76">
      <w:pPr>
        <w:pStyle w:val="References"/>
      </w:pPr>
      <w:r w:rsidRPr="00256982">
        <w:t xml:space="preserve">Ministry for the Environment. 2015. </w:t>
      </w:r>
      <w:r w:rsidRPr="00256982">
        <w:rPr>
          <w:i/>
        </w:rPr>
        <w:t>New Zealand’s Greenhouse Gas Inventory 1990–2013</w:t>
      </w:r>
      <w:r w:rsidRPr="00256982">
        <w:t>. Wellington: Ministry for the Environment.</w:t>
      </w:r>
    </w:p>
    <w:p w14:paraId="110D2DCB" w14:textId="77777777" w:rsidR="000E7C76" w:rsidRPr="00256982" w:rsidRDefault="000E7C76" w:rsidP="000E7C76">
      <w:pPr>
        <w:pStyle w:val="References"/>
      </w:pPr>
      <w:r w:rsidRPr="00256982">
        <w:t xml:space="preserve">Ministry of Agriculture and Forestry. 2002. </w:t>
      </w:r>
      <w:r w:rsidRPr="00256982">
        <w:rPr>
          <w:i/>
          <w:iCs/>
        </w:rPr>
        <w:t>New Zealand Country Report.</w:t>
      </w:r>
      <w:r w:rsidRPr="00256982">
        <w:t xml:space="preserve"> Montreal Process Criteria and Indicators for the Conservation and Sustainable Management of Temperate and Boreal Forests 2003. Ministry of Agriculture and Forestry Technical Paper No: 2002/21, December. Wellington: Ministry of Agriculture and Forestry.</w:t>
      </w:r>
    </w:p>
    <w:p w14:paraId="41A270E1" w14:textId="77777777" w:rsidR="000E7C76" w:rsidRPr="00256982" w:rsidRDefault="000E7C76" w:rsidP="000E7C76">
      <w:pPr>
        <w:pStyle w:val="References"/>
      </w:pPr>
      <w:r w:rsidRPr="00256982">
        <w:t xml:space="preserve">Newsome P, Shepherd J, Meurk C, Samle M, Sutherland A, Heke H, Willoughby J. 2011. </w:t>
      </w:r>
      <w:r w:rsidRPr="00256982">
        <w:rPr>
          <w:i/>
        </w:rPr>
        <w:t>2012 Kyoto Land Use Mapping Pilot – Regional image mosaics, environmentally-limiting factors, tree-line assessment and trial land use mapping</w:t>
      </w:r>
      <w:r w:rsidRPr="00256982">
        <w:t>. Wellington: Ministry for the Environment.</w:t>
      </w:r>
    </w:p>
    <w:p w14:paraId="0FD1410E" w14:textId="77777777" w:rsidR="000E7C76" w:rsidRPr="00256982" w:rsidRDefault="000E7C76" w:rsidP="000E7C76">
      <w:pPr>
        <w:pStyle w:val="References"/>
      </w:pPr>
      <w:r w:rsidRPr="00256982">
        <w:t xml:space="preserve">Rhodes D, Novis J. 2002. </w:t>
      </w:r>
      <w:r w:rsidRPr="00256982">
        <w:rPr>
          <w:i/>
        </w:rPr>
        <w:t>The Impact of Incentives on the Development of Plantation Forest Resources in New Zealand</w:t>
      </w:r>
      <w:r w:rsidRPr="00256982">
        <w:t>. MAF information paper no 45. MAF policy division. Wellington: Ministry of Agriculture and Forestry.</w:t>
      </w:r>
    </w:p>
    <w:p w14:paraId="69B97D57" w14:textId="77777777" w:rsidR="000E7C76" w:rsidRPr="00256982" w:rsidRDefault="000E7C76" w:rsidP="000E7C76">
      <w:pPr>
        <w:pStyle w:val="References"/>
      </w:pPr>
      <w:r w:rsidRPr="00256982">
        <w:t xml:space="preserve">Robertson KA. 1998. Loss of organic matter and carbon during slash burns in New Zealand exotic forests. </w:t>
      </w:r>
      <w:r w:rsidRPr="00256982">
        <w:rPr>
          <w:i/>
        </w:rPr>
        <w:t>New Zealand Journal of Forestry Science</w:t>
      </w:r>
      <w:r w:rsidRPr="00256982">
        <w:t xml:space="preserve"> 28(2): 221–241.</w:t>
      </w:r>
    </w:p>
    <w:p w14:paraId="0C0A68D9" w14:textId="77777777" w:rsidR="000E7C76" w:rsidRPr="00256982" w:rsidRDefault="000E7C76" w:rsidP="000E7C76">
      <w:pPr>
        <w:pStyle w:val="References"/>
      </w:pPr>
      <w:r w:rsidRPr="00256982">
        <w:t xml:space="preserve">Te Uru Rākau. 2018. </w:t>
      </w:r>
      <w:r w:rsidRPr="00256982">
        <w:rPr>
          <w:i/>
        </w:rPr>
        <w:t>One Billion Trees Fund.</w:t>
      </w:r>
      <w:r w:rsidRPr="00256982">
        <w:t xml:space="preserve"> Wellington: Te Uru Rākau. Retrieved from www.mpi.govt.nz/funding-and-programmes/forestry/planting-one-billion-trees/one-billion-tree-fund (5 February 2019).</w:t>
      </w:r>
    </w:p>
    <w:p w14:paraId="0664F213" w14:textId="77777777" w:rsidR="000E7C76" w:rsidRPr="00256982" w:rsidRDefault="000E7C76" w:rsidP="000E7C76">
      <w:pPr>
        <w:pStyle w:val="References"/>
      </w:pPr>
      <w:r w:rsidRPr="00256982">
        <w:t>UNFCCC. 2006</w:t>
      </w:r>
      <w:r w:rsidRPr="00256982">
        <w:rPr>
          <w:i/>
        </w:rPr>
        <w:t>. Report of the Conference of the Parties serving as the meeting of the Parties to the Kyoto Protocol on its first session, held at Montreal from 28 November to 10 December 2005: Addendum – Part 2: Action taken by the Conference of the Parties serving as the meeting of the Parties to the Kyoto Protocol at its first session</w:t>
      </w:r>
      <w:r w:rsidRPr="00256982">
        <w:t>. FCCC/KP/CMP/2005/8/Add.3.</w:t>
      </w:r>
    </w:p>
    <w:p w14:paraId="69A780F1" w14:textId="77777777" w:rsidR="000E7C76" w:rsidRPr="00256982" w:rsidRDefault="000E7C76" w:rsidP="000E7C76">
      <w:pPr>
        <w:pStyle w:val="References"/>
      </w:pPr>
      <w:r w:rsidRPr="00256982">
        <w:t>UNFCCC. 2012</w:t>
      </w:r>
      <w:r w:rsidRPr="00256982">
        <w:rPr>
          <w:i/>
        </w:rPr>
        <w:t>. Report of the Conference of the Parties serving as the meeting of the Parties to the Kyoto Protocol on its seventh session, held in Durban from 28 November to 11 December 2011: Addendum – Part 2: Action taken by the Conference of the Parties serving as the meeting of the Parties to the Kyoto Protocol at its seventh session</w:t>
      </w:r>
      <w:r w:rsidRPr="00256982">
        <w:t>. FCCC/KP/CMP/2011/10/Add.1.</w:t>
      </w:r>
    </w:p>
    <w:p w14:paraId="5A0A86AD" w14:textId="77777777" w:rsidR="000E7C76" w:rsidRPr="00256982" w:rsidRDefault="000E7C76" w:rsidP="000E7C76">
      <w:pPr>
        <w:pStyle w:val="References"/>
      </w:pPr>
      <w:r w:rsidRPr="00256982">
        <w:t xml:space="preserve">Wakelin SJ. Unpublished(a). </w:t>
      </w:r>
      <w:r w:rsidRPr="00256982">
        <w:rPr>
          <w:iCs/>
        </w:rPr>
        <w:t>Apportioning Wildfire Emissions to Forest Sub-categories in the National Greenhouse Gas Inventory</w:t>
      </w:r>
      <w:r w:rsidRPr="00256982">
        <w:t>. Contract report prepared for the Ministry for the Environment by New Zealand Forest Research Institute Limited (trading as Scion) in 2011.</w:t>
      </w:r>
    </w:p>
    <w:p w14:paraId="60DD6E9E" w14:textId="77777777" w:rsidR="000E7C76" w:rsidRPr="00256982" w:rsidRDefault="000E7C76" w:rsidP="000E7C76">
      <w:pPr>
        <w:pStyle w:val="References"/>
      </w:pPr>
      <w:r w:rsidRPr="00256982">
        <w:t xml:space="preserve">Wakelin SJ. Unpublished(b). </w:t>
      </w:r>
      <w:r w:rsidRPr="00256982">
        <w:rPr>
          <w:iCs/>
        </w:rPr>
        <w:t>Controlled Biomass Burning Emissions for the 2011 Greenhouse Gas Inventory</w:t>
      </w:r>
      <w:r w:rsidRPr="00256982">
        <w:t>. Contract report prepared for the Ministry for the Environment by New Zealand Forest Research Institute Limited (trading as Scion) in 2012.</w:t>
      </w:r>
    </w:p>
    <w:p w14:paraId="29E98016" w14:textId="77777777" w:rsidR="000E7C76" w:rsidRPr="00256982" w:rsidRDefault="000E7C76" w:rsidP="000E7C76">
      <w:pPr>
        <w:pStyle w:val="References"/>
      </w:pPr>
    </w:p>
    <w:p w14:paraId="304D331A" w14:textId="23CA8826" w:rsidR="000E7C76" w:rsidRPr="00256982" w:rsidRDefault="005226D6" w:rsidP="005226D6">
      <w:pPr>
        <w:pStyle w:val="Heading1"/>
      </w:pPr>
      <w:r w:rsidRPr="00256982">
        <w:br w:type="page"/>
      </w:r>
      <w:bookmarkStart w:id="2846" w:name="_Toc5269413"/>
      <w:r w:rsidRPr="00256982">
        <w:t>Chapter 12: Information on accounting of the Kyoto</w:t>
      </w:r>
      <w:r w:rsidR="005C5169" w:rsidRPr="00256982">
        <w:t> </w:t>
      </w:r>
      <w:r w:rsidRPr="00256982">
        <w:t>Protocol</w:t>
      </w:r>
      <w:r w:rsidR="005C5169" w:rsidRPr="00256982">
        <w:t> </w:t>
      </w:r>
      <w:r w:rsidRPr="00256982">
        <w:t>units</w:t>
      </w:r>
      <w:bookmarkEnd w:id="2846"/>
    </w:p>
    <w:p w14:paraId="469C54CB" w14:textId="77777777" w:rsidR="005226D6" w:rsidRPr="00256982" w:rsidRDefault="005226D6" w:rsidP="005226D6">
      <w:pPr>
        <w:pStyle w:val="Heading2"/>
        <w:spacing w:before="240"/>
      </w:pPr>
      <w:bookmarkStart w:id="2847" w:name="_Toc235955566"/>
      <w:bookmarkStart w:id="2848" w:name="_Toc481751431"/>
      <w:bookmarkStart w:id="2849" w:name="_Toc511116646"/>
      <w:bookmarkStart w:id="2850" w:name="_Toc5269414"/>
      <w:r w:rsidRPr="00256982">
        <w:t>12.1</w:t>
      </w:r>
      <w:r w:rsidRPr="00256982">
        <w:tab/>
        <w:t>Background information</w:t>
      </w:r>
      <w:bookmarkEnd w:id="2847"/>
      <w:bookmarkEnd w:id="2848"/>
      <w:bookmarkEnd w:id="2849"/>
      <w:bookmarkEnd w:id="2850"/>
    </w:p>
    <w:p w14:paraId="766DCC94" w14:textId="471E42C4" w:rsidR="005226D6" w:rsidRPr="00256982" w:rsidRDefault="005226D6" w:rsidP="005226D6">
      <w:pPr>
        <w:pStyle w:val="Heading3"/>
        <w:ind w:left="993" w:hanging="993"/>
      </w:pPr>
      <w:r w:rsidRPr="00256982">
        <w:t>12.1.1</w:t>
      </w:r>
      <w:r w:rsidRPr="00256982">
        <w:tab/>
        <w:t>Assigned amount and commitment period reserve</w:t>
      </w:r>
    </w:p>
    <w:p w14:paraId="6D4E4BFD" w14:textId="77777777" w:rsidR="005226D6" w:rsidRPr="00256982" w:rsidRDefault="005226D6" w:rsidP="005226D6">
      <w:pPr>
        <w:pStyle w:val="BodyText"/>
      </w:pPr>
      <w:r w:rsidRPr="00256982">
        <w:t>In January 2008, New Zealand’s national registry was issued with New Zealand’s assigned amount of 309,564,733 metric tonnes of carbon dioxide equivalent (CO</w:t>
      </w:r>
      <w:r w:rsidRPr="00256982">
        <w:rPr>
          <w:vertAlign w:val="subscript"/>
        </w:rPr>
        <w:t>2</w:t>
      </w:r>
      <w:r w:rsidRPr="00256982">
        <w:t xml:space="preserve">-e). </w:t>
      </w:r>
    </w:p>
    <w:p w14:paraId="6FC61D6C" w14:textId="77777777" w:rsidR="005226D6" w:rsidRPr="00256982" w:rsidRDefault="005226D6" w:rsidP="005226D6">
      <w:pPr>
        <w:pStyle w:val="BodyText"/>
      </w:pPr>
      <w:r w:rsidRPr="00256982">
        <w:t>The commitment period reserve for the first commitment period (CP1) of 278,608,260 metric tonnes of CO</w:t>
      </w:r>
      <w:r w:rsidRPr="00256982">
        <w:rPr>
          <w:vertAlign w:val="subscript"/>
        </w:rPr>
        <w:t>2</w:t>
      </w:r>
      <w:r w:rsidRPr="00256982">
        <w:t>-e is 90 per cent of the assigned amount, fixed after the initial review in 2007.</w:t>
      </w:r>
    </w:p>
    <w:p w14:paraId="1E63A376" w14:textId="6EF446E5" w:rsidR="005226D6" w:rsidRPr="00256982" w:rsidRDefault="005226D6" w:rsidP="005226D6">
      <w:pPr>
        <w:pStyle w:val="Heading3"/>
        <w:ind w:left="993" w:hanging="993"/>
      </w:pPr>
      <w:r w:rsidRPr="00256982">
        <w:t>12.1.2</w:t>
      </w:r>
      <w:r w:rsidRPr="00256982">
        <w:tab/>
        <w:t>Holdings and transactions of Kyoto Protocol units</w:t>
      </w:r>
    </w:p>
    <w:p w14:paraId="6F8296A5" w14:textId="77777777" w:rsidR="005226D6" w:rsidRPr="00256982" w:rsidRDefault="005226D6" w:rsidP="005226D6">
      <w:pPr>
        <w:pStyle w:val="BodyText"/>
        <w:rPr>
          <w:spacing w:val="-2"/>
        </w:rPr>
      </w:pPr>
      <w:r w:rsidRPr="00256982">
        <w:rPr>
          <w:spacing w:val="-2"/>
        </w:rPr>
        <w:t>Tables detailing holdings and transactions of commitment period units have been submitted to the United Nations Framework Convention on Climate Change (UNFCCC) Secretariat electronically, and are also provided in the MS Excel worksheets available for download with this report from the Ministry for the Environment’s website (</w:t>
      </w:r>
      <w:hyperlink r:id="rId259" w:history="1">
        <w:r w:rsidRPr="00256982">
          <w:rPr>
            <w:spacing w:val="-2"/>
          </w:rPr>
          <w:t>www.mfe.govt.nz/publications/climate</w:t>
        </w:r>
      </w:hyperlink>
      <w:r w:rsidRPr="00256982">
        <w:rPr>
          <w:spacing w:val="-2"/>
        </w:rPr>
        <w:t>).</w:t>
      </w:r>
    </w:p>
    <w:p w14:paraId="7FDA1B4B" w14:textId="77777777" w:rsidR="005226D6" w:rsidRPr="00256982" w:rsidRDefault="005226D6" w:rsidP="005226D6">
      <w:pPr>
        <w:spacing w:before="120"/>
        <w:rPr>
          <w:b/>
        </w:rPr>
      </w:pPr>
      <w:r w:rsidRPr="00256982">
        <w:rPr>
          <w:b/>
        </w:rPr>
        <w:t>General note</w:t>
      </w:r>
    </w:p>
    <w:p w14:paraId="6D56070D" w14:textId="77777777" w:rsidR="005226D6" w:rsidRPr="00256982" w:rsidRDefault="005226D6" w:rsidP="005226D6">
      <w:pPr>
        <w:pStyle w:val="BodyText"/>
        <w:spacing w:after="0"/>
      </w:pPr>
      <w:r w:rsidRPr="00256982">
        <w:t>Abbreviations used in this chapter include:</w:t>
      </w:r>
    </w:p>
    <w:p w14:paraId="185972D7" w14:textId="77777777" w:rsidR="005226D6" w:rsidRPr="00256982" w:rsidRDefault="005226D6" w:rsidP="00C2222F">
      <w:pPr>
        <w:spacing w:before="60"/>
      </w:pPr>
      <w:r w:rsidRPr="00256982">
        <w:t>AAUs</w:t>
      </w:r>
      <w:r w:rsidRPr="00256982">
        <w:tab/>
      </w:r>
      <w:r w:rsidRPr="00256982">
        <w:tab/>
        <w:t>Assigned amount units</w:t>
      </w:r>
    </w:p>
    <w:p w14:paraId="3A9751FC" w14:textId="77777777" w:rsidR="005226D6" w:rsidRPr="00256982" w:rsidRDefault="005226D6" w:rsidP="00C2222F">
      <w:pPr>
        <w:spacing w:before="60"/>
      </w:pPr>
      <w:r w:rsidRPr="00256982">
        <w:t>ERUs</w:t>
      </w:r>
      <w:r w:rsidRPr="00256982">
        <w:tab/>
      </w:r>
      <w:r w:rsidRPr="00256982">
        <w:tab/>
        <w:t>Emission reduction units</w:t>
      </w:r>
    </w:p>
    <w:p w14:paraId="5A310D02" w14:textId="77777777" w:rsidR="005226D6" w:rsidRPr="00256982" w:rsidRDefault="005226D6" w:rsidP="00C2222F">
      <w:pPr>
        <w:spacing w:before="60"/>
      </w:pPr>
      <w:r w:rsidRPr="00256982">
        <w:t>RMUs</w:t>
      </w:r>
      <w:r w:rsidRPr="00256982">
        <w:tab/>
      </w:r>
      <w:r w:rsidRPr="00256982">
        <w:tab/>
        <w:t>Removal units</w:t>
      </w:r>
    </w:p>
    <w:p w14:paraId="26CCE51D" w14:textId="77777777" w:rsidR="005226D6" w:rsidRPr="00256982" w:rsidRDefault="005226D6" w:rsidP="00C2222F">
      <w:pPr>
        <w:spacing w:before="60"/>
      </w:pPr>
      <w:r w:rsidRPr="00256982">
        <w:t>CERs</w:t>
      </w:r>
      <w:r w:rsidRPr="00256982">
        <w:tab/>
      </w:r>
      <w:r w:rsidRPr="00256982">
        <w:tab/>
        <w:t>Certified emission reduction units</w:t>
      </w:r>
    </w:p>
    <w:p w14:paraId="1D7E45C8" w14:textId="77777777" w:rsidR="005226D6" w:rsidRPr="00256982" w:rsidRDefault="005226D6" w:rsidP="00C2222F">
      <w:pPr>
        <w:spacing w:before="60"/>
      </w:pPr>
      <w:r w:rsidRPr="00256982">
        <w:t>tCERS</w:t>
      </w:r>
      <w:r w:rsidRPr="00256982">
        <w:tab/>
      </w:r>
      <w:r w:rsidRPr="00256982">
        <w:tab/>
        <w:t>Temporary certified emission reduction units</w:t>
      </w:r>
    </w:p>
    <w:p w14:paraId="1047BEA2" w14:textId="77777777" w:rsidR="005226D6" w:rsidRPr="00256982" w:rsidRDefault="005226D6" w:rsidP="00C2222F">
      <w:pPr>
        <w:spacing w:before="60"/>
      </w:pPr>
      <w:r w:rsidRPr="00256982">
        <w:t>lCERs</w:t>
      </w:r>
      <w:r w:rsidRPr="00256982">
        <w:tab/>
      </w:r>
      <w:r w:rsidRPr="00256982">
        <w:tab/>
        <w:t>Long-term certified emission reduction units</w:t>
      </w:r>
    </w:p>
    <w:p w14:paraId="2B691070" w14:textId="77777777" w:rsidR="005226D6" w:rsidRPr="00256982" w:rsidRDefault="005226D6" w:rsidP="00C2222F">
      <w:pPr>
        <w:spacing w:before="60" w:after="120"/>
      </w:pPr>
      <w:r w:rsidRPr="00256982">
        <w:t xml:space="preserve">CDM </w:t>
      </w:r>
      <w:r w:rsidRPr="00256982">
        <w:tab/>
      </w:r>
      <w:r w:rsidRPr="00256982">
        <w:tab/>
        <w:t>Clean Development Mechanism</w:t>
      </w:r>
    </w:p>
    <w:p w14:paraId="78A86C61" w14:textId="77777777" w:rsidR="005226D6" w:rsidRPr="00256982" w:rsidRDefault="005226D6" w:rsidP="005226D6">
      <w:pPr>
        <w:pStyle w:val="Heading2"/>
      </w:pPr>
      <w:bookmarkStart w:id="2851" w:name="_Toc235955567"/>
      <w:bookmarkStart w:id="2852" w:name="_Toc481751432"/>
      <w:bookmarkStart w:id="2853" w:name="_Toc5269415"/>
      <w:r w:rsidRPr="00256982">
        <w:t>12.2</w:t>
      </w:r>
      <w:r w:rsidRPr="00256982">
        <w:tab/>
        <w:t>Summary of the standard electronic format tables for reporting Kyoto Protocol units</w:t>
      </w:r>
      <w:bookmarkEnd w:id="2851"/>
      <w:bookmarkEnd w:id="2852"/>
      <w:bookmarkEnd w:id="2853"/>
    </w:p>
    <w:p w14:paraId="7052C151" w14:textId="77777777" w:rsidR="005226D6" w:rsidRPr="00256982" w:rsidRDefault="005226D6" w:rsidP="005226D6">
      <w:pPr>
        <w:pStyle w:val="BodyText"/>
      </w:pPr>
      <w:r w:rsidRPr="00256982">
        <w:t xml:space="preserve">At the beginning of the calendar year </w:t>
      </w:r>
      <w:r w:rsidRPr="00256982">
        <w:rPr>
          <w:color w:val="000000"/>
        </w:rPr>
        <w:t>2018</w:t>
      </w:r>
      <w:r w:rsidRPr="00256982">
        <w:t>, New Zealand’s national registry held 308,343,858 CP1 AAUs, 110,744,560 CP1 ERUs, 21,685,909 CP1 CERs and 100,845,399 CP1 RMUs. No second commitment period (CP2) units were held by New Zealand in 2018.</w:t>
      </w:r>
    </w:p>
    <w:p w14:paraId="31CF38D6" w14:textId="77777777" w:rsidR="005226D6" w:rsidRPr="00256982" w:rsidRDefault="005226D6" w:rsidP="005226D6">
      <w:pPr>
        <w:pStyle w:val="BodyText"/>
      </w:pPr>
      <w:r w:rsidRPr="00256982">
        <w:t xml:space="preserve">At the end of </w:t>
      </w:r>
      <w:r w:rsidRPr="00256982">
        <w:rPr>
          <w:color w:val="000000"/>
        </w:rPr>
        <w:t>2018</w:t>
      </w:r>
      <w:r w:rsidRPr="00256982">
        <w:t xml:space="preserve">, the units held in New Zealand’s national registry remained at 308,343,858 AAUs, 110,744,560 ERUs, 21,685,909 CERs and 100,845,399 RMUs. </w:t>
      </w:r>
    </w:p>
    <w:p w14:paraId="75C43FAF" w14:textId="77777777" w:rsidR="005226D6" w:rsidRPr="00256982" w:rsidRDefault="005226D6" w:rsidP="005226D6">
      <w:pPr>
        <w:pStyle w:val="BodyText"/>
      </w:pPr>
      <w:r w:rsidRPr="00256982">
        <w:t xml:space="preserve">New Zealand’s national registry did not hold any tCERS or lCERs during </w:t>
      </w:r>
      <w:r w:rsidRPr="00256982">
        <w:rPr>
          <w:color w:val="000000"/>
        </w:rPr>
        <w:t>2018</w:t>
      </w:r>
      <w:r w:rsidRPr="00256982">
        <w:t>.</w:t>
      </w:r>
    </w:p>
    <w:p w14:paraId="04CC0388" w14:textId="77777777" w:rsidR="005226D6" w:rsidRPr="00256982" w:rsidRDefault="005226D6" w:rsidP="005226D6">
      <w:pPr>
        <w:pStyle w:val="BodyText"/>
      </w:pPr>
      <w:r w:rsidRPr="00256982">
        <w:t xml:space="preserve">The transactions made to New Zealand’s national registry during </w:t>
      </w:r>
      <w:r w:rsidRPr="00256982">
        <w:rPr>
          <w:color w:val="000000"/>
        </w:rPr>
        <w:t xml:space="preserve">2018 </w:t>
      </w:r>
      <w:r w:rsidRPr="00256982">
        <w:t>are summarised below.</w:t>
      </w:r>
    </w:p>
    <w:p w14:paraId="21B01BB3" w14:textId="77777777" w:rsidR="005226D6" w:rsidRPr="00256982" w:rsidRDefault="005226D6" w:rsidP="005226D6">
      <w:pPr>
        <w:pStyle w:val="Bullet"/>
        <w:numPr>
          <w:ilvl w:val="0"/>
          <w:numId w:val="8"/>
        </w:numPr>
        <w:rPr>
          <w:lang w:eastAsia="en-GB"/>
        </w:rPr>
      </w:pPr>
      <w:r w:rsidRPr="00256982">
        <w:rPr>
          <w:lang w:eastAsia="en-GB"/>
        </w:rPr>
        <w:t xml:space="preserve">No external transfers of Kyoto units occurred. A total of </w:t>
      </w:r>
      <w:r w:rsidRPr="00256982">
        <w:rPr>
          <w:color w:val="000000"/>
          <w:lang w:eastAsia="en-GB"/>
        </w:rPr>
        <w:t>52,384 AAUs</w:t>
      </w:r>
      <w:r w:rsidRPr="00256982">
        <w:rPr>
          <w:lang w:eastAsia="en-GB"/>
        </w:rPr>
        <w:t xml:space="preserve"> and 1 ERU were subtracted internally through voluntary cancellation. There were no conversions to ERUs. No CP2 Kyoto units were held by New Zealand during the 2018 year.</w:t>
      </w:r>
    </w:p>
    <w:p w14:paraId="7C236AB4" w14:textId="77777777" w:rsidR="005226D6" w:rsidRPr="00256982" w:rsidRDefault="005226D6" w:rsidP="005226D6">
      <w:pPr>
        <w:pStyle w:val="Table"/>
      </w:pPr>
      <w:bookmarkStart w:id="2854" w:name="_Toc481751639"/>
      <w:bookmarkStart w:id="2855" w:name="_Toc511116869"/>
      <w:bookmarkStart w:id="2856" w:name="_Toc5269637"/>
      <w:r w:rsidRPr="00256982">
        <w:t>Table 12.2.1</w:t>
      </w:r>
      <w:r w:rsidRPr="00256982">
        <w:tab/>
        <w:t>New Zealand’s submission of the standard electronic format</w:t>
      </w:r>
      <w:bookmarkEnd w:id="2854"/>
      <w:bookmarkEnd w:id="2855"/>
      <w:bookmarkEnd w:id="2856"/>
    </w:p>
    <w:tbl>
      <w:tblPr>
        <w:tblW w:w="8505" w:type="dxa"/>
        <w:tblInd w:w="108" w:type="dxa"/>
        <w:tblBorders>
          <w:top w:val="single" w:sz="4" w:space="0" w:color="365F91"/>
          <w:bottom w:val="single" w:sz="4" w:space="0" w:color="365F91"/>
          <w:insideH w:val="single" w:sz="4" w:space="0" w:color="365F91"/>
          <w:insideV w:val="single" w:sz="4" w:space="0" w:color="365F91"/>
        </w:tblBorders>
        <w:tblLook w:val="01E0" w:firstRow="1" w:lastRow="1" w:firstColumn="1" w:lastColumn="1" w:noHBand="0" w:noVBand="0"/>
      </w:tblPr>
      <w:tblGrid>
        <w:gridCol w:w="2694"/>
        <w:gridCol w:w="5811"/>
      </w:tblGrid>
      <w:tr w:rsidR="005226D6" w:rsidRPr="00256982" w14:paraId="085D3874" w14:textId="77777777" w:rsidTr="00642B3C">
        <w:tc>
          <w:tcPr>
            <w:tcW w:w="2694" w:type="dxa"/>
            <w:shd w:val="clear" w:color="auto" w:fill="365F91"/>
          </w:tcPr>
          <w:p w14:paraId="75C182EF" w14:textId="77777777" w:rsidR="005226D6" w:rsidRPr="00256982" w:rsidRDefault="005226D6" w:rsidP="00642B3C">
            <w:pPr>
              <w:pStyle w:val="TableTextBold"/>
              <w:rPr>
                <w:rFonts w:eastAsia="Calibri"/>
                <w:noProof w:val="0"/>
                <w:color w:val="FFFFFF"/>
              </w:rPr>
            </w:pPr>
            <w:r w:rsidRPr="00256982">
              <w:rPr>
                <w:rFonts w:eastAsia="Calibri"/>
                <w:noProof w:val="0"/>
                <w:color w:val="FFFFFF"/>
              </w:rPr>
              <w:t>Annual submission item</w:t>
            </w:r>
          </w:p>
        </w:tc>
        <w:tc>
          <w:tcPr>
            <w:tcW w:w="5811" w:type="dxa"/>
            <w:shd w:val="clear" w:color="auto" w:fill="365F91"/>
          </w:tcPr>
          <w:p w14:paraId="1BC8FB4B" w14:textId="77777777" w:rsidR="005226D6" w:rsidRPr="00256982" w:rsidRDefault="005226D6" w:rsidP="00642B3C">
            <w:pPr>
              <w:pStyle w:val="TableTextBold"/>
              <w:rPr>
                <w:rFonts w:eastAsia="Calibri"/>
                <w:noProof w:val="0"/>
                <w:color w:val="FFFFFF"/>
              </w:rPr>
            </w:pPr>
            <w:r w:rsidRPr="00256982">
              <w:rPr>
                <w:rFonts w:eastAsia="Calibri"/>
                <w:noProof w:val="0"/>
                <w:color w:val="FFFFFF"/>
              </w:rPr>
              <w:t>New Zealand’s national registry response</w:t>
            </w:r>
          </w:p>
        </w:tc>
      </w:tr>
      <w:tr w:rsidR="005226D6" w:rsidRPr="00256982" w14:paraId="52A1C533" w14:textId="77777777" w:rsidTr="00642B3C">
        <w:tc>
          <w:tcPr>
            <w:tcW w:w="2694" w:type="dxa"/>
            <w:shd w:val="clear" w:color="auto" w:fill="auto"/>
          </w:tcPr>
          <w:p w14:paraId="7B4B6333" w14:textId="77777777" w:rsidR="005226D6" w:rsidRPr="00256982" w:rsidRDefault="005226D6" w:rsidP="00642B3C">
            <w:pPr>
              <w:pStyle w:val="TableText"/>
              <w:rPr>
                <w:rFonts w:eastAsia="Calibri"/>
              </w:rPr>
            </w:pPr>
            <w:r w:rsidRPr="00256982">
              <w:rPr>
                <w:rFonts w:eastAsia="Calibri"/>
              </w:rPr>
              <w:t>15/CMP.1 annex I.E paragraph 11: Standard electronic format (SEF)</w:t>
            </w:r>
          </w:p>
        </w:tc>
        <w:tc>
          <w:tcPr>
            <w:tcW w:w="5811" w:type="dxa"/>
            <w:shd w:val="clear" w:color="auto" w:fill="auto"/>
          </w:tcPr>
          <w:p w14:paraId="16298A0D" w14:textId="77777777" w:rsidR="005226D6" w:rsidRPr="00256982" w:rsidRDefault="005226D6" w:rsidP="00642B3C">
            <w:pPr>
              <w:pStyle w:val="TableText"/>
              <w:rPr>
                <w:rFonts w:eastAsia="Calibri"/>
              </w:rPr>
            </w:pPr>
            <w:r w:rsidRPr="00256982">
              <w:rPr>
                <w:rFonts w:eastAsia="Calibri"/>
              </w:rPr>
              <w:t>The standard electronic format reports for 2018 first and second commitment period units have been submitted to the UNFCCC Secretariat electronically.</w:t>
            </w:r>
          </w:p>
        </w:tc>
      </w:tr>
    </w:tbl>
    <w:p w14:paraId="23172360" w14:textId="77777777" w:rsidR="005226D6" w:rsidRPr="00256982" w:rsidRDefault="005226D6" w:rsidP="005226D6">
      <w:pPr>
        <w:pStyle w:val="Heading2"/>
        <w:spacing w:before="480"/>
      </w:pPr>
      <w:bookmarkStart w:id="2857" w:name="_Toc481751433"/>
      <w:bookmarkStart w:id="2858" w:name="_Toc511116647"/>
      <w:bookmarkStart w:id="2859" w:name="_Toc5269416"/>
      <w:r w:rsidRPr="00256982">
        <w:t>12.3</w:t>
      </w:r>
      <w:r w:rsidRPr="00256982">
        <w:tab/>
        <w:t>Discrepancies and notifications</w:t>
      </w:r>
      <w:bookmarkEnd w:id="2857"/>
      <w:bookmarkEnd w:id="2858"/>
      <w:bookmarkEnd w:id="2859"/>
    </w:p>
    <w:p w14:paraId="49B4D84A" w14:textId="77777777" w:rsidR="005226D6" w:rsidRPr="00256982" w:rsidRDefault="005226D6" w:rsidP="005226D6">
      <w:pPr>
        <w:pStyle w:val="BodyText"/>
      </w:pPr>
      <w:r w:rsidRPr="00256982">
        <w:t xml:space="preserve">New Zealand has not received any notification of discrepancies, failures or invalid units. </w:t>
      </w:r>
    </w:p>
    <w:p w14:paraId="39DA747C" w14:textId="77777777" w:rsidR="005226D6" w:rsidRPr="00256982" w:rsidRDefault="005226D6" w:rsidP="005226D6">
      <w:pPr>
        <w:pStyle w:val="Table"/>
      </w:pPr>
      <w:bookmarkStart w:id="2860" w:name="_Toc481751642"/>
      <w:bookmarkStart w:id="2861" w:name="_Toc511116870"/>
      <w:bookmarkStart w:id="2862" w:name="_Toc5269638"/>
      <w:r w:rsidRPr="00256982">
        <w:t>Table 12.3.1</w:t>
      </w:r>
      <w:r w:rsidRPr="00256982">
        <w:tab/>
        <w:t>Discrepancies and notifications from New Zealand’s national registry</w:t>
      </w:r>
      <w:bookmarkEnd w:id="2860"/>
      <w:bookmarkEnd w:id="2861"/>
      <w:bookmarkEnd w:id="2862"/>
    </w:p>
    <w:tbl>
      <w:tblPr>
        <w:tblW w:w="8505" w:type="dxa"/>
        <w:tblInd w:w="108" w:type="dxa"/>
        <w:tblBorders>
          <w:top w:val="single" w:sz="4" w:space="0" w:color="365F91"/>
          <w:bottom w:val="single" w:sz="4" w:space="0" w:color="365F91"/>
          <w:insideH w:val="single" w:sz="4" w:space="0" w:color="365F91"/>
          <w:insideV w:val="single" w:sz="4" w:space="0" w:color="365F91"/>
        </w:tblBorders>
        <w:tblLook w:val="01E0" w:firstRow="1" w:lastRow="1" w:firstColumn="1" w:lastColumn="1" w:noHBand="0" w:noVBand="0"/>
      </w:tblPr>
      <w:tblGrid>
        <w:gridCol w:w="4081"/>
        <w:gridCol w:w="4424"/>
      </w:tblGrid>
      <w:tr w:rsidR="005226D6" w:rsidRPr="00256982" w14:paraId="1B89FF0D" w14:textId="77777777" w:rsidTr="00642B3C">
        <w:tc>
          <w:tcPr>
            <w:tcW w:w="3958" w:type="dxa"/>
            <w:tcBorders>
              <w:bottom w:val="single" w:sz="4" w:space="0" w:color="365F91"/>
            </w:tcBorders>
            <w:shd w:val="clear" w:color="auto" w:fill="365F91"/>
          </w:tcPr>
          <w:p w14:paraId="0CB39E94" w14:textId="77777777" w:rsidR="005226D6" w:rsidRPr="00256982" w:rsidRDefault="005226D6" w:rsidP="00642B3C">
            <w:pPr>
              <w:pStyle w:val="TableTextBold"/>
              <w:rPr>
                <w:rFonts w:eastAsia="Calibri"/>
                <w:noProof w:val="0"/>
                <w:color w:val="FFFFFF"/>
              </w:rPr>
            </w:pPr>
            <w:r w:rsidRPr="00256982">
              <w:rPr>
                <w:rFonts w:eastAsia="Calibri"/>
                <w:noProof w:val="0"/>
                <w:color w:val="FFFFFF"/>
              </w:rPr>
              <w:t>Annual submission item</w:t>
            </w:r>
          </w:p>
        </w:tc>
        <w:tc>
          <w:tcPr>
            <w:tcW w:w="4290" w:type="dxa"/>
            <w:tcBorders>
              <w:bottom w:val="single" w:sz="4" w:space="0" w:color="365F91"/>
            </w:tcBorders>
            <w:shd w:val="clear" w:color="auto" w:fill="365F91"/>
          </w:tcPr>
          <w:p w14:paraId="61D74BF6" w14:textId="77777777" w:rsidR="005226D6" w:rsidRPr="00256982" w:rsidRDefault="005226D6" w:rsidP="00642B3C">
            <w:pPr>
              <w:pStyle w:val="TableTextBold"/>
              <w:rPr>
                <w:rFonts w:eastAsia="Calibri"/>
                <w:noProof w:val="0"/>
                <w:color w:val="FFFFFF"/>
              </w:rPr>
            </w:pPr>
            <w:r w:rsidRPr="00256982">
              <w:rPr>
                <w:rFonts w:eastAsia="Calibri"/>
                <w:noProof w:val="0"/>
                <w:color w:val="FFFFFF"/>
              </w:rPr>
              <w:t>New Zealand’s national registry response</w:t>
            </w:r>
          </w:p>
        </w:tc>
      </w:tr>
      <w:tr w:rsidR="005226D6" w:rsidRPr="00256982" w14:paraId="0548E883" w14:textId="77777777" w:rsidTr="00642B3C">
        <w:tc>
          <w:tcPr>
            <w:tcW w:w="3958" w:type="dxa"/>
            <w:shd w:val="clear" w:color="auto" w:fill="auto"/>
          </w:tcPr>
          <w:p w14:paraId="180A51AB" w14:textId="77777777" w:rsidR="005226D6" w:rsidRPr="00256982" w:rsidRDefault="005226D6" w:rsidP="00642B3C">
            <w:pPr>
              <w:pStyle w:val="TableText"/>
              <w:spacing w:after="0"/>
              <w:rPr>
                <w:rFonts w:eastAsia="Calibri"/>
              </w:rPr>
            </w:pPr>
            <w:r w:rsidRPr="00256982">
              <w:rPr>
                <w:rFonts w:eastAsia="Calibri"/>
              </w:rPr>
              <w:t xml:space="preserve">15/CMP.1 annex I.E, paragraph 12: </w:t>
            </w:r>
          </w:p>
          <w:p w14:paraId="5EEBCC95" w14:textId="77777777" w:rsidR="005226D6" w:rsidRPr="00256982" w:rsidRDefault="005226D6" w:rsidP="00642B3C">
            <w:pPr>
              <w:pStyle w:val="TableText"/>
              <w:spacing w:before="0"/>
              <w:rPr>
                <w:rFonts w:eastAsia="Calibri"/>
              </w:rPr>
            </w:pPr>
            <w:r w:rsidRPr="00256982">
              <w:rPr>
                <w:rFonts w:eastAsia="Calibri"/>
              </w:rPr>
              <w:t>List of discrepant transactions</w:t>
            </w:r>
          </w:p>
        </w:tc>
        <w:tc>
          <w:tcPr>
            <w:tcW w:w="4290" w:type="dxa"/>
            <w:shd w:val="clear" w:color="auto" w:fill="auto"/>
          </w:tcPr>
          <w:p w14:paraId="17146A91" w14:textId="77777777" w:rsidR="005226D6" w:rsidRPr="00256982" w:rsidRDefault="005226D6" w:rsidP="00642B3C">
            <w:pPr>
              <w:pStyle w:val="TableText"/>
              <w:rPr>
                <w:rFonts w:eastAsia="Calibri"/>
              </w:rPr>
            </w:pPr>
            <w:r w:rsidRPr="00256982">
              <w:rPr>
                <w:rFonts w:eastAsia="Calibri"/>
              </w:rPr>
              <w:t xml:space="preserve">No discrepant transactions occurred in 2018. </w:t>
            </w:r>
          </w:p>
        </w:tc>
      </w:tr>
      <w:tr w:rsidR="005226D6" w:rsidRPr="00256982" w14:paraId="65CA3FE6" w14:textId="77777777" w:rsidTr="00642B3C">
        <w:tc>
          <w:tcPr>
            <w:tcW w:w="3958" w:type="dxa"/>
            <w:shd w:val="clear" w:color="auto" w:fill="auto"/>
          </w:tcPr>
          <w:p w14:paraId="590CA708" w14:textId="77777777" w:rsidR="005226D6" w:rsidRPr="00256982" w:rsidRDefault="005226D6" w:rsidP="00642B3C">
            <w:pPr>
              <w:pStyle w:val="TableText"/>
              <w:spacing w:after="0"/>
              <w:rPr>
                <w:rFonts w:eastAsia="Calibri"/>
              </w:rPr>
            </w:pPr>
            <w:r w:rsidRPr="00256982">
              <w:rPr>
                <w:rFonts w:eastAsia="Calibri"/>
              </w:rPr>
              <w:t>15/CMP.1 annex I.E, paragraph 13 &amp; 14:</w:t>
            </w:r>
          </w:p>
          <w:p w14:paraId="5570B5A5" w14:textId="77777777" w:rsidR="005226D6" w:rsidRPr="00256982" w:rsidRDefault="005226D6" w:rsidP="00642B3C">
            <w:pPr>
              <w:pStyle w:val="TableText"/>
              <w:spacing w:before="0"/>
              <w:rPr>
                <w:rFonts w:eastAsia="Calibri"/>
              </w:rPr>
            </w:pPr>
            <w:r w:rsidRPr="00256982">
              <w:rPr>
                <w:rFonts w:eastAsia="Calibri"/>
              </w:rPr>
              <w:t>List of CDM notifications</w:t>
            </w:r>
          </w:p>
        </w:tc>
        <w:tc>
          <w:tcPr>
            <w:tcW w:w="4290" w:type="dxa"/>
            <w:shd w:val="clear" w:color="auto" w:fill="auto"/>
          </w:tcPr>
          <w:p w14:paraId="5FF56FAE" w14:textId="77777777" w:rsidR="005226D6" w:rsidRPr="00256982" w:rsidRDefault="005226D6" w:rsidP="00642B3C">
            <w:pPr>
              <w:pStyle w:val="TableText"/>
              <w:rPr>
                <w:rFonts w:eastAsia="Calibri"/>
              </w:rPr>
            </w:pPr>
            <w:r w:rsidRPr="00256982">
              <w:rPr>
                <w:rFonts w:eastAsia="Calibri"/>
              </w:rPr>
              <w:t>No CDM notifications occurred in 2018.</w:t>
            </w:r>
          </w:p>
        </w:tc>
      </w:tr>
      <w:tr w:rsidR="005226D6" w:rsidRPr="00256982" w14:paraId="4D162593" w14:textId="77777777" w:rsidTr="00642B3C">
        <w:tc>
          <w:tcPr>
            <w:tcW w:w="3958" w:type="dxa"/>
            <w:shd w:val="clear" w:color="auto" w:fill="auto"/>
          </w:tcPr>
          <w:p w14:paraId="1B0244A8" w14:textId="77777777" w:rsidR="005226D6" w:rsidRPr="00256982" w:rsidRDefault="005226D6" w:rsidP="00642B3C">
            <w:pPr>
              <w:pStyle w:val="TableText"/>
              <w:spacing w:after="0"/>
              <w:rPr>
                <w:rFonts w:eastAsia="Calibri"/>
              </w:rPr>
            </w:pPr>
            <w:r w:rsidRPr="00256982">
              <w:rPr>
                <w:rFonts w:eastAsia="Calibri"/>
              </w:rPr>
              <w:t>15/CMP.1 annex I.E, paragraph 1 15:</w:t>
            </w:r>
          </w:p>
          <w:p w14:paraId="41109C4D" w14:textId="77777777" w:rsidR="005226D6" w:rsidRPr="00256982" w:rsidRDefault="005226D6" w:rsidP="00642B3C">
            <w:pPr>
              <w:pStyle w:val="TableText"/>
              <w:spacing w:before="0"/>
              <w:rPr>
                <w:rFonts w:eastAsia="Calibri"/>
              </w:rPr>
            </w:pPr>
            <w:r w:rsidRPr="00256982">
              <w:rPr>
                <w:rFonts w:eastAsia="Calibri"/>
              </w:rPr>
              <w:t>List of non-replacements</w:t>
            </w:r>
          </w:p>
        </w:tc>
        <w:tc>
          <w:tcPr>
            <w:tcW w:w="4290" w:type="dxa"/>
            <w:shd w:val="clear" w:color="auto" w:fill="auto"/>
          </w:tcPr>
          <w:p w14:paraId="35490373" w14:textId="77777777" w:rsidR="005226D6" w:rsidRPr="00256982" w:rsidRDefault="005226D6" w:rsidP="00642B3C">
            <w:pPr>
              <w:pStyle w:val="TableText"/>
              <w:rPr>
                <w:rFonts w:eastAsia="Calibri"/>
              </w:rPr>
            </w:pPr>
            <w:r w:rsidRPr="00256982">
              <w:rPr>
                <w:rFonts w:eastAsia="Calibri"/>
              </w:rPr>
              <w:t>No non-replacements occurred in 2018.</w:t>
            </w:r>
          </w:p>
        </w:tc>
      </w:tr>
      <w:tr w:rsidR="005226D6" w:rsidRPr="00256982" w14:paraId="3F133901" w14:textId="77777777" w:rsidTr="00642B3C">
        <w:tc>
          <w:tcPr>
            <w:tcW w:w="3958" w:type="dxa"/>
            <w:tcBorders>
              <w:bottom w:val="single" w:sz="4" w:space="0" w:color="365F91"/>
            </w:tcBorders>
            <w:shd w:val="clear" w:color="auto" w:fill="auto"/>
          </w:tcPr>
          <w:p w14:paraId="65AC473A" w14:textId="77777777" w:rsidR="005226D6" w:rsidRPr="00256982" w:rsidRDefault="005226D6" w:rsidP="00642B3C">
            <w:pPr>
              <w:pStyle w:val="TableText"/>
              <w:spacing w:after="0"/>
              <w:rPr>
                <w:rFonts w:eastAsia="Calibri"/>
              </w:rPr>
            </w:pPr>
            <w:r w:rsidRPr="00256982">
              <w:rPr>
                <w:rFonts w:eastAsia="Calibri"/>
              </w:rPr>
              <w:t>15/CMP.1 annex I.E, paragraph 1 15:</w:t>
            </w:r>
          </w:p>
          <w:p w14:paraId="1D355935" w14:textId="77777777" w:rsidR="005226D6" w:rsidRPr="00256982" w:rsidRDefault="005226D6" w:rsidP="00642B3C">
            <w:pPr>
              <w:pStyle w:val="TableText"/>
              <w:spacing w:before="0"/>
              <w:rPr>
                <w:rFonts w:eastAsia="Calibri"/>
              </w:rPr>
            </w:pPr>
            <w:r w:rsidRPr="00256982">
              <w:rPr>
                <w:rFonts w:eastAsia="Calibri"/>
              </w:rPr>
              <w:t>List of invalid units</w:t>
            </w:r>
          </w:p>
        </w:tc>
        <w:tc>
          <w:tcPr>
            <w:tcW w:w="4290" w:type="dxa"/>
            <w:tcBorders>
              <w:bottom w:val="single" w:sz="4" w:space="0" w:color="365F91"/>
            </w:tcBorders>
            <w:shd w:val="clear" w:color="auto" w:fill="auto"/>
          </w:tcPr>
          <w:p w14:paraId="22AC17A1" w14:textId="77777777" w:rsidR="005226D6" w:rsidRPr="00256982" w:rsidRDefault="005226D6" w:rsidP="00642B3C">
            <w:pPr>
              <w:pStyle w:val="TableText"/>
              <w:rPr>
                <w:rFonts w:eastAsia="Calibri"/>
              </w:rPr>
            </w:pPr>
            <w:r w:rsidRPr="00256982">
              <w:rPr>
                <w:rFonts w:eastAsia="Calibri"/>
              </w:rPr>
              <w:t>No invalid units exist as at 31 December 2018.</w:t>
            </w:r>
          </w:p>
        </w:tc>
      </w:tr>
      <w:tr w:rsidR="005226D6" w:rsidRPr="00256982" w14:paraId="5173C2CB" w14:textId="77777777" w:rsidTr="00642B3C">
        <w:tc>
          <w:tcPr>
            <w:tcW w:w="3958" w:type="dxa"/>
            <w:shd w:val="clear" w:color="auto" w:fill="auto"/>
          </w:tcPr>
          <w:p w14:paraId="5F7EBA12" w14:textId="77777777" w:rsidR="005226D6" w:rsidRPr="00256982" w:rsidRDefault="005226D6" w:rsidP="00642B3C">
            <w:pPr>
              <w:pStyle w:val="TableText"/>
              <w:spacing w:after="0"/>
              <w:rPr>
                <w:rFonts w:eastAsia="Calibri"/>
              </w:rPr>
            </w:pPr>
            <w:r w:rsidRPr="00256982">
              <w:rPr>
                <w:rFonts w:eastAsia="Calibri"/>
              </w:rPr>
              <w:t>15/CMP.1 annex I.E, paragraph 1 17:</w:t>
            </w:r>
          </w:p>
          <w:p w14:paraId="1BB53529" w14:textId="77777777" w:rsidR="005226D6" w:rsidRPr="00256982" w:rsidRDefault="005226D6" w:rsidP="00642B3C">
            <w:pPr>
              <w:pStyle w:val="TableText"/>
              <w:spacing w:before="0"/>
              <w:rPr>
                <w:rFonts w:eastAsia="Calibri"/>
              </w:rPr>
            </w:pPr>
            <w:r w:rsidRPr="00256982">
              <w:rPr>
                <w:rFonts w:eastAsia="Calibri"/>
              </w:rPr>
              <w:t>Actions and changes to address discrepancies</w:t>
            </w:r>
          </w:p>
        </w:tc>
        <w:tc>
          <w:tcPr>
            <w:tcW w:w="4290" w:type="dxa"/>
            <w:shd w:val="clear" w:color="auto" w:fill="auto"/>
          </w:tcPr>
          <w:p w14:paraId="11C51999" w14:textId="77777777" w:rsidR="005226D6" w:rsidRPr="00256982" w:rsidRDefault="005226D6" w:rsidP="00642B3C">
            <w:pPr>
              <w:pStyle w:val="TableText"/>
              <w:rPr>
                <w:rFonts w:eastAsia="Calibri"/>
              </w:rPr>
            </w:pPr>
            <w:r w:rsidRPr="00256982">
              <w:rPr>
                <w:rFonts w:eastAsia="Calibri"/>
              </w:rPr>
              <w:t>No actions were taken or changes made to address discrepancies for the period under review.</w:t>
            </w:r>
          </w:p>
        </w:tc>
      </w:tr>
    </w:tbl>
    <w:p w14:paraId="6104D922" w14:textId="77777777" w:rsidR="005226D6" w:rsidRPr="00256982" w:rsidRDefault="005226D6" w:rsidP="005226D6">
      <w:pPr>
        <w:pStyle w:val="Heading2"/>
        <w:spacing w:before="480"/>
      </w:pPr>
      <w:bookmarkStart w:id="2863" w:name="_Toc481751434"/>
      <w:bookmarkStart w:id="2864" w:name="_Toc511116648"/>
      <w:bookmarkStart w:id="2865" w:name="_Toc5269417"/>
      <w:r w:rsidRPr="00256982">
        <w:t>1</w:t>
      </w:r>
      <w:bookmarkStart w:id="2866" w:name="_Toc235955569"/>
      <w:r w:rsidRPr="00256982">
        <w:t>2.4</w:t>
      </w:r>
      <w:r w:rsidRPr="00256982">
        <w:tab/>
        <w:t>Publicly accessible information</w:t>
      </w:r>
      <w:bookmarkEnd w:id="2863"/>
      <w:bookmarkEnd w:id="2864"/>
      <w:bookmarkEnd w:id="2865"/>
      <w:bookmarkEnd w:id="2866"/>
    </w:p>
    <w:p w14:paraId="120AE311" w14:textId="77777777" w:rsidR="005226D6" w:rsidRPr="00256982" w:rsidRDefault="005226D6" w:rsidP="005226D6">
      <w:pPr>
        <w:pStyle w:val="BodyText"/>
        <w:rPr>
          <w:b/>
          <w:spacing w:val="-2"/>
          <w:szCs w:val="22"/>
        </w:rPr>
      </w:pPr>
      <w:bookmarkStart w:id="2867" w:name="_Toc235955646"/>
      <w:r w:rsidRPr="00256982">
        <w:rPr>
          <w:spacing w:val="-2"/>
          <w:szCs w:val="22"/>
        </w:rPr>
        <w:t xml:space="preserve">New Zealand’s national registry list of publicly accessible information is available at </w:t>
      </w:r>
      <w:hyperlink r:id="rId260" w:history="1">
        <w:r w:rsidRPr="00256982">
          <w:rPr>
            <w:spacing w:val="-2"/>
          </w:rPr>
          <w:t>www.emissionsregister.govt.nz</w:t>
        </w:r>
      </w:hyperlink>
      <w:r w:rsidRPr="00256982">
        <w:rPr>
          <w:spacing w:val="-2"/>
        </w:rPr>
        <w:t>, ‘</w:t>
      </w:r>
      <w:hyperlink r:id="rId261" w:history="1">
        <w:r w:rsidRPr="00256982">
          <w:rPr>
            <w:spacing w:val="-2"/>
          </w:rPr>
          <w:t>Public information and reports</w:t>
        </w:r>
      </w:hyperlink>
      <w:r w:rsidRPr="00256982">
        <w:rPr>
          <w:spacing w:val="-2"/>
        </w:rPr>
        <w:t>’ link. A list of publicly</w:t>
      </w:r>
      <w:r w:rsidRPr="00256982">
        <w:rPr>
          <w:spacing w:val="-2"/>
          <w:szCs w:val="22"/>
        </w:rPr>
        <w:t xml:space="preserve"> accessible information is provided in table 12.4.1.</w:t>
      </w:r>
    </w:p>
    <w:p w14:paraId="46B5C45D" w14:textId="282962B7" w:rsidR="005226D6" w:rsidRPr="00256982" w:rsidRDefault="005226D6" w:rsidP="005226D6">
      <w:pPr>
        <w:pStyle w:val="Table"/>
        <w:rPr>
          <w:rFonts w:ascii="Tahoma" w:hAnsi="Tahoma" w:cs="Tahoma"/>
          <w:highlight w:val="yellow"/>
        </w:rPr>
      </w:pPr>
      <w:bookmarkStart w:id="2868" w:name="_Toc481751643"/>
      <w:bookmarkStart w:id="2869" w:name="_Toc511116871"/>
      <w:bookmarkStart w:id="2870" w:name="_Toc5269639"/>
      <w:r w:rsidRPr="00256982">
        <w:t>Table 12.4.1</w:t>
      </w:r>
      <w:r w:rsidRPr="00256982">
        <w:tab/>
        <w:t>List of the publicly accessible information in New Zealand’s national</w:t>
      </w:r>
      <w:r w:rsidR="00897010" w:rsidRPr="00256982">
        <w:t> </w:t>
      </w:r>
      <w:r w:rsidRPr="00256982">
        <w:t>registry</w:t>
      </w:r>
      <w:bookmarkEnd w:id="2868"/>
      <w:bookmarkEnd w:id="2869"/>
      <w:bookmarkEnd w:id="2870"/>
    </w:p>
    <w:tbl>
      <w:tblPr>
        <w:tblW w:w="8562"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410"/>
        <w:gridCol w:w="2268"/>
        <w:gridCol w:w="1985"/>
        <w:gridCol w:w="1899"/>
      </w:tblGrid>
      <w:tr w:rsidR="005226D6" w:rsidRPr="00256982" w14:paraId="2C91EAD2" w14:textId="77777777" w:rsidTr="00642B3C">
        <w:trPr>
          <w:tblHeader/>
        </w:trPr>
        <w:tc>
          <w:tcPr>
            <w:tcW w:w="2410" w:type="dxa"/>
            <w:tcBorders>
              <w:top w:val="single" w:sz="4" w:space="0" w:color="365F91"/>
              <w:left w:val="nil"/>
              <w:bottom w:val="single" w:sz="4" w:space="0" w:color="365F91"/>
              <w:right w:val="nil"/>
            </w:tcBorders>
            <w:shd w:val="clear" w:color="auto" w:fill="365F91"/>
            <w:vAlign w:val="bottom"/>
          </w:tcPr>
          <w:p w14:paraId="463AFEAC" w14:textId="77777777" w:rsidR="005226D6" w:rsidRPr="00256982" w:rsidRDefault="005226D6" w:rsidP="00642B3C">
            <w:pPr>
              <w:pStyle w:val="TableTextBold"/>
              <w:rPr>
                <w:noProof w:val="0"/>
                <w:color w:val="FFFFFF"/>
              </w:rPr>
            </w:pPr>
            <w:r w:rsidRPr="00256982">
              <w:rPr>
                <w:noProof w:val="0"/>
                <w:color w:val="FFFFFF"/>
              </w:rPr>
              <w:t>Type of information to be made public pursuant to part E of the annex to 13/CMP.1, paragraphs 44 to 48</w:t>
            </w:r>
          </w:p>
        </w:tc>
        <w:tc>
          <w:tcPr>
            <w:tcW w:w="2268" w:type="dxa"/>
            <w:tcBorders>
              <w:top w:val="single" w:sz="4" w:space="0" w:color="365F91"/>
              <w:left w:val="nil"/>
              <w:bottom w:val="single" w:sz="4" w:space="0" w:color="365F91"/>
              <w:right w:val="nil"/>
            </w:tcBorders>
            <w:shd w:val="clear" w:color="auto" w:fill="365F91"/>
            <w:vAlign w:val="bottom"/>
          </w:tcPr>
          <w:p w14:paraId="6048F2FC" w14:textId="77777777" w:rsidR="005226D6" w:rsidRPr="00256982" w:rsidRDefault="005226D6" w:rsidP="00642B3C">
            <w:pPr>
              <w:pStyle w:val="TableTextBold"/>
              <w:rPr>
                <w:noProof w:val="0"/>
                <w:color w:val="FFFFFF"/>
              </w:rPr>
            </w:pPr>
            <w:r w:rsidRPr="00256982">
              <w:rPr>
                <w:noProof w:val="0"/>
                <w:color w:val="FFFFFF"/>
              </w:rPr>
              <w:t xml:space="preserve">Publicly available on New Zealand’s national registry website (refer www.emissionsregister. govt.nz </w:t>
            </w:r>
          </w:p>
          <w:p w14:paraId="699E99F7" w14:textId="77777777" w:rsidR="005226D6" w:rsidRPr="00256982" w:rsidRDefault="005226D6" w:rsidP="00642B3C">
            <w:pPr>
              <w:pStyle w:val="TableTextBold"/>
              <w:rPr>
                <w:noProof w:val="0"/>
                <w:color w:val="FFFFFF"/>
              </w:rPr>
            </w:pPr>
            <w:r w:rsidRPr="00256982">
              <w:rPr>
                <w:noProof w:val="0"/>
                <w:color w:val="FFFFFF"/>
              </w:rPr>
              <w:t>Public information and reports) (yes/no/partial)</w:t>
            </w:r>
          </w:p>
        </w:tc>
        <w:tc>
          <w:tcPr>
            <w:tcW w:w="1985" w:type="dxa"/>
            <w:tcBorders>
              <w:top w:val="single" w:sz="4" w:space="0" w:color="365F91"/>
              <w:left w:val="nil"/>
              <w:bottom w:val="single" w:sz="4" w:space="0" w:color="365F91"/>
              <w:right w:val="nil"/>
            </w:tcBorders>
            <w:shd w:val="clear" w:color="auto" w:fill="365F91"/>
            <w:vAlign w:val="bottom"/>
          </w:tcPr>
          <w:p w14:paraId="04859291" w14:textId="77777777" w:rsidR="005226D6" w:rsidRPr="00256982" w:rsidRDefault="005226D6" w:rsidP="00642B3C">
            <w:pPr>
              <w:pStyle w:val="TableTextBold"/>
              <w:rPr>
                <w:noProof w:val="0"/>
                <w:color w:val="FFFFFF"/>
              </w:rPr>
            </w:pPr>
            <w:r w:rsidRPr="00256982">
              <w:rPr>
                <w:noProof w:val="0"/>
                <w:color w:val="FFFFFF"/>
              </w:rPr>
              <w:t>Timing of information to be made available under New Zealand’s Climate Change Response Act 2002</w:t>
            </w:r>
          </w:p>
        </w:tc>
        <w:tc>
          <w:tcPr>
            <w:tcW w:w="1899" w:type="dxa"/>
            <w:tcBorders>
              <w:top w:val="single" w:sz="4" w:space="0" w:color="365F91"/>
              <w:left w:val="nil"/>
              <w:bottom w:val="single" w:sz="4" w:space="0" w:color="365F91"/>
              <w:right w:val="nil"/>
            </w:tcBorders>
            <w:shd w:val="clear" w:color="auto" w:fill="365F91"/>
            <w:vAlign w:val="bottom"/>
          </w:tcPr>
          <w:p w14:paraId="1354857E" w14:textId="77777777" w:rsidR="005226D6" w:rsidRPr="00256982" w:rsidRDefault="005226D6" w:rsidP="00642B3C">
            <w:pPr>
              <w:pStyle w:val="TableTextBold"/>
              <w:rPr>
                <w:noProof w:val="0"/>
                <w:color w:val="FFFFFF"/>
              </w:rPr>
            </w:pPr>
            <w:r w:rsidRPr="00256982">
              <w:rPr>
                <w:noProof w:val="0"/>
                <w:color w:val="FFFFFF"/>
              </w:rPr>
              <w:t>Relevant reference to New Zealand’s Climate Change Response Act 2002 where information is not publicly available in accordance with paragraphs 44 to 48</w:t>
            </w:r>
          </w:p>
        </w:tc>
      </w:tr>
      <w:tr w:rsidR="005226D6" w:rsidRPr="00256982" w14:paraId="40D7D75E" w14:textId="77777777" w:rsidTr="00642B3C">
        <w:tc>
          <w:tcPr>
            <w:tcW w:w="2410" w:type="dxa"/>
            <w:tcBorders>
              <w:top w:val="single" w:sz="4" w:space="0" w:color="365F91"/>
              <w:left w:val="nil"/>
              <w:bottom w:val="single" w:sz="4" w:space="0" w:color="365F91"/>
              <w:right w:val="nil"/>
            </w:tcBorders>
          </w:tcPr>
          <w:p w14:paraId="74EA4F08" w14:textId="77777777" w:rsidR="005226D6" w:rsidRPr="00256982" w:rsidRDefault="005226D6" w:rsidP="00642B3C">
            <w:pPr>
              <w:pStyle w:val="TableText"/>
              <w:ind w:left="284" w:hanging="284"/>
            </w:pPr>
            <w:r w:rsidRPr="00256982">
              <w:t xml:space="preserve">44. </w:t>
            </w:r>
            <w:r w:rsidRPr="00256982">
              <w:tab/>
              <w:t>Each national registry shall make non-confidential information publicly available and provide a publicly accessible user interface through the Internet that allows interested persons to query and view it.</w:t>
            </w:r>
          </w:p>
        </w:tc>
        <w:tc>
          <w:tcPr>
            <w:tcW w:w="6152" w:type="dxa"/>
            <w:gridSpan w:val="3"/>
            <w:tcBorders>
              <w:top w:val="single" w:sz="4" w:space="0" w:color="365F91"/>
              <w:left w:val="nil"/>
              <w:bottom w:val="single" w:sz="4" w:space="0" w:color="365F91"/>
              <w:right w:val="nil"/>
            </w:tcBorders>
          </w:tcPr>
          <w:p w14:paraId="5BE6D074" w14:textId="77777777" w:rsidR="005226D6" w:rsidRPr="00256982" w:rsidRDefault="005226D6" w:rsidP="00642B3C">
            <w:pPr>
              <w:pStyle w:val="TableText"/>
              <w:rPr>
                <w:highlight w:val="yellow"/>
              </w:rPr>
            </w:pPr>
            <w:r w:rsidRPr="00256982">
              <w:t>Details of information availability are provided below.</w:t>
            </w:r>
          </w:p>
        </w:tc>
      </w:tr>
      <w:tr w:rsidR="005226D6" w:rsidRPr="00256982" w14:paraId="57F3B3B4" w14:textId="77777777" w:rsidTr="00642B3C">
        <w:tc>
          <w:tcPr>
            <w:tcW w:w="2410" w:type="dxa"/>
            <w:tcBorders>
              <w:top w:val="single" w:sz="4" w:space="0" w:color="365F91"/>
              <w:left w:val="nil"/>
              <w:bottom w:val="nil"/>
              <w:right w:val="nil"/>
            </w:tcBorders>
          </w:tcPr>
          <w:p w14:paraId="336E1A33" w14:textId="77777777" w:rsidR="005226D6" w:rsidRPr="00256982" w:rsidRDefault="005226D6" w:rsidP="00642B3C">
            <w:pPr>
              <w:pStyle w:val="TableText"/>
              <w:ind w:left="284" w:hanging="284"/>
            </w:pPr>
            <w:r w:rsidRPr="00256982">
              <w:t xml:space="preserve">45. </w:t>
            </w:r>
            <w:r w:rsidRPr="00256982">
              <w:tab/>
              <w:t>The information referred to in paragraph 44 above shall include up-to-date information for each account number in that registry on the following:</w:t>
            </w:r>
          </w:p>
        </w:tc>
        <w:tc>
          <w:tcPr>
            <w:tcW w:w="4253" w:type="dxa"/>
            <w:gridSpan w:val="2"/>
            <w:tcBorders>
              <w:top w:val="single" w:sz="4" w:space="0" w:color="365F91"/>
              <w:left w:val="nil"/>
              <w:bottom w:val="nil"/>
              <w:right w:val="nil"/>
            </w:tcBorders>
          </w:tcPr>
          <w:p w14:paraId="21EFE355" w14:textId="77777777" w:rsidR="005226D6" w:rsidRPr="00256982" w:rsidRDefault="005226D6" w:rsidP="00642B3C">
            <w:pPr>
              <w:pStyle w:val="TableText"/>
              <w:rPr>
                <w:highlight w:val="yellow"/>
              </w:rPr>
            </w:pPr>
          </w:p>
        </w:tc>
        <w:tc>
          <w:tcPr>
            <w:tcW w:w="1899" w:type="dxa"/>
            <w:tcBorders>
              <w:top w:val="single" w:sz="4" w:space="0" w:color="365F91"/>
              <w:left w:val="nil"/>
              <w:bottom w:val="nil"/>
              <w:right w:val="nil"/>
            </w:tcBorders>
          </w:tcPr>
          <w:p w14:paraId="0AF0EE54" w14:textId="77777777" w:rsidR="005226D6" w:rsidRPr="00256982" w:rsidRDefault="005226D6" w:rsidP="00642B3C">
            <w:pPr>
              <w:pStyle w:val="TableText"/>
              <w:rPr>
                <w:highlight w:val="yellow"/>
              </w:rPr>
            </w:pPr>
          </w:p>
        </w:tc>
      </w:tr>
      <w:tr w:rsidR="005226D6" w:rsidRPr="00256982" w14:paraId="66245E7F" w14:textId="77777777" w:rsidTr="00642B3C">
        <w:tc>
          <w:tcPr>
            <w:tcW w:w="2410" w:type="dxa"/>
            <w:tcBorders>
              <w:top w:val="nil"/>
              <w:left w:val="nil"/>
              <w:bottom w:val="nil"/>
              <w:right w:val="nil"/>
            </w:tcBorders>
          </w:tcPr>
          <w:p w14:paraId="3B41DA28" w14:textId="77777777" w:rsidR="005226D6" w:rsidRPr="00256982" w:rsidRDefault="005226D6" w:rsidP="00642B3C">
            <w:pPr>
              <w:pStyle w:val="TableText"/>
              <w:ind w:left="284" w:hanging="284"/>
            </w:pPr>
            <w:r w:rsidRPr="00256982">
              <w:t xml:space="preserve">(a) </w:t>
            </w:r>
            <w:r w:rsidRPr="00256982">
              <w:tab/>
              <w:t>Account name: the holder of the account.</w:t>
            </w:r>
          </w:p>
        </w:tc>
        <w:tc>
          <w:tcPr>
            <w:tcW w:w="2268" w:type="dxa"/>
            <w:tcBorders>
              <w:top w:val="nil"/>
              <w:left w:val="nil"/>
              <w:bottom w:val="nil"/>
              <w:right w:val="nil"/>
            </w:tcBorders>
          </w:tcPr>
          <w:p w14:paraId="685AFB3C" w14:textId="77777777" w:rsidR="005226D6" w:rsidRPr="00256982" w:rsidRDefault="005226D6" w:rsidP="00642B3C">
            <w:pPr>
              <w:pStyle w:val="TableText"/>
            </w:pPr>
            <w:r w:rsidRPr="00256982">
              <w:t>Yes (refer Public information and reports: Accounts).</w:t>
            </w:r>
          </w:p>
        </w:tc>
        <w:tc>
          <w:tcPr>
            <w:tcW w:w="1985" w:type="dxa"/>
            <w:tcBorders>
              <w:top w:val="nil"/>
              <w:left w:val="nil"/>
              <w:bottom w:val="nil"/>
              <w:right w:val="nil"/>
            </w:tcBorders>
          </w:tcPr>
          <w:p w14:paraId="05650A50" w14:textId="77777777" w:rsidR="005226D6" w:rsidRPr="00256982" w:rsidRDefault="005226D6" w:rsidP="00642B3C">
            <w:pPr>
              <w:pStyle w:val="TableText"/>
            </w:pPr>
            <w:r w:rsidRPr="00256982">
              <w:t>Up to date (note, refreshed daily)</w:t>
            </w:r>
          </w:p>
        </w:tc>
        <w:tc>
          <w:tcPr>
            <w:tcW w:w="1899" w:type="dxa"/>
            <w:tcBorders>
              <w:top w:val="nil"/>
              <w:left w:val="nil"/>
              <w:bottom w:val="nil"/>
              <w:right w:val="nil"/>
            </w:tcBorders>
          </w:tcPr>
          <w:p w14:paraId="1049468E" w14:textId="77777777" w:rsidR="005226D6" w:rsidRPr="00256982" w:rsidRDefault="005226D6" w:rsidP="00642B3C">
            <w:pPr>
              <w:pStyle w:val="TableText"/>
            </w:pPr>
            <w:r w:rsidRPr="00256982">
              <w:t>n/a</w:t>
            </w:r>
          </w:p>
        </w:tc>
      </w:tr>
      <w:tr w:rsidR="005226D6" w:rsidRPr="00256982" w14:paraId="42C61F02" w14:textId="77777777" w:rsidTr="00642B3C">
        <w:tc>
          <w:tcPr>
            <w:tcW w:w="2410" w:type="dxa"/>
            <w:tcBorders>
              <w:top w:val="nil"/>
              <w:left w:val="nil"/>
              <w:bottom w:val="nil"/>
              <w:right w:val="nil"/>
            </w:tcBorders>
          </w:tcPr>
          <w:p w14:paraId="1C4A0EB9" w14:textId="77777777" w:rsidR="005226D6" w:rsidRPr="00256982" w:rsidRDefault="005226D6" w:rsidP="00642B3C">
            <w:pPr>
              <w:pStyle w:val="TableText"/>
              <w:ind w:left="284" w:hanging="284"/>
            </w:pPr>
            <w:r w:rsidRPr="00256982">
              <w:t xml:space="preserve">(b) </w:t>
            </w:r>
            <w:r w:rsidRPr="00256982">
              <w:tab/>
              <w:t>Account type: the type of account (holding, cancellation or retirement).</w:t>
            </w:r>
          </w:p>
        </w:tc>
        <w:tc>
          <w:tcPr>
            <w:tcW w:w="2268" w:type="dxa"/>
            <w:tcBorders>
              <w:top w:val="nil"/>
              <w:left w:val="nil"/>
              <w:bottom w:val="nil"/>
              <w:right w:val="nil"/>
            </w:tcBorders>
          </w:tcPr>
          <w:p w14:paraId="602387DA" w14:textId="77777777" w:rsidR="005226D6" w:rsidRPr="00256982" w:rsidRDefault="005226D6" w:rsidP="00642B3C">
            <w:pPr>
              <w:pStyle w:val="TableText"/>
            </w:pPr>
            <w:r w:rsidRPr="00256982">
              <w:t>Yes (refer Public information and reports: Accounts).</w:t>
            </w:r>
          </w:p>
        </w:tc>
        <w:tc>
          <w:tcPr>
            <w:tcW w:w="1985" w:type="dxa"/>
            <w:tcBorders>
              <w:top w:val="nil"/>
              <w:left w:val="nil"/>
              <w:bottom w:val="nil"/>
              <w:right w:val="nil"/>
            </w:tcBorders>
          </w:tcPr>
          <w:p w14:paraId="4E1F9C52" w14:textId="77777777" w:rsidR="005226D6" w:rsidRPr="00256982" w:rsidRDefault="005226D6" w:rsidP="00642B3C">
            <w:pPr>
              <w:pStyle w:val="TableText"/>
            </w:pPr>
            <w:r w:rsidRPr="00256982">
              <w:t>Up to date (note, refreshed daily)</w:t>
            </w:r>
          </w:p>
        </w:tc>
        <w:tc>
          <w:tcPr>
            <w:tcW w:w="1899" w:type="dxa"/>
            <w:tcBorders>
              <w:top w:val="nil"/>
              <w:left w:val="nil"/>
              <w:bottom w:val="nil"/>
              <w:right w:val="nil"/>
            </w:tcBorders>
          </w:tcPr>
          <w:p w14:paraId="2DBCE5BC" w14:textId="77777777" w:rsidR="005226D6" w:rsidRPr="00256982" w:rsidRDefault="005226D6" w:rsidP="00642B3C">
            <w:pPr>
              <w:pStyle w:val="TableText"/>
            </w:pPr>
            <w:r w:rsidRPr="00256982">
              <w:t>n/a</w:t>
            </w:r>
          </w:p>
        </w:tc>
      </w:tr>
      <w:tr w:rsidR="005226D6" w:rsidRPr="00256982" w14:paraId="0B848C9D" w14:textId="77777777" w:rsidTr="00642B3C">
        <w:tc>
          <w:tcPr>
            <w:tcW w:w="2410" w:type="dxa"/>
            <w:tcBorders>
              <w:top w:val="nil"/>
              <w:left w:val="nil"/>
              <w:bottom w:val="nil"/>
              <w:right w:val="nil"/>
            </w:tcBorders>
          </w:tcPr>
          <w:p w14:paraId="45A07508" w14:textId="77777777" w:rsidR="005226D6" w:rsidRPr="00256982" w:rsidRDefault="005226D6" w:rsidP="00642B3C">
            <w:pPr>
              <w:pStyle w:val="TableText"/>
              <w:ind w:left="284" w:hanging="284"/>
            </w:pPr>
            <w:r w:rsidRPr="00256982">
              <w:t xml:space="preserve">(c) </w:t>
            </w:r>
            <w:r w:rsidRPr="00256982">
              <w:tab/>
              <w:t>Commitment period: the commitment period with which a cancellation or retirement account is associated.</w:t>
            </w:r>
          </w:p>
        </w:tc>
        <w:tc>
          <w:tcPr>
            <w:tcW w:w="2268" w:type="dxa"/>
            <w:tcBorders>
              <w:top w:val="nil"/>
              <w:left w:val="nil"/>
              <w:bottom w:val="nil"/>
              <w:right w:val="nil"/>
            </w:tcBorders>
          </w:tcPr>
          <w:p w14:paraId="37B67D90" w14:textId="77777777" w:rsidR="005226D6" w:rsidRPr="00256982" w:rsidRDefault="005226D6" w:rsidP="00642B3C">
            <w:pPr>
              <w:pStyle w:val="TableText"/>
            </w:pPr>
            <w:r w:rsidRPr="00256982">
              <w:t>Yes (refer Public information and reports: Accounts).</w:t>
            </w:r>
          </w:p>
        </w:tc>
        <w:tc>
          <w:tcPr>
            <w:tcW w:w="1985" w:type="dxa"/>
            <w:tcBorders>
              <w:top w:val="nil"/>
              <w:left w:val="nil"/>
              <w:bottom w:val="nil"/>
              <w:right w:val="nil"/>
            </w:tcBorders>
          </w:tcPr>
          <w:p w14:paraId="6EFBC5FE" w14:textId="77777777" w:rsidR="005226D6" w:rsidRPr="00256982" w:rsidRDefault="005226D6" w:rsidP="00642B3C">
            <w:pPr>
              <w:pStyle w:val="TableText"/>
            </w:pPr>
            <w:r w:rsidRPr="00256982">
              <w:t>Up to date (note, refreshed daily)</w:t>
            </w:r>
          </w:p>
        </w:tc>
        <w:tc>
          <w:tcPr>
            <w:tcW w:w="1899" w:type="dxa"/>
            <w:tcBorders>
              <w:top w:val="nil"/>
              <w:left w:val="nil"/>
              <w:bottom w:val="nil"/>
              <w:right w:val="nil"/>
            </w:tcBorders>
          </w:tcPr>
          <w:p w14:paraId="4BE78274" w14:textId="77777777" w:rsidR="005226D6" w:rsidRPr="00256982" w:rsidRDefault="005226D6" w:rsidP="00642B3C">
            <w:pPr>
              <w:pStyle w:val="TableText"/>
            </w:pPr>
            <w:r w:rsidRPr="00256982">
              <w:t xml:space="preserve">n/a </w:t>
            </w:r>
          </w:p>
        </w:tc>
      </w:tr>
      <w:tr w:rsidR="005226D6" w:rsidRPr="00256982" w14:paraId="1024DA2A" w14:textId="77777777" w:rsidTr="00642B3C">
        <w:tc>
          <w:tcPr>
            <w:tcW w:w="2410" w:type="dxa"/>
            <w:tcBorders>
              <w:top w:val="nil"/>
              <w:left w:val="nil"/>
              <w:bottom w:val="nil"/>
              <w:right w:val="nil"/>
            </w:tcBorders>
          </w:tcPr>
          <w:p w14:paraId="771308CC" w14:textId="77777777" w:rsidR="005226D6" w:rsidRPr="00256982" w:rsidRDefault="005226D6" w:rsidP="00642B3C">
            <w:pPr>
              <w:pStyle w:val="TableText"/>
              <w:ind w:left="284" w:hanging="284"/>
            </w:pPr>
            <w:r w:rsidRPr="00256982">
              <w:t xml:space="preserve">(d) </w:t>
            </w:r>
            <w:r w:rsidRPr="00256982">
              <w:tab/>
              <w:t>Representative identifier: the representative of the account holder, using the Party identifier (the two-letter country code defined by ISO 3166) and a number unique to that representative within the Party’s registry.</w:t>
            </w:r>
          </w:p>
        </w:tc>
        <w:tc>
          <w:tcPr>
            <w:tcW w:w="2268" w:type="dxa"/>
            <w:tcBorders>
              <w:top w:val="nil"/>
              <w:left w:val="nil"/>
              <w:bottom w:val="nil"/>
              <w:right w:val="nil"/>
            </w:tcBorders>
          </w:tcPr>
          <w:p w14:paraId="304568EE" w14:textId="77777777" w:rsidR="005226D6" w:rsidRPr="00256982" w:rsidRDefault="005226D6" w:rsidP="00642B3C">
            <w:pPr>
              <w:pStyle w:val="TableText"/>
            </w:pPr>
            <w:r w:rsidRPr="00256982">
              <w:t>No – the representative identifiers for representatives are not publicly available and have been withheld for security reasons.</w:t>
            </w:r>
          </w:p>
        </w:tc>
        <w:tc>
          <w:tcPr>
            <w:tcW w:w="1985" w:type="dxa"/>
            <w:tcBorders>
              <w:top w:val="nil"/>
              <w:left w:val="nil"/>
              <w:bottom w:val="nil"/>
              <w:right w:val="nil"/>
            </w:tcBorders>
          </w:tcPr>
          <w:p w14:paraId="71D73ECF" w14:textId="77777777" w:rsidR="005226D6" w:rsidRPr="00256982" w:rsidRDefault="005226D6" w:rsidP="00642B3C">
            <w:pPr>
              <w:pStyle w:val="TableText"/>
            </w:pPr>
            <w:r w:rsidRPr="00256982">
              <w:t>n/a</w:t>
            </w:r>
          </w:p>
        </w:tc>
        <w:tc>
          <w:tcPr>
            <w:tcW w:w="1899" w:type="dxa"/>
            <w:tcBorders>
              <w:top w:val="nil"/>
              <w:left w:val="nil"/>
              <w:bottom w:val="nil"/>
              <w:right w:val="nil"/>
            </w:tcBorders>
          </w:tcPr>
          <w:p w14:paraId="69918EEC" w14:textId="77777777" w:rsidR="005226D6" w:rsidRPr="00256982" w:rsidRDefault="005226D6" w:rsidP="00642B3C">
            <w:pPr>
              <w:pStyle w:val="TableText"/>
            </w:pPr>
            <w:r w:rsidRPr="00256982">
              <w:t>Section 27(1)(a) of the Climate Change Response Act 2002 does not require this information to be made publicly available. Only the holding account number for each account in the registry is publicly available under this section.</w:t>
            </w:r>
          </w:p>
        </w:tc>
      </w:tr>
      <w:tr w:rsidR="005226D6" w:rsidRPr="00256982" w14:paraId="60BBF5C0" w14:textId="77777777" w:rsidTr="00642B3C">
        <w:tc>
          <w:tcPr>
            <w:tcW w:w="2410" w:type="dxa"/>
            <w:tcBorders>
              <w:top w:val="nil"/>
              <w:left w:val="nil"/>
              <w:bottom w:val="single" w:sz="4" w:space="0" w:color="365F91"/>
              <w:right w:val="nil"/>
            </w:tcBorders>
          </w:tcPr>
          <w:p w14:paraId="70D23C58" w14:textId="77777777" w:rsidR="005226D6" w:rsidRPr="00256982" w:rsidRDefault="005226D6" w:rsidP="00642B3C">
            <w:pPr>
              <w:pStyle w:val="TableText"/>
              <w:ind w:left="284" w:hanging="284"/>
            </w:pPr>
            <w:r w:rsidRPr="00256982">
              <w:br w:type="page"/>
              <w:t xml:space="preserve">(e) </w:t>
            </w:r>
            <w:r w:rsidRPr="00256982">
              <w:tab/>
              <w:t>Representative name and contact information: the full name, mailing address, telephone number, facsimile number and email address of the representative of the account holder.</w:t>
            </w:r>
          </w:p>
        </w:tc>
        <w:tc>
          <w:tcPr>
            <w:tcW w:w="2268" w:type="dxa"/>
            <w:tcBorders>
              <w:top w:val="nil"/>
              <w:left w:val="nil"/>
              <w:bottom w:val="single" w:sz="4" w:space="0" w:color="365F91"/>
              <w:right w:val="nil"/>
            </w:tcBorders>
          </w:tcPr>
          <w:p w14:paraId="4C61F9EC" w14:textId="77777777" w:rsidR="005226D6" w:rsidRPr="00256982" w:rsidRDefault="005226D6" w:rsidP="00642B3C">
            <w:pPr>
              <w:pStyle w:val="TableText"/>
              <w:spacing w:after="0"/>
            </w:pPr>
            <w:r w:rsidRPr="00256982">
              <w:t>Partial – publication of the mailing address, email addresses, telephone numbers and facsimile number of the representatives has been withheld for security reasons.</w:t>
            </w:r>
          </w:p>
          <w:p w14:paraId="65BDB99C" w14:textId="77777777" w:rsidR="005226D6" w:rsidRPr="00256982" w:rsidRDefault="005226D6" w:rsidP="00642B3C">
            <w:pPr>
              <w:pStyle w:val="TableText"/>
            </w:pPr>
            <w:r w:rsidRPr="00256982">
              <w:t>(Refer Public information and reports: Accounts.)</w:t>
            </w:r>
          </w:p>
        </w:tc>
        <w:tc>
          <w:tcPr>
            <w:tcW w:w="1985" w:type="dxa"/>
            <w:tcBorders>
              <w:top w:val="nil"/>
              <w:left w:val="nil"/>
              <w:bottom w:val="single" w:sz="4" w:space="0" w:color="365F91"/>
              <w:right w:val="nil"/>
            </w:tcBorders>
          </w:tcPr>
          <w:p w14:paraId="3A867E92" w14:textId="77777777" w:rsidR="005226D6" w:rsidRPr="00256982" w:rsidRDefault="005226D6" w:rsidP="00642B3C">
            <w:pPr>
              <w:pStyle w:val="TableText"/>
            </w:pPr>
            <w:r w:rsidRPr="00256982">
              <w:t>Up to date (note, refreshed daily)</w:t>
            </w:r>
          </w:p>
        </w:tc>
        <w:tc>
          <w:tcPr>
            <w:tcW w:w="1899" w:type="dxa"/>
            <w:tcBorders>
              <w:top w:val="nil"/>
              <w:left w:val="nil"/>
              <w:bottom w:val="single" w:sz="4" w:space="0" w:color="365F91"/>
              <w:right w:val="nil"/>
            </w:tcBorders>
          </w:tcPr>
          <w:p w14:paraId="54B28C44" w14:textId="77777777" w:rsidR="005226D6" w:rsidRPr="00256982" w:rsidRDefault="005226D6" w:rsidP="00642B3C">
            <w:pPr>
              <w:pStyle w:val="TableText"/>
            </w:pPr>
            <w:r w:rsidRPr="00256982">
              <w:t xml:space="preserve">Section 13 of the Climate Change Response Act 2002 permits the Registrar to withhold access to the email address and phone and fax numbers of account holder’s representatives on the grounds of security or integrity of the registry. </w:t>
            </w:r>
          </w:p>
        </w:tc>
      </w:tr>
      <w:tr w:rsidR="005226D6" w:rsidRPr="00256982" w14:paraId="2C09ED7A" w14:textId="77777777" w:rsidTr="00642B3C">
        <w:tc>
          <w:tcPr>
            <w:tcW w:w="2410" w:type="dxa"/>
            <w:tcBorders>
              <w:top w:val="single" w:sz="4" w:space="0" w:color="365F91"/>
              <w:left w:val="nil"/>
              <w:bottom w:val="nil"/>
              <w:right w:val="nil"/>
            </w:tcBorders>
          </w:tcPr>
          <w:p w14:paraId="25CFB9EB" w14:textId="77777777" w:rsidR="005226D6" w:rsidRPr="00256982" w:rsidRDefault="005226D6" w:rsidP="00642B3C">
            <w:pPr>
              <w:pStyle w:val="TableText"/>
              <w:ind w:left="284" w:hanging="284"/>
            </w:pPr>
            <w:r w:rsidRPr="00256982">
              <w:t xml:space="preserve">46. </w:t>
            </w:r>
            <w:r w:rsidRPr="00256982">
              <w:tab/>
              <w:t xml:space="preserve">The information referred to in paragraph 44 shall include the following Article 6 project information, for each project identifier against which the Party has issued ERUs: </w:t>
            </w:r>
          </w:p>
        </w:tc>
        <w:tc>
          <w:tcPr>
            <w:tcW w:w="6152" w:type="dxa"/>
            <w:gridSpan w:val="3"/>
            <w:tcBorders>
              <w:top w:val="single" w:sz="4" w:space="0" w:color="365F91"/>
              <w:left w:val="nil"/>
              <w:bottom w:val="nil"/>
              <w:right w:val="nil"/>
            </w:tcBorders>
          </w:tcPr>
          <w:p w14:paraId="2D1C26D1" w14:textId="77777777" w:rsidR="005226D6" w:rsidRPr="00256982" w:rsidRDefault="005226D6" w:rsidP="00642B3C">
            <w:pPr>
              <w:pStyle w:val="TableText"/>
            </w:pPr>
          </w:p>
        </w:tc>
      </w:tr>
      <w:tr w:rsidR="005226D6" w:rsidRPr="00256982" w14:paraId="1BB942E1" w14:textId="77777777" w:rsidTr="00642B3C">
        <w:tc>
          <w:tcPr>
            <w:tcW w:w="2410" w:type="dxa"/>
            <w:tcBorders>
              <w:top w:val="nil"/>
              <w:left w:val="nil"/>
              <w:bottom w:val="nil"/>
              <w:right w:val="nil"/>
            </w:tcBorders>
          </w:tcPr>
          <w:p w14:paraId="13E83B16" w14:textId="77777777" w:rsidR="005226D6" w:rsidRPr="00256982" w:rsidRDefault="005226D6" w:rsidP="00642B3C">
            <w:pPr>
              <w:pStyle w:val="TableText"/>
              <w:ind w:left="284" w:hanging="284"/>
            </w:pPr>
            <w:r w:rsidRPr="00256982">
              <w:t xml:space="preserve">(a) </w:t>
            </w:r>
            <w:r w:rsidRPr="00256982">
              <w:tab/>
              <w:t>Project name: a unique name for the project.</w:t>
            </w:r>
          </w:p>
        </w:tc>
        <w:tc>
          <w:tcPr>
            <w:tcW w:w="2268" w:type="dxa"/>
            <w:tcBorders>
              <w:top w:val="nil"/>
              <w:left w:val="nil"/>
              <w:bottom w:val="nil"/>
              <w:right w:val="nil"/>
            </w:tcBorders>
          </w:tcPr>
          <w:p w14:paraId="4F2F85B2" w14:textId="77777777" w:rsidR="005226D6" w:rsidRPr="00256982" w:rsidRDefault="005226D6" w:rsidP="00642B3C">
            <w:pPr>
              <w:pStyle w:val="TableText"/>
            </w:pPr>
            <w:r w:rsidRPr="00256982">
              <w:t>Yes (refer Public information and reports: Joint implementation (JI) projects).</w:t>
            </w:r>
          </w:p>
        </w:tc>
        <w:tc>
          <w:tcPr>
            <w:tcW w:w="1985" w:type="dxa"/>
            <w:tcBorders>
              <w:top w:val="nil"/>
              <w:left w:val="nil"/>
              <w:bottom w:val="nil"/>
              <w:right w:val="nil"/>
            </w:tcBorders>
          </w:tcPr>
          <w:p w14:paraId="6D28DB2C" w14:textId="77777777" w:rsidR="005226D6" w:rsidRPr="00256982" w:rsidRDefault="005226D6" w:rsidP="00642B3C">
            <w:pPr>
              <w:pStyle w:val="TableText"/>
            </w:pPr>
            <w:r w:rsidRPr="00256982">
              <w:t>Up to date</w:t>
            </w:r>
          </w:p>
        </w:tc>
        <w:tc>
          <w:tcPr>
            <w:tcW w:w="1899" w:type="dxa"/>
            <w:tcBorders>
              <w:top w:val="nil"/>
              <w:left w:val="nil"/>
              <w:bottom w:val="nil"/>
              <w:right w:val="nil"/>
            </w:tcBorders>
          </w:tcPr>
          <w:p w14:paraId="536D1B33" w14:textId="77777777" w:rsidR="005226D6" w:rsidRPr="00256982" w:rsidRDefault="005226D6" w:rsidP="00642B3C">
            <w:pPr>
              <w:pStyle w:val="TableText"/>
            </w:pPr>
            <w:r w:rsidRPr="00256982">
              <w:t>n/a</w:t>
            </w:r>
          </w:p>
        </w:tc>
      </w:tr>
      <w:tr w:rsidR="005226D6" w:rsidRPr="00256982" w14:paraId="78B10620" w14:textId="77777777" w:rsidTr="00642B3C">
        <w:tc>
          <w:tcPr>
            <w:tcW w:w="2410" w:type="dxa"/>
            <w:tcBorders>
              <w:top w:val="nil"/>
              <w:left w:val="nil"/>
              <w:bottom w:val="nil"/>
              <w:right w:val="nil"/>
            </w:tcBorders>
          </w:tcPr>
          <w:p w14:paraId="2D4772ED" w14:textId="77777777" w:rsidR="005226D6" w:rsidRPr="00256982" w:rsidRDefault="005226D6" w:rsidP="00642B3C">
            <w:pPr>
              <w:pStyle w:val="TableText"/>
              <w:ind w:left="284" w:hanging="284"/>
            </w:pPr>
            <w:r w:rsidRPr="00256982">
              <w:t xml:space="preserve">(b) </w:t>
            </w:r>
            <w:r w:rsidRPr="00256982">
              <w:tab/>
              <w:t>Project location: the Party and town or region in which the project is located.</w:t>
            </w:r>
          </w:p>
        </w:tc>
        <w:tc>
          <w:tcPr>
            <w:tcW w:w="2268" w:type="dxa"/>
            <w:tcBorders>
              <w:top w:val="nil"/>
              <w:left w:val="nil"/>
              <w:bottom w:val="nil"/>
              <w:right w:val="nil"/>
            </w:tcBorders>
          </w:tcPr>
          <w:p w14:paraId="2910C8FD" w14:textId="77777777" w:rsidR="005226D6" w:rsidRPr="00256982" w:rsidRDefault="005226D6" w:rsidP="00642B3C">
            <w:pPr>
              <w:pStyle w:val="TableText"/>
            </w:pPr>
            <w:r w:rsidRPr="00256982">
              <w:t>Yes (refer Public information and reports: JI projects).</w:t>
            </w:r>
          </w:p>
        </w:tc>
        <w:tc>
          <w:tcPr>
            <w:tcW w:w="1985" w:type="dxa"/>
            <w:tcBorders>
              <w:top w:val="nil"/>
              <w:left w:val="nil"/>
              <w:bottom w:val="nil"/>
              <w:right w:val="nil"/>
            </w:tcBorders>
          </w:tcPr>
          <w:p w14:paraId="03FB520E" w14:textId="77777777" w:rsidR="005226D6" w:rsidRPr="00256982" w:rsidRDefault="005226D6" w:rsidP="00642B3C">
            <w:pPr>
              <w:pStyle w:val="TableText"/>
            </w:pPr>
            <w:r w:rsidRPr="00256982">
              <w:t>Up to date</w:t>
            </w:r>
          </w:p>
        </w:tc>
        <w:tc>
          <w:tcPr>
            <w:tcW w:w="1899" w:type="dxa"/>
            <w:tcBorders>
              <w:top w:val="nil"/>
              <w:left w:val="nil"/>
              <w:bottom w:val="nil"/>
              <w:right w:val="nil"/>
            </w:tcBorders>
          </w:tcPr>
          <w:p w14:paraId="5B8782C7" w14:textId="77777777" w:rsidR="005226D6" w:rsidRPr="00256982" w:rsidRDefault="005226D6" w:rsidP="00642B3C">
            <w:pPr>
              <w:pStyle w:val="TableText"/>
            </w:pPr>
            <w:r w:rsidRPr="00256982">
              <w:t xml:space="preserve">n/a </w:t>
            </w:r>
          </w:p>
        </w:tc>
      </w:tr>
      <w:tr w:rsidR="005226D6" w:rsidRPr="00256982" w14:paraId="56033D44" w14:textId="77777777" w:rsidTr="00642B3C">
        <w:tc>
          <w:tcPr>
            <w:tcW w:w="2410" w:type="dxa"/>
            <w:tcBorders>
              <w:top w:val="nil"/>
              <w:left w:val="nil"/>
              <w:bottom w:val="nil"/>
              <w:right w:val="nil"/>
            </w:tcBorders>
          </w:tcPr>
          <w:p w14:paraId="3A44E0CD" w14:textId="77777777" w:rsidR="005226D6" w:rsidRPr="00256982" w:rsidRDefault="005226D6" w:rsidP="00642B3C">
            <w:pPr>
              <w:pStyle w:val="TableText"/>
              <w:ind w:left="284" w:hanging="284"/>
            </w:pPr>
            <w:r w:rsidRPr="00256982">
              <w:t xml:space="preserve">(c) </w:t>
            </w:r>
            <w:r w:rsidRPr="00256982">
              <w:tab/>
              <w:t>Years of ERU issuance: the years when ERUs have been issued as a result of the Article 6 project.</w:t>
            </w:r>
          </w:p>
        </w:tc>
        <w:tc>
          <w:tcPr>
            <w:tcW w:w="2268" w:type="dxa"/>
            <w:tcBorders>
              <w:top w:val="nil"/>
              <w:left w:val="nil"/>
              <w:bottom w:val="nil"/>
              <w:right w:val="nil"/>
            </w:tcBorders>
          </w:tcPr>
          <w:p w14:paraId="7F70F6F4" w14:textId="77777777" w:rsidR="005226D6" w:rsidRPr="00256982" w:rsidRDefault="005226D6" w:rsidP="00642B3C">
            <w:pPr>
              <w:pStyle w:val="TableText"/>
              <w:spacing w:after="0"/>
            </w:pPr>
            <w:r w:rsidRPr="00256982">
              <w:t xml:space="preserve">Yes (refer Public information and reports: Ministers’ directions, which list directions relating to the transfer of emission reduction units to individual JI Projects. </w:t>
            </w:r>
          </w:p>
          <w:p w14:paraId="2BBEF0B8" w14:textId="77777777" w:rsidR="005226D6" w:rsidRPr="00256982" w:rsidRDefault="005226D6" w:rsidP="00642B3C">
            <w:pPr>
              <w:pStyle w:val="TableText"/>
            </w:pPr>
            <w:r w:rsidRPr="00256982">
              <w:t>The New Zealand Emission Trading Register Unit Holding and Transaction Summary Report shows in aggregate the total ERUs converted from AAUs by year).</w:t>
            </w:r>
          </w:p>
        </w:tc>
        <w:tc>
          <w:tcPr>
            <w:tcW w:w="1985" w:type="dxa"/>
            <w:tcBorders>
              <w:top w:val="nil"/>
              <w:left w:val="nil"/>
              <w:bottom w:val="nil"/>
              <w:right w:val="nil"/>
            </w:tcBorders>
          </w:tcPr>
          <w:p w14:paraId="572582E8" w14:textId="77777777" w:rsidR="005226D6" w:rsidRPr="00256982" w:rsidRDefault="005226D6" w:rsidP="00642B3C">
            <w:pPr>
              <w:pStyle w:val="TableText"/>
            </w:pPr>
            <w:r w:rsidRPr="00256982">
              <w:t>Joint implementation projects annually by 31 January for the previous calendar year</w:t>
            </w:r>
          </w:p>
          <w:p w14:paraId="551BE3BC" w14:textId="77777777" w:rsidR="005226D6" w:rsidRPr="00256982" w:rsidRDefault="005226D6" w:rsidP="00642B3C">
            <w:pPr>
              <w:pStyle w:val="TableText"/>
            </w:pPr>
            <w:r w:rsidRPr="00256982">
              <w:t>Ministers’ directions – up to date (note, refreshed daily)</w:t>
            </w:r>
          </w:p>
        </w:tc>
        <w:tc>
          <w:tcPr>
            <w:tcW w:w="1899" w:type="dxa"/>
            <w:tcBorders>
              <w:top w:val="nil"/>
              <w:left w:val="nil"/>
              <w:bottom w:val="nil"/>
              <w:right w:val="nil"/>
            </w:tcBorders>
          </w:tcPr>
          <w:p w14:paraId="29FC7AE4" w14:textId="77777777" w:rsidR="005226D6" w:rsidRPr="00256982" w:rsidRDefault="005226D6" w:rsidP="00642B3C">
            <w:pPr>
              <w:pStyle w:val="TableText"/>
            </w:pPr>
            <w:r w:rsidRPr="00256982">
              <w:t>n/a</w:t>
            </w:r>
          </w:p>
        </w:tc>
      </w:tr>
      <w:tr w:rsidR="005226D6" w:rsidRPr="00256982" w14:paraId="6378ECA9" w14:textId="77777777" w:rsidTr="00642B3C">
        <w:tc>
          <w:tcPr>
            <w:tcW w:w="2410" w:type="dxa"/>
            <w:tcBorders>
              <w:top w:val="nil"/>
              <w:left w:val="nil"/>
              <w:bottom w:val="single" w:sz="4" w:space="0" w:color="365F91"/>
              <w:right w:val="nil"/>
            </w:tcBorders>
          </w:tcPr>
          <w:p w14:paraId="55523BA2" w14:textId="77777777" w:rsidR="005226D6" w:rsidRPr="00256982" w:rsidRDefault="005226D6" w:rsidP="00642B3C">
            <w:pPr>
              <w:pStyle w:val="TableText"/>
              <w:keepNext/>
              <w:ind w:left="284" w:hanging="284"/>
            </w:pPr>
            <w:r w:rsidRPr="00256982">
              <w:t xml:space="preserve">(d) </w:t>
            </w:r>
            <w:r w:rsidRPr="00256982">
              <w:tab/>
              <w:t>Reports: downloadable electronic versions of all publicly available documentation relating to the project, including proposals, monitoring, verification and issuance of ERUs, where relevant, subject to the confidentiality provisions in decision 9/CMP.1.</w:t>
            </w:r>
          </w:p>
        </w:tc>
        <w:tc>
          <w:tcPr>
            <w:tcW w:w="2268" w:type="dxa"/>
            <w:tcBorders>
              <w:top w:val="nil"/>
              <w:left w:val="nil"/>
              <w:bottom w:val="single" w:sz="4" w:space="0" w:color="365F91"/>
              <w:right w:val="nil"/>
            </w:tcBorders>
          </w:tcPr>
          <w:p w14:paraId="4EC69F33" w14:textId="77777777" w:rsidR="005226D6" w:rsidRPr="00256982" w:rsidRDefault="005226D6" w:rsidP="00642B3C">
            <w:pPr>
              <w:pStyle w:val="TableText"/>
              <w:spacing w:after="0"/>
            </w:pPr>
            <w:r w:rsidRPr="00256982">
              <w:t xml:space="preserve">Partial – some of this information is published on the Ministry for the Environment’s website for JI projects at </w:t>
            </w:r>
            <w:hyperlink r:id="rId262" w:history="1">
              <w:r w:rsidRPr="00256982">
                <w:t>www.mfe.govt.nz/climate-change/reducing-greenhouse-gas-emissions/former-government-initiatives</w:t>
              </w:r>
            </w:hyperlink>
            <w:r w:rsidRPr="00256982">
              <w:t>. This provides a link to the project documentation on the UNFCCC site and is not replicated on the New Zealand’s national registry website.</w:t>
            </w:r>
          </w:p>
          <w:p w14:paraId="34D65034" w14:textId="77777777" w:rsidR="005226D6" w:rsidRPr="00256982" w:rsidRDefault="005226D6" w:rsidP="00642B3C">
            <w:pPr>
              <w:pStyle w:val="TableText"/>
            </w:pPr>
            <w:r w:rsidRPr="00256982">
              <w:t>The following information for each JI project is published on the Ministry for the Environment website:</w:t>
            </w:r>
          </w:p>
          <w:p w14:paraId="1CCFAB37" w14:textId="77777777" w:rsidR="005226D6" w:rsidRPr="00256982" w:rsidRDefault="005226D6" w:rsidP="005226D6">
            <w:pPr>
              <w:pStyle w:val="TableBullet"/>
              <w:tabs>
                <w:tab w:val="clear" w:pos="284"/>
              </w:tabs>
              <w:spacing w:before="0"/>
              <w:ind w:left="170" w:hanging="170"/>
            </w:pPr>
            <w:r w:rsidRPr="00256982">
              <w:t xml:space="preserve">project description </w:t>
            </w:r>
          </w:p>
          <w:p w14:paraId="65E82C07" w14:textId="77777777" w:rsidR="005226D6" w:rsidRPr="00256982" w:rsidRDefault="005226D6" w:rsidP="005226D6">
            <w:pPr>
              <w:pStyle w:val="TableBullet"/>
              <w:tabs>
                <w:tab w:val="clear" w:pos="284"/>
              </w:tabs>
              <w:spacing w:before="0"/>
              <w:ind w:left="170" w:hanging="170"/>
            </w:pPr>
            <w:r w:rsidRPr="00256982">
              <w:t xml:space="preserve">non-host party project approval </w:t>
            </w:r>
          </w:p>
          <w:p w14:paraId="16EDFA96" w14:textId="77777777" w:rsidR="005226D6" w:rsidRPr="00256982" w:rsidRDefault="005226D6" w:rsidP="005226D6">
            <w:pPr>
              <w:pStyle w:val="TableBullet"/>
              <w:tabs>
                <w:tab w:val="clear" w:pos="284"/>
              </w:tabs>
              <w:spacing w:before="0"/>
              <w:ind w:left="170" w:hanging="170"/>
            </w:pPr>
            <w:r w:rsidRPr="00256982">
              <w:t xml:space="preserve">annual reports </w:t>
            </w:r>
          </w:p>
          <w:p w14:paraId="42B31180" w14:textId="77777777" w:rsidR="005226D6" w:rsidRPr="00256982" w:rsidRDefault="005226D6" w:rsidP="005226D6">
            <w:pPr>
              <w:pStyle w:val="TableBullet"/>
              <w:tabs>
                <w:tab w:val="clear" w:pos="284"/>
              </w:tabs>
              <w:spacing w:before="0" w:after="0"/>
              <w:ind w:left="170" w:hanging="170"/>
            </w:pPr>
            <w:r w:rsidRPr="00256982">
              <w:t xml:space="preserve">verification reports. </w:t>
            </w:r>
          </w:p>
          <w:p w14:paraId="6AB34080" w14:textId="77777777" w:rsidR="005226D6" w:rsidRPr="00256982" w:rsidRDefault="005226D6" w:rsidP="00642B3C">
            <w:pPr>
              <w:pStyle w:val="TableText"/>
            </w:pPr>
            <w:r w:rsidRPr="00256982">
              <w:t>Project proposals are not included as they contain financial information that is considered to be commercially sensitive and confidential.</w:t>
            </w:r>
          </w:p>
        </w:tc>
        <w:tc>
          <w:tcPr>
            <w:tcW w:w="1985" w:type="dxa"/>
            <w:tcBorders>
              <w:top w:val="nil"/>
              <w:left w:val="nil"/>
              <w:bottom w:val="single" w:sz="4" w:space="0" w:color="365F91"/>
              <w:right w:val="nil"/>
            </w:tcBorders>
          </w:tcPr>
          <w:p w14:paraId="79BE6901" w14:textId="77777777" w:rsidR="005226D6" w:rsidRPr="00256982" w:rsidRDefault="005226D6" w:rsidP="00642B3C">
            <w:pPr>
              <w:pStyle w:val="TableText"/>
            </w:pPr>
            <w:r w:rsidRPr="00256982">
              <w:t>This information becomes publicly available once New Zealand gives its approval to the JI project. The information is then updated when necessary and annual reports are added annually.</w:t>
            </w:r>
          </w:p>
        </w:tc>
        <w:tc>
          <w:tcPr>
            <w:tcW w:w="1899" w:type="dxa"/>
            <w:tcBorders>
              <w:top w:val="nil"/>
              <w:left w:val="nil"/>
              <w:bottom w:val="single" w:sz="4" w:space="0" w:color="365F91"/>
              <w:right w:val="nil"/>
            </w:tcBorders>
          </w:tcPr>
          <w:p w14:paraId="18CF4AE5" w14:textId="77777777" w:rsidR="005226D6" w:rsidRPr="00256982" w:rsidRDefault="005226D6" w:rsidP="00642B3C">
            <w:pPr>
              <w:pStyle w:val="TableText"/>
            </w:pPr>
            <w:r w:rsidRPr="00256982">
              <w:t>n/a</w:t>
            </w:r>
          </w:p>
        </w:tc>
      </w:tr>
      <w:tr w:rsidR="005226D6" w:rsidRPr="00256982" w14:paraId="3FFABAD3" w14:textId="77777777" w:rsidTr="00642B3C">
        <w:tc>
          <w:tcPr>
            <w:tcW w:w="2410" w:type="dxa"/>
            <w:tcBorders>
              <w:top w:val="single" w:sz="4" w:space="0" w:color="365F91"/>
              <w:left w:val="nil"/>
              <w:bottom w:val="nil"/>
              <w:right w:val="nil"/>
            </w:tcBorders>
          </w:tcPr>
          <w:p w14:paraId="311BF573" w14:textId="77777777" w:rsidR="005226D6" w:rsidRPr="00256982" w:rsidRDefault="005226D6" w:rsidP="00642B3C">
            <w:pPr>
              <w:pStyle w:val="TableText"/>
              <w:ind w:left="284" w:hanging="284"/>
            </w:pPr>
            <w:r w:rsidRPr="00256982">
              <w:t xml:space="preserve">47. </w:t>
            </w:r>
            <w:r w:rsidRPr="00256982">
              <w:tab/>
              <w:t>The information referred to in paragraph 44 shall include the following holding and transaction information relevant to the national registry, by serial number, for each calendar year (defined according to Greenwich Mean Time):</w:t>
            </w:r>
          </w:p>
        </w:tc>
        <w:tc>
          <w:tcPr>
            <w:tcW w:w="4253" w:type="dxa"/>
            <w:gridSpan w:val="2"/>
            <w:tcBorders>
              <w:top w:val="single" w:sz="4" w:space="0" w:color="365F91"/>
              <w:left w:val="nil"/>
              <w:bottom w:val="nil"/>
              <w:right w:val="nil"/>
            </w:tcBorders>
          </w:tcPr>
          <w:p w14:paraId="18A3FF64" w14:textId="77777777" w:rsidR="005226D6" w:rsidRPr="00256982" w:rsidRDefault="005226D6" w:rsidP="00642B3C">
            <w:pPr>
              <w:pStyle w:val="TableText"/>
            </w:pPr>
          </w:p>
        </w:tc>
        <w:tc>
          <w:tcPr>
            <w:tcW w:w="1899" w:type="dxa"/>
            <w:tcBorders>
              <w:top w:val="single" w:sz="4" w:space="0" w:color="365F91"/>
              <w:left w:val="nil"/>
              <w:bottom w:val="nil"/>
              <w:right w:val="nil"/>
            </w:tcBorders>
          </w:tcPr>
          <w:p w14:paraId="66896529" w14:textId="77777777" w:rsidR="005226D6" w:rsidRPr="00256982" w:rsidRDefault="005226D6" w:rsidP="00642B3C">
            <w:pPr>
              <w:pStyle w:val="TableText"/>
            </w:pPr>
          </w:p>
        </w:tc>
      </w:tr>
      <w:tr w:rsidR="005226D6" w:rsidRPr="00256982" w14:paraId="7A15CDA2" w14:textId="77777777" w:rsidTr="00642B3C">
        <w:tc>
          <w:tcPr>
            <w:tcW w:w="2410" w:type="dxa"/>
            <w:tcBorders>
              <w:top w:val="nil"/>
              <w:left w:val="nil"/>
              <w:bottom w:val="nil"/>
              <w:right w:val="nil"/>
            </w:tcBorders>
          </w:tcPr>
          <w:p w14:paraId="10DDFDD5" w14:textId="77777777" w:rsidR="005226D6" w:rsidRPr="00256982" w:rsidRDefault="005226D6" w:rsidP="00642B3C">
            <w:pPr>
              <w:pStyle w:val="TableText"/>
              <w:ind w:left="284" w:hanging="284"/>
            </w:pPr>
            <w:r w:rsidRPr="00256982">
              <w:t xml:space="preserve">(a) </w:t>
            </w:r>
            <w:r w:rsidRPr="00256982">
              <w:tab/>
              <w:t>The total quantity of ERUs, CERs, AAUs and RMUs in each account at the beginning of the year.</w:t>
            </w:r>
          </w:p>
        </w:tc>
        <w:tc>
          <w:tcPr>
            <w:tcW w:w="2268" w:type="dxa"/>
            <w:tcBorders>
              <w:top w:val="nil"/>
              <w:left w:val="nil"/>
              <w:bottom w:val="nil"/>
              <w:right w:val="nil"/>
            </w:tcBorders>
          </w:tcPr>
          <w:p w14:paraId="2F5F8B4D" w14:textId="77777777" w:rsidR="005226D6" w:rsidRPr="00256982" w:rsidRDefault="005226D6" w:rsidP="00642B3C">
            <w:pPr>
              <w:pStyle w:val="TableText"/>
              <w:spacing w:after="0"/>
            </w:pPr>
            <w:r w:rsidRPr="00256982">
              <w:t>Partial – aggregate unit holdings of ERUs, CERs, AAUs and RMUs for the previous calendar year are disclosed by 31 January of each year (refer Public information and reports: Holding &amp; transaction summary).</w:t>
            </w:r>
          </w:p>
          <w:p w14:paraId="7F6FE847" w14:textId="77777777" w:rsidR="005226D6" w:rsidRPr="00256982" w:rsidRDefault="005226D6" w:rsidP="00642B3C">
            <w:pPr>
              <w:pStyle w:val="TableText"/>
            </w:pPr>
            <w:r w:rsidRPr="00256982">
              <w:t>Total quantity of unit holdings in each account within the most recent calendar year is considered to be confidential information. Therefore the total quantity of unit holdings in each account provided consists of only those completed more than one year in the past.</w:t>
            </w:r>
          </w:p>
          <w:p w14:paraId="032EEDCC" w14:textId="77777777" w:rsidR="005226D6" w:rsidRPr="00256982" w:rsidRDefault="005226D6" w:rsidP="00642B3C">
            <w:pPr>
              <w:pStyle w:val="TableText"/>
            </w:pPr>
          </w:p>
          <w:p w14:paraId="3A656448" w14:textId="77777777" w:rsidR="005226D6" w:rsidRPr="00256982" w:rsidRDefault="005226D6" w:rsidP="00642B3C">
            <w:pPr>
              <w:pStyle w:val="TableText"/>
            </w:pPr>
            <w:r w:rsidRPr="00256982">
              <w:t>(Refer Public information and reports: Kyoto unit holdings by account. Use Search Criteria to find information about more than one year in the past.)</w:t>
            </w:r>
          </w:p>
        </w:tc>
        <w:tc>
          <w:tcPr>
            <w:tcW w:w="1985" w:type="dxa"/>
            <w:tcBorders>
              <w:top w:val="nil"/>
              <w:left w:val="nil"/>
              <w:bottom w:val="nil"/>
              <w:right w:val="nil"/>
            </w:tcBorders>
          </w:tcPr>
          <w:p w14:paraId="5EC4E856" w14:textId="77777777" w:rsidR="005226D6" w:rsidRPr="00256982" w:rsidRDefault="005226D6" w:rsidP="00642B3C">
            <w:pPr>
              <w:pStyle w:val="TableText"/>
            </w:pPr>
            <w:r w:rsidRPr="00256982">
              <w:t>Annually by 31 January for the previous calendar year 1 January for the beginning of the previous calendar year</w:t>
            </w:r>
          </w:p>
        </w:tc>
        <w:tc>
          <w:tcPr>
            <w:tcW w:w="1899" w:type="dxa"/>
            <w:tcBorders>
              <w:top w:val="nil"/>
              <w:left w:val="nil"/>
              <w:bottom w:val="nil"/>
              <w:right w:val="nil"/>
            </w:tcBorders>
          </w:tcPr>
          <w:p w14:paraId="43121557" w14:textId="77777777" w:rsidR="005226D6" w:rsidRPr="00256982" w:rsidRDefault="005226D6" w:rsidP="00642B3C">
            <w:pPr>
              <w:pStyle w:val="TableText"/>
              <w:spacing w:after="0"/>
            </w:pPr>
            <w:r w:rsidRPr="00256982">
              <w:t xml:space="preserve">Section 27(2) of the Climate Change Response Act 2002 requires total holdings of AAUs, ERUs, CERs, ICERs, tCERs and RMUs to be publicly available by 31 January of each year for the previous calendar year. </w:t>
            </w:r>
          </w:p>
          <w:p w14:paraId="27C98C3D" w14:textId="77777777" w:rsidR="005226D6" w:rsidRPr="00256982" w:rsidRDefault="005226D6" w:rsidP="00642B3C">
            <w:pPr>
              <w:pStyle w:val="TableText"/>
            </w:pPr>
            <w:r w:rsidRPr="00256982">
              <w:t xml:space="preserve">Section 27(3) of the Climate Change Response Act 2002 only requires holdings of Kyoto units by each holding account for the beginning of the previous calendar year to be made publicly available. </w:t>
            </w:r>
          </w:p>
        </w:tc>
      </w:tr>
      <w:tr w:rsidR="005226D6" w:rsidRPr="00256982" w14:paraId="7511F7A4" w14:textId="77777777" w:rsidTr="00642B3C">
        <w:tc>
          <w:tcPr>
            <w:tcW w:w="2410" w:type="dxa"/>
            <w:tcBorders>
              <w:top w:val="nil"/>
              <w:left w:val="nil"/>
              <w:bottom w:val="nil"/>
              <w:right w:val="nil"/>
            </w:tcBorders>
          </w:tcPr>
          <w:p w14:paraId="317EB903" w14:textId="77777777" w:rsidR="005226D6" w:rsidRPr="00256982" w:rsidRDefault="005226D6" w:rsidP="00642B3C">
            <w:pPr>
              <w:pStyle w:val="TableText"/>
              <w:spacing w:before="50" w:after="50"/>
              <w:ind w:left="284" w:hanging="284"/>
            </w:pPr>
            <w:r w:rsidRPr="00256982">
              <w:t xml:space="preserve">(b) </w:t>
            </w:r>
            <w:r w:rsidRPr="00256982">
              <w:tab/>
              <w:t>The total quantity of AAUs issued on the basis of the assigned amount pursuant to Article 3, paragraphs 7 and 8.</w:t>
            </w:r>
          </w:p>
        </w:tc>
        <w:tc>
          <w:tcPr>
            <w:tcW w:w="2268" w:type="dxa"/>
            <w:tcBorders>
              <w:top w:val="nil"/>
              <w:left w:val="nil"/>
              <w:bottom w:val="nil"/>
              <w:right w:val="nil"/>
            </w:tcBorders>
          </w:tcPr>
          <w:p w14:paraId="658C76FD" w14:textId="77777777" w:rsidR="005226D6" w:rsidRPr="00256982" w:rsidRDefault="005226D6" w:rsidP="00642B3C">
            <w:pPr>
              <w:pStyle w:val="TableText"/>
              <w:spacing w:before="50" w:after="50"/>
            </w:pPr>
            <w:r w:rsidRPr="00256982">
              <w:t>Yes (refer Public information and reports: Holding &amp; transaction summary).</w:t>
            </w:r>
          </w:p>
        </w:tc>
        <w:tc>
          <w:tcPr>
            <w:tcW w:w="1985" w:type="dxa"/>
            <w:tcBorders>
              <w:top w:val="nil"/>
              <w:left w:val="nil"/>
              <w:bottom w:val="nil"/>
              <w:right w:val="nil"/>
            </w:tcBorders>
          </w:tcPr>
          <w:p w14:paraId="58BDAC03" w14:textId="77777777" w:rsidR="005226D6" w:rsidRPr="00256982" w:rsidRDefault="005226D6" w:rsidP="00642B3C">
            <w:pPr>
              <w:pStyle w:val="TableText"/>
              <w:spacing w:before="50" w:after="50"/>
            </w:pPr>
            <w:r w:rsidRPr="00256982">
              <w:t>Annually by 31 January for the previous calendar year</w:t>
            </w:r>
          </w:p>
        </w:tc>
        <w:tc>
          <w:tcPr>
            <w:tcW w:w="1899" w:type="dxa"/>
            <w:tcBorders>
              <w:top w:val="nil"/>
              <w:left w:val="nil"/>
              <w:bottom w:val="nil"/>
              <w:right w:val="nil"/>
            </w:tcBorders>
          </w:tcPr>
          <w:p w14:paraId="7F7CE2B3" w14:textId="77777777" w:rsidR="005226D6" w:rsidRPr="00256982" w:rsidRDefault="005226D6" w:rsidP="00642B3C">
            <w:pPr>
              <w:pStyle w:val="TableText"/>
              <w:spacing w:before="50" w:after="50"/>
            </w:pPr>
            <w:r w:rsidRPr="00256982">
              <w:t>n/a</w:t>
            </w:r>
          </w:p>
        </w:tc>
      </w:tr>
      <w:tr w:rsidR="005226D6" w:rsidRPr="00256982" w14:paraId="025A5292" w14:textId="77777777" w:rsidTr="00642B3C">
        <w:tc>
          <w:tcPr>
            <w:tcW w:w="2410" w:type="dxa"/>
            <w:tcBorders>
              <w:top w:val="nil"/>
              <w:left w:val="nil"/>
              <w:bottom w:val="nil"/>
              <w:right w:val="nil"/>
            </w:tcBorders>
          </w:tcPr>
          <w:p w14:paraId="4D565047" w14:textId="77777777" w:rsidR="005226D6" w:rsidRPr="00256982" w:rsidRDefault="005226D6" w:rsidP="00642B3C">
            <w:pPr>
              <w:pStyle w:val="TableText"/>
              <w:spacing w:before="50" w:after="50"/>
              <w:ind w:left="284" w:hanging="284"/>
            </w:pPr>
            <w:r w:rsidRPr="00256982">
              <w:t xml:space="preserve">(c) </w:t>
            </w:r>
            <w:r w:rsidRPr="00256982">
              <w:tab/>
              <w:t>The total quantity of ERUs issued on the basis of Article 6 projects.</w:t>
            </w:r>
          </w:p>
        </w:tc>
        <w:tc>
          <w:tcPr>
            <w:tcW w:w="2268" w:type="dxa"/>
            <w:tcBorders>
              <w:top w:val="nil"/>
              <w:left w:val="nil"/>
              <w:bottom w:val="nil"/>
              <w:right w:val="nil"/>
            </w:tcBorders>
          </w:tcPr>
          <w:p w14:paraId="03529DD2" w14:textId="77777777" w:rsidR="005226D6" w:rsidRPr="00256982" w:rsidRDefault="005226D6" w:rsidP="00642B3C">
            <w:pPr>
              <w:pStyle w:val="TableText"/>
              <w:spacing w:before="50" w:after="50"/>
            </w:pPr>
            <w:r w:rsidRPr="00256982">
              <w:t>Yes (refer Public information and reports: Holding &amp; transaction summary – Units converted to).</w:t>
            </w:r>
          </w:p>
        </w:tc>
        <w:tc>
          <w:tcPr>
            <w:tcW w:w="1985" w:type="dxa"/>
            <w:tcBorders>
              <w:top w:val="nil"/>
              <w:left w:val="nil"/>
              <w:bottom w:val="nil"/>
              <w:right w:val="nil"/>
            </w:tcBorders>
          </w:tcPr>
          <w:p w14:paraId="137D3598" w14:textId="77777777" w:rsidR="005226D6" w:rsidRPr="00256982" w:rsidRDefault="005226D6" w:rsidP="00642B3C">
            <w:pPr>
              <w:pStyle w:val="TableText"/>
              <w:spacing w:before="50" w:after="50"/>
            </w:pPr>
            <w:r w:rsidRPr="00256982">
              <w:t>Annually by 31 January for the previous calendar year</w:t>
            </w:r>
          </w:p>
        </w:tc>
        <w:tc>
          <w:tcPr>
            <w:tcW w:w="1899" w:type="dxa"/>
            <w:tcBorders>
              <w:top w:val="nil"/>
              <w:left w:val="nil"/>
              <w:bottom w:val="nil"/>
              <w:right w:val="nil"/>
            </w:tcBorders>
          </w:tcPr>
          <w:p w14:paraId="457DB374" w14:textId="77777777" w:rsidR="005226D6" w:rsidRPr="00256982" w:rsidRDefault="005226D6" w:rsidP="00642B3C">
            <w:pPr>
              <w:pStyle w:val="TableText"/>
              <w:spacing w:before="50" w:after="50"/>
            </w:pPr>
            <w:r w:rsidRPr="00256982">
              <w:t>n/a</w:t>
            </w:r>
          </w:p>
        </w:tc>
      </w:tr>
      <w:tr w:rsidR="005226D6" w:rsidRPr="00256982" w14:paraId="143BD1BE" w14:textId="77777777" w:rsidTr="00642B3C">
        <w:tc>
          <w:tcPr>
            <w:tcW w:w="2410" w:type="dxa"/>
            <w:tcBorders>
              <w:top w:val="nil"/>
              <w:left w:val="nil"/>
              <w:bottom w:val="nil"/>
              <w:right w:val="nil"/>
            </w:tcBorders>
          </w:tcPr>
          <w:p w14:paraId="5E1E4DF4" w14:textId="77777777" w:rsidR="005226D6" w:rsidRPr="00256982" w:rsidRDefault="005226D6" w:rsidP="00642B3C">
            <w:pPr>
              <w:pStyle w:val="TableText"/>
              <w:ind w:left="284" w:hanging="284"/>
            </w:pPr>
            <w:r w:rsidRPr="00256982">
              <w:t xml:space="preserve">(d) </w:t>
            </w:r>
            <w:r w:rsidRPr="00256982">
              <w:tab/>
              <w:t>The total quantity of ERUs, CERs, AAUs and RMUs acquired from other registries and the identity of the transferring accounts and registries.</w:t>
            </w:r>
          </w:p>
        </w:tc>
        <w:tc>
          <w:tcPr>
            <w:tcW w:w="2268" w:type="dxa"/>
            <w:tcBorders>
              <w:top w:val="nil"/>
              <w:left w:val="nil"/>
              <w:bottom w:val="nil"/>
              <w:right w:val="nil"/>
            </w:tcBorders>
          </w:tcPr>
          <w:p w14:paraId="4BA17C35" w14:textId="77777777" w:rsidR="005226D6" w:rsidRPr="00256982" w:rsidRDefault="005226D6" w:rsidP="00642B3C">
            <w:pPr>
              <w:pStyle w:val="TableText"/>
            </w:pPr>
            <w:r w:rsidRPr="00256982">
              <w:t xml:space="preserve">Partial – the total quantity of ERUs, CERs, AAUs and RMUs acquired from other registries, and the identity of the registries is publicly available by 31 January for the previous calendar year (refer Public information and reports: Incoming transactions by year). </w:t>
            </w:r>
          </w:p>
          <w:p w14:paraId="0D26E3AF" w14:textId="77777777" w:rsidR="005226D6" w:rsidRPr="00256982" w:rsidRDefault="005226D6" w:rsidP="00642B3C">
            <w:pPr>
              <w:pStyle w:val="TableText"/>
            </w:pPr>
            <w:r w:rsidRPr="00256982">
              <w:t>The identity of the individual transferring accounts is not available as it is considered to be confidential information.</w:t>
            </w:r>
          </w:p>
        </w:tc>
        <w:tc>
          <w:tcPr>
            <w:tcW w:w="1985" w:type="dxa"/>
            <w:tcBorders>
              <w:top w:val="nil"/>
              <w:left w:val="nil"/>
              <w:bottom w:val="nil"/>
              <w:right w:val="nil"/>
            </w:tcBorders>
          </w:tcPr>
          <w:p w14:paraId="27F96FAA" w14:textId="77777777" w:rsidR="005226D6" w:rsidRPr="00256982" w:rsidRDefault="005226D6" w:rsidP="00642B3C">
            <w:pPr>
              <w:pStyle w:val="TableText"/>
            </w:pPr>
            <w:r w:rsidRPr="00256982">
              <w:t>Annually by 31 January for the previous calendar year</w:t>
            </w:r>
          </w:p>
        </w:tc>
        <w:tc>
          <w:tcPr>
            <w:tcW w:w="1899" w:type="dxa"/>
            <w:tcBorders>
              <w:top w:val="nil"/>
              <w:left w:val="nil"/>
              <w:bottom w:val="nil"/>
              <w:right w:val="nil"/>
            </w:tcBorders>
          </w:tcPr>
          <w:p w14:paraId="273DA45A" w14:textId="77777777" w:rsidR="005226D6" w:rsidRPr="00256982" w:rsidRDefault="005226D6" w:rsidP="00642B3C">
            <w:pPr>
              <w:pStyle w:val="TableText"/>
            </w:pPr>
            <w:r w:rsidRPr="00256982">
              <w:t>n/a</w:t>
            </w:r>
          </w:p>
          <w:p w14:paraId="02D6D123" w14:textId="77777777" w:rsidR="005226D6" w:rsidRPr="00256982" w:rsidRDefault="005226D6" w:rsidP="00642B3C">
            <w:pPr>
              <w:pStyle w:val="TableText"/>
              <w:spacing w:after="40"/>
            </w:pPr>
            <w:r w:rsidRPr="00256982">
              <w:t>Section 27(j) of the Climate Change Response Act 2002 requires that only the following be made publicly available:</w:t>
            </w:r>
          </w:p>
          <w:p w14:paraId="0621E749" w14:textId="77777777" w:rsidR="005226D6" w:rsidRPr="00256982" w:rsidRDefault="005226D6" w:rsidP="005226D6">
            <w:pPr>
              <w:pStyle w:val="TableBullet"/>
              <w:tabs>
                <w:tab w:val="clear" w:pos="284"/>
              </w:tabs>
              <w:spacing w:before="0" w:after="40"/>
              <w:ind w:left="170" w:hanging="170"/>
            </w:pPr>
            <w:r w:rsidRPr="00256982">
              <w:t>total quantity of units transferred</w:t>
            </w:r>
          </w:p>
          <w:p w14:paraId="5DB29E82" w14:textId="77777777" w:rsidR="005226D6" w:rsidRPr="00256982" w:rsidRDefault="005226D6" w:rsidP="005226D6">
            <w:pPr>
              <w:pStyle w:val="TableBullet"/>
              <w:tabs>
                <w:tab w:val="clear" w:pos="284"/>
              </w:tabs>
              <w:spacing w:before="0" w:after="40"/>
              <w:ind w:left="170" w:hanging="170"/>
            </w:pPr>
            <w:r w:rsidRPr="00256982">
              <w:t>total quantity and type of unit transferred</w:t>
            </w:r>
          </w:p>
          <w:p w14:paraId="2877BA89" w14:textId="77777777" w:rsidR="005226D6" w:rsidRPr="00256982" w:rsidRDefault="005226D6" w:rsidP="005226D6">
            <w:pPr>
              <w:pStyle w:val="TableBullet"/>
              <w:tabs>
                <w:tab w:val="clear" w:pos="284"/>
              </w:tabs>
              <w:spacing w:before="0" w:after="40"/>
              <w:ind w:left="170" w:hanging="170"/>
            </w:pPr>
            <w:r w:rsidRPr="00256982">
              <w:t>the identity of the transferring overseas registries, including the total quantity of units transferred from each overseas registry and each type of unit transferred from each overseas registry.</w:t>
            </w:r>
          </w:p>
        </w:tc>
      </w:tr>
      <w:tr w:rsidR="005226D6" w:rsidRPr="00256982" w14:paraId="7B3CEAB6" w14:textId="77777777" w:rsidTr="00642B3C">
        <w:tc>
          <w:tcPr>
            <w:tcW w:w="2410" w:type="dxa"/>
            <w:tcBorders>
              <w:top w:val="nil"/>
              <w:left w:val="nil"/>
              <w:bottom w:val="nil"/>
              <w:right w:val="nil"/>
            </w:tcBorders>
          </w:tcPr>
          <w:p w14:paraId="55EA33CC" w14:textId="77777777" w:rsidR="005226D6" w:rsidRPr="00256982" w:rsidRDefault="005226D6" w:rsidP="00642B3C">
            <w:pPr>
              <w:pStyle w:val="TableText"/>
              <w:spacing w:before="40" w:after="40"/>
              <w:ind w:left="284" w:hanging="284"/>
            </w:pPr>
            <w:r w:rsidRPr="00256982">
              <w:t xml:space="preserve">(e) </w:t>
            </w:r>
            <w:r w:rsidRPr="00256982">
              <w:tab/>
              <w:t>The total quantity of RMUs issued on the basis of each activity under Article 3, paragraphs 3 and 4.</w:t>
            </w:r>
          </w:p>
        </w:tc>
        <w:tc>
          <w:tcPr>
            <w:tcW w:w="2268" w:type="dxa"/>
            <w:tcBorders>
              <w:top w:val="nil"/>
              <w:left w:val="nil"/>
              <w:bottom w:val="nil"/>
              <w:right w:val="nil"/>
            </w:tcBorders>
          </w:tcPr>
          <w:p w14:paraId="14D207C8" w14:textId="77777777" w:rsidR="005226D6" w:rsidRPr="00256982" w:rsidRDefault="005226D6" w:rsidP="00642B3C">
            <w:pPr>
              <w:pStyle w:val="TableText"/>
              <w:spacing w:before="40" w:after="40"/>
            </w:pPr>
            <w:r w:rsidRPr="00256982">
              <w:t xml:space="preserve">Yes (refer Public information and reports: Holding &amp; transaction summary). </w:t>
            </w:r>
          </w:p>
        </w:tc>
        <w:tc>
          <w:tcPr>
            <w:tcW w:w="1985" w:type="dxa"/>
            <w:tcBorders>
              <w:top w:val="nil"/>
              <w:left w:val="nil"/>
              <w:bottom w:val="nil"/>
              <w:right w:val="nil"/>
            </w:tcBorders>
          </w:tcPr>
          <w:p w14:paraId="588141FF" w14:textId="77777777" w:rsidR="005226D6" w:rsidRPr="00256982" w:rsidRDefault="005226D6" w:rsidP="00642B3C">
            <w:pPr>
              <w:pStyle w:val="TableText"/>
              <w:spacing w:before="40" w:after="40"/>
            </w:pPr>
            <w:r w:rsidRPr="00256982">
              <w:t>Annually by 31 January for the previous calendar year</w:t>
            </w:r>
          </w:p>
        </w:tc>
        <w:tc>
          <w:tcPr>
            <w:tcW w:w="1899" w:type="dxa"/>
            <w:tcBorders>
              <w:top w:val="nil"/>
              <w:left w:val="nil"/>
              <w:bottom w:val="nil"/>
              <w:right w:val="nil"/>
            </w:tcBorders>
          </w:tcPr>
          <w:p w14:paraId="71CDB245" w14:textId="77777777" w:rsidR="005226D6" w:rsidRPr="00256982" w:rsidRDefault="005226D6" w:rsidP="00642B3C">
            <w:pPr>
              <w:pStyle w:val="TableText"/>
              <w:spacing w:before="40" w:after="40"/>
            </w:pPr>
            <w:r w:rsidRPr="00256982">
              <w:t>n/a</w:t>
            </w:r>
          </w:p>
        </w:tc>
      </w:tr>
      <w:tr w:rsidR="005226D6" w:rsidRPr="00256982" w14:paraId="370DB044" w14:textId="77777777" w:rsidTr="00642B3C">
        <w:tc>
          <w:tcPr>
            <w:tcW w:w="2410" w:type="dxa"/>
            <w:tcBorders>
              <w:top w:val="nil"/>
              <w:left w:val="nil"/>
              <w:bottom w:val="nil"/>
              <w:right w:val="nil"/>
            </w:tcBorders>
          </w:tcPr>
          <w:p w14:paraId="6B054CD0" w14:textId="77777777" w:rsidR="005226D6" w:rsidRPr="00256982" w:rsidRDefault="005226D6" w:rsidP="00642B3C">
            <w:pPr>
              <w:pStyle w:val="TableText"/>
              <w:ind w:left="284" w:hanging="284"/>
            </w:pPr>
            <w:r w:rsidRPr="00256982">
              <w:t xml:space="preserve">(f) </w:t>
            </w:r>
            <w:r w:rsidRPr="00256982">
              <w:tab/>
              <w:t>The total quantity of ERUs, CERs, AAUs and RMUs transferred to other registries and the identity of the acquiring accounts and registries.</w:t>
            </w:r>
          </w:p>
        </w:tc>
        <w:tc>
          <w:tcPr>
            <w:tcW w:w="2268" w:type="dxa"/>
            <w:tcBorders>
              <w:top w:val="nil"/>
              <w:left w:val="nil"/>
              <w:bottom w:val="nil"/>
              <w:right w:val="nil"/>
            </w:tcBorders>
          </w:tcPr>
          <w:p w14:paraId="4560BBC7" w14:textId="77777777" w:rsidR="005226D6" w:rsidRPr="00256982" w:rsidRDefault="005226D6" w:rsidP="00642B3C">
            <w:pPr>
              <w:pStyle w:val="TableText"/>
            </w:pPr>
            <w:r w:rsidRPr="00256982">
              <w:t>Partial – the total quantity of ERUs, CERs, AAUs and RMUs transferred to other registries, and the identity of the registries are publicly available by 31 January for the previous calendar year (refer Public information and reports: Outgoing transactions by year).</w:t>
            </w:r>
          </w:p>
          <w:p w14:paraId="2B1090A5" w14:textId="77777777" w:rsidR="005226D6" w:rsidRPr="00256982" w:rsidRDefault="005226D6" w:rsidP="00642B3C">
            <w:pPr>
              <w:pStyle w:val="TableText"/>
              <w:spacing w:before="0"/>
            </w:pPr>
            <w:r w:rsidRPr="00256982">
              <w:t>The identity of the individual acquiring accounts is not available as it is considered to be confidential information.</w:t>
            </w:r>
          </w:p>
        </w:tc>
        <w:tc>
          <w:tcPr>
            <w:tcW w:w="1985" w:type="dxa"/>
            <w:tcBorders>
              <w:top w:val="nil"/>
              <w:left w:val="nil"/>
              <w:bottom w:val="nil"/>
              <w:right w:val="nil"/>
            </w:tcBorders>
          </w:tcPr>
          <w:p w14:paraId="3589CB21" w14:textId="77777777" w:rsidR="005226D6" w:rsidRPr="00256982" w:rsidRDefault="005226D6" w:rsidP="00642B3C">
            <w:pPr>
              <w:pStyle w:val="TableText"/>
            </w:pPr>
            <w:r w:rsidRPr="00256982">
              <w:t>Annually by 31 January for the previous calendar year</w:t>
            </w:r>
          </w:p>
        </w:tc>
        <w:tc>
          <w:tcPr>
            <w:tcW w:w="1899" w:type="dxa"/>
            <w:tcBorders>
              <w:top w:val="nil"/>
              <w:left w:val="nil"/>
              <w:bottom w:val="nil"/>
              <w:right w:val="nil"/>
            </w:tcBorders>
          </w:tcPr>
          <w:p w14:paraId="02428BE1" w14:textId="77777777" w:rsidR="005226D6" w:rsidRPr="00256982" w:rsidRDefault="005226D6" w:rsidP="00642B3C">
            <w:pPr>
              <w:pStyle w:val="TableText"/>
              <w:spacing w:after="0"/>
            </w:pPr>
            <w:r w:rsidRPr="00256982">
              <w:t>n/a</w:t>
            </w:r>
          </w:p>
          <w:p w14:paraId="4DFCF6E0" w14:textId="77777777" w:rsidR="005226D6" w:rsidRPr="00256982" w:rsidRDefault="005226D6" w:rsidP="00642B3C">
            <w:pPr>
              <w:pStyle w:val="TableText"/>
            </w:pPr>
            <w:r w:rsidRPr="00256982">
              <w:t>Section 27(k) of the Climate Change Response Act 2002 requires that only the following be publicly available:</w:t>
            </w:r>
          </w:p>
          <w:p w14:paraId="7C97DBCC" w14:textId="77777777" w:rsidR="005226D6" w:rsidRPr="00256982" w:rsidRDefault="005226D6" w:rsidP="005226D6">
            <w:pPr>
              <w:pStyle w:val="TableBullet"/>
              <w:tabs>
                <w:tab w:val="clear" w:pos="284"/>
              </w:tabs>
              <w:spacing w:before="0" w:after="40"/>
              <w:ind w:left="170" w:hanging="170"/>
            </w:pPr>
            <w:r w:rsidRPr="00256982">
              <w:t>total quantity of units transferred</w:t>
            </w:r>
          </w:p>
          <w:p w14:paraId="68D80B95" w14:textId="77777777" w:rsidR="005226D6" w:rsidRPr="00256982" w:rsidRDefault="005226D6" w:rsidP="005226D6">
            <w:pPr>
              <w:pStyle w:val="TableBullet"/>
              <w:tabs>
                <w:tab w:val="clear" w:pos="284"/>
              </w:tabs>
              <w:spacing w:before="0" w:after="40"/>
              <w:ind w:left="170" w:hanging="170"/>
            </w:pPr>
            <w:r w:rsidRPr="00256982">
              <w:t>total quantity and type of unit transferred</w:t>
            </w:r>
          </w:p>
          <w:p w14:paraId="43413150" w14:textId="77777777" w:rsidR="005226D6" w:rsidRPr="00256982" w:rsidRDefault="005226D6" w:rsidP="005226D6">
            <w:pPr>
              <w:pStyle w:val="TableBullet"/>
              <w:tabs>
                <w:tab w:val="clear" w:pos="284"/>
              </w:tabs>
              <w:spacing w:before="0"/>
              <w:ind w:left="170" w:hanging="170"/>
            </w:pPr>
            <w:r w:rsidRPr="00256982">
              <w:t>the identity of the acquiring overseas registries, including the total quantity of units transferred to each overseas registry and each type of unit transferred to each overseas registry.</w:t>
            </w:r>
          </w:p>
        </w:tc>
      </w:tr>
      <w:tr w:rsidR="005226D6" w:rsidRPr="00256982" w14:paraId="326FCF8D" w14:textId="77777777" w:rsidTr="00642B3C">
        <w:tc>
          <w:tcPr>
            <w:tcW w:w="2410" w:type="dxa"/>
            <w:tcBorders>
              <w:top w:val="nil"/>
              <w:left w:val="nil"/>
              <w:bottom w:val="nil"/>
              <w:right w:val="nil"/>
            </w:tcBorders>
          </w:tcPr>
          <w:p w14:paraId="232FF141" w14:textId="77777777" w:rsidR="005226D6" w:rsidRPr="00256982" w:rsidRDefault="005226D6" w:rsidP="00642B3C">
            <w:pPr>
              <w:pStyle w:val="TableText"/>
              <w:ind w:left="284" w:hanging="284"/>
            </w:pPr>
            <w:r w:rsidRPr="00256982">
              <w:t xml:space="preserve">(g) </w:t>
            </w:r>
            <w:r w:rsidRPr="00256982">
              <w:tab/>
              <w:t>The total quantity of ERUs, CERs, AAUs and RMUs cancelled on the basis of activities under Article 3, paragraphs 3 and 4.</w:t>
            </w:r>
          </w:p>
        </w:tc>
        <w:tc>
          <w:tcPr>
            <w:tcW w:w="2268" w:type="dxa"/>
            <w:tcBorders>
              <w:top w:val="nil"/>
              <w:left w:val="nil"/>
              <w:bottom w:val="nil"/>
              <w:right w:val="nil"/>
            </w:tcBorders>
          </w:tcPr>
          <w:p w14:paraId="01470835" w14:textId="77777777" w:rsidR="005226D6" w:rsidRPr="00256982" w:rsidRDefault="005226D6" w:rsidP="00642B3C">
            <w:pPr>
              <w:pStyle w:val="TableText"/>
            </w:pPr>
            <w:r w:rsidRPr="00256982">
              <w:t>Yes (refer Public information and reports: Holding &amp; transaction summary).</w:t>
            </w:r>
          </w:p>
        </w:tc>
        <w:tc>
          <w:tcPr>
            <w:tcW w:w="1985" w:type="dxa"/>
            <w:tcBorders>
              <w:top w:val="nil"/>
              <w:left w:val="nil"/>
              <w:bottom w:val="nil"/>
              <w:right w:val="nil"/>
            </w:tcBorders>
          </w:tcPr>
          <w:p w14:paraId="1D129892" w14:textId="77777777" w:rsidR="005226D6" w:rsidRPr="00256982" w:rsidRDefault="005226D6" w:rsidP="00642B3C">
            <w:pPr>
              <w:pStyle w:val="TableText"/>
            </w:pPr>
            <w:r w:rsidRPr="00256982">
              <w:t>Annually by 31 January for the previous calendar year</w:t>
            </w:r>
          </w:p>
        </w:tc>
        <w:tc>
          <w:tcPr>
            <w:tcW w:w="1899" w:type="dxa"/>
            <w:tcBorders>
              <w:top w:val="nil"/>
              <w:left w:val="nil"/>
              <w:bottom w:val="nil"/>
              <w:right w:val="nil"/>
            </w:tcBorders>
          </w:tcPr>
          <w:p w14:paraId="6D73DF2C" w14:textId="77777777" w:rsidR="005226D6" w:rsidRPr="00256982" w:rsidRDefault="005226D6" w:rsidP="00642B3C">
            <w:pPr>
              <w:pStyle w:val="TableText"/>
            </w:pPr>
            <w:r w:rsidRPr="00256982">
              <w:t>n/a</w:t>
            </w:r>
          </w:p>
          <w:p w14:paraId="114580ED" w14:textId="77777777" w:rsidR="005226D6" w:rsidRPr="00256982" w:rsidRDefault="005226D6" w:rsidP="00642B3C">
            <w:pPr>
              <w:pStyle w:val="TableText"/>
            </w:pPr>
          </w:p>
        </w:tc>
      </w:tr>
      <w:tr w:rsidR="005226D6" w:rsidRPr="00256982" w14:paraId="3B3576E6" w14:textId="77777777" w:rsidTr="00642B3C">
        <w:tc>
          <w:tcPr>
            <w:tcW w:w="2410" w:type="dxa"/>
            <w:tcBorders>
              <w:top w:val="nil"/>
              <w:left w:val="nil"/>
              <w:bottom w:val="nil"/>
              <w:right w:val="nil"/>
            </w:tcBorders>
          </w:tcPr>
          <w:p w14:paraId="067A2AB2" w14:textId="77777777" w:rsidR="005226D6" w:rsidRPr="00256982" w:rsidRDefault="005226D6" w:rsidP="00642B3C">
            <w:pPr>
              <w:pStyle w:val="TableText"/>
              <w:ind w:left="284" w:hanging="284"/>
            </w:pPr>
            <w:r w:rsidRPr="00256982">
              <w:t xml:space="preserve">(h) </w:t>
            </w:r>
            <w:r w:rsidRPr="00256982">
              <w:tab/>
              <w:t>The total quantity of ERUs, CERs, AAUs and RMUs cancelled following determination by the Compliance Committee that the Party is not in compliance with its commitment under Article 3, paragraph 1.</w:t>
            </w:r>
          </w:p>
        </w:tc>
        <w:tc>
          <w:tcPr>
            <w:tcW w:w="2268" w:type="dxa"/>
            <w:tcBorders>
              <w:top w:val="nil"/>
              <w:left w:val="nil"/>
              <w:bottom w:val="nil"/>
              <w:right w:val="nil"/>
            </w:tcBorders>
          </w:tcPr>
          <w:p w14:paraId="17C4934F" w14:textId="77777777" w:rsidR="005226D6" w:rsidRPr="00256982" w:rsidRDefault="005226D6" w:rsidP="00642B3C">
            <w:pPr>
              <w:pStyle w:val="TableText"/>
            </w:pPr>
            <w:r w:rsidRPr="00256982">
              <w:t>Yes (refer Public information and reports: Holding &amp; transaction summary).</w:t>
            </w:r>
          </w:p>
          <w:p w14:paraId="6B53EA5B" w14:textId="77777777" w:rsidR="005226D6" w:rsidRPr="00256982" w:rsidRDefault="005226D6" w:rsidP="00642B3C">
            <w:pPr>
              <w:pStyle w:val="TableText"/>
            </w:pPr>
            <w:r w:rsidRPr="00256982">
              <w:t>NOTE: Reported as ‘0’ because this event did not occur in the specified period.</w:t>
            </w:r>
          </w:p>
        </w:tc>
        <w:tc>
          <w:tcPr>
            <w:tcW w:w="1985" w:type="dxa"/>
            <w:tcBorders>
              <w:top w:val="nil"/>
              <w:left w:val="nil"/>
              <w:bottom w:val="nil"/>
              <w:right w:val="nil"/>
            </w:tcBorders>
          </w:tcPr>
          <w:p w14:paraId="0D5288CB" w14:textId="77777777" w:rsidR="005226D6" w:rsidRPr="00256982" w:rsidRDefault="005226D6" w:rsidP="00642B3C">
            <w:pPr>
              <w:pStyle w:val="TableText"/>
            </w:pPr>
            <w:r w:rsidRPr="00256982">
              <w:t>Annually by 31 January for the previous calendar year</w:t>
            </w:r>
          </w:p>
        </w:tc>
        <w:tc>
          <w:tcPr>
            <w:tcW w:w="1899" w:type="dxa"/>
            <w:tcBorders>
              <w:top w:val="nil"/>
              <w:left w:val="nil"/>
              <w:bottom w:val="nil"/>
              <w:right w:val="nil"/>
            </w:tcBorders>
          </w:tcPr>
          <w:p w14:paraId="32567E3B" w14:textId="77777777" w:rsidR="005226D6" w:rsidRPr="00256982" w:rsidRDefault="005226D6" w:rsidP="00642B3C">
            <w:pPr>
              <w:pStyle w:val="TableText"/>
            </w:pPr>
            <w:r w:rsidRPr="00256982">
              <w:t>n/a</w:t>
            </w:r>
          </w:p>
        </w:tc>
      </w:tr>
      <w:tr w:rsidR="005226D6" w:rsidRPr="00256982" w14:paraId="5F0A5A25" w14:textId="77777777" w:rsidTr="00642B3C">
        <w:tc>
          <w:tcPr>
            <w:tcW w:w="2410" w:type="dxa"/>
            <w:tcBorders>
              <w:top w:val="nil"/>
              <w:left w:val="nil"/>
              <w:bottom w:val="nil"/>
              <w:right w:val="nil"/>
            </w:tcBorders>
          </w:tcPr>
          <w:p w14:paraId="0D1F2AC0" w14:textId="77777777" w:rsidR="005226D6" w:rsidRPr="00256982" w:rsidRDefault="005226D6" w:rsidP="00642B3C">
            <w:pPr>
              <w:pStyle w:val="TableText"/>
              <w:ind w:left="284" w:hanging="284"/>
            </w:pPr>
            <w:r w:rsidRPr="00256982">
              <w:t xml:space="preserve">(i) </w:t>
            </w:r>
            <w:r w:rsidRPr="00256982">
              <w:tab/>
              <w:t>The total quantity of other ERUs, CERs, AAUs and RMUs cancelled.</w:t>
            </w:r>
          </w:p>
        </w:tc>
        <w:tc>
          <w:tcPr>
            <w:tcW w:w="2268" w:type="dxa"/>
            <w:tcBorders>
              <w:top w:val="nil"/>
              <w:left w:val="nil"/>
              <w:bottom w:val="nil"/>
              <w:right w:val="nil"/>
            </w:tcBorders>
          </w:tcPr>
          <w:p w14:paraId="7FB7CF61" w14:textId="77777777" w:rsidR="005226D6" w:rsidRPr="00256982" w:rsidRDefault="005226D6" w:rsidP="00642B3C">
            <w:pPr>
              <w:pStyle w:val="TableText"/>
            </w:pPr>
            <w:r w:rsidRPr="00256982">
              <w:t>Yes (refer Public information and reports: Holding &amp; transaction summary).</w:t>
            </w:r>
          </w:p>
        </w:tc>
        <w:tc>
          <w:tcPr>
            <w:tcW w:w="1985" w:type="dxa"/>
            <w:tcBorders>
              <w:top w:val="nil"/>
              <w:left w:val="nil"/>
              <w:bottom w:val="nil"/>
              <w:right w:val="nil"/>
            </w:tcBorders>
          </w:tcPr>
          <w:p w14:paraId="499BAEF4" w14:textId="77777777" w:rsidR="005226D6" w:rsidRPr="00256982" w:rsidRDefault="005226D6" w:rsidP="00642B3C">
            <w:pPr>
              <w:pStyle w:val="TableText"/>
            </w:pPr>
            <w:r w:rsidRPr="00256982">
              <w:t>Annually by 31 January for the previous calendar year</w:t>
            </w:r>
          </w:p>
        </w:tc>
        <w:tc>
          <w:tcPr>
            <w:tcW w:w="1899" w:type="dxa"/>
            <w:tcBorders>
              <w:top w:val="nil"/>
              <w:left w:val="nil"/>
              <w:bottom w:val="nil"/>
              <w:right w:val="nil"/>
            </w:tcBorders>
          </w:tcPr>
          <w:p w14:paraId="7493A413" w14:textId="77777777" w:rsidR="005226D6" w:rsidRPr="00256982" w:rsidRDefault="005226D6" w:rsidP="00642B3C">
            <w:pPr>
              <w:pStyle w:val="TableText"/>
            </w:pPr>
            <w:r w:rsidRPr="00256982">
              <w:t>n/a</w:t>
            </w:r>
          </w:p>
        </w:tc>
      </w:tr>
      <w:tr w:rsidR="005226D6" w:rsidRPr="00256982" w14:paraId="05AE5A6A" w14:textId="77777777" w:rsidTr="00642B3C">
        <w:tc>
          <w:tcPr>
            <w:tcW w:w="2410" w:type="dxa"/>
            <w:tcBorders>
              <w:top w:val="nil"/>
              <w:left w:val="nil"/>
              <w:bottom w:val="nil"/>
              <w:right w:val="nil"/>
            </w:tcBorders>
          </w:tcPr>
          <w:p w14:paraId="2B31375A" w14:textId="77777777" w:rsidR="005226D6" w:rsidRPr="00256982" w:rsidRDefault="005226D6" w:rsidP="00642B3C">
            <w:pPr>
              <w:pStyle w:val="TableText"/>
              <w:ind w:left="284" w:hanging="284"/>
            </w:pPr>
            <w:r w:rsidRPr="00256982">
              <w:t xml:space="preserve">(j) </w:t>
            </w:r>
            <w:r w:rsidRPr="00256982">
              <w:tab/>
              <w:t>The total quantity of ERUs, CERs, AAUs and RMUs retired.</w:t>
            </w:r>
          </w:p>
        </w:tc>
        <w:tc>
          <w:tcPr>
            <w:tcW w:w="2268" w:type="dxa"/>
            <w:tcBorders>
              <w:top w:val="nil"/>
              <w:left w:val="nil"/>
              <w:bottom w:val="nil"/>
              <w:right w:val="nil"/>
            </w:tcBorders>
          </w:tcPr>
          <w:p w14:paraId="1A253F7B" w14:textId="77777777" w:rsidR="005226D6" w:rsidRPr="00256982" w:rsidRDefault="005226D6" w:rsidP="00642B3C">
            <w:pPr>
              <w:pStyle w:val="TableText"/>
            </w:pPr>
            <w:r w:rsidRPr="00256982">
              <w:t>Yes (refer Public information and reports: Holding &amp; transaction summary).</w:t>
            </w:r>
          </w:p>
        </w:tc>
        <w:tc>
          <w:tcPr>
            <w:tcW w:w="1985" w:type="dxa"/>
            <w:tcBorders>
              <w:top w:val="nil"/>
              <w:left w:val="nil"/>
              <w:bottom w:val="nil"/>
              <w:right w:val="nil"/>
            </w:tcBorders>
          </w:tcPr>
          <w:p w14:paraId="2201059C" w14:textId="77777777" w:rsidR="005226D6" w:rsidRPr="00256982" w:rsidRDefault="005226D6" w:rsidP="00642B3C">
            <w:pPr>
              <w:pStyle w:val="TableText"/>
            </w:pPr>
            <w:r w:rsidRPr="00256982">
              <w:t>Annually by 31 January for the previous calendar year</w:t>
            </w:r>
          </w:p>
        </w:tc>
        <w:tc>
          <w:tcPr>
            <w:tcW w:w="1899" w:type="dxa"/>
            <w:tcBorders>
              <w:top w:val="nil"/>
              <w:left w:val="nil"/>
              <w:bottom w:val="nil"/>
              <w:right w:val="nil"/>
            </w:tcBorders>
          </w:tcPr>
          <w:p w14:paraId="1C4106CB" w14:textId="77777777" w:rsidR="005226D6" w:rsidRPr="00256982" w:rsidRDefault="005226D6" w:rsidP="00642B3C">
            <w:pPr>
              <w:pStyle w:val="TableText"/>
            </w:pPr>
            <w:r w:rsidRPr="00256982">
              <w:t>n/a</w:t>
            </w:r>
          </w:p>
        </w:tc>
      </w:tr>
      <w:tr w:rsidR="005226D6" w:rsidRPr="00256982" w14:paraId="0177FE00" w14:textId="77777777" w:rsidTr="00642B3C">
        <w:tc>
          <w:tcPr>
            <w:tcW w:w="2410" w:type="dxa"/>
            <w:tcBorders>
              <w:top w:val="nil"/>
              <w:left w:val="nil"/>
              <w:bottom w:val="nil"/>
              <w:right w:val="nil"/>
            </w:tcBorders>
          </w:tcPr>
          <w:p w14:paraId="0CCF3E9F" w14:textId="77777777" w:rsidR="005226D6" w:rsidRPr="00256982" w:rsidRDefault="005226D6" w:rsidP="00642B3C">
            <w:pPr>
              <w:pStyle w:val="TableText"/>
              <w:ind w:left="284" w:hanging="284"/>
            </w:pPr>
            <w:r w:rsidRPr="00256982">
              <w:t xml:space="preserve">(k) </w:t>
            </w:r>
            <w:r w:rsidRPr="00256982">
              <w:tab/>
              <w:t>The total quantity of ERUs, CERs, and AAUs carried over from the previous commitment period.</w:t>
            </w:r>
          </w:p>
        </w:tc>
        <w:tc>
          <w:tcPr>
            <w:tcW w:w="2268" w:type="dxa"/>
            <w:tcBorders>
              <w:top w:val="nil"/>
              <w:left w:val="nil"/>
              <w:bottom w:val="nil"/>
              <w:right w:val="nil"/>
            </w:tcBorders>
          </w:tcPr>
          <w:p w14:paraId="05A21063" w14:textId="77777777" w:rsidR="005226D6" w:rsidRPr="00256982" w:rsidRDefault="005226D6" w:rsidP="00642B3C">
            <w:pPr>
              <w:pStyle w:val="TableText"/>
            </w:pPr>
            <w:r w:rsidRPr="00256982">
              <w:t>Yes (refer Public information and reports: Holding &amp; transaction summary).</w:t>
            </w:r>
          </w:p>
          <w:p w14:paraId="355B6967" w14:textId="77777777" w:rsidR="005226D6" w:rsidRPr="00256982" w:rsidRDefault="005226D6" w:rsidP="00642B3C">
            <w:pPr>
              <w:pStyle w:val="TableText"/>
            </w:pPr>
            <w:r w:rsidRPr="00256982">
              <w:t>NOTE: Reported as ‘0’ because this event did not occur in the specified period.</w:t>
            </w:r>
          </w:p>
        </w:tc>
        <w:tc>
          <w:tcPr>
            <w:tcW w:w="1985" w:type="dxa"/>
            <w:tcBorders>
              <w:top w:val="nil"/>
              <w:left w:val="nil"/>
              <w:bottom w:val="nil"/>
              <w:right w:val="nil"/>
            </w:tcBorders>
          </w:tcPr>
          <w:p w14:paraId="0EE75A2E" w14:textId="77777777" w:rsidR="005226D6" w:rsidRPr="00256982" w:rsidRDefault="005226D6" w:rsidP="00642B3C">
            <w:pPr>
              <w:pStyle w:val="TableText"/>
            </w:pPr>
            <w:r w:rsidRPr="00256982">
              <w:t>Annually by 31 January for the previous calendar year</w:t>
            </w:r>
          </w:p>
        </w:tc>
        <w:tc>
          <w:tcPr>
            <w:tcW w:w="1899" w:type="dxa"/>
            <w:tcBorders>
              <w:top w:val="nil"/>
              <w:left w:val="nil"/>
              <w:bottom w:val="nil"/>
              <w:right w:val="nil"/>
            </w:tcBorders>
          </w:tcPr>
          <w:p w14:paraId="5C7B4E4E" w14:textId="77777777" w:rsidR="005226D6" w:rsidRPr="00256982" w:rsidRDefault="005226D6" w:rsidP="00642B3C">
            <w:pPr>
              <w:pStyle w:val="TableText"/>
            </w:pPr>
            <w:r w:rsidRPr="00256982">
              <w:t>n/a</w:t>
            </w:r>
          </w:p>
        </w:tc>
      </w:tr>
      <w:tr w:rsidR="005226D6" w:rsidRPr="00256982" w14:paraId="6AA307D1" w14:textId="77777777" w:rsidTr="00642B3C">
        <w:tc>
          <w:tcPr>
            <w:tcW w:w="2410" w:type="dxa"/>
            <w:tcBorders>
              <w:top w:val="nil"/>
              <w:left w:val="nil"/>
              <w:bottom w:val="nil"/>
              <w:right w:val="nil"/>
            </w:tcBorders>
          </w:tcPr>
          <w:p w14:paraId="7357FC8C" w14:textId="77777777" w:rsidR="005226D6" w:rsidRPr="00256982" w:rsidRDefault="005226D6" w:rsidP="00642B3C">
            <w:pPr>
              <w:pStyle w:val="TableText"/>
              <w:ind w:left="284" w:hanging="284"/>
            </w:pPr>
            <w:r w:rsidRPr="00256982">
              <w:t xml:space="preserve">(l) </w:t>
            </w:r>
            <w:r w:rsidRPr="00256982">
              <w:tab/>
              <w:t>Current holdings of ERUs, CERs, AAUs and RMUs in each account.</w:t>
            </w:r>
          </w:p>
        </w:tc>
        <w:tc>
          <w:tcPr>
            <w:tcW w:w="2268" w:type="dxa"/>
            <w:tcBorders>
              <w:top w:val="nil"/>
              <w:left w:val="nil"/>
              <w:bottom w:val="nil"/>
              <w:right w:val="nil"/>
            </w:tcBorders>
          </w:tcPr>
          <w:p w14:paraId="118069B2" w14:textId="77777777" w:rsidR="005226D6" w:rsidRPr="00256982" w:rsidRDefault="005226D6" w:rsidP="00642B3C">
            <w:pPr>
              <w:pStyle w:val="TableText"/>
            </w:pPr>
            <w:r w:rsidRPr="00256982">
              <w:t>Partial – aggregate unit holdings of ERUs, CERs, AAUs and RMUs from the previous calendar year are disclosed by 31 January (refer Public information and reports: Kyoto unit holdings by account).</w:t>
            </w:r>
          </w:p>
          <w:p w14:paraId="066380CC" w14:textId="77777777" w:rsidR="005226D6" w:rsidRPr="00256982" w:rsidRDefault="005226D6" w:rsidP="00642B3C">
            <w:pPr>
              <w:pStyle w:val="TableText"/>
            </w:pPr>
            <w:r w:rsidRPr="00256982">
              <w:t>Total quantity of unit holdings in each account within the most recent calendar year is considered to be confidential information. Therefore the total quantity of unit holdings in each account provided consists of only those completed more than one year in the past.</w:t>
            </w:r>
          </w:p>
          <w:p w14:paraId="3250CF41" w14:textId="77777777" w:rsidR="005226D6" w:rsidRPr="00256982" w:rsidRDefault="005226D6" w:rsidP="00642B3C">
            <w:pPr>
              <w:pStyle w:val="TableText"/>
            </w:pPr>
            <w:r w:rsidRPr="00256982">
              <w:t>(Refer Public information and reports: Kyoto unit holdings by account.)</w:t>
            </w:r>
          </w:p>
        </w:tc>
        <w:tc>
          <w:tcPr>
            <w:tcW w:w="1985" w:type="dxa"/>
            <w:tcBorders>
              <w:top w:val="nil"/>
              <w:left w:val="nil"/>
              <w:bottom w:val="nil"/>
              <w:right w:val="nil"/>
            </w:tcBorders>
          </w:tcPr>
          <w:p w14:paraId="612BAC7B" w14:textId="77777777" w:rsidR="005226D6" w:rsidRPr="00256982" w:rsidRDefault="005226D6" w:rsidP="00642B3C">
            <w:pPr>
              <w:pStyle w:val="TableText"/>
            </w:pPr>
            <w:r w:rsidRPr="00256982">
              <w:t>Annually by 31 January for the previous calendar year</w:t>
            </w:r>
          </w:p>
          <w:p w14:paraId="6384C98A" w14:textId="77777777" w:rsidR="005226D6" w:rsidRPr="00256982" w:rsidRDefault="005226D6" w:rsidP="00642B3C">
            <w:pPr>
              <w:pStyle w:val="TableText"/>
            </w:pPr>
            <w:r w:rsidRPr="00256982">
              <w:t>1 January for the beginning of the previous calendar year</w:t>
            </w:r>
          </w:p>
          <w:p w14:paraId="7834B1AF" w14:textId="77777777" w:rsidR="005226D6" w:rsidRPr="00256982" w:rsidRDefault="005226D6" w:rsidP="00642B3C">
            <w:pPr>
              <w:pStyle w:val="TableText"/>
            </w:pPr>
          </w:p>
        </w:tc>
        <w:tc>
          <w:tcPr>
            <w:tcW w:w="1899" w:type="dxa"/>
            <w:tcBorders>
              <w:top w:val="nil"/>
              <w:left w:val="nil"/>
              <w:bottom w:val="nil"/>
              <w:right w:val="nil"/>
            </w:tcBorders>
          </w:tcPr>
          <w:p w14:paraId="18917EC3" w14:textId="77777777" w:rsidR="005226D6" w:rsidRPr="00256982" w:rsidRDefault="005226D6" w:rsidP="00642B3C">
            <w:pPr>
              <w:pStyle w:val="TableText"/>
            </w:pPr>
            <w:r w:rsidRPr="00256982">
              <w:t xml:space="preserve">Section 27(2) of the Climate Change Response Act 2002 only requires total holdings of AAUs, ERUs, CERs, ICERs, tCERs and RMUs to be publicly available by 31 January of each year for the previous calendar year. </w:t>
            </w:r>
          </w:p>
          <w:p w14:paraId="20B8BFCE" w14:textId="77777777" w:rsidR="005226D6" w:rsidRPr="00256982" w:rsidRDefault="005226D6" w:rsidP="00642B3C">
            <w:pPr>
              <w:pStyle w:val="TableText"/>
            </w:pPr>
            <w:r w:rsidRPr="00256982">
              <w:t xml:space="preserve">Section 27(3) of the Climate Change Response Act 2002 only requires holdings of Kyoto units by each holding account for the beginning of the previous calendar year to be made publicly available. </w:t>
            </w:r>
          </w:p>
        </w:tc>
      </w:tr>
      <w:tr w:rsidR="005226D6" w:rsidRPr="00256982" w14:paraId="296A5DF6" w14:textId="77777777" w:rsidTr="00642B3C">
        <w:tc>
          <w:tcPr>
            <w:tcW w:w="2410" w:type="dxa"/>
            <w:tcBorders>
              <w:top w:val="single" w:sz="4" w:space="0" w:color="365F91"/>
              <w:left w:val="nil"/>
              <w:bottom w:val="single" w:sz="4" w:space="0" w:color="365F91"/>
              <w:right w:val="nil"/>
            </w:tcBorders>
          </w:tcPr>
          <w:p w14:paraId="0B6FCFCB" w14:textId="77777777" w:rsidR="005226D6" w:rsidRPr="00256982" w:rsidRDefault="005226D6" w:rsidP="00642B3C">
            <w:pPr>
              <w:pStyle w:val="TableText"/>
              <w:keepNext/>
              <w:ind w:left="284" w:hanging="284"/>
            </w:pPr>
            <w:r w:rsidRPr="00256982">
              <w:t xml:space="preserve">48. </w:t>
            </w:r>
            <w:r w:rsidRPr="00256982">
              <w:tab/>
              <w:t>The information referred to in paragraph 44 shall include a list of legal entities authorised by the Party to hold ERUs, CERs, AAUs and/or RMUs under its responsibility.</w:t>
            </w:r>
          </w:p>
        </w:tc>
        <w:tc>
          <w:tcPr>
            <w:tcW w:w="2268" w:type="dxa"/>
            <w:tcBorders>
              <w:top w:val="single" w:sz="4" w:space="0" w:color="365F91"/>
              <w:left w:val="nil"/>
              <w:bottom w:val="single" w:sz="4" w:space="0" w:color="365F91"/>
              <w:right w:val="nil"/>
            </w:tcBorders>
          </w:tcPr>
          <w:p w14:paraId="5B8363AE" w14:textId="77777777" w:rsidR="005226D6" w:rsidRPr="00256982" w:rsidRDefault="005226D6" w:rsidP="00642B3C">
            <w:pPr>
              <w:pStyle w:val="TableText"/>
            </w:pPr>
            <w:r w:rsidRPr="00256982">
              <w:t>Yes (refer Public information and reports: Account holders for list of authorised entities).</w:t>
            </w:r>
          </w:p>
        </w:tc>
        <w:tc>
          <w:tcPr>
            <w:tcW w:w="1985" w:type="dxa"/>
            <w:tcBorders>
              <w:top w:val="single" w:sz="4" w:space="0" w:color="365F91"/>
              <w:left w:val="nil"/>
              <w:bottom w:val="single" w:sz="4" w:space="0" w:color="365F91"/>
              <w:right w:val="nil"/>
            </w:tcBorders>
          </w:tcPr>
          <w:p w14:paraId="5A93E83F" w14:textId="77777777" w:rsidR="005226D6" w:rsidRPr="00256982" w:rsidRDefault="005226D6" w:rsidP="00642B3C">
            <w:pPr>
              <w:pStyle w:val="TableText"/>
            </w:pPr>
            <w:r w:rsidRPr="00256982">
              <w:t>Up to date (note, refreshed daily)</w:t>
            </w:r>
          </w:p>
        </w:tc>
        <w:tc>
          <w:tcPr>
            <w:tcW w:w="1899" w:type="dxa"/>
            <w:tcBorders>
              <w:top w:val="single" w:sz="4" w:space="0" w:color="365F91"/>
              <w:left w:val="nil"/>
              <w:bottom w:val="single" w:sz="4" w:space="0" w:color="365F91"/>
              <w:right w:val="nil"/>
            </w:tcBorders>
          </w:tcPr>
          <w:p w14:paraId="77419126" w14:textId="77777777" w:rsidR="005226D6" w:rsidRPr="00256982" w:rsidRDefault="005226D6" w:rsidP="00642B3C">
            <w:pPr>
              <w:pStyle w:val="TableText"/>
            </w:pPr>
            <w:r w:rsidRPr="00256982">
              <w:t>n/a</w:t>
            </w:r>
          </w:p>
        </w:tc>
      </w:tr>
    </w:tbl>
    <w:p w14:paraId="70A36348" w14:textId="77777777" w:rsidR="005226D6" w:rsidRPr="00256982" w:rsidRDefault="005226D6" w:rsidP="005226D6">
      <w:pPr>
        <w:pStyle w:val="Heading2"/>
        <w:spacing w:before="480"/>
      </w:pPr>
      <w:bookmarkStart w:id="2871" w:name="_Toc481751435"/>
      <w:bookmarkStart w:id="2872" w:name="_Toc511116649"/>
      <w:bookmarkStart w:id="2873" w:name="_Toc5269418"/>
      <w:bookmarkStart w:id="2874" w:name="_Toc235955570"/>
      <w:bookmarkEnd w:id="2867"/>
      <w:r w:rsidRPr="00256982">
        <w:t>12.5</w:t>
      </w:r>
      <w:r w:rsidRPr="00256982">
        <w:tab/>
        <w:t>Calculation of the commitment period reserve</w:t>
      </w:r>
      <w:bookmarkEnd w:id="2871"/>
      <w:bookmarkEnd w:id="2872"/>
      <w:bookmarkEnd w:id="2873"/>
      <w:r w:rsidRPr="00256982">
        <w:t xml:space="preserve"> </w:t>
      </w:r>
      <w:bookmarkEnd w:id="2874"/>
    </w:p>
    <w:p w14:paraId="4724B4D8" w14:textId="710394F6" w:rsidR="005226D6" w:rsidRPr="00256982" w:rsidRDefault="005226D6" w:rsidP="005226D6">
      <w:pPr>
        <w:pStyle w:val="BodyText"/>
      </w:pPr>
      <w:r w:rsidRPr="00256982">
        <w:t>New Zealand’s commitment period reserve calculation is based on the assigned amount for the first commitment period and is therefore fixed. The commitment period reserve is 278,608,260</w:t>
      </w:r>
      <w:r w:rsidR="00E632AF" w:rsidRPr="00256982">
        <w:t> </w:t>
      </w:r>
      <w:r w:rsidRPr="00256982">
        <w:t>metric tonnes of CO</w:t>
      </w:r>
      <w:r w:rsidRPr="00256982">
        <w:rPr>
          <w:vertAlign w:val="subscript"/>
        </w:rPr>
        <w:t>2</w:t>
      </w:r>
      <w:r w:rsidRPr="00256982">
        <w:t xml:space="preserve">-e, 90 per cent of the assigned amount of 309,564,733, fixed after the review of </w:t>
      </w:r>
      <w:r w:rsidRPr="00256982">
        <w:rPr>
          <w:i/>
        </w:rPr>
        <w:t>New Zealand’s Initial Report under the Kyoto Protocol</w:t>
      </w:r>
      <w:r w:rsidRPr="00256982">
        <w:t xml:space="preserve"> (Ministry for the Environment, 2006).</w:t>
      </w:r>
    </w:p>
    <w:p w14:paraId="663AADB0" w14:textId="77777777" w:rsidR="005226D6" w:rsidRPr="00256982" w:rsidRDefault="005226D6" w:rsidP="005226D6">
      <w:pPr>
        <w:pStyle w:val="BodyText"/>
      </w:pPr>
      <w:r w:rsidRPr="00256982">
        <w:t xml:space="preserve">The commitment period reserve level as at 31 December </w:t>
      </w:r>
      <w:r w:rsidRPr="00256982">
        <w:rPr>
          <w:color w:val="000000"/>
        </w:rPr>
        <w:t xml:space="preserve">2018 </w:t>
      </w:r>
      <w:r w:rsidRPr="00256982">
        <w:t>is:</w:t>
      </w:r>
    </w:p>
    <w:tbl>
      <w:tblPr>
        <w:tblW w:w="8618" w:type="dxa"/>
        <w:tblLayout w:type="fixed"/>
        <w:tblLook w:val="01E0" w:firstRow="1" w:lastRow="1" w:firstColumn="1" w:lastColumn="1" w:noHBand="0" w:noVBand="0"/>
      </w:tblPr>
      <w:tblGrid>
        <w:gridCol w:w="6012"/>
        <w:gridCol w:w="2606"/>
      </w:tblGrid>
      <w:tr w:rsidR="005226D6" w:rsidRPr="00256982" w14:paraId="25B5B043" w14:textId="77777777" w:rsidTr="00AE1797">
        <w:tc>
          <w:tcPr>
            <w:tcW w:w="6194" w:type="dxa"/>
            <w:shd w:val="clear" w:color="auto" w:fill="auto"/>
          </w:tcPr>
          <w:p w14:paraId="7426365D" w14:textId="77777777" w:rsidR="005226D6" w:rsidRPr="00256982" w:rsidRDefault="005226D6" w:rsidP="00642B3C">
            <w:r w:rsidRPr="00256982">
              <w:t>Commitment period reserve (CPR) limit:</w:t>
            </w:r>
          </w:p>
        </w:tc>
        <w:tc>
          <w:tcPr>
            <w:tcW w:w="2680" w:type="dxa"/>
            <w:tcBorders>
              <w:bottom w:val="single" w:sz="4" w:space="0" w:color="auto"/>
            </w:tcBorders>
            <w:shd w:val="clear" w:color="auto" w:fill="auto"/>
          </w:tcPr>
          <w:p w14:paraId="79009088" w14:textId="77777777" w:rsidR="005226D6" w:rsidRPr="00256982" w:rsidRDefault="005226D6" w:rsidP="00642B3C">
            <w:pPr>
              <w:jc w:val="right"/>
            </w:pPr>
            <w:r w:rsidRPr="00256982">
              <w:t>278,608,260</w:t>
            </w:r>
          </w:p>
        </w:tc>
      </w:tr>
      <w:tr w:rsidR="005226D6" w:rsidRPr="00256982" w14:paraId="6BF859E3" w14:textId="77777777" w:rsidTr="00AE1797">
        <w:tc>
          <w:tcPr>
            <w:tcW w:w="6194" w:type="dxa"/>
            <w:shd w:val="clear" w:color="auto" w:fill="auto"/>
          </w:tcPr>
          <w:p w14:paraId="4637C1BF" w14:textId="77777777" w:rsidR="005226D6" w:rsidRPr="00256982" w:rsidRDefault="005226D6" w:rsidP="00642B3C">
            <w:r w:rsidRPr="00256982">
              <w:t>Units held:</w:t>
            </w:r>
          </w:p>
        </w:tc>
        <w:tc>
          <w:tcPr>
            <w:tcW w:w="2680" w:type="dxa"/>
            <w:tcBorders>
              <w:top w:val="single" w:sz="4" w:space="0" w:color="auto"/>
            </w:tcBorders>
            <w:shd w:val="clear" w:color="auto" w:fill="auto"/>
          </w:tcPr>
          <w:p w14:paraId="64109A32" w14:textId="77777777" w:rsidR="005226D6" w:rsidRPr="00256982" w:rsidRDefault="005226D6" w:rsidP="00642B3C">
            <w:pPr>
              <w:jc w:val="right"/>
            </w:pPr>
            <w:r w:rsidRPr="00256982">
              <w:t>515,535,096</w:t>
            </w:r>
          </w:p>
        </w:tc>
      </w:tr>
      <w:tr w:rsidR="005226D6" w:rsidRPr="00256982" w14:paraId="31E2A059" w14:textId="77777777" w:rsidTr="00AE1797">
        <w:tc>
          <w:tcPr>
            <w:tcW w:w="6194" w:type="dxa"/>
            <w:shd w:val="clear" w:color="auto" w:fill="auto"/>
          </w:tcPr>
          <w:p w14:paraId="319D3E9F" w14:textId="77777777" w:rsidR="005226D6" w:rsidRPr="00256982" w:rsidRDefault="005226D6" w:rsidP="00642B3C">
            <w:r w:rsidRPr="00256982">
              <w:t>CPR level:</w:t>
            </w:r>
          </w:p>
        </w:tc>
        <w:tc>
          <w:tcPr>
            <w:tcW w:w="2680" w:type="dxa"/>
            <w:shd w:val="clear" w:color="auto" w:fill="auto"/>
          </w:tcPr>
          <w:p w14:paraId="787815A0" w14:textId="77777777" w:rsidR="005226D6" w:rsidRPr="00256982" w:rsidRDefault="005226D6" w:rsidP="00642B3C">
            <w:pPr>
              <w:jc w:val="right"/>
            </w:pPr>
            <w:r w:rsidRPr="00256982">
              <w:t>515,535,096</w:t>
            </w:r>
          </w:p>
        </w:tc>
      </w:tr>
      <w:tr w:rsidR="005226D6" w:rsidRPr="00256982" w14:paraId="08B5B59C" w14:textId="77777777" w:rsidTr="00AE1797">
        <w:tc>
          <w:tcPr>
            <w:tcW w:w="6194" w:type="dxa"/>
            <w:shd w:val="clear" w:color="auto" w:fill="auto"/>
          </w:tcPr>
          <w:p w14:paraId="5E2E4EAC" w14:textId="77777777" w:rsidR="005226D6" w:rsidRPr="00256982" w:rsidRDefault="005226D6" w:rsidP="00642B3C">
            <w:r w:rsidRPr="00256982">
              <w:t xml:space="preserve">CPR level = (% of assigned amount): </w:t>
            </w:r>
          </w:p>
        </w:tc>
        <w:tc>
          <w:tcPr>
            <w:tcW w:w="2680" w:type="dxa"/>
            <w:shd w:val="clear" w:color="auto" w:fill="auto"/>
          </w:tcPr>
          <w:p w14:paraId="318CFC3E" w14:textId="77777777" w:rsidR="005226D6" w:rsidRPr="00256982" w:rsidRDefault="005226D6" w:rsidP="00642B3C">
            <w:pPr>
              <w:jc w:val="right"/>
            </w:pPr>
            <w:r w:rsidRPr="00256982">
              <w:t>185.04%</w:t>
            </w:r>
          </w:p>
        </w:tc>
      </w:tr>
      <w:tr w:rsidR="005226D6" w:rsidRPr="00256982" w14:paraId="1307439D" w14:textId="77777777" w:rsidTr="00AE1797">
        <w:tc>
          <w:tcPr>
            <w:tcW w:w="6194" w:type="dxa"/>
            <w:shd w:val="clear" w:color="auto" w:fill="auto"/>
          </w:tcPr>
          <w:p w14:paraId="3E04E868" w14:textId="77777777" w:rsidR="005226D6" w:rsidRPr="00256982" w:rsidRDefault="005226D6" w:rsidP="00642B3C">
            <w:pPr>
              <w:rPr>
                <w:highlight w:val="yellow"/>
              </w:rPr>
            </w:pPr>
          </w:p>
        </w:tc>
        <w:tc>
          <w:tcPr>
            <w:tcW w:w="2680" w:type="dxa"/>
            <w:shd w:val="clear" w:color="auto" w:fill="auto"/>
          </w:tcPr>
          <w:p w14:paraId="5D54A33D" w14:textId="77777777" w:rsidR="005226D6" w:rsidRPr="00256982" w:rsidRDefault="005226D6" w:rsidP="00642B3C">
            <w:pPr>
              <w:jc w:val="right"/>
              <w:rPr>
                <w:highlight w:val="yellow"/>
              </w:rPr>
            </w:pPr>
          </w:p>
        </w:tc>
      </w:tr>
      <w:tr w:rsidR="005226D6" w:rsidRPr="00256982" w14:paraId="08DA5C25" w14:textId="77777777" w:rsidTr="00AE1797">
        <w:tc>
          <w:tcPr>
            <w:tcW w:w="6194" w:type="dxa"/>
            <w:shd w:val="clear" w:color="auto" w:fill="auto"/>
          </w:tcPr>
          <w:p w14:paraId="18B99975" w14:textId="77777777" w:rsidR="005226D6" w:rsidRPr="00256982" w:rsidRDefault="005226D6" w:rsidP="00642B3C">
            <w:r w:rsidRPr="00256982">
              <w:t>CPR level comprises the following units:</w:t>
            </w:r>
          </w:p>
        </w:tc>
        <w:tc>
          <w:tcPr>
            <w:tcW w:w="2680" w:type="dxa"/>
            <w:shd w:val="clear" w:color="auto" w:fill="auto"/>
          </w:tcPr>
          <w:p w14:paraId="2340D28E" w14:textId="77777777" w:rsidR="005226D6" w:rsidRPr="00256982" w:rsidRDefault="005226D6" w:rsidP="00642B3C">
            <w:pPr>
              <w:jc w:val="right"/>
            </w:pPr>
          </w:p>
        </w:tc>
      </w:tr>
      <w:tr w:rsidR="005226D6" w:rsidRPr="00256982" w14:paraId="2C65935E" w14:textId="77777777" w:rsidTr="00AE1797">
        <w:tc>
          <w:tcPr>
            <w:tcW w:w="6194" w:type="dxa"/>
            <w:shd w:val="clear" w:color="auto" w:fill="auto"/>
          </w:tcPr>
          <w:p w14:paraId="3C0DA0A7" w14:textId="77777777" w:rsidR="005226D6" w:rsidRPr="00256982" w:rsidRDefault="005226D6" w:rsidP="00642B3C">
            <w:r w:rsidRPr="00256982">
              <w:t>AAUs</w:t>
            </w:r>
          </w:p>
        </w:tc>
        <w:tc>
          <w:tcPr>
            <w:tcW w:w="2680" w:type="dxa"/>
            <w:shd w:val="clear" w:color="auto" w:fill="auto"/>
          </w:tcPr>
          <w:p w14:paraId="71D8FCC2" w14:textId="77777777" w:rsidR="005226D6" w:rsidRPr="00256982" w:rsidRDefault="005226D6" w:rsidP="00642B3C">
            <w:pPr>
              <w:jc w:val="right"/>
            </w:pPr>
            <w:r w:rsidRPr="00256982">
              <w:rPr>
                <w:lang w:eastAsia="en-NZ"/>
              </w:rPr>
              <w:t>308,221,182</w:t>
            </w:r>
          </w:p>
        </w:tc>
      </w:tr>
      <w:tr w:rsidR="005226D6" w:rsidRPr="00256982" w14:paraId="1787F662" w14:textId="77777777" w:rsidTr="00AE1797">
        <w:tc>
          <w:tcPr>
            <w:tcW w:w="6194" w:type="dxa"/>
            <w:shd w:val="clear" w:color="auto" w:fill="auto"/>
          </w:tcPr>
          <w:p w14:paraId="4FD33E69" w14:textId="77777777" w:rsidR="005226D6" w:rsidRPr="00256982" w:rsidRDefault="005226D6" w:rsidP="00642B3C">
            <w:r w:rsidRPr="00256982">
              <w:t>ERUs (converted from AAUs)</w:t>
            </w:r>
          </w:p>
        </w:tc>
        <w:tc>
          <w:tcPr>
            <w:tcW w:w="2680" w:type="dxa"/>
            <w:shd w:val="clear" w:color="auto" w:fill="auto"/>
          </w:tcPr>
          <w:p w14:paraId="760E23FF" w14:textId="77777777" w:rsidR="005226D6" w:rsidRPr="00256982" w:rsidRDefault="005226D6" w:rsidP="00642B3C">
            <w:pPr>
              <w:jc w:val="right"/>
            </w:pPr>
            <w:r w:rsidRPr="00256982">
              <w:rPr>
                <w:lang w:eastAsia="en-NZ"/>
              </w:rPr>
              <w:t>110,450,921</w:t>
            </w:r>
          </w:p>
        </w:tc>
      </w:tr>
      <w:tr w:rsidR="005226D6" w:rsidRPr="00256982" w14:paraId="7C2C8B9F" w14:textId="77777777" w:rsidTr="00AE1797">
        <w:tc>
          <w:tcPr>
            <w:tcW w:w="6194" w:type="dxa"/>
            <w:shd w:val="clear" w:color="auto" w:fill="auto"/>
          </w:tcPr>
          <w:p w14:paraId="5603D41C" w14:textId="77777777" w:rsidR="005226D6" w:rsidRPr="00256982" w:rsidRDefault="005226D6" w:rsidP="00642B3C">
            <w:r w:rsidRPr="00256982">
              <w:t>CERs</w:t>
            </w:r>
          </w:p>
          <w:p w14:paraId="6BED0D16" w14:textId="77777777" w:rsidR="005226D6" w:rsidRPr="00256982" w:rsidRDefault="005226D6" w:rsidP="00642B3C">
            <w:r w:rsidRPr="00256982">
              <w:t>RMUs</w:t>
            </w:r>
          </w:p>
        </w:tc>
        <w:tc>
          <w:tcPr>
            <w:tcW w:w="2680" w:type="dxa"/>
            <w:tcBorders>
              <w:bottom w:val="single" w:sz="4" w:space="0" w:color="auto"/>
            </w:tcBorders>
            <w:shd w:val="clear" w:color="auto" w:fill="auto"/>
          </w:tcPr>
          <w:p w14:paraId="001BF9CF" w14:textId="77777777" w:rsidR="005226D6" w:rsidRPr="00256982" w:rsidRDefault="005226D6" w:rsidP="00642B3C">
            <w:pPr>
              <w:jc w:val="right"/>
              <w:rPr>
                <w:lang w:eastAsia="en-NZ"/>
              </w:rPr>
            </w:pPr>
            <w:r w:rsidRPr="00256982">
              <w:rPr>
                <w:lang w:eastAsia="en-NZ"/>
              </w:rPr>
              <w:t>16,262,930</w:t>
            </w:r>
          </w:p>
          <w:p w14:paraId="4C4B3491" w14:textId="77777777" w:rsidR="005226D6" w:rsidRPr="00256982" w:rsidRDefault="005226D6" w:rsidP="00642B3C">
            <w:pPr>
              <w:jc w:val="right"/>
            </w:pPr>
            <w:r w:rsidRPr="00256982">
              <w:rPr>
                <w:lang w:eastAsia="en-NZ"/>
              </w:rPr>
              <w:t>80,600,063</w:t>
            </w:r>
          </w:p>
        </w:tc>
      </w:tr>
      <w:tr w:rsidR="005226D6" w:rsidRPr="00256982" w14:paraId="03D4E4C4" w14:textId="77777777" w:rsidTr="00AE1797">
        <w:tc>
          <w:tcPr>
            <w:tcW w:w="6194" w:type="dxa"/>
            <w:shd w:val="clear" w:color="auto" w:fill="auto"/>
          </w:tcPr>
          <w:p w14:paraId="53F53F08" w14:textId="77777777" w:rsidR="005226D6" w:rsidRPr="00256982" w:rsidRDefault="005226D6" w:rsidP="00642B3C">
            <w:r w:rsidRPr="00256982">
              <w:t>Total units</w:t>
            </w:r>
          </w:p>
        </w:tc>
        <w:tc>
          <w:tcPr>
            <w:tcW w:w="2680" w:type="dxa"/>
            <w:tcBorders>
              <w:top w:val="single" w:sz="4" w:space="0" w:color="auto"/>
            </w:tcBorders>
            <w:shd w:val="clear" w:color="auto" w:fill="auto"/>
          </w:tcPr>
          <w:p w14:paraId="028001E2" w14:textId="77777777" w:rsidR="005226D6" w:rsidRPr="00256982" w:rsidRDefault="005226D6" w:rsidP="00642B3C">
            <w:pPr>
              <w:jc w:val="right"/>
            </w:pPr>
            <w:r w:rsidRPr="00256982">
              <w:t>515,535,096</w:t>
            </w:r>
          </w:p>
        </w:tc>
      </w:tr>
    </w:tbl>
    <w:p w14:paraId="1958E662" w14:textId="77777777" w:rsidR="005226D6" w:rsidRPr="00256982" w:rsidRDefault="005226D6" w:rsidP="005226D6"/>
    <w:p w14:paraId="028B0A66" w14:textId="77777777" w:rsidR="005226D6" w:rsidRPr="00256982" w:rsidRDefault="005226D6" w:rsidP="005226D6">
      <w:pPr>
        <w:pStyle w:val="Heading2"/>
        <w:spacing w:before="0" w:after="360"/>
        <w:rPr>
          <w:lang w:eastAsia="en-NZ"/>
        </w:rPr>
      </w:pPr>
      <w:bookmarkStart w:id="2875" w:name="_Toc481751436"/>
      <w:r w:rsidRPr="00256982">
        <w:rPr>
          <w:lang w:eastAsia="en-NZ"/>
        </w:rPr>
        <w:br w:type="page"/>
      </w:r>
      <w:bookmarkStart w:id="2876" w:name="_Toc511116650"/>
      <w:bookmarkStart w:id="2877" w:name="_Toc5269419"/>
      <w:r w:rsidRPr="00256982">
        <w:rPr>
          <w:lang w:eastAsia="en-NZ"/>
        </w:rPr>
        <w:t>Chapter 12: Reference</w:t>
      </w:r>
      <w:bookmarkEnd w:id="2875"/>
      <w:bookmarkEnd w:id="2876"/>
      <w:bookmarkEnd w:id="2877"/>
      <w:r w:rsidRPr="00256982">
        <w:rPr>
          <w:lang w:eastAsia="en-NZ"/>
        </w:rPr>
        <w:t xml:space="preserve"> </w:t>
      </w:r>
    </w:p>
    <w:p w14:paraId="2B1A9641" w14:textId="77777777" w:rsidR="005226D6" w:rsidRPr="00256982" w:rsidRDefault="005226D6" w:rsidP="005226D6">
      <w:pPr>
        <w:pStyle w:val="References"/>
        <w:rPr>
          <w:szCs w:val="22"/>
        </w:rPr>
      </w:pPr>
      <w:r w:rsidRPr="00256982">
        <w:rPr>
          <w:lang w:eastAsia="en-NZ"/>
        </w:rPr>
        <w:t xml:space="preserve">Ministry for the Environment. 2006. </w:t>
      </w:r>
      <w:r w:rsidRPr="00256982">
        <w:rPr>
          <w:i/>
          <w:iCs/>
          <w:lang w:eastAsia="en-NZ"/>
        </w:rPr>
        <w:t xml:space="preserve">New Zealand’s Initial Report under the Kyoto Protocol. </w:t>
      </w:r>
      <w:r w:rsidRPr="00256982">
        <w:rPr>
          <w:lang w:eastAsia="en-NZ"/>
        </w:rPr>
        <w:t>Wellington: Ministry for the Environment. Retrieved from www.mfe.govt.nz/publications/climate/new-zealands-initial-report-under-the-kyoto-protocol/index.html (17 February 2016).</w:t>
      </w:r>
    </w:p>
    <w:p w14:paraId="3602F75F" w14:textId="77777777" w:rsidR="005226D6" w:rsidRPr="00256982" w:rsidRDefault="005226D6" w:rsidP="005226D6">
      <w:pPr>
        <w:pStyle w:val="References"/>
      </w:pPr>
    </w:p>
    <w:p w14:paraId="2AD8CFBE" w14:textId="2DD32C29" w:rsidR="005226D6" w:rsidRPr="00256982" w:rsidRDefault="00642B3C" w:rsidP="00642B3C">
      <w:pPr>
        <w:pStyle w:val="Heading1"/>
      </w:pPr>
      <w:r w:rsidRPr="00256982">
        <w:br w:type="page"/>
      </w:r>
      <w:bookmarkStart w:id="2878" w:name="_Toc5269420"/>
      <w:r w:rsidRPr="00256982">
        <w:t>Chapter 13: Information on changes to the National Inventory</w:t>
      </w:r>
      <w:r w:rsidR="005C5169" w:rsidRPr="00256982">
        <w:t> </w:t>
      </w:r>
      <w:r w:rsidRPr="00256982">
        <w:t>System</w:t>
      </w:r>
      <w:bookmarkEnd w:id="2878"/>
    </w:p>
    <w:p w14:paraId="0E4349B1" w14:textId="77777777" w:rsidR="00631DA9" w:rsidRPr="00256982" w:rsidRDefault="00631DA9" w:rsidP="00631DA9">
      <w:pPr>
        <w:pStyle w:val="BodyText"/>
      </w:pPr>
      <w:r w:rsidRPr="00256982">
        <w:t>The changes in New Zealand’s inventory system in the 2018–19 reporting cycle are associated with including greenhouse gas (GHG) emissions from Tokelau in New Zealand’s GHG inventory, following the extension of the Paris Agreement to Tokelau.</w:t>
      </w:r>
    </w:p>
    <w:p w14:paraId="466EB6AF" w14:textId="67FDBBDD" w:rsidR="00631DA9" w:rsidRPr="00256982" w:rsidRDefault="00631DA9" w:rsidP="00631DA9">
      <w:pPr>
        <w:pStyle w:val="BodyText"/>
      </w:pPr>
      <w:r w:rsidRPr="00256982">
        <w:t>New Zealand ratified the Convention) on 16 September 1993 and the Paris Agreement on 4</w:t>
      </w:r>
      <w:r w:rsidR="0061264D" w:rsidRPr="00256982">
        <w:t> </w:t>
      </w:r>
      <w:r w:rsidRPr="00256982">
        <w:t xml:space="preserve">October 2016. The extension (as of 13 November 2017) of New Zealand’s ratification of the Convention and the Paris Agreement requires New Zealand to include Tokelau in the obligatory climate change reporting managed by the Ministry for the Environment (MfE). Delivering on this obligation, </w:t>
      </w:r>
      <w:r w:rsidRPr="00256982">
        <w:rPr>
          <w:i/>
        </w:rPr>
        <w:t>inter alia</w:t>
      </w:r>
      <w:r w:rsidRPr="00256982">
        <w:t xml:space="preserve">, means that New Zealand’s national GHG inventory shall include the GHG emissions and removals estimates from Tokelau. </w:t>
      </w:r>
    </w:p>
    <w:p w14:paraId="206337EF" w14:textId="77777777" w:rsidR="00631DA9" w:rsidRPr="00256982" w:rsidRDefault="00631DA9" w:rsidP="00631DA9">
      <w:pPr>
        <w:pStyle w:val="BodyText"/>
        <w:rPr>
          <w:bCs/>
          <w:i/>
        </w:rPr>
      </w:pPr>
      <w:r w:rsidRPr="00256982">
        <w:t xml:space="preserve">In January 2018, New Zealand’s MfE, Ministry of Foreign Affairs and Trade and the Tokelau Climate Change Programme initiated the project to include Tokelau in New Zealand’s National Greenhouse Gas Inventory System (project GHG-Tokelau). </w:t>
      </w:r>
    </w:p>
    <w:p w14:paraId="196595EE" w14:textId="77777777" w:rsidR="00631DA9" w:rsidRPr="00256982" w:rsidRDefault="00631DA9" w:rsidP="00631DA9">
      <w:pPr>
        <w:pStyle w:val="BodyText"/>
        <w:spacing w:after="100"/>
      </w:pPr>
      <w:r w:rsidRPr="00256982">
        <w:t>New Zealand and Tokelau signed a Memorandum of Understanding on 18 January 2018 to establish the relationship between Tokelau and New Zealand regarding the governance of international climate change reporting relating to the inclusion of Tokelau in New Zealand’s national inventory system. According to the Memorandum of Understanding, both New Zealand’s central inventory agency (MfE) and the Tokelau Department for Climate Change have roles in inventory reporting.</w:t>
      </w:r>
    </w:p>
    <w:p w14:paraId="69359796" w14:textId="77777777" w:rsidR="00631DA9" w:rsidRPr="00256982" w:rsidRDefault="00631DA9" w:rsidP="00631DA9">
      <w:pPr>
        <w:pStyle w:val="BodyText"/>
      </w:pPr>
      <w:r w:rsidRPr="00256982">
        <w:t>MfE will take responsibility for the following:</w:t>
      </w:r>
    </w:p>
    <w:p w14:paraId="48054450" w14:textId="77777777" w:rsidR="00631DA9" w:rsidRPr="00256982" w:rsidRDefault="00631DA9" w:rsidP="00631DA9">
      <w:pPr>
        <w:pStyle w:val="Bullet"/>
      </w:pPr>
      <w:r w:rsidRPr="00256982">
        <w:t>coordination of communications between New Zealand and Tokelau officials, as well as communications with project consultants in New Zealand and overseas</w:t>
      </w:r>
    </w:p>
    <w:p w14:paraId="0D1A7D58" w14:textId="77777777" w:rsidR="00631DA9" w:rsidRPr="00256982" w:rsidRDefault="00631DA9" w:rsidP="00631DA9">
      <w:pPr>
        <w:pStyle w:val="Bullet"/>
      </w:pPr>
      <w:r w:rsidRPr="00256982">
        <w:t>coordination with other New Zealand government agencies participating in the inventory production, should their consulting or advice be required for the project</w:t>
      </w:r>
    </w:p>
    <w:p w14:paraId="4C4748FF" w14:textId="77777777" w:rsidR="00631DA9" w:rsidRPr="00256982" w:rsidRDefault="00631DA9" w:rsidP="00631DA9">
      <w:pPr>
        <w:pStyle w:val="Bullet"/>
      </w:pPr>
      <w:r w:rsidRPr="00256982">
        <w:t>initial consultation on developing a national GHG inventory system for Tokelau, together with the relevant instructive materials, principles, protocols and procedures of Tier 1 statistics, and methodological guidance for the inventory</w:t>
      </w:r>
    </w:p>
    <w:p w14:paraId="65C84908" w14:textId="77777777" w:rsidR="00631DA9" w:rsidRPr="00256982" w:rsidRDefault="00631DA9" w:rsidP="00631DA9">
      <w:pPr>
        <w:pStyle w:val="Bullet"/>
      </w:pPr>
      <w:r w:rsidRPr="00256982">
        <w:t>technical advice on various aspects of the project regarding the subject matter, the legal background (the Convention reporting guidance), the software issues and the quality assurance and quality control issues associated with the changes in the national inventory system</w:t>
      </w:r>
    </w:p>
    <w:p w14:paraId="4FA6B569" w14:textId="77777777" w:rsidR="00631DA9" w:rsidRPr="00256982" w:rsidRDefault="00631DA9" w:rsidP="00631DA9">
      <w:pPr>
        <w:pStyle w:val="Bullet"/>
      </w:pPr>
      <w:r w:rsidRPr="00256982">
        <w:t>final integration of the Tokelau GHG inventory component into the joint inventory submission to the Convention</w:t>
      </w:r>
    </w:p>
    <w:p w14:paraId="498A6080" w14:textId="77777777" w:rsidR="00631DA9" w:rsidRPr="00256982" w:rsidRDefault="00631DA9" w:rsidP="00631DA9">
      <w:pPr>
        <w:pStyle w:val="Bullet"/>
      </w:pPr>
      <w:r w:rsidRPr="00256982">
        <w:t>submitting the joint inventory to the Convention and coordinating communication with the Convention associated with the inventory submission and review</w:t>
      </w:r>
    </w:p>
    <w:p w14:paraId="5CA4E2CB" w14:textId="77777777" w:rsidR="00631DA9" w:rsidRPr="00256982" w:rsidRDefault="00631DA9" w:rsidP="00631DA9">
      <w:pPr>
        <w:pStyle w:val="Bullet"/>
      </w:pPr>
      <w:r w:rsidRPr="00256982">
        <w:t>publication of the National Inventory Report (NIR) inventory report and the Common Reporting Format (CRF) tables online as well as all supplementary materials.</w:t>
      </w:r>
    </w:p>
    <w:p w14:paraId="3C9D6CD9" w14:textId="77777777" w:rsidR="00631DA9" w:rsidRPr="00256982" w:rsidRDefault="00631DA9" w:rsidP="00631DA9">
      <w:pPr>
        <w:pStyle w:val="BodyText"/>
      </w:pPr>
      <w:r w:rsidRPr="00256982">
        <w:t>The Tokelau Ministry for Climate, Oceans and Resilience (former Climate Change Agency) will take responsibility for the following:</w:t>
      </w:r>
    </w:p>
    <w:p w14:paraId="7E659845" w14:textId="77777777" w:rsidR="00631DA9" w:rsidRPr="00256982" w:rsidRDefault="00631DA9" w:rsidP="0061264D">
      <w:pPr>
        <w:pStyle w:val="Bullet"/>
      </w:pPr>
      <w:r w:rsidRPr="00256982">
        <w:t>coordinating the project implementation in Tokelau by communicating with the relevant agencies, organisations and individuals involved in the GHG inventory; coordinating their efforts and delegating responsibilities to ensure that sufficient information and support are provided to those agencies, organisations and individuals to enable GHG inventory production</w:t>
      </w:r>
    </w:p>
    <w:p w14:paraId="1A8F8E4C" w14:textId="77777777" w:rsidR="00631DA9" w:rsidRPr="00256982" w:rsidRDefault="00631DA9" w:rsidP="0061264D">
      <w:pPr>
        <w:pStyle w:val="Bullet"/>
      </w:pPr>
      <w:r w:rsidRPr="00256982">
        <w:t>providing timely advice on all cultural aspects of the project and assisting in resolving any issues associated with the potential cultural issues</w:t>
      </w:r>
    </w:p>
    <w:p w14:paraId="1052BD93" w14:textId="77777777" w:rsidR="00631DA9" w:rsidRPr="00256982" w:rsidRDefault="00631DA9" w:rsidP="0061264D">
      <w:pPr>
        <w:pStyle w:val="Bullet"/>
      </w:pPr>
      <w:r w:rsidRPr="00256982">
        <w:t>ensuring that the agreed project schedule is fully complied with and the relevant timeframes are met, which includes submission of Tokelau’s GHG data and information to New Zealand’s national inventory compiler within the agreed timeframe</w:t>
      </w:r>
    </w:p>
    <w:p w14:paraId="513F5A36" w14:textId="77777777" w:rsidR="00631DA9" w:rsidRPr="00256982" w:rsidRDefault="00631DA9" w:rsidP="0061264D">
      <w:pPr>
        <w:pStyle w:val="Bullet"/>
      </w:pPr>
      <w:r w:rsidRPr="00256982">
        <w:t xml:space="preserve">coordinating Tokelau’s efforts in activity data collection for the inventory reporting and data processing </w:t>
      </w:r>
    </w:p>
    <w:p w14:paraId="0674B119" w14:textId="77777777" w:rsidR="00631DA9" w:rsidRPr="00256982" w:rsidRDefault="00631DA9" w:rsidP="0061264D">
      <w:pPr>
        <w:pStyle w:val="Bullet"/>
      </w:pPr>
      <w:r w:rsidRPr="00256982">
        <w:t xml:space="preserve">producing the complete set of the data tables in agreed formats, and a peer-reviewed draft of the Tokelau Annex for the inventory submission based on the 2006 Intergovernmental Panel on Climate Change (IPCC) guidelines and the Convention reporting guidelines, and in compliance with the Convention inventory quality principles and good practices. </w:t>
      </w:r>
    </w:p>
    <w:p w14:paraId="45BAB9A3" w14:textId="77777777" w:rsidR="00631DA9" w:rsidRPr="00256982" w:rsidRDefault="00631DA9" w:rsidP="0061264D">
      <w:pPr>
        <w:pStyle w:val="BodyText"/>
      </w:pPr>
      <w:r w:rsidRPr="00256982">
        <w:t>Both MfE and the Tokelau Ministry for Climate, Oceans and Resilience are responsible for adhering to the principles and protocols for producers of Tier 1 statistics under the New Zealand official statistics system.</w:t>
      </w:r>
    </w:p>
    <w:p w14:paraId="27708CD7" w14:textId="77777777" w:rsidR="00631DA9" w:rsidRPr="00256982" w:rsidRDefault="00631DA9" w:rsidP="0061264D">
      <w:pPr>
        <w:pStyle w:val="BodyText"/>
      </w:pPr>
      <w:r w:rsidRPr="00256982">
        <w:t xml:space="preserve">Details on how Tokelau’s data and information are incorporated in the NIR and the CRF are included in chapter 8 of the NIR. Information on the quality assurance and quality control plan for Tokelau is included in annex 6 of the NIR. </w:t>
      </w:r>
    </w:p>
    <w:p w14:paraId="23D7D9CA" w14:textId="77777777" w:rsidR="00631DA9" w:rsidRPr="00256982" w:rsidRDefault="00631DA9" w:rsidP="0061264D">
      <w:pPr>
        <w:pStyle w:val="BodyText"/>
      </w:pPr>
      <w:r w:rsidRPr="00256982">
        <w:t>Main contacts for greenhouse gas reporting for the inventory for Tokelau are:</w:t>
      </w:r>
    </w:p>
    <w:p w14:paraId="2ACAF160" w14:textId="77777777" w:rsidR="00631DA9" w:rsidRPr="00256982" w:rsidRDefault="00631DA9" w:rsidP="0061264D">
      <w:pPr>
        <w:pStyle w:val="Bullet"/>
      </w:pPr>
      <w:r w:rsidRPr="00256982">
        <w:t xml:space="preserve">Ms Paula Faiva, Tokelau Ministry for Climate, Oceans and Resilience: </w:t>
      </w:r>
      <w:hyperlink r:id="rId263" w:history="1">
        <w:r w:rsidRPr="00256982">
          <w:t>paula.faiva@tokelau.org.nz</w:t>
        </w:r>
      </w:hyperlink>
    </w:p>
    <w:p w14:paraId="469AC54B" w14:textId="77777777" w:rsidR="00631DA9" w:rsidRPr="00256982" w:rsidRDefault="00631DA9" w:rsidP="0061264D">
      <w:pPr>
        <w:pStyle w:val="Bullet"/>
      </w:pPr>
      <w:r w:rsidRPr="00256982">
        <w:t>Dr JA Jasperse, Tokelau National Statistics Office, Apia (</w:t>
      </w:r>
      <w:hyperlink r:id="rId264" w:history="1">
        <w:r w:rsidRPr="00256982">
          <w:t>www.tokelau.org.nz/Stats.html</w:t>
        </w:r>
      </w:hyperlink>
      <w:r w:rsidRPr="00256982">
        <w:t>): iapi.jasperse@tokelau.org.nz</w:t>
      </w:r>
    </w:p>
    <w:p w14:paraId="3A8FAAC8" w14:textId="77777777" w:rsidR="00631DA9" w:rsidRPr="00256982" w:rsidRDefault="00631DA9" w:rsidP="0061264D">
      <w:pPr>
        <w:pStyle w:val="BodyText"/>
      </w:pPr>
      <w:r w:rsidRPr="00256982">
        <w:t>No other changes were made in the legal or institutional arrangements in the National Inventory System since the last (2018) inventory submission.</w:t>
      </w:r>
    </w:p>
    <w:p w14:paraId="3497A102" w14:textId="77777777" w:rsidR="00631DA9" w:rsidRPr="00256982" w:rsidRDefault="00631DA9" w:rsidP="00631DA9"/>
    <w:p w14:paraId="59B91CBB" w14:textId="46A2F656" w:rsidR="005226D6" w:rsidRPr="00256982" w:rsidRDefault="00005107" w:rsidP="00005107">
      <w:pPr>
        <w:pStyle w:val="Heading1"/>
      </w:pPr>
      <w:r w:rsidRPr="00256982">
        <w:br w:type="page"/>
      </w:r>
      <w:bookmarkStart w:id="2879" w:name="_Toc5269421"/>
      <w:r w:rsidRPr="00256982">
        <w:t>Chapter 14: Information on changes to the national registry</w:t>
      </w:r>
      <w:bookmarkEnd w:id="2879"/>
    </w:p>
    <w:p w14:paraId="46994CFB" w14:textId="77777777" w:rsidR="00005107" w:rsidRPr="00256982" w:rsidRDefault="00005107" w:rsidP="00005107">
      <w:pPr>
        <w:pStyle w:val="BodyText"/>
      </w:pPr>
      <w:r w:rsidRPr="00256982">
        <w:t>This chapter contains information required for the reporting of changes to New Zealand’s national registry. The changes made to New Zealand’s national registry since the 2018 submission are included in table 14.1.</w:t>
      </w:r>
    </w:p>
    <w:p w14:paraId="022B1BB8" w14:textId="77777777" w:rsidR="00005107" w:rsidRPr="00256982" w:rsidRDefault="00005107" w:rsidP="00005107">
      <w:pPr>
        <w:pStyle w:val="BodyText"/>
      </w:pPr>
      <w:r w:rsidRPr="00256982">
        <w:t>Recommendations were made in the review of New Zealand’s 2018 submission by the expert review team. Refer to table 14.2 for recommendations and how</w:t>
      </w:r>
      <w:r w:rsidRPr="00256982">
        <w:rPr>
          <w:b/>
        </w:rPr>
        <w:t xml:space="preserve"> </w:t>
      </w:r>
      <w:r w:rsidRPr="00256982">
        <w:t>these were addressed.</w:t>
      </w:r>
    </w:p>
    <w:p w14:paraId="4AD30FD9" w14:textId="77777777" w:rsidR="00005107" w:rsidRPr="00256982" w:rsidRDefault="00005107" w:rsidP="00005107">
      <w:pPr>
        <w:pStyle w:val="Table"/>
      </w:pPr>
      <w:bookmarkStart w:id="2880" w:name="_Toc481751644"/>
      <w:bookmarkStart w:id="2881" w:name="_Toc511116872"/>
      <w:bookmarkStart w:id="2882" w:name="_Toc5269640"/>
      <w:r w:rsidRPr="00256982">
        <w:t xml:space="preserve">Table 14.1 </w:t>
      </w:r>
      <w:r w:rsidRPr="00256982">
        <w:tab/>
        <w:t>Changes made to New Zealand’s national registry</w:t>
      </w:r>
      <w:bookmarkEnd w:id="2880"/>
      <w:bookmarkEnd w:id="2881"/>
      <w:bookmarkEnd w:id="2882"/>
    </w:p>
    <w:tbl>
      <w:tblPr>
        <w:tblW w:w="8562" w:type="dxa"/>
        <w:tblInd w:w="108" w:type="dxa"/>
        <w:tblBorders>
          <w:top w:val="single" w:sz="4" w:space="0" w:color="365F91"/>
          <w:bottom w:val="single" w:sz="4" w:space="0" w:color="365F91"/>
          <w:insideV w:val="single" w:sz="4" w:space="0" w:color="365F91"/>
        </w:tblBorders>
        <w:tblLook w:val="01E0" w:firstRow="1" w:lastRow="1" w:firstColumn="1" w:lastColumn="1" w:noHBand="0" w:noVBand="0"/>
      </w:tblPr>
      <w:tblGrid>
        <w:gridCol w:w="3283"/>
        <w:gridCol w:w="5279"/>
      </w:tblGrid>
      <w:tr w:rsidR="00005107" w:rsidRPr="00256982" w14:paraId="323A4FB3" w14:textId="77777777" w:rsidTr="00005107">
        <w:trPr>
          <w:tblHeader/>
        </w:trPr>
        <w:tc>
          <w:tcPr>
            <w:tcW w:w="3261" w:type="dxa"/>
            <w:tcBorders>
              <w:top w:val="single" w:sz="4" w:space="0" w:color="365F91"/>
              <w:bottom w:val="single" w:sz="4" w:space="0" w:color="365F91"/>
            </w:tcBorders>
            <w:shd w:val="clear" w:color="auto" w:fill="365F91"/>
          </w:tcPr>
          <w:p w14:paraId="1E13E5E8" w14:textId="77777777" w:rsidR="00005107" w:rsidRPr="00256982" w:rsidRDefault="00005107" w:rsidP="00B7783F">
            <w:pPr>
              <w:pStyle w:val="TableTextBold"/>
              <w:rPr>
                <w:noProof w:val="0"/>
                <w:color w:val="FFFFFF"/>
              </w:rPr>
            </w:pPr>
            <w:r w:rsidRPr="00256982">
              <w:rPr>
                <w:noProof w:val="0"/>
                <w:color w:val="FFFFFF"/>
              </w:rPr>
              <w:t>Section subheading</w:t>
            </w:r>
          </w:p>
        </w:tc>
        <w:tc>
          <w:tcPr>
            <w:tcW w:w="5244" w:type="dxa"/>
            <w:tcBorders>
              <w:top w:val="single" w:sz="4" w:space="0" w:color="365F91"/>
              <w:bottom w:val="single" w:sz="4" w:space="0" w:color="365F91"/>
            </w:tcBorders>
            <w:shd w:val="clear" w:color="auto" w:fill="365F91"/>
          </w:tcPr>
          <w:p w14:paraId="7C67B93D" w14:textId="77777777" w:rsidR="00005107" w:rsidRPr="00256982" w:rsidRDefault="00005107" w:rsidP="00B7783F">
            <w:pPr>
              <w:pStyle w:val="TableTextBold"/>
              <w:rPr>
                <w:noProof w:val="0"/>
                <w:color w:val="FFFFFF"/>
              </w:rPr>
            </w:pPr>
            <w:r w:rsidRPr="00256982">
              <w:rPr>
                <w:noProof w:val="0"/>
                <w:color w:val="FFFFFF"/>
              </w:rPr>
              <w:t>New Zealand’s response</w:t>
            </w:r>
          </w:p>
        </w:tc>
      </w:tr>
      <w:tr w:rsidR="00005107" w:rsidRPr="00256982" w14:paraId="1DE10C0C" w14:textId="77777777" w:rsidTr="00005107">
        <w:tc>
          <w:tcPr>
            <w:tcW w:w="3261" w:type="dxa"/>
            <w:tcBorders>
              <w:top w:val="single" w:sz="4" w:space="0" w:color="365F91"/>
            </w:tcBorders>
          </w:tcPr>
          <w:p w14:paraId="0210474B" w14:textId="77777777" w:rsidR="00005107" w:rsidRPr="00256982" w:rsidRDefault="00005107" w:rsidP="00B7783F">
            <w:pPr>
              <w:pStyle w:val="TableText"/>
            </w:pPr>
            <w:r w:rsidRPr="00256982">
              <w:t xml:space="preserve">15/CMP.1 Annex II.E, paragraph 32.(a): Change in the name or contact for the national registry </w:t>
            </w:r>
          </w:p>
        </w:tc>
        <w:tc>
          <w:tcPr>
            <w:tcW w:w="5244" w:type="dxa"/>
            <w:tcBorders>
              <w:top w:val="single" w:sz="4" w:space="0" w:color="365F91"/>
            </w:tcBorders>
          </w:tcPr>
          <w:p w14:paraId="458BC3BD" w14:textId="77777777" w:rsidR="00005107" w:rsidRPr="00256982" w:rsidRDefault="00005107" w:rsidP="00B7783F">
            <w:pPr>
              <w:pStyle w:val="TableText"/>
            </w:pPr>
            <w:r w:rsidRPr="00256982">
              <w:t>The contact details for the national registry have not been changed during the reporting period.</w:t>
            </w:r>
          </w:p>
        </w:tc>
      </w:tr>
      <w:tr w:rsidR="00005107" w:rsidRPr="00256982" w14:paraId="4F3B00A6" w14:textId="77777777" w:rsidTr="00005107">
        <w:tc>
          <w:tcPr>
            <w:tcW w:w="3261" w:type="dxa"/>
          </w:tcPr>
          <w:p w14:paraId="5D97DF6E" w14:textId="77777777" w:rsidR="00005107" w:rsidRPr="00256982" w:rsidRDefault="00005107" w:rsidP="00B7783F">
            <w:pPr>
              <w:pStyle w:val="TableText"/>
            </w:pPr>
            <w:r w:rsidRPr="00256982">
              <w:t xml:space="preserve">15/CMP.1 Annex II.E, paragraph 32.(b): Change in cooperation arrangement </w:t>
            </w:r>
          </w:p>
        </w:tc>
        <w:tc>
          <w:tcPr>
            <w:tcW w:w="5244" w:type="dxa"/>
          </w:tcPr>
          <w:p w14:paraId="26636C35" w14:textId="77777777" w:rsidR="00005107" w:rsidRPr="00256982" w:rsidRDefault="00005107" w:rsidP="00B7783F">
            <w:pPr>
              <w:pStyle w:val="TableText"/>
            </w:pPr>
            <w:r w:rsidRPr="00256982">
              <w:t>No change of cooperation arrangement occurred during the reported period.</w:t>
            </w:r>
          </w:p>
        </w:tc>
      </w:tr>
      <w:tr w:rsidR="00005107" w:rsidRPr="00256982" w14:paraId="5D042DA1" w14:textId="77777777" w:rsidTr="00005107">
        <w:tc>
          <w:tcPr>
            <w:tcW w:w="3261" w:type="dxa"/>
          </w:tcPr>
          <w:p w14:paraId="2594C084" w14:textId="77777777" w:rsidR="00005107" w:rsidRPr="00256982" w:rsidRDefault="00005107" w:rsidP="00B7783F">
            <w:pPr>
              <w:pStyle w:val="TableText"/>
            </w:pPr>
            <w:r w:rsidRPr="00256982">
              <w:t>1/CMP.1 Annex II.E, paragraph 32.(c): Change to the database or the capacity of the national registry</w:t>
            </w:r>
          </w:p>
        </w:tc>
        <w:tc>
          <w:tcPr>
            <w:tcW w:w="5244" w:type="dxa"/>
          </w:tcPr>
          <w:p w14:paraId="56AA441F" w14:textId="77777777" w:rsidR="00005107" w:rsidRPr="00256982" w:rsidRDefault="00005107" w:rsidP="00B7783F">
            <w:pPr>
              <w:pStyle w:val="TableText"/>
            </w:pPr>
            <w:r w:rsidRPr="00256982">
              <w:t>Small changes were made to the national registry database during the reported period to allow Industrial Allocations applications to be completed via the national registry. No change to the capacity of the national registry occurred during the reporting period</w:t>
            </w:r>
          </w:p>
        </w:tc>
      </w:tr>
      <w:tr w:rsidR="00005107" w:rsidRPr="00256982" w14:paraId="54D9AC4E" w14:textId="77777777" w:rsidTr="00005107">
        <w:tc>
          <w:tcPr>
            <w:tcW w:w="3261" w:type="dxa"/>
          </w:tcPr>
          <w:p w14:paraId="04576790" w14:textId="77777777" w:rsidR="00005107" w:rsidRPr="00256982" w:rsidRDefault="00005107" w:rsidP="00B7783F">
            <w:pPr>
              <w:pStyle w:val="TableText"/>
            </w:pPr>
            <w:r w:rsidRPr="00256982">
              <w:t xml:space="preserve">15/CMP.1 Annex II.E, paragraph 32.(d): Change in the conformance to technical standards </w:t>
            </w:r>
          </w:p>
        </w:tc>
        <w:tc>
          <w:tcPr>
            <w:tcW w:w="5244" w:type="dxa"/>
          </w:tcPr>
          <w:p w14:paraId="282CAC45" w14:textId="77777777" w:rsidR="00005107" w:rsidRPr="00256982" w:rsidRDefault="00005107" w:rsidP="00B7783F">
            <w:pPr>
              <w:pStyle w:val="TableText"/>
            </w:pPr>
            <w:r w:rsidRPr="00256982">
              <w:t>No change in the conformance to technical standards occurred during the reporting period.</w:t>
            </w:r>
          </w:p>
        </w:tc>
      </w:tr>
      <w:tr w:rsidR="00005107" w:rsidRPr="00256982" w14:paraId="56585A82" w14:textId="77777777" w:rsidTr="00005107">
        <w:tc>
          <w:tcPr>
            <w:tcW w:w="3261" w:type="dxa"/>
          </w:tcPr>
          <w:p w14:paraId="3DB412FD" w14:textId="77777777" w:rsidR="00005107" w:rsidRPr="00256982" w:rsidRDefault="00005107" w:rsidP="00B7783F">
            <w:pPr>
              <w:pStyle w:val="TableText"/>
            </w:pPr>
            <w:r w:rsidRPr="00256982">
              <w:t xml:space="preserve">15/CMP.1 Annex II.E, paragraph 32.(e): Change in the discrepancy procedures </w:t>
            </w:r>
          </w:p>
        </w:tc>
        <w:tc>
          <w:tcPr>
            <w:tcW w:w="5244" w:type="dxa"/>
          </w:tcPr>
          <w:p w14:paraId="404947E8" w14:textId="77777777" w:rsidR="00005107" w:rsidRPr="00256982" w:rsidRDefault="00005107" w:rsidP="00B7783F">
            <w:pPr>
              <w:pStyle w:val="TableText"/>
            </w:pPr>
            <w:r w:rsidRPr="00256982">
              <w:t>No change of discrepancy procedures occurred during the reporting period.</w:t>
            </w:r>
          </w:p>
        </w:tc>
      </w:tr>
      <w:tr w:rsidR="00005107" w:rsidRPr="00256982" w14:paraId="2D7369AB" w14:textId="77777777" w:rsidTr="00005107">
        <w:tc>
          <w:tcPr>
            <w:tcW w:w="3261" w:type="dxa"/>
          </w:tcPr>
          <w:p w14:paraId="16951528" w14:textId="77777777" w:rsidR="00005107" w:rsidRPr="00256982" w:rsidRDefault="00005107" w:rsidP="00B7783F">
            <w:pPr>
              <w:pStyle w:val="TableText"/>
            </w:pPr>
            <w:r w:rsidRPr="00256982">
              <w:t xml:space="preserve">15/CMP.1 Annex II.E, paragraph 32.(f): Change in security </w:t>
            </w:r>
          </w:p>
        </w:tc>
        <w:tc>
          <w:tcPr>
            <w:tcW w:w="5244" w:type="dxa"/>
          </w:tcPr>
          <w:p w14:paraId="70595088" w14:textId="77777777" w:rsidR="00005107" w:rsidRPr="00256982" w:rsidRDefault="00005107" w:rsidP="00B7783F">
            <w:pPr>
              <w:pStyle w:val="TableText"/>
            </w:pPr>
            <w:r w:rsidRPr="00256982">
              <w:t>No change in security occurred during the reporting period.</w:t>
            </w:r>
          </w:p>
        </w:tc>
      </w:tr>
      <w:tr w:rsidR="00005107" w:rsidRPr="00256982" w14:paraId="6E71880B" w14:textId="77777777" w:rsidTr="00005107">
        <w:tc>
          <w:tcPr>
            <w:tcW w:w="3261" w:type="dxa"/>
          </w:tcPr>
          <w:p w14:paraId="3FA98D21" w14:textId="77777777" w:rsidR="00005107" w:rsidRPr="00256982" w:rsidRDefault="00005107" w:rsidP="00B7783F">
            <w:pPr>
              <w:pStyle w:val="TableText"/>
            </w:pPr>
            <w:r w:rsidRPr="00256982">
              <w:t xml:space="preserve">15/CMP.1 Annex II.E, paragraph 32.(g): Change in the list of publicly available information </w:t>
            </w:r>
          </w:p>
        </w:tc>
        <w:tc>
          <w:tcPr>
            <w:tcW w:w="5244" w:type="dxa"/>
          </w:tcPr>
          <w:p w14:paraId="6697F3D1" w14:textId="77777777" w:rsidR="00005107" w:rsidRPr="00256982" w:rsidRDefault="00005107" w:rsidP="00B7783F">
            <w:pPr>
              <w:pStyle w:val="TableText"/>
            </w:pPr>
            <w:r w:rsidRPr="00256982">
              <w:t xml:space="preserve">No significant changes to the list of publicly available information occurred during the reporting period. </w:t>
            </w:r>
          </w:p>
        </w:tc>
      </w:tr>
      <w:tr w:rsidR="00005107" w:rsidRPr="00256982" w14:paraId="104852C2" w14:textId="77777777" w:rsidTr="00005107">
        <w:tc>
          <w:tcPr>
            <w:tcW w:w="3261" w:type="dxa"/>
          </w:tcPr>
          <w:p w14:paraId="147CF626" w14:textId="77777777" w:rsidR="00005107" w:rsidRPr="00256982" w:rsidRDefault="00005107" w:rsidP="00B7783F">
            <w:pPr>
              <w:pStyle w:val="TableText"/>
            </w:pPr>
            <w:r w:rsidRPr="00256982">
              <w:t>15/CMP.1 Annex II.E, paragraph 32.(h): Change to the internet address</w:t>
            </w:r>
          </w:p>
        </w:tc>
        <w:tc>
          <w:tcPr>
            <w:tcW w:w="5244" w:type="dxa"/>
          </w:tcPr>
          <w:p w14:paraId="18FBD5DE" w14:textId="77777777" w:rsidR="00005107" w:rsidRPr="00256982" w:rsidRDefault="00005107" w:rsidP="00B7783F">
            <w:pPr>
              <w:pStyle w:val="TableText"/>
            </w:pPr>
            <w:r w:rsidRPr="00256982">
              <w:t>No change to the internet address occurred during the reporting period.</w:t>
            </w:r>
          </w:p>
        </w:tc>
      </w:tr>
      <w:tr w:rsidR="00005107" w:rsidRPr="00256982" w14:paraId="0A4157FE" w14:textId="77777777" w:rsidTr="00005107">
        <w:tc>
          <w:tcPr>
            <w:tcW w:w="3261" w:type="dxa"/>
          </w:tcPr>
          <w:p w14:paraId="419B9D4A" w14:textId="77777777" w:rsidR="00005107" w:rsidRPr="00256982" w:rsidRDefault="00005107" w:rsidP="00B7783F">
            <w:pPr>
              <w:pStyle w:val="TableText"/>
            </w:pPr>
            <w:r w:rsidRPr="00256982">
              <w:t xml:space="preserve">15/CMP.1 Annex II.E, paragraph 32.(i): Change to the data integrity measures </w:t>
            </w:r>
          </w:p>
        </w:tc>
        <w:tc>
          <w:tcPr>
            <w:tcW w:w="5244" w:type="dxa"/>
          </w:tcPr>
          <w:p w14:paraId="09EDFE4C" w14:textId="77777777" w:rsidR="00005107" w:rsidRPr="00256982" w:rsidRDefault="00005107" w:rsidP="00B7783F">
            <w:pPr>
              <w:pStyle w:val="TableText"/>
            </w:pPr>
            <w:r w:rsidRPr="00256982">
              <w:t>No change to the data integrity measures occurred during the reporting period.</w:t>
            </w:r>
          </w:p>
        </w:tc>
      </w:tr>
      <w:tr w:rsidR="00005107" w:rsidRPr="00256982" w14:paraId="7B09EF3D" w14:textId="77777777" w:rsidTr="00005107">
        <w:tc>
          <w:tcPr>
            <w:tcW w:w="3261" w:type="dxa"/>
            <w:tcBorders>
              <w:bottom w:val="single" w:sz="4" w:space="0" w:color="365F91"/>
            </w:tcBorders>
          </w:tcPr>
          <w:p w14:paraId="07D96F76" w14:textId="77777777" w:rsidR="00005107" w:rsidRPr="00256982" w:rsidRDefault="00005107" w:rsidP="00B7783F">
            <w:pPr>
              <w:pStyle w:val="TableText"/>
            </w:pPr>
            <w:r w:rsidRPr="00256982">
              <w:t xml:space="preserve">15/CMP.1 Annex II.E, paragraph 32.(j): Change of the test results </w:t>
            </w:r>
          </w:p>
        </w:tc>
        <w:tc>
          <w:tcPr>
            <w:tcW w:w="5244" w:type="dxa"/>
            <w:tcBorders>
              <w:bottom w:val="single" w:sz="4" w:space="0" w:color="365F91"/>
            </w:tcBorders>
          </w:tcPr>
          <w:p w14:paraId="3B95C095" w14:textId="77777777" w:rsidR="00005107" w:rsidRPr="00256982" w:rsidRDefault="00005107" w:rsidP="00B7783F">
            <w:pPr>
              <w:pStyle w:val="TableText"/>
            </w:pPr>
            <w:r w:rsidRPr="00256982">
              <w:t>No change to the test results occurred during the reporting period.</w:t>
            </w:r>
          </w:p>
        </w:tc>
      </w:tr>
    </w:tbl>
    <w:p w14:paraId="472BF291" w14:textId="54DD99CB" w:rsidR="00005107" w:rsidRPr="00256982" w:rsidRDefault="00005107" w:rsidP="00005107">
      <w:pPr>
        <w:pStyle w:val="Table"/>
        <w:spacing w:before="360"/>
      </w:pPr>
      <w:bookmarkStart w:id="2883" w:name="_Toc481751645"/>
      <w:bookmarkStart w:id="2884" w:name="_Toc511116873"/>
      <w:bookmarkStart w:id="2885" w:name="_Toc5269641"/>
      <w:r w:rsidRPr="00256982">
        <w:t>Table 14.2</w:t>
      </w:r>
      <w:r w:rsidRPr="00256982">
        <w:tab/>
        <w:t>Previous recommendations for New Zealand from the expert review</w:t>
      </w:r>
      <w:r w:rsidR="00BC2341" w:rsidRPr="00256982">
        <w:t> </w:t>
      </w:r>
      <w:r w:rsidRPr="00256982">
        <w:t>team</w:t>
      </w:r>
      <w:bookmarkEnd w:id="2883"/>
      <w:bookmarkEnd w:id="2884"/>
      <w:bookmarkEnd w:id="2885"/>
      <w:r w:rsidRPr="00256982">
        <w:t xml:space="preserve"> </w:t>
      </w:r>
    </w:p>
    <w:tbl>
      <w:tblPr>
        <w:tblW w:w="8562" w:type="dxa"/>
        <w:tblInd w:w="108" w:type="dxa"/>
        <w:tblBorders>
          <w:top w:val="single" w:sz="4" w:space="0" w:color="365F91"/>
          <w:bottom w:val="single" w:sz="4" w:space="0" w:color="365F91"/>
          <w:insideH w:val="single" w:sz="4" w:space="0" w:color="365F91"/>
          <w:insideV w:val="single" w:sz="4" w:space="0" w:color="365F91"/>
        </w:tblBorders>
        <w:tblLook w:val="04A0" w:firstRow="1" w:lastRow="0" w:firstColumn="1" w:lastColumn="0" w:noHBand="0" w:noVBand="1"/>
      </w:tblPr>
      <w:tblGrid>
        <w:gridCol w:w="811"/>
        <w:gridCol w:w="3855"/>
        <w:gridCol w:w="3896"/>
      </w:tblGrid>
      <w:tr w:rsidR="00005107" w:rsidRPr="00256982" w14:paraId="18FBE508" w14:textId="77777777" w:rsidTr="00005107">
        <w:tc>
          <w:tcPr>
            <w:tcW w:w="831" w:type="dxa"/>
            <w:tcBorders>
              <w:bottom w:val="single" w:sz="4" w:space="0" w:color="365F91"/>
            </w:tcBorders>
            <w:shd w:val="clear" w:color="auto" w:fill="365F91"/>
            <w:vAlign w:val="bottom"/>
          </w:tcPr>
          <w:p w14:paraId="7C0584CE" w14:textId="77777777" w:rsidR="00005107" w:rsidRPr="00256982" w:rsidRDefault="00005107" w:rsidP="00B7783F">
            <w:pPr>
              <w:pStyle w:val="TableTextBold"/>
              <w:rPr>
                <w:noProof w:val="0"/>
                <w:color w:val="FFFFFF"/>
              </w:rPr>
            </w:pPr>
          </w:p>
        </w:tc>
        <w:tc>
          <w:tcPr>
            <w:tcW w:w="3978" w:type="dxa"/>
            <w:tcBorders>
              <w:bottom w:val="single" w:sz="4" w:space="0" w:color="365F91"/>
            </w:tcBorders>
            <w:shd w:val="clear" w:color="auto" w:fill="365F91"/>
            <w:vAlign w:val="bottom"/>
          </w:tcPr>
          <w:p w14:paraId="7AC4D4C2" w14:textId="77777777" w:rsidR="00005107" w:rsidRPr="00256982" w:rsidRDefault="00005107" w:rsidP="00B7783F">
            <w:pPr>
              <w:pStyle w:val="TableTextBold"/>
              <w:rPr>
                <w:noProof w:val="0"/>
                <w:color w:val="FFFFFF"/>
              </w:rPr>
            </w:pPr>
            <w:r w:rsidRPr="00256982">
              <w:rPr>
                <w:noProof w:val="0"/>
                <w:color w:val="FFFFFF"/>
              </w:rPr>
              <w:t>Review descriptions</w:t>
            </w:r>
          </w:p>
        </w:tc>
        <w:tc>
          <w:tcPr>
            <w:tcW w:w="4020" w:type="dxa"/>
            <w:tcBorders>
              <w:bottom w:val="single" w:sz="4" w:space="0" w:color="365F91"/>
            </w:tcBorders>
            <w:shd w:val="clear" w:color="auto" w:fill="365F91"/>
            <w:vAlign w:val="bottom"/>
          </w:tcPr>
          <w:p w14:paraId="6C23157A" w14:textId="77777777" w:rsidR="00005107" w:rsidRPr="00256982" w:rsidRDefault="00005107" w:rsidP="00B7783F">
            <w:pPr>
              <w:pStyle w:val="TableTextBold"/>
              <w:rPr>
                <w:noProof w:val="0"/>
                <w:color w:val="FFFFFF"/>
              </w:rPr>
            </w:pPr>
            <w:r w:rsidRPr="00256982">
              <w:rPr>
                <w:noProof w:val="0"/>
                <w:color w:val="FFFFFF"/>
              </w:rPr>
              <w:t>New Zealand addressed the recommendation as follows</w:t>
            </w:r>
          </w:p>
        </w:tc>
      </w:tr>
      <w:tr w:rsidR="00005107" w:rsidRPr="00256982" w14:paraId="5A4CB53C" w14:textId="77777777" w:rsidTr="00005107">
        <w:tc>
          <w:tcPr>
            <w:tcW w:w="831" w:type="dxa"/>
            <w:shd w:val="clear" w:color="auto" w:fill="FFFFFF"/>
            <w:vAlign w:val="bottom"/>
          </w:tcPr>
          <w:p w14:paraId="128E1330" w14:textId="77777777" w:rsidR="00005107" w:rsidRPr="00256982" w:rsidRDefault="00005107" w:rsidP="00B7783F">
            <w:pPr>
              <w:pStyle w:val="TableTextBold"/>
              <w:rPr>
                <w:b w:val="0"/>
                <w:noProof w:val="0"/>
                <w:color w:val="FFFFFF"/>
              </w:rPr>
            </w:pPr>
            <w:r w:rsidRPr="00256982">
              <w:rPr>
                <w:b w:val="0"/>
                <w:noProof w:val="0"/>
              </w:rPr>
              <w:t>NA</w:t>
            </w:r>
          </w:p>
        </w:tc>
        <w:tc>
          <w:tcPr>
            <w:tcW w:w="3978" w:type="dxa"/>
            <w:shd w:val="clear" w:color="auto" w:fill="FFFFFF"/>
            <w:vAlign w:val="bottom"/>
          </w:tcPr>
          <w:p w14:paraId="6F82E383" w14:textId="77777777" w:rsidR="00005107" w:rsidRPr="00256982" w:rsidRDefault="00005107" w:rsidP="00B7783F">
            <w:pPr>
              <w:pStyle w:val="TableTextBold"/>
              <w:rPr>
                <w:b w:val="0"/>
                <w:noProof w:val="0"/>
                <w:color w:val="FFFFFF"/>
              </w:rPr>
            </w:pPr>
            <w:r w:rsidRPr="00256982">
              <w:rPr>
                <w:b w:val="0"/>
                <w:noProof w:val="0"/>
              </w:rPr>
              <w:t>There were no recommendations to be addressed</w:t>
            </w:r>
          </w:p>
        </w:tc>
        <w:tc>
          <w:tcPr>
            <w:tcW w:w="4020" w:type="dxa"/>
            <w:shd w:val="clear" w:color="auto" w:fill="FFFFFF"/>
            <w:vAlign w:val="bottom"/>
          </w:tcPr>
          <w:p w14:paraId="0B5F18F2" w14:textId="77777777" w:rsidR="00005107" w:rsidRPr="00256982" w:rsidRDefault="00005107" w:rsidP="00B7783F">
            <w:pPr>
              <w:pStyle w:val="TableTextBold"/>
              <w:rPr>
                <w:b w:val="0"/>
                <w:noProof w:val="0"/>
                <w:color w:val="FFFFFF"/>
              </w:rPr>
            </w:pPr>
            <w:r w:rsidRPr="00256982">
              <w:rPr>
                <w:b w:val="0"/>
                <w:noProof w:val="0"/>
              </w:rPr>
              <w:t>NA</w:t>
            </w:r>
          </w:p>
        </w:tc>
      </w:tr>
    </w:tbl>
    <w:p w14:paraId="4BD196EA" w14:textId="77777777" w:rsidR="00005107" w:rsidRPr="00256982" w:rsidRDefault="00005107" w:rsidP="00005107">
      <w:pPr>
        <w:pStyle w:val="Table"/>
        <w:spacing w:before="360"/>
      </w:pPr>
      <w:bookmarkStart w:id="2886" w:name="_Toc481751646"/>
      <w:bookmarkStart w:id="2887" w:name="_Toc511116874"/>
      <w:bookmarkStart w:id="2888" w:name="_Toc5269642"/>
      <w:r w:rsidRPr="00256982">
        <w:t xml:space="preserve">Table 14.3 </w:t>
      </w:r>
      <w:r w:rsidRPr="00256982">
        <w:tab/>
        <w:t>Contact details</w:t>
      </w:r>
      <w:bookmarkEnd w:id="2886"/>
      <w:bookmarkEnd w:id="2887"/>
      <w:bookmarkEnd w:id="2888"/>
    </w:p>
    <w:tbl>
      <w:tblPr>
        <w:tblW w:w="8505" w:type="dxa"/>
        <w:tblInd w:w="108" w:type="dxa"/>
        <w:tblBorders>
          <w:top w:val="single" w:sz="4" w:space="0" w:color="365F91"/>
          <w:bottom w:val="single" w:sz="4" w:space="0" w:color="365F91"/>
        </w:tblBorders>
        <w:tblLook w:val="01E0" w:firstRow="1" w:lastRow="1" w:firstColumn="1" w:lastColumn="1" w:noHBand="0" w:noVBand="0"/>
      </w:tblPr>
      <w:tblGrid>
        <w:gridCol w:w="3785"/>
        <w:gridCol w:w="4720"/>
      </w:tblGrid>
      <w:tr w:rsidR="00005107" w:rsidRPr="00256982" w14:paraId="6E56566A" w14:textId="77777777" w:rsidTr="00B7783F">
        <w:tc>
          <w:tcPr>
            <w:tcW w:w="3799" w:type="dxa"/>
            <w:tcBorders>
              <w:bottom w:val="single" w:sz="4" w:space="0" w:color="365F91"/>
            </w:tcBorders>
            <w:shd w:val="clear" w:color="auto" w:fill="auto"/>
          </w:tcPr>
          <w:p w14:paraId="429759DD" w14:textId="77777777" w:rsidR="00005107" w:rsidRPr="00256982" w:rsidRDefault="00005107" w:rsidP="00B7783F">
            <w:pPr>
              <w:pStyle w:val="TableText"/>
              <w:keepNext/>
              <w:spacing w:before="120"/>
            </w:pPr>
            <w:r w:rsidRPr="00256982">
              <w:t>Organisation designated as the administrator of New Zealand’s national registry</w:t>
            </w:r>
          </w:p>
        </w:tc>
        <w:tc>
          <w:tcPr>
            <w:tcW w:w="4733" w:type="dxa"/>
            <w:tcBorders>
              <w:bottom w:val="single" w:sz="4" w:space="0" w:color="365F91"/>
            </w:tcBorders>
            <w:shd w:val="clear" w:color="auto" w:fill="auto"/>
          </w:tcPr>
          <w:p w14:paraId="435F385F" w14:textId="77777777" w:rsidR="00005107" w:rsidRPr="00256982" w:rsidRDefault="00005107" w:rsidP="00B7783F">
            <w:pPr>
              <w:pStyle w:val="TableText"/>
              <w:keepNext/>
              <w:spacing w:before="120" w:after="0"/>
            </w:pPr>
            <w:r w:rsidRPr="00256982">
              <w:t>Environmental Protection Authority</w:t>
            </w:r>
          </w:p>
          <w:p w14:paraId="37025A1F" w14:textId="77777777" w:rsidR="00005107" w:rsidRPr="00256982" w:rsidRDefault="00005107" w:rsidP="00B7783F">
            <w:pPr>
              <w:pStyle w:val="TableText"/>
              <w:keepNext/>
              <w:spacing w:after="0"/>
            </w:pPr>
            <w:r w:rsidRPr="00256982">
              <w:t>Private Bag 63002, Wellington 6140, New Zealand</w:t>
            </w:r>
          </w:p>
          <w:p w14:paraId="70482748" w14:textId="77777777" w:rsidR="00005107" w:rsidRPr="00256982" w:rsidRDefault="00005107" w:rsidP="00B7783F">
            <w:pPr>
              <w:pStyle w:val="TableText"/>
              <w:keepNext/>
              <w:spacing w:after="0"/>
            </w:pPr>
            <w:r w:rsidRPr="00256982">
              <w:t>Phone: +64 4 462 4289</w:t>
            </w:r>
          </w:p>
          <w:p w14:paraId="1B17F510" w14:textId="77777777" w:rsidR="00005107" w:rsidRPr="00256982" w:rsidRDefault="00005107" w:rsidP="00B7783F">
            <w:pPr>
              <w:pStyle w:val="TableText"/>
              <w:keepNext/>
              <w:spacing w:after="0"/>
            </w:pPr>
            <w:r w:rsidRPr="00256982">
              <w:t>Fax: +64 4 978 3661</w:t>
            </w:r>
          </w:p>
          <w:p w14:paraId="01211CB1" w14:textId="77777777" w:rsidR="00005107" w:rsidRPr="00256982" w:rsidRDefault="00005107" w:rsidP="00B7783F">
            <w:pPr>
              <w:pStyle w:val="TableText"/>
              <w:keepNext/>
            </w:pPr>
            <w:r w:rsidRPr="00256982">
              <w:t xml:space="preserve">Web: </w:t>
            </w:r>
            <w:hyperlink r:id="rId265" w:history="1">
              <w:r w:rsidRPr="00256982">
                <w:t>www.epa.govt.nz</w:t>
              </w:r>
            </w:hyperlink>
          </w:p>
        </w:tc>
      </w:tr>
      <w:tr w:rsidR="00005107" w:rsidRPr="00256982" w14:paraId="5F250105" w14:textId="77777777" w:rsidTr="00B7783F">
        <w:tc>
          <w:tcPr>
            <w:tcW w:w="3799" w:type="dxa"/>
            <w:tcBorders>
              <w:top w:val="single" w:sz="4" w:space="0" w:color="365F91"/>
              <w:bottom w:val="single" w:sz="4" w:space="0" w:color="365F91"/>
            </w:tcBorders>
            <w:shd w:val="clear" w:color="auto" w:fill="auto"/>
          </w:tcPr>
          <w:p w14:paraId="013E0F7B" w14:textId="77777777" w:rsidR="00005107" w:rsidRPr="00256982" w:rsidRDefault="00005107" w:rsidP="00B7783F">
            <w:pPr>
              <w:pStyle w:val="TableText"/>
              <w:keepNext/>
              <w:spacing w:before="120"/>
            </w:pPr>
            <w:r w:rsidRPr="00256982">
              <w:t>Main Contact</w:t>
            </w:r>
          </w:p>
        </w:tc>
        <w:tc>
          <w:tcPr>
            <w:tcW w:w="4733" w:type="dxa"/>
            <w:tcBorders>
              <w:top w:val="single" w:sz="4" w:space="0" w:color="365F91"/>
              <w:bottom w:val="single" w:sz="4" w:space="0" w:color="365F91"/>
            </w:tcBorders>
            <w:shd w:val="clear" w:color="auto" w:fill="auto"/>
          </w:tcPr>
          <w:p w14:paraId="44E4A126" w14:textId="77777777" w:rsidR="00005107" w:rsidRPr="00256982" w:rsidRDefault="00005107" w:rsidP="00B7783F">
            <w:pPr>
              <w:pStyle w:val="TableText"/>
              <w:keepNext/>
              <w:spacing w:before="120" w:after="0"/>
            </w:pPr>
            <w:r w:rsidRPr="00256982">
              <w:t>Guy Windley</w:t>
            </w:r>
          </w:p>
          <w:p w14:paraId="120702E1" w14:textId="77777777" w:rsidR="00005107" w:rsidRPr="00256982" w:rsidRDefault="00005107" w:rsidP="00B7783F">
            <w:pPr>
              <w:pStyle w:val="TableText"/>
              <w:keepNext/>
              <w:spacing w:after="0"/>
            </w:pPr>
            <w:r w:rsidRPr="00256982">
              <w:t xml:space="preserve">Team Leader, Registry Operations, ETS </w:t>
            </w:r>
          </w:p>
          <w:p w14:paraId="32062909" w14:textId="77777777" w:rsidR="00005107" w:rsidRPr="00256982" w:rsidRDefault="00005107" w:rsidP="00B7783F">
            <w:pPr>
              <w:pStyle w:val="TableText"/>
              <w:keepNext/>
              <w:spacing w:after="0"/>
            </w:pPr>
            <w:r w:rsidRPr="00256982">
              <w:t>Environmental Protection Authority</w:t>
            </w:r>
          </w:p>
          <w:p w14:paraId="31611A0F" w14:textId="77777777" w:rsidR="00005107" w:rsidRPr="00256982" w:rsidRDefault="00005107" w:rsidP="00B7783F">
            <w:pPr>
              <w:pStyle w:val="TableText"/>
              <w:keepNext/>
              <w:spacing w:after="0"/>
            </w:pPr>
            <w:r w:rsidRPr="00256982">
              <w:t>Private Bag 63002, Wellington 6140, New Zealand</w:t>
            </w:r>
          </w:p>
          <w:p w14:paraId="7531787A" w14:textId="77777777" w:rsidR="00005107" w:rsidRPr="00256982" w:rsidRDefault="00005107" w:rsidP="00B7783F">
            <w:pPr>
              <w:pStyle w:val="TableText"/>
              <w:keepNext/>
              <w:spacing w:after="0"/>
            </w:pPr>
            <w:r w:rsidRPr="00256982">
              <w:t>Phone: +64 4 474 5514</w:t>
            </w:r>
          </w:p>
          <w:p w14:paraId="05E7E805" w14:textId="77777777" w:rsidR="00005107" w:rsidRPr="00256982" w:rsidRDefault="00005107" w:rsidP="00B7783F">
            <w:pPr>
              <w:pStyle w:val="TableText"/>
              <w:keepNext/>
              <w:spacing w:after="0"/>
            </w:pPr>
            <w:r w:rsidRPr="00256982">
              <w:t>Fax: +64 4 978 3661</w:t>
            </w:r>
          </w:p>
          <w:p w14:paraId="2CBCB97F" w14:textId="77777777" w:rsidR="00005107" w:rsidRPr="00256982" w:rsidRDefault="00005107" w:rsidP="00B7783F">
            <w:pPr>
              <w:pStyle w:val="TableText"/>
              <w:keepNext/>
            </w:pPr>
            <w:r w:rsidRPr="00256982">
              <w:t>Email: guy.windley@epa.govt.nz</w:t>
            </w:r>
          </w:p>
        </w:tc>
      </w:tr>
      <w:tr w:rsidR="00005107" w:rsidRPr="00256982" w14:paraId="03D845A8" w14:textId="77777777" w:rsidTr="00B7783F">
        <w:tc>
          <w:tcPr>
            <w:tcW w:w="3799" w:type="dxa"/>
            <w:tcBorders>
              <w:top w:val="single" w:sz="4" w:space="0" w:color="365F91"/>
              <w:bottom w:val="single" w:sz="4" w:space="0" w:color="365F91"/>
            </w:tcBorders>
            <w:shd w:val="clear" w:color="auto" w:fill="auto"/>
          </w:tcPr>
          <w:p w14:paraId="29A50C63" w14:textId="77777777" w:rsidR="00005107" w:rsidRPr="00256982" w:rsidRDefault="00005107" w:rsidP="00B7783F">
            <w:pPr>
              <w:pStyle w:val="TableText"/>
              <w:spacing w:before="120"/>
            </w:pPr>
            <w:r w:rsidRPr="00256982">
              <w:t>Alternative Contact</w:t>
            </w:r>
          </w:p>
        </w:tc>
        <w:tc>
          <w:tcPr>
            <w:tcW w:w="4733" w:type="dxa"/>
            <w:tcBorders>
              <w:top w:val="single" w:sz="4" w:space="0" w:color="365F91"/>
              <w:bottom w:val="single" w:sz="4" w:space="0" w:color="365F91"/>
            </w:tcBorders>
            <w:shd w:val="clear" w:color="auto" w:fill="auto"/>
          </w:tcPr>
          <w:p w14:paraId="3BD8F733" w14:textId="77777777" w:rsidR="00005107" w:rsidRPr="00256982" w:rsidRDefault="00005107" w:rsidP="00B7783F">
            <w:pPr>
              <w:pStyle w:val="TableText"/>
              <w:spacing w:before="120" w:after="0"/>
            </w:pPr>
            <w:r w:rsidRPr="00256982">
              <w:t xml:space="preserve">Justin Bloomfield </w:t>
            </w:r>
          </w:p>
          <w:p w14:paraId="0D903313" w14:textId="77777777" w:rsidR="00005107" w:rsidRPr="00256982" w:rsidRDefault="00005107" w:rsidP="00B7783F">
            <w:pPr>
              <w:pStyle w:val="TableText"/>
              <w:spacing w:after="0"/>
            </w:pPr>
            <w:r w:rsidRPr="00256982">
              <w:t>Systems Analyst, Information Technology Team</w:t>
            </w:r>
          </w:p>
          <w:p w14:paraId="700427AE" w14:textId="77777777" w:rsidR="00005107" w:rsidRPr="00256982" w:rsidRDefault="00005107" w:rsidP="00B7783F">
            <w:pPr>
              <w:pStyle w:val="TableText"/>
              <w:spacing w:after="0"/>
            </w:pPr>
            <w:r w:rsidRPr="00256982">
              <w:t>Environmental Protection Authority</w:t>
            </w:r>
          </w:p>
          <w:p w14:paraId="6A733EDC" w14:textId="77777777" w:rsidR="00005107" w:rsidRPr="00256982" w:rsidRDefault="00005107" w:rsidP="00B7783F">
            <w:pPr>
              <w:pStyle w:val="TableText"/>
              <w:spacing w:after="0"/>
            </w:pPr>
            <w:r w:rsidRPr="00256982">
              <w:t>Private Bag 63002, Wellington 6140, New Zealand</w:t>
            </w:r>
          </w:p>
          <w:p w14:paraId="623F797A" w14:textId="77777777" w:rsidR="00005107" w:rsidRPr="00256982" w:rsidRDefault="00005107" w:rsidP="00B7783F">
            <w:pPr>
              <w:pStyle w:val="TableText"/>
              <w:spacing w:after="0"/>
            </w:pPr>
            <w:r w:rsidRPr="00256982">
              <w:t>Phone: +64 4 474 5435</w:t>
            </w:r>
          </w:p>
          <w:p w14:paraId="38242B51" w14:textId="77777777" w:rsidR="00005107" w:rsidRPr="00256982" w:rsidRDefault="00005107" w:rsidP="00B7783F">
            <w:pPr>
              <w:pStyle w:val="TableText"/>
              <w:spacing w:after="0"/>
            </w:pPr>
            <w:r w:rsidRPr="00256982">
              <w:t>Fax: +64 4 978 3661</w:t>
            </w:r>
          </w:p>
          <w:p w14:paraId="5E9E8EC7" w14:textId="77777777" w:rsidR="00005107" w:rsidRPr="00256982" w:rsidRDefault="00005107" w:rsidP="00B7783F">
            <w:pPr>
              <w:pStyle w:val="TableText"/>
            </w:pPr>
            <w:r w:rsidRPr="00256982">
              <w:t>Email: justin.bloomfield@epa.govt.nz</w:t>
            </w:r>
          </w:p>
        </w:tc>
      </w:tr>
    </w:tbl>
    <w:p w14:paraId="1AF4FDF3" w14:textId="77777777" w:rsidR="00005107" w:rsidRPr="00256982" w:rsidRDefault="00005107" w:rsidP="00005107">
      <w:pPr>
        <w:pStyle w:val="BodyText"/>
      </w:pPr>
    </w:p>
    <w:p w14:paraId="74D10965" w14:textId="5401842E" w:rsidR="00005107" w:rsidRPr="00256982" w:rsidRDefault="00C4072D" w:rsidP="00C4072D">
      <w:pPr>
        <w:pStyle w:val="Heading1"/>
      </w:pPr>
      <w:r w:rsidRPr="00256982">
        <w:br w:type="page"/>
      </w:r>
      <w:bookmarkStart w:id="2889" w:name="_Toc5269422"/>
      <w:r w:rsidRPr="00256982">
        <w:t>Chapter 15: Information on minimisation of adverse impacts</w:t>
      </w:r>
      <w:bookmarkEnd w:id="2889"/>
    </w:p>
    <w:p w14:paraId="19EA3E30" w14:textId="77777777" w:rsidR="00C4072D" w:rsidRPr="00256982" w:rsidRDefault="00C4072D" w:rsidP="00C4072D">
      <w:pPr>
        <w:pStyle w:val="BodyText"/>
      </w:pPr>
      <w:r w:rsidRPr="00256982">
        <w:t>This chapter provides information on New Zealand’s actions to minimise adverse social, environmental and economic impacts on non-Annex I Parties of the implementation of climate change policies and measures, as required under Article 3.14 of the Kyoto Protocol.</w:t>
      </w:r>
    </w:p>
    <w:p w14:paraId="4A607674" w14:textId="77777777" w:rsidR="00C4072D" w:rsidRPr="00256982" w:rsidRDefault="00C4072D" w:rsidP="00C4072D">
      <w:pPr>
        <w:pStyle w:val="Heading2"/>
        <w:spacing w:before="280"/>
      </w:pPr>
      <w:bookmarkStart w:id="2890" w:name="_Toc448321578"/>
      <w:bookmarkStart w:id="2891" w:name="_Toc481751440"/>
      <w:bookmarkStart w:id="2892" w:name="_Toc5269423"/>
      <w:r w:rsidRPr="00256982">
        <w:t xml:space="preserve">15.1 </w:t>
      </w:r>
      <w:r w:rsidRPr="00256982">
        <w:tab/>
        <w:t>Overview</w:t>
      </w:r>
      <w:bookmarkEnd w:id="2890"/>
      <w:bookmarkEnd w:id="2891"/>
      <w:bookmarkEnd w:id="2892"/>
    </w:p>
    <w:p w14:paraId="71AD10C3" w14:textId="77777777" w:rsidR="00C4072D" w:rsidRPr="00256982" w:rsidRDefault="00C4072D" w:rsidP="00C4072D">
      <w:pPr>
        <w:pStyle w:val="BodyText"/>
      </w:pPr>
      <w:r w:rsidRPr="00256982">
        <w:t>New Zealand is undertaking a number of mitigation actions and policies to reduce emissions to meet its Kyoto and Paris commitments. These include:</w:t>
      </w:r>
    </w:p>
    <w:p w14:paraId="1768F3C4" w14:textId="77777777" w:rsidR="00C4072D" w:rsidRPr="00256982" w:rsidRDefault="00C4072D" w:rsidP="00C4072D">
      <w:pPr>
        <w:pStyle w:val="Bullet"/>
      </w:pPr>
      <w:r w:rsidRPr="00256982">
        <w:t>implementing an emissions trading scheme</w:t>
      </w:r>
    </w:p>
    <w:p w14:paraId="305C6179" w14:textId="77777777" w:rsidR="00C4072D" w:rsidRPr="00256982" w:rsidRDefault="00C4072D" w:rsidP="00C4072D">
      <w:pPr>
        <w:pStyle w:val="Bullet"/>
      </w:pPr>
      <w:r w:rsidRPr="00256982">
        <w:t>implementing energy efficiency initiatives</w:t>
      </w:r>
    </w:p>
    <w:p w14:paraId="63142C6E" w14:textId="77777777" w:rsidR="00C4072D" w:rsidRPr="00256982" w:rsidRDefault="00C4072D" w:rsidP="00C4072D">
      <w:pPr>
        <w:pStyle w:val="Bullet"/>
      </w:pPr>
      <w:r w:rsidRPr="00256982">
        <w:t>investing in public transport</w:t>
      </w:r>
    </w:p>
    <w:p w14:paraId="17F9711F" w14:textId="77777777" w:rsidR="00C4072D" w:rsidRPr="00256982" w:rsidRDefault="00C4072D" w:rsidP="00C4072D">
      <w:pPr>
        <w:pStyle w:val="Bullet"/>
      </w:pPr>
      <w:r w:rsidRPr="00256982">
        <w:t>supporting afforestation</w:t>
      </w:r>
    </w:p>
    <w:p w14:paraId="57758116" w14:textId="77777777" w:rsidR="00C4072D" w:rsidRPr="00256982" w:rsidRDefault="00C4072D" w:rsidP="00C4072D">
      <w:pPr>
        <w:pStyle w:val="Bullet"/>
      </w:pPr>
      <w:r w:rsidRPr="00256982">
        <w:t>undertaking research, technology development and sharing of technical expertise, most notably in the agricultural sector</w:t>
      </w:r>
    </w:p>
    <w:p w14:paraId="51E60621" w14:textId="77777777" w:rsidR="00C4072D" w:rsidRPr="00256982" w:rsidRDefault="00C4072D" w:rsidP="00C4072D">
      <w:pPr>
        <w:pStyle w:val="Bullet"/>
      </w:pPr>
      <w:r w:rsidRPr="00256982">
        <w:t>increasing the proportion of electricity produced from renewable energy sources</w:t>
      </w:r>
    </w:p>
    <w:p w14:paraId="0085F15D" w14:textId="77777777" w:rsidR="00C4072D" w:rsidRPr="00256982" w:rsidRDefault="00C4072D" w:rsidP="00C4072D">
      <w:pPr>
        <w:pStyle w:val="Bullet"/>
      </w:pPr>
      <w:r w:rsidRPr="00256982">
        <w:t>playing a leading role in the Friends of Fossil Fuel Subsidy Reform, a group aimed at encouraging the global phase out of harmful and inefficient subsidies to fossil fuel consumption</w:t>
      </w:r>
    </w:p>
    <w:p w14:paraId="2D893A4E" w14:textId="77777777" w:rsidR="00C4072D" w:rsidRPr="00256982" w:rsidRDefault="00C4072D" w:rsidP="00C4072D">
      <w:pPr>
        <w:pStyle w:val="Bullet"/>
      </w:pPr>
      <w:r w:rsidRPr="00256982">
        <w:t>sharing New Zealand’s long-standing expertise in renewable energy development internationally</w:t>
      </w:r>
    </w:p>
    <w:p w14:paraId="048E7AB0" w14:textId="77777777" w:rsidR="00C4072D" w:rsidRPr="00256982" w:rsidRDefault="00C4072D" w:rsidP="00C4072D">
      <w:pPr>
        <w:pStyle w:val="Bullet"/>
      </w:pPr>
      <w:r w:rsidRPr="00256982">
        <w:t>providing climate-related support delivered by the New Zealand Aid Programme (</w:t>
      </w:r>
      <w:hyperlink r:id="rId266" w:history="1">
        <w:r w:rsidRPr="00256982">
          <w:t>https://mfat.govt.nz/en/aid-and-development</w:t>
        </w:r>
      </w:hyperlink>
      <w:r w:rsidRPr="00256982">
        <w:t>).</w:t>
      </w:r>
    </w:p>
    <w:p w14:paraId="69056154" w14:textId="77777777" w:rsidR="00C4072D" w:rsidRPr="00256982" w:rsidRDefault="00C4072D" w:rsidP="00C4072D">
      <w:pPr>
        <w:pStyle w:val="BodyText"/>
      </w:pPr>
      <w:r w:rsidRPr="00256982">
        <w:t xml:space="preserve">In the development of major policy initiatives related to these mitigation measures, an analysis of impacts of the proposed policy is completed, as appropriate, that considers the benefits and risks of proposed options including those with possible international implications. </w:t>
      </w:r>
    </w:p>
    <w:p w14:paraId="0E73BC3B" w14:textId="77777777" w:rsidR="00C4072D" w:rsidRPr="00256982" w:rsidRDefault="00C4072D" w:rsidP="00C4072D">
      <w:pPr>
        <w:pStyle w:val="BodyText"/>
      </w:pPr>
      <w:r w:rsidRPr="00256982">
        <w:t>In addition, through the New Zealand Government’s regular engagement with other governments, including many non-Annex I Parties, there are opportunities for those concerned about the possible or actual adverse impacts of New Zealand policies to raise concerns and have them resolved within the bilateral relationship. There is also an opportunity for people or organisations to raise concerns and highlight issues about new policies at the public consultation phase. To date, no specific concerns have been raised about any negative impacts of New Zealand’s climate change response policies.</w:t>
      </w:r>
    </w:p>
    <w:p w14:paraId="0908E407" w14:textId="77777777" w:rsidR="00C4072D" w:rsidRPr="00256982" w:rsidRDefault="00C4072D" w:rsidP="00C4072D">
      <w:pPr>
        <w:pStyle w:val="BodyText"/>
      </w:pPr>
      <w:r w:rsidRPr="00256982">
        <w:t xml:space="preserve">New Zealand’s development assistance in each country is required to be aligned to the priorities and needs of the partner country while also reflecting New Zealand’s priorities and policies. Regular development assistance talks provide an opportunity for partner country governments to raise concerns about any impacts and to ask for or prioritise assistance to deal with those impacts. From these discussions, New Zealand works closely with the partner country to agree priorities for the particular country aid programme. </w:t>
      </w:r>
    </w:p>
    <w:p w14:paraId="352083AF" w14:textId="77777777" w:rsidR="00C4072D" w:rsidRPr="00256982" w:rsidRDefault="00C4072D" w:rsidP="00C4072D">
      <w:pPr>
        <w:pStyle w:val="BodyText"/>
      </w:pPr>
      <w:r w:rsidRPr="00256982">
        <w:t xml:space="preserve">All activities funded by the Ministry of Foreign Affairs and Trade under the New Zealand Aid Programme are required to assess and respond to environmental and climate-related impacts and risks (along with gender and human rights). </w:t>
      </w:r>
    </w:p>
    <w:p w14:paraId="3B68B1AF" w14:textId="77777777" w:rsidR="00C4072D" w:rsidRPr="00256982" w:rsidRDefault="00C4072D" w:rsidP="00C4072D">
      <w:pPr>
        <w:pStyle w:val="BodyText"/>
      </w:pPr>
      <w:r w:rsidRPr="00256982">
        <w:t>In September 2015, the international community adopted the Sustainable Development Goals, including Goal 7, which calls for a substantial increase in the share of renewables and will ensure access to affordable, reliable, sustainable and modern energy for all. Along with the Paris Climate Change Conference (COP21), held in Paris, France, and the work undertaken under the umbrella of the Decade of Sustainable Energy for All (SEforALL), renewable energy is of increasing significance to transform lives and economies.</w:t>
      </w:r>
    </w:p>
    <w:p w14:paraId="3A7549A3" w14:textId="29E7916C" w:rsidR="00C4072D" w:rsidRPr="00256982" w:rsidRDefault="00C4072D" w:rsidP="00C4072D">
      <w:pPr>
        <w:pStyle w:val="BodyText"/>
      </w:pPr>
      <w:r w:rsidRPr="00256982">
        <w:t>Small Island Developing States continue to increase their uptake of renewable energy, which is a critical element of their long-term sustainable development efforts. The New Zealand Aid Programme supports a major push to increase the uptake of renewable energy in the Pacific and reduce the region’s reliance on imported diesel. Further afield, the Aid Programme supports a number of programmes to develop geothermal energy resources in Africa, the Caribbean and Indonesia.</w:t>
      </w:r>
    </w:p>
    <w:p w14:paraId="4096BB7F" w14:textId="4EFDF204" w:rsidR="00C4072D" w:rsidRPr="00256982" w:rsidRDefault="00C4072D" w:rsidP="00C4072D">
      <w:pPr>
        <w:pStyle w:val="Heading2"/>
      </w:pPr>
      <w:bookmarkStart w:id="2893" w:name="_Toc448321579"/>
      <w:bookmarkStart w:id="2894" w:name="_Toc481751441"/>
      <w:bookmarkStart w:id="2895" w:name="_Toc5269424"/>
      <w:r w:rsidRPr="00256982">
        <w:t xml:space="preserve">15.2 </w:t>
      </w:r>
      <w:r w:rsidRPr="00256982">
        <w:tab/>
        <w:t>Market imperfections, fiscal incentives, tax and duty exemptions and subsidies</w:t>
      </w:r>
      <w:bookmarkEnd w:id="2893"/>
      <w:bookmarkEnd w:id="2894"/>
      <w:bookmarkEnd w:id="2895"/>
    </w:p>
    <w:p w14:paraId="71A3C356" w14:textId="77777777" w:rsidR="00C4072D" w:rsidRPr="00256982" w:rsidRDefault="00C4072D" w:rsidP="00C4072D">
      <w:pPr>
        <w:pStyle w:val="BodyText"/>
      </w:pPr>
      <w:r w:rsidRPr="00256982">
        <w:t>Annex I Parties are required to report any progressive reduction or phasing out of market imperfections, fiscal incentives, tax and duty exemptions and subsidies in all greenhouse-gas-emitting sectors, taking into account the need for energy price reforms to reflect market prices and externalities.</w:t>
      </w:r>
    </w:p>
    <w:p w14:paraId="3289B008" w14:textId="77777777" w:rsidR="00C4072D" w:rsidRPr="00256982" w:rsidRDefault="00C4072D" w:rsidP="00C4072D">
      <w:pPr>
        <w:pStyle w:val="BodyText"/>
      </w:pPr>
      <w:r w:rsidRPr="00256982">
        <w:t>New Zealand maintains a liberalised and open trading environment, consistent with the principles of free trade and investment, ensuring that both developed and developing countries can maximise opportunities in New Zealand’s market regardless of the response measures undertaken.</w:t>
      </w:r>
    </w:p>
    <w:p w14:paraId="6732EB0F" w14:textId="77777777" w:rsidR="00C4072D" w:rsidRPr="00256982" w:rsidRDefault="00C4072D" w:rsidP="00C4072D">
      <w:pPr>
        <w:pStyle w:val="Heading2"/>
      </w:pPr>
      <w:bookmarkStart w:id="2896" w:name="_Toc481751442"/>
      <w:bookmarkStart w:id="2897" w:name="_Toc5269425"/>
      <w:bookmarkStart w:id="2898" w:name="_Toc448321581"/>
      <w:r w:rsidRPr="00256982">
        <w:t xml:space="preserve">15.3 </w:t>
      </w:r>
      <w:r w:rsidRPr="00256982">
        <w:tab/>
        <w:t>Removal of subsidies</w:t>
      </w:r>
      <w:bookmarkEnd w:id="2896"/>
      <w:bookmarkEnd w:id="2897"/>
    </w:p>
    <w:p w14:paraId="27709B95" w14:textId="77777777" w:rsidR="00C4072D" w:rsidRPr="00256982" w:rsidRDefault="00C4072D" w:rsidP="00C4072D">
      <w:pPr>
        <w:pStyle w:val="BodyText"/>
      </w:pPr>
      <w:r w:rsidRPr="00256982">
        <w:t xml:space="preserve">Annex I Parties are required to report information concerning the removal of subsidies associated with the use of environmentally unsound and unsafe technologies. </w:t>
      </w:r>
    </w:p>
    <w:p w14:paraId="260D63A5" w14:textId="77777777" w:rsidR="00C4072D" w:rsidRPr="00256982" w:rsidRDefault="00C4072D" w:rsidP="00C4072D">
      <w:pPr>
        <w:pStyle w:val="BodyText"/>
      </w:pPr>
      <w:r w:rsidRPr="00256982">
        <w:t>New Zealand does not have any subsidies of this nature.</w:t>
      </w:r>
    </w:p>
    <w:p w14:paraId="6AB4737A" w14:textId="77777777" w:rsidR="00C4072D" w:rsidRPr="00256982" w:rsidRDefault="00C4072D" w:rsidP="00C4072D">
      <w:pPr>
        <w:pStyle w:val="BodyText"/>
        <w:rPr>
          <w:spacing w:val="-2"/>
        </w:rPr>
      </w:pPr>
      <w:r w:rsidRPr="00256982">
        <w:rPr>
          <w:spacing w:val="-2"/>
        </w:rPr>
        <w:t xml:space="preserve">New Zealand is a founding member of the Friends of Fossil Fuel Subsidy Reform. This is an informal group of non-Group of Twenty (G20) countries that aims to build international political consensus on the importance of fossil fuel subsidy reform, including as a major contribution to climate change mitigation. The group’s support for reform is based on the essential notion that it is incoherent to continue to underwrite the costs of emissions from fossil fuels at the same time as making concerted efforts to mitigate those emissions through actions elsewhere. </w:t>
      </w:r>
    </w:p>
    <w:p w14:paraId="27BEF48D" w14:textId="51CA9C76" w:rsidR="00C4072D" w:rsidRPr="00256982" w:rsidRDefault="00C4072D" w:rsidP="00C4072D">
      <w:pPr>
        <w:pStyle w:val="BodyText"/>
      </w:pPr>
      <w:r w:rsidRPr="00256982">
        <w:t>New Zealand has been working with the Friends group to encourage and support the G20 and Asia-Pacific Economic Cooperation (APEC) economies to meet their commitments to reform inefficient fossil fuel subsidies. New Zealand has participated in the peer review panels for Peru and the Philippines, and, in 2016, co-sponsored a project on capacity building for APEC economies, enabling the successful implementation of fossil fuel subsidy reform by developing practical solutions to common challenges. A Guidebook to Reviews of Fossil Fuel Subsidies, published by the International Institute for Sustainable Development Global Subsidies Initiative</w:t>
      </w:r>
      <w:r w:rsidR="00256982" w:rsidRPr="00256982">
        <w:t xml:space="preserve"> </w:t>
      </w:r>
      <w:r w:rsidR="00332D11" w:rsidRPr="00256982">
        <w:t>(Gerasimchuk et al., 2017)</w:t>
      </w:r>
      <w:r w:rsidRPr="00256982">
        <w:t xml:space="preserve">, was shared with the fifty-fourth APEC Energy Working Group hosted in New Zealand in November 2017. Within G20, New Zealand continues to encourage countries to participate in the peer review process, and, in 2017, issued a joint statement of support for Mexico undergoing the peer-review process – having already encouraged Mexico to endorse the international Fossil Fuel Subsidy Reform Communiqué. </w:t>
      </w:r>
    </w:p>
    <w:p w14:paraId="63B887E8" w14:textId="77777777" w:rsidR="00C4072D" w:rsidRPr="00256982" w:rsidRDefault="00C4072D" w:rsidP="00C4072D">
      <w:pPr>
        <w:pStyle w:val="BodyText"/>
      </w:pPr>
      <w:r w:rsidRPr="00256982">
        <w:t>At the twenty-second session of the Conference of the Parties (COP22) of the United Nations Framework Convention on Climate Change in November 2016, New Zealand hosted a side event to promote fossil fuel subsidy reform as an important climate change mitigation policy, and, with the Friends group, organised a ministerial-level event at COP23 that highlighted the opportunities that reforming subsidies and taxing fossil fuels offer for attaining the Sustainable Development Goals and implementing the Paris Agreement.</w:t>
      </w:r>
    </w:p>
    <w:p w14:paraId="3942C272" w14:textId="77777777" w:rsidR="00C4072D" w:rsidRPr="00256982" w:rsidRDefault="00C4072D" w:rsidP="00C4072D">
      <w:pPr>
        <w:pStyle w:val="BodyText"/>
      </w:pPr>
      <w:r w:rsidRPr="00256982">
        <w:t>In December 2017, New Zealand delivered a Ministerial Statement to the World Trade Organisation (WTO) encouraging it to address the global harm being caused by inefficient fossil fuel subsidies. Endorsed by 11 other WTO members, the statement confirms the environmental, development and trade benefits of fossil fuel subsidy reform, and includes a political commitment to look at avenues to bring the issue into the WTO.</w:t>
      </w:r>
    </w:p>
    <w:p w14:paraId="512A7038" w14:textId="77777777" w:rsidR="00C4072D" w:rsidRPr="00256982" w:rsidRDefault="00C4072D" w:rsidP="00C4072D">
      <w:pPr>
        <w:pStyle w:val="BodyText"/>
      </w:pPr>
      <w:r w:rsidRPr="00256982">
        <w:t>In addition to previous events in 2015 and 2016, New Zealand jointly hosted side events on fossil fuel subsidy reform with the Friends and World Bank in the margins of the World Bank–International Monetary Fund Spring Meetings in April 2017. To support the case for reform, New Zealand – with Armenia, Philippines and Mexico – shared its insights into successful reform, including building political will and pricing fossil fuel externalities.</w:t>
      </w:r>
    </w:p>
    <w:p w14:paraId="64200842" w14:textId="51D9FF79" w:rsidR="00C4072D" w:rsidRPr="00256982" w:rsidRDefault="00C4072D" w:rsidP="00C4072D">
      <w:pPr>
        <w:pStyle w:val="Heading2"/>
      </w:pPr>
      <w:bookmarkStart w:id="2899" w:name="_Toc481751443"/>
      <w:bookmarkStart w:id="2900" w:name="_Toc5269426"/>
      <w:r w:rsidRPr="00256982">
        <w:t xml:space="preserve">15.4 </w:t>
      </w:r>
      <w:r w:rsidRPr="00256982">
        <w:tab/>
        <w:t>Technological development of non-energy uses of</w:t>
      </w:r>
      <w:r w:rsidR="00332D11" w:rsidRPr="00256982">
        <w:t> </w:t>
      </w:r>
      <w:r w:rsidRPr="00256982">
        <w:t>fossil fuels</w:t>
      </w:r>
      <w:bookmarkEnd w:id="2898"/>
      <w:bookmarkEnd w:id="2899"/>
      <w:bookmarkEnd w:id="2900"/>
    </w:p>
    <w:p w14:paraId="3BE9A5BE" w14:textId="77777777" w:rsidR="00C4072D" w:rsidRPr="00256982" w:rsidRDefault="00C4072D" w:rsidP="00C4072D">
      <w:pPr>
        <w:pStyle w:val="BodyText"/>
      </w:pPr>
      <w:r w:rsidRPr="00256982">
        <w:t xml:space="preserve">Annex I Parties are required to report on cooperation in the technological development of non-energy use of fossil fuels and support provided to non-Annex I Parties. </w:t>
      </w:r>
    </w:p>
    <w:p w14:paraId="0D8834BB" w14:textId="77777777" w:rsidR="00C4072D" w:rsidRPr="00256982" w:rsidRDefault="00C4072D" w:rsidP="00C4072D">
      <w:pPr>
        <w:pStyle w:val="BodyText"/>
      </w:pPr>
      <w:r w:rsidRPr="00256982">
        <w:t>The New Zealand Government has not participated actively in activities of this nature, as yet.</w:t>
      </w:r>
    </w:p>
    <w:p w14:paraId="3D5BA115" w14:textId="77777777" w:rsidR="00C4072D" w:rsidRPr="00256982" w:rsidRDefault="00C4072D" w:rsidP="00C4072D">
      <w:pPr>
        <w:pStyle w:val="Heading2"/>
      </w:pPr>
      <w:bookmarkStart w:id="2901" w:name="_Toc448321582"/>
      <w:bookmarkStart w:id="2902" w:name="_Toc481751444"/>
      <w:bookmarkStart w:id="2903" w:name="_Toc5269427"/>
      <w:r w:rsidRPr="00256982">
        <w:t xml:space="preserve">15.5 </w:t>
      </w:r>
      <w:r w:rsidRPr="00256982">
        <w:tab/>
        <w:t>Carbon capture and storage technology development</w:t>
      </w:r>
      <w:bookmarkEnd w:id="2901"/>
      <w:bookmarkEnd w:id="2902"/>
      <w:bookmarkEnd w:id="2903"/>
    </w:p>
    <w:p w14:paraId="7F3F707A" w14:textId="77777777" w:rsidR="00C4072D" w:rsidRPr="00256982" w:rsidRDefault="00C4072D" w:rsidP="00C4072D">
      <w:pPr>
        <w:pStyle w:val="BodyText"/>
      </w:pPr>
      <w:r w:rsidRPr="00256982">
        <w:t>Annex I Parties are required to report on cooperation in the development, diffusion and transfer of less-greenhouse-gas-emitting advanced fossil fuel technologies, and/or technologies relating to fossil fuels that capture and store greenhouse gases, and encouragement of their wider use; and on facilitating the participation of non-Annex I Parties.</w:t>
      </w:r>
    </w:p>
    <w:p w14:paraId="3FCAEDF5" w14:textId="77777777" w:rsidR="00C4072D" w:rsidRPr="00256982" w:rsidRDefault="00C4072D" w:rsidP="00332D11">
      <w:pPr>
        <w:pStyle w:val="BodyText"/>
      </w:pPr>
      <w:r w:rsidRPr="00256982">
        <w:t>New Zealand is a member of the United States-led Carbon Sequestration Leadership Forum (</w:t>
      </w:r>
      <w:hyperlink r:id="rId267" w:history="1">
        <w:r w:rsidRPr="00256982">
          <w:rPr>
            <w:rStyle w:val="Hyperlink"/>
            <w:color w:val="auto"/>
          </w:rPr>
          <w:t>www.cslforum.org</w:t>
        </w:r>
      </w:hyperlink>
      <w:r w:rsidRPr="00256982">
        <w:t>) and the International Energy Agency Greenhouse Gas Research and Development Programme (</w:t>
      </w:r>
      <w:hyperlink r:id="rId268" w:history="1">
        <w:r w:rsidRPr="00256982">
          <w:rPr>
            <w:rStyle w:val="Hyperlink"/>
            <w:color w:val="auto"/>
          </w:rPr>
          <w:t>www.ieaghg.org</w:t>
        </w:r>
      </w:hyperlink>
      <w:r w:rsidRPr="00256982">
        <w:t>).</w:t>
      </w:r>
    </w:p>
    <w:p w14:paraId="6717B0BC" w14:textId="77777777" w:rsidR="00C4072D" w:rsidRPr="00256982" w:rsidRDefault="00C4072D" w:rsidP="00C4072D">
      <w:pPr>
        <w:pStyle w:val="Heading2"/>
      </w:pPr>
      <w:bookmarkStart w:id="2904" w:name="_Toc448321583"/>
      <w:bookmarkStart w:id="2905" w:name="_Toc481751445"/>
      <w:bookmarkStart w:id="2906" w:name="_Toc5269428"/>
      <w:r w:rsidRPr="00256982">
        <w:t xml:space="preserve">15.6 </w:t>
      </w:r>
      <w:r w:rsidRPr="00256982">
        <w:tab/>
        <w:t>Improvements in fossil fuel efficiencies</w:t>
      </w:r>
      <w:bookmarkEnd w:id="2904"/>
      <w:bookmarkEnd w:id="2905"/>
      <w:bookmarkEnd w:id="2906"/>
    </w:p>
    <w:p w14:paraId="12E4093F" w14:textId="77777777" w:rsidR="00C4072D" w:rsidRPr="00256982" w:rsidRDefault="00C4072D" w:rsidP="00C4072D">
      <w:pPr>
        <w:pStyle w:val="BodyText"/>
      </w:pPr>
      <w:r w:rsidRPr="00256982">
        <w:t>Annex I Parties are required to report on how they have strengthened the capacity of non-Annex I Parties identified in Article 4.8 and Article 4.9 of the United Nations Framework Convention on Climate Change, by improving the efficiency in upstream and downstream activities related to fossil fuels and by taking into consideration the need to improve the environmental efficiency of these activities.</w:t>
      </w:r>
    </w:p>
    <w:p w14:paraId="51436D68" w14:textId="77777777" w:rsidR="00C4072D" w:rsidRPr="00256982" w:rsidRDefault="00C4072D" w:rsidP="00C4072D">
      <w:pPr>
        <w:pStyle w:val="BodyText"/>
      </w:pPr>
      <w:r w:rsidRPr="00256982">
        <w:t>The New Zealand Aid Programme maintains a focus on energy efficiency and the transition away from fossil fuel dependency to clean, efficient, affordable and reliable energy generation. Introducing clean and affordable energy technologies is a high priority for the Pacific region. On average, 10 per cent of the region’s gross domestic product is expended on imported fossil fuel, and 80 per cent of electricity generation depends on the combustion of diesel.</w:t>
      </w:r>
    </w:p>
    <w:p w14:paraId="22C91F7A" w14:textId="77777777" w:rsidR="00C4072D" w:rsidRPr="00256982" w:rsidRDefault="00C4072D" w:rsidP="00C4072D">
      <w:pPr>
        <w:pStyle w:val="BodyText"/>
      </w:pPr>
      <w:r w:rsidRPr="00256982">
        <w:t>Following the New Zealand Government and the European Union Pacific Energy Conference in 2016, New Zealand has committed a further $100 million over 2017–21 to renewable energy investments in the Pacific, in addition to the $200 million investment in renewable energy across eight countries since 2013 (Cook Islands, Kiribati, Papua New Guinea, Samoa, Solomon Islands, Tonga, Tuvalu, Vanuatu). Projects to implement renewable energy resources, particularly solar energy for remote island communities, have been completed in Cook Islands, Samoa, Solomon Islands and Tuvalu. In Samoa, three solar photovoltaic systems have been installed, including what was the largest solar array in the southern Pacific (2.2MWp), at the Faleata Racecourse in Apia. This will meet approximately 4.5 per cent of Samoa’s total electricity needs, reducing demand for imported diesel by more than a million litres per year, with annual savings of about WST$3.4 million (NZ$1.7 million).</w:t>
      </w:r>
    </w:p>
    <w:p w14:paraId="18C945FE" w14:textId="77777777" w:rsidR="00C4072D" w:rsidRPr="00256982" w:rsidRDefault="00C4072D" w:rsidP="00C4072D">
      <w:pPr>
        <w:pStyle w:val="BodyText"/>
      </w:pPr>
      <w:r w:rsidRPr="00256982">
        <w:t>New Zealand is also a member of the International Renewable Energy Agency (IRENA), an intergovernmental organisation that aims to promote the widespread use of all forms of renewable energy. New Zealand is involved with several of IRENA’s work programmes in the Pacific and further afield and uses its strong credentials in the IRENA assemblies to support Pacific and Small Island Developing States issues. New Zealand is also a member of other multilateral institutions that play a role in the energy sector, for example, the International Energy Agency and APEC.</w:t>
      </w:r>
    </w:p>
    <w:p w14:paraId="7C8EDD5D" w14:textId="5C129598" w:rsidR="00C4072D" w:rsidRPr="00256982" w:rsidRDefault="00C4072D" w:rsidP="00C4072D">
      <w:pPr>
        <w:pStyle w:val="Heading2"/>
      </w:pPr>
      <w:bookmarkStart w:id="2907" w:name="_Toc448321584"/>
      <w:bookmarkStart w:id="2908" w:name="_Toc481751446"/>
      <w:bookmarkStart w:id="2909" w:name="_Toc5269429"/>
      <w:r w:rsidRPr="00256982">
        <w:t xml:space="preserve">15.7 </w:t>
      </w:r>
      <w:r w:rsidRPr="00256982">
        <w:tab/>
        <w:t>Assistance to non-Annex I Parties dependent on</w:t>
      </w:r>
      <w:r w:rsidR="00332D11" w:rsidRPr="00256982">
        <w:t> </w:t>
      </w:r>
      <w:r w:rsidRPr="00256982">
        <w:t>the export and consumption of fossil fuels for</w:t>
      </w:r>
      <w:r w:rsidR="00332D11" w:rsidRPr="00256982">
        <w:t> </w:t>
      </w:r>
      <w:r w:rsidRPr="00256982">
        <w:t>diversifying their economies</w:t>
      </w:r>
      <w:bookmarkEnd w:id="2907"/>
      <w:bookmarkEnd w:id="2908"/>
      <w:bookmarkEnd w:id="2909"/>
    </w:p>
    <w:p w14:paraId="0FCF2C8D" w14:textId="77777777" w:rsidR="00C4072D" w:rsidRPr="00256982" w:rsidRDefault="00C4072D" w:rsidP="00C4072D">
      <w:pPr>
        <w:pStyle w:val="BodyText"/>
      </w:pPr>
      <w:r w:rsidRPr="00256982">
        <w:t>Annex I Parties are required to report on assistance provided to non-Annex I Parties that are highly dependent on the export and consumption of fossil fuels in diversifying their economies.</w:t>
      </w:r>
    </w:p>
    <w:p w14:paraId="19ECE921" w14:textId="77777777" w:rsidR="00C4072D" w:rsidRPr="00256982" w:rsidRDefault="00C4072D" w:rsidP="00C4072D">
      <w:pPr>
        <w:pStyle w:val="BodyText"/>
      </w:pPr>
      <w:r w:rsidRPr="00256982">
        <w:t xml:space="preserve">The New Zealand Aid Programme provides support to a number of non-Annex I Parties for purposes of economic diversification (refer to section 15.6). </w:t>
      </w:r>
    </w:p>
    <w:p w14:paraId="30B84A8A" w14:textId="77777777" w:rsidR="00C4072D" w:rsidRPr="00256982" w:rsidRDefault="00C4072D" w:rsidP="00C4072D">
      <w:pPr>
        <w:pStyle w:val="BodyText"/>
        <w:rPr>
          <w:spacing w:val="-2"/>
        </w:rPr>
      </w:pPr>
      <w:r w:rsidRPr="00256982">
        <w:rPr>
          <w:spacing w:val="-2"/>
        </w:rPr>
        <w:t xml:space="preserve">For example, New Zealand has a long-standing partnership with the government of Indonesia to accelerate the development of Indonesia’s geothermal energy sector. In 2016, New Zealand supported Indonesia to develop a geothermal energy human resource development strategy. New Zealand is also providing technical assistance and capacity building support through training and scholarships in geothermal project management, production skills and geothermal well control, in partnership with the University of Auckland’s Geothermal Institute, GNS Science, the Gadjah Mada University and Indonesian Ministry of Energy and Mineral Resources. </w:t>
      </w:r>
    </w:p>
    <w:p w14:paraId="291068C6" w14:textId="77777777" w:rsidR="00C4072D" w:rsidRPr="00256982" w:rsidRDefault="00C4072D" w:rsidP="00C4072D">
      <w:pPr>
        <w:pStyle w:val="BodyText"/>
      </w:pPr>
      <w:r w:rsidRPr="00256982">
        <w:t xml:space="preserve">New Zealand is committed to providing long-term assistance to non-Annex I Parties in achieving economic diversification that is independent of fossil fuels. </w:t>
      </w:r>
    </w:p>
    <w:p w14:paraId="75904932" w14:textId="77777777" w:rsidR="00C4072D" w:rsidRPr="00256982" w:rsidRDefault="00C4072D" w:rsidP="00C4072D"/>
    <w:p w14:paraId="5938CD00" w14:textId="61B65BD5" w:rsidR="00C4072D" w:rsidRPr="00256982" w:rsidRDefault="00332D11" w:rsidP="00332D11">
      <w:pPr>
        <w:pStyle w:val="Heading2"/>
        <w:spacing w:before="0" w:after="360"/>
      </w:pPr>
      <w:r w:rsidRPr="00256982">
        <w:br w:type="page"/>
      </w:r>
      <w:bookmarkStart w:id="2910" w:name="_Toc5269430"/>
      <w:r w:rsidRPr="00256982">
        <w:t>Chapter 15: Reference</w:t>
      </w:r>
      <w:bookmarkEnd w:id="2910"/>
    </w:p>
    <w:p w14:paraId="180C98A9" w14:textId="34B2AF07" w:rsidR="00332D11" w:rsidRPr="00256982" w:rsidRDefault="00332D11" w:rsidP="00332D11">
      <w:pPr>
        <w:pStyle w:val="References"/>
      </w:pPr>
      <w:r w:rsidRPr="00256982">
        <w:t xml:space="preserve">Gerasimchuk I, Wooders P, Merrill L, Sanchez L, Kitson L. 2017. </w:t>
      </w:r>
      <w:r w:rsidRPr="00256982">
        <w:rPr>
          <w:i/>
        </w:rPr>
        <w:t>A Guidebook to Reviews of Fossil Fuel Subsidies: From self-reports to peer learning</w:t>
      </w:r>
      <w:r w:rsidRPr="00256982">
        <w:t>. Manitoba, Canada: International Institute for Sustainable Development.</w:t>
      </w:r>
    </w:p>
    <w:p w14:paraId="2BEDE8E6" w14:textId="77777777" w:rsidR="00332D11" w:rsidRPr="00256982" w:rsidRDefault="00332D11" w:rsidP="00C4072D"/>
    <w:sectPr w:rsidR="00332D11" w:rsidRPr="00256982" w:rsidSect="0026128C">
      <w:headerReference w:type="even" r:id="rId269"/>
      <w:footerReference w:type="even" r:id="rId270"/>
      <w:footerReference w:type="default" r:id="rId271"/>
      <w:pgSz w:w="11907" w:h="16840" w:code="9"/>
      <w:pgMar w:top="1418" w:right="1701" w:bottom="1418" w:left="1701" w:header="567" w:footer="567"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0E7F776" w14:textId="77777777" w:rsidR="00944F4F" w:rsidRDefault="00944F4F">
      <w:r>
        <w:separator/>
      </w:r>
    </w:p>
  </w:endnote>
  <w:endnote w:type="continuationSeparator" w:id="0">
    <w:p w14:paraId="2FA034D8" w14:textId="77777777" w:rsidR="00944F4F" w:rsidRDefault="00944F4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JBHHJB+Arial,Bold">
    <w:altName w:val="Arial"/>
    <w:panose1 w:val="00000000000000000000"/>
    <w:charset w:val="00"/>
    <w:family w:val="swiss"/>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MS Mincho">
    <w:altName w:val="Yu Gothic UI"/>
    <w:panose1 w:val="02020609040205080304"/>
    <w:charset w:val="80"/>
    <w:family w:val="roman"/>
    <w:notTrueType/>
    <w:pitch w:val="fixed"/>
    <w:sig w:usb0="00000000" w:usb1="08070000" w:usb2="00000010" w:usb3="00000000" w:csb0="00020000" w:csb1="00000000"/>
  </w:font>
  <w:font w:name="Consolas">
    <w:panose1 w:val="020B0609020204030204"/>
    <w:charset w:val="00"/>
    <w:family w:val="modern"/>
    <w:pitch w:val="fixed"/>
    <w:sig w:usb0="E00006FF" w:usb1="0000FCFF" w:usb2="00000001" w:usb3="00000000" w:csb0="0000019F" w:csb1="00000000"/>
  </w:font>
  <w:font w:name="Calibri Light">
    <w:panose1 w:val="020F0302020204030204"/>
    <w:charset w:val="00"/>
    <w:family w:val="swiss"/>
    <w:pitch w:val="variable"/>
    <w:sig w:usb0="E0002A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Cambria">
    <w:panose1 w:val="02040503050406030204"/>
    <w:charset w:val="00"/>
    <w:family w:val="roman"/>
    <w:pitch w:val="variable"/>
    <w:sig w:usb0="E00006FF" w:usb1="420024FF" w:usb2="02000000" w:usb3="00000000" w:csb0="0000019F" w:csb1="00000000"/>
  </w:font>
  <w:font w:name="Arial Bold">
    <w:panose1 w:val="00000000000000000000"/>
    <w:charset w:val="00"/>
    <w:family w:val="roman"/>
    <w:notTrueType/>
    <w:pitch w:val="default"/>
  </w:font>
  <w:font w:name="+mn-ea">
    <w:panose1 w:val="00000000000000000000"/>
    <w:charset w:val="00"/>
    <w:family w:val="roman"/>
    <w:notTrueType/>
    <w:pitch w:val="default"/>
  </w:font>
  <w:font w:name="Helvetica">
    <w:panose1 w:val="020B0604020202020204"/>
    <w:charset w:val="00"/>
    <w:family w:val="swiss"/>
    <w:pitch w:val="variable"/>
    <w:sig w:usb0="E0002EFF" w:usb1="C000785B" w:usb2="00000009" w:usb3="00000000" w:csb0="000001FF" w:csb1="00000000"/>
  </w:font>
  <w:font w:name="Frutiger LT Pro 57 Condensed">
    <w:altName w:val="Frutiger LT Pro 57 Condensed"/>
    <w:panose1 w:val="00000000000000000000"/>
    <w:charset w:val="00"/>
    <w:family w:val="swiss"/>
    <w:notTrueType/>
    <w:pitch w:val="default"/>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 w:name="TimesNewRomanPSMT">
    <w:altName w:val="Times New Roman"/>
    <w:panose1 w:val="00000000000000000000"/>
    <w:charset w:val="00"/>
    <w:family w:val="roman"/>
    <w:notTrueType/>
    <w:pitch w:val="default"/>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Eras Light ITC">
    <w:panose1 w:val="020B0402030504020804"/>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E51FB87" w14:textId="1D5FD4DE" w:rsidR="00D0418C" w:rsidRDefault="00D0418C" w:rsidP="00B44BA5">
    <w:pPr>
      <w:pStyle w:val="Footer"/>
      <w:ind w:left="-567"/>
    </w:pPr>
  </w:p>
</w:ftr>
</file>

<file path=word/footer1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49F0508" w14:textId="01DDE486" w:rsidR="00D0418C" w:rsidRPr="00027E55" w:rsidRDefault="00D0418C" w:rsidP="00D361BB">
    <w:pPr>
      <w:pStyle w:val="OddFooter"/>
      <w:rPr>
        <w:b/>
      </w:rPr>
    </w:pPr>
    <w:r>
      <w:tab/>
    </w:r>
    <w:r w:rsidRPr="00BF1C36">
      <w:t>New Zealand’s Greenhouse Gas Inventory 1990–20</w:t>
    </w:r>
    <w:r>
      <w:t>17</w:t>
    </w:r>
    <w:r w:rsidRPr="00027E55">
      <w:tab/>
    </w:r>
    <w:r w:rsidRPr="00762043">
      <w:rPr>
        <w:rStyle w:val="PageNumber"/>
        <w:sz w:val="22"/>
      </w:rPr>
      <w:fldChar w:fldCharType="begin"/>
    </w:r>
    <w:r w:rsidRPr="00762043">
      <w:rPr>
        <w:rStyle w:val="PageNumber"/>
        <w:sz w:val="22"/>
      </w:rPr>
      <w:instrText xml:space="preserve"> PAGE </w:instrText>
    </w:r>
    <w:r w:rsidRPr="00762043">
      <w:rPr>
        <w:rStyle w:val="PageNumber"/>
        <w:sz w:val="22"/>
      </w:rPr>
      <w:fldChar w:fldCharType="separate"/>
    </w:r>
    <w:r w:rsidR="00590491">
      <w:rPr>
        <w:rStyle w:val="PageNumber"/>
        <w:noProof/>
        <w:sz w:val="22"/>
      </w:rPr>
      <w:t>351</w:t>
    </w:r>
    <w:r w:rsidRPr="00762043">
      <w:rPr>
        <w:rStyle w:val="PageNumber"/>
        <w:sz w:val="22"/>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8029F6C" w14:textId="77777777" w:rsidR="00D0418C" w:rsidRDefault="00D0418C">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E3447C6" w14:textId="1601BF90" w:rsidR="00D0418C" w:rsidRPr="00027E55" w:rsidRDefault="00D0418C">
    <w:pPr>
      <w:pStyle w:val="FooterEven"/>
      <w:rPr>
        <w:b/>
        <w:sz w:val="14"/>
      </w:rPr>
    </w:pPr>
    <w:r w:rsidRPr="00027E55">
      <w:rPr>
        <w:rStyle w:val="PageNumber"/>
        <w:b w:val="0"/>
        <w:sz w:val="22"/>
      </w:rPr>
      <w:fldChar w:fldCharType="begin"/>
    </w:r>
    <w:r w:rsidRPr="00027E55">
      <w:rPr>
        <w:rStyle w:val="PageNumber"/>
        <w:b w:val="0"/>
        <w:sz w:val="22"/>
      </w:rPr>
      <w:instrText xml:space="preserve"> PAGE </w:instrText>
    </w:r>
    <w:r w:rsidRPr="00027E55">
      <w:rPr>
        <w:rStyle w:val="PageNumber"/>
        <w:b w:val="0"/>
        <w:sz w:val="22"/>
      </w:rPr>
      <w:fldChar w:fldCharType="separate"/>
    </w:r>
    <w:r w:rsidR="00590491">
      <w:rPr>
        <w:rStyle w:val="PageNumber"/>
        <w:b w:val="0"/>
        <w:noProof/>
        <w:sz w:val="22"/>
      </w:rPr>
      <w:t>xx</w:t>
    </w:r>
    <w:r w:rsidRPr="00027E55">
      <w:rPr>
        <w:rStyle w:val="PageNumber"/>
        <w:b w:val="0"/>
        <w:sz w:val="22"/>
      </w:rPr>
      <w:fldChar w:fldCharType="end"/>
    </w:r>
    <w:r>
      <w:rPr>
        <w:rStyle w:val="PageNumber"/>
        <w:b w:val="0"/>
        <w:sz w:val="22"/>
      </w:rPr>
      <w:tab/>
    </w:r>
    <w:r w:rsidRPr="00BF1C36">
      <w:t>New Ze</w:t>
    </w:r>
    <w:smartTag w:uri="urn:schemas-microsoft-com:office:smarttags" w:element="PersonName">
      <w:r w:rsidRPr="00BF1C36">
        <w:t>alan</w:t>
      </w:r>
    </w:smartTag>
    <w:r w:rsidRPr="00BF1C36">
      <w:t>d’s G</w:t>
    </w:r>
    <w:r>
      <w:t>reenhouse Gas Inventory 1990–2017</w:t>
    </w: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DDD94C3" w14:textId="0D82B66E" w:rsidR="00D0418C" w:rsidRPr="00027E55" w:rsidRDefault="00D0418C" w:rsidP="00273218">
    <w:pPr>
      <w:pStyle w:val="FooterOdd"/>
      <w:rPr>
        <w:rStyle w:val="PageNumber"/>
        <w:b w:val="0"/>
      </w:rPr>
    </w:pPr>
    <w:r>
      <w:tab/>
    </w:r>
    <w:r w:rsidRPr="00BF1C36">
      <w:t>New Ze</w:t>
    </w:r>
    <w:smartTag w:uri="urn:schemas-microsoft-com:office:smarttags" w:element="PersonName">
      <w:r w:rsidRPr="00BF1C36">
        <w:t>alan</w:t>
      </w:r>
    </w:smartTag>
    <w:r w:rsidRPr="00BF1C36">
      <w:t>d’s G</w:t>
    </w:r>
    <w:r>
      <w:t>reenhouse Gas Inventory 1990–2017</w:t>
    </w:r>
    <w:r>
      <w:tab/>
    </w:r>
    <w:r w:rsidRPr="00027E55">
      <w:rPr>
        <w:rStyle w:val="PageNumber"/>
        <w:b w:val="0"/>
        <w:sz w:val="22"/>
      </w:rPr>
      <w:fldChar w:fldCharType="begin"/>
    </w:r>
    <w:r w:rsidRPr="00027E55">
      <w:rPr>
        <w:rStyle w:val="PageNumber"/>
        <w:b w:val="0"/>
        <w:sz w:val="22"/>
      </w:rPr>
      <w:instrText xml:space="preserve"> PAGE </w:instrText>
    </w:r>
    <w:r w:rsidRPr="00027E55">
      <w:rPr>
        <w:rStyle w:val="PageNumber"/>
        <w:b w:val="0"/>
        <w:sz w:val="22"/>
      </w:rPr>
      <w:fldChar w:fldCharType="separate"/>
    </w:r>
    <w:r w:rsidR="00590491">
      <w:rPr>
        <w:rStyle w:val="PageNumber"/>
        <w:b w:val="0"/>
        <w:noProof/>
        <w:sz w:val="22"/>
      </w:rPr>
      <w:t>iii</w:t>
    </w:r>
    <w:r w:rsidRPr="00027E55">
      <w:rPr>
        <w:rStyle w:val="PageNumber"/>
        <w:b w:val="0"/>
        <w:sz w:val="22"/>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0EB85FA" w14:textId="72A017B2" w:rsidR="00D0418C" w:rsidRPr="00346220" w:rsidRDefault="00D0418C" w:rsidP="009574E7">
    <w:pPr>
      <w:pStyle w:val="Footereven0"/>
    </w:pPr>
    <w:r w:rsidRPr="00762043">
      <w:rPr>
        <w:rStyle w:val="PageNumber"/>
        <w:sz w:val="22"/>
      </w:rPr>
      <w:fldChar w:fldCharType="begin"/>
    </w:r>
    <w:r w:rsidRPr="00762043">
      <w:rPr>
        <w:rStyle w:val="PageNumber"/>
        <w:sz w:val="22"/>
      </w:rPr>
      <w:instrText xml:space="preserve"> PAGE </w:instrText>
    </w:r>
    <w:r w:rsidRPr="00762043">
      <w:rPr>
        <w:rStyle w:val="PageNumber"/>
        <w:sz w:val="22"/>
      </w:rPr>
      <w:fldChar w:fldCharType="separate"/>
    </w:r>
    <w:r w:rsidR="00590491">
      <w:rPr>
        <w:rStyle w:val="PageNumber"/>
        <w:noProof/>
        <w:sz w:val="22"/>
      </w:rPr>
      <w:t>240</w:t>
    </w:r>
    <w:r w:rsidRPr="00762043">
      <w:rPr>
        <w:rStyle w:val="PageNumber"/>
        <w:sz w:val="22"/>
      </w:rPr>
      <w:fldChar w:fldCharType="end"/>
    </w:r>
    <w:r>
      <w:rPr>
        <w:rStyle w:val="PageNumber"/>
        <w:sz w:val="22"/>
      </w:rPr>
      <w:tab/>
    </w:r>
    <w:r w:rsidRPr="00BF1C36">
      <w:t>New Zealand’s G</w:t>
    </w:r>
    <w:r>
      <w:t>reenhouse Gas Inventory 1990–2017</w:t>
    </w: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7E59387" w14:textId="1A0145BF" w:rsidR="00D0418C" w:rsidRPr="002A5441" w:rsidRDefault="00D0418C" w:rsidP="009574E7">
    <w:pPr>
      <w:pStyle w:val="Footerodd0"/>
    </w:pPr>
    <w:r>
      <w:tab/>
    </w:r>
    <w:r w:rsidRPr="00BF1C36">
      <w:t>New Zealand’s Greenhouse Gas Inventory 1990–20</w:t>
    </w:r>
    <w:r>
      <w:t>17</w:t>
    </w:r>
    <w:r w:rsidRPr="00027E55">
      <w:tab/>
    </w:r>
    <w:r w:rsidRPr="00762043">
      <w:rPr>
        <w:rStyle w:val="PageNumber"/>
        <w:sz w:val="22"/>
      </w:rPr>
      <w:fldChar w:fldCharType="begin"/>
    </w:r>
    <w:r w:rsidRPr="00762043">
      <w:rPr>
        <w:rStyle w:val="PageNumber"/>
        <w:sz w:val="22"/>
      </w:rPr>
      <w:instrText xml:space="preserve"> PAGE </w:instrText>
    </w:r>
    <w:r w:rsidRPr="00762043">
      <w:rPr>
        <w:rStyle w:val="PageNumber"/>
        <w:sz w:val="22"/>
      </w:rPr>
      <w:fldChar w:fldCharType="separate"/>
    </w:r>
    <w:r w:rsidR="00590491">
      <w:rPr>
        <w:rStyle w:val="PageNumber"/>
        <w:noProof/>
        <w:sz w:val="22"/>
      </w:rPr>
      <w:t>239</w:t>
    </w:r>
    <w:r w:rsidRPr="00762043">
      <w:rPr>
        <w:rStyle w:val="PageNumber"/>
        <w:sz w:val="22"/>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A042087" w14:textId="60467E7D" w:rsidR="00D0418C" w:rsidRPr="00346220" w:rsidRDefault="00D0418C" w:rsidP="009574E7">
    <w:pPr>
      <w:pStyle w:val="Footereven0"/>
    </w:pPr>
    <w:r w:rsidRPr="00762043">
      <w:rPr>
        <w:rStyle w:val="PageNumber"/>
        <w:sz w:val="22"/>
      </w:rPr>
      <w:fldChar w:fldCharType="begin"/>
    </w:r>
    <w:r w:rsidRPr="00762043">
      <w:rPr>
        <w:rStyle w:val="PageNumber"/>
        <w:sz w:val="22"/>
      </w:rPr>
      <w:instrText xml:space="preserve"> PAGE </w:instrText>
    </w:r>
    <w:r w:rsidRPr="00762043">
      <w:rPr>
        <w:rStyle w:val="PageNumber"/>
        <w:sz w:val="22"/>
      </w:rPr>
      <w:fldChar w:fldCharType="separate"/>
    </w:r>
    <w:r w:rsidR="00590491">
      <w:rPr>
        <w:rStyle w:val="PageNumber"/>
        <w:noProof/>
        <w:sz w:val="22"/>
      </w:rPr>
      <w:t>252</w:t>
    </w:r>
    <w:r w:rsidRPr="00762043">
      <w:rPr>
        <w:rStyle w:val="PageNumber"/>
        <w:sz w:val="22"/>
      </w:rPr>
      <w:fldChar w:fldCharType="end"/>
    </w:r>
    <w:r>
      <w:rPr>
        <w:rStyle w:val="PageNumber"/>
        <w:sz w:val="22"/>
      </w:rPr>
      <w:tab/>
    </w:r>
    <w:r w:rsidRPr="00BF1C36">
      <w:t>New Zealand’s G</w:t>
    </w:r>
    <w:r>
      <w:t>reenhouse Gas Inventory 1990–2017</w:t>
    </w:r>
  </w:p>
</w:ftr>
</file>

<file path=word/footer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82D7217" w14:textId="51144E17" w:rsidR="00D0418C" w:rsidRPr="00027E55" w:rsidRDefault="00D0418C" w:rsidP="009574E7">
    <w:pPr>
      <w:pStyle w:val="Footerodd0"/>
      <w:tabs>
        <w:tab w:val="clear" w:pos="7655"/>
        <w:tab w:val="clear" w:pos="8505"/>
        <w:tab w:val="right" w:pos="13325"/>
        <w:tab w:val="right" w:pos="14004"/>
      </w:tabs>
      <w:rPr>
        <w:b/>
      </w:rPr>
    </w:pPr>
    <w:r>
      <w:tab/>
    </w:r>
    <w:r w:rsidRPr="00BF1C36">
      <w:t>New Zealand’s Greenhouse Gas Inventory 1990–20</w:t>
    </w:r>
    <w:r>
      <w:t>17</w:t>
    </w:r>
    <w:r w:rsidRPr="00027E55">
      <w:tab/>
    </w:r>
    <w:r w:rsidRPr="00762043">
      <w:rPr>
        <w:rStyle w:val="PageNumber"/>
        <w:sz w:val="22"/>
      </w:rPr>
      <w:fldChar w:fldCharType="begin"/>
    </w:r>
    <w:r w:rsidRPr="00762043">
      <w:rPr>
        <w:rStyle w:val="PageNumber"/>
        <w:sz w:val="22"/>
      </w:rPr>
      <w:instrText xml:space="preserve"> PAGE </w:instrText>
    </w:r>
    <w:r w:rsidRPr="00762043">
      <w:rPr>
        <w:rStyle w:val="PageNumber"/>
        <w:sz w:val="22"/>
      </w:rPr>
      <w:fldChar w:fldCharType="separate"/>
    </w:r>
    <w:r w:rsidR="00590491">
      <w:rPr>
        <w:rStyle w:val="PageNumber"/>
        <w:noProof/>
        <w:sz w:val="22"/>
      </w:rPr>
      <w:t>253</w:t>
    </w:r>
    <w:r w:rsidRPr="00762043">
      <w:rPr>
        <w:rStyle w:val="PageNumber"/>
        <w:sz w:val="22"/>
      </w:rP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E26DB57" w14:textId="35ED1697" w:rsidR="00D0418C" w:rsidRPr="00346220" w:rsidRDefault="00D0418C" w:rsidP="009574E7">
    <w:pPr>
      <w:pStyle w:val="Footereven0"/>
    </w:pPr>
    <w:r w:rsidRPr="00762043">
      <w:rPr>
        <w:rStyle w:val="PageNumber"/>
        <w:sz w:val="22"/>
      </w:rPr>
      <w:fldChar w:fldCharType="begin"/>
    </w:r>
    <w:r w:rsidRPr="00762043">
      <w:rPr>
        <w:rStyle w:val="PageNumber"/>
        <w:sz w:val="22"/>
      </w:rPr>
      <w:instrText xml:space="preserve"> PAGE </w:instrText>
    </w:r>
    <w:r w:rsidRPr="00762043">
      <w:rPr>
        <w:rStyle w:val="PageNumber"/>
        <w:sz w:val="22"/>
      </w:rPr>
      <w:fldChar w:fldCharType="separate"/>
    </w:r>
    <w:r w:rsidR="00590491">
      <w:rPr>
        <w:rStyle w:val="PageNumber"/>
        <w:noProof/>
        <w:sz w:val="22"/>
      </w:rPr>
      <w:t>352</w:t>
    </w:r>
    <w:r w:rsidRPr="00762043">
      <w:rPr>
        <w:rStyle w:val="PageNumber"/>
        <w:sz w:val="22"/>
      </w:rPr>
      <w:fldChar w:fldCharType="end"/>
    </w:r>
    <w:r>
      <w:rPr>
        <w:rStyle w:val="PageNumber"/>
        <w:sz w:val="22"/>
      </w:rPr>
      <w:tab/>
    </w:r>
    <w:r w:rsidRPr="00BF1C36">
      <w:t>New Zealand’s G</w:t>
    </w:r>
    <w:r>
      <w:t>reenhouse Gas Inventory 1990–2017</w: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E1BABF2" w14:textId="77777777" w:rsidR="00944F4F" w:rsidRDefault="00944F4F">
      <w:r>
        <w:separator/>
      </w:r>
    </w:p>
  </w:footnote>
  <w:footnote w:type="continuationSeparator" w:id="0">
    <w:p w14:paraId="2E4732C4" w14:textId="77777777" w:rsidR="00944F4F" w:rsidRDefault="00944F4F">
      <w:r>
        <w:continuationSeparator/>
      </w:r>
    </w:p>
  </w:footnote>
  <w:footnote w:id="1">
    <w:p w14:paraId="3308E6E8" w14:textId="77777777" w:rsidR="00D0418C" w:rsidRPr="005A386A" w:rsidRDefault="00D0418C" w:rsidP="00A808C7">
      <w:pPr>
        <w:pStyle w:val="FootnoteText"/>
        <w:rPr>
          <w:lang w:val="en-NZ"/>
        </w:rPr>
      </w:pPr>
      <w:r w:rsidRPr="005A386A">
        <w:rPr>
          <w:rStyle w:val="FootnoteReference"/>
          <w:lang w:val="en-NZ"/>
        </w:rPr>
        <w:footnoteRef/>
      </w:r>
      <w:r w:rsidRPr="005A386A">
        <w:rPr>
          <w:lang w:val="en-NZ"/>
        </w:rPr>
        <w:t xml:space="preserve"> </w:t>
      </w:r>
      <w:r w:rsidRPr="005A386A">
        <w:rPr>
          <w:lang w:val="en-NZ"/>
        </w:rPr>
        <w:tab/>
        <w:t>Nitrogen trifluoride emissions do not occur in New Zealand and, therefore, are not included in this report.</w:t>
      </w:r>
    </w:p>
  </w:footnote>
  <w:footnote w:id="2">
    <w:p w14:paraId="778F0FA5" w14:textId="77777777" w:rsidR="00D0418C" w:rsidRPr="005A386A" w:rsidRDefault="00D0418C" w:rsidP="00A808C7">
      <w:pPr>
        <w:pStyle w:val="FootnoteText"/>
        <w:rPr>
          <w:lang w:val="en-NZ"/>
        </w:rPr>
      </w:pPr>
      <w:r w:rsidRPr="005A386A">
        <w:rPr>
          <w:rStyle w:val="FootnoteReference"/>
          <w:lang w:val="en-NZ"/>
        </w:rPr>
        <w:footnoteRef/>
      </w:r>
      <w:r w:rsidRPr="005A386A">
        <w:rPr>
          <w:lang w:val="en-NZ"/>
        </w:rPr>
        <w:t xml:space="preserve"> </w:t>
      </w:r>
      <w:r w:rsidRPr="005A386A">
        <w:rPr>
          <w:lang w:val="en-NZ"/>
        </w:rPr>
        <w:tab/>
        <w:t>Indirect gases include carbon monoxide (CO), sulphur dioxide (SO</w:t>
      </w:r>
      <w:r w:rsidRPr="005A386A">
        <w:rPr>
          <w:vertAlign w:val="subscript"/>
          <w:lang w:val="en-NZ"/>
        </w:rPr>
        <w:t>2</w:t>
      </w:r>
      <w:r w:rsidRPr="005A386A">
        <w:rPr>
          <w:lang w:val="en-NZ"/>
        </w:rPr>
        <w:t>), oxides of nitrogen (NO</w:t>
      </w:r>
      <w:r w:rsidRPr="005A386A">
        <w:rPr>
          <w:vertAlign w:val="subscript"/>
          <w:lang w:val="en-NZ"/>
        </w:rPr>
        <w:t>X</w:t>
      </w:r>
      <w:r w:rsidRPr="005A386A">
        <w:rPr>
          <w:lang w:val="en-NZ"/>
        </w:rPr>
        <w:t>) and non</w:t>
      </w:r>
      <w:r w:rsidRPr="005A386A">
        <w:rPr>
          <w:lang w:val="en-NZ"/>
        </w:rPr>
        <w:noBreakHyphen/>
        <w:t>methane volatile organic compounds (NMVOCs).</w:t>
      </w:r>
    </w:p>
  </w:footnote>
  <w:footnote w:id="3">
    <w:p w14:paraId="46582414" w14:textId="77777777" w:rsidR="00D0418C" w:rsidRPr="005A386A" w:rsidRDefault="00D0418C" w:rsidP="00A808C7">
      <w:pPr>
        <w:pStyle w:val="FootnoteText"/>
        <w:rPr>
          <w:lang w:val="en-NZ"/>
        </w:rPr>
      </w:pPr>
      <w:r w:rsidRPr="005A386A">
        <w:rPr>
          <w:rStyle w:val="FootnoteReference"/>
          <w:lang w:val="en-NZ"/>
        </w:rPr>
        <w:footnoteRef/>
      </w:r>
      <w:r w:rsidRPr="005A386A">
        <w:rPr>
          <w:lang w:val="en-NZ"/>
        </w:rPr>
        <w:t xml:space="preserve"> </w:t>
      </w:r>
      <w:r w:rsidRPr="005A386A">
        <w:rPr>
          <w:lang w:val="en-NZ"/>
        </w:rPr>
        <w:tab/>
        <w:t>Methane emissions produced from the digestive process in ruminant livestock.</w:t>
      </w:r>
    </w:p>
  </w:footnote>
  <w:footnote w:id="4">
    <w:p w14:paraId="3E6CE5E9" w14:textId="77777777" w:rsidR="00D0418C" w:rsidRPr="005A386A" w:rsidRDefault="00D0418C" w:rsidP="00A808C7">
      <w:pPr>
        <w:pStyle w:val="FootnoteText"/>
        <w:rPr>
          <w:lang w:val="en-NZ"/>
        </w:rPr>
      </w:pPr>
      <w:r w:rsidRPr="005A386A">
        <w:rPr>
          <w:rStyle w:val="FootnoteReference"/>
          <w:lang w:val="en-NZ"/>
        </w:rPr>
        <w:footnoteRef/>
      </w:r>
      <w:r w:rsidRPr="005A386A">
        <w:rPr>
          <w:lang w:val="en-NZ"/>
        </w:rPr>
        <w:t xml:space="preserve"> </w:t>
      </w:r>
      <w:r w:rsidRPr="005A386A">
        <w:rPr>
          <w:lang w:val="en-NZ"/>
        </w:rPr>
        <w:tab/>
        <w:t>‘ODS’ stands for ozone depleting substances.</w:t>
      </w:r>
    </w:p>
  </w:footnote>
  <w:footnote w:id="5">
    <w:p w14:paraId="72BD02E5" w14:textId="77777777" w:rsidR="00D0418C" w:rsidRPr="005A386A" w:rsidRDefault="00D0418C" w:rsidP="00A808C7">
      <w:pPr>
        <w:pStyle w:val="FootnoteText"/>
        <w:spacing w:before="20" w:after="0"/>
        <w:rPr>
          <w:lang w:val="en-NZ"/>
        </w:rPr>
      </w:pPr>
      <w:r w:rsidRPr="005A386A">
        <w:rPr>
          <w:rStyle w:val="FootnoteReference"/>
          <w:lang w:val="en-NZ"/>
        </w:rPr>
        <w:footnoteRef/>
      </w:r>
      <w:r w:rsidRPr="005A386A">
        <w:rPr>
          <w:lang w:val="en-NZ"/>
        </w:rPr>
        <w:t xml:space="preserve"> </w:t>
      </w:r>
      <w:r w:rsidRPr="005A386A">
        <w:rPr>
          <w:lang w:val="en-NZ"/>
        </w:rPr>
        <w:tab/>
        <w:t>For more details, r</w:t>
      </w:r>
      <w:r w:rsidRPr="005A386A">
        <w:rPr>
          <w:lang w:val="en-NZ" w:eastAsia="en-NZ"/>
        </w:rPr>
        <w:t xml:space="preserve">efer to </w:t>
      </w:r>
      <w:r w:rsidRPr="005A386A">
        <w:rPr>
          <w:i/>
          <w:lang w:val="en-NZ" w:eastAsia="en-NZ"/>
        </w:rPr>
        <w:t>New Zealand’s Initial Report to Facilitate the Calculation of its Emissions Budget for the Period 2013 to 2020</w:t>
      </w:r>
      <w:r w:rsidRPr="005A386A">
        <w:rPr>
          <w:lang w:val="en-NZ" w:eastAsia="en-NZ"/>
        </w:rPr>
        <w:t xml:space="preserve"> (www.mfe.govt.nz/sites/default/files/media/Climate%20Change/New%20 Zealand%27s%20Initial%20Report%20July%202016.pdf).</w:t>
      </w:r>
    </w:p>
  </w:footnote>
  <w:footnote w:id="6">
    <w:p w14:paraId="5824F091" w14:textId="77777777" w:rsidR="00D0418C" w:rsidRPr="005A386A" w:rsidRDefault="00D0418C">
      <w:pPr>
        <w:pStyle w:val="FootnoteText"/>
        <w:rPr>
          <w:lang w:val="en-NZ"/>
        </w:rPr>
      </w:pPr>
      <w:r w:rsidRPr="005A386A">
        <w:rPr>
          <w:rStyle w:val="FootnoteReference"/>
          <w:lang w:val="en-NZ"/>
        </w:rPr>
        <w:footnoteRef/>
      </w:r>
      <w:r w:rsidRPr="005A386A">
        <w:rPr>
          <w:lang w:val="en-NZ"/>
        </w:rPr>
        <w:t xml:space="preserve"> </w:t>
      </w:r>
      <w:r w:rsidRPr="005A386A">
        <w:rPr>
          <w:lang w:val="en-NZ"/>
        </w:rPr>
        <w:tab/>
        <w:t>Reporting rules under the Convention.</w:t>
      </w:r>
    </w:p>
  </w:footnote>
  <w:footnote w:id="7">
    <w:p w14:paraId="1C2DE1BD" w14:textId="77777777" w:rsidR="00D0418C" w:rsidRPr="005A386A" w:rsidRDefault="00D0418C" w:rsidP="00A808C7">
      <w:pPr>
        <w:pStyle w:val="FootnoteText"/>
        <w:rPr>
          <w:lang w:val="en-NZ"/>
        </w:rPr>
      </w:pPr>
      <w:r w:rsidRPr="005A386A">
        <w:rPr>
          <w:vertAlign w:val="superscript"/>
          <w:lang w:val="en-NZ"/>
        </w:rPr>
        <w:footnoteRef/>
      </w:r>
      <w:r w:rsidRPr="005A386A">
        <w:rPr>
          <w:lang w:val="en-NZ"/>
        </w:rPr>
        <w:t xml:space="preserve"> </w:t>
      </w:r>
      <w:r w:rsidRPr="005A386A">
        <w:rPr>
          <w:lang w:val="en-NZ"/>
        </w:rPr>
        <w:tab/>
        <w:t xml:space="preserve">Hon David Parker and Hon James Shaw. 13 December 2018. Media release – </w:t>
      </w:r>
      <w:r w:rsidRPr="005A386A">
        <w:rPr>
          <w:i/>
          <w:lang w:val="en-NZ"/>
        </w:rPr>
        <w:t>New Zealand to phase down use of HFCs from 2020</w:t>
      </w:r>
      <w:r w:rsidRPr="005A386A">
        <w:rPr>
          <w:lang w:val="en-NZ"/>
        </w:rPr>
        <w:t>. Retrieved from www.beehive.govt.nz/release/new-zealand-phase-down-use-hfcs-2020 (11 March 2019).</w:t>
      </w:r>
    </w:p>
  </w:footnote>
  <w:footnote w:id="8">
    <w:p w14:paraId="2739DB31" w14:textId="77777777" w:rsidR="00D0418C" w:rsidRPr="005A386A" w:rsidRDefault="00D0418C" w:rsidP="00A808C7">
      <w:pPr>
        <w:pStyle w:val="FootnoteText"/>
        <w:rPr>
          <w:lang w:val="en-NZ"/>
        </w:rPr>
      </w:pPr>
      <w:r w:rsidRPr="005A386A">
        <w:rPr>
          <w:rStyle w:val="FootnoteReference"/>
          <w:lang w:val="en-NZ"/>
        </w:rPr>
        <w:footnoteRef/>
      </w:r>
      <w:r w:rsidRPr="005A386A">
        <w:rPr>
          <w:lang w:val="en-NZ"/>
        </w:rPr>
        <w:t xml:space="preserve"> </w:t>
      </w:r>
      <w:r w:rsidRPr="005A386A">
        <w:rPr>
          <w:lang w:val="en-NZ"/>
        </w:rPr>
        <w:tab/>
        <w:t xml:space="preserve">The New Zealand Emissions Trading Scheme included the </w:t>
      </w:r>
      <w:r w:rsidRPr="005A386A">
        <w:rPr>
          <w:i/>
          <w:lang w:val="en-NZ"/>
        </w:rPr>
        <w:t>Forestry</w:t>
      </w:r>
      <w:r w:rsidRPr="005A386A">
        <w:rPr>
          <w:lang w:val="en-NZ"/>
        </w:rPr>
        <w:t xml:space="preserve"> sector as of 1 January 2008.</w:t>
      </w:r>
    </w:p>
  </w:footnote>
  <w:footnote w:id="9">
    <w:p w14:paraId="719A9DDF" w14:textId="77777777" w:rsidR="00D0418C" w:rsidRPr="005A386A" w:rsidRDefault="00D0418C" w:rsidP="00A808C7">
      <w:pPr>
        <w:pStyle w:val="FootnoteText"/>
        <w:rPr>
          <w:lang w:val="en-NZ"/>
        </w:rPr>
      </w:pPr>
      <w:r w:rsidRPr="005A386A">
        <w:rPr>
          <w:rStyle w:val="FootnoteReference"/>
          <w:lang w:val="en-NZ"/>
        </w:rPr>
        <w:footnoteRef/>
      </w:r>
      <w:r w:rsidRPr="005A386A">
        <w:rPr>
          <w:lang w:val="en-NZ"/>
        </w:rPr>
        <w:t xml:space="preserve"> </w:t>
      </w:r>
      <w:r w:rsidRPr="005A386A">
        <w:rPr>
          <w:lang w:val="en-NZ"/>
        </w:rPr>
        <w:tab/>
        <w:t xml:space="preserve">This reflects the guidelines for international reporting because emissions associated with forest harvest are reported in the </w:t>
      </w:r>
      <w:r w:rsidRPr="005A386A">
        <w:rPr>
          <w:i/>
          <w:lang w:val="en-NZ"/>
        </w:rPr>
        <w:t>Forest land</w:t>
      </w:r>
      <w:r w:rsidRPr="005A386A">
        <w:rPr>
          <w:lang w:val="en-NZ"/>
        </w:rPr>
        <w:t xml:space="preserve"> category, unless a land-use change occurs after harvest. In this case, the emissions are reported within the new land use category (e.g., emissions will be reported under the </w:t>
      </w:r>
      <w:r w:rsidRPr="005A386A">
        <w:rPr>
          <w:i/>
          <w:lang w:val="en-NZ"/>
        </w:rPr>
        <w:t>Grassland</w:t>
      </w:r>
      <w:r w:rsidRPr="005A386A">
        <w:rPr>
          <w:lang w:val="en-NZ"/>
        </w:rPr>
        <w:t xml:space="preserve"> category).</w:t>
      </w:r>
    </w:p>
  </w:footnote>
  <w:footnote w:id="10">
    <w:p w14:paraId="53A76142" w14:textId="77777777" w:rsidR="00D0418C" w:rsidRPr="005A386A" w:rsidRDefault="00D0418C" w:rsidP="00A808C7">
      <w:pPr>
        <w:pStyle w:val="FootnoteText"/>
        <w:rPr>
          <w:lang w:val="en-NZ"/>
        </w:rPr>
      </w:pPr>
      <w:r w:rsidRPr="005A386A">
        <w:rPr>
          <w:rStyle w:val="FootnoteReference"/>
          <w:lang w:val="en-NZ"/>
        </w:rPr>
        <w:footnoteRef/>
      </w:r>
      <w:r w:rsidRPr="005A386A">
        <w:rPr>
          <w:lang w:val="en-NZ"/>
        </w:rPr>
        <w:t xml:space="preserve"> </w:t>
      </w:r>
      <w:r w:rsidRPr="005A386A">
        <w:rPr>
          <w:lang w:val="en-NZ"/>
        </w:rPr>
        <w:tab/>
        <w:t>Annex II to the Convention (a subset of Annex I) lists the Organisation for Economic Co-operation and Development (OECD) member countries at the time the Convention was agreed.</w:t>
      </w:r>
    </w:p>
  </w:footnote>
  <w:footnote w:id="11">
    <w:p w14:paraId="574AF485" w14:textId="77777777" w:rsidR="00D0418C" w:rsidRPr="005A386A" w:rsidRDefault="00D0418C" w:rsidP="00A808C7">
      <w:pPr>
        <w:pStyle w:val="FootnoteText"/>
        <w:rPr>
          <w:lang w:val="en-NZ"/>
        </w:rPr>
      </w:pPr>
      <w:r w:rsidRPr="005A386A">
        <w:rPr>
          <w:rStyle w:val="FootnoteReference"/>
          <w:lang w:val="en-NZ"/>
        </w:rPr>
        <w:footnoteRef/>
      </w:r>
      <w:r w:rsidRPr="005A386A">
        <w:rPr>
          <w:lang w:val="en-NZ"/>
        </w:rPr>
        <w:t xml:space="preserve"> </w:t>
      </w:r>
      <w:r w:rsidRPr="005A386A">
        <w:rPr>
          <w:lang w:val="en-NZ"/>
        </w:rPr>
        <w:tab/>
        <w:t>Annex I to the Convention lists the countries included in Annex II, as defined above, together with countries defined at the time as undergoing the process of transition to a market economy, commonly known as ‘economies in transition’.</w:t>
      </w:r>
    </w:p>
  </w:footnote>
  <w:footnote w:id="12">
    <w:p w14:paraId="71938075" w14:textId="77777777" w:rsidR="00D0418C" w:rsidRPr="005A386A" w:rsidRDefault="00D0418C" w:rsidP="00A808C7">
      <w:pPr>
        <w:pStyle w:val="FootnoteText"/>
        <w:rPr>
          <w:lang w:val="en-NZ"/>
        </w:rPr>
      </w:pPr>
      <w:r w:rsidRPr="005A386A">
        <w:rPr>
          <w:rStyle w:val="FootnoteReference"/>
          <w:lang w:val="en-NZ"/>
        </w:rPr>
        <w:footnoteRef/>
      </w:r>
      <w:r w:rsidRPr="005A386A">
        <w:rPr>
          <w:lang w:val="en-NZ"/>
        </w:rPr>
        <w:t xml:space="preserve"> </w:t>
      </w:r>
      <w:r w:rsidRPr="005A386A">
        <w:rPr>
          <w:lang w:val="en-NZ"/>
        </w:rPr>
        <w:tab/>
        <w:t>New Zealand’s target under the Kyoto Protocol was a responsibility target. A responsibility target means that New Zealand can meet its target through a mixture of domestic emission reductions, the storage of carbon in forests and the purchase of emission reductions in other countries through the emissions trading mechanisms established under the Kyoto Protocol. The target was based on total gross emissions from the following sectors: Energy, Industrial Processes, Solvent and Other Product Use (from 2015, Industrial Processes and Solvent and Other Product Use are reported jointly under the Industrial Processes and Product Use sector), Agriculture and Waste.</w:t>
      </w:r>
    </w:p>
  </w:footnote>
  <w:footnote w:id="13">
    <w:p w14:paraId="42B40928" w14:textId="77777777" w:rsidR="00D0418C" w:rsidRPr="005A386A" w:rsidRDefault="00D0418C" w:rsidP="00A808C7">
      <w:pPr>
        <w:pStyle w:val="FootnoteText"/>
        <w:rPr>
          <w:lang w:val="en-NZ"/>
        </w:rPr>
      </w:pPr>
      <w:r w:rsidRPr="005A386A">
        <w:rPr>
          <w:rStyle w:val="FootnoteReference"/>
          <w:lang w:val="en-NZ"/>
        </w:rPr>
        <w:footnoteRef/>
      </w:r>
      <w:r w:rsidRPr="005A386A">
        <w:rPr>
          <w:lang w:val="en-NZ"/>
        </w:rPr>
        <w:t xml:space="preserve"> </w:t>
      </w:r>
      <w:r w:rsidRPr="005A386A">
        <w:rPr>
          <w:lang w:val="en-NZ"/>
        </w:rPr>
        <w:tab/>
        <w:t>Nitrogen trifluoride emissions do not occur in New Zealand and, therefore, are not included in this report.</w:t>
      </w:r>
    </w:p>
  </w:footnote>
  <w:footnote w:id="14">
    <w:p w14:paraId="0FD018BA" w14:textId="77777777" w:rsidR="00D0418C" w:rsidRPr="005A386A" w:rsidRDefault="00D0418C" w:rsidP="00A808C7">
      <w:pPr>
        <w:pStyle w:val="FootnoteText"/>
        <w:rPr>
          <w:lang w:val="en-NZ"/>
        </w:rPr>
      </w:pPr>
      <w:r w:rsidRPr="005A386A">
        <w:rPr>
          <w:rStyle w:val="FootnoteReference"/>
          <w:lang w:val="en-NZ"/>
        </w:rPr>
        <w:footnoteRef/>
      </w:r>
      <w:r w:rsidRPr="005A386A">
        <w:rPr>
          <w:lang w:val="en-NZ"/>
        </w:rPr>
        <w:t xml:space="preserve"> </w:t>
      </w:r>
      <w:r w:rsidRPr="005A386A">
        <w:rPr>
          <w:lang w:val="en-NZ"/>
        </w:rPr>
        <w:tab/>
        <w:t>Indirect greenhouse gases are the gases that have indirect radiative effects in the atmosphere. This may happen either through conversion of an indirect gas to a direct greenhouse gas in the atmosphere (like CO is converted to CO</w:t>
      </w:r>
      <w:r w:rsidRPr="005A386A">
        <w:rPr>
          <w:vertAlign w:val="subscript"/>
          <w:lang w:val="en-NZ"/>
        </w:rPr>
        <w:t>2</w:t>
      </w:r>
      <w:r w:rsidRPr="005A386A">
        <w:rPr>
          <w:lang w:val="en-NZ"/>
        </w:rPr>
        <w:t xml:space="preserve">) or when chemical reactions in the atmosphere involving these gases change the concentrations of direct greenhouse gases. </w:t>
      </w:r>
    </w:p>
  </w:footnote>
  <w:footnote w:id="15">
    <w:p w14:paraId="3D515F34" w14:textId="77777777" w:rsidR="00D0418C" w:rsidRPr="005A386A" w:rsidRDefault="00D0418C">
      <w:pPr>
        <w:pStyle w:val="FootnoteText"/>
        <w:rPr>
          <w:lang w:val="en-NZ"/>
        </w:rPr>
      </w:pPr>
      <w:r w:rsidRPr="005A386A">
        <w:rPr>
          <w:rStyle w:val="FootnoteReference"/>
          <w:lang w:val="en-NZ"/>
        </w:rPr>
        <w:footnoteRef/>
      </w:r>
      <w:r w:rsidRPr="005A386A">
        <w:rPr>
          <w:lang w:val="en-NZ"/>
        </w:rPr>
        <w:t xml:space="preserve"> </w:t>
      </w:r>
      <w:r w:rsidRPr="005A386A">
        <w:rPr>
          <w:lang w:val="en-NZ"/>
        </w:rPr>
        <w:tab/>
      </w:r>
      <w:r w:rsidRPr="005A386A">
        <w:rPr>
          <w:shd w:val="clear" w:color="auto" w:fill="FFFFFF"/>
          <w:lang w:val="en-NZ"/>
        </w:rPr>
        <w:t>In the United Nations Charter (UN, 1945), a non-self-governing territory is defined as a territory “whose people have not yet attained a full measure of self-government”. Tokelau has been on the United Nations list of non-self-governing territories since 1946, following the declaration of the intention by New Zealand to transmit information on the Tokelau Islands under Article 73e of the United Nations Charter.</w:t>
      </w:r>
    </w:p>
  </w:footnote>
  <w:footnote w:id="16">
    <w:p w14:paraId="75BE1A3D" w14:textId="77777777" w:rsidR="00D0418C" w:rsidRPr="005A386A" w:rsidRDefault="00D0418C" w:rsidP="00A808C7">
      <w:pPr>
        <w:pStyle w:val="FootnoteText"/>
        <w:rPr>
          <w:lang w:val="en-NZ"/>
        </w:rPr>
      </w:pPr>
      <w:r w:rsidRPr="005A386A">
        <w:rPr>
          <w:rStyle w:val="FootnoteReference"/>
          <w:lang w:val="en-NZ"/>
        </w:rPr>
        <w:footnoteRef/>
      </w:r>
      <w:r w:rsidRPr="005A386A">
        <w:rPr>
          <w:lang w:val="en-NZ"/>
        </w:rPr>
        <w:t xml:space="preserve"> </w:t>
      </w:r>
      <w:r w:rsidRPr="005A386A">
        <w:rPr>
          <w:lang w:val="en-NZ"/>
        </w:rPr>
        <w:tab/>
        <w:t>‘ODS’ stands for ozone depleting substances.</w:t>
      </w:r>
    </w:p>
  </w:footnote>
  <w:footnote w:id="17">
    <w:p w14:paraId="190199E3" w14:textId="77777777" w:rsidR="00D0418C" w:rsidRPr="005A386A" w:rsidRDefault="00D0418C" w:rsidP="00A808C7">
      <w:pPr>
        <w:pStyle w:val="FootnoteText"/>
        <w:rPr>
          <w:sz w:val="20"/>
          <w:lang w:val="en-NZ"/>
        </w:rPr>
      </w:pPr>
      <w:r w:rsidRPr="005A386A">
        <w:rPr>
          <w:rStyle w:val="FootnoteReference"/>
          <w:lang w:val="en-NZ"/>
        </w:rPr>
        <w:footnoteRef/>
      </w:r>
      <w:r w:rsidRPr="005A386A">
        <w:rPr>
          <w:lang w:val="en-NZ"/>
        </w:rPr>
        <w:t xml:space="preserve"> </w:t>
      </w:r>
      <w:r w:rsidRPr="005A386A">
        <w:rPr>
          <w:lang w:val="en-NZ"/>
        </w:rPr>
        <w:tab/>
        <w:t>According to the 2006 IPCC Guidelines (IPCC, 2006b), L1 indicates a level assessment for a Tier 1 key category, and T1 indicates a trend assessment for a Tier 1 key category.</w:t>
      </w:r>
    </w:p>
  </w:footnote>
  <w:footnote w:id="18">
    <w:p w14:paraId="6D795987" w14:textId="77777777" w:rsidR="00D0418C" w:rsidRPr="005A386A" w:rsidRDefault="00D0418C" w:rsidP="00A808C7">
      <w:pPr>
        <w:pStyle w:val="FootnoteText"/>
        <w:rPr>
          <w:lang w:val="en-NZ"/>
        </w:rPr>
      </w:pPr>
      <w:r w:rsidRPr="005A386A">
        <w:rPr>
          <w:rStyle w:val="FootnoteReference"/>
          <w:lang w:val="en-NZ"/>
        </w:rPr>
        <w:footnoteRef/>
      </w:r>
      <w:r w:rsidRPr="005A386A">
        <w:rPr>
          <w:lang w:val="en-NZ"/>
        </w:rPr>
        <w:t xml:space="preserve"> </w:t>
      </w:r>
      <w:r w:rsidRPr="005A386A">
        <w:rPr>
          <w:lang w:val="en-NZ"/>
        </w:rPr>
        <w:tab/>
        <w:t>Methane emissions produced from the digestive process in ruminant livestock.</w:t>
      </w:r>
    </w:p>
  </w:footnote>
  <w:footnote w:id="19">
    <w:p w14:paraId="636C757E" w14:textId="77777777" w:rsidR="00D0418C" w:rsidRPr="005A386A" w:rsidRDefault="00D0418C" w:rsidP="00A808C7">
      <w:pPr>
        <w:pStyle w:val="FootnoteText"/>
        <w:spacing w:after="0"/>
        <w:rPr>
          <w:lang w:val="en-NZ"/>
        </w:rPr>
      </w:pPr>
      <w:r w:rsidRPr="005A386A">
        <w:rPr>
          <w:rStyle w:val="FootnoteReference"/>
          <w:lang w:val="en-NZ"/>
        </w:rPr>
        <w:footnoteRef/>
      </w:r>
      <w:r w:rsidRPr="005A386A">
        <w:rPr>
          <w:lang w:val="en-NZ"/>
        </w:rPr>
        <w:t xml:space="preserve"> </w:t>
      </w:r>
      <w:r w:rsidRPr="005A386A">
        <w:rPr>
          <w:lang w:val="en-NZ"/>
        </w:rPr>
        <w:tab/>
        <w:t>ODS stands for ozone depleting substances.</w:t>
      </w:r>
    </w:p>
  </w:footnote>
  <w:footnote w:id="20">
    <w:p w14:paraId="52E460E0" w14:textId="77777777" w:rsidR="00D0418C" w:rsidRPr="005A386A" w:rsidRDefault="00D0418C" w:rsidP="00A808C7">
      <w:pPr>
        <w:pStyle w:val="FootnoteText"/>
        <w:rPr>
          <w:lang w:val="en-NZ"/>
        </w:rPr>
      </w:pPr>
      <w:r w:rsidRPr="005A386A">
        <w:rPr>
          <w:rStyle w:val="FootnoteReference"/>
          <w:lang w:val="en-NZ"/>
        </w:rPr>
        <w:footnoteRef/>
      </w:r>
      <w:r w:rsidRPr="005A386A">
        <w:rPr>
          <w:lang w:val="en-NZ"/>
        </w:rPr>
        <w:t xml:space="preserve"> </w:t>
      </w:r>
      <w:r w:rsidRPr="005A386A">
        <w:rPr>
          <w:lang w:val="en-NZ"/>
        </w:rPr>
        <w:tab/>
      </w:r>
      <w:r w:rsidRPr="005A386A">
        <w:rPr>
          <w:lang w:val="en-NZ" w:eastAsia="en-NZ"/>
        </w:rPr>
        <w:t>For the period 2013 to 2020, New Zealand has taken an unconditional target to reduce its greenhouse gas emissions under the Convention. New Zealand will apply the Kyoto Protocol framework of rules to its target, to ensure New Zealand’s actions are transparent and have integrity</w:t>
      </w:r>
      <w:r w:rsidRPr="005A386A">
        <w:rPr>
          <w:lang w:val="en-NZ"/>
        </w:rPr>
        <w:t>.</w:t>
      </w:r>
    </w:p>
  </w:footnote>
  <w:footnote w:id="21">
    <w:p w14:paraId="1E65661E" w14:textId="77777777" w:rsidR="00D0418C" w:rsidRPr="005A386A" w:rsidRDefault="00D0418C" w:rsidP="00A808C7">
      <w:pPr>
        <w:pStyle w:val="FootnoteText"/>
        <w:rPr>
          <w:lang w:val="en-NZ"/>
        </w:rPr>
      </w:pPr>
      <w:r w:rsidRPr="005A386A">
        <w:rPr>
          <w:rStyle w:val="FootnoteReference"/>
          <w:lang w:val="en-NZ"/>
        </w:rPr>
        <w:footnoteRef/>
      </w:r>
      <w:r w:rsidRPr="005A386A">
        <w:rPr>
          <w:lang w:val="en-NZ"/>
        </w:rPr>
        <w:t xml:space="preserve"> </w:t>
      </w:r>
      <w:r w:rsidRPr="005A386A">
        <w:rPr>
          <w:lang w:val="en-NZ"/>
        </w:rPr>
        <w:tab/>
        <w:t>For more details, r</w:t>
      </w:r>
      <w:r w:rsidRPr="005A386A">
        <w:rPr>
          <w:lang w:val="en-NZ" w:eastAsia="en-NZ"/>
        </w:rPr>
        <w:t xml:space="preserve">efer to </w:t>
      </w:r>
      <w:r w:rsidRPr="005A386A">
        <w:rPr>
          <w:i/>
          <w:lang w:val="en-NZ" w:eastAsia="en-NZ"/>
        </w:rPr>
        <w:t>New Zealand’s Initial Report to Facilitate the Calculation of its Emissions Budget for the Period 2013 to 2020</w:t>
      </w:r>
      <w:r w:rsidRPr="005A386A">
        <w:rPr>
          <w:lang w:val="en-NZ" w:eastAsia="en-NZ"/>
        </w:rPr>
        <w:t xml:space="preserve"> (www.mfe.govt.nz/sites/default/files/media/Climate%20Change/New%20 Zealand%27s%20Initial%20Report%20July%202016.pdf).</w:t>
      </w:r>
    </w:p>
  </w:footnote>
  <w:footnote w:id="22">
    <w:p w14:paraId="330B403A" w14:textId="77777777" w:rsidR="00D0418C" w:rsidRPr="005A386A" w:rsidRDefault="00D0418C" w:rsidP="00A808C7">
      <w:pPr>
        <w:pStyle w:val="FootnoteText"/>
        <w:rPr>
          <w:lang w:val="en-NZ"/>
        </w:rPr>
      </w:pPr>
      <w:r w:rsidRPr="005A386A">
        <w:rPr>
          <w:rStyle w:val="FootnoteReference"/>
          <w:lang w:val="en-NZ"/>
        </w:rPr>
        <w:footnoteRef/>
      </w:r>
      <w:r w:rsidRPr="005A386A">
        <w:rPr>
          <w:lang w:val="en-NZ"/>
        </w:rPr>
        <w:t xml:space="preserve"> </w:t>
      </w:r>
      <w:r w:rsidRPr="005A386A">
        <w:rPr>
          <w:lang w:val="en-NZ"/>
        </w:rPr>
        <w:tab/>
        <w:t>New Zealand’s latest net position can be accessed from the Ministry for the Environment’s website (www.mfe.govt.nz/climate-change/reporting-greenhouse-gas-emissions/latest-2020-net-position).</w:t>
      </w:r>
    </w:p>
  </w:footnote>
  <w:footnote w:id="23">
    <w:p w14:paraId="51ABB4CE" w14:textId="77777777" w:rsidR="00D0418C" w:rsidRPr="005A386A" w:rsidRDefault="00D0418C" w:rsidP="00A808C7">
      <w:pPr>
        <w:pStyle w:val="FootnoteText"/>
        <w:rPr>
          <w:lang w:val="en-NZ"/>
        </w:rPr>
      </w:pPr>
      <w:r w:rsidRPr="005A386A">
        <w:rPr>
          <w:rStyle w:val="FootnoteReference"/>
          <w:lang w:val="en-NZ"/>
        </w:rPr>
        <w:footnoteRef/>
      </w:r>
      <w:r w:rsidRPr="005A386A">
        <w:rPr>
          <w:lang w:val="en-NZ"/>
        </w:rPr>
        <w:t xml:space="preserve"> </w:t>
      </w:r>
      <w:r w:rsidRPr="005A386A">
        <w:rPr>
          <w:lang w:val="en-NZ"/>
        </w:rPr>
        <w:tab/>
        <w:t>New Zealand does not produce or consume nitrogen trifluoride (NF</w:t>
      </w:r>
      <w:r w:rsidRPr="005A386A">
        <w:rPr>
          <w:vertAlign w:val="subscript"/>
          <w:lang w:val="en-NZ"/>
        </w:rPr>
        <w:t>3</w:t>
      </w:r>
      <w:r w:rsidRPr="005A386A">
        <w:rPr>
          <w:lang w:val="en-NZ"/>
        </w:rPr>
        <w:t>).</w:t>
      </w:r>
    </w:p>
  </w:footnote>
  <w:footnote w:id="24">
    <w:p w14:paraId="43442478" w14:textId="77777777" w:rsidR="00D0418C" w:rsidRPr="005A386A" w:rsidRDefault="00D0418C">
      <w:pPr>
        <w:pStyle w:val="FootnoteText"/>
        <w:rPr>
          <w:lang w:val="en-NZ"/>
        </w:rPr>
      </w:pPr>
      <w:r w:rsidRPr="005A386A">
        <w:rPr>
          <w:rStyle w:val="FootnoteReference"/>
          <w:lang w:val="en-NZ"/>
        </w:rPr>
        <w:footnoteRef/>
      </w:r>
      <w:r w:rsidRPr="005A386A">
        <w:rPr>
          <w:lang w:val="en-NZ"/>
        </w:rPr>
        <w:t xml:space="preserve"> </w:t>
      </w:r>
      <w:r w:rsidRPr="005A386A">
        <w:rPr>
          <w:lang w:val="en-NZ"/>
        </w:rPr>
        <w:tab/>
        <w:t>The national dairy herd increased by 3.1 million animals in the period 1990–2017.</w:t>
      </w:r>
    </w:p>
  </w:footnote>
  <w:footnote w:id="25">
    <w:p w14:paraId="2837DD12" w14:textId="77777777" w:rsidR="00D0418C" w:rsidRPr="005A386A" w:rsidRDefault="00D0418C" w:rsidP="00A808C7">
      <w:pPr>
        <w:pStyle w:val="FootnoteText"/>
        <w:rPr>
          <w:lang w:val="en-NZ"/>
        </w:rPr>
      </w:pPr>
      <w:r w:rsidRPr="005A386A">
        <w:rPr>
          <w:rStyle w:val="FootnoteReference"/>
          <w:lang w:val="en-NZ"/>
        </w:rPr>
        <w:footnoteRef/>
      </w:r>
      <w:r w:rsidRPr="005A386A">
        <w:rPr>
          <w:lang w:val="en-NZ"/>
        </w:rPr>
        <w:t xml:space="preserve"> </w:t>
      </w:r>
      <w:r w:rsidRPr="005A386A">
        <w:rPr>
          <w:lang w:val="en-NZ"/>
        </w:rPr>
        <w:tab/>
        <w:t>The New Zealand Emissions Trading Scheme included the Forestry sector as of 1 January 2008.</w:t>
      </w:r>
    </w:p>
  </w:footnote>
  <w:footnote w:id="26">
    <w:p w14:paraId="0228CE57" w14:textId="77777777" w:rsidR="00D0418C" w:rsidRPr="005A386A" w:rsidRDefault="00D0418C" w:rsidP="004D3C29">
      <w:pPr>
        <w:pStyle w:val="FootnoteText"/>
        <w:rPr>
          <w:lang w:val="en-NZ"/>
        </w:rPr>
      </w:pPr>
      <w:r w:rsidRPr="005A386A">
        <w:rPr>
          <w:rStyle w:val="FootnoteReference"/>
          <w:lang w:val="en-NZ"/>
        </w:rPr>
        <w:footnoteRef/>
      </w:r>
      <w:r w:rsidRPr="005A386A">
        <w:rPr>
          <w:lang w:val="en-NZ"/>
        </w:rPr>
        <w:t xml:space="preserve"> </w:t>
      </w:r>
      <w:r w:rsidRPr="005A386A">
        <w:rPr>
          <w:lang w:val="en-NZ"/>
        </w:rPr>
        <w:tab/>
        <w:t>In climate change literature, negative emissions are often referred to as ‘removals’ because they indicate removing carbon dioxide from the atmosphere as a net result. This report uses the term ‘removal’ or ‘net removal’ where it will make the relevant sections easier to understand.</w:t>
      </w:r>
    </w:p>
  </w:footnote>
  <w:footnote w:id="27">
    <w:p w14:paraId="72808810" w14:textId="77777777" w:rsidR="00D0418C" w:rsidRPr="005A386A" w:rsidRDefault="00D0418C" w:rsidP="00A808C7">
      <w:pPr>
        <w:pStyle w:val="FootnoteText"/>
        <w:rPr>
          <w:lang w:val="en-NZ"/>
        </w:rPr>
      </w:pPr>
      <w:r w:rsidRPr="005A386A">
        <w:rPr>
          <w:rStyle w:val="FootnoteReference"/>
          <w:lang w:val="en-NZ"/>
        </w:rPr>
        <w:footnoteRef/>
      </w:r>
      <w:r w:rsidRPr="005A386A">
        <w:rPr>
          <w:lang w:val="en-NZ"/>
        </w:rPr>
        <w:t xml:space="preserve"> </w:t>
      </w:r>
      <w:r w:rsidRPr="005A386A">
        <w:rPr>
          <w:lang w:val="en-NZ"/>
        </w:rPr>
        <w:tab/>
        <w:t xml:space="preserve">The carbon equivalent forest provision creates a misalignment for the afforestation and deforestation area reported under the Kyoto Protocol and the Convention sections of the inventory. The carbon equivalent forest provision under the Kyoto Protocol is reported in the categories </w:t>
      </w:r>
      <w:r w:rsidRPr="005A386A">
        <w:rPr>
          <w:i/>
          <w:lang w:val="en-NZ"/>
        </w:rPr>
        <w:t>Land converted to forest land</w:t>
      </w:r>
      <w:r w:rsidRPr="005A386A">
        <w:rPr>
          <w:lang w:val="en-NZ"/>
        </w:rPr>
        <w:t xml:space="preserve"> (afforestation) and </w:t>
      </w:r>
      <w:r w:rsidRPr="005A386A">
        <w:rPr>
          <w:i/>
          <w:lang w:val="en-NZ"/>
        </w:rPr>
        <w:t>Forest land converted to other land</w:t>
      </w:r>
      <w:r w:rsidRPr="005A386A">
        <w:rPr>
          <w:lang w:val="en-NZ"/>
        </w:rPr>
        <w:t xml:space="preserve"> uses (deforestation) under the Convention.</w:t>
      </w:r>
    </w:p>
  </w:footnote>
  <w:footnote w:id="28">
    <w:p w14:paraId="47F0D150" w14:textId="77777777" w:rsidR="00D0418C" w:rsidRPr="005A386A" w:rsidRDefault="00D0418C" w:rsidP="003A3F0A">
      <w:pPr>
        <w:pStyle w:val="FootnoteText"/>
        <w:spacing w:after="0"/>
        <w:rPr>
          <w:lang w:val="en-NZ"/>
        </w:rPr>
      </w:pPr>
      <w:r w:rsidRPr="005A386A">
        <w:rPr>
          <w:rStyle w:val="FootnoteReference"/>
          <w:lang w:val="en-NZ"/>
        </w:rPr>
        <w:footnoteRef/>
      </w:r>
      <w:r w:rsidRPr="005A386A">
        <w:rPr>
          <w:lang w:val="en-NZ"/>
        </w:rPr>
        <w:t xml:space="preserve"> </w:t>
      </w:r>
      <w:r w:rsidRPr="005A386A">
        <w:rPr>
          <w:lang w:val="en-NZ"/>
        </w:rPr>
        <w:tab/>
      </w:r>
      <w:r w:rsidRPr="005A386A">
        <w:rPr>
          <w:i/>
          <w:lang w:val="en-NZ"/>
        </w:rPr>
        <w:t>Deforestation</w:t>
      </w:r>
      <w:r w:rsidRPr="005A386A">
        <w:rPr>
          <w:lang w:val="en-NZ"/>
        </w:rPr>
        <w:t xml:space="preserve"> includes deforestation of natural forest, pre-1990 planted forest and post-1989 forest. </w:t>
      </w:r>
    </w:p>
  </w:footnote>
  <w:footnote w:id="29">
    <w:p w14:paraId="7C9AD26F" w14:textId="77777777" w:rsidR="00D0418C" w:rsidRPr="005A386A" w:rsidRDefault="00D0418C" w:rsidP="00A808C7">
      <w:pPr>
        <w:pStyle w:val="FootnoteText"/>
        <w:rPr>
          <w:lang w:val="en-NZ"/>
        </w:rPr>
      </w:pPr>
      <w:r w:rsidRPr="005A386A">
        <w:rPr>
          <w:rStyle w:val="FootnoteReference"/>
          <w:lang w:val="en-NZ"/>
        </w:rPr>
        <w:footnoteRef/>
      </w:r>
      <w:r w:rsidRPr="005A386A">
        <w:rPr>
          <w:lang w:val="en-NZ"/>
        </w:rPr>
        <w:t xml:space="preserve"> </w:t>
      </w:r>
      <w:r w:rsidRPr="005A386A">
        <w:rPr>
          <w:lang w:val="en-NZ"/>
        </w:rPr>
        <w:tab/>
      </w:r>
      <w:r w:rsidRPr="005A386A">
        <w:rPr>
          <w:lang w:val="en-NZ" w:eastAsia="en-GB"/>
        </w:rPr>
        <w:t>For urea production, the fraction of carbon stored varies across the time series depending on the composition of the feedstock gas.</w:t>
      </w:r>
    </w:p>
  </w:footnote>
  <w:footnote w:id="30">
    <w:p w14:paraId="5A87ED80" w14:textId="77777777" w:rsidR="00D0418C" w:rsidRPr="005A386A" w:rsidRDefault="00D0418C" w:rsidP="00A808C7">
      <w:pPr>
        <w:pStyle w:val="FootnoteText"/>
        <w:rPr>
          <w:lang w:val="en-NZ"/>
        </w:rPr>
      </w:pPr>
      <w:r w:rsidRPr="005A386A">
        <w:rPr>
          <w:rStyle w:val="FootnoteReference"/>
          <w:lang w:val="en-NZ"/>
        </w:rPr>
        <w:footnoteRef/>
      </w:r>
      <w:r w:rsidRPr="005A386A">
        <w:rPr>
          <w:lang w:val="en-NZ"/>
        </w:rPr>
        <w:t xml:space="preserve"> </w:t>
      </w:r>
      <w:r w:rsidRPr="005A386A">
        <w:rPr>
          <w:lang w:val="en-NZ"/>
        </w:rPr>
        <w:tab/>
        <w:t>As of 2017, New Zealand only manufactures a small number of buses and heavy trucks.</w:t>
      </w:r>
    </w:p>
  </w:footnote>
  <w:footnote w:id="31">
    <w:p w14:paraId="3DD3F567" w14:textId="77777777" w:rsidR="00D0418C" w:rsidRPr="005A386A" w:rsidRDefault="00D0418C" w:rsidP="0068777C">
      <w:pPr>
        <w:pStyle w:val="FootnoteText"/>
        <w:rPr>
          <w:lang w:val="en-NZ"/>
        </w:rPr>
      </w:pPr>
      <w:r w:rsidRPr="005A386A">
        <w:rPr>
          <w:rStyle w:val="FootnoteReference"/>
          <w:lang w:val="en-NZ"/>
        </w:rPr>
        <w:footnoteRef/>
      </w:r>
      <w:r w:rsidRPr="005A386A">
        <w:rPr>
          <w:lang w:val="en-NZ"/>
        </w:rPr>
        <w:tab/>
        <w:t xml:space="preserve">Ministry for the Environment. 2017. </w:t>
      </w:r>
      <w:r w:rsidRPr="005A386A">
        <w:rPr>
          <w:i/>
          <w:lang w:val="en-NZ"/>
        </w:rPr>
        <w:t>New Zealand’s Seventh National Communication – Fulfilling reporting requirements under the United Nations Framework Convention on Climate Change and the Kyoto Protocol.</w:t>
      </w:r>
      <w:r w:rsidRPr="005A386A">
        <w:rPr>
          <w:lang w:val="en-NZ"/>
        </w:rPr>
        <w:t xml:space="preserve"> Wellington: Ministry for the Environment. Retrieved from</w:t>
      </w:r>
      <w:r w:rsidRPr="005A386A" w:rsidDel="008B7BF6">
        <w:rPr>
          <w:lang w:val="en-NZ"/>
        </w:rPr>
        <w:t xml:space="preserve"> </w:t>
      </w:r>
      <w:r w:rsidRPr="005A386A">
        <w:rPr>
          <w:lang w:val="en-NZ"/>
        </w:rPr>
        <w:t>www.mfe.govt.nz/sites/default/files/media/Climate%20Change/21-12-17%20Web%20FINAL%20-%20 Seventh%20National%20Communication%202017.pdf</w:t>
      </w:r>
      <w:r w:rsidRPr="005A386A" w:rsidDel="00051DCF">
        <w:rPr>
          <w:lang w:val="en-NZ"/>
        </w:rPr>
        <w:t xml:space="preserve"> </w:t>
      </w:r>
      <w:r w:rsidRPr="005A386A">
        <w:rPr>
          <w:lang w:val="en-NZ"/>
        </w:rPr>
        <w:t xml:space="preserve">(19 February 2018). </w:t>
      </w:r>
    </w:p>
  </w:footnote>
  <w:footnote w:id="32">
    <w:p w14:paraId="077A3B93" w14:textId="77777777" w:rsidR="00D0418C" w:rsidRPr="005A386A" w:rsidRDefault="00D0418C" w:rsidP="0068777C">
      <w:pPr>
        <w:pStyle w:val="FootnoteText"/>
        <w:rPr>
          <w:lang w:val="en-NZ"/>
        </w:rPr>
      </w:pPr>
      <w:r w:rsidRPr="005A386A">
        <w:rPr>
          <w:rStyle w:val="FootnoteReference"/>
          <w:lang w:val="en-NZ"/>
        </w:rPr>
        <w:footnoteRef/>
      </w:r>
      <w:r w:rsidRPr="005A386A">
        <w:rPr>
          <w:lang w:val="en-NZ"/>
        </w:rPr>
        <w:t xml:space="preserve"> </w:t>
      </w:r>
      <w:r w:rsidRPr="005A386A">
        <w:rPr>
          <w:lang w:val="en-NZ"/>
        </w:rPr>
        <w:tab/>
        <w:t>Implied emission factors (IEFs) are calculated by dividing the total emissions of a particular animal and sector (e.g., enteric fermentation from sheep) by the number of animals.</w:t>
      </w:r>
    </w:p>
  </w:footnote>
  <w:footnote w:id="33">
    <w:p w14:paraId="774C30FE" w14:textId="77777777" w:rsidR="00D0418C" w:rsidRPr="005A386A" w:rsidRDefault="00D0418C" w:rsidP="0068777C">
      <w:pPr>
        <w:pStyle w:val="FootnoteText"/>
        <w:rPr>
          <w:lang w:val="en-NZ"/>
        </w:rPr>
      </w:pPr>
      <w:r w:rsidRPr="005A386A">
        <w:rPr>
          <w:rStyle w:val="FootnoteReference"/>
          <w:lang w:val="en-NZ"/>
        </w:rPr>
        <w:footnoteRef/>
      </w:r>
      <w:r w:rsidRPr="005A386A">
        <w:rPr>
          <w:lang w:val="en-NZ"/>
        </w:rPr>
        <w:t xml:space="preserve"> </w:t>
      </w:r>
      <w:r w:rsidRPr="005A386A">
        <w:rPr>
          <w:lang w:val="en-NZ"/>
        </w:rPr>
        <w:tab/>
      </w:r>
      <w:r w:rsidRPr="005A386A">
        <w:rPr>
          <w:spacing w:val="-2"/>
          <w:lang w:val="en-NZ"/>
        </w:rPr>
        <w:t>The number of beef cows slaughtered is assumed to be 17 per cent of the total beef cow herd, with other adult cows slaughtered assumed to be dairy cows. The carcass weight of dairy cattle slaughtered was estimated using the adult dairy cow liveweights and a killing-out percentage of 42 per cent (Thomson et al., 2010). The total weight of dairy cattle slaughtered was calculated (carcass weight × number slaughtered) and then deducted from the national total carcass weight of slaughtered adult cows. This figure was then divided by the number of beef cows slaughtered, to obtain an estimate of the carcass weight of adult beef cows. Liveweights were calculated assuming a killing-out percentage of 42.6 per cent (Thomson et al., 2010).</w:t>
      </w:r>
    </w:p>
  </w:footnote>
  <w:footnote w:id="34">
    <w:p w14:paraId="41008220" w14:textId="77777777" w:rsidR="00D0418C" w:rsidRPr="005A386A" w:rsidRDefault="00D0418C" w:rsidP="0068777C">
      <w:pPr>
        <w:pStyle w:val="FootnoteText"/>
        <w:spacing w:after="0"/>
        <w:rPr>
          <w:lang w:val="en-NZ"/>
        </w:rPr>
      </w:pPr>
      <w:r w:rsidRPr="005A386A">
        <w:rPr>
          <w:rStyle w:val="FootnoteReference"/>
          <w:lang w:val="en-NZ"/>
        </w:rPr>
        <w:footnoteRef/>
      </w:r>
      <w:r w:rsidRPr="005A386A">
        <w:rPr>
          <w:lang w:val="en-NZ"/>
        </w:rPr>
        <w:t xml:space="preserve"> </w:t>
      </w:r>
      <w:r w:rsidRPr="005A386A">
        <w:rPr>
          <w:lang w:val="en-NZ"/>
        </w:rPr>
        <w:tab/>
        <w:t>Percentage of carcass weight in relation to liveweight.</w:t>
      </w:r>
    </w:p>
  </w:footnote>
  <w:footnote w:id="35">
    <w:p w14:paraId="4B8CD739" w14:textId="77777777" w:rsidR="00D0418C" w:rsidRPr="005A386A" w:rsidRDefault="00D0418C" w:rsidP="0068777C">
      <w:pPr>
        <w:pStyle w:val="FootnoteText"/>
        <w:rPr>
          <w:lang w:val="en-NZ"/>
        </w:rPr>
      </w:pPr>
      <w:r w:rsidRPr="005A386A">
        <w:rPr>
          <w:rStyle w:val="FootnoteReference"/>
          <w:lang w:val="en-NZ"/>
        </w:rPr>
        <w:footnoteRef/>
      </w:r>
      <w:r w:rsidRPr="005A386A">
        <w:rPr>
          <w:lang w:val="en-NZ"/>
        </w:rPr>
        <w:t xml:space="preserve"> </w:t>
      </w:r>
      <w:r w:rsidRPr="005A386A">
        <w:rPr>
          <w:lang w:val="en-NZ"/>
        </w:rPr>
        <w:tab/>
        <w:t xml:space="preserve">BERG reports can be found on the Ministry for Primary Industries website: </w:t>
      </w:r>
      <w:hyperlink r:id="rId1" w:history="1">
        <w:r w:rsidRPr="005A386A">
          <w:rPr>
            <w:lang w:val="en-NZ"/>
          </w:rPr>
          <w:t>www.mpi.govt.nz/protection-and-response/environment-and-natural-resources/biological-emissions-reference-group</w:t>
        </w:r>
      </w:hyperlink>
      <w:r w:rsidRPr="005A386A">
        <w:rPr>
          <w:lang w:val="en-NZ"/>
        </w:rPr>
        <w:t>.</w:t>
      </w:r>
    </w:p>
  </w:footnote>
  <w:footnote w:id="36">
    <w:p w14:paraId="75297820" w14:textId="77777777" w:rsidR="00D0418C" w:rsidRPr="005A386A" w:rsidRDefault="00D0418C" w:rsidP="0068777C">
      <w:pPr>
        <w:pStyle w:val="FootnoteText"/>
        <w:rPr>
          <w:lang w:val="en-NZ"/>
        </w:rPr>
      </w:pPr>
      <w:r w:rsidRPr="005A386A">
        <w:rPr>
          <w:rStyle w:val="FootnoteReference"/>
          <w:lang w:val="en-NZ"/>
        </w:rPr>
        <w:footnoteRef/>
      </w:r>
      <w:r w:rsidRPr="005A386A">
        <w:rPr>
          <w:lang w:val="en-NZ"/>
        </w:rPr>
        <w:t xml:space="preserve"> </w:t>
      </w:r>
      <w:r w:rsidRPr="005A386A">
        <w:rPr>
          <w:lang w:val="en-NZ"/>
        </w:rPr>
        <w:tab/>
        <w:t>In 2017, the name of the Methanet and NzOnet annual meeting was changed to the New Zealand Greenhouse Gas Inventory Research Conference.</w:t>
      </w:r>
    </w:p>
  </w:footnote>
  <w:footnote w:id="37">
    <w:p w14:paraId="52F25C55" w14:textId="77777777" w:rsidR="00D0418C" w:rsidRPr="005A386A" w:rsidRDefault="00D0418C" w:rsidP="0068777C">
      <w:pPr>
        <w:pStyle w:val="FootnoteText"/>
        <w:rPr>
          <w:lang w:val="en-NZ"/>
        </w:rPr>
      </w:pPr>
      <w:r w:rsidRPr="005A386A">
        <w:rPr>
          <w:rStyle w:val="FootnoteReference"/>
          <w:lang w:val="en-NZ"/>
        </w:rPr>
        <w:footnoteRef/>
      </w:r>
      <w:r w:rsidRPr="005A386A">
        <w:rPr>
          <w:lang w:val="en-NZ"/>
        </w:rPr>
        <w:t xml:space="preserve"> </w:t>
      </w:r>
      <w:r w:rsidRPr="005A386A">
        <w:rPr>
          <w:lang w:val="en-NZ"/>
        </w:rPr>
        <w:tab/>
        <w:t>The equation displayed here is a rearranged form of the equation displayed in Swainson et al. (2016): Ln(CH</w:t>
      </w:r>
      <w:r w:rsidRPr="005A386A">
        <w:rPr>
          <w:vertAlign w:val="subscript"/>
          <w:lang w:val="en-NZ"/>
        </w:rPr>
        <w:t>4</w:t>
      </w:r>
      <w:r w:rsidRPr="005A386A">
        <w:rPr>
          <w:lang w:val="en-NZ"/>
        </w:rPr>
        <w:t xml:space="preserve">) = 0.734 × In(DMI) + 0.05 </w:t>
      </w:r>
      <w:r w:rsidRPr="005A386A">
        <w:rPr>
          <w:szCs w:val="19"/>
          <w:lang w:val="en-NZ"/>
        </w:rPr>
        <w:t>×</w:t>
      </w:r>
      <w:r w:rsidRPr="005A386A">
        <w:rPr>
          <w:lang w:val="en-NZ"/>
        </w:rPr>
        <w:t xml:space="preserve"> ME + 2.46.</w:t>
      </w:r>
    </w:p>
  </w:footnote>
  <w:footnote w:id="38">
    <w:p w14:paraId="36CD1AB2" w14:textId="77777777" w:rsidR="00D0418C" w:rsidRPr="005A386A" w:rsidRDefault="00D0418C" w:rsidP="0068777C">
      <w:pPr>
        <w:pStyle w:val="FootnoteText"/>
        <w:rPr>
          <w:lang w:val="en-NZ"/>
        </w:rPr>
      </w:pPr>
      <w:r w:rsidRPr="005A386A">
        <w:rPr>
          <w:rStyle w:val="FootnoteReference"/>
          <w:lang w:val="en-NZ"/>
        </w:rPr>
        <w:footnoteRef/>
      </w:r>
      <w:r w:rsidRPr="005A386A">
        <w:rPr>
          <w:lang w:val="en-NZ"/>
        </w:rPr>
        <w:t xml:space="preserve"> </w:t>
      </w:r>
      <w:r w:rsidRPr="005A386A">
        <w:rPr>
          <w:lang w:val="en-NZ"/>
        </w:rPr>
        <w:tab/>
        <w:t>The equation displayed here is a rearranged form of the equation displayed in Swainson et al. (2016): Ln(CH</w:t>
      </w:r>
      <w:r w:rsidRPr="005A386A">
        <w:rPr>
          <w:vertAlign w:val="subscript"/>
          <w:lang w:val="en-NZ"/>
        </w:rPr>
        <w:t>4</w:t>
      </w:r>
      <w:r w:rsidRPr="005A386A">
        <w:rPr>
          <w:lang w:val="en-NZ"/>
        </w:rPr>
        <w:t>) = 0.765 × In(DMI) + 3.09.</w:t>
      </w:r>
    </w:p>
  </w:footnote>
  <w:footnote w:id="39">
    <w:p w14:paraId="7585F521" w14:textId="77777777" w:rsidR="00D0418C" w:rsidRPr="005A386A" w:rsidRDefault="00D0418C" w:rsidP="0068777C">
      <w:pPr>
        <w:pStyle w:val="FootnoteText"/>
        <w:rPr>
          <w:szCs w:val="19"/>
          <w:lang w:val="en-NZ"/>
        </w:rPr>
      </w:pPr>
      <w:r w:rsidRPr="005A386A">
        <w:rPr>
          <w:rStyle w:val="FootnoteReference"/>
          <w:szCs w:val="19"/>
          <w:lang w:val="en-NZ"/>
        </w:rPr>
        <w:footnoteRef/>
      </w:r>
      <w:r w:rsidRPr="005A386A">
        <w:rPr>
          <w:szCs w:val="19"/>
          <w:lang w:val="en-NZ"/>
        </w:rPr>
        <w:t xml:space="preserve"> </w:t>
      </w:r>
      <w:r w:rsidRPr="005A386A">
        <w:rPr>
          <w:szCs w:val="19"/>
          <w:lang w:val="en-NZ"/>
        </w:rPr>
        <w:tab/>
        <w:t xml:space="preserve">For example, Blaxter and Clapperton (1965); Moe and Tyrrel (1975); Baldwin et al. (1988); Djikstra et al. (1992) and Benchaar et al. (2001) – all cited in Clark et al. (2003). </w:t>
      </w:r>
    </w:p>
  </w:footnote>
  <w:footnote w:id="40">
    <w:p w14:paraId="2F19E45B" w14:textId="77777777" w:rsidR="00D0418C" w:rsidRPr="005A386A" w:rsidRDefault="00D0418C" w:rsidP="0068777C">
      <w:pPr>
        <w:pStyle w:val="FootnoteText"/>
        <w:rPr>
          <w:szCs w:val="19"/>
          <w:lang w:val="en-NZ"/>
        </w:rPr>
      </w:pPr>
      <w:r w:rsidRPr="005A386A">
        <w:rPr>
          <w:rStyle w:val="FootnoteReference"/>
          <w:szCs w:val="19"/>
          <w:lang w:val="en-NZ"/>
        </w:rPr>
        <w:footnoteRef/>
      </w:r>
      <w:r w:rsidRPr="005A386A">
        <w:rPr>
          <w:szCs w:val="19"/>
          <w:lang w:val="en-NZ"/>
        </w:rPr>
        <w:t xml:space="preserve"> </w:t>
      </w:r>
      <w:r w:rsidRPr="005A386A">
        <w:rPr>
          <w:szCs w:val="19"/>
          <w:lang w:val="en-NZ"/>
        </w:rPr>
        <w:tab/>
        <w:t>The IPCC (2006) default emission factor for swine is identical to the IPCC (1996) emission factor.</w:t>
      </w:r>
    </w:p>
  </w:footnote>
  <w:footnote w:id="41">
    <w:p w14:paraId="0F5A4A28" w14:textId="77777777" w:rsidR="00D0418C" w:rsidRPr="005A386A" w:rsidRDefault="00D0418C" w:rsidP="0068777C">
      <w:pPr>
        <w:pStyle w:val="FootnoteText"/>
        <w:rPr>
          <w:lang w:val="en-NZ"/>
        </w:rPr>
      </w:pPr>
      <w:r w:rsidRPr="005A386A">
        <w:rPr>
          <w:rStyle w:val="FootnoteReference"/>
          <w:lang w:val="en-NZ"/>
        </w:rPr>
        <w:footnoteRef/>
      </w:r>
      <w:r w:rsidRPr="005A386A">
        <w:rPr>
          <w:lang w:val="en-NZ"/>
        </w:rPr>
        <w:t xml:space="preserve"> </w:t>
      </w:r>
      <w:r w:rsidRPr="005A386A">
        <w:rPr>
          <w:lang w:val="en-NZ"/>
        </w:rPr>
        <w:tab/>
      </w:r>
      <w:r w:rsidRPr="005A386A">
        <w:rPr>
          <w:rFonts w:cs="Arial"/>
          <w:szCs w:val="16"/>
          <w:lang w:val="en-NZ"/>
        </w:rPr>
        <w:t xml:space="preserve">As reported in Australia’s </w:t>
      </w:r>
      <w:r w:rsidRPr="005A386A">
        <w:rPr>
          <w:rFonts w:cs="Arial"/>
          <w:i/>
          <w:lang w:val="en-NZ"/>
        </w:rPr>
        <w:t xml:space="preserve">National Inventory Report 2016 Volume 1 </w:t>
      </w:r>
      <w:r w:rsidRPr="005A386A">
        <w:rPr>
          <w:rFonts w:cs="Arial"/>
          <w:szCs w:val="16"/>
          <w:lang w:val="en-NZ"/>
        </w:rPr>
        <w:t xml:space="preserve">on Greenhouse Gas Accounts </w:t>
      </w:r>
      <w:r w:rsidRPr="005A386A">
        <w:rPr>
          <w:rFonts w:cs="Arial"/>
          <w:spacing w:val="-2"/>
          <w:szCs w:val="16"/>
          <w:lang w:val="en-NZ"/>
        </w:rPr>
        <w:t xml:space="preserve">(Commonwealth of Australia, 2018). </w:t>
      </w:r>
      <w:r w:rsidRPr="005A386A">
        <w:rPr>
          <w:spacing w:val="-2"/>
          <w:lang w:val="en-NZ"/>
        </w:rPr>
        <w:t>Note that the Australian-specific non-dairy cattle IEF value is calculated</w:t>
      </w:r>
      <w:r w:rsidRPr="005A386A">
        <w:rPr>
          <w:lang w:val="en-NZ"/>
        </w:rPr>
        <w:t xml:space="preserve"> from a population-based weighted average of pasture and feedlot IEF values from non-dairy cattle.</w:t>
      </w:r>
    </w:p>
  </w:footnote>
  <w:footnote w:id="42">
    <w:p w14:paraId="15DBA4DE" w14:textId="77777777" w:rsidR="00D0418C" w:rsidRPr="005A386A" w:rsidRDefault="00D0418C" w:rsidP="00766DF1">
      <w:pPr>
        <w:pStyle w:val="FootnoteText"/>
        <w:spacing w:after="120"/>
        <w:rPr>
          <w:lang w:val="en-NZ"/>
        </w:rPr>
      </w:pPr>
      <w:r w:rsidRPr="005A386A">
        <w:rPr>
          <w:rStyle w:val="FootnoteReference"/>
          <w:lang w:val="en-NZ"/>
        </w:rPr>
        <w:footnoteRef/>
      </w:r>
      <w:r w:rsidRPr="005A386A">
        <w:rPr>
          <w:lang w:val="en-NZ"/>
        </w:rPr>
        <w:tab/>
        <w:t xml:space="preserve">Australian Rural Exports. 2018. </w:t>
      </w:r>
      <w:r w:rsidRPr="005A386A">
        <w:rPr>
          <w:i/>
          <w:lang w:val="en-NZ"/>
        </w:rPr>
        <w:t>Dairy Cattle</w:t>
      </w:r>
      <w:r w:rsidRPr="005A386A">
        <w:rPr>
          <w:lang w:val="en-NZ"/>
        </w:rPr>
        <w:t>. Retrieved from www.austrex.com.au/dairy-cattle (5 November 2018).</w:t>
      </w:r>
    </w:p>
  </w:footnote>
  <w:footnote w:id="43">
    <w:p w14:paraId="2650A54D" w14:textId="77777777" w:rsidR="00D0418C" w:rsidRPr="005A386A" w:rsidRDefault="00D0418C" w:rsidP="0068777C">
      <w:pPr>
        <w:pStyle w:val="FootnoteText"/>
        <w:rPr>
          <w:i/>
          <w:szCs w:val="19"/>
          <w:lang w:val="en-NZ"/>
        </w:rPr>
      </w:pPr>
      <w:r w:rsidRPr="005A386A">
        <w:rPr>
          <w:rStyle w:val="FootnoteReference"/>
          <w:szCs w:val="19"/>
          <w:lang w:val="en-NZ"/>
        </w:rPr>
        <w:footnoteRef/>
      </w:r>
      <w:r w:rsidRPr="005A386A">
        <w:rPr>
          <w:szCs w:val="19"/>
          <w:lang w:val="en-NZ"/>
        </w:rPr>
        <w:t xml:space="preserve"> </w:t>
      </w:r>
      <w:r w:rsidRPr="005A386A">
        <w:rPr>
          <w:szCs w:val="19"/>
          <w:lang w:val="en-NZ"/>
        </w:rPr>
        <w:tab/>
        <w:t xml:space="preserve">Reported under </w:t>
      </w:r>
      <w:r w:rsidRPr="005A386A">
        <w:rPr>
          <w:i/>
          <w:szCs w:val="19"/>
          <w:lang w:val="en-NZ"/>
        </w:rPr>
        <w:t>Agricultural soils</w:t>
      </w:r>
      <w:r w:rsidRPr="005A386A">
        <w:rPr>
          <w:szCs w:val="19"/>
          <w:lang w:val="en-NZ"/>
        </w:rPr>
        <w:t xml:space="preserve">, under </w:t>
      </w:r>
      <w:r w:rsidRPr="005A386A">
        <w:rPr>
          <w:i/>
          <w:szCs w:val="19"/>
          <w:lang w:val="en-NZ"/>
        </w:rPr>
        <w:t>Organic nitrogen fertilisers</w:t>
      </w:r>
      <w:r w:rsidRPr="005A386A">
        <w:rPr>
          <w:szCs w:val="19"/>
          <w:lang w:val="en-NZ"/>
        </w:rPr>
        <w:t xml:space="preserve"> (CRF 3.D.1.2).</w:t>
      </w:r>
    </w:p>
  </w:footnote>
  <w:footnote w:id="44">
    <w:p w14:paraId="7EE24DD7" w14:textId="77777777" w:rsidR="00D0418C" w:rsidRPr="005A386A" w:rsidRDefault="00D0418C" w:rsidP="0068777C">
      <w:pPr>
        <w:pStyle w:val="FootnoteText"/>
        <w:rPr>
          <w:szCs w:val="19"/>
          <w:lang w:val="en-NZ"/>
        </w:rPr>
      </w:pPr>
      <w:r w:rsidRPr="005A386A">
        <w:rPr>
          <w:rStyle w:val="FootnoteReference"/>
          <w:szCs w:val="19"/>
          <w:lang w:val="en-NZ"/>
        </w:rPr>
        <w:footnoteRef/>
      </w:r>
      <w:r w:rsidRPr="005A386A">
        <w:rPr>
          <w:szCs w:val="19"/>
          <w:lang w:val="en-NZ"/>
        </w:rPr>
        <w:t xml:space="preserve"> </w:t>
      </w:r>
      <w:r w:rsidRPr="005A386A">
        <w:rPr>
          <w:szCs w:val="19"/>
          <w:lang w:val="en-NZ"/>
        </w:rPr>
        <w:tab/>
        <w:t xml:space="preserve">Reported under </w:t>
      </w:r>
      <w:r w:rsidRPr="005A386A">
        <w:rPr>
          <w:i/>
          <w:szCs w:val="19"/>
          <w:lang w:val="en-NZ"/>
        </w:rPr>
        <w:t>Agricultural soils</w:t>
      </w:r>
      <w:r w:rsidRPr="005A386A">
        <w:rPr>
          <w:szCs w:val="19"/>
          <w:lang w:val="en-NZ"/>
        </w:rPr>
        <w:t xml:space="preserve">, under </w:t>
      </w:r>
      <w:r w:rsidRPr="005A386A">
        <w:rPr>
          <w:i/>
          <w:szCs w:val="19"/>
          <w:lang w:val="en-NZ"/>
        </w:rPr>
        <w:t>Urine and dung deposited by grazing animals</w:t>
      </w:r>
      <w:r w:rsidRPr="005A386A">
        <w:rPr>
          <w:szCs w:val="19"/>
          <w:lang w:val="en-NZ"/>
        </w:rPr>
        <w:t xml:space="preserve"> (CRF 3.D.1.3).</w:t>
      </w:r>
    </w:p>
  </w:footnote>
  <w:footnote w:id="45">
    <w:p w14:paraId="4AD12D43" w14:textId="77777777" w:rsidR="00D0418C" w:rsidRPr="005A386A" w:rsidRDefault="00D0418C" w:rsidP="0068777C">
      <w:pPr>
        <w:pStyle w:val="FootnoteText"/>
        <w:rPr>
          <w:lang w:val="en-NZ"/>
        </w:rPr>
      </w:pPr>
      <w:r w:rsidRPr="005A386A">
        <w:rPr>
          <w:rStyle w:val="FootnoteReference"/>
          <w:lang w:val="en-NZ"/>
        </w:rPr>
        <w:footnoteRef/>
      </w:r>
      <w:r w:rsidRPr="005A386A">
        <w:rPr>
          <w:lang w:val="en-NZ"/>
        </w:rPr>
        <w:t xml:space="preserve"> </w:t>
      </w:r>
      <w:r w:rsidRPr="005A386A">
        <w:rPr>
          <w:lang w:val="en-NZ"/>
        </w:rPr>
        <w:tab/>
        <w:t>Calculated using 2017 data.</w:t>
      </w:r>
    </w:p>
  </w:footnote>
  <w:footnote w:id="46">
    <w:p w14:paraId="55C23C6E" w14:textId="77777777" w:rsidR="00D0418C" w:rsidRPr="005A386A" w:rsidRDefault="00D0418C" w:rsidP="0068777C">
      <w:pPr>
        <w:pStyle w:val="FootnoteText"/>
        <w:rPr>
          <w:szCs w:val="19"/>
          <w:lang w:val="en-NZ"/>
        </w:rPr>
      </w:pPr>
      <w:r w:rsidRPr="005A386A">
        <w:rPr>
          <w:rStyle w:val="FootnoteReference"/>
          <w:color w:val="000000"/>
          <w:szCs w:val="19"/>
          <w:lang w:val="en-NZ"/>
        </w:rPr>
        <w:footnoteRef/>
      </w:r>
      <w:r w:rsidRPr="005A386A">
        <w:rPr>
          <w:color w:val="000000"/>
          <w:szCs w:val="19"/>
          <w:lang w:val="en-NZ"/>
        </w:rPr>
        <w:t xml:space="preserve"> </w:t>
      </w:r>
      <w:r w:rsidRPr="005A386A">
        <w:rPr>
          <w:color w:val="000000"/>
          <w:szCs w:val="19"/>
          <w:lang w:val="en-NZ"/>
        </w:rPr>
        <w:tab/>
      </w:r>
      <w:r w:rsidRPr="005A386A">
        <w:rPr>
          <w:szCs w:val="19"/>
          <w:lang w:val="en-NZ"/>
        </w:rPr>
        <w:t>Hill (2012).</w:t>
      </w:r>
    </w:p>
  </w:footnote>
  <w:footnote w:id="47">
    <w:p w14:paraId="179520AE" w14:textId="77777777" w:rsidR="00D0418C" w:rsidRPr="005A386A" w:rsidRDefault="00D0418C" w:rsidP="0068777C">
      <w:pPr>
        <w:pStyle w:val="FootnoteText"/>
        <w:rPr>
          <w:szCs w:val="19"/>
          <w:lang w:val="en-NZ"/>
        </w:rPr>
      </w:pPr>
      <w:r w:rsidRPr="005A386A">
        <w:rPr>
          <w:rStyle w:val="FootnoteReference"/>
          <w:szCs w:val="19"/>
          <w:lang w:val="en-NZ"/>
        </w:rPr>
        <w:footnoteRef/>
      </w:r>
      <w:r w:rsidRPr="005A386A">
        <w:rPr>
          <w:szCs w:val="19"/>
          <w:lang w:val="en-NZ"/>
        </w:rPr>
        <w:t xml:space="preserve"> </w:t>
      </w:r>
      <w:r w:rsidRPr="005A386A">
        <w:rPr>
          <w:szCs w:val="19"/>
          <w:lang w:val="en-NZ"/>
        </w:rPr>
        <w:tab/>
        <w:t>Fick et al. (2011) and pers. comm. (2010).</w:t>
      </w:r>
    </w:p>
  </w:footnote>
  <w:footnote w:id="48">
    <w:p w14:paraId="4F136915" w14:textId="77777777" w:rsidR="00D0418C" w:rsidRPr="005A386A" w:rsidRDefault="00D0418C" w:rsidP="0068777C">
      <w:pPr>
        <w:pStyle w:val="FootnoteText"/>
        <w:rPr>
          <w:szCs w:val="19"/>
          <w:lang w:val="en-NZ"/>
        </w:rPr>
      </w:pPr>
      <w:r w:rsidRPr="005A386A">
        <w:rPr>
          <w:rStyle w:val="FootnoteReference"/>
          <w:szCs w:val="19"/>
          <w:lang w:val="en-NZ"/>
        </w:rPr>
        <w:footnoteRef/>
      </w:r>
      <w:r w:rsidRPr="005A386A">
        <w:rPr>
          <w:szCs w:val="19"/>
          <w:lang w:val="en-NZ"/>
        </w:rPr>
        <w:t xml:space="preserve"> </w:t>
      </w:r>
      <w:r w:rsidRPr="005A386A">
        <w:rPr>
          <w:szCs w:val="19"/>
          <w:lang w:val="en-NZ"/>
        </w:rPr>
        <w:tab/>
        <w:t>Fick et al. (2011) and pers. comm. (2010).</w:t>
      </w:r>
    </w:p>
  </w:footnote>
  <w:footnote w:id="49">
    <w:p w14:paraId="36B33B79" w14:textId="77777777" w:rsidR="00D0418C" w:rsidRPr="005A386A" w:rsidRDefault="00D0418C" w:rsidP="0068777C">
      <w:pPr>
        <w:pStyle w:val="FootnoteText"/>
        <w:rPr>
          <w:szCs w:val="19"/>
          <w:lang w:val="en-NZ"/>
        </w:rPr>
      </w:pPr>
      <w:r w:rsidRPr="005A386A">
        <w:rPr>
          <w:rStyle w:val="FootnoteReference"/>
          <w:szCs w:val="19"/>
          <w:lang w:val="en-NZ"/>
        </w:rPr>
        <w:footnoteRef/>
      </w:r>
      <w:r w:rsidRPr="005A386A">
        <w:rPr>
          <w:szCs w:val="19"/>
          <w:lang w:val="en-NZ"/>
        </w:rPr>
        <w:t xml:space="preserve"> </w:t>
      </w:r>
      <w:r w:rsidRPr="005A386A">
        <w:rPr>
          <w:szCs w:val="19"/>
          <w:lang w:val="en-NZ"/>
        </w:rPr>
        <w:tab/>
        <w:t>IPCC (1996) default waste management proportions for Oceania.</w:t>
      </w:r>
    </w:p>
  </w:footnote>
  <w:footnote w:id="50">
    <w:p w14:paraId="14FD5991" w14:textId="77777777" w:rsidR="00D0418C" w:rsidRPr="005A386A" w:rsidRDefault="00D0418C" w:rsidP="0068777C">
      <w:pPr>
        <w:pStyle w:val="FootnoteText"/>
        <w:rPr>
          <w:szCs w:val="19"/>
          <w:lang w:val="en-NZ"/>
        </w:rPr>
      </w:pPr>
      <w:r w:rsidRPr="005A386A">
        <w:rPr>
          <w:rStyle w:val="FootnoteReference"/>
          <w:lang w:val="en-NZ"/>
        </w:rPr>
        <w:footnoteRef/>
      </w:r>
      <w:r w:rsidRPr="005A386A">
        <w:rPr>
          <w:lang w:val="en-NZ"/>
        </w:rPr>
        <w:t xml:space="preserve"> </w:t>
      </w:r>
      <w:r w:rsidRPr="005A386A">
        <w:rPr>
          <w:lang w:val="en-NZ"/>
        </w:rPr>
        <w:tab/>
        <w:t xml:space="preserve">As reported in Australia’s </w:t>
      </w:r>
      <w:r w:rsidRPr="005A386A">
        <w:rPr>
          <w:i/>
          <w:iCs/>
          <w:lang w:val="en-NZ"/>
        </w:rPr>
        <w:t>National Inventory Report 2016</w:t>
      </w:r>
      <w:r w:rsidRPr="005A386A">
        <w:rPr>
          <w:iCs/>
          <w:lang w:val="en-NZ"/>
        </w:rPr>
        <w:t xml:space="preserve"> (Commonwealth of Australia, 2018)</w:t>
      </w:r>
      <w:r w:rsidRPr="005A386A">
        <w:rPr>
          <w:lang w:val="en-NZ"/>
        </w:rPr>
        <w:t xml:space="preserve">. Retrieved from </w:t>
      </w:r>
      <w:hyperlink r:id="rId2" w:history="1">
        <w:r w:rsidRPr="005A386A">
          <w:rPr>
            <w:rStyle w:val="Hyperlink"/>
            <w:lang w:val="en-NZ"/>
          </w:rPr>
          <w:t>https://unfccc.int/documents/65705</w:t>
        </w:r>
      </w:hyperlink>
      <w:r w:rsidRPr="005A386A">
        <w:rPr>
          <w:lang w:val="en-NZ"/>
        </w:rPr>
        <w:t xml:space="preserve"> (5 November 2018). Note that the Australian-specific non-dairy cattle IEF value is calculated from a population-based weighted average of pasture and feedlot IEF values from non-dairy cattle.</w:t>
      </w:r>
    </w:p>
  </w:footnote>
  <w:footnote w:id="51">
    <w:p w14:paraId="5661C386" w14:textId="77777777" w:rsidR="00D0418C" w:rsidRPr="005A386A" w:rsidRDefault="00D0418C" w:rsidP="0068777C">
      <w:pPr>
        <w:pStyle w:val="FootnoteText"/>
        <w:rPr>
          <w:lang w:val="en-NZ"/>
        </w:rPr>
      </w:pPr>
      <w:r w:rsidRPr="005A386A">
        <w:rPr>
          <w:rStyle w:val="FootnoteReference"/>
          <w:lang w:val="en-NZ"/>
        </w:rPr>
        <w:footnoteRef/>
      </w:r>
      <w:r w:rsidRPr="005A386A">
        <w:rPr>
          <w:lang w:val="en-NZ"/>
        </w:rPr>
        <w:t xml:space="preserve"> </w:t>
      </w:r>
      <w:r w:rsidRPr="005A386A">
        <w:rPr>
          <w:lang w:val="en-NZ"/>
        </w:rPr>
        <w:tab/>
        <w:t>For reporting under the 1996 IPCC Guidelines, this parameter was defined as Frac</w:t>
      </w:r>
      <w:r w:rsidRPr="005A386A">
        <w:rPr>
          <w:vertAlign w:val="subscript"/>
          <w:lang w:val="en-NZ"/>
        </w:rPr>
        <w:t>LEACH</w:t>
      </w:r>
      <w:r w:rsidRPr="005A386A">
        <w:rPr>
          <w:lang w:val="en-NZ"/>
        </w:rPr>
        <w:t>; under the 2006 IPCC Guidelines, it is defined as Frac</w:t>
      </w:r>
      <w:r w:rsidRPr="005A386A">
        <w:rPr>
          <w:vertAlign w:val="subscript"/>
          <w:lang w:val="en-NZ"/>
        </w:rPr>
        <w:t>LEACH – (H)</w:t>
      </w:r>
      <w:r w:rsidRPr="005A386A">
        <w:rPr>
          <w:lang w:val="en-NZ"/>
        </w:rPr>
        <w:t>.</w:t>
      </w:r>
    </w:p>
  </w:footnote>
  <w:footnote w:id="52">
    <w:p w14:paraId="7F96E031" w14:textId="77777777" w:rsidR="00D0418C" w:rsidRPr="005A386A" w:rsidRDefault="00D0418C" w:rsidP="0068777C">
      <w:pPr>
        <w:pStyle w:val="FootnoteText"/>
        <w:rPr>
          <w:lang w:val="en-NZ"/>
        </w:rPr>
      </w:pPr>
      <w:r w:rsidRPr="005A386A">
        <w:rPr>
          <w:rStyle w:val="FootnoteReference"/>
          <w:lang w:val="en-NZ"/>
        </w:rPr>
        <w:footnoteRef/>
      </w:r>
      <w:r w:rsidRPr="005A386A">
        <w:rPr>
          <w:lang w:val="en-NZ"/>
        </w:rPr>
        <w:t xml:space="preserve"> </w:t>
      </w:r>
      <w:r w:rsidRPr="005A386A">
        <w:rPr>
          <w:lang w:val="en-NZ"/>
        </w:rPr>
        <w:tab/>
        <w:t>A New Zealand parameter for Frac</w:t>
      </w:r>
      <w:r w:rsidRPr="005A386A">
        <w:rPr>
          <w:vertAlign w:val="subscript"/>
          <w:lang w:val="en-NZ"/>
        </w:rPr>
        <w:t>LEACH</w:t>
      </w:r>
      <w:r w:rsidRPr="005A386A">
        <w:rPr>
          <w:lang w:val="en-NZ"/>
        </w:rPr>
        <w:t xml:space="preserve"> of 0.15 was used in inventories submitted before 2003.</w:t>
      </w:r>
    </w:p>
  </w:footnote>
  <w:footnote w:id="53">
    <w:p w14:paraId="5A23A2F2" w14:textId="77777777" w:rsidR="00D0418C" w:rsidRPr="005A386A" w:rsidRDefault="00D0418C" w:rsidP="0068777C">
      <w:pPr>
        <w:pStyle w:val="FootnoteText"/>
        <w:rPr>
          <w:lang w:val="en-NZ"/>
        </w:rPr>
      </w:pPr>
      <w:r w:rsidRPr="005A386A">
        <w:rPr>
          <w:rStyle w:val="FootnoteReference"/>
          <w:lang w:val="en-NZ"/>
        </w:rPr>
        <w:footnoteRef/>
      </w:r>
      <w:r w:rsidRPr="005A386A">
        <w:rPr>
          <w:lang w:val="en-NZ"/>
        </w:rPr>
        <w:t xml:space="preserve"> </w:t>
      </w:r>
      <w:r w:rsidRPr="005A386A">
        <w:rPr>
          <w:lang w:val="en-NZ"/>
        </w:rPr>
        <w:tab/>
        <w:t xml:space="preserve">Activity data on urease inhibitor usage before 2016 was provided by Ballance Agri-Nutrients Limited. </w:t>
      </w:r>
    </w:p>
  </w:footnote>
  <w:footnote w:id="54">
    <w:p w14:paraId="4BCDD56E" w14:textId="77777777" w:rsidR="00D0418C" w:rsidRPr="005A386A" w:rsidRDefault="00D0418C" w:rsidP="00380BE7">
      <w:pPr>
        <w:pStyle w:val="FootnoteText"/>
        <w:rPr>
          <w:lang w:val="en-NZ"/>
        </w:rPr>
      </w:pPr>
      <w:r w:rsidRPr="005A386A">
        <w:rPr>
          <w:rStyle w:val="FootnoteReference"/>
          <w:lang w:val="en-NZ"/>
        </w:rPr>
        <w:footnoteRef/>
      </w:r>
      <w:r w:rsidRPr="005A386A">
        <w:rPr>
          <w:lang w:val="en-NZ"/>
        </w:rPr>
        <w:tab/>
        <w:t>Land cover consistent with pre-1990 natural forest, pre-1990 planted forest, post-1989 forest and grassland with woody biomass land uses.</w:t>
      </w:r>
    </w:p>
  </w:footnote>
  <w:footnote w:id="55">
    <w:p w14:paraId="3281A9D7" w14:textId="77777777" w:rsidR="00D0418C" w:rsidRPr="005A386A" w:rsidRDefault="00D0418C" w:rsidP="00380BE7">
      <w:pPr>
        <w:pStyle w:val="FootnoteText"/>
        <w:spacing w:after="50"/>
        <w:rPr>
          <w:lang w:val="en-NZ"/>
        </w:rPr>
      </w:pPr>
      <w:r w:rsidRPr="005A386A">
        <w:rPr>
          <w:rStyle w:val="FootnoteReference"/>
          <w:lang w:val="en-NZ"/>
        </w:rPr>
        <w:footnoteRef/>
      </w:r>
      <w:r w:rsidRPr="005A386A">
        <w:rPr>
          <w:lang w:val="en-NZ"/>
        </w:rPr>
        <w:t xml:space="preserve"> </w:t>
      </w:r>
      <w:r w:rsidRPr="005A386A">
        <w:rPr>
          <w:lang w:val="en-NZ"/>
        </w:rPr>
        <w:tab/>
        <w:t>‘Destocking’ is defined here as forest loss for any reason including harvesting, deforestation or some type of non-anthropogenic change, such as wind damage or erosion.</w:t>
      </w:r>
    </w:p>
  </w:footnote>
  <w:footnote w:id="56">
    <w:p w14:paraId="335D5E85" w14:textId="77777777" w:rsidR="00D0418C" w:rsidRPr="005A386A" w:rsidRDefault="00D0418C" w:rsidP="00380BE7">
      <w:pPr>
        <w:pStyle w:val="FootnoteText"/>
        <w:spacing w:after="50"/>
        <w:rPr>
          <w:lang w:val="en-NZ"/>
        </w:rPr>
      </w:pPr>
      <w:r w:rsidRPr="005A386A">
        <w:rPr>
          <w:rStyle w:val="FootnoteReference"/>
          <w:lang w:val="en-NZ"/>
        </w:rPr>
        <w:footnoteRef/>
      </w:r>
      <w:r w:rsidRPr="005A386A">
        <w:rPr>
          <w:lang w:val="en-NZ"/>
        </w:rPr>
        <w:tab/>
        <w:t xml:space="preserve">To distinguish between deforestation and temporary tree crown cover removal in forest land, New Zealand has defined the expected period between the removal of tree cover and successful natural regeneration or planting as four years. </w:t>
      </w:r>
    </w:p>
  </w:footnote>
  <w:footnote w:id="57">
    <w:p w14:paraId="1FFFDDC0" w14:textId="77777777" w:rsidR="00D0418C" w:rsidRPr="005A386A" w:rsidRDefault="00D0418C" w:rsidP="00380BE7">
      <w:pPr>
        <w:pStyle w:val="FootnoteText"/>
        <w:spacing w:after="0"/>
        <w:rPr>
          <w:lang w:val="en-NZ"/>
        </w:rPr>
      </w:pPr>
      <w:r w:rsidRPr="005A386A">
        <w:rPr>
          <w:rStyle w:val="FootnoteReference"/>
          <w:lang w:val="en-NZ"/>
        </w:rPr>
        <w:footnoteRef/>
      </w:r>
      <w:r w:rsidRPr="005A386A">
        <w:rPr>
          <w:lang w:val="en-NZ"/>
        </w:rPr>
        <w:tab/>
        <w:t>Often regenerating shrubland areas are sprayed but land-use conversion is not completed by clearing the area. In these instances, the vegetation regenerates and recovers, therefore land-use change has not occurred.</w:t>
      </w:r>
    </w:p>
  </w:footnote>
  <w:footnote w:id="58">
    <w:p w14:paraId="35EAC287" w14:textId="77777777" w:rsidR="00D0418C" w:rsidRPr="005A386A" w:rsidRDefault="00D0418C" w:rsidP="00380BE7">
      <w:pPr>
        <w:pStyle w:val="FootnoteText"/>
        <w:spacing w:after="40"/>
        <w:rPr>
          <w:lang w:val="en-NZ"/>
        </w:rPr>
      </w:pPr>
      <w:r w:rsidRPr="005A386A">
        <w:rPr>
          <w:rStyle w:val="FootnoteReference"/>
          <w:lang w:val="en-NZ"/>
        </w:rPr>
        <w:footnoteRef/>
      </w:r>
      <w:r w:rsidRPr="005A386A">
        <w:rPr>
          <w:lang w:val="en-NZ"/>
        </w:rPr>
        <w:t xml:space="preserve"> </w:t>
      </w:r>
      <w:r w:rsidRPr="005A386A">
        <w:rPr>
          <w:lang w:val="en-NZ"/>
        </w:rPr>
        <w:tab/>
        <w:t>The SPOT-6 natural colour 1.5-metre resolution imagery was acquired in the summers of 2012/13 and 2013/14 making it generally one year later than the SPOT-5 multi-spectral 10-metre resolution imagery used to create the 2012 land use map.</w:t>
      </w:r>
    </w:p>
  </w:footnote>
  <w:footnote w:id="59">
    <w:p w14:paraId="0A357C3A" w14:textId="77777777" w:rsidR="00D0418C" w:rsidRPr="005A386A" w:rsidRDefault="00D0418C" w:rsidP="00380BE7">
      <w:pPr>
        <w:pStyle w:val="FootnoteText"/>
        <w:rPr>
          <w:lang w:val="en-NZ"/>
        </w:rPr>
      </w:pPr>
      <w:r w:rsidRPr="005A386A">
        <w:rPr>
          <w:rStyle w:val="FootnoteReference"/>
          <w:lang w:val="en-NZ"/>
        </w:rPr>
        <w:footnoteRef/>
      </w:r>
      <w:r w:rsidRPr="005A386A">
        <w:rPr>
          <w:lang w:val="en-NZ"/>
        </w:rPr>
        <w:tab/>
        <w:t>An exception occurred in the creation of the Clyde Dam. The Clutha River in the South Island was dammed, creating Lake Dunstan. The area flooded was mostly low producing grassland.</w:t>
      </w:r>
    </w:p>
  </w:footnote>
  <w:footnote w:id="60">
    <w:p w14:paraId="7A72FFA2" w14:textId="77777777" w:rsidR="00D0418C" w:rsidRPr="005A386A" w:rsidRDefault="00D0418C" w:rsidP="00E605B1">
      <w:pPr>
        <w:pStyle w:val="FootnoteText"/>
        <w:spacing w:after="0"/>
        <w:rPr>
          <w:lang w:val="en-NZ"/>
        </w:rPr>
      </w:pPr>
      <w:r w:rsidRPr="005A386A">
        <w:rPr>
          <w:rStyle w:val="FootnoteReference"/>
          <w:lang w:val="en-NZ"/>
        </w:rPr>
        <w:footnoteRef/>
      </w:r>
      <w:r w:rsidRPr="005A386A">
        <w:rPr>
          <w:lang w:val="en-NZ"/>
        </w:rPr>
        <w:t xml:space="preserve"> </w:t>
      </w:r>
      <w:r w:rsidRPr="005A386A">
        <w:rPr>
          <w:lang w:val="en-NZ"/>
        </w:rPr>
        <w:tab/>
      </w:r>
      <w:r w:rsidRPr="005A386A">
        <w:rPr>
          <w:shd w:val="clear" w:color="auto" w:fill="FFFFFF"/>
          <w:lang w:val="en-NZ"/>
        </w:rPr>
        <w:t>In the United Nations Charter (UN, 1945), a non-self-governing territory is defined as a territory “whose people have not yet attained a full measure of self-government”. Tokelau has been on the United Nations list of non-self-governing territories since 1946, following the declaration of the intention by New Zealand to transmit information on the Tokelau Islands under Article 73e of the United Nations Charter.</w:t>
      </w:r>
    </w:p>
  </w:footnote>
  <w:footnote w:id="61">
    <w:p w14:paraId="28C5DF44" w14:textId="77777777" w:rsidR="00D0418C" w:rsidRPr="005A386A" w:rsidRDefault="00D0418C" w:rsidP="00FB33C6">
      <w:pPr>
        <w:pStyle w:val="FootnoteText"/>
        <w:rPr>
          <w:lang w:val="en-NZ"/>
        </w:rPr>
      </w:pPr>
      <w:r w:rsidRPr="005A386A">
        <w:rPr>
          <w:rStyle w:val="FootnoteReference"/>
          <w:lang w:val="en-NZ"/>
        </w:rPr>
        <w:footnoteRef/>
      </w:r>
      <w:r w:rsidRPr="005A386A">
        <w:rPr>
          <w:lang w:val="en-NZ"/>
        </w:rPr>
        <w:t xml:space="preserve"> </w:t>
      </w:r>
      <w:r w:rsidRPr="005A386A">
        <w:rPr>
          <w:lang w:val="en-NZ"/>
        </w:rPr>
        <w:tab/>
        <w:t>See www.mfat.govt.nz/assets/Aid-Prog-docs/Evaluations/2016/June-2016/Tokelau-Programme-Evaluation-Final-2015.pdf.</w:t>
      </w:r>
    </w:p>
  </w:footnote>
  <w:footnote w:id="62">
    <w:p w14:paraId="4A12FF75" w14:textId="77777777" w:rsidR="00D0418C" w:rsidRPr="005A386A" w:rsidRDefault="00D0418C" w:rsidP="00FB33C6">
      <w:pPr>
        <w:pStyle w:val="FootnoteText"/>
        <w:rPr>
          <w:szCs w:val="19"/>
          <w:lang w:val="en-NZ"/>
        </w:rPr>
      </w:pPr>
      <w:r w:rsidRPr="005A386A">
        <w:rPr>
          <w:rStyle w:val="FootnoteReference"/>
          <w:szCs w:val="19"/>
          <w:lang w:val="en-NZ"/>
        </w:rPr>
        <w:footnoteRef/>
      </w:r>
      <w:r w:rsidRPr="005A386A">
        <w:rPr>
          <w:szCs w:val="19"/>
          <w:lang w:val="en-NZ"/>
        </w:rPr>
        <w:t xml:space="preserve"> </w:t>
      </w:r>
      <w:r w:rsidRPr="005A386A">
        <w:rPr>
          <w:szCs w:val="19"/>
          <w:lang w:val="en-NZ"/>
        </w:rPr>
        <w:tab/>
        <w:t xml:space="preserve">A keyhole garden is a small (approximately 2.5 metre diameter) circular raised garden with a keyhole-shaped indentation on one side. A </w:t>
      </w:r>
      <w:r w:rsidRPr="005A386A">
        <w:rPr>
          <w:iCs/>
          <w:szCs w:val="19"/>
          <w:lang w:val="en-NZ"/>
        </w:rPr>
        <w:t>keyhole garden</w:t>
      </w:r>
      <w:r w:rsidRPr="005A386A">
        <w:rPr>
          <w:szCs w:val="19"/>
          <w:lang w:val="en-NZ"/>
        </w:rPr>
        <w:t xml:space="preserve"> holds moisture and nutrients due to an active compost pile placed in the centre of a round bed. </w:t>
      </w:r>
    </w:p>
  </w:footnote>
  <w:footnote w:id="63">
    <w:p w14:paraId="55DEF77B" w14:textId="7D275B06" w:rsidR="00D0418C" w:rsidRPr="005A386A" w:rsidRDefault="00D0418C" w:rsidP="00FB33C6">
      <w:pPr>
        <w:pStyle w:val="FootnoteText"/>
        <w:rPr>
          <w:lang w:val="en-NZ"/>
        </w:rPr>
      </w:pPr>
      <w:r w:rsidRPr="005A386A">
        <w:rPr>
          <w:rStyle w:val="FootnoteReference"/>
          <w:szCs w:val="19"/>
          <w:lang w:val="en-NZ"/>
        </w:rPr>
        <w:footnoteRef/>
      </w:r>
      <w:r w:rsidRPr="005A386A">
        <w:rPr>
          <w:szCs w:val="19"/>
          <w:lang w:val="en-NZ"/>
        </w:rPr>
        <w:t xml:space="preserve"> </w:t>
      </w:r>
      <w:r w:rsidRPr="005A386A">
        <w:rPr>
          <w:szCs w:val="19"/>
          <w:lang w:val="en-NZ"/>
        </w:rPr>
        <w:tab/>
        <w:t xml:space="preserve">See Government of Tokelau. 2017. </w:t>
      </w:r>
      <w:r w:rsidRPr="005A386A">
        <w:rPr>
          <w:i/>
          <w:szCs w:val="19"/>
          <w:lang w:val="en-NZ"/>
        </w:rPr>
        <w:t>Solid Waste Management: MOU Signed between Tokelau EDNRE and Pacific Recycle Co. Ltd</w:t>
      </w:r>
      <w:r w:rsidRPr="005A386A">
        <w:rPr>
          <w:szCs w:val="19"/>
          <w:lang w:val="en-NZ"/>
        </w:rPr>
        <w:t xml:space="preserve">. Retrieved from </w:t>
      </w:r>
      <w:hyperlink r:id="rId3" w:history="1">
        <w:r w:rsidRPr="005A386A">
          <w:rPr>
            <w:rStyle w:val="Hyperlink"/>
            <w:color w:val="auto"/>
            <w:szCs w:val="19"/>
            <w:lang w:val="en-NZ"/>
          </w:rPr>
          <w:t>www.tokelau.org.nz/Bulletin/December+ 2017/Solid+Waste+ Management+MOU+Signed+between+Tokelau+EDNRE+and+Pacific++Recycle+Co.+Ltd.html</w:t>
        </w:r>
      </w:hyperlink>
      <w:r w:rsidRPr="005A386A">
        <w:rPr>
          <w:rStyle w:val="Hyperlink"/>
          <w:color w:val="auto"/>
          <w:szCs w:val="19"/>
          <w:lang w:val="en-NZ"/>
        </w:rPr>
        <w:t xml:space="preserve"> (9 March 2018).</w:t>
      </w:r>
    </w:p>
  </w:footnote>
  <w:footnote w:id="64">
    <w:p w14:paraId="17F82339" w14:textId="77777777" w:rsidR="00D0418C" w:rsidRPr="005A386A" w:rsidRDefault="00D0418C" w:rsidP="000E7C76">
      <w:pPr>
        <w:pStyle w:val="FootnoteText"/>
        <w:rPr>
          <w:lang w:val="en-NZ"/>
        </w:rPr>
      </w:pPr>
      <w:r w:rsidRPr="005A386A">
        <w:rPr>
          <w:rStyle w:val="FootnoteReference"/>
          <w:lang w:val="en-NZ"/>
        </w:rPr>
        <w:footnoteRef/>
      </w:r>
      <w:r w:rsidRPr="005A386A">
        <w:rPr>
          <w:lang w:val="en-NZ"/>
        </w:rPr>
        <w:tab/>
        <w:t>Including emissions from harvesting of post-1989 forest.</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3CE209F" w14:textId="5A80E1B5" w:rsidR="00D0418C" w:rsidRDefault="00D0418C" w:rsidP="00B44BA5">
    <w:pPr>
      <w:pStyle w:val="Header"/>
      <w:ind w:left="-567"/>
      <w:jc w:val="left"/>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C338041" w14:textId="77777777" w:rsidR="00D0418C" w:rsidRDefault="00D0418C">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F9198FF" w14:textId="77777777" w:rsidR="00D0418C" w:rsidRDefault="00D0418C">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DE7F542" w14:textId="77777777" w:rsidR="00D0418C" w:rsidRDefault="00D0418C">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3F89BBF" w14:textId="77777777" w:rsidR="00D0418C" w:rsidRDefault="00D0418C">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CE786C8A"/>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1D6AC9AC"/>
    <w:lvl w:ilvl="0">
      <w:start w:val="1"/>
      <w:numFmt w:val="decimal"/>
      <w:pStyle w:val="ListNumber4"/>
      <w:lvlText w:val="%1."/>
      <w:lvlJc w:val="left"/>
      <w:pPr>
        <w:tabs>
          <w:tab w:val="num" w:pos="1209"/>
        </w:tabs>
        <w:ind w:left="1209" w:hanging="360"/>
      </w:pPr>
    </w:lvl>
  </w:abstractNum>
  <w:abstractNum w:abstractNumId="2" w15:restartNumberingAfterBreak="0">
    <w:nsid w:val="FFFFFF80"/>
    <w:multiLevelType w:val="singleLevel"/>
    <w:tmpl w:val="548CEFF2"/>
    <w:lvl w:ilvl="0">
      <w:start w:val="1"/>
      <w:numFmt w:val="bullet"/>
      <w:pStyle w:val="ListBullet5"/>
      <w:lvlText w:val=""/>
      <w:lvlJc w:val="left"/>
      <w:pPr>
        <w:tabs>
          <w:tab w:val="num" w:pos="1492"/>
        </w:tabs>
        <w:ind w:left="1492" w:hanging="360"/>
      </w:pPr>
      <w:rPr>
        <w:rFonts w:ascii="Symbol" w:hAnsi="Symbol" w:hint="default"/>
      </w:rPr>
    </w:lvl>
  </w:abstractNum>
  <w:abstractNum w:abstractNumId="3" w15:restartNumberingAfterBreak="0">
    <w:nsid w:val="FFFFFF81"/>
    <w:multiLevelType w:val="singleLevel"/>
    <w:tmpl w:val="E3000008"/>
    <w:lvl w:ilvl="0">
      <w:start w:val="1"/>
      <w:numFmt w:val="bullet"/>
      <w:pStyle w:val="ListBullet4"/>
      <w:lvlText w:val=""/>
      <w:lvlJc w:val="left"/>
      <w:pPr>
        <w:tabs>
          <w:tab w:val="num" w:pos="1209"/>
        </w:tabs>
        <w:ind w:left="1209" w:hanging="360"/>
      </w:pPr>
      <w:rPr>
        <w:rFonts w:ascii="Symbol" w:hAnsi="Symbol" w:hint="default"/>
      </w:rPr>
    </w:lvl>
  </w:abstractNum>
  <w:abstractNum w:abstractNumId="4" w15:restartNumberingAfterBreak="0">
    <w:nsid w:val="FFFFFF82"/>
    <w:multiLevelType w:val="singleLevel"/>
    <w:tmpl w:val="132E234E"/>
    <w:lvl w:ilvl="0">
      <w:start w:val="1"/>
      <w:numFmt w:val="bullet"/>
      <w:pStyle w:val="ListBullet3"/>
      <w:lvlText w:val=""/>
      <w:lvlJc w:val="left"/>
      <w:pPr>
        <w:tabs>
          <w:tab w:val="num" w:pos="926"/>
        </w:tabs>
        <w:ind w:left="926" w:hanging="360"/>
      </w:pPr>
      <w:rPr>
        <w:rFonts w:ascii="Symbol" w:hAnsi="Symbol" w:hint="default"/>
      </w:rPr>
    </w:lvl>
  </w:abstractNum>
  <w:abstractNum w:abstractNumId="5" w15:restartNumberingAfterBreak="0">
    <w:nsid w:val="FFFFFF83"/>
    <w:multiLevelType w:val="singleLevel"/>
    <w:tmpl w:val="3F6446A0"/>
    <w:lvl w:ilvl="0">
      <w:start w:val="1"/>
      <w:numFmt w:val="bullet"/>
      <w:pStyle w:val="ListBullet2"/>
      <w:lvlText w:val=""/>
      <w:lvlJc w:val="left"/>
      <w:pPr>
        <w:tabs>
          <w:tab w:val="num" w:pos="643"/>
        </w:tabs>
        <w:ind w:left="643" w:hanging="360"/>
      </w:pPr>
      <w:rPr>
        <w:rFonts w:ascii="Symbol" w:hAnsi="Symbol" w:hint="default"/>
      </w:rPr>
    </w:lvl>
  </w:abstractNum>
  <w:abstractNum w:abstractNumId="6" w15:restartNumberingAfterBreak="0">
    <w:nsid w:val="FFFFFF89"/>
    <w:multiLevelType w:val="singleLevel"/>
    <w:tmpl w:val="FD86B90A"/>
    <w:lvl w:ilvl="0">
      <w:start w:val="1"/>
      <w:numFmt w:val="bullet"/>
      <w:pStyle w:val="ListBullet"/>
      <w:lvlText w:val=""/>
      <w:lvlJc w:val="left"/>
      <w:pPr>
        <w:tabs>
          <w:tab w:val="num" w:pos="360"/>
        </w:tabs>
        <w:ind w:left="360" w:hanging="360"/>
      </w:pPr>
      <w:rPr>
        <w:rFonts w:ascii="Symbol" w:hAnsi="Symbol" w:hint="default"/>
      </w:rPr>
    </w:lvl>
  </w:abstractNum>
  <w:abstractNum w:abstractNumId="7" w15:restartNumberingAfterBreak="0">
    <w:nsid w:val="FFFFFFFE"/>
    <w:multiLevelType w:val="singleLevel"/>
    <w:tmpl w:val="E5101BE4"/>
    <w:lvl w:ilvl="0">
      <w:numFmt w:val="decimal"/>
      <w:pStyle w:val="Sub-bullet"/>
      <w:lvlText w:val="*"/>
      <w:lvlJc w:val="left"/>
    </w:lvl>
  </w:abstractNum>
  <w:abstractNum w:abstractNumId="8" w15:restartNumberingAfterBreak="0">
    <w:nsid w:val="041849F3"/>
    <w:multiLevelType w:val="hybridMultilevel"/>
    <w:tmpl w:val="9234825C"/>
    <w:lvl w:ilvl="0" w:tplc="4AE8F718">
      <w:start w:val="1"/>
      <w:numFmt w:val="lowerLetter"/>
      <w:pStyle w:val="a"/>
      <w:lvlText w:val="(%1)"/>
      <w:lvlJc w:val="left"/>
      <w:pPr>
        <w:tabs>
          <w:tab w:val="num" w:pos="720"/>
        </w:tabs>
        <w:ind w:left="720" w:hanging="360"/>
      </w:pPr>
      <w:rPr>
        <w:rFonts w:hint="default"/>
      </w:rPr>
    </w:lvl>
    <w:lvl w:ilvl="1" w:tplc="08090019">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9" w15:restartNumberingAfterBreak="0">
    <w:nsid w:val="04B67626"/>
    <w:multiLevelType w:val="hybridMultilevel"/>
    <w:tmpl w:val="9E70C15A"/>
    <w:lvl w:ilvl="0" w:tplc="FFFFFFFF">
      <w:start w:val="1"/>
      <w:numFmt w:val="decimal"/>
      <w:pStyle w:val="Numberedparagraph"/>
      <w:lvlText w:val="%1."/>
      <w:lvlJc w:val="left"/>
      <w:pPr>
        <w:tabs>
          <w:tab w:val="num" w:pos="397"/>
        </w:tabs>
        <w:ind w:left="397" w:hanging="397"/>
      </w:pPr>
      <w:rPr>
        <w:rFonts w:ascii="Times New Roman" w:hAnsi="Times New Roman" w:cs="Arial" w:hint="default"/>
        <w:b w:val="0"/>
        <w:i w:val="0"/>
        <w:color w:val="auto"/>
        <w:sz w:val="22"/>
        <w:szCs w:val="22"/>
      </w:rPr>
    </w:lvl>
    <w:lvl w:ilvl="1" w:tplc="FFFFFFFF">
      <w:start w:val="1"/>
      <w:numFmt w:val="lowerLetter"/>
      <w:lvlText w:val="%2."/>
      <w:lvlJc w:val="left"/>
      <w:pPr>
        <w:tabs>
          <w:tab w:val="num" w:pos="1440"/>
        </w:tabs>
        <w:ind w:left="1440" w:hanging="360"/>
      </w:pPr>
      <w:rPr>
        <w:b/>
      </w:r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10" w15:restartNumberingAfterBreak="0">
    <w:nsid w:val="04F6031F"/>
    <w:multiLevelType w:val="hybridMultilevel"/>
    <w:tmpl w:val="CE44A972"/>
    <w:lvl w:ilvl="0" w:tplc="1409000F">
      <w:start w:val="1"/>
      <w:numFmt w:val="decimal"/>
      <w:lvlText w:val="%1."/>
      <w:lvlJc w:val="left"/>
      <w:pPr>
        <w:ind w:left="720" w:hanging="360"/>
      </w:p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11" w15:restartNumberingAfterBreak="0">
    <w:nsid w:val="087E72AA"/>
    <w:multiLevelType w:val="hybridMultilevel"/>
    <w:tmpl w:val="718C8530"/>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2" w15:restartNumberingAfterBreak="0">
    <w:nsid w:val="0AA937C0"/>
    <w:multiLevelType w:val="hybridMultilevel"/>
    <w:tmpl w:val="6B0C318C"/>
    <w:lvl w:ilvl="0" w:tplc="1409000F">
      <w:start w:val="1"/>
      <w:numFmt w:val="decimal"/>
      <w:lvlText w:val="%1."/>
      <w:lvlJc w:val="left"/>
      <w:pPr>
        <w:ind w:left="720" w:hanging="360"/>
      </w:pPr>
    </w:lvl>
    <w:lvl w:ilvl="1" w:tplc="32CAB862">
      <w:start w:val="1"/>
      <w:numFmt w:val="lowerLetter"/>
      <w:pStyle w:val="Boxa"/>
      <w:lvlText w:val="%2."/>
      <w:lvlJc w:val="left"/>
      <w:pPr>
        <w:ind w:left="1440" w:hanging="360"/>
      </w:pPr>
    </w:lvl>
    <w:lvl w:ilvl="2" w:tplc="1409001B">
      <w:start w:val="1"/>
      <w:numFmt w:val="decimal"/>
      <w:lvlText w:val="%3."/>
      <w:lvlJc w:val="left"/>
      <w:pPr>
        <w:tabs>
          <w:tab w:val="num" w:pos="2160"/>
        </w:tabs>
        <w:ind w:left="2160" w:hanging="360"/>
      </w:pPr>
    </w:lvl>
    <w:lvl w:ilvl="3" w:tplc="1409000F">
      <w:start w:val="1"/>
      <w:numFmt w:val="decimal"/>
      <w:lvlText w:val="%4."/>
      <w:lvlJc w:val="left"/>
      <w:pPr>
        <w:tabs>
          <w:tab w:val="num" w:pos="2880"/>
        </w:tabs>
        <w:ind w:left="2880" w:hanging="360"/>
      </w:pPr>
    </w:lvl>
    <w:lvl w:ilvl="4" w:tplc="14090019">
      <w:start w:val="1"/>
      <w:numFmt w:val="decimal"/>
      <w:lvlText w:val="%5."/>
      <w:lvlJc w:val="left"/>
      <w:pPr>
        <w:tabs>
          <w:tab w:val="num" w:pos="3600"/>
        </w:tabs>
        <w:ind w:left="3600" w:hanging="360"/>
      </w:pPr>
    </w:lvl>
    <w:lvl w:ilvl="5" w:tplc="1409001B">
      <w:start w:val="1"/>
      <w:numFmt w:val="decimal"/>
      <w:lvlText w:val="%6."/>
      <w:lvlJc w:val="left"/>
      <w:pPr>
        <w:tabs>
          <w:tab w:val="num" w:pos="4320"/>
        </w:tabs>
        <w:ind w:left="4320" w:hanging="360"/>
      </w:pPr>
    </w:lvl>
    <w:lvl w:ilvl="6" w:tplc="1409000F">
      <w:start w:val="1"/>
      <w:numFmt w:val="decimal"/>
      <w:lvlText w:val="%7."/>
      <w:lvlJc w:val="left"/>
      <w:pPr>
        <w:tabs>
          <w:tab w:val="num" w:pos="5040"/>
        </w:tabs>
        <w:ind w:left="5040" w:hanging="360"/>
      </w:pPr>
    </w:lvl>
    <w:lvl w:ilvl="7" w:tplc="14090019">
      <w:start w:val="1"/>
      <w:numFmt w:val="decimal"/>
      <w:lvlText w:val="%8."/>
      <w:lvlJc w:val="left"/>
      <w:pPr>
        <w:tabs>
          <w:tab w:val="num" w:pos="5760"/>
        </w:tabs>
        <w:ind w:left="5760" w:hanging="360"/>
      </w:pPr>
    </w:lvl>
    <w:lvl w:ilvl="8" w:tplc="1409001B">
      <w:start w:val="1"/>
      <w:numFmt w:val="decimal"/>
      <w:lvlText w:val="%9."/>
      <w:lvlJc w:val="left"/>
      <w:pPr>
        <w:tabs>
          <w:tab w:val="num" w:pos="6480"/>
        </w:tabs>
        <w:ind w:left="6480" w:hanging="360"/>
      </w:pPr>
    </w:lvl>
  </w:abstractNum>
  <w:abstractNum w:abstractNumId="13" w15:restartNumberingAfterBreak="0">
    <w:nsid w:val="16305FAC"/>
    <w:multiLevelType w:val="multilevel"/>
    <w:tmpl w:val="5CD615F8"/>
    <w:styleLink w:val="Annex"/>
    <w:lvl w:ilvl="0">
      <w:start w:val="4"/>
      <w:numFmt w:val="decimal"/>
      <w:lvlText w:val="A%1"/>
      <w:lvlJc w:val="left"/>
      <w:pPr>
        <w:ind w:left="0" w:firstLine="0"/>
      </w:pPr>
      <w:rPr>
        <w:rFonts w:hint="default"/>
      </w:rPr>
    </w:lvl>
    <w:lvl w:ilvl="1">
      <w:start w:val="1"/>
      <w:numFmt w:val="decimal"/>
      <w:lvlText w:val="A%1.%2"/>
      <w:lvlJc w:val="left"/>
      <w:pPr>
        <w:ind w:left="0" w:firstLine="0"/>
      </w:pPr>
      <w:rPr>
        <w:rFonts w:hint="default"/>
      </w:rPr>
    </w:lvl>
    <w:lvl w:ilvl="2">
      <w:start w:val="1"/>
      <w:numFmt w:val="decimal"/>
      <w:lvlText w:val="A%1.%2.%3"/>
      <w:lvlJc w:val="left"/>
      <w:pPr>
        <w:ind w:left="0" w:firstLine="0"/>
      </w:pPr>
      <w:rPr>
        <w:rFonts w:hint="default"/>
      </w:rPr>
    </w:lvl>
    <w:lvl w:ilvl="3">
      <w:start w:val="1"/>
      <w:numFmt w:val="decimal"/>
      <w:lvlText w:val="A%1.%2.%3.%4"/>
      <w:lvlJc w:val="left"/>
      <w:pPr>
        <w:ind w:left="0" w:firstLine="0"/>
      </w:pPr>
      <w:rPr>
        <w:rFonts w:hint="default"/>
      </w:rPr>
    </w:lvl>
    <w:lvl w:ilvl="4">
      <w:start w:val="1"/>
      <w:numFmt w:val="decimal"/>
      <w:lvlText w:val="(%5)"/>
      <w:lvlJc w:val="left"/>
      <w:pPr>
        <w:ind w:left="0" w:firstLine="0"/>
      </w:pPr>
      <w:rPr>
        <w:rFonts w:hint="default"/>
      </w:rPr>
    </w:lvl>
    <w:lvl w:ilvl="5">
      <w:start w:val="1"/>
      <w:numFmt w:val="lowerRoman"/>
      <w:lvlText w:val="(%6)"/>
      <w:lvlJc w:val="left"/>
      <w:pPr>
        <w:ind w:left="0" w:firstLine="0"/>
      </w:pPr>
      <w:rPr>
        <w:rFonts w:hint="default"/>
      </w:rPr>
    </w:lvl>
    <w:lvl w:ilvl="6">
      <w:start w:val="1"/>
      <w:numFmt w:val="decimal"/>
      <w:lvlText w:val="%7."/>
      <w:lvlJc w:val="left"/>
      <w:pPr>
        <w:ind w:left="0" w:firstLine="0"/>
      </w:pPr>
      <w:rPr>
        <w:rFonts w:hint="default"/>
      </w:rPr>
    </w:lvl>
    <w:lvl w:ilvl="7">
      <w:start w:val="1"/>
      <w:numFmt w:val="lowerLetter"/>
      <w:lvlText w:val="%8."/>
      <w:lvlJc w:val="left"/>
      <w:pPr>
        <w:ind w:left="0" w:firstLine="0"/>
      </w:pPr>
      <w:rPr>
        <w:rFonts w:hint="default"/>
      </w:rPr>
    </w:lvl>
    <w:lvl w:ilvl="8">
      <w:start w:val="1"/>
      <w:numFmt w:val="lowerRoman"/>
      <w:lvlText w:val="%9."/>
      <w:lvlJc w:val="left"/>
      <w:pPr>
        <w:ind w:left="0" w:firstLine="0"/>
      </w:pPr>
      <w:rPr>
        <w:rFonts w:hint="default"/>
      </w:rPr>
    </w:lvl>
  </w:abstractNum>
  <w:abstractNum w:abstractNumId="14" w15:restartNumberingAfterBreak="0">
    <w:nsid w:val="1E3F19DA"/>
    <w:multiLevelType w:val="hybridMultilevel"/>
    <w:tmpl w:val="CDB64B2A"/>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5" w15:restartNumberingAfterBreak="0">
    <w:nsid w:val="1EDA5A99"/>
    <w:multiLevelType w:val="hybridMultilevel"/>
    <w:tmpl w:val="ED5A4888"/>
    <w:lvl w:ilvl="0" w:tplc="1409000F">
      <w:start w:val="1"/>
      <w:numFmt w:val="decimal"/>
      <w:lvlText w:val="%1."/>
      <w:lvlJc w:val="left"/>
      <w:pPr>
        <w:ind w:left="720" w:hanging="360"/>
      </w:pPr>
    </w:lvl>
    <w:lvl w:ilvl="1" w:tplc="14090019">
      <w:start w:val="1"/>
      <w:numFmt w:val="lowerLetter"/>
      <w:lvlText w:val="%2."/>
      <w:lvlJc w:val="left"/>
      <w:pPr>
        <w:ind w:left="1440" w:hanging="360"/>
      </w:pPr>
    </w:lvl>
    <w:lvl w:ilvl="2" w:tplc="1409001B">
      <w:start w:val="1"/>
      <w:numFmt w:val="lowerRoman"/>
      <w:lvlText w:val="%3."/>
      <w:lvlJc w:val="right"/>
      <w:pPr>
        <w:ind w:left="2160" w:hanging="180"/>
      </w:pPr>
    </w:lvl>
    <w:lvl w:ilvl="3" w:tplc="1409000F">
      <w:start w:val="1"/>
      <w:numFmt w:val="decimal"/>
      <w:lvlText w:val="%4."/>
      <w:lvlJc w:val="left"/>
      <w:pPr>
        <w:ind w:left="2880" w:hanging="360"/>
      </w:pPr>
    </w:lvl>
    <w:lvl w:ilvl="4" w:tplc="14090019">
      <w:start w:val="1"/>
      <w:numFmt w:val="lowerLetter"/>
      <w:lvlText w:val="%5."/>
      <w:lvlJc w:val="left"/>
      <w:pPr>
        <w:ind w:left="3600" w:hanging="360"/>
      </w:pPr>
    </w:lvl>
    <w:lvl w:ilvl="5" w:tplc="1409001B">
      <w:start w:val="1"/>
      <w:numFmt w:val="lowerRoman"/>
      <w:lvlText w:val="%6."/>
      <w:lvlJc w:val="right"/>
      <w:pPr>
        <w:ind w:left="4320" w:hanging="180"/>
      </w:pPr>
    </w:lvl>
    <w:lvl w:ilvl="6" w:tplc="1409000F">
      <w:start w:val="1"/>
      <w:numFmt w:val="decimal"/>
      <w:lvlText w:val="%7."/>
      <w:lvlJc w:val="left"/>
      <w:pPr>
        <w:ind w:left="5040" w:hanging="360"/>
      </w:pPr>
    </w:lvl>
    <w:lvl w:ilvl="7" w:tplc="14090019">
      <w:start w:val="1"/>
      <w:numFmt w:val="lowerLetter"/>
      <w:lvlText w:val="%8."/>
      <w:lvlJc w:val="left"/>
      <w:pPr>
        <w:ind w:left="5760" w:hanging="360"/>
      </w:pPr>
    </w:lvl>
    <w:lvl w:ilvl="8" w:tplc="1409001B">
      <w:start w:val="1"/>
      <w:numFmt w:val="lowerRoman"/>
      <w:lvlText w:val="%9."/>
      <w:lvlJc w:val="right"/>
      <w:pPr>
        <w:ind w:left="6480" w:hanging="180"/>
      </w:pPr>
    </w:lvl>
  </w:abstractNum>
  <w:abstractNum w:abstractNumId="16" w15:restartNumberingAfterBreak="0">
    <w:nsid w:val="1FDF624F"/>
    <w:multiLevelType w:val="hybridMultilevel"/>
    <w:tmpl w:val="7E785C7A"/>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7" w15:restartNumberingAfterBreak="0">
    <w:nsid w:val="208C5CF5"/>
    <w:multiLevelType w:val="hybridMultilevel"/>
    <w:tmpl w:val="5C26AB5C"/>
    <w:lvl w:ilvl="0" w:tplc="14090001">
      <w:start w:val="1"/>
      <w:numFmt w:val="lowerLetter"/>
      <w:lvlText w:val="%1."/>
      <w:lvlJc w:val="left"/>
      <w:pPr>
        <w:tabs>
          <w:tab w:val="num" w:pos="794"/>
        </w:tabs>
        <w:ind w:left="794" w:hanging="397"/>
      </w:pPr>
      <w:rPr>
        <w:rFonts w:ascii="Times New Roman" w:hAnsi="Times New Roman" w:hint="default"/>
        <w:b w:val="0"/>
        <w:i w:val="0"/>
        <w:sz w:val="22"/>
        <w:szCs w:val="22"/>
      </w:rPr>
    </w:lvl>
    <w:lvl w:ilvl="1" w:tplc="14090003" w:tentative="1">
      <w:start w:val="1"/>
      <w:numFmt w:val="lowerLetter"/>
      <w:lvlText w:val="%2."/>
      <w:lvlJc w:val="left"/>
      <w:pPr>
        <w:tabs>
          <w:tab w:val="num" w:pos="1440"/>
        </w:tabs>
        <w:ind w:left="1440" w:hanging="360"/>
      </w:pPr>
    </w:lvl>
    <w:lvl w:ilvl="2" w:tplc="14090005" w:tentative="1">
      <w:start w:val="1"/>
      <w:numFmt w:val="lowerRoman"/>
      <w:lvlText w:val="%3."/>
      <w:lvlJc w:val="right"/>
      <w:pPr>
        <w:tabs>
          <w:tab w:val="num" w:pos="2160"/>
        </w:tabs>
        <w:ind w:left="2160" w:hanging="180"/>
      </w:pPr>
    </w:lvl>
    <w:lvl w:ilvl="3" w:tplc="14090001" w:tentative="1">
      <w:start w:val="1"/>
      <w:numFmt w:val="decimal"/>
      <w:lvlText w:val="%4."/>
      <w:lvlJc w:val="left"/>
      <w:pPr>
        <w:tabs>
          <w:tab w:val="num" w:pos="2880"/>
        </w:tabs>
        <w:ind w:left="2880" w:hanging="360"/>
      </w:pPr>
    </w:lvl>
    <w:lvl w:ilvl="4" w:tplc="14090003" w:tentative="1">
      <w:start w:val="1"/>
      <w:numFmt w:val="lowerLetter"/>
      <w:lvlText w:val="%5."/>
      <w:lvlJc w:val="left"/>
      <w:pPr>
        <w:tabs>
          <w:tab w:val="num" w:pos="3600"/>
        </w:tabs>
        <w:ind w:left="3600" w:hanging="360"/>
      </w:pPr>
    </w:lvl>
    <w:lvl w:ilvl="5" w:tplc="14090005" w:tentative="1">
      <w:start w:val="1"/>
      <w:numFmt w:val="lowerRoman"/>
      <w:lvlText w:val="%6."/>
      <w:lvlJc w:val="right"/>
      <w:pPr>
        <w:tabs>
          <w:tab w:val="num" w:pos="4320"/>
        </w:tabs>
        <w:ind w:left="4320" w:hanging="180"/>
      </w:pPr>
    </w:lvl>
    <w:lvl w:ilvl="6" w:tplc="14090001" w:tentative="1">
      <w:start w:val="1"/>
      <w:numFmt w:val="decimal"/>
      <w:lvlText w:val="%7."/>
      <w:lvlJc w:val="left"/>
      <w:pPr>
        <w:tabs>
          <w:tab w:val="num" w:pos="5040"/>
        </w:tabs>
        <w:ind w:left="5040" w:hanging="360"/>
      </w:pPr>
    </w:lvl>
    <w:lvl w:ilvl="7" w:tplc="14090003" w:tentative="1">
      <w:start w:val="1"/>
      <w:numFmt w:val="lowerLetter"/>
      <w:lvlText w:val="%8."/>
      <w:lvlJc w:val="left"/>
      <w:pPr>
        <w:tabs>
          <w:tab w:val="num" w:pos="5760"/>
        </w:tabs>
        <w:ind w:left="5760" w:hanging="360"/>
      </w:pPr>
    </w:lvl>
    <w:lvl w:ilvl="8" w:tplc="14090005" w:tentative="1">
      <w:start w:val="1"/>
      <w:numFmt w:val="lowerRoman"/>
      <w:lvlText w:val="%9."/>
      <w:lvlJc w:val="right"/>
      <w:pPr>
        <w:tabs>
          <w:tab w:val="num" w:pos="6480"/>
        </w:tabs>
        <w:ind w:left="6480" w:hanging="180"/>
      </w:pPr>
    </w:lvl>
  </w:abstractNum>
  <w:abstractNum w:abstractNumId="18" w15:restartNumberingAfterBreak="0">
    <w:nsid w:val="21807305"/>
    <w:multiLevelType w:val="hybridMultilevel"/>
    <w:tmpl w:val="9530BC4E"/>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9" w15:restartNumberingAfterBreak="0">
    <w:nsid w:val="27BD2E58"/>
    <w:multiLevelType w:val="multilevel"/>
    <w:tmpl w:val="B0DC6D48"/>
    <w:lvl w:ilvl="0">
      <w:start w:val="1"/>
      <w:numFmt w:val="bullet"/>
      <w:lvlText w:val=""/>
      <w:lvlJc w:val="left"/>
      <w:pPr>
        <w:ind w:left="397" w:hanging="397"/>
      </w:pPr>
      <w:rPr>
        <w:rFonts w:ascii="Symbol" w:hAnsi="Symbol" w:hint="default"/>
        <w:sz w:val="20"/>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2B8B2D74"/>
    <w:multiLevelType w:val="hybridMultilevel"/>
    <w:tmpl w:val="EF1C9466"/>
    <w:lvl w:ilvl="0" w:tplc="6D362E22">
      <w:start w:val="1"/>
      <w:numFmt w:val="bullet"/>
      <w:pStyle w:val="TableBullet"/>
      <w:lvlText w:val=""/>
      <w:lvlJc w:val="left"/>
      <w:pPr>
        <w:tabs>
          <w:tab w:val="num" w:pos="284"/>
        </w:tabs>
        <w:ind w:left="284" w:hanging="284"/>
      </w:pPr>
      <w:rPr>
        <w:rFonts w:ascii="Symbol" w:hAnsi="Symbol" w:hint="default"/>
        <w:sz w:val="16"/>
        <w:szCs w:val="16"/>
      </w:rPr>
    </w:lvl>
    <w:lvl w:ilvl="1" w:tplc="14090003" w:tentative="1">
      <w:start w:val="1"/>
      <w:numFmt w:val="bullet"/>
      <w:lvlText w:val="o"/>
      <w:lvlJc w:val="left"/>
      <w:pPr>
        <w:tabs>
          <w:tab w:val="num" w:pos="1440"/>
        </w:tabs>
        <w:ind w:left="1440" w:hanging="360"/>
      </w:pPr>
      <w:rPr>
        <w:rFonts w:ascii="Courier New" w:hAnsi="Courier New" w:cs="Courier New" w:hint="default"/>
      </w:rPr>
    </w:lvl>
    <w:lvl w:ilvl="2" w:tplc="14090005" w:tentative="1">
      <w:start w:val="1"/>
      <w:numFmt w:val="bullet"/>
      <w:lvlText w:val=""/>
      <w:lvlJc w:val="left"/>
      <w:pPr>
        <w:tabs>
          <w:tab w:val="num" w:pos="2160"/>
        </w:tabs>
        <w:ind w:left="2160" w:hanging="360"/>
      </w:pPr>
      <w:rPr>
        <w:rFonts w:ascii="Wingdings" w:hAnsi="Wingdings" w:hint="default"/>
      </w:rPr>
    </w:lvl>
    <w:lvl w:ilvl="3" w:tplc="14090001" w:tentative="1">
      <w:start w:val="1"/>
      <w:numFmt w:val="bullet"/>
      <w:lvlText w:val=""/>
      <w:lvlJc w:val="left"/>
      <w:pPr>
        <w:tabs>
          <w:tab w:val="num" w:pos="2880"/>
        </w:tabs>
        <w:ind w:left="2880" w:hanging="360"/>
      </w:pPr>
      <w:rPr>
        <w:rFonts w:ascii="Symbol" w:hAnsi="Symbol" w:hint="default"/>
      </w:rPr>
    </w:lvl>
    <w:lvl w:ilvl="4" w:tplc="14090003" w:tentative="1">
      <w:start w:val="1"/>
      <w:numFmt w:val="bullet"/>
      <w:lvlText w:val="o"/>
      <w:lvlJc w:val="left"/>
      <w:pPr>
        <w:tabs>
          <w:tab w:val="num" w:pos="3600"/>
        </w:tabs>
        <w:ind w:left="3600" w:hanging="360"/>
      </w:pPr>
      <w:rPr>
        <w:rFonts w:ascii="Courier New" w:hAnsi="Courier New" w:cs="Courier New" w:hint="default"/>
      </w:rPr>
    </w:lvl>
    <w:lvl w:ilvl="5" w:tplc="14090005" w:tentative="1">
      <w:start w:val="1"/>
      <w:numFmt w:val="bullet"/>
      <w:lvlText w:val=""/>
      <w:lvlJc w:val="left"/>
      <w:pPr>
        <w:tabs>
          <w:tab w:val="num" w:pos="4320"/>
        </w:tabs>
        <w:ind w:left="4320" w:hanging="360"/>
      </w:pPr>
      <w:rPr>
        <w:rFonts w:ascii="Wingdings" w:hAnsi="Wingdings" w:hint="default"/>
      </w:rPr>
    </w:lvl>
    <w:lvl w:ilvl="6" w:tplc="14090001" w:tentative="1">
      <w:start w:val="1"/>
      <w:numFmt w:val="bullet"/>
      <w:lvlText w:val=""/>
      <w:lvlJc w:val="left"/>
      <w:pPr>
        <w:tabs>
          <w:tab w:val="num" w:pos="5040"/>
        </w:tabs>
        <w:ind w:left="5040" w:hanging="360"/>
      </w:pPr>
      <w:rPr>
        <w:rFonts w:ascii="Symbol" w:hAnsi="Symbol" w:hint="default"/>
      </w:rPr>
    </w:lvl>
    <w:lvl w:ilvl="7" w:tplc="14090003" w:tentative="1">
      <w:start w:val="1"/>
      <w:numFmt w:val="bullet"/>
      <w:lvlText w:val="o"/>
      <w:lvlJc w:val="left"/>
      <w:pPr>
        <w:tabs>
          <w:tab w:val="num" w:pos="5760"/>
        </w:tabs>
        <w:ind w:left="5760" w:hanging="360"/>
      </w:pPr>
      <w:rPr>
        <w:rFonts w:ascii="Courier New" w:hAnsi="Courier New" w:cs="Courier New" w:hint="default"/>
      </w:rPr>
    </w:lvl>
    <w:lvl w:ilvl="8" w:tplc="14090005" w:tentative="1">
      <w:start w:val="1"/>
      <w:numFmt w:val="bullet"/>
      <w:lvlText w:val=""/>
      <w:lvlJc w:val="left"/>
      <w:pPr>
        <w:tabs>
          <w:tab w:val="num" w:pos="6480"/>
        </w:tabs>
        <w:ind w:left="6480" w:hanging="360"/>
      </w:pPr>
      <w:rPr>
        <w:rFonts w:ascii="Wingdings" w:hAnsi="Wingdings" w:hint="default"/>
      </w:rPr>
    </w:lvl>
  </w:abstractNum>
  <w:abstractNum w:abstractNumId="21" w15:restartNumberingAfterBreak="0">
    <w:nsid w:val="2D9742FB"/>
    <w:multiLevelType w:val="hybridMultilevel"/>
    <w:tmpl w:val="D1646638"/>
    <w:lvl w:ilvl="0" w:tplc="14090001">
      <w:start w:val="1"/>
      <w:numFmt w:val="bullet"/>
      <w:lvlText w:val=""/>
      <w:lvlJc w:val="left"/>
      <w:pPr>
        <w:ind w:left="360" w:hanging="360"/>
      </w:pPr>
      <w:rPr>
        <w:rFonts w:ascii="Symbol" w:hAnsi="Symbol" w:hint="default"/>
      </w:rPr>
    </w:lvl>
    <w:lvl w:ilvl="1" w:tplc="14090003" w:tentative="1">
      <w:start w:val="1"/>
      <w:numFmt w:val="bullet"/>
      <w:lvlText w:val="o"/>
      <w:lvlJc w:val="left"/>
      <w:pPr>
        <w:ind w:left="1080" w:hanging="360"/>
      </w:pPr>
      <w:rPr>
        <w:rFonts w:ascii="Courier New" w:hAnsi="Courier New" w:cs="Courier New" w:hint="default"/>
      </w:rPr>
    </w:lvl>
    <w:lvl w:ilvl="2" w:tplc="14090005" w:tentative="1">
      <w:start w:val="1"/>
      <w:numFmt w:val="bullet"/>
      <w:lvlText w:val=""/>
      <w:lvlJc w:val="left"/>
      <w:pPr>
        <w:ind w:left="1800" w:hanging="360"/>
      </w:pPr>
      <w:rPr>
        <w:rFonts w:ascii="Wingdings" w:hAnsi="Wingdings" w:hint="default"/>
      </w:rPr>
    </w:lvl>
    <w:lvl w:ilvl="3" w:tplc="14090001" w:tentative="1">
      <w:start w:val="1"/>
      <w:numFmt w:val="bullet"/>
      <w:lvlText w:val=""/>
      <w:lvlJc w:val="left"/>
      <w:pPr>
        <w:ind w:left="2520" w:hanging="360"/>
      </w:pPr>
      <w:rPr>
        <w:rFonts w:ascii="Symbol" w:hAnsi="Symbol" w:hint="default"/>
      </w:rPr>
    </w:lvl>
    <w:lvl w:ilvl="4" w:tplc="14090003" w:tentative="1">
      <w:start w:val="1"/>
      <w:numFmt w:val="bullet"/>
      <w:lvlText w:val="o"/>
      <w:lvlJc w:val="left"/>
      <w:pPr>
        <w:ind w:left="3240" w:hanging="360"/>
      </w:pPr>
      <w:rPr>
        <w:rFonts w:ascii="Courier New" w:hAnsi="Courier New" w:cs="Courier New" w:hint="default"/>
      </w:rPr>
    </w:lvl>
    <w:lvl w:ilvl="5" w:tplc="14090005" w:tentative="1">
      <w:start w:val="1"/>
      <w:numFmt w:val="bullet"/>
      <w:lvlText w:val=""/>
      <w:lvlJc w:val="left"/>
      <w:pPr>
        <w:ind w:left="3960" w:hanging="360"/>
      </w:pPr>
      <w:rPr>
        <w:rFonts w:ascii="Wingdings" w:hAnsi="Wingdings" w:hint="default"/>
      </w:rPr>
    </w:lvl>
    <w:lvl w:ilvl="6" w:tplc="14090001" w:tentative="1">
      <w:start w:val="1"/>
      <w:numFmt w:val="bullet"/>
      <w:lvlText w:val=""/>
      <w:lvlJc w:val="left"/>
      <w:pPr>
        <w:ind w:left="4680" w:hanging="360"/>
      </w:pPr>
      <w:rPr>
        <w:rFonts w:ascii="Symbol" w:hAnsi="Symbol" w:hint="default"/>
      </w:rPr>
    </w:lvl>
    <w:lvl w:ilvl="7" w:tplc="14090003" w:tentative="1">
      <w:start w:val="1"/>
      <w:numFmt w:val="bullet"/>
      <w:lvlText w:val="o"/>
      <w:lvlJc w:val="left"/>
      <w:pPr>
        <w:ind w:left="5400" w:hanging="360"/>
      </w:pPr>
      <w:rPr>
        <w:rFonts w:ascii="Courier New" w:hAnsi="Courier New" w:cs="Courier New" w:hint="default"/>
      </w:rPr>
    </w:lvl>
    <w:lvl w:ilvl="8" w:tplc="14090005" w:tentative="1">
      <w:start w:val="1"/>
      <w:numFmt w:val="bullet"/>
      <w:lvlText w:val=""/>
      <w:lvlJc w:val="left"/>
      <w:pPr>
        <w:ind w:left="6120" w:hanging="360"/>
      </w:pPr>
      <w:rPr>
        <w:rFonts w:ascii="Wingdings" w:hAnsi="Wingdings" w:hint="default"/>
      </w:rPr>
    </w:lvl>
  </w:abstractNum>
  <w:abstractNum w:abstractNumId="22" w15:restartNumberingAfterBreak="0">
    <w:nsid w:val="39F35055"/>
    <w:multiLevelType w:val="hybridMultilevel"/>
    <w:tmpl w:val="98F6C22E"/>
    <w:lvl w:ilvl="0" w:tplc="1409000F">
      <w:start w:val="1"/>
      <w:numFmt w:val="decimal"/>
      <w:lvlText w:val="%1."/>
      <w:lvlJc w:val="left"/>
      <w:pPr>
        <w:ind w:left="720" w:hanging="360"/>
      </w:pPr>
    </w:lvl>
    <w:lvl w:ilvl="1" w:tplc="14090019">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23" w15:restartNumberingAfterBreak="0">
    <w:nsid w:val="3B934134"/>
    <w:multiLevelType w:val="hybridMultilevel"/>
    <w:tmpl w:val="67F24C4E"/>
    <w:lvl w:ilvl="0" w:tplc="DC66E45C">
      <w:start w:val="1"/>
      <w:numFmt w:val="bullet"/>
      <w:pStyle w:val="Keypointsub-bullet"/>
      <w:lvlText w:val="‒"/>
      <w:lvlJc w:val="left"/>
      <w:pPr>
        <w:ind w:left="1400" w:hanging="360"/>
      </w:pPr>
      <w:rPr>
        <w:rFonts w:ascii="Calibri" w:hAnsi="Calibri" w:cs="Times New Roman" w:hint="default"/>
        <w:b w:val="0"/>
        <w:i w:val="0"/>
        <w:sz w:val="20"/>
      </w:rPr>
    </w:lvl>
    <w:lvl w:ilvl="1" w:tplc="14090003" w:tentative="1">
      <w:start w:val="1"/>
      <w:numFmt w:val="bullet"/>
      <w:lvlText w:val="o"/>
      <w:lvlJc w:val="left"/>
      <w:pPr>
        <w:ind w:left="2120" w:hanging="360"/>
      </w:pPr>
      <w:rPr>
        <w:rFonts w:ascii="Courier New" w:hAnsi="Courier New" w:cs="Courier New" w:hint="default"/>
      </w:rPr>
    </w:lvl>
    <w:lvl w:ilvl="2" w:tplc="14090005" w:tentative="1">
      <w:start w:val="1"/>
      <w:numFmt w:val="bullet"/>
      <w:lvlText w:val=""/>
      <w:lvlJc w:val="left"/>
      <w:pPr>
        <w:ind w:left="2840" w:hanging="360"/>
      </w:pPr>
      <w:rPr>
        <w:rFonts w:ascii="Wingdings" w:hAnsi="Wingdings" w:hint="default"/>
      </w:rPr>
    </w:lvl>
    <w:lvl w:ilvl="3" w:tplc="14090001" w:tentative="1">
      <w:start w:val="1"/>
      <w:numFmt w:val="bullet"/>
      <w:lvlText w:val=""/>
      <w:lvlJc w:val="left"/>
      <w:pPr>
        <w:ind w:left="3560" w:hanging="360"/>
      </w:pPr>
      <w:rPr>
        <w:rFonts w:ascii="Symbol" w:hAnsi="Symbol" w:hint="default"/>
      </w:rPr>
    </w:lvl>
    <w:lvl w:ilvl="4" w:tplc="14090003" w:tentative="1">
      <w:start w:val="1"/>
      <w:numFmt w:val="bullet"/>
      <w:lvlText w:val="o"/>
      <w:lvlJc w:val="left"/>
      <w:pPr>
        <w:ind w:left="4280" w:hanging="360"/>
      </w:pPr>
      <w:rPr>
        <w:rFonts w:ascii="Courier New" w:hAnsi="Courier New" w:cs="Courier New" w:hint="default"/>
      </w:rPr>
    </w:lvl>
    <w:lvl w:ilvl="5" w:tplc="14090005" w:tentative="1">
      <w:start w:val="1"/>
      <w:numFmt w:val="bullet"/>
      <w:lvlText w:val=""/>
      <w:lvlJc w:val="left"/>
      <w:pPr>
        <w:ind w:left="5000" w:hanging="360"/>
      </w:pPr>
      <w:rPr>
        <w:rFonts w:ascii="Wingdings" w:hAnsi="Wingdings" w:hint="default"/>
      </w:rPr>
    </w:lvl>
    <w:lvl w:ilvl="6" w:tplc="14090001" w:tentative="1">
      <w:start w:val="1"/>
      <w:numFmt w:val="bullet"/>
      <w:lvlText w:val=""/>
      <w:lvlJc w:val="left"/>
      <w:pPr>
        <w:ind w:left="5720" w:hanging="360"/>
      </w:pPr>
      <w:rPr>
        <w:rFonts w:ascii="Symbol" w:hAnsi="Symbol" w:hint="default"/>
      </w:rPr>
    </w:lvl>
    <w:lvl w:ilvl="7" w:tplc="14090003" w:tentative="1">
      <w:start w:val="1"/>
      <w:numFmt w:val="bullet"/>
      <w:lvlText w:val="o"/>
      <w:lvlJc w:val="left"/>
      <w:pPr>
        <w:ind w:left="6440" w:hanging="360"/>
      </w:pPr>
      <w:rPr>
        <w:rFonts w:ascii="Courier New" w:hAnsi="Courier New" w:cs="Courier New" w:hint="default"/>
      </w:rPr>
    </w:lvl>
    <w:lvl w:ilvl="8" w:tplc="14090005" w:tentative="1">
      <w:start w:val="1"/>
      <w:numFmt w:val="bullet"/>
      <w:lvlText w:val=""/>
      <w:lvlJc w:val="left"/>
      <w:pPr>
        <w:ind w:left="7160" w:hanging="360"/>
      </w:pPr>
      <w:rPr>
        <w:rFonts w:ascii="Wingdings" w:hAnsi="Wingdings" w:hint="default"/>
      </w:rPr>
    </w:lvl>
  </w:abstractNum>
  <w:abstractNum w:abstractNumId="24" w15:restartNumberingAfterBreak="0">
    <w:nsid w:val="3F4C7786"/>
    <w:multiLevelType w:val="hybridMultilevel"/>
    <w:tmpl w:val="2F74C1F2"/>
    <w:lvl w:ilvl="0" w:tplc="14090001">
      <w:start w:val="1"/>
      <w:numFmt w:val="bullet"/>
      <w:lvlText w:val=""/>
      <w:lvlJc w:val="left"/>
      <w:pPr>
        <w:ind w:left="720" w:hanging="360"/>
      </w:pPr>
      <w:rPr>
        <w:rFonts w:ascii="Symbol" w:hAnsi="Symbol" w:hint="default"/>
      </w:rPr>
    </w:lvl>
    <w:lvl w:ilvl="1" w:tplc="14090003">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5" w15:restartNumberingAfterBreak="0">
    <w:nsid w:val="427701FB"/>
    <w:multiLevelType w:val="hybridMultilevel"/>
    <w:tmpl w:val="87A07910"/>
    <w:lvl w:ilvl="0" w:tplc="FFFFFFFF">
      <w:start w:val="1"/>
      <w:numFmt w:val="bullet"/>
      <w:pStyle w:val="Sub-list"/>
      <w:lvlText w:val=""/>
      <w:lvlJc w:val="left"/>
      <w:pPr>
        <w:tabs>
          <w:tab w:val="num" w:pos="397"/>
        </w:tabs>
        <w:ind w:left="397" w:firstLine="0"/>
      </w:pPr>
      <w:rPr>
        <w:rFonts w:ascii="Symbol" w:hAnsi="Symbol" w:hint="default"/>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26" w15:restartNumberingAfterBreak="0">
    <w:nsid w:val="45AA3F02"/>
    <w:multiLevelType w:val="hybridMultilevel"/>
    <w:tmpl w:val="F0CEB16E"/>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7" w15:restartNumberingAfterBreak="0">
    <w:nsid w:val="45B15110"/>
    <w:multiLevelType w:val="hybridMultilevel"/>
    <w:tmpl w:val="540A93C6"/>
    <w:lvl w:ilvl="0" w:tplc="87F67C88">
      <w:start w:val="1"/>
      <w:numFmt w:val="bullet"/>
      <w:pStyle w:val="Bullet"/>
      <w:lvlText w:val=""/>
      <w:lvlJc w:val="left"/>
      <w:pPr>
        <w:tabs>
          <w:tab w:val="num" w:pos="567"/>
        </w:tabs>
        <w:ind w:left="567" w:hanging="567"/>
      </w:pPr>
      <w:rPr>
        <w:rFonts w:ascii="Symbol" w:hAnsi="Symbol" w:hint="default"/>
        <w:sz w:val="20"/>
        <w:szCs w:val="20"/>
      </w:rPr>
    </w:lvl>
    <w:lvl w:ilvl="1" w:tplc="14090003" w:tentative="1">
      <w:start w:val="1"/>
      <w:numFmt w:val="bullet"/>
      <w:lvlText w:val="o"/>
      <w:lvlJc w:val="left"/>
      <w:pPr>
        <w:tabs>
          <w:tab w:val="num" w:pos="1440"/>
        </w:tabs>
        <w:ind w:left="1440" w:hanging="360"/>
      </w:pPr>
      <w:rPr>
        <w:rFonts w:ascii="Courier New" w:hAnsi="Courier New" w:cs="Courier New" w:hint="default"/>
      </w:rPr>
    </w:lvl>
    <w:lvl w:ilvl="2" w:tplc="14090005" w:tentative="1">
      <w:start w:val="1"/>
      <w:numFmt w:val="bullet"/>
      <w:lvlText w:val=""/>
      <w:lvlJc w:val="left"/>
      <w:pPr>
        <w:tabs>
          <w:tab w:val="num" w:pos="2160"/>
        </w:tabs>
        <w:ind w:left="2160" w:hanging="360"/>
      </w:pPr>
      <w:rPr>
        <w:rFonts w:ascii="Wingdings" w:hAnsi="Wingdings" w:hint="default"/>
      </w:rPr>
    </w:lvl>
    <w:lvl w:ilvl="3" w:tplc="14090001" w:tentative="1">
      <w:start w:val="1"/>
      <w:numFmt w:val="bullet"/>
      <w:lvlText w:val=""/>
      <w:lvlJc w:val="left"/>
      <w:pPr>
        <w:tabs>
          <w:tab w:val="num" w:pos="2880"/>
        </w:tabs>
        <w:ind w:left="2880" w:hanging="360"/>
      </w:pPr>
      <w:rPr>
        <w:rFonts w:ascii="Symbol" w:hAnsi="Symbol" w:hint="default"/>
      </w:rPr>
    </w:lvl>
    <w:lvl w:ilvl="4" w:tplc="14090003" w:tentative="1">
      <w:start w:val="1"/>
      <w:numFmt w:val="bullet"/>
      <w:lvlText w:val="o"/>
      <w:lvlJc w:val="left"/>
      <w:pPr>
        <w:tabs>
          <w:tab w:val="num" w:pos="3600"/>
        </w:tabs>
        <w:ind w:left="3600" w:hanging="360"/>
      </w:pPr>
      <w:rPr>
        <w:rFonts w:ascii="Courier New" w:hAnsi="Courier New" w:cs="Courier New" w:hint="default"/>
      </w:rPr>
    </w:lvl>
    <w:lvl w:ilvl="5" w:tplc="14090005" w:tentative="1">
      <w:start w:val="1"/>
      <w:numFmt w:val="bullet"/>
      <w:lvlText w:val=""/>
      <w:lvlJc w:val="left"/>
      <w:pPr>
        <w:tabs>
          <w:tab w:val="num" w:pos="4320"/>
        </w:tabs>
        <w:ind w:left="4320" w:hanging="360"/>
      </w:pPr>
      <w:rPr>
        <w:rFonts w:ascii="Wingdings" w:hAnsi="Wingdings" w:hint="default"/>
      </w:rPr>
    </w:lvl>
    <w:lvl w:ilvl="6" w:tplc="14090001" w:tentative="1">
      <w:start w:val="1"/>
      <w:numFmt w:val="bullet"/>
      <w:lvlText w:val=""/>
      <w:lvlJc w:val="left"/>
      <w:pPr>
        <w:tabs>
          <w:tab w:val="num" w:pos="5040"/>
        </w:tabs>
        <w:ind w:left="5040" w:hanging="360"/>
      </w:pPr>
      <w:rPr>
        <w:rFonts w:ascii="Symbol" w:hAnsi="Symbol" w:hint="default"/>
      </w:rPr>
    </w:lvl>
    <w:lvl w:ilvl="7" w:tplc="14090003" w:tentative="1">
      <w:start w:val="1"/>
      <w:numFmt w:val="bullet"/>
      <w:lvlText w:val="o"/>
      <w:lvlJc w:val="left"/>
      <w:pPr>
        <w:tabs>
          <w:tab w:val="num" w:pos="5760"/>
        </w:tabs>
        <w:ind w:left="5760" w:hanging="360"/>
      </w:pPr>
      <w:rPr>
        <w:rFonts w:ascii="Courier New" w:hAnsi="Courier New" w:cs="Courier New" w:hint="default"/>
      </w:rPr>
    </w:lvl>
    <w:lvl w:ilvl="8" w:tplc="14090005" w:tentative="1">
      <w:start w:val="1"/>
      <w:numFmt w:val="bullet"/>
      <w:lvlText w:val=""/>
      <w:lvlJc w:val="left"/>
      <w:pPr>
        <w:tabs>
          <w:tab w:val="num" w:pos="6480"/>
        </w:tabs>
        <w:ind w:left="6480" w:hanging="360"/>
      </w:pPr>
      <w:rPr>
        <w:rFonts w:ascii="Wingdings" w:hAnsi="Wingdings" w:hint="default"/>
      </w:rPr>
    </w:lvl>
  </w:abstractNum>
  <w:abstractNum w:abstractNumId="28" w15:restartNumberingAfterBreak="0">
    <w:nsid w:val="463D6104"/>
    <w:multiLevelType w:val="hybridMultilevel"/>
    <w:tmpl w:val="4ABA2070"/>
    <w:lvl w:ilvl="0" w:tplc="FFFFFFFF">
      <w:start w:val="1"/>
      <w:numFmt w:val="lowerRoman"/>
      <w:pStyle w:val="Sub-listi"/>
      <w:lvlText w:val="%1."/>
      <w:lvlJc w:val="left"/>
      <w:pPr>
        <w:tabs>
          <w:tab w:val="num" w:pos="1191"/>
        </w:tabs>
        <w:ind w:left="1191" w:hanging="397"/>
      </w:pPr>
      <w:rPr>
        <w:rFonts w:ascii="Times New Roman" w:hAnsi="Times New Roman" w:cs="Arial" w:hint="default"/>
        <w:b w:val="0"/>
        <w:i w:val="0"/>
        <w:sz w:val="22"/>
        <w:szCs w:val="22"/>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29" w15:restartNumberingAfterBreak="0">
    <w:nsid w:val="494F1E40"/>
    <w:multiLevelType w:val="hybridMultilevel"/>
    <w:tmpl w:val="8DDC96FE"/>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30" w15:restartNumberingAfterBreak="0">
    <w:nsid w:val="4E0D7D82"/>
    <w:multiLevelType w:val="hybridMultilevel"/>
    <w:tmpl w:val="7C8C66E0"/>
    <w:lvl w:ilvl="0" w:tplc="14090001">
      <w:start w:val="1"/>
      <w:numFmt w:val="bullet"/>
      <w:lvlText w:val=""/>
      <w:lvlJc w:val="left"/>
      <w:pPr>
        <w:ind w:left="360" w:hanging="360"/>
      </w:pPr>
      <w:rPr>
        <w:rFonts w:ascii="Symbol" w:hAnsi="Symbol" w:hint="default"/>
      </w:rPr>
    </w:lvl>
    <w:lvl w:ilvl="1" w:tplc="14090003">
      <w:start w:val="1"/>
      <w:numFmt w:val="bullet"/>
      <w:lvlText w:val="o"/>
      <w:lvlJc w:val="left"/>
      <w:pPr>
        <w:ind w:left="1080" w:hanging="360"/>
      </w:pPr>
      <w:rPr>
        <w:rFonts w:ascii="Courier New" w:hAnsi="Courier New" w:cs="Courier New" w:hint="default"/>
      </w:rPr>
    </w:lvl>
    <w:lvl w:ilvl="2" w:tplc="14090005" w:tentative="1">
      <w:start w:val="1"/>
      <w:numFmt w:val="bullet"/>
      <w:lvlText w:val=""/>
      <w:lvlJc w:val="left"/>
      <w:pPr>
        <w:ind w:left="1800" w:hanging="360"/>
      </w:pPr>
      <w:rPr>
        <w:rFonts w:ascii="Wingdings" w:hAnsi="Wingdings" w:hint="default"/>
      </w:rPr>
    </w:lvl>
    <w:lvl w:ilvl="3" w:tplc="14090001" w:tentative="1">
      <w:start w:val="1"/>
      <w:numFmt w:val="bullet"/>
      <w:lvlText w:val=""/>
      <w:lvlJc w:val="left"/>
      <w:pPr>
        <w:ind w:left="2520" w:hanging="360"/>
      </w:pPr>
      <w:rPr>
        <w:rFonts w:ascii="Symbol" w:hAnsi="Symbol" w:hint="default"/>
      </w:rPr>
    </w:lvl>
    <w:lvl w:ilvl="4" w:tplc="14090003" w:tentative="1">
      <w:start w:val="1"/>
      <w:numFmt w:val="bullet"/>
      <w:lvlText w:val="o"/>
      <w:lvlJc w:val="left"/>
      <w:pPr>
        <w:ind w:left="3240" w:hanging="360"/>
      </w:pPr>
      <w:rPr>
        <w:rFonts w:ascii="Courier New" w:hAnsi="Courier New" w:cs="Courier New" w:hint="default"/>
      </w:rPr>
    </w:lvl>
    <w:lvl w:ilvl="5" w:tplc="14090005" w:tentative="1">
      <w:start w:val="1"/>
      <w:numFmt w:val="bullet"/>
      <w:lvlText w:val=""/>
      <w:lvlJc w:val="left"/>
      <w:pPr>
        <w:ind w:left="3960" w:hanging="360"/>
      </w:pPr>
      <w:rPr>
        <w:rFonts w:ascii="Wingdings" w:hAnsi="Wingdings" w:hint="default"/>
      </w:rPr>
    </w:lvl>
    <w:lvl w:ilvl="6" w:tplc="14090001" w:tentative="1">
      <w:start w:val="1"/>
      <w:numFmt w:val="bullet"/>
      <w:lvlText w:val=""/>
      <w:lvlJc w:val="left"/>
      <w:pPr>
        <w:ind w:left="4680" w:hanging="360"/>
      </w:pPr>
      <w:rPr>
        <w:rFonts w:ascii="Symbol" w:hAnsi="Symbol" w:hint="default"/>
      </w:rPr>
    </w:lvl>
    <w:lvl w:ilvl="7" w:tplc="14090003" w:tentative="1">
      <w:start w:val="1"/>
      <w:numFmt w:val="bullet"/>
      <w:lvlText w:val="o"/>
      <w:lvlJc w:val="left"/>
      <w:pPr>
        <w:ind w:left="5400" w:hanging="360"/>
      </w:pPr>
      <w:rPr>
        <w:rFonts w:ascii="Courier New" w:hAnsi="Courier New" w:cs="Courier New" w:hint="default"/>
      </w:rPr>
    </w:lvl>
    <w:lvl w:ilvl="8" w:tplc="14090005" w:tentative="1">
      <w:start w:val="1"/>
      <w:numFmt w:val="bullet"/>
      <w:lvlText w:val=""/>
      <w:lvlJc w:val="left"/>
      <w:pPr>
        <w:ind w:left="6120" w:hanging="360"/>
      </w:pPr>
      <w:rPr>
        <w:rFonts w:ascii="Wingdings" w:hAnsi="Wingdings" w:hint="default"/>
      </w:rPr>
    </w:lvl>
  </w:abstractNum>
  <w:abstractNum w:abstractNumId="31" w15:restartNumberingAfterBreak="0">
    <w:nsid w:val="5351077E"/>
    <w:multiLevelType w:val="multilevel"/>
    <w:tmpl w:val="3FF4C52E"/>
    <w:lvl w:ilvl="0">
      <w:start w:val="1"/>
      <w:numFmt w:val="decimal"/>
      <w:lvlText w:val="%1."/>
      <w:lvlJc w:val="left"/>
      <w:pPr>
        <w:ind w:left="720" w:hanging="360"/>
      </w:pPr>
    </w:lvl>
    <w:lvl w:ilvl="1">
      <w:start w:val="1"/>
      <w:numFmt w:val="decimal"/>
      <w:isLgl/>
      <w:lvlText w:val="%1.%2"/>
      <w:lvlJc w:val="left"/>
      <w:pPr>
        <w:ind w:left="1008" w:hanging="648"/>
      </w:pPr>
      <w:rPr>
        <w:rFonts w:hint="default"/>
      </w:rPr>
    </w:lvl>
    <w:lvl w:ilvl="2">
      <w:start w:val="5"/>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32" w15:restartNumberingAfterBreak="0">
    <w:nsid w:val="53535234"/>
    <w:multiLevelType w:val="singleLevel"/>
    <w:tmpl w:val="E01667DC"/>
    <w:lvl w:ilvl="0">
      <w:start w:val="1"/>
      <w:numFmt w:val="bullet"/>
      <w:pStyle w:val="BoxBullet"/>
      <w:lvlText w:val=""/>
      <w:lvlJc w:val="left"/>
      <w:pPr>
        <w:tabs>
          <w:tab w:val="num" w:pos="851"/>
        </w:tabs>
        <w:ind w:left="851" w:hanging="567"/>
      </w:pPr>
      <w:rPr>
        <w:rFonts w:ascii="Symbol" w:hAnsi="Symbol" w:hint="default"/>
        <w:sz w:val="16"/>
      </w:rPr>
    </w:lvl>
  </w:abstractNum>
  <w:abstractNum w:abstractNumId="33" w15:restartNumberingAfterBreak="0">
    <w:nsid w:val="569A0D6A"/>
    <w:multiLevelType w:val="hybridMultilevel"/>
    <w:tmpl w:val="CC1287C2"/>
    <w:lvl w:ilvl="0" w:tplc="A6FC95F2">
      <w:start w:val="1"/>
      <w:numFmt w:val="bullet"/>
      <w:lvlText w:val=""/>
      <w:lvlJc w:val="left"/>
      <w:pPr>
        <w:tabs>
          <w:tab w:val="num" w:pos="397"/>
        </w:tabs>
        <w:ind w:left="397" w:hanging="397"/>
      </w:pPr>
      <w:rPr>
        <w:rFonts w:ascii="Symbol" w:hAnsi="Symbol" w:cs="Symbol" w:hint="default"/>
        <w:sz w:val="20"/>
        <w:szCs w:val="20"/>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4" w15:restartNumberingAfterBreak="0">
    <w:nsid w:val="571458DF"/>
    <w:multiLevelType w:val="hybridMultilevel"/>
    <w:tmpl w:val="5BF2EE80"/>
    <w:lvl w:ilvl="0" w:tplc="14090001">
      <w:start w:val="1"/>
      <w:numFmt w:val="bullet"/>
      <w:lvlText w:val=""/>
      <w:lvlJc w:val="left"/>
      <w:pPr>
        <w:ind w:left="1080" w:hanging="360"/>
      </w:pPr>
      <w:rPr>
        <w:rFonts w:ascii="Symbol" w:hAnsi="Symbol" w:hint="default"/>
      </w:rPr>
    </w:lvl>
    <w:lvl w:ilvl="1" w:tplc="14090001">
      <w:start w:val="1"/>
      <w:numFmt w:val="bullet"/>
      <w:lvlText w:val=""/>
      <w:lvlJc w:val="left"/>
      <w:pPr>
        <w:ind w:left="1800" w:hanging="360"/>
      </w:pPr>
      <w:rPr>
        <w:rFonts w:ascii="Symbol" w:hAnsi="Symbol" w:hint="default"/>
      </w:rPr>
    </w:lvl>
    <w:lvl w:ilvl="2" w:tplc="14090005">
      <w:start w:val="1"/>
      <w:numFmt w:val="bullet"/>
      <w:lvlText w:val=""/>
      <w:lvlJc w:val="left"/>
      <w:pPr>
        <w:ind w:left="2520" w:hanging="360"/>
      </w:pPr>
      <w:rPr>
        <w:rFonts w:ascii="Wingdings" w:hAnsi="Wingdings" w:hint="default"/>
      </w:rPr>
    </w:lvl>
    <w:lvl w:ilvl="3" w:tplc="14090001" w:tentative="1">
      <w:start w:val="1"/>
      <w:numFmt w:val="bullet"/>
      <w:lvlText w:val=""/>
      <w:lvlJc w:val="left"/>
      <w:pPr>
        <w:ind w:left="3240" w:hanging="360"/>
      </w:pPr>
      <w:rPr>
        <w:rFonts w:ascii="Symbol" w:hAnsi="Symbol" w:hint="default"/>
      </w:rPr>
    </w:lvl>
    <w:lvl w:ilvl="4" w:tplc="14090003" w:tentative="1">
      <w:start w:val="1"/>
      <w:numFmt w:val="bullet"/>
      <w:lvlText w:val="o"/>
      <w:lvlJc w:val="left"/>
      <w:pPr>
        <w:ind w:left="3960" w:hanging="360"/>
      </w:pPr>
      <w:rPr>
        <w:rFonts w:ascii="Courier New" w:hAnsi="Courier New" w:cs="Courier New" w:hint="default"/>
      </w:rPr>
    </w:lvl>
    <w:lvl w:ilvl="5" w:tplc="14090005" w:tentative="1">
      <w:start w:val="1"/>
      <w:numFmt w:val="bullet"/>
      <w:lvlText w:val=""/>
      <w:lvlJc w:val="left"/>
      <w:pPr>
        <w:ind w:left="4680" w:hanging="360"/>
      </w:pPr>
      <w:rPr>
        <w:rFonts w:ascii="Wingdings" w:hAnsi="Wingdings" w:hint="default"/>
      </w:rPr>
    </w:lvl>
    <w:lvl w:ilvl="6" w:tplc="14090001" w:tentative="1">
      <w:start w:val="1"/>
      <w:numFmt w:val="bullet"/>
      <w:lvlText w:val=""/>
      <w:lvlJc w:val="left"/>
      <w:pPr>
        <w:ind w:left="5400" w:hanging="360"/>
      </w:pPr>
      <w:rPr>
        <w:rFonts w:ascii="Symbol" w:hAnsi="Symbol" w:hint="default"/>
      </w:rPr>
    </w:lvl>
    <w:lvl w:ilvl="7" w:tplc="14090003" w:tentative="1">
      <w:start w:val="1"/>
      <w:numFmt w:val="bullet"/>
      <w:lvlText w:val="o"/>
      <w:lvlJc w:val="left"/>
      <w:pPr>
        <w:ind w:left="6120" w:hanging="360"/>
      </w:pPr>
      <w:rPr>
        <w:rFonts w:ascii="Courier New" w:hAnsi="Courier New" w:cs="Courier New" w:hint="default"/>
      </w:rPr>
    </w:lvl>
    <w:lvl w:ilvl="8" w:tplc="14090005" w:tentative="1">
      <w:start w:val="1"/>
      <w:numFmt w:val="bullet"/>
      <w:lvlText w:val=""/>
      <w:lvlJc w:val="left"/>
      <w:pPr>
        <w:ind w:left="6840" w:hanging="360"/>
      </w:pPr>
      <w:rPr>
        <w:rFonts w:ascii="Wingdings" w:hAnsi="Wingdings" w:hint="default"/>
      </w:rPr>
    </w:lvl>
  </w:abstractNum>
  <w:abstractNum w:abstractNumId="35" w15:restartNumberingAfterBreak="0">
    <w:nsid w:val="5BAD47F2"/>
    <w:multiLevelType w:val="hybridMultilevel"/>
    <w:tmpl w:val="C2667828"/>
    <w:lvl w:ilvl="0" w:tplc="14090001">
      <w:start w:val="1"/>
      <w:numFmt w:val="bullet"/>
      <w:lvlText w:val=""/>
      <w:lvlJc w:val="left"/>
      <w:pPr>
        <w:ind w:left="360" w:hanging="360"/>
      </w:pPr>
      <w:rPr>
        <w:rFonts w:ascii="Symbol" w:hAnsi="Symbol" w:hint="default"/>
      </w:rPr>
    </w:lvl>
    <w:lvl w:ilvl="1" w:tplc="30F0DA2C">
      <w:start w:val="1"/>
      <w:numFmt w:val="bullet"/>
      <w:lvlText w:val="‒"/>
      <w:lvlJc w:val="left"/>
      <w:pPr>
        <w:ind w:left="1080" w:hanging="360"/>
      </w:pPr>
      <w:rPr>
        <w:rFonts w:ascii="Times New Roman" w:hAnsi="Times New Roman" w:cs="Times New Roman" w:hint="default"/>
      </w:rPr>
    </w:lvl>
    <w:lvl w:ilvl="2" w:tplc="14090005" w:tentative="1">
      <w:start w:val="1"/>
      <w:numFmt w:val="bullet"/>
      <w:lvlText w:val=""/>
      <w:lvlJc w:val="left"/>
      <w:pPr>
        <w:ind w:left="1800" w:hanging="360"/>
      </w:pPr>
      <w:rPr>
        <w:rFonts w:ascii="Wingdings" w:hAnsi="Wingdings" w:hint="default"/>
      </w:rPr>
    </w:lvl>
    <w:lvl w:ilvl="3" w:tplc="14090001" w:tentative="1">
      <w:start w:val="1"/>
      <w:numFmt w:val="bullet"/>
      <w:lvlText w:val=""/>
      <w:lvlJc w:val="left"/>
      <w:pPr>
        <w:ind w:left="2520" w:hanging="360"/>
      </w:pPr>
      <w:rPr>
        <w:rFonts w:ascii="Symbol" w:hAnsi="Symbol" w:hint="default"/>
      </w:rPr>
    </w:lvl>
    <w:lvl w:ilvl="4" w:tplc="14090003" w:tentative="1">
      <w:start w:val="1"/>
      <w:numFmt w:val="bullet"/>
      <w:lvlText w:val="o"/>
      <w:lvlJc w:val="left"/>
      <w:pPr>
        <w:ind w:left="3240" w:hanging="360"/>
      </w:pPr>
      <w:rPr>
        <w:rFonts w:ascii="Courier New" w:hAnsi="Courier New" w:cs="Courier New" w:hint="default"/>
      </w:rPr>
    </w:lvl>
    <w:lvl w:ilvl="5" w:tplc="14090005" w:tentative="1">
      <w:start w:val="1"/>
      <w:numFmt w:val="bullet"/>
      <w:lvlText w:val=""/>
      <w:lvlJc w:val="left"/>
      <w:pPr>
        <w:ind w:left="3960" w:hanging="360"/>
      </w:pPr>
      <w:rPr>
        <w:rFonts w:ascii="Wingdings" w:hAnsi="Wingdings" w:hint="default"/>
      </w:rPr>
    </w:lvl>
    <w:lvl w:ilvl="6" w:tplc="14090001" w:tentative="1">
      <w:start w:val="1"/>
      <w:numFmt w:val="bullet"/>
      <w:lvlText w:val=""/>
      <w:lvlJc w:val="left"/>
      <w:pPr>
        <w:ind w:left="4680" w:hanging="360"/>
      </w:pPr>
      <w:rPr>
        <w:rFonts w:ascii="Symbol" w:hAnsi="Symbol" w:hint="default"/>
      </w:rPr>
    </w:lvl>
    <w:lvl w:ilvl="7" w:tplc="14090003" w:tentative="1">
      <w:start w:val="1"/>
      <w:numFmt w:val="bullet"/>
      <w:lvlText w:val="o"/>
      <w:lvlJc w:val="left"/>
      <w:pPr>
        <w:ind w:left="5400" w:hanging="360"/>
      </w:pPr>
      <w:rPr>
        <w:rFonts w:ascii="Courier New" w:hAnsi="Courier New" w:cs="Courier New" w:hint="default"/>
      </w:rPr>
    </w:lvl>
    <w:lvl w:ilvl="8" w:tplc="14090005" w:tentative="1">
      <w:start w:val="1"/>
      <w:numFmt w:val="bullet"/>
      <w:lvlText w:val=""/>
      <w:lvlJc w:val="left"/>
      <w:pPr>
        <w:ind w:left="6120" w:hanging="360"/>
      </w:pPr>
      <w:rPr>
        <w:rFonts w:ascii="Wingdings" w:hAnsi="Wingdings" w:hint="default"/>
      </w:rPr>
    </w:lvl>
  </w:abstractNum>
  <w:abstractNum w:abstractNumId="36" w15:restartNumberingAfterBreak="0">
    <w:nsid w:val="5FAD4597"/>
    <w:multiLevelType w:val="hybridMultilevel"/>
    <w:tmpl w:val="5EE01562"/>
    <w:lvl w:ilvl="0" w:tplc="08090001">
      <w:start w:val="1"/>
      <w:numFmt w:val="bullet"/>
      <w:lvlText w:val=""/>
      <w:lvlJc w:val="left"/>
      <w:pPr>
        <w:tabs>
          <w:tab w:val="num" w:pos="360"/>
        </w:tabs>
        <w:ind w:left="360" w:hanging="360"/>
      </w:pPr>
      <w:rPr>
        <w:rFonts w:ascii="Symbol" w:hAnsi="Symbol" w:hint="default"/>
      </w:rPr>
    </w:lvl>
    <w:lvl w:ilvl="1" w:tplc="08090003" w:tentative="1">
      <w:start w:val="1"/>
      <w:numFmt w:val="bullet"/>
      <w:lvlText w:val="o"/>
      <w:lvlJc w:val="left"/>
      <w:pPr>
        <w:tabs>
          <w:tab w:val="num" w:pos="1080"/>
        </w:tabs>
        <w:ind w:left="1080" w:hanging="360"/>
      </w:pPr>
      <w:rPr>
        <w:rFonts w:ascii="Courier New" w:hAnsi="Courier New" w:cs="Courier New" w:hint="default"/>
      </w:rPr>
    </w:lvl>
    <w:lvl w:ilvl="2" w:tplc="08090005" w:tentative="1">
      <w:start w:val="1"/>
      <w:numFmt w:val="bullet"/>
      <w:lvlText w:val=""/>
      <w:lvlJc w:val="left"/>
      <w:pPr>
        <w:tabs>
          <w:tab w:val="num" w:pos="1800"/>
        </w:tabs>
        <w:ind w:left="1800" w:hanging="360"/>
      </w:pPr>
      <w:rPr>
        <w:rFonts w:ascii="Wingdings" w:hAnsi="Wingdings" w:hint="default"/>
      </w:rPr>
    </w:lvl>
    <w:lvl w:ilvl="3" w:tplc="08090001" w:tentative="1">
      <w:start w:val="1"/>
      <w:numFmt w:val="bullet"/>
      <w:lvlText w:val=""/>
      <w:lvlJc w:val="left"/>
      <w:pPr>
        <w:tabs>
          <w:tab w:val="num" w:pos="2520"/>
        </w:tabs>
        <w:ind w:left="2520" w:hanging="360"/>
      </w:pPr>
      <w:rPr>
        <w:rFonts w:ascii="Symbol" w:hAnsi="Symbol" w:hint="default"/>
      </w:rPr>
    </w:lvl>
    <w:lvl w:ilvl="4" w:tplc="08090003" w:tentative="1">
      <w:start w:val="1"/>
      <w:numFmt w:val="bullet"/>
      <w:lvlText w:val="o"/>
      <w:lvlJc w:val="left"/>
      <w:pPr>
        <w:tabs>
          <w:tab w:val="num" w:pos="3240"/>
        </w:tabs>
        <w:ind w:left="3240" w:hanging="360"/>
      </w:pPr>
      <w:rPr>
        <w:rFonts w:ascii="Courier New" w:hAnsi="Courier New" w:cs="Courier New" w:hint="default"/>
      </w:rPr>
    </w:lvl>
    <w:lvl w:ilvl="5" w:tplc="08090005" w:tentative="1">
      <w:start w:val="1"/>
      <w:numFmt w:val="bullet"/>
      <w:lvlText w:val=""/>
      <w:lvlJc w:val="left"/>
      <w:pPr>
        <w:tabs>
          <w:tab w:val="num" w:pos="3960"/>
        </w:tabs>
        <w:ind w:left="3960" w:hanging="360"/>
      </w:pPr>
      <w:rPr>
        <w:rFonts w:ascii="Wingdings" w:hAnsi="Wingdings" w:hint="default"/>
      </w:rPr>
    </w:lvl>
    <w:lvl w:ilvl="6" w:tplc="08090001" w:tentative="1">
      <w:start w:val="1"/>
      <w:numFmt w:val="bullet"/>
      <w:lvlText w:val=""/>
      <w:lvlJc w:val="left"/>
      <w:pPr>
        <w:tabs>
          <w:tab w:val="num" w:pos="4680"/>
        </w:tabs>
        <w:ind w:left="4680" w:hanging="360"/>
      </w:pPr>
      <w:rPr>
        <w:rFonts w:ascii="Symbol" w:hAnsi="Symbol" w:hint="default"/>
      </w:rPr>
    </w:lvl>
    <w:lvl w:ilvl="7" w:tplc="08090003" w:tentative="1">
      <w:start w:val="1"/>
      <w:numFmt w:val="bullet"/>
      <w:lvlText w:val="o"/>
      <w:lvlJc w:val="left"/>
      <w:pPr>
        <w:tabs>
          <w:tab w:val="num" w:pos="5400"/>
        </w:tabs>
        <w:ind w:left="5400" w:hanging="360"/>
      </w:pPr>
      <w:rPr>
        <w:rFonts w:ascii="Courier New" w:hAnsi="Courier New" w:cs="Courier New" w:hint="default"/>
      </w:rPr>
    </w:lvl>
    <w:lvl w:ilvl="8" w:tplc="08090005" w:tentative="1">
      <w:start w:val="1"/>
      <w:numFmt w:val="bullet"/>
      <w:lvlText w:val=""/>
      <w:lvlJc w:val="left"/>
      <w:pPr>
        <w:tabs>
          <w:tab w:val="num" w:pos="6120"/>
        </w:tabs>
        <w:ind w:left="6120" w:hanging="360"/>
      </w:pPr>
      <w:rPr>
        <w:rFonts w:ascii="Wingdings" w:hAnsi="Wingdings" w:hint="default"/>
      </w:rPr>
    </w:lvl>
  </w:abstractNum>
  <w:abstractNum w:abstractNumId="37" w15:restartNumberingAfterBreak="0">
    <w:nsid w:val="68AD1166"/>
    <w:multiLevelType w:val="hybridMultilevel"/>
    <w:tmpl w:val="491AD9F6"/>
    <w:lvl w:ilvl="0" w:tplc="7B74B35E">
      <w:start w:val="1"/>
      <w:numFmt w:val="bullet"/>
      <w:lvlText w:val=""/>
      <w:lvlJc w:val="left"/>
      <w:pPr>
        <w:ind w:left="1287" w:hanging="360"/>
      </w:pPr>
      <w:rPr>
        <w:rFonts w:ascii="Symbol" w:hAnsi="Symbol" w:hint="default"/>
        <w:color w:val="auto"/>
        <w:sz w:val="16"/>
      </w:rPr>
    </w:lvl>
    <w:lvl w:ilvl="1" w:tplc="14090003" w:tentative="1">
      <w:start w:val="1"/>
      <w:numFmt w:val="bullet"/>
      <w:lvlText w:val="o"/>
      <w:lvlJc w:val="left"/>
      <w:pPr>
        <w:ind w:left="2007" w:hanging="360"/>
      </w:pPr>
      <w:rPr>
        <w:rFonts w:ascii="Courier New" w:hAnsi="Courier New" w:cs="Courier New" w:hint="default"/>
      </w:rPr>
    </w:lvl>
    <w:lvl w:ilvl="2" w:tplc="14090005" w:tentative="1">
      <w:start w:val="1"/>
      <w:numFmt w:val="bullet"/>
      <w:lvlText w:val=""/>
      <w:lvlJc w:val="left"/>
      <w:pPr>
        <w:ind w:left="2727" w:hanging="360"/>
      </w:pPr>
      <w:rPr>
        <w:rFonts w:ascii="Wingdings" w:hAnsi="Wingdings" w:hint="default"/>
      </w:rPr>
    </w:lvl>
    <w:lvl w:ilvl="3" w:tplc="14090001" w:tentative="1">
      <w:start w:val="1"/>
      <w:numFmt w:val="bullet"/>
      <w:lvlText w:val=""/>
      <w:lvlJc w:val="left"/>
      <w:pPr>
        <w:ind w:left="3447" w:hanging="360"/>
      </w:pPr>
      <w:rPr>
        <w:rFonts w:ascii="Symbol" w:hAnsi="Symbol" w:hint="default"/>
      </w:rPr>
    </w:lvl>
    <w:lvl w:ilvl="4" w:tplc="14090003" w:tentative="1">
      <w:start w:val="1"/>
      <w:numFmt w:val="bullet"/>
      <w:lvlText w:val="o"/>
      <w:lvlJc w:val="left"/>
      <w:pPr>
        <w:ind w:left="4167" w:hanging="360"/>
      </w:pPr>
      <w:rPr>
        <w:rFonts w:ascii="Courier New" w:hAnsi="Courier New" w:cs="Courier New" w:hint="default"/>
      </w:rPr>
    </w:lvl>
    <w:lvl w:ilvl="5" w:tplc="14090005" w:tentative="1">
      <w:start w:val="1"/>
      <w:numFmt w:val="bullet"/>
      <w:lvlText w:val=""/>
      <w:lvlJc w:val="left"/>
      <w:pPr>
        <w:ind w:left="4887" w:hanging="360"/>
      </w:pPr>
      <w:rPr>
        <w:rFonts w:ascii="Wingdings" w:hAnsi="Wingdings" w:hint="default"/>
      </w:rPr>
    </w:lvl>
    <w:lvl w:ilvl="6" w:tplc="14090001" w:tentative="1">
      <w:start w:val="1"/>
      <w:numFmt w:val="bullet"/>
      <w:lvlText w:val=""/>
      <w:lvlJc w:val="left"/>
      <w:pPr>
        <w:ind w:left="5607" w:hanging="360"/>
      </w:pPr>
      <w:rPr>
        <w:rFonts w:ascii="Symbol" w:hAnsi="Symbol" w:hint="default"/>
      </w:rPr>
    </w:lvl>
    <w:lvl w:ilvl="7" w:tplc="14090003" w:tentative="1">
      <w:start w:val="1"/>
      <w:numFmt w:val="bullet"/>
      <w:lvlText w:val="o"/>
      <w:lvlJc w:val="left"/>
      <w:pPr>
        <w:ind w:left="6327" w:hanging="360"/>
      </w:pPr>
      <w:rPr>
        <w:rFonts w:ascii="Courier New" w:hAnsi="Courier New" w:cs="Courier New" w:hint="default"/>
      </w:rPr>
    </w:lvl>
    <w:lvl w:ilvl="8" w:tplc="14090005" w:tentative="1">
      <w:start w:val="1"/>
      <w:numFmt w:val="bullet"/>
      <w:lvlText w:val=""/>
      <w:lvlJc w:val="left"/>
      <w:pPr>
        <w:ind w:left="7047" w:hanging="360"/>
      </w:pPr>
      <w:rPr>
        <w:rFonts w:ascii="Wingdings" w:hAnsi="Wingdings" w:hint="default"/>
      </w:rPr>
    </w:lvl>
  </w:abstractNum>
  <w:abstractNum w:abstractNumId="38" w15:restartNumberingAfterBreak="0">
    <w:nsid w:val="75811DDE"/>
    <w:multiLevelType w:val="hybridMultilevel"/>
    <w:tmpl w:val="5784BADA"/>
    <w:lvl w:ilvl="0" w:tplc="14090001">
      <w:start w:val="1"/>
      <w:numFmt w:val="bullet"/>
      <w:pStyle w:val="TableDash"/>
      <w:lvlText w:val=""/>
      <w:lvlJc w:val="left"/>
      <w:pPr>
        <w:tabs>
          <w:tab w:val="num" w:pos="567"/>
        </w:tabs>
        <w:ind w:left="567" w:hanging="283"/>
      </w:pPr>
      <w:rPr>
        <w:rFonts w:ascii="Symbol" w:hAnsi="Symbol" w:hint="default"/>
        <w:color w:val="auto"/>
        <w:sz w:val="16"/>
        <w:szCs w:val="16"/>
      </w:rPr>
    </w:lvl>
    <w:lvl w:ilvl="1" w:tplc="14090003">
      <w:start w:val="1"/>
      <w:numFmt w:val="bullet"/>
      <w:lvlText w:val="o"/>
      <w:lvlJc w:val="left"/>
      <w:pPr>
        <w:tabs>
          <w:tab w:val="num" w:pos="1440"/>
        </w:tabs>
        <w:ind w:left="1440" w:hanging="360"/>
      </w:pPr>
      <w:rPr>
        <w:rFonts w:ascii="Courier New" w:hAnsi="Courier New" w:cs="Courier New" w:hint="default"/>
      </w:rPr>
    </w:lvl>
    <w:lvl w:ilvl="2" w:tplc="14090005" w:tentative="1">
      <w:start w:val="1"/>
      <w:numFmt w:val="bullet"/>
      <w:lvlText w:val=""/>
      <w:lvlJc w:val="left"/>
      <w:pPr>
        <w:tabs>
          <w:tab w:val="num" w:pos="2160"/>
        </w:tabs>
        <w:ind w:left="2160" w:hanging="360"/>
      </w:pPr>
      <w:rPr>
        <w:rFonts w:ascii="Wingdings" w:hAnsi="Wingdings" w:hint="default"/>
      </w:rPr>
    </w:lvl>
    <w:lvl w:ilvl="3" w:tplc="14090001" w:tentative="1">
      <w:start w:val="1"/>
      <w:numFmt w:val="bullet"/>
      <w:lvlText w:val=""/>
      <w:lvlJc w:val="left"/>
      <w:pPr>
        <w:tabs>
          <w:tab w:val="num" w:pos="2880"/>
        </w:tabs>
        <w:ind w:left="2880" w:hanging="360"/>
      </w:pPr>
      <w:rPr>
        <w:rFonts w:ascii="Symbol" w:hAnsi="Symbol" w:hint="default"/>
      </w:rPr>
    </w:lvl>
    <w:lvl w:ilvl="4" w:tplc="14090003" w:tentative="1">
      <w:start w:val="1"/>
      <w:numFmt w:val="bullet"/>
      <w:lvlText w:val="o"/>
      <w:lvlJc w:val="left"/>
      <w:pPr>
        <w:tabs>
          <w:tab w:val="num" w:pos="3600"/>
        </w:tabs>
        <w:ind w:left="3600" w:hanging="360"/>
      </w:pPr>
      <w:rPr>
        <w:rFonts w:ascii="Courier New" w:hAnsi="Courier New" w:cs="Courier New" w:hint="default"/>
      </w:rPr>
    </w:lvl>
    <w:lvl w:ilvl="5" w:tplc="14090005" w:tentative="1">
      <w:start w:val="1"/>
      <w:numFmt w:val="bullet"/>
      <w:lvlText w:val=""/>
      <w:lvlJc w:val="left"/>
      <w:pPr>
        <w:tabs>
          <w:tab w:val="num" w:pos="4320"/>
        </w:tabs>
        <w:ind w:left="4320" w:hanging="360"/>
      </w:pPr>
      <w:rPr>
        <w:rFonts w:ascii="Wingdings" w:hAnsi="Wingdings" w:hint="default"/>
      </w:rPr>
    </w:lvl>
    <w:lvl w:ilvl="6" w:tplc="14090001" w:tentative="1">
      <w:start w:val="1"/>
      <w:numFmt w:val="bullet"/>
      <w:lvlText w:val=""/>
      <w:lvlJc w:val="left"/>
      <w:pPr>
        <w:tabs>
          <w:tab w:val="num" w:pos="5040"/>
        </w:tabs>
        <w:ind w:left="5040" w:hanging="360"/>
      </w:pPr>
      <w:rPr>
        <w:rFonts w:ascii="Symbol" w:hAnsi="Symbol" w:hint="default"/>
      </w:rPr>
    </w:lvl>
    <w:lvl w:ilvl="7" w:tplc="14090003" w:tentative="1">
      <w:start w:val="1"/>
      <w:numFmt w:val="bullet"/>
      <w:lvlText w:val="o"/>
      <w:lvlJc w:val="left"/>
      <w:pPr>
        <w:tabs>
          <w:tab w:val="num" w:pos="5760"/>
        </w:tabs>
        <w:ind w:left="5760" w:hanging="360"/>
      </w:pPr>
      <w:rPr>
        <w:rFonts w:ascii="Courier New" w:hAnsi="Courier New" w:cs="Courier New" w:hint="default"/>
      </w:rPr>
    </w:lvl>
    <w:lvl w:ilvl="8" w:tplc="14090005" w:tentative="1">
      <w:start w:val="1"/>
      <w:numFmt w:val="bullet"/>
      <w:lvlText w:val=""/>
      <w:lvlJc w:val="left"/>
      <w:pPr>
        <w:tabs>
          <w:tab w:val="num" w:pos="6480"/>
        </w:tabs>
        <w:ind w:left="6480" w:hanging="360"/>
      </w:pPr>
      <w:rPr>
        <w:rFonts w:ascii="Wingdings" w:hAnsi="Wingdings" w:hint="default"/>
      </w:rPr>
    </w:lvl>
  </w:abstractNum>
  <w:abstractNum w:abstractNumId="39" w15:restartNumberingAfterBreak="0">
    <w:nsid w:val="7BB52E00"/>
    <w:multiLevelType w:val="hybridMultilevel"/>
    <w:tmpl w:val="FA24D34A"/>
    <w:lvl w:ilvl="0" w:tplc="1409000F">
      <w:start w:val="1"/>
      <w:numFmt w:val="decimal"/>
      <w:lvlText w:val="%1."/>
      <w:lvlJc w:val="left"/>
      <w:pPr>
        <w:ind w:left="720" w:hanging="360"/>
      </w:p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num w:numId="1">
    <w:abstractNumId w:val="32"/>
  </w:num>
  <w:num w:numId="2">
    <w:abstractNumId w:val="7"/>
    <w:lvlOverride w:ilvl="0">
      <w:lvl w:ilvl="0">
        <w:start w:val="1"/>
        <w:numFmt w:val="bullet"/>
        <w:pStyle w:val="Sub-bullet"/>
        <w:lvlText w:val="–"/>
        <w:legacy w:legacy="1" w:legacySpace="0" w:legacyIndent="284"/>
        <w:lvlJc w:val="left"/>
        <w:pPr>
          <w:ind w:left="851" w:hanging="284"/>
        </w:pPr>
        <w:rPr>
          <w:rFonts w:ascii="Times New Roman" w:hAnsi="Times New Roman" w:cs="Times New Roman" w:hint="default"/>
          <w:sz w:val="20"/>
        </w:rPr>
      </w:lvl>
    </w:lvlOverride>
  </w:num>
  <w:num w:numId="3">
    <w:abstractNumId w:val="20"/>
  </w:num>
  <w:num w:numId="4">
    <w:abstractNumId w:val="27"/>
  </w:num>
  <w:num w:numId="5">
    <w:abstractNumId w:val="17"/>
  </w:num>
  <w:num w:numId="6">
    <w:abstractNumId w:val="28"/>
  </w:num>
  <w:num w:numId="7">
    <w:abstractNumId w:val="33"/>
  </w:num>
  <w:num w:numId="8">
    <w:abstractNumId w:val="19"/>
  </w:num>
  <w:num w:numId="9">
    <w:abstractNumId w:val="28"/>
    <w:lvlOverride w:ilvl="0">
      <w:startOverride w:val="1"/>
    </w:lvlOverride>
  </w:num>
  <w:num w:numId="10">
    <w:abstractNumId w:val="17"/>
    <w:lvlOverride w:ilvl="0">
      <w:startOverride w:val="1"/>
    </w:lvlOverride>
  </w:num>
  <w:num w:numId="11">
    <w:abstractNumId w:val="27"/>
  </w:num>
  <w:num w:numId="12">
    <w:abstractNumId w:val="19"/>
  </w:num>
  <w:num w:numId="13">
    <w:abstractNumId w:val="23"/>
  </w:num>
  <w:num w:numId="14">
    <w:abstractNumId w:val="6"/>
  </w:num>
  <w:num w:numId="15">
    <w:abstractNumId w:val="5"/>
  </w:num>
  <w:num w:numId="16">
    <w:abstractNumId w:val="4"/>
  </w:num>
  <w:num w:numId="17">
    <w:abstractNumId w:val="3"/>
  </w:num>
  <w:num w:numId="18">
    <w:abstractNumId w:val="2"/>
  </w:num>
  <w:num w:numId="19">
    <w:abstractNumId w:val="8"/>
  </w:num>
  <w:num w:numId="20">
    <w:abstractNumId w:val="9"/>
  </w:num>
  <w:num w:numId="21">
    <w:abstractNumId w:val="25"/>
  </w:num>
  <w:num w:numId="22">
    <w:abstractNumId w:val="38"/>
  </w:num>
  <w:num w:numId="23">
    <w:abstractNumId w:val="1"/>
  </w:num>
  <w:num w:numId="24">
    <w:abstractNumId w:val="0"/>
  </w:num>
  <w:num w:numId="25">
    <w:abstractNumId w:val="13"/>
  </w:num>
  <w:num w:numId="26">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36"/>
  </w:num>
  <w:num w:numId="28">
    <w:abstractNumId w:val="39"/>
  </w:num>
  <w:num w:numId="29">
    <w:abstractNumId w:val="10"/>
  </w:num>
  <w:num w:numId="30">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37"/>
  </w:num>
  <w:num w:numId="32">
    <w:abstractNumId w:val="31"/>
  </w:num>
  <w:num w:numId="33">
    <w:abstractNumId w:val="22"/>
  </w:num>
  <w:num w:numId="34">
    <w:abstractNumId w:val="30"/>
  </w:num>
  <w:num w:numId="35">
    <w:abstractNumId w:val="21"/>
  </w:num>
  <w:num w:numId="36">
    <w:abstractNumId w:val="35"/>
  </w:num>
  <w:num w:numId="37">
    <w:abstractNumId w:val="26"/>
  </w:num>
  <w:num w:numId="38">
    <w:abstractNumId w:val="29"/>
  </w:num>
  <w:num w:numId="39">
    <w:abstractNumId w:val="16"/>
  </w:num>
  <w:num w:numId="40">
    <w:abstractNumId w:val="34"/>
  </w:num>
  <w:num w:numId="41">
    <w:abstractNumId w:val="11"/>
  </w:num>
  <w:num w:numId="42">
    <w:abstractNumId w:val="14"/>
  </w:num>
  <w:num w:numId="43">
    <w:abstractNumId w:val="18"/>
  </w:num>
  <w:num w:numId="44">
    <w:abstractNumId w:val="24"/>
  </w:num>
  <w:numIdMacAtCleanup w:val="2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activeWritingStyle w:appName="MSWord" w:lang="en-NZ" w:vendorID="64" w:dllVersion="131078" w:nlCheck="1" w:checkStyle="1"/>
  <w:activeWritingStyle w:appName="MSWord" w:lang="en-GB" w:vendorID="64" w:dllVersion="131078" w:nlCheck="1" w:checkStyle="1"/>
  <w:activeWritingStyle w:appName="MSWord" w:lang="en-US" w:vendorID="64" w:dllVersion="131078" w:nlCheck="1" w:checkStyle="1"/>
  <w:attachedTemplate r:id="rId1"/>
  <w:stylePaneFormatFilter w:val="5804" w:allStyles="0" w:customStyles="0" w:latentStyles="1" w:stylesInUse="0" w:headingStyles="0" w:numberingStyles="0" w:tableStyles="0" w:directFormattingOnRuns="0" w:directFormattingOnParagraphs="0" w:directFormattingOnNumbering="0" w:directFormattingOnTables="1" w:clearFormatting="1" w:top3HeadingStyles="0" w:visibleStyles="1" w:alternateStyleNames="0"/>
  <w:doNotTrackMoves/>
  <w:defaultTabStop w:val="720"/>
  <w:evenAndOddHeaders/>
  <w:drawingGridHorizontalSpacing w:val="187"/>
  <w:displayVerticalDrawingGridEvery w:val="2"/>
  <w:noPunctuationKerning/>
  <w:characterSpacingControl w:val="doNotCompress"/>
  <w:hdrShapeDefaults>
    <o:shapedefaults v:ext="edit" spidmax="10241"/>
  </w:hdrShapeDefaults>
  <w:footnotePr>
    <w:footnote w:id="-1"/>
    <w:footnote w:id="0"/>
  </w:footnotePr>
  <w:endnotePr>
    <w:endnote w:id="-1"/>
    <w:endnote w:id="0"/>
  </w:endnotePr>
  <w:compat>
    <w:suppressBottomSpacing/>
    <w:suppressSpBfAfterPgBrk/>
    <w:doNotUseHTMLParagraphAutoSpacing/>
    <w:useWord2002TableStyleRules/>
    <w:growAutofi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702030"/>
    <w:rsid w:val="00001036"/>
    <w:rsid w:val="00001716"/>
    <w:rsid w:val="00005107"/>
    <w:rsid w:val="00005A00"/>
    <w:rsid w:val="000072A3"/>
    <w:rsid w:val="000076CA"/>
    <w:rsid w:val="00007ABB"/>
    <w:rsid w:val="00013566"/>
    <w:rsid w:val="00015CFC"/>
    <w:rsid w:val="000219C8"/>
    <w:rsid w:val="00021ACF"/>
    <w:rsid w:val="000226E1"/>
    <w:rsid w:val="000233E5"/>
    <w:rsid w:val="00027E55"/>
    <w:rsid w:val="000310E4"/>
    <w:rsid w:val="00032A28"/>
    <w:rsid w:val="00035185"/>
    <w:rsid w:val="0003677D"/>
    <w:rsid w:val="00044580"/>
    <w:rsid w:val="00046F5D"/>
    <w:rsid w:val="00050008"/>
    <w:rsid w:val="0005134C"/>
    <w:rsid w:val="00051F54"/>
    <w:rsid w:val="000527F7"/>
    <w:rsid w:val="0006123B"/>
    <w:rsid w:val="000674C9"/>
    <w:rsid w:val="00084588"/>
    <w:rsid w:val="00091D5B"/>
    <w:rsid w:val="00096637"/>
    <w:rsid w:val="000A3774"/>
    <w:rsid w:val="000B7C81"/>
    <w:rsid w:val="000C20A6"/>
    <w:rsid w:val="000C3D24"/>
    <w:rsid w:val="000D350A"/>
    <w:rsid w:val="000E1498"/>
    <w:rsid w:val="000E7C76"/>
    <w:rsid w:val="000F2C4E"/>
    <w:rsid w:val="000F4DEF"/>
    <w:rsid w:val="000F6318"/>
    <w:rsid w:val="000F65A0"/>
    <w:rsid w:val="00104385"/>
    <w:rsid w:val="00116E1B"/>
    <w:rsid w:val="001221C3"/>
    <w:rsid w:val="00133C9D"/>
    <w:rsid w:val="00134FC2"/>
    <w:rsid w:val="00135B33"/>
    <w:rsid w:val="00142A81"/>
    <w:rsid w:val="00153F5A"/>
    <w:rsid w:val="00154767"/>
    <w:rsid w:val="00172F2B"/>
    <w:rsid w:val="00172FD1"/>
    <w:rsid w:val="001970E1"/>
    <w:rsid w:val="00197F74"/>
    <w:rsid w:val="001A0825"/>
    <w:rsid w:val="001A1997"/>
    <w:rsid w:val="001A682A"/>
    <w:rsid w:val="001B6FD2"/>
    <w:rsid w:val="001C46B7"/>
    <w:rsid w:val="001D3490"/>
    <w:rsid w:val="001D510C"/>
    <w:rsid w:val="001E0B7B"/>
    <w:rsid w:val="001F0248"/>
    <w:rsid w:val="001F647B"/>
    <w:rsid w:val="00205099"/>
    <w:rsid w:val="00207ABF"/>
    <w:rsid w:val="002115C1"/>
    <w:rsid w:val="00225354"/>
    <w:rsid w:val="002258F2"/>
    <w:rsid w:val="0023070D"/>
    <w:rsid w:val="00240B42"/>
    <w:rsid w:val="002445CD"/>
    <w:rsid w:val="0024542F"/>
    <w:rsid w:val="00250ABA"/>
    <w:rsid w:val="002539EB"/>
    <w:rsid w:val="00255B99"/>
    <w:rsid w:val="00256982"/>
    <w:rsid w:val="002578F9"/>
    <w:rsid w:val="00260B48"/>
    <w:rsid w:val="0026128C"/>
    <w:rsid w:val="00271680"/>
    <w:rsid w:val="00273218"/>
    <w:rsid w:val="002847FC"/>
    <w:rsid w:val="0028581A"/>
    <w:rsid w:val="002868D3"/>
    <w:rsid w:val="00286FF5"/>
    <w:rsid w:val="002871BE"/>
    <w:rsid w:val="00295B2A"/>
    <w:rsid w:val="00297821"/>
    <w:rsid w:val="002A1361"/>
    <w:rsid w:val="002A49D7"/>
    <w:rsid w:val="002A68B1"/>
    <w:rsid w:val="002B1C5A"/>
    <w:rsid w:val="002B3284"/>
    <w:rsid w:val="002B3AA6"/>
    <w:rsid w:val="002B6594"/>
    <w:rsid w:val="002C1587"/>
    <w:rsid w:val="002C7AB5"/>
    <w:rsid w:val="002C7BFB"/>
    <w:rsid w:val="002D269F"/>
    <w:rsid w:val="002D354C"/>
    <w:rsid w:val="002D60DB"/>
    <w:rsid w:val="002D6A54"/>
    <w:rsid w:val="002F134A"/>
    <w:rsid w:val="002F1C42"/>
    <w:rsid w:val="002F5DA7"/>
    <w:rsid w:val="00302D84"/>
    <w:rsid w:val="00304077"/>
    <w:rsid w:val="00312888"/>
    <w:rsid w:val="00312DB0"/>
    <w:rsid w:val="00315760"/>
    <w:rsid w:val="0032102F"/>
    <w:rsid w:val="00323738"/>
    <w:rsid w:val="00325742"/>
    <w:rsid w:val="00332D11"/>
    <w:rsid w:val="00333ACA"/>
    <w:rsid w:val="00336A51"/>
    <w:rsid w:val="00350060"/>
    <w:rsid w:val="0036046B"/>
    <w:rsid w:val="003742A8"/>
    <w:rsid w:val="0037590E"/>
    <w:rsid w:val="00377186"/>
    <w:rsid w:val="00380BE7"/>
    <w:rsid w:val="00383207"/>
    <w:rsid w:val="0038559C"/>
    <w:rsid w:val="00385C61"/>
    <w:rsid w:val="00391D8B"/>
    <w:rsid w:val="003934D4"/>
    <w:rsid w:val="003972EF"/>
    <w:rsid w:val="003973F2"/>
    <w:rsid w:val="00397D2B"/>
    <w:rsid w:val="003A14E7"/>
    <w:rsid w:val="003A3F0A"/>
    <w:rsid w:val="003A5006"/>
    <w:rsid w:val="003B3D40"/>
    <w:rsid w:val="003C2615"/>
    <w:rsid w:val="003C292B"/>
    <w:rsid w:val="003C42C1"/>
    <w:rsid w:val="003C4F37"/>
    <w:rsid w:val="003C76EA"/>
    <w:rsid w:val="003D0318"/>
    <w:rsid w:val="003D5417"/>
    <w:rsid w:val="003E2377"/>
    <w:rsid w:val="003F6633"/>
    <w:rsid w:val="00400F92"/>
    <w:rsid w:val="00401E52"/>
    <w:rsid w:val="00402E75"/>
    <w:rsid w:val="00403CB3"/>
    <w:rsid w:val="00407A99"/>
    <w:rsid w:val="00423509"/>
    <w:rsid w:val="0042424B"/>
    <w:rsid w:val="00430D5D"/>
    <w:rsid w:val="00440459"/>
    <w:rsid w:val="00445D17"/>
    <w:rsid w:val="00453950"/>
    <w:rsid w:val="0045652C"/>
    <w:rsid w:val="00462497"/>
    <w:rsid w:val="0047276A"/>
    <w:rsid w:val="004733A1"/>
    <w:rsid w:val="004805A3"/>
    <w:rsid w:val="00486B11"/>
    <w:rsid w:val="00490EB0"/>
    <w:rsid w:val="004922E3"/>
    <w:rsid w:val="00494545"/>
    <w:rsid w:val="004A555E"/>
    <w:rsid w:val="004A618E"/>
    <w:rsid w:val="004B5E70"/>
    <w:rsid w:val="004B5FFC"/>
    <w:rsid w:val="004B6199"/>
    <w:rsid w:val="004B72BB"/>
    <w:rsid w:val="004C4C3C"/>
    <w:rsid w:val="004C5E77"/>
    <w:rsid w:val="004D0E3A"/>
    <w:rsid w:val="004D3C29"/>
    <w:rsid w:val="004E4B2C"/>
    <w:rsid w:val="004E629A"/>
    <w:rsid w:val="004F1572"/>
    <w:rsid w:val="00501A5F"/>
    <w:rsid w:val="005072D0"/>
    <w:rsid w:val="00511420"/>
    <w:rsid w:val="005226D6"/>
    <w:rsid w:val="00526270"/>
    <w:rsid w:val="0053239F"/>
    <w:rsid w:val="00534210"/>
    <w:rsid w:val="00536078"/>
    <w:rsid w:val="005369D9"/>
    <w:rsid w:val="00542CB5"/>
    <w:rsid w:val="00546A6A"/>
    <w:rsid w:val="005503CE"/>
    <w:rsid w:val="005630B0"/>
    <w:rsid w:val="005660CD"/>
    <w:rsid w:val="00570AA0"/>
    <w:rsid w:val="005720F2"/>
    <w:rsid w:val="005816E9"/>
    <w:rsid w:val="00582908"/>
    <w:rsid w:val="005902DC"/>
    <w:rsid w:val="00590491"/>
    <w:rsid w:val="005934E9"/>
    <w:rsid w:val="00593853"/>
    <w:rsid w:val="00596603"/>
    <w:rsid w:val="005A10D4"/>
    <w:rsid w:val="005A1E61"/>
    <w:rsid w:val="005A386A"/>
    <w:rsid w:val="005A7321"/>
    <w:rsid w:val="005B5232"/>
    <w:rsid w:val="005B76A4"/>
    <w:rsid w:val="005C19FE"/>
    <w:rsid w:val="005C3384"/>
    <w:rsid w:val="005C416E"/>
    <w:rsid w:val="005C5169"/>
    <w:rsid w:val="005D07DB"/>
    <w:rsid w:val="005D1C3A"/>
    <w:rsid w:val="005D2C82"/>
    <w:rsid w:val="005E2AF4"/>
    <w:rsid w:val="005E43DD"/>
    <w:rsid w:val="005E72B1"/>
    <w:rsid w:val="005F02D1"/>
    <w:rsid w:val="005F12A3"/>
    <w:rsid w:val="005F7F15"/>
    <w:rsid w:val="00600179"/>
    <w:rsid w:val="00603FC0"/>
    <w:rsid w:val="00611ECD"/>
    <w:rsid w:val="0061264D"/>
    <w:rsid w:val="00623AC7"/>
    <w:rsid w:val="00631DA9"/>
    <w:rsid w:val="00636BF0"/>
    <w:rsid w:val="006401AB"/>
    <w:rsid w:val="00642B3C"/>
    <w:rsid w:val="0064442E"/>
    <w:rsid w:val="00646B6D"/>
    <w:rsid w:val="006553BB"/>
    <w:rsid w:val="00655908"/>
    <w:rsid w:val="006644A4"/>
    <w:rsid w:val="006654F8"/>
    <w:rsid w:val="00665768"/>
    <w:rsid w:val="00667291"/>
    <w:rsid w:val="0066751E"/>
    <w:rsid w:val="00670F32"/>
    <w:rsid w:val="00686249"/>
    <w:rsid w:val="00687504"/>
    <w:rsid w:val="0068773D"/>
    <w:rsid w:val="0068777C"/>
    <w:rsid w:val="006909E0"/>
    <w:rsid w:val="006A171F"/>
    <w:rsid w:val="006A4E5F"/>
    <w:rsid w:val="006A7B24"/>
    <w:rsid w:val="006B182F"/>
    <w:rsid w:val="006B557B"/>
    <w:rsid w:val="006B6CE8"/>
    <w:rsid w:val="006C0ECC"/>
    <w:rsid w:val="006D3E88"/>
    <w:rsid w:val="006D4600"/>
    <w:rsid w:val="006E0A2C"/>
    <w:rsid w:val="006E202B"/>
    <w:rsid w:val="006E57B5"/>
    <w:rsid w:val="006E6AE2"/>
    <w:rsid w:val="006F0CF5"/>
    <w:rsid w:val="006F55B5"/>
    <w:rsid w:val="00702030"/>
    <w:rsid w:val="00702FA0"/>
    <w:rsid w:val="00714948"/>
    <w:rsid w:val="00715FDA"/>
    <w:rsid w:val="00722531"/>
    <w:rsid w:val="00724218"/>
    <w:rsid w:val="007350B6"/>
    <w:rsid w:val="00737744"/>
    <w:rsid w:val="00737E65"/>
    <w:rsid w:val="0074030A"/>
    <w:rsid w:val="00742C7B"/>
    <w:rsid w:val="00747904"/>
    <w:rsid w:val="00753965"/>
    <w:rsid w:val="00760888"/>
    <w:rsid w:val="00762043"/>
    <w:rsid w:val="007621A7"/>
    <w:rsid w:val="007633C2"/>
    <w:rsid w:val="00765A47"/>
    <w:rsid w:val="00766AC8"/>
    <w:rsid w:val="00766DF1"/>
    <w:rsid w:val="00770E82"/>
    <w:rsid w:val="00772E94"/>
    <w:rsid w:val="00773278"/>
    <w:rsid w:val="00773D22"/>
    <w:rsid w:val="007740E0"/>
    <w:rsid w:val="007773D2"/>
    <w:rsid w:val="00781D3B"/>
    <w:rsid w:val="007A1993"/>
    <w:rsid w:val="007A551F"/>
    <w:rsid w:val="007A7194"/>
    <w:rsid w:val="007B028B"/>
    <w:rsid w:val="007B1D71"/>
    <w:rsid w:val="007B5E0B"/>
    <w:rsid w:val="007C00D0"/>
    <w:rsid w:val="007C2186"/>
    <w:rsid w:val="007C3569"/>
    <w:rsid w:val="007C55B9"/>
    <w:rsid w:val="007E75FA"/>
    <w:rsid w:val="007E7739"/>
    <w:rsid w:val="007F2233"/>
    <w:rsid w:val="007F25E1"/>
    <w:rsid w:val="007F5915"/>
    <w:rsid w:val="007F73BB"/>
    <w:rsid w:val="007F7F59"/>
    <w:rsid w:val="00806461"/>
    <w:rsid w:val="0080694B"/>
    <w:rsid w:val="008113E1"/>
    <w:rsid w:val="008169FF"/>
    <w:rsid w:val="00817364"/>
    <w:rsid w:val="0081779C"/>
    <w:rsid w:val="00823616"/>
    <w:rsid w:val="008318DC"/>
    <w:rsid w:val="00831D0D"/>
    <w:rsid w:val="00832DEE"/>
    <w:rsid w:val="00835C2B"/>
    <w:rsid w:val="00837FBE"/>
    <w:rsid w:val="00841472"/>
    <w:rsid w:val="00845454"/>
    <w:rsid w:val="00846B89"/>
    <w:rsid w:val="00850057"/>
    <w:rsid w:val="00852592"/>
    <w:rsid w:val="0085534A"/>
    <w:rsid w:val="0085587E"/>
    <w:rsid w:val="00855A8A"/>
    <w:rsid w:val="008656EB"/>
    <w:rsid w:val="00876059"/>
    <w:rsid w:val="00880733"/>
    <w:rsid w:val="00886AAC"/>
    <w:rsid w:val="00891A0D"/>
    <w:rsid w:val="00894F01"/>
    <w:rsid w:val="00897010"/>
    <w:rsid w:val="008A2EC5"/>
    <w:rsid w:val="008B77F5"/>
    <w:rsid w:val="008C0279"/>
    <w:rsid w:val="008C584E"/>
    <w:rsid w:val="008C5B4C"/>
    <w:rsid w:val="008C7F68"/>
    <w:rsid w:val="008E380C"/>
    <w:rsid w:val="008E6A28"/>
    <w:rsid w:val="008F25D2"/>
    <w:rsid w:val="008F2C93"/>
    <w:rsid w:val="008F50EC"/>
    <w:rsid w:val="00901E44"/>
    <w:rsid w:val="00906C96"/>
    <w:rsid w:val="0091477C"/>
    <w:rsid w:val="00914CC6"/>
    <w:rsid w:val="0092751F"/>
    <w:rsid w:val="00932067"/>
    <w:rsid w:val="0093594A"/>
    <w:rsid w:val="00937382"/>
    <w:rsid w:val="00937B02"/>
    <w:rsid w:val="00944576"/>
    <w:rsid w:val="00944F4F"/>
    <w:rsid w:val="00955D73"/>
    <w:rsid w:val="009574E7"/>
    <w:rsid w:val="00960A10"/>
    <w:rsid w:val="00960C16"/>
    <w:rsid w:val="0096512C"/>
    <w:rsid w:val="0096540A"/>
    <w:rsid w:val="009722C7"/>
    <w:rsid w:val="009728DD"/>
    <w:rsid w:val="0098172C"/>
    <w:rsid w:val="00983225"/>
    <w:rsid w:val="009913FD"/>
    <w:rsid w:val="009A0D25"/>
    <w:rsid w:val="009A26E1"/>
    <w:rsid w:val="009C13DB"/>
    <w:rsid w:val="009C253F"/>
    <w:rsid w:val="009C5D2A"/>
    <w:rsid w:val="009D24D0"/>
    <w:rsid w:val="009D6ADC"/>
    <w:rsid w:val="009D7D36"/>
    <w:rsid w:val="009E792C"/>
    <w:rsid w:val="009F5A6C"/>
    <w:rsid w:val="009F7712"/>
    <w:rsid w:val="00A00EA1"/>
    <w:rsid w:val="00A027D4"/>
    <w:rsid w:val="00A05AC8"/>
    <w:rsid w:val="00A10AC0"/>
    <w:rsid w:val="00A132BC"/>
    <w:rsid w:val="00A14164"/>
    <w:rsid w:val="00A264CD"/>
    <w:rsid w:val="00A331E7"/>
    <w:rsid w:val="00A34680"/>
    <w:rsid w:val="00A41C3C"/>
    <w:rsid w:val="00A42C52"/>
    <w:rsid w:val="00A436B1"/>
    <w:rsid w:val="00A72006"/>
    <w:rsid w:val="00A72873"/>
    <w:rsid w:val="00A75556"/>
    <w:rsid w:val="00A808C7"/>
    <w:rsid w:val="00A86CD8"/>
    <w:rsid w:val="00A966E7"/>
    <w:rsid w:val="00AA14F1"/>
    <w:rsid w:val="00AA394E"/>
    <w:rsid w:val="00AB2710"/>
    <w:rsid w:val="00AB2AF9"/>
    <w:rsid w:val="00AB6612"/>
    <w:rsid w:val="00AC25AF"/>
    <w:rsid w:val="00AD05B0"/>
    <w:rsid w:val="00AD184B"/>
    <w:rsid w:val="00AD4CF4"/>
    <w:rsid w:val="00AE0CFA"/>
    <w:rsid w:val="00AE1797"/>
    <w:rsid w:val="00AE6B8F"/>
    <w:rsid w:val="00AE75AC"/>
    <w:rsid w:val="00B0566D"/>
    <w:rsid w:val="00B06638"/>
    <w:rsid w:val="00B10937"/>
    <w:rsid w:val="00B2579B"/>
    <w:rsid w:val="00B35BD9"/>
    <w:rsid w:val="00B37DE8"/>
    <w:rsid w:val="00B448C0"/>
    <w:rsid w:val="00B44BA5"/>
    <w:rsid w:val="00B479C6"/>
    <w:rsid w:val="00B51D33"/>
    <w:rsid w:val="00B553BB"/>
    <w:rsid w:val="00B56E57"/>
    <w:rsid w:val="00B570AA"/>
    <w:rsid w:val="00B615A9"/>
    <w:rsid w:val="00B63FA9"/>
    <w:rsid w:val="00B6460B"/>
    <w:rsid w:val="00B72D19"/>
    <w:rsid w:val="00B7783F"/>
    <w:rsid w:val="00B94A89"/>
    <w:rsid w:val="00BA1651"/>
    <w:rsid w:val="00BA3EF6"/>
    <w:rsid w:val="00BA5F7E"/>
    <w:rsid w:val="00BB0A17"/>
    <w:rsid w:val="00BB670B"/>
    <w:rsid w:val="00BC2341"/>
    <w:rsid w:val="00BC7E76"/>
    <w:rsid w:val="00BD5416"/>
    <w:rsid w:val="00BD57EC"/>
    <w:rsid w:val="00BE2243"/>
    <w:rsid w:val="00BE5DBA"/>
    <w:rsid w:val="00BF12F6"/>
    <w:rsid w:val="00C00765"/>
    <w:rsid w:val="00C01674"/>
    <w:rsid w:val="00C05020"/>
    <w:rsid w:val="00C10464"/>
    <w:rsid w:val="00C119C2"/>
    <w:rsid w:val="00C13667"/>
    <w:rsid w:val="00C21B54"/>
    <w:rsid w:val="00C2222F"/>
    <w:rsid w:val="00C353DA"/>
    <w:rsid w:val="00C35632"/>
    <w:rsid w:val="00C363AA"/>
    <w:rsid w:val="00C4072D"/>
    <w:rsid w:val="00C40967"/>
    <w:rsid w:val="00C463D8"/>
    <w:rsid w:val="00C53888"/>
    <w:rsid w:val="00C549F6"/>
    <w:rsid w:val="00C55A30"/>
    <w:rsid w:val="00C600E2"/>
    <w:rsid w:val="00C60395"/>
    <w:rsid w:val="00C623F5"/>
    <w:rsid w:val="00C63D43"/>
    <w:rsid w:val="00C7311A"/>
    <w:rsid w:val="00C74134"/>
    <w:rsid w:val="00C81ED0"/>
    <w:rsid w:val="00C823B1"/>
    <w:rsid w:val="00C827F0"/>
    <w:rsid w:val="00C9625F"/>
    <w:rsid w:val="00C97BE6"/>
    <w:rsid w:val="00CA271E"/>
    <w:rsid w:val="00CB1488"/>
    <w:rsid w:val="00CB1888"/>
    <w:rsid w:val="00CB7414"/>
    <w:rsid w:val="00CC4FF7"/>
    <w:rsid w:val="00CE412B"/>
    <w:rsid w:val="00CF5C04"/>
    <w:rsid w:val="00D01CFE"/>
    <w:rsid w:val="00D0418C"/>
    <w:rsid w:val="00D07C4B"/>
    <w:rsid w:val="00D225D8"/>
    <w:rsid w:val="00D24599"/>
    <w:rsid w:val="00D319CD"/>
    <w:rsid w:val="00D33A2E"/>
    <w:rsid w:val="00D361BB"/>
    <w:rsid w:val="00D36F34"/>
    <w:rsid w:val="00D4311F"/>
    <w:rsid w:val="00D511A1"/>
    <w:rsid w:val="00D57EDA"/>
    <w:rsid w:val="00D832EB"/>
    <w:rsid w:val="00D872BF"/>
    <w:rsid w:val="00D93A9D"/>
    <w:rsid w:val="00DA6EA1"/>
    <w:rsid w:val="00DB124F"/>
    <w:rsid w:val="00DB292F"/>
    <w:rsid w:val="00DC75B7"/>
    <w:rsid w:val="00DE0037"/>
    <w:rsid w:val="00DE01F6"/>
    <w:rsid w:val="00DE18EB"/>
    <w:rsid w:val="00DE2998"/>
    <w:rsid w:val="00DE4223"/>
    <w:rsid w:val="00DE64BC"/>
    <w:rsid w:val="00DE6B60"/>
    <w:rsid w:val="00DF0BB6"/>
    <w:rsid w:val="00DF3C07"/>
    <w:rsid w:val="00E01CCF"/>
    <w:rsid w:val="00E0453C"/>
    <w:rsid w:val="00E06D10"/>
    <w:rsid w:val="00E14413"/>
    <w:rsid w:val="00E20458"/>
    <w:rsid w:val="00E21944"/>
    <w:rsid w:val="00E30738"/>
    <w:rsid w:val="00E333BE"/>
    <w:rsid w:val="00E33731"/>
    <w:rsid w:val="00E34468"/>
    <w:rsid w:val="00E357B6"/>
    <w:rsid w:val="00E42C91"/>
    <w:rsid w:val="00E43A59"/>
    <w:rsid w:val="00E56487"/>
    <w:rsid w:val="00E6014D"/>
    <w:rsid w:val="00E605B1"/>
    <w:rsid w:val="00E62DDC"/>
    <w:rsid w:val="00E6315C"/>
    <w:rsid w:val="00E632AF"/>
    <w:rsid w:val="00E6662E"/>
    <w:rsid w:val="00E71976"/>
    <w:rsid w:val="00E742A5"/>
    <w:rsid w:val="00E82F9A"/>
    <w:rsid w:val="00E84218"/>
    <w:rsid w:val="00E853F3"/>
    <w:rsid w:val="00E9439E"/>
    <w:rsid w:val="00EA6905"/>
    <w:rsid w:val="00EB219E"/>
    <w:rsid w:val="00EC2491"/>
    <w:rsid w:val="00EC3056"/>
    <w:rsid w:val="00ED0B35"/>
    <w:rsid w:val="00ED2C42"/>
    <w:rsid w:val="00ED3628"/>
    <w:rsid w:val="00ED734E"/>
    <w:rsid w:val="00EF04D7"/>
    <w:rsid w:val="00EF26E3"/>
    <w:rsid w:val="00EF3B2B"/>
    <w:rsid w:val="00F00EE9"/>
    <w:rsid w:val="00F0360A"/>
    <w:rsid w:val="00F110B3"/>
    <w:rsid w:val="00F11DD2"/>
    <w:rsid w:val="00F27196"/>
    <w:rsid w:val="00F2771B"/>
    <w:rsid w:val="00F34E8C"/>
    <w:rsid w:val="00F379DD"/>
    <w:rsid w:val="00F44F55"/>
    <w:rsid w:val="00F4717A"/>
    <w:rsid w:val="00F47244"/>
    <w:rsid w:val="00F62AC8"/>
    <w:rsid w:val="00F90B5C"/>
    <w:rsid w:val="00F9305B"/>
    <w:rsid w:val="00F978B1"/>
    <w:rsid w:val="00FA50F3"/>
    <w:rsid w:val="00FA5F45"/>
    <w:rsid w:val="00FA66B2"/>
    <w:rsid w:val="00FA7522"/>
    <w:rsid w:val="00FB19E2"/>
    <w:rsid w:val="00FB33C6"/>
    <w:rsid w:val="00FB5DA7"/>
    <w:rsid w:val="00FB7629"/>
    <w:rsid w:val="00FC0539"/>
    <w:rsid w:val="00FC2C59"/>
    <w:rsid w:val="00FC5421"/>
    <w:rsid w:val="00FD178C"/>
    <w:rsid w:val="00FF4018"/>
    <w:rsid w:val="00FF67A7"/>
  </w:rsids>
  <m:mathPr>
    <m:mathFont m:val="Cambria Math"/>
    <m:brkBin m:val="before"/>
    <m:brkBinSub m:val="--"/>
    <m:smallFrac m:val="0"/>
    <m:dispDef/>
    <m:lMargin m:val="0"/>
    <m:rMargin m:val="0"/>
    <m:defJc m:val="centerGroup"/>
    <m:wrapIndent m:val="1440"/>
    <m:intLim m:val="subSup"/>
    <m:naryLim m:val="undOvr"/>
  </m:mathPr>
  <w:themeFontLang w:val="en-NZ"/>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PersonName"/>
  <w:shapeDefaults>
    <o:shapedefaults v:ext="edit" spidmax="10241"/>
    <o:shapelayout v:ext="edit">
      <o:idmap v:ext="edit" data="1"/>
      <o:rules v:ext="edit">
        <o:r id="V:Rule12" type="connector" idref="#_x0000_s1131"/>
        <o:r id="V:Rule13" type="connector" idref="#AutoShape 35"/>
        <o:r id="V:Rule14" type="connector" idref="#AutoShape 9"/>
        <o:r id="V:Rule15" type="connector" idref="#AutoShape 16">
          <o:proxy end="" idref="#AutoShape 10" connectloc="1"/>
        </o:r>
        <o:r id="V:Rule16" type="connector" idref="#Straight Arrow Connector 3"/>
        <o:r id="V:Rule17" type="connector" idref="#AutoShape 69"/>
        <o:r id="V:Rule18" type="connector" idref="#AutoShape 15">
          <o:proxy end="" idref="#AutoShape 12" connectloc="1"/>
        </o:r>
        <o:r id="V:Rule19" type="connector" idref="#AutoShape 66"/>
        <o:r id="V:Rule20" type="connector" idref="#AutoShape 30"/>
        <o:r id="V:Rule21" type="connector" idref="#AutoShape 31"/>
        <o:r id="V:Rule22" type="connector" idref="#AutoShape 8"/>
      </o:rules>
    </o:shapelayout>
  </w:shapeDefaults>
  <w:decimalSymbol w:val="."/>
  <w:listSeparator w:val=","/>
  <w14:docId w14:val="60E6A550"/>
  <w15:chartTrackingRefBased/>
  <w15:docId w15:val="{E532DE11-8A01-4FEA-B382-0CF981F27B6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NZ" w:eastAsia="en-NZ"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iPriority="0" w:unhideWhenUsed="1"/>
    <w:lsdException w:name="List Bullet 4" w:semiHidden="1" w:uiPriority="0" w:unhideWhenUsed="1"/>
    <w:lsdException w:name="List Bullet 5" w:semiHidden="1" w:uiPriority="0"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2"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22" w:qFormat="1"/>
    <w:lsdException w:name="Emphasis" w:semiHidden="1"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iPriority="0"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qFormat="1"/>
    <w:lsdException w:name="Quote" w:semiHidden="1"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50057"/>
    <w:pPr>
      <w:jc w:val="both"/>
    </w:pPr>
    <w:rPr>
      <w:sz w:val="22"/>
      <w:lang w:eastAsia="en-US"/>
    </w:rPr>
  </w:style>
  <w:style w:type="paragraph" w:styleId="Heading1">
    <w:name w:val="heading 1"/>
    <w:basedOn w:val="Normal"/>
    <w:next w:val="Normal"/>
    <w:link w:val="Heading1Char"/>
    <w:qFormat/>
    <w:rsid w:val="00702030"/>
    <w:pPr>
      <w:keepNext/>
      <w:pBdr>
        <w:bottom w:val="single" w:sz="4" w:space="4" w:color="365F91"/>
      </w:pBdr>
      <w:spacing w:after="480"/>
      <w:jc w:val="left"/>
      <w:outlineLvl w:val="0"/>
    </w:pPr>
    <w:rPr>
      <w:rFonts w:ascii="Arial" w:hAnsi="Arial"/>
      <w:color w:val="365F91"/>
      <w:sz w:val="48"/>
    </w:rPr>
  </w:style>
  <w:style w:type="paragraph" w:styleId="Heading2">
    <w:name w:val="heading 2"/>
    <w:basedOn w:val="Normal"/>
    <w:next w:val="BodyText"/>
    <w:link w:val="Heading2Char"/>
    <w:qFormat/>
    <w:rsid w:val="009A0D25"/>
    <w:pPr>
      <w:keepNext/>
      <w:spacing w:before="360"/>
      <w:ind w:left="851" w:hanging="851"/>
      <w:jc w:val="left"/>
      <w:outlineLvl w:val="1"/>
    </w:pPr>
    <w:rPr>
      <w:rFonts w:ascii="Arial" w:hAnsi="Arial"/>
      <w:b/>
      <w:color w:val="365F91"/>
      <w:sz w:val="32"/>
    </w:rPr>
  </w:style>
  <w:style w:type="paragraph" w:styleId="Heading3">
    <w:name w:val="heading 3"/>
    <w:basedOn w:val="Normal"/>
    <w:next w:val="BodyText"/>
    <w:link w:val="Heading3Char"/>
    <w:qFormat/>
    <w:rsid w:val="001D3490"/>
    <w:pPr>
      <w:keepNext/>
      <w:spacing w:before="360"/>
      <w:ind w:left="851" w:hanging="851"/>
      <w:jc w:val="left"/>
      <w:outlineLvl w:val="2"/>
    </w:pPr>
    <w:rPr>
      <w:rFonts w:ascii="Arial" w:hAnsi="Arial"/>
      <w:b/>
      <w:color w:val="365F91"/>
      <w:sz w:val="26"/>
    </w:rPr>
  </w:style>
  <w:style w:type="paragraph" w:styleId="Heading4">
    <w:name w:val="heading 4"/>
    <w:basedOn w:val="Normal"/>
    <w:next w:val="Normal"/>
    <w:link w:val="Heading4Char"/>
    <w:qFormat/>
    <w:rsid w:val="00A72006"/>
    <w:pPr>
      <w:keepNext/>
      <w:spacing w:before="240"/>
      <w:jc w:val="left"/>
      <w:outlineLvl w:val="3"/>
    </w:pPr>
    <w:rPr>
      <w:rFonts w:ascii="Arial" w:hAnsi="Arial"/>
      <w:b/>
      <w:color w:val="365F91"/>
    </w:rPr>
  </w:style>
  <w:style w:type="paragraph" w:styleId="Heading5">
    <w:name w:val="heading 5"/>
    <w:basedOn w:val="Normal"/>
    <w:next w:val="Normal"/>
    <w:link w:val="Heading5Char"/>
    <w:qFormat/>
    <w:rsid w:val="004D3C29"/>
    <w:pPr>
      <w:keepNext/>
      <w:spacing w:before="240"/>
      <w:jc w:val="left"/>
      <w:outlineLvl w:val="4"/>
    </w:pPr>
    <w:rPr>
      <w:rFonts w:ascii="Arial" w:hAnsi="Arial"/>
      <w:bCs/>
      <w:i/>
      <w:iCs/>
      <w:color w:val="365F91"/>
      <w:szCs w:val="26"/>
    </w:rPr>
  </w:style>
  <w:style w:type="paragraph" w:styleId="Heading6">
    <w:name w:val="heading 6"/>
    <w:basedOn w:val="Normal"/>
    <w:next w:val="Normal"/>
    <w:link w:val="Heading6Char"/>
    <w:qFormat/>
    <w:rsid w:val="00336A51"/>
    <w:pPr>
      <w:keepNext/>
      <w:keepLines/>
      <w:spacing w:before="240"/>
      <w:jc w:val="left"/>
      <w:outlineLvl w:val="5"/>
    </w:pPr>
    <w:rPr>
      <w:b/>
      <w:iCs/>
      <w:szCs w:val="22"/>
      <w:lang w:eastAsia="en-GB"/>
    </w:rPr>
  </w:style>
  <w:style w:type="paragraph" w:styleId="Heading7">
    <w:name w:val="heading 7"/>
    <w:aliases w:val=" Char15,Char15"/>
    <w:basedOn w:val="Normal"/>
    <w:next w:val="Normal"/>
    <w:link w:val="Heading7Char"/>
    <w:semiHidden/>
    <w:unhideWhenUsed/>
    <w:qFormat/>
    <w:rsid w:val="0068777C"/>
    <w:pPr>
      <w:keepNext/>
      <w:keepLines/>
      <w:spacing w:before="200"/>
      <w:outlineLvl w:val="6"/>
    </w:pPr>
    <w:rPr>
      <w:rFonts w:ascii="Arial" w:hAnsi="Arial"/>
      <w:i/>
      <w:iCs/>
      <w:color w:val="404040"/>
      <w:szCs w:val="22"/>
    </w:rPr>
  </w:style>
  <w:style w:type="paragraph" w:styleId="Heading8">
    <w:name w:val="heading 8"/>
    <w:aliases w:val=" Char14,Char14"/>
    <w:basedOn w:val="Normal"/>
    <w:next w:val="Normal"/>
    <w:link w:val="Heading8Char"/>
    <w:semiHidden/>
    <w:unhideWhenUsed/>
    <w:qFormat/>
    <w:rsid w:val="0068777C"/>
    <w:pPr>
      <w:keepNext/>
      <w:keepLines/>
      <w:spacing w:before="200"/>
      <w:outlineLvl w:val="7"/>
    </w:pPr>
    <w:rPr>
      <w:rFonts w:ascii="Arial" w:hAnsi="Arial"/>
      <w:color w:val="4F81BD"/>
      <w:sz w:val="20"/>
    </w:rPr>
  </w:style>
  <w:style w:type="paragraph" w:styleId="Heading9">
    <w:name w:val="heading 9"/>
    <w:aliases w:val=" Char13,Char13"/>
    <w:basedOn w:val="Normal"/>
    <w:next w:val="Normal"/>
    <w:link w:val="Heading9Char"/>
    <w:semiHidden/>
    <w:unhideWhenUsed/>
    <w:qFormat/>
    <w:rsid w:val="0068777C"/>
    <w:pPr>
      <w:keepNext/>
      <w:keepLines/>
      <w:spacing w:before="200"/>
      <w:outlineLvl w:val="8"/>
    </w:pPr>
    <w:rPr>
      <w:rFonts w:ascii="Arial" w:hAnsi="Arial"/>
      <w:i/>
      <w:iCs/>
      <w:color w:val="404040"/>
      <w:sz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A331E7"/>
    <w:pPr>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semiHidden/>
    <w:rsid w:val="00772E94"/>
    <w:pPr>
      <w:jc w:val="center"/>
    </w:pPr>
    <w:rPr>
      <w:rFonts w:ascii="Arial" w:hAnsi="Arial"/>
      <w:sz w:val="16"/>
    </w:rPr>
  </w:style>
  <w:style w:type="paragraph" w:styleId="Footer">
    <w:name w:val="footer"/>
    <w:aliases w:val=" Char10,Char10"/>
    <w:basedOn w:val="Normal"/>
    <w:link w:val="FooterChar"/>
    <w:semiHidden/>
    <w:rsid w:val="00772E94"/>
    <w:rPr>
      <w:rFonts w:ascii="Arial" w:hAnsi="Arial"/>
      <w:sz w:val="16"/>
    </w:rPr>
  </w:style>
  <w:style w:type="paragraph" w:customStyle="1" w:styleId="Blockquote">
    <w:name w:val="Blockquote"/>
    <w:basedOn w:val="Normal"/>
    <w:semiHidden/>
    <w:rsid w:val="00772E94"/>
    <w:pPr>
      <w:ind w:left="567" w:right="567"/>
    </w:pPr>
    <w:rPr>
      <w:i/>
      <w:sz w:val="20"/>
    </w:rPr>
  </w:style>
  <w:style w:type="paragraph" w:styleId="BodyText">
    <w:name w:val="Body Text"/>
    <w:basedOn w:val="Normal"/>
    <w:link w:val="BodyTextChar"/>
    <w:qFormat/>
    <w:rsid w:val="00702030"/>
    <w:pPr>
      <w:spacing w:before="120" w:after="120"/>
    </w:pPr>
  </w:style>
  <w:style w:type="paragraph" w:customStyle="1" w:styleId="Box">
    <w:name w:val="Box"/>
    <w:basedOn w:val="Normal"/>
    <w:next w:val="Normal"/>
    <w:uiPriority w:val="2"/>
    <w:rsid w:val="006E6AE2"/>
    <w:pPr>
      <w:pBdr>
        <w:top w:val="single" w:sz="6" w:space="15" w:color="auto"/>
        <w:left w:val="single" w:sz="6" w:space="15" w:color="auto"/>
        <w:bottom w:val="single" w:sz="6" w:space="15" w:color="auto"/>
        <w:right w:val="single" w:sz="6" w:space="15" w:color="auto"/>
      </w:pBdr>
      <w:ind w:left="284" w:right="284"/>
    </w:pPr>
    <w:rPr>
      <w:rFonts w:ascii="Arial" w:hAnsi="Arial"/>
      <w:sz w:val="20"/>
    </w:rPr>
  </w:style>
  <w:style w:type="paragraph" w:customStyle="1" w:styleId="BoxBullet">
    <w:name w:val="Box Bullet"/>
    <w:basedOn w:val="Box"/>
    <w:uiPriority w:val="2"/>
    <w:rsid w:val="00855A8A"/>
    <w:pPr>
      <w:numPr>
        <w:numId w:val="1"/>
      </w:numPr>
      <w:tabs>
        <w:tab w:val="clear" w:pos="851"/>
        <w:tab w:val="left" w:pos="567"/>
      </w:tabs>
      <w:spacing w:before="120"/>
      <w:ind w:left="567"/>
      <w:jc w:val="left"/>
    </w:pPr>
  </w:style>
  <w:style w:type="paragraph" w:customStyle="1" w:styleId="BoxHeading">
    <w:name w:val="BoxHeading"/>
    <w:basedOn w:val="Box"/>
    <w:next w:val="Box"/>
    <w:uiPriority w:val="2"/>
    <w:rsid w:val="00153F5A"/>
    <w:pPr>
      <w:spacing w:after="240"/>
    </w:pPr>
    <w:rPr>
      <w:b/>
      <w:sz w:val="22"/>
    </w:rPr>
  </w:style>
  <w:style w:type="paragraph" w:customStyle="1" w:styleId="Bullet">
    <w:name w:val="Bullet"/>
    <w:basedOn w:val="Normal"/>
    <w:link w:val="BulletChar"/>
    <w:qFormat/>
    <w:rsid w:val="00702030"/>
    <w:pPr>
      <w:numPr>
        <w:numId w:val="4"/>
      </w:numPr>
      <w:tabs>
        <w:tab w:val="clear" w:pos="567"/>
        <w:tab w:val="left" w:pos="397"/>
      </w:tabs>
      <w:spacing w:after="120"/>
      <w:ind w:left="397" w:hanging="397"/>
    </w:pPr>
  </w:style>
  <w:style w:type="paragraph" w:customStyle="1" w:styleId="Heading">
    <w:name w:val="Heading"/>
    <w:basedOn w:val="Heading1"/>
    <w:next w:val="Normal"/>
    <w:rsid w:val="000A3774"/>
    <w:pPr>
      <w:pBdr>
        <w:bottom w:val="none" w:sz="0" w:space="0" w:color="auto"/>
      </w:pBdr>
      <w:outlineLvl w:val="9"/>
    </w:pPr>
    <w:rPr>
      <w:sz w:val="36"/>
      <w:szCs w:val="36"/>
    </w:rPr>
  </w:style>
  <w:style w:type="paragraph" w:customStyle="1" w:styleId="ContentsHeading">
    <w:name w:val="ContentsHeading"/>
    <w:basedOn w:val="Heading1"/>
    <w:next w:val="BodyText"/>
    <w:uiPriority w:val="2"/>
    <w:semiHidden/>
    <w:rsid w:val="00FF67A7"/>
  </w:style>
  <w:style w:type="paragraph" w:customStyle="1" w:styleId="Sub-bullet">
    <w:name w:val="Sub-bullet"/>
    <w:basedOn w:val="Normal"/>
    <w:uiPriority w:val="1"/>
    <w:rsid w:val="00702030"/>
    <w:pPr>
      <w:numPr>
        <w:numId w:val="2"/>
      </w:numPr>
      <w:spacing w:after="120"/>
      <w:ind w:left="794" w:hanging="397"/>
    </w:pPr>
  </w:style>
  <w:style w:type="paragraph" w:customStyle="1" w:styleId="FooterEven">
    <w:name w:val="Footer Even"/>
    <w:basedOn w:val="Normal"/>
    <w:next w:val="Normal"/>
    <w:uiPriority w:val="99"/>
    <w:rsid w:val="00EC2491"/>
    <w:pPr>
      <w:pBdr>
        <w:top w:val="single" w:sz="4" w:space="4" w:color="auto"/>
      </w:pBdr>
      <w:tabs>
        <w:tab w:val="left" w:pos="851"/>
      </w:tabs>
    </w:pPr>
    <w:rPr>
      <w:rFonts w:ascii="Arial" w:hAnsi="Arial"/>
      <w:sz w:val="16"/>
    </w:rPr>
  </w:style>
  <w:style w:type="paragraph" w:customStyle="1" w:styleId="Figure">
    <w:name w:val="Figure"/>
    <w:basedOn w:val="Normal"/>
    <w:next w:val="Normal"/>
    <w:link w:val="FigureChar"/>
    <w:qFormat/>
    <w:rsid w:val="00702030"/>
    <w:pPr>
      <w:keepNext/>
      <w:spacing w:before="120" w:after="120"/>
      <w:ind w:left="1276" w:hanging="1276"/>
      <w:jc w:val="left"/>
    </w:pPr>
    <w:rPr>
      <w:rFonts w:ascii="Arial" w:hAnsi="Arial"/>
      <w:b/>
      <w:sz w:val="16"/>
    </w:rPr>
  </w:style>
  <w:style w:type="character" w:styleId="FootnoteReference">
    <w:name w:val="footnote reference"/>
    <w:uiPriority w:val="99"/>
    <w:semiHidden/>
    <w:rsid w:val="00772E94"/>
    <w:rPr>
      <w:vertAlign w:val="superscript"/>
    </w:rPr>
  </w:style>
  <w:style w:type="paragraph" w:styleId="FootnoteText">
    <w:name w:val="footnote text"/>
    <w:basedOn w:val="Normal"/>
    <w:link w:val="FootnoteTextChar"/>
    <w:uiPriority w:val="99"/>
    <w:rsid w:val="00702030"/>
    <w:pPr>
      <w:spacing w:after="60"/>
      <w:ind w:left="284" w:hanging="284"/>
    </w:pPr>
    <w:rPr>
      <w:sz w:val="19"/>
      <w:lang w:val="en-US"/>
    </w:rPr>
  </w:style>
  <w:style w:type="character" w:styleId="Hyperlink">
    <w:name w:val="Hyperlink"/>
    <w:uiPriority w:val="99"/>
    <w:rsid w:val="00772E94"/>
    <w:rPr>
      <w:color w:val="0000FF"/>
      <w:u w:val="none"/>
    </w:rPr>
  </w:style>
  <w:style w:type="paragraph" w:customStyle="1" w:styleId="Imprint">
    <w:name w:val="Imprint"/>
    <w:basedOn w:val="Normal"/>
    <w:next w:val="Normal"/>
    <w:semiHidden/>
    <w:rsid w:val="00772E94"/>
    <w:pPr>
      <w:spacing w:after="240"/>
      <w:jc w:val="center"/>
    </w:pPr>
    <w:rPr>
      <w:rFonts w:ascii="Arial" w:hAnsi="Arial"/>
    </w:rPr>
  </w:style>
  <w:style w:type="paragraph" w:customStyle="1" w:styleId="Noteundertable">
    <w:name w:val="Note under table"/>
    <w:basedOn w:val="Normal"/>
    <w:next w:val="Normal"/>
    <w:link w:val="NoteundertableChar"/>
    <w:qFormat/>
    <w:rsid w:val="003A5006"/>
    <w:pPr>
      <w:tabs>
        <w:tab w:val="left" w:pos="680"/>
      </w:tabs>
      <w:spacing w:before="120" w:after="120"/>
      <w:ind w:left="680" w:hanging="680"/>
    </w:pPr>
    <w:rPr>
      <w:rFonts w:ascii="Arial" w:hAnsi="Arial"/>
      <w:sz w:val="18"/>
    </w:rPr>
  </w:style>
  <w:style w:type="paragraph" w:customStyle="1" w:styleId="FooterOdd">
    <w:name w:val="Footer Odd"/>
    <w:basedOn w:val="Normal"/>
    <w:next w:val="Normal"/>
    <w:uiPriority w:val="99"/>
    <w:rsid w:val="00273218"/>
    <w:pPr>
      <w:pBdr>
        <w:top w:val="single" w:sz="4" w:space="4" w:color="auto"/>
      </w:pBdr>
      <w:tabs>
        <w:tab w:val="right" w:pos="7655"/>
        <w:tab w:val="right" w:pos="8505"/>
      </w:tabs>
      <w:jc w:val="left"/>
    </w:pPr>
    <w:rPr>
      <w:rFonts w:ascii="Arial" w:hAnsi="Arial"/>
      <w:sz w:val="16"/>
    </w:rPr>
  </w:style>
  <w:style w:type="character" w:styleId="PageNumber">
    <w:name w:val="page number"/>
    <w:semiHidden/>
    <w:rsid w:val="00772E94"/>
    <w:rPr>
      <w:rFonts w:ascii="Arial" w:hAnsi="Arial"/>
      <w:b/>
      <w:sz w:val="24"/>
    </w:rPr>
  </w:style>
  <w:style w:type="paragraph" w:customStyle="1" w:styleId="References">
    <w:name w:val="References"/>
    <w:basedOn w:val="Normal"/>
    <w:link w:val="ReferencesChar"/>
    <w:rsid w:val="00772E94"/>
    <w:pPr>
      <w:spacing w:after="120"/>
    </w:pPr>
    <w:rPr>
      <w:sz w:val="20"/>
    </w:rPr>
  </w:style>
  <w:style w:type="paragraph" w:customStyle="1" w:styleId="Source">
    <w:name w:val="Source"/>
    <w:basedOn w:val="Normal"/>
    <w:next w:val="Normal"/>
    <w:uiPriority w:val="1"/>
    <w:rsid w:val="00765A47"/>
    <w:pPr>
      <w:tabs>
        <w:tab w:val="left" w:pos="680"/>
      </w:tabs>
      <w:spacing w:before="120"/>
      <w:jc w:val="left"/>
    </w:pPr>
    <w:rPr>
      <w:rFonts w:ascii="Arial" w:hAnsi="Arial"/>
      <w:sz w:val="16"/>
    </w:rPr>
  </w:style>
  <w:style w:type="paragraph" w:styleId="Title">
    <w:name w:val="Title"/>
    <w:basedOn w:val="Normal"/>
    <w:link w:val="TitleChar"/>
    <w:uiPriority w:val="2"/>
    <w:semiHidden/>
    <w:qFormat/>
    <w:rsid w:val="00772E94"/>
    <w:pPr>
      <w:spacing w:line="360" w:lineRule="auto"/>
      <w:jc w:val="center"/>
    </w:pPr>
    <w:rPr>
      <w:rFonts w:ascii="Arial" w:hAnsi="Arial"/>
      <w:b/>
      <w:sz w:val="48"/>
    </w:rPr>
  </w:style>
  <w:style w:type="paragraph" w:styleId="Subtitle">
    <w:name w:val="Subtitle"/>
    <w:basedOn w:val="Title"/>
    <w:link w:val="SubtitleChar"/>
    <w:semiHidden/>
    <w:qFormat/>
    <w:rsid w:val="00772E94"/>
    <w:pPr>
      <w:spacing w:before="600" w:line="240" w:lineRule="auto"/>
      <w:outlineLvl w:val="1"/>
    </w:pPr>
    <w:rPr>
      <w:sz w:val="36"/>
    </w:rPr>
  </w:style>
  <w:style w:type="paragraph" w:customStyle="1" w:styleId="Table">
    <w:name w:val="Table"/>
    <w:basedOn w:val="Normal"/>
    <w:next w:val="Normal"/>
    <w:link w:val="TableChar"/>
    <w:rsid w:val="00702030"/>
    <w:pPr>
      <w:keepNext/>
      <w:spacing w:before="120" w:after="120"/>
      <w:ind w:left="1276" w:hanging="1276"/>
      <w:jc w:val="left"/>
    </w:pPr>
    <w:rPr>
      <w:rFonts w:ascii="Arial" w:hAnsi="Arial"/>
      <w:b/>
      <w:sz w:val="16"/>
    </w:rPr>
  </w:style>
  <w:style w:type="paragraph" w:customStyle="1" w:styleId="TableText">
    <w:name w:val="TableText"/>
    <w:basedOn w:val="Normal"/>
    <w:link w:val="TableTextChar"/>
    <w:qFormat/>
    <w:rsid w:val="00A331E7"/>
    <w:pPr>
      <w:spacing w:before="60" w:after="60"/>
      <w:jc w:val="left"/>
    </w:pPr>
    <w:rPr>
      <w:rFonts w:ascii="Arial" w:hAnsi="Arial"/>
      <w:sz w:val="16"/>
    </w:rPr>
  </w:style>
  <w:style w:type="paragraph" w:customStyle="1" w:styleId="TableTextBold">
    <w:name w:val="TableText Bold"/>
    <w:basedOn w:val="TableText"/>
    <w:link w:val="TableTextBoldChar"/>
    <w:qFormat/>
    <w:rsid w:val="00772E94"/>
    <w:pPr>
      <w:tabs>
        <w:tab w:val="left" w:pos="567"/>
      </w:tabs>
    </w:pPr>
    <w:rPr>
      <w:b/>
      <w:noProof/>
    </w:rPr>
  </w:style>
  <w:style w:type="paragraph" w:styleId="TOC1">
    <w:name w:val="toc 1"/>
    <w:basedOn w:val="Normal"/>
    <w:next w:val="Normal"/>
    <w:uiPriority w:val="39"/>
    <w:qFormat/>
    <w:rsid w:val="005C5169"/>
    <w:pPr>
      <w:tabs>
        <w:tab w:val="right" w:pos="8505"/>
      </w:tabs>
      <w:spacing w:before="240"/>
      <w:ind w:right="567"/>
      <w:jc w:val="left"/>
    </w:pPr>
    <w:rPr>
      <w:rFonts w:ascii="Arial" w:hAnsi="Arial"/>
      <w:sz w:val="28"/>
    </w:rPr>
  </w:style>
  <w:style w:type="paragraph" w:styleId="TOC2">
    <w:name w:val="toc 2"/>
    <w:basedOn w:val="Normal"/>
    <w:next w:val="Normal"/>
    <w:uiPriority w:val="39"/>
    <w:qFormat/>
    <w:rsid w:val="005C5169"/>
    <w:pPr>
      <w:tabs>
        <w:tab w:val="left" w:pos="1134"/>
        <w:tab w:val="right" w:pos="8505"/>
      </w:tabs>
      <w:spacing w:before="100"/>
      <w:ind w:left="1134" w:right="567" w:hanging="567"/>
      <w:jc w:val="left"/>
    </w:pPr>
    <w:rPr>
      <w:rFonts w:ascii="Arial" w:hAnsi="Arial"/>
      <w:noProof/>
      <w:sz w:val="20"/>
    </w:rPr>
  </w:style>
  <w:style w:type="paragraph" w:styleId="TOC3">
    <w:name w:val="toc 3"/>
    <w:basedOn w:val="Normal"/>
    <w:next w:val="Normal"/>
    <w:uiPriority w:val="39"/>
    <w:qFormat/>
    <w:rsid w:val="005C3384"/>
    <w:pPr>
      <w:tabs>
        <w:tab w:val="left" w:pos="1701"/>
        <w:tab w:val="right" w:pos="7938"/>
      </w:tabs>
      <w:spacing w:before="120" w:after="120"/>
      <w:ind w:left="1134"/>
    </w:pPr>
    <w:rPr>
      <w:rFonts w:ascii="Arial" w:hAnsi="Arial"/>
      <w:sz w:val="20"/>
    </w:rPr>
  </w:style>
  <w:style w:type="paragraph" w:styleId="Caption">
    <w:name w:val="caption"/>
    <w:basedOn w:val="Normal"/>
    <w:next w:val="Normal"/>
    <w:qFormat/>
    <w:rsid w:val="004F1572"/>
    <w:pPr>
      <w:tabs>
        <w:tab w:val="left" w:pos="851"/>
      </w:tabs>
      <w:jc w:val="left"/>
    </w:pPr>
    <w:rPr>
      <w:rFonts w:ascii="Arial" w:hAnsi="Arial"/>
      <w:bCs/>
      <w:sz w:val="18"/>
    </w:rPr>
  </w:style>
  <w:style w:type="paragraph" w:customStyle="1" w:styleId="TableBullet">
    <w:name w:val="TableBullet"/>
    <w:basedOn w:val="TableText"/>
    <w:next w:val="TableText"/>
    <w:rsid w:val="00546A6A"/>
    <w:pPr>
      <w:numPr>
        <w:numId w:val="3"/>
      </w:numPr>
    </w:pPr>
    <w:rPr>
      <w:szCs w:val="16"/>
    </w:rPr>
  </w:style>
  <w:style w:type="paragraph" w:styleId="TableofFigures">
    <w:name w:val="table of figures"/>
    <w:basedOn w:val="Normal"/>
    <w:next w:val="Normal"/>
    <w:uiPriority w:val="99"/>
    <w:rsid w:val="00C53888"/>
    <w:pPr>
      <w:tabs>
        <w:tab w:val="right" w:pos="8505"/>
      </w:tabs>
      <w:spacing w:before="30" w:after="20"/>
      <w:ind w:left="1701" w:right="567" w:hanging="1701"/>
      <w:jc w:val="left"/>
    </w:pPr>
    <w:rPr>
      <w:rFonts w:ascii="Arial" w:hAnsi="Arial"/>
      <w:noProof/>
      <w:sz w:val="20"/>
    </w:rPr>
  </w:style>
  <w:style w:type="character" w:customStyle="1" w:styleId="Heading6Char">
    <w:name w:val="Heading 6 Char"/>
    <w:link w:val="Heading6"/>
    <w:rsid w:val="00336A51"/>
    <w:rPr>
      <w:b/>
      <w:iCs/>
      <w:sz w:val="22"/>
      <w:szCs w:val="22"/>
      <w:lang w:eastAsia="en-GB"/>
    </w:rPr>
  </w:style>
  <w:style w:type="character" w:customStyle="1" w:styleId="Heading1Char">
    <w:name w:val="Heading 1 Char"/>
    <w:link w:val="Heading1"/>
    <w:rsid w:val="00DE64BC"/>
    <w:rPr>
      <w:rFonts w:ascii="Arial" w:hAnsi="Arial"/>
      <w:color w:val="365F91"/>
      <w:sz w:val="48"/>
      <w:lang w:eastAsia="en-US"/>
    </w:rPr>
  </w:style>
  <w:style w:type="character" w:customStyle="1" w:styleId="Heading2Char">
    <w:name w:val="Heading 2 Char"/>
    <w:link w:val="Heading2"/>
    <w:rsid w:val="009A0D25"/>
    <w:rPr>
      <w:rFonts w:ascii="Arial" w:hAnsi="Arial"/>
      <w:b/>
      <w:color w:val="365F91"/>
      <w:sz w:val="32"/>
      <w:lang w:eastAsia="en-US"/>
    </w:rPr>
  </w:style>
  <w:style w:type="character" w:customStyle="1" w:styleId="Heading3Char">
    <w:name w:val="Heading 3 Char"/>
    <w:link w:val="Heading3"/>
    <w:rsid w:val="001D3490"/>
    <w:rPr>
      <w:rFonts w:ascii="Arial" w:hAnsi="Arial"/>
      <w:b/>
      <w:color w:val="365F91"/>
      <w:sz w:val="26"/>
      <w:lang w:eastAsia="en-US"/>
    </w:rPr>
  </w:style>
  <w:style w:type="character" w:customStyle="1" w:styleId="Heading4Char">
    <w:name w:val="Heading 4 Char"/>
    <w:link w:val="Heading4"/>
    <w:rsid w:val="00A72006"/>
    <w:rPr>
      <w:rFonts w:ascii="Arial" w:hAnsi="Arial"/>
      <w:b/>
      <w:color w:val="365F91"/>
      <w:sz w:val="22"/>
      <w:lang w:eastAsia="en-US"/>
    </w:rPr>
  </w:style>
  <w:style w:type="character" w:customStyle="1" w:styleId="Heading5Char">
    <w:name w:val="Heading 5 Char"/>
    <w:link w:val="Heading5"/>
    <w:rsid w:val="004D3C29"/>
    <w:rPr>
      <w:rFonts w:ascii="Arial" w:hAnsi="Arial"/>
      <w:bCs/>
      <w:i/>
      <w:iCs/>
      <w:color w:val="365F91"/>
      <w:sz w:val="22"/>
      <w:szCs w:val="26"/>
      <w:lang w:eastAsia="en-US"/>
    </w:rPr>
  </w:style>
  <w:style w:type="character" w:customStyle="1" w:styleId="BodyTextChar">
    <w:name w:val="Body Text Char"/>
    <w:link w:val="BodyText"/>
    <w:rsid w:val="00611ECD"/>
    <w:rPr>
      <w:sz w:val="22"/>
      <w:lang w:eastAsia="en-US"/>
    </w:rPr>
  </w:style>
  <w:style w:type="character" w:customStyle="1" w:styleId="TitleChar">
    <w:name w:val="Title Char"/>
    <w:link w:val="Title"/>
    <w:uiPriority w:val="2"/>
    <w:semiHidden/>
    <w:rsid w:val="00850057"/>
    <w:rPr>
      <w:rFonts w:ascii="Arial" w:hAnsi="Arial"/>
      <w:b/>
      <w:sz w:val="48"/>
      <w:lang w:eastAsia="en-US"/>
    </w:rPr>
  </w:style>
  <w:style w:type="character" w:customStyle="1" w:styleId="FooterChar">
    <w:name w:val="Footer Char"/>
    <w:aliases w:val=" Char10 Char,Char10 Char"/>
    <w:link w:val="Footer"/>
    <w:semiHidden/>
    <w:rsid w:val="00DE64BC"/>
    <w:rPr>
      <w:rFonts w:ascii="Arial" w:hAnsi="Arial"/>
      <w:sz w:val="16"/>
      <w:lang w:eastAsia="en-US"/>
    </w:rPr>
  </w:style>
  <w:style w:type="character" w:customStyle="1" w:styleId="FootnoteTextChar">
    <w:name w:val="Footnote Text Char"/>
    <w:link w:val="FootnoteText"/>
    <w:uiPriority w:val="99"/>
    <w:rsid w:val="00DE64BC"/>
    <w:rPr>
      <w:sz w:val="19"/>
      <w:lang w:val="en-US" w:eastAsia="en-US"/>
    </w:rPr>
  </w:style>
  <w:style w:type="character" w:customStyle="1" w:styleId="CommentTextChar">
    <w:name w:val="Comment Text Char"/>
    <w:link w:val="CommentText"/>
    <w:uiPriority w:val="99"/>
    <w:rsid w:val="00DE64BC"/>
    <w:rPr>
      <w:rFonts w:ascii="Calibri" w:hAnsi="Calibri"/>
    </w:rPr>
  </w:style>
  <w:style w:type="paragraph" w:styleId="CommentText">
    <w:name w:val="annotation text"/>
    <w:basedOn w:val="Normal"/>
    <w:link w:val="CommentTextChar"/>
    <w:uiPriority w:val="99"/>
    <w:rsid w:val="00DE64BC"/>
    <w:pPr>
      <w:spacing w:after="120"/>
    </w:pPr>
    <w:rPr>
      <w:rFonts w:ascii="Calibri" w:hAnsi="Calibri"/>
      <w:sz w:val="20"/>
      <w:lang w:eastAsia="en-NZ"/>
    </w:rPr>
  </w:style>
  <w:style w:type="character" w:customStyle="1" w:styleId="CommentTextChar1">
    <w:name w:val="Comment Text Char1"/>
    <w:uiPriority w:val="99"/>
    <w:semiHidden/>
    <w:rsid w:val="00DE64BC"/>
    <w:rPr>
      <w:lang w:eastAsia="en-US"/>
    </w:rPr>
  </w:style>
  <w:style w:type="paragraph" w:styleId="BodyText2">
    <w:name w:val="Body Text 2"/>
    <w:aliases w:val=" Char4,Char4"/>
    <w:basedOn w:val="Normal"/>
    <w:link w:val="BodyText2Char"/>
    <w:semiHidden/>
    <w:rsid w:val="00DE64BC"/>
    <w:pPr>
      <w:tabs>
        <w:tab w:val="num" w:pos="360"/>
      </w:tabs>
      <w:spacing w:after="120" w:line="480" w:lineRule="auto"/>
    </w:pPr>
    <w:rPr>
      <w:szCs w:val="22"/>
    </w:rPr>
  </w:style>
  <w:style w:type="character" w:customStyle="1" w:styleId="BodyText2Char">
    <w:name w:val="Body Text 2 Char"/>
    <w:aliases w:val=" Char4 Char,Char4 Char"/>
    <w:link w:val="BodyText2"/>
    <w:semiHidden/>
    <w:rsid w:val="00DE64BC"/>
    <w:rPr>
      <w:sz w:val="22"/>
      <w:szCs w:val="22"/>
      <w:lang w:eastAsia="en-US"/>
    </w:rPr>
  </w:style>
  <w:style w:type="paragraph" w:customStyle="1" w:styleId="Sub-listi">
    <w:name w:val="Sub-list i"/>
    <w:aliases w:val="ii"/>
    <w:basedOn w:val="BodyText"/>
    <w:semiHidden/>
    <w:rsid w:val="00DE64BC"/>
    <w:pPr>
      <w:numPr>
        <w:numId w:val="6"/>
      </w:numPr>
      <w:tabs>
        <w:tab w:val="clear" w:pos="1191"/>
        <w:tab w:val="num" w:pos="360"/>
      </w:tabs>
      <w:spacing w:before="60" w:after="60"/>
      <w:ind w:left="360" w:hanging="360"/>
    </w:pPr>
    <w:rPr>
      <w:szCs w:val="22"/>
    </w:rPr>
  </w:style>
  <w:style w:type="character" w:customStyle="1" w:styleId="TableTextChar">
    <w:name w:val="TableText Char"/>
    <w:link w:val="TableText"/>
    <w:rsid w:val="00DE64BC"/>
    <w:rPr>
      <w:rFonts w:ascii="Arial" w:hAnsi="Arial"/>
      <w:sz w:val="16"/>
      <w:lang w:eastAsia="en-US"/>
    </w:rPr>
  </w:style>
  <w:style w:type="character" w:customStyle="1" w:styleId="ReferencesChar">
    <w:name w:val="References Char"/>
    <w:link w:val="References"/>
    <w:rsid w:val="00DE64BC"/>
    <w:rPr>
      <w:lang w:eastAsia="en-US"/>
    </w:rPr>
  </w:style>
  <w:style w:type="character" w:customStyle="1" w:styleId="NoteundertableChar">
    <w:name w:val="Note under table Char"/>
    <w:link w:val="Noteundertable"/>
    <w:rsid w:val="00DE64BC"/>
    <w:rPr>
      <w:rFonts w:ascii="Arial" w:hAnsi="Arial"/>
      <w:sz w:val="18"/>
      <w:lang w:eastAsia="en-US"/>
    </w:rPr>
  </w:style>
  <w:style w:type="character" w:styleId="CommentReference">
    <w:name w:val="annotation reference"/>
    <w:uiPriority w:val="99"/>
    <w:semiHidden/>
    <w:rsid w:val="00DE64BC"/>
    <w:rPr>
      <w:sz w:val="16"/>
      <w:szCs w:val="16"/>
    </w:rPr>
  </w:style>
  <w:style w:type="paragraph" w:styleId="NormalWeb">
    <w:name w:val="Normal (Web)"/>
    <w:basedOn w:val="Normal"/>
    <w:semiHidden/>
    <w:rsid w:val="00DE64BC"/>
    <w:pPr>
      <w:widowControl w:val="0"/>
      <w:adjustRightInd w:val="0"/>
      <w:spacing w:before="100" w:beforeAutospacing="1" w:after="100" w:afterAutospacing="1"/>
      <w:textAlignment w:val="baseline"/>
    </w:pPr>
    <w:rPr>
      <w:szCs w:val="24"/>
      <w:lang w:val="en-GB" w:eastAsia="en-GB"/>
    </w:rPr>
  </w:style>
  <w:style w:type="paragraph" w:styleId="Quote">
    <w:name w:val="Quote"/>
    <w:basedOn w:val="Normal"/>
    <w:next w:val="Normal"/>
    <w:link w:val="QuoteChar"/>
    <w:uiPriority w:val="29"/>
    <w:qFormat/>
    <w:rsid w:val="005C19FE"/>
    <w:pPr>
      <w:spacing w:after="120"/>
      <w:ind w:left="567" w:right="567"/>
    </w:pPr>
    <w:rPr>
      <w:iCs/>
      <w:color w:val="000000"/>
      <w:sz w:val="20"/>
      <w:szCs w:val="22"/>
    </w:rPr>
  </w:style>
  <w:style w:type="paragraph" w:customStyle="1" w:styleId="Keypointshead">
    <w:name w:val="Key points head"/>
    <w:basedOn w:val="BoxHeading"/>
    <w:semiHidden/>
    <w:qFormat/>
    <w:rsid w:val="00333ACA"/>
    <w:pPr>
      <w:pBdr>
        <w:top w:val="none" w:sz="0" w:space="0" w:color="auto"/>
        <w:left w:val="none" w:sz="0" w:space="0" w:color="auto"/>
        <w:bottom w:val="none" w:sz="0" w:space="0" w:color="auto"/>
        <w:right w:val="none" w:sz="0" w:space="0" w:color="auto"/>
      </w:pBdr>
      <w:jc w:val="left"/>
    </w:pPr>
    <w:rPr>
      <w:sz w:val="19"/>
      <w:szCs w:val="19"/>
    </w:rPr>
  </w:style>
  <w:style w:type="character" w:customStyle="1" w:styleId="QuoteChar">
    <w:name w:val="Quote Char"/>
    <w:link w:val="Quote"/>
    <w:uiPriority w:val="29"/>
    <w:rsid w:val="005C19FE"/>
    <w:rPr>
      <w:iCs/>
      <w:color w:val="000000"/>
      <w:szCs w:val="22"/>
      <w:lang w:eastAsia="en-US"/>
    </w:rPr>
  </w:style>
  <w:style w:type="character" w:customStyle="1" w:styleId="HeaderChar">
    <w:name w:val="Header Char"/>
    <w:link w:val="Header"/>
    <w:semiHidden/>
    <w:rsid w:val="0068777C"/>
    <w:rPr>
      <w:rFonts w:ascii="Arial" w:hAnsi="Arial"/>
      <w:sz w:val="16"/>
      <w:lang w:eastAsia="en-US"/>
    </w:rPr>
  </w:style>
  <w:style w:type="character" w:customStyle="1" w:styleId="TableTextBoldChar">
    <w:name w:val="TableText Bold Char"/>
    <w:link w:val="TableTextBold"/>
    <w:rsid w:val="00DE64BC"/>
    <w:rPr>
      <w:rFonts w:ascii="Arial" w:hAnsi="Arial"/>
      <w:b/>
      <w:noProof/>
      <w:sz w:val="16"/>
      <w:lang w:eastAsia="en-US"/>
    </w:rPr>
  </w:style>
  <w:style w:type="character" w:customStyle="1" w:styleId="FigureChar">
    <w:name w:val="Figure Char"/>
    <w:link w:val="Figure"/>
    <w:rsid w:val="00DE64BC"/>
    <w:rPr>
      <w:rFonts w:ascii="Arial" w:hAnsi="Arial"/>
      <w:b/>
      <w:sz w:val="16"/>
      <w:lang w:eastAsia="en-US"/>
    </w:rPr>
  </w:style>
  <w:style w:type="character" w:customStyle="1" w:styleId="TableChar">
    <w:name w:val="Table Char"/>
    <w:link w:val="Table"/>
    <w:locked/>
    <w:rsid w:val="00DE64BC"/>
    <w:rPr>
      <w:rFonts w:ascii="Arial" w:hAnsi="Arial"/>
      <w:b/>
      <w:sz w:val="16"/>
      <w:lang w:eastAsia="en-US"/>
    </w:rPr>
  </w:style>
  <w:style w:type="paragraph" w:customStyle="1" w:styleId="Tableboldblue">
    <w:name w:val="Table bold blue"/>
    <w:basedOn w:val="Normal"/>
    <w:qFormat/>
    <w:rsid w:val="00DE64BC"/>
    <w:pPr>
      <w:spacing w:before="60" w:after="60"/>
      <w:jc w:val="left"/>
    </w:pPr>
    <w:rPr>
      <w:rFonts w:ascii="Arial" w:hAnsi="Arial"/>
      <w:b/>
      <w:color w:val="365F91"/>
      <w:sz w:val="16"/>
      <w:szCs w:val="22"/>
    </w:rPr>
  </w:style>
  <w:style w:type="paragraph" w:customStyle="1" w:styleId="BoxSubbullet">
    <w:name w:val="Box Subbullet"/>
    <w:basedOn w:val="BoxBullet"/>
    <w:uiPriority w:val="2"/>
    <w:qFormat/>
    <w:rsid w:val="00DE64BC"/>
    <w:pPr>
      <w:numPr>
        <w:numId w:val="0"/>
      </w:numPr>
      <w:tabs>
        <w:tab w:val="left" w:pos="680"/>
      </w:tabs>
      <w:ind w:left="1135" w:hanging="851"/>
      <w:jc w:val="both"/>
    </w:pPr>
    <w:rPr>
      <w:sz w:val="19"/>
      <w:szCs w:val="19"/>
      <w:lang w:eastAsia="en-NZ"/>
    </w:rPr>
  </w:style>
  <w:style w:type="character" w:customStyle="1" w:styleId="BulletChar">
    <w:name w:val="Bullet Char"/>
    <w:link w:val="Bullet"/>
    <w:locked/>
    <w:rsid w:val="00DE64BC"/>
    <w:rPr>
      <w:sz w:val="22"/>
      <w:lang w:eastAsia="en-US"/>
    </w:rPr>
  </w:style>
  <w:style w:type="paragraph" w:customStyle="1" w:styleId="Sub-lista">
    <w:name w:val="Sub-list a"/>
    <w:aliases w:val="b"/>
    <w:basedOn w:val="Normal"/>
    <w:rsid w:val="00DE64BC"/>
    <w:pPr>
      <w:spacing w:after="120"/>
      <w:ind w:left="397" w:hanging="397"/>
    </w:pPr>
    <w:rPr>
      <w:szCs w:val="22"/>
      <w:lang w:val="en-US" w:eastAsia="ko-KR"/>
    </w:rPr>
  </w:style>
  <w:style w:type="paragraph" w:styleId="BalloonText">
    <w:name w:val="Balloon Text"/>
    <w:aliases w:val=" Char6,Char6"/>
    <w:basedOn w:val="Normal"/>
    <w:link w:val="BalloonTextChar"/>
    <w:semiHidden/>
    <w:unhideWhenUsed/>
    <w:rsid w:val="00DE64BC"/>
    <w:rPr>
      <w:rFonts w:ascii="Segoe UI" w:hAnsi="Segoe UI" w:cs="Segoe UI"/>
      <w:sz w:val="18"/>
      <w:szCs w:val="18"/>
    </w:rPr>
  </w:style>
  <w:style w:type="character" w:customStyle="1" w:styleId="BalloonTextChar">
    <w:name w:val="Balloon Text Char"/>
    <w:aliases w:val=" Char6 Char,Char6 Char"/>
    <w:link w:val="BalloonText"/>
    <w:semiHidden/>
    <w:rsid w:val="00DE64BC"/>
    <w:rPr>
      <w:rFonts w:ascii="Segoe UI" w:hAnsi="Segoe UI" w:cs="Segoe UI"/>
      <w:sz w:val="18"/>
      <w:szCs w:val="18"/>
      <w:lang w:eastAsia="en-US"/>
    </w:rPr>
  </w:style>
  <w:style w:type="character" w:styleId="FollowedHyperlink">
    <w:name w:val="FollowedHyperlink"/>
    <w:uiPriority w:val="99"/>
    <w:semiHidden/>
    <w:unhideWhenUsed/>
    <w:rsid w:val="00806461"/>
    <w:rPr>
      <w:color w:val="954F72"/>
      <w:u w:val="single"/>
    </w:rPr>
  </w:style>
  <w:style w:type="paragraph" w:customStyle="1" w:styleId="Keypointsbullet">
    <w:name w:val="Key points bullet"/>
    <w:basedOn w:val="BoxBullet"/>
    <w:semiHidden/>
    <w:qFormat/>
    <w:rsid w:val="00333ACA"/>
    <w:pPr>
      <w:pBdr>
        <w:top w:val="none" w:sz="0" w:space="0" w:color="auto"/>
        <w:left w:val="none" w:sz="0" w:space="0" w:color="auto"/>
        <w:bottom w:val="none" w:sz="0" w:space="0" w:color="auto"/>
        <w:right w:val="none" w:sz="0" w:space="0" w:color="auto"/>
      </w:pBdr>
      <w:tabs>
        <w:tab w:val="clear" w:pos="567"/>
        <w:tab w:val="left" w:pos="680"/>
      </w:tabs>
      <w:spacing w:before="100"/>
      <w:ind w:left="681" w:hanging="397"/>
    </w:pPr>
    <w:rPr>
      <w:sz w:val="18"/>
      <w:szCs w:val="18"/>
    </w:rPr>
  </w:style>
  <w:style w:type="character" w:customStyle="1" w:styleId="SubtitleChar">
    <w:name w:val="Subtitle Char"/>
    <w:link w:val="Subtitle"/>
    <w:semiHidden/>
    <w:rsid w:val="0068777C"/>
    <w:rPr>
      <w:rFonts w:ascii="Arial" w:hAnsi="Arial"/>
      <w:b/>
      <w:sz w:val="36"/>
      <w:lang w:eastAsia="en-US"/>
    </w:rPr>
  </w:style>
  <w:style w:type="paragraph" w:customStyle="1" w:styleId="Keypointsub-bullet">
    <w:name w:val="Key point sub-bullet"/>
    <w:basedOn w:val="BoxSubbullet"/>
    <w:semiHidden/>
    <w:qFormat/>
    <w:rsid w:val="00C9625F"/>
    <w:pPr>
      <w:numPr>
        <w:numId w:val="13"/>
      </w:numPr>
      <w:pBdr>
        <w:top w:val="none" w:sz="0" w:space="0" w:color="auto"/>
        <w:left w:val="none" w:sz="0" w:space="0" w:color="auto"/>
        <w:bottom w:val="none" w:sz="0" w:space="0" w:color="auto"/>
        <w:right w:val="none" w:sz="0" w:space="0" w:color="auto"/>
      </w:pBdr>
      <w:tabs>
        <w:tab w:val="clear" w:pos="567"/>
        <w:tab w:val="clear" w:pos="680"/>
        <w:tab w:val="left" w:pos="1077"/>
      </w:tabs>
      <w:ind w:left="1077" w:hanging="397"/>
      <w:jc w:val="left"/>
    </w:pPr>
    <w:rPr>
      <w:sz w:val="18"/>
      <w:szCs w:val="18"/>
    </w:rPr>
  </w:style>
  <w:style w:type="paragraph" w:styleId="CommentSubject">
    <w:name w:val="annotation subject"/>
    <w:aliases w:val=" Char5,Char5"/>
    <w:basedOn w:val="CommentText"/>
    <w:next w:val="CommentText"/>
    <w:link w:val="CommentSubjectChar"/>
    <w:semiHidden/>
    <w:unhideWhenUsed/>
    <w:rsid w:val="00806461"/>
    <w:pPr>
      <w:spacing w:after="0"/>
    </w:pPr>
    <w:rPr>
      <w:rFonts w:ascii="Times New Roman" w:hAnsi="Times New Roman"/>
      <w:b/>
      <w:bCs/>
      <w:lang w:eastAsia="en-US"/>
    </w:rPr>
  </w:style>
  <w:style w:type="character" w:customStyle="1" w:styleId="CommentSubjectChar">
    <w:name w:val="Comment Subject Char"/>
    <w:aliases w:val=" Char5 Char,Char5 Char"/>
    <w:link w:val="CommentSubject"/>
    <w:semiHidden/>
    <w:rsid w:val="00806461"/>
    <w:rPr>
      <w:rFonts w:ascii="Calibri" w:hAnsi="Calibri"/>
      <w:b/>
      <w:bCs/>
      <w:lang w:eastAsia="en-US"/>
    </w:rPr>
  </w:style>
  <w:style w:type="paragraph" w:customStyle="1" w:styleId="Keypointstext">
    <w:name w:val="Key points text"/>
    <w:basedOn w:val="Keypointshead"/>
    <w:semiHidden/>
    <w:qFormat/>
    <w:rsid w:val="002B6594"/>
    <w:pPr>
      <w:spacing w:before="120" w:after="120"/>
    </w:pPr>
    <w:rPr>
      <w:b w:val="0"/>
    </w:rPr>
  </w:style>
  <w:style w:type="character" w:customStyle="1" w:styleId="Heading7Char">
    <w:name w:val="Heading 7 Char"/>
    <w:aliases w:val=" Char15 Char,Char15 Char"/>
    <w:link w:val="Heading7"/>
    <w:semiHidden/>
    <w:rsid w:val="0068777C"/>
    <w:rPr>
      <w:rFonts w:ascii="Arial" w:hAnsi="Arial"/>
      <w:i/>
      <w:iCs/>
      <w:color w:val="404040"/>
      <w:sz w:val="22"/>
      <w:szCs w:val="22"/>
      <w:lang w:eastAsia="en-US"/>
    </w:rPr>
  </w:style>
  <w:style w:type="character" w:customStyle="1" w:styleId="Heading8Char">
    <w:name w:val="Heading 8 Char"/>
    <w:aliases w:val=" Char14 Char,Char14 Char"/>
    <w:link w:val="Heading8"/>
    <w:semiHidden/>
    <w:rsid w:val="0068777C"/>
    <w:rPr>
      <w:rFonts w:ascii="Arial" w:hAnsi="Arial"/>
      <w:color w:val="4F81BD"/>
      <w:lang w:eastAsia="en-US"/>
    </w:rPr>
  </w:style>
  <w:style w:type="character" w:customStyle="1" w:styleId="Heading9Char">
    <w:name w:val="Heading 9 Char"/>
    <w:aliases w:val=" Char13 Char,Char13 Char"/>
    <w:link w:val="Heading9"/>
    <w:semiHidden/>
    <w:rsid w:val="0068777C"/>
    <w:rPr>
      <w:rFonts w:ascii="Arial" w:hAnsi="Arial"/>
      <w:i/>
      <w:iCs/>
      <w:color w:val="404040"/>
      <w:lang w:eastAsia="en-US"/>
    </w:rPr>
  </w:style>
  <w:style w:type="paragraph" w:styleId="TOCHeading">
    <w:name w:val="TOC Heading"/>
    <w:basedOn w:val="Heading1"/>
    <w:next w:val="Normal"/>
    <w:uiPriority w:val="39"/>
    <w:semiHidden/>
    <w:qFormat/>
    <w:rsid w:val="0068777C"/>
    <w:pPr>
      <w:keepLines/>
      <w:pBdr>
        <w:bottom w:val="none" w:sz="0" w:space="0" w:color="auto"/>
      </w:pBdr>
      <w:spacing w:before="480" w:after="0"/>
      <w:jc w:val="both"/>
      <w:outlineLvl w:val="9"/>
    </w:pPr>
    <w:rPr>
      <w:b/>
      <w:bCs/>
      <w:sz w:val="28"/>
      <w:szCs w:val="28"/>
    </w:rPr>
  </w:style>
  <w:style w:type="character" w:customStyle="1" w:styleId="CommentSubjectChar1">
    <w:name w:val="Comment Subject Char1"/>
    <w:uiPriority w:val="99"/>
    <w:semiHidden/>
    <w:rsid w:val="0068777C"/>
    <w:rPr>
      <w:b/>
      <w:bCs/>
      <w:lang w:eastAsia="en-US"/>
    </w:rPr>
  </w:style>
  <w:style w:type="paragraph" w:customStyle="1" w:styleId="Default">
    <w:name w:val="Default"/>
    <w:semiHidden/>
    <w:rsid w:val="0068777C"/>
    <w:pPr>
      <w:autoSpaceDE w:val="0"/>
      <w:autoSpaceDN w:val="0"/>
      <w:adjustRightInd w:val="0"/>
    </w:pPr>
    <w:rPr>
      <w:rFonts w:ascii="JBHHJB+Arial,Bold" w:hAnsi="JBHHJB+Arial,Bold" w:cs="JBHHJB+Arial,Bold"/>
      <w:i/>
      <w:color w:val="000000"/>
      <w:sz w:val="24"/>
      <w:szCs w:val="24"/>
    </w:rPr>
  </w:style>
  <w:style w:type="character" w:customStyle="1" w:styleId="EndnoteTextChar">
    <w:name w:val="Endnote Text Char"/>
    <w:aliases w:val=" Char3 Char,Char3 Char"/>
    <w:link w:val="EndnoteText"/>
    <w:semiHidden/>
    <w:rsid w:val="0068777C"/>
    <w:rPr>
      <w:i/>
    </w:rPr>
  </w:style>
  <w:style w:type="paragraph" w:styleId="EndnoteText">
    <w:name w:val="endnote text"/>
    <w:aliases w:val=" Char3,Char3"/>
    <w:basedOn w:val="Normal"/>
    <w:link w:val="EndnoteTextChar"/>
    <w:semiHidden/>
    <w:rsid w:val="0068777C"/>
    <w:pPr>
      <w:spacing w:after="120"/>
    </w:pPr>
    <w:rPr>
      <w:i/>
      <w:sz w:val="20"/>
      <w:lang w:eastAsia="en-NZ"/>
    </w:rPr>
  </w:style>
  <w:style w:type="character" w:customStyle="1" w:styleId="EndnoteTextChar1">
    <w:name w:val="Endnote Text Char1"/>
    <w:uiPriority w:val="99"/>
    <w:semiHidden/>
    <w:rsid w:val="0068777C"/>
    <w:rPr>
      <w:lang w:eastAsia="en-US"/>
    </w:rPr>
  </w:style>
  <w:style w:type="character" w:styleId="Emphasis">
    <w:name w:val="Emphasis"/>
    <w:uiPriority w:val="20"/>
    <w:semiHidden/>
    <w:qFormat/>
    <w:rsid w:val="0068777C"/>
    <w:rPr>
      <w:i/>
      <w:iCs/>
    </w:rPr>
  </w:style>
  <w:style w:type="character" w:customStyle="1" w:styleId="BulletsChar">
    <w:name w:val="Bullets Char"/>
    <w:link w:val="Bullets"/>
    <w:semiHidden/>
    <w:rsid w:val="0068777C"/>
  </w:style>
  <w:style w:type="paragraph" w:customStyle="1" w:styleId="Bullets">
    <w:name w:val="Bullets"/>
    <w:basedOn w:val="Normal"/>
    <w:link w:val="BulletsChar"/>
    <w:semiHidden/>
    <w:rsid w:val="0068777C"/>
    <w:pPr>
      <w:tabs>
        <w:tab w:val="left" w:pos="397"/>
      </w:tabs>
      <w:spacing w:before="120"/>
      <w:ind w:left="397" w:hanging="397"/>
    </w:pPr>
    <w:rPr>
      <w:sz w:val="20"/>
      <w:lang w:eastAsia="en-NZ"/>
    </w:rPr>
  </w:style>
  <w:style w:type="paragraph" w:styleId="Revision">
    <w:name w:val="Revision"/>
    <w:hidden/>
    <w:uiPriority w:val="99"/>
    <w:rsid w:val="0068777C"/>
    <w:rPr>
      <w:i/>
      <w:sz w:val="22"/>
      <w:lang w:eastAsia="en-US"/>
    </w:rPr>
  </w:style>
  <w:style w:type="character" w:customStyle="1" w:styleId="PlainTextChar1">
    <w:name w:val="Plain Text Char1"/>
    <w:aliases w:val="Char2 Char1"/>
    <w:uiPriority w:val="99"/>
    <w:semiHidden/>
    <w:rsid w:val="0068777C"/>
    <w:rPr>
      <w:rFonts w:ascii="Courier New" w:hAnsi="Courier New" w:cs="Courier New"/>
      <w:lang w:eastAsia="en-US"/>
    </w:rPr>
  </w:style>
  <w:style w:type="paragraph" w:styleId="ListBullet">
    <w:name w:val="List Bullet"/>
    <w:basedOn w:val="Normal"/>
    <w:semiHidden/>
    <w:rsid w:val="0068777C"/>
    <w:pPr>
      <w:numPr>
        <w:numId w:val="14"/>
      </w:numPr>
      <w:spacing w:after="120"/>
      <w:jc w:val="left"/>
    </w:pPr>
    <w:rPr>
      <w:rFonts w:ascii="Arial" w:hAnsi="Arial"/>
      <w:sz w:val="24"/>
      <w:szCs w:val="22"/>
    </w:rPr>
  </w:style>
  <w:style w:type="paragraph" w:styleId="ListBullet2">
    <w:name w:val="List Bullet 2"/>
    <w:basedOn w:val="ListBullet"/>
    <w:semiHidden/>
    <w:rsid w:val="0068777C"/>
    <w:pPr>
      <w:numPr>
        <w:numId w:val="15"/>
      </w:numPr>
      <w:tabs>
        <w:tab w:val="clear" w:pos="643"/>
        <w:tab w:val="num" w:pos="720"/>
      </w:tabs>
      <w:ind w:left="720"/>
    </w:pPr>
  </w:style>
  <w:style w:type="paragraph" w:styleId="ListBullet3">
    <w:name w:val="List Bullet 3"/>
    <w:basedOn w:val="ListBullet2"/>
    <w:semiHidden/>
    <w:rsid w:val="0068777C"/>
    <w:pPr>
      <w:numPr>
        <w:numId w:val="16"/>
      </w:numPr>
      <w:tabs>
        <w:tab w:val="clear" w:pos="926"/>
        <w:tab w:val="num" w:pos="1080"/>
      </w:tabs>
      <w:ind w:left="720" w:firstLine="0"/>
    </w:pPr>
  </w:style>
  <w:style w:type="paragraph" w:styleId="ListBullet4">
    <w:name w:val="List Bullet 4"/>
    <w:basedOn w:val="ListBullet3"/>
    <w:semiHidden/>
    <w:rsid w:val="0068777C"/>
    <w:pPr>
      <w:numPr>
        <w:numId w:val="17"/>
      </w:numPr>
      <w:tabs>
        <w:tab w:val="clear" w:pos="1209"/>
        <w:tab w:val="left" w:pos="1435"/>
      </w:tabs>
      <w:ind w:left="1434" w:hanging="357"/>
    </w:pPr>
  </w:style>
  <w:style w:type="paragraph" w:styleId="ListBullet5">
    <w:name w:val="List Bullet 5"/>
    <w:basedOn w:val="ListBullet4"/>
    <w:semiHidden/>
    <w:rsid w:val="0068777C"/>
    <w:pPr>
      <w:numPr>
        <w:numId w:val="18"/>
      </w:numPr>
      <w:tabs>
        <w:tab w:val="clear" w:pos="1435"/>
        <w:tab w:val="clear" w:pos="1492"/>
        <w:tab w:val="num" w:pos="1794"/>
      </w:tabs>
      <w:ind w:left="1794"/>
    </w:pPr>
  </w:style>
  <w:style w:type="paragraph" w:customStyle="1" w:styleId="Numberedparagraph">
    <w:name w:val="Numbered paragraph"/>
    <w:basedOn w:val="Normal"/>
    <w:semiHidden/>
    <w:rsid w:val="0068777C"/>
    <w:pPr>
      <w:numPr>
        <w:numId w:val="20"/>
      </w:numPr>
      <w:tabs>
        <w:tab w:val="clear" w:pos="397"/>
        <w:tab w:val="left" w:pos="567"/>
        <w:tab w:val="num" w:pos="1728"/>
      </w:tabs>
      <w:spacing w:before="120" w:after="120"/>
      <w:ind w:left="288" w:firstLine="0"/>
    </w:pPr>
    <w:rPr>
      <w:szCs w:val="22"/>
    </w:rPr>
  </w:style>
  <w:style w:type="paragraph" w:customStyle="1" w:styleId="Sub-list">
    <w:name w:val="Sub-list"/>
    <w:basedOn w:val="Normal"/>
    <w:semiHidden/>
    <w:rsid w:val="0068777C"/>
    <w:pPr>
      <w:numPr>
        <w:numId w:val="21"/>
      </w:numPr>
      <w:tabs>
        <w:tab w:val="clear" w:pos="397"/>
        <w:tab w:val="num" w:pos="360"/>
        <w:tab w:val="left" w:pos="794"/>
      </w:tabs>
      <w:spacing w:before="60" w:after="120"/>
      <w:ind w:left="794" w:hanging="397"/>
    </w:pPr>
    <w:rPr>
      <w:szCs w:val="22"/>
    </w:rPr>
  </w:style>
  <w:style w:type="paragraph" w:customStyle="1" w:styleId="Footerodd0">
    <w:name w:val="Footer odd"/>
    <w:basedOn w:val="Normal"/>
    <w:uiPriority w:val="2"/>
    <w:rsid w:val="0068777C"/>
    <w:pPr>
      <w:pBdr>
        <w:top w:val="single" w:sz="4" w:space="4" w:color="auto"/>
      </w:pBdr>
      <w:tabs>
        <w:tab w:val="right" w:pos="7655"/>
        <w:tab w:val="right" w:pos="8505"/>
      </w:tabs>
      <w:jc w:val="left"/>
    </w:pPr>
    <w:rPr>
      <w:rFonts w:ascii="Arial" w:hAnsi="Arial"/>
      <w:sz w:val="16"/>
      <w:szCs w:val="22"/>
    </w:rPr>
  </w:style>
  <w:style w:type="paragraph" w:customStyle="1" w:styleId="Footereven0">
    <w:name w:val="Footer even"/>
    <w:basedOn w:val="Normal"/>
    <w:uiPriority w:val="2"/>
    <w:rsid w:val="0068777C"/>
    <w:pPr>
      <w:pBdr>
        <w:top w:val="single" w:sz="4" w:space="4" w:color="auto"/>
      </w:pBdr>
      <w:tabs>
        <w:tab w:val="left" w:pos="851"/>
      </w:tabs>
    </w:pPr>
    <w:rPr>
      <w:rFonts w:ascii="Arial" w:hAnsi="Arial"/>
      <w:sz w:val="16"/>
      <w:szCs w:val="22"/>
    </w:rPr>
  </w:style>
  <w:style w:type="paragraph" w:customStyle="1" w:styleId="TableDash">
    <w:name w:val="TableDash"/>
    <w:basedOn w:val="Normal"/>
    <w:rsid w:val="0068777C"/>
    <w:pPr>
      <w:numPr>
        <w:numId w:val="22"/>
      </w:numPr>
      <w:tabs>
        <w:tab w:val="clear" w:pos="567"/>
        <w:tab w:val="num" w:pos="360"/>
      </w:tabs>
      <w:spacing w:before="20" w:after="20"/>
      <w:ind w:left="568" w:hanging="284"/>
      <w:jc w:val="left"/>
    </w:pPr>
    <w:rPr>
      <w:rFonts w:ascii="Arial" w:hAnsi="Arial" w:cs="Arial"/>
      <w:sz w:val="16"/>
      <w:szCs w:val="16"/>
    </w:rPr>
  </w:style>
  <w:style w:type="paragraph" w:customStyle="1" w:styleId="a">
    <w:name w:val="(a)"/>
    <w:aliases w:val="(b) list"/>
    <w:basedOn w:val="Normal"/>
    <w:semiHidden/>
    <w:rsid w:val="0068777C"/>
    <w:pPr>
      <w:numPr>
        <w:numId w:val="19"/>
      </w:numPr>
      <w:tabs>
        <w:tab w:val="clear" w:pos="720"/>
        <w:tab w:val="num" w:pos="360"/>
      </w:tabs>
      <w:ind w:left="360"/>
    </w:pPr>
    <w:rPr>
      <w:lang w:eastAsia="en-NZ"/>
    </w:rPr>
  </w:style>
  <w:style w:type="table" w:styleId="Table3Deffects3">
    <w:name w:val="Table 3D effects 3"/>
    <w:basedOn w:val="TableNormal"/>
    <w:rsid w:val="0068777C"/>
    <w:rPr>
      <w:i/>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customStyle="1" w:styleId="Captions">
    <w:name w:val="Captions"/>
    <w:basedOn w:val="Normal"/>
    <w:next w:val="Normal"/>
    <w:semiHidden/>
    <w:rsid w:val="0068777C"/>
    <w:pPr>
      <w:tabs>
        <w:tab w:val="left" w:pos="851"/>
      </w:tabs>
      <w:suppressAutoHyphens/>
      <w:spacing w:before="120" w:after="120"/>
    </w:pPr>
    <w:rPr>
      <w:szCs w:val="22"/>
      <w:lang w:eastAsia="ar-SA"/>
    </w:rPr>
  </w:style>
  <w:style w:type="character" w:customStyle="1" w:styleId="FootnoteCharacters">
    <w:name w:val="Footnote Characters"/>
    <w:semiHidden/>
    <w:rsid w:val="0068777C"/>
    <w:rPr>
      <w:vertAlign w:val="superscript"/>
    </w:rPr>
  </w:style>
  <w:style w:type="character" w:customStyle="1" w:styleId="EndnoteCharacters">
    <w:name w:val="Endnote Characters"/>
    <w:semiHidden/>
    <w:rsid w:val="0068777C"/>
    <w:rPr>
      <w:vertAlign w:val="superscript"/>
    </w:rPr>
  </w:style>
  <w:style w:type="paragraph" w:styleId="List">
    <w:name w:val="List"/>
    <w:basedOn w:val="BodyText"/>
    <w:semiHidden/>
    <w:rsid w:val="0068777C"/>
    <w:pPr>
      <w:suppressAutoHyphens/>
    </w:pPr>
    <w:rPr>
      <w:szCs w:val="22"/>
      <w:lang w:eastAsia="ar-SA"/>
    </w:rPr>
  </w:style>
  <w:style w:type="paragraph" w:customStyle="1" w:styleId="Index">
    <w:name w:val="Index"/>
    <w:basedOn w:val="Normal"/>
    <w:semiHidden/>
    <w:rsid w:val="0068777C"/>
    <w:pPr>
      <w:suppressLineNumbers/>
      <w:suppressAutoHyphens/>
      <w:spacing w:after="120"/>
    </w:pPr>
    <w:rPr>
      <w:szCs w:val="22"/>
      <w:lang w:eastAsia="ar-SA"/>
    </w:rPr>
  </w:style>
  <w:style w:type="paragraph" w:styleId="TOC4">
    <w:name w:val="toc 4"/>
    <w:basedOn w:val="Normal"/>
    <w:next w:val="Normal"/>
    <w:uiPriority w:val="39"/>
    <w:rsid w:val="0068777C"/>
    <w:pPr>
      <w:tabs>
        <w:tab w:val="right" w:leader="dot" w:pos="7938"/>
      </w:tabs>
      <w:suppressAutoHyphens/>
      <w:spacing w:before="60" w:after="60"/>
      <w:ind w:left="1701"/>
      <w:jc w:val="left"/>
    </w:pPr>
    <w:rPr>
      <w:rFonts w:ascii="Arial" w:hAnsi="Arial"/>
      <w:sz w:val="18"/>
      <w:szCs w:val="22"/>
      <w:lang w:eastAsia="ar-SA"/>
    </w:rPr>
  </w:style>
  <w:style w:type="paragraph" w:styleId="TOC5">
    <w:name w:val="toc 5"/>
    <w:basedOn w:val="Normal"/>
    <w:next w:val="Normal"/>
    <w:uiPriority w:val="39"/>
    <w:rsid w:val="0068777C"/>
    <w:pPr>
      <w:tabs>
        <w:tab w:val="left" w:pos="2268"/>
        <w:tab w:val="right" w:leader="dot" w:pos="7938"/>
      </w:tabs>
      <w:suppressAutoHyphens/>
      <w:spacing w:before="60" w:after="60"/>
      <w:ind w:left="2268"/>
      <w:jc w:val="left"/>
    </w:pPr>
    <w:rPr>
      <w:rFonts w:ascii="Arial" w:hAnsi="Arial"/>
      <w:sz w:val="18"/>
      <w:szCs w:val="22"/>
      <w:lang w:eastAsia="ar-SA"/>
    </w:rPr>
  </w:style>
  <w:style w:type="paragraph" w:styleId="TOC6">
    <w:name w:val="toc 6"/>
    <w:basedOn w:val="Normal"/>
    <w:next w:val="Normal"/>
    <w:uiPriority w:val="39"/>
    <w:rsid w:val="0068777C"/>
    <w:pPr>
      <w:tabs>
        <w:tab w:val="left" w:pos="2552"/>
        <w:tab w:val="right" w:leader="dot" w:pos="7938"/>
      </w:tabs>
      <w:suppressAutoHyphens/>
      <w:spacing w:before="60" w:after="60"/>
      <w:ind w:left="2835"/>
      <w:jc w:val="left"/>
    </w:pPr>
    <w:rPr>
      <w:rFonts w:ascii="Arial" w:hAnsi="Arial"/>
      <w:sz w:val="18"/>
      <w:szCs w:val="22"/>
      <w:lang w:eastAsia="ar-SA"/>
    </w:rPr>
  </w:style>
  <w:style w:type="paragraph" w:styleId="TOC7">
    <w:name w:val="toc 7"/>
    <w:basedOn w:val="Normal"/>
    <w:next w:val="Normal"/>
    <w:uiPriority w:val="39"/>
    <w:rsid w:val="0068777C"/>
    <w:pPr>
      <w:suppressAutoHyphens/>
      <w:spacing w:after="100" w:line="276" w:lineRule="auto"/>
      <w:ind w:left="1320"/>
      <w:jc w:val="left"/>
    </w:pPr>
    <w:rPr>
      <w:rFonts w:ascii="Calibri" w:hAnsi="Calibri"/>
      <w:szCs w:val="22"/>
      <w:lang w:eastAsia="ar-SA"/>
    </w:rPr>
  </w:style>
  <w:style w:type="paragraph" w:styleId="TOC8">
    <w:name w:val="toc 8"/>
    <w:basedOn w:val="Normal"/>
    <w:next w:val="Normal"/>
    <w:uiPriority w:val="39"/>
    <w:rsid w:val="0068777C"/>
    <w:pPr>
      <w:suppressAutoHyphens/>
      <w:spacing w:after="100" w:line="276" w:lineRule="auto"/>
      <w:ind w:left="1540"/>
      <w:jc w:val="left"/>
    </w:pPr>
    <w:rPr>
      <w:rFonts w:ascii="Calibri" w:hAnsi="Calibri"/>
      <w:szCs w:val="22"/>
      <w:lang w:eastAsia="ar-SA"/>
    </w:rPr>
  </w:style>
  <w:style w:type="paragraph" w:styleId="TOC9">
    <w:name w:val="toc 9"/>
    <w:basedOn w:val="Normal"/>
    <w:next w:val="Normal"/>
    <w:uiPriority w:val="39"/>
    <w:rsid w:val="0068777C"/>
    <w:pPr>
      <w:suppressAutoHyphens/>
      <w:spacing w:after="100" w:line="276" w:lineRule="auto"/>
      <w:ind w:left="1760"/>
      <w:jc w:val="left"/>
    </w:pPr>
    <w:rPr>
      <w:rFonts w:ascii="Calibri" w:hAnsi="Calibri"/>
      <w:szCs w:val="22"/>
      <w:lang w:eastAsia="ar-SA"/>
    </w:rPr>
  </w:style>
  <w:style w:type="paragraph" w:customStyle="1" w:styleId="Glossary">
    <w:name w:val="Glossary"/>
    <w:basedOn w:val="Normal"/>
    <w:semiHidden/>
    <w:rsid w:val="0068777C"/>
    <w:pPr>
      <w:tabs>
        <w:tab w:val="left" w:pos="2835"/>
      </w:tabs>
      <w:suppressAutoHyphens/>
      <w:spacing w:after="120"/>
      <w:ind w:left="2835" w:hanging="2835"/>
    </w:pPr>
    <w:rPr>
      <w:szCs w:val="22"/>
      <w:lang w:eastAsia="ar-SA"/>
    </w:rPr>
  </w:style>
  <w:style w:type="paragraph" w:customStyle="1" w:styleId="Headerleft">
    <w:name w:val="Header left"/>
    <w:basedOn w:val="Normal"/>
    <w:semiHidden/>
    <w:rsid w:val="0068777C"/>
    <w:pPr>
      <w:suppressLineNumbers/>
      <w:tabs>
        <w:tab w:val="center" w:pos="3968"/>
        <w:tab w:val="right" w:pos="7937"/>
      </w:tabs>
      <w:suppressAutoHyphens/>
      <w:spacing w:after="120"/>
    </w:pPr>
    <w:rPr>
      <w:szCs w:val="22"/>
      <w:lang w:eastAsia="ar-SA"/>
    </w:rPr>
  </w:style>
  <w:style w:type="paragraph" w:styleId="Bibliography">
    <w:name w:val="Bibliography"/>
    <w:basedOn w:val="Normal"/>
    <w:next w:val="Normal"/>
    <w:uiPriority w:val="37"/>
    <w:semiHidden/>
    <w:rsid w:val="0068777C"/>
    <w:pPr>
      <w:widowControl w:val="0"/>
      <w:adjustRightInd w:val="0"/>
      <w:spacing w:after="120"/>
      <w:textAlignment w:val="baseline"/>
    </w:pPr>
    <w:rPr>
      <w:szCs w:val="22"/>
    </w:rPr>
  </w:style>
  <w:style w:type="paragraph" w:styleId="DocumentMap">
    <w:name w:val="Document Map"/>
    <w:aliases w:val=" Char1,Char1"/>
    <w:basedOn w:val="Normal"/>
    <w:link w:val="DocumentMapChar"/>
    <w:semiHidden/>
    <w:rsid w:val="0068777C"/>
    <w:pPr>
      <w:widowControl w:val="0"/>
      <w:adjustRightInd w:val="0"/>
      <w:spacing w:after="120"/>
      <w:textAlignment w:val="baseline"/>
    </w:pPr>
    <w:rPr>
      <w:rFonts w:ascii="Tahoma" w:hAnsi="Tahoma" w:cs="Tahoma"/>
      <w:sz w:val="16"/>
      <w:szCs w:val="16"/>
    </w:rPr>
  </w:style>
  <w:style w:type="character" w:customStyle="1" w:styleId="DocumentMapChar">
    <w:name w:val="Document Map Char"/>
    <w:aliases w:val=" Char1 Char,Char1 Char"/>
    <w:link w:val="DocumentMap"/>
    <w:semiHidden/>
    <w:rsid w:val="0068777C"/>
    <w:rPr>
      <w:rFonts w:ascii="Tahoma" w:hAnsi="Tahoma" w:cs="Tahoma"/>
      <w:sz w:val="16"/>
      <w:szCs w:val="16"/>
      <w:lang w:eastAsia="en-US"/>
    </w:rPr>
  </w:style>
  <w:style w:type="paragraph" w:customStyle="1" w:styleId="StyleHeading6Before6pt">
    <w:name w:val="Style Heading 6 + Before:  6 pt"/>
    <w:basedOn w:val="Heading6"/>
    <w:uiPriority w:val="99"/>
    <w:semiHidden/>
    <w:rsid w:val="0068777C"/>
    <w:pPr>
      <w:keepLines w:val="0"/>
      <w:spacing w:before="120"/>
    </w:pPr>
    <w:rPr>
      <w:szCs w:val="20"/>
      <w:lang w:eastAsia="en-US"/>
    </w:rPr>
  </w:style>
  <w:style w:type="paragraph" w:styleId="NormalIndent">
    <w:name w:val="Normal Indent"/>
    <w:basedOn w:val="Normal"/>
    <w:uiPriority w:val="99"/>
    <w:rsid w:val="0068777C"/>
    <w:pPr>
      <w:spacing w:after="120"/>
      <w:ind w:left="567" w:right="567"/>
    </w:pPr>
    <w:rPr>
      <w:szCs w:val="22"/>
    </w:rPr>
  </w:style>
  <w:style w:type="character" w:styleId="Strong">
    <w:name w:val="Strong"/>
    <w:uiPriority w:val="22"/>
    <w:semiHidden/>
    <w:qFormat/>
    <w:rsid w:val="0068777C"/>
    <w:rPr>
      <w:b/>
      <w:bCs/>
    </w:rPr>
  </w:style>
  <w:style w:type="paragraph" w:customStyle="1" w:styleId="EvenFooter">
    <w:name w:val="Even Footer"/>
    <w:basedOn w:val="Normal"/>
    <w:next w:val="Normal"/>
    <w:rsid w:val="00005A00"/>
    <w:pPr>
      <w:pBdr>
        <w:top w:val="single" w:sz="4" w:space="4" w:color="auto"/>
      </w:pBdr>
      <w:tabs>
        <w:tab w:val="left" w:pos="851"/>
      </w:tabs>
    </w:pPr>
    <w:rPr>
      <w:rFonts w:ascii="Arial" w:hAnsi="Arial"/>
      <w:sz w:val="16"/>
    </w:rPr>
  </w:style>
  <w:style w:type="table" w:styleId="LightList-Accent1">
    <w:name w:val="Light List Accent 1"/>
    <w:basedOn w:val="TableNormal"/>
    <w:uiPriority w:val="61"/>
    <w:rsid w:val="0068777C"/>
    <w:pPr>
      <w:jc w:val="right"/>
    </w:pPr>
    <w:rPr>
      <w:rFonts w:ascii="Arial" w:hAnsi="Arial"/>
      <w:szCs w:val="22"/>
      <w:lang w:eastAsia="en-US"/>
    </w:rPr>
    <w:tblPr>
      <w:tblStyleRowBandSize w:val="1"/>
      <w:tblStyleColBandSize w:val="1"/>
      <w:tblBorders>
        <w:top w:val="single" w:sz="8" w:space="0" w:color="1F497D"/>
        <w:bottom w:val="single" w:sz="8" w:space="0" w:color="1F497D"/>
        <w:insideH w:val="single" w:sz="8" w:space="0" w:color="1F497D"/>
      </w:tblBorders>
    </w:tblPr>
    <w:tcPr>
      <w:vAlign w:val="center"/>
    </w:tc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styleId="MediumShading1-Accent1">
    <w:name w:val="Medium Shading 1 Accent 1"/>
    <w:basedOn w:val="TableProfessional"/>
    <w:uiPriority w:val="63"/>
    <w:rsid w:val="0068777C"/>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insideV w:val="none" w:sz="0" w:space="0" w:color="auto"/>
      </w:tblBorders>
    </w:tblPr>
    <w:tcPr>
      <w:shd w:val="clear" w:color="auto" w:fill="auto"/>
    </w:tc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l2br w:val="none" w:sz="0" w:space="0" w:color="auto"/>
          <w:tr2bl w:val="none" w:sz="0" w:space="0" w:color="auto"/>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styleId="TableProfessional">
    <w:name w:val="Table Professional"/>
    <w:basedOn w:val="TableNormal"/>
    <w:uiPriority w:val="99"/>
    <w:semiHidden/>
    <w:unhideWhenUsed/>
    <w:rsid w:val="0068777C"/>
    <w:pPr>
      <w:spacing w:after="120"/>
      <w:jc w:val="both"/>
    </w:pPr>
    <w:rPr>
      <w:rFonts w:ascii="Arial" w:hAnsi="Arial"/>
      <w:sz w:val="22"/>
      <w:szCs w:val="22"/>
      <w:lang w:eastAsia="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character" w:styleId="PlaceholderText">
    <w:name w:val="Placeholder Text"/>
    <w:uiPriority w:val="99"/>
    <w:semiHidden/>
    <w:rsid w:val="0068777C"/>
    <w:rPr>
      <w:color w:val="808080"/>
    </w:rPr>
  </w:style>
  <w:style w:type="table" w:customStyle="1" w:styleId="LightList-Accent11">
    <w:name w:val="Light List - Accent 11"/>
    <w:basedOn w:val="TableNormal"/>
    <w:next w:val="LightList-Accent1"/>
    <w:uiPriority w:val="61"/>
    <w:rsid w:val="0068777C"/>
    <w:rPr>
      <w:rFonts w:ascii="Calibri" w:eastAsia="Arial" w:hAnsi="Calibri"/>
      <w:sz w:val="16"/>
      <w:szCs w:val="22"/>
      <w:lang w:eastAsia="en-US"/>
    </w:rPr>
    <w:tblPr>
      <w:tblStyleRowBandSize w:val="1"/>
      <w:tblStyleColBandSize w:val="1"/>
      <w:tblBorders>
        <w:top w:val="single" w:sz="8" w:space="0" w:color="365F91"/>
        <w:left w:val="single" w:sz="8" w:space="0" w:color="365F91"/>
        <w:bottom w:val="single" w:sz="8" w:space="0" w:color="365F91"/>
        <w:right w:val="single" w:sz="8" w:space="0" w:color="365F91"/>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character" w:styleId="IntenseEmphasis">
    <w:name w:val="Intense Emphasis"/>
    <w:uiPriority w:val="21"/>
    <w:semiHidden/>
    <w:qFormat/>
    <w:rsid w:val="0068777C"/>
    <w:rPr>
      <w:b w:val="0"/>
      <w:bCs/>
      <w:i w:val="0"/>
      <w:iCs/>
      <w:color w:val="4F81BD"/>
    </w:rPr>
  </w:style>
  <w:style w:type="character" w:customStyle="1" w:styleId="BodyText3Char">
    <w:name w:val="Body Text 3 Char"/>
    <w:link w:val="BodyText3"/>
    <w:uiPriority w:val="99"/>
    <w:semiHidden/>
    <w:rsid w:val="0068777C"/>
    <w:rPr>
      <w:rFonts w:eastAsia="MS Mincho"/>
      <w:sz w:val="16"/>
      <w:szCs w:val="16"/>
      <w:lang w:eastAsia="ja-JP"/>
    </w:rPr>
  </w:style>
  <w:style w:type="paragraph" w:styleId="BodyText3">
    <w:name w:val="Body Text 3"/>
    <w:basedOn w:val="Normal"/>
    <w:link w:val="BodyText3Char"/>
    <w:uiPriority w:val="99"/>
    <w:semiHidden/>
    <w:rsid w:val="0068777C"/>
    <w:pPr>
      <w:spacing w:after="120"/>
    </w:pPr>
    <w:rPr>
      <w:rFonts w:eastAsia="MS Mincho"/>
      <w:sz w:val="16"/>
      <w:szCs w:val="16"/>
      <w:lang w:eastAsia="ja-JP"/>
    </w:rPr>
  </w:style>
  <w:style w:type="character" w:customStyle="1" w:styleId="BodyText3Char1">
    <w:name w:val="Body Text 3 Char1"/>
    <w:uiPriority w:val="99"/>
    <w:semiHidden/>
    <w:rsid w:val="0068777C"/>
    <w:rPr>
      <w:sz w:val="16"/>
      <w:szCs w:val="16"/>
      <w:lang w:eastAsia="en-US"/>
    </w:rPr>
  </w:style>
  <w:style w:type="character" w:customStyle="1" w:styleId="BodyTextFirstIndentChar">
    <w:name w:val="Body Text First Indent Char"/>
    <w:link w:val="BodyTextFirstIndent"/>
    <w:uiPriority w:val="99"/>
    <w:semiHidden/>
    <w:rsid w:val="0068777C"/>
    <w:rPr>
      <w:rFonts w:eastAsia="MS Mincho"/>
      <w:lang w:eastAsia="ja-JP"/>
    </w:rPr>
  </w:style>
  <w:style w:type="paragraph" w:styleId="BodyTextFirstIndent">
    <w:name w:val="Body Text First Indent"/>
    <w:basedOn w:val="BodyText"/>
    <w:link w:val="BodyTextFirstIndentChar"/>
    <w:uiPriority w:val="99"/>
    <w:semiHidden/>
    <w:rsid w:val="0068777C"/>
    <w:pPr>
      <w:ind w:firstLine="360"/>
    </w:pPr>
    <w:rPr>
      <w:rFonts w:eastAsia="MS Mincho"/>
      <w:sz w:val="20"/>
      <w:lang w:eastAsia="ja-JP"/>
    </w:rPr>
  </w:style>
  <w:style w:type="character" w:customStyle="1" w:styleId="BodyTextFirstIndentChar1">
    <w:name w:val="Body Text First Indent Char1"/>
    <w:uiPriority w:val="99"/>
    <w:semiHidden/>
    <w:rsid w:val="0068777C"/>
    <w:rPr>
      <w:sz w:val="22"/>
      <w:lang w:eastAsia="en-US"/>
    </w:rPr>
  </w:style>
  <w:style w:type="character" w:customStyle="1" w:styleId="BodyTextIndentChar">
    <w:name w:val="Body Text Indent Char"/>
    <w:link w:val="BodyTextIndent"/>
    <w:uiPriority w:val="99"/>
    <w:semiHidden/>
    <w:rsid w:val="0068777C"/>
    <w:rPr>
      <w:rFonts w:eastAsia="MS Mincho"/>
      <w:lang w:eastAsia="ja-JP"/>
    </w:rPr>
  </w:style>
  <w:style w:type="paragraph" w:styleId="BodyTextIndent">
    <w:name w:val="Body Text Indent"/>
    <w:basedOn w:val="Normal"/>
    <w:link w:val="BodyTextIndentChar"/>
    <w:uiPriority w:val="99"/>
    <w:semiHidden/>
    <w:rsid w:val="0068777C"/>
    <w:pPr>
      <w:spacing w:after="120"/>
      <w:ind w:left="283"/>
    </w:pPr>
    <w:rPr>
      <w:rFonts w:eastAsia="MS Mincho"/>
      <w:sz w:val="20"/>
      <w:lang w:eastAsia="ja-JP"/>
    </w:rPr>
  </w:style>
  <w:style w:type="character" w:customStyle="1" w:styleId="BodyTextIndentChar1">
    <w:name w:val="Body Text Indent Char1"/>
    <w:uiPriority w:val="99"/>
    <w:semiHidden/>
    <w:rsid w:val="0068777C"/>
    <w:rPr>
      <w:sz w:val="22"/>
      <w:lang w:eastAsia="en-US"/>
    </w:rPr>
  </w:style>
  <w:style w:type="character" w:customStyle="1" w:styleId="BodyTextFirstIndent2Char">
    <w:name w:val="Body Text First Indent 2 Char"/>
    <w:link w:val="BodyTextFirstIndent2"/>
    <w:uiPriority w:val="99"/>
    <w:semiHidden/>
    <w:rsid w:val="0068777C"/>
    <w:rPr>
      <w:rFonts w:eastAsia="MS Mincho"/>
      <w:lang w:eastAsia="ja-JP"/>
    </w:rPr>
  </w:style>
  <w:style w:type="paragraph" w:styleId="BodyTextFirstIndent2">
    <w:name w:val="Body Text First Indent 2"/>
    <w:basedOn w:val="BodyTextIndent"/>
    <w:link w:val="BodyTextFirstIndent2Char"/>
    <w:uiPriority w:val="99"/>
    <w:semiHidden/>
    <w:rsid w:val="0068777C"/>
    <w:pPr>
      <w:spacing w:after="0"/>
      <w:ind w:left="360" w:firstLine="360"/>
    </w:pPr>
  </w:style>
  <w:style w:type="character" w:customStyle="1" w:styleId="BodyTextFirstIndent2Char1">
    <w:name w:val="Body Text First Indent 2 Char1"/>
    <w:uiPriority w:val="99"/>
    <w:semiHidden/>
    <w:rsid w:val="0068777C"/>
    <w:rPr>
      <w:sz w:val="22"/>
      <w:lang w:eastAsia="en-US"/>
    </w:rPr>
  </w:style>
  <w:style w:type="character" w:customStyle="1" w:styleId="BodyTextIndent2Char">
    <w:name w:val="Body Text Indent 2 Char"/>
    <w:link w:val="BodyTextIndent2"/>
    <w:uiPriority w:val="99"/>
    <w:semiHidden/>
    <w:rsid w:val="0068777C"/>
    <w:rPr>
      <w:rFonts w:eastAsia="MS Mincho"/>
      <w:lang w:eastAsia="ja-JP"/>
    </w:rPr>
  </w:style>
  <w:style w:type="paragraph" w:styleId="BodyTextIndent2">
    <w:name w:val="Body Text Indent 2"/>
    <w:basedOn w:val="Normal"/>
    <w:link w:val="BodyTextIndent2Char"/>
    <w:uiPriority w:val="99"/>
    <w:semiHidden/>
    <w:rsid w:val="0068777C"/>
    <w:pPr>
      <w:spacing w:after="120" w:line="480" w:lineRule="auto"/>
      <w:ind w:left="283"/>
    </w:pPr>
    <w:rPr>
      <w:rFonts w:eastAsia="MS Mincho"/>
      <w:sz w:val="20"/>
      <w:lang w:eastAsia="ja-JP"/>
    </w:rPr>
  </w:style>
  <w:style w:type="character" w:customStyle="1" w:styleId="BodyTextIndent2Char1">
    <w:name w:val="Body Text Indent 2 Char1"/>
    <w:uiPriority w:val="99"/>
    <w:semiHidden/>
    <w:rsid w:val="0068777C"/>
    <w:rPr>
      <w:sz w:val="22"/>
      <w:lang w:eastAsia="en-US"/>
    </w:rPr>
  </w:style>
  <w:style w:type="character" w:customStyle="1" w:styleId="BodyTextIndent3Char">
    <w:name w:val="Body Text Indent 3 Char"/>
    <w:link w:val="BodyTextIndent3"/>
    <w:uiPriority w:val="99"/>
    <w:semiHidden/>
    <w:rsid w:val="0068777C"/>
    <w:rPr>
      <w:rFonts w:eastAsia="MS Mincho"/>
      <w:sz w:val="16"/>
      <w:szCs w:val="16"/>
      <w:lang w:eastAsia="ja-JP"/>
    </w:rPr>
  </w:style>
  <w:style w:type="paragraph" w:styleId="BodyTextIndent3">
    <w:name w:val="Body Text Indent 3"/>
    <w:basedOn w:val="Normal"/>
    <w:link w:val="BodyTextIndent3Char"/>
    <w:uiPriority w:val="99"/>
    <w:semiHidden/>
    <w:rsid w:val="0068777C"/>
    <w:pPr>
      <w:spacing w:after="120"/>
      <w:ind w:left="283"/>
    </w:pPr>
    <w:rPr>
      <w:rFonts w:eastAsia="MS Mincho"/>
      <w:sz w:val="16"/>
      <w:szCs w:val="16"/>
      <w:lang w:eastAsia="ja-JP"/>
    </w:rPr>
  </w:style>
  <w:style w:type="character" w:customStyle="1" w:styleId="BodyTextIndent3Char1">
    <w:name w:val="Body Text Indent 3 Char1"/>
    <w:uiPriority w:val="99"/>
    <w:semiHidden/>
    <w:rsid w:val="0068777C"/>
    <w:rPr>
      <w:sz w:val="16"/>
      <w:szCs w:val="16"/>
      <w:lang w:eastAsia="en-US"/>
    </w:rPr>
  </w:style>
  <w:style w:type="character" w:customStyle="1" w:styleId="ClosingChar">
    <w:name w:val="Closing Char"/>
    <w:link w:val="Closing"/>
    <w:uiPriority w:val="99"/>
    <w:semiHidden/>
    <w:rsid w:val="0068777C"/>
    <w:rPr>
      <w:rFonts w:eastAsia="MS Mincho"/>
      <w:lang w:eastAsia="ja-JP"/>
    </w:rPr>
  </w:style>
  <w:style w:type="paragraph" w:styleId="Closing">
    <w:name w:val="Closing"/>
    <w:basedOn w:val="Normal"/>
    <w:link w:val="ClosingChar"/>
    <w:uiPriority w:val="99"/>
    <w:semiHidden/>
    <w:rsid w:val="0068777C"/>
    <w:pPr>
      <w:ind w:left="4252"/>
    </w:pPr>
    <w:rPr>
      <w:rFonts w:eastAsia="MS Mincho"/>
      <w:sz w:val="20"/>
      <w:lang w:eastAsia="ja-JP"/>
    </w:rPr>
  </w:style>
  <w:style w:type="character" w:customStyle="1" w:styleId="ClosingChar1">
    <w:name w:val="Closing Char1"/>
    <w:uiPriority w:val="99"/>
    <w:semiHidden/>
    <w:rsid w:val="0068777C"/>
    <w:rPr>
      <w:sz w:val="22"/>
      <w:lang w:eastAsia="en-US"/>
    </w:rPr>
  </w:style>
  <w:style w:type="character" w:customStyle="1" w:styleId="DateChar">
    <w:name w:val="Date Char"/>
    <w:link w:val="Date"/>
    <w:uiPriority w:val="99"/>
    <w:semiHidden/>
    <w:rsid w:val="0068777C"/>
    <w:rPr>
      <w:rFonts w:eastAsia="MS Mincho"/>
      <w:lang w:eastAsia="ja-JP"/>
    </w:rPr>
  </w:style>
  <w:style w:type="paragraph" w:styleId="Date">
    <w:name w:val="Date"/>
    <w:basedOn w:val="Normal"/>
    <w:next w:val="Normal"/>
    <w:link w:val="DateChar"/>
    <w:uiPriority w:val="99"/>
    <w:semiHidden/>
    <w:rsid w:val="0068777C"/>
    <w:rPr>
      <w:rFonts w:eastAsia="MS Mincho"/>
      <w:sz w:val="20"/>
      <w:lang w:eastAsia="ja-JP"/>
    </w:rPr>
  </w:style>
  <w:style w:type="character" w:customStyle="1" w:styleId="DateChar1">
    <w:name w:val="Date Char1"/>
    <w:uiPriority w:val="99"/>
    <w:semiHidden/>
    <w:rsid w:val="0068777C"/>
    <w:rPr>
      <w:sz w:val="22"/>
      <w:lang w:eastAsia="en-US"/>
    </w:rPr>
  </w:style>
  <w:style w:type="character" w:customStyle="1" w:styleId="E-mailSignatureChar">
    <w:name w:val="E-mail Signature Char"/>
    <w:link w:val="E-mailSignature"/>
    <w:uiPriority w:val="99"/>
    <w:semiHidden/>
    <w:rsid w:val="0068777C"/>
    <w:rPr>
      <w:rFonts w:eastAsia="MS Mincho"/>
      <w:lang w:eastAsia="ja-JP"/>
    </w:rPr>
  </w:style>
  <w:style w:type="paragraph" w:styleId="E-mailSignature">
    <w:name w:val="E-mail Signature"/>
    <w:basedOn w:val="Normal"/>
    <w:link w:val="E-mailSignatureChar"/>
    <w:uiPriority w:val="99"/>
    <w:semiHidden/>
    <w:rsid w:val="0068777C"/>
    <w:rPr>
      <w:rFonts w:eastAsia="MS Mincho"/>
      <w:sz w:val="20"/>
      <w:lang w:eastAsia="ja-JP"/>
    </w:rPr>
  </w:style>
  <w:style w:type="character" w:customStyle="1" w:styleId="E-mailSignatureChar1">
    <w:name w:val="E-mail Signature Char1"/>
    <w:uiPriority w:val="99"/>
    <w:semiHidden/>
    <w:rsid w:val="0068777C"/>
    <w:rPr>
      <w:sz w:val="22"/>
      <w:lang w:eastAsia="en-US"/>
    </w:rPr>
  </w:style>
  <w:style w:type="character" w:customStyle="1" w:styleId="HTMLAddressChar">
    <w:name w:val="HTML Address Char"/>
    <w:link w:val="HTMLAddress"/>
    <w:uiPriority w:val="99"/>
    <w:semiHidden/>
    <w:rsid w:val="0068777C"/>
    <w:rPr>
      <w:rFonts w:eastAsia="MS Mincho"/>
      <w:i/>
      <w:iCs/>
      <w:lang w:eastAsia="ja-JP"/>
    </w:rPr>
  </w:style>
  <w:style w:type="paragraph" w:styleId="HTMLAddress">
    <w:name w:val="HTML Address"/>
    <w:basedOn w:val="Normal"/>
    <w:link w:val="HTMLAddressChar"/>
    <w:uiPriority w:val="99"/>
    <w:semiHidden/>
    <w:rsid w:val="0068777C"/>
    <w:rPr>
      <w:rFonts w:eastAsia="MS Mincho"/>
      <w:i/>
      <w:iCs/>
      <w:sz w:val="20"/>
      <w:lang w:eastAsia="ja-JP"/>
    </w:rPr>
  </w:style>
  <w:style w:type="character" w:customStyle="1" w:styleId="HTMLAddressChar1">
    <w:name w:val="HTML Address Char1"/>
    <w:uiPriority w:val="99"/>
    <w:semiHidden/>
    <w:rsid w:val="0068777C"/>
    <w:rPr>
      <w:i/>
      <w:iCs/>
      <w:sz w:val="22"/>
      <w:lang w:eastAsia="en-US"/>
    </w:rPr>
  </w:style>
  <w:style w:type="character" w:customStyle="1" w:styleId="HTMLPreformattedChar">
    <w:name w:val="HTML Preformatted Char"/>
    <w:link w:val="HTMLPreformatted"/>
    <w:uiPriority w:val="99"/>
    <w:semiHidden/>
    <w:rsid w:val="0068777C"/>
    <w:rPr>
      <w:rFonts w:ascii="Consolas" w:eastAsia="MS Mincho" w:hAnsi="Consolas"/>
      <w:lang w:eastAsia="ja-JP"/>
    </w:rPr>
  </w:style>
  <w:style w:type="paragraph" w:styleId="HTMLPreformatted">
    <w:name w:val="HTML Preformatted"/>
    <w:basedOn w:val="Normal"/>
    <w:link w:val="HTMLPreformattedChar"/>
    <w:uiPriority w:val="99"/>
    <w:semiHidden/>
    <w:rsid w:val="0068777C"/>
    <w:rPr>
      <w:rFonts w:ascii="Consolas" w:eastAsia="MS Mincho" w:hAnsi="Consolas"/>
      <w:sz w:val="20"/>
      <w:lang w:eastAsia="ja-JP"/>
    </w:rPr>
  </w:style>
  <w:style w:type="character" w:customStyle="1" w:styleId="HTMLPreformattedChar1">
    <w:name w:val="HTML Preformatted Char1"/>
    <w:uiPriority w:val="99"/>
    <w:semiHidden/>
    <w:rsid w:val="0068777C"/>
    <w:rPr>
      <w:rFonts w:ascii="Courier New" w:hAnsi="Courier New" w:cs="Courier New"/>
      <w:lang w:eastAsia="en-US"/>
    </w:rPr>
  </w:style>
  <w:style w:type="character" w:customStyle="1" w:styleId="MacroTextChar">
    <w:name w:val="Macro Text Char"/>
    <w:link w:val="MacroText"/>
    <w:uiPriority w:val="99"/>
    <w:semiHidden/>
    <w:rsid w:val="0068777C"/>
    <w:rPr>
      <w:rFonts w:ascii="Consolas" w:hAnsi="Consolas"/>
    </w:rPr>
  </w:style>
  <w:style w:type="paragraph" w:styleId="MacroText">
    <w:name w:val="macro"/>
    <w:link w:val="MacroTextChar"/>
    <w:uiPriority w:val="99"/>
    <w:semiHidden/>
    <w:rsid w:val="0068777C"/>
    <w:pPr>
      <w:tabs>
        <w:tab w:val="left" w:pos="480"/>
        <w:tab w:val="left" w:pos="960"/>
        <w:tab w:val="left" w:pos="1440"/>
        <w:tab w:val="left" w:pos="1920"/>
        <w:tab w:val="left" w:pos="2400"/>
        <w:tab w:val="left" w:pos="2880"/>
        <w:tab w:val="left" w:pos="3360"/>
        <w:tab w:val="left" w:pos="3840"/>
        <w:tab w:val="left" w:pos="4320"/>
      </w:tabs>
      <w:jc w:val="both"/>
    </w:pPr>
    <w:rPr>
      <w:rFonts w:ascii="Consolas" w:hAnsi="Consolas"/>
    </w:rPr>
  </w:style>
  <w:style w:type="character" w:customStyle="1" w:styleId="MacroTextChar1">
    <w:name w:val="Macro Text Char1"/>
    <w:uiPriority w:val="99"/>
    <w:semiHidden/>
    <w:rsid w:val="0068777C"/>
    <w:rPr>
      <w:rFonts w:ascii="Courier New" w:hAnsi="Courier New" w:cs="Courier New"/>
      <w:lang w:eastAsia="en-US"/>
    </w:rPr>
  </w:style>
  <w:style w:type="character" w:customStyle="1" w:styleId="MessageHeaderChar">
    <w:name w:val="Message Header Char"/>
    <w:link w:val="MessageHeader"/>
    <w:uiPriority w:val="99"/>
    <w:semiHidden/>
    <w:rsid w:val="0068777C"/>
    <w:rPr>
      <w:rFonts w:ascii="Arial" w:eastAsia="MS Mincho" w:hAnsi="Arial"/>
      <w:sz w:val="24"/>
      <w:szCs w:val="24"/>
      <w:shd w:val="pct20" w:color="auto" w:fill="auto"/>
      <w:lang w:eastAsia="ja-JP"/>
    </w:rPr>
  </w:style>
  <w:style w:type="paragraph" w:styleId="MessageHeader">
    <w:name w:val="Message Header"/>
    <w:basedOn w:val="Normal"/>
    <w:link w:val="MessageHeaderChar"/>
    <w:uiPriority w:val="99"/>
    <w:semiHidden/>
    <w:rsid w:val="0068777C"/>
    <w:pPr>
      <w:pBdr>
        <w:top w:val="single" w:sz="6" w:space="1" w:color="auto"/>
        <w:left w:val="single" w:sz="6" w:space="1" w:color="auto"/>
        <w:bottom w:val="single" w:sz="6" w:space="1" w:color="auto"/>
        <w:right w:val="single" w:sz="6" w:space="1" w:color="auto"/>
      </w:pBdr>
      <w:shd w:val="pct20" w:color="auto" w:fill="auto"/>
      <w:ind w:left="1134" w:hanging="1134"/>
    </w:pPr>
    <w:rPr>
      <w:rFonts w:ascii="Arial" w:eastAsia="MS Mincho" w:hAnsi="Arial"/>
      <w:sz w:val="24"/>
      <w:szCs w:val="24"/>
      <w:lang w:eastAsia="ja-JP"/>
    </w:rPr>
  </w:style>
  <w:style w:type="character" w:customStyle="1" w:styleId="MessageHeaderChar1">
    <w:name w:val="Message Header Char1"/>
    <w:uiPriority w:val="99"/>
    <w:semiHidden/>
    <w:rsid w:val="0068777C"/>
    <w:rPr>
      <w:rFonts w:ascii="Calibri Light" w:eastAsia="Times New Roman" w:hAnsi="Calibri Light" w:cs="Times New Roman"/>
      <w:sz w:val="24"/>
      <w:szCs w:val="24"/>
      <w:shd w:val="pct20" w:color="auto" w:fill="auto"/>
      <w:lang w:eastAsia="en-US"/>
    </w:rPr>
  </w:style>
  <w:style w:type="character" w:customStyle="1" w:styleId="NoteHeadingChar">
    <w:name w:val="Note Heading Char"/>
    <w:link w:val="NoteHeading"/>
    <w:uiPriority w:val="99"/>
    <w:semiHidden/>
    <w:rsid w:val="0068777C"/>
    <w:rPr>
      <w:rFonts w:eastAsia="MS Mincho"/>
      <w:lang w:eastAsia="ja-JP"/>
    </w:rPr>
  </w:style>
  <w:style w:type="paragraph" w:styleId="NoteHeading">
    <w:name w:val="Note Heading"/>
    <w:basedOn w:val="Normal"/>
    <w:next w:val="Normal"/>
    <w:link w:val="NoteHeadingChar"/>
    <w:uiPriority w:val="99"/>
    <w:semiHidden/>
    <w:rsid w:val="0068777C"/>
    <w:rPr>
      <w:rFonts w:eastAsia="MS Mincho"/>
      <w:sz w:val="20"/>
      <w:lang w:eastAsia="ja-JP"/>
    </w:rPr>
  </w:style>
  <w:style w:type="character" w:customStyle="1" w:styleId="NoteHeadingChar1">
    <w:name w:val="Note Heading Char1"/>
    <w:uiPriority w:val="99"/>
    <w:semiHidden/>
    <w:rsid w:val="0068777C"/>
    <w:rPr>
      <w:sz w:val="22"/>
      <w:lang w:eastAsia="en-US"/>
    </w:rPr>
  </w:style>
  <w:style w:type="character" w:customStyle="1" w:styleId="SalutationChar">
    <w:name w:val="Salutation Char"/>
    <w:link w:val="Salutation"/>
    <w:uiPriority w:val="99"/>
    <w:semiHidden/>
    <w:rsid w:val="0068777C"/>
    <w:rPr>
      <w:rFonts w:eastAsia="MS Mincho"/>
      <w:lang w:eastAsia="ja-JP"/>
    </w:rPr>
  </w:style>
  <w:style w:type="paragraph" w:styleId="Salutation">
    <w:name w:val="Salutation"/>
    <w:basedOn w:val="Normal"/>
    <w:next w:val="Normal"/>
    <w:link w:val="SalutationChar"/>
    <w:uiPriority w:val="99"/>
    <w:semiHidden/>
    <w:rsid w:val="0068777C"/>
    <w:rPr>
      <w:rFonts w:eastAsia="MS Mincho"/>
      <w:sz w:val="20"/>
      <w:lang w:eastAsia="ja-JP"/>
    </w:rPr>
  </w:style>
  <w:style w:type="character" w:customStyle="1" w:styleId="SalutationChar1">
    <w:name w:val="Salutation Char1"/>
    <w:uiPriority w:val="99"/>
    <w:semiHidden/>
    <w:rsid w:val="0068777C"/>
    <w:rPr>
      <w:sz w:val="22"/>
      <w:lang w:eastAsia="en-US"/>
    </w:rPr>
  </w:style>
  <w:style w:type="character" w:customStyle="1" w:styleId="SignatureChar">
    <w:name w:val="Signature Char"/>
    <w:link w:val="Signature"/>
    <w:uiPriority w:val="99"/>
    <w:semiHidden/>
    <w:rsid w:val="0068777C"/>
    <w:rPr>
      <w:rFonts w:eastAsia="MS Mincho"/>
      <w:lang w:eastAsia="ja-JP"/>
    </w:rPr>
  </w:style>
  <w:style w:type="paragraph" w:styleId="Signature">
    <w:name w:val="Signature"/>
    <w:basedOn w:val="Normal"/>
    <w:link w:val="SignatureChar"/>
    <w:uiPriority w:val="99"/>
    <w:semiHidden/>
    <w:rsid w:val="0068777C"/>
    <w:pPr>
      <w:ind w:left="4252"/>
    </w:pPr>
    <w:rPr>
      <w:rFonts w:eastAsia="MS Mincho"/>
      <w:sz w:val="20"/>
      <w:lang w:eastAsia="ja-JP"/>
    </w:rPr>
  </w:style>
  <w:style w:type="character" w:customStyle="1" w:styleId="SignatureChar1">
    <w:name w:val="Signature Char1"/>
    <w:uiPriority w:val="99"/>
    <w:semiHidden/>
    <w:rsid w:val="0068777C"/>
    <w:rPr>
      <w:sz w:val="22"/>
      <w:lang w:eastAsia="en-US"/>
    </w:rPr>
  </w:style>
  <w:style w:type="table" w:customStyle="1" w:styleId="TableGrid1">
    <w:name w:val="Table Grid1"/>
    <w:basedOn w:val="TableNormal"/>
    <w:next w:val="TableGrid"/>
    <w:uiPriority w:val="59"/>
    <w:rsid w:val="0068777C"/>
    <w:rPr>
      <w:rFonts w:ascii="Calibri" w:eastAsia="Calibri" w:hAnsi="Calibri"/>
      <w: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rsid w:val="0068777C"/>
    <w:rPr>
      <w:rFonts w:ascii="Calibri" w:eastAsia="Calibri" w:hAnsi="Calibri"/>
      <w: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lockText">
    <w:name w:val="Block Text"/>
    <w:basedOn w:val="Normal"/>
    <w:uiPriority w:val="99"/>
    <w:semiHidden/>
    <w:unhideWhenUsed/>
    <w:rsid w:val="0068777C"/>
    <w:pPr>
      <w:pBdr>
        <w:top w:val="single" w:sz="2" w:space="10" w:color="4F81BD" w:shadow="1"/>
        <w:left w:val="single" w:sz="2" w:space="10" w:color="4F81BD" w:shadow="1"/>
        <w:bottom w:val="single" w:sz="2" w:space="10" w:color="4F81BD" w:shadow="1"/>
        <w:right w:val="single" w:sz="2" w:space="10" w:color="4F81BD" w:shadow="1"/>
      </w:pBdr>
      <w:spacing w:before="60" w:after="180"/>
      <w:ind w:left="1152" w:right="1152"/>
    </w:pPr>
    <w:rPr>
      <w:rFonts w:ascii="Arial" w:hAnsi="Arial"/>
      <w:i/>
      <w:iCs/>
      <w:color w:val="4F81BD"/>
    </w:rPr>
  </w:style>
  <w:style w:type="paragraph" w:styleId="EnvelopeAddress">
    <w:name w:val="envelope address"/>
    <w:basedOn w:val="Normal"/>
    <w:uiPriority w:val="99"/>
    <w:semiHidden/>
    <w:unhideWhenUsed/>
    <w:rsid w:val="0068777C"/>
    <w:pPr>
      <w:framePr w:w="7920" w:h="1980" w:hRule="exact" w:hSpace="180" w:wrap="auto" w:hAnchor="page" w:xAlign="center" w:yAlign="bottom"/>
      <w:spacing w:before="60" w:after="180"/>
      <w:ind w:left="2880"/>
    </w:pPr>
    <w:rPr>
      <w:rFonts w:ascii="Arial" w:hAnsi="Arial"/>
      <w:sz w:val="24"/>
      <w:szCs w:val="24"/>
    </w:rPr>
  </w:style>
  <w:style w:type="paragraph" w:styleId="EnvelopeReturn">
    <w:name w:val="envelope return"/>
    <w:basedOn w:val="Normal"/>
    <w:uiPriority w:val="99"/>
    <w:semiHidden/>
    <w:unhideWhenUsed/>
    <w:rsid w:val="0068777C"/>
    <w:pPr>
      <w:spacing w:before="60" w:after="180"/>
    </w:pPr>
    <w:rPr>
      <w:rFonts w:ascii="Arial" w:hAnsi="Arial"/>
      <w:sz w:val="20"/>
    </w:rPr>
  </w:style>
  <w:style w:type="paragraph" w:styleId="Index1">
    <w:name w:val="index 1"/>
    <w:basedOn w:val="Normal"/>
    <w:next w:val="Normal"/>
    <w:autoRedefine/>
    <w:uiPriority w:val="99"/>
    <w:semiHidden/>
    <w:unhideWhenUsed/>
    <w:rsid w:val="0068777C"/>
    <w:pPr>
      <w:spacing w:before="60" w:after="180"/>
      <w:ind w:left="220" w:hanging="220"/>
    </w:pPr>
  </w:style>
  <w:style w:type="paragraph" w:styleId="Index2">
    <w:name w:val="index 2"/>
    <w:basedOn w:val="Normal"/>
    <w:next w:val="Normal"/>
    <w:autoRedefine/>
    <w:uiPriority w:val="99"/>
    <w:semiHidden/>
    <w:unhideWhenUsed/>
    <w:rsid w:val="0068777C"/>
    <w:pPr>
      <w:spacing w:before="60" w:after="180"/>
      <w:ind w:left="440" w:hanging="220"/>
    </w:pPr>
  </w:style>
  <w:style w:type="paragraph" w:styleId="Index3">
    <w:name w:val="index 3"/>
    <w:basedOn w:val="Normal"/>
    <w:next w:val="Normal"/>
    <w:autoRedefine/>
    <w:uiPriority w:val="99"/>
    <w:semiHidden/>
    <w:unhideWhenUsed/>
    <w:rsid w:val="0068777C"/>
    <w:pPr>
      <w:spacing w:before="60" w:after="180"/>
      <w:ind w:left="660" w:hanging="220"/>
    </w:pPr>
  </w:style>
  <w:style w:type="paragraph" w:styleId="Index4">
    <w:name w:val="index 4"/>
    <w:basedOn w:val="Normal"/>
    <w:next w:val="Normal"/>
    <w:autoRedefine/>
    <w:uiPriority w:val="99"/>
    <w:semiHidden/>
    <w:unhideWhenUsed/>
    <w:rsid w:val="0068777C"/>
    <w:pPr>
      <w:spacing w:before="60" w:after="180"/>
      <w:ind w:left="880" w:hanging="220"/>
    </w:pPr>
  </w:style>
  <w:style w:type="paragraph" w:styleId="Index5">
    <w:name w:val="index 5"/>
    <w:basedOn w:val="Normal"/>
    <w:next w:val="Normal"/>
    <w:autoRedefine/>
    <w:uiPriority w:val="99"/>
    <w:semiHidden/>
    <w:unhideWhenUsed/>
    <w:rsid w:val="0068777C"/>
    <w:pPr>
      <w:spacing w:before="60" w:after="180"/>
      <w:ind w:left="1100" w:hanging="220"/>
    </w:pPr>
  </w:style>
  <w:style w:type="paragraph" w:styleId="Index6">
    <w:name w:val="index 6"/>
    <w:basedOn w:val="Normal"/>
    <w:next w:val="Normal"/>
    <w:autoRedefine/>
    <w:uiPriority w:val="99"/>
    <w:semiHidden/>
    <w:unhideWhenUsed/>
    <w:rsid w:val="0068777C"/>
    <w:pPr>
      <w:spacing w:before="60" w:after="180"/>
      <w:ind w:left="1320" w:hanging="220"/>
    </w:pPr>
  </w:style>
  <w:style w:type="paragraph" w:styleId="Index7">
    <w:name w:val="index 7"/>
    <w:basedOn w:val="Normal"/>
    <w:next w:val="Normal"/>
    <w:autoRedefine/>
    <w:uiPriority w:val="99"/>
    <w:semiHidden/>
    <w:unhideWhenUsed/>
    <w:rsid w:val="0068777C"/>
    <w:pPr>
      <w:spacing w:before="60" w:after="180"/>
      <w:ind w:left="1540" w:hanging="220"/>
    </w:pPr>
  </w:style>
  <w:style w:type="paragraph" w:styleId="Index8">
    <w:name w:val="index 8"/>
    <w:basedOn w:val="Normal"/>
    <w:next w:val="Normal"/>
    <w:autoRedefine/>
    <w:uiPriority w:val="99"/>
    <w:semiHidden/>
    <w:unhideWhenUsed/>
    <w:rsid w:val="0068777C"/>
    <w:pPr>
      <w:spacing w:before="60" w:after="180"/>
      <w:ind w:left="1760" w:hanging="220"/>
    </w:pPr>
  </w:style>
  <w:style w:type="paragraph" w:styleId="Index9">
    <w:name w:val="index 9"/>
    <w:basedOn w:val="Normal"/>
    <w:next w:val="Normal"/>
    <w:autoRedefine/>
    <w:uiPriority w:val="99"/>
    <w:semiHidden/>
    <w:unhideWhenUsed/>
    <w:rsid w:val="0068777C"/>
    <w:pPr>
      <w:spacing w:before="60" w:after="180"/>
      <w:ind w:left="1980" w:hanging="220"/>
    </w:pPr>
  </w:style>
  <w:style w:type="paragraph" w:styleId="IndexHeading">
    <w:name w:val="index heading"/>
    <w:basedOn w:val="Normal"/>
    <w:next w:val="Index1"/>
    <w:uiPriority w:val="99"/>
    <w:semiHidden/>
    <w:unhideWhenUsed/>
    <w:rsid w:val="0068777C"/>
    <w:pPr>
      <w:spacing w:before="60" w:after="180"/>
    </w:pPr>
    <w:rPr>
      <w:rFonts w:ascii="Arial" w:hAnsi="Arial"/>
      <w:b/>
      <w:bCs/>
    </w:rPr>
  </w:style>
  <w:style w:type="paragraph" w:styleId="List2">
    <w:name w:val="List 2"/>
    <w:basedOn w:val="Normal"/>
    <w:uiPriority w:val="99"/>
    <w:semiHidden/>
    <w:unhideWhenUsed/>
    <w:rsid w:val="0068777C"/>
    <w:pPr>
      <w:spacing w:before="60" w:after="180"/>
      <w:ind w:left="566" w:hanging="283"/>
      <w:contextualSpacing/>
    </w:pPr>
  </w:style>
  <w:style w:type="paragraph" w:styleId="List3">
    <w:name w:val="List 3"/>
    <w:basedOn w:val="Normal"/>
    <w:uiPriority w:val="99"/>
    <w:semiHidden/>
    <w:unhideWhenUsed/>
    <w:rsid w:val="0068777C"/>
    <w:pPr>
      <w:spacing w:before="60" w:after="180"/>
      <w:ind w:left="849" w:hanging="283"/>
      <w:contextualSpacing/>
    </w:pPr>
  </w:style>
  <w:style w:type="paragraph" w:styleId="List4">
    <w:name w:val="List 4"/>
    <w:basedOn w:val="Normal"/>
    <w:uiPriority w:val="99"/>
    <w:semiHidden/>
    <w:unhideWhenUsed/>
    <w:rsid w:val="0068777C"/>
    <w:pPr>
      <w:spacing w:before="60" w:after="180"/>
      <w:ind w:left="1132" w:hanging="283"/>
      <w:contextualSpacing/>
    </w:pPr>
  </w:style>
  <w:style w:type="paragraph" w:styleId="List5">
    <w:name w:val="List 5"/>
    <w:basedOn w:val="Normal"/>
    <w:uiPriority w:val="99"/>
    <w:semiHidden/>
    <w:unhideWhenUsed/>
    <w:rsid w:val="0068777C"/>
    <w:pPr>
      <w:spacing w:before="60" w:after="180"/>
      <w:ind w:left="1415" w:hanging="283"/>
      <w:contextualSpacing/>
    </w:pPr>
  </w:style>
  <w:style w:type="paragraph" w:styleId="ListContinue">
    <w:name w:val="List Continue"/>
    <w:basedOn w:val="Normal"/>
    <w:uiPriority w:val="99"/>
    <w:semiHidden/>
    <w:unhideWhenUsed/>
    <w:rsid w:val="0068777C"/>
    <w:pPr>
      <w:spacing w:before="60" w:after="120"/>
      <w:ind w:left="283"/>
      <w:contextualSpacing/>
    </w:pPr>
  </w:style>
  <w:style w:type="paragraph" w:styleId="ListContinue2">
    <w:name w:val="List Continue 2"/>
    <w:basedOn w:val="Normal"/>
    <w:uiPriority w:val="99"/>
    <w:semiHidden/>
    <w:unhideWhenUsed/>
    <w:rsid w:val="0068777C"/>
    <w:pPr>
      <w:spacing w:before="60" w:after="120"/>
      <w:ind w:left="566"/>
      <w:contextualSpacing/>
    </w:pPr>
  </w:style>
  <w:style w:type="paragraph" w:styleId="ListContinue3">
    <w:name w:val="List Continue 3"/>
    <w:basedOn w:val="Normal"/>
    <w:uiPriority w:val="99"/>
    <w:semiHidden/>
    <w:unhideWhenUsed/>
    <w:rsid w:val="0068777C"/>
    <w:pPr>
      <w:spacing w:before="60" w:after="120"/>
      <w:ind w:left="849"/>
      <w:contextualSpacing/>
    </w:pPr>
  </w:style>
  <w:style w:type="paragraph" w:styleId="ListContinue4">
    <w:name w:val="List Continue 4"/>
    <w:basedOn w:val="Normal"/>
    <w:uiPriority w:val="99"/>
    <w:semiHidden/>
    <w:unhideWhenUsed/>
    <w:rsid w:val="0068777C"/>
    <w:pPr>
      <w:spacing w:before="60" w:after="120"/>
      <w:ind w:left="1132"/>
      <w:contextualSpacing/>
    </w:pPr>
  </w:style>
  <w:style w:type="paragraph" w:styleId="ListContinue5">
    <w:name w:val="List Continue 5"/>
    <w:basedOn w:val="Normal"/>
    <w:uiPriority w:val="99"/>
    <w:semiHidden/>
    <w:unhideWhenUsed/>
    <w:rsid w:val="0068777C"/>
    <w:pPr>
      <w:spacing w:before="60" w:after="120"/>
      <w:ind w:left="1415"/>
      <w:contextualSpacing/>
    </w:pPr>
  </w:style>
  <w:style w:type="paragraph" w:styleId="ListNumber">
    <w:name w:val="List Number"/>
    <w:basedOn w:val="Normal"/>
    <w:uiPriority w:val="99"/>
    <w:semiHidden/>
    <w:unhideWhenUsed/>
    <w:rsid w:val="0068777C"/>
    <w:pPr>
      <w:tabs>
        <w:tab w:val="num" w:pos="360"/>
      </w:tabs>
      <w:spacing w:before="60" w:after="180"/>
      <w:ind w:left="360" w:hanging="360"/>
      <w:contextualSpacing/>
    </w:pPr>
  </w:style>
  <w:style w:type="paragraph" w:styleId="ListNumber2">
    <w:name w:val="List Number 2"/>
    <w:basedOn w:val="Normal"/>
    <w:uiPriority w:val="99"/>
    <w:semiHidden/>
    <w:unhideWhenUsed/>
    <w:rsid w:val="0068777C"/>
    <w:pPr>
      <w:tabs>
        <w:tab w:val="num" w:pos="643"/>
      </w:tabs>
      <w:spacing w:before="60" w:after="180"/>
      <w:ind w:left="643" w:hanging="360"/>
      <w:contextualSpacing/>
    </w:pPr>
  </w:style>
  <w:style w:type="paragraph" w:styleId="ListNumber3">
    <w:name w:val="List Number 3"/>
    <w:basedOn w:val="Normal"/>
    <w:uiPriority w:val="99"/>
    <w:semiHidden/>
    <w:unhideWhenUsed/>
    <w:rsid w:val="0068777C"/>
    <w:pPr>
      <w:tabs>
        <w:tab w:val="num" w:pos="926"/>
      </w:tabs>
      <w:spacing w:before="60" w:after="180"/>
      <w:ind w:left="926" w:hanging="360"/>
      <w:contextualSpacing/>
    </w:pPr>
  </w:style>
  <w:style w:type="paragraph" w:styleId="ListNumber4">
    <w:name w:val="List Number 4"/>
    <w:basedOn w:val="Normal"/>
    <w:uiPriority w:val="99"/>
    <w:semiHidden/>
    <w:unhideWhenUsed/>
    <w:rsid w:val="0068777C"/>
    <w:pPr>
      <w:numPr>
        <w:numId w:val="23"/>
      </w:numPr>
      <w:spacing w:before="60" w:after="180"/>
      <w:contextualSpacing/>
    </w:pPr>
  </w:style>
  <w:style w:type="paragraph" w:styleId="ListNumber5">
    <w:name w:val="List Number 5"/>
    <w:basedOn w:val="Normal"/>
    <w:uiPriority w:val="99"/>
    <w:semiHidden/>
    <w:unhideWhenUsed/>
    <w:rsid w:val="0068777C"/>
    <w:pPr>
      <w:numPr>
        <w:numId w:val="24"/>
      </w:numPr>
      <w:spacing w:before="60" w:after="180"/>
      <w:contextualSpacing/>
    </w:pPr>
  </w:style>
  <w:style w:type="paragraph" w:styleId="TableofAuthorities">
    <w:name w:val="table of authorities"/>
    <w:basedOn w:val="Normal"/>
    <w:next w:val="Normal"/>
    <w:uiPriority w:val="99"/>
    <w:semiHidden/>
    <w:unhideWhenUsed/>
    <w:rsid w:val="0068777C"/>
    <w:pPr>
      <w:spacing w:before="60" w:after="180"/>
      <w:ind w:left="220" w:hanging="220"/>
    </w:pPr>
  </w:style>
  <w:style w:type="paragraph" w:styleId="TOAHeading">
    <w:name w:val="toa heading"/>
    <w:basedOn w:val="Normal"/>
    <w:next w:val="Normal"/>
    <w:uiPriority w:val="99"/>
    <w:semiHidden/>
    <w:rsid w:val="0068777C"/>
    <w:pPr>
      <w:spacing w:before="120" w:after="180"/>
    </w:pPr>
    <w:rPr>
      <w:rFonts w:ascii="Arial" w:hAnsi="Arial"/>
      <w:b/>
      <w:bCs/>
      <w:sz w:val="24"/>
      <w:szCs w:val="24"/>
    </w:rPr>
  </w:style>
  <w:style w:type="paragraph" w:customStyle="1" w:styleId="Headline">
    <w:name w:val="Headline"/>
    <w:basedOn w:val="Normal"/>
    <w:next w:val="Normal"/>
    <w:semiHidden/>
    <w:rsid w:val="0068777C"/>
    <w:pPr>
      <w:spacing w:before="60" w:after="180"/>
    </w:pPr>
    <w:rPr>
      <w:b/>
      <w:sz w:val="48"/>
    </w:rPr>
  </w:style>
  <w:style w:type="paragraph" w:customStyle="1" w:styleId="Bulletindent">
    <w:name w:val="Bullet indent"/>
    <w:basedOn w:val="Bullet"/>
    <w:next w:val="BodyText"/>
    <w:semiHidden/>
    <w:qFormat/>
    <w:rsid w:val="0068777C"/>
    <w:pPr>
      <w:numPr>
        <w:numId w:val="0"/>
      </w:numPr>
      <w:tabs>
        <w:tab w:val="left" w:pos="794"/>
      </w:tabs>
      <w:ind w:left="794" w:hanging="397"/>
    </w:pPr>
  </w:style>
  <w:style w:type="paragraph" w:customStyle="1" w:styleId="Acknowledgements">
    <w:name w:val="Acknowledgements"/>
    <w:basedOn w:val="Normal"/>
    <w:semiHidden/>
    <w:rsid w:val="0068777C"/>
    <w:pPr>
      <w:spacing w:before="60" w:after="60"/>
      <w:jc w:val="left"/>
    </w:pPr>
  </w:style>
  <w:style w:type="paragraph" w:customStyle="1" w:styleId="Acknowledgementsbolditalics">
    <w:name w:val="Acknowledgements bold italics"/>
    <w:basedOn w:val="Normal"/>
    <w:semiHidden/>
    <w:rsid w:val="0068777C"/>
    <w:pPr>
      <w:spacing w:before="160"/>
      <w:jc w:val="left"/>
    </w:pPr>
    <w:rPr>
      <w:b/>
      <w:i/>
    </w:rPr>
  </w:style>
  <w:style w:type="numbering" w:customStyle="1" w:styleId="NoList1">
    <w:name w:val="No List1"/>
    <w:next w:val="NoList"/>
    <w:uiPriority w:val="99"/>
    <w:semiHidden/>
    <w:unhideWhenUsed/>
    <w:rsid w:val="0068777C"/>
  </w:style>
  <w:style w:type="character" w:customStyle="1" w:styleId="PlainTextChar">
    <w:name w:val="Plain Text Char"/>
    <w:aliases w:val=" Char2 Char,Char2 Char"/>
    <w:link w:val="PlainText"/>
    <w:uiPriority w:val="99"/>
    <w:semiHidden/>
    <w:rsid w:val="0068777C"/>
    <w:rPr>
      <w:rFonts w:ascii="Verdana" w:hAnsi="Verdana"/>
      <w:szCs w:val="21"/>
    </w:rPr>
  </w:style>
  <w:style w:type="paragraph" w:styleId="PlainText">
    <w:name w:val="Plain Text"/>
    <w:aliases w:val=" Char2,Char2"/>
    <w:basedOn w:val="Normal"/>
    <w:link w:val="PlainTextChar"/>
    <w:uiPriority w:val="99"/>
    <w:semiHidden/>
    <w:rsid w:val="0068777C"/>
    <w:pPr>
      <w:spacing w:after="120"/>
      <w:jc w:val="left"/>
    </w:pPr>
    <w:rPr>
      <w:rFonts w:ascii="Verdana" w:hAnsi="Verdana"/>
      <w:sz w:val="20"/>
      <w:szCs w:val="21"/>
      <w:lang w:eastAsia="en-NZ"/>
    </w:rPr>
  </w:style>
  <w:style w:type="character" w:customStyle="1" w:styleId="PlainTextChar2">
    <w:name w:val="Plain Text Char2"/>
    <w:uiPriority w:val="99"/>
    <w:semiHidden/>
    <w:rsid w:val="0068777C"/>
    <w:rPr>
      <w:rFonts w:ascii="Courier New" w:hAnsi="Courier New" w:cs="Courier New"/>
      <w:lang w:eastAsia="en-US"/>
    </w:rPr>
  </w:style>
  <w:style w:type="paragraph" w:customStyle="1" w:styleId="Bulletfirst">
    <w:name w:val="Bullet first"/>
    <w:basedOn w:val="Bullet"/>
    <w:semiHidden/>
    <w:qFormat/>
    <w:rsid w:val="0068777C"/>
    <w:pPr>
      <w:numPr>
        <w:numId w:val="0"/>
      </w:numPr>
      <w:ind w:left="851" w:hanging="284"/>
    </w:pPr>
  </w:style>
  <w:style w:type="paragraph" w:customStyle="1" w:styleId="Bulletlast">
    <w:name w:val="Bullet last"/>
    <w:basedOn w:val="Bullet"/>
    <w:semiHidden/>
    <w:qFormat/>
    <w:rsid w:val="0068777C"/>
    <w:pPr>
      <w:numPr>
        <w:numId w:val="0"/>
      </w:numPr>
      <w:ind w:left="397" w:hanging="397"/>
    </w:pPr>
  </w:style>
  <w:style w:type="numbering" w:customStyle="1" w:styleId="Annex">
    <w:name w:val="Annex"/>
    <w:uiPriority w:val="99"/>
    <w:rsid w:val="0068777C"/>
    <w:pPr>
      <w:numPr>
        <w:numId w:val="25"/>
      </w:numPr>
    </w:pPr>
  </w:style>
  <w:style w:type="paragraph" w:customStyle="1" w:styleId="Contentssubhead">
    <w:name w:val="Contents subhead"/>
    <w:basedOn w:val="ContentsHeading"/>
    <w:uiPriority w:val="2"/>
    <w:semiHidden/>
    <w:qFormat/>
    <w:rsid w:val="0068777C"/>
    <w:pPr>
      <w:pBdr>
        <w:bottom w:val="none" w:sz="0" w:space="0" w:color="auto"/>
      </w:pBdr>
    </w:pPr>
    <w:rPr>
      <w:b/>
      <w:sz w:val="40"/>
    </w:rPr>
  </w:style>
  <w:style w:type="character" w:styleId="EndnoteReference">
    <w:name w:val="endnote reference"/>
    <w:uiPriority w:val="99"/>
    <w:semiHidden/>
    <w:unhideWhenUsed/>
    <w:rsid w:val="0068777C"/>
    <w:rPr>
      <w:vertAlign w:val="superscript"/>
    </w:rPr>
  </w:style>
  <w:style w:type="character" w:customStyle="1" w:styleId="NIRTitleChar">
    <w:name w:val="NIR Title Char"/>
    <w:link w:val="NIRTitle"/>
    <w:semiHidden/>
    <w:locked/>
    <w:rsid w:val="0068777C"/>
    <w:rPr>
      <w:rFonts w:ascii="Cambria" w:hAnsi="Cambria"/>
      <w:color w:val="17365D"/>
      <w:spacing w:val="5"/>
      <w:kern w:val="28"/>
      <w:sz w:val="52"/>
      <w:szCs w:val="52"/>
    </w:rPr>
  </w:style>
  <w:style w:type="paragraph" w:customStyle="1" w:styleId="NIRTitle">
    <w:name w:val="NIR Title"/>
    <w:basedOn w:val="Title"/>
    <w:link w:val="NIRTitleChar"/>
    <w:semiHidden/>
    <w:qFormat/>
    <w:rsid w:val="0068777C"/>
    <w:pPr>
      <w:pBdr>
        <w:bottom w:val="single" w:sz="8" w:space="4" w:color="4F81BD"/>
      </w:pBdr>
      <w:spacing w:after="300" w:line="240" w:lineRule="auto"/>
      <w:contextualSpacing/>
      <w:jc w:val="both"/>
    </w:pPr>
    <w:rPr>
      <w:rFonts w:ascii="Cambria" w:hAnsi="Cambria"/>
      <w:b w:val="0"/>
      <w:color w:val="17365D"/>
      <w:spacing w:val="5"/>
      <w:kern w:val="28"/>
      <w:sz w:val="52"/>
      <w:szCs w:val="52"/>
      <w:lang w:eastAsia="en-NZ"/>
    </w:rPr>
  </w:style>
  <w:style w:type="table" w:styleId="ColorfulList-Accent6">
    <w:name w:val="Colorful List Accent 6"/>
    <w:basedOn w:val="TableNormal"/>
    <w:uiPriority w:val="72"/>
    <w:rsid w:val="0068777C"/>
    <w:rPr>
      <w:rFonts w:ascii="Arial" w:hAnsi="Arial"/>
      <w:color w:val="000000"/>
      <w:sz w:val="16"/>
    </w:rPr>
    <w:tblPr>
      <w:tblStyleRowBandSize w:val="1"/>
      <w:tblStyleColBandSize w:val="1"/>
    </w:tblPr>
    <w:tcPr>
      <w:shd w:val="clear" w:color="auto" w:fill="FFFFFF"/>
    </w:tcPr>
    <w:tblStylePr w:type="firstRow">
      <w:rPr>
        <w:b/>
        <w:bCs/>
        <w:color w:val="FFFFFF"/>
      </w:rPr>
      <w:tblPr/>
      <w:tcPr>
        <w:tcBorders>
          <w:bottom w:val="single" w:sz="12" w:space="0" w:color="FFFFFF"/>
        </w:tcBorders>
        <w:shd w:val="clear" w:color="auto" w:fill="348DA5"/>
      </w:tcPr>
    </w:tblStylePr>
    <w:tblStylePr w:type="lastRow">
      <w:rPr>
        <w:b/>
        <w:bCs/>
        <w:color w:val="348DA5"/>
      </w:rPr>
      <w:tblPr/>
      <w:tcPr>
        <w:tcBorders>
          <w:top w:val="single" w:sz="12" w:space="0" w:color="000000"/>
        </w:tcBorders>
        <w:shd w:val="clear" w:color="auto" w:fill="FFFFFF"/>
      </w:tcPr>
    </w:tblStylePr>
    <w:tblStylePr w:type="firstCol">
      <w:rPr>
        <w:rFonts w:ascii="Arial" w:hAnsi="Arial"/>
        <w:b w:val="0"/>
        <w:bCs/>
        <w:sz w:val="16"/>
      </w:rPr>
    </w:tblStylePr>
    <w:tblStylePr w:type="lastCol">
      <w:rPr>
        <w:rFonts w:ascii="Arial" w:hAnsi="Arial"/>
        <w:b w:val="0"/>
        <w:bCs/>
        <w:sz w:val="16"/>
      </w:rPr>
      <w:tblPr/>
      <w:tcPr>
        <w:tcBorders>
          <w:insideH w:val="nil"/>
        </w:tcBorders>
        <w:shd w:val="clear" w:color="auto" w:fill="FFFFFF"/>
      </w:tcPr>
    </w:tblStylePr>
    <w:tblStylePr w:type="band1Horz">
      <w:tblPr/>
      <w:tcPr>
        <w:shd w:val="clear" w:color="auto" w:fill="FFFFFF"/>
      </w:tcPr>
    </w:tblStylePr>
    <w:tblStylePr w:type="band2Horz">
      <w:tblPr/>
      <w:tcPr>
        <w:shd w:val="clear" w:color="auto" w:fill="FFFFFF"/>
      </w:tcPr>
    </w:tblStylePr>
  </w:style>
  <w:style w:type="table" w:styleId="LightList-Accent5">
    <w:name w:val="Light List Accent 5"/>
    <w:basedOn w:val="TableNormal"/>
    <w:uiPriority w:val="61"/>
    <w:rsid w:val="0068777C"/>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numbering" w:customStyle="1" w:styleId="Annex1">
    <w:name w:val="Annex1"/>
    <w:uiPriority w:val="99"/>
    <w:rsid w:val="0068777C"/>
  </w:style>
  <w:style w:type="numbering" w:customStyle="1" w:styleId="Annex11">
    <w:name w:val="Annex11"/>
    <w:uiPriority w:val="99"/>
    <w:rsid w:val="0068777C"/>
  </w:style>
  <w:style w:type="numbering" w:customStyle="1" w:styleId="NoList2">
    <w:name w:val="No List2"/>
    <w:next w:val="NoList"/>
    <w:uiPriority w:val="99"/>
    <w:semiHidden/>
    <w:unhideWhenUsed/>
    <w:rsid w:val="0068777C"/>
  </w:style>
  <w:style w:type="table" w:customStyle="1" w:styleId="TableGrid3">
    <w:name w:val="Table Grid3"/>
    <w:basedOn w:val="TableNormal"/>
    <w:next w:val="TableGrid"/>
    <w:uiPriority w:val="59"/>
    <w:rsid w:val="0068777C"/>
    <w:pPr>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3Deffects31">
    <w:name w:val="Table 3D effects 31"/>
    <w:basedOn w:val="TableNormal"/>
    <w:next w:val="Table3Deffects3"/>
    <w:rsid w:val="0068777C"/>
    <w:rPr>
      <w:i/>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LightList-Accent12">
    <w:name w:val="Light List - Accent 12"/>
    <w:basedOn w:val="TableNormal"/>
    <w:next w:val="LightList-Accent1"/>
    <w:uiPriority w:val="61"/>
    <w:rsid w:val="0068777C"/>
    <w:pPr>
      <w:jc w:val="right"/>
    </w:pPr>
    <w:rPr>
      <w:rFonts w:ascii="Arial" w:hAnsi="Arial"/>
      <w:szCs w:val="22"/>
      <w:lang w:eastAsia="en-US"/>
    </w:rPr>
    <w:tblPr>
      <w:tblStyleRowBandSize w:val="1"/>
      <w:tblStyleColBandSize w:val="1"/>
      <w:tblBorders>
        <w:top w:val="single" w:sz="8" w:space="0" w:color="1F497D"/>
        <w:bottom w:val="single" w:sz="8" w:space="0" w:color="1F497D"/>
        <w:insideH w:val="single" w:sz="8" w:space="0" w:color="1F497D"/>
      </w:tblBorders>
    </w:tblPr>
    <w:tcPr>
      <w:vAlign w:val="center"/>
    </w:tc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MediumShading1-Accent11">
    <w:name w:val="Medium Shading 1 - Accent 11"/>
    <w:basedOn w:val="TableProfessional"/>
    <w:next w:val="MediumShading1-Accent1"/>
    <w:uiPriority w:val="63"/>
    <w:rsid w:val="0068777C"/>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insideV w:val="none" w:sz="0" w:space="0" w:color="auto"/>
      </w:tblBorders>
    </w:tblPr>
    <w:tcPr>
      <w:shd w:val="clear" w:color="auto" w:fill="auto"/>
    </w:tc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l2br w:val="none" w:sz="0" w:space="0" w:color="auto"/>
          <w:tr2bl w:val="none" w:sz="0" w:space="0" w:color="auto"/>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TableProfessional1">
    <w:name w:val="Table Professional1"/>
    <w:basedOn w:val="TableNormal"/>
    <w:next w:val="TableProfessional"/>
    <w:uiPriority w:val="99"/>
    <w:semiHidden/>
    <w:unhideWhenUsed/>
    <w:rsid w:val="0068777C"/>
    <w:pPr>
      <w:spacing w:after="120"/>
      <w:jc w:val="both"/>
    </w:pPr>
    <w:rPr>
      <w:rFonts w:ascii="Arial" w:hAnsi="Arial"/>
      <w:sz w:val="22"/>
      <w:szCs w:val="22"/>
      <w:lang w:eastAsia="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LightList-Accent111">
    <w:name w:val="Light List - Accent 111"/>
    <w:basedOn w:val="TableNormal"/>
    <w:next w:val="LightList-Accent1"/>
    <w:uiPriority w:val="61"/>
    <w:rsid w:val="0068777C"/>
    <w:rPr>
      <w:rFonts w:ascii="Calibri" w:eastAsia="Arial" w:hAnsi="Calibri"/>
      <w:sz w:val="16"/>
      <w:szCs w:val="22"/>
      <w:lang w:eastAsia="en-US"/>
    </w:rPr>
    <w:tblPr>
      <w:tblStyleRowBandSize w:val="1"/>
      <w:tblStyleColBandSize w:val="1"/>
      <w:tblBorders>
        <w:top w:val="single" w:sz="8" w:space="0" w:color="365F91"/>
        <w:left w:val="single" w:sz="8" w:space="0" w:color="365F91"/>
        <w:bottom w:val="single" w:sz="8" w:space="0" w:color="365F91"/>
        <w:right w:val="single" w:sz="8" w:space="0" w:color="365F91"/>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TableGrid11">
    <w:name w:val="Table Grid11"/>
    <w:basedOn w:val="TableNormal"/>
    <w:next w:val="TableGrid"/>
    <w:uiPriority w:val="59"/>
    <w:rsid w:val="0068777C"/>
    <w:rPr>
      <w:rFonts w:ascii="Calibri" w:eastAsia="Calibri" w:hAnsi="Calibri"/>
      <w: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next w:val="TableGrid"/>
    <w:uiPriority w:val="59"/>
    <w:rsid w:val="0068777C"/>
    <w:rPr>
      <w:rFonts w:ascii="Calibri" w:eastAsia="Calibri" w:hAnsi="Calibri"/>
      <w: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
    <w:name w:val="No List11"/>
    <w:next w:val="NoList"/>
    <w:uiPriority w:val="99"/>
    <w:semiHidden/>
    <w:unhideWhenUsed/>
    <w:rsid w:val="0068777C"/>
  </w:style>
  <w:style w:type="character" w:styleId="BookTitle">
    <w:name w:val="Book Title"/>
    <w:uiPriority w:val="33"/>
    <w:semiHidden/>
    <w:qFormat/>
    <w:rsid w:val="0068777C"/>
    <w:rPr>
      <w:b/>
      <w:bCs/>
      <w:smallCaps/>
      <w:spacing w:val="5"/>
    </w:rPr>
  </w:style>
  <w:style w:type="paragraph" w:customStyle="1" w:styleId="Boxa">
    <w:name w:val="Box a"/>
    <w:aliases w:val="b list"/>
    <w:basedOn w:val="Normal"/>
    <w:semiHidden/>
    <w:qFormat/>
    <w:rsid w:val="0068777C"/>
    <w:pPr>
      <w:numPr>
        <w:ilvl w:val="1"/>
        <w:numId w:val="26"/>
      </w:numPr>
      <w:pBdr>
        <w:top w:val="single" w:sz="6" w:space="15" w:color="0092CF"/>
        <w:left w:val="single" w:sz="6" w:space="15" w:color="0092CF"/>
        <w:bottom w:val="single" w:sz="6" w:space="15" w:color="0092CF"/>
        <w:right w:val="single" w:sz="6" w:space="15" w:color="0092CF"/>
      </w:pBdr>
      <w:tabs>
        <w:tab w:val="left" w:pos="426"/>
      </w:tabs>
      <w:spacing w:before="120" w:line="280" w:lineRule="atLeast"/>
      <w:ind w:right="284"/>
      <w:jc w:val="left"/>
    </w:pPr>
    <w:rPr>
      <w:rFonts w:ascii="Calibri" w:hAnsi="Calibri"/>
      <w:color w:val="0092CF"/>
      <w:sz w:val="20"/>
      <w:lang w:eastAsia="en-NZ"/>
    </w:rPr>
  </w:style>
  <w:style w:type="table" w:styleId="LightShading-Accent1">
    <w:name w:val="Light Shading Accent 1"/>
    <w:basedOn w:val="TableNormal"/>
    <w:uiPriority w:val="60"/>
    <w:rsid w:val="0068777C"/>
    <w:pPr>
      <w:jc w:val="both"/>
    </w:pPr>
    <w:rPr>
      <w:rFonts w:ascii="Calibri" w:eastAsia="Calibri" w:hAnsi="Calibri"/>
      <w:color w:val="365F91"/>
      <w:sz w:val="22"/>
      <w:szCs w:val="22"/>
      <w:lang w:eastAsia="en-US"/>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paragraph" w:customStyle="1" w:styleId="TableTextbold0">
    <w:name w:val="TableText bold"/>
    <w:basedOn w:val="Normal"/>
    <w:next w:val="Normal"/>
    <w:link w:val="TableTextboldChar0"/>
    <w:qFormat/>
    <w:rsid w:val="0068777C"/>
    <w:pPr>
      <w:spacing w:before="50" w:after="50"/>
      <w:jc w:val="left"/>
    </w:pPr>
    <w:rPr>
      <w:rFonts w:ascii="Arial" w:hAnsi="Arial"/>
      <w:b/>
      <w:sz w:val="16"/>
      <w:szCs w:val="22"/>
    </w:rPr>
  </w:style>
  <w:style w:type="character" w:customStyle="1" w:styleId="TableTextboldChar0">
    <w:name w:val="TableText bold Char"/>
    <w:link w:val="TableTextbold0"/>
    <w:rsid w:val="0068777C"/>
    <w:rPr>
      <w:rFonts w:ascii="Arial" w:hAnsi="Arial"/>
      <w:b/>
      <w:sz w:val="16"/>
      <w:szCs w:val="22"/>
      <w:lang w:eastAsia="en-US"/>
    </w:rPr>
  </w:style>
  <w:style w:type="paragraph" w:customStyle="1" w:styleId="OddFooter">
    <w:name w:val="Odd Footer"/>
    <w:basedOn w:val="Normal"/>
    <w:next w:val="Normal"/>
    <w:rsid w:val="00005A00"/>
    <w:pPr>
      <w:pBdr>
        <w:top w:val="single" w:sz="4" w:space="4" w:color="auto"/>
      </w:pBdr>
      <w:tabs>
        <w:tab w:val="right" w:pos="7655"/>
        <w:tab w:val="right" w:pos="8505"/>
      </w:tabs>
      <w:jc w:val="left"/>
    </w:pPr>
    <w:rPr>
      <w:rFonts w:ascii="Arial" w:hAnsi="Arial"/>
      <w:sz w:val="16"/>
    </w:rPr>
  </w:style>
  <w:style w:type="table" w:styleId="ListTable3-Accent1">
    <w:name w:val="List Table 3 Accent 1"/>
    <w:basedOn w:val="TableNormal"/>
    <w:uiPriority w:val="48"/>
    <w:rsid w:val="00FB33C6"/>
    <w:pPr>
      <w:spacing w:before="120"/>
      <w:jc w:val="both"/>
    </w:pPr>
    <w:rPr>
      <w:rFonts w:ascii="Calibri" w:eastAsia="Calibri" w:hAnsi="Calibri"/>
      <w:sz w:val="22"/>
      <w:szCs w:val="22"/>
      <w:lang w:eastAsia="en-US"/>
    </w:rPr>
    <w:tblPr>
      <w:tblStyleRowBandSize w:val="1"/>
      <w:tblStyleColBandSize w:val="1"/>
      <w:tblBorders>
        <w:top w:val="single" w:sz="4" w:space="0" w:color="4F81BD"/>
        <w:left w:val="single" w:sz="4" w:space="0" w:color="4F81BD"/>
        <w:bottom w:val="single" w:sz="4" w:space="0" w:color="4F81BD"/>
        <w:right w:val="single" w:sz="4" w:space="0" w:color="4F81BD"/>
      </w:tblBorders>
    </w:tblPr>
    <w:tblStylePr w:type="firstRow">
      <w:rPr>
        <w:b/>
        <w:bCs/>
        <w:color w:val="FFFFFF"/>
      </w:rPr>
      <w:tblPr/>
      <w:tcPr>
        <w:shd w:val="clear" w:color="auto" w:fill="4F81BD"/>
      </w:tcPr>
    </w:tblStylePr>
    <w:tblStylePr w:type="lastRow">
      <w:rPr>
        <w:b/>
        <w:bCs/>
      </w:rPr>
      <w:tblPr/>
      <w:tcPr>
        <w:tcBorders>
          <w:top w:val="double" w:sz="4" w:space="0" w:color="4F81BD"/>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F81BD"/>
          <w:right w:val="single" w:sz="4" w:space="0" w:color="4F81BD"/>
        </w:tcBorders>
      </w:tcPr>
    </w:tblStylePr>
    <w:tblStylePr w:type="band1Horz">
      <w:tblPr/>
      <w:tcPr>
        <w:tcBorders>
          <w:top w:val="single" w:sz="4" w:space="0" w:color="4F81BD"/>
          <w:bottom w:val="single" w:sz="4" w:space="0" w:color="4F81BD"/>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F81BD"/>
          <w:left w:val="nil"/>
        </w:tcBorders>
      </w:tcPr>
    </w:tblStylePr>
    <w:tblStylePr w:type="swCell">
      <w:tblPr/>
      <w:tcPr>
        <w:tcBorders>
          <w:top w:val="double" w:sz="4" w:space="0" w:color="4F81BD"/>
          <w:right w:val="nil"/>
        </w:tcBorders>
      </w:tcPr>
    </w:tblStylePr>
  </w:style>
  <w:style w:type="character" w:customStyle="1" w:styleId="QuoteChar1">
    <w:name w:val="Quote Char1"/>
    <w:uiPriority w:val="29"/>
    <w:semiHidden/>
    <w:rsid w:val="000E7C76"/>
    <w:rPr>
      <w:rFonts w:ascii="Times New Roman" w:hAnsi="Times New Roman"/>
      <w:i/>
      <w:iCs/>
      <w:color w:val="000000"/>
      <w:lang w:eastAsia="en-US"/>
    </w:rPr>
  </w:style>
  <w:style w:type="paragraph" w:customStyle="1" w:styleId="TableText2">
    <w:name w:val="TableText 2"/>
    <w:basedOn w:val="TableText"/>
    <w:qFormat/>
    <w:rsid w:val="00271680"/>
    <w:pPr>
      <w:spacing w:line="240" w:lineRule="atLeast"/>
      <w:ind w:left="737"/>
    </w:pPr>
    <w:rPr>
      <w:szCs w:val="22"/>
      <w:lang w:eastAsia="en-NZ"/>
    </w:rPr>
  </w:style>
  <w:style w:type="paragraph" w:customStyle="1" w:styleId="TableText1">
    <w:name w:val="TableText 1"/>
    <w:basedOn w:val="TableText"/>
    <w:qFormat/>
    <w:rsid w:val="00271680"/>
    <w:pPr>
      <w:spacing w:line="240" w:lineRule="atLeast"/>
      <w:ind w:left="397"/>
    </w:pPr>
    <w:rPr>
      <w:szCs w:val="22"/>
      <w:lang w:eastAsia="en-NZ"/>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724544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pixelsPerInch w:val="120"/>
</w:webSettings>
</file>

<file path=word/_rels/document.xml.rels><?xml version="1.0" encoding="UTF-8" standalone="yes"?>
<Relationships xmlns="http://schemas.openxmlformats.org/package/2006/relationships"><Relationship Id="rId117" Type="http://schemas.openxmlformats.org/officeDocument/2006/relationships/image" Target="media/image63.png"/><Relationship Id="rId21" Type="http://schemas.openxmlformats.org/officeDocument/2006/relationships/image" Target="media/image5.png"/><Relationship Id="rId42" Type="http://schemas.openxmlformats.org/officeDocument/2006/relationships/image" Target="media/image15.png"/><Relationship Id="rId63" Type="http://schemas.openxmlformats.org/officeDocument/2006/relationships/image" Target="media/image34.png"/><Relationship Id="rId84" Type="http://schemas.openxmlformats.org/officeDocument/2006/relationships/image" Target="media/image42.emf"/><Relationship Id="rId138" Type="http://schemas.openxmlformats.org/officeDocument/2006/relationships/package" Target="embeddings/Microsoft_Word_Document9.docx"/><Relationship Id="rId159" Type="http://schemas.openxmlformats.org/officeDocument/2006/relationships/image" Target="media/image85.emf"/><Relationship Id="rId170" Type="http://schemas.openxmlformats.org/officeDocument/2006/relationships/package" Target="embeddings/Microsoft_Word_Document25.docx"/><Relationship Id="rId191" Type="http://schemas.openxmlformats.org/officeDocument/2006/relationships/image" Target="media/image103.jpeg"/><Relationship Id="rId205" Type="http://schemas.openxmlformats.org/officeDocument/2006/relationships/image" Target="media/image112.png"/><Relationship Id="rId226" Type="http://schemas.openxmlformats.org/officeDocument/2006/relationships/image" Target="media/image126.png"/><Relationship Id="rId247" Type="http://schemas.openxmlformats.org/officeDocument/2006/relationships/hyperlink" Target="https://www.tokelau.org.nz/Bulletin/December+2017/Solid+Waste+Management+MOU+Signed+between+Tokelau+EDNRE+and+Pacific++Recycle+Co.+Ltd.html" TargetMode="External"/><Relationship Id="rId107" Type="http://schemas.openxmlformats.org/officeDocument/2006/relationships/package" Target="embeddings/Microsoft_Word_Document.docx"/><Relationship Id="rId268" Type="http://schemas.openxmlformats.org/officeDocument/2006/relationships/hyperlink" Target="http://www.ieaghg.org" TargetMode="External"/><Relationship Id="rId11" Type="http://schemas.openxmlformats.org/officeDocument/2006/relationships/image" Target="media/image2.jpeg"/><Relationship Id="rId32" Type="http://schemas.openxmlformats.org/officeDocument/2006/relationships/image" Target="media/image10.emf"/><Relationship Id="rId53" Type="http://schemas.openxmlformats.org/officeDocument/2006/relationships/image" Target="media/image26.emf"/><Relationship Id="rId74" Type="http://schemas.openxmlformats.org/officeDocument/2006/relationships/oleObject" Target="embeddings/oleObject2.bin"/><Relationship Id="rId128" Type="http://schemas.openxmlformats.org/officeDocument/2006/relationships/hyperlink" Target="http://mpi.govt.nz/news-and-resources/statistics-and-forecasting/greenhouse-gas-reporting" TargetMode="External"/><Relationship Id="rId149" Type="http://schemas.openxmlformats.org/officeDocument/2006/relationships/image" Target="media/image80.emf"/><Relationship Id="rId5" Type="http://schemas.openxmlformats.org/officeDocument/2006/relationships/webSettings" Target="webSettings.xml"/><Relationship Id="rId95" Type="http://schemas.openxmlformats.org/officeDocument/2006/relationships/image" Target="media/image49.png"/><Relationship Id="rId160" Type="http://schemas.openxmlformats.org/officeDocument/2006/relationships/package" Target="embeddings/Microsoft_Word_Document20.docx"/><Relationship Id="rId181" Type="http://schemas.openxmlformats.org/officeDocument/2006/relationships/hyperlink" Target="http://www.stats.govt.nz/infoshare" TargetMode="External"/><Relationship Id="rId216" Type="http://schemas.openxmlformats.org/officeDocument/2006/relationships/hyperlink" Target="http://www.mfe.govt.nz" TargetMode="External"/><Relationship Id="rId237" Type="http://schemas.openxmlformats.org/officeDocument/2006/relationships/image" Target="media/image130.png"/><Relationship Id="rId258" Type="http://schemas.openxmlformats.org/officeDocument/2006/relationships/hyperlink" Target="https://mpi.govt.nz/news-and-resources/statistics-and-forecasting/forestry/" TargetMode="External"/><Relationship Id="rId22" Type="http://schemas.openxmlformats.org/officeDocument/2006/relationships/image" Target="media/image6.png"/><Relationship Id="rId43" Type="http://schemas.openxmlformats.org/officeDocument/2006/relationships/image" Target="media/image16.png"/><Relationship Id="rId64" Type="http://schemas.openxmlformats.org/officeDocument/2006/relationships/image" Target="media/image35.emf"/><Relationship Id="rId118" Type="http://schemas.openxmlformats.org/officeDocument/2006/relationships/image" Target="media/image64.emf"/><Relationship Id="rId139" Type="http://schemas.openxmlformats.org/officeDocument/2006/relationships/image" Target="media/image75.emf"/><Relationship Id="rId85" Type="http://schemas.openxmlformats.org/officeDocument/2006/relationships/oleObject" Target="embeddings/Microsoft_Excel_97-2003_Worksheet1.xls"/><Relationship Id="rId150" Type="http://schemas.openxmlformats.org/officeDocument/2006/relationships/package" Target="embeddings/Microsoft_Word_Document15.docx"/><Relationship Id="rId171" Type="http://schemas.openxmlformats.org/officeDocument/2006/relationships/package" Target="embeddings/Microsoft_Word_Document26.docx"/><Relationship Id="rId192" Type="http://schemas.openxmlformats.org/officeDocument/2006/relationships/image" Target="media/image104.jpeg"/><Relationship Id="rId206" Type="http://schemas.openxmlformats.org/officeDocument/2006/relationships/image" Target="media/image113.png"/><Relationship Id="rId227" Type="http://schemas.openxmlformats.org/officeDocument/2006/relationships/hyperlink" Target="https://ecan.govt.nz/document/download?uri=1851763" TargetMode="External"/><Relationship Id="rId248" Type="http://schemas.openxmlformats.org/officeDocument/2006/relationships/hyperlink" Target="http://www.tokelau.org.nz/site/tokelau/conservation%20survey%20of%20tokelau.pdf" TargetMode="External"/><Relationship Id="rId269" Type="http://schemas.openxmlformats.org/officeDocument/2006/relationships/header" Target="header5.xml"/><Relationship Id="rId12" Type="http://schemas.openxmlformats.org/officeDocument/2006/relationships/header" Target="header2.xml"/><Relationship Id="rId33" Type="http://schemas.openxmlformats.org/officeDocument/2006/relationships/oleObject" Target="embeddings/Microsoft_Visio_2003-2010_Drawing1111.vsd"/><Relationship Id="rId108" Type="http://schemas.openxmlformats.org/officeDocument/2006/relationships/image" Target="media/image58.emf"/><Relationship Id="rId129" Type="http://schemas.openxmlformats.org/officeDocument/2006/relationships/image" Target="media/image69.emf"/><Relationship Id="rId54" Type="http://schemas.openxmlformats.org/officeDocument/2006/relationships/oleObject" Target="embeddings/Microsoft_Visio_2003-2010_Drawing23333.vsd"/><Relationship Id="rId75" Type="http://schemas.openxmlformats.org/officeDocument/2006/relationships/hyperlink" Target="https://www.climatechange.govt.nz/consultation%20/energy/review-default-emissions-factors.pdf" TargetMode="External"/><Relationship Id="rId96" Type="http://schemas.openxmlformats.org/officeDocument/2006/relationships/image" Target="media/image50.png"/><Relationship Id="rId140" Type="http://schemas.openxmlformats.org/officeDocument/2006/relationships/package" Target="embeddings/Microsoft_Word_Document10.docx"/><Relationship Id="rId161" Type="http://schemas.openxmlformats.org/officeDocument/2006/relationships/image" Target="media/image86.emf"/><Relationship Id="rId182" Type="http://schemas.openxmlformats.org/officeDocument/2006/relationships/hyperlink" Target="http://www.publish.csiro.au/?act=view_file&amp;file_id=AN15766.pdf" TargetMode="External"/><Relationship Id="rId217" Type="http://schemas.openxmlformats.org/officeDocument/2006/relationships/hyperlink" Target="https://www.niwa.co.nz/climate/information-and-resources/elnino/elnino-impacts-on-newzealand" TargetMode="External"/><Relationship Id="rId6" Type="http://schemas.openxmlformats.org/officeDocument/2006/relationships/footnotes" Target="footnotes.xml"/><Relationship Id="rId238" Type="http://schemas.openxmlformats.org/officeDocument/2006/relationships/hyperlink" Target="http://www.stats.govt.nz" TargetMode="External"/><Relationship Id="rId259" Type="http://schemas.openxmlformats.org/officeDocument/2006/relationships/hyperlink" Target="http://www.mfe.govt.nz/publications/climate" TargetMode="External"/><Relationship Id="rId23" Type="http://schemas.openxmlformats.org/officeDocument/2006/relationships/image" Target="media/image7.png"/><Relationship Id="rId119" Type="http://schemas.openxmlformats.org/officeDocument/2006/relationships/package" Target="embeddings/Microsoft_Word_Document2.docx"/><Relationship Id="rId270" Type="http://schemas.openxmlformats.org/officeDocument/2006/relationships/footer" Target="footer9.xml"/><Relationship Id="rId44" Type="http://schemas.openxmlformats.org/officeDocument/2006/relationships/image" Target="media/image17.png"/><Relationship Id="rId60" Type="http://schemas.openxmlformats.org/officeDocument/2006/relationships/oleObject" Target="embeddings/Microsoft_Visio_2003-2010_Drawing34444.vsd"/><Relationship Id="rId65" Type="http://schemas.openxmlformats.org/officeDocument/2006/relationships/oleObject" Target="embeddings/Microsoft_Visio_2003-2010_Drawing45555.vsd"/><Relationship Id="rId81" Type="http://schemas.openxmlformats.org/officeDocument/2006/relationships/hyperlink" Target="http://www.transport.govt.nz/research/Pages/TravelSurvey.aspx" TargetMode="External"/><Relationship Id="rId86" Type="http://schemas.openxmlformats.org/officeDocument/2006/relationships/image" Target="media/image43.emf"/><Relationship Id="rId130" Type="http://schemas.openxmlformats.org/officeDocument/2006/relationships/package" Target="embeddings/Microsoft_Word_Document6.docx"/><Relationship Id="rId135" Type="http://schemas.openxmlformats.org/officeDocument/2006/relationships/image" Target="media/image73.emf"/><Relationship Id="rId151" Type="http://schemas.openxmlformats.org/officeDocument/2006/relationships/image" Target="media/image81.emf"/><Relationship Id="rId156" Type="http://schemas.openxmlformats.org/officeDocument/2006/relationships/package" Target="embeddings/Microsoft_Word_Document18.docx"/><Relationship Id="rId177" Type="http://schemas.openxmlformats.org/officeDocument/2006/relationships/hyperlink" Target="http://mpi.govt.nz/news-and-resources/statistics-and-forecasting/greenhouse-gas-reporting/agriculture-greenhouse-gas-inventory-reports" TargetMode="External"/><Relationship Id="rId198" Type="http://schemas.openxmlformats.org/officeDocument/2006/relationships/image" Target="media/image106.png"/><Relationship Id="rId172" Type="http://schemas.openxmlformats.org/officeDocument/2006/relationships/image" Target="media/image91.emf"/><Relationship Id="rId193" Type="http://schemas.openxmlformats.org/officeDocument/2006/relationships/image" Target="media/image105.jpeg"/><Relationship Id="rId202" Type="http://schemas.openxmlformats.org/officeDocument/2006/relationships/image" Target="media/image109.png"/><Relationship Id="rId207" Type="http://schemas.openxmlformats.org/officeDocument/2006/relationships/image" Target="media/image114.png"/><Relationship Id="rId223" Type="http://schemas.openxmlformats.org/officeDocument/2006/relationships/image" Target="media/image123.png"/><Relationship Id="rId228" Type="http://schemas.openxmlformats.org/officeDocument/2006/relationships/hyperlink" Target="http://www.waikatoregion.govt.nz/assets/PageFiles/30542/TR201455.pdf" TargetMode="External"/><Relationship Id="rId244" Type="http://schemas.openxmlformats.org/officeDocument/2006/relationships/image" Target="media/image134.emf"/><Relationship Id="rId249" Type="http://schemas.openxmlformats.org/officeDocument/2006/relationships/hyperlink" Target="https://www.tokelau.org.nz/Bulletin/September+2016/2014+imports+final.html" TargetMode="External"/><Relationship Id="rId13" Type="http://schemas.openxmlformats.org/officeDocument/2006/relationships/footer" Target="footer2.xml"/><Relationship Id="rId18" Type="http://schemas.openxmlformats.org/officeDocument/2006/relationships/image" Target="media/image3.png"/><Relationship Id="rId39" Type="http://schemas.openxmlformats.org/officeDocument/2006/relationships/image" Target="media/image12.png"/><Relationship Id="rId109" Type="http://schemas.openxmlformats.org/officeDocument/2006/relationships/image" Target="media/image59.emf"/><Relationship Id="rId260" Type="http://schemas.openxmlformats.org/officeDocument/2006/relationships/hyperlink" Target="http://www.emissionsregister.govt.nz" TargetMode="External"/><Relationship Id="rId265" Type="http://schemas.openxmlformats.org/officeDocument/2006/relationships/hyperlink" Target="http://www.epa.govt.nz" TargetMode="External"/><Relationship Id="rId34" Type="http://schemas.openxmlformats.org/officeDocument/2006/relationships/image" Target="media/image11.emf"/><Relationship Id="rId50" Type="http://schemas.openxmlformats.org/officeDocument/2006/relationships/image" Target="media/image23.png"/><Relationship Id="rId55" Type="http://schemas.openxmlformats.org/officeDocument/2006/relationships/image" Target="media/image27.png"/><Relationship Id="rId76" Type="http://schemas.openxmlformats.org/officeDocument/2006/relationships/hyperlink" Target="http://www.legislation.govt.nz/regulation/public/2009/0285/latest/DLM2394207.html" TargetMode="External"/><Relationship Id="rId97" Type="http://schemas.openxmlformats.org/officeDocument/2006/relationships/image" Target="media/image51.png"/><Relationship Id="rId104" Type="http://schemas.openxmlformats.org/officeDocument/2006/relationships/hyperlink" Target="http://mpi.govt.nz/news-and-resources/statistics-and-forecasting/greenhouse-gas-reporting" TargetMode="External"/><Relationship Id="rId120" Type="http://schemas.openxmlformats.org/officeDocument/2006/relationships/image" Target="media/image65.emf"/><Relationship Id="rId125" Type="http://schemas.openxmlformats.org/officeDocument/2006/relationships/image" Target="media/image67.emf"/><Relationship Id="rId141" Type="http://schemas.openxmlformats.org/officeDocument/2006/relationships/image" Target="media/image76.emf"/><Relationship Id="rId146" Type="http://schemas.openxmlformats.org/officeDocument/2006/relationships/package" Target="embeddings/Microsoft_Word_Document13.docx"/><Relationship Id="rId167" Type="http://schemas.openxmlformats.org/officeDocument/2006/relationships/image" Target="media/image89.emf"/><Relationship Id="rId188" Type="http://schemas.openxmlformats.org/officeDocument/2006/relationships/image" Target="media/image100.jpeg"/><Relationship Id="rId7" Type="http://schemas.openxmlformats.org/officeDocument/2006/relationships/endnotes" Target="endnotes.xml"/><Relationship Id="rId71" Type="http://schemas.openxmlformats.org/officeDocument/2006/relationships/image" Target="media/image39.wmf"/><Relationship Id="rId92" Type="http://schemas.openxmlformats.org/officeDocument/2006/relationships/image" Target="media/image47.png"/><Relationship Id="rId162" Type="http://schemas.openxmlformats.org/officeDocument/2006/relationships/package" Target="embeddings/Microsoft_Word_Document21.docx"/><Relationship Id="rId183" Type="http://schemas.openxmlformats.org/officeDocument/2006/relationships/image" Target="media/image95.png"/><Relationship Id="rId213" Type="http://schemas.openxmlformats.org/officeDocument/2006/relationships/hyperlink" Target="http://www.legislation.govt.nz/act/public/1949/0019/latest/whole.html" TargetMode="External"/><Relationship Id="rId218" Type="http://schemas.openxmlformats.org/officeDocument/2006/relationships/hyperlink" Target="http://www.regional.org.au/au/asssi/supersoil2004%20(27" TargetMode="External"/><Relationship Id="rId234" Type="http://schemas.openxmlformats.org/officeDocument/2006/relationships/image" Target="media/image127.png"/><Relationship Id="rId239" Type="http://schemas.openxmlformats.org/officeDocument/2006/relationships/hyperlink" Target="https://www.tokelau.org.nz/Stats.html" TargetMode="External"/><Relationship Id="rId2" Type="http://schemas.openxmlformats.org/officeDocument/2006/relationships/numbering" Target="numbering.xml"/><Relationship Id="rId29" Type="http://schemas.openxmlformats.org/officeDocument/2006/relationships/hyperlink" Target="http://www.legislation.govt.nz/act/public/2002/0040/latest/link.aspx?search=ts_act_climate+change_resel&amp;id=DLM160067" TargetMode="External"/><Relationship Id="rId250" Type="http://schemas.openxmlformats.org/officeDocument/2006/relationships/hyperlink" Target="http://www.un.org/en/sections/un-charter/chapter-xi/" TargetMode="External"/><Relationship Id="rId255" Type="http://schemas.openxmlformats.org/officeDocument/2006/relationships/image" Target="media/image141.png"/><Relationship Id="rId271" Type="http://schemas.openxmlformats.org/officeDocument/2006/relationships/footer" Target="footer10.xml"/><Relationship Id="rId24" Type="http://schemas.openxmlformats.org/officeDocument/2006/relationships/image" Target="media/image8.png"/><Relationship Id="rId40" Type="http://schemas.openxmlformats.org/officeDocument/2006/relationships/image" Target="media/image13.png"/><Relationship Id="rId45" Type="http://schemas.openxmlformats.org/officeDocument/2006/relationships/image" Target="media/image18.png"/><Relationship Id="rId66" Type="http://schemas.openxmlformats.org/officeDocument/2006/relationships/image" Target="media/image36.png"/><Relationship Id="rId87" Type="http://schemas.openxmlformats.org/officeDocument/2006/relationships/oleObject" Target="embeddings/Microsoft_Visio_2003-2010_Drawing79999.vsd"/><Relationship Id="rId110" Type="http://schemas.openxmlformats.org/officeDocument/2006/relationships/package" Target="embeddings/Microsoft_Visio_Drawing13333.vsdx"/><Relationship Id="rId115" Type="http://schemas.openxmlformats.org/officeDocument/2006/relationships/package" Target="embeddings/Microsoft_Word_Document1.docx"/><Relationship Id="rId131" Type="http://schemas.openxmlformats.org/officeDocument/2006/relationships/image" Target="media/image70.png"/><Relationship Id="rId136" Type="http://schemas.openxmlformats.org/officeDocument/2006/relationships/package" Target="embeddings/Microsoft_Word_Document8.docx"/><Relationship Id="rId157" Type="http://schemas.openxmlformats.org/officeDocument/2006/relationships/image" Target="media/image84.emf"/><Relationship Id="rId178" Type="http://schemas.openxmlformats.org/officeDocument/2006/relationships/hyperlink" Target="http://www.lic.co.nz/lic_Publications.cfm" TargetMode="External"/><Relationship Id="rId61" Type="http://schemas.openxmlformats.org/officeDocument/2006/relationships/image" Target="media/image32.png"/><Relationship Id="rId82" Type="http://schemas.openxmlformats.org/officeDocument/2006/relationships/image" Target="media/image41.png"/><Relationship Id="rId152" Type="http://schemas.openxmlformats.org/officeDocument/2006/relationships/package" Target="embeddings/Microsoft_Word_Document16.docx"/><Relationship Id="rId173" Type="http://schemas.openxmlformats.org/officeDocument/2006/relationships/package" Target="embeddings/Microsoft_Word_Document27.docx"/><Relationship Id="rId194" Type="http://schemas.openxmlformats.org/officeDocument/2006/relationships/footer" Target="footer5.xml"/><Relationship Id="rId199" Type="http://schemas.openxmlformats.org/officeDocument/2006/relationships/image" Target="media/image107.png"/><Relationship Id="rId203" Type="http://schemas.openxmlformats.org/officeDocument/2006/relationships/image" Target="media/image110.png"/><Relationship Id="rId208" Type="http://schemas.openxmlformats.org/officeDocument/2006/relationships/image" Target="media/image115.png"/><Relationship Id="rId229" Type="http://schemas.openxmlformats.org/officeDocument/2006/relationships/hyperlink" Target="https://gazette.govt.nz/notice/id/2014-au3648" TargetMode="External"/><Relationship Id="rId19" Type="http://schemas.openxmlformats.org/officeDocument/2006/relationships/hyperlink" Target="http://www.mfe.govt.nz/climate-change/reporting-greenhouse-gas-emissions/latest-2020-net-position" TargetMode="External"/><Relationship Id="rId224" Type="http://schemas.openxmlformats.org/officeDocument/2006/relationships/image" Target="media/image124.png"/><Relationship Id="rId240" Type="http://schemas.openxmlformats.org/officeDocument/2006/relationships/hyperlink" Target="https://tepuna.mfe.govt.nz/otcsdav/nodes/11559364/2014%20imports%20final.html" TargetMode="External"/><Relationship Id="rId245" Type="http://schemas.openxmlformats.org/officeDocument/2006/relationships/image" Target="media/image135.png"/><Relationship Id="rId261" Type="http://schemas.openxmlformats.org/officeDocument/2006/relationships/hyperlink" Target="https://www.emissionsregister.govt.nz/Common/InformationReports.aspx" TargetMode="External"/><Relationship Id="rId266" Type="http://schemas.openxmlformats.org/officeDocument/2006/relationships/hyperlink" Target="https://mfat.govt.nz/en/aid-and-development" TargetMode="External"/><Relationship Id="rId14" Type="http://schemas.openxmlformats.org/officeDocument/2006/relationships/header" Target="header3.xml"/><Relationship Id="rId30" Type="http://schemas.openxmlformats.org/officeDocument/2006/relationships/hyperlink" Target="http://www.legislation.govt.nz/act/public/2002/0040/latest/link.aspx?search=ts_act_climate+change_resel&amp;id=DLM160412" TargetMode="External"/><Relationship Id="rId35" Type="http://schemas.openxmlformats.org/officeDocument/2006/relationships/oleObject" Target="embeddings/Microsoft_Visio_2003-2010_Drawing12222.vsd"/><Relationship Id="rId56" Type="http://schemas.openxmlformats.org/officeDocument/2006/relationships/image" Target="media/image28.png"/><Relationship Id="rId77" Type="http://schemas.openxmlformats.org/officeDocument/2006/relationships/hyperlink" Target="http://www.med.govt.nz/sectors-industries/energy/energy-modelling/technical-papers/liquid-fuels-use-in-new-zealand" TargetMode="External"/><Relationship Id="rId100" Type="http://schemas.openxmlformats.org/officeDocument/2006/relationships/image" Target="media/image53.png"/><Relationship Id="rId105" Type="http://schemas.openxmlformats.org/officeDocument/2006/relationships/image" Target="media/image56.png"/><Relationship Id="rId126" Type="http://schemas.openxmlformats.org/officeDocument/2006/relationships/package" Target="embeddings/Microsoft_Word_Document5.docx"/><Relationship Id="rId147" Type="http://schemas.openxmlformats.org/officeDocument/2006/relationships/image" Target="media/image79.emf"/><Relationship Id="rId168" Type="http://schemas.openxmlformats.org/officeDocument/2006/relationships/package" Target="embeddings/Microsoft_Word_Document24.docx"/><Relationship Id="rId8" Type="http://schemas.openxmlformats.org/officeDocument/2006/relationships/image" Target="media/image1.jpeg"/><Relationship Id="rId51" Type="http://schemas.openxmlformats.org/officeDocument/2006/relationships/image" Target="media/image24.png"/><Relationship Id="rId72" Type="http://schemas.openxmlformats.org/officeDocument/2006/relationships/oleObject" Target="embeddings/oleObject1.bin"/><Relationship Id="rId93" Type="http://schemas.openxmlformats.org/officeDocument/2006/relationships/image" Target="media/image48.emf"/><Relationship Id="rId98" Type="http://schemas.openxmlformats.org/officeDocument/2006/relationships/image" Target="media/image52.emf"/><Relationship Id="rId121" Type="http://schemas.openxmlformats.org/officeDocument/2006/relationships/package" Target="embeddings/Microsoft_Word_Document3.docx"/><Relationship Id="rId142" Type="http://schemas.openxmlformats.org/officeDocument/2006/relationships/package" Target="embeddings/Microsoft_Word_Document11.docx"/><Relationship Id="rId163" Type="http://schemas.openxmlformats.org/officeDocument/2006/relationships/image" Target="media/image87.emf"/><Relationship Id="rId184" Type="http://schemas.openxmlformats.org/officeDocument/2006/relationships/image" Target="media/image96.png"/><Relationship Id="rId189" Type="http://schemas.openxmlformats.org/officeDocument/2006/relationships/image" Target="media/image101.jpeg"/><Relationship Id="rId219" Type="http://schemas.openxmlformats.org/officeDocument/2006/relationships/image" Target="media/image120.png"/><Relationship Id="rId3" Type="http://schemas.openxmlformats.org/officeDocument/2006/relationships/styles" Target="styles.xml"/><Relationship Id="rId214" Type="http://schemas.openxmlformats.org/officeDocument/2006/relationships/hyperlink" Target="https://mpi.govt.nz/funding-and-programmes/forestry/afforestation-grant-scheme/" TargetMode="External"/><Relationship Id="rId230" Type="http://schemas.openxmlformats.org/officeDocument/2006/relationships/hyperlink" Target="https://gazette.govt.nz/notice/id/2017-au1739" TargetMode="External"/><Relationship Id="rId235" Type="http://schemas.openxmlformats.org/officeDocument/2006/relationships/image" Target="media/image128.png"/><Relationship Id="rId251" Type="http://schemas.openxmlformats.org/officeDocument/2006/relationships/image" Target="media/image137.png"/><Relationship Id="rId256" Type="http://schemas.openxmlformats.org/officeDocument/2006/relationships/image" Target="media/image142.png"/><Relationship Id="rId25" Type="http://schemas.openxmlformats.org/officeDocument/2006/relationships/image" Target="media/image9.png"/><Relationship Id="rId46" Type="http://schemas.openxmlformats.org/officeDocument/2006/relationships/image" Target="media/image19.png"/><Relationship Id="rId67" Type="http://schemas.openxmlformats.org/officeDocument/2006/relationships/image" Target="media/image37.png"/><Relationship Id="rId116" Type="http://schemas.openxmlformats.org/officeDocument/2006/relationships/image" Target="media/image62.png"/><Relationship Id="rId137" Type="http://schemas.openxmlformats.org/officeDocument/2006/relationships/image" Target="media/image74.emf"/><Relationship Id="rId158" Type="http://schemas.openxmlformats.org/officeDocument/2006/relationships/package" Target="embeddings/Microsoft_Word_Document19.docx"/><Relationship Id="rId272" Type="http://schemas.openxmlformats.org/officeDocument/2006/relationships/fontTable" Target="fontTable.xml"/><Relationship Id="rId20" Type="http://schemas.openxmlformats.org/officeDocument/2006/relationships/image" Target="media/image4.png"/><Relationship Id="rId41" Type="http://schemas.openxmlformats.org/officeDocument/2006/relationships/image" Target="media/image14.png"/><Relationship Id="rId62" Type="http://schemas.openxmlformats.org/officeDocument/2006/relationships/image" Target="media/image33.png"/><Relationship Id="rId83" Type="http://schemas.openxmlformats.org/officeDocument/2006/relationships/oleObject" Target="embeddings/Microsoft_Excel_97-2003_Worksheet.xls"/><Relationship Id="rId88" Type="http://schemas.openxmlformats.org/officeDocument/2006/relationships/image" Target="media/image44.png"/><Relationship Id="rId111" Type="http://schemas.openxmlformats.org/officeDocument/2006/relationships/hyperlink" Target="http://mpi.govt.nz/news-and-resources/statistics-and-forecasting/greenhouse-gas-reporting/agricultural-inventory-advisory-panel" TargetMode="External"/><Relationship Id="rId132" Type="http://schemas.openxmlformats.org/officeDocument/2006/relationships/image" Target="media/image71.png"/><Relationship Id="rId153" Type="http://schemas.openxmlformats.org/officeDocument/2006/relationships/image" Target="media/image82.emf"/><Relationship Id="rId174" Type="http://schemas.openxmlformats.org/officeDocument/2006/relationships/image" Target="media/image92.png"/><Relationship Id="rId179" Type="http://schemas.openxmlformats.org/officeDocument/2006/relationships/hyperlink" Target="https://www.mfe.govt.nz/sites/default/files/media/Climate%20Change/21-12-17%20Web%20FINAL%20-%20Seventh%20National%20Communication%202017.pdf" TargetMode="External"/><Relationship Id="rId195" Type="http://schemas.openxmlformats.org/officeDocument/2006/relationships/footer" Target="footer6.xml"/><Relationship Id="rId209" Type="http://schemas.openxmlformats.org/officeDocument/2006/relationships/image" Target="media/image116.jpeg"/><Relationship Id="rId190" Type="http://schemas.openxmlformats.org/officeDocument/2006/relationships/image" Target="media/image102.jpeg"/><Relationship Id="rId204" Type="http://schemas.openxmlformats.org/officeDocument/2006/relationships/image" Target="media/image111.jpeg"/><Relationship Id="rId220" Type="http://schemas.openxmlformats.org/officeDocument/2006/relationships/image" Target="media/image121.png"/><Relationship Id="rId225" Type="http://schemas.openxmlformats.org/officeDocument/2006/relationships/image" Target="media/image125.png"/><Relationship Id="rId241" Type="http://schemas.openxmlformats.org/officeDocument/2006/relationships/image" Target="media/image131.png"/><Relationship Id="rId246" Type="http://schemas.openxmlformats.org/officeDocument/2006/relationships/image" Target="media/image136.png"/><Relationship Id="rId267" Type="http://schemas.openxmlformats.org/officeDocument/2006/relationships/hyperlink" Target="http://www.cslforum.org" TargetMode="External"/><Relationship Id="rId15" Type="http://schemas.openxmlformats.org/officeDocument/2006/relationships/header" Target="header4.xml"/><Relationship Id="rId36" Type="http://schemas.openxmlformats.org/officeDocument/2006/relationships/hyperlink" Target="http://www.emissionsregister.govt.nz" TargetMode="External"/><Relationship Id="rId57" Type="http://schemas.openxmlformats.org/officeDocument/2006/relationships/image" Target="media/image29.png"/><Relationship Id="rId106" Type="http://schemas.openxmlformats.org/officeDocument/2006/relationships/image" Target="media/image57.emf"/><Relationship Id="rId127" Type="http://schemas.openxmlformats.org/officeDocument/2006/relationships/image" Target="media/image68.png"/><Relationship Id="rId262" Type="http://schemas.openxmlformats.org/officeDocument/2006/relationships/hyperlink" Target="http://www.mfe.govt.nz/climate-change/reducing-greenhouse-gas-emissions/former-government-initiatives" TargetMode="External"/><Relationship Id="rId10" Type="http://schemas.openxmlformats.org/officeDocument/2006/relationships/footer" Target="footer1.xml"/><Relationship Id="rId31" Type="http://schemas.openxmlformats.org/officeDocument/2006/relationships/hyperlink" Target="http://www.eur.govt.nz/eats/nz/" TargetMode="External"/><Relationship Id="rId52" Type="http://schemas.openxmlformats.org/officeDocument/2006/relationships/image" Target="media/image25.png"/><Relationship Id="rId73" Type="http://schemas.openxmlformats.org/officeDocument/2006/relationships/image" Target="media/image40.wmf"/><Relationship Id="rId78" Type="http://schemas.openxmlformats.org/officeDocument/2006/relationships/hyperlink" Target="http://www.med.govt.nz/sectors-industries/energy/energy-modelling/technical-papers/delivering-the-diesel-liquid-fuel-deliveries-in-new-zealand-1990-2008" TargetMode="External"/><Relationship Id="rId94" Type="http://schemas.openxmlformats.org/officeDocument/2006/relationships/oleObject" Target="embeddings/Microsoft_Excel_97-2003_Worksheet2.xls"/><Relationship Id="rId99" Type="http://schemas.openxmlformats.org/officeDocument/2006/relationships/package" Target="embeddings/Microsoft_Visio_Drawing1111.vsdx"/><Relationship Id="rId101" Type="http://schemas.openxmlformats.org/officeDocument/2006/relationships/image" Target="media/image54.png"/><Relationship Id="rId122" Type="http://schemas.openxmlformats.org/officeDocument/2006/relationships/hyperlink" Target="http://www.mpi.govt.nz/news-and-resources/open-data-and-forecasting/greenhouse-gas-reporting/agricultural-greenhouse-gas-inventory-reports/" TargetMode="External"/><Relationship Id="rId143" Type="http://schemas.openxmlformats.org/officeDocument/2006/relationships/image" Target="media/image77.emf"/><Relationship Id="rId148" Type="http://schemas.openxmlformats.org/officeDocument/2006/relationships/package" Target="embeddings/Microsoft_Word_Document14.docx"/><Relationship Id="rId164" Type="http://schemas.openxmlformats.org/officeDocument/2006/relationships/package" Target="embeddings/Microsoft_Word_Document22.docx"/><Relationship Id="rId169" Type="http://schemas.openxmlformats.org/officeDocument/2006/relationships/image" Target="media/image90.emf"/><Relationship Id="rId185" Type="http://schemas.openxmlformats.org/officeDocument/2006/relationships/image" Target="media/image97.jpeg"/><Relationship Id="rId4" Type="http://schemas.openxmlformats.org/officeDocument/2006/relationships/settings" Target="settings.xml"/><Relationship Id="rId9" Type="http://schemas.openxmlformats.org/officeDocument/2006/relationships/header" Target="header1.xml"/><Relationship Id="rId180" Type="http://schemas.openxmlformats.org/officeDocument/2006/relationships/hyperlink" Target="http://www.stats.govt.nz" TargetMode="External"/><Relationship Id="rId210" Type="http://schemas.openxmlformats.org/officeDocument/2006/relationships/image" Target="media/image117.jpeg"/><Relationship Id="rId215" Type="http://schemas.openxmlformats.org/officeDocument/2006/relationships/hyperlink" Target="https://mpi.govt.nz/news-and-resources/statistics-and-forecasting/forestry/" TargetMode="External"/><Relationship Id="rId236" Type="http://schemas.openxmlformats.org/officeDocument/2006/relationships/image" Target="media/image129.png"/><Relationship Id="rId257" Type="http://schemas.openxmlformats.org/officeDocument/2006/relationships/image" Target="media/image143.png"/><Relationship Id="rId26" Type="http://schemas.openxmlformats.org/officeDocument/2006/relationships/hyperlink" Target="http://www.unfccc.int" TargetMode="External"/><Relationship Id="rId231" Type="http://schemas.openxmlformats.org/officeDocument/2006/relationships/hyperlink" Target="https://gazette.govt.nz/notice/id/2015-au2831" TargetMode="External"/><Relationship Id="rId252" Type="http://schemas.openxmlformats.org/officeDocument/2006/relationships/image" Target="media/image138.png"/><Relationship Id="rId273" Type="http://schemas.openxmlformats.org/officeDocument/2006/relationships/theme" Target="theme/theme1.xml"/><Relationship Id="rId47" Type="http://schemas.openxmlformats.org/officeDocument/2006/relationships/image" Target="media/image20.png"/><Relationship Id="rId68" Type="http://schemas.openxmlformats.org/officeDocument/2006/relationships/hyperlink" Target="https://www.nzpam.govt.nz/maps-geoscience/nz-mine-plans/" TargetMode="External"/><Relationship Id="rId89" Type="http://schemas.openxmlformats.org/officeDocument/2006/relationships/hyperlink" Target="http://www.legislation.govt.nz/regulation/public/2009/0285/latest/DLM2394207.html" TargetMode="External"/><Relationship Id="rId112" Type="http://schemas.openxmlformats.org/officeDocument/2006/relationships/image" Target="media/image60.emf"/><Relationship Id="rId133" Type="http://schemas.openxmlformats.org/officeDocument/2006/relationships/image" Target="media/image72.emf"/><Relationship Id="rId154" Type="http://schemas.openxmlformats.org/officeDocument/2006/relationships/package" Target="embeddings/Microsoft_Word_Document17.docx"/><Relationship Id="rId175" Type="http://schemas.openxmlformats.org/officeDocument/2006/relationships/image" Target="media/image93.png"/><Relationship Id="rId196" Type="http://schemas.openxmlformats.org/officeDocument/2006/relationships/footer" Target="footer7.xml"/><Relationship Id="rId200" Type="http://schemas.openxmlformats.org/officeDocument/2006/relationships/hyperlink" Target="https://soils.landcareresearch.co.nz/soil-data/national-soils-data-repository-and-the-national-soils-database/" TargetMode="External"/><Relationship Id="rId16" Type="http://schemas.openxmlformats.org/officeDocument/2006/relationships/footer" Target="footer3.xml"/><Relationship Id="rId221" Type="http://schemas.openxmlformats.org/officeDocument/2006/relationships/image" Target="media/image122.emf"/><Relationship Id="rId242" Type="http://schemas.openxmlformats.org/officeDocument/2006/relationships/image" Target="media/image132.png"/><Relationship Id="rId263" Type="http://schemas.openxmlformats.org/officeDocument/2006/relationships/hyperlink" Target="https://tepuna.mfe.govt.nz/otcsdav/nodes/11483402/paula.faiva%40tokelau.org.nz" TargetMode="External"/><Relationship Id="rId37" Type="http://schemas.openxmlformats.org/officeDocument/2006/relationships/hyperlink" Target="http://www.legislation.govt.nz/act/public/2002/0040/latest/DLM158584.html?search=ts_act_climate+change+response+act_resel&amp;p=1&amp;sr=1" TargetMode="External"/><Relationship Id="rId58" Type="http://schemas.openxmlformats.org/officeDocument/2006/relationships/image" Target="media/image30.png"/><Relationship Id="rId79" Type="http://schemas.openxmlformats.org/officeDocument/2006/relationships/hyperlink" Target="http://www.mbie.govt.nz/building-and-energy/energy-and-natural-resources/energy-statistics-and-modelling/energy-publications-and-technical-papers/energy-in-new-zealand/" TargetMode="External"/><Relationship Id="rId102" Type="http://schemas.openxmlformats.org/officeDocument/2006/relationships/image" Target="media/image55.png"/><Relationship Id="rId123" Type="http://schemas.openxmlformats.org/officeDocument/2006/relationships/image" Target="media/image66.emf"/><Relationship Id="rId144" Type="http://schemas.openxmlformats.org/officeDocument/2006/relationships/package" Target="embeddings/Microsoft_Word_Document12.docx"/><Relationship Id="rId90" Type="http://schemas.openxmlformats.org/officeDocument/2006/relationships/image" Target="media/image45.png"/><Relationship Id="rId165" Type="http://schemas.openxmlformats.org/officeDocument/2006/relationships/image" Target="media/image88.emf"/><Relationship Id="rId186" Type="http://schemas.openxmlformats.org/officeDocument/2006/relationships/image" Target="media/image98.jpeg"/><Relationship Id="rId211" Type="http://schemas.openxmlformats.org/officeDocument/2006/relationships/image" Target="media/image118.jpeg"/><Relationship Id="rId232" Type="http://schemas.openxmlformats.org/officeDocument/2006/relationships/hyperlink" Target="https://gazette.govt.nz/notice/id/2016-au1239" TargetMode="External"/><Relationship Id="rId253" Type="http://schemas.openxmlformats.org/officeDocument/2006/relationships/image" Target="media/image139.png"/><Relationship Id="rId27" Type="http://schemas.openxmlformats.org/officeDocument/2006/relationships/hyperlink" Target="http://www.legislation.govt.nz/act/public/2002/0040/latest/link.aspx?search=ts_act_climate+change_resel&amp;id=DLM160412" TargetMode="External"/><Relationship Id="rId48" Type="http://schemas.openxmlformats.org/officeDocument/2006/relationships/image" Target="media/image21.png"/><Relationship Id="rId69" Type="http://schemas.openxmlformats.org/officeDocument/2006/relationships/image" Target="media/image38.emf"/><Relationship Id="rId113" Type="http://schemas.openxmlformats.org/officeDocument/2006/relationships/package" Target="embeddings/Microsoft_Visio_Drawing24444.vsdx"/><Relationship Id="rId134" Type="http://schemas.openxmlformats.org/officeDocument/2006/relationships/package" Target="embeddings/Microsoft_Word_Document7.docx"/><Relationship Id="rId80" Type="http://schemas.openxmlformats.org/officeDocument/2006/relationships/hyperlink" Target="http://www.mfe.govt.nz/issues/climate/policies-initiatives/projects" TargetMode="External"/><Relationship Id="rId155" Type="http://schemas.openxmlformats.org/officeDocument/2006/relationships/image" Target="media/image83.emf"/><Relationship Id="rId176" Type="http://schemas.openxmlformats.org/officeDocument/2006/relationships/image" Target="media/image94.png"/><Relationship Id="rId197" Type="http://schemas.openxmlformats.org/officeDocument/2006/relationships/footer" Target="footer8.xml"/><Relationship Id="rId201" Type="http://schemas.openxmlformats.org/officeDocument/2006/relationships/image" Target="media/image108.jpeg"/><Relationship Id="rId222" Type="http://schemas.openxmlformats.org/officeDocument/2006/relationships/oleObject" Target="embeddings/Microsoft_Visio_2003-2010_Drawing911111111.vsd"/><Relationship Id="rId243" Type="http://schemas.openxmlformats.org/officeDocument/2006/relationships/image" Target="media/image133.png"/><Relationship Id="rId264" Type="http://schemas.openxmlformats.org/officeDocument/2006/relationships/hyperlink" Target="https://www.tokelau.org.nz/Stats.html" TargetMode="External"/><Relationship Id="rId17" Type="http://schemas.openxmlformats.org/officeDocument/2006/relationships/footer" Target="footer4.xml"/><Relationship Id="rId38" Type="http://schemas.openxmlformats.org/officeDocument/2006/relationships/hyperlink" Target="http://www.un.org/en/sections/un-charter/chapter-xi/" TargetMode="External"/><Relationship Id="rId59" Type="http://schemas.openxmlformats.org/officeDocument/2006/relationships/image" Target="media/image31.emf"/><Relationship Id="rId103" Type="http://schemas.openxmlformats.org/officeDocument/2006/relationships/hyperlink" Target="http://mpi.govt.nz/news-and-resources/open-data-and-forecasting/greenhouse-gas-reporting/" TargetMode="External"/><Relationship Id="rId124" Type="http://schemas.openxmlformats.org/officeDocument/2006/relationships/package" Target="embeddings/Microsoft_Word_Document4.docx"/><Relationship Id="rId70" Type="http://schemas.openxmlformats.org/officeDocument/2006/relationships/oleObject" Target="embeddings/Microsoft_Visio_2003-2010_Drawing56666.vsd"/><Relationship Id="rId91" Type="http://schemas.openxmlformats.org/officeDocument/2006/relationships/image" Target="media/image46.png"/><Relationship Id="rId145" Type="http://schemas.openxmlformats.org/officeDocument/2006/relationships/image" Target="media/image78.emf"/><Relationship Id="rId166" Type="http://schemas.openxmlformats.org/officeDocument/2006/relationships/package" Target="embeddings/Microsoft_Word_Document23.docx"/><Relationship Id="rId187" Type="http://schemas.openxmlformats.org/officeDocument/2006/relationships/image" Target="media/image99.jpeg"/><Relationship Id="rId1" Type="http://schemas.openxmlformats.org/officeDocument/2006/relationships/customXml" Target="../customXml/item1.xml"/><Relationship Id="rId212" Type="http://schemas.openxmlformats.org/officeDocument/2006/relationships/image" Target="media/image119.png"/><Relationship Id="rId233" Type="http://schemas.openxmlformats.org/officeDocument/2006/relationships/hyperlink" Target="https://gazette.govt.nz/notice/id/2017-au1739" TargetMode="External"/><Relationship Id="rId254" Type="http://schemas.openxmlformats.org/officeDocument/2006/relationships/image" Target="media/image140.png"/><Relationship Id="rId28" Type="http://schemas.openxmlformats.org/officeDocument/2006/relationships/hyperlink" Target="http://www.legislation.govt.nz/act/public/2002/0040/latest/link.aspx?search=ts_act_climate+change_resel&amp;id=DLM160412" TargetMode="External"/><Relationship Id="rId49" Type="http://schemas.openxmlformats.org/officeDocument/2006/relationships/image" Target="media/image22.png"/><Relationship Id="rId114" Type="http://schemas.openxmlformats.org/officeDocument/2006/relationships/image" Target="media/image61.emf"/></Relationships>
</file>

<file path=word/_rels/footnotes.xml.rels><?xml version="1.0" encoding="UTF-8" standalone="yes"?>
<Relationships xmlns="http://schemas.openxmlformats.org/package/2006/relationships"><Relationship Id="rId3" Type="http://schemas.openxmlformats.org/officeDocument/2006/relationships/hyperlink" Target="https://www.tokelau.org.nz/Bulletin/December+2017/Solid+Waste+Management+MOU+Signed+between+Tokelau+EDNRE+and+Pacific++Recycle+Co.+Ltd.html" TargetMode="External"/><Relationship Id="rId2" Type="http://schemas.openxmlformats.org/officeDocument/2006/relationships/hyperlink" Target="https://unfccc.int/documents/65705" TargetMode="External"/><Relationship Id="rId1" Type="http://schemas.openxmlformats.org/officeDocument/2006/relationships/hyperlink" Target="https://www.mpi.govt.nz/protection-and-response/environment-and-natural-resources/biological-emissions-reference-group/"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jenny_000\Documents\Work\Environment%20-%20Ministry%20for\FORMATTING\Greenhouse%20gas%20inventories\Rvsd%20Greenhouse%20Gas%20template.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HarvardAnglia2008OfficeOnline.xsl" StyleName="Harvard - Anglia" Version="2008"/>
</file>

<file path=customXml/itemProps1.xml><?xml version="1.0" encoding="utf-8"?>
<ds:datastoreItem xmlns:ds="http://schemas.openxmlformats.org/officeDocument/2006/customXml" ds:itemID="{8C0611C9-A0B8-4970-B674-8DA4684B12F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Rvsd Greenhouse Gas template</Template>
  <TotalTime>21</TotalTime>
  <Pages>375</Pages>
  <Words>193301</Words>
  <Characters>1101818</Characters>
  <Application>Microsoft Office Word</Application>
  <DocSecurity>0</DocSecurity>
  <Lines>9181</Lines>
  <Paragraphs>2585</Paragraphs>
  <ScaleCrop>false</ScaleCrop>
  <HeadingPairs>
    <vt:vector size="2" baseType="variant">
      <vt:variant>
        <vt:lpstr>Title</vt:lpstr>
      </vt:variant>
      <vt:variant>
        <vt:i4>1</vt:i4>
      </vt:variant>
    </vt:vector>
  </HeadingPairs>
  <TitlesOfParts>
    <vt:vector size="1" baseType="lpstr">
      <vt:lpstr>NZ Greenhouse Gas Inventory 2019</vt:lpstr>
    </vt:vector>
  </TitlesOfParts>
  <Company> </Company>
  <LinksUpToDate>false</LinksUpToDate>
  <CharactersWithSpaces>1292534</CharactersWithSpaces>
  <SharedDoc>false</SharedDoc>
  <HLinks>
    <vt:vector size="108" baseType="variant">
      <vt:variant>
        <vt:i4>1507341</vt:i4>
      </vt:variant>
      <vt:variant>
        <vt:i4>152</vt:i4>
      </vt:variant>
      <vt:variant>
        <vt:i4>0</vt:i4>
      </vt:variant>
      <vt:variant>
        <vt:i4>5</vt:i4>
      </vt:variant>
      <vt:variant>
        <vt:lpwstr>http://www.transport.govt.nz/research/Pages/TravelSurvey.aspx</vt:lpwstr>
      </vt:variant>
      <vt:variant>
        <vt:lpwstr/>
      </vt:variant>
      <vt:variant>
        <vt:i4>6684717</vt:i4>
      </vt:variant>
      <vt:variant>
        <vt:i4>149</vt:i4>
      </vt:variant>
      <vt:variant>
        <vt:i4>0</vt:i4>
      </vt:variant>
      <vt:variant>
        <vt:i4>5</vt:i4>
      </vt:variant>
      <vt:variant>
        <vt:lpwstr>http://www.mfe.govt.nz/issues/climate/policies-initiatives/projects</vt:lpwstr>
      </vt:variant>
      <vt:variant>
        <vt:lpwstr/>
      </vt:variant>
      <vt:variant>
        <vt:i4>1769553</vt:i4>
      </vt:variant>
      <vt:variant>
        <vt:i4>146</vt:i4>
      </vt:variant>
      <vt:variant>
        <vt:i4>0</vt:i4>
      </vt:variant>
      <vt:variant>
        <vt:i4>5</vt:i4>
      </vt:variant>
      <vt:variant>
        <vt:lpwstr>http://www.mbie.govt.nz/building-and-energy/energy-and-natural-resources/energy-statistics-and-modelling/energy-publications-and-technical-papers/energy-in-new-zealand/</vt:lpwstr>
      </vt:variant>
      <vt:variant>
        <vt:lpwstr/>
      </vt:variant>
      <vt:variant>
        <vt:i4>4587584</vt:i4>
      </vt:variant>
      <vt:variant>
        <vt:i4>143</vt:i4>
      </vt:variant>
      <vt:variant>
        <vt:i4>0</vt:i4>
      </vt:variant>
      <vt:variant>
        <vt:i4>5</vt:i4>
      </vt:variant>
      <vt:variant>
        <vt:lpwstr>http://www.med.govt.nz/sectors-industries/energy/energy-modelling/technical-papers/delivering-the-diesel-liquid-fuel-deliveries-in-new-zealand-1990-2008</vt:lpwstr>
      </vt:variant>
      <vt:variant>
        <vt:lpwstr/>
      </vt:variant>
      <vt:variant>
        <vt:i4>2097252</vt:i4>
      </vt:variant>
      <vt:variant>
        <vt:i4>140</vt:i4>
      </vt:variant>
      <vt:variant>
        <vt:i4>0</vt:i4>
      </vt:variant>
      <vt:variant>
        <vt:i4>5</vt:i4>
      </vt:variant>
      <vt:variant>
        <vt:lpwstr>http://www.med.govt.nz/sectors-industries/energy/energy-modelling/technical-papers/liquid-fuels-use-in-new-zealand</vt:lpwstr>
      </vt:variant>
      <vt:variant>
        <vt:lpwstr/>
      </vt:variant>
      <vt:variant>
        <vt:i4>5111879</vt:i4>
      </vt:variant>
      <vt:variant>
        <vt:i4>137</vt:i4>
      </vt:variant>
      <vt:variant>
        <vt:i4>0</vt:i4>
      </vt:variant>
      <vt:variant>
        <vt:i4>5</vt:i4>
      </vt:variant>
      <vt:variant>
        <vt:lpwstr>http://www.legislation.govt.nz/regulation/public/2009/0285/latest/DLM2394207.html</vt:lpwstr>
      </vt:variant>
      <vt:variant>
        <vt:lpwstr/>
      </vt:variant>
      <vt:variant>
        <vt:i4>6291557</vt:i4>
      </vt:variant>
      <vt:variant>
        <vt:i4>134</vt:i4>
      </vt:variant>
      <vt:variant>
        <vt:i4>0</vt:i4>
      </vt:variant>
      <vt:variant>
        <vt:i4>5</vt:i4>
      </vt:variant>
      <vt:variant>
        <vt:lpwstr>https://www.climatechange.govt.nz/consultation /energy/review-default-emissions-factors.pdf</vt:lpwstr>
      </vt:variant>
      <vt:variant>
        <vt:lpwstr/>
      </vt:variant>
      <vt:variant>
        <vt:i4>917535</vt:i4>
      </vt:variant>
      <vt:variant>
        <vt:i4>119</vt:i4>
      </vt:variant>
      <vt:variant>
        <vt:i4>0</vt:i4>
      </vt:variant>
      <vt:variant>
        <vt:i4>5</vt:i4>
      </vt:variant>
      <vt:variant>
        <vt:lpwstr>https://www.nzpam.govt.nz/maps-geoscience/nz-mine-plans/</vt:lpwstr>
      </vt:variant>
      <vt:variant>
        <vt:lpwstr/>
      </vt:variant>
      <vt:variant>
        <vt:i4>4325440</vt:i4>
      </vt:variant>
      <vt:variant>
        <vt:i4>60</vt:i4>
      </vt:variant>
      <vt:variant>
        <vt:i4>0</vt:i4>
      </vt:variant>
      <vt:variant>
        <vt:i4>5</vt:i4>
      </vt:variant>
      <vt:variant>
        <vt:lpwstr>http://www.un.org/en/sections/un-charter/chapter-xi/</vt:lpwstr>
      </vt:variant>
      <vt:variant>
        <vt:lpwstr/>
      </vt:variant>
      <vt:variant>
        <vt:i4>5111912</vt:i4>
      </vt:variant>
      <vt:variant>
        <vt:i4>57</vt:i4>
      </vt:variant>
      <vt:variant>
        <vt:i4>0</vt:i4>
      </vt:variant>
      <vt:variant>
        <vt:i4>5</vt:i4>
      </vt:variant>
      <vt:variant>
        <vt:lpwstr>http://www.legislation.govt.nz/act/public/2002/0040/latest/DLM158584.html?search=ts_act_climate+change+response+act_resel&amp;p=1&amp;sr=1</vt:lpwstr>
      </vt:variant>
      <vt:variant>
        <vt:lpwstr/>
      </vt:variant>
      <vt:variant>
        <vt:i4>458769</vt:i4>
      </vt:variant>
      <vt:variant>
        <vt:i4>54</vt:i4>
      </vt:variant>
      <vt:variant>
        <vt:i4>0</vt:i4>
      </vt:variant>
      <vt:variant>
        <vt:i4>5</vt:i4>
      </vt:variant>
      <vt:variant>
        <vt:lpwstr>http://www.emissionsregister.govt.nz/</vt:lpwstr>
      </vt:variant>
      <vt:variant>
        <vt:lpwstr/>
      </vt:variant>
      <vt:variant>
        <vt:i4>3997741</vt:i4>
      </vt:variant>
      <vt:variant>
        <vt:i4>45</vt:i4>
      </vt:variant>
      <vt:variant>
        <vt:i4>0</vt:i4>
      </vt:variant>
      <vt:variant>
        <vt:i4>5</vt:i4>
      </vt:variant>
      <vt:variant>
        <vt:lpwstr>http://www.eur.govt.nz/eats/nz/</vt:lpwstr>
      </vt:variant>
      <vt:variant>
        <vt:lpwstr/>
      </vt:variant>
      <vt:variant>
        <vt:i4>7733271</vt:i4>
      </vt:variant>
      <vt:variant>
        <vt:i4>42</vt:i4>
      </vt:variant>
      <vt:variant>
        <vt:i4>0</vt:i4>
      </vt:variant>
      <vt:variant>
        <vt:i4>5</vt:i4>
      </vt:variant>
      <vt:variant>
        <vt:lpwstr>http://www.legislation.govt.nz/act/public/2002/0040/latest/link.aspx?search=ts_act_climate+change_resel&amp;id=DLM160412</vt:lpwstr>
      </vt:variant>
      <vt:variant>
        <vt:lpwstr>DLM160412</vt:lpwstr>
      </vt:variant>
      <vt:variant>
        <vt:i4>7340052</vt:i4>
      </vt:variant>
      <vt:variant>
        <vt:i4>39</vt:i4>
      </vt:variant>
      <vt:variant>
        <vt:i4>0</vt:i4>
      </vt:variant>
      <vt:variant>
        <vt:i4>5</vt:i4>
      </vt:variant>
      <vt:variant>
        <vt:lpwstr>http://www.legislation.govt.nz/act/public/2002/0040/latest/link.aspx?search=ts_act_climate+change_resel&amp;id=DLM160067</vt:lpwstr>
      </vt:variant>
      <vt:variant>
        <vt:lpwstr>DLM160067</vt:lpwstr>
      </vt:variant>
      <vt:variant>
        <vt:i4>7733271</vt:i4>
      </vt:variant>
      <vt:variant>
        <vt:i4>36</vt:i4>
      </vt:variant>
      <vt:variant>
        <vt:i4>0</vt:i4>
      </vt:variant>
      <vt:variant>
        <vt:i4>5</vt:i4>
      </vt:variant>
      <vt:variant>
        <vt:lpwstr>http://www.legislation.govt.nz/act/public/2002/0040/latest/link.aspx?search=ts_act_climate+change_resel&amp;id=DLM160412</vt:lpwstr>
      </vt:variant>
      <vt:variant>
        <vt:lpwstr>DLM160412</vt:lpwstr>
      </vt:variant>
      <vt:variant>
        <vt:i4>7733271</vt:i4>
      </vt:variant>
      <vt:variant>
        <vt:i4>33</vt:i4>
      </vt:variant>
      <vt:variant>
        <vt:i4>0</vt:i4>
      </vt:variant>
      <vt:variant>
        <vt:i4>5</vt:i4>
      </vt:variant>
      <vt:variant>
        <vt:lpwstr>http://www.legislation.govt.nz/act/public/2002/0040/latest/link.aspx?search=ts_act_climate+change_resel&amp;id=DLM160412</vt:lpwstr>
      </vt:variant>
      <vt:variant>
        <vt:lpwstr>DLM160412</vt:lpwstr>
      </vt:variant>
      <vt:variant>
        <vt:i4>3407907</vt:i4>
      </vt:variant>
      <vt:variant>
        <vt:i4>30</vt:i4>
      </vt:variant>
      <vt:variant>
        <vt:i4>0</vt:i4>
      </vt:variant>
      <vt:variant>
        <vt:i4>5</vt:i4>
      </vt:variant>
      <vt:variant>
        <vt:lpwstr>http://www.unfccc.int/</vt:lpwstr>
      </vt:variant>
      <vt:variant>
        <vt:lpwstr/>
      </vt:variant>
      <vt:variant>
        <vt:i4>4391002</vt:i4>
      </vt:variant>
      <vt:variant>
        <vt:i4>27</vt:i4>
      </vt:variant>
      <vt:variant>
        <vt:i4>0</vt:i4>
      </vt:variant>
      <vt:variant>
        <vt:i4>5</vt:i4>
      </vt:variant>
      <vt:variant>
        <vt:lpwstr>http://www.mfe.govt.nz/climate-change/reporting-greenhouse-gas-emissions/latest-2020-net-position</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NZ Greenhouse Gas Inventory 2019</dc:title>
  <dc:subject>greenhouse gas emissions</dc:subject>
  <dc:creator>Ministry for the Environment</dc:creator>
  <cp:keywords>emissions</cp:keywords>
  <dc:description/>
  <cp:lastModifiedBy>Dee Warring</cp:lastModifiedBy>
  <cp:revision>8</cp:revision>
  <cp:lastPrinted>2019-04-04T21:13:00Z</cp:lastPrinted>
  <dcterms:created xsi:type="dcterms:W3CDTF">2019-04-04T22:30:00Z</dcterms:created>
  <dcterms:modified xsi:type="dcterms:W3CDTF">2019-04-08T03:06:00Z</dcterms:modified>
</cp:coreProperties>
</file>